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F297E" w14:textId="4A486C5E" w:rsidR="00C52732" w:rsidRPr="00A07F29" w:rsidRDefault="00E83DE9" w:rsidP="00AF4C40">
      <w:pPr>
        <w:spacing w:after="0" w:line="240" w:lineRule="auto"/>
        <w:jc w:val="center"/>
        <w:rPr>
          <w:rFonts w:ascii="Times New Roman" w:eastAsia="Times New Roman" w:hAnsi="Times New Roman" w:cs="Times New Roman"/>
          <w:b/>
          <w:bCs/>
          <w:color w:val="002060"/>
          <w:sz w:val="32"/>
          <w:szCs w:val="32"/>
        </w:rPr>
      </w:pPr>
      <w:r w:rsidRPr="00A07F29">
        <w:rPr>
          <w:rFonts w:ascii="Times New Roman" w:eastAsia="Times New Roman" w:hAnsi="Times New Roman" w:cs="Times New Roman"/>
          <w:b/>
          <w:bCs/>
          <w:noProof/>
          <w:color w:val="002060"/>
          <w:sz w:val="44"/>
          <w:szCs w:val="44"/>
          <w:lang w:eastAsia="lv-LV"/>
        </w:rPr>
        <w:drawing>
          <wp:anchor distT="0" distB="0" distL="114300" distR="114300" simplePos="0" relativeHeight="251658243" behindDoc="0" locked="0" layoutInCell="1" allowOverlap="1" wp14:anchorId="0AC36A0E" wp14:editId="4E827212">
            <wp:simplePos x="0" y="0"/>
            <wp:positionH relativeFrom="column">
              <wp:posOffset>2948940</wp:posOffset>
            </wp:positionH>
            <wp:positionV relativeFrom="paragraph">
              <wp:posOffset>0</wp:posOffset>
            </wp:positionV>
            <wp:extent cx="952500" cy="812800"/>
            <wp:effectExtent l="0" t="0" r="0" b="6350"/>
            <wp:wrapTopAndBottom/>
            <wp:docPr id="918145563" name="Picture 918145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00" cy="812800"/>
                    </a:xfrm>
                    <a:prstGeom prst="rect">
                      <a:avLst/>
                    </a:prstGeom>
                    <a:noFill/>
                  </pic:spPr>
                </pic:pic>
              </a:graphicData>
            </a:graphic>
            <wp14:sizeRelH relativeFrom="margin">
              <wp14:pctWidth>0</wp14:pctWidth>
            </wp14:sizeRelH>
            <wp14:sizeRelV relativeFrom="margin">
              <wp14:pctHeight>0</wp14:pctHeight>
            </wp14:sizeRelV>
          </wp:anchor>
        </w:drawing>
      </w:r>
      <w:r w:rsidRPr="00A07F29">
        <w:rPr>
          <w:rFonts w:ascii="Times New Roman" w:eastAsia="Times New Roman" w:hAnsi="Times New Roman" w:cs="Times New Roman"/>
          <w:b/>
          <w:bCs/>
          <w:noProof/>
          <w:color w:val="FF0000"/>
          <w:sz w:val="36"/>
          <w:szCs w:val="36"/>
          <w:lang w:eastAsia="lv-LV"/>
        </w:rPr>
        <w:drawing>
          <wp:anchor distT="0" distB="0" distL="114300" distR="114300" simplePos="0" relativeHeight="251658241" behindDoc="0" locked="0" layoutInCell="1" allowOverlap="1" wp14:anchorId="06432B6A" wp14:editId="29402678">
            <wp:simplePos x="0" y="0"/>
            <wp:positionH relativeFrom="column">
              <wp:posOffset>2080260</wp:posOffset>
            </wp:positionH>
            <wp:positionV relativeFrom="paragraph">
              <wp:posOffset>31115</wp:posOffset>
            </wp:positionV>
            <wp:extent cx="770890" cy="777875"/>
            <wp:effectExtent l="0" t="0" r="0" b="3175"/>
            <wp:wrapSquare wrapText="bothSides"/>
            <wp:docPr id="1" name="Picture 5" descr="dabas_par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bas_parka"/>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770890" cy="777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F4C40" w:rsidRPr="00A07F29">
        <w:rPr>
          <w:rFonts w:ascii="Times New Roman" w:eastAsia="Times New Roman" w:hAnsi="Times New Roman" w:cs="Times New Roman"/>
          <w:b/>
          <w:bCs/>
          <w:sz w:val="36"/>
          <w:szCs w:val="36"/>
        </w:rPr>
        <w:br w:type="textWrapping" w:clear="all"/>
      </w:r>
    </w:p>
    <w:p w14:paraId="39F0C4FD" w14:textId="2BB3FE26" w:rsidR="00AF4C40" w:rsidRPr="00A07F29" w:rsidRDefault="00E83DE9" w:rsidP="00AF4C40">
      <w:pPr>
        <w:spacing w:after="0" w:line="240" w:lineRule="auto"/>
        <w:jc w:val="center"/>
        <w:rPr>
          <w:rFonts w:ascii="Times New Roman" w:eastAsia="Times New Roman" w:hAnsi="Times New Roman" w:cs="Times New Roman"/>
          <w:b/>
          <w:bCs/>
          <w:color w:val="002060"/>
          <w:sz w:val="44"/>
          <w:szCs w:val="44"/>
        </w:rPr>
      </w:pPr>
      <w:r w:rsidRPr="00A07F29">
        <w:rPr>
          <w:rFonts w:ascii="Times New Roman" w:eastAsia="Times New Roman" w:hAnsi="Times New Roman" w:cs="Times New Roman"/>
          <w:b/>
          <w:bCs/>
          <w:color w:val="002060"/>
          <w:sz w:val="44"/>
          <w:szCs w:val="44"/>
        </w:rPr>
        <w:t>Aizsargājamo ainavu apvidus</w:t>
      </w:r>
      <w:r w:rsidR="00AF4C40" w:rsidRPr="00A07F29">
        <w:rPr>
          <w:rFonts w:ascii="Times New Roman" w:eastAsia="Times New Roman" w:hAnsi="Times New Roman" w:cs="Times New Roman"/>
          <w:b/>
          <w:bCs/>
          <w:color w:val="002060"/>
          <w:sz w:val="44"/>
          <w:szCs w:val="44"/>
        </w:rPr>
        <w:t xml:space="preserve"> “A</w:t>
      </w:r>
      <w:r w:rsidR="00C52732" w:rsidRPr="00A07F29">
        <w:rPr>
          <w:rFonts w:ascii="Times New Roman" w:eastAsia="Times New Roman" w:hAnsi="Times New Roman" w:cs="Times New Roman"/>
          <w:b/>
          <w:bCs/>
          <w:color w:val="002060"/>
          <w:sz w:val="44"/>
          <w:szCs w:val="44"/>
        </w:rPr>
        <w:t>ugšdaugava</w:t>
      </w:r>
      <w:r w:rsidR="00AF4C40" w:rsidRPr="00A07F29">
        <w:rPr>
          <w:rFonts w:ascii="Times New Roman" w:eastAsia="Times New Roman" w:hAnsi="Times New Roman" w:cs="Times New Roman"/>
          <w:b/>
          <w:bCs/>
          <w:color w:val="002060"/>
          <w:sz w:val="44"/>
          <w:szCs w:val="44"/>
        </w:rPr>
        <w:t>”</w:t>
      </w:r>
    </w:p>
    <w:p w14:paraId="64C1E743" w14:textId="77777777" w:rsidR="00AF4C40" w:rsidRPr="00A07F29" w:rsidRDefault="00AF4C40" w:rsidP="00AF4C40">
      <w:pPr>
        <w:spacing w:after="0" w:line="240" w:lineRule="auto"/>
        <w:jc w:val="center"/>
        <w:rPr>
          <w:rFonts w:ascii="Times New Roman" w:eastAsia="Calibri" w:hAnsi="Times New Roman" w:cs="Times New Roman"/>
          <w:b/>
          <w:bCs/>
          <w:sz w:val="24"/>
        </w:rPr>
      </w:pPr>
    </w:p>
    <w:p w14:paraId="7DD1EEDF" w14:textId="5FEC0C10" w:rsidR="00AF4C40" w:rsidRPr="00A07F29" w:rsidRDefault="00BF0E06" w:rsidP="00AF4C40">
      <w:pPr>
        <w:spacing w:after="0" w:line="240" w:lineRule="auto"/>
        <w:jc w:val="center"/>
        <w:rPr>
          <w:rFonts w:ascii="Times New Roman" w:eastAsia="Calibri" w:hAnsi="Times New Roman" w:cs="Times New Roman"/>
          <w:b/>
          <w:bCs/>
          <w:sz w:val="28"/>
          <w:szCs w:val="28"/>
        </w:rPr>
      </w:pPr>
      <w:r w:rsidRPr="00A07F29">
        <w:rPr>
          <w:rFonts w:ascii="Times New Roman" w:eastAsia="Calibri" w:hAnsi="Times New Roman" w:cs="Times New Roman"/>
          <w:b/>
          <w:bCs/>
          <w:sz w:val="28"/>
          <w:szCs w:val="28"/>
        </w:rPr>
        <w:t>D</w:t>
      </w:r>
      <w:r w:rsidR="00944DAC" w:rsidRPr="00A07F29">
        <w:rPr>
          <w:rFonts w:ascii="Times New Roman" w:eastAsia="Calibri" w:hAnsi="Times New Roman" w:cs="Times New Roman"/>
          <w:b/>
          <w:bCs/>
          <w:sz w:val="28"/>
          <w:szCs w:val="28"/>
        </w:rPr>
        <w:t>ABAS AIZSARDZĪBAS</w:t>
      </w:r>
      <w:r w:rsidRPr="00A07F29">
        <w:rPr>
          <w:rFonts w:ascii="Times New Roman" w:eastAsia="Calibri" w:hAnsi="Times New Roman" w:cs="Times New Roman"/>
          <w:b/>
          <w:bCs/>
          <w:sz w:val="28"/>
          <w:szCs w:val="28"/>
        </w:rPr>
        <w:t xml:space="preserve"> PLĀNS</w:t>
      </w:r>
    </w:p>
    <w:p w14:paraId="79C5D2AD" w14:textId="77777777" w:rsidR="00AF4C40" w:rsidRPr="00A07F29" w:rsidRDefault="00AF4C40" w:rsidP="00AF4C40">
      <w:pPr>
        <w:spacing w:after="0" w:line="240" w:lineRule="auto"/>
        <w:jc w:val="center"/>
        <w:rPr>
          <w:rFonts w:ascii="Times New Roman" w:eastAsia="Calibri" w:hAnsi="Times New Roman" w:cs="Times New Roman"/>
          <w:i/>
          <w:iCs/>
          <w:sz w:val="24"/>
        </w:rPr>
      </w:pPr>
    </w:p>
    <w:p w14:paraId="353025D1" w14:textId="4642CD0D" w:rsidR="00AF4C40" w:rsidRPr="00A07F29" w:rsidRDefault="00F30503" w:rsidP="41F69898">
      <w:pPr>
        <w:spacing w:after="0" w:line="240" w:lineRule="auto"/>
        <w:jc w:val="center"/>
        <w:rPr>
          <w:rFonts w:ascii="Times New Roman" w:eastAsia="Calibri" w:hAnsi="Times New Roman" w:cs="Times New Roman"/>
          <w:i/>
          <w:iCs/>
          <w:sz w:val="24"/>
          <w:szCs w:val="24"/>
        </w:rPr>
      </w:pPr>
      <w:r w:rsidRPr="00A07F29">
        <w:rPr>
          <w:rFonts w:ascii="Times New Roman" w:eastAsia="Calibri" w:hAnsi="Times New Roman" w:cs="Times New Roman"/>
          <w:i/>
          <w:iCs/>
          <w:sz w:val="24"/>
          <w:szCs w:val="24"/>
        </w:rPr>
        <w:t>Augšdaugavas</w:t>
      </w:r>
      <w:r w:rsidR="00AF4C40" w:rsidRPr="00A07F29">
        <w:rPr>
          <w:rFonts w:ascii="Times New Roman" w:eastAsia="Calibri" w:hAnsi="Times New Roman" w:cs="Times New Roman"/>
          <w:i/>
          <w:iCs/>
          <w:sz w:val="24"/>
          <w:szCs w:val="24"/>
        </w:rPr>
        <w:t xml:space="preserve"> un Krāslavas novadi</w:t>
      </w:r>
    </w:p>
    <w:p w14:paraId="13279D38" w14:textId="77777777" w:rsidR="00AF4C40" w:rsidRPr="00A07F29" w:rsidRDefault="009056A3" w:rsidP="00AF4C40">
      <w:pPr>
        <w:spacing w:after="0" w:line="240" w:lineRule="auto"/>
        <w:jc w:val="center"/>
        <w:rPr>
          <w:rFonts w:ascii="Times New Roman" w:eastAsia="Times New Roman" w:hAnsi="Times New Roman" w:cs="Times New Roman"/>
          <w:b/>
          <w:sz w:val="24"/>
          <w:szCs w:val="24"/>
          <w:lang w:eastAsia="lv-LV"/>
        </w:rPr>
      </w:pPr>
      <w:r w:rsidRPr="00A07F29">
        <w:rPr>
          <w:rFonts w:ascii="Times New Roman" w:eastAsia="Times New Roman" w:hAnsi="Times New Roman" w:cs="Times New Roman"/>
          <w:b/>
          <w:bCs/>
          <w:sz w:val="24"/>
          <w:szCs w:val="24"/>
          <w:lang w:eastAsia="lv-LV"/>
        </w:rPr>
        <w:t xml:space="preserve"> </w:t>
      </w:r>
      <w:r w:rsidR="00AF4C40" w:rsidRPr="00A07F29">
        <w:rPr>
          <w:rFonts w:ascii="Times New Roman" w:eastAsia="Times New Roman" w:hAnsi="Times New Roman" w:cs="Times New Roman"/>
          <w:b/>
          <w:noProof/>
          <w:sz w:val="24"/>
          <w:szCs w:val="24"/>
          <w:lang w:eastAsia="lv-LV"/>
        </w:rPr>
        <w:drawing>
          <wp:inline distT="0" distB="0" distL="0" distR="0" wp14:anchorId="48934034" wp14:editId="2297EB4E">
            <wp:extent cx="3966764" cy="2975073"/>
            <wp:effectExtent l="323850" t="323850" r="320040" b="32067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email">
                      <a:extLst>
                        <a:ext uri="{28A0092B-C50C-407E-A947-70E740481C1C}">
                          <a14:useLocalDpi xmlns:a14="http://schemas.microsoft.com/office/drawing/2010/main"/>
                        </a:ext>
                      </a:extLst>
                    </a:blip>
                    <a:stretch>
                      <a:fillRect/>
                    </a:stretch>
                  </pic:blipFill>
                  <pic:spPr bwMode="auto">
                    <a:xfrm>
                      <a:off x="0" y="0"/>
                      <a:ext cx="3966764" cy="2975073"/>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p>
    <w:p w14:paraId="1B5CD0CF" w14:textId="77777777" w:rsidR="00E83DE9" w:rsidRPr="00A07F29" w:rsidRDefault="00E83DE9" w:rsidP="00AF4C40">
      <w:pPr>
        <w:spacing w:after="0" w:line="240" w:lineRule="auto"/>
        <w:ind w:firstLine="851"/>
        <w:jc w:val="center"/>
        <w:rPr>
          <w:rFonts w:ascii="Times New Roman" w:eastAsia="Times New Roman" w:hAnsi="Times New Roman" w:cs="Times New Roman"/>
          <w:b/>
          <w:sz w:val="26"/>
          <w:szCs w:val="26"/>
          <w:lang w:eastAsia="lv-LV"/>
        </w:rPr>
      </w:pPr>
    </w:p>
    <w:p w14:paraId="71C71C19" w14:textId="5790EE5F" w:rsidR="00AF4C40" w:rsidRPr="00A07F29" w:rsidRDefault="00AF4C40" w:rsidP="00AF4C40">
      <w:pPr>
        <w:spacing w:after="0" w:line="240" w:lineRule="auto"/>
        <w:ind w:firstLine="851"/>
        <w:jc w:val="center"/>
        <w:rPr>
          <w:rFonts w:ascii="Times New Roman" w:eastAsia="Times New Roman" w:hAnsi="Times New Roman" w:cs="Times New Roman"/>
          <w:b/>
          <w:sz w:val="26"/>
          <w:szCs w:val="26"/>
          <w:lang w:eastAsia="lv-LV"/>
        </w:rPr>
      </w:pPr>
      <w:r w:rsidRPr="00A07F29">
        <w:rPr>
          <w:rFonts w:ascii="Times New Roman" w:eastAsia="Times New Roman" w:hAnsi="Times New Roman" w:cs="Times New Roman"/>
          <w:b/>
          <w:sz w:val="26"/>
          <w:szCs w:val="26"/>
          <w:lang w:eastAsia="lv-LV"/>
        </w:rPr>
        <w:t xml:space="preserve">Plāns izstrādāts laika periodam no </w:t>
      </w:r>
      <w:r w:rsidR="000457C0" w:rsidRPr="00A07F29">
        <w:rPr>
          <w:rFonts w:ascii="Times New Roman" w:eastAsia="Times New Roman" w:hAnsi="Times New Roman" w:cs="Times New Roman"/>
          <w:b/>
          <w:sz w:val="26"/>
          <w:szCs w:val="26"/>
          <w:lang w:eastAsia="lv-LV"/>
        </w:rPr>
        <w:t>2024</w:t>
      </w:r>
      <w:r w:rsidR="00C52732" w:rsidRPr="00A07F29">
        <w:rPr>
          <w:rFonts w:ascii="Times New Roman" w:eastAsia="Times New Roman" w:hAnsi="Times New Roman" w:cs="Times New Roman"/>
          <w:b/>
          <w:sz w:val="26"/>
          <w:szCs w:val="26"/>
          <w:lang w:eastAsia="lv-LV"/>
        </w:rPr>
        <w:t>.</w:t>
      </w:r>
      <w:r w:rsidRPr="00A07F29">
        <w:rPr>
          <w:rFonts w:ascii="Times New Roman" w:eastAsia="Times New Roman" w:hAnsi="Times New Roman" w:cs="Times New Roman"/>
          <w:b/>
          <w:sz w:val="26"/>
          <w:szCs w:val="26"/>
          <w:lang w:eastAsia="lv-LV"/>
        </w:rPr>
        <w:t xml:space="preserve"> gada līdz </w:t>
      </w:r>
      <w:r w:rsidR="000457C0" w:rsidRPr="00A07F29">
        <w:rPr>
          <w:rFonts w:ascii="Times New Roman" w:eastAsia="Times New Roman" w:hAnsi="Times New Roman" w:cs="Times New Roman"/>
          <w:b/>
          <w:sz w:val="26"/>
          <w:szCs w:val="26"/>
          <w:lang w:eastAsia="lv-LV"/>
        </w:rPr>
        <w:t>2036</w:t>
      </w:r>
      <w:r w:rsidRPr="00A07F29">
        <w:rPr>
          <w:rFonts w:ascii="Times New Roman" w:eastAsia="Times New Roman" w:hAnsi="Times New Roman" w:cs="Times New Roman"/>
          <w:b/>
          <w:sz w:val="26"/>
          <w:szCs w:val="26"/>
          <w:lang w:eastAsia="lv-LV"/>
        </w:rPr>
        <w:t>. gadam.</w:t>
      </w:r>
    </w:p>
    <w:p w14:paraId="21F9099C" w14:textId="2016B149" w:rsidR="00E83DE9" w:rsidRPr="00A07F29" w:rsidRDefault="00E83DE9" w:rsidP="00AF4C40">
      <w:pPr>
        <w:spacing w:after="0" w:line="240" w:lineRule="auto"/>
        <w:ind w:firstLine="851"/>
        <w:jc w:val="center"/>
        <w:rPr>
          <w:rFonts w:ascii="Times New Roman" w:eastAsia="Times New Roman" w:hAnsi="Times New Roman" w:cs="Times New Roman"/>
          <w:b/>
          <w:sz w:val="26"/>
          <w:szCs w:val="26"/>
          <w:lang w:eastAsia="lv-LV"/>
        </w:rPr>
      </w:pPr>
    </w:p>
    <w:p w14:paraId="219BF6C4" w14:textId="77777777" w:rsidR="00E83DE9" w:rsidRPr="00A07F29" w:rsidRDefault="00E83DE9" w:rsidP="00AF4C40">
      <w:pPr>
        <w:spacing w:after="0" w:line="240" w:lineRule="auto"/>
        <w:ind w:firstLine="851"/>
        <w:jc w:val="center"/>
        <w:rPr>
          <w:rFonts w:ascii="Times New Roman" w:eastAsia="Times New Roman" w:hAnsi="Times New Roman" w:cs="Times New Roman"/>
          <w:b/>
          <w:sz w:val="26"/>
          <w:szCs w:val="26"/>
          <w:lang w:eastAsia="lv-LV"/>
        </w:rPr>
      </w:pPr>
    </w:p>
    <w:p w14:paraId="7E8DD21B" w14:textId="77777777" w:rsidR="00AF4C40" w:rsidRPr="00A07F29" w:rsidRDefault="00AF4C40" w:rsidP="00AF4C40">
      <w:pPr>
        <w:spacing w:after="0" w:line="240" w:lineRule="auto"/>
        <w:ind w:firstLine="851"/>
        <w:jc w:val="center"/>
        <w:rPr>
          <w:rFonts w:ascii="Times New Roman" w:eastAsia="Times New Roman" w:hAnsi="Times New Roman" w:cs="Times New Roman"/>
          <w:b/>
          <w:sz w:val="26"/>
          <w:szCs w:val="26"/>
          <w:lang w:eastAsia="lv-LV"/>
        </w:rPr>
      </w:pPr>
    </w:p>
    <w:tbl>
      <w:tblPr>
        <w:tblW w:w="9682" w:type="dxa"/>
        <w:tblInd w:w="-106" w:type="dxa"/>
        <w:tblLook w:val="01E0" w:firstRow="1" w:lastRow="1" w:firstColumn="1" w:lastColumn="1" w:noHBand="0" w:noVBand="0"/>
      </w:tblPr>
      <w:tblGrid>
        <w:gridCol w:w="4325"/>
        <w:gridCol w:w="1349"/>
        <w:gridCol w:w="4008"/>
      </w:tblGrid>
      <w:tr w:rsidR="00AF4C40" w:rsidRPr="00A07F29" w14:paraId="039238C2" w14:textId="77777777" w:rsidTr="00A77DB8">
        <w:trPr>
          <w:trHeight w:val="807"/>
        </w:trPr>
        <w:tc>
          <w:tcPr>
            <w:tcW w:w="4325" w:type="dxa"/>
          </w:tcPr>
          <w:p w14:paraId="21C24CB9" w14:textId="77777777" w:rsidR="00AF4C40" w:rsidRPr="00A07F29" w:rsidRDefault="00AF4C40" w:rsidP="00AF4C40">
            <w:pPr>
              <w:spacing w:after="0" w:line="240" w:lineRule="auto"/>
              <w:ind w:firstLine="851"/>
              <w:jc w:val="both"/>
              <w:rPr>
                <w:rFonts w:ascii="Times New Roman" w:eastAsia="Times New Roman" w:hAnsi="Times New Roman" w:cs="Times New Roman"/>
                <w:b/>
                <w:bCs/>
                <w:sz w:val="24"/>
                <w:szCs w:val="24"/>
                <w:lang w:eastAsia="lv-LV"/>
              </w:rPr>
            </w:pPr>
            <w:r w:rsidRPr="00A07F29">
              <w:rPr>
                <w:rFonts w:ascii="Times New Roman" w:eastAsia="Times New Roman" w:hAnsi="Times New Roman" w:cs="Times New Roman"/>
                <w:b/>
                <w:bCs/>
                <w:sz w:val="24"/>
                <w:szCs w:val="24"/>
                <w:lang w:eastAsia="lv-LV"/>
              </w:rPr>
              <w:t>Izstrādātājs:</w:t>
            </w:r>
          </w:p>
          <w:p w14:paraId="360612E0" w14:textId="77777777" w:rsidR="00AF4C40" w:rsidRPr="00A07F29" w:rsidRDefault="00AF4C40" w:rsidP="00AF4C40">
            <w:pPr>
              <w:spacing w:after="0" w:line="240" w:lineRule="auto"/>
              <w:ind w:firstLine="851"/>
              <w:jc w:val="both"/>
              <w:rPr>
                <w:rFonts w:ascii="Times New Roman" w:eastAsia="Times New Roman" w:hAnsi="Times New Roman" w:cs="Times New Roman"/>
                <w:bCs/>
                <w:sz w:val="24"/>
                <w:szCs w:val="24"/>
                <w:lang w:eastAsia="lv-LV"/>
              </w:rPr>
            </w:pPr>
            <w:r w:rsidRPr="00A07F29">
              <w:rPr>
                <w:rFonts w:ascii="Times New Roman" w:eastAsia="Times New Roman" w:hAnsi="Times New Roman" w:cs="Times New Roman"/>
                <w:bCs/>
                <w:sz w:val="24"/>
                <w:szCs w:val="24"/>
                <w:lang w:eastAsia="lv-LV"/>
              </w:rPr>
              <w:t>Latvijas Universitāte</w:t>
            </w:r>
          </w:p>
        </w:tc>
        <w:tc>
          <w:tcPr>
            <w:tcW w:w="1349" w:type="dxa"/>
          </w:tcPr>
          <w:p w14:paraId="220EE1A9" w14:textId="77777777" w:rsidR="00AF4C40" w:rsidRPr="00A07F29" w:rsidRDefault="00AF4C40" w:rsidP="00AF4C40">
            <w:pPr>
              <w:spacing w:after="0" w:line="240" w:lineRule="auto"/>
              <w:ind w:firstLine="851"/>
              <w:jc w:val="center"/>
              <w:rPr>
                <w:rFonts w:ascii="Times New Roman" w:eastAsia="Times New Roman" w:hAnsi="Times New Roman" w:cs="Times New Roman"/>
                <w:b/>
                <w:bCs/>
                <w:sz w:val="24"/>
                <w:szCs w:val="24"/>
                <w:lang w:eastAsia="lv-LV"/>
              </w:rPr>
            </w:pPr>
          </w:p>
        </w:tc>
        <w:tc>
          <w:tcPr>
            <w:tcW w:w="4008" w:type="dxa"/>
            <w:vAlign w:val="center"/>
          </w:tcPr>
          <w:p w14:paraId="37DBBA98" w14:textId="2FB07E7B" w:rsidR="00AF4C40" w:rsidRPr="00A07F29" w:rsidRDefault="00C52732" w:rsidP="00A77DB8">
            <w:pPr>
              <w:spacing w:after="0" w:line="240" w:lineRule="auto"/>
              <w:jc w:val="center"/>
              <w:rPr>
                <w:rFonts w:ascii="Times New Roman" w:eastAsia="Times New Roman" w:hAnsi="Times New Roman" w:cs="Times New Roman"/>
                <w:b/>
                <w:bCs/>
                <w:sz w:val="24"/>
                <w:szCs w:val="24"/>
                <w:lang w:eastAsia="lv-LV"/>
              </w:rPr>
            </w:pPr>
            <w:r w:rsidRPr="00A07F29">
              <w:rPr>
                <w:rFonts w:ascii="Times New Roman" w:eastAsia="Times New Roman" w:hAnsi="Times New Roman" w:cs="Times New Roman"/>
                <w:b/>
                <w:bCs/>
                <w:noProof/>
                <w:sz w:val="24"/>
                <w:szCs w:val="24"/>
                <w:lang w:eastAsia="lv-LV"/>
              </w:rPr>
              <w:drawing>
                <wp:inline distT="0" distB="0" distL="0" distR="0" wp14:anchorId="132A9129" wp14:editId="630F9E05">
                  <wp:extent cx="979805" cy="330101"/>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89447" cy="333349"/>
                          </a:xfrm>
                          <a:prstGeom prst="rect">
                            <a:avLst/>
                          </a:prstGeom>
                          <a:noFill/>
                        </pic:spPr>
                      </pic:pic>
                    </a:graphicData>
                  </a:graphic>
                </wp:inline>
              </w:drawing>
            </w:r>
          </w:p>
        </w:tc>
      </w:tr>
      <w:tr w:rsidR="00AF4C40" w:rsidRPr="00A07F29" w14:paraId="0AC21AC9" w14:textId="77777777" w:rsidTr="00A77DB8">
        <w:trPr>
          <w:trHeight w:val="819"/>
        </w:trPr>
        <w:tc>
          <w:tcPr>
            <w:tcW w:w="4325" w:type="dxa"/>
          </w:tcPr>
          <w:p w14:paraId="1B980E4B" w14:textId="77777777" w:rsidR="00AF4C40" w:rsidRPr="00A07F29" w:rsidRDefault="00AF4C40" w:rsidP="00AF4C40">
            <w:pPr>
              <w:spacing w:after="0" w:line="240" w:lineRule="auto"/>
              <w:ind w:firstLine="851"/>
              <w:jc w:val="both"/>
              <w:rPr>
                <w:rFonts w:ascii="Times New Roman" w:eastAsia="Times New Roman" w:hAnsi="Times New Roman" w:cs="Times New Roman"/>
                <w:b/>
                <w:bCs/>
                <w:sz w:val="24"/>
                <w:szCs w:val="24"/>
                <w:lang w:eastAsia="lv-LV"/>
              </w:rPr>
            </w:pPr>
            <w:r w:rsidRPr="00A07F29">
              <w:rPr>
                <w:rFonts w:ascii="Times New Roman" w:eastAsia="Times New Roman" w:hAnsi="Times New Roman" w:cs="Times New Roman"/>
                <w:b/>
                <w:bCs/>
                <w:sz w:val="24"/>
                <w:szCs w:val="24"/>
                <w:lang w:eastAsia="lv-LV"/>
              </w:rPr>
              <w:t>Pasūtītājs:</w:t>
            </w:r>
          </w:p>
          <w:p w14:paraId="33692658" w14:textId="5F594636" w:rsidR="00AF4C40" w:rsidRPr="00A07F29" w:rsidRDefault="00F8288D" w:rsidP="00AF4C40">
            <w:pPr>
              <w:spacing w:after="0" w:line="240" w:lineRule="auto"/>
              <w:ind w:firstLine="851"/>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Dabas aizsardzības pārvalde</w:t>
            </w:r>
          </w:p>
        </w:tc>
        <w:tc>
          <w:tcPr>
            <w:tcW w:w="1349" w:type="dxa"/>
          </w:tcPr>
          <w:p w14:paraId="63F0C24D" w14:textId="77777777" w:rsidR="00AF4C40" w:rsidRPr="00A07F29" w:rsidRDefault="00AF4C40" w:rsidP="00AF4C40">
            <w:pPr>
              <w:spacing w:after="0" w:line="240" w:lineRule="auto"/>
              <w:ind w:left="175" w:firstLine="851"/>
              <w:jc w:val="both"/>
              <w:rPr>
                <w:rFonts w:ascii="Times New Roman" w:eastAsia="Times New Roman" w:hAnsi="Times New Roman" w:cs="Times New Roman"/>
                <w:sz w:val="24"/>
                <w:szCs w:val="24"/>
                <w:lang w:eastAsia="lv-LV"/>
              </w:rPr>
            </w:pPr>
          </w:p>
        </w:tc>
        <w:tc>
          <w:tcPr>
            <w:tcW w:w="4008" w:type="dxa"/>
          </w:tcPr>
          <w:p w14:paraId="265AF6FD" w14:textId="57AE7DF4" w:rsidR="00AF4C40" w:rsidRPr="00A07F29" w:rsidRDefault="00A77DB8" w:rsidP="00A77DB8">
            <w:pPr>
              <w:spacing w:after="0" w:line="240" w:lineRule="auto"/>
              <w:ind w:firstLine="851"/>
              <w:jc w:val="both"/>
              <w:rPr>
                <w:rFonts w:ascii="Times New Roman" w:eastAsia="Times New Roman" w:hAnsi="Times New Roman" w:cs="Times New Roman"/>
                <w:sz w:val="24"/>
                <w:szCs w:val="24"/>
                <w:lang w:eastAsia="lv-LV"/>
              </w:rPr>
            </w:pPr>
            <w:r w:rsidRPr="00A07F29">
              <w:rPr>
                <w:noProof/>
                <w:lang w:eastAsia="lv-LV"/>
              </w:rPr>
              <w:drawing>
                <wp:inline distT="0" distB="0" distL="0" distR="0" wp14:anchorId="5C22EDA1" wp14:editId="43031A39">
                  <wp:extent cx="1066800" cy="662305"/>
                  <wp:effectExtent l="0" t="0" r="0" b="4445"/>
                  <wp:docPr id="3" name="Attēls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1"/>
                          <pic:cNvPicPr/>
                        </pic:nvPicPr>
                        <pic:blipFill>
                          <a:blip r:embed="rId15">
                            <a:extLst>
                              <a:ext uri="{28A0092B-C50C-407E-A947-70E740481C1C}">
                                <a14:useLocalDpi xmlns:a14="http://schemas.microsoft.com/office/drawing/2010/main" val="0"/>
                              </a:ext>
                            </a:extLst>
                          </a:blip>
                          <a:stretch>
                            <a:fillRect/>
                          </a:stretch>
                        </pic:blipFill>
                        <pic:spPr>
                          <a:xfrm>
                            <a:off x="0" y="0"/>
                            <a:ext cx="1066800" cy="662305"/>
                          </a:xfrm>
                          <a:prstGeom prst="rect">
                            <a:avLst/>
                          </a:prstGeom>
                        </pic:spPr>
                      </pic:pic>
                    </a:graphicData>
                  </a:graphic>
                </wp:inline>
              </w:drawing>
            </w:r>
          </w:p>
        </w:tc>
      </w:tr>
      <w:tr w:rsidR="00AF4C40" w:rsidRPr="00A07F29" w14:paraId="54DCC17E" w14:textId="77777777" w:rsidTr="00A77DB8">
        <w:trPr>
          <w:trHeight w:val="841"/>
        </w:trPr>
        <w:tc>
          <w:tcPr>
            <w:tcW w:w="5674" w:type="dxa"/>
            <w:gridSpan w:val="2"/>
          </w:tcPr>
          <w:p w14:paraId="538A4073" w14:textId="5774C21A" w:rsidR="00AF4C40" w:rsidRPr="00A07F29" w:rsidRDefault="001E391E" w:rsidP="00F30503">
            <w:pPr>
              <w:spacing w:after="0" w:line="240" w:lineRule="auto"/>
              <w:ind w:left="142"/>
              <w:jc w:val="both"/>
              <w:rPr>
                <w:rFonts w:ascii="Times New Roman" w:eastAsia="Times New Roman" w:hAnsi="Times New Roman" w:cs="Times New Roman"/>
                <w:sz w:val="20"/>
                <w:szCs w:val="20"/>
                <w:lang w:eastAsia="lv-LV"/>
              </w:rPr>
            </w:pPr>
            <w:bookmarkStart w:id="0" w:name="_Hlk533714271"/>
            <w:r w:rsidRPr="00A07F29">
              <w:rPr>
                <w:rFonts w:ascii="Times New Roman" w:eastAsia="Times New Roman" w:hAnsi="Times New Roman" w:cs="Times New Roman"/>
                <w:i/>
                <w:sz w:val="20"/>
                <w:szCs w:val="20"/>
                <w:lang w:eastAsia="lv-LV"/>
              </w:rPr>
              <w:t>ES</w:t>
            </w:r>
            <w:r w:rsidR="00AF4C40" w:rsidRPr="00A07F29">
              <w:rPr>
                <w:rFonts w:ascii="Times New Roman" w:eastAsia="Times New Roman" w:hAnsi="Times New Roman" w:cs="Times New Roman"/>
                <w:i/>
                <w:sz w:val="20"/>
                <w:szCs w:val="20"/>
                <w:lang w:eastAsia="lv-LV"/>
              </w:rPr>
              <w:t xml:space="preserve"> Kohēzijas fonda projekts “Priekšnosacījumu izveide labākai bioloģiskās daudzveidības saglabāšanai un ekosistēmu aizsardzībai Latvijā”</w:t>
            </w:r>
            <w:bookmarkEnd w:id="0"/>
          </w:p>
        </w:tc>
        <w:tc>
          <w:tcPr>
            <w:tcW w:w="4008" w:type="dxa"/>
          </w:tcPr>
          <w:p w14:paraId="79D754CA" w14:textId="77777777" w:rsidR="00AF4C40" w:rsidRPr="00A07F29" w:rsidRDefault="00AF4C40" w:rsidP="00AF4C40">
            <w:pPr>
              <w:spacing w:after="0" w:line="240" w:lineRule="auto"/>
              <w:ind w:left="175" w:firstLine="851"/>
              <w:jc w:val="both"/>
              <w:rPr>
                <w:rFonts w:ascii="Times New Roman" w:eastAsia="Times New Roman" w:hAnsi="Times New Roman" w:cs="Times New Roman"/>
                <w:sz w:val="24"/>
                <w:szCs w:val="24"/>
                <w:lang w:eastAsia="lv-LV"/>
              </w:rPr>
            </w:pPr>
            <w:r w:rsidRPr="00A07F29">
              <w:rPr>
                <w:noProof/>
                <w:lang w:eastAsia="lv-LV"/>
              </w:rPr>
              <w:drawing>
                <wp:inline distT="0" distB="0" distL="0" distR="0" wp14:anchorId="232CF56E" wp14:editId="268200CB">
                  <wp:extent cx="785841" cy="708660"/>
                  <wp:effectExtent l="0" t="0" r="0" b="0"/>
                  <wp:docPr id="4" name="Attēls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2"/>
                          <pic:cNvPicPr/>
                        </pic:nvPicPr>
                        <pic:blipFill>
                          <a:blip r:embed="rId16">
                            <a:extLst>
                              <a:ext uri="{28A0092B-C50C-407E-A947-70E740481C1C}">
                                <a14:useLocalDpi xmlns:a14="http://schemas.microsoft.com/office/drawing/2010/main"/>
                              </a:ext>
                            </a:extLst>
                          </a:blip>
                          <a:stretch>
                            <a:fillRect/>
                          </a:stretch>
                        </pic:blipFill>
                        <pic:spPr>
                          <a:xfrm>
                            <a:off x="0" y="0"/>
                            <a:ext cx="785841" cy="708660"/>
                          </a:xfrm>
                          <a:prstGeom prst="rect">
                            <a:avLst/>
                          </a:prstGeom>
                        </pic:spPr>
                      </pic:pic>
                    </a:graphicData>
                  </a:graphic>
                </wp:inline>
              </w:drawing>
            </w:r>
          </w:p>
        </w:tc>
      </w:tr>
    </w:tbl>
    <w:p w14:paraId="33F7DF35" w14:textId="03A4BC3A" w:rsidR="00AF4C40" w:rsidRPr="00A07F29" w:rsidRDefault="00AF4C40" w:rsidP="00A77DB8">
      <w:pPr>
        <w:spacing w:after="80" w:line="240" w:lineRule="auto"/>
        <w:jc w:val="both"/>
        <w:rPr>
          <w:rFonts w:ascii="Times New Roman" w:eastAsia="Calibri" w:hAnsi="Times New Roman" w:cs="Times New Roman"/>
          <w:b/>
          <w:sz w:val="24"/>
          <w:szCs w:val="24"/>
        </w:rPr>
      </w:pPr>
      <w:r w:rsidRPr="00A07F29">
        <w:rPr>
          <w:rFonts w:ascii="Times New Roman" w:eastAsia="Calibri" w:hAnsi="Times New Roman" w:cs="Calibri"/>
          <w:b/>
          <w:sz w:val="24"/>
        </w:rPr>
        <w:br w:type="page"/>
      </w:r>
      <w:r w:rsidRPr="00A07F29">
        <w:rPr>
          <w:rFonts w:ascii="Times New Roman" w:eastAsia="Calibri" w:hAnsi="Times New Roman" w:cs="Times New Roman"/>
          <w:b/>
          <w:sz w:val="24"/>
          <w:szCs w:val="24"/>
        </w:rPr>
        <w:lastRenderedPageBreak/>
        <w:t>Plāna izstrādē iesaistītie eksperti</w:t>
      </w:r>
      <w:r w:rsidR="00116E28" w:rsidRPr="00A07F29">
        <w:rPr>
          <w:rFonts w:ascii="Times New Roman" w:eastAsia="Calibri" w:hAnsi="Times New Roman" w:cs="Times New Roman"/>
          <w:b/>
          <w:sz w:val="24"/>
          <w:szCs w:val="24"/>
        </w:rPr>
        <w:t xml:space="preserve"> un </w:t>
      </w:r>
      <w:r w:rsidRPr="00A07F29">
        <w:rPr>
          <w:rFonts w:ascii="Times New Roman" w:eastAsia="Calibri" w:hAnsi="Times New Roman" w:cs="Times New Roman"/>
          <w:b/>
          <w:sz w:val="24"/>
          <w:szCs w:val="24"/>
        </w:rPr>
        <w:t>speciālisti:</w:t>
      </w:r>
    </w:p>
    <w:p w14:paraId="7A539DBD" w14:textId="4144EE0A" w:rsidR="00A77DB8" w:rsidRPr="00A07F29" w:rsidRDefault="00A77DB8" w:rsidP="00A77DB8">
      <w:pPr>
        <w:spacing w:after="40" w:line="240" w:lineRule="auto"/>
        <w:jc w:val="both"/>
        <w:rPr>
          <w:rFonts w:ascii="Times New Roman" w:eastAsia="Times New Roman" w:hAnsi="Times New Roman" w:cs="Times New Roman"/>
          <w:lang w:eastAsia="lv-LV"/>
        </w:rPr>
      </w:pPr>
      <w:r w:rsidRPr="00A07F29">
        <w:rPr>
          <w:rFonts w:ascii="Times New Roman" w:eastAsia="Times New Roman" w:hAnsi="Times New Roman" w:cs="Times New Roman"/>
          <w:lang w:eastAsia="lv-LV"/>
        </w:rPr>
        <w:t xml:space="preserve">Ieva Akmene (Rūrāne), Dr. biol., </w:t>
      </w:r>
      <w:proofErr w:type="spellStart"/>
      <w:r w:rsidRPr="00A07F29">
        <w:rPr>
          <w:rFonts w:ascii="Times New Roman" w:eastAsia="Times New Roman" w:hAnsi="Times New Roman" w:cs="Times New Roman"/>
          <w:lang w:eastAsia="lv-LV"/>
        </w:rPr>
        <w:t>vaskulāro</w:t>
      </w:r>
      <w:proofErr w:type="spellEnd"/>
      <w:r w:rsidRPr="00A07F29">
        <w:rPr>
          <w:rFonts w:ascii="Times New Roman" w:eastAsia="Times New Roman" w:hAnsi="Times New Roman" w:cs="Times New Roman"/>
          <w:lang w:eastAsia="lv-LV"/>
        </w:rPr>
        <w:t xml:space="preserve"> augu sugu eksperte</w:t>
      </w:r>
    </w:p>
    <w:p w14:paraId="23CF2CEB" w14:textId="43BA967D" w:rsidR="00F30503" w:rsidRPr="00A07F29" w:rsidRDefault="00F30503" w:rsidP="008C4F4E">
      <w:pPr>
        <w:spacing w:after="40" w:line="240" w:lineRule="auto"/>
        <w:jc w:val="both"/>
        <w:rPr>
          <w:rFonts w:ascii="Times New Roman" w:eastAsia="Times New Roman" w:hAnsi="Times New Roman" w:cs="Times New Roman"/>
          <w:lang w:eastAsia="lv-LV"/>
        </w:rPr>
      </w:pPr>
      <w:r w:rsidRPr="00A07F29">
        <w:rPr>
          <w:rFonts w:ascii="Times New Roman" w:eastAsia="Times New Roman" w:hAnsi="Times New Roman" w:cs="Times New Roman"/>
          <w:lang w:eastAsia="lv-LV"/>
        </w:rPr>
        <w:t xml:space="preserve">Jānis </w:t>
      </w:r>
      <w:proofErr w:type="spellStart"/>
      <w:r w:rsidRPr="00A07F29">
        <w:rPr>
          <w:rFonts w:ascii="Times New Roman" w:eastAsia="Times New Roman" w:hAnsi="Times New Roman" w:cs="Times New Roman"/>
          <w:lang w:eastAsia="lv-LV"/>
        </w:rPr>
        <w:t>Birzaks</w:t>
      </w:r>
      <w:proofErr w:type="spellEnd"/>
      <w:r w:rsidRPr="00A07F29">
        <w:rPr>
          <w:rFonts w:ascii="Times New Roman" w:eastAsia="Times New Roman" w:hAnsi="Times New Roman" w:cs="Times New Roman"/>
          <w:lang w:eastAsia="lv-LV"/>
        </w:rPr>
        <w:t xml:space="preserve">, </w:t>
      </w:r>
      <w:r w:rsidR="00FF7A5B" w:rsidRPr="00A07F29">
        <w:rPr>
          <w:rFonts w:ascii="Times New Roman" w:eastAsia="Times New Roman" w:hAnsi="Times New Roman" w:cs="Times New Roman"/>
          <w:lang w:eastAsia="lv-LV"/>
        </w:rPr>
        <w:t xml:space="preserve">Dr. biol., </w:t>
      </w:r>
      <w:r w:rsidR="00A77DB8" w:rsidRPr="00A07F29">
        <w:rPr>
          <w:rFonts w:ascii="Times New Roman" w:eastAsia="Times New Roman" w:hAnsi="Times New Roman" w:cs="Times New Roman"/>
          <w:lang w:eastAsia="lv-LV"/>
        </w:rPr>
        <w:t>zivju sugu eksperts</w:t>
      </w:r>
    </w:p>
    <w:p w14:paraId="6F1A8F02" w14:textId="0E79A6BB" w:rsidR="00F30503" w:rsidRPr="00A07F29" w:rsidRDefault="00F30503" w:rsidP="008C4F4E">
      <w:pPr>
        <w:spacing w:after="40" w:line="240" w:lineRule="auto"/>
        <w:jc w:val="both"/>
        <w:rPr>
          <w:rFonts w:ascii="Times New Roman" w:eastAsia="Times New Roman" w:hAnsi="Times New Roman" w:cs="Times New Roman"/>
          <w:lang w:eastAsia="lv-LV"/>
        </w:rPr>
      </w:pPr>
      <w:r w:rsidRPr="00A07F29">
        <w:rPr>
          <w:rFonts w:ascii="Times New Roman" w:eastAsia="Times New Roman" w:hAnsi="Times New Roman" w:cs="Times New Roman"/>
          <w:lang w:eastAsia="lv-LV"/>
        </w:rPr>
        <w:t xml:space="preserve">Gunta </w:t>
      </w:r>
      <w:proofErr w:type="spellStart"/>
      <w:r w:rsidRPr="00A07F29">
        <w:rPr>
          <w:rFonts w:ascii="Times New Roman" w:eastAsia="Times New Roman" w:hAnsi="Times New Roman" w:cs="Times New Roman"/>
          <w:lang w:eastAsia="lv-LV"/>
        </w:rPr>
        <w:t>Evarte-Bundere</w:t>
      </w:r>
      <w:proofErr w:type="spellEnd"/>
      <w:r w:rsidRPr="00A07F29">
        <w:rPr>
          <w:rFonts w:ascii="Times New Roman" w:eastAsia="Times New Roman" w:hAnsi="Times New Roman" w:cs="Times New Roman"/>
          <w:lang w:eastAsia="lv-LV"/>
        </w:rPr>
        <w:t xml:space="preserve">, </w:t>
      </w:r>
      <w:r w:rsidR="007B3F07" w:rsidRPr="00A07F29">
        <w:rPr>
          <w:rFonts w:ascii="Times New Roman" w:eastAsia="Times New Roman" w:hAnsi="Times New Roman" w:cs="Times New Roman"/>
          <w:lang w:eastAsia="lv-LV"/>
        </w:rPr>
        <w:t xml:space="preserve">Dr. biol., </w:t>
      </w:r>
      <w:proofErr w:type="spellStart"/>
      <w:r w:rsidRPr="00A07F29">
        <w:rPr>
          <w:rFonts w:ascii="Times New Roman" w:eastAsia="Times New Roman" w:hAnsi="Times New Roman" w:cs="Times New Roman"/>
          <w:lang w:eastAsia="lv-LV"/>
        </w:rPr>
        <w:t>vaskulāro</w:t>
      </w:r>
      <w:proofErr w:type="spellEnd"/>
      <w:r w:rsidRPr="00A07F29">
        <w:rPr>
          <w:rFonts w:ascii="Times New Roman" w:eastAsia="Times New Roman" w:hAnsi="Times New Roman" w:cs="Times New Roman"/>
          <w:lang w:eastAsia="lv-LV"/>
        </w:rPr>
        <w:t xml:space="preserve"> augu sugu, zālāju, purvu, m</w:t>
      </w:r>
      <w:r w:rsidR="00A77DB8" w:rsidRPr="00A07F29">
        <w:rPr>
          <w:rFonts w:ascii="Times New Roman" w:eastAsia="Times New Roman" w:hAnsi="Times New Roman" w:cs="Times New Roman"/>
          <w:lang w:eastAsia="lv-LV"/>
        </w:rPr>
        <w:t>ežu un virsāju biotopu eksperte</w:t>
      </w:r>
    </w:p>
    <w:p w14:paraId="68ED2614" w14:textId="57FA007B" w:rsidR="00F30503" w:rsidRPr="00A07F29" w:rsidRDefault="00F30503" w:rsidP="008C4F4E">
      <w:pPr>
        <w:spacing w:after="40" w:line="240" w:lineRule="auto"/>
        <w:jc w:val="both"/>
        <w:rPr>
          <w:rFonts w:ascii="Times New Roman" w:eastAsia="Times New Roman" w:hAnsi="Times New Roman" w:cs="Times New Roman"/>
          <w:lang w:eastAsia="lv-LV"/>
        </w:rPr>
      </w:pPr>
      <w:r w:rsidRPr="00A07F29">
        <w:rPr>
          <w:rFonts w:ascii="Times New Roman" w:eastAsia="Times New Roman" w:hAnsi="Times New Roman" w:cs="Times New Roman"/>
          <w:lang w:eastAsia="lv-LV"/>
        </w:rPr>
        <w:t xml:space="preserve">Pēteris </w:t>
      </w:r>
      <w:proofErr w:type="spellStart"/>
      <w:r w:rsidRPr="00A07F29">
        <w:rPr>
          <w:rFonts w:ascii="Times New Roman" w:eastAsia="Times New Roman" w:hAnsi="Times New Roman" w:cs="Times New Roman"/>
          <w:lang w:eastAsia="lv-LV"/>
        </w:rPr>
        <w:t>Evarts-Bunders</w:t>
      </w:r>
      <w:proofErr w:type="spellEnd"/>
      <w:r w:rsidRPr="00A07F29">
        <w:rPr>
          <w:rFonts w:ascii="Times New Roman" w:eastAsia="Times New Roman" w:hAnsi="Times New Roman" w:cs="Times New Roman"/>
          <w:lang w:eastAsia="lv-LV"/>
        </w:rPr>
        <w:t xml:space="preserve">, </w:t>
      </w:r>
      <w:r w:rsidR="007B3F07" w:rsidRPr="00A07F29">
        <w:rPr>
          <w:rFonts w:ascii="Times New Roman" w:eastAsia="Times New Roman" w:hAnsi="Times New Roman" w:cs="Times New Roman"/>
          <w:lang w:eastAsia="lv-LV"/>
        </w:rPr>
        <w:t xml:space="preserve">Dr. biol., </w:t>
      </w:r>
      <w:proofErr w:type="spellStart"/>
      <w:r w:rsidRPr="00A07F29">
        <w:rPr>
          <w:rFonts w:ascii="Times New Roman" w:eastAsia="Times New Roman" w:hAnsi="Times New Roman" w:cs="Times New Roman"/>
          <w:lang w:eastAsia="lv-LV"/>
        </w:rPr>
        <w:t>vaskulāro</w:t>
      </w:r>
      <w:proofErr w:type="spellEnd"/>
      <w:r w:rsidRPr="00A07F29">
        <w:rPr>
          <w:rFonts w:ascii="Times New Roman" w:eastAsia="Times New Roman" w:hAnsi="Times New Roman" w:cs="Times New Roman"/>
          <w:lang w:eastAsia="lv-LV"/>
        </w:rPr>
        <w:t xml:space="preserve"> augu sugu, zālāju, purvu, m</w:t>
      </w:r>
      <w:r w:rsidR="00A77DB8" w:rsidRPr="00A07F29">
        <w:rPr>
          <w:rFonts w:ascii="Times New Roman" w:eastAsia="Times New Roman" w:hAnsi="Times New Roman" w:cs="Times New Roman"/>
          <w:lang w:eastAsia="lv-LV"/>
        </w:rPr>
        <w:t>ežu un virsāju biotopu eksperts</w:t>
      </w:r>
    </w:p>
    <w:p w14:paraId="34B0EF86" w14:textId="5BB47374" w:rsidR="00AF4C40" w:rsidRPr="00A07F29" w:rsidRDefault="00AF4C40" w:rsidP="008C4F4E">
      <w:pPr>
        <w:spacing w:after="40" w:line="240" w:lineRule="auto"/>
        <w:jc w:val="both"/>
        <w:rPr>
          <w:rFonts w:ascii="Times New Roman" w:eastAsia="Times New Roman" w:hAnsi="Times New Roman" w:cs="Times New Roman"/>
          <w:lang w:eastAsia="lv-LV"/>
        </w:rPr>
      </w:pPr>
      <w:r w:rsidRPr="00A07F29">
        <w:rPr>
          <w:rFonts w:ascii="Times New Roman" w:eastAsia="Times New Roman" w:hAnsi="Times New Roman" w:cs="Times New Roman"/>
          <w:lang w:eastAsia="lv-LV"/>
        </w:rPr>
        <w:t xml:space="preserve">Gaidis </w:t>
      </w:r>
      <w:proofErr w:type="spellStart"/>
      <w:r w:rsidRPr="00A07F29">
        <w:rPr>
          <w:rFonts w:ascii="Times New Roman" w:eastAsia="Times New Roman" w:hAnsi="Times New Roman" w:cs="Times New Roman"/>
          <w:lang w:eastAsia="lv-LV"/>
        </w:rPr>
        <w:t>Grandāns</w:t>
      </w:r>
      <w:proofErr w:type="spellEnd"/>
      <w:r w:rsidRPr="00A07F29">
        <w:rPr>
          <w:rFonts w:ascii="Times New Roman" w:eastAsia="Times New Roman" w:hAnsi="Times New Roman" w:cs="Times New Roman"/>
          <w:lang w:eastAsia="lv-LV"/>
        </w:rPr>
        <w:t xml:space="preserve">, </w:t>
      </w:r>
      <w:r w:rsidR="007B3F07" w:rsidRPr="00A07F29">
        <w:rPr>
          <w:rFonts w:ascii="Times New Roman" w:eastAsia="Times New Roman" w:hAnsi="Times New Roman" w:cs="Times New Roman"/>
          <w:lang w:eastAsia="lv-LV"/>
        </w:rPr>
        <w:t xml:space="preserve">Mg. sc., </w:t>
      </w:r>
      <w:r w:rsidR="00A77DB8" w:rsidRPr="00A07F29">
        <w:rPr>
          <w:rFonts w:ascii="Times New Roman" w:eastAsia="Times New Roman" w:hAnsi="Times New Roman" w:cs="Times New Roman"/>
          <w:lang w:eastAsia="lv-LV"/>
        </w:rPr>
        <w:t>putnu sugu eksperts</w:t>
      </w:r>
    </w:p>
    <w:p w14:paraId="641FA1F6" w14:textId="748ED808" w:rsidR="00876B9C" w:rsidRPr="00A07F29" w:rsidRDefault="00876B9C" w:rsidP="008C4F4E">
      <w:pPr>
        <w:spacing w:after="40" w:line="240" w:lineRule="auto"/>
        <w:jc w:val="both"/>
        <w:rPr>
          <w:rFonts w:ascii="Times New Roman" w:eastAsia="Times New Roman" w:hAnsi="Times New Roman" w:cs="Times New Roman"/>
          <w:lang w:eastAsia="lv-LV"/>
        </w:rPr>
      </w:pPr>
      <w:r w:rsidRPr="00A07F29">
        <w:rPr>
          <w:rFonts w:ascii="Times New Roman" w:eastAsia="Times New Roman" w:hAnsi="Times New Roman" w:cs="Times New Roman"/>
          <w:lang w:eastAsia="lv-LV"/>
        </w:rPr>
        <w:t xml:space="preserve">Vita Jumtiņa, </w:t>
      </w:r>
      <w:r w:rsidR="007B3F07" w:rsidRPr="00A07F29">
        <w:rPr>
          <w:rFonts w:ascii="Times New Roman" w:eastAsia="Times New Roman" w:hAnsi="Times New Roman" w:cs="Times New Roman"/>
          <w:lang w:eastAsia="lv-LV"/>
        </w:rPr>
        <w:t xml:space="preserve">Mg. sc., </w:t>
      </w:r>
      <w:r w:rsidR="00A77DB8" w:rsidRPr="00A07F29">
        <w:rPr>
          <w:rFonts w:ascii="Times New Roman" w:eastAsia="Times New Roman" w:hAnsi="Times New Roman" w:cs="Times New Roman"/>
          <w:lang w:eastAsia="lv-LV"/>
        </w:rPr>
        <w:t>ainavu eksperte</w:t>
      </w:r>
    </w:p>
    <w:p w14:paraId="36E8D5DE" w14:textId="749B5F6F" w:rsidR="00F30503" w:rsidRPr="00A07F29" w:rsidRDefault="00F30503" w:rsidP="008C4F4E">
      <w:pPr>
        <w:spacing w:after="40" w:line="240" w:lineRule="auto"/>
        <w:jc w:val="both"/>
        <w:rPr>
          <w:rFonts w:ascii="Times New Roman" w:eastAsia="Times New Roman" w:hAnsi="Times New Roman" w:cs="Times New Roman"/>
          <w:lang w:eastAsia="lv-LV"/>
        </w:rPr>
      </w:pPr>
      <w:r w:rsidRPr="00A07F29">
        <w:rPr>
          <w:rFonts w:ascii="Times New Roman" w:eastAsia="Times New Roman" w:hAnsi="Times New Roman" w:cs="Times New Roman"/>
          <w:lang w:eastAsia="lv-LV"/>
        </w:rPr>
        <w:t xml:space="preserve">Vita Līcīte, </w:t>
      </w:r>
      <w:r w:rsidR="00A77DB8" w:rsidRPr="00A07F29">
        <w:rPr>
          <w:rFonts w:ascii="Times New Roman" w:eastAsia="Times New Roman" w:hAnsi="Times New Roman" w:cs="Times New Roman"/>
          <w:lang w:eastAsia="lv-LV"/>
        </w:rPr>
        <w:t xml:space="preserve">Mg. sc., </w:t>
      </w:r>
      <w:r w:rsidRPr="00A07F29">
        <w:rPr>
          <w:rFonts w:ascii="Times New Roman" w:eastAsia="Times New Roman" w:hAnsi="Times New Roman" w:cs="Times New Roman"/>
          <w:lang w:eastAsia="lv-LV"/>
        </w:rPr>
        <w:t>stāvošu saldūdeņu biotopu eksperte (</w:t>
      </w:r>
      <w:proofErr w:type="spellStart"/>
      <w:r w:rsidRPr="00A07F29">
        <w:rPr>
          <w:rFonts w:ascii="Times New Roman" w:eastAsia="Times New Roman" w:hAnsi="Times New Roman" w:cs="Times New Roman"/>
          <w:lang w:eastAsia="lv-LV"/>
        </w:rPr>
        <w:t>Varnaviču</w:t>
      </w:r>
      <w:proofErr w:type="spellEnd"/>
      <w:r w:rsidRPr="00A07F29">
        <w:rPr>
          <w:rFonts w:ascii="Times New Roman" w:eastAsia="Times New Roman" w:hAnsi="Times New Roman" w:cs="Times New Roman"/>
          <w:lang w:eastAsia="lv-LV"/>
        </w:rPr>
        <w:t xml:space="preserve"> ezers, </w:t>
      </w:r>
      <w:proofErr w:type="spellStart"/>
      <w:r w:rsidRPr="00A07F29">
        <w:rPr>
          <w:rFonts w:ascii="Times New Roman" w:eastAsia="Times New Roman" w:hAnsi="Times New Roman" w:cs="Times New Roman"/>
          <w:lang w:eastAsia="lv-LV"/>
        </w:rPr>
        <w:t>Šilovkas</w:t>
      </w:r>
      <w:proofErr w:type="spellEnd"/>
      <w:r w:rsidRPr="00A07F29">
        <w:rPr>
          <w:rFonts w:ascii="Times New Roman" w:eastAsia="Times New Roman" w:hAnsi="Times New Roman" w:cs="Times New Roman"/>
          <w:lang w:eastAsia="lv-LV"/>
        </w:rPr>
        <w:t xml:space="preserve"> ezers,</w:t>
      </w:r>
      <w:r w:rsidR="00A77DB8" w:rsidRPr="00A07F29">
        <w:rPr>
          <w:rFonts w:ascii="Times New Roman" w:eastAsia="Times New Roman" w:hAnsi="Times New Roman" w:cs="Times New Roman"/>
          <w:lang w:eastAsia="lv-LV"/>
        </w:rPr>
        <w:t xml:space="preserve"> </w:t>
      </w:r>
      <w:proofErr w:type="spellStart"/>
      <w:r w:rsidR="00A77DB8" w:rsidRPr="00A07F29">
        <w:rPr>
          <w:rFonts w:ascii="Times New Roman" w:eastAsia="Times New Roman" w:hAnsi="Times New Roman" w:cs="Times New Roman"/>
          <w:lang w:eastAsia="lv-LV"/>
        </w:rPr>
        <w:t>Balticas</w:t>
      </w:r>
      <w:proofErr w:type="spellEnd"/>
      <w:r w:rsidR="00A77DB8" w:rsidRPr="00A07F29">
        <w:rPr>
          <w:rFonts w:ascii="Times New Roman" w:eastAsia="Times New Roman" w:hAnsi="Times New Roman" w:cs="Times New Roman"/>
          <w:lang w:eastAsia="lv-LV"/>
        </w:rPr>
        <w:t xml:space="preserve"> ezers, </w:t>
      </w:r>
      <w:proofErr w:type="spellStart"/>
      <w:r w:rsidR="00A77DB8" w:rsidRPr="00A07F29">
        <w:rPr>
          <w:rFonts w:ascii="Times New Roman" w:eastAsia="Times New Roman" w:hAnsi="Times New Roman" w:cs="Times New Roman"/>
          <w:lang w:eastAsia="lv-LV"/>
        </w:rPr>
        <w:t>Butišku</w:t>
      </w:r>
      <w:proofErr w:type="spellEnd"/>
      <w:r w:rsidR="00A77DB8" w:rsidRPr="00A07F29">
        <w:rPr>
          <w:rFonts w:ascii="Times New Roman" w:eastAsia="Times New Roman" w:hAnsi="Times New Roman" w:cs="Times New Roman"/>
          <w:lang w:eastAsia="lv-LV"/>
        </w:rPr>
        <w:t xml:space="preserve"> ezers)</w:t>
      </w:r>
    </w:p>
    <w:p w14:paraId="39C1BFCF" w14:textId="453D0C28" w:rsidR="00876B9C" w:rsidRPr="00A07F29" w:rsidRDefault="00876B9C" w:rsidP="008C4F4E">
      <w:pPr>
        <w:spacing w:after="40" w:line="240" w:lineRule="auto"/>
        <w:jc w:val="both"/>
        <w:rPr>
          <w:rFonts w:ascii="Times New Roman" w:eastAsia="Times New Roman" w:hAnsi="Times New Roman" w:cs="Times New Roman"/>
          <w:lang w:eastAsia="lv-LV"/>
        </w:rPr>
      </w:pPr>
      <w:r w:rsidRPr="00A07F29">
        <w:rPr>
          <w:rFonts w:ascii="Times New Roman" w:eastAsia="Times New Roman" w:hAnsi="Times New Roman" w:cs="Times New Roman"/>
          <w:lang w:eastAsia="lv-LV"/>
        </w:rPr>
        <w:t xml:space="preserve">Aivars </w:t>
      </w:r>
      <w:proofErr w:type="spellStart"/>
      <w:r w:rsidRPr="00A07F29">
        <w:rPr>
          <w:rFonts w:ascii="Times New Roman" w:eastAsia="Times New Roman" w:hAnsi="Times New Roman" w:cs="Times New Roman"/>
          <w:lang w:eastAsia="lv-LV"/>
        </w:rPr>
        <w:t>Markots</w:t>
      </w:r>
      <w:proofErr w:type="spellEnd"/>
      <w:r w:rsidRPr="00A07F29">
        <w:rPr>
          <w:rFonts w:ascii="Times New Roman" w:eastAsia="Times New Roman" w:hAnsi="Times New Roman" w:cs="Times New Roman"/>
          <w:lang w:eastAsia="lv-LV"/>
        </w:rPr>
        <w:t xml:space="preserve">, </w:t>
      </w:r>
      <w:r w:rsidR="007B3F07" w:rsidRPr="00A07F29">
        <w:rPr>
          <w:rFonts w:ascii="Times New Roman" w:eastAsia="Times New Roman" w:hAnsi="Times New Roman" w:cs="Times New Roman"/>
          <w:lang w:eastAsia="lv-LV"/>
        </w:rPr>
        <w:t>Dr.</w:t>
      </w:r>
      <w:r w:rsidR="00A77DB8" w:rsidRPr="00A07F29">
        <w:rPr>
          <w:rFonts w:ascii="Times New Roman" w:eastAsia="Times New Roman" w:hAnsi="Times New Roman" w:cs="Times New Roman"/>
          <w:lang w:eastAsia="lv-LV"/>
        </w:rPr>
        <w:t xml:space="preserve"> </w:t>
      </w:r>
      <w:r w:rsidR="007B3F07" w:rsidRPr="00A07F29">
        <w:rPr>
          <w:rFonts w:ascii="Times New Roman" w:eastAsia="Times New Roman" w:hAnsi="Times New Roman" w:cs="Times New Roman"/>
          <w:lang w:eastAsia="lv-LV"/>
        </w:rPr>
        <w:t xml:space="preserve">geol., </w:t>
      </w:r>
      <w:r w:rsidR="00A77DB8" w:rsidRPr="00A07F29">
        <w:rPr>
          <w:rFonts w:ascii="Times New Roman" w:eastAsia="Times New Roman" w:hAnsi="Times New Roman" w:cs="Times New Roman"/>
          <w:lang w:eastAsia="lv-LV"/>
        </w:rPr>
        <w:t>kartogrāfs</w:t>
      </w:r>
    </w:p>
    <w:p w14:paraId="3D822DE8" w14:textId="54537D51" w:rsidR="00F30503" w:rsidRPr="00A07F29" w:rsidRDefault="00F30503" w:rsidP="008C4F4E">
      <w:pPr>
        <w:spacing w:after="40" w:line="240" w:lineRule="auto"/>
        <w:jc w:val="both"/>
        <w:rPr>
          <w:rFonts w:ascii="Times New Roman" w:eastAsia="Times New Roman" w:hAnsi="Times New Roman" w:cs="Times New Roman"/>
          <w:lang w:eastAsia="lv-LV"/>
        </w:rPr>
      </w:pPr>
      <w:r w:rsidRPr="00A07F29">
        <w:rPr>
          <w:rFonts w:ascii="Times New Roman" w:eastAsia="Times New Roman" w:hAnsi="Times New Roman" w:cs="Times New Roman"/>
          <w:lang w:eastAsia="lv-LV"/>
        </w:rPr>
        <w:t xml:space="preserve">Rolands </w:t>
      </w:r>
      <w:proofErr w:type="spellStart"/>
      <w:r w:rsidRPr="00A07F29">
        <w:rPr>
          <w:rFonts w:ascii="Times New Roman" w:eastAsia="Times New Roman" w:hAnsi="Times New Roman" w:cs="Times New Roman"/>
          <w:lang w:eastAsia="lv-LV"/>
        </w:rPr>
        <w:t>Moisejevs</w:t>
      </w:r>
      <w:proofErr w:type="spellEnd"/>
      <w:r w:rsidRPr="00A07F29">
        <w:rPr>
          <w:rFonts w:ascii="Times New Roman" w:eastAsia="Times New Roman" w:hAnsi="Times New Roman" w:cs="Times New Roman"/>
          <w:lang w:eastAsia="lv-LV"/>
        </w:rPr>
        <w:t xml:space="preserve">, </w:t>
      </w:r>
      <w:r w:rsidR="007B3F07" w:rsidRPr="00A07F29">
        <w:rPr>
          <w:rFonts w:ascii="Times New Roman" w:eastAsia="Times New Roman" w:hAnsi="Times New Roman" w:cs="Times New Roman"/>
          <w:lang w:eastAsia="lv-LV"/>
        </w:rPr>
        <w:t xml:space="preserve">Dr. biol., </w:t>
      </w:r>
      <w:r w:rsidR="00A77DB8" w:rsidRPr="00A07F29">
        <w:rPr>
          <w:rFonts w:ascii="Times New Roman" w:eastAsia="Times New Roman" w:hAnsi="Times New Roman" w:cs="Times New Roman"/>
          <w:lang w:eastAsia="lv-LV"/>
        </w:rPr>
        <w:t>ķērpju sugu eksperts</w:t>
      </w:r>
    </w:p>
    <w:p w14:paraId="0A9F368B" w14:textId="230DD3F2" w:rsidR="00876B9C" w:rsidRPr="00A07F29" w:rsidRDefault="00876B9C" w:rsidP="008C4F4E">
      <w:pPr>
        <w:spacing w:after="40" w:line="240" w:lineRule="auto"/>
        <w:jc w:val="both"/>
        <w:rPr>
          <w:rFonts w:ascii="Times New Roman" w:eastAsia="Times New Roman" w:hAnsi="Times New Roman" w:cs="Times New Roman"/>
          <w:lang w:eastAsia="lv-LV"/>
        </w:rPr>
      </w:pPr>
      <w:r w:rsidRPr="00A07F29">
        <w:rPr>
          <w:rFonts w:ascii="Times New Roman" w:eastAsia="Times New Roman" w:hAnsi="Times New Roman" w:cs="Times New Roman"/>
          <w:lang w:eastAsia="lv-LV"/>
        </w:rPr>
        <w:t xml:space="preserve">Ivo </w:t>
      </w:r>
      <w:proofErr w:type="spellStart"/>
      <w:r w:rsidRPr="00A07F29">
        <w:rPr>
          <w:rFonts w:ascii="Times New Roman" w:eastAsia="Times New Roman" w:hAnsi="Times New Roman" w:cs="Times New Roman"/>
          <w:lang w:eastAsia="lv-LV"/>
        </w:rPr>
        <w:t>Narbuts</w:t>
      </w:r>
      <w:proofErr w:type="spellEnd"/>
      <w:r w:rsidRPr="00A07F29">
        <w:rPr>
          <w:rFonts w:ascii="Times New Roman" w:eastAsia="Times New Roman" w:hAnsi="Times New Roman" w:cs="Times New Roman"/>
          <w:lang w:eastAsia="lv-LV"/>
        </w:rPr>
        <w:t xml:space="preserve">, </w:t>
      </w:r>
      <w:r w:rsidR="00A77DB8" w:rsidRPr="00A07F29">
        <w:rPr>
          <w:rFonts w:ascii="Times New Roman" w:eastAsia="Times New Roman" w:hAnsi="Times New Roman" w:cs="Times New Roman"/>
          <w:lang w:eastAsia="lv-LV"/>
        </w:rPr>
        <w:t>Mg. sc., ainavu eksperts</w:t>
      </w:r>
    </w:p>
    <w:p w14:paraId="768CA6A3" w14:textId="6F47C7B5" w:rsidR="00876B9C" w:rsidRPr="00A07F29" w:rsidRDefault="00876B9C" w:rsidP="008C4F4E">
      <w:pPr>
        <w:spacing w:after="40" w:line="240" w:lineRule="auto"/>
        <w:jc w:val="both"/>
        <w:rPr>
          <w:rFonts w:ascii="Times New Roman" w:eastAsia="Times New Roman" w:hAnsi="Times New Roman" w:cs="Times New Roman"/>
          <w:lang w:eastAsia="lv-LV"/>
        </w:rPr>
      </w:pPr>
      <w:r w:rsidRPr="00A07F29">
        <w:rPr>
          <w:rFonts w:ascii="Times New Roman" w:eastAsia="Times New Roman" w:hAnsi="Times New Roman" w:cs="Times New Roman"/>
          <w:lang w:eastAsia="lv-LV"/>
        </w:rPr>
        <w:t xml:space="preserve">Māris </w:t>
      </w:r>
      <w:proofErr w:type="spellStart"/>
      <w:r w:rsidRPr="00A07F29">
        <w:rPr>
          <w:rFonts w:ascii="Times New Roman" w:eastAsia="Times New Roman" w:hAnsi="Times New Roman" w:cs="Times New Roman"/>
          <w:lang w:eastAsia="lv-LV"/>
        </w:rPr>
        <w:t>Nitcis</w:t>
      </w:r>
      <w:proofErr w:type="spellEnd"/>
      <w:r w:rsidRPr="00A07F29">
        <w:rPr>
          <w:rFonts w:ascii="Times New Roman" w:eastAsia="Times New Roman" w:hAnsi="Times New Roman" w:cs="Times New Roman"/>
          <w:lang w:eastAsia="lv-LV"/>
        </w:rPr>
        <w:t xml:space="preserve">, </w:t>
      </w:r>
      <w:r w:rsidR="00A77DB8" w:rsidRPr="00A07F29">
        <w:rPr>
          <w:rFonts w:ascii="Times New Roman" w:eastAsia="Times New Roman" w:hAnsi="Times New Roman" w:cs="Times New Roman"/>
          <w:lang w:eastAsia="lv-LV"/>
        </w:rPr>
        <w:t>Mg. sc., kartogrāfs</w:t>
      </w:r>
    </w:p>
    <w:p w14:paraId="61381D12" w14:textId="3790FB3C" w:rsidR="00F30503" w:rsidRPr="00A07F29" w:rsidRDefault="00F30503" w:rsidP="008C4F4E">
      <w:pPr>
        <w:spacing w:after="40" w:line="240" w:lineRule="auto"/>
        <w:jc w:val="both"/>
        <w:rPr>
          <w:rFonts w:ascii="Times New Roman" w:eastAsia="Times New Roman" w:hAnsi="Times New Roman" w:cs="Times New Roman"/>
          <w:lang w:eastAsia="lv-LV"/>
        </w:rPr>
      </w:pPr>
      <w:r w:rsidRPr="00A07F29">
        <w:rPr>
          <w:rFonts w:ascii="Times New Roman" w:eastAsia="Times New Roman" w:hAnsi="Times New Roman" w:cs="Times New Roman"/>
          <w:lang w:eastAsia="lv-LV"/>
        </w:rPr>
        <w:t xml:space="preserve">Gunārs Pētersons, </w:t>
      </w:r>
      <w:r w:rsidR="007B3F07" w:rsidRPr="00A07F29">
        <w:rPr>
          <w:rFonts w:ascii="Times New Roman" w:eastAsia="Times New Roman" w:hAnsi="Times New Roman" w:cs="Times New Roman"/>
          <w:lang w:eastAsia="lv-LV"/>
        </w:rPr>
        <w:t xml:space="preserve">Dr. biol., </w:t>
      </w:r>
      <w:r w:rsidRPr="00A07F29">
        <w:rPr>
          <w:rFonts w:ascii="Times New Roman" w:eastAsia="Times New Roman" w:hAnsi="Times New Roman" w:cs="Times New Roman"/>
          <w:lang w:eastAsia="lv-LV"/>
        </w:rPr>
        <w:t>z</w:t>
      </w:r>
      <w:r w:rsidR="00A77DB8" w:rsidRPr="00A07F29">
        <w:rPr>
          <w:rFonts w:ascii="Times New Roman" w:eastAsia="Times New Roman" w:hAnsi="Times New Roman" w:cs="Times New Roman"/>
          <w:lang w:eastAsia="lv-LV"/>
        </w:rPr>
        <w:t>īdītāju sugu eksperts</w:t>
      </w:r>
    </w:p>
    <w:p w14:paraId="19C54A19" w14:textId="135EBD1B" w:rsidR="00F30503" w:rsidRPr="00A07F29" w:rsidRDefault="00F30503" w:rsidP="008C4F4E">
      <w:pPr>
        <w:spacing w:after="40" w:line="240" w:lineRule="auto"/>
        <w:jc w:val="both"/>
        <w:rPr>
          <w:rFonts w:ascii="Times New Roman" w:eastAsia="Times New Roman" w:hAnsi="Times New Roman" w:cs="Times New Roman"/>
          <w:lang w:eastAsia="lv-LV"/>
        </w:rPr>
      </w:pPr>
      <w:r w:rsidRPr="00A07F29">
        <w:rPr>
          <w:rFonts w:ascii="Times New Roman" w:eastAsia="Times New Roman" w:hAnsi="Times New Roman" w:cs="Times New Roman"/>
          <w:lang w:eastAsia="lv-LV"/>
        </w:rPr>
        <w:t xml:space="preserve">Digna </w:t>
      </w:r>
      <w:proofErr w:type="spellStart"/>
      <w:r w:rsidRPr="00A07F29">
        <w:rPr>
          <w:rFonts w:ascii="Times New Roman" w:eastAsia="Times New Roman" w:hAnsi="Times New Roman" w:cs="Times New Roman"/>
          <w:lang w:eastAsia="lv-LV"/>
        </w:rPr>
        <w:t>Pilāte</w:t>
      </w:r>
      <w:proofErr w:type="spellEnd"/>
      <w:r w:rsidRPr="00A07F29">
        <w:rPr>
          <w:rFonts w:ascii="Times New Roman" w:eastAsia="Times New Roman" w:hAnsi="Times New Roman" w:cs="Times New Roman"/>
          <w:lang w:eastAsia="lv-LV"/>
        </w:rPr>
        <w:t xml:space="preserve">, </w:t>
      </w:r>
      <w:r w:rsidR="007B3F07" w:rsidRPr="00A07F29">
        <w:rPr>
          <w:rFonts w:ascii="Times New Roman" w:eastAsia="Times New Roman" w:hAnsi="Times New Roman" w:cs="Times New Roman"/>
          <w:lang w:eastAsia="lv-LV"/>
        </w:rPr>
        <w:t xml:space="preserve">Dr. biol., </w:t>
      </w:r>
      <w:r w:rsidR="00A77DB8" w:rsidRPr="00A07F29">
        <w:rPr>
          <w:rFonts w:ascii="Times New Roman" w:eastAsia="Times New Roman" w:hAnsi="Times New Roman" w:cs="Times New Roman"/>
          <w:lang w:eastAsia="lv-LV"/>
        </w:rPr>
        <w:t>gliemju sugu eksperte</w:t>
      </w:r>
    </w:p>
    <w:p w14:paraId="273D5A59" w14:textId="3F93DE41" w:rsidR="00AF4C40" w:rsidRPr="00A07F29" w:rsidRDefault="00AF4C40" w:rsidP="008C4F4E">
      <w:pPr>
        <w:spacing w:after="40" w:line="240" w:lineRule="auto"/>
        <w:jc w:val="both"/>
        <w:rPr>
          <w:rFonts w:ascii="Times New Roman" w:eastAsia="Times New Roman" w:hAnsi="Times New Roman" w:cs="Times New Roman"/>
          <w:lang w:eastAsia="lv-LV"/>
        </w:rPr>
      </w:pPr>
      <w:r w:rsidRPr="00A07F29">
        <w:rPr>
          <w:rFonts w:ascii="Times New Roman" w:eastAsia="Times New Roman" w:hAnsi="Times New Roman" w:cs="Times New Roman"/>
          <w:lang w:eastAsia="lv-LV"/>
        </w:rPr>
        <w:t xml:space="preserve">Mihails Pupiņš, </w:t>
      </w:r>
      <w:r w:rsidR="007B3F07" w:rsidRPr="00A07F29">
        <w:rPr>
          <w:rFonts w:ascii="Times New Roman" w:eastAsia="Times New Roman" w:hAnsi="Times New Roman" w:cs="Times New Roman"/>
          <w:lang w:eastAsia="lv-LV"/>
        </w:rPr>
        <w:t xml:space="preserve">Dr. biol., </w:t>
      </w:r>
      <w:r w:rsidRPr="00A07F29">
        <w:rPr>
          <w:rFonts w:ascii="Times New Roman" w:eastAsia="Times New Roman" w:hAnsi="Times New Roman" w:cs="Times New Roman"/>
          <w:lang w:eastAsia="lv-LV"/>
        </w:rPr>
        <w:t>a</w:t>
      </w:r>
      <w:r w:rsidR="00A77DB8" w:rsidRPr="00A07F29">
        <w:rPr>
          <w:rFonts w:ascii="Times New Roman" w:eastAsia="Times New Roman" w:hAnsi="Times New Roman" w:cs="Times New Roman"/>
          <w:lang w:eastAsia="lv-LV"/>
        </w:rPr>
        <w:t>binieku un rāpuļu sugu eksperts</w:t>
      </w:r>
    </w:p>
    <w:p w14:paraId="0465BB0A" w14:textId="0984CF3B" w:rsidR="00876B9C" w:rsidRPr="00A07F29" w:rsidRDefault="00876B9C" w:rsidP="008C4F4E">
      <w:pPr>
        <w:spacing w:after="40" w:line="240" w:lineRule="auto"/>
        <w:jc w:val="both"/>
        <w:rPr>
          <w:rFonts w:ascii="Times New Roman" w:eastAsia="Times New Roman" w:hAnsi="Times New Roman" w:cs="Times New Roman"/>
          <w:lang w:eastAsia="lv-LV"/>
        </w:rPr>
      </w:pPr>
      <w:r w:rsidRPr="00A07F29">
        <w:rPr>
          <w:rFonts w:ascii="Times New Roman" w:eastAsia="Times New Roman" w:hAnsi="Times New Roman" w:cs="Times New Roman"/>
          <w:lang w:eastAsia="lv-LV"/>
        </w:rPr>
        <w:t xml:space="preserve">Katrīna Seržante, </w:t>
      </w:r>
      <w:r w:rsidR="00A77DB8" w:rsidRPr="00A07F29">
        <w:rPr>
          <w:rFonts w:ascii="Times New Roman" w:eastAsia="Times New Roman" w:hAnsi="Times New Roman" w:cs="Times New Roman"/>
          <w:lang w:eastAsia="lv-LV"/>
        </w:rPr>
        <w:t>Mg. sc., tūrisma vadības speciāliste</w:t>
      </w:r>
    </w:p>
    <w:p w14:paraId="39C96A71" w14:textId="77777777" w:rsidR="00A77DB8" w:rsidRPr="00A07F29" w:rsidRDefault="00A77DB8" w:rsidP="008C4F4E">
      <w:pPr>
        <w:spacing w:after="40" w:line="240" w:lineRule="auto"/>
        <w:jc w:val="both"/>
        <w:rPr>
          <w:rFonts w:ascii="Times New Roman" w:eastAsia="Times New Roman" w:hAnsi="Times New Roman" w:cs="Times New Roman"/>
          <w:lang w:eastAsia="lv-LV"/>
        </w:rPr>
      </w:pPr>
      <w:r w:rsidRPr="00A07F29">
        <w:rPr>
          <w:rFonts w:ascii="Times New Roman" w:eastAsia="Times New Roman" w:hAnsi="Times New Roman" w:cs="Times New Roman"/>
          <w:lang w:eastAsia="lv-LV"/>
        </w:rPr>
        <w:t xml:space="preserve">Juris Soms, Dr. geol., Daugavas ielejas </w:t>
      </w:r>
      <w:proofErr w:type="spellStart"/>
      <w:r w:rsidRPr="00A07F29">
        <w:rPr>
          <w:rFonts w:ascii="Times New Roman" w:eastAsia="Times New Roman" w:hAnsi="Times New Roman" w:cs="Times New Roman"/>
          <w:lang w:eastAsia="lv-LV"/>
        </w:rPr>
        <w:t>ģeomorfoloģija</w:t>
      </w:r>
      <w:proofErr w:type="spellEnd"/>
      <w:r w:rsidRPr="00A07F29">
        <w:rPr>
          <w:rFonts w:ascii="Times New Roman" w:eastAsia="Times New Roman" w:hAnsi="Times New Roman" w:cs="Times New Roman"/>
          <w:lang w:eastAsia="lv-LV"/>
        </w:rPr>
        <w:t>, hidroloģija</w:t>
      </w:r>
    </w:p>
    <w:p w14:paraId="4675F825" w14:textId="3700B895" w:rsidR="00F30503" w:rsidRPr="00A07F29" w:rsidRDefault="00F30503" w:rsidP="008C4F4E">
      <w:pPr>
        <w:spacing w:after="40" w:line="240" w:lineRule="auto"/>
        <w:jc w:val="both"/>
        <w:rPr>
          <w:rFonts w:ascii="Times New Roman" w:eastAsia="Times New Roman" w:hAnsi="Times New Roman" w:cs="Times New Roman"/>
          <w:lang w:eastAsia="lv-LV"/>
        </w:rPr>
      </w:pPr>
      <w:r w:rsidRPr="00A07F29">
        <w:rPr>
          <w:rFonts w:ascii="Times New Roman" w:eastAsia="Times New Roman" w:hAnsi="Times New Roman" w:cs="Times New Roman"/>
          <w:lang w:eastAsia="lv-LV"/>
        </w:rPr>
        <w:t xml:space="preserve">Uvis </w:t>
      </w:r>
      <w:proofErr w:type="spellStart"/>
      <w:r w:rsidRPr="00A07F29">
        <w:rPr>
          <w:rFonts w:ascii="Times New Roman" w:eastAsia="Times New Roman" w:hAnsi="Times New Roman" w:cs="Times New Roman"/>
          <w:lang w:eastAsia="lv-LV"/>
        </w:rPr>
        <w:t>Suško</w:t>
      </w:r>
      <w:proofErr w:type="spellEnd"/>
      <w:r w:rsidRPr="00A07F29">
        <w:rPr>
          <w:rFonts w:ascii="Times New Roman" w:eastAsia="Times New Roman" w:hAnsi="Times New Roman" w:cs="Times New Roman"/>
          <w:lang w:eastAsia="lv-LV"/>
        </w:rPr>
        <w:t xml:space="preserve">, </w:t>
      </w:r>
      <w:r w:rsidR="00A77DB8" w:rsidRPr="00A07F29">
        <w:rPr>
          <w:rFonts w:ascii="Times New Roman" w:eastAsia="Times New Roman" w:hAnsi="Times New Roman" w:cs="Times New Roman"/>
          <w:lang w:eastAsia="lv-LV"/>
        </w:rPr>
        <w:t xml:space="preserve">Mg. sc., </w:t>
      </w:r>
      <w:r w:rsidRPr="00A07F29">
        <w:rPr>
          <w:rFonts w:ascii="Times New Roman" w:eastAsia="Times New Roman" w:hAnsi="Times New Roman" w:cs="Times New Roman"/>
          <w:lang w:eastAsia="lv-LV"/>
        </w:rPr>
        <w:t xml:space="preserve">stāvošu </w:t>
      </w:r>
      <w:r w:rsidR="002E7868" w:rsidRPr="00A07F29">
        <w:rPr>
          <w:rFonts w:ascii="Times New Roman" w:eastAsia="Times New Roman" w:hAnsi="Times New Roman" w:cs="Times New Roman"/>
          <w:lang w:eastAsia="lv-LV"/>
        </w:rPr>
        <w:t xml:space="preserve">un tekošu </w:t>
      </w:r>
      <w:r w:rsidRPr="00A07F29">
        <w:rPr>
          <w:rFonts w:ascii="Times New Roman" w:eastAsia="Times New Roman" w:hAnsi="Times New Roman" w:cs="Times New Roman"/>
          <w:lang w:eastAsia="lv-LV"/>
        </w:rPr>
        <w:t>saldūdeņu biotopu eksperts</w:t>
      </w:r>
    </w:p>
    <w:p w14:paraId="4F9A9282" w14:textId="439F9728" w:rsidR="00F30503" w:rsidRPr="00A07F29" w:rsidRDefault="00F30503" w:rsidP="008C4F4E">
      <w:pPr>
        <w:spacing w:after="40" w:line="240" w:lineRule="auto"/>
        <w:jc w:val="both"/>
        <w:rPr>
          <w:rFonts w:ascii="Times New Roman" w:eastAsia="Times New Roman" w:hAnsi="Times New Roman" w:cs="Times New Roman"/>
          <w:lang w:eastAsia="lv-LV"/>
        </w:rPr>
      </w:pPr>
      <w:r w:rsidRPr="00A07F29">
        <w:rPr>
          <w:rFonts w:ascii="Times New Roman" w:eastAsia="Times New Roman" w:hAnsi="Times New Roman" w:cs="Times New Roman"/>
          <w:lang w:eastAsia="lv-LV"/>
        </w:rPr>
        <w:t xml:space="preserve">Uldis Valainis, </w:t>
      </w:r>
      <w:r w:rsidR="007B3F07" w:rsidRPr="00A07F29">
        <w:rPr>
          <w:rFonts w:ascii="Times New Roman" w:eastAsia="Times New Roman" w:hAnsi="Times New Roman" w:cs="Times New Roman"/>
          <w:lang w:eastAsia="lv-LV"/>
        </w:rPr>
        <w:t xml:space="preserve">Dr. biol., </w:t>
      </w:r>
      <w:r w:rsidR="00A77DB8" w:rsidRPr="00A07F29">
        <w:rPr>
          <w:rFonts w:ascii="Times New Roman" w:eastAsia="Times New Roman" w:hAnsi="Times New Roman" w:cs="Times New Roman"/>
          <w:lang w:eastAsia="lv-LV"/>
        </w:rPr>
        <w:t>bezmugurkaulnieku sugu eksperts</w:t>
      </w:r>
    </w:p>
    <w:p w14:paraId="61333807" w14:textId="04BC1654" w:rsidR="00AF4C40" w:rsidRPr="00A07F29" w:rsidRDefault="00AF4C40" w:rsidP="008C4F4E">
      <w:pPr>
        <w:spacing w:after="40" w:line="240" w:lineRule="auto"/>
        <w:jc w:val="both"/>
        <w:rPr>
          <w:rFonts w:ascii="Times New Roman" w:eastAsia="Times New Roman" w:hAnsi="Times New Roman" w:cs="Times New Roman"/>
          <w:lang w:eastAsia="lv-LV"/>
        </w:rPr>
      </w:pPr>
      <w:r w:rsidRPr="00A07F29">
        <w:rPr>
          <w:rFonts w:ascii="Times New Roman" w:eastAsia="Times New Roman" w:hAnsi="Times New Roman" w:cs="Times New Roman"/>
          <w:lang w:eastAsia="lv-LV"/>
        </w:rPr>
        <w:t xml:space="preserve">Guntis Rozenbergs, </w:t>
      </w:r>
      <w:r w:rsidR="00A77DB8" w:rsidRPr="00A07F29">
        <w:rPr>
          <w:rFonts w:ascii="Times New Roman" w:eastAsia="Times New Roman" w:hAnsi="Times New Roman" w:cs="Times New Roman"/>
          <w:lang w:eastAsia="lv-LV"/>
        </w:rPr>
        <w:t xml:space="preserve">Mg. sc., </w:t>
      </w:r>
      <w:r w:rsidRPr="00A07F29">
        <w:rPr>
          <w:rFonts w:ascii="Times New Roman" w:eastAsia="Times New Roman" w:hAnsi="Times New Roman" w:cs="Times New Roman"/>
          <w:lang w:eastAsia="lv-LV"/>
        </w:rPr>
        <w:t>sa</w:t>
      </w:r>
      <w:r w:rsidR="00A77DB8" w:rsidRPr="00A07F29">
        <w:rPr>
          <w:rFonts w:ascii="Times New Roman" w:eastAsia="Times New Roman" w:hAnsi="Times New Roman" w:cs="Times New Roman"/>
          <w:lang w:eastAsia="lv-LV"/>
        </w:rPr>
        <w:t>biedrisko attiecību speciālists</w:t>
      </w:r>
    </w:p>
    <w:p w14:paraId="176D0D09" w14:textId="50C1E75A" w:rsidR="00DF5541" w:rsidRPr="00A07F29" w:rsidRDefault="00DF5541" w:rsidP="008C4F4E">
      <w:pPr>
        <w:spacing w:after="40" w:line="240" w:lineRule="auto"/>
        <w:jc w:val="both"/>
        <w:rPr>
          <w:rFonts w:ascii="Times New Roman" w:eastAsia="Times New Roman" w:hAnsi="Times New Roman" w:cs="Times New Roman"/>
          <w:lang w:eastAsia="lv-LV"/>
        </w:rPr>
      </w:pPr>
      <w:r w:rsidRPr="00A07F29">
        <w:rPr>
          <w:rFonts w:ascii="Times New Roman" w:eastAsia="Times New Roman" w:hAnsi="Times New Roman" w:cs="Times New Roman"/>
          <w:lang w:eastAsia="lv-LV"/>
        </w:rPr>
        <w:t>Jolanta Bāra</w:t>
      </w:r>
      <w:r w:rsidR="002E7868" w:rsidRPr="00A07F29">
        <w:rPr>
          <w:rFonts w:ascii="Times New Roman" w:eastAsia="Times New Roman" w:hAnsi="Times New Roman" w:cs="Times New Roman"/>
          <w:lang w:eastAsia="lv-LV"/>
        </w:rPr>
        <w:t>,</w:t>
      </w:r>
      <w:r w:rsidRPr="00A07F29">
        <w:rPr>
          <w:rFonts w:ascii="Times New Roman" w:eastAsia="Times New Roman" w:hAnsi="Times New Roman" w:cs="Times New Roman"/>
          <w:lang w:eastAsia="lv-LV"/>
        </w:rPr>
        <w:t xml:space="preserve"> </w:t>
      </w:r>
      <w:r w:rsidR="00A77DB8" w:rsidRPr="00A07F29">
        <w:rPr>
          <w:rFonts w:ascii="Times New Roman" w:eastAsia="Times New Roman" w:hAnsi="Times New Roman" w:cs="Times New Roman"/>
          <w:lang w:eastAsia="lv-LV"/>
        </w:rPr>
        <w:t xml:space="preserve">Mg. sc., </w:t>
      </w:r>
      <w:r w:rsidR="002E7868" w:rsidRPr="00A07F29">
        <w:rPr>
          <w:rFonts w:ascii="Times New Roman" w:eastAsia="Times New Roman" w:hAnsi="Times New Roman" w:cs="Times New Roman"/>
          <w:lang w:eastAsia="lv-LV"/>
        </w:rPr>
        <w:t xml:space="preserve">plāna </w:t>
      </w:r>
      <w:r w:rsidRPr="00A07F29">
        <w:rPr>
          <w:rFonts w:ascii="Times New Roman" w:eastAsia="Times New Roman" w:hAnsi="Times New Roman" w:cs="Times New Roman"/>
          <w:lang w:eastAsia="lv-LV"/>
        </w:rPr>
        <w:t>redaktore (2018.-2020.)</w:t>
      </w:r>
    </w:p>
    <w:p w14:paraId="4D99CA2A" w14:textId="147AA458" w:rsidR="00DF5541" w:rsidRPr="00A07F29" w:rsidRDefault="00DF5541" w:rsidP="008C4F4E">
      <w:pPr>
        <w:spacing w:after="40" w:line="240" w:lineRule="auto"/>
        <w:jc w:val="both"/>
        <w:rPr>
          <w:rFonts w:ascii="Times New Roman" w:eastAsia="Times New Roman" w:hAnsi="Times New Roman" w:cs="Times New Roman"/>
          <w:lang w:eastAsia="lv-LV"/>
        </w:rPr>
      </w:pPr>
      <w:r w:rsidRPr="00A07F29">
        <w:rPr>
          <w:rFonts w:ascii="Times New Roman" w:eastAsia="Times New Roman" w:hAnsi="Times New Roman" w:cs="Times New Roman"/>
          <w:lang w:eastAsia="lv-LV"/>
        </w:rPr>
        <w:t xml:space="preserve">Lelde Eņģele, </w:t>
      </w:r>
      <w:proofErr w:type="spellStart"/>
      <w:r w:rsidR="007B3F07" w:rsidRPr="00A07F29">
        <w:rPr>
          <w:rFonts w:ascii="Times New Roman" w:eastAsia="Times New Roman" w:hAnsi="Times New Roman" w:cs="Times New Roman"/>
          <w:lang w:eastAsia="lv-LV"/>
        </w:rPr>
        <w:t>Mg.Sc</w:t>
      </w:r>
      <w:proofErr w:type="spellEnd"/>
      <w:r w:rsidR="007B3F07" w:rsidRPr="00A07F29">
        <w:rPr>
          <w:rFonts w:ascii="Times New Roman" w:eastAsia="Times New Roman" w:hAnsi="Times New Roman" w:cs="Times New Roman"/>
          <w:lang w:eastAsia="lv-LV"/>
        </w:rPr>
        <w:t xml:space="preserve">., </w:t>
      </w:r>
      <w:r w:rsidRPr="00A07F29">
        <w:rPr>
          <w:rFonts w:ascii="Times New Roman" w:eastAsia="Times New Roman" w:hAnsi="Times New Roman" w:cs="Times New Roman"/>
          <w:lang w:eastAsia="lv-LV"/>
        </w:rPr>
        <w:t xml:space="preserve">plāna redaktore </w:t>
      </w:r>
      <w:r w:rsidR="005639A1" w:rsidRPr="00A07F29">
        <w:rPr>
          <w:rFonts w:ascii="Times New Roman" w:eastAsia="Times New Roman" w:hAnsi="Times New Roman" w:cs="Times New Roman"/>
          <w:lang w:eastAsia="lv-LV"/>
        </w:rPr>
        <w:t>(</w:t>
      </w:r>
      <w:r w:rsidRPr="00A07F29">
        <w:rPr>
          <w:rFonts w:ascii="Times New Roman" w:eastAsia="Times New Roman" w:hAnsi="Times New Roman" w:cs="Times New Roman"/>
          <w:lang w:eastAsia="lv-LV"/>
        </w:rPr>
        <w:t>2021.</w:t>
      </w:r>
      <w:r w:rsidR="00F34C1A" w:rsidRPr="00A07F29">
        <w:rPr>
          <w:rFonts w:ascii="Times New Roman" w:eastAsia="Times New Roman" w:hAnsi="Times New Roman" w:cs="Times New Roman"/>
          <w:lang w:eastAsia="lv-LV"/>
        </w:rPr>
        <w:t>-202</w:t>
      </w:r>
      <w:r w:rsidR="00A77DB8" w:rsidRPr="00A07F29">
        <w:rPr>
          <w:rFonts w:ascii="Times New Roman" w:eastAsia="Times New Roman" w:hAnsi="Times New Roman" w:cs="Times New Roman"/>
          <w:lang w:eastAsia="lv-LV"/>
        </w:rPr>
        <w:t>3</w:t>
      </w:r>
      <w:r w:rsidR="00F34C1A" w:rsidRPr="00A07F29">
        <w:rPr>
          <w:rFonts w:ascii="Times New Roman" w:eastAsia="Times New Roman" w:hAnsi="Times New Roman" w:cs="Times New Roman"/>
          <w:lang w:eastAsia="lv-LV"/>
        </w:rPr>
        <w:t>.</w:t>
      </w:r>
      <w:r w:rsidR="005639A1" w:rsidRPr="00A07F29">
        <w:rPr>
          <w:rFonts w:ascii="Times New Roman" w:eastAsia="Times New Roman" w:hAnsi="Times New Roman" w:cs="Times New Roman"/>
          <w:lang w:eastAsia="lv-LV"/>
        </w:rPr>
        <w:t>)</w:t>
      </w:r>
    </w:p>
    <w:p w14:paraId="7542753E" w14:textId="23CA8509" w:rsidR="00DF5541" w:rsidRPr="00A07F29" w:rsidRDefault="00DF5541" w:rsidP="008C4F4E">
      <w:pPr>
        <w:spacing w:after="4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lang w:eastAsia="lv-LV"/>
        </w:rPr>
        <w:t xml:space="preserve">Elmīra </w:t>
      </w:r>
      <w:proofErr w:type="spellStart"/>
      <w:r w:rsidRPr="00A07F29">
        <w:rPr>
          <w:rFonts w:ascii="Times New Roman" w:eastAsia="Times New Roman" w:hAnsi="Times New Roman" w:cs="Times New Roman"/>
          <w:lang w:eastAsia="lv-LV"/>
        </w:rPr>
        <w:t>Boikova</w:t>
      </w:r>
      <w:proofErr w:type="spellEnd"/>
      <w:r w:rsidRPr="00A07F29">
        <w:rPr>
          <w:rFonts w:ascii="Times New Roman" w:eastAsia="Times New Roman" w:hAnsi="Times New Roman" w:cs="Times New Roman"/>
          <w:lang w:eastAsia="lv-LV"/>
        </w:rPr>
        <w:t xml:space="preserve">, </w:t>
      </w:r>
      <w:r w:rsidR="007B3F07" w:rsidRPr="00A07F29">
        <w:rPr>
          <w:rFonts w:ascii="Times New Roman" w:eastAsia="Times New Roman" w:hAnsi="Times New Roman" w:cs="Times New Roman"/>
          <w:lang w:eastAsia="lv-LV"/>
        </w:rPr>
        <w:t xml:space="preserve">Dr. biol., </w:t>
      </w:r>
      <w:r w:rsidRPr="00A07F29">
        <w:rPr>
          <w:rFonts w:ascii="Times New Roman" w:eastAsia="Times New Roman" w:hAnsi="Times New Roman" w:cs="Times New Roman"/>
          <w:lang w:eastAsia="lv-LV"/>
        </w:rPr>
        <w:t xml:space="preserve">plāna izstrādes </w:t>
      </w:r>
      <w:r w:rsidR="002E7868" w:rsidRPr="00A07F29">
        <w:rPr>
          <w:rFonts w:ascii="Times New Roman" w:eastAsia="Times New Roman" w:hAnsi="Times New Roman" w:cs="Times New Roman"/>
          <w:lang w:eastAsia="lv-LV"/>
        </w:rPr>
        <w:t>vadītāja</w:t>
      </w:r>
      <w:r w:rsidRPr="00A07F29" w:rsidDel="00DF5541">
        <w:rPr>
          <w:rFonts w:ascii="Times New Roman" w:eastAsia="Times New Roman" w:hAnsi="Times New Roman" w:cs="Times New Roman"/>
          <w:lang w:eastAsia="lv-LV"/>
        </w:rPr>
        <w:t xml:space="preserve"> </w:t>
      </w:r>
    </w:p>
    <w:p w14:paraId="31F998A1" w14:textId="208A4063" w:rsidR="00AF4C40" w:rsidRPr="00A07F29" w:rsidRDefault="00AF4C40" w:rsidP="003C607C">
      <w:pPr>
        <w:spacing w:before="120" w:after="120" w:line="240" w:lineRule="auto"/>
        <w:jc w:val="both"/>
        <w:rPr>
          <w:rFonts w:ascii="Times New Roman" w:eastAsia="Times New Roman" w:hAnsi="Times New Roman" w:cs="Times New Roman"/>
          <w:sz w:val="24"/>
          <w:szCs w:val="24"/>
        </w:rPr>
      </w:pPr>
      <w:r w:rsidRPr="00A07F29">
        <w:rPr>
          <w:rFonts w:ascii="Times New Roman" w:eastAsia="Times New Roman" w:hAnsi="Times New Roman" w:cs="Times New Roman"/>
          <w:b/>
          <w:sz w:val="24"/>
          <w:szCs w:val="24"/>
        </w:rPr>
        <w:t>Plāna izstrādes uzraudzības grupa</w:t>
      </w:r>
      <w:r w:rsidRPr="00A07F29">
        <w:rPr>
          <w:rFonts w:ascii="Times New Roman" w:eastAsia="Times New Roman" w:hAnsi="Times New Roman" w:cs="Times New Roman"/>
          <w:sz w:val="24"/>
          <w:szCs w:val="24"/>
        </w:rPr>
        <w:t xml:space="preserve"> (</w:t>
      </w:r>
      <w:r w:rsidR="00E3247F" w:rsidRPr="00A07F29">
        <w:rPr>
          <w:rFonts w:ascii="Times New Roman" w:eastAsia="Times New Roman" w:hAnsi="Times New Roman" w:cs="Times New Roman"/>
          <w:sz w:val="24"/>
          <w:szCs w:val="24"/>
        </w:rPr>
        <w:t xml:space="preserve">izveidota </w:t>
      </w:r>
      <w:r w:rsidRPr="00A07F29">
        <w:rPr>
          <w:rFonts w:ascii="Times New Roman" w:eastAsia="Times New Roman" w:hAnsi="Times New Roman" w:cs="Times New Roman"/>
          <w:sz w:val="24"/>
          <w:szCs w:val="24"/>
        </w:rPr>
        <w:t>ar DAP</w:t>
      </w:r>
      <w:r w:rsidR="00294D9F">
        <w:rPr>
          <w:rFonts w:ascii="Times New Roman" w:eastAsia="Times New Roman" w:hAnsi="Times New Roman" w:cs="Times New Roman"/>
          <w:sz w:val="24"/>
          <w:szCs w:val="24"/>
        </w:rPr>
        <w:t xml:space="preserve"> 2018. gada</w:t>
      </w:r>
      <w:r w:rsidR="00FE468B">
        <w:rPr>
          <w:rFonts w:ascii="Times New Roman" w:eastAsia="Times New Roman" w:hAnsi="Times New Roman" w:cs="Times New Roman"/>
          <w:sz w:val="24"/>
          <w:szCs w:val="24"/>
        </w:rPr>
        <w:t xml:space="preserve"> </w:t>
      </w:r>
      <w:r w:rsidR="008016CA">
        <w:rPr>
          <w:rFonts w:ascii="Times New Roman" w:eastAsia="Times New Roman" w:hAnsi="Times New Roman" w:cs="Times New Roman"/>
          <w:sz w:val="24"/>
          <w:szCs w:val="24"/>
        </w:rPr>
        <w:t>12. novembra</w:t>
      </w:r>
      <w:r w:rsidRPr="00A07F29">
        <w:rPr>
          <w:rFonts w:ascii="Times New Roman" w:eastAsia="Times New Roman" w:hAnsi="Times New Roman" w:cs="Times New Roman"/>
          <w:sz w:val="24"/>
          <w:szCs w:val="24"/>
        </w:rPr>
        <w:t xml:space="preserve"> rīkojumu Nr</w:t>
      </w:r>
      <w:r w:rsidR="00DF5541" w:rsidRPr="00A07F29">
        <w:rPr>
          <w:rFonts w:ascii="Times New Roman" w:eastAsia="Times New Roman" w:hAnsi="Times New Roman" w:cs="Times New Roman"/>
          <w:sz w:val="24"/>
          <w:szCs w:val="24"/>
        </w:rPr>
        <w:t>.</w:t>
      </w:r>
      <w:r w:rsidR="00DF5541" w:rsidRPr="00A07F29">
        <w:rPr>
          <w:rFonts w:ascii="Times New Roman" w:eastAsia="Calibri" w:hAnsi="Times New Roman" w:cs="Calibri"/>
          <w:sz w:val="24"/>
        </w:rPr>
        <w:t> </w:t>
      </w:r>
      <w:r w:rsidRPr="00A07F29">
        <w:rPr>
          <w:rFonts w:ascii="Times New Roman" w:eastAsia="Times New Roman" w:hAnsi="Times New Roman" w:cs="Times New Roman"/>
          <w:sz w:val="24"/>
          <w:szCs w:val="24"/>
        </w:rPr>
        <w:t>1.1/232/2018.</w:t>
      </w:r>
      <w:r w:rsidR="00DF5541" w:rsidRPr="00A07F29">
        <w:rPr>
          <w:rFonts w:ascii="Times New Roman" w:eastAsia="Times New Roman" w:hAnsi="Times New Roman" w:cs="Times New Roman"/>
          <w:sz w:val="24"/>
          <w:szCs w:val="24"/>
        </w:rPr>
        <w:t xml:space="preserve">, </w:t>
      </w:r>
      <w:r w:rsidR="00EA5DF1">
        <w:rPr>
          <w:rFonts w:ascii="Times New Roman" w:eastAsia="Times New Roman" w:hAnsi="Times New Roman" w:cs="Times New Roman"/>
          <w:sz w:val="24"/>
          <w:szCs w:val="24"/>
        </w:rPr>
        <w:t xml:space="preserve">DAP </w:t>
      </w:r>
      <w:r w:rsidR="00CF0524">
        <w:rPr>
          <w:rFonts w:ascii="Times New Roman" w:eastAsia="Times New Roman" w:hAnsi="Times New Roman" w:cs="Times New Roman"/>
          <w:sz w:val="24"/>
          <w:szCs w:val="24"/>
        </w:rPr>
        <w:t>2021. gada 6. septembra r</w:t>
      </w:r>
      <w:r w:rsidR="00FE468B">
        <w:rPr>
          <w:rFonts w:ascii="Times New Roman" w:eastAsia="Times New Roman" w:hAnsi="Times New Roman" w:cs="Times New Roman"/>
          <w:sz w:val="24"/>
          <w:szCs w:val="24"/>
        </w:rPr>
        <w:t xml:space="preserve">īkojumu </w:t>
      </w:r>
      <w:r w:rsidR="00E3247F" w:rsidRPr="00A07F29">
        <w:rPr>
          <w:rFonts w:ascii="Times New Roman" w:eastAsia="Times New Roman" w:hAnsi="Times New Roman" w:cs="Times New Roman"/>
          <w:sz w:val="24"/>
          <w:szCs w:val="24"/>
        </w:rPr>
        <w:t>Nr.</w:t>
      </w:r>
      <w:r w:rsidR="00003612" w:rsidRPr="00A07F29">
        <w:rPr>
          <w:rFonts w:ascii="Times New Roman" w:eastAsia="Times New Roman" w:hAnsi="Times New Roman" w:cs="Times New Roman"/>
          <w:sz w:val="24"/>
          <w:szCs w:val="24"/>
        </w:rPr>
        <w:t> </w:t>
      </w:r>
      <w:r w:rsidR="00E3247F" w:rsidRPr="00A07F29">
        <w:rPr>
          <w:rFonts w:ascii="Times New Roman" w:eastAsia="Times New Roman" w:hAnsi="Times New Roman" w:cs="Times New Roman"/>
          <w:sz w:val="24"/>
          <w:szCs w:val="24"/>
        </w:rPr>
        <w:t xml:space="preserve">1.1/186/2021, </w:t>
      </w:r>
      <w:r w:rsidR="00DF5541" w:rsidRPr="00A07F29">
        <w:rPr>
          <w:rFonts w:ascii="Times New Roman" w:eastAsia="Times New Roman" w:hAnsi="Times New Roman" w:cs="Times New Roman"/>
          <w:sz w:val="24"/>
          <w:szCs w:val="24"/>
        </w:rPr>
        <w:t xml:space="preserve">grozījumi ar </w:t>
      </w:r>
      <w:r w:rsidR="00DF5541" w:rsidRPr="00A07F29">
        <w:rPr>
          <w:rFonts w:ascii="Times New Roman" w:hAnsi="Times New Roman" w:cs="Times New Roman"/>
          <w:sz w:val="24"/>
        </w:rPr>
        <w:t>DAP</w:t>
      </w:r>
      <w:r w:rsidR="00FE468B">
        <w:rPr>
          <w:rFonts w:ascii="Times New Roman" w:hAnsi="Times New Roman" w:cs="Times New Roman"/>
          <w:sz w:val="24"/>
        </w:rPr>
        <w:t xml:space="preserve"> 2022. gada 8. decembra</w:t>
      </w:r>
      <w:r w:rsidR="00DF5541" w:rsidRPr="00A07F29">
        <w:rPr>
          <w:rFonts w:ascii="Times New Roman" w:hAnsi="Times New Roman" w:cs="Times New Roman"/>
          <w:sz w:val="24"/>
        </w:rPr>
        <w:t xml:space="preserve"> rīkojum</w:t>
      </w:r>
      <w:r w:rsidR="00E3247F" w:rsidRPr="00A07F29">
        <w:rPr>
          <w:rFonts w:ascii="Times New Roman" w:hAnsi="Times New Roman" w:cs="Times New Roman"/>
          <w:sz w:val="24"/>
        </w:rPr>
        <w:t>u</w:t>
      </w:r>
      <w:r w:rsidR="00DF5541" w:rsidRPr="00A07F29">
        <w:rPr>
          <w:rFonts w:ascii="Times New Roman" w:hAnsi="Times New Roman" w:cs="Times New Roman"/>
          <w:sz w:val="24"/>
        </w:rPr>
        <w:t xml:space="preserve"> </w:t>
      </w:r>
      <w:r w:rsidR="00AB6812" w:rsidRPr="00A07F29">
        <w:rPr>
          <w:rFonts w:ascii="Times New Roman" w:hAnsi="Times New Roman" w:cs="Times New Roman"/>
          <w:sz w:val="24"/>
        </w:rPr>
        <w:t>Nr.</w:t>
      </w:r>
      <w:r w:rsidR="00A20FD6" w:rsidRPr="00A07F29">
        <w:rPr>
          <w:rFonts w:ascii="Times New Roman" w:hAnsi="Times New Roman" w:cs="Times New Roman"/>
          <w:sz w:val="24"/>
        </w:rPr>
        <w:t> </w:t>
      </w:r>
      <w:r w:rsidR="00AB6812" w:rsidRPr="00A07F29">
        <w:rPr>
          <w:rFonts w:ascii="Times New Roman" w:hAnsi="Times New Roman" w:cs="Times New Roman"/>
          <w:sz w:val="24"/>
        </w:rPr>
        <w:t>1.1/243/2022</w:t>
      </w:r>
      <w:r w:rsidR="00AB6812" w:rsidRPr="00A07F29">
        <w:rPr>
          <w:rFonts w:ascii="Times New Roman" w:eastAsia="Times New Roman" w:hAnsi="Times New Roman" w:cs="Times New Roman"/>
          <w:sz w:val="24"/>
          <w:szCs w:val="24"/>
        </w:rPr>
        <w:t>):</w:t>
      </w:r>
    </w:p>
    <w:p w14:paraId="48AB94AB" w14:textId="78936225" w:rsidR="00E3247F" w:rsidRPr="00A07F29" w:rsidRDefault="00E3247F" w:rsidP="008C4F4E">
      <w:pPr>
        <w:spacing w:after="40" w:line="240" w:lineRule="auto"/>
        <w:jc w:val="both"/>
        <w:rPr>
          <w:rFonts w:ascii="Times New Roman" w:eastAsia="Times New Roman" w:hAnsi="Times New Roman" w:cs="Times New Roman"/>
        </w:rPr>
      </w:pPr>
      <w:r w:rsidRPr="00A07F29">
        <w:rPr>
          <w:rFonts w:ascii="Times New Roman" w:eastAsia="Times New Roman" w:hAnsi="Times New Roman" w:cs="Times New Roman"/>
          <w:sz w:val="24"/>
          <w:szCs w:val="24"/>
        </w:rPr>
        <w:t>1</w:t>
      </w:r>
      <w:r w:rsidRPr="00A07F29">
        <w:rPr>
          <w:rFonts w:ascii="Times New Roman" w:eastAsia="Times New Roman" w:hAnsi="Times New Roman" w:cs="Times New Roman"/>
        </w:rPr>
        <w:t>. Gita Strode, Dabas aizsardzības pārvaldes Dabas aizsardzības departamenta direktore;</w:t>
      </w:r>
    </w:p>
    <w:p w14:paraId="79733BA2" w14:textId="49B562C0" w:rsidR="00E3247F" w:rsidRPr="00A07F29" w:rsidRDefault="00E3247F" w:rsidP="008C4F4E">
      <w:pPr>
        <w:spacing w:after="40" w:line="240" w:lineRule="auto"/>
        <w:jc w:val="both"/>
        <w:rPr>
          <w:rFonts w:ascii="Times New Roman" w:eastAsia="Times New Roman" w:hAnsi="Times New Roman" w:cs="Times New Roman"/>
        </w:rPr>
      </w:pPr>
      <w:r w:rsidRPr="00A07F29">
        <w:rPr>
          <w:rFonts w:ascii="Times New Roman" w:eastAsia="Times New Roman" w:hAnsi="Times New Roman" w:cs="Times New Roman"/>
        </w:rPr>
        <w:t xml:space="preserve">2. Olga </w:t>
      </w:r>
      <w:proofErr w:type="spellStart"/>
      <w:r w:rsidRPr="00A07F29">
        <w:rPr>
          <w:rFonts w:ascii="Times New Roman" w:eastAsia="Times New Roman" w:hAnsi="Times New Roman" w:cs="Times New Roman"/>
        </w:rPr>
        <w:t>Lukaševica</w:t>
      </w:r>
      <w:proofErr w:type="spellEnd"/>
      <w:r w:rsidRPr="00A07F29">
        <w:rPr>
          <w:rFonts w:ascii="Times New Roman" w:eastAsia="Times New Roman" w:hAnsi="Times New Roman" w:cs="Times New Roman"/>
        </w:rPr>
        <w:t>, Augšdaugavas novada pašvaldības centrālās administrācijas Attīstības pārvaldes Plānošanas nodaļas vadītāja;</w:t>
      </w:r>
    </w:p>
    <w:p w14:paraId="54C3BC0C" w14:textId="11A0CAD2" w:rsidR="00E3247F" w:rsidRPr="00A07F29" w:rsidRDefault="00E3247F" w:rsidP="008C4F4E">
      <w:pPr>
        <w:spacing w:after="40" w:line="240" w:lineRule="auto"/>
        <w:jc w:val="both"/>
        <w:rPr>
          <w:rFonts w:ascii="Times New Roman" w:eastAsia="Times New Roman" w:hAnsi="Times New Roman" w:cs="Times New Roman"/>
        </w:rPr>
      </w:pPr>
      <w:r w:rsidRPr="00A07F29">
        <w:rPr>
          <w:rFonts w:ascii="Times New Roman" w:eastAsia="Times New Roman" w:hAnsi="Times New Roman" w:cs="Times New Roman"/>
        </w:rPr>
        <w:t xml:space="preserve">3. Viktorija </w:t>
      </w:r>
      <w:proofErr w:type="spellStart"/>
      <w:r w:rsidRPr="00A07F29">
        <w:rPr>
          <w:rFonts w:ascii="Times New Roman" w:eastAsia="Times New Roman" w:hAnsi="Times New Roman" w:cs="Times New Roman"/>
        </w:rPr>
        <w:t>Lene</w:t>
      </w:r>
      <w:proofErr w:type="spellEnd"/>
      <w:r w:rsidRPr="00A07F29">
        <w:rPr>
          <w:rFonts w:ascii="Times New Roman" w:eastAsia="Times New Roman" w:hAnsi="Times New Roman" w:cs="Times New Roman"/>
        </w:rPr>
        <w:t>, Krāslavas novada domes Nekustamā īpašuma un infrastruktūras pārvaldības nodaļas vadītāja;</w:t>
      </w:r>
    </w:p>
    <w:p w14:paraId="37DDD7E5" w14:textId="002BE9B6" w:rsidR="00E3247F" w:rsidRPr="00A07F29" w:rsidRDefault="00E3247F" w:rsidP="008C4F4E">
      <w:pPr>
        <w:spacing w:after="40" w:line="240" w:lineRule="auto"/>
        <w:jc w:val="both"/>
        <w:rPr>
          <w:rFonts w:ascii="Times New Roman" w:eastAsia="Times New Roman" w:hAnsi="Times New Roman" w:cs="Times New Roman"/>
        </w:rPr>
      </w:pPr>
      <w:r w:rsidRPr="00A07F29">
        <w:rPr>
          <w:rFonts w:ascii="Times New Roman" w:eastAsia="Times New Roman" w:hAnsi="Times New Roman" w:cs="Times New Roman"/>
        </w:rPr>
        <w:t xml:space="preserve">4. Guna Novika, Valsts vides dienesta Daugavpils reģionālās vides pārvaldes Kontroles daļas Piesārņojuma kontroles sektora vadītāja (līdz </w:t>
      </w:r>
      <w:r w:rsidR="0006451B" w:rsidRPr="00A07F29">
        <w:rPr>
          <w:rFonts w:ascii="Times New Roman" w:eastAsia="Times New Roman" w:hAnsi="Times New Roman" w:cs="Times New Roman"/>
        </w:rPr>
        <w:t>21.03.2022</w:t>
      </w:r>
      <w:r w:rsidRPr="00A07F29">
        <w:rPr>
          <w:rFonts w:ascii="Times New Roman" w:eastAsia="Times New Roman" w:hAnsi="Times New Roman" w:cs="Times New Roman"/>
        </w:rPr>
        <w:t xml:space="preserve">.); Dainis </w:t>
      </w:r>
      <w:proofErr w:type="spellStart"/>
      <w:r w:rsidRPr="00A07F29">
        <w:rPr>
          <w:rFonts w:ascii="Times New Roman" w:eastAsia="Times New Roman" w:hAnsi="Times New Roman" w:cs="Times New Roman"/>
        </w:rPr>
        <w:t>Lazdāns</w:t>
      </w:r>
      <w:proofErr w:type="spellEnd"/>
      <w:r w:rsidRPr="00A07F29">
        <w:rPr>
          <w:rFonts w:ascii="Times New Roman" w:eastAsia="Times New Roman" w:hAnsi="Times New Roman" w:cs="Times New Roman"/>
        </w:rPr>
        <w:t>, Valsts vides dienesta Latgales reģionālās vides pārvaldes direktora vietnieks (no 08.12.2022.);</w:t>
      </w:r>
    </w:p>
    <w:p w14:paraId="715CCAFD" w14:textId="2D30FB62" w:rsidR="00E3247F" w:rsidRPr="00A07F29" w:rsidRDefault="00E3247F" w:rsidP="008C4F4E">
      <w:pPr>
        <w:spacing w:after="40" w:line="240" w:lineRule="auto"/>
        <w:jc w:val="both"/>
        <w:rPr>
          <w:rFonts w:ascii="Times New Roman" w:eastAsia="Times New Roman" w:hAnsi="Times New Roman" w:cs="Times New Roman"/>
        </w:rPr>
      </w:pPr>
      <w:r w:rsidRPr="00A07F29">
        <w:rPr>
          <w:rFonts w:ascii="Times New Roman" w:eastAsia="Times New Roman" w:hAnsi="Times New Roman" w:cs="Times New Roman"/>
        </w:rPr>
        <w:t xml:space="preserve">5. Kristīne </w:t>
      </w:r>
      <w:proofErr w:type="spellStart"/>
      <w:r w:rsidRPr="00A07F29">
        <w:rPr>
          <w:rFonts w:ascii="Times New Roman" w:eastAsia="Times New Roman" w:hAnsi="Times New Roman" w:cs="Times New Roman"/>
        </w:rPr>
        <w:t>Zepa</w:t>
      </w:r>
      <w:proofErr w:type="spellEnd"/>
      <w:r w:rsidRPr="00A07F29">
        <w:rPr>
          <w:rFonts w:ascii="Times New Roman" w:eastAsia="Times New Roman" w:hAnsi="Times New Roman" w:cs="Times New Roman"/>
        </w:rPr>
        <w:t xml:space="preserve">, Valsts meža dienesta </w:t>
      </w:r>
      <w:proofErr w:type="spellStart"/>
      <w:r w:rsidRPr="00A07F29">
        <w:rPr>
          <w:rFonts w:ascii="Times New Roman" w:eastAsia="Times New Roman" w:hAnsi="Times New Roman" w:cs="Times New Roman"/>
        </w:rPr>
        <w:t>Dienvidlatgales</w:t>
      </w:r>
      <w:proofErr w:type="spellEnd"/>
      <w:r w:rsidRPr="00A07F29">
        <w:rPr>
          <w:rFonts w:ascii="Times New Roman" w:eastAsia="Times New Roman" w:hAnsi="Times New Roman" w:cs="Times New Roman"/>
        </w:rPr>
        <w:t xml:space="preserve"> virsmežniecības inženiere vides aizsardzības jautājumos;</w:t>
      </w:r>
    </w:p>
    <w:p w14:paraId="0FE43424" w14:textId="79AB34C9" w:rsidR="00E3247F" w:rsidRPr="00A07F29" w:rsidRDefault="00E3247F" w:rsidP="008C4F4E">
      <w:pPr>
        <w:spacing w:after="40" w:line="240" w:lineRule="auto"/>
        <w:jc w:val="both"/>
        <w:rPr>
          <w:rFonts w:ascii="Times New Roman" w:eastAsia="Times New Roman" w:hAnsi="Times New Roman" w:cs="Times New Roman"/>
        </w:rPr>
      </w:pPr>
      <w:r w:rsidRPr="00A07F29">
        <w:rPr>
          <w:rFonts w:ascii="Times New Roman" w:eastAsia="Times New Roman" w:hAnsi="Times New Roman" w:cs="Times New Roman"/>
        </w:rPr>
        <w:t xml:space="preserve">6. Sandra </w:t>
      </w:r>
      <w:proofErr w:type="spellStart"/>
      <w:r w:rsidRPr="00A07F29">
        <w:rPr>
          <w:rFonts w:ascii="Times New Roman" w:eastAsia="Times New Roman" w:hAnsi="Times New Roman" w:cs="Times New Roman"/>
        </w:rPr>
        <w:t>Līckrastiņa</w:t>
      </w:r>
      <w:proofErr w:type="spellEnd"/>
      <w:r w:rsidRPr="00A07F29">
        <w:rPr>
          <w:rFonts w:ascii="Times New Roman" w:eastAsia="Times New Roman" w:hAnsi="Times New Roman" w:cs="Times New Roman"/>
        </w:rPr>
        <w:t xml:space="preserve">, AS „Latvijas valsts meži” </w:t>
      </w:r>
      <w:proofErr w:type="spellStart"/>
      <w:r w:rsidRPr="00A07F29">
        <w:rPr>
          <w:rFonts w:ascii="Times New Roman" w:eastAsia="Times New Roman" w:hAnsi="Times New Roman" w:cs="Times New Roman"/>
        </w:rPr>
        <w:t>Dienvidlatgales</w:t>
      </w:r>
      <w:proofErr w:type="spellEnd"/>
      <w:r w:rsidRPr="00A07F29">
        <w:rPr>
          <w:rFonts w:ascii="Times New Roman" w:eastAsia="Times New Roman" w:hAnsi="Times New Roman" w:cs="Times New Roman"/>
        </w:rPr>
        <w:t xml:space="preserve"> reģiona vides plānošanas speciāliste; </w:t>
      </w:r>
    </w:p>
    <w:p w14:paraId="40B0EFAB" w14:textId="6640FAA6" w:rsidR="00E3247F" w:rsidRPr="00A07F29" w:rsidRDefault="00E3247F" w:rsidP="008C4F4E">
      <w:pPr>
        <w:spacing w:after="40" w:line="240" w:lineRule="auto"/>
        <w:jc w:val="both"/>
        <w:rPr>
          <w:rFonts w:ascii="Times New Roman" w:eastAsia="Times New Roman" w:hAnsi="Times New Roman" w:cs="Times New Roman"/>
        </w:rPr>
      </w:pPr>
      <w:r w:rsidRPr="00A07F29">
        <w:rPr>
          <w:rFonts w:ascii="Times New Roman" w:eastAsia="Times New Roman" w:hAnsi="Times New Roman" w:cs="Times New Roman"/>
        </w:rPr>
        <w:t xml:space="preserve">7. Ināra Lukaševiča, Lauku atbalsta dienesta </w:t>
      </w:r>
      <w:proofErr w:type="spellStart"/>
      <w:r w:rsidRPr="00A07F29">
        <w:rPr>
          <w:rFonts w:ascii="Times New Roman" w:eastAsia="Times New Roman" w:hAnsi="Times New Roman" w:cs="Times New Roman"/>
        </w:rPr>
        <w:t>Dienvidlatgales</w:t>
      </w:r>
      <w:proofErr w:type="spellEnd"/>
      <w:r w:rsidRPr="00A07F29">
        <w:rPr>
          <w:rFonts w:ascii="Times New Roman" w:eastAsia="Times New Roman" w:hAnsi="Times New Roman" w:cs="Times New Roman"/>
        </w:rPr>
        <w:t xml:space="preserve"> reģionālās lauksaimniecības pārvaldes vadītāja;</w:t>
      </w:r>
    </w:p>
    <w:p w14:paraId="5EE73B80" w14:textId="57E3F239" w:rsidR="00E3247F" w:rsidRPr="00A07F29" w:rsidRDefault="00E3247F" w:rsidP="008C4F4E">
      <w:pPr>
        <w:spacing w:after="40" w:line="240" w:lineRule="auto"/>
        <w:jc w:val="both"/>
        <w:rPr>
          <w:rFonts w:ascii="Times New Roman" w:eastAsia="Times New Roman" w:hAnsi="Times New Roman" w:cs="Times New Roman"/>
        </w:rPr>
      </w:pPr>
      <w:r w:rsidRPr="00A07F29">
        <w:rPr>
          <w:rFonts w:ascii="Times New Roman" w:eastAsia="Times New Roman" w:hAnsi="Times New Roman" w:cs="Times New Roman"/>
        </w:rPr>
        <w:t xml:space="preserve">8. Dārta </w:t>
      </w:r>
      <w:proofErr w:type="spellStart"/>
      <w:r w:rsidRPr="00A07F29">
        <w:rPr>
          <w:rFonts w:ascii="Times New Roman" w:eastAsia="Times New Roman" w:hAnsi="Times New Roman" w:cs="Times New Roman"/>
        </w:rPr>
        <w:t>Lasenberga</w:t>
      </w:r>
      <w:proofErr w:type="spellEnd"/>
      <w:r w:rsidRPr="00A07F29">
        <w:rPr>
          <w:rFonts w:ascii="Times New Roman" w:eastAsia="Times New Roman" w:hAnsi="Times New Roman" w:cs="Times New Roman"/>
        </w:rPr>
        <w:t>, Latvijas investīciju un attīstības aģentūras Tūrisma departamenta Tūrisma produktu attīstības nodaļas vecākā eksperte;</w:t>
      </w:r>
    </w:p>
    <w:p w14:paraId="67E2892B" w14:textId="68F7F64C" w:rsidR="00E3247F" w:rsidRPr="00A07F29" w:rsidRDefault="00E3247F" w:rsidP="008C4F4E">
      <w:pPr>
        <w:spacing w:after="40" w:line="240" w:lineRule="auto"/>
        <w:jc w:val="both"/>
        <w:rPr>
          <w:rFonts w:ascii="Times New Roman" w:eastAsia="Times New Roman" w:hAnsi="Times New Roman" w:cs="Times New Roman"/>
        </w:rPr>
      </w:pPr>
      <w:r w:rsidRPr="00A07F29">
        <w:rPr>
          <w:rFonts w:ascii="Times New Roman" w:eastAsia="Times New Roman" w:hAnsi="Times New Roman" w:cs="Times New Roman"/>
        </w:rPr>
        <w:t xml:space="preserve">9. Aigars </w:t>
      </w:r>
      <w:proofErr w:type="spellStart"/>
      <w:r w:rsidRPr="00A07F29">
        <w:rPr>
          <w:rFonts w:ascii="Times New Roman" w:eastAsia="Times New Roman" w:hAnsi="Times New Roman" w:cs="Times New Roman"/>
        </w:rPr>
        <w:t>Steļmaks</w:t>
      </w:r>
      <w:proofErr w:type="spellEnd"/>
      <w:r w:rsidRPr="00A07F29">
        <w:rPr>
          <w:rFonts w:ascii="Times New Roman" w:eastAsia="Times New Roman" w:hAnsi="Times New Roman" w:cs="Times New Roman"/>
        </w:rPr>
        <w:t>, Valsts robežsardzes Daugavpils pārvaldes Piedrujas robežapsardzības nodaļas priekšnieks pulkvežleitnants;</w:t>
      </w:r>
    </w:p>
    <w:p w14:paraId="2CCB7D18" w14:textId="093AB292" w:rsidR="00E3247F" w:rsidRPr="00A07F29" w:rsidRDefault="00E3247F" w:rsidP="008C4F4E">
      <w:pPr>
        <w:spacing w:after="40" w:line="240" w:lineRule="auto"/>
        <w:jc w:val="both"/>
        <w:rPr>
          <w:rFonts w:ascii="Times New Roman" w:eastAsia="Times New Roman" w:hAnsi="Times New Roman" w:cs="Times New Roman"/>
        </w:rPr>
      </w:pPr>
      <w:r w:rsidRPr="00A07F29">
        <w:rPr>
          <w:rFonts w:ascii="Times New Roman" w:eastAsia="Times New Roman" w:hAnsi="Times New Roman" w:cs="Times New Roman"/>
        </w:rPr>
        <w:t xml:space="preserve">10. Olga </w:t>
      </w:r>
      <w:proofErr w:type="spellStart"/>
      <w:r w:rsidRPr="00A07F29">
        <w:rPr>
          <w:rFonts w:ascii="Times New Roman" w:eastAsia="Times New Roman" w:hAnsi="Times New Roman" w:cs="Times New Roman"/>
        </w:rPr>
        <w:t>Nikolajeva</w:t>
      </w:r>
      <w:proofErr w:type="spellEnd"/>
      <w:r w:rsidRPr="00A07F29">
        <w:rPr>
          <w:rFonts w:ascii="Times New Roman" w:eastAsia="Times New Roman" w:hAnsi="Times New Roman" w:cs="Times New Roman"/>
        </w:rPr>
        <w:t>, zemes īpašnieku pārstāve.</w:t>
      </w:r>
    </w:p>
    <w:p w14:paraId="3A3F0644" w14:textId="23D5CCB2" w:rsidR="00AF4C40" w:rsidRPr="00A07F29" w:rsidRDefault="00AF4C40" w:rsidP="00116E28">
      <w:pPr>
        <w:spacing w:after="0" w:line="240" w:lineRule="auto"/>
        <w:jc w:val="both"/>
        <w:rPr>
          <w:rFonts w:ascii="Times New Roman" w:eastAsia="Times New Roman" w:hAnsi="Times New Roman" w:cs="Times New Roman"/>
          <w:b/>
          <w:sz w:val="24"/>
          <w:szCs w:val="24"/>
          <w:lang w:eastAsia="lv-LV"/>
        </w:rPr>
      </w:pPr>
    </w:p>
    <w:p w14:paraId="288EA4CC" w14:textId="3BEAC443" w:rsidR="003C607C" w:rsidRPr="00A07F29" w:rsidRDefault="00116E28" w:rsidP="008C4F4E">
      <w:pPr>
        <w:spacing w:after="0" w:line="240" w:lineRule="auto"/>
        <w:jc w:val="both"/>
        <w:rPr>
          <w:rFonts w:ascii="Times New Roman" w:eastAsia="Times New Roman" w:hAnsi="Times New Roman" w:cs="Times New Roman"/>
          <w:b/>
          <w:sz w:val="24"/>
          <w:szCs w:val="24"/>
          <w:lang w:eastAsia="lv-LV"/>
        </w:rPr>
      </w:pPr>
      <w:r w:rsidRPr="00A07F29">
        <w:rPr>
          <w:rFonts w:ascii="Times New Roman" w:eastAsia="Times New Roman" w:hAnsi="Times New Roman" w:cs="Times New Roman"/>
          <w:sz w:val="20"/>
          <w:szCs w:val="20"/>
          <w:lang w:eastAsia="lv-LV"/>
        </w:rPr>
        <w:t xml:space="preserve">Uz 1. vāka: </w:t>
      </w:r>
      <w:proofErr w:type="spellStart"/>
      <w:r w:rsidRPr="00A07F29">
        <w:rPr>
          <w:rFonts w:ascii="Times New Roman" w:eastAsia="Times New Roman" w:hAnsi="Times New Roman" w:cs="Times New Roman"/>
          <w:sz w:val="20"/>
          <w:szCs w:val="20"/>
          <w:lang w:eastAsia="lv-LV"/>
        </w:rPr>
        <w:t>Slutišķu</w:t>
      </w:r>
      <w:proofErr w:type="spellEnd"/>
      <w:r w:rsidRPr="00A07F29">
        <w:rPr>
          <w:rFonts w:ascii="Times New Roman" w:eastAsia="Times New Roman" w:hAnsi="Times New Roman" w:cs="Times New Roman"/>
          <w:sz w:val="20"/>
          <w:szCs w:val="20"/>
          <w:lang w:eastAsia="lv-LV"/>
        </w:rPr>
        <w:t xml:space="preserve"> sādža (</w:t>
      </w:r>
      <w:proofErr w:type="spellStart"/>
      <w:r w:rsidRPr="00A07F29">
        <w:rPr>
          <w:rFonts w:ascii="Times New Roman" w:eastAsia="Times New Roman" w:hAnsi="Times New Roman" w:cs="Times New Roman"/>
          <w:sz w:val="20"/>
          <w:szCs w:val="20"/>
          <w:lang w:eastAsia="lv-LV"/>
        </w:rPr>
        <w:t>J.Bāras</w:t>
      </w:r>
      <w:proofErr w:type="spellEnd"/>
      <w:r w:rsidRPr="00A07F29">
        <w:rPr>
          <w:rFonts w:ascii="Times New Roman" w:eastAsia="Times New Roman" w:hAnsi="Times New Roman" w:cs="Times New Roman"/>
          <w:sz w:val="20"/>
          <w:szCs w:val="20"/>
          <w:lang w:eastAsia="lv-LV"/>
        </w:rPr>
        <w:t xml:space="preserve"> foto).</w:t>
      </w:r>
      <w:r w:rsidR="003C607C" w:rsidRPr="00A07F29">
        <w:rPr>
          <w:rFonts w:ascii="Times New Roman" w:eastAsia="Times New Roman" w:hAnsi="Times New Roman" w:cs="Times New Roman"/>
          <w:b/>
          <w:sz w:val="24"/>
          <w:szCs w:val="24"/>
          <w:lang w:eastAsia="lv-LV"/>
        </w:rPr>
        <w:br w:type="page"/>
      </w:r>
    </w:p>
    <w:p w14:paraId="1EE042BC" w14:textId="6624B05C" w:rsidR="00AF4C40" w:rsidRPr="00A07F29" w:rsidRDefault="00AF4C40" w:rsidP="00876B9C">
      <w:pPr>
        <w:spacing w:before="75" w:after="75" w:line="240" w:lineRule="auto"/>
        <w:ind w:right="-316"/>
        <w:jc w:val="both"/>
        <w:rPr>
          <w:rFonts w:ascii="Times New Roman" w:eastAsia="Times New Roman" w:hAnsi="Times New Roman" w:cs="Times New Roman"/>
          <w:b/>
          <w:sz w:val="24"/>
          <w:szCs w:val="24"/>
          <w:lang w:eastAsia="lv-LV"/>
        </w:rPr>
      </w:pPr>
      <w:r w:rsidRPr="00A07F29">
        <w:rPr>
          <w:rFonts w:ascii="Times New Roman" w:eastAsia="Times New Roman" w:hAnsi="Times New Roman" w:cs="Times New Roman"/>
          <w:b/>
          <w:sz w:val="24"/>
          <w:szCs w:val="24"/>
          <w:lang w:eastAsia="lv-LV"/>
        </w:rPr>
        <w:lastRenderedPageBreak/>
        <w:t>Tekstā izmantotie saīsinājumi</w:t>
      </w:r>
    </w:p>
    <w:p w14:paraId="15AC2F4D" w14:textId="444B2462" w:rsidR="005A5430" w:rsidRPr="00A07F29" w:rsidRDefault="005A5430" w:rsidP="00876B9C">
      <w:pPr>
        <w:spacing w:before="75" w:after="75" w:line="240" w:lineRule="auto"/>
        <w:ind w:right="-316"/>
        <w:jc w:val="both"/>
        <w:rPr>
          <w:rFonts w:ascii="Times New Roman" w:eastAsia="Times New Roman" w:hAnsi="Times New Roman" w:cs="Times New Roman"/>
          <w:sz w:val="24"/>
          <w:szCs w:val="24"/>
          <w:lang w:eastAsia="lv-LV"/>
        </w:rPr>
      </w:pPr>
      <w:bookmarkStart w:id="1" w:name="_Hlk44239172"/>
      <w:r w:rsidRPr="00A07F29">
        <w:rPr>
          <w:rFonts w:ascii="Times New Roman" w:eastAsia="Times New Roman" w:hAnsi="Times New Roman" w:cs="Times New Roman"/>
          <w:sz w:val="24"/>
          <w:szCs w:val="24"/>
          <w:lang w:eastAsia="lv-LV"/>
        </w:rPr>
        <w:t xml:space="preserve">A </w:t>
      </w:r>
      <w:r w:rsidR="00A50454" w:rsidRPr="00A07F29">
        <w:rPr>
          <w:rFonts w:ascii="Times New Roman" w:eastAsia="Times New Roman" w:hAnsi="Times New Roman" w:cs="Times New Roman"/>
          <w:sz w:val="24"/>
          <w:szCs w:val="24"/>
          <w:lang w:eastAsia="lv-LV"/>
        </w:rPr>
        <w:t>–</w:t>
      </w:r>
      <w:r w:rsidRPr="00A07F29">
        <w:rPr>
          <w:rFonts w:ascii="Times New Roman" w:eastAsia="Times New Roman" w:hAnsi="Times New Roman" w:cs="Times New Roman"/>
          <w:sz w:val="24"/>
          <w:szCs w:val="24"/>
          <w:lang w:eastAsia="lv-LV"/>
        </w:rPr>
        <w:t xml:space="preserve"> austrum</w:t>
      </w:r>
      <w:r w:rsidR="00A50454" w:rsidRPr="00A07F29">
        <w:rPr>
          <w:rFonts w:ascii="Times New Roman" w:eastAsia="Times New Roman" w:hAnsi="Times New Roman" w:cs="Times New Roman"/>
          <w:sz w:val="24"/>
          <w:szCs w:val="24"/>
          <w:lang w:eastAsia="lv-LV"/>
        </w:rPr>
        <w:t>i (debespuses apzīmējums)</w:t>
      </w:r>
      <w:bookmarkEnd w:id="1"/>
      <w:r w:rsidR="00DD337F" w:rsidRPr="00A07F29">
        <w:rPr>
          <w:rFonts w:ascii="Times New Roman" w:eastAsia="Times New Roman" w:hAnsi="Times New Roman" w:cs="Times New Roman"/>
          <w:sz w:val="24"/>
          <w:szCs w:val="24"/>
          <w:lang w:eastAsia="lv-LV"/>
        </w:rPr>
        <w:t>;</w:t>
      </w:r>
    </w:p>
    <w:p w14:paraId="0981A459" w14:textId="4610D35E" w:rsidR="00D5724B" w:rsidRDefault="00BB7169" w:rsidP="00876B9C">
      <w:pPr>
        <w:spacing w:before="75" w:after="75" w:line="240" w:lineRule="auto"/>
        <w:ind w:right="-316"/>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 xml:space="preserve">AAA – </w:t>
      </w:r>
      <w:r w:rsidR="00D5724B" w:rsidRPr="00A07F29">
        <w:rPr>
          <w:rFonts w:ascii="Times New Roman" w:eastAsia="Times New Roman" w:hAnsi="Times New Roman" w:cs="Times New Roman"/>
          <w:sz w:val="24"/>
          <w:szCs w:val="24"/>
          <w:lang w:eastAsia="lv-LV"/>
        </w:rPr>
        <w:t>aizsargājamo ainavu apvidus;</w:t>
      </w:r>
    </w:p>
    <w:p w14:paraId="297E9004" w14:textId="493D5962" w:rsidR="00D67976" w:rsidRDefault="00D67976" w:rsidP="00876B9C">
      <w:pPr>
        <w:spacing w:before="75" w:after="75" w:line="240" w:lineRule="auto"/>
        <w:ind w:right="-316"/>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BDUZ – bioloģiskās daudzveidības uzturēšana zālājos;</w:t>
      </w:r>
    </w:p>
    <w:p w14:paraId="5F21ECBC" w14:textId="6B834B4C" w:rsidR="00D11A6C" w:rsidRPr="00B61E8B" w:rsidRDefault="00D11A6C" w:rsidP="00F730F0">
      <w:pPr>
        <w:spacing w:before="75" w:after="75" w:line="240" w:lineRule="auto"/>
        <w:ind w:right="-46"/>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Bernes konvencija – </w:t>
      </w:r>
      <w:r w:rsidRPr="00D11A6C">
        <w:rPr>
          <w:rFonts w:ascii="Times New Roman" w:eastAsia="Times New Roman" w:hAnsi="Times New Roman" w:cs="Times New Roman"/>
          <w:sz w:val="24"/>
          <w:szCs w:val="24"/>
          <w:lang w:eastAsia="lv-LV"/>
        </w:rPr>
        <w:t xml:space="preserve">Eiropas Padomes 1979. gada 16. septembra </w:t>
      </w:r>
      <w:r w:rsidRPr="00B61E8B">
        <w:rPr>
          <w:rFonts w:ascii="Times New Roman" w:eastAsia="Times New Roman" w:hAnsi="Times New Roman" w:cs="Times New Roman"/>
          <w:sz w:val="24"/>
          <w:szCs w:val="24"/>
          <w:lang w:eastAsia="lv-LV"/>
        </w:rPr>
        <w:t>Bernes konvencija “Par Eiropas dzīvās dabas un dabisko dzīvotņu aizsardzību”</w:t>
      </w:r>
      <w:r w:rsidR="00B61E8B" w:rsidRPr="00B61E8B">
        <w:rPr>
          <w:rFonts w:ascii="Times New Roman" w:eastAsia="Times New Roman" w:hAnsi="Times New Roman" w:cs="Times New Roman"/>
          <w:sz w:val="24"/>
          <w:szCs w:val="24"/>
          <w:lang w:eastAsia="lv-LV"/>
        </w:rPr>
        <w:t>;</w:t>
      </w:r>
    </w:p>
    <w:p w14:paraId="3B4FFC88" w14:textId="56B6AEE8" w:rsidR="00AB4CF8" w:rsidRPr="00A07F29" w:rsidRDefault="00AB4CF8" w:rsidP="00876B9C">
      <w:pPr>
        <w:spacing w:before="75" w:after="75" w:line="240" w:lineRule="auto"/>
        <w:ind w:right="-316"/>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 xml:space="preserve">BIOR </w:t>
      </w:r>
      <w:r w:rsidR="00A20FD6" w:rsidRPr="00A07F29">
        <w:rPr>
          <w:rFonts w:ascii="Times New Roman" w:eastAsia="Times New Roman" w:hAnsi="Times New Roman" w:cs="Times New Roman"/>
          <w:sz w:val="24"/>
          <w:szCs w:val="24"/>
          <w:lang w:eastAsia="lv-LV"/>
        </w:rPr>
        <w:t>–</w:t>
      </w:r>
      <w:r w:rsidRPr="00A07F29">
        <w:rPr>
          <w:rFonts w:ascii="Times New Roman" w:eastAsia="Times New Roman" w:hAnsi="Times New Roman" w:cs="Times New Roman"/>
          <w:sz w:val="24"/>
          <w:szCs w:val="24"/>
          <w:lang w:eastAsia="lv-LV"/>
        </w:rPr>
        <w:t xml:space="preserve"> Pārtikas drošības, dzīvnieku veselības un vides zinātniskais institūts </w:t>
      </w:r>
      <w:r w:rsidR="00165677" w:rsidRPr="00A07F29">
        <w:rPr>
          <w:rFonts w:ascii="Times New Roman" w:eastAsia="Times New Roman" w:hAnsi="Times New Roman" w:cs="Times New Roman"/>
          <w:sz w:val="24"/>
          <w:szCs w:val="24"/>
          <w:lang w:eastAsia="lv-LV"/>
        </w:rPr>
        <w:t>“</w:t>
      </w:r>
      <w:r w:rsidRPr="00A07F29">
        <w:rPr>
          <w:rFonts w:ascii="Times New Roman" w:eastAsia="Times New Roman" w:hAnsi="Times New Roman" w:cs="Times New Roman"/>
          <w:sz w:val="24"/>
          <w:szCs w:val="24"/>
          <w:lang w:eastAsia="lv-LV"/>
        </w:rPr>
        <w:t>BIOR”</w:t>
      </w:r>
    </w:p>
    <w:p w14:paraId="2065B542" w14:textId="5645BD66" w:rsidR="00D5724B" w:rsidRPr="00A07F29" w:rsidRDefault="00D5724B" w:rsidP="009B36DE">
      <w:pPr>
        <w:spacing w:before="75" w:after="75" w:line="240" w:lineRule="auto"/>
        <w:ind w:right="-46"/>
        <w:jc w:val="both"/>
        <w:rPr>
          <w:rFonts w:ascii="Times New Roman" w:hAnsi="Times New Roman" w:cs="Times New Roman"/>
          <w:sz w:val="24"/>
          <w:szCs w:val="24"/>
        </w:rPr>
      </w:pPr>
      <w:r w:rsidRPr="00A07F29">
        <w:rPr>
          <w:rFonts w:ascii="Times New Roman" w:hAnsi="Times New Roman" w:cs="Times New Roman"/>
          <w:sz w:val="24"/>
          <w:szCs w:val="24"/>
        </w:rPr>
        <w:t>Biotopu direktīva – Eiropas Padomes 1992.</w:t>
      </w:r>
      <w:r w:rsidR="00165677" w:rsidRPr="00A07F29">
        <w:rPr>
          <w:rFonts w:ascii="Times New Roman" w:hAnsi="Times New Roman" w:cs="Times New Roman"/>
          <w:sz w:val="24"/>
          <w:szCs w:val="24"/>
        </w:rPr>
        <w:t> </w:t>
      </w:r>
      <w:r w:rsidRPr="00A07F29">
        <w:rPr>
          <w:rFonts w:ascii="Times New Roman" w:hAnsi="Times New Roman" w:cs="Times New Roman"/>
          <w:sz w:val="24"/>
          <w:szCs w:val="24"/>
        </w:rPr>
        <w:t>gada 21.</w:t>
      </w:r>
      <w:r w:rsidR="00165677" w:rsidRPr="00A07F29">
        <w:rPr>
          <w:rFonts w:ascii="Times New Roman" w:hAnsi="Times New Roman" w:cs="Times New Roman"/>
          <w:sz w:val="24"/>
          <w:szCs w:val="24"/>
        </w:rPr>
        <w:t> </w:t>
      </w:r>
      <w:r w:rsidRPr="00A07F29">
        <w:rPr>
          <w:rFonts w:ascii="Times New Roman" w:hAnsi="Times New Roman" w:cs="Times New Roman"/>
          <w:sz w:val="24"/>
          <w:szCs w:val="24"/>
        </w:rPr>
        <w:t>maija direktīva 92/43/EEK par dabisko dzīvotņu, savvaļas faunas un floras aizsardzību;</w:t>
      </w:r>
    </w:p>
    <w:p w14:paraId="3EEE769E" w14:textId="010DD583" w:rsidR="004D6F67" w:rsidRPr="00A07F29" w:rsidRDefault="004D6F67" w:rsidP="00876B9C">
      <w:pPr>
        <w:spacing w:before="75" w:after="75" w:line="240" w:lineRule="auto"/>
        <w:ind w:right="-316"/>
        <w:jc w:val="both"/>
        <w:rPr>
          <w:rFonts w:ascii="Times New Roman" w:eastAsia="Times New Roman" w:hAnsi="Times New Roman" w:cs="Times New Roman"/>
          <w:sz w:val="24"/>
          <w:szCs w:val="24"/>
          <w:lang w:eastAsia="lv-LV"/>
        </w:rPr>
      </w:pPr>
      <w:r w:rsidRPr="00A07F29">
        <w:rPr>
          <w:rFonts w:ascii="Times New Roman" w:hAnsi="Times New Roman" w:cs="Times New Roman"/>
          <w:sz w:val="24"/>
          <w:szCs w:val="24"/>
        </w:rPr>
        <w:t>BVZ – bioloģiski vērtīgi zālāji</w:t>
      </w:r>
    </w:p>
    <w:p w14:paraId="4BAA1448" w14:textId="429ED9A9" w:rsidR="00D5724B" w:rsidRPr="00A07F29" w:rsidRDefault="00D5724B" w:rsidP="009B36DE">
      <w:pPr>
        <w:widowControl w:val="0"/>
        <w:spacing w:after="0" w:line="240" w:lineRule="auto"/>
        <w:jc w:val="both"/>
        <w:rPr>
          <w:rFonts w:ascii="Times New Roman" w:eastAsia="Calibri" w:hAnsi="Times New Roman" w:cs="Times New Roman"/>
          <w:sz w:val="24"/>
          <w:szCs w:val="24"/>
        </w:rPr>
      </w:pPr>
      <w:r w:rsidRPr="00A07F29">
        <w:rPr>
          <w:rFonts w:ascii="Times New Roman" w:eastAsia="Calibri" w:hAnsi="Times New Roman" w:cs="Times New Roman"/>
          <w:iCs/>
          <w:spacing w:val="-1"/>
          <w:sz w:val="24"/>
          <w:szCs w:val="24"/>
        </w:rPr>
        <w:t>Dabas skaitīšana</w:t>
      </w:r>
      <w:r w:rsidRPr="00A07F29">
        <w:rPr>
          <w:rFonts w:ascii="Times New Roman" w:eastAsia="Calibri" w:hAnsi="Times New Roman" w:cs="Times New Roman"/>
          <w:spacing w:val="-1"/>
          <w:sz w:val="24"/>
          <w:szCs w:val="24"/>
        </w:rPr>
        <w:t xml:space="preserve"> </w:t>
      </w:r>
      <w:r w:rsidRPr="00A07F29">
        <w:rPr>
          <w:rFonts w:ascii="Times New Roman" w:eastAsia="Calibri" w:hAnsi="Times New Roman" w:cs="Times New Roman"/>
          <w:sz w:val="24"/>
          <w:szCs w:val="24"/>
        </w:rPr>
        <w:t>– Eiropas Savienības Kohēzijas fonda projekts “Priekšnosacījumu izveide labākai bioloģiskās daudzveidības saglabāšanai un ekosistēmu aizsardzībai Latvijā</w:t>
      </w:r>
      <w:r w:rsidR="00165677" w:rsidRPr="00A07F29">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(Nr.</w:t>
      </w:r>
      <w:r w:rsidR="00A20FD6" w:rsidRPr="00A07F29">
        <w:rPr>
          <w:rFonts w:ascii="Times New Roman" w:eastAsia="Calibri" w:hAnsi="Times New Roman" w:cs="Times New Roman"/>
          <w:sz w:val="24"/>
          <w:szCs w:val="24"/>
        </w:rPr>
        <w:t> </w:t>
      </w:r>
      <w:r w:rsidRPr="00A07F29">
        <w:rPr>
          <w:rFonts w:ascii="Times New Roman" w:eastAsia="Calibri" w:hAnsi="Times New Roman" w:cs="Times New Roman"/>
          <w:sz w:val="24"/>
          <w:szCs w:val="24"/>
        </w:rPr>
        <w:t>5.4.2.1/16/I/001)</w:t>
      </w:r>
      <w:r w:rsidR="00A50454" w:rsidRPr="00A07F29">
        <w:rPr>
          <w:rFonts w:ascii="Times New Roman" w:eastAsia="Calibri" w:hAnsi="Times New Roman" w:cs="Times New Roman"/>
          <w:sz w:val="24"/>
          <w:szCs w:val="24"/>
        </w:rPr>
        <w:t>;</w:t>
      </w:r>
    </w:p>
    <w:p w14:paraId="363FF025" w14:textId="1ED7663D" w:rsidR="00A50454" w:rsidRPr="00A07F29" w:rsidRDefault="00A50454" w:rsidP="00876B9C">
      <w:pPr>
        <w:spacing w:before="75" w:after="75" w:line="240" w:lineRule="auto"/>
        <w:ind w:right="288"/>
        <w:jc w:val="both"/>
        <w:rPr>
          <w:rFonts w:ascii="Times New Roman" w:eastAsia="Times New Roman" w:hAnsi="Times New Roman" w:cs="Times New Roman"/>
          <w:b/>
          <w:sz w:val="24"/>
          <w:szCs w:val="24"/>
          <w:lang w:eastAsia="lv-LV"/>
        </w:rPr>
      </w:pPr>
      <w:r w:rsidRPr="00A07F29">
        <w:rPr>
          <w:rFonts w:ascii="Times New Roman" w:eastAsia="Times New Roman" w:hAnsi="Times New Roman" w:cs="Times New Roman"/>
          <w:sz w:val="24"/>
          <w:szCs w:val="24"/>
          <w:lang w:eastAsia="lv-LV"/>
        </w:rPr>
        <w:t>D – dienvidi (debespuses apzīmējums)</w:t>
      </w:r>
      <w:r w:rsidR="00165677" w:rsidRPr="00A07F29">
        <w:rPr>
          <w:rFonts w:ascii="Times New Roman" w:eastAsia="Times New Roman" w:hAnsi="Times New Roman" w:cs="Times New Roman"/>
          <w:sz w:val="24"/>
          <w:szCs w:val="24"/>
          <w:lang w:eastAsia="lv-LV"/>
        </w:rPr>
        <w:t>;</w:t>
      </w:r>
    </w:p>
    <w:p w14:paraId="44F1602C" w14:textId="4879F140" w:rsidR="00A50454" w:rsidRPr="00A07F29" w:rsidRDefault="00A50454" w:rsidP="00876B9C">
      <w:pPr>
        <w:widowControl w:val="0"/>
        <w:spacing w:after="0" w:line="240" w:lineRule="auto"/>
        <w:rPr>
          <w:rFonts w:ascii="Times New Roman" w:eastAsia="Calibri" w:hAnsi="Times New Roman" w:cs="Times New Roman"/>
          <w:sz w:val="24"/>
          <w:szCs w:val="24"/>
        </w:rPr>
      </w:pPr>
      <w:r w:rsidRPr="00A07F29">
        <w:rPr>
          <w:rFonts w:ascii="Times New Roman" w:eastAsia="Times New Roman" w:hAnsi="Times New Roman" w:cs="Times New Roman"/>
          <w:sz w:val="24"/>
          <w:szCs w:val="24"/>
          <w:lang w:eastAsia="lv-LV"/>
        </w:rPr>
        <w:t>DA – dienvidaustrumi (debespuses apzīmējums)</w:t>
      </w:r>
      <w:r w:rsidR="00165677" w:rsidRPr="00A07F29">
        <w:rPr>
          <w:rFonts w:ascii="Times New Roman" w:eastAsia="Times New Roman" w:hAnsi="Times New Roman" w:cs="Times New Roman"/>
          <w:sz w:val="24"/>
          <w:szCs w:val="24"/>
          <w:lang w:eastAsia="lv-LV"/>
        </w:rPr>
        <w:t>;</w:t>
      </w:r>
    </w:p>
    <w:p w14:paraId="1AB8FB71" w14:textId="015CEF37" w:rsidR="00C12B08" w:rsidRPr="00A07F29" w:rsidRDefault="00C12B08" w:rsidP="00876B9C">
      <w:pPr>
        <w:spacing w:before="75" w:after="75" w:line="240" w:lineRule="auto"/>
        <w:ind w:right="-316"/>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 xml:space="preserve">DAP – </w:t>
      </w:r>
      <w:r w:rsidR="00511AA1" w:rsidRPr="00A07F29">
        <w:rPr>
          <w:rFonts w:ascii="Times New Roman" w:eastAsia="Times New Roman" w:hAnsi="Times New Roman" w:cs="Times New Roman"/>
          <w:sz w:val="24"/>
          <w:szCs w:val="24"/>
          <w:lang w:eastAsia="lv-LV"/>
        </w:rPr>
        <w:t>Dabas aizsardzības pārvalde</w:t>
      </w:r>
      <w:r w:rsidRPr="00A07F29">
        <w:rPr>
          <w:rFonts w:ascii="Times New Roman" w:eastAsia="Times New Roman" w:hAnsi="Times New Roman" w:cs="Times New Roman"/>
          <w:sz w:val="24"/>
          <w:szCs w:val="24"/>
          <w:lang w:eastAsia="lv-LV"/>
        </w:rPr>
        <w:t xml:space="preserve">; </w:t>
      </w:r>
    </w:p>
    <w:p w14:paraId="4592D054" w14:textId="0C0B46B6" w:rsidR="00C12B08" w:rsidRPr="00A07F29" w:rsidRDefault="00C12B08" w:rsidP="00876B9C">
      <w:pPr>
        <w:spacing w:before="75" w:after="75" w:line="240" w:lineRule="auto"/>
        <w:ind w:right="-316"/>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 xml:space="preserve">DA plāns – </w:t>
      </w:r>
      <w:r w:rsidR="00503A3C" w:rsidRPr="00A07F29">
        <w:rPr>
          <w:rFonts w:ascii="Times New Roman" w:eastAsia="Times New Roman" w:hAnsi="Times New Roman" w:cs="Times New Roman"/>
          <w:sz w:val="24"/>
          <w:szCs w:val="24"/>
          <w:lang w:eastAsia="lv-LV"/>
        </w:rPr>
        <w:t>dabas aizsardzības</w:t>
      </w:r>
      <w:r w:rsidR="00BF0E06" w:rsidRPr="00A07F29">
        <w:rPr>
          <w:rFonts w:ascii="Times New Roman" w:eastAsia="Times New Roman" w:hAnsi="Times New Roman" w:cs="Times New Roman"/>
          <w:sz w:val="24"/>
          <w:szCs w:val="24"/>
          <w:lang w:eastAsia="lv-LV"/>
        </w:rPr>
        <w:t xml:space="preserve"> plāns</w:t>
      </w:r>
      <w:r w:rsidRPr="00A07F29">
        <w:rPr>
          <w:rFonts w:ascii="Times New Roman" w:eastAsia="Times New Roman" w:hAnsi="Times New Roman" w:cs="Times New Roman"/>
          <w:sz w:val="24"/>
          <w:szCs w:val="24"/>
          <w:lang w:eastAsia="lv-LV"/>
        </w:rPr>
        <w:t xml:space="preserve">; </w:t>
      </w:r>
    </w:p>
    <w:p w14:paraId="27A45CF4" w14:textId="35C41112" w:rsidR="004D6F67" w:rsidRPr="00A07F29" w:rsidRDefault="004D6F67" w:rsidP="00876B9C">
      <w:pPr>
        <w:spacing w:before="75" w:after="75" w:line="240" w:lineRule="auto"/>
        <w:ind w:right="-316"/>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 xml:space="preserve">DDPS </w:t>
      </w:r>
      <w:r w:rsidR="00C520E2">
        <w:rPr>
          <w:rFonts w:ascii="Times New Roman" w:eastAsia="Times New Roman" w:hAnsi="Times New Roman" w:cs="Times New Roman"/>
          <w:sz w:val="24"/>
          <w:szCs w:val="24"/>
          <w:lang w:eastAsia="lv-LV"/>
        </w:rPr>
        <w:t>“</w:t>
      </w:r>
      <w:r w:rsidR="00FF01A4">
        <w:rPr>
          <w:rFonts w:ascii="Times New Roman" w:eastAsia="Times New Roman" w:hAnsi="Times New Roman" w:cs="Times New Roman"/>
          <w:sz w:val="24"/>
          <w:szCs w:val="24"/>
          <w:lang w:eastAsia="lv-LV"/>
        </w:rPr>
        <w:t>OZOLS</w:t>
      </w:r>
      <w:r w:rsidR="00C520E2">
        <w:rPr>
          <w:rFonts w:ascii="Times New Roman" w:eastAsia="Times New Roman" w:hAnsi="Times New Roman" w:cs="Times New Roman"/>
          <w:sz w:val="24"/>
          <w:szCs w:val="24"/>
          <w:lang w:eastAsia="lv-LV"/>
        </w:rPr>
        <w:t>”</w:t>
      </w:r>
      <w:r w:rsidR="00FF01A4">
        <w:rPr>
          <w:rFonts w:ascii="Times New Roman" w:eastAsia="Times New Roman" w:hAnsi="Times New Roman" w:cs="Times New Roman"/>
          <w:sz w:val="24"/>
          <w:szCs w:val="24"/>
          <w:lang w:eastAsia="lv-LV"/>
        </w:rPr>
        <w:t xml:space="preserve"> </w:t>
      </w:r>
      <w:r w:rsidR="00B35EA0" w:rsidRPr="00A07F29">
        <w:rPr>
          <w:rFonts w:ascii="Times New Roman" w:eastAsia="Times New Roman" w:hAnsi="Times New Roman" w:cs="Times New Roman"/>
          <w:sz w:val="24"/>
          <w:szCs w:val="24"/>
          <w:lang w:eastAsia="lv-LV"/>
        </w:rPr>
        <w:t>–</w:t>
      </w:r>
      <w:r w:rsidRPr="00A07F29">
        <w:rPr>
          <w:rFonts w:ascii="Times New Roman" w:eastAsia="Times New Roman" w:hAnsi="Times New Roman" w:cs="Times New Roman"/>
          <w:sz w:val="24"/>
          <w:szCs w:val="24"/>
          <w:lang w:eastAsia="lv-LV"/>
        </w:rPr>
        <w:t xml:space="preserve"> Dabas datu pārvaldības sistēma OZOLS</w:t>
      </w:r>
      <w:r w:rsidR="00B35EA0" w:rsidRPr="00A07F29">
        <w:rPr>
          <w:rFonts w:ascii="Times New Roman" w:eastAsia="Times New Roman" w:hAnsi="Times New Roman" w:cs="Times New Roman"/>
          <w:sz w:val="24"/>
          <w:szCs w:val="24"/>
          <w:lang w:eastAsia="lv-LV"/>
        </w:rPr>
        <w:t>;</w:t>
      </w:r>
    </w:p>
    <w:p w14:paraId="2C4EFBC9" w14:textId="77777777" w:rsidR="00C12B08" w:rsidRPr="00A07F29" w:rsidRDefault="00C12B08" w:rsidP="00876B9C">
      <w:pPr>
        <w:spacing w:before="75" w:after="75" w:line="240" w:lineRule="auto"/>
        <w:ind w:right="-316"/>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DL – dabas liegums;</w:t>
      </w:r>
    </w:p>
    <w:p w14:paraId="6D1E1C9E" w14:textId="77777777" w:rsidR="00C12B08" w:rsidRPr="00A07F29" w:rsidRDefault="00C12B08" w:rsidP="00876B9C">
      <w:pPr>
        <w:spacing w:before="75" w:after="75" w:line="240" w:lineRule="auto"/>
        <w:ind w:right="-316"/>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DMB – dabiskie meža biotopi;</w:t>
      </w:r>
    </w:p>
    <w:p w14:paraId="373CC7FE" w14:textId="500CABD3" w:rsidR="00C12B08" w:rsidRPr="00A07F29" w:rsidRDefault="00C12B08" w:rsidP="00876B9C">
      <w:pPr>
        <w:spacing w:before="75" w:after="75" w:line="240" w:lineRule="auto"/>
        <w:ind w:right="-316"/>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 xml:space="preserve">DP – </w:t>
      </w:r>
      <w:r w:rsidR="00CE0FBA" w:rsidRPr="00A07F29">
        <w:rPr>
          <w:rFonts w:ascii="Times New Roman" w:eastAsia="Times New Roman" w:hAnsi="Times New Roman" w:cs="Times New Roman"/>
          <w:sz w:val="24"/>
          <w:szCs w:val="24"/>
          <w:lang w:eastAsia="lv-LV"/>
        </w:rPr>
        <w:t>dabas parks</w:t>
      </w:r>
      <w:r w:rsidRPr="00A07F29">
        <w:rPr>
          <w:rFonts w:ascii="Times New Roman" w:eastAsia="Times New Roman" w:hAnsi="Times New Roman" w:cs="Times New Roman"/>
          <w:sz w:val="24"/>
          <w:szCs w:val="24"/>
          <w:lang w:eastAsia="lv-LV"/>
        </w:rPr>
        <w:t>;</w:t>
      </w:r>
    </w:p>
    <w:p w14:paraId="5E00862B" w14:textId="182E154A" w:rsidR="00A50454" w:rsidRPr="00A07F29" w:rsidRDefault="00A50454" w:rsidP="00876B9C">
      <w:pPr>
        <w:widowControl w:val="0"/>
        <w:spacing w:after="0" w:line="240" w:lineRule="auto"/>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DR – dienvidrietumi (debespuses apzīmējums)</w:t>
      </w:r>
      <w:r w:rsidR="00B35EA0" w:rsidRPr="00A07F29">
        <w:rPr>
          <w:rFonts w:ascii="Times New Roman" w:eastAsia="Times New Roman" w:hAnsi="Times New Roman" w:cs="Times New Roman"/>
          <w:sz w:val="24"/>
          <w:szCs w:val="24"/>
          <w:lang w:eastAsia="lv-LV"/>
        </w:rPr>
        <w:t>;</w:t>
      </w:r>
    </w:p>
    <w:p w14:paraId="3C1AEFB2" w14:textId="0D335D13" w:rsidR="00A23261" w:rsidRDefault="00A23261" w:rsidP="00A23261">
      <w:pPr>
        <w:spacing w:before="75" w:after="75" w:line="240" w:lineRule="auto"/>
        <w:ind w:right="-316"/>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DU – Daugavpils Universitāte</w:t>
      </w:r>
      <w:r w:rsidR="00C3055E" w:rsidRPr="00A07F29">
        <w:rPr>
          <w:rFonts w:ascii="Times New Roman" w:eastAsia="Times New Roman" w:hAnsi="Times New Roman" w:cs="Times New Roman"/>
          <w:sz w:val="24"/>
          <w:szCs w:val="24"/>
          <w:lang w:eastAsia="lv-LV"/>
        </w:rPr>
        <w:t>;</w:t>
      </w:r>
    </w:p>
    <w:p w14:paraId="514DA345" w14:textId="505392A4" w:rsidR="00583D04" w:rsidRPr="00A07F29" w:rsidRDefault="00583D04" w:rsidP="00A23261">
      <w:pPr>
        <w:spacing w:before="75" w:after="75" w:line="240" w:lineRule="auto"/>
        <w:ind w:right="-316"/>
        <w:jc w:val="both"/>
        <w:rPr>
          <w:rFonts w:ascii="Times New Roman" w:eastAsia="Times New Roman" w:hAnsi="Times New Roman" w:cs="Times New Roman"/>
          <w:sz w:val="24"/>
          <w:szCs w:val="24"/>
          <w:lang w:eastAsia="lv-LV"/>
        </w:rPr>
      </w:pPr>
      <w:r w:rsidRPr="00583D04">
        <w:rPr>
          <w:rFonts w:ascii="Times New Roman" w:eastAsia="Times New Roman" w:hAnsi="Times New Roman" w:cs="Times New Roman"/>
          <w:sz w:val="24"/>
          <w:szCs w:val="24"/>
          <w:lang w:eastAsia="lv-LV"/>
        </w:rPr>
        <w:t>EMERALD projekts – projekts “Latvijas Īpaši aizsargājamo dabas teritoriju sistēmas saskaņošana ar EMERALD/</w:t>
      </w:r>
      <w:proofErr w:type="spellStart"/>
      <w:r w:rsidRPr="00583D04">
        <w:rPr>
          <w:rFonts w:ascii="Times New Roman" w:eastAsia="Times New Roman" w:hAnsi="Times New Roman" w:cs="Times New Roman"/>
          <w:sz w:val="24"/>
          <w:szCs w:val="24"/>
          <w:lang w:eastAsia="lv-LV"/>
        </w:rPr>
        <w:t>Natura</w:t>
      </w:r>
      <w:proofErr w:type="spellEnd"/>
      <w:r w:rsidRPr="00583D04">
        <w:rPr>
          <w:rFonts w:ascii="Times New Roman" w:eastAsia="Times New Roman" w:hAnsi="Times New Roman" w:cs="Times New Roman"/>
          <w:sz w:val="24"/>
          <w:szCs w:val="24"/>
          <w:lang w:eastAsia="lv-LV"/>
        </w:rPr>
        <w:t xml:space="preserve"> 2000 aizsargājamo teritoriju tīklu”</w:t>
      </w:r>
      <w:r w:rsidR="00C019F4">
        <w:rPr>
          <w:rFonts w:ascii="Times New Roman" w:eastAsia="Times New Roman" w:hAnsi="Times New Roman" w:cs="Times New Roman"/>
          <w:sz w:val="24"/>
          <w:szCs w:val="24"/>
          <w:lang w:eastAsia="lv-LV"/>
        </w:rPr>
        <w:t>;</w:t>
      </w:r>
    </w:p>
    <w:p w14:paraId="31D13903" w14:textId="46CA18D7" w:rsidR="00C12B08" w:rsidRPr="00A07F29" w:rsidRDefault="00C12B08" w:rsidP="00876B9C">
      <w:pPr>
        <w:spacing w:before="75" w:after="75" w:line="240" w:lineRule="auto"/>
        <w:ind w:right="-316"/>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 xml:space="preserve">ES – </w:t>
      </w:r>
      <w:r w:rsidR="001E391E" w:rsidRPr="00A07F29">
        <w:rPr>
          <w:rFonts w:ascii="Times New Roman" w:eastAsia="Times New Roman" w:hAnsi="Times New Roman" w:cs="Times New Roman"/>
          <w:sz w:val="24"/>
          <w:szCs w:val="24"/>
          <w:lang w:eastAsia="lv-LV"/>
        </w:rPr>
        <w:t>E</w:t>
      </w:r>
      <w:r w:rsidR="00511AA1" w:rsidRPr="00A07F29">
        <w:rPr>
          <w:rFonts w:ascii="Times New Roman" w:eastAsia="Times New Roman" w:hAnsi="Times New Roman" w:cs="Times New Roman"/>
          <w:sz w:val="24"/>
          <w:szCs w:val="24"/>
          <w:lang w:eastAsia="lv-LV"/>
        </w:rPr>
        <w:t>iropas Savienība</w:t>
      </w:r>
      <w:r w:rsidRPr="00A07F29">
        <w:rPr>
          <w:rFonts w:ascii="Times New Roman" w:eastAsia="Times New Roman" w:hAnsi="Times New Roman" w:cs="Times New Roman"/>
          <w:sz w:val="24"/>
          <w:szCs w:val="24"/>
          <w:lang w:eastAsia="lv-LV"/>
        </w:rPr>
        <w:t xml:space="preserve">; </w:t>
      </w:r>
    </w:p>
    <w:p w14:paraId="4284E47B" w14:textId="50A77A01" w:rsidR="00C12B08" w:rsidRPr="00A07F29" w:rsidRDefault="00C12B08" w:rsidP="00876B9C">
      <w:pPr>
        <w:spacing w:before="75" w:after="75" w:line="240" w:lineRule="auto"/>
        <w:ind w:right="-316"/>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EP – Eiropas Padome</w:t>
      </w:r>
      <w:r w:rsidR="00CE0FBA" w:rsidRPr="00A07F29">
        <w:rPr>
          <w:rFonts w:ascii="Times New Roman" w:eastAsia="Times New Roman" w:hAnsi="Times New Roman" w:cs="Times New Roman"/>
          <w:sz w:val="24"/>
          <w:szCs w:val="24"/>
          <w:lang w:eastAsia="lv-LV"/>
        </w:rPr>
        <w:t>;</w:t>
      </w:r>
    </w:p>
    <w:p w14:paraId="44005127" w14:textId="3FF04043" w:rsidR="0092556E" w:rsidRDefault="0092556E" w:rsidP="00876B9C">
      <w:pPr>
        <w:spacing w:before="75" w:after="75" w:line="240" w:lineRule="auto"/>
        <w:ind w:right="-316"/>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EEZ – Eiropas ekonomiskā zona;</w:t>
      </w:r>
    </w:p>
    <w:p w14:paraId="6CA0E56B" w14:textId="1ED8438D" w:rsidR="001924D2" w:rsidRPr="00A07F29" w:rsidRDefault="001924D2" w:rsidP="00876B9C">
      <w:pPr>
        <w:spacing w:before="75" w:after="75" w:line="240" w:lineRule="auto"/>
        <w:ind w:right="-316"/>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ETC – </w:t>
      </w:r>
      <w:proofErr w:type="spellStart"/>
      <w:r w:rsidRPr="00F60F53">
        <w:rPr>
          <w:rFonts w:ascii="Times New Roman" w:eastAsia="Times New Roman" w:hAnsi="Times New Roman" w:cs="Times New Roman"/>
          <w:sz w:val="24"/>
          <w:szCs w:val="24"/>
          <w:lang w:eastAsia="lv-LV"/>
        </w:rPr>
        <w:t>E</w:t>
      </w:r>
      <w:r w:rsidR="000076E7">
        <w:rPr>
          <w:rFonts w:ascii="Times New Roman" w:eastAsia="Times New Roman" w:hAnsi="Times New Roman" w:cs="Times New Roman"/>
          <w:sz w:val="24"/>
          <w:szCs w:val="24"/>
          <w:lang w:eastAsia="lv-LV"/>
        </w:rPr>
        <w:t>uropean</w:t>
      </w:r>
      <w:proofErr w:type="spellEnd"/>
      <w:r w:rsidR="000076E7">
        <w:rPr>
          <w:rFonts w:ascii="Times New Roman" w:eastAsia="Times New Roman" w:hAnsi="Times New Roman" w:cs="Times New Roman"/>
          <w:sz w:val="24"/>
          <w:szCs w:val="24"/>
          <w:lang w:eastAsia="lv-LV"/>
        </w:rPr>
        <w:t xml:space="preserve"> </w:t>
      </w:r>
      <w:proofErr w:type="spellStart"/>
      <w:r w:rsidR="000076E7">
        <w:rPr>
          <w:rFonts w:ascii="Times New Roman" w:eastAsia="Times New Roman" w:hAnsi="Times New Roman" w:cs="Times New Roman"/>
          <w:sz w:val="24"/>
          <w:szCs w:val="24"/>
          <w:lang w:eastAsia="lv-LV"/>
        </w:rPr>
        <w:t>Topic</w:t>
      </w:r>
      <w:proofErr w:type="spellEnd"/>
      <w:r w:rsidR="000076E7">
        <w:rPr>
          <w:rFonts w:ascii="Times New Roman" w:eastAsia="Times New Roman" w:hAnsi="Times New Roman" w:cs="Times New Roman"/>
          <w:sz w:val="24"/>
          <w:szCs w:val="24"/>
          <w:lang w:eastAsia="lv-LV"/>
        </w:rPr>
        <w:t xml:space="preserve"> </w:t>
      </w:r>
      <w:proofErr w:type="spellStart"/>
      <w:r w:rsidR="000076E7">
        <w:rPr>
          <w:rFonts w:ascii="Times New Roman" w:eastAsia="Times New Roman" w:hAnsi="Times New Roman" w:cs="Times New Roman"/>
          <w:sz w:val="24"/>
          <w:szCs w:val="24"/>
          <w:lang w:eastAsia="lv-LV"/>
        </w:rPr>
        <w:t>Centre</w:t>
      </w:r>
      <w:proofErr w:type="spellEnd"/>
      <w:r w:rsidR="000076E7">
        <w:rPr>
          <w:rFonts w:ascii="Times New Roman" w:eastAsia="Times New Roman" w:hAnsi="Times New Roman" w:cs="Times New Roman"/>
          <w:sz w:val="24"/>
          <w:szCs w:val="24"/>
          <w:lang w:eastAsia="lv-LV"/>
        </w:rPr>
        <w:t>;</w:t>
      </w:r>
    </w:p>
    <w:p w14:paraId="585DBA28" w14:textId="03ED7133" w:rsidR="00CE0FBA" w:rsidRPr="00A07F29" w:rsidRDefault="00CE0FBA" w:rsidP="00305ED1">
      <w:pPr>
        <w:spacing w:before="75" w:after="75" w:line="240" w:lineRule="auto"/>
        <w:ind w:right="-46"/>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 xml:space="preserve">GIS Latvija – datu bāze, kas ir fona karte, kas nodrošina pārskata informāciju par Latvijas teritoriju, datu bāzi var izmantot ikviens programmatūras </w:t>
      </w:r>
      <w:proofErr w:type="spellStart"/>
      <w:r w:rsidRPr="00A07F29">
        <w:rPr>
          <w:rFonts w:ascii="Times New Roman" w:eastAsia="Times New Roman" w:hAnsi="Times New Roman" w:cs="Times New Roman"/>
          <w:sz w:val="24"/>
          <w:szCs w:val="24"/>
          <w:lang w:eastAsia="lv-LV"/>
        </w:rPr>
        <w:t>Esri</w:t>
      </w:r>
      <w:proofErr w:type="spellEnd"/>
      <w:r w:rsidRPr="00A07F29">
        <w:rPr>
          <w:rFonts w:ascii="Times New Roman" w:eastAsia="Times New Roman" w:hAnsi="Times New Roman" w:cs="Times New Roman"/>
          <w:sz w:val="24"/>
          <w:szCs w:val="24"/>
          <w:lang w:eastAsia="lv-LV"/>
        </w:rPr>
        <w:t xml:space="preserve"> </w:t>
      </w:r>
      <w:proofErr w:type="spellStart"/>
      <w:r w:rsidRPr="00A07F29">
        <w:rPr>
          <w:rFonts w:ascii="Times New Roman" w:eastAsia="Times New Roman" w:hAnsi="Times New Roman" w:cs="Times New Roman"/>
          <w:sz w:val="24"/>
          <w:szCs w:val="24"/>
          <w:lang w:eastAsia="lv-LV"/>
        </w:rPr>
        <w:t>ArcGIS</w:t>
      </w:r>
      <w:proofErr w:type="spellEnd"/>
      <w:r w:rsidRPr="00A07F29">
        <w:rPr>
          <w:rFonts w:ascii="Times New Roman" w:eastAsia="Times New Roman" w:hAnsi="Times New Roman" w:cs="Times New Roman"/>
          <w:sz w:val="24"/>
          <w:szCs w:val="24"/>
          <w:lang w:eastAsia="lv-LV"/>
        </w:rPr>
        <w:t xml:space="preserve"> lietotājs;</w:t>
      </w:r>
    </w:p>
    <w:p w14:paraId="471C65FA" w14:textId="5A01FA3F" w:rsidR="00E80B92" w:rsidRDefault="00E80B92" w:rsidP="00305ED1">
      <w:pPr>
        <w:spacing w:before="75" w:after="75" w:line="240" w:lineRule="auto"/>
        <w:ind w:right="-46"/>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IKP – iekšzemes kopprodukts;</w:t>
      </w:r>
    </w:p>
    <w:p w14:paraId="1346C0B8" w14:textId="085CC5FC" w:rsidR="009C4BAE" w:rsidRPr="00A07F29" w:rsidRDefault="009C4BAE" w:rsidP="00305ED1">
      <w:pPr>
        <w:spacing w:before="75" w:after="75" w:line="240" w:lineRule="auto"/>
        <w:ind w:right="-46"/>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IUCN </w:t>
      </w:r>
      <w:r w:rsidR="006B2493">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sidR="000264F3" w:rsidRPr="000264F3">
        <w:rPr>
          <w:rFonts w:ascii="Times New Roman" w:eastAsia="Times New Roman" w:hAnsi="Times New Roman" w:cs="Times New Roman"/>
          <w:sz w:val="24"/>
          <w:szCs w:val="24"/>
          <w:lang w:eastAsia="lv-LV"/>
        </w:rPr>
        <w:t>Pasaules dabas aizsardzības organizācija</w:t>
      </w:r>
      <w:r w:rsidR="000264F3">
        <w:rPr>
          <w:rFonts w:ascii="Times New Roman" w:eastAsia="Times New Roman" w:hAnsi="Times New Roman" w:cs="Times New Roman"/>
          <w:sz w:val="24"/>
          <w:szCs w:val="24"/>
          <w:lang w:eastAsia="lv-LV"/>
        </w:rPr>
        <w:t xml:space="preserve"> </w:t>
      </w:r>
      <w:r w:rsidR="002B7370">
        <w:rPr>
          <w:rFonts w:ascii="Times New Roman" w:eastAsia="Times New Roman" w:hAnsi="Times New Roman" w:cs="Times New Roman"/>
          <w:sz w:val="24"/>
          <w:szCs w:val="24"/>
          <w:lang w:eastAsia="lv-LV"/>
        </w:rPr>
        <w:t>(</w:t>
      </w:r>
      <w:proofErr w:type="spellStart"/>
      <w:r w:rsidR="00B1662A" w:rsidRPr="00B1662A">
        <w:rPr>
          <w:rFonts w:ascii="Times New Roman" w:eastAsia="Times New Roman" w:hAnsi="Times New Roman" w:cs="Times New Roman"/>
          <w:sz w:val="24"/>
          <w:szCs w:val="24"/>
          <w:lang w:eastAsia="lv-LV"/>
        </w:rPr>
        <w:t>International</w:t>
      </w:r>
      <w:proofErr w:type="spellEnd"/>
      <w:r w:rsidR="00B1662A" w:rsidRPr="00B1662A">
        <w:rPr>
          <w:rFonts w:ascii="Times New Roman" w:eastAsia="Times New Roman" w:hAnsi="Times New Roman" w:cs="Times New Roman"/>
          <w:sz w:val="24"/>
          <w:szCs w:val="24"/>
          <w:lang w:eastAsia="lv-LV"/>
        </w:rPr>
        <w:t xml:space="preserve"> </w:t>
      </w:r>
      <w:proofErr w:type="spellStart"/>
      <w:r w:rsidR="00B1662A" w:rsidRPr="00B1662A">
        <w:rPr>
          <w:rFonts w:ascii="Times New Roman" w:eastAsia="Times New Roman" w:hAnsi="Times New Roman" w:cs="Times New Roman"/>
          <w:sz w:val="24"/>
          <w:szCs w:val="24"/>
          <w:lang w:eastAsia="lv-LV"/>
        </w:rPr>
        <w:t>Union</w:t>
      </w:r>
      <w:proofErr w:type="spellEnd"/>
      <w:r w:rsidR="00B1662A" w:rsidRPr="00B1662A">
        <w:rPr>
          <w:rFonts w:ascii="Times New Roman" w:eastAsia="Times New Roman" w:hAnsi="Times New Roman" w:cs="Times New Roman"/>
          <w:sz w:val="24"/>
          <w:szCs w:val="24"/>
          <w:lang w:eastAsia="lv-LV"/>
        </w:rPr>
        <w:t xml:space="preserve"> </w:t>
      </w:r>
      <w:proofErr w:type="spellStart"/>
      <w:r w:rsidR="00B1662A" w:rsidRPr="00B1662A">
        <w:rPr>
          <w:rFonts w:ascii="Times New Roman" w:eastAsia="Times New Roman" w:hAnsi="Times New Roman" w:cs="Times New Roman"/>
          <w:sz w:val="24"/>
          <w:szCs w:val="24"/>
          <w:lang w:eastAsia="lv-LV"/>
        </w:rPr>
        <w:t>for</w:t>
      </w:r>
      <w:proofErr w:type="spellEnd"/>
      <w:r w:rsidR="00B1662A" w:rsidRPr="00B1662A">
        <w:rPr>
          <w:rFonts w:ascii="Times New Roman" w:eastAsia="Times New Roman" w:hAnsi="Times New Roman" w:cs="Times New Roman"/>
          <w:sz w:val="24"/>
          <w:szCs w:val="24"/>
          <w:lang w:eastAsia="lv-LV"/>
        </w:rPr>
        <w:t xml:space="preserve"> </w:t>
      </w:r>
      <w:proofErr w:type="spellStart"/>
      <w:r w:rsidR="00B1662A" w:rsidRPr="00B1662A">
        <w:rPr>
          <w:rFonts w:ascii="Times New Roman" w:eastAsia="Times New Roman" w:hAnsi="Times New Roman" w:cs="Times New Roman"/>
          <w:sz w:val="24"/>
          <w:szCs w:val="24"/>
          <w:lang w:eastAsia="lv-LV"/>
        </w:rPr>
        <w:t>Conservation</w:t>
      </w:r>
      <w:proofErr w:type="spellEnd"/>
      <w:r w:rsidR="00B1662A" w:rsidRPr="00B1662A">
        <w:rPr>
          <w:rFonts w:ascii="Times New Roman" w:eastAsia="Times New Roman" w:hAnsi="Times New Roman" w:cs="Times New Roman"/>
          <w:sz w:val="24"/>
          <w:szCs w:val="24"/>
          <w:lang w:eastAsia="lv-LV"/>
        </w:rPr>
        <w:t xml:space="preserve"> </w:t>
      </w:r>
      <w:proofErr w:type="spellStart"/>
      <w:r w:rsidR="00B1662A" w:rsidRPr="00B1662A">
        <w:rPr>
          <w:rFonts w:ascii="Times New Roman" w:eastAsia="Times New Roman" w:hAnsi="Times New Roman" w:cs="Times New Roman"/>
          <w:sz w:val="24"/>
          <w:szCs w:val="24"/>
          <w:lang w:eastAsia="lv-LV"/>
        </w:rPr>
        <w:t>of</w:t>
      </w:r>
      <w:proofErr w:type="spellEnd"/>
      <w:r w:rsidR="00B1662A" w:rsidRPr="00B1662A">
        <w:rPr>
          <w:rFonts w:ascii="Times New Roman" w:eastAsia="Times New Roman" w:hAnsi="Times New Roman" w:cs="Times New Roman"/>
          <w:sz w:val="24"/>
          <w:szCs w:val="24"/>
          <w:lang w:eastAsia="lv-LV"/>
        </w:rPr>
        <w:t xml:space="preserve"> Nature</w:t>
      </w:r>
      <w:r w:rsidR="00B1662A">
        <w:rPr>
          <w:rFonts w:ascii="Times New Roman" w:eastAsia="Times New Roman" w:hAnsi="Times New Roman" w:cs="Times New Roman"/>
          <w:sz w:val="24"/>
          <w:szCs w:val="24"/>
          <w:lang w:eastAsia="lv-LV"/>
        </w:rPr>
        <w:t>);</w:t>
      </w:r>
      <w:r w:rsidR="0091497E" w:rsidRPr="0091497E">
        <w:rPr>
          <w:rFonts w:ascii="Times New Roman" w:eastAsia="Calibri" w:hAnsi="Times New Roman" w:cs="Times New Roman"/>
          <w:color w:val="000000"/>
          <w:sz w:val="20"/>
        </w:rPr>
        <w:t xml:space="preserve"> </w:t>
      </w:r>
    </w:p>
    <w:p w14:paraId="7F3E2BF4" w14:textId="66810D85" w:rsidR="00C12B08" w:rsidRPr="00A07F29" w:rsidRDefault="00C12B08" w:rsidP="00305ED1">
      <w:pPr>
        <w:spacing w:before="75" w:after="75" w:line="240" w:lineRule="auto"/>
        <w:ind w:right="-46"/>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 xml:space="preserve">ĪADT – īpaši aizsargājamā dabas teritorija; </w:t>
      </w:r>
    </w:p>
    <w:p w14:paraId="7FF08B44" w14:textId="10D2C34A" w:rsidR="00A860B9" w:rsidRPr="00A07F29" w:rsidRDefault="00A860B9" w:rsidP="00305ED1">
      <w:pPr>
        <w:spacing w:before="75" w:after="75" w:line="240" w:lineRule="auto"/>
        <w:ind w:right="-46"/>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ĶSP – ķīmiskais skābekļa patēriņš. Skābekļa masas koncentrācija (mg/l), kas nepieciešama, lai oksidētu organiskās vielas vienā litrā ūdens. Lielums, ko izmanto, lai raksturotu ūdeņu piesārņojuma pakāpi ar organiskām vielām.</w:t>
      </w:r>
    </w:p>
    <w:p w14:paraId="0F2937B7" w14:textId="18CB5BBF" w:rsidR="00C12B08" w:rsidRPr="00A07F29" w:rsidRDefault="00C12B08" w:rsidP="00876B9C">
      <w:pPr>
        <w:spacing w:before="75" w:after="75" w:line="240" w:lineRule="auto"/>
        <w:ind w:right="-316"/>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LAD – Lauku atbalsta dienests</w:t>
      </w:r>
      <w:r w:rsidR="00A860B9" w:rsidRPr="00A07F29">
        <w:rPr>
          <w:rFonts w:ascii="Times New Roman" w:eastAsia="Times New Roman" w:hAnsi="Times New Roman" w:cs="Times New Roman"/>
          <w:sz w:val="24"/>
          <w:szCs w:val="24"/>
          <w:lang w:eastAsia="lv-LV"/>
        </w:rPr>
        <w:t>;</w:t>
      </w:r>
    </w:p>
    <w:p w14:paraId="3B4B1590" w14:textId="2F130A77" w:rsidR="00C12B08" w:rsidRPr="00A07F29" w:rsidRDefault="00C12B08" w:rsidP="00876B9C">
      <w:pPr>
        <w:spacing w:before="75" w:after="75" w:line="240" w:lineRule="auto"/>
        <w:ind w:right="-316"/>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LĢIA – Latvijas Ģeote</w:t>
      </w:r>
      <w:r w:rsidR="00BB7169" w:rsidRPr="00A07F29">
        <w:rPr>
          <w:rFonts w:ascii="Times New Roman" w:eastAsia="Times New Roman" w:hAnsi="Times New Roman" w:cs="Times New Roman"/>
          <w:sz w:val="24"/>
          <w:szCs w:val="24"/>
          <w:lang w:eastAsia="lv-LV"/>
        </w:rPr>
        <w:t>lpiskās informācijas aģentūra;</w:t>
      </w:r>
    </w:p>
    <w:p w14:paraId="4A8703FD" w14:textId="0C8288FE" w:rsidR="00C12B08" w:rsidRPr="00A07F29" w:rsidRDefault="00C12B08" w:rsidP="00876B9C">
      <w:pPr>
        <w:spacing w:before="75" w:after="75" w:line="240" w:lineRule="auto"/>
        <w:ind w:right="-316"/>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 xml:space="preserve">LOB – Latvijas </w:t>
      </w:r>
      <w:r w:rsidR="00AB7F7C" w:rsidRPr="00A07F29">
        <w:rPr>
          <w:rFonts w:ascii="Times New Roman" w:eastAsia="Times New Roman" w:hAnsi="Times New Roman" w:cs="Times New Roman"/>
          <w:sz w:val="24"/>
          <w:szCs w:val="24"/>
          <w:lang w:eastAsia="lv-LV"/>
        </w:rPr>
        <w:t>O</w:t>
      </w:r>
      <w:r w:rsidRPr="00A07F29">
        <w:rPr>
          <w:rFonts w:ascii="Times New Roman" w:eastAsia="Times New Roman" w:hAnsi="Times New Roman" w:cs="Times New Roman"/>
          <w:sz w:val="24"/>
          <w:szCs w:val="24"/>
          <w:lang w:eastAsia="lv-LV"/>
        </w:rPr>
        <w:t xml:space="preserve">rnitoloģijas biedrība; </w:t>
      </w:r>
    </w:p>
    <w:p w14:paraId="6598169A" w14:textId="669509A9" w:rsidR="005A5430" w:rsidRDefault="005A5430" w:rsidP="00876B9C">
      <w:pPr>
        <w:spacing w:before="75" w:after="75" w:line="240" w:lineRule="auto"/>
        <w:ind w:right="-316"/>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LR – Latvijas Republika;</w:t>
      </w:r>
    </w:p>
    <w:p w14:paraId="2486DF65" w14:textId="67207B03" w:rsidR="0003144C" w:rsidRPr="00A07F29" w:rsidRDefault="0003144C" w:rsidP="00876B9C">
      <w:pPr>
        <w:spacing w:before="75" w:after="75" w:line="240" w:lineRule="auto"/>
        <w:ind w:right="-316"/>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LVAF – Latvijas Vides aizsardzības fonds;</w:t>
      </w:r>
    </w:p>
    <w:p w14:paraId="7EA08A5B" w14:textId="26C8961F" w:rsidR="005A5430" w:rsidRPr="00A07F29" w:rsidRDefault="005A5430" w:rsidP="00876B9C">
      <w:pPr>
        <w:spacing w:before="75" w:after="75" w:line="240" w:lineRule="auto"/>
        <w:ind w:right="-316"/>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lastRenderedPageBreak/>
        <w:t>LVĢMC – Latvijas Vides, ģeoloģijas un meteoroloģijas centrs;</w:t>
      </w:r>
    </w:p>
    <w:p w14:paraId="38B0D01C" w14:textId="2DB7426F" w:rsidR="00C12B08" w:rsidRDefault="00C12B08" w:rsidP="00876B9C">
      <w:pPr>
        <w:spacing w:before="75" w:after="75" w:line="240" w:lineRule="auto"/>
        <w:ind w:right="-316"/>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 xml:space="preserve">LVM – akciju sabiedrība </w:t>
      </w:r>
      <w:r w:rsidR="00AE766F" w:rsidRPr="00A07F29">
        <w:rPr>
          <w:rFonts w:ascii="Times New Roman" w:eastAsia="Times New Roman" w:hAnsi="Times New Roman" w:cs="Times New Roman"/>
          <w:sz w:val="24"/>
          <w:szCs w:val="24"/>
          <w:lang w:eastAsia="lv-LV"/>
        </w:rPr>
        <w:t>“</w:t>
      </w:r>
      <w:r w:rsidRPr="00A07F29">
        <w:rPr>
          <w:rFonts w:ascii="Times New Roman" w:eastAsia="Times New Roman" w:hAnsi="Times New Roman" w:cs="Times New Roman"/>
          <w:sz w:val="24"/>
          <w:szCs w:val="24"/>
          <w:lang w:eastAsia="lv-LV"/>
        </w:rPr>
        <w:t>Latvijas valsts meži”</w:t>
      </w:r>
      <w:r w:rsidR="00AE766F" w:rsidRPr="00A07F29">
        <w:rPr>
          <w:rFonts w:ascii="Times New Roman" w:eastAsia="Times New Roman" w:hAnsi="Times New Roman" w:cs="Times New Roman"/>
          <w:sz w:val="24"/>
          <w:szCs w:val="24"/>
          <w:lang w:eastAsia="lv-LV"/>
        </w:rPr>
        <w:t>;</w:t>
      </w:r>
    </w:p>
    <w:p w14:paraId="3CCB0FA6" w14:textId="2BCAF788" w:rsidR="0003144C" w:rsidRPr="00A07F29" w:rsidRDefault="0003144C" w:rsidP="00876B9C">
      <w:pPr>
        <w:spacing w:before="75" w:after="75" w:line="240" w:lineRule="auto"/>
        <w:ind w:right="-316"/>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LVMI “Silava” – Latvijas Valsts mežzinātnes institūts “Silava”;</w:t>
      </w:r>
    </w:p>
    <w:p w14:paraId="722C9BC9" w14:textId="6A7C5DE2" w:rsidR="00C12B08" w:rsidRPr="00A07F29" w:rsidRDefault="00C12B08" w:rsidP="00876B9C">
      <w:pPr>
        <w:spacing w:before="75" w:after="75" w:line="240" w:lineRule="auto"/>
        <w:ind w:right="-316"/>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LVMPI – Latvijas valsts meli</w:t>
      </w:r>
      <w:r w:rsidR="00A23261" w:rsidRPr="00A07F29">
        <w:rPr>
          <w:rFonts w:ascii="Times New Roman" w:eastAsia="Times New Roman" w:hAnsi="Times New Roman" w:cs="Times New Roman"/>
          <w:sz w:val="24"/>
          <w:szCs w:val="24"/>
          <w:lang w:eastAsia="lv-LV"/>
        </w:rPr>
        <w:t>orācijas pētniecības institūts</w:t>
      </w:r>
      <w:r w:rsidR="00AE766F" w:rsidRPr="00A07F29">
        <w:rPr>
          <w:rFonts w:ascii="Times New Roman" w:eastAsia="Times New Roman" w:hAnsi="Times New Roman" w:cs="Times New Roman"/>
          <w:sz w:val="24"/>
          <w:szCs w:val="24"/>
          <w:lang w:eastAsia="lv-LV"/>
        </w:rPr>
        <w:t>;</w:t>
      </w:r>
      <w:r w:rsidR="00A23261" w:rsidRPr="00A07F29">
        <w:rPr>
          <w:rFonts w:ascii="Times New Roman" w:eastAsia="Times New Roman" w:hAnsi="Times New Roman" w:cs="Times New Roman"/>
          <w:sz w:val="24"/>
          <w:szCs w:val="24"/>
          <w:lang w:eastAsia="lv-LV"/>
        </w:rPr>
        <w:t xml:space="preserve"> </w:t>
      </w:r>
    </w:p>
    <w:p w14:paraId="7CF40580" w14:textId="402AA4D5" w:rsidR="00A23261" w:rsidRPr="00A07F29" w:rsidRDefault="00A23261" w:rsidP="00876B9C">
      <w:pPr>
        <w:spacing w:before="75" w:after="75" w:line="240" w:lineRule="auto"/>
        <w:ind w:right="-316"/>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LU – Latvijas Universitāte</w:t>
      </w:r>
      <w:r w:rsidR="00AE766F" w:rsidRPr="00A07F29">
        <w:rPr>
          <w:rFonts w:ascii="Times New Roman" w:eastAsia="Times New Roman" w:hAnsi="Times New Roman" w:cs="Times New Roman"/>
          <w:sz w:val="24"/>
          <w:szCs w:val="24"/>
          <w:lang w:eastAsia="lv-LV"/>
        </w:rPr>
        <w:t>;</w:t>
      </w:r>
    </w:p>
    <w:p w14:paraId="7E3D5249" w14:textId="3F025147" w:rsidR="00A23261" w:rsidRPr="00A07F29" w:rsidRDefault="00A23261" w:rsidP="00876B9C">
      <w:pPr>
        <w:spacing w:before="75" w:after="75" w:line="240" w:lineRule="auto"/>
        <w:ind w:right="-316"/>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LZA – Latvijas Zinātņu akadēmija</w:t>
      </w:r>
      <w:r w:rsidR="00AE766F" w:rsidRPr="00A07F29">
        <w:rPr>
          <w:rFonts w:ascii="Times New Roman" w:eastAsia="Times New Roman" w:hAnsi="Times New Roman" w:cs="Times New Roman"/>
          <w:sz w:val="24"/>
          <w:szCs w:val="24"/>
          <w:lang w:eastAsia="lv-LV"/>
        </w:rPr>
        <w:t>;</w:t>
      </w:r>
    </w:p>
    <w:p w14:paraId="5CA5227C" w14:textId="77777777" w:rsidR="008551E0" w:rsidRDefault="00C12B08" w:rsidP="00876B9C">
      <w:pPr>
        <w:spacing w:before="75" w:after="75" w:line="240" w:lineRule="auto"/>
        <w:ind w:right="-316"/>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MK – Ministru kabinets;</w:t>
      </w:r>
    </w:p>
    <w:p w14:paraId="34615127" w14:textId="5BD05113" w:rsidR="00C12B08" w:rsidRPr="00A07F29" w:rsidRDefault="008551E0" w:rsidP="00876B9C">
      <w:pPr>
        <w:spacing w:before="75" w:after="75" w:line="240" w:lineRule="auto"/>
        <w:ind w:right="-316"/>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NKMP – Nacionālā kultūras mantojuma pārvalde;</w:t>
      </w:r>
      <w:r w:rsidR="00C12B08" w:rsidRPr="00A07F29">
        <w:rPr>
          <w:rFonts w:ascii="Times New Roman" w:eastAsia="Times New Roman" w:hAnsi="Times New Roman" w:cs="Times New Roman"/>
          <w:sz w:val="24"/>
          <w:szCs w:val="24"/>
          <w:lang w:eastAsia="lv-LV"/>
        </w:rPr>
        <w:t xml:space="preserve"> </w:t>
      </w:r>
    </w:p>
    <w:p w14:paraId="301433E9" w14:textId="77777777" w:rsidR="00B9405F" w:rsidRDefault="00C12B08" w:rsidP="00876B9C">
      <w:pPr>
        <w:spacing w:before="75" w:after="75" w:line="240" w:lineRule="auto"/>
        <w:ind w:right="-316"/>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NVO – nevalstiskās organizācijas;</w:t>
      </w:r>
    </w:p>
    <w:p w14:paraId="147304A3" w14:textId="14FFC957" w:rsidR="00C12B08" w:rsidRPr="00A07F29" w:rsidRDefault="00B9405F" w:rsidP="00876B9C">
      <w:pPr>
        <w:spacing w:before="75" w:after="75" w:line="240" w:lineRule="auto"/>
        <w:ind w:right="-316"/>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PDMB </w:t>
      </w:r>
      <w:r w:rsidR="003A6501">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potenciāli</w:t>
      </w:r>
      <w:r w:rsidR="003A6501">
        <w:rPr>
          <w:rFonts w:ascii="Times New Roman" w:eastAsia="Times New Roman" w:hAnsi="Times New Roman" w:cs="Times New Roman"/>
          <w:sz w:val="24"/>
          <w:szCs w:val="24"/>
          <w:lang w:eastAsia="lv-LV"/>
        </w:rPr>
        <w:t xml:space="preserve"> dabiskie meža biotopi;</w:t>
      </w:r>
      <w:r w:rsidR="00C12B08" w:rsidRPr="00A07F29">
        <w:rPr>
          <w:rFonts w:ascii="Times New Roman" w:eastAsia="Times New Roman" w:hAnsi="Times New Roman" w:cs="Times New Roman"/>
          <w:sz w:val="24"/>
          <w:szCs w:val="24"/>
          <w:lang w:eastAsia="lv-LV"/>
        </w:rPr>
        <w:t xml:space="preserve"> </w:t>
      </w:r>
    </w:p>
    <w:p w14:paraId="4234B886" w14:textId="0A2B1970" w:rsidR="00715560" w:rsidRPr="00A07F29" w:rsidRDefault="00D5724B" w:rsidP="00715560">
      <w:pPr>
        <w:pStyle w:val="BodyText"/>
        <w:spacing w:before="75"/>
        <w:ind w:firstLine="0"/>
        <w:rPr>
          <w:spacing w:val="-1"/>
        </w:rPr>
      </w:pPr>
      <w:r w:rsidRPr="00A07F29">
        <w:rPr>
          <w:spacing w:val="-1"/>
        </w:rPr>
        <w:t>Putnu direktīva – Eiropas Parlamenta un Padomes 2009.</w:t>
      </w:r>
      <w:r w:rsidR="00AE766F" w:rsidRPr="00A07F29">
        <w:rPr>
          <w:spacing w:val="-1"/>
        </w:rPr>
        <w:t> </w:t>
      </w:r>
      <w:r w:rsidRPr="00A07F29">
        <w:rPr>
          <w:spacing w:val="-1"/>
        </w:rPr>
        <w:t>gada 30.</w:t>
      </w:r>
      <w:r w:rsidR="00AE766F" w:rsidRPr="00A07F29">
        <w:rPr>
          <w:spacing w:val="-1"/>
        </w:rPr>
        <w:t> </w:t>
      </w:r>
      <w:r w:rsidRPr="00A07F29">
        <w:rPr>
          <w:spacing w:val="-1"/>
        </w:rPr>
        <w:t>novembra direktīva 2009/147/EK par savvaļas putnu aizsardzību;</w:t>
      </w:r>
    </w:p>
    <w:p w14:paraId="1BDA61BF" w14:textId="327B8434" w:rsidR="00A50454" w:rsidRDefault="00A50454" w:rsidP="00715560">
      <w:pPr>
        <w:widowControl w:val="0"/>
        <w:spacing w:before="75" w:after="0" w:line="240" w:lineRule="auto"/>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R – rietumi (debespuses apzīmējums)</w:t>
      </w:r>
      <w:r w:rsidR="00AE766F" w:rsidRPr="00A07F29">
        <w:rPr>
          <w:rFonts w:ascii="Times New Roman" w:eastAsia="Times New Roman" w:hAnsi="Times New Roman" w:cs="Times New Roman"/>
          <w:sz w:val="24"/>
          <w:szCs w:val="24"/>
          <w:lang w:eastAsia="lv-LV"/>
        </w:rPr>
        <w:t>;</w:t>
      </w:r>
    </w:p>
    <w:p w14:paraId="1ECBA2AD" w14:textId="6B9C0735" w:rsidR="0003144C" w:rsidRPr="00A07F29" w:rsidRDefault="0003144C" w:rsidP="00715560">
      <w:pPr>
        <w:widowControl w:val="0"/>
        <w:spacing w:before="75" w:after="0" w:line="240" w:lineRule="auto"/>
        <w:rPr>
          <w:rFonts w:ascii="Times New Roman" w:eastAsia="Calibri" w:hAnsi="Times New Roman" w:cs="Times New Roman"/>
          <w:sz w:val="24"/>
          <w:szCs w:val="24"/>
        </w:rPr>
      </w:pPr>
      <w:r>
        <w:rPr>
          <w:rFonts w:ascii="Times New Roman" w:eastAsia="Times New Roman" w:hAnsi="Times New Roman" w:cs="Times New Roman"/>
          <w:sz w:val="24"/>
          <w:szCs w:val="24"/>
          <w:lang w:eastAsia="lv-LV"/>
        </w:rPr>
        <w:t xml:space="preserve">RVP – </w:t>
      </w:r>
      <w:r w:rsidR="00ED5777">
        <w:rPr>
          <w:rFonts w:ascii="Times New Roman" w:eastAsia="Times New Roman" w:hAnsi="Times New Roman" w:cs="Times New Roman"/>
          <w:sz w:val="24"/>
          <w:szCs w:val="24"/>
          <w:lang w:eastAsia="lv-LV"/>
        </w:rPr>
        <w:t xml:space="preserve">Valsts vides dienesta </w:t>
      </w:r>
      <w:r w:rsidR="00DE7D59">
        <w:rPr>
          <w:rFonts w:ascii="Times New Roman" w:eastAsia="Times New Roman" w:hAnsi="Times New Roman" w:cs="Times New Roman"/>
          <w:sz w:val="24"/>
          <w:szCs w:val="24"/>
          <w:lang w:eastAsia="lv-LV"/>
        </w:rPr>
        <w:t>R</w:t>
      </w:r>
      <w:r>
        <w:rPr>
          <w:rFonts w:ascii="Times New Roman" w:eastAsia="Times New Roman" w:hAnsi="Times New Roman" w:cs="Times New Roman"/>
          <w:sz w:val="24"/>
          <w:szCs w:val="24"/>
          <w:lang w:eastAsia="lv-LV"/>
        </w:rPr>
        <w:t>eģionālā vides pārvalde;</w:t>
      </w:r>
    </w:p>
    <w:p w14:paraId="1B858EEC" w14:textId="2BECE2D9" w:rsidR="00C12B08" w:rsidRDefault="00C12B08" w:rsidP="00876B9C">
      <w:pPr>
        <w:spacing w:before="75" w:after="75" w:line="240" w:lineRule="auto"/>
        <w:ind w:right="-316"/>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 xml:space="preserve">SDF, </w:t>
      </w:r>
      <w:proofErr w:type="spellStart"/>
      <w:r w:rsidR="0092556E" w:rsidRPr="00A07F29">
        <w:rPr>
          <w:rFonts w:ascii="Times New Roman" w:eastAsia="Times New Roman" w:hAnsi="Times New Roman" w:cs="Times New Roman"/>
          <w:i/>
          <w:sz w:val="24"/>
          <w:szCs w:val="24"/>
          <w:lang w:eastAsia="lv-LV"/>
        </w:rPr>
        <w:t>Natura</w:t>
      </w:r>
      <w:proofErr w:type="spellEnd"/>
      <w:r w:rsidRPr="00A07F29">
        <w:rPr>
          <w:rFonts w:ascii="Times New Roman" w:eastAsia="Times New Roman" w:hAnsi="Times New Roman" w:cs="Times New Roman"/>
          <w:i/>
          <w:sz w:val="24"/>
          <w:szCs w:val="24"/>
          <w:lang w:eastAsia="lv-LV"/>
        </w:rPr>
        <w:t xml:space="preserve"> 2000</w:t>
      </w:r>
      <w:r w:rsidRPr="00A07F29">
        <w:rPr>
          <w:rFonts w:ascii="Times New Roman" w:eastAsia="Times New Roman" w:hAnsi="Times New Roman" w:cs="Times New Roman"/>
          <w:sz w:val="24"/>
          <w:szCs w:val="24"/>
          <w:lang w:eastAsia="lv-LV"/>
        </w:rPr>
        <w:t xml:space="preserve"> SDF – </w:t>
      </w:r>
      <w:proofErr w:type="spellStart"/>
      <w:r w:rsidR="0092556E" w:rsidRPr="00A07F29">
        <w:rPr>
          <w:rFonts w:ascii="Times New Roman" w:eastAsia="Times New Roman" w:hAnsi="Times New Roman" w:cs="Times New Roman"/>
          <w:i/>
          <w:sz w:val="24"/>
          <w:szCs w:val="24"/>
          <w:lang w:eastAsia="lv-LV"/>
        </w:rPr>
        <w:t>Natura</w:t>
      </w:r>
      <w:proofErr w:type="spellEnd"/>
      <w:r w:rsidRPr="00A07F29">
        <w:rPr>
          <w:rFonts w:ascii="Times New Roman" w:eastAsia="Times New Roman" w:hAnsi="Times New Roman" w:cs="Times New Roman"/>
          <w:i/>
          <w:sz w:val="24"/>
          <w:szCs w:val="24"/>
          <w:lang w:eastAsia="lv-LV"/>
        </w:rPr>
        <w:t xml:space="preserve"> 2000</w:t>
      </w:r>
      <w:r w:rsidRPr="00A07F29">
        <w:rPr>
          <w:rFonts w:ascii="Times New Roman" w:eastAsia="Times New Roman" w:hAnsi="Times New Roman" w:cs="Times New Roman"/>
          <w:sz w:val="24"/>
          <w:szCs w:val="24"/>
          <w:lang w:eastAsia="lv-LV"/>
        </w:rPr>
        <w:t xml:space="preserve"> teritoriju apraksta standarta datu forma; </w:t>
      </w:r>
    </w:p>
    <w:p w14:paraId="3B91B9F6" w14:textId="2B49C2EF" w:rsidR="0034750B" w:rsidRPr="00A07F29" w:rsidRDefault="0034750B" w:rsidP="00876B9C">
      <w:pPr>
        <w:spacing w:before="75" w:after="75" w:line="240" w:lineRule="auto"/>
        <w:ind w:right="-316"/>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t.i. </w:t>
      </w:r>
      <w:r w:rsidR="00CA3CFE">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sidR="00CA3CFE">
        <w:rPr>
          <w:rFonts w:ascii="Times New Roman" w:eastAsia="Times New Roman" w:hAnsi="Times New Roman" w:cs="Times New Roman"/>
          <w:sz w:val="24"/>
          <w:szCs w:val="24"/>
          <w:lang w:eastAsia="lv-LV"/>
        </w:rPr>
        <w:t>tas ir;</w:t>
      </w:r>
    </w:p>
    <w:p w14:paraId="6DC8C5EE" w14:textId="4736D36A" w:rsidR="00C12B08" w:rsidRDefault="00C12B08" w:rsidP="00876B9C">
      <w:pPr>
        <w:spacing w:before="75" w:after="75" w:line="240" w:lineRule="auto"/>
        <w:ind w:right="-316"/>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TIC – tūrisma informācijas centrs;</w:t>
      </w:r>
    </w:p>
    <w:p w14:paraId="33248C48" w14:textId="3E5484DD" w:rsidR="00E659A8" w:rsidRPr="00A07F29" w:rsidRDefault="00E659A8" w:rsidP="00876B9C">
      <w:pPr>
        <w:spacing w:before="75" w:after="75" w:line="240" w:lineRule="auto"/>
        <w:ind w:right="-316"/>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t.sk. – tai skaitā;</w:t>
      </w:r>
    </w:p>
    <w:p w14:paraId="1D595AA8" w14:textId="7B0C3BB9" w:rsidR="00A80DAD" w:rsidRDefault="00A80DAD" w:rsidP="00876B9C">
      <w:pPr>
        <w:spacing w:before="75" w:after="75" w:line="240" w:lineRule="auto"/>
        <w:ind w:right="-316"/>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 xml:space="preserve">UNESCO </w:t>
      </w:r>
      <w:r w:rsidR="00503E50" w:rsidRPr="00A07F29">
        <w:rPr>
          <w:rFonts w:ascii="Times New Roman" w:eastAsia="Times New Roman" w:hAnsi="Times New Roman" w:cs="Times New Roman"/>
          <w:sz w:val="24"/>
          <w:szCs w:val="24"/>
          <w:lang w:eastAsia="lv-LV"/>
        </w:rPr>
        <w:t>–</w:t>
      </w:r>
      <w:r w:rsidRPr="00A07F29">
        <w:rPr>
          <w:rFonts w:ascii="Times New Roman" w:eastAsia="Times New Roman" w:hAnsi="Times New Roman" w:cs="Times New Roman"/>
          <w:sz w:val="24"/>
          <w:szCs w:val="24"/>
          <w:lang w:eastAsia="lv-LV"/>
        </w:rPr>
        <w:t xml:space="preserve"> Apvienoto Nāciju Izglītības, zinātnes un kultūras organizācija;</w:t>
      </w:r>
    </w:p>
    <w:p w14:paraId="1E87D5ED" w14:textId="4D2DA2AB" w:rsidR="00BF7BF1" w:rsidRDefault="00676CBD" w:rsidP="00876B9C">
      <w:pPr>
        <w:spacing w:before="75" w:after="75" w:line="240" w:lineRule="auto"/>
        <w:ind w:right="-316"/>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u.c. – un citi;</w:t>
      </w:r>
    </w:p>
    <w:p w14:paraId="1FD76520" w14:textId="30A1ABBC" w:rsidR="00F3175E" w:rsidRDefault="00F3175E" w:rsidP="00876B9C">
      <w:pPr>
        <w:spacing w:before="75" w:after="75" w:line="240" w:lineRule="auto"/>
        <w:ind w:right="-316"/>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u.tml</w:t>
      </w:r>
      <w:r w:rsidR="00545A92">
        <w:rPr>
          <w:rFonts w:ascii="Times New Roman" w:eastAsia="Times New Roman" w:hAnsi="Times New Roman" w:cs="Times New Roman"/>
          <w:sz w:val="24"/>
          <w:szCs w:val="24"/>
          <w:lang w:eastAsia="lv-LV"/>
        </w:rPr>
        <w:t>. – un tamlīdzīgi;</w:t>
      </w:r>
    </w:p>
    <w:p w14:paraId="3F287B28" w14:textId="766594BD" w:rsidR="0066695C" w:rsidRPr="00A07F29" w:rsidRDefault="005C47B6" w:rsidP="00876B9C">
      <w:pPr>
        <w:spacing w:before="75" w:after="75" w:line="240" w:lineRule="auto"/>
        <w:ind w:right="-316"/>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u</w:t>
      </w:r>
      <w:r w:rsidR="0066695C">
        <w:rPr>
          <w:rFonts w:ascii="Times New Roman" w:eastAsia="Times New Roman" w:hAnsi="Times New Roman" w:cs="Times New Roman"/>
          <w:sz w:val="24"/>
          <w:szCs w:val="24"/>
          <w:lang w:eastAsia="lv-LV"/>
        </w:rPr>
        <w:t>tt</w:t>
      </w:r>
      <w:r>
        <w:rPr>
          <w:rFonts w:ascii="Times New Roman" w:eastAsia="Times New Roman" w:hAnsi="Times New Roman" w:cs="Times New Roman"/>
          <w:sz w:val="24"/>
          <w:szCs w:val="24"/>
          <w:lang w:eastAsia="lv-LV"/>
        </w:rPr>
        <w:t>. – un tā tālāk;</w:t>
      </w:r>
    </w:p>
    <w:p w14:paraId="4A5E1F44" w14:textId="6E15A78C" w:rsidR="00C12B08" w:rsidRPr="00A07F29" w:rsidRDefault="00C12B08" w:rsidP="00876B9C">
      <w:pPr>
        <w:spacing w:before="75" w:after="75" w:line="240" w:lineRule="auto"/>
        <w:ind w:right="-316"/>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VARAM – V</w:t>
      </w:r>
      <w:r w:rsidR="00F3292C" w:rsidRPr="00A07F29">
        <w:rPr>
          <w:rFonts w:ascii="Times New Roman" w:eastAsia="Times New Roman" w:hAnsi="Times New Roman" w:cs="Times New Roman"/>
          <w:sz w:val="24"/>
          <w:szCs w:val="24"/>
          <w:lang w:eastAsia="lv-LV"/>
        </w:rPr>
        <w:t>iedās administrācijas</w:t>
      </w:r>
      <w:r w:rsidRPr="00A07F29">
        <w:rPr>
          <w:rFonts w:ascii="Times New Roman" w:eastAsia="Times New Roman" w:hAnsi="Times New Roman" w:cs="Times New Roman"/>
          <w:sz w:val="24"/>
          <w:szCs w:val="24"/>
          <w:lang w:eastAsia="lv-LV"/>
        </w:rPr>
        <w:t xml:space="preserve"> un reģionālās attīstības ministrija; </w:t>
      </w:r>
    </w:p>
    <w:p w14:paraId="75E52CD2" w14:textId="4AAC5E98" w:rsidR="00CB1E83" w:rsidRPr="00A07F29" w:rsidRDefault="00CB1E83" w:rsidP="00876B9C">
      <w:pPr>
        <w:spacing w:before="75" w:after="75" w:line="240" w:lineRule="auto"/>
        <w:ind w:right="-316"/>
        <w:jc w:val="both"/>
        <w:rPr>
          <w:rFonts w:ascii="Times New Roman" w:eastAsia="Times New Roman" w:hAnsi="Times New Roman" w:cs="Times New Roman"/>
          <w:sz w:val="24"/>
          <w:szCs w:val="24"/>
          <w:lang w:eastAsia="lv-LV"/>
        </w:rPr>
      </w:pPr>
      <w:proofErr w:type="spellStart"/>
      <w:r w:rsidRPr="00A07F29">
        <w:rPr>
          <w:rFonts w:ascii="Times New Roman" w:eastAsia="Times New Roman" w:hAnsi="Times New Roman" w:cs="Times New Roman"/>
          <w:sz w:val="24"/>
          <w:szCs w:val="24"/>
          <w:lang w:eastAsia="lv-LV"/>
        </w:rPr>
        <w:t>vjl</w:t>
      </w:r>
      <w:proofErr w:type="spellEnd"/>
      <w:r w:rsidRPr="00A07F29">
        <w:rPr>
          <w:rFonts w:ascii="Times New Roman" w:eastAsia="Times New Roman" w:hAnsi="Times New Roman" w:cs="Times New Roman"/>
          <w:sz w:val="24"/>
          <w:szCs w:val="24"/>
          <w:lang w:eastAsia="lv-LV"/>
        </w:rPr>
        <w:t>. – virs jūras līmeņa;</w:t>
      </w:r>
    </w:p>
    <w:p w14:paraId="17E24B72" w14:textId="77777777" w:rsidR="00C12B08" w:rsidRPr="00A07F29" w:rsidRDefault="00C12B08" w:rsidP="00876B9C">
      <w:pPr>
        <w:spacing w:before="75" w:after="75" w:line="240" w:lineRule="auto"/>
        <w:ind w:right="-316"/>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 xml:space="preserve">VMD – Valsts meža dienests; </w:t>
      </w:r>
    </w:p>
    <w:p w14:paraId="746A42A8" w14:textId="77777777" w:rsidR="00CE0FBA" w:rsidRPr="00A07F29" w:rsidRDefault="00C12B08" w:rsidP="00876B9C">
      <w:pPr>
        <w:spacing w:before="75" w:after="75" w:line="240" w:lineRule="auto"/>
        <w:ind w:right="288"/>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VVD – Valsts vides dienests</w:t>
      </w:r>
      <w:r w:rsidR="00CE0FBA" w:rsidRPr="00A07F29">
        <w:rPr>
          <w:rFonts w:ascii="Times New Roman" w:eastAsia="Times New Roman" w:hAnsi="Times New Roman" w:cs="Times New Roman"/>
          <w:sz w:val="24"/>
          <w:szCs w:val="24"/>
          <w:lang w:eastAsia="lv-LV"/>
        </w:rPr>
        <w:t>;</w:t>
      </w:r>
    </w:p>
    <w:p w14:paraId="270A6A7F" w14:textId="2AABC037" w:rsidR="00AF4C40" w:rsidRPr="00A07F29" w:rsidRDefault="00CE0FBA" w:rsidP="00876B9C">
      <w:pPr>
        <w:spacing w:before="75" w:after="75" w:line="240" w:lineRule="auto"/>
        <w:ind w:right="288"/>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VZD – Valsts zemes dienests</w:t>
      </w:r>
      <w:r w:rsidR="00A50454" w:rsidRPr="00A07F29">
        <w:rPr>
          <w:rFonts w:ascii="Times New Roman" w:eastAsia="Times New Roman" w:hAnsi="Times New Roman" w:cs="Times New Roman"/>
          <w:sz w:val="24"/>
          <w:szCs w:val="24"/>
          <w:lang w:eastAsia="lv-LV"/>
        </w:rPr>
        <w:t>;</w:t>
      </w:r>
    </w:p>
    <w:p w14:paraId="19F9B7FA" w14:textId="641665CE" w:rsidR="00A50454" w:rsidRPr="00A07F29" w:rsidRDefault="00A50454" w:rsidP="00876B9C">
      <w:pPr>
        <w:spacing w:before="75" w:after="75" w:line="240" w:lineRule="auto"/>
        <w:ind w:right="288"/>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Z – ziemeļi (debespuses apzīmējums);</w:t>
      </w:r>
    </w:p>
    <w:p w14:paraId="74AC3368" w14:textId="104FB460" w:rsidR="00A50454" w:rsidRPr="00A07F29" w:rsidRDefault="00A50454" w:rsidP="00876B9C">
      <w:pPr>
        <w:spacing w:before="75" w:after="75" w:line="240" w:lineRule="auto"/>
        <w:ind w:right="288"/>
        <w:jc w:val="both"/>
        <w:rPr>
          <w:rFonts w:ascii="Times New Roman" w:eastAsia="Times New Roman" w:hAnsi="Times New Roman" w:cs="Times New Roman"/>
          <w:b/>
          <w:sz w:val="24"/>
          <w:szCs w:val="24"/>
          <w:lang w:eastAsia="lv-LV"/>
        </w:rPr>
      </w:pPr>
      <w:r w:rsidRPr="00A07F29">
        <w:rPr>
          <w:rFonts w:ascii="Times New Roman" w:eastAsia="Times New Roman" w:hAnsi="Times New Roman" w:cs="Times New Roman"/>
          <w:sz w:val="24"/>
          <w:szCs w:val="24"/>
          <w:lang w:eastAsia="lv-LV"/>
        </w:rPr>
        <w:t>ZR – ziemeļrietumi (debespuses apzīmējums).</w:t>
      </w:r>
    </w:p>
    <w:p w14:paraId="4A4C858C" w14:textId="77777777" w:rsidR="00A50454" w:rsidRPr="00A07F29" w:rsidRDefault="00A50454" w:rsidP="00876B9C">
      <w:pPr>
        <w:spacing w:before="75" w:after="75" w:line="240" w:lineRule="auto"/>
        <w:ind w:right="288"/>
        <w:jc w:val="both"/>
        <w:rPr>
          <w:rFonts w:ascii="Times New Roman" w:eastAsia="Times New Roman" w:hAnsi="Times New Roman" w:cs="Times New Roman"/>
          <w:b/>
          <w:sz w:val="24"/>
          <w:szCs w:val="24"/>
          <w:lang w:eastAsia="lv-LV"/>
        </w:rPr>
      </w:pPr>
    </w:p>
    <w:p w14:paraId="21681047" w14:textId="77777777" w:rsidR="00CE0FBA" w:rsidRPr="00A07F29" w:rsidRDefault="00CE0FBA" w:rsidP="00876B9C">
      <w:pPr>
        <w:spacing w:before="75" w:after="75" w:line="240" w:lineRule="auto"/>
        <w:ind w:right="288"/>
        <w:jc w:val="both"/>
        <w:rPr>
          <w:rFonts w:ascii="Times New Roman" w:eastAsia="Times New Roman" w:hAnsi="Times New Roman" w:cs="Times New Roman"/>
          <w:b/>
          <w:sz w:val="24"/>
          <w:szCs w:val="24"/>
          <w:lang w:eastAsia="lv-LV"/>
        </w:rPr>
      </w:pPr>
    </w:p>
    <w:p w14:paraId="55A4507E" w14:textId="56088F23" w:rsidR="00AF4C40" w:rsidRPr="00A07F29" w:rsidRDefault="00AF4C40" w:rsidP="00876B9C">
      <w:pPr>
        <w:spacing w:before="75" w:after="75" w:line="240" w:lineRule="auto"/>
        <w:ind w:right="288"/>
        <w:jc w:val="both"/>
        <w:rPr>
          <w:rFonts w:ascii="Times New Roman" w:eastAsia="Times New Roman" w:hAnsi="Times New Roman" w:cs="Times New Roman"/>
          <w:b/>
          <w:sz w:val="24"/>
          <w:szCs w:val="24"/>
          <w:lang w:eastAsia="lv-LV"/>
        </w:rPr>
      </w:pPr>
      <w:r w:rsidRPr="00A07F29">
        <w:rPr>
          <w:rFonts w:ascii="Times New Roman" w:eastAsia="Times New Roman" w:hAnsi="Times New Roman" w:cs="Times New Roman"/>
          <w:b/>
          <w:sz w:val="24"/>
          <w:szCs w:val="24"/>
          <w:lang w:eastAsia="lv-LV"/>
        </w:rPr>
        <w:t>Izmantotie termini</w:t>
      </w:r>
    </w:p>
    <w:p w14:paraId="1BB0E11F" w14:textId="77777777" w:rsidR="00AF4C40" w:rsidRPr="00A07F29" w:rsidRDefault="00AF4C40" w:rsidP="00305ED1">
      <w:pPr>
        <w:spacing w:after="0" w:line="240" w:lineRule="auto"/>
        <w:ind w:right="-46" w:firstLine="567"/>
        <w:jc w:val="both"/>
        <w:rPr>
          <w:rFonts w:ascii="Times New Roman" w:eastAsia="Times New Roman" w:hAnsi="Times New Roman" w:cs="Times New Roman"/>
          <w:sz w:val="24"/>
          <w:szCs w:val="24"/>
        </w:rPr>
      </w:pPr>
      <w:r w:rsidRPr="00A07F29">
        <w:rPr>
          <w:rFonts w:ascii="Times New Roman" w:eastAsia="Times New Roman" w:hAnsi="Times New Roman" w:cs="Times New Roman"/>
          <w:b/>
          <w:bCs/>
          <w:sz w:val="24"/>
          <w:szCs w:val="24"/>
        </w:rPr>
        <w:t xml:space="preserve">Aizsargjoslas – </w:t>
      </w:r>
      <w:r w:rsidRPr="00A07F29">
        <w:rPr>
          <w:rFonts w:ascii="Times New Roman" w:eastAsia="Times New Roman" w:hAnsi="Times New Roman" w:cs="Times New Roman"/>
          <w:sz w:val="24"/>
          <w:szCs w:val="24"/>
        </w:rPr>
        <w:t>noteiktas platības, kuru uzdevums ir aizsargāt dažāda veida (gan dabiskus, gan mākslīgus) objektus no nevēlamas ārējās iedarbības, nodrošināt to ekspluatāciju un drošību vai pasargāt vidi un cilvēku no kāda objekta kaitīgās ietekmes. To galvenais uzdevums ir samazināt vai novērst antropogēnās negatīvās iedarbības ietekmi uz objektiem, kuriem noteiktas aizsargjoslas.</w:t>
      </w:r>
    </w:p>
    <w:p w14:paraId="6BB91297" w14:textId="77777777" w:rsidR="00AF4C40" w:rsidRPr="00A07F29" w:rsidRDefault="00AF4C40" w:rsidP="00305ED1">
      <w:pPr>
        <w:spacing w:after="0" w:line="240" w:lineRule="auto"/>
        <w:ind w:right="-46" w:firstLine="567"/>
        <w:jc w:val="both"/>
        <w:rPr>
          <w:rFonts w:ascii="Times New Roman" w:eastAsia="Times New Roman" w:hAnsi="Times New Roman" w:cs="Times New Roman"/>
          <w:sz w:val="24"/>
          <w:szCs w:val="24"/>
        </w:rPr>
      </w:pPr>
      <w:r w:rsidRPr="00A07F29">
        <w:rPr>
          <w:rFonts w:ascii="Times New Roman" w:eastAsia="Times New Roman" w:hAnsi="Times New Roman" w:cs="Times New Roman"/>
          <w:b/>
          <w:sz w:val="24"/>
          <w:szCs w:val="24"/>
        </w:rPr>
        <w:t>Antropogēnās slodzes</w:t>
      </w:r>
      <w:r w:rsidRPr="00A07F29">
        <w:rPr>
          <w:rFonts w:ascii="Times New Roman" w:eastAsia="Times New Roman" w:hAnsi="Times New Roman" w:cs="Times New Roman"/>
          <w:sz w:val="24"/>
          <w:szCs w:val="24"/>
        </w:rPr>
        <w:t xml:space="preserve"> – vielas, objekti un procesi, kas rada slodzes uz dabas komponentiem vai teritorijām un ir saistīti ar cilvēka saimniecisko un cita veida darbību. Antropogēnās slodzes var izmērīt un aprēķināt.</w:t>
      </w:r>
    </w:p>
    <w:p w14:paraId="360B0AC4" w14:textId="77777777" w:rsidR="00AF4C40" w:rsidRPr="00A07F29" w:rsidRDefault="00AF4C40" w:rsidP="00305ED1">
      <w:pPr>
        <w:spacing w:after="0" w:line="240" w:lineRule="auto"/>
        <w:ind w:right="-46" w:firstLine="567"/>
        <w:jc w:val="both"/>
        <w:rPr>
          <w:rFonts w:ascii="Times New Roman" w:eastAsia="Times New Roman" w:hAnsi="Times New Roman" w:cs="Times New Roman"/>
          <w:sz w:val="24"/>
          <w:szCs w:val="24"/>
        </w:rPr>
      </w:pPr>
      <w:r w:rsidRPr="00A07F29">
        <w:rPr>
          <w:rFonts w:ascii="Times New Roman" w:eastAsia="Times New Roman" w:hAnsi="Times New Roman" w:cs="Times New Roman"/>
          <w:b/>
          <w:sz w:val="24"/>
          <w:szCs w:val="24"/>
        </w:rPr>
        <w:t>Areāls</w:t>
      </w:r>
      <w:r w:rsidRPr="00A07F29">
        <w:rPr>
          <w:rFonts w:ascii="Times New Roman" w:eastAsia="Times New Roman" w:hAnsi="Times New Roman" w:cs="Times New Roman"/>
          <w:sz w:val="24"/>
          <w:szCs w:val="24"/>
        </w:rPr>
        <w:t xml:space="preserve"> – kādas sugas, pasugas, ģints vai dzimtas dabiskās izplatības apgabals.</w:t>
      </w:r>
    </w:p>
    <w:p w14:paraId="60A8C7DC" w14:textId="589EF78F" w:rsidR="00AF4C40" w:rsidRPr="00A07F29" w:rsidRDefault="00AF4C40" w:rsidP="00305ED1">
      <w:pPr>
        <w:spacing w:after="0" w:line="240" w:lineRule="auto"/>
        <w:ind w:right="-46" w:firstLine="567"/>
        <w:jc w:val="both"/>
        <w:rPr>
          <w:rFonts w:ascii="Times New Roman" w:eastAsia="Times New Roman" w:hAnsi="Times New Roman" w:cs="Times New Roman"/>
          <w:sz w:val="24"/>
          <w:szCs w:val="24"/>
        </w:rPr>
      </w:pPr>
      <w:r w:rsidRPr="00A07F29">
        <w:rPr>
          <w:rFonts w:ascii="Times New Roman" w:eastAsia="Times New Roman" w:hAnsi="Times New Roman" w:cs="Times New Roman"/>
          <w:b/>
          <w:sz w:val="24"/>
          <w:szCs w:val="24"/>
        </w:rPr>
        <w:t>Bioloģiskā daudzveidība</w:t>
      </w:r>
      <w:r w:rsidRPr="00A07F29">
        <w:rPr>
          <w:rFonts w:ascii="Times New Roman" w:eastAsia="Times New Roman" w:hAnsi="Times New Roman" w:cs="Times New Roman"/>
          <w:sz w:val="24"/>
          <w:szCs w:val="24"/>
        </w:rPr>
        <w:t xml:space="preserve"> – dzīvo organismu un to eksistences apstākļu dažādības kopums. Ekoloģijas pamatjēdziens un ekosistēmu stāvokļa un nenoplicinošas izmantošanas </w:t>
      </w:r>
      <w:r w:rsidRPr="00A07F29">
        <w:rPr>
          <w:rFonts w:ascii="Times New Roman" w:eastAsia="Times New Roman" w:hAnsi="Times New Roman" w:cs="Times New Roman"/>
          <w:sz w:val="24"/>
          <w:szCs w:val="24"/>
        </w:rPr>
        <w:lastRenderedPageBreak/>
        <w:t>kritērijs. Bioloģiskajai daudzveidībai izšķir vairākus hierarhiskos līmeņus: 1)</w:t>
      </w:r>
      <w:r w:rsidR="003A773C" w:rsidRPr="00A07F29">
        <w:rPr>
          <w:rFonts w:ascii="Times New Roman" w:eastAsia="Times New Roman" w:hAnsi="Times New Roman" w:cs="Times New Roman"/>
          <w:sz w:val="24"/>
          <w:szCs w:val="24"/>
        </w:rPr>
        <w:t> </w:t>
      </w:r>
      <w:r w:rsidRPr="00A07F29">
        <w:rPr>
          <w:rFonts w:ascii="Times New Roman" w:eastAsia="Times New Roman" w:hAnsi="Times New Roman" w:cs="Times New Roman"/>
          <w:sz w:val="24"/>
          <w:szCs w:val="24"/>
        </w:rPr>
        <w:t>ģenētisko daudzveidību; 2)</w:t>
      </w:r>
      <w:r w:rsidR="003A773C" w:rsidRPr="00A07F29">
        <w:rPr>
          <w:rFonts w:ascii="Times New Roman" w:eastAsia="Times New Roman" w:hAnsi="Times New Roman" w:cs="Times New Roman"/>
          <w:sz w:val="24"/>
          <w:szCs w:val="24"/>
        </w:rPr>
        <w:t> </w:t>
      </w:r>
      <w:r w:rsidRPr="00A07F29">
        <w:rPr>
          <w:rFonts w:ascii="Times New Roman" w:eastAsia="Times New Roman" w:hAnsi="Times New Roman" w:cs="Times New Roman"/>
          <w:sz w:val="24"/>
          <w:szCs w:val="24"/>
        </w:rPr>
        <w:t>sugu daudzveidību; 3)</w:t>
      </w:r>
      <w:r w:rsidR="003A773C" w:rsidRPr="00A07F29">
        <w:rPr>
          <w:rFonts w:ascii="Times New Roman" w:eastAsia="Times New Roman" w:hAnsi="Times New Roman" w:cs="Times New Roman"/>
          <w:sz w:val="24"/>
          <w:szCs w:val="24"/>
        </w:rPr>
        <w:t> </w:t>
      </w:r>
      <w:r w:rsidRPr="00A07F29">
        <w:rPr>
          <w:rFonts w:ascii="Times New Roman" w:eastAsia="Times New Roman" w:hAnsi="Times New Roman" w:cs="Times New Roman"/>
          <w:sz w:val="24"/>
          <w:szCs w:val="24"/>
        </w:rPr>
        <w:t>ekosistēmu vai dzīvesvietu daudzveidību; 4)</w:t>
      </w:r>
      <w:r w:rsidR="003A773C" w:rsidRPr="00A07F29">
        <w:rPr>
          <w:rFonts w:ascii="Times New Roman" w:eastAsia="Times New Roman" w:hAnsi="Times New Roman" w:cs="Times New Roman"/>
          <w:sz w:val="24"/>
          <w:szCs w:val="24"/>
        </w:rPr>
        <w:t> </w:t>
      </w:r>
      <w:proofErr w:type="spellStart"/>
      <w:r w:rsidRPr="00A07F29">
        <w:rPr>
          <w:rFonts w:ascii="Times New Roman" w:eastAsia="Times New Roman" w:hAnsi="Times New Roman" w:cs="Times New Roman"/>
          <w:sz w:val="24"/>
          <w:szCs w:val="24"/>
        </w:rPr>
        <w:t>kultūrdaudzveidību</w:t>
      </w:r>
      <w:proofErr w:type="spellEnd"/>
      <w:r w:rsidRPr="00A07F29">
        <w:rPr>
          <w:rFonts w:ascii="Times New Roman" w:eastAsia="Times New Roman" w:hAnsi="Times New Roman" w:cs="Times New Roman"/>
          <w:sz w:val="24"/>
          <w:szCs w:val="24"/>
        </w:rPr>
        <w:t>.</w:t>
      </w:r>
    </w:p>
    <w:p w14:paraId="460827C6" w14:textId="77777777" w:rsidR="00AF4C40" w:rsidRPr="00A07F29" w:rsidRDefault="00AF4C40" w:rsidP="00305ED1">
      <w:pPr>
        <w:spacing w:after="0" w:line="240" w:lineRule="auto"/>
        <w:ind w:right="-46" w:firstLine="567"/>
        <w:jc w:val="both"/>
        <w:rPr>
          <w:rFonts w:ascii="Times New Roman" w:eastAsia="Times New Roman" w:hAnsi="Times New Roman" w:cs="Times New Roman"/>
          <w:sz w:val="24"/>
          <w:szCs w:val="24"/>
        </w:rPr>
      </w:pPr>
      <w:r w:rsidRPr="00A07F29">
        <w:rPr>
          <w:rFonts w:ascii="Times New Roman" w:eastAsia="Times New Roman" w:hAnsi="Times New Roman" w:cs="Times New Roman"/>
          <w:b/>
          <w:sz w:val="24"/>
          <w:szCs w:val="24"/>
        </w:rPr>
        <w:t>Bioloģiski vērtīgie zālāji</w:t>
      </w:r>
      <w:r w:rsidRPr="00A07F29">
        <w:rPr>
          <w:rFonts w:ascii="Times New Roman" w:eastAsia="Times New Roman" w:hAnsi="Times New Roman" w:cs="Times New Roman"/>
          <w:sz w:val="24"/>
          <w:szCs w:val="24"/>
        </w:rPr>
        <w:t xml:space="preserve"> – </w:t>
      </w:r>
      <w:proofErr w:type="spellStart"/>
      <w:r w:rsidRPr="00A07F29">
        <w:rPr>
          <w:rFonts w:ascii="Times New Roman" w:eastAsia="Times New Roman" w:hAnsi="Times New Roman" w:cs="Times New Roman"/>
          <w:sz w:val="24"/>
          <w:szCs w:val="24"/>
        </w:rPr>
        <w:t>pusdabiski</w:t>
      </w:r>
      <w:proofErr w:type="spellEnd"/>
      <w:r w:rsidRPr="00A07F29">
        <w:rPr>
          <w:rFonts w:ascii="Times New Roman" w:eastAsia="Times New Roman" w:hAnsi="Times New Roman" w:cs="Times New Roman"/>
          <w:sz w:val="24"/>
          <w:szCs w:val="24"/>
        </w:rPr>
        <w:t xml:space="preserve"> zālāji, kas nav sēti un apmēram 20 gadus nav tikuši aparti. Tās ir ziedaugiem bagātas </w:t>
      </w:r>
      <w:r w:rsidRPr="00A07F29">
        <w:rPr>
          <w:rFonts w:ascii="Times New Roman" w:eastAsia="Times New Roman" w:hAnsi="Times New Roman" w:cs="Times New Roman"/>
          <w:b/>
          <w:bCs/>
          <w:sz w:val="24"/>
          <w:szCs w:val="24"/>
        </w:rPr>
        <w:t>dabiskās pļavas</w:t>
      </w:r>
      <w:r w:rsidRPr="00A07F29">
        <w:rPr>
          <w:rFonts w:ascii="Times New Roman" w:eastAsia="Times New Roman" w:hAnsi="Times New Roman" w:cs="Times New Roman"/>
          <w:sz w:val="24"/>
          <w:szCs w:val="24"/>
        </w:rPr>
        <w:t>, kuras ir ekstensīvi apsaimniekotas ar tradicionālajām metodēm – pļaušanu un ganīšanu. Ilgstošas apsaimniekošanas rezultātā šie zālāji ir izveidojušies par sarežģītām ekosistēmām ar lielu bioloģisko daudzveidību.</w:t>
      </w:r>
    </w:p>
    <w:p w14:paraId="010BA333" w14:textId="77777777" w:rsidR="000E5936" w:rsidRPr="00A07F29" w:rsidRDefault="00AF4C40" w:rsidP="00305ED1">
      <w:pPr>
        <w:spacing w:after="0" w:line="240" w:lineRule="auto"/>
        <w:ind w:right="-46" w:firstLine="567"/>
        <w:jc w:val="both"/>
        <w:rPr>
          <w:rFonts w:ascii="Times New Roman" w:eastAsia="Times New Roman" w:hAnsi="Times New Roman" w:cs="Times New Roman"/>
          <w:sz w:val="24"/>
          <w:szCs w:val="24"/>
        </w:rPr>
      </w:pPr>
      <w:r w:rsidRPr="00A07F29">
        <w:rPr>
          <w:rFonts w:ascii="Times New Roman" w:eastAsia="Times New Roman" w:hAnsi="Times New Roman" w:cs="Times New Roman"/>
          <w:b/>
          <w:bCs/>
          <w:sz w:val="24"/>
          <w:szCs w:val="24"/>
        </w:rPr>
        <w:t>Biotopi</w:t>
      </w:r>
      <w:r w:rsidRPr="00A07F29">
        <w:rPr>
          <w:rFonts w:ascii="Times New Roman" w:eastAsia="Times New Roman" w:hAnsi="Times New Roman" w:cs="Times New Roman"/>
          <w:sz w:val="24"/>
          <w:szCs w:val="24"/>
        </w:rPr>
        <w:t xml:space="preserve"> — dabiskas vai daļēji dabiskas izcelsmes sauszemes vai ūdens teritorijas, ko raksturo noteiktas ģeogrāfiskas, </w:t>
      </w:r>
      <w:proofErr w:type="spellStart"/>
      <w:r w:rsidRPr="00A07F29">
        <w:rPr>
          <w:rFonts w:ascii="Times New Roman" w:eastAsia="Times New Roman" w:hAnsi="Times New Roman" w:cs="Times New Roman"/>
          <w:sz w:val="24"/>
          <w:szCs w:val="24"/>
        </w:rPr>
        <w:t>abiotiskas</w:t>
      </w:r>
      <w:proofErr w:type="spellEnd"/>
      <w:r w:rsidRPr="00A07F29">
        <w:rPr>
          <w:rFonts w:ascii="Times New Roman" w:eastAsia="Times New Roman" w:hAnsi="Times New Roman" w:cs="Times New Roman"/>
          <w:sz w:val="24"/>
          <w:szCs w:val="24"/>
        </w:rPr>
        <w:t xml:space="preserve"> un </w:t>
      </w:r>
      <w:proofErr w:type="spellStart"/>
      <w:r w:rsidRPr="00A07F29">
        <w:rPr>
          <w:rFonts w:ascii="Times New Roman" w:eastAsia="Times New Roman" w:hAnsi="Times New Roman" w:cs="Times New Roman"/>
          <w:sz w:val="24"/>
          <w:szCs w:val="24"/>
        </w:rPr>
        <w:t>biotiskas</w:t>
      </w:r>
      <w:proofErr w:type="spellEnd"/>
      <w:r w:rsidRPr="00A07F29">
        <w:rPr>
          <w:rFonts w:ascii="Times New Roman" w:eastAsia="Times New Roman" w:hAnsi="Times New Roman" w:cs="Times New Roman"/>
          <w:sz w:val="24"/>
          <w:szCs w:val="24"/>
        </w:rPr>
        <w:t xml:space="preserve"> pazīmes. </w:t>
      </w:r>
    </w:p>
    <w:p w14:paraId="41EAC380" w14:textId="35F131AE" w:rsidR="00AF4C40" w:rsidRPr="00A07F29" w:rsidRDefault="00AF4C40" w:rsidP="00305ED1">
      <w:pPr>
        <w:spacing w:after="0" w:line="240" w:lineRule="auto"/>
        <w:ind w:right="-46" w:firstLine="567"/>
        <w:jc w:val="both"/>
        <w:rPr>
          <w:rFonts w:ascii="Times New Roman" w:eastAsia="Times New Roman" w:hAnsi="Times New Roman" w:cs="Times New Roman"/>
          <w:sz w:val="24"/>
          <w:szCs w:val="24"/>
        </w:rPr>
      </w:pPr>
      <w:r w:rsidRPr="00A07F29">
        <w:rPr>
          <w:rFonts w:ascii="Times New Roman" w:eastAsia="Times New Roman" w:hAnsi="Times New Roman" w:cs="Times New Roman"/>
          <w:b/>
          <w:bCs/>
          <w:sz w:val="24"/>
          <w:szCs w:val="24"/>
        </w:rPr>
        <w:t xml:space="preserve">Dabiskie meža biotopi </w:t>
      </w:r>
      <w:r w:rsidRPr="00A07F29">
        <w:rPr>
          <w:rFonts w:ascii="Times New Roman" w:eastAsia="Times New Roman" w:hAnsi="Times New Roman" w:cs="Times New Roman"/>
          <w:sz w:val="24"/>
          <w:szCs w:val="24"/>
        </w:rPr>
        <w:t>(mežaudžu atslēgas biotopi) – ekoloģiski vērtīgas vietas mežā, kur dažādu apstākļu kopums nodrošina retu un apdraudētu augu un dzīvnieku sugu klātbūtni.</w:t>
      </w:r>
    </w:p>
    <w:p w14:paraId="665AE6E8" w14:textId="1B15E892" w:rsidR="00AF4C40" w:rsidRPr="00A07F29" w:rsidRDefault="00AF4C40" w:rsidP="00305ED1">
      <w:pPr>
        <w:spacing w:after="0" w:line="240" w:lineRule="auto"/>
        <w:ind w:right="-46" w:firstLine="567"/>
        <w:jc w:val="both"/>
        <w:rPr>
          <w:rFonts w:ascii="Times New Roman" w:eastAsia="Times New Roman" w:hAnsi="Times New Roman" w:cs="Times New Roman"/>
          <w:sz w:val="24"/>
          <w:szCs w:val="24"/>
        </w:rPr>
      </w:pPr>
      <w:r w:rsidRPr="00A07F29">
        <w:rPr>
          <w:rFonts w:ascii="Times New Roman" w:eastAsia="Times New Roman" w:hAnsi="Times New Roman" w:cs="Times New Roman"/>
          <w:b/>
          <w:sz w:val="24"/>
          <w:szCs w:val="24"/>
        </w:rPr>
        <w:t>Eiropas nozīmes īpaši aizsargājamas dabas teritorijas (</w:t>
      </w:r>
      <w:r w:rsidR="0092556E" w:rsidRPr="00A07F29">
        <w:rPr>
          <w:rFonts w:ascii="Times New Roman" w:eastAsia="Times New Roman" w:hAnsi="Times New Roman" w:cs="Times New Roman"/>
          <w:b/>
          <w:i/>
          <w:sz w:val="24"/>
          <w:szCs w:val="24"/>
        </w:rPr>
        <w:t>NATURA</w:t>
      </w:r>
      <w:r w:rsidRPr="00A07F29">
        <w:rPr>
          <w:rFonts w:ascii="Times New Roman" w:eastAsia="Times New Roman" w:hAnsi="Times New Roman" w:cs="Times New Roman"/>
          <w:b/>
          <w:i/>
          <w:sz w:val="24"/>
          <w:szCs w:val="24"/>
        </w:rPr>
        <w:t xml:space="preserve"> 2000</w:t>
      </w:r>
      <w:r w:rsidRPr="00A07F29">
        <w:rPr>
          <w:rFonts w:ascii="Times New Roman" w:eastAsia="Times New Roman" w:hAnsi="Times New Roman" w:cs="Times New Roman"/>
          <w:b/>
          <w:sz w:val="24"/>
          <w:szCs w:val="24"/>
        </w:rPr>
        <w:t>)</w:t>
      </w:r>
      <w:r w:rsidRPr="00A07F29">
        <w:rPr>
          <w:rFonts w:ascii="Times New Roman" w:eastAsia="Times New Roman" w:hAnsi="Times New Roman" w:cs="Times New Roman"/>
          <w:sz w:val="24"/>
          <w:szCs w:val="24"/>
        </w:rPr>
        <w:t xml:space="preserve"> – vienots Eiropas nozīmes aizsargājamo dabas teritoriju tīkls. Tas izveidots, lai nodrošinātu īpaši aizsargājamo biotopu, īpaši aizsargājamo sugu un ierobežoti izmantojamo īpaši aizsargājamo sugu dzīvotņu aizsardzību vai, kur tas nepieciešams, atjaunošanu to dabiskās izplatības areāla robežās.</w:t>
      </w:r>
    </w:p>
    <w:p w14:paraId="48593137" w14:textId="5D72FA19" w:rsidR="00AF4C40" w:rsidRPr="00A07F29" w:rsidRDefault="00AF4C40" w:rsidP="00305ED1">
      <w:pPr>
        <w:spacing w:after="0" w:line="240" w:lineRule="auto"/>
        <w:ind w:right="-46" w:firstLine="567"/>
        <w:jc w:val="both"/>
        <w:rPr>
          <w:rFonts w:ascii="Times New Roman" w:eastAsia="Times New Roman" w:hAnsi="Times New Roman" w:cs="Times New Roman"/>
          <w:sz w:val="24"/>
          <w:szCs w:val="24"/>
        </w:rPr>
      </w:pPr>
      <w:r w:rsidRPr="00A07F29">
        <w:rPr>
          <w:rFonts w:ascii="Times New Roman" w:eastAsia="Times New Roman" w:hAnsi="Times New Roman" w:cs="Times New Roman"/>
          <w:b/>
          <w:sz w:val="24"/>
          <w:szCs w:val="24"/>
        </w:rPr>
        <w:t>Ekosistēma</w:t>
      </w:r>
      <w:r w:rsidRPr="00A07F29">
        <w:rPr>
          <w:rFonts w:ascii="Times New Roman" w:eastAsia="Times New Roman" w:hAnsi="Times New Roman" w:cs="Times New Roman"/>
          <w:sz w:val="24"/>
          <w:szCs w:val="24"/>
        </w:rPr>
        <w:t xml:space="preserve"> – dzīvo organismu kopa un to eksistences vide, kas, pastāvot cēloņsakarību un mijiedarbības saitēm, veido vienotu veselumu.</w:t>
      </w:r>
      <w:r w:rsidR="00D65BBA" w:rsidRPr="00A07F29">
        <w:rPr>
          <w:rFonts w:ascii="Times New Roman" w:eastAsia="Times New Roman" w:hAnsi="Times New Roman" w:cs="Times New Roman"/>
          <w:sz w:val="24"/>
          <w:szCs w:val="24"/>
        </w:rPr>
        <w:t xml:space="preserve"> </w:t>
      </w:r>
    </w:p>
    <w:p w14:paraId="20C1EA24" w14:textId="77777777" w:rsidR="00AF4C40" w:rsidRPr="00A07F29" w:rsidRDefault="00AF4C40" w:rsidP="00305ED1">
      <w:pPr>
        <w:widowControl w:val="0"/>
        <w:spacing w:after="0" w:line="240" w:lineRule="auto"/>
        <w:ind w:right="-46" w:firstLine="567"/>
        <w:jc w:val="both"/>
        <w:rPr>
          <w:rFonts w:ascii="Times New Roman" w:eastAsia="Times New Roman" w:hAnsi="Times New Roman" w:cs="Times New Roman"/>
          <w:sz w:val="24"/>
          <w:szCs w:val="24"/>
        </w:rPr>
      </w:pPr>
      <w:proofErr w:type="spellStart"/>
      <w:r w:rsidRPr="00A07F29">
        <w:rPr>
          <w:rFonts w:ascii="Times New Roman" w:eastAsia="Times New Roman" w:hAnsi="Times New Roman" w:cs="Times New Roman"/>
          <w:b/>
          <w:sz w:val="24"/>
          <w:szCs w:val="24"/>
        </w:rPr>
        <w:t>Imago</w:t>
      </w:r>
      <w:proofErr w:type="spellEnd"/>
      <w:r w:rsidRPr="00A07F29">
        <w:rPr>
          <w:rFonts w:ascii="Times New Roman" w:eastAsia="Times New Roman" w:hAnsi="Times New Roman" w:cs="Times New Roman"/>
          <w:sz w:val="24"/>
          <w:szCs w:val="24"/>
        </w:rPr>
        <w:t xml:space="preserve"> – pieaudzis kukaiņa īpatnis.</w:t>
      </w:r>
    </w:p>
    <w:p w14:paraId="4A4034C7" w14:textId="77777777" w:rsidR="00AF4C40" w:rsidRPr="00A07F29" w:rsidRDefault="00AF4C40" w:rsidP="00305ED1">
      <w:pPr>
        <w:spacing w:after="0" w:line="240" w:lineRule="auto"/>
        <w:ind w:right="-46" w:firstLine="567"/>
        <w:jc w:val="both"/>
        <w:rPr>
          <w:rFonts w:ascii="Times New Roman" w:eastAsia="Times New Roman" w:hAnsi="Times New Roman" w:cs="Times New Roman"/>
          <w:sz w:val="24"/>
          <w:szCs w:val="24"/>
        </w:rPr>
      </w:pPr>
      <w:proofErr w:type="spellStart"/>
      <w:r w:rsidRPr="00A07F29">
        <w:rPr>
          <w:rFonts w:ascii="Times New Roman" w:eastAsia="Times New Roman" w:hAnsi="Times New Roman" w:cs="Times New Roman"/>
          <w:b/>
          <w:sz w:val="24"/>
          <w:szCs w:val="24"/>
        </w:rPr>
        <w:t>Indikatorsuga</w:t>
      </w:r>
      <w:proofErr w:type="spellEnd"/>
      <w:r w:rsidRPr="00A07F29">
        <w:rPr>
          <w:rFonts w:ascii="Times New Roman" w:eastAsia="Times New Roman" w:hAnsi="Times New Roman" w:cs="Times New Roman"/>
          <w:sz w:val="24"/>
          <w:szCs w:val="24"/>
        </w:rPr>
        <w:t xml:space="preserve"> – suga, kas saistītas ar specifiskiem vides apstākļiem, kurus var konstatēt pēc šīs sugas klātbūtnes.</w:t>
      </w:r>
    </w:p>
    <w:p w14:paraId="1C359DFF" w14:textId="02987545" w:rsidR="00AF4C40" w:rsidRPr="00A07F29" w:rsidRDefault="00AF4C40" w:rsidP="00305ED1">
      <w:pPr>
        <w:spacing w:after="0" w:line="240" w:lineRule="auto"/>
        <w:ind w:right="-46" w:firstLine="567"/>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b/>
          <w:sz w:val="24"/>
          <w:szCs w:val="24"/>
          <w:lang w:eastAsia="lv-LV"/>
        </w:rPr>
        <w:t>Īpaši aizsargājamas dabas teritorijas</w:t>
      </w:r>
      <w:r w:rsidRPr="00A07F29">
        <w:rPr>
          <w:rFonts w:ascii="Times New Roman" w:eastAsia="Times New Roman" w:hAnsi="Times New Roman" w:cs="Times New Roman"/>
          <w:sz w:val="24"/>
          <w:szCs w:val="24"/>
          <w:lang w:eastAsia="lv-LV"/>
        </w:rPr>
        <w:t xml:space="preserve"> – ģeogrāfiski noteiktas platības, kas atrodas īpašā valsts aizsardzībā saskaņā ar kompetentu valsts varas un pārvaldes institūciju lēmumu, un tiek izveidotas, aizsargātas un apsaimniekotas nolūkā aizsargāt</w:t>
      </w:r>
      <w:r w:rsidR="00BB7169" w:rsidRPr="00A07F29">
        <w:rPr>
          <w:rFonts w:ascii="Times New Roman" w:eastAsia="Times New Roman" w:hAnsi="Times New Roman" w:cs="Times New Roman"/>
          <w:sz w:val="24"/>
          <w:szCs w:val="24"/>
          <w:lang w:eastAsia="lv-LV"/>
        </w:rPr>
        <w:t xml:space="preserve"> un saglabāt dabas daudzveidību </w:t>
      </w:r>
      <w:r w:rsidRPr="00A07F29">
        <w:rPr>
          <w:rFonts w:ascii="Times New Roman" w:eastAsia="Times New Roman" w:hAnsi="Times New Roman" w:cs="Times New Roman"/>
          <w:sz w:val="24"/>
          <w:szCs w:val="24"/>
          <w:lang w:eastAsia="lv-LV"/>
        </w:rPr>
        <w:t xml:space="preserve">(retas un tipiskas dabas ekosistēmas, aizsargājamo sugu dzīves vidi, savdabīgas, skaistas, Latvijai raksturīgas ainavas, ģeoloģiskos un </w:t>
      </w:r>
      <w:proofErr w:type="spellStart"/>
      <w:r w:rsidRPr="00A07F29">
        <w:rPr>
          <w:rFonts w:ascii="Times New Roman" w:eastAsia="Times New Roman" w:hAnsi="Times New Roman" w:cs="Times New Roman"/>
          <w:sz w:val="24"/>
          <w:szCs w:val="24"/>
          <w:lang w:eastAsia="lv-LV"/>
        </w:rPr>
        <w:t>ģeomorfoloģiskos</w:t>
      </w:r>
      <w:proofErr w:type="spellEnd"/>
      <w:r w:rsidRPr="00A07F29">
        <w:rPr>
          <w:rFonts w:ascii="Times New Roman" w:eastAsia="Times New Roman" w:hAnsi="Times New Roman" w:cs="Times New Roman"/>
          <w:sz w:val="24"/>
          <w:szCs w:val="24"/>
          <w:lang w:eastAsia="lv-LV"/>
        </w:rPr>
        <w:t xml:space="preserve"> veidojumus utt.), nodrošināt zinātniskos pētījumus un vides pārraudzību, saglabāt sabiedrības atpūtai, izglītošanai un audzināšanai nozīmīgas teritorijas.</w:t>
      </w:r>
    </w:p>
    <w:p w14:paraId="4FFB0219" w14:textId="77777777" w:rsidR="00AF4C40" w:rsidRPr="00A07F29" w:rsidRDefault="00AF4C40" w:rsidP="00305ED1">
      <w:pPr>
        <w:spacing w:after="0" w:line="240" w:lineRule="auto"/>
        <w:ind w:right="-46" w:firstLine="567"/>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Aizsargājamās teritorijas iedala šādās kategorijās: dabas rezervāti, nacionālie parki, biosfēras rezervāti, dabas parki, dabas pieminekļi, dabas parki, aizsargājamās jūras teritorijas un aizsargājamo ainavu apvidi.</w:t>
      </w:r>
    </w:p>
    <w:p w14:paraId="6B8C5757" w14:textId="77777777" w:rsidR="00AF4C40" w:rsidRPr="00A07F29" w:rsidRDefault="00AF4C40" w:rsidP="00305ED1">
      <w:pPr>
        <w:spacing w:after="0" w:line="240" w:lineRule="auto"/>
        <w:ind w:right="-46" w:firstLine="567"/>
        <w:jc w:val="both"/>
        <w:rPr>
          <w:rFonts w:ascii="Times New Roman" w:eastAsia="Times New Roman" w:hAnsi="Times New Roman" w:cs="Times New Roman"/>
          <w:sz w:val="24"/>
          <w:szCs w:val="24"/>
        </w:rPr>
      </w:pPr>
      <w:r w:rsidRPr="00A07F29">
        <w:rPr>
          <w:rFonts w:ascii="Times New Roman" w:eastAsia="Times New Roman" w:hAnsi="Times New Roman" w:cs="Times New Roman"/>
          <w:b/>
          <w:bCs/>
          <w:sz w:val="24"/>
          <w:szCs w:val="24"/>
        </w:rPr>
        <w:t>Mikroliegums</w:t>
      </w:r>
      <w:r w:rsidRPr="00A07F29">
        <w:rPr>
          <w:rFonts w:ascii="Times New Roman" w:eastAsia="Times New Roman" w:hAnsi="Times New Roman" w:cs="Times New Roman"/>
          <w:sz w:val="24"/>
          <w:szCs w:val="24"/>
        </w:rPr>
        <w:t xml:space="preserve"> – teritorija, ko nosaka, lai nodrošinātu īpaši aizsargājamas sugas vai biotopa aizsardzību ārpus īpaši aizsargājamām dabas teritorijām, kā arī īpaši aizsargājamās dabas teritorijās, ja kāda no funkcionālajām zonām to nenodrošina.</w:t>
      </w:r>
    </w:p>
    <w:p w14:paraId="01FF91C8" w14:textId="77777777" w:rsidR="00AF4C40" w:rsidRPr="00A07F29" w:rsidRDefault="00AF4C40" w:rsidP="00305ED1">
      <w:pPr>
        <w:widowControl w:val="0"/>
        <w:spacing w:after="0" w:line="240" w:lineRule="auto"/>
        <w:ind w:right="-46" w:firstLine="567"/>
        <w:jc w:val="both"/>
        <w:rPr>
          <w:rFonts w:ascii="Times New Roman" w:eastAsia="Times New Roman" w:hAnsi="Times New Roman" w:cs="Times New Roman"/>
          <w:sz w:val="24"/>
          <w:szCs w:val="24"/>
        </w:rPr>
      </w:pPr>
      <w:proofErr w:type="spellStart"/>
      <w:r w:rsidRPr="00A07F29">
        <w:rPr>
          <w:rFonts w:ascii="Times New Roman" w:eastAsia="Times New Roman" w:hAnsi="Times New Roman" w:cs="Times New Roman"/>
          <w:b/>
          <w:sz w:val="24"/>
          <w:szCs w:val="24"/>
        </w:rPr>
        <w:t>Saproksils</w:t>
      </w:r>
      <w:proofErr w:type="spellEnd"/>
      <w:r w:rsidRPr="00A07F29">
        <w:rPr>
          <w:rFonts w:ascii="Times New Roman" w:eastAsia="Times New Roman" w:hAnsi="Times New Roman" w:cs="Times New Roman"/>
          <w:b/>
          <w:sz w:val="24"/>
          <w:szCs w:val="24"/>
        </w:rPr>
        <w:t xml:space="preserve"> – </w:t>
      </w:r>
      <w:r w:rsidRPr="00A07F29">
        <w:rPr>
          <w:rFonts w:ascii="Times New Roman" w:eastAsia="Times New Roman" w:hAnsi="Times New Roman" w:cs="Times New Roman"/>
          <w:sz w:val="24"/>
          <w:szCs w:val="24"/>
        </w:rPr>
        <w:t>dzīvnieks, kas barojas ar atmirušu vai atmirstošu koksni.</w:t>
      </w:r>
    </w:p>
    <w:p w14:paraId="44884BCB" w14:textId="77777777" w:rsidR="00AF4C40" w:rsidRPr="00A07F29" w:rsidRDefault="00AF4C40" w:rsidP="00305ED1">
      <w:pPr>
        <w:spacing w:after="0" w:line="240" w:lineRule="auto"/>
        <w:ind w:right="-46" w:firstLine="567"/>
        <w:jc w:val="both"/>
        <w:rPr>
          <w:rFonts w:ascii="Times New Roman" w:eastAsia="Times New Roman" w:hAnsi="Times New Roman" w:cs="Times New Roman"/>
          <w:sz w:val="24"/>
          <w:szCs w:val="24"/>
        </w:rPr>
      </w:pPr>
      <w:proofErr w:type="spellStart"/>
      <w:r w:rsidRPr="00A07F29">
        <w:rPr>
          <w:rFonts w:ascii="Times New Roman" w:eastAsia="Times New Roman" w:hAnsi="Times New Roman" w:cs="Times New Roman"/>
          <w:b/>
          <w:sz w:val="24"/>
          <w:szCs w:val="24"/>
        </w:rPr>
        <w:t>Sukcesija</w:t>
      </w:r>
      <w:proofErr w:type="spellEnd"/>
      <w:r w:rsidRPr="00A07F29">
        <w:rPr>
          <w:rFonts w:ascii="Times New Roman" w:eastAsia="Times New Roman" w:hAnsi="Times New Roman" w:cs="Times New Roman"/>
          <w:sz w:val="24"/>
          <w:szCs w:val="24"/>
        </w:rPr>
        <w:t xml:space="preserve"> – ekosistēmas veidošanās process. </w:t>
      </w:r>
      <w:proofErr w:type="spellStart"/>
      <w:r w:rsidRPr="00A07F29">
        <w:rPr>
          <w:rFonts w:ascii="Times New Roman" w:eastAsia="Times New Roman" w:hAnsi="Times New Roman" w:cs="Times New Roman"/>
          <w:sz w:val="24"/>
          <w:szCs w:val="24"/>
        </w:rPr>
        <w:t>Sukcesija</w:t>
      </w:r>
      <w:proofErr w:type="spellEnd"/>
      <w:r w:rsidRPr="00A07F29">
        <w:rPr>
          <w:rFonts w:ascii="Times New Roman" w:eastAsia="Times New Roman" w:hAnsi="Times New Roman" w:cs="Times New Roman"/>
          <w:sz w:val="24"/>
          <w:szCs w:val="24"/>
        </w:rPr>
        <w:t xml:space="preserve"> ir pakāpenisks process, kurā mainās sugu sastāvs augu sabiedrībā. Mērenajā joslā vairumā gadījumu sauszemes ekosistēmu </w:t>
      </w:r>
      <w:proofErr w:type="spellStart"/>
      <w:r w:rsidRPr="00A07F29">
        <w:rPr>
          <w:rFonts w:ascii="Times New Roman" w:eastAsia="Times New Roman" w:hAnsi="Times New Roman" w:cs="Times New Roman"/>
          <w:sz w:val="24"/>
          <w:szCs w:val="24"/>
        </w:rPr>
        <w:t>sukcesija</w:t>
      </w:r>
      <w:proofErr w:type="spellEnd"/>
      <w:r w:rsidRPr="00A07F29">
        <w:rPr>
          <w:rFonts w:ascii="Times New Roman" w:eastAsia="Times New Roman" w:hAnsi="Times New Roman" w:cs="Times New Roman"/>
          <w:sz w:val="24"/>
          <w:szCs w:val="24"/>
        </w:rPr>
        <w:t xml:space="preserve"> beidzas ar meža veidošanos. Ekosistēma tiecas uz stacionāru stāvokli, kas atbilst attiecīgā klimata un augsnes apstākļiem un nodrošina noturīgu ekosistēmas funkcionēšanu.</w:t>
      </w:r>
    </w:p>
    <w:p w14:paraId="3BD0960C" w14:textId="77777777" w:rsidR="00AF4C40" w:rsidRPr="00A07F29" w:rsidRDefault="00AF4C40" w:rsidP="00305ED1">
      <w:pPr>
        <w:spacing w:after="0" w:line="240" w:lineRule="auto"/>
        <w:ind w:right="-46" w:firstLine="567"/>
        <w:jc w:val="both"/>
        <w:rPr>
          <w:rFonts w:ascii="Times New Roman" w:eastAsia="Times New Roman" w:hAnsi="Times New Roman" w:cs="Times New Roman"/>
          <w:sz w:val="24"/>
        </w:rPr>
      </w:pPr>
      <w:r w:rsidRPr="00A07F29">
        <w:rPr>
          <w:rFonts w:ascii="Times New Roman" w:eastAsia="Times New Roman" w:hAnsi="Times New Roman" w:cs="Times New Roman"/>
          <w:b/>
          <w:bCs/>
          <w:sz w:val="24"/>
          <w:szCs w:val="24"/>
        </w:rPr>
        <w:t>Vides monitorings</w:t>
      </w:r>
      <w:r w:rsidRPr="00A07F29">
        <w:rPr>
          <w:rFonts w:ascii="Times New Roman" w:eastAsia="Times New Roman" w:hAnsi="Times New Roman" w:cs="Times New Roman"/>
          <w:sz w:val="24"/>
          <w:szCs w:val="24"/>
        </w:rPr>
        <w:t xml:space="preserve"> – sistemātiski vides stāvokļa un piesārņojuma emisiju vai populāciju un sugu novērojumi, mērījumi un aprēķini, kas nepieciešami vides stāvokļa vērtējumam, vides politikas izstrādāšanai un vides un dabas aizsardzības pasākumu plānošanai, kā arī to efektivitātes kontrolei.</w:t>
      </w:r>
    </w:p>
    <w:p w14:paraId="4C191909" w14:textId="77777777" w:rsidR="00AF4C40" w:rsidRPr="00A07F29" w:rsidRDefault="00AF4C40" w:rsidP="00AF4C40">
      <w:pPr>
        <w:spacing w:after="160" w:line="259" w:lineRule="auto"/>
        <w:ind w:firstLine="851"/>
        <w:jc w:val="both"/>
        <w:rPr>
          <w:rFonts w:ascii="Times New Roman" w:eastAsia="Times New Roman" w:hAnsi="Times New Roman" w:cs="Times New Roman"/>
          <w:b/>
          <w:bCs/>
          <w:color w:val="000000"/>
          <w:sz w:val="28"/>
          <w:szCs w:val="28"/>
          <w:lang w:eastAsia="ja-JP"/>
        </w:rPr>
      </w:pPr>
      <w:r w:rsidRPr="00A07F29">
        <w:rPr>
          <w:rFonts w:ascii="Times New Roman" w:eastAsia="Times New Roman" w:hAnsi="Times New Roman" w:cs="Calibri"/>
          <w:sz w:val="24"/>
        </w:rPr>
        <w:br w:type="page"/>
      </w:r>
    </w:p>
    <w:sdt>
      <w:sdtPr>
        <w:rPr>
          <w:rFonts w:asciiTheme="minorHAnsi" w:eastAsiaTheme="minorEastAsia" w:hAnsiTheme="minorHAnsi" w:cstheme="minorBidi"/>
          <w:b w:val="0"/>
          <w:bCs w:val="0"/>
          <w:color w:val="auto"/>
          <w:sz w:val="22"/>
          <w:szCs w:val="22"/>
          <w:lang w:val="lv-LV" w:eastAsia="en-US"/>
        </w:rPr>
        <w:id w:val="-922178659"/>
        <w:docPartObj>
          <w:docPartGallery w:val="Table of Contents"/>
          <w:docPartUnique/>
        </w:docPartObj>
      </w:sdtPr>
      <w:sdtContent>
        <w:p w14:paraId="46F77773" w14:textId="2D8DC727" w:rsidR="00743C75" w:rsidRPr="00A07F29" w:rsidRDefault="44338CFC" w:rsidP="00743C75">
          <w:pPr>
            <w:pStyle w:val="TOCHeading"/>
            <w:ind w:firstLine="0"/>
            <w:jc w:val="center"/>
            <w:rPr>
              <w:rFonts w:ascii="Times New Roman" w:hAnsi="Times New Roman" w:cs="Times New Roman"/>
              <w:color w:val="auto"/>
              <w:lang w:val="lv-LV"/>
            </w:rPr>
          </w:pPr>
          <w:r w:rsidRPr="00A07F29">
            <w:rPr>
              <w:rFonts w:ascii="Times New Roman" w:hAnsi="Times New Roman" w:cs="Times New Roman"/>
              <w:color w:val="auto"/>
              <w:lang w:val="lv-LV"/>
            </w:rPr>
            <w:t>SATURS</w:t>
          </w:r>
        </w:p>
        <w:p w14:paraId="48C75032" w14:textId="51FF129A" w:rsidR="004D5E03" w:rsidRPr="00A07F29" w:rsidRDefault="00743C75">
          <w:pPr>
            <w:pStyle w:val="TOC1"/>
            <w:rPr>
              <w:rFonts w:asciiTheme="minorHAnsi" w:eastAsiaTheme="minorEastAsia" w:hAnsiTheme="minorHAnsi" w:cstheme="minorBidi"/>
              <w:b w:val="0"/>
              <w:kern w:val="2"/>
              <w:sz w:val="22"/>
              <w:lang w:val="lv-LV" w:eastAsia="en-GB"/>
              <w14:ligatures w14:val="standardContextual"/>
            </w:rPr>
          </w:pPr>
          <w:r w:rsidRPr="00A07F29">
            <w:rPr>
              <w:lang w:val="lv-LV"/>
            </w:rPr>
            <w:fldChar w:fldCharType="begin"/>
          </w:r>
          <w:r w:rsidRPr="00A07F29">
            <w:rPr>
              <w:lang w:val="lv-LV"/>
            </w:rPr>
            <w:instrText xml:space="preserve"> TOC \o "1-3" \h \z \u </w:instrText>
          </w:r>
          <w:r w:rsidRPr="00A07F29">
            <w:rPr>
              <w:lang w:val="lv-LV"/>
            </w:rPr>
            <w:fldChar w:fldCharType="separate"/>
          </w:r>
          <w:hyperlink w:anchor="_Toc183433965" w:history="1">
            <w:r w:rsidR="004D5E03" w:rsidRPr="00A07F29">
              <w:rPr>
                <w:rStyle w:val="Hyperlink"/>
                <w:rFonts w:eastAsia="Times New Roman"/>
                <w:lang w:val="lv-LV" w:eastAsia="ja-JP"/>
              </w:rPr>
              <w:t>KOPSAVILKUMS</w:t>
            </w:r>
            <w:r w:rsidR="004D5E03" w:rsidRPr="00A07F29">
              <w:rPr>
                <w:webHidden/>
                <w:lang w:val="lv-LV"/>
              </w:rPr>
              <w:tab/>
            </w:r>
            <w:r w:rsidR="004D5E03" w:rsidRPr="00A07F29">
              <w:rPr>
                <w:webHidden/>
                <w:lang w:val="lv-LV"/>
              </w:rPr>
              <w:fldChar w:fldCharType="begin"/>
            </w:r>
            <w:r w:rsidR="004D5E03" w:rsidRPr="00A07F29">
              <w:rPr>
                <w:webHidden/>
                <w:lang w:val="lv-LV"/>
              </w:rPr>
              <w:instrText xml:space="preserve"> PAGEREF _Toc183433965 \h </w:instrText>
            </w:r>
            <w:r w:rsidR="004D5E03" w:rsidRPr="00A07F29">
              <w:rPr>
                <w:webHidden/>
                <w:lang w:val="lv-LV"/>
              </w:rPr>
            </w:r>
            <w:r w:rsidR="004D5E03" w:rsidRPr="00A07F29">
              <w:rPr>
                <w:webHidden/>
                <w:lang w:val="lv-LV"/>
              </w:rPr>
              <w:fldChar w:fldCharType="separate"/>
            </w:r>
            <w:r w:rsidR="00DF40ED" w:rsidRPr="00A07F29">
              <w:rPr>
                <w:webHidden/>
                <w:lang w:val="lv-LV"/>
              </w:rPr>
              <w:t>8</w:t>
            </w:r>
            <w:r w:rsidR="004D5E03" w:rsidRPr="00A07F29">
              <w:rPr>
                <w:webHidden/>
                <w:lang w:val="lv-LV"/>
              </w:rPr>
              <w:fldChar w:fldCharType="end"/>
            </w:r>
          </w:hyperlink>
        </w:p>
        <w:p w14:paraId="215C6CCD" w14:textId="7B1FAB16" w:rsidR="004D5E03" w:rsidRPr="00A07F29" w:rsidRDefault="004D5E03">
          <w:pPr>
            <w:pStyle w:val="TOC1"/>
            <w:rPr>
              <w:rFonts w:asciiTheme="minorHAnsi" w:eastAsiaTheme="minorEastAsia" w:hAnsiTheme="minorHAnsi" w:cstheme="minorBidi"/>
              <w:b w:val="0"/>
              <w:kern w:val="2"/>
              <w:sz w:val="22"/>
              <w:lang w:val="lv-LV" w:eastAsia="en-GB"/>
              <w14:ligatures w14:val="standardContextual"/>
            </w:rPr>
          </w:pPr>
          <w:hyperlink w:anchor="_Toc183433966" w:history="1">
            <w:r w:rsidRPr="00A07F29">
              <w:rPr>
                <w:rStyle w:val="Hyperlink"/>
                <w:rFonts w:eastAsia="Times New Roman"/>
                <w:lang w:val="lv-LV" w:eastAsia="ja-JP"/>
              </w:rPr>
              <w:t xml:space="preserve">1. AAA </w:t>
            </w:r>
            <w:r w:rsidR="00F5462B" w:rsidRPr="00A07F29">
              <w:rPr>
                <w:rStyle w:val="Hyperlink"/>
                <w:rFonts w:eastAsia="Times New Roman"/>
                <w:lang w:val="lv-LV" w:eastAsia="ja-JP"/>
              </w:rPr>
              <w:t>“</w:t>
            </w:r>
            <w:r w:rsidRPr="00A07F29">
              <w:rPr>
                <w:rStyle w:val="Hyperlink"/>
                <w:rFonts w:eastAsia="Times New Roman"/>
                <w:lang w:val="lv-LV" w:eastAsia="ja-JP"/>
              </w:rPr>
              <w:t>AUGŠDAUGAVA” TERITORIJAS APRAKSTS</w:t>
            </w:r>
            <w:r w:rsidRPr="00A07F29">
              <w:rPr>
                <w:webHidden/>
                <w:lang w:val="lv-LV"/>
              </w:rPr>
              <w:tab/>
            </w:r>
            <w:r w:rsidRPr="00A07F29">
              <w:rPr>
                <w:webHidden/>
                <w:lang w:val="lv-LV"/>
              </w:rPr>
              <w:fldChar w:fldCharType="begin"/>
            </w:r>
            <w:r w:rsidRPr="00A07F29">
              <w:rPr>
                <w:webHidden/>
                <w:lang w:val="lv-LV"/>
              </w:rPr>
              <w:instrText xml:space="preserve"> PAGEREF _Toc183433966 \h </w:instrText>
            </w:r>
            <w:r w:rsidRPr="00A07F29">
              <w:rPr>
                <w:webHidden/>
                <w:lang w:val="lv-LV"/>
              </w:rPr>
            </w:r>
            <w:r w:rsidRPr="00A07F29">
              <w:rPr>
                <w:webHidden/>
                <w:lang w:val="lv-LV"/>
              </w:rPr>
              <w:fldChar w:fldCharType="separate"/>
            </w:r>
            <w:r w:rsidR="00DF40ED" w:rsidRPr="00A07F29">
              <w:rPr>
                <w:webHidden/>
                <w:lang w:val="lv-LV"/>
              </w:rPr>
              <w:t>12</w:t>
            </w:r>
            <w:r w:rsidRPr="00A07F29">
              <w:rPr>
                <w:webHidden/>
                <w:lang w:val="lv-LV"/>
              </w:rPr>
              <w:fldChar w:fldCharType="end"/>
            </w:r>
          </w:hyperlink>
        </w:p>
        <w:p w14:paraId="71C6B7C1" w14:textId="073E13BC" w:rsidR="004D5E03" w:rsidRPr="00A07F29" w:rsidRDefault="004D5E03">
          <w:pPr>
            <w:pStyle w:val="TOC2"/>
            <w:rPr>
              <w:rFonts w:asciiTheme="minorHAnsi" w:eastAsiaTheme="minorEastAsia" w:hAnsiTheme="minorHAnsi" w:cstheme="minorBidi"/>
              <w:caps w:val="0"/>
              <w:kern w:val="2"/>
              <w:sz w:val="22"/>
              <w:szCs w:val="22"/>
              <w:lang w:eastAsia="en-GB"/>
              <w14:ligatures w14:val="standardContextual"/>
            </w:rPr>
          </w:pPr>
          <w:hyperlink w:anchor="_Toc183433967" w:history="1">
            <w:r w:rsidRPr="00A07F29">
              <w:rPr>
                <w:rStyle w:val="Hyperlink"/>
              </w:rPr>
              <w:t>1.1. Vispārēja informācija par aizsargājamo teritoriju</w:t>
            </w:r>
            <w:r w:rsidRPr="00A07F29">
              <w:rPr>
                <w:webHidden/>
              </w:rPr>
              <w:tab/>
            </w:r>
            <w:r w:rsidRPr="00A07F29">
              <w:rPr>
                <w:webHidden/>
              </w:rPr>
              <w:fldChar w:fldCharType="begin"/>
            </w:r>
            <w:r w:rsidRPr="00A07F29">
              <w:rPr>
                <w:webHidden/>
              </w:rPr>
              <w:instrText xml:space="preserve"> PAGEREF _Toc183433967 \h </w:instrText>
            </w:r>
            <w:r w:rsidRPr="00A07F29">
              <w:rPr>
                <w:webHidden/>
              </w:rPr>
            </w:r>
            <w:r w:rsidRPr="00A07F29">
              <w:rPr>
                <w:webHidden/>
              </w:rPr>
              <w:fldChar w:fldCharType="separate"/>
            </w:r>
            <w:r w:rsidR="00DF40ED" w:rsidRPr="00A07F29">
              <w:rPr>
                <w:webHidden/>
              </w:rPr>
              <w:t>12</w:t>
            </w:r>
            <w:r w:rsidRPr="00A07F29">
              <w:rPr>
                <w:webHidden/>
              </w:rPr>
              <w:fldChar w:fldCharType="end"/>
            </w:r>
          </w:hyperlink>
        </w:p>
        <w:p w14:paraId="6F846BA9" w14:textId="38634850" w:rsidR="004D5E03" w:rsidRPr="00A07F29" w:rsidRDefault="004D5E03">
          <w:pPr>
            <w:pStyle w:val="TOC3"/>
            <w:rPr>
              <w:rFonts w:asciiTheme="minorHAnsi" w:eastAsiaTheme="minorEastAsia" w:hAnsiTheme="minorHAnsi" w:cstheme="minorBidi"/>
              <w:kern w:val="2"/>
              <w:sz w:val="22"/>
              <w:lang w:eastAsia="en-GB"/>
              <w14:ligatures w14:val="standardContextual"/>
            </w:rPr>
          </w:pPr>
          <w:hyperlink w:anchor="_Toc183433968" w:history="1">
            <w:r w:rsidRPr="00A07F29">
              <w:rPr>
                <w:rStyle w:val="Hyperlink"/>
                <w:lang w:eastAsia="ja-JP"/>
              </w:rPr>
              <w:t>1.1.1. Aizsargājamās teritorijas zemes lietošanas veidu raksturojums un zemes īpašuma</w:t>
            </w:r>
            <w:r w:rsidRPr="00A07F29">
              <w:rPr>
                <w:rStyle w:val="Hyperlink"/>
                <w:bCs/>
                <w:iCs/>
                <w:lang w:eastAsia="ja-JP"/>
              </w:rPr>
              <w:t xml:space="preserve"> </w:t>
            </w:r>
            <w:r w:rsidRPr="00A07F29">
              <w:rPr>
                <w:rStyle w:val="Hyperlink"/>
                <w:iCs/>
                <w:lang w:eastAsia="ja-JP"/>
              </w:rPr>
              <w:t>formu apraksts</w:t>
            </w:r>
            <w:r w:rsidRPr="00A07F29">
              <w:rPr>
                <w:webHidden/>
              </w:rPr>
              <w:tab/>
            </w:r>
            <w:r w:rsidRPr="00A07F29">
              <w:rPr>
                <w:webHidden/>
              </w:rPr>
              <w:fldChar w:fldCharType="begin"/>
            </w:r>
            <w:r w:rsidRPr="00A07F29">
              <w:rPr>
                <w:webHidden/>
              </w:rPr>
              <w:instrText xml:space="preserve"> PAGEREF _Toc183433968 \h </w:instrText>
            </w:r>
            <w:r w:rsidRPr="00A07F29">
              <w:rPr>
                <w:webHidden/>
              </w:rPr>
            </w:r>
            <w:r w:rsidRPr="00A07F29">
              <w:rPr>
                <w:webHidden/>
              </w:rPr>
              <w:fldChar w:fldCharType="separate"/>
            </w:r>
            <w:r w:rsidR="00DF40ED" w:rsidRPr="00A07F29">
              <w:rPr>
                <w:webHidden/>
              </w:rPr>
              <w:t>12</w:t>
            </w:r>
            <w:r w:rsidRPr="00A07F29">
              <w:rPr>
                <w:webHidden/>
              </w:rPr>
              <w:fldChar w:fldCharType="end"/>
            </w:r>
          </w:hyperlink>
        </w:p>
        <w:p w14:paraId="462318AC" w14:textId="6C234073" w:rsidR="004D5E03" w:rsidRPr="00A07F29" w:rsidRDefault="004D5E03">
          <w:pPr>
            <w:pStyle w:val="TOC3"/>
            <w:rPr>
              <w:rFonts w:asciiTheme="minorHAnsi" w:eastAsiaTheme="minorEastAsia" w:hAnsiTheme="minorHAnsi" w:cstheme="minorBidi"/>
              <w:kern w:val="2"/>
              <w:sz w:val="22"/>
              <w:lang w:eastAsia="en-GB"/>
              <w14:ligatures w14:val="standardContextual"/>
            </w:rPr>
          </w:pPr>
          <w:hyperlink w:anchor="_Toc183433969" w:history="1">
            <w:r w:rsidRPr="00A07F29">
              <w:rPr>
                <w:rStyle w:val="Hyperlink"/>
                <w:lang w:eastAsia="ja-JP"/>
              </w:rPr>
              <w:t>1.1.2. Pašvaldību teritoriju plānojumos noteiktā teritorijas izmantošana un atļautā (plānotā) izmantošana</w:t>
            </w:r>
            <w:r w:rsidRPr="00A07F29">
              <w:rPr>
                <w:webHidden/>
              </w:rPr>
              <w:tab/>
            </w:r>
            <w:r w:rsidRPr="00A07F29">
              <w:rPr>
                <w:webHidden/>
              </w:rPr>
              <w:fldChar w:fldCharType="begin"/>
            </w:r>
            <w:r w:rsidRPr="00A07F29">
              <w:rPr>
                <w:webHidden/>
              </w:rPr>
              <w:instrText xml:space="preserve"> PAGEREF _Toc183433969 \h </w:instrText>
            </w:r>
            <w:r w:rsidRPr="00A07F29">
              <w:rPr>
                <w:webHidden/>
              </w:rPr>
            </w:r>
            <w:r w:rsidRPr="00A07F29">
              <w:rPr>
                <w:webHidden/>
              </w:rPr>
              <w:fldChar w:fldCharType="separate"/>
            </w:r>
            <w:r w:rsidR="00DF40ED" w:rsidRPr="00A07F29">
              <w:rPr>
                <w:webHidden/>
              </w:rPr>
              <w:t>13</w:t>
            </w:r>
            <w:r w:rsidRPr="00A07F29">
              <w:rPr>
                <w:webHidden/>
              </w:rPr>
              <w:fldChar w:fldCharType="end"/>
            </w:r>
          </w:hyperlink>
        </w:p>
        <w:p w14:paraId="4B765613" w14:textId="1FEE5D28" w:rsidR="004D5E03" w:rsidRPr="00A07F29" w:rsidRDefault="004D5E03">
          <w:pPr>
            <w:pStyle w:val="TOC3"/>
            <w:rPr>
              <w:rFonts w:asciiTheme="minorHAnsi" w:eastAsiaTheme="minorEastAsia" w:hAnsiTheme="minorHAnsi" w:cstheme="minorBidi"/>
              <w:kern w:val="2"/>
              <w:sz w:val="22"/>
              <w:lang w:eastAsia="en-GB"/>
              <w14:ligatures w14:val="standardContextual"/>
            </w:rPr>
          </w:pPr>
          <w:hyperlink w:anchor="_Toc183433970" w:history="1">
            <w:r w:rsidRPr="00A07F29">
              <w:rPr>
                <w:rStyle w:val="Hyperlink"/>
                <w:lang w:eastAsia="ja-JP"/>
              </w:rPr>
              <w:t>1.1.3. Esošais funkcionālais zonējums</w:t>
            </w:r>
            <w:r w:rsidRPr="00A07F29">
              <w:rPr>
                <w:webHidden/>
              </w:rPr>
              <w:tab/>
            </w:r>
            <w:r w:rsidRPr="00A07F29">
              <w:rPr>
                <w:webHidden/>
              </w:rPr>
              <w:fldChar w:fldCharType="begin"/>
            </w:r>
            <w:r w:rsidRPr="00A07F29">
              <w:rPr>
                <w:webHidden/>
              </w:rPr>
              <w:instrText xml:space="preserve"> PAGEREF _Toc183433970 \h </w:instrText>
            </w:r>
            <w:r w:rsidRPr="00A07F29">
              <w:rPr>
                <w:webHidden/>
              </w:rPr>
            </w:r>
            <w:r w:rsidRPr="00A07F29">
              <w:rPr>
                <w:webHidden/>
              </w:rPr>
              <w:fldChar w:fldCharType="separate"/>
            </w:r>
            <w:r w:rsidR="00DF40ED" w:rsidRPr="00A07F29">
              <w:rPr>
                <w:webHidden/>
              </w:rPr>
              <w:t>16</w:t>
            </w:r>
            <w:r w:rsidRPr="00A07F29">
              <w:rPr>
                <w:webHidden/>
              </w:rPr>
              <w:fldChar w:fldCharType="end"/>
            </w:r>
          </w:hyperlink>
        </w:p>
        <w:p w14:paraId="15D0FDB5" w14:textId="2A190A9D" w:rsidR="004D5E03" w:rsidRPr="00A07F29" w:rsidRDefault="004D5E03">
          <w:pPr>
            <w:pStyle w:val="TOC3"/>
            <w:rPr>
              <w:rFonts w:asciiTheme="minorHAnsi" w:eastAsiaTheme="minorEastAsia" w:hAnsiTheme="minorHAnsi" w:cstheme="minorBidi"/>
              <w:kern w:val="2"/>
              <w:sz w:val="22"/>
              <w:lang w:eastAsia="en-GB"/>
              <w14:ligatures w14:val="standardContextual"/>
            </w:rPr>
          </w:pPr>
          <w:hyperlink w:anchor="_Toc183433971" w:history="1">
            <w:r w:rsidRPr="00A07F29">
              <w:rPr>
                <w:rStyle w:val="Hyperlink"/>
                <w:lang w:eastAsia="ja-JP"/>
              </w:rPr>
              <w:t>1.1.4. Aizsardzības un apsaimniekošanas īsa vēsture</w:t>
            </w:r>
            <w:r w:rsidRPr="00A07F29">
              <w:rPr>
                <w:webHidden/>
              </w:rPr>
              <w:tab/>
            </w:r>
            <w:r w:rsidRPr="00A07F29">
              <w:rPr>
                <w:webHidden/>
              </w:rPr>
              <w:fldChar w:fldCharType="begin"/>
            </w:r>
            <w:r w:rsidRPr="00A07F29">
              <w:rPr>
                <w:webHidden/>
              </w:rPr>
              <w:instrText xml:space="preserve"> PAGEREF _Toc183433971 \h </w:instrText>
            </w:r>
            <w:r w:rsidRPr="00A07F29">
              <w:rPr>
                <w:webHidden/>
              </w:rPr>
            </w:r>
            <w:r w:rsidRPr="00A07F29">
              <w:rPr>
                <w:webHidden/>
              </w:rPr>
              <w:fldChar w:fldCharType="separate"/>
            </w:r>
            <w:r w:rsidR="00DF40ED" w:rsidRPr="00A07F29">
              <w:rPr>
                <w:webHidden/>
              </w:rPr>
              <w:t>16</w:t>
            </w:r>
            <w:r w:rsidRPr="00A07F29">
              <w:rPr>
                <w:webHidden/>
              </w:rPr>
              <w:fldChar w:fldCharType="end"/>
            </w:r>
          </w:hyperlink>
        </w:p>
        <w:p w14:paraId="0DA1C453" w14:textId="5877792F" w:rsidR="004D5E03" w:rsidRPr="00A07F29" w:rsidRDefault="004D5E03">
          <w:pPr>
            <w:pStyle w:val="TOC3"/>
            <w:rPr>
              <w:rFonts w:asciiTheme="minorHAnsi" w:eastAsiaTheme="minorEastAsia" w:hAnsiTheme="minorHAnsi" w:cstheme="minorBidi"/>
              <w:kern w:val="2"/>
              <w:sz w:val="22"/>
              <w:lang w:eastAsia="en-GB"/>
              <w14:ligatures w14:val="standardContextual"/>
            </w:rPr>
          </w:pPr>
          <w:hyperlink w:anchor="_Toc183433972" w:history="1">
            <w:r w:rsidRPr="00A07F29">
              <w:rPr>
                <w:rStyle w:val="Hyperlink"/>
                <w:lang w:eastAsia="ja-JP"/>
              </w:rPr>
              <w:t>1.1.5. Kultūrvēsturiskais raksturojums</w:t>
            </w:r>
            <w:r w:rsidRPr="00A07F29">
              <w:rPr>
                <w:webHidden/>
              </w:rPr>
              <w:tab/>
            </w:r>
            <w:r w:rsidRPr="00A07F29">
              <w:rPr>
                <w:webHidden/>
              </w:rPr>
              <w:fldChar w:fldCharType="begin"/>
            </w:r>
            <w:r w:rsidRPr="00A07F29">
              <w:rPr>
                <w:webHidden/>
              </w:rPr>
              <w:instrText xml:space="preserve"> PAGEREF _Toc183433972 \h </w:instrText>
            </w:r>
            <w:r w:rsidRPr="00A07F29">
              <w:rPr>
                <w:webHidden/>
              </w:rPr>
            </w:r>
            <w:r w:rsidRPr="00A07F29">
              <w:rPr>
                <w:webHidden/>
              </w:rPr>
              <w:fldChar w:fldCharType="separate"/>
            </w:r>
            <w:r w:rsidR="00DF40ED" w:rsidRPr="00A07F29">
              <w:rPr>
                <w:webHidden/>
              </w:rPr>
              <w:t>18</w:t>
            </w:r>
            <w:r w:rsidRPr="00A07F29">
              <w:rPr>
                <w:webHidden/>
              </w:rPr>
              <w:fldChar w:fldCharType="end"/>
            </w:r>
          </w:hyperlink>
        </w:p>
        <w:p w14:paraId="11F56724" w14:textId="560B9BB0" w:rsidR="004D5E03" w:rsidRPr="00A07F29" w:rsidRDefault="004D5E03">
          <w:pPr>
            <w:pStyle w:val="TOC3"/>
            <w:rPr>
              <w:rFonts w:asciiTheme="minorHAnsi" w:eastAsiaTheme="minorEastAsia" w:hAnsiTheme="minorHAnsi" w:cstheme="minorBidi"/>
              <w:kern w:val="2"/>
              <w:sz w:val="22"/>
              <w:lang w:eastAsia="en-GB"/>
              <w14:ligatures w14:val="standardContextual"/>
            </w:rPr>
          </w:pPr>
          <w:hyperlink w:anchor="_Toc183433973" w:history="1">
            <w:r w:rsidRPr="00A07F29">
              <w:rPr>
                <w:rStyle w:val="Hyperlink"/>
                <w:lang w:eastAsia="ja-JP"/>
              </w:rPr>
              <w:t>1.1.6. Valsts un pašvaldības institūciju funkcijas un atbildība aizsargājamā teritorijā</w:t>
            </w:r>
            <w:r w:rsidRPr="00A07F29">
              <w:rPr>
                <w:webHidden/>
              </w:rPr>
              <w:tab/>
            </w:r>
            <w:r w:rsidRPr="00A07F29">
              <w:rPr>
                <w:webHidden/>
              </w:rPr>
              <w:fldChar w:fldCharType="begin"/>
            </w:r>
            <w:r w:rsidRPr="00A07F29">
              <w:rPr>
                <w:webHidden/>
              </w:rPr>
              <w:instrText xml:space="preserve"> PAGEREF _Toc183433973 \h </w:instrText>
            </w:r>
            <w:r w:rsidRPr="00A07F29">
              <w:rPr>
                <w:webHidden/>
              </w:rPr>
            </w:r>
            <w:r w:rsidRPr="00A07F29">
              <w:rPr>
                <w:webHidden/>
              </w:rPr>
              <w:fldChar w:fldCharType="separate"/>
            </w:r>
            <w:r w:rsidR="00DF40ED" w:rsidRPr="00A07F29">
              <w:rPr>
                <w:webHidden/>
              </w:rPr>
              <w:t>21</w:t>
            </w:r>
            <w:r w:rsidRPr="00A07F29">
              <w:rPr>
                <w:webHidden/>
              </w:rPr>
              <w:fldChar w:fldCharType="end"/>
            </w:r>
          </w:hyperlink>
        </w:p>
        <w:p w14:paraId="0E829265" w14:textId="331FB243" w:rsidR="004D5E03" w:rsidRPr="00A07F29" w:rsidRDefault="004D5E03">
          <w:pPr>
            <w:pStyle w:val="TOC3"/>
            <w:rPr>
              <w:rFonts w:asciiTheme="minorHAnsi" w:eastAsiaTheme="minorEastAsia" w:hAnsiTheme="minorHAnsi" w:cstheme="minorBidi"/>
              <w:kern w:val="2"/>
              <w:sz w:val="22"/>
              <w:lang w:eastAsia="en-GB"/>
              <w14:ligatures w14:val="standardContextual"/>
            </w:rPr>
          </w:pPr>
          <w:hyperlink w:anchor="_Toc183433974" w:history="1">
            <w:r w:rsidRPr="00A07F29">
              <w:rPr>
                <w:rStyle w:val="Hyperlink"/>
                <w:lang w:eastAsia="ja-JP"/>
              </w:rPr>
              <w:t xml:space="preserve">1.1.7. Normatīvo aktu normas, kas saistošas AAA </w:t>
            </w:r>
            <w:r w:rsidR="00BC28F0" w:rsidRPr="00A07F29">
              <w:rPr>
                <w:rStyle w:val="Hyperlink"/>
                <w:lang w:eastAsia="ja-JP"/>
              </w:rPr>
              <w:t>“</w:t>
            </w:r>
            <w:r w:rsidRPr="00A07F29">
              <w:rPr>
                <w:rStyle w:val="Hyperlink"/>
                <w:lang w:eastAsia="ja-JP"/>
              </w:rPr>
              <w:t>Augšdaugava”</w:t>
            </w:r>
            <w:r w:rsidRPr="00A07F29">
              <w:rPr>
                <w:webHidden/>
              </w:rPr>
              <w:tab/>
            </w:r>
            <w:r w:rsidRPr="00A07F29">
              <w:rPr>
                <w:webHidden/>
              </w:rPr>
              <w:fldChar w:fldCharType="begin"/>
            </w:r>
            <w:r w:rsidRPr="00A07F29">
              <w:rPr>
                <w:webHidden/>
              </w:rPr>
              <w:instrText xml:space="preserve"> PAGEREF _Toc183433974 \h </w:instrText>
            </w:r>
            <w:r w:rsidRPr="00A07F29">
              <w:rPr>
                <w:webHidden/>
              </w:rPr>
            </w:r>
            <w:r w:rsidRPr="00A07F29">
              <w:rPr>
                <w:webHidden/>
              </w:rPr>
              <w:fldChar w:fldCharType="separate"/>
            </w:r>
            <w:r w:rsidR="00DF40ED" w:rsidRPr="00A07F29">
              <w:rPr>
                <w:webHidden/>
              </w:rPr>
              <w:t>22</w:t>
            </w:r>
            <w:r w:rsidRPr="00A07F29">
              <w:rPr>
                <w:webHidden/>
              </w:rPr>
              <w:fldChar w:fldCharType="end"/>
            </w:r>
          </w:hyperlink>
        </w:p>
        <w:p w14:paraId="4236D6A7" w14:textId="5DD3C0BD" w:rsidR="004D5E03" w:rsidRPr="00A07F29" w:rsidRDefault="004D5E03">
          <w:pPr>
            <w:pStyle w:val="TOC1"/>
            <w:rPr>
              <w:rFonts w:asciiTheme="minorHAnsi" w:eastAsiaTheme="minorEastAsia" w:hAnsiTheme="minorHAnsi" w:cstheme="minorBidi"/>
              <w:b w:val="0"/>
              <w:kern w:val="2"/>
              <w:sz w:val="22"/>
              <w:lang w:val="lv-LV" w:eastAsia="en-GB"/>
              <w14:ligatures w14:val="standardContextual"/>
            </w:rPr>
          </w:pPr>
          <w:hyperlink w:anchor="_Toc183433975" w:history="1">
            <w:r w:rsidRPr="00A07F29">
              <w:rPr>
                <w:rStyle w:val="Hyperlink"/>
                <w:rFonts w:eastAsia="Times New Roman"/>
                <w:lang w:val="lv-LV" w:eastAsia="ja-JP"/>
              </w:rPr>
              <w:t>2. FIZISKI ĢEOGRĀFISKAIS RAKSTUROJUMS</w:t>
            </w:r>
            <w:r w:rsidRPr="00A07F29">
              <w:rPr>
                <w:webHidden/>
                <w:lang w:val="lv-LV"/>
              </w:rPr>
              <w:tab/>
            </w:r>
            <w:r w:rsidRPr="00A07F29">
              <w:rPr>
                <w:webHidden/>
                <w:lang w:val="lv-LV"/>
              </w:rPr>
              <w:fldChar w:fldCharType="begin"/>
            </w:r>
            <w:r w:rsidRPr="00A07F29">
              <w:rPr>
                <w:webHidden/>
                <w:lang w:val="lv-LV"/>
              </w:rPr>
              <w:instrText xml:space="preserve"> PAGEREF _Toc183433975 \h </w:instrText>
            </w:r>
            <w:r w:rsidRPr="00A07F29">
              <w:rPr>
                <w:webHidden/>
                <w:lang w:val="lv-LV"/>
              </w:rPr>
            </w:r>
            <w:r w:rsidRPr="00A07F29">
              <w:rPr>
                <w:webHidden/>
                <w:lang w:val="lv-LV"/>
              </w:rPr>
              <w:fldChar w:fldCharType="separate"/>
            </w:r>
            <w:r w:rsidR="00DF40ED" w:rsidRPr="00A07F29">
              <w:rPr>
                <w:webHidden/>
                <w:lang w:val="lv-LV"/>
              </w:rPr>
              <w:t>34</w:t>
            </w:r>
            <w:r w:rsidRPr="00A07F29">
              <w:rPr>
                <w:webHidden/>
                <w:lang w:val="lv-LV"/>
              </w:rPr>
              <w:fldChar w:fldCharType="end"/>
            </w:r>
          </w:hyperlink>
        </w:p>
        <w:p w14:paraId="4CD593B8" w14:textId="58F195E4" w:rsidR="004D5E03" w:rsidRPr="00A07F29" w:rsidRDefault="004D5E03">
          <w:pPr>
            <w:pStyle w:val="TOC2"/>
            <w:rPr>
              <w:rFonts w:asciiTheme="minorHAnsi" w:eastAsiaTheme="minorEastAsia" w:hAnsiTheme="minorHAnsi" w:cstheme="minorBidi"/>
              <w:caps w:val="0"/>
              <w:kern w:val="2"/>
              <w:sz w:val="22"/>
              <w:szCs w:val="22"/>
              <w:lang w:eastAsia="en-GB"/>
              <w14:ligatures w14:val="standardContextual"/>
            </w:rPr>
          </w:pPr>
          <w:hyperlink w:anchor="_Toc183433976" w:history="1">
            <w:r w:rsidRPr="00A07F29">
              <w:rPr>
                <w:rStyle w:val="Hyperlink"/>
              </w:rPr>
              <w:t>2.1. Klimats</w:t>
            </w:r>
            <w:r w:rsidRPr="00A07F29">
              <w:rPr>
                <w:webHidden/>
              </w:rPr>
              <w:tab/>
            </w:r>
            <w:r w:rsidRPr="00A07F29">
              <w:rPr>
                <w:webHidden/>
              </w:rPr>
              <w:fldChar w:fldCharType="begin"/>
            </w:r>
            <w:r w:rsidRPr="00A07F29">
              <w:rPr>
                <w:webHidden/>
              </w:rPr>
              <w:instrText xml:space="preserve"> PAGEREF _Toc183433976 \h </w:instrText>
            </w:r>
            <w:r w:rsidRPr="00A07F29">
              <w:rPr>
                <w:webHidden/>
              </w:rPr>
            </w:r>
            <w:r w:rsidRPr="00A07F29">
              <w:rPr>
                <w:webHidden/>
              </w:rPr>
              <w:fldChar w:fldCharType="separate"/>
            </w:r>
            <w:r w:rsidR="00DF40ED" w:rsidRPr="00A07F29">
              <w:rPr>
                <w:webHidden/>
              </w:rPr>
              <w:t>34</w:t>
            </w:r>
            <w:r w:rsidRPr="00A07F29">
              <w:rPr>
                <w:webHidden/>
              </w:rPr>
              <w:fldChar w:fldCharType="end"/>
            </w:r>
          </w:hyperlink>
        </w:p>
        <w:p w14:paraId="3890C586" w14:textId="529B961E" w:rsidR="004D5E03" w:rsidRPr="00A07F29" w:rsidRDefault="004D5E03">
          <w:pPr>
            <w:pStyle w:val="TOC2"/>
            <w:rPr>
              <w:rFonts w:asciiTheme="minorHAnsi" w:eastAsiaTheme="minorEastAsia" w:hAnsiTheme="minorHAnsi" w:cstheme="minorBidi"/>
              <w:caps w:val="0"/>
              <w:kern w:val="2"/>
              <w:sz w:val="22"/>
              <w:szCs w:val="22"/>
              <w:lang w:eastAsia="en-GB"/>
              <w14:ligatures w14:val="standardContextual"/>
            </w:rPr>
          </w:pPr>
          <w:hyperlink w:anchor="_Toc183433977" w:history="1">
            <w:r w:rsidRPr="00A07F29">
              <w:rPr>
                <w:rStyle w:val="Hyperlink"/>
              </w:rPr>
              <w:t>2.2. Ģeoloģija un ģeomorfoloģija</w:t>
            </w:r>
            <w:r w:rsidRPr="00A07F29">
              <w:rPr>
                <w:webHidden/>
              </w:rPr>
              <w:tab/>
            </w:r>
            <w:r w:rsidRPr="00A07F29">
              <w:rPr>
                <w:webHidden/>
              </w:rPr>
              <w:fldChar w:fldCharType="begin"/>
            </w:r>
            <w:r w:rsidRPr="00A07F29">
              <w:rPr>
                <w:webHidden/>
              </w:rPr>
              <w:instrText xml:space="preserve"> PAGEREF _Toc183433977 \h </w:instrText>
            </w:r>
            <w:r w:rsidRPr="00A07F29">
              <w:rPr>
                <w:webHidden/>
              </w:rPr>
            </w:r>
            <w:r w:rsidRPr="00A07F29">
              <w:rPr>
                <w:webHidden/>
              </w:rPr>
              <w:fldChar w:fldCharType="separate"/>
            </w:r>
            <w:r w:rsidR="00DF40ED" w:rsidRPr="00A07F29">
              <w:rPr>
                <w:webHidden/>
              </w:rPr>
              <w:t>35</w:t>
            </w:r>
            <w:r w:rsidRPr="00A07F29">
              <w:rPr>
                <w:webHidden/>
              </w:rPr>
              <w:fldChar w:fldCharType="end"/>
            </w:r>
          </w:hyperlink>
        </w:p>
        <w:p w14:paraId="24F66AB1" w14:textId="2A1343D0" w:rsidR="004D5E03" w:rsidRPr="00A07F29" w:rsidRDefault="004D5E03">
          <w:pPr>
            <w:pStyle w:val="TOC3"/>
            <w:rPr>
              <w:rFonts w:asciiTheme="minorHAnsi" w:eastAsiaTheme="minorEastAsia" w:hAnsiTheme="minorHAnsi" w:cstheme="minorBidi"/>
              <w:kern w:val="2"/>
              <w:sz w:val="22"/>
              <w:lang w:eastAsia="en-GB"/>
              <w14:ligatures w14:val="standardContextual"/>
            </w:rPr>
          </w:pPr>
          <w:hyperlink w:anchor="_Toc183433978" w:history="1">
            <w:r w:rsidRPr="00A07F29">
              <w:rPr>
                <w:rStyle w:val="Hyperlink"/>
                <w:lang w:eastAsia="ja-JP"/>
              </w:rPr>
              <w:t>2.2.1. Mūdienu eksogēnie ģeoloģiskie procesi</w:t>
            </w:r>
            <w:r w:rsidRPr="00A07F29">
              <w:rPr>
                <w:webHidden/>
              </w:rPr>
              <w:tab/>
            </w:r>
            <w:r w:rsidRPr="00A07F29">
              <w:rPr>
                <w:webHidden/>
              </w:rPr>
              <w:fldChar w:fldCharType="begin"/>
            </w:r>
            <w:r w:rsidRPr="00A07F29">
              <w:rPr>
                <w:webHidden/>
              </w:rPr>
              <w:instrText xml:space="preserve"> PAGEREF _Toc183433978 \h </w:instrText>
            </w:r>
            <w:r w:rsidRPr="00A07F29">
              <w:rPr>
                <w:webHidden/>
              </w:rPr>
            </w:r>
            <w:r w:rsidRPr="00A07F29">
              <w:rPr>
                <w:webHidden/>
              </w:rPr>
              <w:fldChar w:fldCharType="separate"/>
            </w:r>
            <w:r w:rsidR="00DF40ED" w:rsidRPr="00A07F29">
              <w:rPr>
                <w:webHidden/>
              </w:rPr>
              <w:t>37</w:t>
            </w:r>
            <w:r w:rsidRPr="00A07F29">
              <w:rPr>
                <w:webHidden/>
              </w:rPr>
              <w:fldChar w:fldCharType="end"/>
            </w:r>
          </w:hyperlink>
        </w:p>
        <w:p w14:paraId="1C67C6F1" w14:textId="3F580525" w:rsidR="004D5E03" w:rsidRPr="00A07F29" w:rsidRDefault="004D5E03">
          <w:pPr>
            <w:pStyle w:val="TOC2"/>
            <w:rPr>
              <w:rFonts w:asciiTheme="minorHAnsi" w:eastAsiaTheme="minorEastAsia" w:hAnsiTheme="minorHAnsi" w:cstheme="minorBidi"/>
              <w:caps w:val="0"/>
              <w:kern w:val="2"/>
              <w:sz w:val="22"/>
              <w:szCs w:val="22"/>
              <w:lang w:eastAsia="en-GB"/>
              <w14:ligatures w14:val="standardContextual"/>
            </w:rPr>
          </w:pPr>
          <w:hyperlink w:anchor="_Toc183433979" w:history="1">
            <w:r w:rsidRPr="00A07F29">
              <w:rPr>
                <w:rStyle w:val="Hyperlink"/>
              </w:rPr>
              <w:t>2.3. Reljefs</w:t>
            </w:r>
            <w:r w:rsidRPr="00A07F29">
              <w:rPr>
                <w:webHidden/>
              </w:rPr>
              <w:tab/>
            </w:r>
            <w:r w:rsidRPr="00A07F29">
              <w:rPr>
                <w:webHidden/>
              </w:rPr>
              <w:fldChar w:fldCharType="begin"/>
            </w:r>
            <w:r w:rsidRPr="00A07F29">
              <w:rPr>
                <w:webHidden/>
              </w:rPr>
              <w:instrText xml:space="preserve"> PAGEREF _Toc183433979 \h </w:instrText>
            </w:r>
            <w:r w:rsidRPr="00A07F29">
              <w:rPr>
                <w:webHidden/>
              </w:rPr>
            </w:r>
            <w:r w:rsidRPr="00A07F29">
              <w:rPr>
                <w:webHidden/>
              </w:rPr>
              <w:fldChar w:fldCharType="separate"/>
            </w:r>
            <w:r w:rsidR="00DF40ED" w:rsidRPr="00A07F29">
              <w:rPr>
                <w:webHidden/>
              </w:rPr>
              <w:t>39</w:t>
            </w:r>
            <w:r w:rsidRPr="00A07F29">
              <w:rPr>
                <w:webHidden/>
              </w:rPr>
              <w:fldChar w:fldCharType="end"/>
            </w:r>
          </w:hyperlink>
        </w:p>
        <w:p w14:paraId="5447DFB2" w14:textId="1E633BE6" w:rsidR="004D5E03" w:rsidRPr="00A07F29" w:rsidRDefault="004D5E03">
          <w:pPr>
            <w:pStyle w:val="TOC2"/>
            <w:rPr>
              <w:rFonts w:asciiTheme="minorHAnsi" w:eastAsiaTheme="minorEastAsia" w:hAnsiTheme="minorHAnsi" w:cstheme="minorBidi"/>
              <w:caps w:val="0"/>
              <w:kern w:val="2"/>
              <w:sz w:val="22"/>
              <w:szCs w:val="22"/>
              <w:lang w:eastAsia="en-GB"/>
              <w14:ligatures w14:val="standardContextual"/>
            </w:rPr>
          </w:pPr>
          <w:hyperlink w:anchor="_Toc183433980" w:history="1">
            <w:r w:rsidRPr="00A07F29">
              <w:rPr>
                <w:rStyle w:val="Hyperlink"/>
              </w:rPr>
              <w:t>2.4. Augsnes</w:t>
            </w:r>
            <w:r w:rsidRPr="00A07F29">
              <w:rPr>
                <w:webHidden/>
              </w:rPr>
              <w:tab/>
            </w:r>
            <w:r w:rsidRPr="00A07F29">
              <w:rPr>
                <w:webHidden/>
              </w:rPr>
              <w:fldChar w:fldCharType="begin"/>
            </w:r>
            <w:r w:rsidRPr="00A07F29">
              <w:rPr>
                <w:webHidden/>
              </w:rPr>
              <w:instrText xml:space="preserve"> PAGEREF _Toc183433980 \h </w:instrText>
            </w:r>
            <w:r w:rsidRPr="00A07F29">
              <w:rPr>
                <w:webHidden/>
              </w:rPr>
            </w:r>
            <w:r w:rsidRPr="00A07F29">
              <w:rPr>
                <w:webHidden/>
              </w:rPr>
              <w:fldChar w:fldCharType="separate"/>
            </w:r>
            <w:r w:rsidR="00DF40ED" w:rsidRPr="00A07F29">
              <w:rPr>
                <w:webHidden/>
              </w:rPr>
              <w:t>43</w:t>
            </w:r>
            <w:r w:rsidRPr="00A07F29">
              <w:rPr>
                <w:webHidden/>
              </w:rPr>
              <w:fldChar w:fldCharType="end"/>
            </w:r>
          </w:hyperlink>
        </w:p>
        <w:p w14:paraId="645D88D4" w14:textId="231B87C4" w:rsidR="004D5E03" w:rsidRPr="00A07F29" w:rsidRDefault="004D5E03">
          <w:pPr>
            <w:pStyle w:val="TOC2"/>
            <w:rPr>
              <w:rFonts w:asciiTheme="minorHAnsi" w:eastAsiaTheme="minorEastAsia" w:hAnsiTheme="minorHAnsi" w:cstheme="minorBidi"/>
              <w:caps w:val="0"/>
              <w:kern w:val="2"/>
              <w:sz w:val="22"/>
              <w:szCs w:val="22"/>
              <w:lang w:eastAsia="en-GB"/>
              <w14:ligatures w14:val="standardContextual"/>
            </w:rPr>
          </w:pPr>
          <w:hyperlink w:anchor="_Toc183433981" w:history="1">
            <w:r w:rsidRPr="00A07F29">
              <w:rPr>
                <w:rStyle w:val="Hyperlink"/>
              </w:rPr>
              <w:t>2.5. Hidroloģija</w:t>
            </w:r>
            <w:r w:rsidRPr="00A07F29">
              <w:rPr>
                <w:webHidden/>
              </w:rPr>
              <w:tab/>
            </w:r>
            <w:r w:rsidRPr="00A07F29">
              <w:rPr>
                <w:webHidden/>
              </w:rPr>
              <w:fldChar w:fldCharType="begin"/>
            </w:r>
            <w:r w:rsidRPr="00A07F29">
              <w:rPr>
                <w:webHidden/>
              </w:rPr>
              <w:instrText xml:space="preserve"> PAGEREF _Toc183433981 \h </w:instrText>
            </w:r>
            <w:r w:rsidRPr="00A07F29">
              <w:rPr>
                <w:webHidden/>
              </w:rPr>
            </w:r>
            <w:r w:rsidRPr="00A07F29">
              <w:rPr>
                <w:webHidden/>
              </w:rPr>
              <w:fldChar w:fldCharType="separate"/>
            </w:r>
            <w:r w:rsidR="00DF40ED" w:rsidRPr="00A07F29">
              <w:rPr>
                <w:webHidden/>
              </w:rPr>
              <w:t>43</w:t>
            </w:r>
            <w:r w:rsidRPr="00A07F29">
              <w:rPr>
                <w:webHidden/>
              </w:rPr>
              <w:fldChar w:fldCharType="end"/>
            </w:r>
          </w:hyperlink>
        </w:p>
        <w:p w14:paraId="73570CB2" w14:textId="54F8E728" w:rsidR="004D5E03" w:rsidRPr="00A07F29" w:rsidRDefault="004D5E03">
          <w:pPr>
            <w:pStyle w:val="TOC3"/>
            <w:rPr>
              <w:rFonts w:asciiTheme="minorHAnsi" w:eastAsiaTheme="minorEastAsia" w:hAnsiTheme="minorHAnsi" w:cstheme="minorBidi"/>
              <w:kern w:val="2"/>
              <w:sz w:val="22"/>
              <w:lang w:eastAsia="en-GB"/>
              <w14:ligatures w14:val="standardContextual"/>
            </w:rPr>
          </w:pPr>
          <w:hyperlink w:anchor="_Toc183433982" w:history="1">
            <w:r w:rsidRPr="00A07F29">
              <w:rPr>
                <w:rStyle w:val="Hyperlink"/>
                <w:lang w:eastAsia="ja-JP"/>
              </w:rPr>
              <w:t>2.5.1. Upes</w:t>
            </w:r>
            <w:r w:rsidRPr="00A07F29">
              <w:rPr>
                <w:webHidden/>
              </w:rPr>
              <w:tab/>
            </w:r>
            <w:r w:rsidRPr="00A07F29">
              <w:rPr>
                <w:webHidden/>
              </w:rPr>
              <w:fldChar w:fldCharType="begin"/>
            </w:r>
            <w:r w:rsidRPr="00A07F29">
              <w:rPr>
                <w:webHidden/>
              </w:rPr>
              <w:instrText xml:space="preserve"> PAGEREF _Toc183433982 \h </w:instrText>
            </w:r>
            <w:r w:rsidRPr="00A07F29">
              <w:rPr>
                <w:webHidden/>
              </w:rPr>
            </w:r>
            <w:r w:rsidRPr="00A07F29">
              <w:rPr>
                <w:webHidden/>
              </w:rPr>
              <w:fldChar w:fldCharType="separate"/>
            </w:r>
            <w:r w:rsidR="00DF40ED" w:rsidRPr="00A07F29">
              <w:rPr>
                <w:webHidden/>
              </w:rPr>
              <w:t>43</w:t>
            </w:r>
            <w:r w:rsidRPr="00A07F29">
              <w:rPr>
                <w:webHidden/>
              </w:rPr>
              <w:fldChar w:fldCharType="end"/>
            </w:r>
          </w:hyperlink>
        </w:p>
        <w:p w14:paraId="6D8F0724" w14:textId="1251CA49" w:rsidR="004D5E03" w:rsidRPr="00A07F29" w:rsidRDefault="004D5E03">
          <w:pPr>
            <w:pStyle w:val="TOC3"/>
            <w:rPr>
              <w:rFonts w:asciiTheme="minorHAnsi" w:eastAsiaTheme="minorEastAsia" w:hAnsiTheme="minorHAnsi" w:cstheme="minorBidi"/>
              <w:kern w:val="2"/>
              <w:sz w:val="22"/>
              <w:lang w:eastAsia="en-GB"/>
              <w14:ligatures w14:val="standardContextual"/>
            </w:rPr>
          </w:pPr>
          <w:hyperlink w:anchor="_Toc183433983" w:history="1">
            <w:r w:rsidRPr="00A07F29">
              <w:rPr>
                <w:rStyle w:val="Hyperlink"/>
                <w:lang w:eastAsia="ja-JP"/>
              </w:rPr>
              <w:t>2.5.2. Ezeri</w:t>
            </w:r>
            <w:r w:rsidRPr="00A07F29">
              <w:rPr>
                <w:webHidden/>
              </w:rPr>
              <w:tab/>
            </w:r>
            <w:r w:rsidRPr="00A07F29">
              <w:rPr>
                <w:webHidden/>
              </w:rPr>
              <w:fldChar w:fldCharType="begin"/>
            </w:r>
            <w:r w:rsidRPr="00A07F29">
              <w:rPr>
                <w:webHidden/>
              </w:rPr>
              <w:instrText xml:space="preserve"> PAGEREF _Toc183433983 \h </w:instrText>
            </w:r>
            <w:r w:rsidRPr="00A07F29">
              <w:rPr>
                <w:webHidden/>
              </w:rPr>
            </w:r>
            <w:r w:rsidRPr="00A07F29">
              <w:rPr>
                <w:webHidden/>
              </w:rPr>
              <w:fldChar w:fldCharType="separate"/>
            </w:r>
            <w:r w:rsidR="00DF40ED" w:rsidRPr="00A07F29">
              <w:rPr>
                <w:webHidden/>
              </w:rPr>
              <w:t>49</w:t>
            </w:r>
            <w:r w:rsidRPr="00A07F29">
              <w:rPr>
                <w:webHidden/>
              </w:rPr>
              <w:fldChar w:fldCharType="end"/>
            </w:r>
          </w:hyperlink>
        </w:p>
        <w:p w14:paraId="2311E14C" w14:textId="730F2E5F" w:rsidR="004D5E03" w:rsidRPr="00A07F29" w:rsidRDefault="004D5E03">
          <w:pPr>
            <w:pStyle w:val="TOC1"/>
            <w:rPr>
              <w:rFonts w:asciiTheme="minorHAnsi" w:eastAsiaTheme="minorEastAsia" w:hAnsiTheme="minorHAnsi" w:cstheme="minorBidi"/>
              <w:b w:val="0"/>
              <w:kern w:val="2"/>
              <w:sz w:val="22"/>
              <w:lang w:val="lv-LV" w:eastAsia="en-GB"/>
              <w14:ligatures w14:val="standardContextual"/>
            </w:rPr>
          </w:pPr>
          <w:hyperlink w:anchor="_Toc183433984" w:history="1">
            <w:r w:rsidRPr="00A07F29">
              <w:rPr>
                <w:rStyle w:val="Hyperlink"/>
                <w:rFonts w:eastAsia="Times New Roman"/>
                <w:lang w:val="lv-LV" w:eastAsia="ja-JP"/>
              </w:rPr>
              <w:t>3. TERITORIJAS SOCIĀLĀS UN EKONOMISKĀS SITUĀCIJAS APRAKSTS</w:t>
            </w:r>
            <w:r w:rsidRPr="00A07F29">
              <w:rPr>
                <w:webHidden/>
                <w:lang w:val="lv-LV"/>
              </w:rPr>
              <w:tab/>
            </w:r>
            <w:r w:rsidRPr="00A07F29">
              <w:rPr>
                <w:webHidden/>
                <w:lang w:val="lv-LV"/>
              </w:rPr>
              <w:fldChar w:fldCharType="begin"/>
            </w:r>
            <w:r w:rsidRPr="00A07F29">
              <w:rPr>
                <w:webHidden/>
                <w:lang w:val="lv-LV"/>
              </w:rPr>
              <w:instrText xml:space="preserve"> PAGEREF _Toc183433984 \h </w:instrText>
            </w:r>
            <w:r w:rsidRPr="00A07F29">
              <w:rPr>
                <w:webHidden/>
                <w:lang w:val="lv-LV"/>
              </w:rPr>
            </w:r>
            <w:r w:rsidRPr="00A07F29">
              <w:rPr>
                <w:webHidden/>
                <w:lang w:val="lv-LV"/>
              </w:rPr>
              <w:fldChar w:fldCharType="separate"/>
            </w:r>
            <w:r w:rsidR="00DF40ED" w:rsidRPr="00A07F29">
              <w:rPr>
                <w:webHidden/>
                <w:lang w:val="lv-LV"/>
              </w:rPr>
              <w:t>56</w:t>
            </w:r>
            <w:r w:rsidRPr="00A07F29">
              <w:rPr>
                <w:webHidden/>
                <w:lang w:val="lv-LV"/>
              </w:rPr>
              <w:fldChar w:fldCharType="end"/>
            </w:r>
          </w:hyperlink>
        </w:p>
        <w:p w14:paraId="7FFCE5C4" w14:textId="58F394F9" w:rsidR="004D5E03" w:rsidRPr="00A07F29" w:rsidRDefault="004D5E03">
          <w:pPr>
            <w:pStyle w:val="TOC2"/>
            <w:rPr>
              <w:rFonts w:asciiTheme="minorHAnsi" w:eastAsiaTheme="minorEastAsia" w:hAnsiTheme="minorHAnsi" w:cstheme="minorBidi"/>
              <w:caps w:val="0"/>
              <w:kern w:val="2"/>
              <w:sz w:val="22"/>
              <w:szCs w:val="22"/>
              <w:lang w:eastAsia="en-GB"/>
              <w14:ligatures w14:val="standardContextual"/>
            </w:rPr>
          </w:pPr>
          <w:hyperlink w:anchor="_Toc183433985" w:history="1">
            <w:r w:rsidRPr="00A07F29">
              <w:rPr>
                <w:rStyle w:val="Hyperlink"/>
              </w:rPr>
              <w:t>3.1. Iedzīvotāji un apmeklētāji</w:t>
            </w:r>
            <w:r w:rsidRPr="00A07F29">
              <w:rPr>
                <w:webHidden/>
              </w:rPr>
              <w:tab/>
            </w:r>
            <w:r w:rsidRPr="00A07F29">
              <w:rPr>
                <w:webHidden/>
              </w:rPr>
              <w:fldChar w:fldCharType="begin"/>
            </w:r>
            <w:r w:rsidRPr="00A07F29">
              <w:rPr>
                <w:webHidden/>
              </w:rPr>
              <w:instrText xml:space="preserve"> PAGEREF _Toc183433985 \h </w:instrText>
            </w:r>
            <w:r w:rsidRPr="00A07F29">
              <w:rPr>
                <w:webHidden/>
              </w:rPr>
            </w:r>
            <w:r w:rsidRPr="00A07F29">
              <w:rPr>
                <w:webHidden/>
              </w:rPr>
              <w:fldChar w:fldCharType="separate"/>
            </w:r>
            <w:r w:rsidR="00DF40ED" w:rsidRPr="00A07F29">
              <w:rPr>
                <w:webHidden/>
              </w:rPr>
              <w:t>56</w:t>
            </w:r>
            <w:r w:rsidRPr="00A07F29">
              <w:rPr>
                <w:webHidden/>
              </w:rPr>
              <w:fldChar w:fldCharType="end"/>
            </w:r>
          </w:hyperlink>
        </w:p>
        <w:p w14:paraId="24078325" w14:textId="0801F4E9" w:rsidR="004D5E03" w:rsidRPr="00A07F29" w:rsidRDefault="004D5E03">
          <w:pPr>
            <w:pStyle w:val="TOC2"/>
            <w:rPr>
              <w:rFonts w:asciiTheme="minorHAnsi" w:eastAsiaTheme="minorEastAsia" w:hAnsiTheme="minorHAnsi" w:cstheme="minorBidi"/>
              <w:caps w:val="0"/>
              <w:kern w:val="2"/>
              <w:sz w:val="22"/>
              <w:szCs w:val="22"/>
              <w:lang w:eastAsia="en-GB"/>
              <w14:ligatures w14:val="standardContextual"/>
            </w:rPr>
          </w:pPr>
          <w:hyperlink w:anchor="_Toc183433986" w:history="1">
            <w:r w:rsidRPr="00A07F29">
              <w:rPr>
                <w:rStyle w:val="Hyperlink"/>
              </w:rPr>
              <w:t>3.2. Lauksaimniecība</w:t>
            </w:r>
            <w:r w:rsidRPr="00A07F29">
              <w:rPr>
                <w:webHidden/>
              </w:rPr>
              <w:tab/>
            </w:r>
            <w:r w:rsidRPr="00A07F29">
              <w:rPr>
                <w:webHidden/>
              </w:rPr>
              <w:fldChar w:fldCharType="begin"/>
            </w:r>
            <w:r w:rsidRPr="00A07F29">
              <w:rPr>
                <w:webHidden/>
              </w:rPr>
              <w:instrText xml:space="preserve"> PAGEREF _Toc183433986 \h </w:instrText>
            </w:r>
            <w:r w:rsidRPr="00A07F29">
              <w:rPr>
                <w:webHidden/>
              </w:rPr>
            </w:r>
            <w:r w:rsidRPr="00A07F29">
              <w:rPr>
                <w:webHidden/>
              </w:rPr>
              <w:fldChar w:fldCharType="separate"/>
            </w:r>
            <w:r w:rsidR="00DF40ED" w:rsidRPr="00A07F29">
              <w:rPr>
                <w:webHidden/>
              </w:rPr>
              <w:t>58</w:t>
            </w:r>
            <w:r w:rsidRPr="00A07F29">
              <w:rPr>
                <w:webHidden/>
              </w:rPr>
              <w:fldChar w:fldCharType="end"/>
            </w:r>
          </w:hyperlink>
        </w:p>
        <w:p w14:paraId="4F3EEE7E" w14:textId="55D17629" w:rsidR="004D5E03" w:rsidRPr="00A07F29" w:rsidRDefault="004D5E03">
          <w:pPr>
            <w:pStyle w:val="TOC2"/>
            <w:rPr>
              <w:rFonts w:asciiTheme="minorHAnsi" w:eastAsiaTheme="minorEastAsia" w:hAnsiTheme="minorHAnsi" w:cstheme="minorBidi"/>
              <w:caps w:val="0"/>
              <w:kern w:val="2"/>
              <w:sz w:val="22"/>
              <w:szCs w:val="22"/>
              <w:lang w:eastAsia="en-GB"/>
              <w14:ligatures w14:val="standardContextual"/>
            </w:rPr>
          </w:pPr>
          <w:hyperlink w:anchor="_Toc183433987" w:history="1">
            <w:r w:rsidRPr="00A07F29">
              <w:rPr>
                <w:rStyle w:val="Hyperlink"/>
              </w:rPr>
              <w:t>3.3. Mežsaimniecība</w:t>
            </w:r>
            <w:r w:rsidRPr="00A07F29">
              <w:rPr>
                <w:webHidden/>
              </w:rPr>
              <w:tab/>
            </w:r>
            <w:r w:rsidRPr="00A07F29">
              <w:rPr>
                <w:webHidden/>
              </w:rPr>
              <w:fldChar w:fldCharType="begin"/>
            </w:r>
            <w:r w:rsidRPr="00A07F29">
              <w:rPr>
                <w:webHidden/>
              </w:rPr>
              <w:instrText xml:space="preserve"> PAGEREF _Toc183433987 \h </w:instrText>
            </w:r>
            <w:r w:rsidRPr="00A07F29">
              <w:rPr>
                <w:webHidden/>
              </w:rPr>
            </w:r>
            <w:r w:rsidRPr="00A07F29">
              <w:rPr>
                <w:webHidden/>
              </w:rPr>
              <w:fldChar w:fldCharType="separate"/>
            </w:r>
            <w:r w:rsidR="00DF40ED" w:rsidRPr="00A07F29">
              <w:rPr>
                <w:webHidden/>
              </w:rPr>
              <w:t>60</w:t>
            </w:r>
            <w:r w:rsidRPr="00A07F29">
              <w:rPr>
                <w:webHidden/>
              </w:rPr>
              <w:fldChar w:fldCharType="end"/>
            </w:r>
          </w:hyperlink>
        </w:p>
        <w:p w14:paraId="3C503FA0" w14:textId="56A9982D" w:rsidR="004D5E03" w:rsidRPr="00A07F29" w:rsidRDefault="004D5E03">
          <w:pPr>
            <w:pStyle w:val="TOC2"/>
            <w:rPr>
              <w:rFonts w:asciiTheme="minorHAnsi" w:eastAsiaTheme="minorEastAsia" w:hAnsiTheme="minorHAnsi" w:cstheme="minorBidi"/>
              <w:caps w:val="0"/>
              <w:kern w:val="2"/>
              <w:sz w:val="22"/>
              <w:szCs w:val="22"/>
              <w:lang w:eastAsia="en-GB"/>
              <w14:ligatures w14:val="standardContextual"/>
            </w:rPr>
          </w:pPr>
          <w:hyperlink w:anchor="_Toc183433988" w:history="1">
            <w:r w:rsidRPr="00A07F29">
              <w:rPr>
                <w:rStyle w:val="Hyperlink"/>
              </w:rPr>
              <w:t>3.4. Tūrisms</w:t>
            </w:r>
            <w:r w:rsidRPr="00A07F29">
              <w:rPr>
                <w:webHidden/>
              </w:rPr>
              <w:tab/>
            </w:r>
            <w:r w:rsidRPr="00A07F29">
              <w:rPr>
                <w:webHidden/>
              </w:rPr>
              <w:fldChar w:fldCharType="begin"/>
            </w:r>
            <w:r w:rsidRPr="00A07F29">
              <w:rPr>
                <w:webHidden/>
              </w:rPr>
              <w:instrText xml:space="preserve"> PAGEREF _Toc183433988 \h </w:instrText>
            </w:r>
            <w:r w:rsidRPr="00A07F29">
              <w:rPr>
                <w:webHidden/>
              </w:rPr>
            </w:r>
            <w:r w:rsidRPr="00A07F29">
              <w:rPr>
                <w:webHidden/>
              </w:rPr>
              <w:fldChar w:fldCharType="separate"/>
            </w:r>
            <w:r w:rsidR="00DF40ED" w:rsidRPr="00A07F29">
              <w:rPr>
                <w:webHidden/>
              </w:rPr>
              <w:t>62</w:t>
            </w:r>
            <w:r w:rsidRPr="00A07F29">
              <w:rPr>
                <w:webHidden/>
              </w:rPr>
              <w:fldChar w:fldCharType="end"/>
            </w:r>
          </w:hyperlink>
        </w:p>
        <w:p w14:paraId="6DA5AD85" w14:textId="05C30957" w:rsidR="004D5E03" w:rsidRPr="00A07F29" w:rsidRDefault="004D5E03">
          <w:pPr>
            <w:pStyle w:val="TOC2"/>
            <w:rPr>
              <w:rFonts w:asciiTheme="minorHAnsi" w:eastAsiaTheme="minorEastAsia" w:hAnsiTheme="minorHAnsi" w:cstheme="minorBidi"/>
              <w:caps w:val="0"/>
              <w:kern w:val="2"/>
              <w:sz w:val="22"/>
              <w:szCs w:val="22"/>
              <w:lang w:eastAsia="en-GB"/>
              <w14:ligatures w14:val="standardContextual"/>
            </w:rPr>
          </w:pPr>
          <w:hyperlink w:anchor="_Toc183433989" w:history="1">
            <w:r w:rsidRPr="00A07F29">
              <w:rPr>
                <w:rStyle w:val="Hyperlink"/>
              </w:rPr>
              <w:t>3.5. Derīgo izrakteņu ieguve</w:t>
            </w:r>
            <w:r w:rsidRPr="00A07F29">
              <w:rPr>
                <w:webHidden/>
              </w:rPr>
              <w:tab/>
            </w:r>
            <w:r w:rsidRPr="00A07F29">
              <w:rPr>
                <w:webHidden/>
              </w:rPr>
              <w:fldChar w:fldCharType="begin"/>
            </w:r>
            <w:r w:rsidRPr="00A07F29">
              <w:rPr>
                <w:webHidden/>
              </w:rPr>
              <w:instrText xml:space="preserve"> PAGEREF _Toc183433989 \h </w:instrText>
            </w:r>
            <w:r w:rsidRPr="00A07F29">
              <w:rPr>
                <w:webHidden/>
              </w:rPr>
            </w:r>
            <w:r w:rsidRPr="00A07F29">
              <w:rPr>
                <w:webHidden/>
              </w:rPr>
              <w:fldChar w:fldCharType="separate"/>
            </w:r>
            <w:r w:rsidR="00DF40ED" w:rsidRPr="00A07F29">
              <w:rPr>
                <w:webHidden/>
              </w:rPr>
              <w:t>68</w:t>
            </w:r>
            <w:r w:rsidRPr="00A07F29">
              <w:rPr>
                <w:webHidden/>
              </w:rPr>
              <w:fldChar w:fldCharType="end"/>
            </w:r>
          </w:hyperlink>
        </w:p>
        <w:p w14:paraId="07FEC3B3" w14:textId="01EAFE09" w:rsidR="004D5E03" w:rsidRPr="00A07F29" w:rsidRDefault="004D5E03">
          <w:pPr>
            <w:pStyle w:val="TOC2"/>
            <w:rPr>
              <w:rFonts w:asciiTheme="minorHAnsi" w:eastAsiaTheme="minorEastAsia" w:hAnsiTheme="minorHAnsi" w:cstheme="minorBidi"/>
              <w:caps w:val="0"/>
              <w:kern w:val="2"/>
              <w:sz w:val="22"/>
              <w:szCs w:val="22"/>
              <w:lang w:eastAsia="en-GB"/>
              <w14:ligatures w14:val="standardContextual"/>
            </w:rPr>
          </w:pPr>
          <w:hyperlink w:anchor="_Toc183433990" w:history="1">
            <w:r w:rsidRPr="00A07F29">
              <w:rPr>
                <w:rStyle w:val="Hyperlink"/>
              </w:rPr>
              <w:t>3.6. Medības, makšķerēšana un zveja</w:t>
            </w:r>
            <w:r w:rsidRPr="00A07F29">
              <w:rPr>
                <w:webHidden/>
              </w:rPr>
              <w:tab/>
            </w:r>
            <w:r w:rsidRPr="00A07F29">
              <w:rPr>
                <w:webHidden/>
              </w:rPr>
              <w:fldChar w:fldCharType="begin"/>
            </w:r>
            <w:r w:rsidRPr="00A07F29">
              <w:rPr>
                <w:webHidden/>
              </w:rPr>
              <w:instrText xml:space="preserve"> PAGEREF _Toc183433990 \h </w:instrText>
            </w:r>
            <w:r w:rsidRPr="00A07F29">
              <w:rPr>
                <w:webHidden/>
              </w:rPr>
            </w:r>
            <w:r w:rsidRPr="00A07F29">
              <w:rPr>
                <w:webHidden/>
              </w:rPr>
              <w:fldChar w:fldCharType="separate"/>
            </w:r>
            <w:r w:rsidR="00DF40ED" w:rsidRPr="00A07F29">
              <w:rPr>
                <w:webHidden/>
              </w:rPr>
              <w:t>72</w:t>
            </w:r>
            <w:r w:rsidRPr="00A07F29">
              <w:rPr>
                <w:webHidden/>
              </w:rPr>
              <w:fldChar w:fldCharType="end"/>
            </w:r>
          </w:hyperlink>
        </w:p>
        <w:p w14:paraId="53A67195" w14:textId="05F95C3B" w:rsidR="004D5E03" w:rsidRPr="00A07F29" w:rsidRDefault="004D5E03">
          <w:pPr>
            <w:pStyle w:val="TOC2"/>
            <w:rPr>
              <w:rFonts w:asciiTheme="minorHAnsi" w:eastAsiaTheme="minorEastAsia" w:hAnsiTheme="minorHAnsi" w:cstheme="minorBidi"/>
              <w:caps w:val="0"/>
              <w:kern w:val="2"/>
              <w:sz w:val="22"/>
              <w:szCs w:val="22"/>
              <w:lang w:eastAsia="en-GB"/>
              <w14:ligatures w14:val="standardContextual"/>
            </w:rPr>
          </w:pPr>
          <w:hyperlink w:anchor="_Toc183433991" w:history="1">
            <w:r w:rsidRPr="00A07F29">
              <w:rPr>
                <w:rStyle w:val="Hyperlink"/>
              </w:rPr>
              <w:t>3.7. Meliorētās teritorijas</w:t>
            </w:r>
            <w:r w:rsidRPr="00A07F29">
              <w:rPr>
                <w:webHidden/>
              </w:rPr>
              <w:tab/>
            </w:r>
            <w:r w:rsidRPr="00A07F29">
              <w:rPr>
                <w:webHidden/>
              </w:rPr>
              <w:fldChar w:fldCharType="begin"/>
            </w:r>
            <w:r w:rsidRPr="00A07F29">
              <w:rPr>
                <w:webHidden/>
              </w:rPr>
              <w:instrText xml:space="preserve"> PAGEREF _Toc183433991 \h </w:instrText>
            </w:r>
            <w:r w:rsidRPr="00A07F29">
              <w:rPr>
                <w:webHidden/>
              </w:rPr>
            </w:r>
            <w:r w:rsidRPr="00A07F29">
              <w:rPr>
                <w:webHidden/>
              </w:rPr>
              <w:fldChar w:fldCharType="separate"/>
            </w:r>
            <w:r w:rsidR="00DF40ED" w:rsidRPr="00A07F29">
              <w:rPr>
                <w:webHidden/>
              </w:rPr>
              <w:t>75</w:t>
            </w:r>
            <w:r w:rsidRPr="00A07F29">
              <w:rPr>
                <w:webHidden/>
              </w:rPr>
              <w:fldChar w:fldCharType="end"/>
            </w:r>
          </w:hyperlink>
        </w:p>
        <w:p w14:paraId="33604CE0" w14:textId="0FA4B7CE" w:rsidR="004D5E03" w:rsidRPr="00A07F29" w:rsidRDefault="004D5E03">
          <w:pPr>
            <w:pStyle w:val="TOC2"/>
            <w:rPr>
              <w:rFonts w:asciiTheme="minorHAnsi" w:eastAsiaTheme="minorEastAsia" w:hAnsiTheme="minorHAnsi" w:cstheme="minorBidi"/>
              <w:caps w:val="0"/>
              <w:kern w:val="2"/>
              <w:sz w:val="22"/>
              <w:szCs w:val="22"/>
              <w:lang w:eastAsia="en-GB"/>
              <w14:ligatures w14:val="standardContextual"/>
            </w:rPr>
          </w:pPr>
          <w:hyperlink w:anchor="_Toc183433992" w:history="1">
            <w:r w:rsidRPr="00A07F29">
              <w:rPr>
                <w:rStyle w:val="Hyperlink"/>
              </w:rPr>
              <w:t>3.8. Pašreizējā un paredzamā antropogēnā slodze uz teritoriju</w:t>
            </w:r>
            <w:r w:rsidRPr="00A07F29">
              <w:rPr>
                <w:webHidden/>
              </w:rPr>
              <w:tab/>
            </w:r>
            <w:r w:rsidRPr="00A07F29">
              <w:rPr>
                <w:webHidden/>
              </w:rPr>
              <w:fldChar w:fldCharType="begin"/>
            </w:r>
            <w:r w:rsidRPr="00A07F29">
              <w:rPr>
                <w:webHidden/>
              </w:rPr>
              <w:instrText xml:space="preserve"> PAGEREF _Toc183433992 \h </w:instrText>
            </w:r>
            <w:r w:rsidRPr="00A07F29">
              <w:rPr>
                <w:webHidden/>
              </w:rPr>
            </w:r>
            <w:r w:rsidRPr="00A07F29">
              <w:rPr>
                <w:webHidden/>
              </w:rPr>
              <w:fldChar w:fldCharType="separate"/>
            </w:r>
            <w:r w:rsidR="00DF40ED" w:rsidRPr="00A07F29">
              <w:rPr>
                <w:webHidden/>
              </w:rPr>
              <w:t>75</w:t>
            </w:r>
            <w:r w:rsidRPr="00A07F29">
              <w:rPr>
                <w:webHidden/>
              </w:rPr>
              <w:fldChar w:fldCharType="end"/>
            </w:r>
          </w:hyperlink>
        </w:p>
        <w:p w14:paraId="10720EDC" w14:textId="60CAA7EB" w:rsidR="004D5E03" w:rsidRPr="00A07F29" w:rsidRDefault="004D5E03">
          <w:pPr>
            <w:pStyle w:val="TOC2"/>
            <w:rPr>
              <w:rFonts w:asciiTheme="minorHAnsi" w:eastAsiaTheme="minorEastAsia" w:hAnsiTheme="minorHAnsi" w:cstheme="minorBidi"/>
              <w:caps w:val="0"/>
              <w:kern w:val="2"/>
              <w:sz w:val="22"/>
              <w:szCs w:val="22"/>
              <w:lang w:eastAsia="en-GB"/>
              <w14:ligatures w14:val="standardContextual"/>
            </w:rPr>
          </w:pPr>
          <w:hyperlink w:anchor="_Toc183433993" w:history="1">
            <w:r w:rsidRPr="00A07F29">
              <w:rPr>
                <w:rStyle w:val="Hyperlink"/>
              </w:rPr>
              <w:t>3.9. AAA “Augšdaugava” teritorijas sociālā un ekonomiskā nozīme</w:t>
            </w:r>
            <w:r w:rsidRPr="00A07F29">
              <w:rPr>
                <w:webHidden/>
              </w:rPr>
              <w:tab/>
            </w:r>
            <w:r w:rsidRPr="00A07F29">
              <w:rPr>
                <w:webHidden/>
              </w:rPr>
              <w:fldChar w:fldCharType="begin"/>
            </w:r>
            <w:r w:rsidRPr="00A07F29">
              <w:rPr>
                <w:webHidden/>
              </w:rPr>
              <w:instrText xml:space="preserve"> PAGEREF _Toc183433993 \h </w:instrText>
            </w:r>
            <w:r w:rsidRPr="00A07F29">
              <w:rPr>
                <w:webHidden/>
              </w:rPr>
            </w:r>
            <w:r w:rsidRPr="00A07F29">
              <w:rPr>
                <w:webHidden/>
              </w:rPr>
              <w:fldChar w:fldCharType="separate"/>
            </w:r>
            <w:r w:rsidR="00DF40ED" w:rsidRPr="00A07F29">
              <w:rPr>
                <w:webHidden/>
              </w:rPr>
              <w:t>77</w:t>
            </w:r>
            <w:r w:rsidRPr="00A07F29">
              <w:rPr>
                <w:webHidden/>
              </w:rPr>
              <w:fldChar w:fldCharType="end"/>
            </w:r>
          </w:hyperlink>
        </w:p>
        <w:p w14:paraId="02B0CD77" w14:textId="56B5100B" w:rsidR="004D5E03" w:rsidRPr="00A07F29" w:rsidRDefault="004D5E03">
          <w:pPr>
            <w:pStyle w:val="TOC1"/>
            <w:rPr>
              <w:rFonts w:asciiTheme="minorHAnsi" w:eastAsiaTheme="minorEastAsia" w:hAnsiTheme="minorHAnsi" w:cstheme="minorBidi"/>
              <w:b w:val="0"/>
              <w:kern w:val="2"/>
              <w:sz w:val="22"/>
              <w:lang w:val="lv-LV" w:eastAsia="en-GB"/>
              <w14:ligatures w14:val="standardContextual"/>
            </w:rPr>
          </w:pPr>
          <w:hyperlink w:anchor="_Toc183433994" w:history="1">
            <w:r w:rsidRPr="00A07F29">
              <w:rPr>
                <w:rStyle w:val="Hyperlink"/>
                <w:rFonts w:eastAsia="Times New Roman"/>
                <w:lang w:val="lv-LV" w:eastAsia="ja-JP"/>
              </w:rPr>
              <w:t>4. TERITORIJAS NOVĒRTĒJUMS</w:t>
            </w:r>
            <w:r w:rsidRPr="00A07F29">
              <w:rPr>
                <w:webHidden/>
                <w:lang w:val="lv-LV"/>
              </w:rPr>
              <w:tab/>
            </w:r>
            <w:r w:rsidRPr="00A07F29">
              <w:rPr>
                <w:webHidden/>
                <w:lang w:val="lv-LV"/>
              </w:rPr>
              <w:fldChar w:fldCharType="begin"/>
            </w:r>
            <w:r w:rsidRPr="00A07F29">
              <w:rPr>
                <w:webHidden/>
                <w:lang w:val="lv-LV"/>
              </w:rPr>
              <w:instrText xml:space="preserve"> PAGEREF _Toc183433994 \h </w:instrText>
            </w:r>
            <w:r w:rsidRPr="00A07F29">
              <w:rPr>
                <w:webHidden/>
                <w:lang w:val="lv-LV"/>
              </w:rPr>
            </w:r>
            <w:r w:rsidRPr="00A07F29">
              <w:rPr>
                <w:webHidden/>
                <w:lang w:val="lv-LV"/>
              </w:rPr>
              <w:fldChar w:fldCharType="separate"/>
            </w:r>
            <w:r w:rsidR="00DF40ED" w:rsidRPr="00A07F29">
              <w:rPr>
                <w:webHidden/>
                <w:lang w:val="lv-LV"/>
              </w:rPr>
              <w:t>81</w:t>
            </w:r>
            <w:r w:rsidRPr="00A07F29">
              <w:rPr>
                <w:webHidden/>
                <w:lang w:val="lv-LV"/>
              </w:rPr>
              <w:fldChar w:fldCharType="end"/>
            </w:r>
          </w:hyperlink>
        </w:p>
        <w:p w14:paraId="53C702E7" w14:textId="478F530D" w:rsidR="004D5E03" w:rsidRPr="00A07F29" w:rsidRDefault="004D5E03">
          <w:pPr>
            <w:pStyle w:val="TOC2"/>
            <w:rPr>
              <w:rFonts w:asciiTheme="minorHAnsi" w:eastAsiaTheme="minorEastAsia" w:hAnsiTheme="minorHAnsi" w:cstheme="minorBidi"/>
              <w:caps w:val="0"/>
              <w:kern w:val="2"/>
              <w:sz w:val="22"/>
              <w:szCs w:val="22"/>
              <w:lang w:eastAsia="en-GB"/>
              <w14:ligatures w14:val="standardContextual"/>
            </w:rPr>
          </w:pPr>
          <w:hyperlink w:anchor="_Toc183433995" w:history="1">
            <w:r w:rsidRPr="00A07F29">
              <w:rPr>
                <w:rStyle w:val="Hyperlink"/>
              </w:rPr>
              <w:t>4.1. Aizsargājamā teritorija kā vienota dabas aizsardzības vērtība un faktori, kas to ietekmē, tai skaitā iespējamo draudu izvērtējums</w:t>
            </w:r>
            <w:r w:rsidRPr="00A07F29">
              <w:rPr>
                <w:webHidden/>
              </w:rPr>
              <w:tab/>
            </w:r>
            <w:r w:rsidRPr="00A07F29">
              <w:rPr>
                <w:webHidden/>
              </w:rPr>
              <w:fldChar w:fldCharType="begin"/>
            </w:r>
            <w:r w:rsidRPr="00A07F29">
              <w:rPr>
                <w:webHidden/>
              </w:rPr>
              <w:instrText xml:space="preserve"> PAGEREF _Toc183433995 \h </w:instrText>
            </w:r>
            <w:r w:rsidRPr="00A07F29">
              <w:rPr>
                <w:webHidden/>
              </w:rPr>
            </w:r>
            <w:r w:rsidRPr="00A07F29">
              <w:rPr>
                <w:webHidden/>
              </w:rPr>
              <w:fldChar w:fldCharType="separate"/>
            </w:r>
            <w:r w:rsidR="00DF40ED" w:rsidRPr="00A07F29">
              <w:rPr>
                <w:webHidden/>
              </w:rPr>
              <w:t>81</w:t>
            </w:r>
            <w:r w:rsidRPr="00A07F29">
              <w:rPr>
                <w:webHidden/>
              </w:rPr>
              <w:fldChar w:fldCharType="end"/>
            </w:r>
          </w:hyperlink>
        </w:p>
        <w:p w14:paraId="14C74C5D" w14:textId="0FB9200E" w:rsidR="004D5E03" w:rsidRPr="00A07F29" w:rsidRDefault="004D5E03">
          <w:pPr>
            <w:pStyle w:val="TOC2"/>
            <w:rPr>
              <w:rFonts w:asciiTheme="minorHAnsi" w:eastAsiaTheme="minorEastAsia" w:hAnsiTheme="minorHAnsi" w:cstheme="minorBidi"/>
              <w:caps w:val="0"/>
              <w:kern w:val="2"/>
              <w:sz w:val="22"/>
              <w:szCs w:val="22"/>
              <w:lang w:eastAsia="en-GB"/>
              <w14:ligatures w14:val="standardContextual"/>
            </w:rPr>
          </w:pPr>
          <w:hyperlink w:anchor="_Toc183433996" w:history="1">
            <w:r w:rsidRPr="00A07F29">
              <w:rPr>
                <w:rStyle w:val="Hyperlink"/>
              </w:rPr>
              <w:t>4.2. Ainaviskais novērtējums un ainavu struktūrplāns</w:t>
            </w:r>
            <w:r w:rsidRPr="00A07F29">
              <w:rPr>
                <w:webHidden/>
              </w:rPr>
              <w:tab/>
            </w:r>
            <w:r w:rsidRPr="00A07F29">
              <w:rPr>
                <w:webHidden/>
              </w:rPr>
              <w:fldChar w:fldCharType="begin"/>
            </w:r>
            <w:r w:rsidRPr="00A07F29">
              <w:rPr>
                <w:webHidden/>
              </w:rPr>
              <w:instrText xml:space="preserve"> PAGEREF _Toc183433996 \h </w:instrText>
            </w:r>
            <w:r w:rsidRPr="00A07F29">
              <w:rPr>
                <w:webHidden/>
              </w:rPr>
            </w:r>
            <w:r w:rsidRPr="00A07F29">
              <w:rPr>
                <w:webHidden/>
              </w:rPr>
              <w:fldChar w:fldCharType="separate"/>
            </w:r>
            <w:r w:rsidR="00DF40ED" w:rsidRPr="00A07F29">
              <w:rPr>
                <w:webHidden/>
              </w:rPr>
              <w:t>84</w:t>
            </w:r>
            <w:r w:rsidRPr="00A07F29">
              <w:rPr>
                <w:webHidden/>
              </w:rPr>
              <w:fldChar w:fldCharType="end"/>
            </w:r>
          </w:hyperlink>
        </w:p>
        <w:p w14:paraId="3CC93A3E" w14:textId="082ED1B1" w:rsidR="004D5E03" w:rsidRPr="00A07F29" w:rsidRDefault="004D5E03">
          <w:pPr>
            <w:pStyle w:val="TOC3"/>
            <w:rPr>
              <w:rFonts w:asciiTheme="minorHAnsi" w:eastAsiaTheme="minorEastAsia" w:hAnsiTheme="minorHAnsi" w:cstheme="minorBidi"/>
              <w:kern w:val="2"/>
              <w:sz w:val="22"/>
              <w:lang w:eastAsia="en-GB"/>
              <w14:ligatures w14:val="standardContextual"/>
            </w:rPr>
          </w:pPr>
          <w:hyperlink w:anchor="_Toc183433997" w:history="1">
            <w:r w:rsidRPr="00A07F29">
              <w:rPr>
                <w:rStyle w:val="Hyperlink"/>
                <w:lang w:eastAsia="ja-JP"/>
              </w:rPr>
              <w:t>4.2.1. Ainavu pārvaldības ieteikumi, teritorijas turpmākās attīstības un apsaimniekošanas priekšlikumi</w:t>
            </w:r>
            <w:r w:rsidRPr="00A07F29">
              <w:rPr>
                <w:webHidden/>
              </w:rPr>
              <w:tab/>
            </w:r>
            <w:r w:rsidRPr="00A07F29">
              <w:rPr>
                <w:webHidden/>
              </w:rPr>
              <w:fldChar w:fldCharType="begin"/>
            </w:r>
            <w:r w:rsidRPr="00A07F29">
              <w:rPr>
                <w:webHidden/>
              </w:rPr>
              <w:instrText xml:space="preserve"> PAGEREF _Toc183433997 \h </w:instrText>
            </w:r>
            <w:r w:rsidRPr="00A07F29">
              <w:rPr>
                <w:webHidden/>
              </w:rPr>
            </w:r>
            <w:r w:rsidRPr="00A07F29">
              <w:rPr>
                <w:webHidden/>
              </w:rPr>
              <w:fldChar w:fldCharType="separate"/>
            </w:r>
            <w:r w:rsidR="00DF40ED" w:rsidRPr="00A07F29">
              <w:rPr>
                <w:webHidden/>
              </w:rPr>
              <w:t>85</w:t>
            </w:r>
            <w:r w:rsidRPr="00A07F29">
              <w:rPr>
                <w:webHidden/>
              </w:rPr>
              <w:fldChar w:fldCharType="end"/>
            </w:r>
          </w:hyperlink>
        </w:p>
        <w:p w14:paraId="0ECC27AE" w14:textId="398A53F6" w:rsidR="004D5E03" w:rsidRPr="00A07F29" w:rsidRDefault="004D5E03">
          <w:pPr>
            <w:pStyle w:val="TOC3"/>
            <w:rPr>
              <w:rFonts w:asciiTheme="minorHAnsi" w:eastAsiaTheme="minorEastAsia" w:hAnsiTheme="minorHAnsi" w:cstheme="minorBidi"/>
              <w:kern w:val="2"/>
              <w:sz w:val="22"/>
              <w:lang w:eastAsia="en-GB"/>
              <w14:ligatures w14:val="standardContextual"/>
            </w:rPr>
          </w:pPr>
          <w:hyperlink w:anchor="_Toc183433998" w:history="1">
            <w:r w:rsidRPr="00A07F29">
              <w:rPr>
                <w:rStyle w:val="Hyperlink"/>
                <w:lang w:eastAsia="ja-JP"/>
              </w:rPr>
              <w:t>4.2.2. Priekšlikumi kultūrvēsturiskā mantojuma saglabāšanai un izmantošanai</w:t>
            </w:r>
            <w:r w:rsidRPr="00A07F29">
              <w:rPr>
                <w:webHidden/>
              </w:rPr>
              <w:tab/>
            </w:r>
            <w:r w:rsidRPr="00A07F29">
              <w:rPr>
                <w:webHidden/>
              </w:rPr>
              <w:fldChar w:fldCharType="begin"/>
            </w:r>
            <w:r w:rsidRPr="00A07F29">
              <w:rPr>
                <w:webHidden/>
              </w:rPr>
              <w:instrText xml:space="preserve"> PAGEREF _Toc183433998 \h </w:instrText>
            </w:r>
            <w:r w:rsidRPr="00A07F29">
              <w:rPr>
                <w:webHidden/>
              </w:rPr>
            </w:r>
            <w:r w:rsidRPr="00A07F29">
              <w:rPr>
                <w:webHidden/>
              </w:rPr>
              <w:fldChar w:fldCharType="separate"/>
            </w:r>
            <w:r w:rsidR="00DF40ED" w:rsidRPr="00A07F29">
              <w:rPr>
                <w:webHidden/>
              </w:rPr>
              <w:t>86</w:t>
            </w:r>
            <w:r w:rsidRPr="00A07F29">
              <w:rPr>
                <w:webHidden/>
              </w:rPr>
              <w:fldChar w:fldCharType="end"/>
            </w:r>
          </w:hyperlink>
        </w:p>
        <w:p w14:paraId="491AF8CE" w14:textId="17922488" w:rsidR="004D5E03" w:rsidRPr="00A07F29" w:rsidRDefault="004D5E03">
          <w:pPr>
            <w:pStyle w:val="TOC3"/>
            <w:rPr>
              <w:rFonts w:asciiTheme="minorHAnsi" w:eastAsiaTheme="minorEastAsia" w:hAnsiTheme="minorHAnsi" w:cstheme="minorBidi"/>
              <w:kern w:val="2"/>
              <w:sz w:val="22"/>
              <w:lang w:eastAsia="en-GB"/>
              <w14:ligatures w14:val="standardContextual"/>
            </w:rPr>
          </w:pPr>
          <w:hyperlink w:anchor="_Toc183433999" w:history="1">
            <w:r w:rsidRPr="00A07F29">
              <w:rPr>
                <w:rStyle w:val="Hyperlink"/>
                <w:lang w:eastAsia="ja-JP"/>
              </w:rPr>
              <w:t>4.2.3. Apbūves nosacījumi</w:t>
            </w:r>
            <w:r w:rsidRPr="00A07F29">
              <w:rPr>
                <w:webHidden/>
              </w:rPr>
              <w:tab/>
            </w:r>
            <w:r w:rsidRPr="00A07F29">
              <w:rPr>
                <w:webHidden/>
              </w:rPr>
              <w:fldChar w:fldCharType="begin"/>
            </w:r>
            <w:r w:rsidRPr="00A07F29">
              <w:rPr>
                <w:webHidden/>
              </w:rPr>
              <w:instrText xml:space="preserve"> PAGEREF _Toc183433999 \h </w:instrText>
            </w:r>
            <w:r w:rsidRPr="00A07F29">
              <w:rPr>
                <w:webHidden/>
              </w:rPr>
            </w:r>
            <w:r w:rsidRPr="00A07F29">
              <w:rPr>
                <w:webHidden/>
              </w:rPr>
              <w:fldChar w:fldCharType="separate"/>
            </w:r>
            <w:r w:rsidR="00DF40ED" w:rsidRPr="00A07F29">
              <w:rPr>
                <w:webHidden/>
              </w:rPr>
              <w:t>87</w:t>
            </w:r>
            <w:r w:rsidRPr="00A07F29">
              <w:rPr>
                <w:webHidden/>
              </w:rPr>
              <w:fldChar w:fldCharType="end"/>
            </w:r>
          </w:hyperlink>
        </w:p>
        <w:p w14:paraId="2AC7D253" w14:textId="236BA188" w:rsidR="004D5E03" w:rsidRPr="00A07F29" w:rsidRDefault="004D5E03">
          <w:pPr>
            <w:pStyle w:val="TOC2"/>
            <w:rPr>
              <w:rFonts w:asciiTheme="minorHAnsi" w:eastAsiaTheme="minorEastAsia" w:hAnsiTheme="minorHAnsi" w:cstheme="minorBidi"/>
              <w:caps w:val="0"/>
              <w:kern w:val="2"/>
              <w:sz w:val="22"/>
              <w:szCs w:val="22"/>
              <w:lang w:eastAsia="en-GB"/>
              <w14:ligatures w14:val="standardContextual"/>
            </w:rPr>
          </w:pPr>
          <w:hyperlink w:anchor="_Toc183434000" w:history="1">
            <w:r w:rsidRPr="00A07F29">
              <w:rPr>
                <w:rStyle w:val="Hyperlink"/>
              </w:rPr>
              <w:t>4.3. Biotopi</w:t>
            </w:r>
            <w:r w:rsidRPr="00A07F29">
              <w:rPr>
                <w:webHidden/>
              </w:rPr>
              <w:tab/>
            </w:r>
            <w:r w:rsidRPr="00A07F29">
              <w:rPr>
                <w:webHidden/>
              </w:rPr>
              <w:fldChar w:fldCharType="begin"/>
            </w:r>
            <w:r w:rsidRPr="00A07F29">
              <w:rPr>
                <w:webHidden/>
              </w:rPr>
              <w:instrText xml:space="preserve"> PAGEREF _Toc183434000 \h </w:instrText>
            </w:r>
            <w:r w:rsidRPr="00A07F29">
              <w:rPr>
                <w:webHidden/>
              </w:rPr>
            </w:r>
            <w:r w:rsidRPr="00A07F29">
              <w:rPr>
                <w:webHidden/>
              </w:rPr>
              <w:fldChar w:fldCharType="separate"/>
            </w:r>
            <w:r w:rsidR="00DF40ED" w:rsidRPr="00A07F29">
              <w:rPr>
                <w:webHidden/>
              </w:rPr>
              <w:t>88</w:t>
            </w:r>
            <w:r w:rsidRPr="00A07F29">
              <w:rPr>
                <w:webHidden/>
              </w:rPr>
              <w:fldChar w:fldCharType="end"/>
            </w:r>
          </w:hyperlink>
        </w:p>
        <w:p w14:paraId="4EDC8BAC" w14:textId="467A7AE4" w:rsidR="004D5E03" w:rsidRPr="00A07F29" w:rsidRDefault="004D5E03">
          <w:pPr>
            <w:pStyle w:val="TOC3"/>
            <w:rPr>
              <w:rFonts w:asciiTheme="minorHAnsi" w:eastAsiaTheme="minorEastAsia" w:hAnsiTheme="minorHAnsi" w:cstheme="minorBidi"/>
              <w:kern w:val="2"/>
              <w:sz w:val="22"/>
              <w:lang w:eastAsia="en-GB"/>
              <w14:ligatures w14:val="standardContextual"/>
            </w:rPr>
          </w:pPr>
          <w:hyperlink w:anchor="_Toc183434001" w:history="1">
            <w:r w:rsidRPr="00A07F29">
              <w:rPr>
                <w:rStyle w:val="Hyperlink"/>
                <w:lang w:eastAsia="ja-JP"/>
              </w:rPr>
              <w:t>4.3.1. Stāvošu saldūdeņu biotopi</w:t>
            </w:r>
            <w:r w:rsidRPr="00A07F29">
              <w:rPr>
                <w:webHidden/>
              </w:rPr>
              <w:tab/>
            </w:r>
            <w:r w:rsidRPr="00A07F29">
              <w:rPr>
                <w:webHidden/>
              </w:rPr>
              <w:fldChar w:fldCharType="begin"/>
            </w:r>
            <w:r w:rsidRPr="00A07F29">
              <w:rPr>
                <w:webHidden/>
              </w:rPr>
              <w:instrText xml:space="preserve"> PAGEREF _Toc183434001 \h </w:instrText>
            </w:r>
            <w:r w:rsidRPr="00A07F29">
              <w:rPr>
                <w:webHidden/>
              </w:rPr>
            </w:r>
            <w:r w:rsidRPr="00A07F29">
              <w:rPr>
                <w:webHidden/>
              </w:rPr>
              <w:fldChar w:fldCharType="separate"/>
            </w:r>
            <w:r w:rsidR="00DF40ED" w:rsidRPr="00A07F29">
              <w:rPr>
                <w:webHidden/>
              </w:rPr>
              <w:t>96</w:t>
            </w:r>
            <w:r w:rsidRPr="00A07F29">
              <w:rPr>
                <w:webHidden/>
              </w:rPr>
              <w:fldChar w:fldCharType="end"/>
            </w:r>
          </w:hyperlink>
        </w:p>
        <w:p w14:paraId="7DE7374C" w14:textId="3D28BA24" w:rsidR="004D5E03" w:rsidRPr="00A07F29" w:rsidRDefault="004D5E03">
          <w:pPr>
            <w:pStyle w:val="TOC3"/>
            <w:rPr>
              <w:rFonts w:asciiTheme="minorHAnsi" w:eastAsiaTheme="minorEastAsia" w:hAnsiTheme="minorHAnsi" w:cstheme="minorBidi"/>
              <w:kern w:val="2"/>
              <w:sz w:val="22"/>
              <w:lang w:eastAsia="en-GB"/>
              <w14:ligatures w14:val="standardContextual"/>
            </w:rPr>
          </w:pPr>
          <w:hyperlink w:anchor="_Toc183434002" w:history="1">
            <w:r w:rsidRPr="00A07F29">
              <w:rPr>
                <w:rStyle w:val="Hyperlink"/>
                <w:lang w:eastAsia="ja-JP"/>
              </w:rPr>
              <w:t>4.3.2. Tekošu saldūdeņu biotopi</w:t>
            </w:r>
            <w:r w:rsidRPr="00A07F29">
              <w:rPr>
                <w:webHidden/>
              </w:rPr>
              <w:tab/>
            </w:r>
            <w:r w:rsidRPr="00A07F29">
              <w:rPr>
                <w:webHidden/>
              </w:rPr>
              <w:fldChar w:fldCharType="begin"/>
            </w:r>
            <w:r w:rsidRPr="00A07F29">
              <w:rPr>
                <w:webHidden/>
              </w:rPr>
              <w:instrText xml:space="preserve"> PAGEREF _Toc183434002 \h </w:instrText>
            </w:r>
            <w:r w:rsidRPr="00A07F29">
              <w:rPr>
                <w:webHidden/>
              </w:rPr>
            </w:r>
            <w:r w:rsidRPr="00A07F29">
              <w:rPr>
                <w:webHidden/>
              </w:rPr>
              <w:fldChar w:fldCharType="separate"/>
            </w:r>
            <w:r w:rsidR="00DF40ED" w:rsidRPr="00A07F29">
              <w:rPr>
                <w:webHidden/>
              </w:rPr>
              <w:t>99</w:t>
            </w:r>
            <w:r w:rsidRPr="00A07F29">
              <w:rPr>
                <w:webHidden/>
              </w:rPr>
              <w:fldChar w:fldCharType="end"/>
            </w:r>
          </w:hyperlink>
        </w:p>
        <w:p w14:paraId="2A415B71" w14:textId="7FE974B7" w:rsidR="004D5E03" w:rsidRPr="00A07F29" w:rsidRDefault="004D5E03">
          <w:pPr>
            <w:pStyle w:val="TOC3"/>
            <w:rPr>
              <w:rFonts w:asciiTheme="minorHAnsi" w:eastAsiaTheme="minorEastAsia" w:hAnsiTheme="minorHAnsi" w:cstheme="minorBidi"/>
              <w:kern w:val="2"/>
              <w:sz w:val="22"/>
              <w:lang w:eastAsia="en-GB"/>
              <w14:ligatures w14:val="standardContextual"/>
            </w:rPr>
          </w:pPr>
          <w:hyperlink w:anchor="_Toc183434003" w:history="1">
            <w:r w:rsidRPr="00A07F29">
              <w:rPr>
                <w:rStyle w:val="Hyperlink"/>
                <w:lang w:eastAsia="ja-JP"/>
              </w:rPr>
              <w:t>4.3.3. Zālāju biotopi</w:t>
            </w:r>
            <w:r w:rsidRPr="00A07F29">
              <w:rPr>
                <w:webHidden/>
              </w:rPr>
              <w:tab/>
            </w:r>
            <w:r w:rsidRPr="00A07F29">
              <w:rPr>
                <w:webHidden/>
              </w:rPr>
              <w:fldChar w:fldCharType="begin"/>
            </w:r>
            <w:r w:rsidRPr="00A07F29">
              <w:rPr>
                <w:webHidden/>
              </w:rPr>
              <w:instrText xml:space="preserve"> PAGEREF _Toc183434003 \h </w:instrText>
            </w:r>
            <w:r w:rsidRPr="00A07F29">
              <w:rPr>
                <w:webHidden/>
              </w:rPr>
            </w:r>
            <w:r w:rsidRPr="00A07F29">
              <w:rPr>
                <w:webHidden/>
              </w:rPr>
              <w:fldChar w:fldCharType="separate"/>
            </w:r>
            <w:r w:rsidR="00DF40ED" w:rsidRPr="00A07F29">
              <w:rPr>
                <w:webHidden/>
              </w:rPr>
              <w:t>104</w:t>
            </w:r>
            <w:r w:rsidRPr="00A07F29">
              <w:rPr>
                <w:webHidden/>
              </w:rPr>
              <w:fldChar w:fldCharType="end"/>
            </w:r>
          </w:hyperlink>
        </w:p>
        <w:p w14:paraId="285DC935" w14:textId="4DABDCDF" w:rsidR="004D5E03" w:rsidRPr="00A07F29" w:rsidRDefault="004D5E03">
          <w:pPr>
            <w:pStyle w:val="TOC3"/>
            <w:rPr>
              <w:rFonts w:asciiTheme="minorHAnsi" w:eastAsiaTheme="minorEastAsia" w:hAnsiTheme="minorHAnsi" w:cstheme="minorBidi"/>
              <w:kern w:val="2"/>
              <w:sz w:val="22"/>
              <w:lang w:eastAsia="en-GB"/>
              <w14:ligatures w14:val="standardContextual"/>
            </w:rPr>
          </w:pPr>
          <w:hyperlink w:anchor="_Toc183434004" w:history="1">
            <w:r w:rsidRPr="00A07F29">
              <w:rPr>
                <w:rStyle w:val="Hyperlink"/>
                <w:lang w:eastAsia="ja-JP"/>
              </w:rPr>
              <w:t>4.3.4. Mežu biotopi</w:t>
            </w:r>
            <w:r w:rsidRPr="00A07F29">
              <w:rPr>
                <w:webHidden/>
              </w:rPr>
              <w:tab/>
            </w:r>
            <w:r w:rsidRPr="00A07F29">
              <w:rPr>
                <w:webHidden/>
              </w:rPr>
              <w:fldChar w:fldCharType="begin"/>
            </w:r>
            <w:r w:rsidRPr="00A07F29">
              <w:rPr>
                <w:webHidden/>
              </w:rPr>
              <w:instrText xml:space="preserve"> PAGEREF _Toc183434004 \h </w:instrText>
            </w:r>
            <w:r w:rsidRPr="00A07F29">
              <w:rPr>
                <w:webHidden/>
              </w:rPr>
            </w:r>
            <w:r w:rsidRPr="00A07F29">
              <w:rPr>
                <w:webHidden/>
              </w:rPr>
              <w:fldChar w:fldCharType="separate"/>
            </w:r>
            <w:r w:rsidR="00DF40ED" w:rsidRPr="00A07F29">
              <w:rPr>
                <w:webHidden/>
              </w:rPr>
              <w:t>110</w:t>
            </w:r>
            <w:r w:rsidRPr="00A07F29">
              <w:rPr>
                <w:webHidden/>
              </w:rPr>
              <w:fldChar w:fldCharType="end"/>
            </w:r>
          </w:hyperlink>
        </w:p>
        <w:p w14:paraId="30FCB0D9" w14:textId="5D136E79" w:rsidR="004D5E03" w:rsidRPr="00A07F29" w:rsidRDefault="004D5E03">
          <w:pPr>
            <w:pStyle w:val="TOC3"/>
            <w:rPr>
              <w:rFonts w:asciiTheme="minorHAnsi" w:eastAsiaTheme="minorEastAsia" w:hAnsiTheme="minorHAnsi" w:cstheme="minorBidi"/>
              <w:kern w:val="2"/>
              <w:sz w:val="22"/>
              <w:lang w:eastAsia="en-GB"/>
              <w14:ligatures w14:val="standardContextual"/>
            </w:rPr>
          </w:pPr>
          <w:hyperlink w:anchor="_Toc183434005" w:history="1">
            <w:r w:rsidRPr="00A07F29">
              <w:rPr>
                <w:rStyle w:val="Hyperlink"/>
                <w:lang w:eastAsia="ja-JP"/>
              </w:rPr>
              <w:t>4.3.5. Purvu biotopi</w:t>
            </w:r>
            <w:r w:rsidRPr="00A07F29">
              <w:rPr>
                <w:webHidden/>
              </w:rPr>
              <w:tab/>
            </w:r>
            <w:r w:rsidRPr="00A07F29">
              <w:rPr>
                <w:webHidden/>
              </w:rPr>
              <w:fldChar w:fldCharType="begin"/>
            </w:r>
            <w:r w:rsidRPr="00A07F29">
              <w:rPr>
                <w:webHidden/>
              </w:rPr>
              <w:instrText xml:space="preserve"> PAGEREF _Toc183434005 \h </w:instrText>
            </w:r>
            <w:r w:rsidRPr="00A07F29">
              <w:rPr>
                <w:webHidden/>
              </w:rPr>
            </w:r>
            <w:r w:rsidRPr="00A07F29">
              <w:rPr>
                <w:webHidden/>
              </w:rPr>
              <w:fldChar w:fldCharType="separate"/>
            </w:r>
            <w:r w:rsidR="00DF40ED" w:rsidRPr="00A07F29">
              <w:rPr>
                <w:webHidden/>
              </w:rPr>
              <w:t>117</w:t>
            </w:r>
            <w:r w:rsidRPr="00A07F29">
              <w:rPr>
                <w:webHidden/>
              </w:rPr>
              <w:fldChar w:fldCharType="end"/>
            </w:r>
          </w:hyperlink>
        </w:p>
        <w:p w14:paraId="69195051" w14:textId="116D1F83" w:rsidR="004D5E03" w:rsidRPr="00A07F29" w:rsidRDefault="004D5E03">
          <w:pPr>
            <w:pStyle w:val="TOC2"/>
            <w:rPr>
              <w:rFonts w:asciiTheme="minorHAnsi" w:eastAsiaTheme="minorEastAsia" w:hAnsiTheme="minorHAnsi" w:cstheme="minorBidi"/>
              <w:caps w:val="0"/>
              <w:kern w:val="2"/>
              <w:sz w:val="22"/>
              <w:szCs w:val="22"/>
              <w:lang w:eastAsia="en-GB"/>
              <w14:ligatures w14:val="standardContextual"/>
            </w:rPr>
          </w:pPr>
          <w:hyperlink w:anchor="_Toc183434006" w:history="1">
            <w:r w:rsidRPr="00A07F29">
              <w:rPr>
                <w:rStyle w:val="Hyperlink"/>
              </w:rPr>
              <w:t>4.4. Vaskulāro augu sugas</w:t>
            </w:r>
            <w:r w:rsidRPr="00A07F29">
              <w:rPr>
                <w:webHidden/>
              </w:rPr>
              <w:tab/>
            </w:r>
            <w:r w:rsidRPr="00A07F29">
              <w:rPr>
                <w:webHidden/>
              </w:rPr>
              <w:fldChar w:fldCharType="begin"/>
            </w:r>
            <w:r w:rsidRPr="00A07F29">
              <w:rPr>
                <w:webHidden/>
              </w:rPr>
              <w:instrText xml:space="preserve"> PAGEREF _Toc183434006 \h </w:instrText>
            </w:r>
            <w:r w:rsidRPr="00A07F29">
              <w:rPr>
                <w:webHidden/>
              </w:rPr>
            </w:r>
            <w:r w:rsidRPr="00A07F29">
              <w:rPr>
                <w:webHidden/>
              </w:rPr>
              <w:fldChar w:fldCharType="separate"/>
            </w:r>
            <w:r w:rsidR="00DF40ED" w:rsidRPr="00A07F29">
              <w:rPr>
                <w:webHidden/>
              </w:rPr>
              <w:t>120</w:t>
            </w:r>
            <w:r w:rsidRPr="00A07F29">
              <w:rPr>
                <w:webHidden/>
              </w:rPr>
              <w:fldChar w:fldCharType="end"/>
            </w:r>
          </w:hyperlink>
        </w:p>
        <w:p w14:paraId="0B2B2B51" w14:textId="2255B1D7" w:rsidR="004D5E03" w:rsidRPr="00A07F29" w:rsidRDefault="004D5E03">
          <w:pPr>
            <w:pStyle w:val="TOC3"/>
            <w:rPr>
              <w:rFonts w:asciiTheme="minorHAnsi" w:eastAsiaTheme="minorEastAsia" w:hAnsiTheme="minorHAnsi" w:cstheme="minorBidi"/>
              <w:kern w:val="2"/>
              <w:sz w:val="22"/>
              <w:lang w:eastAsia="en-GB"/>
              <w14:ligatures w14:val="standardContextual"/>
            </w:rPr>
          </w:pPr>
          <w:hyperlink w:anchor="_Toc183434007" w:history="1">
            <w:r w:rsidRPr="00A07F29">
              <w:rPr>
                <w:rStyle w:val="Hyperlink"/>
                <w:lang w:eastAsia="ja-JP"/>
              </w:rPr>
              <w:t>4.4.1. Floras pētījumu vēsture</w:t>
            </w:r>
            <w:r w:rsidRPr="00A07F29">
              <w:rPr>
                <w:webHidden/>
              </w:rPr>
              <w:tab/>
            </w:r>
            <w:r w:rsidRPr="00A07F29">
              <w:rPr>
                <w:webHidden/>
              </w:rPr>
              <w:fldChar w:fldCharType="begin"/>
            </w:r>
            <w:r w:rsidRPr="00A07F29">
              <w:rPr>
                <w:webHidden/>
              </w:rPr>
              <w:instrText xml:space="preserve"> PAGEREF _Toc183434007 \h </w:instrText>
            </w:r>
            <w:r w:rsidRPr="00A07F29">
              <w:rPr>
                <w:webHidden/>
              </w:rPr>
            </w:r>
            <w:r w:rsidRPr="00A07F29">
              <w:rPr>
                <w:webHidden/>
              </w:rPr>
              <w:fldChar w:fldCharType="separate"/>
            </w:r>
            <w:r w:rsidR="00DF40ED" w:rsidRPr="00A07F29">
              <w:rPr>
                <w:webHidden/>
              </w:rPr>
              <w:t>120</w:t>
            </w:r>
            <w:r w:rsidRPr="00A07F29">
              <w:rPr>
                <w:webHidden/>
              </w:rPr>
              <w:fldChar w:fldCharType="end"/>
            </w:r>
          </w:hyperlink>
        </w:p>
        <w:p w14:paraId="12296785" w14:textId="6D4215B3" w:rsidR="004D5E03" w:rsidRPr="00A07F29" w:rsidRDefault="004D5E03">
          <w:pPr>
            <w:pStyle w:val="TOC3"/>
            <w:rPr>
              <w:rFonts w:asciiTheme="minorHAnsi" w:eastAsiaTheme="minorEastAsia" w:hAnsiTheme="minorHAnsi" w:cstheme="minorBidi"/>
              <w:kern w:val="2"/>
              <w:sz w:val="22"/>
              <w:lang w:eastAsia="en-GB"/>
              <w14:ligatures w14:val="standardContextual"/>
            </w:rPr>
          </w:pPr>
          <w:hyperlink w:anchor="_Toc183434008" w:history="1">
            <w:r w:rsidRPr="00A07F29">
              <w:rPr>
                <w:rStyle w:val="Hyperlink"/>
                <w:lang w:eastAsia="ja-JP"/>
              </w:rPr>
              <w:t xml:space="preserve">4.4.2. AAA </w:t>
            </w:r>
            <w:r w:rsidR="006D5590" w:rsidRPr="00A07F29">
              <w:rPr>
                <w:rStyle w:val="Hyperlink"/>
                <w:lang w:eastAsia="ja-JP"/>
              </w:rPr>
              <w:t>“</w:t>
            </w:r>
            <w:r w:rsidRPr="00A07F29">
              <w:rPr>
                <w:rStyle w:val="Hyperlink"/>
                <w:lang w:eastAsia="ja-JP"/>
              </w:rPr>
              <w:t>Augšdaugava” flora</w:t>
            </w:r>
            <w:r w:rsidRPr="00A07F29">
              <w:rPr>
                <w:webHidden/>
              </w:rPr>
              <w:tab/>
            </w:r>
            <w:r w:rsidRPr="00A07F29">
              <w:rPr>
                <w:webHidden/>
              </w:rPr>
              <w:fldChar w:fldCharType="begin"/>
            </w:r>
            <w:r w:rsidRPr="00A07F29">
              <w:rPr>
                <w:webHidden/>
              </w:rPr>
              <w:instrText xml:space="preserve"> PAGEREF _Toc183434008 \h </w:instrText>
            </w:r>
            <w:r w:rsidRPr="00A07F29">
              <w:rPr>
                <w:webHidden/>
              </w:rPr>
            </w:r>
            <w:r w:rsidRPr="00A07F29">
              <w:rPr>
                <w:webHidden/>
              </w:rPr>
              <w:fldChar w:fldCharType="separate"/>
            </w:r>
            <w:r w:rsidR="00DF40ED" w:rsidRPr="00A07F29">
              <w:rPr>
                <w:webHidden/>
              </w:rPr>
              <w:t>120</w:t>
            </w:r>
            <w:r w:rsidRPr="00A07F29">
              <w:rPr>
                <w:webHidden/>
              </w:rPr>
              <w:fldChar w:fldCharType="end"/>
            </w:r>
          </w:hyperlink>
        </w:p>
        <w:p w14:paraId="5975096B" w14:textId="43E8E709" w:rsidR="004D5E03" w:rsidRPr="00A07F29" w:rsidRDefault="004D5E03">
          <w:pPr>
            <w:pStyle w:val="TOC3"/>
            <w:rPr>
              <w:rFonts w:asciiTheme="minorHAnsi" w:eastAsiaTheme="minorEastAsia" w:hAnsiTheme="minorHAnsi" w:cstheme="minorBidi"/>
              <w:kern w:val="2"/>
              <w:sz w:val="22"/>
              <w:lang w:eastAsia="en-GB"/>
              <w14:ligatures w14:val="standardContextual"/>
            </w:rPr>
          </w:pPr>
          <w:hyperlink w:anchor="_Toc183434009" w:history="1">
            <w:r w:rsidRPr="00A07F29">
              <w:rPr>
                <w:rStyle w:val="Hyperlink"/>
                <w:lang w:eastAsia="ja-JP"/>
              </w:rPr>
              <w:t xml:space="preserve">4.4.3. Retās un aizsargājamās vaskulāro augu sugas AAA </w:t>
            </w:r>
            <w:r w:rsidR="00EA40C9" w:rsidRPr="00A07F29">
              <w:rPr>
                <w:rStyle w:val="Hyperlink"/>
                <w:lang w:eastAsia="ja-JP"/>
              </w:rPr>
              <w:t>“</w:t>
            </w:r>
            <w:r w:rsidRPr="00A07F29">
              <w:rPr>
                <w:rStyle w:val="Hyperlink"/>
                <w:lang w:eastAsia="ja-JP"/>
              </w:rPr>
              <w:t>Augšdaugava"</w:t>
            </w:r>
            <w:r w:rsidRPr="00A07F29">
              <w:rPr>
                <w:webHidden/>
              </w:rPr>
              <w:tab/>
            </w:r>
            <w:r w:rsidRPr="00A07F29">
              <w:rPr>
                <w:webHidden/>
              </w:rPr>
              <w:fldChar w:fldCharType="begin"/>
            </w:r>
            <w:r w:rsidRPr="00A07F29">
              <w:rPr>
                <w:webHidden/>
              </w:rPr>
              <w:instrText xml:space="preserve"> PAGEREF _Toc183434009 \h </w:instrText>
            </w:r>
            <w:r w:rsidRPr="00A07F29">
              <w:rPr>
                <w:webHidden/>
              </w:rPr>
            </w:r>
            <w:r w:rsidRPr="00A07F29">
              <w:rPr>
                <w:webHidden/>
              </w:rPr>
              <w:fldChar w:fldCharType="separate"/>
            </w:r>
            <w:r w:rsidR="00DF40ED" w:rsidRPr="00A07F29">
              <w:rPr>
                <w:webHidden/>
              </w:rPr>
              <w:t>121</w:t>
            </w:r>
            <w:r w:rsidRPr="00A07F29">
              <w:rPr>
                <w:webHidden/>
              </w:rPr>
              <w:fldChar w:fldCharType="end"/>
            </w:r>
          </w:hyperlink>
        </w:p>
        <w:p w14:paraId="79F73F3C" w14:textId="1192AA33" w:rsidR="004D5E03" w:rsidRPr="00A07F29" w:rsidRDefault="004D5E03">
          <w:pPr>
            <w:pStyle w:val="TOC3"/>
            <w:rPr>
              <w:rFonts w:asciiTheme="minorHAnsi" w:eastAsiaTheme="minorEastAsia" w:hAnsiTheme="minorHAnsi" w:cstheme="minorBidi"/>
              <w:kern w:val="2"/>
              <w:sz w:val="22"/>
              <w:lang w:eastAsia="en-GB"/>
              <w14:ligatures w14:val="standardContextual"/>
            </w:rPr>
          </w:pPr>
          <w:hyperlink w:anchor="_Toc183434010" w:history="1">
            <w:r w:rsidRPr="00A07F29">
              <w:rPr>
                <w:rStyle w:val="Hyperlink"/>
                <w:lang w:eastAsia="ja-JP"/>
              </w:rPr>
              <w:t>4.4.4. Vaskulāro augu sugu dabas aizsardzības vērtība</w:t>
            </w:r>
            <w:r w:rsidRPr="00A07F29">
              <w:rPr>
                <w:webHidden/>
              </w:rPr>
              <w:tab/>
            </w:r>
            <w:r w:rsidRPr="00A07F29">
              <w:rPr>
                <w:webHidden/>
              </w:rPr>
              <w:fldChar w:fldCharType="begin"/>
            </w:r>
            <w:r w:rsidRPr="00A07F29">
              <w:rPr>
                <w:webHidden/>
              </w:rPr>
              <w:instrText xml:space="preserve"> PAGEREF _Toc183434010 \h </w:instrText>
            </w:r>
            <w:r w:rsidRPr="00A07F29">
              <w:rPr>
                <w:webHidden/>
              </w:rPr>
            </w:r>
            <w:r w:rsidRPr="00A07F29">
              <w:rPr>
                <w:webHidden/>
              </w:rPr>
              <w:fldChar w:fldCharType="separate"/>
            </w:r>
            <w:r w:rsidR="00DF40ED" w:rsidRPr="00A07F29">
              <w:rPr>
                <w:webHidden/>
              </w:rPr>
              <w:t>127</w:t>
            </w:r>
            <w:r w:rsidRPr="00A07F29">
              <w:rPr>
                <w:webHidden/>
              </w:rPr>
              <w:fldChar w:fldCharType="end"/>
            </w:r>
          </w:hyperlink>
        </w:p>
        <w:p w14:paraId="1D41DA2F" w14:textId="63F31E73" w:rsidR="004D5E03" w:rsidRPr="00A07F29" w:rsidRDefault="004D5E03">
          <w:pPr>
            <w:pStyle w:val="TOC2"/>
            <w:rPr>
              <w:rFonts w:asciiTheme="minorHAnsi" w:eastAsiaTheme="minorEastAsia" w:hAnsiTheme="minorHAnsi" w:cstheme="minorBidi"/>
              <w:caps w:val="0"/>
              <w:kern w:val="2"/>
              <w:sz w:val="22"/>
              <w:szCs w:val="22"/>
              <w:lang w:eastAsia="en-GB"/>
              <w14:ligatures w14:val="standardContextual"/>
            </w:rPr>
          </w:pPr>
          <w:hyperlink w:anchor="_Toc183434011" w:history="1">
            <w:r w:rsidRPr="00A07F29">
              <w:rPr>
                <w:rStyle w:val="Hyperlink"/>
              </w:rPr>
              <w:t>4.5. Retās un īpaši aizsargājamās mieturaļģu un sūnu sugas</w:t>
            </w:r>
            <w:r w:rsidRPr="00A07F29">
              <w:rPr>
                <w:webHidden/>
              </w:rPr>
              <w:tab/>
            </w:r>
            <w:r w:rsidRPr="00A07F29">
              <w:rPr>
                <w:webHidden/>
              </w:rPr>
              <w:fldChar w:fldCharType="begin"/>
            </w:r>
            <w:r w:rsidRPr="00A07F29">
              <w:rPr>
                <w:webHidden/>
              </w:rPr>
              <w:instrText xml:space="preserve"> PAGEREF _Toc183434011 \h </w:instrText>
            </w:r>
            <w:r w:rsidRPr="00A07F29">
              <w:rPr>
                <w:webHidden/>
              </w:rPr>
            </w:r>
            <w:r w:rsidRPr="00A07F29">
              <w:rPr>
                <w:webHidden/>
              </w:rPr>
              <w:fldChar w:fldCharType="separate"/>
            </w:r>
            <w:r w:rsidR="00DF40ED" w:rsidRPr="00A07F29">
              <w:rPr>
                <w:webHidden/>
              </w:rPr>
              <w:t>135</w:t>
            </w:r>
            <w:r w:rsidRPr="00A07F29">
              <w:rPr>
                <w:webHidden/>
              </w:rPr>
              <w:fldChar w:fldCharType="end"/>
            </w:r>
          </w:hyperlink>
        </w:p>
        <w:p w14:paraId="025BFA72" w14:textId="49BF19F4" w:rsidR="004D5E03" w:rsidRPr="00A07F29" w:rsidRDefault="004D5E03">
          <w:pPr>
            <w:pStyle w:val="TOC2"/>
            <w:rPr>
              <w:rFonts w:asciiTheme="minorHAnsi" w:eastAsiaTheme="minorEastAsia" w:hAnsiTheme="minorHAnsi" w:cstheme="minorBidi"/>
              <w:caps w:val="0"/>
              <w:kern w:val="2"/>
              <w:sz w:val="22"/>
              <w:szCs w:val="22"/>
              <w:lang w:eastAsia="en-GB"/>
              <w14:ligatures w14:val="standardContextual"/>
            </w:rPr>
          </w:pPr>
          <w:hyperlink w:anchor="_Toc183434012" w:history="1">
            <w:r w:rsidRPr="00A07F29">
              <w:rPr>
                <w:rStyle w:val="Hyperlink"/>
              </w:rPr>
              <w:t>4.6. Retās un aizsargājamās ķērpju sugas</w:t>
            </w:r>
            <w:r w:rsidRPr="00A07F29">
              <w:rPr>
                <w:webHidden/>
              </w:rPr>
              <w:tab/>
            </w:r>
            <w:r w:rsidRPr="00A07F29">
              <w:rPr>
                <w:webHidden/>
              </w:rPr>
              <w:fldChar w:fldCharType="begin"/>
            </w:r>
            <w:r w:rsidRPr="00A07F29">
              <w:rPr>
                <w:webHidden/>
              </w:rPr>
              <w:instrText xml:space="preserve"> PAGEREF _Toc183434012 \h </w:instrText>
            </w:r>
            <w:r w:rsidRPr="00A07F29">
              <w:rPr>
                <w:webHidden/>
              </w:rPr>
            </w:r>
            <w:r w:rsidRPr="00A07F29">
              <w:rPr>
                <w:webHidden/>
              </w:rPr>
              <w:fldChar w:fldCharType="separate"/>
            </w:r>
            <w:r w:rsidR="00DF40ED" w:rsidRPr="00A07F29">
              <w:rPr>
                <w:webHidden/>
              </w:rPr>
              <w:t>138</w:t>
            </w:r>
            <w:r w:rsidRPr="00A07F29">
              <w:rPr>
                <w:webHidden/>
              </w:rPr>
              <w:fldChar w:fldCharType="end"/>
            </w:r>
          </w:hyperlink>
        </w:p>
        <w:p w14:paraId="1DA391D3" w14:textId="7390E2DD" w:rsidR="004D5E03" w:rsidRPr="00A07F29" w:rsidRDefault="004D5E03">
          <w:pPr>
            <w:pStyle w:val="TOC2"/>
            <w:rPr>
              <w:rFonts w:asciiTheme="minorHAnsi" w:eastAsiaTheme="minorEastAsia" w:hAnsiTheme="minorHAnsi" w:cstheme="minorBidi"/>
              <w:caps w:val="0"/>
              <w:kern w:val="2"/>
              <w:sz w:val="22"/>
              <w:szCs w:val="22"/>
              <w:lang w:eastAsia="en-GB"/>
              <w14:ligatures w14:val="standardContextual"/>
            </w:rPr>
          </w:pPr>
          <w:hyperlink w:anchor="_Toc183434013" w:history="1">
            <w:r w:rsidRPr="00A07F29">
              <w:rPr>
                <w:rStyle w:val="Hyperlink"/>
              </w:rPr>
              <w:t>4.7. Aizsargājamās bezmugurkaulnieku sugas</w:t>
            </w:r>
            <w:r w:rsidRPr="00A07F29">
              <w:rPr>
                <w:webHidden/>
              </w:rPr>
              <w:tab/>
            </w:r>
            <w:r w:rsidRPr="00A07F29">
              <w:rPr>
                <w:webHidden/>
              </w:rPr>
              <w:fldChar w:fldCharType="begin"/>
            </w:r>
            <w:r w:rsidRPr="00A07F29">
              <w:rPr>
                <w:webHidden/>
              </w:rPr>
              <w:instrText xml:space="preserve"> PAGEREF _Toc183434013 \h </w:instrText>
            </w:r>
            <w:r w:rsidRPr="00A07F29">
              <w:rPr>
                <w:webHidden/>
              </w:rPr>
            </w:r>
            <w:r w:rsidRPr="00A07F29">
              <w:rPr>
                <w:webHidden/>
              </w:rPr>
              <w:fldChar w:fldCharType="separate"/>
            </w:r>
            <w:r w:rsidR="00DF40ED" w:rsidRPr="00A07F29">
              <w:rPr>
                <w:webHidden/>
              </w:rPr>
              <w:t>142</w:t>
            </w:r>
            <w:r w:rsidRPr="00A07F29">
              <w:rPr>
                <w:webHidden/>
              </w:rPr>
              <w:fldChar w:fldCharType="end"/>
            </w:r>
          </w:hyperlink>
        </w:p>
        <w:p w14:paraId="271E1E27" w14:textId="21A88AEC" w:rsidR="004D5E03" w:rsidRPr="00A07F29" w:rsidRDefault="004D5E03">
          <w:pPr>
            <w:pStyle w:val="TOC3"/>
            <w:rPr>
              <w:rFonts w:asciiTheme="minorHAnsi" w:eastAsiaTheme="minorEastAsia" w:hAnsiTheme="minorHAnsi" w:cstheme="minorBidi"/>
              <w:kern w:val="2"/>
              <w:sz w:val="22"/>
              <w:lang w:eastAsia="en-GB"/>
              <w14:ligatures w14:val="standardContextual"/>
            </w:rPr>
          </w:pPr>
          <w:hyperlink w:anchor="_Toc183434014" w:history="1">
            <w:r w:rsidRPr="00A07F29">
              <w:rPr>
                <w:rStyle w:val="Hyperlink"/>
                <w:lang w:eastAsia="ja-JP"/>
              </w:rPr>
              <w:t>4.7.1. Kukaiņi</w:t>
            </w:r>
            <w:r w:rsidRPr="00A07F29">
              <w:rPr>
                <w:webHidden/>
              </w:rPr>
              <w:tab/>
            </w:r>
            <w:r w:rsidRPr="00A07F29">
              <w:rPr>
                <w:webHidden/>
              </w:rPr>
              <w:fldChar w:fldCharType="begin"/>
            </w:r>
            <w:r w:rsidRPr="00A07F29">
              <w:rPr>
                <w:webHidden/>
              </w:rPr>
              <w:instrText xml:space="preserve"> PAGEREF _Toc183434014 \h </w:instrText>
            </w:r>
            <w:r w:rsidRPr="00A07F29">
              <w:rPr>
                <w:webHidden/>
              </w:rPr>
            </w:r>
            <w:r w:rsidRPr="00A07F29">
              <w:rPr>
                <w:webHidden/>
              </w:rPr>
              <w:fldChar w:fldCharType="separate"/>
            </w:r>
            <w:r w:rsidR="00DF40ED" w:rsidRPr="00A07F29">
              <w:rPr>
                <w:webHidden/>
              </w:rPr>
              <w:t>142</w:t>
            </w:r>
            <w:r w:rsidRPr="00A07F29">
              <w:rPr>
                <w:webHidden/>
              </w:rPr>
              <w:fldChar w:fldCharType="end"/>
            </w:r>
          </w:hyperlink>
        </w:p>
        <w:p w14:paraId="4977881F" w14:textId="725DECB9" w:rsidR="004D5E03" w:rsidRPr="00A07F29" w:rsidRDefault="004D5E03">
          <w:pPr>
            <w:pStyle w:val="TOC3"/>
            <w:rPr>
              <w:rFonts w:asciiTheme="minorHAnsi" w:eastAsiaTheme="minorEastAsia" w:hAnsiTheme="minorHAnsi" w:cstheme="minorBidi"/>
              <w:kern w:val="2"/>
              <w:sz w:val="22"/>
              <w:lang w:eastAsia="en-GB"/>
              <w14:ligatures w14:val="standardContextual"/>
            </w:rPr>
          </w:pPr>
          <w:hyperlink w:anchor="_Toc183434015" w:history="1">
            <w:r w:rsidRPr="00A07F29">
              <w:rPr>
                <w:rStyle w:val="Hyperlink"/>
                <w:lang w:eastAsia="ja-JP"/>
              </w:rPr>
              <w:t>4.7.2. Gliemji</w:t>
            </w:r>
            <w:r w:rsidRPr="00A07F29">
              <w:rPr>
                <w:webHidden/>
              </w:rPr>
              <w:tab/>
            </w:r>
            <w:r w:rsidRPr="00A07F29">
              <w:rPr>
                <w:webHidden/>
              </w:rPr>
              <w:fldChar w:fldCharType="begin"/>
            </w:r>
            <w:r w:rsidRPr="00A07F29">
              <w:rPr>
                <w:webHidden/>
              </w:rPr>
              <w:instrText xml:space="preserve"> PAGEREF _Toc183434015 \h </w:instrText>
            </w:r>
            <w:r w:rsidRPr="00A07F29">
              <w:rPr>
                <w:webHidden/>
              </w:rPr>
            </w:r>
            <w:r w:rsidRPr="00A07F29">
              <w:rPr>
                <w:webHidden/>
              </w:rPr>
              <w:fldChar w:fldCharType="separate"/>
            </w:r>
            <w:r w:rsidR="00DF40ED" w:rsidRPr="00A07F29">
              <w:rPr>
                <w:webHidden/>
              </w:rPr>
              <w:t>164</w:t>
            </w:r>
            <w:r w:rsidRPr="00A07F29">
              <w:rPr>
                <w:webHidden/>
              </w:rPr>
              <w:fldChar w:fldCharType="end"/>
            </w:r>
          </w:hyperlink>
        </w:p>
        <w:p w14:paraId="09ADF1D2" w14:textId="382A936B" w:rsidR="004D5E03" w:rsidRPr="00A07F29" w:rsidRDefault="004D5E03">
          <w:pPr>
            <w:pStyle w:val="TOC2"/>
            <w:rPr>
              <w:rFonts w:asciiTheme="minorHAnsi" w:eastAsiaTheme="minorEastAsia" w:hAnsiTheme="minorHAnsi" w:cstheme="minorBidi"/>
              <w:caps w:val="0"/>
              <w:kern w:val="2"/>
              <w:sz w:val="22"/>
              <w:szCs w:val="22"/>
              <w:lang w:eastAsia="en-GB"/>
              <w14:ligatures w14:val="standardContextual"/>
            </w:rPr>
          </w:pPr>
          <w:hyperlink w:anchor="_Toc183434016" w:history="1">
            <w:r w:rsidRPr="00A07F29">
              <w:rPr>
                <w:rStyle w:val="Hyperlink"/>
              </w:rPr>
              <w:t>4.8. Abinieku un rāpuļu sugas</w:t>
            </w:r>
            <w:r w:rsidRPr="00A07F29">
              <w:rPr>
                <w:webHidden/>
              </w:rPr>
              <w:tab/>
            </w:r>
            <w:r w:rsidRPr="00A07F29">
              <w:rPr>
                <w:webHidden/>
              </w:rPr>
              <w:fldChar w:fldCharType="begin"/>
            </w:r>
            <w:r w:rsidRPr="00A07F29">
              <w:rPr>
                <w:webHidden/>
              </w:rPr>
              <w:instrText xml:space="preserve"> PAGEREF _Toc183434016 \h </w:instrText>
            </w:r>
            <w:r w:rsidRPr="00A07F29">
              <w:rPr>
                <w:webHidden/>
              </w:rPr>
            </w:r>
            <w:r w:rsidRPr="00A07F29">
              <w:rPr>
                <w:webHidden/>
              </w:rPr>
              <w:fldChar w:fldCharType="separate"/>
            </w:r>
            <w:r w:rsidR="00DF40ED" w:rsidRPr="00A07F29">
              <w:rPr>
                <w:webHidden/>
              </w:rPr>
              <w:t>171</w:t>
            </w:r>
            <w:r w:rsidRPr="00A07F29">
              <w:rPr>
                <w:webHidden/>
              </w:rPr>
              <w:fldChar w:fldCharType="end"/>
            </w:r>
          </w:hyperlink>
        </w:p>
        <w:p w14:paraId="7122AF9F" w14:textId="6FA2E544" w:rsidR="004D5E03" w:rsidRPr="00A07F29" w:rsidRDefault="004D5E03">
          <w:pPr>
            <w:pStyle w:val="TOC2"/>
            <w:rPr>
              <w:rFonts w:asciiTheme="minorHAnsi" w:eastAsiaTheme="minorEastAsia" w:hAnsiTheme="minorHAnsi" w:cstheme="minorBidi"/>
              <w:caps w:val="0"/>
              <w:kern w:val="2"/>
              <w:sz w:val="22"/>
              <w:szCs w:val="22"/>
              <w:lang w:eastAsia="en-GB"/>
              <w14:ligatures w14:val="standardContextual"/>
            </w:rPr>
          </w:pPr>
          <w:hyperlink w:anchor="_Toc183434017" w:history="1">
            <w:r w:rsidRPr="00A07F29">
              <w:rPr>
                <w:rStyle w:val="Hyperlink"/>
              </w:rPr>
              <w:t>4.9. Zivju sugas</w:t>
            </w:r>
            <w:r w:rsidRPr="00A07F29">
              <w:rPr>
                <w:webHidden/>
              </w:rPr>
              <w:tab/>
            </w:r>
            <w:r w:rsidRPr="00A07F29">
              <w:rPr>
                <w:webHidden/>
              </w:rPr>
              <w:fldChar w:fldCharType="begin"/>
            </w:r>
            <w:r w:rsidRPr="00A07F29">
              <w:rPr>
                <w:webHidden/>
              </w:rPr>
              <w:instrText xml:space="preserve"> PAGEREF _Toc183434017 \h </w:instrText>
            </w:r>
            <w:r w:rsidRPr="00A07F29">
              <w:rPr>
                <w:webHidden/>
              </w:rPr>
            </w:r>
            <w:r w:rsidRPr="00A07F29">
              <w:rPr>
                <w:webHidden/>
              </w:rPr>
              <w:fldChar w:fldCharType="separate"/>
            </w:r>
            <w:r w:rsidR="00DF40ED" w:rsidRPr="00A07F29">
              <w:rPr>
                <w:webHidden/>
              </w:rPr>
              <w:t>177</w:t>
            </w:r>
            <w:r w:rsidRPr="00A07F29">
              <w:rPr>
                <w:webHidden/>
              </w:rPr>
              <w:fldChar w:fldCharType="end"/>
            </w:r>
          </w:hyperlink>
        </w:p>
        <w:p w14:paraId="5AB858A7" w14:textId="2676CCB1" w:rsidR="004D5E03" w:rsidRPr="00A07F29" w:rsidRDefault="004D5E03">
          <w:pPr>
            <w:pStyle w:val="TOC2"/>
            <w:rPr>
              <w:rFonts w:asciiTheme="minorHAnsi" w:eastAsiaTheme="minorEastAsia" w:hAnsiTheme="minorHAnsi" w:cstheme="minorBidi"/>
              <w:caps w:val="0"/>
              <w:kern w:val="2"/>
              <w:sz w:val="22"/>
              <w:szCs w:val="22"/>
              <w:lang w:eastAsia="en-GB"/>
              <w14:ligatures w14:val="standardContextual"/>
            </w:rPr>
          </w:pPr>
          <w:hyperlink w:anchor="_Toc183434018" w:history="1">
            <w:r w:rsidRPr="00A07F29">
              <w:rPr>
                <w:rStyle w:val="Hyperlink"/>
              </w:rPr>
              <w:t>4.10. Putnu sugas</w:t>
            </w:r>
            <w:r w:rsidRPr="00A07F29">
              <w:rPr>
                <w:webHidden/>
              </w:rPr>
              <w:tab/>
            </w:r>
            <w:r w:rsidRPr="00A07F29">
              <w:rPr>
                <w:webHidden/>
              </w:rPr>
              <w:fldChar w:fldCharType="begin"/>
            </w:r>
            <w:r w:rsidRPr="00A07F29">
              <w:rPr>
                <w:webHidden/>
              </w:rPr>
              <w:instrText xml:space="preserve"> PAGEREF _Toc183434018 \h </w:instrText>
            </w:r>
            <w:r w:rsidRPr="00A07F29">
              <w:rPr>
                <w:webHidden/>
              </w:rPr>
            </w:r>
            <w:r w:rsidRPr="00A07F29">
              <w:rPr>
                <w:webHidden/>
              </w:rPr>
              <w:fldChar w:fldCharType="separate"/>
            </w:r>
            <w:r w:rsidR="00DF40ED" w:rsidRPr="00A07F29">
              <w:rPr>
                <w:webHidden/>
              </w:rPr>
              <w:t>181</w:t>
            </w:r>
            <w:r w:rsidRPr="00A07F29">
              <w:rPr>
                <w:webHidden/>
              </w:rPr>
              <w:fldChar w:fldCharType="end"/>
            </w:r>
          </w:hyperlink>
        </w:p>
        <w:p w14:paraId="6D2DDC1A" w14:textId="68DC0CC7" w:rsidR="004D5E03" w:rsidRPr="00A07F29" w:rsidRDefault="004D5E03">
          <w:pPr>
            <w:pStyle w:val="TOC3"/>
            <w:rPr>
              <w:rFonts w:asciiTheme="minorHAnsi" w:eastAsiaTheme="minorEastAsia" w:hAnsiTheme="minorHAnsi" w:cstheme="minorBidi"/>
              <w:kern w:val="2"/>
              <w:sz w:val="22"/>
              <w:lang w:eastAsia="en-GB"/>
              <w14:ligatures w14:val="standardContextual"/>
            </w:rPr>
          </w:pPr>
          <w:hyperlink w:anchor="_Toc183434019" w:history="1">
            <w:r w:rsidRPr="00A07F29">
              <w:rPr>
                <w:rStyle w:val="Hyperlink"/>
                <w:lang w:eastAsia="ja-JP"/>
              </w:rPr>
              <w:t>4.10.1. Ornitoloģisko pētījumu vēsture AAA “Augšdaugava”</w:t>
            </w:r>
            <w:r w:rsidRPr="00A07F29">
              <w:rPr>
                <w:webHidden/>
              </w:rPr>
              <w:tab/>
            </w:r>
            <w:r w:rsidRPr="00A07F29">
              <w:rPr>
                <w:webHidden/>
              </w:rPr>
              <w:fldChar w:fldCharType="begin"/>
            </w:r>
            <w:r w:rsidRPr="00A07F29">
              <w:rPr>
                <w:webHidden/>
              </w:rPr>
              <w:instrText xml:space="preserve"> PAGEREF _Toc183434019 \h </w:instrText>
            </w:r>
            <w:r w:rsidRPr="00A07F29">
              <w:rPr>
                <w:webHidden/>
              </w:rPr>
            </w:r>
            <w:r w:rsidRPr="00A07F29">
              <w:rPr>
                <w:webHidden/>
              </w:rPr>
              <w:fldChar w:fldCharType="separate"/>
            </w:r>
            <w:r w:rsidR="00DF40ED" w:rsidRPr="00A07F29">
              <w:rPr>
                <w:webHidden/>
              </w:rPr>
              <w:t>181</w:t>
            </w:r>
            <w:r w:rsidRPr="00A07F29">
              <w:rPr>
                <w:webHidden/>
              </w:rPr>
              <w:fldChar w:fldCharType="end"/>
            </w:r>
          </w:hyperlink>
        </w:p>
        <w:p w14:paraId="1361BEB2" w14:textId="11E8F668" w:rsidR="004D5E03" w:rsidRPr="00A07F29" w:rsidRDefault="004D5E03">
          <w:pPr>
            <w:pStyle w:val="TOC3"/>
            <w:rPr>
              <w:rFonts w:asciiTheme="minorHAnsi" w:eastAsiaTheme="minorEastAsia" w:hAnsiTheme="minorHAnsi" w:cstheme="minorBidi"/>
              <w:kern w:val="2"/>
              <w:sz w:val="22"/>
              <w:lang w:eastAsia="en-GB"/>
              <w14:ligatures w14:val="standardContextual"/>
            </w:rPr>
          </w:pPr>
          <w:hyperlink w:anchor="_Toc183434020" w:history="1">
            <w:r w:rsidRPr="00A07F29">
              <w:rPr>
                <w:rStyle w:val="Hyperlink"/>
                <w:lang w:eastAsia="ja-JP"/>
              </w:rPr>
              <w:t>4.10.2. AAA “Augšdaugava” konstatētās Latvijā un ES īpaši aizsargājamās putnu sugas/dabas aizsardzības vērtība</w:t>
            </w:r>
            <w:r w:rsidRPr="00A07F29">
              <w:rPr>
                <w:webHidden/>
              </w:rPr>
              <w:tab/>
            </w:r>
            <w:r w:rsidRPr="00A07F29">
              <w:rPr>
                <w:webHidden/>
              </w:rPr>
              <w:fldChar w:fldCharType="begin"/>
            </w:r>
            <w:r w:rsidRPr="00A07F29">
              <w:rPr>
                <w:webHidden/>
              </w:rPr>
              <w:instrText xml:space="preserve"> PAGEREF _Toc183434020 \h </w:instrText>
            </w:r>
            <w:r w:rsidRPr="00A07F29">
              <w:rPr>
                <w:webHidden/>
              </w:rPr>
            </w:r>
            <w:r w:rsidRPr="00A07F29">
              <w:rPr>
                <w:webHidden/>
              </w:rPr>
              <w:fldChar w:fldCharType="separate"/>
            </w:r>
            <w:r w:rsidR="00DF40ED" w:rsidRPr="00A07F29">
              <w:rPr>
                <w:webHidden/>
              </w:rPr>
              <w:t>183</w:t>
            </w:r>
            <w:r w:rsidRPr="00A07F29">
              <w:rPr>
                <w:webHidden/>
              </w:rPr>
              <w:fldChar w:fldCharType="end"/>
            </w:r>
          </w:hyperlink>
        </w:p>
        <w:p w14:paraId="27DD5FD9" w14:textId="416961BD" w:rsidR="004D5E03" w:rsidRPr="00A07F29" w:rsidRDefault="004D5E03">
          <w:pPr>
            <w:pStyle w:val="TOC3"/>
            <w:rPr>
              <w:rFonts w:asciiTheme="minorHAnsi" w:eastAsiaTheme="minorEastAsia" w:hAnsiTheme="minorHAnsi" w:cstheme="minorBidi"/>
              <w:kern w:val="2"/>
              <w:sz w:val="22"/>
              <w:lang w:eastAsia="en-GB"/>
              <w14:ligatures w14:val="standardContextual"/>
            </w:rPr>
          </w:pPr>
          <w:hyperlink w:anchor="_Toc183434021" w:history="1">
            <w:r w:rsidRPr="00A07F29">
              <w:rPr>
                <w:rStyle w:val="Hyperlink"/>
                <w:lang w:eastAsia="ja-JP"/>
              </w:rPr>
              <w:t>4.10.3. Putnu sugas ietekmējošie faktori</w:t>
            </w:r>
            <w:r w:rsidRPr="00A07F29">
              <w:rPr>
                <w:webHidden/>
              </w:rPr>
              <w:tab/>
            </w:r>
            <w:r w:rsidRPr="00A07F29">
              <w:rPr>
                <w:webHidden/>
              </w:rPr>
              <w:fldChar w:fldCharType="begin"/>
            </w:r>
            <w:r w:rsidRPr="00A07F29">
              <w:rPr>
                <w:webHidden/>
              </w:rPr>
              <w:instrText xml:space="preserve"> PAGEREF _Toc183434021 \h </w:instrText>
            </w:r>
            <w:r w:rsidRPr="00A07F29">
              <w:rPr>
                <w:webHidden/>
              </w:rPr>
            </w:r>
            <w:r w:rsidRPr="00A07F29">
              <w:rPr>
                <w:webHidden/>
              </w:rPr>
              <w:fldChar w:fldCharType="separate"/>
            </w:r>
            <w:r w:rsidR="00DF40ED" w:rsidRPr="00A07F29">
              <w:rPr>
                <w:webHidden/>
              </w:rPr>
              <w:t>206</w:t>
            </w:r>
            <w:r w:rsidRPr="00A07F29">
              <w:rPr>
                <w:webHidden/>
              </w:rPr>
              <w:fldChar w:fldCharType="end"/>
            </w:r>
          </w:hyperlink>
        </w:p>
        <w:p w14:paraId="72B2CF9C" w14:textId="1EC5F05A" w:rsidR="004D5E03" w:rsidRPr="00A07F29" w:rsidRDefault="004D5E03">
          <w:pPr>
            <w:pStyle w:val="TOC2"/>
            <w:rPr>
              <w:rFonts w:asciiTheme="minorHAnsi" w:eastAsiaTheme="minorEastAsia" w:hAnsiTheme="minorHAnsi" w:cstheme="minorBidi"/>
              <w:caps w:val="0"/>
              <w:kern w:val="2"/>
              <w:sz w:val="22"/>
              <w:szCs w:val="22"/>
              <w:lang w:eastAsia="en-GB"/>
              <w14:ligatures w14:val="standardContextual"/>
            </w:rPr>
          </w:pPr>
          <w:hyperlink w:anchor="_Toc183434022" w:history="1">
            <w:r w:rsidRPr="00A07F29">
              <w:rPr>
                <w:rStyle w:val="Hyperlink"/>
              </w:rPr>
              <w:t>4.11. Zīdītāju sugas</w:t>
            </w:r>
            <w:r w:rsidRPr="00A07F29">
              <w:rPr>
                <w:webHidden/>
              </w:rPr>
              <w:tab/>
            </w:r>
            <w:r w:rsidRPr="00A07F29">
              <w:rPr>
                <w:webHidden/>
              </w:rPr>
              <w:fldChar w:fldCharType="begin"/>
            </w:r>
            <w:r w:rsidRPr="00A07F29">
              <w:rPr>
                <w:webHidden/>
              </w:rPr>
              <w:instrText xml:space="preserve"> PAGEREF _Toc183434022 \h </w:instrText>
            </w:r>
            <w:r w:rsidRPr="00A07F29">
              <w:rPr>
                <w:webHidden/>
              </w:rPr>
            </w:r>
            <w:r w:rsidRPr="00A07F29">
              <w:rPr>
                <w:webHidden/>
              </w:rPr>
              <w:fldChar w:fldCharType="separate"/>
            </w:r>
            <w:r w:rsidR="00DF40ED" w:rsidRPr="00A07F29">
              <w:rPr>
                <w:webHidden/>
              </w:rPr>
              <w:t>208</w:t>
            </w:r>
            <w:r w:rsidRPr="00A07F29">
              <w:rPr>
                <w:webHidden/>
              </w:rPr>
              <w:fldChar w:fldCharType="end"/>
            </w:r>
          </w:hyperlink>
        </w:p>
        <w:p w14:paraId="50D39453" w14:textId="364CD2C0" w:rsidR="004D5E03" w:rsidRPr="00A07F29" w:rsidRDefault="004D5E03">
          <w:pPr>
            <w:pStyle w:val="TOC3"/>
            <w:rPr>
              <w:rFonts w:asciiTheme="minorHAnsi" w:eastAsiaTheme="minorEastAsia" w:hAnsiTheme="minorHAnsi" w:cstheme="minorBidi"/>
              <w:kern w:val="2"/>
              <w:sz w:val="22"/>
              <w:lang w:eastAsia="en-GB"/>
              <w14:ligatures w14:val="standardContextual"/>
            </w:rPr>
          </w:pPr>
          <w:hyperlink w:anchor="_Toc183434023" w:history="1">
            <w:r w:rsidRPr="00A07F29">
              <w:rPr>
                <w:rStyle w:val="Hyperlink"/>
                <w:lang w:eastAsia="ja-JP"/>
              </w:rPr>
              <w:t>4.11.1. Sikspārņi</w:t>
            </w:r>
            <w:r w:rsidRPr="00A07F29">
              <w:rPr>
                <w:webHidden/>
              </w:rPr>
              <w:tab/>
            </w:r>
            <w:r w:rsidRPr="00A07F29">
              <w:rPr>
                <w:webHidden/>
              </w:rPr>
              <w:fldChar w:fldCharType="begin"/>
            </w:r>
            <w:r w:rsidRPr="00A07F29">
              <w:rPr>
                <w:webHidden/>
              </w:rPr>
              <w:instrText xml:space="preserve"> PAGEREF _Toc183434023 \h </w:instrText>
            </w:r>
            <w:r w:rsidRPr="00A07F29">
              <w:rPr>
                <w:webHidden/>
              </w:rPr>
            </w:r>
            <w:r w:rsidRPr="00A07F29">
              <w:rPr>
                <w:webHidden/>
              </w:rPr>
              <w:fldChar w:fldCharType="separate"/>
            </w:r>
            <w:r w:rsidR="00DF40ED" w:rsidRPr="00A07F29">
              <w:rPr>
                <w:webHidden/>
              </w:rPr>
              <w:t>208</w:t>
            </w:r>
            <w:r w:rsidRPr="00A07F29">
              <w:rPr>
                <w:webHidden/>
              </w:rPr>
              <w:fldChar w:fldCharType="end"/>
            </w:r>
          </w:hyperlink>
        </w:p>
        <w:p w14:paraId="5FEE0958" w14:textId="2C03B0E0" w:rsidR="004D5E03" w:rsidRPr="00A07F29" w:rsidRDefault="004D5E03">
          <w:pPr>
            <w:pStyle w:val="TOC3"/>
            <w:rPr>
              <w:rFonts w:asciiTheme="minorHAnsi" w:eastAsiaTheme="minorEastAsia" w:hAnsiTheme="minorHAnsi" w:cstheme="minorBidi"/>
              <w:kern w:val="2"/>
              <w:sz w:val="22"/>
              <w:lang w:eastAsia="en-GB"/>
              <w14:ligatures w14:val="standardContextual"/>
            </w:rPr>
          </w:pPr>
          <w:hyperlink w:anchor="_Toc183434024" w:history="1">
            <w:r w:rsidRPr="00A07F29">
              <w:rPr>
                <w:rStyle w:val="Hyperlink"/>
                <w:lang w:eastAsia="ja-JP"/>
              </w:rPr>
              <w:t>4.11.2. Citas zīdītāju sugas</w:t>
            </w:r>
            <w:r w:rsidRPr="00A07F29">
              <w:rPr>
                <w:webHidden/>
              </w:rPr>
              <w:tab/>
            </w:r>
            <w:r w:rsidRPr="00A07F29">
              <w:rPr>
                <w:webHidden/>
              </w:rPr>
              <w:fldChar w:fldCharType="begin"/>
            </w:r>
            <w:r w:rsidRPr="00A07F29">
              <w:rPr>
                <w:webHidden/>
              </w:rPr>
              <w:instrText xml:space="preserve"> PAGEREF _Toc183434024 \h </w:instrText>
            </w:r>
            <w:r w:rsidRPr="00A07F29">
              <w:rPr>
                <w:webHidden/>
              </w:rPr>
            </w:r>
            <w:r w:rsidRPr="00A07F29">
              <w:rPr>
                <w:webHidden/>
              </w:rPr>
              <w:fldChar w:fldCharType="separate"/>
            </w:r>
            <w:r w:rsidR="00DF40ED" w:rsidRPr="00A07F29">
              <w:rPr>
                <w:webHidden/>
              </w:rPr>
              <w:t>224</w:t>
            </w:r>
            <w:r w:rsidRPr="00A07F29">
              <w:rPr>
                <w:webHidden/>
              </w:rPr>
              <w:fldChar w:fldCharType="end"/>
            </w:r>
          </w:hyperlink>
        </w:p>
        <w:p w14:paraId="49E962F7" w14:textId="76E85BCE" w:rsidR="004D5E03" w:rsidRPr="00A07F29" w:rsidRDefault="004D5E03">
          <w:pPr>
            <w:pStyle w:val="TOC2"/>
            <w:rPr>
              <w:rFonts w:asciiTheme="minorHAnsi" w:eastAsiaTheme="minorEastAsia" w:hAnsiTheme="minorHAnsi" w:cstheme="minorBidi"/>
              <w:caps w:val="0"/>
              <w:kern w:val="2"/>
              <w:sz w:val="22"/>
              <w:szCs w:val="22"/>
              <w:lang w:eastAsia="en-GB"/>
              <w14:ligatures w14:val="standardContextual"/>
            </w:rPr>
          </w:pPr>
          <w:hyperlink w:anchor="_Toc183434025" w:history="1">
            <w:r w:rsidRPr="00A07F29">
              <w:rPr>
                <w:rStyle w:val="Hyperlink"/>
              </w:rPr>
              <w:t>4.12. Citas vērtības AAA “Augšdaugava” teritorijā un tās ietekmējošie faktori</w:t>
            </w:r>
            <w:r w:rsidRPr="00A07F29">
              <w:rPr>
                <w:webHidden/>
              </w:rPr>
              <w:tab/>
            </w:r>
            <w:r w:rsidRPr="00A07F29">
              <w:rPr>
                <w:webHidden/>
              </w:rPr>
              <w:fldChar w:fldCharType="begin"/>
            </w:r>
            <w:r w:rsidRPr="00A07F29">
              <w:rPr>
                <w:webHidden/>
              </w:rPr>
              <w:instrText xml:space="preserve"> PAGEREF _Toc183434025 \h </w:instrText>
            </w:r>
            <w:r w:rsidRPr="00A07F29">
              <w:rPr>
                <w:webHidden/>
              </w:rPr>
            </w:r>
            <w:r w:rsidRPr="00A07F29">
              <w:rPr>
                <w:webHidden/>
              </w:rPr>
              <w:fldChar w:fldCharType="separate"/>
            </w:r>
            <w:r w:rsidR="00DF40ED" w:rsidRPr="00A07F29">
              <w:rPr>
                <w:webHidden/>
              </w:rPr>
              <w:t>225</w:t>
            </w:r>
            <w:r w:rsidRPr="00A07F29">
              <w:rPr>
                <w:webHidden/>
              </w:rPr>
              <w:fldChar w:fldCharType="end"/>
            </w:r>
          </w:hyperlink>
        </w:p>
        <w:p w14:paraId="19866A16" w14:textId="478EE036" w:rsidR="004D5E03" w:rsidRPr="00A07F29" w:rsidRDefault="004D5E03">
          <w:pPr>
            <w:pStyle w:val="TOC3"/>
            <w:rPr>
              <w:rFonts w:asciiTheme="minorHAnsi" w:eastAsiaTheme="minorEastAsia" w:hAnsiTheme="minorHAnsi" w:cstheme="minorBidi"/>
              <w:kern w:val="2"/>
              <w:sz w:val="22"/>
              <w:lang w:eastAsia="en-GB"/>
              <w14:ligatures w14:val="standardContextual"/>
            </w:rPr>
          </w:pPr>
          <w:hyperlink w:anchor="_Toc183434026" w:history="1">
            <w:r w:rsidRPr="00A07F29">
              <w:rPr>
                <w:rStyle w:val="Hyperlink"/>
                <w:lang w:eastAsia="ja-JP"/>
              </w:rPr>
              <w:t>4.12.1. Ģeoloģiskie un ģeomorfoloģiskie dabas pieminekļi</w:t>
            </w:r>
            <w:r w:rsidRPr="00A07F29">
              <w:rPr>
                <w:webHidden/>
              </w:rPr>
              <w:tab/>
            </w:r>
            <w:r w:rsidRPr="00A07F29">
              <w:rPr>
                <w:webHidden/>
              </w:rPr>
              <w:fldChar w:fldCharType="begin"/>
            </w:r>
            <w:r w:rsidRPr="00A07F29">
              <w:rPr>
                <w:webHidden/>
              </w:rPr>
              <w:instrText xml:space="preserve"> PAGEREF _Toc183434026 \h </w:instrText>
            </w:r>
            <w:r w:rsidRPr="00A07F29">
              <w:rPr>
                <w:webHidden/>
              </w:rPr>
            </w:r>
            <w:r w:rsidRPr="00A07F29">
              <w:rPr>
                <w:webHidden/>
              </w:rPr>
              <w:fldChar w:fldCharType="separate"/>
            </w:r>
            <w:r w:rsidR="00DF40ED" w:rsidRPr="00A07F29">
              <w:rPr>
                <w:webHidden/>
              </w:rPr>
              <w:t>225</w:t>
            </w:r>
            <w:r w:rsidRPr="00A07F29">
              <w:rPr>
                <w:webHidden/>
              </w:rPr>
              <w:fldChar w:fldCharType="end"/>
            </w:r>
          </w:hyperlink>
        </w:p>
        <w:p w14:paraId="54A084FD" w14:textId="56DFF4C1" w:rsidR="004D5E03" w:rsidRPr="00A07F29" w:rsidRDefault="004D5E03">
          <w:pPr>
            <w:pStyle w:val="TOC3"/>
            <w:rPr>
              <w:rFonts w:asciiTheme="minorHAnsi" w:eastAsiaTheme="minorEastAsia" w:hAnsiTheme="minorHAnsi" w:cstheme="minorBidi"/>
              <w:kern w:val="2"/>
              <w:sz w:val="22"/>
              <w:lang w:eastAsia="en-GB"/>
              <w14:ligatures w14:val="standardContextual"/>
            </w:rPr>
          </w:pPr>
          <w:hyperlink w:anchor="_Toc183434027" w:history="1">
            <w:r w:rsidRPr="00A07F29">
              <w:rPr>
                <w:rStyle w:val="Hyperlink"/>
                <w:lang w:eastAsia="ja-JP"/>
              </w:rPr>
              <w:t>4.12.2. Aizsargājamie dendroloģiskie stādījumi, alejas, dižkoki AAA “Augšdaugava” teritorijā</w:t>
            </w:r>
            <w:r w:rsidRPr="00A07F29">
              <w:rPr>
                <w:webHidden/>
              </w:rPr>
              <w:tab/>
            </w:r>
            <w:r w:rsidRPr="00A07F29">
              <w:rPr>
                <w:webHidden/>
              </w:rPr>
              <w:fldChar w:fldCharType="begin"/>
            </w:r>
            <w:r w:rsidRPr="00A07F29">
              <w:rPr>
                <w:webHidden/>
              </w:rPr>
              <w:instrText xml:space="preserve"> PAGEREF _Toc183434027 \h </w:instrText>
            </w:r>
            <w:r w:rsidRPr="00A07F29">
              <w:rPr>
                <w:webHidden/>
              </w:rPr>
            </w:r>
            <w:r w:rsidRPr="00A07F29">
              <w:rPr>
                <w:webHidden/>
              </w:rPr>
              <w:fldChar w:fldCharType="separate"/>
            </w:r>
            <w:r w:rsidR="00DF40ED" w:rsidRPr="00A07F29">
              <w:rPr>
                <w:webHidden/>
              </w:rPr>
              <w:t>226</w:t>
            </w:r>
            <w:r w:rsidRPr="00A07F29">
              <w:rPr>
                <w:webHidden/>
              </w:rPr>
              <w:fldChar w:fldCharType="end"/>
            </w:r>
          </w:hyperlink>
        </w:p>
        <w:p w14:paraId="2D1AC430" w14:textId="47205598" w:rsidR="004D5E03" w:rsidRPr="00A07F29" w:rsidRDefault="004D5E03">
          <w:pPr>
            <w:pStyle w:val="TOC2"/>
            <w:rPr>
              <w:rFonts w:asciiTheme="minorHAnsi" w:eastAsiaTheme="minorEastAsia" w:hAnsiTheme="minorHAnsi" w:cstheme="minorBidi"/>
              <w:caps w:val="0"/>
              <w:kern w:val="2"/>
              <w:sz w:val="22"/>
              <w:szCs w:val="22"/>
              <w:lang w:eastAsia="en-GB"/>
              <w14:ligatures w14:val="standardContextual"/>
            </w:rPr>
          </w:pPr>
          <w:hyperlink w:anchor="_Toc183434028" w:history="1">
            <w:r w:rsidRPr="00A07F29">
              <w:rPr>
                <w:rStyle w:val="Hyperlink"/>
              </w:rPr>
              <w:t>4.13. Aizsargājamās teritorijas vērtību apkopojums un pretnostatījums</w:t>
            </w:r>
            <w:r w:rsidRPr="00A07F29">
              <w:rPr>
                <w:webHidden/>
              </w:rPr>
              <w:tab/>
            </w:r>
            <w:r w:rsidRPr="00A07F29">
              <w:rPr>
                <w:webHidden/>
              </w:rPr>
              <w:fldChar w:fldCharType="begin"/>
            </w:r>
            <w:r w:rsidRPr="00A07F29">
              <w:rPr>
                <w:webHidden/>
              </w:rPr>
              <w:instrText xml:space="preserve"> PAGEREF _Toc183434028 \h </w:instrText>
            </w:r>
            <w:r w:rsidRPr="00A07F29">
              <w:rPr>
                <w:webHidden/>
              </w:rPr>
            </w:r>
            <w:r w:rsidRPr="00A07F29">
              <w:rPr>
                <w:webHidden/>
              </w:rPr>
              <w:fldChar w:fldCharType="separate"/>
            </w:r>
            <w:r w:rsidR="00DF40ED" w:rsidRPr="00A07F29">
              <w:rPr>
                <w:webHidden/>
              </w:rPr>
              <w:t>227</w:t>
            </w:r>
            <w:r w:rsidRPr="00A07F29">
              <w:rPr>
                <w:webHidden/>
              </w:rPr>
              <w:fldChar w:fldCharType="end"/>
            </w:r>
          </w:hyperlink>
        </w:p>
        <w:p w14:paraId="76E53CF3" w14:textId="6499D925" w:rsidR="004D5E03" w:rsidRPr="00A07F29" w:rsidRDefault="004D5E03">
          <w:pPr>
            <w:pStyle w:val="TOC1"/>
            <w:rPr>
              <w:rFonts w:asciiTheme="minorHAnsi" w:eastAsiaTheme="minorEastAsia" w:hAnsiTheme="minorHAnsi" w:cstheme="minorBidi"/>
              <w:b w:val="0"/>
              <w:kern w:val="2"/>
              <w:sz w:val="22"/>
              <w:lang w:val="lv-LV" w:eastAsia="en-GB"/>
              <w14:ligatures w14:val="standardContextual"/>
            </w:rPr>
          </w:pPr>
          <w:hyperlink w:anchor="_Toc183434029" w:history="1">
            <w:r w:rsidRPr="00A07F29">
              <w:rPr>
                <w:rStyle w:val="Hyperlink"/>
                <w:rFonts w:eastAsia="Times New Roman"/>
                <w:lang w:val="lv-LV" w:eastAsia="ja-JP"/>
              </w:rPr>
              <w:t>5. INFORMĀCIJA PAR AIZSARGĀJAMĀS TERITORIJAS APSAIMNIEKOŠANU</w:t>
            </w:r>
            <w:r w:rsidRPr="00A07F29">
              <w:rPr>
                <w:webHidden/>
                <w:lang w:val="lv-LV"/>
              </w:rPr>
              <w:tab/>
            </w:r>
            <w:r w:rsidRPr="00A07F29">
              <w:rPr>
                <w:webHidden/>
                <w:lang w:val="lv-LV"/>
              </w:rPr>
              <w:fldChar w:fldCharType="begin"/>
            </w:r>
            <w:r w:rsidRPr="00A07F29">
              <w:rPr>
                <w:webHidden/>
                <w:lang w:val="lv-LV"/>
              </w:rPr>
              <w:instrText xml:space="preserve"> PAGEREF _Toc183434029 \h </w:instrText>
            </w:r>
            <w:r w:rsidRPr="00A07F29">
              <w:rPr>
                <w:webHidden/>
                <w:lang w:val="lv-LV"/>
              </w:rPr>
            </w:r>
            <w:r w:rsidRPr="00A07F29">
              <w:rPr>
                <w:webHidden/>
                <w:lang w:val="lv-LV"/>
              </w:rPr>
              <w:fldChar w:fldCharType="separate"/>
            </w:r>
            <w:r w:rsidR="00DF40ED" w:rsidRPr="00A07F29">
              <w:rPr>
                <w:webHidden/>
                <w:lang w:val="lv-LV"/>
              </w:rPr>
              <w:t>229</w:t>
            </w:r>
            <w:r w:rsidRPr="00A07F29">
              <w:rPr>
                <w:webHidden/>
                <w:lang w:val="lv-LV"/>
              </w:rPr>
              <w:fldChar w:fldCharType="end"/>
            </w:r>
          </w:hyperlink>
        </w:p>
        <w:p w14:paraId="53603C79" w14:textId="25180A14" w:rsidR="004D5E03" w:rsidRPr="00A07F29" w:rsidRDefault="004D5E03">
          <w:pPr>
            <w:pStyle w:val="TOC2"/>
            <w:rPr>
              <w:rFonts w:asciiTheme="minorHAnsi" w:eastAsiaTheme="minorEastAsia" w:hAnsiTheme="minorHAnsi" w:cstheme="minorBidi"/>
              <w:caps w:val="0"/>
              <w:kern w:val="2"/>
              <w:sz w:val="22"/>
              <w:szCs w:val="22"/>
              <w:lang w:eastAsia="en-GB"/>
              <w14:ligatures w14:val="standardContextual"/>
            </w:rPr>
          </w:pPr>
          <w:hyperlink w:anchor="_Toc183434030" w:history="1">
            <w:r w:rsidRPr="00A07F29">
              <w:rPr>
                <w:rStyle w:val="Hyperlink"/>
              </w:rPr>
              <w:t>5.1. Iepriekšējā DA plāna periodā veikto apsaimniekošanas pasākumu izvērtējums</w:t>
            </w:r>
            <w:r w:rsidRPr="00A07F29">
              <w:rPr>
                <w:webHidden/>
              </w:rPr>
              <w:tab/>
            </w:r>
            <w:r w:rsidRPr="00A07F29">
              <w:rPr>
                <w:webHidden/>
              </w:rPr>
              <w:fldChar w:fldCharType="begin"/>
            </w:r>
            <w:r w:rsidRPr="00A07F29">
              <w:rPr>
                <w:webHidden/>
              </w:rPr>
              <w:instrText xml:space="preserve"> PAGEREF _Toc183434030 \h </w:instrText>
            </w:r>
            <w:r w:rsidRPr="00A07F29">
              <w:rPr>
                <w:webHidden/>
              </w:rPr>
            </w:r>
            <w:r w:rsidRPr="00A07F29">
              <w:rPr>
                <w:webHidden/>
              </w:rPr>
              <w:fldChar w:fldCharType="separate"/>
            </w:r>
            <w:r w:rsidR="00DF40ED" w:rsidRPr="00A07F29">
              <w:rPr>
                <w:webHidden/>
              </w:rPr>
              <w:t>229</w:t>
            </w:r>
            <w:r w:rsidRPr="00A07F29">
              <w:rPr>
                <w:webHidden/>
              </w:rPr>
              <w:fldChar w:fldCharType="end"/>
            </w:r>
          </w:hyperlink>
        </w:p>
        <w:p w14:paraId="2DFCD416" w14:textId="1E9294C2" w:rsidR="004D5E03" w:rsidRPr="00A07F29" w:rsidRDefault="004D5E03">
          <w:pPr>
            <w:pStyle w:val="TOC2"/>
            <w:rPr>
              <w:rFonts w:asciiTheme="minorHAnsi" w:eastAsiaTheme="minorEastAsia" w:hAnsiTheme="minorHAnsi" w:cstheme="minorBidi"/>
              <w:caps w:val="0"/>
              <w:kern w:val="2"/>
              <w:sz w:val="22"/>
              <w:szCs w:val="22"/>
              <w:lang w:eastAsia="en-GB"/>
              <w14:ligatures w14:val="standardContextual"/>
            </w:rPr>
          </w:pPr>
          <w:hyperlink w:anchor="_Toc183434031" w:history="1">
            <w:r w:rsidRPr="00A07F29">
              <w:rPr>
                <w:rStyle w:val="Hyperlink"/>
              </w:rPr>
              <w:t>5.2. Aizsargājamās teritorijas apsaimniekošanas ilgtermiņa un īstermiņa mērķi plānā noteiktajam apsaimniekošanas periodam</w:t>
            </w:r>
            <w:r w:rsidRPr="00A07F29">
              <w:rPr>
                <w:webHidden/>
              </w:rPr>
              <w:tab/>
            </w:r>
            <w:r w:rsidRPr="00A07F29">
              <w:rPr>
                <w:webHidden/>
              </w:rPr>
              <w:fldChar w:fldCharType="begin"/>
            </w:r>
            <w:r w:rsidRPr="00A07F29">
              <w:rPr>
                <w:webHidden/>
              </w:rPr>
              <w:instrText xml:space="preserve"> PAGEREF _Toc183434031 \h </w:instrText>
            </w:r>
            <w:r w:rsidRPr="00A07F29">
              <w:rPr>
                <w:webHidden/>
              </w:rPr>
            </w:r>
            <w:r w:rsidRPr="00A07F29">
              <w:rPr>
                <w:webHidden/>
              </w:rPr>
              <w:fldChar w:fldCharType="separate"/>
            </w:r>
            <w:r w:rsidR="00DF40ED" w:rsidRPr="00A07F29">
              <w:rPr>
                <w:webHidden/>
              </w:rPr>
              <w:t>244</w:t>
            </w:r>
            <w:r w:rsidRPr="00A07F29">
              <w:rPr>
                <w:webHidden/>
              </w:rPr>
              <w:fldChar w:fldCharType="end"/>
            </w:r>
          </w:hyperlink>
        </w:p>
        <w:p w14:paraId="57611992" w14:textId="55ECAE26" w:rsidR="004D5E03" w:rsidRPr="00A07F29" w:rsidRDefault="004D5E03">
          <w:pPr>
            <w:pStyle w:val="TOC3"/>
            <w:rPr>
              <w:rFonts w:asciiTheme="minorHAnsi" w:eastAsiaTheme="minorEastAsia" w:hAnsiTheme="minorHAnsi" w:cstheme="minorBidi"/>
              <w:kern w:val="2"/>
              <w:sz w:val="22"/>
              <w:lang w:eastAsia="en-GB"/>
              <w14:ligatures w14:val="standardContextual"/>
            </w:rPr>
          </w:pPr>
          <w:hyperlink w:anchor="_Toc183434032" w:history="1">
            <w:r w:rsidRPr="00A07F29">
              <w:rPr>
                <w:rStyle w:val="Hyperlink"/>
                <w:lang w:eastAsia="ja-JP"/>
              </w:rPr>
              <w:t>5.2.1. Teritorijas apsaimniekošanas ideālais jeb ilgtermiņa mērķis</w:t>
            </w:r>
            <w:r w:rsidRPr="00A07F29">
              <w:rPr>
                <w:webHidden/>
              </w:rPr>
              <w:tab/>
            </w:r>
            <w:r w:rsidRPr="00A07F29">
              <w:rPr>
                <w:webHidden/>
              </w:rPr>
              <w:fldChar w:fldCharType="begin"/>
            </w:r>
            <w:r w:rsidRPr="00A07F29">
              <w:rPr>
                <w:webHidden/>
              </w:rPr>
              <w:instrText xml:space="preserve"> PAGEREF _Toc183434032 \h </w:instrText>
            </w:r>
            <w:r w:rsidRPr="00A07F29">
              <w:rPr>
                <w:webHidden/>
              </w:rPr>
            </w:r>
            <w:r w:rsidRPr="00A07F29">
              <w:rPr>
                <w:webHidden/>
              </w:rPr>
              <w:fldChar w:fldCharType="separate"/>
            </w:r>
            <w:r w:rsidR="00DF40ED" w:rsidRPr="00A07F29">
              <w:rPr>
                <w:webHidden/>
              </w:rPr>
              <w:t>244</w:t>
            </w:r>
            <w:r w:rsidRPr="00A07F29">
              <w:rPr>
                <w:webHidden/>
              </w:rPr>
              <w:fldChar w:fldCharType="end"/>
            </w:r>
          </w:hyperlink>
        </w:p>
        <w:p w14:paraId="431EDE1D" w14:textId="39BA06FD" w:rsidR="004D5E03" w:rsidRPr="00A07F29" w:rsidRDefault="004D5E03">
          <w:pPr>
            <w:pStyle w:val="TOC3"/>
            <w:rPr>
              <w:rFonts w:asciiTheme="minorHAnsi" w:eastAsiaTheme="minorEastAsia" w:hAnsiTheme="minorHAnsi" w:cstheme="minorBidi"/>
              <w:kern w:val="2"/>
              <w:sz w:val="22"/>
              <w:lang w:eastAsia="en-GB"/>
              <w14:ligatures w14:val="standardContextual"/>
            </w:rPr>
          </w:pPr>
          <w:hyperlink w:anchor="_Toc183434033" w:history="1">
            <w:r w:rsidRPr="00A07F29">
              <w:rPr>
                <w:rStyle w:val="Hyperlink"/>
                <w:lang w:eastAsia="ja-JP"/>
              </w:rPr>
              <w:t>5.2.2. Teritorijas apsaimniekošanas īstermiņa mērķi plānā apskatītajam apsaimniekošanas periodam</w:t>
            </w:r>
            <w:r w:rsidRPr="00A07F29">
              <w:rPr>
                <w:webHidden/>
              </w:rPr>
              <w:tab/>
            </w:r>
            <w:r w:rsidRPr="00A07F29">
              <w:rPr>
                <w:webHidden/>
              </w:rPr>
              <w:fldChar w:fldCharType="begin"/>
            </w:r>
            <w:r w:rsidRPr="00A07F29">
              <w:rPr>
                <w:webHidden/>
              </w:rPr>
              <w:instrText xml:space="preserve"> PAGEREF _Toc183434033 \h </w:instrText>
            </w:r>
            <w:r w:rsidRPr="00A07F29">
              <w:rPr>
                <w:webHidden/>
              </w:rPr>
            </w:r>
            <w:r w:rsidRPr="00A07F29">
              <w:rPr>
                <w:webHidden/>
              </w:rPr>
              <w:fldChar w:fldCharType="separate"/>
            </w:r>
            <w:r w:rsidR="00DF40ED" w:rsidRPr="00A07F29">
              <w:rPr>
                <w:webHidden/>
              </w:rPr>
              <w:t>244</w:t>
            </w:r>
            <w:r w:rsidRPr="00A07F29">
              <w:rPr>
                <w:webHidden/>
              </w:rPr>
              <w:fldChar w:fldCharType="end"/>
            </w:r>
          </w:hyperlink>
        </w:p>
        <w:p w14:paraId="123BE3D7" w14:textId="29652049" w:rsidR="004D5E03" w:rsidRPr="00A07F29" w:rsidRDefault="004D5E03">
          <w:pPr>
            <w:pStyle w:val="TOC2"/>
            <w:rPr>
              <w:rFonts w:asciiTheme="minorHAnsi" w:eastAsiaTheme="minorEastAsia" w:hAnsiTheme="minorHAnsi" w:cstheme="minorBidi"/>
              <w:caps w:val="0"/>
              <w:kern w:val="2"/>
              <w:sz w:val="22"/>
              <w:szCs w:val="22"/>
              <w:lang w:eastAsia="en-GB"/>
              <w14:ligatures w14:val="standardContextual"/>
            </w:rPr>
          </w:pPr>
          <w:hyperlink w:anchor="_Toc183434034" w:history="1">
            <w:r w:rsidRPr="00A07F29">
              <w:rPr>
                <w:rStyle w:val="Hyperlink"/>
              </w:rPr>
              <w:t>5.3. Plānotie apsaimniekošanas pasākumi</w:t>
            </w:r>
            <w:r w:rsidRPr="00A07F29">
              <w:rPr>
                <w:webHidden/>
              </w:rPr>
              <w:tab/>
            </w:r>
            <w:r w:rsidRPr="00A07F29">
              <w:rPr>
                <w:webHidden/>
              </w:rPr>
              <w:fldChar w:fldCharType="begin"/>
            </w:r>
            <w:r w:rsidRPr="00A07F29">
              <w:rPr>
                <w:webHidden/>
              </w:rPr>
              <w:instrText xml:space="preserve"> PAGEREF _Toc183434034 \h </w:instrText>
            </w:r>
            <w:r w:rsidRPr="00A07F29">
              <w:rPr>
                <w:webHidden/>
              </w:rPr>
            </w:r>
            <w:r w:rsidRPr="00A07F29">
              <w:rPr>
                <w:webHidden/>
              </w:rPr>
              <w:fldChar w:fldCharType="separate"/>
            </w:r>
            <w:r w:rsidR="00DF40ED" w:rsidRPr="00A07F29">
              <w:rPr>
                <w:webHidden/>
              </w:rPr>
              <w:t>245</w:t>
            </w:r>
            <w:r w:rsidRPr="00A07F29">
              <w:rPr>
                <w:webHidden/>
              </w:rPr>
              <w:fldChar w:fldCharType="end"/>
            </w:r>
          </w:hyperlink>
        </w:p>
        <w:p w14:paraId="1EA078C3" w14:textId="012BFAD8" w:rsidR="004D5E03" w:rsidRPr="00A07F29" w:rsidRDefault="004D5E03">
          <w:pPr>
            <w:pStyle w:val="TOC3"/>
            <w:rPr>
              <w:rFonts w:asciiTheme="minorHAnsi" w:eastAsiaTheme="minorEastAsia" w:hAnsiTheme="minorHAnsi" w:cstheme="minorBidi"/>
              <w:kern w:val="2"/>
              <w:sz w:val="22"/>
              <w:lang w:eastAsia="en-GB"/>
              <w14:ligatures w14:val="standardContextual"/>
            </w:rPr>
          </w:pPr>
          <w:hyperlink w:anchor="_Toc183434035" w:history="1">
            <w:r w:rsidRPr="00A07F29">
              <w:rPr>
                <w:rStyle w:val="Hyperlink"/>
                <w:lang w:eastAsia="ja-JP"/>
              </w:rPr>
              <w:t>5.3.1. Plānoto apsaimniekošanas pasākumu apraksts</w:t>
            </w:r>
            <w:r w:rsidRPr="00A07F29">
              <w:rPr>
                <w:webHidden/>
              </w:rPr>
              <w:tab/>
            </w:r>
            <w:r w:rsidRPr="00A07F29">
              <w:rPr>
                <w:webHidden/>
              </w:rPr>
              <w:fldChar w:fldCharType="begin"/>
            </w:r>
            <w:r w:rsidRPr="00A07F29">
              <w:rPr>
                <w:webHidden/>
              </w:rPr>
              <w:instrText xml:space="preserve"> PAGEREF _Toc183434035 \h </w:instrText>
            </w:r>
            <w:r w:rsidRPr="00A07F29">
              <w:rPr>
                <w:webHidden/>
              </w:rPr>
            </w:r>
            <w:r w:rsidRPr="00A07F29">
              <w:rPr>
                <w:webHidden/>
              </w:rPr>
              <w:fldChar w:fldCharType="separate"/>
            </w:r>
            <w:r w:rsidR="00DF40ED" w:rsidRPr="00A07F29">
              <w:rPr>
                <w:webHidden/>
              </w:rPr>
              <w:t>260</w:t>
            </w:r>
            <w:r w:rsidRPr="00A07F29">
              <w:rPr>
                <w:webHidden/>
              </w:rPr>
              <w:fldChar w:fldCharType="end"/>
            </w:r>
          </w:hyperlink>
        </w:p>
        <w:p w14:paraId="0D459986" w14:textId="126F20C4" w:rsidR="004D5E03" w:rsidRPr="00A07F29" w:rsidRDefault="004D5E03">
          <w:pPr>
            <w:pStyle w:val="TOC1"/>
            <w:rPr>
              <w:rFonts w:asciiTheme="minorHAnsi" w:eastAsiaTheme="minorEastAsia" w:hAnsiTheme="minorHAnsi" w:cstheme="minorBidi"/>
              <w:b w:val="0"/>
              <w:kern w:val="2"/>
              <w:sz w:val="22"/>
              <w:lang w:val="lv-LV" w:eastAsia="en-GB"/>
              <w14:ligatures w14:val="standardContextual"/>
            </w:rPr>
          </w:pPr>
          <w:hyperlink w:anchor="_Toc183434036" w:history="1">
            <w:r w:rsidRPr="00A07F29">
              <w:rPr>
                <w:rStyle w:val="Hyperlink"/>
                <w:rFonts w:eastAsia="Times New Roman"/>
                <w:lang w:val="lv-LV" w:eastAsia="ja-JP"/>
              </w:rPr>
              <w:t>6. PLĀNA IEVIEŠANA UN ATJAUNOŠANA</w:t>
            </w:r>
            <w:r w:rsidRPr="00A07F29">
              <w:rPr>
                <w:webHidden/>
                <w:lang w:val="lv-LV"/>
              </w:rPr>
              <w:tab/>
            </w:r>
            <w:r w:rsidRPr="00A07F29">
              <w:rPr>
                <w:webHidden/>
                <w:lang w:val="lv-LV"/>
              </w:rPr>
              <w:fldChar w:fldCharType="begin"/>
            </w:r>
            <w:r w:rsidRPr="00A07F29">
              <w:rPr>
                <w:webHidden/>
                <w:lang w:val="lv-LV"/>
              </w:rPr>
              <w:instrText xml:space="preserve"> PAGEREF _Toc183434036 \h </w:instrText>
            </w:r>
            <w:r w:rsidRPr="00A07F29">
              <w:rPr>
                <w:webHidden/>
                <w:lang w:val="lv-LV"/>
              </w:rPr>
            </w:r>
            <w:r w:rsidRPr="00A07F29">
              <w:rPr>
                <w:webHidden/>
                <w:lang w:val="lv-LV"/>
              </w:rPr>
              <w:fldChar w:fldCharType="separate"/>
            </w:r>
            <w:r w:rsidR="00DF40ED" w:rsidRPr="00A07F29">
              <w:rPr>
                <w:webHidden/>
                <w:lang w:val="lv-LV"/>
              </w:rPr>
              <w:t>344</w:t>
            </w:r>
            <w:r w:rsidRPr="00A07F29">
              <w:rPr>
                <w:webHidden/>
                <w:lang w:val="lv-LV"/>
              </w:rPr>
              <w:fldChar w:fldCharType="end"/>
            </w:r>
          </w:hyperlink>
        </w:p>
        <w:p w14:paraId="421F6480" w14:textId="1C3F1BD9" w:rsidR="004D5E03" w:rsidRPr="00A07F29" w:rsidRDefault="004D5E03">
          <w:pPr>
            <w:pStyle w:val="TOC2"/>
            <w:rPr>
              <w:rFonts w:asciiTheme="minorHAnsi" w:eastAsiaTheme="minorEastAsia" w:hAnsiTheme="minorHAnsi" w:cstheme="minorBidi"/>
              <w:caps w:val="0"/>
              <w:kern w:val="2"/>
              <w:sz w:val="22"/>
              <w:szCs w:val="22"/>
              <w:lang w:eastAsia="en-GB"/>
              <w14:ligatures w14:val="standardContextual"/>
            </w:rPr>
          </w:pPr>
          <w:hyperlink w:anchor="_Toc183434037" w:history="1">
            <w:r w:rsidRPr="00A07F29">
              <w:rPr>
                <w:rStyle w:val="Hyperlink"/>
              </w:rPr>
              <w:t>6.1. Priekšlikumi par nepieciešamajiem grozījumiem Augšdaugavas un Krāslavas novadu teritorijas plānojumā</w:t>
            </w:r>
            <w:r w:rsidRPr="00A07F29">
              <w:rPr>
                <w:webHidden/>
              </w:rPr>
              <w:tab/>
            </w:r>
            <w:r w:rsidRPr="00A07F29">
              <w:rPr>
                <w:webHidden/>
              </w:rPr>
              <w:fldChar w:fldCharType="begin"/>
            </w:r>
            <w:r w:rsidRPr="00A07F29">
              <w:rPr>
                <w:webHidden/>
              </w:rPr>
              <w:instrText xml:space="preserve"> PAGEREF _Toc183434037 \h </w:instrText>
            </w:r>
            <w:r w:rsidRPr="00A07F29">
              <w:rPr>
                <w:webHidden/>
              </w:rPr>
            </w:r>
            <w:r w:rsidRPr="00A07F29">
              <w:rPr>
                <w:webHidden/>
              </w:rPr>
              <w:fldChar w:fldCharType="separate"/>
            </w:r>
            <w:r w:rsidR="00DF40ED" w:rsidRPr="00A07F29">
              <w:rPr>
                <w:webHidden/>
              </w:rPr>
              <w:t>344</w:t>
            </w:r>
            <w:r w:rsidRPr="00A07F29">
              <w:rPr>
                <w:webHidden/>
              </w:rPr>
              <w:fldChar w:fldCharType="end"/>
            </w:r>
          </w:hyperlink>
        </w:p>
        <w:p w14:paraId="495F4C87" w14:textId="1A1A95D5" w:rsidR="004D5E03" w:rsidRPr="00A07F29" w:rsidRDefault="004D5E03">
          <w:pPr>
            <w:pStyle w:val="TOC2"/>
            <w:rPr>
              <w:rFonts w:asciiTheme="minorHAnsi" w:eastAsiaTheme="minorEastAsia" w:hAnsiTheme="minorHAnsi" w:cstheme="minorBidi"/>
              <w:caps w:val="0"/>
              <w:kern w:val="2"/>
              <w:sz w:val="22"/>
              <w:szCs w:val="22"/>
              <w:lang w:eastAsia="en-GB"/>
              <w14:ligatures w14:val="standardContextual"/>
            </w:rPr>
          </w:pPr>
          <w:hyperlink w:anchor="_Toc183434038" w:history="1">
            <w:r w:rsidRPr="00A07F29">
              <w:rPr>
                <w:rStyle w:val="Hyperlink"/>
              </w:rPr>
              <w:t>6.2. Priekšlikumi par aizsargājamās teritorijas individuālo aizsardzības un izmantošanas noteikumu projektu, ieteicamo teritorijas funkcionālo zonējumu</w:t>
            </w:r>
            <w:r w:rsidRPr="00A07F29">
              <w:rPr>
                <w:webHidden/>
              </w:rPr>
              <w:tab/>
            </w:r>
            <w:r w:rsidRPr="00A07F29">
              <w:rPr>
                <w:webHidden/>
              </w:rPr>
              <w:fldChar w:fldCharType="begin"/>
            </w:r>
            <w:r w:rsidRPr="00A07F29">
              <w:rPr>
                <w:webHidden/>
              </w:rPr>
              <w:instrText xml:space="preserve"> PAGEREF _Toc183434038 \h </w:instrText>
            </w:r>
            <w:r w:rsidRPr="00A07F29">
              <w:rPr>
                <w:webHidden/>
              </w:rPr>
            </w:r>
            <w:r w:rsidRPr="00A07F29">
              <w:rPr>
                <w:webHidden/>
              </w:rPr>
              <w:fldChar w:fldCharType="separate"/>
            </w:r>
            <w:r w:rsidR="00DF40ED" w:rsidRPr="00A07F29">
              <w:rPr>
                <w:webHidden/>
              </w:rPr>
              <w:t>345</w:t>
            </w:r>
            <w:r w:rsidRPr="00A07F29">
              <w:rPr>
                <w:webHidden/>
              </w:rPr>
              <w:fldChar w:fldCharType="end"/>
            </w:r>
          </w:hyperlink>
        </w:p>
        <w:p w14:paraId="6807C290" w14:textId="63E2244A" w:rsidR="004D5E03" w:rsidRPr="00A07F29" w:rsidRDefault="004D5E03">
          <w:pPr>
            <w:pStyle w:val="TOC3"/>
            <w:rPr>
              <w:rFonts w:asciiTheme="minorHAnsi" w:eastAsiaTheme="minorEastAsia" w:hAnsiTheme="minorHAnsi" w:cstheme="minorBidi"/>
              <w:kern w:val="2"/>
              <w:sz w:val="22"/>
              <w:lang w:eastAsia="en-GB"/>
              <w14:ligatures w14:val="standardContextual"/>
            </w:rPr>
          </w:pPr>
          <w:hyperlink w:anchor="_Toc183434039" w:history="1">
            <w:r w:rsidRPr="00A07F29">
              <w:rPr>
                <w:rStyle w:val="Hyperlink"/>
                <w:lang w:eastAsia="ja-JP"/>
              </w:rPr>
              <w:t>6.2.1. Priekšlikumi AAA “Augšdaugava” funkcionālajam zonējumam</w:t>
            </w:r>
            <w:r w:rsidRPr="00A07F29">
              <w:rPr>
                <w:webHidden/>
              </w:rPr>
              <w:tab/>
            </w:r>
            <w:r w:rsidRPr="00A07F29">
              <w:rPr>
                <w:webHidden/>
              </w:rPr>
              <w:fldChar w:fldCharType="begin"/>
            </w:r>
            <w:r w:rsidRPr="00A07F29">
              <w:rPr>
                <w:webHidden/>
              </w:rPr>
              <w:instrText xml:space="preserve"> PAGEREF _Toc183434039 \h </w:instrText>
            </w:r>
            <w:r w:rsidRPr="00A07F29">
              <w:rPr>
                <w:webHidden/>
              </w:rPr>
            </w:r>
            <w:r w:rsidRPr="00A07F29">
              <w:rPr>
                <w:webHidden/>
              </w:rPr>
              <w:fldChar w:fldCharType="separate"/>
            </w:r>
            <w:r w:rsidR="00DF40ED" w:rsidRPr="00A07F29">
              <w:rPr>
                <w:webHidden/>
              </w:rPr>
              <w:t>358</w:t>
            </w:r>
            <w:r w:rsidRPr="00A07F29">
              <w:rPr>
                <w:webHidden/>
              </w:rPr>
              <w:fldChar w:fldCharType="end"/>
            </w:r>
          </w:hyperlink>
        </w:p>
        <w:p w14:paraId="0CC00142" w14:textId="3FC7C5EB" w:rsidR="004D5E03" w:rsidRPr="00A07F29" w:rsidRDefault="004D5E03">
          <w:pPr>
            <w:pStyle w:val="TOC1"/>
            <w:rPr>
              <w:rFonts w:asciiTheme="minorHAnsi" w:eastAsiaTheme="minorEastAsia" w:hAnsiTheme="minorHAnsi" w:cstheme="minorBidi"/>
              <w:b w:val="0"/>
              <w:kern w:val="2"/>
              <w:sz w:val="22"/>
              <w:lang w:val="lv-LV" w:eastAsia="en-GB"/>
              <w14:ligatures w14:val="standardContextual"/>
            </w:rPr>
          </w:pPr>
          <w:hyperlink w:anchor="_Toc183434040" w:history="1">
            <w:r w:rsidRPr="00A07F29">
              <w:rPr>
                <w:rStyle w:val="Hyperlink"/>
                <w:rFonts w:eastAsia="Times New Roman"/>
                <w:lang w:val="lv-LV" w:eastAsia="ja-JP"/>
              </w:rPr>
              <w:t>IZMANTOTIE INFORMĀCIJAS AVOTI</w:t>
            </w:r>
            <w:r w:rsidRPr="00A07F29">
              <w:rPr>
                <w:webHidden/>
                <w:lang w:val="lv-LV"/>
              </w:rPr>
              <w:tab/>
            </w:r>
            <w:r w:rsidRPr="00A07F29">
              <w:rPr>
                <w:webHidden/>
                <w:lang w:val="lv-LV"/>
              </w:rPr>
              <w:fldChar w:fldCharType="begin"/>
            </w:r>
            <w:r w:rsidRPr="00A07F29">
              <w:rPr>
                <w:webHidden/>
                <w:lang w:val="lv-LV"/>
              </w:rPr>
              <w:instrText xml:space="preserve"> PAGEREF _Toc183434040 \h </w:instrText>
            </w:r>
            <w:r w:rsidRPr="00A07F29">
              <w:rPr>
                <w:webHidden/>
                <w:lang w:val="lv-LV"/>
              </w:rPr>
            </w:r>
            <w:r w:rsidRPr="00A07F29">
              <w:rPr>
                <w:webHidden/>
                <w:lang w:val="lv-LV"/>
              </w:rPr>
              <w:fldChar w:fldCharType="separate"/>
            </w:r>
            <w:r w:rsidR="00DF40ED" w:rsidRPr="00A07F29">
              <w:rPr>
                <w:webHidden/>
                <w:lang w:val="lv-LV"/>
              </w:rPr>
              <w:t>363</w:t>
            </w:r>
            <w:r w:rsidRPr="00A07F29">
              <w:rPr>
                <w:webHidden/>
                <w:lang w:val="lv-LV"/>
              </w:rPr>
              <w:fldChar w:fldCharType="end"/>
            </w:r>
          </w:hyperlink>
        </w:p>
        <w:p w14:paraId="3CFCE684" w14:textId="2AD73238" w:rsidR="004D5E03" w:rsidRPr="00A07F29" w:rsidRDefault="004D5E03">
          <w:pPr>
            <w:pStyle w:val="TOC1"/>
            <w:rPr>
              <w:rFonts w:asciiTheme="minorHAnsi" w:eastAsiaTheme="minorEastAsia" w:hAnsiTheme="minorHAnsi" w:cstheme="minorBidi"/>
              <w:b w:val="0"/>
              <w:kern w:val="2"/>
              <w:sz w:val="22"/>
              <w:lang w:val="lv-LV" w:eastAsia="en-GB"/>
              <w14:ligatures w14:val="standardContextual"/>
            </w:rPr>
          </w:pPr>
          <w:hyperlink w:anchor="_Toc183434041" w:history="1">
            <w:r w:rsidRPr="00A07F29">
              <w:rPr>
                <w:rStyle w:val="Hyperlink"/>
                <w:rFonts w:eastAsia="Times New Roman"/>
                <w:lang w:val="lv-LV" w:eastAsia="ja-JP"/>
              </w:rPr>
              <w:t>PIELIKUMI</w:t>
            </w:r>
            <w:r w:rsidRPr="00A07F29">
              <w:rPr>
                <w:webHidden/>
                <w:lang w:val="lv-LV"/>
              </w:rPr>
              <w:tab/>
            </w:r>
            <w:r w:rsidRPr="00A07F29">
              <w:rPr>
                <w:webHidden/>
                <w:lang w:val="lv-LV"/>
              </w:rPr>
              <w:fldChar w:fldCharType="begin"/>
            </w:r>
            <w:r w:rsidRPr="00A07F29">
              <w:rPr>
                <w:webHidden/>
                <w:lang w:val="lv-LV"/>
              </w:rPr>
              <w:instrText xml:space="preserve"> PAGEREF _Toc183434041 \h </w:instrText>
            </w:r>
            <w:r w:rsidRPr="00A07F29">
              <w:rPr>
                <w:webHidden/>
                <w:lang w:val="lv-LV"/>
              </w:rPr>
            </w:r>
            <w:r w:rsidRPr="00A07F29">
              <w:rPr>
                <w:webHidden/>
                <w:lang w:val="lv-LV"/>
              </w:rPr>
              <w:fldChar w:fldCharType="separate"/>
            </w:r>
            <w:r w:rsidR="00DF40ED" w:rsidRPr="00A07F29">
              <w:rPr>
                <w:webHidden/>
                <w:lang w:val="lv-LV"/>
              </w:rPr>
              <w:t>375</w:t>
            </w:r>
            <w:r w:rsidRPr="00A07F29">
              <w:rPr>
                <w:webHidden/>
                <w:lang w:val="lv-LV"/>
              </w:rPr>
              <w:fldChar w:fldCharType="end"/>
            </w:r>
          </w:hyperlink>
        </w:p>
        <w:p w14:paraId="2044B67D" w14:textId="4D242FDE" w:rsidR="004200AB" w:rsidRPr="00A07F29" w:rsidRDefault="00743C75" w:rsidP="009C4119">
          <w:r w:rsidRPr="00A07F29">
            <w:rPr>
              <w:b/>
              <w:bCs/>
            </w:rPr>
            <w:fldChar w:fldCharType="end"/>
          </w:r>
        </w:p>
      </w:sdtContent>
    </w:sdt>
    <w:p w14:paraId="13F8F9C7" w14:textId="189C44B4" w:rsidR="00BF0E06" w:rsidRPr="00A07F29" w:rsidRDefault="00BF0E06">
      <w:pPr>
        <w:rPr>
          <w:rFonts w:ascii="Times New Roman" w:eastAsia="Times New Roman" w:hAnsi="Times New Roman" w:cs="Times New Roman"/>
          <w:b/>
          <w:bCs/>
          <w:color w:val="000000"/>
          <w:sz w:val="28"/>
          <w:szCs w:val="28"/>
          <w:lang w:eastAsia="ja-JP"/>
        </w:rPr>
      </w:pPr>
      <w:r w:rsidRPr="00A07F29">
        <w:rPr>
          <w:rFonts w:ascii="Times New Roman" w:eastAsia="Times New Roman" w:hAnsi="Times New Roman" w:cs="Times New Roman"/>
          <w:b/>
          <w:bCs/>
          <w:color w:val="000000" w:themeColor="text1"/>
          <w:sz w:val="28"/>
          <w:szCs w:val="28"/>
          <w:lang w:eastAsia="ja-JP"/>
        </w:rPr>
        <w:br w:type="page"/>
      </w:r>
    </w:p>
    <w:p w14:paraId="7B281ED6" w14:textId="189C44B4" w:rsidR="00AF4C40" w:rsidRPr="00A07F29" w:rsidRDefault="44338CFC" w:rsidP="00A52D0B">
      <w:pPr>
        <w:pStyle w:val="Heading1"/>
        <w:pageBreakBefore/>
        <w:spacing w:before="0" w:after="240" w:line="240" w:lineRule="auto"/>
        <w:jc w:val="center"/>
        <w:rPr>
          <w:rFonts w:ascii="Times New Roman" w:eastAsia="Times New Roman" w:hAnsi="Times New Roman" w:cs="Times New Roman"/>
          <w:color w:val="auto"/>
          <w:lang w:eastAsia="ja-JP"/>
        </w:rPr>
      </w:pPr>
      <w:bookmarkStart w:id="2" w:name="_Toc183433965"/>
      <w:r w:rsidRPr="00A07F29">
        <w:rPr>
          <w:rFonts w:ascii="Times New Roman" w:eastAsia="Times New Roman" w:hAnsi="Times New Roman" w:cs="Times New Roman"/>
          <w:color w:val="auto"/>
          <w:lang w:eastAsia="ja-JP"/>
        </w:rPr>
        <w:lastRenderedPageBreak/>
        <w:t>KOPSAVILKUMS</w:t>
      </w:r>
      <w:bookmarkEnd w:id="2"/>
    </w:p>
    <w:p w14:paraId="68C26A4B" w14:textId="6AA649CF" w:rsidR="00C12B08" w:rsidRPr="00A07F29" w:rsidRDefault="2EDB2669" w:rsidP="00863B2D">
      <w:pPr>
        <w:spacing w:after="120" w:line="240" w:lineRule="auto"/>
        <w:ind w:firstLine="851"/>
        <w:jc w:val="both"/>
        <w:rPr>
          <w:rFonts w:ascii="Times New Roman" w:eastAsia="Calibri" w:hAnsi="Times New Roman" w:cs="Calibri"/>
          <w:sz w:val="24"/>
          <w:szCs w:val="24"/>
        </w:rPr>
      </w:pPr>
      <w:r w:rsidRPr="00A07F29">
        <w:rPr>
          <w:rFonts w:ascii="Times New Roman" w:eastAsia="Calibri" w:hAnsi="Times New Roman" w:cs="Calibri"/>
          <w:sz w:val="24"/>
          <w:szCs w:val="24"/>
        </w:rPr>
        <w:t>A</w:t>
      </w:r>
      <w:r w:rsidR="006C47FA" w:rsidRPr="00A07F29">
        <w:rPr>
          <w:rFonts w:ascii="Times New Roman" w:eastAsia="Calibri" w:hAnsi="Times New Roman" w:cs="Calibri"/>
          <w:sz w:val="24"/>
          <w:szCs w:val="24"/>
        </w:rPr>
        <w:t xml:space="preserve">izsargājamo ainavu apvidus </w:t>
      </w:r>
      <w:r w:rsidR="00067792" w:rsidRPr="00A07F29">
        <w:rPr>
          <w:rFonts w:ascii="Times New Roman" w:eastAsia="Calibri" w:hAnsi="Times New Roman" w:cs="Calibri"/>
          <w:sz w:val="24"/>
          <w:szCs w:val="24"/>
        </w:rPr>
        <w:t>“</w:t>
      </w:r>
      <w:r w:rsidRPr="00A07F29">
        <w:rPr>
          <w:rFonts w:ascii="Times New Roman" w:eastAsia="Calibri" w:hAnsi="Times New Roman" w:cs="Calibri"/>
          <w:sz w:val="24"/>
          <w:szCs w:val="24"/>
        </w:rPr>
        <w:t xml:space="preserve">Augšdaugava” atrodas Latvijas </w:t>
      </w:r>
      <w:r w:rsidR="00FE2F74" w:rsidRPr="00A07F29">
        <w:rPr>
          <w:rFonts w:ascii="Times New Roman" w:eastAsia="Calibri" w:hAnsi="Times New Roman" w:cs="Calibri"/>
          <w:sz w:val="24"/>
          <w:szCs w:val="24"/>
        </w:rPr>
        <w:t>DA</w:t>
      </w:r>
      <w:r w:rsidRPr="00A07F29">
        <w:rPr>
          <w:rFonts w:ascii="Times New Roman" w:eastAsia="Calibri" w:hAnsi="Times New Roman" w:cs="Calibri"/>
          <w:sz w:val="24"/>
          <w:szCs w:val="24"/>
        </w:rPr>
        <w:t xml:space="preserve"> daļā</w:t>
      </w:r>
      <w:r w:rsidR="00876872" w:rsidRPr="00A07F29">
        <w:rPr>
          <w:rFonts w:ascii="Times New Roman" w:eastAsia="Calibri" w:hAnsi="Times New Roman" w:cs="Calibri"/>
          <w:sz w:val="24"/>
          <w:szCs w:val="24"/>
        </w:rPr>
        <w:t xml:space="preserve"> </w:t>
      </w:r>
      <w:r w:rsidR="003E397B" w:rsidRPr="00A07F29">
        <w:rPr>
          <w:rFonts w:ascii="Times New Roman" w:eastAsia="Calibri" w:hAnsi="Times New Roman" w:cs="Calibri"/>
          <w:sz w:val="24"/>
          <w:szCs w:val="24"/>
        </w:rPr>
        <w:t xml:space="preserve">Augšdaugavas novada (kādreizējā </w:t>
      </w:r>
      <w:r w:rsidRPr="00A07F29">
        <w:rPr>
          <w:rFonts w:ascii="Times New Roman" w:eastAsia="Calibri" w:hAnsi="Times New Roman" w:cs="Calibri"/>
          <w:sz w:val="24"/>
          <w:szCs w:val="24"/>
        </w:rPr>
        <w:t>Daugavpils novada</w:t>
      </w:r>
      <w:r w:rsidR="003E397B" w:rsidRPr="00A07F29">
        <w:rPr>
          <w:rFonts w:ascii="Times New Roman" w:eastAsia="Calibri" w:hAnsi="Times New Roman" w:cs="Calibri"/>
          <w:sz w:val="24"/>
          <w:szCs w:val="24"/>
        </w:rPr>
        <w:t xml:space="preserve">) </w:t>
      </w:r>
      <w:r w:rsidRPr="00A07F29">
        <w:rPr>
          <w:rFonts w:ascii="Times New Roman" w:eastAsia="Calibri" w:hAnsi="Times New Roman" w:cs="Calibri"/>
          <w:sz w:val="24"/>
          <w:szCs w:val="24"/>
        </w:rPr>
        <w:t>Naujenes, Salienas, Skrudalienas, Tabores un Vecsalienas pagastos un Krāslavas novada Kalniešu, Kaplavas, Krāslavas, Piedrujas un Ūdrīšu pagastos un Krāslavas pilsētā (</w:t>
      </w:r>
      <w:r w:rsidR="00722A61" w:rsidRPr="00A07F29">
        <w:rPr>
          <w:rFonts w:ascii="Times New Roman" w:eastAsia="Calibri" w:hAnsi="Times New Roman" w:cs="Calibri"/>
          <w:sz w:val="24"/>
          <w:szCs w:val="24"/>
        </w:rPr>
        <w:t xml:space="preserve">skat. </w:t>
      </w:r>
      <w:r w:rsidRPr="00A07F29">
        <w:rPr>
          <w:rFonts w:ascii="Times New Roman" w:eastAsia="Calibri" w:hAnsi="Times New Roman" w:cs="Calibri"/>
          <w:sz w:val="24"/>
          <w:szCs w:val="24"/>
        </w:rPr>
        <w:t>1.</w:t>
      </w:r>
      <w:r w:rsidR="00EE026C" w:rsidRPr="00A07F29">
        <w:rPr>
          <w:rFonts w:ascii="Times New Roman" w:eastAsia="Calibri" w:hAnsi="Times New Roman" w:cs="Calibri"/>
          <w:sz w:val="24"/>
          <w:szCs w:val="24"/>
        </w:rPr>
        <w:t> </w:t>
      </w:r>
      <w:r w:rsidRPr="00A07F29">
        <w:rPr>
          <w:rFonts w:ascii="Times New Roman" w:eastAsia="Calibri" w:hAnsi="Times New Roman" w:cs="Calibri"/>
          <w:sz w:val="24"/>
          <w:szCs w:val="24"/>
        </w:rPr>
        <w:t>attēls). Daļa no AAA</w:t>
      </w:r>
      <w:r w:rsidR="006C47FA" w:rsidRPr="00A07F29">
        <w:rPr>
          <w:rFonts w:ascii="Times New Roman" w:eastAsia="Calibri" w:hAnsi="Times New Roman" w:cs="Calibri"/>
          <w:sz w:val="24"/>
          <w:szCs w:val="24"/>
        </w:rPr>
        <w:t xml:space="preserve"> “</w:t>
      </w:r>
      <w:r w:rsidRPr="00A07F29">
        <w:rPr>
          <w:rFonts w:ascii="Times New Roman" w:eastAsia="Calibri" w:hAnsi="Times New Roman" w:cs="Calibri"/>
          <w:sz w:val="24"/>
          <w:szCs w:val="24"/>
        </w:rPr>
        <w:t>Augšdaugava” atrodas pierobežas zonā un robežojas ar Baltkrieviju.</w:t>
      </w:r>
    </w:p>
    <w:p w14:paraId="1234FB04" w14:textId="77777777" w:rsidR="00ED52ED" w:rsidRPr="00A07F29" w:rsidRDefault="00BF0E06" w:rsidP="00544F17">
      <w:pPr>
        <w:spacing w:after="120"/>
        <w:ind w:hanging="142"/>
        <w:jc w:val="center"/>
        <w:rPr>
          <w:rFonts w:ascii="Times New Roman" w:eastAsia="Calibri" w:hAnsi="Times New Roman" w:cs="Calibri"/>
          <w:sz w:val="24"/>
          <w:szCs w:val="24"/>
        </w:rPr>
      </w:pPr>
      <w:r w:rsidRPr="00A07F29">
        <w:rPr>
          <w:noProof/>
          <w:lang w:eastAsia="lv-LV"/>
        </w:rPr>
        <w:drawing>
          <wp:inline distT="0" distB="0" distL="0" distR="0" wp14:anchorId="7BA33BF9" wp14:editId="30C8AA76">
            <wp:extent cx="5630011" cy="3981450"/>
            <wp:effectExtent l="0" t="0" r="8890" b="0"/>
            <wp:docPr id="135" name="Attēls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35"/>
                    <pic:cNvPicPr/>
                  </pic:nvPicPr>
                  <pic:blipFill>
                    <a:blip r:embed="rId17">
                      <a:extLst>
                        <a:ext uri="{28A0092B-C50C-407E-A947-70E740481C1C}">
                          <a14:useLocalDpi xmlns:a14="http://schemas.microsoft.com/office/drawing/2010/main"/>
                        </a:ext>
                      </a:extLst>
                    </a:blip>
                    <a:stretch>
                      <a:fillRect/>
                    </a:stretch>
                  </pic:blipFill>
                  <pic:spPr>
                    <a:xfrm>
                      <a:off x="0" y="0"/>
                      <a:ext cx="5630011" cy="3981450"/>
                    </a:xfrm>
                    <a:prstGeom prst="rect">
                      <a:avLst/>
                    </a:prstGeom>
                  </pic:spPr>
                </pic:pic>
              </a:graphicData>
            </a:graphic>
          </wp:inline>
        </w:drawing>
      </w:r>
    </w:p>
    <w:p w14:paraId="259EACC5" w14:textId="0ED2ABA8" w:rsidR="0091540B" w:rsidRPr="00CA0474" w:rsidRDefault="00ED52ED" w:rsidP="0091540B">
      <w:pPr>
        <w:spacing w:after="120"/>
        <w:rPr>
          <w:rFonts w:ascii="Times New Roman" w:eastAsia="Calibri" w:hAnsi="Times New Roman" w:cs="Calibri"/>
          <w:sz w:val="20"/>
          <w:szCs w:val="20"/>
        </w:rPr>
      </w:pPr>
      <w:r w:rsidRPr="00CA0474">
        <w:rPr>
          <w:rFonts w:ascii="Times New Roman" w:eastAsia="Calibri" w:hAnsi="Times New Roman" w:cs="Calibri"/>
          <w:sz w:val="20"/>
          <w:szCs w:val="20"/>
        </w:rPr>
        <w:t>1.</w:t>
      </w:r>
      <w:r w:rsidR="00E9704D" w:rsidRPr="00CA0474">
        <w:rPr>
          <w:rFonts w:ascii="Times New Roman" w:eastAsia="Calibri" w:hAnsi="Times New Roman" w:cs="Calibri"/>
          <w:sz w:val="20"/>
          <w:szCs w:val="20"/>
        </w:rPr>
        <w:t> </w:t>
      </w:r>
      <w:r w:rsidRPr="00CA0474">
        <w:rPr>
          <w:rFonts w:ascii="Times New Roman" w:eastAsia="Calibri" w:hAnsi="Times New Roman" w:cs="Calibri"/>
          <w:sz w:val="20"/>
          <w:szCs w:val="20"/>
        </w:rPr>
        <w:t>attēls. AAA “Augšdaugava” ar DP “Daugavas loki” (datu avot</w:t>
      </w:r>
      <w:r w:rsidR="00CE0FBA" w:rsidRPr="00CA0474">
        <w:rPr>
          <w:rFonts w:ascii="Times New Roman" w:eastAsia="Calibri" w:hAnsi="Times New Roman" w:cs="Calibri"/>
          <w:sz w:val="20"/>
          <w:szCs w:val="20"/>
        </w:rPr>
        <w:t>s –</w:t>
      </w:r>
      <w:r w:rsidRPr="00CA0474">
        <w:rPr>
          <w:rFonts w:ascii="Times New Roman" w:eastAsia="Calibri" w:hAnsi="Times New Roman" w:cs="Calibri"/>
          <w:sz w:val="20"/>
          <w:szCs w:val="20"/>
        </w:rPr>
        <w:t xml:space="preserve"> GIS Latvija un VZD dati, 2019)</w:t>
      </w:r>
      <w:r w:rsidR="0091540B" w:rsidRPr="00CA0474">
        <w:rPr>
          <w:rFonts w:ascii="Times New Roman" w:eastAsia="Calibri" w:hAnsi="Times New Roman" w:cs="Calibri"/>
          <w:sz w:val="20"/>
          <w:szCs w:val="20"/>
        </w:rPr>
        <w:t>.</w:t>
      </w:r>
    </w:p>
    <w:p w14:paraId="5B085F8A" w14:textId="670A40C2" w:rsidR="006C47FA" w:rsidRPr="00A07F29" w:rsidRDefault="00C12B08" w:rsidP="006C47FA">
      <w:pPr>
        <w:spacing w:after="120" w:line="240" w:lineRule="auto"/>
        <w:ind w:firstLine="851"/>
        <w:jc w:val="both"/>
        <w:rPr>
          <w:rFonts w:ascii="Times New Roman" w:eastAsia="Times New Roman" w:hAnsi="Times New Roman" w:cs="Times New Roman"/>
          <w:color w:val="000000"/>
          <w:sz w:val="24"/>
          <w:lang w:eastAsia="ja-JP"/>
        </w:rPr>
      </w:pPr>
      <w:r w:rsidRPr="00A07F29">
        <w:rPr>
          <w:rFonts w:ascii="Times New Roman" w:eastAsia="Times New Roman" w:hAnsi="Times New Roman" w:cs="Times New Roman"/>
          <w:color w:val="000000"/>
          <w:sz w:val="24"/>
          <w:lang w:eastAsia="ja-JP"/>
        </w:rPr>
        <w:t>AAA “Augšdaugava” dibināts 1990.</w:t>
      </w:r>
      <w:r w:rsidR="00D253A7" w:rsidRPr="00A07F29">
        <w:rPr>
          <w:rFonts w:ascii="Times New Roman" w:eastAsia="Times New Roman" w:hAnsi="Times New Roman" w:cs="Times New Roman"/>
          <w:color w:val="000000"/>
          <w:sz w:val="24"/>
          <w:lang w:eastAsia="ja-JP"/>
        </w:rPr>
        <w:t> </w:t>
      </w:r>
      <w:r w:rsidRPr="00A07F29">
        <w:rPr>
          <w:rFonts w:ascii="Times New Roman" w:eastAsia="Times New Roman" w:hAnsi="Times New Roman" w:cs="Times New Roman"/>
          <w:color w:val="000000"/>
          <w:sz w:val="24"/>
          <w:lang w:eastAsia="ja-JP"/>
        </w:rPr>
        <w:t xml:space="preserve">gadā, lai saglabātu izcilas </w:t>
      </w:r>
      <w:proofErr w:type="spellStart"/>
      <w:r w:rsidRPr="00A07F29">
        <w:rPr>
          <w:rFonts w:ascii="Times New Roman" w:eastAsia="Times New Roman" w:hAnsi="Times New Roman" w:cs="Times New Roman"/>
          <w:color w:val="000000"/>
          <w:sz w:val="24"/>
          <w:lang w:eastAsia="ja-JP"/>
        </w:rPr>
        <w:t>kultūrainaviskas</w:t>
      </w:r>
      <w:proofErr w:type="spellEnd"/>
      <w:r w:rsidRPr="00A07F29">
        <w:rPr>
          <w:rFonts w:ascii="Times New Roman" w:eastAsia="Times New Roman" w:hAnsi="Times New Roman" w:cs="Times New Roman"/>
          <w:color w:val="000000"/>
          <w:sz w:val="24"/>
          <w:lang w:eastAsia="ja-JP"/>
        </w:rPr>
        <w:t xml:space="preserve"> un dabaszinātniskas vērtības </w:t>
      </w:r>
      <w:r w:rsidR="006C47FA" w:rsidRPr="00A07F29">
        <w:rPr>
          <w:rFonts w:ascii="Times New Roman" w:eastAsia="Times New Roman" w:hAnsi="Times New Roman" w:cs="Times New Roman"/>
          <w:color w:val="000000"/>
          <w:sz w:val="24"/>
          <w:lang w:eastAsia="ja-JP"/>
        </w:rPr>
        <w:t>Daugavas ielejā un tās apkārtnē un</w:t>
      </w:r>
      <w:r w:rsidR="001C04C6" w:rsidRPr="00A07F29">
        <w:rPr>
          <w:rFonts w:ascii="Times New Roman" w:eastAsia="Times New Roman" w:hAnsi="Times New Roman" w:cs="Times New Roman"/>
          <w:color w:val="000000"/>
          <w:sz w:val="24"/>
          <w:lang w:eastAsia="ja-JP"/>
        </w:rPr>
        <w:t xml:space="preserve"> tā platība ir </w:t>
      </w:r>
      <w:r w:rsidR="001C04C6" w:rsidRPr="00A07F29">
        <w:rPr>
          <w:rFonts w:ascii="Times New Roman" w:eastAsia="Calibri" w:hAnsi="Times New Roman" w:cs="Calibri"/>
          <w:sz w:val="24"/>
          <w:szCs w:val="24"/>
        </w:rPr>
        <w:t>52 </w:t>
      </w:r>
      <w:r w:rsidR="00665C17" w:rsidRPr="00A07F29">
        <w:rPr>
          <w:rFonts w:ascii="Times New Roman" w:eastAsia="Calibri" w:hAnsi="Times New Roman" w:cs="Calibri"/>
          <w:sz w:val="24"/>
          <w:szCs w:val="24"/>
        </w:rPr>
        <w:t xml:space="preserve">078 </w:t>
      </w:r>
      <w:r w:rsidR="001C04C6" w:rsidRPr="00A07F29">
        <w:rPr>
          <w:rFonts w:ascii="Times New Roman" w:eastAsia="Calibri" w:hAnsi="Times New Roman" w:cs="Calibri"/>
          <w:sz w:val="24"/>
          <w:szCs w:val="24"/>
        </w:rPr>
        <w:t xml:space="preserve">ha </w:t>
      </w:r>
      <w:r w:rsidR="006C47FA" w:rsidRPr="00A07F29">
        <w:rPr>
          <w:rFonts w:ascii="Times New Roman" w:eastAsia="Calibri" w:hAnsi="Times New Roman" w:cs="Calibri"/>
          <w:sz w:val="24"/>
          <w:szCs w:val="24"/>
        </w:rPr>
        <w:t>(</w:t>
      </w:r>
      <w:r w:rsidR="001C04C6" w:rsidRPr="00FF01A4">
        <w:rPr>
          <w:rFonts w:ascii="Times New Roman" w:eastAsia="Calibri" w:hAnsi="Times New Roman" w:cs="Calibri"/>
          <w:sz w:val="24"/>
          <w:szCs w:val="24"/>
        </w:rPr>
        <w:t>D</w:t>
      </w:r>
      <w:r w:rsidR="002858B5" w:rsidRPr="00FF01A4">
        <w:rPr>
          <w:rFonts w:ascii="Times New Roman" w:eastAsia="Calibri" w:hAnsi="Times New Roman" w:cs="Calibri"/>
          <w:sz w:val="24"/>
          <w:szCs w:val="24"/>
        </w:rPr>
        <w:t>DPS</w:t>
      </w:r>
      <w:r w:rsidR="006C47FA" w:rsidRPr="00FF01A4">
        <w:rPr>
          <w:rFonts w:ascii="Times New Roman" w:eastAsia="Calibri" w:hAnsi="Times New Roman" w:cs="Calibri"/>
          <w:sz w:val="24"/>
          <w:szCs w:val="24"/>
        </w:rPr>
        <w:t xml:space="preserve"> </w:t>
      </w:r>
      <w:r w:rsidR="00C520E2">
        <w:rPr>
          <w:rFonts w:ascii="Times New Roman" w:eastAsia="Calibri" w:hAnsi="Times New Roman" w:cs="Calibri"/>
          <w:sz w:val="24"/>
          <w:szCs w:val="24"/>
        </w:rPr>
        <w:t>“</w:t>
      </w:r>
      <w:r w:rsidR="001C04C6" w:rsidRPr="00FF01A4">
        <w:rPr>
          <w:rFonts w:ascii="Times New Roman" w:eastAsia="Calibri" w:hAnsi="Times New Roman" w:cs="Calibri"/>
          <w:sz w:val="24"/>
          <w:szCs w:val="24"/>
        </w:rPr>
        <w:t>OZOLS</w:t>
      </w:r>
      <w:r w:rsidR="00C520E2">
        <w:rPr>
          <w:rFonts w:ascii="Times New Roman" w:eastAsia="Calibri" w:hAnsi="Times New Roman" w:cs="Calibri"/>
          <w:sz w:val="24"/>
          <w:szCs w:val="24"/>
        </w:rPr>
        <w:t>”</w:t>
      </w:r>
      <w:r w:rsidR="006C47FA" w:rsidRPr="00A07F29">
        <w:rPr>
          <w:rFonts w:ascii="Times New Roman" w:eastAsia="Calibri" w:hAnsi="Times New Roman" w:cs="Calibri"/>
          <w:sz w:val="24"/>
          <w:szCs w:val="24"/>
        </w:rPr>
        <w:t xml:space="preserve"> dati). </w:t>
      </w:r>
      <w:r w:rsidR="006C47FA" w:rsidRPr="00A07F29">
        <w:rPr>
          <w:rFonts w:ascii="Times New Roman" w:eastAsia="Times New Roman" w:hAnsi="Times New Roman" w:cs="Times New Roman"/>
          <w:color w:val="000000"/>
          <w:sz w:val="24"/>
          <w:lang w:eastAsia="ja-JP"/>
        </w:rPr>
        <w:t>Šīs ĪADT statuss nostiprināts ar MK 1999. gada 23.</w:t>
      </w:r>
      <w:r w:rsidR="00E75A11" w:rsidRPr="00A07F29">
        <w:rPr>
          <w:rFonts w:ascii="Times New Roman" w:eastAsia="Times New Roman" w:hAnsi="Times New Roman" w:cs="Times New Roman"/>
          <w:color w:val="000000"/>
          <w:sz w:val="24"/>
          <w:lang w:eastAsia="ja-JP"/>
        </w:rPr>
        <w:t> </w:t>
      </w:r>
      <w:r w:rsidR="006C47FA" w:rsidRPr="00A07F29">
        <w:rPr>
          <w:rFonts w:ascii="Times New Roman" w:eastAsia="Times New Roman" w:hAnsi="Times New Roman" w:cs="Times New Roman"/>
          <w:color w:val="000000"/>
          <w:sz w:val="24"/>
          <w:lang w:eastAsia="ja-JP"/>
        </w:rPr>
        <w:t>februāra noteikumiem Nr.</w:t>
      </w:r>
      <w:r w:rsidR="00E75A11" w:rsidRPr="00A07F29">
        <w:rPr>
          <w:rFonts w:ascii="Times New Roman" w:eastAsia="Times New Roman" w:hAnsi="Times New Roman" w:cs="Times New Roman"/>
          <w:color w:val="000000"/>
          <w:sz w:val="24"/>
          <w:lang w:eastAsia="ja-JP"/>
        </w:rPr>
        <w:t> </w:t>
      </w:r>
      <w:r w:rsidR="006C47FA" w:rsidRPr="00A07F29">
        <w:rPr>
          <w:rFonts w:ascii="Times New Roman" w:eastAsia="Times New Roman" w:hAnsi="Times New Roman" w:cs="Times New Roman"/>
          <w:color w:val="000000"/>
          <w:sz w:val="24"/>
          <w:lang w:eastAsia="ja-JP"/>
        </w:rPr>
        <w:t xml:space="preserve">69 </w:t>
      </w:r>
      <w:r w:rsidR="00E75A11" w:rsidRPr="00A07F29">
        <w:rPr>
          <w:rFonts w:ascii="Times New Roman" w:eastAsia="Times New Roman" w:hAnsi="Times New Roman" w:cs="Times New Roman"/>
          <w:color w:val="000000"/>
          <w:sz w:val="24"/>
          <w:lang w:eastAsia="ja-JP"/>
        </w:rPr>
        <w:t>“</w:t>
      </w:r>
      <w:r w:rsidR="006C47FA" w:rsidRPr="00A07F29">
        <w:rPr>
          <w:rFonts w:ascii="Times New Roman" w:eastAsia="Times New Roman" w:hAnsi="Times New Roman" w:cs="Times New Roman"/>
          <w:color w:val="000000"/>
          <w:sz w:val="24"/>
          <w:lang w:eastAsia="ja-JP"/>
        </w:rPr>
        <w:t xml:space="preserve">Noteikumi par aizsargājamo ainavu apvidiem”, bet </w:t>
      </w:r>
      <w:r w:rsidR="006C47FA" w:rsidRPr="00A07F29">
        <w:rPr>
          <w:rFonts w:ascii="Times New Roman" w:eastAsia="Calibri" w:hAnsi="Times New Roman" w:cs="Calibri"/>
          <w:sz w:val="24"/>
          <w:szCs w:val="24"/>
        </w:rPr>
        <w:t>2004.</w:t>
      </w:r>
      <w:r w:rsidR="00BA7E4B" w:rsidRPr="00A07F29">
        <w:rPr>
          <w:rFonts w:ascii="Times New Roman" w:eastAsia="Calibri" w:hAnsi="Times New Roman" w:cs="Calibri"/>
          <w:sz w:val="24"/>
          <w:szCs w:val="24"/>
        </w:rPr>
        <w:t> </w:t>
      </w:r>
      <w:r w:rsidR="006C47FA" w:rsidRPr="00A07F29">
        <w:rPr>
          <w:rFonts w:ascii="Times New Roman" w:eastAsia="Calibri" w:hAnsi="Times New Roman" w:cs="Calibri"/>
          <w:sz w:val="24"/>
          <w:szCs w:val="24"/>
        </w:rPr>
        <w:t xml:space="preserve">gadā AAA “Augšdaugava” tika iekļauts </w:t>
      </w:r>
      <w:proofErr w:type="spellStart"/>
      <w:r w:rsidR="006C47FA" w:rsidRPr="00A07F29">
        <w:rPr>
          <w:rFonts w:ascii="Times New Roman" w:eastAsia="Calibri" w:hAnsi="Times New Roman" w:cs="Calibri"/>
          <w:i/>
          <w:sz w:val="24"/>
          <w:szCs w:val="24"/>
        </w:rPr>
        <w:t>Natura</w:t>
      </w:r>
      <w:proofErr w:type="spellEnd"/>
      <w:r w:rsidR="006C47FA" w:rsidRPr="00A07F29">
        <w:rPr>
          <w:rFonts w:ascii="Times New Roman" w:eastAsia="Calibri" w:hAnsi="Times New Roman" w:cs="Calibri"/>
          <w:i/>
          <w:sz w:val="24"/>
          <w:szCs w:val="24"/>
        </w:rPr>
        <w:t xml:space="preserve"> 2000</w:t>
      </w:r>
      <w:r w:rsidR="006C47FA" w:rsidRPr="00A07F29">
        <w:rPr>
          <w:rFonts w:ascii="Times New Roman" w:eastAsia="Calibri" w:hAnsi="Times New Roman" w:cs="Calibri"/>
          <w:sz w:val="24"/>
          <w:szCs w:val="24"/>
        </w:rPr>
        <w:t xml:space="preserve"> teritoriju tīklā (</w:t>
      </w:r>
      <w:r w:rsidR="006C47FA" w:rsidRPr="00A07F29">
        <w:rPr>
          <w:rFonts w:ascii="Times New Roman" w:eastAsia="Times New Roman" w:hAnsi="Times New Roman" w:cs="Times New Roman"/>
          <w:color w:val="000000"/>
          <w:sz w:val="24"/>
          <w:lang w:eastAsia="ja-JP"/>
        </w:rPr>
        <w:t>vietas kods</w:t>
      </w:r>
      <w:r w:rsidR="006C47FA" w:rsidRPr="00A07F29" w:rsidDel="00762533">
        <w:rPr>
          <w:rFonts w:ascii="Times New Roman" w:eastAsia="Times New Roman" w:hAnsi="Times New Roman" w:cs="Times New Roman"/>
          <w:color w:val="000000"/>
          <w:sz w:val="24"/>
          <w:lang w:eastAsia="ja-JP"/>
        </w:rPr>
        <w:t xml:space="preserve"> </w:t>
      </w:r>
      <w:r w:rsidR="006C47FA" w:rsidRPr="00A07F29">
        <w:rPr>
          <w:rFonts w:ascii="Times New Roman" w:eastAsia="Times New Roman" w:hAnsi="Times New Roman" w:cs="Times New Roman"/>
          <w:color w:val="000000"/>
          <w:sz w:val="24"/>
          <w:lang w:eastAsia="ja-JP"/>
        </w:rPr>
        <w:t xml:space="preserve">LV0600400) </w:t>
      </w:r>
      <w:r w:rsidR="006C47FA" w:rsidRPr="00A07F29">
        <w:rPr>
          <w:rFonts w:ascii="Times New Roman" w:eastAsia="Calibri" w:hAnsi="Times New Roman" w:cs="Calibri"/>
          <w:sz w:val="24"/>
          <w:szCs w:val="24"/>
        </w:rPr>
        <w:t xml:space="preserve">kā </w:t>
      </w:r>
      <w:r w:rsidR="00D64CD6" w:rsidRPr="00A07F29">
        <w:rPr>
          <w:rFonts w:ascii="Times New Roman" w:eastAsia="Calibri" w:hAnsi="Times New Roman" w:cs="Calibri"/>
          <w:sz w:val="24"/>
          <w:szCs w:val="24"/>
        </w:rPr>
        <w:t xml:space="preserve">C tipa </w:t>
      </w:r>
      <w:r w:rsidR="006C47FA" w:rsidRPr="00A07F29">
        <w:rPr>
          <w:rFonts w:ascii="Times New Roman" w:eastAsia="Calibri" w:hAnsi="Times New Roman" w:cs="Calibri"/>
          <w:sz w:val="24"/>
          <w:szCs w:val="24"/>
        </w:rPr>
        <w:t xml:space="preserve">teritorija, kas </w:t>
      </w:r>
      <w:r w:rsidR="006C47FA" w:rsidRPr="00FF01A4">
        <w:rPr>
          <w:rFonts w:ascii="Times New Roman" w:eastAsia="Calibri" w:hAnsi="Times New Roman" w:cs="Calibri"/>
          <w:sz w:val="24"/>
          <w:szCs w:val="24"/>
        </w:rPr>
        <w:t>noteikta īpaši aizsargājamo sugu</w:t>
      </w:r>
      <w:r w:rsidR="006F6490" w:rsidRPr="00A07F29">
        <w:rPr>
          <w:rFonts w:ascii="Times New Roman" w:eastAsia="Calibri" w:hAnsi="Times New Roman" w:cs="Calibri"/>
          <w:sz w:val="24"/>
          <w:szCs w:val="24"/>
        </w:rPr>
        <w:t>, tai skaitā putnu,</w:t>
      </w:r>
      <w:r w:rsidR="006C47FA" w:rsidRPr="00A07F29">
        <w:rPr>
          <w:rFonts w:ascii="Times New Roman" w:eastAsia="Calibri" w:hAnsi="Times New Roman" w:cs="Calibri"/>
          <w:sz w:val="24"/>
          <w:szCs w:val="24"/>
        </w:rPr>
        <w:t xml:space="preserve"> un </w:t>
      </w:r>
      <w:r w:rsidR="006C47FA" w:rsidRPr="00FF01A4">
        <w:rPr>
          <w:rFonts w:ascii="Times New Roman" w:eastAsia="Calibri" w:hAnsi="Times New Roman" w:cs="Calibri"/>
          <w:sz w:val="24"/>
          <w:szCs w:val="24"/>
        </w:rPr>
        <w:t>īpaši aizsargājamo</w:t>
      </w:r>
      <w:r w:rsidR="006C47FA" w:rsidRPr="00A07F29">
        <w:rPr>
          <w:rFonts w:ascii="Times New Roman" w:eastAsia="Calibri" w:hAnsi="Times New Roman" w:cs="Calibri"/>
          <w:sz w:val="24"/>
          <w:szCs w:val="24"/>
        </w:rPr>
        <w:t xml:space="preserve"> biotopu aizsardzībai.</w:t>
      </w:r>
    </w:p>
    <w:p w14:paraId="23EBEAFE" w14:textId="79A60538" w:rsidR="006C47FA" w:rsidRPr="00A07F29" w:rsidRDefault="00456EBD" w:rsidP="006C47FA">
      <w:pPr>
        <w:spacing w:after="120" w:line="240" w:lineRule="auto"/>
        <w:ind w:firstLine="851"/>
        <w:jc w:val="both"/>
        <w:rPr>
          <w:rFonts w:ascii="Times New Roman" w:eastAsia="Calibri" w:hAnsi="Times New Roman" w:cs="Calibri"/>
          <w:sz w:val="24"/>
          <w:szCs w:val="24"/>
        </w:rPr>
      </w:pPr>
      <w:r w:rsidRPr="00A07F29">
        <w:rPr>
          <w:rFonts w:ascii="Times New Roman" w:eastAsia="Times New Roman" w:hAnsi="Times New Roman" w:cs="Times New Roman"/>
          <w:color w:val="000000"/>
          <w:sz w:val="24"/>
          <w:lang w:eastAsia="ja-JP"/>
        </w:rPr>
        <w:t xml:space="preserve">AAA </w:t>
      </w:r>
      <w:r w:rsidR="008A4F7D" w:rsidRPr="00A07F29">
        <w:rPr>
          <w:rFonts w:ascii="Times New Roman" w:eastAsia="Times New Roman" w:hAnsi="Times New Roman" w:cs="Times New Roman"/>
          <w:color w:val="000000"/>
          <w:sz w:val="24"/>
          <w:lang w:eastAsia="ja-JP"/>
        </w:rPr>
        <w:t>“</w:t>
      </w:r>
      <w:r w:rsidRPr="00A07F29">
        <w:rPr>
          <w:rFonts w:ascii="Times New Roman" w:eastAsia="Times New Roman" w:hAnsi="Times New Roman" w:cs="Times New Roman"/>
          <w:color w:val="000000"/>
          <w:sz w:val="24"/>
          <w:lang w:eastAsia="ja-JP"/>
        </w:rPr>
        <w:t xml:space="preserve">Augšdaugava” ietver Latvijas teritorijā ģeoloģiski vecāko un savdabīgāko Daugavas </w:t>
      </w:r>
      <w:proofErr w:type="spellStart"/>
      <w:r w:rsidRPr="00A07F29">
        <w:rPr>
          <w:rFonts w:ascii="Times New Roman" w:eastAsia="Times New Roman" w:hAnsi="Times New Roman" w:cs="Times New Roman"/>
          <w:color w:val="000000"/>
          <w:sz w:val="24"/>
          <w:lang w:eastAsia="ja-JP"/>
        </w:rPr>
        <w:t>senielejas</w:t>
      </w:r>
      <w:proofErr w:type="spellEnd"/>
      <w:r w:rsidRPr="00A07F29">
        <w:rPr>
          <w:rFonts w:ascii="Times New Roman" w:eastAsia="Times New Roman" w:hAnsi="Times New Roman" w:cs="Times New Roman"/>
          <w:color w:val="000000"/>
          <w:sz w:val="24"/>
          <w:lang w:eastAsia="ja-JP"/>
        </w:rPr>
        <w:t xml:space="preserve"> posmu un tai piegulošās teritorijas kā vienotu, reģionam raksturīgu dabas un kultūrainavu. </w:t>
      </w:r>
      <w:r w:rsidR="006C47FA" w:rsidRPr="00A07F29">
        <w:rPr>
          <w:rFonts w:ascii="Times New Roman" w:eastAsia="Times New Roman" w:hAnsi="Times New Roman" w:cs="Times New Roman"/>
          <w:color w:val="000000"/>
          <w:sz w:val="24"/>
          <w:lang w:eastAsia="ja-JP"/>
        </w:rPr>
        <w:t>2011.</w:t>
      </w:r>
      <w:r w:rsidR="006355F7" w:rsidRPr="00A07F29">
        <w:rPr>
          <w:rFonts w:ascii="Times New Roman" w:eastAsia="Times New Roman" w:hAnsi="Times New Roman" w:cs="Times New Roman"/>
          <w:color w:val="000000"/>
          <w:sz w:val="24"/>
          <w:lang w:eastAsia="ja-JP"/>
        </w:rPr>
        <w:t> </w:t>
      </w:r>
      <w:r w:rsidR="006C47FA" w:rsidRPr="00A07F29">
        <w:rPr>
          <w:rFonts w:ascii="Times New Roman" w:eastAsia="Times New Roman" w:hAnsi="Times New Roman" w:cs="Times New Roman"/>
          <w:color w:val="000000"/>
          <w:sz w:val="24"/>
          <w:lang w:eastAsia="ja-JP"/>
        </w:rPr>
        <w:t>gada 25.</w:t>
      </w:r>
      <w:r w:rsidR="006355F7" w:rsidRPr="00A07F29">
        <w:rPr>
          <w:rFonts w:ascii="Times New Roman" w:eastAsia="Times New Roman" w:hAnsi="Times New Roman" w:cs="Times New Roman"/>
          <w:color w:val="000000"/>
          <w:sz w:val="24"/>
          <w:lang w:eastAsia="ja-JP"/>
        </w:rPr>
        <w:t> </w:t>
      </w:r>
      <w:r w:rsidR="006C47FA" w:rsidRPr="00A07F29">
        <w:rPr>
          <w:rFonts w:ascii="Times New Roman" w:eastAsia="Times New Roman" w:hAnsi="Times New Roman" w:cs="Times New Roman"/>
          <w:color w:val="000000"/>
          <w:sz w:val="24"/>
          <w:lang w:eastAsia="ja-JP"/>
        </w:rPr>
        <w:t xml:space="preserve">februārī AAA </w:t>
      </w:r>
      <w:r w:rsidR="006355F7" w:rsidRPr="00A07F29">
        <w:rPr>
          <w:rFonts w:ascii="Times New Roman" w:eastAsia="Times New Roman" w:hAnsi="Times New Roman" w:cs="Times New Roman"/>
          <w:color w:val="000000"/>
          <w:sz w:val="24"/>
          <w:lang w:eastAsia="ja-JP"/>
        </w:rPr>
        <w:t>“</w:t>
      </w:r>
      <w:r w:rsidR="006C47FA" w:rsidRPr="00A07F29">
        <w:rPr>
          <w:rFonts w:ascii="Times New Roman" w:eastAsia="Times New Roman" w:hAnsi="Times New Roman" w:cs="Times New Roman"/>
          <w:color w:val="000000"/>
          <w:sz w:val="24"/>
          <w:lang w:eastAsia="ja-JP"/>
        </w:rPr>
        <w:t>Augšdaugava” tika iekļauts UNESCO Pasaules mantojuma Latvijas nacionālajā sarakstā.</w:t>
      </w:r>
    </w:p>
    <w:p w14:paraId="5AB7FB07" w14:textId="1F31D966" w:rsidR="00D25F0E" w:rsidRPr="00A07F29" w:rsidRDefault="00D25F0E" w:rsidP="00D25F0E">
      <w:pPr>
        <w:spacing w:after="120" w:line="240" w:lineRule="auto"/>
        <w:ind w:firstLine="851"/>
        <w:jc w:val="both"/>
        <w:rPr>
          <w:rFonts w:ascii="Times New Roman" w:eastAsia="Times New Roman" w:hAnsi="Times New Roman" w:cs="Times New Roman"/>
          <w:color w:val="000000"/>
          <w:sz w:val="24"/>
          <w:lang w:eastAsia="ja-JP"/>
        </w:rPr>
      </w:pPr>
      <w:r w:rsidRPr="00A07F29">
        <w:rPr>
          <w:rFonts w:ascii="Times New Roman" w:eastAsia="Times New Roman" w:hAnsi="Times New Roman" w:cs="Times New Roman"/>
          <w:color w:val="000000"/>
          <w:sz w:val="24"/>
          <w:lang w:eastAsia="ja-JP"/>
        </w:rPr>
        <w:t xml:space="preserve">AAA </w:t>
      </w:r>
      <w:r w:rsidR="006355F7" w:rsidRPr="00A07F29">
        <w:rPr>
          <w:rFonts w:ascii="Times New Roman" w:eastAsia="Times New Roman" w:hAnsi="Times New Roman" w:cs="Times New Roman"/>
          <w:color w:val="000000"/>
          <w:sz w:val="24"/>
          <w:lang w:eastAsia="ja-JP"/>
        </w:rPr>
        <w:t>“</w:t>
      </w:r>
      <w:r w:rsidRPr="00A07F29">
        <w:rPr>
          <w:rFonts w:ascii="Times New Roman" w:eastAsia="Times New Roman" w:hAnsi="Times New Roman" w:cs="Times New Roman"/>
          <w:color w:val="000000"/>
          <w:sz w:val="24"/>
          <w:lang w:eastAsia="ja-JP"/>
        </w:rPr>
        <w:t xml:space="preserve">Augšdaugava” teritorijā ietilpst dabas parks “Daugavas loki” 12 372 ha platībā, kā arī vairāki ģeoloģiskie un </w:t>
      </w:r>
      <w:proofErr w:type="spellStart"/>
      <w:r w:rsidRPr="00A07F29">
        <w:rPr>
          <w:rFonts w:ascii="Times New Roman" w:eastAsia="Times New Roman" w:hAnsi="Times New Roman" w:cs="Times New Roman"/>
          <w:color w:val="000000"/>
          <w:sz w:val="24"/>
          <w:lang w:eastAsia="ja-JP"/>
        </w:rPr>
        <w:t>ģeomorfoloģiskie</w:t>
      </w:r>
      <w:proofErr w:type="spellEnd"/>
      <w:r w:rsidRPr="00A07F29">
        <w:rPr>
          <w:rFonts w:ascii="Times New Roman" w:eastAsia="Times New Roman" w:hAnsi="Times New Roman" w:cs="Times New Roman"/>
          <w:color w:val="000000"/>
          <w:sz w:val="24"/>
          <w:lang w:eastAsia="ja-JP"/>
        </w:rPr>
        <w:t xml:space="preserve"> dabas pieminekļi: Adamovas krauja, Daugavas vārt</w:t>
      </w:r>
      <w:r w:rsidR="00444BEA" w:rsidRPr="00A07F29">
        <w:rPr>
          <w:rFonts w:ascii="Times New Roman" w:eastAsia="Times New Roman" w:hAnsi="Times New Roman" w:cs="Times New Roman"/>
          <w:color w:val="000000"/>
          <w:sz w:val="24"/>
          <w:lang w:eastAsia="ja-JP"/>
        </w:rPr>
        <w:t>u kraujas</w:t>
      </w:r>
      <w:r w:rsidRPr="00A07F29">
        <w:rPr>
          <w:rFonts w:ascii="Times New Roman" w:eastAsia="Times New Roman" w:hAnsi="Times New Roman" w:cs="Times New Roman"/>
          <w:color w:val="000000"/>
          <w:sz w:val="24"/>
          <w:lang w:eastAsia="ja-JP"/>
        </w:rPr>
        <w:t xml:space="preserve"> (</w:t>
      </w:r>
      <w:proofErr w:type="spellStart"/>
      <w:r w:rsidRPr="00A07F29">
        <w:rPr>
          <w:rFonts w:ascii="Times New Roman" w:eastAsia="Times New Roman" w:hAnsi="Times New Roman" w:cs="Times New Roman"/>
          <w:color w:val="000000"/>
          <w:sz w:val="24"/>
          <w:lang w:eastAsia="ja-JP"/>
        </w:rPr>
        <w:t>Slutišķu</w:t>
      </w:r>
      <w:proofErr w:type="spellEnd"/>
      <w:r w:rsidRPr="00A07F29">
        <w:rPr>
          <w:rFonts w:ascii="Times New Roman" w:eastAsia="Times New Roman" w:hAnsi="Times New Roman" w:cs="Times New Roman"/>
          <w:color w:val="000000"/>
          <w:sz w:val="24"/>
          <w:lang w:eastAsia="ja-JP"/>
        </w:rPr>
        <w:t xml:space="preserve"> un </w:t>
      </w:r>
      <w:proofErr w:type="spellStart"/>
      <w:r w:rsidRPr="00A07F29">
        <w:rPr>
          <w:rFonts w:ascii="Times New Roman" w:eastAsia="Times New Roman" w:hAnsi="Times New Roman" w:cs="Times New Roman"/>
          <w:color w:val="000000"/>
          <w:sz w:val="24"/>
          <w:lang w:eastAsia="ja-JP"/>
        </w:rPr>
        <w:t>Ververu</w:t>
      </w:r>
      <w:proofErr w:type="spellEnd"/>
      <w:r w:rsidRPr="00A07F29">
        <w:rPr>
          <w:rFonts w:ascii="Times New Roman" w:eastAsia="Times New Roman" w:hAnsi="Times New Roman" w:cs="Times New Roman"/>
          <w:color w:val="000000"/>
          <w:sz w:val="24"/>
          <w:lang w:eastAsia="ja-JP"/>
        </w:rPr>
        <w:t xml:space="preserve"> krauja), </w:t>
      </w:r>
      <w:proofErr w:type="spellStart"/>
      <w:r w:rsidRPr="00A07F29">
        <w:rPr>
          <w:rFonts w:ascii="Times New Roman" w:eastAsia="Times New Roman" w:hAnsi="Times New Roman" w:cs="Times New Roman"/>
          <w:color w:val="000000"/>
          <w:sz w:val="24"/>
          <w:lang w:eastAsia="ja-JP"/>
        </w:rPr>
        <w:t>Mālkalnes</w:t>
      </w:r>
      <w:proofErr w:type="spellEnd"/>
      <w:r w:rsidRPr="00A07F29">
        <w:rPr>
          <w:rFonts w:ascii="Times New Roman" w:eastAsia="Times New Roman" w:hAnsi="Times New Roman" w:cs="Times New Roman"/>
          <w:color w:val="000000"/>
          <w:sz w:val="24"/>
          <w:lang w:eastAsia="ja-JP"/>
        </w:rPr>
        <w:t xml:space="preserve"> avot</w:t>
      </w:r>
      <w:r w:rsidR="006C0611" w:rsidRPr="00A07F29">
        <w:rPr>
          <w:rFonts w:ascii="Times New Roman" w:eastAsia="Times New Roman" w:hAnsi="Times New Roman" w:cs="Times New Roman"/>
          <w:color w:val="000000"/>
          <w:sz w:val="24"/>
          <w:lang w:eastAsia="ja-JP"/>
        </w:rPr>
        <w:t>i</w:t>
      </w:r>
      <w:r w:rsidRPr="00A07F29">
        <w:rPr>
          <w:rFonts w:ascii="Times New Roman" w:eastAsia="Times New Roman" w:hAnsi="Times New Roman" w:cs="Times New Roman"/>
          <w:color w:val="000000"/>
          <w:sz w:val="24"/>
          <w:lang w:eastAsia="ja-JP"/>
        </w:rPr>
        <w:t xml:space="preserve">, </w:t>
      </w:r>
      <w:proofErr w:type="spellStart"/>
      <w:r w:rsidRPr="00A07F29">
        <w:rPr>
          <w:rFonts w:ascii="Times New Roman" w:eastAsia="Times New Roman" w:hAnsi="Times New Roman" w:cs="Times New Roman"/>
          <w:color w:val="000000"/>
          <w:sz w:val="24"/>
          <w:lang w:eastAsia="ja-JP"/>
        </w:rPr>
        <w:t>Sandarišku</w:t>
      </w:r>
      <w:proofErr w:type="spellEnd"/>
      <w:r w:rsidRPr="00A07F29">
        <w:rPr>
          <w:rFonts w:ascii="Times New Roman" w:eastAsia="Times New Roman" w:hAnsi="Times New Roman" w:cs="Times New Roman"/>
          <w:color w:val="000000"/>
          <w:sz w:val="24"/>
          <w:lang w:eastAsia="ja-JP"/>
        </w:rPr>
        <w:t xml:space="preserve"> </w:t>
      </w:r>
      <w:proofErr w:type="spellStart"/>
      <w:r w:rsidRPr="00A07F29">
        <w:rPr>
          <w:rFonts w:ascii="Times New Roman" w:eastAsia="Times New Roman" w:hAnsi="Times New Roman" w:cs="Times New Roman"/>
          <w:color w:val="000000"/>
          <w:sz w:val="24"/>
          <w:lang w:eastAsia="ja-JP"/>
        </w:rPr>
        <w:t>karengravas</w:t>
      </w:r>
      <w:proofErr w:type="spellEnd"/>
      <w:r w:rsidRPr="00A07F29">
        <w:rPr>
          <w:rFonts w:ascii="Times New Roman" w:eastAsia="Times New Roman" w:hAnsi="Times New Roman" w:cs="Times New Roman"/>
          <w:color w:val="000000"/>
          <w:sz w:val="24"/>
          <w:lang w:eastAsia="ja-JP"/>
        </w:rPr>
        <w:t xml:space="preserve">, Sproģu gravas, </w:t>
      </w:r>
      <w:proofErr w:type="spellStart"/>
      <w:r w:rsidRPr="00A07F29">
        <w:rPr>
          <w:rFonts w:ascii="Times New Roman" w:eastAsia="Times New Roman" w:hAnsi="Times New Roman" w:cs="Times New Roman"/>
          <w:color w:val="000000"/>
          <w:sz w:val="24"/>
          <w:lang w:eastAsia="ja-JP"/>
        </w:rPr>
        <w:t>Viļušu</w:t>
      </w:r>
      <w:proofErr w:type="spellEnd"/>
      <w:r w:rsidRPr="00A07F29">
        <w:rPr>
          <w:rFonts w:ascii="Times New Roman" w:eastAsia="Times New Roman" w:hAnsi="Times New Roman" w:cs="Times New Roman"/>
          <w:color w:val="000000"/>
          <w:sz w:val="24"/>
          <w:lang w:eastAsia="ja-JP"/>
        </w:rPr>
        <w:t xml:space="preserve"> avots un aizsargājamie dendroloģiskie stādījumi: </w:t>
      </w:r>
      <w:proofErr w:type="spellStart"/>
      <w:r w:rsidRPr="00A07F29">
        <w:rPr>
          <w:rFonts w:ascii="Times New Roman" w:eastAsia="Times New Roman" w:hAnsi="Times New Roman" w:cs="Times New Roman"/>
          <w:color w:val="000000"/>
          <w:sz w:val="24"/>
          <w:lang w:eastAsia="ja-JP"/>
        </w:rPr>
        <w:t>Hoftenbergas</w:t>
      </w:r>
      <w:proofErr w:type="spellEnd"/>
      <w:r w:rsidRPr="00A07F29">
        <w:rPr>
          <w:rFonts w:ascii="Times New Roman" w:eastAsia="Times New Roman" w:hAnsi="Times New Roman" w:cs="Times New Roman"/>
          <w:color w:val="000000"/>
          <w:sz w:val="24"/>
          <w:lang w:eastAsia="ja-JP"/>
        </w:rPr>
        <w:t xml:space="preserve"> parks, </w:t>
      </w:r>
      <w:proofErr w:type="spellStart"/>
      <w:r w:rsidRPr="00A07F29">
        <w:rPr>
          <w:rFonts w:ascii="Times New Roman" w:eastAsia="Times New Roman" w:hAnsi="Times New Roman" w:cs="Times New Roman"/>
          <w:color w:val="000000"/>
          <w:sz w:val="24"/>
          <w:lang w:eastAsia="ja-JP"/>
        </w:rPr>
        <w:t>Juzefovas</w:t>
      </w:r>
      <w:proofErr w:type="spellEnd"/>
      <w:r w:rsidRPr="00A07F29">
        <w:rPr>
          <w:rFonts w:ascii="Times New Roman" w:eastAsia="Times New Roman" w:hAnsi="Times New Roman" w:cs="Times New Roman"/>
          <w:color w:val="000000"/>
          <w:sz w:val="24"/>
          <w:lang w:eastAsia="ja-JP"/>
        </w:rPr>
        <w:t xml:space="preserve"> parks, </w:t>
      </w:r>
      <w:r w:rsidR="00DC5BCD" w:rsidRPr="00A07F29">
        <w:rPr>
          <w:rFonts w:ascii="Times New Roman" w:eastAsia="Times New Roman" w:hAnsi="Times New Roman" w:cs="Times New Roman"/>
          <w:color w:val="000000"/>
          <w:sz w:val="24"/>
          <w:lang w:eastAsia="ja-JP"/>
        </w:rPr>
        <w:t xml:space="preserve">kā arī aizsargājamā </w:t>
      </w:r>
      <w:proofErr w:type="spellStart"/>
      <w:r w:rsidRPr="00A07F29">
        <w:rPr>
          <w:rFonts w:ascii="Times New Roman" w:eastAsia="Times New Roman" w:hAnsi="Times New Roman" w:cs="Times New Roman"/>
          <w:color w:val="000000"/>
          <w:sz w:val="24"/>
          <w:lang w:eastAsia="ja-JP"/>
        </w:rPr>
        <w:t>Rozališķu</w:t>
      </w:r>
      <w:proofErr w:type="spellEnd"/>
      <w:r w:rsidRPr="00A07F29">
        <w:rPr>
          <w:rFonts w:ascii="Times New Roman" w:eastAsia="Times New Roman" w:hAnsi="Times New Roman" w:cs="Times New Roman"/>
          <w:color w:val="000000"/>
          <w:sz w:val="24"/>
          <w:lang w:eastAsia="ja-JP"/>
        </w:rPr>
        <w:t xml:space="preserve"> </w:t>
      </w:r>
      <w:r w:rsidR="00D63B46" w:rsidRPr="00A07F29">
        <w:rPr>
          <w:rFonts w:ascii="Times New Roman" w:eastAsia="Times New Roman" w:hAnsi="Times New Roman" w:cs="Times New Roman"/>
          <w:color w:val="000000"/>
          <w:sz w:val="24"/>
          <w:lang w:eastAsia="ja-JP"/>
        </w:rPr>
        <w:t>aleja</w:t>
      </w:r>
      <w:r w:rsidRPr="00A07F29">
        <w:rPr>
          <w:rFonts w:ascii="Times New Roman" w:eastAsia="Times New Roman" w:hAnsi="Times New Roman" w:cs="Times New Roman"/>
          <w:color w:val="000000"/>
          <w:sz w:val="24"/>
          <w:lang w:eastAsia="ja-JP"/>
        </w:rPr>
        <w:t>.</w:t>
      </w:r>
    </w:p>
    <w:p w14:paraId="05993647" w14:textId="3F724861" w:rsidR="00D25F0E" w:rsidRPr="00A07F29" w:rsidRDefault="00C12B08" w:rsidP="00D25F0E">
      <w:pPr>
        <w:spacing w:after="120" w:line="240" w:lineRule="auto"/>
        <w:ind w:firstLine="851"/>
        <w:jc w:val="both"/>
        <w:rPr>
          <w:rFonts w:ascii="Times New Roman" w:eastAsia="Times New Roman" w:hAnsi="Times New Roman" w:cs="Times New Roman"/>
          <w:color w:val="000000"/>
          <w:sz w:val="24"/>
          <w:lang w:eastAsia="ja-JP"/>
        </w:rPr>
      </w:pPr>
      <w:r w:rsidRPr="00A07F29">
        <w:rPr>
          <w:rFonts w:ascii="Times New Roman" w:eastAsia="Times New Roman" w:hAnsi="Times New Roman" w:cs="Times New Roman"/>
          <w:color w:val="000000"/>
          <w:sz w:val="24"/>
          <w:lang w:eastAsia="ja-JP"/>
        </w:rPr>
        <w:t>DA plāns visai AAA “Augšdaugava” teritorijai</w:t>
      </w:r>
      <w:r w:rsidR="006C47FA" w:rsidRPr="00A07F29">
        <w:rPr>
          <w:rFonts w:ascii="Times New Roman" w:eastAsia="Times New Roman" w:hAnsi="Times New Roman" w:cs="Times New Roman"/>
          <w:color w:val="000000"/>
          <w:sz w:val="24"/>
          <w:lang w:eastAsia="ja-JP"/>
        </w:rPr>
        <w:t xml:space="preserve"> līdz šim nav bijis </w:t>
      </w:r>
      <w:r w:rsidRPr="00A07F29">
        <w:rPr>
          <w:rFonts w:ascii="Times New Roman" w:eastAsia="Times New Roman" w:hAnsi="Times New Roman" w:cs="Times New Roman"/>
          <w:color w:val="000000"/>
          <w:sz w:val="24"/>
          <w:lang w:eastAsia="ja-JP"/>
        </w:rPr>
        <w:t>izstrādāts, taču 2014.</w:t>
      </w:r>
      <w:r w:rsidR="00F9416D" w:rsidRPr="00A07F29">
        <w:rPr>
          <w:rFonts w:ascii="Times New Roman" w:eastAsia="Times New Roman" w:hAnsi="Times New Roman" w:cs="Times New Roman"/>
          <w:color w:val="000000"/>
          <w:sz w:val="24"/>
          <w:lang w:eastAsia="ja-JP"/>
        </w:rPr>
        <w:t> </w:t>
      </w:r>
      <w:r w:rsidRPr="00A07F29">
        <w:rPr>
          <w:rFonts w:ascii="Times New Roman" w:eastAsia="Times New Roman" w:hAnsi="Times New Roman" w:cs="Times New Roman"/>
          <w:color w:val="000000"/>
          <w:sz w:val="24"/>
          <w:lang w:eastAsia="ja-JP"/>
        </w:rPr>
        <w:t xml:space="preserve">gadā Latvijas-Lietuvas-Baltkrievijas pārrobežu sadarbības programmas projektā LLB-2-258 </w:t>
      </w:r>
      <w:r w:rsidR="00E92E5D" w:rsidRPr="00A07F29">
        <w:rPr>
          <w:rFonts w:ascii="Times New Roman" w:eastAsia="Times New Roman" w:hAnsi="Times New Roman" w:cs="Times New Roman"/>
          <w:color w:val="000000"/>
          <w:sz w:val="24"/>
          <w:lang w:eastAsia="ja-JP"/>
        </w:rPr>
        <w:t>–</w:t>
      </w:r>
      <w:r w:rsidRPr="00A07F29">
        <w:rPr>
          <w:rFonts w:ascii="Times New Roman" w:eastAsia="Times New Roman" w:hAnsi="Times New Roman" w:cs="Times New Roman"/>
          <w:color w:val="000000"/>
          <w:sz w:val="24"/>
          <w:lang w:eastAsia="ja-JP"/>
        </w:rPr>
        <w:t xml:space="preserve"> </w:t>
      </w:r>
      <w:r w:rsidR="00E92E5D" w:rsidRPr="00A07F29">
        <w:rPr>
          <w:rFonts w:ascii="Times New Roman" w:eastAsia="Times New Roman" w:hAnsi="Times New Roman" w:cs="Times New Roman"/>
          <w:color w:val="000000"/>
          <w:sz w:val="24"/>
          <w:lang w:eastAsia="ja-JP"/>
        </w:rPr>
        <w:t>“</w:t>
      </w:r>
      <w:r w:rsidRPr="00A07F29">
        <w:rPr>
          <w:rFonts w:ascii="Times New Roman" w:eastAsia="Times New Roman" w:hAnsi="Times New Roman" w:cs="Times New Roman"/>
          <w:color w:val="000000"/>
          <w:sz w:val="24"/>
          <w:lang w:eastAsia="ja-JP"/>
        </w:rPr>
        <w:t>Pārrobežu daba”/</w:t>
      </w:r>
      <w:r w:rsidR="00E92E5D" w:rsidRPr="00A07F29">
        <w:rPr>
          <w:rFonts w:ascii="Times New Roman" w:eastAsia="Times New Roman" w:hAnsi="Times New Roman" w:cs="Times New Roman"/>
          <w:color w:val="000000"/>
          <w:sz w:val="24"/>
          <w:lang w:eastAsia="ja-JP"/>
        </w:rPr>
        <w:t>“</w:t>
      </w:r>
      <w:proofErr w:type="spellStart"/>
      <w:r w:rsidRPr="00A07F29">
        <w:rPr>
          <w:rFonts w:ascii="Times New Roman" w:eastAsia="Times New Roman" w:hAnsi="Times New Roman" w:cs="Times New Roman"/>
          <w:color w:val="000000"/>
          <w:sz w:val="24"/>
          <w:lang w:eastAsia="ja-JP"/>
        </w:rPr>
        <w:t>Cross-border</w:t>
      </w:r>
      <w:proofErr w:type="spellEnd"/>
      <w:r w:rsidRPr="00A07F29">
        <w:rPr>
          <w:rFonts w:ascii="Times New Roman" w:eastAsia="Times New Roman" w:hAnsi="Times New Roman" w:cs="Times New Roman"/>
          <w:color w:val="000000"/>
          <w:sz w:val="24"/>
          <w:lang w:eastAsia="ja-JP"/>
        </w:rPr>
        <w:t xml:space="preserve"> Nature</w:t>
      </w:r>
      <w:r w:rsidR="00E92E5D" w:rsidRPr="00A07F29">
        <w:rPr>
          <w:rFonts w:ascii="Times New Roman" w:eastAsia="Times New Roman" w:hAnsi="Times New Roman" w:cs="Times New Roman"/>
          <w:color w:val="000000"/>
          <w:sz w:val="24"/>
          <w:lang w:eastAsia="ja-JP"/>
        </w:rPr>
        <w:t>”</w:t>
      </w:r>
      <w:r w:rsidRPr="00A07F29">
        <w:rPr>
          <w:rFonts w:ascii="Times New Roman" w:eastAsia="Times New Roman" w:hAnsi="Times New Roman" w:cs="Times New Roman"/>
          <w:color w:val="000000"/>
          <w:sz w:val="24"/>
          <w:lang w:eastAsia="ja-JP"/>
        </w:rPr>
        <w:t xml:space="preserve"> tika sagatavots AAA “Augšdaugava” </w:t>
      </w:r>
      <w:r w:rsidRPr="00A07F29">
        <w:rPr>
          <w:rFonts w:ascii="Times New Roman" w:eastAsia="Times New Roman" w:hAnsi="Times New Roman" w:cs="Times New Roman"/>
          <w:color w:val="000000"/>
          <w:sz w:val="24"/>
          <w:lang w:eastAsia="ja-JP"/>
        </w:rPr>
        <w:lastRenderedPageBreak/>
        <w:t>pārvaldības plāns</w:t>
      </w:r>
      <w:r w:rsidR="00C21D24" w:rsidRPr="00A07F29">
        <w:rPr>
          <w:rFonts w:ascii="Times New Roman" w:eastAsia="Times New Roman" w:hAnsi="Times New Roman" w:cs="Times New Roman"/>
          <w:color w:val="000000"/>
          <w:sz w:val="24"/>
          <w:lang w:eastAsia="ja-JP"/>
        </w:rPr>
        <w:t xml:space="preserve"> 2015. </w:t>
      </w:r>
      <w:r w:rsidR="00E420FE" w:rsidRPr="00A07F29">
        <w:rPr>
          <w:rFonts w:ascii="Times New Roman" w:eastAsia="Times New Roman" w:hAnsi="Times New Roman" w:cs="Times New Roman"/>
          <w:color w:val="000000"/>
          <w:sz w:val="24"/>
          <w:lang w:eastAsia="ja-JP"/>
        </w:rPr>
        <w:t>–</w:t>
      </w:r>
      <w:r w:rsidR="00C21D24" w:rsidRPr="00A07F29">
        <w:rPr>
          <w:rFonts w:ascii="Times New Roman" w:eastAsia="Times New Roman" w:hAnsi="Times New Roman" w:cs="Times New Roman"/>
          <w:color w:val="000000"/>
          <w:sz w:val="24"/>
          <w:lang w:eastAsia="ja-JP"/>
        </w:rPr>
        <w:t xml:space="preserve"> 2027.</w:t>
      </w:r>
      <w:r w:rsidR="00E420FE" w:rsidRPr="00A07F29">
        <w:rPr>
          <w:rFonts w:ascii="Times New Roman" w:eastAsia="Times New Roman" w:hAnsi="Times New Roman" w:cs="Times New Roman"/>
          <w:color w:val="000000"/>
          <w:sz w:val="24"/>
          <w:lang w:eastAsia="ja-JP"/>
        </w:rPr>
        <w:t> </w:t>
      </w:r>
      <w:r w:rsidR="00C21D24" w:rsidRPr="00A07F29">
        <w:rPr>
          <w:rFonts w:ascii="Times New Roman" w:eastAsia="Times New Roman" w:hAnsi="Times New Roman" w:cs="Times New Roman"/>
          <w:color w:val="000000"/>
          <w:sz w:val="24"/>
          <w:lang w:eastAsia="ja-JP"/>
        </w:rPr>
        <w:t>gadam</w:t>
      </w:r>
      <w:r w:rsidRPr="00A07F29">
        <w:rPr>
          <w:rFonts w:ascii="Times New Roman" w:eastAsia="Times New Roman" w:hAnsi="Times New Roman" w:cs="Times New Roman"/>
          <w:color w:val="000000"/>
          <w:sz w:val="24"/>
          <w:lang w:eastAsia="ja-JP"/>
        </w:rPr>
        <w:t xml:space="preserve">, apkopojot pieejamo informāciju par dabas vērtībām un sniedzot ieteikumus apsaimniekošanai. </w:t>
      </w:r>
      <w:r w:rsidR="006C47FA" w:rsidRPr="00A07F29">
        <w:rPr>
          <w:rFonts w:ascii="Times New Roman" w:eastAsia="Times New Roman" w:hAnsi="Times New Roman" w:cs="Times New Roman"/>
          <w:color w:val="000000"/>
          <w:sz w:val="24"/>
          <w:lang w:eastAsia="ja-JP"/>
        </w:rPr>
        <w:t xml:space="preserve">DP </w:t>
      </w:r>
      <w:r w:rsidR="00E420FE" w:rsidRPr="00A07F29">
        <w:rPr>
          <w:rFonts w:ascii="Times New Roman" w:eastAsia="Times New Roman" w:hAnsi="Times New Roman" w:cs="Times New Roman"/>
          <w:color w:val="000000"/>
          <w:sz w:val="24"/>
          <w:lang w:eastAsia="ja-JP"/>
        </w:rPr>
        <w:t>“</w:t>
      </w:r>
      <w:r w:rsidR="006C47FA" w:rsidRPr="00A07F29">
        <w:rPr>
          <w:rFonts w:ascii="Times New Roman" w:eastAsia="Times New Roman" w:hAnsi="Times New Roman" w:cs="Times New Roman"/>
          <w:color w:val="000000"/>
          <w:sz w:val="24"/>
          <w:lang w:eastAsia="ja-JP"/>
        </w:rPr>
        <w:t xml:space="preserve">Daugavas loki” ir </w:t>
      </w:r>
      <w:r w:rsidR="00757E4C" w:rsidRPr="00A07F29">
        <w:rPr>
          <w:rFonts w:ascii="Times New Roman" w:eastAsia="Times New Roman" w:hAnsi="Times New Roman" w:cs="Times New Roman"/>
          <w:color w:val="000000"/>
          <w:sz w:val="24"/>
          <w:lang w:eastAsia="ja-JP"/>
        </w:rPr>
        <w:t>ticis izstrādāts un apstiprināts</w:t>
      </w:r>
      <w:r w:rsidRPr="00A07F29">
        <w:rPr>
          <w:rFonts w:ascii="Times New Roman" w:eastAsia="Times New Roman" w:hAnsi="Times New Roman" w:cs="Times New Roman"/>
          <w:color w:val="000000"/>
          <w:sz w:val="24"/>
          <w:lang w:eastAsia="ja-JP"/>
        </w:rPr>
        <w:t xml:space="preserve"> </w:t>
      </w:r>
      <w:r w:rsidR="00BF0E06" w:rsidRPr="00A07F29">
        <w:rPr>
          <w:rFonts w:ascii="Times New Roman" w:eastAsia="Times New Roman" w:hAnsi="Times New Roman" w:cs="Times New Roman"/>
          <w:color w:val="000000"/>
          <w:sz w:val="24"/>
          <w:lang w:eastAsia="ja-JP"/>
        </w:rPr>
        <w:t>DA plāns</w:t>
      </w:r>
      <w:r w:rsidRPr="00A07F29">
        <w:rPr>
          <w:rFonts w:ascii="Times New Roman" w:eastAsia="Times New Roman" w:hAnsi="Times New Roman" w:cs="Times New Roman"/>
          <w:color w:val="000000"/>
          <w:sz w:val="24"/>
          <w:lang w:eastAsia="ja-JP"/>
        </w:rPr>
        <w:t xml:space="preserve"> </w:t>
      </w:r>
      <w:r w:rsidR="006C47FA" w:rsidRPr="00A07F29">
        <w:rPr>
          <w:rFonts w:ascii="Times New Roman" w:eastAsia="Times New Roman" w:hAnsi="Times New Roman" w:cs="Times New Roman"/>
          <w:color w:val="000000"/>
          <w:sz w:val="24"/>
          <w:lang w:eastAsia="ja-JP"/>
        </w:rPr>
        <w:t>2010.</w:t>
      </w:r>
      <w:r w:rsidR="003E1211" w:rsidRPr="00A07F29">
        <w:rPr>
          <w:rFonts w:ascii="Times New Roman" w:eastAsia="Times New Roman" w:hAnsi="Times New Roman" w:cs="Times New Roman"/>
          <w:color w:val="000000"/>
          <w:sz w:val="24"/>
          <w:lang w:eastAsia="ja-JP"/>
        </w:rPr>
        <w:t> – </w:t>
      </w:r>
      <w:r w:rsidR="006C47FA" w:rsidRPr="00A07F29">
        <w:rPr>
          <w:rFonts w:ascii="Times New Roman" w:eastAsia="Times New Roman" w:hAnsi="Times New Roman" w:cs="Times New Roman"/>
          <w:color w:val="000000"/>
          <w:sz w:val="24"/>
          <w:lang w:eastAsia="ja-JP"/>
        </w:rPr>
        <w:t>2022.</w:t>
      </w:r>
      <w:r w:rsidR="00E420FE" w:rsidRPr="00A07F29">
        <w:rPr>
          <w:rFonts w:ascii="Times New Roman" w:eastAsia="Times New Roman" w:hAnsi="Times New Roman" w:cs="Times New Roman"/>
          <w:color w:val="000000"/>
          <w:sz w:val="24"/>
          <w:lang w:eastAsia="ja-JP"/>
        </w:rPr>
        <w:t> </w:t>
      </w:r>
      <w:r w:rsidR="006C47FA" w:rsidRPr="00A07F29">
        <w:rPr>
          <w:rFonts w:ascii="Times New Roman" w:eastAsia="Times New Roman" w:hAnsi="Times New Roman" w:cs="Times New Roman"/>
          <w:color w:val="000000"/>
          <w:sz w:val="24"/>
          <w:lang w:eastAsia="ja-JP"/>
        </w:rPr>
        <w:t>gadam</w:t>
      </w:r>
      <w:r w:rsidR="00D25F0E" w:rsidRPr="00A07F29">
        <w:rPr>
          <w:rFonts w:ascii="Times New Roman" w:eastAsia="Times New Roman" w:hAnsi="Times New Roman" w:cs="Times New Roman"/>
          <w:color w:val="000000"/>
          <w:sz w:val="24"/>
          <w:lang w:eastAsia="ja-JP"/>
        </w:rPr>
        <w:t>.</w:t>
      </w:r>
    </w:p>
    <w:p w14:paraId="761230A5" w14:textId="3DB499F2" w:rsidR="00DB74D2" w:rsidRPr="00A07F29" w:rsidRDefault="00D25F0E" w:rsidP="00DB74D2">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Atbilstoši </w:t>
      </w:r>
      <w:r w:rsidR="00E92E5D" w:rsidRPr="00A07F29">
        <w:rPr>
          <w:rFonts w:ascii="Times New Roman" w:eastAsia="Calibri" w:hAnsi="Times New Roman" w:cs="Calibri"/>
          <w:sz w:val="24"/>
        </w:rPr>
        <w:t>l</w:t>
      </w:r>
      <w:r w:rsidRPr="00A07F29">
        <w:rPr>
          <w:rFonts w:ascii="Times New Roman" w:eastAsia="Calibri" w:hAnsi="Times New Roman" w:cs="Calibri"/>
          <w:sz w:val="24"/>
        </w:rPr>
        <w:t xml:space="preserve">ikumam par ĪADT, </w:t>
      </w:r>
      <w:r w:rsidR="00FA70BD">
        <w:rPr>
          <w:rFonts w:ascii="Times New Roman" w:eastAsia="Calibri" w:hAnsi="Times New Roman" w:cs="Calibri"/>
          <w:sz w:val="24"/>
        </w:rPr>
        <w:t>AAA</w:t>
      </w:r>
      <w:r w:rsidRPr="00A07F29">
        <w:rPr>
          <w:rFonts w:ascii="Times New Roman" w:eastAsia="Calibri" w:hAnsi="Times New Roman" w:cs="Calibri"/>
          <w:sz w:val="24"/>
        </w:rPr>
        <w:t xml:space="preserve"> ir teritorijas, kas izceļas ar savdabīgu vai daudzveidīgu ainavu, un to mērķis ir aizsargāt un saglabāt raksturīgo ainavu un tos ainavas elementus, kas ir būtiski aizsargājamo sugu un biotopu ekoloģisko funkciju nodrošināšanai, Latvijai raksturīgajai kultūrvidei un ainavas daudzveidībai, kā arī nodrošināt sabiedrības atpūtai un tūrismam piemērotas vides saglabāšanu un dabu saudzējošu aps</w:t>
      </w:r>
      <w:r w:rsidR="00DB74D2" w:rsidRPr="00A07F29">
        <w:rPr>
          <w:rFonts w:ascii="Times New Roman" w:eastAsia="Calibri" w:hAnsi="Times New Roman" w:cs="Calibri"/>
          <w:sz w:val="24"/>
        </w:rPr>
        <w:t xml:space="preserve">aimniekošanu. Vēsturiski mainoties </w:t>
      </w:r>
      <w:proofErr w:type="spellStart"/>
      <w:r w:rsidR="00DB74D2" w:rsidRPr="00A07F29">
        <w:rPr>
          <w:rFonts w:ascii="Times New Roman" w:eastAsia="Calibri" w:hAnsi="Times New Roman" w:cs="Calibri"/>
          <w:sz w:val="24"/>
        </w:rPr>
        <w:t>apdzīvojuma</w:t>
      </w:r>
      <w:proofErr w:type="spellEnd"/>
      <w:r w:rsidR="00DB74D2" w:rsidRPr="00A07F29">
        <w:rPr>
          <w:rFonts w:ascii="Times New Roman" w:eastAsia="Calibri" w:hAnsi="Times New Roman" w:cs="Calibri"/>
          <w:sz w:val="24"/>
        </w:rPr>
        <w:t xml:space="preserve"> struktūrai, politiskajai un reliģiskajai varai, tirdzniecības aktivitātēm, AAA “Augšdaugava” ir veidojusies apbūves un etniskā ziņā </w:t>
      </w:r>
      <w:r w:rsidR="002A206A" w:rsidRPr="00A07F29">
        <w:rPr>
          <w:rFonts w:ascii="Times New Roman" w:eastAsia="Calibri" w:hAnsi="Times New Roman" w:cs="Calibri"/>
          <w:sz w:val="24"/>
        </w:rPr>
        <w:t>daudzveidīga</w:t>
      </w:r>
      <w:r w:rsidR="00DB74D2" w:rsidRPr="00A07F29">
        <w:rPr>
          <w:rFonts w:ascii="Times New Roman" w:eastAsia="Calibri" w:hAnsi="Times New Roman" w:cs="Calibri"/>
          <w:sz w:val="24"/>
        </w:rPr>
        <w:t xml:space="preserve"> </w:t>
      </w:r>
      <w:proofErr w:type="spellStart"/>
      <w:r w:rsidR="00DB74D2" w:rsidRPr="00A07F29">
        <w:rPr>
          <w:rFonts w:ascii="Times New Roman" w:eastAsia="Calibri" w:hAnsi="Times New Roman" w:cs="Calibri"/>
          <w:sz w:val="24"/>
        </w:rPr>
        <w:t>apdzīvojuma</w:t>
      </w:r>
      <w:proofErr w:type="spellEnd"/>
      <w:r w:rsidR="00DB74D2" w:rsidRPr="00A07F29">
        <w:rPr>
          <w:rFonts w:ascii="Times New Roman" w:eastAsia="Calibri" w:hAnsi="Times New Roman" w:cs="Calibri"/>
          <w:sz w:val="24"/>
        </w:rPr>
        <w:t xml:space="preserve"> aina. Līdz ar to viena no teritorijas unikālajām iezīmēm un vērtībām ir dažādu vēstures posmu kultūras (vēstures un arheoloģijas) pieminekļu ievērojams blīvums. Cilvēka dzīve un darbība šajā teritorijā ir veidojusi ainavu gar Daugavu, papildinājusi dabas apstākļu radīto, līdz ar to vietējai sabiedrībai ir būtiska nozīme AAA </w:t>
      </w:r>
      <w:r w:rsidR="00E92E5D" w:rsidRPr="00A07F29">
        <w:rPr>
          <w:rFonts w:ascii="Times New Roman" w:eastAsia="Calibri" w:hAnsi="Times New Roman" w:cs="Calibri"/>
          <w:sz w:val="24"/>
        </w:rPr>
        <w:t>“</w:t>
      </w:r>
      <w:r w:rsidR="00DB74D2" w:rsidRPr="00A07F29">
        <w:rPr>
          <w:rFonts w:ascii="Times New Roman" w:eastAsia="Calibri" w:hAnsi="Times New Roman" w:cs="Calibri"/>
          <w:sz w:val="24"/>
        </w:rPr>
        <w:t>Augšdaugava</w:t>
      </w:r>
      <w:r w:rsidR="00E92E5D" w:rsidRPr="00A07F29">
        <w:rPr>
          <w:rFonts w:ascii="Times New Roman" w:eastAsia="Calibri" w:hAnsi="Times New Roman" w:cs="Calibri"/>
          <w:sz w:val="24"/>
        </w:rPr>
        <w:t>”</w:t>
      </w:r>
      <w:r w:rsidR="00DB74D2" w:rsidRPr="00A07F29">
        <w:rPr>
          <w:rFonts w:ascii="Times New Roman" w:eastAsia="Calibri" w:hAnsi="Times New Roman" w:cs="Calibri"/>
          <w:sz w:val="24"/>
        </w:rPr>
        <w:t xml:space="preserve"> turpmākajā apsaimniekošanā un ainavas un dabas vērtību kopšanā un saglabāšanā.</w:t>
      </w:r>
    </w:p>
    <w:p w14:paraId="102C432D" w14:textId="24EB4460" w:rsidR="00DB74D2" w:rsidRPr="00A07F29" w:rsidRDefault="00DB74D2" w:rsidP="00DB74D2">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Vienlaikus AAA “Augšdaugava” noteikts kā </w:t>
      </w:r>
      <w:proofErr w:type="spellStart"/>
      <w:r w:rsidRPr="00A07F29">
        <w:rPr>
          <w:rFonts w:ascii="Times New Roman" w:eastAsia="Calibri" w:hAnsi="Times New Roman" w:cs="Calibri"/>
          <w:i/>
          <w:sz w:val="24"/>
        </w:rPr>
        <w:t>Natura</w:t>
      </w:r>
      <w:proofErr w:type="spellEnd"/>
      <w:r w:rsidRPr="00A07F29">
        <w:rPr>
          <w:rFonts w:ascii="Times New Roman" w:eastAsia="Calibri" w:hAnsi="Times New Roman" w:cs="Calibri"/>
          <w:i/>
          <w:sz w:val="24"/>
        </w:rPr>
        <w:t xml:space="preserve"> 2000</w:t>
      </w:r>
      <w:r w:rsidRPr="00A07F29">
        <w:rPr>
          <w:rFonts w:ascii="Times New Roman" w:eastAsia="Calibri" w:hAnsi="Times New Roman" w:cs="Calibri"/>
          <w:sz w:val="24"/>
        </w:rPr>
        <w:t xml:space="preserve"> teritorija ar mērķi saglabāt teritorijas galvenās dabas vērtības – ES nozīmes biotopus 3260 </w:t>
      </w:r>
      <w:r w:rsidRPr="00A07F29">
        <w:rPr>
          <w:rFonts w:ascii="Times New Roman" w:eastAsia="Calibri" w:hAnsi="Times New Roman" w:cs="Calibri"/>
          <w:i/>
          <w:sz w:val="24"/>
        </w:rPr>
        <w:t>Upju straujteces un dabiski upju posmi</w:t>
      </w:r>
      <w:r w:rsidRPr="00A07F29">
        <w:rPr>
          <w:rFonts w:ascii="Times New Roman" w:eastAsia="Calibri" w:hAnsi="Times New Roman" w:cs="Calibri"/>
          <w:sz w:val="24"/>
        </w:rPr>
        <w:t xml:space="preserve">, 3270 </w:t>
      </w:r>
      <w:r w:rsidRPr="00A07F29">
        <w:rPr>
          <w:rFonts w:ascii="Times New Roman" w:eastAsia="Calibri" w:hAnsi="Times New Roman" w:cs="Calibri"/>
          <w:i/>
          <w:sz w:val="24"/>
        </w:rPr>
        <w:t xml:space="preserve">Dūņaini upju krasti ar slāpekli mīlošu viengadīgu </w:t>
      </w:r>
      <w:proofErr w:type="spellStart"/>
      <w:r w:rsidRPr="00A07F29">
        <w:rPr>
          <w:rFonts w:ascii="Times New Roman" w:eastAsia="Calibri" w:hAnsi="Times New Roman" w:cs="Calibri"/>
          <w:i/>
          <w:sz w:val="24"/>
        </w:rPr>
        <w:t>pioniersugu</w:t>
      </w:r>
      <w:proofErr w:type="spellEnd"/>
      <w:r w:rsidRPr="00A07F29">
        <w:rPr>
          <w:rFonts w:ascii="Times New Roman" w:eastAsia="Calibri" w:hAnsi="Times New Roman" w:cs="Calibri"/>
          <w:i/>
          <w:sz w:val="24"/>
        </w:rPr>
        <w:t xml:space="preserve"> augāju</w:t>
      </w:r>
      <w:r w:rsidRPr="00A07F29">
        <w:rPr>
          <w:rFonts w:ascii="Times New Roman" w:eastAsia="Calibri" w:hAnsi="Times New Roman" w:cs="Calibri"/>
          <w:sz w:val="24"/>
        </w:rPr>
        <w:t>, 6270*</w:t>
      </w:r>
      <w:r w:rsidR="00A827FC" w:rsidRPr="00A07F29">
        <w:rPr>
          <w:rFonts w:ascii="Times New Roman" w:eastAsia="Calibri" w:hAnsi="Times New Roman" w:cs="Calibri"/>
          <w:sz w:val="24"/>
        </w:rPr>
        <w:t> </w:t>
      </w:r>
      <w:r w:rsidRPr="00A07F29">
        <w:rPr>
          <w:rFonts w:ascii="Times New Roman" w:eastAsia="Calibri" w:hAnsi="Times New Roman" w:cs="Calibri"/>
          <w:i/>
          <w:sz w:val="24"/>
        </w:rPr>
        <w:t>Sugām bagātas ganības un ganītas pļavas</w:t>
      </w:r>
      <w:r w:rsidRPr="00A07F29">
        <w:rPr>
          <w:rFonts w:ascii="Times New Roman" w:eastAsia="Calibri" w:hAnsi="Times New Roman" w:cs="Calibri"/>
          <w:sz w:val="24"/>
        </w:rPr>
        <w:t xml:space="preserve">, 6210 </w:t>
      </w:r>
      <w:r w:rsidRPr="00A07F29">
        <w:rPr>
          <w:rFonts w:ascii="Times New Roman" w:eastAsia="Calibri" w:hAnsi="Times New Roman" w:cs="Calibri"/>
          <w:i/>
          <w:sz w:val="24"/>
        </w:rPr>
        <w:t>Sausi zālāji kaļķainās augsnēs</w:t>
      </w:r>
      <w:r w:rsidRPr="00A07F29">
        <w:rPr>
          <w:rFonts w:ascii="Times New Roman" w:eastAsia="Calibri" w:hAnsi="Times New Roman" w:cs="Calibri"/>
          <w:sz w:val="24"/>
        </w:rPr>
        <w:t>,</w:t>
      </w:r>
      <w:r w:rsidR="00A827FC" w:rsidRPr="00A07F29">
        <w:rPr>
          <w:rFonts w:ascii="Times New Roman" w:eastAsia="Calibri" w:hAnsi="Times New Roman" w:cs="Calibri"/>
          <w:sz w:val="24"/>
        </w:rPr>
        <w:t xml:space="preserve"> </w:t>
      </w:r>
      <w:r w:rsidRPr="00A07F29">
        <w:rPr>
          <w:rFonts w:ascii="Times New Roman" w:eastAsia="Calibri" w:hAnsi="Times New Roman" w:cs="Calibri"/>
          <w:iCs/>
          <w:sz w:val="24"/>
        </w:rPr>
        <w:t>7160</w:t>
      </w:r>
      <w:r w:rsidR="00A827FC" w:rsidRPr="00A07F29">
        <w:rPr>
          <w:rFonts w:ascii="Times New Roman" w:eastAsia="Calibri" w:hAnsi="Times New Roman" w:cs="Calibri"/>
          <w:i/>
          <w:sz w:val="24"/>
        </w:rPr>
        <w:t> </w:t>
      </w:r>
      <w:r w:rsidRPr="00A07F29">
        <w:rPr>
          <w:rFonts w:ascii="Times New Roman" w:eastAsia="Calibri" w:hAnsi="Times New Roman" w:cs="Calibri"/>
          <w:i/>
          <w:sz w:val="24"/>
        </w:rPr>
        <w:t>Minerālvielām bagāti avoti un avotu purvi</w:t>
      </w:r>
      <w:r w:rsidRPr="00A07F29">
        <w:rPr>
          <w:rFonts w:ascii="Times New Roman" w:eastAsia="Calibri" w:hAnsi="Times New Roman" w:cs="Calibri"/>
          <w:sz w:val="24"/>
        </w:rPr>
        <w:t xml:space="preserve">, 9180* </w:t>
      </w:r>
      <w:r w:rsidRPr="00A07F29">
        <w:rPr>
          <w:rFonts w:ascii="Times New Roman" w:eastAsia="Calibri" w:hAnsi="Times New Roman" w:cs="Calibri"/>
          <w:i/>
          <w:sz w:val="24"/>
        </w:rPr>
        <w:t>Nogāžu un gravu meži</w:t>
      </w:r>
      <w:r w:rsidRPr="00A07F29">
        <w:rPr>
          <w:rFonts w:ascii="Times New Roman" w:eastAsia="Calibri" w:hAnsi="Times New Roman" w:cs="Calibri"/>
          <w:sz w:val="24"/>
        </w:rPr>
        <w:t xml:space="preserve"> un 91D0*</w:t>
      </w:r>
      <w:r w:rsidR="00A827FC" w:rsidRPr="00A07F29">
        <w:rPr>
          <w:rFonts w:ascii="Times New Roman" w:eastAsia="Calibri" w:hAnsi="Times New Roman" w:cs="Calibri"/>
          <w:sz w:val="24"/>
        </w:rPr>
        <w:t> </w:t>
      </w:r>
      <w:r w:rsidRPr="00A07F29">
        <w:rPr>
          <w:rFonts w:ascii="Times New Roman" w:eastAsia="Calibri" w:hAnsi="Times New Roman" w:cs="Calibri"/>
          <w:i/>
          <w:sz w:val="24"/>
        </w:rPr>
        <w:t>Purvaini meži</w:t>
      </w:r>
      <w:r w:rsidRPr="00A07F29">
        <w:rPr>
          <w:rFonts w:ascii="Times New Roman" w:eastAsia="Calibri" w:hAnsi="Times New Roman" w:cs="Calibri"/>
          <w:sz w:val="24"/>
        </w:rPr>
        <w:t xml:space="preserve">, kā arī sugas: ūdru </w:t>
      </w:r>
      <w:proofErr w:type="spellStart"/>
      <w:r w:rsidRPr="00A07F29">
        <w:rPr>
          <w:rFonts w:ascii="Times New Roman" w:eastAsia="Calibri" w:hAnsi="Times New Roman" w:cs="Calibri"/>
          <w:i/>
          <w:sz w:val="24"/>
        </w:rPr>
        <w:t>Lutra</w:t>
      </w:r>
      <w:proofErr w:type="spellEnd"/>
      <w:r w:rsidRPr="00A07F29">
        <w:rPr>
          <w:rFonts w:ascii="Times New Roman" w:eastAsia="Calibri" w:hAnsi="Times New Roman" w:cs="Calibri"/>
          <w:i/>
          <w:sz w:val="24"/>
        </w:rPr>
        <w:t xml:space="preserve"> </w:t>
      </w:r>
      <w:proofErr w:type="spellStart"/>
      <w:r w:rsidRPr="00A07F29">
        <w:rPr>
          <w:rFonts w:ascii="Times New Roman" w:eastAsia="Calibri" w:hAnsi="Times New Roman" w:cs="Calibri"/>
          <w:i/>
          <w:sz w:val="24"/>
        </w:rPr>
        <w:t>lutra</w:t>
      </w:r>
      <w:proofErr w:type="spellEnd"/>
      <w:r w:rsidRPr="00A07F29">
        <w:rPr>
          <w:rFonts w:ascii="Times New Roman" w:eastAsia="Calibri" w:hAnsi="Times New Roman" w:cs="Calibri"/>
          <w:sz w:val="24"/>
        </w:rPr>
        <w:t xml:space="preserve">, dīķa </w:t>
      </w:r>
      <w:proofErr w:type="spellStart"/>
      <w:r w:rsidRPr="00A07F29">
        <w:rPr>
          <w:rFonts w:ascii="Times New Roman" w:eastAsia="Calibri" w:hAnsi="Times New Roman" w:cs="Calibri"/>
          <w:sz w:val="24"/>
        </w:rPr>
        <w:t>naktssikspārni</w:t>
      </w:r>
      <w:proofErr w:type="spellEnd"/>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i/>
          <w:sz w:val="24"/>
        </w:rPr>
        <w:t>Myotis</w:t>
      </w:r>
      <w:proofErr w:type="spellEnd"/>
      <w:r w:rsidRPr="00A07F29">
        <w:rPr>
          <w:rFonts w:ascii="Times New Roman" w:eastAsia="Calibri" w:hAnsi="Times New Roman" w:cs="Calibri"/>
          <w:i/>
          <w:sz w:val="24"/>
        </w:rPr>
        <w:t xml:space="preserve"> </w:t>
      </w:r>
      <w:proofErr w:type="spellStart"/>
      <w:r w:rsidRPr="00A07F29">
        <w:rPr>
          <w:rFonts w:ascii="Times New Roman" w:eastAsia="Calibri" w:hAnsi="Times New Roman" w:cs="Calibri"/>
          <w:i/>
          <w:sz w:val="24"/>
        </w:rPr>
        <w:t>dasycneme</w:t>
      </w:r>
      <w:proofErr w:type="spellEnd"/>
      <w:r w:rsidRPr="00A07F29">
        <w:rPr>
          <w:rFonts w:ascii="Times New Roman" w:eastAsia="Calibri" w:hAnsi="Times New Roman" w:cs="Calibri"/>
          <w:sz w:val="24"/>
        </w:rPr>
        <w:t xml:space="preserve">, lapkoku </w:t>
      </w:r>
      <w:proofErr w:type="spellStart"/>
      <w:r w:rsidRPr="00A07F29">
        <w:rPr>
          <w:rFonts w:ascii="Times New Roman" w:eastAsia="Calibri" w:hAnsi="Times New Roman" w:cs="Calibri"/>
          <w:sz w:val="24"/>
        </w:rPr>
        <w:t>praulgrauzi</w:t>
      </w:r>
      <w:proofErr w:type="spellEnd"/>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i/>
          <w:sz w:val="24"/>
        </w:rPr>
        <w:t>Osmoderma</w:t>
      </w:r>
      <w:proofErr w:type="spellEnd"/>
      <w:r w:rsidRPr="00A07F29">
        <w:rPr>
          <w:rFonts w:ascii="Times New Roman" w:eastAsia="Calibri" w:hAnsi="Times New Roman" w:cs="Calibri"/>
          <w:i/>
          <w:sz w:val="24"/>
        </w:rPr>
        <w:t xml:space="preserve"> </w:t>
      </w:r>
      <w:proofErr w:type="spellStart"/>
      <w:r w:rsidRPr="00A07F29">
        <w:rPr>
          <w:rFonts w:ascii="Times New Roman" w:eastAsia="Calibri" w:hAnsi="Times New Roman" w:cs="Calibri"/>
          <w:i/>
          <w:sz w:val="24"/>
        </w:rPr>
        <w:t>barnabita</w:t>
      </w:r>
      <w:proofErr w:type="spellEnd"/>
      <w:r w:rsidRPr="00A07F29">
        <w:rPr>
          <w:rFonts w:ascii="Times New Roman" w:eastAsia="Calibri" w:hAnsi="Times New Roman" w:cs="Calibri"/>
          <w:sz w:val="24"/>
        </w:rPr>
        <w:t xml:space="preserve">, zaļo </w:t>
      </w:r>
      <w:proofErr w:type="spellStart"/>
      <w:r w:rsidRPr="00A07F29">
        <w:rPr>
          <w:rFonts w:ascii="Times New Roman" w:eastAsia="Calibri" w:hAnsi="Times New Roman" w:cs="Calibri"/>
          <w:sz w:val="24"/>
        </w:rPr>
        <w:t>upjuspāri</w:t>
      </w:r>
      <w:proofErr w:type="spellEnd"/>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i/>
          <w:sz w:val="24"/>
        </w:rPr>
        <w:t>Ophiogomphus</w:t>
      </w:r>
      <w:proofErr w:type="spellEnd"/>
      <w:r w:rsidRPr="00A07F29">
        <w:rPr>
          <w:rFonts w:ascii="Times New Roman" w:eastAsia="Calibri" w:hAnsi="Times New Roman" w:cs="Calibri"/>
          <w:i/>
          <w:sz w:val="24"/>
        </w:rPr>
        <w:t xml:space="preserve"> </w:t>
      </w:r>
      <w:proofErr w:type="spellStart"/>
      <w:r w:rsidRPr="00A07F29">
        <w:rPr>
          <w:rFonts w:ascii="Times New Roman" w:eastAsia="Calibri" w:hAnsi="Times New Roman" w:cs="Calibri"/>
          <w:i/>
          <w:sz w:val="24"/>
        </w:rPr>
        <w:t>cecilia</w:t>
      </w:r>
      <w:proofErr w:type="spellEnd"/>
      <w:r w:rsidRPr="00A07F29">
        <w:rPr>
          <w:rFonts w:ascii="Times New Roman" w:eastAsia="Calibri" w:hAnsi="Times New Roman" w:cs="Calibri"/>
          <w:sz w:val="24"/>
        </w:rPr>
        <w:t xml:space="preserve">, biezo </w:t>
      </w:r>
      <w:proofErr w:type="spellStart"/>
      <w:r w:rsidRPr="00A07F29">
        <w:rPr>
          <w:rFonts w:ascii="Times New Roman" w:eastAsia="Calibri" w:hAnsi="Times New Roman" w:cs="Calibri"/>
          <w:sz w:val="24"/>
        </w:rPr>
        <w:t>perlamutreni</w:t>
      </w:r>
      <w:proofErr w:type="spellEnd"/>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i/>
          <w:sz w:val="24"/>
        </w:rPr>
        <w:t>Unio</w:t>
      </w:r>
      <w:proofErr w:type="spellEnd"/>
      <w:r w:rsidRPr="00A07F29">
        <w:rPr>
          <w:rFonts w:ascii="Times New Roman" w:eastAsia="Calibri" w:hAnsi="Times New Roman" w:cs="Calibri"/>
          <w:i/>
          <w:sz w:val="24"/>
        </w:rPr>
        <w:t xml:space="preserve"> </w:t>
      </w:r>
      <w:proofErr w:type="spellStart"/>
      <w:r w:rsidRPr="00A07F29">
        <w:rPr>
          <w:rFonts w:ascii="Times New Roman" w:eastAsia="Calibri" w:hAnsi="Times New Roman" w:cs="Calibri"/>
          <w:i/>
          <w:sz w:val="24"/>
        </w:rPr>
        <w:t>crassus</w:t>
      </w:r>
      <w:proofErr w:type="spellEnd"/>
      <w:r w:rsidRPr="00A07F29">
        <w:rPr>
          <w:rFonts w:ascii="Times New Roman" w:eastAsia="Calibri" w:hAnsi="Times New Roman" w:cs="Calibri"/>
          <w:sz w:val="24"/>
        </w:rPr>
        <w:t xml:space="preserve">, zirgskābeņu zilenīti </w:t>
      </w:r>
      <w:proofErr w:type="spellStart"/>
      <w:r w:rsidRPr="00A07F29">
        <w:rPr>
          <w:rFonts w:ascii="Times New Roman" w:eastAsia="Calibri" w:hAnsi="Times New Roman" w:cs="Calibri"/>
          <w:i/>
          <w:sz w:val="24"/>
        </w:rPr>
        <w:t>Lycaena</w:t>
      </w:r>
      <w:proofErr w:type="spellEnd"/>
      <w:r w:rsidRPr="00A07F29">
        <w:rPr>
          <w:rFonts w:ascii="Times New Roman" w:eastAsia="Calibri" w:hAnsi="Times New Roman" w:cs="Calibri"/>
          <w:i/>
          <w:sz w:val="24"/>
        </w:rPr>
        <w:t xml:space="preserve"> </w:t>
      </w:r>
      <w:proofErr w:type="spellStart"/>
      <w:r w:rsidRPr="00A07F29">
        <w:rPr>
          <w:rFonts w:ascii="Times New Roman" w:eastAsia="Calibri" w:hAnsi="Times New Roman" w:cs="Calibri"/>
          <w:i/>
          <w:sz w:val="24"/>
        </w:rPr>
        <w:t>dispar</w:t>
      </w:r>
      <w:proofErr w:type="spellEnd"/>
      <w:r w:rsidRPr="00A07F29">
        <w:rPr>
          <w:rFonts w:ascii="Times New Roman" w:eastAsia="Calibri" w:hAnsi="Times New Roman" w:cs="Calibri"/>
          <w:sz w:val="24"/>
        </w:rPr>
        <w:t xml:space="preserve">, strauta nēģi </w:t>
      </w:r>
      <w:proofErr w:type="spellStart"/>
      <w:r w:rsidRPr="00A07F29">
        <w:rPr>
          <w:rFonts w:ascii="Times New Roman" w:eastAsia="Calibri" w:hAnsi="Times New Roman" w:cs="Calibri"/>
          <w:i/>
          <w:sz w:val="24"/>
        </w:rPr>
        <w:t>Lampetra</w:t>
      </w:r>
      <w:proofErr w:type="spellEnd"/>
      <w:r w:rsidRPr="00A07F29">
        <w:rPr>
          <w:rFonts w:ascii="Times New Roman" w:eastAsia="Calibri" w:hAnsi="Times New Roman" w:cs="Calibri"/>
          <w:i/>
          <w:sz w:val="24"/>
        </w:rPr>
        <w:t xml:space="preserve"> </w:t>
      </w:r>
      <w:proofErr w:type="spellStart"/>
      <w:r w:rsidRPr="00A07F29">
        <w:rPr>
          <w:rFonts w:ascii="Times New Roman" w:eastAsia="Calibri" w:hAnsi="Times New Roman" w:cs="Calibri"/>
          <w:i/>
          <w:sz w:val="24"/>
        </w:rPr>
        <w:t>planeri</w:t>
      </w:r>
      <w:proofErr w:type="spellEnd"/>
      <w:r w:rsidRPr="00A07F29">
        <w:rPr>
          <w:rFonts w:ascii="Times New Roman" w:eastAsia="Calibri" w:hAnsi="Times New Roman" w:cs="Calibri"/>
          <w:sz w:val="24"/>
        </w:rPr>
        <w:t xml:space="preserve">, akmeņgrauzi </w:t>
      </w:r>
      <w:proofErr w:type="spellStart"/>
      <w:r w:rsidRPr="00A07F29">
        <w:rPr>
          <w:rFonts w:ascii="Times New Roman" w:eastAsia="Calibri" w:hAnsi="Times New Roman" w:cs="Calibri"/>
          <w:i/>
          <w:sz w:val="24"/>
        </w:rPr>
        <w:t>Cobitis</w:t>
      </w:r>
      <w:proofErr w:type="spellEnd"/>
      <w:r w:rsidRPr="00A07F29">
        <w:rPr>
          <w:rFonts w:ascii="Times New Roman" w:eastAsia="Calibri" w:hAnsi="Times New Roman" w:cs="Calibri"/>
          <w:i/>
          <w:sz w:val="24"/>
        </w:rPr>
        <w:t xml:space="preserve"> </w:t>
      </w:r>
      <w:proofErr w:type="spellStart"/>
      <w:r w:rsidRPr="00A07F29">
        <w:rPr>
          <w:rFonts w:ascii="Times New Roman" w:eastAsia="Calibri" w:hAnsi="Times New Roman" w:cs="Calibri"/>
          <w:i/>
          <w:sz w:val="24"/>
        </w:rPr>
        <w:t>taenia</w:t>
      </w:r>
      <w:proofErr w:type="spellEnd"/>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sz w:val="24"/>
        </w:rPr>
        <w:t>platgalvi</w:t>
      </w:r>
      <w:proofErr w:type="spellEnd"/>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i/>
          <w:sz w:val="24"/>
        </w:rPr>
        <w:t>Cottus</w:t>
      </w:r>
      <w:proofErr w:type="spellEnd"/>
      <w:r w:rsidRPr="00A07F29">
        <w:rPr>
          <w:rFonts w:ascii="Times New Roman" w:eastAsia="Calibri" w:hAnsi="Times New Roman" w:cs="Calibri"/>
          <w:i/>
          <w:sz w:val="24"/>
        </w:rPr>
        <w:t xml:space="preserve"> </w:t>
      </w:r>
      <w:proofErr w:type="spellStart"/>
      <w:r w:rsidRPr="00A07F29">
        <w:rPr>
          <w:rFonts w:ascii="Times New Roman" w:eastAsia="Calibri" w:hAnsi="Times New Roman" w:cs="Calibri"/>
          <w:i/>
          <w:sz w:val="24"/>
        </w:rPr>
        <w:t>gobio</w:t>
      </w:r>
      <w:proofErr w:type="spellEnd"/>
      <w:r w:rsidRPr="00A07F29">
        <w:rPr>
          <w:rFonts w:ascii="Times New Roman" w:eastAsia="Calibri" w:hAnsi="Times New Roman" w:cs="Calibri"/>
          <w:sz w:val="24"/>
        </w:rPr>
        <w:t xml:space="preserve">, salati </w:t>
      </w:r>
      <w:proofErr w:type="spellStart"/>
      <w:r w:rsidRPr="00A07F29">
        <w:rPr>
          <w:rFonts w:ascii="Times New Roman" w:eastAsia="Calibri" w:hAnsi="Times New Roman" w:cs="Calibri"/>
          <w:i/>
          <w:sz w:val="24"/>
        </w:rPr>
        <w:t>Aspius</w:t>
      </w:r>
      <w:proofErr w:type="spellEnd"/>
      <w:r w:rsidRPr="00A07F29">
        <w:rPr>
          <w:rFonts w:ascii="Times New Roman" w:eastAsia="Calibri" w:hAnsi="Times New Roman" w:cs="Calibri"/>
          <w:i/>
          <w:sz w:val="24"/>
        </w:rPr>
        <w:t xml:space="preserve"> </w:t>
      </w:r>
      <w:proofErr w:type="spellStart"/>
      <w:r w:rsidRPr="00A07F29">
        <w:rPr>
          <w:rFonts w:ascii="Times New Roman" w:eastAsia="Calibri" w:hAnsi="Times New Roman" w:cs="Calibri"/>
          <w:i/>
          <w:sz w:val="24"/>
        </w:rPr>
        <w:t>aspius</w:t>
      </w:r>
      <w:proofErr w:type="spellEnd"/>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sz w:val="24"/>
        </w:rPr>
        <w:t>cepuraino</w:t>
      </w:r>
      <w:proofErr w:type="spellEnd"/>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sz w:val="24"/>
        </w:rPr>
        <w:t>neotianti</w:t>
      </w:r>
      <w:proofErr w:type="spellEnd"/>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i/>
          <w:sz w:val="24"/>
        </w:rPr>
        <w:t>Cephalantera</w:t>
      </w:r>
      <w:proofErr w:type="spellEnd"/>
      <w:r w:rsidRPr="00A07F29">
        <w:rPr>
          <w:rFonts w:ascii="Times New Roman" w:eastAsia="Calibri" w:hAnsi="Times New Roman" w:cs="Calibri"/>
          <w:i/>
          <w:sz w:val="24"/>
        </w:rPr>
        <w:t xml:space="preserve"> </w:t>
      </w:r>
      <w:proofErr w:type="spellStart"/>
      <w:r w:rsidRPr="00A07F29">
        <w:rPr>
          <w:rFonts w:ascii="Times New Roman" w:eastAsia="Calibri" w:hAnsi="Times New Roman" w:cs="Calibri"/>
          <w:i/>
          <w:sz w:val="24"/>
        </w:rPr>
        <w:t>cucullata</w:t>
      </w:r>
      <w:proofErr w:type="spellEnd"/>
      <w:r w:rsidRPr="00A07F29">
        <w:rPr>
          <w:rFonts w:ascii="Times New Roman" w:eastAsia="Calibri" w:hAnsi="Times New Roman" w:cs="Calibri"/>
          <w:sz w:val="24"/>
        </w:rPr>
        <w:t xml:space="preserve">, dzelteno akmeņlauzīti </w:t>
      </w:r>
      <w:proofErr w:type="spellStart"/>
      <w:r w:rsidRPr="00A07F29">
        <w:rPr>
          <w:rFonts w:ascii="Times New Roman" w:eastAsia="Calibri" w:hAnsi="Times New Roman" w:cs="Calibri"/>
          <w:i/>
          <w:sz w:val="24"/>
        </w:rPr>
        <w:t>Saxifraga</w:t>
      </w:r>
      <w:proofErr w:type="spellEnd"/>
      <w:r w:rsidRPr="00A07F29">
        <w:rPr>
          <w:rFonts w:ascii="Times New Roman" w:eastAsia="Calibri" w:hAnsi="Times New Roman" w:cs="Calibri"/>
          <w:i/>
          <w:sz w:val="24"/>
        </w:rPr>
        <w:t xml:space="preserve"> </w:t>
      </w:r>
      <w:proofErr w:type="spellStart"/>
      <w:r w:rsidRPr="00A07F29">
        <w:rPr>
          <w:rFonts w:ascii="Times New Roman" w:eastAsia="Calibri" w:hAnsi="Times New Roman" w:cs="Calibri"/>
          <w:i/>
          <w:sz w:val="24"/>
        </w:rPr>
        <w:t>hirculus</w:t>
      </w:r>
      <w:proofErr w:type="spellEnd"/>
      <w:r w:rsidRPr="00A07F29">
        <w:rPr>
          <w:rFonts w:ascii="Times New Roman" w:eastAsia="Calibri" w:hAnsi="Times New Roman" w:cs="Calibri"/>
          <w:sz w:val="24"/>
        </w:rPr>
        <w:t xml:space="preserve">, spīdīgo āķīti </w:t>
      </w:r>
      <w:proofErr w:type="spellStart"/>
      <w:r w:rsidRPr="00A07F29">
        <w:rPr>
          <w:rFonts w:ascii="Times New Roman" w:eastAsia="Calibri" w:hAnsi="Times New Roman" w:cs="Calibri"/>
          <w:i/>
          <w:sz w:val="24"/>
        </w:rPr>
        <w:t>Hamatocaulis</w:t>
      </w:r>
      <w:proofErr w:type="spellEnd"/>
      <w:r w:rsidRPr="00A07F29">
        <w:rPr>
          <w:rFonts w:ascii="Times New Roman" w:eastAsia="Calibri" w:hAnsi="Times New Roman" w:cs="Calibri"/>
          <w:i/>
          <w:sz w:val="24"/>
        </w:rPr>
        <w:t xml:space="preserve"> </w:t>
      </w:r>
      <w:proofErr w:type="spellStart"/>
      <w:r w:rsidRPr="00A07F29">
        <w:rPr>
          <w:rFonts w:ascii="Times New Roman" w:eastAsia="Calibri" w:hAnsi="Times New Roman" w:cs="Calibri"/>
          <w:i/>
          <w:sz w:val="24"/>
        </w:rPr>
        <w:t>vernicosus</w:t>
      </w:r>
      <w:proofErr w:type="spellEnd"/>
      <w:r w:rsidRPr="00A07F29">
        <w:rPr>
          <w:rFonts w:ascii="Times New Roman" w:eastAsia="Calibri" w:hAnsi="Times New Roman" w:cs="Calibri"/>
          <w:sz w:val="24"/>
        </w:rPr>
        <w:t xml:space="preserve">, meža silpureni </w:t>
      </w:r>
      <w:proofErr w:type="spellStart"/>
      <w:r w:rsidRPr="00A07F29">
        <w:rPr>
          <w:rFonts w:ascii="Times New Roman" w:eastAsia="Calibri" w:hAnsi="Times New Roman" w:cs="Calibri"/>
          <w:i/>
          <w:sz w:val="24"/>
        </w:rPr>
        <w:t>Pulsatilla</w:t>
      </w:r>
      <w:proofErr w:type="spellEnd"/>
      <w:r w:rsidRPr="00A07F29">
        <w:rPr>
          <w:rFonts w:ascii="Times New Roman" w:eastAsia="Calibri" w:hAnsi="Times New Roman" w:cs="Calibri"/>
          <w:i/>
          <w:sz w:val="24"/>
        </w:rPr>
        <w:t xml:space="preserve"> </w:t>
      </w:r>
      <w:proofErr w:type="spellStart"/>
      <w:r w:rsidRPr="00A07F29">
        <w:rPr>
          <w:rFonts w:ascii="Times New Roman" w:eastAsia="Calibri" w:hAnsi="Times New Roman" w:cs="Calibri"/>
          <w:i/>
          <w:sz w:val="24"/>
        </w:rPr>
        <w:t>patens</w:t>
      </w:r>
      <w:proofErr w:type="spellEnd"/>
      <w:r w:rsidRPr="00A07F29">
        <w:rPr>
          <w:rFonts w:ascii="Times New Roman" w:eastAsia="Calibri" w:hAnsi="Times New Roman" w:cs="Calibri"/>
          <w:sz w:val="24"/>
        </w:rPr>
        <w:t xml:space="preserve">, spilvaino </w:t>
      </w:r>
      <w:proofErr w:type="spellStart"/>
      <w:r w:rsidRPr="00A07F29">
        <w:rPr>
          <w:rFonts w:ascii="Times New Roman" w:eastAsia="Calibri" w:hAnsi="Times New Roman" w:cs="Calibri"/>
          <w:sz w:val="24"/>
        </w:rPr>
        <w:t>ancīti</w:t>
      </w:r>
      <w:proofErr w:type="spellEnd"/>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i/>
          <w:sz w:val="24"/>
        </w:rPr>
        <w:t>Agrimonia</w:t>
      </w:r>
      <w:proofErr w:type="spellEnd"/>
      <w:r w:rsidRPr="00A07F29">
        <w:rPr>
          <w:rFonts w:ascii="Times New Roman" w:eastAsia="Calibri" w:hAnsi="Times New Roman" w:cs="Calibri"/>
          <w:i/>
          <w:sz w:val="24"/>
        </w:rPr>
        <w:t xml:space="preserve"> </w:t>
      </w:r>
      <w:proofErr w:type="spellStart"/>
      <w:r w:rsidRPr="00A07F29">
        <w:rPr>
          <w:rFonts w:ascii="Times New Roman" w:eastAsia="Calibri" w:hAnsi="Times New Roman" w:cs="Calibri"/>
          <w:i/>
          <w:sz w:val="24"/>
        </w:rPr>
        <w:t>pilosa</w:t>
      </w:r>
      <w:proofErr w:type="spellEnd"/>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sz w:val="24"/>
        </w:rPr>
        <w:t>Lēzeļa</w:t>
      </w:r>
      <w:proofErr w:type="spellEnd"/>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sz w:val="24"/>
        </w:rPr>
        <w:t>lipari</w:t>
      </w:r>
      <w:proofErr w:type="spellEnd"/>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i/>
          <w:sz w:val="24"/>
        </w:rPr>
        <w:t>Liparis</w:t>
      </w:r>
      <w:proofErr w:type="spellEnd"/>
      <w:r w:rsidRPr="00A07F29">
        <w:rPr>
          <w:rFonts w:ascii="Times New Roman" w:eastAsia="Calibri" w:hAnsi="Times New Roman" w:cs="Calibri"/>
          <w:i/>
          <w:sz w:val="24"/>
        </w:rPr>
        <w:t xml:space="preserve"> </w:t>
      </w:r>
      <w:proofErr w:type="spellStart"/>
      <w:r w:rsidRPr="00A07F29">
        <w:rPr>
          <w:rFonts w:ascii="Times New Roman" w:eastAsia="Calibri" w:hAnsi="Times New Roman" w:cs="Calibri"/>
          <w:i/>
          <w:sz w:val="24"/>
        </w:rPr>
        <w:t>loeselii</w:t>
      </w:r>
      <w:proofErr w:type="spellEnd"/>
      <w:r w:rsidRPr="00A07F29">
        <w:rPr>
          <w:rFonts w:ascii="Times New Roman" w:eastAsia="Calibri" w:hAnsi="Times New Roman" w:cs="Calibri"/>
          <w:sz w:val="24"/>
        </w:rPr>
        <w:t xml:space="preserve">. AAA “Augšdaugava” teritorijā pavisam konstatēti 28 ES nozīmes biotopu veidi, un nozīmīgas platības aizņem arī 9010* </w:t>
      </w:r>
      <w:r w:rsidRPr="00A07F29">
        <w:rPr>
          <w:rFonts w:ascii="Times New Roman" w:eastAsia="Calibri" w:hAnsi="Times New Roman" w:cs="Calibri"/>
          <w:i/>
          <w:sz w:val="24"/>
        </w:rPr>
        <w:t xml:space="preserve">Veci vai dabiski </w:t>
      </w:r>
      <w:proofErr w:type="spellStart"/>
      <w:r w:rsidRPr="00A07F29">
        <w:rPr>
          <w:rFonts w:ascii="Times New Roman" w:eastAsia="Calibri" w:hAnsi="Times New Roman" w:cs="Calibri"/>
          <w:i/>
          <w:sz w:val="24"/>
        </w:rPr>
        <w:t>boreāli</w:t>
      </w:r>
      <w:proofErr w:type="spellEnd"/>
      <w:r w:rsidRPr="00A07F29">
        <w:rPr>
          <w:rFonts w:ascii="Times New Roman" w:eastAsia="Calibri" w:hAnsi="Times New Roman" w:cs="Calibri"/>
          <w:i/>
          <w:sz w:val="24"/>
        </w:rPr>
        <w:t xml:space="preserve"> meži</w:t>
      </w:r>
      <w:r w:rsidRPr="00A07F29">
        <w:rPr>
          <w:rFonts w:ascii="Times New Roman" w:eastAsia="Calibri" w:hAnsi="Times New Roman" w:cs="Calibri"/>
          <w:sz w:val="24"/>
        </w:rPr>
        <w:t xml:space="preserve">, 9050 </w:t>
      </w:r>
      <w:r w:rsidRPr="00A07F29">
        <w:rPr>
          <w:rFonts w:ascii="Times New Roman" w:eastAsia="Calibri" w:hAnsi="Times New Roman" w:cs="Calibri"/>
          <w:i/>
          <w:sz w:val="24"/>
        </w:rPr>
        <w:t>Lakstaugiem bagāti egļu meži</w:t>
      </w:r>
      <w:r w:rsidRPr="00A07F29">
        <w:rPr>
          <w:rFonts w:ascii="Times New Roman" w:eastAsia="Calibri" w:hAnsi="Times New Roman" w:cs="Calibri"/>
          <w:sz w:val="24"/>
        </w:rPr>
        <w:t xml:space="preserve">, 6430 </w:t>
      </w:r>
      <w:proofErr w:type="spellStart"/>
      <w:r w:rsidRPr="00A07F29">
        <w:rPr>
          <w:rFonts w:ascii="Times New Roman" w:eastAsia="Calibri" w:hAnsi="Times New Roman" w:cs="Calibri"/>
          <w:i/>
          <w:sz w:val="24"/>
        </w:rPr>
        <w:t>Eitrofas</w:t>
      </w:r>
      <w:proofErr w:type="spellEnd"/>
      <w:r w:rsidRPr="00A07F29">
        <w:rPr>
          <w:rFonts w:ascii="Times New Roman" w:eastAsia="Calibri" w:hAnsi="Times New Roman" w:cs="Calibri"/>
          <w:i/>
          <w:sz w:val="24"/>
        </w:rPr>
        <w:t xml:space="preserve"> augsto lakstaugu audzes</w:t>
      </w:r>
      <w:r w:rsidRPr="00A07F29">
        <w:rPr>
          <w:rFonts w:ascii="Times New Roman" w:eastAsia="Calibri" w:hAnsi="Times New Roman" w:cs="Calibri"/>
          <w:sz w:val="24"/>
        </w:rPr>
        <w:t xml:space="preserve">, 6450 </w:t>
      </w:r>
      <w:r w:rsidRPr="00A07F29">
        <w:rPr>
          <w:rFonts w:ascii="Times New Roman" w:eastAsia="Calibri" w:hAnsi="Times New Roman" w:cs="Calibri"/>
          <w:i/>
          <w:sz w:val="24"/>
        </w:rPr>
        <w:t>Palieņu zālāji</w:t>
      </w:r>
      <w:r w:rsidRPr="00A07F29">
        <w:rPr>
          <w:rFonts w:ascii="Times New Roman" w:eastAsia="Calibri" w:hAnsi="Times New Roman" w:cs="Calibri"/>
          <w:sz w:val="24"/>
        </w:rPr>
        <w:t xml:space="preserve">, 7140 </w:t>
      </w:r>
      <w:r w:rsidRPr="00A07F29">
        <w:rPr>
          <w:rFonts w:ascii="Times New Roman" w:eastAsia="Calibri" w:hAnsi="Times New Roman" w:cs="Calibri"/>
          <w:i/>
          <w:sz w:val="24"/>
        </w:rPr>
        <w:t>Pārejas purvi un slīkšņas</w:t>
      </w:r>
      <w:r w:rsidRPr="00A07F29">
        <w:rPr>
          <w:rFonts w:ascii="Times New Roman" w:eastAsia="Calibri" w:hAnsi="Times New Roman" w:cs="Calibri"/>
          <w:sz w:val="24"/>
        </w:rPr>
        <w:t xml:space="preserve">, 3150 </w:t>
      </w:r>
      <w:proofErr w:type="spellStart"/>
      <w:r w:rsidRPr="00A07F29">
        <w:rPr>
          <w:rFonts w:ascii="Times New Roman" w:eastAsia="Calibri" w:hAnsi="Times New Roman" w:cs="Calibri"/>
          <w:i/>
          <w:sz w:val="24"/>
        </w:rPr>
        <w:t>Eitrofi</w:t>
      </w:r>
      <w:proofErr w:type="spellEnd"/>
      <w:r w:rsidRPr="00A07F29">
        <w:rPr>
          <w:rFonts w:ascii="Times New Roman" w:eastAsia="Calibri" w:hAnsi="Times New Roman" w:cs="Calibri"/>
          <w:i/>
          <w:sz w:val="24"/>
        </w:rPr>
        <w:t xml:space="preserve"> ezeri ar iegrimušo ūdensaugu un </w:t>
      </w:r>
      <w:proofErr w:type="spellStart"/>
      <w:r w:rsidRPr="00A07F29">
        <w:rPr>
          <w:rFonts w:ascii="Times New Roman" w:eastAsia="Calibri" w:hAnsi="Times New Roman" w:cs="Calibri"/>
          <w:i/>
          <w:sz w:val="24"/>
        </w:rPr>
        <w:t>peldaugu</w:t>
      </w:r>
      <w:proofErr w:type="spellEnd"/>
      <w:r w:rsidRPr="00A07F29">
        <w:rPr>
          <w:rFonts w:ascii="Times New Roman" w:eastAsia="Calibri" w:hAnsi="Times New Roman" w:cs="Calibri"/>
          <w:i/>
          <w:sz w:val="24"/>
        </w:rPr>
        <w:t xml:space="preserve"> augāju</w:t>
      </w:r>
      <w:r w:rsidRPr="00A07F29">
        <w:rPr>
          <w:rFonts w:ascii="Times New Roman" w:eastAsia="Calibri" w:hAnsi="Times New Roman" w:cs="Calibri"/>
          <w:sz w:val="24"/>
        </w:rPr>
        <w:t xml:space="preserve">, 3130 </w:t>
      </w:r>
      <w:r w:rsidRPr="00A07F29">
        <w:rPr>
          <w:rFonts w:ascii="Times New Roman" w:eastAsia="Calibri" w:hAnsi="Times New Roman" w:cs="Calibri"/>
          <w:i/>
          <w:sz w:val="24"/>
        </w:rPr>
        <w:t xml:space="preserve">Ezeri ar </w:t>
      </w:r>
      <w:proofErr w:type="spellStart"/>
      <w:r w:rsidRPr="00A07F29">
        <w:rPr>
          <w:rFonts w:ascii="Times New Roman" w:eastAsia="Calibri" w:hAnsi="Times New Roman" w:cs="Calibri"/>
          <w:i/>
          <w:sz w:val="24"/>
        </w:rPr>
        <w:t>oligotrofām</w:t>
      </w:r>
      <w:proofErr w:type="spellEnd"/>
      <w:r w:rsidRPr="00A07F29">
        <w:rPr>
          <w:rFonts w:ascii="Times New Roman" w:eastAsia="Calibri" w:hAnsi="Times New Roman" w:cs="Calibri"/>
          <w:i/>
          <w:sz w:val="24"/>
        </w:rPr>
        <w:t xml:space="preserve"> līdz </w:t>
      </w:r>
      <w:proofErr w:type="spellStart"/>
      <w:r w:rsidRPr="00A07F29">
        <w:rPr>
          <w:rFonts w:ascii="Times New Roman" w:eastAsia="Calibri" w:hAnsi="Times New Roman" w:cs="Calibri"/>
          <w:i/>
          <w:sz w:val="24"/>
        </w:rPr>
        <w:t>mezotrofām</w:t>
      </w:r>
      <w:proofErr w:type="spellEnd"/>
      <w:r w:rsidRPr="00A07F29">
        <w:rPr>
          <w:rFonts w:ascii="Times New Roman" w:eastAsia="Calibri" w:hAnsi="Times New Roman" w:cs="Calibri"/>
          <w:i/>
          <w:sz w:val="24"/>
        </w:rPr>
        <w:t xml:space="preserve"> augu sabiedrībām</w:t>
      </w:r>
      <w:r w:rsidRPr="00A07F29">
        <w:rPr>
          <w:rFonts w:ascii="Times New Roman" w:eastAsia="Calibri" w:hAnsi="Times New Roman" w:cs="Calibri"/>
          <w:sz w:val="24"/>
        </w:rPr>
        <w:t>. Nozīmīgākās aizsargājamo biotopu un sugu atradnes koncentrējas DP “Daugavas loki” teritorijā.</w:t>
      </w:r>
    </w:p>
    <w:p w14:paraId="3421B9A8" w14:textId="0C1D2839" w:rsidR="00F56CF4" w:rsidRPr="00A07F29" w:rsidRDefault="00DB74D2" w:rsidP="00DB74D2">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Daugavas ielejas mikroklimats un kaļķainās augsnes dod iespēju šeit veidoties ļoti savdabīgai augu valstij. Daugavas lokos sastopami augi, kas uzskatāmi par Latvijas floras stepju elementiem. Silto vasaru dēļ vairākām augu sugām, kurām </w:t>
      </w:r>
      <w:proofErr w:type="spellStart"/>
      <w:r w:rsidRPr="00A07F29">
        <w:rPr>
          <w:rFonts w:ascii="Times New Roman" w:eastAsia="Calibri" w:hAnsi="Times New Roman" w:cs="Calibri"/>
          <w:sz w:val="24"/>
        </w:rPr>
        <w:t>pamatareāls</w:t>
      </w:r>
      <w:proofErr w:type="spellEnd"/>
      <w:r w:rsidRPr="00A07F29">
        <w:rPr>
          <w:rFonts w:ascii="Times New Roman" w:eastAsia="Calibri" w:hAnsi="Times New Roman" w:cs="Calibri"/>
          <w:sz w:val="24"/>
        </w:rPr>
        <w:t xml:space="preserve"> atrodas Eiropas vidusdaļā, šeit atrodas izplatības Z un ZR robeža. Daugavas ieleja ir arī ceļš jaunu sugu ienākšanai. AAA “Augšdaugava” ir konstatētas vairāk nekā 900 </w:t>
      </w:r>
      <w:proofErr w:type="spellStart"/>
      <w:r w:rsidRPr="00A07F29">
        <w:rPr>
          <w:rFonts w:ascii="Times New Roman" w:eastAsia="Calibri" w:hAnsi="Times New Roman" w:cs="Calibri"/>
          <w:sz w:val="24"/>
        </w:rPr>
        <w:t>vaskulāro</w:t>
      </w:r>
      <w:proofErr w:type="spellEnd"/>
      <w:r w:rsidRPr="00A07F29">
        <w:rPr>
          <w:rFonts w:ascii="Times New Roman" w:eastAsia="Calibri" w:hAnsi="Times New Roman" w:cs="Calibri"/>
          <w:sz w:val="24"/>
        </w:rPr>
        <w:t xml:space="preserve"> augu suga</w:t>
      </w:r>
      <w:r w:rsidR="00F56CF4" w:rsidRPr="00A07F29">
        <w:rPr>
          <w:rFonts w:ascii="Times New Roman" w:eastAsia="Calibri" w:hAnsi="Times New Roman" w:cs="Calibri"/>
          <w:sz w:val="24"/>
        </w:rPr>
        <w:t xml:space="preserve">s, no tām </w:t>
      </w:r>
      <w:r w:rsidR="00F56CF4" w:rsidRPr="00C63AFA">
        <w:rPr>
          <w:rFonts w:ascii="Times New Roman" w:eastAsia="Calibri" w:hAnsi="Times New Roman" w:cs="Calibri"/>
          <w:sz w:val="24"/>
        </w:rPr>
        <w:t>71 īpaši aizsargājama.</w:t>
      </w:r>
      <w:r w:rsidR="00F56CF4" w:rsidRPr="00A07F29">
        <w:rPr>
          <w:rFonts w:ascii="Times New Roman" w:eastAsia="Calibri" w:hAnsi="Times New Roman" w:cs="Calibri"/>
          <w:sz w:val="24"/>
        </w:rPr>
        <w:t xml:space="preserve"> </w:t>
      </w:r>
    </w:p>
    <w:p w14:paraId="68687E27" w14:textId="0D91C9C2" w:rsidR="003E397B" w:rsidRPr="00A07F29" w:rsidRDefault="003E397B" w:rsidP="00F16FD9">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AAA “Augšdaugava” ligzdo 38 Putnu direktīvas I pielikuma putnu sugas, </w:t>
      </w:r>
      <w:r w:rsidR="00F16FD9" w:rsidRPr="00A07F29">
        <w:rPr>
          <w:rFonts w:ascii="Times New Roman" w:eastAsia="Calibri" w:hAnsi="Times New Roman" w:cs="Calibri"/>
          <w:sz w:val="24"/>
        </w:rPr>
        <w:t xml:space="preserve">un </w:t>
      </w:r>
      <w:r w:rsidRPr="00A07F29">
        <w:rPr>
          <w:rFonts w:ascii="Times New Roman" w:eastAsia="Calibri" w:hAnsi="Times New Roman" w:cs="Calibri"/>
          <w:sz w:val="24"/>
        </w:rPr>
        <w:t xml:space="preserve">papildus tām konstatētas </w:t>
      </w:r>
      <w:r w:rsidR="00F16FD9" w:rsidRPr="00A07F29">
        <w:rPr>
          <w:rFonts w:ascii="Times New Roman" w:eastAsia="Calibri" w:hAnsi="Times New Roman" w:cs="Calibri"/>
          <w:sz w:val="24"/>
        </w:rPr>
        <w:t xml:space="preserve">arī </w:t>
      </w:r>
      <w:r w:rsidRPr="00A07F29">
        <w:rPr>
          <w:rFonts w:ascii="Times New Roman" w:eastAsia="Calibri" w:hAnsi="Times New Roman" w:cs="Calibri"/>
          <w:sz w:val="24"/>
        </w:rPr>
        <w:t xml:space="preserve">16 Latvijā </w:t>
      </w:r>
      <w:r w:rsidRPr="00C63AFA">
        <w:rPr>
          <w:rFonts w:ascii="Times New Roman" w:eastAsia="Calibri" w:hAnsi="Times New Roman" w:cs="Calibri"/>
          <w:sz w:val="24"/>
        </w:rPr>
        <w:t>īpaši aizsargājamas</w:t>
      </w:r>
      <w:r w:rsidRPr="00A07F29">
        <w:rPr>
          <w:rFonts w:ascii="Times New Roman" w:eastAsia="Calibri" w:hAnsi="Times New Roman" w:cs="Calibri"/>
          <w:sz w:val="24"/>
        </w:rPr>
        <w:t xml:space="preserve"> putnu sugas. </w:t>
      </w:r>
      <w:r w:rsidR="00F16FD9" w:rsidRPr="00A07F29">
        <w:rPr>
          <w:rFonts w:ascii="Times New Roman" w:eastAsia="Calibri" w:hAnsi="Times New Roman" w:cs="Calibri"/>
          <w:sz w:val="24"/>
        </w:rPr>
        <w:t xml:space="preserve">AAA “Augšdaugava” </w:t>
      </w:r>
      <w:r w:rsidR="00DB74D2" w:rsidRPr="00A07F29">
        <w:rPr>
          <w:rFonts w:ascii="Times New Roman" w:eastAsia="Calibri" w:hAnsi="Times New Roman" w:cs="Calibri"/>
          <w:sz w:val="24"/>
        </w:rPr>
        <w:t xml:space="preserve">konstatētas 26 Latvijas īpaši aizsargājamās un 12 Biotopu direktīvas pielikumos iekļautās kukaiņu sugas, </w:t>
      </w:r>
      <w:r w:rsidR="00B045CC" w:rsidRPr="00A07F29">
        <w:rPr>
          <w:rFonts w:ascii="Times New Roman" w:eastAsia="Calibri" w:hAnsi="Times New Roman" w:cs="Calibri"/>
          <w:sz w:val="24"/>
        </w:rPr>
        <w:t>četras</w:t>
      </w:r>
      <w:r w:rsidR="00DB74D2" w:rsidRPr="00A07F29">
        <w:rPr>
          <w:rFonts w:ascii="Times New Roman" w:eastAsia="Calibri" w:hAnsi="Times New Roman" w:cs="Calibri"/>
          <w:sz w:val="24"/>
        </w:rPr>
        <w:t xml:space="preserve"> aizsargājamas zivju un viena </w:t>
      </w:r>
      <w:proofErr w:type="spellStart"/>
      <w:r w:rsidR="00DB74D2" w:rsidRPr="00A07F29">
        <w:rPr>
          <w:rFonts w:ascii="Times New Roman" w:eastAsia="Calibri" w:hAnsi="Times New Roman" w:cs="Calibri"/>
          <w:sz w:val="24"/>
        </w:rPr>
        <w:t>apaļmutnieku</w:t>
      </w:r>
      <w:proofErr w:type="spellEnd"/>
      <w:r w:rsidR="00DB74D2" w:rsidRPr="00A07F29">
        <w:rPr>
          <w:rFonts w:ascii="Times New Roman" w:eastAsia="Calibri" w:hAnsi="Times New Roman" w:cs="Calibri"/>
          <w:sz w:val="24"/>
        </w:rPr>
        <w:t xml:space="preserve"> – nēģu suga, kā arī 20 retas un aizsargājamas gliemju sugas, no tām </w:t>
      </w:r>
      <w:r w:rsidR="00FA0D3C" w:rsidRPr="00A07F29">
        <w:rPr>
          <w:rFonts w:ascii="Times New Roman" w:eastAsia="Calibri" w:hAnsi="Times New Roman" w:cs="Calibri"/>
          <w:sz w:val="24"/>
        </w:rPr>
        <w:t>četras</w:t>
      </w:r>
      <w:r w:rsidR="00DB74D2" w:rsidRPr="00A07F29">
        <w:rPr>
          <w:rFonts w:ascii="Times New Roman" w:eastAsia="Calibri" w:hAnsi="Times New Roman" w:cs="Calibri"/>
          <w:sz w:val="24"/>
        </w:rPr>
        <w:t xml:space="preserve"> iekļautas Biotopu direktīvas pielikumos. AAA “Augšdaugava” ietilpstošais DP “Daugavas loki” ir vienīgā vieta Latvijā, kur sastopams </w:t>
      </w:r>
      <w:proofErr w:type="spellStart"/>
      <w:r w:rsidR="00DB74D2" w:rsidRPr="00A07F29">
        <w:rPr>
          <w:rFonts w:ascii="Times New Roman" w:eastAsia="Calibri" w:hAnsi="Times New Roman" w:cs="Calibri"/>
          <w:sz w:val="24"/>
        </w:rPr>
        <w:t>liellūpas</w:t>
      </w:r>
      <w:proofErr w:type="spellEnd"/>
      <w:r w:rsidR="00DB74D2" w:rsidRPr="00A07F29">
        <w:rPr>
          <w:rFonts w:ascii="Times New Roman" w:eastAsia="Calibri" w:hAnsi="Times New Roman" w:cs="Calibri"/>
          <w:sz w:val="24"/>
        </w:rPr>
        <w:t xml:space="preserve"> vīngliemezis </w:t>
      </w:r>
      <w:proofErr w:type="spellStart"/>
      <w:r w:rsidR="00DB74D2" w:rsidRPr="00A07F29">
        <w:rPr>
          <w:rFonts w:ascii="Times New Roman" w:eastAsia="Calibri" w:hAnsi="Times New Roman" w:cs="Calibri"/>
          <w:i/>
          <w:sz w:val="24"/>
        </w:rPr>
        <w:t>Isognomostoma</w:t>
      </w:r>
      <w:proofErr w:type="spellEnd"/>
      <w:r w:rsidR="00DB74D2" w:rsidRPr="00A07F29">
        <w:rPr>
          <w:rFonts w:ascii="Times New Roman" w:eastAsia="Calibri" w:hAnsi="Times New Roman" w:cs="Calibri"/>
          <w:i/>
          <w:sz w:val="24"/>
        </w:rPr>
        <w:t xml:space="preserve"> </w:t>
      </w:r>
      <w:proofErr w:type="spellStart"/>
      <w:r w:rsidR="00DB74D2" w:rsidRPr="00A07F29">
        <w:rPr>
          <w:rFonts w:ascii="Times New Roman" w:eastAsia="Calibri" w:hAnsi="Times New Roman" w:cs="Calibri"/>
          <w:i/>
          <w:sz w:val="24"/>
        </w:rPr>
        <w:t>isognomostomus</w:t>
      </w:r>
      <w:proofErr w:type="spellEnd"/>
      <w:r w:rsidR="00DB74D2" w:rsidRPr="00A07F29">
        <w:rPr>
          <w:rFonts w:ascii="Times New Roman" w:eastAsia="Calibri" w:hAnsi="Times New Roman" w:cs="Calibri"/>
          <w:sz w:val="24"/>
        </w:rPr>
        <w:t>.</w:t>
      </w:r>
      <w:r w:rsidRPr="00A07F29">
        <w:rPr>
          <w:rFonts w:ascii="Times New Roman" w:eastAsia="Calibri" w:hAnsi="Times New Roman" w:cs="Calibri"/>
          <w:sz w:val="24"/>
        </w:rPr>
        <w:t xml:space="preserve"> </w:t>
      </w:r>
      <w:r w:rsidR="00DB74D2" w:rsidRPr="00A07F29">
        <w:rPr>
          <w:rFonts w:ascii="Times New Roman" w:eastAsia="Calibri" w:hAnsi="Times New Roman" w:cs="Calibri"/>
          <w:sz w:val="24"/>
        </w:rPr>
        <w:t>Liela nozīme AAA “Augšdaugava” teritorijai ir sikspārņu sugu</w:t>
      </w:r>
      <w:r w:rsidR="00F16FD9" w:rsidRPr="00A07F29">
        <w:rPr>
          <w:rFonts w:ascii="Times New Roman" w:eastAsia="Calibri" w:hAnsi="Times New Roman" w:cs="Calibri"/>
          <w:sz w:val="24"/>
        </w:rPr>
        <w:t xml:space="preserve"> saglabāšanā: konstatētas </w:t>
      </w:r>
      <w:r w:rsidR="000A3136" w:rsidRPr="00A07F29">
        <w:rPr>
          <w:rFonts w:ascii="Times New Roman" w:eastAsia="Calibri" w:hAnsi="Times New Roman" w:cs="Calibri"/>
          <w:sz w:val="24"/>
        </w:rPr>
        <w:t>deviņas</w:t>
      </w:r>
      <w:r w:rsidR="00F16FD9" w:rsidRPr="00A07F29">
        <w:rPr>
          <w:rFonts w:ascii="Times New Roman" w:eastAsia="Calibri" w:hAnsi="Times New Roman" w:cs="Calibri"/>
          <w:sz w:val="24"/>
        </w:rPr>
        <w:t xml:space="preserve"> sugas, kuras visas ir </w:t>
      </w:r>
      <w:r w:rsidR="00F16FD9" w:rsidRPr="00C63AFA">
        <w:rPr>
          <w:rFonts w:ascii="Times New Roman" w:eastAsia="Calibri" w:hAnsi="Times New Roman" w:cs="Calibri"/>
          <w:sz w:val="24"/>
        </w:rPr>
        <w:t>Latvijā īpaši aizsargājamas</w:t>
      </w:r>
      <w:r w:rsidR="00F16FD9" w:rsidRPr="00A07F29">
        <w:rPr>
          <w:rFonts w:ascii="Times New Roman" w:eastAsia="Calibri" w:hAnsi="Times New Roman" w:cs="Calibri"/>
          <w:sz w:val="24"/>
        </w:rPr>
        <w:t xml:space="preserve"> un iekļautas Biotopu direktīvas IV pielikumā</w:t>
      </w:r>
      <w:r w:rsidR="00DB74D2" w:rsidRPr="00A07F29">
        <w:rPr>
          <w:rFonts w:ascii="Times New Roman" w:eastAsia="Calibri" w:hAnsi="Times New Roman" w:cs="Calibri"/>
          <w:sz w:val="24"/>
        </w:rPr>
        <w:t xml:space="preserve">, </w:t>
      </w:r>
      <w:r w:rsidR="00F16FD9" w:rsidRPr="00A07F29">
        <w:rPr>
          <w:rFonts w:ascii="Times New Roman" w:eastAsia="Calibri" w:hAnsi="Times New Roman" w:cs="Calibri"/>
          <w:sz w:val="24"/>
        </w:rPr>
        <w:t xml:space="preserve">bet dīķa </w:t>
      </w:r>
      <w:proofErr w:type="spellStart"/>
      <w:r w:rsidR="00F16FD9" w:rsidRPr="00A07F29">
        <w:rPr>
          <w:rFonts w:ascii="Times New Roman" w:eastAsia="Calibri" w:hAnsi="Times New Roman" w:cs="Calibri"/>
          <w:sz w:val="24"/>
        </w:rPr>
        <w:t>naktssikspārnis</w:t>
      </w:r>
      <w:proofErr w:type="spellEnd"/>
      <w:r w:rsidR="00F16FD9" w:rsidRPr="00A07F29">
        <w:rPr>
          <w:rFonts w:ascii="Times New Roman" w:eastAsia="Calibri" w:hAnsi="Times New Roman" w:cs="Calibri"/>
          <w:sz w:val="24"/>
        </w:rPr>
        <w:t xml:space="preserve"> – arī Biotopu direktīvas II pielikumā.</w:t>
      </w:r>
    </w:p>
    <w:p w14:paraId="0A26163A" w14:textId="361A38AE" w:rsidR="00DB74D2" w:rsidRPr="00A07F29" w:rsidRDefault="00DB74D2" w:rsidP="00DB74D2">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AAA “Augšdaugava” ir bagāta rāpuļu un abinieku fauna. Šeit ir sastopamas 11 abinieku sugas (jeb 85% no Latvijas abinieku sugām) un </w:t>
      </w:r>
      <w:r w:rsidR="004C276F" w:rsidRPr="00A07F29">
        <w:rPr>
          <w:rFonts w:ascii="Times New Roman" w:eastAsia="Calibri" w:hAnsi="Times New Roman" w:cs="Calibri"/>
          <w:sz w:val="24"/>
        </w:rPr>
        <w:t>piecas</w:t>
      </w:r>
      <w:r w:rsidRPr="00A07F29">
        <w:rPr>
          <w:rFonts w:ascii="Times New Roman" w:eastAsia="Calibri" w:hAnsi="Times New Roman" w:cs="Calibri"/>
          <w:sz w:val="24"/>
        </w:rPr>
        <w:t xml:space="preserve"> rāpuļu sugas (jeb 71% Latvijas </w:t>
      </w:r>
      <w:r w:rsidRPr="00A07F29">
        <w:rPr>
          <w:rFonts w:ascii="Times New Roman" w:eastAsia="Calibri" w:hAnsi="Times New Roman" w:cs="Calibri"/>
          <w:sz w:val="24"/>
        </w:rPr>
        <w:lastRenderedPageBreak/>
        <w:t xml:space="preserve">rāpuļu sugām), </w:t>
      </w:r>
      <w:proofErr w:type="spellStart"/>
      <w:r w:rsidR="004C276F" w:rsidRPr="00A07F29">
        <w:rPr>
          <w:rFonts w:ascii="Times New Roman" w:eastAsia="Calibri" w:hAnsi="Times New Roman" w:cs="Calibri"/>
          <w:sz w:val="24"/>
        </w:rPr>
        <w:t>pecas</w:t>
      </w:r>
      <w:proofErr w:type="spellEnd"/>
      <w:r w:rsidRPr="00A07F29">
        <w:rPr>
          <w:rFonts w:ascii="Times New Roman" w:eastAsia="Calibri" w:hAnsi="Times New Roman" w:cs="Calibri"/>
          <w:sz w:val="24"/>
        </w:rPr>
        <w:t xml:space="preserve"> no tām ir Latvijā </w:t>
      </w:r>
      <w:r w:rsidRPr="00C63AFA">
        <w:rPr>
          <w:rFonts w:ascii="Times New Roman" w:eastAsia="Calibri" w:hAnsi="Times New Roman" w:cs="Calibri"/>
          <w:sz w:val="24"/>
        </w:rPr>
        <w:t>īpaši aizsargājamas</w:t>
      </w:r>
      <w:r w:rsidRPr="00A07F29">
        <w:rPr>
          <w:rFonts w:ascii="Times New Roman" w:eastAsia="Calibri" w:hAnsi="Times New Roman" w:cs="Calibri"/>
          <w:sz w:val="24"/>
        </w:rPr>
        <w:t xml:space="preserve"> un </w:t>
      </w:r>
      <w:r w:rsidR="004C276F" w:rsidRPr="00A07F29">
        <w:rPr>
          <w:rFonts w:ascii="Times New Roman" w:eastAsia="Calibri" w:hAnsi="Times New Roman" w:cs="Calibri"/>
          <w:sz w:val="24"/>
        </w:rPr>
        <w:t>piecas</w:t>
      </w:r>
      <w:r w:rsidRPr="00A07F29">
        <w:rPr>
          <w:rFonts w:ascii="Times New Roman" w:eastAsia="Calibri" w:hAnsi="Times New Roman" w:cs="Calibri"/>
          <w:sz w:val="24"/>
        </w:rPr>
        <w:t xml:space="preserve"> iekļautas Biotopu direktīvas pielikumos. Teritorija ir ļoti nozīmīga Biotopu direktīvas II pielikuma sugu – lielā tritona un </w:t>
      </w:r>
      <w:r w:rsidR="00F16FD9" w:rsidRPr="00A07F29">
        <w:rPr>
          <w:rFonts w:ascii="Times New Roman" w:eastAsia="Calibri" w:hAnsi="Times New Roman" w:cs="Calibri"/>
          <w:sz w:val="24"/>
        </w:rPr>
        <w:t xml:space="preserve">īpaši – </w:t>
      </w:r>
      <w:proofErr w:type="spellStart"/>
      <w:r w:rsidRPr="00A07F29">
        <w:rPr>
          <w:rFonts w:ascii="Times New Roman" w:eastAsia="Calibri" w:hAnsi="Times New Roman" w:cs="Calibri"/>
          <w:sz w:val="24"/>
        </w:rPr>
        <w:t>sarkanvēdera</w:t>
      </w:r>
      <w:proofErr w:type="spellEnd"/>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sz w:val="24"/>
        </w:rPr>
        <w:t>ugunskrupja</w:t>
      </w:r>
      <w:proofErr w:type="spellEnd"/>
      <w:r w:rsidRPr="00A07F29">
        <w:rPr>
          <w:rFonts w:ascii="Times New Roman" w:eastAsia="Calibri" w:hAnsi="Times New Roman" w:cs="Calibri"/>
          <w:sz w:val="24"/>
        </w:rPr>
        <w:t xml:space="preserve"> aizsardzībai, jo šeit atrodas </w:t>
      </w:r>
      <w:proofErr w:type="spellStart"/>
      <w:r w:rsidRPr="00A07F29">
        <w:rPr>
          <w:rFonts w:ascii="Times New Roman" w:eastAsia="Calibri" w:hAnsi="Times New Roman" w:cs="Calibri"/>
          <w:sz w:val="24"/>
        </w:rPr>
        <w:t>sarkanvēdera</w:t>
      </w:r>
      <w:proofErr w:type="spellEnd"/>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sz w:val="24"/>
        </w:rPr>
        <w:t>ugunskrupja</w:t>
      </w:r>
      <w:proofErr w:type="spellEnd"/>
      <w:r w:rsidRPr="00A07F29">
        <w:rPr>
          <w:rFonts w:ascii="Times New Roman" w:eastAsia="Calibri" w:hAnsi="Times New Roman" w:cs="Calibri"/>
          <w:sz w:val="24"/>
        </w:rPr>
        <w:t xml:space="preserve"> visas Eirop</w:t>
      </w:r>
      <w:r w:rsidR="00D87123" w:rsidRPr="00A07F29">
        <w:rPr>
          <w:rFonts w:ascii="Times New Roman" w:eastAsia="Calibri" w:hAnsi="Times New Roman" w:cs="Calibri"/>
          <w:sz w:val="24"/>
        </w:rPr>
        <w:t>as populācijas areāla Z robeža.</w:t>
      </w:r>
    </w:p>
    <w:p w14:paraId="2BD1FE8F" w14:textId="1B218E7C" w:rsidR="009066D5" w:rsidRPr="00A07F29" w:rsidRDefault="009066D5" w:rsidP="00326629">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DA plāna izstrādes laikā uzsākās ES LIFE programmas projekts “</w:t>
      </w:r>
      <w:proofErr w:type="spellStart"/>
      <w:r w:rsidRPr="00A07F29">
        <w:rPr>
          <w:rFonts w:ascii="Times New Roman" w:eastAsia="Calibri" w:hAnsi="Times New Roman" w:cs="Calibri"/>
          <w:sz w:val="24"/>
        </w:rPr>
        <w:t>Natura</w:t>
      </w:r>
      <w:proofErr w:type="spellEnd"/>
      <w:r w:rsidRPr="00A07F29">
        <w:rPr>
          <w:rFonts w:ascii="Times New Roman" w:eastAsia="Calibri" w:hAnsi="Times New Roman" w:cs="Calibri"/>
          <w:sz w:val="24"/>
        </w:rPr>
        <w:t> 2000</w:t>
      </w:r>
      <w:r w:rsidR="00BB0D37">
        <w:rPr>
          <w:rFonts w:ascii="Times New Roman" w:eastAsia="Calibri" w:hAnsi="Times New Roman" w:cs="Calibri"/>
          <w:sz w:val="24"/>
        </w:rPr>
        <w:t xml:space="preserve"> aizsargājamo teritoriju pārvaldības un apsaimniekošanas optim</w:t>
      </w:r>
      <w:r w:rsidR="003E6E50">
        <w:rPr>
          <w:rFonts w:ascii="Times New Roman" w:eastAsia="Calibri" w:hAnsi="Times New Roman" w:cs="Calibri"/>
          <w:sz w:val="24"/>
        </w:rPr>
        <w:t>izācija”</w:t>
      </w:r>
      <w:r w:rsidRPr="00A07F29">
        <w:rPr>
          <w:rFonts w:ascii="Times New Roman" w:eastAsia="Calibri" w:hAnsi="Times New Roman" w:cs="Calibri"/>
          <w:sz w:val="24"/>
        </w:rPr>
        <w:t xml:space="preserve">  (LIFE19IPE/LV/000010 LIFE-IP </w:t>
      </w:r>
      <w:proofErr w:type="spellStart"/>
      <w:r w:rsidRPr="00A07F29">
        <w:rPr>
          <w:rFonts w:ascii="Times New Roman" w:eastAsia="Calibri" w:hAnsi="Times New Roman" w:cs="Calibri"/>
          <w:sz w:val="24"/>
        </w:rPr>
        <w:t>LatViaNature</w:t>
      </w:r>
      <w:proofErr w:type="spellEnd"/>
      <w:r w:rsidRPr="00A07F29">
        <w:rPr>
          <w:rFonts w:ascii="Times New Roman" w:eastAsia="Calibri" w:hAnsi="Times New Roman" w:cs="Calibri"/>
          <w:sz w:val="24"/>
        </w:rPr>
        <w:t xml:space="preserve">). </w:t>
      </w:r>
      <w:r w:rsidRPr="001B4D7F">
        <w:rPr>
          <w:rFonts w:ascii="Times New Roman" w:eastAsia="Calibri" w:hAnsi="Times New Roman" w:cs="Calibri"/>
          <w:sz w:val="24"/>
        </w:rPr>
        <w:t>Projekta</w:t>
      </w:r>
      <w:r w:rsidRPr="00A07F29">
        <w:rPr>
          <w:rFonts w:ascii="Times New Roman" w:eastAsia="Calibri" w:hAnsi="Times New Roman" w:cs="Calibri"/>
          <w:sz w:val="24"/>
        </w:rPr>
        <w:t xml:space="preserve"> ietvaros ir izstrādāti valsts līmeņa un </w:t>
      </w:r>
      <w:proofErr w:type="spellStart"/>
      <w:r w:rsidRPr="00A07F29">
        <w:rPr>
          <w:rFonts w:ascii="Times New Roman" w:eastAsia="Calibri" w:hAnsi="Times New Roman" w:cs="Calibri"/>
          <w:sz w:val="24"/>
        </w:rPr>
        <w:t>Natura</w:t>
      </w:r>
      <w:proofErr w:type="spellEnd"/>
      <w:r w:rsidRPr="00A07F29">
        <w:rPr>
          <w:rFonts w:ascii="Times New Roman" w:eastAsia="Calibri" w:hAnsi="Times New Roman" w:cs="Calibri"/>
          <w:sz w:val="24"/>
        </w:rPr>
        <w:t xml:space="preserve"> 2000 teritoriju biotopu aizsardzības mērķi un noteikti sugu aizsardzības mērķi ES Biotopu direktīvas II, IV, V pielikumu sugām, kur</w:t>
      </w:r>
      <w:r w:rsidR="00EC5980" w:rsidRPr="00A07F29">
        <w:rPr>
          <w:rFonts w:ascii="Times New Roman" w:eastAsia="Calibri" w:hAnsi="Times New Roman" w:cs="Calibri"/>
          <w:sz w:val="24"/>
        </w:rPr>
        <w:t>i</w:t>
      </w:r>
      <w:r w:rsidRPr="00A07F29">
        <w:rPr>
          <w:rFonts w:ascii="Times New Roman" w:eastAsia="Calibri" w:hAnsi="Times New Roman" w:cs="Calibri"/>
          <w:sz w:val="24"/>
        </w:rPr>
        <w:t xml:space="preserve"> </w:t>
      </w:r>
      <w:r w:rsidR="00D07087" w:rsidRPr="00A07F29">
        <w:rPr>
          <w:rFonts w:ascii="Times New Roman" w:eastAsia="Calibri" w:hAnsi="Times New Roman" w:cs="Calibri"/>
          <w:sz w:val="24"/>
        </w:rPr>
        <w:t>noteikti pēc DA plāna izstrādes pabeigšanas</w:t>
      </w:r>
      <w:r w:rsidRPr="00A07F29">
        <w:rPr>
          <w:rFonts w:ascii="Times New Roman" w:eastAsia="Calibri" w:hAnsi="Times New Roman" w:cs="Calibri"/>
          <w:sz w:val="24"/>
        </w:rPr>
        <w:t>.</w:t>
      </w:r>
      <w:r w:rsidR="00D07087" w:rsidRPr="00A07F29">
        <w:rPr>
          <w:rFonts w:ascii="Times New Roman" w:eastAsia="Calibri" w:hAnsi="Times New Roman" w:cs="Calibri"/>
          <w:sz w:val="24"/>
        </w:rPr>
        <w:t xml:space="preserve"> Cik </w:t>
      </w:r>
      <w:proofErr w:type="spellStart"/>
      <w:r w:rsidR="00D07087" w:rsidRPr="00A07F29">
        <w:rPr>
          <w:rFonts w:ascii="Times New Roman" w:eastAsia="Calibri" w:hAnsi="Times New Roman" w:cs="Calibri"/>
          <w:sz w:val="24"/>
        </w:rPr>
        <w:t>tāl</w:t>
      </w:r>
      <w:proofErr w:type="spellEnd"/>
      <w:r w:rsidR="00D07087" w:rsidRPr="00A07F29">
        <w:rPr>
          <w:rFonts w:ascii="Times New Roman" w:eastAsia="Calibri" w:hAnsi="Times New Roman" w:cs="Calibri"/>
          <w:sz w:val="24"/>
        </w:rPr>
        <w:t xml:space="preserve"> bija iespējams, mērķi ir integrēti DA plānā, bet aktuālākā informācija atrodama </w:t>
      </w:r>
      <w:r w:rsidR="00BF7BF1">
        <w:rPr>
          <w:rFonts w:ascii="Times New Roman" w:eastAsia="Calibri" w:hAnsi="Times New Roman" w:cs="Calibri"/>
          <w:sz w:val="24"/>
        </w:rPr>
        <w:t xml:space="preserve">šī </w:t>
      </w:r>
      <w:r w:rsidR="001B4D7F">
        <w:rPr>
          <w:rFonts w:ascii="Times New Roman" w:eastAsia="Calibri" w:hAnsi="Times New Roman" w:cs="Calibri"/>
          <w:sz w:val="24"/>
        </w:rPr>
        <w:t>p</w:t>
      </w:r>
      <w:r w:rsidR="00D07087" w:rsidRPr="001B4D7F">
        <w:rPr>
          <w:rFonts w:ascii="Times New Roman" w:eastAsia="Calibri" w:hAnsi="Times New Roman" w:cs="Calibri"/>
          <w:sz w:val="24"/>
        </w:rPr>
        <w:t>rojekta</w:t>
      </w:r>
      <w:r w:rsidR="00D07087" w:rsidRPr="00A07F29">
        <w:rPr>
          <w:rFonts w:ascii="Times New Roman" w:eastAsia="Calibri" w:hAnsi="Times New Roman" w:cs="Calibri"/>
          <w:sz w:val="24"/>
        </w:rPr>
        <w:t xml:space="preserve"> nodevumos.</w:t>
      </w:r>
    </w:p>
    <w:p w14:paraId="7DDBC010" w14:textId="78C4DA3F" w:rsidR="00D87123" w:rsidRPr="00A07F29" w:rsidRDefault="00DB74D2" w:rsidP="00D87123">
      <w:pPr>
        <w:spacing w:after="120" w:line="240" w:lineRule="auto"/>
        <w:ind w:firstLine="851"/>
        <w:jc w:val="both"/>
        <w:rPr>
          <w:rFonts w:ascii="Times New Roman" w:eastAsia="Times New Roman" w:hAnsi="Times New Roman" w:cs="Times New Roman"/>
          <w:color w:val="000000"/>
          <w:sz w:val="24"/>
          <w:lang w:eastAsia="ja-JP"/>
        </w:rPr>
      </w:pPr>
      <w:r w:rsidRPr="00A07F29">
        <w:rPr>
          <w:rFonts w:ascii="Times New Roman" w:eastAsia="Calibri" w:hAnsi="Times New Roman" w:cs="Calibri"/>
          <w:sz w:val="24"/>
        </w:rPr>
        <w:t xml:space="preserve">Ņemot vērā, ka Daugavas augštece Latvijā ir saglabājusies kā pēdējais cilvēka saimnieciskās darbības relatīvi maz ietekmētais upes ielejas posms, ir svarīgi arī turpmāk to pēc iespējas mazāk pārveidot, lai saglabātu šeit sastopamās </w:t>
      </w:r>
      <w:r w:rsidR="00D87123" w:rsidRPr="00A07F29">
        <w:rPr>
          <w:rFonts w:ascii="Times New Roman" w:eastAsia="Calibri" w:hAnsi="Times New Roman" w:cs="Calibri"/>
          <w:sz w:val="24"/>
        </w:rPr>
        <w:t xml:space="preserve">sugas, </w:t>
      </w:r>
      <w:r w:rsidRPr="00A07F29">
        <w:rPr>
          <w:rFonts w:ascii="Times New Roman" w:eastAsia="Calibri" w:hAnsi="Times New Roman" w:cs="Calibri"/>
          <w:sz w:val="24"/>
        </w:rPr>
        <w:t>biotopus</w:t>
      </w:r>
      <w:r w:rsidR="00D87123" w:rsidRPr="00A07F29">
        <w:rPr>
          <w:rFonts w:ascii="Times New Roman" w:eastAsia="Calibri" w:hAnsi="Times New Roman" w:cs="Calibri"/>
          <w:sz w:val="24"/>
        </w:rPr>
        <w:t xml:space="preserve"> un</w:t>
      </w:r>
      <w:r w:rsidRPr="00A07F29">
        <w:rPr>
          <w:rFonts w:ascii="Times New Roman" w:eastAsia="Calibri" w:hAnsi="Times New Roman" w:cs="Calibri"/>
          <w:sz w:val="24"/>
        </w:rPr>
        <w:t xml:space="preserve"> ainavu. </w:t>
      </w:r>
      <w:r w:rsidR="00D87123" w:rsidRPr="00A07F29">
        <w:rPr>
          <w:rFonts w:ascii="Times New Roman" w:eastAsia="Calibri" w:hAnsi="Times New Roman" w:cs="Calibri"/>
          <w:sz w:val="24"/>
        </w:rPr>
        <w:t xml:space="preserve">Līdz ar to </w:t>
      </w:r>
      <w:r w:rsidR="00D87123" w:rsidRPr="00A07F29">
        <w:rPr>
          <w:rFonts w:ascii="Times New Roman" w:eastAsia="Times New Roman" w:hAnsi="Times New Roman" w:cs="Times New Roman"/>
          <w:color w:val="000000"/>
          <w:sz w:val="24"/>
          <w:lang w:eastAsia="ja-JP"/>
        </w:rPr>
        <w:t xml:space="preserve">AAA </w:t>
      </w:r>
      <w:r w:rsidR="00E92E5D" w:rsidRPr="00A07F29">
        <w:rPr>
          <w:rFonts w:ascii="Times New Roman" w:eastAsia="Times New Roman" w:hAnsi="Times New Roman" w:cs="Times New Roman"/>
          <w:color w:val="000000"/>
          <w:sz w:val="24"/>
          <w:lang w:eastAsia="ja-JP"/>
        </w:rPr>
        <w:t>“</w:t>
      </w:r>
      <w:r w:rsidR="00D87123" w:rsidRPr="00A07F29">
        <w:rPr>
          <w:rFonts w:ascii="Times New Roman" w:eastAsia="Times New Roman" w:hAnsi="Times New Roman" w:cs="Times New Roman"/>
          <w:color w:val="000000"/>
          <w:sz w:val="24"/>
          <w:lang w:eastAsia="ja-JP"/>
        </w:rPr>
        <w:t xml:space="preserve">Augšdaugava” apsaimniekošanas ideālais jeb ilgtermiņa mērķis ir saglabāt AAA </w:t>
      </w:r>
      <w:r w:rsidR="00E92E5D" w:rsidRPr="00A07F29">
        <w:rPr>
          <w:rFonts w:ascii="Times New Roman" w:eastAsia="Times New Roman" w:hAnsi="Times New Roman" w:cs="Times New Roman"/>
          <w:color w:val="000000"/>
          <w:sz w:val="24"/>
          <w:lang w:eastAsia="ja-JP"/>
        </w:rPr>
        <w:t>“</w:t>
      </w:r>
      <w:r w:rsidR="00D87123" w:rsidRPr="00A07F29">
        <w:rPr>
          <w:rFonts w:ascii="Times New Roman" w:eastAsia="Times New Roman" w:hAnsi="Times New Roman" w:cs="Times New Roman"/>
          <w:color w:val="000000"/>
          <w:sz w:val="24"/>
          <w:lang w:eastAsia="ja-JP"/>
        </w:rPr>
        <w:t xml:space="preserve">Augšdaugava” dabas un kultūrvēsturiskās vērtības – cilvēka neizmainīto Daugavas upes posmu un upei pieguļošo teritoriju, aizsargājot tās ainavisko struktūru, kā arī biotopu un sugu daudzveidību, vienlaikus veicinot teritorijas ilgtspējīgu attīstību un līdzsvarojot dabas aizsardzības, kultūrvēsturisko vērtību aizsardzības un sociālekonomiskās intereses. </w:t>
      </w:r>
      <w:r w:rsidR="005A1B25" w:rsidRPr="00A07F29">
        <w:rPr>
          <w:rFonts w:ascii="Times New Roman" w:eastAsia="Times New Roman" w:hAnsi="Times New Roman" w:cs="Times New Roman"/>
          <w:color w:val="000000"/>
          <w:sz w:val="24"/>
          <w:lang w:eastAsia="ja-JP"/>
        </w:rPr>
        <w:t>DA</w:t>
      </w:r>
      <w:r w:rsidR="00AC4FD0" w:rsidRPr="00A07F29">
        <w:rPr>
          <w:rFonts w:ascii="Times New Roman" w:eastAsia="Times New Roman" w:hAnsi="Times New Roman" w:cs="Times New Roman"/>
          <w:color w:val="000000"/>
          <w:sz w:val="24"/>
          <w:lang w:eastAsia="ja-JP"/>
        </w:rPr>
        <w:t xml:space="preserve"> p</w:t>
      </w:r>
      <w:r w:rsidR="00D87123" w:rsidRPr="00A07F29">
        <w:rPr>
          <w:rFonts w:ascii="Times New Roman" w:eastAsia="Times New Roman" w:hAnsi="Times New Roman" w:cs="Times New Roman"/>
          <w:color w:val="000000"/>
          <w:sz w:val="24"/>
          <w:lang w:eastAsia="ja-JP"/>
        </w:rPr>
        <w:t>lāna darbības periodam izvirzīti 26 īstermiņa mērķi, kas ietver administratīvos un organizatoriskos aspektus, dabas vērtību aizsardzību un apsaimniekošanu, sabiedrības izglītošanu un informēšanu, tūrisma un atpūtas organizēšanu, ainavisko un kultūrvēsturisko vērtību apsaimniekošanu, izpēti un monitoringu (</w:t>
      </w:r>
      <w:r w:rsidR="00455ED4" w:rsidRPr="00A07F29">
        <w:rPr>
          <w:rFonts w:ascii="Times New Roman" w:eastAsia="Times New Roman" w:hAnsi="Times New Roman" w:cs="Times New Roman"/>
          <w:color w:val="000000"/>
          <w:sz w:val="24"/>
          <w:lang w:eastAsia="ja-JP"/>
        </w:rPr>
        <w:t>skat.</w:t>
      </w:r>
      <w:r w:rsidR="00D87123" w:rsidRPr="00A07F29">
        <w:rPr>
          <w:rFonts w:ascii="Times New Roman" w:eastAsia="Times New Roman" w:hAnsi="Times New Roman" w:cs="Times New Roman"/>
          <w:color w:val="000000"/>
          <w:sz w:val="24"/>
          <w:lang w:eastAsia="ja-JP"/>
        </w:rPr>
        <w:t xml:space="preserve"> 5.2.2.</w:t>
      </w:r>
      <w:r w:rsidR="00AC4FD0" w:rsidRPr="00A07F29">
        <w:rPr>
          <w:rFonts w:ascii="Times New Roman" w:eastAsia="Times New Roman" w:hAnsi="Times New Roman" w:cs="Times New Roman"/>
          <w:color w:val="000000"/>
          <w:sz w:val="24"/>
          <w:lang w:eastAsia="ja-JP"/>
        </w:rPr>
        <w:t> </w:t>
      </w:r>
      <w:r w:rsidR="00D87123" w:rsidRPr="00A07F29">
        <w:rPr>
          <w:rFonts w:ascii="Times New Roman" w:eastAsia="Times New Roman" w:hAnsi="Times New Roman" w:cs="Times New Roman"/>
          <w:color w:val="000000"/>
          <w:sz w:val="24"/>
          <w:lang w:eastAsia="ja-JP"/>
        </w:rPr>
        <w:t xml:space="preserve">nodaļa). </w:t>
      </w:r>
    </w:p>
    <w:p w14:paraId="5CBCBAD1" w14:textId="196F90F8" w:rsidR="00BE1441" w:rsidRPr="00A07F29" w:rsidRDefault="00D87123" w:rsidP="00BE1441">
      <w:pPr>
        <w:spacing w:after="120" w:line="240" w:lineRule="auto"/>
        <w:ind w:firstLine="851"/>
        <w:jc w:val="both"/>
        <w:rPr>
          <w:rFonts w:ascii="Times New Roman" w:eastAsia="Calibri" w:hAnsi="Times New Roman" w:cs="Calibri"/>
          <w:sz w:val="24"/>
        </w:rPr>
      </w:pPr>
      <w:r w:rsidRPr="00A07F29">
        <w:rPr>
          <w:rFonts w:ascii="Times New Roman" w:eastAsia="Times New Roman" w:hAnsi="Times New Roman" w:cs="Times New Roman"/>
          <w:color w:val="000000"/>
          <w:sz w:val="24"/>
          <w:lang w:eastAsia="ja-JP"/>
        </w:rPr>
        <w:t xml:space="preserve">Lai sasniegtu AAA </w:t>
      </w:r>
      <w:r w:rsidR="00AC4FD0" w:rsidRPr="00A07F29">
        <w:rPr>
          <w:rFonts w:ascii="Times New Roman" w:eastAsia="Times New Roman" w:hAnsi="Times New Roman" w:cs="Times New Roman"/>
          <w:color w:val="000000"/>
          <w:sz w:val="24"/>
          <w:lang w:eastAsia="ja-JP"/>
        </w:rPr>
        <w:t>“</w:t>
      </w:r>
      <w:r w:rsidRPr="00A07F29">
        <w:rPr>
          <w:rFonts w:ascii="Times New Roman" w:eastAsia="Times New Roman" w:hAnsi="Times New Roman" w:cs="Times New Roman"/>
          <w:color w:val="000000"/>
          <w:sz w:val="24"/>
          <w:lang w:eastAsia="ja-JP"/>
        </w:rPr>
        <w:t xml:space="preserve">Augšdaugava” apsaimniekošanas mērķus, ieteikti </w:t>
      </w:r>
      <w:r w:rsidR="00D4724D" w:rsidRPr="00A07F29">
        <w:rPr>
          <w:rFonts w:ascii="Times New Roman" w:eastAsia="Times New Roman" w:hAnsi="Times New Roman" w:cs="Times New Roman"/>
          <w:color w:val="000000"/>
          <w:sz w:val="24"/>
          <w:lang w:eastAsia="ja-JP"/>
        </w:rPr>
        <w:t>9</w:t>
      </w:r>
      <w:r w:rsidR="00160B6B" w:rsidRPr="00A07F29">
        <w:rPr>
          <w:rFonts w:ascii="Times New Roman" w:eastAsia="Times New Roman" w:hAnsi="Times New Roman" w:cs="Times New Roman"/>
          <w:color w:val="000000"/>
          <w:sz w:val="24"/>
          <w:lang w:eastAsia="ja-JP"/>
        </w:rPr>
        <w:t>2</w:t>
      </w:r>
      <w:r w:rsidR="00D4724D" w:rsidRPr="00A07F29">
        <w:rPr>
          <w:rFonts w:ascii="Times New Roman" w:eastAsia="Times New Roman" w:hAnsi="Times New Roman" w:cs="Times New Roman"/>
          <w:color w:val="000000"/>
          <w:sz w:val="24"/>
          <w:lang w:eastAsia="ja-JP"/>
        </w:rPr>
        <w:t xml:space="preserve"> apsaimniekošanas pasākumi</w:t>
      </w:r>
      <w:r w:rsidR="00D4724D" w:rsidRPr="00A07F29">
        <w:rPr>
          <w:rFonts w:ascii="Times New Roman" w:eastAsia="Calibri" w:hAnsi="Times New Roman" w:cs="Calibri"/>
          <w:sz w:val="24"/>
        </w:rPr>
        <w:t xml:space="preserve"> (</w:t>
      </w:r>
      <w:r w:rsidR="00FA0F8D" w:rsidRPr="00A07F29">
        <w:rPr>
          <w:rFonts w:ascii="Times New Roman" w:eastAsia="Calibri" w:hAnsi="Times New Roman" w:cs="Calibri"/>
          <w:sz w:val="24"/>
        </w:rPr>
        <w:t>skat.</w:t>
      </w:r>
      <w:r w:rsidR="00D4724D" w:rsidRPr="00A07F29">
        <w:rPr>
          <w:rFonts w:ascii="Times New Roman" w:eastAsia="Calibri" w:hAnsi="Times New Roman" w:cs="Calibri"/>
          <w:sz w:val="24"/>
        </w:rPr>
        <w:t xml:space="preserve"> 5.3.</w:t>
      </w:r>
      <w:r w:rsidR="004B6F53" w:rsidRPr="00A07F29">
        <w:rPr>
          <w:rFonts w:ascii="Times New Roman" w:eastAsia="Calibri" w:hAnsi="Times New Roman" w:cs="Calibri"/>
          <w:sz w:val="24"/>
        </w:rPr>
        <w:t> </w:t>
      </w:r>
      <w:r w:rsidR="00D4724D" w:rsidRPr="00A07F29">
        <w:rPr>
          <w:rFonts w:ascii="Times New Roman" w:eastAsia="Calibri" w:hAnsi="Times New Roman" w:cs="Calibri"/>
          <w:sz w:val="24"/>
        </w:rPr>
        <w:t>nodaļa un 5.1.</w:t>
      </w:r>
      <w:r w:rsidR="00670A18">
        <w:rPr>
          <w:rFonts w:ascii="Times New Roman" w:eastAsia="Calibri" w:hAnsi="Times New Roman" w:cs="Calibri"/>
          <w:sz w:val="24"/>
        </w:rPr>
        <w:t>1.</w:t>
      </w:r>
      <w:r w:rsidR="000A1567">
        <w:rPr>
          <w:rFonts w:ascii="Times New Roman" w:eastAsia="Calibri" w:hAnsi="Times New Roman" w:cs="Calibri"/>
          <w:sz w:val="24"/>
        </w:rPr>
        <w:t xml:space="preserve"> un 5.1.1a.</w:t>
      </w:r>
      <w:r w:rsidR="004B6F53" w:rsidRPr="00A07F29">
        <w:rPr>
          <w:rFonts w:ascii="Times New Roman" w:eastAsia="Calibri" w:hAnsi="Times New Roman" w:cs="Calibri"/>
          <w:sz w:val="24"/>
        </w:rPr>
        <w:t> </w:t>
      </w:r>
      <w:r w:rsidR="00D4724D" w:rsidRPr="00A07F29">
        <w:rPr>
          <w:rFonts w:ascii="Times New Roman" w:eastAsia="Calibri" w:hAnsi="Times New Roman" w:cs="Calibri"/>
          <w:sz w:val="24"/>
        </w:rPr>
        <w:t>pielikums). Dabas vērtību saglabāšanai nozīmīgākie ieteicamie pasākumi ir zālāju apsaimniekošana un atjaunošana, neiejaukšanās ES nozīmes mežu biotopu dabiskā attīstībā, kā arī specifiski pasākumi ezeru, upju un purvu biotopu un aizsargājamo sugu dzīvotņu kvalitātes saglabāšanai un uzlabošanai. I</w:t>
      </w:r>
      <w:r w:rsidR="00B00AE5" w:rsidRPr="00A07F29">
        <w:rPr>
          <w:rFonts w:ascii="Times New Roman" w:eastAsia="Calibri" w:hAnsi="Times New Roman" w:cs="Calibri"/>
          <w:sz w:val="24"/>
        </w:rPr>
        <w:t xml:space="preserve">eteiktie </w:t>
      </w:r>
      <w:r w:rsidR="00D4724D" w:rsidRPr="00A07F29">
        <w:rPr>
          <w:rFonts w:ascii="Times New Roman" w:eastAsia="Calibri" w:hAnsi="Times New Roman" w:cs="Calibri"/>
          <w:sz w:val="24"/>
        </w:rPr>
        <w:t xml:space="preserve">pasākumi </w:t>
      </w:r>
      <w:r w:rsidR="00B00AE5" w:rsidRPr="00A07F29">
        <w:rPr>
          <w:rFonts w:ascii="Times New Roman" w:eastAsia="Calibri" w:hAnsi="Times New Roman" w:cs="Calibri"/>
          <w:sz w:val="24"/>
        </w:rPr>
        <w:t>tūrisma un atpūtas organizēšanai ietver infrastruktūras pilnveidošanu un uzturēšanu, tostarp taku, atpūtas vietu, l</w:t>
      </w:r>
      <w:r w:rsidR="009A103F" w:rsidRPr="00A07F29">
        <w:rPr>
          <w:rFonts w:ascii="Times New Roman" w:eastAsia="Calibri" w:hAnsi="Times New Roman" w:cs="Calibri"/>
          <w:sz w:val="24"/>
        </w:rPr>
        <w:t xml:space="preserve">aivu piestātņu un </w:t>
      </w:r>
      <w:proofErr w:type="spellStart"/>
      <w:r w:rsidR="00B00AE5" w:rsidRPr="00A07F29">
        <w:rPr>
          <w:rFonts w:ascii="Times New Roman" w:eastAsia="Calibri" w:hAnsi="Times New Roman" w:cs="Calibri"/>
          <w:sz w:val="24"/>
        </w:rPr>
        <w:t>ūdenstūristu</w:t>
      </w:r>
      <w:proofErr w:type="spellEnd"/>
      <w:r w:rsidR="00B00AE5" w:rsidRPr="00A07F29">
        <w:rPr>
          <w:rFonts w:ascii="Times New Roman" w:eastAsia="Calibri" w:hAnsi="Times New Roman" w:cs="Calibri"/>
          <w:sz w:val="24"/>
        </w:rPr>
        <w:t xml:space="preserve"> apmetņu ierīkošanu, labiekārtošanu un apsaimniekošanu. Paredzēta arī </w:t>
      </w:r>
      <w:r w:rsidR="009A103F" w:rsidRPr="00A07F29">
        <w:rPr>
          <w:rFonts w:ascii="Times New Roman" w:eastAsia="Calibri" w:hAnsi="Times New Roman" w:cs="Calibri"/>
          <w:sz w:val="24"/>
        </w:rPr>
        <w:t xml:space="preserve">tūrisma maršrutu izveidošana un </w:t>
      </w:r>
      <w:r w:rsidR="00B00AE5" w:rsidRPr="00A07F29">
        <w:rPr>
          <w:rFonts w:ascii="Times New Roman" w:eastAsia="Calibri" w:hAnsi="Times New Roman" w:cs="Calibri"/>
          <w:sz w:val="24"/>
        </w:rPr>
        <w:t xml:space="preserve">uzturēšana u.c. </w:t>
      </w:r>
      <w:r w:rsidR="009A103F" w:rsidRPr="00A07F29">
        <w:rPr>
          <w:rFonts w:ascii="Times New Roman" w:eastAsia="Calibri" w:hAnsi="Times New Roman" w:cs="Calibri"/>
          <w:sz w:val="24"/>
        </w:rPr>
        <w:t>pasākumi tūrisma piedāvājuma pilnveidošanai AAA “</w:t>
      </w:r>
      <w:r w:rsidR="00616046" w:rsidRPr="00A07F29">
        <w:rPr>
          <w:rFonts w:ascii="Times New Roman" w:eastAsia="Calibri" w:hAnsi="Times New Roman" w:cs="Calibri"/>
          <w:sz w:val="24"/>
        </w:rPr>
        <w:t>Augšdaugava</w:t>
      </w:r>
      <w:r w:rsidR="009A103F" w:rsidRPr="00A07F29">
        <w:rPr>
          <w:rFonts w:ascii="Times New Roman" w:eastAsia="Calibri" w:hAnsi="Times New Roman" w:cs="Calibri"/>
          <w:sz w:val="24"/>
        </w:rPr>
        <w:t>” teritorij</w:t>
      </w:r>
      <w:r w:rsidR="00C2406B" w:rsidRPr="00A07F29">
        <w:rPr>
          <w:rFonts w:ascii="Times New Roman" w:eastAsia="Calibri" w:hAnsi="Times New Roman" w:cs="Calibri"/>
          <w:sz w:val="24"/>
        </w:rPr>
        <w:t xml:space="preserve">ā. </w:t>
      </w:r>
      <w:r w:rsidR="009A103F" w:rsidRPr="00A07F29">
        <w:rPr>
          <w:rFonts w:ascii="Times New Roman" w:eastAsia="Calibri" w:hAnsi="Times New Roman" w:cs="Calibri"/>
          <w:sz w:val="24"/>
        </w:rPr>
        <w:t xml:space="preserve">Lai </w:t>
      </w:r>
      <w:r w:rsidR="00C2406B" w:rsidRPr="00A07F29">
        <w:rPr>
          <w:rFonts w:ascii="Times New Roman" w:eastAsia="Calibri" w:hAnsi="Times New Roman" w:cs="Calibri"/>
          <w:sz w:val="24"/>
        </w:rPr>
        <w:t>uzlabotu i</w:t>
      </w:r>
      <w:r w:rsidR="009A103F" w:rsidRPr="00A07F29">
        <w:rPr>
          <w:rFonts w:ascii="Times New Roman" w:eastAsia="Calibri" w:hAnsi="Times New Roman" w:cs="Calibri"/>
          <w:sz w:val="24"/>
        </w:rPr>
        <w:t xml:space="preserve">nformācijas pieejamību par AAA “Augšdaugava” vērtībām un tūrisma objektiem un </w:t>
      </w:r>
      <w:r w:rsidR="00C2406B" w:rsidRPr="00A07F29">
        <w:rPr>
          <w:rFonts w:ascii="Times New Roman" w:eastAsia="Calibri" w:hAnsi="Times New Roman" w:cs="Calibri"/>
          <w:sz w:val="24"/>
        </w:rPr>
        <w:t xml:space="preserve">veicinātu sabiedrības atbalstu vērtību </w:t>
      </w:r>
      <w:proofErr w:type="spellStart"/>
      <w:r w:rsidR="00C2406B" w:rsidRPr="00A07F29">
        <w:rPr>
          <w:rFonts w:ascii="Times New Roman" w:eastAsia="Calibri" w:hAnsi="Times New Roman" w:cs="Calibri"/>
          <w:sz w:val="24"/>
        </w:rPr>
        <w:t>sagalabāšanai</w:t>
      </w:r>
      <w:proofErr w:type="spellEnd"/>
      <w:r w:rsidR="00C2406B" w:rsidRPr="00A07F29">
        <w:rPr>
          <w:rFonts w:ascii="Times New Roman" w:eastAsia="Calibri" w:hAnsi="Times New Roman" w:cs="Calibri"/>
          <w:sz w:val="24"/>
        </w:rPr>
        <w:t xml:space="preserve">, paredzēta </w:t>
      </w:r>
      <w:r w:rsidR="009A103F" w:rsidRPr="00A07F29">
        <w:rPr>
          <w:rFonts w:ascii="Times New Roman" w:eastAsia="Calibri" w:hAnsi="Times New Roman" w:cs="Calibri"/>
          <w:sz w:val="24"/>
        </w:rPr>
        <w:t>dažādu informatīvo stendu un norāžu izvietošana</w:t>
      </w:r>
      <w:r w:rsidR="00C2406B" w:rsidRPr="00A07F29">
        <w:rPr>
          <w:rFonts w:ascii="Times New Roman" w:eastAsia="Calibri" w:hAnsi="Times New Roman" w:cs="Calibri"/>
          <w:sz w:val="24"/>
        </w:rPr>
        <w:t xml:space="preserve">, </w:t>
      </w:r>
      <w:r w:rsidR="009A103F" w:rsidRPr="00A07F29">
        <w:rPr>
          <w:rFonts w:ascii="Times New Roman" w:eastAsia="Calibri" w:hAnsi="Times New Roman" w:cs="Calibri"/>
          <w:sz w:val="24"/>
        </w:rPr>
        <w:t>informatīvo materiālu sagatavošana</w:t>
      </w:r>
      <w:r w:rsidR="00C2406B" w:rsidRPr="00A07F29">
        <w:rPr>
          <w:rFonts w:ascii="Times New Roman" w:eastAsia="Calibri" w:hAnsi="Times New Roman" w:cs="Calibri"/>
          <w:sz w:val="24"/>
        </w:rPr>
        <w:t xml:space="preserve"> </w:t>
      </w:r>
      <w:r w:rsidR="009A103F" w:rsidRPr="00A07F29">
        <w:rPr>
          <w:rFonts w:ascii="Times New Roman" w:eastAsia="Calibri" w:hAnsi="Times New Roman" w:cs="Calibri"/>
          <w:sz w:val="24"/>
        </w:rPr>
        <w:t>un publicēšana</w:t>
      </w:r>
      <w:r w:rsidR="00C2406B" w:rsidRPr="00A07F29">
        <w:rPr>
          <w:rFonts w:ascii="Times New Roman" w:eastAsia="Calibri" w:hAnsi="Times New Roman" w:cs="Calibri"/>
          <w:sz w:val="24"/>
        </w:rPr>
        <w:t xml:space="preserve">, kā arī dažādu izglītojošu un tematisku pasākumu organizēšana. AAA “Augšdaugava” ainavisko vērtību saglabāšanai ieteikta skatu vietu uzturēšana un atjaunošana un ainavisko ceļu un ceļa posmu uzturēšana, nepieļaujot ainavas degradāciju ne dabisku procesu, ne cilvēka darbības rezultātā. </w:t>
      </w:r>
      <w:r w:rsidR="00970953" w:rsidRPr="00A07F29">
        <w:rPr>
          <w:rFonts w:ascii="Times New Roman" w:eastAsia="Calibri" w:hAnsi="Times New Roman" w:cs="Calibri"/>
          <w:sz w:val="24"/>
        </w:rPr>
        <w:t xml:space="preserve">Ainavas ekoloģiskās un vizuālās kvalitātes uzlabošanai ieteikta </w:t>
      </w:r>
      <w:proofErr w:type="spellStart"/>
      <w:r w:rsidR="00970953" w:rsidRPr="00A07F29">
        <w:rPr>
          <w:rFonts w:ascii="Times New Roman" w:eastAsia="Calibri" w:hAnsi="Times New Roman" w:cs="Calibri"/>
          <w:sz w:val="24"/>
        </w:rPr>
        <w:t>Elernes</w:t>
      </w:r>
      <w:proofErr w:type="spellEnd"/>
      <w:r w:rsidR="00970953" w:rsidRPr="00A07F29">
        <w:rPr>
          <w:rFonts w:ascii="Times New Roman" w:eastAsia="Calibri" w:hAnsi="Times New Roman" w:cs="Calibri"/>
          <w:sz w:val="24"/>
        </w:rPr>
        <w:t xml:space="preserve"> loka karjeru </w:t>
      </w:r>
      <w:r w:rsidR="00BE1441" w:rsidRPr="00A07F29">
        <w:rPr>
          <w:rFonts w:ascii="Times New Roman" w:eastAsia="Calibri" w:hAnsi="Times New Roman" w:cs="Calibri"/>
          <w:sz w:val="24"/>
        </w:rPr>
        <w:t>teritori</w:t>
      </w:r>
      <w:r w:rsidR="00970953" w:rsidRPr="00A07F29">
        <w:rPr>
          <w:rFonts w:ascii="Times New Roman" w:eastAsia="Calibri" w:hAnsi="Times New Roman" w:cs="Calibri"/>
          <w:sz w:val="24"/>
        </w:rPr>
        <w:t>ju un citu ainavu un vidi degradējošu objektu rekultivācija.</w:t>
      </w:r>
      <w:r w:rsidR="00BE1441" w:rsidRPr="00A07F29">
        <w:rPr>
          <w:rFonts w:ascii="Times New Roman" w:eastAsia="Calibri" w:hAnsi="Times New Roman" w:cs="Calibri"/>
          <w:sz w:val="24"/>
        </w:rPr>
        <w:t xml:space="preserve"> Paredzēts arī apsaimniekošanas pasākumu, ūdeņu kvalitātes aizsargājamo sugu un biotopu stāvokļa monitorings.</w:t>
      </w:r>
    </w:p>
    <w:p w14:paraId="0FE659EA" w14:textId="5FB0F4EE" w:rsidR="00993107" w:rsidRPr="00A07F29" w:rsidRDefault="00BE1441" w:rsidP="00993107">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DA plānā iekļauti priekšlikumi teritorijas funkcionālajam zonējumam un individuālajiem aizsardzības un izmantošanas noteikumiem, kas sekmētu vērtībām atbilstošāku teritorijas apsaimniekošanu un dabas, ainavisko un kultūrvēsturisko vērtību saglabāšanos (</w:t>
      </w:r>
      <w:r w:rsidR="00DE21A6" w:rsidRPr="00A07F29">
        <w:rPr>
          <w:rFonts w:ascii="Times New Roman" w:eastAsia="Calibri" w:hAnsi="Times New Roman" w:cs="Calibri"/>
          <w:sz w:val="24"/>
        </w:rPr>
        <w:t>skat.</w:t>
      </w:r>
      <w:r w:rsidRPr="00A07F29">
        <w:rPr>
          <w:rFonts w:ascii="Times New Roman" w:eastAsia="Calibri" w:hAnsi="Times New Roman" w:cs="Calibri"/>
          <w:sz w:val="24"/>
        </w:rPr>
        <w:t xml:space="preserve"> 6.</w:t>
      </w:r>
      <w:r w:rsidR="007A3FB9" w:rsidRPr="00A07F29">
        <w:rPr>
          <w:rFonts w:ascii="Times New Roman" w:eastAsia="Calibri" w:hAnsi="Times New Roman" w:cs="Calibri"/>
          <w:sz w:val="24"/>
        </w:rPr>
        <w:t> </w:t>
      </w:r>
      <w:r w:rsidRPr="00A07F29">
        <w:rPr>
          <w:rFonts w:ascii="Times New Roman" w:eastAsia="Calibri" w:hAnsi="Times New Roman" w:cs="Calibri"/>
          <w:sz w:val="24"/>
        </w:rPr>
        <w:t>nodaļa un 6.</w:t>
      </w:r>
      <w:r w:rsidR="007A3FB9" w:rsidRPr="00A07F29">
        <w:rPr>
          <w:rFonts w:ascii="Times New Roman" w:eastAsia="Calibri" w:hAnsi="Times New Roman" w:cs="Calibri"/>
          <w:sz w:val="24"/>
        </w:rPr>
        <w:t> </w:t>
      </w:r>
      <w:r w:rsidRPr="00A07F29">
        <w:rPr>
          <w:rFonts w:ascii="Times New Roman" w:eastAsia="Calibri" w:hAnsi="Times New Roman" w:cs="Calibri"/>
          <w:sz w:val="24"/>
        </w:rPr>
        <w:t>pielikums). Priekšlikumi paredz AAA “Augšdaugava” teritorijā izdalīt regulējamā režīma zonu (galvenokārt esošie mikroliegumi), dabas lieguma zonu (galvenokārt ES nozīmes mežu biotopu nogabali, atsevišķi ezeri, bioloģiski vērtīgu mežu teritorijas Daugavas lokos), dabas parka zonu</w:t>
      </w:r>
      <w:r w:rsidR="00D058DD" w:rsidRPr="00A07F29">
        <w:rPr>
          <w:rFonts w:ascii="Times New Roman" w:eastAsia="Calibri" w:hAnsi="Times New Roman" w:cs="Calibri"/>
          <w:sz w:val="24"/>
        </w:rPr>
        <w:t xml:space="preserve"> </w:t>
      </w:r>
      <w:r w:rsidRPr="00A07F29">
        <w:rPr>
          <w:rFonts w:ascii="Times New Roman" w:eastAsia="Calibri" w:hAnsi="Times New Roman" w:cs="Calibri"/>
          <w:sz w:val="24"/>
        </w:rPr>
        <w:t>(galvenokārt dabas p</w:t>
      </w:r>
      <w:r w:rsidR="008E5CDC" w:rsidRPr="00A07F29">
        <w:rPr>
          <w:rFonts w:ascii="Times New Roman" w:eastAsia="Calibri" w:hAnsi="Times New Roman" w:cs="Calibri"/>
          <w:sz w:val="24"/>
        </w:rPr>
        <w:t xml:space="preserve">arka “Daugavas loki” teritorijā), </w:t>
      </w:r>
      <w:r w:rsidR="00D058DD" w:rsidRPr="00A07F29">
        <w:rPr>
          <w:rFonts w:ascii="Times New Roman" w:eastAsia="Calibri" w:hAnsi="Times New Roman" w:cs="Calibri"/>
          <w:sz w:val="24"/>
        </w:rPr>
        <w:t>a</w:t>
      </w:r>
      <w:r w:rsidRPr="00A07F29">
        <w:rPr>
          <w:rFonts w:ascii="Times New Roman" w:eastAsia="Calibri" w:hAnsi="Times New Roman" w:cs="Calibri"/>
          <w:sz w:val="24"/>
        </w:rPr>
        <w:t>inavu aizsardzības zon</w:t>
      </w:r>
      <w:r w:rsidR="00D058DD" w:rsidRPr="00A07F29">
        <w:rPr>
          <w:rFonts w:ascii="Times New Roman" w:eastAsia="Calibri" w:hAnsi="Times New Roman" w:cs="Calibri"/>
          <w:sz w:val="24"/>
        </w:rPr>
        <w:t>u (</w:t>
      </w:r>
      <w:r w:rsidRPr="00A07F29">
        <w:rPr>
          <w:rFonts w:ascii="Times New Roman" w:eastAsia="Calibri" w:hAnsi="Times New Roman" w:cs="Calibri"/>
          <w:sz w:val="24"/>
        </w:rPr>
        <w:t>visa pārējā ainavu apvidus teritorija, kas neietilpst citās zonās)</w:t>
      </w:r>
      <w:r w:rsidR="00D058DD" w:rsidRPr="00A07F29">
        <w:rPr>
          <w:rFonts w:ascii="Times New Roman" w:eastAsia="Calibri" w:hAnsi="Times New Roman" w:cs="Calibri"/>
          <w:sz w:val="24"/>
        </w:rPr>
        <w:t>, n</w:t>
      </w:r>
      <w:r w:rsidRPr="00A07F29">
        <w:rPr>
          <w:rFonts w:ascii="Times New Roman" w:eastAsia="Calibri" w:hAnsi="Times New Roman" w:cs="Calibri"/>
          <w:sz w:val="24"/>
        </w:rPr>
        <w:t xml:space="preserve">eitrālā zona </w:t>
      </w:r>
      <w:r w:rsidR="00D058DD" w:rsidRPr="00A07F29">
        <w:rPr>
          <w:rFonts w:ascii="Times New Roman" w:eastAsia="Calibri" w:hAnsi="Times New Roman" w:cs="Calibri"/>
          <w:sz w:val="24"/>
        </w:rPr>
        <w:t>(</w:t>
      </w:r>
      <w:r w:rsidRPr="00A07F29">
        <w:rPr>
          <w:rFonts w:ascii="Times New Roman" w:eastAsia="Calibri" w:hAnsi="Times New Roman" w:cs="Calibri"/>
          <w:sz w:val="24"/>
        </w:rPr>
        <w:t xml:space="preserve">galvenokārt Krāslavas un ciemu apbūves teritorijas, valsts autoceļi, </w:t>
      </w:r>
      <w:proofErr w:type="spellStart"/>
      <w:r w:rsidRPr="00A07F29">
        <w:rPr>
          <w:rFonts w:ascii="Times New Roman" w:eastAsia="Calibri" w:hAnsi="Times New Roman" w:cs="Calibri"/>
          <w:sz w:val="24"/>
        </w:rPr>
        <w:t>Elernes</w:t>
      </w:r>
      <w:proofErr w:type="spellEnd"/>
      <w:r w:rsidRPr="00A07F29">
        <w:rPr>
          <w:rFonts w:ascii="Times New Roman" w:eastAsia="Calibri" w:hAnsi="Times New Roman" w:cs="Calibri"/>
          <w:sz w:val="24"/>
        </w:rPr>
        <w:t xml:space="preserve"> loka </w:t>
      </w:r>
      <w:r w:rsidRPr="00A07F29">
        <w:rPr>
          <w:rFonts w:ascii="Times New Roman" w:eastAsia="Calibri" w:hAnsi="Times New Roman" w:cs="Calibri"/>
          <w:sz w:val="24"/>
        </w:rPr>
        <w:lastRenderedPageBreak/>
        <w:t>karjeru teritorijas)</w:t>
      </w:r>
      <w:r w:rsidR="00D058DD" w:rsidRPr="00A07F29">
        <w:rPr>
          <w:rFonts w:ascii="Times New Roman" w:eastAsia="Calibri" w:hAnsi="Times New Roman" w:cs="Calibri"/>
          <w:sz w:val="24"/>
        </w:rPr>
        <w:t>. Regulējamā režīma zonā (0,3</w:t>
      </w:r>
      <w:r w:rsidR="006A77FC" w:rsidRPr="00A07F29">
        <w:rPr>
          <w:rFonts w:ascii="Times New Roman" w:eastAsia="Calibri" w:hAnsi="Times New Roman" w:cs="Calibri"/>
          <w:sz w:val="24"/>
        </w:rPr>
        <w:t> </w:t>
      </w:r>
      <w:r w:rsidR="00D058DD" w:rsidRPr="00A07F29">
        <w:rPr>
          <w:rFonts w:ascii="Times New Roman" w:eastAsia="Calibri" w:hAnsi="Times New Roman" w:cs="Calibri"/>
          <w:sz w:val="24"/>
        </w:rPr>
        <w:t>% no AAA “Augšdaugava” teritorijas) un dabas lieguma zonā (5,8</w:t>
      </w:r>
      <w:r w:rsidR="00A06B5A" w:rsidRPr="00A07F29">
        <w:rPr>
          <w:rFonts w:ascii="Times New Roman" w:eastAsia="Calibri" w:hAnsi="Times New Roman" w:cs="Calibri"/>
          <w:sz w:val="24"/>
        </w:rPr>
        <w:t> </w:t>
      </w:r>
      <w:r w:rsidR="00D058DD" w:rsidRPr="00A07F29">
        <w:rPr>
          <w:rFonts w:ascii="Times New Roman" w:eastAsia="Calibri" w:hAnsi="Times New Roman" w:cs="Calibri"/>
          <w:sz w:val="24"/>
        </w:rPr>
        <w:t>%) prioritāte ir ES nozīmes biotopu un aizsargājamo sugu atradņu saglabāšana un līdz ar to nosakāmi būtiski saimnieciskās darbības ierobežojumi. Lai sekmētu AAA “Augšdaugava” teritorijas ekoloģiskās kvalitātes, ainavas un rekreācijas resursu saglabāšanos, kā arī ūdeņu ekosistēmu kvalitātes saglabāšanos un uzlabošanos</w:t>
      </w:r>
      <w:r w:rsidR="002138AD" w:rsidRPr="00A07F29">
        <w:rPr>
          <w:rFonts w:ascii="Times New Roman" w:eastAsia="Calibri" w:hAnsi="Times New Roman" w:cs="Calibri"/>
          <w:sz w:val="24"/>
        </w:rPr>
        <w:t xml:space="preserve">, papildus prasības būtu nosakāmas arī dabas parka un ainavu aizsardzības zonās. Piemēram, </w:t>
      </w:r>
      <w:r w:rsidR="00E80AED" w:rsidRPr="00A07F29">
        <w:rPr>
          <w:rFonts w:ascii="Times New Roman" w:eastAsia="Calibri" w:hAnsi="Times New Roman" w:cs="Calibri"/>
          <w:sz w:val="24"/>
        </w:rPr>
        <w:t xml:space="preserve">paredzēta </w:t>
      </w:r>
      <w:r w:rsidR="002138AD" w:rsidRPr="00A07F29">
        <w:rPr>
          <w:rFonts w:ascii="Times New Roman" w:eastAsia="Calibri" w:hAnsi="Times New Roman" w:cs="Calibri"/>
          <w:sz w:val="24"/>
        </w:rPr>
        <w:t>derīgo izrakteņu ieguves pārtraukšana</w:t>
      </w:r>
      <w:r w:rsidR="00E80AED" w:rsidRPr="00A07F29">
        <w:rPr>
          <w:rFonts w:ascii="Times New Roman" w:eastAsia="Calibri" w:hAnsi="Times New Roman" w:cs="Calibri"/>
          <w:sz w:val="24"/>
        </w:rPr>
        <w:t xml:space="preserve"> AAA “Augšdauga</w:t>
      </w:r>
      <w:r w:rsidR="00994A0E" w:rsidRPr="00A07F29">
        <w:rPr>
          <w:rFonts w:ascii="Times New Roman" w:eastAsia="Calibri" w:hAnsi="Times New Roman" w:cs="Calibri"/>
          <w:sz w:val="24"/>
        </w:rPr>
        <w:t>va</w:t>
      </w:r>
      <w:r w:rsidR="00E80AED" w:rsidRPr="00A07F29">
        <w:rPr>
          <w:rFonts w:ascii="Times New Roman" w:eastAsia="Calibri" w:hAnsi="Times New Roman" w:cs="Calibri"/>
          <w:sz w:val="24"/>
        </w:rPr>
        <w:t>”</w:t>
      </w:r>
      <w:r w:rsidR="002138AD" w:rsidRPr="00A07F29">
        <w:rPr>
          <w:rFonts w:ascii="Times New Roman" w:eastAsia="Calibri" w:hAnsi="Times New Roman" w:cs="Calibri"/>
          <w:sz w:val="24"/>
        </w:rPr>
        <w:t>, izņemot pazemes ūdens ieguvi un derīgo izrakteņu ieguvi</w:t>
      </w:r>
      <w:r w:rsidR="00E80AED" w:rsidRPr="00A07F29">
        <w:rPr>
          <w:rFonts w:ascii="Times New Roman" w:eastAsia="Calibri" w:hAnsi="Times New Roman" w:cs="Calibri"/>
          <w:sz w:val="24"/>
        </w:rPr>
        <w:t xml:space="preserve"> neitrālajā zonā un </w:t>
      </w:r>
      <w:r w:rsidR="002138AD" w:rsidRPr="00A07F29">
        <w:rPr>
          <w:rFonts w:ascii="Times New Roman" w:eastAsia="Calibri" w:hAnsi="Times New Roman" w:cs="Calibri"/>
          <w:sz w:val="24"/>
        </w:rPr>
        <w:t>teritorijās, kurās derīgo izrakteņu izmantošanas atļauja saņemta vai derīgo izrakteņu ieguves limits noteikts pirms AAA “</w:t>
      </w:r>
      <w:r w:rsidR="00E80AED" w:rsidRPr="00A07F29">
        <w:rPr>
          <w:rFonts w:ascii="Times New Roman" w:eastAsia="Calibri" w:hAnsi="Times New Roman" w:cs="Calibri"/>
          <w:sz w:val="24"/>
        </w:rPr>
        <w:t xml:space="preserve">Augšdaugava” individuālo aizsardzības un izmantošanas </w:t>
      </w:r>
      <w:r w:rsidR="002138AD" w:rsidRPr="00A07F29">
        <w:rPr>
          <w:rFonts w:ascii="Times New Roman" w:eastAsia="Calibri" w:hAnsi="Times New Roman" w:cs="Calibri"/>
          <w:sz w:val="24"/>
        </w:rPr>
        <w:t xml:space="preserve">noteikumu </w:t>
      </w:r>
      <w:r w:rsidR="00616046" w:rsidRPr="00A07F29">
        <w:rPr>
          <w:rFonts w:ascii="Times New Roman" w:eastAsia="Calibri" w:hAnsi="Times New Roman" w:cs="Calibri"/>
          <w:sz w:val="24"/>
        </w:rPr>
        <w:t>s</w:t>
      </w:r>
      <w:r w:rsidR="002138AD" w:rsidRPr="00A07F29">
        <w:rPr>
          <w:rFonts w:ascii="Times New Roman" w:eastAsia="Calibri" w:hAnsi="Times New Roman" w:cs="Calibri"/>
          <w:sz w:val="24"/>
        </w:rPr>
        <w:t>tāšanās</w:t>
      </w:r>
      <w:r w:rsidR="00E80AED" w:rsidRPr="00A07F29">
        <w:rPr>
          <w:rFonts w:ascii="Times New Roman" w:eastAsia="Calibri" w:hAnsi="Times New Roman" w:cs="Calibri"/>
          <w:sz w:val="24"/>
        </w:rPr>
        <w:t xml:space="preserve"> spēkā. E</w:t>
      </w:r>
      <w:r w:rsidR="002138AD" w:rsidRPr="00A07F29">
        <w:rPr>
          <w:rFonts w:ascii="Times New Roman" w:eastAsia="Calibri" w:hAnsi="Times New Roman" w:cs="Calibri"/>
          <w:sz w:val="24"/>
        </w:rPr>
        <w:t xml:space="preserve">koloģiski jutīgo </w:t>
      </w:r>
      <w:proofErr w:type="spellStart"/>
      <w:r w:rsidR="002138AD" w:rsidRPr="00A07F29">
        <w:rPr>
          <w:rFonts w:ascii="Times New Roman" w:eastAsia="Calibri" w:hAnsi="Times New Roman" w:cs="Calibri"/>
          <w:sz w:val="24"/>
        </w:rPr>
        <w:t>Šilovkas</w:t>
      </w:r>
      <w:proofErr w:type="spellEnd"/>
      <w:r w:rsidR="002138AD" w:rsidRPr="00A07F29">
        <w:rPr>
          <w:rFonts w:ascii="Times New Roman" w:eastAsia="Calibri" w:hAnsi="Times New Roman" w:cs="Calibri"/>
          <w:sz w:val="24"/>
        </w:rPr>
        <w:t xml:space="preserve">, </w:t>
      </w:r>
      <w:proofErr w:type="spellStart"/>
      <w:r w:rsidR="002138AD" w:rsidRPr="00A07F29">
        <w:rPr>
          <w:rFonts w:ascii="Times New Roman" w:eastAsia="Calibri" w:hAnsi="Times New Roman" w:cs="Calibri"/>
          <w:sz w:val="24"/>
        </w:rPr>
        <w:t>Balticas</w:t>
      </w:r>
      <w:proofErr w:type="spellEnd"/>
      <w:r w:rsidR="002138AD" w:rsidRPr="00A07F29">
        <w:rPr>
          <w:rFonts w:ascii="Times New Roman" w:eastAsia="Calibri" w:hAnsi="Times New Roman" w:cs="Calibri"/>
          <w:sz w:val="24"/>
        </w:rPr>
        <w:t xml:space="preserve"> un </w:t>
      </w:r>
      <w:proofErr w:type="spellStart"/>
      <w:r w:rsidR="002138AD" w:rsidRPr="00A07F29">
        <w:rPr>
          <w:rFonts w:ascii="Times New Roman" w:eastAsia="Calibri" w:hAnsi="Times New Roman" w:cs="Calibri"/>
          <w:sz w:val="24"/>
        </w:rPr>
        <w:t>Varnaviču</w:t>
      </w:r>
      <w:proofErr w:type="spellEnd"/>
      <w:r w:rsidR="002138AD" w:rsidRPr="00A07F29">
        <w:rPr>
          <w:rFonts w:ascii="Times New Roman" w:eastAsia="Calibri" w:hAnsi="Times New Roman" w:cs="Calibri"/>
          <w:sz w:val="24"/>
        </w:rPr>
        <w:t xml:space="preserve"> ezeru sateces </w:t>
      </w:r>
      <w:proofErr w:type="spellStart"/>
      <w:r w:rsidR="002138AD" w:rsidRPr="00A07F29">
        <w:rPr>
          <w:rFonts w:ascii="Times New Roman" w:eastAsia="Calibri" w:hAnsi="Times New Roman" w:cs="Calibri"/>
          <w:sz w:val="24"/>
        </w:rPr>
        <w:t>pamatbaseinos</w:t>
      </w:r>
      <w:proofErr w:type="spellEnd"/>
      <w:r w:rsidR="002138AD" w:rsidRPr="00A07F29">
        <w:rPr>
          <w:rFonts w:ascii="Times New Roman" w:eastAsia="Calibri" w:hAnsi="Times New Roman" w:cs="Calibri"/>
          <w:sz w:val="24"/>
        </w:rPr>
        <w:t xml:space="preserve"> paredzēta mežu apsaimniekošana bez kailcirt</w:t>
      </w:r>
      <w:r w:rsidR="00E80AED" w:rsidRPr="00A07F29">
        <w:rPr>
          <w:rFonts w:ascii="Times New Roman" w:eastAsia="Calibri" w:hAnsi="Times New Roman" w:cs="Calibri"/>
          <w:sz w:val="24"/>
        </w:rPr>
        <w:t>ēm. Lai saglabātu mežu bioloģisko vērtību, papildus</w:t>
      </w:r>
      <w:r w:rsidR="000016F6" w:rsidRPr="00A07F29">
        <w:rPr>
          <w:rFonts w:ascii="Times New Roman" w:eastAsia="Calibri" w:hAnsi="Times New Roman" w:cs="Calibri"/>
          <w:sz w:val="24"/>
        </w:rPr>
        <w:t xml:space="preserve"> izdalītajām</w:t>
      </w:r>
      <w:r w:rsidR="00E80AED" w:rsidRPr="00A07F29">
        <w:rPr>
          <w:rFonts w:ascii="Times New Roman" w:eastAsia="Calibri" w:hAnsi="Times New Roman" w:cs="Calibri"/>
          <w:sz w:val="24"/>
        </w:rPr>
        <w:t xml:space="preserve"> regulējamā un dabas lieguma zonu teritorijām visā AAA “Augšdaugava” teritorijā paredzēts </w:t>
      </w:r>
      <w:r w:rsidR="000016F6" w:rsidRPr="00A07F29">
        <w:rPr>
          <w:rFonts w:ascii="Times New Roman" w:eastAsia="Calibri" w:hAnsi="Times New Roman" w:cs="Calibri"/>
          <w:sz w:val="24"/>
        </w:rPr>
        <w:t xml:space="preserve">saglabāt </w:t>
      </w:r>
      <w:r w:rsidR="008E5CDC" w:rsidRPr="00A07F29">
        <w:rPr>
          <w:rFonts w:ascii="Times New Roman" w:eastAsia="Calibri" w:hAnsi="Times New Roman" w:cs="Calibri"/>
          <w:sz w:val="24"/>
        </w:rPr>
        <w:t>15</w:t>
      </w:r>
      <w:r w:rsidR="000016F6" w:rsidRPr="00A07F29">
        <w:rPr>
          <w:rFonts w:ascii="Times New Roman" w:eastAsia="Calibri" w:hAnsi="Times New Roman" w:cs="Calibri"/>
          <w:sz w:val="24"/>
        </w:rPr>
        <w:t xml:space="preserve"> ekoloģiskos kokus uz hektāru, kā arī </w:t>
      </w:r>
      <w:r w:rsidR="00E80AED" w:rsidRPr="00A07F29">
        <w:rPr>
          <w:rFonts w:ascii="Times New Roman" w:eastAsia="Calibri" w:hAnsi="Times New Roman" w:cs="Calibri"/>
          <w:sz w:val="24"/>
        </w:rPr>
        <w:t xml:space="preserve">saglabāt </w:t>
      </w:r>
      <w:r w:rsidR="000016F6" w:rsidRPr="00A07F29">
        <w:rPr>
          <w:rFonts w:ascii="Times New Roman" w:eastAsia="Calibri" w:hAnsi="Times New Roman" w:cs="Calibri"/>
          <w:sz w:val="24"/>
        </w:rPr>
        <w:t xml:space="preserve">nenocirstas </w:t>
      </w:r>
      <w:r w:rsidR="00E80AED" w:rsidRPr="00A07F29">
        <w:rPr>
          <w:rFonts w:ascii="Times New Roman" w:eastAsia="Calibri" w:hAnsi="Times New Roman" w:cs="Calibri"/>
          <w:sz w:val="24"/>
        </w:rPr>
        <w:t xml:space="preserve">priežu mežaudzes, </w:t>
      </w:r>
      <w:r w:rsidR="000016F6" w:rsidRPr="00A07F29">
        <w:rPr>
          <w:rFonts w:ascii="Times New Roman" w:eastAsia="Calibri" w:hAnsi="Times New Roman" w:cs="Calibri"/>
          <w:sz w:val="24"/>
        </w:rPr>
        <w:t>kur priede</w:t>
      </w:r>
      <w:r w:rsidR="00A827FC" w:rsidRPr="00A07F29">
        <w:rPr>
          <w:rFonts w:ascii="Times New Roman" w:eastAsia="Calibri" w:hAnsi="Times New Roman" w:cs="Calibri"/>
          <w:sz w:val="24"/>
        </w:rPr>
        <w:t>s</w:t>
      </w:r>
      <w:r w:rsidR="000016F6" w:rsidRPr="00A07F29">
        <w:rPr>
          <w:rFonts w:ascii="Times New Roman" w:eastAsia="Calibri" w:hAnsi="Times New Roman" w:cs="Calibri"/>
          <w:sz w:val="24"/>
        </w:rPr>
        <w:t xml:space="preserve"> audzes sastāvā ir vismaz 80</w:t>
      </w:r>
      <w:r w:rsidR="00D520FE" w:rsidRPr="00A07F29">
        <w:rPr>
          <w:rFonts w:ascii="Times New Roman" w:eastAsia="Calibri" w:hAnsi="Times New Roman" w:cs="Calibri"/>
          <w:sz w:val="24"/>
        </w:rPr>
        <w:t> </w:t>
      </w:r>
      <w:r w:rsidR="000016F6" w:rsidRPr="00A07F29">
        <w:rPr>
          <w:rFonts w:ascii="Times New Roman" w:eastAsia="Calibri" w:hAnsi="Times New Roman" w:cs="Calibri"/>
          <w:sz w:val="24"/>
        </w:rPr>
        <w:t>% un</w:t>
      </w:r>
      <w:r w:rsidR="00D520FE" w:rsidRPr="00A07F29">
        <w:rPr>
          <w:rFonts w:ascii="Times New Roman" w:eastAsia="Calibri" w:hAnsi="Times New Roman" w:cs="Calibri"/>
          <w:sz w:val="24"/>
        </w:rPr>
        <w:t>,</w:t>
      </w:r>
      <w:r w:rsidR="000016F6" w:rsidRPr="00A07F29">
        <w:rPr>
          <w:rFonts w:ascii="Times New Roman" w:eastAsia="Calibri" w:hAnsi="Times New Roman" w:cs="Calibri"/>
          <w:sz w:val="24"/>
        </w:rPr>
        <w:t xml:space="preserve"> kuras sasniegušas 140 gadu vecumu un vecākas. Lai sekmētu priežu mežu atjaunošanos, dabas parka zonā pārējās priežu mežaudzēs, kur priede</w:t>
      </w:r>
      <w:r w:rsidR="00A827FC" w:rsidRPr="00A07F29">
        <w:rPr>
          <w:rFonts w:ascii="Times New Roman" w:eastAsia="Calibri" w:hAnsi="Times New Roman" w:cs="Calibri"/>
          <w:sz w:val="24"/>
        </w:rPr>
        <w:t>s</w:t>
      </w:r>
      <w:r w:rsidR="000016F6" w:rsidRPr="00A07F29">
        <w:rPr>
          <w:rFonts w:ascii="Times New Roman" w:eastAsia="Calibri" w:hAnsi="Times New Roman" w:cs="Calibri"/>
          <w:sz w:val="24"/>
        </w:rPr>
        <w:t xml:space="preserve"> audzes sastāvā ir vismaz 80</w:t>
      </w:r>
      <w:r w:rsidR="00112EAE" w:rsidRPr="00A07F29">
        <w:rPr>
          <w:rFonts w:ascii="Times New Roman" w:eastAsia="Calibri" w:hAnsi="Times New Roman" w:cs="Calibri"/>
          <w:sz w:val="24"/>
        </w:rPr>
        <w:t> </w:t>
      </w:r>
      <w:r w:rsidR="000016F6" w:rsidRPr="00A07F29">
        <w:rPr>
          <w:rFonts w:ascii="Times New Roman" w:eastAsia="Calibri" w:hAnsi="Times New Roman" w:cs="Calibri"/>
          <w:sz w:val="24"/>
        </w:rPr>
        <w:t>%, paredzēts atļaut kailcirtes līdz 0,5</w:t>
      </w:r>
      <w:r w:rsidR="00112EAE" w:rsidRPr="00A07F29">
        <w:rPr>
          <w:rFonts w:ascii="Times New Roman" w:eastAsia="Calibri" w:hAnsi="Times New Roman" w:cs="Calibri"/>
          <w:sz w:val="24"/>
        </w:rPr>
        <w:t> </w:t>
      </w:r>
      <w:r w:rsidR="000016F6" w:rsidRPr="00A07F29">
        <w:rPr>
          <w:rFonts w:ascii="Times New Roman" w:eastAsia="Calibri" w:hAnsi="Times New Roman" w:cs="Calibri"/>
          <w:sz w:val="24"/>
        </w:rPr>
        <w:t xml:space="preserve">ha platībā. DA plāna </w:t>
      </w:r>
      <w:r w:rsidR="00993107" w:rsidRPr="00A07F29">
        <w:rPr>
          <w:rFonts w:ascii="Times New Roman" w:eastAsia="Calibri" w:hAnsi="Times New Roman" w:cs="Calibri"/>
          <w:sz w:val="24"/>
        </w:rPr>
        <w:t>6.2.</w:t>
      </w:r>
      <w:r w:rsidR="00112EAE" w:rsidRPr="00A07F29">
        <w:rPr>
          <w:rFonts w:ascii="Times New Roman" w:eastAsia="Calibri" w:hAnsi="Times New Roman" w:cs="Calibri"/>
          <w:sz w:val="24"/>
        </w:rPr>
        <w:t> </w:t>
      </w:r>
      <w:r w:rsidR="00993107" w:rsidRPr="00A07F29">
        <w:rPr>
          <w:rFonts w:ascii="Times New Roman" w:eastAsia="Calibri" w:hAnsi="Times New Roman" w:cs="Calibri"/>
          <w:sz w:val="24"/>
        </w:rPr>
        <w:t>nodaļā s</w:t>
      </w:r>
      <w:r w:rsidR="000016F6" w:rsidRPr="00A07F29">
        <w:rPr>
          <w:rFonts w:ascii="Times New Roman" w:eastAsia="Calibri" w:hAnsi="Times New Roman" w:cs="Calibri"/>
          <w:sz w:val="24"/>
        </w:rPr>
        <w:t xml:space="preserve">niegti arī vairāki citi priekšlikumi </w:t>
      </w:r>
      <w:r w:rsidR="00993107" w:rsidRPr="00A07F29">
        <w:rPr>
          <w:rFonts w:ascii="Times New Roman" w:eastAsia="Calibri" w:hAnsi="Times New Roman" w:cs="Calibri"/>
          <w:sz w:val="24"/>
        </w:rPr>
        <w:t>AAA “Augšdaugava” individuālajiem aizsardzības un izmantošanas noteikumiem, kas ietver n</w:t>
      </w:r>
      <w:r w:rsidR="000016F6" w:rsidRPr="00A07F29">
        <w:rPr>
          <w:rFonts w:ascii="Times New Roman" w:eastAsia="Calibri" w:hAnsi="Times New Roman" w:cs="Calibri"/>
          <w:sz w:val="24"/>
        </w:rPr>
        <w:t>osacījum</w:t>
      </w:r>
      <w:r w:rsidR="00993107" w:rsidRPr="00A07F29">
        <w:rPr>
          <w:rFonts w:ascii="Times New Roman" w:eastAsia="Calibri" w:hAnsi="Times New Roman" w:cs="Calibri"/>
          <w:sz w:val="24"/>
        </w:rPr>
        <w:t xml:space="preserve">us </w:t>
      </w:r>
      <w:r w:rsidR="000016F6" w:rsidRPr="00A07F29">
        <w:rPr>
          <w:rFonts w:ascii="Times New Roman" w:eastAsia="Calibri" w:hAnsi="Times New Roman" w:cs="Calibri"/>
          <w:sz w:val="24"/>
        </w:rPr>
        <w:t>būvniecībai</w:t>
      </w:r>
      <w:r w:rsidR="001F3802" w:rsidRPr="00A07F29">
        <w:rPr>
          <w:rFonts w:ascii="Times New Roman" w:eastAsia="Calibri" w:hAnsi="Times New Roman" w:cs="Calibri"/>
          <w:sz w:val="24"/>
        </w:rPr>
        <w:t>,</w:t>
      </w:r>
      <w:r w:rsidR="000016F6" w:rsidRPr="00A07F29">
        <w:rPr>
          <w:rFonts w:ascii="Times New Roman" w:eastAsia="Calibri" w:hAnsi="Times New Roman" w:cs="Calibri"/>
          <w:sz w:val="24"/>
        </w:rPr>
        <w:t xml:space="preserve"> u.c. </w:t>
      </w:r>
      <w:r w:rsidR="00993107" w:rsidRPr="00A07F29">
        <w:rPr>
          <w:rFonts w:ascii="Times New Roman" w:eastAsia="Calibri" w:hAnsi="Times New Roman" w:cs="Calibri"/>
          <w:sz w:val="24"/>
        </w:rPr>
        <w:t>darbībām. D</w:t>
      </w:r>
      <w:r w:rsidR="001F3802" w:rsidRPr="00A07F29">
        <w:rPr>
          <w:rFonts w:ascii="Times New Roman" w:eastAsia="Calibri" w:hAnsi="Times New Roman" w:cs="Calibri"/>
          <w:sz w:val="24"/>
        </w:rPr>
        <w:t>A</w:t>
      </w:r>
      <w:r w:rsidR="00993107" w:rsidRPr="00A07F29">
        <w:rPr>
          <w:rFonts w:ascii="Times New Roman" w:eastAsia="Calibri" w:hAnsi="Times New Roman" w:cs="Calibri"/>
          <w:sz w:val="24"/>
        </w:rPr>
        <w:t xml:space="preserve"> plānam ir ieteikuma raksturs, un juridiski sais</w:t>
      </w:r>
      <w:r w:rsidR="002A206A" w:rsidRPr="00A07F29">
        <w:rPr>
          <w:rFonts w:ascii="Times New Roman" w:eastAsia="Calibri" w:hAnsi="Times New Roman" w:cs="Calibri"/>
          <w:sz w:val="24"/>
        </w:rPr>
        <w:t>t</w:t>
      </w:r>
      <w:r w:rsidR="00993107" w:rsidRPr="00A07F29">
        <w:rPr>
          <w:rFonts w:ascii="Times New Roman" w:eastAsia="Calibri" w:hAnsi="Times New Roman" w:cs="Calibri"/>
          <w:sz w:val="24"/>
        </w:rPr>
        <w:t>ošu spēku AAA “Augšdaugava” individuālie aizsardzības un izmantošanas noteikumi iegūst tikai pēc apstiprināšana</w:t>
      </w:r>
      <w:r w:rsidR="002A206A" w:rsidRPr="00A07F29">
        <w:rPr>
          <w:rFonts w:ascii="Times New Roman" w:eastAsia="Calibri" w:hAnsi="Times New Roman" w:cs="Calibri"/>
          <w:sz w:val="24"/>
        </w:rPr>
        <w:t>s</w:t>
      </w:r>
      <w:r w:rsidR="00993107" w:rsidRPr="00A07F29">
        <w:rPr>
          <w:rFonts w:ascii="Times New Roman" w:eastAsia="Calibri" w:hAnsi="Times New Roman" w:cs="Calibri"/>
          <w:sz w:val="24"/>
        </w:rPr>
        <w:t xml:space="preserve"> M</w:t>
      </w:r>
      <w:r w:rsidR="006D270A" w:rsidRPr="00A07F29">
        <w:rPr>
          <w:rFonts w:ascii="Times New Roman" w:eastAsia="Calibri" w:hAnsi="Times New Roman" w:cs="Calibri"/>
          <w:sz w:val="24"/>
        </w:rPr>
        <w:t>K</w:t>
      </w:r>
      <w:r w:rsidR="00993107" w:rsidRPr="00A07F29">
        <w:rPr>
          <w:rFonts w:ascii="Times New Roman" w:eastAsia="Calibri" w:hAnsi="Times New Roman" w:cs="Calibri"/>
          <w:sz w:val="24"/>
        </w:rPr>
        <w:t>.</w:t>
      </w:r>
    </w:p>
    <w:p w14:paraId="4AEF4666" w14:textId="588992D2" w:rsidR="00C12B08" w:rsidRPr="00A07F29" w:rsidRDefault="00C12B08" w:rsidP="00456EBD">
      <w:pPr>
        <w:spacing w:after="120" w:line="240" w:lineRule="auto"/>
        <w:ind w:firstLine="851"/>
        <w:jc w:val="both"/>
        <w:rPr>
          <w:rFonts w:ascii="Times New Roman" w:eastAsia="Times New Roman" w:hAnsi="Times New Roman" w:cs="Times New Roman"/>
          <w:color w:val="000000"/>
          <w:sz w:val="24"/>
          <w:lang w:eastAsia="ja-JP"/>
        </w:rPr>
      </w:pPr>
      <w:r w:rsidRPr="00A07F29">
        <w:rPr>
          <w:rFonts w:ascii="Times New Roman" w:eastAsia="Times New Roman" w:hAnsi="Times New Roman" w:cs="Times New Roman"/>
          <w:color w:val="000000"/>
          <w:sz w:val="24"/>
          <w:lang w:eastAsia="ja-JP"/>
        </w:rPr>
        <w:t xml:space="preserve">AAA </w:t>
      </w:r>
      <w:r w:rsidR="006D270A" w:rsidRPr="00A07F29">
        <w:rPr>
          <w:rFonts w:ascii="Times New Roman" w:eastAsia="Times New Roman" w:hAnsi="Times New Roman" w:cs="Times New Roman"/>
          <w:color w:val="000000"/>
          <w:sz w:val="24"/>
          <w:lang w:eastAsia="ja-JP"/>
        </w:rPr>
        <w:t>“</w:t>
      </w:r>
      <w:r w:rsidRPr="00A07F29">
        <w:rPr>
          <w:rFonts w:ascii="Times New Roman" w:eastAsia="Times New Roman" w:hAnsi="Times New Roman" w:cs="Times New Roman"/>
          <w:color w:val="000000"/>
          <w:sz w:val="24"/>
          <w:lang w:eastAsia="ja-JP"/>
        </w:rPr>
        <w:t xml:space="preserve">Augšdaugava” DA plāns izstrādāts ES Kohēzijas fonda projekta “Priekšnosacījumu izveide labākai bioloģiskās daudzveidības saglabāšanai un ekosistēmu aizsardzībai Latvijā” </w:t>
      </w:r>
      <w:r w:rsidR="00D87123" w:rsidRPr="00A07F29">
        <w:rPr>
          <w:rFonts w:ascii="Times New Roman" w:eastAsia="Times New Roman" w:hAnsi="Times New Roman" w:cs="Times New Roman"/>
          <w:color w:val="000000"/>
          <w:sz w:val="24"/>
          <w:lang w:eastAsia="ja-JP"/>
        </w:rPr>
        <w:t>(Nr.</w:t>
      </w:r>
      <w:r w:rsidR="00CE4924" w:rsidRPr="00A07F29">
        <w:rPr>
          <w:rFonts w:ascii="Times New Roman" w:eastAsia="Times New Roman" w:hAnsi="Times New Roman" w:cs="Times New Roman"/>
          <w:color w:val="000000"/>
          <w:sz w:val="24"/>
          <w:lang w:eastAsia="ja-JP"/>
        </w:rPr>
        <w:t> </w:t>
      </w:r>
      <w:r w:rsidR="00D87123" w:rsidRPr="00A07F29">
        <w:rPr>
          <w:rFonts w:ascii="Times New Roman" w:eastAsia="Times New Roman" w:hAnsi="Times New Roman" w:cs="Times New Roman"/>
          <w:color w:val="000000"/>
          <w:sz w:val="24"/>
          <w:lang w:eastAsia="ja-JP"/>
        </w:rPr>
        <w:t xml:space="preserve">5.4.2.1/16/I/001) jeb “Dabas skaitīšana” </w:t>
      </w:r>
      <w:r w:rsidRPr="00A07F29">
        <w:rPr>
          <w:rFonts w:ascii="Times New Roman" w:eastAsia="Times New Roman" w:hAnsi="Times New Roman" w:cs="Times New Roman"/>
          <w:color w:val="000000"/>
          <w:sz w:val="24"/>
          <w:lang w:eastAsia="ja-JP"/>
        </w:rPr>
        <w:t>ietvaros.</w:t>
      </w:r>
      <w:r w:rsidRPr="00A07F29">
        <w:t xml:space="preserve"> </w:t>
      </w:r>
      <w:r w:rsidR="00720786" w:rsidRPr="00A07F29">
        <w:rPr>
          <w:rFonts w:ascii="Times New Roman" w:eastAsia="Times New Roman" w:hAnsi="Times New Roman" w:cs="Times New Roman"/>
          <w:color w:val="000000"/>
          <w:sz w:val="24"/>
          <w:lang w:eastAsia="ja-JP"/>
        </w:rPr>
        <w:t>DA p</w:t>
      </w:r>
      <w:r w:rsidR="006508F0" w:rsidRPr="00A07F29">
        <w:rPr>
          <w:rFonts w:ascii="Times New Roman" w:eastAsia="Times New Roman" w:hAnsi="Times New Roman" w:cs="Times New Roman"/>
          <w:color w:val="000000"/>
          <w:sz w:val="24"/>
          <w:lang w:eastAsia="ja-JP"/>
        </w:rPr>
        <w:t xml:space="preserve">lāna sagatavošanā piedalījušies </w:t>
      </w:r>
      <w:r w:rsidR="00720786" w:rsidRPr="00A07F29">
        <w:rPr>
          <w:rFonts w:ascii="Times New Roman" w:eastAsia="Times New Roman" w:hAnsi="Times New Roman" w:cs="Times New Roman"/>
          <w:color w:val="000000"/>
          <w:sz w:val="24"/>
          <w:lang w:eastAsia="ja-JP"/>
        </w:rPr>
        <w:t>sertificēti sugu un biotopu eksperti, kā arī ainavu un tūrisma eksperti, k</w:t>
      </w:r>
      <w:r w:rsidR="00D87123" w:rsidRPr="00A07F29">
        <w:rPr>
          <w:rFonts w:ascii="Times New Roman" w:eastAsia="Times New Roman" w:hAnsi="Times New Roman" w:cs="Times New Roman"/>
          <w:color w:val="000000"/>
          <w:sz w:val="24"/>
          <w:lang w:eastAsia="ja-JP"/>
        </w:rPr>
        <w:t xml:space="preserve">uri </w:t>
      </w:r>
      <w:r w:rsidR="006508F0" w:rsidRPr="00A07F29">
        <w:rPr>
          <w:rFonts w:ascii="Times New Roman" w:eastAsia="Times New Roman" w:hAnsi="Times New Roman" w:cs="Times New Roman"/>
          <w:color w:val="000000"/>
          <w:sz w:val="24"/>
          <w:lang w:eastAsia="ja-JP"/>
        </w:rPr>
        <w:t>2019.</w:t>
      </w:r>
      <w:r w:rsidR="0073198E" w:rsidRPr="00A07F29">
        <w:rPr>
          <w:rFonts w:ascii="Times New Roman" w:eastAsia="Times New Roman" w:hAnsi="Times New Roman" w:cs="Times New Roman"/>
          <w:color w:val="000000"/>
          <w:sz w:val="24"/>
          <w:lang w:eastAsia="ja-JP"/>
        </w:rPr>
        <w:t> </w:t>
      </w:r>
      <w:r w:rsidR="006508F0" w:rsidRPr="00A07F29">
        <w:rPr>
          <w:rFonts w:ascii="Times New Roman" w:eastAsia="Times New Roman" w:hAnsi="Times New Roman" w:cs="Times New Roman"/>
          <w:color w:val="000000"/>
          <w:sz w:val="24"/>
          <w:lang w:eastAsia="ja-JP"/>
        </w:rPr>
        <w:t xml:space="preserve">gadā </w:t>
      </w:r>
      <w:r w:rsidR="00720786" w:rsidRPr="00A07F29">
        <w:rPr>
          <w:rFonts w:ascii="Times New Roman" w:eastAsia="Times New Roman" w:hAnsi="Times New Roman" w:cs="Times New Roman"/>
          <w:color w:val="000000"/>
          <w:sz w:val="24"/>
          <w:lang w:eastAsia="ja-JP"/>
        </w:rPr>
        <w:t xml:space="preserve">veica teritorijas izpēti un stāvokļa analīzi, kā arī ieteica aizsardzības un apsaimniekošanas pasākumus. DA plānā ir integrēta informācija no DP “Daugavas loki” DA plāna un AAA </w:t>
      </w:r>
      <w:r w:rsidR="006508F0" w:rsidRPr="00A07F29">
        <w:rPr>
          <w:rFonts w:ascii="Times New Roman" w:eastAsia="Times New Roman" w:hAnsi="Times New Roman" w:cs="Times New Roman"/>
          <w:color w:val="000000"/>
          <w:sz w:val="24"/>
          <w:lang w:eastAsia="ja-JP"/>
        </w:rPr>
        <w:t>“Augšdaugava” pārvaldības plāna, kā arī no DP “Daugavas loki” tūrisma attīstības plāna un pašvaldību teritorijas attīstības plānošanas dokumentiem.</w:t>
      </w:r>
    </w:p>
    <w:p w14:paraId="1640224F" w14:textId="77777777" w:rsidR="00D87123" w:rsidRPr="00A07F29" w:rsidRDefault="00D87123" w:rsidP="00456EBD">
      <w:pPr>
        <w:spacing w:after="120" w:line="240" w:lineRule="auto"/>
        <w:ind w:firstLine="851"/>
        <w:jc w:val="both"/>
        <w:rPr>
          <w:rFonts w:ascii="Times New Roman" w:eastAsia="Times New Roman" w:hAnsi="Times New Roman" w:cs="Times New Roman"/>
          <w:color w:val="000000"/>
          <w:sz w:val="24"/>
          <w:lang w:eastAsia="ja-JP"/>
        </w:rPr>
      </w:pPr>
    </w:p>
    <w:p w14:paraId="04615D45" w14:textId="00979DB6" w:rsidR="00AF4C40" w:rsidRPr="00A07F29" w:rsidRDefault="00AF4C40" w:rsidP="009A719E">
      <w:pPr>
        <w:pStyle w:val="Heading1"/>
        <w:pageBreakBefore/>
        <w:spacing w:before="0" w:after="240" w:line="240" w:lineRule="auto"/>
        <w:jc w:val="center"/>
        <w:rPr>
          <w:rFonts w:ascii="Times New Roman" w:eastAsia="Times New Roman" w:hAnsi="Times New Roman" w:cs="Times New Roman"/>
          <w:color w:val="auto"/>
          <w:lang w:eastAsia="ja-JP"/>
        </w:rPr>
      </w:pPr>
      <w:bookmarkStart w:id="3" w:name="_Toc183433966"/>
      <w:r w:rsidRPr="00A07F29">
        <w:rPr>
          <w:rFonts w:ascii="Times New Roman" w:eastAsia="Times New Roman" w:hAnsi="Times New Roman" w:cs="Times New Roman"/>
          <w:color w:val="auto"/>
          <w:lang w:eastAsia="ja-JP"/>
        </w:rPr>
        <w:lastRenderedPageBreak/>
        <w:t>1.</w:t>
      </w:r>
      <w:r w:rsidR="009A719E" w:rsidRPr="00A07F29">
        <w:rPr>
          <w:rFonts w:ascii="Times New Roman" w:eastAsia="Times New Roman" w:hAnsi="Times New Roman" w:cs="Times New Roman"/>
          <w:color w:val="auto"/>
          <w:lang w:eastAsia="ja-JP"/>
        </w:rPr>
        <w:t xml:space="preserve"> </w:t>
      </w:r>
      <w:r w:rsidRPr="00A07F29">
        <w:rPr>
          <w:rFonts w:ascii="Times New Roman" w:eastAsia="Times New Roman" w:hAnsi="Times New Roman" w:cs="Times New Roman"/>
          <w:color w:val="auto"/>
          <w:lang w:eastAsia="ja-JP"/>
        </w:rPr>
        <w:t xml:space="preserve">AAA </w:t>
      </w:r>
      <w:r w:rsidR="00A81835" w:rsidRPr="00A07F29">
        <w:rPr>
          <w:rFonts w:ascii="Times New Roman" w:eastAsia="Times New Roman" w:hAnsi="Times New Roman" w:cs="Times New Roman"/>
          <w:color w:val="auto"/>
          <w:lang w:eastAsia="ja-JP"/>
        </w:rPr>
        <w:t>“</w:t>
      </w:r>
      <w:r w:rsidRPr="00A07F29">
        <w:rPr>
          <w:rFonts w:ascii="Times New Roman" w:eastAsia="Times New Roman" w:hAnsi="Times New Roman" w:cs="Times New Roman"/>
          <w:color w:val="auto"/>
          <w:lang w:eastAsia="ja-JP"/>
        </w:rPr>
        <w:t>AUGŠDAUGAVA” TERITORIJAS APRAKSTS</w:t>
      </w:r>
      <w:bookmarkEnd w:id="3"/>
    </w:p>
    <w:p w14:paraId="2643C169" w14:textId="1AAE41AE" w:rsidR="00AF4C40" w:rsidRPr="00A07F29" w:rsidRDefault="00B25189" w:rsidP="009A719E">
      <w:pPr>
        <w:pStyle w:val="Heading2"/>
        <w:spacing w:before="120" w:after="120"/>
        <w:ind w:firstLine="0"/>
        <w:jc w:val="center"/>
        <w:rPr>
          <w:rFonts w:ascii="Times New Roman" w:hAnsi="Times New Roman"/>
          <w:i w:val="0"/>
        </w:rPr>
      </w:pPr>
      <w:bookmarkStart w:id="4" w:name="_Toc183433967"/>
      <w:r w:rsidRPr="00A07F29">
        <w:rPr>
          <w:rFonts w:ascii="Times New Roman" w:hAnsi="Times New Roman"/>
          <w:i w:val="0"/>
        </w:rPr>
        <w:t xml:space="preserve">1.1. </w:t>
      </w:r>
      <w:r w:rsidR="00AF4C40" w:rsidRPr="00A07F29">
        <w:rPr>
          <w:rFonts w:ascii="Times New Roman" w:hAnsi="Times New Roman"/>
          <w:i w:val="0"/>
        </w:rPr>
        <w:t>Vispārēja informācija par aizsargājamo teritoriju</w:t>
      </w:r>
      <w:bookmarkEnd w:id="4"/>
    </w:p>
    <w:p w14:paraId="41682A78" w14:textId="3146462C" w:rsidR="00AF4C40" w:rsidRPr="00A07F29" w:rsidRDefault="00AF4C40" w:rsidP="000530A8">
      <w:pPr>
        <w:spacing w:after="8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AAA </w:t>
      </w:r>
      <w:r w:rsidR="00A81835" w:rsidRPr="00A07F29">
        <w:rPr>
          <w:rFonts w:ascii="Times New Roman" w:eastAsia="Calibri" w:hAnsi="Times New Roman" w:cs="Calibri"/>
          <w:sz w:val="24"/>
        </w:rPr>
        <w:t>“</w:t>
      </w:r>
      <w:r w:rsidRPr="00A07F29">
        <w:rPr>
          <w:rFonts w:ascii="Times New Roman" w:eastAsia="Calibri" w:hAnsi="Times New Roman" w:cs="Calibri"/>
          <w:sz w:val="24"/>
        </w:rPr>
        <w:t xml:space="preserve">Augšdaugava” atrodas Latvijas </w:t>
      </w:r>
      <w:r w:rsidR="00D80C80">
        <w:rPr>
          <w:rFonts w:ascii="Times New Roman" w:eastAsia="Calibri" w:hAnsi="Times New Roman" w:cs="Calibri"/>
          <w:sz w:val="24"/>
        </w:rPr>
        <w:t>DA</w:t>
      </w:r>
      <w:r w:rsidR="00F50A83" w:rsidRPr="00A07F29">
        <w:rPr>
          <w:rFonts w:ascii="Times New Roman" w:eastAsia="Calibri" w:hAnsi="Times New Roman" w:cs="Calibri"/>
          <w:sz w:val="24"/>
        </w:rPr>
        <w:t xml:space="preserve"> </w:t>
      </w:r>
      <w:r w:rsidRPr="00A07F29">
        <w:rPr>
          <w:rFonts w:ascii="Times New Roman" w:eastAsia="Calibri" w:hAnsi="Times New Roman" w:cs="Calibri"/>
          <w:sz w:val="24"/>
        </w:rPr>
        <w:t xml:space="preserve">daļā, </w:t>
      </w:r>
      <w:r w:rsidR="00DB442E" w:rsidRPr="00A07F29">
        <w:rPr>
          <w:rFonts w:ascii="Times New Roman" w:eastAsia="Calibri" w:hAnsi="Times New Roman" w:cs="Calibri"/>
          <w:sz w:val="24"/>
        </w:rPr>
        <w:t>Augšdaugavas</w:t>
      </w:r>
      <w:r w:rsidRPr="00A07F29">
        <w:rPr>
          <w:rFonts w:ascii="Times New Roman" w:eastAsia="Calibri" w:hAnsi="Times New Roman" w:cs="Calibri"/>
          <w:sz w:val="24"/>
        </w:rPr>
        <w:t xml:space="preserve"> un Krāslavas novados (skat. </w:t>
      </w:r>
      <w:r w:rsidR="00F50A83" w:rsidRPr="00A07F29">
        <w:rPr>
          <w:rFonts w:ascii="Times New Roman" w:eastAsia="Calibri" w:hAnsi="Times New Roman" w:cs="Calibri"/>
          <w:sz w:val="24"/>
        </w:rPr>
        <w:t>1</w:t>
      </w:r>
      <w:r w:rsidRPr="00A07F29">
        <w:rPr>
          <w:rFonts w:ascii="Times New Roman" w:eastAsia="Calibri" w:hAnsi="Times New Roman" w:cs="Calibri"/>
          <w:sz w:val="24"/>
        </w:rPr>
        <w:t>.</w:t>
      </w:r>
      <w:r w:rsidR="00200711" w:rsidRPr="00A07F29">
        <w:rPr>
          <w:rFonts w:ascii="Times New Roman" w:eastAsia="Calibri" w:hAnsi="Times New Roman" w:cs="Calibri"/>
          <w:sz w:val="24"/>
        </w:rPr>
        <w:t> </w:t>
      </w:r>
      <w:r w:rsidRPr="00A07F29">
        <w:rPr>
          <w:rFonts w:ascii="Times New Roman" w:eastAsia="Calibri" w:hAnsi="Times New Roman" w:cs="Calibri"/>
          <w:sz w:val="24"/>
        </w:rPr>
        <w:t>att</w:t>
      </w:r>
      <w:r w:rsidR="008255F4" w:rsidRPr="00A07F29">
        <w:rPr>
          <w:rFonts w:ascii="Times New Roman" w:eastAsia="Calibri" w:hAnsi="Times New Roman" w:cs="Calibri"/>
          <w:sz w:val="24"/>
        </w:rPr>
        <w:t>ēl</w:t>
      </w:r>
      <w:r w:rsidR="00DC559F" w:rsidRPr="00A07F29">
        <w:rPr>
          <w:rFonts w:ascii="Times New Roman" w:eastAsia="Calibri" w:hAnsi="Times New Roman" w:cs="Calibri"/>
          <w:sz w:val="24"/>
        </w:rPr>
        <w:t>u</w:t>
      </w:r>
      <w:r w:rsidRPr="00A07F29">
        <w:rPr>
          <w:rFonts w:ascii="Times New Roman" w:eastAsia="Calibri" w:hAnsi="Times New Roman" w:cs="Calibri"/>
          <w:sz w:val="24"/>
        </w:rPr>
        <w:t>). Teritorijas ģeogrāfiskā centra koordināt</w:t>
      </w:r>
      <w:r w:rsidR="00E86AF3" w:rsidRPr="00A07F29">
        <w:rPr>
          <w:rFonts w:ascii="Times New Roman" w:eastAsia="Calibri" w:hAnsi="Times New Roman" w:cs="Calibri"/>
          <w:sz w:val="24"/>
        </w:rPr>
        <w:t>a</w:t>
      </w:r>
      <w:r w:rsidRPr="00A07F29">
        <w:rPr>
          <w:rFonts w:ascii="Times New Roman" w:eastAsia="Calibri" w:hAnsi="Times New Roman" w:cs="Calibri"/>
          <w:sz w:val="24"/>
        </w:rPr>
        <w:t>s – platums: N</w:t>
      </w:r>
      <w:r w:rsidR="008255F4" w:rsidRPr="00A07F29">
        <w:rPr>
          <w:rFonts w:ascii="Times New Roman" w:eastAsia="Calibri" w:hAnsi="Times New Roman" w:cs="Calibri"/>
          <w:sz w:val="24"/>
        </w:rPr>
        <w:t> </w:t>
      </w:r>
      <w:r w:rsidRPr="00A07F29">
        <w:rPr>
          <w:rFonts w:ascii="Times New Roman" w:eastAsia="Calibri" w:hAnsi="Times New Roman" w:cs="Calibri"/>
          <w:sz w:val="24"/>
        </w:rPr>
        <w:t>55°51'35'', garums: E</w:t>
      </w:r>
      <w:r w:rsidR="008255F4" w:rsidRPr="00A07F29">
        <w:rPr>
          <w:rFonts w:ascii="Times New Roman" w:eastAsia="Calibri" w:hAnsi="Times New Roman" w:cs="Calibri"/>
          <w:sz w:val="24"/>
        </w:rPr>
        <w:t> </w:t>
      </w:r>
      <w:r w:rsidRPr="00A07F29">
        <w:rPr>
          <w:rFonts w:ascii="Times New Roman" w:eastAsia="Calibri" w:hAnsi="Times New Roman" w:cs="Calibri"/>
          <w:sz w:val="24"/>
        </w:rPr>
        <w:t xml:space="preserve">27°02'20'', (LKS92X = 690160, LKS92Y= 194663), </w:t>
      </w:r>
      <w:r w:rsidR="00F50A83" w:rsidRPr="00A07F29">
        <w:rPr>
          <w:rFonts w:ascii="Times New Roman" w:eastAsia="Calibri" w:hAnsi="Times New Roman" w:cs="Calibri"/>
          <w:sz w:val="24"/>
        </w:rPr>
        <w:t>ĪADT</w:t>
      </w:r>
      <w:r w:rsidRPr="00A07F29">
        <w:rPr>
          <w:rFonts w:ascii="Times New Roman" w:eastAsia="Calibri" w:hAnsi="Times New Roman" w:cs="Calibri"/>
          <w:sz w:val="24"/>
        </w:rPr>
        <w:t xml:space="preserve"> </w:t>
      </w:r>
      <w:r w:rsidR="00DB3E31" w:rsidRPr="00A07F29">
        <w:rPr>
          <w:rFonts w:ascii="Times New Roman" w:eastAsia="Calibri" w:hAnsi="Times New Roman" w:cs="Calibri"/>
          <w:sz w:val="24"/>
        </w:rPr>
        <w:t xml:space="preserve">vietas </w:t>
      </w:r>
      <w:r w:rsidRPr="00A07F29">
        <w:rPr>
          <w:rFonts w:ascii="Times New Roman" w:eastAsia="Calibri" w:hAnsi="Times New Roman" w:cs="Calibri"/>
          <w:sz w:val="24"/>
        </w:rPr>
        <w:t>kods ir LV0600400.</w:t>
      </w:r>
    </w:p>
    <w:p w14:paraId="6B894128" w14:textId="4FE969A7" w:rsidR="000530A8" w:rsidRPr="00A07F29" w:rsidRDefault="00AF4C40" w:rsidP="000530A8">
      <w:pPr>
        <w:spacing w:after="8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AAA </w:t>
      </w:r>
      <w:r w:rsidR="0074179E" w:rsidRPr="00A07F29">
        <w:rPr>
          <w:rFonts w:ascii="Times New Roman" w:eastAsia="Calibri" w:hAnsi="Times New Roman" w:cs="Calibri"/>
          <w:sz w:val="24"/>
        </w:rPr>
        <w:t>“</w:t>
      </w:r>
      <w:r w:rsidR="00F50A83" w:rsidRPr="00A07F29">
        <w:rPr>
          <w:rFonts w:ascii="Times New Roman" w:eastAsia="Calibri" w:hAnsi="Times New Roman" w:cs="Calibri"/>
          <w:sz w:val="24"/>
        </w:rPr>
        <w:t xml:space="preserve">Augšdaugava” </w:t>
      </w:r>
      <w:r w:rsidRPr="00A07F29">
        <w:rPr>
          <w:rFonts w:ascii="Times New Roman" w:eastAsia="Calibri" w:hAnsi="Times New Roman" w:cs="Calibri"/>
          <w:sz w:val="24"/>
        </w:rPr>
        <w:t xml:space="preserve">platība ir </w:t>
      </w:r>
      <w:r w:rsidR="00BD3DF5" w:rsidRPr="00A07F29">
        <w:rPr>
          <w:rFonts w:ascii="Times New Roman" w:eastAsia="Calibri" w:hAnsi="Times New Roman" w:cs="Calibri"/>
          <w:sz w:val="24"/>
        </w:rPr>
        <w:t>52078</w:t>
      </w:r>
      <w:r w:rsidR="0074179E" w:rsidRPr="00A07F29">
        <w:rPr>
          <w:rFonts w:ascii="Times New Roman" w:eastAsia="Calibri" w:hAnsi="Times New Roman" w:cs="Calibri"/>
          <w:sz w:val="24"/>
        </w:rPr>
        <w:t> </w:t>
      </w:r>
      <w:r w:rsidRPr="00A07F29">
        <w:rPr>
          <w:rFonts w:ascii="Times New Roman" w:eastAsia="Calibri" w:hAnsi="Times New Roman" w:cs="Calibri"/>
          <w:sz w:val="24"/>
        </w:rPr>
        <w:t xml:space="preserve">ha, tā ietver Daugavas ielejas </w:t>
      </w:r>
      <w:r w:rsidR="00F4545A" w:rsidRPr="00A07F29">
        <w:rPr>
          <w:rFonts w:ascii="Times New Roman" w:eastAsia="Calibri" w:hAnsi="Times New Roman" w:cs="Calibri"/>
          <w:sz w:val="24"/>
        </w:rPr>
        <w:t xml:space="preserve">posmu </w:t>
      </w:r>
      <w:r w:rsidRPr="00D80C80">
        <w:rPr>
          <w:rFonts w:ascii="Times New Roman" w:eastAsia="Calibri" w:hAnsi="Times New Roman" w:cs="Calibri"/>
          <w:sz w:val="24"/>
        </w:rPr>
        <w:t>no L</w:t>
      </w:r>
      <w:r w:rsidR="00D80C80">
        <w:rPr>
          <w:rFonts w:ascii="Times New Roman" w:eastAsia="Calibri" w:hAnsi="Times New Roman" w:cs="Calibri"/>
          <w:sz w:val="24"/>
        </w:rPr>
        <w:t>R</w:t>
      </w:r>
      <w:r w:rsidR="00F4545A" w:rsidRPr="00A07F29">
        <w:rPr>
          <w:rFonts w:ascii="Times New Roman" w:eastAsia="Calibri" w:hAnsi="Times New Roman" w:cs="Calibri"/>
          <w:sz w:val="24"/>
        </w:rPr>
        <w:t xml:space="preserve"> un </w:t>
      </w:r>
      <w:r w:rsidRPr="00A07F29">
        <w:rPr>
          <w:rFonts w:ascii="Times New Roman" w:eastAsia="Calibri" w:hAnsi="Times New Roman" w:cs="Calibri"/>
          <w:sz w:val="24"/>
        </w:rPr>
        <w:t xml:space="preserve">Baltkrievijas Republikas robežas pie </w:t>
      </w:r>
      <w:proofErr w:type="spellStart"/>
      <w:r w:rsidRPr="00A07F29">
        <w:rPr>
          <w:rFonts w:ascii="Times New Roman" w:eastAsia="Calibri" w:hAnsi="Times New Roman" w:cs="Calibri"/>
          <w:sz w:val="24"/>
        </w:rPr>
        <w:t>Koškovciem</w:t>
      </w:r>
      <w:r w:rsidR="00DB3E31" w:rsidRPr="00A07F29">
        <w:rPr>
          <w:rFonts w:ascii="Times New Roman" w:eastAsia="Calibri" w:hAnsi="Times New Roman" w:cs="Calibri"/>
          <w:sz w:val="24"/>
        </w:rPr>
        <w:t>a</w:t>
      </w:r>
      <w:proofErr w:type="spellEnd"/>
      <w:r w:rsidRPr="00A07F29">
        <w:rPr>
          <w:rFonts w:ascii="Times New Roman" w:eastAsia="Calibri" w:hAnsi="Times New Roman" w:cs="Calibri"/>
          <w:sz w:val="24"/>
        </w:rPr>
        <w:t xml:space="preserve"> līdz Daugavpilij, kā arī daļu no Daugavas ielejai piegulošajām Latgales un Augšzemes augstienēm (skat. 1.</w:t>
      </w:r>
      <w:r w:rsidR="007945E5" w:rsidRPr="00A07F29">
        <w:rPr>
          <w:rFonts w:ascii="Times New Roman" w:eastAsia="Calibri" w:hAnsi="Times New Roman" w:cs="Calibri"/>
          <w:sz w:val="24"/>
        </w:rPr>
        <w:t> </w:t>
      </w:r>
      <w:r w:rsidRPr="00A07F29">
        <w:rPr>
          <w:rFonts w:ascii="Times New Roman" w:eastAsia="Calibri" w:hAnsi="Times New Roman" w:cs="Calibri"/>
          <w:sz w:val="24"/>
        </w:rPr>
        <w:t xml:space="preserve">attēlu). </w:t>
      </w:r>
      <w:r w:rsidR="00BF0E06" w:rsidRPr="00A07F29">
        <w:rPr>
          <w:rFonts w:ascii="Times New Roman" w:eastAsia="Calibri" w:hAnsi="Times New Roman" w:cs="Calibri"/>
          <w:sz w:val="24"/>
        </w:rPr>
        <w:t>AAA</w:t>
      </w:r>
      <w:r w:rsidRPr="00A07F29">
        <w:rPr>
          <w:rFonts w:ascii="Times New Roman" w:eastAsia="Calibri" w:hAnsi="Times New Roman" w:cs="Calibri"/>
          <w:sz w:val="24"/>
        </w:rPr>
        <w:t xml:space="preserve"> </w:t>
      </w:r>
      <w:r w:rsidR="00DC559F" w:rsidRPr="00A07F29">
        <w:rPr>
          <w:rFonts w:ascii="Times New Roman" w:eastAsia="Calibri" w:hAnsi="Times New Roman" w:cs="Calibri"/>
          <w:sz w:val="24"/>
        </w:rPr>
        <w:t>“</w:t>
      </w:r>
      <w:r w:rsidR="00F50A83" w:rsidRPr="00A07F29">
        <w:rPr>
          <w:rFonts w:ascii="Times New Roman" w:eastAsia="Calibri" w:hAnsi="Times New Roman" w:cs="Calibri"/>
          <w:sz w:val="24"/>
        </w:rPr>
        <w:t xml:space="preserve">Augšdaugava” </w:t>
      </w:r>
      <w:r w:rsidRPr="00A07F29">
        <w:rPr>
          <w:rFonts w:ascii="Times New Roman" w:eastAsia="Calibri" w:hAnsi="Times New Roman" w:cs="Calibri"/>
          <w:sz w:val="24"/>
        </w:rPr>
        <w:t xml:space="preserve">ietilpst arī </w:t>
      </w:r>
      <w:r w:rsidR="00BF0E06" w:rsidRPr="00A07F29">
        <w:rPr>
          <w:rFonts w:ascii="Times New Roman" w:eastAsia="Calibri" w:hAnsi="Times New Roman" w:cs="Calibri"/>
          <w:sz w:val="24"/>
        </w:rPr>
        <w:t>DP</w:t>
      </w:r>
      <w:r w:rsidRPr="00A07F29">
        <w:rPr>
          <w:rFonts w:ascii="Times New Roman" w:eastAsia="Calibri" w:hAnsi="Times New Roman" w:cs="Calibri"/>
          <w:sz w:val="24"/>
        </w:rPr>
        <w:t xml:space="preserve"> </w:t>
      </w:r>
      <w:r w:rsidR="00DC559F" w:rsidRPr="00A07F29">
        <w:rPr>
          <w:rFonts w:ascii="Times New Roman" w:eastAsia="Calibri" w:hAnsi="Times New Roman" w:cs="Calibri"/>
          <w:sz w:val="24"/>
        </w:rPr>
        <w:t>“</w:t>
      </w:r>
      <w:r w:rsidRPr="00A07F29">
        <w:rPr>
          <w:rFonts w:ascii="Times New Roman" w:eastAsia="Calibri" w:hAnsi="Times New Roman" w:cs="Calibri"/>
          <w:sz w:val="24"/>
        </w:rPr>
        <w:t xml:space="preserve">Daugavas loki” un tajā esošā Daugavas </w:t>
      </w:r>
      <w:proofErr w:type="spellStart"/>
      <w:r w:rsidRPr="00A07F29">
        <w:rPr>
          <w:rFonts w:ascii="Times New Roman" w:eastAsia="Calibri" w:hAnsi="Times New Roman" w:cs="Calibri"/>
          <w:sz w:val="24"/>
        </w:rPr>
        <w:t>senieleja</w:t>
      </w:r>
      <w:proofErr w:type="spellEnd"/>
      <w:r w:rsidRPr="00A07F29">
        <w:rPr>
          <w:rFonts w:ascii="Times New Roman" w:eastAsia="Calibri" w:hAnsi="Times New Roman" w:cs="Calibri"/>
          <w:sz w:val="24"/>
        </w:rPr>
        <w:t xml:space="preserve">, kas ir ģeoloģiskā ziņā vecākais un konfigurācijas ziņā vienīgais Latvijā upes tecējuma posms ar </w:t>
      </w:r>
      <w:r w:rsidR="00DC559F" w:rsidRPr="00A07F29">
        <w:rPr>
          <w:rFonts w:ascii="Times New Roman" w:eastAsia="Calibri" w:hAnsi="Times New Roman" w:cs="Calibri"/>
          <w:sz w:val="24"/>
        </w:rPr>
        <w:t>deviņiem</w:t>
      </w:r>
      <w:r w:rsidR="00616046" w:rsidRPr="00A07F29">
        <w:rPr>
          <w:rFonts w:ascii="Times New Roman" w:eastAsia="Calibri" w:hAnsi="Times New Roman" w:cs="Calibri"/>
          <w:sz w:val="24"/>
        </w:rPr>
        <w:t xml:space="preserve"> lokiem jeb </w:t>
      </w:r>
      <w:r w:rsidRPr="00A07F29">
        <w:rPr>
          <w:rFonts w:ascii="Times New Roman" w:eastAsia="Calibri" w:hAnsi="Times New Roman" w:cs="Calibri"/>
          <w:sz w:val="24"/>
        </w:rPr>
        <w:t xml:space="preserve">meandriem. Tieši ar Daugavas </w:t>
      </w:r>
      <w:proofErr w:type="spellStart"/>
      <w:r w:rsidRPr="00A07F29">
        <w:rPr>
          <w:rFonts w:ascii="Times New Roman" w:eastAsia="Calibri" w:hAnsi="Times New Roman" w:cs="Calibri"/>
          <w:sz w:val="24"/>
        </w:rPr>
        <w:t>senieleju</w:t>
      </w:r>
      <w:proofErr w:type="spellEnd"/>
      <w:r w:rsidRPr="00A07F29">
        <w:rPr>
          <w:rFonts w:ascii="Times New Roman" w:eastAsia="Calibri" w:hAnsi="Times New Roman" w:cs="Calibri"/>
          <w:sz w:val="24"/>
        </w:rPr>
        <w:t xml:space="preserve"> ir saistītas nozīmīgākās AAA </w:t>
      </w:r>
      <w:r w:rsidR="0017527A" w:rsidRPr="00A07F29">
        <w:rPr>
          <w:rFonts w:ascii="Times New Roman" w:eastAsia="Calibri" w:hAnsi="Times New Roman" w:cs="Calibri"/>
          <w:sz w:val="24"/>
        </w:rPr>
        <w:t>“</w:t>
      </w:r>
      <w:r w:rsidR="00F50A83" w:rsidRPr="00A07F29">
        <w:rPr>
          <w:rFonts w:ascii="Times New Roman" w:eastAsia="Calibri" w:hAnsi="Times New Roman" w:cs="Calibri"/>
          <w:sz w:val="24"/>
        </w:rPr>
        <w:t xml:space="preserve">Augšdaugava” </w:t>
      </w:r>
      <w:r w:rsidRPr="00A07F29">
        <w:rPr>
          <w:rFonts w:ascii="Times New Roman" w:eastAsia="Calibri" w:hAnsi="Times New Roman" w:cs="Calibri"/>
          <w:sz w:val="24"/>
        </w:rPr>
        <w:t>dabas vērtības.</w:t>
      </w:r>
    </w:p>
    <w:p w14:paraId="5432243F" w14:textId="105F90D4" w:rsidR="00AF4C40" w:rsidRPr="00A07F29" w:rsidRDefault="00AF4C40" w:rsidP="000530A8">
      <w:pPr>
        <w:spacing w:after="80" w:line="240" w:lineRule="auto"/>
        <w:ind w:firstLine="851"/>
        <w:jc w:val="both"/>
        <w:rPr>
          <w:rFonts w:ascii="Times New Roman" w:eastAsia="Calibri" w:hAnsi="Times New Roman" w:cs="Calibri"/>
          <w:sz w:val="24"/>
        </w:rPr>
      </w:pPr>
    </w:p>
    <w:p w14:paraId="55ECFB71" w14:textId="04D5EC93" w:rsidR="00AF4C40" w:rsidRPr="00A07F29" w:rsidRDefault="00AF4C40" w:rsidP="000530A8">
      <w:pPr>
        <w:pStyle w:val="Heading3"/>
        <w:spacing w:before="120" w:after="120" w:line="240" w:lineRule="auto"/>
        <w:jc w:val="center"/>
        <w:rPr>
          <w:iCs/>
          <w:lang w:eastAsia="ja-JP"/>
        </w:rPr>
      </w:pPr>
      <w:bookmarkStart w:id="5" w:name="_Toc183433968"/>
      <w:r w:rsidRPr="00A07F29">
        <w:rPr>
          <w:lang w:eastAsia="ja-JP"/>
        </w:rPr>
        <w:t>1.1.1. Aizsargājamās teritorijas zemes lietošanas veidu raksturojums un zemes īpašuma</w:t>
      </w:r>
      <w:r w:rsidRPr="00A07F29">
        <w:rPr>
          <w:bCs/>
          <w:iCs/>
          <w:lang w:eastAsia="ja-JP"/>
        </w:rPr>
        <w:t xml:space="preserve"> </w:t>
      </w:r>
      <w:r w:rsidRPr="00A07F29">
        <w:rPr>
          <w:iCs/>
          <w:lang w:eastAsia="ja-JP"/>
        </w:rPr>
        <w:t>formu apraksts</w:t>
      </w:r>
      <w:bookmarkEnd w:id="5"/>
    </w:p>
    <w:p w14:paraId="11B1DBC5" w14:textId="195C88F7" w:rsidR="00AF4C40" w:rsidRPr="00A07F29" w:rsidRDefault="00AF4C40" w:rsidP="00AD47BD">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Zemes īpašumi AAA </w:t>
      </w:r>
      <w:r w:rsidR="00184319" w:rsidRPr="00A07F29">
        <w:rPr>
          <w:rFonts w:ascii="Times New Roman" w:eastAsia="Calibri" w:hAnsi="Times New Roman" w:cs="Calibri"/>
          <w:sz w:val="24"/>
        </w:rPr>
        <w:t xml:space="preserve">“Augšdaugava” </w:t>
      </w:r>
      <w:r w:rsidRPr="00A07F29">
        <w:rPr>
          <w:rFonts w:ascii="Times New Roman" w:eastAsia="Calibri" w:hAnsi="Times New Roman" w:cs="Calibri"/>
          <w:sz w:val="24"/>
        </w:rPr>
        <w:t>teritorijā pieder gan valstij (galvenokārt meža zemes), gan pašvaldībai, gan privātpersonām un juridiskām personām (skat. 1.1.</w:t>
      </w:r>
      <w:r w:rsidR="00E86AF3" w:rsidRPr="00A07F29">
        <w:rPr>
          <w:rFonts w:ascii="Times New Roman" w:eastAsia="Calibri" w:hAnsi="Times New Roman" w:cs="Calibri"/>
          <w:sz w:val="24"/>
        </w:rPr>
        <w:t>1.</w:t>
      </w:r>
      <w:r w:rsidR="0017527A" w:rsidRPr="00A07F29">
        <w:rPr>
          <w:rFonts w:ascii="Times New Roman" w:eastAsia="Calibri" w:hAnsi="Times New Roman" w:cs="Calibri"/>
          <w:sz w:val="24"/>
        </w:rPr>
        <w:t> </w:t>
      </w:r>
      <w:r w:rsidRPr="00A07F29">
        <w:rPr>
          <w:rFonts w:ascii="Times New Roman" w:eastAsia="Calibri" w:hAnsi="Times New Roman" w:cs="Calibri"/>
          <w:sz w:val="24"/>
        </w:rPr>
        <w:t>tabulu un 1.</w:t>
      </w:r>
      <w:r w:rsidR="00E86AF3" w:rsidRPr="00A07F29">
        <w:rPr>
          <w:rFonts w:ascii="Times New Roman" w:eastAsia="Calibri" w:hAnsi="Times New Roman" w:cs="Calibri"/>
          <w:sz w:val="24"/>
        </w:rPr>
        <w:t>1</w:t>
      </w:r>
      <w:r w:rsidRPr="00A07F29">
        <w:rPr>
          <w:rFonts w:ascii="Times New Roman" w:eastAsia="Calibri" w:hAnsi="Times New Roman" w:cs="Calibri"/>
          <w:sz w:val="24"/>
        </w:rPr>
        <w:t>.</w:t>
      </w:r>
      <w:r w:rsidR="0017527A" w:rsidRPr="00A07F29">
        <w:rPr>
          <w:rFonts w:ascii="Times New Roman" w:eastAsia="Calibri" w:hAnsi="Times New Roman" w:cs="Calibri"/>
          <w:sz w:val="24"/>
        </w:rPr>
        <w:t> </w:t>
      </w:r>
      <w:r w:rsidR="00F50A83" w:rsidRPr="00A07F29">
        <w:rPr>
          <w:rFonts w:ascii="Times New Roman" w:eastAsia="Calibri" w:hAnsi="Times New Roman" w:cs="Calibri"/>
          <w:sz w:val="24"/>
        </w:rPr>
        <w:t>pielikumu</w:t>
      </w:r>
      <w:r w:rsidRPr="00A07F29">
        <w:rPr>
          <w:rFonts w:ascii="Times New Roman" w:eastAsia="Calibri" w:hAnsi="Times New Roman" w:cs="Calibri"/>
          <w:sz w:val="24"/>
        </w:rPr>
        <w:t xml:space="preserve">). Valsts mežus teritorijā apsaimnieko </w:t>
      </w:r>
      <w:r w:rsidR="009C4CB0" w:rsidRPr="00A07F29">
        <w:rPr>
          <w:rFonts w:ascii="Times New Roman" w:eastAsia="Calibri" w:hAnsi="Times New Roman" w:cs="Calibri"/>
          <w:sz w:val="24"/>
        </w:rPr>
        <w:t>LVM</w:t>
      </w:r>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sz w:val="24"/>
        </w:rPr>
        <w:t>Dienvidlatgales</w:t>
      </w:r>
      <w:proofErr w:type="spellEnd"/>
      <w:r w:rsidRPr="00A07F29">
        <w:rPr>
          <w:rFonts w:ascii="Times New Roman" w:eastAsia="Calibri" w:hAnsi="Times New Roman" w:cs="Calibri"/>
          <w:sz w:val="24"/>
        </w:rPr>
        <w:t xml:space="preserve"> </w:t>
      </w:r>
      <w:r w:rsidR="00F4545A" w:rsidRPr="00A07F29">
        <w:rPr>
          <w:rFonts w:ascii="Times New Roman" w:eastAsia="Calibri" w:hAnsi="Times New Roman" w:cs="Calibri"/>
          <w:sz w:val="24"/>
        </w:rPr>
        <w:t>reģions.</w:t>
      </w:r>
      <w:r w:rsidRPr="00A07F29">
        <w:rPr>
          <w:rFonts w:ascii="Times New Roman" w:eastAsia="Calibri" w:hAnsi="Times New Roman" w:cs="Calibri"/>
          <w:sz w:val="24"/>
        </w:rPr>
        <w:t xml:space="preserve"> </w:t>
      </w:r>
    </w:p>
    <w:p w14:paraId="6A428FEE" w14:textId="4BB5399D" w:rsidR="00AF4C40" w:rsidRPr="00A07F29" w:rsidRDefault="00F50A83" w:rsidP="00BD0165">
      <w:pPr>
        <w:spacing w:after="120"/>
        <w:ind w:firstLine="851"/>
        <w:jc w:val="center"/>
        <w:rPr>
          <w:rFonts w:ascii="Times New Roman" w:eastAsia="Calibri" w:hAnsi="Times New Roman" w:cs="Calibri"/>
          <w:sz w:val="24"/>
        </w:rPr>
      </w:pPr>
      <w:r w:rsidRPr="00A07F29">
        <w:rPr>
          <w:rFonts w:ascii="Times New Roman" w:eastAsia="Calibri" w:hAnsi="Times New Roman" w:cs="Calibri"/>
          <w:sz w:val="24"/>
        </w:rPr>
        <w:t>1.1.</w:t>
      </w:r>
      <w:r w:rsidR="00E86AF3" w:rsidRPr="00A07F29">
        <w:rPr>
          <w:rFonts w:ascii="Times New Roman" w:eastAsia="Calibri" w:hAnsi="Times New Roman" w:cs="Calibri"/>
          <w:sz w:val="24"/>
        </w:rPr>
        <w:t>1.</w:t>
      </w:r>
      <w:r w:rsidR="004F2976" w:rsidRPr="00A07F29">
        <w:rPr>
          <w:rFonts w:ascii="Times New Roman" w:eastAsia="Calibri" w:hAnsi="Times New Roman" w:cs="Calibri"/>
          <w:sz w:val="24"/>
        </w:rPr>
        <w:t> </w:t>
      </w:r>
      <w:r w:rsidR="00AF4C40" w:rsidRPr="00A07F29">
        <w:rPr>
          <w:rFonts w:ascii="Times New Roman" w:eastAsia="Calibri" w:hAnsi="Times New Roman" w:cs="Calibri"/>
          <w:sz w:val="24"/>
        </w:rPr>
        <w:t>tabula. Zemes īpašumu formas AAA “Augšdaugava”</w:t>
      </w:r>
    </w:p>
    <w:tbl>
      <w:tblPr>
        <w:tblStyle w:val="TableGrid"/>
        <w:tblW w:w="8296" w:type="dxa"/>
        <w:jc w:val="center"/>
        <w:tblLook w:val="04A0" w:firstRow="1" w:lastRow="0" w:firstColumn="1" w:lastColumn="0" w:noHBand="0" w:noVBand="1"/>
      </w:tblPr>
      <w:tblGrid>
        <w:gridCol w:w="2074"/>
        <w:gridCol w:w="2074"/>
        <w:gridCol w:w="2074"/>
        <w:gridCol w:w="2074"/>
      </w:tblGrid>
      <w:tr w:rsidR="00F50A83" w:rsidRPr="00A07F29" w14:paraId="55401ECC" w14:textId="77777777" w:rsidTr="00BD0165">
        <w:trPr>
          <w:jc w:val="center"/>
        </w:trPr>
        <w:tc>
          <w:tcPr>
            <w:tcW w:w="2074" w:type="dxa"/>
            <w:vAlign w:val="center"/>
          </w:tcPr>
          <w:p w14:paraId="0A0D27A6" w14:textId="77777777" w:rsidR="00F50A83" w:rsidRPr="00A07F29" w:rsidRDefault="00F50A83" w:rsidP="00944DAC">
            <w:pPr>
              <w:rPr>
                <w:rFonts w:ascii="Times New Roman" w:eastAsia="Times New Roman" w:hAnsi="Times New Roman" w:cs="Times New Roman"/>
                <w:sz w:val="24"/>
                <w:szCs w:val="24"/>
                <w:lang w:eastAsia="en-GB"/>
              </w:rPr>
            </w:pPr>
            <w:r w:rsidRPr="00A07F29">
              <w:rPr>
                <w:rFonts w:ascii="Times New Roman" w:eastAsia="Times New Roman" w:hAnsi="Times New Roman" w:cs="Times New Roman"/>
                <w:sz w:val="24"/>
                <w:szCs w:val="24"/>
                <w:lang w:eastAsia="en-GB"/>
              </w:rPr>
              <w:t>Zemes īpašumu formas</w:t>
            </w:r>
          </w:p>
        </w:tc>
        <w:tc>
          <w:tcPr>
            <w:tcW w:w="2074" w:type="dxa"/>
            <w:vAlign w:val="center"/>
          </w:tcPr>
          <w:p w14:paraId="35B6B664" w14:textId="12B6BAD2" w:rsidR="00F50A83" w:rsidRPr="00A07F29" w:rsidRDefault="009C4CB0" w:rsidP="00944DAC">
            <w:pPr>
              <w:rPr>
                <w:rFonts w:ascii="Times New Roman" w:eastAsia="Times New Roman" w:hAnsi="Times New Roman" w:cs="Times New Roman"/>
                <w:sz w:val="24"/>
                <w:szCs w:val="24"/>
                <w:lang w:eastAsia="en-GB"/>
              </w:rPr>
            </w:pPr>
            <w:r w:rsidRPr="00A07F29">
              <w:rPr>
                <w:rFonts w:ascii="Times New Roman" w:eastAsia="Times New Roman" w:hAnsi="Times New Roman" w:cs="Times New Roman"/>
                <w:sz w:val="24"/>
                <w:szCs w:val="24"/>
                <w:lang w:eastAsia="en-GB"/>
              </w:rPr>
              <w:t xml:space="preserve">Zemes vienību </w:t>
            </w:r>
            <w:r w:rsidR="00F50A83" w:rsidRPr="00A07F29">
              <w:rPr>
                <w:rFonts w:ascii="Times New Roman" w:eastAsia="Times New Roman" w:hAnsi="Times New Roman" w:cs="Times New Roman"/>
                <w:sz w:val="24"/>
                <w:szCs w:val="24"/>
                <w:lang w:eastAsia="en-GB"/>
              </w:rPr>
              <w:t>skaits</w:t>
            </w:r>
          </w:p>
        </w:tc>
        <w:tc>
          <w:tcPr>
            <w:tcW w:w="2074" w:type="dxa"/>
            <w:vAlign w:val="center"/>
          </w:tcPr>
          <w:p w14:paraId="3D7FDED0" w14:textId="77777777" w:rsidR="00F50A83" w:rsidRPr="00A07F29" w:rsidRDefault="00F50A83" w:rsidP="00944DAC">
            <w:pPr>
              <w:rPr>
                <w:rFonts w:ascii="Times New Roman" w:eastAsia="Times New Roman" w:hAnsi="Times New Roman" w:cs="Times New Roman"/>
                <w:sz w:val="24"/>
                <w:szCs w:val="24"/>
                <w:lang w:eastAsia="en-GB"/>
              </w:rPr>
            </w:pPr>
            <w:r w:rsidRPr="00A07F29">
              <w:rPr>
                <w:rFonts w:ascii="Times New Roman" w:eastAsia="Times New Roman" w:hAnsi="Times New Roman" w:cs="Times New Roman"/>
                <w:sz w:val="24"/>
                <w:szCs w:val="24"/>
                <w:lang w:eastAsia="en-GB"/>
              </w:rPr>
              <w:t>Platība (ha)</w:t>
            </w:r>
          </w:p>
        </w:tc>
        <w:tc>
          <w:tcPr>
            <w:tcW w:w="2074" w:type="dxa"/>
            <w:vAlign w:val="center"/>
          </w:tcPr>
          <w:p w14:paraId="6D93AC26" w14:textId="77777777" w:rsidR="00F50A83" w:rsidRPr="00A07F29" w:rsidRDefault="00F50A83" w:rsidP="00944DAC">
            <w:pPr>
              <w:rPr>
                <w:rFonts w:ascii="Times New Roman" w:eastAsia="Times New Roman" w:hAnsi="Times New Roman" w:cs="Times New Roman"/>
                <w:sz w:val="24"/>
                <w:szCs w:val="24"/>
                <w:lang w:eastAsia="en-GB"/>
              </w:rPr>
            </w:pPr>
            <w:r w:rsidRPr="00A07F29">
              <w:rPr>
                <w:rFonts w:ascii="Times New Roman" w:eastAsia="Times New Roman" w:hAnsi="Times New Roman" w:cs="Times New Roman"/>
                <w:sz w:val="24"/>
                <w:szCs w:val="24"/>
                <w:lang w:eastAsia="en-GB"/>
              </w:rPr>
              <w:t>% no ĪADT</w:t>
            </w:r>
          </w:p>
        </w:tc>
      </w:tr>
      <w:tr w:rsidR="00F50A83" w:rsidRPr="00A07F29" w14:paraId="49D4F6D9" w14:textId="77777777" w:rsidTr="00BD0165">
        <w:trPr>
          <w:jc w:val="center"/>
        </w:trPr>
        <w:tc>
          <w:tcPr>
            <w:tcW w:w="2074" w:type="dxa"/>
            <w:vAlign w:val="center"/>
          </w:tcPr>
          <w:p w14:paraId="17EA4EA8" w14:textId="77777777" w:rsidR="00F50A83" w:rsidRPr="00A07F29" w:rsidRDefault="00F50A83" w:rsidP="00944DAC">
            <w:pPr>
              <w:rPr>
                <w:rFonts w:ascii="Times New Roman" w:eastAsia="Times New Roman" w:hAnsi="Times New Roman" w:cs="Times New Roman"/>
                <w:sz w:val="24"/>
                <w:szCs w:val="24"/>
                <w:lang w:eastAsia="en-GB"/>
              </w:rPr>
            </w:pPr>
            <w:r w:rsidRPr="00A07F29">
              <w:rPr>
                <w:rFonts w:ascii="Times New Roman" w:eastAsia="Times New Roman" w:hAnsi="Times New Roman" w:cs="Times New Roman"/>
                <w:sz w:val="24"/>
                <w:szCs w:val="24"/>
                <w:lang w:eastAsia="en-GB"/>
              </w:rPr>
              <w:t>Fiziskai personai piederošais zemes īpašums</w:t>
            </w:r>
          </w:p>
        </w:tc>
        <w:tc>
          <w:tcPr>
            <w:tcW w:w="2074" w:type="dxa"/>
            <w:vAlign w:val="center"/>
          </w:tcPr>
          <w:p w14:paraId="12D82EA5" w14:textId="77777777" w:rsidR="00F50A83" w:rsidRPr="00A07F29" w:rsidRDefault="00F50A83" w:rsidP="00944DAC">
            <w:pPr>
              <w:rPr>
                <w:rFonts w:ascii="Times New Roman" w:eastAsia="Times New Roman" w:hAnsi="Times New Roman" w:cs="Times New Roman"/>
                <w:sz w:val="24"/>
                <w:szCs w:val="24"/>
                <w:lang w:eastAsia="en-GB"/>
              </w:rPr>
            </w:pPr>
            <w:r w:rsidRPr="00A07F29">
              <w:rPr>
                <w:rFonts w:ascii="Times New Roman" w:eastAsia="Times New Roman" w:hAnsi="Times New Roman" w:cs="Times New Roman"/>
                <w:sz w:val="24"/>
                <w:szCs w:val="24"/>
                <w:lang w:eastAsia="en-GB"/>
              </w:rPr>
              <w:t>6325</w:t>
            </w:r>
          </w:p>
        </w:tc>
        <w:tc>
          <w:tcPr>
            <w:tcW w:w="2074" w:type="dxa"/>
            <w:vAlign w:val="center"/>
          </w:tcPr>
          <w:p w14:paraId="0A82187B" w14:textId="6266120C" w:rsidR="00F50A83" w:rsidRPr="00A07F29" w:rsidRDefault="00F50A83" w:rsidP="00BD3DF5">
            <w:pPr>
              <w:rPr>
                <w:rFonts w:ascii="Times New Roman" w:eastAsia="Times New Roman" w:hAnsi="Times New Roman" w:cs="Times New Roman"/>
                <w:sz w:val="24"/>
                <w:szCs w:val="24"/>
                <w:lang w:eastAsia="en-GB"/>
              </w:rPr>
            </w:pPr>
            <w:r w:rsidRPr="00A07F29">
              <w:rPr>
                <w:rFonts w:ascii="Times New Roman" w:eastAsia="Times New Roman" w:hAnsi="Times New Roman" w:cs="Times New Roman"/>
                <w:sz w:val="24"/>
                <w:szCs w:val="24"/>
                <w:lang w:eastAsia="en-GB"/>
              </w:rPr>
              <w:t>24872</w:t>
            </w:r>
          </w:p>
        </w:tc>
        <w:tc>
          <w:tcPr>
            <w:tcW w:w="2074" w:type="dxa"/>
            <w:vAlign w:val="center"/>
          </w:tcPr>
          <w:p w14:paraId="3BF1E46D" w14:textId="77777777" w:rsidR="00F50A83" w:rsidRPr="00A07F29" w:rsidRDefault="00F50A83" w:rsidP="00944DAC">
            <w:pPr>
              <w:rPr>
                <w:rFonts w:ascii="Times New Roman" w:eastAsia="Times New Roman" w:hAnsi="Times New Roman" w:cs="Times New Roman"/>
                <w:sz w:val="24"/>
                <w:szCs w:val="24"/>
                <w:lang w:eastAsia="en-GB"/>
              </w:rPr>
            </w:pPr>
            <w:r w:rsidRPr="00A07F29">
              <w:rPr>
                <w:rFonts w:ascii="Times New Roman" w:eastAsia="Times New Roman" w:hAnsi="Times New Roman" w:cs="Times New Roman"/>
                <w:sz w:val="24"/>
                <w:szCs w:val="24"/>
                <w:lang w:eastAsia="en-GB"/>
              </w:rPr>
              <w:t>47,76</w:t>
            </w:r>
          </w:p>
        </w:tc>
      </w:tr>
      <w:tr w:rsidR="00F50A83" w:rsidRPr="00A07F29" w14:paraId="691A7B68" w14:textId="77777777" w:rsidTr="00BD0165">
        <w:trPr>
          <w:jc w:val="center"/>
        </w:trPr>
        <w:tc>
          <w:tcPr>
            <w:tcW w:w="2074" w:type="dxa"/>
            <w:vAlign w:val="center"/>
          </w:tcPr>
          <w:p w14:paraId="0A0EC717" w14:textId="77777777" w:rsidR="00F50A83" w:rsidRPr="00A07F29" w:rsidRDefault="00F50A83" w:rsidP="00944DAC">
            <w:pPr>
              <w:rPr>
                <w:rFonts w:ascii="Times New Roman" w:eastAsia="Times New Roman" w:hAnsi="Times New Roman" w:cs="Times New Roman"/>
                <w:sz w:val="24"/>
                <w:szCs w:val="24"/>
                <w:lang w:eastAsia="en-GB"/>
              </w:rPr>
            </w:pPr>
            <w:r w:rsidRPr="00A07F29">
              <w:rPr>
                <w:rFonts w:ascii="Times New Roman" w:eastAsia="Times New Roman" w:hAnsi="Times New Roman" w:cs="Times New Roman"/>
                <w:sz w:val="24"/>
                <w:szCs w:val="24"/>
                <w:lang w:eastAsia="en-GB"/>
              </w:rPr>
              <w:t>Juridiskai personai piederošais zemes īpašums</w:t>
            </w:r>
          </w:p>
        </w:tc>
        <w:tc>
          <w:tcPr>
            <w:tcW w:w="2074" w:type="dxa"/>
            <w:vAlign w:val="center"/>
          </w:tcPr>
          <w:p w14:paraId="73F8722D" w14:textId="77777777" w:rsidR="00F50A83" w:rsidRPr="00A07F29" w:rsidRDefault="00F50A83" w:rsidP="00944DAC">
            <w:pPr>
              <w:rPr>
                <w:rFonts w:ascii="Times New Roman" w:eastAsia="Times New Roman" w:hAnsi="Times New Roman" w:cs="Times New Roman"/>
                <w:sz w:val="24"/>
                <w:szCs w:val="24"/>
                <w:lang w:eastAsia="en-GB"/>
              </w:rPr>
            </w:pPr>
            <w:r w:rsidRPr="00A07F29">
              <w:rPr>
                <w:rFonts w:ascii="Times New Roman" w:eastAsia="Times New Roman" w:hAnsi="Times New Roman" w:cs="Times New Roman"/>
                <w:sz w:val="24"/>
                <w:szCs w:val="24"/>
                <w:lang w:eastAsia="en-GB"/>
              </w:rPr>
              <w:t>1109</w:t>
            </w:r>
          </w:p>
        </w:tc>
        <w:tc>
          <w:tcPr>
            <w:tcW w:w="2074" w:type="dxa"/>
            <w:vAlign w:val="center"/>
          </w:tcPr>
          <w:p w14:paraId="1D412ABA" w14:textId="2610D1EE" w:rsidR="00F50A83" w:rsidRPr="00A07F29" w:rsidRDefault="00F50A83" w:rsidP="00BD3DF5">
            <w:pPr>
              <w:rPr>
                <w:rFonts w:ascii="Times New Roman" w:eastAsia="Times New Roman" w:hAnsi="Times New Roman" w:cs="Times New Roman"/>
                <w:sz w:val="24"/>
                <w:szCs w:val="24"/>
                <w:lang w:eastAsia="en-GB"/>
              </w:rPr>
            </w:pPr>
            <w:r w:rsidRPr="00A07F29">
              <w:rPr>
                <w:rFonts w:ascii="Times New Roman" w:eastAsia="Times New Roman" w:hAnsi="Times New Roman" w:cs="Times New Roman"/>
                <w:sz w:val="24"/>
                <w:szCs w:val="24"/>
                <w:lang w:eastAsia="en-GB"/>
              </w:rPr>
              <w:t>915</w:t>
            </w:r>
            <w:r w:rsidR="00BD3DF5" w:rsidRPr="00A07F29">
              <w:rPr>
                <w:rFonts w:ascii="Times New Roman" w:eastAsia="Times New Roman" w:hAnsi="Times New Roman" w:cs="Times New Roman"/>
                <w:sz w:val="24"/>
                <w:szCs w:val="24"/>
                <w:lang w:eastAsia="en-GB"/>
              </w:rPr>
              <w:t>6</w:t>
            </w:r>
          </w:p>
        </w:tc>
        <w:tc>
          <w:tcPr>
            <w:tcW w:w="2074" w:type="dxa"/>
            <w:vAlign w:val="center"/>
          </w:tcPr>
          <w:p w14:paraId="6810D724" w14:textId="77777777" w:rsidR="00F50A83" w:rsidRPr="00A07F29" w:rsidRDefault="00F50A83" w:rsidP="00944DAC">
            <w:pPr>
              <w:rPr>
                <w:rFonts w:ascii="Times New Roman" w:eastAsia="Times New Roman" w:hAnsi="Times New Roman" w:cs="Times New Roman"/>
                <w:sz w:val="24"/>
                <w:szCs w:val="24"/>
                <w:lang w:eastAsia="en-GB"/>
              </w:rPr>
            </w:pPr>
            <w:r w:rsidRPr="00A07F29">
              <w:rPr>
                <w:rFonts w:ascii="Times New Roman" w:eastAsia="Times New Roman" w:hAnsi="Times New Roman" w:cs="Times New Roman"/>
                <w:sz w:val="24"/>
                <w:szCs w:val="24"/>
                <w:lang w:eastAsia="en-GB"/>
              </w:rPr>
              <w:t>17,58</w:t>
            </w:r>
          </w:p>
        </w:tc>
      </w:tr>
      <w:tr w:rsidR="00F50A83" w:rsidRPr="00A07F29" w14:paraId="38129ABE" w14:textId="77777777" w:rsidTr="00BD0165">
        <w:trPr>
          <w:jc w:val="center"/>
        </w:trPr>
        <w:tc>
          <w:tcPr>
            <w:tcW w:w="2074" w:type="dxa"/>
            <w:vAlign w:val="center"/>
          </w:tcPr>
          <w:p w14:paraId="37FD443C" w14:textId="77777777" w:rsidR="00F50A83" w:rsidRPr="00A07F29" w:rsidRDefault="00F50A83" w:rsidP="00944DAC">
            <w:pPr>
              <w:rPr>
                <w:rFonts w:ascii="Times New Roman" w:eastAsia="Times New Roman" w:hAnsi="Times New Roman" w:cs="Times New Roman"/>
                <w:sz w:val="24"/>
                <w:szCs w:val="24"/>
                <w:lang w:eastAsia="en-GB"/>
              </w:rPr>
            </w:pPr>
            <w:r w:rsidRPr="00A07F29">
              <w:rPr>
                <w:rFonts w:ascii="Times New Roman" w:eastAsia="Times New Roman" w:hAnsi="Times New Roman" w:cs="Times New Roman"/>
                <w:sz w:val="24"/>
                <w:szCs w:val="24"/>
                <w:lang w:eastAsia="en-GB"/>
              </w:rPr>
              <w:t>Pašvaldībai piederošais zemes īpašums</w:t>
            </w:r>
          </w:p>
        </w:tc>
        <w:tc>
          <w:tcPr>
            <w:tcW w:w="2074" w:type="dxa"/>
            <w:vAlign w:val="center"/>
          </w:tcPr>
          <w:p w14:paraId="0A2F8A84" w14:textId="77777777" w:rsidR="00F50A83" w:rsidRPr="00A07F29" w:rsidRDefault="00F50A83" w:rsidP="00944DAC">
            <w:pPr>
              <w:rPr>
                <w:rFonts w:ascii="Times New Roman" w:eastAsia="Times New Roman" w:hAnsi="Times New Roman" w:cs="Times New Roman"/>
                <w:sz w:val="24"/>
                <w:szCs w:val="24"/>
                <w:lang w:eastAsia="en-GB"/>
              </w:rPr>
            </w:pPr>
            <w:r w:rsidRPr="00A07F29">
              <w:rPr>
                <w:rFonts w:ascii="Times New Roman" w:eastAsia="Times New Roman" w:hAnsi="Times New Roman" w:cs="Times New Roman"/>
                <w:sz w:val="24"/>
                <w:szCs w:val="24"/>
                <w:lang w:eastAsia="en-GB"/>
              </w:rPr>
              <w:t>2428</w:t>
            </w:r>
          </w:p>
        </w:tc>
        <w:tc>
          <w:tcPr>
            <w:tcW w:w="2074" w:type="dxa"/>
            <w:vAlign w:val="center"/>
          </w:tcPr>
          <w:p w14:paraId="5CE19FD3" w14:textId="6B0D4483" w:rsidR="00F50A83" w:rsidRPr="00A07F29" w:rsidRDefault="00F50A83" w:rsidP="00BD3DF5">
            <w:pPr>
              <w:rPr>
                <w:rFonts w:ascii="Times New Roman" w:eastAsia="Times New Roman" w:hAnsi="Times New Roman" w:cs="Times New Roman"/>
                <w:sz w:val="24"/>
                <w:szCs w:val="24"/>
                <w:lang w:eastAsia="en-GB"/>
              </w:rPr>
            </w:pPr>
            <w:r w:rsidRPr="00A07F29">
              <w:rPr>
                <w:rFonts w:ascii="Times New Roman" w:eastAsia="Times New Roman" w:hAnsi="Times New Roman" w:cs="Times New Roman"/>
                <w:sz w:val="24"/>
                <w:szCs w:val="24"/>
                <w:lang w:eastAsia="en-GB"/>
              </w:rPr>
              <w:t>4718</w:t>
            </w:r>
          </w:p>
        </w:tc>
        <w:tc>
          <w:tcPr>
            <w:tcW w:w="2074" w:type="dxa"/>
            <w:vAlign w:val="center"/>
          </w:tcPr>
          <w:p w14:paraId="56BD527E" w14:textId="77777777" w:rsidR="00F50A83" w:rsidRPr="00A07F29" w:rsidRDefault="00F50A83" w:rsidP="00944DAC">
            <w:pPr>
              <w:rPr>
                <w:rFonts w:ascii="Times New Roman" w:eastAsia="Times New Roman" w:hAnsi="Times New Roman" w:cs="Times New Roman"/>
                <w:sz w:val="24"/>
                <w:szCs w:val="24"/>
                <w:lang w:eastAsia="en-GB"/>
              </w:rPr>
            </w:pPr>
            <w:r w:rsidRPr="00A07F29">
              <w:rPr>
                <w:rFonts w:ascii="Times New Roman" w:eastAsia="Times New Roman" w:hAnsi="Times New Roman" w:cs="Times New Roman"/>
                <w:sz w:val="24"/>
                <w:szCs w:val="24"/>
                <w:lang w:eastAsia="en-GB"/>
              </w:rPr>
              <w:t>9,06</w:t>
            </w:r>
          </w:p>
        </w:tc>
      </w:tr>
      <w:tr w:rsidR="00F50A83" w:rsidRPr="00A07F29" w14:paraId="4EFCA6F8" w14:textId="77777777" w:rsidTr="00BD0165">
        <w:trPr>
          <w:jc w:val="center"/>
        </w:trPr>
        <w:tc>
          <w:tcPr>
            <w:tcW w:w="2074" w:type="dxa"/>
            <w:vAlign w:val="center"/>
          </w:tcPr>
          <w:p w14:paraId="3CC7453D" w14:textId="77777777" w:rsidR="00F50A83" w:rsidRPr="00A07F29" w:rsidRDefault="00F50A83" w:rsidP="00944DAC">
            <w:pPr>
              <w:rPr>
                <w:rFonts w:ascii="Times New Roman" w:eastAsia="Times New Roman" w:hAnsi="Times New Roman" w:cs="Times New Roman"/>
                <w:sz w:val="24"/>
                <w:szCs w:val="24"/>
                <w:lang w:eastAsia="en-GB"/>
              </w:rPr>
            </w:pPr>
            <w:r w:rsidRPr="00A07F29">
              <w:rPr>
                <w:rFonts w:ascii="Times New Roman" w:eastAsia="Times New Roman" w:hAnsi="Times New Roman" w:cs="Times New Roman"/>
                <w:sz w:val="24"/>
                <w:szCs w:val="24"/>
                <w:lang w:eastAsia="en-GB"/>
              </w:rPr>
              <w:t>Valstij piederošais zemes īpašums</w:t>
            </w:r>
          </w:p>
        </w:tc>
        <w:tc>
          <w:tcPr>
            <w:tcW w:w="2074" w:type="dxa"/>
            <w:vAlign w:val="center"/>
          </w:tcPr>
          <w:p w14:paraId="43B8034F" w14:textId="77777777" w:rsidR="00F50A83" w:rsidRPr="00A07F29" w:rsidRDefault="00F50A83" w:rsidP="00944DAC">
            <w:pPr>
              <w:rPr>
                <w:rFonts w:ascii="Times New Roman" w:eastAsia="Times New Roman" w:hAnsi="Times New Roman" w:cs="Times New Roman"/>
                <w:sz w:val="24"/>
                <w:szCs w:val="24"/>
                <w:lang w:eastAsia="en-GB"/>
              </w:rPr>
            </w:pPr>
            <w:r w:rsidRPr="00A07F29">
              <w:rPr>
                <w:rFonts w:ascii="Times New Roman" w:eastAsia="Times New Roman" w:hAnsi="Times New Roman" w:cs="Times New Roman"/>
                <w:sz w:val="24"/>
                <w:szCs w:val="24"/>
                <w:lang w:eastAsia="en-GB"/>
              </w:rPr>
              <w:t>222</w:t>
            </w:r>
          </w:p>
        </w:tc>
        <w:tc>
          <w:tcPr>
            <w:tcW w:w="2074" w:type="dxa"/>
            <w:vAlign w:val="center"/>
          </w:tcPr>
          <w:p w14:paraId="0563D8DA" w14:textId="388C3167" w:rsidR="00F50A83" w:rsidRPr="00A07F29" w:rsidRDefault="00F50A83" w:rsidP="00BD3DF5">
            <w:pPr>
              <w:rPr>
                <w:rFonts w:ascii="Times New Roman" w:eastAsia="Times New Roman" w:hAnsi="Times New Roman" w:cs="Times New Roman"/>
                <w:sz w:val="24"/>
                <w:szCs w:val="24"/>
                <w:lang w:eastAsia="en-GB"/>
              </w:rPr>
            </w:pPr>
            <w:r w:rsidRPr="00A07F29">
              <w:rPr>
                <w:rFonts w:ascii="Times New Roman" w:eastAsia="Times New Roman" w:hAnsi="Times New Roman" w:cs="Times New Roman"/>
                <w:sz w:val="24"/>
                <w:szCs w:val="24"/>
                <w:lang w:eastAsia="en-GB"/>
              </w:rPr>
              <w:t>10842</w:t>
            </w:r>
          </w:p>
        </w:tc>
        <w:tc>
          <w:tcPr>
            <w:tcW w:w="2074" w:type="dxa"/>
            <w:vAlign w:val="center"/>
          </w:tcPr>
          <w:p w14:paraId="6282CCEE" w14:textId="77777777" w:rsidR="00F50A83" w:rsidRPr="00A07F29" w:rsidRDefault="00F50A83" w:rsidP="00944DAC">
            <w:pPr>
              <w:rPr>
                <w:rFonts w:ascii="Times New Roman" w:eastAsia="Times New Roman" w:hAnsi="Times New Roman" w:cs="Times New Roman"/>
                <w:sz w:val="24"/>
                <w:szCs w:val="24"/>
                <w:lang w:eastAsia="en-GB"/>
              </w:rPr>
            </w:pPr>
            <w:r w:rsidRPr="00A07F29">
              <w:rPr>
                <w:rFonts w:ascii="Times New Roman" w:eastAsia="Times New Roman" w:hAnsi="Times New Roman" w:cs="Times New Roman"/>
                <w:sz w:val="24"/>
                <w:szCs w:val="24"/>
                <w:lang w:eastAsia="en-GB"/>
              </w:rPr>
              <w:t>20,82</w:t>
            </w:r>
          </w:p>
        </w:tc>
      </w:tr>
      <w:tr w:rsidR="00F50A83" w:rsidRPr="00A07F29" w14:paraId="2FD82AF7" w14:textId="77777777" w:rsidTr="00BD0165">
        <w:trPr>
          <w:jc w:val="center"/>
        </w:trPr>
        <w:tc>
          <w:tcPr>
            <w:tcW w:w="2074" w:type="dxa"/>
            <w:vAlign w:val="center"/>
          </w:tcPr>
          <w:p w14:paraId="4D9E5022" w14:textId="7BA3F45A" w:rsidR="00F50A83" w:rsidRPr="00A07F29" w:rsidRDefault="00F50A83" w:rsidP="00944DAC">
            <w:pPr>
              <w:rPr>
                <w:rFonts w:ascii="Times New Roman" w:eastAsia="Times New Roman" w:hAnsi="Times New Roman" w:cs="Times New Roman"/>
                <w:sz w:val="24"/>
                <w:szCs w:val="24"/>
                <w:lang w:eastAsia="en-GB"/>
              </w:rPr>
            </w:pPr>
            <w:r w:rsidRPr="00A07F29">
              <w:rPr>
                <w:rFonts w:ascii="Times New Roman" w:eastAsia="Times New Roman" w:hAnsi="Times New Roman" w:cs="Times New Roman"/>
                <w:sz w:val="24"/>
                <w:szCs w:val="24"/>
                <w:lang w:eastAsia="en-GB"/>
              </w:rPr>
              <w:t>Pārējās zemes (kopš 2018.</w:t>
            </w:r>
            <w:r w:rsidR="00F939F8" w:rsidRPr="00A07F29">
              <w:rPr>
                <w:rFonts w:ascii="Times New Roman" w:eastAsia="Times New Roman" w:hAnsi="Times New Roman" w:cs="Times New Roman"/>
                <w:sz w:val="24"/>
                <w:szCs w:val="24"/>
                <w:lang w:eastAsia="en-GB"/>
              </w:rPr>
              <w:t> </w:t>
            </w:r>
            <w:r w:rsidRPr="00A07F29">
              <w:rPr>
                <w:rFonts w:ascii="Times New Roman" w:eastAsia="Times New Roman" w:hAnsi="Times New Roman" w:cs="Times New Roman"/>
                <w:sz w:val="24"/>
                <w:szCs w:val="24"/>
                <w:lang w:eastAsia="en-GB"/>
              </w:rPr>
              <w:t>gada – pašvaldībai piekritīgās)</w:t>
            </w:r>
          </w:p>
        </w:tc>
        <w:tc>
          <w:tcPr>
            <w:tcW w:w="2074" w:type="dxa"/>
            <w:vAlign w:val="center"/>
          </w:tcPr>
          <w:p w14:paraId="4D751299" w14:textId="77777777" w:rsidR="00F50A83" w:rsidRPr="00A07F29" w:rsidRDefault="00F50A83" w:rsidP="00944DAC">
            <w:pPr>
              <w:rPr>
                <w:rFonts w:ascii="Times New Roman" w:eastAsia="Times New Roman" w:hAnsi="Times New Roman" w:cs="Times New Roman"/>
                <w:sz w:val="24"/>
                <w:szCs w:val="24"/>
                <w:lang w:eastAsia="en-GB"/>
              </w:rPr>
            </w:pPr>
            <w:r w:rsidRPr="00A07F29">
              <w:rPr>
                <w:rFonts w:ascii="Times New Roman" w:eastAsia="Times New Roman" w:hAnsi="Times New Roman" w:cs="Times New Roman"/>
                <w:sz w:val="24"/>
                <w:szCs w:val="24"/>
                <w:lang w:eastAsia="en-GB"/>
              </w:rPr>
              <w:t>-</w:t>
            </w:r>
          </w:p>
        </w:tc>
        <w:tc>
          <w:tcPr>
            <w:tcW w:w="2074" w:type="dxa"/>
            <w:vAlign w:val="center"/>
          </w:tcPr>
          <w:p w14:paraId="1F576727" w14:textId="3C6CA6AA" w:rsidR="00F50A83" w:rsidRPr="00A07F29" w:rsidRDefault="00F50A83" w:rsidP="00BD3DF5">
            <w:pPr>
              <w:rPr>
                <w:rFonts w:ascii="Times New Roman" w:eastAsia="Times New Roman" w:hAnsi="Times New Roman" w:cs="Times New Roman"/>
                <w:sz w:val="24"/>
                <w:szCs w:val="24"/>
                <w:lang w:eastAsia="en-GB"/>
              </w:rPr>
            </w:pPr>
            <w:r w:rsidRPr="00A07F29">
              <w:rPr>
                <w:rFonts w:ascii="Times New Roman" w:eastAsia="Times New Roman" w:hAnsi="Times New Roman" w:cs="Times New Roman"/>
                <w:sz w:val="24"/>
                <w:szCs w:val="24"/>
                <w:lang w:eastAsia="en-GB"/>
              </w:rPr>
              <w:t>2490</w:t>
            </w:r>
          </w:p>
        </w:tc>
        <w:tc>
          <w:tcPr>
            <w:tcW w:w="2074" w:type="dxa"/>
            <w:vAlign w:val="center"/>
          </w:tcPr>
          <w:p w14:paraId="771D0866" w14:textId="77777777" w:rsidR="00F50A83" w:rsidRPr="00A07F29" w:rsidRDefault="00F50A83" w:rsidP="00944DAC">
            <w:pPr>
              <w:rPr>
                <w:rFonts w:ascii="Times New Roman" w:eastAsia="Times New Roman" w:hAnsi="Times New Roman" w:cs="Times New Roman"/>
                <w:sz w:val="24"/>
                <w:szCs w:val="24"/>
                <w:lang w:eastAsia="en-GB"/>
              </w:rPr>
            </w:pPr>
            <w:r w:rsidRPr="00A07F29">
              <w:rPr>
                <w:rFonts w:ascii="Times New Roman" w:eastAsia="Times New Roman" w:hAnsi="Times New Roman" w:cs="Times New Roman"/>
                <w:sz w:val="24"/>
                <w:szCs w:val="24"/>
                <w:lang w:eastAsia="en-GB"/>
              </w:rPr>
              <w:t>4,78</w:t>
            </w:r>
          </w:p>
        </w:tc>
      </w:tr>
      <w:tr w:rsidR="00F50A83" w:rsidRPr="00A07F29" w14:paraId="6E9CEA55" w14:textId="77777777" w:rsidTr="00BD0165">
        <w:trPr>
          <w:jc w:val="center"/>
        </w:trPr>
        <w:tc>
          <w:tcPr>
            <w:tcW w:w="2074" w:type="dxa"/>
            <w:vAlign w:val="center"/>
          </w:tcPr>
          <w:p w14:paraId="12F50D97" w14:textId="084C8D31" w:rsidR="00F50A83" w:rsidRPr="00A07F29" w:rsidRDefault="00292FFB" w:rsidP="00944DAC">
            <w:pPr>
              <w:rPr>
                <w:rFonts w:ascii="Times New Roman" w:eastAsia="Times New Roman" w:hAnsi="Times New Roman" w:cs="Times New Roman"/>
                <w:sz w:val="24"/>
                <w:szCs w:val="24"/>
                <w:lang w:eastAsia="en-GB"/>
              </w:rPr>
            </w:pPr>
            <w:r w:rsidRPr="00A07F29">
              <w:rPr>
                <w:rFonts w:ascii="Times New Roman" w:eastAsia="Times New Roman" w:hAnsi="Times New Roman" w:cs="Times New Roman"/>
                <w:sz w:val="24"/>
                <w:szCs w:val="24"/>
                <w:lang w:eastAsia="en-GB"/>
              </w:rPr>
              <w:t>KOPĀ</w:t>
            </w:r>
          </w:p>
        </w:tc>
        <w:tc>
          <w:tcPr>
            <w:tcW w:w="2074" w:type="dxa"/>
            <w:vAlign w:val="center"/>
          </w:tcPr>
          <w:p w14:paraId="5E1714BF" w14:textId="77777777" w:rsidR="00F50A83" w:rsidRPr="00A07F29" w:rsidRDefault="00F50A83" w:rsidP="00944DAC">
            <w:pPr>
              <w:rPr>
                <w:rFonts w:ascii="Times New Roman" w:eastAsia="Times New Roman" w:hAnsi="Times New Roman" w:cs="Times New Roman"/>
                <w:sz w:val="24"/>
                <w:szCs w:val="24"/>
                <w:lang w:eastAsia="en-GB"/>
              </w:rPr>
            </w:pPr>
          </w:p>
        </w:tc>
        <w:tc>
          <w:tcPr>
            <w:tcW w:w="2074" w:type="dxa"/>
            <w:vAlign w:val="center"/>
          </w:tcPr>
          <w:p w14:paraId="3683DAC0" w14:textId="2C8B5D65" w:rsidR="00F50A83" w:rsidRPr="00A07F29" w:rsidRDefault="00F50A83" w:rsidP="00944DAC">
            <w:pPr>
              <w:rPr>
                <w:rFonts w:ascii="Times New Roman" w:eastAsia="Times New Roman" w:hAnsi="Times New Roman" w:cs="Times New Roman"/>
                <w:sz w:val="24"/>
                <w:szCs w:val="24"/>
                <w:lang w:eastAsia="en-GB"/>
              </w:rPr>
            </w:pPr>
            <w:r w:rsidRPr="00A07F29">
              <w:rPr>
                <w:rFonts w:ascii="Times New Roman" w:eastAsia="Times New Roman" w:hAnsi="Times New Roman" w:cs="Times New Roman"/>
                <w:sz w:val="24"/>
                <w:szCs w:val="24"/>
                <w:lang w:eastAsia="en-GB"/>
              </w:rPr>
              <w:t>5207</w:t>
            </w:r>
            <w:r w:rsidR="00BD3DF5" w:rsidRPr="00A07F29">
              <w:rPr>
                <w:rFonts w:ascii="Times New Roman" w:eastAsia="Times New Roman" w:hAnsi="Times New Roman" w:cs="Times New Roman"/>
                <w:sz w:val="24"/>
                <w:szCs w:val="24"/>
                <w:lang w:eastAsia="en-GB"/>
              </w:rPr>
              <w:t>8</w:t>
            </w:r>
          </w:p>
        </w:tc>
        <w:tc>
          <w:tcPr>
            <w:tcW w:w="2074" w:type="dxa"/>
            <w:vAlign w:val="center"/>
          </w:tcPr>
          <w:p w14:paraId="7B6BB8C9" w14:textId="77777777" w:rsidR="00F50A83" w:rsidRPr="00A07F29" w:rsidRDefault="00F50A83" w:rsidP="00944DAC">
            <w:pPr>
              <w:rPr>
                <w:rFonts w:ascii="Times New Roman" w:eastAsia="Times New Roman" w:hAnsi="Times New Roman" w:cs="Times New Roman"/>
                <w:sz w:val="24"/>
                <w:szCs w:val="24"/>
                <w:lang w:eastAsia="en-GB"/>
              </w:rPr>
            </w:pPr>
            <w:r w:rsidRPr="00A07F29">
              <w:rPr>
                <w:rFonts w:ascii="Times New Roman" w:eastAsia="Times New Roman" w:hAnsi="Times New Roman" w:cs="Times New Roman"/>
                <w:sz w:val="24"/>
                <w:szCs w:val="24"/>
                <w:lang w:eastAsia="en-GB"/>
              </w:rPr>
              <w:t>100,00</w:t>
            </w:r>
          </w:p>
        </w:tc>
      </w:tr>
    </w:tbl>
    <w:p w14:paraId="393AC903" w14:textId="1F3E51EE" w:rsidR="00F50A83" w:rsidRPr="00A07F29" w:rsidRDefault="00F50A83" w:rsidP="00F50A83">
      <w:pPr>
        <w:spacing w:after="120"/>
        <w:ind w:firstLine="851"/>
        <w:jc w:val="both"/>
        <w:rPr>
          <w:rFonts w:ascii="Times New Roman" w:eastAsia="Calibri" w:hAnsi="Times New Roman" w:cs="Calibri"/>
          <w:sz w:val="24"/>
        </w:rPr>
      </w:pPr>
    </w:p>
    <w:p w14:paraId="1232094A" w14:textId="2383FC08" w:rsidR="00AF4C40" w:rsidRPr="00A07F29" w:rsidRDefault="00AF4C40" w:rsidP="00AD47BD">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Saskaņā ar </w:t>
      </w:r>
      <w:r w:rsidR="00D96FF2" w:rsidRPr="00A07F29">
        <w:rPr>
          <w:rFonts w:ascii="Times New Roman" w:eastAsia="Calibri" w:hAnsi="Times New Roman" w:cs="Calibri"/>
          <w:sz w:val="24"/>
        </w:rPr>
        <w:t>LR</w:t>
      </w:r>
      <w:r w:rsidR="00292FFB" w:rsidRPr="00A07F29">
        <w:rPr>
          <w:rFonts w:ascii="Times New Roman" w:eastAsia="Calibri" w:hAnsi="Times New Roman" w:cs="Calibri"/>
          <w:sz w:val="24"/>
        </w:rPr>
        <w:t xml:space="preserve"> </w:t>
      </w:r>
      <w:r w:rsidRPr="00A07F29">
        <w:rPr>
          <w:rFonts w:ascii="Times New Roman" w:eastAsia="Calibri" w:hAnsi="Times New Roman" w:cs="Calibri"/>
          <w:sz w:val="24"/>
        </w:rPr>
        <w:t>Civillikumu tā I pielikumā iekļautie publiskie ūdeņi – Daugavas upe – pieder valstij, bet saskaņā ar Zemes pārvaldības likuma 15.</w:t>
      </w:r>
      <w:r w:rsidR="008A4076" w:rsidRPr="00A07F29">
        <w:rPr>
          <w:rFonts w:ascii="Times New Roman" w:eastAsia="Calibri" w:hAnsi="Times New Roman" w:cs="Calibri"/>
          <w:sz w:val="24"/>
        </w:rPr>
        <w:t> </w:t>
      </w:r>
      <w:r w:rsidRPr="00A07F29">
        <w:rPr>
          <w:rFonts w:ascii="Times New Roman" w:eastAsia="Calibri" w:hAnsi="Times New Roman" w:cs="Calibri"/>
          <w:sz w:val="24"/>
        </w:rPr>
        <w:t>panta 2.</w:t>
      </w:r>
      <w:r w:rsidR="008A4076" w:rsidRPr="00A07F29">
        <w:rPr>
          <w:rFonts w:ascii="Times New Roman" w:eastAsia="Calibri" w:hAnsi="Times New Roman" w:cs="Calibri"/>
          <w:sz w:val="24"/>
        </w:rPr>
        <w:t> </w:t>
      </w:r>
      <w:r w:rsidRPr="00A07F29">
        <w:rPr>
          <w:rFonts w:ascii="Times New Roman" w:eastAsia="Calibri" w:hAnsi="Times New Roman" w:cs="Calibri"/>
          <w:sz w:val="24"/>
        </w:rPr>
        <w:t xml:space="preserve">daļu tie atrodas pašvaldības valdījumā. Saskaņā ar </w:t>
      </w:r>
      <w:r w:rsidR="00A91415" w:rsidRPr="00A07F29">
        <w:rPr>
          <w:rFonts w:ascii="Times New Roman" w:eastAsia="Calibri" w:hAnsi="Times New Roman" w:cs="Calibri"/>
          <w:sz w:val="24"/>
        </w:rPr>
        <w:t>LR</w:t>
      </w:r>
      <w:r w:rsidR="00292FFB" w:rsidRPr="00A07F29">
        <w:rPr>
          <w:rFonts w:ascii="Times New Roman" w:eastAsia="Calibri" w:hAnsi="Times New Roman" w:cs="Calibri"/>
          <w:sz w:val="24"/>
        </w:rPr>
        <w:t xml:space="preserve"> </w:t>
      </w:r>
      <w:r w:rsidRPr="00A07F29">
        <w:rPr>
          <w:rFonts w:ascii="Times New Roman" w:eastAsia="Calibri" w:hAnsi="Times New Roman" w:cs="Calibri"/>
          <w:sz w:val="24"/>
        </w:rPr>
        <w:t xml:space="preserve">Civillikuma II pielikumu </w:t>
      </w:r>
      <w:proofErr w:type="spellStart"/>
      <w:r w:rsidRPr="00A07F29">
        <w:rPr>
          <w:rFonts w:ascii="Times New Roman" w:eastAsia="Calibri" w:hAnsi="Times New Roman" w:cs="Calibri"/>
          <w:sz w:val="24"/>
        </w:rPr>
        <w:t>Varnaviču</w:t>
      </w:r>
      <w:proofErr w:type="spellEnd"/>
      <w:r w:rsidRPr="00A07F29">
        <w:rPr>
          <w:rFonts w:ascii="Times New Roman" w:eastAsia="Calibri" w:hAnsi="Times New Roman" w:cs="Calibri"/>
          <w:sz w:val="24"/>
        </w:rPr>
        <w:t>, Vilnīšu (</w:t>
      </w:r>
      <w:proofErr w:type="spellStart"/>
      <w:r w:rsidRPr="00A07F29">
        <w:rPr>
          <w:rFonts w:ascii="Times New Roman" w:eastAsia="Calibri" w:hAnsi="Times New Roman" w:cs="Calibri"/>
          <w:sz w:val="24"/>
        </w:rPr>
        <w:t>Krivojes</w:t>
      </w:r>
      <w:proofErr w:type="spellEnd"/>
      <w:r w:rsidRPr="00A07F29">
        <w:rPr>
          <w:rFonts w:ascii="Times New Roman" w:eastAsia="Calibri" w:hAnsi="Times New Roman" w:cs="Calibri"/>
          <w:sz w:val="24"/>
        </w:rPr>
        <w:t xml:space="preserve">) un </w:t>
      </w:r>
      <w:proofErr w:type="spellStart"/>
      <w:r w:rsidRPr="00A07F29">
        <w:rPr>
          <w:rFonts w:ascii="Times New Roman" w:eastAsia="Calibri" w:hAnsi="Times New Roman" w:cs="Calibri"/>
          <w:sz w:val="24"/>
        </w:rPr>
        <w:t>Šilovkas</w:t>
      </w:r>
      <w:proofErr w:type="spellEnd"/>
      <w:r w:rsidRPr="00A07F29">
        <w:rPr>
          <w:rFonts w:ascii="Times New Roman" w:eastAsia="Calibri" w:hAnsi="Times New Roman" w:cs="Calibri"/>
          <w:sz w:val="24"/>
        </w:rPr>
        <w:t xml:space="preserve"> ezeros zvejas tiesības pieder valstij.</w:t>
      </w:r>
    </w:p>
    <w:p w14:paraId="249B1129" w14:textId="7F5EC0FB" w:rsidR="00AF4C40" w:rsidRPr="00A07F29" w:rsidRDefault="00AF4C40" w:rsidP="00AD47BD">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Saskaņā ar </w:t>
      </w:r>
      <w:r w:rsidR="00A91415" w:rsidRPr="00A07F29">
        <w:rPr>
          <w:rFonts w:ascii="Times New Roman" w:eastAsia="Calibri" w:hAnsi="Times New Roman" w:cs="Calibri"/>
          <w:sz w:val="24"/>
        </w:rPr>
        <w:t>LĢIA</w:t>
      </w:r>
      <w:r w:rsidRPr="00A07F29">
        <w:rPr>
          <w:rFonts w:ascii="Times New Roman" w:eastAsia="Calibri" w:hAnsi="Times New Roman" w:cs="Calibri"/>
          <w:sz w:val="24"/>
        </w:rPr>
        <w:t xml:space="preserve"> datiem meži aizņem 26712,17</w:t>
      </w:r>
      <w:r w:rsidR="00F27696" w:rsidRPr="00A07F29">
        <w:rPr>
          <w:rFonts w:ascii="Times New Roman" w:eastAsia="Calibri" w:hAnsi="Times New Roman" w:cs="Calibri"/>
          <w:sz w:val="24"/>
        </w:rPr>
        <w:t> </w:t>
      </w:r>
      <w:r w:rsidRPr="00A07F29">
        <w:rPr>
          <w:rFonts w:ascii="Times New Roman" w:eastAsia="Calibri" w:hAnsi="Times New Roman" w:cs="Calibri"/>
          <w:sz w:val="24"/>
        </w:rPr>
        <w:t>ha jeb 51,29</w:t>
      </w:r>
      <w:r w:rsidR="00F27696" w:rsidRPr="00A07F29">
        <w:rPr>
          <w:rFonts w:ascii="Times New Roman" w:eastAsia="Calibri" w:hAnsi="Times New Roman" w:cs="Calibri"/>
          <w:sz w:val="24"/>
        </w:rPr>
        <w:t> </w:t>
      </w:r>
      <w:r w:rsidRPr="00A07F29">
        <w:rPr>
          <w:rFonts w:ascii="Times New Roman" w:eastAsia="Calibri" w:hAnsi="Times New Roman" w:cs="Calibri"/>
          <w:sz w:val="24"/>
        </w:rPr>
        <w:t xml:space="preserve">% no kopējās AAA </w:t>
      </w:r>
      <w:r w:rsidR="00292FFB" w:rsidRPr="00A07F29">
        <w:rPr>
          <w:rFonts w:ascii="Times New Roman" w:eastAsia="Calibri" w:hAnsi="Times New Roman" w:cs="Calibri"/>
          <w:sz w:val="24"/>
        </w:rPr>
        <w:t xml:space="preserve">“Augšdaugava” </w:t>
      </w:r>
      <w:r w:rsidRPr="00A07F29">
        <w:rPr>
          <w:rFonts w:ascii="Times New Roman" w:eastAsia="Calibri" w:hAnsi="Times New Roman" w:cs="Calibri"/>
          <w:sz w:val="24"/>
        </w:rPr>
        <w:t xml:space="preserve">teritorijas. Lauksaimniecībā izmantojamā zeme </w:t>
      </w:r>
      <w:r w:rsidR="0084379D" w:rsidRPr="00A07F29">
        <w:rPr>
          <w:rFonts w:ascii="Times New Roman" w:eastAsia="Calibri" w:hAnsi="Times New Roman" w:cs="Calibri"/>
          <w:sz w:val="24"/>
        </w:rPr>
        <w:t>–</w:t>
      </w:r>
      <w:r w:rsidRPr="00A07F29">
        <w:rPr>
          <w:rFonts w:ascii="Times New Roman" w:eastAsia="Calibri" w:hAnsi="Times New Roman" w:cs="Calibri"/>
          <w:sz w:val="24"/>
        </w:rPr>
        <w:t xml:space="preserve"> 21383,36</w:t>
      </w:r>
      <w:r w:rsidR="0084379D" w:rsidRPr="00A07F29">
        <w:rPr>
          <w:rFonts w:ascii="Times New Roman" w:eastAsia="Calibri" w:hAnsi="Times New Roman" w:cs="Calibri"/>
          <w:sz w:val="24"/>
        </w:rPr>
        <w:t> </w:t>
      </w:r>
      <w:r w:rsidRPr="00A07F29">
        <w:rPr>
          <w:rFonts w:ascii="Times New Roman" w:eastAsia="Calibri" w:hAnsi="Times New Roman" w:cs="Calibri"/>
          <w:sz w:val="24"/>
        </w:rPr>
        <w:t>ha jeb 41,06</w:t>
      </w:r>
      <w:r w:rsidR="0084379D" w:rsidRPr="00A07F29">
        <w:rPr>
          <w:rFonts w:ascii="Times New Roman" w:eastAsia="Calibri" w:hAnsi="Times New Roman" w:cs="Calibri"/>
          <w:sz w:val="24"/>
        </w:rPr>
        <w:t> </w:t>
      </w:r>
      <w:r w:rsidRPr="00A07F29">
        <w:rPr>
          <w:rFonts w:ascii="Times New Roman" w:eastAsia="Calibri" w:hAnsi="Times New Roman" w:cs="Calibri"/>
          <w:sz w:val="24"/>
        </w:rPr>
        <w:t>% no kopējās teritorijas. Ūdenstilpes un ūdensteces aizņem 2265,98</w:t>
      </w:r>
      <w:r w:rsidR="0010752E" w:rsidRPr="00A07F29">
        <w:rPr>
          <w:rFonts w:ascii="Times New Roman" w:eastAsia="Calibri" w:hAnsi="Times New Roman" w:cs="Calibri"/>
          <w:sz w:val="24"/>
        </w:rPr>
        <w:t> </w:t>
      </w:r>
      <w:r w:rsidRPr="00A07F29">
        <w:rPr>
          <w:rFonts w:ascii="Times New Roman" w:eastAsia="Calibri" w:hAnsi="Times New Roman" w:cs="Calibri"/>
          <w:sz w:val="24"/>
        </w:rPr>
        <w:t>ha jeb 4,35</w:t>
      </w:r>
      <w:r w:rsidR="0010752E" w:rsidRPr="00A07F29">
        <w:rPr>
          <w:rFonts w:ascii="Times New Roman" w:eastAsia="Calibri" w:hAnsi="Times New Roman" w:cs="Calibri"/>
          <w:sz w:val="24"/>
        </w:rPr>
        <w:t> </w:t>
      </w:r>
      <w:r w:rsidRPr="00A07F29">
        <w:rPr>
          <w:rFonts w:ascii="Times New Roman" w:eastAsia="Calibri" w:hAnsi="Times New Roman" w:cs="Calibri"/>
          <w:sz w:val="24"/>
        </w:rPr>
        <w:t>% no AAA</w:t>
      </w:r>
      <w:r w:rsidR="00292FFB" w:rsidRPr="00A07F29">
        <w:rPr>
          <w:rFonts w:ascii="Times New Roman" w:eastAsia="Calibri" w:hAnsi="Times New Roman" w:cs="Calibri"/>
          <w:sz w:val="24"/>
        </w:rPr>
        <w:t xml:space="preserve"> </w:t>
      </w:r>
      <w:r w:rsidR="00292FFB" w:rsidRPr="00A07F29">
        <w:rPr>
          <w:rFonts w:ascii="Times New Roman" w:eastAsia="Calibri" w:hAnsi="Times New Roman" w:cs="Calibri"/>
          <w:sz w:val="24"/>
        </w:rPr>
        <w:lastRenderedPageBreak/>
        <w:t>“Augšdaugava”</w:t>
      </w:r>
      <w:r w:rsidRPr="00A07F29">
        <w:rPr>
          <w:rFonts w:ascii="Times New Roman" w:eastAsia="Calibri" w:hAnsi="Times New Roman" w:cs="Calibri"/>
          <w:sz w:val="24"/>
        </w:rPr>
        <w:t xml:space="preserve"> teritorijas. Purvi aizņem 478,87</w:t>
      </w:r>
      <w:r w:rsidR="0010752E" w:rsidRPr="00A07F29">
        <w:rPr>
          <w:rFonts w:ascii="Times New Roman" w:eastAsia="Calibri" w:hAnsi="Times New Roman" w:cs="Calibri"/>
          <w:sz w:val="24"/>
        </w:rPr>
        <w:t> </w:t>
      </w:r>
      <w:r w:rsidRPr="00A07F29">
        <w:rPr>
          <w:rFonts w:ascii="Times New Roman" w:eastAsia="Calibri" w:hAnsi="Times New Roman" w:cs="Calibri"/>
          <w:sz w:val="24"/>
        </w:rPr>
        <w:t>ha jeb 0,92</w:t>
      </w:r>
      <w:r w:rsidR="0010752E" w:rsidRPr="00A07F29">
        <w:rPr>
          <w:rFonts w:ascii="Times New Roman" w:eastAsia="Calibri" w:hAnsi="Times New Roman" w:cs="Calibri"/>
          <w:sz w:val="24"/>
        </w:rPr>
        <w:t> </w:t>
      </w:r>
      <w:r w:rsidRPr="00A07F29">
        <w:rPr>
          <w:rFonts w:ascii="Times New Roman" w:eastAsia="Calibri" w:hAnsi="Times New Roman" w:cs="Calibri"/>
          <w:sz w:val="24"/>
        </w:rPr>
        <w:t>% (</w:t>
      </w:r>
      <w:r w:rsidR="00BE45B4" w:rsidRPr="00A07F29">
        <w:rPr>
          <w:rFonts w:ascii="Times New Roman" w:eastAsia="Calibri" w:hAnsi="Times New Roman" w:cs="Calibri"/>
          <w:sz w:val="24"/>
        </w:rPr>
        <w:t xml:space="preserve">skat. </w:t>
      </w:r>
      <w:r w:rsidRPr="00A07F29">
        <w:rPr>
          <w:rFonts w:ascii="Times New Roman" w:eastAsia="Calibri" w:hAnsi="Times New Roman" w:cs="Calibri"/>
          <w:sz w:val="24"/>
        </w:rPr>
        <w:t>1.</w:t>
      </w:r>
      <w:r w:rsidR="00C14170" w:rsidRPr="00A07F29">
        <w:rPr>
          <w:rFonts w:ascii="Times New Roman" w:eastAsia="Calibri" w:hAnsi="Times New Roman" w:cs="Calibri"/>
          <w:sz w:val="24"/>
        </w:rPr>
        <w:t>1.</w:t>
      </w:r>
      <w:r w:rsidRPr="00A07F29">
        <w:rPr>
          <w:rFonts w:ascii="Times New Roman" w:eastAsia="Calibri" w:hAnsi="Times New Roman" w:cs="Calibri"/>
          <w:sz w:val="24"/>
        </w:rPr>
        <w:t>2.</w:t>
      </w:r>
      <w:r w:rsidR="0010752E" w:rsidRPr="00A07F29">
        <w:rPr>
          <w:rFonts w:ascii="Times New Roman" w:eastAsia="Calibri" w:hAnsi="Times New Roman" w:cs="Calibri"/>
          <w:sz w:val="24"/>
        </w:rPr>
        <w:t> </w:t>
      </w:r>
      <w:r w:rsidRPr="00A07F29">
        <w:rPr>
          <w:rFonts w:ascii="Times New Roman" w:eastAsia="Calibri" w:hAnsi="Times New Roman" w:cs="Calibri"/>
          <w:sz w:val="24"/>
        </w:rPr>
        <w:t>tabula, 1.</w:t>
      </w:r>
      <w:r w:rsidR="00292FFB" w:rsidRPr="00A07F29">
        <w:rPr>
          <w:rFonts w:ascii="Times New Roman" w:eastAsia="Calibri" w:hAnsi="Times New Roman" w:cs="Calibri"/>
          <w:sz w:val="24"/>
        </w:rPr>
        <w:t>2.</w:t>
      </w:r>
      <w:r w:rsidR="0010752E" w:rsidRPr="00A07F29">
        <w:rPr>
          <w:rFonts w:ascii="Times New Roman" w:eastAsia="Calibri" w:hAnsi="Times New Roman" w:cs="Calibri"/>
          <w:sz w:val="24"/>
        </w:rPr>
        <w:t> </w:t>
      </w:r>
      <w:r w:rsidR="00292FFB" w:rsidRPr="00A07F29">
        <w:rPr>
          <w:rFonts w:ascii="Times New Roman" w:eastAsia="Calibri" w:hAnsi="Times New Roman" w:cs="Calibri"/>
          <w:sz w:val="24"/>
        </w:rPr>
        <w:t>pielikums</w:t>
      </w:r>
      <w:r w:rsidRPr="00A07F29">
        <w:rPr>
          <w:rFonts w:ascii="Times New Roman" w:eastAsia="Calibri" w:hAnsi="Times New Roman" w:cs="Calibri"/>
          <w:sz w:val="24"/>
        </w:rPr>
        <w:t>).</w:t>
      </w:r>
    </w:p>
    <w:p w14:paraId="141E89B3" w14:textId="77777777" w:rsidR="009E4FC1" w:rsidRPr="00A07F29" w:rsidRDefault="00AF4C40" w:rsidP="00F87589">
      <w:pPr>
        <w:pStyle w:val="ListParagraph"/>
        <w:numPr>
          <w:ilvl w:val="2"/>
          <w:numId w:val="24"/>
        </w:numPr>
        <w:spacing w:before="240" w:after="0" w:line="240" w:lineRule="auto"/>
        <w:ind w:left="0" w:firstLine="0"/>
        <w:contextualSpacing w:val="0"/>
        <w:jc w:val="center"/>
        <w:rPr>
          <w:szCs w:val="24"/>
        </w:rPr>
      </w:pPr>
      <w:r w:rsidRPr="00A07F29">
        <w:rPr>
          <w:szCs w:val="24"/>
        </w:rPr>
        <w:t>tabula. Zemes lietojuma veidi AAA “Augšdaugava”</w:t>
      </w:r>
    </w:p>
    <w:p w14:paraId="6BEE0AFD" w14:textId="298D19BA" w:rsidR="00AF4C40" w:rsidRPr="00A07F29" w:rsidRDefault="00AB1B4D" w:rsidP="009E4FC1">
      <w:pPr>
        <w:pStyle w:val="ListParagraph"/>
        <w:spacing w:before="120" w:line="240" w:lineRule="auto"/>
        <w:ind w:left="0" w:firstLine="0"/>
        <w:jc w:val="center"/>
        <w:rPr>
          <w:szCs w:val="24"/>
        </w:rPr>
      </w:pPr>
      <w:r w:rsidRPr="00A07F29">
        <w:rPr>
          <w:szCs w:val="24"/>
        </w:rPr>
        <w:t>(</w:t>
      </w:r>
      <w:r w:rsidRPr="00A07F29">
        <w:rPr>
          <w:sz w:val="22"/>
        </w:rPr>
        <w:t>Dati: LĢIA topogrāfiskā karte, 2017.</w:t>
      </w:r>
      <w:r w:rsidR="000530A8" w:rsidRPr="00A07F29">
        <w:rPr>
          <w:sz w:val="22"/>
        </w:rPr>
        <w:t> </w:t>
      </w:r>
      <w:r w:rsidRPr="00A07F29">
        <w:rPr>
          <w:sz w:val="22"/>
        </w:rPr>
        <w:t>gads. Z</w:t>
      </w:r>
      <w:r w:rsidRPr="00A07F29">
        <w:rPr>
          <w:spacing w:val="-1"/>
          <w:sz w:val="22"/>
        </w:rPr>
        <w:t xml:space="preserve">emes lietošanas klasifikācija atbilstoši MK </w:t>
      </w:r>
      <w:r w:rsidR="00D10732" w:rsidRPr="00A07F29">
        <w:rPr>
          <w:spacing w:val="-1"/>
          <w:sz w:val="22"/>
        </w:rPr>
        <w:t xml:space="preserve">2007. gada 21. augusta noteikumi </w:t>
      </w:r>
      <w:r w:rsidRPr="00A07F29">
        <w:rPr>
          <w:spacing w:val="-1"/>
          <w:sz w:val="22"/>
        </w:rPr>
        <w:t>Nr.</w:t>
      </w:r>
      <w:r w:rsidR="00E21634" w:rsidRPr="00A07F29">
        <w:rPr>
          <w:spacing w:val="-1"/>
          <w:sz w:val="22"/>
        </w:rPr>
        <w:t> </w:t>
      </w:r>
      <w:r w:rsidRPr="00A07F29">
        <w:rPr>
          <w:spacing w:val="-1"/>
          <w:sz w:val="22"/>
        </w:rPr>
        <w:t>562 “Noteikumi par zemes lietošanas veidu klasifikācijas kārtību un to noteikšanas kritērijiem”)</w:t>
      </w:r>
    </w:p>
    <w:tbl>
      <w:tblPr>
        <w:tblStyle w:val="Reatabula11"/>
        <w:tblpPr w:leftFromText="180" w:rightFromText="180" w:vertAnchor="text" w:horzAnchor="margin" w:tblpXSpec="center" w:tblpY="71"/>
        <w:tblW w:w="8295" w:type="dxa"/>
        <w:jc w:val="center"/>
        <w:tblLook w:val="04A0" w:firstRow="1" w:lastRow="0" w:firstColumn="1" w:lastColumn="0" w:noHBand="0" w:noVBand="1"/>
      </w:tblPr>
      <w:tblGrid>
        <w:gridCol w:w="2765"/>
        <w:gridCol w:w="2765"/>
        <w:gridCol w:w="2765"/>
      </w:tblGrid>
      <w:tr w:rsidR="00686250" w:rsidRPr="00A07F29" w14:paraId="7623AC38" w14:textId="77777777" w:rsidTr="009E4FC1">
        <w:trPr>
          <w:jc w:val="center"/>
        </w:trPr>
        <w:tc>
          <w:tcPr>
            <w:tcW w:w="2765" w:type="dxa"/>
            <w:vAlign w:val="center"/>
          </w:tcPr>
          <w:p w14:paraId="54179A1B" w14:textId="77777777" w:rsidR="00686250" w:rsidRPr="00A07F29" w:rsidRDefault="00686250" w:rsidP="009E4FC1">
            <w:pPr>
              <w:rPr>
                <w:rFonts w:ascii="Times New Roman" w:eastAsia="Times New Roman" w:hAnsi="Times New Roman" w:cs="Times New Roman"/>
                <w:sz w:val="24"/>
                <w:szCs w:val="24"/>
                <w:lang w:eastAsia="en-GB"/>
              </w:rPr>
            </w:pPr>
          </w:p>
        </w:tc>
        <w:tc>
          <w:tcPr>
            <w:tcW w:w="2765" w:type="dxa"/>
            <w:vAlign w:val="center"/>
          </w:tcPr>
          <w:p w14:paraId="287FD387" w14:textId="77777777" w:rsidR="00686250" w:rsidRPr="00A07F29" w:rsidRDefault="00686250" w:rsidP="009E4FC1">
            <w:pPr>
              <w:rPr>
                <w:rFonts w:ascii="Times New Roman" w:eastAsia="Times New Roman" w:hAnsi="Times New Roman" w:cs="Times New Roman"/>
                <w:sz w:val="24"/>
                <w:szCs w:val="24"/>
                <w:lang w:eastAsia="en-GB"/>
              </w:rPr>
            </w:pPr>
            <w:r w:rsidRPr="00A07F29">
              <w:rPr>
                <w:rFonts w:ascii="Times New Roman" w:eastAsia="Times New Roman" w:hAnsi="Times New Roman" w:cs="Times New Roman"/>
                <w:sz w:val="24"/>
                <w:szCs w:val="24"/>
                <w:lang w:eastAsia="en-GB"/>
              </w:rPr>
              <w:t>Platība (ha)</w:t>
            </w:r>
          </w:p>
        </w:tc>
        <w:tc>
          <w:tcPr>
            <w:tcW w:w="2765" w:type="dxa"/>
            <w:vAlign w:val="center"/>
          </w:tcPr>
          <w:p w14:paraId="4AE2B417" w14:textId="00E50FC9" w:rsidR="00686250" w:rsidRPr="00A07F29" w:rsidRDefault="00686250" w:rsidP="009E4FC1">
            <w:pPr>
              <w:rPr>
                <w:rFonts w:ascii="Times New Roman" w:eastAsia="Times New Roman" w:hAnsi="Times New Roman" w:cs="Times New Roman"/>
                <w:sz w:val="24"/>
                <w:szCs w:val="24"/>
                <w:lang w:eastAsia="en-GB"/>
              </w:rPr>
            </w:pPr>
            <w:r w:rsidRPr="00A07F29">
              <w:rPr>
                <w:rFonts w:ascii="Times New Roman" w:eastAsia="Times New Roman" w:hAnsi="Times New Roman" w:cs="Times New Roman"/>
                <w:sz w:val="24"/>
                <w:szCs w:val="24"/>
                <w:lang w:eastAsia="en-GB"/>
              </w:rPr>
              <w:t xml:space="preserve">Platība ĪADT </w:t>
            </w:r>
            <w:r w:rsidR="004762EE" w:rsidRPr="00A07F29">
              <w:rPr>
                <w:rFonts w:ascii="Times New Roman" w:eastAsia="Times New Roman" w:hAnsi="Times New Roman" w:cs="Times New Roman"/>
                <w:sz w:val="24"/>
                <w:szCs w:val="24"/>
                <w:lang w:eastAsia="en-GB"/>
              </w:rPr>
              <w:t>(</w:t>
            </w:r>
            <w:r w:rsidRPr="00A07F29">
              <w:rPr>
                <w:rFonts w:ascii="Times New Roman" w:eastAsia="Times New Roman" w:hAnsi="Times New Roman" w:cs="Times New Roman"/>
                <w:sz w:val="24"/>
                <w:szCs w:val="24"/>
                <w:lang w:eastAsia="en-GB"/>
              </w:rPr>
              <w:t>%</w:t>
            </w:r>
            <w:r w:rsidR="004762EE" w:rsidRPr="00A07F29">
              <w:rPr>
                <w:rFonts w:ascii="Times New Roman" w:eastAsia="Times New Roman" w:hAnsi="Times New Roman" w:cs="Times New Roman"/>
                <w:sz w:val="24"/>
                <w:szCs w:val="24"/>
                <w:lang w:eastAsia="en-GB"/>
              </w:rPr>
              <w:t>)</w:t>
            </w:r>
          </w:p>
        </w:tc>
      </w:tr>
      <w:tr w:rsidR="00BD3DF5" w:rsidRPr="00A07F29" w14:paraId="4D9518DA" w14:textId="77777777" w:rsidTr="00BD3DF5">
        <w:trPr>
          <w:jc w:val="center"/>
        </w:trPr>
        <w:tc>
          <w:tcPr>
            <w:tcW w:w="2765" w:type="dxa"/>
            <w:vAlign w:val="center"/>
          </w:tcPr>
          <w:p w14:paraId="5192E6B0" w14:textId="77777777" w:rsidR="00BD3DF5" w:rsidRPr="00A07F29" w:rsidRDefault="00BD3DF5" w:rsidP="00BD3DF5">
            <w:pPr>
              <w:rPr>
                <w:rFonts w:ascii="Times New Roman" w:eastAsia="Times New Roman" w:hAnsi="Times New Roman" w:cs="Times New Roman"/>
                <w:sz w:val="24"/>
                <w:szCs w:val="24"/>
                <w:lang w:eastAsia="en-GB"/>
              </w:rPr>
            </w:pPr>
            <w:r w:rsidRPr="00A07F29">
              <w:rPr>
                <w:rFonts w:ascii="Times New Roman" w:eastAsia="Times New Roman" w:hAnsi="Times New Roman" w:cs="Times New Roman"/>
                <w:sz w:val="24"/>
                <w:szCs w:val="24"/>
                <w:lang w:eastAsia="en-GB"/>
              </w:rPr>
              <w:t>Lauksaimniecībā izmantojamā zeme</w:t>
            </w:r>
          </w:p>
        </w:tc>
        <w:tc>
          <w:tcPr>
            <w:tcW w:w="2765" w:type="dxa"/>
          </w:tcPr>
          <w:p w14:paraId="0BA8E201" w14:textId="79243616" w:rsidR="00BD3DF5" w:rsidRPr="00A07F29" w:rsidRDefault="00BD3DF5" w:rsidP="00BD3DF5">
            <w:pPr>
              <w:rPr>
                <w:rFonts w:ascii="Times New Roman" w:eastAsia="Times New Roman" w:hAnsi="Times New Roman" w:cs="Times New Roman"/>
                <w:sz w:val="24"/>
                <w:szCs w:val="24"/>
                <w:lang w:eastAsia="en-GB"/>
              </w:rPr>
            </w:pPr>
            <w:r w:rsidRPr="00A07F29">
              <w:rPr>
                <w:rFonts w:ascii="Times New Roman" w:eastAsia="Times New Roman" w:hAnsi="Times New Roman" w:cs="Times New Roman"/>
                <w:sz w:val="24"/>
                <w:szCs w:val="24"/>
                <w:lang w:eastAsia="en-GB"/>
              </w:rPr>
              <w:t>21383</w:t>
            </w:r>
          </w:p>
        </w:tc>
        <w:tc>
          <w:tcPr>
            <w:tcW w:w="2765" w:type="dxa"/>
            <w:vAlign w:val="center"/>
          </w:tcPr>
          <w:p w14:paraId="68F301B3" w14:textId="77777777" w:rsidR="00BD3DF5" w:rsidRPr="00A07F29" w:rsidRDefault="00BD3DF5" w:rsidP="00BD3DF5">
            <w:pPr>
              <w:rPr>
                <w:rFonts w:ascii="Times New Roman" w:eastAsia="Times New Roman" w:hAnsi="Times New Roman" w:cs="Times New Roman"/>
                <w:sz w:val="24"/>
                <w:szCs w:val="24"/>
                <w:lang w:eastAsia="en-GB"/>
              </w:rPr>
            </w:pPr>
            <w:r w:rsidRPr="00A07F29">
              <w:rPr>
                <w:rFonts w:ascii="Times New Roman" w:eastAsia="Times New Roman" w:hAnsi="Times New Roman" w:cs="Times New Roman"/>
                <w:sz w:val="24"/>
                <w:szCs w:val="24"/>
                <w:lang w:eastAsia="en-GB"/>
              </w:rPr>
              <w:t>41,06</w:t>
            </w:r>
          </w:p>
        </w:tc>
      </w:tr>
      <w:tr w:rsidR="00BD3DF5" w:rsidRPr="00A07F29" w14:paraId="1664D09D" w14:textId="77777777" w:rsidTr="00BD3DF5">
        <w:trPr>
          <w:jc w:val="center"/>
        </w:trPr>
        <w:tc>
          <w:tcPr>
            <w:tcW w:w="2765" w:type="dxa"/>
            <w:vAlign w:val="center"/>
          </w:tcPr>
          <w:p w14:paraId="6BE74174" w14:textId="77777777" w:rsidR="00BD3DF5" w:rsidRPr="00A07F29" w:rsidRDefault="00BD3DF5" w:rsidP="00BD3DF5">
            <w:pPr>
              <w:rPr>
                <w:rFonts w:ascii="Times New Roman" w:eastAsia="Times New Roman" w:hAnsi="Times New Roman" w:cs="Times New Roman"/>
                <w:sz w:val="24"/>
                <w:szCs w:val="24"/>
                <w:lang w:eastAsia="en-GB"/>
              </w:rPr>
            </w:pPr>
            <w:r w:rsidRPr="00A07F29">
              <w:rPr>
                <w:rFonts w:ascii="Times New Roman" w:eastAsia="Times New Roman" w:hAnsi="Times New Roman" w:cs="Times New Roman"/>
                <w:sz w:val="24"/>
                <w:szCs w:val="24"/>
                <w:lang w:eastAsia="en-GB"/>
              </w:rPr>
              <w:t>Mežs</w:t>
            </w:r>
          </w:p>
        </w:tc>
        <w:tc>
          <w:tcPr>
            <w:tcW w:w="2765" w:type="dxa"/>
          </w:tcPr>
          <w:p w14:paraId="21C6EC50" w14:textId="7F271005" w:rsidR="00BD3DF5" w:rsidRPr="00A07F29" w:rsidRDefault="00BD3DF5" w:rsidP="00BD3DF5">
            <w:pPr>
              <w:rPr>
                <w:rFonts w:ascii="Times New Roman" w:eastAsia="Times New Roman" w:hAnsi="Times New Roman" w:cs="Times New Roman"/>
                <w:sz w:val="24"/>
                <w:szCs w:val="24"/>
                <w:lang w:eastAsia="en-GB"/>
              </w:rPr>
            </w:pPr>
            <w:r w:rsidRPr="00A07F29">
              <w:rPr>
                <w:rFonts w:ascii="Times New Roman" w:eastAsia="Times New Roman" w:hAnsi="Times New Roman" w:cs="Times New Roman"/>
                <w:sz w:val="24"/>
                <w:szCs w:val="24"/>
                <w:lang w:eastAsia="en-GB"/>
              </w:rPr>
              <w:t>26712</w:t>
            </w:r>
          </w:p>
        </w:tc>
        <w:tc>
          <w:tcPr>
            <w:tcW w:w="2765" w:type="dxa"/>
            <w:vAlign w:val="center"/>
          </w:tcPr>
          <w:p w14:paraId="67648590" w14:textId="77777777" w:rsidR="00BD3DF5" w:rsidRPr="00A07F29" w:rsidRDefault="00BD3DF5" w:rsidP="00BD3DF5">
            <w:pPr>
              <w:rPr>
                <w:rFonts w:ascii="Times New Roman" w:eastAsia="Times New Roman" w:hAnsi="Times New Roman" w:cs="Times New Roman"/>
                <w:sz w:val="24"/>
                <w:szCs w:val="24"/>
                <w:lang w:eastAsia="en-GB"/>
              </w:rPr>
            </w:pPr>
            <w:r w:rsidRPr="00A07F29">
              <w:rPr>
                <w:rFonts w:ascii="Times New Roman" w:eastAsia="Times New Roman" w:hAnsi="Times New Roman" w:cs="Times New Roman"/>
                <w:sz w:val="24"/>
                <w:szCs w:val="24"/>
                <w:lang w:eastAsia="en-GB"/>
              </w:rPr>
              <w:t>51,29</w:t>
            </w:r>
          </w:p>
        </w:tc>
      </w:tr>
      <w:tr w:rsidR="00BD3DF5" w:rsidRPr="00A07F29" w14:paraId="1A411384" w14:textId="77777777" w:rsidTr="00BD3DF5">
        <w:trPr>
          <w:jc w:val="center"/>
        </w:trPr>
        <w:tc>
          <w:tcPr>
            <w:tcW w:w="2765" w:type="dxa"/>
            <w:vAlign w:val="center"/>
          </w:tcPr>
          <w:p w14:paraId="34A3CEB5" w14:textId="77777777" w:rsidR="00BD3DF5" w:rsidRPr="00A07F29" w:rsidRDefault="00BD3DF5" w:rsidP="00BD3DF5">
            <w:pPr>
              <w:rPr>
                <w:rFonts w:ascii="Times New Roman" w:eastAsia="Times New Roman" w:hAnsi="Times New Roman" w:cs="Times New Roman"/>
                <w:sz w:val="24"/>
                <w:szCs w:val="24"/>
                <w:lang w:eastAsia="en-GB"/>
              </w:rPr>
            </w:pPr>
            <w:r w:rsidRPr="00A07F29">
              <w:rPr>
                <w:rFonts w:ascii="Times New Roman" w:eastAsia="Times New Roman" w:hAnsi="Times New Roman" w:cs="Times New Roman"/>
                <w:sz w:val="24"/>
                <w:szCs w:val="24"/>
                <w:lang w:eastAsia="en-GB"/>
              </w:rPr>
              <w:t>Krūmājs</w:t>
            </w:r>
          </w:p>
        </w:tc>
        <w:tc>
          <w:tcPr>
            <w:tcW w:w="2765" w:type="dxa"/>
          </w:tcPr>
          <w:p w14:paraId="0B3DCE06" w14:textId="3CFFC1EF" w:rsidR="00BD3DF5" w:rsidRPr="00A07F29" w:rsidRDefault="00BD3DF5" w:rsidP="00BD3DF5">
            <w:pPr>
              <w:rPr>
                <w:rFonts w:ascii="Times New Roman" w:eastAsia="Times New Roman" w:hAnsi="Times New Roman" w:cs="Times New Roman"/>
                <w:sz w:val="24"/>
                <w:szCs w:val="24"/>
                <w:lang w:eastAsia="en-GB"/>
              </w:rPr>
            </w:pPr>
            <w:r w:rsidRPr="00A07F29">
              <w:rPr>
                <w:rFonts w:ascii="Times New Roman" w:eastAsia="Times New Roman" w:hAnsi="Times New Roman" w:cs="Times New Roman"/>
                <w:sz w:val="24"/>
                <w:szCs w:val="24"/>
                <w:lang w:eastAsia="en-GB"/>
              </w:rPr>
              <w:t>479</w:t>
            </w:r>
          </w:p>
        </w:tc>
        <w:tc>
          <w:tcPr>
            <w:tcW w:w="2765" w:type="dxa"/>
            <w:vAlign w:val="center"/>
          </w:tcPr>
          <w:p w14:paraId="5D156E9B" w14:textId="77777777" w:rsidR="00BD3DF5" w:rsidRPr="00A07F29" w:rsidRDefault="00BD3DF5" w:rsidP="00BD3DF5">
            <w:pPr>
              <w:rPr>
                <w:rFonts w:ascii="Times New Roman" w:eastAsia="Times New Roman" w:hAnsi="Times New Roman" w:cs="Times New Roman"/>
                <w:sz w:val="24"/>
                <w:szCs w:val="24"/>
                <w:lang w:eastAsia="en-GB"/>
              </w:rPr>
            </w:pPr>
            <w:r w:rsidRPr="00A07F29">
              <w:rPr>
                <w:rFonts w:ascii="Times New Roman" w:eastAsia="Times New Roman" w:hAnsi="Times New Roman" w:cs="Times New Roman"/>
                <w:sz w:val="24"/>
                <w:szCs w:val="24"/>
                <w:lang w:eastAsia="en-GB"/>
              </w:rPr>
              <w:t>0,92</w:t>
            </w:r>
          </w:p>
        </w:tc>
      </w:tr>
      <w:tr w:rsidR="00BD3DF5" w:rsidRPr="00A07F29" w14:paraId="5ECC0AD8" w14:textId="77777777" w:rsidTr="00BD3DF5">
        <w:trPr>
          <w:jc w:val="center"/>
        </w:trPr>
        <w:tc>
          <w:tcPr>
            <w:tcW w:w="2765" w:type="dxa"/>
            <w:vAlign w:val="center"/>
          </w:tcPr>
          <w:p w14:paraId="4D96754F" w14:textId="77777777" w:rsidR="00BD3DF5" w:rsidRPr="00A07F29" w:rsidRDefault="00BD3DF5" w:rsidP="00BD3DF5">
            <w:pPr>
              <w:rPr>
                <w:rFonts w:ascii="Times New Roman" w:eastAsia="Times New Roman" w:hAnsi="Times New Roman" w:cs="Times New Roman"/>
                <w:sz w:val="24"/>
                <w:szCs w:val="24"/>
                <w:lang w:eastAsia="en-GB"/>
              </w:rPr>
            </w:pPr>
            <w:r w:rsidRPr="00A07F29">
              <w:rPr>
                <w:rFonts w:ascii="Times New Roman" w:eastAsia="Times New Roman" w:hAnsi="Times New Roman" w:cs="Times New Roman"/>
                <w:sz w:val="24"/>
                <w:szCs w:val="24"/>
                <w:lang w:eastAsia="en-GB"/>
              </w:rPr>
              <w:t>Purvs</w:t>
            </w:r>
          </w:p>
        </w:tc>
        <w:tc>
          <w:tcPr>
            <w:tcW w:w="2765" w:type="dxa"/>
          </w:tcPr>
          <w:p w14:paraId="201F470C" w14:textId="1E6C7FE6" w:rsidR="00BD3DF5" w:rsidRPr="00A07F29" w:rsidRDefault="00BD3DF5" w:rsidP="00BD3DF5">
            <w:pPr>
              <w:rPr>
                <w:rFonts w:ascii="Times New Roman" w:eastAsia="Times New Roman" w:hAnsi="Times New Roman" w:cs="Times New Roman"/>
                <w:sz w:val="24"/>
                <w:szCs w:val="24"/>
                <w:lang w:eastAsia="en-GB"/>
              </w:rPr>
            </w:pPr>
            <w:r w:rsidRPr="00A07F29">
              <w:rPr>
                <w:rFonts w:ascii="Times New Roman" w:eastAsia="Times New Roman" w:hAnsi="Times New Roman" w:cs="Times New Roman"/>
                <w:sz w:val="24"/>
                <w:szCs w:val="24"/>
                <w:lang w:eastAsia="en-GB"/>
              </w:rPr>
              <w:t>478</w:t>
            </w:r>
          </w:p>
        </w:tc>
        <w:tc>
          <w:tcPr>
            <w:tcW w:w="2765" w:type="dxa"/>
            <w:vAlign w:val="center"/>
          </w:tcPr>
          <w:p w14:paraId="6AF547B0" w14:textId="77777777" w:rsidR="00BD3DF5" w:rsidRPr="00A07F29" w:rsidRDefault="00BD3DF5" w:rsidP="00BD3DF5">
            <w:pPr>
              <w:rPr>
                <w:rFonts w:ascii="Times New Roman" w:eastAsia="Times New Roman" w:hAnsi="Times New Roman" w:cs="Times New Roman"/>
                <w:sz w:val="24"/>
                <w:szCs w:val="24"/>
                <w:lang w:eastAsia="en-GB"/>
              </w:rPr>
            </w:pPr>
            <w:r w:rsidRPr="00A07F29">
              <w:rPr>
                <w:rFonts w:ascii="Times New Roman" w:eastAsia="Times New Roman" w:hAnsi="Times New Roman" w:cs="Times New Roman"/>
                <w:sz w:val="24"/>
                <w:szCs w:val="24"/>
                <w:lang w:eastAsia="en-GB"/>
              </w:rPr>
              <w:t>0,92</w:t>
            </w:r>
          </w:p>
        </w:tc>
      </w:tr>
      <w:tr w:rsidR="00BD3DF5" w:rsidRPr="00A07F29" w14:paraId="58146B0D" w14:textId="77777777" w:rsidTr="00BD3DF5">
        <w:trPr>
          <w:jc w:val="center"/>
        </w:trPr>
        <w:tc>
          <w:tcPr>
            <w:tcW w:w="2765" w:type="dxa"/>
            <w:vAlign w:val="center"/>
          </w:tcPr>
          <w:p w14:paraId="54C8ED7D" w14:textId="77777777" w:rsidR="00BD3DF5" w:rsidRPr="00A07F29" w:rsidRDefault="00BD3DF5" w:rsidP="00BD3DF5">
            <w:pPr>
              <w:rPr>
                <w:rFonts w:ascii="Times New Roman" w:eastAsia="Times New Roman" w:hAnsi="Times New Roman" w:cs="Times New Roman"/>
                <w:sz w:val="24"/>
                <w:szCs w:val="24"/>
                <w:lang w:eastAsia="en-GB"/>
              </w:rPr>
            </w:pPr>
            <w:r w:rsidRPr="00A07F29">
              <w:rPr>
                <w:rFonts w:ascii="Times New Roman" w:eastAsia="Times New Roman" w:hAnsi="Times New Roman" w:cs="Times New Roman"/>
                <w:sz w:val="24"/>
                <w:szCs w:val="24"/>
                <w:lang w:eastAsia="en-GB"/>
              </w:rPr>
              <w:t>Ūdens objektu zeme</w:t>
            </w:r>
          </w:p>
        </w:tc>
        <w:tc>
          <w:tcPr>
            <w:tcW w:w="2765" w:type="dxa"/>
          </w:tcPr>
          <w:p w14:paraId="3B4BB944" w14:textId="7D746888" w:rsidR="00BD3DF5" w:rsidRPr="00A07F29" w:rsidRDefault="00BD3DF5" w:rsidP="00BD3DF5">
            <w:pPr>
              <w:rPr>
                <w:rFonts w:ascii="Times New Roman" w:eastAsia="Times New Roman" w:hAnsi="Times New Roman" w:cs="Times New Roman"/>
                <w:sz w:val="24"/>
                <w:szCs w:val="24"/>
                <w:lang w:eastAsia="en-GB"/>
              </w:rPr>
            </w:pPr>
            <w:r w:rsidRPr="00A07F29">
              <w:rPr>
                <w:rFonts w:ascii="Times New Roman" w:eastAsia="Times New Roman" w:hAnsi="Times New Roman" w:cs="Times New Roman"/>
                <w:sz w:val="24"/>
                <w:szCs w:val="24"/>
                <w:lang w:eastAsia="en-GB"/>
              </w:rPr>
              <w:t>2266</w:t>
            </w:r>
          </w:p>
        </w:tc>
        <w:tc>
          <w:tcPr>
            <w:tcW w:w="2765" w:type="dxa"/>
            <w:vAlign w:val="center"/>
          </w:tcPr>
          <w:p w14:paraId="630F2BE9" w14:textId="77777777" w:rsidR="00BD3DF5" w:rsidRPr="00A07F29" w:rsidRDefault="00BD3DF5" w:rsidP="00BD3DF5">
            <w:pPr>
              <w:rPr>
                <w:rFonts w:ascii="Times New Roman" w:eastAsia="Times New Roman" w:hAnsi="Times New Roman" w:cs="Times New Roman"/>
                <w:sz w:val="24"/>
                <w:szCs w:val="24"/>
                <w:lang w:eastAsia="en-GB"/>
              </w:rPr>
            </w:pPr>
            <w:r w:rsidRPr="00A07F29">
              <w:rPr>
                <w:rFonts w:ascii="Times New Roman" w:eastAsia="Times New Roman" w:hAnsi="Times New Roman" w:cs="Times New Roman"/>
                <w:sz w:val="24"/>
                <w:szCs w:val="24"/>
                <w:lang w:eastAsia="en-GB"/>
              </w:rPr>
              <w:t>4,35</w:t>
            </w:r>
          </w:p>
        </w:tc>
      </w:tr>
      <w:tr w:rsidR="00BD3DF5" w:rsidRPr="00A07F29" w14:paraId="27F56334" w14:textId="77777777" w:rsidTr="00BD3DF5">
        <w:trPr>
          <w:jc w:val="center"/>
        </w:trPr>
        <w:tc>
          <w:tcPr>
            <w:tcW w:w="2765" w:type="dxa"/>
            <w:vAlign w:val="center"/>
          </w:tcPr>
          <w:p w14:paraId="225BB0A9" w14:textId="77777777" w:rsidR="00BD3DF5" w:rsidRPr="00A07F29" w:rsidRDefault="00BD3DF5" w:rsidP="00BD3DF5">
            <w:pPr>
              <w:rPr>
                <w:rFonts w:ascii="Times New Roman" w:eastAsia="Times New Roman" w:hAnsi="Times New Roman" w:cs="Times New Roman"/>
                <w:sz w:val="24"/>
                <w:szCs w:val="24"/>
                <w:lang w:eastAsia="en-GB"/>
              </w:rPr>
            </w:pPr>
            <w:r w:rsidRPr="00A07F29">
              <w:rPr>
                <w:rFonts w:ascii="Times New Roman" w:eastAsia="Times New Roman" w:hAnsi="Times New Roman" w:cs="Times New Roman"/>
                <w:sz w:val="24"/>
                <w:szCs w:val="24"/>
                <w:lang w:eastAsia="en-GB"/>
              </w:rPr>
              <w:t>Zeme zem ēkām un pagalmiem</w:t>
            </w:r>
          </w:p>
        </w:tc>
        <w:tc>
          <w:tcPr>
            <w:tcW w:w="2765" w:type="dxa"/>
          </w:tcPr>
          <w:p w14:paraId="3294FC31" w14:textId="4FCBAD3B" w:rsidR="00BD3DF5" w:rsidRPr="00A07F29" w:rsidRDefault="00BD3DF5" w:rsidP="00BD3DF5">
            <w:pPr>
              <w:rPr>
                <w:rFonts w:ascii="Times New Roman" w:eastAsia="Times New Roman" w:hAnsi="Times New Roman" w:cs="Times New Roman"/>
                <w:sz w:val="24"/>
                <w:szCs w:val="24"/>
                <w:lang w:eastAsia="en-GB"/>
              </w:rPr>
            </w:pPr>
            <w:r w:rsidRPr="00A07F29">
              <w:rPr>
                <w:rFonts w:ascii="Times New Roman" w:eastAsia="Times New Roman" w:hAnsi="Times New Roman" w:cs="Times New Roman"/>
                <w:sz w:val="24"/>
                <w:szCs w:val="24"/>
                <w:lang w:eastAsia="en-GB"/>
              </w:rPr>
              <w:t>461</w:t>
            </w:r>
          </w:p>
        </w:tc>
        <w:tc>
          <w:tcPr>
            <w:tcW w:w="2765" w:type="dxa"/>
            <w:vAlign w:val="center"/>
          </w:tcPr>
          <w:p w14:paraId="189BB181" w14:textId="77777777" w:rsidR="00BD3DF5" w:rsidRPr="00A07F29" w:rsidRDefault="00BD3DF5" w:rsidP="00BD3DF5">
            <w:pPr>
              <w:rPr>
                <w:rFonts w:ascii="Times New Roman" w:eastAsia="Times New Roman" w:hAnsi="Times New Roman" w:cs="Times New Roman"/>
                <w:sz w:val="24"/>
                <w:szCs w:val="24"/>
                <w:lang w:eastAsia="en-GB"/>
              </w:rPr>
            </w:pPr>
            <w:r w:rsidRPr="00A07F29">
              <w:rPr>
                <w:rFonts w:ascii="Times New Roman" w:eastAsia="Times New Roman" w:hAnsi="Times New Roman" w:cs="Times New Roman"/>
                <w:sz w:val="24"/>
                <w:szCs w:val="24"/>
                <w:lang w:eastAsia="en-GB"/>
              </w:rPr>
              <w:t>0,88</w:t>
            </w:r>
          </w:p>
        </w:tc>
      </w:tr>
      <w:tr w:rsidR="00BD3DF5" w:rsidRPr="00A07F29" w14:paraId="3D909EFD" w14:textId="77777777" w:rsidTr="00BD3DF5">
        <w:trPr>
          <w:jc w:val="center"/>
        </w:trPr>
        <w:tc>
          <w:tcPr>
            <w:tcW w:w="2765" w:type="dxa"/>
            <w:vAlign w:val="center"/>
          </w:tcPr>
          <w:p w14:paraId="0BEB845B" w14:textId="77777777" w:rsidR="00BD3DF5" w:rsidRPr="00A07F29" w:rsidRDefault="00BD3DF5" w:rsidP="00BD3DF5">
            <w:pPr>
              <w:rPr>
                <w:rFonts w:ascii="Times New Roman" w:eastAsia="Times New Roman" w:hAnsi="Times New Roman" w:cs="Times New Roman"/>
                <w:sz w:val="24"/>
                <w:szCs w:val="24"/>
                <w:lang w:eastAsia="en-GB"/>
              </w:rPr>
            </w:pPr>
            <w:r w:rsidRPr="00A07F29">
              <w:rPr>
                <w:rFonts w:ascii="Times New Roman" w:eastAsia="Times New Roman" w:hAnsi="Times New Roman" w:cs="Times New Roman"/>
                <w:sz w:val="24"/>
                <w:szCs w:val="24"/>
                <w:lang w:eastAsia="en-GB"/>
              </w:rPr>
              <w:t>Zeme zem ceļiem</w:t>
            </w:r>
          </w:p>
        </w:tc>
        <w:tc>
          <w:tcPr>
            <w:tcW w:w="2765" w:type="dxa"/>
          </w:tcPr>
          <w:p w14:paraId="65414EF4" w14:textId="519EF05D" w:rsidR="00BD3DF5" w:rsidRPr="00A07F29" w:rsidRDefault="00BD3DF5" w:rsidP="00BD3DF5">
            <w:pPr>
              <w:rPr>
                <w:rFonts w:ascii="Times New Roman" w:eastAsia="Times New Roman" w:hAnsi="Times New Roman" w:cs="Times New Roman"/>
                <w:sz w:val="24"/>
                <w:szCs w:val="24"/>
                <w:lang w:eastAsia="en-GB"/>
              </w:rPr>
            </w:pPr>
            <w:r w:rsidRPr="00A07F29">
              <w:rPr>
                <w:rFonts w:ascii="Times New Roman" w:eastAsia="Times New Roman" w:hAnsi="Times New Roman" w:cs="Times New Roman"/>
                <w:sz w:val="24"/>
                <w:szCs w:val="24"/>
                <w:lang w:eastAsia="en-GB"/>
              </w:rPr>
              <w:t>299</w:t>
            </w:r>
          </w:p>
        </w:tc>
        <w:tc>
          <w:tcPr>
            <w:tcW w:w="2765" w:type="dxa"/>
            <w:vAlign w:val="center"/>
          </w:tcPr>
          <w:p w14:paraId="157ED3D0" w14:textId="77777777" w:rsidR="00BD3DF5" w:rsidRPr="00A07F29" w:rsidRDefault="00BD3DF5" w:rsidP="00BD3DF5">
            <w:pPr>
              <w:rPr>
                <w:rFonts w:ascii="Times New Roman" w:eastAsia="Times New Roman" w:hAnsi="Times New Roman" w:cs="Times New Roman"/>
                <w:sz w:val="24"/>
                <w:szCs w:val="24"/>
                <w:lang w:eastAsia="en-GB"/>
              </w:rPr>
            </w:pPr>
            <w:r w:rsidRPr="00A07F29">
              <w:rPr>
                <w:rFonts w:ascii="Times New Roman" w:eastAsia="Times New Roman" w:hAnsi="Times New Roman" w:cs="Times New Roman"/>
                <w:sz w:val="24"/>
                <w:szCs w:val="24"/>
                <w:lang w:eastAsia="en-GB"/>
              </w:rPr>
              <w:t>0,57</w:t>
            </w:r>
          </w:p>
        </w:tc>
      </w:tr>
      <w:tr w:rsidR="00BD3DF5" w:rsidRPr="00A07F29" w14:paraId="5EBDA87A" w14:textId="77777777" w:rsidTr="00BD3DF5">
        <w:trPr>
          <w:jc w:val="center"/>
        </w:trPr>
        <w:tc>
          <w:tcPr>
            <w:tcW w:w="2765" w:type="dxa"/>
            <w:vAlign w:val="center"/>
          </w:tcPr>
          <w:p w14:paraId="7030343D" w14:textId="77777777" w:rsidR="00BD3DF5" w:rsidRPr="00A07F29" w:rsidRDefault="00BD3DF5" w:rsidP="00BD3DF5">
            <w:pPr>
              <w:rPr>
                <w:rFonts w:ascii="Times New Roman" w:eastAsia="Times New Roman" w:hAnsi="Times New Roman" w:cs="Times New Roman"/>
                <w:sz w:val="24"/>
                <w:szCs w:val="24"/>
                <w:lang w:eastAsia="en-GB"/>
              </w:rPr>
            </w:pPr>
            <w:r w:rsidRPr="00A07F29">
              <w:rPr>
                <w:rFonts w:ascii="Times New Roman" w:eastAsia="Times New Roman" w:hAnsi="Times New Roman" w:cs="Times New Roman"/>
                <w:sz w:val="24"/>
                <w:szCs w:val="24"/>
                <w:lang w:eastAsia="en-GB"/>
              </w:rPr>
              <w:t>KOPĀ</w:t>
            </w:r>
          </w:p>
        </w:tc>
        <w:tc>
          <w:tcPr>
            <w:tcW w:w="2765" w:type="dxa"/>
          </w:tcPr>
          <w:p w14:paraId="0450EA52" w14:textId="20F3B93C" w:rsidR="00BD3DF5" w:rsidRPr="00A07F29" w:rsidRDefault="00BD3DF5" w:rsidP="00BD3DF5">
            <w:pPr>
              <w:rPr>
                <w:rFonts w:ascii="Times New Roman" w:eastAsia="Times New Roman" w:hAnsi="Times New Roman" w:cs="Times New Roman"/>
                <w:sz w:val="24"/>
                <w:szCs w:val="24"/>
                <w:lang w:eastAsia="en-GB"/>
              </w:rPr>
            </w:pPr>
            <w:r w:rsidRPr="00A07F29">
              <w:rPr>
                <w:rFonts w:ascii="Times New Roman" w:eastAsia="Times New Roman" w:hAnsi="Times New Roman" w:cs="Times New Roman"/>
                <w:sz w:val="24"/>
                <w:szCs w:val="24"/>
                <w:lang w:eastAsia="en-GB"/>
              </w:rPr>
              <w:t>52078</w:t>
            </w:r>
          </w:p>
        </w:tc>
        <w:tc>
          <w:tcPr>
            <w:tcW w:w="2765" w:type="dxa"/>
            <w:vAlign w:val="center"/>
          </w:tcPr>
          <w:p w14:paraId="2F39FD78" w14:textId="77777777" w:rsidR="00BD3DF5" w:rsidRPr="00A07F29" w:rsidRDefault="00BD3DF5" w:rsidP="00BD3DF5">
            <w:pPr>
              <w:rPr>
                <w:rFonts w:ascii="Times New Roman" w:eastAsia="Times New Roman" w:hAnsi="Times New Roman" w:cs="Times New Roman"/>
                <w:sz w:val="24"/>
                <w:szCs w:val="24"/>
                <w:lang w:eastAsia="en-GB"/>
              </w:rPr>
            </w:pPr>
            <w:r w:rsidRPr="00A07F29">
              <w:rPr>
                <w:rFonts w:ascii="Times New Roman" w:eastAsia="Times New Roman" w:hAnsi="Times New Roman" w:cs="Times New Roman"/>
                <w:sz w:val="24"/>
                <w:szCs w:val="24"/>
                <w:lang w:eastAsia="en-GB"/>
              </w:rPr>
              <w:t>100,00</w:t>
            </w:r>
          </w:p>
        </w:tc>
      </w:tr>
    </w:tbl>
    <w:p w14:paraId="30DB8C4A" w14:textId="77777777" w:rsidR="00686250" w:rsidRPr="00A07F29" w:rsidRDefault="00686250" w:rsidP="00686250">
      <w:pPr>
        <w:spacing w:before="120" w:line="240" w:lineRule="auto"/>
        <w:rPr>
          <w:szCs w:val="24"/>
        </w:rPr>
      </w:pPr>
    </w:p>
    <w:p w14:paraId="69219C27" w14:textId="1BB23929" w:rsidR="00AF4C40" w:rsidRPr="00A07F29" w:rsidRDefault="00292FFB" w:rsidP="00686250">
      <w:pPr>
        <w:pStyle w:val="Heading3"/>
        <w:spacing w:before="120" w:after="120" w:line="240" w:lineRule="auto"/>
        <w:jc w:val="center"/>
        <w:rPr>
          <w:lang w:eastAsia="ja-JP"/>
        </w:rPr>
      </w:pPr>
      <w:bookmarkStart w:id="6" w:name="_Toc183433969"/>
      <w:r w:rsidRPr="00A07F29">
        <w:rPr>
          <w:lang w:eastAsia="ja-JP"/>
        </w:rPr>
        <w:t>1</w:t>
      </w:r>
      <w:r w:rsidR="00AF4C40" w:rsidRPr="00A07F29">
        <w:rPr>
          <w:lang w:eastAsia="ja-JP"/>
        </w:rPr>
        <w:t>.1.2. Pašvaldību teritoriju plānojumos noteiktā teritorijas izmantošana un atļautā (plānotā) izmantošana</w:t>
      </w:r>
      <w:bookmarkEnd w:id="6"/>
    </w:p>
    <w:p w14:paraId="785FF28C" w14:textId="7880422C" w:rsidR="00AF4C40" w:rsidRPr="00A07F29" w:rsidRDefault="00AF4C40" w:rsidP="00AD47BD">
      <w:pPr>
        <w:spacing w:after="120" w:line="240" w:lineRule="auto"/>
        <w:ind w:firstLine="851"/>
        <w:jc w:val="both"/>
        <w:rPr>
          <w:rFonts w:ascii="Times New Roman" w:eastAsia="Times New Roman" w:hAnsi="Times New Roman" w:cs="Times New Roman"/>
          <w:color w:val="000000"/>
          <w:sz w:val="24"/>
          <w:szCs w:val="24"/>
          <w:lang w:eastAsia="ja-JP"/>
        </w:rPr>
      </w:pPr>
      <w:r w:rsidRPr="00A07F29">
        <w:rPr>
          <w:rFonts w:ascii="Times New Roman" w:eastAsia="Times New Roman" w:hAnsi="Times New Roman" w:cs="Times New Roman"/>
          <w:color w:val="000000"/>
          <w:sz w:val="24"/>
          <w:szCs w:val="24"/>
          <w:lang w:eastAsia="ja-JP"/>
        </w:rPr>
        <w:t xml:space="preserve">AAA </w:t>
      </w:r>
      <w:r w:rsidR="00FD42D8" w:rsidRPr="00A07F29">
        <w:rPr>
          <w:rFonts w:ascii="Times New Roman" w:eastAsia="Times New Roman" w:hAnsi="Times New Roman" w:cs="Times New Roman"/>
          <w:color w:val="000000"/>
          <w:sz w:val="24"/>
          <w:szCs w:val="24"/>
          <w:lang w:eastAsia="ja-JP"/>
        </w:rPr>
        <w:t>“</w:t>
      </w:r>
      <w:r w:rsidRPr="00A07F29">
        <w:rPr>
          <w:rFonts w:ascii="Times New Roman" w:eastAsia="Times New Roman" w:hAnsi="Times New Roman" w:cs="Times New Roman"/>
          <w:color w:val="000000"/>
          <w:sz w:val="24"/>
          <w:szCs w:val="24"/>
          <w:lang w:eastAsia="ja-JP"/>
        </w:rPr>
        <w:t>Augšdaugava” atrodas Daugavpils novada</w:t>
      </w:r>
      <w:r w:rsidR="00DD567F" w:rsidRPr="00A07F29">
        <w:rPr>
          <w:rFonts w:ascii="Times New Roman" w:eastAsia="Times New Roman" w:hAnsi="Times New Roman" w:cs="Times New Roman"/>
          <w:color w:val="000000"/>
          <w:sz w:val="24"/>
          <w:szCs w:val="24"/>
          <w:lang w:eastAsia="ja-JP"/>
        </w:rPr>
        <w:t xml:space="preserve"> (no 01.07.2021. – </w:t>
      </w:r>
      <w:proofErr w:type="spellStart"/>
      <w:r w:rsidR="00DD567F" w:rsidRPr="00A07F29">
        <w:rPr>
          <w:rFonts w:ascii="Times New Roman" w:eastAsia="Times New Roman" w:hAnsi="Times New Roman" w:cs="Times New Roman"/>
          <w:color w:val="000000"/>
          <w:sz w:val="24"/>
          <w:szCs w:val="24"/>
          <w:lang w:eastAsia="ja-JP"/>
        </w:rPr>
        <w:t>Aušdaugavas</w:t>
      </w:r>
      <w:proofErr w:type="spellEnd"/>
      <w:r w:rsidR="00DD567F" w:rsidRPr="00A07F29">
        <w:rPr>
          <w:rFonts w:ascii="Times New Roman" w:eastAsia="Times New Roman" w:hAnsi="Times New Roman" w:cs="Times New Roman"/>
          <w:color w:val="000000"/>
          <w:sz w:val="24"/>
          <w:szCs w:val="24"/>
          <w:lang w:eastAsia="ja-JP"/>
        </w:rPr>
        <w:t xml:space="preserve"> novada)</w:t>
      </w:r>
      <w:r w:rsidRPr="00A07F29">
        <w:rPr>
          <w:rFonts w:ascii="Times New Roman" w:eastAsia="Times New Roman" w:hAnsi="Times New Roman" w:cs="Times New Roman"/>
          <w:color w:val="000000"/>
          <w:sz w:val="24"/>
          <w:szCs w:val="24"/>
          <w:lang w:eastAsia="ja-JP"/>
        </w:rPr>
        <w:t xml:space="preserve"> Naujenes, Tabores, Vecsalienas un Salienas pagastos un Krāslavas novada Ūdrīšu, Krāslavas, Kalniešu, Piedrujas un Kaplavas pagastos un Krāslavas pilsētā (</w:t>
      </w:r>
      <w:r w:rsidR="00546FC2" w:rsidRPr="00A07F29">
        <w:rPr>
          <w:rFonts w:ascii="Times New Roman" w:eastAsia="Times New Roman" w:hAnsi="Times New Roman" w:cs="Times New Roman"/>
          <w:color w:val="000000"/>
          <w:sz w:val="24"/>
          <w:szCs w:val="24"/>
          <w:lang w:eastAsia="ja-JP"/>
        </w:rPr>
        <w:t xml:space="preserve">skat. </w:t>
      </w:r>
      <w:r w:rsidRPr="00A07F29">
        <w:rPr>
          <w:rFonts w:ascii="Times New Roman" w:eastAsia="Times New Roman" w:hAnsi="Times New Roman" w:cs="Times New Roman"/>
          <w:color w:val="000000"/>
          <w:sz w:val="24"/>
          <w:szCs w:val="24"/>
          <w:lang w:eastAsia="ja-JP"/>
        </w:rPr>
        <w:t>1.</w:t>
      </w:r>
      <w:r w:rsidR="00D3253C" w:rsidRPr="00A07F29">
        <w:rPr>
          <w:rFonts w:ascii="Times New Roman" w:eastAsia="Times New Roman" w:hAnsi="Times New Roman" w:cs="Times New Roman"/>
          <w:color w:val="000000"/>
          <w:sz w:val="24"/>
          <w:szCs w:val="24"/>
          <w:lang w:eastAsia="ja-JP"/>
        </w:rPr>
        <w:t>1.2.1</w:t>
      </w:r>
      <w:r w:rsidRPr="00A07F29">
        <w:rPr>
          <w:rFonts w:ascii="Times New Roman" w:eastAsia="Times New Roman" w:hAnsi="Times New Roman" w:cs="Times New Roman"/>
          <w:color w:val="000000"/>
          <w:sz w:val="24"/>
          <w:szCs w:val="24"/>
          <w:lang w:eastAsia="ja-JP"/>
        </w:rPr>
        <w:t>.</w:t>
      </w:r>
      <w:r w:rsidR="00030CF7" w:rsidRPr="00A07F29">
        <w:rPr>
          <w:rFonts w:ascii="Times New Roman" w:eastAsia="Times New Roman" w:hAnsi="Times New Roman" w:cs="Times New Roman"/>
          <w:color w:val="000000"/>
          <w:sz w:val="24"/>
          <w:szCs w:val="24"/>
          <w:lang w:eastAsia="ja-JP"/>
        </w:rPr>
        <w:t> </w:t>
      </w:r>
      <w:r w:rsidRPr="00A07F29">
        <w:rPr>
          <w:rFonts w:ascii="Times New Roman" w:eastAsia="Times New Roman" w:hAnsi="Times New Roman" w:cs="Times New Roman"/>
          <w:color w:val="000000"/>
          <w:sz w:val="24"/>
          <w:szCs w:val="24"/>
          <w:lang w:eastAsia="ja-JP"/>
        </w:rPr>
        <w:t>attēls).</w:t>
      </w:r>
    </w:p>
    <w:p w14:paraId="13E8EB5C" w14:textId="387D5160" w:rsidR="00AF4C40" w:rsidRPr="00A07F29" w:rsidRDefault="00AF4C40" w:rsidP="00BD0165">
      <w:pPr>
        <w:spacing w:after="120"/>
        <w:jc w:val="center"/>
        <w:rPr>
          <w:rFonts w:ascii="Times New Roman" w:eastAsia="Times New Roman" w:hAnsi="Times New Roman" w:cs="Times New Roman"/>
          <w:color w:val="000000"/>
          <w:sz w:val="24"/>
          <w:szCs w:val="24"/>
          <w:lang w:eastAsia="ja-JP"/>
        </w:rPr>
      </w:pPr>
      <w:r w:rsidRPr="00A07F29">
        <w:rPr>
          <w:noProof/>
          <w:lang w:eastAsia="lv-LV"/>
        </w:rPr>
        <w:drawing>
          <wp:inline distT="0" distB="0" distL="0" distR="0" wp14:anchorId="30D7DEE1" wp14:editId="73CA7DC9">
            <wp:extent cx="5770920" cy="2072640"/>
            <wp:effectExtent l="0" t="0" r="1270" b="3810"/>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pic:cNvPicPr/>
                  </pic:nvPicPr>
                  <pic:blipFill>
                    <a:blip r:embed="rId18">
                      <a:extLst>
                        <a:ext uri="{28A0092B-C50C-407E-A947-70E740481C1C}">
                          <a14:useLocalDpi xmlns:a14="http://schemas.microsoft.com/office/drawing/2010/main"/>
                        </a:ext>
                      </a:extLst>
                    </a:blip>
                    <a:stretch>
                      <a:fillRect/>
                    </a:stretch>
                  </pic:blipFill>
                  <pic:spPr>
                    <a:xfrm>
                      <a:off x="0" y="0"/>
                      <a:ext cx="5770920" cy="2072640"/>
                    </a:xfrm>
                    <a:prstGeom prst="rect">
                      <a:avLst/>
                    </a:prstGeom>
                  </pic:spPr>
                </pic:pic>
              </a:graphicData>
            </a:graphic>
          </wp:inline>
        </w:drawing>
      </w:r>
    </w:p>
    <w:p w14:paraId="4EDAD51F" w14:textId="56CB8C64" w:rsidR="00D3253C" w:rsidRPr="005B13F7" w:rsidRDefault="00686250" w:rsidP="009E4FC1">
      <w:pPr>
        <w:pStyle w:val="ListParagraph"/>
        <w:spacing w:line="240" w:lineRule="auto"/>
        <w:ind w:left="0" w:firstLine="0"/>
        <w:contextualSpacing w:val="0"/>
        <w:rPr>
          <w:rFonts w:eastAsia="Times New Roman" w:cs="Times New Roman"/>
          <w:sz w:val="20"/>
          <w:szCs w:val="20"/>
          <w:lang w:eastAsia="ja-JP"/>
        </w:rPr>
      </w:pPr>
      <w:r w:rsidRPr="005B13F7">
        <w:rPr>
          <w:rFonts w:eastAsia="Times New Roman" w:cs="Times New Roman"/>
          <w:color w:val="000000"/>
          <w:sz w:val="20"/>
          <w:szCs w:val="20"/>
          <w:lang w:eastAsia="ja-JP"/>
        </w:rPr>
        <w:t>1.1.2.1.</w:t>
      </w:r>
      <w:r w:rsidR="0045587E" w:rsidRPr="005B13F7">
        <w:rPr>
          <w:rFonts w:eastAsia="Times New Roman" w:cs="Times New Roman"/>
          <w:color w:val="000000"/>
          <w:sz w:val="20"/>
          <w:szCs w:val="20"/>
          <w:lang w:eastAsia="ja-JP"/>
        </w:rPr>
        <w:t> </w:t>
      </w:r>
      <w:r w:rsidR="00AF4C40" w:rsidRPr="005B13F7">
        <w:rPr>
          <w:rFonts w:eastAsia="Times New Roman" w:cs="Times New Roman"/>
          <w:color w:val="000000"/>
          <w:sz w:val="20"/>
          <w:szCs w:val="20"/>
          <w:lang w:eastAsia="ja-JP"/>
        </w:rPr>
        <w:t xml:space="preserve">attēls. AAA </w:t>
      </w:r>
      <w:r w:rsidR="0045587E" w:rsidRPr="005B13F7">
        <w:rPr>
          <w:rFonts w:eastAsia="Times New Roman" w:cs="Times New Roman"/>
          <w:color w:val="000000"/>
          <w:sz w:val="20"/>
          <w:szCs w:val="20"/>
          <w:lang w:eastAsia="ja-JP"/>
        </w:rPr>
        <w:t>“</w:t>
      </w:r>
      <w:r w:rsidR="00AF4C40" w:rsidRPr="005B13F7">
        <w:rPr>
          <w:rFonts w:eastAsia="Times New Roman" w:cs="Times New Roman"/>
          <w:color w:val="000000"/>
          <w:sz w:val="20"/>
          <w:szCs w:val="20"/>
          <w:lang w:eastAsia="ja-JP"/>
        </w:rPr>
        <w:t>Augšdaugava” piederība administratīvajām vienībām</w:t>
      </w:r>
      <w:r w:rsidR="00AB1B4D" w:rsidRPr="005B13F7">
        <w:rPr>
          <w:rFonts w:eastAsia="Times New Roman" w:cs="Times New Roman"/>
          <w:color w:val="000000"/>
          <w:sz w:val="20"/>
          <w:szCs w:val="20"/>
          <w:lang w:eastAsia="ja-JP"/>
        </w:rPr>
        <w:t xml:space="preserve"> </w:t>
      </w:r>
      <w:r w:rsidR="00292FFB" w:rsidRPr="005B13F7">
        <w:rPr>
          <w:rFonts w:eastAsia="Times New Roman" w:cs="Times New Roman"/>
          <w:sz w:val="20"/>
          <w:szCs w:val="20"/>
          <w:lang w:eastAsia="ja-JP"/>
        </w:rPr>
        <w:t>(</w:t>
      </w:r>
      <w:r w:rsidR="00292FFB" w:rsidRPr="005B13F7">
        <w:rPr>
          <w:sz w:val="20"/>
          <w:szCs w:val="20"/>
        </w:rPr>
        <w:t>VZD dati, 2019)</w:t>
      </w:r>
    </w:p>
    <w:p w14:paraId="3C2EEFD6" w14:textId="2330ED55" w:rsidR="00AF4C40" w:rsidRPr="00A07F29" w:rsidRDefault="00AF4C40" w:rsidP="00686250">
      <w:pPr>
        <w:spacing w:after="120"/>
        <w:jc w:val="both"/>
        <w:rPr>
          <w:rFonts w:ascii="Times New Roman" w:eastAsia="Times New Roman" w:hAnsi="Times New Roman" w:cs="Times New Roman"/>
          <w:b/>
          <w:i/>
          <w:color w:val="000000"/>
          <w:sz w:val="24"/>
          <w:szCs w:val="24"/>
          <w:lang w:eastAsia="ja-JP"/>
        </w:rPr>
      </w:pPr>
      <w:r w:rsidRPr="00A07F29">
        <w:rPr>
          <w:rFonts w:ascii="Times New Roman" w:eastAsia="Times New Roman" w:hAnsi="Times New Roman" w:cs="Times New Roman"/>
          <w:b/>
          <w:i/>
          <w:color w:val="000000"/>
          <w:sz w:val="24"/>
          <w:szCs w:val="24"/>
          <w:lang w:eastAsia="ja-JP"/>
        </w:rPr>
        <w:t>Krāslavas novada teritorijas plānošanas dokumenti</w:t>
      </w:r>
    </w:p>
    <w:p w14:paraId="2AD75193" w14:textId="77B49017" w:rsidR="005A1DC6" w:rsidRPr="00A07F29" w:rsidRDefault="005A1DC6" w:rsidP="005A1DC6">
      <w:pPr>
        <w:spacing w:after="120" w:line="240" w:lineRule="auto"/>
        <w:ind w:firstLine="851"/>
        <w:jc w:val="both"/>
        <w:rPr>
          <w:rFonts w:ascii="Times New Roman" w:eastAsia="Times New Roman" w:hAnsi="Times New Roman" w:cs="Times New Roman"/>
          <w:color w:val="000000"/>
          <w:sz w:val="24"/>
          <w:szCs w:val="24"/>
          <w:lang w:eastAsia="ja-JP"/>
        </w:rPr>
      </w:pPr>
      <w:r w:rsidRPr="00A07F29">
        <w:rPr>
          <w:rFonts w:ascii="Times New Roman" w:eastAsia="Times New Roman" w:hAnsi="Times New Roman" w:cs="Times New Roman"/>
          <w:color w:val="000000"/>
          <w:sz w:val="24"/>
          <w:szCs w:val="24"/>
          <w:lang w:eastAsia="ja-JP"/>
        </w:rPr>
        <w:t>2022.</w:t>
      </w:r>
      <w:r w:rsidR="0045587E" w:rsidRPr="00A07F29">
        <w:rPr>
          <w:rFonts w:ascii="Times New Roman" w:eastAsia="Times New Roman" w:hAnsi="Times New Roman" w:cs="Times New Roman"/>
          <w:color w:val="000000"/>
          <w:sz w:val="24"/>
          <w:szCs w:val="24"/>
          <w:lang w:eastAsia="ja-JP"/>
        </w:rPr>
        <w:t> </w:t>
      </w:r>
      <w:r w:rsidRPr="00A07F29">
        <w:rPr>
          <w:rFonts w:ascii="Times New Roman" w:eastAsia="Times New Roman" w:hAnsi="Times New Roman" w:cs="Times New Roman"/>
          <w:color w:val="000000"/>
          <w:sz w:val="24"/>
          <w:szCs w:val="24"/>
          <w:lang w:eastAsia="ja-JP"/>
        </w:rPr>
        <w:t>gada 29.</w:t>
      </w:r>
      <w:r w:rsidR="0045587E" w:rsidRPr="00A07F29">
        <w:rPr>
          <w:rFonts w:ascii="Times New Roman" w:eastAsia="Times New Roman" w:hAnsi="Times New Roman" w:cs="Times New Roman"/>
          <w:color w:val="000000"/>
          <w:sz w:val="24"/>
          <w:szCs w:val="24"/>
          <w:lang w:eastAsia="ja-JP"/>
        </w:rPr>
        <w:t> </w:t>
      </w:r>
      <w:r w:rsidRPr="00A07F29">
        <w:rPr>
          <w:rFonts w:ascii="Times New Roman" w:eastAsia="Times New Roman" w:hAnsi="Times New Roman" w:cs="Times New Roman"/>
          <w:color w:val="000000"/>
          <w:sz w:val="24"/>
          <w:szCs w:val="24"/>
          <w:lang w:eastAsia="ja-JP"/>
        </w:rPr>
        <w:t>septembrī Krāslavas novada pašvaldības dome pieņēma lēmumu Nr.</w:t>
      </w:r>
      <w:r w:rsidR="0045587E" w:rsidRPr="00A07F29">
        <w:rPr>
          <w:rFonts w:ascii="Times New Roman" w:eastAsia="Times New Roman" w:hAnsi="Times New Roman" w:cs="Times New Roman"/>
          <w:color w:val="000000"/>
          <w:sz w:val="24"/>
          <w:szCs w:val="24"/>
          <w:lang w:eastAsia="ja-JP"/>
        </w:rPr>
        <w:t> </w:t>
      </w:r>
      <w:r w:rsidRPr="00A07F29">
        <w:rPr>
          <w:rFonts w:ascii="Times New Roman" w:eastAsia="Times New Roman" w:hAnsi="Times New Roman" w:cs="Times New Roman"/>
          <w:color w:val="000000"/>
          <w:sz w:val="24"/>
          <w:szCs w:val="24"/>
          <w:lang w:eastAsia="ja-JP"/>
        </w:rPr>
        <w:t>1170 “Par Krāslavas novada teritorijas plānojuma izstrādes uzsākšanu”, ar mērķi izstrādāt vienotu plānošanas dokumentu Krāslavas novadam, kas būtu balstīts uz esošajiem teritorijas plānojumiem un jauno Krāslavas novada ilgtspējīgas attīstības stratēģiju 2022.</w:t>
      </w:r>
      <w:r w:rsidR="007C3FDB" w:rsidRPr="00A07F29">
        <w:rPr>
          <w:rFonts w:ascii="Times New Roman" w:eastAsia="Times New Roman" w:hAnsi="Times New Roman" w:cs="Times New Roman"/>
          <w:color w:val="000000"/>
          <w:sz w:val="24"/>
          <w:szCs w:val="24"/>
          <w:lang w:eastAsia="ja-JP"/>
        </w:rPr>
        <w:t> – </w:t>
      </w:r>
      <w:r w:rsidRPr="00A07F29">
        <w:rPr>
          <w:rFonts w:ascii="Times New Roman" w:eastAsia="Times New Roman" w:hAnsi="Times New Roman" w:cs="Times New Roman"/>
          <w:color w:val="000000"/>
          <w:sz w:val="24"/>
          <w:szCs w:val="24"/>
          <w:lang w:eastAsia="ja-JP"/>
        </w:rPr>
        <w:t>2037.</w:t>
      </w:r>
      <w:r w:rsidR="00220126" w:rsidRPr="00A07F29">
        <w:rPr>
          <w:rFonts w:ascii="Times New Roman" w:eastAsia="Times New Roman" w:hAnsi="Times New Roman" w:cs="Times New Roman"/>
          <w:color w:val="000000"/>
          <w:sz w:val="24"/>
          <w:szCs w:val="24"/>
          <w:lang w:eastAsia="ja-JP"/>
        </w:rPr>
        <w:t> </w:t>
      </w:r>
      <w:r w:rsidRPr="00A07F29">
        <w:rPr>
          <w:rFonts w:ascii="Times New Roman" w:eastAsia="Times New Roman" w:hAnsi="Times New Roman" w:cs="Times New Roman"/>
          <w:color w:val="000000"/>
          <w:sz w:val="24"/>
          <w:szCs w:val="24"/>
          <w:lang w:eastAsia="ja-JP"/>
        </w:rPr>
        <w:t>gadam, ņemot vērā iesaistīto pušu intereses un nākotnes ieceres. DA plāna izstrādes laikā turpinās jauna teritorijas plānojuma izstrāde.</w:t>
      </w:r>
    </w:p>
    <w:p w14:paraId="21613764" w14:textId="1114CBAF" w:rsidR="005A1DC6" w:rsidRPr="00A07F29" w:rsidRDefault="005A1DC6" w:rsidP="005A1DC6">
      <w:pPr>
        <w:spacing w:after="120" w:line="240" w:lineRule="auto"/>
        <w:ind w:firstLine="851"/>
        <w:jc w:val="both"/>
        <w:rPr>
          <w:rFonts w:ascii="Times New Roman" w:eastAsia="Times New Roman" w:hAnsi="Times New Roman" w:cs="Times New Roman"/>
          <w:color w:val="000000"/>
          <w:sz w:val="24"/>
          <w:szCs w:val="24"/>
          <w:lang w:eastAsia="ja-JP"/>
        </w:rPr>
      </w:pPr>
      <w:r w:rsidRPr="00A07F29">
        <w:rPr>
          <w:rFonts w:ascii="Times New Roman" w:eastAsia="Times New Roman" w:hAnsi="Times New Roman" w:cs="Times New Roman"/>
          <w:color w:val="000000"/>
          <w:sz w:val="24"/>
          <w:szCs w:val="24"/>
          <w:lang w:eastAsia="ja-JP"/>
        </w:rPr>
        <w:t>Saskaņā ar Krāslavas novada pašvaldības domes 2022.</w:t>
      </w:r>
      <w:r w:rsidR="00220126" w:rsidRPr="00A07F29">
        <w:rPr>
          <w:rFonts w:ascii="Times New Roman" w:eastAsia="Times New Roman" w:hAnsi="Times New Roman" w:cs="Times New Roman"/>
          <w:color w:val="000000"/>
          <w:sz w:val="24"/>
          <w:szCs w:val="24"/>
          <w:lang w:eastAsia="ja-JP"/>
        </w:rPr>
        <w:t> </w:t>
      </w:r>
      <w:r w:rsidRPr="00A07F29">
        <w:rPr>
          <w:rFonts w:ascii="Times New Roman" w:eastAsia="Times New Roman" w:hAnsi="Times New Roman" w:cs="Times New Roman"/>
          <w:color w:val="000000"/>
          <w:sz w:val="24"/>
          <w:szCs w:val="24"/>
          <w:lang w:eastAsia="ja-JP"/>
        </w:rPr>
        <w:t>gada 27.</w:t>
      </w:r>
      <w:r w:rsidR="00220126" w:rsidRPr="00A07F29">
        <w:rPr>
          <w:rFonts w:ascii="Times New Roman" w:eastAsia="Times New Roman" w:hAnsi="Times New Roman" w:cs="Times New Roman"/>
          <w:color w:val="000000"/>
          <w:sz w:val="24"/>
          <w:szCs w:val="24"/>
          <w:lang w:eastAsia="ja-JP"/>
        </w:rPr>
        <w:t> </w:t>
      </w:r>
      <w:r w:rsidRPr="00A07F29">
        <w:rPr>
          <w:rFonts w:ascii="Times New Roman" w:eastAsia="Times New Roman" w:hAnsi="Times New Roman" w:cs="Times New Roman"/>
          <w:color w:val="000000"/>
          <w:sz w:val="24"/>
          <w:szCs w:val="24"/>
          <w:lang w:eastAsia="ja-JP"/>
        </w:rPr>
        <w:t>janvāra lēmumu (protokols Nr.</w:t>
      </w:r>
      <w:r w:rsidR="00220126" w:rsidRPr="00A07F29">
        <w:rPr>
          <w:rFonts w:ascii="Times New Roman" w:eastAsia="Times New Roman" w:hAnsi="Times New Roman" w:cs="Times New Roman"/>
          <w:color w:val="000000"/>
          <w:sz w:val="24"/>
          <w:szCs w:val="24"/>
          <w:lang w:eastAsia="ja-JP"/>
        </w:rPr>
        <w:t> </w:t>
      </w:r>
      <w:r w:rsidRPr="00A07F29">
        <w:rPr>
          <w:rFonts w:ascii="Times New Roman" w:eastAsia="Times New Roman" w:hAnsi="Times New Roman" w:cs="Times New Roman"/>
          <w:color w:val="000000"/>
          <w:sz w:val="24"/>
          <w:szCs w:val="24"/>
          <w:lang w:eastAsia="ja-JP"/>
        </w:rPr>
        <w:t>1, 24§) “</w:t>
      </w:r>
      <w:bookmarkStart w:id="7" w:name="_Hlk191026537"/>
      <w:r w:rsidRPr="00A07F29">
        <w:rPr>
          <w:rFonts w:ascii="Times New Roman" w:eastAsia="Times New Roman" w:hAnsi="Times New Roman" w:cs="Times New Roman"/>
          <w:color w:val="000000"/>
          <w:sz w:val="24"/>
          <w:szCs w:val="24"/>
          <w:lang w:eastAsia="ja-JP"/>
        </w:rPr>
        <w:t>Par Krāslavas novada ilgtspējīgas attīstības stratēģijas 2022.</w:t>
      </w:r>
      <w:r w:rsidR="006D620E" w:rsidRPr="00A07F29">
        <w:rPr>
          <w:rFonts w:ascii="Times New Roman" w:eastAsia="Times New Roman" w:hAnsi="Times New Roman" w:cs="Times New Roman"/>
          <w:color w:val="000000"/>
          <w:sz w:val="24"/>
          <w:szCs w:val="24"/>
          <w:lang w:eastAsia="ja-JP"/>
        </w:rPr>
        <w:t> </w:t>
      </w:r>
      <w:r w:rsidRPr="00A07F29">
        <w:rPr>
          <w:rFonts w:ascii="Times New Roman" w:eastAsia="Times New Roman" w:hAnsi="Times New Roman" w:cs="Times New Roman"/>
          <w:color w:val="000000"/>
          <w:sz w:val="24"/>
          <w:szCs w:val="24"/>
          <w:lang w:eastAsia="ja-JP"/>
        </w:rPr>
        <w:t>–</w:t>
      </w:r>
      <w:r w:rsidR="007C3FDB" w:rsidRPr="00A07F29">
        <w:rPr>
          <w:rFonts w:ascii="Times New Roman" w:eastAsia="Times New Roman" w:hAnsi="Times New Roman" w:cs="Times New Roman"/>
          <w:color w:val="000000"/>
          <w:sz w:val="24"/>
          <w:szCs w:val="24"/>
          <w:lang w:eastAsia="ja-JP"/>
        </w:rPr>
        <w:t> </w:t>
      </w:r>
      <w:r w:rsidRPr="00A07F29">
        <w:rPr>
          <w:rFonts w:ascii="Times New Roman" w:eastAsia="Times New Roman" w:hAnsi="Times New Roman" w:cs="Times New Roman"/>
          <w:color w:val="000000"/>
          <w:sz w:val="24"/>
          <w:szCs w:val="24"/>
          <w:lang w:eastAsia="ja-JP"/>
        </w:rPr>
        <w:t>2037.</w:t>
      </w:r>
      <w:r w:rsidR="00694F61" w:rsidRPr="00A07F29">
        <w:rPr>
          <w:rFonts w:ascii="Times New Roman" w:eastAsia="Times New Roman" w:hAnsi="Times New Roman" w:cs="Times New Roman"/>
          <w:color w:val="000000"/>
          <w:sz w:val="24"/>
          <w:szCs w:val="24"/>
          <w:lang w:eastAsia="ja-JP"/>
        </w:rPr>
        <w:t> </w:t>
      </w:r>
      <w:r w:rsidRPr="00A07F29">
        <w:rPr>
          <w:rFonts w:ascii="Times New Roman" w:eastAsia="Times New Roman" w:hAnsi="Times New Roman" w:cs="Times New Roman"/>
          <w:color w:val="000000"/>
          <w:sz w:val="24"/>
          <w:szCs w:val="24"/>
          <w:lang w:eastAsia="ja-JP"/>
        </w:rPr>
        <w:t>gadam un Krāslavas novada attīstības programmas 2022.</w:t>
      </w:r>
      <w:r w:rsidR="006D620E" w:rsidRPr="00A07F29">
        <w:rPr>
          <w:rFonts w:ascii="Times New Roman" w:eastAsia="Times New Roman" w:hAnsi="Times New Roman" w:cs="Times New Roman"/>
          <w:color w:val="000000"/>
          <w:sz w:val="24"/>
          <w:szCs w:val="24"/>
          <w:lang w:eastAsia="ja-JP"/>
        </w:rPr>
        <w:t> – </w:t>
      </w:r>
      <w:r w:rsidR="00D24455" w:rsidRPr="00A07F29">
        <w:rPr>
          <w:rFonts w:ascii="Times New Roman" w:eastAsia="Times New Roman" w:hAnsi="Times New Roman" w:cs="Times New Roman"/>
          <w:color w:val="000000"/>
          <w:sz w:val="24"/>
          <w:szCs w:val="24"/>
          <w:lang w:eastAsia="ja-JP"/>
        </w:rPr>
        <w:t>2028. </w:t>
      </w:r>
      <w:r w:rsidRPr="00A07F29">
        <w:rPr>
          <w:rFonts w:ascii="Times New Roman" w:eastAsia="Times New Roman" w:hAnsi="Times New Roman" w:cs="Times New Roman"/>
          <w:color w:val="000000"/>
          <w:sz w:val="24"/>
          <w:szCs w:val="24"/>
          <w:lang w:eastAsia="ja-JP"/>
        </w:rPr>
        <w:t xml:space="preserve">gadam </w:t>
      </w:r>
      <w:r w:rsidRPr="00A07F29">
        <w:rPr>
          <w:rFonts w:ascii="Times New Roman" w:eastAsia="Times New Roman" w:hAnsi="Times New Roman" w:cs="Times New Roman"/>
          <w:color w:val="000000"/>
          <w:sz w:val="24"/>
          <w:szCs w:val="24"/>
          <w:lang w:eastAsia="ja-JP"/>
        </w:rPr>
        <w:lastRenderedPageBreak/>
        <w:t>apstiprināšanu</w:t>
      </w:r>
      <w:bookmarkEnd w:id="7"/>
      <w:r w:rsidRPr="00A07F29">
        <w:rPr>
          <w:rFonts w:ascii="Times New Roman" w:eastAsia="Times New Roman" w:hAnsi="Times New Roman" w:cs="Times New Roman"/>
          <w:color w:val="000000"/>
          <w:sz w:val="24"/>
          <w:szCs w:val="24"/>
          <w:lang w:eastAsia="ja-JP"/>
        </w:rPr>
        <w:t>” apstiprināto Krāslavas novada ilgtspējīgas attīstības stratēģiju 2022.</w:t>
      </w:r>
      <w:r w:rsidR="006D620E" w:rsidRPr="00A07F29">
        <w:rPr>
          <w:rFonts w:ascii="Times New Roman" w:eastAsia="Times New Roman" w:hAnsi="Times New Roman" w:cs="Times New Roman"/>
          <w:color w:val="000000"/>
          <w:sz w:val="24"/>
          <w:szCs w:val="24"/>
          <w:lang w:eastAsia="ja-JP"/>
        </w:rPr>
        <w:t> </w:t>
      </w:r>
      <w:r w:rsidRPr="00A07F29">
        <w:rPr>
          <w:rFonts w:ascii="Times New Roman" w:eastAsia="Times New Roman" w:hAnsi="Times New Roman" w:cs="Times New Roman"/>
          <w:color w:val="000000"/>
          <w:sz w:val="24"/>
          <w:szCs w:val="24"/>
          <w:lang w:eastAsia="ja-JP"/>
        </w:rPr>
        <w:t>–</w:t>
      </w:r>
      <w:r w:rsidR="006D620E" w:rsidRPr="00A07F29">
        <w:rPr>
          <w:rFonts w:ascii="Times New Roman" w:eastAsia="Times New Roman" w:hAnsi="Times New Roman" w:cs="Times New Roman"/>
          <w:color w:val="000000"/>
          <w:sz w:val="24"/>
          <w:szCs w:val="24"/>
          <w:lang w:eastAsia="ja-JP"/>
        </w:rPr>
        <w:t> </w:t>
      </w:r>
      <w:r w:rsidRPr="00A07F29">
        <w:rPr>
          <w:rFonts w:ascii="Times New Roman" w:eastAsia="Times New Roman" w:hAnsi="Times New Roman" w:cs="Times New Roman"/>
          <w:color w:val="000000"/>
          <w:sz w:val="24"/>
          <w:szCs w:val="24"/>
          <w:lang w:eastAsia="ja-JP"/>
        </w:rPr>
        <w:t>2037.</w:t>
      </w:r>
      <w:r w:rsidR="00694F61" w:rsidRPr="00A07F29">
        <w:rPr>
          <w:rFonts w:ascii="Times New Roman" w:eastAsia="Times New Roman" w:hAnsi="Times New Roman" w:cs="Times New Roman"/>
          <w:color w:val="000000"/>
          <w:sz w:val="24"/>
          <w:szCs w:val="24"/>
          <w:lang w:eastAsia="ja-JP"/>
        </w:rPr>
        <w:t> </w:t>
      </w:r>
      <w:r w:rsidRPr="00A07F29">
        <w:rPr>
          <w:rFonts w:ascii="Times New Roman" w:eastAsia="Times New Roman" w:hAnsi="Times New Roman" w:cs="Times New Roman"/>
          <w:color w:val="000000"/>
          <w:sz w:val="24"/>
          <w:szCs w:val="24"/>
          <w:lang w:eastAsia="ja-JP"/>
        </w:rPr>
        <w:t>gadam</w:t>
      </w:r>
      <w:r w:rsidR="00BC2D49">
        <w:rPr>
          <w:rStyle w:val="FootnoteReference"/>
          <w:rFonts w:ascii="Times New Roman" w:eastAsia="Times New Roman" w:hAnsi="Times New Roman" w:cs="Times New Roman"/>
          <w:color w:val="000000"/>
          <w:sz w:val="24"/>
          <w:szCs w:val="24"/>
          <w:lang w:eastAsia="ja-JP"/>
        </w:rPr>
        <w:footnoteReference w:id="2"/>
      </w:r>
      <w:r w:rsidRPr="00A07F29">
        <w:rPr>
          <w:rFonts w:ascii="Times New Roman" w:eastAsia="Times New Roman" w:hAnsi="Times New Roman" w:cs="Times New Roman"/>
          <w:color w:val="000000"/>
          <w:sz w:val="24"/>
          <w:szCs w:val="24"/>
          <w:lang w:eastAsia="ja-JP"/>
        </w:rPr>
        <w:t>, Krāslavas novada ilgtermiņa attīstības vīzija ir: “</w:t>
      </w:r>
      <w:r w:rsidRPr="00A07F29">
        <w:rPr>
          <w:rFonts w:ascii="Times New Roman" w:eastAsia="Times New Roman" w:hAnsi="Times New Roman" w:cs="Times New Roman"/>
          <w:i/>
          <w:iCs/>
          <w:color w:val="000000"/>
          <w:sz w:val="24"/>
          <w:szCs w:val="24"/>
          <w:lang w:eastAsia="ja-JP"/>
        </w:rPr>
        <w:t>ar izcilām ainaviskajām vērtībām un daudzveidīgu kultūrvēsturisko mantojumu bagāts un atpazīstams novads Latvijas dienvidaustrumos, kur dzīvo aktīvi iedzīvotāji, ir visiem pieejama un pievilcīga dzīves vide, sakārtota infrastruktūra, laba pārvaldība, un darbojas veiksmīgi un dinamiski uzņēmumi</w:t>
      </w:r>
      <w:r w:rsidRPr="00A07F29">
        <w:rPr>
          <w:rFonts w:ascii="Times New Roman" w:eastAsia="Times New Roman" w:hAnsi="Times New Roman" w:cs="Times New Roman"/>
          <w:color w:val="000000"/>
          <w:sz w:val="24"/>
          <w:szCs w:val="24"/>
          <w:lang w:eastAsia="ja-JP"/>
        </w:rPr>
        <w:t xml:space="preserve">”, savukārt ilgtermiņa prioritātes ir </w:t>
      </w:r>
      <w:r w:rsidR="00694F61" w:rsidRPr="00A07F29">
        <w:rPr>
          <w:rFonts w:ascii="Times New Roman" w:eastAsia="Times New Roman" w:hAnsi="Times New Roman" w:cs="Times New Roman"/>
          <w:color w:val="000000"/>
          <w:sz w:val="24"/>
          <w:szCs w:val="24"/>
          <w:lang w:eastAsia="ja-JP"/>
        </w:rPr>
        <w:t>–</w:t>
      </w:r>
      <w:r w:rsidRPr="00A07F29">
        <w:rPr>
          <w:rFonts w:ascii="Times New Roman" w:eastAsia="Times New Roman" w:hAnsi="Times New Roman" w:cs="Times New Roman"/>
          <w:color w:val="000000"/>
          <w:sz w:val="24"/>
          <w:szCs w:val="24"/>
          <w:lang w:eastAsia="ja-JP"/>
        </w:rPr>
        <w:t xml:space="preserve"> izglītots, radošs un aktīvs iedzīvotājs; dzīvei, darbam un atpūtai pievilcīga vide un infrastruktūra; uzņēmējdarbību atbalstoša vide.</w:t>
      </w:r>
    </w:p>
    <w:p w14:paraId="1F81B51C" w14:textId="5530ED0F" w:rsidR="00E53EBD" w:rsidRPr="00A07F29" w:rsidRDefault="00AF4C40" w:rsidP="00AD47BD">
      <w:pPr>
        <w:spacing w:after="120" w:line="240" w:lineRule="auto"/>
        <w:ind w:firstLine="851"/>
        <w:jc w:val="both"/>
        <w:rPr>
          <w:rFonts w:ascii="Times New Roman" w:eastAsia="Calibri" w:hAnsi="Times New Roman" w:cs="Calibri"/>
          <w:sz w:val="24"/>
        </w:rPr>
      </w:pPr>
      <w:r w:rsidRPr="00A07F29">
        <w:rPr>
          <w:rFonts w:ascii="Times New Roman" w:eastAsia="Times New Roman" w:hAnsi="Times New Roman" w:cs="Times New Roman"/>
          <w:color w:val="000000"/>
          <w:sz w:val="24"/>
          <w:szCs w:val="24"/>
          <w:lang w:eastAsia="ja-JP"/>
        </w:rPr>
        <w:t>Krāslavas novada ilgtspējīgas attīstības stratēģijā 20</w:t>
      </w:r>
      <w:r w:rsidR="000729A0">
        <w:rPr>
          <w:rFonts w:ascii="Times New Roman" w:eastAsia="Times New Roman" w:hAnsi="Times New Roman" w:cs="Times New Roman"/>
          <w:color w:val="000000"/>
          <w:sz w:val="24"/>
          <w:szCs w:val="24"/>
          <w:lang w:eastAsia="ja-JP"/>
        </w:rPr>
        <w:t>22</w:t>
      </w:r>
      <w:r w:rsidRPr="00A07F29">
        <w:rPr>
          <w:rFonts w:ascii="Times New Roman" w:eastAsia="Times New Roman" w:hAnsi="Times New Roman" w:cs="Times New Roman"/>
          <w:color w:val="000000"/>
          <w:sz w:val="24"/>
          <w:szCs w:val="24"/>
          <w:lang w:eastAsia="ja-JP"/>
        </w:rPr>
        <w:t>.</w:t>
      </w:r>
      <w:r w:rsidR="006D620E" w:rsidRPr="00A07F29">
        <w:rPr>
          <w:rFonts w:ascii="Times New Roman" w:eastAsia="Times New Roman" w:hAnsi="Times New Roman" w:cs="Times New Roman"/>
          <w:color w:val="000000"/>
          <w:sz w:val="24"/>
          <w:szCs w:val="24"/>
          <w:lang w:eastAsia="ja-JP"/>
        </w:rPr>
        <w:t> – </w:t>
      </w:r>
      <w:r w:rsidRPr="00A07F29">
        <w:rPr>
          <w:rFonts w:ascii="Times New Roman" w:eastAsia="Times New Roman" w:hAnsi="Times New Roman" w:cs="Times New Roman"/>
          <w:color w:val="000000"/>
          <w:sz w:val="24"/>
          <w:szCs w:val="24"/>
          <w:lang w:eastAsia="ja-JP"/>
        </w:rPr>
        <w:t>203</w:t>
      </w:r>
      <w:r w:rsidR="000729A0">
        <w:rPr>
          <w:rFonts w:ascii="Times New Roman" w:eastAsia="Times New Roman" w:hAnsi="Times New Roman" w:cs="Times New Roman"/>
          <w:color w:val="000000"/>
          <w:sz w:val="24"/>
          <w:szCs w:val="24"/>
          <w:lang w:eastAsia="ja-JP"/>
        </w:rPr>
        <w:t>7</w:t>
      </w:r>
      <w:r w:rsidRPr="00A07F29">
        <w:rPr>
          <w:rFonts w:ascii="Times New Roman" w:eastAsia="Times New Roman" w:hAnsi="Times New Roman" w:cs="Times New Roman"/>
          <w:color w:val="000000"/>
          <w:sz w:val="24"/>
          <w:szCs w:val="24"/>
          <w:lang w:eastAsia="ja-JP"/>
        </w:rPr>
        <w:t>.</w:t>
      </w:r>
      <w:r w:rsidR="00A2639C" w:rsidRPr="00A07F29">
        <w:rPr>
          <w:rFonts w:ascii="Times New Roman" w:eastAsia="Times New Roman" w:hAnsi="Times New Roman" w:cs="Times New Roman"/>
          <w:color w:val="000000"/>
          <w:sz w:val="24"/>
          <w:szCs w:val="24"/>
          <w:lang w:eastAsia="ja-JP"/>
        </w:rPr>
        <w:t> </w:t>
      </w:r>
      <w:r w:rsidR="00C61063" w:rsidRPr="00A07F29">
        <w:rPr>
          <w:rFonts w:ascii="Times New Roman" w:eastAsia="Times New Roman" w:hAnsi="Times New Roman" w:cs="Times New Roman"/>
          <w:color w:val="000000"/>
          <w:sz w:val="24"/>
          <w:szCs w:val="24"/>
          <w:lang w:eastAsia="ja-JP"/>
        </w:rPr>
        <w:t>gadam</w:t>
      </w:r>
      <w:r w:rsidR="00A2639C" w:rsidRPr="00A07F29">
        <w:rPr>
          <w:rFonts w:ascii="Times New Roman" w:eastAsia="Times New Roman" w:hAnsi="Times New Roman" w:cs="Times New Roman"/>
          <w:color w:val="000000"/>
          <w:sz w:val="24"/>
          <w:szCs w:val="24"/>
          <w:lang w:eastAsia="ja-JP"/>
        </w:rPr>
        <w:t xml:space="preserve"> </w:t>
      </w:r>
      <w:r w:rsidR="00C61063" w:rsidRPr="00A07F29">
        <w:rPr>
          <w:rFonts w:ascii="Times New Roman" w:eastAsia="Times New Roman" w:hAnsi="Times New Roman" w:cs="Times New Roman"/>
          <w:color w:val="000000"/>
          <w:sz w:val="24"/>
          <w:szCs w:val="24"/>
          <w:lang w:eastAsia="ja-JP"/>
        </w:rPr>
        <w:t>t</w:t>
      </w:r>
      <w:r w:rsidRPr="00A07F29">
        <w:rPr>
          <w:rFonts w:ascii="Times New Roman" w:eastAsia="Times New Roman" w:hAnsi="Times New Roman" w:cs="Times New Roman"/>
          <w:color w:val="000000"/>
          <w:sz w:val="24"/>
          <w:szCs w:val="24"/>
          <w:lang w:eastAsia="ja-JP"/>
        </w:rPr>
        <w:t xml:space="preserve">iek minēts, ka Krāslavas novads ir lepns par </w:t>
      </w:r>
      <w:r w:rsidR="00706B70">
        <w:rPr>
          <w:rFonts w:ascii="Times New Roman" w:eastAsia="Times New Roman" w:hAnsi="Times New Roman" w:cs="Times New Roman"/>
          <w:color w:val="000000"/>
          <w:sz w:val="24"/>
          <w:szCs w:val="24"/>
          <w:lang w:eastAsia="ja-JP"/>
        </w:rPr>
        <w:t>330</w:t>
      </w:r>
      <w:r w:rsidRPr="00A07F29">
        <w:rPr>
          <w:rFonts w:ascii="Times New Roman" w:eastAsia="Times New Roman" w:hAnsi="Times New Roman" w:cs="Times New Roman"/>
          <w:color w:val="000000"/>
          <w:sz w:val="24"/>
          <w:szCs w:val="24"/>
          <w:lang w:eastAsia="ja-JP"/>
        </w:rPr>
        <w:t xml:space="preserve"> ezeriem, tajā skaitā Baltijā dziļāko ezeru Drīdzi, likteņupi Daugavu, Augšdaugavas </w:t>
      </w:r>
      <w:r w:rsidR="00A91415" w:rsidRPr="00A07F29">
        <w:rPr>
          <w:rFonts w:ascii="Times New Roman" w:eastAsia="Times New Roman" w:hAnsi="Times New Roman" w:cs="Times New Roman"/>
          <w:color w:val="000000"/>
          <w:sz w:val="24"/>
          <w:szCs w:val="24"/>
          <w:lang w:eastAsia="ja-JP"/>
        </w:rPr>
        <w:t>AAA</w:t>
      </w:r>
      <w:r w:rsidRPr="00A07F29">
        <w:rPr>
          <w:rFonts w:ascii="Times New Roman" w:eastAsia="Times New Roman" w:hAnsi="Times New Roman" w:cs="Times New Roman"/>
          <w:color w:val="000000"/>
          <w:sz w:val="24"/>
          <w:szCs w:val="24"/>
          <w:lang w:eastAsia="ja-JP"/>
        </w:rPr>
        <w:t xml:space="preserve"> un </w:t>
      </w:r>
      <w:r w:rsidR="00BF0E06" w:rsidRPr="00A07F29">
        <w:rPr>
          <w:rFonts w:ascii="Times New Roman" w:eastAsia="Times New Roman" w:hAnsi="Times New Roman" w:cs="Times New Roman"/>
          <w:color w:val="000000"/>
          <w:sz w:val="24"/>
          <w:szCs w:val="24"/>
          <w:lang w:eastAsia="ja-JP"/>
        </w:rPr>
        <w:t>DP</w:t>
      </w:r>
      <w:r w:rsidRPr="00A07F29">
        <w:rPr>
          <w:rFonts w:ascii="Times New Roman" w:eastAsia="Times New Roman" w:hAnsi="Times New Roman" w:cs="Times New Roman"/>
          <w:color w:val="000000"/>
          <w:sz w:val="24"/>
          <w:szCs w:val="24"/>
          <w:lang w:eastAsia="ja-JP"/>
        </w:rPr>
        <w:t xml:space="preserve"> </w:t>
      </w:r>
      <w:r w:rsidR="00557B81" w:rsidRPr="00A07F29">
        <w:rPr>
          <w:rFonts w:ascii="Times New Roman" w:eastAsia="Times New Roman" w:hAnsi="Times New Roman" w:cs="Times New Roman"/>
          <w:color w:val="000000"/>
          <w:sz w:val="24"/>
          <w:szCs w:val="24"/>
          <w:lang w:eastAsia="ja-JP"/>
        </w:rPr>
        <w:t>“</w:t>
      </w:r>
      <w:r w:rsidRPr="00A07F29">
        <w:rPr>
          <w:rFonts w:ascii="Times New Roman" w:eastAsia="Times New Roman" w:hAnsi="Times New Roman" w:cs="Times New Roman"/>
          <w:color w:val="000000"/>
          <w:sz w:val="24"/>
          <w:szCs w:val="24"/>
          <w:lang w:eastAsia="ja-JP"/>
        </w:rPr>
        <w:t xml:space="preserve">Daugavas loki”. Krāslavas novads pozicionējis sevi kā </w:t>
      </w:r>
      <w:r w:rsidR="00E53EBD" w:rsidRPr="00A07F29">
        <w:rPr>
          <w:rFonts w:ascii="Times New Roman" w:eastAsia="Times New Roman" w:hAnsi="Times New Roman" w:cs="Times New Roman"/>
          <w:color w:val="000000"/>
          <w:sz w:val="24"/>
          <w:szCs w:val="24"/>
          <w:lang w:eastAsia="ja-JP"/>
        </w:rPr>
        <w:t>“</w:t>
      </w:r>
      <w:r w:rsidRPr="00A07F29">
        <w:rPr>
          <w:rFonts w:ascii="Times New Roman" w:eastAsia="Times New Roman" w:hAnsi="Times New Roman" w:cs="Times New Roman"/>
          <w:color w:val="000000"/>
          <w:sz w:val="24"/>
          <w:szCs w:val="24"/>
          <w:lang w:eastAsia="ja-JP"/>
        </w:rPr>
        <w:t>Novadu Daugavas lokos”.</w:t>
      </w:r>
    </w:p>
    <w:p w14:paraId="6FB3BBF5" w14:textId="0657C6ED" w:rsidR="00AF4C40" w:rsidRPr="00A07F29" w:rsidRDefault="00AF4C40" w:rsidP="00AD47BD">
      <w:pPr>
        <w:spacing w:after="120" w:line="240" w:lineRule="auto"/>
        <w:ind w:firstLine="851"/>
        <w:jc w:val="both"/>
        <w:rPr>
          <w:rFonts w:ascii="Times New Roman" w:eastAsia="Times New Roman" w:hAnsi="Times New Roman" w:cs="Times New Roman"/>
          <w:color w:val="000000"/>
          <w:sz w:val="24"/>
          <w:szCs w:val="24"/>
          <w:lang w:eastAsia="ja-JP"/>
        </w:rPr>
      </w:pPr>
      <w:r w:rsidRPr="00A07F29">
        <w:rPr>
          <w:rFonts w:ascii="Times New Roman" w:eastAsia="Times New Roman" w:hAnsi="Times New Roman" w:cs="Times New Roman"/>
          <w:color w:val="000000"/>
          <w:sz w:val="24"/>
          <w:szCs w:val="24"/>
          <w:lang w:eastAsia="ja-JP"/>
        </w:rPr>
        <w:t>Krāslavas novada attīstības programmā 20</w:t>
      </w:r>
      <w:r w:rsidR="002209DA">
        <w:rPr>
          <w:rFonts w:ascii="Times New Roman" w:eastAsia="Times New Roman" w:hAnsi="Times New Roman" w:cs="Times New Roman"/>
          <w:color w:val="000000"/>
          <w:sz w:val="24"/>
          <w:szCs w:val="24"/>
          <w:lang w:eastAsia="ja-JP"/>
        </w:rPr>
        <w:t>22</w:t>
      </w:r>
      <w:r w:rsidR="00C30EDA" w:rsidRPr="00A07F29">
        <w:rPr>
          <w:rFonts w:ascii="Times New Roman" w:eastAsia="Times New Roman" w:hAnsi="Times New Roman" w:cs="Times New Roman"/>
          <w:color w:val="000000"/>
          <w:sz w:val="24"/>
          <w:szCs w:val="24"/>
          <w:lang w:eastAsia="ja-JP"/>
        </w:rPr>
        <w:t>.</w:t>
      </w:r>
      <w:r w:rsidR="006D620E" w:rsidRPr="00A07F29">
        <w:rPr>
          <w:rFonts w:ascii="Times New Roman" w:eastAsia="Times New Roman" w:hAnsi="Times New Roman" w:cs="Times New Roman"/>
          <w:color w:val="000000"/>
          <w:sz w:val="24"/>
          <w:szCs w:val="24"/>
          <w:lang w:eastAsia="ja-JP"/>
        </w:rPr>
        <w:t> – </w:t>
      </w:r>
      <w:r w:rsidR="00C30EDA" w:rsidRPr="00A07F29">
        <w:rPr>
          <w:rFonts w:ascii="Times New Roman" w:eastAsia="Times New Roman" w:hAnsi="Times New Roman" w:cs="Times New Roman"/>
          <w:color w:val="000000"/>
          <w:sz w:val="24"/>
          <w:szCs w:val="24"/>
          <w:lang w:eastAsia="ja-JP"/>
        </w:rPr>
        <w:t>2</w:t>
      </w:r>
      <w:r w:rsidRPr="00A07F29">
        <w:rPr>
          <w:rFonts w:ascii="Times New Roman" w:eastAsia="Times New Roman" w:hAnsi="Times New Roman" w:cs="Times New Roman"/>
          <w:color w:val="000000"/>
          <w:sz w:val="24"/>
          <w:szCs w:val="24"/>
          <w:lang w:eastAsia="ja-JP"/>
        </w:rPr>
        <w:t>02</w:t>
      </w:r>
      <w:r w:rsidR="002209DA">
        <w:rPr>
          <w:rFonts w:ascii="Times New Roman" w:eastAsia="Times New Roman" w:hAnsi="Times New Roman" w:cs="Times New Roman"/>
          <w:color w:val="000000"/>
          <w:sz w:val="24"/>
          <w:szCs w:val="24"/>
          <w:lang w:eastAsia="ja-JP"/>
        </w:rPr>
        <w:t>8</w:t>
      </w:r>
      <w:r w:rsidRPr="00A07F29">
        <w:rPr>
          <w:rFonts w:ascii="Times New Roman" w:eastAsia="Times New Roman" w:hAnsi="Times New Roman" w:cs="Times New Roman"/>
          <w:color w:val="000000"/>
          <w:sz w:val="24"/>
          <w:szCs w:val="24"/>
          <w:lang w:eastAsia="ja-JP"/>
        </w:rPr>
        <w:t>.</w:t>
      </w:r>
      <w:r w:rsidR="00E53EBD" w:rsidRPr="00A07F29">
        <w:rPr>
          <w:rFonts w:ascii="Times New Roman" w:eastAsia="Times New Roman" w:hAnsi="Times New Roman" w:cs="Times New Roman"/>
          <w:color w:val="000000"/>
          <w:sz w:val="24"/>
          <w:szCs w:val="24"/>
          <w:lang w:eastAsia="ja-JP"/>
        </w:rPr>
        <w:t> </w:t>
      </w:r>
      <w:r w:rsidRPr="00A07F29">
        <w:rPr>
          <w:rFonts w:ascii="Times New Roman" w:eastAsia="Times New Roman" w:hAnsi="Times New Roman" w:cs="Times New Roman"/>
          <w:color w:val="000000"/>
          <w:sz w:val="24"/>
          <w:szCs w:val="24"/>
          <w:lang w:eastAsia="ja-JP"/>
        </w:rPr>
        <w:t>gad</w:t>
      </w:r>
      <w:r w:rsidR="00C30EDA" w:rsidRPr="00A07F29">
        <w:rPr>
          <w:rFonts w:ascii="Times New Roman" w:eastAsia="Times New Roman" w:hAnsi="Times New Roman" w:cs="Times New Roman"/>
          <w:color w:val="000000"/>
          <w:sz w:val="24"/>
          <w:szCs w:val="24"/>
          <w:lang w:eastAsia="ja-JP"/>
        </w:rPr>
        <w:t>am</w:t>
      </w:r>
      <w:r w:rsidR="001A346B">
        <w:rPr>
          <w:rStyle w:val="FootnoteReference"/>
          <w:rFonts w:ascii="Times New Roman" w:eastAsia="Times New Roman" w:hAnsi="Times New Roman" w:cs="Times New Roman"/>
          <w:color w:val="000000"/>
          <w:sz w:val="24"/>
          <w:szCs w:val="24"/>
          <w:lang w:eastAsia="ja-JP"/>
        </w:rPr>
        <w:footnoteReference w:id="3"/>
      </w:r>
      <w:r w:rsidRPr="00A07F29">
        <w:rPr>
          <w:rFonts w:ascii="Times New Roman" w:eastAsia="Times New Roman" w:hAnsi="Times New Roman" w:cs="Times New Roman"/>
          <w:color w:val="000000"/>
          <w:sz w:val="24"/>
          <w:szCs w:val="24"/>
          <w:lang w:eastAsia="ja-JP"/>
        </w:rPr>
        <w:t>,</w:t>
      </w:r>
      <w:r w:rsidRPr="00A07F29">
        <w:rPr>
          <w:rFonts w:ascii="Times New Roman" w:eastAsia="Calibri" w:hAnsi="Times New Roman" w:cs="Calibri"/>
          <w:sz w:val="24"/>
        </w:rPr>
        <w:t xml:space="preserve"> kas apstiprināta ar </w:t>
      </w:r>
      <w:r w:rsidR="007A241A" w:rsidRPr="00A07F29">
        <w:rPr>
          <w:rFonts w:ascii="Times New Roman" w:eastAsia="Times New Roman" w:hAnsi="Times New Roman" w:cs="Times New Roman"/>
          <w:color w:val="000000"/>
          <w:sz w:val="24"/>
          <w:szCs w:val="24"/>
          <w:lang w:eastAsia="ja-JP"/>
        </w:rPr>
        <w:t xml:space="preserve">Krāslavas novada domes </w:t>
      </w:r>
      <w:r w:rsidRPr="00A07F29">
        <w:rPr>
          <w:rFonts w:ascii="Times New Roman" w:eastAsia="Times New Roman" w:hAnsi="Times New Roman" w:cs="Times New Roman"/>
          <w:color w:val="000000"/>
          <w:sz w:val="24"/>
          <w:szCs w:val="24"/>
          <w:lang w:eastAsia="ja-JP"/>
        </w:rPr>
        <w:t>20</w:t>
      </w:r>
      <w:r w:rsidR="004A41AA">
        <w:rPr>
          <w:rFonts w:ascii="Times New Roman" w:eastAsia="Times New Roman" w:hAnsi="Times New Roman" w:cs="Times New Roman"/>
          <w:color w:val="000000"/>
          <w:sz w:val="24"/>
          <w:szCs w:val="24"/>
          <w:lang w:eastAsia="ja-JP"/>
        </w:rPr>
        <w:t>22</w:t>
      </w:r>
      <w:r w:rsidRPr="00A07F29">
        <w:rPr>
          <w:rFonts w:ascii="Times New Roman" w:eastAsia="Times New Roman" w:hAnsi="Times New Roman" w:cs="Times New Roman"/>
          <w:color w:val="000000"/>
          <w:sz w:val="24"/>
          <w:szCs w:val="24"/>
          <w:lang w:eastAsia="ja-JP"/>
        </w:rPr>
        <w:t>.</w:t>
      </w:r>
      <w:r w:rsidR="00C30EDA" w:rsidRPr="00A07F29">
        <w:rPr>
          <w:rFonts w:ascii="Times New Roman" w:eastAsia="Times New Roman" w:hAnsi="Times New Roman" w:cs="Times New Roman"/>
          <w:color w:val="000000"/>
          <w:sz w:val="24"/>
          <w:szCs w:val="24"/>
          <w:lang w:eastAsia="ja-JP"/>
        </w:rPr>
        <w:t> </w:t>
      </w:r>
      <w:r w:rsidRPr="00A07F29">
        <w:rPr>
          <w:rFonts w:ascii="Times New Roman" w:eastAsia="Times New Roman" w:hAnsi="Times New Roman" w:cs="Times New Roman"/>
          <w:color w:val="000000"/>
          <w:sz w:val="24"/>
          <w:szCs w:val="24"/>
          <w:lang w:eastAsia="ja-JP"/>
        </w:rPr>
        <w:t xml:space="preserve">gada </w:t>
      </w:r>
      <w:r w:rsidR="004A41AA">
        <w:rPr>
          <w:rFonts w:ascii="Times New Roman" w:eastAsia="Times New Roman" w:hAnsi="Times New Roman" w:cs="Times New Roman"/>
          <w:color w:val="000000"/>
          <w:sz w:val="24"/>
          <w:szCs w:val="24"/>
          <w:lang w:eastAsia="ja-JP"/>
        </w:rPr>
        <w:t>27</w:t>
      </w:r>
      <w:r w:rsidRPr="00A07F29">
        <w:rPr>
          <w:rFonts w:ascii="Times New Roman" w:eastAsia="Times New Roman" w:hAnsi="Times New Roman" w:cs="Times New Roman"/>
          <w:color w:val="000000"/>
          <w:sz w:val="24"/>
          <w:szCs w:val="24"/>
          <w:lang w:eastAsia="ja-JP"/>
        </w:rPr>
        <w:t>.</w:t>
      </w:r>
      <w:r w:rsidR="004A41AA">
        <w:rPr>
          <w:rFonts w:ascii="Times New Roman" w:eastAsia="Times New Roman" w:hAnsi="Times New Roman" w:cs="Times New Roman"/>
          <w:color w:val="000000"/>
          <w:sz w:val="24"/>
          <w:szCs w:val="24"/>
          <w:lang w:eastAsia="ja-JP"/>
        </w:rPr>
        <w:t> janvāra</w:t>
      </w:r>
      <w:r w:rsidRPr="00A07F29">
        <w:rPr>
          <w:rFonts w:ascii="Times New Roman" w:eastAsia="Times New Roman" w:hAnsi="Times New Roman" w:cs="Times New Roman"/>
          <w:color w:val="000000"/>
          <w:sz w:val="24"/>
          <w:szCs w:val="24"/>
          <w:lang w:eastAsia="ja-JP"/>
        </w:rPr>
        <w:t xml:space="preserve"> lēmumu </w:t>
      </w:r>
      <w:r w:rsidR="003D159D" w:rsidRPr="00A07F29">
        <w:rPr>
          <w:rFonts w:ascii="Times New Roman" w:eastAsia="Times New Roman" w:hAnsi="Times New Roman" w:cs="Times New Roman"/>
          <w:color w:val="000000"/>
          <w:sz w:val="24"/>
          <w:szCs w:val="24"/>
          <w:lang w:eastAsia="ja-JP"/>
        </w:rPr>
        <w:t>“</w:t>
      </w:r>
      <w:r w:rsidR="00FA2879" w:rsidRPr="00FA2879">
        <w:rPr>
          <w:rFonts w:ascii="Times New Roman" w:eastAsia="Times New Roman" w:hAnsi="Times New Roman" w:cs="Times New Roman"/>
          <w:color w:val="000000"/>
          <w:sz w:val="24"/>
          <w:szCs w:val="24"/>
          <w:lang w:eastAsia="ja-JP"/>
        </w:rPr>
        <w:t>Par Krāslavas novada ilgtspējīgas attīstības stratēģijas 2022. – 2037. gadam un Krāslavas novada attīstības programmas 2022. – 2028. gadam apstiprināšanu</w:t>
      </w:r>
      <w:r w:rsidRPr="00A07F29">
        <w:rPr>
          <w:rFonts w:ascii="Times New Roman" w:eastAsia="Times New Roman" w:hAnsi="Times New Roman" w:cs="Times New Roman"/>
          <w:color w:val="000000"/>
          <w:sz w:val="24"/>
          <w:szCs w:val="24"/>
          <w:lang w:eastAsia="ja-JP"/>
        </w:rPr>
        <w:t>” (protokols Nr.</w:t>
      </w:r>
      <w:r w:rsidR="003D159D" w:rsidRPr="00A07F29">
        <w:rPr>
          <w:rFonts w:ascii="Times New Roman" w:eastAsia="Times New Roman" w:hAnsi="Times New Roman" w:cs="Times New Roman"/>
          <w:color w:val="000000"/>
          <w:sz w:val="24"/>
          <w:szCs w:val="24"/>
          <w:lang w:eastAsia="ja-JP"/>
        </w:rPr>
        <w:t> </w:t>
      </w:r>
      <w:r w:rsidR="00A1146E">
        <w:rPr>
          <w:rFonts w:ascii="Times New Roman" w:eastAsia="Times New Roman" w:hAnsi="Times New Roman" w:cs="Times New Roman"/>
          <w:color w:val="000000"/>
          <w:sz w:val="24"/>
          <w:szCs w:val="24"/>
          <w:lang w:eastAsia="ja-JP"/>
        </w:rPr>
        <w:t>1</w:t>
      </w:r>
      <w:r w:rsidRPr="00A07F29">
        <w:rPr>
          <w:rFonts w:ascii="Times New Roman" w:eastAsia="Times New Roman" w:hAnsi="Times New Roman" w:cs="Times New Roman"/>
          <w:color w:val="000000"/>
          <w:sz w:val="24"/>
          <w:szCs w:val="24"/>
          <w:lang w:eastAsia="ja-JP"/>
        </w:rPr>
        <w:t xml:space="preserve">., </w:t>
      </w:r>
      <w:r w:rsidR="00A1146E">
        <w:rPr>
          <w:rFonts w:ascii="Times New Roman" w:eastAsia="Times New Roman" w:hAnsi="Times New Roman" w:cs="Times New Roman"/>
          <w:color w:val="000000"/>
          <w:sz w:val="24"/>
          <w:szCs w:val="24"/>
          <w:lang w:eastAsia="ja-JP"/>
        </w:rPr>
        <w:t>24</w:t>
      </w:r>
      <w:r w:rsidR="00FA2879" w:rsidRPr="00FA2879">
        <w:rPr>
          <w:rFonts w:ascii="Times New Roman" w:eastAsia="Times New Roman" w:hAnsi="Times New Roman" w:cs="Times New Roman"/>
          <w:color w:val="000000"/>
          <w:sz w:val="24"/>
          <w:szCs w:val="24"/>
          <w:lang w:eastAsia="ja-JP"/>
        </w:rPr>
        <w:t>§</w:t>
      </w:r>
      <w:r w:rsidRPr="00A07F29">
        <w:rPr>
          <w:rFonts w:ascii="Times New Roman" w:eastAsia="Times New Roman" w:hAnsi="Times New Roman" w:cs="Times New Roman"/>
          <w:color w:val="000000"/>
          <w:sz w:val="24"/>
          <w:szCs w:val="24"/>
          <w:lang w:eastAsia="ja-JP"/>
        </w:rPr>
        <w:t>), kā tūrisma nozares stiprās puses uzsvērtas: 1)</w:t>
      </w:r>
      <w:r w:rsidR="003D159D" w:rsidRPr="00A07F29">
        <w:rPr>
          <w:rFonts w:ascii="Times New Roman" w:eastAsia="Times New Roman" w:hAnsi="Times New Roman" w:cs="Times New Roman"/>
          <w:color w:val="000000"/>
          <w:sz w:val="24"/>
          <w:szCs w:val="24"/>
          <w:lang w:eastAsia="ja-JP"/>
        </w:rPr>
        <w:t> </w:t>
      </w:r>
      <w:r w:rsidRPr="00A07F29">
        <w:rPr>
          <w:rFonts w:ascii="Times New Roman" w:eastAsia="Times New Roman" w:hAnsi="Times New Roman" w:cs="Times New Roman"/>
          <w:color w:val="000000"/>
          <w:sz w:val="24"/>
          <w:szCs w:val="24"/>
          <w:lang w:eastAsia="ja-JP"/>
        </w:rPr>
        <w:t>ainavām bagāta un maz piesārņota vide un gaiss, daudzveidīgi dabas resursi (ezeri, pakalni, meži, reljefs); 2)</w:t>
      </w:r>
      <w:r w:rsidR="003D159D" w:rsidRPr="00A07F29">
        <w:rPr>
          <w:rFonts w:ascii="Times New Roman" w:eastAsia="Times New Roman" w:hAnsi="Times New Roman" w:cs="Times New Roman"/>
          <w:color w:val="000000"/>
          <w:sz w:val="24"/>
          <w:szCs w:val="24"/>
          <w:lang w:eastAsia="ja-JP"/>
        </w:rPr>
        <w:t> </w:t>
      </w:r>
      <w:r w:rsidRPr="00A07F29">
        <w:rPr>
          <w:rFonts w:ascii="Times New Roman" w:eastAsia="Times New Roman" w:hAnsi="Times New Roman" w:cs="Times New Roman"/>
          <w:color w:val="000000"/>
          <w:sz w:val="24"/>
          <w:szCs w:val="24"/>
          <w:lang w:eastAsia="ja-JP"/>
        </w:rPr>
        <w:t>maz apdzīvots Daugavas kreisais krasts; 3)</w:t>
      </w:r>
      <w:r w:rsidR="003D159D" w:rsidRPr="00A07F29">
        <w:rPr>
          <w:rFonts w:ascii="Times New Roman" w:eastAsia="Times New Roman" w:hAnsi="Times New Roman" w:cs="Times New Roman"/>
          <w:color w:val="000000"/>
          <w:sz w:val="24"/>
          <w:szCs w:val="24"/>
          <w:lang w:eastAsia="ja-JP"/>
        </w:rPr>
        <w:t> </w:t>
      </w:r>
      <w:r w:rsidRPr="00A07F29">
        <w:rPr>
          <w:rFonts w:ascii="Times New Roman" w:eastAsia="Times New Roman" w:hAnsi="Times New Roman" w:cs="Times New Roman"/>
          <w:color w:val="000000"/>
          <w:sz w:val="24"/>
          <w:szCs w:val="24"/>
          <w:lang w:eastAsia="ja-JP"/>
        </w:rPr>
        <w:t>bagātīga flora un fauna; 4)</w:t>
      </w:r>
      <w:r w:rsidR="003D159D" w:rsidRPr="00A07F29">
        <w:rPr>
          <w:rFonts w:ascii="Times New Roman" w:eastAsia="Times New Roman" w:hAnsi="Times New Roman" w:cs="Times New Roman"/>
          <w:color w:val="000000"/>
          <w:sz w:val="24"/>
          <w:szCs w:val="24"/>
          <w:lang w:eastAsia="ja-JP"/>
        </w:rPr>
        <w:t> </w:t>
      </w:r>
      <w:proofErr w:type="spellStart"/>
      <w:r w:rsidR="0092556E" w:rsidRPr="00A07F29">
        <w:rPr>
          <w:rFonts w:ascii="Times New Roman" w:eastAsia="Times New Roman" w:hAnsi="Times New Roman" w:cs="Times New Roman"/>
          <w:i/>
          <w:color w:val="000000"/>
          <w:sz w:val="24"/>
          <w:szCs w:val="24"/>
          <w:lang w:eastAsia="ja-JP"/>
        </w:rPr>
        <w:t>Natura</w:t>
      </w:r>
      <w:proofErr w:type="spellEnd"/>
      <w:r w:rsidRPr="00A07F29">
        <w:rPr>
          <w:rFonts w:ascii="Times New Roman" w:eastAsia="Times New Roman" w:hAnsi="Times New Roman" w:cs="Times New Roman"/>
          <w:i/>
          <w:color w:val="000000"/>
          <w:sz w:val="24"/>
          <w:szCs w:val="24"/>
          <w:lang w:eastAsia="ja-JP"/>
        </w:rPr>
        <w:t xml:space="preserve"> 2000</w:t>
      </w:r>
      <w:r w:rsidRPr="00A07F29">
        <w:rPr>
          <w:rFonts w:ascii="Times New Roman" w:eastAsia="Times New Roman" w:hAnsi="Times New Roman" w:cs="Times New Roman"/>
          <w:color w:val="000000"/>
          <w:sz w:val="24"/>
          <w:szCs w:val="24"/>
          <w:lang w:eastAsia="ja-JP"/>
        </w:rPr>
        <w:t xml:space="preserve"> teritorijas; 5)</w:t>
      </w:r>
      <w:r w:rsidR="003D159D" w:rsidRPr="00A07F29">
        <w:rPr>
          <w:rFonts w:ascii="Times New Roman" w:eastAsia="Times New Roman" w:hAnsi="Times New Roman" w:cs="Times New Roman"/>
          <w:color w:val="000000"/>
          <w:sz w:val="24"/>
          <w:szCs w:val="24"/>
          <w:lang w:eastAsia="ja-JP"/>
        </w:rPr>
        <w:t> </w:t>
      </w:r>
      <w:r w:rsidRPr="00A07F29">
        <w:rPr>
          <w:rFonts w:ascii="Times New Roman" w:eastAsia="Times New Roman" w:hAnsi="Times New Roman" w:cs="Times New Roman"/>
          <w:color w:val="000000"/>
          <w:sz w:val="24"/>
          <w:szCs w:val="24"/>
          <w:lang w:eastAsia="ja-JP"/>
        </w:rPr>
        <w:t>daba – milzīgs tūrisma attīstības resurss.</w:t>
      </w:r>
    </w:p>
    <w:p w14:paraId="5D3E9053" w14:textId="55097CC7" w:rsidR="00AF4C40" w:rsidRPr="00A07F29" w:rsidRDefault="00AF4C40" w:rsidP="00AD47BD">
      <w:pPr>
        <w:spacing w:after="120" w:line="240" w:lineRule="auto"/>
        <w:ind w:firstLine="851"/>
        <w:jc w:val="both"/>
        <w:rPr>
          <w:rFonts w:ascii="Times New Roman" w:eastAsia="Times New Roman" w:hAnsi="Times New Roman" w:cs="Times New Roman"/>
          <w:color w:val="000000"/>
          <w:sz w:val="24"/>
          <w:szCs w:val="24"/>
          <w:lang w:eastAsia="ja-JP"/>
        </w:rPr>
      </w:pPr>
      <w:r w:rsidRPr="00A07F29">
        <w:rPr>
          <w:rFonts w:ascii="Times New Roman" w:eastAsia="Times New Roman" w:hAnsi="Times New Roman" w:cs="Times New Roman"/>
          <w:color w:val="000000"/>
          <w:sz w:val="24"/>
          <w:szCs w:val="24"/>
          <w:lang w:eastAsia="ja-JP"/>
        </w:rPr>
        <w:t>Teritorijas plānojuma 2013.</w:t>
      </w:r>
      <w:r w:rsidR="006D620E" w:rsidRPr="00A07F29">
        <w:rPr>
          <w:rFonts w:ascii="Times New Roman" w:eastAsia="Times New Roman" w:hAnsi="Times New Roman" w:cs="Times New Roman"/>
          <w:color w:val="000000"/>
          <w:sz w:val="24"/>
          <w:szCs w:val="24"/>
          <w:lang w:eastAsia="ja-JP"/>
        </w:rPr>
        <w:t> – </w:t>
      </w:r>
      <w:r w:rsidRPr="00A07F29">
        <w:rPr>
          <w:rFonts w:ascii="Times New Roman" w:eastAsia="Times New Roman" w:hAnsi="Times New Roman" w:cs="Times New Roman"/>
          <w:color w:val="000000"/>
          <w:sz w:val="24"/>
          <w:szCs w:val="24"/>
          <w:lang w:eastAsia="ja-JP"/>
        </w:rPr>
        <w:t>2024.</w:t>
      </w:r>
      <w:r w:rsidR="00F67B35" w:rsidRPr="00A07F29">
        <w:rPr>
          <w:rFonts w:ascii="Times New Roman" w:eastAsia="Times New Roman" w:hAnsi="Times New Roman" w:cs="Times New Roman"/>
          <w:color w:val="000000"/>
          <w:sz w:val="24"/>
          <w:szCs w:val="24"/>
          <w:lang w:eastAsia="ja-JP"/>
        </w:rPr>
        <w:t> </w:t>
      </w:r>
      <w:r w:rsidRPr="00A07F29">
        <w:rPr>
          <w:rFonts w:ascii="Times New Roman" w:eastAsia="Times New Roman" w:hAnsi="Times New Roman" w:cs="Times New Roman"/>
          <w:color w:val="000000"/>
          <w:sz w:val="24"/>
          <w:szCs w:val="24"/>
          <w:lang w:eastAsia="ja-JP"/>
        </w:rPr>
        <w:t>gadam</w:t>
      </w:r>
      <w:r w:rsidR="00B14D75">
        <w:rPr>
          <w:rStyle w:val="FootnoteReference"/>
          <w:rFonts w:ascii="Times New Roman" w:eastAsia="Times New Roman" w:hAnsi="Times New Roman" w:cs="Times New Roman"/>
          <w:color w:val="000000"/>
          <w:sz w:val="24"/>
          <w:szCs w:val="24"/>
          <w:lang w:eastAsia="ja-JP"/>
        </w:rPr>
        <w:footnoteReference w:id="4"/>
      </w:r>
      <w:r w:rsidRPr="00A07F29">
        <w:rPr>
          <w:rFonts w:ascii="Times New Roman" w:eastAsia="Times New Roman" w:hAnsi="Times New Roman" w:cs="Times New Roman"/>
          <w:color w:val="000000"/>
          <w:sz w:val="24"/>
          <w:szCs w:val="24"/>
          <w:lang w:eastAsia="ja-JP"/>
        </w:rPr>
        <w:t>,</w:t>
      </w:r>
      <w:r w:rsidRPr="00A07F29">
        <w:rPr>
          <w:rFonts w:ascii="Times New Roman" w:eastAsia="Calibri" w:hAnsi="Times New Roman" w:cs="Calibri"/>
          <w:sz w:val="24"/>
        </w:rPr>
        <w:t xml:space="preserve"> </w:t>
      </w:r>
      <w:r w:rsidRPr="00A07F29">
        <w:rPr>
          <w:rFonts w:ascii="Times New Roman" w:eastAsia="Times New Roman" w:hAnsi="Times New Roman" w:cs="Times New Roman"/>
          <w:color w:val="000000"/>
          <w:sz w:val="24"/>
          <w:szCs w:val="24"/>
          <w:lang w:eastAsia="ja-JP"/>
        </w:rPr>
        <w:t>kas apstiprināts ar Krāslavas novada domes</w:t>
      </w:r>
      <w:r w:rsidR="007A241A" w:rsidRPr="00A07F29">
        <w:rPr>
          <w:rFonts w:ascii="Times New Roman" w:eastAsia="Times New Roman" w:hAnsi="Times New Roman" w:cs="Times New Roman"/>
          <w:color w:val="000000"/>
          <w:sz w:val="24"/>
          <w:szCs w:val="24"/>
          <w:lang w:eastAsia="ja-JP"/>
        </w:rPr>
        <w:t xml:space="preserve"> 2013.</w:t>
      </w:r>
      <w:r w:rsidR="00F67B35" w:rsidRPr="00A07F29">
        <w:rPr>
          <w:rFonts w:ascii="Times New Roman" w:eastAsia="Times New Roman" w:hAnsi="Times New Roman" w:cs="Times New Roman"/>
          <w:color w:val="000000"/>
          <w:sz w:val="24"/>
          <w:szCs w:val="24"/>
          <w:lang w:eastAsia="ja-JP"/>
        </w:rPr>
        <w:t> </w:t>
      </w:r>
      <w:r w:rsidR="007A241A" w:rsidRPr="00A07F29">
        <w:rPr>
          <w:rFonts w:ascii="Times New Roman" w:eastAsia="Times New Roman" w:hAnsi="Times New Roman" w:cs="Times New Roman"/>
          <w:color w:val="000000"/>
          <w:sz w:val="24"/>
          <w:szCs w:val="24"/>
          <w:lang w:eastAsia="ja-JP"/>
        </w:rPr>
        <w:t xml:space="preserve">gada </w:t>
      </w:r>
      <w:r w:rsidRPr="00A07F29">
        <w:rPr>
          <w:rFonts w:ascii="Times New Roman" w:eastAsia="Times New Roman" w:hAnsi="Times New Roman" w:cs="Times New Roman"/>
          <w:color w:val="000000"/>
          <w:sz w:val="24"/>
          <w:szCs w:val="24"/>
          <w:lang w:eastAsia="ja-JP"/>
        </w:rPr>
        <w:t>28.</w:t>
      </w:r>
      <w:r w:rsidR="00F67B35" w:rsidRPr="00A07F29">
        <w:rPr>
          <w:rFonts w:ascii="Times New Roman" w:eastAsia="Times New Roman" w:hAnsi="Times New Roman" w:cs="Times New Roman"/>
          <w:color w:val="000000"/>
          <w:sz w:val="24"/>
          <w:szCs w:val="24"/>
          <w:lang w:eastAsia="ja-JP"/>
        </w:rPr>
        <w:t> </w:t>
      </w:r>
      <w:r w:rsidR="007A241A" w:rsidRPr="00A07F29">
        <w:rPr>
          <w:rFonts w:ascii="Times New Roman" w:eastAsia="Times New Roman" w:hAnsi="Times New Roman" w:cs="Times New Roman"/>
          <w:color w:val="000000"/>
          <w:sz w:val="24"/>
          <w:szCs w:val="24"/>
          <w:lang w:eastAsia="ja-JP"/>
        </w:rPr>
        <w:t>februāra</w:t>
      </w:r>
      <w:r w:rsidRPr="00A07F29">
        <w:rPr>
          <w:rFonts w:ascii="Times New Roman" w:eastAsia="Times New Roman" w:hAnsi="Times New Roman" w:cs="Times New Roman"/>
          <w:color w:val="000000"/>
          <w:sz w:val="24"/>
          <w:szCs w:val="24"/>
          <w:lang w:eastAsia="ja-JP"/>
        </w:rPr>
        <w:t xml:space="preserve"> lēmumu (protokols Nr.</w:t>
      </w:r>
      <w:r w:rsidR="00F67B35" w:rsidRPr="00A07F29">
        <w:rPr>
          <w:rFonts w:ascii="Times New Roman" w:eastAsia="Times New Roman" w:hAnsi="Times New Roman" w:cs="Times New Roman"/>
          <w:color w:val="000000"/>
          <w:sz w:val="24"/>
          <w:szCs w:val="24"/>
          <w:lang w:eastAsia="ja-JP"/>
        </w:rPr>
        <w:t> </w:t>
      </w:r>
      <w:r w:rsidRPr="00A07F29">
        <w:rPr>
          <w:rFonts w:ascii="Times New Roman" w:eastAsia="Times New Roman" w:hAnsi="Times New Roman" w:cs="Times New Roman"/>
          <w:color w:val="000000"/>
          <w:sz w:val="24"/>
          <w:szCs w:val="24"/>
          <w:lang w:eastAsia="ja-JP"/>
        </w:rPr>
        <w:t xml:space="preserve">2, 12§) </w:t>
      </w:r>
      <w:r w:rsidR="00044E56" w:rsidRPr="00A07F29">
        <w:rPr>
          <w:rFonts w:ascii="Times New Roman" w:eastAsia="Times New Roman" w:hAnsi="Times New Roman" w:cs="Times New Roman"/>
          <w:color w:val="000000"/>
          <w:sz w:val="24"/>
          <w:szCs w:val="24"/>
          <w:lang w:eastAsia="ja-JP"/>
        </w:rPr>
        <w:t>“</w:t>
      </w:r>
      <w:r w:rsidRPr="00A07F29">
        <w:rPr>
          <w:rFonts w:ascii="Times New Roman" w:eastAsia="Times New Roman" w:hAnsi="Times New Roman" w:cs="Times New Roman"/>
          <w:color w:val="000000"/>
          <w:sz w:val="24"/>
          <w:szCs w:val="24"/>
          <w:lang w:eastAsia="ja-JP"/>
        </w:rPr>
        <w:t>Par Krāslavas novada teritorijas plānojuma 2013.</w:t>
      </w:r>
      <w:r w:rsidR="006D620E" w:rsidRPr="00A07F29">
        <w:rPr>
          <w:rFonts w:ascii="Times New Roman" w:eastAsia="Times New Roman" w:hAnsi="Times New Roman" w:cs="Times New Roman"/>
          <w:color w:val="000000"/>
          <w:sz w:val="24"/>
          <w:szCs w:val="24"/>
          <w:lang w:eastAsia="ja-JP"/>
        </w:rPr>
        <w:t> – </w:t>
      </w:r>
      <w:r w:rsidRPr="00A07F29">
        <w:rPr>
          <w:rFonts w:ascii="Times New Roman" w:eastAsia="Times New Roman" w:hAnsi="Times New Roman" w:cs="Times New Roman"/>
          <w:color w:val="000000"/>
          <w:sz w:val="24"/>
          <w:szCs w:val="24"/>
          <w:lang w:eastAsia="ja-JP"/>
        </w:rPr>
        <w:t>2024.</w:t>
      </w:r>
      <w:r w:rsidR="00044E56" w:rsidRPr="00A07F29">
        <w:rPr>
          <w:rFonts w:ascii="Times New Roman" w:eastAsia="Times New Roman" w:hAnsi="Times New Roman" w:cs="Times New Roman"/>
          <w:color w:val="000000"/>
          <w:sz w:val="24"/>
          <w:szCs w:val="24"/>
          <w:lang w:eastAsia="ja-JP"/>
        </w:rPr>
        <w:t> </w:t>
      </w:r>
      <w:r w:rsidRPr="00A07F29">
        <w:rPr>
          <w:rFonts w:ascii="Times New Roman" w:eastAsia="Times New Roman" w:hAnsi="Times New Roman" w:cs="Times New Roman"/>
          <w:color w:val="000000"/>
          <w:sz w:val="24"/>
          <w:szCs w:val="24"/>
          <w:lang w:eastAsia="ja-JP"/>
        </w:rPr>
        <w:t>gadam un saistošo noteikumu Nr.</w:t>
      </w:r>
      <w:r w:rsidR="00044E56" w:rsidRPr="00A07F29">
        <w:rPr>
          <w:rFonts w:ascii="Times New Roman" w:eastAsia="Times New Roman" w:hAnsi="Times New Roman" w:cs="Times New Roman"/>
          <w:color w:val="000000"/>
          <w:sz w:val="24"/>
          <w:szCs w:val="24"/>
          <w:lang w:eastAsia="ja-JP"/>
        </w:rPr>
        <w:t> </w:t>
      </w:r>
      <w:r w:rsidRPr="00A07F29">
        <w:rPr>
          <w:rFonts w:ascii="Times New Roman" w:eastAsia="Times New Roman" w:hAnsi="Times New Roman" w:cs="Times New Roman"/>
          <w:color w:val="000000"/>
          <w:sz w:val="24"/>
          <w:szCs w:val="24"/>
          <w:lang w:eastAsia="ja-JP"/>
        </w:rPr>
        <w:t>2013/2</w:t>
      </w:r>
      <w:r w:rsidR="00D65BBA" w:rsidRPr="00A07F29">
        <w:rPr>
          <w:rFonts w:ascii="Times New Roman" w:eastAsia="Times New Roman" w:hAnsi="Times New Roman" w:cs="Times New Roman"/>
          <w:color w:val="000000"/>
          <w:sz w:val="24"/>
          <w:szCs w:val="24"/>
          <w:lang w:eastAsia="ja-JP"/>
        </w:rPr>
        <w:t xml:space="preserve"> </w:t>
      </w:r>
      <w:r w:rsidR="00044E56" w:rsidRPr="00A07F29">
        <w:rPr>
          <w:rFonts w:ascii="Times New Roman" w:eastAsia="Times New Roman" w:hAnsi="Times New Roman" w:cs="Times New Roman"/>
          <w:color w:val="000000"/>
          <w:sz w:val="24"/>
          <w:szCs w:val="24"/>
          <w:lang w:eastAsia="ja-JP"/>
        </w:rPr>
        <w:t>“</w:t>
      </w:r>
      <w:r w:rsidRPr="00A07F29">
        <w:rPr>
          <w:rFonts w:ascii="Times New Roman" w:eastAsia="Times New Roman" w:hAnsi="Times New Roman" w:cs="Times New Roman"/>
          <w:color w:val="000000"/>
          <w:sz w:val="24"/>
          <w:szCs w:val="24"/>
          <w:lang w:eastAsia="ja-JP"/>
        </w:rPr>
        <w:t xml:space="preserve">Krāslavas novada teritorijas </w:t>
      </w:r>
      <w:r w:rsidR="007A241A" w:rsidRPr="00A07F29">
        <w:rPr>
          <w:rFonts w:ascii="Times New Roman" w:eastAsia="Times New Roman" w:hAnsi="Times New Roman" w:cs="Times New Roman"/>
          <w:color w:val="000000"/>
          <w:sz w:val="24"/>
          <w:szCs w:val="24"/>
          <w:lang w:eastAsia="ja-JP"/>
        </w:rPr>
        <w:t xml:space="preserve">plānojums </w:t>
      </w:r>
      <w:r w:rsidRPr="00A07F29">
        <w:rPr>
          <w:rFonts w:ascii="Times New Roman" w:eastAsia="Times New Roman" w:hAnsi="Times New Roman" w:cs="Times New Roman"/>
          <w:color w:val="000000"/>
          <w:sz w:val="24"/>
          <w:szCs w:val="24"/>
          <w:lang w:eastAsia="ja-JP"/>
        </w:rPr>
        <w:t>2013.</w:t>
      </w:r>
      <w:r w:rsidR="006D620E" w:rsidRPr="00A07F29">
        <w:rPr>
          <w:rFonts w:ascii="Times New Roman" w:eastAsia="Times New Roman" w:hAnsi="Times New Roman" w:cs="Times New Roman"/>
          <w:color w:val="000000"/>
          <w:sz w:val="24"/>
          <w:szCs w:val="24"/>
          <w:lang w:eastAsia="ja-JP"/>
        </w:rPr>
        <w:t> – </w:t>
      </w:r>
      <w:r w:rsidRPr="00A07F29">
        <w:rPr>
          <w:rFonts w:ascii="Times New Roman" w:eastAsia="Times New Roman" w:hAnsi="Times New Roman" w:cs="Times New Roman"/>
          <w:color w:val="000000"/>
          <w:sz w:val="24"/>
          <w:szCs w:val="24"/>
          <w:lang w:eastAsia="ja-JP"/>
        </w:rPr>
        <w:t>2024.</w:t>
      </w:r>
      <w:r w:rsidR="00044E56" w:rsidRPr="00A07F29">
        <w:rPr>
          <w:rFonts w:ascii="Times New Roman" w:eastAsia="Times New Roman" w:hAnsi="Times New Roman" w:cs="Times New Roman"/>
          <w:color w:val="000000"/>
          <w:sz w:val="24"/>
          <w:szCs w:val="24"/>
          <w:lang w:eastAsia="ja-JP"/>
        </w:rPr>
        <w:t> </w:t>
      </w:r>
      <w:r w:rsidRPr="00A07F29">
        <w:rPr>
          <w:rFonts w:ascii="Times New Roman" w:eastAsia="Times New Roman" w:hAnsi="Times New Roman" w:cs="Times New Roman"/>
          <w:color w:val="000000"/>
          <w:sz w:val="24"/>
          <w:szCs w:val="24"/>
          <w:lang w:eastAsia="ja-JP"/>
        </w:rPr>
        <w:t>gadam</w:t>
      </w:r>
      <w:r w:rsidR="007A241A" w:rsidRPr="00A07F29">
        <w:rPr>
          <w:rFonts w:ascii="Times New Roman" w:eastAsia="Times New Roman" w:hAnsi="Times New Roman" w:cs="Times New Roman"/>
          <w:color w:val="000000"/>
          <w:sz w:val="24"/>
          <w:szCs w:val="24"/>
          <w:lang w:eastAsia="ja-JP"/>
        </w:rPr>
        <w:t>,</w:t>
      </w:r>
      <w:r w:rsidRPr="00A07F29">
        <w:rPr>
          <w:rFonts w:ascii="Times New Roman" w:eastAsia="Times New Roman" w:hAnsi="Times New Roman" w:cs="Times New Roman"/>
          <w:color w:val="000000"/>
          <w:sz w:val="24"/>
          <w:szCs w:val="24"/>
          <w:lang w:eastAsia="ja-JP"/>
        </w:rPr>
        <w:t xml:space="preserve"> Teritorijas izmantošanas un apbūves noteikumi un Grafiskā daļa</w:t>
      </w:r>
      <w:r w:rsidR="007A241A" w:rsidRPr="00A07F29">
        <w:rPr>
          <w:rFonts w:ascii="Times New Roman" w:eastAsia="Times New Roman" w:hAnsi="Times New Roman" w:cs="Times New Roman"/>
          <w:color w:val="000000"/>
          <w:sz w:val="24"/>
          <w:szCs w:val="24"/>
          <w:lang w:eastAsia="ja-JP"/>
        </w:rPr>
        <w:t xml:space="preserve"> </w:t>
      </w:r>
      <w:r w:rsidRPr="00A07F29">
        <w:rPr>
          <w:rFonts w:ascii="Times New Roman" w:eastAsia="Times New Roman" w:hAnsi="Times New Roman" w:cs="Times New Roman"/>
          <w:color w:val="000000"/>
          <w:sz w:val="24"/>
          <w:szCs w:val="24"/>
          <w:lang w:eastAsia="ja-JP"/>
        </w:rPr>
        <w:t>apstiprināšanu”, paskaidrojuma rakstā</w:t>
      </w:r>
      <w:r w:rsidR="00D65BBA" w:rsidRPr="00A07F29">
        <w:rPr>
          <w:rFonts w:ascii="Times New Roman" w:eastAsia="Times New Roman" w:hAnsi="Times New Roman" w:cs="Times New Roman"/>
          <w:color w:val="000000"/>
          <w:sz w:val="24"/>
          <w:szCs w:val="24"/>
          <w:lang w:eastAsia="ja-JP"/>
        </w:rPr>
        <w:t xml:space="preserve"> </w:t>
      </w:r>
      <w:r w:rsidRPr="00A07F29">
        <w:rPr>
          <w:rFonts w:ascii="Times New Roman" w:eastAsia="Times New Roman" w:hAnsi="Times New Roman" w:cs="Times New Roman"/>
          <w:color w:val="000000"/>
          <w:sz w:val="24"/>
          <w:szCs w:val="24"/>
          <w:lang w:eastAsia="ja-JP"/>
        </w:rPr>
        <w:t xml:space="preserve">sniegta īsa informācija par </w:t>
      </w:r>
      <w:r w:rsidR="007A241A" w:rsidRPr="00A07F29">
        <w:rPr>
          <w:rFonts w:ascii="Times New Roman" w:eastAsia="Times New Roman" w:hAnsi="Times New Roman" w:cs="Times New Roman"/>
          <w:color w:val="000000"/>
          <w:sz w:val="24"/>
          <w:szCs w:val="24"/>
          <w:lang w:eastAsia="ja-JP"/>
        </w:rPr>
        <w:t>AAA</w:t>
      </w:r>
      <w:r w:rsidRPr="00A07F29">
        <w:rPr>
          <w:rFonts w:ascii="Times New Roman" w:eastAsia="Times New Roman" w:hAnsi="Times New Roman" w:cs="Times New Roman"/>
          <w:color w:val="000000"/>
          <w:sz w:val="24"/>
          <w:szCs w:val="24"/>
          <w:lang w:eastAsia="ja-JP"/>
        </w:rPr>
        <w:t xml:space="preserve"> </w:t>
      </w:r>
      <w:r w:rsidR="009742DE" w:rsidRPr="00A07F29">
        <w:rPr>
          <w:rFonts w:ascii="Times New Roman" w:eastAsia="Times New Roman" w:hAnsi="Times New Roman" w:cs="Times New Roman"/>
          <w:color w:val="000000"/>
          <w:sz w:val="24"/>
          <w:szCs w:val="24"/>
          <w:lang w:eastAsia="ja-JP"/>
        </w:rPr>
        <w:t>“</w:t>
      </w:r>
      <w:r w:rsidRPr="00A07F29">
        <w:rPr>
          <w:rFonts w:ascii="Times New Roman" w:eastAsia="Times New Roman" w:hAnsi="Times New Roman" w:cs="Times New Roman"/>
          <w:color w:val="000000"/>
          <w:sz w:val="24"/>
          <w:szCs w:val="24"/>
          <w:lang w:eastAsia="ja-JP"/>
        </w:rPr>
        <w:t xml:space="preserve">Augšdaugava” un tajā spēkā esošajiem noteikumiem, minēts arī </w:t>
      </w:r>
      <w:r w:rsidR="00BF0E06" w:rsidRPr="00A07F29">
        <w:rPr>
          <w:rFonts w:ascii="Times New Roman" w:eastAsia="Times New Roman" w:hAnsi="Times New Roman" w:cs="Times New Roman"/>
          <w:color w:val="000000"/>
          <w:sz w:val="24"/>
          <w:szCs w:val="24"/>
          <w:lang w:eastAsia="ja-JP"/>
        </w:rPr>
        <w:t>DA plāns</w:t>
      </w:r>
      <w:r w:rsidRPr="00A07F29">
        <w:rPr>
          <w:rFonts w:ascii="Times New Roman" w:eastAsia="Times New Roman" w:hAnsi="Times New Roman" w:cs="Times New Roman"/>
          <w:color w:val="000000"/>
          <w:sz w:val="24"/>
          <w:szCs w:val="24"/>
          <w:lang w:eastAsia="ja-JP"/>
        </w:rPr>
        <w:t xml:space="preserve"> </w:t>
      </w:r>
      <w:r w:rsidR="00BF0E06" w:rsidRPr="00A07F29">
        <w:rPr>
          <w:rFonts w:ascii="Times New Roman" w:eastAsia="Times New Roman" w:hAnsi="Times New Roman" w:cs="Times New Roman"/>
          <w:color w:val="000000"/>
          <w:sz w:val="24"/>
          <w:szCs w:val="24"/>
          <w:lang w:eastAsia="ja-JP"/>
        </w:rPr>
        <w:t>DP</w:t>
      </w:r>
      <w:r w:rsidRPr="00A07F29">
        <w:rPr>
          <w:rFonts w:ascii="Times New Roman" w:eastAsia="Times New Roman" w:hAnsi="Times New Roman" w:cs="Times New Roman"/>
          <w:color w:val="000000"/>
          <w:sz w:val="24"/>
          <w:szCs w:val="24"/>
          <w:lang w:eastAsia="ja-JP"/>
        </w:rPr>
        <w:t xml:space="preserve"> </w:t>
      </w:r>
      <w:r w:rsidR="009742DE" w:rsidRPr="00A07F29">
        <w:rPr>
          <w:rFonts w:ascii="Times New Roman" w:eastAsia="Times New Roman" w:hAnsi="Times New Roman" w:cs="Times New Roman"/>
          <w:color w:val="000000"/>
          <w:sz w:val="24"/>
          <w:szCs w:val="24"/>
          <w:lang w:eastAsia="ja-JP"/>
        </w:rPr>
        <w:t>“</w:t>
      </w:r>
      <w:r w:rsidRPr="00A07F29">
        <w:rPr>
          <w:rFonts w:ascii="Times New Roman" w:eastAsia="Times New Roman" w:hAnsi="Times New Roman" w:cs="Times New Roman"/>
          <w:color w:val="000000"/>
          <w:sz w:val="24"/>
          <w:szCs w:val="24"/>
          <w:lang w:eastAsia="ja-JP"/>
        </w:rPr>
        <w:t>Daugavas loki”.</w:t>
      </w:r>
    </w:p>
    <w:p w14:paraId="4433B6C4" w14:textId="7280D312" w:rsidR="00AF4C40" w:rsidRPr="00A07F29" w:rsidRDefault="00AF4C40" w:rsidP="00AD47BD">
      <w:pPr>
        <w:spacing w:after="120" w:line="240" w:lineRule="auto"/>
        <w:ind w:firstLine="851"/>
        <w:jc w:val="both"/>
        <w:rPr>
          <w:rFonts w:ascii="Times New Roman" w:eastAsia="Times New Roman" w:hAnsi="Times New Roman" w:cs="Times New Roman"/>
          <w:color w:val="000000"/>
          <w:sz w:val="24"/>
          <w:szCs w:val="24"/>
          <w:lang w:eastAsia="ja-JP"/>
        </w:rPr>
      </w:pPr>
      <w:r w:rsidRPr="00A07F29">
        <w:rPr>
          <w:rFonts w:ascii="Times New Roman" w:eastAsia="Times New Roman" w:hAnsi="Times New Roman" w:cs="Times New Roman"/>
          <w:color w:val="000000"/>
          <w:sz w:val="24"/>
          <w:szCs w:val="24"/>
          <w:lang w:eastAsia="ja-JP"/>
        </w:rPr>
        <w:t xml:space="preserve">AAA </w:t>
      </w:r>
      <w:r w:rsidR="0006014B" w:rsidRPr="00A07F29">
        <w:rPr>
          <w:rFonts w:ascii="Times New Roman" w:eastAsia="Times New Roman" w:hAnsi="Times New Roman" w:cs="Times New Roman"/>
          <w:color w:val="000000"/>
          <w:sz w:val="24"/>
          <w:szCs w:val="24"/>
          <w:lang w:eastAsia="ja-JP"/>
        </w:rPr>
        <w:t>“</w:t>
      </w:r>
      <w:r w:rsidRPr="00A07F29">
        <w:rPr>
          <w:rFonts w:ascii="Times New Roman" w:eastAsia="Times New Roman" w:hAnsi="Times New Roman" w:cs="Times New Roman"/>
          <w:color w:val="000000"/>
          <w:sz w:val="24"/>
          <w:szCs w:val="24"/>
          <w:lang w:eastAsia="ja-JP"/>
        </w:rPr>
        <w:t>Augšdaugava” iezīmēta teritorijas plānojuma Grafiskās daļas kartē kā teritorija ar īpašiem nosacījumiem.</w:t>
      </w:r>
    </w:p>
    <w:p w14:paraId="0EF7454A" w14:textId="77D7002D" w:rsidR="00AF4C40" w:rsidRPr="00A07F29" w:rsidRDefault="00AF4C40" w:rsidP="00AD47BD">
      <w:pPr>
        <w:spacing w:after="120" w:line="240" w:lineRule="auto"/>
        <w:ind w:firstLine="851"/>
        <w:jc w:val="both"/>
        <w:rPr>
          <w:rFonts w:ascii="Times New Roman" w:eastAsia="Times New Roman" w:hAnsi="Times New Roman" w:cs="Times New Roman"/>
          <w:color w:val="000000"/>
          <w:sz w:val="24"/>
          <w:szCs w:val="24"/>
          <w:lang w:eastAsia="ja-JP"/>
        </w:rPr>
      </w:pPr>
      <w:r w:rsidRPr="00A07F29">
        <w:rPr>
          <w:rFonts w:ascii="Times New Roman" w:eastAsia="Times New Roman" w:hAnsi="Times New Roman" w:cs="Times New Roman"/>
          <w:color w:val="000000" w:themeColor="text1"/>
          <w:sz w:val="24"/>
          <w:szCs w:val="24"/>
          <w:lang w:eastAsia="ja-JP"/>
        </w:rPr>
        <w:t xml:space="preserve">Teritorijas plānojuma </w:t>
      </w:r>
      <w:r w:rsidR="003004CD" w:rsidRPr="00A07F29">
        <w:rPr>
          <w:rFonts w:ascii="Times New Roman" w:eastAsia="Times New Roman" w:hAnsi="Times New Roman" w:cs="Times New Roman"/>
          <w:color w:val="000000" w:themeColor="text1"/>
          <w:sz w:val="24"/>
          <w:szCs w:val="24"/>
          <w:lang w:eastAsia="ja-JP"/>
        </w:rPr>
        <w:t>2013.</w:t>
      </w:r>
      <w:r w:rsidR="006D5FF8" w:rsidRPr="00A07F29">
        <w:rPr>
          <w:rFonts w:ascii="Times New Roman" w:eastAsia="Times New Roman" w:hAnsi="Times New Roman" w:cs="Times New Roman"/>
          <w:color w:val="000000" w:themeColor="text1"/>
          <w:sz w:val="24"/>
          <w:szCs w:val="24"/>
          <w:lang w:eastAsia="ja-JP"/>
        </w:rPr>
        <w:t> – </w:t>
      </w:r>
      <w:r w:rsidR="003004CD" w:rsidRPr="00A07F29">
        <w:rPr>
          <w:rFonts w:ascii="Times New Roman" w:eastAsia="Times New Roman" w:hAnsi="Times New Roman" w:cs="Times New Roman"/>
          <w:color w:val="000000" w:themeColor="text1"/>
          <w:sz w:val="24"/>
          <w:szCs w:val="24"/>
          <w:lang w:eastAsia="ja-JP"/>
        </w:rPr>
        <w:t>2024.</w:t>
      </w:r>
      <w:r w:rsidR="00CC24D3" w:rsidRPr="00A07F29">
        <w:rPr>
          <w:rFonts w:ascii="Times New Roman" w:eastAsia="Times New Roman" w:hAnsi="Times New Roman" w:cs="Times New Roman"/>
          <w:color w:val="000000" w:themeColor="text1"/>
          <w:sz w:val="24"/>
          <w:szCs w:val="24"/>
          <w:lang w:eastAsia="ja-JP"/>
        </w:rPr>
        <w:t> </w:t>
      </w:r>
      <w:r w:rsidR="003004CD" w:rsidRPr="00A07F29">
        <w:rPr>
          <w:rFonts w:ascii="Times New Roman" w:eastAsia="Times New Roman" w:hAnsi="Times New Roman" w:cs="Times New Roman"/>
          <w:color w:val="000000" w:themeColor="text1"/>
          <w:sz w:val="24"/>
          <w:szCs w:val="24"/>
          <w:lang w:eastAsia="ja-JP"/>
        </w:rPr>
        <w:t xml:space="preserve">gadam </w:t>
      </w:r>
      <w:r w:rsidRPr="00A07F29">
        <w:rPr>
          <w:rFonts w:ascii="Times New Roman" w:eastAsia="Times New Roman" w:hAnsi="Times New Roman" w:cs="Times New Roman"/>
          <w:color w:val="000000" w:themeColor="text1"/>
          <w:sz w:val="24"/>
          <w:szCs w:val="24"/>
          <w:lang w:eastAsia="ja-JP"/>
        </w:rPr>
        <w:t xml:space="preserve">Vides pārskats satur plašāku informāciju par </w:t>
      </w:r>
      <w:r w:rsidR="00A91415" w:rsidRPr="00A07F29">
        <w:rPr>
          <w:rFonts w:ascii="Times New Roman" w:eastAsia="Times New Roman" w:hAnsi="Times New Roman" w:cs="Times New Roman"/>
          <w:color w:val="000000" w:themeColor="text1"/>
          <w:sz w:val="24"/>
          <w:szCs w:val="24"/>
          <w:lang w:eastAsia="ja-JP"/>
        </w:rPr>
        <w:t>AAA</w:t>
      </w:r>
      <w:r w:rsidRPr="00A07F29">
        <w:rPr>
          <w:rFonts w:ascii="Times New Roman" w:eastAsia="Times New Roman" w:hAnsi="Times New Roman" w:cs="Times New Roman"/>
          <w:color w:val="000000" w:themeColor="text1"/>
          <w:sz w:val="24"/>
          <w:szCs w:val="24"/>
          <w:lang w:eastAsia="ja-JP"/>
        </w:rPr>
        <w:t xml:space="preserve"> </w:t>
      </w:r>
      <w:r w:rsidR="00CC24D3" w:rsidRPr="00A07F29">
        <w:rPr>
          <w:rFonts w:ascii="Times New Roman" w:eastAsia="Times New Roman" w:hAnsi="Times New Roman" w:cs="Times New Roman"/>
          <w:color w:val="000000" w:themeColor="text1"/>
          <w:sz w:val="24"/>
          <w:szCs w:val="24"/>
          <w:lang w:eastAsia="ja-JP"/>
        </w:rPr>
        <w:t>“</w:t>
      </w:r>
      <w:r w:rsidRPr="00A07F29">
        <w:rPr>
          <w:rFonts w:ascii="Times New Roman" w:eastAsia="Times New Roman" w:hAnsi="Times New Roman" w:cs="Times New Roman"/>
          <w:color w:val="000000" w:themeColor="text1"/>
          <w:sz w:val="24"/>
          <w:szCs w:val="24"/>
          <w:lang w:eastAsia="ja-JP"/>
        </w:rPr>
        <w:t>Augšdaugava”, kā arī secinājumus, ieteikumus un nosacījumus tā apsaimniekošanai:</w:t>
      </w:r>
    </w:p>
    <w:p w14:paraId="3F29D152" w14:textId="61682CF6" w:rsidR="00AF4C40" w:rsidRPr="00A07F29" w:rsidRDefault="00AF4C40" w:rsidP="00AD47BD">
      <w:pPr>
        <w:spacing w:after="120" w:line="240" w:lineRule="auto"/>
        <w:ind w:firstLine="851"/>
        <w:jc w:val="both"/>
        <w:rPr>
          <w:rFonts w:ascii="Times New Roman" w:eastAsia="Times New Roman" w:hAnsi="Times New Roman" w:cs="Times New Roman"/>
          <w:color w:val="000000"/>
          <w:sz w:val="24"/>
          <w:szCs w:val="24"/>
          <w:lang w:eastAsia="ja-JP"/>
        </w:rPr>
      </w:pPr>
      <w:r w:rsidRPr="00A07F29">
        <w:rPr>
          <w:rFonts w:ascii="Times New Roman" w:eastAsia="Times New Roman" w:hAnsi="Times New Roman" w:cs="Times New Roman"/>
          <w:color w:val="000000"/>
          <w:sz w:val="24"/>
          <w:szCs w:val="24"/>
          <w:lang w:eastAsia="ja-JP"/>
        </w:rPr>
        <w:t>1)</w:t>
      </w:r>
      <w:r w:rsidR="002D05FA" w:rsidRPr="00A07F29">
        <w:rPr>
          <w:rFonts w:ascii="Times New Roman" w:eastAsia="Times New Roman" w:hAnsi="Times New Roman" w:cs="Times New Roman"/>
          <w:color w:val="000000"/>
          <w:sz w:val="24"/>
          <w:szCs w:val="24"/>
          <w:lang w:eastAsia="ja-JP"/>
        </w:rPr>
        <w:t> </w:t>
      </w:r>
      <w:r w:rsidR="007A241A" w:rsidRPr="00A07F29">
        <w:rPr>
          <w:rFonts w:ascii="Times New Roman" w:eastAsia="Times New Roman" w:hAnsi="Times New Roman" w:cs="Times New Roman"/>
          <w:color w:val="000000"/>
          <w:sz w:val="24"/>
          <w:szCs w:val="24"/>
          <w:lang w:eastAsia="ja-JP"/>
        </w:rPr>
        <w:t>AAA</w:t>
      </w:r>
      <w:r w:rsidRPr="00A07F29">
        <w:rPr>
          <w:rFonts w:ascii="Times New Roman" w:eastAsia="Times New Roman" w:hAnsi="Times New Roman" w:cs="Times New Roman"/>
          <w:color w:val="000000"/>
          <w:sz w:val="24"/>
          <w:szCs w:val="24"/>
          <w:lang w:eastAsia="ja-JP"/>
        </w:rPr>
        <w:t xml:space="preserve"> </w:t>
      </w:r>
      <w:r w:rsidR="00CC24D3" w:rsidRPr="00A07F29">
        <w:rPr>
          <w:rFonts w:ascii="Times New Roman" w:eastAsia="Times New Roman" w:hAnsi="Times New Roman" w:cs="Times New Roman"/>
          <w:color w:val="000000"/>
          <w:sz w:val="24"/>
          <w:szCs w:val="24"/>
          <w:lang w:eastAsia="ja-JP"/>
        </w:rPr>
        <w:t>“</w:t>
      </w:r>
      <w:r w:rsidRPr="00A07F29">
        <w:rPr>
          <w:rFonts w:ascii="Times New Roman" w:eastAsia="Times New Roman" w:hAnsi="Times New Roman" w:cs="Times New Roman"/>
          <w:color w:val="000000"/>
          <w:sz w:val="24"/>
          <w:szCs w:val="24"/>
          <w:lang w:eastAsia="ja-JP"/>
        </w:rPr>
        <w:t xml:space="preserve">Augšdaugava” teritorijā Krāslavas novadā </w:t>
      </w:r>
      <w:proofErr w:type="spellStart"/>
      <w:r w:rsidRPr="00A07F29">
        <w:rPr>
          <w:rFonts w:ascii="Times New Roman" w:eastAsia="Times New Roman" w:hAnsi="Times New Roman" w:cs="Times New Roman"/>
          <w:color w:val="000000"/>
          <w:sz w:val="24"/>
          <w:szCs w:val="24"/>
          <w:lang w:eastAsia="ja-JP"/>
        </w:rPr>
        <w:t>apdzīvojuma</w:t>
      </w:r>
      <w:proofErr w:type="spellEnd"/>
      <w:r w:rsidRPr="00A07F29">
        <w:rPr>
          <w:rFonts w:ascii="Times New Roman" w:eastAsia="Times New Roman" w:hAnsi="Times New Roman" w:cs="Times New Roman"/>
          <w:color w:val="000000"/>
          <w:sz w:val="24"/>
          <w:szCs w:val="24"/>
          <w:lang w:eastAsia="ja-JP"/>
        </w:rPr>
        <w:t xml:space="preserve"> struktūru veido blīvi apdzīvotas vietas </w:t>
      </w:r>
      <w:r w:rsidR="00CC24D3" w:rsidRPr="00A07F29">
        <w:rPr>
          <w:rFonts w:ascii="Times New Roman" w:eastAsia="Times New Roman" w:hAnsi="Times New Roman" w:cs="Times New Roman"/>
          <w:color w:val="000000"/>
          <w:sz w:val="24"/>
          <w:szCs w:val="24"/>
          <w:lang w:eastAsia="ja-JP"/>
        </w:rPr>
        <w:t>–</w:t>
      </w:r>
      <w:r w:rsidRPr="00A07F29">
        <w:rPr>
          <w:rFonts w:ascii="Times New Roman" w:eastAsia="Times New Roman" w:hAnsi="Times New Roman" w:cs="Times New Roman"/>
          <w:color w:val="000000"/>
          <w:sz w:val="24"/>
          <w:szCs w:val="24"/>
          <w:lang w:eastAsia="ja-JP"/>
        </w:rPr>
        <w:t xml:space="preserve"> Krāslavas pilsētas daļa no Rīgas ielas un Augusta ielas līdz Daugavai, ciemi </w:t>
      </w:r>
      <w:r w:rsidR="006D0182" w:rsidRPr="00A07F29">
        <w:rPr>
          <w:rFonts w:ascii="Times New Roman" w:eastAsia="Times New Roman" w:hAnsi="Times New Roman" w:cs="Times New Roman"/>
          <w:color w:val="000000"/>
          <w:sz w:val="24"/>
          <w:szCs w:val="24"/>
          <w:lang w:eastAsia="ja-JP"/>
        </w:rPr>
        <w:t>–</w:t>
      </w:r>
      <w:r w:rsidRPr="00A07F29">
        <w:rPr>
          <w:rFonts w:ascii="Times New Roman" w:eastAsia="Times New Roman" w:hAnsi="Times New Roman" w:cs="Times New Roman"/>
          <w:color w:val="000000"/>
          <w:sz w:val="24"/>
          <w:szCs w:val="24"/>
          <w:lang w:eastAsia="ja-JP"/>
        </w:rPr>
        <w:t xml:space="preserve"> Kaplava, Piedruja, Kalnieši (daļa no ciema teritorijas), Tartaks, </w:t>
      </w:r>
      <w:proofErr w:type="spellStart"/>
      <w:r w:rsidRPr="00A07F29">
        <w:rPr>
          <w:rFonts w:ascii="Times New Roman" w:eastAsia="Times New Roman" w:hAnsi="Times New Roman" w:cs="Times New Roman"/>
          <w:color w:val="000000"/>
          <w:sz w:val="24"/>
          <w:szCs w:val="24"/>
          <w:lang w:eastAsia="ja-JP"/>
        </w:rPr>
        <w:t>Varnaviči</w:t>
      </w:r>
      <w:proofErr w:type="spellEnd"/>
      <w:r w:rsidRPr="00A07F29">
        <w:rPr>
          <w:rFonts w:ascii="Times New Roman" w:eastAsia="Times New Roman" w:hAnsi="Times New Roman" w:cs="Times New Roman"/>
          <w:color w:val="000000"/>
          <w:sz w:val="24"/>
          <w:szCs w:val="24"/>
          <w:lang w:eastAsia="ja-JP"/>
        </w:rPr>
        <w:t xml:space="preserve">, Aleksandrova, vasarnīcu ciemi </w:t>
      </w:r>
      <w:proofErr w:type="spellStart"/>
      <w:r w:rsidRPr="00A07F29">
        <w:rPr>
          <w:rFonts w:ascii="Times New Roman" w:eastAsia="Times New Roman" w:hAnsi="Times New Roman" w:cs="Times New Roman"/>
          <w:color w:val="000000"/>
          <w:sz w:val="24"/>
          <w:szCs w:val="24"/>
          <w:lang w:eastAsia="ja-JP"/>
        </w:rPr>
        <w:t>Zapoļņiki</w:t>
      </w:r>
      <w:proofErr w:type="spellEnd"/>
      <w:r w:rsidRPr="00A07F29">
        <w:rPr>
          <w:rFonts w:ascii="Times New Roman" w:eastAsia="Times New Roman" w:hAnsi="Times New Roman" w:cs="Times New Roman"/>
          <w:color w:val="000000"/>
          <w:sz w:val="24"/>
          <w:szCs w:val="24"/>
          <w:lang w:eastAsia="ja-JP"/>
        </w:rPr>
        <w:t>, Cepļi un Krīviņi, kā arī viensētu grupas (sādžas) un atsevišķas viensētas. Apdzīvotām vietām ir pārskatītas un galvenokārt samazinātas ciemu robežas, izslēdzot no ciemu teritorijām lauksaimniecības un mežu zemju platības, kurās perspektīvā netiek plānotas apbūves teritorijas, kā arī veicinot apdzīvo</w:t>
      </w:r>
      <w:r w:rsidR="007A241A" w:rsidRPr="00A07F29">
        <w:rPr>
          <w:rFonts w:ascii="Times New Roman" w:eastAsia="Times New Roman" w:hAnsi="Times New Roman" w:cs="Times New Roman"/>
          <w:color w:val="000000"/>
          <w:sz w:val="24"/>
          <w:szCs w:val="24"/>
          <w:lang w:eastAsia="ja-JP"/>
        </w:rPr>
        <w:t>to</w:t>
      </w:r>
      <w:r w:rsidRPr="00A07F29">
        <w:rPr>
          <w:rFonts w:ascii="Times New Roman" w:eastAsia="Times New Roman" w:hAnsi="Times New Roman" w:cs="Times New Roman"/>
          <w:color w:val="000000"/>
          <w:sz w:val="24"/>
          <w:szCs w:val="24"/>
          <w:lang w:eastAsia="ja-JP"/>
        </w:rPr>
        <w:t xml:space="preserve"> vietu kompaktumu.</w:t>
      </w:r>
    </w:p>
    <w:p w14:paraId="424FFB6C" w14:textId="09164514" w:rsidR="00AF4C40" w:rsidRPr="00A07F29" w:rsidRDefault="00AF4C40" w:rsidP="00AD47BD">
      <w:pPr>
        <w:spacing w:after="120" w:line="240" w:lineRule="auto"/>
        <w:ind w:firstLine="851"/>
        <w:jc w:val="both"/>
        <w:rPr>
          <w:rFonts w:ascii="Times New Roman" w:eastAsia="Times New Roman" w:hAnsi="Times New Roman" w:cs="Times New Roman"/>
          <w:color w:val="000000"/>
          <w:sz w:val="24"/>
          <w:szCs w:val="24"/>
          <w:lang w:eastAsia="ja-JP"/>
        </w:rPr>
      </w:pPr>
      <w:r w:rsidRPr="00A07F29">
        <w:rPr>
          <w:rFonts w:ascii="Times New Roman" w:eastAsia="Times New Roman" w:hAnsi="Times New Roman" w:cs="Times New Roman"/>
          <w:color w:val="000000"/>
          <w:sz w:val="24"/>
          <w:szCs w:val="24"/>
          <w:lang w:eastAsia="ja-JP"/>
        </w:rPr>
        <w:t>2)</w:t>
      </w:r>
      <w:r w:rsidR="00CB3C0C" w:rsidRPr="00A07F29">
        <w:rPr>
          <w:rFonts w:ascii="Times New Roman" w:eastAsia="Times New Roman" w:hAnsi="Times New Roman" w:cs="Times New Roman"/>
          <w:color w:val="000000"/>
          <w:sz w:val="24"/>
          <w:szCs w:val="24"/>
          <w:lang w:eastAsia="ja-JP"/>
        </w:rPr>
        <w:t> </w:t>
      </w:r>
      <w:r w:rsidRPr="00A07F29">
        <w:rPr>
          <w:rFonts w:ascii="Times New Roman" w:eastAsia="Times New Roman" w:hAnsi="Times New Roman" w:cs="Times New Roman"/>
          <w:color w:val="000000"/>
          <w:sz w:val="24"/>
          <w:szCs w:val="24"/>
          <w:lang w:eastAsia="ja-JP"/>
        </w:rPr>
        <w:t>Veicot jebkādu saimniecisko darbību, jāņem vērā vispārējos</w:t>
      </w:r>
      <w:r w:rsidR="007A241A" w:rsidRPr="00A07F29">
        <w:rPr>
          <w:rFonts w:ascii="Times New Roman" w:eastAsia="Times New Roman" w:hAnsi="Times New Roman" w:cs="Times New Roman"/>
          <w:color w:val="000000"/>
          <w:sz w:val="24"/>
          <w:szCs w:val="24"/>
          <w:lang w:eastAsia="ja-JP"/>
        </w:rPr>
        <w:t xml:space="preserve"> ĪADT</w:t>
      </w:r>
      <w:r w:rsidRPr="00A07F29">
        <w:rPr>
          <w:rFonts w:ascii="Times New Roman" w:eastAsia="Times New Roman" w:hAnsi="Times New Roman" w:cs="Times New Roman"/>
          <w:color w:val="000000"/>
          <w:sz w:val="24"/>
          <w:szCs w:val="24"/>
          <w:lang w:eastAsia="ja-JP"/>
        </w:rPr>
        <w:t xml:space="preserve"> aizsardzības un izmantošanas noteikumos noteiktās prasības </w:t>
      </w:r>
      <w:r w:rsidR="007A241A" w:rsidRPr="00A07F29">
        <w:rPr>
          <w:rFonts w:ascii="Times New Roman" w:eastAsia="Times New Roman" w:hAnsi="Times New Roman" w:cs="Times New Roman"/>
          <w:color w:val="000000"/>
          <w:sz w:val="24"/>
          <w:szCs w:val="24"/>
          <w:lang w:eastAsia="ja-JP"/>
        </w:rPr>
        <w:t>AAA</w:t>
      </w:r>
      <w:r w:rsidRPr="00A07F29">
        <w:rPr>
          <w:rFonts w:ascii="Times New Roman" w:eastAsia="Times New Roman" w:hAnsi="Times New Roman" w:cs="Times New Roman"/>
          <w:color w:val="000000"/>
          <w:sz w:val="24"/>
          <w:szCs w:val="24"/>
          <w:lang w:eastAsia="ja-JP"/>
        </w:rPr>
        <w:t xml:space="preserve"> aizsardzībai un šo teritoriju izmantošanai, kā arī Teritorijas izmantošanas un apbūves noteikumos noteiktās prasības.</w:t>
      </w:r>
    </w:p>
    <w:p w14:paraId="116D46C3" w14:textId="686D15AD" w:rsidR="00AF4C40" w:rsidRPr="00A07F29" w:rsidRDefault="00AF4C40" w:rsidP="00AD47BD">
      <w:pPr>
        <w:spacing w:after="120" w:line="240" w:lineRule="auto"/>
        <w:ind w:firstLine="851"/>
        <w:jc w:val="both"/>
        <w:rPr>
          <w:rFonts w:ascii="Times New Roman" w:eastAsia="Times New Roman" w:hAnsi="Times New Roman" w:cs="Times New Roman"/>
          <w:color w:val="000000"/>
          <w:sz w:val="24"/>
          <w:szCs w:val="24"/>
          <w:lang w:eastAsia="ja-JP"/>
        </w:rPr>
      </w:pPr>
      <w:r w:rsidRPr="00A07F29">
        <w:rPr>
          <w:rFonts w:ascii="Times New Roman" w:eastAsia="Times New Roman" w:hAnsi="Times New Roman" w:cs="Times New Roman"/>
          <w:color w:val="000000"/>
          <w:sz w:val="24"/>
          <w:szCs w:val="24"/>
          <w:lang w:eastAsia="ja-JP"/>
        </w:rPr>
        <w:t xml:space="preserve">Vides pārskatā </w:t>
      </w:r>
      <w:r w:rsidR="003004CD" w:rsidRPr="00A07F29">
        <w:rPr>
          <w:rFonts w:ascii="Times New Roman" w:eastAsia="Times New Roman" w:hAnsi="Times New Roman" w:cs="Times New Roman"/>
          <w:color w:val="000000"/>
          <w:sz w:val="24"/>
          <w:szCs w:val="24"/>
          <w:lang w:eastAsia="ja-JP"/>
        </w:rPr>
        <w:t>2013.</w:t>
      </w:r>
      <w:r w:rsidR="006D5FF8" w:rsidRPr="00A07F29">
        <w:rPr>
          <w:rFonts w:ascii="Times New Roman" w:eastAsia="Times New Roman" w:hAnsi="Times New Roman" w:cs="Times New Roman"/>
          <w:color w:val="000000"/>
          <w:sz w:val="24"/>
          <w:szCs w:val="24"/>
          <w:lang w:eastAsia="ja-JP"/>
        </w:rPr>
        <w:t> – </w:t>
      </w:r>
      <w:r w:rsidR="003004CD" w:rsidRPr="00A07F29">
        <w:rPr>
          <w:rFonts w:ascii="Times New Roman" w:eastAsia="Times New Roman" w:hAnsi="Times New Roman" w:cs="Times New Roman"/>
          <w:color w:val="000000"/>
          <w:sz w:val="24"/>
          <w:szCs w:val="24"/>
          <w:lang w:eastAsia="ja-JP"/>
        </w:rPr>
        <w:t>2024.</w:t>
      </w:r>
      <w:r w:rsidR="008F219F" w:rsidRPr="00A07F29">
        <w:rPr>
          <w:rFonts w:ascii="Times New Roman" w:eastAsia="Times New Roman" w:hAnsi="Times New Roman" w:cs="Times New Roman"/>
          <w:color w:val="000000"/>
          <w:sz w:val="24"/>
          <w:szCs w:val="24"/>
          <w:lang w:eastAsia="ja-JP"/>
        </w:rPr>
        <w:t> </w:t>
      </w:r>
      <w:r w:rsidR="003004CD" w:rsidRPr="00A07F29">
        <w:rPr>
          <w:rFonts w:ascii="Times New Roman" w:eastAsia="Times New Roman" w:hAnsi="Times New Roman" w:cs="Times New Roman"/>
          <w:color w:val="000000"/>
          <w:sz w:val="24"/>
          <w:szCs w:val="24"/>
          <w:lang w:eastAsia="ja-JP"/>
        </w:rPr>
        <w:t xml:space="preserve">gadam </w:t>
      </w:r>
      <w:r w:rsidRPr="00A07F29">
        <w:rPr>
          <w:rFonts w:ascii="Times New Roman" w:eastAsia="Times New Roman" w:hAnsi="Times New Roman" w:cs="Times New Roman"/>
          <w:color w:val="000000"/>
          <w:sz w:val="24"/>
          <w:szCs w:val="24"/>
          <w:lang w:eastAsia="ja-JP"/>
        </w:rPr>
        <w:t xml:space="preserve">novērtēta teritorijas plānojuma risinājumu ietekme uz AAA teritoriju. Krāslavas novada teritorijas plānojumā paredzētas jaunas derīgo izrakteņu ieguves teritorijas (R1), </w:t>
      </w:r>
      <w:r w:rsidR="007A241A" w:rsidRPr="00A07F29">
        <w:rPr>
          <w:rFonts w:ascii="Times New Roman" w:eastAsia="Times New Roman" w:hAnsi="Times New Roman" w:cs="Times New Roman"/>
          <w:color w:val="000000"/>
          <w:sz w:val="24"/>
          <w:szCs w:val="24"/>
          <w:lang w:eastAsia="ja-JP"/>
        </w:rPr>
        <w:t xml:space="preserve">divas </w:t>
      </w:r>
      <w:r w:rsidRPr="00A07F29">
        <w:rPr>
          <w:rFonts w:ascii="Times New Roman" w:eastAsia="Times New Roman" w:hAnsi="Times New Roman" w:cs="Times New Roman"/>
          <w:color w:val="000000"/>
          <w:sz w:val="24"/>
          <w:szCs w:val="24"/>
          <w:lang w:eastAsia="ja-JP"/>
        </w:rPr>
        <w:t xml:space="preserve">teritorijas tiek plānotas Piedrujas pagasta teritorijā un </w:t>
      </w:r>
      <w:r w:rsidR="007A241A" w:rsidRPr="00A07F29">
        <w:rPr>
          <w:rFonts w:ascii="Times New Roman" w:eastAsia="Times New Roman" w:hAnsi="Times New Roman" w:cs="Times New Roman"/>
          <w:color w:val="000000"/>
          <w:sz w:val="24"/>
          <w:szCs w:val="24"/>
          <w:lang w:eastAsia="ja-JP"/>
        </w:rPr>
        <w:t xml:space="preserve">viena </w:t>
      </w:r>
      <w:r w:rsidRPr="00A07F29">
        <w:rPr>
          <w:rFonts w:ascii="Times New Roman" w:eastAsia="Times New Roman" w:hAnsi="Times New Roman" w:cs="Times New Roman"/>
          <w:color w:val="000000"/>
          <w:sz w:val="24"/>
          <w:szCs w:val="24"/>
          <w:lang w:eastAsia="ja-JP"/>
        </w:rPr>
        <w:t xml:space="preserve">derīgo izrakteņu ieguves teritorija tiek plānota arī Kaplavas pagasta teritorijā, iespējamā darbības ietekme </w:t>
      </w:r>
      <w:r w:rsidR="00816859" w:rsidRPr="00A07F29">
        <w:rPr>
          <w:rFonts w:ascii="Times New Roman" w:eastAsia="Times New Roman" w:hAnsi="Times New Roman" w:cs="Times New Roman"/>
          <w:color w:val="000000"/>
          <w:sz w:val="24"/>
          <w:szCs w:val="24"/>
          <w:lang w:eastAsia="ja-JP"/>
        </w:rPr>
        <w:t>–</w:t>
      </w:r>
      <w:r w:rsidRPr="00A07F29">
        <w:rPr>
          <w:rFonts w:ascii="Times New Roman" w:eastAsia="Times New Roman" w:hAnsi="Times New Roman" w:cs="Times New Roman"/>
          <w:color w:val="000000"/>
          <w:sz w:val="24"/>
          <w:szCs w:val="24"/>
          <w:lang w:eastAsia="ja-JP"/>
        </w:rPr>
        <w:t xml:space="preserve"> ainavas izmaiņas. Svarīgi pēc derīgo izrakteņu ieguves beigām veikt šo teritoriju rekultivāciju, paredzot citu teritorijas izmantošanu, kas nav pretrunā ar </w:t>
      </w:r>
      <w:r w:rsidR="00A91415" w:rsidRPr="00A07F29">
        <w:rPr>
          <w:rFonts w:ascii="Times New Roman" w:eastAsia="Times New Roman" w:hAnsi="Times New Roman" w:cs="Times New Roman"/>
          <w:color w:val="000000"/>
          <w:sz w:val="24"/>
          <w:szCs w:val="24"/>
          <w:lang w:eastAsia="ja-JP"/>
        </w:rPr>
        <w:t>ĪADT</w:t>
      </w:r>
      <w:r w:rsidRPr="00A07F29">
        <w:rPr>
          <w:rFonts w:ascii="Times New Roman" w:eastAsia="Times New Roman" w:hAnsi="Times New Roman" w:cs="Times New Roman"/>
          <w:color w:val="000000"/>
          <w:sz w:val="24"/>
          <w:szCs w:val="24"/>
          <w:lang w:eastAsia="ja-JP"/>
        </w:rPr>
        <w:t xml:space="preserve"> </w:t>
      </w:r>
      <w:r w:rsidRPr="00A07F29">
        <w:rPr>
          <w:rFonts w:ascii="Times New Roman" w:eastAsia="Times New Roman" w:hAnsi="Times New Roman" w:cs="Times New Roman"/>
          <w:color w:val="000000"/>
          <w:sz w:val="24"/>
          <w:szCs w:val="24"/>
          <w:lang w:eastAsia="ja-JP"/>
        </w:rPr>
        <w:lastRenderedPageBreak/>
        <w:t>aizsardzības un izmantošanas noteikumiem. AAA teritorijā tiek saglabāta spēkā esošos novada teritoriālo vienību teritorijas plānojumos noteiktā plānotā (atļautā) teritorijas izmantošana un dabā esošā pašreizējā teritorijas izmantošana jeb funkcionālais zonējums – lauku zemes, mežu teritorijas, ūdeņu teritorijas, rūpniecības teritorijas un transporta infrastruktūras teritorijas.</w:t>
      </w:r>
    </w:p>
    <w:p w14:paraId="2840693A" w14:textId="6FF447AA" w:rsidR="00AF4C40" w:rsidRPr="00A07F29" w:rsidRDefault="00AF4C40" w:rsidP="00AD47BD">
      <w:pPr>
        <w:spacing w:after="120" w:line="240" w:lineRule="auto"/>
        <w:ind w:firstLine="851"/>
        <w:jc w:val="both"/>
        <w:rPr>
          <w:rFonts w:ascii="Times New Roman" w:eastAsia="Times New Roman" w:hAnsi="Times New Roman" w:cs="Times New Roman"/>
          <w:color w:val="000000"/>
          <w:sz w:val="24"/>
          <w:szCs w:val="24"/>
          <w:lang w:eastAsia="ja-JP"/>
        </w:rPr>
      </w:pPr>
      <w:r w:rsidRPr="00A07F29">
        <w:rPr>
          <w:rFonts w:ascii="Times New Roman" w:eastAsia="Times New Roman" w:hAnsi="Times New Roman" w:cs="Times New Roman"/>
          <w:color w:val="000000"/>
          <w:sz w:val="24"/>
          <w:szCs w:val="24"/>
          <w:lang w:eastAsia="ja-JP"/>
        </w:rPr>
        <w:t xml:space="preserve">Vides pārskatā </w:t>
      </w:r>
      <w:r w:rsidR="003004CD" w:rsidRPr="00A07F29">
        <w:rPr>
          <w:rFonts w:ascii="Times New Roman" w:eastAsia="Times New Roman" w:hAnsi="Times New Roman" w:cs="Times New Roman"/>
          <w:color w:val="000000"/>
          <w:sz w:val="24"/>
          <w:szCs w:val="24"/>
          <w:lang w:eastAsia="ja-JP"/>
        </w:rPr>
        <w:t>2013.</w:t>
      </w:r>
      <w:r w:rsidR="00916A09" w:rsidRPr="00A07F29">
        <w:rPr>
          <w:rFonts w:ascii="Times New Roman" w:eastAsia="Times New Roman" w:hAnsi="Times New Roman" w:cs="Times New Roman"/>
          <w:color w:val="000000"/>
          <w:sz w:val="24"/>
          <w:szCs w:val="24"/>
          <w:lang w:eastAsia="ja-JP"/>
        </w:rPr>
        <w:t xml:space="preserve"> – </w:t>
      </w:r>
      <w:r w:rsidR="003004CD" w:rsidRPr="00A07F29">
        <w:rPr>
          <w:rFonts w:ascii="Times New Roman" w:eastAsia="Times New Roman" w:hAnsi="Times New Roman" w:cs="Times New Roman"/>
          <w:color w:val="000000"/>
          <w:sz w:val="24"/>
          <w:szCs w:val="24"/>
          <w:lang w:eastAsia="ja-JP"/>
        </w:rPr>
        <w:t>2024.</w:t>
      </w:r>
      <w:r w:rsidR="00DD2659" w:rsidRPr="00A07F29">
        <w:rPr>
          <w:rFonts w:ascii="Times New Roman" w:eastAsia="Times New Roman" w:hAnsi="Times New Roman" w:cs="Times New Roman"/>
          <w:color w:val="000000"/>
          <w:sz w:val="24"/>
          <w:szCs w:val="24"/>
          <w:lang w:eastAsia="ja-JP"/>
        </w:rPr>
        <w:t> </w:t>
      </w:r>
      <w:r w:rsidR="003004CD" w:rsidRPr="00A07F29">
        <w:rPr>
          <w:rFonts w:ascii="Times New Roman" w:eastAsia="Times New Roman" w:hAnsi="Times New Roman" w:cs="Times New Roman"/>
          <w:color w:val="000000"/>
          <w:sz w:val="24"/>
          <w:szCs w:val="24"/>
          <w:lang w:eastAsia="ja-JP"/>
        </w:rPr>
        <w:t xml:space="preserve">gadam </w:t>
      </w:r>
      <w:r w:rsidRPr="00A07F29">
        <w:rPr>
          <w:rFonts w:ascii="Times New Roman" w:eastAsia="Times New Roman" w:hAnsi="Times New Roman" w:cs="Times New Roman"/>
          <w:color w:val="000000"/>
          <w:sz w:val="24"/>
          <w:szCs w:val="24"/>
          <w:lang w:eastAsia="ja-JP"/>
        </w:rPr>
        <w:t xml:space="preserve">minēts arī, ka esošo rūpniecības jeb ražošanas teritoriju attīstība, t.sk., arī derīgo izrakteņu ieguves teritorijas, vēsturiski ir attīstījusies arī </w:t>
      </w:r>
      <w:r w:rsidR="007A241A" w:rsidRPr="00A07F29">
        <w:rPr>
          <w:rFonts w:ascii="Times New Roman" w:eastAsia="Times New Roman" w:hAnsi="Times New Roman" w:cs="Times New Roman"/>
          <w:color w:val="000000"/>
          <w:sz w:val="24"/>
          <w:szCs w:val="24"/>
          <w:lang w:eastAsia="ja-JP"/>
        </w:rPr>
        <w:t>ĪADT</w:t>
      </w:r>
      <w:r w:rsidRPr="00A07F29">
        <w:rPr>
          <w:rFonts w:ascii="Times New Roman" w:eastAsia="Times New Roman" w:hAnsi="Times New Roman" w:cs="Times New Roman"/>
          <w:color w:val="000000"/>
          <w:sz w:val="24"/>
          <w:szCs w:val="24"/>
          <w:lang w:eastAsia="ja-JP"/>
        </w:rPr>
        <w:t xml:space="preserve"> – </w:t>
      </w:r>
      <w:r w:rsidR="00BF0E06" w:rsidRPr="00A07F29">
        <w:rPr>
          <w:rFonts w:ascii="Times New Roman" w:eastAsia="Times New Roman" w:hAnsi="Times New Roman" w:cs="Times New Roman"/>
          <w:color w:val="000000"/>
          <w:sz w:val="24"/>
          <w:szCs w:val="24"/>
          <w:lang w:eastAsia="ja-JP"/>
        </w:rPr>
        <w:t>AAA</w:t>
      </w:r>
      <w:r w:rsidRPr="00A07F29">
        <w:rPr>
          <w:rFonts w:ascii="Times New Roman" w:eastAsia="Times New Roman" w:hAnsi="Times New Roman" w:cs="Times New Roman"/>
          <w:color w:val="000000"/>
          <w:sz w:val="24"/>
          <w:szCs w:val="24"/>
          <w:lang w:eastAsia="ja-JP"/>
        </w:rPr>
        <w:t xml:space="preserve"> </w:t>
      </w:r>
      <w:r w:rsidR="00582D41" w:rsidRPr="00A07F29">
        <w:rPr>
          <w:rFonts w:ascii="Times New Roman" w:eastAsia="Times New Roman" w:hAnsi="Times New Roman" w:cs="Times New Roman"/>
          <w:color w:val="000000"/>
          <w:sz w:val="24"/>
          <w:szCs w:val="24"/>
          <w:lang w:eastAsia="ja-JP"/>
        </w:rPr>
        <w:t>“</w:t>
      </w:r>
      <w:r w:rsidRPr="00A07F29">
        <w:rPr>
          <w:rFonts w:ascii="Times New Roman" w:eastAsia="Times New Roman" w:hAnsi="Times New Roman" w:cs="Times New Roman"/>
          <w:color w:val="000000"/>
          <w:sz w:val="24"/>
          <w:szCs w:val="24"/>
          <w:lang w:eastAsia="ja-JP"/>
        </w:rPr>
        <w:t xml:space="preserve">Augšdaugava” un </w:t>
      </w:r>
      <w:r w:rsidR="007A241A" w:rsidRPr="00A07F29">
        <w:rPr>
          <w:rFonts w:ascii="Times New Roman" w:eastAsia="Times New Roman" w:hAnsi="Times New Roman" w:cs="Times New Roman"/>
          <w:color w:val="000000"/>
          <w:sz w:val="24"/>
          <w:szCs w:val="24"/>
          <w:lang w:eastAsia="ja-JP"/>
        </w:rPr>
        <w:t>DP</w:t>
      </w:r>
      <w:r w:rsidRPr="00A07F29">
        <w:rPr>
          <w:rFonts w:ascii="Times New Roman" w:eastAsia="Times New Roman" w:hAnsi="Times New Roman" w:cs="Times New Roman"/>
          <w:color w:val="000000"/>
          <w:sz w:val="24"/>
          <w:szCs w:val="24"/>
          <w:lang w:eastAsia="ja-JP"/>
        </w:rPr>
        <w:t xml:space="preserve"> </w:t>
      </w:r>
      <w:r w:rsidR="00582D41" w:rsidRPr="00A07F29">
        <w:rPr>
          <w:rFonts w:ascii="Times New Roman" w:eastAsia="Times New Roman" w:hAnsi="Times New Roman" w:cs="Times New Roman"/>
          <w:color w:val="000000"/>
          <w:sz w:val="24"/>
          <w:szCs w:val="24"/>
          <w:lang w:eastAsia="ja-JP"/>
        </w:rPr>
        <w:t>“</w:t>
      </w:r>
      <w:r w:rsidRPr="00A07F29">
        <w:rPr>
          <w:rFonts w:ascii="Times New Roman" w:eastAsia="Times New Roman" w:hAnsi="Times New Roman" w:cs="Times New Roman"/>
          <w:color w:val="000000"/>
          <w:sz w:val="24"/>
          <w:szCs w:val="24"/>
          <w:lang w:eastAsia="ja-JP"/>
        </w:rPr>
        <w:t>Daugavas loki”.</w:t>
      </w:r>
    </w:p>
    <w:p w14:paraId="4A11AD5D" w14:textId="3876A4D8" w:rsidR="00AF4C40" w:rsidRPr="00A07F29" w:rsidRDefault="00AF4C40" w:rsidP="00AD47BD">
      <w:pPr>
        <w:spacing w:after="120" w:line="240" w:lineRule="auto"/>
        <w:ind w:firstLine="851"/>
        <w:jc w:val="both"/>
        <w:rPr>
          <w:rFonts w:ascii="Times New Roman" w:eastAsia="Times New Roman" w:hAnsi="Times New Roman" w:cs="Times New Roman"/>
          <w:color w:val="000000"/>
          <w:sz w:val="24"/>
          <w:szCs w:val="24"/>
          <w:lang w:eastAsia="ja-JP"/>
        </w:rPr>
      </w:pPr>
      <w:r w:rsidRPr="00A07F29">
        <w:rPr>
          <w:rFonts w:ascii="Times New Roman" w:eastAsia="Times New Roman" w:hAnsi="Times New Roman" w:cs="Times New Roman"/>
          <w:color w:val="000000"/>
          <w:sz w:val="24"/>
          <w:szCs w:val="24"/>
          <w:lang w:eastAsia="ja-JP"/>
        </w:rPr>
        <w:t xml:space="preserve">Teritorijas plānojuma teritorijas izmantošanas un apbūves noteikumos </w:t>
      </w:r>
      <w:r w:rsidR="003004CD" w:rsidRPr="00A07F29">
        <w:rPr>
          <w:rFonts w:ascii="Times New Roman" w:eastAsia="Times New Roman" w:hAnsi="Times New Roman" w:cs="Times New Roman"/>
          <w:color w:val="000000"/>
          <w:sz w:val="24"/>
          <w:szCs w:val="24"/>
          <w:lang w:eastAsia="ja-JP"/>
        </w:rPr>
        <w:t>2013.</w:t>
      </w:r>
      <w:r w:rsidR="007648D9" w:rsidRPr="00A07F29">
        <w:rPr>
          <w:rFonts w:ascii="Times New Roman" w:eastAsia="Times New Roman" w:hAnsi="Times New Roman" w:cs="Times New Roman"/>
          <w:color w:val="000000"/>
          <w:sz w:val="24"/>
          <w:szCs w:val="24"/>
          <w:lang w:eastAsia="ja-JP"/>
        </w:rPr>
        <w:t> – </w:t>
      </w:r>
      <w:r w:rsidR="003004CD" w:rsidRPr="00A07F29">
        <w:rPr>
          <w:rFonts w:ascii="Times New Roman" w:eastAsia="Times New Roman" w:hAnsi="Times New Roman" w:cs="Times New Roman"/>
          <w:color w:val="000000"/>
          <w:sz w:val="24"/>
          <w:szCs w:val="24"/>
          <w:lang w:eastAsia="ja-JP"/>
        </w:rPr>
        <w:t>2024.</w:t>
      </w:r>
      <w:r w:rsidR="00582D41" w:rsidRPr="00A07F29">
        <w:rPr>
          <w:rFonts w:ascii="Times New Roman" w:eastAsia="Times New Roman" w:hAnsi="Times New Roman" w:cs="Times New Roman"/>
          <w:color w:val="000000"/>
          <w:sz w:val="24"/>
          <w:szCs w:val="24"/>
          <w:lang w:eastAsia="ja-JP"/>
        </w:rPr>
        <w:t> </w:t>
      </w:r>
      <w:r w:rsidR="003004CD" w:rsidRPr="00A07F29">
        <w:rPr>
          <w:rFonts w:ascii="Times New Roman" w:eastAsia="Times New Roman" w:hAnsi="Times New Roman" w:cs="Times New Roman"/>
          <w:color w:val="000000"/>
          <w:sz w:val="24"/>
          <w:szCs w:val="24"/>
          <w:lang w:eastAsia="ja-JP"/>
        </w:rPr>
        <w:t xml:space="preserve">gadam </w:t>
      </w:r>
      <w:r w:rsidRPr="00A07F29">
        <w:rPr>
          <w:rFonts w:ascii="Times New Roman" w:eastAsia="Times New Roman" w:hAnsi="Times New Roman" w:cs="Times New Roman"/>
          <w:color w:val="000000"/>
          <w:sz w:val="24"/>
          <w:szCs w:val="24"/>
          <w:lang w:eastAsia="ja-JP"/>
        </w:rPr>
        <w:t xml:space="preserve">paredzēti papildu nosacījumi </w:t>
      </w:r>
      <w:r w:rsidR="00BF0E06" w:rsidRPr="00A07F29">
        <w:rPr>
          <w:rFonts w:ascii="Times New Roman" w:eastAsia="Times New Roman" w:hAnsi="Times New Roman" w:cs="Times New Roman"/>
          <w:color w:val="000000"/>
          <w:sz w:val="24"/>
          <w:szCs w:val="24"/>
          <w:lang w:eastAsia="ja-JP"/>
        </w:rPr>
        <w:t>DP</w:t>
      </w:r>
      <w:r w:rsidRPr="00A07F29">
        <w:rPr>
          <w:rFonts w:ascii="Times New Roman" w:eastAsia="Times New Roman" w:hAnsi="Times New Roman" w:cs="Times New Roman"/>
          <w:color w:val="000000"/>
          <w:sz w:val="24"/>
          <w:szCs w:val="24"/>
          <w:lang w:eastAsia="ja-JP"/>
        </w:rPr>
        <w:t xml:space="preserve"> “Daugavas loki” teritorijai: paredzot būvniecību </w:t>
      </w:r>
      <w:r w:rsidR="00BF0E06" w:rsidRPr="00A07F29">
        <w:rPr>
          <w:rFonts w:ascii="Times New Roman" w:eastAsia="Times New Roman" w:hAnsi="Times New Roman" w:cs="Times New Roman"/>
          <w:color w:val="000000"/>
          <w:sz w:val="24"/>
          <w:szCs w:val="24"/>
          <w:lang w:eastAsia="ja-JP"/>
        </w:rPr>
        <w:t>DP</w:t>
      </w:r>
      <w:r w:rsidRPr="00A07F29">
        <w:rPr>
          <w:rFonts w:ascii="Times New Roman" w:eastAsia="Times New Roman" w:hAnsi="Times New Roman" w:cs="Times New Roman"/>
          <w:color w:val="000000"/>
          <w:sz w:val="24"/>
          <w:szCs w:val="24"/>
          <w:lang w:eastAsia="ja-JP"/>
        </w:rPr>
        <w:t xml:space="preserve"> </w:t>
      </w:r>
      <w:r w:rsidR="00914872" w:rsidRPr="00A07F29">
        <w:rPr>
          <w:rFonts w:ascii="Times New Roman" w:eastAsia="Times New Roman" w:hAnsi="Times New Roman" w:cs="Times New Roman"/>
          <w:color w:val="000000"/>
          <w:sz w:val="24"/>
          <w:szCs w:val="24"/>
          <w:lang w:eastAsia="ja-JP"/>
        </w:rPr>
        <w:t>“</w:t>
      </w:r>
      <w:r w:rsidRPr="00A07F29">
        <w:rPr>
          <w:rFonts w:ascii="Times New Roman" w:eastAsia="Times New Roman" w:hAnsi="Times New Roman" w:cs="Times New Roman"/>
          <w:color w:val="000000"/>
          <w:sz w:val="24"/>
          <w:szCs w:val="24"/>
          <w:lang w:eastAsia="ja-JP"/>
        </w:rPr>
        <w:t xml:space="preserve">Daugavas loki” teritorijā, papildus ievērojamas </w:t>
      </w:r>
      <w:r w:rsidR="00BF0E06" w:rsidRPr="00A07F29">
        <w:rPr>
          <w:rFonts w:ascii="Times New Roman" w:eastAsia="Times New Roman" w:hAnsi="Times New Roman" w:cs="Times New Roman"/>
          <w:color w:val="000000"/>
          <w:sz w:val="24"/>
          <w:szCs w:val="24"/>
          <w:lang w:eastAsia="ja-JP"/>
        </w:rPr>
        <w:t>DA plānā</w:t>
      </w:r>
      <w:r w:rsidRPr="00A07F29">
        <w:rPr>
          <w:rFonts w:ascii="Times New Roman" w:eastAsia="Times New Roman" w:hAnsi="Times New Roman" w:cs="Times New Roman"/>
          <w:color w:val="000000"/>
          <w:sz w:val="24"/>
          <w:szCs w:val="24"/>
          <w:lang w:eastAsia="ja-JP"/>
        </w:rPr>
        <w:t xml:space="preserve"> 2010.</w:t>
      </w:r>
      <w:r w:rsidR="00073842">
        <w:rPr>
          <w:rFonts w:ascii="Times New Roman" w:eastAsia="Times New Roman" w:hAnsi="Times New Roman" w:cs="Times New Roman"/>
          <w:color w:val="000000"/>
          <w:sz w:val="24"/>
          <w:szCs w:val="24"/>
          <w:lang w:eastAsia="ja-JP"/>
        </w:rPr>
        <w:t> </w:t>
      </w:r>
      <w:r w:rsidRPr="00A07F29">
        <w:rPr>
          <w:rFonts w:ascii="Times New Roman" w:eastAsia="Times New Roman" w:hAnsi="Times New Roman" w:cs="Times New Roman"/>
          <w:color w:val="000000"/>
          <w:sz w:val="24"/>
          <w:szCs w:val="24"/>
          <w:lang w:eastAsia="ja-JP"/>
        </w:rPr>
        <w:t>–</w:t>
      </w:r>
      <w:r w:rsidR="00073842">
        <w:rPr>
          <w:rFonts w:ascii="Times New Roman" w:eastAsia="Times New Roman" w:hAnsi="Times New Roman" w:cs="Times New Roman"/>
          <w:color w:val="000000"/>
          <w:sz w:val="24"/>
          <w:szCs w:val="24"/>
          <w:lang w:eastAsia="ja-JP"/>
        </w:rPr>
        <w:t> </w:t>
      </w:r>
      <w:r w:rsidRPr="00A07F29">
        <w:rPr>
          <w:rFonts w:ascii="Times New Roman" w:eastAsia="Times New Roman" w:hAnsi="Times New Roman" w:cs="Times New Roman"/>
          <w:color w:val="000000"/>
          <w:sz w:val="24"/>
          <w:szCs w:val="24"/>
          <w:lang w:eastAsia="ja-JP"/>
        </w:rPr>
        <w:t>2022.</w:t>
      </w:r>
      <w:r w:rsidR="00914872" w:rsidRPr="00A07F29">
        <w:rPr>
          <w:rFonts w:ascii="Times New Roman" w:eastAsia="Times New Roman" w:hAnsi="Times New Roman" w:cs="Times New Roman"/>
          <w:color w:val="000000"/>
          <w:sz w:val="24"/>
          <w:szCs w:val="24"/>
          <w:lang w:eastAsia="ja-JP"/>
        </w:rPr>
        <w:t> </w:t>
      </w:r>
      <w:r w:rsidRPr="00A07F29">
        <w:rPr>
          <w:rFonts w:ascii="Times New Roman" w:eastAsia="Times New Roman" w:hAnsi="Times New Roman" w:cs="Times New Roman"/>
          <w:color w:val="000000"/>
          <w:sz w:val="24"/>
          <w:szCs w:val="24"/>
          <w:lang w:eastAsia="ja-JP"/>
        </w:rPr>
        <w:t>gadiem noteiktās prasības tradicionālās ainavas saglabāšanai.</w:t>
      </w:r>
    </w:p>
    <w:p w14:paraId="233493B7" w14:textId="7F273BD4" w:rsidR="00AF4C40" w:rsidRPr="00A07F29" w:rsidRDefault="00AF4C40" w:rsidP="00AD47BD">
      <w:pPr>
        <w:spacing w:after="120" w:line="240" w:lineRule="auto"/>
        <w:ind w:firstLine="851"/>
        <w:jc w:val="both"/>
        <w:rPr>
          <w:rFonts w:ascii="Times New Roman" w:eastAsia="Times New Roman" w:hAnsi="Times New Roman" w:cs="Times New Roman"/>
          <w:color w:val="000000"/>
          <w:sz w:val="24"/>
          <w:szCs w:val="24"/>
          <w:lang w:eastAsia="ja-JP"/>
        </w:rPr>
      </w:pPr>
      <w:r w:rsidRPr="00A07F29">
        <w:rPr>
          <w:rFonts w:ascii="Times New Roman" w:eastAsia="Times New Roman" w:hAnsi="Times New Roman" w:cs="Times New Roman"/>
          <w:color w:val="000000"/>
          <w:sz w:val="24"/>
          <w:szCs w:val="24"/>
          <w:lang w:eastAsia="ja-JP"/>
        </w:rPr>
        <w:t xml:space="preserve">AAA </w:t>
      </w:r>
      <w:r w:rsidR="006D5FF8" w:rsidRPr="00A07F29">
        <w:rPr>
          <w:rFonts w:ascii="Times New Roman" w:eastAsia="Times New Roman" w:hAnsi="Times New Roman" w:cs="Times New Roman"/>
          <w:color w:val="000000"/>
          <w:sz w:val="24"/>
          <w:szCs w:val="24"/>
          <w:lang w:eastAsia="ja-JP"/>
        </w:rPr>
        <w:t>“</w:t>
      </w:r>
      <w:r w:rsidRPr="00A07F29">
        <w:rPr>
          <w:rFonts w:ascii="Times New Roman" w:eastAsia="Times New Roman" w:hAnsi="Times New Roman" w:cs="Times New Roman"/>
          <w:color w:val="000000"/>
          <w:sz w:val="24"/>
          <w:szCs w:val="24"/>
          <w:lang w:eastAsia="ja-JP"/>
        </w:rPr>
        <w:t>Augšdaugava” teritorijā:</w:t>
      </w:r>
    </w:p>
    <w:p w14:paraId="33139F89" w14:textId="77777777" w:rsidR="00AF4C40" w:rsidRPr="00A07F29" w:rsidRDefault="00AF4C40" w:rsidP="00AD47BD">
      <w:pPr>
        <w:spacing w:after="120" w:line="240" w:lineRule="auto"/>
        <w:ind w:firstLine="851"/>
        <w:jc w:val="both"/>
        <w:rPr>
          <w:rFonts w:ascii="Times New Roman" w:eastAsia="Times New Roman" w:hAnsi="Times New Roman" w:cs="Times New Roman"/>
          <w:color w:val="000000"/>
          <w:sz w:val="24"/>
          <w:szCs w:val="24"/>
          <w:lang w:eastAsia="ja-JP"/>
        </w:rPr>
      </w:pPr>
      <w:r w:rsidRPr="00A07F29">
        <w:rPr>
          <w:rFonts w:ascii="Times New Roman" w:eastAsia="Times New Roman" w:hAnsi="Times New Roman" w:cs="Times New Roman"/>
          <w:color w:val="000000"/>
          <w:sz w:val="24"/>
          <w:szCs w:val="24"/>
          <w:lang w:eastAsia="ja-JP"/>
        </w:rPr>
        <w:t>- aizliegts veikt darbības, kas būtiski pārveido ainavu un tās elementus, izmaina kultūrvēsturiskās vides īpatnības un reģionam raksturīgos ainavu elementus vai samazina bioloģisko daudzveidību un ainavas ekoloģisko kvalitāti;</w:t>
      </w:r>
    </w:p>
    <w:p w14:paraId="12DC0C43" w14:textId="63941503" w:rsidR="00AF4C40" w:rsidRPr="00A07F29" w:rsidRDefault="00AF4C40" w:rsidP="00AD47BD">
      <w:pPr>
        <w:spacing w:after="120" w:line="240" w:lineRule="auto"/>
        <w:ind w:firstLine="851"/>
        <w:jc w:val="both"/>
        <w:rPr>
          <w:rFonts w:ascii="Times New Roman" w:eastAsia="Times New Roman" w:hAnsi="Times New Roman" w:cs="Times New Roman"/>
          <w:color w:val="000000"/>
          <w:sz w:val="24"/>
          <w:szCs w:val="24"/>
          <w:lang w:eastAsia="ja-JP"/>
        </w:rPr>
      </w:pPr>
      <w:r w:rsidRPr="00A07F29">
        <w:rPr>
          <w:rFonts w:ascii="Times New Roman" w:eastAsia="Times New Roman" w:hAnsi="Times New Roman" w:cs="Times New Roman"/>
          <w:color w:val="000000"/>
          <w:sz w:val="24"/>
          <w:szCs w:val="24"/>
          <w:lang w:eastAsia="ja-JP"/>
        </w:rPr>
        <w:t>- aizliegts veikt būvniecību vai ierīkot stādījumus un ieaudzēt mežu, kas var aizsegt skatu no publiski pieejamiem skatu punktiem un ainaviskiem ceļiem uz ainavai raksturīgajiem elementiem un vērtībām</w:t>
      </w:r>
      <w:r w:rsidR="000D1DE9" w:rsidRPr="00A07F29">
        <w:rPr>
          <w:rFonts w:ascii="Times New Roman" w:eastAsia="Times New Roman" w:hAnsi="Times New Roman" w:cs="Times New Roman"/>
          <w:color w:val="000000"/>
          <w:sz w:val="24"/>
          <w:szCs w:val="24"/>
          <w:lang w:eastAsia="ja-JP"/>
        </w:rPr>
        <w:t>;</w:t>
      </w:r>
    </w:p>
    <w:p w14:paraId="1ECF1061" w14:textId="2F8200E0" w:rsidR="00AF4C40" w:rsidRPr="00A07F29" w:rsidRDefault="00AF4C40" w:rsidP="00AD47BD">
      <w:pPr>
        <w:spacing w:after="120" w:line="240" w:lineRule="auto"/>
        <w:ind w:firstLine="851"/>
        <w:jc w:val="both"/>
        <w:rPr>
          <w:rFonts w:ascii="Times New Roman" w:eastAsia="Times New Roman" w:hAnsi="Times New Roman" w:cs="Times New Roman"/>
          <w:color w:val="000000"/>
          <w:sz w:val="24"/>
          <w:szCs w:val="24"/>
          <w:lang w:eastAsia="ja-JP"/>
        </w:rPr>
      </w:pPr>
      <w:r w:rsidRPr="00A07F29">
        <w:rPr>
          <w:rFonts w:ascii="Times New Roman" w:eastAsia="Times New Roman" w:hAnsi="Times New Roman" w:cs="Times New Roman"/>
          <w:color w:val="000000"/>
          <w:sz w:val="24"/>
          <w:szCs w:val="24"/>
          <w:lang w:eastAsia="ja-JP"/>
        </w:rPr>
        <w:t xml:space="preserve">- paredzot būvniecību </w:t>
      </w:r>
      <w:r w:rsidR="00BF0E06" w:rsidRPr="00A07F29">
        <w:rPr>
          <w:rFonts w:ascii="Times New Roman" w:eastAsia="Times New Roman" w:hAnsi="Times New Roman" w:cs="Times New Roman"/>
          <w:color w:val="000000"/>
          <w:sz w:val="24"/>
          <w:szCs w:val="24"/>
          <w:lang w:eastAsia="ja-JP"/>
        </w:rPr>
        <w:t>DP</w:t>
      </w:r>
      <w:r w:rsidRPr="00A07F29">
        <w:rPr>
          <w:rFonts w:ascii="Times New Roman" w:eastAsia="Times New Roman" w:hAnsi="Times New Roman" w:cs="Times New Roman"/>
          <w:color w:val="000000"/>
          <w:sz w:val="24"/>
          <w:szCs w:val="24"/>
          <w:lang w:eastAsia="ja-JP"/>
        </w:rPr>
        <w:t xml:space="preserve"> </w:t>
      </w:r>
      <w:r w:rsidR="000D1DE9" w:rsidRPr="00A07F29">
        <w:rPr>
          <w:rFonts w:ascii="Times New Roman" w:eastAsia="Times New Roman" w:hAnsi="Times New Roman" w:cs="Times New Roman"/>
          <w:color w:val="000000"/>
          <w:sz w:val="24"/>
          <w:szCs w:val="24"/>
          <w:lang w:eastAsia="ja-JP"/>
        </w:rPr>
        <w:t>“</w:t>
      </w:r>
      <w:r w:rsidRPr="00A07F29">
        <w:rPr>
          <w:rFonts w:ascii="Times New Roman" w:eastAsia="Times New Roman" w:hAnsi="Times New Roman" w:cs="Times New Roman"/>
          <w:color w:val="000000"/>
          <w:sz w:val="24"/>
          <w:szCs w:val="24"/>
          <w:lang w:eastAsia="ja-JP"/>
        </w:rPr>
        <w:t xml:space="preserve">Daugavas loki” vai AAA </w:t>
      </w:r>
      <w:r w:rsidR="000D1DE9" w:rsidRPr="00A07F29">
        <w:rPr>
          <w:rFonts w:ascii="Times New Roman" w:eastAsia="Times New Roman" w:hAnsi="Times New Roman" w:cs="Times New Roman"/>
          <w:color w:val="000000"/>
          <w:sz w:val="24"/>
          <w:szCs w:val="24"/>
          <w:lang w:eastAsia="ja-JP"/>
        </w:rPr>
        <w:t>“</w:t>
      </w:r>
      <w:r w:rsidRPr="00A07F29">
        <w:rPr>
          <w:rFonts w:ascii="Times New Roman" w:eastAsia="Times New Roman" w:hAnsi="Times New Roman" w:cs="Times New Roman"/>
          <w:color w:val="000000"/>
          <w:sz w:val="24"/>
          <w:szCs w:val="24"/>
          <w:lang w:eastAsia="ja-JP"/>
        </w:rPr>
        <w:t xml:space="preserve">Augšdaugava” teritorijās, </w:t>
      </w:r>
      <w:r w:rsidR="006174CB" w:rsidRPr="00A07F29">
        <w:rPr>
          <w:rFonts w:ascii="Times New Roman" w:eastAsia="Times New Roman" w:hAnsi="Times New Roman" w:cs="Times New Roman"/>
          <w:color w:val="000000"/>
          <w:sz w:val="24"/>
          <w:szCs w:val="24"/>
          <w:lang w:eastAsia="ja-JP"/>
        </w:rPr>
        <w:t>p</w:t>
      </w:r>
      <w:r w:rsidRPr="00A07F29">
        <w:rPr>
          <w:rFonts w:ascii="Times New Roman" w:eastAsia="Times New Roman" w:hAnsi="Times New Roman" w:cs="Times New Roman"/>
          <w:color w:val="000000"/>
          <w:sz w:val="24"/>
          <w:szCs w:val="24"/>
          <w:lang w:eastAsia="ja-JP"/>
        </w:rPr>
        <w:t xml:space="preserve">ašvaldībai ir tiesības pieprasīt būvniecības ierosinātājam būvprojekta ietvaros veikt ainavas analīzi un norādīt specifiskas prasības projektējamajiem </w:t>
      </w:r>
      <w:proofErr w:type="spellStart"/>
      <w:r w:rsidRPr="00A07F29">
        <w:rPr>
          <w:rFonts w:ascii="Times New Roman" w:eastAsia="Times New Roman" w:hAnsi="Times New Roman" w:cs="Times New Roman"/>
          <w:color w:val="000000"/>
          <w:sz w:val="24"/>
          <w:szCs w:val="24"/>
          <w:lang w:eastAsia="ja-JP"/>
        </w:rPr>
        <w:t>būvapjomiem</w:t>
      </w:r>
      <w:proofErr w:type="spellEnd"/>
      <w:r w:rsidR="006174CB" w:rsidRPr="00A07F29">
        <w:rPr>
          <w:rFonts w:ascii="Times New Roman" w:eastAsia="Times New Roman" w:hAnsi="Times New Roman" w:cs="Times New Roman"/>
          <w:color w:val="000000"/>
          <w:sz w:val="24"/>
          <w:szCs w:val="24"/>
          <w:lang w:eastAsia="ja-JP"/>
        </w:rPr>
        <w:t>;</w:t>
      </w:r>
    </w:p>
    <w:p w14:paraId="08B408E5" w14:textId="356FF158" w:rsidR="00AF4C40" w:rsidRPr="00A07F29" w:rsidRDefault="00AF4C40" w:rsidP="00AD47BD">
      <w:pPr>
        <w:spacing w:after="120" w:line="240" w:lineRule="auto"/>
        <w:ind w:firstLine="851"/>
        <w:jc w:val="both"/>
        <w:rPr>
          <w:rFonts w:ascii="Times New Roman" w:eastAsia="Times New Roman" w:hAnsi="Times New Roman" w:cs="Times New Roman"/>
          <w:color w:val="000000"/>
          <w:sz w:val="24"/>
          <w:szCs w:val="24"/>
          <w:lang w:eastAsia="ja-JP"/>
        </w:rPr>
      </w:pPr>
      <w:r w:rsidRPr="00A07F29">
        <w:rPr>
          <w:rFonts w:ascii="Times New Roman" w:eastAsia="Times New Roman" w:hAnsi="Times New Roman" w:cs="Times New Roman"/>
          <w:color w:val="000000"/>
          <w:sz w:val="24"/>
          <w:szCs w:val="24"/>
          <w:lang w:eastAsia="ja-JP"/>
        </w:rPr>
        <w:t xml:space="preserve">- ja paredzamā būvniecība </w:t>
      </w:r>
      <w:r w:rsidR="00BF0E06" w:rsidRPr="00A07F29">
        <w:rPr>
          <w:rFonts w:ascii="Times New Roman" w:eastAsia="Times New Roman" w:hAnsi="Times New Roman" w:cs="Times New Roman"/>
          <w:color w:val="000000"/>
          <w:sz w:val="24"/>
          <w:szCs w:val="24"/>
          <w:lang w:eastAsia="ja-JP"/>
        </w:rPr>
        <w:t>DP</w:t>
      </w:r>
      <w:r w:rsidRPr="00A07F29">
        <w:rPr>
          <w:rFonts w:ascii="Times New Roman" w:eastAsia="Times New Roman" w:hAnsi="Times New Roman" w:cs="Times New Roman"/>
          <w:color w:val="000000"/>
          <w:sz w:val="24"/>
          <w:szCs w:val="24"/>
          <w:lang w:eastAsia="ja-JP"/>
        </w:rPr>
        <w:t xml:space="preserve"> </w:t>
      </w:r>
      <w:r w:rsidR="006174CB" w:rsidRPr="00A07F29">
        <w:rPr>
          <w:rFonts w:ascii="Times New Roman" w:eastAsia="Times New Roman" w:hAnsi="Times New Roman" w:cs="Times New Roman"/>
          <w:color w:val="000000"/>
          <w:sz w:val="24"/>
          <w:szCs w:val="24"/>
          <w:lang w:eastAsia="ja-JP"/>
        </w:rPr>
        <w:t>“</w:t>
      </w:r>
      <w:r w:rsidRPr="00A07F29">
        <w:rPr>
          <w:rFonts w:ascii="Times New Roman" w:eastAsia="Times New Roman" w:hAnsi="Times New Roman" w:cs="Times New Roman"/>
          <w:color w:val="000000"/>
          <w:sz w:val="24"/>
          <w:szCs w:val="24"/>
          <w:lang w:eastAsia="ja-JP"/>
        </w:rPr>
        <w:t xml:space="preserve">Daugavas loki” vai AAA </w:t>
      </w:r>
      <w:r w:rsidR="006174CB" w:rsidRPr="00A07F29">
        <w:rPr>
          <w:rFonts w:ascii="Times New Roman" w:eastAsia="Times New Roman" w:hAnsi="Times New Roman" w:cs="Times New Roman"/>
          <w:color w:val="000000"/>
          <w:sz w:val="24"/>
          <w:szCs w:val="24"/>
          <w:lang w:eastAsia="ja-JP"/>
        </w:rPr>
        <w:t>“</w:t>
      </w:r>
      <w:r w:rsidRPr="00A07F29">
        <w:rPr>
          <w:rFonts w:ascii="Times New Roman" w:eastAsia="Times New Roman" w:hAnsi="Times New Roman" w:cs="Times New Roman"/>
          <w:color w:val="000000"/>
          <w:sz w:val="24"/>
          <w:szCs w:val="24"/>
          <w:lang w:eastAsia="ja-JP"/>
        </w:rPr>
        <w:t xml:space="preserve">Augšdaugava” teritorijās var negatīvi ietekmēt vidi un ainavu, </w:t>
      </w:r>
      <w:r w:rsidR="006174CB" w:rsidRPr="00A07F29">
        <w:rPr>
          <w:rFonts w:ascii="Times New Roman" w:eastAsia="Times New Roman" w:hAnsi="Times New Roman" w:cs="Times New Roman"/>
          <w:color w:val="000000"/>
          <w:sz w:val="24"/>
          <w:szCs w:val="24"/>
          <w:lang w:eastAsia="ja-JP"/>
        </w:rPr>
        <w:t>p</w:t>
      </w:r>
      <w:r w:rsidRPr="00A07F29">
        <w:rPr>
          <w:rFonts w:ascii="Times New Roman" w:eastAsia="Times New Roman" w:hAnsi="Times New Roman" w:cs="Times New Roman"/>
          <w:color w:val="000000"/>
          <w:sz w:val="24"/>
          <w:szCs w:val="24"/>
          <w:lang w:eastAsia="ja-JP"/>
        </w:rPr>
        <w:t>ašvaldība ir tiesīga nodot būvniecības ieceri publiskajai apspriešanai</w:t>
      </w:r>
      <w:r w:rsidR="007A7B09" w:rsidRPr="00A07F29">
        <w:rPr>
          <w:rFonts w:ascii="Times New Roman" w:eastAsia="Times New Roman" w:hAnsi="Times New Roman" w:cs="Times New Roman"/>
          <w:color w:val="000000"/>
          <w:sz w:val="24"/>
          <w:szCs w:val="24"/>
          <w:lang w:eastAsia="ja-JP"/>
        </w:rPr>
        <w:t>;</w:t>
      </w:r>
    </w:p>
    <w:p w14:paraId="7DC600BF" w14:textId="36501CD5" w:rsidR="00AF4C40" w:rsidRPr="00A07F29" w:rsidRDefault="00AF4C40" w:rsidP="00AD47BD">
      <w:pPr>
        <w:spacing w:after="120" w:line="240" w:lineRule="auto"/>
        <w:ind w:firstLine="851"/>
        <w:jc w:val="both"/>
        <w:rPr>
          <w:rFonts w:ascii="Times New Roman" w:eastAsia="Times New Roman" w:hAnsi="Times New Roman" w:cs="Times New Roman"/>
          <w:color w:val="000000"/>
          <w:sz w:val="24"/>
          <w:szCs w:val="24"/>
          <w:lang w:eastAsia="ja-JP"/>
        </w:rPr>
      </w:pPr>
      <w:r w:rsidRPr="00A07F29">
        <w:rPr>
          <w:rFonts w:ascii="Times New Roman" w:eastAsia="Times New Roman" w:hAnsi="Times New Roman" w:cs="Times New Roman"/>
          <w:color w:val="000000"/>
          <w:sz w:val="24"/>
          <w:szCs w:val="24"/>
          <w:lang w:eastAsia="ja-JP"/>
        </w:rPr>
        <w:t>- nav pieļaujama ainaviski nozīmīgu skatu punktu aizsegšana, aizbūvējot ar ēkām, apstādot ar kokiem, vai aizaudzējot ar krūmiem</w:t>
      </w:r>
      <w:r w:rsidR="007A7B09" w:rsidRPr="00A07F29">
        <w:rPr>
          <w:rFonts w:ascii="Times New Roman" w:eastAsia="Times New Roman" w:hAnsi="Times New Roman" w:cs="Times New Roman"/>
          <w:color w:val="000000"/>
          <w:sz w:val="24"/>
          <w:szCs w:val="24"/>
          <w:lang w:eastAsia="ja-JP"/>
        </w:rPr>
        <w:t>;</w:t>
      </w:r>
    </w:p>
    <w:p w14:paraId="30178B23" w14:textId="4AACD48D" w:rsidR="00AF4C40" w:rsidRPr="00A07F29" w:rsidRDefault="00AF4C40" w:rsidP="00AD47BD">
      <w:pPr>
        <w:spacing w:after="120" w:line="240" w:lineRule="auto"/>
        <w:ind w:firstLine="851"/>
        <w:jc w:val="both"/>
        <w:rPr>
          <w:rFonts w:ascii="Times New Roman" w:eastAsia="Times New Roman" w:hAnsi="Times New Roman" w:cs="Times New Roman"/>
          <w:color w:val="000000"/>
          <w:sz w:val="24"/>
          <w:szCs w:val="24"/>
          <w:lang w:eastAsia="ja-JP"/>
        </w:rPr>
      </w:pPr>
      <w:r w:rsidRPr="00A07F29">
        <w:rPr>
          <w:rFonts w:ascii="Times New Roman" w:eastAsia="Times New Roman" w:hAnsi="Times New Roman" w:cs="Times New Roman"/>
          <w:color w:val="000000"/>
          <w:sz w:val="24"/>
          <w:szCs w:val="24"/>
          <w:lang w:eastAsia="ja-JP"/>
        </w:rPr>
        <w:t xml:space="preserve">- izskatot būvniecības vai saimnieciskās darbības pieteikumus, </w:t>
      </w:r>
      <w:r w:rsidR="007A7B09" w:rsidRPr="00A07F29">
        <w:rPr>
          <w:rFonts w:ascii="Times New Roman" w:eastAsia="Times New Roman" w:hAnsi="Times New Roman" w:cs="Times New Roman"/>
          <w:color w:val="000000"/>
          <w:sz w:val="24"/>
          <w:szCs w:val="24"/>
          <w:lang w:eastAsia="ja-JP"/>
        </w:rPr>
        <w:t>p</w:t>
      </w:r>
      <w:r w:rsidRPr="00A07F29">
        <w:rPr>
          <w:rFonts w:ascii="Times New Roman" w:eastAsia="Times New Roman" w:hAnsi="Times New Roman" w:cs="Times New Roman"/>
          <w:color w:val="000000"/>
          <w:sz w:val="24"/>
          <w:szCs w:val="24"/>
          <w:lang w:eastAsia="ja-JP"/>
        </w:rPr>
        <w:t>ašvaldībai ir tiesības pieprasīt izstrādāt detālplānojumu</w:t>
      </w:r>
      <w:r w:rsidR="007A7B09" w:rsidRPr="00A07F29">
        <w:rPr>
          <w:rFonts w:ascii="Times New Roman" w:eastAsia="Times New Roman" w:hAnsi="Times New Roman" w:cs="Times New Roman"/>
          <w:color w:val="000000"/>
          <w:sz w:val="24"/>
          <w:szCs w:val="24"/>
          <w:lang w:eastAsia="ja-JP"/>
        </w:rPr>
        <w:t>;</w:t>
      </w:r>
    </w:p>
    <w:p w14:paraId="124178FC" w14:textId="77777777" w:rsidR="00AF4C40" w:rsidRPr="00A07F29" w:rsidRDefault="00AF4C40" w:rsidP="00AD47BD">
      <w:pPr>
        <w:spacing w:after="120" w:line="240" w:lineRule="auto"/>
        <w:ind w:firstLine="851"/>
        <w:jc w:val="both"/>
        <w:rPr>
          <w:rFonts w:ascii="Times New Roman" w:eastAsia="Times New Roman" w:hAnsi="Times New Roman" w:cs="Times New Roman"/>
          <w:color w:val="000000"/>
          <w:sz w:val="24"/>
          <w:szCs w:val="24"/>
          <w:lang w:eastAsia="ja-JP"/>
        </w:rPr>
      </w:pPr>
      <w:r w:rsidRPr="00A07F29">
        <w:rPr>
          <w:rFonts w:ascii="Times New Roman" w:eastAsia="Times New Roman" w:hAnsi="Times New Roman" w:cs="Times New Roman"/>
          <w:color w:val="000000"/>
          <w:sz w:val="24"/>
          <w:szCs w:val="24"/>
          <w:lang w:eastAsia="ja-JP"/>
        </w:rPr>
        <w:t xml:space="preserve">- tematiskajos plānojumus, </w:t>
      </w:r>
      <w:proofErr w:type="spellStart"/>
      <w:r w:rsidRPr="00A07F29">
        <w:rPr>
          <w:rFonts w:ascii="Times New Roman" w:eastAsia="Times New Roman" w:hAnsi="Times New Roman" w:cs="Times New Roman"/>
          <w:color w:val="000000"/>
          <w:sz w:val="24"/>
          <w:szCs w:val="24"/>
          <w:lang w:eastAsia="ja-JP"/>
        </w:rPr>
        <w:t>lokālplānojumos</w:t>
      </w:r>
      <w:proofErr w:type="spellEnd"/>
      <w:r w:rsidRPr="00A07F29">
        <w:rPr>
          <w:rFonts w:ascii="Times New Roman" w:eastAsia="Times New Roman" w:hAnsi="Times New Roman" w:cs="Times New Roman"/>
          <w:color w:val="000000"/>
          <w:sz w:val="24"/>
          <w:szCs w:val="24"/>
          <w:lang w:eastAsia="ja-JP"/>
        </w:rPr>
        <w:t xml:space="preserve"> vai detālplānojumos un būvprojektos jānosaka prasības paredzēt skatu vietas, autostāvvietas, saglabāt publisku pieeju ūdensobjektiem. Plānojot atsevišķu objektu būvniecību vai atsevišķu darbību veikšanu, kuru īstenošana var izraisīt tiešas vai netiešas pārmaiņas videi, pirms to uzsākšanas jāveic ietekmes uz vidi </w:t>
      </w:r>
      <w:proofErr w:type="spellStart"/>
      <w:r w:rsidRPr="00A07F29">
        <w:rPr>
          <w:rFonts w:ascii="Times New Roman" w:eastAsia="Times New Roman" w:hAnsi="Times New Roman" w:cs="Times New Roman"/>
          <w:color w:val="000000"/>
          <w:sz w:val="24"/>
          <w:szCs w:val="24"/>
          <w:lang w:eastAsia="ja-JP"/>
        </w:rPr>
        <w:t>izvērtējums</w:t>
      </w:r>
      <w:proofErr w:type="spellEnd"/>
      <w:r w:rsidRPr="00A07F29">
        <w:rPr>
          <w:rFonts w:ascii="Times New Roman" w:eastAsia="Times New Roman" w:hAnsi="Times New Roman" w:cs="Times New Roman"/>
          <w:color w:val="000000"/>
          <w:sz w:val="24"/>
          <w:szCs w:val="24"/>
          <w:lang w:eastAsia="ja-JP"/>
        </w:rPr>
        <w:t xml:space="preserve"> atbilstoši normatīvo aktu prasībām.</w:t>
      </w:r>
    </w:p>
    <w:p w14:paraId="74CB2905" w14:textId="1FD91C53" w:rsidR="00AF4C40" w:rsidRPr="00A07F29" w:rsidRDefault="00AF4C40" w:rsidP="00AD47BD">
      <w:pPr>
        <w:spacing w:after="120" w:line="240" w:lineRule="auto"/>
        <w:jc w:val="both"/>
        <w:rPr>
          <w:rFonts w:ascii="Times New Roman" w:eastAsia="Times New Roman" w:hAnsi="Times New Roman" w:cs="Times New Roman"/>
          <w:b/>
          <w:i/>
          <w:color w:val="000000"/>
          <w:sz w:val="24"/>
          <w:szCs w:val="24"/>
          <w:lang w:eastAsia="ja-JP"/>
        </w:rPr>
      </w:pPr>
      <w:r w:rsidRPr="00A07F29">
        <w:rPr>
          <w:rFonts w:ascii="Times New Roman" w:eastAsia="Times New Roman" w:hAnsi="Times New Roman" w:cs="Times New Roman"/>
          <w:b/>
          <w:i/>
          <w:color w:val="000000"/>
          <w:sz w:val="24"/>
          <w:szCs w:val="24"/>
          <w:lang w:eastAsia="ja-JP"/>
        </w:rPr>
        <w:t xml:space="preserve">Daugavpils </w:t>
      </w:r>
      <w:proofErr w:type="spellStart"/>
      <w:r w:rsidR="001667CC">
        <w:rPr>
          <w:rFonts w:ascii="Times New Roman" w:eastAsia="Times New Roman" w:hAnsi="Times New Roman" w:cs="Times New Roman"/>
          <w:b/>
          <w:i/>
          <w:color w:val="000000"/>
          <w:sz w:val="24"/>
          <w:szCs w:val="24"/>
          <w:lang w:eastAsia="ja-JP"/>
        </w:rPr>
        <w:t>valstspilsētas</w:t>
      </w:r>
      <w:proofErr w:type="spellEnd"/>
      <w:r w:rsidR="001667CC">
        <w:rPr>
          <w:rFonts w:ascii="Times New Roman" w:eastAsia="Times New Roman" w:hAnsi="Times New Roman" w:cs="Times New Roman"/>
          <w:b/>
          <w:i/>
          <w:color w:val="000000"/>
          <w:sz w:val="24"/>
          <w:szCs w:val="24"/>
          <w:lang w:eastAsia="ja-JP"/>
        </w:rPr>
        <w:t xml:space="preserve"> un Augšdaugavas </w:t>
      </w:r>
      <w:r w:rsidRPr="00A07F29">
        <w:rPr>
          <w:rFonts w:ascii="Times New Roman" w:eastAsia="Times New Roman" w:hAnsi="Times New Roman" w:cs="Times New Roman"/>
          <w:b/>
          <w:i/>
          <w:color w:val="000000"/>
          <w:sz w:val="24"/>
          <w:szCs w:val="24"/>
          <w:lang w:eastAsia="ja-JP"/>
        </w:rPr>
        <w:t>novada teritorijas plānošanas dokumenti</w:t>
      </w:r>
    </w:p>
    <w:p w14:paraId="7FB691AF" w14:textId="20152143" w:rsidR="00525B4E" w:rsidRDefault="00AF4C40" w:rsidP="00525B4E">
      <w:pPr>
        <w:spacing w:after="120" w:line="240" w:lineRule="auto"/>
        <w:ind w:firstLine="851"/>
        <w:jc w:val="both"/>
        <w:rPr>
          <w:rFonts w:ascii="Times New Roman" w:eastAsia="Times New Roman" w:hAnsi="Times New Roman" w:cs="Times New Roman"/>
          <w:color w:val="000000"/>
          <w:sz w:val="24"/>
          <w:szCs w:val="24"/>
          <w:lang w:eastAsia="ja-JP"/>
        </w:rPr>
      </w:pPr>
      <w:r w:rsidRPr="00A07F29">
        <w:rPr>
          <w:rFonts w:ascii="Times New Roman" w:eastAsia="Times New Roman" w:hAnsi="Times New Roman" w:cs="Times New Roman"/>
          <w:color w:val="000000"/>
          <w:sz w:val="24"/>
          <w:szCs w:val="24"/>
          <w:lang w:eastAsia="ja-JP"/>
        </w:rPr>
        <w:t xml:space="preserve">Daugavpils </w:t>
      </w:r>
      <w:proofErr w:type="spellStart"/>
      <w:r w:rsidR="00B60F6B">
        <w:rPr>
          <w:rFonts w:ascii="Times New Roman" w:eastAsia="Times New Roman" w:hAnsi="Times New Roman" w:cs="Times New Roman"/>
          <w:color w:val="000000"/>
          <w:sz w:val="24"/>
          <w:szCs w:val="24"/>
          <w:lang w:eastAsia="ja-JP"/>
        </w:rPr>
        <w:t>valstpilsētas</w:t>
      </w:r>
      <w:proofErr w:type="spellEnd"/>
      <w:r w:rsidR="00B60F6B">
        <w:rPr>
          <w:rFonts w:ascii="Times New Roman" w:eastAsia="Times New Roman" w:hAnsi="Times New Roman" w:cs="Times New Roman"/>
          <w:color w:val="000000"/>
          <w:sz w:val="24"/>
          <w:szCs w:val="24"/>
          <w:lang w:eastAsia="ja-JP"/>
        </w:rPr>
        <w:t xml:space="preserve"> un Augšdaugavas </w:t>
      </w:r>
      <w:r w:rsidRPr="00A07F29">
        <w:rPr>
          <w:rFonts w:ascii="Times New Roman" w:eastAsia="Times New Roman" w:hAnsi="Times New Roman" w:cs="Times New Roman"/>
          <w:color w:val="000000"/>
          <w:sz w:val="24"/>
          <w:szCs w:val="24"/>
          <w:lang w:eastAsia="ja-JP"/>
        </w:rPr>
        <w:t>novada ilgtspējīgas attīstības stratēģij</w:t>
      </w:r>
      <w:r w:rsidR="00B60F6B">
        <w:rPr>
          <w:rFonts w:ascii="Times New Roman" w:eastAsia="Times New Roman" w:hAnsi="Times New Roman" w:cs="Times New Roman"/>
          <w:color w:val="000000"/>
          <w:sz w:val="24"/>
          <w:szCs w:val="24"/>
          <w:lang w:eastAsia="ja-JP"/>
        </w:rPr>
        <w:t>a līdz</w:t>
      </w:r>
      <w:r w:rsidRPr="00A07F29">
        <w:rPr>
          <w:rFonts w:ascii="Times New Roman" w:eastAsia="Times New Roman" w:hAnsi="Times New Roman" w:cs="Times New Roman"/>
          <w:color w:val="000000"/>
          <w:sz w:val="24"/>
          <w:szCs w:val="24"/>
          <w:lang w:eastAsia="ja-JP"/>
        </w:rPr>
        <w:t xml:space="preserve"> 2030.</w:t>
      </w:r>
      <w:r w:rsidR="00BA0FF4" w:rsidRPr="00A07F29">
        <w:rPr>
          <w:rFonts w:ascii="Times New Roman" w:eastAsia="Times New Roman" w:hAnsi="Times New Roman" w:cs="Times New Roman"/>
          <w:color w:val="000000"/>
          <w:sz w:val="24"/>
          <w:szCs w:val="24"/>
          <w:lang w:eastAsia="ja-JP"/>
        </w:rPr>
        <w:t> </w:t>
      </w:r>
      <w:r w:rsidRPr="00A07F29">
        <w:rPr>
          <w:rFonts w:ascii="Times New Roman" w:eastAsia="Times New Roman" w:hAnsi="Times New Roman" w:cs="Times New Roman"/>
          <w:color w:val="000000"/>
          <w:sz w:val="24"/>
          <w:szCs w:val="24"/>
          <w:lang w:eastAsia="ja-JP"/>
        </w:rPr>
        <w:t>gad</w:t>
      </w:r>
      <w:r w:rsidR="00B60F6B">
        <w:rPr>
          <w:rFonts w:ascii="Times New Roman" w:eastAsia="Times New Roman" w:hAnsi="Times New Roman" w:cs="Times New Roman"/>
          <w:color w:val="000000"/>
          <w:sz w:val="24"/>
          <w:szCs w:val="24"/>
          <w:lang w:eastAsia="ja-JP"/>
        </w:rPr>
        <w:t>a</w:t>
      </w:r>
      <w:r w:rsidRPr="00A07F29">
        <w:rPr>
          <w:rFonts w:ascii="Times New Roman" w:eastAsia="Times New Roman" w:hAnsi="Times New Roman" w:cs="Times New Roman"/>
          <w:color w:val="000000"/>
          <w:sz w:val="24"/>
          <w:szCs w:val="24"/>
          <w:lang w:eastAsia="ja-JP"/>
        </w:rPr>
        <w:t>m</w:t>
      </w:r>
      <w:r w:rsidR="00A55C9C">
        <w:rPr>
          <w:rStyle w:val="FootnoteReference"/>
          <w:rFonts w:ascii="Times New Roman" w:eastAsia="Times New Roman" w:hAnsi="Times New Roman" w:cs="Times New Roman"/>
          <w:color w:val="000000"/>
          <w:sz w:val="24"/>
          <w:szCs w:val="24"/>
          <w:lang w:eastAsia="ja-JP"/>
        </w:rPr>
        <w:footnoteReference w:id="5"/>
      </w:r>
      <w:r w:rsidRPr="00A07F29">
        <w:rPr>
          <w:rFonts w:ascii="Times New Roman" w:eastAsia="Times New Roman" w:hAnsi="Times New Roman" w:cs="Times New Roman"/>
          <w:color w:val="000000"/>
          <w:sz w:val="24"/>
          <w:szCs w:val="24"/>
          <w:lang w:eastAsia="ja-JP"/>
        </w:rPr>
        <w:t xml:space="preserve">, </w:t>
      </w:r>
      <w:r w:rsidRPr="00A07F29">
        <w:rPr>
          <w:rFonts w:ascii="Times New Roman" w:eastAsia="Calibri" w:hAnsi="Times New Roman" w:cs="Calibri"/>
          <w:sz w:val="24"/>
        </w:rPr>
        <w:t xml:space="preserve">kas apstiprināta ar </w:t>
      </w:r>
      <w:r w:rsidR="007A241A" w:rsidRPr="00A07F29">
        <w:rPr>
          <w:rFonts w:ascii="Times New Roman" w:eastAsia="Times New Roman" w:hAnsi="Times New Roman" w:cs="Times New Roman"/>
          <w:color w:val="000000"/>
          <w:sz w:val="24"/>
          <w:szCs w:val="24"/>
          <w:lang w:eastAsia="ja-JP"/>
        </w:rPr>
        <w:t xml:space="preserve">Daugavpils domes </w:t>
      </w:r>
      <w:r w:rsidR="00C537DD">
        <w:rPr>
          <w:rFonts w:ascii="Times New Roman" w:eastAsia="Calibri" w:hAnsi="Times New Roman" w:cs="Calibri"/>
          <w:sz w:val="24"/>
        </w:rPr>
        <w:t xml:space="preserve">2021. gada 14. oktobra </w:t>
      </w:r>
      <w:r w:rsidR="007E1716">
        <w:rPr>
          <w:rFonts w:ascii="Times New Roman" w:eastAsia="Times New Roman" w:hAnsi="Times New Roman" w:cs="Times New Roman"/>
          <w:color w:val="000000"/>
          <w:sz w:val="24"/>
          <w:szCs w:val="24"/>
          <w:lang w:eastAsia="ja-JP"/>
        </w:rPr>
        <w:t>lēmumu</w:t>
      </w:r>
      <w:r w:rsidR="005015B4">
        <w:rPr>
          <w:rFonts w:ascii="Times New Roman" w:eastAsia="Times New Roman" w:hAnsi="Times New Roman" w:cs="Times New Roman"/>
          <w:color w:val="000000"/>
          <w:sz w:val="24"/>
          <w:szCs w:val="24"/>
          <w:lang w:eastAsia="ja-JP"/>
        </w:rPr>
        <w:t xml:space="preserve"> Nr. 654 </w:t>
      </w:r>
      <w:r w:rsidR="00BE5FEA">
        <w:rPr>
          <w:rFonts w:ascii="Times New Roman" w:eastAsia="Times New Roman" w:hAnsi="Times New Roman" w:cs="Times New Roman"/>
          <w:color w:val="000000"/>
          <w:sz w:val="24"/>
          <w:szCs w:val="24"/>
          <w:lang w:eastAsia="ja-JP"/>
        </w:rPr>
        <w:t>un Augšdaugavas</w:t>
      </w:r>
      <w:r w:rsidR="007E0FB5">
        <w:rPr>
          <w:rFonts w:ascii="Times New Roman" w:eastAsia="Times New Roman" w:hAnsi="Times New Roman" w:cs="Times New Roman"/>
          <w:color w:val="000000"/>
          <w:sz w:val="24"/>
          <w:szCs w:val="24"/>
          <w:lang w:eastAsia="ja-JP"/>
        </w:rPr>
        <w:t xml:space="preserve"> novada </w:t>
      </w:r>
      <w:r w:rsidR="00164B22">
        <w:rPr>
          <w:rFonts w:ascii="Times New Roman" w:eastAsia="Times New Roman" w:hAnsi="Times New Roman" w:cs="Times New Roman"/>
          <w:color w:val="000000"/>
          <w:sz w:val="24"/>
          <w:szCs w:val="24"/>
          <w:lang w:eastAsia="ja-JP"/>
        </w:rPr>
        <w:t xml:space="preserve">pašvaldības domes </w:t>
      </w:r>
      <w:r w:rsidRPr="00A07F29">
        <w:rPr>
          <w:rFonts w:ascii="Times New Roman" w:eastAsia="Times New Roman" w:hAnsi="Times New Roman" w:cs="Times New Roman"/>
          <w:color w:val="000000"/>
          <w:sz w:val="24"/>
          <w:szCs w:val="24"/>
          <w:lang w:eastAsia="ja-JP"/>
        </w:rPr>
        <w:t>20</w:t>
      </w:r>
      <w:r w:rsidR="00164B22">
        <w:rPr>
          <w:rFonts w:ascii="Times New Roman" w:eastAsia="Times New Roman" w:hAnsi="Times New Roman" w:cs="Times New Roman"/>
          <w:color w:val="000000"/>
          <w:sz w:val="24"/>
          <w:szCs w:val="24"/>
          <w:lang w:eastAsia="ja-JP"/>
        </w:rPr>
        <w:t>21</w:t>
      </w:r>
      <w:r w:rsidRPr="00A07F29">
        <w:rPr>
          <w:rFonts w:ascii="Times New Roman" w:eastAsia="Times New Roman" w:hAnsi="Times New Roman" w:cs="Times New Roman"/>
          <w:color w:val="000000"/>
          <w:sz w:val="24"/>
          <w:szCs w:val="24"/>
          <w:lang w:eastAsia="ja-JP"/>
        </w:rPr>
        <w:t>.</w:t>
      </w:r>
      <w:r w:rsidR="00BA0FF4" w:rsidRPr="00A07F29">
        <w:rPr>
          <w:rFonts w:ascii="Times New Roman" w:eastAsia="Times New Roman" w:hAnsi="Times New Roman" w:cs="Times New Roman"/>
          <w:color w:val="000000"/>
          <w:sz w:val="24"/>
          <w:szCs w:val="24"/>
          <w:lang w:eastAsia="ja-JP"/>
        </w:rPr>
        <w:t> </w:t>
      </w:r>
      <w:r w:rsidRPr="00A07F29">
        <w:rPr>
          <w:rFonts w:ascii="Times New Roman" w:eastAsia="Times New Roman" w:hAnsi="Times New Roman" w:cs="Times New Roman"/>
          <w:color w:val="000000"/>
          <w:sz w:val="24"/>
          <w:szCs w:val="24"/>
          <w:lang w:eastAsia="ja-JP"/>
        </w:rPr>
        <w:t xml:space="preserve">gada </w:t>
      </w:r>
      <w:r w:rsidR="00164B22">
        <w:rPr>
          <w:rFonts w:ascii="Times New Roman" w:eastAsia="Times New Roman" w:hAnsi="Times New Roman" w:cs="Times New Roman"/>
          <w:color w:val="000000"/>
          <w:sz w:val="24"/>
          <w:szCs w:val="24"/>
          <w:lang w:eastAsia="ja-JP"/>
        </w:rPr>
        <w:t>14</w:t>
      </w:r>
      <w:r w:rsidRPr="00A07F29">
        <w:rPr>
          <w:rFonts w:ascii="Times New Roman" w:eastAsia="Times New Roman" w:hAnsi="Times New Roman" w:cs="Times New Roman"/>
          <w:color w:val="000000"/>
          <w:sz w:val="24"/>
          <w:szCs w:val="24"/>
          <w:lang w:eastAsia="ja-JP"/>
        </w:rPr>
        <w:t>.</w:t>
      </w:r>
      <w:r w:rsidR="00BA0FF4" w:rsidRPr="00A07F29">
        <w:rPr>
          <w:rFonts w:ascii="Times New Roman" w:eastAsia="Times New Roman" w:hAnsi="Times New Roman" w:cs="Times New Roman"/>
          <w:color w:val="000000"/>
          <w:sz w:val="24"/>
          <w:szCs w:val="24"/>
          <w:lang w:eastAsia="ja-JP"/>
        </w:rPr>
        <w:t> </w:t>
      </w:r>
      <w:r w:rsidR="00164B22">
        <w:rPr>
          <w:rFonts w:ascii="Times New Roman" w:eastAsia="Times New Roman" w:hAnsi="Times New Roman" w:cs="Times New Roman"/>
          <w:color w:val="000000"/>
          <w:sz w:val="24"/>
          <w:szCs w:val="24"/>
          <w:lang w:eastAsia="ja-JP"/>
        </w:rPr>
        <w:t>oktobra</w:t>
      </w:r>
      <w:r w:rsidRPr="00A07F29">
        <w:rPr>
          <w:rFonts w:ascii="Times New Roman" w:eastAsia="Times New Roman" w:hAnsi="Times New Roman" w:cs="Times New Roman"/>
          <w:color w:val="000000"/>
          <w:sz w:val="24"/>
          <w:szCs w:val="24"/>
          <w:lang w:eastAsia="ja-JP"/>
        </w:rPr>
        <w:t xml:space="preserve"> lēmumu Nr</w:t>
      </w:r>
      <w:r w:rsidR="007A241A" w:rsidRPr="00A07F29">
        <w:rPr>
          <w:rFonts w:ascii="Times New Roman" w:eastAsia="Times New Roman" w:hAnsi="Times New Roman" w:cs="Times New Roman"/>
          <w:color w:val="000000"/>
          <w:sz w:val="24"/>
          <w:szCs w:val="24"/>
          <w:lang w:eastAsia="ja-JP"/>
        </w:rPr>
        <w:t>.</w:t>
      </w:r>
      <w:r w:rsidR="00BA0FF4" w:rsidRPr="00A07F29">
        <w:rPr>
          <w:rFonts w:ascii="Times New Roman" w:eastAsia="Times New Roman" w:hAnsi="Times New Roman" w:cs="Times New Roman"/>
          <w:color w:val="000000"/>
          <w:sz w:val="24"/>
          <w:szCs w:val="24"/>
          <w:lang w:eastAsia="ja-JP"/>
        </w:rPr>
        <w:t> </w:t>
      </w:r>
      <w:r w:rsidR="007E1716">
        <w:rPr>
          <w:rFonts w:ascii="Times New Roman" w:eastAsia="Times New Roman" w:hAnsi="Times New Roman" w:cs="Times New Roman"/>
          <w:color w:val="000000"/>
          <w:sz w:val="24"/>
          <w:szCs w:val="24"/>
          <w:lang w:eastAsia="ja-JP"/>
        </w:rPr>
        <w:t>171</w:t>
      </w:r>
      <w:r w:rsidR="00065D65">
        <w:rPr>
          <w:rFonts w:ascii="Times New Roman" w:eastAsia="Times New Roman" w:hAnsi="Times New Roman" w:cs="Times New Roman"/>
          <w:color w:val="000000"/>
          <w:sz w:val="24"/>
          <w:szCs w:val="24"/>
          <w:lang w:eastAsia="ja-JP"/>
        </w:rPr>
        <w:t>,</w:t>
      </w:r>
      <w:r w:rsidRPr="00A07F29">
        <w:rPr>
          <w:rFonts w:ascii="Times New Roman" w:eastAsia="Times New Roman" w:hAnsi="Times New Roman" w:cs="Times New Roman"/>
          <w:color w:val="000000"/>
          <w:sz w:val="24"/>
          <w:szCs w:val="24"/>
          <w:lang w:eastAsia="ja-JP"/>
        </w:rPr>
        <w:t xml:space="preserve"> definēta vīzija</w:t>
      </w:r>
      <w:r w:rsidR="001B3656">
        <w:rPr>
          <w:rFonts w:ascii="Times New Roman" w:eastAsia="Times New Roman" w:hAnsi="Times New Roman" w:cs="Times New Roman"/>
          <w:color w:val="000000"/>
          <w:sz w:val="24"/>
          <w:szCs w:val="24"/>
          <w:lang w:eastAsia="ja-JP"/>
        </w:rPr>
        <w:t>, vērtībās balstīta identitāte</w:t>
      </w:r>
      <w:r w:rsidRPr="00A07F29">
        <w:rPr>
          <w:rFonts w:ascii="Times New Roman" w:eastAsia="Times New Roman" w:hAnsi="Times New Roman" w:cs="Times New Roman"/>
          <w:color w:val="000000"/>
          <w:sz w:val="24"/>
          <w:szCs w:val="24"/>
          <w:lang w:eastAsia="ja-JP"/>
        </w:rPr>
        <w:t>,</w:t>
      </w:r>
      <w:r w:rsidR="003D1E95">
        <w:rPr>
          <w:rFonts w:ascii="Times New Roman" w:eastAsia="Times New Roman" w:hAnsi="Times New Roman" w:cs="Times New Roman"/>
          <w:color w:val="000000"/>
          <w:sz w:val="24"/>
          <w:szCs w:val="24"/>
          <w:lang w:eastAsia="ja-JP"/>
        </w:rPr>
        <w:t xml:space="preserve"> kur uzvērts,</w:t>
      </w:r>
      <w:r w:rsidRPr="00A07F29">
        <w:rPr>
          <w:rFonts w:ascii="Times New Roman" w:eastAsia="Times New Roman" w:hAnsi="Times New Roman" w:cs="Times New Roman"/>
          <w:color w:val="000000"/>
          <w:sz w:val="24"/>
          <w:szCs w:val="24"/>
          <w:lang w:eastAsia="ja-JP"/>
        </w:rPr>
        <w:t xml:space="preserve"> ka </w:t>
      </w:r>
      <w:proofErr w:type="spellStart"/>
      <w:r w:rsidR="00644BBD">
        <w:rPr>
          <w:rFonts w:ascii="Times New Roman" w:eastAsia="Times New Roman" w:hAnsi="Times New Roman" w:cs="Times New Roman"/>
          <w:color w:val="000000"/>
          <w:sz w:val="24"/>
          <w:szCs w:val="24"/>
          <w:lang w:eastAsia="ja-JP"/>
        </w:rPr>
        <w:t>valst</w:t>
      </w:r>
      <w:r w:rsidR="00C714FE">
        <w:rPr>
          <w:rFonts w:ascii="Times New Roman" w:eastAsia="Times New Roman" w:hAnsi="Times New Roman" w:cs="Times New Roman"/>
          <w:color w:val="000000"/>
          <w:sz w:val="24"/>
          <w:szCs w:val="24"/>
          <w:lang w:eastAsia="ja-JP"/>
        </w:rPr>
        <w:t>s</w:t>
      </w:r>
      <w:r w:rsidR="00644BBD">
        <w:rPr>
          <w:rFonts w:ascii="Times New Roman" w:eastAsia="Times New Roman" w:hAnsi="Times New Roman" w:cs="Times New Roman"/>
          <w:color w:val="000000"/>
          <w:sz w:val="24"/>
          <w:szCs w:val="24"/>
          <w:lang w:eastAsia="ja-JP"/>
        </w:rPr>
        <w:t>pilsēta</w:t>
      </w:r>
      <w:proofErr w:type="spellEnd"/>
      <w:r w:rsidR="00C714FE">
        <w:rPr>
          <w:rFonts w:ascii="Times New Roman" w:eastAsia="Times New Roman" w:hAnsi="Times New Roman" w:cs="Times New Roman"/>
          <w:color w:val="000000"/>
          <w:sz w:val="24"/>
          <w:szCs w:val="24"/>
          <w:lang w:eastAsia="ja-JP"/>
        </w:rPr>
        <w:t xml:space="preserve"> un </w:t>
      </w:r>
      <w:r w:rsidRPr="00A07F29">
        <w:rPr>
          <w:rFonts w:ascii="Times New Roman" w:eastAsia="Times New Roman" w:hAnsi="Times New Roman" w:cs="Times New Roman"/>
          <w:color w:val="000000"/>
          <w:sz w:val="24"/>
          <w:szCs w:val="24"/>
          <w:lang w:eastAsia="ja-JP"/>
        </w:rPr>
        <w:t xml:space="preserve">novads ir </w:t>
      </w:r>
      <w:r w:rsidR="00C714FE">
        <w:rPr>
          <w:rFonts w:ascii="Times New Roman" w:eastAsia="Times New Roman" w:hAnsi="Times New Roman" w:cs="Times New Roman"/>
          <w:color w:val="000000"/>
          <w:sz w:val="24"/>
          <w:szCs w:val="24"/>
          <w:lang w:eastAsia="ja-JP"/>
        </w:rPr>
        <w:t xml:space="preserve">tūrisma un </w:t>
      </w:r>
      <w:r w:rsidR="00F90E36">
        <w:rPr>
          <w:rFonts w:ascii="Times New Roman" w:eastAsia="Times New Roman" w:hAnsi="Times New Roman" w:cs="Times New Roman"/>
          <w:color w:val="000000"/>
          <w:sz w:val="24"/>
          <w:szCs w:val="24"/>
          <w:lang w:eastAsia="ja-JP"/>
        </w:rPr>
        <w:t>atpūtas teritorija ar unikāliem dabas un kultūrvēsturiskā mantojuma resursiem</w:t>
      </w:r>
      <w:r w:rsidR="00C86A63">
        <w:rPr>
          <w:rFonts w:ascii="Times New Roman" w:eastAsia="Times New Roman" w:hAnsi="Times New Roman" w:cs="Times New Roman"/>
          <w:color w:val="000000"/>
          <w:sz w:val="24"/>
          <w:szCs w:val="24"/>
          <w:lang w:eastAsia="ja-JP"/>
        </w:rPr>
        <w:t>.</w:t>
      </w:r>
      <w:r w:rsidR="00C86A63" w:rsidRPr="00C86A63">
        <w:t xml:space="preserve"> </w:t>
      </w:r>
      <w:r w:rsidR="00C86A63" w:rsidRPr="00C86A63">
        <w:rPr>
          <w:rFonts w:ascii="Times New Roman" w:eastAsia="Times New Roman" w:hAnsi="Times New Roman" w:cs="Times New Roman"/>
          <w:color w:val="000000"/>
          <w:sz w:val="24"/>
          <w:szCs w:val="24"/>
          <w:lang w:eastAsia="ja-JP"/>
        </w:rPr>
        <w:t xml:space="preserve">Šeit dominē </w:t>
      </w:r>
      <w:proofErr w:type="spellStart"/>
      <w:r w:rsidR="00C86A63" w:rsidRPr="00C86A63">
        <w:rPr>
          <w:rFonts w:ascii="Times New Roman" w:eastAsia="Times New Roman" w:hAnsi="Times New Roman" w:cs="Times New Roman"/>
          <w:color w:val="000000"/>
          <w:sz w:val="24"/>
          <w:szCs w:val="24"/>
          <w:lang w:eastAsia="ja-JP"/>
        </w:rPr>
        <w:t>Dienvidlatvijai</w:t>
      </w:r>
      <w:proofErr w:type="spellEnd"/>
      <w:r w:rsidR="00C86A63" w:rsidRPr="00C86A63">
        <w:rPr>
          <w:rFonts w:ascii="Times New Roman" w:eastAsia="Times New Roman" w:hAnsi="Times New Roman" w:cs="Times New Roman"/>
          <w:color w:val="000000"/>
          <w:sz w:val="24"/>
          <w:szCs w:val="24"/>
          <w:lang w:eastAsia="ja-JP"/>
        </w:rPr>
        <w:t xml:space="preserve"> raksturīga dabas un kultūrvēsturiskā ainava, kas veido cilvēku</w:t>
      </w:r>
      <w:r w:rsidR="00525B4E">
        <w:rPr>
          <w:rFonts w:ascii="Times New Roman" w:eastAsia="Times New Roman" w:hAnsi="Times New Roman" w:cs="Times New Roman"/>
          <w:color w:val="000000"/>
          <w:sz w:val="24"/>
          <w:szCs w:val="24"/>
          <w:lang w:eastAsia="ja-JP"/>
        </w:rPr>
        <w:t xml:space="preserve"> </w:t>
      </w:r>
      <w:r w:rsidR="00C86A63" w:rsidRPr="00C86A63">
        <w:rPr>
          <w:rFonts w:ascii="Times New Roman" w:eastAsia="Times New Roman" w:hAnsi="Times New Roman" w:cs="Times New Roman"/>
          <w:color w:val="000000"/>
          <w:sz w:val="24"/>
          <w:szCs w:val="24"/>
          <w:lang w:eastAsia="ja-JP"/>
        </w:rPr>
        <w:t xml:space="preserve">labsajūtu un dod ieguldījumu eiropeiskās identitātes stiprināšanā. </w:t>
      </w:r>
    </w:p>
    <w:p w14:paraId="40464EB8" w14:textId="2955A02C" w:rsidR="00AF4C40" w:rsidRPr="00A07F29" w:rsidRDefault="00AF4C40" w:rsidP="00AD47BD">
      <w:pPr>
        <w:spacing w:after="120" w:line="240" w:lineRule="auto"/>
        <w:ind w:firstLine="851"/>
        <w:jc w:val="both"/>
        <w:rPr>
          <w:rFonts w:ascii="Times New Roman" w:eastAsia="Times New Roman" w:hAnsi="Times New Roman" w:cs="Times New Roman"/>
          <w:color w:val="000000"/>
          <w:sz w:val="24"/>
          <w:szCs w:val="24"/>
          <w:lang w:eastAsia="ja-JP"/>
        </w:rPr>
      </w:pPr>
      <w:r w:rsidRPr="00A07F29">
        <w:rPr>
          <w:rFonts w:ascii="Times New Roman" w:eastAsia="Times New Roman" w:hAnsi="Times New Roman" w:cs="Times New Roman"/>
          <w:color w:val="000000"/>
          <w:sz w:val="24"/>
          <w:szCs w:val="24"/>
          <w:lang w:eastAsia="ja-JP"/>
        </w:rPr>
        <w:lastRenderedPageBreak/>
        <w:t>Daugavpils novada teritorijas plānojums 2012.</w:t>
      </w:r>
      <w:r w:rsidR="009639F7" w:rsidRPr="00A07F29">
        <w:rPr>
          <w:rFonts w:ascii="Times New Roman" w:eastAsia="Times New Roman" w:hAnsi="Times New Roman" w:cs="Times New Roman"/>
          <w:color w:val="000000"/>
          <w:sz w:val="24"/>
          <w:szCs w:val="24"/>
          <w:lang w:eastAsia="ja-JP"/>
        </w:rPr>
        <w:t> – </w:t>
      </w:r>
      <w:r w:rsidRPr="00A07F29">
        <w:rPr>
          <w:rFonts w:ascii="Times New Roman" w:eastAsia="Times New Roman" w:hAnsi="Times New Roman" w:cs="Times New Roman"/>
          <w:color w:val="000000"/>
          <w:sz w:val="24"/>
          <w:szCs w:val="24"/>
          <w:lang w:eastAsia="ja-JP"/>
        </w:rPr>
        <w:t>2023.</w:t>
      </w:r>
      <w:r w:rsidR="009639F7" w:rsidRPr="00A07F29">
        <w:rPr>
          <w:rFonts w:ascii="Times New Roman" w:eastAsia="Times New Roman" w:hAnsi="Times New Roman" w:cs="Times New Roman"/>
          <w:color w:val="000000"/>
          <w:sz w:val="24"/>
          <w:szCs w:val="24"/>
          <w:lang w:eastAsia="ja-JP"/>
        </w:rPr>
        <w:t> </w:t>
      </w:r>
      <w:r w:rsidRPr="00A07F29">
        <w:rPr>
          <w:rFonts w:ascii="Times New Roman" w:eastAsia="Times New Roman" w:hAnsi="Times New Roman" w:cs="Times New Roman"/>
          <w:color w:val="000000"/>
          <w:sz w:val="24"/>
          <w:szCs w:val="24"/>
          <w:lang w:eastAsia="ja-JP"/>
        </w:rPr>
        <w:t>gadam</w:t>
      </w:r>
      <w:r w:rsidR="0075128C">
        <w:rPr>
          <w:rStyle w:val="FootnoteReference"/>
          <w:rFonts w:ascii="Times New Roman" w:eastAsia="Times New Roman" w:hAnsi="Times New Roman" w:cs="Times New Roman"/>
          <w:color w:val="000000"/>
          <w:sz w:val="24"/>
          <w:szCs w:val="24"/>
          <w:lang w:eastAsia="ja-JP"/>
        </w:rPr>
        <w:footnoteReference w:id="6"/>
      </w:r>
      <w:r w:rsidRPr="00A07F29">
        <w:rPr>
          <w:rFonts w:ascii="Times New Roman" w:eastAsia="Times New Roman" w:hAnsi="Times New Roman" w:cs="Times New Roman"/>
          <w:color w:val="000000"/>
          <w:sz w:val="24"/>
          <w:szCs w:val="24"/>
          <w:lang w:eastAsia="ja-JP"/>
        </w:rPr>
        <w:t xml:space="preserve"> apstiprināts ar Daugavpils novada pašvaldības </w:t>
      </w:r>
      <w:r w:rsidR="0092556E" w:rsidRPr="00A07F29">
        <w:rPr>
          <w:rFonts w:ascii="Times New Roman" w:eastAsia="Times New Roman" w:hAnsi="Times New Roman" w:cs="Times New Roman"/>
          <w:color w:val="000000"/>
          <w:sz w:val="24"/>
          <w:szCs w:val="24"/>
          <w:lang w:eastAsia="ja-JP"/>
        </w:rPr>
        <w:t>2014.</w:t>
      </w:r>
      <w:r w:rsidR="009639F7" w:rsidRPr="00A07F29">
        <w:rPr>
          <w:rFonts w:ascii="Times New Roman" w:eastAsia="Times New Roman" w:hAnsi="Times New Roman" w:cs="Times New Roman"/>
          <w:color w:val="000000"/>
          <w:sz w:val="24"/>
          <w:szCs w:val="24"/>
          <w:lang w:eastAsia="ja-JP"/>
        </w:rPr>
        <w:t> </w:t>
      </w:r>
      <w:r w:rsidR="0092556E" w:rsidRPr="00A07F29">
        <w:rPr>
          <w:rFonts w:ascii="Times New Roman" w:eastAsia="Times New Roman" w:hAnsi="Times New Roman" w:cs="Times New Roman"/>
          <w:color w:val="000000"/>
          <w:sz w:val="24"/>
          <w:szCs w:val="24"/>
          <w:lang w:eastAsia="ja-JP"/>
        </w:rPr>
        <w:t>gada 2.</w:t>
      </w:r>
      <w:r w:rsidR="009639F7" w:rsidRPr="00A07F29">
        <w:rPr>
          <w:rFonts w:ascii="Times New Roman" w:eastAsia="Times New Roman" w:hAnsi="Times New Roman" w:cs="Times New Roman"/>
          <w:color w:val="000000"/>
          <w:sz w:val="24"/>
          <w:szCs w:val="24"/>
          <w:lang w:eastAsia="ja-JP"/>
        </w:rPr>
        <w:t> </w:t>
      </w:r>
      <w:r w:rsidR="0092556E" w:rsidRPr="00A07F29">
        <w:rPr>
          <w:rFonts w:ascii="Times New Roman" w:eastAsia="Times New Roman" w:hAnsi="Times New Roman" w:cs="Times New Roman"/>
          <w:color w:val="000000"/>
          <w:sz w:val="24"/>
          <w:szCs w:val="24"/>
          <w:lang w:eastAsia="ja-JP"/>
        </w:rPr>
        <w:t xml:space="preserve">jūlija </w:t>
      </w:r>
      <w:r w:rsidRPr="00A07F29">
        <w:rPr>
          <w:rFonts w:ascii="Times New Roman" w:eastAsia="Times New Roman" w:hAnsi="Times New Roman" w:cs="Times New Roman"/>
          <w:color w:val="000000"/>
          <w:sz w:val="24"/>
          <w:szCs w:val="24"/>
          <w:lang w:eastAsia="ja-JP"/>
        </w:rPr>
        <w:t>saistošajiem noteikumiem Nr.</w:t>
      </w:r>
      <w:r w:rsidR="009639F7" w:rsidRPr="00A07F29">
        <w:rPr>
          <w:rFonts w:ascii="Times New Roman" w:eastAsia="Times New Roman" w:hAnsi="Times New Roman" w:cs="Times New Roman"/>
          <w:color w:val="000000"/>
          <w:sz w:val="24"/>
          <w:szCs w:val="24"/>
          <w:lang w:eastAsia="ja-JP"/>
        </w:rPr>
        <w:t> </w:t>
      </w:r>
      <w:r w:rsidRPr="00A07F29">
        <w:rPr>
          <w:rFonts w:ascii="Times New Roman" w:eastAsia="Times New Roman" w:hAnsi="Times New Roman" w:cs="Times New Roman"/>
          <w:color w:val="000000"/>
          <w:sz w:val="24"/>
          <w:szCs w:val="24"/>
          <w:lang w:eastAsia="ja-JP"/>
        </w:rPr>
        <w:t xml:space="preserve">13 </w:t>
      </w:r>
      <w:r w:rsidR="009639F7" w:rsidRPr="00A07F29">
        <w:rPr>
          <w:rFonts w:ascii="Times New Roman" w:eastAsia="Times New Roman" w:hAnsi="Times New Roman" w:cs="Times New Roman"/>
          <w:color w:val="000000"/>
          <w:sz w:val="24"/>
          <w:szCs w:val="24"/>
          <w:lang w:eastAsia="ja-JP"/>
        </w:rPr>
        <w:t>“</w:t>
      </w:r>
      <w:r w:rsidRPr="00A07F29">
        <w:rPr>
          <w:rFonts w:ascii="Times New Roman" w:eastAsia="Times New Roman" w:hAnsi="Times New Roman" w:cs="Times New Roman"/>
          <w:color w:val="000000"/>
          <w:sz w:val="24"/>
          <w:szCs w:val="24"/>
          <w:lang w:eastAsia="ja-JP"/>
        </w:rPr>
        <w:t>Daugavpils novada teritorijas plānojuma 2012.</w:t>
      </w:r>
      <w:r w:rsidR="008A1EC9" w:rsidRPr="00A07F29">
        <w:rPr>
          <w:rFonts w:ascii="Times New Roman" w:eastAsia="Times New Roman" w:hAnsi="Times New Roman" w:cs="Times New Roman"/>
          <w:color w:val="000000"/>
          <w:sz w:val="24"/>
          <w:szCs w:val="24"/>
          <w:lang w:eastAsia="ja-JP"/>
        </w:rPr>
        <w:t> – </w:t>
      </w:r>
      <w:r w:rsidRPr="00A07F29">
        <w:rPr>
          <w:rFonts w:ascii="Times New Roman" w:eastAsia="Times New Roman" w:hAnsi="Times New Roman" w:cs="Times New Roman"/>
          <w:color w:val="000000"/>
          <w:sz w:val="24"/>
          <w:szCs w:val="24"/>
          <w:lang w:eastAsia="ja-JP"/>
        </w:rPr>
        <w:t>2023.</w:t>
      </w:r>
      <w:r w:rsidR="008A1EC9" w:rsidRPr="00A07F29">
        <w:rPr>
          <w:rFonts w:ascii="Times New Roman" w:eastAsia="Times New Roman" w:hAnsi="Times New Roman" w:cs="Times New Roman"/>
          <w:color w:val="000000"/>
          <w:sz w:val="24"/>
          <w:szCs w:val="24"/>
          <w:lang w:eastAsia="ja-JP"/>
        </w:rPr>
        <w:t> </w:t>
      </w:r>
      <w:r w:rsidRPr="00A07F29">
        <w:rPr>
          <w:rFonts w:ascii="Times New Roman" w:eastAsia="Times New Roman" w:hAnsi="Times New Roman" w:cs="Times New Roman"/>
          <w:color w:val="000000"/>
          <w:sz w:val="24"/>
          <w:szCs w:val="24"/>
          <w:lang w:eastAsia="ja-JP"/>
        </w:rPr>
        <w:t>gadam teritorijas izmantošanas un apbūves noteikumi un grafiskā daļa” (lēmums Nr.</w:t>
      </w:r>
      <w:r w:rsidR="008A1EC9" w:rsidRPr="00A07F29">
        <w:rPr>
          <w:rFonts w:ascii="Times New Roman" w:eastAsia="Times New Roman" w:hAnsi="Times New Roman" w:cs="Times New Roman"/>
          <w:color w:val="000000"/>
          <w:sz w:val="24"/>
          <w:szCs w:val="24"/>
          <w:lang w:eastAsia="ja-JP"/>
        </w:rPr>
        <w:t> </w:t>
      </w:r>
      <w:r w:rsidRPr="00A07F29">
        <w:rPr>
          <w:rFonts w:ascii="Times New Roman" w:eastAsia="Times New Roman" w:hAnsi="Times New Roman" w:cs="Times New Roman"/>
          <w:color w:val="000000"/>
          <w:sz w:val="24"/>
          <w:szCs w:val="24"/>
          <w:lang w:eastAsia="ja-JP"/>
        </w:rPr>
        <w:t>667, protokols Nr.</w:t>
      </w:r>
      <w:r w:rsidR="008A1EC9" w:rsidRPr="00A07F29">
        <w:rPr>
          <w:rFonts w:ascii="Times New Roman" w:eastAsia="Times New Roman" w:hAnsi="Times New Roman" w:cs="Times New Roman"/>
          <w:color w:val="000000"/>
          <w:sz w:val="24"/>
          <w:szCs w:val="24"/>
          <w:lang w:eastAsia="ja-JP"/>
        </w:rPr>
        <w:t> </w:t>
      </w:r>
      <w:r w:rsidRPr="00A07F29">
        <w:rPr>
          <w:rFonts w:ascii="Times New Roman" w:eastAsia="Times New Roman" w:hAnsi="Times New Roman" w:cs="Times New Roman"/>
          <w:color w:val="000000"/>
          <w:sz w:val="24"/>
          <w:szCs w:val="24"/>
          <w:lang w:eastAsia="ja-JP"/>
        </w:rPr>
        <w:t>15, 1.</w:t>
      </w:r>
      <w:r w:rsidR="00816859" w:rsidRPr="00A07F29">
        <w:rPr>
          <w:rFonts w:ascii="Times New Roman" w:eastAsia="Times New Roman" w:hAnsi="Times New Roman" w:cs="Times New Roman"/>
          <w:color w:val="000000"/>
          <w:sz w:val="24"/>
          <w:szCs w:val="24"/>
          <w:lang w:eastAsia="ja-JP"/>
        </w:rPr>
        <w:t>§</w:t>
      </w:r>
      <w:r w:rsidRPr="00A07F29">
        <w:rPr>
          <w:rFonts w:ascii="Times New Roman" w:eastAsia="Times New Roman" w:hAnsi="Times New Roman" w:cs="Times New Roman"/>
          <w:color w:val="000000"/>
          <w:sz w:val="24"/>
          <w:szCs w:val="24"/>
          <w:lang w:eastAsia="ja-JP"/>
        </w:rPr>
        <w:t>), stājies spēkā 2014.</w:t>
      </w:r>
      <w:r w:rsidR="008A1EC9" w:rsidRPr="00A07F29">
        <w:rPr>
          <w:rFonts w:ascii="Times New Roman" w:eastAsia="Times New Roman" w:hAnsi="Times New Roman" w:cs="Times New Roman"/>
          <w:color w:val="000000"/>
          <w:sz w:val="24"/>
          <w:szCs w:val="24"/>
          <w:lang w:eastAsia="ja-JP"/>
        </w:rPr>
        <w:t> </w:t>
      </w:r>
      <w:r w:rsidRPr="00A07F29">
        <w:rPr>
          <w:rFonts w:ascii="Times New Roman" w:eastAsia="Times New Roman" w:hAnsi="Times New Roman" w:cs="Times New Roman"/>
          <w:color w:val="000000"/>
          <w:sz w:val="24"/>
          <w:szCs w:val="24"/>
          <w:lang w:eastAsia="ja-JP"/>
        </w:rPr>
        <w:t>gada 8.</w:t>
      </w:r>
      <w:r w:rsidR="008A1EC9" w:rsidRPr="00A07F29">
        <w:rPr>
          <w:rFonts w:ascii="Times New Roman" w:eastAsia="Times New Roman" w:hAnsi="Times New Roman" w:cs="Times New Roman"/>
          <w:color w:val="000000"/>
          <w:sz w:val="24"/>
          <w:szCs w:val="24"/>
          <w:lang w:eastAsia="ja-JP"/>
        </w:rPr>
        <w:t> </w:t>
      </w:r>
      <w:r w:rsidRPr="00A07F29">
        <w:rPr>
          <w:rFonts w:ascii="Times New Roman" w:eastAsia="Times New Roman" w:hAnsi="Times New Roman" w:cs="Times New Roman"/>
          <w:color w:val="000000"/>
          <w:sz w:val="24"/>
          <w:szCs w:val="24"/>
          <w:lang w:eastAsia="ja-JP"/>
        </w:rPr>
        <w:t>jūlijā.</w:t>
      </w:r>
    </w:p>
    <w:p w14:paraId="6446CCF2" w14:textId="7FAE16A9" w:rsidR="00AF4C40" w:rsidRPr="00A07F29" w:rsidRDefault="00AF4C40" w:rsidP="00AD47BD">
      <w:pPr>
        <w:spacing w:after="120" w:line="240" w:lineRule="auto"/>
        <w:ind w:firstLine="851"/>
        <w:jc w:val="both"/>
        <w:rPr>
          <w:rFonts w:ascii="Times New Roman" w:eastAsia="Times New Roman" w:hAnsi="Times New Roman" w:cs="Times New Roman"/>
          <w:color w:val="000000"/>
          <w:sz w:val="24"/>
          <w:szCs w:val="24"/>
          <w:lang w:eastAsia="ja-JP"/>
        </w:rPr>
      </w:pPr>
      <w:r w:rsidRPr="00A07F29">
        <w:rPr>
          <w:rFonts w:ascii="Times New Roman" w:eastAsia="Times New Roman" w:hAnsi="Times New Roman" w:cs="Times New Roman"/>
          <w:color w:val="000000"/>
          <w:sz w:val="24"/>
          <w:szCs w:val="24"/>
          <w:lang w:eastAsia="ja-JP"/>
        </w:rPr>
        <w:t xml:space="preserve">Teritorijas plānojuma paskaidrojuma rakstā sniegta īsa informācija par </w:t>
      </w:r>
      <w:r w:rsidR="0092556E" w:rsidRPr="00A07F29">
        <w:rPr>
          <w:rFonts w:ascii="Times New Roman" w:eastAsia="Times New Roman" w:hAnsi="Times New Roman" w:cs="Times New Roman"/>
          <w:color w:val="000000"/>
          <w:sz w:val="24"/>
          <w:szCs w:val="24"/>
          <w:lang w:eastAsia="ja-JP"/>
        </w:rPr>
        <w:t>AAA</w:t>
      </w:r>
      <w:r w:rsidRPr="00A07F29">
        <w:rPr>
          <w:rFonts w:ascii="Times New Roman" w:eastAsia="Times New Roman" w:hAnsi="Times New Roman" w:cs="Times New Roman"/>
          <w:color w:val="000000"/>
          <w:sz w:val="24"/>
          <w:szCs w:val="24"/>
          <w:lang w:eastAsia="ja-JP"/>
        </w:rPr>
        <w:t xml:space="preserve"> </w:t>
      </w:r>
      <w:r w:rsidR="008A1EC9" w:rsidRPr="00A07F29">
        <w:rPr>
          <w:rFonts w:ascii="Times New Roman" w:eastAsia="Times New Roman" w:hAnsi="Times New Roman" w:cs="Times New Roman"/>
          <w:color w:val="000000"/>
          <w:sz w:val="24"/>
          <w:szCs w:val="24"/>
          <w:lang w:eastAsia="ja-JP"/>
        </w:rPr>
        <w:t>“</w:t>
      </w:r>
      <w:r w:rsidRPr="00A07F29">
        <w:rPr>
          <w:rFonts w:ascii="Times New Roman" w:eastAsia="Times New Roman" w:hAnsi="Times New Roman" w:cs="Times New Roman"/>
          <w:color w:val="000000"/>
          <w:sz w:val="24"/>
          <w:szCs w:val="24"/>
          <w:lang w:eastAsia="ja-JP"/>
        </w:rPr>
        <w:t xml:space="preserve">Augšdaugava” un tajā spēkā esošajiem noteikumiem, minēts arī </w:t>
      </w:r>
      <w:r w:rsidR="00BF0E06" w:rsidRPr="00A07F29">
        <w:rPr>
          <w:rFonts w:ascii="Times New Roman" w:eastAsia="Times New Roman" w:hAnsi="Times New Roman" w:cs="Times New Roman"/>
          <w:color w:val="000000"/>
          <w:sz w:val="24"/>
          <w:szCs w:val="24"/>
          <w:lang w:eastAsia="ja-JP"/>
        </w:rPr>
        <w:t>DA plāns</w:t>
      </w:r>
      <w:r w:rsidRPr="00A07F29">
        <w:rPr>
          <w:rFonts w:ascii="Times New Roman" w:eastAsia="Times New Roman" w:hAnsi="Times New Roman" w:cs="Times New Roman"/>
          <w:color w:val="000000"/>
          <w:sz w:val="24"/>
          <w:szCs w:val="24"/>
          <w:lang w:eastAsia="ja-JP"/>
        </w:rPr>
        <w:t xml:space="preserve"> </w:t>
      </w:r>
      <w:r w:rsidR="00BF0E06" w:rsidRPr="00A07F29">
        <w:rPr>
          <w:rFonts w:ascii="Times New Roman" w:eastAsia="Times New Roman" w:hAnsi="Times New Roman" w:cs="Times New Roman"/>
          <w:color w:val="000000"/>
          <w:sz w:val="24"/>
          <w:szCs w:val="24"/>
          <w:lang w:eastAsia="ja-JP"/>
        </w:rPr>
        <w:t>DP</w:t>
      </w:r>
      <w:r w:rsidRPr="00A07F29">
        <w:rPr>
          <w:rFonts w:ascii="Times New Roman" w:eastAsia="Times New Roman" w:hAnsi="Times New Roman" w:cs="Times New Roman"/>
          <w:color w:val="000000"/>
          <w:sz w:val="24"/>
          <w:szCs w:val="24"/>
          <w:lang w:eastAsia="ja-JP"/>
        </w:rPr>
        <w:t xml:space="preserve"> </w:t>
      </w:r>
      <w:r w:rsidR="00656D86" w:rsidRPr="00A07F29">
        <w:rPr>
          <w:rFonts w:ascii="Times New Roman" w:eastAsia="Times New Roman" w:hAnsi="Times New Roman" w:cs="Times New Roman"/>
          <w:color w:val="000000"/>
          <w:sz w:val="24"/>
          <w:szCs w:val="24"/>
          <w:lang w:eastAsia="ja-JP"/>
        </w:rPr>
        <w:t>“</w:t>
      </w:r>
      <w:r w:rsidRPr="00A07F29">
        <w:rPr>
          <w:rFonts w:ascii="Times New Roman" w:eastAsia="Times New Roman" w:hAnsi="Times New Roman" w:cs="Times New Roman"/>
          <w:color w:val="000000"/>
          <w:sz w:val="24"/>
          <w:szCs w:val="24"/>
          <w:lang w:eastAsia="ja-JP"/>
        </w:rPr>
        <w:t xml:space="preserve">Daugavas loki”. </w:t>
      </w:r>
      <w:r w:rsidR="0092556E" w:rsidRPr="00A07F29">
        <w:rPr>
          <w:rFonts w:ascii="Times New Roman" w:eastAsia="Times New Roman" w:hAnsi="Times New Roman" w:cs="Times New Roman"/>
          <w:color w:val="000000"/>
          <w:sz w:val="24"/>
          <w:szCs w:val="24"/>
          <w:lang w:eastAsia="ja-JP"/>
        </w:rPr>
        <w:t>AAA</w:t>
      </w:r>
      <w:r w:rsidRPr="00A07F29">
        <w:rPr>
          <w:rFonts w:ascii="Times New Roman" w:eastAsia="Times New Roman" w:hAnsi="Times New Roman" w:cs="Times New Roman"/>
          <w:color w:val="000000"/>
          <w:sz w:val="24"/>
          <w:szCs w:val="24"/>
          <w:lang w:eastAsia="ja-JP"/>
        </w:rPr>
        <w:t xml:space="preserve"> </w:t>
      </w:r>
      <w:r w:rsidR="00656D86" w:rsidRPr="00A07F29">
        <w:rPr>
          <w:rFonts w:ascii="Times New Roman" w:eastAsia="Times New Roman" w:hAnsi="Times New Roman" w:cs="Times New Roman"/>
          <w:color w:val="000000"/>
          <w:sz w:val="24"/>
          <w:szCs w:val="24"/>
          <w:lang w:eastAsia="ja-JP"/>
        </w:rPr>
        <w:t>“</w:t>
      </w:r>
      <w:r w:rsidRPr="00A07F29">
        <w:rPr>
          <w:rFonts w:ascii="Times New Roman" w:eastAsia="Times New Roman" w:hAnsi="Times New Roman" w:cs="Times New Roman"/>
          <w:color w:val="000000"/>
          <w:sz w:val="24"/>
          <w:szCs w:val="24"/>
          <w:lang w:eastAsia="ja-JP"/>
        </w:rPr>
        <w:t xml:space="preserve">Augšdaugava” minēts kā nacionālas nozīmes ainavu telpa un kopīgs objekts ar kaimiņu novadu (Krāslavas novadu). Uzsvērta plānošanas nozīme plašāku ainavu telpu jeb kultūrainavu aizsardzībā un saglabāšanā, īpaši </w:t>
      </w:r>
      <w:r w:rsidR="0092556E" w:rsidRPr="00A07F29">
        <w:rPr>
          <w:rFonts w:ascii="Times New Roman" w:eastAsia="Times New Roman" w:hAnsi="Times New Roman" w:cs="Times New Roman"/>
          <w:color w:val="000000"/>
          <w:sz w:val="24"/>
          <w:szCs w:val="24"/>
          <w:lang w:eastAsia="ja-JP"/>
        </w:rPr>
        <w:t>AAA</w:t>
      </w:r>
      <w:r w:rsidRPr="00A07F29">
        <w:rPr>
          <w:rFonts w:ascii="Times New Roman" w:eastAsia="Times New Roman" w:hAnsi="Times New Roman" w:cs="Times New Roman"/>
          <w:color w:val="000000"/>
          <w:sz w:val="24"/>
          <w:szCs w:val="24"/>
          <w:lang w:eastAsia="ja-JP"/>
        </w:rPr>
        <w:t xml:space="preserve"> </w:t>
      </w:r>
      <w:r w:rsidR="00656D86" w:rsidRPr="00A07F29">
        <w:rPr>
          <w:rFonts w:ascii="Times New Roman" w:eastAsia="Times New Roman" w:hAnsi="Times New Roman" w:cs="Times New Roman"/>
          <w:color w:val="000000"/>
          <w:sz w:val="24"/>
          <w:szCs w:val="24"/>
          <w:lang w:eastAsia="ja-JP"/>
        </w:rPr>
        <w:t>“</w:t>
      </w:r>
      <w:r w:rsidRPr="00A07F29">
        <w:rPr>
          <w:rFonts w:ascii="Times New Roman" w:eastAsia="Times New Roman" w:hAnsi="Times New Roman" w:cs="Times New Roman"/>
          <w:color w:val="000000"/>
          <w:sz w:val="24"/>
          <w:szCs w:val="24"/>
          <w:lang w:eastAsia="ja-JP"/>
        </w:rPr>
        <w:t xml:space="preserve">Augšdaugava” un </w:t>
      </w:r>
      <w:r w:rsidR="00656D86" w:rsidRPr="00A07F29">
        <w:rPr>
          <w:rFonts w:ascii="Times New Roman" w:eastAsia="Times New Roman" w:hAnsi="Times New Roman" w:cs="Times New Roman"/>
          <w:color w:val="000000"/>
          <w:sz w:val="24"/>
          <w:szCs w:val="24"/>
          <w:lang w:eastAsia="ja-JP"/>
        </w:rPr>
        <w:t>“</w:t>
      </w:r>
      <w:r w:rsidRPr="00A07F29">
        <w:rPr>
          <w:rFonts w:ascii="Times New Roman" w:eastAsia="Times New Roman" w:hAnsi="Times New Roman" w:cs="Times New Roman"/>
          <w:color w:val="000000"/>
          <w:sz w:val="24"/>
          <w:szCs w:val="24"/>
          <w:lang w:eastAsia="ja-JP"/>
        </w:rPr>
        <w:t>Augšzeme”, jo teritorijās vērojami ainavu transformācijas procesi.</w:t>
      </w:r>
    </w:p>
    <w:p w14:paraId="0B315388" w14:textId="66DE85FA" w:rsidR="00AF4C40" w:rsidRPr="00A07F29" w:rsidRDefault="00AF4C40" w:rsidP="00AD47BD">
      <w:pPr>
        <w:spacing w:after="120" w:line="240" w:lineRule="auto"/>
        <w:ind w:firstLine="851"/>
        <w:jc w:val="both"/>
        <w:rPr>
          <w:rFonts w:ascii="Times New Roman" w:eastAsia="Times New Roman" w:hAnsi="Times New Roman" w:cs="Times New Roman"/>
          <w:color w:val="000000"/>
          <w:sz w:val="24"/>
          <w:szCs w:val="24"/>
          <w:lang w:eastAsia="ja-JP"/>
        </w:rPr>
      </w:pPr>
      <w:r w:rsidRPr="00A07F29">
        <w:rPr>
          <w:rFonts w:ascii="Times New Roman" w:eastAsia="Times New Roman" w:hAnsi="Times New Roman" w:cs="Times New Roman"/>
          <w:color w:val="000000"/>
          <w:sz w:val="24"/>
          <w:szCs w:val="24"/>
          <w:lang w:eastAsia="ja-JP"/>
        </w:rPr>
        <w:t xml:space="preserve">Teritorijas plānojuma </w:t>
      </w:r>
      <w:r w:rsidR="00930A72" w:rsidRPr="00A07F29">
        <w:rPr>
          <w:rFonts w:ascii="Times New Roman" w:eastAsia="Times New Roman" w:hAnsi="Times New Roman" w:cs="Times New Roman"/>
          <w:color w:val="000000"/>
          <w:sz w:val="24"/>
          <w:szCs w:val="24"/>
          <w:lang w:eastAsia="ja-JP"/>
        </w:rPr>
        <w:t>2012.</w:t>
      </w:r>
      <w:r w:rsidR="00656D86" w:rsidRPr="00A07F29">
        <w:rPr>
          <w:rFonts w:ascii="Times New Roman" w:eastAsia="Times New Roman" w:hAnsi="Times New Roman" w:cs="Times New Roman"/>
          <w:color w:val="000000"/>
          <w:sz w:val="24"/>
          <w:szCs w:val="24"/>
          <w:lang w:eastAsia="ja-JP"/>
        </w:rPr>
        <w:t> – </w:t>
      </w:r>
      <w:r w:rsidR="00930A72" w:rsidRPr="00A07F29">
        <w:rPr>
          <w:rFonts w:ascii="Times New Roman" w:eastAsia="Times New Roman" w:hAnsi="Times New Roman" w:cs="Times New Roman"/>
          <w:color w:val="000000"/>
          <w:sz w:val="24"/>
          <w:szCs w:val="24"/>
          <w:lang w:eastAsia="ja-JP"/>
        </w:rPr>
        <w:t>2023.</w:t>
      </w:r>
      <w:r w:rsidR="00656D86" w:rsidRPr="00A07F29">
        <w:rPr>
          <w:rFonts w:ascii="Times New Roman" w:eastAsia="Times New Roman" w:hAnsi="Times New Roman" w:cs="Times New Roman"/>
          <w:color w:val="000000"/>
          <w:sz w:val="24"/>
          <w:szCs w:val="24"/>
          <w:lang w:eastAsia="ja-JP"/>
        </w:rPr>
        <w:t> </w:t>
      </w:r>
      <w:r w:rsidR="00930A72" w:rsidRPr="00A07F29">
        <w:rPr>
          <w:rFonts w:ascii="Times New Roman" w:eastAsia="Times New Roman" w:hAnsi="Times New Roman" w:cs="Times New Roman"/>
          <w:color w:val="000000"/>
          <w:sz w:val="24"/>
          <w:szCs w:val="24"/>
          <w:lang w:eastAsia="ja-JP"/>
        </w:rPr>
        <w:t xml:space="preserve">gadam </w:t>
      </w:r>
      <w:r w:rsidRPr="00A07F29">
        <w:rPr>
          <w:rFonts w:ascii="Times New Roman" w:eastAsia="Times New Roman" w:hAnsi="Times New Roman" w:cs="Times New Roman"/>
          <w:color w:val="000000"/>
          <w:sz w:val="24"/>
          <w:szCs w:val="24"/>
          <w:lang w:eastAsia="ja-JP"/>
        </w:rPr>
        <w:t xml:space="preserve">Vides pārskatā kā ar plānošanas dokumentu saistīta vides problēma minēts fakts, ka lielākajai daļai Daugavpils novada teritorijā esošo </w:t>
      </w:r>
      <w:r w:rsidR="0092556E" w:rsidRPr="00A07F29">
        <w:rPr>
          <w:rFonts w:ascii="Times New Roman" w:eastAsia="Times New Roman" w:hAnsi="Times New Roman" w:cs="Times New Roman"/>
          <w:color w:val="000000"/>
          <w:sz w:val="24"/>
          <w:szCs w:val="24"/>
          <w:lang w:eastAsia="ja-JP"/>
        </w:rPr>
        <w:t>ĪADT</w:t>
      </w:r>
      <w:r w:rsidRPr="00A07F29">
        <w:rPr>
          <w:rFonts w:ascii="Times New Roman" w:eastAsia="Times New Roman" w:hAnsi="Times New Roman" w:cs="Times New Roman"/>
          <w:color w:val="000000"/>
          <w:sz w:val="24"/>
          <w:szCs w:val="24"/>
          <w:lang w:eastAsia="ja-JP"/>
        </w:rPr>
        <w:t xml:space="preserve"> nav izstrādāti </w:t>
      </w:r>
      <w:r w:rsidR="008C2E42" w:rsidRPr="00A07F29">
        <w:rPr>
          <w:rFonts w:ascii="Times New Roman" w:eastAsia="Times New Roman" w:hAnsi="Times New Roman" w:cs="Times New Roman"/>
          <w:color w:val="000000"/>
          <w:sz w:val="24"/>
          <w:szCs w:val="24"/>
          <w:lang w:eastAsia="ja-JP"/>
        </w:rPr>
        <w:t>DA</w:t>
      </w:r>
      <w:r w:rsidRPr="00A07F29">
        <w:rPr>
          <w:rFonts w:ascii="Times New Roman" w:eastAsia="Times New Roman" w:hAnsi="Times New Roman" w:cs="Times New Roman"/>
          <w:color w:val="000000"/>
          <w:sz w:val="24"/>
          <w:szCs w:val="24"/>
          <w:lang w:eastAsia="ja-JP"/>
        </w:rPr>
        <w:t xml:space="preserve"> plāni, attiecīgi no ekspertu puses nav veikta dabas vērtību ģeogrāfiskās lokalizācijas izpēte un nav sagatavots šo teritoriju funkcionālais zonējums, it īpaši platības ziņā vislielākajām aizsargājamām teritorijām novadā, tai skaitā </w:t>
      </w:r>
      <w:r w:rsidR="0092556E" w:rsidRPr="00A07F29">
        <w:rPr>
          <w:rFonts w:ascii="Times New Roman" w:eastAsia="Times New Roman" w:hAnsi="Times New Roman" w:cs="Times New Roman"/>
          <w:color w:val="000000"/>
          <w:sz w:val="24"/>
          <w:szCs w:val="24"/>
          <w:lang w:eastAsia="ja-JP"/>
        </w:rPr>
        <w:t>AAA</w:t>
      </w:r>
      <w:r w:rsidRPr="00A07F29">
        <w:rPr>
          <w:rFonts w:ascii="Times New Roman" w:eastAsia="Times New Roman" w:hAnsi="Times New Roman" w:cs="Times New Roman"/>
          <w:color w:val="000000"/>
          <w:sz w:val="24"/>
          <w:szCs w:val="24"/>
          <w:lang w:eastAsia="ja-JP"/>
        </w:rPr>
        <w:t xml:space="preserve"> </w:t>
      </w:r>
      <w:r w:rsidR="008C2E42" w:rsidRPr="00A07F29">
        <w:rPr>
          <w:rFonts w:ascii="Times New Roman" w:eastAsia="Times New Roman" w:hAnsi="Times New Roman" w:cs="Times New Roman"/>
          <w:color w:val="000000"/>
          <w:sz w:val="24"/>
          <w:szCs w:val="24"/>
          <w:lang w:eastAsia="ja-JP"/>
        </w:rPr>
        <w:t>“</w:t>
      </w:r>
      <w:r w:rsidRPr="00A07F29">
        <w:rPr>
          <w:rFonts w:ascii="Times New Roman" w:eastAsia="Times New Roman" w:hAnsi="Times New Roman" w:cs="Times New Roman"/>
          <w:color w:val="000000"/>
          <w:sz w:val="24"/>
          <w:szCs w:val="24"/>
          <w:lang w:eastAsia="ja-JP"/>
        </w:rPr>
        <w:t>Augšdaugava”, kavē iespējas plānošanas dokumentā iekļaut saimnieciskās darbības un dabas vērtību izmantošanas pasākumus šajās teritorijās, ņemot vērā gan novada, gan vietējo iedzīvotāju ekonomiskās intereses.</w:t>
      </w:r>
    </w:p>
    <w:p w14:paraId="7E5E464B" w14:textId="78E93063" w:rsidR="00AF4C40" w:rsidRPr="00A07F29" w:rsidRDefault="00AF4C40" w:rsidP="00AD47BD">
      <w:pPr>
        <w:spacing w:after="120" w:line="240" w:lineRule="auto"/>
        <w:ind w:firstLine="851"/>
        <w:jc w:val="both"/>
        <w:rPr>
          <w:rFonts w:ascii="Times New Roman" w:eastAsia="Times New Roman" w:hAnsi="Times New Roman" w:cs="Times New Roman"/>
          <w:color w:val="000000"/>
          <w:sz w:val="24"/>
          <w:szCs w:val="24"/>
          <w:lang w:eastAsia="ja-JP"/>
        </w:rPr>
      </w:pPr>
      <w:r w:rsidRPr="00A07F29">
        <w:rPr>
          <w:rFonts w:ascii="Times New Roman" w:eastAsia="Times New Roman" w:hAnsi="Times New Roman" w:cs="Times New Roman"/>
          <w:color w:val="000000"/>
          <w:sz w:val="24"/>
          <w:szCs w:val="24"/>
          <w:lang w:eastAsia="ja-JP"/>
        </w:rPr>
        <w:t xml:space="preserve">Kā </w:t>
      </w:r>
      <w:proofErr w:type="spellStart"/>
      <w:r w:rsidRPr="00A07F29">
        <w:rPr>
          <w:rFonts w:ascii="Times New Roman" w:eastAsia="Times New Roman" w:hAnsi="Times New Roman" w:cs="Times New Roman"/>
          <w:color w:val="000000"/>
          <w:sz w:val="24"/>
          <w:szCs w:val="24"/>
          <w:lang w:eastAsia="ja-JP"/>
        </w:rPr>
        <w:t>problēmjautājums</w:t>
      </w:r>
      <w:proofErr w:type="spellEnd"/>
      <w:r w:rsidRPr="00A07F29">
        <w:rPr>
          <w:rFonts w:ascii="Times New Roman" w:eastAsia="Times New Roman" w:hAnsi="Times New Roman" w:cs="Times New Roman"/>
          <w:color w:val="000000"/>
          <w:sz w:val="24"/>
          <w:szCs w:val="24"/>
          <w:lang w:eastAsia="ja-JP"/>
        </w:rPr>
        <w:t xml:space="preserve"> Vides pārskatā minēta derīgo izrakteņu ieguve </w:t>
      </w:r>
      <w:r w:rsidR="0092556E" w:rsidRPr="00A07F29">
        <w:rPr>
          <w:rFonts w:ascii="Times New Roman" w:eastAsia="Times New Roman" w:hAnsi="Times New Roman" w:cs="Times New Roman"/>
          <w:color w:val="000000"/>
          <w:sz w:val="24"/>
          <w:szCs w:val="24"/>
          <w:lang w:eastAsia="ja-JP"/>
        </w:rPr>
        <w:t>ĪADT</w:t>
      </w:r>
      <w:r w:rsidRPr="00A07F29">
        <w:rPr>
          <w:rFonts w:ascii="Times New Roman" w:eastAsia="Times New Roman" w:hAnsi="Times New Roman" w:cs="Times New Roman"/>
          <w:color w:val="000000"/>
          <w:sz w:val="24"/>
          <w:szCs w:val="24"/>
          <w:lang w:eastAsia="ja-JP"/>
        </w:rPr>
        <w:t xml:space="preserve">, kā piemēru minot smilts-grants un smilts atradni </w:t>
      </w:r>
      <w:r w:rsidR="00B10A02" w:rsidRPr="00A07F29">
        <w:rPr>
          <w:rFonts w:ascii="Times New Roman" w:eastAsia="Times New Roman" w:hAnsi="Times New Roman" w:cs="Times New Roman"/>
          <w:color w:val="000000"/>
          <w:sz w:val="24"/>
          <w:szCs w:val="24"/>
          <w:lang w:eastAsia="ja-JP"/>
        </w:rPr>
        <w:t>“</w:t>
      </w:r>
      <w:proofErr w:type="spellStart"/>
      <w:r w:rsidRPr="00A07F29">
        <w:rPr>
          <w:rFonts w:ascii="Times New Roman" w:eastAsia="Times New Roman" w:hAnsi="Times New Roman" w:cs="Times New Roman"/>
          <w:color w:val="000000"/>
          <w:sz w:val="24"/>
          <w:szCs w:val="24"/>
          <w:lang w:eastAsia="ja-JP"/>
        </w:rPr>
        <w:t>Elerne</w:t>
      </w:r>
      <w:proofErr w:type="spellEnd"/>
      <w:r w:rsidRPr="00A07F29">
        <w:rPr>
          <w:rFonts w:ascii="Times New Roman" w:eastAsia="Times New Roman" w:hAnsi="Times New Roman" w:cs="Times New Roman"/>
          <w:color w:val="000000"/>
          <w:sz w:val="24"/>
          <w:szCs w:val="24"/>
          <w:lang w:eastAsia="ja-JP"/>
        </w:rPr>
        <w:t xml:space="preserve">”, kura atrodas </w:t>
      </w:r>
      <w:r w:rsidR="00BF0E06" w:rsidRPr="00A07F29">
        <w:rPr>
          <w:rFonts w:ascii="Times New Roman" w:eastAsia="Times New Roman" w:hAnsi="Times New Roman" w:cs="Times New Roman"/>
          <w:color w:val="000000"/>
          <w:sz w:val="24"/>
          <w:szCs w:val="24"/>
          <w:lang w:eastAsia="ja-JP"/>
        </w:rPr>
        <w:t>AAA</w:t>
      </w:r>
      <w:r w:rsidRPr="00A07F29">
        <w:rPr>
          <w:rFonts w:ascii="Times New Roman" w:eastAsia="Times New Roman" w:hAnsi="Times New Roman" w:cs="Times New Roman"/>
          <w:color w:val="000000"/>
          <w:sz w:val="24"/>
          <w:szCs w:val="24"/>
          <w:lang w:eastAsia="ja-JP"/>
        </w:rPr>
        <w:t xml:space="preserve"> </w:t>
      </w:r>
      <w:r w:rsidR="00B10A02" w:rsidRPr="00A07F29">
        <w:rPr>
          <w:rFonts w:ascii="Times New Roman" w:eastAsia="Times New Roman" w:hAnsi="Times New Roman" w:cs="Times New Roman"/>
          <w:color w:val="000000"/>
          <w:sz w:val="24"/>
          <w:szCs w:val="24"/>
          <w:lang w:eastAsia="ja-JP"/>
        </w:rPr>
        <w:t>“</w:t>
      </w:r>
      <w:r w:rsidRPr="00A07F29">
        <w:rPr>
          <w:rFonts w:ascii="Times New Roman" w:eastAsia="Times New Roman" w:hAnsi="Times New Roman" w:cs="Times New Roman"/>
          <w:color w:val="000000"/>
          <w:sz w:val="24"/>
          <w:szCs w:val="24"/>
          <w:lang w:eastAsia="ja-JP"/>
        </w:rPr>
        <w:t>Augšdaugava”. Uzsvērts, ka šajā atradnē notiekoš</w:t>
      </w:r>
      <w:r w:rsidR="00CB57D6" w:rsidRPr="00A07F29">
        <w:rPr>
          <w:rFonts w:ascii="Times New Roman" w:eastAsia="Times New Roman" w:hAnsi="Times New Roman" w:cs="Times New Roman"/>
          <w:color w:val="000000"/>
          <w:sz w:val="24"/>
          <w:szCs w:val="24"/>
          <w:lang w:eastAsia="ja-JP"/>
        </w:rPr>
        <w:t>ie</w:t>
      </w:r>
      <w:r w:rsidRPr="00A07F29">
        <w:rPr>
          <w:rFonts w:ascii="Times New Roman" w:eastAsia="Times New Roman" w:hAnsi="Times New Roman" w:cs="Times New Roman"/>
          <w:color w:val="000000"/>
          <w:sz w:val="24"/>
          <w:szCs w:val="24"/>
          <w:lang w:eastAsia="ja-JP"/>
        </w:rPr>
        <w:t xml:space="preserve"> ieguves darbi izraisa </w:t>
      </w:r>
      <w:proofErr w:type="spellStart"/>
      <w:r w:rsidRPr="00A07F29">
        <w:rPr>
          <w:rFonts w:ascii="Times New Roman" w:eastAsia="Times New Roman" w:hAnsi="Times New Roman" w:cs="Times New Roman"/>
          <w:color w:val="000000"/>
          <w:sz w:val="24"/>
          <w:szCs w:val="24"/>
          <w:lang w:eastAsia="ja-JP"/>
        </w:rPr>
        <w:t>ainavvides</w:t>
      </w:r>
      <w:proofErr w:type="spellEnd"/>
      <w:r w:rsidRPr="00A07F29">
        <w:rPr>
          <w:rFonts w:ascii="Times New Roman" w:eastAsia="Times New Roman" w:hAnsi="Times New Roman" w:cs="Times New Roman"/>
          <w:color w:val="000000"/>
          <w:sz w:val="24"/>
          <w:szCs w:val="24"/>
          <w:lang w:eastAsia="ja-JP"/>
        </w:rPr>
        <w:t xml:space="preserve"> degradāciju, negatīvi ietekmē bioloģisko daudzveidību. Atzīmēts, ka šajā teritorijā nav pietiekami efektīvi veikta izstrādāto karjeru rekultivācija, daudzviet tas notiek </w:t>
      </w:r>
      <w:proofErr w:type="spellStart"/>
      <w:r w:rsidRPr="00A07F29">
        <w:rPr>
          <w:rFonts w:ascii="Times New Roman" w:eastAsia="Times New Roman" w:hAnsi="Times New Roman" w:cs="Times New Roman"/>
          <w:color w:val="000000"/>
          <w:sz w:val="24"/>
          <w:szCs w:val="24"/>
          <w:lang w:eastAsia="ja-JP"/>
        </w:rPr>
        <w:t>re</w:t>
      </w:r>
      <w:r w:rsidR="00325E21" w:rsidRPr="00A07F29">
        <w:rPr>
          <w:rFonts w:ascii="Times New Roman" w:eastAsia="Times New Roman" w:hAnsi="Times New Roman" w:cs="Times New Roman"/>
          <w:color w:val="000000"/>
          <w:sz w:val="24"/>
          <w:szCs w:val="24"/>
          <w:lang w:eastAsia="ja-JP"/>
        </w:rPr>
        <w:t>n</w:t>
      </w:r>
      <w:r w:rsidR="0092556E" w:rsidRPr="00A07F29">
        <w:rPr>
          <w:rFonts w:ascii="Times New Roman" w:eastAsia="Times New Roman" w:hAnsi="Times New Roman" w:cs="Times New Roman"/>
          <w:color w:val="000000"/>
          <w:sz w:val="24"/>
          <w:szCs w:val="24"/>
          <w:lang w:eastAsia="ja-JP"/>
        </w:rPr>
        <w:t>atura</w:t>
      </w:r>
      <w:r w:rsidRPr="00A07F29">
        <w:rPr>
          <w:rFonts w:ascii="Times New Roman" w:eastAsia="Times New Roman" w:hAnsi="Times New Roman" w:cs="Times New Roman"/>
          <w:color w:val="000000"/>
          <w:sz w:val="24"/>
          <w:szCs w:val="24"/>
          <w:lang w:eastAsia="ja-JP"/>
        </w:rPr>
        <w:t>lizācijas</w:t>
      </w:r>
      <w:proofErr w:type="spellEnd"/>
      <w:r w:rsidRPr="00A07F29">
        <w:rPr>
          <w:rFonts w:ascii="Times New Roman" w:eastAsia="Times New Roman" w:hAnsi="Times New Roman" w:cs="Times New Roman"/>
          <w:color w:val="000000"/>
          <w:sz w:val="24"/>
          <w:szCs w:val="24"/>
          <w:lang w:eastAsia="ja-JP"/>
        </w:rPr>
        <w:t xml:space="preserve"> ceļā, neizmantojamajām platībām aizaugot ar mazvērtīgām baltalkšņu un kārklu audzēm, vai arī aizpildoties ar ūdeni; karjera pamestajos iecirkņos bieži novērojama sadzīves un būvniecības atkritumu izgāšana, kas vēl vairāk pasliktina situāciju; teritorijas plānojumā nav definēti pasākumi vai rīcības programma šo jautājumu risināšanai.</w:t>
      </w:r>
    </w:p>
    <w:p w14:paraId="01BBACCD" w14:textId="77777777" w:rsidR="00AF4C40" w:rsidRPr="00A07F29" w:rsidRDefault="00AF4C40" w:rsidP="00AD47BD">
      <w:pPr>
        <w:spacing w:after="120" w:line="240" w:lineRule="auto"/>
        <w:ind w:firstLine="851"/>
        <w:jc w:val="both"/>
        <w:rPr>
          <w:rFonts w:ascii="Times New Roman" w:eastAsia="Times New Roman" w:hAnsi="Times New Roman" w:cs="Times New Roman"/>
          <w:color w:val="000000"/>
          <w:sz w:val="24"/>
          <w:szCs w:val="24"/>
          <w:lang w:eastAsia="ja-JP"/>
        </w:rPr>
      </w:pPr>
      <w:r w:rsidRPr="00A07F29">
        <w:rPr>
          <w:rFonts w:ascii="Times New Roman" w:eastAsia="Times New Roman" w:hAnsi="Times New Roman" w:cs="Times New Roman"/>
          <w:color w:val="000000"/>
          <w:sz w:val="24"/>
          <w:szCs w:val="24"/>
          <w:lang w:eastAsia="ja-JP"/>
        </w:rPr>
        <w:t>Teritorijas plānojuma Grafiskajā daļā AAA “Augšdaugava” teritorija atzīmēta kā nacionālas nozīmes ainavu telpa, tajā iekļauti vairāki ainaviski augstvērtīgi ceļa posmi (esošie un perspektīvie).</w:t>
      </w:r>
    </w:p>
    <w:p w14:paraId="17E0EA33" w14:textId="0562BA42" w:rsidR="00AF4C40" w:rsidRPr="00A07F29" w:rsidRDefault="00AF4C40" w:rsidP="00AD47BD">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Teritorijas plānojuma </w:t>
      </w:r>
      <w:r w:rsidR="0074105E" w:rsidRPr="00A07F29">
        <w:rPr>
          <w:rFonts w:ascii="Times New Roman" w:eastAsia="Calibri" w:hAnsi="Times New Roman" w:cs="Calibri"/>
          <w:sz w:val="24"/>
        </w:rPr>
        <w:t>Teritorijas izmantošanas un apbūves noteikumos</w:t>
      </w:r>
      <w:r w:rsidRPr="00A07F29">
        <w:rPr>
          <w:rFonts w:ascii="Times New Roman" w:eastAsia="Calibri" w:hAnsi="Times New Roman" w:cs="Calibri"/>
          <w:sz w:val="24"/>
        </w:rPr>
        <w:t xml:space="preserve"> </w:t>
      </w:r>
      <w:r w:rsidR="00930A72" w:rsidRPr="00A07F29">
        <w:rPr>
          <w:rFonts w:ascii="Times New Roman" w:eastAsia="Calibri" w:hAnsi="Times New Roman" w:cs="Calibri"/>
          <w:sz w:val="24"/>
        </w:rPr>
        <w:t>2012.</w:t>
      </w:r>
      <w:r w:rsidR="00123324" w:rsidRPr="00A07F29">
        <w:rPr>
          <w:rFonts w:ascii="Times New Roman" w:eastAsia="Calibri" w:hAnsi="Times New Roman" w:cs="Calibri"/>
          <w:sz w:val="24"/>
        </w:rPr>
        <w:t> – </w:t>
      </w:r>
      <w:r w:rsidR="00930A72" w:rsidRPr="00A07F29">
        <w:rPr>
          <w:rFonts w:ascii="Times New Roman" w:eastAsia="Calibri" w:hAnsi="Times New Roman" w:cs="Calibri"/>
          <w:sz w:val="24"/>
        </w:rPr>
        <w:t>2023.</w:t>
      </w:r>
      <w:r w:rsidR="00123324" w:rsidRPr="00A07F29">
        <w:rPr>
          <w:rFonts w:ascii="Times New Roman" w:eastAsia="Calibri" w:hAnsi="Times New Roman" w:cs="Calibri"/>
          <w:sz w:val="24"/>
        </w:rPr>
        <w:t> </w:t>
      </w:r>
      <w:r w:rsidR="00930A72" w:rsidRPr="00A07F29">
        <w:rPr>
          <w:rFonts w:ascii="Times New Roman" w:eastAsia="Calibri" w:hAnsi="Times New Roman" w:cs="Calibri"/>
          <w:sz w:val="24"/>
        </w:rPr>
        <w:t xml:space="preserve">gadam </w:t>
      </w:r>
      <w:r w:rsidRPr="00A07F29">
        <w:rPr>
          <w:rFonts w:ascii="Times New Roman" w:eastAsia="Calibri" w:hAnsi="Times New Roman" w:cs="Calibri"/>
          <w:sz w:val="24"/>
        </w:rPr>
        <w:t>paredz īpašas prasības AAA “Augšdaugava” teritorijā:</w:t>
      </w:r>
    </w:p>
    <w:p w14:paraId="2A856313" w14:textId="415E8EE6" w:rsidR="00AF4C40" w:rsidRPr="00A07F29" w:rsidRDefault="00AF4C40" w:rsidP="00AD47BD">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 veicot darbību </w:t>
      </w:r>
      <w:r w:rsidR="0092556E" w:rsidRPr="00A07F29">
        <w:rPr>
          <w:rFonts w:ascii="Times New Roman" w:eastAsia="Calibri" w:hAnsi="Times New Roman" w:cs="Calibri"/>
          <w:sz w:val="24"/>
        </w:rPr>
        <w:t>ĪADT</w:t>
      </w:r>
      <w:r w:rsidRPr="00A07F29">
        <w:rPr>
          <w:rFonts w:ascii="Times New Roman" w:eastAsia="Calibri" w:hAnsi="Times New Roman" w:cs="Calibri"/>
          <w:sz w:val="24"/>
        </w:rPr>
        <w:t>, jāsaglabā ainaviski vērtīgas teritorijas, kuras ir noteiktas Daugavpils novada teritorijas plānojuma Grafiskajā daļā;</w:t>
      </w:r>
    </w:p>
    <w:p w14:paraId="5A369163" w14:textId="7E9FD72B" w:rsidR="00AF4C40" w:rsidRPr="00A07F29" w:rsidRDefault="00AF4C40" w:rsidP="00AD47BD">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 - kailcirtē saglabājamos kokus pēc iespējas atstāj grupās, saglabājot tajās arī paaugu vai pamežu, izņemot gadījumus, ja apsaimniekojamā meža platība vienā kadastra vienībā ir mazāka par </w:t>
      </w:r>
      <w:r w:rsidR="00095E53" w:rsidRPr="00A07F29">
        <w:rPr>
          <w:rFonts w:ascii="Times New Roman" w:eastAsia="Calibri" w:hAnsi="Times New Roman" w:cs="Calibri"/>
          <w:sz w:val="24"/>
        </w:rPr>
        <w:t>vienu</w:t>
      </w:r>
      <w:r w:rsidRPr="00A07F29">
        <w:rPr>
          <w:rFonts w:ascii="Times New Roman" w:eastAsia="Calibri" w:hAnsi="Times New Roman" w:cs="Calibri"/>
          <w:sz w:val="24"/>
        </w:rPr>
        <w:t xml:space="preserve"> hektāru;</w:t>
      </w:r>
    </w:p>
    <w:p w14:paraId="7A7479B9" w14:textId="12A2BF2E" w:rsidR="00AF4C40" w:rsidRPr="00A07F29" w:rsidRDefault="00AF4C40" w:rsidP="00AD47BD">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 veicot derīgo izrakteņu ieguvi </w:t>
      </w:r>
      <w:r w:rsidR="00BF0E06" w:rsidRPr="00A07F29">
        <w:rPr>
          <w:rFonts w:ascii="Times New Roman" w:eastAsia="Calibri" w:hAnsi="Times New Roman" w:cs="Calibri"/>
          <w:sz w:val="24"/>
        </w:rPr>
        <w:t>AAA</w:t>
      </w:r>
      <w:r w:rsidRPr="00A07F29">
        <w:rPr>
          <w:rFonts w:ascii="Times New Roman" w:eastAsia="Calibri" w:hAnsi="Times New Roman" w:cs="Calibri"/>
          <w:sz w:val="24"/>
        </w:rPr>
        <w:t>, atstāt meža joslu gar ieguves teritorijas robežu un paredzēt pakāpenisko izstrādājamās teritorijas rekultivāciju, lai mazinātu darbības ietekmi uz vietas ainaviskumu.</w:t>
      </w:r>
    </w:p>
    <w:p w14:paraId="616EAA96" w14:textId="2E05541A" w:rsidR="00AF4C40" w:rsidRPr="00A07F29" w:rsidRDefault="00AF4C40" w:rsidP="00BD0165">
      <w:pPr>
        <w:pStyle w:val="Heading3"/>
        <w:spacing w:before="120" w:after="120" w:line="240" w:lineRule="auto"/>
        <w:jc w:val="center"/>
        <w:rPr>
          <w:lang w:eastAsia="ja-JP"/>
        </w:rPr>
      </w:pPr>
      <w:bookmarkStart w:id="8" w:name="_Toc183433970"/>
      <w:r w:rsidRPr="00A07F29">
        <w:rPr>
          <w:lang w:eastAsia="ja-JP"/>
        </w:rPr>
        <w:t>1.1.3. Esošais funkcionālais zonējums</w:t>
      </w:r>
      <w:bookmarkEnd w:id="8"/>
    </w:p>
    <w:p w14:paraId="00B869F5" w14:textId="652973FE" w:rsidR="006D5C40" w:rsidRPr="00A07F29" w:rsidRDefault="00AF4C40" w:rsidP="0002277A">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AAA </w:t>
      </w:r>
      <w:r w:rsidR="00831B0D" w:rsidRPr="00A07F29">
        <w:rPr>
          <w:rFonts w:ascii="Times New Roman" w:eastAsia="Calibri" w:hAnsi="Times New Roman" w:cs="Calibri"/>
          <w:sz w:val="24"/>
        </w:rPr>
        <w:t>“</w:t>
      </w:r>
      <w:r w:rsidRPr="00A07F29">
        <w:rPr>
          <w:rFonts w:ascii="Times New Roman" w:eastAsia="Calibri" w:hAnsi="Times New Roman" w:cs="Calibri"/>
          <w:sz w:val="24"/>
        </w:rPr>
        <w:t xml:space="preserve">Augšdaugava” </w:t>
      </w:r>
      <w:r w:rsidR="0092556E" w:rsidRPr="00A07F29">
        <w:rPr>
          <w:rFonts w:ascii="Times New Roman" w:eastAsia="Calibri" w:hAnsi="Times New Roman" w:cs="Calibri"/>
          <w:sz w:val="24"/>
        </w:rPr>
        <w:t xml:space="preserve">funkcionālais </w:t>
      </w:r>
      <w:r w:rsidRPr="00A07F29">
        <w:rPr>
          <w:rFonts w:ascii="Times New Roman" w:eastAsia="Calibri" w:hAnsi="Times New Roman" w:cs="Calibri"/>
          <w:sz w:val="24"/>
        </w:rPr>
        <w:t>zonējums līdz šim nav noteikts, tomēr var uzskatīt, ka tajā ietilpstošās aizsargājamās dabas teritorijas (</w:t>
      </w:r>
      <w:r w:rsidR="00BF0E06" w:rsidRPr="00A07F29">
        <w:rPr>
          <w:rFonts w:ascii="Times New Roman" w:eastAsia="Calibri" w:hAnsi="Times New Roman" w:cs="Calibri"/>
          <w:sz w:val="24"/>
        </w:rPr>
        <w:t>DP</w:t>
      </w:r>
      <w:r w:rsidRPr="00A07F29">
        <w:rPr>
          <w:rFonts w:ascii="Times New Roman" w:eastAsia="Calibri" w:hAnsi="Times New Roman" w:cs="Calibri"/>
          <w:sz w:val="24"/>
        </w:rPr>
        <w:t xml:space="preserve">, dabas pieminekļi) un mikroliegumi </w:t>
      </w:r>
      <w:r w:rsidR="0074105E" w:rsidRPr="00A07F29">
        <w:rPr>
          <w:rFonts w:ascii="Times New Roman" w:eastAsia="Calibri" w:hAnsi="Times New Roman" w:cs="Calibri"/>
          <w:sz w:val="24"/>
        </w:rPr>
        <w:t xml:space="preserve">daļēji </w:t>
      </w:r>
      <w:r w:rsidRPr="00A07F29">
        <w:rPr>
          <w:rFonts w:ascii="Times New Roman" w:eastAsia="Calibri" w:hAnsi="Times New Roman" w:cs="Calibri"/>
          <w:sz w:val="24"/>
        </w:rPr>
        <w:t xml:space="preserve">veic zonējuma funkciju. </w:t>
      </w:r>
      <w:r w:rsidR="00BF0E06" w:rsidRPr="00A07F29">
        <w:rPr>
          <w:rFonts w:ascii="Times New Roman" w:eastAsia="Calibri" w:hAnsi="Times New Roman" w:cs="Calibri"/>
          <w:sz w:val="24"/>
        </w:rPr>
        <w:t>DA plānā</w:t>
      </w:r>
      <w:r w:rsidRPr="00A07F29">
        <w:rPr>
          <w:rFonts w:ascii="Times New Roman" w:eastAsia="Calibri" w:hAnsi="Times New Roman" w:cs="Calibri"/>
          <w:sz w:val="24"/>
        </w:rPr>
        <w:t xml:space="preserve"> DP “Daugavas loki” ir </w:t>
      </w:r>
      <w:r w:rsidR="00BB279E" w:rsidRPr="00A07F29">
        <w:rPr>
          <w:rFonts w:ascii="Times New Roman" w:eastAsia="Calibri" w:hAnsi="Times New Roman" w:cs="Calibri"/>
          <w:sz w:val="24"/>
        </w:rPr>
        <w:t>izstrādāts</w:t>
      </w:r>
      <w:r w:rsidRPr="00A07F29">
        <w:rPr>
          <w:rFonts w:ascii="Times New Roman" w:eastAsia="Calibri" w:hAnsi="Times New Roman" w:cs="Calibri"/>
          <w:sz w:val="24"/>
        </w:rPr>
        <w:t xml:space="preserve"> </w:t>
      </w:r>
      <w:r w:rsidRPr="00A07F29">
        <w:rPr>
          <w:rFonts w:ascii="Times New Roman" w:eastAsia="Calibri" w:hAnsi="Times New Roman" w:cs="Calibri"/>
          <w:sz w:val="24"/>
        </w:rPr>
        <w:lastRenderedPageBreak/>
        <w:t xml:space="preserve">zonējums </w:t>
      </w:r>
      <w:r w:rsidR="00BF0E06" w:rsidRPr="00A07F29">
        <w:rPr>
          <w:rFonts w:ascii="Times New Roman" w:eastAsia="Calibri" w:hAnsi="Times New Roman" w:cs="Calibri"/>
          <w:sz w:val="24"/>
        </w:rPr>
        <w:t>DP</w:t>
      </w:r>
      <w:r w:rsidRPr="00A07F29">
        <w:rPr>
          <w:rFonts w:ascii="Times New Roman" w:eastAsia="Calibri" w:hAnsi="Times New Roman" w:cs="Calibri"/>
          <w:sz w:val="24"/>
        </w:rPr>
        <w:t xml:space="preserve"> teritorijai, iesakot neitrālās, </w:t>
      </w:r>
      <w:r w:rsidR="0092556E" w:rsidRPr="00A07F29">
        <w:rPr>
          <w:rFonts w:ascii="Times New Roman" w:eastAsia="Calibri" w:hAnsi="Times New Roman" w:cs="Calibri"/>
          <w:sz w:val="24"/>
        </w:rPr>
        <w:t>dabas parka</w:t>
      </w:r>
      <w:r w:rsidRPr="00A07F29">
        <w:rPr>
          <w:rFonts w:ascii="Times New Roman" w:eastAsia="Calibri" w:hAnsi="Times New Roman" w:cs="Calibri"/>
          <w:sz w:val="24"/>
        </w:rPr>
        <w:t xml:space="preserve">, dabas lieguma, ainavu aizsardzības un regulējamā režīma zonas un tajās paredzētos ierobežojumus, tomēr šis zonējums nav </w:t>
      </w:r>
      <w:r w:rsidR="0092556E" w:rsidRPr="00A07F29">
        <w:rPr>
          <w:rFonts w:ascii="Times New Roman" w:eastAsia="Calibri" w:hAnsi="Times New Roman" w:cs="Calibri"/>
          <w:sz w:val="24"/>
        </w:rPr>
        <w:t>ap</w:t>
      </w:r>
      <w:r w:rsidRPr="00A07F29">
        <w:rPr>
          <w:rFonts w:ascii="Times New Roman" w:eastAsia="Calibri" w:hAnsi="Times New Roman" w:cs="Calibri"/>
          <w:sz w:val="24"/>
        </w:rPr>
        <w:t xml:space="preserve">stiprināts ar </w:t>
      </w:r>
      <w:r w:rsidR="0092556E" w:rsidRPr="00A07F29">
        <w:rPr>
          <w:rFonts w:ascii="Times New Roman" w:eastAsia="Calibri" w:hAnsi="Times New Roman" w:cs="Calibri"/>
          <w:sz w:val="24"/>
        </w:rPr>
        <w:t>MK</w:t>
      </w:r>
      <w:r w:rsidRPr="00A07F29">
        <w:rPr>
          <w:rFonts w:ascii="Times New Roman" w:eastAsia="Calibri" w:hAnsi="Times New Roman" w:cs="Calibri"/>
          <w:sz w:val="24"/>
        </w:rPr>
        <w:t xml:space="preserve"> noteikumiem un uzskatāms par ieteikumu.</w:t>
      </w:r>
    </w:p>
    <w:p w14:paraId="60B2CC36" w14:textId="77777777" w:rsidR="0002277A" w:rsidRPr="00A07F29" w:rsidRDefault="0002277A" w:rsidP="0002277A">
      <w:pPr>
        <w:spacing w:after="120" w:line="240" w:lineRule="auto"/>
        <w:ind w:firstLine="851"/>
        <w:jc w:val="both"/>
        <w:rPr>
          <w:rFonts w:ascii="Times New Roman" w:eastAsia="Calibri" w:hAnsi="Times New Roman" w:cs="Calibri"/>
          <w:sz w:val="24"/>
        </w:rPr>
      </w:pPr>
    </w:p>
    <w:p w14:paraId="39EFB176" w14:textId="1A4D2DE7" w:rsidR="00AF4C40" w:rsidRPr="00A07F29" w:rsidRDefault="00AF4C40" w:rsidP="00BD0165">
      <w:pPr>
        <w:pStyle w:val="Heading3"/>
        <w:spacing w:before="120" w:after="120" w:line="240" w:lineRule="auto"/>
        <w:jc w:val="center"/>
        <w:rPr>
          <w:lang w:eastAsia="ja-JP"/>
        </w:rPr>
      </w:pPr>
      <w:bookmarkStart w:id="9" w:name="_Toc183433971"/>
      <w:r w:rsidRPr="00A07F29">
        <w:rPr>
          <w:lang w:eastAsia="ja-JP"/>
        </w:rPr>
        <w:t>1.1.4. Aizsardzības un apsaimniekošanas īsa vēsture</w:t>
      </w:r>
      <w:bookmarkEnd w:id="9"/>
    </w:p>
    <w:p w14:paraId="1BB5240F" w14:textId="3AB2D7B8" w:rsidR="003E6E44" w:rsidRPr="00A07F29" w:rsidRDefault="00F166D2" w:rsidP="003E6E44">
      <w:pPr>
        <w:spacing w:after="120" w:line="240" w:lineRule="auto"/>
        <w:ind w:firstLine="851"/>
        <w:jc w:val="both"/>
        <w:rPr>
          <w:rFonts w:ascii="Times New Roman" w:eastAsia="Calibri" w:hAnsi="Times New Roman" w:cs="Calibri"/>
          <w:sz w:val="24"/>
        </w:rPr>
      </w:pPr>
      <w:r w:rsidRPr="00162218">
        <w:rPr>
          <w:rFonts w:ascii="Times New Roman" w:eastAsia="Calibri" w:hAnsi="Times New Roman" w:cs="Calibri"/>
          <w:sz w:val="24"/>
        </w:rPr>
        <w:t>Ī</w:t>
      </w:r>
      <w:r w:rsidR="00162218">
        <w:rPr>
          <w:rFonts w:ascii="Times New Roman" w:eastAsia="Calibri" w:hAnsi="Times New Roman" w:cs="Calibri"/>
          <w:sz w:val="24"/>
        </w:rPr>
        <w:t>ADT</w:t>
      </w:r>
      <w:r w:rsidR="00B729B8" w:rsidRPr="00A07F29">
        <w:rPr>
          <w:rFonts w:ascii="Times New Roman" w:eastAsia="Calibri" w:hAnsi="Times New Roman" w:cs="Calibri"/>
          <w:sz w:val="24"/>
        </w:rPr>
        <w:t xml:space="preserve"> “</w:t>
      </w:r>
      <w:r w:rsidRPr="00A07F29">
        <w:rPr>
          <w:rFonts w:ascii="Times New Roman" w:eastAsia="Calibri" w:hAnsi="Times New Roman" w:cs="Calibri"/>
          <w:sz w:val="24"/>
        </w:rPr>
        <w:t>Augšdaug</w:t>
      </w:r>
      <w:r w:rsidR="002A7BB9" w:rsidRPr="00A07F29">
        <w:rPr>
          <w:rFonts w:ascii="Times New Roman" w:eastAsia="Calibri" w:hAnsi="Times New Roman" w:cs="Calibri"/>
          <w:sz w:val="24"/>
        </w:rPr>
        <w:t>a</w:t>
      </w:r>
      <w:r w:rsidRPr="00A07F29">
        <w:rPr>
          <w:rFonts w:ascii="Times New Roman" w:eastAsia="Calibri" w:hAnsi="Times New Roman" w:cs="Calibri"/>
          <w:sz w:val="24"/>
        </w:rPr>
        <w:t xml:space="preserve">va” un “Daugavas loki” </w:t>
      </w:r>
      <w:r w:rsidR="00B729B8" w:rsidRPr="00A07F29">
        <w:rPr>
          <w:rFonts w:ascii="Times New Roman" w:eastAsia="Calibri" w:hAnsi="Times New Roman" w:cs="Calibri"/>
          <w:sz w:val="24"/>
        </w:rPr>
        <w:t xml:space="preserve">izveidošana </w:t>
      </w:r>
      <w:r w:rsidRPr="00A07F29">
        <w:rPr>
          <w:rFonts w:ascii="Times New Roman" w:eastAsia="Calibri" w:hAnsi="Times New Roman" w:cs="Calibri"/>
          <w:sz w:val="24"/>
        </w:rPr>
        <w:t xml:space="preserve">ir tieši </w:t>
      </w:r>
      <w:r w:rsidR="00B729B8" w:rsidRPr="00A07F29">
        <w:rPr>
          <w:rFonts w:ascii="Times New Roman" w:eastAsia="Calibri" w:hAnsi="Times New Roman" w:cs="Calibri"/>
          <w:sz w:val="24"/>
        </w:rPr>
        <w:t>saist</w:t>
      </w:r>
      <w:r w:rsidRPr="00A07F29">
        <w:rPr>
          <w:rFonts w:ascii="Times New Roman" w:eastAsia="Calibri" w:hAnsi="Times New Roman" w:cs="Calibri"/>
          <w:sz w:val="24"/>
        </w:rPr>
        <w:t xml:space="preserve">īta </w:t>
      </w:r>
      <w:r w:rsidR="002A7BB9" w:rsidRPr="00A07F29">
        <w:rPr>
          <w:rFonts w:ascii="Times New Roman" w:eastAsia="Calibri" w:hAnsi="Times New Roman" w:cs="Calibri"/>
          <w:sz w:val="24"/>
        </w:rPr>
        <w:t>ar to</w:t>
      </w:r>
      <w:r w:rsidR="00B729B8" w:rsidRPr="00A07F29">
        <w:rPr>
          <w:rFonts w:ascii="Times New Roman" w:eastAsia="Calibri" w:hAnsi="Times New Roman" w:cs="Calibri"/>
          <w:sz w:val="24"/>
        </w:rPr>
        <w:t>, ka 1987.</w:t>
      </w:r>
      <w:r w:rsidR="00422600" w:rsidRPr="00A07F29">
        <w:rPr>
          <w:rFonts w:ascii="Times New Roman" w:eastAsia="Calibri" w:hAnsi="Times New Roman" w:cs="Calibri"/>
          <w:sz w:val="24"/>
        </w:rPr>
        <w:t> </w:t>
      </w:r>
      <w:r w:rsidR="00B729B8" w:rsidRPr="00A07F29">
        <w:rPr>
          <w:rFonts w:ascii="Times New Roman" w:eastAsia="Calibri" w:hAnsi="Times New Roman" w:cs="Calibri"/>
          <w:sz w:val="24"/>
        </w:rPr>
        <w:t>g</w:t>
      </w:r>
      <w:r w:rsidRPr="00A07F29">
        <w:rPr>
          <w:rFonts w:ascii="Times New Roman" w:eastAsia="Calibri" w:hAnsi="Times New Roman" w:cs="Calibri"/>
          <w:sz w:val="24"/>
        </w:rPr>
        <w:t xml:space="preserve">adā </w:t>
      </w:r>
      <w:r w:rsidR="00B729B8" w:rsidRPr="00A07F29">
        <w:rPr>
          <w:rFonts w:ascii="Times New Roman" w:eastAsia="Calibri" w:hAnsi="Times New Roman" w:cs="Calibri"/>
          <w:sz w:val="24"/>
        </w:rPr>
        <w:t>pēc Daugavpils HES projekta papildus ekoloģiskās un ekonomiskās ekspertīzes</w:t>
      </w:r>
      <w:r w:rsidRPr="00A07F29">
        <w:rPr>
          <w:rFonts w:ascii="Times New Roman" w:eastAsia="Calibri" w:hAnsi="Times New Roman" w:cs="Calibri"/>
          <w:sz w:val="24"/>
        </w:rPr>
        <w:t xml:space="preserve"> ar </w:t>
      </w:r>
      <w:r w:rsidR="00B729B8" w:rsidRPr="00A07F29">
        <w:rPr>
          <w:rFonts w:ascii="Times New Roman" w:eastAsia="Calibri" w:hAnsi="Times New Roman" w:cs="Calibri"/>
          <w:sz w:val="24"/>
        </w:rPr>
        <w:t>PSRS Ministru pado</w:t>
      </w:r>
      <w:r w:rsidRPr="00A07F29">
        <w:rPr>
          <w:rFonts w:ascii="Times New Roman" w:eastAsia="Calibri" w:hAnsi="Times New Roman" w:cs="Calibri"/>
          <w:sz w:val="24"/>
        </w:rPr>
        <w:t xml:space="preserve">mes lēmumu tika pārtraukta tās </w:t>
      </w:r>
      <w:r w:rsidR="00B729B8" w:rsidRPr="00A07F29">
        <w:rPr>
          <w:rFonts w:ascii="Times New Roman" w:eastAsia="Calibri" w:hAnsi="Times New Roman" w:cs="Calibri"/>
          <w:sz w:val="24"/>
        </w:rPr>
        <w:t>celtniecība.</w:t>
      </w:r>
    </w:p>
    <w:p w14:paraId="749A735B" w14:textId="141B8352" w:rsidR="00B729B8" w:rsidRPr="00A07F29" w:rsidRDefault="00F166D2" w:rsidP="002A7BB9">
      <w:pPr>
        <w:spacing w:after="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Daugavpils HES celtniecības darbi tika uzsākti 1979.</w:t>
      </w:r>
      <w:r w:rsidR="00422600" w:rsidRPr="00A07F29">
        <w:rPr>
          <w:rFonts w:ascii="Times New Roman" w:eastAsia="Calibri" w:hAnsi="Times New Roman" w:cs="Calibri"/>
          <w:sz w:val="24"/>
        </w:rPr>
        <w:t> </w:t>
      </w:r>
      <w:r w:rsidRPr="00A07F29">
        <w:rPr>
          <w:rFonts w:ascii="Times New Roman" w:eastAsia="Calibri" w:hAnsi="Times New Roman" w:cs="Calibri"/>
          <w:sz w:val="24"/>
        </w:rPr>
        <w:t>gadā, bet 1986.</w:t>
      </w:r>
      <w:r w:rsidR="00422600" w:rsidRPr="00A07F29">
        <w:rPr>
          <w:rFonts w:ascii="Times New Roman" w:eastAsia="Calibri" w:hAnsi="Times New Roman" w:cs="Calibri"/>
          <w:sz w:val="24"/>
        </w:rPr>
        <w:t> </w:t>
      </w:r>
      <w:r w:rsidRPr="00A07F29">
        <w:rPr>
          <w:rFonts w:ascii="Times New Roman" w:eastAsia="Calibri" w:hAnsi="Times New Roman" w:cs="Calibri"/>
          <w:sz w:val="24"/>
        </w:rPr>
        <w:t>gadā plānoto zemes darbu apjoms jau bija izpildīts vairāk par 60</w:t>
      </w:r>
      <w:r w:rsidR="00422600" w:rsidRPr="00A07F29">
        <w:rPr>
          <w:rFonts w:ascii="Times New Roman" w:eastAsia="Calibri" w:hAnsi="Times New Roman" w:cs="Calibri"/>
          <w:sz w:val="24"/>
        </w:rPr>
        <w:t> </w:t>
      </w:r>
      <w:r w:rsidRPr="00A07F29">
        <w:rPr>
          <w:rFonts w:ascii="Times New Roman" w:eastAsia="Calibri" w:hAnsi="Times New Roman" w:cs="Calibri"/>
          <w:sz w:val="24"/>
        </w:rPr>
        <w:t>%. Tas ietvēra arī HES ūdenskrātuves teritorijas sagatavošanu appludinājumam. Tas nozīmēja, ka līdz 1986.</w:t>
      </w:r>
      <w:r w:rsidR="00F630D4" w:rsidRPr="00A07F29">
        <w:rPr>
          <w:rFonts w:ascii="Times New Roman" w:eastAsia="Calibri" w:hAnsi="Times New Roman" w:cs="Calibri"/>
          <w:sz w:val="24"/>
        </w:rPr>
        <w:t> </w:t>
      </w:r>
      <w:r w:rsidRPr="00A07F29">
        <w:rPr>
          <w:rFonts w:ascii="Times New Roman" w:eastAsia="Calibri" w:hAnsi="Times New Roman" w:cs="Calibri"/>
          <w:sz w:val="24"/>
        </w:rPr>
        <w:t>g</w:t>
      </w:r>
      <w:r w:rsidR="00F630D4" w:rsidRPr="00A07F29">
        <w:rPr>
          <w:rFonts w:ascii="Times New Roman" w:eastAsia="Calibri" w:hAnsi="Times New Roman" w:cs="Calibri"/>
          <w:sz w:val="24"/>
        </w:rPr>
        <w:t>adam</w:t>
      </w:r>
      <w:r w:rsidRPr="00A07F29">
        <w:rPr>
          <w:rFonts w:ascii="Times New Roman" w:eastAsia="Calibri" w:hAnsi="Times New Roman" w:cs="Calibri"/>
          <w:sz w:val="24"/>
        </w:rPr>
        <w:t xml:space="preserve"> bija darīts sekojošais:</w:t>
      </w:r>
    </w:p>
    <w:p w14:paraId="738202AC" w14:textId="7112BE7D" w:rsidR="002B6E82" w:rsidRPr="00A07F29" w:rsidRDefault="002B6E82" w:rsidP="002A7BB9">
      <w:pPr>
        <w:tabs>
          <w:tab w:val="left" w:pos="1134"/>
        </w:tabs>
        <w:spacing w:after="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w:t>
      </w:r>
      <w:r w:rsidRPr="00A07F29">
        <w:rPr>
          <w:rFonts w:ascii="Times New Roman" w:eastAsia="Calibri" w:hAnsi="Times New Roman" w:cs="Calibri"/>
          <w:sz w:val="24"/>
        </w:rPr>
        <w:tab/>
      </w:r>
      <w:r w:rsidR="00F166D2" w:rsidRPr="00A07F29">
        <w:rPr>
          <w:rFonts w:ascii="Times New Roman" w:eastAsia="Calibri" w:hAnsi="Times New Roman" w:cs="Calibri"/>
          <w:sz w:val="24"/>
        </w:rPr>
        <w:t>n</w:t>
      </w:r>
      <w:r w:rsidRPr="00A07F29">
        <w:rPr>
          <w:rFonts w:ascii="Times New Roman" w:eastAsia="Calibri" w:hAnsi="Times New Roman" w:cs="Calibri"/>
          <w:sz w:val="24"/>
        </w:rPr>
        <w:t xml:space="preserve">o Daugavas krastu kapsētām uz citām </w:t>
      </w:r>
      <w:proofErr w:type="spellStart"/>
      <w:r w:rsidRPr="00A07F29">
        <w:rPr>
          <w:rFonts w:ascii="Times New Roman" w:eastAsia="Calibri" w:hAnsi="Times New Roman" w:cs="Calibri"/>
          <w:sz w:val="24"/>
        </w:rPr>
        <w:t>pārapbedīti</w:t>
      </w:r>
      <w:proofErr w:type="spellEnd"/>
      <w:r w:rsidRPr="00A07F29">
        <w:rPr>
          <w:rFonts w:ascii="Times New Roman" w:eastAsia="Calibri" w:hAnsi="Times New Roman" w:cs="Calibri"/>
          <w:sz w:val="24"/>
        </w:rPr>
        <w:t xml:space="preserve"> laika gaitā mirušie cilvēki</w:t>
      </w:r>
      <w:r w:rsidR="00F166D2" w:rsidRPr="00A07F29">
        <w:rPr>
          <w:rFonts w:ascii="Times New Roman" w:eastAsia="Calibri" w:hAnsi="Times New Roman" w:cs="Calibri"/>
          <w:sz w:val="24"/>
        </w:rPr>
        <w:t>,</w:t>
      </w:r>
    </w:p>
    <w:p w14:paraId="5DAD6EC7" w14:textId="61CE54EF" w:rsidR="002B6E82" w:rsidRPr="00A07F29" w:rsidRDefault="002B6E82" w:rsidP="002A7BB9">
      <w:pPr>
        <w:tabs>
          <w:tab w:val="left" w:pos="1134"/>
        </w:tabs>
        <w:spacing w:after="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w:t>
      </w:r>
      <w:r w:rsidRPr="00A07F29">
        <w:rPr>
          <w:rFonts w:ascii="Times New Roman" w:eastAsia="Calibri" w:hAnsi="Times New Roman" w:cs="Calibri"/>
          <w:sz w:val="24"/>
        </w:rPr>
        <w:tab/>
        <w:t>Daugavas zemajos krastos līdz appludinājuma līnijai bija izcirsti meži</w:t>
      </w:r>
      <w:r w:rsidR="00F166D2" w:rsidRPr="00A07F29">
        <w:rPr>
          <w:rFonts w:ascii="Times New Roman" w:eastAsia="Calibri" w:hAnsi="Times New Roman" w:cs="Calibri"/>
          <w:sz w:val="24"/>
        </w:rPr>
        <w:t>,</w:t>
      </w:r>
    </w:p>
    <w:p w14:paraId="617FB084" w14:textId="7D328DC2" w:rsidR="002B6E82" w:rsidRPr="00A07F29" w:rsidRDefault="002B6E82" w:rsidP="002A7BB9">
      <w:pPr>
        <w:tabs>
          <w:tab w:val="left" w:pos="1134"/>
        </w:tabs>
        <w:spacing w:after="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w:t>
      </w:r>
      <w:r w:rsidRPr="00A07F29">
        <w:rPr>
          <w:rFonts w:ascii="Times New Roman" w:eastAsia="Calibri" w:hAnsi="Times New Roman" w:cs="Calibri"/>
          <w:sz w:val="24"/>
        </w:rPr>
        <w:tab/>
      </w:r>
      <w:r w:rsidR="00F166D2" w:rsidRPr="00A07F29">
        <w:rPr>
          <w:rFonts w:ascii="Times New Roman" w:eastAsia="Calibri" w:hAnsi="Times New Roman" w:cs="Calibri"/>
          <w:sz w:val="24"/>
        </w:rPr>
        <w:t>n</w:t>
      </w:r>
      <w:r w:rsidRPr="00A07F29">
        <w:rPr>
          <w:rFonts w:ascii="Times New Roman" w:eastAsia="Calibri" w:hAnsi="Times New Roman" w:cs="Calibri"/>
          <w:sz w:val="24"/>
        </w:rPr>
        <w:t>o zemo Daugavas krastu sādžām cilvēki bija pārvietoti uz citām vietā</w:t>
      </w:r>
      <w:r w:rsidR="00F166D2" w:rsidRPr="00A07F29">
        <w:rPr>
          <w:rFonts w:ascii="Times New Roman" w:eastAsia="Calibri" w:hAnsi="Times New Roman" w:cs="Calibri"/>
          <w:sz w:val="24"/>
        </w:rPr>
        <w:t>m, kur šim nolūkam celtas mājas,</w:t>
      </w:r>
    </w:p>
    <w:p w14:paraId="13C37AFA" w14:textId="704D4138" w:rsidR="00B729B8" w:rsidRPr="00A07F29" w:rsidRDefault="002B6E82" w:rsidP="00F166D2">
      <w:pPr>
        <w:tabs>
          <w:tab w:val="left" w:pos="1134"/>
        </w:tabs>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w:t>
      </w:r>
      <w:r w:rsidRPr="00A07F29">
        <w:rPr>
          <w:rFonts w:ascii="Times New Roman" w:eastAsia="Calibri" w:hAnsi="Times New Roman" w:cs="Calibri"/>
          <w:sz w:val="24"/>
        </w:rPr>
        <w:tab/>
      </w:r>
      <w:r w:rsidR="00F166D2" w:rsidRPr="00A07F29">
        <w:rPr>
          <w:rFonts w:ascii="Times New Roman" w:eastAsia="Calibri" w:hAnsi="Times New Roman" w:cs="Calibri"/>
          <w:sz w:val="24"/>
        </w:rPr>
        <w:t>t</w:t>
      </w:r>
      <w:r w:rsidRPr="00A07F29">
        <w:rPr>
          <w:rFonts w:ascii="Times New Roman" w:eastAsia="Calibri" w:hAnsi="Times New Roman" w:cs="Calibri"/>
          <w:sz w:val="24"/>
        </w:rPr>
        <w:t xml:space="preserve">ika izstrādāti esošie karjeri Daugavas krastos </w:t>
      </w:r>
      <w:proofErr w:type="spellStart"/>
      <w:r w:rsidR="00F166D2" w:rsidRPr="00A07F29">
        <w:rPr>
          <w:rFonts w:ascii="Times New Roman" w:eastAsia="Calibri" w:hAnsi="Times New Roman" w:cs="Calibri"/>
          <w:sz w:val="24"/>
        </w:rPr>
        <w:t>Elernes</w:t>
      </w:r>
      <w:proofErr w:type="spellEnd"/>
      <w:r w:rsidR="00F166D2" w:rsidRPr="00A07F29">
        <w:rPr>
          <w:rFonts w:ascii="Times New Roman" w:eastAsia="Calibri" w:hAnsi="Times New Roman" w:cs="Calibri"/>
          <w:sz w:val="24"/>
        </w:rPr>
        <w:t xml:space="preserve"> un </w:t>
      </w:r>
      <w:proofErr w:type="spellStart"/>
      <w:r w:rsidR="00F166D2" w:rsidRPr="00A07F29">
        <w:rPr>
          <w:rFonts w:ascii="Times New Roman" w:eastAsia="Calibri" w:hAnsi="Times New Roman" w:cs="Calibri"/>
          <w:sz w:val="24"/>
        </w:rPr>
        <w:t>Butišķu</w:t>
      </w:r>
      <w:proofErr w:type="spellEnd"/>
      <w:r w:rsidR="00F166D2" w:rsidRPr="00A07F29">
        <w:rPr>
          <w:rFonts w:ascii="Times New Roman" w:eastAsia="Calibri" w:hAnsi="Times New Roman" w:cs="Calibri"/>
          <w:sz w:val="24"/>
        </w:rPr>
        <w:t xml:space="preserve"> lokos</w:t>
      </w:r>
      <w:r w:rsidRPr="00A07F29">
        <w:rPr>
          <w:rFonts w:ascii="Times New Roman" w:eastAsia="Calibri" w:hAnsi="Times New Roman" w:cs="Calibri"/>
          <w:sz w:val="24"/>
        </w:rPr>
        <w:t>, veidojot uzkrājumus.</w:t>
      </w:r>
    </w:p>
    <w:p w14:paraId="1445674E" w14:textId="211D675B" w:rsidR="00CC70A9" w:rsidRPr="00A07F29" w:rsidRDefault="002B6E82" w:rsidP="00B729B8">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1988.</w:t>
      </w:r>
      <w:r w:rsidR="00934225" w:rsidRPr="00A07F29">
        <w:rPr>
          <w:rFonts w:ascii="Times New Roman" w:eastAsia="Calibri" w:hAnsi="Times New Roman" w:cs="Calibri"/>
          <w:sz w:val="24"/>
        </w:rPr>
        <w:t> </w:t>
      </w:r>
      <w:r w:rsidRPr="00A07F29">
        <w:rPr>
          <w:rFonts w:ascii="Times New Roman" w:eastAsia="Calibri" w:hAnsi="Times New Roman" w:cs="Calibri"/>
          <w:sz w:val="24"/>
        </w:rPr>
        <w:t>g</w:t>
      </w:r>
      <w:r w:rsidR="00CC70A9" w:rsidRPr="00A07F29">
        <w:rPr>
          <w:rFonts w:ascii="Times New Roman" w:eastAsia="Calibri" w:hAnsi="Times New Roman" w:cs="Calibri"/>
          <w:sz w:val="24"/>
        </w:rPr>
        <w:t xml:space="preserve">ada </w:t>
      </w:r>
      <w:r w:rsidRPr="00A07F29">
        <w:rPr>
          <w:rFonts w:ascii="Times New Roman" w:eastAsia="Calibri" w:hAnsi="Times New Roman" w:cs="Calibri"/>
          <w:sz w:val="24"/>
        </w:rPr>
        <w:t>27.</w:t>
      </w:r>
      <w:r w:rsidR="00934225" w:rsidRPr="00A07F29">
        <w:rPr>
          <w:rFonts w:ascii="Times New Roman" w:eastAsia="Calibri" w:hAnsi="Times New Roman" w:cs="Calibri"/>
          <w:sz w:val="24"/>
        </w:rPr>
        <w:t> </w:t>
      </w:r>
      <w:r w:rsidRPr="00A07F29">
        <w:rPr>
          <w:rFonts w:ascii="Times New Roman" w:eastAsia="Calibri" w:hAnsi="Times New Roman" w:cs="Calibri"/>
          <w:sz w:val="24"/>
        </w:rPr>
        <w:t>sept</w:t>
      </w:r>
      <w:r w:rsidR="00CC70A9" w:rsidRPr="00A07F29">
        <w:rPr>
          <w:rFonts w:ascii="Times New Roman" w:eastAsia="Calibri" w:hAnsi="Times New Roman" w:cs="Calibri"/>
          <w:sz w:val="24"/>
        </w:rPr>
        <w:t xml:space="preserve">embrī </w:t>
      </w:r>
      <w:r w:rsidRPr="00A07F29">
        <w:rPr>
          <w:rFonts w:ascii="Times New Roman" w:eastAsia="Calibri" w:hAnsi="Times New Roman" w:cs="Calibri"/>
          <w:sz w:val="24"/>
        </w:rPr>
        <w:t xml:space="preserve">Daugavpils rajona Tautas deputātu padomes sesijā </w:t>
      </w:r>
      <w:r w:rsidR="00CC70A9" w:rsidRPr="00A07F29">
        <w:rPr>
          <w:rFonts w:ascii="Times New Roman" w:eastAsia="Calibri" w:hAnsi="Times New Roman" w:cs="Calibri"/>
          <w:sz w:val="24"/>
        </w:rPr>
        <w:t xml:space="preserve">tika </w:t>
      </w:r>
      <w:r w:rsidRPr="00A07F29">
        <w:rPr>
          <w:rFonts w:ascii="Times New Roman" w:eastAsia="Calibri" w:hAnsi="Times New Roman" w:cs="Calibri"/>
          <w:sz w:val="24"/>
        </w:rPr>
        <w:t xml:space="preserve">pieņemts lēmums par divu aizsargājamo teritoriju </w:t>
      </w:r>
      <w:r w:rsidR="00CC70A9" w:rsidRPr="00A07F29">
        <w:rPr>
          <w:rFonts w:ascii="Times New Roman" w:eastAsia="Calibri" w:hAnsi="Times New Roman" w:cs="Calibri"/>
          <w:sz w:val="24"/>
        </w:rPr>
        <w:t xml:space="preserve">– </w:t>
      </w:r>
      <w:r w:rsidRPr="00A07F29">
        <w:rPr>
          <w:rFonts w:ascii="Times New Roman" w:eastAsia="Calibri" w:hAnsi="Times New Roman" w:cs="Calibri"/>
          <w:sz w:val="24"/>
        </w:rPr>
        <w:t>“</w:t>
      </w:r>
      <w:r w:rsidR="00CC70A9" w:rsidRPr="00A07F29">
        <w:rPr>
          <w:rFonts w:ascii="Times New Roman" w:eastAsia="Calibri" w:hAnsi="Times New Roman" w:cs="Calibri"/>
          <w:sz w:val="24"/>
        </w:rPr>
        <w:t>Augšdaugava” un “Daugavas loki”</w:t>
      </w:r>
      <w:r w:rsidRPr="00A07F29">
        <w:rPr>
          <w:rFonts w:ascii="Times New Roman" w:eastAsia="Calibri" w:hAnsi="Times New Roman" w:cs="Calibri"/>
          <w:sz w:val="24"/>
        </w:rPr>
        <w:t xml:space="preserve"> </w:t>
      </w:r>
      <w:r w:rsidR="00CC70A9" w:rsidRPr="00A07F29">
        <w:rPr>
          <w:rFonts w:ascii="Times New Roman" w:eastAsia="Calibri" w:hAnsi="Times New Roman" w:cs="Calibri"/>
          <w:sz w:val="24"/>
        </w:rPr>
        <w:t>izveidošanu.</w:t>
      </w:r>
    </w:p>
    <w:p w14:paraId="45430DA9" w14:textId="5EC788DD" w:rsidR="00CC70A9" w:rsidRPr="00A07F29" w:rsidRDefault="00CC70A9" w:rsidP="00CC70A9">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1987.</w:t>
      </w:r>
      <w:r w:rsidR="00934225" w:rsidRPr="00A07F29">
        <w:rPr>
          <w:rFonts w:ascii="Times New Roman" w:eastAsia="Calibri" w:hAnsi="Times New Roman" w:cs="Calibri"/>
          <w:sz w:val="24"/>
        </w:rPr>
        <w:t> – </w:t>
      </w:r>
      <w:r w:rsidRPr="00A07F29">
        <w:rPr>
          <w:rFonts w:ascii="Times New Roman" w:eastAsia="Calibri" w:hAnsi="Times New Roman" w:cs="Calibri"/>
          <w:sz w:val="24"/>
        </w:rPr>
        <w:t>1989.</w:t>
      </w:r>
      <w:r w:rsidR="00934225" w:rsidRPr="00A07F29">
        <w:rPr>
          <w:rFonts w:ascii="Times New Roman" w:eastAsia="Calibri" w:hAnsi="Times New Roman" w:cs="Calibri"/>
          <w:sz w:val="24"/>
        </w:rPr>
        <w:t> </w:t>
      </w:r>
      <w:r w:rsidRPr="00A07F29">
        <w:rPr>
          <w:rFonts w:ascii="Times New Roman" w:eastAsia="Calibri" w:hAnsi="Times New Roman" w:cs="Calibri"/>
          <w:sz w:val="24"/>
        </w:rPr>
        <w:t>gados steidzamības kārtā notika nepieciešamie izpētes darbi un tika sagatavoti nepieciešamie dokumenti (robežu apraksti, pamatojums, dažādi saskaņojumi u.c.).</w:t>
      </w:r>
    </w:p>
    <w:p w14:paraId="150133EE" w14:textId="6C49F484" w:rsidR="003E6E44" w:rsidRPr="00A07F29" w:rsidRDefault="00CC70A9" w:rsidP="00CC70A9">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1990.</w:t>
      </w:r>
      <w:r w:rsidR="008A3F42" w:rsidRPr="00A07F29">
        <w:rPr>
          <w:rFonts w:ascii="Times New Roman" w:eastAsia="Calibri" w:hAnsi="Times New Roman" w:cs="Calibri"/>
          <w:sz w:val="24"/>
        </w:rPr>
        <w:t> </w:t>
      </w:r>
      <w:r w:rsidRPr="00A07F29">
        <w:rPr>
          <w:rFonts w:ascii="Times New Roman" w:eastAsia="Calibri" w:hAnsi="Times New Roman" w:cs="Calibri"/>
          <w:sz w:val="24"/>
        </w:rPr>
        <w:t>gada 8.</w:t>
      </w:r>
      <w:r w:rsidR="008A3F42" w:rsidRPr="00A07F29">
        <w:rPr>
          <w:rFonts w:ascii="Times New Roman" w:eastAsia="Calibri" w:hAnsi="Times New Roman" w:cs="Calibri"/>
          <w:sz w:val="24"/>
        </w:rPr>
        <w:t> </w:t>
      </w:r>
      <w:r w:rsidRPr="00A07F29">
        <w:rPr>
          <w:rFonts w:ascii="Times New Roman" w:eastAsia="Calibri" w:hAnsi="Times New Roman" w:cs="Calibri"/>
          <w:sz w:val="24"/>
        </w:rPr>
        <w:t>februārī Latvijas PSR</w:t>
      </w:r>
      <w:r w:rsidR="00212B72" w:rsidRPr="00A07F29">
        <w:rPr>
          <w:rFonts w:ascii="Times New Roman" w:eastAsia="Calibri" w:hAnsi="Times New Roman" w:cs="Calibri"/>
          <w:sz w:val="24"/>
        </w:rPr>
        <w:t>S</w:t>
      </w:r>
      <w:r w:rsidRPr="00A07F29">
        <w:rPr>
          <w:rFonts w:ascii="Times New Roman" w:eastAsia="Calibri" w:hAnsi="Times New Roman" w:cs="Calibri"/>
          <w:sz w:val="24"/>
        </w:rPr>
        <w:t xml:space="preserve"> Ministru padome pieņēma lēmumu Nr.</w:t>
      </w:r>
      <w:r w:rsidR="008A3F42" w:rsidRPr="00A07F29">
        <w:rPr>
          <w:rFonts w:ascii="Times New Roman" w:eastAsia="Calibri" w:hAnsi="Times New Roman" w:cs="Calibri"/>
          <w:sz w:val="24"/>
        </w:rPr>
        <w:t> </w:t>
      </w:r>
      <w:r w:rsidRPr="00A07F29">
        <w:rPr>
          <w:rFonts w:ascii="Times New Roman" w:eastAsia="Calibri" w:hAnsi="Times New Roman" w:cs="Calibri"/>
          <w:sz w:val="24"/>
        </w:rPr>
        <w:t xml:space="preserve">25 “Par īpaši aizsargājamu dabas objektu izveidošanu Daugavpils un Krāslavas rajonā”, ar kuru nolēma izveidot Augšdaugavas aizsargājamo ainavu apgabalu un </w:t>
      </w:r>
      <w:r w:rsidR="008A3F42" w:rsidRPr="00A07F29">
        <w:rPr>
          <w:rFonts w:ascii="Times New Roman" w:eastAsia="Calibri" w:hAnsi="Times New Roman" w:cs="Calibri"/>
          <w:sz w:val="24"/>
        </w:rPr>
        <w:t>DP</w:t>
      </w:r>
      <w:r w:rsidRPr="00A07F29">
        <w:rPr>
          <w:rFonts w:ascii="Times New Roman" w:eastAsia="Calibri" w:hAnsi="Times New Roman" w:cs="Calibri"/>
          <w:sz w:val="24"/>
        </w:rPr>
        <w:t xml:space="preserve"> “Daugavas loki”</w:t>
      </w:r>
      <w:r w:rsidR="003E6E44" w:rsidRPr="00A07F29">
        <w:rPr>
          <w:rFonts w:ascii="Times New Roman" w:eastAsia="Calibri" w:hAnsi="Times New Roman" w:cs="Calibri"/>
          <w:sz w:val="24"/>
        </w:rPr>
        <w:t>, “l</w:t>
      </w:r>
      <w:r w:rsidRPr="00A07F29">
        <w:rPr>
          <w:rFonts w:ascii="Times New Roman" w:eastAsia="Calibri" w:hAnsi="Times New Roman" w:cs="Calibri"/>
          <w:sz w:val="24"/>
        </w:rPr>
        <w:t xml:space="preserve">ai saglabātu unikālu dabas teritoriju </w:t>
      </w:r>
      <w:r w:rsidR="00091304" w:rsidRPr="00A07F29">
        <w:rPr>
          <w:rFonts w:ascii="Times New Roman" w:eastAsia="Calibri" w:hAnsi="Times New Roman" w:cs="Calibri"/>
          <w:sz w:val="24"/>
        </w:rPr>
        <w:t>–</w:t>
      </w:r>
      <w:r w:rsidRPr="00A07F29">
        <w:rPr>
          <w:rFonts w:ascii="Times New Roman" w:eastAsia="Calibri" w:hAnsi="Times New Roman" w:cs="Calibri"/>
          <w:sz w:val="24"/>
        </w:rPr>
        <w:t xml:space="preserve"> Daugavas augšteces senleju ar vis</w:t>
      </w:r>
      <w:r w:rsidR="00091304" w:rsidRPr="00A07F29">
        <w:rPr>
          <w:rFonts w:ascii="Times New Roman" w:eastAsia="Calibri" w:hAnsi="Times New Roman" w:cs="Calibri"/>
          <w:sz w:val="24"/>
        </w:rPr>
        <w:t>ā</w:t>
      </w:r>
      <w:r w:rsidRPr="00A07F29">
        <w:rPr>
          <w:rFonts w:ascii="Times New Roman" w:eastAsia="Calibri" w:hAnsi="Times New Roman" w:cs="Calibri"/>
          <w:sz w:val="24"/>
        </w:rPr>
        <w:t>m ainavas īpatnībām, vērtīgiem dabas kompleksiem un kultūras un vēstures pieminekļiem, kā ar</w:t>
      </w:r>
      <w:r w:rsidR="00091304" w:rsidRPr="00A07F29">
        <w:rPr>
          <w:rFonts w:ascii="Times New Roman" w:eastAsia="Calibri" w:hAnsi="Times New Roman" w:cs="Calibri"/>
          <w:sz w:val="24"/>
        </w:rPr>
        <w:t>ī</w:t>
      </w:r>
      <w:r w:rsidRPr="00A07F29">
        <w:rPr>
          <w:rFonts w:ascii="Times New Roman" w:eastAsia="Calibri" w:hAnsi="Times New Roman" w:cs="Calibri"/>
          <w:sz w:val="24"/>
        </w:rPr>
        <w:t xml:space="preserve"> likvidētu Daugavpils HES celtniecības gaitā dabai nodarītos postījumus</w:t>
      </w:r>
      <w:r w:rsidR="003E6E44" w:rsidRPr="00A07F29">
        <w:rPr>
          <w:rFonts w:ascii="Times New Roman" w:eastAsia="Calibri" w:hAnsi="Times New Roman" w:cs="Calibri"/>
          <w:sz w:val="24"/>
        </w:rPr>
        <w:t>”.</w:t>
      </w:r>
    </w:p>
    <w:p w14:paraId="4991C406" w14:textId="0970F44F" w:rsidR="003E6E44" w:rsidRPr="00A07F29" w:rsidRDefault="003E6E44" w:rsidP="003E6E44">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Sākotnēji </w:t>
      </w:r>
      <w:r w:rsidR="002B6E82" w:rsidRPr="00A07F29">
        <w:rPr>
          <w:rFonts w:ascii="Times New Roman" w:eastAsia="Calibri" w:hAnsi="Times New Roman" w:cs="Calibri"/>
          <w:sz w:val="24"/>
        </w:rPr>
        <w:t xml:space="preserve">tika </w:t>
      </w:r>
      <w:r w:rsidR="002A7BB9" w:rsidRPr="00A07F29">
        <w:rPr>
          <w:rFonts w:ascii="Times New Roman" w:eastAsia="Calibri" w:hAnsi="Times New Roman" w:cs="Calibri"/>
          <w:sz w:val="24"/>
        </w:rPr>
        <w:t>uzsvērta</w:t>
      </w:r>
      <w:r w:rsidR="002B6E82" w:rsidRPr="00A07F29">
        <w:rPr>
          <w:rFonts w:ascii="Times New Roman" w:eastAsia="Calibri" w:hAnsi="Times New Roman" w:cs="Calibri"/>
          <w:sz w:val="24"/>
        </w:rPr>
        <w:t xml:space="preserve"> </w:t>
      </w:r>
      <w:r w:rsidRPr="00A07F29">
        <w:rPr>
          <w:rFonts w:ascii="Times New Roman" w:eastAsia="Calibri" w:hAnsi="Times New Roman" w:cs="Calibri"/>
          <w:sz w:val="24"/>
        </w:rPr>
        <w:t>teritor</w:t>
      </w:r>
      <w:r w:rsidR="002A7BB9" w:rsidRPr="00A07F29">
        <w:rPr>
          <w:rFonts w:ascii="Times New Roman" w:eastAsia="Calibri" w:hAnsi="Times New Roman" w:cs="Calibri"/>
          <w:sz w:val="24"/>
        </w:rPr>
        <w:t>i</w:t>
      </w:r>
      <w:r w:rsidRPr="00A07F29">
        <w:rPr>
          <w:rFonts w:ascii="Times New Roman" w:eastAsia="Calibri" w:hAnsi="Times New Roman" w:cs="Calibri"/>
          <w:sz w:val="24"/>
        </w:rPr>
        <w:t xml:space="preserve">jas </w:t>
      </w:r>
      <w:r w:rsidR="002B6E82" w:rsidRPr="00A07F29">
        <w:rPr>
          <w:rFonts w:ascii="Times New Roman" w:eastAsia="Calibri" w:hAnsi="Times New Roman" w:cs="Calibri"/>
          <w:sz w:val="24"/>
        </w:rPr>
        <w:t>atveseļošan</w:t>
      </w:r>
      <w:r w:rsidR="002A7BB9" w:rsidRPr="00A07F29">
        <w:rPr>
          <w:rFonts w:ascii="Times New Roman" w:eastAsia="Calibri" w:hAnsi="Times New Roman" w:cs="Calibri"/>
          <w:sz w:val="24"/>
        </w:rPr>
        <w:t>a</w:t>
      </w:r>
      <w:r w:rsidRPr="00A07F29">
        <w:rPr>
          <w:rFonts w:ascii="Times New Roman" w:eastAsia="Calibri" w:hAnsi="Times New Roman" w:cs="Calibri"/>
          <w:sz w:val="24"/>
        </w:rPr>
        <w:t xml:space="preserve"> un </w:t>
      </w:r>
      <w:r w:rsidR="002B6E82" w:rsidRPr="00A07F29">
        <w:rPr>
          <w:rFonts w:ascii="Times New Roman" w:eastAsia="Calibri" w:hAnsi="Times New Roman" w:cs="Calibri"/>
          <w:sz w:val="24"/>
        </w:rPr>
        <w:t>rekultivācij</w:t>
      </w:r>
      <w:r w:rsidR="002A7BB9" w:rsidRPr="00A07F29">
        <w:rPr>
          <w:rFonts w:ascii="Times New Roman" w:eastAsia="Calibri" w:hAnsi="Times New Roman" w:cs="Calibri"/>
          <w:sz w:val="24"/>
        </w:rPr>
        <w:t>a</w:t>
      </w:r>
      <w:r w:rsidRPr="00A07F29">
        <w:rPr>
          <w:rFonts w:ascii="Times New Roman" w:eastAsia="Calibri" w:hAnsi="Times New Roman" w:cs="Calibri"/>
          <w:sz w:val="24"/>
        </w:rPr>
        <w:t xml:space="preserve">. Tostarp </w:t>
      </w:r>
      <w:r w:rsidR="002A7BB9" w:rsidRPr="00A07F29">
        <w:rPr>
          <w:rFonts w:ascii="Times New Roman" w:eastAsia="Calibri" w:hAnsi="Times New Roman" w:cs="Calibri"/>
          <w:sz w:val="24"/>
        </w:rPr>
        <w:t>1988.</w:t>
      </w:r>
      <w:r w:rsidR="00B77332" w:rsidRPr="00A07F29">
        <w:rPr>
          <w:rFonts w:ascii="Times New Roman" w:eastAsia="Calibri" w:hAnsi="Times New Roman" w:cs="Calibri"/>
          <w:sz w:val="24"/>
        </w:rPr>
        <w:t> gada 12. aprīlī</w:t>
      </w:r>
      <w:r w:rsidR="002A7BB9" w:rsidRPr="00A07F29">
        <w:rPr>
          <w:rFonts w:ascii="Times New Roman" w:eastAsia="Calibri" w:hAnsi="Times New Roman" w:cs="Calibri"/>
          <w:sz w:val="24"/>
        </w:rPr>
        <w:t xml:space="preserve"> </w:t>
      </w:r>
      <w:r w:rsidRPr="00A07F29">
        <w:rPr>
          <w:rFonts w:ascii="Times New Roman" w:eastAsia="Calibri" w:hAnsi="Times New Roman" w:cs="Calibri"/>
          <w:sz w:val="24"/>
        </w:rPr>
        <w:t xml:space="preserve">notika Daugavpils rajona izpildkomitejas rīkotā sanāksme par karjeru rekultivāciju, kurā piedalījās gan vadības pārstāvji, gan ģeologi, gan karjeru </w:t>
      </w:r>
      <w:proofErr w:type="spellStart"/>
      <w:r w:rsidRPr="00A07F29">
        <w:rPr>
          <w:rFonts w:ascii="Times New Roman" w:eastAsia="Calibri" w:hAnsi="Times New Roman" w:cs="Calibri"/>
          <w:sz w:val="24"/>
        </w:rPr>
        <w:t>apsaimniekotāji</w:t>
      </w:r>
      <w:proofErr w:type="spellEnd"/>
      <w:r w:rsidRPr="00A07F29">
        <w:rPr>
          <w:rFonts w:ascii="Times New Roman" w:eastAsia="Calibri" w:hAnsi="Times New Roman" w:cs="Calibri"/>
          <w:sz w:val="24"/>
        </w:rPr>
        <w:t>. Atzīmējams sanāksmes lemjošās daļas 1.</w:t>
      </w:r>
      <w:r w:rsidR="00B77332" w:rsidRPr="00A07F29">
        <w:rPr>
          <w:rFonts w:ascii="Times New Roman" w:eastAsia="Calibri" w:hAnsi="Times New Roman" w:cs="Calibri"/>
          <w:sz w:val="24"/>
        </w:rPr>
        <w:t> </w:t>
      </w:r>
      <w:r w:rsidRPr="00A07F29">
        <w:rPr>
          <w:rFonts w:ascii="Times New Roman" w:eastAsia="Calibri" w:hAnsi="Times New Roman" w:cs="Calibri"/>
          <w:sz w:val="24"/>
        </w:rPr>
        <w:t>punkts: “Uzskatīt, ka smilts un grants karjeru izstrādes laikā sabojāto zemju rekultivācija ir svarīgākais uzdevums, lai normalizētu ekoloģisko situāciju Daugavpils rajonā”. T</w:t>
      </w:r>
      <w:r w:rsidR="002B6E82" w:rsidRPr="00A07F29">
        <w:rPr>
          <w:rFonts w:ascii="Times New Roman" w:eastAsia="Calibri" w:hAnsi="Times New Roman" w:cs="Calibri"/>
          <w:sz w:val="24"/>
        </w:rPr>
        <w:t>ika plānot</w:t>
      </w:r>
      <w:r w:rsidRPr="00A07F29">
        <w:rPr>
          <w:rFonts w:ascii="Times New Roman" w:eastAsia="Calibri" w:hAnsi="Times New Roman" w:cs="Calibri"/>
          <w:sz w:val="24"/>
        </w:rPr>
        <w:t>s veikt palikušo krājumu revīziju un</w:t>
      </w:r>
      <w:r w:rsidR="002B6E82" w:rsidRPr="00A07F29">
        <w:rPr>
          <w:rFonts w:ascii="Times New Roman" w:eastAsia="Calibri" w:hAnsi="Times New Roman" w:cs="Calibri"/>
          <w:sz w:val="24"/>
        </w:rPr>
        <w:t xml:space="preserve"> </w:t>
      </w:r>
      <w:r w:rsidRPr="00A07F29">
        <w:rPr>
          <w:rFonts w:ascii="Times New Roman" w:eastAsia="Calibri" w:hAnsi="Times New Roman" w:cs="Calibri"/>
          <w:sz w:val="24"/>
        </w:rPr>
        <w:t>līdz 1990.</w:t>
      </w:r>
      <w:r w:rsidR="00145004" w:rsidRPr="00A07F29">
        <w:rPr>
          <w:rFonts w:ascii="Times New Roman" w:eastAsia="Calibri" w:hAnsi="Times New Roman" w:cs="Calibri"/>
          <w:sz w:val="24"/>
        </w:rPr>
        <w:t> gadam</w:t>
      </w:r>
      <w:r w:rsidRPr="00A07F29">
        <w:rPr>
          <w:rFonts w:ascii="Times New Roman" w:eastAsia="Calibri" w:hAnsi="Times New Roman" w:cs="Calibri"/>
          <w:sz w:val="24"/>
        </w:rPr>
        <w:t xml:space="preserve"> izstrādāt </w:t>
      </w:r>
      <w:proofErr w:type="spellStart"/>
      <w:r w:rsidR="002B6E82" w:rsidRPr="00A07F29">
        <w:rPr>
          <w:rFonts w:ascii="Times New Roman" w:eastAsia="Calibri" w:hAnsi="Times New Roman" w:cs="Calibri"/>
          <w:sz w:val="24"/>
        </w:rPr>
        <w:t>Elernes</w:t>
      </w:r>
      <w:proofErr w:type="spellEnd"/>
      <w:r w:rsidR="002B6E82" w:rsidRPr="00A07F29">
        <w:rPr>
          <w:rFonts w:ascii="Times New Roman" w:eastAsia="Calibri" w:hAnsi="Times New Roman" w:cs="Calibri"/>
          <w:sz w:val="24"/>
        </w:rPr>
        <w:t xml:space="preserve"> karjera pakāpeniskas izstrādes un rekultiv</w:t>
      </w:r>
      <w:r w:rsidRPr="00A07F29">
        <w:rPr>
          <w:rFonts w:ascii="Times New Roman" w:eastAsia="Calibri" w:hAnsi="Times New Roman" w:cs="Calibri"/>
          <w:sz w:val="24"/>
        </w:rPr>
        <w:t>ācijas projektu</w:t>
      </w:r>
      <w:r w:rsidR="002A7BB9" w:rsidRPr="00A07F29">
        <w:rPr>
          <w:rFonts w:ascii="Times New Roman" w:eastAsia="Calibri" w:hAnsi="Times New Roman" w:cs="Calibri"/>
          <w:sz w:val="24"/>
        </w:rPr>
        <w:t>.</w:t>
      </w:r>
    </w:p>
    <w:p w14:paraId="5C786C94" w14:textId="39EC59CA" w:rsidR="002A7BB9" w:rsidRPr="00A07F29" w:rsidRDefault="00B729B8" w:rsidP="002A7BB9">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1999.</w:t>
      </w:r>
      <w:r w:rsidR="00145004" w:rsidRPr="00A07F29">
        <w:rPr>
          <w:rFonts w:ascii="Times New Roman" w:eastAsia="Calibri" w:hAnsi="Times New Roman" w:cs="Calibri"/>
          <w:sz w:val="24"/>
        </w:rPr>
        <w:t> </w:t>
      </w:r>
      <w:r w:rsidRPr="00A07F29">
        <w:rPr>
          <w:rFonts w:ascii="Times New Roman" w:eastAsia="Calibri" w:hAnsi="Times New Roman" w:cs="Calibri"/>
          <w:sz w:val="24"/>
        </w:rPr>
        <w:t xml:space="preserve">gadā </w:t>
      </w:r>
      <w:r w:rsidR="002A7BB9" w:rsidRPr="00A07F29">
        <w:rPr>
          <w:rFonts w:ascii="Times New Roman" w:eastAsia="Calibri" w:hAnsi="Times New Roman" w:cs="Calibri"/>
          <w:sz w:val="24"/>
        </w:rPr>
        <w:t>DP</w:t>
      </w:r>
      <w:r w:rsidR="003E6E44" w:rsidRPr="00A07F29">
        <w:rPr>
          <w:rFonts w:ascii="Times New Roman" w:eastAsia="Calibri" w:hAnsi="Times New Roman" w:cs="Calibri"/>
          <w:sz w:val="24"/>
        </w:rPr>
        <w:t xml:space="preserve"> “Daugavas loki” statuss tika nostiprināts </w:t>
      </w:r>
      <w:r w:rsidR="002A7BB9" w:rsidRPr="00A07F29">
        <w:rPr>
          <w:rFonts w:ascii="Times New Roman" w:eastAsia="Calibri" w:hAnsi="Times New Roman" w:cs="Calibri"/>
          <w:sz w:val="24"/>
        </w:rPr>
        <w:t xml:space="preserve">ar MK </w:t>
      </w:r>
      <w:r w:rsidR="00971C0C" w:rsidRPr="00A07F29">
        <w:rPr>
          <w:rFonts w:ascii="Times New Roman" w:eastAsia="Calibri" w:hAnsi="Times New Roman" w:cs="Calibri"/>
          <w:sz w:val="24"/>
        </w:rPr>
        <w:t xml:space="preserve">1999. gada </w:t>
      </w:r>
      <w:r w:rsidR="00540E73" w:rsidRPr="00A07F29">
        <w:rPr>
          <w:rFonts w:ascii="Times New Roman" w:eastAsia="Calibri" w:hAnsi="Times New Roman" w:cs="Calibri"/>
          <w:sz w:val="24"/>
        </w:rPr>
        <w:t xml:space="preserve">9. marta noteikumiem Nr. 83 </w:t>
      </w:r>
      <w:r w:rsidR="002A7BB9" w:rsidRPr="00A07F29">
        <w:rPr>
          <w:rFonts w:ascii="Times New Roman" w:eastAsia="Calibri" w:hAnsi="Times New Roman" w:cs="Calibri"/>
          <w:sz w:val="24"/>
        </w:rPr>
        <w:t xml:space="preserve">“Noteikumiem par dabas parkiem”, savukārt AAA </w:t>
      </w:r>
      <w:r w:rsidR="00540E73" w:rsidRPr="00A07F29">
        <w:rPr>
          <w:rFonts w:ascii="Times New Roman" w:eastAsia="Calibri" w:hAnsi="Times New Roman" w:cs="Calibri"/>
          <w:sz w:val="24"/>
        </w:rPr>
        <w:t>“</w:t>
      </w:r>
      <w:r w:rsidR="002A7BB9" w:rsidRPr="00A07F29">
        <w:rPr>
          <w:rFonts w:ascii="Times New Roman" w:eastAsia="Calibri" w:hAnsi="Times New Roman" w:cs="Calibri"/>
          <w:sz w:val="24"/>
        </w:rPr>
        <w:t>Augšdaugava” – ar MK</w:t>
      </w:r>
      <w:r w:rsidR="00747D7E" w:rsidRPr="00A07F29">
        <w:rPr>
          <w:rFonts w:ascii="Times New Roman" w:eastAsia="Calibri" w:hAnsi="Times New Roman" w:cs="Calibri"/>
          <w:sz w:val="24"/>
        </w:rPr>
        <w:t xml:space="preserve"> 1999. gada </w:t>
      </w:r>
      <w:r w:rsidR="00201B2E" w:rsidRPr="00A07F29">
        <w:rPr>
          <w:rFonts w:ascii="Times New Roman" w:eastAsia="Calibri" w:hAnsi="Times New Roman" w:cs="Calibri"/>
          <w:sz w:val="24"/>
        </w:rPr>
        <w:t>23. februāra noteikum</w:t>
      </w:r>
      <w:r w:rsidR="00987D0D" w:rsidRPr="00A07F29">
        <w:rPr>
          <w:rFonts w:ascii="Times New Roman" w:eastAsia="Calibri" w:hAnsi="Times New Roman" w:cs="Calibri"/>
          <w:sz w:val="24"/>
        </w:rPr>
        <w:t>iem</w:t>
      </w:r>
      <w:r w:rsidR="00201B2E" w:rsidRPr="00A07F29">
        <w:rPr>
          <w:rFonts w:ascii="Times New Roman" w:eastAsia="Calibri" w:hAnsi="Times New Roman" w:cs="Calibri"/>
          <w:sz w:val="24"/>
        </w:rPr>
        <w:t xml:space="preserve"> Nr. 69</w:t>
      </w:r>
      <w:r w:rsidR="002A7BB9" w:rsidRPr="00A07F29">
        <w:rPr>
          <w:rFonts w:ascii="Times New Roman" w:eastAsia="Calibri" w:hAnsi="Times New Roman" w:cs="Calibri"/>
          <w:sz w:val="24"/>
        </w:rPr>
        <w:t xml:space="preserve"> </w:t>
      </w:r>
      <w:r w:rsidR="00201B2E" w:rsidRPr="00A07F29">
        <w:rPr>
          <w:rFonts w:ascii="Times New Roman" w:eastAsia="Calibri" w:hAnsi="Times New Roman" w:cs="Calibri"/>
          <w:sz w:val="24"/>
        </w:rPr>
        <w:t>“</w:t>
      </w:r>
      <w:r w:rsidR="002A7BB9" w:rsidRPr="00A07F29">
        <w:rPr>
          <w:rFonts w:ascii="Times New Roman" w:eastAsia="Calibri" w:hAnsi="Times New Roman" w:cs="Calibri"/>
          <w:sz w:val="24"/>
        </w:rPr>
        <w:t>Noteikumiem par aizsargājamo ainavu apvidiem”.</w:t>
      </w:r>
    </w:p>
    <w:p w14:paraId="0C8E6FC1" w14:textId="53CC8820" w:rsidR="002A7BB9" w:rsidRPr="00A07F29" w:rsidRDefault="002A7BB9" w:rsidP="002A7BB9">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2004.</w:t>
      </w:r>
      <w:r w:rsidR="00201B2E" w:rsidRPr="00A07F29">
        <w:rPr>
          <w:rFonts w:ascii="Times New Roman" w:eastAsia="Calibri" w:hAnsi="Times New Roman" w:cs="Calibri"/>
          <w:sz w:val="24"/>
        </w:rPr>
        <w:t> </w:t>
      </w:r>
      <w:r w:rsidRPr="00A07F29">
        <w:rPr>
          <w:rFonts w:ascii="Times New Roman" w:eastAsia="Calibri" w:hAnsi="Times New Roman" w:cs="Calibri"/>
          <w:sz w:val="24"/>
        </w:rPr>
        <w:t xml:space="preserve">gadā AAA “Augšdaugava” tika iekļauts </w:t>
      </w:r>
      <w:proofErr w:type="spellStart"/>
      <w:r w:rsidRPr="00A07F29">
        <w:rPr>
          <w:rFonts w:ascii="Times New Roman" w:eastAsia="Calibri" w:hAnsi="Times New Roman" w:cs="Calibri"/>
          <w:i/>
          <w:sz w:val="24"/>
        </w:rPr>
        <w:t>Natura</w:t>
      </w:r>
      <w:proofErr w:type="spellEnd"/>
      <w:r w:rsidRPr="00A07F29">
        <w:rPr>
          <w:rFonts w:ascii="Times New Roman" w:eastAsia="Calibri" w:hAnsi="Times New Roman" w:cs="Calibri"/>
          <w:i/>
          <w:sz w:val="24"/>
        </w:rPr>
        <w:t xml:space="preserve"> 2000</w:t>
      </w:r>
      <w:r w:rsidRPr="00A07F29">
        <w:rPr>
          <w:rFonts w:ascii="Times New Roman" w:eastAsia="Calibri" w:hAnsi="Times New Roman" w:cs="Calibri"/>
          <w:sz w:val="24"/>
        </w:rPr>
        <w:t xml:space="preserve"> teritoriju sarakstā kā C tipa teritorija (teritorija, kas noteikta </w:t>
      </w:r>
      <w:r w:rsidRPr="00282F56">
        <w:rPr>
          <w:rFonts w:ascii="Times New Roman" w:eastAsia="Calibri" w:hAnsi="Times New Roman" w:cs="Calibri"/>
          <w:sz w:val="24"/>
        </w:rPr>
        <w:t>īpaši aizsargājamo sugu un īpaši aizsargājamo</w:t>
      </w:r>
      <w:r w:rsidRPr="00A07F29">
        <w:rPr>
          <w:rFonts w:ascii="Times New Roman" w:eastAsia="Calibri" w:hAnsi="Times New Roman" w:cs="Calibri"/>
          <w:sz w:val="24"/>
        </w:rPr>
        <w:t xml:space="preserve"> biotopu aizsardzībai).</w:t>
      </w:r>
    </w:p>
    <w:p w14:paraId="56E182DC" w14:textId="678E2613" w:rsidR="000B764E" w:rsidRPr="00A07F29" w:rsidRDefault="000B764E" w:rsidP="000B764E">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2010.</w:t>
      </w:r>
      <w:r w:rsidR="00F95FB2" w:rsidRPr="00A07F29">
        <w:rPr>
          <w:rFonts w:ascii="Times New Roman" w:eastAsia="Calibri" w:hAnsi="Times New Roman" w:cs="Calibri"/>
          <w:sz w:val="24"/>
        </w:rPr>
        <w:t> </w:t>
      </w:r>
      <w:r w:rsidRPr="00A07F29">
        <w:rPr>
          <w:rFonts w:ascii="Times New Roman" w:eastAsia="Calibri" w:hAnsi="Times New Roman" w:cs="Calibri"/>
          <w:sz w:val="24"/>
        </w:rPr>
        <w:t xml:space="preserve">gadā tika apstiprināts DP “Daugavas loki” dabas aizsardzības plāns. Tajā paredzēto pasākumu īstenošanas </w:t>
      </w:r>
      <w:proofErr w:type="spellStart"/>
      <w:r w:rsidRPr="00A07F29">
        <w:rPr>
          <w:rFonts w:ascii="Times New Roman" w:eastAsia="Calibri" w:hAnsi="Times New Roman" w:cs="Calibri"/>
          <w:sz w:val="24"/>
        </w:rPr>
        <w:t>izvērtējumu</w:t>
      </w:r>
      <w:proofErr w:type="spellEnd"/>
      <w:r w:rsidRPr="00A07F29">
        <w:rPr>
          <w:rFonts w:ascii="Times New Roman" w:eastAsia="Calibri" w:hAnsi="Times New Roman" w:cs="Calibri"/>
          <w:sz w:val="24"/>
        </w:rPr>
        <w:t xml:space="preserve"> skat. 5.1.</w:t>
      </w:r>
      <w:r w:rsidR="00F50492" w:rsidRPr="00A07F29">
        <w:rPr>
          <w:rFonts w:ascii="Times New Roman" w:eastAsia="Calibri" w:hAnsi="Times New Roman" w:cs="Calibri"/>
          <w:sz w:val="24"/>
        </w:rPr>
        <w:t> </w:t>
      </w:r>
      <w:r w:rsidRPr="00A07F29">
        <w:rPr>
          <w:rFonts w:ascii="Times New Roman" w:eastAsia="Calibri" w:hAnsi="Times New Roman" w:cs="Calibri"/>
          <w:sz w:val="24"/>
        </w:rPr>
        <w:t xml:space="preserve">nodaļā. AAA “Augšdaugava” teritorija tiek apsaimniekota, ievērojot MK </w:t>
      </w:r>
      <w:r w:rsidR="00BC1FC1" w:rsidRPr="00A07F29">
        <w:rPr>
          <w:rFonts w:ascii="Times New Roman" w:eastAsia="Calibri" w:hAnsi="Times New Roman" w:cs="Calibri"/>
          <w:sz w:val="24"/>
        </w:rPr>
        <w:t xml:space="preserve">2010. gada 16. marta </w:t>
      </w:r>
      <w:r w:rsidRPr="00A07F29">
        <w:rPr>
          <w:rFonts w:ascii="Times New Roman" w:eastAsia="Calibri" w:hAnsi="Times New Roman" w:cs="Calibri"/>
          <w:sz w:val="24"/>
        </w:rPr>
        <w:t xml:space="preserve">noteikumu </w:t>
      </w:r>
      <w:r w:rsidR="00BC1FC1" w:rsidRPr="00A07F29">
        <w:rPr>
          <w:rFonts w:ascii="Times New Roman" w:eastAsia="Calibri" w:hAnsi="Times New Roman" w:cs="Calibri"/>
          <w:sz w:val="24"/>
        </w:rPr>
        <w:t>Nr. </w:t>
      </w:r>
      <w:r w:rsidR="00287D99" w:rsidRPr="00A07F29">
        <w:rPr>
          <w:rFonts w:ascii="Times New Roman" w:eastAsia="Calibri" w:hAnsi="Times New Roman" w:cs="Calibri"/>
          <w:sz w:val="24"/>
        </w:rPr>
        <w:t xml:space="preserve">264 </w:t>
      </w:r>
      <w:r w:rsidRPr="00A07F29">
        <w:rPr>
          <w:rFonts w:ascii="Times New Roman" w:eastAsia="Calibri" w:hAnsi="Times New Roman" w:cs="Calibri"/>
          <w:sz w:val="24"/>
        </w:rPr>
        <w:t xml:space="preserve">“Īpaši aizsargājamo </w:t>
      </w:r>
      <w:r w:rsidRPr="00A07F29">
        <w:rPr>
          <w:rFonts w:ascii="Times New Roman" w:eastAsia="Calibri" w:hAnsi="Times New Roman" w:cs="Calibri"/>
          <w:sz w:val="24"/>
        </w:rPr>
        <w:lastRenderedPageBreak/>
        <w:t xml:space="preserve">dabas teritoriju vispārējie aizsardzības un izmantošanas noteikumi” prasības un saskaņā ar Daugavpils </w:t>
      </w:r>
      <w:r w:rsidR="00287D99" w:rsidRPr="00A07F29">
        <w:rPr>
          <w:rFonts w:ascii="Times New Roman" w:eastAsia="Calibri" w:hAnsi="Times New Roman" w:cs="Calibri"/>
          <w:sz w:val="24"/>
        </w:rPr>
        <w:t>un</w:t>
      </w:r>
      <w:r w:rsidRPr="00A07F29">
        <w:rPr>
          <w:rFonts w:ascii="Times New Roman" w:eastAsia="Calibri" w:hAnsi="Times New Roman" w:cs="Calibri"/>
          <w:sz w:val="24"/>
        </w:rPr>
        <w:t xml:space="preserve"> Krāslavas novadu teritorijas plānojumiem.</w:t>
      </w:r>
    </w:p>
    <w:p w14:paraId="675AB907" w14:textId="4514CF11" w:rsidR="00AF4C40" w:rsidRPr="00A07F29" w:rsidRDefault="00AF4C40" w:rsidP="00296EC1">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2011.</w:t>
      </w:r>
      <w:r w:rsidR="00287D99" w:rsidRPr="00A07F29">
        <w:rPr>
          <w:rFonts w:ascii="Times New Roman" w:eastAsia="Calibri" w:hAnsi="Times New Roman" w:cs="Calibri"/>
          <w:sz w:val="24"/>
        </w:rPr>
        <w:t> </w:t>
      </w:r>
      <w:r w:rsidRPr="00A07F29">
        <w:rPr>
          <w:rFonts w:ascii="Times New Roman" w:eastAsia="Calibri" w:hAnsi="Times New Roman" w:cs="Calibri"/>
          <w:sz w:val="24"/>
        </w:rPr>
        <w:t xml:space="preserve">gadā Krāslavas novada dome un Daugavpils novada dome īstenoja EEZ finanšu instrumenta un Norvēģijas valdības divpusējā finanšu instrumenta līdzfinansētu projektā “Ilgtspējīgas attīstības veicināšana, uzlabojot </w:t>
      </w:r>
      <w:r w:rsidR="00BF0E06" w:rsidRPr="00A07F29">
        <w:rPr>
          <w:rFonts w:ascii="Times New Roman" w:eastAsia="Calibri" w:hAnsi="Times New Roman" w:cs="Calibri"/>
          <w:sz w:val="24"/>
        </w:rPr>
        <w:t>DP</w:t>
      </w:r>
      <w:r w:rsidRPr="00A07F29">
        <w:rPr>
          <w:rFonts w:ascii="Times New Roman" w:eastAsia="Calibri" w:hAnsi="Times New Roman" w:cs="Calibri"/>
          <w:sz w:val="24"/>
        </w:rPr>
        <w:t xml:space="preserve"> “Daugavas loki” resursu izmantošanu un apsaimniekošanu”, kura rezultātā ir sagatavots tūrisma plāns, organizēti vairāki semināri par ilgtspējīgu saimniekošanu dabas teritorijās, uzstādīti info</w:t>
      </w:r>
      <w:r w:rsidR="00F46C07" w:rsidRPr="00A07F29">
        <w:rPr>
          <w:rFonts w:ascii="Times New Roman" w:eastAsia="Calibri" w:hAnsi="Times New Roman" w:cs="Calibri"/>
          <w:sz w:val="24"/>
        </w:rPr>
        <w:t>rmatīvie</w:t>
      </w:r>
      <w:r w:rsidRPr="00A07F29">
        <w:rPr>
          <w:rFonts w:ascii="Times New Roman" w:eastAsia="Calibri" w:hAnsi="Times New Roman" w:cs="Calibri"/>
          <w:sz w:val="24"/>
        </w:rPr>
        <w:t xml:space="preserve"> stendi, uzlabota tūrisma infrastruktūra. Projekta laikā tika izvirzīta ideja par nacionālā parka statusa piešķiršanu DP “Daugavas loki” vai AAA “Augšdaugava”. Veiktajā anketēšanā (1099 respondenti) Krāslavas un Daugavpils novados uz jautājumu “Vai piekrītat jauna nacionālā parka dibināšanai?” 51</w:t>
      </w:r>
      <w:r w:rsidR="00AF7F9E" w:rsidRPr="00A07F29">
        <w:rPr>
          <w:rFonts w:ascii="Times New Roman" w:eastAsia="Calibri" w:hAnsi="Times New Roman" w:cs="Calibri"/>
          <w:sz w:val="24"/>
        </w:rPr>
        <w:t> </w:t>
      </w:r>
      <w:r w:rsidRPr="00A07F29">
        <w:rPr>
          <w:rFonts w:ascii="Times New Roman" w:eastAsia="Calibri" w:hAnsi="Times New Roman" w:cs="Calibri"/>
          <w:sz w:val="24"/>
        </w:rPr>
        <w:t>% atbildēja ar “jā”, bet 49</w:t>
      </w:r>
      <w:r w:rsidR="00AF7F9E" w:rsidRPr="00A07F29">
        <w:rPr>
          <w:rFonts w:ascii="Times New Roman" w:eastAsia="Calibri" w:hAnsi="Times New Roman" w:cs="Calibri"/>
          <w:sz w:val="24"/>
        </w:rPr>
        <w:t> </w:t>
      </w:r>
      <w:r w:rsidRPr="00A07F29">
        <w:rPr>
          <w:rFonts w:ascii="Times New Roman" w:eastAsia="Calibri" w:hAnsi="Times New Roman" w:cs="Calibri"/>
          <w:sz w:val="24"/>
        </w:rPr>
        <w:t>% “nē”. Viedoklis radikāli atšķiras abos novados – Daugavpils novadā vidēji tikai 10</w:t>
      </w:r>
      <w:r w:rsidR="00AF7F9E" w:rsidRPr="00A07F29">
        <w:rPr>
          <w:rFonts w:ascii="Times New Roman" w:eastAsia="Calibri" w:hAnsi="Times New Roman" w:cs="Calibri"/>
          <w:sz w:val="24"/>
        </w:rPr>
        <w:t> </w:t>
      </w:r>
      <w:r w:rsidRPr="00A07F29">
        <w:rPr>
          <w:rFonts w:ascii="Times New Roman" w:eastAsia="Calibri" w:hAnsi="Times New Roman" w:cs="Calibri"/>
          <w:sz w:val="24"/>
        </w:rPr>
        <w:t>% bija pret nacionālā parka izveidi, savukārt Krāslavas novadā – tikai 10</w:t>
      </w:r>
      <w:r w:rsidR="004D3488" w:rsidRPr="00A07F29">
        <w:rPr>
          <w:rFonts w:ascii="Times New Roman" w:eastAsia="Calibri" w:hAnsi="Times New Roman" w:cs="Calibri"/>
          <w:sz w:val="24"/>
        </w:rPr>
        <w:t> </w:t>
      </w:r>
      <w:r w:rsidRPr="00A07F29">
        <w:rPr>
          <w:rFonts w:ascii="Times New Roman" w:eastAsia="Calibri" w:hAnsi="Times New Roman" w:cs="Calibri"/>
          <w:sz w:val="24"/>
        </w:rPr>
        <w:t xml:space="preserve">% bija par. Tie respondenti, kam ir dzīves vieta vai īpašumi </w:t>
      </w:r>
      <w:r w:rsidR="00944DAC" w:rsidRPr="00A07F29">
        <w:rPr>
          <w:rFonts w:ascii="Times New Roman" w:eastAsia="Calibri" w:hAnsi="Times New Roman" w:cs="Calibri"/>
          <w:sz w:val="24"/>
        </w:rPr>
        <w:t>ĪADT</w:t>
      </w:r>
      <w:r w:rsidRPr="00A07F29">
        <w:rPr>
          <w:rFonts w:ascii="Times New Roman" w:eastAsia="Calibri" w:hAnsi="Times New Roman" w:cs="Calibri"/>
          <w:sz w:val="24"/>
        </w:rPr>
        <w:t xml:space="preserve"> vairāk ir bijuši pret, savukārt atbalstu nacionālā parka izveidei vairāk ir izteikuši tie, kam rūp dabas aizsardzība un dabas teritoriju apceļošana, kā arī iedzīvotāji, kas dzīvo Daugavpils pilsētā un citur Daugavpils novadā (ārpus AAA “Augšdaugava” teritorijas). </w:t>
      </w:r>
    </w:p>
    <w:p w14:paraId="1E791EAE" w14:textId="323D3655" w:rsidR="00AF4C40" w:rsidRPr="00A07F29" w:rsidRDefault="26F09819" w:rsidP="26F09819">
      <w:pPr>
        <w:spacing w:after="120" w:line="240" w:lineRule="auto"/>
        <w:ind w:firstLine="851"/>
        <w:jc w:val="both"/>
        <w:rPr>
          <w:rFonts w:ascii="Times New Roman" w:eastAsia="Calibri" w:hAnsi="Times New Roman" w:cs="Calibri"/>
          <w:sz w:val="24"/>
          <w:szCs w:val="24"/>
        </w:rPr>
      </w:pPr>
      <w:r w:rsidRPr="00A07F29">
        <w:rPr>
          <w:rFonts w:ascii="Times New Roman" w:eastAsia="Calibri" w:hAnsi="Times New Roman" w:cs="Calibri"/>
          <w:sz w:val="24"/>
          <w:szCs w:val="24"/>
        </w:rPr>
        <w:t>2011.</w:t>
      </w:r>
      <w:r w:rsidR="008D34D4" w:rsidRPr="00A07F29">
        <w:rPr>
          <w:rFonts w:ascii="Times New Roman" w:eastAsia="Calibri" w:hAnsi="Times New Roman" w:cs="Calibri"/>
          <w:sz w:val="24"/>
          <w:szCs w:val="24"/>
        </w:rPr>
        <w:t> </w:t>
      </w:r>
      <w:r w:rsidRPr="00A07F29">
        <w:rPr>
          <w:rFonts w:ascii="Times New Roman" w:eastAsia="Calibri" w:hAnsi="Times New Roman" w:cs="Calibri"/>
          <w:sz w:val="24"/>
          <w:szCs w:val="24"/>
        </w:rPr>
        <w:t xml:space="preserve">gadā AAA “Augšdaugava” un DP “Daugavas loki”, pateicoties </w:t>
      </w:r>
      <w:r w:rsidRPr="00282F56">
        <w:rPr>
          <w:rFonts w:ascii="Times New Roman" w:eastAsia="Calibri" w:hAnsi="Times New Roman" w:cs="Calibri"/>
          <w:sz w:val="24"/>
          <w:szCs w:val="24"/>
        </w:rPr>
        <w:t>L</w:t>
      </w:r>
      <w:r w:rsidR="00282F56" w:rsidRPr="00282F56">
        <w:rPr>
          <w:rFonts w:ascii="Times New Roman" w:eastAsia="Calibri" w:hAnsi="Times New Roman" w:cs="Calibri"/>
          <w:sz w:val="24"/>
          <w:szCs w:val="24"/>
        </w:rPr>
        <w:t>U</w:t>
      </w:r>
      <w:r w:rsidR="00D661A8" w:rsidRPr="00A07F29">
        <w:rPr>
          <w:rFonts w:ascii="Times New Roman" w:eastAsia="Calibri" w:hAnsi="Times New Roman" w:cs="Calibri"/>
          <w:sz w:val="24"/>
          <w:szCs w:val="24"/>
        </w:rPr>
        <w:t xml:space="preserve"> Bioloģijas Institūta hidrobioloģe</w:t>
      </w:r>
      <w:r w:rsidR="00662555" w:rsidRPr="00A07F29">
        <w:rPr>
          <w:rFonts w:ascii="Times New Roman" w:eastAsia="Calibri" w:hAnsi="Times New Roman" w:cs="Calibri"/>
          <w:sz w:val="24"/>
          <w:szCs w:val="24"/>
        </w:rPr>
        <w:t>s</w:t>
      </w:r>
      <w:r w:rsidR="00D661A8" w:rsidRPr="00A07F29">
        <w:rPr>
          <w:rFonts w:ascii="Times New Roman" w:eastAsia="Calibri" w:hAnsi="Times New Roman" w:cs="Calibri"/>
          <w:sz w:val="24"/>
          <w:szCs w:val="24"/>
        </w:rPr>
        <w:t xml:space="preserve"> Elmīra</w:t>
      </w:r>
      <w:r w:rsidR="00662555" w:rsidRPr="00A07F29">
        <w:rPr>
          <w:rFonts w:ascii="Times New Roman" w:eastAsia="Calibri" w:hAnsi="Times New Roman" w:cs="Calibri"/>
          <w:sz w:val="24"/>
          <w:szCs w:val="24"/>
        </w:rPr>
        <w:t>s</w:t>
      </w:r>
      <w:r w:rsidR="00D661A8" w:rsidRPr="00A07F29">
        <w:rPr>
          <w:rFonts w:ascii="Times New Roman" w:eastAsia="Calibri" w:hAnsi="Times New Roman" w:cs="Calibri"/>
          <w:sz w:val="24"/>
          <w:szCs w:val="24"/>
        </w:rPr>
        <w:t xml:space="preserve"> </w:t>
      </w:r>
      <w:proofErr w:type="spellStart"/>
      <w:r w:rsidR="00D661A8" w:rsidRPr="00A07F29">
        <w:rPr>
          <w:rFonts w:ascii="Times New Roman" w:eastAsia="Calibri" w:hAnsi="Times New Roman" w:cs="Calibri"/>
          <w:sz w:val="24"/>
          <w:szCs w:val="24"/>
        </w:rPr>
        <w:t>Boikova</w:t>
      </w:r>
      <w:r w:rsidR="00662555" w:rsidRPr="00A07F29">
        <w:rPr>
          <w:rFonts w:ascii="Times New Roman" w:eastAsia="Calibri" w:hAnsi="Times New Roman" w:cs="Calibri"/>
          <w:sz w:val="24"/>
          <w:szCs w:val="24"/>
        </w:rPr>
        <w:t>s</w:t>
      </w:r>
      <w:proofErr w:type="spellEnd"/>
      <w:r w:rsidR="00662555" w:rsidRPr="00A07F29">
        <w:rPr>
          <w:rFonts w:ascii="Times New Roman" w:eastAsia="Calibri" w:hAnsi="Times New Roman" w:cs="Calibri"/>
          <w:sz w:val="24"/>
          <w:szCs w:val="24"/>
        </w:rPr>
        <w:t>,</w:t>
      </w:r>
      <w:r w:rsidR="00D661A8" w:rsidRPr="00A07F29">
        <w:rPr>
          <w:rFonts w:ascii="Times New Roman" w:eastAsia="Calibri" w:hAnsi="Times New Roman" w:cs="Calibri"/>
          <w:sz w:val="24"/>
          <w:szCs w:val="24"/>
        </w:rPr>
        <w:t xml:space="preserve"> </w:t>
      </w:r>
      <w:r w:rsidR="00662555" w:rsidRPr="00A07F29">
        <w:rPr>
          <w:rFonts w:ascii="Times New Roman" w:eastAsia="Calibri" w:hAnsi="Times New Roman" w:cs="Calibri"/>
          <w:sz w:val="24"/>
          <w:szCs w:val="24"/>
        </w:rPr>
        <w:t xml:space="preserve">Vides aizsardzības kluba pārstāves Elitas Kalniņas, </w:t>
      </w:r>
      <w:r w:rsidRPr="00A07F29">
        <w:rPr>
          <w:rFonts w:ascii="Times New Roman" w:eastAsia="Calibri" w:hAnsi="Times New Roman" w:cs="Calibri"/>
          <w:sz w:val="24"/>
          <w:szCs w:val="24"/>
        </w:rPr>
        <w:t xml:space="preserve">Zinātņu akadēmijas, </w:t>
      </w:r>
      <w:r w:rsidRPr="00D76FA6">
        <w:rPr>
          <w:rFonts w:ascii="Times New Roman" w:eastAsia="Calibri" w:hAnsi="Times New Roman" w:cs="Calibri"/>
          <w:sz w:val="24"/>
          <w:szCs w:val="24"/>
        </w:rPr>
        <w:t>D</w:t>
      </w:r>
      <w:r w:rsidR="00D76FA6">
        <w:rPr>
          <w:rFonts w:ascii="Times New Roman" w:eastAsia="Calibri" w:hAnsi="Times New Roman" w:cs="Calibri"/>
          <w:sz w:val="24"/>
          <w:szCs w:val="24"/>
        </w:rPr>
        <w:t>U</w:t>
      </w:r>
      <w:r w:rsidRPr="00A07F29">
        <w:rPr>
          <w:rFonts w:ascii="Times New Roman" w:eastAsia="Calibri" w:hAnsi="Times New Roman" w:cs="Calibri"/>
          <w:sz w:val="24"/>
          <w:szCs w:val="24"/>
        </w:rPr>
        <w:t xml:space="preserve"> iniciatīvai, kā arī ar VARAM atbalstu, tika iekļauts UNESCO Pasaules mantojuma Latvijas nacionālajā sarakstā, un saskaņā ar UNESCO Latvijas Nacionālās komitejas ieteikumiem, Krāslavas un Daugavpils novadiem tiek rekomendēts: </w:t>
      </w:r>
    </w:p>
    <w:p w14:paraId="279ACA96" w14:textId="46C55907" w:rsidR="00AF4C40" w:rsidRPr="00A07F29" w:rsidRDefault="00944DAC" w:rsidP="00F87589">
      <w:pPr>
        <w:numPr>
          <w:ilvl w:val="0"/>
          <w:numId w:val="8"/>
        </w:numPr>
        <w:spacing w:after="120" w:line="240" w:lineRule="auto"/>
        <w:ind w:left="851" w:hanging="284"/>
        <w:jc w:val="both"/>
        <w:rPr>
          <w:rFonts w:ascii="Times New Roman" w:eastAsia="Calibri" w:hAnsi="Times New Roman" w:cs="Calibri"/>
          <w:sz w:val="24"/>
        </w:rPr>
      </w:pPr>
      <w:r w:rsidRPr="00A07F29">
        <w:rPr>
          <w:rFonts w:ascii="Times New Roman" w:eastAsia="Calibri" w:hAnsi="Times New Roman" w:cs="Calibri"/>
          <w:sz w:val="24"/>
        </w:rPr>
        <w:t xml:space="preserve">pašvaldību </w:t>
      </w:r>
      <w:r w:rsidR="00AF4C40" w:rsidRPr="00A07F29">
        <w:rPr>
          <w:rFonts w:ascii="Times New Roman" w:eastAsia="Calibri" w:hAnsi="Times New Roman" w:cs="Calibri"/>
          <w:sz w:val="24"/>
        </w:rPr>
        <w:t>sadarbība – tā kā Daugavas loku teritorija atrodas divu pašvaldību teritorijās, tad būtiska ir abu pašvaldību sada</w:t>
      </w:r>
      <w:r w:rsidR="006926F8" w:rsidRPr="00A07F29">
        <w:rPr>
          <w:rFonts w:ascii="Times New Roman" w:eastAsia="Calibri" w:hAnsi="Times New Roman" w:cs="Calibri"/>
          <w:sz w:val="24"/>
        </w:rPr>
        <w:t>r</w:t>
      </w:r>
      <w:r w:rsidR="00AF4C40" w:rsidRPr="00A07F29">
        <w:rPr>
          <w:rFonts w:ascii="Times New Roman" w:eastAsia="Calibri" w:hAnsi="Times New Roman" w:cs="Calibri"/>
          <w:sz w:val="24"/>
        </w:rPr>
        <w:t>bība vietas pārvaldības jautājumos, tajā skaitā attiecībā uz vietas izpēti, atpazīstamības veicināšanu, sabiedrības iesaisti lēmumu pieņemšanā;</w:t>
      </w:r>
    </w:p>
    <w:p w14:paraId="785A9A01" w14:textId="2B7ADEB0" w:rsidR="00AF4C40" w:rsidRPr="00A07F29" w:rsidRDefault="00944DAC" w:rsidP="00F87589">
      <w:pPr>
        <w:numPr>
          <w:ilvl w:val="0"/>
          <w:numId w:val="8"/>
        </w:numPr>
        <w:spacing w:after="120" w:line="240" w:lineRule="auto"/>
        <w:ind w:left="851" w:hanging="284"/>
        <w:jc w:val="both"/>
        <w:rPr>
          <w:rFonts w:ascii="Times New Roman" w:eastAsia="Calibri" w:hAnsi="Times New Roman" w:cs="Calibri"/>
          <w:sz w:val="24"/>
        </w:rPr>
      </w:pPr>
      <w:r w:rsidRPr="00A07F29">
        <w:rPr>
          <w:rFonts w:ascii="Times New Roman" w:eastAsia="Calibri" w:hAnsi="Times New Roman" w:cs="Calibri"/>
          <w:sz w:val="24"/>
        </w:rPr>
        <w:t xml:space="preserve">mantojuma </w:t>
      </w:r>
      <w:r w:rsidR="00AF4C40" w:rsidRPr="00A07F29">
        <w:rPr>
          <w:rFonts w:ascii="Times New Roman" w:eastAsia="Calibri" w:hAnsi="Times New Roman" w:cs="Calibri"/>
          <w:sz w:val="24"/>
        </w:rPr>
        <w:t xml:space="preserve">un pārvaldības ekspertu sadarbība – Daugavas loku saglabāšanas plānošanā sadarboties gan dabas un kultūras mantojuma ekspertiem, gan arī vietas pārvaldības plānotājiem; </w:t>
      </w:r>
    </w:p>
    <w:p w14:paraId="46D31D70" w14:textId="096F0428" w:rsidR="00AF4C40" w:rsidRPr="00A07F29" w:rsidRDefault="00944DAC" w:rsidP="00F87589">
      <w:pPr>
        <w:numPr>
          <w:ilvl w:val="0"/>
          <w:numId w:val="8"/>
        </w:numPr>
        <w:spacing w:after="120" w:line="240" w:lineRule="auto"/>
        <w:ind w:left="851" w:hanging="284"/>
        <w:jc w:val="both"/>
        <w:rPr>
          <w:rFonts w:ascii="Times New Roman" w:eastAsia="Calibri" w:hAnsi="Times New Roman" w:cs="Calibri"/>
          <w:sz w:val="24"/>
        </w:rPr>
      </w:pPr>
      <w:r w:rsidRPr="00A07F29">
        <w:rPr>
          <w:rFonts w:ascii="Times New Roman" w:eastAsia="Calibri" w:hAnsi="Times New Roman" w:cs="Calibri"/>
          <w:sz w:val="24"/>
        </w:rPr>
        <w:t xml:space="preserve">pasaules </w:t>
      </w:r>
      <w:r w:rsidR="00AF4C40" w:rsidRPr="00A07F29">
        <w:rPr>
          <w:rFonts w:ascii="Times New Roman" w:eastAsia="Calibri" w:hAnsi="Times New Roman" w:cs="Calibri"/>
          <w:sz w:val="24"/>
        </w:rPr>
        <w:t>mantojuma izglītība – veicināt dažādu izglītības iestāžu iesaisti un sadarbību Daugavas loku izzināšanas aktivitātes, piemēr</w:t>
      </w:r>
      <w:r w:rsidR="006926F8" w:rsidRPr="00A07F29">
        <w:rPr>
          <w:rFonts w:ascii="Times New Roman" w:eastAsia="Calibri" w:hAnsi="Times New Roman" w:cs="Calibri"/>
          <w:sz w:val="24"/>
        </w:rPr>
        <w:t>a</w:t>
      </w:r>
      <w:r w:rsidR="00AF4C40" w:rsidRPr="00A07F29">
        <w:rPr>
          <w:rFonts w:ascii="Times New Roman" w:eastAsia="Calibri" w:hAnsi="Times New Roman" w:cs="Calibri"/>
          <w:sz w:val="24"/>
        </w:rPr>
        <w:t xml:space="preserve">m, novadu skolām sadarbojoties </w:t>
      </w:r>
      <w:r w:rsidR="00AF4C40" w:rsidRPr="00D76FA6">
        <w:rPr>
          <w:rFonts w:ascii="Times New Roman" w:eastAsia="Calibri" w:hAnsi="Times New Roman" w:cs="Calibri"/>
          <w:sz w:val="24"/>
        </w:rPr>
        <w:t>ar D</w:t>
      </w:r>
      <w:r w:rsidR="00D76FA6">
        <w:rPr>
          <w:rFonts w:ascii="Times New Roman" w:eastAsia="Calibri" w:hAnsi="Times New Roman" w:cs="Calibri"/>
          <w:sz w:val="24"/>
        </w:rPr>
        <w:t>U</w:t>
      </w:r>
      <w:r w:rsidR="00AF4C40" w:rsidRPr="00A07F29">
        <w:rPr>
          <w:rFonts w:ascii="Times New Roman" w:eastAsia="Calibri" w:hAnsi="Times New Roman" w:cs="Calibri"/>
          <w:sz w:val="24"/>
        </w:rPr>
        <w:t xml:space="preserve"> (</w:t>
      </w:r>
      <w:proofErr w:type="spellStart"/>
      <w:r w:rsidR="00AF4C40" w:rsidRPr="00A07F29">
        <w:rPr>
          <w:rFonts w:ascii="Times New Roman" w:eastAsia="Calibri" w:hAnsi="Times New Roman" w:cs="Calibri"/>
          <w:sz w:val="24"/>
        </w:rPr>
        <w:t>vieslekcijas</w:t>
      </w:r>
      <w:proofErr w:type="spellEnd"/>
      <w:r w:rsidR="00AF4C40" w:rsidRPr="00A07F29">
        <w:rPr>
          <w:rFonts w:ascii="Times New Roman" w:eastAsia="Calibri" w:hAnsi="Times New Roman" w:cs="Calibri"/>
          <w:sz w:val="24"/>
        </w:rPr>
        <w:t xml:space="preserve">, kopējas ekspedīcijas utt.); </w:t>
      </w:r>
    </w:p>
    <w:p w14:paraId="2C1D1BF1" w14:textId="42AC9017" w:rsidR="00AF4C40" w:rsidRPr="00A07F29" w:rsidRDefault="00944DAC" w:rsidP="00F87589">
      <w:pPr>
        <w:numPr>
          <w:ilvl w:val="0"/>
          <w:numId w:val="8"/>
        </w:numPr>
        <w:spacing w:after="120" w:line="240" w:lineRule="auto"/>
        <w:ind w:left="851" w:hanging="284"/>
        <w:jc w:val="both"/>
        <w:rPr>
          <w:rFonts w:ascii="Times New Roman" w:eastAsia="Calibri" w:hAnsi="Times New Roman" w:cs="Calibri"/>
          <w:sz w:val="24"/>
        </w:rPr>
      </w:pPr>
      <w:r w:rsidRPr="00A07F29">
        <w:rPr>
          <w:rFonts w:ascii="Times New Roman" w:eastAsia="Calibri" w:hAnsi="Times New Roman" w:cs="Calibri"/>
          <w:sz w:val="24"/>
        </w:rPr>
        <w:t xml:space="preserve">sabiedrības </w:t>
      </w:r>
      <w:r w:rsidR="00AF4C40" w:rsidRPr="00A07F29">
        <w:rPr>
          <w:rFonts w:ascii="Times New Roman" w:eastAsia="Calibri" w:hAnsi="Times New Roman" w:cs="Calibri"/>
          <w:sz w:val="24"/>
        </w:rPr>
        <w:t xml:space="preserve">iesaiste – vietējās kopienas iedzīvotāji ir jāiesaista mantojuma saglabāšanā, jāsekmē viņu aktīva dalība Daugavas loku saglabāšanas un kopšanas iniciatīvās; </w:t>
      </w:r>
    </w:p>
    <w:p w14:paraId="73C5C69D" w14:textId="7120A1E3" w:rsidR="00AF4C40" w:rsidRPr="00A07F29" w:rsidRDefault="00944DAC" w:rsidP="00F87589">
      <w:pPr>
        <w:numPr>
          <w:ilvl w:val="0"/>
          <w:numId w:val="8"/>
        </w:numPr>
        <w:spacing w:after="120" w:line="240" w:lineRule="auto"/>
        <w:ind w:left="851" w:hanging="284"/>
        <w:jc w:val="both"/>
        <w:rPr>
          <w:rFonts w:ascii="Times New Roman" w:eastAsia="Calibri" w:hAnsi="Times New Roman" w:cs="Calibri"/>
          <w:sz w:val="24"/>
        </w:rPr>
      </w:pPr>
      <w:r w:rsidRPr="00A07F29">
        <w:rPr>
          <w:rFonts w:ascii="Times New Roman" w:eastAsia="Calibri" w:hAnsi="Times New Roman" w:cs="Calibri"/>
          <w:sz w:val="24"/>
        </w:rPr>
        <w:t xml:space="preserve">starptautiska </w:t>
      </w:r>
      <w:r w:rsidR="00AF4C40" w:rsidRPr="00A07F29">
        <w:rPr>
          <w:rFonts w:ascii="Times New Roman" w:eastAsia="Calibri" w:hAnsi="Times New Roman" w:cs="Calibri"/>
          <w:sz w:val="24"/>
        </w:rPr>
        <w:t xml:space="preserve">sadarbība – Daugavas loku nominēšana Pasaules mantojuma sarakstam ir saistīta ar starptautiskas auditorijas uzrunāšanu, līdz ar to ir jāveicina Daugavas loku starptautiska atpazīstamība, kā arī nepieciešama pieredzes apmaiņa ar citām valstīm par līdzīga veida vietu pārvaldības jautājumiem. </w:t>
      </w:r>
    </w:p>
    <w:p w14:paraId="242873F2" w14:textId="096B0594" w:rsidR="000B764E" w:rsidRPr="00A07F29" w:rsidRDefault="00944DAC" w:rsidP="000B764E">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DP</w:t>
      </w:r>
      <w:r w:rsidR="00AF4C40" w:rsidRPr="00A07F29">
        <w:rPr>
          <w:rFonts w:ascii="Times New Roman" w:eastAsia="Calibri" w:hAnsi="Times New Roman" w:cs="Calibri"/>
          <w:sz w:val="24"/>
        </w:rPr>
        <w:t xml:space="preserve"> “Daugavas loki” 2018.</w:t>
      </w:r>
      <w:r w:rsidR="005D7679" w:rsidRPr="00A07F29">
        <w:rPr>
          <w:rFonts w:ascii="Times New Roman" w:eastAsia="Calibri" w:hAnsi="Times New Roman" w:cs="Calibri"/>
          <w:sz w:val="24"/>
        </w:rPr>
        <w:t> </w:t>
      </w:r>
      <w:r w:rsidR="00AF4C40" w:rsidRPr="00A07F29">
        <w:rPr>
          <w:rFonts w:ascii="Times New Roman" w:eastAsia="Calibri" w:hAnsi="Times New Roman" w:cs="Calibri"/>
          <w:sz w:val="24"/>
        </w:rPr>
        <w:t xml:space="preserve">gada vasarā ir izveidots Latgales reģionālās nozīmes </w:t>
      </w:r>
      <w:proofErr w:type="spellStart"/>
      <w:r w:rsidR="00AF4C40" w:rsidRPr="00A07F29">
        <w:rPr>
          <w:rFonts w:ascii="Times New Roman" w:eastAsia="Calibri" w:hAnsi="Times New Roman" w:cs="Calibri"/>
          <w:sz w:val="24"/>
        </w:rPr>
        <w:t>velomaršruts</w:t>
      </w:r>
      <w:proofErr w:type="spellEnd"/>
      <w:r w:rsidR="00AF4C40" w:rsidRPr="00A07F29">
        <w:rPr>
          <w:rFonts w:ascii="Times New Roman" w:eastAsia="Calibri" w:hAnsi="Times New Roman" w:cs="Calibri"/>
          <w:sz w:val="24"/>
        </w:rPr>
        <w:t xml:space="preserve"> Nr.</w:t>
      </w:r>
      <w:r w:rsidR="00A5592A" w:rsidRPr="00A07F29">
        <w:rPr>
          <w:rFonts w:ascii="Times New Roman" w:eastAsia="Calibri" w:hAnsi="Times New Roman" w:cs="Calibri"/>
          <w:sz w:val="24"/>
        </w:rPr>
        <w:t> </w:t>
      </w:r>
      <w:r w:rsidR="00AF4C40" w:rsidRPr="00A07F29">
        <w:rPr>
          <w:rFonts w:ascii="Times New Roman" w:eastAsia="Calibri" w:hAnsi="Times New Roman" w:cs="Calibri"/>
          <w:sz w:val="24"/>
        </w:rPr>
        <w:t xml:space="preserve">35. </w:t>
      </w:r>
      <w:proofErr w:type="spellStart"/>
      <w:r w:rsidR="00AF4C40" w:rsidRPr="00A07F29">
        <w:rPr>
          <w:rFonts w:ascii="Times New Roman" w:eastAsia="Calibri" w:hAnsi="Times New Roman" w:cs="Calibri"/>
          <w:sz w:val="24"/>
        </w:rPr>
        <w:t>Velomaršrutā</w:t>
      </w:r>
      <w:proofErr w:type="spellEnd"/>
      <w:r w:rsidR="00AF4C40" w:rsidRPr="00A07F29">
        <w:rPr>
          <w:rFonts w:ascii="Times New Roman" w:eastAsia="Calibri" w:hAnsi="Times New Roman" w:cs="Calibri"/>
          <w:sz w:val="24"/>
        </w:rPr>
        <w:t xml:space="preserve"> ir iespēja iepazīt </w:t>
      </w:r>
      <w:r w:rsidR="00BF0E06" w:rsidRPr="00A07F29">
        <w:rPr>
          <w:rFonts w:ascii="Times New Roman" w:eastAsia="Calibri" w:hAnsi="Times New Roman" w:cs="Calibri"/>
          <w:sz w:val="24"/>
        </w:rPr>
        <w:t>DP</w:t>
      </w:r>
      <w:r w:rsidR="00AF4C40" w:rsidRPr="00A07F29">
        <w:rPr>
          <w:rFonts w:ascii="Times New Roman" w:eastAsia="Calibri" w:hAnsi="Times New Roman" w:cs="Calibri"/>
          <w:sz w:val="24"/>
        </w:rPr>
        <w:t xml:space="preserve"> “Daugavas loki”, tā unikālos dabas kompleksus, dabas, kultūrvēstures vērtības un savdabīgās ainavas Daugavas augšteces </w:t>
      </w:r>
      <w:proofErr w:type="spellStart"/>
      <w:r w:rsidR="00AF4C40" w:rsidRPr="00A07F29">
        <w:rPr>
          <w:rFonts w:ascii="Times New Roman" w:eastAsia="Calibri" w:hAnsi="Times New Roman" w:cs="Calibri"/>
          <w:sz w:val="24"/>
        </w:rPr>
        <w:t>senielejas</w:t>
      </w:r>
      <w:proofErr w:type="spellEnd"/>
      <w:r w:rsidR="00AF4C40" w:rsidRPr="00A07F29">
        <w:rPr>
          <w:rFonts w:ascii="Times New Roman" w:eastAsia="Calibri" w:hAnsi="Times New Roman" w:cs="Calibri"/>
          <w:sz w:val="24"/>
        </w:rPr>
        <w:t xml:space="preserve"> Naujenes – Krāslavas posmā.</w:t>
      </w:r>
    </w:p>
    <w:p w14:paraId="05615B9E" w14:textId="46E585F0" w:rsidR="00AF4C40" w:rsidRPr="00A07F29" w:rsidRDefault="000B764E" w:rsidP="00AD47BD">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2014.</w:t>
      </w:r>
      <w:r w:rsidR="00A5592A" w:rsidRPr="00A07F29">
        <w:rPr>
          <w:rFonts w:ascii="Times New Roman" w:eastAsia="Calibri" w:hAnsi="Times New Roman" w:cs="Calibri"/>
          <w:sz w:val="24"/>
        </w:rPr>
        <w:t> </w:t>
      </w:r>
      <w:r w:rsidRPr="00A07F29">
        <w:rPr>
          <w:rFonts w:ascii="Times New Roman" w:eastAsia="Calibri" w:hAnsi="Times New Roman" w:cs="Calibri"/>
          <w:sz w:val="24"/>
        </w:rPr>
        <w:t xml:space="preserve">gadā veikta ģeoloģisko un </w:t>
      </w:r>
      <w:proofErr w:type="spellStart"/>
      <w:r w:rsidRPr="00A07F29">
        <w:rPr>
          <w:rFonts w:ascii="Times New Roman" w:eastAsia="Calibri" w:hAnsi="Times New Roman" w:cs="Calibri"/>
          <w:sz w:val="24"/>
        </w:rPr>
        <w:t>ģeomorfoloģisko</w:t>
      </w:r>
      <w:proofErr w:type="spellEnd"/>
      <w:r w:rsidRPr="00A07F29">
        <w:rPr>
          <w:rFonts w:ascii="Times New Roman" w:eastAsia="Calibri" w:hAnsi="Times New Roman" w:cs="Calibri"/>
          <w:sz w:val="24"/>
        </w:rPr>
        <w:t xml:space="preserve"> pieminekļu izpēte un sagatavoti priekšlikumi robežu precizēšanai.</w:t>
      </w:r>
    </w:p>
    <w:p w14:paraId="03046324" w14:textId="768CE8D1" w:rsidR="00AF4C40" w:rsidRPr="00A07F29" w:rsidRDefault="00AF4C40" w:rsidP="00AD47BD">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2018.</w:t>
      </w:r>
      <w:r w:rsidR="00A5592A" w:rsidRPr="00A07F29">
        <w:rPr>
          <w:rFonts w:ascii="Times New Roman" w:eastAsia="Calibri" w:hAnsi="Times New Roman" w:cs="Calibri"/>
          <w:sz w:val="24"/>
        </w:rPr>
        <w:t> </w:t>
      </w:r>
      <w:r w:rsidRPr="00A07F29">
        <w:rPr>
          <w:rFonts w:ascii="Times New Roman" w:eastAsia="Calibri" w:hAnsi="Times New Roman" w:cs="Calibri"/>
          <w:sz w:val="24"/>
        </w:rPr>
        <w:t>–</w:t>
      </w:r>
      <w:r w:rsidR="00A5592A" w:rsidRPr="00A07F29">
        <w:rPr>
          <w:rFonts w:ascii="Times New Roman" w:eastAsia="Calibri" w:hAnsi="Times New Roman" w:cs="Calibri"/>
          <w:sz w:val="24"/>
        </w:rPr>
        <w:t> </w:t>
      </w:r>
      <w:r w:rsidRPr="00A07F29">
        <w:rPr>
          <w:rFonts w:ascii="Times New Roman" w:eastAsia="Calibri" w:hAnsi="Times New Roman" w:cs="Calibri"/>
          <w:sz w:val="24"/>
        </w:rPr>
        <w:t>2019.</w:t>
      </w:r>
      <w:r w:rsidR="00A5592A" w:rsidRPr="00A07F29">
        <w:rPr>
          <w:rFonts w:ascii="Times New Roman" w:eastAsia="Calibri" w:hAnsi="Times New Roman" w:cs="Calibri"/>
          <w:sz w:val="24"/>
        </w:rPr>
        <w:t> </w:t>
      </w:r>
      <w:r w:rsidRPr="00A07F29">
        <w:rPr>
          <w:rFonts w:ascii="Times New Roman" w:eastAsia="Calibri" w:hAnsi="Times New Roman" w:cs="Calibri"/>
          <w:sz w:val="24"/>
        </w:rPr>
        <w:t xml:space="preserve">gadā astoņas Latvijas vietējās rīcības grupas Daugavas abos krastos (tai skaitā biedrība “Krāslavas rajona partnerība”) sadarbībā ar 21 pašvaldību, tai skaitā Krāslavas novada domi, komersantiem, tūrisma aģentūrām, NVO un citiem stratēģiskajiem partneriem, </w:t>
      </w:r>
      <w:r w:rsidRPr="00A07F29">
        <w:rPr>
          <w:rFonts w:ascii="Times New Roman" w:eastAsia="Calibri" w:hAnsi="Times New Roman" w:cs="Calibri"/>
          <w:sz w:val="24"/>
        </w:rPr>
        <w:lastRenderedPageBreak/>
        <w:t>īsteno projektu “Daugavas upes baseina ekonomiskā potenciāla attīstība” (</w:t>
      </w:r>
      <w:proofErr w:type="spellStart"/>
      <w:r w:rsidRPr="00A07F29">
        <w:rPr>
          <w:rFonts w:ascii="Times New Roman" w:eastAsia="Calibri" w:hAnsi="Times New Roman" w:cs="Calibri"/>
          <w:sz w:val="24"/>
        </w:rPr>
        <w:t>DaugavAbasMalas</w:t>
      </w:r>
      <w:proofErr w:type="spellEnd"/>
      <w:r w:rsidRPr="00A07F29">
        <w:rPr>
          <w:rFonts w:ascii="Times New Roman" w:eastAsia="Calibri" w:hAnsi="Times New Roman" w:cs="Calibri"/>
          <w:sz w:val="24"/>
        </w:rPr>
        <w:t>) ar mērķi paplašināt ap Daugavu esošo teritoriju ekonomisko potenciālu, rosināt tūrisma aktivitātes, uzņēmējdarbības attīstību un nodarbinātību</w:t>
      </w:r>
      <w:r w:rsidR="00F46C07" w:rsidRPr="00A07F29">
        <w:rPr>
          <w:rFonts w:ascii="Times New Roman" w:eastAsia="Calibri" w:hAnsi="Times New Roman" w:cs="Calibri"/>
          <w:sz w:val="24"/>
        </w:rPr>
        <w:t>.</w:t>
      </w:r>
    </w:p>
    <w:p w14:paraId="5A5C0C08" w14:textId="5F87E0D8" w:rsidR="00AF4C40" w:rsidRPr="00A07F29" w:rsidRDefault="00AF4C40" w:rsidP="00AD47BD">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2017. un 2018.</w:t>
      </w:r>
      <w:r w:rsidR="00C474CF" w:rsidRPr="00A07F29">
        <w:rPr>
          <w:rFonts w:ascii="Times New Roman" w:eastAsia="Calibri" w:hAnsi="Times New Roman" w:cs="Calibri"/>
          <w:sz w:val="24"/>
        </w:rPr>
        <w:t> </w:t>
      </w:r>
      <w:r w:rsidRPr="00A07F29">
        <w:rPr>
          <w:rFonts w:ascii="Times New Roman" w:eastAsia="Calibri" w:hAnsi="Times New Roman" w:cs="Calibri"/>
          <w:sz w:val="24"/>
        </w:rPr>
        <w:t xml:space="preserve">gadā VARAM rīkoja Latvijas valsts simtgadei </w:t>
      </w:r>
      <w:r w:rsidR="00F46C07" w:rsidRPr="00A07F29">
        <w:rPr>
          <w:rFonts w:ascii="Times New Roman" w:eastAsia="Calibri" w:hAnsi="Times New Roman" w:cs="Calibri"/>
          <w:sz w:val="24"/>
        </w:rPr>
        <w:t xml:space="preserve">veltītu </w:t>
      </w:r>
      <w:r w:rsidRPr="00A07F29">
        <w:rPr>
          <w:rFonts w:ascii="Times New Roman" w:eastAsia="Calibri" w:hAnsi="Times New Roman" w:cs="Calibri"/>
          <w:sz w:val="24"/>
        </w:rPr>
        <w:t xml:space="preserve">aktivitāti “Latvijas ainavu dārgumi vakar, šodien, rīt” un par vienu no </w:t>
      </w:r>
      <w:r w:rsidR="00464F8D" w:rsidRPr="00A07F29">
        <w:rPr>
          <w:rFonts w:ascii="Times New Roman" w:eastAsia="Calibri" w:hAnsi="Times New Roman" w:cs="Calibri"/>
          <w:sz w:val="24"/>
        </w:rPr>
        <w:t>10</w:t>
      </w:r>
      <w:r w:rsidRPr="00A07F29">
        <w:rPr>
          <w:rFonts w:ascii="Times New Roman" w:eastAsia="Calibri" w:hAnsi="Times New Roman" w:cs="Calibri"/>
          <w:sz w:val="24"/>
        </w:rPr>
        <w:t xml:space="preserve"> ainavu dārgumiem Latgalē atzīta Daugavas loku ainava Krāslavas un Daugavpils novados.</w:t>
      </w:r>
    </w:p>
    <w:p w14:paraId="76DD43BF" w14:textId="77777777" w:rsidR="00C72B21" w:rsidRPr="00A07F29" w:rsidRDefault="00C72B21" w:rsidP="00AD47BD">
      <w:pPr>
        <w:spacing w:after="120" w:line="240" w:lineRule="auto"/>
        <w:ind w:firstLine="851"/>
        <w:jc w:val="both"/>
        <w:rPr>
          <w:rFonts w:ascii="Times New Roman" w:eastAsia="Calibri" w:hAnsi="Times New Roman" w:cs="Calibri"/>
          <w:sz w:val="24"/>
        </w:rPr>
      </w:pPr>
    </w:p>
    <w:p w14:paraId="619D3F82" w14:textId="00FC7D1C" w:rsidR="00AF4C40" w:rsidRPr="00A07F29" w:rsidRDefault="00AF4C40" w:rsidP="00C72B21">
      <w:pPr>
        <w:pStyle w:val="Heading3"/>
        <w:spacing w:before="120" w:after="120" w:line="240" w:lineRule="auto"/>
        <w:jc w:val="center"/>
        <w:rPr>
          <w:b w:val="0"/>
          <w:lang w:eastAsia="ja-JP"/>
        </w:rPr>
      </w:pPr>
      <w:bookmarkStart w:id="10" w:name="_Toc183433972"/>
      <w:r w:rsidRPr="00A07F29">
        <w:rPr>
          <w:lang w:eastAsia="ja-JP"/>
        </w:rPr>
        <w:t>1.1.5. Kultūrvēsturiskais raksturojums</w:t>
      </w:r>
      <w:bookmarkEnd w:id="10"/>
    </w:p>
    <w:p w14:paraId="5F73802E" w14:textId="5F8501B5" w:rsidR="00B3437C" w:rsidRPr="00A07F29" w:rsidRDefault="007E1EDD" w:rsidP="001C7C0E">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AAA “Augšdaugava” ietver nozīmīgu Daugavas upes posmu, kuram dažādos vēstures posmos ir bijusi būtiska nozīme cilvēku dzīvē – kā satiksmes ceļam, pārtikas avotam, robežai. Līdz ar to upes tuvumā izvietojušās apmetnes, radušās tirdzniecības vietas un piestātnes, vēlākos laikos būvēti nocietinājumi, pilis, muižu ēkas, baznīcas. Šo iemeslu dēļ AAA “Augšdaugava” ir bagātīgs kultūras pieminekļu klāsts, kas atrodas valsts aizsardzībā (</w:t>
      </w:r>
      <w:r w:rsidR="00C53426" w:rsidRPr="00A07F29">
        <w:rPr>
          <w:rFonts w:ascii="Times New Roman" w:eastAsia="Calibri" w:hAnsi="Times New Roman" w:cs="Calibri"/>
          <w:sz w:val="24"/>
        </w:rPr>
        <w:t xml:space="preserve">skat. </w:t>
      </w:r>
      <w:r w:rsidRPr="00A07F29">
        <w:rPr>
          <w:rFonts w:ascii="Times New Roman" w:eastAsia="Calibri" w:hAnsi="Times New Roman" w:cs="Calibri"/>
          <w:sz w:val="24"/>
        </w:rPr>
        <w:t>1.1.5.1.</w:t>
      </w:r>
      <w:r w:rsidR="00411728" w:rsidRPr="00A07F29">
        <w:rPr>
          <w:rFonts w:ascii="Times New Roman" w:eastAsia="Calibri" w:hAnsi="Times New Roman" w:cs="Calibri"/>
          <w:sz w:val="24"/>
        </w:rPr>
        <w:t> </w:t>
      </w:r>
      <w:r w:rsidRPr="00A07F29">
        <w:rPr>
          <w:rFonts w:ascii="Times New Roman" w:eastAsia="Calibri" w:hAnsi="Times New Roman" w:cs="Calibri"/>
          <w:sz w:val="24"/>
        </w:rPr>
        <w:t>tabula</w:t>
      </w:r>
      <w:r w:rsidR="00E06393" w:rsidRPr="00A07F29">
        <w:rPr>
          <w:rFonts w:ascii="Times New Roman" w:eastAsia="Calibri" w:hAnsi="Times New Roman" w:cs="Calibri"/>
          <w:sz w:val="24"/>
        </w:rPr>
        <w:t>, 3.</w:t>
      </w:r>
      <w:r w:rsidR="00E8521E" w:rsidRPr="00A07F29">
        <w:rPr>
          <w:rFonts w:ascii="Times New Roman" w:eastAsia="Calibri" w:hAnsi="Times New Roman" w:cs="Calibri"/>
          <w:sz w:val="24"/>
        </w:rPr>
        <w:t>7</w:t>
      </w:r>
      <w:r w:rsidR="00E06393" w:rsidRPr="00A07F29">
        <w:rPr>
          <w:rFonts w:ascii="Times New Roman" w:eastAsia="Calibri" w:hAnsi="Times New Roman" w:cs="Calibri"/>
          <w:sz w:val="24"/>
        </w:rPr>
        <w:t>.2.</w:t>
      </w:r>
      <w:r w:rsidR="00E8521E" w:rsidRPr="00A07F29">
        <w:rPr>
          <w:rFonts w:ascii="Times New Roman" w:eastAsia="Calibri" w:hAnsi="Times New Roman" w:cs="Calibri"/>
          <w:sz w:val="24"/>
        </w:rPr>
        <w:t>,</w:t>
      </w:r>
      <w:r w:rsidR="00E06393" w:rsidRPr="00A07F29">
        <w:rPr>
          <w:rFonts w:ascii="Times New Roman" w:eastAsia="Calibri" w:hAnsi="Times New Roman" w:cs="Calibri"/>
          <w:sz w:val="24"/>
        </w:rPr>
        <w:t xml:space="preserve"> 4.1.</w:t>
      </w:r>
      <w:r w:rsidR="00E8521E" w:rsidRPr="00A07F29">
        <w:rPr>
          <w:rFonts w:ascii="Times New Roman" w:eastAsia="Calibri" w:hAnsi="Times New Roman" w:cs="Calibri"/>
          <w:sz w:val="24"/>
        </w:rPr>
        <w:t>, 4.3.</w:t>
      </w:r>
      <w:r w:rsidR="00411728" w:rsidRPr="00A07F29">
        <w:rPr>
          <w:rFonts w:ascii="Times New Roman" w:eastAsia="Calibri" w:hAnsi="Times New Roman" w:cs="Calibri"/>
          <w:sz w:val="24"/>
        </w:rPr>
        <w:t> </w:t>
      </w:r>
      <w:r w:rsidR="00E06393" w:rsidRPr="00A07F29">
        <w:rPr>
          <w:rFonts w:ascii="Times New Roman" w:eastAsia="Calibri" w:hAnsi="Times New Roman" w:cs="Calibri"/>
          <w:sz w:val="24"/>
        </w:rPr>
        <w:t>pielikums</w:t>
      </w:r>
      <w:r w:rsidRPr="00A07F29">
        <w:rPr>
          <w:rFonts w:ascii="Times New Roman" w:eastAsia="Calibri" w:hAnsi="Times New Roman" w:cs="Calibri"/>
          <w:sz w:val="24"/>
        </w:rPr>
        <w:t>).</w:t>
      </w:r>
    </w:p>
    <w:p w14:paraId="689A3823" w14:textId="02B153C5" w:rsidR="007E1EDD" w:rsidRPr="00A07F29" w:rsidRDefault="00B3437C" w:rsidP="001C7C0E">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2018.</w:t>
      </w:r>
      <w:r w:rsidR="00411728" w:rsidRPr="00A07F29">
        <w:rPr>
          <w:rFonts w:ascii="Times New Roman" w:eastAsia="Calibri" w:hAnsi="Times New Roman" w:cs="Calibri"/>
          <w:sz w:val="24"/>
        </w:rPr>
        <w:t> </w:t>
      </w:r>
      <w:r w:rsidRPr="00A07F29">
        <w:rPr>
          <w:rFonts w:ascii="Times New Roman" w:eastAsia="Calibri" w:hAnsi="Times New Roman" w:cs="Calibri"/>
          <w:sz w:val="24"/>
        </w:rPr>
        <w:t xml:space="preserve">gadā tika atklāts jauns pilskalns – </w:t>
      </w:r>
      <w:proofErr w:type="spellStart"/>
      <w:r w:rsidRPr="00A07F29">
        <w:rPr>
          <w:rFonts w:ascii="Times New Roman" w:eastAsia="Calibri" w:hAnsi="Times New Roman" w:cs="Calibri"/>
          <w:sz w:val="24"/>
        </w:rPr>
        <w:t>Daudzīšu</w:t>
      </w:r>
      <w:proofErr w:type="spellEnd"/>
      <w:r w:rsidRPr="00A07F29">
        <w:rPr>
          <w:rFonts w:ascii="Times New Roman" w:eastAsia="Calibri" w:hAnsi="Times New Roman" w:cs="Calibri"/>
          <w:sz w:val="24"/>
        </w:rPr>
        <w:t xml:space="preserve"> Kazas kalns pie Stirnas upes, </w:t>
      </w:r>
      <w:r w:rsidR="001C7C0E" w:rsidRPr="00A07F29">
        <w:rPr>
          <w:rFonts w:ascii="Times New Roman" w:eastAsia="Calibri" w:hAnsi="Times New Roman" w:cs="Calibri"/>
          <w:sz w:val="24"/>
        </w:rPr>
        <w:t>2020.</w:t>
      </w:r>
      <w:r w:rsidR="00411728" w:rsidRPr="00A07F29">
        <w:rPr>
          <w:rFonts w:ascii="Times New Roman" w:eastAsia="Calibri" w:hAnsi="Times New Roman" w:cs="Calibri"/>
          <w:sz w:val="24"/>
        </w:rPr>
        <w:t> </w:t>
      </w:r>
      <w:r w:rsidR="001C7C0E" w:rsidRPr="00A07F29">
        <w:rPr>
          <w:rFonts w:ascii="Times New Roman" w:eastAsia="Calibri" w:hAnsi="Times New Roman" w:cs="Calibri"/>
          <w:sz w:val="24"/>
        </w:rPr>
        <w:t xml:space="preserve">gadā tika atklāts </w:t>
      </w:r>
      <w:proofErr w:type="spellStart"/>
      <w:r w:rsidR="001C7C0E" w:rsidRPr="00A07F29">
        <w:rPr>
          <w:rFonts w:ascii="Times New Roman" w:eastAsia="Calibri" w:hAnsi="Times New Roman" w:cs="Calibri"/>
          <w:sz w:val="24"/>
        </w:rPr>
        <w:t>Ritānu</w:t>
      </w:r>
      <w:proofErr w:type="spellEnd"/>
      <w:r w:rsidR="001C7C0E" w:rsidRPr="00A07F29">
        <w:rPr>
          <w:rFonts w:ascii="Times New Roman" w:eastAsia="Calibri" w:hAnsi="Times New Roman" w:cs="Calibri"/>
          <w:sz w:val="24"/>
        </w:rPr>
        <w:t xml:space="preserve"> pilskalns Daugavas ielejas kreisā krasta malā starp </w:t>
      </w:r>
      <w:proofErr w:type="spellStart"/>
      <w:r w:rsidR="001C7C0E" w:rsidRPr="00A07F29">
        <w:rPr>
          <w:rFonts w:ascii="Times New Roman" w:eastAsia="Calibri" w:hAnsi="Times New Roman" w:cs="Calibri"/>
          <w:sz w:val="24"/>
        </w:rPr>
        <w:t>Šaltepkas</w:t>
      </w:r>
      <w:proofErr w:type="spellEnd"/>
      <w:r w:rsidR="001C7C0E" w:rsidRPr="00A07F29">
        <w:rPr>
          <w:rFonts w:ascii="Times New Roman" w:eastAsia="Calibri" w:hAnsi="Times New Roman" w:cs="Calibri"/>
          <w:sz w:val="24"/>
        </w:rPr>
        <w:t xml:space="preserve"> un </w:t>
      </w:r>
      <w:proofErr w:type="spellStart"/>
      <w:r w:rsidR="001C7C0E" w:rsidRPr="00A07F29">
        <w:rPr>
          <w:rFonts w:ascii="Times New Roman" w:eastAsia="Calibri" w:hAnsi="Times New Roman" w:cs="Calibri"/>
          <w:sz w:val="24"/>
        </w:rPr>
        <w:t>Poguļankas</w:t>
      </w:r>
      <w:proofErr w:type="spellEnd"/>
      <w:r w:rsidR="001C7C0E" w:rsidRPr="00A07F29">
        <w:rPr>
          <w:rFonts w:ascii="Times New Roman" w:eastAsia="Calibri" w:hAnsi="Times New Roman" w:cs="Calibri"/>
          <w:sz w:val="24"/>
        </w:rPr>
        <w:t xml:space="preserve"> upītēm un 2021.</w:t>
      </w:r>
      <w:r w:rsidR="00FB7986" w:rsidRPr="00A07F29">
        <w:rPr>
          <w:rFonts w:ascii="Times New Roman" w:eastAsia="Calibri" w:hAnsi="Times New Roman" w:cs="Calibri"/>
          <w:sz w:val="24"/>
        </w:rPr>
        <w:t> </w:t>
      </w:r>
      <w:r w:rsidR="001C7C0E" w:rsidRPr="00A07F29">
        <w:rPr>
          <w:rFonts w:ascii="Times New Roman" w:eastAsia="Calibri" w:hAnsi="Times New Roman" w:cs="Calibri"/>
          <w:sz w:val="24"/>
        </w:rPr>
        <w:t xml:space="preserve">gadā – </w:t>
      </w:r>
      <w:proofErr w:type="spellStart"/>
      <w:r w:rsidR="001C7C0E" w:rsidRPr="00A07F29">
        <w:rPr>
          <w:rFonts w:ascii="Times New Roman" w:eastAsia="Calibri" w:hAnsi="Times New Roman" w:cs="Calibri"/>
          <w:sz w:val="24"/>
        </w:rPr>
        <w:t>Sīķeles</w:t>
      </w:r>
      <w:proofErr w:type="spellEnd"/>
      <w:r w:rsidR="001C7C0E" w:rsidRPr="00A07F29">
        <w:rPr>
          <w:rFonts w:ascii="Times New Roman" w:eastAsia="Calibri" w:hAnsi="Times New Roman" w:cs="Calibri"/>
          <w:sz w:val="24"/>
        </w:rPr>
        <w:t xml:space="preserve"> pilskalns Daugavas ielejas malā starp gravām netālu no </w:t>
      </w:r>
      <w:proofErr w:type="spellStart"/>
      <w:r w:rsidR="001C7C0E" w:rsidRPr="00A07F29">
        <w:rPr>
          <w:rFonts w:ascii="Times New Roman" w:eastAsia="Calibri" w:hAnsi="Times New Roman" w:cs="Calibri"/>
          <w:sz w:val="24"/>
        </w:rPr>
        <w:t>Sīķeles</w:t>
      </w:r>
      <w:proofErr w:type="spellEnd"/>
      <w:r w:rsidR="001C7C0E" w:rsidRPr="00A07F29">
        <w:rPr>
          <w:rFonts w:ascii="Times New Roman" w:eastAsia="Calibri" w:hAnsi="Times New Roman" w:cs="Calibri"/>
          <w:sz w:val="24"/>
        </w:rPr>
        <w:t xml:space="preserve"> baznīcas.</w:t>
      </w:r>
      <w:r w:rsidRPr="00A07F29">
        <w:rPr>
          <w:rFonts w:ascii="Times New Roman" w:eastAsia="Calibri" w:hAnsi="Times New Roman" w:cs="Calibri"/>
          <w:sz w:val="24"/>
        </w:rPr>
        <w:t xml:space="preserve"> Šie pilskalni tiek virzīti iekļaušanai valsts kultūras pieminekļu sarakstā.</w:t>
      </w:r>
    </w:p>
    <w:p w14:paraId="582F68C9" w14:textId="3475DF7D" w:rsidR="000B764E" w:rsidRPr="00A07F29" w:rsidRDefault="007E1EDD" w:rsidP="000B764E">
      <w:pPr>
        <w:keepNext/>
        <w:spacing w:after="0" w:line="240" w:lineRule="auto"/>
        <w:jc w:val="center"/>
        <w:rPr>
          <w:rFonts w:ascii="Times New Roman" w:eastAsia="Calibri" w:hAnsi="Times New Roman" w:cs="Calibri"/>
          <w:sz w:val="24"/>
        </w:rPr>
      </w:pPr>
      <w:r w:rsidRPr="00A07F29">
        <w:rPr>
          <w:rFonts w:ascii="Times New Roman" w:eastAsia="Calibri" w:hAnsi="Times New Roman" w:cs="Calibri"/>
          <w:sz w:val="24"/>
        </w:rPr>
        <w:t>1.1.5.1.</w:t>
      </w:r>
      <w:r w:rsidR="00FB7986" w:rsidRPr="00A07F29">
        <w:rPr>
          <w:rFonts w:ascii="Times New Roman" w:eastAsia="Calibri" w:hAnsi="Times New Roman" w:cs="Calibri"/>
          <w:sz w:val="24"/>
        </w:rPr>
        <w:t> </w:t>
      </w:r>
      <w:r w:rsidRPr="00A07F29">
        <w:rPr>
          <w:rFonts w:ascii="Times New Roman" w:eastAsia="Calibri" w:hAnsi="Times New Roman" w:cs="Calibri"/>
          <w:sz w:val="24"/>
        </w:rPr>
        <w:t>tabula. Valsts aizsargājamie kultūras pieminekļi</w:t>
      </w:r>
    </w:p>
    <w:p w14:paraId="7F6895B7" w14:textId="6784A641" w:rsidR="007E1EDD" w:rsidRPr="00A07F29" w:rsidRDefault="00CD4823" w:rsidP="000B764E">
      <w:pPr>
        <w:keepNext/>
        <w:spacing w:after="120" w:line="240" w:lineRule="auto"/>
        <w:jc w:val="center"/>
        <w:rPr>
          <w:rFonts w:ascii="Times New Roman" w:eastAsia="Calibri" w:hAnsi="Times New Roman" w:cs="Calibri"/>
        </w:rPr>
      </w:pPr>
      <w:r w:rsidRPr="00A07F29">
        <w:rPr>
          <w:rFonts w:ascii="Times New Roman" w:eastAsia="Calibri" w:hAnsi="Times New Roman" w:cs="Calibri"/>
        </w:rPr>
        <w:t>(datu avots</w:t>
      </w:r>
      <w:r w:rsidR="00FB7986" w:rsidRPr="00A07F29">
        <w:rPr>
          <w:rFonts w:ascii="Times New Roman" w:eastAsia="Calibri" w:hAnsi="Times New Roman" w:cs="Calibri"/>
        </w:rPr>
        <w:t xml:space="preserve">: </w:t>
      </w:r>
      <w:r w:rsidRPr="00A07F29">
        <w:rPr>
          <w:rFonts w:ascii="Times New Roman" w:eastAsia="Calibri" w:hAnsi="Times New Roman" w:cs="Calibri"/>
        </w:rPr>
        <w:t>N</w:t>
      </w:r>
      <w:r w:rsidR="008551E0">
        <w:rPr>
          <w:rFonts w:ascii="Times New Roman" w:eastAsia="Calibri" w:hAnsi="Times New Roman" w:cs="Calibri"/>
        </w:rPr>
        <w:t>KMP</w:t>
      </w:r>
      <w:r w:rsidR="00FF18B5" w:rsidRPr="00A07F29">
        <w:rPr>
          <w:rFonts w:ascii="Times New Roman" w:eastAsia="Calibri" w:hAnsi="Times New Roman" w:cs="Calibri"/>
        </w:rPr>
        <w:t>,</w:t>
      </w:r>
      <w:r w:rsidRPr="00A07F29">
        <w:rPr>
          <w:rFonts w:ascii="Times New Roman" w:eastAsia="Calibri" w:hAnsi="Times New Roman" w:cs="Calibri"/>
        </w:rPr>
        <w:t xml:space="preserve"> 30.03.2020.)</w:t>
      </w:r>
    </w:p>
    <w:tbl>
      <w:tblPr>
        <w:tblStyle w:val="Reatabula6"/>
        <w:tblW w:w="0" w:type="auto"/>
        <w:tblLook w:val="04A0" w:firstRow="1" w:lastRow="0" w:firstColumn="1" w:lastColumn="0" w:noHBand="0" w:noVBand="1"/>
      </w:tblPr>
      <w:tblGrid>
        <w:gridCol w:w="846"/>
        <w:gridCol w:w="1767"/>
        <w:gridCol w:w="2911"/>
        <w:gridCol w:w="3492"/>
      </w:tblGrid>
      <w:tr w:rsidR="007E1EDD" w:rsidRPr="00A07F29" w14:paraId="1FB56177" w14:textId="77777777" w:rsidTr="26F09819">
        <w:trPr>
          <w:tblHeader/>
        </w:trPr>
        <w:tc>
          <w:tcPr>
            <w:tcW w:w="846" w:type="dxa"/>
            <w:shd w:val="clear" w:color="auto" w:fill="D6E3BC" w:themeFill="accent3" w:themeFillTint="66"/>
            <w:vAlign w:val="center"/>
          </w:tcPr>
          <w:p w14:paraId="6A44891C" w14:textId="77777777" w:rsidR="007E1EDD" w:rsidRPr="00A07F29" w:rsidRDefault="007E1EDD" w:rsidP="000B764E">
            <w:pPr>
              <w:keepNext/>
              <w:ind w:left="264" w:hanging="264"/>
              <w:jc w:val="center"/>
              <w:rPr>
                <w:rFonts w:ascii="Times New Roman" w:hAnsi="Times New Roman" w:cs="Times New Roman"/>
              </w:rPr>
            </w:pPr>
            <w:bookmarkStart w:id="11" w:name="_Hlk514922383"/>
            <w:r w:rsidRPr="00A07F29">
              <w:rPr>
                <w:rFonts w:ascii="Times New Roman" w:hAnsi="Times New Roman" w:cs="Times New Roman"/>
              </w:rPr>
              <w:br w:type="page"/>
            </w:r>
            <w:proofErr w:type="spellStart"/>
            <w:r w:rsidRPr="00A07F29">
              <w:rPr>
                <w:rFonts w:ascii="Times New Roman" w:hAnsi="Times New Roman" w:cs="Times New Roman"/>
                <w:iCs/>
              </w:rPr>
              <w:t>Nr.p.k</w:t>
            </w:r>
            <w:proofErr w:type="spellEnd"/>
            <w:r w:rsidRPr="00A07F29">
              <w:rPr>
                <w:rFonts w:ascii="Times New Roman" w:hAnsi="Times New Roman" w:cs="Times New Roman"/>
                <w:iCs/>
              </w:rPr>
              <w:t>.</w:t>
            </w:r>
          </w:p>
        </w:tc>
        <w:tc>
          <w:tcPr>
            <w:tcW w:w="1767" w:type="dxa"/>
            <w:shd w:val="clear" w:color="auto" w:fill="D6E3BC" w:themeFill="accent3" w:themeFillTint="66"/>
            <w:vAlign w:val="center"/>
          </w:tcPr>
          <w:p w14:paraId="624CEC48" w14:textId="77777777" w:rsidR="007E1EDD" w:rsidRPr="00A07F29" w:rsidRDefault="007E1EDD" w:rsidP="000B764E">
            <w:pPr>
              <w:keepNext/>
              <w:jc w:val="center"/>
              <w:rPr>
                <w:rFonts w:ascii="Times New Roman" w:hAnsi="Times New Roman" w:cs="Times New Roman"/>
              </w:rPr>
            </w:pPr>
            <w:r w:rsidRPr="00A07F29">
              <w:rPr>
                <w:rFonts w:ascii="Times New Roman" w:hAnsi="Times New Roman" w:cs="Times New Roman"/>
                <w:iCs/>
              </w:rPr>
              <w:t>Valsts aizsardzības Nr.</w:t>
            </w:r>
          </w:p>
        </w:tc>
        <w:tc>
          <w:tcPr>
            <w:tcW w:w="0" w:type="auto"/>
            <w:shd w:val="clear" w:color="auto" w:fill="D6E3BC" w:themeFill="accent3" w:themeFillTint="66"/>
            <w:vAlign w:val="center"/>
          </w:tcPr>
          <w:p w14:paraId="3C1182B0" w14:textId="77777777" w:rsidR="007E1EDD" w:rsidRPr="00A07F29" w:rsidRDefault="007E1EDD" w:rsidP="000B764E">
            <w:pPr>
              <w:keepNext/>
              <w:jc w:val="center"/>
              <w:rPr>
                <w:rFonts w:ascii="Times New Roman" w:hAnsi="Times New Roman" w:cs="Times New Roman"/>
                <w:iCs/>
              </w:rPr>
            </w:pPr>
            <w:r w:rsidRPr="00A07F29">
              <w:rPr>
                <w:rFonts w:ascii="Times New Roman" w:hAnsi="Times New Roman" w:cs="Times New Roman"/>
                <w:iCs/>
              </w:rPr>
              <w:t>Pieminekļa veids</w:t>
            </w:r>
          </w:p>
        </w:tc>
        <w:tc>
          <w:tcPr>
            <w:tcW w:w="0" w:type="auto"/>
            <w:shd w:val="clear" w:color="auto" w:fill="D6E3BC" w:themeFill="accent3" w:themeFillTint="66"/>
            <w:vAlign w:val="center"/>
          </w:tcPr>
          <w:p w14:paraId="5EF2B277" w14:textId="53275318" w:rsidR="007E1EDD" w:rsidRPr="00A07F29" w:rsidRDefault="007E1EDD" w:rsidP="000B764E">
            <w:pPr>
              <w:keepNext/>
              <w:jc w:val="center"/>
              <w:rPr>
                <w:rFonts w:ascii="Times New Roman" w:hAnsi="Times New Roman" w:cs="Times New Roman"/>
                <w:iCs/>
              </w:rPr>
            </w:pPr>
            <w:r w:rsidRPr="00A07F29">
              <w:rPr>
                <w:rFonts w:ascii="Times New Roman" w:hAnsi="Times New Roman" w:cs="Times New Roman"/>
                <w:iCs/>
              </w:rPr>
              <w:t>Pieminekļa nosaukums</w:t>
            </w:r>
          </w:p>
        </w:tc>
      </w:tr>
      <w:tr w:rsidR="007E1EDD" w:rsidRPr="00A07F29" w14:paraId="2B3619C3" w14:textId="77777777" w:rsidTr="26F09819">
        <w:tc>
          <w:tcPr>
            <w:tcW w:w="0" w:type="auto"/>
            <w:gridSpan w:val="4"/>
            <w:shd w:val="clear" w:color="auto" w:fill="C2D69B" w:themeFill="accent3" w:themeFillTint="99"/>
          </w:tcPr>
          <w:p w14:paraId="0C68CABB" w14:textId="439B6522" w:rsidR="007E1EDD" w:rsidRPr="00A07F29" w:rsidRDefault="007E1EDD" w:rsidP="000B764E">
            <w:pPr>
              <w:keepNext/>
              <w:jc w:val="center"/>
              <w:rPr>
                <w:rFonts w:ascii="Times New Roman" w:hAnsi="Times New Roman" w:cs="Times New Roman"/>
                <w:b/>
                <w:bCs/>
                <w:iCs/>
              </w:rPr>
            </w:pPr>
            <w:r w:rsidRPr="00A07F29">
              <w:rPr>
                <w:rFonts w:ascii="Times New Roman" w:hAnsi="Times New Roman" w:cs="Times New Roman"/>
                <w:b/>
                <w:bCs/>
                <w:iCs/>
              </w:rPr>
              <w:t>Daugavpils novads</w:t>
            </w:r>
            <w:r w:rsidR="00DD567F" w:rsidRPr="00A07F29">
              <w:rPr>
                <w:rFonts w:ascii="Times New Roman" w:hAnsi="Times New Roman" w:cs="Times New Roman"/>
                <w:b/>
                <w:bCs/>
                <w:iCs/>
              </w:rPr>
              <w:t xml:space="preserve"> (no 01.07.2021. – </w:t>
            </w:r>
            <w:proofErr w:type="spellStart"/>
            <w:r w:rsidR="00DD567F" w:rsidRPr="00A07F29">
              <w:rPr>
                <w:rFonts w:ascii="Times New Roman" w:hAnsi="Times New Roman" w:cs="Times New Roman"/>
                <w:b/>
                <w:bCs/>
                <w:iCs/>
              </w:rPr>
              <w:t>Aušdaugavas</w:t>
            </w:r>
            <w:proofErr w:type="spellEnd"/>
            <w:r w:rsidR="00DD567F" w:rsidRPr="00A07F29">
              <w:rPr>
                <w:rFonts w:ascii="Times New Roman" w:hAnsi="Times New Roman" w:cs="Times New Roman"/>
                <w:b/>
                <w:bCs/>
                <w:iCs/>
              </w:rPr>
              <w:t xml:space="preserve"> novads)</w:t>
            </w:r>
          </w:p>
        </w:tc>
      </w:tr>
      <w:tr w:rsidR="007E1EDD" w:rsidRPr="00A07F29" w14:paraId="3BD67DB9" w14:textId="77777777" w:rsidTr="26F09819">
        <w:tc>
          <w:tcPr>
            <w:tcW w:w="0" w:type="auto"/>
            <w:gridSpan w:val="4"/>
          </w:tcPr>
          <w:p w14:paraId="55871FA9" w14:textId="77777777" w:rsidR="007E1EDD" w:rsidRPr="00A07F29" w:rsidRDefault="007E1EDD" w:rsidP="000B764E">
            <w:pPr>
              <w:keepNext/>
              <w:jc w:val="center"/>
              <w:rPr>
                <w:rFonts w:ascii="Times New Roman" w:hAnsi="Times New Roman" w:cs="Times New Roman"/>
                <w:b/>
                <w:bCs/>
                <w:iCs/>
              </w:rPr>
            </w:pPr>
            <w:r w:rsidRPr="00A07F29">
              <w:rPr>
                <w:rFonts w:ascii="Times New Roman" w:hAnsi="Times New Roman" w:cs="Times New Roman"/>
                <w:b/>
                <w:bCs/>
                <w:iCs/>
              </w:rPr>
              <w:t>Naujenes pagasts</w:t>
            </w:r>
          </w:p>
        </w:tc>
      </w:tr>
      <w:tr w:rsidR="007E1EDD" w:rsidRPr="00A07F29" w14:paraId="29FCF7B6" w14:textId="77777777" w:rsidTr="26F09819">
        <w:tc>
          <w:tcPr>
            <w:tcW w:w="846" w:type="dxa"/>
          </w:tcPr>
          <w:p w14:paraId="2EA1E831" w14:textId="77777777" w:rsidR="007E1EDD" w:rsidRPr="00A07F29" w:rsidRDefault="007E1EDD" w:rsidP="000B764E">
            <w:pPr>
              <w:keepNext/>
              <w:ind w:left="264" w:hanging="264"/>
              <w:jc w:val="center"/>
              <w:rPr>
                <w:rFonts w:ascii="Times New Roman" w:hAnsi="Times New Roman" w:cs="Times New Roman"/>
              </w:rPr>
            </w:pPr>
            <w:r w:rsidRPr="00A07F29">
              <w:rPr>
                <w:rFonts w:ascii="Times New Roman" w:hAnsi="Times New Roman" w:cs="Times New Roman"/>
              </w:rPr>
              <w:t>1.</w:t>
            </w:r>
          </w:p>
        </w:tc>
        <w:tc>
          <w:tcPr>
            <w:tcW w:w="1767" w:type="dxa"/>
          </w:tcPr>
          <w:p w14:paraId="14556C4E" w14:textId="77777777" w:rsidR="007E1EDD" w:rsidRPr="00A07F29" w:rsidRDefault="007E1EDD" w:rsidP="000B764E">
            <w:pPr>
              <w:keepNext/>
              <w:jc w:val="center"/>
              <w:rPr>
                <w:rFonts w:ascii="Times New Roman" w:hAnsi="Times New Roman" w:cs="Times New Roman"/>
                <w:iCs/>
              </w:rPr>
            </w:pPr>
            <w:r w:rsidRPr="00A07F29">
              <w:rPr>
                <w:rFonts w:ascii="Times New Roman" w:hAnsi="Times New Roman" w:cs="Times New Roman"/>
              </w:rPr>
              <w:t>8713</w:t>
            </w:r>
          </w:p>
        </w:tc>
        <w:tc>
          <w:tcPr>
            <w:tcW w:w="2911" w:type="dxa"/>
          </w:tcPr>
          <w:p w14:paraId="2C28B146" w14:textId="77777777" w:rsidR="007E1EDD" w:rsidRPr="00A07F29" w:rsidRDefault="007E1EDD" w:rsidP="000B764E">
            <w:pPr>
              <w:keepNext/>
              <w:jc w:val="center"/>
              <w:rPr>
                <w:rFonts w:ascii="Times New Roman" w:hAnsi="Times New Roman" w:cs="Times New Roman"/>
                <w:iCs/>
              </w:rPr>
            </w:pPr>
            <w:r w:rsidRPr="00A07F29">
              <w:rPr>
                <w:rFonts w:ascii="Times New Roman" w:hAnsi="Times New Roman" w:cs="Times New Roman"/>
              </w:rPr>
              <w:t>Vietējas nozīmes arhitektūra</w:t>
            </w:r>
          </w:p>
        </w:tc>
        <w:tc>
          <w:tcPr>
            <w:tcW w:w="3492" w:type="dxa"/>
          </w:tcPr>
          <w:p w14:paraId="3025821A" w14:textId="77777777" w:rsidR="007E1EDD" w:rsidRPr="00A07F29" w:rsidRDefault="007E1EDD" w:rsidP="000B764E">
            <w:pPr>
              <w:keepNext/>
              <w:jc w:val="center"/>
              <w:rPr>
                <w:rFonts w:ascii="Times New Roman" w:hAnsi="Times New Roman" w:cs="Times New Roman"/>
                <w:iCs/>
              </w:rPr>
            </w:pPr>
            <w:proofErr w:type="spellStart"/>
            <w:r w:rsidRPr="00A07F29">
              <w:rPr>
                <w:rFonts w:ascii="Times New Roman" w:hAnsi="Times New Roman" w:cs="Times New Roman"/>
                <w:color w:val="333333"/>
                <w:shd w:val="clear" w:color="auto" w:fill="F9F9F9"/>
              </w:rPr>
              <w:t>Jezupovas</w:t>
            </w:r>
            <w:proofErr w:type="spellEnd"/>
            <w:r w:rsidRPr="00A07F29">
              <w:rPr>
                <w:rFonts w:ascii="Times New Roman" w:hAnsi="Times New Roman" w:cs="Times New Roman"/>
                <w:color w:val="333333"/>
                <w:shd w:val="clear" w:color="auto" w:fill="F9F9F9"/>
              </w:rPr>
              <w:t xml:space="preserve"> </w:t>
            </w:r>
            <w:proofErr w:type="spellStart"/>
            <w:r w:rsidRPr="00A07F29">
              <w:rPr>
                <w:rFonts w:ascii="Times New Roman" w:hAnsi="Times New Roman" w:cs="Times New Roman"/>
                <w:color w:val="333333"/>
                <w:shd w:val="clear" w:color="auto" w:fill="F9F9F9"/>
              </w:rPr>
              <w:t>Sv.Pētera</w:t>
            </w:r>
            <w:proofErr w:type="spellEnd"/>
            <w:r w:rsidRPr="00A07F29">
              <w:rPr>
                <w:rFonts w:ascii="Times New Roman" w:hAnsi="Times New Roman" w:cs="Times New Roman"/>
                <w:color w:val="333333"/>
                <w:shd w:val="clear" w:color="auto" w:fill="F9F9F9"/>
              </w:rPr>
              <w:t xml:space="preserve"> un Pāvila Romas katoļu baznīca</w:t>
            </w:r>
          </w:p>
        </w:tc>
      </w:tr>
      <w:tr w:rsidR="007E1EDD" w:rsidRPr="00A07F29" w14:paraId="0BDDBC6D" w14:textId="77777777" w:rsidTr="26F09819">
        <w:tc>
          <w:tcPr>
            <w:tcW w:w="846" w:type="dxa"/>
          </w:tcPr>
          <w:p w14:paraId="68B7D9E8" w14:textId="77777777" w:rsidR="007E1EDD" w:rsidRPr="00A07F29" w:rsidRDefault="007E1EDD" w:rsidP="000B764E">
            <w:pPr>
              <w:ind w:left="264" w:hanging="264"/>
              <w:jc w:val="center"/>
              <w:rPr>
                <w:rFonts w:ascii="Times New Roman" w:hAnsi="Times New Roman" w:cs="Times New Roman"/>
              </w:rPr>
            </w:pPr>
            <w:r w:rsidRPr="00A07F29">
              <w:rPr>
                <w:rFonts w:ascii="Times New Roman" w:hAnsi="Times New Roman" w:cs="Times New Roman"/>
              </w:rPr>
              <w:t>2.</w:t>
            </w:r>
          </w:p>
        </w:tc>
        <w:tc>
          <w:tcPr>
            <w:tcW w:w="1767" w:type="dxa"/>
          </w:tcPr>
          <w:p w14:paraId="702F7C7C" w14:textId="77777777" w:rsidR="007E1EDD" w:rsidRPr="00A07F29" w:rsidRDefault="007E1EDD" w:rsidP="000B764E">
            <w:pPr>
              <w:jc w:val="center"/>
              <w:rPr>
                <w:rFonts w:ascii="Times New Roman" w:hAnsi="Times New Roman" w:cs="Times New Roman"/>
              </w:rPr>
            </w:pPr>
            <w:r w:rsidRPr="00A07F29">
              <w:rPr>
                <w:rFonts w:ascii="Times New Roman" w:hAnsi="Times New Roman" w:cs="Times New Roman"/>
              </w:rPr>
              <w:t>8986</w:t>
            </w:r>
          </w:p>
        </w:tc>
        <w:tc>
          <w:tcPr>
            <w:tcW w:w="2911" w:type="dxa"/>
          </w:tcPr>
          <w:p w14:paraId="68C78DC4" w14:textId="77777777" w:rsidR="007E1EDD" w:rsidRPr="00A07F29" w:rsidRDefault="007E1EDD" w:rsidP="000B764E">
            <w:pPr>
              <w:jc w:val="center"/>
              <w:rPr>
                <w:rFonts w:ascii="Times New Roman" w:hAnsi="Times New Roman" w:cs="Times New Roman"/>
              </w:rPr>
            </w:pPr>
            <w:r w:rsidRPr="00A07F29">
              <w:rPr>
                <w:rFonts w:ascii="Times New Roman" w:hAnsi="Times New Roman" w:cs="Times New Roman"/>
              </w:rPr>
              <w:t>Valsts nozīmes arhitektūra</w:t>
            </w:r>
          </w:p>
        </w:tc>
        <w:tc>
          <w:tcPr>
            <w:tcW w:w="3492" w:type="dxa"/>
          </w:tcPr>
          <w:p w14:paraId="4A96879F" w14:textId="77777777" w:rsidR="007E1EDD" w:rsidRPr="00A07F29" w:rsidRDefault="007E1EDD" w:rsidP="000B764E">
            <w:pPr>
              <w:jc w:val="center"/>
              <w:rPr>
                <w:rFonts w:ascii="Times New Roman" w:hAnsi="Times New Roman" w:cs="Times New Roman"/>
                <w:color w:val="333333"/>
                <w:shd w:val="clear" w:color="auto" w:fill="F9F9F9"/>
              </w:rPr>
            </w:pPr>
            <w:proofErr w:type="spellStart"/>
            <w:r w:rsidRPr="00A07F29">
              <w:rPr>
                <w:rFonts w:ascii="Times New Roman" w:hAnsi="Times New Roman" w:cs="Times New Roman"/>
                <w:iCs/>
              </w:rPr>
              <w:t>Slutišku</w:t>
            </w:r>
            <w:proofErr w:type="spellEnd"/>
            <w:r w:rsidRPr="00A07F29">
              <w:rPr>
                <w:rFonts w:ascii="Times New Roman" w:hAnsi="Times New Roman" w:cs="Times New Roman"/>
                <w:iCs/>
              </w:rPr>
              <w:t xml:space="preserve"> sādža</w:t>
            </w:r>
          </w:p>
        </w:tc>
      </w:tr>
      <w:tr w:rsidR="007E1EDD" w:rsidRPr="00A07F29" w14:paraId="2C3C47CE" w14:textId="77777777" w:rsidTr="26F09819">
        <w:tc>
          <w:tcPr>
            <w:tcW w:w="846" w:type="dxa"/>
          </w:tcPr>
          <w:p w14:paraId="54925705" w14:textId="77777777" w:rsidR="007E1EDD" w:rsidRPr="00A07F29" w:rsidRDefault="007E1EDD" w:rsidP="000B764E">
            <w:pPr>
              <w:ind w:left="264" w:hanging="264"/>
              <w:jc w:val="center"/>
              <w:rPr>
                <w:rFonts w:ascii="Times New Roman" w:hAnsi="Times New Roman" w:cs="Times New Roman"/>
              </w:rPr>
            </w:pPr>
            <w:r w:rsidRPr="00A07F29">
              <w:rPr>
                <w:rFonts w:ascii="Times New Roman" w:hAnsi="Times New Roman" w:cs="Times New Roman"/>
              </w:rPr>
              <w:t>3.</w:t>
            </w:r>
          </w:p>
        </w:tc>
        <w:tc>
          <w:tcPr>
            <w:tcW w:w="1767" w:type="dxa"/>
          </w:tcPr>
          <w:p w14:paraId="0D214837" w14:textId="77777777" w:rsidR="007E1EDD" w:rsidRPr="00A07F29" w:rsidRDefault="007E1EDD" w:rsidP="000B764E">
            <w:pPr>
              <w:jc w:val="center"/>
              <w:rPr>
                <w:rFonts w:ascii="Times New Roman" w:hAnsi="Times New Roman" w:cs="Times New Roman"/>
                <w:iCs/>
              </w:rPr>
            </w:pPr>
            <w:r w:rsidRPr="00A07F29">
              <w:rPr>
                <w:rFonts w:ascii="Times New Roman" w:hAnsi="Times New Roman" w:cs="Times New Roman"/>
              </w:rPr>
              <w:t>675</w:t>
            </w:r>
          </w:p>
        </w:tc>
        <w:tc>
          <w:tcPr>
            <w:tcW w:w="2911" w:type="dxa"/>
          </w:tcPr>
          <w:p w14:paraId="50DC20F3" w14:textId="77777777" w:rsidR="007E1EDD" w:rsidRPr="00A07F29" w:rsidRDefault="007E1EDD" w:rsidP="000B764E">
            <w:pPr>
              <w:jc w:val="center"/>
              <w:rPr>
                <w:rFonts w:ascii="Times New Roman" w:hAnsi="Times New Roman" w:cs="Times New Roman"/>
                <w:iCs/>
              </w:rPr>
            </w:pPr>
            <w:r w:rsidRPr="00A07F29">
              <w:rPr>
                <w:rFonts w:ascii="Times New Roman" w:hAnsi="Times New Roman" w:cs="Times New Roman"/>
              </w:rPr>
              <w:t>Valsts nozīmes arheoloģija</w:t>
            </w:r>
          </w:p>
        </w:tc>
        <w:tc>
          <w:tcPr>
            <w:tcW w:w="3492" w:type="dxa"/>
          </w:tcPr>
          <w:p w14:paraId="27E8E23F" w14:textId="77777777" w:rsidR="007E1EDD" w:rsidRPr="00A07F29" w:rsidRDefault="007E1EDD" w:rsidP="000B764E">
            <w:pPr>
              <w:jc w:val="center"/>
              <w:rPr>
                <w:rFonts w:ascii="Times New Roman" w:hAnsi="Times New Roman" w:cs="Times New Roman"/>
                <w:iCs/>
              </w:rPr>
            </w:pPr>
            <w:proofErr w:type="spellStart"/>
            <w:r w:rsidRPr="00A07F29">
              <w:rPr>
                <w:rFonts w:ascii="Times New Roman" w:hAnsi="Times New Roman" w:cs="Times New Roman"/>
                <w:iCs/>
              </w:rPr>
              <w:t>Markovas</w:t>
            </w:r>
            <w:proofErr w:type="spellEnd"/>
            <w:r w:rsidRPr="00A07F29">
              <w:rPr>
                <w:rFonts w:ascii="Times New Roman" w:hAnsi="Times New Roman" w:cs="Times New Roman"/>
                <w:iCs/>
              </w:rPr>
              <w:t xml:space="preserve"> pilskalns</w:t>
            </w:r>
          </w:p>
        </w:tc>
      </w:tr>
      <w:tr w:rsidR="007E1EDD" w:rsidRPr="00A07F29" w14:paraId="3178EB51" w14:textId="77777777" w:rsidTr="26F09819">
        <w:tc>
          <w:tcPr>
            <w:tcW w:w="846" w:type="dxa"/>
          </w:tcPr>
          <w:p w14:paraId="1F9B772A" w14:textId="77777777" w:rsidR="007E1EDD" w:rsidRPr="00A07F29" w:rsidRDefault="007E1EDD" w:rsidP="000B764E">
            <w:pPr>
              <w:ind w:left="264" w:hanging="264"/>
              <w:jc w:val="center"/>
              <w:rPr>
                <w:rFonts w:ascii="Times New Roman" w:hAnsi="Times New Roman" w:cs="Times New Roman"/>
              </w:rPr>
            </w:pPr>
            <w:r w:rsidRPr="00A07F29">
              <w:rPr>
                <w:rFonts w:ascii="Times New Roman" w:hAnsi="Times New Roman" w:cs="Times New Roman"/>
              </w:rPr>
              <w:t>4.</w:t>
            </w:r>
          </w:p>
        </w:tc>
        <w:tc>
          <w:tcPr>
            <w:tcW w:w="1767" w:type="dxa"/>
          </w:tcPr>
          <w:p w14:paraId="2A374B1E" w14:textId="77777777" w:rsidR="007E1EDD" w:rsidRPr="00A07F29" w:rsidRDefault="007E1EDD" w:rsidP="000B764E">
            <w:pPr>
              <w:jc w:val="center"/>
              <w:rPr>
                <w:rFonts w:ascii="Times New Roman" w:hAnsi="Times New Roman" w:cs="Times New Roman"/>
                <w:iCs/>
              </w:rPr>
            </w:pPr>
            <w:r w:rsidRPr="00A07F29">
              <w:rPr>
                <w:rFonts w:ascii="Times New Roman" w:hAnsi="Times New Roman" w:cs="Times New Roman"/>
                <w:iCs/>
              </w:rPr>
              <w:t>677</w:t>
            </w:r>
          </w:p>
        </w:tc>
        <w:tc>
          <w:tcPr>
            <w:tcW w:w="2911" w:type="dxa"/>
          </w:tcPr>
          <w:p w14:paraId="264994F8" w14:textId="77777777" w:rsidR="007E1EDD" w:rsidRPr="00A07F29" w:rsidRDefault="007E1EDD" w:rsidP="000B764E">
            <w:pPr>
              <w:jc w:val="center"/>
              <w:rPr>
                <w:rFonts w:ascii="Times New Roman" w:hAnsi="Times New Roman" w:cs="Times New Roman"/>
                <w:iCs/>
              </w:rPr>
            </w:pPr>
            <w:r w:rsidRPr="00A07F29">
              <w:rPr>
                <w:rFonts w:ascii="Times New Roman" w:hAnsi="Times New Roman" w:cs="Times New Roman"/>
              </w:rPr>
              <w:t>Valsts nozīmes arheoloģija</w:t>
            </w:r>
          </w:p>
        </w:tc>
        <w:tc>
          <w:tcPr>
            <w:tcW w:w="3492" w:type="dxa"/>
          </w:tcPr>
          <w:p w14:paraId="6FE4A41D" w14:textId="77777777" w:rsidR="007E1EDD" w:rsidRPr="00A07F29" w:rsidRDefault="007E1EDD" w:rsidP="000B764E">
            <w:pPr>
              <w:jc w:val="center"/>
              <w:rPr>
                <w:rFonts w:ascii="Times New Roman" w:hAnsi="Times New Roman" w:cs="Times New Roman"/>
                <w:iCs/>
              </w:rPr>
            </w:pPr>
            <w:proofErr w:type="spellStart"/>
            <w:r w:rsidRPr="00A07F29">
              <w:rPr>
                <w:rFonts w:ascii="Times New Roman" w:hAnsi="Times New Roman" w:cs="Times New Roman"/>
                <w:iCs/>
              </w:rPr>
              <w:t>Nitišu</w:t>
            </w:r>
            <w:proofErr w:type="spellEnd"/>
            <w:r w:rsidRPr="00A07F29">
              <w:rPr>
                <w:rFonts w:ascii="Times New Roman" w:hAnsi="Times New Roman" w:cs="Times New Roman"/>
                <w:iCs/>
              </w:rPr>
              <w:t xml:space="preserve"> senkapi</w:t>
            </w:r>
          </w:p>
        </w:tc>
      </w:tr>
      <w:tr w:rsidR="007E1EDD" w:rsidRPr="00A07F29" w14:paraId="7E08F4C0" w14:textId="77777777" w:rsidTr="26F09819">
        <w:tc>
          <w:tcPr>
            <w:tcW w:w="846" w:type="dxa"/>
          </w:tcPr>
          <w:p w14:paraId="06E842CB" w14:textId="77777777" w:rsidR="007E1EDD" w:rsidRPr="00A07F29" w:rsidRDefault="007E1EDD" w:rsidP="000B764E">
            <w:pPr>
              <w:ind w:left="264" w:hanging="264"/>
              <w:jc w:val="center"/>
              <w:rPr>
                <w:rFonts w:ascii="Times New Roman" w:hAnsi="Times New Roman" w:cs="Times New Roman"/>
              </w:rPr>
            </w:pPr>
            <w:r w:rsidRPr="00A07F29">
              <w:rPr>
                <w:rFonts w:ascii="Times New Roman" w:hAnsi="Times New Roman" w:cs="Times New Roman"/>
              </w:rPr>
              <w:t>5.</w:t>
            </w:r>
          </w:p>
        </w:tc>
        <w:tc>
          <w:tcPr>
            <w:tcW w:w="1767" w:type="dxa"/>
          </w:tcPr>
          <w:p w14:paraId="17571A59" w14:textId="77777777" w:rsidR="007E1EDD" w:rsidRPr="00A07F29" w:rsidRDefault="007E1EDD" w:rsidP="000B764E">
            <w:pPr>
              <w:jc w:val="center"/>
              <w:rPr>
                <w:rFonts w:ascii="Times New Roman" w:hAnsi="Times New Roman" w:cs="Times New Roman"/>
                <w:iCs/>
              </w:rPr>
            </w:pPr>
            <w:r w:rsidRPr="00A07F29">
              <w:rPr>
                <w:rFonts w:ascii="Times New Roman" w:hAnsi="Times New Roman" w:cs="Times New Roman"/>
                <w:iCs/>
              </w:rPr>
              <w:t>678</w:t>
            </w:r>
          </w:p>
        </w:tc>
        <w:tc>
          <w:tcPr>
            <w:tcW w:w="2911" w:type="dxa"/>
          </w:tcPr>
          <w:p w14:paraId="039A8F71" w14:textId="77777777" w:rsidR="007E1EDD" w:rsidRPr="00A07F29" w:rsidRDefault="007E1EDD" w:rsidP="000B764E">
            <w:pPr>
              <w:jc w:val="center"/>
              <w:rPr>
                <w:rFonts w:ascii="Times New Roman" w:hAnsi="Times New Roman" w:cs="Times New Roman"/>
                <w:iCs/>
              </w:rPr>
            </w:pPr>
            <w:r w:rsidRPr="00A07F29">
              <w:rPr>
                <w:rFonts w:ascii="Times New Roman" w:hAnsi="Times New Roman" w:cs="Times New Roman"/>
              </w:rPr>
              <w:t>Valsts nozīmes arheoloģija</w:t>
            </w:r>
          </w:p>
        </w:tc>
        <w:tc>
          <w:tcPr>
            <w:tcW w:w="3492" w:type="dxa"/>
          </w:tcPr>
          <w:p w14:paraId="5B7DA3FD" w14:textId="77777777" w:rsidR="007E1EDD" w:rsidRPr="00A07F29" w:rsidRDefault="007E1EDD" w:rsidP="000B764E">
            <w:pPr>
              <w:jc w:val="center"/>
              <w:rPr>
                <w:rFonts w:ascii="Times New Roman" w:hAnsi="Times New Roman" w:cs="Times New Roman"/>
                <w:iCs/>
              </w:rPr>
            </w:pPr>
            <w:proofErr w:type="spellStart"/>
            <w:r w:rsidRPr="00A07F29">
              <w:rPr>
                <w:rFonts w:ascii="Times New Roman" w:hAnsi="Times New Roman" w:cs="Times New Roman"/>
                <w:iCs/>
              </w:rPr>
              <w:t>Rudānu</w:t>
            </w:r>
            <w:proofErr w:type="spellEnd"/>
            <w:r w:rsidRPr="00A07F29">
              <w:rPr>
                <w:rFonts w:ascii="Times New Roman" w:hAnsi="Times New Roman" w:cs="Times New Roman"/>
                <w:iCs/>
              </w:rPr>
              <w:t xml:space="preserve"> senkapi</w:t>
            </w:r>
          </w:p>
        </w:tc>
      </w:tr>
      <w:tr w:rsidR="007E1EDD" w:rsidRPr="00A07F29" w14:paraId="38F4D0B8" w14:textId="77777777" w:rsidTr="26F09819">
        <w:tc>
          <w:tcPr>
            <w:tcW w:w="846" w:type="dxa"/>
          </w:tcPr>
          <w:p w14:paraId="38A273C5" w14:textId="77777777" w:rsidR="007E1EDD" w:rsidRPr="00A07F29" w:rsidRDefault="007E1EDD" w:rsidP="000B764E">
            <w:pPr>
              <w:ind w:left="264" w:hanging="264"/>
              <w:jc w:val="center"/>
              <w:rPr>
                <w:rFonts w:ascii="Times New Roman" w:hAnsi="Times New Roman" w:cs="Times New Roman"/>
              </w:rPr>
            </w:pPr>
            <w:r w:rsidRPr="00A07F29">
              <w:rPr>
                <w:rFonts w:ascii="Times New Roman" w:hAnsi="Times New Roman" w:cs="Times New Roman"/>
              </w:rPr>
              <w:t>6.</w:t>
            </w:r>
          </w:p>
        </w:tc>
        <w:tc>
          <w:tcPr>
            <w:tcW w:w="1767" w:type="dxa"/>
          </w:tcPr>
          <w:p w14:paraId="4B401685" w14:textId="77777777" w:rsidR="007E1EDD" w:rsidRPr="00A07F29" w:rsidRDefault="007E1EDD" w:rsidP="000B764E">
            <w:pPr>
              <w:jc w:val="center"/>
              <w:rPr>
                <w:rFonts w:ascii="Times New Roman" w:hAnsi="Times New Roman" w:cs="Times New Roman"/>
                <w:iCs/>
              </w:rPr>
            </w:pPr>
            <w:r w:rsidRPr="00A07F29">
              <w:rPr>
                <w:rFonts w:ascii="Times New Roman" w:hAnsi="Times New Roman" w:cs="Times New Roman"/>
                <w:iCs/>
              </w:rPr>
              <w:t>679</w:t>
            </w:r>
          </w:p>
        </w:tc>
        <w:tc>
          <w:tcPr>
            <w:tcW w:w="2911" w:type="dxa"/>
          </w:tcPr>
          <w:p w14:paraId="74ACD0DE" w14:textId="77777777" w:rsidR="007E1EDD" w:rsidRPr="00A07F29" w:rsidRDefault="007E1EDD" w:rsidP="000B764E">
            <w:pPr>
              <w:jc w:val="center"/>
              <w:rPr>
                <w:rFonts w:ascii="Times New Roman" w:hAnsi="Times New Roman" w:cs="Times New Roman"/>
                <w:iCs/>
              </w:rPr>
            </w:pPr>
            <w:r w:rsidRPr="00A07F29">
              <w:rPr>
                <w:rFonts w:ascii="Times New Roman" w:hAnsi="Times New Roman" w:cs="Times New Roman"/>
              </w:rPr>
              <w:t>Vietējas nozīmes arheoloģija</w:t>
            </w:r>
          </w:p>
        </w:tc>
        <w:tc>
          <w:tcPr>
            <w:tcW w:w="3492" w:type="dxa"/>
          </w:tcPr>
          <w:p w14:paraId="24D5CBB6" w14:textId="77777777" w:rsidR="007E1EDD" w:rsidRPr="00A07F29" w:rsidRDefault="007E1EDD" w:rsidP="000B764E">
            <w:pPr>
              <w:jc w:val="center"/>
              <w:rPr>
                <w:rFonts w:ascii="Times New Roman" w:hAnsi="Times New Roman" w:cs="Times New Roman"/>
                <w:iCs/>
              </w:rPr>
            </w:pPr>
            <w:proofErr w:type="spellStart"/>
            <w:r w:rsidRPr="00A07F29">
              <w:rPr>
                <w:rFonts w:ascii="Times New Roman" w:hAnsi="Times New Roman" w:cs="Times New Roman"/>
                <w:iCs/>
              </w:rPr>
              <w:t>Slutišku</w:t>
            </w:r>
            <w:proofErr w:type="spellEnd"/>
            <w:r w:rsidRPr="00A07F29">
              <w:rPr>
                <w:rFonts w:ascii="Times New Roman" w:hAnsi="Times New Roman" w:cs="Times New Roman"/>
                <w:iCs/>
              </w:rPr>
              <w:t xml:space="preserve"> apmetne un viduslaiku kapsēta</w:t>
            </w:r>
          </w:p>
        </w:tc>
      </w:tr>
      <w:tr w:rsidR="007E1EDD" w:rsidRPr="00A07F29" w14:paraId="6F6AA198" w14:textId="77777777" w:rsidTr="26F09819">
        <w:tc>
          <w:tcPr>
            <w:tcW w:w="846" w:type="dxa"/>
          </w:tcPr>
          <w:p w14:paraId="22F80740" w14:textId="77777777" w:rsidR="007E1EDD" w:rsidRPr="00A07F29" w:rsidRDefault="007E1EDD" w:rsidP="000B764E">
            <w:pPr>
              <w:ind w:left="264" w:hanging="264"/>
              <w:jc w:val="center"/>
              <w:rPr>
                <w:rFonts w:ascii="Times New Roman" w:hAnsi="Times New Roman" w:cs="Times New Roman"/>
              </w:rPr>
            </w:pPr>
            <w:r w:rsidRPr="00A07F29">
              <w:rPr>
                <w:rFonts w:ascii="Times New Roman" w:hAnsi="Times New Roman" w:cs="Times New Roman"/>
              </w:rPr>
              <w:t>7.</w:t>
            </w:r>
          </w:p>
        </w:tc>
        <w:tc>
          <w:tcPr>
            <w:tcW w:w="1767" w:type="dxa"/>
          </w:tcPr>
          <w:p w14:paraId="203AE503" w14:textId="77777777" w:rsidR="007E1EDD" w:rsidRPr="00A07F29" w:rsidRDefault="007E1EDD" w:rsidP="000B764E">
            <w:pPr>
              <w:jc w:val="center"/>
              <w:rPr>
                <w:rFonts w:ascii="Times New Roman" w:hAnsi="Times New Roman" w:cs="Times New Roman"/>
                <w:iCs/>
              </w:rPr>
            </w:pPr>
            <w:r w:rsidRPr="00A07F29">
              <w:rPr>
                <w:rFonts w:ascii="Times New Roman" w:hAnsi="Times New Roman" w:cs="Times New Roman"/>
                <w:iCs/>
              </w:rPr>
              <w:t>680</w:t>
            </w:r>
          </w:p>
        </w:tc>
        <w:tc>
          <w:tcPr>
            <w:tcW w:w="2911" w:type="dxa"/>
          </w:tcPr>
          <w:p w14:paraId="0E7077DD" w14:textId="77777777" w:rsidR="007E1EDD" w:rsidRPr="00A07F29" w:rsidRDefault="007E1EDD" w:rsidP="000B764E">
            <w:pPr>
              <w:jc w:val="center"/>
              <w:rPr>
                <w:rFonts w:ascii="Times New Roman" w:hAnsi="Times New Roman" w:cs="Times New Roman"/>
                <w:iCs/>
              </w:rPr>
            </w:pPr>
            <w:r w:rsidRPr="00A07F29">
              <w:rPr>
                <w:rFonts w:ascii="Times New Roman" w:hAnsi="Times New Roman" w:cs="Times New Roman"/>
              </w:rPr>
              <w:t>Valsts nozīmes arheoloģija</w:t>
            </w:r>
          </w:p>
        </w:tc>
        <w:tc>
          <w:tcPr>
            <w:tcW w:w="3492" w:type="dxa"/>
          </w:tcPr>
          <w:p w14:paraId="0BB30F9D" w14:textId="77777777" w:rsidR="007E1EDD" w:rsidRPr="00A07F29" w:rsidRDefault="007E1EDD" w:rsidP="000B764E">
            <w:pPr>
              <w:jc w:val="center"/>
              <w:rPr>
                <w:rFonts w:ascii="Times New Roman" w:hAnsi="Times New Roman" w:cs="Times New Roman"/>
                <w:iCs/>
              </w:rPr>
            </w:pPr>
            <w:r w:rsidRPr="00A07F29">
              <w:rPr>
                <w:rFonts w:ascii="Times New Roman" w:hAnsi="Times New Roman" w:cs="Times New Roman"/>
                <w:iCs/>
              </w:rPr>
              <w:t>Dinaburgas viduslaiku pils</w:t>
            </w:r>
          </w:p>
        </w:tc>
      </w:tr>
      <w:tr w:rsidR="007E1EDD" w:rsidRPr="00A07F29" w14:paraId="185D8D70" w14:textId="77777777" w:rsidTr="26F09819">
        <w:tc>
          <w:tcPr>
            <w:tcW w:w="846" w:type="dxa"/>
          </w:tcPr>
          <w:p w14:paraId="68C640D3" w14:textId="77777777" w:rsidR="007E1EDD" w:rsidRPr="00A07F29" w:rsidRDefault="007E1EDD" w:rsidP="000B764E">
            <w:pPr>
              <w:ind w:left="264" w:hanging="264"/>
              <w:jc w:val="center"/>
              <w:rPr>
                <w:rFonts w:ascii="Times New Roman" w:hAnsi="Times New Roman" w:cs="Times New Roman"/>
              </w:rPr>
            </w:pPr>
            <w:r w:rsidRPr="00A07F29">
              <w:rPr>
                <w:rFonts w:ascii="Times New Roman" w:hAnsi="Times New Roman" w:cs="Times New Roman"/>
              </w:rPr>
              <w:t>8.</w:t>
            </w:r>
          </w:p>
        </w:tc>
        <w:tc>
          <w:tcPr>
            <w:tcW w:w="1767" w:type="dxa"/>
          </w:tcPr>
          <w:p w14:paraId="18B1BB31" w14:textId="77777777" w:rsidR="007E1EDD" w:rsidRPr="00A07F29" w:rsidRDefault="007E1EDD" w:rsidP="000B764E">
            <w:pPr>
              <w:jc w:val="center"/>
              <w:rPr>
                <w:rFonts w:ascii="Times New Roman" w:hAnsi="Times New Roman" w:cs="Times New Roman"/>
                <w:iCs/>
              </w:rPr>
            </w:pPr>
            <w:r w:rsidRPr="00A07F29">
              <w:rPr>
                <w:rFonts w:ascii="Times New Roman" w:hAnsi="Times New Roman" w:cs="Times New Roman"/>
                <w:iCs/>
              </w:rPr>
              <w:t>681</w:t>
            </w:r>
          </w:p>
        </w:tc>
        <w:tc>
          <w:tcPr>
            <w:tcW w:w="2911" w:type="dxa"/>
          </w:tcPr>
          <w:p w14:paraId="756706C9" w14:textId="77777777" w:rsidR="007E1EDD" w:rsidRPr="00A07F29" w:rsidRDefault="007E1EDD" w:rsidP="000B764E">
            <w:pPr>
              <w:jc w:val="center"/>
              <w:rPr>
                <w:rFonts w:ascii="Times New Roman" w:hAnsi="Times New Roman" w:cs="Times New Roman"/>
                <w:iCs/>
              </w:rPr>
            </w:pPr>
            <w:r w:rsidRPr="00A07F29">
              <w:rPr>
                <w:rFonts w:ascii="Times New Roman" w:hAnsi="Times New Roman" w:cs="Times New Roman"/>
              </w:rPr>
              <w:t>Valsts nozīmes arheoloģija</w:t>
            </w:r>
          </w:p>
        </w:tc>
        <w:tc>
          <w:tcPr>
            <w:tcW w:w="3492" w:type="dxa"/>
          </w:tcPr>
          <w:p w14:paraId="0C7C51DF" w14:textId="77777777" w:rsidR="007E1EDD" w:rsidRPr="00A07F29" w:rsidRDefault="007E1EDD" w:rsidP="000B764E">
            <w:pPr>
              <w:jc w:val="center"/>
              <w:rPr>
                <w:rFonts w:ascii="Times New Roman" w:hAnsi="Times New Roman" w:cs="Times New Roman"/>
                <w:iCs/>
              </w:rPr>
            </w:pPr>
            <w:proofErr w:type="spellStart"/>
            <w:r w:rsidRPr="00A07F29">
              <w:rPr>
                <w:rFonts w:ascii="Times New Roman" w:hAnsi="Times New Roman" w:cs="Times New Roman"/>
                <w:iCs/>
              </w:rPr>
              <w:t>Vecračinas</w:t>
            </w:r>
            <w:proofErr w:type="spellEnd"/>
            <w:r w:rsidRPr="00A07F29">
              <w:rPr>
                <w:rFonts w:ascii="Times New Roman" w:hAnsi="Times New Roman" w:cs="Times New Roman"/>
                <w:iCs/>
              </w:rPr>
              <w:t xml:space="preserve"> pilskalns</w:t>
            </w:r>
          </w:p>
        </w:tc>
      </w:tr>
      <w:tr w:rsidR="007E1EDD" w:rsidRPr="00A07F29" w14:paraId="04BEAF4C" w14:textId="77777777" w:rsidTr="26F09819">
        <w:tc>
          <w:tcPr>
            <w:tcW w:w="846" w:type="dxa"/>
          </w:tcPr>
          <w:p w14:paraId="5807C8B8" w14:textId="77777777" w:rsidR="007E1EDD" w:rsidRPr="00A07F29" w:rsidRDefault="007E1EDD" w:rsidP="000B764E">
            <w:pPr>
              <w:ind w:left="264" w:hanging="264"/>
              <w:jc w:val="center"/>
              <w:rPr>
                <w:rFonts w:ascii="Times New Roman" w:hAnsi="Times New Roman" w:cs="Times New Roman"/>
              </w:rPr>
            </w:pPr>
            <w:r w:rsidRPr="00A07F29">
              <w:rPr>
                <w:rFonts w:ascii="Times New Roman" w:hAnsi="Times New Roman" w:cs="Times New Roman"/>
              </w:rPr>
              <w:t>9.</w:t>
            </w:r>
          </w:p>
        </w:tc>
        <w:tc>
          <w:tcPr>
            <w:tcW w:w="1767" w:type="dxa"/>
          </w:tcPr>
          <w:p w14:paraId="3DAC1C2D" w14:textId="77777777" w:rsidR="007E1EDD" w:rsidRPr="00A07F29" w:rsidRDefault="007E1EDD" w:rsidP="000B764E">
            <w:pPr>
              <w:jc w:val="center"/>
              <w:rPr>
                <w:rFonts w:ascii="Times New Roman" w:hAnsi="Times New Roman" w:cs="Times New Roman"/>
                <w:iCs/>
              </w:rPr>
            </w:pPr>
            <w:r w:rsidRPr="00A07F29">
              <w:rPr>
                <w:rFonts w:ascii="Times New Roman" w:hAnsi="Times New Roman" w:cs="Times New Roman"/>
                <w:iCs/>
              </w:rPr>
              <w:t>682</w:t>
            </w:r>
          </w:p>
        </w:tc>
        <w:tc>
          <w:tcPr>
            <w:tcW w:w="2911" w:type="dxa"/>
          </w:tcPr>
          <w:p w14:paraId="0EC1C251" w14:textId="77777777" w:rsidR="007E1EDD" w:rsidRPr="00A07F29" w:rsidRDefault="007E1EDD" w:rsidP="000B764E">
            <w:pPr>
              <w:jc w:val="center"/>
              <w:rPr>
                <w:rFonts w:ascii="Times New Roman" w:hAnsi="Times New Roman" w:cs="Times New Roman"/>
                <w:iCs/>
              </w:rPr>
            </w:pPr>
            <w:r w:rsidRPr="00A07F29">
              <w:rPr>
                <w:rFonts w:ascii="Times New Roman" w:hAnsi="Times New Roman" w:cs="Times New Roman"/>
              </w:rPr>
              <w:t>Vietējas nozīmes arheoloģija</w:t>
            </w:r>
          </w:p>
        </w:tc>
        <w:tc>
          <w:tcPr>
            <w:tcW w:w="3492" w:type="dxa"/>
          </w:tcPr>
          <w:p w14:paraId="3A485A58" w14:textId="77777777" w:rsidR="007E1EDD" w:rsidRPr="00A07F29" w:rsidRDefault="007E1EDD" w:rsidP="000B764E">
            <w:pPr>
              <w:jc w:val="center"/>
              <w:rPr>
                <w:rFonts w:ascii="Times New Roman" w:hAnsi="Times New Roman" w:cs="Times New Roman"/>
                <w:iCs/>
              </w:rPr>
            </w:pPr>
            <w:proofErr w:type="spellStart"/>
            <w:r w:rsidRPr="00A07F29">
              <w:rPr>
                <w:rFonts w:ascii="Times New Roman" w:hAnsi="Times New Roman" w:cs="Times New Roman"/>
                <w:iCs/>
              </w:rPr>
              <w:t>Židinas</w:t>
            </w:r>
            <w:proofErr w:type="spellEnd"/>
            <w:r w:rsidRPr="00A07F29">
              <w:rPr>
                <w:rFonts w:ascii="Times New Roman" w:hAnsi="Times New Roman" w:cs="Times New Roman"/>
                <w:iCs/>
              </w:rPr>
              <w:t xml:space="preserve"> senkapi</w:t>
            </w:r>
          </w:p>
        </w:tc>
      </w:tr>
      <w:tr w:rsidR="007E1EDD" w:rsidRPr="00A07F29" w14:paraId="1ABFC1AA" w14:textId="77777777" w:rsidTr="26F09819">
        <w:tc>
          <w:tcPr>
            <w:tcW w:w="0" w:type="auto"/>
            <w:gridSpan w:val="4"/>
          </w:tcPr>
          <w:p w14:paraId="2257BB78" w14:textId="77777777" w:rsidR="007E1EDD" w:rsidRPr="00A07F29" w:rsidRDefault="007E1EDD" w:rsidP="000B764E">
            <w:pPr>
              <w:jc w:val="center"/>
              <w:rPr>
                <w:rFonts w:ascii="Times New Roman" w:hAnsi="Times New Roman" w:cs="Times New Roman"/>
                <w:b/>
                <w:bCs/>
                <w:iCs/>
              </w:rPr>
            </w:pPr>
            <w:r w:rsidRPr="00A07F29">
              <w:rPr>
                <w:rFonts w:ascii="Times New Roman" w:hAnsi="Times New Roman" w:cs="Times New Roman"/>
                <w:b/>
                <w:bCs/>
                <w:iCs/>
              </w:rPr>
              <w:t>Salienas pagasts</w:t>
            </w:r>
          </w:p>
        </w:tc>
      </w:tr>
      <w:tr w:rsidR="007E1EDD" w:rsidRPr="00A07F29" w14:paraId="30D0A83B" w14:textId="77777777" w:rsidTr="26F09819">
        <w:tc>
          <w:tcPr>
            <w:tcW w:w="846" w:type="dxa"/>
          </w:tcPr>
          <w:p w14:paraId="49754CC8" w14:textId="77777777" w:rsidR="007E1EDD" w:rsidRPr="00A07F29" w:rsidRDefault="007E1EDD" w:rsidP="000B764E">
            <w:pPr>
              <w:ind w:left="264" w:hanging="264"/>
              <w:jc w:val="center"/>
              <w:rPr>
                <w:rFonts w:ascii="Times New Roman" w:hAnsi="Times New Roman" w:cs="Times New Roman"/>
              </w:rPr>
            </w:pPr>
            <w:r w:rsidRPr="00A07F29">
              <w:rPr>
                <w:rFonts w:ascii="Times New Roman" w:hAnsi="Times New Roman" w:cs="Times New Roman"/>
              </w:rPr>
              <w:t>10.</w:t>
            </w:r>
          </w:p>
        </w:tc>
        <w:tc>
          <w:tcPr>
            <w:tcW w:w="1767" w:type="dxa"/>
          </w:tcPr>
          <w:p w14:paraId="340F6D13" w14:textId="77777777" w:rsidR="007E1EDD" w:rsidRPr="00A07F29" w:rsidRDefault="007E1EDD" w:rsidP="000B764E">
            <w:pPr>
              <w:jc w:val="center"/>
              <w:rPr>
                <w:rFonts w:ascii="Times New Roman" w:hAnsi="Times New Roman" w:cs="Times New Roman"/>
                <w:iCs/>
              </w:rPr>
            </w:pPr>
            <w:r w:rsidRPr="00A07F29">
              <w:rPr>
                <w:rFonts w:ascii="Times New Roman" w:hAnsi="Times New Roman" w:cs="Times New Roman"/>
                <w:iCs/>
              </w:rPr>
              <w:t>696</w:t>
            </w:r>
          </w:p>
        </w:tc>
        <w:tc>
          <w:tcPr>
            <w:tcW w:w="2911" w:type="dxa"/>
          </w:tcPr>
          <w:p w14:paraId="4ED83244" w14:textId="77777777" w:rsidR="007E1EDD" w:rsidRPr="00A07F29" w:rsidRDefault="007E1EDD" w:rsidP="000B764E">
            <w:pPr>
              <w:jc w:val="center"/>
              <w:rPr>
                <w:rFonts w:ascii="Times New Roman" w:hAnsi="Times New Roman" w:cs="Times New Roman"/>
                <w:iCs/>
              </w:rPr>
            </w:pPr>
            <w:r w:rsidRPr="00A07F29">
              <w:rPr>
                <w:rFonts w:ascii="Times New Roman" w:hAnsi="Times New Roman" w:cs="Times New Roman"/>
              </w:rPr>
              <w:t>Vietējas nozīmes arheoloģija</w:t>
            </w:r>
          </w:p>
        </w:tc>
        <w:tc>
          <w:tcPr>
            <w:tcW w:w="3492" w:type="dxa"/>
          </w:tcPr>
          <w:p w14:paraId="570D35AA" w14:textId="77777777" w:rsidR="007E1EDD" w:rsidRPr="00A07F29" w:rsidRDefault="007E1EDD" w:rsidP="000B764E">
            <w:pPr>
              <w:jc w:val="center"/>
              <w:rPr>
                <w:rFonts w:ascii="Times New Roman" w:hAnsi="Times New Roman" w:cs="Times New Roman"/>
                <w:iCs/>
              </w:rPr>
            </w:pPr>
            <w:proofErr w:type="spellStart"/>
            <w:r w:rsidRPr="00A07F29">
              <w:rPr>
                <w:rFonts w:ascii="Times New Roman" w:hAnsi="Times New Roman" w:cs="Times New Roman"/>
                <w:iCs/>
              </w:rPr>
              <w:t>Kerkūzu</w:t>
            </w:r>
            <w:proofErr w:type="spellEnd"/>
            <w:r w:rsidRPr="00A07F29">
              <w:rPr>
                <w:rFonts w:ascii="Times New Roman" w:hAnsi="Times New Roman" w:cs="Times New Roman"/>
                <w:iCs/>
              </w:rPr>
              <w:t xml:space="preserve"> apmetne</w:t>
            </w:r>
          </w:p>
        </w:tc>
      </w:tr>
      <w:tr w:rsidR="007E1EDD" w:rsidRPr="00A07F29" w14:paraId="2D3C5C23" w14:textId="77777777" w:rsidTr="26F09819">
        <w:tc>
          <w:tcPr>
            <w:tcW w:w="846" w:type="dxa"/>
          </w:tcPr>
          <w:p w14:paraId="4FD2A15F" w14:textId="77777777" w:rsidR="007E1EDD" w:rsidRPr="00A07F29" w:rsidRDefault="007E1EDD" w:rsidP="000B764E">
            <w:pPr>
              <w:ind w:left="264" w:hanging="264"/>
              <w:jc w:val="center"/>
              <w:rPr>
                <w:rFonts w:ascii="Times New Roman" w:hAnsi="Times New Roman" w:cs="Times New Roman"/>
              </w:rPr>
            </w:pPr>
            <w:r w:rsidRPr="00A07F29">
              <w:rPr>
                <w:rFonts w:ascii="Times New Roman" w:hAnsi="Times New Roman" w:cs="Times New Roman"/>
              </w:rPr>
              <w:t>11.</w:t>
            </w:r>
          </w:p>
        </w:tc>
        <w:tc>
          <w:tcPr>
            <w:tcW w:w="1767" w:type="dxa"/>
          </w:tcPr>
          <w:p w14:paraId="5E858D5B" w14:textId="77777777" w:rsidR="007E1EDD" w:rsidRPr="00A07F29" w:rsidRDefault="007E1EDD" w:rsidP="000B764E">
            <w:pPr>
              <w:jc w:val="center"/>
              <w:rPr>
                <w:rFonts w:ascii="Times New Roman" w:hAnsi="Times New Roman" w:cs="Times New Roman"/>
                <w:iCs/>
              </w:rPr>
            </w:pPr>
            <w:r w:rsidRPr="00A07F29">
              <w:rPr>
                <w:rFonts w:ascii="Times New Roman" w:hAnsi="Times New Roman" w:cs="Times New Roman"/>
                <w:iCs/>
              </w:rPr>
              <w:t>697</w:t>
            </w:r>
          </w:p>
        </w:tc>
        <w:tc>
          <w:tcPr>
            <w:tcW w:w="2911" w:type="dxa"/>
          </w:tcPr>
          <w:p w14:paraId="448CBFB7" w14:textId="77777777" w:rsidR="007E1EDD" w:rsidRPr="00A07F29" w:rsidRDefault="007E1EDD" w:rsidP="000B764E">
            <w:pPr>
              <w:jc w:val="center"/>
              <w:rPr>
                <w:rFonts w:ascii="Times New Roman" w:hAnsi="Times New Roman" w:cs="Times New Roman"/>
                <w:iCs/>
              </w:rPr>
            </w:pPr>
            <w:r w:rsidRPr="00A07F29">
              <w:rPr>
                <w:rFonts w:ascii="Times New Roman" w:hAnsi="Times New Roman" w:cs="Times New Roman"/>
              </w:rPr>
              <w:t>Valsts nozīmes arheoloģija</w:t>
            </w:r>
          </w:p>
        </w:tc>
        <w:tc>
          <w:tcPr>
            <w:tcW w:w="3492" w:type="dxa"/>
          </w:tcPr>
          <w:p w14:paraId="66A39948" w14:textId="77777777" w:rsidR="007E1EDD" w:rsidRPr="00A07F29" w:rsidRDefault="007E1EDD" w:rsidP="000B764E">
            <w:pPr>
              <w:jc w:val="center"/>
              <w:rPr>
                <w:rFonts w:ascii="Times New Roman" w:hAnsi="Times New Roman" w:cs="Times New Roman"/>
                <w:iCs/>
              </w:rPr>
            </w:pPr>
            <w:proofErr w:type="spellStart"/>
            <w:r w:rsidRPr="00A07F29">
              <w:rPr>
                <w:rFonts w:ascii="Times New Roman" w:hAnsi="Times New Roman" w:cs="Times New Roman"/>
                <w:iCs/>
              </w:rPr>
              <w:t>Janomoles</w:t>
            </w:r>
            <w:proofErr w:type="spellEnd"/>
            <w:r w:rsidRPr="00A07F29">
              <w:rPr>
                <w:rFonts w:ascii="Times New Roman" w:hAnsi="Times New Roman" w:cs="Times New Roman"/>
                <w:iCs/>
              </w:rPr>
              <w:t xml:space="preserve"> senkapi</w:t>
            </w:r>
          </w:p>
        </w:tc>
      </w:tr>
      <w:tr w:rsidR="007E1EDD" w:rsidRPr="00A07F29" w14:paraId="742F63FA" w14:textId="77777777" w:rsidTr="26F09819">
        <w:tc>
          <w:tcPr>
            <w:tcW w:w="846" w:type="dxa"/>
          </w:tcPr>
          <w:p w14:paraId="7FA783A7" w14:textId="77777777" w:rsidR="007E1EDD" w:rsidRPr="00A07F29" w:rsidRDefault="007E1EDD" w:rsidP="000B764E">
            <w:pPr>
              <w:ind w:left="264" w:hanging="264"/>
              <w:jc w:val="center"/>
              <w:rPr>
                <w:rFonts w:ascii="Times New Roman" w:hAnsi="Times New Roman" w:cs="Times New Roman"/>
              </w:rPr>
            </w:pPr>
            <w:r w:rsidRPr="00A07F29">
              <w:rPr>
                <w:rFonts w:ascii="Times New Roman" w:hAnsi="Times New Roman" w:cs="Times New Roman"/>
              </w:rPr>
              <w:t>12.</w:t>
            </w:r>
          </w:p>
        </w:tc>
        <w:tc>
          <w:tcPr>
            <w:tcW w:w="1767" w:type="dxa"/>
          </w:tcPr>
          <w:p w14:paraId="58728ECF" w14:textId="77777777" w:rsidR="007E1EDD" w:rsidRPr="00A07F29" w:rsidRDefault="007E1EDD" w:rsidP="000B764E">
            <w:pPr>
              <w:jc w:val="center"/>
              <w:rPr>
                <w:rFonts w:ascii="Times New Roman" w:hAnsi="Times New Roman" w:cs="Times New Roman"/>
                <w:iCs/>
              </w:rPr>
            </w:pPr>
            <w:r w:rsidRPr="00A07F29">
              <w:rPr>
                <w:rFonts w:ascii="Times New Roman" w:hAnsi="Times New Roman" w:cs="Times New Roman"/>
                <w:iCs/>
              </w:rPr>
              <w:t>698</w:t>
            </w:r>
          </w:p>
        </w:tc>
        <w:tc>
          <w:tcPr>
            <w:tcW w:w="2911" w:type="dxa"/>
          </w:tcPr>
          <w:p w14:paraId="3DDD7FD4" w14:textId="77777777" w:rsidR="007E1EDD" w:rsidRPr="00A07F29" w:rsidRDefault="007E1EDD" w:rsidP="000B764E">
            <w:pPr>
              <w:jc w:val="center"/>
              <w:rPr>
                <w:rFonts w:ascii="Times New Roman" w:hAnsi="Times New Roman" w:cs="Times New Roman"/>
              </w:rPr>
            </w:pPr>
            <w:r w:rsidRPr="00A07F29">
              <w:rPr>
                <w:rFonts w:ascii="Times New Roman" w:hAnsi="Times New Roman" w:cs="Times New Roman"/>
              </w:rPr>
              <w:t>Valsts nozīmes arheoloģija</w:t>
            </w:r>
          </w:p>
        </w:tc>
        <w:tc>
          <w:tcPr>
            <w:tcW w:w="3492" w:type="dxa"/>
          </w:tcPr>
          <w:p w14:paraId="757DBFAE" w14:textId="77777777" w:rsidR="007E1EDD" w:rsidRPr="00A07F29" w:rsidRDefault="007E1EDD" w:rsidP="000B764E">
            <w:pPr>
              <w:jc w:val="center"/>
              <w:rPr>
                <w:rFonts w:ascii="Times New Roman" w:hAnsi="Times New Roman" w:cs="Times New Roman"/>
                <w:iCs/>
              </w:rPr>
            </w:pPr>
            <w:r w:rsidRPr="00A07F29">
              <w:rPr>
                <w:rFonts w:ascii="Times New Roman" w:hAnsi="Times New Roman" w:cs="Times New Roman"/>
              </w:rPr>
              <w:t>Upīšu viduslaiku kapsēta (</w:t>
            </w:r>
            <w:proofErr w:type="spellStart"/>
            <w:r w:rsidRPr="00A07F29">
              <w:rPr>
                <w:rFonts w:ascii="Times New Roman" w:hAnsi="Times New Roman" w:cs="Times New Roman"/>
              </w:rPr>
              <w:t>Staroje</w:t>
            </w:r>
            <w:proofErr w:type="spellEnd"/>
            <w:r w:rsidRPr="00A07F29">
              <w:rPr>
                <w:rFonts w:ascii="Times New Roman" w:hAnsi="Times New Roman" w:cs="Times New Roman"/>
              </w:rPr>
              <w:t xml:space="preserve"> </w:t>
            </w:r>
            <w:proofErr w:type="spellStart"/>
            <w:r w:rsidRPr="00A07F29">
              <w:rPr>
                <w:rFonts w:ascii="Times New Roman" w:hAnsi="Times New Roman" w:cs="Times New Roman"/>
              </w:rPr>
              <w:t>kladbišče</w:t>
            </w:r>
            <w:proofErr w:type="spellEnd"/>
            <w:r w:rsidRPr="00A07F29">
              <w:rPr>
                <w:rFonts w:ascii="Times New Roman" w:hAnsi="Times New Roman" w:cs="Times New Roman"/>
              </w:rPr>
              <w:t>)</w:t>
            </w:r>
          </w:p>
        </w:tc>
      </w:tr>
      <w:tr w:rsidR="007E1EDD" w:rsidRPr="00A07F29" w14:paraId="25F749BA" w14:textId="77777777" w:rsidTr="26F09819">
        <w:tc>
          <w:tcPr>
            <w:tcW w:w="846" w:type="dxa"/>
          </w:tcPr>
          <w:p w14:paraId="591B7211" w14:textId="77777777" w:rsidR="007E1EDD" w:rsidRPr="00A07F29" w:rsidRDefault="007E1EDD" w:rsidP="000B764E">
            <w:pPr>
              <w:ind w:left="264" w:hanging="264"/>
              <w:jc w:val="center"/>
              <w:rPr>
                <w:rFonts w:ascii="Times New Roman" w:hAnsi="Times New Roman" w:cs="Times New Roman"/>
              </w:rPr>
            </w:pPr>
            <w:r w:rsidRPr="00A07F29">
              <w:rPr>
                <w:rFonts w:ascii="Times New Roman" w:hAnsi="Times New Roman" w:cs="Times New Roman"/>
              </w:rPr>
              <w:t>13.</w:t>
            </w:r>
          </w:p>
        </w:tc>
        <w:tc>
          <w:tcPr>
            <w:tcW w:w="1767" w:type="dxa"/>
          </w:tcPr>
          <w:p w14:paraId="0CF3E6F2" w14:textId="77777777" w:rsidR="007E1EDD" w:rsidRPr="00A07F29" w:rsidRDefault="007E1EDD" w:rsidP="000B764E">
            <w:pPr>
              <w:jc w:val="center"/>
              <w:rPr>
                <w:rFonts w:ascii="Times New Roman" w:hAnsi="Times New Roman" w:cs="Times New Roman"/>
                <w:iCs/>
              </w:rPr>
            </w:pPr>
            <w:r w:rsidRPr="00A07F29">
              <w:rPr>
                <w:rFonts w:ascii="Times New Roman" w:hAnsi="Times New Roman" w:cs="Times New Roman"/>
                <w:iCs/>
              </w:rPr>
              <w:t>699</w:t>
            </w:r>
          </w:p>
        </w:tc>
        <w:tc>
          <w:tcPr>
            <w:tcW w:w="2911" w:type="dxa"/>
          </w:tcPr>
          <w:p w14:paraId="03EF938E" w14:textId="77777777" w:rsidR="007E1EDD" w:rsidRPr="00A07F29" w:rsidRDefault="007E1EDD" w:rsidP="000B764E">
            <w:pPr>
              <w:jc w:val="center"/>
              <w:rPr>
                <w:rFonts w:ascii="Times New Roman" w:hAnsi="Times New Roman" w:cs="Times New Roman"/>
                <w:iCs/>
              </w:rPr>
            </w:pPr>
            <w:r w:rsidRPr="00A07F29">
              <w:rPr>
                <w:rFonts w:ascii="Times New Roman" w:hAnsi="Times New Roman" w:cs="Times New Roman"/>
              </w:rPr>
              <w:t>Vietējas nozīmes arheoloģija</w:t>
            </w:r>
          </w:p>
        </w:tc>
        <w:tc>
          <w:tcPr>
            <w:tcW w:w="3492" w:type="dxa"/>
          </w:tcPr>
          <w:p w14:paraId="18FC668F" w14:textId="61AAC432" w:rsidR="007E1EDD" w:rsidRPr="00A07F29" w:rsidRDefault="007E1EDD" w:rsidP="000B764E">
            <w:pPr>
              <w:jc w:val="center"/>
              <w:rPr>
                <w:rFonts w:ascii="Times New Roman" w:hAnsi="Times New Roman" w:cs="Times New Roman"/>
                <w:iCs/>
              </w:rPr>
            </w:pPr>
            <w:r w:rsidRPr="00A07F29">
              <w:rPr>
                <w:rFonts w:ascii="Times New Roman" w:hAnsi="Times New Roman" w:cs="Times New Roman"/>
                <w:iCs/>
              </w:rPr>
              <w:t>Līdaku apmetne</w:t>
            </w:r>
          </w:p>
        </w:tc>
      </w:tr>
      <w:tr w:rsidR="007E1EDD" w:rsidRPr="00A07F29" w14:paraId="3752A514" w14:textId="77777777" w:rsidTr="26F09819">
        <w:tc>
          <w:tcPr>
            <w:tcW w:w="846" w:type="dxa"/>
          </w:tcPr>
          <w:p w14:paraId="1AD42CE1" w14:textId="77777777" w:rsidR="007E1EDD" w:rsidRPr="00A07F29" w:rsidRDefault="007E1EDD" w:rsidP="000B764E">
            <w:pPr>
              <w:ind w:left="264" w:hanging="264"/>
              <w:jc w:val="center"/>
              <w:rPr>
                <w:rFonts w:ascii="Times New Roman" w:hAnsi="Times New Roman" w:cs="Times New Roman"/>
              </w:rPr>
            </w:pPr>
            <w:r w:rsidRPr="00A07F29">
              <w:rPr>
                <w:rFonts w:ascii="Times New Roman" w:hAnsi="Times New Roman" w:cs="Times New Roman"/>
              </w:rPr>
              <w:t>14.</w:t>
            </w:r>
          </w:p>
        </w:tc>
        <w:tc>
          <w:tcPr>
            <w:tcW w:w="1767" w:type="dxa"/>
          </w:tcPr>
          <w:p w14:paraId="58CA7214" w14:textId="77777777" w:rsidR="007E1EDD" w:rsidRPr="00A07F29" w:rsidRDefault="007E1EDD" w:rsidP="000B764E">
            <w:pPr>
              <w:jc w:val="center"/>
              <w:rPr>
                <w:rFonts w:ascii="Times New Roman" w:hAnsi="Times New Roman" w:cs="Times New Roman"/>
                <w:iCs/>
              </w:rPr>
            </w:pPr>
            <w:r w:rsidRPr="00A07F29">
              <w:rPr>
                <w:rFonts w:ascii="Times New Roman" w:hAnsi="Times New Roman" w:cs="Times New Roman"/>
                <w:iCs/>
              </w:rPr>
              <w:t>3266</w:t>
            </w:r>
          </w:p>
        </w:tc>
        <w:tc>
          <w:tcPr>
            <w:tcW w:w="2911" w:type="dxa"/>
          </w:tcPr>
          <w:p w14:paraId="698747E6" w14:textId="77777777" w:rsidR="007E1EDD" w:rsidRPr="00A07F29" w:rsidRDefault="007E1EDD" w:rsidP="000B764E">
            <w:pPr>
              <w:jc w:val="center"/>
              <w:rPr>
                <w:rFonts w:ascii="Times New Roman" w:hAnsi="Times New Roman" w:cs="Times New Roman"/>
                <w:iCs/>
              </w:rPr>
            </w:pPr>
            <w:r w:rsidRPr="00A07F29">
              <w:rPr>
                <w:rFonts w:ascii="Times New Roman" w:hAnsi="Times New Roman" w:cs="Times New Roman"/>
                <w:iCs/>
              </w:rPr>
              <w:t>Valsts nozīmes māksla</w:t>
            </w:r>
          </w:p>
        </w:tc>
        <w:tc>
          <w:tcPr>
            <w:tcW w:w="3492" w:type="dxa"/>
          </w:tcPr>
          <w:p w14:paraId="05DE2C35" w14:textId="77777777" w:rsidR="007E1EDD" w:rsidRPr="00A07F29" w:rsidRDefault="007E1EDD" w:rsidP="000B764E">
            <w:pPr>
              <w:jc w:val="center"/>
              <w:rPr>
                <w:rFonts w:ascii="Times New Roman" w:hAnsi="Times New Roman" w:cs="Times New Roman"/>
                <w:iCs/>
              </w:rPr>
            </w:pPr>
            <w:r w:rsidRPr="00A07F29">
              <w:rPr>
                <w:rFonts w:ascii="Times New Roman" w:hAnsi="Times New Roman" w:cs="Times New Roman"/>
                <w:iCs/>
              </w:rPr>
              <w:t>Ērģeļu prospekta fragmenti (</w:t>
            </w:r>
            <w:proofErr w:type="spellStart"/>
            <w:r w:rsidRPr="00A07F29">
              <w:rPr>
                <w:rFonts w:ascii="Times New Roman" w:hAnsi="Times New Roman" w:cs="Times New Roman"/>
                <w:iCs/>
              </w:rPr>
              <w:t>Jaunbornes</w:t>
            </w:r>
            <w:proofErr w:type="spellEnd"/>
            <w:r w:rsidRPr="00A07F29">
              <w:rPr>
                <w:rFonts w:ascii="Times New Roman" w:hAnsi="Times New Roman" w:cs="Times New Roman"/>
                <w:iCs/>
              </w:rPr>
              <w:t xml:space="preserve"> katoļu baznīcā)</w:t>
            </w:r>
          </w:p>
        </w:tc>
      </w:tr>
      <w:tr w:rsidR="007E1EDD" w:rsidRPr="00A07F29" w14:paraId="54D7CC5B" w14:textId="77777777" w:rsidTr="26F09819">
        <w:tc>
          <w:tcPr>
            <w:tcW w:w="0" w:type="auto"/>
            <w:gridSpan w:val="4"/>
          </w:tcPr>
          <w:p w14:paraId="7893B01A" w14:textId="77777777" w:rsidR="007E1EDD" w:rsidRPr="00A07F29" w:rsidRDefault="007E1EDD" w:rsidP="000B764E">
            <w:pPr>
              <w:jc w:val="center"/>
              <w:rPr>
                <w:rFonts w:ascii="Times New Roman" w:hAnsi="Times New Roman" w:cs="Times New Roman"/>
                <w:b/>
                <w:bCs/>
                <w:iCs/>
              </w:rPr>
            </w:pPr>
            <w:r w:rsidRPr="00A07F29">
              <w:rPr>
                <w:rFonts w:ascii="Times New Roman" w:hAnsi="Times New Roman" w:cs="Times New Roman"/>
                <w:b/>
                <w:bCs/>
                <w:iCs/>
              </w:rPr>
              <w:t>Tabores pagasts</w:t>
            </w:r>
          </w:p>
        </w:tc>
      </w:tr>
      <w:tr w:rsidR="007E1EDD" w:rsidRPr="00A07F29" w14:paraId="188BEA70" w14:textId="77777777" w:rsidTr="26F09819">
        <w:tc>
          <w:tcPr>
            <w:tcW w:w="846" w:type="dxa"/>
          </w:tcPr>
          <w:p w14:paraId="75C7A316" w14:textId="77777777" w:rsidR="007E1EDD" w:rsidRPr="00A07F29" w:rsidRDefault="007E1EDD" w:rsidP="000B764E">
            <w:pPr>
              <w:ind w:left="264" w:hanging="264"/>
              <w:jc w:val="center"/>
              <w:rPr>
                <w:rFonts w:ascii="Times New Roman" w:hAnsi="Times New Roman" w:cs="Times New Roman"/>
              </w:rPr>
            </w:pPr>
            <w:r w:rsidRPr="00A07F29">
              <w:rPr>
                <w:rFonts w:ascii="Times New Roman" w:hAnsi="Times New Roman" w:cs="Times New Roman"/>
              </w:rPr>
              <w:t>15.</w:t>
            </w:r>
          </w:p>
        </w:tc>
        <w:tc>
          <w:tcPr>
            <w:tcW w:w="1767" w:type="dxa"/>
          </w:tcPr>
          <w:p w14:paraId="06C86FA4" w14:textId="77777777" w:rsidR="007E1EDD" w:rsidRPr="00A07F29" w:rsidRDefault="007E1EDD" w:rsidP="000B764E">
            <w:pPr>
              <w:jc w:val="center"/>
              <w:rPr>
                <w:rFonts w:ascii="Times New Roman" w:hAnsi="Times New Roman" w:cs="Times New Roman"/>
                <w:iCs/>
              </w:rPr>
            </w:pPr>
            <w:r w:rsidRPr="00A07F29">
              <w:rPr>
                <w:rFonts w:ascii="Times New Roman" w:hAnsi="Times New Roman" w:cs="Times New Roman"/>
                <w:iCs/>
              </w:rPr>
              <w:t>6300</w:t>
            </w:r>
          </w:p>
        </w:tc>
        <w:tc>
          <w:tcPr>
            <w:tcW w:w="2911" w:type="dxa"/>
          </w:tcPr>
          <w:p w14:paraId="526FA8BD" w14:textId="77777777" w:rsidR="007E1EDD" w:rsidRPr="00A07F29" w:rsidRDefault="007E1EDD" w:rsidP="000B764E">
            <w:pPr>
              <w:jc w:val="center"/>
              <w:rPr>
                <w:rFonts w:ascii="Times New Roman" w:hAnsi="Times New Roman" w:cs="Times New Roman"/>
                <w:iCs/>
              </w:rPr>
            </w:pPr>
            <w:r w:rsidRPr="00A07F29">
              <w:rPr>
                <w:rFonts w:ascii="Times New Roman" w:hAnsi="Times New Roman" w:cs="Times New Roman"/>
              </w:rPr>
              <w:t>Valsts nozīmes arhitektūra</w:t>
            </w:r>
          </w:p>
        </w:tc>
        <w:tc>
          <w:tcPr>
            <w:tcW w:w="3492" w:type="dxa"/>
          </w:tcPr>
          <w:p w14:paraId="20A9436A" w14:textId="77777777" w:rsidR="007E1EDD" w:rsidRPr="00A07F29" w:rsidRDefault="007E1EDD" w:rsidP="000B764E">
            <w:pPr>
              <w:jc w:val="center"/>
              <w:rPr>
                <w:rFonts w:ascii="Times New Roman" w:hAnsi="Times New Roman" w:cs="Times New Roman"/>
                <w:iCs/>
              </w:rPr>
            </w:pPr>
            <w:proofErr w:type="spellStart"/>
            <w:r w:rsidRPr="00A07F29">
              <w:rPr>
                <w:rFonts w:ascii="Times New Roman" w:hAnsi="Times New Roman" w:cs="Times New Roman"/>
                <w:iCs/>
              </w:rPr>
              <w:t>Elernes</w:t>
            </w:r>
            <w:proofErr w:type="spellEnd"/>
            <w:r w:rsidRPr="00A07F29">
              <w:rPr>
                <w:rFonts w:ascii="Times New Roman" w:hAnsi="Times New Roman" w:cs="Times New Roman"/>
                <w:iCs/>
              </w:rPr>
              <w:t xml:space="preserve"> (Elkšņu) katoļu baznīca ar mūra žogu</w:t>
            </w:r>
          </w:p>
        </w:tc>
      </w:tr>
      <w:tr w:rsidR="007E1EDD" w:rsidRPr="00A07F29" w14:paraId="4AA295DE" w14:textId="77777777" w:rsidTr="26F09819">
        <w:tc>
          <w:tcPr>
            <w:tcW w:w="846" w:type="dxa"/>
          </w:tcPr>
          <w:p w14:paraId="4AAD959E" w14:textId="77777777" w:rsidR="007E1EDD" w:rsidRPr="00A07F29" w:rsidRDefault="007E1EDD" w:rsidP="000B764E">
            <w:pPr>
              <w:ind w:left="264" w:hanging="264"/>
              <w:jc w:val="center"/>
              <w:rPr>
                <w:rFonts w:ascii="Times New Roman" w:hAnsi="Times New Roman" w:cs="Times New Roman"/>
              </w:rPr>
            </w:pPr>
            <w:r w:rsidRPr="00A07F29">
              <w:rPr>
                <w:rFonts w:ascii="Times New Roman" w:hAnsi="Times New Roman" w:cs="Times New Roman"/>
              </w:rPr>
              <w:t>16.</w:t>
            </w:r>
          </w:p>
        </w:tc>
        <w:tc>
          <w:tcPr>
            <w:tcW w:w="1767" w:type="dxa"/>
          </w:tcPr>
          <w:p w14:paraId="00519A74" w14:textId="77777777" w:rsidR="007E1EDD" w:rsidRPr="00A07F29" w:rsidRDefault="007E1EDD" w:rsidP="000B764E">
            <w:pPr>
              <w:jc w:val="center"/>
              <w:rPr>
                <w:rFonts w:ascii="Times New Roman" w:hAnsi="Times New Roman" w:cs="Times New Roman"/>
                <w:iCs/>
              </w:rPr>
            </w:pPr>
            <w:r w:rsidRPr="00A07F29">
              <w:rPr>
                <w:rFonts w:ascii="Times New Roman" w:hAnsi="Times New Roman" w:cs="Times New Roman"/>
                <w:iCs/>
              </w:rPr>
              <w:t>3304</w:t>
            </w:r>
          </w:p>
        </w:tc>
        <w:tc>
          <w:tcPr>
            <w:tcW w:w="2911" w:type="dxa"/>
          </w:tcPr>
          <w:p w14:paraId="559F15A1" w14:textId="77777777" w:rsidR="007E1EDD" w:rsidRPr="00A07F29" w:rsidRDefault="007E1EDD" w:rsidP="000B764E">
            <w:pPr>
              <w:jc w:val="center"/>
              <w:rPr>
                <w:rFonts w:ascii="Times New Roman" w:hAnsi="Times New Roman" w:cs="Times New Roman"/>
                <w:iCs/>
              </w:rPr>
            </w:pPr>
            <w:r w:rsidRPr="00A07F29">
              <w:rPr>
                <w:rFonts w:ascii="Times New Roman" w:hAnsi="Times New Roman" w:cs="Times New Roman"/>
                <w:iCs/>
              </w:rPr>
              <w:t>Valsts nozīmes māksla</w:t>
            </w:r>
          </w:p>
        </w:tc>
        <w:tc>
          <w:tcPr>
            <w:tcW w:w="3492" w:type="dxa"/>
          </w:tcPr>
          <w:p w14:paraId="530D91E3" w14:textId="77777777" w:rsidR="007E1EDD" w:rsidRPr="00A07F29" w:rsidRDefault="007E1EDD" w:rsidP="000B764E">
            <w:pPr>
              <w:jc w:val="center"/>
              <w:rPr>
                <w:rFonts w:ascii="Times New Roman" w:hAnsi="Times New Roman" w:cs="Times New Roman"/>
                <w:iCs/>
              </w:rPr>
            </w:pPr>
            <w:r w:rsidRPr="00A07F29">
              <w:rPr>
                <w:rFonts w:ascii="Times New Roman" w:hAnsi="Times New Roman" w:cs="Times New Roman"/>
                <w:iCs/>
              </w:rPr>
              <w:t>Cilnis "Marijas pasludināšana" (</w:t>
            </w:r>
            <w:proofErr w:type="spellStart"/>
            <w:r w:rsidRPr="00A07F29">
              <w:rPr>
                <w:rFonts w:ascii="Times New Roman" w:hAnsi="Times New Roman" w:cs="Times New Roman"/>
                <w:iCs/>
              </w:rPr>
              <w:t>Elernes</w:t>
            </w:r>
            <w:proofErr w:type="spellEnd"/>
            <w:r w:rsidRPr="00A07F29">
              <w:rPr>
                <w:rFonts w:ascii="Times New Roman" w:hAnsi="Times New Roman" w:cs="Times New Roman"/>
                <w:iCs/>
              </w:rPr>
              <w:t xml:space="preserve"> (Elkšņu) katoļu baznīcā)</w:t>
            </w:r>
          </w:p>
        </w:tc>
      </w:tr>
      <w:tr w:rsidR="007E1EDD" w:rsidRPr="00A07F29" w14:paraId="317B0E06" w14:textId="77777777" w:rsidTr="26F09819">
        <w:tc>
          <w:tcPr>
            <w:tcW w:w="846" w:type="dxa"/>
          </w:tcPr>
          <w:p w14:paraId="5A5C4EC6" w14:textId="77777777" w:rsidR="007E1EDD" w:rsidRPr="00A07F29" w:rsidRDefault="007E1EDD" w:rsidP="000B764E">
            <w:pPr>
              <w:ind w:left="264" w:hanging="264"/>
              <w:jc w:val="center"/>
              <w:rPr>
                <w:rFonts w:ascii="Times New Roman" w:hAnsi="Times New Roman" w:cs="Times New Roman"/>
              </w:rPr>
            </w:pPr>
            <w:r w:rsidRPr="00A07F29">
              <w:rPr>
                <w:rFonts w:ascii="Times New Roman" w:hAnsi="Times New Roman" w:cs="Times New Roman"/>
              </w:rPr>
              <w:t>17.</w:t>
            </w:r>
          </w:p>
        </w:tc>
        <w:tc>
          <w:tcPr>
            <w:tcW w:w="1767" w:type="dxa"/>
          </w:tcPr>
          <w:p w14:paraId="2246D5B4" w14:textId="77777777" w:rsidR="007E1EDD" w:rsidRPr="00A07F29" w:rsidRDefault="007E1EDD" w:rsidP="000B764E">
            <w:pPr>
              <w:jc w:val="center"/>
              <w:rPr>
                <w:rFonts w:ascii="Times New Roman" w:hAnsi="Times New Roman" w:cs="Times New Roman"/>
                <w:iCs/>
              </w:rPr>
            </w:pPr>
            <w:r w:rsidRPr="00A07F29">
              <w:rPr>
                <w:rFonts w:ascii="Times New Roman" w:hAnsi="Times New Roman" w:cs="Times New Roman"/>
                <w:iCs/>
              </w:rPr>
              <w:t>709</w:t>
            </w:r>
          </w:p>
        </w:tc>
        <w:tc>
          <w:tcPr>
            <w:tcW w:w="2911" w:type="dxa"/>
          </w:tcPr>
          <w:p w14:paraId="128110B7" w14:textId="77777777" w:rsidR="007E1EDD" w:rsidRPr="00A07F29" w:rsidRDefault="007E1EDD" w:rsidP="000B764E">
            <w:pPr>
              <w:jc w:val="center"/>
              <w:rPr>
                <w:rFonts w:ascii="Times New Roman" w:hAnsi="Times New Roman" w:cs="Times New Roman"/>
                <w:iCs/>
              </w:rPr>
            </w:pPr>
            <w:r w:rsidRPr="00A07F29">
              <w:rPr>
                <w:rFonts w:ascii="Times New Roman" w:hAnsi="Times New Roman" w:cs="Times New Roman"/>
              </w:rPr>
              <w:t>Valsts nozīmes arheoloģija</w:t>
            </w:r>
          </w:p>
        </w:tc>
        <w:tc>
          <w:tcPr>
            <w:tcW w:w="3492" w:type="dxa"/>
          </w:tcPr>
          <w:p w14:paraId="7C6B0A67" w14:textId="77777777" w:rsidR="007E1EDD" w:rsidRPr="00A07F29" w:rsidRDefault="007E1EDD" w:rsidP="000B764E">
            <w:pPr>
              <w:jc w:val="center"/>
              <w:rPr>
                <w:rFonts w:ascii="Times New Roman" w:hAnsi="Times New Roman" w:cs="Times New Roman"/>
                <w:iCs/>
              </w:rPr>
            </w:pPr>
            <w:proofErr w:type="spellStart"/>
            <w:r w:rsidRPr="00A07F29">
              <w:rPr>
                <w:rFonts w:ascii="Times New Roman" w:hAnsi="Times New Roman" w:cs="Times New Roman"/>
                <w:iCs/>
              </w:rPr>
              <w:t>Elernes</w:t>
            </w:r>
            <w:proofErr w:type="spellEnd"/>
            <w:r w:rsidRPr="00A07F29">
              <w:rPr>
                <w:rFonts w:ascii="Times New Roman" w:hAnsi="Times New Roman" w:cs="Times New Roman"/>
                <w:iCs/>
              </w:rPr>
              <w:t xml:space="preserve"> Āboltiņu apmetne</w:t>
            </w:r>
          </w:p>
        </w:tc>
      </w:tr>
      <w:tr w:rsidR="007E1EDD" w:rsidRPr="00A07F29" w14:paraId="59C25510" w14:textId="77777777" w:rsidTr="26F09819">
        <w:tc>
          <w:tcPr>
            <w:tcW w:w="846" w:type="dxa"/>
          </w:tcPr>
          <w:p w14:paraId="58D5D8B7" w14:textId="77777777" w:rsidR="007E1EDD" w:rsidRPr="00A07F29" w:rsidRDefault="007E1EDD" w:rsidP="000B764E">
            <w:pPr>
              <w:ind w:left="-206" w:firstLine="206"/>
              <w:jc w:val="center"/>
              <w:rPr>
                <w:rFonts w:ascii="Times New Roman" w:hAnsi="Times New Roman" w:cs="Times New Roman"/>
                <w:iCs/>
              </w:rPr>
            </w:pPr>
            <w:r w:rsidRPr="00A07F29">
              <w:rPr>
                <w:rFonts w:ascii="Times New Roman" w:hAnsi="Times New Roman" w:cs="Times New Roman"/>
                <w:iCs/>
              </w:rPr>
              <w:lastRenderedPageBreak/>
              <w:t>18.</w:t>
            </w:r>
          </w:p>
        </w:tc>
        <w:tc>
          <w:tcPr>
            <w:tcW w:w="1767" w:type="dxa"/>
          </w:tcPr>
          <w:p w14:paraId="1EE7CAD6" w14:textId="77777777" w:rsidR="007E1EDD" w:rsidRPr="00A07F29" w:rsidRDefault="007E1EDD" w:rsidP="000B764E">
            <w:pPr>
              <w:jc w:val="center"/>
              <w:rPr>
                <w:rFonts w:ascii="Times New Roman" w:hAnsi="Times New Roman" w:cs="Times New Roman"/>
                <w:iCs/>
              </w:rPr>
            </w:pPr>
            <w:r w:rsidRPr="00A07F29">
              <w:rPr>
                <w:rFonts w:ascii="Times New Roman" w:hAnsi="Times New Roman" w:cs="Times New Roman"/>
                <w:iCs/>
              </w:rPr>
              <w:t>710</w:t>
            </w:r>
          </w:p>
        </w:tc>
        <w:tc>
          <w:tcPr>
            <w:tcW w:w="2911" w:type="dxa"/>
          </w:tcPr>
          <w:p w14:paraId="3D5D2BDD" w14:textId="77777777" w:rsidR="007E1EDD" w:rsidRPr="00A07F29" w:rsidRDefault="007E1EDD" w:rsidP="000B764E">
            <w:pPr>
              <w:jc w:val="center"/>
              <w:rPr>
                <w:rFonts w:ascii="Times New Roman" w:hAnsi="Times New Roman" w:cs="Times New Roman"/>
                <w:iCs/>
              </w:rPr>
            </w:pPr>
            <w:r w:rsidRPr="00A07F29">
              <w:rPr>
                <w:rFonts w:ascii="Times New Roman" w:hAnsi="Times New Roman" w:cs="Times New Roman"/>
              </w:rPr>
              <w:t>Vietējas nozīmes arheoloģija</w:t>
            </w:r>
          </w:p>
        </w:tc>
        <w:tc>
          <w:tcPr>
            <w:tcW w:w="3492" w:type="dxa"/>
          </w:tcPr>
          <w:p w14:paraId="3A689900" w14:textId="77777777" w:rsidR="007E1EDD" w:rsidRPr="00A07F29" w:rsidRDefault="007E1EDD" w:rsidP="000B764E">
            <w:pPr>
              <w:jc w:val="center"/>
              <w:rPr>
                <w:rFonts w:ascii="Times New Roman" w:hAnsi="Times New Roman" w:cs="Times New Roman"/>
                <w:iCs/>
              </w:rPr>
            </w:pPr>
            <w:r w:rsidRPr="00A07F29">
              <w:rPr>
                <w:rFonts w:ascii="Times New Roman" w:hAnsi="Times New Roman" w:cs="Times New Roman"/>
                <w:iCs/>
              </w:rPr>
              <w:t>Lipinišķu senkapi</w:t>
            </w:r>
          </w:p>
        </w:tc>
      </w:tr>
      <w:tr w:rsidR="007E1EDD" w:rsidRPr="00A07F29" w14:paraId="637A8E4E" w14:textId="77777777" w:rsidTr="26F09819">
        <w:tc>
          <w:tcPr>
            <w:tcW w:w="846" w:type="dxa"/>
          </w:tcPr>
          <w:p w14:paraId="0F462C45" w14:textId="77777777" w:rsidR="007E1EDD" w:rsidRPr="00A07F29" w:rsidRDefault="007E1EDD" w:rsidP="000B764E">
            <w:pPr>
              <w:ind w:left="-206" w:firstLine="206"/>
              <w:jc w:val="center"/>
              <w:rPr>
                <w:rFonts w:ascii="Times New Roman" w:hAnsi="Times New Roman" w:cs="Times New Roman"/>
                <w:iCs/>
              </w:rPr>
            </w:pPr>
            <w:r w:rsidRPr="00A07F29">
              <w:rPr>
                <w:rFonts w:ascii="Times New Roman" w:hAnsi="Times New Roman" w:cs="Times New Roman"/>
                <w:iCs/>
              </w:rPr>
              <w:t>19.</w:t>
            </w:r>
          </w:p>
        </w:tc>
        <w:tc>
          <w:tcPr>
            <w:tcW w:w="1767" w:type="dxa"/>
          </w:tcPr>
          <w:p w14:paraId="121D044C" w14:textId="77777777" w:rsidR="007E1EDD" w:rsidRPr="00A07F29" w:rsidRDefault="007E1EDD" w:rsidP="000B764E">
            <w:pPr>
              <w:jc w:val="center"/>
              <w:rPr>
                <w:rFonts w:ascii="Times New Roman" w:hAnsi="Times New Roman" w:cs="Times New Roman"/>
                <w:iCs/>
              </w:rPr>
            </w:pPr>
            <w:r w:rsidRPr="00A07F29">
              <w:rPr>
                <w:rFonts w:ascii="Times New Roman" w:hAnsi="Times New Roman" w:cs="Times New Roman"/>
                <w:iCs/>
              </w:rPr>
              <w:t>711</w:t>
            </w:r>
          </w:p>
        </w:tc>
        <w:tc>
          <w:tcPr>
            <w:tcW w:w="2911" w:type="dxa"/>
          </w:tcPr>
          <w:p w14:paraId="7E3A980B" w14:textId="77777777" w:rsidR="007E1EDD" w:rsidRPr="00A07F29" w:rsidRDefault="007E1EDD" w:rsidP="000B764E">
            <w:pPr>
              <w:jc w:val="center"/>
              <w:rPr>
                <w:rFonts w:ascii="Times New Roman" w:hAnsi="Times New Roman" w:cs="Times New Roman"/>
                <w:iCs/>
              </w:rPr>
            </w:pPr>
            <w:r w:rsidRPr="00A07F29">
              <w:rPr>
                <w:rFonts w:ascii="Times New Roman" w:hAnsi="Times New Roman" w:cs="Times New Roman"/>
              </w:rPr>
              <w:t>Vietējas nozīmes arheoloģija</w:t>
            </w:r>
          </w:p>
        </w:tc>
        <w:tc>
          <w:tcPr>
            <w:tcW w:w="3492" w:type="dxa"/>
          </w:tcPr>
          <w:p w14:paraId="28E7E64B" w14:textId="77777777" w:rsidR="007E1EDD" w:rsidRPr="00A07F29" w:rsidRDefault="007E1EDD" w:rsidP="000B764E">
            <w:pPr>
              <w:jc w:val="center"/>
              <w:rPr>
                <w:rFonts w:ascii="Times New Roman" w:hAnsi="Times New Roman" w:cs="Times New Roman"/>
                <w:iCs/>
              </w:rPr>
            </w:pPr>
            <w:r w:rsidRPr="00A07F29">
              <w:rPr>
                <w:rFonts w:ascii="Times New Roman" w:hAnsi="Times New Roman" w:cs="Times New Roman"/>
                <w:iCs/>
              </w:rPr>
              <w:t>Mednieku viduslaiku apmetne</w:t>
            </w:r>
          </w:p>
        </w:tc>
      </w:tr>
      <w:tr w:rsidR="007E1EDD" w:rsidRPr="00A07F29" w14:paraId="22CDAA63" w14:textId="77777777" w:rsidTr="26F09819">
        <w:tc>
          <w:tcPr>
            <w:tcW w:w="0" w:type="auto"/>
            <w:gridSpan w:val="4"/>
          </w:tcPr>
          <w:p w14:paraId="6FB235FA" w14:textId="77777777" w:rsidR="007E1EDD" w:rsidRPr="00A07F29" w:rsidRDefault="007E1EDD" w:rsidP="000B764E">
            <w:pPr>
              <w:jc w:val="center"/>
              <w:rPr>
                <w:rFonts w:ascii="Times New Roman" w:hAnsi="Times New Roman" w:cs="Times New Roman"/>
                <w:iCs/>
              </w:rPr>
            </w:pPr>
            <w:r w:rsidRPr="00A07F29">
              <w:rPr>
                <w:rFonts w:ascii="Times New Roman" w:hAnsi="Times New Roman" w:cs="Times New Roman"/>
                <w:iCs/>
              </w:rPr>
              <w:t>Vecsalienas pagasts</w:t>
            </w:r>
          </w:p>
        </w:tc>
      </w:tr>
      <w:tr w:rsidR="007E1EDD" w:rsidRPr="00A07F29" w14:paraId="50F500F5" w14:textId="77777777" w:rsidTr="26F09819">
        <w:tc>
          <w:tcPr>
            <w:tcW w:w="846" w:type="dxa"/>
          </w:tcPr>
          <w:p w14:paraId="470E6777" w14:textId="77777777" w:rsidR="007E1EDD" w:rsidRPr="00A07F29" w:rsidRDefault="007E1EDD" w:rsidP="000B764E">
            <w:pPr>
              <w:ind w:left="264" w:hanging="264"/>
              <w:jc w:val="center"/>
              <w:rPr>
                <w:rFonts w:ascii="Times New Roman" w:hAnsi="Times New Roman" w:cs="Times New Roman"/>
              </w:rPr>
            </w:pPr>
            <w:r w:rsidRPr="00A07F29">
              <w:rPr>
                <w:rFonts w:ascii="Times New Roman" w:hAnsi="Times New Roman" w:cs="Times New Roman"/>
                <w:iCs/>
              </w:rPr>
              <w:t>20.</w:t>
            </w:r>
          </w:p>
        </w:tc>
        <w:tc>
          <w:tcPr>
            <w:tcW w:w="1767" w:type="dxa"/>
          </w:tcPr>
          <w:p w14:paraId="0EA40F5C" w14:textId="77777777" w:rsidR="007E1EDD" w:rsidRPr="00A07F29" w:rsidRDefault="007E1EDD" w:rsidP="000B764E">
            <w:pPr>
              <w:jc w:val="center"/>
              <w:rPr>
                <w:rFonts w:ascii="Times New Roman" w:hAnsi="Times New Roman" w:cs="Times New Roman"/>
                <w:iCs/>
              </w:rPr>
            </w:pPr>
            <w:r w:rsidRPr="00A07F29">
              <w:rPr>
                <w:rFonts w:ascii="Times New Roman" w:hAnsi="Times New Roman" w:cs="Times New Roman"/>
                <w:iCs/>
              </w:rPr>
              <w:t>714</w:t>
            </w:r>
          </w:p>
        </w:tc>
        <w:tc>
          <w:tcPr>
            <w:tcW w:w="2911" w:type="dxa"/>
          </w:tcPr>
          <w:p w14:paraId="46EDE8B4" w14:textId="77777777" w:rsidR="007E1EDD" w:rsidRPr="00A07F29" w:rsidRDefault="007E1EDD" w:rsidP="000B764E">
            <w:pPr>
              <w:jc w:val="center"/>
              <w:rPr>
                <w:rFonts w:ascii="Times New Roman" w:hAnsi="Times New Roman" w:cs="Times New Roman"/>
                <w:iCs/>
              </w:rPr>
            </w:pPr>
            <w:r w:rsidRPr="00A07F29">
              <w:rPr>
                <w:rFonts w:ascii="Times New Roman" w:hAnsi="Times New Roman" w:cs="Times New Roman"/>
              </w:rPr>
              <w:t>Vietējas nozīmes arheoloģija</w:t>
            </w:r>
          </w:p>
        </w:tc>
        <w:tc>
          <w:tcPr>
            <w:tcW w:w="3492" w:type="dxa"/>
          </w:tcPr>
          <w:p w14:paraId="300528A5" w14:textId="44F7EB54" w:rsidR="007E1EDD" w:rsidRPr="00A07F29" w:rsidRDefault="007E1EDD" w:rsidP="000B764E">
            <w:pPr>
              <w:jc w:val="center"/>
              <w:rPr>
                <w:rFonts w:ascii="Times New Roman" w:hAnsi="Times New Roman" w:cs="Times New Roman"/>
                <w:iCs/>
              </w:rPr>
            </w:pPr>
            <w:proofErr w:type="spellStart"/>
            <w:r w:rsidRPr="00A07F29">
              <w:rPr>
                <w:rFonts w:ascii="Times New Roman" w:hAnsi="Times New Roman" w:cs="Times New Roman"/>
                <w:iCs/>
              </w:rPr>
              <w:t>Sīķeles</w:t>
            </w:r>
            <w:proofErr w:type="spellEnd"/>
            <w:r w:rsidRPr="00A07F29">
              <w:rPr>
                <w:rFonts w:ascii="Times New Roman" w:hAnsi="Times New Roman" w:cs="Times New Roman"/>
                <w:iCs/>
              </w:rPr>
              <w:t xml:space="preserve"> apmetne</w:t>
            </w:r>
          </w:p>
        </w:tc>
      </w:tr>
      <w:tr w:rsidR="007E1EDD" w:rsidRPr="00A07F29" w14:paraId="3B9BFCA8" w14:textId="77777777" w:rsidTr="26F09819">
        <w:tc>
          <w:tcPr>
            <w:tcW w:w="846" w:type="dxa"/>
          </w:tcPr>
          <w:p w14:paraId="623287A0" w14:textId="77777777" w:rsidR="007E1EDD" w:rsidRPr="00A07F29" w:rsidRDefault="007E1EDD" w:rsidP="000B764E">
            <w:pPr>
              <w:ind w:left="264" w:hanging="264"/>
              <w:jc w:val="center"/>
              <w:rPr>
                <w:rFonts w:ascii="Times New Roman" w:hAnsi="Times New Roman" w:cs="Times New Roman"/>
                <w:iCs/>
              </w:rPr>
            </w:pPr>
            <w:r w:rsidRPr="00A07F29">
              <w:rPr>
                <w:rFonts w:ascii="Times New Roman" w:hAnsi="Times New Roman" w:cs="Times New Roman"/>
                <w:iCs/>
              </w:rPr>
              <w:t>21.</w:t>
            </w:r>
          </w:p>
        </w:tc>
        <w:tc>
          <w:tcPr>
            <w:tcW w:w="1767" w:type="dxa"/>
          </w:tcPr>
          <w:p w14:paraId="4789F00C" w14:textId="77777777" w:rsidR="007E1EDD" w:rsidRPr="00A07F29" w:rsidRDefault="007E1EDD" w:rsidP="000B764E">
            <w:pPr>
              <w:jc w:val="center"/>
              <w:rPr>
                <w:rFonts w:ascii="Times New Roman" w:hAnsi="Times New Roman" w:cs="Times New Roman"/>
                <w:iCs/>
              </w:rPr>
            </w:pPr>
            <w:r w:rsidRPr="00A07F29">
              <w:rPr>
                <w:rFonts w:ascii="Times New Roman" w:hAnsi="Times New Roman" w:cs="Times New Roman"/>
                <w:iCs/>
              </w:rPr>
              <w:t>8963</w:t>
            </w:r>
          </w:p>
        </w:tc>
        <w:tc>
          <w:tcPr>
            <w:tcW w:w="2911" w:type="dxa"/>
          </w:tcPr>
          <w:p w14:paraId="11CADDEB" w14:textId="77777777" w:rsidR="007E1EDD" w:rsidRPr="00A07F29" w:rsidRDefault="007E1EDD" w:rsidP="000B764E">
            <w:pPr>
              <w:jc w:val="center"/>
              <w:rPr>
                <w:rFonts w:ascii="Times New Roman" w:hAnsi="Times New Roman" w:cs="Times New Roman"/>
              </w:rPr>
            </w:pPr>
            <w:r w:rsidRPr="00A07F29">
              <w:rPr>
                <w:rFonts w:ascii="Times New Roman" w:hAnsi="Times New Roman" w:cs="Times New Roman"/>
              </w:rPr>
              <w:t>Valsts nozīmes arhitektūra</w:t>
            </w:r>
          </w:p>
        </w:tc>
        <w:tc>
          <w:tcPr>
            <w:tcW w:w="3492" w:type="dxa"/>
          </w:tcPr>
          <w:p w14:paraId="2EB046E1" w14:textId="77777777" w:rsidR="007E1EDD" w:rsidRPr="00A07F29" w:rsidRDefault="007E1EDD" w:rsidP="000B764E">
            <w:pPr>
              <w:jc w:val="center"/>
              <w:rPr>
                <w:rFonts w:ascii="Times New Roman" w:hAnsi="Times New Roman" w:cs="Times New Roman"/>
                <w:iCs/>
              </w:rPr>
            </w:pPr>
            <w:r w:rsidRPr="00A07F29">
              <w:rPr>
                <w:rFonts w:ascii="Times New Roman" w:hAnsi="Times New Roman" w:cs="Times New Roman"/>
                <w:iCs/>
              </w:rPr>
              <w:t>Vecsalienas muižas pils</w:t>
            </w:r>
          </w:p>
        </w:tc>
      </w:tr>
      <w:tr w:rsidR="007E1EDD" w:rsidRPr="00A07F29" w14:paraId="15B25A58" w14:textId="77777777" w:rsidTr="26F09819">
        <w:tc>
          <w:tcPr>
            <w:tcW w:w="0" w:type="auto"/>
            <w:gridSpan w:val="4"/>
            <w:shd w:val="clear" w:color="auto" w:fill="C2D69B" w:themeFill="accent3" w:themeFillTint="99"/>
          </w:tcPr>
          <w:p w14:paraId="6A38877B" w14:textId="77777777" w:rsidR="007E1EDD" w:rsidRPr="00A07F29" w:rsidRDefault="007E1EDD" w:rsidP="000B764E">
            <w:pPr>
              <w:jc w:val="center"/>
              <w:rPr>
                <w:rFonts w:ascii="Times New Roman" w:hAnsi="Times New Roman" w:cs="Times New Roman"/>
                <w:b/>
                <w:bCs/>
                <w:iCs/>
              </w:rPr>
            </w:pPr>
            <w:r w:rsidRPr="00A07F29">
              <w:rPr>
                <w:rFonts w:ascii="Times New Roman" w:hAnsi="Times New Roman" w:cs="Times New Roman"/>
                <w:b/>
                <w:bCs/>
                <w:iCs/>
              </w:rPr>
              <w:t>Krāslavas novads</w:t>
            </w:r>
          </w:p>
        </w:tc>
      </w:tr>
      <w:tr w:rsidR="007E1EDD" w:rsidRPr="00A07F29" w14:paraId="2883B323" w14:textId="77777777" w:rsidTr="26F09819">
        <w:tc>
          <w:tcPr>
            <w:tcW w:w="0" w:type="auto"/>
            <w:gridSpan w:val="4"/>
          </w:tcPr>
          <w:p w14:paraId="7640A194" w14:textId="2BEAC032" w:rsidR="007E1EDD" w:rsidRPr="00A07F29" w:rsidRDefault="007E1EDD" w:rsidP="00E8521E">
            <w:pPr>
              <w:tabs>
                <w:tab w:val="left" w:pos="495"/>
              </w:tabs>
              <w:jc w:val="center"/>
              <w:rPr>
                <w:rFonts w:ascii="Times New Roman" w:hAnsi="Times New Roman" w:cs="Times New Roman"/>
                <w:b/>
                <w:bCs/>
                <w:iCs/>
              </w:rPr>
            </w:pPr>
            <w:r w:rsidRPr="00A07F29">
              <w:rPr>
                <w:rFonts w:ascii="Times New Roman" w:hAnsi="Times New Roman" w:cs="Times New Roman"/>
                <w:b/>
                <w:bCs/>
                <w:iCs/>
              </w:rPr>
              <w:t>Kalniešu pagasts</w:t>
            </w:r>
          </w:p>
        </w:tc>
      </w:tr>
      <w:tr w:rsidR="007E1EDD" w:rsidRPr="00A07F29" w14:paraId="10E9D967" w14:textId="77777777" w:rsidTr="26F09819">
        <w:tc>
          <w:tcPr>
            <w:tcW w:w="846" w:type="dxa"/>
          </w:tcPr>
          <w:p w14:paraId="5F7C0FAB" w14:textId="77777777" w:rsidR="007E1EDD" w:rsidRPr="00A07F29" w:rsidRDefault="007E1EDD" w:rsidP="000B764E">
            <w:pPr>
              <w:ind w:left="-206" w:firstLine="206"/>
              <w:jc w:val="center"/>
              <w:rPr>
                <w:rFonts w:ascii="Times New Roman" w:hAnsi="Times New Roman" w:cs="Times New Roman"/>
                <w:iCs/>
              </w:rPr>
            </w:pPr>
            <w:r w:rsidRPr="00A07F29">
              <w:rPr>
                <w:rFonts w:ascii="Times New Roman" w:hAnsi="Times New Roman" w:cs="Times New Roman"/>
                <w:iCs/>
              </w:rPr>
              <w:t>22.</w:t>
            </w:r>
          </w:p>
        </w:tc>
        <w:tc>
          <w:tcPr>
            <w:tcW w:w="1767" w:type="dxa"/>
          </w:tcPr>
          <w:p w14:paraId="3571F7AD" w14:textId="77777777" w:rsidR="007E1EDD" w:rsidRPr="00A07F29" w:rsidRDefault="007E1EDD" w:rsidP="000B764E">
            <w:pPr>
              <w:jc w:val="center"/>
              <w:rPr>
                <w:rFonts w:ascii="Times New Roman" w:hAnsi="Times New Roman" w:cs="Times New Roman"/>
              </w:rPr>
            </w:pPr>
            <w:r w:rsidRPr="00A07F29">
              <w:rPr>
                <w:rFonts w:ascii="Times New Roman" w:hAnsi="Times New Roman" w:cs="Times New Roman"/>
              </w:rPr>
              <w:t>1115</w:t>
            </w:r>
          </w:p>
        </w:tc>
        <w:tc>
          <w:tcPr>
            <w:tcW w:w="2911" w:type="dxa"/>
          </w:tcPr>
          <w:p w14:paraId="7037788B" w14:textId="77777777" w:rsidR="007E1EDD" w:rsidRPr="00A07F29" w:rsidRDefault="007E1EDD" w:rsidP="000B764E">
            <w:pPr>
              <w:jc w:val="center"/>
              <w:rPr>
                <w:rFonts w:ascii="Times New Roman" w:hAnsi="Times New Roman" w:cs="Times New Roman"/>
              </w:rPr>
            </w:pPr>
            <w:r w:rsidRPr="00A07F29">
              <w:rPr>
                <w:rFonts w:ascii="Times New Roman" w:hAnsi="Times New Roman" w:cs="Times New Roman"/>
              </w:rPr>
              <w:t>Vietējas nozīmes arheoloģija</w:t>
            </w:r>
          </w:p>
        </w:tc>
        <w:tc>
          <w:tcPr>
            <w:tcW w:w="3492" w:type="dxa"/>
          </w:tcPr>
          <w:p w14:paraId="1B185E64" w14:textId="77777777" w:rsidR="007E1EDD" w:rsidRPr="00A07F29" w:rsidRDefault="007E1EDD" w:rsidP="000B764E">
            <w:pPr>
              <w:jc w:val="center"/>
              <w:rPr>
                <w:rFonts w:ascii="Times New Roman" w:hAnsi="Times New Roman" w:cs="Times New Roman"/>
                <w:iCs/>
              </w:rPr>
            </w:pPr>
            <w:r w:rsidRPr="00A07F29">
              <w:rPr>
                <w:rFonts w:ascii="Times New Roman" w:hAnsi="Times New Roman" w:cs="Times New Roman"/>
              </w:rPr>
              <w:t xml:space="preserve">Lejas </w:t>
            </w:r>
            <w:proofErr w:type="spellStart"/>
            <w:r w:rsidRPr="00A07F29">
              <w:rPr>
                <w:rFonts w:ascii="Times New Roman" w:hAnsi="Times New Roman" w:cs="Times New Roman"/>
              </w:rPr>
              <w:t>Vikaņu</w:t>
            </w:r>
            <w:proofErr w:type="spellEnd"/>
            <w:r w:rsidRPr="00A07F29">
              <w:rPr>
                <w:rFonts w:ascii="Times New Roman" w:hAnsi="Times New Roman" w:cs="Times New Roman"/>
              </w:rPr>
              <w:t xml:space="preserve"> senkapi</w:t>
            </w:r>
          </w:p>
        </w:tc>
      </w:tr>
      <w:tr w:rsidR="007E1EDD" w:rsidRPr="00A07F29" w14:paraId="605401FC" w14:textId="77777777" w:rsidTr="26F09819">
        <w:tc>
          <w:tcPr>
            <w:tcW w:w="846" w:type="dxa"/>
          </w:tcPr>
          <w:p w14:paraId="76460B4C" w14:textId="77777777" w:rsidR="007E1EDD" w:rsidRPr="00A07F29" w:rsidRDefault="007E1EDD" w:rsidP="000B764E">
            <w:pPr>
              <w:ind w:left="-206" w:firstLine="206"/>
              <w:jc w:val="center"/>
              <w:rPr>
                <w:rFonts w:ascii="Times New Roman" w:hAnsi="Times New Roman" w:cs="Times New Roman"/>
                <w:iCs/>
              </w:rPr>
            </w:pPr>
            <w:r w:rsidRPr="00A07F29">
              <w:rPr>
                <w:rFonts w:ascii="Times New Roman" w:hAnsi="Times New Roman" w:cs="Times New Roman"/>
                <w:iCs/>
              </w:rPr>
              <w:t>23.</w:t>
            </w:r>
          </w:p>
        </w:tc>
        <w:tc>
          <w:tcPr>
            <w:tcW w:w="1767" w:type="dxa"/>
          </w:tcPr>
          <w:p w14:paraId="782C5C5D" w14:textId="77777777" w:rsidR="007E1EDD" w:rsidRPr="00A07F29" w:rsidRDefault="007E1EDD" w:rsidP="000B764E">
            <w:pPr>
              <w:jc w:val="center"/>
              <w:rPr>
                <w:rFonts w:ascii="Times New Roman" w:hAnsi="Times New Roman" w:cs="Times New Roman"/>
              </w:rPr>
            </w:pPr>
            <w:r w:rsidRPr="00A07F29">
              <w:rPr>
                <w:rFonts w:ascii="Times New Roman" w:hAnsi="Times New Roman" w:cs="Times New Roman"/>
              </w:rPr>
              <w:t>1116</w:t>
            </w:r>
          </w:p>
        </w:tc>
        <w:tc>
          <w:tcPr>
            <w:tcW w:w="2911" w:type="dxa"/>
          </w:tcPr>
          <w:p w14:paraId="58E0626E" w14:textId="77777777" w:rsidR="007E1EDD" w:rsidRPr="00A07F29" w:rsidRDefault="007E1EDD" w:rsidP="000B764E">
            <w:pPr>
              <w:jc w:val="center"/>
              <w:rPr>
                <w:rFonts w:ascii="Times New Roman" w:hAnsi="Times New Roman" w:cs="Times New Roman"/>
              </w:rPr>
            </w:pPr>
            <w:r w:rsidRPr="00A07F29">
              <w:rPr>
                <w:rFonts w:ascii="Times New Roman" w:hAnsi="Times New Roman" w:cs="Times New Roman"/>
              </w:rPr>
              <w:t>Vietējas nozīmes arheoloģija</w:t>
            </w:r>
          </w:p>
        </w:tc>
        <w:tc>
          <w:tcPr>
            <w:tcW w:w="3492" w:type="dxa"/>
          </w:tcPr>
          <w:p w14:paraId="332CFF89" w14:textId="77777777" w:rsidR="007E1EDD" w:rsidRPr="00A07F29" w:rsidRDefault="007E1EDD" w:rsidP="000B764E">
            <w:pPr>
              <w:jc w:val="center"/>
              <w:rPr>
                <w:rFonts w:ascii="Times New Roman" w:hAnsi="Times New Roman" w:cs="Times New Roman"/>
              </w:rPr>
            </w:pPr>
            <w:proofErr w:type="spellStart"/>
            <w:r w:rsidRPr="00A07F29">
              <w:rPr>
                <w:rFonts w:ascii="Times New Roman" w:hAnsi="Times New Roman" w:cs="Times New Roman"/>
              </w:rPr>
              <w:t>Indricas</w:t>
            </w:r>
            <w:proofErr w:type="spellEnd"/>
            <w:r w:rsidRPr="00A07F29">
              <w:rPr>
                <w:rFonts w:ascii="Times New Roman" w:hAnsi="Times New Roman" w:cs="Times New Roman"/>
              </w:rPr>
              <w:t xml:space="preserve"> nocietinātās muižas vieta</w:t>
            </w:r>
          </w:p>
        </w:tc>
      </w:tr>
      <w:tr w:rsidR="007E1EDD" w:rsidRPr="00A07F29" w14:paraId="1693A3B4" w14:textId="77777777" w:rsidTr="26F09819">
        <w:tc>
          <w:tcPr>
            <w:tcW w:w="846" w:type="dxa"/>
          </w:tcPr>
          <w:p w14:paraId="11DD0AE0" w14:textId="77777777" w:rsidR="007E1EDD" w:rsidRPr="00A07F29" w:rsidRDefault="007E1EDD" w:rsidP="000B764E">
            <w:pPr>
              <w:ind w:left="-206" w:firstLine="206"/>
              <w:jc w:val="center"/>
              <w:rPr>
                <w:rFonts w:ascii="Times New Roman" w:hAnsi="Times New Roman" w:cs="Times New Roman"/>
                <w:iCs/>
              </w:rPr>
            </w:pPr>
            <w:r w:rsidRPr="00A07F29">
              <w:rPr>
                <w:rFonts w:ascii="Times New Roman" w:hAnsi="Times New Roman" w:cs="Times New Roman"/>
                <w:iCs/>
              </w:rPr>
              <w:t>24.</w:t>
            </w:r>
          </w:p>
        </w:tc>
        <w:tc>
          <w:tcPr>
            <w:tcW w:w="1767" w:type="dxa"/>
          </w:tcPr>
          <w:p w14:paraId="67F6DD2F" w14:textId="77777777" w:rsidR="007E1EDD" w:rsidRPr="00A07F29" w:rsidRDefault="007E1EDD" w:rsidP="000B764E">
            <w:pPr>
              <w:jc w:val="center"/>
              <w:rPr>
                <w:rFonts w:ascii="Times New Roman" w:hAnsi="Times New Roman" w:cs="Times New Roman"/>
              </w:rPr>
            </w:pPr>
            <w:r w:rsidRPr="00A07F29">
              <w:rPr>
                <w:rFonts w:ascii="Times New Roman" w:hAnsi="Times New Roman" w:cs="Times New Roman"/>
              </w:rPr>
              <w:t>6316</w:t>
            </w:r>
          </w:p>
        </w:tc>
        <w:tc>
          <w:tcPr>
            <w:tcW w:w="2911" w:type="dxa"/>
          </w:tcPr>
          <w:p w14:paraId="04903B8E" w14:textId="77777777" w:rsidR="007E1EDD" w:rsidRPr="00A07F29" w:rsidRDefault="007E1EDD" w:rsidP="000B764E">
            <w:pPr>
              <w:jc w:val="center"/>
              <w:rPr>
                <w:rFonts w:ascii="Times New Roman" w:hAnsi="Times New Roman" w:cs="Times New Roman"/>
              </w:rPr>
            </w:pPr>
            <w:r w:rsidRPr="00A07F29">
              <w:rPr>
                <w:rFonts w:ascii="Times New Roman" w:hAnsi="Times New Roman" w:cs="Times New Roman"/>
              </w:rPr>
              <w:t>Valsts nozīmes arhitektūra</w:t>
            </w:r>
          </w:p>
        </w:tc>
        <w:tc>
          <w:tcPr>
            <w:tcW w:w="3492" w:type="dxa"/>
          </w:tcPr>
          <w:p w14:paraId="2C496425" w14:textId="77777777" w:rsidR="007E1EDD" w:rsidRPr="00A07F29" w:rsidRDefault="007E1EDD" w:rsidP="000B764E">
            <w:pPr>
              <w:jc w:val="center"/>
              <w:rPr>
                <w:rFonts w:ascii="Times New Roman" w:hAnsi="Times New Roman" w:cs="Times New Roman"/>
              </w:rPr>
            </w:pPr>
            <w:proofErr w:type="spellStart"/>
            <w:r w:rsidRPr="00A07F29">
              <w:rPr>
                <w:rFonts w:ascii="Times New Roman" w:hAnsi="Times New Roman" w:cs="Times New Roman"/>
              </w:rPr>
              <w:t>Indricas</w:t>
            </w:r>
            <w:proofErr w:type="spellEnd"/>
            <w:r w:rsidRPr="00A07F29">
              <w:rPr>
                <w:rFonts w:ascii="Times New Roman" w:hAnsi="Times New Roman" w:cs="Times New Roman"/>
              </w:rPr>
              <w:t xml:space="preserve"> katoļu baznīca ar žogu un zvanu torni</w:t>
            </w:r>
          </w:p>
        </w:tc>
      </w:tr>
      <w:tr w:rsidR="007E1EDD" w:rsidRPr="00A07F29" w14:paraId="0414179C" w14:textId="77777777" w:rsidTr="26F09819">
        <w:tc>
          <w:tcPr>
            <w:tcW w:w="846" w:type="dxa"/>
          </w:tcPr>
          <w:p w14:paraId="38FBF613" w14:textId="77777777" w:rsidR="007E1EDD" w:rsidRPr="00A07F29" w:rsidRDefault="007E1EDD" w:rsidP="000B764E">
            <w:pPr>
              <w:ind w:left="-206" w:firstLine="206"/>
              <w:jc w:val="center"/>
              <w:rPr>
                <w:rFonts w:ascii="Times New Roman" w:hAnsi="Times New Roman" w:cs="Times New Roman"/>
                <w:iCs/>
              </w:rPr>
            </w:pPr>
            <w:r w:rsidRPr="00A07F29">
              <w:rPr>
                <w:rFonts w:ascii="Times New Roman" w:hAnsi="Times New Roman" w:cs="Times New Roman"/>
                <w:iCs/>
              </w:rPr>
              <w:t>25.</w:t>
            </w:r>
          </w:p>
        </w:tc>
        <w:tc>
          <w:tcPr>
            <w:tcW w:w="1767" w:type="dxa"/>
          </w:tcPr>
          <w:p w14:paraId="351C0DE5" w14:textId="77777777" w:rsidR="007E1EDD" w:rsidRPr="00A07F29" w:rsidRDefault="007E1EDD" w:rsidP="000B764E">
            <w:pPr>
              <w:jc w:val="center"/>
              <w:rPr>
                <w:rFonts w:ascii="Times New Roman" w:hAnsi="Times New Roman" w:cs="Times New Roman"/>
              </w:rPr>
            </w:pPr>
            <w:r w:rsidRPr="00A07F29">
              <w:rPr>
                <w:rFonts w:ascii="Times New Roman" w:hAnsi="Times New Roman" w:cs="Times New Roman"/>
              </w:rPr>
              <w:t>1122</w:t>
            </w:r>
          </w:p>
        </w:tc>
        <w:tc>
          <w:tcPr>
            <w:tcW w:w="2911" w:type="dxa"/>
          </w:tcPr>
          <w:p w14:paraId="104DDF9D" w14:textId="77777777" w:rsidR="007E1EDD" w:rsidRPr="00A07F29" w:rsidRDefault="007E1EDD" w:rsidP="000B764E">
            <w:pPr>
              <w:jc w:val="center"/>
              <w:rPr>
                <w:rFonts w:ascii="Times New Roman" w:hAnsi="Times New Roman" w:cs="Times New Roman"/>
              </w:rPr>
            </w:pPr>
            <w:r w:rsidRPr="00A07F29">
              <w:rPr>
                <w:rFonts w:ascii="Times New Roman" w:hAnsi="Times New Roman" w:cs="Times New Roman"/>
              </w:rPr>
              <w:t>Vietējas nozīmes arheoloģija</w:t>
            </w:r>
          </w:p>
        </w:tc>
        <w:tc>
          <w:tcPr>
            <w:tcW w:w="3492" w:type="dxa"/>
          </w:tcPr>
          <w:p w14:paraId="16884036" w14:textId="77777777" w:rsidR="007E1EDD" w:rsidRPr="00A07F29" w:rsidRDefault="007E1EDD" w:rsidP="000B764E">
            <w:pPr>
              <w:jc w:val="center"/>
              <w:rPr>
                <w:rFonts w:ascii="Times New Roman" w:hAnsi="Times New Roman" w:cs="Times New Roman"/>
                <w:iCs/>
              </w:rPr>
            </w:pPr>
            <w:proofErr w:type="spellStart"/>
            <w:r w:rsidRPr="00A07F29">
              <w:rPr>
                <w:rFonts w:ascii="Times New Roman" w:hAnsi="Times New Roman" w:cs="Times New Roman"/>
              </w:rPr>
              <w:t>Slobodas</w:t>
            </w:r>
            <w:proofErr w:type="spellEnd"/>
            <w:r w:rsidRPr="00A07F29">
              <w:rPr>
                <w:rFonts w:ascii="Times New Roman" w:hAnsi="Times New Roman" w:cs="Times New Roman"/>
              </w:rPr>
              <w:t xml:space="preserve"> apmetne</w:t>
            </w:r>
          </w:p>
        </w:tc>
      </w:tr>
      <w:tr w:rsidR="007E1EDD" w:rsidRPr="00A07F29" w14:paraId="39157FC0" w14:textId="77777777" w:rsidTr="26F09819">
        <w:tc>
          <w:tcPr>
            <w:tcW w:w="846" w:type="dxa"/>
          </w:tcPr>
          <w:p w14:paraId="11DA73CC" w14:textId="77777777" w:rsidR="007E1EDD" w:rsidRPr="00A07F29" w:rsidRDefault="007E1EDD" w:rsidP="000B764E">
            <w:pPr>
              <w:ind w:left="-206" w:firstLine="206"/>
              <w:jc w:val="center"/>
              <w:rPr>
                <w:rFonts w:ascii="Times New Roman" w:hAnsi="Times New Roman" w:cs="Times New Roman"/>
                <w:iCs/>
              </w:rPr>
            </w:pPr>
            <w:r w:rsidRPr="00A07F29">
              <w:rPr>
                <w:rFonts w:ascii="Times New Roman" w:hAnsi="Times New Roman" w:cs="Times New Roman"/>
                <w:iCs/>
              </w:rPr>
              <w:t>26.</w:t>
            </w:r>
          </w:p>
        </w:tc>
        <w:tc>
          <w:tcPr>
            <w:tcW w:w="1767" w:type="dxa"/>
          </w:tcPr>
          <w:p w14:paraId="04990E76" w14:textId="77777777" w:rsidR="007E1EDD" w:rsidRPr="00A07F29" w:rsidRDefault="007E1EDD" w:rsidP="000B764E">
            <w:pPr>
              <w:jc w:val="center"/>
              <w:rPr>
                <w:rFonts w:ascii="Times New Roman" w:hAnsi="Times New Roman" w:cs="Times New Roman"/>
              </w:rPr>
            </w:pPr>
            <w:r w:rsidRPr="00A07F29">
              <w:rPr>
                <w:rFonts w:ascii="Times New Roman" w:hAnsi="Times New Roman" w:cs="Times New Roman"/>
              </w:rPr>
              <w:t>1119</w:t>
            </w:r>
          </w:p>
        </w:tc>
        <w:tc>
          <w:tcPr>
            <w:tcW w:w="2911" w:type="dxa"/>
          </w:tcPr>
          <w:p w14:paraId="7ECC84ED" w14:textId="77777777" w:rsidR="007E1EDD" w:rsidRPr="00A07F29" w:rsidRDefault="007E1EDD" w:rsidP="000B764E">
            <w:pPr>
              <w:jc w:val="center"/>
              <w:rPr>
                <w:rFonts w:ascii="Times New Roman" w:hAnsi="Times New Roman" w:cs="Times New Roman"/>
              </w:rPr>
            </w:pPr>
            <w:r w:rsidRPr="00A07F29">
              <w:rPr>
                <w:rFonts w:ascii="Times New Roman" w:hAnsi="Times New Roman" w:cs="Times New Roman"/>
              </w:rPr>
              <w:t>Valsts nozīmes arheoloģija</w:t>
            </w:r>
          </w:p>
        </w:tc>
        <w:tc>
          <w:tcPr>
            <w:tcW w:w="3492" w:type="dxa"/>
          </w:tcPr>
          <w:p w14:paraId="071483EB" w14:textId="77777777" w:rsidR="007E1EDD" w:rsidRPr="00A07F29" w:rsidRDefault="007E1EDD" w:rsidP="000B764E">
            <w:pPr>
              <w:jc w:val="center"/>
              <w:rPr>
                <w:rFonts w:ascii="Times New Roman" w:hAnsi="Times New Roman" w:cs="Times New Roman"/>
                <w:iCs/>
              </w:rPr>
            </w:pPr>
            <w:proofErr w:type="spellStart"/>
            <w:r w:rsidRPr="00A07F29">
              <w:rPr>
                <w:rFonts w:ascii="Times New Roman" w:hAnsi="Times New Roman" w:cs="Times New Roman"/>
              </w:rPr>
              <w:t>Podgurjes</w:t>
            </w:r>
            <w:proofErr w:type="spellEnd"/>
            <w:r w:rsidRPr="00A07F29">
              <w:rPr>
                <w:rFonts w:ascii="Times New Roman" w:hAnsi="Times New Roman" w:cs="Times New Roman"/>
              </w:rPr>
              <w:t xml:space="preserve"> senkapi (Franču kapi)</w:t>
            </w:r>
          </w:p>
        </w:tc>
      </w:tr>
      <w:tr w:rsidR="007E1EDD" w:rsidRPr="00A07F29" w14:paraId="70EF3584" w14:textId="77777777" w:rsidTr="26F09819">
        <w:tc>
          <w:tcPr>
            <w:tcW w:w="846" w:type="dxa"/>
          </w:tcPr>
          <w:p w14:paraId="08D2B721" w14:textId="77777777" w:rsidR="007E1EDD" w:rsidRPr="00A07F29" w:rsidRDefault="007E1EDD" w:rsidP="000B764E">
            <w:pPr>
              <w:ind w:left="-206" w:firstLine="206"/>
              <w:jc w:val="center"/>
              <w:rPr>
                <w:rFonts w:ascii="Times New Roman" w:hAnsi="Times New Roman" w:cs="Times New Roman"/>
                <w:iCs/>
              </w:rPr>
            </w:pPr>
            <w:r w:rsidRPr="00A07F29">
              <w:rPr>
                <w:rFonts w:ascii="Times New Roman" w:hAnsi="Times New Roman" w:cs="Times New Roman"/>
                <w:iCs/>
              </w:rPr>
              <w:t>27.</w:t>
            </w:r>
          </w:p>
        </w:tc>
        <w:tc>
          <w:tcPr>
            <w:tcW w:w="1767" w:type="dxa"/>
          </w:tcPr>
          <w:p w14:paraId="16C82051" w14:textId="77777777" w:rsidR="007E1EDD" w:rsidRPr="00A07F29" w:rsidRDefault="007E1EDD" w:rsidP="000B764E">
            <w:pPr>
              <w:jc w:val="center"/>
              <w:rPr>
                <w:rFonts w:ascii="Times New Roman" w:hAnsi="Times New Roman" w:cs="Times New Roman"/>
              </w:rPr>
            </w:pPr>
            <w:r w:rsidRPr="00A07F29">
              <w:rPr>
                <w:rFonts w:ascii="Times New Roman" w:hAnsi="Times New Roman" w:cs="Times New Roman"/>
              </w:rPr>
              <w:t>1113</w:t>
            </w:r>
          </w:p>
        </w:tc>
        <w:tc>
          <w:tcPr>
            <w:tcW w:w="2911" w:type="dxa"/>
          </w:tcPr>
          <w:p w14:paraId="168C872A" w14:textId="77777777" w:rsidR="007E1EDD" w:rsidRPr="00A07F29" w:rsidRDefault="007E1EDD" w:rsidP="000B764E">
            <w:pPr>
              <w:jc w:val="center"/>
              <w:rPr>
                <w:rFonts w:ascii="Times New Roman" w:hAnsi="Times New Roman" w:cs="Times New Roman"/>
              </w:rPr>
            </w:pPr>
            <w:r w:rsidRPr="00A07F29">
              <w:rPr>
                <w:rFonts w:ascii="Times New Roman" w:hAnsi="Times New Roman" w:cs="Times New Roman"/>
              </w:rPr>
              <w:t>Valsts nozīmes arheoloģija</w:t>
            </w:r>
          </w:p>
        </w:tc>
        <w:tc>
          <w:tcPr>
            <w:tcW w:w="3492" w:type="dxa"/>
          </w:tcPr>
          <w:p w14:paraId="282A1187" w14:textId="77777777" w:rsidR="007E1EDD" w:rsidRPr="00A07F29" w:rsidRDefault="007E1EDD" w:rsidP="000B764E">
            <w:pPr>
              <w:jc w:val="center"/>
              <w:rPr>
                <w:rFonts w:ascii="Times New Roman" w:hAnsi="Times New Roman" w:cs="Times New Roman"/>
                <w:iCs/>
              </w:rPr>
            </w:pPr>
            <w:r w:rsidRPr="00A07F29">
              <w:rPr>
                <w:rFonts w:ascii="Times New Roman" w:hAnsi="Times New Roman" w:cs="Times New Roman"/>
              </w:rPr>
              <w:t>Dauguļu apmetne un viduslaiku kapsēta (Franču kapi)</w:t>
            </w:r>
          </w:p>
        </w:tc>
      </w:tr>
      <w:tr w:rsidR="007E1EDD" w:rsidRPr="00A07F29" w14:paraId="238EE170" w14:textId="77777777" w:rsidTr="26F09819">
        <w:tc>
          <w:tcPr>
            <w:tcW w:w="0" w:type="auto"/>
            <w:gridSpan w:val="4"/>
          </w:tcPr>
          <w:p w14:paraId="23E5021D" w14:textId="77777777" w:rsidR="007E1EDD" w:rsidRPr="00A07F29" w:rsidRDefault="007E1EDD" w:rsidP="000B764E">
            <w:pPr>
              <w:jc w:val="center"/>
              <w:rPr>
                <w:rFonts w:ascii="Times New Roman" w:hAnsi="Times New Roman" w:cs="Times New Roman"/>
                <w:b/>
                <w:bCs/>
                <w:iCs/>
              </w:rPr>
            </w:pPr>
            <w:r w:rsidRPr="00A07F29">
              <w:rPr>
                <w:rFonts w:ascii="Times New Roman" w:hAnsi="Times New Roman" w:cs="Times New Roman"/>
                <w:b/>
                <w:bCs/>
                <w:iCs/>
              </w:rPr>
              <w:t>Kaplavas pagasts</w:t>
            </w:r>
          </w:p>
        </w:tc>
      </w:tr>
      <w:tr w:rsidR="007E1EDD" w:rsidRPr="00A07F29" w14:paraId="7D312189" w14:textId="77777777" w:rsidTr="26F09819">
        <w:tc>
          <w:tcPr>
            <w:tcW w:w="846" w:type="dxa"/>
          </w:tcPr>
          <w:p w14:paraId="3B6B436E" w14:textId="77777777" w:rsidR="007E1EDD" w:rsidRPr="00A07F29" w:rsidRDefault="007E1EDD" w:rsidP="000B764E">
            <w:pPr>
              <w:ind w:left="-206" w:firstLine="206"/>
              <w:jc w:val="center"/>
              <w:rPr>
                <w:rFonts w:ascii="Times New Roman" w:hAnsi="Times New Roman" w:cs="Times New Roman"/>
                <w:iCs/>
              </w:rPr>
            </w:pPr>
            <w:r w:rsidRPr="00A07F29">
              <w:rPr>
                <w:rFonts w:ascii="Times New Roman" w:hAnsi="Times New Roman" w:cs="Times New Roman"/>
                <w:iCs/>
              </w:rPr>
              <w:t>28.</w:t>
            </w:r>
          </w:p>
        </w:tc>
        <w:tc>
          <w:tcPr>
            <w:tcW w:w="1767" w:type="dxa"/>
          </w:tcPr>
          <w:p w14:paraId="1D06A037" w14:textId="77777777" w:rsidR="007E1EDD" w:rsidRPr="00A07F29" w:rsidRDefault="007E1EDD" w:rsidP="000B764E">
            <w:pPr>
              <w:jc w:val="center"/>
              <w:rPr>
                <w:rFonts w:ascii="Times New Roman" w:hAnsi="Times New Roman" w:cs="Times New Roman"/>
              </w:rPr>
            </w:pPr>
            <w:r w:rsidRPr="00A07F29">
              <w:rPr>
                <w:rFonts w:ascii="Times New Roman" w:hAnsi="Times New Roman" w:cs="Times New Roman"/>
              </w:rPr>
              <w:t>6110</w:t>
            </w:r>
          </w:p>
        </w:tc>
        <w:tc>
          <w:tcPr>
            <w:tcW w:w="2911" w:type="dxa"/>
          </w:tcPr>
          <w:p w14:paraId="223D1BE0" w14:textId="77777777" w:rsidR="007E1EDD" w:rsidRPr="00A07F29" w:rsidRDefault="007E1EDD" w:rsidP="000B764E">
            <w:pPr>
              <w:jc w:val="center"/>
              <w:rPr>
                <w:rFonts w:ascii="Times New Roman" w:hAnsi="Times New Roman" w:cs="Times New Roman"/>
              </w:rPr>
            </w:pPr>
            <w:r w:rsidRPr="00A07F29">
              <w:rPr>
                <w:rFonts w:ascii="Times New Roman" w:hAnsi="Times New Roman" w:cs="Times New Roman"/>
              </w:rPr>
              <w:t>Vietējas nozīmes arhitektūra</w:t>
            </w:r>
          </w:p>
        </w:tc>
        <w:tc>
          <w:tcPr>
            <w:tcW w:w="3492" w:type="dxa"/>
          </w:tcPr>
          <w:p w14:paraId="1D631534" w14:textId="77777777" w:rsidR="007E1EDD" w:rsidRPr="00A07F29" w:rsidRDefault="007E1EDD" w:rsidP="000B764E">
            <w:pPr>
              <w:jc w:val="center"/>
              <w:rPr>
                <w:rFonts w:ascii="Times New Roman" w:hAnsi="Times New Roman" w:cs="Times New Roman"/>
                <w:iCs/>
              </w:rPr>
            </w:pPr>
            <w:r w:rsidRPr="00A07F29">
              <w:rPr>
                <w:rFonts w:ascii="Times New Roman" w:hAnsi="Times New Roman" w:cs="Times New Roman"/>
              </w:rPr>
              <w:t>Zvejnieku-zemnieku sētu grupa Kaplavas ciemā</w:t>
            </w:r>
          </w:p>
        </w:tc>
      </w:tr>
      <w:tr w:rsidR="007E1EDD" w:rsidRPr="00A07F29" w14:paraId="3DA4EB85" w14:textId="77777777" w:rsidTr="26F09819">
        <w:tc>
          <w:tcPr>
            <w:tcW w:w="846" w:type="dxa"/>
          </w:tcPr>
          <w:p w14:paraId="60E08711" w14:textId="77777777" w:rsidR="007E1EDD" w:rsidRPr="00A07F29" w:rsidRDefault="007E1EDD" w:rsidP="000B764E">
            <w:pPr>
              <w:ind w:left="-206" w:firstLine="206"/>
              <w:jc w:val="center"/>
              <w:rPr>
                <w:rFonts w:ascii="Times New Roman" w:hAnsi="Times New Roman" w:cs="Times New Roman"/>
                <w:iCs/>
              </w:rPr>
            </w:pPr>
            <w:r w:rsidRPr="00A07F29">
              <w:rPr>
                <w:rFonts w:ascii="Times New Roman" w:hAnsi="Times New Roman" w:cs="Times New Roman"/>
                <w:iCs/>
              </w:rPr>
              <w:t>29.</w:t>
            </w:r>
          </w:p>
        </w:tc>
        <w:tc>
          <w:tcPr>
            <w:tcW w:w="1767" w:type="dxa"/>
          </w:tcPr>
          <w:p w14:paraId="20AA9296" w14:textId="77777777" w:rsidR="007E1EDD" w:rsidRPr="00A07F29" w:rsidRDefault="007E1EDD" w:rsidP="000B764E">
            <w:pPr>
              <w:jc w:val="center"/>
              <w:rPr>
                <w:rFonts w:ascii="Times New Roman" w:hAnsi="Times New Roman" w:cs="Times New Roman"/>
              </w:rPr>
            </w:pPr>
            <w:r w:rsidRPr="00A07F29">
              <w:rPr>
                <w:rFonts w:ascii="Times New Roman" w:hAnsi="Times New Roman" w:cs="Times New Roman"/>
              </w:rPr>
              <w:t>1123</w:t>
            </w:r>
          </w:p>
        </w:tc>
        <w:tc>
          <w:tcPr>
            <w:tcW w:w="2911" w:type="dxa"/>
          </w:tcPr>
          <w:p w14:paraId="4AC63E30" w14:textId="77777777" w:rsidR="007E1EDD" w:rsidRPr="00A07F29" w:rsidRDefault="007E1EDD" w:rsidP="000B764E">
            <w:pPr>
              <w:jc w:val="center"/>
              <w:rPr>
                <w:rFonts w:ascii="Times New Roman" w:hAnsi="Times New Roman" w:cs="Times New Roman"/>
              </w:rPr>
            </w:pPr>
            <w:r w:rsidRPr="00A07F29">
              <w:rPr>
                <w:rFonts w:ascii="Times New Roman" w:hAnsi="Times New Roman" w:cs="Times New Roman"/>
              </w:rPr>
              <w:t>Valsts nozīmes arheoloģija</w:t>
            </w:r>
          </w:p>
        </w:tc>
        <w:tc>
          <w:tcPr>
            <w:tcW w:w="3492" w:type="dxa"/>
          </w:tcPr>
          <w:p w14:paraId="324C8C08" w14:textId="77777777" w:rsidR="007E1EDD" w:rsidRPr="00A07F29" w:rsidRDefault="007E1EDD" w:rsidP="000B764E">
            <w:pPr>
              <w:jc w:val="center"/>
              <w:rPr>
                <w:rFonts w:ascii="Times New Roman" w:hAnsi="Times New Roman" w:cs="Times New Roman"/>
                <w:iCs/>
              </w:rPr>
            </w:pPr>
            <w:r w:rsidRPr="00A07F29">
              <w:rPr>
                <w:rFonts w:ascii="Times New Roman" w:hAnsi="Times New Roman" w:cs="Times New Roman"/>
              </w:rPr>
              <w:tab/>
              <w:t>Aizvējiņu pilskalns</w:t>
            </w:r>
          </w:p>
        </w:tc>
      </w:tr>
      <w:tr w:rsidR="007E1EDD" w:rsidRPr="00A07F29" w14:paraId="0E1A3127" w14:textId="77777777" w:rsidTr="26F09819">
        <w:tc>
          <w:tcPr>
            <w:tcW w:w="846" w:type="dxa"/>
          </w:tcPr>
          <w:p w14:paraId="7AEC1445" w14:textId="77777777" w:rsidR="007E1EDD" w:rsidRPr="00A07F29" w:rsidRDefault="007E1EDD" w:rsidP="000B764E">
            <w:pPr>
              <w:ind w:left="-206" w:firstLine="206"/>
              <w:jc w:val="center"/>
              <w:rPr>
                <w:rFonts w:ascii="Times New Roman" w:hAnsi="Times New Roman" w:cs="Times New Roman"/>
                <w:iCs/>
              </w:rPr>
            </w:pPr>
            <w:r w:rsidRPr="00A07F29">
              <w:rPr>
                <w:rFonts w:ascii="Times New Roman" w:hAnsi="Times New Roman" w:cs="Times New Roman"/>
                <w:iCs/>
              </w:rPr>
              <w:t>30.</w:t>
            </w:r>
          </w:p>
        </w:tc>
        <w:tc>
          <w:tcPr>
            <w:tcW w:w="1767" w:type="dxa"/>
          </w:tcPr>
          <w:p w14:paraId="4DD29BCB" w14:textId="77777777" w:rsidR="007E1EDD" w:rsidRPr="00A07F29" w:rsidRDefault="007E1EDD" w:rsidP="000B764E">
            <w:pPr>
              <w:jc w:val="center"/>
              <w:rPr>
                <w:rFonts w:ascii="Times New Roman" w:hAnsi="Times New Roman" w:cs="Times New Roman"/>
              </w:rPr>
            </w:pPr>
            <w:r w:rsidRPr="00A07F29">
              <w:rPr>
                <w:rFonts w:ascii="Times New Roman" w:hAnsi="Times New Roman" w:cs="Times New Roman"/>
              </w:rPr>
              <w:t>1124</w:t>
            </w:r>
          </w:p>
        </w:tc>
        <w:tc>
          <w:tcPr>
            <w:tcW w:w="2911" w:type="dxa"/>
          </w:tcPr>
          <w:p w14:paraId="23AF96FC" w14:textId="77777777" w:rsidR="007E1EDD" w:rsidRPr="00A07F29" w:rsidRDefault="007E1EDD" w:rsidP="000B764E">
            <w:pPr>
              <w:jc w:val="center"/>
              <w:rPr>
                <w:rFonts w:ascii="Times New Roman" w:hAnsi="Times New Roman" w:cs="Times New Roman"/>
              </w:rPr>
            </w:pPr>
            <w:r w:rsidRPr="00A07F29">
              <w:rPr>
                <w:rFonts w:ascii="Times New Roman" w:hAnsi="Times New Roman" w:cs="Times New Roman"/>
              </w:rPr>
              <w:t>Vietējas nozīmes arheoloģija</w:t>
            </w:r>
          </w:p>
        </w:tc>
        <w:tc>
          <w:tcPr>
            <w:tcW w:w="3492" w:type="dxa"/>
          </w:tcPr>
          <w:p w14:paraId="22400C07" w14:textId="77777777" w:rsidR="007E1EDD" w:rsidRPr="00A07F29" w:rsidRDefault="007E1EDD" w:rsidP="000B764E">
            <w:pPr>
              <w:jc w:val="center"/>
              <w:rPr>
                <w:rFonts w:ascii="Times New Roman" w:hAnsi="Times New Roman" w:cs="Times New Roman"/>
                <w:iCs/>
              </w:rPr>
            </w:pPr>
            <w:proofErr w:type="spellStart"/>
            <w:r w:rsidRPr="00A07F29">
              <w:rPr>
                <w:rFonts w:ascii="Times New Roman" w:hAnsi="Times New Roman" w:cs="Times New Roman"/>
              </w:rPr>
              <w:t>Novaseļcu</w:t>
            </w:r>
            <w:proofErr w:type="spellEnd"/>
            <w:r w:rsidRPr="00A07F29">
              <w:rPr>
                <w:rFonts w:ascii="Times New Roman" w:hAnsi="Times New Roman" w:cs="Times New Roman"/>
              </w:rPr>
              <w:t xml:space="preserve"> apmetne</w:t>
            </w:r>
          </w:p>
        </w:tc>
      </w:tr>
      <w:tr w:rsidR="007E1EDD" w:rsidRPr="00A07F29" w14:paraId="29274554" w14:textId="77777777" w:rsidTr="26F09819">
        <w:tc>
          <w:tcPr>
            <w:tcW w:w="846" w:type="dxa"/>
          </w:tcPr>
          <w:p w14:paraId="1DDC5905" w14:textId="77777777" w:rsidR="007E1EDD" w:rsidRPr="00A07F29" w:rsidRDefault="007E1EDD" w:rsidP="000B764E">
            <w:pPr>
              <w:ind w:left="-206" w:firstLine="206"/>
              <w:jc w:val="center"/>
              <w:rPr>
                <w:rFonts w:ascii="Times New Roman" w:hAnsi="Times New Roman" w:cs="Times New Roman"/>
                <w:iCs/>
              </w:rPr>
            </w:pPr>
            <w:r w:rsidRPr="00A07F29">
              <w:rPr>
                <w:rFonts w:ascii="Times New Roman" w:hAnsi="Times New Roman" w:cs="Times New Roman"/>
                <w:iCs/>
              </w:rPr>
              <w:t>31.</w:t>
            </w:r>
          </w:p>
        </w:tc>
        <w:tc>
          <w:tcPr>
            <w:tcW w:w="1767" w:type="dxa"/>
          </w:tcPr>
          <w:p w14:paraId="294FE2F8" w14:textId="77777777" w:rsidR="007E1EDD" w:rsidRPr="00A07F29" w:rsidRDefault="007E1EDD" w:rsidP="000B764E">
            <w:pPr>
              <w:jc w:val="center"/>
              <w:rPr>
                <w:rFonts w:ascii="Times New Roman" w:hAnsi="Times New Roman" w:cs="Times New Roman"/>
              </w:rPr>
            </w:pPr>
            <w:r w:rsidRPr="00A07F29">
              <w:rPr>
                <w:rFonts w:ascii="Times New Roman" w:hAnsi="Times New Roman" w:cs="Times New Roman"/>
              </w:rPr>
              <w:t>1125</w:t>
            </w:r>
          </w:p>
        </w:tc>
        <w:tc>
          <w:tcPr>
            <w:tcW w:w="2911" w:type="dxa"/>
          </w:tcPr>
          <w:p w14:paraId="78C308E0" w14:textId="77777777" w:rsidR="007E1EDD" w:rsidRPr="00A07F29" w:rsidRDefault="007E1EDD" w:rsidP="000B764E">
            <w:pPr>
              <w:jc w:val="center"/>
              <w:rPr>
                <w:rFonts w:ascii="Times New Roman" w:hAnsi="Times New Roman" w:cs="Times New Roman"/>
              </w:rPr>
            </w:pPr>
            <w:r w:rsidRPr="00A07F29">
              <w:rPr>
                <w:rFonts w:ascii="Times New Roman" w:hAnsi="Times New Roman" w:cs="Times New Roman"/>
              </w:rPr>
              <w:t>Vietējas nozīmes arheoloģija</w:t>
            </w:r>
          </w:p>
        </w:tc>
        <w:tc>
          <w:tcPr>
            <w:tcW w:w="3492" w:type="dxa"/>
          </w:tcPr>
          <w:p w14:paraId="6D386FD6" w14:textId="77777777" w:rsidR="007E1EDD" w:rsidRPr="00A07F29" w:rsidRDefault="007E1EDD" w:rsidP="000B764E">
            <w:pPr>
              <w:jc w:val="center"/>
              <w:rPr>
                <w:rFonts w:ascii="Times New Roman" w:hAnsi="Times New Roman" w:cs="Times New Roman"/>
                <w:iCs/>
              </w:rPr>
            </w:pPr>
            <w:proofErr w:type="spellStart"/>
            <w:r w:rsidRPr="00A07F29">
              <w:rPr>
                <w:rFonts w:ascii="Times New Roman" w:hAnsi="Times New Roman" w:cs="Times New Roman"/>
              </w:rPr>
              <w:t>Podvinku</w:t>
            </w:r>
            <w:proofErr w:type="spellEnd"/>
            <w:r w:rsidRPr="00A07F29">
              <w:rPr>
                <w:rFonts w:ascii="Times New Roman" w:hAnsi="Times New Roman" w:cs="Times New Roman"/>
              </w:rPr>
              <w:t xml:space="preserve"> Baznīcas kalns -viduslaiku kapsēta un baznīcas vieta</w:t>
            </w:r>
          </w:p>
        </w:tc>
      </w:tr>
      <w:tr w:rsidR="007E1EDD" w:rsidRPr="00A07F29" w14:paraId="21838DD8" w14:textId="77777777" w:rsidTr="26F09819">
        <w:tc>
          <w:tcPr>
            <w:tcW w:w="846" w:type="dxa"/>
          </w:tcPr>
          <w:p w14:paraId="629B603C" w14:textId="77777777" w:rsidR="007E1EDD" w:rsidRPr="00A07F29" w:rsidRDefault="007E1EDD" w:rsidP="000B764E">
            <w:pPr>
              <w:ind w:left="-206" w:firstLine="206"/>
              <w:jc w:val="center"/>
              <w:rPr>
                <w:rFonts w:ascii="Times New Roman" w:hAnsi="Times New Roman" w:cs="Times New Roman"/>
                <w:iCs/>
              </w:rPr>
            </w:pPr>
            <w:r w:rsidRPr="00A07F29">
              <w:rPr>
                <w:rFonts w:ascii="Times New Roman" w:hAnsi="Times New Roman" w:cs="Times New Roman"/>
                <w:iCs/>
              </w:rPr>
              <w:t>32.</w:t>
            </w:r>
          </w:p>
        </w:tc>
        <w:tc>
          <w:tcPr>
            <w:tcW w:w="1767" w:type="dxa"/>
          </w:tcPr>
          <w:p w14:paraId="7DC7CAE4" w14:textId="77777777" w:rsidR="007E1EDD" w:rsidRPr="00A07F29" w:rsidRDefault="007E1EDD" w:rsidP="000B764E">
            <w:pPr>
              <w:jc w:val="center"/>
              <w:rPr>
                <w:rFonts w:ascii="Times New Roman" w:hAnsi="Times New Roman" w:cs="Times New Roman"/>
              </w:rPr>
            </w:pPr>
            <w:r w:rsidRPr="00A07F29">
              <w:rPr>
                <w:rFonts w:ascii="Times New Roman" w:hAnsi="Times New Roman" w:cs="Times New Roman"/>
              </w:rPr>
              <w:t>1126</w:t>
            </w:r>
          </w:p>
        </w:tc>
        <w:tc>
          <w:tcPr>
            <w:tcW w:w="2911" w:type="dxa"/>
          </w:tcPr>
          <w:p w14:paraId="74BF78A6" w14:textId="77777777" w:rsidR="007E1EDD" w:rsidRPr="00A07F29" w:rsidRDefault="007E1EDD" w:rsidP="000B764E">
            <w:pPr>
              <w:jc w:val="center"/>
              <w:rPr>
                <w:rFonts w:ascii="Times New Roman" w:hAnsi="Times New Roman" w:cs="Times New Roman"/>
              </w:rPr>
            </w:pPr>
            <w:r w:rsidRPr="00A07F29">
              <w:rPr>
                <w:rFonts w:ascii="Times New Roman" w:hAnsi="Times New Roman" w:cs="Times New Roman"/>
              </w:rPr>
              <w:t>Valsts nozīmes arheoloģija</w:t>
            </w:r>
          </w:p>
        </w:tc>
        <w:tc>
          <w:tcPr>
            <w:tcW w:w="3492" w:type="dxa"/>
          </w:tcPr>
          <w:p w14:paraId="708460D4" w14:textId="77777777" w:rsidR="007E1EDD" w:rsidRPr="00A07F29" w:rsidRDefault="007E1EDD" w:rsidP="000B764E">
            <w:pPr>
              <w:jc w:val="center"/>
              <w:rPr>
                <w:rFonts w:ascii="Times New Roman" w:hAnsi="Times New Roman" w:cs="Times New Roman"/>
                <w:iCs/>
              </w:rPr>
            </w:pPr>
            <w:proofErr w:type="spellStart"/>
            <w:r w:rsidRPr="00A07F29">
              <w:rPr>
                <w:rFonts w:ascii="Times New Roman" w:hAnsi="Times New Roman" w:cs="Times New Roman"/>
              </w:rPr>
              <w:t>Podvinku</w:t>
            </w:r>
            <w:proofErr w:type="spellEnd"/>
            <w:r w:rsidRPr="00A07F29">
              <w:rPr>
                <w:rFonts w:ascii="Times New Roman" w:hAnsi="Times New Roman" w:cs="Times New Roman"/>
              </w:rPr>
              <w:t xml:space="preserve"> senkapi</w:t>
            </w:r>
          </w:p>
        </w:tc>
      </w:tr>
      <w:tr w:rsidR="007E1EDD" w:rsidRPr="00A07F29" w14:paraId="5FA05668" w14:textId="77777777" w:rsidTr="26F09819">
        <w:tc>
          <w:tcPr>
            <w:tcW w:w="846" w:type="dxa"/>
          </w:tcPr>
          <w:p w14:paraId="4EE54F71" w14:textId="77777777" w:rsidR="007E1EDD" w:rsidRPr="00A07F29" w:rsidRDefault="007E1EDD" w:rsidP="000B764E">
            <w:pPr>
              <w:ind w:left="-206" w:firstLine="206"/>
              <w:jc w:val="center"/>
              <w:rPr>
                <w:rFonts w:ascii="Times New Roman" w:hAnsi="Times New Roman" w:cs="Times New Roman"/>
                <w:iCs/>
              </w:rPr>
            </w:pPr>
            <w:r w:rsidRPr="00A07F29">
              <w:rPr>
                <w:rFonts w:ascii="Times New Roman" w:hAnsi="Times New Roman" w:cs="Times New Roman"/>
                <w:iCs/>
              </w:rPr>
              <w:t>33.</w:t>
            </w:r>
          </w:p>
        </w:tc>
        <w:tc>
          <w:tcPr>
            <w:tcW w:w="1767" w:type="dxa"/>
          </w:tcPr>
          <w:p w14:paraId="4E256FD3" w14:textId="77777777" w:rsidR="007E1EDD" w:rsidRPr="00A07F29" w:rsidRDefault="007E1EDD" w:rsidP="000B764E">
            <w:pPr>
              <w:jc w:val="center"/>
              <w:rPr>
                <w:rFonts w:ascii="Times New Roman" w:hAnsi="Times New Roman" w:cs="Times New Roman"/>
              </w:rPr>
            </w:pPr>
            <w:r w:rsidRPr="00A07F29">
              <w:rPr>
                <w:rFonts w:ascii="Times New Roman" w:hAnsi="Times New Roman" w:cs="Times New Roman"/>
              </w:rPr>
              <w:t>1127</w:t>
            </w:r>
          </w:p>
        </w:tc>
        <w:tc>
          <w:tcPr>
            <w:tcW w:w="2911" w:type="dxa"/>
          </w:tcPr>
          <w:p w14:paraId="0D3FE053" w14:textId="77777777" w:rsidR="007E1EDD" w:rsidRPr="00A07F29" w:rsidRDefault="007E1EDD" w:rsidP="000B764E">
            <w:pPr>
              <w:jc w:val="center"/>
              <w:rPr>
                <w:rFonts w:ascii="Times New Roman" w:hAnsi="Times New Roman" w:cs="Times New Roman"/>
              </w:rPr>
            </w:pPr>
            <w:r w:rsidRPr="00A07F29">
              <w:rPr>
                <w:rFonts w:ascii="Times New Roman" w:hAnsi="Times New Roman" w:cs="Times New Roman"/>
              </w:rPr>
              <w:t>Vietējas nozīmes arheoloģija</w:t>
            </w:r>
          </w:p>
        </w:tc>
        <w:tc>
          <w:tcPr>
            <w:tcW w:w="3492" w:type="dxa"/>
          </w:tcPr>
          <w:p w14:paraId="668D8E7E" w14:textId="77777777" w:rsidR="007E1EDD" w:rsidRPr="00A07F29" w:rsidRDefault="007E1EDD" w:rsidP="000B764E">
            <w:pPr>
              <w:jc w:val="center"/>
              <w:rPr>
                <w:rFonts w:ascii="Times New Roman" w:hAnsi="Times New Roman" w:cs="Times New Roman"/>
                <w:iCs/>
              </w:rPr>
            </w:pPr>
            <w:r w:rsidRPr="00A07F29">
              <w:rPr>
                <w:rFonts w:ascii="Times New Roman" w:hAnsi="Times New Roman" w:cs="Times New Roman"/>
              </w:rPr>
              <w:t>Priedaines viduslaiku kapsēta (Franču kapi)</w:t>
            </w:r>
          </w:p>
        </w:tc>
      </w:tr>
      <w:tr w:rsidR="007E1EDD" w:rsidRPr="00A07F29" w14:paraId="0FFD895E" w14:textId="77777777" w:rsidTr="26F09819">
        <w:tc>
          <w:tcPr>
            <w:tcW w:w="846" w:type="dxa"/>
          </w:tcPr>
          <w:p w14:paraId="251FBD6F" w14:textId="77777777" w:rsidR="007E1EDD" w:rsidRPr="00A07F29" w:rsidRDefault="007E1EDD" w:rsidP="000B764E">
            <w:pPr>
              <w:ind w:left="-206" w:firstLine="206"/>
              <w:jc w:val="center"/>
              <w:rPr>
                <w:rFonts w:ascii="Times New Roman" w:hAnsi="Times New Roman" w:cs="Times New Roman"/>
                <w:iCs/>
              </w:rPr>
            </w:pPr>
            <w:r w:rsidRPr="00A07F29">
              <w:rPr>
                <w:rFonts w:ascii="Times New Roman" w:hAnsi="Times New Roman" w:cs="Times New Roman"/>
                <w:iCs/>
              </w:rPr>
              <w:t>34.</w:t>
            </w:r>
          </w:p>
        </w:tc>
        <w:tc>
          <w:tcPr>
            <w:tcW w:w="1767" w:type="dxa"/>
          </w:tcPr>
          <w:p w14:paraId="4DB30325" w14:textId="77777777" w:rsidR="007E1EDD" w:rsidRPr="00A07F29" w:rsidRDefault="007E1EDD" w:rsidP="000B764E">
            <w:pPr>
              <w:jc w:val="center"/>
              <w:rPr>
                <w:rFonts w:ascii="Times New Roman" w:hAnsi="Times New Roman" w:cs="Times New Roman"/>
              </w:rPr>
            </w:pPr>
            <w:r w:rsidRPr="00A07F29">
              <w:rPr>
                <w:rFonts w:ascii="Times New Roman" w:hAnsi="Times New Roman" w:cs="Times New Roman"/>
              </w:rPr>
              <w:t>1128</w:t>
            </w:r>
          </w:p>
        </w:tc>
        <w:tc>
          <w:tcPr>
            <w:tcW w:w="2911" w:type="dxa"/>
          </w:tcPr>
          <w:p w14:paraId="678C88A4" w14:textId="77777777" w:rsidR="007E1EDD" w:rsidRPr="00A07F29" w:rsidRDefault="007E1EDD" w:rsidP="000B764E">
            <w:pPr>
              <w:jc w:val="center"/>
              <w:rPr>
                <w:rFonts w:ascii="Times New Roman" w:hAnsi="Times New Roman" w:cs="Times New Roman"/>
              </w:rPr>
            </w:pPr>
            <w:r w:rsidRPr="00A07F29">
              <w:rPr>
                <w:rFonts w:ascii="Times New Roman" w:hAnsi="Times New Roman" w:cs="Times New Roman"/>
              </w:rPr>
              <w:t>Valsts nozīmes arheoloģija</w:t>
            </w:r>
          </w:p>
        </w:tc>
        <w:tc>
          <w:tcPr>
            <w:tcW w:w="3492" w:type="dxa"/>
          </w:tcPr>
          <w:p w14:paraId="1562F27E" w14:textId="77777777" w:rsidR="007E1EDD" w:rsidRPr="00A07F29" w:rsidRDefault="007E1EDD" w:rsidP="000B764E">
            <w:pPr>
              <w:jc w:val="center"/>
              <w:rPr>
                <w:rFonts w:ascii="Times New Roman" w:hAnsi="Times New Roman" w:cs="Times New Roman"/>
                <w:iCs/>
              </w:rPr>
            </w:pPr>
            <w:r w:rsidRPr="00A07F29">
              <w:rPr>
                <w:rFonts w:ascii="Times New Roman" w:hAnsi="Times New Roman" w:cs="Times New Roman"/>
              </w:rPr>
              <w:t>Kaplavas (</w:t>
            </w:r>
            <w:proofErr w:type="spellStart"/>
            <w:r w:rsidRPr="00A07F29">
              <w:rPr>
                <w:rFonts w:ascii="Times New Roman" w:hAnsi="Times New Roman" w:cs="Times New Roman"/>
              </w:rPr>
              <w:t>Vecbornes</w:t>
            </w:r>
            <w:proofErr w:type="spellEnd"/>
            <w:r w:rsidRPr="00A07F29">
              <w:rPr>
                <w:rFonts w:ascii="Times New Roman" w:hAnsi="Times New Roman" w:cs="Times New Roman"/>
              </w:rPr>
              <w:t>) pilskalns (</w:t>
            </w:r>
            <w:proofErr w:type="spellStart"/>
            <w:r w:rsidRPr="00A07F29">
              <w:rPr>
                <w:rFonts w:ascii="Times New Roman" w:hAnsi="Times New Roman" w:cs="Times New Roman"/>
              </w:rPr>
              <w:t>Zamkovaja</w:t>
            </w:r>
            <w:proofErr w:type="spellEnd"/>
            <w:r w:rsidRPr="00A07F29">
              <w:rPr>
                <w:rFonts w:ascii="Times New Roman" w:hAnsi="Times New Roman" w:cs="Times New Roman"/>
              </w:rPr>
              <w:t xml:space="preserve"> </w:t>
            </w:r>
            <w:proofErr w:type="spellStart"/>
            <w:r w:rsidRPr="00A07F29">
              <w:rPr>
                <w:rFonts w:ascii="Times New Roman" w:hAnsi="Times New Roman" w:cs="Times New Roman"/>
              </w:rPr>
              <w:t>gora,Paņenkova</w:t>
            </w:r>
            <w:proofErr w:type="spellEnd"/>
            <w:r w:rsidRPr="00A07F29">
              <w:rPr>
                <w:rFonts w:ascii="Times New Roman" w:hAnsi="Times New Roman" w:cs="Times New Roman"/>
              </w:rPr>
              <w:t xml:space="preserve"> gora)</w:t>
            </w:r>
          </w:p>
        </w:tc>
      </w:tr>
      <w:tr w:rsidR="007E1EDD" w:rsidRPr="00A07F29" w14:paraId="3FEB0BA0" w14:textId="77777777" w:rsidTr="26F09819">
        <w:tc>
          <w:tcPr>
            <w:tcW w:w="846" w:type="dxa"/>
          </w:tcPr>
          <w:p w14:paraId="0C8B9A77" w14:textId="77777777" w:rsidR="007E1EDD" w:rsidRPr="00A07F29" w:rsidRDefault="007E1EDD" w:rsidP="000B764E">
            <w:pPr>
              <w:ind w:left="-206" w:firstLine="206"/>
              <w:jc w:val="center"/>
              <w:rPr>
                <w:rFonts w:ascii="Times New Roman" w:hAnsi="Times New Roman" w:cs="Times New Roman"/>
                <w:iCs/>
              </w:rPr>
            </w:pPr>
            <w:r w:rsidRPr="00A07F29">
              <w:rPr>
                <w:rFonts w:ascii="Times New Roman" w:hAnsi="Times New Roman" w:cs="Times New Roman"/>
                <w:iCs/>
              </w:rPr>
              <w:t>35.</w:t>
            </w:r>
          </w:p>
        </w:tc>
        <w:tc>
          <w:tcPr>
            <w:tcW w:w="1767" w:type="dxa"/>
          </w:tcPr>
          <w:p w14:paraId="62B18D5D" w14:textId="77777777" w:rsidR="007E1EDD" w:rsidRPr="00A07F29" w:rsidRDefault="007E1EDD" w:rsidP="000B764E">
            <w:pPr>
              <w:jc w:val="center"/>
              <w:rPr>
                <w:rFonts w:ascii="Times New Roman" w:hAnsi="Times New Roman" w:cs="Times New Roman"/>
              </w:rPr>
            </w:pPr>
            <w:r w:rsidRPr="00A07F29">
              <w:rPr>
                <w:rFonts w:ascii="Times New Roman" w:hAnsi="Times New Roman" w:cs="Times New Roman"/>
              </w:rPr>
              <w:t>1129</w:t>
            </w:r>
          </w:p>
        </w:tc>
        <w:tc>
          <w:tcPr>
            <w:tcW w:w="2911" w:type="dxa"/>
          </w:tcPr>
          <w:p w14:paraId="50890339" w14:textId="77777777" w:rsidR="007E1EDD" w:rsidRPr="00A07F29" w:rsidRDefault="007E1EDD" w:rsidP="000B764E">
            <w:pPr>
              <w:jc w:val="center"/>
              <w:rPr>
                <w:rFonts w:ascii="Times New Roman" w:hAnsi="Times New Roman" w:cs="Times New Roman"/>
              </w:rPr>
            </w:pPr>
            <w:r w:rsidRPr="00A07F29">
              <w:rPr>
                <w:rFonts w:ascii="Times New Roman" w:hAnsi="Times New Roman" w:cs="Times New Roman"/>
              </w:rPr>
              <w:t>Valsts nozīmes arheoloģija</w:t>
            </w:r>
          </w:p>
        </w:tc>
        <w:tc>
          <w:tcPr>
            <w:tcW w:w="3492" w:type="dxa"/>
          </w:tcPr>
          <w:p w14:paraId="334D84C3" w14:textId="77777777" w:rsidR="007E1EDD" w:rsidRPr="00A07F29" w:rsidRDefault="007E1EDD" w:rsidP="000B764E">
            <w:pPr>
              <w:jc w:val="center"/>
              <w:rPr>
                <w:rFonts w:ascii="Times New Roman" w:hAnsi="Times New Roman" w:cs="Times New Roman"/>
                <w:iCs/>
              </w:rPr>
            </w:pPr>
            <w:proofErr w:type="spellStart"/>
            <w:r w:rsidRPr="00A07F29">
              <w:rPr>
                <w:rFonts w:ascii="Times New Roman" w:hAnsi="Times New Roman" w:cs="Times New Roman"/>
              </w:rPr>
              <w:t>Varnaviču</w:t>
            </w:r>
            <w:proofErr w:type="spellEnd"/>
            <w:r w:rsidRPr="00A07F29">
              <w:rPr>
                <w:rFonts w:ascii="Times New Roman" w:hAnsi="Times New Roman" w:cs="Times New Roman"/>
              </w:rPr>
              <w:t xml:space="preserve"> senkapi</w:t>
            </w:r>
          </w:p>
        </w:tc>
      </w:tr>
      <w:tr w:rsidR="007E1EDD" w:rsidRPr="00A07F29" w14:paraId="057A2BEB" w14:textId="77777777" w:rsidTr="26F09819">
        <w:tc>
          <w:tcPr>
            <w:tcW w:w="846" w:type="dxa"/>
          </w:tcPr>
          <w:p w14:paraId="3729CA59" w14:textId="77777777" w:rsidR="007E1EDD" w:rsidRPr="00A07F29" w:rsidRDefault="007E1EDD" w:rsidP="000B764E">
            <w:pPr>
              <w:ind w:left="-206" w:firstLine="206"/>
              <w:jc w:val="center"/>
              <w:rPr>
                <w:rFonts w:ascii="Times New Roman" w:hAnsi="Times New Roman" w:cs="Times New Roman"/>
                <w:iCs/>
              </w:rPr>
            </w:pPr>
            <w:r w:rsidRPr="00A07F29">
              <w:rPr>
                <w:rFonts w:ascii="Times New Roman" w:hAnsi="Times New Roman" w:cs="Times New Roman"/>
                <w:iCs/>
              </w:rPr>
              <w:t>36.</w:t>
            </w:r>
          </w:p>
        </w:tc>
        <w:tc>
          <w:tcPr>
            <w:tcW w:w="1767" w:type="dxa"/>
          </w:tcPr>
          <w:p w14:paraId="59448E46" w14:textId="77777777" w:rsidR="007E1EDD" w:rsidRPr="00A07F29" w:rsidRDefault="007E1EDD" w:rsidP="000B764E">
            <w:pPr>
              <w:jc w:val="center"/>
              <w:rPr>
                <w:rFonts w:ascii="Times New Roman" w:hAnsi="Times New Roman" w:cs="Times New Roman"/>
              </w:rPr>
            </w:pPr>
            <w:r w:rsidRPr="00A07F29">
              <w:rPr>
                <w:rFonts w:ascii="Times New Roman" w:hAnsi="Times New Roman" w:cs="Times New Roman"/>
              </w:rPr>
              <w:t>1130</w:t>
            </w:r>
          </w:p>
        </w:tc>
        <w:tc>
          <w:tcPr>
            <w:tcW w:w="2911" w:type="dxa"/>
          </w:tcPr>
          <w:p w14:paraId="3612FA62" w14:textId="77777777" w:rsidR="007E1EDD" w:rsidRPr="00A07F29" w:rsidRDefault="007E1EDD" w:rsidP="000B764E">
            <w:pPr>
              <w:jc w:val="center"/>
              <w:rPr>
                <w:rFonts w:ascii="Times New Roman" w:hAnsi="Times New Roman" w:cs="Times New Roman"/>
              </w:rPr>
            </w:pPr>
            <w:r w:rsidRPr="00A07F29">
              <w:rPr>
                <w:rFonts w:ascii="Times New Roman" w:hAnsi="Times New Roman" w:cs="Times New Roman"/>
              </w:rPr>
              <w:t>Valsts nozīmes arheoloģija</w:t>
            </w:r>
          </w:p>
        </w:tc>
        <w:tc>
          <w:tcPr>
            <w:tcW w:w="3492" w:type="dxa"/>
          </w:tcPr>
          <w:p w14:paraId="111C4B1C" w14:textId="77777777" w:rsidR="007E1EDD" w:rsidRPr="00A07F29" w:rsidRDefault="007E1EDD" w:rsidP="000B764E">
            <w:pPr>
              <w:jc w:val="center"/>
              <w:rPr>
                <w:rFonts w:ascii="Times New Roman" w:hAnsi="Times New Roman" w:cs="Times New Roman"/>
                <w:iCs/>
              </w:rPr>
            </w:pPr>
            <w:r w:rsidRPr="00A07F29">
              <w:rPr>
                <w:rFonts w:ascii="Times New Roman" w:hAnsi="Times New Roman" w:cs="Times New Roman"/>
              </w:rPr>
              <w:t>Daugaviešu senkapi</w:t>
            </w:r>
          </w:p>
        </w:tc>
      </w:tr>
      <w:tr w:rsidR="007E1EDD" w:rsidRPr="00A07F29" w14:paraId="2E52009B" w14:textId="77777777" w:rsidTr="26F09819">
        <w:tc>
          <w:tcPr>
            <w:tcW w:w="0" w:type="auto"/>
            <w:gridSpan w:val="4"/>
          </w:tcPr>
          <w:p w14:paraId="3AF3996F" w14:textId="77777777" w:rsidR="007E1EDD" w:rsidRPr="00A07F29" w:rsidRDefault="007E1EDD" w:rsidP="00BF639B">
            <w:pPr>
              <w:keepNext/>
              <w:jc w:val="center"/>
              <w:rPr>
                <w:rFonts w:ascii="Times New Roman" w:hAnsi="Times New Roman" w:cs="Times New Roman"/>
                <w:b/>
                <w:bCs/>
                <w:iCs/>
              </w:rPr>
            </w:pPr>
            <w:r w:rsidRPr="00A07F29">
              <w:rPr>
                <w:rFonts w:ascii="Times New Roman" w:hAnsi="Times New Roman" w:cs="Times New Roman"/>
                <w:b/>
                <w:bCs/>
                <w:iCs/>
              </w:rPr>
              <w:t>Krāslavas pagasts</w:t>
            </w:r>
          </w:p>
        </w:tc>
      </w:tr>
      <w:tr w:rsidR="007E1EDD" w:rsidRPr="00A07F29" w14:paraId="5834EE90" w14:textId="77777777" w:rsidTr="26F09819">
        <w:tc>
          <w:tcPr>
            <w:tcW w:w="846" w:type="dxa"/>
          </w:tcPr>
          <w:p w14:paraId="1AEE0683" w14:textId="77777777" w:rsidR="007E1EDD" w:rsidRPr="00A07F29" w:rsidRDefault="007E1EDD" w:rsidP="000B764E">
            <w:pPr>
              <w:ind w:left="-206" w:firstLine="206"/>
              <w:jc w:val="center"/>
              <w:rPr>
                <w:rFonts w:ascii="Times New Roman" w:hAnsi="Times New Roman" w:cs="Times New Roman"/>
                <w:iCs/>
              </w:rPr>
            </w:pPr>
            <w:r w:rsidRPr="00A07F29">
              <w:rPr>
                <w:rFonts w:ascii="Times New Roman" w:hAnsi="Times New Roman" w:cs="Times New Roman"/>
                <w:iCs/>
              </w:rPr>
              <w:t>37.</w:t>
            </w:r>
          </w:p>
        </w:tc>
        <w:tc>
          <w:tcPr>
            <w:tcW w:w="1767" w:type="dxa"/>
          </w:tcPr>
          <w:p w14:paraId="387C9F04" w14:textId="77777777" w:rsidR="007E1EDD" w:rsidRPr="00A07F29" w:rsidRDefault="007E1EDD" w:rsidP="000B764E">
            <w:pPr>
              <w:jc w:val="center"/>
              <w:rPr>
                <w:rFonts w:ascii="Times New Roman" w:hAnsi="Times New Roman" w:cs="Times New Roman"/>
              </w:rPr>
            </w:pPr>
            <w:r w:rsidRPr="00A07F29">
              <w:rPr>
                <w:rFonts w:ascii="Times New Roman" w:hAnsi="Times New Roman" w:cs="Times New Roman"/>
              </w:rPr>
              <w:t>1158</w:t>
            </w:r>
          </w:p>
        </w:tc>
        <w:tc>
          <w:tcPr>
            <w:tcW w:w="2911" w:type="dxa"/>
          </w:tcPr>
          <w:p w14:paraId="1FED249D" w14:textId="77777777" w:rsidR="007E1EDD" w:rsidRPr="00A07F29" w:rsidRDefault="007E1EDD" w:rsidP="000B764E">
            <w:pPr>
              <w:jc w:val="center"/>
              <w:rPr>
                <w:rFonts w:ascii="Times New Roman" w:hAnsi="Times New Roman" w:cs="Times New Roman"/>
              </w:rPr>
            </w:pPr>
            <w:r w:rsidRPr="00A07F29">
              <w:rPr>
                <w:rFonts w:ascii="Times New Roman" w:hAnsi="Times New Roman" w:cs="Times New Roman"/>
              </w:rPr>
              <w:t>Valsts nozīmes arheoloģija</w:t>
            </w:r>
          </w:p>
        </w:tc>
        <w:tc>
          <w:tcPr>
            <w:tcW w:w="3492" w:type="dxa"/>
          </w:tcPr>
          <w:p w14:paraId="67A24B70" w14:textId="77777777" w:rsidR="007E1EDD" w:rsidRPr="00A07F29" w:rsidRDefault="007E1EDD" w:rsidP="000B764E">
            <w:pPr>
              <w:jc w:val="center"/>
              <w:rPr>
                <w:rFonts w:ascii="Times New Roman" w:hAnsi="Times New Roman" w:cs="Times New Roman"/>
                <w:iCs/>
              </w:rPr>
            </w:pPr>
            <w:r w:rsidRPr="00A07F29">
              <w:rPr>
                <w:rFonts w:ascii="Times New Roman" w:hAnsi="Times New Roman" w:cs="Times New Roman"/>
              </w:rPr>
              <w:tab/>
              <w:t>Krīviņu senkapi (Franču kapi) un apmetne</w:t>
            </w:r>
          </w:p>
        </w:tc>
      </w:tr>
      <w:tr w:rsidR="007E1EDD" w:rsidRPr="00A07F29" w14:paraId="7C6F43D8" w14:textId="77777777" w:rsidTr="26F09819">
        <w:tc>
          <w:tcPr>
            <w:tcW w:w="0" w:type="auto"/>
            <w:gridSpan w:val="4"/>
          </w:tcPr>
          <w:p w14:paraId="01B0F337" w14:textId="77777777" w:rsidR="007E1EDD" w:rsidRPr="00A07F29" w:rsidRDefault="007E1EDD" w:rsidP="000B764E">
            <w:pPr>
              <w:jc w:val="center"/>
              <w:rPr>
                <w:rFonts w:ascii="Times New Roman" w:hAnsi="Times New Roman" w:cs="Times New Roman"/>
                <w:b/>
                <w:bCs/>
                <w:iCs/>
              </w:rPr>
            </w:pPr>
            <w:r w:rsidRPr="00A07F29">
              <w:rPr>
                <w:rFonts w:ascii="Times New Roman" w:hAnsi="Times New Roman" w:cs="Times New Roman"/>
                <w:b/>
                <w:bCs/>
                <w:iCs/>
              </w:rPr>
              <w:t>Krāslavas pilsēta</w:t>
            </w:r>
          </w:p>
        </w:tc>
      </w:tr>
      <w:tr w:rsidR="007E1EDD" w:rsidRPr="00A07F29" w14:paraId="46D75D8D" w14:textId="77777777" w:rsidTr="26F09819">
        <w:tc>
          <w:tcPr>
            <w:tcW w:w="846" w:type="dxa"/>
          </w:tcPr>
          <w:p w14:paraId="538A9E85" w14:textId="77777777" w:rsidR="007E1EDD" w:rsidRPr="00A07F29" w:rsidRDefault="007E1EDD" w:rsidP="000B764E">
            <w:pPr>
              <w:ind w:left="-206" w:firstLine="206"/>
              <w:jc w:val="center"/>
              <w:rPr>
                <w:rFonts w:ascii="Times New Roman" w:hAnsi="Times New Roman" w:cs="Times New Roman"/>
                <w:iCs/>
              </w:rPr>
            </w:pPr>
            <w:r w:rsidRPr="00A07F29">
              <w:rPr>
                <w:rFonts w:ascii="Times New Roman" w:hAnsi="Times New Roman" w:cs="Times New Roman"/>
                <w:iCs/>
              </w:rPr>
              <w:t>38.</w:t>
            </w:r>
          </w:p>
        </w:tc>
        <w:tc>
          <w:tcPr>
            <w:tcW w:w="1767" w:type="dxa"/>
          </w:tcPr>
          <w:p w14:paraId="07F03833" w14:textId="77777777" w:rsidR="007E1EDD" w:rsidRPr="00A07F29" w:rsidRDefault="007E1EDD" w:rsidP="000B764E">
            <w:pPr>
              <w:jc w:val="center"/>
              <w:rPr>
                <w:rFonts w:ascii="Times New Roman" w:hAnsi="Times New Roman" w:cs="Times New Roman"/>
              </w:rPr>
            </w:pPr>
            <w:r w:rsidRPr="00A07F29">
              <w:rPr>
                <w:rFonts w:ascii="Times New Roman" w:hAnsi="Times New Roman" w:cs="Times New Roman"/>
              </w:rPr>
              <w:t>7434</w:t>
            </w:r>
          </w:p>
        </w:tc>
        <w:tc>
          <w:tcPr>
            <w:tcW w:w="2911" w:type="dxa"/>
          </w:tcPr>
          <w:p w14:paraId="25A8B4E0" w14:textId="77777777" w:rsidR="007E1EDD" w:rsidRPr="00A07F29" w:rsidRDefault="007E1EDD" w:rsidP="000B764E">
            <w:pPr>
              <w:jc w:val="center"/>
              <w:rPr>
                <w:rFonts w:ascii="Times New Roman" w:hAnsi="Times New Roman" w:cs="Times New Roman"/>
              </w:rPr>
            </w:pPr>
            <w:r w:rsidRPr="00A07F29">
              <w:rPr>
                <w:rFonts w:ascii="Times New Roman" w:hAnsi="Times New Roman" w:cs="Times New Roman"/>
              </w:rPr>
              <w:t>Valsts nozīmes pilsētbūvniecība</w:t>
            </w:r>
          </w:p>
        </w:tc>
        <w:tc>
          <w:tcPr>
            <w:tcW w:w="3492" w:type="dxa"/>
          </w:tcPr>
          <w:p w14:paraId="542FBFA1" w14:textId="77777777" w:rsidR="007E1EDD" w:rsidRPr="00A07F29" w:rsidRDefault="007E1EDD" w:rsidP="000B764E">
            <w:pPr>
              <w:jc w:val="center"/>
              <w:rPr>
                <w:rFonts w:ascii="Times New Roman" w:hAnsi="Times New Roman" w:cs="Times New Roman"/>
                <w:iCs/>
              </w:rPr>
            </w:pPr>
            <w:r w:rsidRPr="00A07F29">
              <w:rPr>
                <w:rFonts w:ascii="Times New Roman" w:hAnsi="Times New Roman" w:cs="Times New Roman"/>
                <w:iCs/>
              </w:rPr>
              <w:t>Krāslavas pilsētas vēsturiskais centrs</w:t>
            </w:r>
          </w:p>
        </w:tc>
      </w:tr>
      <w:tr w:rsidR="007E1EDD" w:rsidRPr="00A07F29" w14:paraId="3791D47E" w14:textId="77777777" w:rsidTr="26F09819">
        <w:tc>
          <w:tcPr>
            <w:tcW w:w="846" w:type="dxa"/>
          </w:tcPr>
          <w:p w14:paraId="4F2CD0CD" w14:textId="77777777" w:rsidR="007E1EDD" w:rsidRPr="00A07F29" w:rsidRDefault="007E1EDD" w:rsidP="000B764E">
            <w:pPr>
              <w:ind w:left="-206" w:firstLine="206"/>
              <w:jc w:val="center"/>
              <w:rPr>
                <w:rFonts w:ascii="Times New Roman" w:hAnsi="Times New Roman" w:cs="Times New Roman"/>
                <w:iCs/>
              </w:rPr>
            </w:pPr>
            <w:r w:rsidRPr="00A07F29">
              <w:rPr>
                <w:rFonts w:ascii="Times New Roman" w:hAnsi="Times New Roman" w:cs="Times New Roman"/>
                <w:iCs/>
              </w:rPr>
              <w:t>39.</w:t>
            </w:r>
          </w:p>
        </w:tc>
        <w:tc>
          <w:tcPr>
            <w:tcW w:w="1767" w:type="dxa"/>
          </w:tcPr>
          <w:p w14:paraId="05531581" w14:textId="77777777" w:rsidR="007E1EDD" w:rsidRPr="00A07F29" w:rsidRDefault="007E1EDD" w:rsidP="000B764E">
            <w:pPr>
              <w:jc w:val="center"/>
              <w:rPr>
                <w:rFonts w:ascii="Times New Roman" w:hAnsi="Times New Roman" w:cs="Times New Roman"/>
              </w:rPr>
            </w:pPr>
            <w:r w:rsidRPr="00A07F29">
              <w:rPr>
                <w:rFonts w:ascii="Times New Roman" w:hAnsi="Times New Roman" w:cs="Times New Roman"/>
              </w:rPr>
              <w:t>6317</w:t>
            </w:r>
          </w:p>
        </w:tc>
        <w:tc>
          <w:tcPr>
            <w:tcW w:w="2911" w:type="dxa"/>
          </w:tcPr>
          <w:p w14:paraId="5F6C9ED9" w14:textId="77777777" w:rsidR="007E1EDD" w:rsidRPr="00A07F29" w:rsidRDefault="007E1EDD" w:rsidP="000B764E">
            <w:pPr>
              <w:jc w:val="center"/>
              <w:rPr>
                <w:rFonts w:ascii="Times New Roman" w:hAnsi="Times New Roman" w:cs="Times New Roman"/>
              </w:rPr>
            </w:pPr>
            <w:r w:rsidRPr="00A07F29">
              <w:rPr>
                <w:rFonts w:ascii="Times New Roman" w:hAnsi="Times New Roman" w:cs="Times New Roman"/>
              </w:rPr>
              <w:t>Valsts nozīmes arhitektūra</w:t>
            </w:r>
          </w:p>
        </w:tc>
        <w:tc>
          <w:tcPr>
            <w:tcW w:w="3492" w:type="dxa"/>
          </w:tcPr>
          <w:p w14:paraId="6516D262" w14:textId="77777777" w:rsidR="007E1EDD" w:rsidRPr="00A07F29" w:rsidRDefault="007E1EDD" w:rsidP="000B764E">
            <w:pPr>
              <w:jc w:val="center"/>
              <w:rPr>
                <w:rFonts w:ascii="Times New Roman" w:hAnsi="Times New Roman" w:cs="Times New Roman"/>
                <w:iCs/>
              </w:rPr>
            </w:pPr>
            <w:r w:rsidRPr="00A07F29">
              <w:rPr>
                <w:rFonts w:ascii="Times New Roman" w:hAnsi="Times New Roman" w:cs="Times New Roman"/>
              </w:rPr>
              <w:t>Dzīvojamās ēkas (3)</w:t>
            </w:r>
          </w:p>
        </w:tc>
      </w:tr>
      <w:tr w:rsidR="007E1EDD" w:rsidRPr="00A07F29" w14:paraId="324FC333" w14:textId="77777777" w:rsidTr="26F09819">
        <w:tc>
          <w:tcPr>
            <w:tcW w:w="846" w:type="dxa"/>
          </w:tcPr>
          <w:p w14:paraId="7091A5E9" w14:textId="77777777" w:rsidR="007E1EDD" w:rsidRPr="00A07F29" w:rsidRDefault="007E1EDD" w:rsidP="000B764E">
            <w:pPr>
              <w:ind w:left="-206" w:firstLine="206"/>
              <w:jc w:val="center"/>
              <w:rPr>
                <w:rFonts w:ascii="Times New Roman" w:hAnsi="Times New Roman" w:cs="Times New Roman"/>
                <w:iCs/>
              </w:rPr>
            </w:pPr>
            <w:r w:rsidRPr="00A07F29">
              <w:rPr>
                <w:rFonts w:ascii="Times New Roman" w:hAnsi="Times New Roman" w:cs="Times New Roman"/>
                <w:iCs/>
              </w:rPr>
              <w:t>40.</w:t>
            </w:r>
          </w:p>
        </w:tc>
        <w:tc>
          <w:tcPr>
            <w:tcW w:w="1767" w:type="dxa"/>
          </w:tcPr>
          <w:p w14:paraId="1E96C811" w14:textId="77777777" w:rsidR="007E1EDD" w:rsidRPr="00A07F29" w:rsidRDefault="007E1EDD" w:rsidP="000B764E">
            <w:pPr>
              <w:jc w:val="center"/>
              <w:rPr>
                <w:rFonts w:ascii="Times New Roman" w:hAnsi="Times New Roman" w:cs="Times New Roman"/>
              </w:rPr>
            </w:pPr>
            <w:r w:rsidRPr="00A07F29">
              <w:rPr>
                <w:rFonts w:ascii="Times New Roman" w:hAnsi="Times New Roman" w:cs="Times New Roman"/>
              </w:rPr>
              <w:t>6318</w:t>
            </w:r>
          </w:p>
        </w:tc>
        <w:tc>
          <w:tcPr>
            <w:tcW w:w="2911" w:type="dxa"/>
          </w:tcPr>
          <w:p w14:paraId="198607B9" w14:textId="77777777" w:rsidR="007E1EDD" w:rsidRPr="00A07F29" w:rsidRDefault="007E1EDD" w:rsidP="000B764E">
            <w:pPr>
              <w:jc w:val="center"/>
              <w:rPr>
                <w:rFonts w:ascii="Times New Roman" w:hAnsi="Times New Roman" w:cs="Times New Roman"/>
              </w:rPr>
            </w:pPr>
            <w:r w:rsidRPr="00A07F29">
              <w:rPr>
                <w:rFonts w:ascii="Times New Roman" w:hAnsi="Times New Roman" w:cs="Times New Roman"/>
              </w:rPr>
              <w:t>Valsts nozīmes arhitektūra</w:t>
            </w:r>
          </w:p>
        </w:tc>
        <w:tc>
          <w:tcPr>
            <w:tcW w:w="3492" w:type="dxa"/>
          </w:tcPr>
          <w:p w14:paraId="45E30BFD" w14:textId="77777777" w:rsidR="007E1EDD" w:rsidRPr="00A07F29" w:rsidRDefault="007E1EDD" w:rsidP="000B764E">
            <w:pPr>
              <w:jc w:val="center"/>
              <w:rPr>
                <w:rFonts w:ascii="Times New Roman" w:hAnsi="Times New Roman" w:cs="Times New Roman"/>
                <w:iCs/>
              </w:rPr>
            </w:pPr>
            <w:r w:rsidRPr="00A07F29">
              <w:rPr>
                <w:rFonts w:ascii="Times New Roman" w:hAnsi="Times New Roman" w:cs="Times New Roman"/>
              </w:rPr>
              <w:t>Dzīvojamās ēkas (2)</w:t>
            </w:r>
          </w:p>
        </w:tc>
      </w:tr>
      <w:tr w:rsidR="007E1EDD" w:rsidRPr="00A07F29" w14:paraId="5C22B0F7" w14:textId="77777777" w:rsidTr="26F09819">
        <w:tc>
          <w:tcPr>
            <w:tcW w:w="0" w:type="auto"/>
            <w:gridSpan w:val="4"/>
          </w:tcPr>
          <w:p w14:paraId="390050A6" w14:textId="77777777" w:rsidR="007E1EDD" w:rsidRPr="00A07F29" w:rsidRDefault="007E1EDD" w:rsidP="000B764E">
            <w:pPr>
              <w:jc w:val="center"/>
              <w:rPr>
                <w:rFonts w:ascii="Times New Roman" w:hAnsi="Times New Roman" w:cs="Times New Roman"/>
                <w:b/>
                <w:bCs/>
                <w:iCs/>
              </w:rPr>
            </w:pPr>
            <w:r w:rsidRPr="00A07F29">
              <w:rPr>
                <w:rFonts w:ascii="Times New Roman" w:hAnsi="Times New Roman" w:cs="Times New Roman"/>
                <w:b/>
                <w:bCs/>
                <w:iCs/>
              </w:rPr>
              <w:t>Piedrujas pagasts</w:t>
            </w:r>
          </w:p>
        </w:tc>
      </w:tr>
      <w:tr w:rsidR="007E1EDD" w:rsidRPr="00A07F29" w14:paraId="79F274B1" w14:textId="77777777" w:rsidTr="26F09819">
        <w:tc>
          <w:tcPr>
            <w:tcW w:w="846" w:type="dxa"/>
          </w:tcPr>
          <w:p w14:paraId="39EBEA91" w14:textId="77777777" w:rsidR="007E1EDD" w:rsidRPr="00A07F29" w:rsidRDefault="007E1EDD" w:rsidP="000B764E">
            <w:pPr>
              <w:ind w:left="-206" w:firstLine="206"/>
              <w:jc w:val="center"/>
              <w:rPr>
                <w:rFonts w:ascii="Times New Roman" w:hAnsi="Times New Roman" w:cs="Times New Roman"/>
                <w:iCs/>
              </w:rPr>
            </w:pPr>
            <w:r w:rsidRPr="00A07F29">
              <w:rPr>
                <w:rFonts w:ascii="Times New Roman" w:hAnsi="Times New Roman" w:cs="Times New Roman"/>
                <w:iCs/>
              </w:rPr>
              <w:t>41.</w:t>
            </w:r>
          </w:p>
        </w:tc>
        <w:tc>
          <w:tcPr>
            <w:tcW w:w="1767" w:type="dxa"/>
          </w:tcPr>
          <w:p w14:paraId="2A9299AA" w14:textId="77777777" w:rsidR="007E1EDD" w:rsidRPr="00A07F29" w:rsidRDefault="007E1EDD" w:rsidP="000B764E">
            <w:pPr>
              <w:jc w:val="center"/>
              <w:rPr>
                <w:rFonts w:ascii="Times New Roman" w:hAnsi="Times New Roman" w:cs="Times New Roman"/>
              </w:rPr>
            </w:pPr>
            <w:r w:rsidRPr="00A07F29">
              <w:rPr>
                <w:rFonts w:ascii="Times New Roman" w:hAnsi="Times New Roman" w:cs="Times New Roman"/>
              </w:rPr>
              <w:t>1161</w:t>
            </w:r>
          </w:p>
        </w:tc>
        <w:tc>
          <w:tcPr>
            <w:tcW w:w="2911" w:type="dxa"/>
          </w:tcPr>
          <w:p w14:paraId="551DD231" w14:textId="77777777" w:rsidR="007E1EDD" w:rsidRPr="00A07F29" w:rsidRDefault="007E1EDD" w:rsidP="000B764E">
            <w:pPr>
              <w:jc w:val="center"/>
              <w:rPr>
                <w:rFonts w:ascii="Times New Roman" w:hAnsi="Times New Roman" w:cs="Times New Roman"/>
              </w:rPr>
            </w:pPr>
            <w:r w:rsidRPr="00A07F29">
              <w:rPr>
                <w:rFonts w:ascii="Times New Roman" w:hAnsi="Times New Roman" w:cs="Times New Roman"/>
              </w:rPr>
              <w:t>Valsts nozīmes arheoloģija</w:t>
            </w:r>
          </w:p>
        </w:tc>
        <w:tc>
          <w:tcPr>
            <w:tcW w:w="3492" w:type="dxa"/>
          </w:tcPr>
          <w:p w14:paraId="74158DEB" w14:textId="77777777" w:rsidR="007E1EDD" w:rsidRPr="00A07F29" w:rsidRDefault="007E1EDD" w:rsidP="000B764E">
            <w:pPr>
              <w:jc w:val="center"/>
              <w:rPr>
                <w:rFonts w:ascii="Times New Roman" w:hAnsi="Times New Roman" w:cs="Times New Roman"/>
                <w:iCs/>
              </w:rPr>
            </w:pPr>
            <w:r w:rsidRPr="00A07F29">
              <w:rPr>
                <w:rFonts w:ascii="Times New Roman" w:hAnsi="Times New Roman" w:cs="Times New Roman"/>
              </w:rPr>
              <w:t>Aleksandrovas senkapi (Kara kapi)</w:t>
            </w:r>
          </w:p>
        </w:tc>
      </w:tr>
      <w:tr w:rsidR="007E1EDD" w:rsidRPr="00A07F29" w14:paraId="42EA7FE4" w14:textId="77777777" w:rsidTr="26F09819">
        <w:tc>
          <w:tcPr>
            <w:tcW w:w="846" w:type="dxa"/>
          </w:tcPr>
          <w:p w14:paraId="6573A21C" w14:textId="77777777" w:rsidR="007E1EDD" w:rsidRPr="00A07F29" w:rsidRDefault="007E1EDD" w:rsidP="000B764E">
            <w:pPr>
              <w:ind w:left="-206" w:firstLine="206"/>
              <w:jc w:val="center"/>
              <w:rPr>
                <w:rFonts w:ascii="Times New Roman" w:hAnsi="Times New Roman" w:cs="Times New Roman"/>
                <w:iCs/>
              </w:rPr>
            </w:pPr>
            <w:r w:rsidRPr="00A07F29">
              <w:rPr>
                <w:rFonts w:ascii="Times New Roman" w:hAnsi="Times New Roman" w:cs="Times New Roman"/>
                <w:iCs/>
              </w:rPr>
              <w:t>42.</w:t>
            </w:r>
          </w:p>
        </w:tc>
        <w:tc>
          <w:tcPr>
            <w:tcW w:w="1767" w:type="dxa"/>
          </w:tcPr>
          <w:p w14:paraId="201EF719" w14:textId="77777777" w:rsidR="007E1EDD" w:rsidRPr="00A07F29" w:rsidRDefault="007E1EDD" w:rsidP="000B764E">
            <w:pPr>
              <w:jc w:val="center"/>
              <w:rPr>
                <w:rFonts w:ascii="Times New Roman" w:hAnsi="Times New Roman" w:cs="Times New Roman"/>
              </w:rPr>
            </w:pPr>
            <w:r w:rsidRPr="00A07F29">
              <w:rPr>
                <w:rFonts w:ascii="Times New Roman" w:hAnsi="Times New Roman" w:cs="Times New Roman"/>
              </w:rPr>
              <w:t>6146</w:t>
            </w:r>
          </w:p>
        </w:tc>
        <w:tc>
          <w:tcPr>
            <w:tcW w:w="2911" w:type="dxa"/>
          </w:tcPr>
          <w:p w14:paraId="5EFA3546" w14:textId="77777777" w:rsidR="007E1EDD" w:rsidRPr="00A07F29" w:rsidRDefault="007E1EDD" w:rsidP="000B764E">
            <w:pPr>
              <w:jc w:val="center"/>
              <w:rPr>
                <w:rFonts w:ascii="Times New Roman" w:hAnsi="Times New Roman" w:cs="Times New Roman"/>
              </w:rPr>
            </w:pPr>
            <w:r w:rsidRPr="00A07F29">
              <w:rPr>
                <w:rFonts w:ascii="Times New Roman" w:hAnsi="Times New Roman" w:cs="Times New Roman"/>
              </w:rPr>
              <w:t>Valsts nozīmes arheoloģija</w:t>
            </w:r>
          </w:p>
        </w:tc>
        <w:tc>
          <w:tcPr>
            <w:tcW w:w="3492" w:type="dxa"/>
          </w:tcPr>
          <w:p w14:paraId="3FDAAB4D" w14:textId="77777777" w:rsidR="007E1EDD" w:rsidRPr="00A07F29" w:rsidRDefault="007E1EDD" w:rsidP="000B764E">
            <w:pPr>
              <w:jc w:val="center"/>
              <w:rPr>
                <w:rFonts w:ascii="Times New Roman" w:hAnsi="Times New Roman" w:cs="Times New Roman"/>
                <w:iCs/>
              </w:rPr>
            </w:pPr>
            <w:proofErr w:type="spellStart"/>
            <w:r w:rsidRPr="00A07F29">
              <w:rPr>
                <w:rFonts w:ascii="Times New Roman" w:hAnsi="Times New Roman" w:cs="Times New Roman"/>
              </w:rPr>
              <w:t>Kiseļevcu</w:t>
            </w:r>
            <w:proofErr w:type="spellEnd"/>
            <w:r w:rsidRPr="00A07F29">
              <w:rPr>
                <w:rFonts w:ascii="Times New Roman" w:hAnsi="Times New Roman" w:cs="Times New Roman"/>
              </w:rPr>
              <w:t xml:space="preserve"> senkapi II</w:t>
            </w:r>
          </w:p>
        </w:tc>
      </w:tr>
      <w:tr w:rsidR="007E1EDD" w:rsidRPr="00A07F29" w14:paraId="3A539E37" w14:textId="77777777" w:rsidTr="26F09819">
        <w:tc>
          <w:tcPr>
            <w:tcW w:w="846" w:type="dxa"/>
          </w:tcPr>
          <w:p w14:paraId="39391C47" w14:textId="77777777" w:rsidR="007E1EDD" w:rsidRPr="00A07F29" w:rsidRDefault="007E1EDD" w:rsidP="000B764E">
            <w:pPr>
              <w:ind w:left="-206" w:firstLine="206"/>
              <w:jc w:val="center"/>
              <w:rPr>
                <w:rFonts w:ascii="Times New Roman" w:hAnsi="Times New Roman" w:cs="Times New Roman"/>
                <w:iCs/>
              </w:rPr>
            </w:pPr>
            <w:r w:rsidRPr="00A07F29">
              <w:rPr>
                <w:rFonts w:ascii="Times New Roman" w:hAnsi="Times New Roman" w:cs="Times New Roman"/>
                <w:iCs/>
              </w:rPr>
              <w:t>43.</w:t>
            </w:r>
          </w:p>
        </w:tc>
        <w:tc>
          <w:tcPr>
            <w:tcW w:w="1767" w:type="dxa"/>
          </w:tcPr>
          <w:p w14:paraId="5EFEB073" w14:textId="77777777" w:rsidR="007E1EDD" w:rsidRPr="00A07F29" w:rsidRDefault="007E1EDD" w:rsidP="000B764E">
            <w:pPr>
              <w:jc w:val="center"/>
              <w:rPr>
                <w:rFonts w:ascii="Times New Roman" w:hAnsi="Times New Roman" w:cs="Times New Roman"/>
              </w:rPr>
            </w:pPr>
            <w:r w:rsidRPr="00A07F29">
              <w:rPr>
                <w:rFonts w:ascii="Times New Roman" w:hAnsi="Times New Roman" w:cs="Times New Roman"/>
              </w:rPr>
              <w:t>1163</w:t>
            </w:r>
          </w:p>
        </w:tc>
        <w:tc>
          <w:tcPr>
            <w:tcW w:w="2911" w:type="dxa"/>
          </w:tcPr>
          <w:p w14:paraId="6BC411C1" w14:textId="77777777" w:rsidR="007E1EDD" w:rsidRPr="00A07F29" w:rsidRDefault="007E1EDD" w:rsidP="000B764E">
            <w:pPr>
              <w:jc w:val="center"/>
              <w:rPr>
                <w:rFonts w:ascii="Times New Roman" w:hAnsi="Times New Roman" w:cs="Times New Roman"/>
              </w:rPr>
            </w:pPr>
            <w:r w:rsidRPr="00A07F29">
              <w:rPr>
                <w:rFonts w:ascii="Times New Roman" w:hAnsi="Times New Roman" w:cs="Times New Roman"/>
              </w:rPr>
              <w:t>Valsts nozīmes arheoloģija</w:t>
            </w:r>
          </w:p>
        </w:tc>
        <w:tc>
          <w:tcPr>
            <w:tcW w:w="3492" w:type="dxa"/>
          </w:tcPr>
          <w:p w14:paraId="5BE9FB1E" w14:textId="77777777" w:rsidR="007E1EDD" w:rsidRPr="00A07F29" w:rsidRDefault="007E1EDD" w:rsidP="000B764E">
            <w:pPr>
              <w:jc w:val="center"/>
              <w:rPr>
                <w:rFonts w:ascii="Times New Roman" w:hAnsi="Times New Roman" w:cs="Times New Roman"/>
                <w:iCs/>
              </w:rPr>
            </w:pPr>
            <w:proofErr w:type="spellStart"/>
            <w:r w:rsidRPr="00A07F29">
              <w:rPr>
                <w:rFonts w:ascii="Times New Roman" w:hAnsi="Times New Roman" w:cs="Times New Roman"/>
              </w:rPr>
              <w:t>Kiseļevcu</w:t>
            </w:r>
            <w:proofErr w:type="spellEnd"/>
            <w:r w:rsidRPr="00A07F29">
              <w:rPr>
                <w:rFonts w:ascii="Times New Roman" w:hAnsi="Times New Roman" w:cs="Times New Roman"/>
              </w:rPr>
              <w:t xml:space="preserve"> senkapi I</w:t>
            </w:r>
          </w:p>
        </w:tc>
      </w:tr>
      <w:tr w:rsidR="007E1EDD" w:rsidRPr="00A07F29" w14:paraId="4BABD2E9" w14:textId="77777777" w:rsidTr="26F09819">
        <w:tc>
          <w:tcPr>
            <w:tcW w:w="846" w:type="dxa"/>
          </w:tcPr>
          <w:p w14:paraId="34E98889" w14:textId="77777777" w:rsidR="007E1EDD" w:rsidRPr="00A07F29" w:rsidRDefault="007E1EDD" w:rsidP="000B764E">
            <w:pPr>
              <w:ind w:left="-206" w:firstLine="206"/>
              <w:jc w:val="center"/>
              <w:rPr>
                <w:rFonts w:ascii="Times New Roman" w:hAnsi="Times New Roman" w:cs="Times New Roman"/>
                <w:iCs/>
              </w:rPr>
            </w:pPr>
            <w:r w:rsidRPr="00A07F29">
              <w:rPr>
                <w:rFonts w:ascii="Times New Roman" w:hAnsi="Times New Roman" w:cs="Times New Roman"/>
                <w:iCs/>
              </w:rPr>
              <w:t>44.</w:t>
            </w:r>
          </w:p>
        </w:tc>
        <w:tc>
          <w:tcPr>
            <w:tcW w:w="1767" w:type="dxa"/>
          </w:tcPr>
          <w:p w14:paraId="7E27C077" w14:textId="77777777" w:rsidR="007E1EDD" w:rsidRPr="00A07F29" w:rsidRDefault="007E1EDD" w:rsidP="000B764E">
            <w:pPr>
              <w:jc w:val="center"/>
              <w:rPr>
                <w:rFonts w:ascii="Times New Roman" w:hAnsi="Times New Roman" w:cs="Times New Roman"/>
              </w:rPr>
            </w:pPr>
            <w:r w:rsidRPr="00A07F29">
              <w:rPr>
                <w:rFonts w:ascii="Times New Roman" w:hAnsi="Times New Roman" w:cs="Times New Roman"/>
              </w:rPr>
              <w:t>1164</w:t>
            </w:r>
          </w:p>
        </w:tc>
        <w:tc>
          <w:tcPr>
            <w:tcW w:w="2911" w:type="dxa"/>
          </w:tcPr>
          <w:p w14:paraId="560F871F" w14:textId="77777777" w:rsidR="007E1EDD" w:rsidRPr="00A07F29" w:rsidRDefault="007E1EDD" w:rsidP="000B764E">
            <w:pPr>
              <w:jc w:val="center"/>
              <w:rPr>
                <w:rFonts w:ascii="Times New Roman" w:hAnsi="Times New Roman" w:cs="Times New Roman"/>
              </w:rPr>
            </w:pPr>
            <w:r w:rsidRPr="00A07F29">
              <w:rPr>
                <w:rFonts w:ascii="Times New Roman" w:hAnsi="Times New Roman" w:cs="Times New Roman"/>
              </w:rPr>
              <w:t>Valsts nozīmes arheoloģija</w:t>
            </w:r>
          </w:p>
        </w:tc>
        <w:tc>
          <w:tcPr>
            <w:tcW w:w="3492" w:type="dxa"/>
          </w:tcPr>
          <w:p w14:paraId="2CBF8DB3" w14:textId="77777777" w:rsidR="007E1EDD" w:rsidRPr="00A07F29" w:rsidRDefault="007E1EDD" w:rsidP="000B764E">
            <w:pPr>
              <w:jc w:val="center"/>
              <w:rPr>
                <w:rFonts w:ascii="Times New Roman" w:hAnsi="Times New Roman" w:cs="Times New Roman"/>
                <w:iCs/>
              </w:rPr>
            </w:pPr>
            <w:proofErr w:type="spellStart"/>
            <w:r w:rsidRPr="00A07F29">
              <w:rPr>
                <w:rFonts w:ascii="Times New Roman" w:hAnsi="Times New Roman" w:cs="Times New Roman"/>
              </w:rPr>
              <w:t>Krivaseļcu</w:t>
            </w:r>
            <w:proofErr w:type="spellEnd"/>
            <w:r w:rsidRPr="00A07F29">
              <w:rPr>
                <w:rFonts w:ascii="Times New Roman" w:hAnsi="Times New Roman" w:cs="Times New Roman"/>
              </w:rPr>
              <w:t xml:space="preserve"> senkapi</w:t>
            </w:r>
          </w:p>
        </w:tc>
      </w:tr>
      <w:tr w:rsidR="007E1EDD" w:rsidRPr="00A07F29" w14:paraId="3622AC33" w14:textId="77777777" w:rsidTr="26F09819">
        <w:tc>
          <w:tcPr>
            <w:tcW w:w="846" w:type="dxa"/>
          </w:tcPr>
          <w:p w14:paraId="19C7080B" w14:textId="77777777" w:rsidR="007E1EDD" w:rsidRPr="00A07F29" w:rsidRDefault="007E1EDD" w:rsidP="000B764E">
            <w:pPr>
              <w:ind w:left="-206" w:firstLine="206"/>
              <w:jc w:val="center"/>
              <w:rPr>
                <w:rFonts w:ascii="Times New Roman" w:hAnsi="Times New Roman" w:cs="Times New Roman"/>
                <w:iCs/>
              </w:rPr>
            </w:pPr>
            <w:r w:rsidRPr="00A07F29">
              <w:rPr>
                <w:rFonts w:ascii="Times New Roman" w:hAnsi="Times New Roman" w:cs="Times New Roman"/>
                <w:iCs/>
              </w:rPr>
              <w:t>45.</w:t>
            </w:r>
          </w:p>
        </w:tc>
        <w:tc>
          <w:tcPr>
            <w:tcW w:w="1767" w:type="dxa"/>
          </w:tcPr>
          <w:p w14:paraId="038C47D8" w14:textId="77777777" w:rsidR="007E1EDD" w:rsidRPr="00A07F29" w:rsidRDefault="007E1EDD" w:rsidP="000B764E">
            <w:pPr>
              <w:jc w:val="center"/>
              <w:rPr>
                <w:rFonts w:ascii="Times New Roman" w:hAnsi="Times New Roman" w:cs="Times New Roman"/>
              </w:rPr>
            </w:pPr>
            <w:r w:rsidRPr="00A07F29">
              <w:rPr>
                <w:rFonts w:ascii="Times New Roman" w:hAnsi="Times New Roman" w:cs="Times New Roman"/>
              </w:rPr>
              <w:t>1165</w:t>
            </w:r>
          </w:p>
        </w:tc>
        <w:tc>
          <w:tcPr>
            <w:tcW w:w="2911" w:type="dxa"/>
          </w:tcPr>
          <w:p w14:paraId="37ACE5A3" w14:textId="77777777" w:rsidR="007E1EDD" w:rsidRPr="00A07F29" w:rsidRDefault="007E1EDD" w:rsidP="000B764E">
            <w:pPr>
              <w:jc w:val="center"/>
              <w:rPr>
                <w:rFonts w:ascii="Times New Roman" w:hAnsi="Times New Roman" w:cs="Times New Roman"/>
              </w:rPr>
            </w:pPr>
            <w:r w:rsidRPr="00A07F29">
              <w:rPr>
                <w:rFonts w:ascii="Times New Roman" w:hAnsi="Times New Roman" w:cs="Times New Roman"/>
              </w:rPr>
              <w:t>Valsts nozīmes arheoloģija</w:t>
            </w:r>
          </w:p>
        </w:tc>
        <w:tc>
          <w:tcPr>
            <w:tcW w:w="3492" w:type="dxa"/>
            <w:vAlign w:val="center"/>
          </w:tcPr>
          <w:p w14:paraId="7EF27295" w14:textId="77777777" w:rsidR="007E1EDD" w:rsidRPr="00A07F29" w:rsidRDefault="007E1EDD" w:rsidP="000B764E">
            <w:pPr>
              <w:jc w:val="center"/>
              <w:rPr>
                <w:rFonts w:ascii="Times New Roman" w:hAnsi="Times New Roman" w:cs="Times New Roman"/>
                <w:iCs/>
              </w:rPr>
            </w:pPr>
            <w:proofErr w:type="spellStart"/>
            <w:r w:rsidRPr="00A07F29">
              <w:rPr>
                <w:rFonts w:ascii="Times New Roman" w:hAnsi="Times New Roman" w:cs="Times New Roman"/>
              </w:rPr>
              <w:t>Lupandu</w:t>
            </w:r>
            <w:proofErr w:type="spellEnd"/>
            <w:r w:rsidRPr="00A07F29">
              <w:rPr>
                <w:rFonts w:ascii="Times New Roman" w:hAnsi="Times New Roman" w:cs="Times New Roman"/>
              </w:rPr>
              <w:t xml:space="preserve"> senkapi </w:t>
            </w:r>
          </w:p>
        </w:tc>
      </w:tr>
      <w:tr w:rsidR="007E1EDD" w:rsidRPr="00A07F29" w14:paraId="08082DB6" w14:textId="77777777" w:rsidTr="26F09819">
        <w:tc>
          <w:tcPr>
            <w:tcW w:w="846" w:type="dxa"/>
          </w:tcPr>
          <w:p w14:paraId="6B34F3EC" w14:textId="77777777" w:rsidR="007E1EDD" w:rsidRPr="00A07F29" w:rsidRDefault="007E1EDD" w:rsidP="000B764E">
            <w:pPr>
              <w:ind w:left="-206" w:firstLine="206"/>
              <w:jc w:val="center"/>
              <w:rPr>
                <w:rFonts w:ascii="Times New Roman" w:hAnsi="Times New Roman" w:cs="Times New Roman"/>
                <w:iCs/>
              </w:rPr>
            </w:pPr>
            <w:r w:rsidRPr="00A07F29">
              <w:rPr>
                <w:rFonts w:ascii="Times New Roman" w:hAnsi="Times New Roman" w:cs="Times New Roman"/>
                <w:iCs/>
              </w:rPr>
              <w:t>46.</w:t>
            </w:r>
          </w:p>
        </w:tc>
        <w:tc>
          <w:tcPr>
            <w:tcW w:w="1767" w:type="dxa"/>
          </w:tcPr>
          <w:p w14:paraId="697E84F1" w14:textId="77777777" w:rsidR="007E1EDD" w:rsidRPr="00A07F29" w:rsidRDefault="007E1EDD" w:rsidP="000B764E">
            <w:pPr>
              <w:jc w:val="center"/>
              <w:rPr>
                <w:rFonts w:ascii="Times New Roman" w:hAnsi="Times New Roman" w:cs="Times New Roman"/>
              </w:rPr>
            </w:pPr>
            <w:r w:rsidRPr="00A07F29">
              <w:rPr>
                <w:rFonts w:ascii="Times New Roman" w:hAnsi="Times New Roman" w:cs="Times New Roman"/>
              </w:rPr>
              <w:t>6324</w:t>
            </w:r>
          </w:p>
        </w:tc>
        <w:tc>
          <w:tcPr>
            <w:tcW w:w="2911" w:type="dxa"/>
          </w:tcPr>
          <w:p w14:paraId="35BEF415" w14:textId="77777777" w:rsidR="007E1EDD" w:rsidRPr="00A07F29" w:rsidRDefault="007E1EDD" w:rsidP="000B764E">
            <w:pPr>
              <w:jc w:val="center"/>
              <w:rPr>
                <w:rFonts w:ascii="Times New Roman" w:hAnsi="Times New Roman" w:cs="Times New Roman"/>
              </w:rPr>
            </w:pPr>
            <w:r w:rsidRPr="00A07F29">
              <w:rPr>
                <w:rFonts w:ascii="Times New Roman" w:hAnsi="Times New Roman" w:cs="Times New Roman"/>
              </w:rPr>
              <w:t>Valsts nozīmes arhitektūra</w:t>
            </w:r>
          </w:p>
        </w:tc>
        <w:tc>
          <w:tcPr>
            <w:tcW w:w="3492" w:type="dxa"/>
          </w:tcPr>
          <w:p w14:paraId="79A69DFF" w14:textId="77777777" w:rsidR="007E1EDD" w:rsidRPr="00A07F29" w:rsidRDefault="007E1EDD" w:rsidP="000B764E">
            <w:pPr>
              <w:jc w:val="center"/>
              <w:rPr>
                <w:rFonts w:ascii="Times New Roman" w:hAnsi="Times New Roman" w:cs="Times New Roman"/>
                <w:iCs/>
              </w:rPr>
            </w:pPr>
            <w:r w:rsidRPr="00A07F29">
              <w:rPr>
                <w:rFonts w:ascii="Times New Roman" w:hAnsi="Times New Roman" w:cs="Times New Roman"/>
              </w:rPr>
              <w:t>Piedrujas katoļu baznīca ar žogu un vārtiem</w:t>
            </w:r>
          </w:p>
        </w:tc>
      </w:tr>
      <w:tr w:rsidR="007E1EDD" w:rsidRPr="00A07F29" w14:paraId="514C2E03" w14:textId="77777777" w:rsidTr="26F09819">
        <w:tc>
          <w:tcPr>
            <w:tcW w:w="0" w:type="auto"/>
            <w:gridSpan w:val="4"/>
          </w:tcPr>
          <w:p w14:paraId="3CCE4C26" w14:textId="77777777" w:rsidR="007E1EDD" w:rsidRPr="00A07F29" w:rsidRDefault="007E1EDD" w:rsidP="00E8521E">
            <w:pPr>
              <w:jc w:val="center"/>
              <w:rPr>
                <w:rFonts w:ascii="Times New Roman" w:hAnsi="Times New Roman" w:cs="Times New Roman"/>
                <w:b/>
                <w:bCs/>
                <w:iCs/>
              </w:rPr>
            </w:pPr>
            <w:r w:rsidRPr="00A07F29">
              <w:rPr>
                <w:rFonts w:ascii="Times New Roman" w:hAnsi="Times New Roman" w:cs="Times New Roman"/>
                <w:b/>
                <w:bCs/>
                <w:iCs/>
              </w:rPr>
              <w:t>Ūdrīšu pagasts</w:t>
            </w:r>
          </w:p>
        </w:tc>
      </w:tr>
      <w:tr w:rsidR="007E1EDD" w:rsidRPr="00A07F29" w14:paraId="4BA0DFBD" w14:textId="77777777" w:rsidTr="26F09819">
        <w:tc>
          <w:tcPr>
            <w:tcW w:w="846" w:type="dxa"/>
          </w:tcPr>
          <w:p w14:paraId="728E0B9E" w14:textId="77777777" w:rsidR="007E1EDD" w:rsidRPr="00A07F29" w:rsidRDefault="007E1EDD" w:rsidP="000B764E">
            <w:pPr>
              <w:ind w:left="-206" w:firstLine="206"/>
              <w:jc w:val="center"/>
              <w:rPr>
                <w:rFonts w:ascii="Times New Roman" w:hAnsi="Times New Roman" w:cs="Times New Roman"/>
                <w:iCs/>
              </w:rPr>
            </w:pPr>
            <w:r w:rsidRPr="00A07F29">
              <w:rPr>
                <w:rFonts w:ascii="Times New Roman" w:hAnsi="Times New Roman" w:cs="Times New Roman"/>
                <w:iCs/>
              </w:rPr>
              <w:t>47.</w:t>
            </w:r>
          </w:p>
        </w:tc>
        <w:tc>
          <w:tcPr>
            <w:tcW w:w="1767" w:type="dxa"/>
          </w:tcPr>
          <w:p w14:paraId="4E60A721" w14:textId="77777777" w:rsidR="007E1EDD" w:rsidRPr="00A07F29" w:rsidRDefault="007E1EDD" w:rsidP="000B764E">
            <w:pPr>
              <w:jc w:val="center"/>
              <w:rPr>
                <w:rFonts w:ascii="Times New Roman" w:hAnsi="Times New Roman" w:cs="Times New Roman"/>
              </w:rPr>
            </w:pPr>
            <w:r w:rsidRPr="00A07F29">
              <w:rPr>
                <w:rFonts w:ascii="Times New Roman" w:hAnsi="Times New Roman" w:cs="Times New Roman"/>
              </w:rPr>
              <w:t>6111</w:t>
            </w:r>
          </w:p>
        </w:tc>
        <w:tc>
          <w:tcPr>
            <w:tcW w:w="2911" w:type="dxa"/>
          </w:tcPr>
          <w:p w14:paraId="6CF88B35" w14:textId="77777777" w:rsidR="007E1EDD" w:rsidRPr="00A07F29" w:rsidRDefault="007E1EDD" w:rsidP="000B764E">
            <w:pPr>
              <w:jc w:val="center"/>
              <w:rPr>
                <w:rFonts w:ascii="Times New Roman" w:hAnsi="Times New Roman" w:cs="Times New Roman"/>
              </w:rPr>
            </w:pPr>
            <w:r w:rsidRPr="00A07F29">
              <w:rPr>
                <w:rFonts w:ascii="Times New Roman" w:hAnsi="Times New Roman" w:cs="Times New Roman"/>
              </w:rPr>
              <w:t>Vietējas nozīmes arhitektūra</w:t>
            </w:r>
          </w:p>
        </w:tc>
        <w:tc>
          <w:tcPr>
            <w:tcW w:w="3492" w:type="dxa"/>
          </w:tcPr>
          <w:p w14:paraId="16015184" w14:textId="77777777" w:rsidR="007E1EDD" w:rsidRPr="00A07F29" w:rsidRDefault="007E1EDD" w:rsidP="000B764E">
            <w:pPr>
              <w:jc w:val="center"/>
              <w:rPr>
                <w:rFonts w:ascii="Times New Roman" w:hAnsi="Times New Roman" w:cs="Times New Roman"/>
                <w:iCs/>
              </w:rPr>
            </w:pPr>
            <w:r w:rsidRPr="00A07F29">
              <w:rPr>
                <w:rFonts w:ascii="Times New Roman" w:hAnsi="Times New Roman" w:cs="Times New Roman"/>
              </w:rPr>
              <w:t xml:space="preserve">Plostnieku-zvejnieku sētu grupa </w:t>
            </w:r>
            <w:proofErr w:type="spellStart"/>
            <w:r w:rsidRPr="00A07F29">
              <w:rPr>
                <w:rFonts w:ascii="Times New Roman" w:hAnsi="Times New Roman" w:cs="Times New Roman"/>
              </w:rPr>
              <w:t>Augustinišķu</w:t>
            </w:r>
            <w:proofErr w:type="spellEnd"/>
            <w:r w:rsidRPr="00A07F29">
              <w:rPr>
                <w:rFonts w:ascii="Times New Roman" w:hAnsi="Times New Roman" w:cs="Times New Roman"/>
              </w:rPr>
              <w:t xml:space="preserve"> ciemā</w:t>
            </w:r>
          </w:p>
        </w:tc>
      </w:tr>
      <w:tr w:rsidR="007E1EDD" w:rsidRPr="00A07F29" w14:paraId="14B80396" w14:textId="77777777" w:rsidTr="26F09819">
        <w:tc>
          <w:tcPr>
            <w:tcW w:w="846" w:type="dxa"/>
          </w:tcPr>
          <w:p w14:paraId="75B424A2" w14:textId="77777777" w:rsidR="007E1EDD" w:rsidRPr="00A07F29" w:rsidRDefault="007E1EDD" w:rsidP="000B764E">
            <w:pPr>
              <w:ind w:left="-206" w:firstLine="206"/>
              <w:jc w:val="center"/>
              <w:rPr>
                <w:rFonts w:ascii="Times New Roman" w:hAnsi="Times New Roman" w:cs="Times New Roman"/>
                <w:iCs/>
              </w:rPr>
            </w:pPr>
            <w:r w:rsidRPr="00A07F29">
              <w:rPr>
                <w:rFonts w:ascii="Times New Roman" w:hAnsi="Times New Roman" w:cs="Times New Roman"/>
                <w:iCs/>
              </w:rPr>
              <w:t>48.</w:t>
            </w:r>
          </w:p>
        </w:tc>
        <w:tc>
          <w:tcPr>
            <w:tcW w:w="1767" w:type="dxa"/>
          </w:tcPr>
          <w:p w14:paraId="1AEE45ED" w14:textId="77777777" w:rsidR="007E1EDD" w:rsidRPr="00A07F29" w:rsidRDefault="007E1EDD" w:rsidP="000B764E">
            <w:pPr>
              <w:jc w:val="center"/>
              <w:rPr>
                <w:rFonts w:ascii="Times New Roman" w:hAnsi="Times New Roman" w:cs="Times New Roman"/>
              </w:rPr>
            </w:pPr>
            <w:r w:rsidRPr="00A07F29">
              <w:rPr>
                <w:rFonts w:ascii="Times New Roman" w:hAnsi="Times New Roman" w:cs="Times New Roman"/>
              </w:rPr>
              <w:t>1196</w:t>
            </w:r>
          </w:p>
        </w:tc>
        <w:tc>
          <w:tcPr>
            <w:tcW w:w="2911" w:type="dxa"/>
          </w:tcPr>
          <w:p w14:paraId="41FD5E4E" w14:textId="77777777" w:rsidR="007E1EDD" w:rsidRPr="00A07F29" w:rsidRDefault="007E1EDD" w:rsidP="000B764E">
            <w:pPr>
              <w:jc w:val="center"/>
              <w:rPr>
                <w:rFonts w:ascii="Times New Roman" w:hAnsi="Times New Roman" w:cs="Times New Roman"/>
              </w:rPr>
            </w:pPr>
            <w:r w:rsidRPr="00A07F29">
              <w:rPr>
                <w:rFonts w:ascii="Times New Roman" w:hAnsi="Times New Roman" w:cs="Times New Roman"/>
              </w:rPr>
              <w:t>Valsts nozīmes arheoloģija</w:t>
            </w:r>
          </w:p>
        </w:tc>
        <w:tc>
          <w:tcPr>
            <w:tcW w:w="3492" w:type="dxa"/>
          </w:tcPr>
          <w:p w14:paraId="30179B92" w14:textId="77777777" w:rsidR="007E1EDD" w:rsidRPr="00A07F29" w:rsidRDefault="007E1EDD" w:rsidP="000B764E">
            <w:pPr>
              <w:jc w:val="center"/>
              <w:rPr>
                <w:rFonts w:ascii="Times New Roman" w:hAnsi="Times New Roman" w:cs="Times New Roman"/>
                <w:iCs/>
              </w:rPr>
            </w:pPr>
            <w:proofErr w:type="spellStart"/>
            <w:r w:rsidRPr="00A07F29">
              <w:rPr>
                <w:rFonts w:ascii="Times New Roman" w:hAnsi="Times New Roman" w:cs="Times New Roman"/>
              </w:rPr>
              <w:t>Škerskānu</w:t>
            </w:r>
            <w:proofErr w:type="spellEnd"/>
            <w:r w:rsidRPr="00A07F29">
              <w:rPr>
                <w:rFonts w:ascii="Times New Roman" w:hAnsi="Times New Roman" w:cs="Times New Roman"/>
              </w:rPr>
              <w:t xml:space="preserve"> senkapi</w:t>
            </w:r>
          </w:p>
        </w:tc>
      </w:tr>
      <w:tr w:rsidR="007E1EDD" w:rsidRPr="00A07F29" w14:paraId="37A4CC0E" w14:textId="77777777" w:rsidTr="26F09819">
        <w:tc>
          <w:tcPr>
            <w:tcW w:w="846" w:type="dxa"/>
          </w:tcPr>
          <w:p w14:paraId="726E5945" w14:textId="77777777" w:rsidR="007E1EDD" w:rsidRPr="00A07F29" w:rsidRDefault="007E1EDD" w:rsidP="000B764E">
            <w:pPr>
              <w:ind w:left="-206" w:firstLine="206"/>
              <w:jc w:val="center"/>
              <w:rPr>
                <w:rFonts w:ascii="Times New Roman" w:hAnsi="Times New Roman" w:cs="Times New Roman"/>
                <w:iCs/>
              </w:rPr>
            </w:pPr>
            <w:r w:rsidRPr="00A07F29">
              <w:rPr>
                <w:rFonts w:ascii="Times New Roman" w:hAnsi="Times New Roman" w:cs="Times New Roman"/>
                <w:iCs/>
              </w:rPr>
              <w:t>49.</w:t>
            </w:r>
          </w:p>
        </w:tc>
        <w:tc>
          <w:tcPr>
            <w:tcW w:w="1767" w:type="dxa"/>
          </w:tcPr>
          <w:p w14:paraId="0E63ACB9" w14:textId="77777777" w:rsidR="007E1EDD" w:rsidRPr="00A07F29" w:rsidRDefault="007E1EDD" w:rsidP="000B764E">
            <w:pPr>
              <w:jc w:val="center"/>
              <w:rPr>
                <w:rFonts w:ascii="Times New Roman" w:hAnsi="Times New Roman" w:cs="Times New Roman"/>
              </w:rPr>
            </w:pPr>
            <w:r w:rsidRPr="00A07F29">
              <w:rPr>
                <w:rFonts w:ascii="Times New Roman" w:hAnsi="Times New Roman" w:cs="Times New Roman"/>
              </w:rPr>
              <w:t>1198</w:t>
            </w:r>
          </w:p>
        </w:tc>
        <w:tc>
          <w:tcPr>
            <w:tcW w:w="2911" w:type="dxa"/>
          </w:tcPr>
          <w:p w14:paraId="20E5E40A" w14:textId="77777777" w:rsidR="007E1EDD" w:rsidRPr="00A07F29" w:rsidRDefault="007E1EDD" w:rsidP="000B764E">
            <w:pPr>
              <w:jc w:val="center"/>
              <w:rPr>
                <w:rFonts w:ascii="Times New Roman" w:hAnsi="Times New Roman" w:cs="Times New Roman"/>
              </w:rPr>
            </w:pPr>
            <w:r w:rsidRPr="00A07F29">
              <w:rPr>
                <w:rFonts w:ascii="Times New Roman" w:hAnsi="Times New Roman" w:cs="Times New Roman"/>
              </w:rPr>
              <w:t>Vietējas nozīmes arheoloģija</w:t>
            </w:r>
          </w:p>
        </w:tc>
        <w:tc>
          <w:tcPr>
            <w:tcW w:w="3492" w:type="dxa"/>
          </w:tcPr>
          <w:p w14:paraId="2E6A1B44" w14:textId="77777777" w:rsidR="007E1EDD" w:rsidRPr="00A07F29" w:rsidRDefault="007E1EDD" w:rsidP="000B764E">
            <w:pPr>
              <w:jc w:val="center"/>
              <w:rPr>
                <w:rFonts w:ascii="Times New Roman" w:hAnsi="Times New Roman" w:cs="Times New Roman"/>
                <w:iCs/>
              </w:rPr>
            </w:pPr>
            <w:r w:rsidRPr="00A07F29">
              <w:rPr>
                <w:rFonts w:ascii="Times New Roman" w:hAnsi="Times New Roman" w:cs="Times New Roman"/>
              </w:rPr>
              <w:t>Svētais avots -kulta vieta</w:t>
            </w:r>
          </w:p>
        </w:tc>
      </w:tr>
      <w:tr w:rsidR="007E1EDD" w:rsidRPr="00A07F29" w14:paraId="304E6388" w14:textId="77777777" w:rsidTr="26F09819">
        <w:tc>
          <w:tcPr>
            <w:tcW w:w="846" w:type="dxa"/>
          </w:tcPr>
          <w:p w14:paraId="48351272" w14:textId="77777777" w:rsidR="007E1EDD" w:rsidRPr="00A07F29" w:rsidRDefault="007E1EDD" w:rsidP="000B764E">
            <w:pPr>
              <w:ind w:left="-206" w:firstLine="206"/>
              <w:jc w:val="center"/>
              <w:rPr>
                <w:rFonts w:ascii="Times New Roman" w:hAnsi="Times New Roman" w:cs="Times New Roman"/>
                <w:iCs/>
              </w:rPr>
            </w:pPr>
            <w:r w:rsidRPr="00A07F29">
              <w:rPr>
                <w:rFonts w:ascii="Times New Roman" w:hAnsi="Times New Roman" w:cs="Times New Roman"/>
                <w:iCs/>
              </w:rPr>
              <w:t>50.</w:t>
            </w:r>
          </w:p>
        </w:tc>
        <w:tc>
          <w:tcPr>
            <w:tcW w:w="1767" w:type="dxa"/>
          </w:tcPr>
          <w:p w14:paraId="371185B1" w14:textId="77777777" w:rsidR="007E1EDD" w:rsidRPr="00A07F29" w:rsidRDefault="007E1EDD" w:rsidP="000B764E">
            <w:pPr>
              <w:jc w:val="center"/>
              <w:rPr>
                <w:rFonts w:ascii="Times New Roman" w:hAnsi="Times New Roman" w:cs="Times New Roman"/>
              </w:rPr>
            </w:pPr>
            <w:r w:rsidRPr="00A07F29">
              <w:rPr>
                <w:rFonts w:ascii="Times New Roman" w:hAnsi="Times New Roman" w:cs="Times New Roman"/>
              </w:rPr>
              <w:t>1199</w:t>
            </w:r>
          </w:p>
        </w:tc>
        <w:tc>
          <w:tcPr>
            <w:tcW w:w="2911" w:type="dxa"/>
          </w:tcPr>
          <w:p w14:paraId="3642AED1" w14:textId="77777777" w:rsidR="007E1EDD" w:rsidRPr="00A07F29" w:rsidRDefault="007E1EDD" w:rsidP="000B764E">
            <w:pPr>
              <w:jc w:val="center"/>
              <w:rPr>
                <w:rFonts w:ascii="Times New Roman" w:hAnsi="Times New Roman" w:cs="Times New Roman"/>
              </w:rPr>
            </w:pPr>
            <w:r w:rsidRPr="00A07F29">
              <w:rPr>
                <w:rFonts w:ascii="Times New Roman" w:hAnsi="Times New Roman" w:cs="Times New Roman"/>
              </w:rPr>
              <w:t>Valsts nozīmes arheoloģija</w:t>
            </w:r>
          </w:p>
        </w:tc>
        <w:tc>
          <w:tcPr>
            <w:tcW w:w="3492" w:type="dxa"/>
          </w:tcPr>
          <w:p w14:paraId="373967C3" w14:textId="77777777" w:rsidR="007E1EDD" w:rsidRPr="00A07F29" w:rsidRDefault="007E1EDD" w:rsidP="000B764E">
            <w:pPr>
              <w:jc w:val="center"/>
              <w:rPr>
                <w:rFonts w:ascii="Times New Roman" w:hAnsi="Times New Roman" w:cs="Times New Roman"/>
                <w:iCs/>
              </w:rPr>
            </w:pPr>
            <w:proofErr w:type="spellStart"/>
            <w:r w:rsidRPr="00A07F29">
              <w:rPr>
                <w:rFonts w:ascii="Times New Roman" w:hAnsi="Times New Roman" w:cs="Times New Roman"/>
              </w:rPr>
              <w:t>Misjūnu</w:t>
            </w:r>
            <w:proofErr w:type="spellEnd"/>
            <w:r w:rsidRPr="00A07F29">
              <w:rPr>
                <w:rFonts w:ascii="Times New Roman" w:hAnsi="Times New Roman" w:cs="Times New Roman"/>
              </w:rPr>
              <w:t xml:space="preserve"> senkapi</w:t>
            </w:r>
          </w:p>
        </w:tc>
      </w:tr>
      <w:tr w:rsidR="007E1EDD" w:rsidRPr="00A07F29" w14:paraId="212CE0BF" w14:textId="77777777" w:rsidTr="26F09819">
        <w:tc>
          <w:tcPr>
            <w:tcW w:w="846" w:type="dxa"/>
          </w:tcPr>
          <w:p w14:paraId="4A4D1B04" w14:textId="77777777" w:rsidR="007E1EDD" w:rsidRPr="00A07F29" w:rsidRDefault="007E1EDD" w:rsidP="000B764E">
            <w:pPr>
              <w:ind w:left="-206" w:firstLine="206"/>
              <w:jc w:val="center"/>
              <w:rPr>
                <w:rFonts w:ascii="Times New Roman" w:hAnsi="Times New Roman" w:cs="Times New Roman"/>
                <w:iCs/>
              </w:rPr>
            </w:pPr>
            <w:r w:rsidRPr="00A07F29">
              <w:rPr>
                <w:rFonts w:ascii="Times New Roman" w:hAnsi="Times New Roman" w:cs="Times New Roman"/>
                <w:iCs/>
              </w:rPr>
              <w:t>51.</w:t>
            </w:r>
          </w:p>
        </w:tc>
        <w:tc>
          <w:tcPr>
            <w:tcW w:w="1767" w:type="dxa"/>
          </w:tcPr>
          <w:p w14:paraId="0B1254A7" w14:textId="77777777" w:rsidR="007E1EDD" w:rsidRPr="00A07F29" w:rsidRDefault="007E1EDD" w:rsidP="000B764E">
            <w:pPr>
              <w:jc w:val="center"/>
              <w:rPr>
                <w:rFonts w:ascii="Times New Roman" w:hAnsi="Times New Roman" w:cs="Times New Roman"/>
              </w:rPr>
            </w:pPr>
            <w:r w:rsidRPr="00A07F29">
              <w:rPr>
                <w:rFonts w:ascii="Times New Roman" w:hAnsi="Times New Roman" w:cs="Times New Roman"/>
              </w:rPr>
              <w:t>1201</w:t>
            </w:r>
          </w:p>
        </w:tc>
        <w:tc>
          <w:tcPr>
            <w:tcW w:w="2911" w:type="dxa"/>
          </w:tcPr>
          <w:p w14:paraId="5946493B" w14:textId="77777777" w:rsidR="007E1EDD" w:rsidRPr="00A07F29" w:rsidRDefault="007E1EDD" w:rsidP="000B764E">
            <w:pPr>
              <w:jc w:val="center"/>
              <w:rPr>
                <w:rFonts w:ascii="Times New Roman" w:hAnsi="Times New Roman" w:cs="Times New Roman"/>
              </w:rPr>
            </w:pPr>
            <w:r w:rsidRPr="00A07F29">
              <w:rPr>
                <w:rFonts w:ascii="Times New Roman" w:hAnsi="Times New Roman" w:cs="Times New Roman"/>
              </w:rPr>
              <w:t>Vietējas nozīmes arheoloģija</w:t>
            </w:r>
          </w:p>
        </w:tc>
        <w:tc>
          <w:tcPr>
            <w:tcW w:w="3492" w:type="dxa"/>
          </w:tcPr>
          <w:p w14:paraId="78744FF8" w14:textId="77777777" w:rsidR="007E1EDD" w:rsidRPr="00A07F29" w:rsidRDefault="007E1EDD" w:rsidP="000B764E">
            <w:pPr>
              <w:jc w:val="center"/>
              <w:rPr>
                <w:rFonts w:ascii="Times New Roman" w:hAnsi="Times New Roman" w:cs="Times New Roman"/>
                <w:iCs/>
              </w:rPr>
            </w:pPr>
            <w:proofErr w:type="spellStart"/>
            <w:r w:rsidRPr="00A07F29">
              <w:rPr>
                <w:rFonts w:ascii="Times New Roman" w:hAnsi="Times New Roman" w:cs="Times New Roman"/>
              </w:rPr>
              <w:t>Rakutu</w:t>
            </w:r>
            <w:proofErr w:type="spellEnd"/>
            <w:r w:rsidRPr="00A07F29">
              <w:rPr>
                <w:rFonts w:ascii="Times New Roman" w:hAnsi="Times New Roman" w:cs="Times New Roman"/>
              </w:rPr>
              <w:t xml:space="preserve"> viduslaiku kapsēta</w:t>
            </w:r>
          </w:p>
        </w:tc>
      </w:tr>
      <w:tr w:rsidR="007E1EDD" w:rsidRPr="00A07F29" w14:paraId="4511816E" w14:textId="77777777" w:rsidTr="26F09819">
        <w:tc>
          <w:tcPr>
            <w:tcW w:w="846" w:type="dxa"/>
          </w:tcPr>
          <w:p w14:paraId="51B6B868" w14:textId="77777777" w:rsidR="007E1EDD" w:rsidRPr="00A07F29" w:rsidRDefault="007E1EDD" w:rsidP="000B764E">
            <w:pPr>
              <w:ind w:left="-206" w:firstLine="206"/>
              <w:jc w:val="center"/>
              <w:rPr>
                <w:rFonts w:ascii="Times New Roman" w:hAnsi="Times New Roman" w:cs="Times New Roman"/>
                <w:iCs/>
              </w:rPr>
            </w:pPr>
            <w:r w:rsidRPr="00A07F29">
              <w:rPr>
                <w:rFonts w:ascii="Times New Roman" w:hAnsi="Times New Roman" w:cs="Times New Roman"/>
                <w:iCs/>
              </w:rPr>
              <w:lastRenderedPageBreak/>
              <w:t>52.</w:t>
            </w:r>
          </w:p>
        </w:tc>
        <w:tc>
          <w:tcPr>
            <w:tcW w:w="1767" w:type="dxa"/>
          </w:tcPr>
          <w:p w14:paraId="69CD5062" w14:textId="77777777" w:rsidR="007E1EDD" w:rsidRPr="00A07F29" w:rsidRDefault="007E1EDD" w:rsidP="000B764E">
            <w:pPr>
              <w:jc w:val="center"/>
              <w:rPr>
                <w:rFonts w:ascii="Times New Roman" w:hAnsi="Times New Roman" w:cs="Times New Roman"/>
              </w:rPr>
            </w:pPr>
            <w:r w:rsidRPr="00A07F29">
              <w:rPr>
                <w:rFonts w:ascii="Times New Roman" w:hAnsi="Times New Roman" w:cs="Times New Roman"/>
              </w:rPr>
              <w:t>1202</w:t>
            </w:r>
          </w:p>
        </w:tc>
        <w:tc>
          <w:tcPr>
            <w:tcW w:w="2911" w:type="dxa"/>
          </w:tcPr>
          <w:p w14:paraId="0491C14E" w14:textId="77777777" w:rsidR="007E1EDD" w:rsidRPr="00A07F29" w:rsidRDefault="007E1EDD" w:rsidP="000B764E">
            <w:pPr>
              <w:jc w:val="center"/>
              <w:rPr>
                <w:rFonts w:ascii="Times New Roman" w:hAnsi="Times New Roman" w:cs="Times New Roman"/>
              </w:rPr>
            </w:pPr>
            <w:r w:rsidRPr="00A07F29">
              <w:rPr>
                <w:rFonts w:ascii="Times New Roman" w:hAnsi="Times New Roman" w:cs="Times New Roman"/>
              </w:rPr>
              <w:t>Vietējas nozīmes arheoloģija</w:t>
            </w:r>
          </w:p>
        </w:tc>
        <w:tc>
          <w:tcPr>
            <w:tcW w:w="3492" w:type="dxa"/>
            <w:vAlign w:val="center"/>
          </w:tcPr>
          <w:p w14:paraId="66B190EB" w14:textId="77777777" w:rsidR="007E1EDD" w:rsidRPr="00A07F29" w:rsidRDefault="007E1EDD" w:rsidP="000B764E">
            <w:pPr>
              <w:jc w:val="center"/>
              <w:rPr>
                <w:rFonts w:ascii="Times New Roman" w:hAnsi="Times New Roman" w:cs="Times New Roman"/>
                <w:iCs/>
              </w:rPr>
            </w:pPr>
            <w:r w:rsidRPr="00A07F29">
              <w:rPr>
                <w:rFonts w:ascii="Times New Roman" w:hAnsi="Times New Roman" w:cs="Times New Roman"/>
              </w:rPr>
              <w:t xml:space="preserve">Vilmaņu apmetne un viduslaiku kapsēta (Kapu pļaviņa) </w:t>
            </w:r>
          </w:p>
        </w:tc>
      </w:tr>
      <w:bookmarkEnd w:id="11"/>
    </w:tbl>
    <w:p w14:paraId="4B9F2EAE" w14:textId="6E44897F" w:rsidR="007E1EDD" w:rsidRPr="00A07F29" w:rsidRDefault="007E1EDD" w:rsidP="0088204D">
      <w:pPr>
        <w:spacing w:after="120" w:line="240" w:lineRule="auto"/>
        <w:jc w:val="both"/>
        <w:rPr>
          <w:rFonts w:ascii="Times New Roman" w:eastAsia="Calibri" w:hAnsi="Times New Roman" w:cs="Calibri"/>
          <w:sz w:val="24"/>
          <w:lang w:eastAsia="en-GB"/>
        </w:rPr>
      </w:pPr>
    </w:p>
    <w:p w14:paraId="528E61CE" w14:textId="6C68C6A0" w:rsidR="00C72B21" w:rsidRPr="00A07F29" w:rsidRDefault="00C72B21" w:rsidP="0088204D">
      <w:pPr>
        <w:spacing w:after="120" w:line="240" w:lineRule="auto"/>
        <w:ind w:firstLine="720"/>
        <w:jc w:val="both"/>
        <w:rPr>
          <w:rFonts w:ascii="Times New Roman" w:eastAsia="Calibri" w:hAnsi="Times New Roman" w:cs="Calibri"/>
          <w:sz w:val="24"/>
        </w:rPr>
      </w:pPr>
      <w:r w:rsidRPr="00A07F29">
        <w:rPr>
          <w:rFonts w:ascii="Times New Roman" w:eastAsia="Calibri" w:hAnsi="Times New Roman" w:cs="Calibri"/>
          <w:sz w:val="24"/>
        </w:rPr>
        <w:t>Gadsimtiem ilgi, līdz pat 19.</w:t>
      </w:r>
      <w:r w:rsidR="005023FF" w:rsidRPr="00A07F29">
        <w:rPr>
          <w:rFonts w:ascii="Times New Roman" w:eastAsia="Calibri" w:hAnsi="Times New Roman" w:cs="Calibri"/>
          <w:sz w:val="24"/>
        </w:rPr>
        <w:t> </w:t>
      </w:r>
      <w:r w:rsidRPr="00A07F29">
        <w:rPr>
          <w:rFonts w:ascii="Times New Roman" w:eastAsia="Calibri" w:hAnsi="Times New Roman" w:cs="Calibri"/>
          <w:sz w:val="24"/>
        </w:rPr>
        <w:t>gadsimta beigām, Daugava bija nozīmīgs satiksmes ceļš eksporta preču plūsmai. Daugava jau tiek pieminēta 5.</w:t>
      </w:r>
      <w:r w:rsidR="00D1014A" w:rsidRPr="00A07F29">
        <w:rPr>
          <w:rFonts w:ascii="Times New Roman" w:eastAsia="Calibri" w:hAnsi="Times New Roman" w:cs="Calibri"/>
          <w:sz w:val="24"/>
        </w:rPr>
        <w:t> </w:t>
      </w:r>
      <w:r w:rsidRPr="00A07F29">
        <w:rPr>
          <w:rFonts w:ascii="Times New Roman" w:eastAsia="Calibri" w:hAnsi="Times New Roman" w:cs="Calibri"/>
          <w:sz w:val="24"/>
        </w:rPr>
        <w:t>g</w:t>
      </w:r>
      <w:r w:rsidR="00D1014A" w:rsidRPr="00A07F29">
        <w:rPr>
          <w:rFonts w:ascii="Times New Roman" w:eastAsia="Calibri" w:hAnsi="Times New Roman" w:cs="Calibri"/>
          <w:sz w:val="24"/>
        </w:rPr>
        <w:t>adsimtā</w:t>
      </w:r>
      <w:r w:rsidRPr="00A07F29">
        <w:rPr>
          <w:rFonts w:ascii="Times New Roman" w:eastAsia="Calibri" w:hAnsi="Times New Roman" w:cs="Calibri"/>
          <w:sz w:val="24"/>
        </w:rPr>
        <w:t xml:space="preserve"> pirms mūsu ēras skandināvu sāgās. Mūsu ēras 1.</w:t>
      </w:r>
      <w:r w:rsidR="00D1014A" w:rsidRPr="00A07F29">
        <w:rPr>
          <w:rFonts w:ascii="Times New Roman" w:eastAsia="Calibri" w:hAnsi="Times New Roman" w:cs="Calibri"/>
          <w:sz w:val="24"/>
        </w:rPr>
        <w:t> </w:t>
      </w:r>
      <w:r w:rsidRPr="00A07F29">
        <w:rPr>
          <w:rFonts w:ascii="Times New Roman" w:eastAsia="Calibri" w:hAnsi="Times New Roman" w:cs="Calibri"/>
          <w:sz w:val="24"/>
        </w:rPr>
        <w:t xml:space="preserve">gadu tūkstotī tā bija nozīmīgs posms pazīstamajā ūdensceļā no </w:t>
      </w:r>
      <w:proofErr w:type="spellStart"/>
      <w:r w:rsidRPr="00A07F29">
        <w:rPr>
          <w:rFonts w:ascii="Times New Roman" w:eastAsia="Calibri" w:hAnsi="Times New Roman" w:cs="Calibri"/>
          <w:sz w:val="24"/>
        </w:rPr>
        <w:t>varjagiem</w:t>
      </w:r>
      <w:proofErr w:type="spellEnd"/>
      <w:r w:rsidRPr="00A07F29">
        <w:rPr>
          <w:rFonts w:ascii="Times New Roman" w:eastAsia="Calibri" w:hAnsi="Times New Roman" w:cs="Calibri"/>
          <w:sz w:val="24"/>
        </w:rPr>
        <w:t xml:space="preserve"> uz grieķiem. 12.</w:t>
      </w:r>
      <w:r w:rsidR="00D1014A" w:rsidRPr="00A07F29">
        <w:rPr>
          <w:rFonts w:ascii="Times New Roman" w:eastAsia="Calibri" w:hAnsi="Times New Roman" w:cs="Calibri"/>
          <w:sz w:val="24"/>
        </w:rPr>
        <w:t> </w:t>
      </w:r>
      <w:r w:rsidRPr="00A07F29">
        <w:rPr>
          <w:rFonts w:ascii="Times New Roman" w:eastAsia="Calibri" w:hAnsi="Times New Roman" w:cs="Calibri"/>
          <w:sz w:val="24"/>
        </w:rPr>
        <w:t xml:space="preserve">gadsimtā teritorijā parādās vācieši. Nostiprinoties Lietuvas valstij, tirdzniecība pa Daugavu nonāk lietuviešu kontrolē. Galvenās eksporta preces bija vasks, ādas, graudi, kaņepes, lini, un galvenās importa preces no Rietumeiropas bija sāls, siļķes, audumi, vīns, tabaka. Diemžēl biežā karadarbība reģionā tirdzniecību ietekmē negatīvi. Liela nozīme tirdzniecībā bija Daugavpilij </w:t>
      </w:r>
      <w:r w:rsidR="0007714D" w:rsidRPr="00A07F29">
        <w:rPr>
          <w:rFonts w:ascii="Times New Roman" w:eastAsia="Calibri" w:hAnsi="Times New Roman" w:cs="Calibri"/>
          <w:sz w:val="24"/>
        </w:rPr>
        <w:t>–</w:t>
      </w:r>
      <w:r w:rsidRPr="00A07F29">
        <w:rPr>
          <w:rFonts w:ascii="Times New Roman" w:eastAsia="Calibri" w:hAnsi="Times New Roman" w:cs="Calibri"/>
          <w:sz w:val="24"/>
        </w:rPr>
        <w:t xml:space="preserve"> pēc Livonijas kara, kad Daugavpils (Dinaburga) tika pārcelta uz jauno vietu. Pilsēta kļuva par nozīmīgu graudu un citu preču pārkraušanas punktu. Tirdzniecības uzplaukums veicināja arī dažādu amatu attīstību. Pa Daugavu gāja arī plosti, strūgas, laivas, no kurām tika iekasēti nodokļi (Jansons B., 1999).</w:t>
      </w:r>
    </w:p>
    <w:p w14:paraId="4A3B9EEA" w14:textId="4378E37A" w:rsidR="00C72B21" w:rsidRPr="00A07F29" w:rsidRDefault="00C72B21" w:rsidP="0088204D">
      <w:pPr>
        <w:spacing w:after="120" w:line="240" w:lineRule="auto"/>
        <w:ind w:firstLine="720"/>
        <w:jc w:val="both"/>
        <w:rPr>
          <w:rFonts w:ascii="Times New Roman" w:eastAsia="Calibri" w:hAnsi="Times New Roman" w:cs="Calibri"/>
          <w:sz w:val="24"/>
        </w:rPr>
      </w:pPr>
      <w:r w:rsidRPr="00A07F29">
        <w:rPr>
          <w:rFonts w:ascii="Times New Roman" w:eastAsia="Calibri" w:hAnsi="Times New Roman" w:cs="Calibri"/>
          <w:sz w:val="24"/>
        </w:rPr>
        <w:t>18.</w:t>
      </w:r>
      <w:r w:rsidR="006E1218" w:rsidRPr="00A07F29">
        <w:rPr>
          <w:rFonts w:ascii="Times New Roman" w:eastAsia="Calibri" w:hAnsi="Times New Roman" w:cs="Calibri"/>
          <w:sz w:val="24"/>
        </w:rPr>
        <w:t> </w:t>
      </w:r>
      <w:r w:rsidRPr="00A07F29">
        <w:rPr>
          <w:rFonts w:ascii="Times New Roman" w:eastAsia="Calibri" w:hAnsi="Times New Roman" w:cs="Calibri"/>
          <w:sz w:val="24"/>
        </w:rPr>
        <w:t>gadsimtā Daugava kļuva par nozīmīgu Krievijas impērijas iekšzemes tirdzniecības ceļu, līdz ar to tika arī veikta Daugavas gultnes padziļināšana. Tika spridzināti upes gultnē esošie laukakmeņi, neņemot vērā to kultūrvēsturisko nozīmi. Tika sašķelts pat akmens 34</w:t>
      </w:r>
      <w:r w:rsidR="0051352A" w:rsidRPr="00A07F29">
        <w:rPr>
          <w:rFonts w:ascii="Times New Roman" w:eastAsia="Calibri" w:hAnsi="Times New Roman" w:cs="Calibri"/>
          <w:sz w:val="24"/>
        </w:rPr>
        <w:t> </w:t>
      </w:r>
      <w:r w:rsidRPr="00A07F29">
        <w:rPr>
          <w:rFonts w:ascii="Times New Roman" w:eastAsia="Calibri" w:hAnsi="Times New Roman" w:cs="Calibri"/>
          <w:sz w:val="24"/>
        </w:rPr>
        <w:t>m apkārtmērā un 3,2</w:t>
      </w:r>
      <w:r w:rsidR="0051352A" w:rsidRPr="00A07F29">
        <w:rPr>
          <w:rFonts w:ascii="Times New Roman" w:eastAsia="Calibri" w:hAnsi="Times New Roman" w:cs="Calibri"/>
          <w:sz w:val="24"/>
        </w:rPr>
        <w:t> </w:t>
      </w:r>
      <w:r w:rsidRPr="00A07F29">
        <w:rPr>
          <w:rFonts w:ascii="Times New Roman" w:eastAsia="Calibri" w:hAnsi="Times New Roman" w:cs="Calibri"/>
          <w:sz w:val="24"/>
        </w:rPr>
        <w:t xml:space="preserve">m platumā, uz kura bijis izkalts senlaiku bruņinieka vairogs, uz kura bija attēlota saule un uzraksts slāvu burtiem </w:t>
      </w:r>
      <w:r w:rsidR="0051352A" w:rsidRPr="00A07F29">
        <w:rPr>
          <w:rFonts w:ascii="Times New Roman" w:eastAsia="Calibri" w:hAnsi="Times New Roman" w:cs="Calibri"/>
          <w:sz w:val="24"/>
        </w:rPr>
        <w:t>“</w:t>
      </w:r>
      <w:proofErr w:type="spellStart"/>
      <w:r w:rsidRPr="00A07F29">
        <w:rPr>
          <w:rFonts w:ascii="Times New Roman" w:eastAsia="Calibri" w:hAnsi="Times New Roman" w:cs="Calibri"/>
          <w:sz w:val="24"/>
        </w:rPr>
        <w:t>Да</w:t>
      </w:r>
      <w:proofErr w:type="spellEnd"/>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sz w:val="24"/>
        </w:rPr>
        <w:t>не</w:t>
      </w:r>
      <w:proofErr w:type="spellEnd"/>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sz w:val="24"/>
        </w:rPr>
        <w:t>убоится</w:t>
      </w:r>
      <w:proofErr w:type="spellEnd"/>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sz w:val="24"/>
        </w:rPr>
        <w:t>душа</w:t>
      </w:r>
      <w:proofErr w:type="spellEnd"/>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sz w:val="24"/>
        </w:rPr>
        <w:t>моя</w:t>
      </w:r>
      <w:proofErr w:type="spellEnd"/>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sz w:val="24"/>
        </w:rPr>
        <w:t>врага</w:t>
      </w:r>
      <w:proofErr w:type="spellEnd"/>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sz w:val="24"/>
        </w:rPr>
        <w:t>моего</w:t>
      </w:r>
      <w:proofErr w:type="spellEnd"/>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sz w:val="24"/>
        </w:rPr>
        <w:t>яки</w:t>
      </w:r>
      <w:proofErr w:type="spellEnd"/>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sz w:val="24"/>
        </w:rPr>
        <w:t>твердою</w:t>
      </w:r>
      <w:proofErr w:type="spellEnd"/>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sz w:val="24"/>
        </w:rPr>
        <w:t>рукою</w:t>
      </w:r>
      <w:proofErr w:type="spellEnd"/>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sz w:val="24"/>
        </w:rPr>
        <w:t>десницы</w:t>
      </w:r>
      <w:proofErr w:type="spellEnd"/>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sz w:val="24"/>
        </w:rPr>
        <w:t>отросль</w:t>
      </w:r>
      <w:proofErr w:type="spellEnd"/>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sz w:val="24"/>
        </w:rPr>
        <w:t>Святополка</w:t>
      </w:r>
      <w:proofErr w:type="spellEnd"/>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sz w:val="24"/>
        </w:rPr>
        <w:t>Александр</w:t>
      </w:r>
      <w:proofErr w:type="spellEnd"/>
      <w:r w:rsidRPr="00A07F29">
        <w:rPr>
          <w:rFonts w:ascii="Times New Roman" w:eastAsia="Calibri" w:hAnsi="Times New Roman" w:cs="Calibri"/>
          <w:sz w:val="24"/>
        </w:rPr>
        <w:t>” (Jansons B., 1999).</w:t>
      </w:r>
    </w:p>
    <w:p w14:paraId="37DAB03E" w14:textId="4D291351" w:rsidR="00C72B21" w:rsidRPr="00A07F29" w:rsidRDefault="00C72B21" w:rsidP="0088204D">
      <w:pPr>
        <w:spacing w:after="120" w:line="240" w:lineRule="auto"/>
        <w:ind w:firstLine="720"/>
        <w:jc w:val="both"/>
        <w:rPr>
          <w:rFonts w:ascii="Times New Roman" w:eastAsia="Calibri" w:hAnsi="Times New Roman" w:cs="Calibri"/>
          <w:sz w:val="24"/>
        </w:rPr>
      </w:pPr>
      <w:r w:rsidRPr="00A07F29">
        <w:rPr>
          <w:rFonts w:ascii="Times New Roman" w:eastAsia="Calibri" w:hAnsi="Times New Roman" w:cs="Calibri"/>
          <w:sz w:val="24"/>
        </w:rPr>
        <w:t>Lai uzlabotu kuģošanu Daugavā, tika izstrādāti projekti, kuri regulētu upes līmeni. Bija paredzēts izbūvēt 30 slūžas. Caur Daugavpili uz Rīgu tika pludināti koki, izvesti graudi, lini, vilna, darva un citas preces. 19.</w:t>
      </w:r>
      <w:r w:rsidR="00E3193B" w:rsidRPr="00A07F29">
        <w:rPr>
          <w:rFonts w:ascii="Times New Roman" w:eastAsia="Calibri" w:hAnsi="Times New Roman" w:cs="Calibri"/>
          <w:sz w:val="24"/>
        </w:rPr>
        <w:t> </w:t>
      </w:r>
      <w:r w:rsidRPr="00A07F29">
        <w:rPr>
          <w:rFonts w:ascii="Times New Roman" w:eastAsia="Calibri" w:hAnsi="Times New Roman" w:cs="Calibri"/>
          <w:sz w:val="24"/>
        </w:rPr>
        <w:t>gadsimta beigās pa Daugavu tika nosūtītas jau 1756 strūgas, aizpludināti 126 plosti. Bet līdz ar 19.</w:t>
      </w:r>
      <w:r w:rsidR="00E3193B" w:rsidRPr="00A07F29">
        <w:rPr>
          <w:rFonts w:ascii="Times New Roman" w:eastAsia="Calibri" w:hAnsi="Times New Roman" w:cs="Calibri"/>
          <w:sz w:val="24"/>
        </w:rPr>
        <w:t> </w:t>
      </w:r>
      <w:r w:rsidRPr="00A07F29">
        <w:rPr>
          <w:rFonts w:ascii="Times New Roman" w:eastAsia="Calibri" w:hAnsi="Times New Roman" w:cs="Calibri"/>
          <w:sz w:val="24"/>
        </w:rPr>
        <w:t>gadsimta 60.</w:t>
      </w:r>
      <w:r w:rsidR="00E3193B" w:rsidRPr="00A07F29">
        <w:rPr>
          <w:rFonts w:ascii="Times New Roman" w:eastAsia="Calibri" w:hAnsi="Times New Roman" w:cs="Calibri"/>
          <w:sz w:val="24"/>
        </w:rPr>
        <w:t> </w:t>
      </w:r>
      <w:r w:rsidRPr="00A07F29">
        <w:rPr>
          <w:rFonts w:ascii="Times New Roman" w:eastAsia="Calibri" w:hAnsi="Times New Roman" w:cs="Calibri"/>
          <w:sz w:val="24"/>
        </w:rPr>
        <w:t>gados izveidoto dzelzceļa tīklu Daugava kā transporta ceļš savu nozīmi zaudēja (Jansons B., 1999).</w:t>
      </w:r>
    </w:p>
    <w:p w14:paraId="5BA80EF7" w14:textId="3A0A7695" w:rsidR="00C72B21" w:rsidRPr="00A07F29" w:rsidRDefault="00C72B21" w:rsidP="0088204D">
      <w:pPr>
        <w:spacing w:after="120" w:line="240" w:lineRule="auto"/>
        <w:ind w:firstLine="720"/>
        <w:jc w:val="both"/>
        <w:rPr>
          <w:rFonts w:ascii="Times New Roman" w:eastAsia="Calibri" w:hAnsi="Times New Roman" w:cs="Calibri"/>
          <w:sz w:val="24"/>
        </w:rPr>
      </w:pPr>
      <w:r w:rsidRPr="00A07F29">
        <w:rPr>
          <w:rFonts w:ascii="Times New Roman" w:eastAsia="Calibri" w:hAnsi="Times New Roman" w:cs="Calibri"/>
          <w:sz w:val="24"/>
        </w:rPr>
        <w:t xml:space="preserve">Daugavas posmā Daugavpils – Krāslava būvēja arī </w:t>
      </w:r>
      <w:proofErr w:type="spellStart"/>
      <w:r w:rsidRPr="00A07F29">
        <w:rPr>
          <w:rFonts w:ascii="Times New Roman" w:eastAsia="Calibri" w:hAnsi="Times New Roman" w:cs="Calibri"/>
          <w:sz w:val="24"/>
        </w:rPr>
        <w:t>laibas</w:t>
      </w:r>
      <w:proofErr w:type="spellEnd"/>
      <w:r w:rsidRPr="00A07F29">
        <w:rPr>
          <w:rFonts w:ascii="Times New Roman" w:eastAsia="Calibri" w:hAnsi="Times New Roman" w:cs="Calibri"/>
          <w:sz w:val="24"/>
        </w:rPr>
        <w:t xml:space="preserve"> (īpaša veida laivas, garums līdz 14 asīm, kravnesība no 5000-6000 pudu). </w:t>
      </w:r>
      <w:proofErr w:type="spellStart"/>
      <w:r w:rsidRPr="00A07F29">
        <w:rPr>
          <w:rFonts w:ascii="Times New Roman" w:eastAsia="Calibri" w:hAnsi="Times New Roman" w:cs="Calibri"/>
          <w:sz w:val="24"/>
        </w:rPr>
        <w:t>Laibas</w:t>
      </w:r>
      <w:proofErr w:type="spellEnd"/>
      <w:r w:rsidRPr="00A07F29">
        <w:rPr>
          <w:rFonts w:ascii="Times New Roman" w:eastAsia="Calibri" w:hAnsi="Times New Roman" w:cs="Calibri"/>
          <w:sz w:val="24"/>
        </w:rPr>
        <w:t xml:space="preserve"> vēl tika būvētas 20. un 30.</w:t>
      </w:r>
      <w:r w:rsidR="00C2629C" w:rsidRPr="00A07F29">
        <w:rPr>
          <w:rFonts w:ascii="Times New Roman" w:eastAsia="Calibri" w:hAnsi="Times New Roman" w:cs="Calibri"/>
          <w:sz w:val="24"/>
        </w:rPr>
        <w:t> </w:t>
      </w:r>
      <w:r w:rsidRPr="00A07F29">
        <w:rPr>
          <w:rFonts w:ascii="Times New Roman" w:eastAsia="Calibri" w:hAnsi="Times New Roman" w:cs="Calibri"/>
          <w:sz w:val="24"/>
        </w:rPr>
        <w:t xml:space="preserve">gadu sākumā, līdz ar to varam secināt, ka </w:t>
      </w:r>
      <w:proofErr w:type="spellStart"/>
      <w:r w:rsidRPr="00A07F29">
        <w:rPr>
          <w:rFonts w:ascii="Times New Roman" w:eastAsia="Calibri" w:hAnsi="Times New Roman" w:cs="Calibri"/>
          <w:sz w:val="24"/>
        </w:rPr>
        <w:t>laibu</w:t>
      </w:r>
      <w:proofErr w:type="spellEnd"/>
      <w:r w:rsidRPr="00A07F29">
        <w:rPr>
          <w:rFonts w:ascii="Times New Roman" w:eastAsia="Calibri" w:hAnsi="Times New Roman" w:cs="Calibri"/>
          <w:sz w:val="24"/>
        </w:rPr>
        <w:t xml:space="preserve"> būvniecībai tika izmantota galvenokārt vietējā koksne. Kuģošana </w:t>
      </w:r>
      <w:proofErr w:type="spellStart"/>
      <w:r w:rsidRPr="00A07F29">
        <w:rPr>
          <w:rFonts w:ascii="Times New Roman" w:eastAsia="Calibri" w:hAnsi="Times New Roman" w:cs="Calibri"/>
          <w:sz w:val="24"/>
        </w:rPr>
        <w:t>daudzo</w:t>
      </w:r>
      <w:proofErr w:type="spellEnd"/>
      <w:r w:rsidRPr="00A07F29">
        <w:rPr>
          <w:rFonts w:ascii="Times New Roman" w:eastAsia="Calibri" w:hAnsi="Times New Roman" w:cs="Calibri"/>
          <w:sz w:val="24"/>
        </w:rPr>
        <w:t xml:space="preserve"> krāču dēļ bija bīstama, visbīstamākās krāces bija Krāslavas krāces. 19.</w:t>
      </w:r>
      <w:r w:rsidR="00C2629C" w:rsidRPr="00A07F29">
        <w:rPr>
          <w:rFonts w:ascii="Times New Roman" w:eastAsia="Calibri" w:hAnsi="Times New Roman" w:cs="Calibri"/>
          <w:sz w:val="24"/>
        </w:rPr>
        <w:t> </w:t>
      </w:r>
      <w:r w:rsidRPr="00A07F29">
        <w:rPr>
          <w:rFonts w:ascii="Times New Roman" w:eastAsia="Calibri" w:hAnsi="Times New Roman" w:cs="Calibri"/>
          <w:sz w:val="24"/>
        </w:rPr>
        <w:t>gadsimtā pa Daugavu sāka kursēt arī tvaikoņi. Vēl līdz pat Pirmajam pasaules karam pastāv tvaikoņu satiksme starp Jēkabpili un Vitebsku (Jansons B., 1999).</w:t>
      </w:r>
    </w:p>
    <w:p w14:paraId="59530EC4" w14:textId="77777777" w:rsidR="00C72B21" w:rsidRPr="00A07F29" w:rsidRDefault="00C72B21" w:rsidP="0088204D">
      <w:pPr>
        <w:spacing w:after="120" w:line="240" w:lineRule="auto"/>
        <w:ind w:firstLine="720"/>
        <w:jc w:val="both"/>
        <w:rPr>
          <w:rFonts w:ascii="Times New Roman" w:eastAsia="Calibri" w:hAnsi="Times New Roman" w:cs="Calibri"/>
          <w:sz w:val="24"/>
        </w:rPr>
      </w:pPr>
      <w:r w:rsidRPr="00A07F29">
        <w:rPr>
          <w:rFonts w:ascii="Times New Roman" w:eastAsia="Calibri" w:hAnsi="Times New Roman" w:cs="Calibri"/>
          <w:sz w:val="24"/>
        </w:rPr>
        <w:t>Augšdaugavas teritorijai ir raksturīga savdabīga, vēsturiski izveidojusies dažādu tautu kultūru saplūšana, kas atspoguļojas ainavā, vietvārdos, sadzīvē un arhitektūrā.</w:t>
      </w:r>
    </w:p>
    <w:p w14:paraId="47DF4C3F" w14:textId="706F0526" w:rsidR="00C72B21" w:rsidRPr="00A07F29" w:rsidRDefault="00C72B21" w:rsidP="0088204D">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1930.</w:t>
      </w:r>
      <w:r w:rsidR="004F4FDE" w:rsidRPr="00A07F29">
        <w:rPr>
          <w:rFonts w:ascii="Times New Roman" w:eastAsia="Calibri" w:hAnsi="Times New Roman" w:cs="Calibri"/>
          <w:sz w:val="24"/>
        </w:rPr>
        <w:t> </w:t>
      </w:r>
      <w:r w:rsidRPr="00A07F29">
        <w:rPr>
          <w:rFonts w:ascii="Times New Roman" w:eastAsia="Calibri" w:hAnsi="Times New Roman" w:cs="Calibri"/>
          <w:sz w:val="24"/>
        </w:rPr>
        <w:t xml:space="preserve">gados Kaplavas pagasta </w:t>
      </w:r>
      <w:r w:rsidR="004F4FDE" w:rsidRPr="00A07F29">
        <w:rPr>
          <w:rFonts w:ascii="Times New Roman" w:eastAsia="Calibri" w:hAnsi="Times New Roman" w:cs="Calibri"/>
          <w:sz w:val="24"/>
        </w:rPr>
        <w:t>“</w:t>
      </w:r>
      <w:r w:rsidRPr="00A07F29">
        <w:rPr>
          <w:rFonts w:ascii="Times New Roman" w:eastAsia="Calibri" w:hAnsi="Times New Roman" w:cs="Calibri"/>
          <w:sz w:val="24"/>
        </w:rPr>
        <w:t xml:space="preserve">Prauliņos”, </w:t>
      </w:r>
      <w:proofErr w:type="spellStart"/>
      <w:r w:rsidRPr="00A07F29">
        <w:rPr>
          <w:rFonts w:ascii="Times New Roman" w:eastAsia="Calibri" w:hAnsi="Times New Roman" w:cs="Calibri"/>
          <w:sz w:val="24"/>
        </w:rPr>
        <w:t>Kaplavās</w:t>
      </w:r>
      <w:proofErr w:type="spellEnd"/>
      <w:r w:rsidRPr="00A07F29">
        <w:rPr>
          <w:rFonts w:ascii="Times New Roman" w:eastAsia="Calibri" w:hAnsi="Times New Roman" w:cs="Calibri"/>
          <w:sz w:val="24"/>
        </w:rPr>
        <w:t xml:space="preserve"> un </w:t>
      </w:r>
      <w:proofErr w:type="spellStart"/>
      <w:r w:rsidRPr="00A07F29">
        <w:rPr>
          <w:rFonts w:ascii="Times New Roman" w:eastAsia="Calibri" w:hAnsi="Times New Roman" w:cs="Calibri"/>
          <w:sz w:val="24"/>
        </w:rPr>
        <w:t>Vecbornē</w:t>
      </w:r>
      <w:proofErr w:type="spellEnd"/>
      <w:r w:rsidRPr="00A07F29">
        <w:rPr>
          <w:rFonts w:ascii="Times New Roman" w:eastAsia="Calibri" w:hAnsi="Times New Roman" w:cs="Calibri"/>
          <w:sz w:val="24"/>
        </w:rPr>
        <w:t xml:space="preserve"> bieži uzturējies izcilais latviešu rakstnieks, gleznotājs, kultūras dzīves vadītājs un viens no pirmajiem latviešu mākslas teorētiķiem un kritiķiem Jānis Jaunsudrabiņš (1877-1962), kas dažkārt apmeklējis arī </w:t>
      </w:r>
      <w:proofErr w:type="spellStart"/>
      <w:r w:rsidRPr="00A07F29">
        <w:rPr>
          <w:rFonts w:ascii="Times New Roman" w:eastAsia="Calibri" w:hAnsi="Times New Roman" w:cs="Calibri"/>
          <w:sz w:val="24"/>
        </w:rPr>
        <w:t>Varnaviču</w:t>
      </w:r>
      <w:proofErr w:type="spellEnd"/>
      <w:r w:rsidRPr="00A07F29">
        <w:rPr>
          <w:rFonts w:ascii="Times New Roman" w:eastAsia="Calibri" w:hAnsi="Times New Roman" w:cs="Calibri"/>
          <w:sz w:val="24"/>
        </w:rPr>
        <w:t xml:space="preserve"> ezerus un tajos </w:t>
      </w:r>
      <w:proofErr w:type="spellStart"/>
      <w:r w:rsidRPr="00A07F29">
        <w:rPr>
          <w:rFonts w:ascii="Times New Roman" w:eastAsia="Calibri" w:hAnsi="Times New Roman" w:cs="Calibri"/>
          <w:sz w:val="24"/>
        </w:rPr>
        <w:t>makšķērējis</w:t>
      </w:r>
      <w:proofErr w:type="spellEnd"/>
      <w:r w:rsidRPr="00A07F29">
        <w:rPr>
          <w:rFonts w:ascii="Times New Roman" w:eastAsia="Calibri" w:hAnsi="Times New Roman" w:cs="Calibri"/>
          <w:sz w:val="24"/>
        </w:rPr>
        <w:t>. Savukārt juristam, diplomātam, politiķim un dzejniekam Atim Ķeniņam (1874-1961), kas 1918.</w:t>
      </w:r>
      <w:r w:rsidR="00D32966" w:rsidRPr="00A07F29">
        <w:rPr>
          <w:rFonts w:ascii="Times New Roman" w:eastAsia="Calibri" w:hAnsi="Times New Roman" w:cs="Calibri"/>
          <w:sz w:val="24"/>
        </w:rPr>
        <w:t> </w:t>
      </w:r>
      <w:r w:rsidRPr="00A07F29">
        <w:rPr>
          <w:rFonts w:ascii="Times New Roman" w:eastAsia="Calibri" w:hAnsi="Times New Roman" w:cs="Calibri"/>
          <w:sz w:val="24"/>
        </w:rPr>
        <w:t>gada 18.</w:t>
      </w:r>
      <w:r w:rsidR="00D32966" w:rsidRPr="00A07F29">
        <w:rPr>
          <w:rFonts w:ascii="Times New Roman" w:eastAsia="Calibri" w:hAnsi="Times New Roman" w:cs="Calibri"/>
          <w:sz w:val="24"/>
        </w:rPr>
        <w:t> </w:t>
      </w:r>
      <w:r w:rsidRPr="00A07F29">
        <w:rPr>
          <w:rFonts w:ascii="Times New Roman" w:eastAsia="Calibri" w:hAnsi="Times New Roman" w:cs="Calibri"/>
          <w:sz w:val="24"/>
        </w:rPr>
        <w:t xml:space="preserve">novembrī piedalījies Latvijas valsts proklamēšanā un pirmās Latvijas Republikas laikā bijis jurists, izglītības un tieslietu ministrs, kā arī vēstnieks Polijā, piederējusi </w:t>
      </w:r>
      <w:proofErr w:type="spellStart"/>
      <w:r w:rsidRPr="00A07F29">
        <w:rPr>
          <w:rFonts w:ascii="Times New Roman" w:eastAsia="Calibri" w:hAnsi="Times New Roman" w:cs="Calibri"/>
          <w:sz w:val="24"/>
        </w:rPr>
        <w:t>Varnaviču</w:t>
      </w:r>
      <w:proofErr w:type="spellEnd"/>
      <w:r w:rsidRPr="00A07F29">
        <w:rPr>
          <w:rFonts w:ascii="Times New Roman" w:eastAsia="Calibri" w:hAnsi="Times New Roman" w:cs="Calibri"/>
          <w:sz w:val="24"/>
        </w:rPr>
        <w:t xml:space="preserve"> muiža. </w:t>
      </w:r>
      <w:proofErr w:type="spellStart"/>
      <w:r w:rsidRPr="00A07F29">
        <w:rPr>
          <w:rFonts w:ascii="Times New Roman" w:eastAsia="Calibri" w:hAnsi="Times New Roman" w:cs="Calibri"/>
          <w:sz w:val="24"/>
        </w:rPr>
        <w:t>Varnaviču</w:t>
      </w:r>
      <w:proofErr w:type="spellEnd"/>
      <w:r w:rsidRPr="00A07F29">
        <w:rPr>
          <w:rFonts w:ascii="Times New Roman" w:eastAsia="Calibri" w:hAnsi="Times New Roman" w:cs="Calibri"/>
          <w:sz w:val="24"/>
        </w:rPr>
        <w:t xml:space="preserve"> apkārtnes </w:t>
      </w:r>
      <w:proofErr w:type="spellStart"/>
      <w:r w:rsidRPr="00A07F29">
        <w:rPr>
          <w:rFonts w:ascii="Times New Roman" w:eastAsia="Calibri" w:hAnsi="Times New Roman" w:cs="Calibri"/>
          <w:sz w:val="24"/>
        </w:rPr>
        <w:t>Saveņkos</w:t>
      </w:r>
      <w:proofErr w:type="spellEnd"/>
      <w:r w:rsidRPr="00A07F29">
        <w:rPr>
          <w:rFonts w:ascii="Times New Roman" w:eastAsia="Calibri" w:hAnsi="Times New Roman" w:cs="Calibri"/>
          <w:sz w:val="24"/>
        </w:rPr>
        <w:t xml:space="preserve"> pie </w:t>
      </w:r>
      <w:proofErr w:type="spellStart"/>
      <w:r w:rsidRPr="00A07F29">
        <w:rPr>
          <w:rFonts w:ascii="Times New Roman" w:eastAsia="Calibri" w:hAnsi="Times New Roman" w:cs="Calibri"/>
          <w:sz w:val="24"/>
        </w:rPr>
        <w:t>Rožupoles</w:t>
      </w:r>
      <w:proofErr w:type="spellEnd"/>
      <w:r w:rsidRPr="00A07F29">
        <w:rPr>
          <w:rFonts w:ascii="Times New Roman" w:eastAsia="Calibri" w:hAnsi="Times New Roman" w:cs="Calibri"/>
          <w:sz w:val="24"/>
        </w:rPr>
        <w:t xml:space="preserve"> starp </w:t>
      </w:r>
      <w:proofErr w:type="spellStart"/>
      <w:r w:rsidRPr="00A07F29">
        <w:rPr>
          <w:rFonts w:ascii="Times New Roman" w:eastAsia="Calibri" w:hAnsi="Times New Roman" w:cs="Calibri"/>
          <w:sz w:val="24"/>
        </w:rPr>
        <w:t>Šilovkas</w:t>
      </w:r>
      <w:proofErr w:type="spellEnd"/>
      <w:r w:rsidRPr="00A07F29">
        <w:rPr>
          <w:rFonts w:ascii="Times New Roman" w:eastAsia="Calibri" w:hAnsi="Times New Roman" w:cs="Calibri"/>
          <w:sz w:val="24"/>
        </w:rPr>
        <w:t xml:space="preserve"> ezeru un Daugavu dzimis ērģelnieks un mūzikas pedagogs, 5.</w:t>
      </w:r>
      <w:r w:rsidR="004B66E8" w:rsidRPr="00A07F29">
        <w:rPr>
          <w:rFonts w:ascii="Times New Roman" w:eastAsia="Calibri" w:hAnsi="Times New Roman" w:cs="Calibri"/>
          <w:sz w:val="24"/>
        </w:rPr>
        <w:t> </w:t>
      </w:r>
      <w:r w:rsidRPr="00A07F29">
        <w:rPr>
          <w:rFonts w:ascii="Times New Roman" w:eastAsia="Calibri" w:hAnsi="Times New Roman" w:cs="Calibri"/>
          <w:sz w:val="24"/>
        </w:rPr>
        <w:t>-</w:t>
      </w:r>
      <w:r w:rsidR="004B66E8" w:rsidRPr="00A07F29">
        <w:rPr>
          <w:rFonts w:ascii="Times New Roman" w:eastAsia="Calibri" w:hAnsi="Times New Roman" w:cs="Calibri"/>
          <w:sz w:val="24"/>
        </w:rPr>
        <w:t> </w:t>
      </w:r>
      <w:r w:rsidRPr="00A07F29">
        <w:rPr>
          <w:rFonts w:ascii="Times New Roman" w:eastAsia="Calibri" w:hAnsi="Times New Roman" w:cs="Calibri"/>
          <w:sz w:val="24"/>
        </w:rPr>
        <w:t>8.</w:t>
      </w:r>
      <w:r w:rsidR="004B66E8" w:rsidRPr="00A07F29">
        <w:rPr>
          <w:rFonts w:ascii="Times New Roman" w:eastAsia="Calibri" w:hAnsi="Times New Roman" w:cs="Calibri"/>
          <w:sz w:val="24"/>
        </w:rPr>
        <w:t> </w:t>
      </w:r>
      <w:r w:rsidRPr="00A07F29">
        <w:rPr>
          <w:rFonts w:ascii="Times New Roman" w:eastAsia="Calibri" w:hAnsi="Times New Roman" w:cs="Calibri"/>
          <w:sz w:val="24"/>
        </w:rPr>
        <w:t xml:space="preserve">Vispārējo latviešu Dziesmu svētku virsdiriģents un Nacionālās Operas direktors Pēteris Pauls </w:t>
      </w:r>
      <w:proofErr w:type="spellStart"/>
      <w:r w:rsidRPr="00A07F29">
        <w:rPr>
          <w:rFonts w:ascii="Times New Roman" w:eastAsia="Calibri" w:hAnsi="Times New Roman" w:cs="Calibri"/>
          <w:sz w:val="24"/>
        </w:rPr>
        <w:t>Jozuus</w:t>
      </w:r>
      <w:proofErr w:type="spellEnd"/>
      <w:r w:rsidRPr="00A07F29">
        <w:rPr>
          <w:rFonts w:ascii="Times New Roman" w:eastAsia="Calibri" w:hAnsi="Times New Roman" w:cs="Calibri"/>
          <w:sz w:val="24"/>
        </w:rPr>
        <w:t xml:space="preserve"> (1873-1937). Krāslavā dzimis arī pazīstamais ģeogrāfs Juris Novoselovs (1873-1955).</w:t>
      </w:r>
    </w:p>
    <w:p w14:paraId="4F372065" w14:textId="77777777" w:rsidR="00C72B21" w:rsidRPr="00A07F29" w:rsidRDefault="00C72B21" w:rsidP="007E1EDD">
      <w:pPr>
        <w:spacing w:after="120"/>
        <w:jc w:val="center"/>
        <w:rPr>
          <w:rFonts w:ascii="Times New Roman" w:eastAsia="Calibri" w:hAnsi="Times New Roman" w:cs="Calibri"/>
          <w:sz w:val="24"/>
          <w:lang w:eastAsia="en-GB"/>
        </w:rPr>
      </w:pPr>
    </w:p>
    <w:p w14:paraId="600169F0" w14:textId="32EE7730" w:rsidR="00AF4C40" w:rsidRPr="00A07F29" w:rsidRDefault="00AF4C40" w:rsidP="00C72B21">
      <w:pPr>
        <w:pStyle w:val="Heading3"/>
        <w:spacing w:before="120" w:after="120" w:line="240" w:lineRule="auto"/>
        <w:jc w:val="center"/>
        <w:rPr>
          <w:b w:val="0"/>
          <w:lang w:eastAsia="ja-JP"/>
        </w:rPr>
      </w:pPr>
      <w:bookmarkStart w:id="12" w:name="_Toc183433973"/>
      <w:r w:rsidRPr="00A07F29">
        <w:rPr>
          <w:lang w:eastAsia="ja-JP"/>
        </w:rPr>
        <w:lastRenderedPageBreak/>
        <w:t>1.1.6. Valsts un pašvaldības institūciju funkcijas un atbildība aizsargājamā teritorijā</w:t>
      </w:r>
      <w:bookmarkEnd w:id="12"/>
    </w:p>
    <w:p w14:paraId="7F6465B5" w14:textId="67915FDD" w:rsidR="00AF4C40" w:rsidRPr="00A07F29" w:rsidRDefault="00AF4C40" w:rsidP="006F1237">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 AAA “Augšdaugava” pārvaldes un apsaimniekošanas kārtību nosaka likums </w:t>
      </w:r>
      <w:r w:rsidR="007847A2" w:rsidRPr="00A07F29">
        <w:rPr>
          <w:rFonts w:ascii="Times New Roman" w:eastAsia="Calibri" w:hAnsi="Times New Roman" w:cs="Calibri"/>
          <w:sz w:val="24"/>
        </w:rPr>
        <w:t>“</w:t>
      </w:r>
      <w:r w:rsidRPr="00A07F29">
        <w:rPr>
          <w:rFonts w:ascii="Times New Roman" w:eastAsia="Calibri" w:hAnsi="Times New Roman" w:cs="Calibri"/>
          <w:sz w:val="24"/>
        </w:rPr>
        <w:t>Par īpaši aizsargājamām dabas teritorijām</w:t>
      </w:r>
      <w:r w:rsidR="007847A2" w:rsidRPr="00A07F29">
        <w:rPr>
          <w:rFonts w:ascii="Times New Roman" w:eastAsia="Calibri" w:hAnsi="Times New Roman" w:cs="Calibri"/>
          <w:sz w:val="24"/>
        </w:rPr>
        <w:t>”</w:t>
      </w:r>
      <w:r w:rsidR="00BA5D7B" w:rsidRPr="00A07F29">
        <w:rPr>
          <w:rFonts w:ascii="Times New Roman" w:eastAsia="Calibri" w:hAnsi="Times New Roman" w:cs="Calibri"/>
          <w:sz w:val="24"/>
        </w:rPr>
        <w:t xml:space="preserve">, MK </w:t>
      </w:r>
      <w:r w:rsidR="00BD06C4" w:rsidRPr="00A07F29">
        <w:rPr>
          <w:rFonts w:ascii="Times New Roman" w:eastAsia="Calibri" w:hAnsi="Times New Roman" w:cs="Calibri"/>
          <w:sz w:val="24"/>
        </w:rPr>
        <w:t>2010.</w:t>
      </w:r>
      <w:r w:rsidR="00A75E20" w:rsidRPr="00A07F29">
        <w:rPr>
          <w:rFonts w:ascii="Times New Roman" w:eastAsia="Calibri" w:hAnsi="Times New Roman" w:cs="Calibri"/>
          <w:sz w:val="24"/>
        </w:rPr>
        <w:t> </w:t>
      </w:r>
      <w:r w:rsidR="00BD06C4" w:rsidRPr="00A07F29">
        <w:rPr>
          <w:rFonts w:ascii="Times New Roman" w:eastAsia="Calibri" w:hAnsi="Times New Roman" w:cs="Calibri"/>
          <w:sz w:val="24"/>
        </w:rPr>
        <w:t>gada 16.</w:t>
      </w:r>
      <w:r w:rsidR="00A75E20" w:rsidRPr="00A07F29">
        <w:rPr>
          <w:rFonts w:ascii="Times New Roman" w:eastAsia="Calibri" w:hAnsi="Times New Roman" w:cs="Calibri"/>
          <w:sz w:val="24"/>
        </w:rPr>
        <w:t> </w:t>
      </w:r>
      <w:r w:rsidR="00BD06C4" w:rsidRPr="00A07F29">
        <w:rPr>
          <w:rFonts w:ascii="Times New Roman" w:eastAsia="Calibri" w:hAnsi="Times New Roman" w:cs="Calibri"/>
          <w:sz w:val="24"/>
        </w:rPr>
        <w:t xml:space="preserve">marta </w:t>
      </w:r>
      <w:r w:rsidR="00BA5D7B" w:rsidRPr="00A07F29">
        <w:rPr>
          <w:rFonts w:ascii="Times New Roman" w:eastAsia="Calibri" w:hAnsi="Times New Roman" w:cs="Calibri"/>
          <w:sz w:val="24"/>
        </w:rPr>
        <w:t>noteikumi Nr.</w:t>
      </w:r>
      <w:r w:rsidR="00A75E20" w:rsidRPr="00A07F29">
        <w:rPr>
          <w:rFonts w:ascii="Times New Roman" w:eastAsia="Calibri" w:hAnsi="Times New Roman" w:cs="Calibri"/>
          <w:sz w:val="24"/>
        </w:rPr>
        <w:t> </w:t>
      </w:r>
      <w:r w:rsidR="00BA5D7B" w:rsidRPr="00A07F29">
        <w:rPr>
          <w:rFonts w:ascii="Times New Roman" w:eastAsia="Calibri" w:hAnsi="Times New Roman" w:cs="Calibri"/>
          <w:sz w:val="24"/>
        </w:rPr>
        <w:t>264 “Īpaši aizsargājamo dabas teritoriju vispārējie aizsardzības un izmantošanas noteikumi”</w:t>
      </w:r>
      <w:r w:rsidRPr="00A07F29">
        <w:rPr>
          <w:rFonts w:ascii="Times New Roman" w:eastAsia="Calibri" w:hAnsi="Times New Roman" w:cs="Calibri"/>
          <w:sz w:val="24"/>
        </w:rPr>
        <w:t xml:space="preserve"> un citi normatīvi</w:t>
      </w:r>
      <w:r w:rsidR="00F633AF" w:rsidRPr="00A07F29">
        <w:rPr>
          <w:rFonts w:ascii="Times New Roman" w:eastAsia="Calibri" w:hAnsi="Times New Roman" w:cs="Calibri"/>
          <w:sz w:val="24"/>
        </w:rPr>
        <w:t>e akti</w:t>
      </w:r>
      <w:r w:rsidRPr="00A07F29">
        <w:rPr>
          <w:rFonts w:ascii="Times New Roman" w:eastAsia="Calibri" w:hAnsi="Times New Roman" w:cs="Calibri"/>
          <w:sz w:val="24"/>
        </w:rPr>
        <w:t xml:space="preserve">. AAA </w:t>
      </w:r>
      <w:r w:rsidR="00CD3EA2" w:rsidRPr="00A07F29">
        <w:rPr>
          <w:rFonts w:ascii="Times New Roman" w:eastAsia="Calibri" w:hAnsi="Times New Roman" w:cs="Calibri"/>
          <w:sz w:val="24"/>
        </w:rPr>
        <w:t>“Augšdaugava”</w:t>
      </w:r>
      <w:r w:rsidR="00F633AF" w:rsidRPr="00A07F29">
        <w:rPr>
          <w:rFonts w:ascii="Times New Roman" w:eastAsia="Calibri" w:hAnsi="Times New Roman" w:cs="Calibri"/>
          <w:sz w:val="24"/>
        </w:rPr>
        <w:t xml:space="preserve"> esošo īpašumu</w:t>
      </w:r>
      <w:r w:rsidR="00CD3EA2" w:rsidRPr="00A07F29">
        <w:rPr>
          <w:rFonts w:ascii="Times New Roman" w:eastAsia="Calibri" w:hAnsi="Times New Roman" w:cs="Calibri"/>
          <w:sz w:val="24"/>
        </w:rPr>
        <w:t xml:space="preserve"> </w:t>
      </w:r>
      <w:r w:rsidRPr="00A07F29">
        <w:rPr>
          <w:rFonts w:ascii="Times New Roman" w:eastAsia="Calibri" w:hAnsi="Times New Roman" w:cs="Calibri"/>
          <w:sz w:val="24"/>
        </w:rPr>
        <w:t>apsaimniekošanu nodrošina zemes īpašnieks vai lietotājs.</w:t>
      </w:r>
    </w:p>
    <w:p w14:paraId="14E91600" w14:textId="6934B735" w:rsidR="00BA5D7B" w:rsidRPr="00A07F29" w:rsidRDefault="005E3B90" w:rsidP="006F1237">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Atbilstoši likuma “Par īpaši aizsargājamām dabas teritorijām” 26.</w:t>
      </w:r>
      <w:r w:rsidR="002A69C4" w:rsidRPr="00A07F29">
        <w:rPr>
          <w:rFonts w:ascii="Times New Roman" w:eastAsia="Calibri" w:hAnsi="Times New Roman" w:cs="Calibri"/>
          <w:sz w:val="24"/>
        </w:rPr>
        <w:t> </w:t>
      </w:r>
      <w:r w:rsidRPr="00A07F29">
        <w:rPr>
          <w:rFonts w:ascii="Times New Roman" w:eastAsia="Calibri" w:hAnsi="Times New Roman" w:cs="Calibri"/>
          <w:sz w:val="24"/>
        </w:rPr>
        <w:t>pantam vietējās pašvaldības var finansēt un veikt savā administratīvajā teritorijā esošo aizsargājamo teritoriju apsaimniekošanu. Nepieciešamo saimniecisko pasākumu veikšanai aizsargājamās teritorijās likumā noteiktajā kārtībā var izveidot biedrības un nodibinājumus. Biedrības, nodibinājumi un pašvaldības par plānotajiem apsaimniekošanas pasākumiem informē DAP.</w:t>
      </w:r>
    </w:p>
    <w:p w14:paraId="499EDC58" w14:textId="184A2FB5" w:rsidR="00AF4C40" w:rsidRPr="00A07F29" w:rsidRDefault="00AF4C40" w:rsidP="006F1237">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Likumā </w:t>
      </w:r>
      <w:r w:rsidR="00D32FDC" w:rsidRPr="00A07F29">
        <w:rPr>
          <w:rFonts w:ascii="Times New Roman" w:eastAsia="Calibri" w:hAnsi="Times New Roman" w:cs="Calibri"/>
          <w:sz w:val="24"/>
        </w:rPr>
        <w:t>“</w:t>
      </w:r>
      <w:r w:rsidRPr="00A07F29">
        <w:rPr>
          <w:rFonts w:ascii="Times New Roman" w:eastAsia="Calibri" w:hAnsi="Times New Roman" w:cs="Calibri"/>
          <w:sz w:val="24"/>
        </w:rPr>
        <w:t xml:space="preserve">Par pašvaldībām” noteiktajā kārtībā pašvaldībām ir pienākums izstrādāt pašvaldības teritorijas attīstības programmu un teritorijas plānojumu, nodrošināt teritorijas attīstības programmas realizāciju un teritorijas plānojuma administratīvo pārraudzību, kā arī pašvaldības funkcija ir noteikt zemes izmantošanas un apbūves kārtību atbilstoši pašvaldības teritorijas plānojumam. </w:t>
      </w:r>
    </w:p>
    <w:p w14:paraId="6E780517" w14:textId="723AE99E" w:rsidR="00AF4C40" w:rsidRPr="00A07F29" w:rsidRDefault="00AF4C40" w:rsidP="006F1237">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AAA “Augšdaugava” pārvaldi īsteno </w:t>
      </w:r>
      <w:r w:rsidR="007847A2" w:rsidRPr="00A07F29">
        <w:rPr>
          <w:rFonts w:ascii="Times New Roman" w:eastAsia="Calibri" w:hAnsi="Times New Roman" w:cs="Calibri"/>
          <w:sz w:val="24"/>
        </w:rPr>
        <w:t>VARAM</w:t>
      </w:r>
      <w:r w:rsidRPr="00A07F29">
        <w:rPr>
          <w:rFonts w:ascii="Times New Roman" w:eastAsia="Calibri" w:hAnsi="Times New Roman" w:cs="Calibri"/>
          <w:sz w:val="24"/>
        </w:rPr>
        <w:t xml:space="preserve"> pakļautībā esošā DAP, </w:t>
      </w:r>
      <w:r w:rsidR="007847A2" w:rsidRPr="00A07F29">
        <w:rPr>
          <w:rFonts w:ascii="Times New Roman" w:eastAsia="Calibri" w:hAnsi="Times New Roman" w:cs="Calibri"/>
          <w:sz w:val="24"/>
        </w:rPr>
        <w:t xml:space="preserve">kas </w:t>
      </w:r>
      <w:r w:rsidRPr="00A07F29">
        <w:rPr>
          <w:rFonts w:ascii="Times New Roman" w:eastAsia="Calibri" w:hAnsi="Times New Roman" w:cs="Calibri"/>
          <w:sz w:val="24"/>
        </w:rPr>
        <w:t xml:space="preserve">uzrauga arī DA plāna izstrādes gaitu un pēc DA plāna apstiprināšanas </w:t>
      </w:r>
      <w:r w:rsidR="00D766CF" w:rsidRPr="00A07F29">
        <w:rPr>
          <w:rFonts w:ascii="Times New Roman" w:eastAsia="Calibri" w:hAnsi="Times New Roman" w:cs="Calibri"/>
          <w:sz w:val="24"/>
        </w:rPr>
        <w:t xml:space="preserve">veicina </w:t>
      </w:r>
      <w:r w:rsidRPr="00A07F29">
        <w:rPr>
          <w:rFonts w:ascii="Times New Roman" w:eastAsia="Calibri" w:hAnsi="Times New Roman" w:cs="Calibri"/>
          <w:sz w:val="24"/>
        </w:rPr>
        <w:t xml:space="preserve">tā ieviešanu, kā arī organizē un koordinē ĪADT monitoringu. Sugu un biotopu aizsardzības likumā, likumā “Par īpaši aizsargājamām dabas teritorijām” un tiem pakārtotajos normatīvajos aktos ietverto nosacījumu ievērošanu kontrolē DAP. </w:t>
      </w:r>
      <w:r w:rsidR="00287595" w:rsidRPr="00A07F29">
        <w:rPr>
          <w:rFonts w:ascii="Times New Roman" w:eastAsia="Calibri" w:hAnsi="Times New Roman" w:cs="Calibri"/>
          <w:sz w:val="24"/>
        </w:rPr>
        <w:t>Kopš</w:t>
      </w:r>
      <w:r w:rsidRPr="00A07F29">
        <w:rPr>
          <w:rFonts w:ascii="Times New Roman" w:eastAsia="Calibri" w:hAnsi="Times New Roman" w:cs="Calibri"/>
          <w:sz w:val="24"/>
        </w:rPr>
        <w:t xml:space="preserve"> 2011. gada 1. </w:t>
      </w:r>
      <w:r w:rsidR="00287595" w:rsidRPr="00A07F29">
        <w:rPr>
          <w:rFonts w:ascii="Times New Roman" w:eastAsia="Calibri" w:hAnsi="Times New Roman" w:cs="Calibri"/>
          <w:sz w:val="24"/>
        </w:rPr>
        <w:t xml:space="preserve">februāra </w:t>
      </w:r>
      <w:r w:rsidR="007847A2" w:rsidRPr="00A07F29">
        <w:rPr>
          <w:rFonts w:ascii="Times New Roman" w:eastAsia="Calibri" w:hAnsi="Times New Roman" w:cs="Calibri"/>
          <w:sz w:val="24"/>
        </w:rPr>
        <w:t xml:space="preserve">AAA </w:t>
      </w:r>
      <w:r w:rsidRPr="00A07F29">
        <w:rPr>
          <w:rFonts w:ascii="Times New Roman" w:eastAsia="Calibri" w:hAnsi="Times New Roman" w:cs="Calibri"/>
          <w:sz w:val="24"/>
        </w:rPr>
        <w:t>“Augšdaugava” pārvaldi un dabas aizsardzības normatīvo aktu ievērošanas kontroli īsteno DAP.</w:t>
      </w:r>
    </w:p>
    <w:p w14:paraId="0D683D7E" w14:textId="69EA03A0" w:rsidR="00AF4C40" w:rsidRPr="00A07F29" w:rsidRDefault="00AF4C40" w:rsidP="006F1237">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Meža apsaimniekošanas un izmantošanas normatīvo aktu ievērošanu teritorijā kontrolē </w:t>
      </w:r>
      <w:r w:rsidR="007847A2" w:rsidRPr="00A07F29">
        <w:rPr>
          <w:rFonts w:ascii="Times New Roman" w:eastAsia="Calibri" w:hAnsi="Times New Roman" w:cs="Calibri"/>
          <w:sz w:val="24"/>
        </w:rPr>
        <w:t>VMD</w:t>
      </w:r>
      <w:r w:rsidRPr="00A07F29">
        <w:rPr>
          <w:rFonts w:ascii="Times New Roman" w:eastAsia="Calibri" w:hAnsi="Times New Roman" w:cs="Calibri"/>
          <w:sz w:val="24"/>
        </w:rPr>
        <w:t xml:space="preserve"> Dienvid</w:t>
      </w:r>
      <w:r w:rsidR="00332A4F" w:rsidRPr="00A07F29">
        <w:rPr>
          <w:rFonts w:ascii="Times New Roman" w:eastAsia="Calibri" w:hAnsi="Times New Roman" w:cs="Calibri"/>
          <w:sz w:val="24"/>
        </w:rPr>
        <w:t>u</w:t>
      </w:r>
      <w:r w:rsidRPr="00A07F29">
        <w:rPr>
          <w:rFonts w:ascii="Times New Roman" w:eastAsia="Calibri" w:hAnsi="Times New Roman" w:cs="Calibri"/>
          <w:sz w:val="24"/>
        </w:rPr>
        <w:t xml:space="preserve"> virsmežniecība.</w:t>
      </w:r>
    </w:p>
    <w:p w14:paraId="730BC13E" w14:textId="27A06451" w:rsidR="00AF4C40" w:rsidRPr="00A07F29" w:rsidRDefault="007847A2" w:rsidP="006F1237">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VVD</w:t>
      </w:r>
      <w:r w:rsidR="00AF4C40" w:rsidRPr="00A07F29">
        <w:rPr>
          <w:rFonts w:ascii="Times New Roman" w:eastAsia="Calibri" w:hAnsi="Times New Roman" w:cs="Calibri"/>
          <w:sz w:val="24"/>
        </w:rPr>
        <w:t xml:space="preserve"> </w:t>
      </w:r>
      <w:r w:rsidR="00DB442E" w:rsidRPr="00A07F29">
        <w:rPr>
          <w:rFonts w:ascii="Times New Roman" w:eastAsia="Calibri" w:hAnsi="Times New Roman" w:cs="Calibri"/>
          <w:sz w:val="24"/>
        </w:rPr>
        <w:t>Latgales</w:t>
      </w:r>
      <w:r w:rsidR="00AF4C40" w:rsidRPr="00A07F29">
        <w:rPr>
          <w:rFonts w:ascii="Times New Roman" w:eastAsia="Calibri" w:hAnsi="Times New Roman" w:cs="Calibri"/>
          <w:sz w:val="24"/>
        </w:rPr>
        <w:t xml:space="preserve"> reģionālā vides pārvalde </w:t>
      </w:r>
      <w:r w:rsidR="005E3B90" w:rsidRPr="00A07F29">
        <w:rPr>
          <w:rFonts w:ascii="Times New Roman" w:eastAsia="Calibri" w:hAnsi="Times New Roman" w:cs="Calibri"/>
          <w:sz w:val="24"/>
        </w:rPr>
        <w:t>kontrolē vides aizsardzības normatīvo aktu ievērošanu un izsniedz zemes dzīļu izmantošanas licences, atļaujas piesārņojošai darbībai un nosacījumus vides aizsardzības jomā attiecībā uz teritoriju plānojumiem un paredzētajām darbībām, kurām nav nepieciešams ietekmes uz vidi novērtējums.</w:t>
      </w:r>
    </w:p>
    <w:p w14:paraId="250169C0" w14:textId="6DC69096" w:rsidR="00AF4C40" w:rsidRPr="00A07F29" w:rsidRDefault="007847A2" w:rsidP="006F1237">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LAD</w:t>
      </w:r>
      <w:r w:rsidR="00AF4C40" w:rsidRPr="00A07F29">
        <w:rPr>
          <w:rFonts w:ascii="Times New Roman" w:eastAsia="Calibri" w:hAnsi="Times New Roman" w:cs="Calibri"/>
          <w:sz w:val="24"/>
        </w:rPr>
        <w:t xml:space="preserve"> </w:t>
      </w:r>
      <w:proofErr w:type="spellStart"/>
      <w:r w:rsidR="00AF4C40" w:rsidRPr="00A07F29">
        <w:rPr>
          <w:rFonts w:ascii="Times New Roman" w:eastAsia="Calibri" w:hAnsi="Times New Roman" w:cs="Calibri"/>
          <w:sz w:val="24"/>
        </w:rPr>
        <w:t>Dienvidlatgales</w:t>
      </w:r>
      <w:proofErr w:type="spellEnd"/>
      <w:r w:rsidR="00AF4C40" w:rsidRPr="00A07F29">
        <w:rPr>
          <w:rFonts w:ascii="Times New Roman" w:eastAsia="Calibri" w:hAnsi="Times New Roman" w:cs="Calibri"/>
          <w:sz w:val="24"/>
        </w:rPr>
        <w:t xml:space="preserve"> reģionālā lauksaimniecības pārvalde uzrauga normatīvo aktu ievērošanu lauksaimniecības nozarē un pilda ar lauksaimniecību un lauku atbalsta politikas īstenošanu saistītas funkcijas. </w:t>
      </w:r>
    </w:p>
    <w:p w14:paraId="4242B8E7" w14:textId="6F96B001" w:rsidR="00AF4C40" w:rsidRPr="00A07F29" w:rsidRDefault="00AF4C40" w:rsidP="006F1237">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N</w:t>
      </w:r>
      <w:r w:rsidR="003C5CA2">
        <w:rPr>
          <w:rFonts w:ascii="Times New Roman" w:eastAsia="Calibri" w:hAnsi="Times New Roman" w:cs="Calibri"/>
          <w:sz w:val="24"/>
        </w:rPr>
        <w:t>KMP</w:t>
      </w:r>
      <w:r w:rsidRPr="00A07F29">
        <w:rPr>
          <w:rFonts w:ascii="Times New Roman" w:eastAsia="Calibri" w:hAnsi="Times New Roman" w:cs="Calibri"/>
          <w:sz w:val="24"/>
        </w:rPr>
        <w:t xml:space="preserve"> īsteno valsts politiku un kontroli kultūras pieminekļu aizsardzībā, veic kultūras mantojuma apzināšanu, izpēti un pieminekļu uzskaiti, ar pārvaldi jāsaskaņo visas saimnieciskās darbības, kas plānotas kultūras pieminekļu teritorijās un to aizsardzības zonās.</w:t>
      </w:r>
    </w:p>
    <w:p w14:paraId="14BC3AB5" w14:textId="1D7BF7CC" w:rsidR="00AF4C40" w:rsidRPr="00A07F29" w:rsidRDefault="00AF4C40" w:rsidP="006F1237">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Valsts mežus </w:t>
      </w:r>
      <w:r w:rsidR="007847A2" w:rsidRPr="00A07F29">
        <w:rPr>
          <w:rFonts w:ascii="Times New Roman" w:eastAsia="Calibri" w:hAnsi="Times New Roman" w:cs="Calibri"/>
          <w:sz w:val="24"/>
        </w:rPr>
        <w:t>AAA</w:t>
      </w:r>
      <w:r w:rsidRPr="00A07F29">
        <w:rPr>
          <w:rFonts w:ascii="Times New Roman" w:eastAsia="Calibri" w:hAnsi="Times New Roman" w:cs="Calibri"/>
          <w:sz w:val="24"/>
        </w:rPr>
        <w:t xml:space="preserve"> teritorijā apsaimnieko valsts akciju sabiedrības LVM </w:t>
      </w:r>
      <w:proofErr w:type="spellStart"/>
      <w:r w:rsidRPr="00A07F29">
        <w:rPr>
          <w:rFonts w:ascii="Times New Roman" w:eastAsia="Calibri" w:hAnsi="Times New Roman" w:cs="Calibri"/>
          <w:sz w:val="24"/>
        </w:rPr>
        <w:t>Dienvidlatgales</w:t>
      </w:r>
      <w:proofErr w:type="spellEnd"/>
      <w:r w:rsidRPr="00A07F29">
        <w:rPr>
          <w:rFonts w:ascii="Times New Roman" w:eastAsia="Calibri" w:hAnsi="Times New Roman" w:cs="Calibri"/>
          <w:sz w:val="24"/>
        </w:rPr>
        <w:t xml:space="preserve"> </w:t>
      </w:r>
      <w:r w:rsidR="006C73E7" w:rsidRPr="00A07F29">
        <w:rPr>
          <w:rFonts w:ascii="Times New Roman" w:eastAsia="Calibri" w:hAnsi="Times New Roman" w:cs="Calibri"/>
          <w:sz w:val="24"/>
        </w:rPr>
        <w:t>reģions</w:t>
      </w:r>
      <w:r w:rsidRPr="00A07F29">
        <w:rPr>
          <w:rFonts w:ascii="Times New Roman" w:eastAsia="Calibri" w:hAnsi="Times New Roman" w:cs="Calibri"/>
          <w:sz w:val="24"/>
        </w:rPr>
        <w:t>.</w:t>
      </w:r>
    </w:p>
    <w:p w14:paraId="37DE12F2" w14:textId="77777777" w:rsidR="009467CE" w:rsidRPr="00A07F29" w:rsidRDefault="009467CE" w:rsidP="00AF4C40">
      <w:pPr>
        <w:spacing w:after="120"/>
        <w:ind w:firstLine="851"/>
        <w:jc w:val="both"/>
        <w:rPr>
          <w:rFonts w:ascii="Times New Roman" w:eastAsia="Calibri" w:hAnsi="Times New Roman" w:cs="Calibri"/>
          <w:sz w:val="24"/>
        </w:rPr>
      </w:pPr>
    </w:p>
    <w:p w14:paraId="1424DB7E" w14:textId="7D74AF3D" w:rsidR="00AF4C40" w:rsidRPr="00A07F29" w:rsidRDefault="00BB279E" w:rsidP="009467CE">
      <w:pPr>
        <w:pStyle w:val="Heading3"/>
        <w:spacing w:before="120" w:after="120" w:line="240" w:lineRule="auto"/>
        <w:jc w:val="center"/>
        <w:rPr>
          <w:b w:val="0"/>
          <w:lang w:eastAsia="ja-JP"/>
        </w:rPr>
      </w:pPr>
      <w:bookmarkStart w:id="13" w:name="_Toc183433974"/>
      <w:r w:rsidRPr="00A07F29">
        <w:rPr>
          <w:lang w:eastAsia="ja-JP"/>
        </w:rPr>
        <w:t>1.1.</w:t>
      </w:r>
      <w:r w:rsidR="009467CE" w:rsidRPr="00A07F29">
        <w:rPr>
          <w:lang w:eastAsia="ja-JP"/>
        </w:rPr>
        <w:t>7</w:t>
      </w:r>
      <w:r w:rsidRPr="00A07F29">
        <w:rPr>
          <w:lang w:eastAsia="ja-JP"/>
        </w:rPr>
        <w:t xml:space="preserve">. </w:t>
      </w:r>
      <w:r w:rsidR="00AF4C40" w:rsidRPr="00A07F29">
        <w:rPr>
          <w:lang w:eastAsia="ja-JP"/>
        </w:rPr>
        <w:t xml:space="preserve">Normatīvo aktu normas, kas saistošas </w:t>
      </w:r>
      <w:r w:rsidR="006926F8" w:rsidRPr="00A07F29">
        <w:rPr>
          <w:lang w:eastAsia="ja-JP"/>
        </w:rPr>
        <w:t>AAA</w:t>
      </w:r>
      <w:r w:rsidR="00AF4C40" w:rsidRPr="00A07F29">
        <w:rPr>
          <w:lang w:eastAsia="ja-JP"/>
        </w:rPr>
        <w:t xml:space="preserve"> </w:t>
      </w:r>
      <w:r w:rsidR="00CE0A26" w:rsidRPr="00A07F29">
        <w:rPr>
          <w:lang w:eastAsia="ja-JP"/>
        </w:rPr>
        <w:t>“</w:t>
      </w:r>
      <w:r w:rsidR="00AF4C40" w:rsidRPr="00A07F29">
        <w:rPr>
          <w:lang w:eastAsia="ja-JP"/>
        </w:rPr>
        <w:t>Augšdaugava”</w:t>
      </w:r>
      <w:bookmarkEnd w:id="13"/>
    </w:p>
    <w:p w14:paraId="38CAC6EE" w14:textId="634487F2" w:rsidR="00AF4C40" w:rsidRPr="00A07F29" w:rsidRDefault="008B43F2" w:rsidP="006F1237">
      <w:pPr>
        <w:keepNext/>
        <w:spacing w:after="120" w:line="240" w:lineRule="auto"/>
        <w:jc w:val="both"/>
        <w:rPr>
          <w:rFonts w:ascii="Times New Roman" w:eastAsia="Calibri" w:hAnsi="Times New Roman" w:cs="Calibri"/>
          <w:b/>
          <w:i/>
          <w:sz w:val="24"/>
        </w:rPr>
      </w:pPr>
      <w:r w:rsidRPr="00A07F29">
        <w:rPr>
          <w:rFonts w:ascii="Times New Roman" w:eastAsia="Calibri" w:hAnsi="Times New Roman" w:cs="Calibri"/>
          <w:b/>
          <w:i/>
          <w:sz w:val="24"/>
        </w:rPr>
        <w:t>LR normatīvi</w:t>
      </w:r>
      <w:r w:rsidR="006B1B98" w:rsidRPr="00A07F29">
        <w:rPr>
          <w:rFonts w:ascii="Times New Roman" w:eastAsia="Calibri" w:hAnsi="Times New Roman" w:cs="Calibri"/>
          <w:b/>
          <w:i/>
          <w:sz w:val="24"/>
        </w:rPr>
        <w:t>e akti</w:t>
      </w:r>
    </w:p>
    <w:p w14:paraId="563E603E" w14:textId="69E6FEE4" w:rsidR="00AF4C40" w:rsidRPr="00A07F29" w:rsidRDefault="00AF4C40" w:rsidP="00935EDF">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b/>
          <w:sz w:val="24"/>
        </w:rPr>
        <w:t>Vides aizsardzības likums</w:t>
      </w:r>
      <w:r w:rsidRPr="00A07F29">
        <w:rPr>
          <w:rFonts w:ascii="Times New Roman" w:eastAsia="Calibri" w:hAnsi="Times New Roman" w:cs="Calibri"/>
          <w:sz w:val="24"/>
        </w:rPr>
        <w:t xml:space="preserve"> nosaka resursu ilgtspējīgu izmantošanu, valsts pārvaldes institūciju un pašvaldību institūciju kompetenci vides aizsardzībā un dabas resursu izmantošanā</w:t>
      </w:r>
      <w:r w:rsidRPr="00D23C1E">
        <w:rPr>
          <w:rFonts w:ascii="Times New Roman" w:eastAsia="Calibri" w:hAnsi="Times New Roman" w:cs="Calibri"/>
          <w:sz w:val="24"/>
        </w:rPr>
        <w:t>, L</w:t>
      </w:r>
      <w:r w:rsidR="00D23C1E" w:rsidRPr="00D23C1E">
        <w:rPr>
          <w:rFonts w:ascii="Times New Roman" w:eastAsia="Calibri" w:hAnsi="Times New Roman" w:cs="Calibri"/>
          <w:sz w:val="24"/>
        </w:rPr>
        <w:t>R</w:t>
      </w:r>
      <w:r w:rsidRPr="00A07F29">
        <w:rPr>
          <w:rFonts w:ascii="Times New Roman" w:eastAsia="Calibri" w:hAnsi="Times New Roman" w:cs="Calibri"/>
          <w:sz w:val="24"/>
        </w:rPr>
        <w:t xml:space="preserve"> iedzīvotāju tiesības uz kvalitatīvu dzīves vidi</w:t>
      </w:r>
      <w:r w:rsidRPr="00D23C1E">
        <w:rPr>
          <w:rFonts w:ascii="Times New Roman" w:eastAsia="Calibri" w:hAnsi="Times New Roman" w:cs="Calibri"/>
          <w:sz w:val="24"/>
        </w:rPr>
        <w:t>, L</w:t>
      </w:r>
      <w:r w:rsidR="00D23C1E" w:rsidRPr="00D23C1E">
        <w:rPr>
          <w:rFonts w:ascii="Times New Roman" w:eastAsia="Calibri" w:hAnsi="Times New Roman" w:cs="Calibri"/>
          <w:sz w:val="24"/>
        </w:rPr>
        <w:t>R</w:t>
      </w:r>
      <w:r w:rsidRPr="00A07F29">
        <w:rPr>
          <w:rFonts w:ascii="Times New Roman" w:eastAsia="Calibri" w:hAnsi="Times New Roman" w:cs="Calibri"/>
          <w:sz w:val="24"/>
        </w:rPr>
        <w:t xml:space="preserve"> iedzīvotāju pienākumus vides aizsardzībā un dabas resursu izmantošanā, sabiedrības tiesības saņemt vides informāciju un piedalīties ar vides aizsardzību saistītu lēmumu pieņemšanā. Vides aizsardzības likums nosaka </w:t>
      </w:r>
      <w:r w:rsidRPr="00A07F29">
        <w:rPr>
          <w:rFonts w:ascii="Times New Roman" w:eastAsia="Calibri" w:hAnsi="Times New Roman" w:cs="Calibri"/>
          <w:sz w:val="24"/>
          <w:u w:val="single"/>
        </w:rPr>
        <w:t>valsts kontroli vides jomā</w:t>
      </w:r>
      <w:r w:rsidRPr="00A07F29">
        <w:rPr>
          <w:rFonts w:ascii="Times New Roman" w:eastAsia="Calibri" w:hAnsi="Times New Roman" w:cs="Calibri"/>
          <w:sz w:val="24"/>
        </w:rPr>
        <w:t xml:space="preserve">, atbildību par nodarīto kaitējumu, kas nodarīts </w:t>
      </w:r>
      <w:r w:rsidR="007847A2" w:rsidRPr="00A07F29">
        <w:rPr>
          <w:rFonts w:ascii="Times New Roman" w:eastAsia="Calibri" w:hAnsi="Times New Roman" w:cs="Calibri"/>
          <w:sz w:val="24"/>
        </w:rPr>
        <w:t>ĪADT</w:t>
      </w:r>
      <w:r w:rsidRPr="00A07F29">
        <w:rPr>
          <w:rFonts w:ascii="Times New Roman" w:eastAsia="Calibri" w:hAnsi="Times New Roman" w:cs="Calibri"/>
          <w:sz w:val="24"/>
        </w:rPr>
        <w:t xml:space="preserve">, mikroliegumiem, aizsargājamām sugām un biotopiem, ūdeņiem, augsnei un zemes dzīlēm. </w:t>
      </w:r>
      <w:r w:rsidRPr="00A07F29">
        <w:rPr>
          <w:rFonts w:ascii="Times New Roman" w:eastAsia="Calibri" w:hAnsi="Times New Roman" w:cs="Calibri"/>
          <w:sz w:val="24"/>
        </w:rPr>
        <w:lastRenderedPageBreak/>
        <w:t xml:space="preserve">Tāpat likums nosaka, ka </w:t>
      </w:r>
      <w:r w:rsidR="007847A2" w:rsidRPr="00A07F29">
        <w:rPr>
          <w:rFonts w:ascii="Times New Roman" w:eastAsia="Calibri" w:hAnsi="Times New Roman" w:cs="Calibri"/>
          <w:sz w:val="24"/>
        </w:rPr>
        <w:t>v</w:t>
      </w:r>
      <w:r w:rsidRPr="00A07F29">
        <w:rPr>
          <w:rFonts w:ascii="Times New Roman" w:eastAsia="Calibri" w:hAnsi="Times New Roman" w:cs="Calibri"/>
          <w:sz w:val="24"/>
        </w:rPr>
        <w:t xml:space="preserve">ides valsts kontroli (tajā skaitā valsts nozīmes </w:t>
      </w:r>
      <w:r w:rsidR="007847A2" w:rsidRPr="00A07F29">
        <w:rPr>
          <w:rFonts w:ascii="Times New Roman" w:eastAsia="Calibri" w:hAnsi="Times New Roman" w:cs="Calibri"/>
          <w:sz w:val="24"/>
        </w:rPr>
        <w:t>ĪADT</w:t>
      </w:r>
      <w:r w:rsidRPr="00A07F29">
        <w:rPr>
          <w:rFonts w:ascii="Times New Roman" w:eastAsia="Calibri" w:hAnsi="Times New Roman" w:cs="Calibri"/>
          <w:sz w:val="24"/>
        </w:rPr>
        <w:t xml:space="preserve">, </w:t>
      </w:r>
      <w:r w:rsidRPr="00D23C1E">
        <w:rPr>
          <w:rFonts w:ascii="Times New Roman" w:eastAsia="Calibri" w:hAnsi="Times New Roman" w:cs="Calibri"/>
          <w:sz w:val="24"/>
        </w:rPr>
        <w:t>īpaši aizsargājamo</w:t>
      </w:r>
      <w:r w:rsidRPr="00A07F29">
        <w:rPr>
          <w:rFonts w:ascii="Times New Roman" w:eastAsia="Calibri" w:hAnsi="Times New Roman" w:cs="Calibri"/>
          <w:sz w:val="24"/>
        </w:rPr>
        <w:t xml:space="preserve"> sugu un biotopu, mikroliegumu apsaimniekošanu un aizsardzību, kā arī paredzēto darbību veikšanas nosacījumu vai tehnisko noteikumu ievērošana atbilstoši normatīvajiem aktiem, kas reglamentē ietekmes uz vidi novērtējumu) veic </w:t>
      </w:r>
      <w:r w:rsidR="007847A2" w:rsidRPr="00A07F29">
        <w:rPr>
          <w:rFonts w:ascii="Times New Roman" w:eastAsia="Calibri" w:hAnsi="Times New Roman" w:cs="Calibri"/>
          <w:sz w:val="24"/>
        </w:rPr>
        <w:t>VVD</w:t>
      </w:r>
      <w:r w:rsidRPr="00A07F29">
        <w:rPr>
          <w:rFonts w:ascii="Times New Roman" w:eastAsia="Calibri" w:hAnsi="Times New Roman" w:cs="Calibri"/>
          <w:sz w:val="24"/>
        </w:rPr>
        <w:t xml:space="preserve"> un </w:t>
      </w:r>
      <w:r w:rsidR="007847A2" w:rsidRPr="00A07F29">
        <w:rPr>
          <w:rFonts w:ascii="Times New Roman" w:eastAsia="Calibri" w:hAnsi="Times New Roman" w:cs="Calibri"/>
          <w:sz w:val="24"/>
        </w:rPr>
        <w:t>DAP</w:t>
      </w:r>
      <w:r w:rsidRPr="00A07F29">
        <w:rPr>
          <w:rFonts w:ascii="Times New Roman" w:eastAsia="Calibri" w:hAnsi="Times New Roman" w:cs="Calibri"/>
          <w:sz w:val="24"/>
        </w:rPr>
        <w:t xml:space="preserve"> </w:t>
      </w:r>
      <w:r w:rsidRPr="00A07F29">
        <w:rPr>
          <w:rFonts w:ascii="Times New Roman" w:eastAsia="Calibri" w:hAnsi="Times New Roman" w:cs="Calibri"/>
          <w:sz w:val="24"/>
          <w:u w:val="single"/>
        </w:rPr>
        <w:t>valsts vides inspektori</w:t>
      </w:r>
      <w:r w:rsidRPr="00A07F29">
        <w:rPr>
          <w:rFonts w:ascii="Times New Roman" w:eastAsia="Calibri" w:hAnsi="Times New Roman" w:cs="Calibri"/>
          <w:sz w:val="24"/>
        </w:rPr>
        <w:t xml:space="preserve">. </w:t>
      </w:r>
    </w:p>
    <w:p w14:paraId="31FF04D0" w14:textId="72361892" w:rsidR="00AF4C40" w:rsidRPr="00A07F29" w:rsidRDefault="007847A2" w:rsidP="00935EDF">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MK</w:t>
      </w:r>
      <w:r w:rsidR="00AF4C40" w:rsidRPr="00A07F29">
        <w:rPr>
          <w:rFonts w:ascii="Times New Roman" w:eastAsia="Calibri" w:hAnsi="Times New Roman" w:cs="Calibri"/>
          <w:sz w:val="24"/>
        </w:rPr>
        <w:t xml:space="preserve"> </w:t>
      </w:r>
      <w:r w:rsidR="00F378DB" w:rsidRPr="00A07F29">
        <w:rPr>
          <w:rFonts w:ascii="Times New Roman" w:eastAsia="Calibri" w:hAnsi="Times New Roman" w:cs="Calibri"/>
          <w:sz w:val="24"/>
        </w:rPr>
        <w:t>2007.</w:t>
      </w:r>
      <w:r w:rsidR="00D44838" w:rsidRPr="00A07F29">
        <w:rPr>
          <w:rFonts w:ascii="Times New Roman" w:eastAsia="Calibri" w:hAnsi="Times New Roman" w:cs="Calibri"/>
          <w:sz w:val="24"/>
        </w:rPr>
        <w:t> </w:t>
      </w:r>
      <w:r w:rsidR="00F378DB" w:rsidRPr="00A07F29">
        <w:rPr>
          <w:rFonts w:ascii="Times New Roman" w:eastAsia="Calibri" w:hAnsi="Times New Roman" w:cs="Calibri"/>
          <w:sz w:val="24"/>
        </w:rPr>
        <w:t>gada 24.</w:t>
      </w:r>
      <w:r w:rsidR="00D44838" w:rsidRPr="00A07F29">
        <w:rPr>
          <w:rFonts w:ascii="Times New Roman" w:eastAsia="Calibri" w:hAnsi="Times New Roman" w:cs="Calibri"/>
          <w:sz w:val="24"/>
        </w:rPr>
        <w:t> </w:t>
      </w:r>
      <w:r w:rsidR="00F378DB" w:rsidRPr="00A07F29">
        <w:rPr>
          <w:rFonts w:ascii="Times New Roman" w:eastAsia="Calibri" w:hAnsi="Times New Roman" w:cs="Calibri"/>
          <w:sz w:val="24"/>
        </w:rPr>
        <w:t xml:space="preserve">aprīļa </w:t>
      </w:r>
      <w:r w:rsidR="00AF4C40" w:rsidRPr="00A07F29">
        <w:rPr>
          <w:rFonts w:ascii="Times New Roman" w:eastAsia="Calibri" w:hAnsi="Times New Roman" w:cs="Calibri"/>
          <w:sz w:val="24"/>
        </w:rPr>
        <w:t xml:space="preserve">noteikumi Nr. 281 </w:t>
      </w:r>
      <w:r w:rsidR="00D44838" w:rsidRPr="00A07F29">
        <w:rPr>
          <w:rFonts w:ascii="Times New Roman" w:eastAsia="Calibri" w:hAnsi="Times New Roman" w:cs="Calibri"/>
          <w:b/>
          <w:sz w:val="24"/>
        </w:rPr>
        <w:t>“</w:t>
      </w:r>
      <w:r w:rsidR="00AF4C40" w:rsidRPr="00A07F29">
        <w:rPr>
          <w:rFonts w:ascii="Times New Roman" w:eastAsia="Calibri" w:hAnsi="Times New Roman" w:cs="Calibri"/>
          <w:b/>
          <w:sz w:val="24"/>
        </w:rPr>
        <w:t>Noteikumi par preventīvajiem un sanācijas pasākumiem un kārtību, kādā novērtējams kaitējums videi un aprēķināmas preventīvo, neatliekamo un sanācijas pasākumu izmaksas”</w:t>
      </w:r>
      <w:r w:rsidR="00AF4C40" w:rsidRPr="00A07F29">
        <w:rPr>
          <w:rFonts w:ascii="Times New Roman" w:eastAsia="Calibri" w:hAnsi="Times New Roman" w:cs="Calibri"/>
          <w:sz w:val="24"/>
        </w:rPr>
        <w:t xml:space="preserve"> nosaka zaudējumu atlīdzināšanas kārtību, atlīdzības lielumu un sugu sarakstu, par kuru iznīcināšanu jāatlīdzina zaudējumi. Ja AAA teritorijā tiktu nodarīti kādi būtiski kaitējumi videi (piemēram, iznīcināta vai bojāta īpaši aizsargājamas augu sugas atradne), tiktu piemērotas šajos noteikumos iekļautās prasības. Atbilstoši noteikumu 12.1. apakšpunktam novērtē kaitējumu </w:t>
      </w:r>
      <w:r w:rsidRPr="00A07F29">
        <w:rPr>
          <w:rFonts w:ascii="Times New Roman" w:eastAsia="Calibri" w:hAnsi="Times New Roman" w:cs="Calibri"/>
          <w:sz w:val="24"/>
        </w:rPr>
        <w:t>ĪADT</w:t>
      </w:r>
      <w:r w:rsidR="00AF4C40" w:rsidRPr="00A07F29">
        <w:rPr>
          <w:rFonts w:ascii="Times New Roman" w:eastAsia="Calibri" w:hAnsi="Times New Roman" w:cs="Calibri"/>
          <w:sz w:val="24"/>
        </w:rPr>
        <w:t xml:space="preserve">, mikroliegumiem, </w:t>
      </w:r>
      <w:r w:rsidR="00AF4C40" w:rsidRPr="00D23C1E">
        <w:rPr>
          <w:rFonts w:ascii="Times New Roman" w:eastAsia="Calibri" w:hAnsi="Times New Roman" w:cs="Calibri"/>
          <w:sz w:val="24"/>
        </w:rPr>
        <w:t>kaitējumu īpaši aizsargājamām</w:t>
      </w:r>
      <w:r w:rsidR="00AF4C40" w:rsidRPr="00A07F29">
        <w:rPr>
          <w:rFonts w:ascii="Times New Roman" w:eastAsia="Calibri" w:hAnsi="Times New Roman" w:cs="Calibri"/>
          <w:sz w:val="24"/>
        </w:rPr>
        <w:t xml:space="preserve"> sugām vai biotopiem. </w:t>
      </w:r>
    </w:p>
    <w:p w14:paraId="1F6874AF" w14:textId="5733ED8B" w:rsidR="00AF4C40" w:rsidRPr="00A07F29" w:rsidRDefault="007847A2" w:rsidP="00935EDF">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MK</w:t>
      </w:r>
      <w:r w:rsidR="00AF4C40" w:rsidRPr="00A07F29">
        <w:rPr>
          <w:rFonts w:ascii="Times New Roman" w:eastAsia="Calibri" w:hAnsi="Times New Roman" w:cs="Calibri"/>
          <w:sz w:val="24"/>
        </w:rPr>
        <w:t xml:space="preserve"> </w:t>
      </w:r>
      <w:r w:rsidR="00F378DB" w:rsidRPr="00A07F29">
        <w:rPr>
          <w:rFonts w:ascii="Times New Roman" w:eastAsia="Calibri" w:hAnsi="Times New Roman" w:cs="Calibri"/>
          <w:sz w:val="24"/>
        </w:rPr>
        <w:t>2007.</w:t>
      </w:r>
      <w:r w:rsidR="00654869" w:rsidRPr="00A07F29">
        <w:rPr>
          <w:rFonts w:ascii="Times New Roman" w:eastAsia="Calibri" w:hAnsi="Times New Roman" w:cs="Calibri"/>
          <w:sz w:val="24"/>
        </w:rPr>
        <w:t> </w:t>
      </w:r>
      <w:r w:rsidR="00F378DB" w:rsidRPr="00A07F29">
        <w:rPr>
          <w:rFonts w:ascii="Times New Roman" w:eastAsia="Calibri" w:hAnsi="Times New Roman" w:cs="Calibri"/>
          <w:sz w:val="24"/>
        </w:rPr>
        <w:t>gada 27.</w:t>
      </w:r>
      <w:r w:rsidR="00654869" w:rsidRPr="00A07F29">
        <w:rPr>
          <w:rFonts w:ascii="Times New Roman" w:eastAsia="Calibri" w:hAnsi="Times New Roman" w:cs="Calibri"/>
          <w:sz w:val="24"/>
        </w:rPr>
        <w:t> </w:t>
      </w:r>
      <w:r w:rsidR="00F378DB" w:rsidRPr="00A07F29">
        <w:rPr>
          <w:rFonts w:ascii="Times New Roman" w:eastAsia="Calibri" w:hAnsi="Times New Roman" w:cs="Calibri"/>
          <w:sz w:val="24"/>
        </w:rPr>
        <w:t xml:space="preserve">marta </w:t>
      </w:r>
      <w:r w:rsidR="00AF4C40" w:rsidRPr="00A07F29">
        <w:rPr>
          <w:rFonts w:ascii="Times New Roman" w:eastAsia="Calibri" w:hAnsi="Times New Roman" w:cs="Calibri"/>
          <w:sz w:val="24"/>
        </w:rPr>
        <w:t xml:space="preserve">noteikumi Nr. 213 </w:t>
      </w:r>
      <w:r w:rsidR="00654869" w:rsidRPr="00A07F29">
        <w:rPr>
          <w:rFonts w:ascii="Times New Roman" w:eastAsia="Calibri" w:hAnsi="Times New Roman" w:cs="Calibri"/>
          <w:b/>
          <w:sz w:val="24"/>
        </w:rPr>
        <w:t>“</w:t>
      </w:r>
      <w:r w:rsidR="00AF4C40" w:rsidRPr="00A07F29">
        <w:rPr>
          <w:rFonts w:ascii="Times New Roman" w:eastAsia="Calibri" w:hAnsi="Times New Roman" w:cs="Calibri"/>
          <w:b/>
          <w:sz w:val="24"/>
        </w:rPr>
        <w:t>Noteikumi par kritērijiem, kurus izmanto, novērtējot īpaši aizsargājamām</w:t>
      </w:r>
      <w:r w:rsidR="00AF4C40" w:rsidRPr="00A07F29">
        <w:rPr>
          <w:rFonts w:ascii="Times New Roman" w:eastAsia="Calibri" w:hAnsi="Times New Roman" w:cs="Calibri"/>
          <w:sz w:val="24"/>
        </w:rPr>
        <w:t xml:space="preserve"> </w:t>
      </w:r>
      <w:r w:rsidR="00AF4C40" w:rsidRPr="00A07F29">
        <w:rPr>
          <w:rFonts w:ascii="Times New Roman" w:eastAsia="Calibri" w:hAnsi="Times New Roman" w:cs="Calibri"/>
          <w:b/>
          <w:sz w:val="24"/>
        </w:rPr>
        <w:t>sugām vai īpaši aizsargājamiem biotopiem nodarītā kaitējuma ietekmes būtiskumu”</w:t>
      </w:r>
      <w:r w:rsidR="00AF4C40" w:rsidRPr="00A07F29">
        <w:rPr>
          <w:rFonts w:ascii="Times New Roman" w:eastAsia="Calibri" w:hAnsi="Times New Roman" w:cs="Calibri"/>
          <w:sz w:val="24"/>
        </w:rPr>
        <w:t xml:space="preserve"> nosaka kritērijus, kurus izmanto, novērtējot </w:t>
      </w:r>
      <w:r w:rsidR="00AF4C40" w:rsidRPr="00D23C1E">
        <w:rPr>
          <w:rFonts w:ascii="Times New Roman" w:eastAsia="Calibri" w:hAnsi="Times New Roman" w:cs="Calibri"/>
          <w:sz w:val="24"/>
        </w:rPr>
        <w:t>īpaši aizsargājamām sugām vai īpaši aizsargājamiem</w:t>
      </w:r>
      <w:r w:rsidR="00AF4C40" w:rsidRPr="00A07F29">
        <w:rPr>
          <w:rFonts w:ascii="Times New Roman" w:eastAsia="Calibri" w:hAnsi="Times New Roman" w:cs="Calibri"/>
          <w:sz w:val="24"/>
        </w:rPr>
        <w:t xml:space="preserve"> biotopiem nodarītā kaitējuma ietekmes būtiskumu salīdzinājumā ar </w:t>
      </w:r>
      <w:proofErr w:type="spellStart"/>
      <w:r w:rsidR="00AF4C40" w:rsidRPr="00A07F29">
        <w:rPr>
          <w:rFonts w:ascii="Times New Roman" w:eastAsia="Calibri" w:hAnsi="Times New Roman" w:cs="Calibri"/>
          <w:sz w:val="24"/>
        </w:rPr>
        <w:t>pamatstāvokli</w:t>
      </w:r>
      <w:proofErr w:type="spellEnd"/>
      <w:r w:rsidR="00AF4C40" w:rsidRPr="00A07F29">
        <w:rPr>
          <w:rFonts w:ascii="Times New Roman" w:eastAsia="Calibri" w:hAnsi="Times New Roman" w:cs="Calibri"/>
          <w:sz w:val="24"/>
        </w:rPr>
        <w:t>. Viens no kritērijiem, kurš tiek piemērots ietekmes būtiskuma novērtēšanā, ir kaitējuma skarto atsevišķo sugas indivīdu nozīme attiecīgās sugas (arī biotopa) saglabāšanā un dabiskā izplatībā, sugas jutību un sastopamības biežumu (to novērtē vietējās pašvaldības, valsts,</w:t>
      </w:r>
      <w:r w:rsidRPr="00A07F29">
        <w:rPr>
          <w:rFonts w:ascii="Times New Roman" w:eastAsia="Calibri" w:hAnsi="Times New Roman" w:cs="Calibri"/>
          <w:sz w:val="24"/>
        </w:rPr>
        <w:t xml:space="preserve"> E</w:t>
      </w:r>
      <w:r w:rsidR="00AF4C40" w:rsidRPr="00A07F29">
        <w:rPr>
          <w:rFonts w:ascii="Times New Roman" w:eastAsia="Calibri" w:hAnsi="Times New Roman" w:cs="Calibri"/>
          <w:sz w:val="24"/>
        </w:rPr>
        <w:t xml:space="preserve">S ietilpstošā </w:t>
      </w:r>
      <w:proofErr w:type="spellStart"/>
      <w:r w:rsidR="00AF4C40" w:rsidRPr="00A07F29">
        <w:rPr>
          <w:rFonts w:ascii="Times New Roman" w:eastAsia="Calibri" w:hAnsi="Times New Roman" w:cs="Calibri"/>
          <w:sz w:val="24"/>
        </w:rPr>
        <w:t>boreālā</w:t>
      </w:r>
      <w:proofErr w:type="spellEnd"/>
      <w:r w:rsidR="00AF4C40" w:rsidRPr="00A07F29">
        <w:rPr>
          <w:rFonts w:ascii="Times New Roman" w:eastAsia="Calibri" w:hAnsi="Times New Roman" w:cs="Calibri"/>
          <w:sz w:val="24"/>
        </w:rPr>
        <w:t xml:space="preserve"> (ziemeļu) reģiona un ES līmenī. </w:t>
      </w:r>
    </w:p>
    <w:p w14:paraId="05511E3E" w14:textId="69FB250B" w:rsidR="00AF4C40" w:rsidRPr="00A07F29" w:rsidRDefault="00AF4C40" w:rsidP="00935EDF">
      <w:pPr>
        <w:spacing w:after="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Likums </w:t>
      </w:r>
      <w:r w:rsidR="007847A2" w:rsidRPr="00A07F29">
        <w:rPr>
          <w:rFonts w:ascii="Times New Roman" w:eastAsia="Calibri" w:hAnsi="Times New Roman" w:cs="Calibri"/>
          <w:sz w:val="24"/>
        </w:rPr>
        <w:t>“</w:t>
      </w:r>
      <w:r w:rsidRPr="00A07F29">
        <w:rPr>
          <w:rFonts w:ascii="Times New Roman" w:eastAsia="Calibri" w:hAnsi="Times New Roman" w:cs="Calibri"/>
          <w:b/>
          <w:sz w:val="24"/>
        </w:rPr>
        <w:t>Par īpaši aizsargājamām dabas teritorijām</w:t>
      </w:r>
      <w:r w:rsidR="007847A2" w:rsidRPr="00A07F29">
        <w:rPr>
          <w:rFonts w:ascii="Times New Roman" w:eastAsia="Calibri" w:hAnsi="Times New Roman" w:cs="Calibri"/>
          <w:b/>
          <w:sz w:val="24"/>
        </w:rPr>
        <w:t>”</w:t>
      </w:r>
      <w:r w:rsidRPr="00A07F29">
        <w:rPr>
          <w:rFonts w:ascii="Times New Roman" w:eastAsia="Calibri" w:hAnsi="Times New Roman" w:cs="Calibri"/>
          <w:sz w:val="24"/>
        </w:rPr>
        <w:t xml:space="preserve"> definē ĪADT kategorijas, nosaka ĪADT izveidošanas kārtību, kā arī nosaka nepieciešamību tām izstrādāt DA plānus un individuālos aizsardzības un izmantošanas noteikumus. Likuma 13. panta otrā daļa nosaka, ka AAA izveido </w:t>
      </w:r>
      <w:r w:rsidR="007847A2" w:rsidRPr="00A07F29">
        <w:rPr>
          <w:rFonts w:ascii="Times New Roman" w:eastAsia="Calibri" w:hAnsi="Times New Roman" w:cs="Calibri"/>
          <w:sz w:val="24"/>
        </w:rPr>
        <w:t>MK</w:t>
      </w:r>
      <w:r w:rsidRPr="00A07F29">
        <w:rPr>
          <w:rFonts w:ascii="Times New Roman" w:eastAsia="Calibri" w:hAnsi="Times New Roman" w:cs="Calibri"/>
          <w:sz w:val="24"/>
        </w:rPr>
        <w:t>. Minētā likuma 18. panta ceturtajā daļā noteikts</w:t>
      </w:r>
      <w:r w:rsidR="00232FB5" w:rsidRPr="00A07F29">
        <w:rPr>
          <w:rFonts w:ascii="Times New Roman" w:eastAsia="Calibri" w:hAnsi="Times New Roman" w:cs="Calibri"/>
          <w:sz w:val="24"/>
        </w:rPr>
        <w:t>,</w:t>
      </w:r>
      <w:r w:rsidRPr="00A07F29">
        <w:rPr>
          <w:rFonts w:ascii="Times New Roman" w:eastAsia="Calibri" w:hAnsi="Times New Roman" w:cs="Calibri"/>
          <w:sz w:val="24"/>
        </w:rPr>
        <w:t xml:space="preserve"> ka, izstrādājot ĪADT individuālos aizsardzības un izmantošanas noteikumus, kā arī valsts un reģionālās attīstības plānošanas dokumentus un apsaimniekojot ĪADT, var izmantot DA plānā ietverto informāciju, un to, ka DA plānam ir ieteikuma raksturs. Likuma 43.</w:t>
      </w:r>
      <w:r w:rsidR="002941AC" w:rsidRPr="00A07F29">
        <w:rPr>
          <w:rFonts w:ascii="Times New Roman" w:eastAsia="Calibri" w:hAnsi="Times New Roman" w:cs="Calibri"/>
          <w:sz w:val="24"/>
        </w:rPr>
        <w:t> </w:t>
      </w:r>
      <w:r w:rsidRPr="00A07F29">
        <w:rPr>
          <w:rFonts w:ascii="Times New Roman" w:eastAsia="Calibri" w:hAnsi="Times New Roman" w:cs="Calibri"/>
          <w:sz w:val="24"/>
        </w:rPr>
        <w:t xml:space="preserve">panta </w:t>
      </w:r>
      <w:r w:rsidR="002941AC" w:rsidRPr="00A07F29">
        <w:rPr>
          <w:rFonts w:ascii="Times New Roman" w:eastAsia="Calibri" w:hAnsi="Times New Roman" w:cs="Calibri"/>
          <w:sz w:val="24"/>
        </w:rPr>
        <w:t>ceturtā</w:t>
      </w:r>
      <w:r w:rsidRPr="00A07F29">
        <w:rPr>
          <w:rFonts w:ascii="Times New Roman" w:eastAsia="Calibri" w:hAnsi="Times New Roman" w:cs="Calibri"/>
          <w:sz w:val="24"/>
        </w:rPr>
        <w:t xml:space="preserve"> daļa nosaka, ka </w:t>
      </w:r>
      <w:r w:rsidR="007847A2" w:rsidRPr="00A07F29">
        <w:rPr>
          <w:rFonts w:ascii="Times New Roman" w:eastAsia="Calibri" w:hAnsi="Times New Roman" w:cs="Calibri"/>
          <w:sz w:val="24"/>
        </w:rPr>
        <w:t>ĪADT</w:t>
      </w:r>
      <w:r w:rsidRPr="00A07F29">
        <w:rPr>
          <w:rFonts w:ascii="Times New Roman" w:eastAsia="Calibri" w:hAnsi="Times New Roman" w:cs="Calibri"/>
          <w:sz w:val="24"/>
        </w:rPr>
        <w:t xml:space="preserve"> </w:t>
      </w:r>
      <w:r w:rsidR="007847A2" w:rsidRPr="00A07F29">
        <w:rPr>
          <w:rFonts w:ascii="Times New Roman" w:eastAsia="Calibri" w:hAnsi="Times New Roman" w:cs="Calibri"/>
          <w:sz w:val="24"/>
        </w:rPr>
        <w:t>DA</w:t>
      </w:r>
      <w:r w:rsidRPr="00A07F29">
        <w:rPr>
          <w:rFonts w:ascii="Times New Roman" w:eastAsia="Calibri" w:hAnsi="Times New Roman" w:cs="Calibri"/>
          <w:sz w:val="24"/>
        </w:rPr>
        <w:t xml:space="preserve"> plānos paredzētu publiski pieejamu dabas tūrisma un izziņas infrastruktūras objektu ierīkošanai nav piemērojams Ietekmes uz vidi novērtējums.</w:t>
      </w:r>
    </w:p>
    <w:p w14:paraId="1401DAA3" w14:textId="3A782CA0" w:rsidR="00AF4C40" w:rsidRPr="00A07F29" w:rsidRDefault="00AF4C40" w:rsidP="00935EDF">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Minētā likuma pielikumā uzskaitītas Eiropas nozīmes aizsargājamās dabas teritorijas </w:t>
      </w:r>
      <w:r w:rsidRPr="00A07F29">
        <w:rPr>
          <w:rFonts w:ascii="Times New Roman" w:eastAsia="Calibri" w:hAnsi="Times New Roman" w:cs="Calibri"/>
          <w:i/>
          <w:sz w:val="24"/>
        </w:rPr>
        <w:t>(</w:t>
      </w:r>
      <w:proofErr w:type="spellStart"/>
      <w:r w:rsidR="0092556E" w:rsidRPr="00A07F29">
        <w:rPr>
          <w:rFonts w:ascii="Times New Roman" w:eastAsia="Calibri" w:hAnsi="Times New Roman" w:cs="Calibri"/>
          <w:i/>
          <w:sz w:val="24"/>
        </w:rPr>
        <w:t>Natura</w:t>
      </w:r>
      <w:proofErr w:type="spellEnd"/>
      <w:r w:rsidRPr="00A07F29">
        <w:rPr>
          <w:rFonts w:ascii="Times New Roman" w:eastAsia="Calibri" w:hAnsi="Times New Roman" w:cs="Calibri"/>
          <w:i/>
          <w:sz w:val="24"/>
        </w:rPr>
        <w:t xml:space="preserve"> 2000)</w:t>
      </w:r>
      <w:r w:rsidRPr="00A07F29">
        <w:rPr>
          <w:rFonts w:ascii="Times New Roman" w:eastAsia="Calibri" w:hAnsi="Times New Roman" w:cs="Calibri"/>
          <w:sz w:val="24"/>
        </w:rPr>
        <w:t xml:space="preserve">. AAA “Augšdaugava” noteikts kā C tipa teritorija (LV0300400). Tas nozīmē, ka tā noteikta </w:t>
      </w:r>
      <w:r w:rsidRPr="00D23C1E">
        <w:rPr>
          <w:rFonts w:ascii="Times New Roman" w:eastAsia="Calibri" w:hAnsi="Times New Roman" w:cs="Calibri"/>
          <w:sz w:val="24"/>
        </w:rPr>
        <w:t>īpaši aizsargājamo sugu un īpaši aizsargājamo</w:t>
      </w:r>
      <w:r w:rsidRPr="00A07F29">
        <w:rPr>
          <w:rFonts w:ascii="Times New Roman" w:eastAsia="Calibri" w:hAnsi="Times New Roman" w:cs="Calibri"/>
          <w:sz w:val="24"/>
        </w:rPr>
        <w:t xml:space="preserve"> biotopu aizsardzībai. </w:t>
      </w:r>
    </w:p>
    <w:p w14:paraId="262D55D7" w14:textId="47A60754" w:rsidR="00AF4C40" w:rsidRPr="00A07F29" w:rsidRDefault="007847A2" w:rsidP="00935EDF">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MK</w:t>
      </w:r>
      <w:r w:rsidR="00AF4C40" w:rsidRPr="00A07F29">
        <w:rPr>
          <w:rFonts w:ascii="Times New Roman" w:eastAsia="Calibri" w:hAnsi="Times New Roman" w:cs="Calibri"/>
          <w:sz w:val="24"/>
        </w:rPr>
        <w:t xml:space="preserve"> </w:t>
      </w:r>
      <w:r w:rsidR="002564FB">
        <w:rPr>
          <w:rFonts w:ascii="Times New Roman" w:eastAsia="Calibri" w:hAnsi="Times New Roman" w:cs="Calibri"/>
          <w:sz w:val="24"/>
        </w:rPr>
        <w:t>2024</w:t>
      </w:r>
      <w:r w:rsidR="006926F8" w:rsidRPr="00A07F29">
        <w:rPr>
          <w:rFonts w:ascii="Times New Roman" w:eastAsia="Calibri" w:hAnsi="Times New Roman" w:cs="Calibri"/>
          <w:sz w:val="24"/>
        </w:rPr>
        <w:t>.</w:t>
      </w:r>
      <w:r w:rsidR="00AF6D79" w:rsidRPr="00A07F29">
        <w:rPr>
          <w:rFonts w:ascii="Times New Roman" w:eastAsia="Calibri" w:hAnsi="Times New Roman" w:cs="Calibri"/>
          <w:sz w:val="24"/>
        </w:rPr>
        <w:t> </w:t>
      </w:r>
      <w:r w:rsidR="006926F8" w:rsidRPr="00A07F29">
        <w:rPr>
          <w:rFonts w:ascii="Times New Roman" w:eastAsia="Calibri" w:hAnsi="Times New Roman" w:cs="Calibri"/>
          <w:sz w:val="24"/>
        </w:rPr>
        <w:t>gada 2</w:t>
      </w:r>
      <w:r w:rsidR="002564FB">
        <w:rPr>
          <w:rFonts w:ascii="Times New Roman" w:eastAsia="Calibri" w:hAnsi="Times New Roman" w:cs="Calibri"/>
          <w:sz w:val="24"/>
        </w:rPr>
        <w:t>6</w:t>
      </w:r>
      <w:r w:rsidR="006926F8" w:rsidRPr="00A07F29">
        <w:rPr>
          <w:rFonts w:ascii="Times New Roman" w:eastAsia="Calibri" w:hAnsi="Times New Roman" w:cs="Calibri"/>
          <w:sz w:val="24"/>
        </w:rPr>
        <w:t>.</w:t>
      </w:r>
      <w:r w:rsidR="00AF6D79" w:rsidRPr="00A07F29">
        <w:rPr>
          <w:rFonts w:ascii="Times New Roman" w:eastAsia="Calibri" w:hAnsi="Times New Roman" w:cs="Calibri"/>
          <w:sz w:val="24"/>
        </w:rPr>
        <w:t> </w:t>
      </w:r>
      <w:r w:rsidR="002564FB">
        <w:rPr>
          <w:rFonts w:ascii="Times New Roman" w:eastAsia="Calibri" w:hAnsi="Times New Roman" w:cs="Calibri"/>
          <w:sz w:val="24"/>
        </w:rPr>
        <w:t>novembra</w:t>
      </w:r>
      <w:r w:rsidR="006926F8" w:rsidRPr="00A07F29">
        <w:rPr>
          <w:rFonts w:ascii="Times New Roman" w:eastAsia="Calibri" w:hAnsi="Times New Roman" w:cs="Calibri"/>
          <w:sz w:val="24"/>
        </w:rPr>
        <w:t xml:space="preserve"> </w:t>
      </w:r>
      <w:r w:rsidR="00AF4C40" w:rsidRPr="00A07F29">
        <w:rPr>
          <w:rFonts w:ascii="Times New Roman" w:eastAsia="Calibri" w:hAnsi="Times New Roman" w:cs="Calibri"/>
          <w:sz w:val="24"/>
        </w:rPr>
        <w:t>noteikumi Nr.</w:t>
      </w:r>
      <w:r w:rsidR="00AF6D79" w:rsidRPr="00A07F29">
        <w:rPr>
          <w:rFonts w:ascii="Times New Roman" w:eastAsia="Calibri" w:hAnsi="Times New Roman" w:cs="Calibri"/>
          <w:sz w:val="24"/>
        </w:rPr>
        <w:t> </w:t>
      </w:r>
      <w:r w:rsidR="002564FB">
        <w:rPr>
          <w:rFonts w:ascii="Times New Roman" w:eastAsia="Calibri" w:hAnsi="Times New Roman" w:cs="Calibri"/>
          <w:sz w:val="24"/>
        </w:rPr>
        <w:t>749</w:t>
      </w:r>
      <w:r w:rsidR="00AF4C40" w:rsidRPr="00A07F29">
        <w:rPr>
          <w:rFonts w:ascii="Times New Roman" w:eastAsia="Calibri" w:hAnsi="Times New Roman" w:cs="Calibri"/>
          <w:sz w:val="24"/>
        </w:rPr>
        <w:t xml:space="preserve"> </w:t>
      </w:r>
      <w:r w:rsidR="00AF4C40" w:rsidRPr="00A07F29">
        <w:rPr>
          <w:rFonts w:ascii="Times New Roman" w:eastAsia="Calibri" w:hAnsi="Times New Roman" w:cs="Calibri"/>
          <w:b/>
          <w:sz w:val="24"/>
        </w:rPr>
        <w:t>“Noteikumi par aizsargājamo ainavu apvidiem”</w:t>
      </w:r>
      <w:r w:rsidR="00AF4C40" w:rsidRPr="00A07F29">
        <w:rPr>
          <w:rFonts w:ascii="Times New Roman" w:eastAsia="Calibri" w:hAnsi="Times New Roman" w:cs="Calibri"/>
          <w:sz w:val="24"/>
        </w:rPr>
        <w:t xml:space="preserve"> nosaka AAA, to teritorijas shēmas un robežpunktu koordinātas. Šo MK noteikumu 1.3.</w:t>
      </w:r>
      <w:r w:rsidR="00714D16" w:rsidRPr="00A07F29">
        <w:rPr>
          <w:rFonts w:ascii="Times New Roman" w:eastAsia="Calibri" w:hAnsi="Times New Roman" w:cs="Calibri"/>
          <w:sz w:val="24"/>
        </w:rPr>
        <w:t> </w:t>
      </w:r>
      <w:r w:rsidR="00AF4C40" w:rsidRPr="00A07F29">
        <w:rPr>
          <w:rFonts w:ascii="Times New Roman" w:eastAsia="Calibri" w:hAnsi="Times New Roman" w:cs="Calibri"/>
          <w:sz w:val="24"/>
        </w:rPr>
        <w:t>apakšpunktā un 3.</w:t>
      </w:r>
      <w:r w:rsidR="00714D16" w:rsidRPr="00A07F29">
        <w:rPr>
          <w:rFonts w:ascii="Times New Roman" w:eastAsia="Calibri" w:hAnsi="Times New Roman" w:cs="Calibri"/>
          <w:sz w:val="24"/>
        </w:rPr>
        <w:t> </w:t>
      </w:r>
      <w:r w:rsidR="00AF4C40" w:rsidRPr="00A07F29">
        <w:rPr>
          <w:rFonts w:ascii="Times New Roman" w:eastAsia="Calibri" w:hAnsi="Times New Roman" w:cs="Calibri"/>
          <w:sz w:val="24"/>
        </w:rPr>
        <w:t>pielikumā sniegta AAA “Augšdaugava” robežu shēma, robežpunktu koordinātes un apraksts.</w:t>
      </w:r>
    </w:p>
    <w:p w14:paraId="3442DC8B" w14:textId="1488A5CF" w:rsidR="00AF4C40" w:rsidRPr="00A07F29" w:rsidRDefault="007847A2" w:rsidP="00935EDF">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MK</w:t>
      </w:r>
      <w:r w:rsidR="00AF4C40" w:rsidRPr="00A07F29">
        <w:rPr>
          <w:rFonts w:ascii="Times New Roman" w:eastAsia="Calibri" w:hAnsi="Times New Roman" w:cs="Calibri"/>
          <w:sz w:val="24"/>
        </w:rPr>
        <w:t xml:space="preserve"> </w:t>
      </w:r>
      <w:r w:rsidR="006926F8" w:rsidRPr="00A07F29">
        <w:rPr>
          <w:rFonts w:ascii="Times New Roman" w:eastAsia="Calibri" w:hAnsi="Times New Roman" w:cs="Calibri"/>
          <w:sz w:val="24"/>
        </w:rPr>
        <w:t>1999.</w:t>
      </w:r>
      <w:r w:rsidR="00E66D3D" w:rsidRPr="00A07F29">
        <w:rPr>
          <w:rFonts w:ascii="Times New Roman" w:eastAsia="Calibri" w:hAnsi="Times New Roman" w:cs="Calibri"/>
          <w:sz w:val="24"/>
        </w:rPr>
        <w:t> </w:t>
      </w:r>
      <w:r w:rsidR="006926F8" w:rsidRPr="00A07F29">
        <w:rPr>
          <w:rFonts w:ascii="Times New Roman" w:eastAsia="Calibri" w:hAnsi="Times New Roman" w:cs="Calibri"/>
          <w:sz w:val="24"/>
        </w:rPr>
        <w:t>gada 9.</w:t>
      </w:r>
      <w:r w:rsidR="00E66D3D" w:rsidRPr="00A07F29">
        <w:rPr>
          <w:rFonts w:ascii="Times New Roman" w:eastAsia="Calibri" w:hAnsi="Times New Roman" w:cs="Calibri"/>
          <w:sz w:val="24"/>
        </w:rPr>
        <w:t> </w:t>
      </w:r>
      <w:r w:rsidR="006926F8" w:rsidRPr="00A07F29">
        <w:rPr>
          <w:rFonts w:ascii="Times New Roman" w:eastAsia="Calibri" w:hAnsi="Times New Roman" w:cs="Calibri"/>
          <w:sz w:val="24"/>
        </w:rPr>
        <w:t xml:space="preserve">marta </w:t>
      </w:r>
      <w:r w:rsidR="00AF4C40" w:rsidRPr="00A07F29">
        <w:rPr>
          <w:rFonts w:ascii="Times New Roman" w:eastAsia="Calibri" w:hAnsi="Times New Roman" w:cs="Calibri"/>
          <w:sz w:val="24"/>
        </w:rPr>
        <w:t>noteikumi</w:t>
      </w:r>
      <w:r w:rsidR="006926F8" w:rsidRPr="00A07F29">
        <w:rPr>
          <w:rFonts w:ascii="Times New Roman" w:eastAsia="Calibri" w:hAnsi="Times New Roman" w:cs="Calibri"/>
          <w:sz w:val="24"/>
        </w:rPr>
        <w:t xml:space="preserve"> </w:t>
      </w:r>
      <w:r w:rsidR="00AF4C40" w:rsidRPr="00A07F29">
        <w:rPr>
          <w:rFonts w:ascii="Times New Roman" w:eastAsia="Calibri" w:hAnsi="Times New Roman" w:cs="Calibri"/>
          <w:sz w:val="24"/>
        </w:rPr>
        <w:t>Nr.</w:t>
      </w:r>
      <w:r w:rsidR="00714D16" w:rsidRPr="00A07F29">
        <w:rPr>
          <w:rFonts w:ascii="Times New Roman" w:eastAsia="Calibri" w:hAnsi="Times New Roman" w:cs="Calibri"/>
          <w:sz w:val="24"/>
        </w:rPr>
        <w:t> </w:t>
      </w:r>
      <w:r w:rsidR="00AF4C40" w:rsidRPr="00A07F29">
        <w:rPr>
          <w:rFonts w:ascii="Times New Roman" w:eastAsia="Calibri" w:hAnsi="Times New Roman" w:cs="Calibri"/>
          <w:sz w:val="24"/>
        </w:rPr>
        <w:t xml:space="preserve">83 </w:t>
      </w:r>
      <w:r w:rsidR="00AF4C40" w:rsidRPr="00A07F29">
        <w:rPr>
          <w:rFonts w:ascii="Times New Roman" w:eastAsia="Calibri" w:hAnsi="Times New Roman" w:cs="Calibri"/>
          <w:b/>
          <w:sz w:val="24"/>
        </w:rPr>
        <w:t>“Noteikumi par dabas parkiem”</w:t>
      </w:r>
      <w:r w:rsidR="00AF4C40" w:rsidRPr="00A07F29">
        <w:rPr>
          <w:rFonts w:ascii="Times New Roman" w:eastAsia="Calibri" w:hAnsi="Times New Roman" w:cs="Calibri"/>
          <w:sz w:val="24"/>
        </w:rPr>
        <w:t xml:space="preserve"> nosaka </w:t>
      </w:r>
      <w:r w:rsidRPr="00A07F29">
        <w:rPr>
          <w:rFonts w:ascii="Times New Roman" w:eastAsia="Calibri" w:hAnsi="Times New Roman" w:cs="Calibri"/>
          <w:sz w:val="24"/>
        </w:rPr>
        <w:t>DP</w:t>
      </w:r>
      <w:r w:rsidR="00AF4C40" w:rsidRPr="00A07F29">
        <w:rPr>
          <w:rFonts w:ascii="Times New Roman" w:eastAsia="Calibri" w:hAnsi="Times New Roman" w:cs="Calibri"/>
          <w:sz w:val="24"/>
        </w:rPr>
        <w:t>, to teritorijas shēmas un robežpunktu koordinātas. Šo MK noteikumu 1.2. apakšpunktā un 2. pielikumā sniegta DP “Daugavas loki” robežu shēma, robežpunktu koordinātes un apraksts.</w:t>
      </w:r>
    </w:p>
    <w:p w14:paraId="4DC1A988" w14:textId="13C640B7" w:rsidR="00D766CF" w:rsidRPr="00A07F29" w:rsidRDefault="007847A2" w:rsidP="00935EDF">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MK</w:t>
      </w:r>
      <w:r w:rsidR="006926F8" w:rsidRPr="00A07F29">
        <w:rPr>
          <w:rFonts w:ascii="Times New Roman" w:eastAsia="Calibri" w:hAnsi="Times New Roman" w:cs="Calibri"/>
          <w:sz w:val="24"/>
        </w:rPr>
        <w:t xml:space="preserve"> </w:t>
      </w:r>
      <w:r w:rsidR="00123238" w:rsidRPr="00A07F29">
        <w:rPr>
          <w:rFonts w:ascii="Times New Roman" w:eastAsia="Calibri" w:hAnsi="Times New Roman" w:cs="Calibri"/>
          <w:sz w:val="24"/>
        </w:rPr>
        <w:t>2022</w:t>
      </w:r>
      <w:r w:rsidR="006926F8" w:rsidRPr="00A07F29">
        <w:rPr>
          <w:rFonts w:ascii="Times New Roman" w:eastAsia="Calibri" w:hAnsi="Times New Roman" w:cs="Calibri"/>
          <w:sz w:val="24"/>
        </w:rPr>
        <w:t>.</w:t>
      </w:r>
      <w:r w:rsidR="00F843B6" w:rsidRPr="00A07F29">
        <w:rPr>
          <w:rFonts w:ascii="Times New Roman" w:eastAsia="Calibri" w:hAnsi="Times New Roman" w:cs="Calibri"/>
          <w:sz w:val="24"/>
        </w:rPr>
        <w:t> </w:t>
      </w:r>
      <w:r w:rsidR="006926F8" w:rsidRPr="00A07F29">
        <w:rPr>
          <w:rFonts w:ascii="Times New Roman" w:eastAsia="Calibri" w:hAnsi="Times New Roman" w:cs="Calibri"/>
          <w:sz w:val="24"/>
        </w:rPr>
        <w:t xml:space="preserve">gada </w:t>
      </w:r>
      <w:r w:rsidR="00123238" w:rsidRPr="00A07F29">
        <w:rPr>
          <w:rFonts w:ascii="Times New Roman" w:eastAsia="Calibri" w:hAnsi="Times New Roman" w:cs="Calibri"/>
          <w:sz w:val="24"/>
        </w:rPr>
        <w:t>14</w:t>
      </w:r>
      <w:r w:rsidR="00F843B6" w:rsidRPr="00A07F29">
        <w:rPr>
          <w:rFonts w:ascii="Times New Roman" w:eastAsia="Calibri" w:hAnsi="Times New Roman" w:cs="Calibri"/>
          <w:sz w:val="24"/>
        </w:rPr>
        <w:t> </w:t>
      </w:r>
      <w:r w:rsidR="00123238" w:rsidRPr="00A07F29">
        <w:rPr>
          <w:rFonts w:ascii="Times New Roman" w:eastAsia="Calibri" w:hAnsi="Times New Roman" w:cs="Calibri"/>
          <w:sz w:val="24"/>
        </w:rPr>
        <w:t>jūlija</w:t>
      </w:r>
      <w:r w:rsidR="00AF4C40" w:rsidRPr="00A07F29">
        <w:rPr>
          <w:rFonts w:ascii="Times New Roman" w:eastAsia="Calibri" w:hAnsi="Times New Roman" w:cs="Calibri"/>
          <w:sz w:val="24"/>
        </w:rPr>
        <w:t xml:space="preserve"> noteikumi Nr.</w:t>
      </w:r>
      <w:r w:rsidR="00DD73D5" w:rsidRPr="00A07F29">
        <w:rPr>
          <w:rFonts w:ascii="Times New Roman" w:eastAsia="Calibri" w:hAnsi="Times New Roman" w:cs="Calibri"/>
          <w:sz w:val="24"/>
        </w:rPr>
        <w:t> </w:t>
      </w:r>
      <w:r w:rsidR="00D93C5E" w:rsidRPr="00A07F29">
        <w:rPr>
          <w:rFonts w:ascii="Times New Roman" w:eastAsia="Calibri" w:hAnsi="Times New Roman" w:cs="Calibri"/>
          <w:sz w:val="24"/>
        </w:rPr>
        <w:t xml:space="preserve">461 </w:t>
      </w:r>
      <w:r w:rsidR="00AF4C40" w:rsidRPr="00A07F29">
        <w:rPr>
          <w:rFonts w:ascii="Times New Roman" w:eastAsia="Calibri" w:hAnsi="Times New Roman" w:cs="Calibri"/>
          <w:sz w:val="24"/>
        </w:rPr>
        <w:t>“</w:t>
      </w:r>
      <w:r w:rsidR="00AF4C40" w:rsidRPr="00A07F29">
        <w:rPr>
          <w:rFonts w:ascii="Times New Roman" w:eastAsia="Calibri" w:hAnsi="Times New Roman" w:cs="Calibri"/>
          <w:b/>
          <w:sz w:val="24"/>
        </w:rPr>
        <w:t xml:space="preserve">Noteikumi par aizsargājamiem ģeoloģiskajiem un </w:t>
      </w:r>
      <w:proofErr w:type="spellStart"/>
      <w:r w:rsidR="00AF4C40" w:rsidRPr="00A07F29">
        <w:rPr>
          <w:rFonts w:ascii="Times New Roman" w:eastAsia="Calibri" w:hAnsi="Times New Roman" w:cs="Calibri"/>
          <w:b/>
          <w:sz w:val="24"/>
        </w:rPr>
        <w:t>ģeomorfoloģiskajiem</w:t>
      </w:r>
      <w:proofErr w:type="spellEnd"/>
      <w:r w:rsidR="00AF4C40" w:rsidRPr="00A07F29">
        <w:rPr>
          <w:rFonts w:ascii="Times New Roman" w:eastAsia="Calibri" w:hAnsi="Times New Roman" w:cs="Calibri"/>
          <w:b/>
          <w:sz w:val="24"/>
        </w:rPr>
        <w:t xml:space="preserve"> dabas pieminekļiem</w:t>
      </w:r>
      <w:r w:rsidR="00AF4C40" w:rsidRPr="00A07F29">
        <w:rPr>
          <w:rFonts w:ascii="Times New Roman" w:eastAsia="Calibri" w:hAnsi="Times New Roman" w:cs="Calibri"/>
          <w:sz w:val="24"/>
        </w:rPr>
        <w:t xml:space="preserve">” nosaka dabas pieminekļus, to teritorijas shēmas un robežpunktu koordinātas. AAA teritorijā atrodas vairāki ģeoloģiskie un </w:t>
      </w:r>
      <w:proofErr w:type="spellStart"/>
      <w:r w:rsidR="00AF4C40" w:rsidRPr="00A07F29">
        <w:rPr>
          <w:rFonts w:ascii="Times New Roman" w:eastAsia="Calibri" w:hAnsi="Times New Roman" w:cs="Calibri"/>
          <w:sz w:val="24"/>
        </w:rPr>
        <w:t>ģeomorfoloģiskie</w:t>
      </w:r>
      <w:proofErr w:type="spellEnd"/>
      <w:r w:rsidR="00AF4C40" w:rsidRPr="00A07F29">
        <w:rPr>
          <w:rFonts w:ascii="Times New Roman" w:eastAsia="Calibri" w:hAnsi="Times New Roman" w:cs="Calibri"/>
          <w:sz w:val="24"/>
        </w:rPr>
        <w:t xml:space="preserve"> dabas pieminekļi</w:t>
      </w:r>
      <w:r w:rsidR="00D766CF" w:rsidRPr="00A07F29">
        <w:rPr>
          <w:rFonts w:ascii="Times New Roman" w:eastAsia="Calibri" w:hAnsi="Times New Roman" w:cs="Calibri"/>
          <w:sz w:val="24"/>
        </w:rPr>
        <w:t>.</w:t>
      </w:r>
    </w:p>
    <w:p w14:paraId="7C124992" w14:textId="4C5E8F48" w:rsidR="00AF4C40" w:rsidRPr="00A07F29" w:rsidRDefault="007847A2" w:rsidP="00935EDF">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MK</w:t>
      </w:r>
      <w:r w:rsidR="00AF4C40" w:rsidRPr="00A07F29">
        <w:rPr>
          <w:rFonts w:ascii="Times New Roman" w:eastAsia="Calibri" w:hAnsi="Times New Roman" w:cs="Calibri"/>
          <w:sz w:val="24"/>
        </w:rPr>
        <w:t xml:space="preserve"> </w:t>
      </w:r>
      <w:r w:rsidR="00B3296A" w:rsidRPr="00A07F29">
        <w:rPr>
          <w:rFonts w:ascii="Times New Roman" w:eastAsia="Calibri" w:hAnsi="Times New Roman" w:cs="Calibri"/>
          <w:sz w:val="24"/>
        </w:rPr>
        <w:t>2023</w:t>
      </w:r>
      <w:r w:rsidR="006926F8" w:rsidRPr="00A07F29">
        <w:rPr>
          <w:rFonts w:ascii="Times New Roman" w:eastAsia="Calibri" w:hAnsi="Times New Roman" w:cs="Calibri"/>
          <w:sz w:val="24"/>
        </w:rPr>
        <w:t>.</w:t>
      </w:r>
      <w:r w:rsidR="007A4BF8" w:rsidRPr="00A07F29">
        <w:rPr>
          <w:rFonts w:ascii="Times New Roman" w:eastAsia="Calibri" w:hAnsi="Times New Roman" w:cs="Calibri"/>
          <w:sz w:val="24"/>
        </w:rPr>
        <w:t> </w:t>
      </w:r>
      <w:r w:rsidR="006926F8" w:rsidRPr="00A07F29">
        <w:rPr>
          <w:rFonts w:ascii="Times New Roman" w:eastAsia="Calibri" w:hAnsi="Times New Roman" w:cs="Calibri"/>
          <w:sz w:val="24"/>
        </w:rPr>
        <w:t xml:space="preserve">gada </w:t>
      </w:r>
      <w:r w:rsidR="00B3296A" w:rsidRPr="00A07F29">
        <w:rPr>
          <w:rFonts w:ascii="Times New Roman" w:eastAsia="Calibri" w:hAnsi="Times New Roman" w:cs="Calibri"/>
          <w:sz w:val="24"/>
        </w:rPr>
        <w:t>28</w:t>
      </w:r>
      <w:r w:rsidR="006926F8" w:rsidRPr="00A07F29">
        <w:rPr>
          <w:rFonts w:ascii="Times New Roman" w:eastAsia="Calibri" w:hAnsi="Times New Roman" w:cs="Calibri"/>
          <w:sz w:val="24"/>
        </w:rPr>
        <w:t>.</w:t>
      </w:r>
      <w:r w:rsidR="007A4BF8" w:rsidRPr="00A07F29">
        <w:rPr>
          <w:rFonts w:ascii="Times New Roman" w:eastAsia="Calibri" w:hAnsi="Times New Roman" w:cs="Calibri"/>
          <w:sz w:val="24"/>
        </w:rPr>
        <w:t> </w:t>
      </w:r>
      <w:r w:rsidR="006926F8" w:rsidRPr="00A07F29">
        <w:rPr>
          <w:rFonts w:ascii="Times New Roman" w:eastAsia="Calibri" w:hAnsi="Times New Roman" w:cs="Calibri"/>
          <w:sz w:val="24"/>
        </w:rPr>
        <w:t xml:space="preserve">marta </w:t>
      </w:r>
      <w:r w:rsidR="00AF4C40" w:rsidRPr="00A07F29">
        <w:rPr>
          <w:rFonts w:ascii="Times New Roman" w:eastAsia="Calibri" w:hAnsi="Times New Roman" w:cs="Calibri"/>
          <w:sz w:val="24"/>
        </w:rPr>
        <w:t>noteikumi Nr.</w:t>
      </w:r>
      <w:r w:rsidR="001F1E4B" w:rsidRPr="00A07F29">
        <w:rPr>
          <w:rFonts w:ascii="Times New Roman" w:eastAsia="Calibri" w:hAnsi="Times New Roman" w:cs="Calibri"/>
          <w:sz w:val="24"/>
        </w:rPr>
        <w:t> </w:t>
      </w:r>
      <w:r w:rsidR="00B3296A" w:rsidRPr="00A07F29">
        <w:rPr>
          <w:rFonts w:ascii="Times New Roman" w:eastAsia="Calibri" w:hAnsi="Times New Roman" w:cs="Calibri"/>
          <w:sz w:val="24"/>
        </w:rPr>
        <w:t xml:space="preserve">144 </w:t>
      </w:r>
      <w:r w:rsidR="00AF4C40" w:rsidRPr="00A07F29">
        <w:rPr>
          <w:rFonts w:ascii="Times New Roman" w:eastAsia="Calibri" w:hAnsi="Times New Roman" w:cs="Calibri"/>
          <w:sz w:val="24"/>
        </w:rPr>
        <w:t>“</w:t>
      </w:r>
      <w:r w:rsidR="00AF4C40" w:rsidRPr="00A07F29">
        <w:rPr>
          <w:rFonts w:ascii="Times New Roman" w:eastAsia="Calibri" w:hAnsi="Times New Roman" w:cs="Calibri"/>
          <w:b/>
          <w:sz w:val="24"/>
        </w:rPr>
        <w:t>Noteikumi par aizsargājamiem dendroloģiskajiem stādījumiem</w:t>
      </w:r>
      <w:r w:rsidR="00AF4C40" w:rsidRPr="00A07F29">
        <w:rPr>
          <w:rFonts w:ascii="Times New Roman" w:eastAsia="Calibri" w:hAnsi="Times New Roman" w:cs="Calibri"/>
          <w:sz w:val="24"/>
        </w:rPr>
        <w:t>” nosaka dendroloģiskos stādījumus</w:t>
      </w:r>
      <w:r w:rsidR="0092528C" w:rsidRPr="00A07F29">
        <w:rPr>
          <w:rFonts w:ascii="Times New Roman" w:eastAsia="Calibri" w:hAnsi="Times New Roman" w:cs="Calibri"/>
          <w:sz w:val="24"/>
        </w:rPr>
        <w:t xml:space="preserve"> un </w:t>
      </w:r>
      <w:r w:rsidR="00AF4C40" w:rsidRPr="00A07F29">
        <w:rPr>
          <w:rFonts w:ascii="Times New Roman" w:eastAsia="Calibri" w:hAnsi="Times New Roman" w:cs="Calibri"/>
          <w:sz w:val="24"/>
        </w:rPr>
        <w:t xml:space="preserve">to </w:t>
      </w:r>
      <w:r w:rsidR="0092528C" w:rsidRPr="00A07F29">
        <w:rPr>
          <w:rFonts w:ascii="Times New Roman" w:eastAsia="Calibri" w:hAnsi="Times New Roman" w:cs="Calibri"/>
          <w:sz w:val="24"/>
        </w:rPr>
        <w:t xml:space="preserve">teritoriju </w:t>
      </w:r>
      <w:r w:rsidR="00AF4C40" w:rsidRPr="00A07F29">
        <w:rPr>
          <w:rFonts w:ascii="Times New Roman" w:eastAsia="Calibri" w:hAnsi="Times New Roman" w:cs="Calibri"/>
          <w:sz w:val="24"/>
        </w:rPr>
        <w:t xml:space="preserve">shēmas. AAA teritorijā atrodas aizsargājami dendroloģiskie stādījumi: </w:t>
      </w:r>
      <w:proofErr w:type="spellStart"/>
      <w:r w:rsidR="00AF4C40" w:rsidRPr="00A07F29">
        <w:rPr>
          <w:rFonts w:ascii="Times New Roman" w:eastAsia="Calibri" w:hAnsi="Times New Roman" w:cs="Calibri"/>
          <w:sz w:val="24"/>
        </w:rPr>
        <w:t>Hoftenbergas</w:t>
      </w:r>
      <w:proofErr w:type="spellEnd"/>
      <w:r w:rsidR="00AF4C40" w:rsidRPr="00A07F29">
        <w:rPr>
          <w:rFonts w:ascii="Times New Roman" w:eastAsia="Calibri" w:hAnsi="Times New Roman" w:cs="Calibri"/>
          <w:sz w:val="24"/>
        </w:rPr>
        <w:t xml:space="preserve"> parks, </w:t>
      </w:r>
      <w:proofErr w:type="spellStart"/>
      <w:r w:rsidR="00AF4C40" w:rsidRPr="00A07F29">
        <w:rPr>
          <w:rFonts w:ascii="Times New Roman" w:eastAsia="Calibri" w:hAnsi="Times New Roman" w:cs="Calibri"/>
          <w:sz w:val="24"/>
        </w:rPr>
        <w:t>Juzefovas</w:t>
      </w:r>
      <w:proofErr w:type="spellEnd"/>
      <w:r w:rsidR="00AF4C40" w:rsidRPr="00A07F29">
        <w:rPr>
          <w:rFonts w:ascii="Times New Roman" w:eastAsia="Calibri" w:hAnsi="Times New Roman" w:cs="Calibri"/>
          <w:sz w:val="24"/>
        </w:rPr>
        <w:t xml:space="preserve"> parks.</w:t>
      </w:r>
    </w:p>
    <w:p w14:paraId="7EC6167D" w14:textId="6EEA63E3" w:rsidR="003B00DB" w:rsidRPr="00A07F29" w:rsidRDefault="003B00DB" w:rsidP="00935EDF">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lastRenderedPageBreak/>
        <w:t>MK 2023.</w:t>
      </w:r>
      <w:r w:rsidR="001F1E4B" w:rsidRPr="00A07F29">
        <w:rPr>
          <w:rFonts w:ascii="Times New Roman" w:eastAsia="Calibri" w:hAnsi="Times New Roman" w:cs="Calibri"/>
          <w:sz w:val="24"/>
        </w:rPr>
        <w:t> </w:t>
      </w:r>
      <w:r w:rsidRPr="00A07F29">
        <w:rPr>
          <w:rFonts w:ascii="Times New Roman" w:eastAsia="Calibri" w:hAnsi="Times New Roman" w:cs="Calibri"/>
          <w:sz w:val="24"/>
        </w:rPr>
        <w:t xml:space="preserve">gada </w:t>
      </w:r>
      <w:r w:rsidR="00246674" w:rsidRPr="00A07F29">
        <w:rPr>
          <w:rFonts w:ascii="Times New Roman" w:eastAsia="Calibri" w:hAnsi="Times New Roman" w:cs="Calibri"/>
          <w:sz w:val="24"/>
        </w:rPr>
        <w:t>28</w:t>
      </w:r>
      <w:r w:rsidRPr="00A07F29">
        <w:rPr>
          <w:rFonts w:ascii="Times New Roman" w:eastAsia="Calibri" w:hAnsi="Times New Roman" w:cs="Calibri"/>
          <w:sz w:val="24"/>
        </w:rPr>
        <w:t>.</w:t>
      </w:r>
      <w:r w:rsidR="001F1E4B" w:rsidRPr="00A07F29">
        <w:rPr>
          <w:rFonts w:ascii="Times New Roman" w:eastAsia="Calibri" w:hAnsi="Times New Roman" w:cs="Calibri"/>
          <w:sz w:val="24"/>
        </w:rPr>
        <w:t> </w:t>
      </w:r>
      <w:r w:rsidRPr="00A07F29">
        <w:rPr>
          <w:rFonts w:ascii="Times New Roman" w:eastAsia="Calibri" w:hAnsi="Times New Roman" w:cs="Calibri"/>
          <w:sz w:val="24"/>
        </w:rPr>
        <w:t>marta noteikumi Nr.</w:t>
      </w:r>
      <w:r w:rsidR="001F1E4B" w:rsidRPr="00A07F29">
        <w:rPr>
          <w:rFonts w:ascii="Times New Roman" w:eastAsia="Calibri" w:hAnsi="Times New Roman" w:cs="Calibri"/>
          <w:sz w:val="24"/>
        </w:rPr>
        <w:t> </w:t>
      </w:r>
      <w:r w:rsidR="00246674" w:rsidRPr="00A07F29">
        <w:rPr>
          <w:rFonts w:ascii="Times New Roman" w:eastAsia="Calibri" w:hAnsi="Times New Roman" w:cs="Calibri"/>
          <w:sz w:val="24"/>
        </w:rPr>
        <w:t xml:space="preserve">143 </w:t>
      </w:r>
      <w:r w:rsidR="00246674" w:rsidRPr="00A07F29">
        <w:rPr>
          <w:rFonts w:ascii="Times New Roman" w:eastAsia="Calibri" w:hAnsi="Times New Roman" w:cs="Calibri"/>
          <w:b/>
          <w:bCs/>
          <w:sz w:val="24"/>
        </w:rPr>
        <w:t>“Noteikumi par aizsargājamām alejām”</w:t>
      </w:r>
      <w:r w:rsidR="00246674" w:rsidRPr="00A07F29">
        <w:rPr>
          <w:rFonts w:ascii="Times New Roman" w:eastAsia="Calibri" w:hAnsi="Times New Roman" w:cs="Calibri"/>
          <w:sz w:val="24"/>
        </w:rPr>
        <w:t xml:space="preserve"> nosaka aizsargājamās alejas un to </w:t>
      </w:r>
      <w:r w:rsidR="0092528C" w:rsidRPr="00A07F29">
        <w:rPr>
          <w:rFonts w:ascii="Times New Roman" w:eastAsia="Calibri" w:hAnsi="Times New Roman" w:cs="Calibri"/>
          <w:sz w:val="24"/>
        </w:rPr>
        <w:t xml:space="preserve">teritoriju shēmas. AAA teritorijā atrodas </w:t>
      </w:r>
      <w:proofErr w:type="spellStart"/>
      <w:r w:rsidR="0092528C" w:rsidRPr="00A07F29">
        <w:rPr>
          <w:rFonts w:ascii="Times New Roman" w:eastAsia="Calibri" w:hAnsi="Times New Roman" w:cs="Calibri"/>
          <w:sz w:val="24"/>
        </w:rPr>
        <w:t>Rozališķu</w:t>
      </w:r>
      <w:proofErr w:type="spellEnd"/>
      <w:r w:rsidR="0092528C" w:rsidRPr="00A07F29">
        <w:rPr>
          <w:rFonts w:ascii="Times New Roman" w:eastAsia="Calibri" w:hAnsi="Times New Roman" w:cs="Calibri"/>
          <w:sz w:val="24"/>
        </w:rPr>
        <w:t xml:space="preserve"> aleja.</w:t>
      </w:r>
    </w:p>
    <w:p w14:paraId="649D5DB3" w14:textId="2402C830" w:rsidR="00AF4C40" w:rsidRPr="00A07F29" w:rsidRDefault="007847A2" w:rsidP="00935EDF">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MK</w:t>
      </w:r>
      <w:r w:rsidR="006926F8" w:rsidRPr="00A07F29">
        <w:rPr>
          <w:rFonts w:ascii="Times New Roman" w:eastAsia="Calibri" w:hAnsi="Times New Roman" w:cs="Calibri"/>
          <w:sz w:val="24"/>
        </w:rPr>
        <w:t xml:space="preserve"> 2010.</w:t>
      </w:r>
      <w:r w:rsidR="00715520" w:rsidRPr="00A07F29">
        <w:rPr>
          <w:rFonts w:ascii="Times New Roman" w:eastAsia="Calibri" w:hAnsi="Times New Roman" w:cs="Calibri"/>
          <w:sz w:val="24"/>
        </w:rPr>
        <w:t> </w:t>
      </w:r>
      <w:r w:rsidR="006926F8" w:rsidRPr="00A07F29">
        <w:rPr>
          <w:rFonts w:ascii="Times New Roman" w:eastAsia="Calibri" w:hAnsi="Times New Roman" w:cs="Calibri"/>
          <w:sz w:val="24"/>
        </w:rPr>
        <w:t>gada 16.</w:t>
      </w:r>
      <w:r w:rsidR="00715520" w:rsidRPr="00A07F29">
        <w:rPr>
          <w:rFonts w:ascii="Times New Roman" w:eastAsia="Calibri" w:hAnsi="Times New Roman" w:cs="Calibri"/>
          <w:sz w:val="24"/>
        </w:rPr>
        <w:t> </w:t>
      </w:r>
      <w:r w:rsidR="006926F8" w:rsidRPr="00A07F29">
        <w:rPr>
          <w:rFonts w:ascii="Times New Roman" w:eastAsia="Calibri" w:hAnsi="Times New Roman" w:cs="Calibri"/>
          <w:sz w:val="24"/>
        </w:rPr>
        <w:t>marta</w:t>
      </w:r>
      <w:r w:rsidR="00AF4C40" w:rsidRPr="00A07F29">
        <w:rPr>
          <w:rFonts w:ascii="Times New Roman" w:eastAsia="Calibri" w:hAnsi="Times New Roman" w:cs="Calibri"/>
          <w:sz w:val="24"/>
        </w:rPr>
        <w:t xml:space="preserve"> noteikumi Nr. 264 </w:t>
      </w:r>
      <w:r w:rsidR="00715520" w:rsidRPr="00A07F29">
        <w:rPr>
          <w:rFonts w:ascii="Times New Roman" w:eastAsia="Calibri" w:hAnsi="Times New Roman" w:cs="Calibri"/>
          <w:b/>
          <w:sz w:val="24"/>
        </w:rPr>
        <w:t>“</w:t>
      </w:r>
      <w:r w:rsidR="00AF4C40" w:rsidRPr="00A07F29">
        <w:rPr>
          <w:rFonts w:ascii="Times New Roman" w:eastAsia="Calibri" w:hAnsi="Times New Roman" w:cs="Calibri"/>
          <w:b/>
          <w:sz w:val="24"/>
        </w:rPr>
        <w:t>Īpaši aizsargājamo dabas teritoriju vispārējie aizsardzības un izmantošanas noteikumi”</w:t>
      </w:r>
      <w:r w:rsidR="00AF4C40" w:rsidRPr="00A07F29">
        <w:rPr>
          <w:rFonts w:ascii="Times New Roman" w:eastAsia="Calibri" w:hAnsi="Times New Roman" w:cs="Calibri"/>
          <w:sz w:val="24"/>
        </w:rPr>
        <w:t xml:space="preserve"> nosaka DP, dabas pieminekļu un AAA aizsardzības un izmantošanas kārtību, pieļaujamo un aizliegto darbību veidus tajos. Minēto MK noteikumu 7. nodaļā noteikta AAA, bet 6. nodaļā – DP aizsardzības un izmantošanas kārtība, pieļaujamo un aizliegto darbību veidi tajos, ierobežojumi un rekomendācijas mežsaimnieciskajai darbībai. Ja </w:t>
      </w:r>
      <w:r w:rsidR="00AF4C40" w:rsidRPr="00A07F29">
        <w:rPr>
          <w:rFonts w:ascii="Times New Roman" w:eastAsia="Calibri" w:hAnsi="Times New Roman" w:cs="Times New Roman"/>
          <w:sz w:val="24"/>
          <w:szCs w:val="24"/>
        </w:rPr>
        <w:t xml:space="preserve">tiks apstiprināti AAA </w:t>
      </w:r>
      <w:r w:rsidR="00476C39" w:rsidRPr="00A07F29">
        <w:rPr>
          <w:rFonts w:ascii="Times New Roman" w:eastAsia="Calibri" w:hAnsi="Times New Roman" w:cs="Times New Roman"/>
          <w:sz w:val="24"/>
          <w:szCs w:val="24"/>
        </w:rPr>
        <w:t>“</w:t>
      </w:r>
      <w:r w:rsidR="00AF4C40" w:rsidRPr="00A07F29">
        <w:rPr>
          <w:rFonts w:ascii="Times New Roman" w:eastAsia="Calibri" w:hAnsi="Times New Roman" w:cs="Times New Roman"/>
          <w:sz w:val="24"/>
          <w:szCs w:val="24"/>
        </w:rPr>
        <w:t>Augšdaugava” individuālie aizsardzības un izmantošanas noteikumi, minētie MK noteikumi šajā teritorijā vairs nebūs spēkā.</w:t>
      </w:r>
    </w:p>
    <w:p w14:paraId="04207904" w14:textId="2DAC2406" w:rsidR="00AF4C40" w:rsidRPr="00A07F29" w:rsidRDefault="007847A2" w:rsidP="00935EDF">
      <w:pPr>
        <w:spacing w:after="120" w:line="240" w:lineRule="auto"/>
        <w:ind w:firstLine="851"/>
        <w:jc w:val="both"/>
        <w:rPr>
          <w:rFonts w:ascii="Times New Roman" w:eastAsia="Calibri" w:hAnsi="Times New Roman" w:cs="Calibri"/>
          <w:sz w:val="24"/>
          <w:szCs w:val="24"/>
        </w:rPr>
      </w:pPr>
      <w:r w:rsidRPr="00A07F29">
        <w:rPr>
          <w:rFonts w:ascii="Times New Roman" w:eastAsia="Calibri" w:hAnsi="Times New Roman" w:cs="Calibri"/>
          <w:sz w:val="24"/>
          <w:szCs w:val="24"/>
        </w:rPr>
        <w:t>MK</w:t>
      </w:r>
      <w:r w:rsidR="00AF4C40" w:rsidRPr="00A07F29">
        <w:rPr>
          <w:rFonts w:ascii="Times New Roman" w:eastAsia="Calibri" w:hAnsi="Times New Roman" w:cs="Calibri"/>
          <w:sz w:val="24"/>
          <w:szCs w:val="24"/>
        </w:rPr>
        <w:t xml:space="preserve"> </w:t>
      </w:r>
      <w:r w:rsidR="006926F8" w:rsidRPr="00A07F29">
        <w:rPr>
          <w:rFonts w:ascii="Times New Roman" w:eastAsia="Calibri" w:hAnsi="Times New Roman" w:cs="Calibri"/>
          <w:sz w:val="24"/>
          <w:szCs w:val="24"/>
        </w:rPr>
        <w:t>2007.</w:t>
      </w:r>
      <w:r w:rsidR="009B6D20" w:rsidRPr="00A07F29">
        <w:rPr>
          <w:rFonts w:ascii="Times New Roman" w:eastAsia="Calibri" w:hAnsi="Times New Roman" w:cs="Calibri"/>
          <w:sz w:val="24"/>
          <w:szCs w:val="24"/>
        </w:rPr>
        <w:t> </w:t>
      </w:r>
      <w:r w:rsidR="006926F8" w:rsidRPr="00A07F29">
        <w:rPr>
          <w:rFonts w:ascii="Times New Roman" w:eastAsia="Calibri" w:hAnsi="Times New Roman" w:cs="Calibri"/>
          <w:sz w:val="24"/>
          <w:szCs w:val="24"/>
        </w:rPr>
        <w:t>gada 9.</w:t>
      </w:r>
      <w:r w:rsidR="009B6D20" w:rsidRPr="00A07F29">
        <w:rPr>
          <w:rFonts w:ascii="Times New Roman" w:eastAsia="Calibri" w:hAnsi="Times New Roman" w:cs="Calibri"/>
          <w:sz w:val="24"/>
          <w:szCs w:val="24"/>
        </w:rPr>
        <w:t> </w:t>
      </w:r>
      <w:r w:rsidR="006926F8" w:rsidRPr="00A07F29">
        <w:rPr>
          <w:rFonts w:ascii="Times New Roman" w:eastAsia="Calibri" w:hAnsi="Times New Roman" w:cs="Calibri"/>
          <w:sz w:val="24"/>
          <w:szCs w:val="24"/>
        </w:rPr>
        <w:t xml:space="preserve">oktobra </w:t>
      </w:r>
      <w:r w:rsidR="00AF4C40" w:rsidRPr="00A07F29">
        <w:rPr>
          <w:rFonts w:ascii="Times New Roman" w:eastAsia="Calibri" w:hAnsi="Times New Roman" w:cs="Calibri"/>
          <w:sz w:val="24"/>
          <w:szCs w:val="24"/>
        </w:rPr>
        <w:t xml:space="preserve">noteikumi Nr. 686 </w:t>
      </w:r>
      <w:r w:rsidR="009B6D20" w:rsidRPr="00A07F29">
        <w:rPr>
          <w:rFonts w:ascii="Times New Roman" w:eastAsia="Calibri" w:hAnsi="Times New Roman" w:cs="Calibri"/>
          <w:b/>
          <w:bCs/>
          <w:sz w:val="24"/>
          <w:szCs w:val="24"/>
        </w:rPr>
        <w:t>“</w:t>
      </w:r>
      <w:r w:rsidR="00AF4C40" w:rsidRPr="00A07F29">
        <w:rPr>
          <w:rFonts w:ascii="Times New Roman" w:eastAsia="Calibri" w:hAnsi="Times New Roman" w:cs="Calibri"/>
          <w:b/>
          <w:bCs/>
          <w:sz w:val="24"/>
          <w:szCs w:val="24"/>
        </w:rPr>
        <w:t xml:space="preserve">Noteikumi par </w:t>
      </w:r>
      <w:r w:rsidR="009B6D20" w:rsidRPr="00A07F29">
        <w:rPr>
          <w:rFonts w:ascii="Times New Roman" w:eastAsia="Calibri" w:hAnsi="Times New Roman" w:cs="Calibri"/>
          <w:b/>
          <w:bCs/>
          <w:sz w:val="24"/>
          <w:szCs w:val="24"/>
        </w:rPr>
        <w:t>īpaši aizsargājamās dabas teritorijas</w:t>
      </w:r>
      <w:r w:rsidR="00AF4C40" w:rsidRPr="00A07F29">
        <w:rPr>
          <w:rFonts w:ascii="Times New Roman" w:eastAsia="Calibri" w:hAnsi="Times New Roman" w:cs="Calibri"/>
          <w:b/>
          <w:bCs/>
          <w:sz w:val="24"/>
          <w:szCs w:val="24"/>
        </w:rPr>
        <w:t xml:space="preserve"> </w:t>
      </w:r>
      <w:r w:rsidR="009C2ABA" w:rsidRPr="00A07F29">
        <w:rPr>
          <w:rFonts w:ascii="Times New Roman" w:eastAsia="Calibri" w:hAnsi="Times New Roman" w:cs="Calibri"/>
          <w:b/>
          <w:bCs/>
          <w:sz w:val="24"/>
          <w:szCs w:val="24"/>
        </w:rPr>
        <w:t>dabas aizsardzības plāna</w:t>
      </w:r>
      <w:r w:rsidR="00AF4C40" w:rsidRPr="00A07F29">
        <w:rPr>
          <w:rFonts w:ascii="Times New Roman" w:eastAsia="Calibri" w:hAnsi="Times New Roman" w:cs="Calibri"/>
          <w:b/>
          <w:bCs/>
          <w:sz w:val="24"/>
          <w:szCs w:val="24"/>
        </w:rPr>
        <w:t xml:space="preserve"> saturu un izstrādes kārtību”</w:t>
      </w:r>
      <w:r w:rsidR="00AF4C40" w:rsidRPr="00A07F29">
        <w:rPr>
          <w:rFonts w:ascii="Times New Roman" w:eastAsia="Calibri" w:hAnsi="Times New Roman" w:cs="Calibri"/>
          <w:sz w:val="24"/>
          <w:szCs w:val="24"/>
        </w:rPr>
        <w:t xml:space="preserve"> nosaka, kādai informācijai jābūt ietvertai DA plānā un kāda ir DA plāna izstrādes kārtība. </w:t>
      </w:r>
    </w:p>
    <w:p w14:paraId="6CCF51E3" w14:textId="79355C1E" w:rsidR="00AF4C40" w:rsidRPr="00A07F29" w:rsidRDefault="007847A2" w:rsidP="00935EDF">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MK</w:t>
      </w:r>
      <w:r w:rsidR="00AF4C40" w:rsidRPr="00A07F29">
        <w:rPr>
          <w:rFonts w:ascii="Times New Roman" w:eastAsia="Calibri" w:hAnsi="Times New Roman" w:cs="Calibri"/>
          <w:sz w:val="24"/>
        </w:rPr>
        <w:t xml:space="preserve"> </w:t>
      </w:r>
      <w:r w:rsidR="006926F8" w:rsidRPr="00A07F29">
        <w:rPr>
          <w:rFonts w:ascii="Times New Roman" w:eastAsia="Calibri" w:hAnsi="Times New Roman" w:cs="Calibri"/>
          <w:sz w:val="24"/>
        </w:rPr>
        <w:t>2002.</w:t>
      </w:r>
      <w:r w:rsidR="00563B4D" w:rsidRPr="00A07F29">
        <w:rPr>
          <w:rFonts w:ascii="Times New Roman" w:eastAsia="Calibri" w:hAnsi="Times New Roman" w:cs="Calibri"/>
          <w:sz w:val="24"/>
        </w:rPr>
        <w:t> </w:t>
      </w:r>
      <w:r w:rsidR="006926F8" w:rsidRPr="00A07F29">
        <w:rPr>
          <w:rFonts w:ascii="Times New Roman" w:eastAsia="Calibri" w:hAnsi="Times New Roman" w:cs="Calibri"/>
          <w:sz w:val="24"/>
        </w:rPr>
        <w:t>gada 28.</w:t>
      </w:r>
      <w:r w:rsidR="00563B4D" w:rsidRPr="00A07F29">
        <w:rPr>
          <w:rFonts w:ascii="Times New Roman" w:eastAsia="Calibri" w:hAnsi="Times New Roman" w:cs="Calibri"/>
          <w:sz w:val="24"/>
        </w:rPr>
        <w:t> </w:t>
      </w:r>
      <w:r w:rsidR="006926F8" w:rsidRPr="00A07F29">
        <w:rPr>
          <w:rFonts w:ascii="Times New Roman" w:eastAsia="Calibri" w:hAnsi="Times New Roman" w:cs="Calibri"/>
          <w:sz w:val="24"/>
        </w:rPr>
        <w:t xml:space="preserve">maija </w:t>
      </w:r>
      <w:r w:rsidR="00AF4C40" w:rsidRPr="00A07F29">
        <w:rPr>
          <w:rFonts w:ascii="Times New Roman" w:eastAsia="Calibri" w:hAnsi="Times New Roman" w:cs="Calibri"/>
          <w:sz w:val="24"/>
        </w:rPr>
        <w:t xml:space="preserve">noteikumi Nr. 199 </w:t>
      </w:r>
      <w:r w:rsidR="00563B4D" w:rsidRPr="00A07F29">
        <w:rPr>
          <w:rFonts w:ascii="Times New Roman" w:eastAsia="Calibri" w:hAnsi="Times New Roman" w:cs="Calibri"/>
          <w:b/>
          <w:sz w:val="24"/>
        </w:rPr>
        <w:t>“</w:t>
      </w:r>
      <w:r w:rsidR="00AF4C40" w:rsidRPr="00A07F29">
        <w:rPr>
          <w:rFonts w:ascii="Times New Roman" w:eastAsia="Calibri" w:hAnsi="Times New Roman" w:cs="Calibri"/>
          <w:b/>
          <w:sz w:val="24"/>
        </w:rPr>
        <w:t xml:space="preserve">Eiropas nozīmes aizsargājamo dabas teritoriju </w:t>
      </w:r>
      <w:r w:rsidR="00AF4C40" w:rsidRPr="00A07F29">
        <w:rPr>
          <w:rFonts w:ascii="Times New Roman" w:eastAsia="Calibri" w:hAnsi="Times New Roman" w:cs="Calibri"/>
          <w:b/>
          <w:i/>
          <w:sz w:val="24"/>
        </w:rPr>
        <w:t>(</w:t>
      </w:r>
      <w:proofErr w:type="spellStart"/>
      <w:r w:rsidR="0092556E" w:rsidRPr="00A07F29">
        <w:rPr>
          <w:rFonts w:ascii="Times New Roman" w:eastAsia="Calibri" w:hAnsi="Times New Roman" w:cs="Calibri"/>
          <w:b/>
          <w:i/>
          <w:sz w:val="24"/>
        </w:rPr>
        <w:t>Natura</w:t>
      </w:r>
      <w:proofErr w:type="spellEnd"/>
      <w:r w:rsidR="00AF4C40" w:rsidRPr="00A07F29">
        <w:rPr>
          <w:rFonts w:ascii="Times New Roman" w:eastAsia="Calibri" w:hAnsi="Times New Roman" w:cs="Calibri"/>
          <w:b/>
          <w:i/>
          <w:sz w:val="24"/>
        </w:rPr>
        <w:t xml:space="preserve"> 2000)</w:t>
      </w:r>
      <w:r w:rsidR="00AF4C40" w:rsidRPr="00A07F29">
        <w:rPr>
          <w:rFonts w:ascii="Times New Roman" w:eastAsia="Calibri" w:hAnsi="Times New Roman" w:cs="Calibri"/>
          <w:b/>
          <w:sz w:val="24"/>
        </w:rPr>
        <w:t xml:space="preserve"> izveidošanas kritēriji Latvijā”</w:t>
      </w:r>
      <w:r w:rsidR="00AF4C40" w:rsidRPr="00A07F29">
        <w:rPr>
          <w:rFonts w:ascii="Times New Roman" w:eastAsia="Calibri" w:hAnsi="Times New Roman" w:cs="Calibri"/>
          <w:sz w:val="24"/>
        </w:rPr>
        <w:t xml:space="preserve"> nosaka kritērijus, kas piemērojami Eiropas nozīmes aizsargājamo dabas teritoriju izveidošanai Latvijā. </w:t>
      </w:r>
    </w:p>
    <w:p w14:paraId="68855D96" w14:textId="4B99A327" w:rsidR="00AF4C40" w:rsidRPr="00A07F29" w:rsidRDefault="007847A2" w:rsidP="00935EDF">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MK</w:t>
      </w:r>
      <w:r w:rsidR="006926F8" w:rsidRPr="00A07F29">
        <w:rPr>
          <w:rFonts w:ascii="Times New Roman" w:eastAsia="Calibri" w:hAnsi="Times New Roman" w:cs="Calibri"/>
          <w:sz w:val="24"/>
        </w:rPr>
        <w:t xml:space="preserve"> 2006.</w:t>
      </w:r>
      <w:r w:rsidR="00923BDC" w:rsidRPr="00A07F29">
        <w:rPr>
          <w:rFonts w:ascii="Times New Roman" w:eastAsia="Calibri" w:hAnsi="Times New Roman" w:cs="Calibri"/>
          <w:sz w:val="24"/>
        </w:rPr>
        <w:t> </w:t>
      </w:r>
      <w:r w:rsidR="006926F8" w:rsidRPr="00A07F29">
        <w:rPr>
          <w:rFonts w:ascii="Times New Roman" w:eastAsia="Calibri" w:hAnsi="Times New Roman" w:cs="Calibri"/>
          <w:sz w:val="24"/>
        </w:rPr>
        <w:t>gada 18.</w:t>
      </w:r>
      <w:r w:rsidR="00923BDC" w:rsidRPr="00A07F29">
        <w:rPr>
          <w:rFonts w:ascii="Times New Roman" w:eastAsia="Calibri" w:hAnsi="Times New Roman" w:cs="Calibri"/>
          <w:sz w:val="24"/>
        </w:rPr>
        <w:t> </w:t>
      </w:r>
      <w:r w:rsidR="006926F8" w:rsidRPr="00A07F29">
        <w:rPr>
          <w:rFonts w:ascii="Times New Roman" w:eastAsia="Calibri" w:hAnsi="Times New Roman" w:cs="Calibri"/>
          <w:sz w:val="24"/>
        </w:rPr>
        <w:t>jūlija</w:t>
      </w:r>
      <w:r w:rsidR="00AF4C40" w:rsidRPr="00A07F29">
        <w:rPr>
          <w:rFonts w:ascii="Times New Roman" w:eastAsia="Calibri" w:hAnsi="Times New Roman" w:cs="Calibri"/>
          <w:sz w:val="24"/>
        </w:rPr>
        <w:t xml:space="preserve"> noteikumi Nr. 594 </w:t>
      </w:r>
      <w:r w:rsidR="00923BDC" w:rsidRPr="00A07F29">
        <w:rPr>
          <w:rFonts w:ascii="Times New Roman" w:eastAsia="Calibri" w:hAnsi="Times New Roman" w:cs="Calibri"/>
          <w:b/>
          <w:sz w:val="24"/>
        </w:rPr>
        <w:t>“</w:t>
      </w:r>
      <w:r w:rsidR="00AF4C40" w:rsidRPr="00A07F29">
        <w:rPr>
          <w:rFonts w:ascii="Times New Roman" w:eastAsia="Calibri" w:hAnsi="Times New Roman" w:cs="Calibri"/>
          <w:b/>
          <w:sz w:val="24"/>
        </w:rPr>
        <w:t xml:space="preserve">Noteikumi par kritērijiem, pēc kuriem nosakāmi kompensējošie pasākumi Eiropas nozīmes aizsargājamo dabas teritoriju </w:t>
      </w:r>
      <w:r w:rsidR="00AF4C40" w:rsidRPr="00A07F29">
        <w:rPr>
          <w:rFonts w:ascii="Times New Roman" w:eastAsia="Calibri" w:hAnsi="Times New Roman" w:cs="Calibri"/>
          <w:b/>
          <w:i/>
          <w:sz w:val="24"/>
        </w:rPr>
        <w:t>(</w:t>
      </w:r>
      <w:proofErr w:type="spellStart"/>
      <w:r w:rsidR="0092556E" w:rsidRPr="00A07F29">
        <w:rPr>
          <w:rFonts w:ascii="Times New Roman" w:eastAsia="Calibri" w:hAnsi="Times New Roman" w:cs="Calibri"/>
          <w:b/>
          <w:i/>
          <w:sz w:val="24"/>
        </w:rPr>
        <w:t>Natura</w:t>
      </w:r>
      <w:proofErr w:type="spellEnd"/>
      <w:r w:rsidR="00AF4C40" w:rsidRPr="00A07F29">
        <w:rPr>
          <w:rFonts w:ascii="Times New Roman" w:eastAsia="Calibri" w:hAnsi="Times New Roman" w:cs="Calibri"/>
          <w:b/>
          <w:i/>
          <w:sz w:val="24"/>
        </w:rPr>
        <w:t xml:space="preserve"> 2000)</w:t>
      </w:r>
      <w:r w:rsidR="00AF4C40" w:rsidRPr="00A07F29">
        <w:rPr>
          <w:rFonts w:ascii="Times New Roman" w:eastAsia="Calibri" w:hAnsi="Times New Roman" w:cs="Calibri"/>
          <w:b/>
          <w:sz w:val="24"/>
        </w:rPr>
        <w:t xml:space="preserve"> tīklam, to piemērošanas kārtību un prasībām ilgtermiņa monitoringa plāna izstrādei un ieviešanai”</w:t>
      </w:r>
      <w:r w:rsidR="00AF4C40" w:rsidRPr="00A07F29">
        <w:rPr>
          <w:rFonts w:ascii="Times New Roman" w:eastAsia="Calibri" w:hAnsi="Times New Roman" w:cs="Calibri"/>
          <w:sz w:val="24"/>
        </w:rPr>
        <w:t xml:space="preserve"> nosaka kompensējošo pasākumu veikšanas kārtību, ja paredzētā darbība negatīvi ietekmēs </w:t>
      </w:r>
      <w:proofErr w:type="spellStart"/>
      <w:r w:rsidR="0092556E" w:rsidRPr="00A07F29">
        <w:rPr>
          <w:rFonts w:ascii="Times New Roman" w:eastAsia="Calibri" w:hAnsi="Times New Roman" w:cs="Calibri"/>
          <w:i/>
          <w:sz w:val="24"/>
        </w:rPr>
        <w:t>Natura</w:t>
      </w:r>
      <w:proofErr w:type="spellEnd"/>
      <w:r w:rsidR="00AF4C40" w:rsidRPr="00A07F29">
        <w:rPr>
          <w:rFonts w:ascii="Times New Roman" w:eastAsia="Calibri" w:hAnsi="Times New Roman" w:cs="Calibri"/>
          <w:i/>
          <w:sz w:val="24"/>
        </w:rPr>
        <w:t xml:space="preserve"> 2000</w:t>
      </w:r>
      <w:r w:rsidR="00AF4C40" w:rsidRPr="00A07F29">
        <w:rPr>
          <w:rFonts w:ascii="Times New Roman" w:eastAsia="Calibri" w:hAnsi="Times New Roman" w:cs="Calibri"/>
          <w:sz w:val="24"/>
        </w:rPr>
        <w:t xml:space="preserve"> teritorijā esošas sugas vai biotopus, un šo kompensējošo pasākumu rezultātu monitoringa kārtību. Šādu noteikumu piemērošanas nepieciešamība rastos gadījumā, ja, piemēram, AAA teritorijā tiku plānota darbība, kas varētu negatīvi ietekmēt kādu no tajā esošajām dabas vērtībām (sugu vai biotopu). Šādā gadījumā tiktu piemēroti noteikumos minētie kritēriji par kompensējošajiem pasākumiem. </w:t>
      </w:r>
    </w:p>
    <w:p w14:paraId="5F642187" w14:textId="2F24DDC2" w:rsidR="00AF4C40" w:rsidRPr="00A07F29" w:rsidRDefault="00AF4C40" w:rsidP="00935EDF">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b/>
          <w:sz w:val="24"/>
        </w:rPr>
        <w:t>Sugu un biotopu aizsardzības likums</w:t>
      </w:r>
      <w:r w:rsidRPr="00A07F29">
        <w:rPr>
          <w:rFonts w:ascii="Times New Roman" w:eastAsia="Calibri" w:hAnsi="Times New Roman" w:cs="Calibri"/>
          <w:sz w:val="24"/>
        </w:rPr>
        <w:t xml:space="preserve"> regulē sugu un biotopu aizsardzību, apsaimniekošanu un uzraudzību, veicina populāciju un biotopu saglabāšanu, kā arī </w:t>
      </w:r>
      <w:r w:rsidRPr="002564FB">
        <w:rPr>
          <w:rFonts w:ascii="Times New Roman" w:eastAsia="Calibri" w:hAnsi="Times New Roman" w:cs="Calibri"/>
          <w:sz w:val="24"/>
        </w:rPr>
        <w:t xml:space="preserve">regulē īpaši aizsargājamo sugu un biotopu noteikšanas kārtību. </w:t>
      </w:r>
      <w:r w:rsidR="00B46836" w:rsidRPr="002564FB">
        <w:rPr>
          <w:rFonts w:ascii="Times New Roman" w:eastAsia="Calibri" w:hAnsi="Times New Roman" w:cs="Calibri"/>
          <w:sz w:val="24"/>
        </w:rPr>
        <w:t>L</w:t>
      </w:r>
      <w:r w:rsidRPr="002564FB">
        <w:rPr>
          <w:rFonts w:ascii="Times New Roman" w:eastAsia="Calibri" w:hAnsi="Times New Roman" w:cs="Calibri"/>
          <w:sz w:val="24"/>
        </w:rPr>
        <w:t>ikums nosaka valsts pārvaldes institū</w:t>
      </w:r>
      <w:r w:rsidRPr="00A07F29">
        <w:rPr>
          <w:rFonts w:ascii="Times New Roman" w:eastAsia="Calibri" w:hAnsi="Times New Roman" w:cs="Calibri"/>
          <w:sz w:val="24"/>
        </w:rPr>
        <w:t xml:space="preserve">ciju kompetenci un zemes īpašnieku un pastāvīgo lietotāju pienākumus un tiesības sugu un biotopu aizsardzībā, kā arī nepieciešamību veikt sugu un biotopu monitoringu. </w:t>
      </w:r>
    </w:p>
    <w:p w14:paraId="1F671050" w14:textId="029391B5" w:rsidR="00AF4C40" w:rsidRPr="00A07F29" w:rsidRDefault="007847A2" w:rsidP="00935EDF">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MK</w:t>
      </w:r>
      <w:r w:rsidR="006926F8" w:rsidRPr="00A07F29">
        <w:rPr>
          <w:rFonts w:ascii="Times New Roman" w:eastAsia="Calibri" w:hAnsi="Times New Roman" w:cs="Calibri"/>
          <w:sz w:val="24"/>
        </w:rPr>
        <w:t xml:space="preserve"> 2000.</w:t>
      </w:r>
      <w:r w:rsidR="00B17177" w:rsidRPr="00A07F29">
        <w:rPr>
          <w:rFonts w:ascii="Times New Roman" w:eastAsia="Calibri" w:hAnsi="Times New Roman" w:cs="Calibri"/>
          <w:sz w:val="24"/>
        </w:rPr>
        <w:t> </w:t>
      </w:r>
      <w:r w:rsidR="006926F8" w:rsidRPr="00A07F29">
        <w:rPr>
          <w:rFonts w:ascii="Times New Roman" w:eastAsia="Calibri" w:hAnsi="Times New Roman" w:cs="Calibri"/>
          <w:sz w:val="24"/>
        </w:rPr>
        <w:t>gada 14.</w:t>
      </w:r>
      <w:r w:rsidR="00B17177" w:rsidRPr="00A07F29">
        <w:rPr>
          <w:rFonts w:ascii="Times New Roman" w:eastAsia="Calibri" w:hAnsi="Times New Roman" w:cs="Calibri"/>
          <w:sz w:val="24"/>
        </w:rPr>
        <w:t> </w:t>
      </w:r>
      <w:r w:rsidR="006926F8" w:rsidRPr="00A07F29">
        <w:rPr>
          <w:rFonts w:ascii="Times New Roman" w:eastAsia="Calibri" w:hAnsi="Times New Roman" w:cs="Calibri"/>
          <w:sz w:val="24"/>
        </w:rPr>
        <w:t>novembra</w:t>
      </w:r>
      <w:r w:rsidR="00AF4C40" w:rsidRPr="00A07F29">
        <w:rPr>
          <w:rFonts w:ascii="Times New Roman" w:eastAsia="Calibri" w:hAnsi="Times New Roman" w:cs="Calibri"/>
          <w:sz w:val="24"/>
        </w:rPr>
        <w:t xml:space="preserve"> noteikumi Nr. 396 </w:t>
      </w:r>
      <w:r w:rsidR="00B17177" w:rsidRPr="00A07F29">
        <w:rPr>
          <w:rFonts w:ascii="Times New Roman" w:eastAsia="Calibri" w:hAnsi="Times New Roman" w:cs="Calibri"/>
          <w:b/>
          <w:sz w:val="24"/>
        </w:rPr>
        <w:t>“</w:t>
      </w:r>
      <w:r w:rsidR="00AF4C40" w:rsidRPr="00A07F29">
        <w:rPr>
          <w:rFonts w:ascii="Times New Roman" w:eastAsia="Calibri" w:hAnsi="Times New Roman" w:cs="Calibri"/>
          <w:b/>
          <w:sz w:val="24"/>
        </w:rPr>
        <w:t>Noteikumi par īpaši aizsargājamo sugu un ierobežoti izmantojamo īpaši aizsargājamo sugu sarakstu”</w:t>
      </w:r>
      <w:r w:rsidR="00AF4C40" w:rsidRPr="00A07F29">
        <w:rPr>
          <w:rFonts w:ascii="Times New Roman" w:eastAsia="Calibri" w:hAnsi="Times New Roman" w:cs="Calibri"/>
          <w:sz w:val="24"/>
        </w:rPr>
        <w:t xml:space="preserve"> uzskaita Latvijā </w:t>
      </w:r>
      <w:r w:rsidR="00AF4C40" w:rsidRPr="002564FB">
        <w:rPr>
          <w:rFonts w:ascii="Times New Roman" w:eastAsia="Calibri" w:hAnsi="Times New Roman" w:cs="Calibri"/>
          <w:sz w:val="24"/>
        </w:rPr>
        <w:t>īpaši aizsargājamās</w:t>
      </w:r>
      <w:r w:rsidR="00AF4C40" w:rsidRPr="00A07F29">
        <w:rPr>
          <w:rFonts w:ascii="Times New Roman" w:eastAsia="Calibri" w:hAnsi="Times New Roman" w:cs="Calibri"/>
          <w:sz w:val="24"/>
        </w:rPr>
        <w:t xml:space="preserve"> (</w:t>
      </w:r>
      <w:r w:rsidR="002E59B2" w:rsidRPr="00A07F29">
        <w:rPr>
          <w:rFonts w:ascii="Times New Roman" w:eastAsia="Calibri" w:hAnsi="Times New Roman" w:cs="Calibri"/>
          <w:sz w:val="24"/>
        </w:rPr>
        <w:t xml:space="preserve">noteikumu </w:t>
      </w:r>
      <w:r w:rsidR="00AF4C40" w:rsidRPr="00A07F29">
        <w:rPr>
          <w:rFonts w:ascii="Times New Roman" w:eastAsia="Calibri" w:hAnsi="Times New Roman" w:cs="Calibri"/>
          <w:sz w:val="24"/>
        </w:rPr>
        <w:t>1. pielikums) un aizsargājamās un ierobežoti izmantojamās (</w:t>
      </w:r>
      <w:r w:rsidR="00BB6A45" w:rsidRPr="00A07F29">
        <w:rPr>
          <w:rFonts w:ascii="Times New Roman" w:eastAsia="Calibri" w:hAnsi="Times New Roman" w:cs="Calibri"/>
          <w:sz w:val="24"/>
        </w:rPr>
        <w:t xml:space="preserve">noteikumu </w:t>
      </w:r>
      <w:r w:rsidR="00AF4C40" w:rsidRPr="00A07F29">
        <w:rPr>
          <w:rFonts w:ascii="Times New Roman" w:eastAsia="Calibri" w:hAnsi="Times New Roman" w:cs="Calibri"/>
          <w:sz w:val="24"/>
        </w:rPr>
        <w:t xml:space="preserve">2. pielikums) sugas. </w:t>
      </w:r>
    </w:p>
    <w:p w14:paraId="4FE97F7D" w14:textId="159993E4" w:rsidR="00AF4C40" w:rsidRPr="00A07F29" w:rsidRDefault="007847A2" w:rsidP="00935EDF">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MK</w:t>
      </w:r>
      <w:r w:rsidR="00AF4C40" w:rsidRPr="00A07F29">
        <w:rPr>
          <w:rFonts w:ascii="Times New Roman" w:eastAsia="Calibri" w:hAnsi="Times New Roman" w:cs="Calibri"/>
          <w:sz w:val="24"/>
        </w:rPr>
        <w:t xml:space="preserve"> </w:t>
      </w:r>
      <w:r w:rsidR="006926F8" w:rsidRPr="00A07F29">
        <w:rPr>
          <w:rFonts w:ascii="Times New Roman" w:eastAsia="Calibri" w:hAnsi="Times New Roman" w:cs="Calibri"/>
          <w:sz w:val="24"/>
        </w:rPr>
        <w:t>2006.</w:t>
      </w:r>
      <w:r w:rsidR="008275BB" w:rsidRPr="00A07F29">
        <w:rPr>
          <w:rFonts w:ascii="Times New Roman" w:eastAsia="Calibri" w:hAnsi="Times New Roman" w:cs="Calibri"/>
          <w:sz w:val="24"/>
        </w:rPr>
        <w:t> </w:t>
      </w:r>
      <w:r w:rsidR="006926F8" w:rsidRPr="00A07F29">
        <w:rPr>
          <w:rFonts w:ascii="Times New Roman" w:eastAsia="Calibri" w:hAnsi="Times New Roman" w:cs="Calibri"/>
          <w:sz w:val="24"/>
        </w:rPr>
        <w:t>gada 21.</w:t>
      </w:r>
      <w:r w:rsidR="008275BB" w:rsidRPr="00A07F29">
        <w:rPr>
          <w:rFonts w:ascii="Times New Roman" w:eastAsia="Calibri" w:hAnsi="Times New Roman" w:cs="Calibri"/>
          <w:sz w:val="24"/>
        </w:rPr>
        <w:t> </w:t>
      </w:r>
      <w:r w:rsidR="006926F8" w:rsidRPr="00A07F29">
        <w:rPr>
          <w:rFonts w:ascii="Times New Roman" w:eastAsia="Calibri" w:hAnsi="Times New Roman" w:cs="Calibri"/>
          <w:sz w:val="24"/>
        </w:rPr>
        <w:t xml:space="preserve">februāra </w:t>
      </w:r>
      <w:r w:rsidR="00AF4C40" w:rsidRPr="00A07F29">
        <w:rPr>
          <w:rFonts w:ascii="Times New Roman" w:eastAsia="Calibri" w:hAnsi="Times New Roman" w:cs="Calibri"/>
          <w:sz w:val="24"/>
        </w:rPr>
        <w:t xml:space="preserve">noteikumos Nr. 153 </w:t>
      </w:r>
      <w:r w:rsidR="00B52A8C" w:rsidRPr="00A07F29">
        <w:rPr>
          <w:rFonts w:ascii="Times New Roman" w:eastAsia="Calibri" w:hAnsi="Times New Roman" w:cs="Calibri"/>
          <w:b/>
          <w:sz w:val="24"/>
        </w:rPr>
        <w:t>“Noteikumi p</w:t>
      </w:r>
      <w:r w:rsidR="00AF4C40" w:rsidRPr="00A07F29">
        <w:rPr>
          <w:rFonts w:ascii="Times New Roman" w:eastAsia="Calibri" w:hAnsi="Times New Roman" w:cs="Calibri"/>
          <w:b/>
          <w:sz w:val="24"/>
        </w:rPr>
        <w:t xml:space="preserve">ar Latvijā sastopamo </w:t>
      </w:r>
      <w:r w:rsidR="001E391E" w:rsidRPr="00A07F29">
        <w:rPr>
          <w:rFonts w:ascii="Times New Roman" w:eastAsia="Calibri" w:hAnsi="Times New Roman" w:cs="Calibri"/>
          <w:b/>
          <w:sz w:val="24"/>
        </w:rPr>
        <w:t>E</w:t>
      </w:r>
      <w:r w:rsidR="00BE4A5A" w:rsidRPr="00A07F29">
        <w:rPr>
          <w:rFonts w:ascii="Times New Roman" w:eastAsia="Calibri" w:hAnsi="Times New Roman" w:cs="Calibri"/>
          <w:b/>
          <w:sz w:val="24"/>
        </w:rPr>
        <w:t xml:space="preserve">iropas </w:t>
      </w:r>
      <w:r w:rsidR="001E391E" w:rsidRPr="00A07F29">
        <w:rPr>
          <w:rFonts w:ascii="Times New Roman" w:eastAsia="Calibri" w:hAnsi="Times New Roman" w:cs="Calibri"/>
          <w:b/>
          <w:sz w:val="24"/>
        </w:rPr>
        <w:t>S</w:t>
      </w:r>
      <w:r w:rsidR="00BE4A5A" w:rsidRPr="00A07F29">
        <w:rPr>
          <w:rFonts w:ascii="Times New Roman" w:eastAsia="Calibri" w:hAnsi="Times New Roman" w:cs="Calibri"/>
          <w:b/>
          <w:sz w:val="24"/>
        </w:rPr>
        <w:t>avienības</w:t>
      </w:r>
      <w:r w:rsidR="00AF4C40" w:rsidRPr="00A07F29">
        <w:rPr>
          <w:rFonts w:ascii="Times New Roman" w:eastAsia="Calibri" w:hAnsi="Times New Roman" w:cs="Calibri"/>
          <w:b/>
          <w:sz w:val="24"/>
        </w:rPr>
        <w:t xml:space="preserve"> prioritāro sugu un biotopu sarakstu”</w:t>
      </w:r>
      <w:r w:rsidR="00AF4C40" w:rsidRPr="00A07F29">
        <w:rPr>
          <w:rFonts w:ascii="Times New Roman" w:eastAsia="Calibri" w:hAnsi="Times New Roman" w:cs="Calibri"/>
          <w:sz w:val="24"/>
        </w:rPr>
        <w:t xml:space="preserve"> ietverts Latvijā sastopamo ES prioritāro sugu un biotopu saraksts. </w:t>
      </w:r>
    </w:p>
    <w:p w14:paraId="4BCCC19D" w14:textId="6247EDF4" w:rsidR="00AF4C40" w:rsidRPr="00A07F29" w:rsidRDefault="007847A2" w:rsidP="00935EDF">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MK</w:t>
      </w:r>
      <w:r w:rsidR="00AF4C40" w:rsidRPr="00A07F29">
        <w:rPr>
          <w:rFonts w:ascii="Times New Roman" w:eastAsia="Calibri" w:hAnsi="Times New Roman" w:cs="Calibri"/>
          <w:sz w:val="24"/>
        </w:rPr>
        <w:t xml:space="preserve"> </w:t>
      </w:r>
      <w:r w:rsidR="006926F8" w:rsidRPr="00A07F29">
        <w:rPr>
          <w:rFonts w:ascii="Times New Roman" w:eastAsia="Calibri" w:hAnsi="Times New Roman" w:cs="Calibri"/>
          <w:sz w:val="24"/>
        </w:rPr>
        <w:t>2009.</w:t>
      </w:r>
      <w:r w:rsidR="00BE4A5A" w:rsidRPr="00A07F29">
        <w:rPr>
          <w:rFonts w:ascii="Times New Roman" w:eastAsia="Calibri" w:hAnsi="Times New Roman" w:cs="Calibri"/>
          <w:sz w:val="24"/>
        </w:rPr>
        <w:t> </w:t>
      </w:r>
      <w:r w:rsidR="006926F8" w:rsidRPr="00A07F29">
        <w:rPr>
          <w:rFonts w:ascii="Times New Roman" w:eastAsia="Calibri" w:hAnsi="Times New Roman" w:cs="Calibri"/>
          <w:sz w:val="24"/>
        </w:rPr>
        <w:t>gada 15.</w:t>
      </w:r>
      <w:r w:rsidR="00BE4A5A" w:rsidRPr="00A07F29">
        <w:rPr>
          <w:rFonts w:ascii="Times New Roman" w:eastAsia="Calibri" w:hAnsi="Times New Roman" w:cs="Calibri"/>
          <w:sz w:val="24"/>
        </w:rPr>
        <w:t> </w:t>
      </w:r>
      <w:r w:rsidR="006926F8" w:rsidRPr="00A07F29">
        <w:rPr>
          <w:rFonts w:ascii="Times New Roman" w:eastAsia="Calibri" w:hAnsi="Times New Roman" w:cs="Calibri"/>
          <w:sz w:val="24"/>
        </w:rPr>
        <w:t xml:space="preserve">septembra </w:t>
      </w:r>
      <w:r w:rsidR="00AF4C40" w:rsidRPr="00A07F29">
        <w:rPr>
          <w:rFonts w:ascii="Times New Roman" w:eastAsia="Calibri" w:hAnsi="Times New Roman" w:cs="Calibri"/>
          <w:sz w:val="24"/>
        </w:rPr>
        <w:t xml:space="preserve">noteikumi Nr. 1055 </w:t>
      </w:r>
      <w:r w:rsidR="00BE4A5A" w:rsidRPr="00A07F29">
        <w:rPr>
          <w:rFonts w:ascii="Times New Roman" w:eastAsia="Calibri" w:hAnsi="Times New Roman" w:cs="Calibri"/>
          <w:b/>
          <w:sz w:val="24"/>
        </w:rPr>
        <w:t>“</w:t>
      </w:r>
      <w:r w:rsidR="00AF4C40" w:rsidRPr="00A07F29">
        <w:rPr>
          <w:rFonts w:ascii="Times New Roman" w:eastAsia="Calibri" w:hAnsi="Times New Roman" w:cs="Calibri"/>
          <w:b/>
          <w:sz w:val="24"/>
        </w:rPr>
        <w:t>Noteikumi par to Eiropas Kopienā nozīmīgo dzīvnieku un augu sugu sarakstu, kurām nepieciešama aizsardzība, un to dzīvnieku un augu sugu indivīdu sarakstu, kuru ieguvei savvaļā var piemērot ierobežotas izmantošanas nosacījumus”</w:t>
      </w:r>
      <w:r w:rsidR="00AF4C40" w:rsidRPr="00A07F29">
        <w:rPr>
          <w:rFonts w:ascii="Times New Roman" w:eastAsia="Calibri" w:hAnsi="Times New Roman" w:cs="Calibri"/>
          <w:sz w:val="24"/>
        </w:rPr>
        <w:t xml:space="preserve"> nosaka to Eiropas Kopienā nozīmīgu dzīvnieku un augu sugu sarakstu, kurām nepieciešama aizsardzība (</w:t>
      </w:r>
      <w:r w:rsidR="00BB6A45" w:rsidRPr="00A07F29">
        <w:rPr>
          <w:rFonts w:ascii="Times New Roman" w:eastAsia="Calibri" w:hAnsi="Times New Roman" w:cs="Calibri"/>
          <w:sz w:val="24"/>
        </w:rPr>
        <w:t xml:space="preserve">noteikumu </w:t>
      </w:r>
      <w:r w:rsidR="00AF4C40" w:rsidRPr="00A07F29">
        <w:rPr>
          <w:rFonts w:ascii="Times New Roman" w:eastAsia="Calibri" w:hAnsi="Times New Roman" w:cs="Calibri"/>
          <w:sz w:val="24"/>
        </w:rPr>
        <w:t>1. pielikums), un to Eiropas Kopienā nozīmīgu dzīvnieku un augu sugu indivīdu sarakstu, kuru ieguvei savvaļā var piemērot ierobežotas izmantošanas nosacījumus (</w:t>
      </w:r>
      <w:r w:rsidR="00BB6A45" w:rsidRPr="00A07F29">
        <w:rPr>
          <w:rFonts w:ascii="Times New Roman" w:eastAsia="Calibri" w:hAnsi="Times New Roman" w:cs="Calibri"/>
          <w:sz w:val="24"/>
        </w:rPr>
        <w:t xml:space="preserve">noteikumu </w:t>
      </w:r>
      <w:r w:rsidR="00AF4C40" w:rsidRPr="00A07F29">
        <w:rPr>
          <w:rFonts w:ascii="Times New Roman" w:eastAsia="Calibri" w:hAnsi="Times New Roman" w:cs="Calibri"/>
          <w:sz w:val="24"/>
        </w:rPr>
        <w:t xml:space="preserve">2. pielikums). </w:t>
      </w:r>
    </w:p>
    <w:p w14:paraId="092C90C3" w14:textId="349B6EC4" w:rsidR="00AF4C40" w:rsidRPr="00A07F29" w:rsidRDefault="007847A2" w:rsidP="00935EDF">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MK</w:t>
      </w:r>
      <w:r w:rsidR="00F378DB" w:rsidRPr="00A07F29">
        <w:rPr>
          <w:rFonts w:ascii="Times New Roman" w:eastAsia="Calibri" w:hAnsi="Times New Roman" w:cs="Calibri"/>
          <w:sz w:val="24"/>
        </w:rPr>
        <w:t xml:space="preserve"> 2017.</w:t>
      </w:r>
      <w:r w:rsidR="00154DB8" w:rsidRPr="00A07F29">
        <w:rPr>
          <w:rFonts w:ascii="Times New Roman" w:eastAsia="Calibri" w:hAnsi="Times New Roman" w:cs="Calibri"/>
          <w:sz w:val="24"/>
        </w:rPr>
        <w:t> </w:t>
      </w:r>
      <w:r w:rsidR="00F378DB" w:rsidRPr="00A07F29">
        <w:rPr>
          <w:rFonts w:ascii="Times New Roman" w:eastAsia="Calibri" w:hAnsi="Times New Roman" w:cs="Calibri"/>
          <w:sz w:val="24"/>
        </w:rPr>
        <w:t>gada 20.</w:t>
      </w:r>
      <w:r w:rsidR="00154DB8" w:rsidRPr="00A07F29">
        <w:rPr>
          <w:rFonts w:ascii="Times New Roman" w:eastAsia="Calibri" w:hAnsi="Times New Roman" w:cs="Calibri"/>
          <w:sz w:val="24"/>
        </w:rPr>
        <w:t> </w:t>
      </w:r>
      <w:r w:rsidR="00F378DB" w:rsidRPr="00A07F29">
        <w:rPr>
          <w:rFonts w:ascii="Times New Roman" w:eastAsia="Calibri" w:hAnsi="Times New Roman" w:cs="Calibri"/>
          <w:sz w:val="24"/>
        </w:rPr>
        <w:t>jūnija</w:t>
      </w:r>
      <w:r w:rsidR="00AF4C40" w:rsidRPr="00A07F29">
        <w:rPr>
          <w:rFonts w:ascii="Times New Roman" w:eastAsia="Calibri" w:hAnsi="Times New Roman" w:cs="Calibri"/>
          <w:sz w:val="24"/>
        </w:rPr>
        <w:t xml:space="preserve"> noteikumi Nr. 350 </w:t>
      </w:r>
      <w:r w:rsidR="00154DB8" w:rsidRPr="00A07F29">
        <w:rPr>
          <w:rFonts w:ascii="Times New Roman" w:eastAsia="Calibri" w:hAnsi="Times New Roman" w:cs="Calibri"/>
          <w:b/>
          <w:sz w:val="24"/>
        </w:rPr>
        <w:t>“</w:t>
      </w:r>
      <w:r w:rsidR="00AF4C40" w:rsidRPr="00A07F29">
        <w:rPr>
          <w:rFonts w:ascii="Times New Roman" w:eastAsia="Calibri" w:hAnsi="Times New Roman" w:cs="Calibri"/>
          <w:b/>
          <w:sz w:val="24"/>
        </w:rPr>
        <w:t>Noteikumi par īpaši aizsargājamo biotopu veidu sarakstu”</w:t>
      </w:r>
      <w:r w:rsidR="00AF4C40" w:rsidRPr="00A07F29">
        <w:rPr>
          <w:rFonts w:ascii="Times New Roman" w:eastAsia="Calibri" w:hAnsi="Times New Roman" w:cs="Calibri"/>
          <w:sz w:val="24"/>
        </w:rPr>
        <w:t xml:space="preserve"> iekļauts īpaši aizsargājamo biotopu veidu saraksts. </w:t>
      </w:r>
    </w:p>
    <w:p w14:paraId="0DBA2B76" w14:textId="1BE522FE" w:rsidR="00AF4C40" w:rsidRPr="00A07F29" w:rsidRDefault="007847A2" w:rsidP="00935EDF">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lastRenderedPageBreak/>
        <w:t>MK</w:t>
      </w:r>
      <w:r w:rsidR="00AF4C40" w:rsidRPr="00A07F29">
        <w:rPr>
          <w:rFonts w:ascii="Times New Roman" w:eastAsia="Calibri" w:hAnsi="Times New Roman" w:cs="Calibri"/>
          <w:sz w:val="24"/>
        </w:rPr>
        <w:t xml:space="preserve"> </w:t>
      </w:r>
      <w:r w:rsidR="00F378DB" w:rsidRPr="00A07F29">
        <w:rPr>
          <w:rFonts w:ascii="Times New Roman" w:eastAsia="Calibri" w:hAnsi="Times New Roman" w:cs="Calibri"/>
          <w:sz w:val="24"/>
        </w:rPr>
        <w:t>2012.</w:t>
      </w:r>
      <w:r w:rsidR="00DA404A" w:rsidRPr="00A07F29">
        <w:rPr>
          <w:rFonts w:ascii="Times New Roman" w:eastAsia="Calibri" w:hAnsi="Times New Roman" w:cs="Calibri"/>
          <w:sz w:val="24"/>
        </w:rPr>
        <w:t> </w:t>
      </w:r>
      <w:r w:rsidR="00F378DB" w:rsidRPr="00A07F29">
        <w:rPr>
          <w:rFonts w:ascii="Times New Roman" w:eastAsia="Calibri" w:hAnsi="Times New Roman" w:cs="Calibri"/>
          <w:sz w:val="24"/>
        </w:rPr>
        <w:t>gada 18.</w:t>
      </w:r>
      <w:r w:rsidR="00DA404A" w:rsidRPr="00A07F29">
        <w:rPr>
          <w:rFonts w:ascii="Times New Roman" w:eastAsia="Calibri" w:hAnsi="Times New Roman" w:cs="Calibri"/>
          <w:sz w:val="24"/>
        </w:rPr>
        <w:t> </w:t>
      </w:r>
      <w:r w:rsidR="00F378DB" w:rsidRPr="00A07F29">
        <w:rPr>
          <w:rFonts w:ascii="Times New Roman" w:eastAsia="Calibri" w:hAnsi="Times New Roman" w:cs="Calibri"/>
          <w:sz w:val="24"/>
        </w:rPr>
        <w:t xml:space="preserve">decembra </w:t>
      </w:r>
      <w:r w:rsidR="00AF4C40" w:rsidRPr="00A07F29">
        <w:rPr>
          <w:rFonts w:ascii="Times New Roman" w:eastAsia="Calibri" w:hAnsi="Times New Roman" w:cs="Calibri"/>
          <w:sz w:val="24"/>
        </w:rPr>
        <w:t xml:space="preserve">noteikumi Nr. 940 </w:t>
      </w:r>
      <w:r w:rsidR="00DA404A" w:rsidRPr="00A07F29">
        <w:rPr>
          <w:rFonts w:ascii="Times New Roman" w:eastAsia="Calibri" w:hAnsi="Times New Roman" w:cs="Calibri"/>
          <w:b/>
          <w:sz w:val="24"/>
        </w:rPr>
        <w:t>“</w:t>
      </w:r>
      <w:r w:rsidR="00AF4C40" w:rsidRPr="00A07F29">
        <w:rPr>
          <w:rFonts w:ascii="Times New Roman" w:eastAsia="Calibri" w:hAnsi="Times New Roman" w:cs="Calibri"/>
          <w:b/>
          <w:sz w:val="24"/>
        </w:rPr>
        <w:t>Noteikumi par mikroliegumu izveidošanas un apsaimniekošanas kārtību, to aizsardzību, kā arī mikroliegumu un to buferzonu noteikšanu”</w:t>
      </w:r>
      <w:r w:rsidR="00AF4C40" w:rsidRPr="00A07F29">
        <w:rPr>
          <w:rFonts w:ascii="Times New Roman" w:eastAsia="Calibri" w:hAnsi="Times New Roman" w:cs="Calibri"/>
          <w:sz w:val="24"/>
        </w:rPr>
        <w:t xml:space="preserve"> nosaka mikroliegumu izveidošanas un apsaimniekošanas kārtību, to aizsardzību, kā arī mikroliegumu un to buferzonu noteikšanu. Noteikumu pielikumos ir pieejams īpaši aizsargājamo zīdītāju, abinieku, rāpuļu, bezmugurkaulnieku, </w:t>
      </w:r>
      <w:proofErr w:type="spellStart"/>
      <w:r w:rsidR="00AF4C40" w:rsidRPr="00A07F29">
        <w:rPr>
          <w:rFonts w:ascii="Times New Roman" w:eastAsia="Calibri" w:hAnsi="Times New Roman" w:cs="Calibri"/>
          <w:sz w:val="24"/>
        </w:rPr>
        <w:t>vaskulāro</w:t>
      </w:r>
      <w:proofErr w:type="spellEnd"/>
      <w:r w:rsidR="00AF4C40" w:rsidRPr="00A07F29">
        <w:rPr>
          <w:rFonts w:ascii="Times New Roman" w:eastAsia="Calibri" w:hAnsi="Times New Roman" w:cs="Calibri"/>
          <w:sz w:val="24"/>
        </w:rPr>
        <w:t xml:space="preserve"> augu, sūnu, aļģu, ķērpju un sēņu sugu saraksts, kuru aizsardzībai var izveidot mikroliegumus, kā arī </w:t>
      </w:r>
      <w:r w:rsidR="00AF4C40" w:rsidRPr="002564FB">
        <w:rPr>
          <w:rFonts w:ascii="Times New Roman" w:eastAsia="Calibri" w:hAnsi="Times New Roman" w:cs="Calibri"/>
          <w:sz w:val="24"/>
        </w:rPr>
        <w:t>īpaši aizsargājamo</w:t>
      </w:r>
      <w:r w:rsidR="00AF4C40" w:rsidRPr="00A07F29">
        <w:rPr>
          <w:rFonts w:ascii="Times New Roman" w:eastAsia="Calibri" w:hAnsi="Times New Roman" w:cs="Calibri"/>
          <w:sz w:val="24"/>
        </w:rPr>
        <w:t xml:space="preserve"> putnu sugu saraksts, kuru aizsardzībai var izveidot mikroliegumus, un katrai sugai noteiktā mikrolieguma platība. AAA ir izveidoti vairāki mikroliegumi biotopu, kā arī augu un putnu sugu aizsardzībai.</w:t>
      </w:r>
    </w:p>
    <w:p w14:paraId="3A21FE32" w14:textId="41A57F4D" w:rsidR="00AF4C40" w:rsidRPr="00A07F29" w:rsidRDefault="00AF4C40" w:rsidP="00935EDF">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Likums </w:t>
      </w:r>
      <w:r w:rsidR="00312DD9" w:rsidRPr="00A07F29">
        <w:rPr>
          <w:rFonts w:ascii="Times New Roman" w:eastAsia="Calibri" w:hAnsi="Times New Roman" w:cs="Calibri"/>
          <w:sz w:val="24"/>
        </w:rPr>
        <w:t>“</w:t>
      </w:r>
      <w:r w:rsidRPr="00A07F29">
        <w:rPr>
          <w:rFonts w:ascii="Times New Roman" w:eastAsia="Calibri" w:hAnsi="Times New Roman" w:cs="Calibri"/>
          <w:b/>
          <w:sz w:val="24"/>
        </w:rPr>
        <w:t>Par kompensāciju par saimnieciskās darbības ierobežojumiem aizsargājamās teritorijās</w:t>
      </w:r>
      <w:r w:rsidR="00312DD9" w:rsidRPr="00A07F29">
        <w:rPr>
          <w:rFonts w:ascii="Times New Roman" w:eastAsia="Calibri" w:hAnsi="Times New Roman" w:cs="Calibri"/>
          <w:b/>
          <w:sz w:val="24"/>
        </w:rPr>
        <w:t>”</w:t>
      </w:r>
      <w:r w:rsidRPr="00A07F29">
        <w:rPr>
          <w:rFonts w:ascii="Times New Roman" w:eastAsia="Calibri" w:hAnsi="Times New Roman" w:cs="Calibri"/>
          <w:sz w:val="24"/>
        </w:rPr>
        <w:t xml:space="preserve"> paredz nosacījumus, ar </w:t>
      </w:r>
      <w:r w:rsidR="00312DD9" w:rsidRPr="00A07F29">
        <w:rPr>
          <w:rFonts w:ascii="Times New Roman" w:eastAsia="Calibri" w:hAnsi="Times New Roman" w:cs="Calibri"/>
          <w:sz w:val="24"/>
        </w:rPr>
        <w:t xml:space="preserve">ko </w:t>
      </w:r>
      <w:r w:rsidRPr="00A07F29">
        <w:rPr>
          <w:rFonts w:ascii="Times New Roman" w:eastAsia="Calibri" w:hAnsi="Times New Roman" w:cs="Calibri"/>
          <w:sz w:val="24"/>
        </w:rPr>
        <w:t xml:space="preserve">piešķirama kompensācija par saimnieciskās darbības ierobežojumiem valsts un pašvaldību izveidotajās </w:t>
      </w:r>
      <w:r w:rsidR="00312DD9" w:rsidRPr="00A07F29">
        <w:rPr>
          <w:rFonts w:ascii="Times New Roman" w:eastAsia="Calibri" w:hAnsi="Times New Roman" w:cs="Calibri"/>
          <w:sz w:val="24"/>
        </w:rPr>
        <w:t>ĪADT</w:t>
      </w:r>
      <w:r w:rsidRPr="00A07F29">
        <w:rPr>
          <w:rFonts w:ascii="Times New Roman" w:eastAsia="Calibri" w:hAnsi="Times New Roman" w:cs="Calibri"/>
          <w:sz w:val="24"/>
        </w:rPr>
        <w:t xml:space="preserve"> un mikroliegumos un</w:t>
      </w:r>
      <w:r w:rsidR="00424085" w:rsidRPr="00A07F29">
        <w:rPr>
          <w:rFonts w:ascii="Times New Roman" w:eastAsia="Calibri" w:hAnsi="Times New Roman" w:cs="Calibri"/>
          <w:sz w:val="24"/>
        </w:rPr>
        <w:t>,</w:t>
      </w:r>
      <w:r w:rsidRPr="00A07F29">
        <w:rPr>
          <w:rFonts w:ascii="Times New Roman" w:eastAsia="Calibri" w:hAnsi="Times New Roman" w:cs="Calibri"/>
          <w:sz w:val="24"/>
        </w:rPr>
        <w:t xml:space="preserve"> </w:t>
      </w:r>
      <w:r w:rsidR="00312DD9" w:rsidRPr="00A07F29">
        <w:rPr>
          <w:rFonts w:ascii="Times New Roman" w:eastAsia="Calibri" w:hAnsi="Times New Roman" w:cs="Calibri"/>
          <w:sz w:val="24"/>
        </w:rPr>
        <w:t xml:space="preserve">kas </w:t>
      </w:r>
      <w:r w:rsidRPr="00A07F29">
        <w:rPr>
          <w:rFonts w:ascii="Times New Roman" w:eastAsia="Calibri" w:hAnsi="Times New Roman" w:cs="Calibri"/>
          <w:sz w:val="24"/>
        </w:rPr>
        <w:t xml:space="preserve">izriet no aizsargājamo teritoriju aizsardzības prasībām, kā arī kompensācijas piešķiršanas kārtību. Tajā noteikts, ka </w:t>
      </w:r>
      <w:r w:rsidR="00312DD9" w:rsidRPr="00A07F29">
        <w:rPr>
          <w:rFonts w:ascii="Times New Roman" w:eastAsia="Calibri" w:hAnsi="Times New Roman" w:cs="Calibri"/>
          <w:sz w:val="24"/>
        </w:rPr>
        <w:t>i</w:t>
      </w:r>
      <w:r w:rsidRPr="00A07F29">
        <w:rPr>
          <w:rFonts w:ascii="Times New Roman" w:eastAsia="Calibri" w:hAnsi="Times New Roman" w:cs="Calibri"/>
          <w:sz w:val="24"/>
        </w:rPr>
        <w:t xml:space="preserve">kgadēju atbalsta maksājumu par saimnieciskās darbības ierobežojumiem </w:t>
      </w:r>
      <w:r w:rsidR="00312DD9" w:rsidRPr="00A07F29">
        <w:rPr>
          <w:rFonts w:ascii="Times New Roman" w:eastAsia="Calibri" w:hAnsi="Times New Roman" w:cs="Calibri"/>
          <w:sz w:val="24"/>
        </w:rPr>
        <w:t>ES nozīmes ĪADT</w:t>
      </w:r>
      <w:r w:rsidRPr="00A07F29">
        <w:rPr>
          <w:rFonts w:ascii="Times New Roman" w:eastAsia="Calibri" w:hAnsi="Times New Roman" w:cs="Calibri"/>
          <w:sz w:val="24"/>
        </w:rPr>
        <w:t xml:space="preserve"> (</w:t>
      </w:r>
      <w:proofErr w:type="spellStart"/>
      <w:r w:rsidR="0092556E" w:rsidRPr="00A07F29">
        <w:rPr>
          <w:rFonts w:ascii="Times New Roman" w:eastAsia="Calibri" w:hAnsi="Times New Roman" w:cs="Calibri"/>
          <w:i/>
          <w:iCs/>
          <w:sz w:val="24"/>
        </w:rPr>
        <w:t>Natura</w:t>
      </w:r>
      <w:proofErr w:type="spellEnd"/>
      <w:r w:rsidRPr="00A07F29">
        <w:rPr>
          <w:rFonts w:ascii="Times New Roman" w:eastAsia="Calibri" w:hAnsi="Times New Roman" w:cs="Calibri"/>
          <w:i/>
          <w:iCs/>
          <w:sz w:val="24"/>
        </w:rPr>
        <w:t xml:space="preserve"> 2000</w:t>
      </w:r>
      <w:r w:rsidRPr="00A07F29">
        <w:rPr>
          <w:rFonts w:ascii="Times New Roman" w:eastAsia="Calibri" w:hAnsi="Times New Roman" w:cs="Calibri"/>
          <w:sz w:val="24"/>
        </w:rPr>
        <w:t xml:space="preserve">) izmaksā normatīvajos aktos par lauku attīstības atbalsta piešķiršanu noteiktajā kārtībā no attiecīgo </w:t>
      </w:r>
      <w:r w:rsidR="00312DD9" w:rsidRPr="00A07F29">
        <w:rPr>
          <w:rFonts w:ascii="Times New Roman" w:eastAsia="Calibri" w:hAnsi="Times New Roman" w:cs="Calibri"/>
          <w:sz w:val="24"/>
        </w:rPr>
        <w:t>ES</w:t>
      </w:r>
      <w:r w:rsidRPr="00A07F29">
        <w:rPr>
          <w:rFonts w:ascii="Times New Roman" w:eastAsia="Calibri" w:hAnsi="Times New Roman" w:cs="Calibri"/>
          <w:sz w:val="24"/>
        </w:rPr>
        <w:t xml:space="preserve"> fondu līdzekļiem. </w:t>
      </w:r>
    </w:p>
    <w:p w14:paraId="4521A413" w14:textId="3F8F64F8" w:rsidR="00AF4C40" w:rsidRPr="00A07F29" w:rsidRDefault="007E1014" w:rsidP="007E1014">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MK 2021.</w:t>
      </w:r>
      <w:r w:rsidR="000A431C" w:rsidRPr="00A07F29">
        <w:rPr>
          <w:rFonts w:ascii="Times New Roman" w:eastAsia="Calibri" w:hAnsi="Times New Roman" w:cs="Calibri"/>
          <w:sz w:val="24"/>
        </w:rPr>
        <w:t> </w:t>
      </w:r>
      <w:r w:rsidRPr="00A07F29">
        <w:rPr>
          <w:rFonts w:ascii="Times New Roman" w:eastAsia="Calibri" w:hAnsi="Times New Roman" w:cs="Calibri"/>
          <w:sz w:val="24"/>
        </w:rPr>
        <w:t>gada 18.</w:t>
      </w:r>
      <w:r w:rsidR="000A431C" w:rsidRPr="00A07F29">
        <w:rPr>
          <w:rFonts w:ascii="Times New Roman" w:eastAsia="Calibri" w:hAnsi="Times New Roman" w:cs="Calibri"/>
          <w:sz w:val="24"/>
        </w:rPr>
        <w:t> </w:t>
      </w:r>
      <w:r w:rsidRPr="00A07F29">
        <w:rPr>
          <w:rFonts w:ascii="Times New Roman" w:eastAsia="Calibri" w:hAnsi="Times New Roman" w:cs="Calibri"/>
          <w:sz w:val="24"/>
        </w:rPr>
        <w:t>februāra noteikumi</w:t>
      </w:r>
      <w:r w:rsidR="000A431C" w:rsidRPr="00A07F29">
        <w:rPr>
          <w:rFonts w:ascii="Times New Roman" w:eastAsia="Calibri" w:hAnsi="Times New Roman" w:cs="Calibri"/>
          <w:sz w:val="24"/>
        </w:rPr>
        <w:t xml:space="preserve"> Nr. </w:t>
      </w:r>
      <w:r w:rsidR="00311ACB" w:rsidRPr="00A07F29">
        <w:rPr>
          <w:rFonts w:ascii="Times New Roman" w:eastAsia="Calibri" w:hAnsi="Times New Roman" w:cs="Calibri"/>
          <w:sz w:val="24"/>
        </w:rPr>
        <w:t>114</w:t>
      </w:r>
      <w:r w:rsidRPr="00A07F29">
        <w:rPr>
          <w:rFonts w:ascii="Times New Roman" w:eastAsia="Calibri" w:hAnsi="Times New Roman" w:cs="Calibri"/>
          <w:sz w:val="24"/>
        </w:rPr>
        <w:t xml:space="preserve"> </w:t>
      </w:r>
      <w:r w:rsidRPr="00A07F29">
        <w:rPr>
          <w:rFonts w:ascii="Times New Roman" w:eastAsia="Calibri" w:hAnsi="Times New Roman" w:cs="Calibri"/>
          <w:b/>
          <w:bCs/>
          <w:sz w:val="24"/>
        </w:rPr>
        <w:t xml:space="preserve">“Kārtība, kādā zemes īpašniekiem vai lietotājiem nosakāmi to zaudējumu apmēri, kas saistīti ar īpaši aizsargājamo nemedījamo sugu un migrējošo sugu dzīvnieku nodarītajiem būtiskiem postījumiem, un minimālās aizsardzības pasākumu prasības postījumu </w:t>
      </w:r>
      <w:proofErr w:type="spellStart"/>
      <w:r w:rsidRPr="00A07F29">
        <w:rPr>
          <w:rFonts w:ascii="Times New Roman" w:eastAsia="Calibri" w:hAnsi="Times New Roman" w:cs="Calibri"/>
          <w:b/>
          <w:bCs/>
          <w:sz w:val="24"/>
        </w:rPr>
        <w:t>novēršanai”</w:t>
      </w:r>
      <w:r w:rsidR="00AF4C40" w:rsidRPr="00A07F29">
        <w:rPr>
          <w:rFonts w:ascii="Times New Roman" w:eastAsia="Calibri" w:hAnsi="Times New Roman" w:cs="Calibri"/>
          <w:sz w:val="24"/>
        </w:rPr>
        <w:t>nosaka</w:t>
      </w:r>
      <w:proofErr w:type="spellEnd"/>
      <w:r w:rsidR="00AF4C40" w:rsidRPr="00A07F29">
        <w:rPr>
          <w:rFonts w:ascii="Times New Roman" w:eastAsia="Calibri" w:hAnsi="Times New Roman" w:cs="Calibri"/>
          <w:sz w:val="24"/>
        </w:rPr>
        <w:t xml:space="preserve"> kārtību, kādā zemes lietotājiem nosakāmi to zaudējumu apmēri, kas saistīti ar </w:t>
      </w:r>
      <w:r w:rsidR="00AF4C40" w:rsidRPr="00446DAA">
        <w:rPr>
          <w:rFonts w:ascii="Times New Roman" w:eastAsia="Calibri" w:hAnsi="Times New Roman" w:cs="Calibri"/>
          <w:sz w:val="24"/>
        </w:rPr>
        <w:t>īpaši aizsargājamo</w:t>
      </w:r>
      <w:r w:rsidR="00AF4C40" w:rsidRPr="00A07F29">
        <w:rPr>
          <w:rFonts w:ascii="Times New Roman" w:eastAsia="Calibri" w:hAnsi="Times New Roman" w:cs="Calibri"/>
          <w:sz w:val="24"/>
        </w:rPr>
        <w:t xml:space="preserve"> nemedījamo sugu un migrējošo sugu dzīvnieku nodarītajiem būtiskiem postījumiem. </w:t>
      </w:r>
    </w:p>
    <w:p w14:paraId="36A03390" w14:textId="1106CCE6" w:rsidR="00AF4C40" w:rsidRPr="00A07F29" w:rsidRDefault="00AF4C40" w:rsidP="00935EDF">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Likums </w:t>
      </w:r>
      <w:r w:rsidR="00312DD9" w:rsidRPr="00A07F29">
        <w:rPr>
          <w:rFonts w:ascii="Times New Roman" w:eastAsia="Calibri" w:hAnsi="Times New Roman" w:cs="Calibri"/>
          <w:sz w:val="24"/>
        </w:rPr>
        <w:t>“</w:t>
      </w:r>
      <w:r w:rsidRPr="00A07F29">
        <w:rPr>
          <w:rFonts w:ascii="Times New Roman" w:eastAsia="Calibri" w:hAnsi="Times New Roman" w:cs="Calibri"/>
          <w:b/>
          <w:sz w:val="24"/>
        </w:rPr>
        <w:t>Par ietekmes uz vidi novērtējumu</w:t>
      </w:r>
      <w:r w:rsidR="00312DD9" w:rsidRPr="00A07F29">
        <w:rPr>
          <w:rFonts w:ascii="Times New Roman" w:eastAsia="Calibri" w:hAnsi="Times New Roman" w:cs="Calibri"/>
          <w:b/>
          <w:sz w:val="24"/>
        </w:rPr>
        <w:t>”</w:t>
      </w:r>
      <w:r w:rsidRPr="00A07F29">
        <w:rPr>
          <w:rFonts w:ascii="Times New Roman" w:eastAsia="Calibri" w:hAnsi="Times New Roman" w:cs="Calibri"/>
          <w:sz w:val="24"/>
        </w:rPr>
        <w:t xml:space="preserve"> nosaka darbības un objektus, kuriem ir nepieciešams ietekmes uz vidi novērtējums un darbības, kurām ir nepieciešams sākotnējais ietekmes uz vidi novērtējums, kā arī nosaka plānošanas dokumentus, kuriem nepieciešams stratēģiskais ietekmes uz vidi novērtējums. </w:t>
      </w:r>
      <w:r w:rsidR="00312DD9" w:rsidRPr="00A07F29">
        <w:rPr>
          <w:rFonts w:ascii="Times New Roman" w:eastAsia="Calibri" w:hAnsi="Times New Roman" w:cs="Calibri"/>
          <w:sz w:val="24"/>
        </w:rPr>
        <w:t>L</w:t>
      </w:r>
      <w:r w:rsidRPr="00A07F29">
        <w:rPr>
          <w:rFonts w:ascii="Times New Roman" w:eastAsia="Calibri" w:hAnsi="Times New Roman" w:cs="Calibri"/>
          <w:sz w:val="24"/>
        </w:rPr>
        <w:t>ikuma 4.</w:t>
      </w:r>
      <w:r w:rsidRPr="00A07F29">
        <w:rPr>
          <w:rFonts w:ascii="Times New Roman" w:eastAsia="Calibri" w:hAnsi="Times New Roman" w:cs="Calibri"/>
          <w:sz w:val="24"/>
          <w:vertAlign w:val="superscript"/>
        </w:rPr>
        <w:t>1</w:t>
      </w:r>
      <w:r w:rsidRPr="00A07F29">
        <w:rPr>
          <w:rFonts w:ascii="Times New Roman" w:eastAsia="Calibri" w:hAnsi="Times New Roman" w:cs="Calibri"/>
          <w:sz w:val="24"/>
        </w:rPr>
        <w:t xml:space="preserve"> pants paredz, ka kompetentā institūcija var pieņemt lēmumu par ietekmes novērtējumu uz Eiropas nozīmes aizsargājamo dabas teritoriju arī darbībām, kuras nav iekļautas likuma 1. un 2. pielikumā. Novērtējums jāveic saskaņā ar atsevišķi noteiktu kārtību. Likums piemērojams darbībām, kā arī izstrādes procesā esošiem plānošanas dokumentiem, kuros paredzētas darbības, kas var būtiski ietekmēt </w:t>
      </w:r>
      <w:r w:rsidR="00312DD9" w:rsidRPr="00A07F29">
        <w:rPr>
          <w:rFonts w:ascii="Times New Roman" w:eastAsia="Calibri" w:hAnsi="Times New Roman" w:cs="Calibri"/>
          <w:sz w:val="24"/>
        </w:rPr>
        <w:t>ES</w:t>
      </w:r>
      <w:r w:rsidRPr="00A07F29">
        <w:rPr>
          <w:rFonts w:ascii="Times New Roman" w:eastAsia="Calibri" w:hAnsi="Times New Roman" w:cs="Calibri"/>
          <w:sz w:val="24"/>
        </w:rPr>
        <w:t xml:space="preserve"> </w:t>
      </w:r>
      <w:r w:rsidR="00312DD9" w:rsidRPr="00A07F29">
        <w:rPr>
          <w:rFonts w:ascii="Times New Roman" w:eastAsia="Calibri" w:hAnsi="Times New Roman" w:cs="Calibri"/>
          <w:sz w:val="24"/>
        </w:rPr>
        <w:t>nozīmes ĪADT</w:t>
      </w:r>
      <w:r w:rsidRPr="00A07F29">
        <w:rPr>
          <w:rFonts w:ascii="Times New Roman" w:eastAsia="Calibri" w:hAnsi="Times New Roman" w:cs="Calibri"/>
          <w:sz w:val="24"/>
        </w:rPr>
        <w:t xml:space="preserve"> </w:t>
      </w:r>
      <w:r w:rsidRPr="00A07F29">
        <w:rPr>
          <w:rFonts w:ascii="Times New Roman" w:eastAsia="Calibri" w:hAnsi="Times New Roman" w:cs="Calibri"/>
          <w:i/>
          <w:sz w:val="24"/>
        </w:rPr>
        <w:t>(</w:t>
      </w:r>
      <w:proofErr w:type="spellStart"/>
      <w:r w:rsidR="0092556E" w:rsidRPr="00A07F29">
        <w:rPr>
          <w:rFonts w:ascii="Times New Roman" w:eastAsia="Calibri" w:hAnsi="Times New Roman" w:cs="Calibri"/>
          <w:i/>
          <w:sz w:val="24"/>
        </w:rPr>
        <w:t>Natura</w:t>
      </w:r>
      <w:proofErr w:type="spellEnd"/>
      <w:r w:rsidRPr="00A07F29">
        <w:rPr>
          <w:rFonts w:ascii="Times New Roman" w:eastAsia="Calibri" w:hAnsi="Times New Roman" w:cs="Calibri"/>
          <w:i/>
          <w:sz w:val="24"/>
        </w:rPr>
        <w:t xml:space="preserve"> 2000)</w:t>
      </w:r>
      <w:r w:rsidRPr="00A07F29">
        <w:rPr>
          <w:rFonts w:ascii="Times New Roman" w:eastAsia="Calibri" w:hAnsi="Times New Roman" w:cs="Calibri"/>
          <w:sz w:val="24"/>
        </w:rPr>
        <w:t xml:space="preserve">, izņemot plānošanas dokumentus, kuri nosaka dabas aizsardzības un apsaimniekošanas prasības un pasākumus attiecībā uz šīm teritorijām. </w:t>
      </w:r>
    </w:p>
    <w:p w14:paraId="3AE6D9CE" w14:textId="0DFBA14E" w:rsidR="00AF4C40" w:rsidRPr="00A07F29" w:rsidRDefault="007847A2" w:rsidP="00935EDF">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MK</w:t>
      </w:r>
      <w:r w:rsidR="00AF4C40" w:rsidRPr="00A07F29">
        <w:rPr>
          <w:rFonts w:ascii="Times New Roman" w:eastAsia="Calibri" w:hAnsi="Times New Roman" w:cs="Calibri"/>
          <w:sz w:val="24"/>
        </w:rPr>
        <w:t xml:space="preserve"> </w:t>
      </w:r>
      <w:r w:rsidR="00F378DB" w:rsidRPr="00A07F29">
        <w:rPr>
          <w:rFonts w:ascii="Times New Roman" w:eastAsia="Calibri" w:hAnsi="Times New Roman" w:cs="Calibri"/>
          <w:sz w:val="24"/>
        </w:rPr>
        <w:t>2011.</w:t>
      </w:r>
      <w:r w:rsidR="00F0300C" w:rsidRPr="00A07F29">
        <w:rPr>
          <w:rFonts w:ascii="Times New Roman" w:eastAsia="Calibri" w:hAnsi="Times New Roman" w:cs="Calibri"/>
          <w:sz w:val="24"/>
        </w:rPr>
        <w:t> </w:t>
      </w:r>
      <w:r w:rsidR="00F378DB" w:rsidRPr="00A07F29">
        <w:rPr>
          <w:rFonts w:ascii="Times New Roman" w:eastAsia="Calibri" w:hAnsi="Times New Roman" w:cs="Calibri"/>
          <w:sz w:val="24"/>
        </w:rPr>
        <w:t>gada 19.</w:t>
      </w:r>
      <w:r w:rsidR="00F0300C" w:rsidRPr="00A07F29">
        <w:rPr>
          <w:rFonts w:ascii="Times New Roman" w:eastAsia="Calibri" w:hAnsi="Times New Roman" w:cs="Calibri"/>
          <w:sz w:val="24"/>
        </w:rPr>
        <w:t> </w:t>
      </w:r>
      <w:r w:rsidR="00F378DB" w:rsidRPr="00A07F29">
        <w:rPr>
          <w:rFonts w:ascii="Times New Roman" w:eastAsia="Calibri" w:hAnsi="Times New Roman" w:cs="Calibri"/>
          <w:sz w:val="24"/>
        </w:rPr>
        <w:t xml:space="preserve">aprīļa </w:t>
      </w:r>
      <w:r w:rsidR="00AF4C40" w:rsidRPr="00A07F29">
        <w:rPr>
          <w:rFonts w:ascii="Times New Roman" w:eastAsia="Calibri" w:hAnsi="Times New Roman" w:cs="Calibri"/>
          <w:sz w:val="24"/>
        </w:rPr>
        <w:t xml:space="preserve">noteikumi Nr. 300 </w:t>
      </w:r>
      <w:r w:rsidR="00F0300C" w:rsidRPr="00A07F29">
        <w:rPr>
          <w:rFonts w:ascii="Times New Roman" w:eastAsia="Calibri" w:hAnsi="Times New Roman" w:cs="Calibri"/>
          <w:sz w:val="24"/>
        </w:rPr>
        <w:t>“</w:t>
      </w:r>
      <w:r w:rsidR="00AF4C40" w:rsidRPr="00A07F29">
        <w:rPr>
          <w:rFonts w:ascii="Times New Roman" w:eastAsia="Calibri" w:hAnsi="Times New Roman" w:cs="Calibri"/>
          <w:b/>
          <w:sz w:val="24"/>
        </w:rPr>
        <w:t>Kārtība, kādā novērtējama ietekme uz Eiropas nozīmes īpaši aizsargājamo dabas teritoriju (</w:t>
      </w:r>
      <w:proofErr w:type="spellStart"/>
      <w:r w:rsidR="0092556E" w:rsidRPr="00A07F29">
        <w:rPr>
          <w:rFonts w:ascii="Times New Roman" w:eastAsia="Calibri" w:hAnsi="Times New Roman" w:cs="Calibri"/>
          <w:b/>
          <w:i/>
          <w:sz w:val="24"/>
        </w:rPr>
        <w:t>Natura</w:t>
      </w:r>
      <w:proofErr w:type="spellEnd"/>
      <w:r w:rsidR="00AF4C40" w:rsidRPr="00A07F29">
        <w:rPr>
          <w:rFonts w:ascii="Times New Roman" w:eastAsia="Calibri" w:hAnsi="Times New Roman" w:cs="Calibri"/>
          <w:b/>
          <w:i/>
          <w:sz w:val="24"/>
        </w:rPr>
        <w:t xml:space="preserve"> 2000</w:t>
      </w:r>
      <w:r w:rsidR="00AF4C40" w:rsidRPr="00A07F29">
        <w:rPr>
          <w:rFonts w:ascii="Times New Roman" w:eastAsia="Calibri" w:hAnsi="Times New Roman" w:cs="Calibri"/>
          <w:b/>
          <w:sz w:val="24"/>
        </w:rPr>
        <w:t>)”</w:t>
      </w:r>
      <w:r w:rsidR="00AF4C40" w:rsidRPr="00A07F29">
        <w:rPr>
          <w:rFonts w:ascii="Times New Roman" w:eastAsia="Calibri" w:hAnsi="Times New Roman" w:cs="Calibri"/>
          <w:sz w:val="24"/>
        </w:rPr>
        <w:t xml:space="preserve"> nosaka, kā novērtējama to paredzēto darbību ietekme uz </w:t>
      </w:r>
      <w:r w:rsidR="00312DD9" w:rsidRPr="00A07F29">
        <w:rPr>
          <w:rFonts w:ascii="Times New Roman" w:eastAsia="Calibri" w:hAnsi="Times New Roman" w:cs="Calibri"/>
          <w:sz w:val="24"/>
        </w:rPr>
        <w:t>ES nozīmes ĪADT</w:t>
      </w:r>
      <w:r w:rsidR="00AF4C40" w:rsidRPr="00A07F29">
        <w:rPr>
          <w:rFonts w:ascii="Times New Roman" w:eastAsia="Calibri" w:hAnsi="Times New Roman" w:cs="Calibri"/>
          <w:sz w:val="24"/>
        </w:rPr>
        <w:t xml:space="preserve"> </w:t>
      </w:r>
      <w:r w:rsidR="00AF4C40" w:rsidRPr="00A07F29">
        <w:rPr>
          <w:rFonts w:ascii="Times New Roman" w:eastAsia="Calibri" w:hAnsi="Times New Roman" w:cs="Calibri"/>
          <w:i/>
          <w:sz w:val="24"/>
        </w:rPr>
        <w:t>(</w:t>
      </w:r>
      <w:proofErr w:type="spellStart"/>
      <w:r w:rsidR="0092556E" w:rsidRPr="00A07F29">
        <w:rPr>
          <w:rFonts w:ascii="Times New Roman" w:eastAsia="Calibri" w:hAnsi="Times New Roman" w:cs="Calibri"/>
          <w:i/>
          <w:sz w:val="24"/>
        </w:rPr>
        <w:t>Natura</w:t>
      </w:r>
      <w:proofErr w:type="spellEnd"/>
      <w:r w:rsidR="00AF4C40" w:rsidRPr="00A07F29">
        <w:rPr>
          <w:rFonts w:ascii="Times New Roman" w:eastAsia="Calibri" w:hAnsi="Times New Roman" w:cs="Calibri"/>
          <w:i/>
          <w:sz w:val="24"/>
        </w:rPr>
        <w:t xml:space="preserve"> 2000)</w:t>
      </w:r>
      <w:r w:rsidR="00AF4C40" w:rsidRPr="00A07F29">
        <w:rPr>
          <w:rFonts w:ascii="Times New Roman" w:eastAsia="Calibri" w:hAnsi="Times New Roman" w:cs="Calibri"/>
          <w:sz w:val="24"/>
        </w:rPr>
        <w:t xml:space="preserve">, kuru īstenošanai nav jāveic ietekmes uz vidi novērtējums. </w:t>
      </w:r>
    </w:p>
    <w:p w14:paraId="453E7A0B" w14:textId="16D80293" w:rsidR="00AF4C40" w:rsidRPr="00A07F29" w:rsidRDefault="007847A2" w:rsidP="00935EDF">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MK</w:t>
      </w:r>
      <w:r w:rsidR="00AF4C40" w:rsidRPr="00A07F29">
        <w:rPr>
          <w:rFonts w:ascii="Times New Roman" w:eastAsia="Calibri" w:hAnsi="Times New Roman" w:cs="Calibri"/>
          <w:sz w:val="24"/>
        </w:rPr>
        <w:t xml:space="preserve"> </w:t>
      </w:r>
      <w:r w:rsidR="00F378DB" w:rsidRPr="00A07F29">
        <w:rPr>
          <w:rFonts w:ascii="Times New Roman" w:eastAsia="Calibri" w:hAnsi="Times New Roman" w:cs="Calibri"/>
          <w:sz w:val="24"/>
        </w:rPr>
        <w:t>2004.</w:t>
      </w:r>
      <w:r w:rsidR="00BB481F" w:rsidRPr="00A07F29">
        <w:rPr>
          <w:rFonts w:ascii="Times New Roman" w:eastAsia="Calibri" w:hAnsi="Times New Roman" w:cs="Calibri"/>
          <w:sz w:val="24"/>
        </w:rPr>
        <w:t> </w:t>
      </w:r>
      <w:r w:rsidR="00F378DB" w:rsidRPr="00A07F29">
        <w:rPr>
          <w:rFonts w:ascii="Times New Roman" w:eastAsia="Calibri" w:hAnsi="Times New Roman" w:cs="Calibri"/>
          <w:sz w:val="24"/>
        </w:rPr>
        <w:t>gada 23.</w:t>
      </w:r>
      <w:r w:rsidR="00BB481F" w:rsidRPr="00A07F29">
        <w:rPr>
          <w:rFonts w:ascii="Times New Roman" w:eastAsia="Calibri" w:hAnsi="Times New Roman" w:cs="Calibri"/>
          <w:sz w:val="24"/>
        </w:rPr>
        <w:t> </w:t>
      </w:r>
      <w:r w:rsidR="00F378DB" w:rsidRPr="00A07F29">
        <w:rPr>
          <w:rFonts w:ascii="Times New Roman" w:eastAsia="Calibri" w:hAnsi="Times New Roman" w:cs="Calibri"/>
          <w:sz w:val="24"/>
        </w:rPr>
        <w:t xml:space="preserve">marta </w:t>
      </w:r>
      <w:r w:rsidR="00AF4C40" w:rsidRPr="00A07F29">
        <w:rPr>
          <w:rFonts w:ascii="Times New Roman" w:eastAsia="Calibri" w:hAnsi="Times New Roman" w:cs="Calibri"/>
          <w:sz w:val="24"/>
        </w:rPr>
        <w:t xml:space="preserve">noteikumi Nr. 157 </w:t>
      </w:r>
      <w:r w:rsidR="00BB481F" w:rsidRPr="00A07F29">
        <w:rPr>
          <w:rFonts w:ascii="Times New Roman" w:eastAsia="Calibri" w:hAnsi="Times New Roman" w:cs="Calibri"/>
          <w:b/>
          <w:sz w:val="24"/>
        </w:rPr>
        <w:t>“</w:t>
      </w:r>
      <w:r w:rsidR="00AF4C40" w:rsidRPr="00A07F29">
        <w:rPr>
          <w:rFonts w:ascii="Times New Roman" w:eastAsia="Calibri" w:hAnsi="Times New Roman" w:cs="Calibri"/>
          <w:b/>
          <w:sz w:val="24"/>
        </w:rPr>
        <w:t>Kārtība, kādā veicams ietekmes uz vidi stratēģiskais novērtējums”</w:t>
      </w:r>
      <w:r w:rsidR="00AF4C40" w:rsidRPr="00A07F29">
        <w:rPr>
          <w:rFonts w:ascii="Times New Roman" w:eastAsia="Calibri" w:hAnsi="Times New Roman" w:cs="Calibri"/>
          <w:sz w:val="24"/>
        </w:rPr>
        <w:t xml:space="preserve"> nosaka kārtību, kādā veicams ietekmes uz vidi stratēģiskais novērtējums, kā arī plānošanas dokumentu veidus, kuriem veicams ietekmes uz vidi stratēģiskais novērtējums. Noteikumi nosaka vides pārskatā iekļaujamās prasības, tajā skaitā, ar plānošanas dokumentu saistītās vides problēmas, īpaši tās, kuras attiecas uz jebkurām vides aizsardzībai būtiskām teritorijām, arī uz </w:t>
      </w:r>
      <w:r w:rsidR="00312DD9" w:rsidRPr="00A07F29">
        <w:rPr>
          <w:rFonts w:ascii="Times New Roman" w:eastAsia="Calibri" w:hAnsi="Times New Roman" w:cs="Calibri"/>
          <w:sz w:val="24"/>
        </w:rPr>
        <w:t>ĪADT</w:t>
      </w:r>
      <w:r w:rsidR="00AF4C40" w:rsidRPr="00A07F29">
        <w:rPr>
          <w:rFonts w:ascii="Times New Roman" w:eastAsia="Calibri" w:hAnsi="Times New Roman" w:cs="Calibri"/>
          <w:sz w:val="24"/>
        </w:rPr>
        <w:t xml:space="preserve">, mitrājiem, mikroliegumiem, </w:t>
      </w:r>
      <w:r w:rsidR="00AF4C40" w:rsidRPr="00446DAA">
        <w:rPr>
          <w:rFonts w:ascii="Times New Roman" w:eastAsia="Calibri" w:hAnsi="Times New Roman" w:cs="Calibri"/>
          <w:sz w:val="24"/>
        </w:rPr>
        <w:t>īpaši aizsargājamām</w:t>
      </w:r>
      <w:r w:rsidR="00AF4C40" w:rsidRPr="00A07F29">
        <w:rPr>
          <w:rFonts w:ascii="Times New Roman" w:eastAsia="Calibri" w:hAnsi="Times New Roman" w:cs="Calibri"/>
          <w:sz w:val="24"/>
        </w:rPr>
        <w:t xml:space="preserve"> sugām, to dzīvotnēm. </w:t>
      </w:r>
    </w:p>
    <w:p w14:paraId="08DCD968" w14:textId="7B86B7EA" w:rsidR="00AF4C40" w:rsidRPr="00A07F29" w:rsidRDefault="007847A2" w:rsidP="00935EDF">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MK</w:t>
      </w:r>
      <w:r w:rsidR="00AF4C40" w:rsidRPr="00A07F29">
        <w:rPr>
          <w:rFonts w:ascii="Times New Roman" w:eastAsia="Calibri" w:hAnsi="Times New Roman" w:cs="Calibri"/>
          <w:sz w:val="24"/>
        </w:rPr>
        <w:t xml:space="preserve"> </w:t>
      </w:r>
      <w:r w:rsidR="00F378DB" w:rsidRPr="00A07F29">
        <w:rPr>
          <w:rFonts w:ascii="Times New Roman" w:eastAsia="Calibri" w:hAnsi="Times New Roman" w:cs="Calibri"/>
          <w:sz w:val="24"/>
        </w:rPr>
        <w:t>2015.</w:t>
      </w:r>
      <w:r w:rsidR="00AC27E2" w:rsidRPr="00A07F29">
        <w:rPr>
          <w:rFonts w:ascii="Times New Roman" w:eastAsia="Calibri" w:hAnsi="Times New Roman" w:cs="Calibri"/>
          <w:sz w:val="24"/>
        </w:rPr>
        <w:t> </w:t>
      </w:r>
      <w:r w:rsidR="00F378DB" w:rsidRPr="00A07F29">
        <w:rPr>
          <w:rFonts w:ascii="Times New Roman" w:eastAsia="Calibri" w:hAnsi="Times New Roman" w:cs="Calibri"/>
          <w:sz w:val="24"/>
        </w:rPr>
        <w:t>gada 13.</w:t>
      </w:r>
      <w:r w:rsidR="00AC27E2" w:rsidRPr="00A07F29">
        <w:rPr>
          <w:rFonts w:ascii="Times New Roman" w:eastAsia="Calibri" w:hAnsi="Times New Roman" w:cs="Calibri"/>
          <w:sz w:val="24"/>
        </w:rPr>
        <w:t> </w:t>
      </w:r>
      <w:r w:rsidR="00F378DB" w:rsidRPr="00A07F29">
        <w:rPr>
          <w:rFonts w:ascii="Times New Roman" w:eastAsia="Calibri" w:hAnsi="Times New Roman" w:cs="Calibri"/>
          <w:sz w:val="24"/>
        </w:rPr>
        <w:t xml:space="preserve">janvāra </w:t>
      </w:r>
      <w:r w:rsidR="00AF4C40" w:rsidRPr="00A07F29">
        <w:rPr>
          <w:rFonts w:ascii="Times New Roman" w:eastAsia="Calibri" w:hAnsi="Times New Roman" w:cs="Calibri"/>
          <w:sz w:val="24"/>
        </w:rPr>
        <w:t xml:space="preserve">noteikumi Nr. 18 </w:t>
      </w:r>
      <w:r w:rsidR="00B574AF" w:rsidRPr="00A07F29">
        <w:rPr>
          <w:rFonts w:ascii="Times New Roman" w:eastAsia="Calibri" w:hAnsi="Times New Roman" w:cs="Calibri"/>
          <w:b/>
          <w:sz w:val="24"/>
        </w:rPr>
        <w:t>“</w:t>
      </w:r>
      <w:r w:rsidR="00AF4C40" w:rsidRPr="00A07F29">
        <w:rPr>
          <w:rFonts w:ascii="Times New Roman" w:eastAsia="Calibri" w:hAnsi="Times New Roman" w:cs="Calibri"/>
          <w:b/>
          <w:sz w:val="24"/>
        </w:rPr>
        <w:t>Kārtība, kādā novērtē paredzētās darbības ietekmi uz vidi un akceptē paredzēto darbību”</w:t>
      </w:r>
      <w:r w:rsidR="00AF4C40" w:rsidRPr="00A07F29">
        <w:rPr>
          <w:rFonts w:ascii="Times New Roman" w:eastAsia="Calibri" w:hAnsi="Times New Roman" w:cs="Calibri"/>
          <w:sz w:val="24"/>
        </w:rPr>
        <w:t xml:space="preserve"> nosaka kārtību, kādā veicams ietekmes uz vidi novērtējums. Ja darbība, kurai nepieciešams veikt ietekmes uz vidi novērtējumu, tiktu plānota AAA teritorijā vai šī darbība to varētu netieši ietekmēt, tad šāda informācija jānorāda attiecīgajā iesniegumā. </w:t>
      </w:r>
    </w:p>
    <w:p w14:paraId="1B8D235B" w14:textId="482D0F72" w:rsidR="00AF4C40" w:rsidRPr="00A07F29" w:rsidRDefault="007847A2" w:rsidP="00935EDF">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lastRenderedPageBreak/>
        <w:t>MK</w:t>
      </w:r>
      <w:r w:rsidR="00AF4C40" w:rsidRPr="00A07F29">
        <w:rPr>
          <w:rFonts w:ascii="Times New Roman" w:eastAsia="Calibri" w:hAnsi="Times New Roman" w:cs="Calibri"/>
          <w:sz w:val="24"/>
        </w:rPr>
        <w:t xml:space="preserve"> </w:t>
      </w:r>
      <w:r w:rsidR="00F378DB" w:rsidRPr="00A07F29">
        <w:rPr>
          <w:rFonts w:ascii="Times New Roman" w:eastAsia="Calibri" w:hAnsi="Times New Roman" w:cs="Calibri"/>
          <w:sz w:val="24"/>
        </w:rPr>
        <w:t>2015.</w:t>
      </w:r>
      <w:r w:rsidR="00746CEE" w:rsidRPr="00A07F29">
        <w:rPr>
          <w:rFonts w:ascii="Times New Roman" w:eastAsia="Calibri" w:hAnsi="Times New Roman" w:cs="Calibri"/>
          <w:sz w:val="24"/>
        </w:rPr>
        <w:t> </w:t>
      </w:r>
      <w:r w:rsidR="00F378DB" w:rsidRPr="00A07F29">
        <w:rPr>
          <w:rFonts w:ascii="Times New Roman" w:eastAsia="Calibri" w:hAnsi="Times New Roman" w:cs="Calibri"/>
          <w:sz w:val="24"/>
        </w:rPr>
        <w:t>gada 27.</w:t>
      </w:r>
      <w:r w:rsidR="00746CEE" w:rsidRPr="00A07F29">
        <w:rPr>
          <w:rFonts w:ascii="Times New Roman" w:eastAsia="Calibri" w:hAnsi="Times New Roman" w:cs="Calibri"/>
          <w:sz w:val="24"/>
        </w:rPr>
        <w:t> </w:t>
      </w:r>
      <w:r w:rsidR="00F378DB" w:rsidRPr="00A07F29">
        <w:rPr>
          <w:rFonts w:ascii="Times New Roman" w:eastAsia="Calibri" w:hAnsi="Times New Roman" w:cs="Calibri"/>
          <w:sz w:val="24"/>
        </w:rPr>
        <w:t xml:space="preserve">janvāra </w:t>
      </w:r>
      <w:r w:rsidR="00AF4C40" w:rsidRPr="00A07F29">
        <w:rPr>
          <w:rFonts w:ascii="Times New Roman" w:eastAsia="Calibri" w:hAnsi="Times New Roman" w:cs="Calibri"/>
          <w:sz w:val="24"/>
        </w:rPr>
        <w:t xml:space="preserve">noteikumi Nr. 30 </w:t>
      </w:r>
      <w:r w:rsidR="00746CEE" w:rsidRPr="00A07F29">
        <w:rPr>
          <w:rFonts w:ascii="Times New Roman" w:eastAsia="Calibri" w:hAnsi="Times New Roman" w:cs="Calibri"/>
          <w:b/>
          <w:sz w:val="24"/>
        </w:rPr>
        <w:t>“</w:t>
      </w:r>
      <w:r w:rsidR="00AF4C40" w:rsidRPr="00A07F29">
        <w:rPr>
          <w:rFonts w:ascii="Times New Roman" w:eastAsia="Calibri" w:hAnsi="Times New Roman" w:cs="Calibri"/>
          <w:b/>
          <w:sz w:val="24"/>
        </w:rPr>
        <w:t>Kārtība, kādā Valsts vides dienests izdod tehniskos noteikumus paredzētajai darbībai”</w:t>
      </w:r>
      <w:r w:rsidR="00AF4C40" w:rsidRPr="00A07F29">
        <w:rPr>
          <w:rFonts w:ascii="Times New Roman" w:eastAsia="Calibri" w:hAnsi="Times New Roman" w:cs="Calibri"/>
          <w:sz w:val="24"/>
        </w:rPr>
        <w:t xml:space="preserve"> nosaka paredzētās darbības, kurām nav nepieciešams ietekmes uz vidi novērtējums, bet kuru veikšanai ir nepieciešami tehniskie noteikumi, kā arī šo tehnisko noteikumu saturu, pieprasīšanas, sagatavošanas un izdošanas kārtību. Tehniskajos noteikumos tiek noteiktas vides aizsardzības prasības paredzētajai darbībai tās norises vietā, tajā skaitā norāde par atrašanos </w:t>
      </w:r>
      <w:r w:rsidR="00312DD9" w:rsidRPr="00A07F29">
        <w:rPr>
          <w:rFonts w:ascii="Times New Roman" w:eastAsia="Calibri" w:hAnsi="Times New Roman" w:cs="Calibri"/>
          <w:sz w:val="24"/>
        </w:rPr>
        <w:t>ĪADT</w:t>
      </w:r>
      <w:r w:rsidR="00AF4C40" w:rsidRPr="00A07F29">
        <w:rPr>
          <w:rFonts w:ascii="Times New Roman" w:eastAsia="Calibri" w:hAnsi="Times New Roman" w:cs="Calibri"/>
          <w:sz w:val="24"/>
        </w:rPr>
        <w:t xml:space="preserve">, ietekme uz </w:t>
      </w:r>
      <w:r w:rsidR="00446DAA">
        <w:rPr>
          <w:rFonts w:ascii="Times New Roman" w:eastAsia="Calibri" w:hAnsi="Times New Roman" w:cs="Calibri"/>
          <w:sz w:val="24"/>
        </w:rPr>
        <w:t>ĪADT</w:t>
      </w:r>
      <w:r w:rsidR="00AF4C40" w:rsidRPr="00A07F29">
        <w:rPr>
          <w:rFonts w:ascii="Times New Roman" w:eastAsia="Calibri" w:hAnsi="Times New Roman" w:cs="Calibri"/>
          <w:sz w:val="24"/>
        </w:rPr>
        <w:t>, mikroliegumiem</w:t>
      </w:r>
      <w:r w:rsidR="00AF4C40" w:rsidRPr="00446DAA">
        <w:rPr>
          <w:rFonts w:ascii="Times New Roman" w:eastAsia="Calibri" w:hAnsi="Times New Roman" w:cs="Calibri"/>
          <w:sz w:val="24"/>
        </w:rPr>
        <w:t>, īpaši aizsargājamām sugām un īpaši aizsargājamiem</w:t>
      </w:r>
      <w:r w:rsidR="00AF4C40" w:rsidRPr="00A07F29">
        <w:rPr>
          <w:rFonts w:ascii="Times New Roman" w:eastAsia="Calibri" w:hAnsi="Times New Roman" w:cs="Calibri"/>
          <w:sz w:val="24"/>
        </w:rPr>
        <w:t xml:space="preserve"> biotopiem, īpašu uzmanību pievēršot: ūdenstecēm, ūdenstilpēm (tai skaitā ūdenstecēm un ūdenstilpēm, kas noteiktas normatīvajos aktos par riska ūdensobjektiem), kā arī prasībām, kas attiecībā uz attīrīšanas iekārtu projektēšanu, būvniecību un ekspluatāciju noteiktas normatīvajos aktos par piesārņojošo vielu emisiju ūdenī, vides un dabas resursu aizsardzīb</w:t>
      </w:r>
      <w:r w:rsidR="00E23BC0" w:rsidRPr="00A07F29">
        <w:rPr>
          <w:rFonts w:ascii="Times New Roman" w:eastAsia="Calibri" w:hAnsi="Times New Roman" w:cs="Calibri"/>
          <w:sz w:val="24"/>
        </w:rPr>
        <w:t>u</w:t>
      </w:r>
      <w:r w:rsidR="00AF4C40" w:rsidRPr="00A07F29">
        <w:rPr>
          <w:rFonts w:ascii="Times New Roman" w:eastAsia="Calibri" w:hAnsi="Times New Roman" w:cs="Calibri"/>
          <w:sz w:val="24"/>
        </w:rPr>
        <w:t xml:space="preserve"> aizsargjoslās un </w:t>
      </w:r>
      <w:r w:rsidR="00AF4C40" w:rsidRPr="00446DAA">
        <w:rPr>
          <w:rFonts w:ascii="Times New Roman" w:eastAsia="Calibri" w:hAnsi="Times New Roman" w:cs="Calibri"/>
          <w:sz w:val="24"/>
        </w:rPr>
        <w:t>īpaši aizsargājamiem meža iecirkņiem, kā arī ģeoloģiskajiem procesiem.</w:t>
      </w:r>
      <w:r w:rsidR="00AF4C40" w:rsidRPr="00A07F29">
        <w:rPr>
          <w:rFonts w:ascii="Times New Roman" w:eastAsia="Calibri" w:hAnsi="Times New Roman" w:cs="Calibri"/>
          <w:sz w:val="24"/>
        </w:rPr>
        <w:t xml:space="preserve"> </w:t>
      </w:r>
    </w:p>
    <w:p w14:paraId="109212DC" w14:textId="39507255" w:rsidR="00AF4C40" w:rsidRPr="00A07F29" w:rsidRDefault="00AF4C40" w:rsidP="00935EDF">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Likuma </w:t>
      </w:r>
      <w:r w:rsidR="00924DDF" w:rsidRPr="00A07F29">
        <w:rPr>
          <w:rFonts w:ascii="Times New Roman" w:eastAsia="Calibri" w:hAnsi="Times New Roman" w:cs="Calibri"/>
          <w:sz w:val="24"/>
        </w:rPr>
        <w:t>“</w:t>
      </w:r>
      <w:r w:rsidRPr="00A07F29">
        <w:rPr>
          <w:rFonts w:ascii="Times New Roman" w:eastAsia="Calibri" w:hAnsi="Times New Roman" w:cs="Calibri"/>
          <w:b/>
          <w:sz w:val="24"/>
        </w:rPr>
        <w:t>Par piesārņojumu</w:t>
      </w:r>
      <w:r w:rsidR="00924DDF" w:rsidRPr="00A07F29">
        <w:rPr>
          <w:rFonts w:ascii="Times New Roman" w:eastAsia="Calibri" w:hAnsi="Times New Roman" w:cs="Calibri"/>
          <w:b/>
          <w:sz w:val="24"/>
        </w:rPr>
        <w:t>”</w:t>
      </w:r>
      <w:r w:rsidRPr="00A07F29">
        <w:rPr>
          <w:rFonts w:ascii="Times New Roman" w:eastAsia="Calibri" w:hAnsi="Times New Roman" w:cs="Calibri"/>
          <w:sz w:val="24"/>
        </w:rPr>
        <w:t xml:space="preserve"> mērķis ir novērst vai mazināt piesārņojuma dēļ cilvēku veselībai, videi un īpašumam nodarīto kaitējumu, kā arī novērst vai samazināt piesārņojošo darbību radīto kaitējumu, noteikt kārtību piesārņoto un potenciāli piesārņoto vielu reģistrācijai un sanācijai, novērst vai samazināt vides trokšņa ietekmi uz cilvēkiem, samazināt siltumnīcefekta gāzu emisijas un noteikt sabiedrības tiesības piedalīties lēmumu pieņemšanā attiecībā uz piesārņojošo darbību atļauju izsniegšanu. Likums definē terminu – īpaši jutīgas teritorijas</w:t>
      </w:r>
      <w:r w:rsidR="001E391E" w:rsidRPr="00A07F29">
        <w:rPr>
          <w:rFonts w:ascii="Times New Roman" w:eastAsia="Calibri" w:hAnsi="Times New Roman" w:cs="Calibri"/>
          <w:sz w:val="24"/>
        </w:rPr>
        <w:t xml:space="preserve"> kā</w:t>
      </w:r>
      <w:r w:rsidRPr="00A07F29">
        <w:rPr>
          <w:rFonts w:ascii="Times New Roman" w:eastAsia="Calibri" w:hAnsi="Times New Roman" w:cs="Calibri"/>
          <w:sz w:val="24"/>
        </w:rPr>
        <w:t>: “Teritorijas, kur piesārņojums var pastiprināti ietekmēt cilvēku veselību vai vidi un tās bioloģisko daudzveidību, vai teritorijas, kuras ir īpaši jutīgas pret piesārņojuma radīto slodzi.”</w:t>
      </w:r>
    </w:p>
    <w:p w14:paraId="4EEA2942" w14:textId="77777777" w:rsidR="00AF4C40" w:rsidRPr="00A07F29" w:rsidRDefault="00AF4C40" w:rsidP="00935EDF">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b/>
          <w:sz w:val="24"/>
        </w:rPr>
        <w:t>Meža likums</w:t>
      </w:r>
      <w:r w:rsidRPr="00A07F29">
        <w:rPr>
          <w:rFonts w:ascii="Times New Roman" w:eastAsia="Calibri" w:hAnsi="Times New Roman" w:cs="Calibri"/>
          <w:sz w:val="24"/>
        </w:rPr>
        <w:t xml:space="preserve"> nosaka mērķi regulēt visu Latvijas mežu ilgtspējīgu apsaimniekošanu, visiem meža īpašniekiem vai tiesiskajiem valdītājiem garantējot vienādas tiesības, īpašumtiesību neaizskaramību un saimnieciskās darbības patstāvību un nosakot vienādus pienākumus. </w:t>
      </w:r>
    </w:p>
    <w:p w14:paraId="083DB0AE" w14:textId="6F33307F" w:rsidR="00AF4C40" w:rsidRPr="00A07F29" w:rsidRDefault="007847A2" w:rsidP="00935EDF">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MK</w:t>
      </w:r>
      <w:r w:rsidR="00AF4C40" w:rsidRPr="00A07F29">
        <w:rPr>
          <w:rFonts w:ascii="Times New Roman" w:eastAsia="Calibri" w:hAnsi="Times New Roman" w:cs="Calibri"/>
          <w:sz w:val="24"/>
        </w:rPr>
        <w:t xml:space="preserve"> </w:t>
      </w:r>
      <w:r w:rsidR="00F378DB" w:rsidRPr="00A07F29">
        <w:rPr>
          <w:rFonts w:ascii="Times New Roman" w:eastAsia="Calibri" w:hAnsi="Times New Roman" w:cs="Calibri"/>
          <w:sz w:val="24"/>
        </w:rPr>
        <w:t>2012.</w:t>
      </w:r>
      <w:r w:rsidR="00BC3022" w:rsidRPr="00A07F29">
        <w:rPr>
          <w:rFonts w:ascii="Times New Roman" w:eastAsia="Calibri" w:hAnsi="Times New Roman" w:cs="Calibri"/>
          <w:sz w:val="24"/>
        </w:rPr>
        <w:t> </w:t>
      </w:r>
      <w:r w:rsidR="00F378DB" w:rsidRPr="00A07F29">
        <w:rPr>
          <w:rFonts w:ascii="Times New Roman" w:eastAsia="Calibri" w:hAnsi="Times New Roman" w:cs="Calibri"/>
          <w:sz w:val="24"/>
        </w:rPr>
        <w:t>gada 18.</w:t>
      </w:r>
      <w:r w:rsidR="00BC3022" w:rsidRPr="00A07F29">
        <w:rPr>
          <w:rFonts w:ascii="Times New Roman" w:eastAsia="Calibri" w:hAnsi="Times New Roman" w:cs="Calibri"/>
          <w:sz w:val="24"/>
        </w:rPr>
        <w:t> </w:t>
      </w:r>
      <w:r w:rsidR="00F378DB" w:rsidRPr="00A07F29">
        <w:rPr>
          <w:rFonts w:ascii="Times New Roman" w:eastAsia="Calibri" w:hAnsi="Times New Roman" w:cs="Calibri"/>
          <w:sz w:val="24"/>
        </w:rPr>
        <w:t xml:space="preserve">decembra </w:t>
      </w:r>
      <w:r w:rsidR="00AF4C40" w:rsidRPr="00A07F29">
        <w:rPr>
          <w:rFonts w:ascii="Times New Roman" w:eastAsia="Calibri" w:hAnsi="Times New Roman" w:cs="Calibri"/>
          <w:sz w:val="24"/>
        </w:rPr>
        <w:t xml:space="preserve">noteikumi Nr. 935 </w:t>
      </w:r>
      <w:r w:rsidR="00BC3022" w:rsidRPr="00A07F29">
        <w:rPr>
          <w:rFonts w:ascii="Times New Roman" w:eastAsia="Calibri" w:hAnsi="Times New Roman" w:cs="Calibri"/>
          <w:b/>
          <w:sz w:val="24"/>
        </w:rPr>
        <w:t>“</w:t>
      </w:r>
      <w:r w:rsidR="00AF4C40" w:rsidRPr="00A07F29">
        <w:rPr>
          <w:rFonts w:ascii="Times New Roman" w:eastAsia="Calibri" w:hAnsi="Times New Roman" w:cs="Calibri"/>
          <w:b/>
          <w:sz w:val="24"/>
        </w:rPr>
        <w:t>Noteikumi par koku ciršanu mežā”</w:t>
      </w:r>
      <w:r w:rsidR="00AF4C40" w:rsidRPr="00A07F29">
        <w:rPr>
          <w:rFonts w:ascii="Times New Roman" w:eastAsia="Calibri" w:hAnsi="Times New Roman" w:cs="Calibri"/>
          <w:sz w:val="24"/>
        </w:rPr>
        <w:t xml:space="preserve"> nosaka koku ciršanas kārtību mežā, kā arī dabas aizsardzības prasības koku ciršanai. Šo noteikumu IX nodaļā ir noteikta specifiska ainavu ciršu plānošanas metodika, kuru var iekļaut DA plānā. </w:t>
      </w:r>
    </w:p>
    <w:p w14:paraId="41AFC5AC" w14:textId="6346FA28" w:rsidR="00AF4C40" w:rsidRPr="00A07F29" w:rsidRDefault="007847A2" w:rsidP="00935EDF">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MK</w:t>
      </w:r>
      <w:r w:rsidR="00AF4C40" w:rsidRPr="00A07F29">
        <w:rPr>
          <w:rFonts w:ascii="Times New Roman" w:eastAsia="Calibri" w:hAnsi="Times New Roman" w:cs="Calibri"/>
          <w:sz w:val="24"/>
        </w:rPr>
        <w:t xml:space="preserve"> </w:t>
      </w:r>
      <w:r w:rsidR="00F378DB" w:rsidRPr="00A07F29">
        <w:rPr>
          <w:rFonts w:ascii="Times New Roman" w:eastAsia="Calibri" w:hAnsi="Times New Roman" w:cs="Calibri"/>
          <w:sz w:val="24"/>
        </w:rPr>
        <w:t>2012.</w:t>
      </w:r>
      <w:r w:rsidR="001A3BB1" w:rsidRPr="00A07F29">
        <w:rPr>
          <w:rFonts w:ascii="Times New Roman" w:eastAsia="Calibri" w:hAnsi="Times New Roman" w:cs="Calibri"/>
          <w:sz w:val="24"/>
        </w:rPr>
        <w:t> </w:t>
      </w:r>
      <w:r w:rsidR="00F378DB" w:rsidRPr="00A07F29">
        <w:rPr>
          <w:rFonts w:ascii="Times New Roman" w:eastAsia="Calibri" w:hAnsi="Times New Roman" w:cs="Calibri"/>
          <w:sz w:val="24"/>
        </w:rPr>
        <w:t>gada 18.</w:t>
      </w:r>
      <w:r w:rsidR="001A3BB1" w:rsidRPr="00A07F29">
        <w:rPr>
          <w:rFonts w:ascii="Times New Roman" w:eastAsia="Calibri" w:hAnsi="Times New Roman" w:cs="Calibri"/>
          <w:sz w:val="24"/>
        </w:rPr>
        <w:t> </w:t>
      </w:r>
      <w:r w:rsidR="00F378DB" w:rsidRPr="00A07F29">
        <w:rPr>
          <w:rFonts w:ascii="Times New Roman" w:eastAsia="Calibri" w:hAnsi="Times New Roman" w:cs="Calibri"/>
          <w:sz w:val="24"/>
        </w:rPr>
        <w:t xml:space="preserve">decembra </w:t>
      </w:r>
      <w:r w:rsidR="00AF4C40" w:rsidRPr="00A07F29">
        <w:rPr>
          <w:rFonts w:ascii="Times New Roman" w:eastAsia="Calibri" w:hAnsi="Times New Roman" w:cs="Calibri"/>
          <w:sz w:val="24"/>
        </w:rPr>
        <w:t xml:space="preserve">noteikumi Nr. 936 </w:t>
      </w:r>
      <w:r w:rsidR="001A3BB1" w:rsidRPr="00A07F29">
        <w:rPr>
          <w:rFonts w:ascii="Times New Roman" w:eastAsia="Calibri" w:hAnsi="Times New Roman" w:cs="Calibri"/>
          <w:b/>
          <w:sz w:val="24"/>
        </w:rPr>
        <w:t>“</w:t>
      </w:r>
      <w:r w:rsidR="00AF4C40" w:rsidRPr="00A07F29">
        <w:rPr>
          <w:rFonts w:ascii="Times New Roman" w:eastAsia="Calibri" w:hAnsi="Times New Roman" w:cs="Calibri"/>
          <w:b/>
          <w:sz w:val="24"/>
        </w:rPr>
        <w:t>Dabas aizsardzības noteikumi meža apsaimniekošanā”</w:t>
      </w:r>
      <w:r w:rsidR="00AF4C40" w:rsidRPr="00A07F29">
        <w:rPr>
          <w:rFonts w:ascii="Times New Roman" w:eastAsia="Calibri" w:hAnsi="Times New Roman" w:cs="Calibri"/>
          <w:sz w:val="24"/>
        </w:rPr>
        <w:t xml:space="preserve"> nosaka vispārējās dabas aizsardzības prasības meža apsaimniekošanā, aprobežojumus aizsargjoslās ap purviem, bioloģiski nozīmīgu meža struktūras elementu noteikšanas un saglabāšanas nosacījumus, kā arī saimnieciskās darbības ierobežojumus dzīvnieku vairošanās sezonas laikā. </w:t>
      </w:r>
    </w:p>
    <w:p w14:paraId="0F3F35BF" w14:textId="38EE2CB2" w:rsidR="00AF4C40" w:rsidRPr="00A07F29" w:rsidRDefault="007847A2" w:rsidP="00935EDF">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MK</w:t>
      </w:r>
      <w:r w:rsidR="00AF4C40" w:rsidRPr="00A07F29">
        <w:rPr>
          <w:rFonts w:ascii="Times New Roman" w:eastAsia="Calibri" w:hAnsi="Times New Roman" w:cs="Calibri"/>
          <w:sz w:val="24"/>
        </w:rPr>
        <w:t xml:space="preserve"> </w:t>
      </w:r>
      <w:r w:rsidR="00F378DB" w:rsidRPr="00A07F29">
        <w:rPr>
          <w:rFonts w:ascii="Times New Roman" w:eastAsia="Calibri" w:hAnsi="Times New Roman" w:cs="Calibri"/>
          <w:sz w:val="24"/>
        </w:rPr>
        <w:t>20</w:t>
      </w:r>
      <w:r w:rsidR="00D52AB0">
        <w:rPr>
          <w:rFonts w:ascii="Times New Roman" w:eastAsia="Calibri" w:hAnsi="Times New Roman" w:cs="Calibri"/>
          <w:sz w:val="24"/>
        </w:rPr>
        <w:t>23</w:t>
      </w:r>
      <w:r w:rsidR="00F378DB" w:rsidRPr="00A07F29">
        <w:rPr>
          <w:rFonts w:ascii="Times New Roman" w:eastAsia="Calibri" w:hAnsi="Times New Roman" w:cs="Calibri"/>
          <w:sz w:val="24"/>
        </w:rPr>
        <w:t>.</w:t>
      </w:r>
      <w:r w:rsidR="00A11480" w:rsidRPr="00A07F29">
        <w:rPr>
          <w:rFonts w:ascii="Times New Roman" w:eastAsia="Calibri" w:hAnsi="Times New Roman" w:cs="Calibri"/>
          <w:sz w:val="24"/>
        </w:rPr>
        <w:t> </w:t>
      </w:r>
      <w:r w:rsidR="00F378DB" w:rsidRPr="00A07F29">
        <w:rPr>
          <w:rFonts w:ascii="Times New Roman" w:eastAsia="Calibri" w:hAnsi="Times New Roman" w:cs="Calibri"/>
          <w:sz w:val="24"/>
        </w:rPr>
        <w:t xml:space="preserve">gada </w:t>
      </w:r>
      <w:r w:rsidR="00D52AB0">
        <w:rPr>
          <w:rFonts w:ascii="Times New Roman" w:eastAsia="Calibri" w:hAnsi="Times New Roman" w:cs="Calibri"/>
          <w:sz w:val="24"/>
        </w:rPr>
        <w:t>27</w:t>
      </w:r>
      <w:r w:rsidR="00F378DB" w:rsidRPr="00A07F29">
        <w:rPr>
          <w:rFonts w:ascii="Times New Roman" w:eastAsia="Calibri" w:hAnsi="Times New Roman" w:cs="Calibri"/>
          <w:sz w:val="24"/>
        </w:rPr>
        <w:t>.</w:t>
      </w:r>
      <w:r w:rsidR="00A11480" w:rsidRPr="00A07F29">
        <w:rPr>
          <w:rFonts w:ascii="Times New Roman" w:eastAsia="Calibri" w:hAnsi="Times New Roman" w:cs="Calibri"/>
          <w:sz w:val="24"/>
        </w:rPr>
        <w:t> </w:t>
      </w:r>
      <w:r w:rsidR="00D52AB0">
        <w:rPr>
          <w:rFonts w:ascii="Times New Roman" w:eastAsia="Calibri" w:hAnsi="Times New Roman" w:cs="Calibri"/>
          <w:sz w:val="24"/>
        </w:rPr>
        <w:t>jūnija</w:t>
      </w:r>
      <w:r w:rsidR="00F378DB" w:rsidRPr="00A07F29">
        <w:rPr>
          <w:rFonts w:ascii="Times New Roman" w:eastAsia="Calibri" w:hAnsi="Times New Roman" w:cs="Calibri"/>
          <w:sz w:val="24"/>
        </w:rPr>
        <w:t xml:space="preserve"> </w:t>
      </w:r>
      <w:r w:rsidR="00AF4C40" w:rsidRPr="00A07F29">
        <w:rPr>
          <w:rFonts w:ascii="Times New Roman" w:eastAsia="Calibri" w:hAnsi="Times New Roman" w:cs="Calibri"/>
          <w:sz w:val="24"/>
        </w:rPr>
        <w:t>noteikumi Nr. </w:t>
      </w:r>
      <w:r w:rsidR="00D52AB0">
        <w:rPr>
          <w:rFonts w:ascii="Times New Roman" w:eastAsia="Calibri" w:hAnsi="Times New Roman" w:cs="Calibri"/>
          <w:sz w:val="24"/>
        </w:rPr>
        <w:t>348</w:t>
      </w:r>
      <w:r w:rsidR="00AF4C40" w:rsidRPr="00A07F29">
        <w:rPr>
          <w:rFonts w:ascii="Times New Roman" w:eastAsia="Calibri" w:hAnsi="Times New Roman" w:cs="Calibri"/>
          <w:sz w:val="24"/>
        </w:rPr>
        <w:t xml:space="preserve"> </w:t>
      </w:r>
      <w:r w:rsidR="00A11480" w:rsidRPr="00A07F29">
        <w:rPr>
          <w:rFonts w:ascii="Times New Roman" w:eastAsia="Calibri" w:hAnsi="Times New Roman" w:cs="Calibri"/>
          <w:b/>
          <w:sz w:val="24"/>
        </w:rPr>
        <w:t>“</w:t>
      </w:r>
      <w:r w:rsidR="00D52AB0">
        <w:rPr>
          <w:rFonts w:ascii="Times New Roman" w:eastAsia="Calibri" w:hAnsi="Times New Roman" w:cs="Calibri"/>
          <w:b/>
          <w:sz w:val="24"/>
        </w:rPr>
        <w:t>M</w:t>
      </w:r>
      <w:r w:rsidR="00AF4C40" w:rsidRPr="00A07F29">
        <w:rPr>
          <w:rFonts w:ascii="Times New Roman" w:eastAsia="Calibri" w:hAnsi="Times New Roman" w:cs="Calibri"/>
          <w:b/>
          <w:sz w:val="24"/>
        </w:rPr>
        <w:t xml:space="preserve">eža aizsardzības </w:t>
      </w:r>
      <w:r w:rsidR="00D52AB0">
        <w:rPr>
          <w:rFonts w:ascii="Times New Roman" w:eastAsia="Calibri" w:hAnsi="Times New Roman" w:cs="Calibri"/>
          <w:b/>
          <w:sz w:val="24"/>
        </w:rPr>
        <w:t>noteikumi</w:t>
      </w:r>
      <w:r w:rsidR="00AF4C40" w:rsidRPr="00A07F29">
        <w:rPr>
          <w:rFonts w:ascii="Times New Roman" w:eastAsia="Calibri" w:hAnsi="Times New Roman" w:cs="Calibri"/>
          <w:b/>
          <w:sz w:val="24"/>
        </w:rPr>
        <w:t>”</w:t>
      </w:r>
      <w:r w:rsidR="00AF4C40" w:rsidRPr="00A07F29">
        <w:rPr>
          <w:rFonts w:ascii="Times New Roman" w:eastAsia="Calibri" w:hAnsi="Times New Roman" w:cs="Calibri"/>
          <w:sz w:val="24"/>
        </w:rPr>
        <w:t xml:space="preserve"> nosaka meža aizsardzības pasākumus, to izpildes kārtību un termiņus, meža kaitēkļu </w:t>
      </w:r>
      <w:r w:rsidR="00E43F65" w:rsidRPr="00A07F29">
        <w:rPr>
          <w:rFonts w:ascii="Times New Roman" w:eastAsia="Calibri" w:hAnsi="Times New Roman" w:cs="Calibri"/>
          <w:sz w:val="24"/>
        </w:rPr>
        <w:t xml:space="preserve">masveida </w:t>
      </w:r>
      <w:r w:rsidR="00AF4C40" w:rsidRPr="00A07F29">
        <w:rPr>
          <w:rFonts w:ascii="Times New Roman" w:eastAsia="Calibri" w:hAnsi="Times New Roman" w:cs="Calibri"/>
          <w:sz w:val="24"/>
        </w:rPr>
        <w:t>savairošan</w:t>
      </w:r>
      <w:r w:rsidR="00E43F65" w:rsidRPr="00A07F29">
        <w:rPr>
          <w:rFonts w:ascii="Times New Roman" w:eastAsia="Calibri" w:hAnsi="Times New Roman" w:cs="Calibri"/>
          <w:sz w:val="24"/>
        </w:rPr>
        <w:t>ā</w:t>
      </w:r>
      <w:r w:rsidR="00AF4C40" w:rsidRPr="00A07F29">
        <w:rPr>
          <w:rFonts w:ascii="Times New Roman" w:eastAsia="Calibri" w:hAnsi="Times New Roman" w:cs="Calibri"/>
          <w:sz w:val="24"/>
        </w:rPr>
        <w:t>s un slimību izplatīšan</w:t>
      </w:r>
      <w:r w:rsidR="00E43F65" w:rsidRPr="00A07F29">
        <w:rPr>
          <w:rFonts w:ascii="Times New Roman" w:eastAsia="Calibri" w:hAnsi="Times New Roman" w:cs="Calibri"/>
          <w:sz w:val="24"/>
        </w:rPr>
        <w:t>ās</w:t>
      </w:r>
      <w:r w:rsidR="00F76EC9" w:rsidRPr="00A07F29">
        <w:rPr>
          <w:rFonts w:ascii="Times New Roman" w:eastAsia="Calibri" w:hAnsi="Times New Roman" w:cs="Calibri"/>
          <w:sz w:val="24"/>
        </w:rPr>
        <w:t xml:space="preserve"> situācijas noteikšanas un atcelšanas kārtību</w:t>
      </w:r>
      <w:r w:rsidR="00AF4C40" w:rsidRPr="00A07F29">
        <w:rPr>
          <w:rFonts w:ascii="Times New Roman" w:eastAsia="Calibri" w:hAnsi="Times New Roman" w:cs="Calibri"/>
          <w:sz w:val="24"/>
        </w:rPr>
        <w:t xml:space="preserve">. Šie noteikumi attiecas arī uz </w:t>
      </w:r>
      <w:r w:rsidR="001E391E" w:rsidRPr="00A07F29">
        <w:rPr>
          <w:rFonts w:ascii="Times New Roman" w:eastAsia="Calibri" w:hAnsi="Times New Roman" w:cs="Calibri"/>
          <w:sz w:val="24"/>
        </w:rPr>
        <w:t>ĪADT</w:t>
      </w:r>
      <w:r w:rsidR="00AF4C40" w:rsidRPr="00A07F29">
        <w:rPr>
          <w:rFonts w:ascii="Times New Roman" w:eastAsia="Calibri" w:hAnsi="Times New Roman" w:cs="Calibri"/>
          <w:sz w:val="24"/>
        </w:rPr>
        <w:t xml:space="preserve">, tajā skaitā uz AAA “Augšdaugava”, kuram nav spēkā esošu individuālo aizsardzības un izmantošanas noteikumos, kur būtu noteikts citādi. </w:t>
      </w:r>
    </w:p>
    <w:p w14:paraId="06FDA733" w14:textId="6B83C7AE" w:rsidR="00AF4C40" w:rsidRPr="00A07F29" w:rsidRDefault="007847A2" w:rsidP="00935EDF">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MK</w:t>
      </w:r>
      <w:r w:rsidR="00AF4C40" w:rsidRPr="00A07F29">
        <w:rPr>
          <w:rFonts w:ascii="Times New Roman" w:eastAsia="Calibri" w:hAnsi="Times New Roman" w:cs="Calibri"/>
          <w:sz w:val="24"/>
        </w:rPr>
        <w:t xml:space="preserve"> </w:t>
      </w:r>
      <w:r w:rsidR="00F378DB" w:rsidRPr="00A07F29">
        <w:rPr>
          <w:rFonts w:ascii="Times New Roman" w:eastAsia="Calibri" w:hAnsi="Times New Roman" w:cs="Calibri"/>
          <w:sz w:val="24"/>
        </w:rPr>
        <w:t>2013.</w:t>
      </w:r>
      <w:r w:rsidR="00EE21B9" w:rsidRPr="00A07F29">
        <w:rPr>
          <w:rFonts w:ascii="Times New Roman" w:eastAsia="Calibri" w:hAnsi="Times New Roman" w:cs="Calibri"/>
          <w:sz w:val="24"/>
        </w:rPr>
        <w:t> </w:t>
      </w:r>
      <w:r w:rsidR="00F378DB" w:rsidRPr="00A07F29">
        <w:rPr>
          <w:rFonts w:ascii="Times New Roman" w:eastAsia="Calibri" w:hAnsi="Times New Roman" w:cs="Calibri"/>
          <w:sz w:val="24"/>
        </w:rPr>
        <w:t>gada 18.</w:t>
      </w:r>
      <w:r w:rsidR="00EE21B9" w:rsidRPr="00A07F29">
        <w:rPr>
          <w:rFonts w:ascii="Times New Roman" w:eastAsia="Calibri" w:hAnsi="Times New Roman" w:cs="Calibri"/>
          <w:sz w:val="24"/>
        </w:rPr>
        <w:t> </w:t>
      </w:r>
      <w:r w:rsidR="00F378DB" w:rsidRPr="00A07F29">
        <w:rPr>
          <w:rFonts w:ascii="Times New Roman" w:eastAsia="Calibri" w:hAnsi="Times New Roman" w:cs="Calibri"/>
          <w:sz w:val="24"/>
        </w:rPr>
        <w:t xml:space="preserve">jūnija </w:t>
      </w:r>
      <w:r w:rsidR="00AF4C40" w:rsidRPr="00A07F29">
        <w:rPr>
          <w:rFonts w:ascii="Times New Roman" w:eastAsia="Calibri" w:hAnsi="Times New Roman" w:cs="Calibri"/>
          <w:sz w:val="24"/>
        </w:rPr>
        <w:t>noteikumi Nr.</w:t>
      </w:r>
      <w:r w:rsidR="00EE21B9" w:rsidRPr="00A07F29">
        <w:rPr>
          <w:rFonts w:ascii="Times New Roman" w:eastAsia="Calibri" w:hAnsi="Times New Roman" w:cs="Calibri"/>
          <w:sz w:val="24"/>
        </w:rPr>
        <w:t> </w:t>
      </w:r>
      <w:r w:rsidR="00AF4C40" w:rsidRPr="00A07F29">
        <w:rPr>
          <w:rFonts w:ascii="Times New Roman" w:eastAsia="Calibri" w:hAnsi="Times New Roman" w:cs="Calibri"/>
          <w:sz w:val="24"/>
        </w:rPr>
        <w:t xml:space="preserve">325 </w:t>
      </w:r>
      <w:r w:rsidR="00AF4C40" w:rsidRPr="00A07F29">
        <w:rPr>
          <w:rFonts w:ascii="Times New Roman" w:eastAsia="Calibri" w:hAnsi="Times New Roman" w:cs="Calibri"/>
          <w:b/>
          <w:bCs/>
          <w:sz w:val="24"/>
        </w:rPr>
        <w:t>“Noteikumi par īpaši aizsargājamo biotopu un īpaši aizsargājamo sugu dzīvotņu atjaunošanu mežā”</w:t>
      </w:r>
      <w:r w:rsidR="00AF4C40" w:rsidRPr="00A07F29">
        <w:rPr>
          <w:rFonts w:ascii="Times New Roman" w:eastAsia="Calibri" w:hAnsi="Times New Roman" w:cs="Calibri"/>
          <w:sz w:val="24"/>
        </w:rPr>
        <w:t xml:space="preserve"> nosaka kritērijus </w:t>
      </w:r>
      <w:r w:rsidR="00AF4C40" w:rsidRPr="00004664">
        <w:rPr>
          <w:rFonts w:ascii="Times New Roman" w:eastAsia="Calibri" w:hAnsi="Times New Roman" w:cs="Calibri"/>
          <w:sz w:val="24"/>
        </w:rPr>
        <w:t>īpaši aizsargājamo biotopu un īpaši aizsargājamo sugu dzīvotņu atjaunošanai mežā un atjaunoš</w:t>
      </w:r>
      <w:r w:rsidR="00AF4C40" w:rsidRPr="00A07F29">
        <w:rPr>
          <w:rFonts w:ascii="Times New Roman" w:eastAsia="Calibri" w:hAnsi="Times New Roman" w:cs="Calibri"/>
          <w:sz w:val="24"/>
        </w:rPr>
        <w:t>anas atļaujas izsniegšanas kārtību gadījumā, ja apsaimniekošanas pasākumos jāveic atmežošanas darbības biotopu atjaunošanai.</w:t>
      </w:r>
    </w:p>
    <w:p w14:paraId="4C03F597" w14:textId="49F3F7A3" w:rsidR="00AF4C40" w:rsidRPr="00A07F29" w:rsidRDefault="007847A2" w:rsidP="00935EDF">
      <w:pPr>
        <w:spacing w:after="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MK</w:t>
      </w:r>
      <w:r w:rsidR="00AF4C40" w:rsidRPr="00A07F29">
        <w:rPr>
          <w:rFonts w:ascii="Times New Roman" w:eastAsia="Calibri" w:hAnsi="Times New Roman" w:cs="Calibri"/>
          <w:sz w:val="24"/>
        </w:rPr>
        <w:t xml:space="preserve"> </w:t>
      </w:r>
      <w:r w:rsidR="00F378DB" w:rsidRPr="00A07F29">
        <w:rPr>
          <w:rFonts w:ascii="Times New Roman" w:eastAsia="Calibri" w:hAnsi="Times New Roman" w:cs="Calibri"/>
          <w:sz w:val="24"/>
        </w:rPr>
        <w:t>2012.</w:t>
      </w:r>
      <w:r w:rsidR="00680F9D" w:rsidRPr="00A07F29">
        <w:rPr>
          <w:rFonts w:ascii="Times New Roman" w:eastAsia="Calibri" w:hAnsi="Times New Roman" w:cs="Calibri"/>
          <w:sz w:val="24"/>
        </w:rPr>
        <w:t> </w:t>
      </w:r>
      <w:r w:rsidR="00F378DB" w:rsidRPr="00A07F29">
        <w:rPr>
          <w:rFonts w:ascii="Times New Roman" w:eastAsia="Calibri" w:hAnsi="Times New Roman" w:cs="Calibri"/>
          <w:sz w:val="24"/>
        </w:rPr>
        <w:t>gada 18.</w:t>
      </w:r>
      <w:r w:rsidR="00680F9D" w:rsidRPr="00A07F29">
        <w:rPr>
          <w:rFonts w:ascii="Times New Roman" w:eastAsia="Calibri" w:hAnsi="Times New Roman" w:cs="Calibri"/>
          <w:sz w:val="24"/>
        </w:rPr>
        <w:t> </w:t>
      </w:r>
      <w:r w:rsidR="00F378DB" w:rsidRPr="00A07F29">
        <w:rPr>
          <w:rFonts w:ascii="Times New Roman" w:eastAsia="Calibri" w:hAnsi="Times New Roman" w:cs="Calibri"/>
          <w:sz w:val="24"/>
        </w:rPr>
        <w:t xml:space="preserve">decembra </w:t>
      </w:r>
      <w:r w:rsidR="00AF4C40" w:rsidRPr="00A07F29">
        <w:rPr>
          <w:rFonts w:ascii="Times New Roman" w:eastAsia="Calibri" w:hAnsi="Times New Roman" w:cs="Calibri"/>
          <w:sz w:val="24"/>
        </w:rPr>
        <w:t xml:space="preserve">noteikumi Nr. 889 </w:t>
      </w:r>
      <w:r w:rsidR="00680F9D" w:rsidRPr="00A07F29">
        <w:rPr>
          <w:rFonts w:ascii="Times New Roman" w:eastAsia="Calibri" w:hAnsi="Times New Roman" w:cs="Calibri"/>
          <w:b/>
          <w:sz w:val="24"/>
        </w:rPr>
        <w:t>“</w:t>
      </w:r>
      <w:r w:rsidR="00AF4C40" w:rsidRPr="00A07F29">
        <w:rPr>
          <w:rFonts w:ascii="Times New Roman" w:eastAsia="Calibri" w:hAnsi="Times New Roman" w:cs="Calibri"/>
          <w:b/>
          <w:sz w:val="24"/>
        </w:rPr>
        <w:t>Noteikumi par atmežošanas kompensācijas noteikšanas kritērijiem, aprēķināšanas un atlīdzināšanas kārtību”</w:t>
      </w:r>
      <w:r w:rsidR="00AF4C40" w:rsidRPr="00A07F29">
        <w:rPr>
          <w:rFonts w:ascii="Times New Roman" w:eastAsia="Calibri" w:hAnsi="Times New Roman" w:cs="Calibri"/>
          <w:sz w:val="24"/>
        </w:rPr>
        <w:t xml:space="preserve"> nosaka ar atmežošanu izraisīto negatīvo seku kompensācijas noteikšanas kritērijus, aprēķināšanas un atlīdzināšanas kārtību. Noteikumos paredzēts, ka kompensācija jāmaksā:</w:t>
      </w:r>
    </w:p>
    <w:p w14:paraId="4EF1862F" w14:textId="77777777" w:rsidR="00AF4C40" w:rsidRPr="00A07F29" w:rsidRDefault="00AF4C40" w:rsidP="00F87589">
      <w:pPr>
        <w:numPr>
          <w:ilvl w:val="0"/>
          <w:numId w:val="5"/>
        </w:numPr>
        <w:spacing w:after="0" w:line="240" w:lineRule="auto"/>
        <w:ind w:left="1276" w:hanging="425"/>
        <w:jc w:val="both"/>
        <w:rPr>
          <w:rFonts w:ascii="Times New Roman" w:eastAsia="Calibri" w:hAnsi="Times New Roman" w:cs="Calibri"/>
          <w:sz w:val="24"/>
        </w:rPr>
      </w:pPr>
      <w:r w:rsidRPr="00A07F29">
        <w:rPr>
          <w:rFonts w:ascii="Times New Roman" w:eastAsia="Calibri" w:hAnsi="Times New Roman" w:cs="Calibri"/>
          <w:sz w:val="24"/>
        </w:rPr>
        <w:t>par oglekļa dioksīda piesaistes potenciāla samazināšanos;</w:t>
      </w:r>
    </w:p>
    <w:p w14:paraId="22B59B3B" w14:textId="77777777" w:rsidR="00AF4C40" w:rsidRPr="00A07F29" w:rsidRDefault="00AF4C40" w:rsidP="00F87589">
      <w:pPr>
        <w:numPr>
          <w:ilvl w:val="0"/>
          <w:numId w:val="5"/>
        </w:numPr>
        <w:spacing w:after="0" w:line="240" w:lineRule="auto"/>
        <w:ind w:left="1276" w:hanging="425"/>
        <w:jc w:val="both"/>
        <w:rPr>
          <w:rFonts w:ascii="Times New Roman" w:eastAsia="Calibri" w:hAnsi="Times New Roman" w:cs="Calibri"/>
          <w:sz w:val="24"/>
        </w:rPr>
      </w:pPr>
      <w:r w:rsidRPr="00A07F29">
        <w:rPr>
          <w:rFonts w:ascii="Times New Roman" w:eastAsia="Calibri" w:hAnsi="Times New Roman" w:cs="Calibri"/>
          <w:sz w:val="24"/>
        </w:rPr>
        <w:lastRenderedPageBreak/>
        <w:t>par bioloģiskās daudzveidības samazināšanos;</w:t>
      </w:r>
    </w:p>
    <w:p w14:paraId="2C10FE53" w14:textId="77777777" w:rsidR="00AF4C40" w:rsidRPr="00A07F29" w:rsidRDefault="00AF4C40" w:rsidP="00F87589">
      <w:pPr>
        <w:numPr>
          <w:ilvl w:val="0"/>
          <w:numId w:val="5"/>
        </w:numPr>
        <w:spacing w:after="0" w:line="240" w:lineRule="auto"/>
        <w:ind w:left="1276" w:hanging="425"/>
        <w:jc w:val="both"/>
        <w:rPr>
          <w:rFonts w:ascii="Times New Roman" w:eastAsia="Calibri" w:hAnsi="Times New Roman" w:cs="Calibri"/>
          <w:sz w:val="24"/>
        </w:rPr>
      </w:pPr>
      <w:r w:rsidRPr="00A07F29">
        <w:rPr>
          <w:rFonts w:ascii="Times New Roman" w:eastAsia="Calibri" w:hAnsi="Times New Roman" w:cs="Calibri"/>
          <w:sz w:val="24"/>
        </w:rPr>
        <w:t>par vides un dabas resursu aizsardzības aizsargjoslu un sanitāro aizsargjoslu funkciju kvalitātes samazināšanos.</w:t>
      </w:r>
    </w:p>
    <w:p w14:paraId="22F99277" w14:textId="74FFBA89" w:rsidR="00AF4C40" w:rsidRPr="00A07F29" w:rsidRDefault="00AF4C40" w:rsidP="00935EDF">
      <w:pPr>
        <w:tabs>
          <w:tab w:val="left" w:pos="284"/>
        </w:tabs>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Saskaņā ar Meža likuma 1. panta pirmās daļas 3. punktu atmežošana ir personas darbības izraisīta meža pārveidošana citā zemes lietošanas veidā. </w:t>
      </w:r>
      <w:r w:rsidR="007847A2" w:rsidRPr="00A07F29">
        <w:rPr>
          <w:rFonts w:ascii="Times New Roman" w:eastAsia="Calibri" w:hAnsi="Times New Roman" w:cs="Calibri"/>
          <w:sz w:val="24"/>
        </w:rPr>
        <w:t>MK</w:t>
      </w:r>
      <w:r w:rsidR="00181DA4" w:rsidRPr="00A07F29">
        <w:rPr>
          <w:rFonts w:ascii="Times New Roman" w:eastAsia="Calibri" w:hAnsi="Times New Roman" w:cs="Calibri"/>
          <w:sz w:val="24"/>
        </w:rPr>
        <w:t xml:space="preserve"> 2013.</w:t>
      </w:r>
      <w:r w:rsidR="005E5B61" w:rsidRPr="00A07F29">
        <w:rPr>
          <w:rFonts w:ascii="Times New Roman" w:eastAsia="Calibri" w:hAnsi="Times New Roman" w:cs="Calibri"/>
          <w:sz w:val="24"/>
        </w:rPr>
        <w:t> </w:t>
      </w:r>
      <w:r w:rsidR="00181DA4" w:rsidRPr="00A07F29">
        <w:rPr>
          <w:rFonts w:ascii="Times New Roman" w:eastAsia="Calibri" w:hAnsi="Times New Roman" w:cs="Calibri"/>
          <w:sz w:val="24"/>
        </w:rPr>
        <w:t>gada 18.</w:t>
      </w:r>
      <w:r w:rsidR="005E5B61" w:rsidRPr="00A07F29">
        <w:rPr>
          <w:rFonts w:ascii="Times New Roman" w:eastAsia="Calibri" w:hAnsi="Times New Roman" w:cs="Calibri"/>
          <w:sz w:val="24"/>
        </w:rPr>
        <w:t> </w:t>
      </w:r>
      <w:r w:rsidR="00181DA4" w:rsidRPr="00A07F29">
        <w:rPr>
          <w:rFonts w:ascii="Times New Roman" w:eastAsia="Calibri" w:hAnsi="Times New Roman" w:cs="Calibri"/>
          <w:sz w:val="24"/>
        </w:rPr>
        <w:t>jūnija noteikumi Nr.</w:t>
      </w:r>
      <w:r w:rsidR="005E5B61" w:rsidRPr="00A07F29">
        <w:rPr>
          <w:rFonts w:ascii="Times New Roman" w:eastAsia="Calibri" w:hAnsi="Times New Roman" w:cs="Calibri"/>
          <w:sz w:val="24"/>
        </w:rPr>
        <w:t> </w:t>
      </w:r>
      <w:r w:rsidR="00181DA4" w:rsidRPr="00A07F29">
        <w:rPr>
          <w:rFonts w:ascii="Times New Roman" w:eastAsia="Calibri" w:hAnsi="Times New Roman" w:cs="Calibri"/>
          <w:sz w:val="24"/>
        </w:rPr>
        <w:t xml:space="preserve">325 “Noteikumi par īpaši aizsargājamo biotopu un īpaši aizsargājamo sugu dzīvotņu atjaunošanu mežā” </w:t>
      </w:r>
      <w:r w:rsidR="00FB7732" w:rsidRPr="00A07F29">
        <w:rPr>
          <w:rFonts w:ascii="Times New Roman" w:eastAsia="Calibri" w:hAnsi="Times New Roman" w:cs="Calibri"/>
          <w:sz w:val="24"/>
        </w:rPr>
        <w:t xml:space="preserve">nosaka kārtību atmežošanai </w:t>
      </w:r>
      <w:r w:rsidR="00FB7732" w:rsidRPr="00004664">
        <w:rPr>
          <w:rFonts w:ascii="Times New Roman" w:eastAsia="Calibri" w:hAnsi="Times New Roman" w:cs="Calibri"/>
          <w:sz w:val="24"/>
        </w:rPr>
        <w:t xml:space="preserve">īpaši aizsargājamo biotopu un īpaši aizsargājamo sugu dzīvotņu atjaunošanai. </w:t>
      </w:r>
      <w:r w:rsidR="007847A2" w:rsidRPr="00004664">
        <w:rPr>
          <w:rFonts w:ascii="Times New Roman" w:eastAsia="Calibri" w:hAnsi="Times New Roman" w:cs="Calibri"/>
          <w:sz w:val="24"/>
        </w:rPr>
        <w:t>MK</w:t>
      </w:r>
      <w:r w:rsidRPr="00004664">
        <w:rPr>
          <w:rFonts w:ascii="Times New Roman" w:eastAsia="Calibri" w:hAnsi="Times New Roman" w:cs="Calibri"/>
          <w:sz w:val="24"/>
        </w:rPr>
        <w:t xml:space="preserve"> </w:t>
      </w:r>
      <w:r w:rsidR="009D26FE" w:rsidRPr="00004664">
        <w:rPr>
          <w:rFonts w:ascii="Times New Roman" w:eastAsia="Calibri" w:hAnsi="Times New Roman" w:cs="Calibri"/>
          <w:sz w:val="24"/>
        </w:rPr>
        <w:t>2010.</w:t>
      </w:r>
      <w:r w:rsidR="00AD33F6" w:rsidRPr="00004664">
        <w:rPr>
          <w:rFonts w:ascii="Times New Roman" w:eastAsia="Calibri" w:hAnsi="Times New Roman" w:cs="Calibri"/>
          <w:sz w:val="24"/>
        </w:rPr>
        <w:t> </w:t>
      </w:r>
      <w:r w:rsidR="009D26FE" w:rsidRPr="00004664">
        <w:rPr>
          <w:rFonts w:ascii="Times New Roman" w:eastAsia="Calibri" w:hAnsi="Times New Roman" w:cs="Calibri"/>
          <w:sz w:val="24"/>
        </w:rPr>
        <w:t>gada</w:t>
      </w:r>
      <w:r w:rsidR="009D26FE" w:rsidRPr="00A07F29">
        <w:rPr>
          <w:rFonts w:ascii="Times New Roman" w:eastAsia="Calibri" w:hAnsi="Times New Roman" w:cs="Calibri"/>
          <w:sz w:val="24"/>
        </w:rPr>
        <w:t xml:space="preserve"> 16.</w:t>
      </w:r>
      <w:r w:rsidR="00AD33F6" w:rsidRPr="00A07F29">
        <w:rPr>
          <w:rFonts w:ascii="Times New Roman" w:eastAsia="Calibri" w:hAnsi="Times New Roman" w:cs="Calibri"/>
          <w:sz w:val="24"/>
        </w:rPr>
        <w:t> </w:t>
      </w:r>
      <w:r w:rsidR="009D26FE" w:rsidRPr="00A07F29">
        <w:rPr>
          <w:rFonts w:ascii="Times New Roman" w:eastAsia="Calibri" w:hAnsi="Times New Roman" w:cs="Calibri"/>
          <w:sz w:val="24"/>
        </w:rPr>
        <w:t xml:space="preserve">marta </w:t>
      </w:r>
      <w:r w:rsidRPr="00A07F29">
        <w:rPr>
          <w:rFonts w:ascii="Times New Roman" w:eastAsia="Calibri" w:hAnsi="Times New Roman" w:cs="Calibri"/>
          <w:sz w:val="24"/>
        </w:rPr>
        <w:t xml:space="preserve">noteikumu Nr. 264 </w:t>
      </w:r>
      <w:r w:rsidR="00AD33F6" w:rsidRPr="00A07F29">
        <w:rPr>
          <w:rFonts w:ascii="Times New Roman" w:eastAsia="Calibri" w:hAnsi="Times New Roman" w:cs="Calibri"/>
          <w:sz w:val="24"/>
        </w:rPr>
        <w:t>“</w:t>
      </w:r>
      <w:r w:rsidRPr="00A07F29">
        <w:rPr>
          <w:rFonts w:ascii="Times New Roman" w:eastAsia="Calibri" w:hAnsi="Times New Roman" w:cs="Calibri"/>
          <w:sz w:val="24"/>
        </w:rPr>
        <w:t xml:space="preserve">Īpaši aizsargājamo dabas teritoriju vispārējie aizsardzības un izmantošanas noteikumi” 24.11.1. apakšpunktā ir noteikts, ka </w:t>
      </w:r>
      <w:r w:rsidR="001763AF">
        <w:rPr>
          <w:rFonts w:ascii="Times New Roman" w:eastAsia="Calibri" w:hAnsi="Times New Roman" w:cs="Calibri"/>
          <w:sz w:val="24"/>
        </w:rPr>
        <w:t>DP</w:t>
      </w:r>
      <w:r w:rsidRPr="00A07F29">
        <w:rPr>
          <w:rFonts w:ascii="Times New Roman" w:eastAsia="Calibri" w:hAnsi="Times New Roman" w:cs="Calibri"/>
          <w:sz w:val="24"/>
        </w:rPr>
        <w:t>, tajā skaitā DP “Daugavas loki”, zemes lietošanas kategorijas maiņa ir atļauta tikai ar DAP rakstisku atļauju.</w:t>
      </w:r>
    </w:p>
    <w:p w14:paraId="5B74B0AD" w14:textId="31D72524" w:rsidR="00AF4C40" w:rsidRPr="00A07F29" w:rsidRDefault="007847A2" w:rsidP="00935EDF">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MK</w:t>
      </w:r>
      <w:r w:rsidR="00F378DB" w:rsidRPr="00A07F29">
        <w:t xml:space="preserve"> </w:t>
      </w:r>
      <w:r w:rsidR="00F378DB" w:rsidRPr="00A07F29">
        <w:rPr>
          <w:rFonts w:ascii="Times New Roman" w:eastAsia="Calibri" w:hAnsi="Times New Roman" w:cs="Calibri"/>
          <w:sz w:val="24"/>
        </w:rPr>
        <w:t>2012.</w:t>
      </w:r>
      <w:r w:rsidR="0054601A" w:rsidRPr="00A07F29">
        <w:rPr>
          <w:rFonts w:ascii="Times New Roman" w:eastAsia="Calibri" w:hAnsi="Times New Roman" w:cs="Calibri"/>
          <w:sz w:val="24"/>
        </w:rPr>
        <w:t> </w:t>
      </w:r>
      <w:r w:rsidR="00F378DB" w:rsidRPr="00A07F29">
        <w:rPr>
          <w:rFonts w:ascii="Times New Roman" w:eastAsia="Calibri" w:hAnsi="Times New Roman" w:cs="Calibri"/>
          <w:sz w:val="24"/>
        </w:rPr>
        <w:t>gada 2.</w:t>
      </w:r>
      <w:r w:rsidR="0054601A" w:rsidRPr="00A07F29">
        <w:rPr>
          <w:rFonts w:ascii="Times New Roman" w:eastAsia="Calibri" w:hAnsi="Times New Roman" w:cs="Calibri"/>
          <w:sz w:val="24"/>
        </w:rPr>
        <w:t> </w:t>
      </w:r>
      <w:r w:rsidR="00F378DB" w:rsidRPr="00A07F29">
        <w:rPr>
          <w:rFonts w:ascii="Times New Roman" w:eastAsia="Calibri" w:hAnsi="Times New Roman" w:cs="Calibri"/>
          <w:sz w:val="24"/>
        </w:rPr>
        <w:t>maija</w:t>
      </w:r>
      <w:r w:rsidR="00AF4C40" w:rsidRPr="00A07F29">
        <w:rPr>
          <w:rFonts w:ascii="Times New Roman" w:eastAsia="Calibri" w:hAnsi="Times New Roman" w:cs="Calibri"/>
          <w:sz w:val="24"/>
        </w:rPr>
        <w:t xml:space="preserve"> noteikumi Nr. 309 </w:t>
      </w:r>
      <w:r w:rsidR="0054601A" w:rsidRPr="00A07F29">
        <w:rPr>
          <w:rFonts w:ascii="Times New Roman" w:eastAsia="Calibri" w:hAnsi="Times New Roman" w:cs="Calibri"/>
          <w:b/>
          <w:sz w:val="24"/>
        </w:rPr>
        <w:t>“</w:t>
      </w:r>
      <w:r w:rsidR="00AF4C40" w:rsidRPr="00A07F29">
        <w:rPr>
          <w:rFonts w:ascii="Times New Roman" w:eastAsia="Calibri" w:hAnsi="Times New Roman" w:cs="Calibri"/>
          <w:b/>
          <w:sz w:val="24"/>
        </w:rPr>
        <w:t xml:space="preserve">Noteikumi par koku ciršanu ārpus meža” </w:t>
      </w:r>
      <w:r w:rsidR="00AF4C40" w:rsidRPr="00A07F29">
        <w:rPr>
          <w:rFonts w:ascii="Times New Roman" w:eastAsia="Calibri" w:hAnsi="Times New Roman" w:cs="Calibri"/>
          <w:sz w:val="24"/>
        </w:rPr>
        <w:t xml:space="preserve">cita starpā nosaka kārtību koku ciršanai ārpus meža zemes un kārtību, kādā izsniedz atļauju šo koku ciršanai. Minēto noteikumu 1. pielikumā ir norādītas koku sugas un to izmēri, kuru nociršanai ārpus meža nepieciešama vietējās pašvaldības atļauja, kā arī </w:t>
      </w:r>
      <w:r w:rsidR="001E391E" w:rsidRPr="00A07F29">
        <w:rPr>
          <w:rFonts w:ascii="Times New Roman" w:eastAsia="Calibri" w:hAnsi="Times New Roman" w:cs="Calibri"/>
          <w:sz w:val="24"/>
        </w:rPr>
        <w:t>DAP</w:t>
      </w:r>
      <w:r w:rsidR="00AF4C40" w:rsidRPr="00A07F29">
        <w:rPr>
          <w:rFonts w:ascii="Times New Roman" w:eastAsia="Calibri" w:hAnsi="Times New Roman" w:cs="Calibri"/>
          <w:sz w:val="24"/>
        </w:rPr>
        <w:t xml:space="preserve"> atzinums. </w:t>
      </w:r>
    </w:p>
    <w:p w14:paraId="26AAC7B3" w14:textId="00D0E6E0" w:rsidR="00AF4C40" w:rsidRPr="00A07F29" w:rsidRDefault="00AF4C40" w:rsidP="00935EDF">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b/>
          <w:sz w:val="24"/>
        </w:rPr>
        <w:t>Meliorācijas likuma</w:t>
      </w:r>
      <w:r w:rsidRPr="00A07F29">
        <w:rPr>
          <w:rFonts w:ascii="Times New Roman" w:eastAsia="Calibri" w:hAnsi="Times New Roman" w:cs="Calibri"/>
          <w:sz w:val="24"/>
        </w:rPr>
        <w:t xml:space="preserve"> mērķis ir nodrošināt tādu meliorācijas sistēmu pārvaldības mehānismu, kas veicina dabas resursu ilgtspējīgu apsaimniekošanu un izmantošanu, nodrošina iedzīvotāju drošībai un labklājībai, infrastruktūras attīstībai nepieciešamo ūdens režīmu, kā arī racionālu meliorācijas sistēmu būvniecību, ekspluatāciju, uzturēšanu un pārvaldību. AAA </w:t>
      </w:r>
      <w:r w:rsidR="001E391E" w:rsidRPr="00A07F29">
        <w:rPr>
          <w:rFonts w:ascii="Times New Roman" w:eastAsia="Calibri" w:hAnsi="Times New Roman" w:cs="Calibri"/>
          <w:sz w:val="24"/>
        </w:rPr>
        <w:t xml:space="preserve">“Augšdaugava” </w:t>
      </w:r>
      <w:r w:rsidRPr="00A07F29">
        <w:rPr>
          <w:rFonts w:ascii="Times New Roman" w:eastAsia="Calibri" w:hAnsi="Times New Roman" w:cs="Calibri"/>
          <w:sz w:val="24"/>
        </w:rPr>
        <w:t>teritorijā atrodas dabiskas un pārveidotas ūdensteces, kā arī meliorācijas novadgrāvji, kas izbūvēti mežu un lauksaimniecības zemju hidroloģiskā režīma regulēšanai.</w:t>
      </w:r>
    </w:p>
    <w:p w14:paraId="00BBD242" w14:textId="57664B91" w:rsidR="00AF4C40" w:rsidRPr="00A07F29" w:rsidRDefault="007847A2" w:rsidP="00935EDF">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MK</w:t>
      </w:r>
      <w:r w:rsidR="00AF4C40" w:rsidRPr="00A07F29">
        <w:rPr>
          <w:rFonts w:ascii="Times New Roman" w:eastAsia="Calibri" w:hAnsi="Times New Roman" w:cs="Calibri"/>
          <w:sz w:val="24"/>
        </w:rPr>
        <w:t xml:space="preserve"> </w:t>
      </w:r>
      <w:r w:rsidR="00F378DB" w:rsidRPr="00A07F29">
        <w:rPr>
          <w:rFonts w:ascii="Times New Roman" w:eastAsia="Calibri" w:hAnsi="Times New Roman" w:cs="Calibri"/>
          <w:sz w:val="24"/>
        </w:rPr>
        <w:t>2010.</w:t>
      </w:r>
      <w:r w:rsidR="003D5665" w:rsidRPr="00A07F29">
        <w:rPr>
          <w:rFonts w:ascii="Times New Roman" w:eastAsia="Calibri" w:hAnsi="Times New Roman" w:cs="Calibri"/>
          <w:sz w:val="24"/>
        </w:rPr>
        <w:t> </w:t>
      </w:r>
      <w:r w:rsidR="00F378DB" w:rsidRPr="00A07F29">
        <w:rPr>
          <w:rFonts w:ascii="Times New Roman" w:eastAsia="Calibri" w:hAnsi="Times New Roman" w:cs="Calibri"/>
          <w:sz w:val="24"/>
        </w:rPr>
        <w:t>gada 3.</w:t>
      </w:r>
      <w:r w:rsidR="003D5665" w:rsidRPr="00A07F29">
        <w:rPr>
          <w:rFonts w:ascii="Times New Roman" w:eastAsia="Calibri" w:hAnsi="Times New Roman" w:cs="Calibri"/>
          <w:sz w:val="24"/>
        </w:rPr>
        <w:t> </w:t>
      </w:r>
      <w:r w:rsidR="00F378DB" w:rsidRPr="00A07F29">
        <w:rPr>
          <w:rFonts w:ascii="Times New Roman" w:eastAsia="Calibri" w:hAnsi="Times New Roman" w:cs="Calibri"/>
          <w:sz w:val="24"/>
        </w:rPr>
        <w:t xml:space="preserve">augusta </w:t>
      </w:r>
      <w:r w:rsidR="00AF4C40" w:rsidRPr="00A07F29">
        <w:rPr>
          <w:rFonts w:ascii="Times New Roman" w:eastAsia="Calibri" w:hAnsi="Times New Roman" w:cs="Calibri"/>
          <w:sz w:val="24"/>
        </w:rPr>
        <w:t>noteikumi Nr.</w:t>
      </w:r>
      <w:r w:rsidR="003D5665" w:rsidRPr="00A07F29">
        <w:rPr>
          <w:rFonts w:ascii="Times New Roman" w:eastAsia="Calibri" w:hAnsi="Times New Roman" w:cs="Calibri"/>
          <w:sz w:val="24"/>
        </w:rPr>
        <w:t> </w:t>
      </w:r>
      <w:r w:rsidR="00AF4C40" w:rsidRPr="00A07F29">
        <w:rPr>
          <w:rFonts w:ascii="Times New Roman" w:eastAsia="Calibri" w:hAnsi="Times New Roman" w:cs="Calibri"/>
          <w:sz w:val="24"/>
        </w:rPr>
        <w:t xml:space="preserve">714 </w:t>
      </w:r>
      <w:r w:rsidR="003D5665" w:rsidRPr="00A07F29">
        <w:rPr>
          <w:rFonts w:ascii="Times New Roman" w:eastAsia="Calibri" w:hAnsi="Times New Roman" w:cs="Calibri"/>
          <w:b/>
          <w:sz w:val="24"/>
        </w:rPr>
        <w:t>“</w:t>
      </w:r>
      <w:r w:rsidR="00AF4C40" w:rsidRPr="00A07F29">
        <w:rPr>
          <w:rFonts w:ascii="Times New Roman" w:eastAsia="Calibri" w:hAnsi="Times New Roman" w:cs="Calibri"/>
          <w:b/>
          <w:sz w:val="24"/>
        </w:rPr>
        <w:t>Meliorācijas sistēmas ekspluatācijas un uzturēšanas noteikumi”</w:t>
      </w:r>
      <w:r w:rsidR="00AF4C40" w:rsidRPr="00A07F29">
        <w:rPr>
          <w:rFonts w:ascii="Times New Roman" w:eastAsia="Calibri" w:hAnsi="Times New Roman" w:cs="Calibri"/>
          <w:sz w:val="24"/>
        </w:rPr>
        <w:t xml:space="preserve"> nosaka prasības, kas zemes īpašniekam vai tiesiskajam valdītājam jāievēro meliorācijas sistēmas izmantošanā, kopšanā un saglabāšanā. Meliorācijas sistēmu izmanto atbilstoši paredzētajam mērķim, kopj un saglabā tā, lai tās darbība nodrošinātu zemes ilgtspējīgu izmantošanu, nepasliktinot citu zemes īpašnieku vai tiesisko valdītāju zemes izmantošanas iespējas un meliorācijas sistēmas darbību. </w:t>
      </w:r>
    </w:p>
    <w:p w14:paraId="407DD23E" w14:textId="77777777" w:rsidR="00AF4C40" w:rsidRPr="00A07F29" w:rsidRDefault="00AF4C40" w:rsidP="00935EDF">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b/>
          <w:sz w:val="24"/>
        </w:rPr>
        <w:t>Ūdens apsaimniekošanas likums</w:t>
      </w:r>
      <w:r w:rsidRPr="00A07F29">
        <w:rPr>
          <w:rFonts w:ascii="Times New Roman" w:eastAsia="Calibri" w:hAnsi="Times New Roman" w:cs="Calibri"/>
          <w:sz w:val="24"/>
        </w:rPr>
        <w:t xml:space="preserve"> nosaka mērķus, kas ietver tādas virszemes un pazemes ūdeņu aizsardzības sistēmas izveidošanu, kas: veicina ilgtspējīgu un racionālu ūdens resursu lietošanu, nodrošinot to ilgtermiņa aizsardzību un iedzīvotāju pietiekamu apgādi ar labas kvalitātes virszemes un pazemes ūdeni; novērš ūdens un no ūdens tieši atkarīgo sauszemes ekosistēmu un mitrāju stāvokļa pasliktināšanos, aizsargā šīs ekosistēmas un uzlabo to stāvokli. Likumā tiek definēts termins: virszemes ūdensobjekts, kas ir nodalīts un nozīmīgs virszemes ūdens hidrogrāfiskā tīkla elements: ūdenstece (upe, strauts, kanāls vai to daļa), ūdenstilpe (ezers, dīķis, ūdenskrātuve vai to daļa), kā arī pārejas ūdeņi vai piekrastes ūdeņu posms.</w:t>
      </w:r>
    </w:p>
    <w:p w14:paraId="35F76B11" w14:textId="264F2500" w:rsidR="00AF4C40" w:rsidRPr="00A07F29" w:rsidRDefault="007847A2" w:rsidP="00935EDF">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MK</w:t>
      </w:r>
      <w:r w:rsidR="00AF4C40" w:rsidRPr="00A07F29">
        <w:rPr>
          <w:rFonts w:ascii="Times New Roman" w:eastAsia="Calibri" w:hAnsi="Times New Roman" w:cs="Calibri"/>
          <w:sz w:val="24"/>
        </w:rPr>
        <w:t xml:space="preserve"> </w:t>
      </w:r>
      <w:r w:rsidR="00F378DB" w:rsidRPr="00A07F29">
        <w:rPr>
          <w:rFonts w:ascii="Times New Roman" w:eastAsia="Calibri" w:hAnsi="Times New Roman" w:cs="Calibri"/>
          <w:sz w:val="24"/>
        </w:rPr>
        <w:t>2005.</w:t>
      </w:r>
      <w:r w:rsidR="009C3771" w:rsidRPr="00A07F29">
        <w:rPr>
          <w:rFonts w:ascii="Times New Roman" w:eastAsia="Calibri" w:hAnsi="Times New Roman" w:cs="Calibri"/>
          <w:sz w:val="24"/>
        </w:rPr>
        <w:t> </w:t>
      </w:r>
      <w:r w:rsidR="00F378DB" w:rsidRPr="00A07F29">
        <w:rPr>
          <w:rFonts w:ascii="Times New Roman" w:eastAsia="Calibri" w:hAnsi="Times New Roman" w:cs="Calibri"/>
          <w:sz w:val="24"/>
        </w:rPr>
        <w:t>gada 27.</w:t>
      </w:r>
      <w:r w:rsidR="009C3771" w:rsidRPr="00A07F29">
        <w:rPr>
          <w:rFonts w:ascii="Times New Roman" w:eastAsia="Calibri" w:hAnsi="Times New Roman" w:cs="Calibri"/>
          <w:sz w:val="24"/>
        </w:rPr>
        <w:t> </w:t>
      </w:r>
      <w:r w:rsidR="00F378DB" w:rsidRPr="00A07F29">
        <w:rPr>
          <w:rFonts w:ascii="Times New Roman" w:eastAsia="Calibri" w:hAnsi="Times New Roman" w:cs="Calibri"/>
          <w:sz w:val="24"/>
        </w:rPr>
        <w:t xml:space="preserve">decembra </w:t>
      </w:r>
      <w:r w:rsidR="00AF4C40" w:rsidRPr="00A07F29">
        <w:rPr>
          <w:rFonts w:ascii="Times New Roman" w:eastAsia="Calibri" w:hAnsi="Times New Roman" w:cs="Calibri"/>
          <w:sz w:val="24"/>
        </w:rPr>
        <w:t xml:space="preserve">noteikumi Nr. 1014 </w:t>
      </w:r>
      <w:r w:rsidR="00AF4C40" w:rsidRPr="00A07F29">
        <w:rPr>
          <w:rFonts w:ascii="Times New Roman" w:eastAsia="Calibri" w:hAnsi="Times New Roman" w:cs="Calibri"/>
          <w:b/>
          <w:sz w:val="24"/>
        </w:rPr>
        <w:t>“Ūdens objektu ekspluatācijas (apsaimniekošanas) noteikumu izstrādāšanas kārtība”</w:t>
      </w:r>
      <w:r w:rsidR="00AF4C40" w:rsidRPr="00A07F29">
        <w:rPr>
          <w:rFonts w:ascii="Times New Roman" w:eastAsia="Calibri" w:hAnsi="Times New Roman" w:cs="Calibri"/>
          <w:sz w:val="24"/>
        </w:rPr>
        <w:t xml:space="preserve"> nosaka ūdens objektu ekspluatācijas (apsaimniekošanas) noteikumu izstrādāšanas kārtību, tajā skaitā nosaka prasības noteikumu izstrādātājam un noteikumu saskaņošanas kārtību.</w:t>
      </w:r>
    </w:p>
    <w:p w14:paraId="6FD3489C" w14:textId="57A6D013" w:rsidR="00AF4C40" w:rsidRPr="00A07F29" w:rsidRDefault="007847A2" w:rsidP="00935EDF">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MK</w:t>
      </w:r>
      <w:r w:rsidR="00AF4C40" w:rsidRPr="00A07F29">
        <w:rPr>
          <w:rFonts w:ascii="Times New Roman" w:eastAsia="Calibri" w:hAnsi="Times New Roman" w:cs="Calibri"/>
          <w:sz w:val="24"/>
        </w:rPr>
        <w:t xml:space="preserve"> </w:t>
      </w:r>
      <w:r w:rsidR="00F378DB" w:rsidRPr="00A07F29">
        <w:rPr>
          <w:rFonts w:ascii="Times New Roman" w:eastAsia="Calibri" w:hAnsi="Times New Roman" w:cs="Calibri"/>
          <w:sz w:val="24"/>
        </w:rPr>
        <w:t>2018.</w:t>
      </w:r>
      <w:r w:rsidR="008638D5" w:rsidRPr="00A07F29">
        <w:rPr>
          <w:rFonts w:ascii="Times New Roman" w:eastAsia="Calibri" w:hAnsi="Times New Roman" w:cs="Calibri"/>
          <w:sz w:val="24"/>
        </w:rPr>
        <w:t> </w:t>
      </w:r>
      <w:r w:rsidR="00F378DB" w:rsidRPr="00A07F29">
        <w:rPr>
          <w:rFonts w:ascii="Times New Roman" w:eastAsia="Calibri" w:hAnsi="Times New Roman" w:cs="Calibri"/>
          <w:sz w:val="24"/>
        </w:rPr>
        <w:t>gada 3.</w:t>
      </w:r>
      <w:r w:rsidR="008638D5" w:rsidRPr="00A07F29">
        <w:rPr>
          <w:rFonts w:ascii="Times New Roman" w:eastAsia="Calibri" w:hAnsi="Times New Roman" w:cs="Calibri"/>
          <w:sz w:val="24"/>
        </w:rPr>
        <w:t> </w:t>
      </w:r>
      <w:r w:rsidR="00F378DB" w:rsidRPr="00A07F29">
        <w:rPr>
          <w:rFonts w:ascii="Times New Roman" w:eastAsia="Calibri" w:hAnsi="Times New Roman" w:cs="Calibri"/>
          <w:sz w:val="24"/>
        </w:rPr>
        <w:t xml:space="preserve">jūlija </w:t>
      </w:r>
      <w:r w:rsidR="00AF4C40" w:rsidRPr="00A07F29">
        <w:rPr>
          <w:rFonts w:ascii="Times New Roman" w:eastAsia="Calibri" w:hAnsi="Times New Roman" w:cs="Calibri"/>
          <w:sz w:val="24"/>
        </w:rPr>
        <w:t xml:space="preserve">noteikumi Nr. 397 </w:t>
      </w:r>
      <w:r w:rsidR="008638D5" w:rsidRPr="00A07F29">
        <w:rPr>
          <w:rFonts w:ascii="Times New Roman" w:eastAsia="Calibri" w:hAnsi="Times New Roman" w:cs="Calibri"/>
          <w:b/>
          <w:sz w:val="24"/>
        </w:rPr>
        <w:t>“</w:t>
      </w:r>
      <w:r w:rsidR="00AF4C40" w:rsidRPr="00A07F29">
        <w:rPr>
          <w:rFonts w:ascii="Times New Roman" w:eastAsia="Calibri" w:hAnsi="Times New Roman" w:cs="Calibri"/>
          <w:b/>
          <w:sz w:val="24"/>
        </w:rPr>
        <w:t>Noteikumi par ūdens saimniecisko iecirkņu klasifikatoru”</w:t>
      </w:r>
      <w:r w:rsidR="00AF4C40" w:rsidRPr="00A07F29">
        <w:rPr>
          <w:rFonts w:ascii="Times New Roman" w:eastAsia="Calibri" w:hAnsi="Times New Roman" w:cs="Calibri"/>
          <w:sz w:val="24"/>
        </w:rPr>
        <w:t xml:space="preserve"> nosaka nacionālo statistisko klasifikāciju "Ūdens saimniecisko iecirkņu klasifikators", kas ir sistematizēts ūdens saimniecisko iecirkņu kodu saraksts, lai nodrošinātu vienotu ūdens saimniecisko iecirkņu klasificēšanu. Atbilstoši šo noteikumu 8. pielikuma</w:t>
      </w:r>
      <w:r w:rsidR="00BF02DA" w:rsidRPr="00A07F29">
        <w:rPr>
          <w:rFonts w:ascii="Times New Roman" w:eastAsia="Calibri" w:hAnsi="Times New Roman" w:cs="Calibri"/>
          <w:sz w:val="24"/>
        </w:rPr>
        <w:t>m</w:t>
      </w:r>
      <w:r w:rsidR="00AF4C40" w:rsidRPr="00A07F29">
        <w:rPr>
          <w:rFonts w:ascii="Times New Roman" w:eastAsia="Calibri" w:hAnsi="Times New Roman" w:cs="Calibri"/>
          <w:sz w:val="24"/>
        </w:rPr>
        <w:t xml:space="preserve"> “Daugavas upju baseinu apgabala ūdens saimniecisko iecirkņu kodi” AAA teritorijā ietilpst daļa no ūdens saimnieciskajiem iecirkņiem.</w:t>
      </w:r>
    </w:p>
    <w:p w14:paraId="179575EC" w14:textId="5F4B7580" w:rsidR="00AF4C40" w:rsidRPr="00A07F29" w:rsidRDefault="007847A2" w:rsidP="00935EDF">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MK</w:t>
      </w:r>
      <w:r w:rsidR="00AF4C40" w:rsidRPr="00A07F29">
        <w:rPr>
          <w:rFonts w:ascii="Times New Roman" w:eastAsia="Calibri" w:hAnsi="Times New Roman" w:cs="Calibri"/>
          <w:sz w:val="24"/>
        </w:rPr>
        <w:t xml:space="preserve"> </w:t>
      </w:r>
      <w:r w:rsidR="00F378DB" w:rsidRPr="00A07F29">
        <w:rPr>
          <w:rFonts w:ascii="Times New Roman" w:eastAsia="Calibri" w:hAnsi="Times New Roman" w:cs="Calibri"/>
          <w:sz w:val="24"/>
        </w:rPr>
        <w:t>2004.</w:t>
      </w:r>
      <w:r w:rsidR="00CC4E2B" w:rsidRPr="00A07F29">
        <w:rPr>
          <w:rFonts w:ascii="Times New Roman" w:eastAsia="Calibri" w:hAnsi="Times New Roman" w:cs="Calibri"/>
          <w:sz w:val="24"/>
        </w:rPr>
        <w:t> </w:t>
      </w:r>
      <w:r w:rsidR="00F378DB" w:rsidRPr="00A07F29">
        <w:rPr>
          <w:rFonts w:ascii="Times New Roman" w:eastAsia="Calibri" w:hAnsi="Times New Roman" w:cs="Calibri"/>
          <w:sz w:val="24"/>
        </w:rPr>
        <w:t>gada 19.</w:t>
      </w:r>
      <w:r w:rsidR="00CC4E2B" w:rsidRPr="00A07F29">
        <w:rPr>
          <w:rFonts w:ascii="Times New Roman" w:eastAsia="Calibri" w:hAnsi="Times New Roman" w:cs="Calibri"/>
          <w:sz w:val="24"/>
        </w:rPr>
        <w:t> </w:t>
      </w:r>
      <w:r w:rsidR="00F378DB" w:rsidRPr="00A07F29">
        <w:rPr>
          <w:rFonts w:ascii="Times New Roman" w:eastAsia="Calibri" w:hAnsi="Times New Roman" w:cs="Calibri"/>
          <w:sz w:val="24"/>
        </w:rPr>
        <w:t xml:space="preserve">oktobra </w:t>
      </w:r>
      <w:r w:rsidR="00AF4C40" w:rsidRPr="00A07F29">
        <w:rPr>
          <w:rFonts w:ascii="Times New Roman" w:eastAsia="Calibri" w:hAnsi="Times New Roman" w:cs="Calibri"/>
          <w:sz w:val="24"/>
        </w:rPr>
        <w:t>noteikumi Nr.</w:t>
      </w:r>
      <w:r w:rsidR="00CC4E2B" w:rsidRPr="00A07F29">
        <w:rPr>
          <w:rFonts w:ascii="Times New Roman" w:eastAsia="Calibri" w:hAnsi="Times New Roman" w:cs="Calibri"/>
          <w:sz w:val="24"/>
        </w:rPr>
        <w:t> </w:t>
      </w:r>
      <w:r w:rsidR="00AF4C40" w:rsidRPr="00A07F29">
        <w:rPr>
          <w:rFonts w:ascii="Times New Roman" w:eastAsia="Calibri" w:hAnsi="Times New Roman" w:cs="Calibri"/>
          <w:sz w:val="24"/>
        </w:rPr>
        <w:t xml:space="preserve">858 </w:t>
      </w:r>
      <w:r w:rsidR="00CC4E2B" w:rsidRPr="00A07F29">
        <w:rPr>
          <w:rFonts w:ascii="Times New Roman" w:eastAsia="Calibri" w:hAnsi="Times New Roman" w:cs="Calibri"/>
          <w:b/>
          <w:sz w:val="24"/>
        </w:rPr>
        <w:t>“</w:t>
      </w:r>
      <w:r w:rsidR="00AF4C40" w:rsidRPr="00A07F29">
        <w:rPr>
          <w:rFonts w:ascii="Times New Roman" w:eastAsia="Calibri" w:hAnsi="Times New Roman" w:cs="Calibri"/>
          <w:b/>
          <w:sz w:val="24"/>
        </w:rPr>
        <w:t>Noteikumi par virszemes ūdensobjektu tipu raksturojumu, klasifikāciju, kvalitātes kritērijiem un antropogēno slodžu noteikšanas kārtību”</w:t>
      </w:r>
      <w:r w:rsidR="00AF4C40" w:rsidRPr="00A07F29">
        <w:rPr>
          <w:rFonts w:ascii="Times New Roman" w:eastAsia="Calibri" w:hAnsi="Times New Roman" w:cs="Calibri"/>
          <w:sz w:val="24"/>
        </w:rPr>
        <w:t xml:space="preserve"> nosaka virszemes ūdensobjektu tipu raksturojumu un virszemes </w:t>
      </w:r>
      <w:r w:rsidR="00AF4C40" w:rsidRPr="00A07F29">
        <w:rPr>
          <w:rFonts w:ascii="Times New Roman" w:eastAsia="Calibri" w:hAnsi="Times New Roman" w:cs="Calibri"/>
          <w:sz w:val="24"/>
        </w:rPr>
        <w:lastRenderedPageBreak/>
        <w:t xml:space="preserve">ūdensobjektu klasifikāciju, antropogēnās slodzes noteikšanas kārtību, prioritārās vielas un to emisijas ierobežošanas kārtību, kā arī virszemes ūdeņu ekoloģiskās un ķīmiskās kvalitātes kritērijus. </w:t>
      </w:r>
    </w:p>
    <w:p w14:paraId="5BD98BEA" w14:textId="4583B85D" w:rsidR="00AF4C40" w:rsidRPr="00A07F29" w:rsidRDefault="007847A2" w:rsidP="00935EDF">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MK</w:t>
      </w:r>
      <w:r w:rsidR="00F378DB" w:rsidRPr="00A07F29">
        <w:rPr>
          <w:rFonts w:ascii="Times New Roman" w:eastAsia="Calibri" w:hAnsi="Times New Roman" w:cs="Calibri"/>
          <w:sz w:val="24"/>
        </w:rPr>
        <w:t xml:space="preserve"> 2002.</w:t>
      </w:r>
      <w:r w:rsidR="00D45761" w:rsidRPr="00A07F29">
        <w:rPr>
          <w:rFonts w:ascii="Times New Roman" w:eastAsia="Calibri" w:hAnsi="Times New Roman" w:cs="Calibri"/>
          <w:sz w:val="24"/>
        </w:rPr>
        <w:t> </w:t>
      </w:r>
      <w:r w:rsidR="00F378DB" w:rsidRPr="00A07F29">
        <w:rPr>
          <w:rFonts w:ascii="Times New Roman" w:eastAsia="Calibri" w:hAnsi="Times New Roman" w:cs="Calibri"/>
          <w:sz w:val="24"/>
        </w:rPr>
        <w:t>gada 22.</w:t>
      </w:r>
      <w:r w:rsidR="00D45761" w:rsidRPr="00A07F29">
        <w:rPr>
          <w:rFonts w:ascii="Times New Roman" w:eastAsia="Calibri" w:hAnsi="Times New Roman" w:cs="Calibri"/>
          <w:sz w:val="24"/>
        </w:rPr>
        <w:t> </w:t>
      </w:r>
      <w:r w:rsidR="00F378DB" w:rsidRPr="00A07F29">
        <w:rPr>
          <w:rFonts w:ascii="Times New Roman" w:eastAsia="Calibri" w:hAnsi="Times New Roman" w:cs="Calibri"/>
          <w:sz w:val="24"/>
        </w:rPr>
        <w:t>janvāra</w:t>
      </w:r>
      <w:r w:rsidR="00AF4C40" w:rsidRPr="00A07F29">
        <w:rPr>
          <w:rFonts w:ascii="Times New Roman" w:eastAsia="Calibri" w:hAnsi="Times New Roman" w:cs="Calibri"/>
          <w:sz w:val="24"/>
        </w:rPr>
        <w:t xml:space="preserve"> noteikumi Nr.</w:t>
      </w:r>
      <w:r w:rsidR="00D45761" w:rsidRPr="00A07F29">
        <w:rPr>
          <w:rFonts w:ascii="Times New Roman" w:eastAsia="Calibri" w:hAnsi="Times New Roman" w:cs="Calibri"/>
          <w:sz w:val="24"/>
        </w:rPr>
        <w:t> </w:t>
      </w:r>
      <w:r w:rsidR="00AF4C40" w:rsidRPr="00A07F29">
        <w:rPr>
          <w:rFonts w:ascii="Times New Roman" w:eastAsia="Calibri" w:hAnsi="Times New Roman" w:cs="Calibri"/>
          <w:sz w:val="24"/>
        </w:rPr>
        <w:t xml:space="preserve">34 </w:t>
      </w:r>
      <w:r w:rsidR="00F215C2" w:rsidRPr="00A07F29">
        <w:rPr>
          <w:rFonts w:ascii="Times New Roman" w:eastAsia="Calibri" w:hAnsi="Times New Roman" w:cs="Calibri"/>
          <w:b/>
          <w:sz w:val="24"/>
        </w:rPr>
        <w:t>“</w:t>
      </w:r>
      <w:r w:rsidR="00096B6B" w:rsidRPr="00A07F29">
        <w:rPr>
          <w:rFonts w:ascii="Times New Roman" w:eastAsia="Calibri" w:hAnsi="Times New Roman" w:cs="Calibri"/>
          <w:b/>
          <w:sz w:val="24"/>
        </w:rPr>
        <w:t>Noteikumi p</w:t>
      </w:r>
      <w:r w:rsidR="00AF4C40" w:rsidRPr="00A07F29">
        <w:rPr>
          <w:rFonts w:ascii="Times New Roman" w:eastAsia="Calibri" w:hAnsi="Times New Roman" w:cs="Calibri"/>
          <w:b/>
          <w:sz w:val="24"/>
        </w:rPr>
        <w:t>ar piesārņojošo vielu emisiju ūdenī”</w:t>
      </w:r>
      <w:r w:rsidR="00AF4C40" w:rsidRPr="00A07F29">
        <w:rPr>
          <w:rFonts w:ascii="Times New Roman" w:eastAsia="Calibri" w:hAnsi="Times New Roman" w:cs="Calibri"/>
          <w:sz w:val="24"/>
        </w:rPr>
        <w:t xml:space="preserve"> nosaka emisijas robežvērtības un aizliegumus piesārņojošo vielu emisijai ūdenī.</w:t>
      </w:r>
    </w:p>
    <w:p w14:paraId="43D97E27" w14:textId="0560E63C" w:rsidR="00AF4C40" w:rsidRPr="00A07F29" w:rsidRDefault="007847A2" w:rsidP="00935EDF">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MK</w:t>
      </w:r>
      <w:r w:rsidR="00AF4C40" w:rsidRPr="00A07F29">
        <w:rPr>
          <w:rFonts w:ascii="Times New Roman" w:eastAsia="Calibri" w:hAnsi="Times New Roman" w:cs="Calibri"/>
          <w:sz w:val="24"/>
        </w:rPr>
        <w:t xml:space="preserve"> </w:t>
      </w:r>
      <w:r w:rsidR="00F378DB" w:rsidRPr="00A07F29">
        <w:rPr>
          <w:rFonts w:ascii="Times New Roman" w:eastAsia="Calibri" w:hAnsi="Times New Roman" w:cs="Calibri"/>
          <w:sz w:val="24"/>
        </w:rPr>
        <w:t>2002.</w:t>
      </w:r>
      <w:r w:rsidR="00096B6B" w:rsidRPr="00A07F29">
        <w:rPr>
          <w:rFonts w:ascii="Times New Roman" w:eastAsia="Calibri" w:hAnsi="Times New Roman" w:cs="Calibri"/>
          <w:sz w:val="24"/>
        </w:rPr>
        <w:t> </w:t>
      </w:r>
      <w:r w:rsidR="00F378DB" w:rsidRPr="00A07F29">
        <w:rPr>
          <w:rFonts w:ascii="Times New Roman" w:eastAsia="Calibri" w:hAnsi="Times New Roman" w:cs="Calibri"/>
          <w:sz w:val="24"/>
        </w:rPr>
        <w:t>gada 12.</w:t>
      </w:r>
      <w:r w:rsidR="00096B6B" w:rsidRPr="00A07F29">
        <w:rPr>
          <w:rFonts w:ascii="Times New Roman" w:eastAsia="Calibri" w:hAnsi="Times New Roman" w:cs="Calibri"/>
          <w:sz w:val="24"/>
        </w:rPr>
        <w:t> </w:t>
      </w:r>
      <w:r w:rsidR="00F378DB" w:rsidRPr="00A07F29">
        <w:rPr>
          <w:rFonts w:ascii="Times New Roman" w:eastAsia="Calibri" w:hAnsi="Times New Roman" w:cs="Calibri"/>
          <w:sz w:val="24"/>
        </w:rPr>
        <w:t xml:space="preserve">marta </w:t>
      </w:r>
      <w:r w:rsidR="00AF4C40" w:rsidRPr="00A07F29">
        <w:rPr>
          <w:rFonts w:ascii="Times New Roman" w:eastAsia="Calibri" w:hAnsi="Times New Roman" w:cs="Calibri"/>
          <w:sz w:val="24"/>
        </w:rPr>
        <w:t>noteikumi Nr.</w:t>
      </w:r>
      <w:r w:rsidR="00096B6B" w:rsidRPr="00A07F29">
        <w:rPr>
          <w:rFonts w:ascii="Times New Roman" w:eastAsia="Calibri" w:hAnsi="Times New Roman" w:cs="Calibri"/>
          <w:sz w:val="24"/>
        </w:rPr>
        <w:t> </w:t>
      </w:r>
      <w:r w:rsidR="00AF4C40" w:rsidRPr="00A07F29">
        <w:rPr>
          <w:rFonts w:ascii="Times New Roman" w:eastAsia="Calibri" w:hAnsi="Times New Roman" w:cs="Calibri"/>
          <w:sz w:val="24"/>
        </w:rPr>
        <w:t xml:space="preserve">118 </w:t>
      </w:r>
      <w:r w:rsidR="00D77ACE" w:rsidRPr="00A07F29">
        <w:rPr>
          <w:rFonts w:ascii="Times New Roman" w:eastAsia="Calibri" w:hAnsi="Times New Roman" w:cs="Calibri"/>
          <w:b/>
          <w:sz w:val="24"/>
        </w:rPr>
        <w:t>“</w:t>
      </w:r>
      <w:r w:rsidR="00AF4C40" w:rsidRPr="00A07F29">
        <w:rPr>
          <w:rFonts w:ascii="Times New Roman" w:eastAsia="Calibri" w:hAnsi="Times New Roman" w:cs="Calibri"/>
          <w:b/>
          <w:sz w:val="24"/>
        </w:rPr>
        <w:t>Noteikumi par virszemes un pazemes ūdeņu kvalitāti”</w:t>
      </w:r>
      <w:r w:rsidR="00AF4C40" w:rsidRPr="00A07F29">
        <w:rPr>
          <w:rFonts w:ascii="Times New Roman" w:eastAsia="Calibri" w:hAnsi="Times New Roman" w:cs="Calibri"/>
          <w:sz w:val="24"/>
        </w:rPr>
        <w:t xml:space="preserve"> nosaka kvalitātes normatīvus virszemes un pazemes ūdeņiem, k</w:t>
      </w:r>
      <w:r w:rsidR="007F3D73" w:rsidRPr="00A07F29">
        <w:rPr>
          <w:rFonts w:ascii="Times New Roman" w:eastAsia="Calibri" w:hAnsi="Times New Roman" w:cs="Calibri"/>
          <w:sz w:val="24"/>
        </w:rPr>
        <w:t>ā</w:t>
      </w:r>
      <w:r w:rsidR="00AF4C40" w:rsidRPr="00A07F29">
        <w:rPr>
          <w:rFonts w:ascii="Times New Roman" w:eastAsia="Calibri" w:hAnsi="Times New Roman" w:cs="Calibri"/>
          <w:sz w:val="24"/>
        </w:rPr>
        <w:t xml:space="preserve"> arī prioritāros zivju ūdeņus, kuros nepieciešams veikt ūdeņu aizsardzību vai kvalitātes uzlabošanas pasākumus, lai nodrošinātu zivju populācijām labvēlīgus apstākļus.</w:t>
      </w:r>
    </w:p>
    <w:p w14:paraId="09C97876" w14:textId="48F69C2A" w:rsidR="00AF4C40" w:rsidRPr="00A07F29" w:rsidRDefault="00AF4C40" w:rsidP="00935EDF">
      <w:pPr>
        <w:spacing w:after="120" w:line="240" w:lineRule="auto"/>
        <w:ind w:firstLine="851"/>
        <w:jc w:val="both"/>
        <w:rPr>
          <w:rFonts w:ascii="Times New Roman" w:eastAsia="Calibri" w:hAnsi="Times New Roman" w:cs="Calibri"/>
          <w:sz w:val="24"/>
          <w:szCs w:val="24"/>
        </w:rPr>
      </w:pPr>
      <w:r w:rsidRPr="00A07F29">
        <w:rPr>
          <w:rFonts w:ascii="Times New Roman" w:eastAsia="Calibri" w:hAnsi="Times New Roman" w:cs="Calibri"/>
          <w:b/>
          <w:bCs/>
          <w:sz w:val="24"/>
          <w:szCs w:val="24"/>
        </w:rPr>
        <w:t>Zvejniecības likums</w:t>
      </w:r>
      <w:r w:rsidRPr="00A07F29">
        <w:rPr>
          <w:rFonts w:ascii="Times New Roman" w:eastAsia="Calibri" w:hAnsi="Times New Roman" w:cs="Calibri"/>
          <w:sz w:val="24"/>
          <w:szCs w:val="24"/>
        </w:rPr>
        <w:t xml:space="preserve"> regulē </w:t>
      </w:r>
      <w:r w:rsidR="7BEDE126" w:rsidRPr="00A07F29">
        <w:rPr>
          <w:rFonts w:ascii="Times New Roman" w:eastAsia="Calibri" w:hAnsi="Times New Roman" w:cs="Calibri"/>
          <w:sz w:val="24"/>
          <w:szCs w:val="24"/>
        </w:rPr>
        <w:t>LR</w:t>
      </w:r>
      <w:r w:rsidRPr="00A07F29">
        <w:rPr>
          <w:rFonts w:ascii="Times New Roman" w:eastAsia="Calibri" w:hAnsi="Times New Roman" w:cs="Calibri"/>
          <w:sz w:val="24"/>
          <w:szCs w:val="24"/>
        </w:rPr>
        <w:t xml:space="preserve"> iekšējo ūdeņu, teritoriālo jūras ūdeņu un ekonomiskās zonas ūdeņu zivju resursu iegūšanu, izmantošanu, pētīšanu, saglabāšanu, pavairošanu un uzraudzīšanu. Likums nosaka zivju resursu un zvejas pārvaldīšanu. Tāpat likums skaidro tādus būtiskus terminus kā tauvas josla, makšķerēšana, vēžošana un zemūdens medības, zivju resursi (tajā skaitā vēži un citi ūdens bezmugurkaulnieki, kā arī nēģi), zivis un ūdensaugi.</w:t>
      </w:r>
    </w:p>
    <w:p w14:paraId="111EF5A0" w14:textId="633EA029" w:rsidR="00AF4C40" w:rsidRPr="00A07F29" w:rsidRDefault="007847A2" w:rsidP="00935EDF">
      <w:pPr>
        <w:spacing w:after="120" w:line="240" w:lineRule="auto"/>
        <w:ind w:firstLine="851"/>
        <w:jc w:val="both"/>
        <w:rPr>
          <w:rFonts w:ascii="Times New Roman" w:eastAsia="Calibri" w:hAnsi="Times New Roman" w:cs="Calibri"/>
          <w:sz w:val="24"/>
          <w:szCs w:val="24"/>
        </w:rPr>
      </w:pPr>
      <w:r w:rsidRPr="00A07F29">
        <w:rPr>
          <w:rFonts w:ascii="Times New Roman" w:eastAsia="Calibri" w:hAnsi="Times New Roman" w:cs="Calibri"/>
          <w:sz w:val="24"/>
          <w:szCs w:val="24"/>
        </w:rPr>
        <w:t>MK</w:t>
      </w:r>
      <w:r w:rsidR="00AF4C40" w:rsidRPr="00A07F29">
        <w:rPr>
          <w:rFonts w:ascii="Times New Roman" w:eastAsia="Calibri" w:hAnsi="Times New Roman" w:cs="Calibri"/>
          <w:sz w:val="24"/>
          <w:szCs w:val="24"/>
        </w:rPr>
        <w:t xml:space="preserve"> </w:t>
      </w:r>
      <w:r w:rsidR="00F378DB" w:rsidRPr="00A07F29">
        <w:rPr>
          <w:rFonts w:ascii="Times New Roman" w:eastAsia="Calibri" w:hAnsi="Times New Roman" w:cs="Calibri"/>
          <w:sz w:val="24"/>
          <w:szCs w:val="24"/>
        </w:rPr>
        <w:t>2015.</w:t>
      </w:r>
      <w:r w:rsidR="006E522D" w:rsidRPr="00A07F29">
        <w:rPr>
          <w:rFonts w:ascii="Times New Roman" w:eastAsia="Calibri" w:hAnsi="Times New Roman" w:cs="Calibri"/>
          <w:sz w:val="24"/>
          <w:szCs w:val="24"/>
        </w:rPr>
        <w:t> </w:t>
      </w:r>
      <w:r w:rsidR="00F378DB" w:rsidRPr="00A07F29">
        <w:rPr>
          <w:rFonts w:ascii="Times New Roman" w:eastAsia="Calibri" w:hAnsi="Times New Roman" w:cs="Calibri"/>
          <w:sz w:val="24"/>
          <w:szCs w:val="24"/>
        </w:rPr>
        <w:t>gada 22.</w:t>
      </w:r>
      <w:r w:rsidR="006E522D" w:rsidRPr="00A07F29">
        <w:rPr>
          <w:rFonts w:ascii="Times New Roman" w:eastAsia="Calibri" w:hAnsi="Times New Roman" w:cs="Calibri"/>
          <w:sz w:val="24"/>
          <w:szCs w:val="24"/>
        </w:rPr>
        <w:t> </w:t>
      </w:r>
      <w:r w:rsidR="00F378DB" w:rsidRPr="00A07F29">
        <w:rPr>
          <w:rFonts w:ascii="Times New Roman" w:eastAsia="Calibri" w:hAnsi="Times New Roman" w:cs="Calibri"/>
          <w:sz w:val="24"/>
          <w:szCs w:val="24"/>
        </w:rPr>
        <w:t xml:space="preserve">decembra </w:t>
      </w:r>
      <w:r w:rsidR="00AF4C40" w:rsidRPr="00A07F29">
        <w:rPr>
          <w:rFonts w:ascii="Times New Roman" w:eastAsia="Calibri" w:hAnsi="Times New Roman" w:cs="Calibri"/>
          <w:sz w:val="24"/>
          <w:szCs w:val="24"/>
        </w:rPr>
        <w:t xml:space="preserve">noteikumi Nr. 800 </w:t>
      </w:r>
      <w:r w:rsidR="006E522D" w:rsidRPr="00A07F29">
        <w:rPr>
          <w:rFonts w:ascii="Times New Roman" w:eastAsia="Calibri" w:hAnsi="Times New Roman" w:cs="Calibri"/>
          <w:b/>
          <w:bCs/>
          <w:sz w:val="24"/>
          <w:szCs w:val="24"/>
        </w:rPr>
        <w:t>“</w:t>
      </w:r>
      <w:r w:rsidR="00AF4C40" w:rsidRPr="00A07F29">
        <w:rPr>
          <w:rFonts w:ascii="Times New Roman" w:eastAsia="Calibri" w:hAnsi="Times New Roman" w:cs="Calibri"/>
          <w:b/>
          <w:bCs/>
          <w:sz w:val="24"/>
          <w:szCs w:val="24"/>
        </w:rPr>
        <w:t>Makšķerēšanas, vēžošanas un zemūdens medību noteikumi”</w:t>
      </w:r>
      <w:r w:rsidR="00AF4C40" w:rsidRPr="00A07F29">
        <w:rPr>
          <w:rFonts w:ascii="Times New Roman" w:eastAsia="Calibri" w:hAnsi="Times New Roman" w:cs="Calibri"/>
          <w:sz w:val="24"/>
          <w:szCs w:val="24"/>
        </w:rPr>
        <w:t xml:space="preserve"> nosaka kārtību, kādā fiziskās personas </w:t>
      </w:r>
      <w:r w:rsidR="652D0A58" w:rsidRPr="00A07F29">
        <w:rPr>
          <w:rFonts w:ascii="Times New Roman" w:eastAsia="Calibri" w:hAnsi="Times New Roman" w:cs="Calibri"/>
          <w:sz w:val="24"/>
          <w:szCs w:val="24"/>
        </w:rPr>
        <w:t>LR</w:t>
      </w:r>
      <w:r w:rsidR="00AF4C40" w:rsidRPr="00A07F29">
        <w:rPr>
          <w:rFonts w:ascii="Times New Roman" w:eastAsia="Calibri" w:hAnsi="Times New Roman" w:cs="Calibri"/>
          <w:sz w:val="24"/>
          <w:szCs w:val="24"/>
        </w:rPr>
        <w:t xml:space="preserve"> ūdeņos var nodarboties ar amatierzveju – makšķerēšanu un zemūdens medībām, zivju (vēžu un citu ūdens bezmugurkaulnieku) ieguvi ar šajos noteikumos atļautiem makšķerēšanas, zemūdens medību un vēžošanas rīkiem. </w:t>
      </w:r>
    </w:p>
    <w:p w14:paraId="6BC1BBC9" w14:textId="52203F4B" w:rsidR="00AF4C40" w:rsidRPr="00A07F29" w:rsidRDefault="00AF4C40" w:rsidP="00935EDF">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b/>
          <w:sz w:val="24"/>
        </w:rPr>
        <w:t>Medību likums</w:t>
      </w:r>
      <w:r w:rsidRPr="00A07F29">
        <w:rPr>
          <w:rFonts w:ascii="Times New Roman" w:eastAsia="Calibri" w:hAnsi="Times New Roman" w:cs="Calibri"/>
          <w:sz w:val="24"/>
        </w:rPr>
        <w:t xml:space="preserve"> un </w:t>
      </w:r>
      <w:r w:rsidR="007847A2" w:rsidRPr="00A07F29">
        <w:rPr>
          <w:rFonts w:ascii="Times New Roman" w:eastAsia="Calibri" w:hAnsi="Times New Roman" w:cs="Calibri"/>
          <w:sz w:val="24"/>
        </w:rPr>
        <w:t>MK</w:t>
      </w:r>
      <w:r w:rsidRPr="00A07F29">
        <w:rPr>
          <w:rFonts w:ascii="Times New Roman" w:eastAsia="Calibri" w:hAnsi="Times New Roman" w:cs="Calibri"/>
          <w:sz w:val="24"/>
        </w:rPr>
        <w:t xml:space="preserve"> </w:t>
      </w:r>
      <w:r w:rsidR="00F378DB" w:rsidRPr="00A07F29">
        <w:rPr>
          <w:rFonts w:ascii="Times New Roman" w:eastAsia="Calibri" w:hAnsi="Times New Roman" w:cs="Calibri"/>
          <w:sz w:val="24"/>
        </w:rPr>
        <w:t>2014.</w:t>
      </w:r>
      <w:r w:rsidR="000F2B39" w:rsidRPr="00A07F29">
        <w:rPr>
          <w:rFonts w:ascii="Times New Roman" w:eastAsia="Calibri" w:hAnsi="Times New Roman" w:cs="Calibri"/>
          <w:sz w:val="24"/>
        </w:rPr>
        <w:t> </w:t>
      </w:r>
      <w:r w:rsidR="00F378DB" w:rsidRPr="00A07F29">
        <w:rPr>
          <w:rFonts w:ascii="Times New Roman" w:eastAsia="Calibri" w:hAnsi="Times New Roman" w:cs="Calibri"/>
          <w:sz w:val="24"/>
        </w:rPr>
        <w:t>gada 22.</w:t>
      </w:r>
      <w:r w:rsidR="000F2B39" w:rsidRPr="00A07F29">
        <w:rPr>
          <w:rFonts w:ascii="Times New Roman" w:eastAsia="Calibri" w:hAnsi="Times New Roman" w:cs="Calibri"/>
          <w:sz w:val="24"/>
        </w:rPr>
        <w:t> </w:t>
      </w:r>
      <w:r w:rsidR="00F378DB" w:rsidRPr="00A07F29">
        <w:rPr>
          <w:rFonts w:ascii="Times New Roman" w:eastAsia="Calibri" w:hAnsi="Times New Roman" w:cs="Calibri"/>
          <w:sz w:val="24"/>
        </w:rPr>
        <w:t xml:space="preserve">jūlija </w:t>
      </w:r>
      <w:r w:rsidRPr="00A07F29">
        <w:rPr>
          <w:rFonts w:ascii="Times New Roman" w:eastAsia="Calibri" w:hAnsi="Times New Roman" w:cs="Calibri"/>
          <w:sz w:val="24"/>
        </w:rPr>
        <w:t xml:space="preserve">noteikumi Nr. 421 </w:t>
      </w:r>
      <w:r w:rsidR="000F2B39" w:rsidRPr="00A07F29">
        <w:rPr>
          <w:rFonts w:ascii="Times New Roman" w:eastAsia="Calibri" w:hAnsi="Times New Roman" w:cs="Calibri"/>
          <w:b/>
          <w:sz w:val="24"/>
        </w:rPr>
        <w:t>“</w:t>
      </w:r>
      <w:r w:rsidRPr="00A07F29">
        <w:rPr>
          <w:rFonts w:ascii="Times New Roman" w:eastAsia="Calibri" w:hAnsi="Times New Roman" w:cs="Calibri"/>
          <w:b/>
          <w:sz w:val="24"/>
        </w:rPr>
        <w:t>Medību noteikumi”</w:t>
      </w:r>
      <w:r w:rsidRPr="00A07F29">
        <w:rPr>
          <w:rFonts w:ascii="Times New Roman" w:eastAsia="Calibri" w:hAnsi="Times New Roman" w:cs="Calibri"/>
          <w:sz w:val="24"/>
        </w:rPr>
        <w:t xml:space="preserve"> reglamentē medību saimniecības noteikumus.</w:t>
      </w:r>
    </w:p>
    <w:p w14:paraId="024E04DC" w14:textId="77777777" w:rsidR="00AF4C40" w:rsidRPr="00A07F29" w:rsidRDefault="00AF4C40" w:rsidP="00935EDF">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b/>
          <w:sz w:val="24"/>
        </w:rPr>
        <w:t>Lauksaimniecības un lauku attīstības likums</w:t>
      </w:r>
      <w:r w:rsidRPr="00A07F29">
        <w:rPr>
          <w:rFonts w:ascii="Times New Roman" w:eastAsia="Calibri" w:hAnsi="Times New Roman" w:cs="Calibri"/>
          <w:sz w:val="24"/>
        </w:rPr>
        <w:t xml:space="preserve"> nosaka mērķi radīt tiesisku pamatu lauksaimniecības attīstībai un noteikt ilglaicīgu lauksaimniecības un lauku attīstības politiku saskaņā ar ES kopējo lauksaimniecības politiku un kopējo zivsaimniecības politiku. </w:t>
      </w:r>
    </w:p>
    <w:p w14:paraId="061D22B3" w14:textId="4233C313" w:rsidR="00476984" w:rsidRPr="00A07F29" w:rsidRDefault="007847A2" w:rsidP="00935EDF">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MK</w:t>
      </w:r>
      <w:r w:rsidR="00AF4C40" w:rsidRPr="00A07F29">
        <w:rPr>
          <w:rFonts w:ascii="Times New Roman" w:eastAsia="Calibri" w:hAnsi="Times New Roman" w:cs="Calibri"/>
          <w:sz w:val="24"/>
        </w:rPr>
        <w:t xml:space="preserve"> </w:t>
      </w:r>
      <w:r w:rsidR="00120969" w:rsidRPr="00A07F29">
        <w:rPr>
          <w:rFonts w:ascii="Times New Roman" w:eastAsia="Calibri" w:hAnsi="Times New Roman" w:cs="Calibri"/>
          <w:sz w:val="24"/>
        </w:rPr>
        <w:t>2023.</w:t>
      </w:r>
      <w:r w:rsidR="00463FE7" w:rsidRPr="00A07F29">
        <w:rPr>
          <w:rFonts w:ascii="Times New Roman" w:eastAsia="Calibri" w:hAnsi="Times New Roman" w:cs="Calibri"/>
          <w:sz w:val="24"/>
        </w:rPr>
        <w:t> </w:t>
      </w:r>
      <w:r w:rsidR="00120969" w:rsidRPr="00A07F29">
        <w:rPr>
          <w:rFonts w:ascii="Times New Roman" w:eastAsia="Calibri" w:hAnsi="Times New Roman" w:cs="Calibri"/>
          <w:sz w:val="24"/>
        </w:rPr>
        <w:t>gada 18.</w:t>
      </w:r>
      <w:r w:rsidR="00463FE7" w:rsidRPr="00A07F29">
        <w:rPr>
          <w:rFonts w:ascii="Times New Roman" w:eastAsia="Calibri" w:hAnsi="Times New Roman" w:cs="Calibri"/>
          <w:sz w:val="24"/>
        </w:rPr>
        <w:t> </w:t>
      </w:r>
      <w:r w:rsidR="00120969" w:rsidRPr="00A07F29">
        <w:rPr>
          <w:rFonts w:ascii="Times New Roman" w:eastAsia="Calibri" w:hAnsi="Times New Roman" w:cs="Calibri"/>
          <w:sz w:val="24"/>
        </w:rPr>
        <w:t>aprīļa noteikumi Nr.</w:t>
      </w:r>
      <w:r w:rsidR="00463FE7" w:rsidRPr="00A07F29">
        <w:rPr>
          <w:rFonts w:ascii="Times New Roman" w:eastAsia="Calibri" w:hAnsi="Times New Roman" w:cs="Calibri"/>
          <w:sz w:val="24"/>
        </w:rPr>
        <w:t> </w:t>
      </w:r>
      <w:r w:rsidR="00120969" w:rsidRPr="00A07F29">
        <w:rPr>
          <w:rFonts w:ascii="Times New Roman" w:eastAsia="Calibri" w:hAnsi="Times New Roman" w:cs="Calibri"/>
          <w:sz w:val="24"/>
        </w:rPr>
        <w:t xml:space="preserve">197 </w:t>
      </w:r>
      <w:r w:rsidR="00120969" w:rsidRPr="00A07F29">
        <w:rPr>
          <w:rFonts w:ascii="Times New Roman" w:eastAsia="Calibri" w:hAnsi="Times New Roman" w:cs="Calibri"/>
          <w:b/>
          <w:bCs/>
          <w:sz w:val="24"/>
        </w:rPr>
        <w:t xml:space="preserve">“Atbalsta piešķiršanas kārtība Eiropas Lauksaimniecības fonda lauku attīstībai </w:t>
      </w:r>
      <w:proofErr w:type="spellStart"/>
      <w:r w:rsidR="00120969" w:rsidRPr="00A07F29">
        <w:rPr>
          <w:rFonts w:ascii="Times New Roman" w:eastAsia="Calibri" w:hAnsi="Times New Roman" w:cs="Calibri"/>
          <w:b/>
          <w:bCs/>
          <w:sz w:val="24"/>
        </w:rPr>
        <w:t>platībatkarīgo</w:t>
      </w:r>
      <w:proofErr w:type="spellEnd"/>
      <w:r w:rsidR="00120969" w:rsidRPr="00A07F29">
        <w:rPr>
          <w:rFonts w:ascii="Times New Roman" w:eastAsia="Calibri" w:hAnsi="Times New Roman" w:cs="Calibri"/>
          <w:b/>
          <w:bCs/>
          <w:sz w:val="24"/>
        </w:rPr>
        <w:t xml:space="preserve"> un </w:t>
      </w:r>
      <w:proofErr w:type="spellStart"/>
      <w:r w:rsidR="00120969" w:rsidRPr="00A07F29">
        <w:rPr>
          <w:rFonts w:ascii="Times New Roman" w:eastAsia="Calibri" w:hAnsi="Times New Roman" w:cs="Calibri"/>
          <w:b/>
          <w:bCs/>
          <w:sz w:val="24"/>
        </w:rPr>
        <w:t>dzīvniekatkarīgo</w:t>
      </w:r>
      <w:proofErr w:type="spellEnd"/>
      <w:r w:rsidR="00120969" w:rsidRPr="00A07F29">
        <w:rPr>
          <w:rFonts w:ascii="Times New Roman" w:eastAsia="Calibri" w:hAnsi="Times New Roman" w:cs="Calibri"/>
          <w:b/>
          <w:bCs/>
          <w:sz w:val="24"/>
        </w:rPr>
        <w:t xml:space="preserve"> saistību īstenošanai”</w:t>
      </w:r>
      <w:r w:rsidR="00120969" w:rsidRPr="00A07F29" w:rsidDel="00120969">
        <w:rPr>
          <w:rFonts w:ascii="Times New Roman" w:eastAsia="Calibri" w:hAnsi="Times New Roman" w:cs="Calibri"/>
          <w:sz w:val="24"/>
        </w:rPr>
        <w:t xml:space="preserve"> </w:t>
      </w:r>
      <w:r w:rsidR="00AF4C40" w:rsidRPr="00A07F29">
        <w:rPr>
          <w:rFonts w:ascii="Times New Roman" w:eastAsia="Calibri" w:hAnsi="Times New Roman" w:cs="Calibri"/>
          <w:sz w:val="24"/>
        </w:rPr>
        <w:t xml:space="preserve">nosaka kārtību, kādā piešķir, administrē un uzrauga valsts un ES lauku attīstības </w:t>
      </w:r>
      <w:proofErr w:type="spellStart"/>
      <w:r w:rsidR="00AF4C40" w:rsidRPr="00A07F29">
        <w:rPr>
          <w:rFonts w:ascii="Times New Roman" w:eastAsia="Calibri" w:hAnsi="Times New Roman" w:cs="Calibri"/>
          <w:sz w:val="24"/>
        </w:rPr>
        <w:t>platībatkarīgo</w:t>
      </w:r>
      <w:proofErr w:type="spellEnd"/>
      <w:r w:rsidR="00AF4C40" w:rsidRPr="00A07F29">
        <w:rPr>
          <w:rFonts w:ascii="Times New Roman" w:eastAsia="Calibri" w:hAnsi="Times New Roman" w:cs="Calibri"/>
          <w:sz w:val="24"/>
        </w:rPr>
        <w:t xml:space="preserve"> atbalstu lauku attīstībai – vides, klimata un lauku ainavas uzlabošanas pasākumiem. Viens no pasākumiem, kam tiek piešķirts atbalsts, ir </w:t>
      </w:r>
      <w:r w:rsidR="00CB021F" w:rsidRPr="00A07F29">
        <w:rPr>
          <w:rFonts w:ascii="Times New Roman" w:eastAsia="Calibri" w:hAnsi="Times New Roman" w:cs="Calibri"/>
          <w:sz w:val="24"/>
        </w:rPr>
        <w:t>“</w:t>
      </w:r>
      <w:r w:rsidR="00747752" w:rsidRPr="00A07F29">
        <w:rPr>
          <w:rFonts w:ascii="Times New Roman" w:eastAsia="Calibri" w:hAnsi="Times New Roman" w:cs="Calibri"/>
          <w:sz w:val="24"/>
        </w:rPr>
        <w:t>Zālāju biotopu apsaimniekošana</w:t>
      </w:r>
      <w:r w:rsidR="00AF4C40" w:rsidRPr="00A07F29">
        <w:rPr>
          <w:rFonts w:ascii="Times New Roman" w:eastAsia="Calibri" w:hAnsi="Times New Roman" w:cs="Calibri"/>
          <w:sz w:val="24"/>
        </w:rPr>
        <w:t xml:space="preserve">”. Atbilstoši noteikumiem tiek noteikts atbalsta apmērs par vienu hektāru </w:t>
      </w:r>
      <w:proofErr w:type="spellStart"/>
      <w:r w:rsidR="00AF4C40" w:rsidRPr="00A07F29">
        <w:rPr>
          <w:rFonts w:ascii="Times New Roman" w:eastAsia="Calibri" w:hAnsi="Times New Roman" w:cs="Calibri"/>
          <w:sz w:val="24"/>
        </w:rPr>
        <w:t>atbalsttiesīgās</w:t>
      </w:r>
      <w:proofErr w:type="spellEnd"/>
      <w:r w:rsidR="00AF4C40" w:rsidRPr="00A07F29">
        <w:rPr>
          <w:rFonts w:ascii="Times New Roman" w:eastAsia="Calibri" w:hAnsi="Times New Roman" w:cs="Calibri"/>
          <w:sz w:val="24"/>
        </w:rPr>
        <w:t xml:space="preserve"> platības, kas tiek iedalītas četrās dažādās ražības klasēs. </w:t>
      </w:r>
    </w:p>
    <w:p w14:paraId="26C8D80A" w14:textId="77777777" w:rsidR="00AF4C40" w:rsidRPr="00A07F29" w:rsidRDefault="00AF4C40" w:rsidP="00935EDF">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Likums </w:t>
      </w:r>
      <w:r w:rsidRPr="00A07F29">
        <w:rPr>
          <w:rFonts w:ascii="Times New Roman" w:eastAsia="Calibri" w:hAnsi="Times New Roman" w:cs="Calibri"/>
          <w:b/>
          <w:sz w:val="24"/>
        </w:rPr>
        <w:t>“Par kultūras pieminekļu aizsardzību”</w:t>
      </w:r>
      <w:r w:rsidRPr="00A07F29">
        <w:rPr>
          <w:rFonts w:ascii="Times New Roman" w:eastAsia="Calibri" w:hAnsi="Times New Roman" w:cs="Calibri"/>
          <w:sz w:val="24"/>
        </w:rPr>
        <w:t xml:space="preserve"> nosaka, ka kultūras pieminekļu aizsardzība ir pasākumu sistēma, kas nodrošina kultūrvēsturiskā mantojuma saglabāšanu un ietver tā uzskaiti, izpēti, praktisko saglabāšanu, kultūras pieminekļu izmantošanu un to popularizēšanu. </w:t>
      </w:r>
    </w:p>
    <w:p w14:paraId="0214CC26" w14:textId="3F402A86" w:rsidR="00476984" w:rsidRPr="00A07F29" w:rsidRDefault="007847A2" w:rsidP="00935EDF">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MK</w:t>
      </w:r>
      <w:r w:rsidR="00AF4C40" w:rsidRPr="00A07F29">
        <w:rPr>
          <w:rFonts w:ascii="Times New Roman" w:eastAsia="Calibri" w:hAnsi="Times New Roman" w:cs="Calibri"/>
          <w:sz w:val="24"/>
        </w:rPr>
        <w:t xml:space="preserve"> </w:t>
      </w:r>
      <w:r w:rsidR="00F378DB" w:rsidRPr="00A07F29">
        <w:rPr>
          <w:rFonts w:ascii="Times New Roman" w:eastAsia="Calibri" w:hAnsi="Times New Roman" w:cs="Calibri"/>
          <w:sz w:val="24"/>
        </w:rPr>
        <w:t>20</w:t>
      </w:r>
      <w:r w:rsidR="003C71A7">
        <w:rPr>
          <w:rFonts w:ascii="Times New Roman" w:eastAsia="Calibri" w:hAnsi="Times New Roman" w:cs="Calibri"/>
          <w:sz w:val="24"/>
        </w:rPr>
        <w:t>21</w:t>
      </w:r>
      <w:r w:rsidR="00F378DB" w:rsidRPr="00A07F29">
        <w:rPr>
          <w:rFonts w:ascii="Times New Roman" w:eastAsia="Calibri" w:hAnsi="Times New Roman" w:cs="Calibri"/>
          <w:sz w:val="24"/>
        </w:rPr>
        <w:t>.</w:t>
      </w:r>
      <w:r w:rsidR="009B4865" w:rsidRPr="00A07F29">
        <w:rPr>
          <w:rFonts w:ascii="Times New Roman" w:eastAsia="Calibri" w:hAnsi="Times New Roman" w:cs="Calibri"/>
          <w:sz w:val="24"/>
        </w:rPr>
        <w:t> </w:t>
      </w:r>
      <w:r w:rsidR="00F378DB" w:rsidRPr="00A07F29">
        <w:rPr>
          <w:rFonts w:ascii="Times New Roman" w:eastAsia="Calibri" w:hAnsi="Times New Roman" w:cs="Calibri"/>
          <w:sz w:val="24"/>
        </w:rPr>
        <w:t>gada 26.</w:t>
      </w:r>
      <w:r w:rsidR="009B4865" w:rsidRPr="00A07F29">
        <w:rPr>
          <w:rFonts w:ascii="Times New Roman" w:eastAsia="Calibri" w:hAnsi="Times New Roman" w:cs="Calibri"/>
          <w:sz w:val="24"/>
        </w:rPr>
        <w:t> </w:t>
      </w:r>
      <w:r w:rsidR="003C71A7">
        <w:rPr>
          <w:rFonts w:ascii="Times New Roman" w:eastAsia="Calibri" w:hAnsi="Times New Roman" w:cs="Calibri"/>
          <w:sz w:val="24"/>
        </w:rPr>
        <w:t>oktobra</w:t>
      </w:r>
      <w:r w:rsidR="00F378DB" w:rsidRPr="00A07F29">
        <w:rPr>
          <w:rFonts w:ascii="Times New Roman" w:eastAsia="Calibri" w:hAnsi="Times New Roman" w:cs="Calibri"/>
          <w:sz w:val="24"/>
        </w:rPr>
        <w:t xml:space="preserve"> </w:t>
      </w:r>
      <w:r w:rsidR="00AF4C40" w:rsidRPr="00A07F29">
        <w:rPr>
          <w:rFonts w:ascii="Times New Roman" w:eastAsia="Calibri" w:hAnsi="Times New Roman" w:cs="Calibri"/>
          <w:sz w:val="24"/>
        </w:rPr>
        <w:t>noteikumi Nr.</w:t>
      </w:r>
      <w:r w:rsidR="009B4865" w:rsidRPr="00A07F29">
        <w:rPr>
          <w:rFonts w:ascii="Times New Roman" w:eastAsia="Calibri" w:hAnsi="Times New Roman" w:cs="Calibri"/>
          <w:sz w:val="24"/>
        </w:rPr>
        <w:t> </w:t>
      </w:r>
      <w:r w:rsidR="003C71A7">
        <w:rPr>
          <w:rFonts w:ascii="Times New Roman" w:eastAsia="Calibri" w:hAnsi="Times New Roman" w:cs="Calibri"/>
          <w:sz w:val="24"/>
        </w:rPr>
        <w:t>720</w:t>
      </w:r>
      <w:r w:rsidR="00AF4C40" w:rsidRPr="00A07F29">
        <w:rPr>
          <w:rFonts w:ascii="Times New Roman" w:eastAsia="Calibri" w:hAnsi="Times New Roman" w:cs="Calibri"/>
          <w:b/>
          <w:sz w:val="24"/>
        </w:rPr>
        <w:t xml:space="preserve"> “</w:t>
      </w:r>
      <w:r w:rsidR="003C71A7">
        <w:rPr>
          <w:rFonts w:ascii="Times New Roman" w:eastAsia="Calibri" w:hAnsi="Times New Roman" w:cs="Calibri"/>
          <w:b/>
          <w:sz w:val="24"/>
        </w:rPr>
        <w:t>K</w:t>
      </w:r>
      <w:r w:rsidR="00AF4C40" w:rsidRPr="00A07F29">
        <w:rPr>
          <w:rFonts w:ascii="Times New Roman" w:eastAsia="Calibri" w:hAnsi="Times New Roman" w:cs="Calibri"/>
          <w:b/>
          <w:sz w:val="24"/>
        </w:rPr>
        <w:t>ultūras pieminekļu uzskait</w:t>
      </w:r>
      <w:r w:rsidR="003C71A7">
        <w:rPr>
          <w:rFonts w:ascii="Times New Roman" w:eastAsia="Calibri" w:hAnsi="Times New Roman" w:cs="Calibri"/>
          <w:b/>
          <w:sz w:val="24"/>
        </w:rPr>
        <w:t>es</w:t>
      </w:r>
      <w:r w:rsidR="00AF4C40" w:rsidRPr="00A07F29">
        <w:rPr>
          <w:rFonts w:ascii="Times New Roman" w:eastAsia="Calibri" w:hAnsi="Times New Roman" w:cs="Calibri"/>
          <w:b/>
          <w:sz w:val="24"/>
        </w:rPr>
        <w:t>, aizsardzīb</w:t>
      </w:r>
      <w:r w:rsidR="003C71A7">
        <w:rPr>
          <w:rFonts w:ascii="Times New Roman" w:eastAsia="Calibri" w:hAnsi="Times New Roman" w:cs="Calibri"/>
          <w:b/>
          <w:sz w:val="24"/>
        </w:rPr>
        <w:t>as</w:t>
      </w:r>
      <w:r w:rsidR="00AF4C40" w:rsidRPr="00A07F29">
        <w:rPr>
          <w:rFonts w:ascii="Times New Roman" w:eastAsia="Calibri" w:hAnsi="Times New Roman" w:cs="Calibri"/>
          <w:b/>
          <w:sz w:val="24"/>
        </w:rPr>
        <w:t>, izmantošan</w:t>
      </w:r>
      <w:r w:rsidR="003C71A7">
        <w:rPr>
          <w:rFonts w:ascii="Times New Roman" w:eastAsia="Calibri" w:hAnsi="Times New Roman" w:cs="Calibri"/>
          <w:b/>
          <w:sz w:val="24"/>
        </w:rPr>
        <w:t>as un</w:t>
      </w:r>
      <w:r w:rsidR="00AF4C40" w:rsidRPr="00A07F29">
        <w:rPr>
          <w:rFonts w:ascii="Times New Roman" w:eastAsia="Calibri" w:hAnsi="Times New Roman" w:cs="Calibri"/>
          <w:b/>
          <w:sz w:val="24"/>
        </w:rPr>
        <w:t xml:space="preserve"> restaurācij</w:t>
      </w:r>
      <w:r w:rsidR="003C71A7">
        <w:rPr>
          <w:rFonts w:ascii="Times New Roman" w:eastAsia="Calibri" w:hAnsi="Times New Roman" w:cs="Calibri"/>
          <w:b/>
          <w:sz w:val="24"/>
        </w:rPr>
        <w:t>as noteikumi</w:t>
      </w:r>
      <w:r w:rsidR="00550171">
        <w:rPr>
          <w:rFonts w:ascii="Times New Roman" w:eastAsia="Calibri" w:hAnsi="Times New Roman" w:cs="Calibri"/>
          <w:b/>
          <w:sz w:val="24"/>
        </w:rPr>
        <w:t xml:space="preserve">” </w:t>
      </w:r>
      <w:r w:rsidR="00AF4C40" w:rsidRPr="00A07F29">
        <w:rPr>
          <w:rFonts w:ascii="Times New Roman" w:eastAsia="Calibri" w:hAnsi="Times New Roman" w:cs="Calibri"/>
          <w:sz w:val="24"/>
        </w:rPr>
        <w:t xml:space="preserve">nosaka kultūras pieminekļu tipoloģiskās un vērtību grupas. </w:t>
      </w:r>
    </w:p>
    <w:p w14:paraId="72E86DD5" w14:textId="3AFC7444" w:rsidR="00AF4C40" w:rsidRPr="00A07F29" w:rsidRDefault="00AF4C40" w:rsidP="00935EDF">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b/>
          <w:sz w:val="24"/>
        </w:rPr>
        <w:t>Tūrisma likuma</w:t>
      </w:r>
      <w:r w:rsidRPr="00A07F29">
        <w:rPr>
          <w:rFonts w:ascii="Times New Roman" w:eastAsia="Calibri" w:hAnsi="Times New Roman" w:cs="Calibri"/>
          <w:sz w:val="24"/>
        </w:rPr>
        <w:t xml:space="preserve"> mērķis ir radīt tiesisku pamatu tūrisma nozares attīstībai Latvijā, noteikt kārtību, kādā valsts pārvaldes iestādes, pašvaldības un uzņēmumi (uzņēmējsabiedrības) darbojas tūrisma jomā, un aizsargāt tūristu intereses. Minētā likuma 1.</w:t>
      </w:r>
      <w:r w:rsidR="001530FE" w:rsidRPr="00A07F29">
        <w:rPr>
          <w:rFonts w:ascii="Times New Roman" w:eastAsia="Calibri" w:hAnsi="Times New Roman" w:cs="Calibri"/>
          <w:sz w:val="24"/>
        </w:rPr>
        <w:t> </w:t>
      </w:r>
      <w:r w:rsidRPr="00A07F29">
        <w:rPr>
          <w:rFonts w:ascii="Times New Roman" w:eastAsia="Calibri" w:hAnsi="Times New Roman" w:cs="Calibri"/>
          <w:sz w:val="24"/>
        </w:rPr>
        <w:t xml:space="preserve">panta 2. punktā definēts dabas tūrisms – tūrisma veids, kura mērķis ir izzināt dabu, apskatīt raksturīgas ainavas, biotopus, novērot augus un dzīvniekus dabiskajos apstākļos, kā arī izglītoties dabas aizsardzības jautājumos. Likuma 3. panta 4. un 10. punktā ir noteikts, ka viens no tūrisma nozares galvenajiem uzdevumiem ir veicināt kultūrvēsturiskā un dabas mantojuma saglabāšanu un racionālu izmantošanu, kā arī nodrošināt kultūras un dabas tūrisma attīstību. </w:t>
      </w:r>
      <w:r w:rsidRPr="00A07F29">
        <w:rPr>
          <w:rFonts w:ascii="Times New Roman" w:eastAsia="Calibri" w:hAnsi="Times New Roman" w:cs="Calibri"/>
          <w:sz w:val="24"/>
        </w:rPr>
        <w:lastRenderedPageBreak/>
        <w:t xml:space="preserve">Turklāt ir jānodrošina tūrisma harmoniska attīstība atbilstoši dabas un kultūras vides aizsardzībai tā, lai tūrisms nenonāktu pretrunā ar dabas un kultūras vides aizsardzību. </w:t>
      </w:r>
    </w:p>
    <w:p w14:paraId="59CA8A64" w14:textId="3F77A0CA" w:rsidR="00AF4C40" w:rsidRPr="00A07F29" w:rsidRDefault="005052F5" w:rsidP="00935EDF">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b/>
          <w:sz w:val="24"/>
        </w:rPr>
        <w:t>LR</w:t>
      </w:r>
      <w:r w:rsidR="001E391E" w:rsidRPr="00A07F29">
        <w:rPr>
          <w:rFonts w:ascii="Times New Roman" w:eastAsia="Calibri" w:hAnsi="Times New Roman" w:cs="Calibri"/>
          <w:b/>
          <w:sz w:val="24"/>
        </w:rPr>
        <w:t xml:space="preserve"> </w:t>
      </w:r>
      <w:r w:rsidR="00AF4C40" w:rsidRPr="00A07F29">
        <w:rPr>
          <w:rFonts w:ascii="Times New Roman" w:eastAsia="Calibri" w:hAnsi="Times New Roman" w:cs="Calibri"/>
          <w:b/>
          <w:sz w:val="24"/>
        </w:rPr>
        <w:t>Civillikuma</w:t>
      </w:r>
      <w:r w:rsidR="00AF4C40" w:rsidRPr="00A07F29">
        <w:rPr>
          <w:rFonts w:ascii="Times New Roman" w:eastAsia="Calibri" w:hAnsi="Times New Roman" w:cs="Calibri"/>
          <w:sz w:val="24"/>
        </w:rPr>
        <w:t xml:space="preserve"> </w:t>
      </w:r>
      <w:r w:rsidR="001E391E" w:rsidRPr="00A07F29">
        <w:rPr>
          <w:rFonts w:ascii="Times New Roman" w:eastAsia="Calibri" w:hAnsi="Times New Roman" w:cs="Calibri"/>
          <w:sz w:val="24"/>
        </w:rPr>
        <w:t xml:space="preserve">trešās </w:t>
      </w:r>
      <w:r w:rsidR="00AF4C40" w:rsidRPr="00A07F29">
        <w:rPr>
          <w:rFonts w:ascii="Times New Roman" w:eastAsia="Calibri" w:hAnsi="Times New Roman" w:cs="Calibri"/>
          <w:sz w:val="24"/>
        </w:rPr>
        <w:t xml:space="preserve">daļas (Lietu tiesības) trešās nodaļas (Īpašums) piektajā apakšnodaļā (Īpašuma aprobežojumi) 1082. pants nosaka: </w:t>
      </w:r>
      <w:r w:rsidR="003F342E" w:rsidRPr="00A07F29">
        <w:rPr>
          <w:rFonts w:ascii="Times New Roman" w:eastAsia="Calibri" w:hAnsi="Times New Roman" w:cs="Calibri"/>
          <w:sz w:val="24"/>
        </w:rPr>
        <w:t>“</w:t>
      </w:r>
      <w:r w:rsidR="00AF4C40" w:rsidRPr="00A07F29">
        <w:rPr>
          <w:rFonts w:ascii="Times New Roman" w:eastAsia="Calibri" w:hAnsi="Times New Roman" w:cs="Calibri"/>
          <w:sz w:val="24"/>
        </w:rPr>
        <w:t>Īpašuma lietošanas tiesības aprobežojumu noteic vai nu likums, vai tiesas lēmums, vai arī privāta griba ar testamentu vai līgumu, un šis aprobežojums var attiekties kā uz dažu lietu tiesību piešķiršanu citām personām, tā arī uz to, ka īpašniekam jāatturas no zināmām lietošanas tiesībām, vai arī jāpacieš, ka tās izlieto citi.”</w:t>
      </w:r>
    </w:p>
    <w:p w14:paraId="4A2BF6D1" w14:textId="73A8D976" w:rsidR="00AF4C40" w:rsidRPr="00A07F29" w:rsidRDefault="005052F5" w:rsidP="00935EDF">
      <w:pPr>
        <w:spacing w:after="120" w:line="240" w:lineRule="auto"/>
        <w:ind w:firstLine="851"/>
        <w:jc w:val="both"/>
        <w:rPr>
          <w:rFonts w:ascii="Times New Roman" w:eastAsia="Calibri" w:hAnsi="Times New Roman" w:cs="Calibri"/>
          <w:sz w:val="24"/>
          <w:szCs w:val="24"/>
        </w:rPr>
      </w:pPr>
      <w:r w:rsidRPr="00A07F29">
        <w:rPr>
          <w:rFonts w:ascii="Times New Roman" w:eastAsia="Calibri" w:hAnsi="Times New Roman" w:cs="Calibri"/>
          <w:sz w:val="24"/>
          <w:szCs w:val="24"/>
        </w:rPr>
        <w:t>LR</w:t>
      </w:r>
      <w:r w:rsidR="001E391E" w:rsidRPr="00A07F29">
        <w:rPr>
          <w:rFonts w:ascii="Times New Roman" w:eastAsia="Calibri" w:hAnsi="Times New Roman" w:cs="Calibri"/>
          <w:b/>
          <w:bCs/>
          <w:sz w:val="24"/>
          <w:szCs w:val="24"/>
        </w:rPr>
        <w:t xml:space="preserve"> </w:t>
      </w:r>
      <w:r w:rsidR="00AF4C40" w:rsidRPr="00A07F29">
        <w:rPr>
          <w:rFonts w:ascii="Times New Roman" w:eastAsia="Calibri" w:hAnsi="Times New Roman" w:cs="Calibri"/>
          <w:sz w:val="24"/>
          <w:szCs w:val="24"/>
        </w:rPr>
        <w:t xml:space="preserve">Civillikuma I pielikumā iekļauts publisko ezeru un upju saraksts, saskaņā ar </w:t>
      </w:r>
      <w:r w:rsidRPr="00A07F29">
        <w:rPr>
          <w:rFonts w:ascii="Times New Roman" w:eastAsia="Calibri" w:hAnsi="Times New Roman" w:cs="Calibri"/>
          <w:sz w:val="24"/>
          <w:szCs w:val="24"/>
        </w:rPr>
        <w:t>LR</w:t>
      </w:r>
      <w:r w:rsidR="001E391E" w:rsidRPr="00A07F29">
        <w:rPr>
          <w:rFonts w:ascii="Times New Roman" w:eastAsia="Calibri" w:hAnsi="Times New Roman" w:cs="Calibri"/>
          <w:b/>
          <w:bCs/>
          <w:sz w:val="24"/>
          <w:szCs w:val="24"/>
        </w:rPr>
        <w:t xml:space="preserve"> </w:t>
      </w:r>
      <w:r w:rsidR="00AF4C40" w:rsidRPr="00A07F29">
        <w:rPr>
          <w:rFonts w:ascii="Times New Roman" w:eastAsia="Calibri" w:hAnsi="Times New Roman" w:cs="Calibri"/>
          <w:sz w:val="24"/>
          <w:szCs w:val="24"/>
        </w:rPr>
        <w:t>Civil</w:t>
      </w:r>
      <w:r w:rsidR="05D38E5A" w:rsidRPr="00A07F29">
        <w:rPr>
          <w:rFonts w:ascii="Times New Roman" w:eastAsia="Calibri" w:hAnsi="Times New Roman" w:cs="Calibri"/>
          <w:sz w:val="24"/>
          <w:szCs w:val="24"/>
        </w:rPr>
        <w:t>l</w:t>
      </w:r>
      <w:r w:rsidR="00AF4C40" w:rsidRPr="00A07F29">
        <w:rPr>
          <w:rFonts w:ascii="Times New Roman" w:eastAsia="Calibri" w:hAnsi="Times New Roman" w:cs="Calibri"/>
          <w:sz w:val="24"/>
          <w:szCs w:val="24"/>
        </w:rPr>
        <w:t>ikuma 1104.</w:t>
      </w:r>
      <w:r w:rsidR="005C52F3" w:rsidRPr="00A07F29">
        <w:rPr>
          <w:rFonts w:ascii="Times New Roman" w:eastAsia="Calibri" w:hAnsi="Times New Roman" w:cs="Calibri"/>
          <w:sz w:val="24"/>
          <w:szCs w:val="24"/>
        </w:rPr>
        <w:t> </w:t>
      </w:r>
      <w:r w:rsidR="00AF4C40" w:rsidRPr="00A07F29">
        <w:rPr>
          <w:rFonts w:ascii="Times New Roman" w:eastAsia="Calibri" w:hAnsi="Times New Roman" w:cs="Calibri"/>
          <w:sz w:val="24"/>
          <w:szCs w:val="24"/>
        </w:rPr>
        <w:t xml:space="preserve">pantu “publiskie ūdeņi ir valsts īpašums, ciktāl uz tiem nepastāv īpašuma tiesības privātai personai”. AAA “Augšdaugava” iekļauta publiskā upe Daugava. Saskaņā ar </w:t>
      </w:r>
      <w:r w:rsidRPr="00A07F29">
        <w:rPr>
          <w:rFonts w:ascii="Times New Roman" w:eastAsia="Calibri" w:hAnsi="Times New Roman" w:cs="Calibri"/>
          <w:sz w:val="24"/>
          <w:szCs w:val="24"/>
        </w:rPr>
        <w:t>LR</w:t>
      </w:r>
      <w:r w:rsidR="00A07163" w:rsidRPr="00A07F29">
        <w:rPr>
          <w:rFonts w:ascii="Times New Roman" w:eastAsia="Calibri" w:hAnsi="Times New Roman" w:cs="Calibri"/>
          <w:sz w:val="24"/>
          <w:szCs w:val="24"/>
        </w:rPr>
        <w:t xml:space="preserve"> </w:t>
      </w:r>
      <w:r w:rsidR="00AF4C40" w:rsidRPr="00A07F29">
        <w:rPr>
          <w:rFonts w:ascii="Times New Roman" w:eastAsia="Calibri" w:hAnsi="Times New Roman" w:cs="Calibri"/>
          <w:sz w:val="24"/>
          <w:szCs w:val="24"/>
        </w:rPr>
        <w:t xml:space="preserve">Civillikuma II pielikumu </w:t>
      </w:r>
      <w:proofErr w:type="spellStart"/>
      <w:r w:rsidR="00AF4C40" w:rsidRPr="00A07F29">
        <w:rPr>
          <w:rFonts w:ascii="Times New Roman" w:eastAsia="Calibri" w:hAnsi="Times New Roman" w:cs="Calibri"/>
          <w:sz w:val="24"/>
          <w:szCs w:val="24"/>
        </w:rPr>
        <w:t>Varnaviču</w:t>
      </w:r>
      <w:proofErr w:type="spellEnd"/>
      <w:r w:rsidR="00AF4C40" w:rsidRPr="00A07F29">
        <w:rPr>
          <w:rFonts w:ascii="Times New Roman" w:eastAsia="Calibri" w:hAnsi="Times New Roman" w:cs="Calibri"/>
          <w:sz w:val="24"/>
          <w:szCs w:val="24"/>
        </w:rPr>
        <w:t>, Vilnīšu (</w:t>
      </w:r>
      <w:proofErr w:type="spellStart"/>
      <w:r w:rsidR="00AF4C40" w:rsidRPr="00A07F29">
        <w:rPr>
          <w:rFonts w:ascii="Times New Roman" w:eastAsia="Calibri" w:hAnsi="Times New Roman" w:cs="Calibri"/>
          <w:sz w:val="24"/>
          <w:szCs w:val="24"/>
        </w:rPr>
        <w:t>Krivojes</w:t>
      </w:r>
      <w:proofErr w:type="spellEnd"/>
      <w:r w:rsidR="00AF4C40" w:rsidRPr="00A07F29">
        <w:rPr>
          <w:rFonts w:ascii="Times New Roman" w:eastAsia="Calibri" w:hAnsi="Times New Roman" w:cs="Calibri"/>
          <w:sz w:val="24"/>
          <w:szCs w:val="24"/>
        </w:rPr>
        <w:t xml:space="preserve">) un </w:t>
      </w:r>
      <w:proofErr w:type="spellStart"/>
      <w:r w:rsidR="00AF4C40" w:rsidRPr="00A07F29">
        <w:rPr>
          <w:rFonts w:ascii="Times New Roman" w:eastAsia="Calibri" w:hAnsi="Times New Roman" w:cs="Calibri"/>
          <w:sz w:val="24"/>
          <w:szCs w:val="24"/>
        </w:rPr>
        <w:t>Šilovkas</w:t>
      </w:r>
      <w:proofErr w:type="spellEnd"/>
      <w:r w:rsidR="00AF4C40" w:rsidRPr="00A07F29">
        <w:rPr>
          <w:rFonts w:ascii="Times New Roman" w:eastAsia="Calibri" w:hAnsi="Times New Roman" w:cs="Calibri"/>
          <w:sz w:val="24"/>
          <w:szCs w:val="24"/>
        </w:rPr>
        <w:t xml:space="preserve"> ezeros zvejas tiesības pieder valstij.</w:t>
      </w:r>
    </w:p>
    <w:p w14:paraId="13A89DA0" w14:textId="3BF1FDE2" w:rsidR="00AF4C40" w:rsidRPr="00A07F29" w:rsidRDefault="00AF4C40" w:rsidP="00935EDF">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b/>
          <w:sz w:val="24"/>
        </w:rPr>
        <w:t>Zemes pārvaldības likuma</w:t>
      </w:r>
      <w:r w:rsidRPr="00A07F29">
        <w:rPr>
          <w:rFonts w:ascii="Times New Roman" w:eastAsia="Calibri" w:hAnsi="Times New Roman" w:cs="Calibri"/>
          <w:sz w:val="24"/>
        </w:rPr>
        <w:t xml:space="preserve"> mērķis ir veicināt ilgtspējīgu zemes izmantošanu un aizsardzību. Saskaņā ar šī likuma 15.</w:t>
      </w:r>
      <w:r w:rsidR="00F357DB" w:rsidRPr="00A07F29">
        <w:rPr>
          <w:rFonts w:ascii="Times New Roman" w:eastAsia="Calibri" w:hAnsi="Times New Roman" w:cs="Calibri"/>
          <w:sz w:val="24"/>
        </w:rPr>
        <w:t> </w:t>
      </w:r>
      <w:r w:rsidRPr="00A07F29">
        <w:rPr>
          <w:rFonts w:ascii="Times New Roman" w:eastAsia="Calibri" w:hAnsi="Times New Roman" w:cs="Calibri"/>
          <w:sz w:val="24"/>
        </w:rPr>
        <w:t xml:space="preserve">panta </w:t>
      </w:r>
      <w:r w:rsidR="00F357DB" w:rsidRPr="00A07F29">
        <w:rPr>
          <w:rFonts w:ascii="Times New Roman" w:eastAsia="Calibri" w:hAnsi="Times New Roman" w:cs="Calibri"/>
          <w:sz w:val="24"/>
        </w:rPr>
        <w:t xml:space="preserve">otro </w:t>
      </w:r>
      <w:r w:rsidRPr="00A07F29">
        <w:rPr>
          <w:rFonts w:ascii="Times New Roman" w:eastAsia="Calibri" w:hAnsi="Times New Roman" w:cs="Calibri"/>
          <w:sz w:val="24"/>
        </w:rPr>
        <w:t>daļu AAA “Augšdaugava” esošā Daugavas upe atrodas pašvaldības valdījumā.</w:t>
      </w:r>
      <w:r w:rsidR="00D65BBA" w:rsidRPr="00A07F29">
        <w:rPr>
          <w:rFonts w:ascii="Times New Roman" w:eastAsia="Calibri" w:hAnsi="Times New Roman" w:cs="Calibri"/>
          <w:sz w:val="24"/>
        </w:rPr>
        <w:t xml:space="preserve"> </w:t>
      </w:r>
    </w:p>
    <w:p w14:paraId="46B3B39B" w14:textId="56B184BA" w:rsidR="00AF4C40" w:rsidRPr="00A07F29" w:rsidRDefault="00AF4C40" w:rsidP="00935EDF">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Saskaņā ar likuma 6.</w:t>
      </w:r>
      <w:r w:rsidR="006557CB" w:rsidRPr="00A07F29">
        <w:rPr>
          <w:rFonts w:ascii="Times New Roman" w:eastAsia="Calibri" w:hAnsi="Times New Roman" w:cs="Calibri"/>
          <w:sz w:val="24"/>
        </w:rPr>
        <w:t> </w:t>
      </w:r>
      <w:r w:rsidRPr="00A07F29">
        <w:rPr>
          <w:rFonts w:ascii="Times New Roman" w:eastAsia="Calibri" w:hAnsi="Times New Roman" w:cs="Calibri"/>
          <w:sz w:val="24"/>
        </w:rPr>
        <w:t xml:space="preserve">panta pirmo daļu, “lai nodrošinātu piekļuvi iekšzemes publiskajiem ūdeņiem un īpaši aizsargājamām dabas teritorijām, kuru apmeklēšana ir atļauta saskaņā ar īpaši aizsargājamo dabas teritoriju aizsardzību un izmantošanu regulējošiem normatīvajiem aktiem, vietējā pašvaldība teritorijas plānojumā, </w:t>
      </w:r>
      <w:proofErr w:type="spellStart"/>
      <w:r w:rsidRPr="00A07F29">
        <w:rPr>
          <w:rFonts w:ascii="Times New Roman" w:eastAsia="Calibri" w:hAnsi="Times New Roman" w:cs="Calibri"/>
          <w:sz w:val="24"/>
        </w:rPr>
        <w:t>lokālplānojumā</w:t>
      </w:r>
      <w:proofErr w:type="spellEnd"/>
      <w:r w:rsidRPr="00A07F29">
        <w:rPr>
          <w:rFonts w:ascii="Times New Roman" w:eastAsia="Calibri" w:hAnsi="Times New Roman" w:cs="Calibri"/>
          <w:sz w:val="24"/>
        </w:rPr>
        <w:t xml:space="preserve"> vai detālplānojumā nosaka gājēju ceļu kā nekustamā īpašuma tiesību aprobežojumu par labu sabiedrības iespējai piekļūt šādai teritorijai un organizē gājēju ceļa ierīkošanu.” </w:t>
      </w:r>
    </w:p>
    <w:p w14:paraId="76FE08CA" w14:textId="77777777" w:rsidR="00AF4C40" w:rsidRPr="00A07F29" w:rsidRDefault="00AF4C40" w:rsidP="00935EDF">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b/>
          <w:sz w:val="24"/>
        </w:rPr>
        <w:t>Teritorijas attīstības plānošanas likums</w:t>
      </w:r>
      <w:r w:rsidRPr="00A07F29">
        <w:rPr>
          <w:rFonts w:ascii="Times New Roman" w:eastAsia="Calibri" w:hAnsi="Times New Roman" w:cs="Calibri"/>
          <w:sz w:val="24"/>
        </w:rPr>
        <w:t xml:space="preserve"> nosaka mērķi panākt, ka teritorijas attīstība tiek plānota tā, lai varētu paaugstināt dzīves vides kvalitāti, ilgtspējīgi, efektīvi un racionāli izmantot teritoriju un citus resursus, kā arī mērķtiecīgi un līdzsvaroti attīstīt ekonomiku.</w:t>
      </w:r>
    </w:p>
    <w:p w14:paraId="0AA4122A" w14:textId="5416D702" w:rsidR="00AF4C40" w:rsidRPr="00A07F29" w:rsidRDefault="007847A2" w:rsidP="00935EDF">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MK</w:t>
      </w:r>
      <w:r w:rsidR="00AF4C40" w:rsidRPr="00A07F29">
        <w:rPr>
          <w:rFonts w:ascii="Times New Roman" w:eastAsia="Calibri" w:hAnsi="Times New Roman" w:cs="Calibri"/>
          <w:sz w:val="24"/>
        </w:rPr>
        <w:t xml:space="preserve"> </w:t>
      </w:r>
      <w:r w:rsidR="00F378DB" w:rsidRPr="00A07F29">
        <w:rPr>
          <w:rFonts w:ascii="Times New Roman" w:eastAsia="Calibri" w:hAnsi="Times New Roman" w:cs="Calibri"/>
          <w:sz w:val="24"/>
        </w:rPr>
        <w:t>2013.</w:t>
      </w:r>
      <w:r w:rsidR="007136ED" w:rsidRPr="00A07F29">
        <w:rPr>
          <w:rFonts w:ascii="Times New Roman" w:eastAsia="Calibri" w:hAnsi="Times New Roman" w:cs="Calibri"/>
          <w:sz w:val="24"/>
        </w:rPr>
        <w:t> </w:t>
      </w:r>
      <w:r w:rsidR="00F378DB" w:rsidRPr="00A07F29">
        <w:rPr>
          <w:rFonts w:ascii="Times New Roman" w:eastAsia="Calibri" w:hAnsi="Times New Roman" w:cs="Calibri"/>
          <w:sz w:val="24"/>
        </w:rPr>
        <w:t>gada 30.</w:t>
      </w:r>
      <w:r w:rsidR="007136ED" w:rsidRPr="00A07F29">
        <w:rPr>
          <w:rFonts w:ascii="Times New Roman" w:eastAsia="Calibri" w:hAnsi="Times New Roman" w:cs="Calibri"/>
          <w:sz w:val="24"/>
        </w:rPr>
        <w:t> </w:t>
      </w:r>
      <w:r w:rsidR="00F378DB" w:rsidRPr="00A07F29">
        <w:rPr>
          <w:rFonts w:ascii="Times New Roman" w:eastAsia="Calibri" w:hAnsi="Times New Roman" w:cs="Calibri"/>
          <w:sz w:val="24"/>
        </w:rPr>
        <w:t xml:space="preserve">aprīļa </w:t>
      </w:r>
      <w:r w:rsidR="00AF4C40" w:rsidRPr="00A07F29">
        <w:rPr>
          <w:rFonts w:ascii="Times New Roman" w:eastAsia="Calibri" w:hAnsi="Times New Roman" w:cs="Calibri"/>
          <w:sz w:val="24"/>
        </w:rPr>
        <w:t xml:space="preserve">noteikumi Nr. 240 </w:t>
      </w:r>
      <w:r w:rsidR="007136ED" w:rsidRPr="00A07F29">
        <w:rPr>
          <w:rFonts w:ascii="Times New Roman" w:eastAsia="Calibri" w:hAnsi="Times New Roman" w:cs="Calibri"/>
          <w:b/>
          <w:sz w:val="24"/>
        </w:rPr>
        <w:t>“</w:t>
      </w:r>
      <w:r w:rsidR="00AF4C40" w:rsidRPr="00A07F29">
        <w:rPr>
          <w:rFonts w:ascii="Times New Roman" w:eastAsia="Calibri" w:hAnsi="Times New Roman" w:cs="Calibri"/>
          <w:b/>
          <w:sz w:val="24"/>
        </w:rPr>
        <w:t>Vispārīgie teritorijas plānošanas, izmantošanas un apbūves noteikumi”</w:t>
      </w:r>
      <w:r w:rsidR="00AF4C40" w:rsidRPr="00A07F29">
        <w:rPr>
          <w:rFonts w:ascii="Times New Roman" w:eastAsia="Calibri" w:hAnsi="Times New Roman" w:cs="Calibri"/>
          <w:sz w:val="24"/>
        </w:rPr>
        <w:t xml:space="preserve"> nosaka vispārīgās prasības vietējā līmeņa teritorijas attīstības plānošanai, teritorijas izmantošanai un apbūvei, kā arī teritorijas izmantošanas veidu klasifikāciju. </w:t>
      </w:r>
    </w:p>
    <w:p w14:paraId="53599492" w14:textId="642FFBE2" w:rsidR="00AF4C40" w:rsidRPr="00A07F29" w:rsidRDefault="007847A2" w:rsidP="00935EDF">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MK</w:t>
      </w:r>
      <w:r w:rsidR="00AF4C40" w:rsidRPr="00A07F29">
        <w:rPr>
          <w:rFonts w:ascii="Times New Roman" w:eastAsia="Calibri" w:hAnsi="Times New Roman" w:cs="Calibri"/>
          <w:sz w:val="24"/>
        </w:rPr>
        <w:t xml:space="preserve"> </w:t>
      </w:r>
      <w:r w:rsidR="00F378DB" w:rsidRPr="00A07F29">
        <w:rPr>
          <w:rFonts w:ascii="Times New Roman" w:eastAsia="Calibri" w:hAnsi="Times New Roman" w:cs="Calibri"/>
          <w:sz w:val="24"/>
        </w:rPr>
        <w:t>2014.</w:t>
      </w:r>
      <w:r w:rsidR="000224B0" w:rsidRPr="00A07F29">
        <w:rPr>
          <w:rFonts w:ascii="Times New Roman" w:eastAsia="Calibri" w:hAnsi="Times New Roman" w:cs="Calibri"/>
          <w:sz w:val="24"/>
        </w:rPr>
        <w:t> </w:t>
      </w:r>
      <w:r w:rsidR="00F378DB" w:rsidRPr="00A07F29">
        <w:rPr>
          <w:rFonts w:ascii="Times New Roman" w:eastAsia="Calibri" w:hAnsi="Times New Roman" w:cs="Calibri"/>
          <w:sz w:val="24"/>
        </w:rPr>
        <w:t>gada 14.</w:t>
      </w:r>
      <w:r w:rsidR="000224B0" w:rsidRPr="00A07F29">
        <w:rPr>
          <w:rFonts w:ascii="Times New Roman" w:eastAsia="Calibri" w:hAnsi="Times New Roman" w:cs="Calibri"/>
          <w:sz w:val="24"/>
        </w:rPr>
        <w:t> </w:t>
      </w:r>
      <w:r w:rsidR="00F378DB" w:rsidRPr="00A07F29">
        <w:rPr>
          <w:rFonts w:ascii="Times New Roman" w:eastAsia="Calibri" w:hAnsi="Times New Roman" w:cs="Calibri"/>
          <w:sz w:val="24"/>
        </w:rPr>
        <w:t xml:space="preserve">oktobra </w:t>
      </w:r>
      <w:r w:rsidR="00AF4C40" w:rsidRPr="00A07F29">
        <w:rPr>
          <w:rFonts w:ascii="Times New Roman" w:eastAsia="Calibri" w:hAnsi="Times New Roman" w:cs="Calibri"/>
          <w:sz w:val="24"/>
        </w:rPr>
        <w:t xml:space="preserve">noteikumi Nr. 628 </w:t>
      </w:r>
      <w:r w:rsidR="000224B0" w:rsidRPr="00A07F29">
        <w:rPr>
          <w:rFonts w:ascii="Times New Roman" w:eastAsia="Calibri" w:hAnsi="Times New Roman" w:cs="Calibri"/>
          <w:b/>
          <w:sz w:val="24"/>
        </w:rPr>
        <w:t>“</w:t>
      </w:r>
      <w:r w:rsidR="00AF4C40" w:rsidRPr="00A07F29">
        <w:rPr>
          <w:rFonts w:ascii="Times New Roman" w:eastAsia="Calibri" w:hAnsi="Times New Roman" w:cs="Calibri"/>
          <w:b/>
          <w:sz w:val="24"/>
        </w:rPr>
        <w:t>Noteikumi par pašvaldību teritorijas attīstības plānošanas dokumentiem”</w:t>
      </w:r>
      <w:r w:rsidR="00AF4C40" w:rsidRPr="00A07F29">
        <w:rPr>
          <w:rFonts w:ascii="Times New Roman" w:eastAsia="Calibri" w:hAnsi="Times New Roman" w:cs="Calibri"/>
          <w:sz w:val="24"/>
        </w:rPr>
        <w:t xml:space="preserve"> cita starpā nosaka novada vai republikas pilsētas pašvaldības vietējā līmeņa teritorijas attīstības plānošanas dokumentu – ilgtspējīgas attīstības stratēģijas, attīstības programmas, teritorijas plānojuma, </w:t>
      </w:r>
      <w:proofErr w:type="spellStart"/>
      <w:r w:rsidR="00AF4C40" w:rsidRPr="00A07F29">
        <w:rPr>
          <w:rFonts w:ascii="Times New Roman" w:eastAsia="Calibri" w:hAnsi="Times New Roman" w:cs="Calibri"/>
          <w:sz w:val="24"/>
        </w:rPr>
        <w:t>lokālplānojuma</w:t>
      </w:r>
      <w:proofErr w:type="spellEnd"/>
      <w:r w:rsidR="00AF4C40" w:rsidRPr="00A07F29">
        <w:rPr>
          <w:rFonts w:ascii="Times New Roman" w:eastAsia="Calibri" w:hAnsi="Times New Roman" w:cs="Calibri"/>
          <w:sz w:val="24"/>
        </w:rPr>
        <w:t xml:space="preserve"> un to grozījumu, detālplānojuma un tematiskā plānojuma – saturu un to izstrādes kārtību. Uz AAA teritoriju attiecināmie teritorijas plānošanas dokumenti aprakstīti </w:t>
      </w:r>
      <w:r w:rsidR="004C1501" w:rsidRPr="00A07F29">
        <w:rPr>
          <w:rFonts w:ascii="Times New Roman" w:eastAsia="Calibri" w:hAnsi="Times New Roman" w:cs="Calibri"/>
          <w:sz w:val="24"/>
        </w:rPr>
        <w:t xml:space="preserve">DA </w:t>
      </w:r>
      <w:r w:rsidR="004B014E" w:rsidRPr="00A07F29">
        <w:rPr>
          <w:rFonts w:ascii="Times New Roman" w:eastAsia="Calibri" w:hAnsi="Times New Roman" w:cs="Calibri"/>
          <w:sz w:val="24"/>
        </w:rPr>
        <w:t xml:space="preserve">plāna </w:t>
      </w:r>
      <w:r w:rsidR="00AF4C40" w:rsidRPr="00A07F29">
        <w:rPr>
          <w:rFonts w:ascii="Times New Roman" w:eastAsia="Calibri" w:hAnsi="Times New Roman" w:cs="Calibri"/>
          <w:sz w:val="24"/>
        </w:rPr>
        <w:t>1.1.2. nodaļā.</w:t>
      </w:r>
    </w:p>
    <w:p w14:paraId="2EA59189" w14:textId="065BEB2C" w:rsidR="00AF4C40" w:rsidRPr="00A07F29" w:rsidRDefault="00AF4C40" w:rsidP="00935EDF">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Likums </w:t>
      </w:r>
      <w:r w:rsidR="001E391E" w:rsidRPr="00A07F29">
        <w:rPr>
          <w:rFonts w:ascii="Times New Roman" w:eastAsia="Calibri" w:hAnsi="Times New Roman" w:cs="Calibri"/>
          <w:sz w:val="24"/>
        </w:rPr>
        <w:t>“</w:t>
      </w:r>
      <w:r w:rsidRPr="00A07F29">
        <w:rPr>
          <w:rFonts w:ascii="Times New Roman" w:eastAsia="Calibri" w:hAnsi="Times New Roman" w:cs="Calibri"/>
          <w:b/>
          <w:sz w:val="24"/>
        </w:rPr>
        <w:t>Par pašvaldībām</w:t>
      </w:r>
      <w:r w:rsidR="001E391E" w:rsidRPr="00A07F29">
        <w:rPr>
          <w:rFonts w:ascii="Times New Roman" w:eastAsia="Calibri" w:hAnsi="Times New Roman" w:cs="Calibri"/>
          <w:b/>
          <w:sz w:val="24"/>
        </w:rPr>
        <w:t>”</w:t>
      </w:r>
      <w:r w:rsidRPr="00A07F29">
        <w:rPr>
          <w:rFonts w:ascii="Times New Roman" w:eastAsia="Calibri" w:hAnsi="Times New Roman" w:cs="Calibri"/>
          <w:sz w:val="24"/>
        </w:rPr>
        <w:t xml:space="preserve"> reglamentē Latvijas pašvaldību darbības vispārīgos noteikumus un ekonomisko pamatu, pašvaldību kompetenci, domes un tās institūciju, kā arī domes priekšsēdētāja tiesības un pienākumus, pašvaldību attiecības ar </w:t>
      </w:r>
      <w:r w:rsidRPr="00550171">
        <w:rPr>
          <w:rFonts w:ascii="Times New Roman" w:eastAsia="Calibri" w:hAnsi="Times New Roman" w:cs="Calibri"/>
          <w:sz w:val="24"/>
        </w:rPr>
        <w:t>M</w:t>
      </w:r>
      <w:r w:rsidR="00550171" w:rsidRPr="00550171">
        <w:rPr>
          <w:rFonts w:ascii="Times New Roman" w:eastAsia="Calibri" w:hAnsi="Times New Roman" w:cs="Calibri"/>
          <w:sz w:val="24"/>
        </w:rPr>
        <w:t>K</w:t>
      </w:r>
      <w:r w:rsidRPr="00A07F29">
        <w:rPr>
          <w:rFonts w:ascii="Times New Roman" w:eastAsia="Calibri" w:hAnsi="Times New Roman" w:cs="Calibri"/>
          <w:sz w:val="24"/>
        </w:rPr>
        <w:t xml:space="preserve"> un ministrijām, kā arī pašvaldību savstarpējo attiecību vispārīgos noteikumus. Minētā likuma 14. panta otrās daļas 1. punktā ir noteikts, ka pašvaldībām likumā noteiktajā kārtībā ir pienākums izstrādāt pašvaldības teritorijas attīstības programmu un teritorijas plānojumu, nodrošināt teritorijas attīstības programmas realizāciju un teritorijas plānojuma administratīvo pārraudzību. Savukārt saskaņā ar šī likuma 15. panta pirmās daļas 3. punktu pašvaldībai ir piešķirta autonomā funkcija noteikt kārtību, kādā izmantojami publiskā lietošanā esošie meži un ūdeņi, ja likumos nav noteikts citādi, bet 13. punktā ir noteikts, ka pašvaldības funkcija ir noteikt zemes izmantošanas un apbūves kārtību atbilstoši pašvaldības teritorijas plānojumam. Plašāk par Daugavpils un Krāslavas novada teritorijas plānojumu skatīt</w:t>
      </w:r>
      <w:r w:rsidR="00C65D22" w:rsidRPr="00A07F29">
        <w:rPr>
          <w:rFonts w:ascii="Times New Roman" w:eastAsia="Calibri" w:hAnsi="Times New Roman" w:cs="Calibri"/>
          <w:sz w:val="24"/>
        </w:rPr>
        <w:t xml:space="preserve"> šī</w:t>
      </w:r>
      <w:r w:rsidRPr="00A07F29">
        <w:rPr>
          <w:rFonts w:ascii="Times New Roman" w:eastAsia="Calibri" w:hAnsi="Times New Roman" w:cs="Calibri"/>
          <w:sz w:val="24"/>
        </w:rPr>
        <w:t xml:space="preserve"> </w:t>
      </w:r>
      <w:r w:rsidR="004D3366" w:rsidRPr="00A07F29">
        <w:rPr>
          <w:rFonts w:ascii="Times New Roman" w:eastAsia="Calibri" w:hAnsi="Times New Roman" w:cs="Calibri"/>
          <w:sz w:val="24"/>
        </w:rPr>
        <w:t xml:space="preserve">DA </w:t>
      </w:r>
      <w:r w:rsidRPr="00A07F29">
        <w:rPr>
          <w:rFonts w:ascii="Times New Roman" w:eastAsia="Calibri" w:hAnsi="Times New Roman" w:cs="Calibri"/>
          <w:sz w:val="24"/>
        </w:rPr>
        <w:t>plāna 1.1.2. nodaļā.</w:t>
      </w:r>
    </w:p>
    <w:p w14:paraId="20CD0F36" w14:textId="06D12923" w:rsidR="00AF4C40" w:rsidRPr="00A07F29" w:rsidRDefault="00AF4C40" w:rsidP="00935EDF">
      <w:pPr>
        <w:spacing w:after="0" w:line="240" w:lineRule="auto"/>
        <w:ind w:firstLine="851"/>
        <w:jc w:val="both"/>
        <w:rPr>
          <w:rFonts w:ascii="Times New Roman" w:eastAsia="Calibri" w:hAnsi="Times New Roman" w:cs="Calibri"/>
          <w:sz w:val="24"/>
        </w:rPr>
      </w:pPr>
      <w:r w:rsidRPr="00A07F29">
        <w:rPr>
          <w:rFonts w:ascii="Times New Roman" w:eastAsia="Calibri" w:hAnsi="Times New Roman" w:cs="Calibri"/>
          <w:b/>
          <w:sz w:val="24"/>
        </w:rPr>
        <w:lastRenderedPageBreak/>
        <w:t>Aizsargjoslu likums</w:t>
      </w:r>
      <w:r w:rsidRPr="00A07F29">
        <w:rPr>
          <w:rFonts w:ascii="Times New Roman" w:eastAsia="Calibri" w:hAnsi="Times New Roman" w:cs="Calibri"/>
          <w:sz w:val="24"/>
        </w:rPr>
        <w:t xml:space="preserve"> nosaka aizsargjoslu veidus un funkcijas, izveidošanas, grozīšanas un likvidēšanas pamatprincipus, uzturēšanas un stāvokļa kārtības kontroli, kā arī saimnieciskās darbības aprobežojumus aizsargjoslās.</w:t>
      </w:r>
    </w:p>
    <w:p w14:paraId="75CD474E" w14:textId="4614369D" w:rsidR="00AF4C40" w:rsidRPr="00A07F29" w:rsidRDefault="00AF4C40" w:rsidP="00935EDF">
      <w:pPr>
        <w:spacing w:after="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Likums cita starpā nosaka arī dažādus aprobežojumus ūdenstilpju un ūdensteču aizsargjoslās, kā arī ūdenstilpju un ūdensteču aizsargjoslu platumu atkarībā no to izmēriem. Aizsargjosla tiek noteikta, lai samazinātu piesārņojuma negatīvo ietekmi uz ūdens ekosistēmām, novērstu erozijas procesu attīstību, kā arī saglabātu apvidum raksturīgo ainavu. MK </w:t>
      </w:r>
      <w:r w:rsidR="007E2BC0">
        <w:rPr>
          <w:rFonts w:ascii="Times New Roman" w:eastAsia="Calibri" w:hAnsi="Times New Roman" w:cs="Calibri"/>
          <w:sz w:val="24"/>
        </w:rPr>
        <w:t>2008</w:t>
      </w:r>
      <w:r w:rsidRPr="00A07F29">
        <w:rPr>
          <w:rFonts w:ascii="Times New Roman" w:eastAsia="Calibri" w:hAnsi="Times New Roman" w:cs="Calibri"/>
          <w:sz w:val="24"/>
        </w:rPr>
        <w:t>.</w:t>
      </w:r>
      <w:r w:rsidR="008B045F" w:rsidRPr="00A07F29">
        <w:rPr>
          <w:rFonts w:ascii="Times New Roman" w:eastAsia="Calibri" w:hAnsi="Times New Roman" w:cs="Calibri"/>
          <w:sz w:val="24"/>
        </w:rPr>
        <w:t> </w:t>
      </w:r>
      <w:r w:rsidRPr="00A07F29">
        <w:rPr>
          <w:rFonts w:ascii="Times New Roman" w:eastAsia="Calibri" w:hAnsi="Times New Roman" w:cs="Calibri"/>
          <w:sz w:val="24"/>
        </w:rPr>
        <w:t xml:space="preserve">gada </w:t>
      </w:r>
      <w:r w:rsidR="007E2BC0">
        <w:rPr>
          <w:rFonts w:ascii="Times New Roman" w:eastAsia="Calibri" w:hAnsi="Times New Roman" w:cs="Calibri"/>
          <w:sz w:val="24"/>
        </w:rPr>
        <w:t>3</w:t>
      </w:r>
      <w:r w:rsidRPr="00A07F29">
        <w:rPr>
          <w:rFonts w:ascii="Times New Roman" w:eastAsia="Calibri" w:hAnsi="Times New Roman" w:cs="Calibri"/>
          <w:sz w:val="24"/>
        </w:rPr>
        <w:t>.</w:t>
      </w:r>
      <w:r w:rsidR="008B045F" w:rsidRPr="00A07F29">
        <w:rPr>
          <w:rFonts w:ascii="Times New Roman" w:eastAsia="Calibri" w:hAnsi="Times New Roman" w:cs="Calibri"/>
          <w:sz w:val="24"/>
        </w:rPr>
        <w:t> </w:t>
      </w:r>
      <w:r w:rsidR="007E2BC0">
        <w:rPr>
          <w:rFonts w:ascii="Times New Roman" w:eastAsia="Calibri" w:hAnsi="Times New Roman" w:cs="Calibri"/>
          <w:sz w:val="24"/>
        </w:rPr>
        <w:t>jūnija</w:t>
      </w:r>
      <w:r w:rsidRPr="00A07F29">
        <w:rPr>
          <w:rFonts w:ascii="Times New Roman" w:eastAsia="Calibri" w:hAnsi="Times New Roman" w:cs="Calibri"/>
          <w:sz w:val="24"/>
        </w:rPr>
        <w:t xml:space="preserve"> noteikumu Nr.</w:t>
      </w:r>
      <w:r w:rsidR="008B045F" w:rsidRPr="00A07F29">
        <w:rPr>
          <w:rFonts w:ascii="Times New Roman" w:eastAsia="Calibri" w:hAnsi="Times New Roman" w:cs="Calibri"/>
          <w:sz w:val="24"/>
        </w:rPr>
        <w:t> </w:t>
      </w:r>
      <w:r w:rsidR="00002924">
        <w:rPr>
          <w:rFonts w:ascii="Times New Roman" w:eastAsia="Calibri" w:hAnsi="Times New Roman" w:cs="Calibri"/>
          <w:sz w:val="24"/>
        </w:rPr>
        <w:t>406</w:t>
      </w:r>
      <w:r w:rsidRPr="00A07F29">
        <w:rPr>
          <w:rFonts w:ascii="Times New Roman" w:eastAsia="Calibri" w:hAnsi="Times New Roman" w:cs="Calibri"/>
          <w:sz w:val="24"/>
        </w:rPr>
        <w:t xml:space="preserve"> “</w:t>
      </w:r>
      <w:r w:rsidR="00002924">
        <w:rPr>
          <w:rFonts w:ascii="Times New Roman" w:eastAsia="Calibri" w:hAnsi="Times New Roman" w:cs="Calibri"/>
          <w:sz w:val="24"/>
        </w:rPr>
        <w:t>Virszemes ūdensobjektu</w:t>
      </w:r>
      <w:r w:rsidRPr="00A07F29">
        <w:rPr>
          <w:rFonts w:ascii="Times New Roman" w:eastAsia="Calibri" w:hAnsi="Times New Roman" w:cs="Calibri"/>
          <w:sz w:val="24"/>
        </w:rPr>
        <w:t xml:space="preserve"> aizsargjoslu noteikšanas metodika” 2.</w:t>
      </w:r>
      <w:r w:rsidR="00123DB8" w:rsidRPr="00A07F29">
        <w:rPr>
          <w:rFonts w:ascii="Times New Roman" w:eastAsia="Calibri" w:hAnsi="Times New Roman" w:cs="Calibri"/>
          <w:sz w:val="24"/>
        </w:rPr>
        <w:t> </w:t>
      </w:r>
      <w:r w:rsidRPr="00A07F29">
        <w:rPr>
          <w:rFonts w:ascii="Times New Roman" w:eastAsia="Calibri" w:hAnsi="Times New Roman" w:cs="Calibri"/>
          <w:sz w:val="24"/>
        </w:rPr>
        <w:t xml:space="preserve">punktā noteikts, ka </w:t>
      </w:r>
      <w:r w:rsidR="00C13975">
        <w:rPr>
          <w:rFonts w:ascii="Times New Roman" w:eastAsia="Calibri" w:hAnsi="Times New Roman" w:cs="Calibri"/>
          <w:sz w:val="24"/>
        </w:rPr>
        <w:t>virszemes</w:t>
      </w:r>
      <w:r w:rsidR="00A923B7">
        <w:rPr>
          <w:rFonts w:ascii="Times New Roman" w:eastAsia="Calibri" w:hAnsi="Times New Roman" w:cs="Calibri"/>
          <w:sz w:val="24"/>
        </w:rPr>
        <w:t xml:space="preserve"> ūdensobjektiem</w:t>
      </w:r>
      <w:r w:rsidRPr="00A07F29">
        <w:rPr>
          <w:rFonts w:ascii="Times New Roman" w:eastAsia="Calibri" w:hAnsi="Times New Roman" w:cs="Calibri"/>
          <w:sz w:val="24"/>
        </w:rPr>
        <w:t xml:space="preserve"> aizsargjosl</w:t>
      </w:r>
      <w:r w:rsidR="00A923B7">
        <w:rPr>
          <w:rFonts w:ascii="Times New Roman" w:eastAsia="Calibri" w:hAnsi="Times New Roman" w:cs="Calibri"/>
          <w:sz w:val="24"/>
        </w:rPr>
        <w:t>as nosaka pa izteiktām</w:t>
      </w:r>
      <w:r w:rsidRPr="00A07F29">
        <w:rPr>
          <w:rFonts w:ascii="Times New Roman" w:eastAsia="Calibri" w:hAnsi="Times New Roman" w:cs="Calibri"/>
          <w:sz w:val="24"/>
        </w:rPr>
        <w:t xml:space="preserve"> kontūrām dabā, piemēram, </w:t>
      </w:r>
      <w:r w:rsidR="000A5B4C">
        <w:rPr>
          <w:rFonts w:ascii="Times New Roman" w:eastAsia="Calibri" w:hAnsi="Times New Roman" w:cs="Calibri"/>
          <w:sz w:val="24"/>
        </w:rPr>
        <w:t>reljefu (izteiktām zemes virsmas augstumu izmaiņu vietām)</w:t>
      </w:r>
      <w:r w:rsidR="00C22C3F">
        <w:rPr>
          <w:rFonts w:ascii="Times New Roman" w:eastAsia="Calibri" w:hAnsi="Times New Roman" w:cs="Calibri"/>
          <w:sz w:val="24"/>
        </w:rPr>
        <w:t xml:space="preserve">, </w:t>
      </w:r>
      <w:r w:rsidRPr="00A07F29">
        <w:rPr>
          <w:rFonts w:ascii="Times New Roman" w:eastAsia="Calibri" w:hAnsi="Times New Roman" w:cs="Calibri"/>
          <w:sz w:val="24"/>
        </w:rPr>
        <w:t xml:space="preserve">ceļiem, </w:t>
      </w:r>
      <w:r w:rsidR="00C22C3F">
        <w:rPr>
          <w:rFonts w:ascii="Times New Roman" w:eastAsia="Calibri" w:hAnsi="Times New Roman" w:cs="Calibri"/>
          <w:sz w:val="24"/>
        </w:rPr>
        <w:t xml:space="preserve">ielām, </w:t>
      </w:r>
      <w:r w:rsidRPr="00A07F29">
        <w:rPr>
          <w:rFonts w:ascii="Times New Roman" w:eastAsia="Calibri" w:hAnsi="Times New Roman" w:cs="Calibri"/>
          <w:sz w:val="24"/>
        </w:rPr>
        <w:t>meža nogabal</w:t>
      </w:r>
      <w:r w:rsidR="00C22C3F">
        <w:rPr>
          <w:rFonts w:ascii="Times New Roman" w:eastAsia="Calibri" w:hAnsi="Times New Roman" w:cs="Calibri"/>
          <w:sz w:val="24"/>
        </w:rPr>
        <w:t>u robežām</w:t>
      </w:r>
      <w:r w:rsidRPr="00A07F29">
        <w:rPr>
          <w:rFonts w:ascii="Times New Roman" w:eastAsia="Calibri" w:hAnsi="Times New Roman" w:cs="Calibri"/>
          <w:sz w:val="24"/>
        </w:rPr>
        <w:t xml:space="preserve">, kvartālstigām, grāvjiem, </w:t>
      </w:r>
      <w:r w:rsidR="00C22C3F">
        <w:rPr>
          <w:rFonts w:ascii="Times New Roman" w:eastAsia="Calibri" w:hAnsi="Times New Roman" w:cs="Calibri"/>
          <w:sz w:val="24"/>
        </w:rPr>
        <w:t>kultivēto pļavu</w:t>
      </w:r>
      <w:r w:rsidR="00B75A3F">
        <w:rPr>
          <w:rFonts w:ascii="Times New Roman" w:eastAsia="Calibri" w:hAnsi="Times New Roman" w:cs="Calibri"/>
          <w:sz w:val="24"/>
        </w:rPr>
        <w:t xml:space="preserve"> un aramzemes lauku robežām, apbūvētu vai labiekārtotu teritoriju robežām</w:t>
      </w:r>
      <w:r w:rsidRPr="00A07F29">
        <w:rPr>
          <w:rFonts w:ascii="Times New Roman" w:eastAsia="Calibri" w:hAnsi="Times New Roman" w:cs="Calibri"/>
          <w:sz w:val="24"/>
        </w:rPr>
        <w:t xml:space="preserve"> vai pa iedomātu līniju. Daugavas upes aizsargjoslas platums ir 500</w:t>
      </w:r>
      <w:r w:rsidR="00F745DC" w:rsidRPr="00A07F29">
        <w:rPr>
          <w:rFonts w:ascii="Times New Roman" w:eastAsia="Calibri" w:hAnsi="Times New Roman" w:cs="Calibri"/>
          <w:sz w:val="24"/>
        </w:rPr>
        <w:t> </w:t>
      </w:r>
      <w:r w:rsidRPr="00A07F29">
        <w:rPr>
          <w:rFonts w:ascii="Times New Roman" w:eastAsia="Calibri" w:hAnsi="Times New Roman" w:cs="Calibri"/>
          <w:sz w:val="24"/>
        </w:rPr>
        <w:t>m lauku apvidos, bet pilsētās un ciemos to nosaka teritorijas plānojumos ne mazāk kā 10</w:t>
      </w:r>
      <w:r w:rsidR="00F745DC" w:rsidRPr="00A07F29">
        <w:rPr>
          <w:rFonts w:ascii="Times New Roman" w:eastAsia="Calibri" w:hAnsi="Times New Roman" w:cs="Calibri"/>
          <w:sz w:val="24"/>
        </w:rPr>
        <w:t> </w:t>
      </w:r>
      <w:r w:rsidRPr="00A07F29">
        <w:rPr>
          <w:rFonts w:ascii="Times New Roman" w:eastAsia="Calibri" w:hAnsi="Times New Roman" w:cs="Calibri"/>
          <w:sz w:val="24"/>
        </w:rPr>
        <w:t>m platumā.</w:t>
      </w:r>
    </w:p>
    <w:p w14:paraId="5F35807B" w14:textId="77777777" w:rsidR="00AF4C40" w:rsidRPr="00A07F29" w:rsidRDefault="00AF4C40" w:rsidP="00935EDF">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Lai nodrošinātu kultūras pieminekļu aizsardzību un saglabāšanu, kā arī samazinātu dažāda veida negatīvu ietekmi uz nekustamiem kultūras pieminekļiem, Aizsargjoslu likuma 8. pants nosaka aizsargjoslas (aizsardzības zonas) ap kultūras pieminekļiem, kas lauku apvidos ir vismaz 500 m platas. Saskaņā ar minētā likuma 38. panta 1. punktu jebkuru saimniecisko darbību aizsargjoslās (aizsardzības zonās) ap kultūras pieminekļiem drīkst veikt tikai ar Nacionālās kultūras mantojuma pārvaldes un kultūras pieminekļa īpašnieka atļauju. </w:t>
      </w:r>
    </w:p>
    <w:p w14:paraId="228EE659" w14:textId="77777777" w:rsidR="00AF4C40" w:rsidRPr="00A07F29" w:rsidRDefault="00AF4C40" w:rsidP="00935EDF">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b/>
          <w:sz w:val="24"/>
        </w:rPr>
        <w:t>Zemes ierīcības likums</w:t>
      </w:r>
      <w:r w:rsidRPr="00A07F29">
        <w:rPr>
          <w:rFonts w:ascii="Times New Roman" w:eastAsia="Calibri" w:hAnsi="Times New Roman" w:cs="Calibri"/>
          <w:sz w:val="24"/>
        </w:rPr>
        <w:t xml:space="preserve"> nosaka uzdevumu aizsargāt zemes lietotāju tiesības un regulēt zemes lietošanas un zemes ierīcības pamatnoteikumus. </w:t>
      </w:r>
    </w:p>
    <w:p w14:paraId="5F279AE1" w14:textId="785E4DB7" w:rsidR="00AF4C40" w:rsidRPr="00A07F29" w:rsidRDefault="00AF4C40" w:rsidP="00935EDF">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Likums </w:t>
      </w:r>
      <w:r w:rsidR="001E391E" w:rsidRPr="00A07F29">
        <w:rPr>
          <w:rFonts w:ascii="Times New Roman" w:eastAsia="Calibri" w:hAnsi="Times New Roman" w:cs="Calibri"/>
          <w:sz w:val="24"/>
        </w:rPr>
        <w:t>“</w:t>
      </w:r>
      <w:r w:rsidRPr="00A07F29">
        <w:rPr>
          <w:rFonts w:ascii="Times New Roman" w:eastAsia="Calibri" w:hAnsi="Times New Roman" w:cs="Calibri"/>
          <w:b/>
          <w:sz w:val="24"/>
        </w:rPr>
        <w:t>Par nekustamā īpašuma nodokli</w:t>
      </w:r>
      <w:r w:rsidR="001E391E" w:rsidRPr="00A07F29">
        <w:rPr>
          <w:rFonts w:ascii="Times New Roman" w:eastAsia="Calibri" w:hAnsi="Times New Roman" w:cs="Calibri"/>
          <w:b/>
          <w:sz w:val="24"/>
        </w:rPr>
        <w:t>”</w:t>
      </w:r>
      <w:r w:rsidRPr="00A07F29">
        <w:rPr>
          <w:rFonts w:ascii="Times New Roman" w:eastAsia="Calibri" w:hAnsi="Times New Roman" w:cs="Calibri"/>
          <w:sz w:val="24"/>
        </w:rPr>
        <w:t xml:space="preserve"> nosaka nodokļu aprēķināšanas un maksāšanas kārtību, nodokļu atvieglojumus. Minētā likuma 1. panta otrās daļas 5. punkts noteic, ka ar nekustamā īpašuma nodokli neapliek zemi </w:t>
      </w:r>
      <w:r w:rsidR="001E391E" w:rsidRPr="00A07F29">
        <w:rPr>
          <w:rFonts w:ascii="Times New Roman" w:eastAsia="Calibri" w:hAnsi="Times New Roman" w:cs="Calibri"/>
          <w:sz w:val="24"/>
        </w:rPr>
        <w:t>ĪADT</w:t>
      </w:r>
      <w:r w:rsidRPr="00A07F29">
        <w:rPr>
          <w:rFonts w:ascii="Times New Roman" w:eastAsia="Calibri" w:hAnsi="Times New Roman" w:cs="Calibri"/>
          <w:sz w:val="24"/>
        </w:rPr>
        <w:t xml:space="preserve">, kurās ar likumu aizliegta saimnieciskā darbība, un šajās teritorijās esošās dabas aizsardzībai izmantojamās ēkas un inženierbūves saskaņā ar </w:t>
      </w:r>
      <w:r w:rsidR="001E391E" w:rsidRPr="00A07F29">
        <w:rPr>
          <w:rFonts w:ascii="Times New Roman" w:eastAsia="Calibri" w:hAnsi="Times New Roman" w:cs="Calibri"/>
          <w:sz w:val="24"/>
        </w:rPr>
        <w:t xml:space="preserve">MK </w:t>
      </w:r>
      <w:r w:rsidRPr="00A07F29">
        <w:rPr>
          <w:rFonts w:ascii="Times New Roman" w:eastAsia="Calibri" w:hAnsi="Times New Roman" w:cs="Calibri"/>
          <w:sz w:val="24"/>
        </w:rPr>
        <w:t>2014.</w:t>
      </w:r>
      <w:r w:rsidR="005A18F4" w:rsidRPr="00A07F29">
        <w:rPr>
          <w:rFonts w:ascii="Times New Roman" w:eastAsia="Calibri" w:hAnsi="Times New Roman" w:cs="Calibri"/>
          <w:sz w:val="24"/>
        </w:rPr>
        <w:t> </w:t>
      </w:r>
      <w:r w:rsidRPr="00A07F29">
        <w:rPr>
          <w:rFonts w:ascii="Times New Roman" w:eastAsia="Calibri" w:hAnsi="Times New Roman" w:cs="Calibri"/>
          <w:sz w:val="24"/>
        </w:rPr>
        <w:t>gada 4.</w:t>
      </w:r>
      <w:r w:rsidR="005A18F4" w:rsidRPr="00A07F29">
        <w:rPr>
          <w:rFonts w:ascii="Times New Roman" w:eastAsia="Calibri" w:hAnsi="Times New Roman" w:cs="Calibri"/>
          <w:sz w:val="24"/>
        </w:rPr>
        <w:t> </w:t>
      </w:r>
      <w:r w:rsidRPr="00A07F29">
        <w:rPr>
          <w:rFonts w:ascii="Times New Roman" w:eastAsia="Calibri" w:hAnsi="Times New Roman" w:cs="Calibri"/>
          <w:sz w:val="24"/>
        </w:rPr>
        <w:t>februāra noteikumos Nr.</w:t>
      </w:r>
      <w:r w:rsidR="005A18F4" w:rsidRPr="00A07F29">
        <w:rPr>
          <w:rFonts w:ascii="Times New Roman" w:eastAsia="Calibri" w:hAnsi="Times New Roman" w:cs="Calibri"/>
          <w:sz w:val="24"/>
        </w:rPr>
        <w:t> </w:t>
      </w:r>
      <w:r w:rsidRPr="00A07F29">
        <w:rPr>
          <w:rFonts w:ascii="Times New Roman" w:eastAsia="Calibri" w:hAnsi="Times New Roman" w:cs="Calibri"/>
          <w:sz w:val="24"/>
        </w:rPr>
        <w:t>75 “Noteikumi par atsevišķām ar nekustamā īpašuma nodokli neapliekamām īpaši aizsargājamām dabas teritorijām” apstiprināto sarakstu</w:t>
      </w:r>
      <w:r w:rsidR="00D65BBA" w:rsidRPr="00A07F29">
        <w:rPr>
          <w:rFonts w:ascii="Times New Roman" w:eastAsia="Calibri" w:hAnsi="Times New Roman" w:cs="Calibri"/>
          <w:sz w:val="24"/>
        </w:rPr>
        <w:t xml:space="preserve"> </w:t>
      </w:r>
      <w:r w:rsidRPr="00A07F29">
        <w:rPr>
          <w:rFonts w:ascii="Times New Roman" w:eastAsia="Calibri" w:hAnsi="Times New Roman" w:cs="Calibri"/>
          <w:sz w:val="24"/>
        </w:rPr>
        <w:t>AAA “Augšdaugava” teritorijā šobrīd neietilpst zemes platības, kurā ar likumu ir pilnībā aizliegta saimnieciskā darbība. Likuma 5.</w:t>
      </w:r>
      <w:r w:rsidR="00636052" w:rsidRPr="00A07F29">
        <w:rPr>
          <w:rFonts w:ascii="Times New Roman" w:eastAsia="Calibri" w:hAnsi="Times New Roman" w:cs="Calibri"/>
          <w:sz w:val="24"/>
        </w:rPr>
        <w:t> </w:t>
      </w:r>
      <w:r w:rsidRPr="00A07F29">
        <w:rPr>
          <w:rFonts w:ascii="Times New Roman" w:eastAsia="Calibri" w:hAnsi="Times New Roman" w:cs="Calibri"/>
          <w:sz w:val="24"/>
        </w:rPr>
        <w:t>pantā noteikta kārtība, kādā pašvaldība var piemērot nodokļa atvieglojumus noteiktos gadījumos.</w:t>
      </w:r>
    </w:p>
    <w:p w14:paraId="0D6D8C92" w14:textId="20162EF3" w:rsidR="00AF4C40" w:rsidRPr="00A07F29" w:rsidRDefault="00D6609F" w:rsidP="00935EDF">
      <w:pPr>
        <w:spacing w:after="120" w:line="240" w:lineRule="auto"/>
        <w:ind w:firstLine="851"/>
        <w:jc w:val="both"/>
        <w:rPr>
          <w:rFonts w:ascii="Times New Roman" w:eastAsia="Calibri" w:hAnsi="Times New Roman" w:cs="Calibri"/>
          <w:sz w:val="24"/>
          <w:szCs w:val="24"/>
        </w:rPr>
      </w:pPr>
      <w:r w:rsidRPr="00A07F29">
        <w:rPr>
          <w:rFonts w:ascii="Times New Roman" w:eastAsia="Calibri" w:hAnsi="Times New Roman" w:cs="Calibri"/>
          <w:sz w:val="24"/>
          <w:szCs w:val="24"/>
        </w:rPr>
        <w:t xml:space="preserve">Daļa AAA “Augšdaugava” robežas sakrīt ar Latvijas robežu ar Baltkrieviju, kas ir ES ārējā robeža, tādēļ valsts robežas joslā, pierobežas joslā un pierobežā jāievēro prasības, ko nosaka </w:t>
      </w:r>
      <w:r w:rsidRPr="00A07F29">
        <w:rPr>
          <w:rFonts w:ascii="Times New Roman" w:eastAsia="Calibri" w:hAnsi="Times New Roman" w:cs="Calibri"/>
          <w:b/>
          <w:sz w:val="24"/>
          <w:szCs w:val="24"/>
        </w:rPr>
        <w:t>Latvijas Republikas valsts robežas likums</w:t>
      </w:r>
      <w:r w:rsidRPr="00A07F29">
        <w:rPr>
          <w:rFonts w:ascii="Times New Roman" w:eastAsia="Calibri" w:hAnsi="Times New Roman" w:cs="Calibri"/>
          <w:sz w:val="24"/>
          <w:szCs w:val="24"/>
        </w:rPr>
        <w:t>, tai skaitā par robežas uzturēšanu un drošības pasākumiem. MK 2022.</w:t>
      </w:r>
      <w:r w:rsidR="00734CCE" w:rsidRPr="00A07F29">
        <w:rPr>
          <w:rFonts w:ascii="Times New Roman" w:eastAsia="Calibri" w:hAnsi="Times New Roman" w:cs="Calibri"/>
          <w:sz w:val="24"/>
          <w:szCs w:val="24"/>
        </w:rPr>
        <w:t> </w:t>
      </w:r>
      <w:r w:rsidRPr="00A07F29">
        <w:rPr>
          <w:rFonts w:ascii="Times New Roman" w:eastAsia="Calibri" w:hAnsi="Times New Roman" w:cs="Calibri"/>
          <w:sz w:val="24"/>
          <w:szCs w:val="24"/>
        </w:rPr>
        <w:t>gada 1.</w:t>
      </w:r>
      <w:r w:rsidR="00734CCE" w:rsidRPr="00A07F29">
        <w:rPr>
          <w:rFonts w:ascii="Times New Roman" w:eastAsia="Calibri" w:hAnsi="Times New Roman" w:cs="Calibri"/>
          <w:sz w:val="24"/>
          <w:szCs w:val="24"/>
        </w:rPr>
        <w:t> </w:t>
      </w:r>
      <w:r w:rsidRPr="00A07F29">
        <w:rPr>
          <w:rFonts w:ascii="Times New Roman" w:eastAsia="Calibri" w:hAnsi="Times New Roman" w:cs="Calibri"/>
          <w:sz w:val="24"/>
          <w:szCs w:val="24"/>
        </w:rPr>
        <w:t>februāra noteikumi Nr.</w:t>
      </w:r>
      <w:r w:rsidR="00734CCE" w:rsidRPr="00A07F29">
        <w:rPr>
          <w:rFonts w:ascii="Times New Roman" w:eastAsia="Calibri" w:hAnsi="Times New Roman" w:cs="Calibri"/>
          <w:sz w:val="24"/>
          <w:szCs w:val="24"/>
        </w:rPr>
        <w:t> </w:t>
      </w:r>
      <w:r w:rsidRPr="00A07F29">
        <w:rPr>
          <w:rFonts w:ascii="Times New Roman" w:eastAsia="Calibri" w:hAnsi="Times New Roman" w:cs="Calibri"/>
          <w:sz w:val="24"/>
          <w:szCs w:val="24"/>
        </w:rPr>
        <w:t>79 “</w:t>
      </w:r>
      <w:r w:rsidRPr="00A07F29">
        <w:rPr>
          <w:rFonts w:ascii="Times New Roman" w:eastAsia="Calibri" w:hAnsi="Times New Roman" w:cs="Calibri"/>
          <w:b/>
          <w:sz w:val="24"/>
          <w:szCs w:val="24"/>
        </w:rPr>
        <w:t>Latvijas Republikas valsts robežas joslas, patrulēšanas joslas un robežzīmju uzraudzības joslas iekārtošanas un uzturēšanas noteikumi</w:t>
      </w:r>
      <w:r w:rsidRPr="00A07F29">
        <w:rPr>
          <w:rFonts w:ascii="Times New Roman" w:eastAsia="Calibri" w:hAnsi="Times New Roman" w:cs="Calibri"/>
          <w:sz w:val="24"/>
          <w:szCs w:val="24"/>
        </w:rPr>
        <w:t>” nosaka valsts robežas joslas iekārtošanas un uzturēšanas prasības gar ārējo un iekšējo robežu, kā arī patrulēšanas joslas un robežzīmju uzraudzības joslas iekārtošanas un uzturēšanas prasības. Noteikumi paredz, ka valsts robežas joslu uztur tādā stāvoklī, lai tā visā garumā būtu labi pārredzama un netraucētu Valsts robežsardzes amatpersonām brīvi pārvietoties gar valsts robežu kājām vai ar transportlīdzekli</w:t>
      </w:r>
      <w:r w:rsidR="00AF4C40" w:rsidRPr="00A07F29">
        <w:rPr>
          <w:rFonts w:ascii="Times New Roman" w:eastAsia="Calibri" w:hAnsi="Times New Roman" w:cs="Calibri"/>
          <w:sz w:val="24"/>
          <w:szCs w:val="24"/>
        </w:rPr>
        <w:t>.</w:t>
      </w:r>
    </w:p>
    <w:p w14:paraId="7C1068C4" w14:textId="0E249A88" w:rsidR="00CC5392" w:rsidRPr="00A07F29" w:rsidRDefault="00CC5392" w:rsidP="00935EDF">
      <w:pPr>
        <w:spacing w:after="120" w:line="240" w:lineRule="auto"/>
        <w:ind w:firstLine="851"/>
        <w:jc w:val="both"/>
        <w:rPr>
          <w:rFonts w:ascii="Times New Roman" w:eastAsia="Calibri" w:hAnsi="Times New Roman" w:cs="Calibri"/>
          <w:sz w:val="24"/>
          <w:szCs w:val="24"/>
        </w:rPr>
      </w:pPr>
      <w:r w:rsidRPr="00A07F29">
        <w:rPr>
          <w:rFonts w:ascii="Times New Roman" w:eastAsia="Calibri" w:hAnsi="Times New Roman" w:cs="Calibri"/>
          <w:sz w:val="24"/>
          <w:szCs w:val="24"/>
        </w:rPr>
        <w:t xml:space="preserve">Noteicošais ilgtermiņa attīstības plānošanas dokuments </w:t>
      </w:r>
      <w:r w:rsidRPr="00A07F29">
        <w:rPr>
          <w:rFonts w:ascii="Times New Roman" w:eastAsia="Calibri" w:hAnsi="Times New Roman" w:cs="Calibri"/>
          <w:b/>
          <w:sz w:val="24"/>
          <w:szCs w:val="24"/>
        </w:rPr>
        <w:t>Latvijā ir Latvijas ilgtspējīgas attīstības stratēģija līdz 2030.</w:t>
      </w:r>
      <w:r w:rsidR="00954240" w:rsidRPr="00A07F29">
        <w:rPr>
          <w:rFonts w:ascii="Times New Roman" w:eastAsia="Calibri" w:hAnsi="Times New Roman" w:cs="Calibri"/>
          <w:b/>
          <w:sz w:val="24"/>
          <w:szCs w:val="24"/>
        </w:rPr>
        <w:t> </w:t>
      </w:r>
      <w:r w:rsidRPr="00A07F29">
        <w:rPr>
          <w:rFonts w:ascii="Times New Roman" w:eastAsia="Calibri" w:hAnsi="Times New Roman" w:cs="Calibri"/>
          <w:b/>
          <w:sz w:val="24"/>
          <w:szCs w:val="24"/>
        </w:rPr>
        <w:t>gadam</w:t>
      </w:r>
      <w:r w:rsidRPr="00A07F29">
        <w:rPr>
          <w:rFonts w:ascii="Times New Roman" w:eastAsia="Calibri" w:hAnsi="Times New Roman" w:cs="Calibri"/>
          <w:sz w:val="24"/>
          <w:szCs w:val="24"/>
        </w:rPr>
        <w:t xml:space="preserve"> (Latvija 2030). Tā nosaka valsts ilgtermiņa attīstības prioritātes un telpiskās attīstības perspektīvu. Viena no Latvija 2030 attīstības prioritātēm ir dabas vērtību un pakalpojumu ilgtspējīga apsaimniekošana, kurā izvirzītais mērķis ir k</w:t>
      </w:r>
      <w:r w:rsidR="00B647FD" w:rsidRPr="00A07F29">
        <w:rPr>
          <w:rFonts w:ascii="Times New Roman" w:eastAsia="Calibri" w:hAnsi="Times New Roman" w:cs="Calibri"/>
          <w:sz w:val="24"/>
          <w:szCs w:val="24"/>
        </w:rPr>
        <w:t>ļū</w:t>
      </w:r>
      <w:r w:rsidRPr="00A07F29">
        <w:rPr>
          <w:rFonts w:ascii="Times New Roman" w:eastAsia="Calibri" w:hAnsi="Times New Roman" w:cs="Calibri"/>
          <w:sz w:val="24"/>
          <w:szCs w:val="24"/>
        </w:rPr>
        <w:t>t par ES līderi dabas kapitāla saglabāšanā, palielināšanā un ilgtspējīgā izmantošanā.</w:t>
      </w:r>
    </w:p>
    <w:p w14:paraId="01255E9F" w14:textId="608EE80D" w:rsidR="00B647FD" w:rsidRPr="00A07F29" w:rsidRDefault="00B647FD" w:rsidP="00935EDF">
      <w:pPr>
        <w:spacing w:after="0" w:line="240" w:lineRule="auto"/>
        <w:ind w:firstLine="851"/>
        <w:jc w:val="both"/>
        <w:rPr>
          <w:rFonts w:ascii="Times New Roman" w:eastAsia="Calibri" w:hAnsi="Times New Roman" w:cs="Calibri"/>
          <w:sz w:val="24"/>
          <w:szCs w:val="24"/>
        </w:rPr>
      </w:pPr>
      <w:r w:rsidRPr="00A07F29">
        <w:rPr>
          <w:rFonts w:ascii="Times New Roman" w:eastAsia="Calibri" w:hAnsi="Times New Roman" w:cs="Calibri"/>
          <w:b/>
          <w:sz w:val="24"/>
          <w:szCs w:val="24"/>
        </w:rPr>
        <w:t>Latvijas Nacionālais attīstības plāns 2021.</w:t>
      </w:r>
      <w:r w:rsidR="00D013A4" w:rsidRPr="00A07F29">
        <w:rPr>
          <w:rFonts w:ascii="Times New Roman" w:eastAsia="Calibri" w:hAnsi="Times New Roman" w:cs="Calibri"/>
          <w:b/>
          <w:sz w:val="24"/>
          <w:szCs w:val="24"/>
        </w:rPr>
        <w:t> – </w:t>
      </w:r>
      <w:r w:rsidRPr="00A07F29">
        <w:rPr>
          <w:rFonts w:ascii="Times New Roman" w:eastAsia="Calibri" w:hAnsi="Times New Roman" w:cs="Calibri"/>
          <w:b/>
          <w:sz w:val="24"/>
          <w:szCs w:val="24"/>
        </w:rPr>
        <w:t>2027.</w:t>
      </w:r>
      <w:r w:rsidR="00836779" w:rsidRPr="00A07F29">
        <w:rPr>
          <w:rFonts w:ascii="Times New Roman" w:eastAsia="Calibri" w:hAnsi="Times New Roman" w:cs="Calibri"/>
          <w:b/>
          <w:sz w:val="24"/>
          <w:szCs w:val="24"/>
        </w:rPr>
        <w:t> </w:t>
      </w:r>
      <w:r w:rsidRPr="00A07F29">
        <w:rPr>
          <w:rFonts w:ascii="Times New Roman" w:eastAsia="Calibri" w:hAnsi="Times New Roman" w:cs="Calibri"/>
          <w:b/>
          <w:sz w:val="24"/>
          <w:szCs w:val="24"/>
        </w:rPr>
        <w:t>gadam</w:t>
      </w:r>
      <w:r w:rsidRPr="00A07F29">
        <w:rPr>
          <w:rFonts w:ascii="Times New Roman" w:eastAsia="Calibri" w:hAnsi="Times New Roman" w:cs="Calibri"/>
          <w:sz w:val="24"/>
          <w:szCs w:val="24"/>
        </w:rPr>
        <w:t xml:space="preserve"> (NAP 2027) ietver valsts attīstības prioritātes, mērķus un investīciju virzienus, kā arī plānotās reformas un politikas izmaiņas, kā arī nosaka lielākos valsts budžeta ieguldījumus Latvijas attīstībā un cilvēku dzīves </w:t>
      </w:r>
      <w:r w:rsidRPr="00A07F29">
        <w:rPr>
          <w:rFonts w:ascii="Times New Roman" w:eastAsia="Calibri" w:hAnsi="Times New Roman" w:cs="Calibri"/>
          <w:sz w:val="24"/>
          <w:szCs w:val="24"/>
        </w:rPr>
        <w:lastRenderedPageBreak/>
        <w:t xml:space="preserve">kvalitātes uzlabošanā </w:t>
      </w:r>
      <w:r w:rsidR="00103AF0" w:rsidRPr="00A07F29">
        <w:rPr>
          <w:rFonts w:ascii="Times New Roman" w:eastAsia="Calibri" w:hAnsi="Times New Roman" w:cs="Calibri"/>
          <w:sz w:val="24"/>
          <w:szCs w:val="24"/>
        </w:rPr>
        <w:t>septiņu</w:t>
      </w:r>
      <w:r w:rsidRPr="00A07F29">
        <w:rPr>
          <w:rFonts w:ascii="Times New Roman" w:eastAsia="Calibri" w:hAnsi="Times New Roman" w:cs="Calibri"/>
          <w:sz w:val="24"/>
          <w:szCs w:val="24"/>
        </w:rPr>
        <w:t xml:space="preserve"> gadu periodā. Viena no NAP 2027 prioritātēm ir kvalitatīva dzīves vide un teritoriju attīstība, kurā izvirzītais mērķis ir dzīves vides kvalitātes uzlabošana līdzsvarotai reģionu attīstībai un viens no rīcības virzieniem –Daba un vide–“Zaļais kurss”. Šajā rīcības virzienā izvirzītie </w:t>
      </w:r>
      <w:proofErr w:type="spellStart"/>
      <w:r w:rsidRPr="00A07F29">
        <w:rPr>
          <w:rFonts w:ascii="Times New Roman" w:eastAsia="Calibri" w:hAnsi="Times New Roman" w:cs="Calibri"/>
          <w:sz w:val="24"/>
          <w:szCs w:val="24"/>
        </w:rPr>
        <w:t>mērki</w:t>
      </w:r>
      <w:proofErr w:type="spellEnd"/>
      <w:r w:rsidRPr="00A07F29">
        <w:rPr>
          <w:rFonts w:ascii="Times New Roman" w:eastAsia="Calibri" w:hAnsi="Times New Roman" w:cs="Calibri"/>
          <w:sz w:val="24"/>
          <w:szCs w:val="24"/>
        </w:rPr>
        <w:t xml:space="preserve"> ir:</w:t>
      </w:r>
    </w:p>
    <w:p w14:paraId="7B74588A" w14:textId="319056BE" w:rsidR="00B647FD" w:rsidRPr="00A07F29" w:rsidRDefault="00B647FD" w:rsidP="00F87589">
      <w:pPr>
        <w:pStyle w:val="ListParagraph"/>
        <w:numPr>
          <w:ilvl w:val="0"/>
          <w:numId w:val="58"/>
        </w:numPr>
        <w:spacing w:line="240" w:lineRule="auto"/>
        <w:ind w:left="1276" w:hanging="425"/>
        <w:rPr>
          <w:szCs w:val="24"/>
        </w:rPr>
      </w:pPr>
      <w:r w:rsidRPr="00A07F29">
        <w:rPr>
          <w:szCs w:val="24"/>
        </w:rPr>
        <w:t xml:space="preserve">oglekļa mazietilpīga, resursu efektīva un </w:t>
      </w:r>
      <w:proofErr w:type="spellStart"/>
      <w:r w:rsidRPr="00A07F29">
        <w:rPr>
          <w:szCs w:val="24"/>
        </w:rPr>
        <w:t>klimatnoturīga</w:t>
      </w:r>
      <w:proofErr w:type="spellEnd"/>
      <w:r w:rsidRPr="00A07F29">
        <w:rPr>
          <w:szCs w:val="24"/>
        </w:rPr>
        <w:t xml:space="preserve"> attīstība, lai Latvija sasniegtu klimata, enerģētikas, gaisa piesārņojuma samazināšanas, ūdeņu stāvokļa uzlabošanās un atkritumu apsaimniekošanas nacionālos mērķus un nodrošinātu vides kvalitātes saglabāšanu un uzlabošanu un īstenotu drošas un kvalitatīvas, tai skaitā bioloģiskas pārtikas apriti, kā arī dabas resursu ilgtspējīgu izmantošanu;</w:t>
      </w:r>
    </w:p>
    <w:p w14:paraId="12122626" w14:textId="3C3B9E55" w:rsidR="00B647FD" w:rsidRPr="00A07F29" w:rsidRDefault="00B647FD" w:rsidP="00F87589">
      <w:pPr>
        <w:pStyle w:val="ListParagraph"/>
        <w:numPr>
          <w:ilvl w:val="0"/>
          <w:numId w:val="58"/>
        </w:numPr>
        <w:spacing w:line="240" w:lineRule="auto"/>
        <w:ind w:left="1276" w:hanging="425"/>
        <w:rPr>
          <w:szCs w:val="24"/>
        </w:rPr>
      </w:pPr>
      <w:r w:rsidRPr="00A07F29">
        <w:rPr>
          <w:szCs w:val="24"/>
        </w:rPr>
        <w:t>bioloģiskās daudzveidības saglabāšana, kas balstīta zinātniskajos pētījumos, līdzsvarojot ekoloģiskās, ekonomiskās un sociālās intereses;</w:t>
      </w:r>
    </w:p>
    <w:p w14:paraId="4BB92C2D" w14:textId="1E915E85" w:rsidR="00B647FD" w:rsidRPr="00A07F29" w:rsidRDefault="00B647FD" w:rsidP="00F87589">
      <w:pPr>
        <w:pStyle w:val="ListParagraph"/>
        <w:numPr>
          <w:ilvl w:val="0"/>
          <w:numId w:val="58"/>
        </w:numPr>
        <w:spacing w:line="240" w:lineRule="auto"/>
        <w:ind w:left="1276" w:hanging="425"/>
        <w:rPr>
          <w:szCs w:val="24"/>
        </w:rPr>
      </w:pPr>
      <w:r w:rsidRPr="00A07F29">
        <w:rPr>
          <w:szCs w:val="24"/>
        </w:rPr>
        <w:t>īstenota vides, ilgtspējīgas dabas resursu apsaimniekošanas un enerģētikas politika, kas balstīta uz taisnīgumu un savstarpējo uzticēšanos, sabiedrības atbalstu dabas un klimata aizsardzības pasākumiem, nosakot skaidrus</w:t>
      </w:r>
      <w:r w:rsidR="00D65BBA" w:rsidRPr="00A07F29">
        <w:rPr>
          <w:szCs w:val="24"/>
        </w:rPr>
        <w:t xml:space="preserve"> </w:t>
      </w:r>
      <w:r w:rsidRPr="00A07F29">
        <w:rPr>
          <w:szCs w:val="24"/>
        </w:rPr>
        <w:t>un</w:t>
      </w:r>
      <w:r w:rsidR="00D65BBA" w:rsidRPr="00A07F29">
        <w:rPr>
          <w:szCs w:val="24"/>
        </w:rPr>
        <w:t xml:space="preserve"> </w:t>
      </w:r>
      <w:r w:rsidRPr="00A07F29">
        <w:rPr>
          <w:szCs w:val="24"/>
        </w:rPr>
        <w:t>atklātus valsts un iedzīvotāju sadarbības modeļus un iesaistīšanos lēmumu pieņemšanā.</w:t>
      </w:r>
    </w:p>
    <w:p w14:paraId="5B34EDF7" w14:textId="77777777" w:rsidR="00691DFF" w:rsidRPr="00A07F29" w:rsidRDefault="00691DFF" w:rsidP="00B55108">
      <w:pPr>
        <w:pStyle w:val="ListParagraph"/>
        <w:spacing w:line="240" w:lineRule="auto"/>
        <w:ind w:left="1276" w:firstLine="0"/>
        <w:rPr>
          <w:szCs w:val="24"/>
        </w:rPr>
      </w:pPr>
    </w:p>
    <w:p w14:paraId="62FA1FFB" w14:textId="67CB74A7" w:rsidR="00691DFF" w:rsidRPr="00A07F29" w:rsidRDefault="00691DFF" w:rsidP="00E24332">
      <w:pPr>
        <w:spacing w:line="240" w:lineRule="auto"/>
        <w:ind w:firstLine="851"/>
        <w:jc w:val="both"/>
        <w:rPr>
          <w:rFonts w:ascii="Times New Roman" w:hAnsi="Times New Roman" w:cs="Times New Roman"/>
          <w:bCs/>
          <w:sz w:val="24"/>
          <w:szCs w:val="24"/>
        </w:rPr>
      </w:pPr>
      <w:r w:rsidRPr="00A07F29">
        <w:rPr>
          <w:rFonts w:ascii="Times New Roman" w:hAnsi="Times New Roman" w:cs="Times New Roman"/>
          <w:b/>
          <w:sz w:val="24"/>
          <w:szCs w:val="24"/>
        </w:rPr>
        <w:t>Vides politikas pamatnostādnes 2021.</w:t>
      </w:r>
      <w:r w:rsidR="00D013A4" w:rsidRPr="00A07F29">
        <w:rPr>
          <w:rFonts w:ascii="Times New Roman" w:hAnsi="Times New Roman" w:cs="Times New Roman"/>
          <w:b/>
          <w:sz w:val="24"/>
          <w:szCs w:val="24"/>
        </w:rPr>
        <w:t> – </w:t>
      </w:r>
      <w:r w:rsidRPr="00A07F29">
        <w:rPr>
          <w:rFonts w:ascii="Times New Roman" w:hAnsi="Times New Roman" w:cs="Times New Roman"/>
          <w:b/>
          <w:sz w:val="24"/>
          <w:szCs w:val="24"/>
        </w:rPr>
        <w:t>2027.</w:t>
      </w:r>
      <w:r w:rsidR="00D013A4" w:rsidRPr="00A07F29">
        <w:rPr>
          <w:rFonts w:ascii="Times New Roman" w:hAnsi="Times New Roman" w:cs="Times New Roman"/>
          <w:b/>
          <w:sz w:val="24"/>
          <w:szCs w:val="24"/>
        </w:rPr>
        <w:t> </w:t>
      </w:r>
      <w:r w:rsidRPr="00A07F29">
        <w:rPr>
          <w:rFonts w:ascii="Times New Roman" w:hAnsi="Times New Roman" w:cs="Times New Roman"/>
          <w:b/>
          <w:sz w:val="24"/>
          <w:szCs w:val="24"/>
        </w:rPr>
        <w:t xml:space="preserve">gadam, </w:t>
      </w:r>
      <w:r w:rsidRPr="00A07F29">
        <w:rPr>
          <w:rFonts w:ascii="Times New Roman" w:hAnsi="Times New Roman" w:cs="Times New Roman"/>
          <w:bCs/>
          <w:sz w:val="24"/>
          <w:szCs w:val="24"/>
        </w:rPr>
        <w:t>ieviešamas,</w:t>
      </w:r>
      <w:r w:rsidRPr="00A07F29">
        <w:rPr>
          <w:rFonts w:ascii="Times New Roman" w:hAnsi="Times New Roman" w:cs="Times New Roman"/>
          <w:b/>
          <w:sz w:val="24"/>
          <w:szCs w:val="24"/>
        </w:rPr>
        <w:t xml:space="preserve"> </w:t>
      </w:r>
      <w:r w:rsidRPr="00A07F29">
        <w:rPr>
          <w:rFonts w:ascii="Times New Roman" w:hAnsi="Times New Roman" w:cs="Times New Roman"/>
          <w:bCs/>
          <w:sz w:val="24"/>
          <w:szCs w:val="24"/>
        </w:rPr>
        <w:t xml:space="preserve">lai sasniegtu </w:t>
      </w:r>
      <w:proofErr w:type="spellStart"/>
      <w:r w:rsidRPr="00A07F29">
        <w:rPr>
          <w:rFonts w:ascii="Times New Roman" w:hAnsi="Times New Roman" w:cs="Times New Roman"/>
          <w:bCs/>
          <w:sz w:val="24"/>
          <w:szCs w:val="24"/>
        </w:rPr>
        <w:t>virsmērķi</w:t>
      </w:r>
      <w:proofErr w:type="spellEnd"/>
      <w:r w:rsidRPr="00A07F29">
        <w:rPr>
          <w:rFonts w:ascii="Times New Roman" w:hAnsi="Times New Roman" w:cs="Times New Roman"/>
          <w:bCs/>
          <w:sz w:val="24"/>
          <w:szCs w:val="24"/>
        </w:rPr>
        <w:t xml:space="preserve"> </w:t>
      </w:r>
      <w:r w:rsidR="00B406A4" w:rsidRPr="00A07F29">
        <w:rPr>
          <w:rFonts w:ascii="Times New Roman" w:hAnsi="Times New Roman" w:cs="Times New Roman"/>
          <w:bCs/>
          <w:sz w:val="24"/>
          <w:szCs w:val="24"/>
        </w:rPr>
        <w:t>–</w:t>
      </w:r>
      <w:r w:rsidRPr="00A07F29">
        <w:rPr>
          <w:rFonts w:ascii="Times New Roman" w:hAnsi="Times New Roman" w:cs="Times New Roman"/>
          <w:bCs/>
          <w:sz w:val="24"/>
          <w:szCs w:val="24"/>
        </w:rPr>
        <w:t xml:space="preserve"> nodrošināt iedzīvotājiem iespēju dzīvot tīrā un sakārtotā vidē, īstenojot uz ilgtspējīgu attīstību veiktas darbības, saglabājot vides kvalitāti un bioloģisko daudzveidību, nodrošinot dabas resursu ilgtspējīgu izmantošanu, kā arī sabiedrības līdzdalību lēmumu pieņemšanā un informētību par vides stāvokli.</w:t>
      </w:r>
    </w:p>
    <w:p w14:paraId="3EB686EB" w14:textId="0E3F6A85" w:rsidR="00AF4C40" w:rsidRPr="00A07F29" w:rsidRDefault="00AF4C40" w:rsidP="00935EDF">
      <w:pPr>
        <w:spacing w:before="240" w:after="120" w:line="240" w:lineRule="auto"/>
        <w:jc w:val="both"/>
        <w:rPr>
          <w:rFonts w:ascii="Times New Roman" w:eastAsia="Calibri" w:hAnsi="Times New Roman" w:cs="Calibri"/>
          <w:b/>
          <w:i/>
          <w:sz w:val="24"/>
        </w:rPr>
      </w:pPr>
      <w:bookmarkStart w:id="14" w:name="_Toc525940941"/>
      <w:r w:rsidRPr="00A07F29">
        <w:rPr>
          <w:rFonts w:ascii="Times New Roman" w:eastAsia="Calibri" w:hAnsi="Times New Roman" w:cs="Calibri"/>
          <w:b/>
          <w:i/>
          <w:sz w:val="24"/>
        </w:rPr>
        <w:t>Starptautiskās saistības</w:t>
      </w:r>
      <w:bookmarkEnd w:id="14"/>
    </w:p>
    <w:p w14:paraId="1C2C0A13" w14:textId="1AD02838" w:rsidR="00D5724B" w:rsidRPr="00A07F29" w:rsidRDefault="00D5724B" w:rsidP="006F1237">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A</w:t>
      </w:r>
      <w:r w:rsidR="00B85AF9" w:rsidRPr="00A07F29">
        <w:rPr>
          <w:rFonts w:ascii="Times New Roman" w:eastAsia="Calibri" w:hAnsi="Times New Roman" w:cs="Calibri"/>
          <w:sz w:val="24"/>
        </w:rPr>
        <w:t xml:space="preserve">pvienoto </w:t>
      </w:r>
      <w:r w:rsidRPr="00A07F29">
        <w:rPr>
          <w:rFonts w:ascii="Times New Roman" w:eastAsia="Calibri" w:hAnsi="Times New Roman" w:cs="Calibri"/>
          <w:sz w:val="24"/>
        </w:rPr>
        <w:t>N</w:t>
      </w:r>
      <w:r w:rsidR="00B85AF9" w:rsidRPr="00A07F29">
        <w:rPr>
          <w:rFonts w:ascii="Times New Roman" w:eastAsia="Calibri" w:hAnsi="Times New Roman" w:cs="Calibri"/>
          <w:sz w:val="24"/>
        </w:rPr>
        <w:t xml:space="preserve">āciju </w:t>
      </w:r>
      <w:r w:rsidRPr="00A07F29">
        <w:rPr>
          <w:rFonts w:ascii="Times New Roman" w:eastAsia="Calibri" w:hAnsi="Times New Roman" w:cs="Calibri"/>
          <w:sz w:val="24"/>
        </w:rPr>
        <w:t>O</w:t>
      </w:r>
      <w:r w:rsidR="00D321C0" w:rsidRPr="00A07F29">
        <w:rPr>
          <w:rFonts w:ascii="Times New Roman" w:eastAsia="Calibri" w:hAnsi="Times New Roman" w:cs="Calibri"/>
          <w:sz w:val="24"/>
        </w:rPr>
        <w:t>rganizācijas</w:t>
      </w:r>
      <w:r w:rsidRPr="00A07F29">
        <w:rPr>
          <w:rFonts w:ascii="Times New Roman" w:eastAsia="Calibri" w:hAnsi="Times New Roman" w:cs="Calibri"/>
          <w:sz w:val="24"/>
        </w:rPr>
        <w:t xml:space="preserve"> 1992.</w:t>
      </w:r>
      <w:r w:rsidR="00D321C0" w:rsidRPr="00A07F29">
        <w:rPr>
          <w:rFonts w:ascii="Times New Roman" w:eastAsia="Calibri" w:hAnsi="Times New Roman" w:cs="Calibri"/>
          <w:sz w:val="24"/>
        </w:rPr>
        <w:t> </w:t>
      </w:r>
      <w:r w:rsidRPr="00A07F29">
        <w:rPr>
          <w:rFonts w:ascii="Times New Roman" w:eastAsia="Calibri" w:hAnsi="Times New Roman" w:cs="Calibri"/>
          <w:sz w:val="24"/>
        </w:rPr>
        <w:t>gada 5.</w:t>
      </w:r>
      <w:r w:rsidR="00D321C0" w:rsidRPr="00A07F29">
        <w:rPr>
          <w:rFonts w:ascii="Times New Roman" w:eastAsia="Calibri" w:hAnsi="Times New Roman" w:cs="Calibri"/>
          <w:sz w:val="24"/>
        </w:rPr>
        <w:t> </w:t>
      </w:r>
      <w:r w:rsidRPr="00A07F29">
        <w:rPr>
          <w:rFonts w:ascii="Times New Roman" w:eastAsia="Calibri" w:hAnsi="Times New Roman" w:cs="Calibri"/>
          <w:sz w:val="24"/>
        </w:rPr>
        <w:t xml:space="preserve">jūnija </w:t>
      </w:r>
      <w:r w:rsidRPr="00A07F29">
        <w:rPr>
          <w:rFonts w:ascii="Times New Roman" w:eastAsia="Calibri" w:hAnsi="Times New Roman" w:cs="Calibri"/>
          <w:b/>
          <w:bCs/>
          <w:sz w:val="24"/>
        </w:rPr>
        <w:t xml:space="preserve">Riodežaneiro konvencija </w:t>
      </w:r>
      <w:r w:rsidR="00D321C0" w:rsidRPr="00A07F29">
        <w:rPr>
          <w:rFonts w:ascii="Times New Roman" w:eastAsia="Calibri" w:hAnsi="Times New Roman" w:cs="Calibri"/>
          <w:b/>
          <w:bCs/>
          <w:sz w:val="24"/>
        </w:rPr>
        <w:t>“</w:t>
      </w:r>
      <w:r w:rsidRPr="00A07F29">
        <w:rPr>
          <w:rFonts w:ascii="Times New Roman" w:eastAsia="Calibri" w:hAnsi="Times New Roman" w:cs="Calibri"/>
          <w:b/>
          <w:bCs/>
          <w:sz w:val="24"/>
        </w:rPr>
        <w:t>Par bioloģisko daudzveidību”</w:t>
      </w:r>
      <w:r w:rsidRPr="00A07F29">
        <w:rPr>
          <w:rFonts w:ascii="Times New Roman" w:eastAsia="Calibri" w:hAnsi="Times New Roman" w:cs="Calibri"/>
          <w:sz w:val="24"/>
        </w:rPr>
        <w:t xml:space="preserve">, kurai Latvija pievienojās ar </w:t>
      </w:r>
      <w:r w:rsidR="005052F5" w:rsidRPr="00A07F29">
        <w:rPr>
          <w:rFonts w:ascii="Times New Roman" w:eastAsia="Calibri" w:hAnsi="Times New Roman" w:cs="Calibri"/>
          <w:sz w:val="24"/>
        </w:rPr>
        <w:t>LR</w:t>
      </w:r>
      <w:r w:rsidRPr="00A07F29">
        <w:rPr>
          <w:rFonts w:ascii="Times New Roman" w:eastAsia="Calibri" w:hAnsi="Times New Roman" w:cs="Calibri"/>
          <w:sz w:val="24"/>
        </w:rPr>
        <w:t xml:space="preserve"> Saeimas 1995.</w:t>
      </w:r>
      <w:r w:rsidR="00EE03DA" w:rsidRPr="00A07F29">
        <w:rPr>
          <w:rFonts w:ascii="Times New Roman" w:eastAsia="Calibri" w:hAnsi="Times New Roman" w:cs="Calibri"/>
          <w:sz w:val="24"/>
        </w:rPr>
        <w:t> </w:t>
      </w:r>
      <w:r w:rsidRPr="00A07F29">
        <w:rPr>
          <w:rFonts w:ascii="Times New Roman" w:eastAsia="Calibri" w:hAnsi="Times New Roman" w:cs="Calibri"/>
          <w:sz w:val="24"/>
        </w:rPr>
        <w:t>gada 31.</w:t>
      </w:r>
      <w:r w:rsidR="00EE03DA" w:rsidRPr="00A07F29">
        <w:rPr>
          <w:rFonts w:ascii="Times New Roman" w:eastAsia="Calibri" w:hAnsi="Times New Roman" w:cs="Calibri"/>
          <w:sz w:val="24"/>
        </w:rPr>
        <w:t> </w:t>
      </w:r>
      <w:r w:rsidRPr="00A07F29">
        <w:rPr>
          <w:rFonts w:ascii="Times New Roman" w:eastAsia="Calibri" w:hAnsi="Times New Roman" w:cs="Calibri"/>
          <w:sz w:val="24"/>
        </w:rPr>
        <w:t xml:space="preserve">augustā pieņemtu likumu </w:t>
      </w:r>
      <w:r w:rsidR="00EE03DA" w:rsidRPr="00A07F29">
        <w:rPr>
          <w:rFonts w:ascii="Times New Roman" w:eastAsia="Calibri" w:hAnsi="Times New Roman" w:cs="Calibri"/>
          <w:sz w:val="24"/>
        </w:rPr>
        <w:t>“</w:t>
      </w:r>
      <w:r w:rsidRPr="00A07F29">
        <w:rPr>
          <w:rFonts w:ascii="Times New Roman" w:eastAsia="Calibri" w:hAnsi="Times New Roman" w:cs="Calibri"/>
          <w:sz w:val="24"/>
        </w:rPr>
        <w:t>Par 1992.</w:t>
      </w:r>
      <w:r w:rsidR="0036175C" w:rsidRPr="00A07F29">
        <w:rPr>
          <w:rFonts w:ascii="Times New Roman" w:eastAsia="Calibri" w:hAnsi="Times New Roman" w:cs="Calibri"/>
          <w:sz w:val="24"/>
        </w:rPr>
        <w:t> </w:t>
      </w:r>
      <w:r w:rsidRPr="00A07F29">
        <w:rPr>
          <w:rFonts w:ascii="Times New Roman" w:eastAsia="Calibri" w:hAnsi="Times New Roman" w:cs="Calibri"/>
          <w:sz w:val="24"/>
        </w:rPr>
        <w:t>gada 5.</w:t>
      </w:r>
      <w:r w:rsidR="0036175C" w:rsidRPr="00A07F29">
        <w:rPr>
          <w:rFonts w:ascii="Times New Roman" w:eastAsia="Calibri" w:hAnsi="Times New Roman" w:cs="Calibri"/>
          <w:sz w:val="24"/>
        </w:rPr>
        <w:t> </w:t>
      </w:r>
      <w:r w:rsidRPr="00A07F29">
        <w:rPr>
          <w:rFonts w:ascii="Times New Roman" w:eastAsia="Calibri" w:hAnsi="Times New Roman" w:cs="Calibri"/>
          <w:sz w:val="24"/>
        </w:rPr>
        <w:t>jūnija Riodežaneiro konvenciju par bioloģisko daudzveidību”, kas stājās spēkā 1995.</w:t>
      </w:r>
      <w:r w:rsidR="0036175C" w:rsidRPr="00A07F29">
        <w:rPr>
          <w:rFonts w:ascii="Times New Roman" w:eastAsia="Calibri" w:hAnsi="Times New Roman" w:cs="Calibri"/>
          <w:sz w:val="24"/>
        </w:rPr>
        <w:t> </w:t>
      </w:r>
      <w:r w:rsidRPr="00A07F29">
        <w:rPr>
          <w:rFonts w:ascii="Times New Roman" w:eastAsia="Calibri" w:hAnsi="Times New Roman" w:cs="Calibri"/>
          <w:sz w:val="24"/>
        </w:rPr>
        <w:t>gada 8.</w:t>
      </w:r>
      <w:r w:rsidR="0036175C" w:rsidRPr="00A07F29">
        <w:rPr>
          <w:rFonts w:ascii="Times New Roman" w:eastAsia="Calibri" w:hAnsi="Times New Roman" w:cs="Calibri"/>
          <w:sz w:val="24"/>
        </w:rPr>
        <w:t> </w:t>
      </w:r>
      <w:r w:rsidRPr="00A07F29">
        <w:rPr>
          <w:rFonts w:ascii="Times New Roman" w:eastAsia="Calibri" w:hAnsi="Times New Roman" w:cs="Calibri"/>
          <w:sz w:val="24"/>
        </w:rPr>
        <w:t xml:space="preserve">septembrī. Konvencijas </w:t>
      </w:r>
      <w:r w:rsidRPr="00A07F29">
        <w:rPr>
          <w:rFonts w:ascii="Times New Roman" w:eastAsia="Calibri" w:hAnsi="Times New Roman" w:cs="Calibri"/>
          <w:b/>
          <w:bCs/>
          <w:sz w:val="24"/>
        </w:rPr>
        <w:t>“Par bioloģisko daudzveidību”</w:t>
      </w:r>
      <w:r w:rsidRPr="00A07F29">
        <w:rPr>
          <w:rFonts w:ascii="Times New Roman" w:eastAsia="Calibri" w:hAnsi="Times New Roman" w:cs="Calibri"/>
          <w:sz w:val="24"/>
        </w:rPr>
        <w:t xml:space="preserve">, regulējuma mērķis ir bioloģiskās daudzveidības saglabāšana un dzīvās dabas ilgtspējīga izmantošana. </w:t>
      </w:r>
    </w:p>
    <w:p w14:paraId="608B44DB" w14:textId="5F1F6EA9" w:rsidR="00D5724B" w:rsidRPr="00A07F29" w:rsidRDefault="00D5724B" w:rsidP="006F1237">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Eiropas Padomes 1979.</w:t>
      </w:r>
      <w:r w:rsidR="00EA0F66" w:rsidRPr="00A07F29">
        <w:rPr>
          <w:rFonts w:ascii="Times New Roman" w:eastAsia="Calibri" w:hAnsi="Times New Roman" w:cs="Calibri"/>
          <w:sz w:val="24"/>
        </w:rPr>
        <w:t> </w:t>
      </w:r>
      <w:r w:rsidRPr="00A07F29">
        <w:rPr>
          <w:rFonts w:ascii="Times New Roman" w:eastAsia="Calibri" w:hAnsi="Times New Roman" w:cs="Calibri"/>
          <w:sz w:val="24"/>
        </w:rPr>
        <w:t>gada 16.</w:t>
      </w:r>
      <w:r w:rsidR="00EA0F66" w:rsidRPr="00A07F29">
        <w:rPr>
          <w:rFonts w:ascii="Times New Roman" w:eastAsia="Calibri" w:hAnsi="Times New Roman" w:cs="Calibri"/>
          <w:sz w:val="24"/>
        </w:rPr>
        <w:t> </w:t>
      </w:r>
      <w:r w:rsidRPr="00A07F29">
        <w:rPr>
          <w:rFonts w:ascii="Times New Roman" w:eastAsia="Calibri" w:hAnsi="Times New Roman" w:cs="Calibri"/>
          <w:sz w:val="24"/>
        </w:rPr>
        <w:t xml:space="preserve">septembra </w:t>
      </w:r>
      <w:r w:rsidRPr="00A07F29">
        <w:rPr>
          <w:rFonts w:ascii="Times New Roman" w:eastAsia="Calibri" w:hAnsi="Times New Roman" w:cs="Calibri"/>
          <w:b/>
          <w:bCs/>
          <w:sz w:val="24"/>
        </w:rPr>
        <w:t xml:space="preserve">Bernes konvencija </w:t>
      </w:r>
      <w:r w:rsidR="00EA0F66" w:rsidRPr="00A07F29">
        <w:rPr>
          <w:rFonts w:ascii="Times New Roman" w:eastAsia="Calibri" w:hAnsi="Times New Roman" w:cs="Calibri"/>
          <w:b/>
          <w:bCs/>
          <w:sz w:val="24"/>
        </w:rPr>
        <w:t>“</w:t>
      </w:r>
      <w:r w:rsidRPr="00A07F29">
        <w:rPr>
          <w:rFonts w:ascii="Times New Roman" w:eastAsia="Calibri" w:hAnsi="Times New Roman" w:cs="Calibri"/>
          <w:b/>
          <w:bCs/>
          <w:sz w:val="24"/>
        </w:rPr>
        <w:t>Par Eiropas dzīvās dabas un dabisko dzīvotņu aizsardzību”</w:t>
      </w:r>
      <w:r w:rsidRPr="00A07F29">
        <w:rPr>
          <w:rFonts w:ascii="Times New Roman" w:eastAsia="Calibri" w:hAnsi="Times New Roman" w:cs="Calibri"/>
          <w:sz w:val="24"/>
        </w:rPr>
        <w:t xml:space="preserve">, kurai Latvija pievienojās ar Saeimas pieņemtu likumu </w:t>
      </w:r>
      <w:r w:rsidR="007546FC" w:rsidRPr="00A07F29">
        <w:rPr>
          <w:rFonts w:ascii="Times New Roman" w:eastAsia="Calibri" w:hAnsi="Times New Roman" w:cs="Calibri"/>
          <w:sz w:val="24"/>
        </w:rPr>
        <w:t>“</w:t>
      </w:r>
      <w:r w:rsidRPr="00A07F29">
        <w:rPr>
          <w:rFonts w:ascii="Times New Roman" w:eastAsia="Calibri" w:hAnsi="Times New Roman" w:cs="Calibri"/>
          <w:sz w:val="24"/>
        </w:rPr>
        <w:t>Par 1979.</w:t>
      </w:r>
      <w:r w:rsidR="007546FC" w:rsidRPr="00A07F29">
        <w:rPr>
          <w:rFonts w:ascii="Times New Roman" w:eastAsia="Calibri" w:hAnsi="Times New Roman" w:cs="Calibri"/>
          <w:sz w:val="24"/>
        </w:rPr>
        <w:t> </w:t>
      </w:r>
      <w:r w:rsidRPr="00A07F29">
        <w:rPr>
          <w:rFonts w:ascii="Times New Roman" w:eastAsia="Calibri" w:hAnsi="Times New Roman" w:cs="Calibri"/>
          <w:sz w:val="24"/>
        </w:rPr>
        <w:t>gada Bernes konvenciju par Eiropas dzīvās dabas un dabisko dzīvotņu saglabāšanu”, kas stājās spēkā 1997.</w:t>
      </w:r>
      <w:r w:rsidR="007546FC" w:rsidRPr="00A07F29">
        <w:rPr>
          <w:rFonts w:ascii="Times New Roman" w:eastAsia="Calibri" w:hAnsi="Times New Roman" w:cs="Calibri"/>
          <w:sz w:val="24"/>
        </w:rPr>
        <w:t> </w:t>
      </w:r>
      <w:r w:rsidRPr="00A07F29">
        <w:rPr>
          <w:rFonts w:ascii="Times New Roman" w:eastAsia="Calibri" w:hAnsi="Times New Roman" w:cs="Calibri"/>
          <w:sz w:val="24"/>
        </w:rPr>
        <w:t>gada 3.</w:t>
      </w:r>
      <w:r w:rsidR="007546FC" w:rsidRPr="00A07F29">
        <w:rPr>
          <w:rFonts w:ascii="Times New Roman" w:eastAsia="Calibri" w:hAnsi="Times New Roman" w:cs="Calibri"/>
          <w:sz w:val="24"/>
        </w:rPr>
        <w:t> </w:t>
      </w:r>
      <w:r w:rsidRPr="00A07F29">
        <w:rPr>
          <w:rFonts w:ascii="Times New Roman" w:eastAsia="Calibri" w:hAnsi="Times New Roman" w:cs="Calibri"/>
          <w:sz w:val="24"/>
        </w:rPr>
        <w:t xml:space="preserve">janvārī. Šīs konvencijas mērķis ir aizsargāt savvaļas floru un faunu un to dabiskās dzīvotnes, īpaši tās sugas un dzīvotnes, kuru aizsardzībai nepieciešama vairāku valstu sadarbība, kā arī veicināt šādu sadarbību. Īpaša vērība pievērsta apdraudētajām un izzūdošajām sugām, tai skaitā apdraudētajām un izzūdošajām migrējošajām sugām. </w:t>
      </w:r>
    </w:p>
    <w:p w14:paraId="59DD6A1C" w14:textId="44C3F9CA" w:rsidR="00D5724B" w:rsidRPr="00A07F29" w:rsidRDefault="00D5724B" w:rsidP="006F1237">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Eiropas Padomes 2000.</w:t>
      </w:r>
      <w:r w:rsidR="00907158" w:rsidRPr="00A07F29">
        <w:rPr>
          <w:rFonts w:ascii="Times New Roman" w:eastAsia="Calibri" w:hAnsi="Times New Roman" w:cs="Calibri"/>
          <w:sz w:val="24"/>
        </w:rPr>
        <w:t> </w:t>
      </w:r>
      <w:r w:rsidRPr="00A07F29">
        <w:rPr>
          <w:rFonts w:ascii="Times New Roman" w:eastAsia="Calibri" w:hAnsi="Times New Roman" w:cs="Calibri"/>
          <w:sz w:val="24"/>
        </w:rPr>
        <w:t>gada 20.</w:t>
      </w:r>
      <w:r w:rsidR="00907158" w:rsidRPr="00A07F29">
        <w:rPr>
          <w:rFonts w:ascii="Times New Roman" w:eastAsia="Calibri" w:hAnsi="Times New Roman" w:cs="Calibri"/>
          <w:sz w:val="24"/>
        </w:rPr>
        <w:t> </w:t>
      </w:r>
      <w:r w:rsidRPr="00A07F29">
        <w:rPr>
          <w:rFonts w:ascii="Times New Roman" w:eastAsia="Calibri" w:hAnsi="Times New Roman" w:cs="Calibri"/>
          <w:sz w:val="24"/>
        </w:rPr>
        <w:t xml:space="preserve">oktobra </w:t>
      </w:r>
      <w:r w:rsidRPr="00A07F29">
        <w:rPr>
          <w:rFonts w:ascii="Times New Roman" w:eastAsia="Calibri" w:hAnsi="Times New Roman" w:cs="Calibri"/>
          <w:b/>
          <w:bCs/>
          <w:sz w:val="24"/>
        </w:rPr>
        <w:t>Eiropas ainavu konvencija</w:t>
      </w:r>
      <w:r w:rsidRPr="00A07F29">
        <w:rPr>
          <w:rFonts w:ascii="Times New Roman" w:eastAsia="Calibri" w:hAnsi="Times New Roman" w:cs="Calibri"/>
          <w:sz w:val="24"/>
        </w:rPr>
        <w:t xml:space="preserve"> kurai Latvija pievienojās ar Saeimas pieņemtu likumu </w:t>
      </w:r>
      <w:r w:rsidR="0089769C" w:rsidRPr="00A07F29">
        <w:rPr>
          <w:rFonts w:ascii="Times New Roman" w:eastAsia="Calibri" w:hAnsi="Times New Roman" w:cs="Calibri"/>
          <w:sz w:val="24"/>
        </w:rPr>
        <w:t>“</w:t>
      </w:r>
      <w:r w:rsidRPr="00A07F29">
        <w:rPr>
          <w:rFonts w:ascii="Times New Roman" w:eastAsia="Calibri" w:hAnsi="Times New Roman" w:cs="Calibri"/>
          <w:sz w:val="24"/>
        </w:rPr>
        <w:t>Par Eiropas ainavu konvenciju”, kas stājās spēkā 2007.</w:t>
      </w:r>
      <w:r w:rsidR="0089769C" w:rsidRPr="00A07F29">
        <w:rPr>
          <w:rFonts w:ascii="Times New Roman" w:eastAsia="Calibri" w:hAnsi="Times New Roman" w:cs="Calibri"/>
          <w:sz w:val="24"/>
        </w:rPr>
        <w:t> </w:t>
      </w:r>
      <w:r w:rsidRPr="00A07F29">
        <w:rPr>
          <w:rFonts w:ascii="Times New Roman" w:eastAsia="Calibri" w:hAnsi="Times New Roman" w:cs="Calibri"/>
          <w:sz w:val="24"/>
        </w:rPr>
        <w:t>gada 19.</w:t>
      </w:r>
      <w:r w:rsidR="0089769C" w:rsidRPr="00A07F29">
        <w:rPr>
          <w:rFonts w:ascii="Times New Roman" w:eastAsia="Calibri" w:hAnsi="Times New Roman" w:cs="Calibri"/>
          <w:sz w:val="24"/>
        </w:rPr>
        <w:t> </w:t>
      </w:r>
      <w:r w:rsidR="000D660C" w:rsidRPr="00A07F29">
        <w:rPr>
          <w:rFonts w:ascii="Times New Roman" w:eastAsia="Calibri" w:hAnsi="Times New Roman" w:cs="Calibri"/>
          <w:sz w:val="24"/>
        </w:rPr>
        <w:t>aprīlī</w:t>
      </w:r>
      <w:r w:rsidRPr="00A07F29">
        <w:rPr>
          <w:rFonts w:ascii="Times New Roman" w:eastAsia="Calibri" w:hAnsi="Times New Roman" w:cs="Calibri"/>
          <w:sz w:val="24"/>
        </w:rPr>
        <w:t>. Eiropas ainavu konvencijas dalībvalstis apstiprina, ka Eiropas ainavu kvalitāte un daudzveidība ir kopīgs resurss un</w:t>
      </w:r>
      <w:r w:rsidR="002A3B9D" w:rsidRPr="00A07F29">
        <w:rPr>
          <w:rFonts w:ascii="Times New Roman" w:eastAsia="Calibri" w:hAnsi="Times New Roman" w:cs="Calibri"/>
          <w:sz w:val="24"/>
        </w:rPr>
        <w:t>,</w:t>
      </w:r>
      <w:r w:rsidRPr="00A07F29">
        <w:rPr>
          <w:rFonts w:ascii="Times New Roman" w:eastAsia="Calibri" w:hAnsi="Times New Roman" w:cs="Calibri"/>
          <w:sz w:val="24"/>
        </w:rPr>
        <w:t xml:space="preserve"> ka ir jāsadarbojas, lai tās aizsargātu un pārvaldītu, kā arī veiktu plānošanu, vēloties radīt jaunu instrumentu, kas īpaši domāts Eiropas visu ainavu aizsardzībai, pārvaldībai un plānošanai. </w:t>
      </w:r>
    </w:p>
    <w:p w14:paraId="1E3CAB3C" w14:textId="077A23E4" w:rsidR="00D5724B" w:rsidRPr="00A07F29" w:rsidRDefault="00D5724B" w:rsidP="006F1237">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A</w:t>
      </w:r>
      <w:r w:rsidR="00AD0C62" w:rsidRPr="00A07F29">
        <w:rPr>
          <w:rFonts w:ascii="Times New Roman" w:eastAsia="Calibri" w:hAnsi="Times New Roman" w:cs="Calibri"/>
          <w:sz w:val="24"/>
        </w:rPr>
        <w:t xml:space="preserve">pvienoto </w:t>
      </w:r>
      <w:r w:rsidRPr="00A07F29">
        <w:rPr>
          <w:rFonts w:ascii="Times New Roman" w:eastAsia="Calibri" w:hAnsi="Times New Roman" w:cs="Calibri"/>
          <w:sz w:val="24"/>
        </w:rPr>
        <w:t>N</w:t>
      </w:r>
      <w:r w:rsidR="00AD0C62" w:rsidRPr="00A07F29">
        <w:rPr>
          <w:rFonts w:ascii="Times New Roman" w:eastAsia="Calibri" w:hAnsi="Times New Roman" w:cs="Calibri"/>
          <w:sz w:val="24"/>
        </w:rPr>
        <w:t xml:space="preserve">āciju </w:t>
      </w:r>
      <w:r w:rsidRPr="00A07F29">
        <w:rPr>
          <w:rFonts w:ascii="Times New Roman" w:eastAsia="Calibri" w:hAnsi="Times New Roman" w:cs="Calibri"/>
          <w:sz w:val="24"/>
        </w:rPr>
        <w:t>O</w:t>
      </w:r>
      <w:r w:rsidR="00AD0C62" w:rsidRPr="00A07F29">
        <w:rPr>
          <w:rFonts w:ascii="Times New Roman" w:eastAsia="Calibri" w:hAnsi="Times New Roman" w:cs="Calibri"/>
          <w:sz w:val="24"/>
        </w:rPr>
        <w:t>rganizācija</w:t>
      </w:r>
      <w:r w:rsidR="00705CB2" w:rsidRPr="00A07F29">
        <w:rPr>
          <w:rFonts w:ascii="Times New Roman" w:eastAsia="Calibri" w:hAnsi="Times New Roman" w:cs="Calibri"/>
          <w:sz w:val="24"/>
        </w:rPr>
        <w:t>s</w:t>
      </w:r>
      <w:r w:rsidRPr="00A07F29">
        <w:rPr>
          <w:rFonts w:ascii="Times New Roman" w:eastAsia="Calibri" w:hAnsi="Times New Roman" w:cs="Calibri"/>
          <w:sz w:val="24"/>
        </w:rPr>
        <w:t xml:space="preserve"> </w:t>
      </w:r>
      <w:r w:rsidR="00C07756" w:rsidRPr="00A07F29">
        <w:rPr>
          <w:rFonts w:ascii="Times New Roman" w:eastAsia="Calibri" w:hAnsi="Times New Roman" w:cs="Calibri"/>
          <w:sz w:val="24"/>
        </w:rPr>
        <w:t xml:space="preserve">Eiropas Ekonomikas komisijas </w:t>
      </w:r>
      <w:r w:rsidRPr="00A07F29">
        <w:rPr>
          <w:rFonts w:ascii="Times New Roman" w:eastAsia="Calibri" w:hAnsi="Times New Roman" w:cs="Calibri"/>
          <w:sz w:val="24"/>
        </w:rPr>
        <w:t>1998.</w:t>
      </w:r>
      <w:r w:rsidR="00C07756" w:rsidRPr="00A07F29">
        <w:rPr>
          <w:rFonts w:ascii="Times New Roman" w:eastAsia="Calibri" w:hAnsi="Times New Roman" w:cs="Calibri"/>
          <w:sz w:val="24"/>
        </w:rPr>
        <w:t> </w:t>
      </w:r>
      <w:r w:rsidRPr="00A07F29">
        <w:rPr>
          <w:rFonts w:ascii="Times New Roman" w:eastAsia="Calibri" w:hAnsi="Times New Roman" w:cs="Calibri"/>
          <w:sz w:val="24"/>
        </w:rPr>
        <w:t>gada 25.</w:t>
      </w:r>
      <w:r w:rsidR="00C07756" w:rsidRPr="00A07F29">
        <w:rPr>
          <w:rFonts w:ascii="Times New Roman" w:eastAsia="Calibri" w:hAnsi="Times New Roman" w:cs="Calibri"/>
          <w:sz w:val="24"/>
        </w:rPr>
        <w:t> </w:t>
      </w:r>
      <w:r w:rsidRPr="00A07F29">
        <w:rPr>
          <w:rFonts w:ascii="Times New Roman" w:eastAsia="Calibri" w:hAnsi="Times New Roman" w:cs="Calibri"/>
          <w:sz w:val="24"/>
        </w:rPr>
        <w:t xml:space="preserve">jūnija </w:t>
      </w:r>
      <w:r w:rsidR="00C07756" w:rsidRPr="00A07F29">
        <w:rPr>
          <w:rFonts w:ascii="Times New Roman" w:eastAsia="Calibri" w:hAnsi="Times New Roman" w:cs="Calibri"/>
          <w:b/>
          <w:bCs/>
          <w:sz w:val="24"/>
        </w:rPr>
        <w:t>k</w:t>
      </w:r>
      <w:r w:rsidRPr="00A07F29">
        <w:rPr>
          <w:rFonts w:ascii="Times New Roman" w:eastAsia="Calibri" w:hAnsi="Times New Roman" w:cs="Calibri"/>
          <w:b/>
          <w:bCs/>
          <w:sz w:val="24"/>
        </w:rPr>
        <w:t xml:space="preserve">onvencija </w:t>
      </w:r>
      <w:r w:rsidR="00C07756" w:rsidRPr="00A07F29">
        <w:rPr>
          <w:rFonts w:ascii="Times New Roman" w:eastAsia="Calibri" w:hAnsi="Times New Roman" w:cs="Calibri"/>
          <w:b/>
          <w:bCs/>
          <w:sz w:val="24"/>
        </w:rPr>
        <w:t>“P</w:t>
      </w:r>
      <w:r w:rsidRPr="00A07F29">
        <w:rPr>
          <w:rFonts w:ascii="Times New Roman" w:eastAsia="Calibri" w:hAnsi="Times New Roman" w:cs="Calibri"/>
          <w:b/>
          <w:bCs/>
          <w:sz w:val="24"/>
        </w:rPr>
        <w:t xml:space="preserve">ar pieeju informācijai, sabiedrības dalību lēmumu pieņemšanā un iespēju vērsties tiesu iestādēs saistībā ar vides jautājumiem jeb Orhūsas konvencija, </w:t>
      </w:r>
      <w:r w:rsidRPr="00A07F29">
        <w:rPr>
          <w:rFonts w:ascii="Times New Roman" w:eastAsia="Calibri" w:hAnsi="Times New Roman" w:cs="Calibri"/>
          <w:sz w:val="24"/>
        </w:rPr>
        <w:t>kurai Latvija pievienojās ar Saeimas pieņemtu</w:t>
      </w:r>
      <w:r w:rsidR="00626F4A" w:rsidRPr="00A07F29">
        <w:rPr>
          <w:rFonts w:ascii="Times New Roman" w:eastAsia="Calibri" w:hAnsi="Times New Roman" w:cs="Calibri"/>
          <w:sz w:val="24"/>
        </w:rPr>
        <w:t xml:space="preserve"> </w:t>
      </w:r>
      <w:r w:rsidRPr="00A07F29">
        <w:rPr>
          <w:rFonts w:ascii="Times New Roman" w:eastAsia="Calibri" w:hAnsi="Times New Roman" w:cs="Calibri"/>
          <w:sz w:val="24"/>
        </w:rPr>
        <w:t xml:space="preserve">likumu </w:t>
      </w:r>
      <w:r w:rsidR="00626F4A" w:rsidRPr="00A07F29">
        <w:rPr>
          <w:rFonts w:ascii="Times New Roman" w:eastAsia="Calibri" w:hAnsi="Times New Roman" w:cs="Calibri"/>
          <w:sz w:val="24"/>
        </w:rPr>
        <w:t>“</w:t>
      </w:r>
      <w:r w:rsidRPr="00A07F29">
        <w:rPr>
          <w:rFonts w:ascii="Times New Roman" w:eastAsia="Calibri" w:hAnsi="Times New Roman" w:cs="Calibri"/>
          <w:sz w:val="24"/>
        </w:rPr>
        <w:t>Par 1998. gada 25. jūnija Orhūsas konvenciju par pieeju informācijai, sabiedrības dalību lēmumu pieņemšanā un iespēju griezties tiesu iestādēs saistībā ar vides jautājumiem” kas stājās spēkā 2002.</w:t>
      </w:r>
      <w:r w:rsidR="00626F4A" w:rsidRPr="00A07F29">
        <w:rPr>
          <w:rFonts w:ascii="Times New Roman" w:eastAsia="Calibri" w:hAnsi="Times New Roman" w:cs="Calibri"/>
          <w:sz w:val="24"/>
        </w:rPr>
        <w:t> </w:t>
      </w:r>
      <w:r w:rsidRPr="00A07F29">
        <w:rPr>
          <w:rFonts w:ascii="Times New Roman" w:eastAsia="Calibri" w:hAnsi="Times New Roman" w:cs="Calibri"/>
          <w:sz w:val="24"/>
        </w:rPr>
        <w:t>gada 26.</w:t>
      </w:r>
      <w:r w:rsidR="00626F4A" w:rsidRPr="00A07F29">
        <w:rPr>
          <w:rFonts w:ascii="Times New Roman" w:eastAsia="Calibri" w:hAnsi="Times New Roman" w:cs="Calibri"/>
          <w:sz w:val="24"/>
        </w:rPr>
        <w:t> </w:t>
      </w:r>
      <w:r w:rsidRPr="00A07F29">
        <w:rPr>
          <w:rFonts w:ascii="Times New Roman" w:eastAsia="Calibri" w:hAnsi="Times New Roman" w:cs="Calibri"/>
          <w:sz w:val="24"/>
        </w:rPr>
        <w:t>aprīlī.</w:t>
      </w:r>
      <w:r w:rsidR="00D65BBA" w:rsidRPr="00A07F29">
        <w:rPr>
          <w:rFonts w:ascii="Times New Roman" w:eastAsia="Calibri" w:hAnsi="Times New Roman" w:cs="Calibri"/>
          <w:sz w:val="24"/>
        </w:rPr>
        <w:t xml:space="preserve"> </w:t>
      </w:r>
      <w:r w:rsidRPr="00A07F29">
        <w:rPr>
          <w:rFonts w:ascii="Times New Roman" w:eastAsia="Calibri" w:hAnsi="Times New Roman" w:cs="Calibri"/>
          <w:sz w:val="24"/>
        </w:rPr>
        <w:t xml:space="preserve">Konvencijas mērķis ir </w:t>
      </w:r>
      <w:r w:rsidRPr="00A07F29">
        <w:rPr>
          <w:rFonts w:ascii="Times New Roman" w:eastAsia="Calibri" w:hAnsi="Times New Roman" w:cs="Calibri"/>
          <w:sz w:val="24"/>
        </w:rPr>
        <w:lastRenderedPageBreak/>
        <w:t xml:space="preserve">nodrošināt sabiedrības informēšanu, piekļūšanu informācijai, iespējas piedalīties lēmumu pieņemšanā un griezties tiesu iestādēs saistībā ar vides jautājumiem. </w:t>
      </w:r>
    </w:p>
    <w:p w14:paraId="1881E854" w14:textId="364B111C" w:rsidR="00D5724B" w:rsidRPr="00A07F29" w:rsidRDefault="00D5724B" w:rsidP="006F1237">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A</w:t>
      </w:r>
      <w:r w:rsidR="00B12C12" w:rsidRPr="00A07F29">
        <w:rPr>
          <w:rFonts w:ascii="Times New Roman" w:eastAsia="Calibri" w:hAnsi="Times New Roman" w:cs="Calibri"/>
          <w:sz w:val="24"/>
        </w:rPr>
        <w:t xml:space="preserve">pvienoto </w:t>
      </w:r>
      <w:r w:rsidRPr="00A07F29">
        <w:rPr>
          <w:rFonts w:ascii="Times New Roman" w:eastAsia="Calibri" w:hAnsi="Times New Roman" w:cs="Calibri"/>
          <w:sz w:val="24"/>
        </w:rPr>
        <w:t>N</w:t>
      </w:r>
      <w:r w:rsidR="00B12C12" w:rsidRPr="00A07F29">
        <w:rPr>
          <w:rFonts w:ascii="Times New Roman" w:eastAsia="Calibri" w:hAnsi="Times New Roman" w:cs="Calibri"/>
          <w:sz w:val="24"/>
        </w:rPr>
        <w:t xml:space="preserve">āciju </w:t>
      </w:r>
      <w:r w:rsidRPr="00A07F29">
        <w:rPr>
          <w:rFonts w:ascii="Times New Roman" w:eastAsia="Calibri" w:hAnsi="Times New Roman" w:cs="Calibri"/>
          <w:sz w:val="24"/>
        </w:rPr>
        <w:t>O</w:t>
      </w:r>
      <w:r w:rsidR="00B12C12" w:rsidRPr="00A07F29">
        <w:rPr>
          <w:rFonts w:ascii="Times New Roman" w:eastAsia="Calibri" w:hAnsi="Times New Roman" w:cs="Calibri"/>
          <w:sz w:val="24"/>
        </w:rPr>
        <w:t>rganizācijas</w:t>
      </w:r>
      <w:r w:rsidRPr="00A07F29">
        <w:rPr>
          <w:rFonts w:ascii="Times New Roman" w:eastAsia="Calibri" w:hAnsi="Times New Roman" w:cs="Calibri"/>
          <w:sz w:val="24"/>
        </w:rPr>
        <w:t xml:space="preserve"> 1979.</w:t>
      </w:r>
      <w:r w:rsidR="00B12C12" w:rsidRPr="00A07F29">
        <w:rPr>
          <w:rFonts w:ascii="Times New Roman" w:eastAsia="Calibri" w:hAnsi="Times New Roman" w:cs="Calibri"/>
          <w:sz w:val="24"/>
        </w:rPr>
        <w:t> </w:t>
      </w:r>
      <w:r w:rsidRPr="00A07F29">
        <w:rPr>
          <w:rFonts w:ascii="Times New Roman" w:eastAsia="Calibri" w:hAnsi="Times New Roman" w:cs="Calibri"/>
          <w:sz w:val="24"/>
        </w:rPr>
        <w:t>gada 23.</w:t>
      </w:r>
      <w:r w:rsidR="00B12C12" w:rsidRPr="00A07F29">
        <w:rPr>
          <w:rFonts w:ascii="Times New Roman" w:eastAsia="Calibri" w:hAnsi="Times New Roman" w:cs="Calibri"/>
          <w:sz w:val="24"/>
        </w:rPr>
        <w:t> </w:t>
      </w:r>
      <w:r w:rsidRPr="00A07F29">
        <w:rPr>
          <w:rFonts w:ascii="Times New Roman" w:eastAsia="Calibri" w:hAnsi="Times New Roman" w:cs="Calibri"/>
          <w:sz w:val="24"/>
        </w:rPr>
        <w:t xml:space="preserve">jūnija </w:t>
      </w:r>
      <w:r w:rsidRPr="00A07F29">
        <w:rPr>
          <w:rFonts w:ascii="Times New Roman" w:eastAsia="Calibri" w:hAnsi="Times New Roman" w:cs="Calibri"/>
          <w:b/>
          <w:bCs/>
          <w:sz w:val="24"/>
        </w:rPr>
        <w:t>Konvencija par migrējošo savvaļas dzīvnieku sugu aizsardzību jeb Bonnas konvencija</w:t>
      </w:r>
      <w:r w:rsidRPr="00A07F29">
        <w:rPr>
          <w:rFonts w:ascii="Times New Roman" w:eastAsia="Calibri" w:hAnsi="Times New Roman" w:cs="Calibri"/>
          <w:sz w:val="24"/>
        </w:rPr>
        <w:t xml:space="preserve">, kurai Latvija pievienojās ar Saeimas pieņemtu likumu </w:t>
      </w:r>
      <w:r w:rsidR="00D26AA3" w:rsidRPr="00A07F29">
        <w:rPr>
          <w:rFonts w:ascii="Times New Roman" w:eastAsia="Calibri" w:hAnsi="Times New Roman" w:cs="Calibri"/>
          <w:sz w:val="24"/>
        </w:rPr>
        <w:t>“</w:t>
      </w:r>
      <w:r w:rsidRPr="00A07F29">
        <w:rPr>
          <w:rFonts w:ascii="Times New Roman" w:eastAsia="Calibri" w:hAnsi="Times New Roman" w:cs="Calibri"/>
          <w:sz w:val="24"/>
        </w:rPr>
        <w:t>Par 1979.</w:t>
      </w:r>
      <w:r w:rsidR="00D26AA3" w:rsidRPr="00A07F29">
        <w:rPr>
          <w:rFonts w:ascii="Times New Roman" w:eastAsia="Calibri" w:hAnsi="Times New Roman" w:cs="Calibri"/>
          <w:sz w:val="24"/>
        </w:rPr>
        <w:t> </w:t>
      </w:r>
      <w:r w:rsidRPr="00A07F29">
        <w:rPr>
          <w:rFonts w:ascii="Times New Roman" w:eastAsia="Calibri" w:hAnsi="Times New Roman" w:cs="Calibri"/>
          <w:sz w:val="24"/>
        </w:rPr>
        <w:t>gada Bonnas konvenciju par migrējošo savvaļas dzīvnieku sugu aizsardzību”</w:t>
      </w:r>
      <w:r w:rsidR="00BF639B" w:rsidRPr="00A07F29">
        <w:rPr>
          <w:rFonts w:ascii="Times New Roman" w:eastAsia="Calibri" w:hAnsi="Times New Roman" w:cs="Calibri"/>
          <w:sz w:val="24"/>
        </w:rPr>
        <w:t>,</w:t>
      </w:r>
      <w:r w:rsidRPr="00A07F29">
        <w:rPr>
          <w:rFonts w:ascii="Times New Roman" w:eastAsia="Calibri" w:hAnsi="Times New Roman" w:cs="Calibri"/>
          <w:sz w:val="24"/>
        </w:rPr>
        <w:t xml:space="preserve"> nosaka apdraudētās migrējošās sugas, migrējošās sugas, kur</w:t>
      </w:r>
      <w:r w:rsidR="003253F4" w:rsidRPr="00A07F29">
        <w:rPr>
          <w:rFonts w:ascii="Times New Roman" w:eastAsia="Calibri" w:hAnsi="Times New Roman" w:cs="Calibri"/>
          <w:sz w:val="24"/>
        </w:rPr>
        <w:t>ā</w:t>
      </w:r>
      <w:r w:rsidRPr="00A07F29">
        <w:rPr>
          <w:rFonts w:ascii="Times New Roman" w:eastAsia="Calibri" w:hAnsi="Times New Roman" w:cs="Calibri"/>
          <w:sz w:val="24"/>
        </w:rPr>
        <w:t xml:space="preserve">m ir nelabvēlīgs aizsardzības statuss, kā arī principus, kas jāņem vērā, īstenojot minēto sugu aizsardzības pasākumus. </w:t>
      </w:r>
    </w:p>
    <w:p w14:paraId="4ABA9596" w14:textId="1BBF0462" w:rsidR="00D5724B" w:rsidRPr="00A07F29" w:rsidRDefault="00D5724B" w:rsidP="006F1237">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A</w:t>
      </w:r>
      <w:r w:rsidR="003253F4" w:rsidRPr="00A07F29">
        <w:rPr>
          <w:rFonts w:ascii="Times New Roman" w:eastAsia="Calibri" w:hAnsi="Times New Roman" w:cs="Calibri"/>
          <w:sz w:val="24"/>
        </w:rPr>
        <w:t xml:space="preserve">pvienoto </w:t>
      </w:r>
      <w:r w:rsidRPr="00A07F29">
        <w:rPr>
          <w:rFonts w:ascii="Times New Roman" w:eastAsia="Calibri" w:hAnsi="Times New Roman" w:cs="Calibri"/>
          <w:sz w:val="24"/>
        </w:rPr>
        <w:t>N</w:t>
      </w:r>
      <w:r w:rsidR="003253F4" w:rsidRPr="00A07F29">
        <w:rPr>
          <w:rFonts w:ascii="Times New Roman" w:eastAsia="Calibri" w:hAnsi="Times New Roman" w:cs="Calibri"/>
          <w:sz w:val="24"/>
        </w:rPr>
        <w:t xml:space="preserve">āciju </w:t>
      </w:r>
      <w:r w:rsidRPr="00A07F29">
        <w:rPr>
          <w:rFonts w:ascii="Times New Roman" w:eastAsia="Calibri" w:hAnsi="Times New Roman" w:cs="Calibri"/>
          <w:sz w:val="24"/>
        </w:rPr>
        <w:t>O</w:t>
      </w:r>
      <w:r w:rsidR="003253F4" w:rsidRPr="00A07F29">
        <w:rPr>
          <w:rFonts w:ascii="Times New Roman" w:eastAsia="Calibri" w:hAnsi="Times New Roman" w:cs="Calibri"/>
          <w:sz w:val="24"/>
        </w:rPr>
        <w:t>rganizācijas</w:t>
      </w:r>
      <w:r w:rsidRPr="00A07F29">
        <w:rPr>
          <w:rFonts w:ascii="Times New Roman" w:eastAsia="Calibri" w:hAnsi="Times New Roman" w:cs="Calibri"/>
          <w:sz w:val="24"/>
        </w:rPr>
        <w:t xml:space="preserve"> 1972.</w:t>
      </w:r>
      <w:r w:rsidR="00AD6454" w:rsidRPr="00A07F29">
        <w:rPr>
          <w:rFonts w:ascii="Times New Roman" w:eastAsia="Calibri" w:hAnsi="Times New Roman" w:cs="Calibri"/>
          <w:sz w:val="24"/>
        </w:rPr>
        <w:t> </w:t>
      </w:r>
      <w:r w:rsidRPr="00A07F29">
        <w:rPr>
          <w:rFonts w:ascii="Times New Roman" w:eastAsia="Calibri" w:hAnsi="Times New Roman" w:cs="Calibri"/>
          <w:sz w:val="24"/>
        </w:rPr>
        <w:t xml:space="preserve">gada </w:t>
      </w:r>
      <w:r w:rsidRPr="00A07F29">
        <w:rPr>
          <w:rFonts w:ascii="Times New Roman" w:eastAsia="Calibri" w:hAnsi="Times New Roman" w:cs="Calibri"/>
          <w:b/>
          <w:bCs/>
          <w:sz w:val="24"/>
        </w:rPr>
        <w:t>Konvencija par pasaules kultūras un dabas mantojuma aizsardzību</w:t>
      </w:r>
      <w:r w:rsidRPr="00A07F29">
        <w:rPr>
          <w:rFonts w:ascii="Times New Roman" w:eastAsia="Calibri" w:hAnsi="Times New Roman" w:cs="Calibri"/>
          <w:sz w:val="24"/>
        </w:rPr>
        <w:t>, kurai</w:t>
      </w:r>
      <w:r w:rsidRPr="00A07F29">
        <w:rPr>
          <w:rFonts w:ascii="Times New Roman" w:eastAsia="Calibri" w:hAnsi="Times New Roman" w:cs="Calibri"/>
          <w:b/>
          <w:bCs/>
          <w:sz w:val="24"/>
        </w:rPr>
        <w:t xml:space="preserve"> </w:t>
      </w:r>
      <w:r w:rsidRPr="00A07F29">
        <w:rPr>
          <w:rFonts w:ascii="Times New Roman" w:eastAsia="Calibri" w:hAnsi="Times New Roman" w:cs="Calibri"/>
          <w:sz w:val="24"/>
        </w:rPr>
        <w:t xml:space="preserve">Latvija pievienojās ar Saeimas pieņemtu likumu </w:t>
      </w:r>
      <w:r w:rsidR="00AD6454" w:rsidRPr="00A07F29">
        <w:rPr>
          <w:rFonts w:ascii="Times New Roman" w:eastAsia="Calibri" w:hAnsi="Times New Roman" w:cs="Calibri"/>
          <w:sz w:val="24"/>
        </w:rPr>
        <w:t>“</w:t>
      </w:r>
      <w:r w:rsidRPr="00A07F29">
        <w:rPr>
          <w:rFonts w:ascii="Times New Roman" w:eastAsia="Calibri" w:hAnsi="Times New Roman" w:cs="Calibri"/>
          <w:sz w:val="24"/>
        </w:rPr>
        <w:t xml:space="preserve">Par Konvenciju par pasaules kultūras un dabas mantojuma aizsardzību”. UNESCO Pasaules mantojuma konvencija ir pasaulē nozīmīgākā mantojuma aizsardzības sistēma un viena no svarīgākajām UNESCO programmām. Tā iestājas par vērtībām un kopīgām lietām visai cilvēcei – par kultūru, par dabas bagātības un daudzveidības saglabāšanu, par savstarpēju saprašanos un ilgtspējīgu attīstību. </w:t>
      </w:r>
    </w:p>
    <w:p w14:paraId="730988BC" w14:textId="1D63F2E8" w:rsidR="00D5724B" w:rsidRPr="00A07F29" w:rsidRDefault="00D5724B" w:rsidP="006F1237">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Eiropas Padomes</w:t>
      </w:r>
      <w:r w:rsidRPr="00A07F29">
        <w:rPr>
          <w:rFonts w:ascii="Times New Roman" w:eastAsia="Calibri" w:hAnsi="Times New Roman" w:cs="Calibri"/>
          <w:b/>
          <w:bCs/>
          <w:sz w:val="24"/>
        </w:rPr>
        <w:t xml:space="preserve"> </w:t>
      </w:r>
      <w:r w:rsidRPr="00A07F29">
        <w:rPr>
          <w:rFonts w:ascii="Times New Roman" w:eastAsia="Calibri" w:hAnsi="Times New Roman" w:cs="Calibri"/>
          <w:sz w:val="24"/>
        </w:rPr>
        <w:t>2005.</w:t>
      </w:r>
      <w:r w:rsidR="00881BD9" w:rsidRPr="00A07F29">
        <w:rPr>
          <w:rFonts w:ascii="Times New Roman" w:eastAsia="Calibri" w:hAnsi="Times New Roman" w:cs="Calibri"/>
          <w:sz w:val="24"/>
        </w:rPr>
        <w:t> </w:t>
      </w:r>
      <w:r w:rsidRPr="00A07F29">
        <w:rPr>
          <w:rFonts w:ascii="Times New Roman" w:eastAsia="Calibri" w:hAnsi="Times New Roman" w:cs="Calibri"/>
          <w:sz w:val="24"/>
        </w:rPr>
        <w:t>gada 27.</w:t>
      </w:r>
      <w:r w:rsidR="00881BD9" w:rsidRPr="00A07F29">
        <w:rPr>
          <w:rFonts w:ascii="Times New Roman" w:eastAsia="Calibri" w:hAnsi="Times New Roman" w:cs="Calibri"/>
          <w:sz w:val="24"/>
        </w:rPr>
        <w:t> </w:t>
      </w:r>
      <w:r w:rsidRPr="00A07F29">
        <w:rPr>
          <w:rFonts w:ascii="Times New Roman" w:eastAsia="Calibri" w:hAnsi="Times New Roman" w:cs="Calibri"/>
          <w:sz w:val="24"/>
        </w:rPr>
        <w:t>oktobra</w:t>
      </w:r>
      <w:r w:rsidRPr="00A07F29">
        <w:rPr>
          <w:rFonts w:ascii="Times New Roman" w:eastAsia="Calibri" w:hAnsi="Times New Roman" w:cs="Calibri"/>
          <w:b/>
          <w:bCs/>
          <w:sz w:val="24"/>
        </w:rPr>
        <w:t xml:space="preserve"> Vispārējā konvencija par kultūras mantojuma vērtību sabiedrībai, </w:t>
      </w:r>
      <w:r w:rsidRPr="00A07F29">
        <w:rPr>
          <w:rFonts w:ascii="Times New Roman" w:eastAsia="Calibri" w:hAnsi="Times New Roman" w:cs="Calibri"/>
          <w:sz w:val="24"/>
        </w:rPr>
        <w:t>kurai</w:t>
      </w:r>
      <w:r w:rsidRPr="00A07F29">
        <w:rPr>
          <w:rFonts w:ascii="Times New Roman" w:eastAsia="Calibri" w:hAnsi="Times New Roman" w:cs="Calibri"/>
          <w:b/>
          <w:bCs/>
          <w:sz w:val="24"/>
        </w:rPr>
        <w:t xml:space="preserve"> </w:t>
      </w:r>
      <w:r w:rsidRPr="00A07F29">
        <w:rPr>
          <w:rFonts w:ascii="Times New Roman" w:eastAsia="Calibri" w:hAnsi="Times New Roman" w:cs="Calibri"/>
          <w:sz w:val="24"/>
        </w:rPr>
        <w:t>Latvija pievienojās ar Saeimas pieņemtu likumu</w:t>
      </w:r>
      <w:r w:rsidR="00D65BBA" w:rsidRPr="00A07F29">
        <w:rPr>
          <w:rFonts w:ascii="Times New Roman" w:eastAsia="Calibri" w:hAnsi="Times New Roman" w:cs="Calibri"/>
          <w:sz w:val="24"/>
        </w:rPr>
        <w:t xml:space="preserve"> </w:t>
      </w:r>
      <w:r w:rsidR="00881BD9" w:rsidRPr="00A07F29">
        <w:rPr>
          <w:rFonts w:ascii="Times New Roman" w:eastAsia="Calibri" w:hAnsi="Times New Roman" w:cs="Calibri"/>
          <w:sz w:val="24"/>
        </w:rPr>
        <w:t>“</w:t>
      </w:r>
      <w:r w:rsidRPr="00A07F29">
        <w:rPr>
          <w:rFonts w:ascii="Times New Roman" w:eastAsia="Calibri" w:hAnsi="Times New Roman" w:cs="Calibri"/>
          <w:sz w:val="24"/>
        </w:rPr>
        <w:t>Par Eiropas Padomes Vispārējo konvenciju par kultūras mantojuma vērtību sabiedrībai”.</w:t>
      </w:r>
    </w:p>
    <w:p w14:paraId="4FCF8E0E" w14:textId="0C8D6104" w:rsidR="00D5724B" w:rsidRPr="00A07F29" w:rsidRDefault="00D5724B" w:rsidP="006F1237">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1991.</w:t>
      </w:r>
      <w:r w:rsidR="003473E2" w:rsidRPr="00A07F29">
        <w:rPr>
          <w:rFonts w:ascii="Times New Roman" w:eastAsia="Calibri" w:hAnsi="Times New Roman" w:cs="Calibri"/>
          <w:sz w:val="24"/>
        </w:rPr>
        <w:t> </w:t>
      </w:r>
      <w:r w:rsidRPr="00A07F29">
        <w:rPr>
          <w:rFonts w:ascii="Times New Roman" w:eastAsia="Calibri" w:hAnsi="Times New Roman" w:cs="Calibri"/>
          <w:sz w:val="24"/>
        </w:rPr>
        <w:t>gada 4.</w:t>
      </w:r>
      <w:r w:rsidR="003473E2" w:rsidRPr="00A07F29">
        <w:rPr>
          <w:rFonts w:ascii="Times New Roman" w:eastAsia="Calibri" w:hAnsi="Times New Roman" w:cs="Calibri"/>
          <w:sz w:val="24"/>
        </w:rPr>
        <w:t> </w:t>
      </w:r>
      <w:r w:rsidRPr="00A07F29">
        <w:rPr>
          <w:rFonts w:ascii="Times New Roman" w:eastAsia="Calibri" w:hAnsi="Times New Roman" w:cs="Calibri"/>
          <w:sz w:val="24"/>
        </w:rPr>
        <w:t>decembra</w:t>
      </w:r>
      <w:r w:rsidRPr="00A07F29">
        <w:rPr>
          <w:rFonts w:ascii="Times New Roman" w:eastAsia="Calibri" w:hAnsi="Times New Roman" w:cs="Calibri"/>
          <w:b/>
          <w:bCs/>
          <w:sz w:val="24"/>
        </w:rPr>
        <w:t xml:space="preserve"> Līgums par sikspārņu aizsardzību Eiropā</w:t>
      </w:r>
      <w:r w:rsidRPr="00A07F29">
        <w:rPr>
          <w:rFonts w:ascii="Times New Roman" w:eastAsia="Calibri" w:hAnsi="Times New Roman" w:cs="Calibri"/>
          <w:sz w:val="24"/>
        </w:rPr>
        <w:t xml:space="preserve"> (starptautiskās saistības ienestas Latvijas tiesību sistēmā ar MK 2003. gada 7. janvāra noteikumiem Nr. 10 </w:t>
      </w:r>
      <w:r w:rsidR="00972118" w:rsidRPr="00A07F29">
        <w:rPr>
          <w:rFonts w:ascii="Times New Roman" w:eastAsia="Calibri" w:hAnsi="Times New Roman" w:cs="Calibri"/>
          <w:sz w:val="24"/>
        </w:rPr>
        <w:t>“</w:t>
      </w:r>
      <w:r w:rsidRPr="00A07F29">
        <w:rPr>
          <w:rFonts w:ascii="Times New Roman" w:eastAsia="Calibri" w:hAnsi="Times New Roman" w:cs="Calibri"/>
          <w:sz w:val="24"/>
        </w:rPr>
        <w:t>Noteikumi par līgumu par sikspārņu aizsardzību Eiropā”). Līgums izriet no A</w:t>
      </w:r>
      <w:r w:rsidR="00972118" w:rsidRPr="00A07F29">
        <w:rPr>
          <w:rFonts w:ascii="Times New Roman" w:eastAsia="Calibri" w:hAnsi="Times New Roman" w:cs="Calibri"/>
          <w:sz w:val="24"/>
        </w:rPr>
        <w:t xml:space="preserve">pvienoto </w:t>
      </w:r>
      <w:r w:rsidRPr="00A07F29">
        <w:rPr>
          <w:rFonts w:ascii="Times New Roman" w:eastAsia="Calibri" w:hAnsi="Times New Roman" w:cs="Calibri"/>
          <w:sz w:val="24"/>
        </w:rPr>
        <w:t>N</w:t>
      </w:r>
      <w:r w:rsidR="00972118" w:rsidRPr="00A07F29">
        <w:rPr>
          <w:rFonts w:ascii="Times New Roman" w:eastAsia="Calibri" w:hAnsi="Times New Roman" w:cs="Calibri"/>
          <w:sz w:val="24"/>
        </w:rPr>
        <w:t xml:space="preserve">āciju </w:t>
      </w:r>
      <w:r w:rsidRPr="00A07F29">
        <w:rPr>
          <w:rFonts w:ascii="Times New Roman" w:eastAsia="Calibri" w:hAnsi="Times New Roman" w:cs="Calibri"/>
          <w:sz w:val="24"/>
        </w:rPr>
        <w:t>O</w:t>
      </w:r>
      <w:r w:rsidR="00972118" w:rsidRPr="00A07F29">
        <w:rPr>
          <w:rFonts w:ascii="Times New Roman" w:eastAsia="Calibri" w:hAnsi="Times New Roman" w:cs="Calibri"/>
          <w:sz w:val="24"/>
        </w:rPr>
        <w:t>rganizācijas</w:t>
      </w:r>
      <w:r w:rsidRPr="00A07F29">
        <w:rPr>
          <w:rFonts w:ascii="Times New Roman" w:eastAsia="Calibri" w:hAnsi="Times New Roman" w:cs="Calibri"/>
          <w:sz w:val="24"/>
        </w:rPr>
        <w:t xml:space="preserve"> 1979. gada 23.</w:t>
      </w:r>
      <w:r w:rsidR="00557832" w:rsidRPr="00A07F29">
        <w:rPr>
          <w:rFonts w:ascii="Times New Roman" w:eastAsia="Calibri" w:hAnsi="Times New Roman" w:cs="Calibri"/>
          <w:sz w:val="24"/>
        </w:rPr>
        <w:t> </w:t>
      </w:r>
      <w:r w:rsidRPr="00A07F29">
        <w:rPr>
          <w:rFonts w:ascii="Times New Roman" w:eastAsia="Calibri" w:hAnsi="Times New Roman" w:cs="Calibri"/>
          <w:sz w:val="24"/>
        </w:rPr>
        <w:t xml:space="preserve">jūnija </w:t>
      </w:r>
      <w:r w:rsidRPr="00A07F29">
        <w:rPr>
          <w:rFonts w:ascii="Times New Roman" w:eastAsia="Calibri" w:hAnsi="Times New Roman" w:cs="Calibri"/>
          <w:b/>
          <w:bCs/>
          <w:sz w:val="24"/>
        </w:rPr>
        <w:t>Konvencijas par migrējošo savvaļas dzīvnieku sugu aizsardzību jeb</w:t>
      </w:r>
      <w:r w:rsidRPr="00A07F29">
        <w:rPr>
          <w:rFonts w:ascii="Times New Roman" w:eastAsia="Calibri" w:hAnsi="Times New Roman" w:cs="Calibri"/>
          <w:sz w:val="24"/>
        </w:rPr>
        <w:t xml:space="preserve"> </w:t>
      </w:r>
      <w:r w:rsidRPr="00A07F29">
        <w:rPr>
          <w:rFonts w:ascii="Times New Roman" w:eastAsia="Calibri" w:hAnsi="Times New Roman" w:cs="Calibri"/>
          <w:b/>
          <w:bCs/>
          <w:sz w:val="24"/>
        </w:rPr>
        <w:t>Bonnas</w:t>
      </w:r>
      <w:r w:rsidRPr="00A07F29">
        <w:rPr>
          <w:rFonts w:ascii="Times New Roman" w:eastAsia="Calibri" w:hAnsi="Times New Roman" w:cs="Calibri"/>
          <w:sz w:val="24"/>
        </w:rPr>
        <w:t xml:space="preserve"> </w:t>
      </w:r>
      <w:r w:rsidRPr="00A07F29">
        <w:rPr>
          <w:rFonts w:ascii="Times New Roman" w:eastAsia="Calibri" w:hAnsi="Times New Roman" w:cs="Calibri"/>
          <w:b/>
          <w:bCs/>
          <w:sz w:val="24"/>
        </w:rPr>
        <w:t>konvencijas</w:t>
      </w:r>
      <w:r w:rsidRPr="00A07F29">
        <w:rPr>
          <w:rFonts w:ascii="Times New Roman" w:eastAsia="Calibri" w:hAnsi="Times New Roman" w:cs="Calibri"/>
          <w:sz w:val="24"/>
        </w:rPr>
        <w:t xml:space="preserve"> un nosaka sikspārņu aizsardzības principus. </w:t>
      </w:r>
    </w:p>
    <w:p w14:paraId="68898F5E" w14:textId="15EA4589" w:rsidR="00D5724B" w:rsidRPr="00A07F29" w:rsidRDefault="00D5724B" w:rsidP="006F1237">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b/>
          <w:bCs/>
          <w:sz w:val="24"/>
        </w:rPr>
        <w:t>Eiropas Parlamenta un Padomes 2009.</w:t>
      </w:r>
      <w:r w:rsidR="00EC2D92" w:rsidRPr="00A07F29">
        <w:rPr>
          <w:rFonts w:ascii="Times New Roman" w:eastAsia="Calibri" w:hAnsi="Times New Roman" w:cs="Calibri"/>
          <w:b/>
          <w:bCs/>
          <w:sz w:val="24"/>
        </w:rPr>
        <w:t> </w:t>
      </w:r>
      <w:r w:rsidRPr="00A07F29">
        <w:rPr>
          <w:rFonts w:ascii="Times New Roman" w:eastAsia="Calibri" w:hAnsi="Times New Roman" w:cs="Calibri"/>
          <w:b/>
          <w:bCs/>
          <w:sz w:val="24"/>
        </w:rPr>
        <w:t>gada 30.</w:t>
      </w:r>
      <w:r w:rsidR="00EC2D92" w:rsidRPr="00A07F29">
        <w:rPr>
          <w:rFonts w:ascii="Times New Roman" w:eastAsia="Calibri" w:hAnsi="Times New Roman" w:cs="Calibri"/>
          <w:b/>
          <w:bCs/>
          <w:sz w:val="24"/>
        </w:rPr>
        <w:t> </w:t>
      </w:r>
      <w:r w:rsidRPr="00A07F29">
        <w:rPr>
          <w:rFonts w:ascii="Times New Roman" w:eastAsia="Calibri" w:hAnsi="Times New Roman" w:cs="Calibri"/>
          <w:b/>
          <w:bCs/>
          <w:sz w:val="24"/>
        </w:rPr>
        <w:t xml:space="preserve">novembra </w:t>
      </w:r>
      <w:r w:rsidR="00D52654" w:rsidRPr="00A07F29">
        <w:rPr>
          <w:rFonts w:ascii="Times New Roman" w:eastAsia="Calibri" w:hAnsi="Times New Roman" w:cs="Calibri"/>
          <w:b/>
          <w:bCs/>
          <w:sz w:val="24"/>
        </w:rPr>
        <w:t>d</w:t>
      </w:r>
      <w:r w:rsidRPr="00A07F29">
        <w:rPr>
          <w:rFonts w:ascii="Times New Roman" w:eastAsia="Calibri" w:hAnsi="Times New Roman" w:cs="Calibri"/>
          <w:b/>
          <w:bCs/>
          <w:sz w:val="24"/>
        </w:rPr>
        <w:t>irektīva 2009/147/EK</w:t>
      </w:r>
      <w:r w:rsidR="00D65BBA" w:rsidRPr="00A07F29">
        <w:rPr>
          <w:rFonts w:ascii="Times New Roman" w:eastAsia="Calibri" w:hAnsi="Times New Roman" w:cs="Calibri"/>
          <w:b/>
          <w:bCs/>
          <w:sz w:val="24"/>
        </w:rPr>
        <w:t xml:space="preserve"> </w:t>
      </w:r>
      <w:r w:rsidRPr="00A07F29">
        <w:rPr>
          <w:rFonts w:ascii="Times New Roman" w:eastAsia="Calibri" w:hAnsi="Times New Roman" w:cs="Calibri"/>
          <w:b/>
          <w:bCs/>
          <w:sz w:val="24"/>
        </w:rPr>
        <w:t>par savvaļas putnu aizsardzību (Putnu direktīva)</w:t>
      </w:r>
      <w:r w:rsidRPr="00A07F29">
        <w:rPr>
          <w:rFonts w:ascii="Times New Roman" w:eastAsia="Calibri" w:hAnsi="Times New Roman" w:cs="Calibri"/>
          <w:sz w:val="24"/>
        </w:rPr>
        <w:t xml:space="preserve">. Direktīva izdota, lai saglabātu migrējošo sugu populācijas tādā līmenī, kas atbilst īpašajām ekoloģiskajām, zinātniskajām un kultūras prasībām, tai pašā laikā ņemot vērā ekonomiskās un rekreācijas vajadzības, vai lai regulētu šo sugu populāciju lielumu atbilstībā šim līmenim. Daudzas savvaļas putnu sugas, kuras dabiski sastopamas Eiropā, skaitliski samazinās, dažos gadījumos tas notiek ļoti strauji, un tas rada nopietnus draudus vides aizsardzībai, īpaši tādēļ, ka tiek apdraudēts bioloģiskais līdzsvars. </w:t>
      </w:r>
    </w:p>
    <w:p w14:paraId="004DF2A7" w14:textId="12520EFB" w:rsidR="00D5724B" w:rsidRPr="00A07F29" w:rsidRDefault="00D5724B" w:rsidP="006F1237">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b/>
          <w:bCs/>
          <w:sz w:val="24"/>
        </w:rPr>
        <w:t>Eiropas Padomes 1992.</w:t>
      </w:r>
      <w:r w:rsidR="00117288" w:rsidRPr="00A07F29">
        <w:rPr>
          <w:rFonts w:ascii="Times New Roman" w:eastAsia="Calibri" w:hAnsi="Times New Roman" w:cs="Calibri"/>
          <w:b/>
          <w:bCs/>
          <w:sz w:val="24"/>
        </w:rPr>
        <w:t> </w:t>
      </w:r>
      <w:r w:rsidRPr="00A07F29">
        <w:rPr>
          <w:rFonts w:ascii="Times New Roman" w:eastAsia="Calibri" w:hAnsi="Times New Roman" w:cs="Calibri"/>
          <w:b/>
          <w:bCs/>
          <w:sz w:val="24"/>
        </w:rPr>
        <w:t>gada 21.</w:t>
      </w:r>
      <w:r w:rsidR="00117288" w:rsidRPr="00A07F29">
        <w:rPr>
          <w:rFonts w:ascii="Times New Roman" w:eastAsia="Calibri" w:hAnsi="Times New Roman" w:cs="Calibri"/>
          <w:b/>
          <w:bCs/>
          <w:sz w:val="24"/>
        </w:rPr>
        <w:t> </w:t>
      </w:r>
      <w:r w:rsidRPr="00A07F29">
        <w:rPr>
          <w:rFonts w:ascii="Times New Roman" w:eastAsia="Calibri" w:hAnsi="Times New Roman" w:cs="Calibri"/>
          <w:b/>
          <w:bCs/>
          <w:sz w:val="24"/>
        </w:rPr>
        <w:t xml:space="preserve">maija </w:t>
      </w:r>
      <w:r w:rsidR="00117288" w:rsidRPr="00A07F29">
        <w:rPr>
          <w:rFonts w:ascii="Times New Roman" w:eastAsia="Calibri" w:hAnsi="Times New Roman" w:cs="Calibri"/>
          <w:b/>
          <w:bCs/>
          <w:sz w:val="24"/>
        </w:rPr>
        <w:t>d</w:t>
      </w:r>
      <w:r w:rsidRPr="00A07F29">
        <w:rPr>
          <w:rFonts w:ascii="Times New Roman" w:eastAsia="Calibri" w:hAnsi="Times New Roman" w:cs="Calibri"/>
          <w:b/>
          <w:bCs/>
          <w:sz w:val="24"/>
        </w:rPr>
        <w:t>irektīvas 92/43/EEK</w:t>
      </w:r>
      <w:r w:rsidR="00D65BBA" w:rsidRPr="00A07F29">
        <w:rPr>
          <w:rFonts w:ascii="Times New Roman" w:eastAsia="Calibri" w:hAnsi="Times New Roman" w:cs="Calibri"/>
          <w:b/>
          <w:bCs/>
          <w:sz w:val="24"/>
        </w:rPr>
        <w:t xml:space="preserve"> </w:t>
      </w:r>
      <w:r w:rsidRPr="00A07F29">
        <w:rPr>
          <w:rFonts w:ascii="Times New Roman" w:eastAsia="Calibri" w:hAnsi="Times New Roman" w:cs="Calibri"/>
          <w:b/>
          <w:bCs/>
          <w:sz w:val="24"/>
        </w:rPr>
        <w:t>par dabisko dzīvotņu, savvaļas faunas un floras aizsardzību</w:t>
      </w:r>
      <w:r w:rsidR="00D65BBA" w:rsidRPr="00A07F29">
        <w:rPr>
          <w:rFonts w:ascii="Times New Roman" w:eastAsia="Calibri" w:hAnsi="Times New Roman" w:cs="Calibri"/>
          <w:sz w:val="24"/>
        </w:rPr>
        <w:t xml:space="preserve"> </w:t>
      </w:r>
      <w:r w:rsidRPr="00A07F29">
        <w:rPr>
          <w:rFonts w:ascii="Times New Roman" w:eastAsia="Calibri" w:hAnsi="Times New Roman" w:cs="Calibri"/>
          <w:b/>
          <w:bCs/>
          <w:sz w:val="24"/>
        </w:rPr>
        <w:t>(Biotopu direktīva)</w:t>
      </w:r>
      <w:r w:rsidRPr="00A07F29">
        <w:rPr>
          <w:rFonts w:ascii="Times New Roman" w:eastAsia="Calibri" w:hAnsi="Times New Roman" w:cs="Calibri"/>
          <w:sz w:val="24"/>
        </w:rPr>
        <w:t xml:space="preserve"> mērķis ir veicināt bioloģiskās daudzveidības saglabāšanos, veicot dabisko biotopu un faunas un floras aizsardzību. Tā nosaka, ka programmas </w:t>
      </w:r>
      <w:proofErr w:type="spellStart"/>
      <w:r w:rsidRPr="00A07F29">
        <w:rPr>
          <w:rFonts w:ascii="Times New Roman" w:eastAsia="Calibri" w:hAnsi="Times New Roman" w:cs="Calibri"/>
          <w:i/>
          <w:iCs/>
          <w:sz w:val="24"/>
        </w:rPr>
        <w:t>Natura</w:t>
      </w:r>
      <w:proofErr w:type="spellEnd"/>
      <w:r w:rsidRPr="00A07F29">
        <w:rPr>
          <w:rFonts w:ascii="Times New Roman" w:eastAsia="Calibri" w:hAnsi="Times New Roman" w:cs="Calibri"/>
          <w:i/>
          <w:iCs/>
          <w:sz w:val="24"/>
        </w:rPr>
        <w:t xml:space="preserve"> 2000</w:t>
      </w:r>
      <w:r w:rsidRPr="00A07F29">
        <w:rPr>
          <w:rFonts w:ascii="Times New Roman" w:eastAsia="Calibri" w:hAnsi="Times New Roman" w:cs="Calibri"/>
          <w:sz w:val="24"/>
        </w:rPr>
        <w:t xml:space="preserve"> ietvaros jāizveido Vienotais Eiropas ekoloģiskais tīkls, kurš aptver īpaši aizsargājamās teritorijas. Šim tīklam jānodrošina dabisko biotopu tipu un attiecīgo sugu biotopu saglabāšanu, vai, kur tas nepieciešams, labvēlīgā aizsardzības statusa atjaunošanu to dabiskās izplatības areāla robežās. </w:t>
      </w:r>
    </w:p>
    <w:p w14:paraId="3D06E825" w14:textId="39B3DB44" w:rsidR="007C46FA" w:rsidRPr="00A07F29" w:rsidRDefault="00D5724B" w:rsidP="006F1237">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b/>
          <w:bCs/>
          <w:sz w:val="24"/>
        </w:rPr>
        <w:t>Eiropas Parlamenta un Padomes 2000.</w:t>
      </w:r>
      <w:r w:rsidR="00573191" w:rsidRPr="00A07F29">
        <w:rPr>
          <w:rFonts w:ascii="Times New Roman" w:eastAsia="Calibri" w:hAnsi="Times New Roman" w:cs="Calibri"/>
          <w:b/>
          <w:bCs/>
          <w:sz w:val="24"/>
        </w:rPr>
        <w:t> </w:t>
      </w:r>
      <w:r w:rsidRPr="00A07F29">
        <w:rPr>
          <w:rFonts w:ascii="Times New Roman" w:eastAsia="Calibri" w:hAnsi="Times New Roman" w:cs="Calibri"/>
          <w:b/>
          <w:bCs/>
          <w:sz w:val="24"/>
        </w:rPr>
        <w:t>gada 23.</w:t>
      </w:r>
      <w:r w:rsidR="00C63037" w:rsidRPr="00A07F29">
        <w:rPr>
          <w:rFonts w:ascii="Times New Roman" w:eastAsia="Calibri" w:hAnsi="Times New Roman" w:cs="Calibri"/>
          <w:b/>
          <w:bCs/>
          <w:sz w:val="24"/>
        </w:rPr>
        <w:t> </w:t>
      </w:r>
      <w:r w:rsidRPr="00A07F29">
        <w:rPr>
          <w:rFonts w:ascii="Times New Roman" w:eastAsia="Calibri" w:hAnsi="Times New Roman" w:cs="Calibri"/>
          <w:b/>
          <w:bCs/>
          <w:sz w:val="24"/>
        </w:rPr>
        <w:t xml:space="preserve">oktobra </w:t>
      </w:r>
      <w:r w:rsidR="00C63037" w:rsidRPr="00A07F29">
        <w:rPr>
          <w:rFonts w:ascii="Times New Roman" w:eastAsia="Calibri" w:hAnsi="Times New Roman" w:cs="Calibri"/>
          <w:b/>
          <w:bCs/>
          <w:sz w:val="24"/>
        </w:rPr>
        <w:t>d</w:t>
      </w:r>
      <w:r w:rsidRPr="00A07F29">
        <w:rPr>
          <w:rFonts w:ascii="Times New Roman" w:eastAsia="Calibri" w:hAnsi="Times New Roman" w:cs="Calibri"/>
          <w:b/>
          <w:bCs/>
          <w:sz w:val="24"/>
        </w:rPr>
        <w:t>irektīva 2000/60/EK, ar ko izveido sistēmu Kopienas</w:t>
      </w:r>
      <w:r w:rsidRPr="00A07F29">
        <w:rPr>
          <w:rFonts w:ascii="Times New Roman" w:eastAsia="Calibri" w:hAnsi="Times New Roman" w:cs="Calibri"/>
          <w:sz w:val="24"/>
        </w:rPr>
        <w:t xml:space="preserve"> </w:t>
      </w:r>
      <w:r w:rsidRPr="00A07F29">
        <w:rPr>
          <w:rFonts w:ascii="Times New Roman" w:eastAsia="Calibri" w:hAnsi="Times New Roman" w:cs="Calibri"/>
          <w:b/>
          <w:bCs/>
          <w:sz w:val="24"/>
        </w:rPr>
        <w:t>rīcībai ūdens resursu politikas jomā</w:t>
      </w:r>
      <w:r w:rsidR="00D8632E" w:rsidRPr="00A07F29">
        <w:rPr>
          <w:rFonts w:ascii="Times New Roman" w:eastAsia="Calibri" w:hAnsi="Times New Roman" w:cs="Calibri"/>
          <w:b/>
          <w:bCs/>
          <w:sz w:val="24"/>
        </w:rPr>
        <w:t xml:space="preserve"> </w:t>
      </w:r>
      <w:r w:rsidR="00D8632E" w:rsidRPr="00A07F29">
        <w:rPr>
          <w:rFonts w:ascii="Times New Roman" w:eastAsia="Calibri" w:hAnsi="Times New Roman" w:cs="Calibri"/>
          <w:b/>
          <w:sz w:val="24"/>
        </w:rPr>
        <w:t xml:space="preserve">(Ūdens </w:t>
      </w:r>
      <w:proofErr w:type="spellStart"/>
      <w:r w:rsidR="00D8632E" w:rsidRPr="00A07F29">
        <w:rPr>
          <w:rFonts w:ascii="Times New Roman" w:eastAsia="Calibri" w:hAnsi="Times New Roman" w:cs="Calibri"/>
          <w:b/>
          <w:sz w:val="24"/>
        </w:rPr>
        <w:t>Struktūrdirektīvas</w:t>
      </w:r>
      <w:proofErr w:type="spellEnd"/>
      <w:r w:rsidR="00D8632E" w:rsidRPr="00A07F29">
        <w:rPr>
          <w:rFonts w:ascii="Times New Roman" w:eastAsia="Calibri" w:hAnsi="Times New Roman" w:cs="Calibri"/>
          <w:b/>
          <w:sz w:val="24"/>
        </w:rPr>
        <w:t>)</w:t>
      </w:r>
      <w:r w:rsidRPr="00A07F29">
        <w:rPr>
          <w:rFonts w:ascii="Times New Roman" w:eastAsia="Calibri" w:hAnsi="Times New Roman" w:cs="Calibri"/>
          <w:b/>
          <w:bCs/>
          <w:sz w:val="24"/>
        </w:rPr>
        <w:t>,</w:t>
      </w:r>
      <w:r w:rsidRPr="00A07F29">
        <w:rPr>
          <w:rFonts w:ascii="Times New Roman" w:eastAsia="Calibri" w:hAnsi="Times New Roman" w:cs="Calibri"/>
          <w:sz w:val="24"/>
        </w:rPr>
        <w:t xml:space="preserve"> mērķis ir aizsargāt un uzlabot virszemes un pazemes ūdeņu ekosistēmu stāvokli un veicināt ilgtspējīgu ūdeņu lietošanu</w:t>
      </w:r>
      <w:r w:rsidR="00D8632E" w:rsidRPr="00A07F29">
        <w:rPr>
          <w:rFonts w:ascii="Times New Roman" w:eastAsia="Calibri" w:hAnsi="Times New Roman" w:cs="Calibri"/>
          <w:sz w:val="24"/>
        </w:rPr>
        <w:t>,</w:t>
      </w:r>
      <w:r w:rsidRPr="00A07F29">
        <w:rPr>
          <w:rFonts w:ascii="Times New Roman" w:eastAsia="Calibri" w:hAnsi="Times New Roman" w:cs="Calibri"/>
          <w:sz w:val="24"/>
        </w:rPr>
        <w:t xml:space="preserve"> ieviešot integrētu upju baseinu apsaimniekošanas procesu</w:t>
      </w:r>
      <w:r w:rsidR="00D8632E" w:rsidRPr="00A07F29">
        <w:rPr>
          <w:rFonts w:ascii="Times New Roman" w:eastAsia="Calibri" w:hAnsi="Times New Roman" w:cs="Calibri"/>
          <w:sz w:val="24"/>
        </w:rPr>
        <w:t>.</w:t>
      </w:r>
      <w:r w:rsidR="007C46FA" w:rsidRPr="00A07F29">
        <w:rPr>
          <w:rFonts w:ascii="Times New Roman" w:eastAsia="Calibri" w:hAnsi="Times New Roman" w:cs="Calibri"/>
          <w:sz w:val="24"/>
        </w:rPr>
        <w:t xml:space="preserve"> Latvijā izdalīti četri upju baseinu apgabali (Daugavas, Gaujas, Lielupes un Ventas) un katram no tiem ir jāizstrādā apsaimniekošanas plāns un pasākumu programma.</w:t>
      </w:r>
    </w:p>
    <w:p w14:paraId="49821500" w14:textId="7319BA24" w:rsidR="00D8632E" w:rsidRPr="00A07F29" w:rsidRDefault="00D8632E" w:rsidP="006F1237">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Ūdens </w:t>
      </w:r>
      <w:proofErr w:type="spellStart"/>
      <w:r w:rsidRPr="00A07F29">
        <w:rPr>
          <w:rFonts w:ascii="Times New Roman" w:eastAsia="Calibri" w:hAnsi="Times New Roman" w:cs="Calibri"/>
          <w:sz w:val="24"/>
        </w:rPr>
        <w:t>Struktūrdirektīvas</w:t>
      </w:r>
      <w:proofErr w:type="spellEnd"/>
      <w:r w:rsidRPr="00A07F29">
        <w:rPr>
          <w:rFonts w:ascii="Times New Roman" w:eastAsia="Calibri" w:hAnsi="Times New Roman" w:cs="Calibri"/>
          <w:sz w:val="24"/>
        </w:rPr>
        <w:t xml:space="preserve"> prasības ES mērogā papildina vēl vairākas citas direktīvas:</w:t>
      </w:r>
    </w:p>
    <w:p w14:paraId="1E6C7F90" w14:textId="36525EED" w:rsidR="00D8632E" w:rsidRPr="00A07F29" w:rsidRDefault="00D8632E" w:rsidP="00935EDF">
      <w:pPr>
        <w:tabs>
          <w:tab w:val="left" w:pos="1276"/>
        </w:tabs>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w:t>
      </w:r>
      <w:r w:rsidRPr="00A07F29">
        <w:rPr>
          <w:rFonts w:ascii="Times New Roman" w:eastAsia="Calibri" w:hAnsi="Times New Roman" w:cs="Calibri"/>
          <w:sz w:val="24"/>
        </w:rPr>
        <w:tab/>
        <w:t>Direktīva 2006/44/EK par saldūdeņu kvalitāti, ko nepieciešams aizsargāt vai uzlabot nolūkā atbalstīt zivju dzīvi (Saldūdens zivju direktīva);</w:t>
      </w:r>
    </w:p>
    <w:p w14:paraId="436673A1" w14:textId="77777777" w:rsidR="00D8632E" w:rsidRPr="00A07F29" w:rsidRDefault="00D8632E" w:rsidP="00935EDF">
      <w:pPr>
        <w:tabs>
          <w:tab w:val="left" w:pos="1276"/>
        </w:tabs>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lastRenderedPageBreak/>
        <w:t>•</w:t>
      </w:r>
      <w:r w:rsidRPr="00A07F29">
        <w:rPr>
          <w:rFonts w:ascii="Times New Roman" w:eastAsia="Calibri" w:hAnsi="Times New Roman" w:cs="Calibri"/>
          <w:sz w:val="24"/>
        </w:rPr>
        <w:tab/>
        <w:t>Direktīva 91/676/EEK par ūdeņu aizsardzību pret piesārņojumu, ko rada lauksaimnieciskas izcelsmes nitrāti (Nitrātu direktīva);</w:t>
      </w:r>
    </w:p>
    <w:p w14:paraId="4C6EC9CB" w14:textId="77777777" w:rsidR="00D8632E" w:rsidRPr="00A07F29" w:rsidRDefault="00D8632E" w:rsidP="00935EDF">
      <w:pPr>
        <w:tabs>
          <w:tab w:val="left" w:pos="1276"/>
        </w:tabs>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w:t>
      </w:r>
      <w:r w:rsidRPr="00A07F29">
        <w:rPr>
          <w:rFonts w:ascii="Times New Roman" w:eastAsia="Calibri" w:hAnsi="Times New Roman" w:cs="Calibri"/>
          <w:sz w:val="24"/>
        </w:rPr>
        <w:tab/>
        <w:t>Direktīva 75/440/EEK par dzeramā ūdens ieguvei paredzētā virszemes ūdens kvalitāti dalībvalstīs;</w:t>
      </w:r>
    </w:p>
    <w:p w14:paraId="51405693" w14:textId="77777777" w:rsidR="00D8632E" w:rsidRPr="00A07F29" w:rsidRDefault="00D8632E" w:rsidP="00935EDF">
      <w:pPr>
        <w:tabs>
          <w:tab w:val="left" w:pos="1276"/>
        </w:tabs>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w:t>
      </w:r>
      <w:r w:rsidRPr="00A07F29">
        <w:rPr>
          <w:rFonts w:ascii="Times New Roman" w:eastAsia="Calibri" w:hAnsi="Times New Roman" w:cs="Calibri"/>
          <w:sz w:val="24"/>
        </w:rPr>
        <w:tab/>
        <w:t>Direktīva 2008/105/EK par vides kvalitātes standartiem ūdens resursu politikas jomā (EQS direktīva);</w:t>
      </w:r>
    </w:p>
    <w:p w14:paraId="37633C97" w14:textId="5BD8535E" w:rsidR="00174790" w:rsidRPr="00A07F29" w:rsidRDefault="00D8632E" w:rsidP="003A1B1C">
      <w:pPr>
        <w:tabs>
          <w:tab w:val="left" w:pos="1276"/>
        </w:tabs>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w:t>
      </w:r>
      <w:r w:rsidRPr="00A07F29">
        <w:rPr>
          <w:rFonts w:ascii="Times New Roman" w:eastAsia="Calibri" w:hAnsi="Times New Roman" w:cs="Calibri"/>
          <w:sz w:val="24"/>
        </w:rPr>
        <w:tab/>
        <w:t>Direktīva 2006/118/EK par gruntsūdeņu aizsardzību pret piesārņojumu un pasliktināšanos;</w:t>
      </w:r>
    </w:p>
    <w:p w14:paraId="1E02B5F5" w14:textId="2A4373F9" w:rsidR="00D5724B" w:rsidRPr="00A07F29" w:rsidRDefault="00D8632E" w:rsidP="00223958">
      <w:pPr>
        <w:pStyle w:val="ListParagraph"/>
        <w:numPr>
          <w:ilvl w:val="0"/>
          <w:numId w:val="67"/>
        </w:numPr>
        <w:spacing w:line="240" w:lineRule="auto"/>
        <w:ind w:left="0" w:firstLine="851"/>
      </w:pPr>
      <w:r w:rsidRPr="00A07F29">
        <w:t>Direktīva 2013/39/ES, ar ko groza Direktīvu 2000/60/EK un Direktīvu 2008/105/EK attiecībā uz prioritārajām vielām ūdens resursu politikas jomā.</w:t>
      </w:r>
    </w:p>
    <w:p w14:paraId="6F6FBE3F" w14:textId="5362BD24" w:rsidR="00D5724B" w:rsidRPr="00A07F29" w:rsidRDefault="00D8632E" w:rsidP="001F0032">
      <w:pPr>
        <w:spacing w:line="240" w:lineRule="auto"/>
        <w:ind w:firstLine="851"/>
        <w:jc w:val="both"/>
        <w:rPr>
          <w:rFonts w:ascii="Times New Roman" w:eastAsia="Calibri" w:hAnsi="Times New Roman" w:cs="Calibri"/>
          <w:sz w:val="24"/>
        </w:rPr>
      </w:pPr>
      <w:r w:rsidRPr="00A07F29">
        <w:rPr>
          <w:rFonts w:ascii="Times New Roman" w:eastAsia="Calibri" w:hAnsi="Times New Roman" w:cs="Calibri"/>
          <w:b/>
          <w:sz w:val="24"/>
        </w:rPr>
        <w:t xml:space="preserve">Eiropas Parlamenta un Padomes </w:t>
      </w:r>
      <w:r w:rsidR="00D65A29" w:rsidRPr="00A07F29">
        <w:rPr>
          <w:rFonts w:ascii="Times New Roman" w:eastAsia="Calibri" w:hAnsi="Times New Roman" w:cs="Calibri"/>
          <w:b/>
          <w:sz w:val="24"/>
        </w:rPr>
        <w:t>2007. gada 23. oktobra d</w:t>
      </w:r>
      <w:r w:rsidRPr="00A07F29">
        <w:rPr>
          <w:rFonts w:ascii="Times New Roman" w:eastAsia="Calibri" w:hAnsi="Times New Roman" w:cs="Calibri"/>
          <w:b/>
          <w:sz w:val="24"/>
        </w:rPr>
        <w:t>irektīvas 2007/60/EK par plūdu riska novērtējumu un pārvaldību</w:t>
      </w:r>
      <w:r w:rsidR="00AA0773" w:rsidRPr="00A07F29">
        <w:rPr>
          <w:rFonts w:ascii="Times New Roman" w:eastAsia="Calibri" w:hAnsi="Times New Roman" w:cs="Calibri"/>
          <w:b/>
          <w:sz w:val="24"/>
        </w:rPr>
        <w:t xml:space="preserve"> (Plūdu direktīva)</w:t>
      </w:r>
      <w:r w:rsidRPr="00A07F29">
        <w:rPr>
          <w:rFonts w:ascii="Times New Roman" w:eastAsia="Calibri" w:hAnsi="Times New Roman" w:cs="Calibri"/>
          <w:sz w:val="24"/>
        </w:rPr>
        <w:t xml:space="preserve"> mērķis ir izveidot plūdu riska izvērtēšanas un pārvaldības sistēmu, lai mazinātu ar plūdiem saistītu nelabvēlīgu ietekmi uz cilvēku veselību, vidi, kultūras mantojumu un saimniecisko darbību. Arī Plūdu direktīva ir cieši saistīta ar Ūdens </w:t>
      </w:r>
      <w:proofErr w:type="spellStart"/>
      <w:r w:rsidRPr="00A07F29">
        <w:rPr>
          <w:rFonts w:ascii="Times New Roman" w:eastAsia="Calibri" w:hAnsi="Times New Roman" w:cs="Calibri"/>
          <w:sz w:val="24"/>
        </w:rPr>
        <w:t>struktūrdirektīv</w:t>
      </w:r>
      <w:r w:rsidR="005B4003" w:rsidRPr="00A07F29">
        <w:rPr>
          <w:rFonts w:ascii="Times New Roman" w:eastAsia="Calibri" w:hAnsi="Times New Roman" w:cs="Calibri"/>
          <w:sz w:val="24"/>
        </w:rPr>
        <w:t>u</w:t>
      </w:r>
      <w:proofErr w:type="spellEnd"/>
      <w:r w:rsidR="005B4003" w:rsidRPr="00A07F29">
        <w:rPr>
          <w:rFonts w:ascii="Times New Roman" w:eastAsia="Calibri" w:hAnsi="Times New Roman" w:cs="Calibri"/>
          <w:sz w:val="24"/>
        </w:rPr>
        <w:t xml:space="preserve"> </w:t>
      </w:r>
      <w:r w:rsidRPr="00A07F29">
        <w:rPr>
          <w:rFonts w:ascii="Times New Roman" w:eastAsia="Calibri" w:hAnsi="Times New Roman" w:cs="Calibri"/>
          <w:sz w:val="24"/>
        </w:rPr>
        <w:t>un izmanto upju baseinu apgabalu pieeju.</w:t>
      </w:r>
    </w:p>
    <w:p w14:paraId="7C4C2737" w14:textId="7D264E88" w:rsidR="00E5392D" w:rsidRPr="00A07F29" w:rsidRDefault="00E5392D" w:rsidP="009467CE">
      <w:pPr>
        <w:pStyle w:val="Heading1"/>
        <w:pageBreakBefore/>
        <w:spacing w:before="0" w:after="240" w:line="240" w:lineRule="auto"/>
        <w:jc w:val="center"/>
        <w:rPr>
          <w:rFonts w:ascii="Times New Roman" w:eastAsia="Times New Roman" w:hAnsi="Times New Roman" w:cs="Times New Roman"/>
          <w:b w:val="0"/>
          <w:bCs w:val="0"/>
          <w:color w:val="auto"/>
          <w:lang w:eastAsia="ja-JP"/>
        </w:rPr>
      </w:pPr>
      <w:bookmarkStart w:id="15" w:name="_Hlk39655602"/>
      <w:bookmarkStart w:id="16" w:name="_Toc183433975"/>
      <w:bookmarkEnd w:id="15"/>
      <w:r w:rsidRPr="00A07F29">
        <w:rPr>
          <w:rFonts w:ascii="Times New Roman" w:eastAsia="Times New Roman" w:hAnsi="Times New Roman" w:cs="Times New Roman"/>
          <w:color w:val="auto"/>
          <w:lang w:eastAsia="ja-JP"/>
        </w:rPr>
        <w:lastRenderedPageBreak/>
        <w:t>2. FIZISKI ĢEOGRĀFISKAIS RAKSTUROJUMS</w:t>
      </w:r>
      <w:bookmarkEnd w:id="16"/>
    </w:p>
    <w:p w14:paraId="10897609" w14:textId="608BEBE2" w:rsidR="00E5392D" w:rsidRPr="00A07F29" w:rsidRDefault="00E5392D" w:rsidP="009467CE">
      <w:pPr>
        <w:pStyle w:val="Heading2"/>
        <w:spacing w:before="120" w:after="120"/>
        <w:ind w:firstLine="0"/>
        <w:jc w:val="center"/>
        <w:rPr>
          <w:rFonts w:ascii="Times New Roman" w:hAnsi="Times New Roman"/>
          <w:b w:val="0"/>
          <w:iCs w:val="0"/>
        </w:rPr>
      </w:pPr>
      <w:bookmarkStart w:id="17" w:name="_Toc183433976"/>
      <w:r w:rsidRPr="00A07F29">
        <w:rPr>
          <w:rFonts w:ascii="Times New Roman" w:hAnsi="Times New Roman"/>
          <w:i w:val="0"/>
        </w:rPr>
        <w:t>2.1. Klimats</w:t>
      </w:r>
      <w:bookmarkEnd w:id="17"/>
    </w:p>
    <w:p w14:paraId="0481FBAF" w14:textId="399493DE" w:rsidR="00E5392D" w:rsidRPr="00A07F29" w:rsidRDefault="00E5392D" w:rsidP="00935EDF">
      <w:pPr>
        <w:spacing w:after="120" w:line="240" w:lineRule="auto"/>
        <w:ind w:firstLine="851"/>
        <w:jc w:val="both"/>
        <w:rPr>
          <w:rFonts w:ascii="Times New Roman" w:eastAsia="Calibri" w:hAnsi="Times New Roman" w:cs="Calibri"/>
          <w:sz w:val="24"/>
          <w:szCs w:val="24"/>
        </w:rPr>
      </w:pPr>
      <w:r w:rsidRPr="00A07F29">
        <w:rPr>
          <w:rFonts w:ascii="Times New Roman" w:eastAsia="Calibri" w:hAnsi="Times New Roman" w:cs="Calibri"/>
          <w:sz w:val="24"/>
          <w:szCs w:val="24"/>
        </w:rPr>
        <w:t>Saskaņā ar esošo LR klimatisko rajonēšanu (Kalniņa</w:t>
      </w:r>
      <w:r w:rsidR="00F3210D" w:rsidRPr="00A07F29">
        <w:rPr>
          <w:rFonts w:ascii="Times New Roman" w:eastAsia="Calibri" w:hAnsi="Times New Roman" w:cs="Calibri"/>
          <w:sz w:val="24"/>
          <w:szCs w:val="24"/>
        </w:rPr>
        <w:t xml:space="preserve"> A.,</w:t>
      </w:r>
      <w:r w:rsidRPr="00A07F29">
        <w:rPr>
          <w:rFonts w:ascii="Times New Roman" w:eastAsia="Calibri" w:hAnsi="Times New Roman" w:cs="Calibri"/>
          <w:sz w:val="24"/>
          <w:szCs w:val="24"/>
        </w:rPr>
        <w:t xml:space="preserve"> 1995), AAA </w:t>
      </w:r>
      <w:r w:rsidR="006D1C84" w:rsidRPr="00A07F29">
        <w:rPr>
          <w:rFonts w:ascii="Times New Roman" w:eastAsia="Calibri" w:hAnsi="Times New Roman" w:cs="Calibri"/>
          <w:sz w:val="24"/>
          <w:szCs w:val="24"/>
        </w:rPr>
        <w:t>“</w:t>
      </w:r>
      <w:r w:rsidRPr="00A07F29">
        <w:rPr>
          <w:rFonts w:ascii="Times New Roman" w:eastAsia="Calibri" w:hAnsi="Times New Roman" w:cs="Calibri"/>
          <w:sz w:val="24"/>
          <w:szCs w:val="24"/>
        </w:rPr>
        <w:t xml:space="preserve">Augšdaugava” ietilpst Lubāna zemienes un Latgales augstienes klimatiskajā rajonā, Latgales augstienes </w:t>
      </w:r>
      <w:proofErr w:type="spellStart"/>
      <w:r w:rsidRPr="00A07F29">
        <w:rPr>
          <w:rFonts w:ascii="Times New Roman" w:eastAsia="Calibri" w:hAnsi="Times New Roman" w:cs="Calibri"/>
          <w:sz w:val="24"/>
          <w:szCs w:val="24"/>
        </w:rPr>
        <w:t>apakšrajonā</w:t>
      </w:r>
      <w:proofErr w:type="spellEnd"/>
      <w:r w:rsidRPr="00A07F29">
        <w:rPr>
          <w:rFonts w:ascii="Times New Roman" w:eastAsia="Calibri" w:hAnsi="Times New Roman" w:cs="Calibri"/>
          <w:sz w:val="24"/>
          <w:szCs w:val="24"/>
        </w:rPr>
        <w:t xml:space="preserve">. Salīdzinot ar pārējiem, šis ir siltākais Latvijas klimatiskais rajons ar visizteiktākajām kontinentālā klimata iezīmēm. </w:t>
      </w:r>
      <w:r w:rsidR="00746A5E" w:rsidRPr="00A07F29">
        <w:rPr>
          <w:rFonts w:ascii="Times New Roman" w:eastAsia="Calibri" w:hAnsi="Times New Roman" w:cs="Calibri"/>
          <w:sz w:val="24"/>
          <w:szCs w:val="24"/>
        </w:rPr>
        <w:t>T</w:t>
      </w:r>
      <w:r w:rsidRPr="00A07F29">
        <w:rPr>
          <w:rFonts w:ascii="Times New Roman" w:eastAsia="Calibri" w:hAnsi="Times New Roman" w:cs="Calibri"/>
          <w:sz w:val="24"/>
          <w:szCs w:val="24"/>
        </w:rPr>
        <w:t xml:space="preserve">eritorijā, kur lokalizēts </w:t>
      </w:r>
      <w:r w:rsidR="52B6C6CA" w:rsidRPr="00A07F29">
        <w:rPr>
          <w:rFonts w:ascii="Times New Roman" w:eastAsia="Calibri" w:hAnsi="Times New Roman" w:cs="Calibri"/>
          <w:sz w:val="24"/>
          <w:szCs w:val="24"/>
        </w:rPr>
        <w:t>AAA</w:t>
      </w:r>
      <w:r w:rsidR="007F730B" w:rsidRPr="00A07F29">
        <w:rPr>
          <w:rFonts w:ascii="Times New Roman" w:eastAsia="Calibri" w:hAnsi="Times New Roman" w:cs="Calibri"/>
          <w:sz w:val="24"/>
          <w:szCs w:val="24"/>
        </w:rPr>
        <w:t xml:space="preserve"> “Augšdaugava”</w:t>
      </w:r>
      <w:r w:rsidRPr="00A07F29">
        <w:rPr>
          <w:rFonts w:ascii="Times New Roman" w:eastAsia="Calibri" w:hAnsi="Times New Roman" w:cs="Calibri"/>
          <w:sz w:val="24"/>
          <w:szCs w:val="24"/>
        </w:rPr>
        <w:t xml:space="preserve">, Konrāda </w:t>
      </w:r>
      <w:proofErr w:type="spellStart"/>
      <w:r w:rsidRPr="00A07F29">
        <w:rPr>
          <w:rFonts w:ascii="Times New Roman" w:eastAsia="Calibri" w:hAnsi="Times New Roman" w:cs="Calibri"/>
          <w:sz w:val="24"/>
          <w:szCs w:val="24"/>
        </w:rPr>
        <w:t>kontinentalitātes</w:t>
      </w:r>
      <w:proofErr w:type="spellEnd"/>
      <w:r w:rsidRPr="00A07F29">
        <w:rPr>
          <w:rFonts w:ascii="Times New Roman" w:eastAsia="Calibri" w:hAnsi="Times New Roman" w:cs="Calibri"/>
          <w:sz w:val="24"/>
          <w:szCs w:val="24"/>
        </w:rPr>
        <w:t xml:space="preserve"> indekss ir no 30 līdz 31 vienībai, salīdzinājumam – Latvijas </w:t>
      </w:r>
      <w:r w:rsidR="00746A5E" w:rsidRPr="00A07F29">
        <w:rPr>
          <w:rFonts w:ascii="Times New Roman" w:eastAsia="Calibri" w:hAnsi="Times New Roman" w:cs="Calibri"/>
          <w:sz w:val="24"/>
          <w:szCs w:val="24"/>
        </w:rPr>
        <w:t>R</w:t>
      </w:r>
      <w:r w:rsidRPr="00A07F29">
        <w:rPr>
          <w:rFonts w:ascii="Times New Roman" w:eastAsia="Calibri" w:hAnsi="Times New Roman" w:cs="Calibri"/>
          <w:sz w:val="24"/>
          <w:szCs w:val="24"/>
        </w:rPr>
        <w:t xml:space="preserve"> daļā Konrāda </w:t>
      </w:r>
      <w:proofErr w:type="spellStart"/>
      <w:r w:rsidRPr="00A07F29">
        <w:rPr>
          <w:rFonts w:ascii="Times New Roman" w:eastAsia="Calibri" w:hAnsi="Times New Roman" w:cs="Calibri"/>
          <w:sz w:val="24"/>
          <w:szCs w:val="24"/>
        </w:rPr>
        <w:t>kontinentalitātes</w:t>
      </w:r>
      <w:proofErr w:type="spellEnd"/>
      <w:r w:rsidRPr="00A07F29">
        <w:rPr>
          <w:rFonts w:ascii="Times New Roman" w:eastAsia="Calibri" w:hAnsi="Times New Roman" w:cs="Calibri"/>
          <w:sz w:val="24"/>
          <w:szCs w:val="24"/>
        </w:rPr>
        <w:t xml:space="preserve"> indekss ir 22 </w:t>
      </w:r>
      <w:r w:rsidR="00BF5BD3" w:rsidRPr="00A07F29">
        <w:rPr>
          <w:rFonts w:ascii="Times New Roman" w:eastAsia="Calibri" w:hAnsi="Times New Roman" w:cs="Calibri"/>
          <w:sz w:val="24"/>
          <w:szCs w:val="24"/>
        </w:rPr>
        <w:t>–</w:t>
      </w:r>
      <w:r w:rsidRPr="00A07F29">
        <w:rPr>
          <w:rFonts w:ascii="Times New Roman" w:eastAsia="Calibri" w:hAnsi="Times New Roman" w:cs="Calibri"/>
          <w:sz w:val="24"/>
          <w:szCs w:val="24"/>
        </w:rPr>
        <w:t xml:space="preserve"> 25 (</w:t>
      </w:r>
      <w:proofErr w:type="spellStart"/>
      <w:r w:rsidRPr="00A07F29">
        <w:rPr>
          <w:rFonts w:ascii="Times New Roman" w:eastAsia="Calibri" w:hAnsi="Times New Roman" w:cs="Calibri"/>
          <w:sz w:val="24"/>
          <w:szCs w:val="24"/>
        </w:rPr>
        <w:t>Draveniece</w:t>
      </w:r>
      <w:proofErr w:type="spellEnd"/>
      <w:r w:rsidR="00367EFC" w:rsidRPr="00A07F29">
        <w:rPr>
          <w:rFonts w:ascii="Times New Roman" w:eastAsia="Calibri" w:hAnsi="Times New Roman" w:cs="Calibri"/>
          <w:sz w:val="24"/>
          <w:szCs w:val="24"/>
        </w:rPr>
        <w:t xml:space="preserve"> A.,</w:t>
      </w:r>
      <w:r w:rsidRPr="00A07F29">
        <w:rPr>
          <w:rFonts w:ascii="Times New Roman" w:eastAsia="Calibri" w:hAnsi="Times New Roman" w:cs="Calibri"/>
          <w:sz w:val="24"/>
          <w:szCs w:val="24"/>
        </w:rPr>
        <w:t xml:space="preserve"> 2006). Tieši šim klimatiskajam rajonam raksturīgā nokrišņu un temperatūras gada gaita nosaka klimata iezīmes arī AAA </w:t>
      </w:r>
      <w:r w:rsidR="00BF5BD3" w:rsidRPr="00A07F29">
        <w:rPr>
          <w:rFonts w:ascii="Times New Roman" w:eastAsia="Calibri" w:hAnsi="Times New Roman" w:cs="Calibri"/>
          <w:sz w:val="24"/>
          <w:szCs w:val="24"/>
        </w:rPr>
        <w:t>“</w:t>
      </w:r>
      <w:r w:rsidR="005A5430" w:rsidRPr="00A07F29">
        <w:rPr>
          <w:rFonts w:ascii="Times New Roman" w:eastAsia="Calibri" w:hAnsi="Times New Roman" w:cs="Calibri"/>
          <w:sz w:val="24"/>
          <w:szCs w:val="24"/>
        </w:rPr>
        <w:t xml:space="preserve">Augšdaugava” </w:t>
      </w:r>
      <w:r w:rsidRPr="00A07F29">
        <w:rPr>
          <w:rFonts w:ascii="Times New Roman" w:eastAsia="Calibri" w:hAnsi="Times New Roman" w:cs="Calibri"/>
          <w:sz w:val="24"/>
          <w:szCs w:val="24"/>
        </w:rPr>
        <w:t>teritorijā.</w:t>
      </w:r>
    </w:p>
    <w:p w14:paraId="09A115D6" w14:textId="600C27C2" w:rsidR="00E5392D" w:rsidRPr="00A07F29" w:rsidRDefault="00E5392D" w:rsidP="00935EDF">
      <w:pPr>
        <w:spacing w:after="120" w:line="240" w:lineRule="auto"/>
        <w:ind w:firstLine="851"/>
        <w:jc w:val="both"/>
        <w:rPr>
          <w:rFonts w:ascii="Times New Roman" w:eastAsia="Calibri" w:hAnsi="Times New Roman" w:cs="Calibri"/>
          <w:sz w:val="24"/>
          <w:szCs w:val="24"/>
        </w:rPr>
      </w:pPr>
      <w:r w:rsidRPr="00A07F29">
        <w:rPr>
          <w:rFonts w:ascii="Times New Roman" w:eastAsia="Calibri" w:hAnsi="Times New Roman" w:cs="Calibri"/>
          <w:sz w:val="24"/>
          <w:szCs w:val="24"/>
        </w:rPr>
        <w:t>Aizsargājamās teritorijas ainavā klimatisko elementu lokālo mainību nosaka galvenokārt reljefa apstākļi un mežainums</w:t>
      </w:r>
      <w:r w:rsidR="005A5430" w:rsidRPr="00A07F29">
        <w:rPr>
          <w:rFonts w:ascii="Times New Roman" w:eastAsia="Calibri" w:hAnsi="Times New Roman" w:cs="Calibri"/>
          <w:sz w:val="24"/>
          <w:szCs w:val="24"/>
        </w:rPr>
        <w:t xml:space="preserve"> – </w:t>
      </w:r>
      <w:r w:rsidRPr="00A07F29">
        <w:rPr>
          <w:rFonts w:ascii="Times New Roman" w:eastAsia="Calibri" w:hAnsi="Times New Roman" w:cs="Calibri"/>
          <w:sz w:val="24"/>
          <w:szCs w:val="24"/>
        </w:rPr>
        <w:t xml:space="preserve">mainoties vietējiem apstākļiem, ko nosaka reljefa </w:t>
      </w:r>
      <w:proofErr w:type="spellStart"/>
      <w:r w:rsidRPr="00A07F29">
        <w:rPr>
          <w:rFonts w:ascii="Times New Roman" w:eastAsia="Calibri" w:hAnsi="Times New Roman" w:cs="Calibri"/>
          <w:sz w:val="24"/>
          <w:szCs w:val="24"/>
        </w:rPr>
        <w:t>saposmojums</w:t>
      </w:r>
      <w:proofErr w:type="spellEnd"/>
      <w:r w:rsidRPr="00A07F29">
        <w:rPr>
          <w:rFonts w:ascii="Times New Roman" w:eastAsia="Calibri" w:hAnsi="Times New Roman" w:cs="Calibri"/>
          <w:sz w:val="24"/>
          <w:szCs w:val="24"/>
        </w:rPr>
        <w:t xml:space="preserve">, ar meža veģetāciju klātās teritorijas īpatsvars, ūdens objektu klātbūtne </w:t>
      </w:r>
      <w:r w:rsidRPr="00545A92">
        <w:rPr>
          <w:rFonts w:ascii="Times New Roman" w:eastAsia="Calibri" w:hAnsi="Times New Roman" w:cs="Calibri"/>
          <w:sz w:val="24"/>
          <w:szCs w:val="24"/>
        </w:rPr>
        <w:t>u</w:t>
      </w:r>
      <w:r w:rsidR="36213276" w:rsidRPr="00545A92">
        <w:rPr>
          <w:rFonts w:ascii="Times New Roman" w:eastAsia="Calibri" w:hAnsi="Times New Roman" w:cs="Calibri"/>
          <w:sz w:val="24"/>
          <w:szCs w:val="24"/>
        </w:rPr>
        <w:t>.</w:t>
      </w:r>
      <w:r w:rsidRPr="00545A92">
        <w:rPr>
          <w:rFonts w:ascii="Times New Roman" w:eastAsia="Calibri" w:hAnsi="Times New Roman" w:cs="Calibri"/>
          <w:sz w:val="24"/>
          <w:szCs w:val="24"/>
        </w:rPr>
        <w:t>tml.,</w:t>
      </w:r>
      <w:r w:rsidRPr="00A07F29">
        <w:rPr>
          <w:rFonts w:ascii="Times New Roman" w:eastAsia="Calibri" w:hAnsi="Times New Roman" w:cs="Calibri"/>
          <w:sz w:val="24"/>
          <w:szCs w:val="24"/>
        </w:rPr>
        <w:t xml:space="preserve"> mainās arī attiecīgās teritorijas klimatiskie apstākļi. Šādā kontekstā </w:t>
      </w:r>
      <w:r w:rsidR="00BF0E06" w:rsidRPr="00A07F29">
        <w:rPr>
          <w:rFonts w:ascii="Times New Roman" w:eastAsia="Calibri" w:hAnsi="Times New Roman" w:cs="Calibri"/>
          <w:sz w:val="24"/>
          <w:szCs w:val="24"/>
        </w:rPr>
        <w:t>AAA</w:t>
      </w:r>
      <w:r w:rsidRPr="00A07F29">
        <w:rPr>
          <w:rFonts w:ascii="Times New Roman" w:eastAsia="Calibri" w:hAnsi="Times New Roman" w:cs="Calibri"/>
          <w:sz w:val="24"/>
          <w:szCs w:val="24"/>
        </w:rPr>
        <w:t xml:space="preserve"> </w:t>
      </w:r>
      <w:r w:rsidR="00353FE3" w:rsidRPr="00A07F29">
        <w:rPr>
          <w:rFonts w:ascii="Times New Roman" w:eastAsia="Calibri" w:hAnsi="Times New Roman" w:cs="Calibri"/>
          <w:sz w:val="24"/>
          <w:szCs w:val="24"/>
        </w:rPr>
        <w:t>“</w:t>
      </w:r>
      <w:r w:rsidRPr="00A07F29">
        <w:rPr>
          <w:rFonts w:ascii="Times New Roman" w:eastAsia="Calibri" w:hAnsi="Times New Roman" w:cs="Calibri"/>
          <w:sz w:val="24"/>
          <w:szCs w:val="24"/>
        </w:rPr>
        <w:t xml:space="preserve">Augšdaugava” var nosacīti izdalīt trīs klimatisko apstākļu ziņā nedaudz atšķirīgus </w:t>
      </w:r>
      <w:proofErr w:type="spellStart"/>
      <w:r w:rsidRPr="00A07F29">
        <w:rPr>
          <w:rFonts w:ascii="Times New Roman" w:eastAsia="Calibri" w:hAnsi="Times New Roman" w:cs="Calibri"/>
          <w:sz w:val="24"/>
          <w:szCs w:val="24"/>
        </w:rPr>
        <w:t>apakšapgabalus</w:t>
      </w:r>
      <w:proofErr w:type="spellEnd"/>
      <w:r w:rsidRPr="00A07F29">
        <w:rPr>
          <w:rFonts w:ascii="Times New Roman" w:eastAsia="Calibri" w:hAnsi="Times New Roman" w:cs="Calibri"/>
          <w:sz w:val="24"/>
          <w:szCs w:val="24"/>
        </w:rPr>
        <w:t xml:space="preserve">: </w:t>
      </w:r>
    </w:p>
    <w:p w14:paraId="03CF5B22" w14:textId="77777777" w:rsidR="00E5392D" w:rsidRPr="00A07F29" w:rsidRDefault="00E5392D" w:rsidP="00935EDF">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(I)</w:t>
      </w:r>
      <w:r w:rsidRPr="00A07F29">
        <w:rPr>
          <w:rFonts w:ascii="Times New Roman" w:eastAsia="Calibri" w:hAnsi="Times New Roman" w:cs="Calibri"/>
          <w:sz w:val="24"/>
        </w:rPr>
        <w:tab/>
        <w:t xml:space="preserve">Daugavas </w:t>
      </w:r>
      <w:proofErr w:type="spellStart"/>
      <w:r w:rsidRPr="00A07F29">
        <w:rPr>
          <w:rFonts w:ascii="Times New Roman" w:eastAsia="Calibri" w:hAnsi="Times New Roman" w:cs="Calibri"/>
          <w:sz w:val="24"/>
        </w:rPr>
        <w:t>senieleja</w:t>
      </w:r>
      <w:proofErr w:type="spellEnd"/>
      <w:r w:rsidRPr="00A07F29">
        <w:rPr>
          <w:rFonts w:ascii="Times New Roman" w:eastAsia="Calibri" w:hAnsi="Times New Roman" w:cs="Calibri"/>
          <w:sz w:val="24"/>
        </w:rPr>
        <w:t xml:space="preserve"> posmā no Krāslavas līdz Kraujas ciematam, kur dziļā upes ieleja, liels mežu īpatsvars un Daugavas kā liela ūdens objekta klātbūtne nosaka to, ka klimata kontrastainība nav izteikta;</w:t>
      </w:r>
    </w:p>
    <w:p w14:paraId="44E7D728" w14:textId="1B7A1A96" w:rsidR="00E5392D" w:rsidRPr="00A07F29" w:rsidRDefault="00E5392D" w:rsidP="00935EDF">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(II)</w:t>
      </w:r>
      <w:r w:rsidRPr="00A07F29">
        <w:rPr>
          <w:rFonts w:ascii="Times New Roman" w:eastAsia="Calibri" w:hAnsi="Times New Roman" w:cs="Calibri"/>
          <w:sz w:val="24"/>
        </w:rPr>
        <w:tab/>
        <w:t xml:space="preserve">Augšdaugavas pazeminājuma </w:t>
      </w:r>
      <w:r w:rsidR="000B626C">
        <w:rPr>
          <w:rFonts w:ascii="Times New Roman" w:eastAsia="Calibri" w:hAnsi="Times New Roman" w:cs="Calibri"/>
          <w:sz w:val="24"/>
        </w:rPr>
        <w:t>A</w:t>
      </w:r>
      <w:r w:rsidRPr="00A07F29">
        <w:rPr>
          <w:rFonts w:ascii="Times New Roman" w:eastAsia="Calibri" w:hAnsi="Times New Roman" w:cs="Calibri"/>
          <w:sz w:val="24"/>
        </w:rPr>
        <w:t xml:space="preserve"> daļa, kur </w:t>
      </w:r>
      <w:proofErr w:type="spellStart"/>
      <w:r w:rsidRPr="00A07F29">
        <w:rPr>
          <w:rFonts w:ascii="Times New Roman" w:eastAsia="Calibri" w:hAnsi="Times New Roman" w:cs="Calibri"/>
          <w:sz w:val="24"/>
        </w:rPr>
        <w:t>ainavvides</w:t>
      </w:r>
      <w:proofErr w:type="spellEnd"/>
      <w:r w:rsidRPr="00A07F29">
        <w:rPr>
          <w:rFonts w:ascii="Times New Roman" w:eastAsia="Calibri" w:hAnsi="Times New Roman" w:cs="Calibri"/>
          <w:sz w:val="24"/>
        </w:rPr>
        <w:t xml:space="preserve"> iezīmes nosaka </w:t>
      </w:r>
      <w:proofErr w:type="spellStart"/>
      <w:r w:rsidRPr="00A07F29">
        <w:rPr>
          <w:rFonts w:ascii="Times New Roman" w:eastAsia="Calibri" w:hAnsi="Times New Roman" w:cs="Calibri"/>
          <w:sz w:val="24"/>
        </w:rPr>
        <w:t>Polockas</w:t>
      </w:r>
      <w:proofErr w:type="spellEnd"/>
      <w:r w:rsidRPr="00A07F29">
        <w:rPr>
          <w:rFonts w:ascii="Times New Roman" w:eastAsia="Calibri" w:hAnsi="Times New Roman" w:cs="Calibri"/>
          <w:sz w:val="24"/>
        </w:rPr>
        <w:t xml:space="preserve"> līdzenuma izlīdzinātā vai lēzeni viļņotā virsma un mazāks mežu īpatsvars, kā rezultātā klimata kontrastainība ir maz izteikta;</w:t>
      </w:r>
    </w:p>
    <w:p w14:paraId="0D35EF07" w14:textId="528BB37D" w:rsidR="00E5392D" w:rsidRPr="00A07F29" w:rsidRDefault="00E5392D" w:rsidP="00935EDF">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(III)</w:t>
      </w:r>
      <w:r w:rsidRPr="00A07F29">
        <w:rPr>
          <w:rFonts w:ascii="Times New Roman" w:eastAsia="Calibri" w:hAnsi="Times New Roman" w:cs="Calibri"/>
          <w:sz w:val="24"/>
        </w:rPr>
        <w:tab/>
        <w:t xml:space="preserve">AAA </w:t>
      </w:r>
      <w:r w:rsidR="008B0D98" w:rsidRPr="00A07F29">
        <w:rPr>
          <w:rFonts w:ascii="Times New Roman" w:eastAsia="Calibri" w:hAnsi="Times New Roman" w:cs="Calibri"/>
          <w:sz w:val="24"/>
        </w:rPr>
        <w:t>“</w:t>
      </w:r>
      <w:r w:rsidR="00746A5E" w:rsidRPr="00A07F29">
        <w:rPr>
          <w:rFonts w:ascii="Times New Roman" w:eastAsia="Calibri" w:hAnsi="Times New Roman" w:cs="Calibri"/>
          <w:sz w:val="24"/>
        </w:rPr>
        <w:t xml:space="preserve">Augšdaugava” </w:t>
      </w:r>
      <w:r w:rsidRPr="00A07F29">
        <w:rPr>
          <w:rFonts w:ascii="Times New Roman" w:eastAsia="Calibri" w:hAnsi="Times New Roman" w:cs="Calibri"/>
          <w:sz w:val="24"/>
        </w:rPr>
        <w:t xml:space="preserve">teritorijā ietilpstošās Latgales augstienes un Augšzemes augstienes daļas, kurās ir stipri </w:t>
      </w:r>
      <w:proofErr w:type="spellStart"/>
      <w:r w:rsidRPr="00A07F29">
        <w:rPr>
          <w:rFonts w:ascii="Times New Roman" w:eastAsia="Calibri" w:hAnsi="Times New Roman" w:cs="Calibri"/>
          <w:sz w:val="24"/>
        </w:rPr>
        <w:t>saposmots</w:t>
      </w:r>
      <w:proofErr w:type="spellEnd"/>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sz w:val="24"/>
        </w:rPr>
        <w:t>paugurainēm</w:t>
      </w:r>
      <w:proofErr w:type="spellEnd"/>
      <w:r w:rsidRPr="00A07F29">
        <w:rPr>
          <w:rFonts w:ascii="Times New Roman" w:eastAsia="Calibri" w:hAnsi="Times New Roman" w:cs="Calibri"/>
          <w:sz w:val="24"/>
        </w:rPr>
        <w:t xml:space="preserve"> raksturīgs reljefs un lielas bezmeža platības, tādejādi te klimata kontrastainība ir vidēji izteikta.</w:t>
      </w:r>
    </w:p>
    <w:p w14:paraId="691F9CAF" w14:textId="78AA2CA1" w:rsidR="00E5392D" w:rsidRPr="00A07F29" w:rsidRDefault="00E5392D" w:rsidP="00935EDF">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AAA </w:t>
      </w:r>
      <w:r w:rsidR="008B0D98" w:rsidRPr="00A07F29">
        <w:rPr>
          <w:rFonts w:ascii="Times New Roman" w:eastAsia="Calibri" w:hAnsi="Times New Roman" w:cs="Calibri"/>
          <w:sz w:val="24"/>
        </w:rPr>
        <w:t>“</w:t>
      </w:r>
      <w:r w:rsidRPr="00A07F29">
        <w:rPr>
          <w:rFonts w:ascii="Times New Roman" w:eastAsia="Calibri" w:hAnsi="Times New Roman" w:cs="Calibri"/>
          <w:sz w:val="24"/>
        </w:rPr>
        <w:t>Augšdaugava” teritorijā, tāpat kā visā Latvijā un Latgales augstienes klimatiskajā rajonā galvenais klimatu veidojošais faktors ir summārā saules radiācija. No saules saņemtā siltuma daudzuma un atmosfēras masu cirkulācijas ietekmē veidojas AAA</w:t>
      </w:r>
      <w:r w:rsidR="005A5430" w:rsidRPr="00A07F29">
        <w:rPr>
          <w:rFonts w:ascii="Times New Roman" w:eastAsia="Calibri" w:hAnsi="Times New Roman" w:cs="Calibri"/>
          <w:sz w:val="24"/>
        </w:rPr>
        <w:t xml:space="preserve"> </w:t>
      </w:r>
      <w:r w:rsidR="00F01FC3" w:rsidRPr="00A07F29">
        <w:rPr>
          <w:rFonts w:ascii="Times New Roman" w:eastAsia="Calibri" w:hAnsi="Times New Roman" w:cs="Calibri"/>
          <w:sz w:val="24"/>
        </w:rPr>
        <w:t>“</w:t>
      </w:r>
      <w:r w:rsidR="005A5430" w:rsidRPr="00A07F29">
        <w:rPr>
          <w:rFonts w:ascii="Times New Roman" w:eastAsia="Calibri" w:hAnsi="Times New Roman" w:cs="Calibri"/>
          <w:sz w:val="24"/>
        </w:rPr>
        <w:t xml:space="preserve">Augšdaugava” </w:t>
      </w:r>
      <w:r w:rsidRPr="00A07F29">
        <w:rPr>
          <w:rFonts w:ascii="Times New Roman" w:eastAsia="Calibri" w:hAnsi="Times New Roman" w:cs="Calibri"/>
          <w:sz w:val="24"/>
        </w:rPr>
        <w:t>termiskais režīms. Tam ir raksturīga relatīvi neliela temperatūru amplitūda gada laikā, turklāt ziemā gaisa temperatūra ir nedaudz augstāka, bet vasarā zemāka par ģeogrāfiskā platuma un summārās saules radiācijas noteikto klimatisko normu. Novirzes izskaidrojamas ar atmosfēras masu cirkulācijas ietekmi un gaisa masu rietumu pārnesi no Atlantijas okeāna.</w:t>
      </w:r>
    </w:p>
    <w:p w14:paraId="7CCAC7CD" w14:textId="71778E71" w:rsidR="00E5392D" w:rsidRPr="00A07F29" w:rsidRDefault="00E5392D" w:rsidP="00935EDF">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Balstoties uz AAA</w:t>
      </w:r>
      <w:r w:rsidR="00746A5E" w:rsidRPr="00A07F29">
        <w:rPr>
          <w:rFonts w:ascii="Times New Roman" w:eastAsia="Calibri" w:hAnsi="Times New Roman" w:cs="Calibri"/>
          <w:sz w:val="24"/>
        </w:rPr>
        <w:t xml:space="preserve"> </w:t>
      </w:r>
      <w:r w:rsidR="00F01FC3" w:rsidRPr="00A07F29">
        <w:rPr>
          <w:rFonts w:ascii="Times New Roman" w:eastAsia="Calibri" w:hAnsi="Times New Roman" w:cs="Calibri"/>
          <w:sz w:val="24"/>
        </w:rPr>
        <w:t>“</w:t>
      </w:r>
      <w:r w:rsidR="00746A5E" w:rsidRPr="00A07F29">
        <w:rPr>
          <w:rFonts w:ascii="Times New Roman" w:eastAsia="Calibri" w:hAnsi="Times New Roman" w:cs="Calibri"/>
          <w:sz w:val="24"/>
        </w:rPr>
        <w:t xml:space="preserve">Augšdaugava” </w:t>
      </w:r>
      <w:r w:rsidRPr="00A07F29">
        <w:rPr>
          <w:rFonts w:ascii="Times New Roman" w:eastAsia="Calibri" w:hAnsi="Times New Roman" w:cs="Calibri"/>
          <w:sz w:val="24"/>
        </w:rPr>
        <w:t xml:space="preserve">teritorijā vai tās tiešā tuvumā veikto meteoroloģisko ilggadīgo novērojumu datiem (LVĢMC: meteoroloģiskās stacijas </w:t>
      </w:r>
      <w:r w:rsidR="0031219E" w:rsidRPr="00A07F29">
        <w:rPr>
          <w:rFonts w:ascii="Times New Roman" w:eastAsia="Calibri" w:hAnsi="Times New Roman" w:cs="Calibri"/>
          <w:sz w:val="24"/>
        </w:rPr>
        <w:t>“</w:t>
      </w:r>
      <w:r w:rsidRPr="00A07F29">
        <w:rPr>
          <w:rFonts w:ascii="Times New Roman" w:eastAsia="Calibri" w:hAnsi="Times New Roman" w:cs="Calibri"/>
          <w:sz w:val="24"/>
        </w:rPr>
        <w:t xml:space="preserve">Daugavpils” un </w:t>
      </w:r>
      <w:r w:rsidR="0031219E" w:rsidRPr="00A07F29">
        <w:rPr>
          <w:rFonts w:ascii="Times New Roman" w:eastAsia="Calibri" w:hAnsi="Times New Roman" w:cs="Calibri"/>
          <w:sz w:val="24"/>
        </w:rPr>
        <w:t>“</w:t>
      </w:r>
      <w:r w:rsidRPr="00A07F29">
        <w:rPr>
          <w:rFonts w:ascii="Times New Roman" w:eastAsia="Calibri" w:hAnsi="Times New Roman" w:cs="Calibri"/>
          <w:sz w:val="24"/>
        </w:rPr>
        <w:t>Piedruja”), var secināt, ka teritorijā daudzgadīgā vidējā gaisa temperatūra janvārī ir apm. –7°C, bet jūlijā apm. +17°C. Gada vidējā gaisa temperatūra ir +5,3°C, bet vidējo temperatūru amplitūda ir 25°C. Tāpat kā citur Latvijā, globālo klimata izmaiņu ietekmē šai amplitūdai ir tendence samazināties, paaugstinoties vidējai gaisa temperatūrai ziemas mēnešos.</w:t>
      </w:r>
    </w:p>
    <w:p w14:paraId="0A6008B3" w14:textId="2E224056" w:rsidR="00E5392D" w:rsidRPr="00A07F29" w:rsidRDefault="00E5392D" w:rsidP="00935EDF">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Iepriekš minētais teritorijas termiskais režīms nosaka </w:t>
      </w:r>
      <w:proofErr w:type="spellStart"/>
      <w:r w:rsidRPr="00A07F29">
        <w:rPr>
          <w:rFonts w:ascii="Times New Roman" w:eastAsia="Calibri" w:hAnsi="Times New Roman" w:cs="Calibri"/>
          <w:sz w:val="24"/>
        </w:rPr>
        <w:t>bezsala</w:t>
      </w:r>
      <w:proofErr w:type="spellEnd"/>
      <w:r w:rsidRPr="00A07F29">
        <w:rPr>
          <w:rFonts w:ascii="Times New Roman" w:eastAsia="Calibri" w:hAnsi="Times New Roman" w:cs="Calibri"/>
          <w:sz w:val="24"/>
        </w:rPr>
        <w:t xml:space="preserve"> perioda un veģetācijas perioda ilgumu ainavu apvidū. Saskaņā ar daudzgadīgajiem diennakts vidējās gaisa temperatūras novērojumiem </w:t>
      </w:r>
      <w:proofErr w:type="spellStart"/>
      <w:r w:rsidRPr="00A07F29">
        <w:rPr>
          <w:rFonts w:ascii="Times New Roman" w:eastAsia="Calibri" w:hAnsi="Times New Roman" w:cs="Calibri"/>
          <w:sz w:val="24"/>
        </w:rPr>
        <w:t>bezsala</w:t>
      </w:r>
      <w:proofErr w:type="spellEnd"/>
      <w:r w:rsidRPr="00A07F29">
        <w:rPr>
          <w:rFonts w:ascii="Times New Roman" w:eastAsia="Calibri" w:hAnsi="Times New Roman" w:cs="Calibri"/>
          <w:sz w:val="24"/>
        </w:rPr>
        <w:t xml:space="preserve"> periods (diennakts vidējā gaisa temperatūra augstāka par 0°C) ilgst 231 līdz 236 dienas. Veģetācijas periods (diennakts vidējā gaisa temperatūra augstāka par +5°C) ilgst 183 līdz 187 dienas un vidēji ir par 1 </w:t>
      </w:r>
      <w:r w:rsidR="0072285F" w:rsidRPr="00A07F29">
        <w:rPr>
          <w:rFonts w:ascii="Times New Roman" w:eastAsia="Calibri" w:hAnsi="Times New Roman" w:cs="Calibri"/>
          <w:sz w:val="24"/>
        </w:rPr>
        <w:t>–</w:t>
      </w:r>
      <w:r w:rsidRPr="00A07F29">
        <w:rPr>
          <w:rFonts w:ascii="Times New Roman" w:eastAsia="Calibri" w:hAnsi="Times New Roman" w:cs="Calibri"/>
          <w:sz w:val="24"/>
        </w:rPr>
        <w:t xml:space="preserve"> 1,5 nedēļas garāks nekā Latgales augstienē. Kopumā aktīvo temperatūru summa ainavu apvidus teritorijā ir līdz 2100°C (Āboltiņš</w:t>
      </w:r>
      <w:r w:rsidR="00A23CCA" w:rsidRPr="00A07F29">
        <w:rPr>
          <w:rFonts w:ascii="Times New Roman" w:eastAsia="Calibri" w:hAnsi="Times New Roman" w:cs="Calibri"/>
          <w:sz w:val="24"/>
        </w:rPr>
        <w:t xml:space="preserve"> O.,</w:t>
      </w:r>
      <w:r w:rsidRPr="00A07F29">
        <w:rPr>
          <w:rFonts w:ascii="Times New Roman" w:eastAsia="Calibri" w:hAnsi="Times New Roman" w:cs="Calibri"/>
          <w:sz w:val="24"/>
        </w:rPr>
        <w:t xml:space="preserve"> 1994).</w:t>
      </w:r>
    </w:p>
    <w:p w14:paraId="213A6D02" w14:textId="53BB21ED" w:rsidR="00E5392D" w:rsidRPr="00A07F29" w:rsidRDefault="00E5392D" w:rsidP="00935EDF">
      <w:pPr>
        <w:spacing w:after="120" w:line="240" w:lineRule="auto"/>
        <w:ind w:firstLine="851"/>
        <w:jc w:val="both"/>
        <w:rPr>
          <w:rFonts w:ascii="Times New Roman" w:eastAsia="Calibri" w:hAnsi="Times New Roman" w:cs="Calibri"/>
          <w:sz w:val="24"/>
          <w:szCs w:val="24"/>
        </w:rPr>
      </w:pPr>
      <w:r w:rsidRPr="00A07F29">
        <w:rPr>
          <w:rFonts w:ascii="Times New Roman" w:eastAsia="Calibri" w:hAnsi="Times New Roman" w:cs="Calibri"/>
          <w:sz w:val="24"/>
          <w:szCs w:val="24"/>
        </w:rPr>
        <w:t xml:space="preserve">Tā kā aplūkojamajā teritorijā dominē atlantisko gaisa masu </w:t>
      </w:r>
      <w:proofErr w:type="spellStart"/>
      <w:r w:rsidRPr="00A07F29">
        <w:rPr>
          <w:rFonts w:ascii="Times New Roman" w:eastAsia="Calibri" w:hAnsi="Times New Roman" w:cs="Calibri"/>
          <w:sz w:val="24"/>
          <w:szCs w:val="24"/>
        </w:rPr>
        <w:t>pārnese</w:t>
      </w:r>
      <w:proofErr w:type="spellEnd"/>
      <w:r w:rsidRPr="00A07F29">
        <w:rPr>
          <w:rFonts w:ascii="Times New Roman" w:eastAsia="Calibri" w:hAnsi="Times New Roman" w:cs="Calibri"/>
          <w:sz w:val="24"/>
          <w:szCs w:val="24"/>
        </w:rPr>
        <w:t xml:space="preserve"> no </w:t>
      </w:r>
      <w:r w:rsidR="3782F5EC" w:rsidRPr="00A07F29">
        <w:rPr>
          <w:rFonts w:ascii="Times New Roman" w:eastAsia="Calibri" w:hAnsi="Times New Roman" w:cs="Calibri"/>
          <w:sz w:val="24"/>
          <w:szCs w:val="24"/>
        </w:rPr>
        <w:t>R</w:t>
      </w:r>
      <w:r w:rsidRPr="00A07F29">
        <w:rPr>
          <w:rFonts w:ascii="Times New Roman" w:eastAsia="Calibri" w:hAnsi="Times New Roman" w:cs="Calibri"/>
          <w:sz w:val="24"/>
          <w:szCs w:val="24"/>
        </w:rPr>
        <w:t xml:space="preserve">, tad klimatu raksturo liels gaisa mitrums, liela </w:t>
      </w:r>
      <w:proofErr w:type="spellStart"/>
      <w:r w:rsidRPr="00A07F29">
        <w:rPr>
          <w:rFonts w:ascii="Times New Roman" w:eastAsia="Calibri" w:hAnsi="Times New Roman" w:cs="Calibri"/>
          <w:sz w:val="24"/>
          <w:szCs w:val="24"/>
        </w:rPr>
        <w:t>mākoņainība</w:t>
      </w:r>
      <w:proofErr w:type="spellEnd"/>
      <w:r w:rsidRPr="00A07F29">
        <w:rPr>
          <w:rFonts w:ascii="Times New Roman" w:eastAsia="Calibri" w:hAnsi="Times New Roman" w:cs="Calibri"/>
          <w:sz w:val="24"/>
          <w:szCs w:val="24"/>
        </w:rPr>
        <w:t xml:space="preserve"> un samērā daudz nokrišņu – vidēji līdz </w:t>
      </w:r>
      <w:r w:rsidRPr="00A07F29">
        <w:rPr>
          <w:rFonts w:ascii="Times New Roman" w:eastAsia="Calibri" w:hAnsi="Times New Roman" w:cs="Calibri"/>
          <w:sz w:val="24"/>
          <w:szCs w:val="24"/>
        </w:rPr>
        <w:lastRenderedPageBreak/>
        <w:t>720</w:t>
      </w:r>
      <w:r w:rsidR="00961EC6" w:rsidRPr="00A07F29">
        <w:rPr>
          <w:rFonts w:ascii="Times New Roman" w:eastAsia="Calibri" w:hAnsi="Times New Roman" w:cs="Calibri"/>
          <w:sz w:val="24"/>
          <w:szCs w:val="24"/>
        </w:rPr>
        <w:t> </w:t>
      </w:r>
      <w:r w:rsidRPr="00A07F29">
        <w:rPr>
          <w:rFonts w:ascii="Times New Roman" w:eastAsia="Calibri" w:hAnsi="Times New Roman" w:cs="Calibri"/>
          <w:sz w:val="24"/>
          <w:szCs w:val="24"/>
        </w:rPr>
        <w:t>–</w:t>
      </w:r>
      <w:r w:rsidR="00961EC6" w:rsidRPr="00A07F29">
        <w:rPr>
          <w:rFonts w:ascii="Times New Roman" w:eastAsia="Calibri" w:hAnsi="Times New Roman" w:cs="Calibri"/>
          <w:sz w:val="24"/>
          <w:szCs w:val="24"/>
        </w:rPr>
        <w:t> </w:t>
      </w:r>
      <w:r w:rsidRPr="00A07F29">
        <w:rPr>
          <w:rFonts w:ascii="Times New Roman" w:eastAsia="Calibri" w:hAnsi="Times New Roman" w:cs="Calibri"/>
          <w:sz w:val="24"/>
          <w:szCs w:val="24"/>
        </w:rPr>
        <w:t>760 mm gadā. Turklāt nokrišņu ģeogrāfiskajā sadalījumā ir vērojama to daudzuma neliels pieaugums R</w:t>
      </w:r>
      <w:r w:rsidR="009332B9" w:rsidRPr="00A07F29">
        <w:rPr>
          <w:rFonts w:ascii="Times New Roman" w:eastAsia="Calibri" w:hAnsi="Times New Roman" w:cs="Calibri"/>
          <w:sz w:val="24"/>
          <w:szCs w:val="24"/>
        </w:rPr>
        <w:t> – </w:t>
      </w:r>
      <w:r w:rsidRPr="00A07F29">
        <w:rPr>
          <w:rFonts w:ascii="Times New Roman" w:eastAsia="Calibri" w:hAnsi="Times New Roman" w:cs="Calibri"/>
          <w:sz w:val="24"/>
          <w:szCs w:val="24"/>
        </w:rPr>
        <w:t>A virzienā ar maksimumu Krāslavas apkārtnē, un pēc tam samazinājums A virzienā. Tas liecina, ka ir novērojama reljefa ietekme uz nokrišņu daudzuma lokālo sadalījumu, respektīvi, Latgales augstienes un Augšzemes augstienes R un DR nogāzes saņem liekāku nokrišņu daudzumu. Nokrišņu daudzuma mazākās vidējās katra mēneša vērtības ir reģistrētas Piedrujā, kas norāda uz augstieņu</w:t>
      </w:r>
      <w:r w:rsidR="00C608BF">
        <w:rPr>
          <w:rFonts w:ascii="Times New Roman" w:eastAsia="Calibri" w:hAnsi="Times New Roman" w:cs="Calibri"/>
          <w:sz w:val="24"/>
          <w:szCs w:val="24"/>
        </w:rPr>
        <w:t>,</w:t>
      </w:r>
      <w:r w:rsidRPr="00A07F29">
        <w:rPr>
          <w:rFonts w:ascii="Times New Roman" w:eastAsia="Calibri" w:hAnsi="Times New Roman" w:cs="Calibri"/>
          <w:sz w:val="24"/>
          <w:szCs w:val="24"/>
        </w:rPr>
        <w:t xml:space="preserve"> </w:t>
      </w:r>
      <w:r w:rsidRPr="00C608BF">
        <w:rPr>
          <w:rFonts w:ascii="Times New Roman" w:eastAsia="Calibri" w:hAnsi="Times New Roman" w:cs="Calibri"/>
          <w:sz w:val="24"/>
          <w:szCs w:val="24"/>
        </w:rPr>
        <w:t>t</w:t>
      </w:r>
      <w:r w:rsidR="00C608BF" w:rsidRPr="00C608BF">
        <w:rPr>
          <w:rFonts w:ascii="Times New Roman" w:eastAsia="Calibri" w:hAnsi="Times New Roman" w:cs="Calibri"/>
          <w:sz w:val="24"/>
          <w:szCs w:val="24"/>
        </w:rPr>
        <w:t xml:space="preserve">ā </w:t>
      </w:r>
      <w:r w:rsidRPr="00C608BF">
        <w:rPr>
          <w:rFonts w:ascii="Times New Roman" w:eastAsia="Calibri" w:hAnsi="Times New Roman" w:cs="Calibri"/>
          <w:sz w:val="24"/>
          <w:szCs w:val="24"/>
        </w:rPr>
        <w:t>s</w:t>
      </w:r>
      <w:r w:rsidR="00C608BF" w:rsidRPr="00C608BF">
        <w:rPr>
          <w:rFonts w:ascii="Times New Roman" w:eastAsia="Calibri" w:hAnsi="Times New Roman" w:cs="Calibri"/>
          <w:sz w:val="24"/>
          <w:szCs w:val="24"/>
        </w:rPr>
        <w:t>au</w:t>
      </w:r>
      <w:r w:rsidR="0028301D">
        <w:rPr>
          <w:rFonts w:ascii="Times New Roman" w:eastAsia="Calibri" w:hAnsi="Times New Roman" w:cs="Calibri"/>
          <w:sz w:val="24"/>
          <w:szCs w:val="24"/>
        </w:rPr>
        <w:t>camo</w:t>
      </w:r>
      <w:r w:rsidR="00C608BF">
        <w:rPr>
          <w:rFonts w:ascii="Times New Roman" w:eastAsia="Calibri" w:hAnsi="Times New Roman" w:cs="Calibri"/>
          <w:sz w:val="24"/>
          <w:szCs w:val="24"/>
        </w:rPr>
        <w:t>,</w:t>
      </w:r>
      <w:r w:rsidRPr="00A07F29">
        <w:rPr>
          <w:rFonts w:ascii="Times New Roman" w:eastAsia="Calibri" w:hAnsi="Times New Roman" w:cs="Calibri"/>
          <w:sz w:val="24"/>
          <w:szCs w:val="24"/>
        </w:rPr>
        <w:t xml:space="preserve"> </w:t>
      </w:r>
      <w:r w:rsidR="003128DB" w:rsidRPr="00A07F29">
        <w:rPr>
          <w:rFonts w:ascii="Times New Roman" w:eastAsia="Calibri" w:hAnsi="Times New Roman" w:cs="Calibri"/>
          <w:sz w:val="24"/>
          <w:szCs w:val="24"/>
        </w:rPr>
        <w:t>“</w:t>
      </w:r>
      <w:r w:rsidRPr="00A07F29">
        <w:rPr>
          <w:rFonts w:ascii="Times New Roman" w:eastAsia="Calibri" w:hAnsi="Times New Roman" w:cs="Calibri"/>
          <w:sz w:val="24"/>
          <w:szCs w:val="24"/>
        </w:rPr>
        <w:t>aizvēja efektu”.</w:t>
      </w:r>
    </w:p>
    <w:p w14:paraId="59749F1F" w14:textId="0A07E264" w:rsidR="00E5392D" w:rsidRPr="00A07F29" w:rsidRDefault="00E5392D" w:rsidP="00935EDF">
      <w:pPr>
        <w:spacing w:after="120" w:line="240" w:lineRule="auto"/>
        <w:ind w:firstLine="851"/>
        <w:jc w:val="both"/>
        <w:rPr>
          <w:rFonts w:ascii="Times New Roman" w:eastAsia="Calibri" w:hAnsi="Times New Roman" w:cs="Calibri"/>
          <w:sz w:val="24"/>
          <w:szCs w:val="24"/>
        </w:rPr>
      </w:pPr>
      <w:r w:rsidRPr="00A07F29">
        <w:rPr>
          <w:rFonts w:ascii="Times New Roman" w:eastAsia="Calibri" w:hAnsi="Times New Roman" w:cs="Calibri"/>
          <w:sz w:val="24"/>
          <w:szCs w:val="24"/>
        </w:rPr>
        <w:t xml:space="preserve">Valdošie </w:t>
      </w:r>
      <w:r w:rsidR="3A7E4FFC" w:rsidRPr="00A07F29">
        <w:rPr>
          <w:rFonts w:ascii="Times New Roman" w:eastAsia="Calibri" w:hAnsi="Times New Roman" w:cs="Calibri"/>
          <w:sz w:val="24"/>
          <w:szCs w:val="24"/>
        </w:rPr>
        <w:t>R</w:t>
      </w:r>
      <w:r w:rsidRPr="00A07F29">
        <w:rPr>
          <w:rFonts w:ascii="Times New Roman" w:eastAsia="Calibri" w:hAnsi="Times New Roman" w:cs="Calibri"/>
          <w:sz w:val="24"/>
          <w:szCs w:val="24"/>
        </w:rPr>
        <w:t xml:space="preserve"> vēji, kas nes mitrās atlantiskās gaisa masas un dominējošā cikloniskā tipa </w:t>
      </w:r>
      <w:proofErr w:type="spellStart"/>
      <w:r w:rsidRPr="00A07F29">
        <w:rPr>
          <w:rFonts w:ascii="Times New Roman" w:eastAsia="Calibri" w:hAnsi="Times New Roman" w:cs="Calibri"/>
          <w:sz w:val="24"/>
          <w:szCs w:val="24"/>
        </w:rPr>
        <w:t>bārisko</w:t>
      </w:r>
      <w:proofErr w:type="spellEnd"/>
      <w:r w:rsidRPr="00A07F29">
        <w:rPr>
          <w:rFonts w:ascii="Times New Roman" w:eastAsia="Calibri" w:hAnsi="Times New Roman" w:cs="Calibri"/>
          <w:sz w:val="24"/>
          <w:szCs w:val="24"/>
        </w:rPr>
        <w:t xml:space="preserve"> sistēmu virzīšanās pāri apskatāmajai teritorijai, ir par cēloni relatīvi lielākam nokrišņu daudzumam, nekā citviet DA Latvijā. Nokrišņi novērojami visos mēnešos, bet gada gaitā izpaužas vairāk kontinentāla tipa nokrišņu sadalījums ar maksimumu vasarā un minimumu ziemas beigās – pavasarī. Visvairāk nokrišņu (vidēji līdz 92</w:t>
      </w:r>
      <w:r w:rsidR="009E5166" w:rsidRPr="00A07F29">
        <w:rPr>
          <w:rFonts w:ascii="Times New Roman" w:eastAsia="Calibri" w:hAnsi="Times New Roman" w:cs="Calibri"/>
          <w:sz w:val="24"/>
          <w:szCs w:val="24"/>
        </w:rPr>
        <w:t> </w:t>
      </w:r>
      <w:r w:rsidRPr="00A07F29">
        <w:rPr>
          <w:rFonts w:ascii="Times New Roman" w:eastAsia="Calibri" w:hAnsi="Times New Roman" w:cs="Calibri"/>
          <w:sz w:val="24"/>
          <w:szCs w:val="24"/>
        </w:rPr>
        <w:t xml:space="preserve">mm mēnesī) izkrīt Krāslavas apkārtnē jūlijā, kad diezgan bieži novērojamas </w:t>
      </w:r>
      <w:proofErr w:type="spellStart"/>
      <w:r w:rsidRPr="00A07F29">
        <w:rPr>
          <w:rFonts w:ascii="Times New Roman" w:eastAsia="Calibri" w:hAnsi="Times New Roman" w:cs="Calibri"/>
          <w:sz w:val="24"/>
          <w:szCs w:val="24"/>
        </w:rPr>
        <w:t>gāzienveida</w:t>
      </w:r>
      <w:proofErr w:type="spellEnd"/>
      <w:r w:rsidRPr="00A07F29">
        <w:rPr>
          <w:rFonts w:ascii="Times New Roman" w:eastAsia="Calibri" w:hAnsi="Times New Roman" w:cs="Calibri"/>
          <w:sz w:val="24"/>
          <w:szCs w:val="24"/>
        </w:rPr>
        <w:t xml:space="preserve"> lietusgāzes ar pērkona negaisu. Aukstajā periodā nokrišņu daudz mazāk, jo tie rodas ciklonu darbības dēļ un ir siltās frontes nokrišņi. Tādēļ tie ir samērā vienmērīgi. Nokrišņu minimums novērojams martā (vidēji līdz 40</w:t>
      </w:r>
      <w:r w:rsidR="00986CAD" w:rsidRPr="00A07F29">
        <w:rPr>
          <w:rFonts w:ascii="Times New Roman" w:eastAsia="Calibri" w:hAnsi="Times New Roman" w:cs="Calibri"/>
          <w:sz w:val="24"/>
          <w:szCs w:val="24"/>
        </w:rPr>
        <w:t> </w:t>
      </w:r>
      <w:r w:rsidRPr="00A07F29">
        <w:rPr>
          <w:rFonts w:ascii="Times New Roman" w:eastAsia="Calibri" w:hAnsi="Times New Roman" w:cs="Calibri"/>
          <w:sz w:val="24"/>
          <w:szCs w:val="24"/>
        </w:rPr>
        <w:t xml:space="preserve">mm mēnesī), kas saistīts ar augsta spiediena kontinentālo tropisko gaisa masu ieplūšanu pavasarī no </w:t>
      </w:r>
      <w:proofErr w:type="spellStart"/>
      <w:r w:rsidRPr="00A07F29">
        <w:rPr>
          <w:rFonts w:ascii="Times New Roman" w:eastAsia="Calibri" w:hAnsi="Times New Roman" w:cs="Calibri"/>
          <w:sz w:val="24"/>
          <w:szCs w:val="24"/>
        </w:rPr>
        <w:t>Dienvidaustrumeiropas</w:t>
      </w:r>
      <w:proofErr w:type="spellEnd"/>
      <w:r w:rsidRPr="00A07F29">
        <w:rPr>
          <w:rFonts w:ascii="Times New Roman" w:eastAsia="Calibri" w:hAnsi="Times New Roman" w:cs="Calibri"/>
          <w:sz w:val="24"/>
          <w:szCs w:val="24"/>
        </w:rPr>
        <w:t xml:space="preserve"> un Vidusāzijas.</w:t>
      </w:r>
    </w:p>
    <w:p w14:paraId="6A094758" w14:textId="38C5E08A" w:rsidR="00E5392D" w:rsidRPr="00A07F29" w:rsidRDefault="00E5392D" w:rsidP="00935EDF">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Saules radiācijas siltuma nelielais pieplūdums, ko saņem ainavu apvidus teritorija, nav pietiekams, lai notiktu pilnīga nokrišņu iztvaikošana. Iztvaikošanas gada rādītāji variē 58</w:t>
      </w:r>
      <w:r w:rsidR="006A63C9" w:rsidRPr="00A07F29">
        <w:rPr>
          <w:rFonts w:ascii="Times New Roman" w:eastAsia="Calibri" w:hAnsi="Times New Roman" w:cs="Calibri"/>
          <w:sz w:val="24"/>
        </w:rPr>
        <w:t> </w:t>
      </w:r>
      <w:r w:rsidRPr="00A07F29">
        <w:rPr>
          <w:rFonts w:ascii="Times New Roman" w:eastAsia="Calibri" w:hAnsi="Times New Roman" w:cs="Calibri"/>
          <w:sz w:val="24"/>
        </w:rPr>
        <w:t>% līdz 64</w:t>
      </w:r>
      <w:r w:rsidR="006A63C9" w:rsidRPr="00A07F29">
        <w:rPr>
          <w:rFonts w:ascii="Times New Roman" w:eastAsia="Calibri" w:hAnsi="Times New Roman" w:cs="Calibri"/>
          <w:sz w:val="24"/>
        </w:rPr>
        <w:t> </w:t>
      </w:r>
      <w:r w:rsidRPr="00A07F29">
        <w:rPr>
          <w:rFonts w:ascii="Times New Roman" w:eastAsia="Calibri" w:hAnsi="Times New Roman" w:cs="Calibri"/>
          <w:sz w:val="24"/>
        </w:rPr>
        <w:t xml:space="preserve">% no izkritušo nokrišņu daudzuma. Pārējais ūdens daudzums veido virszemes noteci Daugavā un papildina pazemes ūdeņu krājumus, nodrošinot </w:t>
      </w:r>
      <w:proofErr w:type="spellStart"/>
      <w:r w:rsidRPr="00A07F29">
        <w:rPr>
          <w:rFonts w:ascii="Times New Roman" w:eastAsia="Calibri" w:hAnsi="Times New Roman" w:cs="Calibri"/>
          <w:sz w:val="24"/>
        </w:rPr>
        <w:t>daudzo</w:t>
      </w:r>
      <w:proofErr w:type="spellEnd"/>
      <w:r w:rsidRPr="00A07F29">
        <w:rPr>
          <w:rFonts w:ascii="Times New Roman" w:eastAsia="Calibri" w:hAnsi="Times New Roman" w:cs="Calibri"/>
          <w:sz w:val="24"/>
        </w:rPr>
        <w:t xml:space="preserve"> Daugavas ielejas avotu un īslaicīgu ūdensteču funkcionēšanu.</w:t>
      </w:r>
    </w:p>
    <w:p w14:paraId="4B10F2E3" w14:textId="12E7FCEA" w:rsidR="00DF5541" w:rsidRPr="00A07F29" w:rsidRDefault="00E5392D" w:rsidP="00935EDF">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Sniega sega ziemā ir nepatstāvīga. </w:t>
      </w:r>
      <w:r w:rsidR="00DF5541" w:rsidRPr="00A07F29">
        <w:rPr>
          <w:rFonts w:ascii="Times New Roman" w:eastAsia="Calibri" w:hAnsi="Times New Roman" w:cs="Calibri"/>
          <w:sz w:val="24"/>
        </w:rPr>
        <w:t xml:space="preserve">Noturīgas sniega segas veidošanās sākas decembra beigās vai janvāra sākumā un saglabājas līdz marta beigām </w:t>
      </w:r>
      <w:r w:rsidR="00481AF3" w:rsidRPr="00A07F29">
        <w:rPr>
          <w:rFonts w:ascii="Times New Roman" w:eastAsia="Calibri" w:hAnsi="Times New Roman" w:cs="Calibri"/>
          <w:sz w:val="24"/>
        </w:rPr>
        <w:t>–</w:t>
      </w:r>
      <w:r w:rsidR="00DF5541" w:rsidRPr="00A07F29">
        <w:rPr>
          <w:rFonts w:ascii="Times New Roman" w:eastAsia="Calibri" w:hAnsi="Times New Roman" w:cs="Calibri"/>
          <w:sz w:val="24"/>
        </w:rPr>
        <w:t xml:space="preserve"> aprīļa sākumam. Parasti sniega segas biezums maksimumu sasniedz februāra 3. dekādē. Daudzgadīgā aspektā</w:t>
      </w:r>
      <w:r w:rsidR="00DF5541" w:rsidRPr="00A07F29">
        <w:rPr>
          <w:rFonts w:ascii="Times New Roman" w:eastAsia="Times New Roman" w:hAnsi="Times New Roman" w:cs="Times New Roman"/>
          <w:bCs/>
          <w:sz w:val="24"/>
          <w:szCs w:val="24"/>
          <w:lang w:eastAsia="en-GB"/>
        </w:rPr>
        <w:t xml:space="preserve"> (1950.</w:t>
      </w:r>
      <w:r w:rsidR="00481AF3" w:rsidRPr="00A07F29">
        <w:rPr>
          <w:rFonts w:ascii="Times New Roman" w:eastAsia="Times New Roman" w:hAnsi="Times New Roman" w:cs="Times New Roman"/>
          <w:bCs/>
          <w:sz w:val="24"/>
          <w:szCs w:val="24"/>
          <w:lang w:eastAsia="en-GB"/>
        </w:rPr>
        <w:t> </w:t>
      </w:r>
      <w:r w:rsidR="00DF5541" w:rsidRPr="00A07F29">
        <w:rPr>
          <w:rFonts w:ascii="Times New Roman" w:eastAsia="Times New Roman" w:hAnsi="Times New Roman" w:cs="Times New Roman"/>
          <w:bCs/>
          <w:sz w:val="24"/>
          <w:szCs w:val="24"/>
          <w:lang w:eastAsia="en-GB"/>
        </w:rPr>
        <w:t>–</w:t>
      </w:r>
      <w:r w:rsidR="00481AF3" w:rsidRPr="00A07F29">
        <w:rPr>
          <w:rFonts w:ascii="Times New Roman" w:eastAsia="Times New Roman" w:hAnsi="Times New Roman" w:cs="Times New Roman"/>
          <w:bCs/>
          <w:sz w:val="24"/>
          <w:szCs w:val="24"/>
          <w:lang w:eastAsia="en-GB"/>
        </w:rPr>
        <w:t> </w:t>
      </w:r>
      <w:r w:rsidR="00DF5541" w:rsidRPr="00A07F29">
        <w:rPr>
          <w:rFonts w:ascii="Times New Roman" w:eastAsia="Times New Roman" w:hAnsi="Times New Roman" w:cs="Times New Roman"/>
          <w:bCs/>
          <w:sz w:val="24"/>
          <w:szCs w:val="24"/>
          <w:lang w:eastAsia="en-GB"/>
        </w:rPr>
        <w:t>2010. gads) posmā Daugavpils – Piedruja sniega biezums sasniedz 15</w:t>
      </w:r>
      <w:r w:rsidR="00481AF3" w:rsidRPr="00A07F29">
        <w:rPr>
          <w:rFonts w:ascii="Times New Roman" w:eastAsia="Times New Roman" w:hAnsi="Times New Roman" w:cs="Times New Roman"/>
          <w:bCs/>
          <w:sz w:val="24"/>
          <w:szCs w:val="24"/>
          <w:lang w:eastAsia="en-GB"/>
        </w:rPr>
        <w:t> </w:t>
      </w:r>
      <w:r w:rsidR="00DF5541" w:rsidRPr="00A07F29">
        <w:rPr>
          <w:rFonts w:ascii="Times New Roman" w:eastAsia="Times New Roman" w:hAnsi="Times New Roman" w:cs="Times New Roman"/>
          <w:bCs/>
          <w:sz w:val="24"/>
          <w:szCs w:val="24"/>
          <w:lang w:eastAsia="en-GB"/>
        </w:rPr>
        <w:t>–</w:t>
      </w:r>
      <w:r w:rsidR="00481AF3" w:rsidRPr="00A07F29">
        <w:rPr>
          <w:rFonts w:ascii="Times New Roman" w:eastAsia="Times New Roman" w:hAnsi="Times New Roman" w:cs="Times New Roman"/>
          <w:bCs/>
          <w:sz w:val="24"/>
          <w:szCs w:val="24"/>
          <w:lang w:eastAsia="en-GB"/>
        </w:rPr>
        <w:t> </w:t>
      </w:r>
      <w:r w:rsidR="00DF5541" w:rsidRPr="00A07F29">
        <w:rPr>
          <w:rFonts w:ascii="Times New Roman" w:eastAsia="Times New Roman" w:hAnsi="Times New Roman" w:cs="Times New Roman"/>
          <w:bCs/>
          <w:sz w:val="24"/>
          <w:szCs w:val="24"/>
          <w:lang w:eastAsia="en-GB"/>
        </w:rPr>
        <w:t>20</w:t>
      </w:r>
      <w:r w:rsidR="00481AF3" w:rsidRPr="00A07F29">
        <w:rPr>
          <w:rFonts w:ascii="Times New Roman" w:eastAsia="Times New Roman" w:hAnsi="Times New Roman" w:cs="Times New Roman"/>
          <w:bCs/>
          <w:sz w:val="24"/>
          <w:szCs w:val="24"/>
          <w:lang w:eastAsia="en-GB"/>
        </w:rPr>
        <w:t> </w:t>
      </w:r>
      <w:r w:rsidR="00DF5541" w:rsidRPr="00A07F29">
        <w:rPr>
          <w:rFonts w:ascii="Times New Roman" w:eastAsia="Times New Roman" w:hAnsi="Times New Roman" w:cs="Times New Roman"/>
          <w:bCs/>
          <w:sz w:val="24"/>
          <w:szCs w:val="24"/>
          <w:lang w:eastAsia="en-GB"/>
        </w:rPr>
        <w:t>cm, bet dienu s</w:t>
      </w:r>
      <w:r w:rsidR="00481AF3" w:rsidRPr="00A07F29">
        <w:rPr>
          <w:rFonts w:ascii="Times New Roman" w:eastAsia="Times New Roman" w:hAnsi="Times New Roman" w:cs="Times New Roman"/>
          <w:bCs/>
          <w:sz w:val="24"/>
          <w:szCs w:val="24"/>
          <w:lang w:eastAsia="en-GB"/>
        </w:rPr>
        <w:t>k</w:t>
      </w:r>
      <w:r w:rsidR="00DF5541" w:rsidRPr="00A07F29">
        <w:rPr>
          <w:rFonts w:ascii="Times New Roman" w:eastAsia="Times New Roman" w:hAnsi="Times New Roman" w:cs="Times New Roman"/>
          <w:bCs/>
          <w:sz w:val="24"/>
          <w:szCs w:val="24"/>
          <w:lang w:eastAsia="en-GB"/>
        </w:rPr>
        <w:t>aits ar sniegu – vidēji 110 (Kļaviņš</w:t>
      </w:r>
      <w:r w:rsidR="00A146B4">
        <w:rPr>
          <w:rFonts w:ascii="Times New Roman" w:eastAsia="Times New Roman" w:hAnsi="Times New Roman" w:cs="Times New Roman"/>
          <w:bCs/>
          <w:sz w:val="24"/>
          <w:szCs w:val="24"/>
          <w:lang w:eastAsia="en-GB"/>
        </w:rPr>
        <w:t xml:space="preserve"> M.</w:t>
      </w:r>
      <w:r w:rsidR="00DF5541" w:rsidRPr="00A07F29">
        <w:rPr>
          <w:rFonts w:ascii="Times New Roman" w:eastAsia="Times New Roman" w:hAnsi="Times New Roman" w:cs="Times New Roman"/>
          <w:bCs/>
          <w:sz w:val="24"/>
          <w:szCs w:val="24"/>
          <w:lang w:eastAsia="en-GB"/>
        </w:rPr>
        <w:t>, Zaļoksnis</w:t>
      </w:r>
      <w:r w:rsidR="00A146B4">
        <w:rPr>
          <w:rFonts w:ascii="Times New Roman" w:eastAsia="Times New Roman" w:hAnsi="Times New Roman" w:cs="Times New Roman"/>
          <w:bCs/>
          <w:sz w:val="24"/>
          <w:szCs w:val="24"/>
          <w:lang w:eastAsia="en-GB"/>
        </w:rPr>
        <w:t xml:space="preserve"> J.</w:t>
      </w:r>
      <w:r w:rsidR="00DF5541" w:rsidRPr="00A07F29">
        <w:rPr>
          <w:rFonts w:ascii="Times New Roman" w:eastAsia="Times New Roman" w:hAnsi="Times New Roman" w:cs="Times New Roman"/>
          <w:bCs/>
          <w:sz w:val="24"/>
          <w:szCs w:val="24"/>
          <w:lang w:eastAsia="en-GB"/>
        </w:rPr>
        <w:t>, 2016).</w:t>
      </w:r>
    </w:p>
    <w:p w14:paraId="353F2A71" w14:textId="77777777" w:rsidR="00BE7BB7" w:rsidRPr="00A07F29" w:rsidRDefault="00BE7BB7" w:rsidP="00935EDF">
      <w:pPr>
        <w:spacing w:after="120" w:line="240" w:lineRule="auto"/>
        <w:ind w:firstLine="851"/>
        <w:jc w:val="both"/>
        <w:rPr>
          <w:rFonts w:ascii="Times New Roman" w:eastAsia="Times New Roman" w:hAnsi="Times New Roman" w:cs="Times New Roman"/>
          <w:b/>
          <w:bCs/>
          <w:color w:val="000000"/>
          <w:sz w:val="24"/>
          <w:lang w:eastAsia="ja-JP"/>
        </w:rPr>
      </w:pPr>
    </w:p>
    <w:p w14:paraId="678D99A2" w14:textId="3D58BAE8" w:rsidR="00E5392D" w:rsidRPr="00A07F29" w:rsidRDefault="00E5392D" w:rsidP="00BE7BB7">
      <w:pPr>
        <w:pStyle w:val="Heading2"/>
        <w:spacing w:before="120" w:after="120"/>
        <w:ind w:firstLine="0"/>
        <w:jc w:val="center"/>
        <w:rPr>
          <w:rFonts w:ascii="Times New Roman" w:hAnsi="Times New Roman"/>
          <w:b w:val="0"/>
          <w:iCs w:val="0"/>
        </w:rPr>
      </w:pPr>
      <w:bookmarkStart w:id="18" w:name="_Toc183433977"/>
      <w:r w:rsidRPr="00A07F29">
        <w:rPr>
          <w:rFonts w:ascii="Times New Roman" w:hAnsi="Times New Roman"/>
          <w:i w:val="0"/>
        </w:rPr>
        <w:t xml:space="preserve">2.2. Ģeoloģija un </w:t>
      </w:r>
      <w:proofErr w:type="spellStart"/>
      <w:r w:rsidRPr="00A07F29">
        <w:rPr>
          <w:rFonts w:ascii="Times New Roman" w:hAnsi="Times New Roman"/>
          <w:i w:val="0"/>
        </w:rPr>
        <w:t>ģeomorfoloģija</w:t>
      </w:r>
      <w:bookmarkEnd w:id="18"/>
      <w:proofErr w:type="spellEnd"/>
    </w:p>
    <w:p w14:paraId="3E4BC44E" w14:textId="36030315" w:rsidR="00E5392D" w:rsidRPr="00A07F29" w:rsidRDefault="00E5392D" w:rsidP="00935EDF">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AAA </w:t>
      </w:r>
      <w:r w:rsidR="00D17018" w:rsidRPr="00A07F29">
        <w:rPr>
          <w:rFonts w:ascii="Times New Roman" w:eastAsia="Calibri" w:hAnsi="Times New Roman" w:cs="Calibri"/>
          <w:sz w:val="24"/>
        </w:rPr>
        <w:t>“</w:t>
      </w:r>
      <w:r w:rsidRPr="00A07F29">
        <w:rPr>
          <w:rFonts w:ascii="Times New Roman" w:eastAsia="Calibri" w:hAnsi="Times New Roman" w:cs="Calibri"/>
          <w:sz w:val="24"/>
        </w:rPr>
        <w:t xml:space="preserve">Augšdaugava” </w:t>
      </w:r>
      <w:r w:rsidR="005052F5" w:rsidRPr="00A07F29">
        <w:rPr>
          <w:rFonts w:ascii="Times New Roman" w:eastAsia="Calibri" w:hAnsi="Times New Roman" w:cs="Calibri"/>
          <w:sz w:val="24"/>
        </w:rPr>
        <w:t xml:space="preserve">Z </w:t>
      </w:r>
      <w:r w:rsidRPr="00A07F29">
        <w:rPr>
          <w:rFonts w:ascii="Times New Roman" w:eastAsia="Calibri" w:hAnsi="Times New Roman" w:cs="Calibri"/>
          <w:sz w:val="24"/>
        </w:rPr>
        <w:t xml:space="preserve">daļa atrodas Latgales augstienes Dagdas </w:t>
      </w:r>
      <w:proofErr w:type="spellStart"/>
      <w:r w:rsidRPr="00A07F29">
        <w:rPr>
          <w:rFonts w:ascii="Times New Roman" w:eastAsia="Calibri" w:hAnsi="Times New Roman" w:cs="Calibri"/>
          <w:sz w:val="24"/>
        </w:rPr>
        <w:t>pauguraines</w:t>
      </w:r>
      <w:proofErr w:type="spellEnd"/>
      <w:r w:rsidRPr="00A07F29">
        <w:rPr>
          <w:rFonts w:ascii="Times New Roman" w:eastAsia="Calibri" w:hAnsi="Times New Roman" w:cs="Calibri"/>
          <w:sz w:val="24"/>
        </w:rPr>
        <w:t xml:space="preserve"> dabas apvidū, </w:t>
      </w:r>
      <w:r w:rsidR="005052F5" w:rsidRPr="00A07F29">
        <w:rPr>
          <w:rFonts w:ascii="Times New Roman" w:eastAsia="Calibri" w:hAnsi="Times New Roman" w:cs="Calibri"/>
          <w:sz w:val="24"/>
        </w:rPr>
        <w:t xml:space="preserve">D </w:t>
      </w:r>
      <w:r w:rsidRPr="00A07F29">
        <w:rPr>
          <w:rFonts w:ascii="Times New Roman" w:eastAsia="Calibri" w:hAnsi="Times New Roman" w:cs="Calibri"/>
          <w:sz w:val="24"/>
        </w:rPr>
        <w:t xml:space="preserve">daļa atrodas Augšzemes augstienes Skrudalienas </w:t>
      </w:r>
      <w:proofErr w:type="spellStart"/>
      <w:r w:rsidRPr="00A07F29">
        <w:rPr>
          <w:rFonts w:ascii="Times New Roman" w:eastAsia="Calibri" w:hAnsi="Times New Roman" w:cs="Calibri"/>
          <w:sz w:val="24"/>
        </w:rPr>
        <w:t>pauguraines</w:t>
      </w:r>
      <w:proofErr w:type="spellEnd"/>
      <w:r w:rsidRPr="00A07F29">
        <w:rPr>
          <w:rFonts w:ascii="Times New Roman" w:eastAsia="Calibri" w:hAnsi="Times New Roman" w:cs="Calibri"/>
          <w:sz w:val="24"/>
        </w:rPr>
        <w:t xml:space="preserve"> dabas apvidū, </w:t>
      </w:r>
      <w:r w:rsidR="005052F5" w:rsidRPr="00A07F29">
        <w:rPr>
          <w:rFonts w:ascii="Times New Roman" w:eastAsia="Calibri" w:hAnsi="Times New Roman" w:cs="Calibri"/>
          <w:sz w:val="24"/>
        </w:rPr>
        <w:t xml:space="preserve">A </w:t>
      </w:r>
      <w:r w:rsidRPr="00A07F29">
        <w:rPr>
          <w:rFonts w:ascii="Times New Roman" w:eastAsia="Calibri" w:hAnsi="Times New Roman" w:cs="Calibri"/>
          <w:sz w:val="24"/>
        </w:rPr>
        <w:t xml:space="preserve">un centrālā daļa – Augšdaugavas pazeminājuma dabas apvidū, bet </w:t>
      </w:r>
      <w:r w:rsidR="005052F5" w:rsidRPr="00A07F29">
        <w:rPr>
          <w:rFonts w:ascii="Times New Roman" w:eastAsia="Calibri" w:hAnsi="Times New Roman" w:cs="Calibri"/>
          <w:sz w:val="24"/>
        </w:rPr>
        <w:t xml:space="preserve">R </w:t>
      </w:r>
      <w:r w:rsidRPr="00A07F29">
        <w:rPr>
          <w:rFonts w:ascii="Times New Roman" w:eastAsia="Calibri" w:hAnsi="Times New Roman" w:cs="Calibri"/>
          <w:sz w:val="24"/>
        </w:rPr>
        <w:t xml:space="preserve">daļa – </w:t>
      </w:r>
      <w:proofErr w:type="spellStart"/>
      <w:r w:rsidRPr="00A07F29">
        <w:rPr>
          <w:rFonts w:ascii="Times New Roman" w:eastAsia="Calibri" w:hAnsi="Times New Roman" w:cs="Calibri"/>
          <w:sz w:val="24"/>
        </w:rPr>
        <w:t>Polockas</w:t>
      </w:r>
      <w:proofErr w:type="spellEnd"/>
      <w:r w:rsidRPr="00A07F29">
        <w:rPr>
          <w:rFonts w:ascii="Times New Roman" w:eastAsia="Calibri" w:hAnsi="Times New Roman" w:cs="Calibri"/>
          <w:sz w:val="24"/>
        </w:rPr>
        <w:t xml:space="preserve"> zemienē. Ainavu apvidus </w:t>
      </w:r>
      <w:r w:rsidR="005052F5" w:rsidRPr="00A07F29">
        <w:rPr>
          <w:rFonts w:ascii="Times New Roman" w:eastAsia="Calibri" w:hAnsi="Times New Roman" w:cs="Calibri"/>
          <w:sz w:val="24"/>
        </w:rPr>
        <w:t xml:space="preserve">R </w:t>
      </w:r>
      <w:r w:rsidRPr="00A07F29">
        <w:rPr>
          <w:rFonts w:ascii="Times New Roman" w:eastAsia="Calibri" w:hAnsi="Times New Roman" w:cs="Calibri"/>
          <w:sz w:val="24"/>
        </w:rPr>
        <w:t xml:space="preserve">daļai no </w:t>
      </w:r>
      <w:r w:rsidR="005052F5" w:rsidRPr="00A07F29">
        <w:rPr>
          <w:rFonts w:ascii="Times New Roman" w:eastAsia="Calibri" w:hAnsi="Times New Roman" w:cs="Calibri"/>
          <w:sz w:val="24"/>
        </w:rPr>
        <w:t xml:space="preserve">D </w:t>
      </w:r>
      <w:r w:rsidRPr="00A07F29">
        <w:rPr>
          <w:rFonts w:ascii="Times New Roman" w:eastAsia="Calibri" w:hAnsi="Times New Roman" w:cs="Calibri"/>
          <w:sz w:val="24"/>
        </w:rPr>
        <w:t xml:space="preserve">piekļaujas Braslavas augstiene. Ņemot vērā, ka nozīmīgākais ainavu apvidus teritorijas elements ir Daugavas ieleja, tad ģeoloģiskās uzbūves iezīmes nosaka mantotajām reljefa formām, t.sk. </w:t>
      </w:r>
      <w:proofErr w:type="spellStart"/>
      <w:r w:rsidRPr="00A07F29">
        <w:rPr>
          <w:rFonts w:ascii="Times New Roman" w:eastAsia="Calibri" w:hAnsi="Times New Roman" w:cs="Calibri"/>
          <w:sz w:val="24"/>
        </w:rPr>
        <w:t>senielejām</w:t>
      </w:r>
      <w:proofErr w:type="spellEnd"/>
      <w:r w:rsidRPr="00A07F29">
        <w:rPr>
          <w:rFonts w:ascii="Times New Roman" w:eastAsia="Calibri" w:hAnsi="Times New Roman" w:cs="Calibri"/>
          <w:sz w:val="24"/>
        </w:rPr>
        <w:t xml:space="preserve"> raksturīgie iežu saguluma apstākļi </w:t>
      </w:r>
      <w:r w:rsidR="005E1F2F" w:rsidRPr="00A07F29">
        <w:rPr>
          <w:rFonts w:ascii="Times New Roman" w:eastAsia="Calibri" w:hAnsi="Times New Roman" w:cs="Calibri"/>
          <w:sz w:val="24"/>
        </w:rPr>
        <w:t>–</w:t>
      </w:r>
      <w:r w:rsidRPr="00A07F29">
        <w:rPr>
          <w:rFonts w:ascii="Times New Roman" w:eastAsia="Calibri" w:hAnsi="Times New Roman" w:cs="Calibri"/>
          <w:sz w:val="24"/>
        </w:rPr>
        <w:t xml:space="preserve"> senu </w:t>
      </w:r>
      <w:proofErr w:type="spellStart"/>
      <w:r w:rsidRPr="00A07F29">
        <w:rPr>
          <w:rFonts w:ascii="Times New Roman" w:eastAsia="Calibri" w:hAnsi="Times New Roman" w:cs="Calibri"/>
          <w:sz w:val="24"/>
        </w:rPr>
        <w:t>ielejveida</w:t>
      </w:r>
      <w:proofErr w:type="spellEnd"/>
      <w:r w:rsidRPr="00A07F29">
        <w:rPr>
          <w:rFonts w:ascii="Times New Roman" w:eastAsia="Calibri" w:hAnsi="Times New Roman" w:cs="Calibri"/>
          <w:sz w:val="24"/>
        </w:rPr>
        <w:t xml:space="preserve"> iegrauzumu </w:t>
      </w:r>
      <w:proofErr w:type="spellStart"/>
      <w:r w:rsidRPr="00A07F29">
        <w:rPr>
          <w:rFonts w:ascii="Times New Roman" w:eastAsia="Calibri" w:hAnsi="Times New Roman" w:cs="Calibri"/>
          <w:sz w:val="24"/>
        </w:rPr>
        <w:t>saposmota</w:t>
      </w:r>
      <w:proofErr w:type="spellEnd"/>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sz w:val="24"/>
        </w:rPr>
        <w:t>pamatiežu</w:t>
      </w:r>
      <w:proofErr w:type="spellEnd"/>
      <w:r w:rsidRPr="00A07F29">
        <w:rPr>
          <w:rFonts w:ascii="Times New Roman" w:eastAsia="Calibri" w:hAnsi="Times New Roman" w:cs="Calibri"/>
          <w:sz w:val="24"/>
        </w:rPr>
        <w:t xml:space="preserve"> virsma, kuru pārsedz kvartāra nogulumu sega.</w:t>
      </w:r>
    </w:p>
    <w:p w14:paraId="7BB6AB37" w14:textId="6366B2AC" w:rsidR="00E5392D" w:rsidRPr="00A07F29" w:rsidRDefault="00E5392D" w:rsidP="00935EDF">
      <w:pPr>
        <w:tabs>
          <w:tab w:val="left" w:pos="567"/>
        </w:tabs>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Vecākie nogulumieži, kas atrodas arī abu Augšdaugavas pazeminājumam piegulošo augstieņu pamatā un veido stipri </w:t>
      </w:r>
      <w:proofErr w:type="spellStart"/>
      <w:r w:rsidRPr="00A07F29">
        <w:rPr>
          <w:rFonts w:ascii="Times New Roman" w:eastAsia="Calibri" w:hAnsi="Times New Roman" w:cs="Calibri"/>
          <w:sz w:val="24"/>
        </w:rPr>
        <w:t>saposmoto</w:t>
      </w:r>
      <w:proofErr w:type="spellEnd"/>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sz w:val="24"/>
        </w:rPr>
        <w:t>zemkvartāra</w:t>
      </w:r>
      <w:proofErr w:type="spellEnd"/>
      <w:r w:rsidRPr="00A07F29">
        <w:rPr>
          <w:rFonts w:ascii="Times New Roman" w:eastAsia="Calibri" w:hAnsi="Times New Roman" w:cs="Calibri"/>
          <w:sz w:val="24"/>
        </w:rPr>
        <w:t xml:space="preserve"> virsmu ainavu apvidus teritorijā, attiecas uz devona sistēmu. Šajā apgabalā sastopami </w:t>
      </w:r>
      <w:proofErr w:type="spellStart"/>
      <w:r w:rsidRPr="00A07F29">
        <w:rPr>
          <w:rFonts w:ascii="Times New Roman" w:eastAsia="Calibri" w:hAnsi="Times New Roman" w:cs="Calibri"/>
          <w:sz w:val="24"/>
        </w:rPr>
        <w:t>augšdevona</w:t>
      </w:r>
      <w:proofErr w:type="spellEnd"/>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sz w:val="24"/>
        </w:rPr>
        <w:t>Franas</w:t>
      </w:r>
      <w:proofErr w:type="spellEnd"/>
      <w:r w:rsidRPr="00A07F29">
        <w:rPr>
          <w:rFonts w:ascii="Times New Roman" w:eastAsia="Calibri" w:hAnsi="Times New Roman" w:cs="Calibri"/>
          <w:sz w:val="24"/>
        </w:rPr>
        <w:t xml:space="preserve"> stāva Gaujas svītas (D3gj) nogulumieži, galvenokārt smilšakmeņi, retāk </w:t>
      </w:r>
      <w:proofErr w:type="spellStart"/>
      <w:r w:rsidRPr="00A07F29">
        <w:rPr>
          <w:rFonts w:ascii="Times New Roman" w:eastAsia="Calibri" w:hAnsi="Times New Roman" w:cs="Calibri"/>
          <w:sz w:val="24"/>
        </w:rPr>
        <w:t>aleirīti</w:t>
      </w:r>
      <w:proofErr w:type="spellEnd"/>
      <w:r w:rsidRPr="00A07F29">
        <w:rPr>
          <w:rFonts w:ascii="Times New Roman" w:eastAsia="Calibri" w:hAnsi="Times New Roman" w:cs="Calibri"/>
          <w:sz w:val="24"/>
        </w:rPr>
        <w:t xml:space="preserve">, kvarca smiltis ar </w:t>
      </w:r>
      <w:proofErr w:type="spellStart"/>
      <w:r w:rsidRPr="00A07F29">
        <w:rPr>
          <w:rFonts w:ascii="Times New Roman" w:eastAsia="Calibri" w:hAnsi="Times New Roman" w:cs="Calibri"/>
          <w:sz w:val="24"/>
        </w:rPr>
        <w:t>aleirītu</w:t>
      </w:r>
      <w:proofErr w:type="spellEnd"/>
      <w:r w:rsidRPr="00A07F29">
        <w:rPr>
          <w:rFonts w:ascii="Times New Roman" w:eastAsia="Calibri" w:hAnsi="Times New Roman" w:cs="Calibri"/>
          <w:sz w:val="24"/>
        </w:rPr>
        <w:t xml:space="preserve"> lēcām un starpkārtām un māli (Āboltiņš</w:t>
      </w:r>
      <w:r w:rsidR="00AE3B33" w:rsidRPr="00A07F29">
        <w:rPr>
          <w:rFonts w:ascii="Times New Roman" w:eastAsia="Calibri" w:hAnsi="Times New Roman" w:cs="Calibri"/>
          <w:sz w:val="24"/>
        </w:rPr>
        <w:t xml:space="preserve"> O.,</w:t>
      </w:r>
      <w:r w:rsidRPr="00A07F29">
        <w:rPr>
          <w:rFonts w:ascii="Times New Roman" w:eastAsia="Calibri" w:hAnsi="Times New Roman" w:cs="Calibri"/>
          <w:sz w:val="24"/>
        </w:rPr>
        <w:t xml:space="preserve"> 1994a; Mūrnieks</w:t>
      </w:r>
      <w:r w:rsidR="00A45AF8" w:rsidRPr="00A07F29">
        <w:rPr>
          <w:rFonts w:ascii="Times New Roman" w:eastAsia="Calibri" w:hAnsi="Times New Roman" w:cs="Calibri"/>
          <w:sz w:val="24"/>
        </w:rPr>
        <w:t xml:space="preserve"> A.</w:t>
      </w:r>
      <w:r w:rsidRPr="00A07F29">
        <w:rPr>
          <w:rFonts w:ascii="Times New Roman" w:eastAsia="Calibri" w:hAnsi="Times New Roman" w:cs="Calibri"/>
          <w:sz w:val="24"/>
        </w:rPr>
        <w:t xml:space="preserve"> un </w:t>
      </w:r>
      <w:proofErr w:type="spellStart"/>
      <w:r w:rsidRPr="00A07F29">
        <w:rPr>
          <w:rFonts w:ascii="Times New Roman" w:eastAsia="Calibri" w:hAnsi="Times New Roman" w:cs="Calibri"/>
          <w:sz w:val="24"/>
        </w:rPr>
        <w:t>Guseva</w:t>
      </w:r>
      <w:proofErr w:type="spellEnd"/>
      <w:r w:rsidR="004A178F" w:rsidRPr="00A07F29">
        <w:rPr>
          <w:rFonts w:ascii="Times New Roman" w:eastAsia="Calibri" w:hAnsi="Times New Roman" w:cs="Calibri"/>
          <w:sz w:val="24"/>
        </w:rPr>
        <w:t xml:space="preserve"> L.,</w:t>
      </w:r>
      <w:r w:rsidRPr="00A07F29">
        <w:rPr>
          <w:rFonts w:ascii="Times New Roman" w:eastAsia="Calibri" w:hAnsi="Times New Roman" w:cs="Calibri"/>
          <w:sz w:val="24"/>
        </w:rPr>
        <w:t xml:space="preserve"> 2003a; Mūrnieks</w:t>
      </w:r>
      <w:r w:rsidR="004A178F" w:rsidRPr="00A07F29">
        <w:rPr>
          <w:rFonts w:ascii="Times New Roman" w:eastAsia="Calibri" w:hAnsi="Times New Roman" w:cs="Calibri"/>
          <w:sz w:val="24"/>
        </w:rPr>
        <w:t xml:space="preserve"> A.</w:t>
      </w:r>
      <w:r w:rsidRPr="00A07F29">
        <w:rPr>
          <w:rFonts w:ascii="Times New Roman" w:eastAsia="Calibri" w:hAnsi="Times New Roman" w:cs="Calibri"/>
          <w:sz w:val="24"/>
        </w:rPr>
        <w:t xml:space="preserve"> un </w:t>
      </w:r>
      <w:proofErr w:type="spellStart"/>
      <w:r w:rsidRPr="00A07F29">
        <w:rPr>
          <w:rFonts w:ascii="Times New Roman" w:eastAsia="Calibri" w:hAnsi="Times New Roman" w:cs="Calibri"/>
          <w:sz w:val="24"/>
        </w:rPr>
        <w:t>Guseva</w:t>
      </w:r>
      <w:proofErr w:type="spellEnd"/>
      <w:r w:rsidRPr="00A07F29">
        <w:rPr>
          <w:rFonts w:ascii="Times New Roman" w:eastAsia="Calibri" w:hAnsi="Times New Roman" w:cs="Calibri"/>
          <w:sz w:val="24"/>
        </w:rPr>
        <w:t xml:space="preserve"> </w:t>
      </w:r>
      <w:r w:rsidR="004A178F" w:rsidRPr="00A07F29">
        <w:rPr>
          <w:rFonts w:ascii="Times New Roman" w:eastAsia="Calibri" w:hAnsi="Times New Roman" w:cs="Calibri"/>
          <w:sz w:val="24"/>
        </w:rPr>
        <w:t xml:space="preserve">L., </w:t>
      </w:r>
      <w:r w:rsidRPr="00A07F29">
        <w:rPr>
          <w:rFonts w:ascii="Times New Roman" w:eastAsia="Calibri" w:hAnsi="Times New Roman" w:cs="Calibri"/>
          <w:sz w:val="24"/>
        </w:rPr>
        <w:t>2003b).</w:t>
      </w:r>
    </w:p>
    <w:p w14:paraId="29D356BE" w14:textId="517ADE19" w:rsidR="00E5392D" w:rsidRPr="00A07F29" w:rsidRDefault="00E5392D" w:rsidP="00935EDF">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Nosauktie </w:t>
      </w:r>
      <w:proofErr w:type="spellStart"/>
      <w:r w:rsidRPr="00A07F29">
        <w:rPr>
          <w:rFonts w:ascii="Times New Roman" w:eastAsia="Calibri" w:hAnsi="Times New Roman" w:cs="Calibri"/>
          <w:sz w:val="24"/>
        </w:rPr>
        <w:t>pamatieži</w:t>
      </w:r>
      <w:proofErr w:type="spellEnd"/>
      <w:r w:rsidRPr="00A07F29">
        <w:rPr>
          <w:rFonts w:ascii="Times New Roman" w:eastAsia="Calibri" w:hAnsi="Times New Roman" w:cs="Calibri"/>
          <w:sz w:val="24"/>
        </w:rPr>
        <w:t xml:space="preserve"> daudzviet atsedzas dabiskajos atsegumos Daugavas ielejā, piemēram, Daugavas labajā krastā pie </w:t>
      </w:r>
      <w:proofErr w:type="spellStart"/>
      <w:r w:rsidRPr="00A07F29">
        <w:rPr>
          <w:rFonts w:ascii="Times New Roman" w:eastAsia="Calibri" w:hAnsi="Times New Roman" w:cs="Calibri"/>
          <w:sz w:val="24"/>
        </w:rPr>
        <w:t>Zīmeļas</w:t>
      </w:r>
      <w:proofErr w:type="spellEnd"/>
      <w:r w:rsidRPr="00A07F29">
        <w:rPr>
          <w:rFonts w:ascii="Times New Roman" w:eastAsia="Calibri" w:hAnsi="Times New Roman" w:cs="Calibri"/>
          <w:sz w:val="24"/>
        </w:rPr>
        <w:t xml:space="preserve"> upes ietekas Daugavā, lejpus Krāslavas pie Adamovas, Zvejnieku lokā pie </w:t>
      </w:r>
      <w:proofErr w:type="spellStart"/>
      <w:r w:rsidRPr="00A07F29">
        <w:rPr>
          <w:rFonts w:ascii="Times New Roman" w:eastAsia="Calibri" w:hAnsi="Times New Roman" w:cs="Calibri"/>
          <w:sz w:val="24"/>
        </w:rPr>
        <w:t>Užingoras</w:t>
      </w:r>
      <w:proofErr w:type="spellEnd"/>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sz w:val="24"/>
        </w:rPr>
        <w:t>Ververu</w:t>
      </w:r>
      <w:proofErr w:type="spellEnd"/>
      <w:r w:rsidRPr="00A07F29">
        <w:rPr>
          <w:rFonts w:ascii="Times New Roman" w:eastAsia="Calibri" w:hAnsi="Times New Roman" w:cs="Calibri"/>
          <w:sz w:val="24"/>
        </w:rPr>
        <w:t xml:space="preserve"> lokā, </w:t>
      </w:r>
      <w:proofErr w:type="spellStart"/>
      <w:r w:rsidRPr="00A07F29">
        <w:rPr>
          <w:rFonts w:ascii="Times New Roman" w:eastAsia="Calibri" w:hAnsi="Times New Roman" w:cs="Calibri"/>
          <w:sz w:val="24"/>
        </w:rPr>
        <w:t>Elernes</w:t>
      </w:r>
      <w:proofErr w:type="spellEnd"/>
      <w:r w:rsidRPr="00A07F29">
        <w:rPr>
          <w:rFonts w:ascii="Times New Roman" w:eastAsia="Calibri" w:hAnsi="Times New Roman" w:cs="Calibri"/>
          <w:sz w:val="24"/>
        </w:rPr>
        <w:t xml:space="preserve"> apkārtnē Daugavas kreisajā krastā u.c. Šeit, vietām palienes pamatnē atsedzas violeti-sarkanīgi māli, zilganpelēki </w:t>
      </w:r>
      <w:proofErr w:type="spellStart"/>
      <w:r w:rsidRPr="00A07F29">
        <w:rPr>
          <w:rFonts w:ascii="Times New Roman" w:eastAsia="Calibri" w:hAnsi="Times New Roman" w:cs="Calibri"/>
          <w:sz w:val="24"/>
        </w:rPr>
        <w:t>aleirolīti</w:t>
      </w:r>
      <w:proofErr w:type="spellEnd"/>
      <w:r w:rsidRPr="00A07F29">
        <w:rPr>
          <w:rFonts w:ascii="Times New Roman" w:eastAsia="Calibri" w:hAnsi="Times New Roman" w:cs="Calibri"/>
          <w:sz w:val="24"/>
        </w:rPr>
        <w:t xml:space="preserve"> un irdeni, iedzelteni vai pelēcīgi balti, smalkgraudaini, </w:t>
      </w:r>
      <w:proofErr w:type="spellStart"/>
      <w:r w:rsidRPr="00A07F29">
        <w:rPr>
          <w:rFonts w:ascii="Times New Roman" w:eastAsia="Calibri" w:hAnsi="Times New Roman" w:cs="Calibri"/>
          <w:sz w:val="24"/>
        </w:rPr>
        <w:t>slīpslāņotas</w:t>
      </w:r>
      <w:proofErr w:type="spellEnd"/>
      <w:r w:rsidRPr="00A07F29">
        <w:rPr>
          <w:rFonts w:ascii="Times New Roman" w:eastAsia="Calibri" w:hAnsi="Times New Roman" w:cs="Calibri"/>
          <w:sz w:val="24"/>
        </w:rPr>
        <w:t xml:space="preserve"> tekstūras smilšakmeņi un kvarca smiltis.</w:t>
      </w:r>
    </w:p>
    <w:p w14:paraId="2BB370F2" w14:textId="2C6C8DD3" w:rsidR="00E5392D" w:rsidRPr="00A07F29" w:rsidRDefault="00E5392D" w:rsidP="00935EDF">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lastRenderedPageBreak/>
        <w:t xml:space="preserve">AAA </w:t>
      </w:r>
      <w:r w:rsidR="0082065F" w:rsidRPr="00A07F29">
        <w:rPr>
          <w:rFonts w:ascii="Times New Roman" w:eastAsia="Calibri" w:hAnsi="Times New Roman" w:cs="Calibri"/>
          <w:sz w:val="24"/>
        </w:rPr>
        <w:t>“</w:t>
      </w:r>
      <w:r w:rsidRPr="00A07F29">
        <w:rPr>
          <w:rFonts w:ascii="Times New Roman" w:eastAsia="Calibri" w:hAnsi="Times New Roman" w:cs="Calibri"/>
          <w:sz w:val="24"/>
        </w:rPr>
        <w:t xml:space="preserve">Augšdaugava” teritorijā konstatētajiem atsegumiem nav </w:t>
      </w:r>
      <w:proofErr w:type="spellStart"/>
      <w:r w:rsidRPr="00A07F29">
        <w:rPr>
          <w:rFonts w:ascii="Times New Roman" w:eastAsia="Calibri" w:hAnsi="Times New Roman" w:cs="Calibri"/>
          <w:sz w:val="24"/>
        </w:rPr>
        <w:t>stratotipa</w:t>
      </w:r>
      <w:proofErr w:type="spellEnd"/>
      <w:r w:rsidRPr="00A07F29">
        <w:rPr>
          <w:rFonts w:ascii="Times New Roman" w:eastAsia="Calibri" w:hAnsi="Times New Roman" w:cs="Calibri"/>
          <w:sz w:val="24"/>
        </w:rPr>
        <w:t xml:space="preserve"> nozīme un, ņemot vērā to sezonālo pieejamību tikai vasarā, zema ūdens līmeņa apstākļos, tiem nav </w:t>
      </w:r>
      <w:r w:rsidR="00AD47BD" w:rsidRPr="00A07F29">
        <w:rPr>
          <w:rFonts w:ascii="Times New Roman" w:eastAsia="Calibri" w:hAnsi="Times New Roman" w:cs="Calibri"/>
          <w:sz w:val="24"/>
        </w:rPr>
        <w:t xml:space="preserve">nepieciešams </w:t>
      </w:r>
      <w:r w:rsidRPr="00A07F29">
        <w:rPr>
          <w:rFonts w:ascii="Times New Roman" w:eastAsia="Calibri" w:hAnsi="Times New Roman" w:cs="Calibri"/>
          <w:sz w:val="24"/>
        </w:rPr>
        <w:t xml:space="preserve">īpašs aizsardzības režīms. Tomēr ievērojot, ka tie ir vienīgie zināmie un zinātniskajiem pētījumiem pieejamie </w:t>
      </w:r>
      <w:proofErr w:type="spellStart"/>
      <w:r w:rsidRPr="00A07F29">
        <w:rPr>
          <w:rFonts w:ascii="Times New Roman" w:eastAsia="Calibri" w:hAnsi="Times New Roman" w:cs="Calibri"/>
          <w:sz w:val="24"/>
        </w:rPr>
        <w:t>pamatiežu</w:t>
      </w:r>
      <w:proofErr w:type="spellEnd"/>
      <w:r w:rsidRPr="00A07F29">
        <w:rPr>
          <w:rFonts w:ascii="Times New Roman" w:eastAsia="Calibri" w:hAnsi="Times New Roman" w:cs="Calibri"/>
          <w:sz w:val="24"/>
        </w:rPr>
        <w:t xml:space="preserve"> atsegumi šajā Daugavas tecējuma posmā, tiem būtu jānosaka </w:t>
      </w:r>
      <w:r w:rsidR="00212F52" w:rsidRPr="00A07F29">
        <w:rPr>
          <w:rFonts w:ascii="Times New Roman" w:eastAsia="Calibri" w:hAnsi="Times New Roman" w:cs="Calibri"/>
          <w:sz w:val="24"/>
        </w:rPr>
        <w:t xml:space="preserve">valsts </w:t>
      </w:r>
      <w:r w:rsidRPr="00A07F29">
        <w:rPr>
          <w:rFonts w:ascii="Times New Roman" w:eastAsia="Calibri" w:hAnsi="Times New Roman" w:cs="Calibri"/>
          <w:sz w:val="24"/>
        </w:rPr>
        <w:t>nozīmes ģeoloģiska dabas pieminekļa statuss.</w:t>
      </w:r>
    </w:p>
    <w:p w14:paraId="1E00B70D" w14:textId="1823CB94" w:rsidR="00E5392D" w:rsidRPr="00A07F29" w:rsidRDefault="00E5392D" w:rsidP="00935EDF">
      <w:pPr>
        <w:spacing w:after="120" w:line="240" w:lineRule="auto"/>
        <w:ind w:firstLine="851"/>
        <w:jc w:val="both"/>
        <w:rPr>
          <w:rFonts w:ascii="Times New Roman" w:eastAsia="Calibri" w:hAnsi="Times New Roman" w:cs="Calibri"/>
          <w:sz w:val="24"/>
        </w:rPr>
      </w:pPr>
      <w:r w:rsidRPr="00C67775">
        <w:rPr>
          <w:rFonts w:ascii="Times New Roman" w:eastAsia="Calibri" w:hAnsi="Times New Roman" w:cs="Calibri"/>
          <w:sz w:val="24"/>
        </w:rPr>
        <w:t>Kvartāra iežu</w:t>
      </w:r>
      <w:r w:rsidRPr="00A07F29">
        <w:rPr>
          <w:rFonts w:ascii="Times New Roman" w:eastAsia="Calibri" w:hAnsi="Times New Roman" w:cs="Calibri"/>
          <w:sz w:val="24"/>
        </w:rPr>
        <w:t xml:space="preserve"> segas biezums ainavu apvidus teritorijā svārstās no dažiem metriem Daugavas ielejas palienē līdz apmēram 100</w:t>
      </w:r>
      <w:r w:rsidR="0094323C" w:rsidRPr="00A07F29">
        <w:rPr>
          <w:rFonts w:ascii="Times New Roman" w:eastAsia="Calibri" w:hAnsi="Times New Roman" w:cs="Calibri"/>
          <w:sz w:val="24"/>
        </w:rPr>
        <w:t> </w:t>
      </w:r>
      <w:r w:rsidRPr="00A07F29">
        <w:rPr>
          <w:rFonts w:ascii="Times New Roman" w:eastAsia="Calibri" w:hAnsi="Times New Roman" w:cs="Calibri"/>
          <w:sz w:val="24"/>
        </w:rPr>
        <w:t xml:space="preserve">m </w:t>
      </w:r>
      <w:proofErr w:type="spellStart"/>
      <w:r w:rsidRPr="00A07F29">
        <w:rPr>
          <w:rFonts w:ascii="Times New Roman" w:eastAsia="Calibri" w:hAnsi="Times New Roman" w:cs="Calibri"/>
          <w:sz w:val="24"/>
        </w:rPr>
        <w:t>pamatiežu</w:t>
      </w:r>
      <w:proofErr w:type="spellEnd"/>
      <w:r w:rsidRPr="00A07F29">
        <w:rPr>
          <w:rFonts w:ascii="Times New Roman" w:eastAsia="Calibri" w:hAnsi="Times New Roman" w:cs="Calibri"/>
          <w:sz w:val="24"/>
        </w:rPr>
        <w:t xml:space="preserve"> virsmā esošajos </w:t>
      </w:r>
      <w:proofErr w:type="spellStart"/>
      <w:r w:rsidRPr="00A07F29">
        <w:rPr>
          <w:rFonts w:ascii="Times New Roman" w:eastAsia="Calibri" w:hAnsi="Times New Roman" w:cs="Calibri"/>
          <w:sz w:val="24"/>
        </w:rPr>
        <w:t>ielejveida</w:t>
      </w:r>
      <w:proofErr w:type="spellEnd"/>
      <w:r w:rsidRPr="00A07F29">
        <w:rPr>
          <w:rFonts w:ascii="Times New Roman" w:eastAsia="Calibri" w:hAnsi="Times New Roman" w:cs="Calibri"/>
          <w:sz w:val="24"/>
        </w:rPr>
        <w:t xml:space="preserve"> iegrauzumos, taču Daugavas ielejai piegulošajā teritorijā vidēji tās biezums vērtējams ≈ 40 līdz 60</w:t>
      </w:r>
      <w:r w:rsidR="00C309C8" w:rsidRPr="00A07F29">
        <w:rPr>
          <w:rFonts w:ascii="Times New Roman" w:eastAsia="Calibri" w:hAnsi="Times New Roman" w:cs="Calibri"/>
          <w:sz w:val="24"/>
        </w:rPr>
        <w:t> </w:t>
      </w:r>
      <w:r w:rsidRPr="00A07F29">
        <w:rPr>
          <w:rFonts w:ascii="Times New Roman" w:eastAsia="Calibri" w:hAnsi="Times New Roman" w:cs="Calibri"/>
          <w:sz w:val="24"/>
        </w:rPr>
        <w:t>m (</w:t>
      </w:r>
      <w:proofErr w:type="spellStart"/>
      <w:r w:rsidRPr="00A07F29">
        <w:rPr>
          <w:rFonts w:ascii="Times New Roman" w:eastAsia="Calibri" w:hAnsi="Times New Roman" w:cs="Calibri"/>
          <w:sz w:val="24"/>
        </w:rPr>
        <w:t>Juškevičs</w:t>
      </w:r>
      <w:proofErr w:type="spellEnd"/>
      <w:r w:rsidR="00E36726" w:rsidRPr="00A07F29">
        <w:rPr>
          <w:rFonts w:ascii="Times New Roman" w:eastAsia="Calibri" w:hAnsi="Times New Roman" w:cs="Calibri"/>
          <w:sz w:val="24"/>
        </w:rPr>
        <w:t xml:space="preserve"> V.</w:t>
      </w:r>
      <w:r w:rsidRPr="00A07F29">
        <w:rPr>
          <w:rFonts w:ascii="Times New Roman" w:eastAsia="Calibri" w:hAnsi="Times New Roman" w:cs="Calibri"/>
          <w:sz w:val="24"/>
        </w:rPr>
        <w:t xml:space="preserve"> un </w:t>
      </w:r>
      <w:proofErr w:type="spellStart"/>
      <w:r w:rsidRPr="00A07F29">
        <w:rPr>
          <w:rFonts w:ascii="Times New Roman" w:eastAsia="Calibri" w:hAnsi="Times New Roman" w:cs="Calibri"/>
          <w:sz w:val="24"/>
        </w:rPr>
        <w:t>Skrebels</w:t>
      </w:r>
      <w:proofErr w:type="spellEnd"/>
      <w:r w:rsidR="00E36726" w:rsidRPr="00A07F29">
        <w:rPr>
          <w:rFonts w:ascii="Times New Roman" w:eastAsia="Calibri" w:hAnsi="Times New Roman" w:cs="Calibri"/>
          <w:sz w:val="24"/>
        </w:rPr>
        <w:t xml:space="preserve"> J.,</w:t>
      </w:r>
      <w:r w:rsidRPr="00A07F29">
        <w:rPr>
          <w:rFonts w:ascii="Times New Roman" w:eastAsia="Calibri" w:hAnsi="Times New Roman" w:cs="Calibri"/>
          <w:sz w:val="24"/>
        </w:rPr>
        <w:t xml:space="preserve"> 2003a). </w:t>
      </w:r>
      <w:proofErr w:type="spellStart"/>
      <w:r w:rsidRPr="00A07F29">
        <w:rPr>
          <w:rFonts w:ascii="Times New Roman" w:eastAsia="Calibri" w:hAnsi="Times New Roman" w:cs="Calibri"/>
          <w:sz w:val="24"/>
        </w:rPr>
        <w:t>Pamatiežus</w:t>
      </w:r>
      <w:proofErr w:type="spellEnd"/>
      <w:r w:rsidRPr="00A07F29">
        <w:rPr>
          <w:rFonts w:ascii="Times New Roman" w:eastAsia="Calibri" w:hAnsi="Times New Roman" w:cs="Calibri"/>
          <w:sz w:val="24"/>
        </w:rPr>
        <w:t xml:space="preserve"> nevienmērīgi biezā slānī pārklāj dažādas cilmes kvartāra nogulumi, galvenokārt pēdējā apledojuma akmeņainas smilšmāla morēnas </w:t>
      </w:r>
      <w:proofErr w:type="spellStart"/>
      <w:r w:rsidRPr="00A07F29">
        <w:rPr>
          <w:rFonts w:ascii="Times New Roman" w:eastAsia="Calibri" w:hAnsi="Times New Roman" w:cs="Calibri"/>
          <w:sz w:val="24"/>
        </w:rPr>
        <w:t>slāņkopas</w:t>
      </w:r>
      <w:proofErr w:type="spellEnd"/>
      <w:r w:rsidRPr="00A07F29">
        <w:rPr>
          <w:rFonts w:ascii="Times New Roman" w:eastAsia="Calibri" w:hAnsi="Times New Roman" w:cs="Calibri"/>
          <w:sz w:val="24"/>
        </w:rPr>
        <w:t xml:space="preserve"> (gQ3ltv), </w:t>
      </w:r>
      <w:proofErr w:type="spellStart"/>
      <w:r w:rsidRPr="00A07F29">
        <w:rPr>
          <w:rFonts w:ascii="Times New Roman" w:eastAsia="Calibri" w:hAnsi="Times New Roman" w:cs="Calibri"/>
          <w:sz w:val="24"/>
        </w:rPr>
        <w:t>ledājkušanas</w:t>
      </w:r>
      <w:proofErr w:type="spellEnd"/>
      <w:r w:rsidRPr="00A07F29">
        <w:rPr>
          <w:rFonts w:ascii="Times New Roman" w:eastAsia="Calibri" w:hAnsi="Times New Roman" w:cs="Calibri"/>
          <w:sz w:val="24"/>
        </w:rPr>
        <w:t xml:space="preserve"> ūdeņu grants-smilts nogulumi (fQ3ltv) un aluviālie upes akumulētie grants-smilts nogulumi (aQ3ltv un aQ4ltv).</w:t>
      </w:r>
    </w:p>
    <w:p w14:paraId="1C7B3DF9" w14:textId="715C100D" w:rsidR="00E5392D" w:rsidRPr="00A07F29" w:rsidRDefault="00E5392D" w:rsidP="00935EDF">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AAA </w:t>
      </w:r>
      <w:r w:rsidR="009700B4" w:rsidRPr="00A07F29">
        <w:rPr>
          <w:rFonts w:ascii="Times New Roman" w:eastAsia="Calibri" w:hAnsi="Times New Roman" w:cs="Calibri"/>
          <w:sz w:val="24"/>
        </w:rPr>
        <w:t>“</w:t>
      </w:r>
      <w:r w:rsidRPr="00A07F29">
        <w:rPr>
          <w:rFonts w:ascii="Times New Roman" w:eastAsia="Calibri" w:hAnsi="Times New Roman" w:cs="Calibri"/>
          <w:sz w:val="24"/>
        </w:rPr>
        <w:t xml:space="preserve">Augšdaugava” teritorijas virsmai, kā arī reljefa formas veidojošo kvartāra nogulumu segai ir mozaīkveida raksturs. Latgales augstienes un Augšzemes augstienes teritorijas daļās, kas ietilpst ainavu apvidū, zemes virsmu pamatā veido ledāja (gQ3ltv) morēnas akmeņaina </w:t>
      </w:r>
      <w:proofErr w:type="spellStart"/>
      <w:r w:rsidRPr="00A07F29">
        <w:rPr>
          <w:rFonts w:ascii="Times New Roman" w:eastAsia="Calibri" w:hAnsi="Times New Roman" w:cs="Calibri"/>
          <w:sz w:val="24"/>
        </w:rPr>
        <w:t>brūngansarkana</w:t>
      </w:r>
      <w:proofErr w:type="spellEnd"/>
      <w:r w:rsidRPr="00A07F29">
        <w:rPr>
          <w:rFonts w:ascii="Times New Roman" w:eastAsia="Calibri" w:hAnsi="Times New Roman" w:cs="Calibri"/>
          <w:sz w:val="24"/>
        </w:rPr>
        <w:t xml:space="preserve"> smilšmāla un mālsmilts nogulumi. </w:t>
      </w:r>
    </w:p>
    <w:p w14:paraId="3F05418A" w14:textId="3892D752" w:rsidR="00E5392D" w:rsidRPr="00A07F29" w:rsidRDefault="00E5392D" w:rsidP="00935EDF">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Morēnai Augšzemes un Latgales augstienēs, kas vērojams arī atsegumos Daugavas ielejas </w:t>
      </w:r>
      <w:proofErr w:type="spellStart"/>
      <w:r w:rsidRPr="00A07F29">
        <w:rPr>
          <w:rFonts w:ascii="Times New Roman" w:eastAsia="Calibri" w:hAnsi="Times New Roman" w:cs="Calibri"/>
          <w:sz w:val="24"/>
        </w:rPr>
        <w:t>pamatkrasta</w:t>
      </w:r>
      <w:proofErr w:type="spellEnd"/>
      <w:r w:rsidRPr="00A07F29">
        <w:rPr>
          <w:rFonts w:ascii="Times New Roman" w:eastAsia="Calibri" w:hAnsi="Times New Roman" w:cs="Calibri"/>
          <w:sz w:val="24"/>
        </w:rPr>
        <w:t xml:space="preserve"> kraujās, vai arī pieteku un gravu atsegumos, raksturīga sarežģīta iekšējā uzbūve. Bieži morēnas uzbūvē vērojam</w:t>
      </w:r>
      <w:r w:rsidR="00F27BEE" w:rsidRPr="00A07F29">
        <w:rPr>
          <w:rFonts w:ascii="Times New Roman" w:eastAsia="Calibri" w:hAnsi="Times New Roman" w:cs="Calibri"/>
          <w:sz w:val="24"/>
        </w:rPr>
        <w:t>a</w:t>
      </w:r>
      <w:r w:rsidRPr="00A07F29">
        <w:rPr>
          <w:rFonts w:ascii="Times New Roman" w:eastAsia="Calibri" w:hAnsi="Times New Roman" w:cs="Calibri"/>
          <w:sz w:val="24"/>
        </w:rPr>
        <w:t xml:space="preserve">s arī smilts-grants, mālu un </w:t>
      </w:r>
      <w:proofErr w:type="spellStart"/>
      <w:r w:rsidRPr="00A07F29">
        <w:rPr>
          <w:rFonts w:ascii="Times New Roman" w:eastAsia="Calibri" w:hAnsi="Times New Roman" w:cs="Calibri"/>
          <w:sz w:val="24"/>
        </w:rPr>
        <w:t>aleirītu</w:t>
      </w:r>
      <w:proofErr w:type="spellEnd"/>
      <w:r w:rsidRPr="00A07F29">
        <w:rPr>
          <w:rFonts w:ascii="Times New Roman" w:eastAsia="Calibri" w:hAnsi="Times New Roman" w:cs="Calibri"/>
          <w:sz w:val="24"/>
        </w:rPr>
        <w:t xml:space="preserve"> starpkārtas, kuras ir dislocētas un veido dažāda rakstura krokas</w:t>
      </w:r>
      <w:r w:rsidR="00A73C08" w:rsidRPr="00A07F29">
        <w:rPr>
          <w:rFonts w:ascii="Times New Roman" w:eastAsia="Calibri" w:hAnsi="Times New Roman" w:cs="Calibri"/>
          <w:sz w:val="24"/>
        </w:rPr>
        <w:t>.</w:t>
      </w:r>
      <w:r w:rsidRPr="00A07F29">
        <w:rPr>
          <w:rFonts w:ascii="Times New Roman" w:eastAsia="Calibri" w:hAnsi="Times New Roman" w:cs="Calibri"/>
          <w:sz w:val="24"/>
        </w:rPr>
        <w:t xml:space="preserve"> Slāņos nereti redzamas daudzveidīgas deformācijas </w:t>
      </w:r>
      <w:r w:rsidR="00F27BEE" w:rsidRPr="00A07F29">
        <w:rPr>
          <w:rFonts w:ascii="Times New Roman" w:eastAsia="Calibri" w:hAnsi="Times New Roman" w:cs="Calibri"/>
          <w:sz w:val="24"/>
        </w:rPr>
        <w:t>–</w:t>
      </w:r>
      <w:r w:rsidRPr="00A07F29">
        <w:rPr>
          <w:rFonts w:ascii="Times New Roman" w:eastAsia="Calibri" w:hAnsi="Times New Roman" w:cs="Calibri"/>
          <w:sz w:val="24"/>
        </w:rPr>
        <w:t xml:space="preserve"> dažāda tipa krokas, uzbīdījumi, pārrāvumi, t.i. </w:t>
      </w:r>
      <w:proofErr w:type="spellStart"/>
      <w:r w:rsidRPr="00A07F29">
        <w:rPr>
          <w:rFonts w:ascii="Times New Roman" w:eastAsia="Calibri" w:hAnsi="Times New Roman" w:cs="Calibri"/>
          <w:sz w:val="24"/>
        </w:rPr>
        <w:t>glaciotektoniskās</w:t>
      </w:r>
      <w:proofErr w:type="spellEnd"/>
      <w:r w:rsidRPr="00A07F29">
        <w:rPr>
          <w:rFonts w:ascii="Times New Roman" w:eastAsia="Calibri" w:hAnsi="Times New Roman" w:cs="Calibri"/>
          <w:sz w:val="24"/>
        </w:rPr>
        <w:t xml:space="preserve"> struktūras (Āboltiņš</w:t>
      </w:r>
      <w:r w:rsidR="00A73C08" w:rsidRPr="00A07F29">
        <w:rPr>
          <w:rFonts w:ascii="Times New Roman" w:eastAsia="Calibri" w:hAnsi="Times New Roman" w:cs="Calibri"/>
          <w:sz w:val="24"/>
        </w:rPr>
        <w:t xml:space="preserve"> O.,</w:t>
      </w:r>
      <w:r w:rsidRPr="00A07F29">
        <w:rPr>
          <w:rFonts w:ascii="Times New Roman" w:eastAsia="Calibri" w:hAnsi="Times New Roman" w:cs="Calibri"/>
          <w:sz w:val="24"/>
        </w:rPr>
        <w:t xml:space="preserve"> 1989).</w:t>
      </w:r>
    </w:p>
    <w:p w14:paraId="47B01AEE" w14:textId="0D571E60" w:rsidR="00E5392D" w:rsidRPr="00A07F29" w:rsidRDefault="00E5392D" w:rsidP="00935EDF">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Ainavu apvidus teritorijas </w:t>
      </w:r>
      <w:r w:rsidR="00376277">
        <w:rPr>
          <w:rFonts w:ascii="Times New Roman" w:eastAsia="Calibri" w:hAnsi="Times New Roman" w:cs="Calibri"/>
          <w:sz w:val="24"/>
        </w:rPr>
        <w:t>R</w:t>
      </w:r>
      <w:r w:rsidRPr="00A07F29">
        <w:rPr>
          <w:rFonts w:ascii="Times New Roman" w:eastAsia="Calibri" w:hAnsi="Times New Roman" w:cs="Calibri"/>
          <w:sz w:val="24"/>
        </w:rPr>
        <w:t xml:space="preserve"> daļā no </w:t>
      </w:r>
      <w:proofErr w:type="spellStart"/>
      <w:r w:rsidRPr="00A07F29">
        <w:rPr>
          <w:rFonts w:ascii="Times New Roman" w:eastAsia="Calibri" w:hAnsi="Times New Roman" w:cs="Calibri"/>
          <w:sz w:val="24"/>
        </w:rPr>
        <w:t>Šilovkas</w:t>
      </w:r>
      <w:proofErr w:type="spellEnd"/>
      <w:r w:rsidRPr="00A07F29">
        <w:rPr>
          <w:rFonts w:ascii="Times New Roman" w:eastAsia="Calibri" w:hAnsi="Times New Roman" w:cs="Calibri"/>
          <w:sz w:val="24"/>
        </w:rPr>
        <w:t xml:space="preserve"> ezera </w:t>
      </w:r>
      <w:proofErr w:type="spellStart"/>
      <w:r w:rsidRPr="00A07F29">
        <w:rPr>
          <w:rFonts w:ascii="Times New Roman" w:eastAsia="Calibri" w:hAnsi="Times New Roman" w:cs="Calibri"/>
          <w:sz w:val="24"/>
        </w:rPr>
        <w:t>iegultnes</w:t>
      </w:r>
      <w:proofErr w:type="spellEnd"/>
      <w:r w:rsidRPr="00A07F29">
        <w:rPr>
          <w:rFonts w:ascii="Times New Roman" w:eastAsia="Calibri" w:hAnsi="Times New Roman" w:cs="Calibri"/>
          <w:sz w:val="24"/>
        </w:rPr>
        <w:t xml:space="preserve"> līdz Kraujas ciematam, Daugavas ielejas meandru loku iekšpusē </w:t>
      </w:r>
      <w:proofErr w:type="spellStart"/>
      <w:r w:rsidRPr="00A07F29">
        <w:rPr>
          <w:rFonts w:ascii="Times New Roman" w:eastAsia="Calibri" w:hAnsi="Times New Roman" w:cs="Calibri"/>
          <w:sz w:val="24"/>
        </w:rPr>
        <w:t>pamatkrastus</w:t>
      </w:r>
      <w:proofErr w:type="spellEnd"/>
      <w:r w:rsidRPr="00A07F29">
        <w:rPr>
          <w:rFonts w:ascii="Times New Roman" w:eastAsia="Calibri" w:hAnsi="Times New Roman" w:cs="Calibri"/>
          <w:sz w:val="24"/>
        </w:rPr>
        <w:t xml:space="preserve"> un augšējā kompleksa </w:t>
      </w:r>
      <w:proofErr w:type="spellStart"/>
      <w:r w:rsidRPr="00A07F29">
        <w:rPr>
          <w:rFonts w:ascii="Times New Roman" w:eastAsia="Calibri" w:hAnsi="Times New Roman" w:cs="Calibri"/>
          <w:sz w:val="24"/>
        </w:rPr>
        <w:t>virspalu</w:t>
      </w:r>
      <w:proofErr w:type="spellEnd"/>
      <w:r w:rsidRPr="00A07F29">
        <w:rPr>
          <w:rFonts w:ascii="Times New Roman" w:eastAsia="Calibri" w:hAnsi="Times New Roman" w:cs="Calibri"/>
          <w:sz w:val="24"/>
        </w:rPr>
        <w:t xml:space="preserve"> terases veido </w:t>
      </w:r>
      <w:proofErr w:type="spellStart"/>
      <w:r w:rsidRPr="00A07F29">
        <w:rPr>
          <w:rFonts w:ascii="Times New Roman" w:eastAsia="Calibri" w:hAnsi="Times New Roman" w:cs="Calibri"/>
          <w:sz w:val="24"/>
        </w:rPr>
        <w:t>augšpleistocēna</w:t>
      </w:r>
      <w:proofErr w:type="spellEnd"/>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sz w:val="24"/>
        </w:rPr>
        <w:t>ledājkušanas</w:t>
      </w:r>
      <w:proofErr w:type="spellEnd"/>
      <w:r w:rsidRPr="00A07F29">
        <w:rPr>
          <w:rFonts w:ascii="Times New Roman" w:eastAsia="Calibri" w:hAnsi="Times New Roman" w:cs="Calibri"/>
          <w:sz w:val="24"/>
        </w:rPr>
        <w:t xml:space="preserve"> ūdeņu (</w:t>
      </w:r>
      <w:proofErr w:type="spellStart"/>
      <w:r w:rsidRPr="00A07F29">
        <w:rPr>
          <w:rFonts w:ascii="Times New Roman" w:eastAsia="Calibri" w:hAnsi="Times New Roman" w:cs="Calibri"/>
          <w:sz w:val="24"/>
        </w:rPr>
        <w:t>glaciofluviālie</w:t>
      </w:r>
      <w:proofErr w:type="spellEnd"/>
      <w:r w:rsidRPr="00A07F29">
        <w:rPr>
          <w:rFonts w:ascii="Times New Roman" w:eastAsia="Calibri" w:hAnsi="Times New Roman" w:cs="Calibri"/>
          <w:sz w:val="24"/>
        </w:rPr>
        <w:t xml:space="preserve">) (fQ3ltv) smilts-grants un oļainas grants nogulumi, bet apakšējā kompleksa terases (II-IV) </w:t>
      </w:r>
      <w:r w:rsidR="002548F8" w:rsidRPr="00A07F29">
        <w:rPr>
          <w:rFonts w:ascii="Times New Roman" w:eastAsia="Calibri" w:hAnsi="Times New Roman" w:cs="Calibri"/>
          <w:sz w:val="24"/>
        </w:rPr>
        <w:t>–</w:t>
      </w:r>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sz w:val="24"/>
        </w:rPr>
        <w:t>augšpleistocēna</w:t>
      </w:r>
      <w:proofErr w:type="spellEnd"/>
      <w:r w:rsidRPr="00A07F29">
        <w:rPr>
          <w:rFonts w:ascii="Times New Roman" w:eastAsia="Calibri" w:hAnsi="Times New Roman" w:cs="Calibri"/>
          <w:sz w:val="24"/>
        </w:rPr>
        <w:t xml:space="preserve"> aluviālie (aQ3ltv) smilts-grants un oļainas grants nogulumi (</w:t>
      </w:r>
      <w:proofErr w:type="spellStart"/>
      <w:r w:rsidRPr="00A07F29">
        <w:rPr>
          <w:rFonts w:ascii="Times New Roman" w:eastAsia="Calibri" w:hAnsi="Times New Roman" w:cs="Calibri"/>
          <w:sz w:val="24"/>
        </w:rPr>
        <w:t>Juškevičs</w:t>
      </w:r>
      <w:proofErr w:type="spellEnd"/>
      <w:r w:rsidR="002548F8" w:rsidRPr="00A07F29">
        <w:rPr>
          <w:rFonts w:ascii="Times New Roman" w:eastAsia="Calibri" w:hAnsi="Times New Roman" w:cs="Calibri"/>
          <w:sz w:val="24"/>
        </w:rPr>
        <w:t xml:space="preserve"> V.</w:t>
      </w:r>
      <w:r w:rsidRPr="00A07F29">
        <w:rPr>
          <w:rFonts w:ascii="Times New Roman" w:eastAsia="Calibri" w:hAnsi="Times New Roman" w:cs="Calibri"/>
          <w:sz w:val="24"/>
        </w:rPr>
        <w:t xml:space="preserve"> un </w:t>
      </w:r>
      <w:proofErr w:type="spellStart"/>
      <w:r w:rsidRPr="00A07F29">
        <w:rPr>
          <w:rFonts w:ascii="Times New Roman" w:eastAsia="Calibri" w:hAnsi="Times New Roman" w:cs="Calibri"/>
          <w:sz w:val="24"/>
        </w:rPr>
        <w:t>Skrebels</w:t>
      </w:r>
      <w:proofErr w:type="spellEnd"/>
      <w:r w:rsidR="002548F8" w:rsidRPr="00A07F29">
        <w:rPr>
          <w:rFonts w:ascii="Times New Roman" w:eastAsia="Calibri" w:hAnsi="Times New Roman" w:cs="Calibri"/>
          <w:sz w:val="24"/>
        </w:rPr>
        <w:t xml:space="preserve"> J.,</w:t>
      </w:r>
      <w:r w:rsidRPr="00A07F29">
        <w:rPr>
          <w:rFonts w:ascii="Times New Roman" w:eastAsia="Calibri" w:hAnsi="Times New Roman" w:cs="Calibri"/>
          <w:sz w:val="24"/>
        </w:rPr>
        <w:t xml:space="preserve"> 2003b).</w:t>
      </w:r>
    </w:p>
    <w:p w14:paraId="4A060775" w14:textId="42CC3B28" w:rsidR="00E5392D" w:rsidRPr="00A07F29" w:rsidRDefault="00E5392D" w:rsidP="00935EDF">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Ainavu apvidus teritorijas </w:t>
      </w:r>
      <w:r w:rsidR="00376277">
        <w:rPr>
          <w:rFonts w:ascii="Times New Roman" w:eastAsia="Calibri" w:hAnsi="Times New Roman" w:cs="Calibri"/>
          <w:sz w:val="24"/>
        </w:rPr>
        <w:t>A</w:t>
      </w:r>
      <w:r w:rsidRPr="00A07F29">
        <w:rPr>
          <w:rFonts w:ascii="Times New Roman" w:eastAsia="Calibri" w:hAnsi="Times New Roman" w:cs="Calibri"/>
          <w:sz w:val="24"/>
        </w:rPr>
        <w:t xml:space="preserve"> daļā no </w:t>
      </w:r>
      <w:proofErr w:type="spellStart"/>
      <w:r w:rsidRPr="00A07F29">
        <w:rPr>
          <w:rFonts w:ascii="Times New Roman" w:eastAsia="Calibri" w:hAnsi="Times New Roman" w:cs="Calibri"/>
          <w:sz w:val="24"/>
        </w:rPr>
        <w:t>Šilovkas</w:t>
      </w:r>
      <w:proofErr w:type="spellEnd"/>
      <w:r w:rsidRPr="00A07F29">
        <w:rPr>
          <w:rFonts w:ascii="Times New Roman" w:eastAsia="Calibri" w:hAnsi="Times New Roman" w:cs="Calibri"/>
          <w:sz w:val="24"/>
        </w:rPr>
        <w:t xml:space="preserve"> ezera </w:t>
      </w:r>
      <w:proofErr w:type="spellStart"/>
      <w:r w:rsidRPr="00A07F29">
        <w:rPr>
          <w:rFonts w:ascii="Times New Roman" w:eastAsia="Calibri" w:hAnsi="Times New Roman" w:cs="Calibri"/>
          <w:sz w:val="24"/>
        </w:rPr>
        <w:t>iegultnes</w:t>
      </w:r>
      <w:proofErr w:type="spellEnd"/>
      <w:r w:rsidRPr="00A07F29">
        <w:rPr>
          <w:rFonts w:ascii="Times New Roman" w:eastAsia="Calibri" w:hAnsi="Times New Roman" w:cs="Calibri"/>
          <w:sz w:val="24"/>
        </w:rPr>
        <w:t xml:space="preserve"> līdz Baltkrievijas Republikas robežai pie </w:t>
      </w:r>
      <w:proofErr w:type="spellStart"/>
      <w:r w:rsidRPr="00A07F29">
        <w:rPr>
          <w:rFonts w:ascii="Times New Roman" w:eastAsia="Calibri" w:hAnsi="Times New Roman" w:cs="Calibri"/>
          <w:sz w:val="24"/>
        </w:rPr>
        <w:t>Koškovciem</w:t>
      </w:r>
      <w:r w:rsidR="00C3425C" w:rsidRPr="00A07F29">
        <w:rPr>
          <w:rFonts w:ascii="Times New Roman" w:eastAsia="Calibri" w:hAnsi="Times New Roman" w:cs="Calibri"/>
          <w:sz w:val="24"/>
        </w:rPr>
        <w:t>a</w:t>
      </w:r>
      <w:proofErr w:type="spellEnd"/>
      <w:r w:rsidRPr="00A07F29">
        <w:rPr>
          <w:rFonts w:ascii="Times New Roman" w:eastAsia="Calibri" w:hAnsi="Times New Roman" w:cs="Calibri"/>
          <w:sz w:val="24"/>
        </w:rPr>
        <w:t xml:space="preserve">, zemes virsmai raksturīgi </w:t>
      </w:r>
      <w:proofErr w:type="spellStart"/>
      <w:r w:rsidRPr="00A07F29">
        <w:rPr>
          <w:rFonts w:ascii="Times New Roman" w:eastAsia="Calibri" w:hAnsi="Times New Roman" w:cs="Calibri"/>
          <w:sz w:val="24"/>
        </w:rPr>
        <w:t>augšpleistocēna</w:t>
      </w:r>
      <w:proofErr w:type="spellEnd"/>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sz w:val="24"/>
        </w:rPr>
        <w:t>ledājkušanas</w:t>
      </w:r>
      <w:proofErr w:type="spellEnd"/>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sz w:val="24"/>
        </w:rPr>
        <w:t>sprostezeros</w:t>
      </w:r>
      <w:proofErr w:type="spellEnd"/>
      <w:r w:rsidRPr="00A07F29">
        <w:rPr>
          <w:rFonts w:ascii="Times New Roman" w:eastAsia="Calibri" w:hAnsi="Times New Roman" w:cs="Calibri"/>
          <w:sz w:val="24"/>
        </w:rPr>
        <w:t xml:space="preserve"> akumulētie (</w:t>
      </w:r>
      <w:proofErr w:type="spellStart"/>
      <w:r w:rsidRPr="00A07F29">
        <w:rPr>
          <w:rFonts w:ascii="Times New Roman" w:eastAsia="Calibri" w:hAnsi="Times New Roman" w:cs="Calibri"/>
          <w:sz w:val="24"/>
        </w:rPr>
        <w:t>glaciolimniskie</w:t>
      </w:r>
      <w:proofErr w:type="spellEnd"/>
      <w:r w:rsidRPr="00A07F29">
        <w:rPr>
          <w:rFonts w:ascii="Times New Roman" w:eastAsia="Calibri" w:hAnsi="Times New Roman" w:cs="Calibri"/>
          <w:sz w:val="24"/>
        </w:rPr>
        <w:t xml:space="preserve">) (glQ3ltv) smalkgraudainas smilts, </w:t>
      </w:r>
      <w:proofErr w:type="spellStart"/>
      <w:r w:rsidRPr="00A07F29">
        <w:rPr>
          <w:rFonts w:ascii="Times New Roman" w:eastAsia="Calibri" w:hAnsi="Times New Roman" w:cs="Calibri"/>
          <w:sz w:val="24"/>
        </w:rPr>
        <w:t>aleirītu</w:t>
      </w:r>
      <w:proofErr w:type="spellEnd"/>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sz w:val="24"/>
        </w:rPr>
        <w:t>bezakmens</w:t>
      </w:r>
      <w:proofErr w:type="spellEnd"/>
      <w:r w:rsidRPr="00A07F29">
        <w:rPr>
          <w:rFonts w:ascii="Times New Roman" w:eastAsia="Calibri" w:hAnsi="Times New Roman" w:cs="Calibri"/>
          <w:sz w:val="24"/>
        </w:rPr>
        <w:t xml:space="preserve"> māla un slokšņu māla nogulumi (</w:t>
      </w:r>
      <w:proofErr w:type="spellStart"/>
      <w:r w:rsidRPr="00A07F29">
        <w:rPr>
          <w:rFonts w:ascii="Times New Roman" w:eastAsia="Calibri" w:hAnsi="Times New Roman" w:cs="Calibri"/>
          <w:sz w:val="24"/>
        </w:rPr>
        <w:t>Juškevičs</w:t>
      </w:r>
      <w:proofErr w:type="spellEnd"/>
      <w:r w:rsidR="00381441" w:rsidRPr="00A07F29">
        <w:rPr>
          <w:rFonts w:ascii="Times New Roman" w:eastAsia="Calibri" w:hAnsi="Times New Roman" w:cs="Calibri"/>
          <w:sz w:val="24"/>
        </w:rPr>
        <w:t xml:space="preserve"> V.</w:t>
      </w:r>
      <w:r w:rsidRPr="00A07F29">
        <w:rPr>
          <w:rFonts w:ascii="Times New Roman" w:eastAsia="Calibri" w:hAnsi="Times New Roman" w:cs="Calibri"/>
          <w:sz w:val="24"/>
        </w:rPr>
        <w:t xml:space="preserve"> un </w:t>
      </w:r>
      <w:proofErr w:type="spellStart"/>
      <w:r w:rsidRPr="00A07F29">
        <w:rPr>
          <w:rFonts w:ascii="Times New Roman" w:eastAsia="Calibri" w:hAnsi="Times New Roman" w:cs="Calibri"/>
          <w:sz w:val="24"/>
        </w:rPr>
        <w:t>Skrebels</w:t>
      </w:r>
      <w:proofErr w:type="spellEnd"/>
      <w:r w:rsidR="00381441" w:rsidRPr="00A07F29">
        <w:rPr>
          <w:rFonts w:ascii="Times New Roman" w:eastAsia="Calibri" w:hAnsi="Times New Roman" w:cs="Calibri"/>
          <w:sz w:val="24"/>
        </w:rPr>
        <w:t xml:space="preserve"> J.,</w:t>
      </w:r>
      <w:r w:rsidRPr="00A07F29">
        <w:rPr>
          <w:rFonts w:ascii="Times New Roman" w:eastAsia="Calibri" w:hAnsi="Times New Roman" w:cs="Calibri"/>
          <w:sz w:val="24"/>
        </w:rPr>
        <w:t xml:space="preserve"> 2003b).</w:t>
      </w:r>
    </w:p>
    <w:p w14:paraId="6458FC07" w14:textId="739781BD" w:rsidR="00E5392D" w:rsidRPr="00A07F29" w:rsidRDefault="00E5392D" w:rsidP="00935EDF">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Salīdzinoši daudz mazākās platībās apskatāmajā teritorijā sastopami jaunākie </w:t>
      </w:r>
      <w:r w:rsidR="004E7013" w:rsidRPr="00A07F29">
        <w:rPr>
          <w:rFonts w:ascii="Times New Roman" w:eastAsia="Calibri" w:hAnsi="Times New Roman" w:cs="Calibri"/>
          <w:sz w:val="24"/>
        </w:rPr>
        <w:t>–</w:t>
      </w:r>
      <w:r w:rsidRPr="00A07F29">
        <w:rPr>
          <w:rFonts w:ascii="Times New Roman" w:eastAsia="Calibri" w:hAnsi="Times New Roman" w:cs="Calibri"/>
          <w:sz w:val="24"/>
        </w:rPr>
        <w:t xml:space="preserve"> pēcleduslaikmeta (</w:t>
      </w:r>
      <w:proofErr w:type="spellStart"/>
      <w:r w:rsidRPr="00A07F29">
        <w:rPr>
          <w:rFonts w:ascii="Times New Roman" w:eastAsia="Calibri" w:hAnsi="Times New Roman" w:cs="Calibri"/>
          <w:sz w:val="24"/>
        </w:rPr>
        <w:t>holocēna</w:t>
      </w:r>
      <w:proofErr w:type="spellEnd"/>
      <w:r w:rsidRPr="00A07F29">
        <w:rPr>
          <w:rFonts w:ascii="Times New Roman" w:eastAsia="Calibri" w:hAnsi="Times New Roman" w:cs="Calibri"/>
          <w:sz w:val="24"/>
        </w:rPr>
        <w:t>) nogulumi, kuri parasti sastopami reljefa pazeminājumos. Dominējošie ir gar Daugavu sastopamie aluviālie (aQ4) smilts un smilts</w:t>
      </w:r>
      <w:r w:rsidR="004E7013" w:rsidRPr="00A07F29">
        <w:rPr>
          <w:rFonts w:ascii="Times New Roman" w:eastAsia="Calibri" w:hAnsi="Times New Roman" w:cs="Calibri"/>
          <w:sz w:val="24"/>
        </w:rPr>
        <w:t>-</w:t>
      </w:r>
      <w:r w:rsidRPr="00A07F29">
        <w:rPr>
          <w:rFonts w:ascii="Times New Roman" w:eastAsia="Calibri" w:hAnsi="Times New Roman" w:cs="Calibri"/>
          <w:sz w:val="24"/>
        </w:rPr>
        <w:t>grants nogulumi, kas veido Daugavas apakšējā kompleksa 1.</w:t>
      </w:r>
      <w:r w:rsidR="004E7013" w:rsidRPr="00A07F29">
        <w:rPr>
          <w:rFonts w:ascii="Times New Roman" w:eastAsia="Calibri" w:hAnsi="Times New Roman" w:cs="Calibri"/>
          <w:sz w:val="24"/>
        </w:rPr>
        <w:t> </w:t>
      </w:r>
      <w:proofErr w:type="spellStart"/>
      <w:r w:rsidRPr="00A07F29">
        <w:rPr>
          <w:rFonts w:ascii="Times New Roman" w:eastAsia="Calibri" w:hAnsi="Times New Roman" w:cs="Calibri"/>
          <w:sz w:val="24"/>
        </w:rPr>
        <w:t>virspalu</w:t>
      </w:r>
      <w:proofErr w:type="spellEnd"/>
      <w:r w:rsidRPr="00A07F29">
        <w:rPr>
          <w:rFonts w:ascii="Times New Roman" w:eastAsia="Calibri" w:hAnsi="Times New Roman" w:cs="Calibri"/>
          <w:sz w:val="24"/>
        </w:rPr>
        <w:t xml:space="preserve"> terasi un palienes. Aluviālie nogulumi šaurās joslās sastopami arī citu mazo upīšu (</w:t>
      </w:r>
      <w:proofErr w:type="spellStart"/>
      <w:r w:rsidRPr="00A07F29">
        <w:rPr>
          <w:rFonts w:ascii="Times New Roman" w:eastAsia="Calibri" w:hAnsi="Times New Roman" w:cs="Calibri"/>
          <w:sz w:val="24"/>
        </w:rPr>
        <w:t>Indricas</w:t>
      </w:r>
      <w:proofErr w:type="spellEnd"/>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sz w:val="24"/>
        </w:rPr>
        <w:t>Poguļankas</w:t>
      </w:r>
      <w:proofErr w:type="spellEnd"/>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sz w:val="24"/>
        </w:rPr>
        <w:t>Bornes</w:t>
      </w:r>
      <w:proofErr w:type="spellEnd"/>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sz w:val="24"/>
        </w:rPr>
        <w:t>Rudņas</w:t>
      </w:r>
      <w:proofErr w:type="spellEnd"/>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sz w:val="24"/>
        </w:rPr>
        <w:t>Puņiškas</w:t>
      </w:r>
      <w:proofErr w:type="spellEnd"/>
      <w:r w:rsidRPr="00A07F29">
        <w:rPr>
          <w:rFonts w:ascii="Times New Roman" w:eastAsia="Calibri" w:hAnsi="Times New Roman" w:cs="Calibri"/>
          <w:sz w:val="24"/>
        </w:rPr>
        <w:t xml:space="preserve">, Baltas, </w:t>
      </w:r>
      <w:proofErr w:type="spellStart"/>
      <w:r w:rsidRPr="00A07F29">
        <w:rPr>
          <w:rFonts w:ascii="Times New Roman" w:eastAsia="Calibri" w:hAnsi="Times New Roman" w:cs="Calibri"/>
          <w:sz w:val="24"/>
        </w:rPr>
        <w:t>Putānupītes</w:t>
      </w:r>
      <w:proofErr w:type="spellEnd"/>
      <w:r w:rsidRPr="00A07F29">
        <w:rPr>
          <w:rFonts w:ascii="Times New Roman" w:eastAsia="Calibri" w:hAnsi="Times New Roman" w:cs="Calibri"/>
          <w:sz w:val="24"/>
        </w:rPr>
        <w:t xml:space="preserve"> u.c.) ielejās. </w:t>
      </w:r>
      <w:proofErr w:type="spellStart"/>
      <w:r w:rsidRPr="00A07F29">
        <w:rPr>
          <w:rFonts w:ascii="Times New Roman" w:eastAsia="Calibri" w:hAnsi="Times New Roman" w:cs="Calibri"/>
          <w:sz w:val="24"/>
        </w:rPr>
        <w:t>Glaciokarsta</w:t>
      </w:r>
      <w:proofErr w:type="spellEnd"/>
      <w:r w:rsidRPr="00A07F29">
        <w:rPr>
          <w:rFonts w:ascii="Times New Roman" w:eastAsia="Calibri" w:hAnsi="Times New Roman" w:cs="Calibri"/>
          <w:sz w:val="24"/>
        </w:rPr>
        <w:t xml:space="preserve"> ieplakās, reljefa pazeminājumos un atsevišķos </w:t>
      </w:r>
      <w:proofErr w:type="spellStart"/>
      <w:r w:rsidRPr="00A07F29">
        <w:rPr>
          <w:rFonts w:ascii="Times New Roman" w:eastAsia="Calibri" w:hAnsi="Times New Roman" w:cs="Calibri"/>
          <w:sz w:val="24"/>
        </w:rPr>
        <w:t>avotcirkos</w:t>
      </w:r>
      <w:proofErr w:type="spellEnd"/>
      <w:r w:rsidRPr="00A07F29">
        <w:rPr>
          <w:rFonts w:ascii="Times New Roman" w:eastAsia="Calibri" w:hAnsi="Times New Roman" w:cs="Calibri"/>
          <w:sz w:val="24"/>
        </w:rPr>
        <w:t xml:space="preserve"> labi izšķirama ir arī </w:t>
      </w:r>
      <w:r w:rsidR="00C37965" w:rsidRPr="00A07F29">
        <w:rPr>
          <w:rFonts w:ascii="Times New Roman" w:eastAsia="Calibri" w:hAnsi="Times New Roman" w:cs="Calibri"/>
          <w:sz w:val="24"/>
        </w:rPr>
        <w:t>(</w:t>
      </w:r>
      <w:r w:rsidRPr="00A07F29">
        <w:rPr>
          <w:rFonts w:ascii="Times New Roman" w:eastAsia="Calibri" w:hAnsi="Times New Roman" w:cs="Calibri"/>
          <w:sz w:val="24"/>
        </w:rPr>
        <w:t>bQ4</w:t>
      </w:r>
      <w:r w:rsidR="00C37965" w:rsidRPr="00A07F29">
        <w:rPr>
          <w:rFonts w:ascii="Times New Roman" w:eastAsia="Calibri" w:hAnsi="Times New Roman" w:cs="Calibri"/>
          <w:sz w:val="24"/>
        </w:rPr>
        <w:t>)</w:t>
      </w:r>
      <w:r w:rsidRPr="00A07F29">
        <w:rPr>
          <w:rFonts w:ascii="Times New Roman" w:eastAsia="Calibri" w:hAnsi="Times New Roman" w:cs="Calibri"/>
          <w:sz w:val="24"/>
        </w:rPr>
        <w:t xml:space="preserve"> zāļaina kūdra, bet ezeru ieplakās arī ezeru (lQ4) </w:t>
      </w:r>
      <w:proofErr w:type="spellStart"/>
      <w:r w:rsidRPr="00A07F29">
        <w:rPr>
          <w:rFonts w:ascii="Times New Roman" w:eastAsia="Calibri" w:hAnsi="Times New Roman" w:cs="Calibri"/>
          <w:sz w:val="24"/>
        </w:rPr>
        <w:t>sapropeļi</w:t>
      </w:r>
      <w:proofErr w:type="spellEnd"/>
      <w:r w:rsidRPr="00A07F29">
        <w:rPr>
          <w:rFonts w:ascii="Times New Roman" w:eastAsia="Calibri" w:hAnsi="Times New Roman" w:cs="Calibri"/>
          <w:sz w:val="24"/>
        </w:rPr>
        <w:t xml:space="preserve"> un dūņaini nogulumi. Reljefa nogāžu piekājēs sastopami plāni (0,5-2</w:t>
      </w:r>
      <w:r w:rsidR="00475A46" w:rsidRPr="00A07F29">
        <w:rPr>
          <w:rFonts w:ascii="Times New Roman" w:eastAsia="Calibri" w:hAnsi="Times New Roman" w:cs="Calibri"/>
          <w:sz w:val="24"/>
        </w:rPr>
        <w:t> </w:t>
      </w:r>
      <w:r w:rsidRPr="00A07F29">
        <w:rPr>
          <w:rFonts w:ascii="Times New Roman" w:eastAsia="Calibri" w:hAnsi="Times New Roman" w:cs="Calibri"/>
          <w:sz w:val="24"/>
        </w:rPr>
        <w:t xml:space="preserve">m) </w:t>
      </w:r>
      <w:proofErr w:type="spellStart"/>
      <w:r w:rsidRPr="00A07F29">
        <w:rPr>
          <w:rFonts w:ascii="Times New Roman" w:eastAsia="Calibri" w:hAnsi="Times New Roman" w:cs="Calibri"/>
          <w:sz w:val="24"/>
        </w:rPr>
        <w:t>koluviālie</w:t>
      </w:r>
      <w:proofErr w:type="spellEnd"/>
      <w:r w:rsidR="00475A46" w:rsidRPr="00A07F29">
        <w:rPr>
          <w:rFonts w:ascii="Times New Roman" w:eastAsia="Calibri" w:hAnsi="Times New Roman" w:cs="Calibri"/>
          <w:sz w:val="24"/>
        </w:rPr>
        <w:t xml:space="preserve"> (cQ4) </w:t>
      </w:r>
      <w:r w:rsidRPr="00A07F29">
        <w:rPr>
          <w:rFonts w:ascii="Times New Roman" w:eastAsia="Calibri" w:hAnsi="Times New Roman" w:cs="Calibri"/>
          <w:sz w:val="24"/>
        </w:rPr>
        <w:t xml:space="preserve">smilšmāla vai mālsmilts nogulumi, bet gravu lejtecēs un iznesu konos – īslaicīgu ūdensteču </w:t>
      </w:r>
      <w:proofErr w:type="spellStart"/>
      <w:r w:rsidRPr="00A07F29">
        <w:rPr>
          <w:rFonts w:ascii="Times New Roman" w:eastAsia="Calibri" w:hAnsi="Times New Roman" w:cs="Calibri"/>
          <w:sz w:val="24"/>
        </w:rPr>
        <w:t>proluviālie</w:t>
      </w:r>
      <w:proofErr w:type="spellEnd"/>
      <w:r w:rsidRPr="00A07F29">
        <w:rPr>
          <w:rFonts w:ascii="Times New Roman" w:eastAsia="Calibri" w:hAnsi="Times New Roman" w:cs="Calibri"/>
          <w:sz w:val="24"/>
        </w:rPr>
        <w:t xml:space="preserve"> (pQ4) nogulumi. Lokāli, saistībā ar pazemes ūdeņu izplūdes vietām, izplatīti limonīta un avotkaļķu </w:t>
      </w:r>
      <w:r w:rsidR="005D38C6" w:rsidRPr="00A07F29">
        <w:rPr>
          <w:rFonts w:ascii="Times New Roman" w:eastAsia="Calibri" w:hAnsi="Times New Roman" w:cs="Calibri"/>
          <w:sz w:val="24"/>
        </w:rPr>
        <w:t>(</w:t>
      </w:r>
      <w:r w:rsidRPr="00A07F29">
        <w:rPr>
          <w:rFonts w:ascii="Times New Roman" w:eastAsia="Calibri" w:hAnsi="Times New Roman" w:cs="Calibri"/>
          <w:sz w:val="24"/>
        </w:rPr>
        <w:t>fQ4</w:t>
      </w:r>
      <w:r w:rsidR="005D38C6" w:rsidRPr="00A07F29">
        <w:rPr>
          <w:rFonts w:ascii="Times New Roman" w:eastAsia="Calibri" w:hAnsi="Times New Roman" w:cs="Calibri"/>
          <w:sz w:val="24"/>
        </w:rPr>
        <w:t>)</w:t>
      </w:r>
      <w:r w:rsidRPr="00A07F29">
        <w:rPr>
          <w:rFonts w:ascii="Times New Roman" w:eastAsia="Calibri" w:hAnsi="Times New Roman" w:cs="Calibri"/>
          <w:sz w:val="24"/>
        </w:rPr>
        <w:t xml:space="preserve"> nogulumi.</w:t>
      </w:r>
    </w:p>
    <w:p w14:paraId="44C9814B" w14:textId="696DF11E" w:rsidR="00E5392D" w:rsidRPr="00A07F29" w:rsidRDefault="00E5392D" w:rsidP="00935EDF">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Ņemot vērā ainavu apvidus teritorijas ģenēzi un </w:t>
      </w:r>
      <w:proofErr w:type="spellStart"/>
      <w:r w:rsidRPr="00A07F29">
        <w:rPr>
          <w:rFonts w:ascii="Times New Roman" w:eastAsia="Calibri" w:hAnsi="Times New Roman" w:cs="Calibri"/>
          <w:sz w:val="24"/>
        </w:rPr>
        <w:t>formveidojošos</w:t>
      </w:r>
      <w:proofErr w:type="spellEnd"/>
      <w:r w:rsidRPr="00A07F29">
        <w:rPr>
          <w:rFonts w:ascii="Times New Roman" w:eastAsia="Calibri" w:hAnsi="Times New Roman" w:cs="Calibri"/>
          <w:sz w:val="24"/>
        </w:rPr>
        <w:t xml:space="preserve"> nogulumus, ainavu apvidus teritorijas lielā daļā tiek izdalīti ievērojami būvniecības grants, smilts un būvmateriālu ražošanai izmantojamu mālu krājumi. Taču derīgo izrakteņu ieguve ir jāsaskaņo ar dabas aizsardzības uzdevumiem, jo šāda veida saimnieciskā darbība var apdraudēt dabas vērtības, derīgo izrakteņu ieguves gaitā var tikt iznīcināti nozīmīgi ainavu apvidus biotopi, kā arī pilnībā var tikt degradēta ainava.</w:t>
      </w:r>
    </w:p>
    <w:p w14:paraId="077991D7" w14:textId="3FE76A4F" w:rsidR="002A7684" w:rsidRPr="00A07F29" w:rsidRDefault="002A7684" w:rsidP="002A7684">
      <w:pPr>
        <w:pStyle w:val="Heading3"/>
        <w:spacing w:before="120" w:after="120" w:line="240" w:lineRule="auto"/>
        <w:jc w:val="center"/>
        <w:rPr>
          <w:lang w:eastAsia="ja-JP"/>
        </w:rPr>
      </w:pPr>
      <w:bookmarkStart w:id="19" w:name="_Toc183433978"/>
      <w:r w:rsidRPr="00A07F29">
        <w:rPr>
          <w:lang w:eastAsia="ja-JP"/>
        </w:rPr>
        <w:lastRenderedPageBreak/>
        <w:t>2.2.1. Mū</w:t>
      </w:r>
      <w:r w:rsidR="00A7104B">
        <w:rPr>
          <w:lang w:eastAsia="ja-JP"/>
        </w:rPr>
        <w:t>s</w:t>
      </w:r>
      <w:r w:rsidRPr="00A07F29">
        <w:rPr>
          <w:lang w:eastAsia="ja-JP"/>
        </w:rPr>
        <w:t xml:space="preserve">dienu eksogēnie </w:t>
      </w:r>
      <w:r w:rsidR="00557931" w:rsidRPr="00A07F29">
        <w:rPr>
          <w:lang w:eastAsia="ja-JP"/>
        </w:rPr>
        <w:t>ģe</w:t>
      </w:r>
      <w:r w:rsidRPr="00A07F29">
        <w:rPr>
          <w:lang w:eastAsia="ja-JP"/>
        </w:rPr>
        <w:t>oloģiskie procesi</w:t>
      </w:r>
      <w:bookmarkEnd w:id="19"/>
    </w:p>
    <w:p w14:paraId="326C85C8" w14:textId="124DE82F" w:rsidR="002A7684" w:rsidRPr="00A07F29" w:rsidRDefault="002A7684" w:rsidP="002A7684">
      <w:pPr>
        <w:spacing w:after="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Ņemot vērā līdzšinējos pētījumus, ir noskaidrots, ka AAA </w:t>
      </w:r>
      <w:r w:rsidR="00557931" w:rsidRPr="00A07F29">
        <w:rPr>
          <w:rFonts w:ascii="Times New Roman" w:eastAsia="Calibri" w:hAnsi="Times New Roman" w:cs="Times New Roman"/>
          <w:sz w:val="24"/>
          <w:szCs w:val="24"/>
        </w:rPr>
        <w:t>“</w:t>
      </w:r>
      <w:r w:rsidRPr="00A07F29">
        <w:rPr>
          <w:rFonts w:ascii="Times New Roman" w:eastAsia="Calibri" w:hAnsi="Times New Roman" w:cs="Times New Roman"/>
          <w:sz w:val="24"/>
          <w:szCs w:val="24"/>
        </w:rPr>
        <w:t>Augšdaugava</w:t>
      </w:r>
      <w:r w:rsidR="00557931" w:rsidRPr="00A07F29">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teritorijā norisinās tādi mūsdienu eksogēn</w:t>
      </w:r>
      <w:r w:rsidR="00FA4887" w:rsidRPr="00A07F29">
        <w:rPr>
          <w:rFonts w:ascii="Times New Roman" w:eastAsia="Calibri" w:hAnsi="Times New Roman" w:cs="Times New Roman"/>
          <w:sz w:val="24"/>
          <w:szCs w:val="24"/>
        </w:rPr>
        <w:t>ie</w:t>
      </w:r>
      <w:r w:rsidRPr="00A07F29">
        <w:rPr>
          <w:rFonts w:ascii="Times New Roman" w:eastAsia="Calibri" w:hAnsi="Times New Roman" w:cs="Times New Roman"/>
          <w:sz w:val="24"/>
          <w:szCs w:val="24"/>
        </w:rPr>
        <w:t xml:space="preserve"> ģeoloģisk</w:t>
      </w:r>
      <w:r w:rsidR="00FA4887" w:rsidRPr="00A07F29">
        <w:rPr>
          <w:rFonts w:ascii="Times New Roman" w:eastAsia="Calibri" w:hAnsi="Times New Roman" w:cs="Times New Roman"/>
          <w:sz w:val="24"/>
          <w:szCs w:val="24"/>
        </w:rPr>
        <w:t>ie</w:t>
      </w:r>
      <w:r w:rsidRPr="00A07F29">
        <w:rPr>
          <w:rFonts w:ascii="Times New Roman" w:eastAsia="Calibri" w:hAnsi="Times New Roman" w:cs="Times New Roman"/>
          <w:sz w:val="24"/>
          <w:szCs w:val="24"/>
        </w:rPr>
        <w:t xml:space="preserve"> proces</w:t>
      </w:r>
      <w:r w:rsidR="00FA4887" w:rsidRPr="00A07F29">
        <w:rPr>
          <w:rFonts w:ascii="Times New Roman" w:eastAsia="Calibri" w:hAnsi="Times New Roman" w:cs="Times New Roman"/>
          <w:sz w:val="24"/>
          <w:szCs w:val="24"/>
        </w:rPr>
        <w:t>i</w:t>
      </w:r>
      <w:r w:rsidRPr="00A07F29">
        <w:rPr>
          <w:rFonts w:ascii="Times New Roman" w:eastAsia="Calibri" w:hAnsi="Times New Roman" w:cs="Times New Roman"/>
          <w:sz w:val="24"/>
          <w:szCs w:val="24"/>
        </w:rPr>
        <w:t xml:space="preserve"> kā </w:t>
      </w:r>
      <w:proofErr w:type="spellStart"/>
      <w:r w:rsidRPr="00A07F29">
        <w:rPr>
          <w:rFonts w:ascii="Times New Roman" w:eastAsia="Calibri" w:hAnsi="Times New Roman" w:cs="Times New Roman"/>
          <w:sz w:val="24"/>
          <w:szCs w:val="24"/>
        </w:rPr>
        <w:t>sufozija</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gravigēnie</w:t>
      </w:r>
      <w:proofErr w:type="spellEnd"/>
      <w:r w:rsidRPr="00A07F29">
        <w:rPr>
          <w:rFonts w:ascii="Times New Roman" w:eastAsia="Calibri" w:hAnsi="Times New Roman" w:cs="Times New Roman"/>
          <w:sz w:val="24"/>
          <w:szCs w:val="24"/>
        </w:rPr>
        <w:t xml:space="preserve"> nogāžu procesi, </w:t>
      </w:r>
      <w:proofErr w:type="spellStart"/>
      <w:r w:rsidRPr="00A07F29">
        <w:rPr>
          <w:rFonts w:ascii="Times New Roman" w:eastAsia="Calibri" w:hAnsi="Times New Roman" w:cs="Times New Roman"/>
          <w:sz w:val="24"/>
          <w:szCs w:val="24"/>
        </w:rPr>
        <w:t>fluviālie</w:t>
      </w:r>
      <w:proofErr w:type="spellEnd"/>
      <w:r w:rsidRPr="00A07F29">
        <w:rPr>
          <w:rFonts w:ascii="Times New Roman" w:eastAsia="Calibri" w:hAnsi="Times New Roman" w:cs="Times New Roman"/>
          <w:sz w:val="24"/>
          <w:szCs w:val="24"/>
        </w:rPr>
        <w:t xml:space="preserve"> nogāžu procesi un upju ģeoloģiskā darbība (skat. 2.2.1.1</w:t>
      </w:r>
      <w:r w:rsidR="00EE348F" w:rsidRPr="00A07F29">
        <w:rPr>
          <w:rFonts w:ascii="Times New Roman" w:eastAsia="Calibri" w:hAnsi="Times New Roman" w:cs="Times New Roman"/>
          <w:sz w:val="24"/>
          <w:szCs w:val="24"/>
        </w:rPr>
        <w:t> </w:t>
      </w:r>
      <w:r w:rsidRPr="00A07F29">
        <w:rPr>
          <w:rFonts w:ascii="Times New Roman" w:eastAsia="Calibri" w:hAnsi="Times New Roman" w:cs="Times New Roman"/>
          <w:sz w:val="24"/>
          <w:szCs w:val="24"/>
        </w:rPr>
        <w:t>tabulu).</w:t>
      </w:r>
    </w:p>
    <w:p w14:paraId="085519C2" w14:textId="77777777" w:rsidR="002A7684" w:rsidRPr="00A07F29" w:rsidRDefault="002A7684" w:rsidP="00557931">
      <w:pPr>
        <w:spacing w:after="0" w:line="240" w:lineRule="auto"/>
        <w:ind w:firstLine="851"/>
        <w:jc w:val="both"/>
        <w:rPr>
          <w:rFonts w:ascii="Times New Roman" w:eastAsia="Calibri" w:hAnsi="Times New Roman" w:cs="Times New Roman"/>
          <w:sz w:val="24"/>
          <w:szCs w:val="24"/>
        </w:rPr>
      </w:pPr>
    </w:p>
    <w:p w14:paraId="43C9E19F" w14:textId="36D3B7DE" w:rsidR="002A7684" w:rsidRPr="00A07F29" w:rsidRDefault="00EE348F" w:rsidP="002A7684">
      <w:pPr>
        <w:spacing w:after="120" w:line="240" w:lineRule="auto"/>
        <w:jc w:val="center"/>
        <w:rPr>
          <w:rFonts w:ascii="Times New Roman" w:eastAsia="Calibri" w:hAnsi="Times New Roman" w:cs="Times New Roman"/>
          <w:bCs/>
          <w:sz w:val="24"/>
        </w:rPr>
      </w:pPr>
      <w:r w:rsidRPr="00A07F29">
        <w:rPr>
          <w:rFonts w:ascii="Times New Roman" w:eastAsia="Calibri" w:hAnsi="Times New Roman" w:cs="Times New Roman"/>
          <w:bCs/>
          <w:sz w:val="24"/>
        </w:rPr>
        <w:t>2.2.1.</w:t>
      </w:r>
      <w:r w:rsidR="002A7684" w:rsidRPr="00A07F29">
        <w:rPr>
          <w:rFonts w:ascii="Times New Roman" w:eastAsia="Calibri" w:hAnsi="Times New Roman" w:cs="Times New Roman"/>
          <w:bCs/>
          <w:sz w:val="24"/>
        </w:rPr>
        <w:t>1.</w:t>
      </w:r>
      <w:r w:rsidRPr="00A07F29">
        <w:rPr>
          <w:rFonts w:ascii="Times New Roman" w:eastAsia="Calibri" w:hAnsi="Times New Roman" w:cs="Times New Roman"/>
          <w:bCs/>
          <w:sz w:val="24"/>
        </w:rPr>
        <w:t> </w:t>
      </w:r>
      <w:r w:rsidR="002A7684" w:rsidRPr="00A07F29">
        <w:rPr>
          <w:rFonts w:ascii="Times New Roman" w:eastAsia="Calibri" w:hAnsi="Times New Roman" w:cs="Times New Roman"/>
          <w:bCs/>
          <w:sz w:val="24"/>
        </w:rPr>
        <w:t xml:space="preserve">tabula. Pārskats par </w:t>
      </w:r>
      <w:r w:rsidR="002A7684" w:rsidRPr="00A07F29">
        <w:rPr>
          <w:rFonts w:ascii="Times New Roman" w:eastAsia="Calibri" w:hAnsi="Times New Roman" w:cs="Times New Roman"/>
          <w:sz w:val="24"/>
          <w:szCs w:val="24"/>
        </w:rPr>
        <w:t xml:space="preserve">AAA </w:t>
      </w:r>
      <w:r w:rsidR="00AC776D" w:rsidRPr="00A07F29">
        <w:rPr>
          <w:rFonts w:ascii="Times New Roman" w:eastAsia="Calibri" w:hAnsi="Times New Roman" w:cs="Times New Roman"/>
          <w:sz w:val="24"/>
          <w:szCs w:val="24"/>
        </w:rPr>
        <w:t>“</w:t>
      </w:r>
      <w:r w:rsidR="002A7684" w:rsidRPr="00A07F29">
        <w:rPr>
          <w:rFonts w:ascii="Times New Roman" w:eastAsia="Calibri" w:hAnsi="Times New Roman" w:cs="Times New Roman"/>
          <w:sz w:val="24"/>
          <w:szCs w:val="24"/>
        </w:rPr>
        <w:t>Augšdaugava</w:t>
      </w:r>
      <w:r w:rsidR="00AC776D" w:rsidRPr="00A07F29">
        <w:rPr>
          <w:rFonts w:ascii="Times New Roman" w:eastAsia="Calibri" w:hAnsi="Times New Roman" w:cs="Times New Roman"/>
          <w:sz w:val="24"/>
          <w:szCs w:val="24"/>
        </w:rPr>
        <w:t>”</w:t>
      </w:r>
      <w:r w:rsidR="002A7684" w:rsidRPr="00A07F29">
        <w:rPr>
          <w:rFonts w:ascii="Times New Roman" w:eastAsia="Calibri" w:hAnsi="Times New Roman" w:cs="Times New Roman"/>
          <w:sz w:val="24"/>
          <w:szCs w:val="24"/>
        </w:rPr>
        <w:t xml:space="preserve"> </w:t>
      </w:r>
      <w:r w:rsidR="002A7684" w:rsidRPr="00A07F29">
        <w:rPr>
          <w:rFonts w:ascii="Times New Roman" w:eastAsia="Calibri" w:hAnsi="Times New Roman" w:cs="Times New Roman"/>
          <w:bCs/>
          <w:sz w:val="24"/>
        </w:rPr>
        <w:t>teritorijā konstatētajiem mūsdienu eksogēnajiem ģeoloģiskajiem procesiem.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41"/>
        <w:gridCol w:w="1361"/>
        <w:gridCol w:w="624"/>
        <w:gridCol w:w="624"/>
        <w:gridCol w:w="510"/>
        <w:gridCol w:w="510"/>
        <w:gridCol w:w="510"/>
        <w:gridCol w:w="624"/>
        <w:gridCol w:w="624"/>
        <w:gridCol w:w="510"/>
        <w:gridCol w:w="510"/>
        <w:gridCol w:w="510"/>
      </w:tblGrid>
      <w:tr w:rsidR="002A7684" w:rsidRPr="00A07F29" w14:paraId="476A77D2" w14:textId="77777777" w:rsidTr="002A7684">
        <w:trPr>
          <w:cantSplit/>
          <w:jc w:val="center"/>
        </w:trPr>
        <w:tc>
          <w:tcPr>
            <w:tcW w:w="3402" w:type="dxa"/>
            <w:gridSpan w:val="2"/>
            <w:tcBorders>
              <w:top w:val="single" w:sz="12" w:space="0" w:color="auto"/>
              <w:left w:val="single" w:sz="12" w:space="0" w:color="auto"/>
              <w:bottom w:val="single" w:sz="12" w:space="0" w:color="auto"/>
              <w:right w:val="single" w:sz="12" w:space="0" w:color="auto"/>
            </w:tcBorders>
            <w:vAlign w:val="center"/>
          </w:tcPr>
          <w:p w14:paraId="32E168CE" w14:textId="77777777" w:rsidR="002A7684" w:rsidRPr="00A07F29" w:rsidRDefault="002A7684" w:rsidP="002A7684">
            <w:pPr>
              <w:spacing w:after="0" w:line="240" w:lineRule="auto"/>
              <w:jc w:val="center"/>
              <w:rPr>
                <w:rFonts w:ascii="Times New Roman" w:eastAsia="Calibri" w:hAnsi="Times New Roman" w:cs="Times New Roman"/>
                <w:b/>
                <w:bCs/>
                <w:sz w:val="24"/>
                <w:szCs w:val="24"/>
              </w:rPr>
            </w:pPr>
            <w:r w:rsidRPr="00A07F29">
              <w:rPr>
                <w:rFonts w:ascii="Times New Roman" w:eastAsia="Calibri" w:hAnsi="Times New Roman" w:cs="Times New Roman"/>
                <w:b/>
                <w:bCs/>
                <w:sz w:val="24"/>
                <w:szCs w:val="24"/>
              </w:rPr>
              <w:t>Mūsdienu eksogēnie ģeoloģiskie procesi</w:t>
            </w:r>
          </w:p>
        </w:tc>
        <w:tc>
          <w:tcPr>
            <w:tcW w:w="2778" w:type="dxa"/>
            <w:gridSpan w:val="5"/>
            <w:tcBorders>
              <w:top w:val="single" w:sz="12" w:space="0" w:color="auto"/>
              <w:left w:val="single" w:sz="12" w:space="0" w:color="auto"/>
              <w:bottom w:val="single" w:sz="12" w:space="0" w:color="auto"/>
              <w:right w:val="single" w:sz="12" w:space="0" w:color="auto"/>
            </w:tcBorders>
            <w:vAlign w:val="center"/>
          </w:tcPr>
          <w:p w14:paraId="0C7E6AB9" w14:textId="77777777" w:rsidR="002A7684" w:rsidRPr="00A07F29" w:rsidRDefault="002A7684" w:rsidP="002A7684">
            <w:pPr>
              <w:spacing w:after="0" w:line="220" w:lineRule="exact"/>
              <w:jc w:val="center"/>
              <w:rPr>
                <w:rFonts w:ascii="Times New Roman" w:eastAsia="Calibri" w:hAnsi="Times New Roman" w:cs="Times New Roman"/>
                <w:b/>
                <w:bCs/>
                <w:sz w:val="24"/>
                <w:szCs w:val="24"/>
              </w:rPr>
            </w:pPr>
          </w:p>
          <w:p w14:paraId="68D10469" w14:textId="77777777" w:rsidR="002A7684" w:rsidRPr="00A07F29" w:rsidRDefault="002A7684" w:rsidP="002A7684">
            <w:pPr>
              <w:spacing w:after="0" w:line="220" w:lineRule="exact"/>
              <w:jc w:val="center"/>
              <w:rPr>
                <w:rFonts w:ascii="Times New Roman" w:eastAsia="Calibri" w:hAnsi="Times New Roman" w:cs="Times New Roman"/>
                <w:b/>
                <w:bCs/>
                <w:sz w:val="24"/>
                <w:szCs w:val="24"/>
              </w:rPr>
            </w:pPr>
            <w:r w:rsidRPr="00A07F29">
              <w:rPr>
                <w:rFonts w:ascii="Times New Roman" w:eastAsia="Calibri" w:hAnsi="Times New Roman" w:cs="Times New Roman"/>
                <w:b/>
                <w:bCs/>
                <w:sz w:val="24"/>
                <w:szCs w:val="24"/>
              </w:rPr>
              <w:t xml:space="preserve">Faktori, kuri veicina procesa norisi Daugavas </w:t>
            </w:r>
            <w:proofErr w:type="spellStart"/>
            <w:r w:rsidRPr="00A07F29">
              <w:rPr>
                <w:rFonts w:ascii="Times New Roman" w:eastAsia="Calibri" w:hAnsi="Times New Roman" w:cs="Times New Roman"/>
                <w:b/>
                <w:bCs/>
                <w:sz w:val="24"/>
                <w:szCs w:val="24"/>
              </w:rPr>
              <w:t>senielejā</w:t>
            </w:r>
            <w:proofErr w:type="spellEnd"/>
          </w:p>
          <w:p w14:paraId="35A31BBE" w14:textId="77777777" w:rsidR="002A7684" w:rsidRPr="00A07F29" w:rsidRDefault="002A7684" w:rsidP="002A7684">
            <w:pPr>
              <w:spacing w:after="0" w:line="220" w:lineRule="exact"/>
              <w:jc w:val="center"/>
              <w:rPr>
                <w:rFonts w:ascii="Times New Roman" w:eastAsia="Calibri" w:hAnsi="Times New Roman" w:cs="Times New Roman"/>
                <w:b/>
                <w:bCs/>
                <w:sz w:val="24"/>
                <w:szCs w:val="24"/>
              </w:rPr>
            </w:pPr>
          </w:p>
        </w:tc>
        <w:tc>
          <w:tcPr>
            <w:tcW w:w="2778" w:type="dxa"/>
            <w:gridSpan w:val="5"/>
            <w:tcBorders>
              <w:top w:val="single" w:sz="12" w:space="0" w:color="auto"/>
              <w:left w:val="single" w:sz="12" w:space="0" w:color="auto"/>
              <w:bottom w:val="single" w:sz="12" w:space="0" w:color="auto"/>
              <w:right w:val="single" w:sz="12" w:space="0" w:color="auto"/>
            </w:tcBorders>
            <w:vAlign w:val="center"/>
          </w:tcPr>
          <w:p w14:paraId="4D6C1B91" w14:textId="77777777" w:rsidR="002A7684" w:rsidRPr="00A07F29" w:rsidRDefault="002A7684" w:rsidP="002A7684">
            <w:pPr>
              <w:spacing w:after="0" w:line="220" w:lineRule="exact"/>
              <w:jc w:val="center"/>
              <w:rPr>
                <w:rFonts w:ascii="Times New Roman" w:eastAsia="Calibri" w:hAnsi="Times New Roman" w:cs="Times New Roman"/>
                <w:b/>
                <w:bCs/>
                <w:sz w:val="24"/>
                <w:szCs w:val="24"/>
              </w:rPr>
            </w:pPr>
            <w:r w:rsidRPr="00A07F29">
              <w:rPr>
                <w:rFonts w:ascii="Times New Roman" w:eastAsia="Calibri" w:hAnsi="Times New Roman" w:cs="Times New Roman"/>
                <w:b/>
                <w:bCs/>
                <w:sz w:val="24"/>
                <w:szCs w:val="24"/>
              </w:rPr>
              <w:t xml:space="preserve">Faktori, kuri aizkavē procesa norisi Daugavas </w:t>
            </w:r>
            <w:proofErr w:type="spellStart"/>
            <w:r w:rsidRPr="00A07F29">
              <w:rPr>
                <w:rFonts w:ascii="Times New Roman" w:eastAsia="Calibri" w:hAnsi="Times New Roman" w:cs="Times New Roman"/>
                <w:b/>
                <w:bCs/>
                <w:sz w:val="24"/>
                <w:szCs w:val="24"/>
              </w:rPr>
              <w:t>senielejā</w:t>
            </w:r>
            <w:proofErr w:type="spellEnd"/>
          </w:p>
        </w:tc>
      </w:tr>
      <w:tr w:rsidR="002A7684" w:rsidRPr="00A07F29" w14:paraId="64BEF1DB" w14:textId="77777777" w:rsidTr="002A7684">
        <w:trPr>
          <w:cantSplit/>
          <w:trHeight w:hRule="exact" w:val="2721"/>
          <w:jc w:val="center"/>
        </w:trPr>
        <w:tc>
          <w:tcPr>
            <w:tcW w:w="2041" w:type="dxa"/>
            <w:tcBorders>
              <w:top w:val="single" w:sz="12" w:space="0" w:color="auto"/>
              <w:left w:val="single" w:sz="12" w:space="0" w:color="auto"/>
              <w:bottom w:val="single" w:sz="8" w:space="0" w:color="auto"/>
              <w:right w:val="single" w:sz="6" w:space="0" w:color="auto"/>
            </w:tcBorders>
            <w:vAlign w:val="center"/>
          </w:tcPr>
          <w:p w14:paraId="5A838D94" w14:textId="77777777" w:rsidR="002A7684" w:rsidRPr="00A07F29" w:rsidRDefault="002A7684" w:rsidP="002A7684">
            <w:pPr>
              <w:spacing w:after="0" w:line="240" w:lineRule="auto"/>
              <w:jc w:val="center"/>
              <w:rPr>
                <w:rFonts w:ascii="Times New Roman" w:eastAsia="Calibri" w:hAnsi="Times New Roman" w:cs="Times New Roman"/>
                <w:bCs/>
                <w:sz w:val="24"/>
                <w:szCs w:val="24"/>
              </w:rPr>
            </w:pPr>
            <w:r w:rsidRPr="00A07F29">
              <w:rPr>
                <w:rFonts w:ascii="Times New Roman" w:eastAsia="Calibri" w:hAnsi="Times New Roman" w:cs="Times New Roman"/>
                <w:bCs/>
                <w:sz w:val="24"/>
                <w:szCs w:val="24"/>
              </w:rPr>
              <w:t>Latvijas teritorijā aprakstītie</w:t>
            </w:r>
          </w:p>
        </w:tc>
        <w:tc>
          <w:tcPr>
            <w:tcW w:w="1361" w:type="dxa"/>
            <w:tcBorders>
              <w:top w:val="single" w:sz="12" w:space="0" w:color="auto"/>
              <w:left w:val="single" w:sz="6" w:space="0" w:color="auto"/>
              <w:bottom w:val="single" w:sz="8" w:space="0" w:color="auto"/>
              <w:right w:val="single" w:sz="12" w:space="0" w:color="auto"/>
            </w:tcBorders>
            <w:vAlign w:val="center"/>
          </w:tcPr>
          <w:p w14:paraId="03DB3BE3" w14:textId="77777777" w:rsidR="002A7684" w:rsidRPr="00A07F29" w:rsidRDefault="002A7684" w:rsidP="002A7684">
            <w:pPr>
              <w:spacing w:after="0" w:line="240" w:lineRule="auto"/>
              <w:jc w:val="center"/>
              <w:rPr>
                <w:rFonts w:ascii="Times New Roman" w:eastAsia="Calibri" w:hAnsi="Times New Roman" w:cs="Times New Roman"/>
                <w:b/>
                <w:bCs/>
                <w:sz w:val="24"/>
                <w:szCs w:val="24"/>
              </w:rPr>
            </w:pPr>
            <w:r w:rsidRPr="00A07F29">
              <w:rPr>
                <w:rFonts w:ascii="Times New Roman" w:eastAsia="Calibri" w:hAnsi="Times New Roman" w:cs="Times New Roman"/>
                <w:b/>
                <w:bCs/>
                <w:sz w:val="24"/>
                <w:szCs w:val="24"/>
              </w:rPr>
              <w:t xml:space="preserve">Daugavas </w:t>
            </w:r>
            <w:proofErr w:type="spellStart"/>
            <w:r w:rsidRPr="00A07F29">
              <w:rPr>
                <w:rFonts w:ascii="Times New Roman" w:eastAsia="Calibri" w:hAnsi="Times New Roman" w:cs="Times New Roman"/>
                <w:b/>
                <w:bCs/>
                <w:sz w:val="24"/>
                <w:szCs w:val="24"/>
              </w:rPr>
              <w:t>senielejā</w:t>
            </w:r>
            <w:proofErr w:type="spellEnd"/>
            <w:r w:rsidRPr="00A07F29">
              <w:rPr>
                <w:rFonts w:ascii="Times New Roman" w:eastAsia="Calibri" w:hAnsi="Times New Roman" w:cs="Times New Roman"/>
                <w:b/>
                <w:bCs/>
                <w:sz w:val="24"/>
                <w:szCs w:val="24"/>
              </w:rPr>
              <w:t xml:space="preserve"> konstatētie</w:t>
            </w:r>
          </w:p>
        </w:tc>
        <w:tc>
          <w:tcPr>
            <w:tcW w:w="624" w:type="dxa"/>
            <w:tcBorders>
              <w:top w:val="single" w:sz="12" w:space="0" w:color="auto"/>
              <w:left w:val="single" w:sz="12" w:space="0" w:color="auto"/>
              <w:bottom w:val="single" w:sz="8" w:space="0" w:color="auto"/>
              <w:right w:val="single" w:sz="6" w:space="0" w:color="auto"/>
            </w:tcBorders>
            <w:textDirection w:val="btLr"/>
            <w:vAlign w:val="center"/>
          </w:tcPr>
          <w:p w14:paraId="0C953422" w14:textId="77777777" w:rsidR="002A7684" w:rsidRPr="00A07F29" w:rsidRDefault="002A7684" w:rsidP="002A7684">
            <w:pPr>
              <w:spacing w:after="0" w:line="220" w:lineRule="exact"/>
              <w:ind w:left="113" w:right="113"/>
              <w:jc w:val="center"/>
              <w:rPr>
                <w:rFonts w:ascii="Times New Roman" w:eastAsia="Calibri" w:hAnsi="Times New Roman" w:cs="Times New Roman"/>
                <w:bCs/>
                <w:sz w:val="24"/>
                <w:szCs w:val="24"/>
              </w:rPr>
            </w:pPr>
            <w:r w:rsidRPr="00A07F29">
              <w:rPr>
                <w:rFonts w:ascii="Times New Roman" w:eastAsia="Calibri" w:hAnsi="Times New Roman" w:cs="Times New Roman"/>
                <w:bCs/>
                <w:sz w:val="24"/>
                <w:szCs w:val="24"/>
              </w:rPr>
              <w:t xml:space="preserve">Teritorijas </w:t>
            </w:r>
            <w:proofErr w:type="spellStart"/>
            <w:r w:rsidRPr="00A07F29">
              <w:rPr>
                <w:rFonts w:ascii="Times New Roman" w:eastAsia="Calibri" w:hAnsi="Times New Roman" w:cs="Times New Roman"/>
                <w:bCs/>
                <w:sz w:val="24"/>
                <w:szCs w:val="24"/>
              </w:rPr>
              <w:t>fizioģeogrāfiskās</w:t>
            </w:r>
            <w:proofErr w:type="spellEnd"/>
            <w:r w:rsidRPr="00A07F29">
              <w:rPr>
                <w:rFonts w:ascii="Times New Roman" w:eastAsia="Calibri" w:hAnsi="Times New Roman" w:cs="Times New Roman"/>
                <w:bCs/>
                <w:sz w:val="24"/>
                <w:szCs w:val="24"/>
              </w:rPr>
              <w:t xml:space="preserve"> iezīmes</w:t>
            </w:r>
          </w:p>
        </w:tc>
        <w:tc>
          <w:tcPr>
            <w:tcW w:w="624" w:type="dxa"/>
            <w:tcBorders>
              <w:top w:val="single" w:sz="12" w:space="0" w:color="auto"/>
              <w:left w:val="single" w:sz="6" w:space="0" w:color="auto"/>
              <w:bottom w:val="single" w:sz="8" w:space="0" w:color="auto"/>
              <w:right w:val="single" w:sz="6" w:space="0" w:color="auto"/>
            </w:tcBorders>
            <w:textDirection w:val="btLr"/>
            <w:vAlign w:val="center"/>
          </w:tcPr>
          <w:p w14:paraId="52FDA676" w14:textId="7341840E" w:rsidR="002A7684" w:rsidRPr="00A07F29" w:rsidRDefault="002A7684" w:rsidP="002A7684">
            <w:pPr>
              <w:spacing w:after="0" w:line="220" w:lineRule="exact"/>
              <w:ind w:left="113" w:right="113"/>
              <w:jc w:val="center"/>
              <w:rPr>
                <w:rFonts w:ascii="Times New Roman" w:eastAsia="Calibri" w:hAnsi="Times New Roman" w:cs="Times New Roman"/>
                <w:bCs/>
                <w:sz w:val="24"/>
                <w:szCs w:val="24"/>
              </w:rPr>
            </w:pPr>
            <w:r w:rsidRPr="00A07F29">
              <w:rPr>
                <w:rFonts w:ascii="Times New Roman" w:eastAsia="Calibri" w:hAnsi="Times New Roman" w:cs="Times New Roman"/>
                <w:bCs/>
                <w:sz w:val="24"/>
                <w:szCs w:val="24"/>
              </w:rPr>
              <w:t>Ģeoloģiskā uzbūve</w:t>
            </w:r>
          </w:p>
        </w:tc>
        <w:tc>
          <w:tcPr>
            <w:tcW w:w="510" w:type="dxa"/>
            <w:tcBorders>
              <w:top w:val="single" w:sz="12" w:space="0" w:color="auto"/>
              <w:left w:val="single" w:sz="6" w:space="0" w:color="auto"/>
              <w:bottom w:val="single" w:sz="8" w:space="0" w:color="auto"/>
              <w:right w:val="single" w:sz="6" w:space="0" w:color="auto"/>
            </w:tcBorders>
            <w:textDirection w:val="btLr"/>
            <w:vAlign w:val="center"/>
          </w:tcPr>
          <w:p w14:paraId="67E7D9DA" w14:textId="77777777" w:rsidR="002A7684" w:rsidRPr="00A07F29" w:rsidRDefault="002A7684" w:rsidP="002A7684">
            <w:pPr>
              <w:spacing w:after="0" w:line="220" w:lineRule="exact"/>
              <w:ind w:left="113" w:right="113"/>
              <w:jc w:val="center"/>
              <w:rPr>
                <w:rFonts w:ascii="Times New Roman" w:eastAsia="Calibri" w:hAnsi="Times New Roman" w:cs="Times New Roman"/>
                <w:bCs/>
                <w:sz w:val="24"/>
                <w:szCs w:val="24"/>
              </w:rPr>
            </w:pPr>
            <w:r w:rsidRPr="00A07F29">
              <w:rPr>
                <w:rFonts w:ascii="Times New Roman" w:eastAsia="Calibri" w:hAnsi="Times New Roman" w:cs="Times New Roman"/>
                <w:bCs/>
                <w:sz w:val="24"/>
                <w:szCs w:val="24"/>
              </w:rPr>
              <w:t>Reljefs</w:t>
            </w:r>
          </w:p>
        </w:tc>
        <w:tc>
          <w:tcPr>
            <w:tcW w:w="510" w:type="dxa"/>
            <w:tcBorders>
              <w:top w:val="single" w:sz="12" w:space="0" w:color="auto"/>
              <w:left w:val="single" w:sz="6" w:space="0" w:color="auto"/>
              <w:bottom w:val="single" w:sz="8" w:space="0" w:color="auto"/>
              <w:right w:val="single" w:sz="6" w:space="0" w:color="auto"/>
            </w:tcBorders>
            <w:textDirection w:val="btLr"/>
            <w:vAlign w:val="center"/>
          </w:tcPr>
          <w:p w14:paraId="449D69FE" w14:textId="77777777" w:rsidR="002A7684" w:rsidRPr="00A07F29" w:rsidRDefault="002A7684" w:rsidP="002A7684">
            <w:pPr>
              <w:spacing w:after="0" w:line="220" w:lineRule="exact"/>
              <w:ind w:left="113" w:right="113"/>
              <w:jc w:val="center"/>
              <w:rPr>
                <w:rFonts w:ascii="Times New Roman" w:eastAsia="Calibri" w:hAnsi="Times New Roman" w:cs="Times New Roman"/>
                <w:bCs/>
                <w:sz w:val="24"/>
                <w:szCs w:val="24"/>
              </w:rPr>
            </w:pPr>
            <w:r w:rsidRPr="00A07F29">
              <w:rPr>
                <w:rFonts w:ascii="Times New Roman" w:eastAsia="Calibri" w:hAnsi="Times New Roman" w:cs="Times New Roman"/>
                <w:bCs/>
                <w:sz w:val="24"/>
                <w:szCs w:val="24"/>
              </w:rPr>
              <w:t>Klimatiskie apstākļi</w:t>
            </w:r>
          </w:p>
        </w:tc>
        <w:tc>
          <w:tcPr>
            <w:tcW w:w="510" w:type="dxa"/>
            <w:tcBorders>
              <w:top w:val="single" w:sz="12" w:space="0" w:color="auto"/>
              <w:left w:val="single" w:sz="6" w:space="0" w:color="auto"/>
              <w:bottom w:val="single" w:sz="8" w:space="0" w:color="auto"/>
              <w:right w:val="single" w:sz="12" w:space="0" w:color="auto"/>
            </w:tcBorders>
            <w:textDirection w:val="btLr"/>
            <w:vAlign w:val="center"/>
          </w:tcPr>
          <w:p w14:paraId="65F82165" w14:textId="77777777" w:rsidR="002A7684" w:rsidRPr="00A07F29" w:rsidRDefault="002A7684" w:rsidP="002A7684">
            <w:pPr>
              <w:spacing w:after="0" w:line="220" w:lineRule="exact"/>
              <w:ind w:left="113" w:right="113"/>
              <w:jc w:val="center"/>
              <w:rPr>
                <w:rFonts w:ascii="Times New Roman" w:eastAsia="Calibri" w:hAnsi="Times New Roman" w:cs="Times New Roman"/>
                <w:bCs/>
                <w:sz w:val="24"/>
                <w:szCs w:val="24"/>
              </w:rPr>
            </w:pPr>
            <w:r w:rsidRPr="00A07F29">
              <w:rPr>
                <w:rFonts w:ascii="Times New Roman" w:eastAsia="Calibri" w:hAnsi="Times New Roman" w:cs="Times New Roman"/>
                <w:bCs/>
                <w:sz w:val="24"/>
                <w:szCs w:val="24"/>
              </w:rPr>
              <w:t>Antropogēnā ietekme</w:t>
            </w:r>
          </w:p>
        </w:tc>
        <w:tc>
          <w:tcPr>
            <w:tcW w:w="624" w:type="dxa"/>
            <w:tcBorders>
              <w:top w:val="single" w:sz="12" w:space="0" w:color="auto"/>
              <w:left w:val="single" w:sz="12" w:space="0" w:color="auto"/>
              <w:bottom w:val="single" w:sz="8" w:space="0" w:color="auto"/>
              <w:right w:val="single" w:sz="6" w:space="0" w:color="auto"/>
            </w:tcBorders>
            <w:textDirection w:val="btLr"/>
            <w:vAlign w:val="center"/>
          </w:tcPr>
          <w:p w14:paraId="7B25FDA6" w14:textId="77777777" w:rsidR="002A7684" w:rsidRPr="00A07F29" w:rsidRDefault="002A7684" w:rsidP="002A7684">
            <w:pPr>
              <w:spacing w:after="0" w:line="220" w:lineRule="exact"/>
              <w:ind w:left="113" w:right="113"/>
              <w:jc w:val="center"/>
              <w:rPr>
                <w:rFonts w:ascii="Times New Roman" w:eastAsia="Calibri" w:hAnsi="Times New Roman" w:cs="Times New Roman"/>
                <w:bCs/>
                <w:sz w:val="24"/>
                <w:szCs w:val="24"/>
              </w:rPr>
            </w:pPr>
            <w:r w:rsidRPr="00A07F29">
              <w:rPr>
                <w:rFonts w:ascii="Times New Roman" w:eastAsia="Calibri" w:hAnsi="Times New Roman" w:cs="Times New Roman"/>
                <w:bCs/>
                <w:sz w:val="24"/>
                <w:szCs w:val="24"/>
              </w:rPr>
              <w:t xml:space="preserve">Teritorijas </w:t>
            </w:r>
            <w:proofErr w:type="spellStart"/>
            <w:r w:rsidRPr="00A07F29">
              <w:rPr>
                <w:rFonts w:ascii="Times New Roman" w:eastAsia="Calibri" w:hAnsi="Times New Roman" w:cs="Times New Roman"/>
                <w:bCs/>
                <w:sz w:val="24"/>
                <w:szCs w:val="24"/>
              </w:rPr>
              <w:t>fizioģeogrāfiskās</w:t>
            </w:r>
            <w:proofErr w:type="spellEnd"/>
            <w:r w:rsidRPr="00A07F29">
              <w:rPr>
                <w:rFonts w:ascii="Times New Roman" w:eastAsia="Calibri" w:hAnsi="Times New Roman" w:cs="Times New Roman"/>
                <w:bCs/>
                <w:sz w:val="24"/>
                <w:szCs w:val="24"/>
              </w:rPr>
              <w:t xml:space="preserve"> iezīmes</w:t>
            </w:r>
          </w:p>
        </w:tc>
        <w:tc>
          <w:tcPr>
            <w:tcW w:w="624" w:type="dxa"/>
            <w:tcBorders>
              <w:top w:val="single" w:sz="12" w:space="0" w:color="auto"/>
              <w:left w:val="single" w:sz="6" w:space="0" w:color="auto"/>
              <w:bottom w:val="single" w:sz="8" w:space="0" w:color="auto"/>
              <w:right w:val="single" w:sz="6" w:space="0" w:color="auto"/>
            </w:tcBorders>
            <w:textDirection w:val="btLr"/>
            <w:vAlign w:val="center"/>
          </w:tcPr>
          <w:p w14:paraId="7B80C0F6" w14:textId="29FEA934" w:rsidR="002A7684" w:rsidRPr="00A07F29" w:rsidRDefault="002A7684" w:rsidP="002A7684">
            <w:pPr>
              <w:spacing w:after="0" w:line="220" w:lineRule="exact"/>
              <w:ind w:left="113" w:right="113"/>
              <w:jc w:val="center"/>
              <w:rPr>
                <w:rFonts w:ascii="Times New Roman" w:eastAsia="Calibri" w:hAnsi="Times New Roman" w:cs="Times New Roman"/>
                <w:bCs/>
                <w:sz w:val="24"/>
                <w:szCs w:val="24"/>
              </w:rPr>
            </w:pPr>
            <w:r w:rsidRPr="00A07F29">
              <w:rPr>
                <w:rFonts w:ascii="Times New Roman" w:eastAsia="Calibri" w:hAnsi="Times New Roman" w:cs="Times New Roman"/>
                <w:bCs/>
                <w:sz w:val="24"/>
                <w:szCs w:val="24"/>
              </w:rPr>
              <w:t>Ģeoloģiskā uzbūve</w:t>
            </w:r>
          </w:p>
        </w:tc>
        <w:tc>
          <w:tcPr>
            <w:tcW w:w="510" w:type="dxa"/>
            <w:tcBorders>
              <w:top w:val="single" w:sz="12" w:space="0" w:color="auto"/>
              <w:left w:val="single" w:sz="6" w:space="0" w:color="auto"/>
              <w:bottom w:val="single" w:sz="8" w:space="0" w:color="auto"/>
              <w:right w:val="single" w:sz="6" w:space="0" w:color="auto"/>
            </w:tcBorders>
            <w:textDirection w:val="btLr"/>
            <w:vAlign w:val="center"/>
          </w:tcPr>
          <w:p w14:paraId="1577A0B8" w14:textId="77777777" w:rsidR="002A7684" w:rsidRPr="00A07F29" w:rsidRDefault="002A7684" w:rsidP="002A7684">
            <w:pPr>
              <w:spacing w:after="0" w:line="220" w:lineRule="exact"/>
              <w:ind w:left="113" w:right="113"/>
              <w:jc w:val="center"/>
              <w:rPr>
                <w:rFonts w:ascii="Times New Roman" w:eastAsia="Calibri" w:hAnsi="Times New Roman" w:cs="Times New Roman"/>
                <w:bCs/>
                <w:sz w:val="24"/>
                <w:szCs w:val="24"/>
              </w:rPr>
            </w:pPr>
            <w:r w:rsidRPr="00A07F29">
              <w:rPr>
                <w:rFonts w:ascii="Times New Roman" w:eastAsia="Calibri" w:hAnsi="Times New Roman" w:cs="Times New Roman"/>
                <w:bCs/>
                <w:sz w:val="24"/>
                <w:szCs w:val="24"/>
              </w:rPr>
              <w:t>Reljefs</w:t>
            </w:r>
          </w:p>
        </w:tc>
        <w:tc>
          <w:tcPr>
            <w:tcW w:w="510" w:type="dxa"/>
            <w:tcBorders>
              <w:top w:val="single" w:sz="12" w:space="0" w:color="auto"/>
              <w:left w:val="single" w:sz="6" w:space="0" w:color="auto"/>
              <w:bottom w:val="single" w:sz="8" w:space="0" w:color="auto"/>
              <w:right w:val="single" w:sz="6" w:space="0" w:color="auto"/>
            </w:tcBorders>
            <w:textDirection w:val="btLr"/>
            <w:vAlign w:val="center"/>
          </w:tcPr>
          <w:p w14:paraId="295D765B" w14:textId="77777777" w:rsidR="002A7684" w:rsidRPr="00A07F29" w:rsidRDefault="002A7684" w:rsidP="002A7684">
            <w:pPr>
              <w:spacing w:after="0" w:line="220" w:lineRule="exact"/>
              <w:ind w:left="113" w:right="113"/>
              <w:jc w:val="center"/>
              <w:rPr>
                <w:rFonts w:ascii="Times New Roman" w:eastAsia="Calibri" w:hAnsi="Times New Roman" w:cs="Times New Roman"/>
                <w:bCs/>
                <w:sz w:val="24"/>
                <w:szCs w:val="24"/>
              </w:rPr>
            </w:pPr>
            <w:r w:rsidRPr="00A07F29">
              <w:rPr>
                <w:rFonts w:ascii="Times New Roman" w:eastAsia="Calibri" w:hAnsi="Times New Roman" w:cs="Times New Roman"/>
                <w:bCs/>
                <w:sz w:val="24"/>
                <w:szCs w:val="24"/>
              </w:rPr>
              <w:t>Klimatiskie apstākļi</w:t>
            </w:r>
          </w:p>
        </w:tc>
        <w:tc>
          <w:tcPr>
            <w:tcW w:w="510" w:type="dxa"/>
            <w:tcBorders>
              <w:top w:val="single" w:sz="12" w:space="0" w:color="auto"/>
              <w:left w:val="single" w:sz="6" w:space="0" w:color="auto"/>
              <w:bottom w:val="single" w:sz="8" w:space="0" w:color="auto"/>
              <w:right w:val="single" w:sz="12" w:space="0" w:color="auto"/>
            </w:tcBorders>
            <w:textDirection w:val="btLr"/>
            <w:vAlign w:val="center"/>
          </w:tcPr>
          <w:p w14:paraId="01924DCA" w14:textId="77777777" w:rsidR="002A7684" w:rsidRPr="00A07F29" w:rsidRDefault="002A7684" w:rsidP="002A7684">
            <w:pPr>
              <w:spacing w:after="0" w:line="220" w:lineRule="exact"/>
              <w:ind w:left="113" w:right="113"/>
              <w:jc w:val="center"/>
              <w:rPr>
                <w:rFonts w:ascii="Times New Roman" w:eastAsia="Calibri" w:hAnsi="Times New Roman" w:cs="Times New Roman"/>
                <w:bCs/>
                <w:sz w:val="24"/>
                <w:szCs w:val="24"/>
              </w:rPr>
            </w:pPr>
            <w:r w:rsidRPr="00A07F29">
              <w:rPr>
                <w:rFonts w:ascii="Times New Roman" w:eastAsia="Calibri" w:hAnsi="Times New Roman" w:cs="Times New Roman"/>
                <w:bCs/>
                <w:sz w:val="24"/>
                <w:szCs w:val="24"/>
              </w:rPr>
              <w:t>Antropogēnā ietekme</w:t>
            </w:r>
          </w:p>
        </w:tc>
      </w:tr>
      <w:tr w:rsidR="00557931" w:rsidRPr="00A07F29" w14:paraId="747FAF27" w14:textId="77777777" w:rsidTr="00557931">
        <w:trPr>
          <w:trHeight w:hRule="exact" w:val="567"/>
          <w:jc w:val="center"/>
        </w:trPr>
        <w:tc>
          <w:tcPr>
            <w:tcW w:w="2041" w:type="dxa"/>
            <w:tcBorders>
              <w:top w:val="single" w:sz="8" w:space="0" w:color="auto"/>
              <w:left w:val="single" w:sz="12" w:space="0" w:color="auto"/>
              <w:bottom w:val="single" w:sz="6" w:space="0" w:color="auto"/>
              <w:right w:val="single" w:sz="6" w:space="0" w:color="auto"/>
            </w:tcBorders>
            <w:shd w:val="clear" w:color="auto" w:fill="auto"/>
            <w:vAlign w:val="center"/>
          </w:tcPr>
          <w:p w14:paraId="0C515699" w14:textId="77777777" w:rsidR="002A7684" w:rsidRPr="00A07F29" w:rsidRDefault="002A7684" w:rsidP="002A7684">
            <w:pPr>
              <w:spacing w:after="0" w:line="240" w:lineRule="auto"/>
              <w:rPr>
                <w:rFonts w:ascii="Times New Roman" w:eastAsia="Calibri" w:hAnsi="Times New Roman" w:cs="Times New Roman"/>
                <w:bCs/>
                <w:sz w:val="24"/>
                <w:szCs w:val="24"/>
              </w:rPr>
            </w:pPr>
            <w:r w:rsidRPr="00A07F29">
              <w:rPr>
                <w:rFonts w:ascii="Times New Roman" w:eastAsia="Calibri" w:hAnsi="Times New Roman" w:cs="Times New Roman"/>
                <w:bCs/>
                <w:sz w:val="24"/>
                <w:szCs w:val="24"/>
              </w:rPr>
              <w:t>Karsts</w:t>
            </w:r>
          </w:p>
        </w:tc>
        <w:tc>
          <w:tcPr>
            <w:tcW w:w="1361" w:type="dxa"/>
            <w:tcBorders>
              <w:top w:val="single" w:sz="8" w:space="0" w:color="auto"/>
              <w:left w:val="single" w:sz="6" w:space="0" w:color="auto"/>
              <w:bottom w:val="single" w:sz="6" w:space="0" w:color="auto"/>
              <w:right w:val="single" w:sz="12" w:space="0" w:color="auto"/>
            </w:tcBorders>
            <w:shd w:val="clear" w:color="auto" w:fill="auto"/>
            <w:vAlign w:val="center"/>
          </w:tcPr>
          <w:p w14:paraId="2773EA13" w14:textId="77777777" w:rsidR="002A7684" w:rsidRPr="00A07F29" w:rsidRDefault="002A7684" w:rsidP="002A7684">
            <w:pPr>
              <w:spacing w:after="0" w:line="240" w:lineRule="auto"/>
              <w:jc w:val="center"/>
              <w:rPr>
                <w:rFonts w:ascii="Times New Roman" w:eastAsia="Calibri" w:hAnsi="Times New Roman" w:cs="Times New Roman"/>
                <w:b/>
                <w:bCs/>
                <w:sz w:val="28"/>
                <w:szCs w:val="28"/>
              </w:rPr>
            </w:pPr>
            <w:r w:rsidRPr="00A07F29">
              <w:rPr>
                <w:rFonts w:ascii="Times New Roman" w:eastAsia="Calibri" w:hAnsi="Times New Roman" w:cs="Times New Roman"/>
                <w:b/>
                <w:sz w:val="28"/>
                <w:szCs w:val="28"/>
              </w:rPr>
              <w:t>–</w:t>
            </w:r>
          </w:p>
        </w:tc>
        <w:tc>
          <w:tcPr>
            <w:tcW w:w="624" w:type="dxa"/>
            <w:tcBorders>
              <w:top w:val="single" w:sz="8" w:space="0" w:color="auto"/>
              <w:left w:val="single" w:sz="12" w:space="0" w:color="auto"/>
              <w:bottom w:val="single" w:sz="6" w:space="0" w:color="auto"/>
              <w:right w:val="single" w:sz="6" w:space="0" w:color="auto"/>
            </w:tcBorders>
            <w:shd w:val="clear" w:color="auto" w:fill="auto"/>
            <w:vAlign w:val="center"/>
          </w:tcPr>
          <w:p w14:paraId="24E7A11D" w14:textId="77777777" w:rsidR="002A7684" w:rsidRPr="00A07F29" w:rsidRDefault="002A7684" w:rsidP="002A7684">
            <w:pPr>
              <w:spacing w:after="0" w:line="240" w:lineRule="auto"/>
              <w:jc w:val="center"/>
              <w:rPr>
                <w:rFonts w:ascii="Times New Roman" w:eastAsia="Calibri" w:hAnsi="Times New Roman" w:cs="Times New Roman"/>
                <w:bCs/>
                <w:sz w:val="24"/>
                <w:szCs w:val="24"/>
              </w:rPr>
            </w:pPr>
          </w:p>
        </w:tc>
        <w:tc>
          <w:tcPr>
            <w:tcW w:w="624" w:type="dxa"/>
            <w:tcBorders>
              <w:top w:val="single" w:sz="8" w:space="0" w:color="auto"/>
              <w:left w:val="single" w:sz="6" w:space="0" w:color="auto"/>
              <w:bottom w:val="single" w:sz="6" w:space="0" w:color="auto"/>
              <w:right w:val="single" w:sz="6" w:space="0" w:color="auto"/>
            </w:tcBorders>
            <w:shd w:val="clear" w:color="auto" w:fill="auto"/>
            <w:vAlign w:val="center"/>
          </w:tcPr>
          <w:p w14:paraId="651C9094" w14:textId="77777777" w:rsidR="002A7684" w:rsidRPr="00A07F29" w:rsidRDefault="002A7684" w:rsidP="002A7684">
            <w:pPr>
              <w:spacing w:after="0" w:line="240" w:lineRule="auto"/>
              <w:jc w:val="center"/>
              <w:rPr>
                <w:rFonts w:ascii="Times New Roman" w:eastAsia="Calibri" w:hAnsi="Times New Roman" w:cs="Times New Roman"/>
                <w:bCs/>
                <w:sz w:val="24"/>
                <w:szCs w:val="24"/>
              </w:rPr>
            </w:pPr>
          </w:p>
        </w:tc>
        <w:tc>
          <w:tcPr>
            <w:tcW w:w="510" w:type="dxa"/>
            <w:tcBorders>
              <w:top w:val="single" w:sz="8" w:space="0" w:color="auto"/>
              <w:left w:val="single" w:sz="6" w:space="0" w:color="auto"/>
              <w:bottom w:val="single" w:sz="6" w:space="0" w:color="auto"/>
              <w:right w:val="single" w:sz="6" w:space="0" w:color="auto"/>
            </w:tcBorders>
            <w:shd w:val="clear" w:color="auto" w:fill="auto"/>
            <w:vAlign w:val="center"/>
          </w:tcPr>
          <w:p w14:paraId="13E35CB4" w14:textId="77777777" w:rsidR="002A7684" w:rsidRPr="00A07F29" w:rsidRDefault="002A7684" w:rsidP="002A7684">
            <w:pPr>
              <w:spacing w:after="0" w:line="240" w:lineRule="auto"/>
              <w:jc w:val="center"/>
              <w:rPr>
                <w:rFonts w:ascii="Times New Roman" w:eastAsia="Calibri" w:hAnsi="Times New Roman" w:cs="Times New Roman"/>
                <w:bCs/>
                <w:sz w:val="24"/>
                <w:szCs w:val="24"/>
              </w:rPr>
            </w:pPr>
          </w:p>
        </w:tc>
        <w:tc>
          <w:tcPr>
            <w:tcW w:w="510" w:type="dxa"/>
            <w:tcBorders>
              <w:top w:val="single" w:sz="8" w:space="0" w:color="auto"/>
              <w:left w:val="single" w:sz="6" w:space="0" w:color="auto"/>
              <w:bottom w:val="single" w:sz="6" w:space="0" w:color="auto"/>
              <w:right w:val="single" w:sz="6" w:space="0" w:color="auto"/>
            </w:tcBorders>
            <w:shd w:val="clear" w:color="auto" w:fill="auto"/>
            <w:vAlign w:val="center"/>
          </w:tcPr>
          <w:p w14:paraId="14681E30" w14:textId="77777777" w:rsidR="002A7684" w:rsidRPr="00A07F29" w:rsidRDefault="002A7684" w:rsidP="002A7684">
            <w:pPr>
              <w:spacing w:after="0" w:line="240" w:lineRule="auto"/>
              <w:jc w:val="center"/>
              <w:rPr>
                <w:rFonts w:ascii="Times New Roman" w:eastAsia="Calibri" w:hAnsi="Times New Roman" w:cs="Times New Roman"/>
                <w:bCs/>
                <w:sz w:val="24"/>
                <w:szCs w:val="24"/>
              </w:rPr>
            </w:pPr>
          </w:p>
        </w:tc>
        <w:tc>
          <w:tcPr>
            <w:tcW w:w="510" w:type="dxa"/>
            <w:tcBorders>
              <w:top w:val="single" w:sz="8" w:space="0" w:color="auto"/>
              <w:left w:val="single" w:sz="6" w:space="0" w:color="auto"/>
              <w:bottom w:val="single" w:sz="6" w:space="0" w:color="auto"/>
              <w:right w:val="single" w:sz="12" w:space="0" w:color="auto"/>
            </w:tcBorders>
            <w:shd w:val="clear" w:color="auto" w:fill="auto"/>
            <w:vAlign w:val="center"/>
          </w:tcPr>
          <w:p w14:paraId="795AE523" w14:textId="77777777" w:rsidR="002A7684" w:rsidRPr="00A07F29" w:rsidRDefault="002A7684" w:rsidP="002A7684">
            <w:pPr>
              <w:spacing w:after="0" w:line="240" w:lineRule="auto"/>
              <w:jc w:val="center"/>
              <w:rPr>
                <w:rFonts w:ascii="Times New Roman" w:eastAsia="Calibri" w:hAnsi="Times New Roman" w:cs="Times New Roman"/>
                <w:bCs/>
                <w:sz w:val="24"/>
                <w:szCs w:val="24"/>
              </w:rPr>
            </w:pPr>
          </w:p>
        </w:tc>
        <w:tc>
          <w:tcPr>
            <w:tcW w:w="624" w:type="dxa"/>
            <w:tcBorders>
              <w:top w:val="single" w:sz="8" w:space="0" w:color="auto"/>
              <w:left w:val="single" w:sz="12" w:space="0" w:color="auto"/>
              <w:bottom w:val="single" w:sz="6" w:space="0" w:color="auto"/>
              <w:right w:val="single" w:sz="6" w:space="0" w:color="auto"/>
            </w:tcBorders>
            <w:shd w:val="clear" w:color="auto" w:fill="auto"/>
            <w:vAlign w:val="center"/>
          </w:tcPr>
          <w:p w14:paraId="2F15576B" w14:textId="77777777" w:rsidR="002A7684" w:rsidRPr="00A07F29" w:rsidRDefault="002A7684" w:rsidP="002A7684">
            <w:pPr>
              <w:spacing w:after="0" w:line="240" w:lineRule="auto"/>
              <w:jc w:val="center"/>
              <w:rPr>
                <w:rFonts w:ascii="Times New Roman" w:eastAsia="Calibri" w:hAnsi="Times New Roman" w:cs="Times New Roman"/>
                <w:bCs/>
                <w:sz w:val="24"/>
                <w:szCs w:val="24"/>
              </w:rPr>
            </w:pPr>
          </w:p>
        </w:tc>
        <w:tc>
          <w:tcPr>
            <w:tcW w:w="624" w:type="dxa"/>
            <w:tcBorders>
              <w:top w:val="single" w:sz="8" w:space="0" w:color="auto"/>
              <w:left w:val="single" w:sz="6" w:space="0" w:color="auto"/>
              <w:bottom w:val="single" w:sz="6" w:space="0" w:color="auto"/>
              <w:right w:val="single" w:sz="6" w:space="0" w:color="auto"/>
            </w:tcBorders>
            <w:shd w:val="clear" w:color="auto" w:fill="auto"/>
            <w:vAlign w:val="center"/>
          </w:tcPr>
          <w:p w14:paraId="60C76655" w14:textId="33942D27" w:rsidR="002A7684" w:rsidRPr="00A07F29" w:rsidRDefault="00557931" w:rsidP="002A7684">
            <w:pPr>
              <w:spacing w:after="0" w:line="240" w:lineRule="auto"/>
              <w:jc w:val="center"/>
              <w:rPr>
                <w:rFonts w:ascii="Times New Roman" w:eastAsia="Calibri" w:hAnsi="Times New Roman" w:cs="Times New Roman"/>
                <w:bCs/>
                <w:sz w:val="24"/>
                <w:szCs w:val="24"/>
              </w:rPr>
            </w:pPr>
            <w:r w:rsidRPr="00A07F29">
              <w:rPr>
                <w:rFonts w:ascii="Times New Roman" w:eastAsia="Calibri" w:hAnsi="Times New Roman" w:cs="Times New Roman"/>
                <w:sz w:val="24"/>
                <w:szCs w:val="24"/>
              </w:rPr>
              <w:t>+</w:t>
            </w:r>
          </w:p>
        </w:tc>
        <w:tc>
          <w:tcPr>
            <w:tcW w:w="510" w:type="dxa"/>
            <w:tcBorders>
              <w:top w:val="single" w:sz="8" w:space="0" w:color="auto"/>
              <w:left w:val="single" w:sz="6" w:space="0" w:color="auto"/>
              <w:bottom w:val="single" w:sz="6" w:space="0" w:color="auto"/>
              <w:right w:val="single" w:sz="6" w:space="0" w:color="auto"/>
            </w:tcBorders>
            <w:shd w:val="clear" w:color="auto" w:fill="auto"/>
            <w:vAlign w:val="center"/>
          </w:tcPr>
          <w:p w14:paraId="5CADA923" w14:textId="77777777" w:rsidR="002A7684" w:rsidRPr="00A07F29" w:rsidRDefault="002A7684" w:rsidP="002A7684">
            <w:pPr>
              <w:spacing w:after="0" w:line="240" w:lineRule="auto"/>
              <w:jc w:val="center"/>
              <w:rPr>
                <w:rFonts w:ascii="Times New Roman" w:eastAsia="Calibri" w:hAnsi="Times New Roman" w:cs="Times New Roman"/>
                <w:bCs/>
                <w:sz w:val="24"/>
                <w:szCs w:val="24"/>
              </w:rPr>
            </w:pPr>
          </w:p>
        </w:tc>
        <w:tc>
          <w:tcPr>
            <w:tcW w:w="510" w:type="dxa"/>
            <w:tcBorders>
              <w:top w:val="single" w:sz="8" w:space="0" w:color="auto"/>
              <w:left w:val="single" w:sz="6" w:space="0" w:color="auto"/>
              <w:bottom w:val="single" w:sz="6" w:space="0" w:color="auto"/>
              <w:right w:val="single" w:sz="6" w:space="0" w:color="auto"/>
            </w:tcBorders>
            <w:shd w:val="clear" w:color="auto" w:fill="auto"/>
            <w:vAlign w:val="center"/>
          </w:tcPr>
          <w:p w14:paraId="0D3E90E4" w14:textId="77777777" w:rsidR="002A7684" w:rsidRPr="00A07F29" w:rsidRDefault="002A7684" w:rsidP="002A7684">
            <w:pPr>
              <w:spacing w:after="0" w:line="240" w:lineRule="auto"/>
              <w:jc w:val="center"/>
              <w:rPr>
                <w:rFonts w:ascii="Times New Roman" w:eastAsia="Calibri" w:hAnsi="Times New Roman" w:cs="Times New Roman"/>
                <w:bCs/>
                <w:sz w:val="24"/>
                <w:szCs w:val="24"/>
              </w:rPr>
            </w:pPr>
          </w:p>
        </w:tc>
        <w:tc>
          <w:tcPr>
            <w:tcW w:w="510" w:type="dxa"/>
            <w:tcBorders>
              <w:top w:val="single" w:sz="8" w:space="0" w:color="auto"/>
              <w:left w:val="single" w:sz="6" w:space="0" w:color="auto"/>
              <w:bottom w:val="single" w:sz="6" w:space="0" w:color="auto"/>
              <w:right w:val="single" w:sz="12" w:space="0" w:color="auto"/>
            </w:tcBorders>
            <w:shd w:val="clear" w:color="auto" w:fill="auto"/>
            <w:vAlign w:val="center"/>
          </w:tcPr>
          <w:p w14:paraId="344920E5" w14:textId="77777777" w:rsidR="002A7684" w:rsidRPr="00A07F29" w:rsidRDefault="002A7684" w:rsidP="002A7684">
            <w:pPr>
              <w:spacing w:after="0" w:line="240" w:lineRule="auto"/>
              <w:jc w:val="center"/>
              <w:rPr>
                <w:rFonts w:ascii="Times New Roman" w:eastAsia="Calibri" w:hAnsi="Times New Roman" w:cs="Times New Roman"/>
                <w:bCs/>
                <w:sz w:val="24"/>
                <w:szCs w:val="24"/>
              </w:rPr>
            </w:pPr>
          </w:p>
        </w:tc>
      </w:tr>
      <w:tr w:rsidR="00557931" w:rsidRPr="00A07F29" w14:paraId="03302B51" w14:textId="77777777" w:rsidTr="00557931">
        <w:trPr>
          <w:trHeight w:hRule="exact" w:val="567"/>
          <w:jc w:val="center"/>
        </w:trPr>
        <w:tc>
          <w:tcPr>
            <w:tcW w:w="2041" w:type="dxa"/>
            <w:tcBorders>
              <w:top w:val="single" w:sz="6" w:space="0" w:color="auto"/>
              <w:left w:val="single" w:sz="12" w:space="0" w:color="auto"/>
              <w:bottom w:val="single" w:sz="6" w:space="0" w:color="auto"/>
              <w:right w:val="single" w:sz="6" w:space="0" w:color="auto"/>
            </w:tcBorders>
            <w:shd w:val="clear" w:color="auto" w:fill="auto"/>
            <w:vAlign w:val="center"/>
          </w:tcPr>
          <w:p w14:paraId="616F73B0" w14:textId="77777777" w:rsidR="002A7684" w:rsidRPr="00A07F29" w:rsidRDefault="002A7684" w:rsidP="002A7684">
            <w:pPr>
              <w:spacing w:after="0" w:line="240" w:lineRule="auto"/>
              <w:rPr>
                <w:rFonts w:ascii="Times New Roman" w:eastAsia="Calibri" w:hAnsi="Times New Roman" w:cs="Times New Roman"/>
                <w:b/>
                <w:bCs/>
                <w:sz w:val="24"/>
                <w:szCs w:val="24"/>
              </w:rPr>
            </w:pPr>
            <w:proofErr w:type="spellStart"/>
            <w:r w:rsidRPr="00A07F29">
              <w:rPr>
                <w:rFonts w:ascii="Times New Roman" w:eastAsia="Calibri" w:hAnsi="Times New Roman" w:cs="Times New Roman"/>
                <w:b/>
                <w:bCs/>
                <w:sz w:val="24"/>
                <w:szCs w:val="24"/>
              </w:rPr>
              <w:t>Sufozija</w:t>
            </w:r>
            <w:proofErr w:type="spellEnd"/>
          </w:p>
        </w:tc>
        <w:tc>
          <w:tcPr>
            <w:tcW w:w="1361" w:type="dxa"/>
            <w:tcBorders>
              <w:top w:val="single" w:sz="6" w:space="0" w:color="auto"/>
              <w:left w:val="single" w:sz="6" w:space="0" w:color="auto"/>
              <w:bottom w:val="single" w:sz="6" w:space="0" w:color="auto"/>
              <w:right w:val="single" w:sz="12" w:space="0" w:color="auto"/>
            </w:tcBorders>
            <w:shd w:val="clear" w:color="auto" w:fill="auto"/>
            <w:vAlign w:val="center"/>
          </w:tcPr>
          <w:p w14:paraId="0BB5FEFB" w14:textId="77777777" w:rsidR="002A7684" w:rsidRPr="00A07F29" w:rsidRDefault="002A7684" w:rsidP="002A7684">
            <w:pPr>
              <w:spacing w:after="0" w:line="240" w:lineRule="auto"/>
              <w:jc w:val="center"/>
              <w:rPr>
                <w:rFonts w:ascii="Times New Roman" w:eastAsia="Calibri" w:hAnsi="Times New Roman" w:cs="Times New Roman"/>
                <w:b/>
                <w:bCs/>
                <w:sz w:val="28"/>
                <w:szCs w:val="28"/>
              </w:rPr>
            </w:pPr>
            <w:r w:rsidRPr="00A07F29">
              <w:rPr>
                <w:rFonts w:ascii="Times New Roman" w:eastAsia="Calibri" w:hAnsi="Times New Roman" w:cs="Times New Roman"/>
                <w:b/>
                <w:sz w:val="28"/>
                <w:szCs w:val="28"/>
              </w:rPr>
              <w:t>+</w:t>
            </w:r>
          </w:p>
        </w:tc>
        <w:tc>
          <w:tcPr>
            <w:tcW w:w="624" w:type="dxa"/>
            <w:tcBorders>
              <w:top w:val="single" w:sz="6" w:space="0" w:color="auto"/>
              <w:left w:val="single" w:sz="12" w:space="0" w:color="auto"/>
              <w:bottom w:val="single" w:sz="6" w:space="0" w:color="auto"/>
              <w:right w:val="single" w:sz="6" w:space="0" w:color="auto"/>
            </w:tcBorders>
            <w:shd w:val="clear" w:color="auto" w:fill="auto"/>
            <w:vAlign w:val="center"/>
          </w:tcPr>
          <w:p w14:paraId="6003A711" w14:textId="77777777" w:rsidR="002A7684" w:rsidRPr="00A07F29" w:rsidRDefault="002A7684" w:rsidP="002A7684">
            <w:pPr>
              <w:spacing w:after="0" w:line="240" w:lineRule="auto"/>
              <w:jc w:val="center"/>
              <w:rPr>
                <w:rFonts w:ascii="Times New Roman" w:eastAsia="Calibri" w:hAnsi="Times New Roman" w:cs="Times New Roman"/>
                <w:b/>
                <w:bCs/>
                <w:sz w:val="24"/>
                <w:szCs w:val="24"/>
              </w:rPr>
            </w:pPr>
          </w:p>
        </w:tc>
        <w:tc>
          <w:tcPr>
            <w:tcW w:w="624" w:type="dxa"/>
            <w:tcBorders>
              <w:top w:val="single" w:sz="6" w:space="0" w:color="auto"/>
              <w:left w:val="single" w:sz="6" w:space="0" w:color="auto"/>
              <w:bottom w:val="single" w:sz="6" w:space="0" w:color="auto"/>
              <w:right w:val="single" w:sz="6" w:space="0" w:color="auto"/>
            </w:tcBorders>
            <w:shd w:val="clear" w:color="auto" w:fill="auto"/>
            <w:vAlign w:val="center"/>
          </w:tcPr>
          <w:p w14:paraId="072D26BF" w14:textId="54A5B42C" w:rsidR="002A7684" w:rsidRPr="00A07F29" w:rsidRDefault="00557931" w:rsidP="002A7684">
            <w:pPr>
              <w:spacing w:after="0" w:line="240" w:lineRule="auto"/>
              <w:jc w:val="center"/>
              <w:rPr>
                <w:rFonts w:ascii="Times New Roman" w:eastAsia="Calibri" w:hAnsi="Times New Roman" w:cs="Times New Roman"/>
                <w:b/>
                <w:bCs/>
                <w:sz w:val="24"/>
                <w:szCs w:val="24"/>
              </w:rPr>
            </w:pPr>
            <w:r w:rsidRPr="00A07F29">
              <w:rPr>
                <w:rFonts w:ascii="Times New Roman" w:eastAsia="Calibri" w:hAnsi="Times New Roman" w:cs="Times New Roman"/>
                <w:b/>
                <w:sz w:val="24"/>
                <w:szCs w:val="24"/>
              </w:rPr>
              <w:t>+</w:t>
            </w:r>
          </w:p>
        </w:tc>
        <w:tc>
          <w:tcPr>
            <w:tcW w:w="510" w:type="dxa"/>
            <w:tcBorders>
              <w:top w:val="single" w:sz="6" w:space="0" w:color="auto"/>
              <w:left w:val="single" w:sz="6" w:space="0" w:color="auto"/>
              <w:bottom w:val="single" w:sz="6" w:space="0" w:color="auto"/>
              <w:right w:val="single" w:sz="6" w:space="0" w:color="auto"/>
            </w:tcBorders>
            <w:shd w:val="clear" w:color="auto" w:fill="auto"/>
            <w:vAlign w:val="center"/>
          </w:tcPr>
          <w:p w14:paraId="6A34329E" w14:textId="2DF2D8F2" w:rsidR="002A7684" w:rsidRPr="00A07F29" w:rsidRDefault="00557931" w:rsidP="002A7684">
            <w:pPr>
              <w:spacing w:after="0" w:line="240" w:lineRule="auto"/>
              <w:jc w:val="center"/>
              <w:rPr>
                <w:rFonts w:ascii="Times New Roman" w:eastAsia="Calibri" w:hAnsi="Times New Roman" w:cs="Times New Roman"/>
                <w:b/>
                <w:bCs/>
                <w:sz w:val="24"/>
                <w:szCs w:val="24"/>
              </w:rPr>
            </w:pPr>
            <w:r w:rsidRPr="00A07F29">
              <w:rPr>
                <w:rFonts w:ascii="Times New Roman" w:eastAsia="Calibri" w:hAnsi="Times New Roman" w:cs="Times New Roman"/>
                <w:b/>
                <w:sz w:val="24"/>
                <w:szCs w:val="24"/>
              </w:rPr>
              <w:t>+</w:t>
            </w:r>
          </w:p>
        </w:tc>
        <w:tc>
          <w:tcPr>
            <w:tcW w:w="510" w:type="dxa"/>
            <w:tcBorders>
              <w:top w:val="single" w:sz="6" w:space="0" w:color="auto"/>
              <w:left w:val="single" w:sz="6" w:space="0" w:color="auto"/>
              <w:bottom w:val="single" w:sz="6" w:space="0" w:color="auto"/>
              <w:right w:val="single" w:sz="6" w:space="0" w:color="auto"/>
            </w:tcBorders>
            <w:shd w:val="clear" w:color="auto" w:fill="auto"/>
            <w:vAlign w:val="center"/>
          </w:tcPr>
          <w:p w14:paraId="6F86D14E" w14:textId="77777777" w:rsidR="002A7684" w:rsidRPr="00A07F29" w:rsidRDefault="002A7684" w:rsidP="002A7684">
            <w:pPr>
              <w:spacing w:after="0" w:line="240" w:lineRule="auto"/>
              <w:jc w:val="center"/>
              <w:rPr>
                <w:rFonts w:ascii="Times New Roman" w:eastAsia="Calibri" w:hAnsi="Times New Roman" w:cs="Times New Roman"/>
                <w:b/>
                <w:bCs/>
                <w:sz w:val="24"/>
                <w:szCs w:val="24"/>
              </w:rPr>
            </w:pPr>
          </w:p>
        </w:tc>
        <w:tc>
          <w:tcPr>
            <w:tcW w:w="510" w:type="dxa"/>
            <w:tcBorders>
              <w:top w:val="single" w:sz="6" w:space="0" w:color="auto"/>
              <w:left w:val="single" w:sz="6" w:space="0" w:color="auto"/>
              <w:bottom w:val="single" w:sz="6" w:space="0" w:color="auto"/>
              <w:right w:val="single" w:sz="12" w:space="0" w:color="auto"/>
            </w:tcBorders>
            <w:shd w:val="clear" w:color="auto" w:fill="auto"/>
            <w:vAlign w:val="center"/>
          </w:tcPr>
          <w:p w14:paraId="22188B7C" w14:textId="77777777" w:rsidR="002A7684" w:rsidRPr="00A07F29" w:rsidRDefault="002A7684" w:rsidP="002A7684">
            <w:pPr>
              <w:spacing w:after="0" w:line="240" w:lineRule="auto"/>
              <w:jc w:val="center"/>
              <w:rPr>
                <w:rFonts w:ascii="Times New Roman" w:eastAsia="Calibri" w:hAnsi="Times New Roman" w:cs="Times New Roman"/>
                <w:b/>
                <w:bCs/>
                <w:sz w:val="24"/>
                <w:szCs w:val="24"/>
              </w:rPr>
            </w:pPr>
          </w:p>
        </w:tc>
        <w:tc>
          <w:tcPr>
            <w:tcW w:w="624" w:type="dxa"/>
            <w:tcBorders>
              <w:top w:val="single" w:sz="6" w:space="0" w:color="auto"/>
              <w:left w:val="single" w:sz="12" w:space="0" w:color="auto"/>
              <w:bottom w:val="single" w:sz="6" w:space="0" w:color="auto"/>
              <w:right w:val="single" w:sz="6" w:space="0" w:color="auto"/>
            </w:tcBorders>
            <w:shd w:val="clear" w:color="auto" w:fill="auto"/>
            <w:vAlign w:val="center"/>
          </w:tcPr>
          <w:p w14:paraId="22ABC820" w14:textId="77777777" w:rsidR="002A7684" w:rsidRPr="00A07F29" w:rsidRDefault="002A7684" w:rsidP="002A7684">
            <w:pPr>
              <w:spacing w:after="0" w:line="240" w:lineRule="auto"/>
              <w:jc w:val="center"/>
              <w:rPr>
                <w:rFonts w:ascii="Times New Roman" w:eastAsia="Calibri" w:hAnsi="Times New Roman" w:cs="Times New Roman"/>
                <w:b/>
                <w:bCs/>
                <w:sz w:val="24"/>
                <w:szCs w:val="24"/>
              </w:rPr>
            </w:pPr>
          </w:p>
        </w:tc>
        <w:tc>
          <w:tcPr>
            <w:tcW w:w="624" w:type="dxa"/>
            <w:tcBorders>
              <w:top w:val="single" w:sz="6" w:space="0" w:color="auto"/>
              <w:left w:val="single" w:sz="6" w:space="0" w:color="auto"/>
              <w:bottom w:val="single" w:sz="6" w:space="0" w:color="auto"/>
              <w:right w:val="single" w:sz="6" w:space="0" w:color="auto"/>
            </w:tcBorders>
            <w:shd w:val="clear" w:color="auto" w:fill="auto"/>
            <w:vAlign w:val="center"/>
          </w:tcPr>
          <w:p w14:paraId="33293051" w14:textId="77777777" w:rsidR="002A7684" w:rsidRPr="00A07F29" w:rsidRDefault="002A7684" w:rsidP="002A7684">
            <w:pPr>
              <w:spacing w:after="0" w:line="240" w:lineRule="auto"/>
              <w:jc w:val="center"/>
              <w:rPr>
                <w:rFonts w:ascii="Times New Roman" w:eastAsia="Calibri" w:hAnsi="Times New Roman" w:cs="Times New Roman"/>
                <w:b/>
                <w:bCs/>
                <w:sz w:val="24"/>
                <w:szCs w:val="24"/>
              </w:rPr>
            </w:pPr>
          </w:p>
        </w:tc>
        <w:tc>
          <w:tcPr>
            <w:tcW w:w="510" w:type="dxa"/>
            <w:tcBorders>
              <w:top w:val="single" w:sz="6" w:space="0" w:color="auto"/>
              <w:left w:val="single" w:sz="6" w:space="0" w:color="auto"/>
              <w:bottom w:val="single" w:sz="6" w:space="0" w:color="auto"/>
              <w:right w:val="single" w:sz="6" w:space="0" w:color="auto"/>
            </w:tcBorders>
            <w:shd w:val="clear" w:color="auto" w:fill="auto"/>
            <w:vAlign w:val="center"/>
          </w:tcPr>
          <w:p w14:paraId="4E2F7236" w14:textId="77777777" w:rsidR="002A7684" w:rsidRPr="00A07F29" w:rsidRDefault="002A7684" w:rsidP="002A7684">
            <w:pPr>
              <w:spacing w:after="0" w:line="240" w:lineRule="auto"/>
              <w:jc w:val="center"/>
              <w:rPr>
                <w:rFonts w:ascii="Times New Roman" w:eastAsia="Calibri" w:hAnsi="Times New Roman" w:cs="Times New Roman"/>
                <w:b/>
                <w:bCs/>
                <w:sz w:val="24"/>
                <w:szCs w:val="24"/>
              </w:rPr>
            </w:pPr>
          </w:p>
        </w:tc>
        <w:tc>
          <w:tcPr>
            <w:tcW w:w="510" w:type="dxa"/>
            <w:tcBorders>
              <w:top w:val="single" w:sz="6" w:space="0" w:color="auto"/>
              <w:left w:val="single" w:sz="6" w:space="0" w:color="auto"/>
              <w:bottom w:val="single" w:sz="6" w:space="0" w:color="auto"/>
              <w:right w:val="single" w:sz="6" w:space="0" w:color="auto"/>
            </w:tcBorders>
            <w:shd w:val="clear" w:color="auto" w:fill="auto"/>
            <w:vAlign w:val="center"/>
          </w:tcPr>
          <w:p w14:paraId="0D3D52D8" w14:textId="77777777" w:rsidR="002A7684" w:rsidRPr="00A07F29" w:rsidRDefault="002A7684" w:rsidP="002A7684">
            <w:pPr>
              <w:spacing w:after="0" w:line="240" w:lineRule="auto"/>
              <w:jc w:val="center"/>
              <w:rPr>
                <w:rFonts w:ascii="Times New Roman" w:eastAsia="Calibri" w:hAnsi="Times New Roman" w:cs="Times New Roman"/>
                <w:b/>
                <w:bCs/>
                <w:sz w:val="24"/>
                <w:szCs w:val="24"/>
              </w:rPr>
            </w:pPr>
          </w:p>
        </w:tc>
        <w:tc>
          <w:tcPr>
            <w:tcW w:w="510" w:type="dxa"/>
            <w:tcBorders>
              <w:top w:val="single" w:sz="6" w:space="0" w:color="auto"/>
              <w:left w:val="single" w:sz="6" w:space="0" w:color="auto"/>
              <w:bottom w:val="single" w:sz="6" w:space="0" w:color="auto"/>
              <w:right w:val="single" w:sz="12" w:space="0" w:color="auto"/>
            </w:tcBorders>
            <w:shd w:val="clear" w:color="auto" w:fill="auto"/>
            <w:vAlign w:val="center"/>
          </w:tcPr>
          <w:p w14:paraId="049FD80D" w14:textId="77777777" w:rsidR="002A7684" w:rsidRPr="00A07F29" w:rsidRDefault="002A7684" w:rsidP="002A7684">
            <w:pPr>
              <w:spacing w:after="0" w:line="240" w:lineRule="auto"/>
              <w:jc w:val="center"/>
              <w:rPr>
                <w:rFonts w:ascii="Times New Roman" w:eastAsia="Calibri" w:hAnsi="Times New Roman" w:cs="Times New Roman"/>
                <w:b/>
                <w:bCs/>
                <w:sz w:val="24"/>
                <w:szCs w:val="24"/>
              </w:rPr>
            </w:pPr>
          </w:p>
        </w:tc>
      </w:tr>
      <w:tr w:rsidR="00557931" w:rsidRPr="00A07F29" w14:paraId="063A964F" w14:textId="77777777" w:rsidTr="00557931">
        <w:trPr>
          <w:trHeight w:hRule="exact" w:val="567"/>
          <w:jc w:val="center"/>
        </w:trPr>
        <w:tc>
          <w:tcPr>
            <w:tcW w:w="2041" w:type="dxa"/>
            <w:tcBorders>
              <w:top w:val="single" w:sz="6" w:space="0" w:color="auto"/>
              <w:left w:val="single" w:sz="12" w:space="0" w:color="auto"/>
              <w:bottom w:val="single" w:sz="6" w:space="0" w:color="auto"/>
              <w:right w:val="single" w:sz="6" w:space="0" w:color="auto"/>
            </w:tcBorders>
            <w:shd w:val="clear" w:color="auto" w:fill="auto"/>
            <w:vAlign w:val="center"/>
          </w:tcPr>
          <w:p w14:paraId="69FA6591" w14:textId="77777777" w:rsidR="002A7684" w:rsidRPr="00A07F29" w:rsidRDefault="002A7684" w:rsidP="002A7684">
            <w:pPr>
              <w:spacing w:after="0" w:line="240" w:lineRule="auto"/>
              <w:rPr>
                <w:rFonts w:ascii="Times New Roman" w:eastAsia="Calibri" w:hAnsi="Times New Roman" w:cs="Times New Roman"/>
                <w:bCs/>
                <w:sz w:val="24"/>
                <w:szCs w:val="24"/>
              </w:rPr>
            </w:pPr>
            <w:proofErr w:type="spellStart"/>
            <w:r w:rsidRPr="00A07F29">
              <w:rPr>
                <w:rFonts w:ascii="Times New Roman" w:eastAsia="Calibri" w:hAnsi="Times New Roman" w:cs="Times New Roman"/>
                <w:bCs/>
                <w:sz w:val="24"/>
                <w:szCs w:val="24"/>
              </w:rPr>
              <w:t>Eolie</w:t>
            </w:r>
            <w:proofErr w:type="spellEnd"/>
            <w:r w:rsidRPr="00A07F29">
              <w:rPr>
                <w:rFonts w:ascii="Times New Roman" w:eastAsia="Calibri" w:hAnsi="Times New Roman" w:cs="Times New Roman"/>
                <w:bCs/>
                <w:sz w:val="24"/>
                <w:szCs w:val="24"/>
              </w:rPr>
              <w:t xml:space="preserve"> procesi</w:t>
            </w:r>
          </w:p>
        </w:tc>
        <w:tc>
          <w:tcPr>
            <w:tcW w:w="1361" w:type="dxa"/>
            <w:tcBorders>
              <w:top w:val="single" w:sz="6" w:space="0" w:color="auto"/>
              <w:left w:val="single" w:sz="6" w:space="0" w:color="auto"/>
              <w:bottom w:val="single" w:sz="6" w:space="0" w:color="auto"/>
              <w:right w:val="single" w:sz="12" w:space="0" w:color="auto"/>
            </w:tcBorders>
            <w:shd w:val="clear" w:color="auto" w:fill="auto"/>
            <w:vAlign w:val="center"/>
          </w:tcPr>
          <w:p w14:paraId="46174CC9" w14:textId="77777777" w:rsidR="002A7684" w:rsidRPr="00A07F29" w:rsidRDefault="002A7684" w:rsidP="002A7684">
            <w:pPr>
              <w:spacing w:after="0" w:line="240" w:lineRule="auto"/>
              <w:jc w:val="center"/>
              <w:rPr>
                <w:rFonts w:ascii="Times New Roman" w:eastAsia="Calibri" w:hAnsi="Times New Roman" w:cs="Times New Roman"/>
                <w:b/>
                <w:bCs/>
                <w:sz w:val="28"/>
                <w:szCs w:val="28"/>
              </w:rPr>
            </w:pPr>
            <w:r w:rsidRPr="00A07F29">
              <w:rPr>
                <w:rFonts w:ascii="Times New Roman" w:eastAsia="Calibri" w:hAnsi="Times New Roman" w:cs="Times New Roman"/>
                <w:b/>
                <w:sz w:val="28"/>
                <w:szCs w:val="28"/>
              </w:rPr>
              <w:t>–</w:t>
            </w:r>
          </w:p>
        </w:tc>
        <w:tc>
          <w:tcPr>
            <w:tcW w:w="624" w:type="dxa"/>
            <w:tcBorders>
              <w:top w:val="single" w:sz="6" w:space="0" w:color="auto"/>
              <w:left w:val="single" w:sz="12" w:space="0" w:color="auto"/>
              <w:bottom w:val="single" w:sz="6" w:space="0" w:color="auto"/>
              <w:right w:val="single" w:sz="6" w:space="0" w:color="auto"/>
            </w:tcBorders>
            <w:shd w:val="clear" w:color="auto" w:fill="auto"/>
            <w:vAlign w:val="center"/>
          </w:tcPr>
          <w:p w14:paraId="06E99516" w14:textId="77777777" w:rsidR="002A7684" w:rsidRPr="00A07F29" w:rsidRDefault="002A7684" w:rsidP="002A7684">
            <w:pPr>
              <w:spacing w:after="0" w:line="240" w:lineRule="auto"/>
              <w:jc w:val="center"/>
              <w:rPr>
                <w:rFonts w:ascii="Times New Roman" w:eastAsia="Calibri" w:hAnsi="Times New Roman" w:cs="Times New Roman"/>
                <w:bCs/>
                <w:sz w:val="24"/>
                <w:szCs w:val="24"/>
              </w:rPr>
            </w:pPr>
          </w:p>
        </w:tc>
        <w:tc>
          <w:tcPr>
            <w:tcW w:w="624" w:type="dxa"/>
            <w:tcBorders>
              <w:top w:val="single" w:sz="6" w:space="0" w:color="auto"/>
              <w:left w:val="single" w:sz="6" w:space="0" w:color="auto"/>
              <w:bottom w:val="single" w:sz="6" w:space="0" w:color="auto"/>
              <w:right w:val="single" w:sz="6" w:space="0" w:color="auto"/>
            </w:tcBorders>
            <w:shd w:val="clear" w:color="auto" w:fill="auto"/>
            <w:vAlign w:val="center"/>
          </w:tcPr>
          <w:p w14:paraId="4A092D35" w14:textId="77777777" w:rsidR="002A7684" w:rsidRPr="00A07F29" w:rsidRDefault="002A7684" w:rsidP="002A7684">
            <w:pPr>
              <w:spacing w:after="0" w:line="240" w:lineRule="auto"/>
              <w:jc w:val="center"/>
              <w:rPr>
                <w:rFonts w:ascii="Times New Roman" w:eastAsia="Calibri" w:hAnsi="Times New Roman" w:cs="Times New Roman"/>
                <w:bCs/>
                <w:sz w:val="24"/>
                <w:szCs w:val="24"/>
              </w:rPr>
            </w:pPr>
          </w:p>
        </w:tc>
        <w:tc>
          <w:tcPr>
            <w:tcW w:w="510" w:type="dxa"/>
            <w:tcBorders>
              <w:top w:val="single" w:sz="6" w:space="0" w:color="auto"/>
              <w:left w:val="single" w:sz="6" w:space="0" w:color="auto"/>
              <w:bottom w:val="single" w:sz="6" w:space="0" w:color="auto"/>
              <w:right w:val="single" w:sz="6" w:space="0" w:color="auto"/>
            </w:tcBorders>
            <w:shd w:val="clear" w:color="auto" w:fill="auto"/>
            <w:vAlign w:val="center"/>
          </w:tcPr>
          <w:p w14:paraId="5D181747" w14:textId="77777777" w:rsidR="002A7684" w:rsidRPr="00A07F29" w:rsidRDefault="002A7684" w:rsidP="002A7684">
            <w:pPr>
              <w:spacing w:after="0" w:line="240" w:lineRule="auto"/>
              <w:jc w:val="center"/>
              <w:rPr>
                <w:rFonts w:ascii="Times New Roman" w:eastAsia="Calibri" w:hAnsi="Times New Roman" w:cs="Times New Roman"/>
                <w:bCs/>
                <w:sz w:val="24"/>
                <w:szCs w:val="24"/>
              </w:rPr>
            </w:pPr>
          </w:p>
        </w:tc>
        <w:tc>
          <w:tcPr>
            <w:tcW w:w="510" w:type="dxa"/>
            <w:tcBorders>
              <w:top w:val="single" w:sz="6" w:space="0" w:color="auto"/>
              <w:left w:val="single" w:sz="6" w:space="0" w:color="auto"/>
              <w:bottom w:val="single" w:sz="6" w:space="0" w:color="auto"/>
              <w:right w:val="single" w:sz="6" w:space="0" w:color="auto"/>
            </w:tcBorders>
            <w:shd w:val="clear" w:color="auto" w:fill="auto"/>
            <w:vAlign w:val="center"/>
          </w:tcPr>
          <w:p w14:paraId="0041F482" w14:textId="77777777" w:rsidR="002A7684" w:rsidRPr="00A07F29" w:rsidRDefault="002A7684" w:rsidP="002A7684">
            <w:pPr>
              <w:spacing w:after="0" w:line="240" w:lineRule="auto"/>
              <w:jc w:val="center"/>
              <w:rPr>
                <w:rFonts w:ascii="Times New Roman" w:eastAsia="Calibri" w:hAnsi="Times New Roman" w:cs="Times New Roman"/>
                <w:bCs/>
                <w:sz w:val="24"/>
                <w:szCs w:val="24"/>
              </w:rPr>
            </w:pPr>
          </w:p>
        </w:tc>
        <w:tc>
          <w:tcPr>
            <w:tcW w:w="510" w:type="dxa"/>
            <w:tcBorders>
              <w:top w:val="single" w:sz="6" w:space="0" w:color="auto"/>
              <w:left w:val="single" w:sz="6" w:space="0" w:color="auto"/>
              <w:bottom w:val="single" w:sz="6" w:space="0" w:color="auto"/>
              <w:right w:val="single" w:sz="12" w:space="0" w:color="auto"/>
            </w:tcBorders>
            <w:shd w:val="clear" w:color="auto" w:fill="auto"/>
            <w:vAlign w:val="center"/>
          </w:tcPr>
          <w:p w14:paraId="7D4DE069" w14:textId="77777777" w:rsidR="002A7684" w:rsidRPr="00A07F29" w:rsidRDefault="002A7684" w:rsidP="002A7684">
            <w:pPr>
              <w:spacing w:after="0" w:line="240" w:lineRule="auto"/>
              <w:jc w:val="center"/>
              <w:rPr>
                <w:rFonts w:ascii="Times New Roman" w:eastAsia="Calibri" w:hAnsi="Times New Roman" w:cs="Times New Roman"/>
                <w:bCs/>
                <w:sz w:val="24"/>
                <w:szCs w:val="24"/>
              </w:rPr>
            </w:pPr>
          </w:p>
        </w:tc>
        <w:tc>
          <w:tcPr>
            <w:tcW w:w="624" w:type="dxa"/>
            <w:tcBorders>
              <w:top w:val="single" w:sz="6" w:space="0" w:color="auto"/>
              <w:left w:val="single" w:sz="12" w:space="0" w:color="auto"/>
              <w:bottom w:val="single" w:sz="6" w:space="0" w:color="auto"/>
              <w:right w:val="single" w:sz="6" w:space="0" w:color="auto"/>
            </w:tcBorders>
            <w:shd w:val="clear" w:color="auto" w:fill="auto"/>
            <w:vAlign w:val="center"/>
          </w:tcPr>
          <w:p w14:paraId="2FA71D66" w14:textId="6AC06CD5" w:rsidR="002A7684" w:rsidRPr="00A07F29" w:rsidRDefault="00557931" w:rsidP="002A7684">
            <w:pPr>
              <w:spacing w:after="0" w:line="240" w:lineRule="auto"/>
              <w:jc w:val="center"/>
              <w:rPr>
                <w:rFonts w:ascii="Times New Roman" w:eastAsia="Calibri" w:hAnsi="Times New Roman" w:cs="Times New Roman"/>
                <w:bCs/>
                <w:sz w:val="24"/>
                <w:szCs w:val="24"/>
              </w:rPr>
            </w:pPr>
            <w:r w:rsidRPr="00A07F29">
              <w:rPr>
                <w:rFonts w:ascii="Times New Roman" w:eastAsia="Calibri" w:hAnsi="Times New Roman" w:cs="Times New Roman"/>
                <w:sz w:val="24"/>
                <w:szCs w:val="24"/>
              </w:rPr>
              <w:t>+</w:t>
            </w:r>
          </w:p>
        </w:tc>
        <w:tc>
          <w:tcPr>
            <w:tcW w:w="624" w:type="dxa"/>
            <w:tcBorders>
              <w:top w:val="single" w:sz="6" w:space="0" w:color="auto"/>
              <w:left w:val="single" w:sz="6" w:space="0" w:color="auto"/>
              <w:bottom w:val="single" w:sz="6" w:space="0" w:color="auto"/>
              <w:right w:val="single" w:sz="6" w:space="0" w:color="auto"/>
            </w:tcBorders>
            <w:shd w:val="clear" w:color="auto" w:fill="auto"/>
            <w:vAlign w:val="center"/>
          </w:tcPr>
          <w:p w14:paraId="391FA0A8" w14:textId="77777777" w:rsidR="002A7684" w:rsidRPr="00A07F29" w:rsidRDefault="002A7684" w:rsidP="002A7684">
            <w:pPr>
              <w:spacing w:after="0" w:line="240" w:lineRule="auto"/>
              <w:jc w:val="center"/>
              <w:rPr>
                <w:rFonts w:ascii="Times New Roman" w:eastAsia="Calibri" w:hAnsi="Times New Roman" w:cs="Times New Roman"/>
                <w:bCs/>
                <w:sz w:val="24"/>
                <w:szCs w:val="24"/>
              </w:rPr>
            </w:pPr>
          </w:p>
        </w:tc>
        <w:tc>
          <w:tcPr>
            <w:tcW w:w="510" w:type="dxa"/>
            <w:tcBorders>
              <w:top w:val="single" w:sz="6" w:space="0" w:color="auto"/>
              <w:left w:val="single" w:sz="6" w:space="0" w:color="auto"/>
              <w:bottom w:val="single" w:sz="6" w:space="0" w:color="auto"/>
              <w:right w:val="single" w:sz="6" w:space="0" w:color="auto"/>
            </w:tcBorders>
            <w:shd w:val="clear" w:color="auto" w:fill="auto"/>
            <w:vAlign w:val="center"/>
          </w:tcPr>
          <w:p w14:paraId="0D631544" w14:textId="77777777" w:rsidR="002A7684" w:rsidRPr="00A07F29" w:rsidRDefault="002A7684" w:rsidP="002A7684">
            <w:pPr>
              <w:spacing w:after="0" w:line="240" w:lineRule="auto"/>
              <w:jc w:val="center"/>
              <w:rPr>
                <w:rFonts w:ascii="Times New Roman" w:eastAsia="Calibri" w:hAnsi="Times New Roman" w:cs="Times New Roman"/>
                <w:bCs/>
                <w:sz w:val="24"/>
                <w:szCs w:val="24"/>
              </w:rPr>
            </w:pPr>
          </w:p>
        </w:tc>
        <w:tc>
          <w:tcPr>
            <w:tcW w:w="510" w:type="dxa"/>
            <w:tcBorders>
              <w:top w:val="single" w:sz="6" w:space="0" w:color="auto"/>
              <w:left w:val="single" w:sz="6" w:space="0" w:color="auto"/>
              <w:bottom w:val="single" w:sz="6" w:space="0" w:color="auto"/>
              <w:right w:val="single" w:sz="6" w:space="0" w:color="auto"/>
            </w:tcBorders>
            <w:shd w:val="clear" w:color="auto" w:fill="auto"/>
            <w:vAlign w:val="center"/>
          </w:tcPr>
          <w:p w14:paraId="2D338914" w14:textId="7E4D1D95" w:rsidR="002A7684" w:rsidRPr="00A07F29" w:rsidRDefault="00557931" w:rsidP="002A7684">
            <w:pPr>
              <w:spacing w:after="0" w:line="240" w:lineRule="auto"/>
              <w:jc w:val="center"/>
              <w:rPr>
                <w:rFonts w:ascii="Times New Roman" w:eastAsia="Calibri" w:hAnsi="Times New Roman" w:cs="Times New Roman"/>
                <w:bCs/>
                <w:sz w:val="24"/>
                <w:szCs w:val="24"/>
              </w:rPr>
            </w:pPr>
            <w:r w:rsidRPr="00A07F29">
              <w:rPr>
                <w:rFonts w:ascii="Times New Roman" w:eastAsia="Calibri" w:hAnsi="Times New Roman" w:cs="Times New Roman"/>
                <w:sz w:val="24"/>
                <w:szCs w:val="24"/>
              </w:rPr>
              <w:t>+</w:t>
            </w:r>
          </w:p>
        </w:tc>
        <w:tc>
          <w:tcPr>
            <w:tcW w:w="510" w:type="dxa"/>
            <w:tcBorders>
              <w:top w:val="single" w:sz="6" w:space="0" w:color="auto"/>
              <w:left w:val="single" w:sz="6" w:space="0" w:color="auto"/>
              <w:bottom w:val="single" w:sz="6" w:space="0" w:color="auto"/>
              <w:right w:val="single" w:sz="12" w:space="0" w:color="auto"/>
            </w:tcBorders>
            <w:shd w:val="clear" w:color="auto" w:fill="auto"/>
            <w:vAlign w:val="center"/>
          </w:tcPr>
          <w:p w14:paraId="2D1E80A9" w14:textId="77777777" w:rsidR="002A7684" w:rsidRPr="00A07F29" w:rsidRDefault="002A7684" w:rsidP="002A7684">
            <w:pPr>
              <w:spacing w:after="0" w:line="240" w:lineRule="auto"/>
              <w:jc w:val="center"/>
              <w:rPr>
                <w:rFonts w:ascii="Times New Roman" w:eastAsia="Calibri" w:hAnsi="Times New Roman" w:cs="Times New Roman"/>
                <w:bCs/>
                <w:sz w:val="24"/>
                <w:szCs w:val="24"/>
              </w:rPr>
            </w:pPr>
          </w:p>
        </w:tc>
      </w:tr>
      <w:tr w:rsidR="00557931" w:rsidRPr="00A07F29" w14:paraId="21E6E663" w14:textId="77777777" w:rsidTr="00557931">
        <w:trPr>
          <w:trHeight w:hRule="exact" w:val="567"/>
          <w:jc w:val="center"/>
        </w:trPr>
        <w:tc>
          <w:tcPr>
            <w:tcW w:w="2041" w:type="dxa"/>
            <w:tcBorders>
              <w:top w:val="single" w:sz="6" w:space="0" w:color="auto"/>
              <w:left w:val="single" w:sz="12" w:space="0" w:color="auto"/>
              <w:bottom w:val="single" w:sz="6" w:space="0" w:color="auto"/>
              <w:right w:val="single" w:sz="6" w:space="0" w:color="auto"/>
            </w:tcBorders>
            <w:shd w:val="clear" w:color="auto" w:fill="auto"/>
            <w:vAlign w:val="center"/>
          </w:tcPr>
          <w:p w14:paraId="10A5100C" w14:textId="77777777" w:rsidR="002A7684" w:rsidRPr="00A07F29" w:rsidRDefault="002A7684" w:rsidP="002A7684">
            <w:pPr>
              <w:spacing w:after="0" w:line="240" w:lineRule="auto"/>
              <w:rPr>
                <w:rFonts w:ascii="Times New Roman" w:eastAsia="Calibri" w:hAnsi="Times New Roman" w:cs="Times New Roman"/>
                <w:b/>
                <w:bCs/>
                <w:sz w:val="24"/>
                <w:szCs w:val="24"/>
              </w:rPr>
            </w:pPr>
            <w:proofErr w:type="spellStart"/>
            <w:r w:rsidRPr="00A07F29">
              <w:rPr>
                <w:rFonts w:ascii="Times New Roman" w:eastAsia="Calibri" w:hAnsi="Times New Roman" w:cs="Times New Roman"/>
                <w:b/>
                <w:bCs/>
                <w:sz w:val="24"/>
                <w:szCs w:val="24"/>
              </w:rPr>
              <w:t>Gravigēnie</w:t>
            </w:r>
            <w:proofErr w:type="spellEnd"/>
            <w:r w:rsidRPr="00A07F29">
              <w:rPr>
                <w:rFonts w:ascii="Times New Roman" w:eastAsia="Calibri" w:hAnsi="Times New Roman" w:cs="Times New Roman"/>
                <w:b/>
                <w:bCs/>
                <w:sz w:val="24"/>
                <w:szCs w:val="24"/>
              </w:rPr>
              <w:t xml:space="preserve"> nogāžu procesi</w:t>
            </w:r>
          </w:p>
        </w:tc>
        <w:tc>
          <w:tcPr>
            <w:tcW w:w="1361" w:type="dxa"/>
            <w:tcBorders>
              <w:top w:val="single" w:sz="6" w:space="0" w:color="auto"/>
              <w:left w:val="single" w:sz="6" w:space="0" w:color="auto"/>
              <w:bottom w:val="single" w:sz="6" w:space="0" w:color="auto"/>
              <w:right w:val="single" w:sz="12" w:space="0" w:color="auto"/>
            </w:tcBorders>
            <w:shd w:val="clear" w:color="auto" w:fill="auto"/>
            <w:vAlign w:val="center"/>
          </w:tcPr>
          <w:p w14:paraId="27654A71" w14:textId="77777777" w:rsidR="002A7684" w:rsidRPr="00A07F29" w:rsidRDefault="002A7684" w:rsidP="002A7684">
            <w:pPr>
              <w:spacing w:after="0" w:line="240" w:lineRule="auto"/>
              <w:jc w:val="center"/>
              <w:rPr>
                <w:rFonts w:ascii="Times New Roman" w:eastAsia="Calibri" w:hAnsi="Times New Roman" w:cs="Times New Roman"/>
                <w:b/>
                <w:bCs/>
                <w:sz w:val="28"/>
                <w:szCs w:val="28"/>
              </w:rPr>
            </w:pPr>
            <w:r w:rsidRPr="00A07F29">
              <w:rPr>
                <w:rFonts w:ascii="Times New Roman" w:eastAsia="Calibri" w:hAnsi="Times New Roman" w:cs="Times New Roman"/>
                <w:b/>
                <w:sz w:val="28"/>
                <w:szCs w:val="28"/>
              </w:rPr>
              <w:t>+</w:t>
            </w:r>
          </w:p>
        </w:tc>
        <w:tc>
          <w:tcPr>
            <w:tcW w:w="624" w:type="dxa"/>
            <w:tcBorders>
              <w:top w:val="single" w:sz="6" w:space="0" w:color="auto"/>
              <w:left w:val="single" w:sz="12" w:space="0" w:color="auto"/>
              <w:bottom w:val="single" w:sz="6" w:space="0" w:color="auto"/>
              <w:right w:val="single" w:sz="6" w:space="0" w:color="auto"/>
            </w:tcBorders>
            <w:shd w:val="clear" w:color="auto" w:fill="auto"/>
            <w:vAlign w:val="center"/>
          </w:tcPr>
          <w:p w14:paraId="73E59FB9" w14:textId="77777777" w:rsidR="002A7684" w:rsidRPr="00A07F29" w:rsidRDefault="002A7684" w:rsidP="002A7684">
            <w:pPr>
              <w:spacing w:after="0" w:line="240" w:lineRule="auto"/>
              <w:jc w:val="center"/>
              <w:rPr>
                <w:rFonts w:ascii="Times New Roman" w:eastAsia="Calibri" w:hAnsi="Times New Roman" w:cs="Times New Roman"/>
                <w:b/>
                <w:bCs/>
                <w:sz w:val="24"/>
                <w:szCs w:val="24"/>
              </w:rPr>
            </w:pPr>
          </w:p>
        </w:tc>
        <w:tc>
          <w:tcPr>
            <w:tcW w:w="624" w:type="dxa"/>
            <w:tcBorders>
              <w:top w:val="single" w:sz="6" w:space="0" w:color="auto"/>
              <w:left w:val="single" w:sz="6" w:space="0" w:color="auto"/>
              <w:bottom w:val="single" w:sz="6" w:space="0" w:color="auto"/>
              <w:right w:val="single" w:sz="6" w:space="0" w:color="auto"/>
            </w:tcBorders>
            <w:shd w:val="clear" w:color="auto" w:fill="auto"/>
            <w:vAlign w:val="center"/>
          </w:tcPr>
          <w:p w14:paraId="4B2D71C5" w14:textId="4DCE99F9" w:rsidR="002A7684" w:rsidRPr="00A07F29" w:rsidRDefault="00557931" w:rsidP="002A7684">
            <w:pPr>
              <w:spacing w:after="0" w:line="240" w:lineRule="auto"/>
              <w:jc w:val="center"/>
              <w:rPr>
                <w:rFonts w:ascii="Times New Roman" w:eastAsia="Calibri" w:hAnsi="Times New Roman" w:cs="Times New Roman"/>
                <w:b/>
                <w:bCs/>
                <w:sz w:val="24"/>
                <w:szCs w:val="24"/>
              </w:rPr>
            </w:pPr>
            <w:r w:rsidRPr="00A07F29">
              <w:rPr>
                <w:rFonts w:ascii="Times New Roman" w:eastAsia="Calibri" w:hAnsi="Times New Roman" w:cs="Times New Roman"/>
                <w:b/>
                <w:sz w:val="24"/>
                <w:szCs w:val="24"/>
              </w:rPr>
              <w:t>+</w:t>
            </w:r>
          </w:p>
        </w:tc>
        <w:tc>
          <w:tcPr>
            <w:tcW w:w="510" w:type="dxa"/>
            <w:tcBorders>
              <w:top w:val="single" w:sz="6" w:space="0" w:color="auto"/>
              <w:left w:val="single" w:sz="6" w:space="0" w:color="auto"/>
              <w:bottom w:val="single" w:sz="6" w:space="0" w:color="auto"/>
              <w:right w:val="single" w:sz="6" w:space="0" w:color="auto"/>
            </w:tcBorders>
            <w:shd w:val="clear" w:color="auto" w:fill="auto"/>
            <w:vAlign w:val="center"/>
          </w:tcPr>
          <w:p w14:paraId="29726C42" w14:textId="38C5A159" w:rsidR="002A7684" w:rsidRPr="00A07F29" w:rsidRDefault="00557931" w:rsidP="002A7684">
            <w:pPr>
              <w:spacing w:after="0" w:line="240" w:lineRule="auto"/>
              <w:jc w:val="center"/>
              <w:rPr>
                <w:rFonts w:ascii="Times New Roman" w:eastAsia="Calibri" w:hAnsi="Times New Roman" w:cs="Times New Roman"/>
                <w:b/>
                <w:bCs/>
                <w:sz w:val="24"/>
                <w:szCs w:val="24"/>
              </w:rPr>
            </w:pPr>
            <w:r w:rsidRPr="00A07F29">
              <w:rPr>
                <w:rFonts w:ascii="Times New Roman" w:eastAsia="Calibri" w:hAnsi="Times New Roman" w:cs="Times New Roman"/>
                <w:b/>
                <w:sz w:val="24"/>
                <w:szCs w:val="24"/>
              </w:rPr>
              <w:t>+</w:t>
            </w:r>
          </w:p>
        </w:tc>
        <w:tc>
          <w:tcPr>
            <w:tcW w:w="510" w:type="dxa"/>
            <w:tcBorders>
              <w:top w:val="single" w:sz="6" w:space="0" w:color="auto"/>
              <w:left w:val="single" w:sz="6" w:space="0" w:color="auto"/>
              <w:bottom w:val="single" w:sz="6" w:space="0" w:color="auto"/>
              <w:right w:val="single" w:sz="6" w:space="0" w:color="auto"/>
            </w:tcBorders>
            <w:shd w:val="clear" w:color="auto" w:fill="auto"/>
            <w:vAlign w:val="center"/>
          </w:tcPr>
          <w:p w14:paraId="25AFE3B7" w14:textId="77777777" w:rsidR="002A7684" w:rsidRPr="00A07F29" w:rsidRDefault="002A7684" w:rsidP="002A7684">
            <w:pPr>
              <w:spacing w:after="0" w:line="240" w:lineRule="auto"/>
              <w:jc w:val="center"/>
              <w:rPr>
                <w:rFonts w:ascii="Times New Roman" w:eastAsia="Calibri" w:hAnsi="Times New Roman" w:cs="Times New Roman"/>
                <w:b/>
                <w:bCs/>
                <w:sz w:val="24"/>
                <w:szCs w:val="24"/>
              </w:rPr>
            </w:pPr>
          </w:p>
        </w:tc>
        <w:tc>
          <w:tcPr>
            <w:tcW w:w="510" w:type="dxa"/>
            <w:tcBorders>
              <w:top w:val="single" w:sz="6" w:space="0" w:color="auto"/>
              <w:left w:val="single" w:sz="6" w:space="0" w:color="auto"/>
              <w:bottom w:val="single" w:sz="6" w:space="0" w:color="auto"/>
              <w:right w:val="single" w:sz="12" w:space="0" w:color="auto"/>
            </w:tcBorders>
            <w:shd w:val="clear" w:color="auto" w:fill="auto"/>
            <w:vAlign w:val="center"/>
          </w:tcPr>
          <w:p w14:paraId="67BF9EBF" w14:textId="77777777" w:rsidR="002A7684" w:rsidRPr="00A07F29" w:rsidRDefault="002A7684" w:rsidP="002A7684">
            <w:pPr>
              <w:spacing w:after="0" w:line="240" w:lineRule="auto"/>
              <w:jc w:val="center"/>
              <w:rPr>
                <w:rFonts w:ascii="Times New Roman" w:eastAsia="Calibri" w:hAnsi="Times New Roman" w:cs="Times New Roman"/>
                <w:b/>
                <w:bCs/>
                <w:sz w:val="24"/>
                <w:szCs w:val="24"/>
              </w:rPr>
            </w:pPr>
          </w:p>
        </w:tc>
        <w:tc>
          <w:tcPr>
            <w:tcW w:w="624" w:type="dxa"/>
            <w:tcBorders>
              <w:top w:val="single" w:sz="6" w:space="0" w:color="auto"/>
              <w:left w:val="single" w:sz="12" w:space="0" w:color="auto"/>
              <w:bottom w:val="single" w:sz="6" w:space="0" w:color="auto"/>
              <w:right w:val="single" w:sz="6" w:space="0" w:color="auto"/>
            </w:tcBorders>
            <w:shd w:val="clear" w:color="auto" w:fill="auto"/>
            <w:vAlign w:val="center"/>
          </w:tcPr>
          <w:p w14:paraId="3D39F93A" w14:textId="77777777" w:rsidR="002A7684" w:rsidRPr="00A07F29" w:rsidRDefault="002A7684" w:rsidP="002A7684">
            <w:pPr>
              <w:spacing w:after="0" w:line="240" w:lineRule="auto"/>
              <w:jc w:val="center"/>
              <w:rPr>
                <w:rFonts w:ascii="Times New Roman" w:eastAsia="Calibri" w:hAnsi="Times New Roman" w:cs="Times New Roman"/>
                <w:b/>
                <w:bCs/>
                <w:sz w:val="24"/>
                <w:szCs w:val="24"/>
              </w:rPr>
            </w:pPr>
          </w:p>
        </w:tc>
        <w:tc>
          <w:tcPr>
            <w:tcW w:w="624" w:type="dxa"/>
            <w:tcBorders>
              <w:top w:val="single" w:sz="6" w:space="0" w:color="auto"/>
              <w:left w:val="single" w:sz="6" w:space="0" w:color="auto"/>
              <w:bottom w:val="single" w:sz="6" w:space="0" w:color="auto"/>
              <w:right w:val="single" w:sz="6" w:space="0" w:color="auto"/>
            </w:tcBorders>
            <w:shd w:val="clear" w:color="auto" w:fill="auto"/>
            <w:vAlign w:val="center"/>
          </w:tcPr>
          <w:p w14:paraId="741AF8DD" w14:textId="77777777" w:rsidR="002A7684" w:rsidRPr="00A07F29" w:rsidRDefault="002A7684" w:rsidP="002A7684">
            <w:pPr>
              <w:spacing w:after="0" w:line="240" w:lineRule="auto"/>
              <w:jc w:val="center"/>
              <w:rPr>
                <w:rFonts w:ascii="Times New Roman" w:eastAsia="Calibri" w:hAnsi="Times New Roman" w:cs="Times New Roman"/>
                <w:b/>
                <w:bCs/>
                <w:sz w:val="24"/>
                <w:szCs w:val="24"/>
              </w:rPr>
            </w:pPr>
          </w:p>
        </w:tc>
        <w:tc>
          <w:tcPr>
            <w:tcW w:w="510" w:type="dxa"/>
            <w:tcBorders>
              <w:top w:val="single" w:sz="6" w:space="0" w:color="auto"/>
              <w:left w:val="single" w:sz="6" w:space="0" w:color="auto"/>
              <w:bottom w:val="single" w:sz="6" w:space="0" w:color="auto"/>
              <w:right w:val="single" w:sz="6" w:space="0" w:color="auto"/>
            </w:tcBorders>
            <w:shd w:val="clear" w:color="auto" w:fill="auto"/>
            <w:vAlign w:val="center"/>
          </w:tcPr>
          <w:p w14:paraId="49CA2B79" w14:textId="77777777" w:rsidR="002A7684" w:rsidRPr="00A07F29" w:rsidRDefault="002A7684" w:rsidP="002A7684">
            <w:pPr>
              <w:spacing w:after="0" w:line="240" w:lineRule="auto"/>
              <w:jc w:val="center"/>
              <w:rPr>
                <w:rFonts w:ascii="Times New Roman" w:eastAsia="Calibri" w:hAnsi="Times New Roman" w:cs="Times New Roman"/>
                <w:b/>
                <w:bCs/>
                <w:sz w:val="24"/>
                <w:szCs w:val="24"/>
              </w:rPr>
            </w:pPr>
          </w:p>
        </w:tc>
        <w:tc>
          <w:tcPr>
            <w:tcW w:w="510" w:type="dxa"/>
            <w:tcBorders>
              <w:top w:val="single" w:sz="6" w:space="0" w:color="auto"/>
              <w:left w:val="single" w:sz="6" w:space="0" w:color="auto"/>
              <w:bottom w:val="single" w:sz="6" w:space="0" w:color="auto"/>
              <w:right w:val="single" w:sz="6" w:space="0" w:color="auto"/>
            </w:tcBorders>
            <w:shd w:val="clear" w:color="auto" w:fill="auto"/>
            <w:vAlign w:val="center"/>
          </w:tcPr>
          <w:p w14:paraId="6BF29E17" w14:textId="77777777" w:rsidR="002A7684" w:rsidRPr="00A07F29" w:rsidRDefault="002A7684" w:rsidP="002A7684">
            <w:pPr>
              <w:spacing w:after="0" w:line="240" w:lineRule="auto"/>
              <w:jc w:val="center"/>
              <w:rPr>
                <w:rFonts w:ascii="Times New Roman" w:eastAsia="Calibri" w:hAnsi="Times New Roman" w:cs="Times New Roman"/>
                <w:b/>
                <w:bCs/>
                <w:sz w:val="24"/>
                <w:szCs w:val="24"/>
              </w:rPr>
            </w:pPr>
          </w:p>
        </w:tc>
        <w:tc>
          <w:tcPr>
            <w:tcW w:w="510" w:type="dxa"/>
            <w:tcBorders>
              <w:top w:val="single" w:sz="6" w:space="0" w:color="auto"/>
              <w:left w:val="single" w:sz="6" w:space="0" w:color="auto"/>
              <w:bottom w:val="single" w:sz="6" w:space="0" w:color="auto"/>
              <w:right w:val="single" w:sz="12" w:space="0" w:color="auto"/>
            </w:tcBorders>
            <w:shd w:val="clear" w:color="auto" w:fill="auto"/>
            <w:vAlign w:val="center"/>
          </w:tcPr>
          <w:p w14:paraId="55A7D017" w14:textId="77777777" w:rsidR="002A7684" w:rsidRPr="00A07F29" w:rsidRDefault="002A7684" w:rsidP="002A7684">
            <w:pPr>
              <w:spacing w:after="0" w:line="240" w:lineRule="auto"/>
              <w:jc w:val="center"/>
              <w:rPr>
                <w:rFonts w:ascii="Times New Roman" w:eastAsia="Calibri" w:hAnsi="Times New Roman" w:cs="Times New Roman"/>
                <w:b/>
                <w:bCs/>
                <w:sz w:val="24"/>
                <w:szCs w:val="24"/>
              </w:rPr>
            </w:pPr>
          </w:p>
        </w:tc>
      </w:tr>
      <w:tr w:rsidR="00557931" w:rsidRPr="00A07F29" w14:paraId="67673D86" w14:textId="77777777" w:rsidTr="00557931">
        <w:trPr>
          <w:trHeight w:hRule="exact" w:val="567"/>
          <w:jc w:val="center"/>
        </w:trPr>
        <w:tc>
          <w:tcPr>
            <w:tcW w:w="2041" w:type="dxa"/>
            <w:tcBorders>
              <w:top w:val="single" w:sz="6" w:space="0" w:color="auto"/>
              <w:left w:val="single" w:sz="12" w:space="0" w:color="auto"/>
              <w:bottom w:val="single" w:sz="6" w:space="0" w:color="auto"/>
              <w:right w:val="single" w:sz="6" w:space="0" w:color="auto"/>
            </w:tcBorders>
            <w:shd w:val="clear" w:color="auto" w:fill="auto"/>
            <w:vAlign w:val="center"/>
          </w:tcPr>
          <w:p w14:paraId="32212A40" w14:textId="77777777" w:rsidR="002A7684" w:rsidRPr="00A07F29" w:rsidRDefault="002A7684" w:rsidP="002A7684">
            <w:pPr>
              <w:spacing w:after="0" w:line="240" w:lineRule="auto"/>
              <w:rPr>
                <w:rFonts w:ascii="Times New Roman" w:eastAsia="Calibri" w:hAnsi="Times New Roman" w:cs="Times New Roman"/>
                <w:b/>
                <w:bCs/>
                <w:sz w:val="24"/>
                <w:szCs w:val="24"/>
              </w:rPr>
            </w:pPr>
            <w:proofErr w:type="spellStart"/>
            <w:r w:rsidRPr="00A07F29">
              <w:rPr>
                <w:rFonts w:ascii="Times New Roman" w:eastAsia="Calibri" w:hAnsi="Times New Roman" w:cs="Times New Roman"/>
                <w:b/>
                <w:bCs/>
                <w:sz w:val="24"/>
                <w:szCs w:val="24"/>
              </w:rPr>
              <w:t>Fluviālie</w:t>
            </w:r>
            <w:proofErr w:type="spellEnd"/>
            <w:r w:rsidRPr="00A07F29">
              <w:rPr>
                <w:rFonts w:ascii="Times New Roman" w:eastAsia="Calibri" w:hAnsi="Times New Roman" w:cs="Times New Roman"/>
                <w:b/>
                <w:bCs/>
                <w:sz w:val="24"/>
                <w:szCs w:val="24"/>
              </w:rPr>
              <w:t xml:space="preserve"> nogāžu procesi</w:t>
            </w:r>
          </w:p>
        </w:tc>
        <w:tc>
          <w:tcPr>
            <w:tcW w:w="1361" w:type="dxa"/>
            <w:tcBorders>
              <w:top w:val="single" w:sz="6" w:space="0" w:color="auto"/>
              <w:left w:val="single" w:sz="6" w:space="0" w:color="auto"/>
              <w:bottom w:val="single" w:sz="6" w:space="0" w:color="auto"/>
              <w:right w:val="single" w:sz="12" w:space="0" w:color="auto"/>
            </w:tcBorders>
            <w:shd w:val="clear" w:color="auto" w:fill="auto"/>
            <w:vAlign w:val="center"/>
          </w:tcPr>
          <w:p w14:paraId="3D5E9B43" w14:textId="77777777" w:rsidR="002A7684" w:rsidRPr="00A07F29" w:rsidRDefault="002A7684" w:rsidP="002A7684">
            <w:pPr>
              <w:spacing w:after="0" w:line="240" w:lineRule="auto"/>
              <w:jc w:val="center"/>
              <w:rPr>
                <w:rFonts w:ascii="Times New Roman" w:eastAsia="Calibri" w:hAnsi="Times New Roman" w:cs="Times New Roman"/>
                <w:b/>
                <w:bCs/>
                <w:sz w:val="28"/>
                <w:szCs w:val="28"/>
              </w:rPr>
            </w:pPr>
            <w:r w:rsidRPr="00A07F29">
              <w:rPr>
                <w:rFonts w:ascii="Times New Roman" w:eastAsia="Calibri" w:hAnsi="Times New Roman" w:cs="Times New Roman"/>
                <w:b/>
                <w:sz w:val="28"/>
                <w:szCs w:val="28"/>
              </w:rPr>
              <w:t>+</w:t>
            </w:r>
          </w:p>
        </w:tc>
        <w:tc>
          <w:tcPr>
            <w:tcW w:w="624" w:type="dxa"/>
            <w:tcBorders>
              <w:top w:val="single" w:sz="6" w:space="0" w:color="auto"/>
              <w:left w:val="single" w:sz="12" w:space="0" w:color="auto"/>
              <w:bottom w:val="single" w:sz="6" w:space="0" w:color="auto"/>
              <w:right w:val="single" w:sz="6" w:space="0" w:color="auto"/>
            </w:tcBorders>
            <w:shd w:val="clear" w:color="auto" w:fill="auto"/>
            <w:vAlign w:val="center"/>
          </w:tcPr>
          <w:p w14:paraId="71773426" w14:textId="77777777" w:rsidR="002A7684" w:rsidRPr="00A07F29" w:rsidRDefault="002A7684" w:rsidP="002A7684">
            <w:pPr>
              <w:spacing w:after="0" w:line="240" w:lineRule="auto"/>
              <w:jc w:val="center"/>
              <w:rPr>
                <w:rFonts w:ascii="Times New Roman" w:eastAsia="Calibri" w:hAnsi="Times New Roman" w:cs="Times New Roman"/>
                <w:b/>
                <w:bCs/>
                <w:sz w:val="24"/>
                <w:szCs w:val="24"/>
              </w:rPr>
            </w:pPr>
          </w:p>
        </w:tc>
        <w:tc>
          <w:tcPr>
            <w:tcW w:w="624" w:type="dxa"/>
            <w:tcBorders>
              <w:top w:val="single" w:sz="6" w:space="0" w:color="auto"/>
              <w:left w:val="single" w:sz="6" w:space="0" w:color="auto"/>
              <w:bottom w:val="single" w:sz="6" w:space="0" w:color="auto"/>
              <w:right w:val="single" w:sz="6" w:space="0" w:color="auto"/>
            </w:tcBorders>
            <w:shd w:val="clear" w:color="auto" w:fill="auto"/>
            <w:vAlign w:val="center"/>
          </w:tcPr>
          <w:p w14:paraId="05189BB5" w14:textId="21098EE2" w:rsidR="002A7684" w:rsidRPr="00A07F29" w:rsidRDefault="00557931" w:rsidP="002A7684">
            <w:pPr>
              <w:spacing w:after="0" w:line="240" w:lineRule="auto"/>
              <w:jc w:val="center"/>
              <w:rPr>
                <w:rFonts w:ascii="Times New Roman" w:eastAsia="Calibri" w:hAnsi="Times New Roman" w:cs="Times New Roman"/>
                <w:b/>
                <w:bCs/>
                <w:sz w:val="24"/>
                <w:szCs w:val="24"/>
              </w:rPr>
            </w:pPr>
            <w:r w:rsidRPr="00A07F29">
              <w:rPr>
                <w:rFonts w:ascii="Times New Roman" w:eastAsia="Calibri" w:hAnsi="Times New Roman" w:cs="Times New Roman"/>
                <w:b/>
                <w:sz w:val="24"/>
                <w:szCs w:val="24"/>
              </w:rPr>
              <w:t>+</w:t>
            </w:r>
          </w:p>
        </w:tc>
        <w:tc>
          <w:tcPr>
            <w:tcW w:w="510" w:type="dxa"/>
            <w:tcBorders>
              <w:top w:val="single" w:sz="6" w:space="0" w:color="auto"/>
              <w:left w:val="single" w:sz="6" w:space="0" w:color="auto"/>
              <w:bottom w:val="single" w:sz="6" w:space="0" w:color="auto"/>
              <w:right w:val="single" w:sz="6" w:space="0" w:color="auto"/>
            </w:tcBorders>
            <w:shd w:val="clear" w:color="auto" w:fill="auto"/>
            <w:vAlign w:val="center"/>
          </w:tcPr>
          <w:p w14:paraId="1C1A12A6" w14:textId="6E0C0D6E" w:rsidR="002A7684" w:rsidRPr="00A07F29" w:rsidRDefault="00557931" w:rsidP="002A7684">
            <w:pPr>
              <w:spacing w:after="0" w:line="240" w:lineRule="auto"/>
              <w:jc w:val="center"/>
              <w:rPr>
                <w:rFonts w:ascii="Times New Roman" w:eastAsia="Calibri" w:hAnsi="Times New Roman" w:cs="Times New Roman"/>
                <w:b/>
                <w:bCs/>
                <w:sz w:val="24"/>
                <w:szCs w:val="24"/>
              </w:rPr>
            </w:pPr>
            <w:r w:rsidRPr="00A07F29">
              <w:rPr>
                <w:rFonts w:ascii="Times New Roman" w:eastAsia="Calibri" w:hAnsi="Times New Roman" w:cs="Times New Roman"/>
                <w:b/>
                <w:sz w:val="24"/>
                <w:szCs w:val="24"/>
              </w:rPr>
              <w:t>+</w:t>
            </w:r>
          </w:p>
        </w:tc>
        <w:tc>
          <w:tcPr>
            <w:tcW w:w="510" w:type="dxa"/>
            <w:tcBorders>
              <w:top w:val="single" w:sz="6" w:space="0" w:color="auto"/>
              <w:left w:val="single" w:sz="6" w:space="0" w:color="auto"/>
              <w:bottom w:val="single" w:sz="6" w:space="0" w:color="auto"/>
              <w:right w:val="single" w:sz="6" w:space="0" w:color="auto"/>
            </w:tcBorders>
            <w:shd w:val="clear" w:color="auto" w:fill="auto"/>
            <w:vAlign w:val="center"/>
          </w:tcPr>
          <w:p w14:paraId="2F4A1E02" w14:textId="095D8062" w:rsidR="002A7684" w:rsidRPr="00A07F29" w:rsidRDefault="00557931" w:rsidP="002A7684">
            <w:pPr>
              <w:spacing w:after="0" w:line="240" w:lineRule="auto"/>
              <w:jc w:val="center"/>
              <w:rPr>
                <w:rFonts w:ascii="Times New Roman" w:eastAsia="Calibri" w:hAnsi="Times New Roman" w:cs="Times New Roman"/>
                <w:b/>
                <w:bCs/>
                <w:sz w:val="24"/>
                <w:szCs w:val="24"/>
              </w:rPr>
            </w:pPr>
            <w:r w:rsidRPr="00A07F29">
              <w:rPr>
                <w:rFonts w:ascii="Times New Roman" w:eastAsia="Calibri" w:hAnsi="Times New Roman" w:cs="Times New Roman"/>
                <w:b/>
                <w:sz w:val="24"/>
                <w:szCs w:val="24"/>
              </w:rPr>
              <w:t>+</w:t>
            </w:r>
          </w:p>
        </w:tc>
        <w:tc>
          <w:tcPr>
            <w:tcW w:w="510" w:type="dxa"/>
            <w:tcBorders>
              <w:top w:val="single" w:sz="6" w:space="0" w:color="auto"/>
              <w:left w:val="single" w:sz="6" w:space="0" w:color="auto"/>
              <w:bottom w:val="single" w:sz="6" w:space="0" w:color="auto"/>
              <w:right w:val="single" w:sz="12" w:space="0" w:color="auto"/>
            </w:tcBorders>
            <w:shd w:val="clear" w:color="auto" w:fill="auto"/>
            <w:vAlign w:val="center"/>
          </w:tcPr>
          <w:p w14:paraId="496DF2F1" w14:textId="64587AEC" w:rsidR="002A7684" w:rsidRPr="00A07F29" w:rsidRDefault="00557931" w:rsidP="002A7684">
            <w:pPr>
              <w:spacing w:after="0" w:line="240" w:lineRule="auto"/>
              <w:jc w:val="center"/>
              <w:rPr>
                <w:rFonts w:ascii="Times New Roman" w:eastAsia="Calibri" w:hAnsi="Times New Roman" w:cs="Times New Roman"/>
                <w:b/>
                <w:bCs/>
                <w:sz w:val="24"/>
                <w:szCs w:val="24"/>
              </w:rPr>
            </w:pPr>
            <w:r w:rsidRPr="00A07F29">
              <w:rPr>
                <w:rFonts w:ascii="Times New Roman" w:eastAsia="Calibri" w:hAnsi="Times New Roman" w:cs="Times New Roman"/>
                <w:b/>
                <w:sz w:val="24"/>
                <w:szCs w:val="24"/>
              </w:rPr>
              <w:t>+</w:t>
            </w:r>
          </w:p>
        </w:tc>
        <w:tc>
          <w:tcPr>
            <w:tcW w:w="624" w:type="dxa"/>
            <w:tcBorders>
              <w:top w:val="single" w:sz="6" w:space="0" w:color="auto"/>
              <w:left w:val="single" w:sz="12" w:space="0" w:color="auto"/>
              <w:bottom w:val="single" w:sz="6" w:space="0" w:color="auto"/>
              <w:right w:val="single" w:sz="6" w:space="0" w:color="auto"/>
            </w:tcBorders>
            <w:shd w:val="clear" w:color="auto" w:fill="auto"/>
            <w:vAlign w:val="center"/>
          </w:tcPr>
          <w:p w14:paraId="1A0DD494" w14:textId="77777777" w:rsidR="002A7684" w:rsidRPr="00A07F29" w:rsidRDefault="002A7684" w:rsidP="002A7684">
            <w:pPr>
              <w:spacing w:after="0" w:line="240" w:lineRule="auto"/>
              <w:jc w:val="center"/>
              <w:rPr>
                <w:rFonts w:ascii="Times New Roman" w:eastAsia="Calibri" w:hAnsi="Times New Roman" w:cs="Times New Roman"/>
                <w:b/>
                <w:bCs/>
                <w:sz w:val="24"/>
                <w:szCs w:val="24"/>
              </w:rPr>
            </w:pPr>
          </w:p>
        </w:tc>
        <w:tc>
          <w:tcPr>
            <w:tcW w:w="624" w:type="dxa"/>
            <w:tcBorders>
              <w:top w:val="single" w:sz="6" w:space="0" w:color="auto"/>
              <w:left w:val="single" w:sz="6" w:space="0" w:color="auto"/>
              <w:bottom w:val="single" w:sz="6" w:space="0" w:color="auto"/>
              <w:right w:val="single" w:sz="6" w:space="0" w:color="auto"/>
            </w:tcBorders>
            <w:shd w:val="clear" w:color="auto" w:fill="auto"/>
            <w:vAlign w:val="center"/>
          </w:tcPr>
          <w:p w14:paraId="1FA1011E" w14:textId="77777777" w:rsidR="002A7684" w:rsidRPr="00A07F29" w:rsidRDefault="002A7684" w:rsidP="002A7684">
            <w:pPr>
              <w:spacing w:after="0" w:line="240" w:lineRule="auto"/>
              <w:jc w:val="center"/>
              <w:rPr>
                <w:rFonts w:ascii="Times New Roman" w:eastAsia="Calibri" w:hAnsi="Times New Roman" w:cs="Times New Roman"/>
                <w:b/>
                <w:bCs/>
                <w:sz w:val="24"/>
                <w:szCs w:val="24"/>
              </w:rPr>
            </w:pPr>
          </w:p>
        </w:tc>
        <w:tc>
          <w:tcPr>
            <w:tcW w:w="510" w:type="dxa"/>
            <w:tcBorders>
              <w:top w:val="single" w:sz="6" w:space="0" w:color="auto"/>
              <w:left w:val="single" w:sz="6" w:space="0" w:color="auto"/>
              <w:bottom w:val="single" w:sz="6" w:space="0" w:color="auto"/>
              <w:right w:val="single" w:sz="6" w:space="0" w:color="auto"/>
            </w:tcBorders>
            <w:shd w:val="clear" w:color="auto" w:fill="auto"/>
            <w:vAlign w:val="center"/>
          </w:tcPr>
          <w:p w14:paraId="7EB49D15" w14:textId="77777777" w:rsidR="002A7684" w:rsidRPr="00A07F29" w:rsidRDefault="002A7684" w:rsidP="002A7684">
            <w:pPr>
              <w:spacing w:after="0" w:line="240" w:lineRule="auto"/>
              <w:jc w:val="center"/>
              <w:rPr>
                <w:rFonts w:ascii="Times New Roman" w:eastAsia="Calibri" w:hAnsi="Times New Roman" w:cs="Times New Roman"/>
                <w:b/>
                <w:bCs/>
                <w:sz w:val="24"/>
                <w:szCs w:val="24"/>
              </w:rPr>
            </w:pPr>
          </w:p>
        </w:tc>
        <w:tc>
          <w:tcPr>
            <w:tcW w:w="510" w:type="dxa"/>
            <w:tcBorders>
              <w:top w:val="single" w:sz="6" w:space="0" w:color="auto"/>
              <w:left w:val="single" w:sz="6" w:space="0" w:color="auto"/>
              <w:bottom w:val="single" w:sz="6" w:space="0" w:color="auto"/>
              <w:right w:val="single" w:sz="6" w:space="0" w:color="auto"/>
            </w:tcBorders>
            <w:shd w:val="clear" w:color="auto" w:fill="auto"/>
            <w:vAlign w:val="center"/>
          </w:tcPr>
          <w:p w14:paraId="71FB2FE1" w14:textId="77777777" w:rsidR="002A7684" w:rsidRPr="00A07F29" w:rsidRDefault="002A7684" w:rsidP="002A7684">
            <w:pPr>
              <w:spacing w:after="0" w:line="240" w:lineRule="auto"/>
              <w:jc w:val="center"/>
              <w:rPr>
                <w:rFonts w:ascii="Times New Roman" w:eastAsia="Calibri" w:hAnsi="Times New Roman" w:cs="Times New Roman"/>
                <w:b/>
                <w:bCs/>
                <w:sz w:val="24"/>
                <w:szCs w:val="24"/>
              </w:rPr>
            </w:pPr>
          </w:p>
        </w:tc>
        <w:tc>
          <w:tcPr>
            <w:tcW w:w="510" w:type="dxa"/>
            <w:tcBorders>
              <w:top w:val="single" w:sz="6" w:space="0" w:color="auto"/>
              <w:left w:val="single" w:sz="6" w:space="0" w:color="auto"/>
              <w:bottom w:val="single" w:sz="6" w:space="0" w:color="auto"/>
              <w:right w:val="single" w:sz="12" w:space="0" w:color="auto"/>
            </w:tcBorders>
            <w:shd w:val="clear" w:color="auto" w:fill="auto"/>
            <w:vAlign w:val="center"/>
          </w:tcPr>
          <w:p w14:paraId="4C68B151" w14:textId="77777777" w:rsidR="002A7684" w:rsidRPr="00A07F29" w:rsidRDefault="002A7684" w:rsidP="002A7684">
            <w:pPr>
              <w:spacing w:after="0" w:line="240" w:lineRule="auto"/>
              <w:jc w:val="center"/>
              <w:rPr>
                <w:rFonts w:ascii="Times New Roman" w:eastAsia="Calibri" w:hAnsi="Times New Roman" w:cs="Times New Roman"/>
                <w:b/>
                <w:bCs/>
                <w:sz w:val="24"/>
                <w:szCs w:val="24"/>
              </w:rPr>
            </w:pPr>
          </w:p>
        </w:tc>
      </w:tr>
      <w:tr w:rsidR="00557931" w:rsidRPr="00A07F29" w14:paraId="765D7D92" w14:textId="77777777" w:rsidTr="00557931">
        <w:trPr>
          <w:trHeight w:hRule="exact" w:val="567"/>
          <w:jc w:val="center"/>
        </w:trPr>
        <w:tc>
          <w:tcPr>
            <w:tcW w:w="2041" w:type="dxa"/>
            <w:tcBorders>
              <w:top w:val="single" w:sz="6" w:space="0" w:color="auto"/>
              <w:left w:val="single" w:sz="12" w:space="0" w:color="auto"/>
              <w:bottom w:val="single" w:sz="6" w:space="0" w:color="auto"/>
              <w:right w:val="single" w:sz="6" w:space="0" w:color="auto"/>
            </w:tcBorders>
            <w:shd w:val="clear" w:color="auto" w:fill="auto"/>
            <w:vAlign w:val="center"/>
          </w:tcPr>
          <w:p w14:paraId="7EB03A5B" w14:textId="77777777" w:rsidR="002A7684" w:rsidRPr="00A07F29" w:rsidRDefault="002A7684" w:rsidP="002A7684">
            <w:pPr>
              <w:spacing w:after="0" w:line="240" w:lineRule="auto"/>
              <w:rPr>
                <w:rFonts w:ascii="Times New Roman" w:eastAsia="Calibri" w:hAnsi="Times New Roman" w:cs="Times New Roman"/>
                <w:b/>
                <w:bCs/>
                <w:sz w:val="24"/>
                <w:szCs w:val="24"/>
              </w:rPr>
            </w:pPr>
            <w:r w:rsidRPr="00A07F29">
              <w:rPr>
                <w:rFonts w:ascii="Times New Roman" w:eastAsia="Calibri" w:hAnsi="Times New Roman" w:cs="Times New Roman"/>
                <w:b/>
                <w:bCs/>
                <w:sz w:val="24"/>
                <w:szCs w:val="24"/>
              </w:rPr>
              <w:t>Upju ģeoloģiskā darbība</w:t>
            </w:r>
          </w:p>
        </w:tc>
        <w:tc>
          <w:tcPr>
            <w:tcW w:w="1361" w:type="dxa"/>
            <w:tcBorders>
              <w:top w:val="single" w:sz="6" w:space="0" w:color="auto"/>
              <w:left w:val="single" w:sz="6" w:space="0" w:color="auto"/>
              <w:bottom w:val="single" w:sz="6" w:space="0" w:color="auto"/>
              <w:right w:val="single" w:sz="12" w:space="0" w:color="auto"/>
            </w:tcBorders>
            <w:shd w:val="clear" w:color="auto" w:fill="auto"/>
            <w:vAlign w:val="center"/>
          </w:tcPr>
          <w:p w14:paraId="49BBBEDA" w14:textId="77777777" w:rsidR="002A7684" w:rsidRPr="00A07F29" w:rsidRDefault="002A7684" w:rsidP="002A7684">
            <w:pPr>
              <w:spacing w:after="0" w:line="240" w:lineRule="auto"/>
              <w:jc w:val="center"/>
              <w:rPr>
                <w:rFonts w:ascii="Times New Roman" w:eastAsia="Calibri" w:hAnsi="Times New Roman" w:cs="Times New Roman"/>
                <w:b/>
                <w:bCs/>
                <w:sz w:val="28"/>
                <w:szCs w:val="28"/>
              </w:rPr>
            </w:pPr>
            <w:r w:rsidRPr="00A07F29">
              <w:rPr>
                <w:rFonts w:ascii="Times New Roman" w:eastAsia="Calibri" w:hAnsi="Times New Roman" w:cs="Times New Roman"/>
                <w:b/>
                <w:sz w:val="28"/>
                <w:szCs w:val="28"/>
              </w:rPr>
              <w:t>+</w:t>
            </w:r>
          </w:p>
        </w:tc>
        <w:tc>
          <w:tcPr>
            <w:tcW w:w="624" w:type="dxa"/>
            <w:tcBorders>
              <w:top w:val="single" w:sz="6" w:space="0" w:color="auto"/>
              <w:left w:val="single" w:sz="12" w:space="0" w:color="auto"/>
              <w:bottom w:val="single" w:sz="6" w:space="0" w:color="auto"/>
              <w:right w:val="single" w:sz="6" w:space="0" w:color="auto"/>
            </w:tcBorders>
            <w:shd w:val="clear" w:color="auto" w:fill="auto"/>
            <w:vAlign w:val="center"/>
          </w:tcPr>
          <w:p w14:paraId="42958C88" w14:textId="77777777" w:rsidR="002A7684" w:rsidRPr="00A07F29" w:rsidRDefault="002A7684" w:rsidP="002A7684">
            <w:pPr>
              <w:spacing w:after="0" w:line="240" w:lineRule="auto"/>
              <w:jc w:val="center"/>
              <w:rPr>
                <w:rFonts w:ascii="Times New Roman" w:eastAsia="Calibri" w:hAnsi="Times New Roman" w:cs="Times New Roman"/>
                <w:b/>
                <w:bCs/>
                <w:sz w:val="24"/>
                <w:szCs w:val="24"/>
              </w:rPr>
            </w:pPr>
          </w:p>
        </w:tc>
        <w:tc>
          <w:tcPr>
            <w:tcW w:w="624" w:type="dxa"/>
            <w:tcBorders>
              <w:top w:val="single" w:sz="6" w:space="0" w:color="auto"/>
              <w:left w:val="single" w:sz="6" w:space="0" w:color="auto"/>
              <w:bottom w:val="single" w:sz="6" w:space="0" w:color="auto"/>
              <w:right w:val="single" w:sz="6" w:space="0" w:color="auto"/>
            </w:tcBorders>
            <w:shd w:val="clear" w:color="auto" w:fill="auto"/>
            <w:vAlign w:val="center"/>
          </w:tcPr>
          <w:p w14:paraId="7E3D275A" w14:textId="70ADC750" w:rsidR="002A7684" w:rsidRPr="00A07F29" w:rsidRDefault="00557931" w:rsidP="002A7684">
            <w:pPr>
              <w:spacing w:after="0" w:line="240" w:lineRule="auto"/>
              <w:jc w:val="center"/>
              <w:rPr>
                <w:rFonts w:ascii="Times New Roman" w:eastAsia="Calibri" w:hAnsi="Times New Roman" w:cs="Times New Roman"/>
                <w:b/>
                <w:bCs/>
                <w:sz w:val="24"/>
                <w:szCs w:val="24"/>
              </w:rPr>
            </w:pPr>
            <w:r w:rsidRPr="00A07F29">
              <w:rPr>
                <w:rFonts w:ascii="Times New Roman" w:eastAsia="Calibri" w:hAnsi="Times New Roman" w:cs="Times New Roman"/>
                <w:b/>
                <w:sz w:val="24"/>
                <w:szCs w:val="24"/>
              </w:rPr>
              <w:t>+</w:t>
            </w:r>
          </w:p>
        </w:tc>
        <w:tc>
          <w:tcPr>
            <w:tcW w:w="510" w:type="dxa"/>
            <w:tcBorders>
              <w:top w:val="single" w:sz="6" w:space="0" w:color="auto"/>
              <w:left w:val="single" w:sz="6" w:space="0" w:color="auto"/>
              <w:bottom w:val="single" w:sz="6" w:space="0" w:color="auto"/>
              <w:right w:val="single" w:sz="6" w:space="0" w:color="auto"/>
            </w:tcBorders>
            <w:shd w:val="clear" w:color="auto" w:fill="auto"/>
            <w:vAlign w:val="center"/>
          </w:tcPr>
          <w:p w14:paraId="0B1BA1C2" w14:textId="310512CE" w:rsidR="002A7684" w:rsidRPr="00A07F29" w:rsidRDefault="00557931" w:rsidP="002A7684">
            <w:pPr>
              <w:spacing w:after="0" w:line="240" w:lineRule="auto"/>
              <w:jc w:val="center"/>
              <w:rPr>
                <w:rFonts w:ascii="Times New Roman" w:eastAsia="Calibri" w:hAnsi="Times New Roman" w:cs="Times New Roman"/>
                <w:b/>
                <w:bCs/>
                <w:sz w:val="24"/>
                <w:szCs w:val="24"/>
              </w:rPr>
            </w:pPr>
            <w:r w:rsidRPr="00A07F29">
              <w:rPr>
                <w:rFonts w:ascii="Times New Roman" w:eastAsia="Calibri" w:hAnsi="Times New Roman" w:cs="Times New Roman"/>
                <w:b/>
                <w:sz w:val="24"/>
                <w:szCs w:val="24"/>
              </w:rPr>
              <w:t>+</w:t>
            </w:r>
          </w:p>
        </w:tc>
        <w:tc>
          <w:tcPr>
            <w:tcW w:w="510" w:type="dxa"/>
            <w:tcBorders>
              <w:top w:val="single" w:sz="6" w:space="0" w:color="auto"/>
              <w:left w:val="single" w:sz="6" w:space="0" w:color="auto"/>
              <w:bottom w:val="single" w:sz="6" w:space="0" w:color="auto"/>
              <w:right w:val="single" w:sz="6" w:space="0" w:color="auto"/>
            </w:tcBorders>
            <w:shd w:val="clear" w:color="auto" w:fill="auto"/>
            <w:vAlign w:val="center"/>
          </w:tcPr>
          <w:p w14:paraId="3E193EE8" w14:textId="704E43A7" w:rsidR="002A7684" w:rsidRPr="00A07F29" w:rsidRDefault="00557931" w:rsidP="002A7684">
            <w:pPr>
              <w:spacing w:after="0" w:line="240" w:lineRule="auto"/>
              <w:jc w:val="center"/>
              <w:rPr>
                <w:rFonts w:ascii="Times New Roman" w:eastAsia="Calibri" w:hAnsi="Times New Roman" w:cs="Times New Roman"/>
                <w:b/>
                <w:bCs/>
                <w:sz w:val="24"/>
                <w:szCs w:val="24"/>
              </w:rPr>
            </w:pPr>
            <w:r w:rsidRPr="00A07F29">
              <w:rPr>
                <w:rFonts w:ascii="Times New Roman" w:eastAsia="Calibri" w:hAnsi="Times New Roman" w:cs="Times New Roman"/>
                <w:b/>
                <w:sz w:val="24"/>
                <w:szCs w:val="24"/>
              </w:rPr>
              <w:t>+</w:t>
            </w:r>
          </w:p>
        </w:tc>
        <w:tc>
          <w:tcPr>
            <w:tcW w:w="510" w:type="dxa"/>
            <w:tcBorders>
              <w:top w:val="single" w:sz="6" w:space="0" w:color="auto"/>
              <w:left w:val="single" w:sz="6" w:space="0" w:color="auto"/>
              <w:bottom w:val="single" w:sz="6" w:space="0" w:color="auto"/>
              <w:right w:val="single" w:sz="12" w:space="0" w:color="auto"/>
            </w:tcBorders>
            <w:shd w:val="clear" w:color="auto" w:fill="auto"/>
            <w:vAlign w:val="center"/>
          </w:tcPr>
          <w:p w14:paraId="698F234B" w14:textId="77777777" w:rsidR="002A7684" w:rsidRPr="00A07F29" w:rsidRDefault="002A7684" w:rsidP="002A7684">
            <w:pPr>
              <w:spacing w:after="0" w:line="240" w:lineRule="auto"/>
              <w:jc w:val="center"/>
              <w:rPr>
                <w:rFonts w:ascii="Times New Roman" w:eastAsia="Calibri" w:hAnsi="Times New Roman" w:cs="Times New Roman"/>
                <w:b/>
                <w:bCs/>
                <w:sz w:val="24"/>
                <w:szCs w:val="24"/>
              </w:rPr>
            </w:pPr>
          </w:p>
        </w:tc>
        <w:tc>
          <w:tcPr>
            <w:tcW w:w="624" w:type="dxa"/>
            <w:tcBorders>
              <w:top w:val="single" w:sz="6" w:space="0" w:color="auto"/>
              <w:left w:val="single" w:sz="12" w:space="0" w:color="auto"/>
              <w:bottom w:val="single" w:sz="6" w:space="0" w:color="auto"/>
              <w:right w:val="single" w:sz="6" w:space="0" w:color="auto"/>
            </w:tcBorders>
            <w:shd w:val="clear" w:color="auto" w:fill="auto"/>
            <w:vAlign w:val="center"/>
          </w:tcPr>
          <w:p w14:paraId="3349EC5B" w14:textId="77777777" w:rsidR="002A7684" w:rsidRPr="00A07F29" w:rsidRDefault="002A7684" w:rsidP="002A7684">
            <w:pPr>
              <w:spacing w:after="0" w:line="240" w:lineRule="auto"/>
              <w:jc w:val="center"/>
              <w:rPr>
                <w:rFonts w:ascii="Times New Roman" w:eastAsia="Calibri" w:hAnsi="Times New Roman" w:cs="Times New Roman"/>
                <w:b/>
                <w:bCs/>
                <w:sz w:val="24"/>
                <w:szCs w:val="24"/>
              </w:rPr>
            </w:pPr>
          </w:p>
        </w:tc>
        <w:tc>
          <w:tcPr>
            <w:tcW w:w="624" w:type="dxa"/>
            <w:tcBorders>
              <w:top w:val="single" w:sz="6" w:space="0" w:color="auto"/>
              <w:left w:val="single" w:sz="6" w:space="0" w:color="auto"/>
              <w:bottom w:val="single" w:sz="6" w:space="0" w:color="auto"/>
              <w:right w:val="single" w:sz="6" w:space="0" w:color="auto"/>
            </w:tcBorders>
            <w:shd w:val="clear" w:color="auto" w:fill="auto"/>
            <w:vAlign w:val="center"/>
          </w:tcPr>
          <w:p w14:paraId="35FD3F6B" w14:textId="77777777" w:rsidR="002A7684" w:rsidRPr="00A07F29" w:rsidRDefault="002A7684" w:rsidP="002A7684">
            <w:pPr>
              <w:spacing w:after="0" w:line="240" w:lineRule="auto"/>
              <w:jc w:val="center"/>
              <w:rPr>
                <w:rFonts w:ascii="Times New Roman" w:eastAsia="Calibri" w:hAnsi="Times New Roman" w:cs="Times New Roman"/>
                <w:b/>
                <w:bCs/>
                <w:sz w:val="24"/>
                <w:szCs w:val="24"/>
              </w:rPr>
            </w:pPr>
          </w:p>
        </w:tc>
        <w:tc>
          <w:tcPr>
            <w:tcW w:w="510" w:type="dxa"/>
            <w:tcBorders>
              <w:top w:val="single" w:sz="6" w:space="0" w:color="auto"/>
              <w:left w:val="single" w:sz="6" w:space="0" w:color="auto"/>
              <w:bottom w:val="single" w:sz="6" w:space="0" w:color="auto"/>
              <w:right w:val="single" w:sz="6" w:space="0" w:color="auto"/>
            </w:tcBorders>
            <w:shd w:val="clear" w:color="auto" w:fill="auto"/>
            <w:vAlign w:val="center"/>
          </w:tcPr>
          <w:p w14:paraId="4F76B5F9" w14:textId="77777777" w:rsidR="002A7684" w:rsidRPr="00A07F29" w:rsidRDefault="002A7684" w:rsidP="002A7684">
            <w:pPr>
              <w:spacing w:after="0" w:line="240" w:lineRule="auto"/>
              <w:jc w:val="center"/>
              <w:rPr>
                <w:rFonts w:ascii="Times New Roman" w:eastAsia="Calibri" w:hAnsi="Times New Roman" w:cs="Times New Roman"/>
                <w:b/>
                <w:bCs/>
                <w:sz w:val="24"/>
                <w:szCs w:val="24"/>
              </w:rPr>
            </w:pPr>
          </w:p>
        </w:tc>
        <w:tc>
          <w:tcPr>
            <w:tcW w:w="510" w:type="dxa"/>
            <w:tcBorders>
              <w:top w:val="single" w:sz="6" w:space="0" w:color="auto"/>
              <w:left w:val="single" w:sz="6" w:space="0" w:color="auto"/>
              <w:bottom w:val="single" w:sz="6" w:space="0" w:color="auto"/>
              <w:right w:val="single" w:sz="6" w:space="0" w:color="auto"/>
            </w:tcBorders>
            <w:shd w:val="clear" w:color="auto" w:fill="auto"/>
            <w:vAlign w:val="center"/>
          </w:tcPr>
          <w:p w14:paraId="183003F3" w14:textId="77777777" w:rsidR="002A7684" w:rsidRPr="00A07F29" w:rsidRDefault="002A7684" w:rsidP="002A7684">
            <w:pPr>
              <w:spacing w:after="0" w:line="240" w:lineRule="auto"/>
              <w:jc w:val="center"/>
              <w:rPr>
                <w:rFonts w:ascii="Times New Roman" w:eastAsia="Calibri" w:hAnsi="Times New Roman" w:cs="Times New Roman"/>
                <w:b/>
                <w:bCs/>
                <w:sz w:val="24"/>
                <w:szCs w:val="24"/>
              </w:rPr>
            </w:pPr>
          </w:p>
        </w:tc>
        <w:tc>
          <w:tcPr>
            <w:tcW w:w="510" w:type="dxa"/>
            <w:tcBorders>
              <w:top w:val="single" w:sz="6" w:space="0" w:color="auto"/>
              <w:left w:val="single" w:sz="6" w:space="0" w:color="auto"/>
              <w:bottom w:val="single" w:sz="6" w:space="0" w:color="auto"/>
              <w:right w:val="single" w:sz="12" w:space="0" w:color="auto"/>
            </w:tcBorders>
            <w:shd w:val="clear" w:color="auto" w:fill="auto"/>
            <w:vAlign w:val="center"/>
          </w:tcPr>
          <w:p w14:paraId="051449BD" w14:textId="77777777" w:rsidR="002A7684" w:rsidRPr="00A07F29" w:rsidRDefault="002A7684" w:rsidP="002A7684">
            <w:pPr>
              <w:spacing w:after="0" w:line="240" w:lineRule="auto"/>
              <w:jc w:val="center"/>
              <w:rPr>
                <w:rFonts w:ascii="Times New Roman" w:eastAsia="Calibri" w:hAnsi="Times New Roman" w:cs="Times New Roman"/>
                <w:b/>
                <w:bCs/>
                <w:sz w:val="24"/>
                <w:szCs w:val="24"/>
              </w:rPr>
            </w:pPr>
          </w:p>
        </w:tc>
      </w:tr>
      <w:tr w:rsidR="002A7684" w:rsidRPr="00A07F29" w14:paraId="47BDEA31" w14:textId="77777777" w:rsidTr="002A7684">
        <w:trPr>
          <w:trHeight w:hRule="exact" w:val="949"/>
          <w:jc w:val="center"/>
        </w:trPr>
        <w:tc>
          <w:tcPr>
            <w:tcW w:w="2041" w:type="dxa"/>
            <w:tcBorders>
              <w:top w:val="single" w:sz="6" w:space="0" w:color="auto"/>
              <w:left w:val="single" w:sz="12" w:space="0" w:color="auto"/>
              <w:bottom w:val="single" w:sz="12" w:space="0" w:color="auto"/>
              <w:right w:val="single" w:sz="6" w:space="0" w:color="auto"/>
            </w:tcBorders>
            <w:shd w:val="clear" w:color="auto" w:fill="auto"/>
            <w:vAlign w:val="center"/>
          </w:tcPr>
          <w:p w14:paraId="7BA746CB" w14:textId="77777777" w:rsidR="002A7684" w:rsidRPr="00A07F29" w:rsidRDefault="002A7684" w:rsidP="002A7684">
            <w:pPr>
              <w:spacing w:after="0" w:line="240" w:lineRule="auto"/>
              <w:rPr>
                <w:rFonts w:ascii="Times New Roman" w:eastAsia="Calibri" w:hAnsi="Times New Roman" w:cs="Times New Roman"/>
                <w:bCs/>
                <w:sz w:val="24"/>
                <w:szCs w:val="24"/>
              </w:rPr>
            </w:pPr>
            <w:r w:rsidRPr="00A07F29">
              <w:rPr>
                <w:rFonts w:ascii="Times New Roman" w:eastAsia="Calibri" w:hAnsi="Times New Roman" w:cs="Times New Roman"/>
                <w:bCs/>
                <w:sz w:val="24"/>
                <w:szCs w:val="24"/>
              </w:rPr>
              <w:t>Krastu abrāzija viļņu darbības ietekmē</w:t>
            </w:r>
          </w:p>
        </w:tc>
        <w:tc>
          <w:tcPr>
            <w:tcW w:w="1361" w:type="dxa"/>
            <w:tcBorders>
              <w:top w:val="single" w:sz="6" w:space="0" w:color="auto"/>
              <w:left w:val="single" w:sz="6" w:space="0" w:color="auto"/>
              <w:bottom w:val="single" w:sz="12" w:space="0" w:color="auto"/>
              <w:right w:val="single" w:sz="12" w:space="0" w:color="auto"/>
            </w:tcBorders>
            <w:shd w:val="clear" w:color="auto" w:fill="auto"/>
            <w:vAlign w:val="center"/>
          </w:tcPr>
          <w:p w14:paraId="5B53C438" w14:textId="77777777" w:rsidR="002A7684" w:rsidRPr="00A07F29" w:rsidRDefault="002A7684" w:rsidP="002A7684">
            <w:pPr>
              <w:spacing w:after="0" w:line="240" w:lineRule="auto"/>
              <w:jc w:val="center"/>
              <w:rPr>
                <w:rFonts w:ascii="Times New Roman" w:eastAsia="Calibri" w:hAnsi="Times New Roman" w:cs="Times New Roman"/>
                <w:b/>
                <w:bCs/>
                <w:color w:val="FF0000"/>
                <w:sz w:val="28"/>
                <w:szCs w:val="28"/>
              </w:rPr>
            </w:pPr>
            <w:r w:rsidRPr="00A07F29">
              <w:rPr>
                <w:rFonts w:ascii="Times New Roman" w:eastAsia="Calibri" w:hAnsi="Times New Roman" w:cs="Times New Roman"/>
                <w:b/>
                <w:sz w:val="28"/>
                <w:szCs w:val="28"/>
              </w:rPr>
              <w:t>–</w:t>
            </w:r>
          </w:p>
        </w:tc>
        <w:tc>
          <w:tcPr>
            <w:tcW w:w="624" w:type="dxa"/>
            <w:tcBorders>
              <w:top w:val="single" w:sz="6" w:space="0" w:color="auto"/>
              <w:left w:val="single" w:sz="12" w:space="0" w:color="auto"/>
              <w:bottom w:val="single" w:sz="12" w:space="0" w:color="auto"/>
              <w:right w:val="single" w:sz="6" w:space="0" w:color="auto"/>
            </w:tcBorders>
            <w:vAlign w:val="center"/>
          </w:tcPr>
          <w:p w14:paraId="379B7688" w14:textId="77777777" w:rsidR="002A7684" w:rsidRPr="00A07F29" w:rsidRDefault="002A7684" w:rsidP="002A7684">
            <w:pPr>
              <w:spacing w:after="0" w:line="240" w:lineRule="auto"/>
              <w:jc w:val="center"/>
              <w:rPr>
                <w:rFonts w:ascii="Times New Roman" w:eastAsia="Calibri" w:hAnsi="Times New Roman" w:cs="Times New Roman"/>
                <w:bCs/>
                <w:sz w:val="24"/>
                <w:szCs w:val="24"/>
              </w:rPr>
            </w:pPr>
          </w:p>
        </w:tc>
        <w:tc>
          <w:tcPr>
            <w:tcW w:w="624" w:type="dxa"/>
            <w:tcBorders>
              <w:top w:val="single" w:sz="6" w:space="0" w:color="auto"/>
              <w:left w:val="single" w:sz="6" w:space="0" w:color="auto"/>
              <w:bottom w:val="single" w:sz="12" w:space="0" w:color="auto"/>
              <w:right w:val="single" w:sz="6" w:space="0" w:color="auto"/>
            </w:tcBorders>
            <w:vAlign w:val="center"/>
          </w:tcPr>
          <w:p w14:paraId="621EFF3E" w14:textId="77777777" w:rsidR="002A7684" w:rsidRPr="00A07F29" w:rsidRDefault="002A7684" w:rsidP="002A7684">
            <w:pPr>
              <w:spacing w:after="0" w:line="240" w:lineRule="auto"/>
              <w:jc w:val="center"/>
              <w:rPr>
                <w:rFonts w:ascii="Times New Roman" w:eastAsia="Calibri" w:hAnsi="Times New Roman" w:cs="Times New Roman"/>
                <w:bCs/>
                <w:sz w:val="24"/>
                <w:szCs w:val="24"/>
              </w:rPr>
            </w:pPr>
          </w:p>
        </w:tc>
        <w:tc>
          <w:tcPr>
            <w:tcW w:w="510" w:type="dxa"/>
            <w:tcBorders>
              <w:top w:val="single" w:sz="6" w:space="0" w:color="auto"/>
              <w:left w:val="single" w:sz="6" w:space="0" w:color="auto"/>
              <w:bottom w:val="single" w:sz="12" w:space="0" w:color="auto"/>
              <w:right w:val="single" w:sz="6" w:space="0" w:color="auto"/>
            </w:tcBorders>
            <w:vAlign w:val="center"/>
          </w:tcPr>
          <w:p w14:paraId="5A32E46F" w14:textId="77777777" w:rsidR="002A7684" w:rsidRPr="00A07F29" w:rsidRDefault="002A7684" w:rsidP="002A7684">
            <w:pPr>
              <w:spacing w:after="0" w:line="240" w:lineRule="auto"/>
              <w:jc w:val="center"/>
              <w:rPr>
                <w:rFonts w:ascii="Times New Roman" w:eastAsia="Calibri" w:hAnsi="Times New Roman" w:cs="Times New Roman"/>
                <w:bCs/>
                <w:sz w:val="24"/>
                <w:szCs w:val="24"/>
              </w:rPr>
            </w:pPr>
          </w:p>
        </w:tc>
        <w:tc>
          <w:tcPr>
            <w:tcW w:w="510" w:type="dxa"/>
            <w:tcBorders>
              <w:top w:val="single" w:sz="6" w:space="0" w:color="auto"/>
              <w:left w:val="single" w:sz="6" w:space="0" w:color="auto"/>
              <w:bottom w:val="single" w:sz="12" w:space="0" w:color="auto"/>
              <w:right w:val="single" w:sz="6" w:space="0" w:color="auto"/>
            </w:tcBorders>
            <w:vAlign w:val="center"/>
          </w:tcPr>
          <w:p w14:paraId="6D725A47" w14:textId="77777777" w:rsidR="002A7684" w:rsidRPr="00A07F29" w:rsidRDefault="002A7684" w:rsidP="002A7684">
            <w:pPr>
              <w:spacing w:after="0" w:line="240" w:lineRule="auto"/>
              <w:jc w:val="center"/>
              <w:rPr>
                <w:rFonts w:ascii="Times New Roman" w:eastAsia="Calibri" w:hAnsi="Times New Roman" w:cs="Times New Roman"/>
                <w:bCs/>
                <w:sz w:val="24"/>
                <w:szCs w:val="24"/>
              </w:rPr>
            </w:pPr>
          </w:p>
        </w:tc>
        <w:tc>
          <w:tcPr>
            <w:tcW w:w="510" w:type="dxa"/>
            <w:tcBorders>
              <w:top w:val="single" w:sz="6" w:space="0" w:color="auto"/>
              <w:left w:val="single" w:sz="6" w:space="0" w:color="auto"/>
              <w:bottom w:val="single" w:sz="12" w:space="0" w:color="auto"/>
              <w:right w:val="single" w:sz="12" w:space="0" w:color="auto"/>
            </w:tcBorders>
            <w:vAlign w:val="center"/>
          </w:tcPr>
          <w:p w14:paraId="56FE3B78" w14:textId="77777777" w:rsidR="002A7684" w:rsidRPr="00A07F29" w:rsidRDefault="002A7684" w:rsidP="002A7684">
            <w:pPr>
              <w:spacing w:after="0" w:line="240" w:lineRule="auto"/>
              <w:jc w:val="center"/>
              <w:rPr>
                <w:rFonts w:ascii="Times New Roman" w:eastAsia="Calibri" w:hAnsi="Times New Roman" w:cs="Times New Roman"/>
                <w:bCs/>
                <w:sz w:val="24"/>
                <w:szCs w:val="24"/>
              </w:rPr>
            </w:pPr>
          </w:p>
        </w:tc>
        <w:tc>
          <w:tcPr>
            <w:tcW w:w="624" w:type="dxa"/>
            <w:tcBorders>
              <w:top w:val="single" w:sz="6" w:space="0" w:color="auto"/>
              <w:left w:val="single" w:sz="12" w:space="0" w:color="auto"/>
              <w:bottom w:val="single" w:sz="12" w:space="0" w:color="auto"/>
              <w:right w:val="single" w:sz="6" w:space="0" w:color="auto"/>
            </w:tcBorders>
            <w:vAlign w:val="center"/>
          </w:tcPr>
          <w:p w14:paraId="723C5729" w14:textId="2EDAA46D" w:rsidR="002A7684" w:rsidRPr="00A07F29" w:rsidRDefault="00557931" w:rsidP="002A7684">
            <w:pPr>
              <w:spacing w:after="0" w:line="240" w:lineRule="auto"/>
              <w:jc w:val="center"/>
              <w:rPr>
                <w:rFonts w:ascii="Times New Roman" w:eastAsia="Calibri" w:hAnsi="Times New Roman" w:cs="Times New Roman"/>
                <w:bCs/>
                <w:sz w:val="24"/>
                <w:szCs w:val="24"/>
              </w:rPr>
            </w:pPr>
            <w:r w:rsidRPr="00A07F29">
              <w:rPr>
                <w:rFonts w:ascii="Times New Roman" w:eastAsia="Calibri" w:hAnsi="Times New Roman" w:cs="Times New Roman"/>
                <w:sz w:val="24"/>
                <w:szCs w:val="24"/>
              </w:rPr>
              <w:t>+</w:t>
            </w:r>
          </w:p>
        </w:tc>
        <w:tc>
          <w:tcPr>
            <w:tcW w:w="624" w:type="dxa"/>
            <w:tcBorders>
              <w:top w:val="single" w:sz="6" w:space="0" w:color="auto"/>
              <w:left w:val="single" w:sz="6" w:space="0" w:color="auto"/>
              <w:bottom w:val="single" w:sz="12" w:space="0" w:color="auto"/>
              <w:right w:val="single" w:sz="6" w:space="0" w:color="auto"/>
            </w:tcBorders>
            <w:vAlign w:val="center"/>
          </w:tcPr>
          <w:p w14:paraId="0FE8C7AB" w14:textId="77777777" w:rsidR="002A7684" w:rsidRPr="00A07F29" w:rsidRDefault="002A7684" w:rsidP="002A7684">
            <w:pPr>
              <w:spacing w:after="0" w:line="240" w:lineRule="auto"/>
              <w:jc w:val="center"/>
              <w:rPr>
                <w:rFonts w:ascii="Times New Roman" w:eastAsia="Calibri" w:hAnsi="Times New Roman" w:cs="Times New Roman"/>
                <w:bCs/>
                <w:sz w:val="24"/>
                <w:szCs w:val="24"/>
              </w:rPr>
            </w:pPr>
          </w:p>
        </w:tc>
        <w:tc>
          <w:tcPr>
            <w:tcW w:w="510" w:type="dxa"/>
            <w:tcBorders>
              <w:top w:val="single" w:sz="6" w:space="0" w:color="auto"/>
              <w:left w:val="single" w:sz="6" w:space="0" w:color="auto"/>
              <w:bottom w:val="single" w:sz="12" w:space="0" w:color="auto"/>
              <w:right w:val="single" w:sz="6" w:space="0" w:color="auto"/>
            </w:tcBorders>
            <w:vAlign w:val="center"/>
          </w:tcPr>
          <w:p w14:paraId="7040A3B0" w14:textId="77777777" w:rsidR="002A7684" w:rsidRPr="00A07F29" w:rsidRDefault="002A7684" w:rsidP="002A7684">
            <w:pPr>
              <w:spacing w:after="0" w:line="240" w:lineRule="auto"/>
              <w:jc w:val="center"/>
              <w:rPr>
                <w:rFonts w:ascii="Times New Roman" w:eastAsia="Calibri" w:hAnsi="Times New Roman" w:cs="Times New Roman"/>
                <w:bCs/>
                <w:sz w:val="24"/>
                <w:szCs w:val="24"/>
              </w:rPr>
            </w:pPr>
          </w:p>
        </w:tc>
        <w:tc>
          <w:tcPr>
            <w:tcW w:w="510" w:type="dxa"/>
            <w:tcBorders>
              <w:top w:val="single" w:sz="6" w:space="0" w:color="auto"/>
              <w:left w:val="single" w:sz="6" w:space="0" w:color="auto"/>
              <w:bottom w:val="single" w:sz="12" w:space="0" w:color="auto"/>
              <w:right w:val="single" w:sz="6" w:space="0" w:color="auto"/>
            </w:tcBorders>
            <w:vAlign w:val="center"/>
          </w:tcPr>
          <w:p w14:paraId="7AD49C75" w14:textId="77777777" w:rsidR="002A7684" w:rsidRPr="00A07F29" w:rsidRDefault="002A7684" w:rsidP="002A7684">
            <w:pPr>
              <w:spacing w:after="0" w:line="240" w:lineRule="auto"/>
              <w:jc w:val="center"/>
              <w:rPr>
                <w:rFonts w:ascii="Times New Roman" w:eastAsia="Calibri" w:hAnsi="Times New Roman" w:cs="Times New Roman"/>
                <w:bCs/>
                <w:sz w:val="24"/>
                <w:szCs w:val="24"/>
              </w:rPr>
            </w:pPr>
          </w:p>
        </w:tc>
        <w:tc>
          <w:tcPr>
            <w:tcW w:w="510" w:type="dxa"/>
            <w:tcBorders>
              <w:top w:val="single" w:sz="6" w:space="0" w:color="auto"/>
              <w:left w:val="single" w:sz="6" w:space="0" w:color="auto"/>
              <w:bottom w:val="single" w:sz="12" w:space="0" w:color="auto"/>
              <w:right w:val="single" w:sz="12" w:space="0" w:color="auto"/>
            </w:tcBorders>
            <w:vAlign w:val="center"/>
          </w:tcPr>
          <w:p w14:paraId="498328B8" w14:textId="77777777" w:rsidR="002A7684" w:rsidRPr="00A07F29" w:rsidRDefault="002A7684" w:rsidP="002A7684">
            <w:pPr>
              <w:spacing w:after="0" w:line="240" w:lineRule="auto"/>
              <w:jc w:val="center"/>
              <w:rPr>
                <w:rFonts w:ascii="Times New Roman" w:eastAsia="Calibri" w:hAnsi="Times New Roman" w:cs="Times New Roman"/>
                <w:bCs/>
                <w:sz w:val="24"/>
                <w:szCs w:val="24"/>
              </w:rPr>
            </w:pPr>
          </w:p>
        </w:tc>
      </w:tr>
    </w:tbl>
    <w:p w14:paraId="45EF2654" w14:textId="77777777" w:rsidR="00557931" w:rsidRPr="00A07F29" w:rsidRDefault="00557931" w:rsidP="00557931">
      <w:pPr>
        <w:spacing w:after="0" w:line="240" w:lineRule="auto"/>
        <w:ind w:firstLine="851"/>
        <w:jc w:val="both"/>
        <w:rPr>
          <w:rFonts w:ascii="Times New Roman" w:eastAsia="Calibri" w:hAnsi="Times New Roman" w:cs="Times New Roman"/>
          <w:sz w:val="24"/>
          <w:szCs w:val="24"/>
        </w:rPr>
      </w:pPr>
    </w:p>
    <w:p w14:paraId="12ADF496" w14:textId="54F359BC" w:rsidR="002A7684" w:rsidRPr="00A07F29" w:rsidRDefault="002A7684" w:rsidP="00FA4887">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AAA </w:t>
      </w:r>
      <w:r w:rsidR="00FA4887" w:rsidRPr="00A07F29">
        <w:rPr>
          <w:rFonts w:ascii="Times New Roman" w:eastAsia="Calibri" w:hAnsi="Times New Roman" w:cs="Times New Roman"/>
          <w:sz w:val="24"/>
          <w:szCs w:val="24"/>
        </w:rPr>
        <w:t>“</w:t>
      </w:r>
      <w:r w:rsidRPr="00A07F29">
        <w:rPr>
          <w:rFonts w:ascii="Times New Roman" w:eastAsia="Calibri" w:hAnsi="Times New Roman" w:cs="Times New Roman"/>
          <w:sz w:val="24"/>
          <w:szCs w:val="24"/>
        </w:rPr>
        <w:t>Augšdaugava</w:t>
      </w:r>
      <w:r w:rsidR="00FA4887" w:rsidRPr="00A07F29">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teritorijā nav izplatīti </w:t>
      </w:r>
      <w:proofErr w:type="spellStart"/>
      <w:r w:rsidRPr="00A07F29">
        <w:rPr>
          <w:rFonts w:ascii="Times New Roman" w:eastAsia="Calibri" w:hAnsi="Times New Roman" w:cs="Times New Roman"/>
          <w:sz w:val="24"/>
          <w:szCs w:val="24"/>
        </w:rPr>
        <w:t>karbonātiskas</w:t>
      </w:r>
      <w:proofErr w:type="spellEnd"/>
      <w:r w:rsidRPr="00A07F29">
        <w:rPr>
          <w:rFonts w:ascii="Times New Roman" w:eastAsia="Calibri" w:hAnsi="Times New Roman" w:cs="Times New Roman"/>
          <w:sz w:val="24"/>
          <w:szCs w:val="24"/>
        </w:rPr>
        <w:t xml:space="preserve"> izcelsmes ieži</w:t>
      </w:r>
      <w:r w:rsidR="00FA4887" w:rsidRPr="00A07F29">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ar kuru izplatību saistīta karsta izplatība, tāpēc šī mūsdienu eksogēnā ģeoloģiskā procesa norises attīstība netika konstatēta. Pētījumu teritorijā neietilpst platības ziņā lielas ūdenstilpnes un tā neatrodas tiešā jūras tuvumā, līdz ar to AAA </w:t>
      </w:r>
      <w:r w:rsidR="00FA4887" w:rsidRPr="00A07F29">
        <w:rPr>
          <w:rFonts w:ascii="Times New Roman" w:eastAsia="Calibri" w:hAnsi="Times New Roman" w:cs="Times New Roman"/>
          <w:sz w:val="24"/>
          <w:szCs w:val="24"/>
        </w:rPr>
        <w:t>“</w:t>
      </w:r>
      <w:r w:rsidRPr="00A07F29">
        <w:rPr>
          <w:rFonts w:ascii="Times New Roman" w:eastAsia="Calibri" w:hAnsi="Times New Roman" w:cs="Times New Roman"/>
          <w:sz w:val="24"/>
          <w:szCs w:val="24"/>
        </w:rPr>
        <w:t>Augšdaugava</w:t>
      </w:r>
      <w:r w:rsidR="00FA4887" w:rsidRPr="00A07F29">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teritorijā nenorisinās krasta abrāzijas procesi. Teritorijas </w:t>
      </w:r>
      <w:proofErr w:type="spellStart"/>
      <w:r w:rsidRPr="00A07F29">
        <w:rPr>
          <w:rFonts w:ascii="Times New Roman" w:eastAsia="Calibri" w:hAnsi="Times New Roman" w:cs="Times New Roman"/>
          <w:sz w:val="24"/>
          <w:szCs w:val="24"/>
        </w:rPr>
        <w:t>fizioģeogrāfisko</w:t>
      </w:r>
      <w:proofErr w:type="spellEnd"/>
      <w:r w:rsidRPr="00A07F29">
        <w:rPr>
          <w:rFonts w:ascii="Times New Roman" w:eastAsia="Calibri" w:hAnsi="Times New Roman" w:cs="Times New Roman"/>
          <w:sz w:val="24"/>
          <w:szCs w:val="24"/>
        </w:rPr>
        <w:t xml:space="preserve"> apstākļu iezīmju dēļ teritorijā nav konstatēti arī </w:t>
      </w:r>
      <w:proofErr w:type="spellStart"/>
      <w:r w:rsidRPr="00A07F29">
        <w:rPr>
          <w:rFonts w:ascii="Times New Roman" w:eastAsia="Calibri" w:hAnsi="Times New Roman" w:cs="Times New Roman"/>
          <w:sz w:val="24"/>
          <w:szCs w:val="24"/>
        </w:rPr>
        <w:t>eolie</w:t>
      </w:r>
      <w:proofErr w:type="spellEnd"/>
      <w:r w:rsidRPr="00A07F29">
        <w:rPr>
          <w:rFonts w:ascii="Times New Roman" w:eastAsia="Calibri" w:hAnsi="Times New Roman" w:cs="Times New Roman"/>
          <w:sz w:val="24"/>
          <w:szCs w:val="24"/>
        </w:rPr>
        <w:t xml:space="preserve"> procesi jeb vēja erozijas norise, lai gan vairākās vietās AAA </w:t>
      </w:r>
      <w:r w:rsidR="00FA4887" w:rsidRPr="00A07F29">
        <w:rPr>
          <w:rFonts w:ascii="Times New Roman" w:eastAsia="Calibri" w:hAnsi="Times New Roman" w:cs="Times New Roman"/>
          <w:sz w:val="24"/>
          <w:szCs w:val="24"/>
        </w:rPr>
        <w:t>“</w:t>
      </w:r>
      <w:r w:rsidRPr="00A07F29">
        <w:rPr>
          <w:rFonts w:ascii="Times New Roman" w:eastAsia="Calibri" w:hAnsi="Times New Roman" w:cs="Times New Roman"/>
          <w:sz w:val="24"/>
          <w:szCs w:val="24"/>
        </w:rPr>
        <w:t>Augšdaugava</w:t>
      </w:r>
      <w:r w:rsidR="00FA4887" w:rsidRPr="00A07F29">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teritorijā ir konstatētas senas iekšzemes kāpas, kuras mūsdienās ir stabilizējusi veģetācijas sega.</w:t>
      </w:r>
    </w:p>
    <w:p w14:paraId="368CDEA2" w14:textId="5DB6CEFB" w:rsidR="002A7684" w:rsidRPr="00A07F29" w:rsidRDefault="002A7684" w:rsidP="00FA4887">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Lineārā jeb gravu erozija </w:t>
      </w:r>
      <w:r w:rsidR="00FA4887" w:rsidRPr="00A07F29">
        <w:rPr>
          <w:rFonts w:ascii="Times New Roman" w:eastAsia="Calibri" w:hAnsi="Times New Roman" w:cs="Times New Roman"/>
          <w:sz w:val="24"/>
          <w:szCs w:val="24"/>
        </w:rPr>
        <w:t>ir</w:t>
      </w:r>
      <w:r w:rsidRPr="00A07F29">
        <w:rPr>
          <w:rFonts w:ascii="Times New Roman" w:eastAsia="Calibri" w:hAnsi="Times New Roman" w:cs="Times New Roman"/>
          <w:sz w:val="24"/>
          <w:szCs w:val="24"/>
        </w:rPr>
        <w:t xml:space="preserve"> viens no mūsdienu eksogēnajiem ģeoloģiskajiem procesiem, kas Daugavas </w:t>
      </w:r>
      <w:proofErr w:type="spellStart"/>
      <w:r w:rsidRPr="00A07F29">
        <w:rPr>
          <w:rFonts w:ascii="Times New Roman" w:eastAsia="Calibri" w:hAnsi="Times New Roman" w:cs="Times New Roman"/>
          <w:sz w:val="24"/>
          <w:szCs w:val="24"/>
        </w:rPr>
        <w:t>senielejā</w:t>
      </w:r>
      <w:proofErr w:type="spellEnd"/>
      <w:r w:rsidRPr="00A07F29">
        <w:rPr>
          <w:rFonts w:ascii="Times New Roman" w:eastAsia="Calibri" w:hAnsi="Times New Roman" w:cs="Times New Roman"/>
          <w:sz w:val="24"/>
          <w:szCs w:val="24"/>
        </w:rPr>
        <w:t xml:space="preserve"> un AAA </w:t>
      </w:r>
      <w:r w:rsidR="00FA4887" w:rsidRPr="00A07F29">
        <w:rPr>
          <w:rFonts w:ascii="Times New Roman" w:eastAsia="Calibri" w:hAnsi="Times New Roman" w:cs="Times New Roman"/>
          <w:sz w:val="24"/>
          <w:szCs w:val="24"/>
        </w:rPr>
        <w:t>“</w:t>
      </w:r>
      <w:r w:rsidRPr="00A07F29">
        <w:rPr>
          <w:rFonts w:ascii="Times New Roman" w:eastAsia="Calibri" w:hAnsi="Times New Roman" w:cs="Times New Roman"/>
          <w:sz w:val="24"/>
          <w:szCs w:val="24"/>
        </w:rPr>
        <w:t>Augšdaugava</w:t>
      </w:r>
      <w:r w:rsidR="00FA4887" w:rsidRPr="00A07F29">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atspoguļojas plašajā un sazarotajā gravu tīklā. Tomēr mūsdienās gravās to lejtecē nav novērojami svaigi </w:t>
      </w:r>
      <w:proofErr w:type="spellStart"/>
      <w:r w:rsidRPr="00A07F29">
        <w:rPr>
          <w:rFonts w:ascii="Times New Roman" w:eastAsia="Calibri" w:hAnsi="Times New Roman" w:cs="Times New Roman"/>
          <w:sz w:val="24"/>
          <w:szCs w:val="24"/>
        </w:rPr>
        <w:t>proluviālā</w:t>
      </w:r>
      <w:proofErr w:type="spellEnd"/>
      <w:r w:rsidRPr="00A07F29">
        <w:rPr>
          <w:rFonts w:ascii="Times New Roman" w:eastAsia="Calibri" w:hAnsi="Times New Roman" w:cs="Times New Roman"/>
          <w:sz w:val="24"/>
          <w:szCs w:val="24"/>
        </w:rPr>
        <w:t xml:space="preserve"> materiāla akumulācijas iznesu konusi. Tas norāda uz to, ka šobrīd visā Daugavas </w:t>
      </w:r>
      <w:proofErr w:type="spellStart"/>
      <w:r w:rsidRPr="00A07F29">
        <w:rPr>
          <w:rFonts w:ascii="Times New Roman" w:eastAsia="Calibri" w:hAnsi="Times New Roman" w:cs="Times New Roman"/>
          <w:sz w:val="24"/>
          <w:szCs w:val="24"/>
        </w:rPr>
        <w:t>senielejā</w:t>
      </w:r>
      <w:proofErr w:type="spellEnd"/>
      <w:r w:rsidRPr="00A07F29">
        <w:rPr>
          <w:rFonts w:ascii="Times New Roman" w:eastAsia="Calibri" w:hAnsi="Times New Roman" w:cs="Times New Roman"/>
          <w:sz w:val="24"/>
          <w:szCs w:val="24"/>
        </w:rPr>
        <w:t xml:space="preserve"> gravu erozijas tīkls atrodas aprimšanas vai atmiršanas stadijā. Uz to norāda blīvā lapu koku veģetācijas sega gravu nogāzēs.</w:t>
      </w:r>
    </w:p>
    <w:p w14:paraId="5545B2E9" w14:textId="404B32E8" w:rsidR="002A7684" w:rsidRPr="00A07F29" w:rsidRDefault="002A7684" w:rsidP="00FA4887">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lastRenderedPageBreak/>
        <w:t xml:space="preserve">Daugavas </w:t>
      </w:r>
      <w:proofErr w:type="spellStart"/>
      <w:r w:rsidRPr="00A07F29">
        <w:rPr>
          <w:rFonts w:ascii="Times New Roman" w:eastAsia="Calibri" w:hAnsi="Times New Roman" w:cs="Times New Roman"/>
          <w:sz w:val="24"/>
          <w:szCs w:val="24"/>
        </w:rPr>
        <w:t>senielejas</w:t>
      </w:r>
      <w:proofErr w:type="spellEnd"/>
      <w:r w:rsidRPr="00A07F29">
        <w:rPr>
          <w:rFonts w:ascii="Times New Roman" w:eastAsia="Calibri" w:hAnsi="Times New Roman" w:cs="Times New Roman"/>
          <w:sz w:val="24"/>
          <w:szCs w:val="24"/>
        </w:rPr>
        <w:t xml:space="preserve"> krastu iezīme ir ļoti šaurā paliene un </w:t>
      </w:r>
      <w:proofErr w:type="spellStart"/>
      <w:r w:rsidRPr="00A07F29">
        <w:rPr>
          <w:rFonts w:ascii="Times New Roman" w:eastAsia="Calibri" w:hAnsi="Times New Roman" w:cs="Times New Roman"/>
          <w:sz w:val="24"/>
          <w:szCs w:val="24"/>
        </w:rPr>
        <w:t>virspalu</w:t>
      </w:r>
      <w:proofErr w:type="spellEnd"/>
      <w:r w:rsidRPr="00A07F29">
        <w:rPr>
          <w:rFonts w:ascii="Times New Roman" w:eastAsia="Calibri" w:hAnsi="Times New Roman" w:cs="Times New Roman"/>
          <w:sz w:val="24"/>
          <w:szCs w:val="24"/>
        </w:rPr>
        <w:t xml:space="preserve"> terašu trūkums </w:t>
      </w:r>
      <w:proofErr w:type="spellStart"/>
      <w:r w:rsidRPr="00A07F29">
        <w:rPr>
          <w:rFonts w:ascii="Times New Roman" w:eastAsia="Calibri" w:hAnsi="Times New Roman" w:cs="Times New Roman"/>
          <w:sz w:val="24"/>
          <w:szCs w:val="24"/>
        </w:rPr>
        <w:t>erodējamajos</w:t>
      </w:r>
      <w:proofErr w:type="spellEnd"/>
      <w:r w:rsidRPr="00A07F29">
        <w:rPr>
          <w:rFonts w:ascii="Times New Roman" w:eastAsia="Calibri" w:hAnsi="Times New Roman" w:cs="Times New Roman"/>
          <w:sz w:val="24"/>
          <w:szCs w:val="24"/>
        </w:rPr>
        <w:t>, t.i. ieliektajos kr</w:t>
      </w:r>
      <w:r w:rsidR="00FA4887" w:rsidRPr="00A07F29">
        <w:rPr>
          <w:rFonts w:ascii="Times New Roman" w:eastAsia="Calibri" w:hAnsi="Times New Roman" w:cs="Times New Roman"/>
          <w:sz w:val="24"/>
          <w:szCs w:val="24"/>
        </w:rPr>
        <w:t>a</w:t>
      </w:r>
      <w:r w:rsidRPr="00A07F29">
        <w:rPr>
          <w:rFonts w:ascii="Times New Roman" w:eastAsia="Calibri" w:hAnsi="Times New Roman" w:cs="Times New Roman"/>
          <w:sz w:val="24"/>
          <w:szCs w:val="24"/>
        </w:rPr>
        <w:t xml:space="preserve">stos. Šajos iecirkņos ekspedīcijās daudzviet tika konstatēti nogāžu procesu veidojumi. Nogāžu procesu veidojumus AAA </w:t>
      </w:r>
      <w:r w:rsidR="00FA4887" w:rsidRPr="00A07F29">
        <w:rPr>
          <w:rFonts w:ascii="Times New Roman" w:eastAsia="Calibri" w:hAnsi="Times New Roman" w:cs="Times New Roman"/>
          <w:sz w:val="24"/>
          <w:szCs w:val="24"/>
        </w:rPr>
        <w:t>“</w:t>
      </w:r>
      <w:r w:rsidRPr="00A07F29">
        <w:rPr>
          <w:rFonts w:ascii="Times New Roman" w:eastAsia="Calibri" w:hAnsi="Times New Roman" w:cs="Times New Roman"/>
          <w:sz w:val="24"/>
          <w:szCs w:val="24"/>
        </w:rPr>
        <w:t>Augšdaugava</w:t>
      </w:r>
      <w:r w:rsidR="00FA4887" w:rsidRPr="00A07F29">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visplašāk pārstāv rotācijas noslīdeņi, </w:t>
      </w:r>
      <w:proofErr w:type="spellStart"/>
      <w:r w:rsidRPr="00A07F29">
        <w:rPr>
          <w:rFonts w:ascii="Times New Roman" w:eastAsia="Calibri" w:hAnsi="Times New Roman" w:cs="Times New Roman"/>
          <w:sz w:val="24"/>
          <w:szCs w:val="24"/>
        </w:rPr>
        <w:t>pamatkrastu</w:t>
      </w:r>
      <w:proofErr w:type="spellEnd"/>
      <w:r w:rsidRPr="00A07F29">
        <w:rPr>
          <w:rFonts w:ascii="Times New Roman" w:eastAsia="Calibri" w:hAnsi="Times New Roman" w:cs="Times New Roman"/>
          <w:sz w:val="24"/>
          <w:szCs w:val="24"/>
        </w:rPr>
        <w:t xml:space="preserve"> veidojošo kvartāra nogulumu </w:t>
      </w:r>
      <w:proofErr w:type="spellStart"/>
      <w:r w:rsidRPr="00A07F29">
        <w:rPr>
          <w:rFonts w:ascii="Times New Roman" w:eastAsia="Calibri" w:hAnsi="Times New Roman" w:cs="Times New Roman"/>
          <w:sz w:val="24"/>
          <w:szCs w:val="24"/>
        </w:rPr>
        <w:t>blokveida</w:t>
      </w:r>
      <w:proofErr w:type="spellEnd"/>
      <w:r w:rsidRPr="00A07F29">
        <w:rPr>
          <w:rFonts w:ascii="Times New Roman" w:eastAsia="Calibri" w:hAnsi="Times New Roman" w:cs="Times New Roman"/>
          <w:sz w:val="24"/>
          <w:szCs w:val="24"/>
        </w:rPr>
        <w:t xml:space="preserve"> nobrukumi un nogruvumi, un </w:t>
      </w:r>
      <w:proofErr w:type="spellStart"/>
      <w:r w:rsidRPr="00A07F29">
        <w:rPr>
          <w:rFonts w:ascii="Times New Roman" w:eastAsia="Calibri" w:hAnsi="Times New Roman" w:cs="Times New Roman"/>
          <w:sz w:val="24"/>
          <w:szCs w:val="24"/>
        </w:rPr>
        <w:t>noplūdeņi</w:t>
      </w:r>
      <w:proofErr w:type="spellEnd"/>
      <w:r w:rsidRPr="00A07F29">
        <w:rPr>
          <w:rFonts w:ascii="Times New Roman" w:eastAsia="Calibri" w:hAnsi="Times New Roman" w:cs="Times New Roman"/>
          <w:sz w:val="24"/>
          <w:szCs w:val="24"/>
        </w:rPr>
        <w:t xml:space="preserve">. Vietām ir konstatēta arī nobiru veidošanās. </w:t>
      </w:r>
      <w:proofErr w:type="spellStart"/>
      <w:r w:rsidRPr="00A07F29">
        <w:rPr>
          <w:rFonts w:ascii="Times New Roman" w:eastAsia="Calibri" w:hAnsi="Times New Roman" w:cs="Times New Roman"/>
          <w:sz w:val="24"/>
          <w:szCs w:val="24"/>
        </w:rPr>
        <w:t>Gravigēno</w:t>
      </w:r>
      <w:proofErr w:type="spellEnd"/>
      <w:r w:rsidRPr="00A07F29">
        <w:rPr>
          <w:rFonts w:ascii="Times New Roman" w:eastAsia="Calibri" w:hAnsi="Times New Roman" w:cs="Times New Roman"/>
          <w:sz w:val="24"/>
          <w:szCs w:val="24"/>
        </w:rPr>
        <w:t xml:space="preserve"> nogāžu procesu izplatība galvenokārt saistāma ar Daugavas </w:t>
      </w:r>
      <w:proofErr w:type="spellStart"/>
      <w:r w:rsidRPr="00A07F29">
        <w:rPr>
          <w:rFonts w:ascii="Times New Roman" w:eastAsia="Calibri" w:hAnsi="Times New Roman" w:cs="Times New Roman"/>
          <w:sz w:val="24"/>
          <w:szCs w:val="24"/>
        </w:rPr>
        <w:t>pamatkrasta</w:t>
      </w:r>
      <w:proofErr w:type="spellEnd"/>
      <w:r w:rsidRPr="00A07F29">
        <w:rPr>
          <w:rFonts w:ascii="Times New Roman" w:eastAsia="Calibri" w:hAnsi="Times New Roman" w:cs="Times New Roman"/>
          <w:sz w:val="24"/>
          <w:szCs w:val="24"/>
        </w:rPr>
        <w:t xml:space="preserve"> kraujām (Adamovas, </w:t>
      </w:r>
      <w:proofErr w:type="spellStart"/>
      <w:r w:rsidRPr="00A07F29">
        <w:rPr>
          <w:rFonts w:ascii="Times New Roman" w:eastAsia="Calibri" w:hAnsi="Times New Roman" w:cs="Times New Roman"/>
          <w:sz w:val="24"/>
          <w:szCs w:val="24"/>
        </w:rPr>
        <w:t>Užingoras</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Slutišķu</w:t>
      </w:r>
      <w:proofErr w:type="spellEnd"/>
      <w:r w:rsidRPr="00A07F29">
        <w:rPr>
          <w:rFonts w:ascii="Times New Roman" w:eastAsia="Calibri" w:hAnsi="Times New Roman" w:cs="Times New Roman"/>
          <w:sz w:val="24"/>
          <w:szCs w:val="24"/>
        </w:rPr>
        <w:t xml:space="preserve"> un </w:t>
      </w:r>
      <w:proofErr w:type="spellStart"/>
      <w:r w:rsidRPr="00A07F29">
        <w:rPr>
          <w:rFonts w:ascii="Times New Roman" w:eastAsia="Calibri" w:hAnsi="Times New Roman" w:cs="Times New Roman"/>
          <w:sz w:val="24"/>
          <w:szCs w:val="24"/>
        </w:rPr>
        <w:t>Ververu</w:t>
      </w:r>
      <w:proofErr w:type="spellEnd"/>
      <w:r w:rsidRPr="00A07F29">
        <w:rPr>
          <w:rFonts w:ascii="Times New Roman" w:eastAsia="Calibri" w:hAnsi="Times New Roman" w:cs="Times New Roman"/>
          <w:sz w:val="24"/>
          <w:szCs w:val="24"/>
        </w:rPr>
        <w:t xml:space="preserve">), kur nogāžu krituma leņķis ievērojami pārsniedz dabisko nobiru leņķi, līdz ar to ir radušies labvēlīgi apstākļi </w:t>
      </w:r>
      <w:proofErr w:type="spellStart"/>
      <w:r w:rsidRPr="00A07F29">
        <w:rPr>
          <w:rFonts w:ascii="Times New Roman" w:eastAsia="Calibri" w:hAnsi="Times New Roman" w:cs="Times New Roman"/>
          <w:sz w:val="24"/>
          <w:szCs w:val="24"/>
        </w:rPr>
        <w:t>gravigēno</w:t>
      </w:r>
      <w:proofErr w:type="spellEnd"/>
      <w:r w:rsidRPr="00A07F29">
        <w:rPr>
          <w:rFonts w:ascii="Times New Roman" w:eastAsia="Calibri" w:hAnsi="Times New Roman" w:cs="Times New Roman"/>
          <w:sz w:val="24"/>
          <w:szCs w:val="24"/>
        </w:rPr>
        <w:t xml:space="preserve"> nogāžu procesu attīstībai. </w:t>
      </w:r>
    </w:p>
    <w:p w14:paraId="6DED681D" w14:textId="77777777" w:rsidR="002A7684" w:rsidRPr="00A07F29" w:rsidRDefault="002A7684" w:rsidP="00FA4887">
      <w:pPr>
        <w:spacing w:after="120" w:line="240" w:lineRule="auto"/>
        <w:ind w:firstLine="851"/>
        <w:jc w:val="both"/>
        <w:rPr>
          <w:rFonts w:ascii="Times New Roman" w:eastAsia="Calibri" w:hAnsi="Times New Roman" w:cs="Times New Roman"/>
          <w:sz w:val="24"/>
          <w:szCs w:val="24"/>
        </w:rPr>
      </w:pPr>
      <w:proofErr w:type="spellStart"/>
      <w:r w:rsidRPr="00A07F29">
        <w:rPr>
          <w:rFonts w:ascii="Times New Roman" w:eastAsia="Calibri" w:hAnsi="Times New Roman" w:cs="Times New Roman"/>
          <w:sz w:val="24"/>
          <w:szCs w:val="24"/>
        </w:rPr>
        <w:t>Dziļumerozijas</w:t>
      </w:r>
      <w:proofErr w:type="spellEnd"/>
      <w:r w:rsidRPr="00A07F29">
        <w:rPr>
          <w:rFonts w:ascii="Times New Roman" w:eastAsia="Calibri" w:hAnsi="Times New Roman" w:cs="Times New Roman"/>
          <w:sz w:val="24"/>
          <w:szCs w:val="24"/>
        </w:rPr>
        <w:t xml:space="preserve"> rezultātā upe ir sasniegusi gruntsūdens spoguļa līmeni un līdz ar to palienēs iztek ievērojams skaits avotu. Šajās avotu iztekas vietās norisinās smilšainā materiāla izskalošana jeb </w:t>
      </w:r>
      <w:proofErr w:type="spellStart"/>
      <w:r w:rsidRPr="00A07F29">
        <w:rPr>
          <w:rFonts w:ascii="Times New Roman" w:eastAsia="Calibri" w:hAnsi="Times New Roman" w:cs="Times New Roman"/>
          <w:sz w:val="24"/>
          <w:szCs w:val="24"/>
        </w:rPr>
        <w:t>sufozija</w:t>
      </w:r>
      <w:proofErr w:type="spellEnd"/>
      <w:r w:rsidRPr="00A07F29">
        <w:rPr>
          <w:rFonts w:ascii="Times New Roman" w:eastAsia="Calibri" w:hAnsi="Times New Roman" w:cs="Times New Roman"/>
          <w:sz w:val="24"/>
          <w:szCs w:val="24"/>
        </w:rPr>
        <w:t>.</w:t>
      </w:r>
    </w:p>
    <w:p w14:paraId="47C007B6" w14:textId="1BCC1BDC" w:rsidR="002A7684" w:rsidRPr="00A07F29" w:rsidRDefault="002A7684" w:rsidP="00FA4887">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Kartogrāfiskā materiāla analīze parāda, ka laika posmā kopš 1981.</w:t>
      </w:r>
      <w:r w:rsidR="00CB5097" w:rsidRPr="00A07F29">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gada upes </w:t>
      </w:r>
      <w:proofErr w:type="spellStart"/>
      <w:r w:rsidRPr="00A07F29">
        <w:rPr>
          <w:rFonts w:ascii="Times New Roman" w:eastAsia="Calibri" w:hAnsi="Times New Roman" w:cs="Times New Roman"/>
          <w:sz w:val="24"/>
          <w:szCs w:val="24"/>
        </w:rPr>
        <w:t>vidussēru</w:t>
      </w:r>
      <w:proofErr w:type="spellEnd"/>
      <w:r w:rsidRPr="00A07F29">
        <w:rPr>
          <w:rFonts w:ascii="Times New Roman" w:eastAsia="Calibri" w:hAnsi="Times New Roman" w:cs="Times New Roman"/>
          <w:sz w:val="24"/>
          <w:szCs w:val="24"/>
        </w:rPr>
        <w:t xml:space="preserve"> stāvoklis attiecībā pret savu sākotnējo stāvokli ir mainījies maz. Vietām </w:t>
      </w:r>
      <w:proofErr w:type="spellStart"/>
      <w:r w:rsidRPr="00A07F29">
        <w:rPr>
          <w:rFonts w:ascii="Times New Roman" w:eastAsia="Calibri" w:hAnsi="Times New Roman" w:cs="Times New Roman"/>
          <w:sz w:val="24"/>
          <w:szCs w:val="24"/>
        </w:rPr>
        <w:t>vidussēru</w:t>
      </w:r>
      <w:proofErr w:type="spellEnd"/>
      <w:r w:rsidRPr="00A07F29">
        <w:rPr>
          <w:rFonts w:ascii="Times New Roman" w:eastAsia="Calibri" w:hAnsi="Times New Roman" w:cs="Times New Roman"/>
          <w:sz w:val="24"/>
          <w:szCs w:val="24"/>
        </w:rPr>
        <w:t xml:space="preserve"> stāvoklis mainījies par 30</w:t>
      </w:r>
      <w:r w:rsidR="00CB5097" w:rsidRPr="00A07F29">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CB5097" w:rsidRPr="00A07F29">
        <w:rPr>
          <w:rFonts w:ascii="Times New Roman" w:eastAsia="Calibri" w:hAnsi="Times New Roman" w:cs="Times New Roman"/>
          <w:sz w:val="24"/>
          <w:szCs w:val="24"/>
        </w:rPr>
        <w:t> </w:t>
      </w:r>
      <w:r w:rsidRPr="00A07F29">
        <w:rPr>
          <w:rFonts w:ascii="Times New Roman" w:eastAsia="Calibri" w:hAnsi="Times New Roman" w:cs="Times New Roman"/>
          <w:sz w:val="24"/>
          <w:szCs w:val="24"/>
        </w:rPr>
        <w:t>35</w:t>
      </w:r>
      <w:r w:rsidR="00CB5097" w:rsidRPr="00A07F29">
        <w:rPr>
          <w:rFonts w:ascii="Times New Roman" w:eastAsia="Calibri" w:hAnsi="Times New Roman" w:cs="Times New Roman"/>
          <w:sz w:val="24"/>
          <w:szCs w:val="24"/>
        </w:rPr>
        <w:t> </w:t>
      </w:r>
      <w:r w:rsidRPr="00A07F29">
        <w:rPr>
          <w:rFonts w:ascii="Times New Roman" w:eastAsia="Calibri" w:hAnsi="Times New Roman" w:cs="Times New Roman"/>
          <w:sz w:val="24"/>
          <w:szCs w:val="24"/>
        </w:rPr>
        <w:t>m, taču vidēji šīs izmaiņas ir 10</w:t>
      </w:r>
      <w:r w:rsidR="00CB5097" w:rsidRPr="00A07F29">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CB5097" w:rsidRPr="00A07F29">
        <w:rPr>
          <w:rFonts w:ascii="Times New Roman" w:eastAsia="Calibri" w:hAnsi="Times New Roman" w:cs="Times New Roman"/>
          <w:sz w:val="24"/>
          <w:szCs w:val="24"/>
        </w:rPr>
        <w:t> </w:t>
      </w:r>
      <w:r w:rsidRPr="00A07F29">
        <w:rPr>
          <w:rFonts w:ascii="Times New Roman" w:eastAsia="Calibri" w:hAnsi="Times New Roman" w:cs="Times New Roman"/>
          <w:sz w:val="24"/>
          <w:szCs w:val="24"/>
        </w:rPr>
        <w:t>15</w:t>
      </w:r>
      <w:r w:rsidR="00CB5097" w:rsidRPr="00A07F29">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m robežās. Tas norāda uz to, ka atšķirībā no Gaujas </w:t>
      </w:r>
      <w:proofErr w:type="spellStart"/>
      <w:r w:rsidRPr="00A07F29">
        <w:rPr>
          <w:rFonts w:ascii="Times New Roman" w:eastAsia="Calibri" w:hAnsi="Times New Roman" w:cs="Times New Roman"/>
          <w:sz w:val="24"/>
          <w:szCs w:val="24"/>
        </w:rPr>
        <w:t>akumulatīvajiem</w:t>
      </w:r>
      <w:proofErr w:type="spellEnd"/>
      <w:r w:rsidRPr="00A07F29">
        <w:rPr>
          <w:rFonts w:ascii="Times New Roman" w:eastAsia="Calibri" w:hAnsi="Times New Roman" w:cs="Times New Roman"/>
          <w:sz w:val="24"/>
          <w:szCs w:val="24"/>
        </w:rPr>
        <w:t xml:space="preserve"> veidojumiem upes gultnē G</w:t>
      </w:r>
      <w:r w:rsidR="00FA4887" w:rsidRPr="00A07F29">
        <w:rPr>
          <w:rFonts w:ascii="Times New Roman" w:eastAsia="Calibri" w:hAnsi="Times New Roman" w:cs="Times New Roman"/>
          <w:sz w:val="24"/>
          <w:szCs w:val="24"/>
        </w:rPr>
        <w:t>aujas nacionālā parka</w:t>
      </w:r>
      <w:r w:rsidR="00BF639B" w:rsidRPr="00A07F29">
        <w:rPr>
          <w:rFonts w:ascii="Times New Roman" w:eastAsia="Calibri" w:hAnsi="Times New Roman" w:cs="Times New Roman"/>
          <w:sz w:val="24"/>
          <w:szCs w:val="24"/>
        </w:rPr>
        <w:t xml:space="preserve"> teritorijā</w:t>
      </w:r>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vidussēru</w:t>
      </w:r>
      <w:proofErr w:type="spellEnd"/>
      <w:r w:rsidRPr="00A07F29">
        <w:rPr>
          <w:rFonts w:ascii="Times New Roman" w:eastAsia="Calibri" w:hAnsi="Times New Roman" w:cs="Times New Roman"/>
          <w:sz w:val="24"/>
          <w:szCs w:val="24"/>
        </w:rPr>
        <w:t xml:space="preserve"> stāvoklis </w:t>
      </w:r>
      <w:r w:rsidR="00FA4887" w:rsidRPr="00A07F29">
        <w:rPr>
          <w:rFonts w:ascii="Times New Roman" w:eastAsia="Calibri" w:hAnsi="Times New Roman" w:cs="Times New Roman"/>
          <w:sz w:val="24"/>
          <w:szCs w:val="24"/>
        </w:rPr>
        <w:t xml:space="preserve">Daugavā </w:t>
      </w:r>
      <w:r w:rsidRPr="00A07F29">
        <w:rPr>
          <w:rFonts w:ascii="Times New Roman" w:eastAsia="Calibri" w:hAnsi="Times New Roman" w:cs="Times New Roman"/>
          <w:sz w:val="24"/>
          <w:szCs w:val="24"/>
        </w:rPr>
        <w:t xml:space="preserve">AAA </w:t>
      </w:r>
      <w:r w:rsidR="00FA4887" w:rsidRPr="00A07F29">
        <w:rPr>
          <w:rFonts w:ascii="Times New Roman" w:eastAsia="Calibri" w:hAnsi="Times New Roman" w:cs="Times New Roman"/>
          <w:sz w:val="24"/>
          <w:szCs w:val="24"/>
        </w:rPr>
        <w:t xml:space="preserve">“Augšdaugava” </w:t>
      </w:r>
      <w:r w:rsidRPr="00A07F29">
        <w:rPr>
          <w:rFonts w:ascii="Times New Roman" w:eastAsia="Calibri" w:hAnsi="Times New Roman" w:cs="Times New Roman"/>
          <w:sz w:val="24"/>
          <w:szCs w:val="24"/>
        </w:rPr>
        <w:t>ir relatīvi stabils.</w:t>
      </w:r>
    </w:p>
    <w:p w14:paraId="2CF4AF9A" w14:textId="65E6AD0E" w:rsidR="002A7684" w:rsidRPr="00A07F29" w:rsidRDefault="002A7684" w:rsidP="00FA4887">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Viens no dominējošajiem mūsdienu eksogēnajiem </w:t>
      </w:r>
      <w:r w:rsidR="00FA4887" w:rsidRPr="00A07F29">
        <w:rPr>
          <w:rFonts w:ascii="Times New Roman" w:eastAsia="Calibri" w:hAnsi="Times New Roman" w:cs="Times New Roman"/>
          <w:sz w:val="24"/>
          <w:szCs w:val="24"/>
        </w:rPr>
        <w:t xml:space="preserve">ģeoloģiskajiem </w:t>
      </w:r>
      <w:r w:rsidRPr="00A07F29">
        <w:rPr>
          <w:rFonts w:ascii="Times New Roman" w:eastAsia="Calibri" w:hAnsi="Times New Roman" w:cs="Times New Roman"/>
          <w:sz w:val="24"/>
          <w:szCs w:val="24"/>
        </w:rPr>
        <w:t>procesiem ir laterālā erozija, kas sevišķi spilgti izpaužas tajās Daugavas krastu daļās, kas vērstas pret straumes dinamisko tecējuma asi. Ģeotelpisko datu apstrāde parādīja, ka vairāk kā 100</w:t>
      </w:r>
      <w:r w:rsidR="006B025F" w:rsidRPr="00A07F29">
        <w:rPr>
          <w:rFonts w:ascii="Times New Roman" w:eastAsia="Calibri" w:hAnsi="Times New Roman" w:cs="Times New Roman"/>
          <w:sz w:val="24"/>
          <w:szCs w:val="24"/>
        </w:rPr>
        <w:t> </w:t>
      </w:r>
      <w:r w:rsidRPr="00A07F29">
        <w:rPr>
          <w:rFonts w:ascii="Times New Roman" w:eastAsia="Calibri" w:hAnsi="Times New Roman" w:cs="Times New Roman"/>
          <w:sz w:val="24"/>
          <w:szCs w:val="24"/>
        </w:rPr>
        <w:t>gadu periodā, laika posmā kopš 1890.</w:t>
      </w:r>
      <w:r w:rsidR="006B025F" w:rsidRPr="00A07F29">
        <w:rPr>
          <w:rFonts w:ascii="Times New Roman" w:eastAsia="Calibri" w:hAnsi="Times New Roman" w:cs="Times New Roman"/>
          <w:sz w:val="24"/>
          <w:szCs w:val="24"/>
        </w:rPr>
        <w:t> </w:t>
      </w:r>
      <w:r w:rsidRPr="00A07F29">
        <w:rPr>
          <w:rFonts w:ascii="Times New Roman" w:eastAsia="Calibri" w:hAnsi="Times New Roman" w:cs="Times New Roman"/>
          <w:sz w:val="24"/>
          <w:szCs w:val="24"/>
        </w:rPr>
        <w:t>gada upes sāniskās erozijas un akumulācijas procesu gaitā Daugavas gultne maz pārvietojusies attiecībā pret savu sākotnējo stāvokli. Vietām krasta līnijas stāvoklis ir mainījies par 50 līdz 90</w:t>
      </w:r>
      <w:r w:rsidR="00041298" w:rsidRPr="00A07F29">
        <w:rPr>
          <w:rFonts w:ascii="Times New Roman" w:eastAsia="Calibri" w:hAnsi="Times New Roman" w:cs="Times New Roman"/>
          <w:sz w:val="24"/>
          <w:szCs w:val="24"/>
        </w:rPr>
        <w:t> </w:t>
      </w:r>
      <w:r w:rsidRPr="00A07F29">
        <w:rPr>
          <w:rFonts w:ascii="Times New Roman" w:eastAsia="Calibri" w:hAnsi="Times New Roman" w:cs="Times New Roman"/>
          <w:sz w:val="24"/>
          <w:szCs w:val="24"/>
        </w:rPr>
        <w:t>m, taču vidēji šīs izmaiņas ir apm. 20</w:t>
      </w:r>
      <w:r w:rsidR="00041298" w:rsidRPr="00A07F29">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041298" w:rsidRPr="00A07F29">
        <w:rPr>
          <w:rFonts w:ascii="Times New Roman" w:eastAsia="Calibri" w:hAnsi="Times New Roman" w:cs="Times New Roman"/>
          <w:sz w:val="24"/>
          <w:szCs w:val="24"/>
        </w:rPr>
        <w:t> </w:t>
      </w:r>
      <w:r w:rsidRPr="00A07F29">
        <w:rPr>
          <w:rFonts w:ascii="Times New Roman" w:eastAsia="Calibri" w:hAnsi="Times New Roman" w:cs="Times New Roman"/>
          <w:sz w:val="24"/>
          <w:szCs w:val="24"/>
        </w:rPr>
        <w:t>30</w:t>
      </w:r>
      <w:r w:rsidR="00041298" w:rsidRPr="00A07F29">
        <w:rPr>
          <w:rFonts w:ascii="Times New Roman" w:eastAsia="Calibri" w:hAnsi="Times New Roman" w:cs="Times New Roman"/>
          <w:sz w:val="24"/>
          <w:szCs w:val="24"/>
        </w:rPr>
        <w:t> </w:t>
      </w:r>
      <w:r w:rsidRPr="00A07F29">
        <w:rPr>
          <w:rFonts w:ascii="Times New Roman" w:eastAsia="Calibri" w:hAnsi="Times New Roman" w:cs="Times New Roman"/>
          <w:sz w:val="24"/>
          <w:szCs w:val="24"/>
        </w:rPr>
        <w:t>m robežās, pie tam galvenokārt krasta līnijas raksturo maznozīmīgas izmaiņas līdz 10</w:t>
      </w:r>
      <w:r w:rsidR="00041298" w:rsidRPr="00A07F29">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m. Daugavas gultnes stabilitāte skaidrojama ar faktu, ka upe </w:t>
      </w:r>
      <w:proofErr w:type="spellStart"/>
      <w:r w:rsidRPr="00A07F29">
        <w:rPr>
          <w:rFonts w:ascii="Times New Roman" w:eastAsia="Calibri" w:hAnsi="Times New Roman" w:cs="Times New Roman"/>
          <w:sz w:val="24"/>
          <w:szCs w:val="24"/>
        </w:rPr>
        <w:t>dziļumerozijas</w:t>
      </w:r>
      <w:proofErr w:type="spellEnd"/>
      <w:r w:rsidRPr="00A07F29">
        <w:rPr>
          <w:rFonts w:ascii="Times New Roman" w:eastAsia="Calibri" w:hAnsi="Times New Roman" w:cs="Times New Roman"/>
          <w:sz w:val="24"/>
          <w:szCs w:val="24"/>
        </w:rPr>
        <w:t xml:space="preserve"> gaitā, iegraužoties </w:t>
      </w:r>
      <w:proofErr w:type="spellStart"/>
      <w:r w:rsidRPr="00A07F29">
        <w:rPr>
          <w:rFonts w:ascii="Times New Roman" w:eastAsia="Calibri" w:hAnsi="Times New Roman" w:cs="Times New Roman"/>
          <w:sz w:val="24"/>
          <w:szCs w:val="24"/>
        </w:rPr>
        <w:t>glacigēnos</w:t>
      </w:r>
      <w:proofErr w:type="spellEnd"/>
      <w:r w:rsidRPr="00A07F29">
        <w:rPr>
          <w:rFonts w:ascii="Times New Roman" w:eastAsia="Calibri" w:hAnsi="Times New Roman" w:cs="Times New Roman"/>
          <w:sz w:val="24"/>
          <w:szCs w:val="24"/>
        </w:rPr>
        <w:t xml:space="preserve"> un </w:t>
      </w:r>
      <w:proofErr w:type="spellStart"/>
      <w:r w:rsidRPr="00A07F29">
        <w:rPr>
          <w:rFonts w:ascii="Times New Roman" w:eastAsia="Calibri" w:hAnsi="Times New Roman" w:cs="Times New Roman"/>
          <w:sz w:val="24"/>
          <w:szCs w:val="24"/>
        </w:rPr>
        <w:t>glaciofluviālajos</w:t>
      </w:r>
      <w:proofErr w:type="spellEnd"/>
      <w:r w:rsidRPr="00A07F29">
        <w:rPr>
          <w:rFonts w:ascii="Times New Roman" w:eastAsia="Calibri" w:hAnsi="Times New Roman" w:cs="Times New Roman"/>
          <w:sz w:val="24"/>
          <w:szCs w:val="24"/>
        </w:rPr>
        <w:t xml:space="preserve"> nogulumos, ir izskalojusi smalkgraudaino materiālu gultnē un krastos lielā daudzumā uzkrājušies </w:t>
      </w:r>
      <w:proofErr w:type="spellStart"/>
      <w:r w:rsidRPr="00A07F29">
        <w:rPr>
          <w:rFonts w:ascii="Times New Roman" w:eastAsia="Calibri" w:hAnsi="Times New Roman" w:cs="Times New Roman"/>
          <w:sz w:val="24"/>
          <w:szCs w:val="24"/>
        </w:rPr>
        <w:t>rupjatlūzu</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drupieži</w:t>
      </w:r>
      <w:proofErr w:type="spellEnd"/>
      <w:r w:rsidRPr="00A07F29">
        <w:rPr>
          <w:rFonts w:ascii="Times New Roman" w:eastAsia="Calibri" w:hAnsi="Times New Roman" w:cs="Times New Roman"/>
          <w:sz w:val="24"/>
          <w:szCs w:val="24"/>
        </w:rPr>
        <w:t xml:space="preserve"> – laukakmeņi, </w:t>
      </w:r>
      <w:proofErr w:type="spellStart"/>
      <w:r w:rsidRPr="00A07F29">
        <w:rPr>
          <w:rFonts w:ascii="Times New Roman" w:eastAsia="Calibri" w:hAnsi="Times New Roman" w:cs="Times New Roman"/>
          <w:sz w:val="24"/>
          <w:szCs w:val="24"/>
        </w:rPr>
        <w:t>oļakmeņi</w:t>
      </w:r>
      <w:proofErr w:type="spellEnd"/>
      <w:r w:rsidRPr="00A07F29">
        <w:rPr>
          <w:rFonts w:ascii="Times New Roman" w:eastAsia="Calibri" w:hAnsi="Times New Roman" w:cs="Times New Roman"/>
          <w:sz w:val="24"/>
          <w:szCs w:val="24"/>
        </w:rPr>
        <w:t xml:space="preserve"> un oļi, kuri ierobežo tālāku erozijas procesu norisi. Šādi laukakmeņu sakopojumi daudzviet AAA </w:t>
      </w:r>
      <w:r w:rsidR="00FF6A95" w:rsidRPr="00A07F29">
        <w:rPr>
          <w:rFonts w:ascii="Times New Roman" w:eastAsia="Calibri" w:hAnsi="Times New Roman" w:cs="Times New Roman"/>
          <w:sz w:val="24"/>
          <w:szCs w:val="24"/>
        </w:rPr>
        <w:t>“</w:t>
      </w:r>
      <w:r w:rsidRPr="00A07F29">
        <w:rPr>
          <w:rFonts w:ascii="Times New Roman" w:eastAsia="Calibri" w:hAnsi="Times New Roman" w:cs="Times New Roman"/>
          <w:sz w:val="24"/>
          <w:szCs w:val="24"/>
        </w:rPr>
        <w:t>Augšdaugava</w:t>
      </w:r>
      <w:r w:rsidR="00FF6A95" w:rsidRPr="00A07F29">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teritorijā veido krāčainus upes posmus.</w:t>
      </w:r>
    </w:p>
    <w:p w14:paraId="79BD39DE" w14:textId="596F9AED" w:rsidR="00671C28" w:rsidRPr="00A07F29" w:rsidRDefault="00671C28" w:rsidP="00FA4887">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Par ģeoloģisko procesu riska teritorijām uzskatāmas </w:t>
      </w:r>
      <w:r w:rsidR="00FA4887" w:rsidRPr="00A07F29">
        <w:rPr>
          <w:rFonts w:ascii="Times New Roman" w:eastAsia="Calibri" w:hAnsi="Times New Roman" w:cs="Times New Roman"/>
          <w:sz w:val="24"/>
          <w:szCs w:val="24"/>
        </w:rPr>
        <w:t>visas vietas, kur nogāžu slīpu</w:t>
      </w:r>
      <w:r w:rsidRPr="00A07F29">
        <w:rPr>
          <w:rFonts w:ascii="Times New Roman" w:eastAsia="Calibri" w:hAnsi="Times New Roman" w:cs="Times New Roman"/>
          <w:sz w:val="24"/>
          <w:szCs w:val="24"/>
        </w:rPr>
        <w:t>ms ir lielāks par 15</w:t>
      </w:r>
      <w:r w:rsidR="00681B73" w:rsidRPr="00A07F29">
        <w:rPr>
          <w:rFonts w:ascii="Times New Roman" w:eastAsia="Calibri" w:hAnsi="Times New Roman" w:cs="Times New Roman"/>
          <w:sz w:val="24"/>
          <w:szCs w:val="24"/>
        </w:rPr>
        <w:t> – 2</w:t>
      </w:r>
      <w:r w:rsidRPr="00A07F29">
        <w:rPr>
          <w:rFonts w:ascii="Times New Roman" w:eastAsia="Calibri" w:hAnsi="Times New Roman" w:cs="Times New Roman"/>
          <w:sz w:val="24"/>
          <w:szCs w:val="24"/>
        </w:rPr>
        <w:t>0 grādiem (</w:t>
      </w:r>
      <w:r w:rsidR="00681B73" w:rsidRPr="00A07F29">
        <w:rPr>
          <w:rFonts w:ascii="Times New Roman" w:eastAsia="Calibri" w:hAnsi="Times New Roman" w:cs="Times New Roman"/>
          <w:sz w:val="24"/>
          <w:szCs w:val="24"/>
        </w:rPr>
        <w:t xml:space="preserve">skat. </w:t>
      </w:r>
      <w:r w:rsidRPr="00A07F29">
        <w:rPr>
          <w:rFonts w:ascii="Times New Roman" w:eastAsia="Calibri" w:hAnsi="Times New Roman" w:cs="Times New Roman"/>
          <w:sz w:val="24"/>
          <w:szCs w:val="24"/>
        </w:rPr>
        <w:t>2.2.1.1.</w:t>
      </w:r>
      <w:r w:rsidR="00681B73" w:rsidRPr="00A07F29">
        <w:rPr>
          <w:rFonts w:ascii="Times New Roman" w:eastAsia="Calibri" w:hAnsi="Times New Roman" w:cs="Times New Roman"/>
          <w:sz w:val="24"/>
          <w:szCs w:val="24"/>
        </w:rPr>
        <w:t> </w:t>
      </w:r>
      <w:r w:rsidRPr="00A07F29">
        <w:rPr>
          <w:rFonts w:ascii="Times New Roman" w:eastAsia="Calibri" w:hAnsi="Times New Roman" w:cs="Times New Roman"/>
          <w:sz w:val="24"/>
          <w:szCs w:val="24"/>
        </w:rPr>
        <w:t>att</w:t>
      </w:r>
      <w:r w:rsidR="0077288C" w:rsidRPr="00A07F29">
        <w:rPr>
          <w:rFonts w:ascii="Times New Roman" w:eastAsia="Calibri" w:hAnsi="Times New Roman" w:cs="Times New Roman"/>
          <w:sz w:val="24"/>
          <w:szCs w:val="24"/>
        </w:rPr>
        <w:t>ēlu</w:t>
      </w:r>
      <w:r w:rsidRPr="00A07F29">
        <w:rPr>
          <w:rFonts w:ascii="Times New Roman" w:eastAsia="Calibri" w:hAnsi="Times New Roman" w:cs="Times New Roman"/>
          <w:sz w:val="24"/>
          <w:szCs w:val="24"/>
        </w:rPr>
        <w:t xml:space="preserve">). </w:t>
      </w:r>
      <w:r w:rsidR="001D710F" w:rsidRPr="00A07F29">
        <w:rPr>
          <w:rFonts w:ascii="Times New Roman" w:eastAsia="Calibri" w:hAnsi="Times New Roman" w:cs="Times New Roman"/>
          <w:sz w:val="24"/>
          <w:szCs w:val="24"/>
        </w:rPr>
        <w:t>Šādās vietās 25</w:t>
      </w:r>
      <w:r w:rsidR="006B2443" w:rsidRPr="00A07F29">
        <w:rPr>
          <w:rFonts w:ascii="Times New Roman" w:eastAsia="Calibri" w:hAnsi="Times New Roman" w:cs="Times New Roman"/>
          <w:sz w:val="24"/>
          <w:szCs w:val="24"/>
        </w:rPr>
        <w:t> </w:t>
      </w:r>
      <w:r w:rsidR="001D710F" w:rsidRPr="00A07F29">
        <w:rPr>
          <w:rFonts w:ascii="Times New Roman" w:eastAsia="Calibri" w:hAnsi="Times New Roman" w:cs="Times New Roman"/>
          <w:sz w:val="24"/>
          <w:szCs w:val="24"/>
        </w:rPr>
        <w:t xml:space="preserve">m joslā no gravas vai nogāzes augšējās malas nebūtu pieļaujamas darbības, kas var aktivizēt erozijas un gravu veidošanās procesus. </w:t>
      </w:r>
      <w:r w:rsidRPr="00A07F29">
        <w:rPr>
          <w:rFonts w:ascii="Times New Roman" w:eastAsia="Calibri" w:hAnsi="Times New Roman" w:cs="Times New Roman"/>
          <w:sz w:val="24"/>
          <w:szCs w:val="24"/>
        </w:rPr>
        <w:t>A</w:t>
      </w:r>
      <w:r w:rsidR="00FA4887" w:rsidRPr="00A07F29">
        <w:rPr>
          <w:rFonts w:ascii="Times New Roman" w:eastAsia="Calibri" w:hAnsi="Times New Roman" w:cs="Times New Roman"/>
          <w:sz w:val="24"/>
          <w:szCs w:val="24"/>
        </w:rPr>
        <w:t>rī klimata mainības scenāriji mūsu</w:t>
      </w:r>
      <w:r w:rsidRPr="00A07F29">
        <w:rPr>
          <w:rFonts w:ascii="Times New Roman" w:eastAsia="Calibri" w:hAnsi="Times New Roman" w:cs="Times New Roman"/>
          <w:sz w:val="24"/>
          <w:szCs w:val="24"/>
        </w:rPr>
        <w:t xml:space="preserve"> </w:t>
      </w:r>
      <w:r w:rsidR="00FA4887" w:rsidRPr="00A07F29">
        <w:rPr>
          <w:rFonts w:ascii="Times New Roman" w:eastAsia="Calibri" w:hAnsi="Times New Roman" w:cs="Times New Roman"/>
          <w:sz w:val="24"/>
          <w:szCs w:val="24"/>
        </w:rPr>
        <w:t>reģionam prognozē nokrišņu intensitātes pieaugumu, kā arī iespējamību</w:t>
      </w:r>
      <w:r w:rsidRPr="00A07F29">
        <w:rPr>
          <w:rFonts w:ascii="Times New Roman" w:eastAsia="Calibri" w:hAnsi="Times New Roman" w:cs="Times New Roman"/>
          <w:sz w:val="24"/>
          <w:szCs w:val="24"/>
        </w:rPr>
        <w:t xml:space="preserve"> </w:t>
      </w:r>
      <w:r w:rsidR="00FA4887" w:rsidRPr="00A07F29">
        <w:rPr>
          <w:rFonts w:ascii="Times New Roman" w:eastAsia="Calibri" w:hAnsi="Times New Roman" w:cs="Times New Roman"/>
          <w:sz w:val="24"/>
          <w:szCs w:val="24"/>
        </w:rPr>
        <w:t>biežā</w:t>
      </w:r>
      <w:r w:rsidR="001D710F" w:rsidRPr="00A07F29">
        <w:rPr>
          <w:rFonts w:ascii="Times New Roman" w:eastAsia="Calibri" w:hAnsi="Times New Roman" w:cs="Times New Roman"/>
          <w:sz w:val="24"/>
          <w:szCs w:val="24"/>
        </w:rPr>
        <w:t xml:space="preserve">k novērot ekstrēmas lietusgāzes, </w:t>
      </w:r>
      <w:r w:rsidR="00550EDE" w:rsidRPr="00A07F29">
        <w:rPr>
          <w:rFonts w:ascii="Times New Roman" w:eastAsia="Calibri" w:hAnsi="Times New Roman" w:cs="Times New Roman"/>
          <w:sz w:val="24"/>
          <w:szCs w:val="24"/>
        </w:rPr>
        <w:t xml:space="preserve">kas aktualizē </w:t>
      </w:r>
      <w:proofErr w:type="spellStart"/>
      <w:r w:rsidR="00550EDE" w:rsidRPr="00A07F29">
        <w:rPr>
          <w:rFonts w:ascii="Times New Roman" w:eastAsia="Calibri" w:hAnsi="Times New Roman" w:cs="Times New Roman"/>
          <w:sz w:val="24"/>
          <w:szCs w:val="24"/>
        </w:rPr>
        <w:t>buferjoslas</w:t>
      </w:r>
      <w:proofErr w:type="spellEnd"/>
      <w:r w:rsidR="00550EDE" w:rsidRPr="00A07F29">
        <w:rPr>
          <w:rFonts w:ascii="Times New Roman" w:eastAsia="Calibri" w:hAnsi="Times New Roman" w:cs="Times New Roman"/>
          <w:sz w:val="24"/>
          <w:szCs w:val="24"/>
        </w:rPr>
        <w:t xml:space="preserve"> ievērošanu kā </w:t>
      </w:r>
      <w:proofErr w:type="spellStart"/>
      <w:r w:rsidR="00550EDE" w:rsidRPr="00A07F29">
        <w:rPr>
          <w:rFonts w:ascii="Times New Roman" w:eastAsia="Calibri" w:hAnsi="Times New Roman" w:cs="Times New Roman"/>
          <w:sz w:val="24"/>
          <w:szCs w:val="24"/>
        </w:rPr>
        <w:t>preterozijas</w:t>
      </w:r>
      <w:proofErr w:type="spellEnd"/>
      <w:r w:rsidR="00550EDE" w:rsidRPr="00A07F29">
        <w:rPr>
          <w:rFonts w:ascii="Times New Roman" w:eastAsia="Calibri" w:hAnsi="Times New Roman" w:cs="Times New Roman"/>
          <w:sz w:val="24"/>
          <w:szCs w:val="24"/>
        </w:rPr>
        <w:t xml:space="preserve"> pasākumu.</w:t>
      </w:r>
    </w:p>
    <w:p w14:paraId="678F6406" w14:textId="34BEBBBD" w:rsidR="00671C28" w:rsidRPr="00A07F29" w:rsidRDefault="00671C28" w:rsidP="00671C28">
      <w:pPr>
        <w:spacing w:after="120" w:line="240" w:lineRule="auto"/>
        <w:jc w:val="both"/>
        <w:rPr>
          <w:rFonts w:ascii="Times New Roman" w:eastAsia="Calibri" w:hAnsi="Times New Roman" w:cs="Times New Roman"/>
          <w:sz w:val="24"/>
          <w:szCs w:val="24"/>
        </w:rPr>
      </w:pPr>
      <w:r w:rsidRPr="00A07F29">
        <w:rPr>
          <w:rFonts w:ascii="Times New Roman" w:eastAsia="Calibri" w:hAnsi="Times New Roman" w:cs="Times New Roman"/>
          <w:noProof/>
          <w:sz w:val="24"/>
          <w:szCs w:val="24"/>
          <w:lang w:eastAsia="lv-LV"/>
        </w:rPr>
        <w:drawing>
          <wp:inline distT="0" distB="0" distL="0" distR="0" wp14:anchorId="143516C8" wp14:editId="4747CC9F">
            <wp:extent cx="5731510" cy="2249170"/>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ugsdaugava_AAA_nogazu_slipums_uz_DEM.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31510" cy="2249170"/>
                    </a:xfrm>
                    <a:prstGeom prst="rect">
                      <a:avLst/>
                    </a:prstGeom>
                  </pic:spPr>
                </pic:pic>
              </a:graphicData>
            </a:graphic>
          </wp:inline>
        </w:drawing>
      </w:r>
    </w:p>
    <w:p w14:paraId="0B4C0611" w14:textId="432DAA5E" w:rsidR="00E5392D" w:rsidRPr="00685EBC" w:rsidRDefault="00550EDE" w:rsidP="00FA4887">
      <w:pPr>
        <w:spacing w:after="120" w:line="240" w:lineRule="auto"/>
        <w:jc w:val="both"/>
        <w:rPr>
          <w:rFonts w:ascii="Times New Roman" w:eastAsia="Calibri" w:hAnsi="Times New Roman" w:cs="Calibri"/>
          <w:sz w:val="20"/>
          <w:szCs w:val="20"/>
        </w:rPr>
      </w:pPr>
      <w:r w:rsidRPr="00685EBC">
        <w:rPr>
          <w:rFonts w:ascii="Times New Roman" w:eastAsia="Calibri" w:hAnsi="Times New Roman" w:cs="Calibri"/>
          <w:sz w:val="20"/>
          <w:szCs w:val="20"/>
        </w:rPr>
        <w:t>2.2.1.1.</w:t>
      </w:r>
      <w:r w:rsidR="001630B6" w:rsidRPr="00685EBC">
        <w:rPr>
          <w:rFonts w:ascii="Times New Roman" w:eastAsia="Calibri" w:hAnsi="Times New Roman" w:cs="Calibri"/>
          <w:sz w:val="20"/>
          <w:szCs w:val="20"/>
        </w:rPr>
        <w:t> </w:t>
      </w:r>
      <w:r w:rsidRPr="00685EBC">
        <w:rPr>
          <w:rFonts w:ascii="Times New Roman" w:eastAsia="Calibri" w:hAnsi="Times New Roman" w:cs="Calibri"/>
          <w:sz w:val="20"/>
          <w:szCs w:val="20"/>
        </w:rPr>
        <w:t>att</w:t>
      </w:r>
      <w:r w:rsidR="0077288C" w:rsidRPr="00685EBC">
        <w:rPr>
          <w:rFonts w:ascii="Times New Roman" w:eastAsia="Calibri" w:hAnsi="Times New Roman" w:cs="Calibri"/>
          <w:sz w:val="20"/>
          <w:szCs w:val="20"/>
        </w:rPr>
        <w:t>ēls</w:t>
      </w:r>
      <w:r w:rsidRPr="00685EBC">
        <w:rPr>
          <w:rFonts w:ascii="Times New Roman" w:eastAsia="Calibri" w:hAnsi="Times New Roman" w:cs="Calibri"/>
          <w:sz w:val="20"/>
          <w:szCs w:val="20"/>
        </w:rPr>
        <w:t>. Nogāžu slīpums AAA “Augšdaugava”.</w:t>
      </w:r>
    </w:p>
    <w:p w14:paraId="7E915FDD" w14:textId="241D5857" w:rsidR="00E5392D" w:rsidRPr="00A07F29" w:rsidRDefault="00E5392D" w:rsidP="00BE7BB7">
      <w:pPr>
        <w:pStyle w:val="Heading2"/>
        <w:spacing w:before="120" w:after="120"/>
        <w:ind w:firstLine="0"/>
        <w:jc w:val="center"/>
        <w:rPr>
          <w:rFonts w:ascii="Times New Roman" w:hAnsi="Times New Roman"/>
          <w:b w:val="0"/>
          <w:iCs w:val="0"/>
        </w:rPr>
      </w:pPr>
      <w:bookmarkStart w:id="20" w:name="_Toc183433979"/>
      <w:r w:rsidRPr="00A07F29">
        <w:rPr>
          <w:rFonts w:ascii="Times New Roman" w:hAnsi="Times New Roman"/>
          <w:i w:val="0"/>
        </w:rPr>
        <w:lastRenderedPageBreak/>
        <w:t>2.3. Reljefs</w:t>
      </w:r>
      <w:bookmarkEnd w:id="20"/>
    </w:p>
    <w:p w14:paraId="2A1794A4" w14:textId="54AADA93" w:rsidR="00E5392D" w:rsidRPr="00A07F29" w:rsidRDefault="00E5392D" w:rsidP="00FA4887">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Daugava tās tecējuma Augšdaugavas posmā no Piedrujas līdz Kraujai plūst pa labi izteiktu ieleju, kura šķērso kompakto, ģenētiski vienoto Baltijas augstieņu virkni, morfoloģiski atdalot no tās uz </w:t>
      </w:r>
      <w:r w:rsidR="00262FF7">
        <w:rPr>
          <w:rFonts w:ascii="Times New Roman" w:eastAsia="Calibri" w:hAnsi="Times New Roman" w:cs="Calibri"/>
          <w:sz w:val="24"/>
        </w:rPr>
        <w:t>Z</w:t>
      </w:r>
      <w:r w:rsidRPr="00A07F29">
        <w:rPr>
          <w:rFonts w:ascii="Times New Roman" w:eastAsia="Calibri" w:hAnsi="Times New Roman" w:cs="Calibri"/>
          <w:sz w:val="24"/>
        </w:rPr>
        <w:t xml:space="preserve"> novietoto Latgales augstieni un uz dienvidiem novietotās Augšzemes un Braslavas augstienes (</w:t>
      </w:r>
      <w:r w:rsidR="00F60729" w:rsidRPr="00A07F29">
        <w:rPr>
          <w:rFonts w:ascii="Times New Roman" w:eastAsia="Calibri" w:hAnsi="Times New Roman" w:cs="Calibri"/>
          <w:sz w:val="24"/>
        </w:rPr>
        <w:t xml:space="preserve">skat. </w:t>
      </w:r>
      <w:r w:rsidRPr="00A07F29">
        <w:rPr>
          <w:rFonts w:ascii="Times New Roman" w:eastAsia="Calibri" w:hAnsi="Times New Roman" w:cs="Calibri"/>
          <w:sz w:val="24"/>
        </w:rPr>
        <w:t>2.3.1.</w:t>
      </w:r>
      <w:r w:rsidR="00F60729" w:rsidRPr="00A07F29">
        <w:rPr>
          <w:rFonts w:ascii="Times New Roman" w:eastAsia="Calibri" w:hAnsi="Times New Roman" w:cs="Calibri"/>
          <w:sz w:val="24"/>
        </w:rPr>
        <w:t> </w:t>
      </w:r>
      <w:r w:rsidRPr="00A07F29">
        <w:rPr>
          <w:rFonts w:ascii="Times New Roman" w:eastAsia="Calibri" w:hAnsi="Times New Roman" w:cs="Calibri"/>
          <w:sz w:val="24"/>
        </w:rPr>
        <w:t>attēl</w:t>
      </w:r>
      <w:r w:rsidR="00F60729" w:rsidRPr="00A07F29">
        <w:rPr>
          <w:rFonts w:ascii="Times New Roman" w:eastAsia="Calibri" w:hAnsi="Times New Roman" w:cs="Calibri"/>
          <w:sz w:val="24"/>
        </w:rPr>
        <w:t>u</w:t>
      </w:r>
      <w:r w:rsidRPr="00A07F29">
        <w:rPr>
          <w:rFonts w:ascii="Times New Roman" w:eastAsia="Calibri" w:hAnsi="Times New Roman" w:cs="Calibri"/>
          <w:sz w:val="24"/>
        </w:rPr>
        <w:t>).</w:t>
      </w:r>
    </w:p>
    <w:p w14:paraId="65AE104C" w14:textId="77777777" w:rsidR="00E5392D" w:rsidRPr="00A07F29" w:rsidRDefault="00E5392D" w:rsidP="00FA4887">
      <w:pPr>
        <w:spacing w:after="120" w:line="240" w:lineRule="auto"/>
        <w:jc w:val="both"/>
        <w:rPr>
          <w:rFonts w:ascii="Times New Roman" w:eastAsia="Calibri" w:hAnsi="Times New Roman" w:cs="Calibri"/>
          <w:sz w:val="24"/>
        </w:rPr>
      </w:pPr>
      <w:r w:rsidRPr="00A07F29">
        <w:rPr>
          <w:noProof/>
          <w:lang w:eastAsia="lv-LV"/>
        </w:rPr>
        <w:drawing>
          <wp:inline distT="0" distB="0" distL="0" distR="0" wp14:anchorId="143A2192" wp14:editId="58CDAEDB">
            <wp:extent cx="5761356" cy="1682750"/>
            <wp:effectExtent l="0" t="0" r="0" b="0"/>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3"/>
                    <pic:cNvPicPr/>
                  </pic:nvPicPr>
                  <pic:blipFill>
                    <a:blip r:embed="rId20">
                      <a:extLst>
                        <a:ext uri="{28A0092B-C50C-407E-A947-70E740481C1C}">
                          <a14:useLocalDpi xmlns:a14="http://schemas.microsoft.com/office/drawing/2010/main"/>
                        </a:ext>
                      </a:extLst>
                    </a:blip>
                    <a:stretch>
                      <a:fillRect/>
                    </a:stretch>
                  </pic:blipFill>
                  <pic:spPr>
                    <a:xfrm>
                      <a:off x="0" y="0"/>
                      <a:ext cx="5761356" cy="1682750"/>
                    </a:xfrm>
                    <a:prstGeom prst="rect">
                      <a:avLst/>
                    </a:prstGeom>
                  </pic:spPr>
                </pic:pic>
              </a:graphicData>
            </a:graphic>
          </wp:inline>
        </w:drawing>
      </w:r>
    </w:p>
    <w:p w14:paraId="61B420B4" w14:textId="3710B962" w:rsidR="00E5392D" w:rsidRPr="00685EBC" w:rsidRDefault="00E5392D" w:rsidP="00FA4887">
      <w:pPr>
        <w:spacing w:after="240" w:line="240" w:lineRule="auto"/>
        <w:jc w:val="both"/>
        <w:rPr>
          <w:rFonts w:ascii="Times New Roman" w:eastAsia="Calibri" w:hAnsi="Times New Roman" w:cs="Calibri"/>
          <w:sz w:val="20"/>
          <w:szCs w:val="20"/>
        </w:rPr>
      </w:pPr>
      <w:r w:rsidRPr="00685EBC">
        <w:rPr>
          <w:rFonts w:ascii="Times New Roman" w:eastAsia="Calibri" w:hAnsi="Times New Roman" w:cs="Calibri"/>
          <w:sz w:val="20"/>
          <w:szCs w:val="20"/>
        </w:rPr>
        <w:t>2.3.1.</w:t>
      </w:r>
      <w:r w:rsidR="00F60729" w:rsidRPr="00685EBC">
        <w:rPr>
          <w:rFonts w:ascii="Times New Roman" w:eastAsia="Calibri" w:hAnsi="Times New Roman" w:cs="Calibri"/>
          <w:sz w:val="20"/>
          <w:szCs w:val="20"/>
        </w:rPr>
        <w:t> </w:t>
      </w:r>
      <w:r w:rsidRPr="00685EBC">
        <w:rPr>
          <w:rFonts w:ascii="Times New Roman" w:eastAsia="Calibri" w:hAnsi="Times New Roman" w:cs="Calibri"/>
          <w:sz w:val="20"/>
          <w:szCs w:val="20"/>
        </w:rPr>
        <w:t xml:space="preserve">attēls. AAA </w:t>
      </w:r>
      <w:r w:rsidR="00F60729" w:rsidRPr="00685EBC">
        <w:rPr>
          <w:rFonts w:ascii="Times New Roman" w:eastAsia="Calibri" w:hAnsi="Times New Roman" w:cs="Calibri"/>
          <w:sz w:val="20"/>
          <w:szCs w:val="20"/>
        </w:rPr>
        <w:t>“</w:t>
      </w:r>
      <w:r w:rsidRPr="00685EBC">
        <w:rPr>
          <w:rFonts w:ascii="Times New Roman" w:eastAsia="Calibri" w:hAnsi="Times New Roman" w:cs="Calibri"/>
          <w:sz w:val="20"/>
          <w:szCs w:val="20"/>
        </w:rPr>
        <w:t>Augšdaugava” teritorijas digitālais zemes virsmas modelis. Reljefa datu avots: NASA SRTM DEM (</w:t>
      </w:r>
      <w:proofErr w:type="spellStart"/>
      <w:r w:rsidRPr="00685EBC">
        <w:rPr>
          <w:rFonts w:ascii="Times New Roman" w:eastAsia="Calibri" w:hAnsi="Times New Roman" w:cs="Calibri"/>
          <w:sz w:val="20"/>
          <w:szCs w:val="20"/>
        </w:rPr>
        <w:t>Jarvis</w:t>
      </w:r>
      <w:proofErr w:type="spellEnd"/>
      <w:r w:rsidR="00E63B6E" w:rsidRPr="00685EBC">
        <w:rPr>
          <w:rFonts w:ascii="Times New Roman" w:eastAsia="Calibri" w:hAnsi="Times New Roman" w:cs="Calibri"/>
          <w:sz w:val="20"/>
          <w:szCs w:val="20"/>
        </w:rPr>
        <w:t xml:space="preserve"> A.</w:t>
      </w:r>
      <w:r w:rsidR="003B1747" w:rsidRPr="00685EBC">
        <w:rPr>
          <w:rFonts w:ascii="Times New Roman" w:eastAsia="Calibri" w:hAnsi="Times New Roman" w:cs="Calibri"/>
          <w:sz w:val="20"/>
          <w:szCs w:val="20"/>
        </w:rPr>
        <w:t>,</w:t>
      </w:r>
      <w:r w:rsidRPr="00685EBC">
        <w:rPr>
          <w:rFonts w:ascii="Times New Roman" w:eastAsia="Calibri" w:hAnsi="Times New Roman" w:cs="Calibri"/>
          <w:sz w:val="20"/>
          <w:szCs w:val="20"/>
        </w:rPr>
        <w:t xml:space="preserve"> </w:t>
      </w:r>
      <w:proofErr w:type="spellStart"/>
      <w:r w:rsidRPr="00685EBC">
        <w:rPr>
          <w:rFonts w:ascii="Times New Roman" w:eastAsia="Calibri" w:hAnsi="Times New Roman" w:cs="Calibri"/>
          <w:sz w:val="20"/>
          <w:szCs w:val="20"/>
        </w:rPr>
        <w:t>et</w:t>
      </w:r>
      <w:proofErr w:type="spellEnd"/>
      <w:r w:rsidRPr="00685EBC">
        <w:rPr>
          <w:rFonts w:ascii="Times New Roman" w:eastAsia="Calibri" w:hAnsi="Times New Roman" w:cs="Calibri"/>
          <w:sz w:val="20"/>
          <w:szCs w:val="20"/>
        </w:rPr>
        <w:t xml:space="preserve"> </w:t>
      </w:r>
      <w:proofErr w:type="spellStart"/>
      <w:r w:rsidRPr="00685EBC">
        <w:rPr>
          <w:rFonts w:ascii="Times New Roman" w:eastAsia="Calibri" w:hAnsi="Times New Roman" w:cs="Calibri"/>
          <w:sz w:val="20"/>
          <w:szCs w:val="20"/>
        </w:rPr>
        <w:t>al</w:t>
      </w:r>
      <w:proofErr w:type="spellEnd"/>
      <w:r w:rsidRPr="00685EBC">
        <w:rPr>
          <w:rFonts w:ascii="Times New Roman" w:eastAsia="Calibri" w:hAnsi="Times New Roman" w:cs="Calibri"/>
          <w:sz w:val="20"/>
          <w:szCs w:val="20"/>
        </w:rPr>
        <w:t>.</w:t>
      </w:r>
      <w:r w:rsidR="00F60729" w:rsidRPr="00685EBC">
        <w:rPr>
          <w:rFonts w:ascii="Times New Roman" w:eastAsia="Calibri" w:hAnsi="Times New Roman" w:cs="Calibri"/>
          <w:sz w:val="20"/>
          <w:szCs w:val="20"/>
        </w:rPr>
        <w:t>,</w:t>
      </w:r>
      <w:r w:rsidRPr="00685EBC">
        <w:rPr>
          <w:rFonts w:ascii="Times New Roman" w:eastAsia="Calibri" w:hAnsi="Times New Roman" w:cs="Calibri"/>
          <w:sz w:val="20"/>
          <w:szCs w:val="20"/>
        </w:rPr>
        <w:t xml:space="preserve"> 2008). </w:t>
      </w:r>
    </w:p>
    <w:p w14:paraId="56578536" w14:textId="77777777" w:rsidR="00E5392D" w:rsidRPr="00A07F29" w:rsidRDefault="00E5392D" w:rsidP="00FA4887">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Ņemot vērā reljefa iezīmes, AAA </w:t>
      </w:r>
      <w:proofErr w:type="spellStart"/>
      <w:r w:rsidRPr="00A07F29">
        <w:rPr>
          <w:rFonts w:ascii="Times New Roman" w:eastAsia="Calibri" w:hAnsi="Times New Roman" w:cs="Calibri"/>
          <w:sz w:val="24"/>
        </w:rPr>
        <w:t>ģeomorfoloģiskajā</w:t>
      </w:r>
      <w:proofErr w:type="spellEnd"/>
      <w:r w:rsidRPr="00A07F29">
        <w:rPr>
          <w:rFonts w:ascii="Times New Roman" w:eastAsia="Calibri" w:hAnsi="Times New Roman" w:cs="Calibri"/>
          <w:sz w:val="24"/>
        </w:rPr>
        <w:t xml:space="preserve"> skatījumā sadalāms trijās daļās: </w:t>
      </w:r>
    </w:p>
    <w:p w14:paraId="769E5110" w14:textId="40D95EEA" w:rsidR="00E5392D" w:rsidRPr="00A07F29" w:rsidRDefault="00E5392D" w:rsidP="00FA4887">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1)</w:t>
      </w:r>
      <w:r w:rsidR="003B1747" w:rsidRPr="00A07F29">
        <w:rPr>
          <w:rFonts w:ascii="Times New Roman" w:eastAsia="Calibri" w:hAnsi="Times New Roman" w:cs="Calibri"/>
          <w:sz w:val="24"/>
        </w:rPr>
        <w:t> </w:t>
      </w:r>
      <w:proofErr w:type="spellStart"/>
      <w:r w:rsidRPr="00A07F29">
        <w:rPr>
          <w:rFonts w:ascii="Times New Roman" w:eastAsia="Calibri" w:hAnsi="Times New Roman" w:cs="Calibri"/>
          <w:sz w:val="24"/>
        </w:rPr>
        <w:t>Polockas</w:t>
      </w:r>
      <w:proofErr w:type="spellEnd"/>
      <w:r w:rsidRPr="00A07F29">
        <w:rPr>
          <w:rFonts w:ascii="Times New Roman" w:eastAsia="Calibri" w:hAnsi="Times New Roman" w:cs="Calibri"/>
          <w:sz w:val="24"/>
        </w:rPr>
        <w:t xml:space="preserve"> zemienē izvietojusies Daugavas ielejas daļa no Baltkrievijas Republikas robežas pie </w:t>
      </w:r>
      <w:proofErr w:type="spellStart"/>
      <w:r w:rsidRPr="00A07F29">
        <w:rPr>
          <w:rFonts w:ascii="Times New Roman" w:eastAsia="Calibri" w:hAnsi="Times New Roman" w:cs="Calibri"/>
          <w:sz w:val="24"/>
        </w:rPr>
        <w:t>Koškovciem</w:t>
      </w:r>
      <w:r w:rsidR="003B1747" w:rsidRPr="00A07F29">
        <w:rPr>
          <w:rFonts w:ascii="Times New Roman" w:eastAsia="Calibri" w:hAnsi="Times New Roman" w:cs="Calibri"/>
          <w:sz w:val="24"/>
        </w:rPr>
        <w:t>a</w:t>
      </w:r>
      <w:proofErr w:type="spellEnd"/>
      <w:r w:rsidRPr="00A07F29">
        <w:rPr>
          <w:rFonts w:ascii="Times New Roman" w:eastAsia="Calibri" w:hAnsi="Times New Roman" w:cs="Calibri"/>
          <w:sz w:val="24"/>
        </w:rPr>
        <w:t xml:space="preserve"> līdz Piedrujai;</w:t>
      </w:r>
    </w:p>
    <w:p w14:paraId="3298DAF5" w14:textId="050672E0" w:rsidR="00E5392D" w:rsidRPr="00A07F29" w:rsidRDefault="00E5392D" w:rsidP="00FA4887">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2)</w:t>
      </w:r>
      <w:r w:rsidR="003B1747" w:rsidRPr="00A07F29">
        <w:rPr>
          <w:rFonts w:ascii="Times New Roman" w:eastAsia="Calibri" w:hAnsi="Times New Roman" w:cs="Calibri"/>
          <w:sz w:val="24"/>
        </w:rPr>
        <w:t> </w:t>
      </w:r>
      <w:r w:rsidRPr="00A07F29">
        <w:rPr>
          <w:rFonts w:ascii="Times New Roman" w:eastAsia="Calibri" w:hAnsi="Times New Roman" w:cs="Calibri"/>
          <w:sz w:val="24"/>
        </w:rPr>
        <w:t xml:space="preserve">Daugavas ielejai piegulošā teritorija, ko labajā krastā pārstāv Latgales augstienes Dagdas </w:t>
      </w:r>
      <w:proofErr w:type="spellStart"/>
      <w:r w:rsidRPr="00A07F29">
        <w:rPr>
          <w:rFonts w:ascii="Times New Roman" w:eastAsia="Calibri" w:hAnsi="Times New Roman" w:cs="Calibri"/>
          <w:sz w:val="24"/>
        </w:rPr>
        <w:t>pauguraines</w:t>
      </w:r>
      <w:proofErr w:type="spellEnd"/>
      <w:r w:rsidRPr="00A07F29">
        <w:rPr>
          <w:rFonts w:ascii="Times New Roman" w:eastAsia="Calibri" w:hAnsi="Times New Roman" w:cs="Calibri"/>
          <w:sz w:val="24"/>
        </w:rPr>
        <w:t xml:space="preserve"> </w:t>
      </w:r>
      <w:r w:rsidR="00262FF7">
        <w:rPr>
          <w:rFonts w:ascii="Times New Roman" w:eastAsia="Calibri" w:hAnsi="Times New Roman" w:cs="Calibri"/>
          <w:sz w:val="24"/>
        </w:rPr>
        <w:t>D</w:t>
      </w:r>
      <w:r w:rsidRPr="00A07F29">
        <w:rPr>
          <w:rFonts w:ascii="Times New Roman" w:eastAsia="Calibri" w:hAnsi="Times New Roman" w:cs="Calibri"/>
          <w:sz w:val="24"/>
        </w:rPr>
        <w:t xml:space="preserve"> nogāze, bet kreisajā – Augšzemes augstienes Skrudalienas </w:t>
      </w:r>
      <w:proofErr w:type="spellStart"/>
      <w:r w:rsidRPr="00A07F29">
        <w:rPr>
          <w:rFonts w:ascii="Times New Roman" w:eastAsia="Calibri" w:hAnsi="Times New Roman" w:cs="Calibri"/>
          <w:sz w:val="24"/>
        </w:rPr>
        <w:t>pauguraines</w:t>
      </w:r>
      <w:proofErr w:type="spellEnd"/>
      <w:r w:rsidRPr="00A07F29">
        <w:rPr>
          <w:rFonts w:ascii="Times New Roman" w:eastAsia="Calibri" w:hAnsi="Times New Roman" w:cs="Calibri"/>
          <w:sz w:val="24"/>
        </w:rPr>
        <w:t xml:space="preserve"> </w:t>
      </w:r>
      <w:r w:rsidR="00262FF7">
        <w:rPr>
          <w:rFonts w:ascii="Times New Roman" w:eastAsia="Calibri" w:hAnsi="Times New Roman" w:cs="Calibri"/>
          <w:sz w:val="24"/>
        </w:rPr>
        <w:t>Z</w:t>
      </w:r>
      <w:r w:rsidRPr="00A07F29">
        <w:rPr>
          <w:rFonts w:ascii="Times New Roman" w:eastAsia="Calibri" w:hAnsi="Times New Roman" w:cs="Calibri"/>
          <w:sz w:val="24"/>
        </w:rPr>
        <w:t xml:space="preserve"> nogāze un Braslavas augstienes </w:t>
      </w:r>
      <w:r w:rsidR="00262FF7">
        <w:rPr>
          <w:rFonts w:ascii="Times New Roman" w:eastAsia="Calibri" w:hAnsi="Times New Roman" w:cs="Calibri"/>
          <w:sz w:val="24"/>
        </w:rPr>
        <w:t>Z</w:t>
      </w:r>
      <w:r w:rsidRPr="00A07F29">
        <w:rPr>
          <w:rFonts w:ascii="Times New Roman" w:eastAsia="Calibri" w:hAnsi="Times New Roman" w:cs="Calibri"/>
          <w:sz w:val="24"/>
        </w:rPr>
        <w:t xml:space="preserve"> nogāze;</w:t>
      </w:r>
    </w:p>
    <w:p w14:paraId="2D14C47E" w14:textId="1A0C9530" w:rsidR="00E5392D" w:rsidRPr="00A07F29" w:rsidRDefault="00E5392D" w:rsidP="00FA4887">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3)</w:t>
      </w:r>
      <w:r w:rsidR="00DA5464" w:rsidRPr="00A07F29">
        <w:rPr>
          <w:rFonts w:ascii="Times New Roman" w:eastAsia="Calibri" w:hAnsi="Times New Roman" w:cs="Calibri"/>
          <w:sz w:val="24"/>
        </w:rPr>
        <w:t> </w:t>
      </w:r>
      <w:r w:rsidRPr="00A07F29">
        <w:rPr>
          <w:rFonts w:ascii="Times New Roman" w:eastAsia="Calibri" w:hAnsi="Times New Roman" w:cs="Calibri"/>
          <w:sz w:val="24"/>
        </w:rPr>
        <w:t xml:space="preserve">Daugavas ieleja no Piedrujas līdz ainavu apvidus </w:t>
      </w:r>
      <w:r w:rsidR="00262FF7">
        <w:rPr>
          <w:rFonts w:ascii="Times New Roman" w:eastAsia="Calibri" w:hAnsi="Times New Roman" w:cs="Calibri"/>
          <w:sz w:val="24"/>
        </w:rPr>
        <w:t>R</w:t>
      </w:r>
      <w:r w:rsidRPr="00A07F29">
        <w:rPr>
          <w:rFonts w:ascii="Times New Roman" w:eastAsia="Calibri" w:hAnsi="Times New Roman" w:cs="Calibri"/>
          <w:sz w:val="24"/>
        </w:rPr>
        <w:t xml:space="preserve"> robežai, šajā daļā izteiksmīgākais un dziļākais reljefa elements ir </w:t>
      </w:r>
      <w:proofErr w:type="spellStart"/>
      <w:r w:rsidRPr="00A07F29">
        <w:rPr>
          <w:rFonts w:ascii="Times New Roman" w:eastAsia="Calibri" w:hAnsi="Times New Roman" w:cs="Calibri"/>
          <w:sz w:val="24"/>
        </w:rPr>
        <w:t>senieleja</w:t>
      </w:r>
      <w:proofErr w:type="spellEnd"/>
      <w:r w:rsidRPr="00A07F29">
        <w:rPr>
          <w:rFonts w:ascii="Times New Roman" w:eastAsia="Calibri" w:hAnsi="Times New Roman" w:cs="Calibri"/>
          <w:sz w:val="24"/>
        </w:rPr>
        <w:t xml:space="preserve"> ar </w:t>
      </w:r>
      <w:r w:rsidR="00DA5464" w:rsidRPr="00A07F29">
        <w:rPr>
          <w:rFonts w:ascii="Times New Roman" w:eastAsia="Calibri" w:hAnsi="Times New Roman" w:cs="Calibri"/>
          <w:sz w:val="24"/>
        </w:rPr>
        <w:t>deviņiem</w:t>
      </w:r>
      <w:r w:rsidRPr="00A07F29">
        <w:rPr>
          <w:rFonts w:ascii="Times New Roman" w:eastAsia="Calibri" w:hAnsi="Times New Roman" w:cs="Calibri"/>
          <w:sz w:val="24"/>
        </w:rPr>
        <w:t xml:space="preserve"> iegrauztajiem meandriem posmā no Krāslavas līdz Kraujas ciematam.</w:t>
      </w:r>
    </w:p>
    <w:p w14:paraId="10C2E74C" w14:textId="56BA247D" w:rsidR="00E5392D" w:rsidRPr="00A07F29" w:rsidRDefault="00E5392D" w:rsidP="00FA4887">
      <w:pPr>
        <w:spacing w:after="120" w:line="240" w:lineRule="auto"/>
        <w:ind w:firstLine="851"/>
        <w:jc w:val="both"/>
        <w:rPr>
          <w:rFonts w:ascii="Times New Roman" w:eastAsia="Calibri" w:hAnsi="Times New Roman" w:cs="Calibri"/>
          <w:sz w:val="24"/>
        </w:rPr>
      </w:pPr>
      <w:proofErr w:type="spellStart"/>
      <w:r w:rsidRPr="00A07F29">
        <w:rPr>
          <w:rFonts w:ascii="Times New Roman" w:eastAsia="Calibri" w:hAnsi="Times New Roman" w:cs="Calibri"/>
          <w:b/>
          <w:sz w:val="24"/>
        </w:rPr>
        <w:t>Polockas</w:t>
      </w:r>
      <w:proofErr w:type="spellEnd"/>
      <w:r w:rsidRPr="00A07F29">
        <w:rPr>
          <w:rFonts w:ascii="Times New Roman" w:eastAsia="Calibri" w:hAnsi="Times New Roman" w:cs="Calibri"/>
          <w:b/>
          <w:sz w:val="24"/>
        </w:rPr>
        <w:t xml:space="preserve"> zemienē izvietojusies Daugavas ielejas daļa</w:t>
      </w:r>
      <w:r w:rsidRPr="00A07F29">
        <w:rPr>
          <w:rFonts w:ascii="Times New Roman" w:eastAsia="Calibri" w:hAnsi="Times New Roman" w:cs="Calibri"/>
          <w:sz w:val="24"/>
        </w:rPr>
        <w:t xml:space="preserve">. Šajā </w:t>
      </w:r>
      <w:r w:rsidR="00746A5E" w:rsidRPr="00A07F29">
        <w:rPr>
          <w:rFonts w:ascii="Times New Roman" w:eastAsia="Calibri" w:hAnsi="Times New Roman" w:cs="Calibri"/>
          <w:sz w:val="24"/>
        </w:rPr>
        <w:t xml:space="preserve">AAA </w:t>
      </w:r>
      <w:r w:rsidR="002D30E2" w:rsidRPr="00A07F29">
        <w:rPr>
          <w:rFonts w:ascii="Times New Roman" w:eastAsia="Calibri" w:hAnsi="Times New Roman" w:cs="Calibri"/>
          <w:sz w:val="24"/>
        </w:rPr>
        <w:t>“</w:t>
      </w:r>
      <w:r w:rsidR="00746A5E" w:rsidRPr="00A07F29">
        <w:rPr>
          <w:rFonts w:ascii="Times New Roman" w:eastAsia="Calibri" w:hAnsi="Times New Roman" w:cs="Calibri"/>
          <w:sz w:val="24"/>
        </w:rPr>
        <w:t xml:space="preserve">Augšdaugava” </w:t>
      </w:r>
      <w:r w:rsidRPr="00A07F29">
        <w:rPr>
          <w:rFonts w:ascii="Times New Roman" w:eastAsia="Calibri" w:hAnsi="Times New Roman" w:cs="Calibri"/>
          <w:sz w:val="24"/>
        </w:rPr>
        <w:t xml:space="preserve">daļā Daugavas ieleja ir labi izteikta, </w:t>
      </w:r>
      <w:r w:rsidR="002D30E2" w:rsidRPr="00A07F29">
        <w:rPr>
          <w:rFonts w:ascii="Times New Roman" w:eastAsia="Calibri" w:hAnsi="Times New Roman" w:cs="Calibri"/>
          <w:sz w:val="24"/>
        </w:rPr>
        <w:t xml:space="preserve">DA </w:t>
      </w:r>
      <w:r w:rsidRPr="00A07F29">
        <w:rPr>
          <w:rFonts w:ascii="Times New Roman" w:eastAsia="Calibri" w:hAnsi="Times New Roman" w:cs="Calibri"/>
          <w:sz w:val="24"/>
        </w:rPr>
        <w:t>plāna skatījumā tai ir gandrīz taisna konfigurācija. Ielejas platums ir 1,2 līdz 1,7</w:t>
      </w:r>
      <w:r w:rsidR="002D30E2" w:rsidRPr="00A07F29">
        <w:rPr>
          <w:rFonts w:ascii="Times New Roman" w:eastAsia="Calibri" w:hAnsi="Times New Roman" w:cs="Calibri"/>
          <w:sz w:val="24"/>
        </w:rPr>
        <w:t> </w:t>
      </w:r>
      <w:r w:rsidRPr="00A07F29">
        <w:rPr>
          <w:rFonts w:ascii="Times New Roman" w:eastAsia="Calibri" w:hAnsi="Times New Roman" w:cs="Calibri"/>
          <w:sz w:val="24"/>
        </w:rPr>
        <w:t>km, tās dziļums ir relatīvi neliels, t.i. 20 līdz 25</w:t>
      </w:r>
      <w:r w:rsidR="002D30E2" w:rsidRPr="00A07F29">
        <w:rPr>
          <w:rFonts w:ascii="Times New Roman" w:eastAsia="Calibri" w:hAnsi="Times New Roman" w:cs="Calibri"/>
          <w:sz w:val="24"/>
        </w:rPr>
        <w:t> </w:t>
      </w:r>
      <w:r w:rsidRPr="00A07F29">
        <w:rPr>
          <w:rFonts w:ascii="Times New Roman" w:eastAsia="Calibri" w:hAnsi="Times New Roman" w:cs="Calibri"/>
          <w:sz w:val="24"/>
        </w:rPr>
        <w:t xml:space="preserve">m. Ieleja ir simetriska ar abās pusēs izsekojamām </w:t>
      </w:r>
      <w:proofErr w:type="spellStart"/>
      <w:r w:rsidRPr="00A07F29">
        <w:rPr>
          <w:rFonts w:ascii="Times New Roman" w:eastAsia="Calibri" w:hAnsi="Times New Roman" w:cs="Calibri"/>
          <w:sz w:val="24"/>
        </w:rPr>
        <w:t>virspalu</w:t>
      </w:r>
      <w:proofErr w:type="spellEnd"/>
      <w:r w:rsidRPr="00A07F29">
        <w:rPr>
          <w:rFonts w:ascii="Times New Roman" w:eastAsia="Calibri" w:hAnsi="Times New Roman" w:cs="Calibri"/>
          <w:sz w:val="24"/>
        </w:rPr>
        <w:t xml:space="preserve"> terasēm, ielejas šķērsprofilam ir trapecveida forma. </w:t>
      </w:r>
      <w:proofErr w:type="spellStart"/>
      <w:r w:rsidRPr="00A07F29">
        <w:rPr>
          <w:rFonts w:ascii="Times New Roman" w:eastAsia="Calibri" w:hAnsi="Times New Roman" w:cs="Calibri"/>
          <w:sz w:val="24"/>
        </w:rPr>
        <w:t>Dziļumerozijas</w:t>
      </w:r>
      <w:proofErr w:type="spellEnd"/>
      <w:r w:rsidRPr="00A07F29">
        <w:rPr>
          <w:rFonts w:ascii="Times New Roman" w:eastAsia="Calibri" w:hAnsi="Times New Roman" w:cs="Calibri"/>
          <w:sz w:val="24"/>
        </w:rPr>
        <w:t xml:space="preserve"> gaitā Daugava šeit ir iegrauzusies </w:t>
      </w:r>
      <w:proofErr w:type="spellStart"/>
      <w:r w:rsidRPr="00A07F29">
        <w:rPr>
          <w:rFonts w:ascii="Times New Roman" w:eastAsia="Calibri" w:hAnsi="Times New Roman" w:cs="Calibri"/>
          <w:sz w:val="24"/>
        </w:rPr>
        <w:t>Polockas</w:t>
      </w:r>
      <w:proofErr w:type="spellEnd"/>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sz w:val="24"/>
        </w:rPr>
        <w:t>sprostezer</w:t>
      </w:r>
      <w:r w:rsidR="00BF639B" w:rsidRPr="00A07F29">
        <w:rPr>
          <w:rFonts w:ascii="Times New Roman" w:eastAsia="Calibri" w:hAnsi="Times New Roman" w:cs="Calibri"/>
          <w:sz w:val="24"/>
        </w:rPr>
        <w:t>a</w:t>
      </w:r>
      <w:proofErr w:type="spellEnd"/>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sz w:val="24"/>
        </w:rPr>
        <w:t>ledājkušanas</w:t>
      </w:r>
      <w:proofErr w:type="spellEnd"/>
      <w:r w:rsidRPr="00A07F29">
        <w:rPr>
          <w:rFonts w:ascii="Times New Roman" w:eastAsia="Calibri" w:hAnsi="Times New Roman" w:cs="Calibri"/>
          <w:sz w:val="24"/>
        </w:rPr>
        <w:t xml:space="preserve"> ūdeņu akumulētajos smalkgraudainas smilts, </w:t>
      </w:r>
      <w:proofErr w:type="spellStart"/>
      <w:r w:rsidRPr="00A07F29">
        <w:rPr>
          <w:rFonts w:ascii="Times New Roman" w:eastAsia="Calibri" w:hAnsi="Times New Roman" w:cs="Calibri"/>
          <w:sz w:val="24"/>
        </w:rPr>
        <w:t>aleirītu</w:t>
      </w:r>
      <w:proofErr w:type="spellEnd"/>
      <w:r w:rsidRPr="00A07F29">
        <w:rPr>
          <w:rFonts w:ascii="Times New Roman" w:eastAsia="Calibri" w:hAnsi="Times New Roman" w:cs="Calibri"/>
          <w:sz w:val="24"/>
        </w:rPr>
        <w:t xml:space="preserve"> un mālainajos nogulumos. </w:t>
      </w:r>
    </w:p>
    <w:p w14:paraId="20301A10" w14:textId="6CF94AA5" w:rsidR="00E5392D" w:rsidRPr="00A07F29" w:rsidRDefault="00E5392D" w:rsidP="00FA4887">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Ielejai piegulst lēzeni viļņots </w:t>
      </w:r>
      <w:proofErr w:type="spellStart"/>
      <w:r w:rsidRPr="00A07F29">
        <w:rPr>
          <w:rFonts w:ascii="Times New Roman" w:eastAsia="Calibri" w:hAnsi="Times New Roman" w:cs="Calibri"/>
          <w:sz w:val="24"/>
        </w:rPr>
        <w:t>glaciolimnisks</w:t>
      </w:r>
      <w:proofErr w:type="spellEnd"/>
      <w:r w:rsidRPr="00A07F29">
        <w:rPr>
          <w:rFonts w:ascii="Times New Roman" w:eastAsia="Calibri" w:hAnsi="Times New Roman" w:cs="Calibri"/>
          <w:sz w:val="24"/>
        </w:rPr>
        <w:t xml:space="preserve"> līdzenums. </w:t>
      </w:r>
      <w:proofErr w:type="spellStart"/>
      <w:r w:rsidRPr="00A07F29">
        <w:rPr>
          <w:rFonts w:ascii="Times New Roman" w:eastAsia="Calibri" w:hAnsi="Times New Roman" w:cs="Calibri"/>
          <w:sz w:val="24"/>
        </w:rPr>
        <w:t>Kontaktjoslā</w:t>
      </w:r>
      <w:proofErr w:type="spellEnd"/>
      <w:r w:rsidRPr="00A07F29">
        <w:rPr>
          <w:rFonts w:ascii="Times New Roman" w:eastAsia="Calibri" w:hAnsi="Times New Roman" w:cs="Calibri"/>
          <w:sz w:val="24"/>
        </w:rPr>
        <w:t xml:space="preserve"> starp </w:t>
      </w:r>
      <w:proofErr w:type="spellStart"/>
      <w:r w:rsidRPr="00A07F29">
        <w:rPr>
          <w:rFonts w:ascii="Times New Roman" w:eastAsia="Calibri" w:hAnsi="Times New Roman" w:cs="Calibri"/>
          <w:sz w:val="24"/>
        </w:rPr>
        <w:t>glaciolimnisko</w:t>
      </w:r>
      <w:proofErr w:type="spellEnd"/>
      <w:r w:rsidRPr="00A07F29">
        <w:rPr>
          <w:rFonts w:ascii="Times New Roman" w:eastAsia="Calibri" w:hAnsi="Times New Roman" w:cs="Calibri"/>
          <w:sz w:val="24"/>
        </w:rPr>
        <w:t xml:space="preserve"> līdzenumu un Daugavas ieleju teritorija ir sānu gravu, </w:t>
      </w:r>
      <w:proofErr w:type="spellStart"/>
      <w:r w:rsidRPr="00A07F29">
        <w:rPr>
          <w:rFonts w:ascii="Times New Roman" w:eastAsia="Calibri" w:hAnsi="Times New Roman" w:cs="Calibri"/>
          <w:sz w:val="24"/>
        </w:rPr>
        <w:t>vecgravu</w:t>
      </w:r>
      <w:proofErr w:type="spellEnd"/>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sz w:val="24"/>
        </w:rPr>
        <w:t>gravieleju</w:t>
      </w:r>
      <w:proofErr w:type="spellEnd"/>
      <w:r w:rsidRPr="00A07F29">
        <w:rPr>
          <w:rFonts w:ascii="Times New Roman" w:eastAsia="Calibri" w:hAnsi="Times New Roman" w:cs="Calibri"/>
          <w:sz w:val="24"/>
        </w:rPr>
        <w:t xml:space="preserve"> un mazo upīšu ieleju </w:t>
      </w:r>
      <w:proofErr w:type="spellStart"/>
      <w:r w:rsidRPr="00A07F29">
        <w:rPr>
          <w:rFonts w:ascii="Times New Roman" w:eastAsia="Calibri" w:hAnsi="Times New Roman" w:cs="Calibri"/>
          <w:sz w:val="24"/>
        </w:rPr>
        <w:t>saposmota</w:t>
      </w:r>
      <w:proofErr w:type="spellEnd"/>
      <w:r w:rsidRPr="00A07F29">
        <w:rPr>
          <w:rFonts w:ascii="Times New Roman" w:eastAsia="Calibri" w:hAnsi="Times New Roman" w:cs="Calibri"/>
          <w:sz w:val="24"/>
        </w:rPr>
        <w:t xml:space="preserve">. Ielejai piegulošajā teritorijā esošu </w:t>
      </w:r>
      <w:proofErr w:type="spellStart"/>
      <w:r w:rsidRPr="00A07F29">
        <w:rPr>
          <w:rFonts w:ascii="Times New Roman" w:eastAsia="Calibri" w:hAnsi="Times New Roman" w:cs="Calibri"/>
          <w:sz w:val="24"/>
        </w:rPr>
        <w:t>karbonātisku</w:t>
      </w:r>
      <w:proofErr w:type="spellEnd"/>
      <w:r w:rsidRPr="00A07F29">
        <w:rPr>
          <w:rFonts w:ascii="Times New Roman" w:eastAsia="Calibri" w:hAnsi="Times New Roman" w:cs="Calibri"/>
          <w:sz w:val="24"/>
        </w:rPr>
        <w:t xml:space="preserve"> mālainu augsnes cilmiežu klātbūtne noteikusi lielu lauksaimnieciski apstrādājamo zemju īpatsvaru, attiecīgi mežainums ir robežās līdz 10</w:t>
      </w:r>
      <w:r w:rsidR="00A444E3" w:rsidRPr="00A07F29">
        <w:rPr>
          <w:rFonts w:ascii="Times New Roman" w:eastAsia="Calibri" w:hAnsi="Times New Roman" w:cs="Calibri"/>
          <w:sz w:val="24"/>
        </w:rPr>
        <w:t> </w:t>
      </w:r>
      <w:r w:rsidRPr="00A07F29">
        <w:rPr>
          <w:rFonts w:ascii="Times New Roman" w:eastAsia="Calibri" w:hAnsi="Times New Roman" w:cs="Calibri"/>
          <w:sz w:val="24"/>
        </w:rPr>
        <w:t xml:space="preserve">%. Kopumā šo faktoru summa nosaka to, ka zemes virsma ir pakļauta </w:t>
      </w:r>
      <w:proofErr w:type="spellStart"/>
      <w:r w:rsidRPr="00A07F29">
        <w:rPr>
          <w:rFonts w:ascii="Times New Roman" w:eastAsia="Calibri" w:hAnsi="Times New Roman" w:cs="Calibri"/>
          <w:sz w:val="24"/>
        </w:rPr>
        <w:t>strūklveida</w:t>
      </w:r>
      <w:proofErr w:type="spellEnd"/>
      <w:r w:rsidRPr="00A07F29">
        <w:rPr>
          <w:rFonts w:ascii="Times New Roman" w:eastAsia="Calibri" w:hAnsi="Times New Roman" w:cs="Calibri"/>
          <w:sz w:val="24"/>
        </w:rPr>
        <w:t xml:space="preserve"> un lineārajai, t.i. gravu erozijai. </w:t>
      </w:r>
    </w:p>
    <w:p w14:paraId="7064AE47" w14:textId="77D3BE7C" w:rsidR="00E5392D" w:rsidRPr="00A07F29" w:rsidRDefault="00746A5E" w:rsidP="00FA4887">
      <w:pPr>
        <w:spacing w:after="120" w:line="240" w:lineRule="auto"/>
        <w:ind w:firstLine="851"/>
        <w:jc w:val="both"/>
        <w:rPr>
          <w:rFonts w:ascii="Times New Roman" w:eastAsia="Calibri" w:hAnsi="Times New Roman" w:cs="Calibri"/>
          <w:sz w:val="24"/>
        </w:rPr>
      </w:pPr>
      <w:bookmarkStart w:id="21" w:name="_Hlk44239789"/>
      <w:r w:rsidRPr="00A07F29">
        <w:rPr>
          <w:rFonts w:ascii="Times New Roman" w:eastAsia="Calibri" w:hAnsi="Times New Roman" w:cs="Calibri"/>
          <w:b/>
          <w:bCs/>
          <w:sz w:val="24"/>
        </w:rPr>
        <w:t xml:space="preserve">AAA </w:t>
      </w:r>
      <w:r w:rsidR="008A00B5" w:rsidRPr="00A07F29">
        <w:rPr>
          <w:rFonts w:ascii="Times New Roman" w:eastAsia="Calibri" w:hAnsi="Times New Roman" w:cs="Calibri"/>
          <w:b/>
          <w:bCs/>
          <w:sz w:val="24"/>
        </w:rPr>
        <w:t>“</w:t>
      </w:r>
      <w:r w:rsidRPr="00A07F29">
        <w:rPr>
          <w:rFonts w:ascii="Times New Roman" w:eastAsia="Calibri" w:hAnsi="Times New Roman" w:cs="Calibri"/>
          <w:b/>
          <w:bCs/>
          <w:sz w:val="24"/>
        </w:rPr>
        <w:t>Augšdaugava”</w:t>
      </w:r>
      <w:bookmarkEnd w:id="21"/>
      <w:r w:rsidRPr="00A07F29">
        <w:rPr>
          <w:rFonts w:ascii="Times New Roman" w:eastAsia="Calibri" w:hAnsi="Times New Roman" w:cs="Calibri"/>
          <w:b/>
          <w:bCs/>
          <w:sz w:val="24"/>
        </w:rPr>
        <w:t xml:space="preserve"> </w:t>
      </w:r>
      <w:r w:rsidR="00E5392D" w:rsidRPr="00A07F29">
        <w:rPr>
          <w:rFonts w:ascii="Times New Roman" w:eastAsia="Calibri" w:hAnsi="Times New Roman" w:cs="Calibri"/>
          <w:b/>
          <w:bCs/>
          <w:sz w:val="24"/>
        </w:rPr>
        <w:t>ietilpstošā</w:t>
      </w:r>
      <w:r w:rsidR="00E5392D" w:rsidRPr="00A07F29">
        <w:rPr>
          <w:rFonts w:ascii="Times New Roman" w:eastAsia="Calibri" w:hAnsi="Times New Roman" w:cs="Calibri"/>
          <w:b/>
          <w:sz w:val="24"/>
        </w:rPr>
        <w:t xml:space="preserve"> Daugavas ielejai piegulošā augstieņu teritorija</w:t>
      </w:r>
      <w:r w:rsidR="00E5392D" w:rsidRPr="00A07F29">
        <w:rPr>
          <w:rFonts w:ascii="Times New Roman" w:eastAsia="Calibri" w:hAnsi="Times New Roman" w:cs="Calibri"/>
          <w:sz w:val="24"/>
        </w:rPr>
        <w:t xml:space="preserve">. Latgales un Augšzemes augstieņu visaugstāk paceltā paugurainā ass josla ar </w:t>
      </w:r>
      <w:proofErr w:type="spellStart"/>
      <w:r w:rsidR="00E5392D" w:rsidRPr="00A07F29">
        <w:rPr>
          <w:rFonts w:ascii="Times New Roman" w:eastAsia="Calibri" w:hAnsi="Times New Roman" w:cs="Calibri"/>
          <w:sz w:val="24"/>
        </w:rPr>
        <w:t>vaļņveida</w:t>
      </w:r>
      <w:proofErr w:type="spellEnd"/>
      <w:r w:rsidR="00E5392D" w:rsidRPr="00A07F29">
        <w:rPr>
          <w:rFonts w:ascii="Times New Roman" w:eastAsia="Calibri" w:hAnsi="Times New Roman" w:cs="Calibri"/>
          <w:sz w:val="24"/>
        </w:rPr>
        <w:t xml:space="preserve"> pauguru, paugurainu grēdu, vaļņu un </w:t>
      </w:r>
      <w:proofErr w:type="spellStart"/>
      <w:r w:rsidR="00E5392D" w:rsidRPr="00A07F29">
        <w:rPr>
          <w:rFonts w:ascii="Times New Roman" w:eastAsia="Calibri" w:hAnsi="Times New Roman" w:cs="Calibri"/>
          <w:sz w:val="24"/>
        </w:rPr>
        <w:t>paugurmasīvu</w:t>
      </w:r>
      <w:proofErr w:type="spellEnd"/>
      <w:r w:rsidR="00E5392D" w:rsidRPr="00A07F29">
        <w:rPr>
          <w:rFonts w:ascii="Times New Roman" w:eastAsia="Calibri" w:hAnsi="Times New Roman" w:cs="Calibri"/>
          <w:sz w:val="24"/>
        </w:rPr>
        <w:t xml:space="preserve"> reljefu stiepjas no </w:t>
      </w:r>
      <w:r w:rsidR="00262FF7">
        <w:rPr>
          <w:rFonts w:ascii="Times New Roman" w:eastAsia="Calibri" w:hAnsi="Times New Roman" w:cs="Calibri"/>
          <w:sz w:val="24"/>
        </w:rPr>
        <w:t>ZA</w:t>
      </w:r>
      <w:r w:rsidR="00E5392D" w:rsidRPr="00A07F29">
        <w:rPr>
          <w:rFonts w:ascii="Times New Roman" w:eastAsia="Calibri" w:hAnsi="Times New Roman" w:cs="Calibri"/>
          <w:sz w:val="24"/>
        </w:rPr>
        <w:t xml:space="preserve"> uz </w:t>
      </w:r>
      <w:r w:rsidR="00262FF7">
        <w:rPr>
          <w:rFonts w:ascii="Times New Roman" w:eastAsia="Calibri" w:hAnsi="Times New Roman" w:cs="Calibri"/>
          <w:sz w:val="24"/>
        </w:rPr>
        <w:t>DR</w:t>
      </w:r>
      <w:r w:rsidR="00E5392D" w:rsidRPr="00A07F29">
        <w:rPr>
          <w:rFonts w:ascii="Times New Roman" w:eastAsia="Calibri" w:hAnsi="Times New Roman" w:cs="Calibri"/>
          <w:sz w:val="24"/>
        </w:rPr>
        <w:t xml:space="preserve">. Šīs joslas ietvaros </w:t>
      </w:r>
      <w:proofErr w:type="spellStart"/>
      <w:r w:rsidR="00E5392D" w:rsidRPr="00A07F29">
        <w:rPr>
          <w:rFonts w:ascii="Times New Roman" w:eastAsia="Calibri" w:hAnsi="Times New Roman" w:cs="Calibri"/>
          <w:sz w:val="24"/>
        </w:rPr>
        <w:t>ģeomorfoloģiski</w:t>
      </w:r>
      <w:proofErr w:type="spellEnd"/>
      <w:r w:rsidR="00E5392D" w:rsidRPr="00A07F29">
        <w:rPr>
          <w:rFonts w:ascii="Times New Roman" w:eastAsia="Calibri" w:hAnsi="Times New Roman" w:cs="Calibri"/>
          <w:sz w:val="24"/>
        </w:rPr>
        <w:t xml:space="preserve"> atrodas ainavu apvidus centrālā daļa. Daugavas ielejas labā krasta nogāzei piegulošajā teritorijā šī </w:t>
      </w:r>
      <w:proofErr w:type="spellStart"/>
      <w:r w:rsidR="00E5392D" w:rsidRPr="00A07F29">
        <w:rPr>
          <w:rFonts w:ascii="Times New Roman" w:eastAsia="Calibri" w:hAnsi="Times New Roman" w:cs="Calibri"/>
          <w:sz w:val="24"/>
        </w:rPr>
        <w:t>hipsometriski</w:t>
      </w:r>
      <w:proofErr w:type="spellEnd"/>
      <w:r w:rsidR="00E5392D" w:rsidRPr="00A07F29">
        <w:rPr>
          <w:rFonts w:ascii="Times New Roman" w:eastAsia="Calibri" w:hAnsi="Times New Roman" w:cs="Calibri"/>
          <w:sz w:val="24"/>
        </w:rPr>
        <w:t xml:space="preserve"> visaugstāk novietoto reljefa </w:t>
      </w:r>
      <w:proofErr w:type="spellStart"/>
      <w:r w:rsidR="00E5392D" w:rsidRPr="00A07F29">
        <w:rPr>
          <w:rFonts w:ascii="Times New Roman" w:eastAsia="Calibri" w:hAnsi="Times New Roman" w:cs="Calibri"/>
          <w:sz w:val="24"/>
        </w:rPr>
        <w:t>vidējformu</w:t>
      </w:r>
      <w:proofErr w:type="spellEnd"/>
      <w:r w:rsidR="00E5392D" w:rsidRPr="00A07F29">
        <w:rPr>
          <w:rFonts w:ascii="Times New Roman" w:eastAsia="Calibri" w:hAnsi="Times New Roman" w:cs="Calibri"/>
          <w:sz w:val="24"/>
        </w:rPr>
        <w:t xml:space="preserve"> josla stiepjas Sauleskalna – </w:t>
      </w:r>
      <w:proofErr w:type="spellStart"/>
      <w:r w:rsidR="00E5392D" w:rsidRPr="00A07F29">
        <w:rPr>
          <w:rFonts w:ascii="Times New Roman" w:eastAsia="Calibri" w:hAnsi="Times New Roman" w:cs="Calibri"/>
          <w:sz w:val="24"/>
        </w:rPr>
        <w:t>Bancānu</w:t>
      </w:r>
      <w:proofErr w:type="spellEnd"/>
      <w:r w:rsidR="00E5392D" w:rsidRPr="00A07F29">
        <w:rPr>
          <w:rFonts w:ascii="Times New Roman" w:eastAsia="Calibri" w:hAnsi="Times New Roman" w:cs="Calibri"/>
          <w:sz w:val="24"/>
        </w:rPr>
        <w:t xml:space="preserve"> virzienā gar </w:t>
      </w:r>
      <w:proofErr w:type="spellStart"/>
      <w:r w:rsidR="00E5392D" w:rsidRPr="00A07F29">
        <w:rPr>
          <w:rFonts w:ascii="Times New Roman" w:eastAsia="Calibri" w:hAnsi="Times New Roman" w:cs="Calibri"/>
          <w:sz w:val="24"/>
        </w:rPr>
        <w:t>Rudņas</w:t>
      </w:r>
      <w:proofErr w:type="spellEnd"/>
      <w:r w:rsidR="00E5392D" w:rsidRPr="00A07F29">
        <w:rPr>
          <w:rFonts w:ascii="Times New Roman" w:eastAsia="Calibri" w:hAnsi="Times New Roman" w:cs="Calibri"/>
          <w:sz w:val="24"/>
        </w:rPr>
        <w:t xml:space="preserve"> upes ielejas kreiso krastu, un </w:t>
      </w:r>
      <w:r w:rsidRPr="00A07F29">
        <w:rPr>
          <w:rFonts w:ascii="Times New Roman" w:eastAsia="Calibri" w:hAnsi="Times New Roman" w:cs="Calibri"/>
          <w:sz w:val="24"/>
        </w:rPr>
        <w:t xml:space="preserve">AAA </w:t>
      </w:r>
      <w:r w:rsidR="00A72109" w:rsidRPr="00A07F29">
        <w:rPr>
          <w:rFonts w:ascii="Times New Roman" w:eastAsia="Calibri" w:hAnsi="Times New Roman" w:cs="Calibri"/>
          <w:sz w:val="24"/>
        </w:rPr>
        <w:t>“</w:t>
      </w:r>
      <w:r w:rsidRPr="00A07F29">
        <w:rPr>
          <w:rFonts w:ascii="Times New Roman" w:eastAsia="Calibri" w:hAnsi="Times New Roman" w:cs="Calibri"/>
          <w:sz w:val="24"/>
        </w:rPr>
        <w:t xml:space="preserve">Augšdaugava” </w:t>
      </w:r>
      <w:r w:rsidR="00E5392D" w:rsidRPr="00A07F29">
        <w:rPr>
          <w:rFonts w:ascii="Times New Roman" w:eastAsia="Calibri" w:hAnsi="Times New Roman" w:cs="Calibri"/>
          <w:sz w:val="24"/>
        </w:rPr>
        <w:t xml:space="preserve">aizņem teritoriju posmā no Krāslavas līdz Mazajiem Muļķiem. Daugavas ielejas kreisā krasta nogāzei piegulošajā teritorijā šī josla turpinās virzienā uz </w:t>
      </w:r>
      <w:r w:rsidR="00262FF7">
        <w:rPr>
          <w:rFonts w:ascii="Times New Roman" w:eastAsia="Calibri" w:hAnsi="Times New Roman" w:cs="Calibri"/>
          <w:sz w:val="24"/>
        </w:rPr>
        <w:t>DA</w:t>
      </w:r>
      <w:r w:rsidR="00E5392D" w:rsidRPr="00A07F29">
        <w:rPr>
          <w:rFonts w:ascii="Times New Roman" w:eastAsia="Calibri" w:hAnsi="Times New Roman" w:cs="Calibri"/>
          <w:sz w:val="24"/>
        </w:rPr>
        <w:t xml:space="preserve"> </w:t>
      </w:r>
      <w:proofErr w:type="spellStart"/>
      <w:r w:rsidR="00E5392D" w:rsidRPr="00A07F29">
        <w:rPr>
          <w:rFonts w:ascii="Times New Roman" w:eastAsia="Calibri" w:hAnsi="Times New Roman" w:cs="Calibri"/>
          <w:sz w:val="24"/>
        </w:rPr>
        <w:t>Faļtopu</w:t>
      </w:r>
      <w:proofErr w:type="spellEnd"/>
      <w:r w:rsidR="00E5392D" w:rsidRPr="00A07F29">
        <w:rPr>
          <w:rFonts w:ascii="Times New Roman" w:eastAsia="Calibri" w:hAnsi="Times New Roman" w:cs="Calibri"/>
          <w:sz w:val="24"/>
        </w:rPr>
        <w:t xml:space="preserve"> – Salienas virzienā un aizņem teritoriju posmā starp </w:t>
      </w:r>
      <w:proofErr w:type="spellStart"/>
      <w:r w:rsidR="00E5392D" w:rsidRPr="00A07F29">
        <w:rPr>
          <w:rFonts w:ascii="Times New Roman" w:eastAsia="Calibri" w:hAnsi="Times New Roman" w:cs="Calibri"/>
          <w:sz w:val="24"/>
        </w:rPr>
        <w:t>Jaunborni</w:t>
      </w:r>
      <w:proofErr w:type="spellEnd"/>
      <w:r w:rsidR="00E5392D" w:rsidRPr="00A07F29">
        <w:rPr>
          <w:rFonts w:ascii="Times New Roman" w:eastAsia="Calibri" w:hAnsi="Times New Roman" w:cs="Calibri"/>
          <w:sz w:val="24"/>
        </w:rPr>
        <w:t xml:space="preserve"> un </w:t>
      </w:r>
      <w:proofErr w:type="spellStart"/>
      <w:r w:rsidR="00E5392D" w:rsidRPr="00A07F29">
        <w:rPr>
          <w:rFonts w:ascii="Times New Roman" w:eastAsia="Calibri" w:hAnsi="Times New Roman" w:cs="Calibri"/>
          <w:sz w:val="24"/>
        </w:rPr>
        <w:t>Lazdukalniem</w:t>
      </w:r>
      <w:proofErr w:type="spellEnd"/>
      <w:r w:rsidR="00E5392D" w:rsidRPr="00A07F29">
        <w:rPr>
          <w:rFonts w:ascii="Times New Roman" w:eastAsia="Calibri" w:hAnsi="Times New Roman" w:cs="Calibri"/>
          <w:sz w:val="24"/>
        </w:rPr>
        <w:t>. Raksturīga šīs ass joslas zemes virsas iezīme ir 160</w:t>
      </w:r>
      <w:r w:rsidR="008A4821" w:rsidRPr="00A07F29">
        <w:rPr>
          <w:rFonts w:ascii="Times New Roman" w:eastAsia="Calibri" w:hAnsi="Times New Roman" w:cs="Calibri"/>
          <w:sz w:val="24"/>
        </w:rPr>
        <w:t> </w:t>
      </w:r>
      <w:r w:rsidR="00E5392D" w:rsidRPr="00A07F29">
        <w:rPr>
          <w:rFonts w:ascii="Times New Roman" w:eastAsia="Calibri" w:hAnsi="Times New Roman" w:cs="Calibri"/>
          <w:sz w:val="24"/>
        </w:rPr>
        <w:t>–</w:t>
      </w:r>
      <w:r w:rsidR="008A4821" w:rsidRPr="00A07F29">
        <w:rPr>
          <w:rFonts w:ascii="Times New Roman" w:eastAsia="Calibri" w:hAnsi="Times New Roman" w:cs="Calibri"/>
          <w:sz w:val="24"/>
        </w:rPr>
        <w:t> </w:t>
      </w:r>
      <w:r w:rsidR="00E5392D" w:rsidRPr="00A07F29">
        <w:rPr>
          <w:rFonts w:ascii="Times New Roman" w:eastAsia="Calibri" w:hAnsi="Times New Roman" w:cs="Calibri"/>
          <w:sz w:val="24"/>
        </w:rPr>
        <w:t>180</w:t>
      </w:r>
      <w:r w:rsidR="008A4821" w:rsidRPr="00A07F29">
        <w:rPr>
          <w:rFonts w:ascii="Times New Roman" w:eastAsia="Calibri" w:hAnsi="Times New Roman" w:cs="Calibri"/>
          <w:sz w:val="24"/>
        </w:rPr>
        <w:t> </w:t>
      </w:r>
      <w:r w:rsidR="00E5392D" w:rsidRPr="00A07F29">
        <w:rPr>
          <w:rFonts w:ascii="Times New Roman" w:eastAsia="Calibri" w:hAnsi="Times New Roman" w:cs="Calibri"/>
          <w:sz w:val="24"/>
        </w:rPr>
        <w:t xml:space="preserve">m </w:t>
      </w:r>
      <w:proofErr w:type="spellStart"/>
      <w:r w:rsidR="00E5392D" w:rsidRPr="00A07F29">
        <w:rPr>
          <w:rFonts w:ascii="Times New Roman" w:eastAsia="Calibri" w:hAnsi="Times New Roman" w:cs="Calibri"/>
          <w:sz w:val="24"/>
        </w:rPr>
        <w:t>vjl</w:t>
      </w:r>
      <w:proofErr w:type="spellEnd"/>
      <w:r w:rsidR="008A4821" w:rsidRPr="00A07F29">
        <w:rPr>
          <w:rFonts w:ascii="Times New Roman" w:eastAsia="Calibri" w:hAnsi="Times New Roman" w:cs="Calibri"/>
          <w:sz w:val="24"/>
        </w:rPr>
        <w:t>.</w:t>
      </w:r>
      <w:r w:rsidR="00E5392D" w:rsidRPr="00A07F29">
        <w:rPr>
          <w:rFonts w:ascii="Times New Roman" w:eastAsia="Calibri" w:hAnsi="Times New Roman" w:cs="Calibri"/>
          <w:sz w:val="24"/>
        </w:rPr>
        <w:t xml:space="preserve"> augstas, 1</w:t>
      </w:r>
      <w:r w:rsidR="008A4821" w:rsidRPr="00A07F29">
        <w:rPr>
          <w:rFonts w:ascii="Times New Roman" w:eastAsia="Calibri" w:hAnsi="Times New Roman" w:cs="Calibri"/>
          <w:sz w:val="24"/>
        </w:rPr>
        <w:t> – </w:t>
      </w:r>
      <w:r w:rsidR="00E5392D" w:rsidRPr="00A07F29">
        <w:rPr>
          <w:rFonts w:ascii="Times New Roman" w:eastAsia="Calibri" w:hAnsi="Times New Roman" w:cs="Calibri"/>
          <w:sz w:val="24"/>
        </w:rPr>
        <w:t>2</w:t>
      </w:r>
      <w:r w:rsidR="008A4821" w:rsidRPr="00A07F29">
        <w:rPr>
          <w:rFonts w:ascii="Times New Roman" w:eastAsia="Calibri" w:hAnsi="Times New Roman" w:cs="Calibri"/>
          <w:sz w:val="24"/>
        </w:rPr>
        <w:t> </w:t>
      </w:r>
      <w:r w:rsidR="00E5392D" w:rsidRPr="00A07F29">
        <w:rPr>
          <w:rFonts w:ascii="Times New Roman" w:eastAsia="Calibri" w:hAnsi="Times New Roman" w:cs="Calibri"/>
          <w:sz w:val="24"/>
        </w:rPr>
        <w:t xml:space="preserve">km platas </w:t>
      </w:r>
      <w:proofErr w:type="spellStart"/>
      <w:r w:rsidR="00E5392D" w:rsidRPr="00A07F29">
        <w:rPr>
          <w:rFonts w:ascii="Times New Roman" w:eastAsia="Calibri" w:hAnsi="Times New Roman" w:cs="Calibri"/>
          <w:sz w:val="24"/>
        </w:rPr>
        <w:t>paugurgrēdas</w:t>
      </w:r>
      <w:proofErr w:type="spellEnd"/>
      <w:r w:rsidR="00E5392D" w:rsidRPr="00A07F29">
        <w:rPr>
          <w:rFonts w:ascii="Times New Roman" w:eastAsia="Calibri" w:hAnsi="Times New Roman" w:cs="Calibri"/>
          <w:sz w:val="24"/>
        </w:rPr>
        <w:t xml:space="preserve"> ar </w:t>
      </w:r>
      <w:r w:rsidR="00E5392D" w:rsidRPr="00A07F29">
        <w:rPr>
          <w:rFonts w:ascii="Times New Roman" w:eastAsia="Calibri" w:hAnsi="Times New Roman" w:cs="Calibri"/>
          <w:sz w:val="24"/>
        </w:rPr>
        <w:lastRenderedPageBreak/>
        <w:t xml:space="preserve">atsevišķiem augstākiem pauguriem. Tieši šādi pauguri ir arī ainavu apvidus teritorijā vai tās tiešā tuvumā esošie zemes virsas visaugstākie punkti – </w:t>
      </w:r>
      <w:proofErr w:type="spellStart"/>
      <w:r w:rsidR="00E5392D" w:rsidRPr="00A07F29">
        <w:rPr>
          <w:rFonts w:ascii="Times New Roman" w:eastAsia="Calibri" w:hAnsi="Times New Roman" w:cs="Calibri"/>
          <w:sz w:val="24"/>
        </w:rPr>
        <w:t>Leibgora</w:t>
      </w:r>
      <w:proofErr w:type="spellEnd"/>
      <w:r w:rsidR="00E5392D" w:rsidRPr="00A07F29">
        <w:rPr>
          <w:rFonts w:ascii="Times New Roman" w:eastAsia="Calibri" w:hAnsi="Times New Roman" w:cs="Calibri"/>
          <w:sz w:val="24"/>
        </w:rPr>
        <w:t xml:space="preserve"> Salienas pagastā (182</w:t>
      </w:r>
      <w:r w:rsidR="00A11549" w:rsidRPr="00A07F29">
        <w:rPr>
          <w:rFonts w:ascii="Times New Roman" w:eastAsia="Calibri" w:hAnsi="Times New Roman" w:cs="Calibri"/>
          <w:sz w:val="24"/>
        </w:rPr>
        <w:t> </w:t>
      </w:r>
      <w:r w:rsidR="00E5392D" w:rsidRPr="00A07F29">
        <w:rPr>
          <w:rFonts w:ascii="Times New Roman" w:eastAsia="Calibri" w:hAnsi="Times New Roman" w:cs="Calibri"/>
          <w:sz w:val="24"/>
        </w:rPr>
        <w:t xml:space="preserve">m </w:t>
      </w:r>
      <w:proofErr w:type="spellStart"/>
      <w:r w:rsidR="00E5392D" w:rsidRPr="00A07F29">
        <w:rPr>
          <w:rFonts w:ascii="Times New Roman" w:eastAsia="Calibri" w:hAnsi="Times New Roman" w:cs="Calibri"/>
          <w:sz w:val="24"/>
        </w:rPr>
        <w:t>vjl</w:t>
      </w:r>
      <w:proofErr w:type="spellEnd"/>
      <w:r w:rsidR="00A11549" w:rsidRPr="00A07F29">
        <w:rPr>
          <w:rFonts w:ascii="Times New Roman" w:eastAsia="Calibri" w:hAnsi="Times New Roman" w:cs="Calibri"/>
          <w:sz w:val="24"/>
        </w:rPr>
        <w:t>.</w:t>
      </w:r>
      <w:r w:rsidR="00E5392D" w:rsidRPr="00A07F29">
        <w:rPr>
          <w:rFonts w:ascii="Times New Roman" w:eastAsia="Calibri" w:hAnsi="Times New Roman" w:cs="Calibri"/>
          <w:sz w:val="24"/>
        </w:rPr>
        <w:t>), 185,9</w:t>
      </w:r>
      <w:r w:rsidR="00A11549" w:rsidRPr="00A07F29">
        <w:rPr>
          <w:rFonts w:ascii="Times New Roman" w:eastAsia="Calibri" w:hAnsi="Times New Roman" w:cs="Calibri"/>
          <w:sz w:val="24"/>
        </w:rPr>
        <w:t> </w:t>
      </w:r>
      <w:r w:rsidR="00E5392D" w:rsidRPr="00A07F29">
        <w:rPr>
          <w:rFonts w:ascii="Times New Roman" w:eastAsia="Calibri" w:hAnsi="Times New Roman" w:cs="Calibri"/>
          <w:sz w:val="24"/>
        </w:rPr>
        <w:t xml:space="preserve">m </w:t>
      </w:r>
      <w:proofErr w:type="spellStart"/>
      <w:r w:rsidR="00E5392D" w:rsidRPr="00A07F29">
        <w:rPr>
          <w:rFonts w:ascii="Times New Roman" w:eastAsia="Calibri" w:hAnsi="Times New Roman" w:cs="Calibri"/>
          <w:sz w:val="24"/>
        </w:rPr>
        <w:t>vjl</w:t>
      </w:r>
      <w:proofErr w:type="spellEnd"/>
      <w:r w:rsidR="00A11549" w:rsidRPr="00A07F29">
        <w:rPr>
          <w:rFonts w:ascii="Times New Roman" w:eastAsia="Calibri" w:hAnsi="Times New Roman" w:cs="Calibri"/>
          <w:sz w:val="24"/>
        </w:rPr>
        <w:t>.</w:t>
      </w:r>
      <w:r w:rsidR="00E5392D" w:rsidRPr="00A07F29">
        <w:rPr>
          <w:rFonts w:ascii="Times New Roman" w:eastAsia="Calibri" w:hAnsi="Times New Roman" w:cs="Calibri"/>
          <w:sz w:val="24"/>
        </w:rPr>
        <w:t xml:space="preserve"> augsts pagurs uz </w:t>
      </w:r>
      <w:r w:rsidR="00262FF7">
        <w:rPr>
          <w:rFonts w:ascii="Times New Roman" w:eastAsia="Calibri" w:hAnsi="Times New Roman" w:cs="Calibri"/>
          <w:sz w:val="24"/>
        </w:rPr>
        <w:t>ZR</w:t>
      </w:r>
      <w:r w:rsidR="00E5392D" w:rsidRPr="00A07F29">
        <w:rPr>
          <w:rFonts w:ascii="Times New Roman" w:eastAsia="Calibri" w:hAnsi="Times New Roman" w:cs="Calibri"/>
          <w:sz w:val="24"/>
        </w:rPr>
        <w:t xml:space="preserve"> no Krāslavas, netālu no </w:t>
      </w:r>
      <w:proofErr w:type="spellStart"/>
      <w:r w:rsidR="00E5392D" w:rsidRPr="00A07F29">
        <w:rPr>
          <w:rFonts w:ascii="Times New Roman" w:eastAsia="Calibri" w:hAnsi="Times New Roman" w:cs="Calibri"/>
          <w:sz w:val="24"/>
        </w:rPr>
        <w:t>Bancānu</w:t>
      </w:r>
      <w:proofErr w:type="spellEnd"/>
      <w:r w:rsidR="00E5392D" w:rsidRPr="00A07F29">
        <w:rPr>
          <w:rFonts w:ascii="Times New Roman" w:eastAsia="Calibri" w:hAnsi="Times New Roman" w:cs="Calibri"/>
          <w:sz w:val="24"/>
        </w:rPr>
        <w:t xml:space="preserve"> sādžas, kā arī 188,2</w:t>
      </w:r>
      <w:r w:rsidR="0079248E" w:rsidRPr="00A07F29">
        <w:rPr>
          <w:rFonts w:ascii="Times New Roman" w:eastAsia="Calibri" w:hAnsi="Times New Roman" w:cs="Calibri"/>
          <w:sz w:val="24"/>
        </w:rPr>
        <w:t> </w:t>
      </w:r>
      <w:r w:rsidR="00E5392D" w:rsidRPr="00A07F29">
        <w:rPr>
          <w:rFonts w:ascii="Times New Roman" w:eastAsia="Calibri" w:hAnsi="Times New Roman" w:cs="Calibri"/>
          <w:sz w:val="24"/>
        </w:rPr>
        <w:t xml:space="preserve">m </w:t>
      </w:r>
      <w:proofErr w:type="spellStart"/>
      <w:r w:rsidR="00E5392D" w:rsidRPr="00A07F29">
        <w:rPr>
          <w:rFonts w:ascii="Times New Roman" w:eastAsia="Calibri" w:hAnsi="Times New Roman" w:cs="Calibri"/>
          <w:sz w:val="24"/>
        </w:rPr>
        <w:t>vjl</w:t>
      </w:r>
      <w:proofErr w:type="spellEnd"/>
      <w:r w:rsidR="0079248E" w:rsidRPr="00A07F29">
        <w:rPr>
          <w:rFonts w:ascii="Times New Roman" w:eastAsia="Calibri" w:hAnsi="Times New Roman" w:cs="Calibri"/>
          <w:sz w:val="24"/>
        </w:rPr>
        <w:t>.</w:t>
      </w:r>
      <w:r w:rsidR="00E5392D" w:rsidRPr="00A07F29">
        <w:rPr>
          <w:rFonts w:ascii="Times New Roman" w:eastAsia="Calibri" w:hAnsi="Times New Roman" w:cs="Calibri"/>
          <w:sz w:val="24"/>
        </w:rPr>
        <w:t xml:space="preserve"> augsts pagurs uz </w:t>
      </w:r>
      <w:r w:rsidR="00262FF7">
        <w:rPr>
          <w:rFonts w:ascii="Times New Roman" w:eastAsia="Calibri" w:hAnsi="Times New Roman" w:cs="Calibri"/>
          <w:sz w:val="24"/>
        </w:rPr>
        <w:t>DA</w:t>
      </w:r>
      <w:r w:rsidR="00E5392D" w:rsidRPr="00A07F29">
        <w:rPr>
          <w:rFonts w:ascii="Times New Roman" w:eastAsia="Calibri" w:hAnsi="Times New Roman" w:cs="Calibri"/>
          <w:sz w:val="24"/>
        </w:rPr>
        <w:t xml:space="preserve"> no Lielo Muļķu sādžas.</w:t>
      </w:r>
    </w:p>
    <w:p w14:paraId="617ECB28" w14:textId="0A434049" w:rsidR="00E5392D" w:rsidRPr="00A07F29" w:rsidRDefault="00E5392D" w:rsidP="00402A6B">
      <w:pPr>
        <w:spacing w:after="120" w:line="240" w:lineRule="auto"/>
        <w:ind w:firstLine="851"/>
        <w:jc w:val="both"/>
        <w:rPr>
          <w:rFonts w:ascii="Times New Roman" w:eastAsia="Calibri" w:hAnsi="Times New Roman" w:cs="Calibri"/>
          <w:sz w:val="24"/>
        </w:rPr>
      </w:pPr>
      <w:proofErr w:type="spellStart"/>
      <w:r w:rsidRPr="00A07F29">
        <w:rPr>
          <w:rFonts w:ascii="Times New Roman" w:eastAsia="Calibri" w:hAnsi="Times New Roman" w:cs="Calibri"/>
          <w:sz w:val="24"/>
        </w:rPr>
        <w:t>Paugurgrēdas</w:t>
      </w:r>
      <w:proofErr w:type="spellEnd"/>
      <w:r w:rsidRPr="00A07F29">
        <w:rPr>
          <w:rFonts w:ascii="Times New Roman" w:eastAsia="Calibri" w:hAnsi="Times New Roman" w:cs="Calibri"/>
          <w:sz w:val="24"/>
        </w:rPr>
        <w:t xml:space="preserve"> izvietojušās joslu veidā, aptuveni fiksējot kādreizējo ledāja malas zonas stāvokli. Trīs šāda marginālā reljefa joslas (</w:t>
      </w:r>
      <w:proofErr w:type="spellStart"/>
      <w:r w:rsidRPr="00A07F29">
        <w:rPr>
          <w:rFonts w:ascii="Times New Roman" w:eastAsia="Calibri" w:hAnsi="Times New Roman" w:cs="Calibri"/>
          <w:sz w:val="24"/>
        </w:rPr>
        <w:t>Bornes</w:t>
      </w:r>
      <w:proofErr w:type="spellEnd"/>
      <w:r w:rsidRPr="00A07F29">
        <w:rPr>
          <w:rFonts w:ascii="Times New Roman" w:eastAsia="Calibri" w:hAnsi="Times New Roman" w:cs="Calibri"/>
          <w:sz w:val="24"/>
        </w:rPr>
        <w:t xml:space="preserve">, Skrudalienas un </w:t>
      </w:r>
      <w:proofErr w:type="spellStart"/>
      <w:r w:rsidRPr="00A07F29">
        <w:rPr>
          <w:rFonts w:ascii="Times New Roman" w:eastAsia="Calibri" w:hAnsi="Times New Roman" w:cs="Calibri"/>
          <w:sz w:val="24"/>
        </w:rPr>
        <w:t>Elernes</w:t>
      </w:r>
      <w:proofErr w:type="spellEnd"/>
      <w:r w:rsidRPr="00A07F29">
        <w:rPr>
          <w:rFonts w:ascii="Times New Roman" w:eastAsia="Calibri" w:hAnsi="Times New Roman" w:cs="Calibri"/>
          <w:sz w:val="24"/>
        </w:rPr>
        <w:t>) skaidri iezīmējas Augšzemes augstienē, bet to turpinājums aiz Daugavas ielejas, izsekojams arī Latgales augstienē. Tādejādi iepriekš minētā augstieņu ass zona un tai piegulošā teritorija ir uzskatāmas par marginālā reljefa kompleksu (</w:t>
      </w:r>
      <w:proofErr w:type="spellStart"/>
      <w:r w:rsidRPr="00A07F29">
        <w:rPr>
          <w:rFonts w:ascii="Times New Roman" w:eastAsia="Calibri" w:hAnsi="Times New Roman" w:cs="Calibri"/>
          <w:sz w:val="24"/>
        </w:rPr>
        <w:t>Eberhards</w:t>
      </w:r>
      <w:proofErr w:type="spellEnd"/>
      <w:r w:rsidR="009A733D" w:rsidRPr="00A07F29">
        <w:rPr>
          <w:rFonts w:ascii="Times New Roman" w:eastAsia="Calibri" w:hAnsi="Times New Roman" w:cs="Calibri"/>
          <w:sz w:val="24"/>
        </w:rPr>
        <w:t xml:space="preserve"> G.,</w:t>
      </w:r>
      <w:r w:rsidRPr="00A07F29">
        <w:rPr>
          <w:rFonts w:ascii="Times New Roman" w:eastAsia="Calibri" w:hAnsi="Times New Roman" w:cs="Calibri"/>
          <w:sz w:val="24"/>
        </w:rPr>
        <w:t xml:space="preserve"> 1991; Āboltiņš</w:t>
      </w:r>
      <w:r w:rsidR="009A733D" w:rsidRPr="00A07F29">
        <w:rPr>
          <w:rFonts w:ascii="Times New Roman" w:eastAsia="Calibri" w:hAnsi="Times New Roman" w:cs="Calibri"/>
          <w:sz w:val="24"/>
        </w:rPr>
        <w:t xml:space="preserve"> O.,</w:t>
      </w:r>
      <w:r w:rsidRPr="00A07F29">
        <w:rPr>
          <w:rFonts w:ascii="Times New Roman" w:eastAsia="Calibri" w:hAnsi="Times New Roman" w:cs="Calibri"/>
          <w:sz w:val="24"/>
        </w:rPr>
        <w:t xml:space="preserve"> 1994 un 1995).</w:t>
      </w:r>
    </w:p>
    <w:p w14:paraId="5844B6FD" w14:textId="7B1D7129" w:rsidR="00E5392D" w:rsidRPr="00A07F29" w:rsidRDefault="00E5392D" w:rsidP="00402A6B">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AAA </w:t>
      </w:r>
      <w:r w:rsidR="009A733D" w:rsidRPr="00A07F29">
        <w:rPr>
          <w:rFonts w:ascii="Times New Roman" w:eastAsia="Calibri" w:hAnsi="Times New Roman" w:cs="Calibri"/>
          <w:sz w:val="24"/>
        </w:rPr>
        <w:t>“</w:t>
      </w:r>
      <w:r w:rsidRPr="00A07F29">
        <w:rPr>
          <w:rFonts w:ascii="Times New Roman" w:eastAsia="Calibri" w:hAnsi="Times New Roman" w:cs="Calibri"/>
          <w:sz w:val="24"/>
        </w:rPr>
        <w:t xml:space="preserve">Augšdaugava” teritorijā Daugavas ielejas labā krasta nogāzei piegulošajā Dagdas </w:t>
      </w:r>
      <w:proofErr w:type="spellStart"/>
      <w:r w:rsidRPr="00A07F29">
        <w:rPr>
          <w:rFonts w:ascii="Times New Roman" w:eastAsia="Calibri" w:hAnsi="Times New Roman" w:cs="Calibri"/>
          <w:sz w:val="24"/>
        </w:rPr>
        <w:t>pauguraines</w:t>
      </w:r>
      <w:proofErr w:type="spellEnd"/>
      <w:r w:rsidRPr="00A07F29">
        <w:rPr>
          <w:rFonts w:ascii="Times New Roman" w:eastAsia="Calibri" w:hAnsi="Times New Roman" w:cs="Calibri"/>
          <w:sz w:val="24"/>
        </w:rPr>
        <w:t xml:space="preserve"> joslā starp Krāslavu un Mazajiem Muļķiem, no Daugavpils – Krāslavas šosejas līdz pat ielejai, izņemot atsevišķus nelielus, viļņotus līdzenumu fragmentus, raksturīgs </w:t>
      </w:r>
      <w:proofErr w:type="spellStart"/>
      <w:r w:rsidRPr="00A07F29">
        <w:rPr>
          <w:rFonts w:ascii="Times New Roman" w:eastAsia="Calibri" w:hAnsi="Times New Roman" w:cs="Calibri"/>
          <w:sz w:val="24"/>
        </w:rPr>
        <w:t>ledājkušanas</w:t>
      </w:r>
      <w:proofErr w:type="spellEnd"/>
      <w:r w:rsidRPr="00A07F29">
        <w:rPr>
          <w:rFonts w:ascii="Times New Roman" w:eastAsia="Calibri" w:hAnsi="Times New Roman" w:cs="Calibri"/>
          <w:sz w:val="24"/>
        </w:rPr>
        <w:t xml:space="preserve"> ūdeņu veidots </w:t>
      </w:r>
      <w:proofErr w:type="spellStart"/>
      <w:r w:rsidRPr="00A07F29">
        <w:rPr>
          <w:rFonts w:ascii="Times New Roman" w:eastAsia="Calibri" w:hAnsi="Times New Roman" w:cs="Calibri"/>
          <w:sz w:val="24"/>
        </w:rPr>
        <w:t>vidējpauguru</w:t>
      </w:r>
      <w:proofErr w:type="spellEnd"/>
      <w:r w:rsidRPr="00A07F29">
        <w:rPr>
          <w:rFonts w:ascii="Times New Roman" w:eastAsia="Calibri" w:hAnsi="Times New Roman" w:cs="Calibri"/>
          <w:sz w:val="24"/>
        </w:rPr>
        <w:t xml:space="preserve"> un </w:t>
      </w:r>
      <w:proofErr w:type="spellStart"/>
      <w:r w:rsidRPr="00A07F29">
        <w:rPr>
          <w:rFonts w:ascii="Times New Roman" w:eastAsia="Calibri" w:hAnsi="Times New Roman" w:cs="Calibri"/>
          <w:sz w:val="24"/>
        </w:rPr>
        <w:t>sīkpauguru</w:t>
      </w:r>
      <w:proofErr w:type="spellEnd"/>
      <w:r w:rsidRPr="00A07F29">
        <w:rPr>
          <w:rFonts w:ascii="Times New Roman" w:eastAsia="Calibri" w:hAnsi="Times New Roman" w:cs="Calibri"/>
          <w:sz w:val="24"/>
        </w:rPr>
        <w:t xml:space="preserve"> reljefs ar dziļām </w:t>
      </w:r>
      <w:proofErr w:type="spellStart"/>
      <w:r w:rsidRPr="00A07F29">
        <w:rPr>
          <w:rFonts w:ascii="Times New Roman" w:eastAsia="Calibri" w:hAnsi="Times New Roman" w:cs="Calibri"/>
          <w:sz w:val="24"/>
        </w:rPr>
        <w:t>glaciokarsta</w:t>
      </w:r>
      <w:proofErr w:type="spellEnd"/>
      <w:r w:rsidRPr="00A07F29">
        <w:rPr>
          <w:rFonts w:ascii="Times New Roman" w:eastAsia="Calibri" w:hAnsi="Times New Roman" w:cs="Calibri"/>
          <w:sz w:val="24"/>
        </w:rPr>
        <w:t xml:space="preserve"> ieplakām, kas ir tipisks </w:t>
      </w:r>
      <w:proofErr w:type="spellStart"/>
      <w:r w:rsidRPr="00A07F29">
        <w:rPr>
          <w:rFonts w:ascii="Times New Roman" w:eastAsia="Calibri" w:hAnsi="Times New Roman" w:cs="Calibri"/>
          <w:sz w:val="24"/>
        </w:rPr>
        <w:t>kēmu</w:t>
      </w:r>
      <w:proofErr w:type="spellEnd"/>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sz w:val="24"/>
        </w:rPr>
        <w:t>paugurainēm</w:t>
      </w:r>
      <w:proofErr w:type="spellEnd"/>
      <w:r w:rsidRPr="00A07F29">
        <w:rPr>
          <w:rFonts w:ascii="Times New Roman" w:eastAsia="Calibri" w:hAnsi="Times New Roman" w:cs="Calibri"/>
          <w:sz w:val="24"/>
        </w:rPr>
        <w:t xml:space="preserve">. </w:t>
      </w:r>
    </w:p>
    <w:p w14:paraId="5F2CF29B" w14:textId="647F469E" w:rsidR="00E5392D" w:rsidRPr="00A07F29" w:rsidRDefault="00E5392D" w:rsidP="00402A6B">
      <w:pPr>
        <w:spacing w:after="120" w:line="240" w:lineRule="auto"/>
        <w:ind w:firstLine="851"/>
        <w:jc w:val="both"/>
        <w:rPr>
          <w:rFonts w:ascii="Times New Roman" w:eastAsia="Calibri" w:hAnsi="Times New Roman" w:cs="Calibri"/>
          <w:sz w:val="24"/>
        </w:rPr>
      </w:pPr>
      <w:proofErr w:type="spellStart"/>
      <w:r w:rsidRPr="00A07F29">
        <w:rPr>
          <w:rFonts w:ascii="Times New Roman" w:eastAsia="Calibri" w:hAnsi="Times New Roman" w:cs="Calibri"/>
          <w:sz w:val="24"/>
        </w:rPr>
        <w:t>Kēmu</w:t>
      </w:r>
      <w:proofErr w:type="spellEnd"/>
      <w:r w:rsidRPr="00A07F29">
        <w:rPr>
          <w:rFonts w:ascii="Times New Roman" w:eastAsia="Calibri" w:hAnsi="Times New Roman" w:cs="Calibri"/>
          <w:sz w:val="24"/>
        </w:rPr>
        <w:t xml:space="preserve"> reljefs stiepjas arī joslā gar Daugavas ieleju Augšzemes pusē, Skrudalienas </w:t>
      </w:r>
      <w:proofErr w:type="spellStart"/>
      <w:r w:rsidRPr="00A07F29">
        <w:rPr>
          <w:rFonts w:ascii="Times New Roman" w:eastAsia="Calibri" w:hAnsi="Times New Roman" w:cs="Calibri"/>
          <w:sz w:val="24"/>
        </w:rPr>
        <w:t>paugurainē</w:t>
      </w:r>
      <w:proofErr w:type="spellEnd"/>
      <w:r w:rsidRPr="00A07F29">
        <w:rPr>
          <w:rFonts w:ascii="Times New Roman" w:eastAsia="Calibri" w:hAnsi="Times New Roman" w:cs="Calibri"/>
          <w:sz w:val="24"/>
        </w:rPr>
        <w:t xml:space="preserve"> iepretī </w:t>
      </w:r>
      <w:proofErr w:type="spellStart"/>
      <w:r w:rsidRPr="00A07F29">
        <w:rPr>
          <w:rFonts w:ascii="Times New Roman" w:eastAsia="Calibri" w:hAnsi="Times New Roman" w:cs="Calibri"/>
          <w:sz w:val="24"/>
        </w:rPr>
        <w:t>Skerškānu</w:t>
      </w:r>
      <w:proofErr w:type="spellEnd"/>
      <w:r w:rsidRPr="00A07F29">
        <w:rPr>
          <w:rFonts w:ascii="Times New Roman" w:eastAsia="Calibri" w:hAnsi="Times New Roman" w:cs="Calibri"/>
          <w:sz w:val="24"/>
        </w:rPr>
        <w:t xml:space="preserve"> loka virsotnei un izsekojams gandrīz līdz </w:t>
      </w:r>
      <w:proofErr w:type="spellStart"/>
      <w:r w:rsidRPr="00A07F29">
        <w:rPr>
          <w:rFonts w:ascii="Times New Roman" w:eastAsia="Calibri" w:hAnsi="Times New Roman" w:cs="Calibri"/>
          <w:sz w:val="24"/>
        </w:rPr>
        <w:t>Ščerbu</w:t>
      </w:r>
      <w:proofErr w:type="spellEnd"/>
      <w:r w:rsidRPr="00A07F29">
        <w:rPr>
          <w:rFonts w:ascii="Times New Roman" w:eastAsia="Calibri" w:hAnsi="Times New Roman" w:cs="Calibri"/>
          <w:sz w:val="24"/>
        </w:rPr>
        <w:t xml:space="preserve"> mājām, kur to vietām aizstāj plaši morēnas pauguri, kas pieslēdzas </w:t>
      </w:r>
      <w:proofErr w:type="spellStart"/>
      <w:r w:rsidRPr="00A07F29">
        <w:rPr>
          <w:rFonts w:ascii="Times New Roman" w:eastAsia="Calibri" w:hAnsi="Times New Roman" w:cs="Calibri"/>
          <w:sz w:val="24"/>
        </w:rPr>
        <w:t>Bornes</w:t>
      </w:r>
      <w:proofErr w:type="spellEnd"/>
      <w:r w:rsidRPr="00A07F29">
        <w:rPr>
          <w:rFonts w:ascii="Times New Roman" w:eastAsia="Calibri" w:hAnsi="Times New Roman" w:cs="Calibri"/>
          <w:sz w:val="24"/>
        </w:rPr>
        <w:t xml:space="preserve"> marginālās joslas veidojumiem. Šīs joslas morfoloģiski raksturīgākā daļa atrodas ārpus AAA </w:t>
      </w:r>
      <w:r w:rsidR="00A63F5C" w:rsidRPr="00A07F29">
        <w:rPr>
          <w:rFonts w:ascii="Times New Roman" w:eastAsia="Calibri" w:hAnsi="Times New Roman" w:cs="Calibri"/>
          <w:sz w:val="24"/>
        </w:rPr>
        <w:t>“</w:t>
      </w:r>
      <w:r w:rsidRPr="00A07F29">
        <w:rPr>
          <w:rFonts w:ascii="Times New Roman" w:eastAsia="Calibri" w:hAnsi="Times New Roman" w:cs="Calibri"/>
          <w:sz w:val="24"/>
        </w:rPr>
        <w:t xml:space="preserve">Augšdaugava” teritorijas, bet tās ietvaros vērojami iegareni </w:t>
      </w:r>
      <w:proofErr w:type="spellStart"/>
      <w:r w:rsidRPr="00A07F29">
        <w:rPr>
          <w:rFonts w:ascii="Times New Roman" w:eastAsia="Calibri" w:hAnsi="Times New Roman" w:cs="Calibri"/>
          <w:sz w:val="24"/>
        </w:rPr>
        <w:t>vaļņveida</w:t>
      </w:r>
      <w:proofErr w:type="spellEnd"/>
      <w:r w:rsidRPr="00A07F29">
        <w:rPr>
          <w:rFonts w:ascii="Times New Roman" w:eastAsia="Calibri" w:hAnsi="Times New Roman" w:cs="Calibri"/>
          <w:sz w:val="24"/>
        </w:rPr>
        <w:t xml:space="preserve"> pauguri, lēzeni vaļņi vai grēdas, kas sastāv no </w:t>
      </w:r>
      <w:proofErr w:type="spellStart"/>
      <w:r w:rsidRPr="00A07F29">
        <w:rPr>
          <w:rFonts w:ascii="Times New Roman" w:eastAsia="Calibri" w:hAnsi="Times New Roman" w:cs="Calibri"/>
          <w:sz w:val="24"/>
        </w:rPr>
        <w:t>glaciotektoniski</w:t>
      </w:r>
      <w:proofErr w:type="spellEnd"/>
      <w:r w:rsidRPr="00A07F29">
        <w:rPr>
          <w:rFonts w:ascii="Times New Roman" w:eastAsia="Calibri" w:hAnsi="Times New Roman" w:cs="Calibri"/>
          <w:sz w:val="24"/>
        </w:rPr>
        <w:t xml:space="preserve"> deformēta morēnas smilšmāla vai arī smilšu un grants materiāla (Āboltiņš</w:t>
      </w:r>
      <w:r w:rsidR="0048035E" w:rsidRPr="00A07F29">
        <w:rPr>
          <w:rFonts w:ascii="Times New Roman" w:eastAsia="Calibri" w:hAnsi="Times New Roman" w:cs="Calibri"/>
          <w:sz w:val="24"/>
        </w:rPr>
        <w:t xml:space="preserve"> O.,</w:t>
      </w:r>
      <w:r w:rsidRPr="00A07F29">
        <w:rPr>
          <w:rFonts w:ascii="Times New Roman" w:eastAsia="Calibri" w:hAnsi="Times New Roman" w:cs="Calibri"/>
          <w:sz w:val="24"/>
        </w:rPr>
        <w:t xml:space="preserve"> 1989). </w:t>
      </w:r>
      <w:proofErr w:type="spellStart"/>
      <w:r w:rsidRPr="00A07F29">
        <w:rPr>
          <w:rFonts w:ascii="Times New Roman" w:eastAsia="Calibri" w:hAnsi="Times New Roman" w:cs="Calibri"/>
          <w:sz w:val="24"/>
        </w:rPr>
        <w:t>Bornes</w:t>
      </w:r>
      <w:proofErr w:type="spellEnd"/>
      <w:r w:rsidRPr="00A07F29">
        <w:rPr>
          <w:rFonts w:ascii="Times New Roman" w:eastAsia="Calibri" w:hAnsi="Times New Roman" w:cs="Calibri"/>
          <w:sz w:val="24"/>
        </w:rPr>
        <w:t xml:space="preserve"> joslas turpinājums Daugavas ielejai pretējā pusē, t.i. Latgales augstienē paralēli </w:t>
      </w:r>
      <w:proofErr w:type="spellStart"/>
      <w:r w:rsidRPr="00A07F29">
        <w:rPr>
          <w:rFonts w:ascii="Times New Roman" w:eastAsia="Calibri" w:hAnsi="Times New Roman" w:cs="Calibri"/>
          <w:sz w:val="24"/>
        </w:rPr>
        <w:t>Rudņas</w:t>
      </w:r>
      <w:proofErr w:type="spellEnd"/>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sz w:val="24"/>
        </w:rPr>
        <w:t>ielejveida</w:t>
      </w:r>
      <w:proofErr w:type="spellEnd"/>
      <w:r w:rsidRPr="00A07F29">
        <w:rPr>
          <w:rFonts w:ascii="Times New Roman" w:eastAsia="Calibri" w:hAnsi="Times New Roman" w:cs="Calibri"/>
          <w:sz w:val="24"/>
        </w:rPr>
        <w:t xml:space="preserve"> pazeminājumam ir izteiksmīgāks, ar ievērojamām vertikālā </w:t>
      </w:r>
      <w:proofErr w:type="spellStart"/>
      <w:r w:rsidRPr="00A07F29">
        <w:rPr>
          <w:rFonts w:ascii="Times New Roman" w:eastAsia="Calibri" w:hAnsi="Times New Roman" w:cs="Calibri"/>
          <w:sz w:val="24"/>
        </w:rPr>
        <w:t>saposmojuma</w:t>
      </w:r>
      <w:proofErr w:type="spellEnd"/>
      <w:r w:rsidRPr="00A07F29">
        <w:rPr>
          <w:rFonts w:ascii="Times New Roman" w:eastAsia="Calibri" w:hAnsi="Times New Roman" w:cs="Calibri"/>
          <w:sz w:val="24"/>
        </w:rPr>
        <w:t xml:space="preserve"> vērtībām. </w:t>
      </w:r>
      <w:proofErr w:type="spellStart"/>
      <w:r w:rsidRPr="00A07F29">
        <w:rPr>
          <w:rFonts w:ascii="Times New Roman" w:eastAsia="Calibri" w:hAnsi="Times New Roman" w:cs="Calibri"/>
          <w:sz w:val="24"/>
        </w:rPr>
        <w:t>Paugurgrēdu</w:t>
      </w:r>
      <w:proofErr w:type="spellEnd"/>
      <w:r w:rsidRPr="00A07F29">
        <w:rPr>
          <w:rFonts w:ascii="Times New Roman" w:eastAsia="Calibri" w:hAnsi="Times New Roman" w:cs="Calibri"/>
          <w:sz w:val="24"/>
        </w:rPr>
        <w:t xml:space="preserve"> relatīvais augstums </w:t>
      </w:r>
      <w:r w:rsidR="00262FF7">
        <w:rPr>
          <w:rFonts w:ascii="Times New Roman" w:eastAsia="Calibri" w:hAnsi="Times New Roman" w:cs="Calibri"/>
          <w:sz w:val="24"/>
        </w:rPr>
        <w:t>DA</w:t>
      </w:r>
      <w:r w:rsidRPr="00A07F29">
        <w:rPr>
          <w:rFonts w:ascii="Times New Roman" w:eastAsia="Calibri" w:hAnsi="Times New Roman" w:cs="Calibri"/>
          <w:sz w:val="24"/>
        </w:rPr>
        <w:t xml:space="preserve"> no Lielo Muļķu sādžas ir 25</w:t>
      </w:r>
      <w:r w:rsidR="00364690" w:rsidRPr="00A07F29">
        <w:rPr>
          <w:rFonts w:ascii="Times New Roman" w:eastAsia="Calibri" w:hAnsi="Times New Roman" w:cs="Calibri"/>
          <w:sz w:val="24"/>
        </w:rPr>
        <w:t> – </w:t>
      </w:r>
      <w:r w:rsidRPr="00A07F29">
        <w:rPr>
          <w:rFonts w:ascii="Times New Roman" w:eastAsia="Calibri" w:hAnsi="Times New Roman" w:cs="Calibri"/>
          <w:sz w:val="24"/>
        </w:rPr>
        <w:t>40</w:t>
      </w:r>
      <w:r w:rsidR="00364690" w:rsidRPr="00A07F29">
        <w:rPr>
          <w:rFonts w:ascii="Times New Roman" w:eastAsia="Calibri" w:hAnsi="Times New Roman" w:cs="Calibri"/>
          <w:sz w:val="24"/>
        </w:rPr>
        <w:t> </w:t>
      </w:r>
      <w:r w:rsidRPr="00A07F29">
        <w:rPr>
          <w:rFonts w:ascii="Times New Roman" w:eastAsia="Calibri" w:hAnsi="Times New Roman" w:cs="Calibri"/>
          <w:sz w:val="24"/>
        </w:rPr>
        <w:t>m, bet virsas absolūtās augstuma atzīmes sasniedz 188,2</w:t>
      </w:r>
      <w:r w:rsidR="00364690" w:rsidRPr="00A07F29">
        <w:rPr>
          <w:rFonts w:ascii="Times New Roman" w:eastAsia="Calibri" w:hAnsi="Times New Roman" w:cs="Calibri"/>
          <w:sz w:val="24"/>
        </w:rPr>
        <w:t> </w:t>
      </w:r>
      <w:r w:rsidRPr="00A07F29">
        <w:rPr>
          <w:rFonts w:ascii="Times New Roman" w:eastAsia="Calibri" w:hAnsi="Times New Roman" w:cs="Calibri"/>
          <w:sz w:val="24"/>
        </w:rPr>
        <w:t>m, t.i. maksimumu visai ainavu apvidus teritorijai.</w:t>
      </w:r>
    </w:p>
    <w:p w14:paraId="5A641752" w14:textId="017D6198" w:rsidR="00E5392D" w:rsidRPr="00A07F29" w:rsidRDefault="0DDE2253" w:rsidP="00402A6B">
      <w:pPr>
        <w:spacing w:after="120" w:line="240" w:lineRule="auto"/>
        <w:ind w:firstLine="851"/>
        <w:jc w:val="both"/>
        <w:rPr>
          <w:rFonts w:ascii="Times New Roman" w:eastAsia="Calibri" w:hAnsi="Times New Roman" w:cs="Calibri"/>
          <w:sz w:val="24"/>
          <w:szCs w:val="24"/>
        </w:rPr>
      </w:pPr>
      <w:r w:rsidRPr="00A07F29">
        <w:rPr>
          <w:rFonts w:ascii="Times New Roman" w:eastAsia="Calibri" w:hAnsi="Times New Roman" w:cs="Calibri"/>
          <w:sz w:val="24"/>
          <w:szCs w:val="24"/>
        </w:rPr>
        <w:t>ZR</w:t>
      </w:r>
      <w:r w:rsidR="00E5392D" w:rsidRPr="00A07F29">
        <w:rPr>
          <w:rFonts w:ascii="Times New Roman" w:eastAsia="Calibri" w:hAnsi="Times New Roman" w:cs="Calibri"/>
          <w:sz w:val="24"/>
          <w:szCs w:val="24"/>
        </w:rPr>
        <w:t xml:space="preserve"> un </w:t>
      </w:r>
      <w:r w:rsidR="7F2DBE7F" w:rsidRPr="00A07F29">
        <w:rPr>
          <w:rFonts w:ascii="Times New Roman" w:eastAsia="Calibri" w:hAnsi="Times New Roman" w:cs="Calibri"/>
          <w:sz w:val="24"/>
          <w:szCs w:val="24"/>
        </w:rPr>
        <w:t>R</w:t>
      </w:r>
      <w:r w:rsidR="00E5392D" w:rsidRPr="00A07F29">
        <w:rPr>
          <w:rFonts w:ascii="Times New Roman" w:eastAsia="Calibri" w:hAnsi="Times New Roman" w:cs="Calibri"/>
          <w:sz w:val="24"/>
          <w:szCs w:val="24"/>
        </w:rPr>
        <w:t xml:space="preserve"> virzienā no </w:t>
      </w:r>
      <w:proofErr w:type="spellStart"/>
      <w:r w:rsidR="00E5392D" w:rsidRPr="00A07F29">
        <w:rPr>
          <w:rFonts w:ascii="Times New Roman" w:eastAsia="Calibri" w:hAnsi="Times New Roman" w:cs="Calibri"/>
          <w:sz w:val="24"/>
          <w:szCs w:val="24"/>
        </w:rPr>
        <w:t>Rudņas</w:t>
      </w:r>
      <w:proofErr w:type="spellEnd"/>
      <w:r w:rsidR="00E5392D" w:rsidRPr="00A07F29">
        <w:rPr>
          <w:rFonts w:ascii="Times New Roman" w:eastAsia="Calibri" w:hAnsi="Times New Roman" w:cs="Calibri"/>
          <w:sz w:val="24"/>
          <w:szCs w:val="24"/>
        </w:rPr>
        <w:t xml:space="preserve"> </w:t>
      </w:r>
      <w:proofErr w:type="spellStart"/>
      <w:r w:rsidR="00E5392D" w:rsidRPr="00A07F29">
        <w:rPr>
          <w:rFonts w:ascii="Times New Roman" w:eastAsia="Calibri" w:hAnsi="Times New Roman" w:cs="Calibri"/>
          <w:sz w:val="24"/>
          <w:szCs w:val="24"/>
        </w:rPr>
        <w:t>ielejveida</w:t>
      </w:r>
      <w:proofErr w:type="spellEnd"/>
      <w:r w:rsidR="00E5392D" w:rsidRPr="00A07F29">
        <w:rPr>
          <w:rFonts w:ascii="Times New Roman" w:eastAsia="Calibri" w:hAnsi="Times New Roman" w:cs="Calibri"/>
          <w:sz w:val="24"/>
          <w:szCs w:val="24"/>
        </w:rPr>
        <w:t xml:space="preserve"> pazeminājumā starp </w:t>
      </w:r>
      <w:proofErr w:type="spellStart"/>
      <w:r w:rsidR="00E5392D" w:rsidRPr="00A07F29">
        <w:rPr>
          <w:rFonts w:ascii="Times New Roman" w:eastAsia="Calibri" w:hAnsi="Times New Roman" w:cs="Calibri"/>
          <w:sz w:val="24"/>
          <w:szCs w:val="24"/>
        </w:rPr>
        <w:t>Borovku</w:t>
      </w:r>
      <w:proofErr w:type="spellEnd"/>
      <w:r w:rsidR="00E5392D" w:rsidRPr="00A07F29">
        <w:rPr>
          <w:rFonts w:ascii="Times New Roman" w:eastAsia="Calibri" w:hAnsi="Times New Roman" w:cs="Calibri"/>
          <w:sz w:val="24"/>
          <w:szCs w:val="24"/>
        </w:rPr>
        <w:t xml:space="preserve"> un </w:t>
      </w:r>
      <w:proofErr w:type="spellStart"/>
      <w:r w:rsidR="00E5392D" w:rsidRPr="00A07F29">
        <w:rPr>
          <w:rFonts w:ascii="Times New Roman" w:eastAsia="Calibri" w:hAnsi="Times New Roman" w:cs="Calibri"/>
          <w:sz w:val="24"/>
          <w:szCs w:val="24"/>
        </w:rPr>
        <w:t>Vecračinu</w:t>
      </w:r>
      <w:proofErr w:type="spellEnd"/>
      <w:r w:rsidR="00E5392D" w:rsidRPr="00A07F29">
        <w:rPr>
          <w:rFonts w:ascii="Times New Roman" w:eastAsia="Calibri" w:hAnsi="Times New Roman" w:cs="Calibri"/>
          <w:sz w:val="24"/>
          <w:szCs w:val="24"/>
        </w:rPr>
        <w:t xml:space="preserve"> līdz Daugavas ielejai </w:t>
      </w:r>
      <w:proofErr w:type="spellStart"/>
      <w:r w:rsidR="00E5392D" w:rsidRPr="00A07F29">
        <w:rPr>
          <w:rFonts w:ascii="Times New Roman" w:eastAsia="Calibri" w:hAnsi="Times New Roman" w:cs="Calibri"/>
          <w:sz w:val="24"/>
          <w:szCs w:val="24"/>
        </w:rPr>
        <w:t>hipsometriski</w:t>
      </w:r>
      <w:proofErr w:type="spellEnd"/>
      <w:r w:rsidR="00E5392D" w:rsidRPr="00A07F29">
        <w:rPr>
          <w:rFonts w:ascii="Times New Roman" w:eastAsia="Calibri" w:hAnsi="Times New Roman" w:cs="Calibri"/>
          <w:sz w:val="24"/>
          <w:szCs w:val="24"/>
        </w:rPr>
        <w:t xml:space="preserve"> zemāk (130</w:t>
      </w:r>
      <w:r w:rsidR="00540661" w:rsidRPr="00A07F29">
        <w:rPr>
          <w:rFonts w:ascii="Times New Roman" w:eastAsia="Calibri" w:hAnsi="Times New Roman" w:cs="Calibri"/>
          <w:sz w:val="24"/>
          <w:szCs w:val="24"/>
        </w:rPr>
        <w:t> – </w:t>
      </w:r>
      <w:r w:rsidR="00E5392D" w:rsidRPr="00A07F29">
        <w:rPr>
          <w:rFonts w:ascii="Times New Roman" w:eastAsia="Calibri" w:hAnsi="Times New Roman" w:cs="Calibri"/>
          <w:sz w:val="24"/>
          <w:szCs w:val="24"/>
        </w:rPr>
        <w:t>150</w:t>
      </w:r>
      <w:r w:rsidR="00540661" w:rsidRPr="00A07F29">
        <w:rPr>
          <w:rFonts w:ascii="Times New Roman" w:eastAsia="Calibri" w:hAnsi="Times New Roman" w:cs="Calibri"/>
          <w:sz w:val="24"/>
          <w:szCs w:val="24"/>
        </w:rPr>
        <w:t> </w:t>
      </w:r>
      <w:r w:rsidR="00E5392D" w:rsidRPr="00A07F29">
        <w:rPr>
          <w:rFonts w:ascii="Times New Roman" w:eastAsia="Calibri" w:hAnsi="Times New Roman" w:cs="Calibri"/>
          <w:sz w:val="24"/>
          <w:szCs w:val="24"/>
        </w:rPr>
        <w:t xml:space="preserve">m </w:t>
      </w:r>
      <w:proofErr w:type="spellStart"/>
      <w:r w:rsidR="00E5392D" w:rsidRPr="00A07F29">
        <w:rPr>
          <w:rFonts w:ascii="Times New Roman" w:eastAsia="Calibri" w:hAnsi="Times New Roman" w:cs="Calibri"/>
          <w:sz w:val="24"/>
          <w:szCs w:val="24"/>
        </w:rPr>
        <w:t>vjl</w:t>
      </w:r>
      <w:proofErr w:type="spellEnd"/>
      <w:r w:rsidR="00E5392D" w:rsidRPr="00A07F29">
        <w:rPr>
          <w:rFonts w:ascii="Times New Roman" w:eastAsia="Calibri" w:hAnsi="Times New Roman" w:cs="Calibri"/>
          <w:sz w:val="24"/>
          <w:szCs w:val="24"/>
        </w:rPr>
        <w:t xml:space="preserve">.) atrodas smilšu un grants nogulumu veidots viļņots </w:t>
      </w:r>
      <w:proofErr w:type="spellStart"/>
      <w:r w:rsidR="00E5392D" w:rsidRPr="00A07F29">
        <w:rPr>
          <w:rFonts w:ascii="Times New Roman" w:eastAsia="Calibri" w:hAnsi="Times New Roman" w:cs="Calibri"/>
          <w:sz w:val="24"/>
          <w:szCs w:val="24"/>
        </w:rPr>
        <w:t>glaciofluviāls</w:t>
      </w:r>
      <w:proofErr w:type="spellEnd"/>
      <w:r w:rsidR="00E5392D" w:rsidRPr="00A07F29">
        <w:rPr>
          <w:rFonts w:ascii="Times New Roman" w:eastAsia="Calibri" w:hAnsi="Times New Roman" w:cs="Calibri"/>
          <w:sz w:val="24"/>
          <w:szCs w:val="24"/>
        </w:rPr>
        <w:t xml:space="preserve"> līdzenums, kurā, tāpat kā </w:t>
      </w:r>
      <w:proofErr w:type="spellStart"/>
      <w:r w:rsidR="00E5392D" w:rsidRPr="00A07F29">
        <w:rPr>
          <w:rFonts w:ascii="Times New Roman" w:eastAsia="Calibri" w:hAnsi="Times New Roman" w:cs="Calibri"/>
          <w:sz w:val="24"/>
          <w:szCs w:val="24"/>
        </w:rPr>
        <w:t>kēmu</w:t>
      </w:r>
      <w:proofErr w:type="spellEnd"/>
      <w:r w:rsidR="00E5392D" w:rsidRPr="00A07F29">
        <w:rPr>
          <w:rFonts w:ascii="Times New Roman" w:eastAsia="Calibri" w:hAnsi="Times New Roman" w:cs="Calibri"/>
          <w:sz w:val="24"/>
          <w:szCs w:val="24"/>
        </w:rPr>
        <w:t xml:space="preserve"> pauguru izplatības areālā, sastopamas </w:t>
      </w:r>
      <w:proofErr w:type="spellStart"/>
      <w:r w:rsidR="00E5392D" w:rsidRPr="00A07F29">
        <w:rPr>
          <w:rFonts w:ascii="Times New Roman" w:eastAsia="Calibri" w:hAnsi="Times New Roman" w:cs="Calibri"/>
          <w:sz w:val="24"/>
          <w:szCs w:val="24"/>
        </w:rPr>
        <w:t>glaciokarsta</w:t>
      </w:r>
      <w:proofErr w:type="spellEnd"/>
      <w:r w:rsidR="00E5392D" w:rsidRPr="00A07F29">
        <w:rPr>
          <w:rFonts w:ascii="Times New Roman" w:eastAsia="Calibri" w:hAnsi="Times New Roman" w:cs="Calibri"/>
          <w:sz w:val="24"/>
          <w:szCs w:val="24"/>
        </w:rPr>
        <w:t xml:space="preserve"> </w:t>
      </w:r>
      <w:proofErr w:type="spellStart"/>
      <w:r w:rsidR="00E5392D" w:rsidRPr="00A07F29">
        <w:rPr>
          <w:rFonts w:ascii="Times New Roman" w:eastAsia="Calibri" w:hAnsi="Times New Roman" w:cs="Calibri"/>
          <w:sz w:val="24"/>
          <w:szCs w:val="24"/>
        </w:rPr>
        <w:t>ieplakas</w:t>
      </w:r>
      <w:proofErr w:type="spellEnd"/>
      <w:r w:rsidR="00E5392D" w:rsidRPr="00A07F29">
        <w:rPr>
          <w:rFonts w:ascii="Times New Roman" w:eastAsia="Calibri" w:hAnsi="Times New Roman" w:cs="Calibri"/>
          <w:sz w:val="24"/>
          <w:szCs w:val="24"/>
        </w:rPr>
        <w:t>. Virzienā uz R</w:t>
      </w:r>
      <w:r w:rsidR="00540661" w:rsidRPr="00A07F29">
        <w:rPr>
          <w:rFonts w:ascii="Times New Roman" w:eastAsia="Calibri" w:hAnsi="Times New Roman" w:cs="Calibri"/>
          <w:sz w:val="24"/>
          <w:szCs w:val="24"/>
        </w:rPr>
        <w:t> – </w:t>
      </w:r>
      <w:r w:rsidR="00E5392D" w:rsidRPr="00A07F29">
        <w:rPr>
          <w:rFonts w:ascii="Times New Roman" w:eastAsia="Calibri" w:hAnsi="Times New Roman" w:cs="Calibri"/>
          <w:sz w:val="24"/>
          <w:szCs w:val="24"/>
        </w:rPr>
        <w:t>ZR Baltas upītes ielejas tuvumā to nomaina šaura, viļņota morēnas līdzenuma josla, bet starp šo ieleju un Putānu upīti ir novietojies morēnas pauguru reljefs (</w:t>
      </w:r>
      <w:proofErr w:type="spellStart"/>
      <w:r w:rsidR="00E5392D" w:rsidRPr="00A07F29">
        <w:rPr>
          <w:rFonts w:ascii="Times New Roman" w:eastAsia="Calibri" w:hAnsi="Times New Roman" w:cs="Calibri"/>
          <w:sz w:val="24"/>
          <w:szCs w:val="24"/>
        </w:rPr>
        <w:t>Eberhards</w:t>
      </w:r>
      <w:proofErr w:type="spellEnd"/>
      <w:r w:rsidR="0060733B" w:rsidRPr="00A07F29">
        <w:rPr>
          <w:rFonts w:ascii="Times New Roman" w:eastAsia="Calibri" w:hAnsi="Times New Roman" w:cs="Calibri"/>
          <w:sz w:val="24"/>
          <w:szCs w:val="24"/>
        </w:rPr>
        <w:t xml:space="preserve"> G.,</w:t>
      </w:r>
      <w:r w:rsidR="00E5392D" w:rsidRPr="00A07F29">
        <w:rPr>
          <w:rFonts w:ascii="Times New Roman" w:eastAsia="Calibri" w:hAnsi="Times New Roman" w:cs="Calibri"/>
          <w:sz w:val="24"/>
          <w:szCs w:val="24"/>
        </w:rPr>
        <w:t xml:space="preserve"> 1991).</w:t>
      </w:r>
    </w:p>
    <w:p w14:paraId="4CDF9E06" w14:textId="1A234FC4" w:rsidR="00E5392D" w:rsidRPr="00A07F29" w:rsidRDefault="00E5392D" w:rsidP="00402A6B">
      <w:pPr>
        <w:spacing w:after="120" w:line="240" w:lineRule="auto"/>
        <w:ind w:firstLine="851"/>
        <w:jc w:val="both"/>
        <w:rPr>
          <w:rFonts w:ascii="Times New Roman" w:eastAsia="Calibri" w:hAnsi="Times New Roman" w:cs="Calibri"/>
          <w:sz w:val="24"/>
          <w:szCs w:val="24"/>
        </w:rPr>
      </w:pPr>
      <w:r w:rsidRPr="00A07F29">
        <w:rPr>
          <w:rFonts w:ascii="Times New Roman" w:eastAsia="Calibri" w:hAnsi="Times New Roman" w:cs="Calibri"/>
          <w:sz w:val="24"/>
          <w:szCs w:val="24"/>
        </w:rPr>
        <w:t xml:space="preserve">Daugavas ielejas kreisā krasta nogāzei piegulošajā Augšzemes augstienes teritorijā, starp </w:t>
      </w:r>
      <w:proofErr w:type="spellStart"/>
      <w:r w:rsidRPr="00A07F29">
        <w:rPr>
          <w:rFonts w:ascii="Times New Roman" w:eastAsia="Calibri" w:hAnsi="Times New Roman" w:cs="Calibri"/>
          <w:sz w:val="24"/>
          <w:szCs w:val="24"/>
        </w:rPr>
        <w:t>Bornes</w:t>
      </w:r>
      <w:proofErr w:type="spellEnd"/>
      <w:r w:rsidRPr="00A07F29">
        <w:rPr>
          <w:rFonts w:ascii="Times New Roman" w:eastAsia="Calibri" w:hAnsi="Times New Roman" w:cs="Calibri"/>
          <w:sz w:val="24"/>
          <w:szCs w:val="24"/>
        </w:rPr>
        <w:t xml:space="preserve"> un Skrudalienas marginālā </w:t>
      </w:r>
      <w:proofErr w:type="spellStart"/>
      <w:r w:rsidRPr="00A07F29">
        <w:rPr>
          <w:rFonts w:ascii="Times New Roman" w:eastAsia="Calibri" w:hAnsi="Times New Roman" w:cs="Calibri"/>
          <w:sz w:val="24"/>
          <w:szCs w:val="24"/>
        </w:rPr>
        <w:t>paugurgrēdu</w:t>
      </w:r>
      <w:proofErr w:type="spellEnd"/>
      <w:r w:rsidRPr="00A07F29">
        <w:rPr>
          <w:rFonts w:ascii="Times New Roman" w:eastAsia="Calibri" w:hAnsi="Times New Roman" w:cs="Calibri"/>
          <w:sz w:val="24"/>
          <w:szCs w:val="24"/>
        </w:rPr>
        <w:t xml:space="preserve"> reljefa joslām, </w:t>
      </w:r>
      <w:r w:rsidR="00746A5E" w:rsidRPr="00A07F29">
        <w:rPr>
          <w:rFonts w:ascii="Times New Roman" w:eastAsia="Calibri" w:hAnsi="Times New Roman" w:cs="Calibri"/>
          <w:sz w:val="24"/>
          <w:szCs w:val="24"/>
        </w:rPr>
        <w:t xml:space="preserve">AAA </w:t>
      </w:r>
      <w:r w:rsidR="0060733B" w:rsidRPr="00A07F29">
        <w:rPr>
          <w:rFonts w:ascii="Times New Roman" w:eastAsia="Calibri" w:hAnsi="Times New Roman" w:cs="Calibri"/>
          <w:sz w:val="24"/>
          <w:szCs w:val="24"/>
        </w:rPr>
        <w:t>“</w:t>
      </w:r>
      <w:r w:rsidR="00746A5E" w:rsidRPr="00A07F29">
        <w:rPr>
          <w:rFonts w:ascii="Times New Roman" w:eastAsia="Calibri" w:hAnsi="Times New Roman" w:cs="Calibri"/>
          <w:sz w:val="24"/>
          <w:szCs w:val="24"/>
        </w:rPr>
        <w:t xml:space="preserve">Augšdaugava” </w:t>
      </w:r>
      <w:r w:rsidRPr="00A07F29">
        <w:rPr>
          <w:rFonts w:ascii="Times New Roman" w:eastAsia="Calibri" w:hAnsi="Times New Roman" w:cs="Calibri"/>
          <w:sz w:val="24"/>
          <w:szCs w:val="24"/>
        </w:rPr>
        <w:t xml:space="preserve">teritorijā vērojama citāda aina. No Kaplavas līdz </w:t>
      </w:r>
      <w:proofErr w:type="spellStart"/>
      <w:r w:rsidRPr="00A07F29">
        <w:rPr>
          <w:rFonts w:ascii="Times New Roman" w:eastAsia="Calibri" w:hAnsi="Times New Roman" w:cs="Calibri"/>
          <w:sz w:val="24"/>
          <w:szCs w:val="24"/>
        </w:rPr>
        <w:t>Poguļankas</w:t>
      </w:r>
      <w:proofErr w:type="spellEnd"/>
      <w:r w:rsidRPr="00A07F29">
        <w:rPr>
          <w:rFonts w:ascii="Times New Roman" w:eastAsia="Calibri" w:hAnsi="Times New Roman" w:cs="Calibri"/>
          <w:sz w:val="24"/>
          <w:szCs w:val="24"/>
        </w:rPr>
        <w:t xml:space="preserve"> ielejai izsekojams lēzeni viļņots, gravu </w:t>
      </w:r>
      <w:proofErr w:type="spellStart"/>
      <w:r w:rsidRPr="00A07F29">
        <w:rPr>
          <w:rFonts w:ascii="Times New Roman" w:eastAsia="Calibri" w:hAnsi="Times New Roman" w:cs="Calibri"/>
          <w:sz w:val="24"/>
          <w:szCs w:val="24"/>
        </w:rPr>
        <w:t>saposmots</w:t>
      </w:r>
      <w:proofErr w:type="spellEnd"/>
      <w:r w:rsidRPr="00A07F29">
        <w:rPr>
          <w:rFonts w:ascii="Times New Roman" w:eastAsia="Calibri" w:hAnsi="Times New Roman" w:cs="Calibri"/>
          <w:sz w:val="24"/>
          <w:szCs w:val="24"/>
        </w:rPr>
        <w:t xml:space="preserve"> morēnas līdzenuma fragments, kuru pie </w:t>
      </w:r>
      <w:proofErr w:type="spellStart"/>
      <w:r w:rsidRPr="00A07F29">
        <w:rPr>
          <w:rFonts w:ascii="Times New Roman" w:eastAsia="Calibri" w:hAnsi="Times New Roman" w:cs="Calibri"/>
          <w:sz w:val="24"/>
          <w:szCs w:val="24"/>
        </w:rPr>
        <w:t>Jaunbornes</w:t>
      </w:r>
      <w:proofErr w:type="spellEnd"/>
      <w:r w:rsidRPr="00A07F29">
        <w:rPr>
          <w:rFonts w:ascii="Times New Roman" w:eastAsia="Calibri" w:hAnsi="Times New Roman" w:cs="Calibri"/>
          <w:sz w:val="24"/>
          <w:szCs w:val="24"/>
        </w:rPr>
        <w:t xml:space="preserve"> nomaina </w:t>
      </w:r>
      <w:proofErr w:type="spellStart"/>
      <w:r w:rsidRPr="00A07F29">
        <w:rPr>
          <w:rFonts w:ascii="Times New Roman" w:eastAsia="Calibri" w:hAnsi="Times New Roman" w:cs="Calibri"/>
          <w:sz w:val="24"/>
          <w:szCs w:val="24"/>
        </w:rPr>
        <w:t>glaciostruktūru</w:t>
      </w:r>
      <w:proofErr w:type="spellEnd"/>
      <w:r w:rsidRPr="00A07F29">
        <w:rPr>
          <w:rFonts w:ascii="Times New Roman" w:eastAsia="Calibri" w:hAnsi="Times New Roman" w:cs="Calibri"/>
          <w:sz w:val="24"/>
          <w:szCs w:val="24"/>
        </w:rPr>
        <w:t xml:space="preserve"> tipa morēnas pauguru reljefs. </w:t>
      </w:r>
      <w:proofErr w:type="spellStart"/>
      <w:r w:rsidRPr="00A07F29">
        <w:rPr>
          <w:rFonts w:ascii="Times New Roman" w:eastAsia="Calibri" w:hAnsi="Times New Roman" w:cs="Calibri"/>
          <w:sz w:val="24"/>
          <w:szCs w:val="24"/>
        </w:rPr>
        <w:t>Poguļankas</w:t>
      </w:r>
      <w:proofErr w:type="spellEnd"/>
      <w:r w:rsidRPr="00A07F29">
        <w:rPr>
          <w:rFonts w:ascii="Times New Roman" w:eastAsia="Calibri" w:hAnsi="Times New Roman" w:cs="Calibri"/>
          <w:sz w:val="24"/>
          <w:szCs w:val="24"/>
        </w:rPr>
        <w:t xml:space="preserve"> ietekas rajonā un tālāk </w:t>
      </w:r>
      <w:r w:rsidR="1D523C31" w:rsidRPr="00A07F29">
        <w:rPr>
          <w:rFonts w:ascii="Times New Roman" w:eastAsia="Calibri" w:hAnsi="Times New Roman" w:cs="Calibri"/>
          <w:sz w:val="24"/>
          <w:szCs w:val="24"/>
        </w:rPr>
        <w:t>R</w:t>
      </w:r>
      <w:r w:rsidRPr="00A07F29">
        <w:rPr>
          <w:rFonts w:ascii="Times New Roman" w:eastAsia="Calibri" w:hAnsi="Times New Roman" w:cs="Calibri"/>
          <w:sz w:val="24"/>
          <w:szCs w:val="24"/>
        </w:rPr>
        <w:t xml:space="preserve"> virzienā līdz </w:t>
      </w:r>
      <w:proofErr w:type="spellStart"/>
      <w:r w:rsidRPr="00A07F29">
        <w:rPr>
          <w:rFonts w:ascii="Times New Roman" w:eastAsia="Calibri" w:hAnsi="Times New Roman" w:cs="Calibri"/>
          <w:sz w:val="24"/>
          <w:szCs w:val="24"/>
        </w:rPr>
        <w:t>Geitvinišķiem</w:t>
      </w:r>
      <w:proofErr w:type="spellEnd"/>
      <w:r w:rsidRPr="00A07F29">
        <w:rPr>
          <w:rFonts w:ascii="Times New Roman" w:eastAsia="Calibri" w:hAnsi="Times New Roman" w:cs="Calibri"/>
          <w:sz w:val="24"/>
          <w:szCs w:val="24"/>
        </w:rPr>
        <w:t xml:space="preserve">, kur sākas Skrudalienas marginālā josla, mijas nelieli morēnas līdzenumi ar paugurainu reljefu. Paugurus, kuri spriežot pēc to uzbūves, pieder </w:t>
      </w:r>
      <w:proofErr w:type="spellStart"/>
      <w:r w:rsidRPr="00A07F29">
        <w:rPr>
          <w:rFonts w:ascii="Times New Roman" w:eastAsia="Calibri" w:hAnsi="Times New Roman" w:cs="Calibri"/>
          <w:sz w:val="24"/>
          <w:szCs w:val="24"/>
        </w:rPr>
        <w:t>glaciostruktūru</w:t>
      </w:r>
      <w:proofErr w:type="spellEnd"/>
      <w:r w:rsidRPr="00A07F29">
        <w:rPr>
          <w:rFonts w:ascii="Times New Roman" w:eastAsia="Calibri" w:hAnsi="Times New Roman" w:cs="Calibri"/>
          <w:sz w:val="24"/>
          <w:szCs w:val="24"/>
        </w:rPr>
        <w:t xml:space="preserve"> veidojumiem (Āboltiņš</w:t>
      </w:r>
      <w:r w:rsidR="003D0A3E" w:rsidRPr="00A07F29">
        <w:rPr>
          <w:rFonts w:ascii="Times New Roman" w:eastAsia="Calibri" w:hAnsi="Times New Roman" w:cs="Calibri"/>
          <w:sz w:val="24"/>
          <w:szCs w:val="24"/>
        </w:rPr>
        <w:t xml:space="preserve"> O.,</w:t>
      </w:r>
      <w:r w:rsidRPr="00A07F29">
        <w:rPr>
          <w:rFonts w:ascii="Times New Roman" w:eastAsia="Calibri" w:hAnsi="Times New Roman" w:cs="Calibri"/>
          <w:sz w:val="24"/>
          <w:szCs w:val="24"/>
        </w:rPr>
        <w:t xml:space="preserve"> 1989), Daugavas ielejas tiešā tuvumā nomaina </w:t>
      </w:r>
      <w:proofErr w:type="spellStart"/>
      <w:r w:rsidRPr="00A07F29">
        <w:rPr>
          <w:rFonts w:ascii="Times New Roman" w:eastAsia="Calibri" w:hAnsi="Times New Roman" w:cs="Calibri"/>
          <w:sz w:val="24"/>
          <w:szCs w:val="24"/>
        </w:rPr>
        <w:t>kēmu</w:t>
      </w:r>
      <w:proofErr w:type="spellEnd"/>
      <w:r w:rsidRPr="00A07F29">
        <w:rPr>
          <w:rFonts w:ascii="Times New Roman" w:eastAsia="Calibri" w:hAnsi="Times New Roman" w:cs="Calibri"/>
          <w:sz w:val="24"/>
          <w:szCs w:val="24"/>
        </w:rPr>
        <w:t xml:space="preserve"> josla ar dziļām </w:t>
      </w:r>
      <w:proofErr w:type="spellStart"/>
      <w:r w:rsidRPr="00A07F29">
        <w:rPr>
          <w:rFonts w:ascii="Times New Roman" w:eastAsia="Calibri" w:hAnsi="Times New Roman" w:cs="Calibri"/>
          <w:sz w:val="24"/>
          <w:szCs w:val="24"/>
        </w:rPr>
        <w:t>glaciokarsta</w:t>
      </w:r>
      <w:proofErr w:type="spellEnd"/>
      <w:r w:rsidRPr="00A07F29">
        <w:rPr>
          <w:rFonts w:ascii="Times New Roman" w:eastAsia="Calibri" w:hAnsi="Times New Roman" w:cs="Calibri"/>
          <w:sz w:val="24"/>
          <w:szCs w:val="24"/>
        </w:rPr>
        <w:t xml:space="preserve"> ieplakām.</w:t>
      </w:r>
    </w:p>
    <w:p w14:paraId="39BE21F9" w14:textId="24BBAAEE" w:rsidR="00E5392D" w:rsidRPr="00A07F29" w:rsidRDefault="00E5392D" w:rsidP="00402A6B">
      <w:pPr>
        <w:spacing w:after="120" w:line="240" w:lineRule="auto"/>
        <w:ind w:firstLine="851"/>
        <w:jc w:val="both"/>
        <w:rPr>
          <w:rFonts w:ascii="Times New Roman" w:eastAsia="Calibri" w:hAnsi="Times New Roman" w:cs="Calibri"/>
          <w:sz w:val="24"/>
          <w:szCs w:val="24"/>
        </w:rPr>
      </w:pPr>
      <w:r w:rsidRPr="00A07F29">
        <w:rPr>
          <w:rFonts w:ascii="Times New Roman" w:eastAsia="Calibri" w:hAnsi="Times New Roman" w:cs="Calibri"/>
          <w:sz w:val="24"/>
          <w:szCs w:val="24"/>
        </w:rPr>
        <w:t xml:space="preserve">Skrudalienas marginālā josla morfoloģiski visizteiksmīgākā formā vērojama uz AAA </w:t>
      </w:r>
      <w:r w:rsidR="00152DB5" w:rsidRPr="00A07F29">
        <w:rPr>
          <w:rFonts w:ascii="Times New Roman" w:eastAsia="Calibri" w:hAnsi="Times New Roman" w:cs="Calibri"/>
          <w:sz w:val="24"/>
          <w:szCs w:val="24"/>
        </w:rPr>
        <w:t>“</w:t>
      </w:r>
      <w:r w:rsidRPr="00A07F29">
        <w:rPr>
          <w:rFonts w:ascii="Times New Roman" w:eastAsia="Calibri" w:hAnsi="Times New Roman" w:cs="Calibri"/>
          <w:sz w:val="24"/>
          <w:szCs w:val="24"/>
        </w:rPr>
        <w:t xml:space="preserve">Augšdaugava” </w:t>
      </w:r>
      <w:r w:rsidR="62184505" w:rsidRPr="00A07F29">
        <w:rPr>
          <w:rFonts w:ascii="Times New Roman" w:eastAsia="Calibri" w:hAnsi="Times New Roman" w:cs="Calibri"/>
          <w:sz w:val="24"/>
          <w:szCs w:val="24"/>
        </w:rPr>
        <w:t>D</w:t>
      </w:r>
      <w:r w:rsidRPr="00A07F29">
        <w:rPr>
          <w:rFonts w:ascii="Times New Roman" w:eastAsia="Calibri" w:hAnsi="Times New Roman" w:cs="Calibri"/>
          <w:sz w:val="24"/>
          <w:szCs w:val="24"/>
        </w:rPr>
        <w:t xml:space="preserve"> robežas – starp Aploku un </w:t>
      </w:r>
      <w:proofErr w:type="spellStart"/>
      <w:r w:rsidRPr="00A07F29">
        <w:rPr>
          <w:rFonts w:ascii="Times New Roman" w:eastAsia="Calibri" w:hAnsi="Times New Roman" w:cs="Calibri"/>
          <w:sz w:val="24"/>
          <w:szCs w:val="24"/>
        </w:rPr>
        <w:t>Liepavotu</w:t>
      </w:r>
      <w:proofErr w:type="spellEnd"/>
      <w:r w:rsidRPr="00A07F29">
        <w:rPr>
          <w:rFonts w:ascii="Times New Roman" w:eastAsia="Calibri" w:hAnsi="Times New Roman" w:cs="Calibri"/>
          <w:sz w:val="24"/>
          <w:szCs w:val="24"/>
        </w:rPr>
        <w:t xml:space="preserve"> mājā</w:t>
      </w:r>
      <w:r w:rsidR="00746A5E" w:rsidRPr="00A07F29">
        <w:rPr>
          <w:rFonts w:ascii="Times New Roman" w:eastAsia="Calibri" w:hAnsi="Times New Roman" w:cs="Calibri"/>
          <w:sz w:val="24"/>
          <w:szCs w:val="24"/>
        </w:rPr>
        <w:t>m</w:t>
      </w:r>
      <w:r w:rsidRPr="00A07F29">
        <w:rPr>
          <w:rFonts w:ascii="Times New Roman" w:eastAsia="Calibri" w:hAnsi="Times New Roman" w:cs="Calibri"/>
          <w:sz w:val="24"/>
          <w:szCs w:val="24"/>
        </w:rPr>
        <w:t>, kur tās virsas absolūtās augstuma atzīmes sasniedz 180</w:t>
      </w:r>
      <w:r w:rsidR="00152DB5" w:rsidRPr="00A07F29">
        <w:rPr>
          <w:rFonts w:ascii="Times New Roman" w:eastAsia="Calibri" w:hAnsi="Times New Roman" w:cs="Calibri"/>
          <w:sz w:val="24"/>
          <w:szCs w:val="24"/>
        </w:rPr>
        <w:t> </w:t>
      </w:r>
      <w:r w:rsidRPr="00A07F29">
        <w:rPr>
          <w:rFonts w:ascii="Times New Roman" w:eastAsia="Calibri" w:hAnsi="Times New Roman" w:cs="Calibri"/>
          <w:sz w:val="24"/>
          <w:szCs w:val="24"/>
        </w:rPr>
        <w:t xml:space="preserve">m </w:t>
      </w:r>
      <w:proofErr w:type="spellStart"/>
      <w:r w:rsidRPr="00A07F29">
        <w:rPr>
          <w:rFonts w:ascii="Times New Roman" w:eastAsia="Calibri" w:hAnsi="Times New Roman" w:cs="Calibri"/>
          <w:sz w:val="24"/>
          <w:szCs w:val="24"/>
        </w:rPr>
        <w:t>vjl</w:t>
      </w:r>
      <w:proofErr w:type="spellEnd"/>
      <w:r w:rsidRPr="00A07F29">
        <w:rPr>
          <w:rFonts w:ascii="Times New Roman" w:eastAsia="Calibri" w:hAnsi="Times New Roman" w:cs="Calibri"/>
          <w:sz w:val="24"/>
          <w:szCs w:val="24"/>
        </w:rPr>
        <w:t xml:space="preserve">. un raksturīgs plašu </w:t>
      </w:r>
      <w:proofErr w:type="spellStart"/>
      <w:r w:rsidRPr="00A07F29">
        <w:rPr>
          <w:rFonts w:ascii="Times New Roman" w:eastAsia="Calibri" w:hAnsi="Times New Roman" w:cs="Calibri"/>
          <w:sz w:val="24"/>
          <w:szCs w:val="24"/>
        </w:rPr>
        <w:t>vaļņveida</w:t>
      </w:r>
      <w:proofErr w:type="spellEnd"/>
      <w:r w:rsidRPr="00A07F29">
        <w:rPr>
          <w:rFonts w:ascii="Times New Roman" w:eastAsia="Calibri" w:hAnsi="Times New Roman" w:cs="Calibri"/>
          <w:sz w:val="24"/>
          <w:szCs w:val="24"/>
        </w:rPr>
        <w:t xml:space="preserve"> pauguru reljefs. Daugavas ielejas virzienā šī reljefa virsa pakāpeniski pazeminās līdz 140</w:t>
      </w:r>
      <w:r w:rsidR="0013290D" w:rsidRPr="00A07F29">
        <w:rPr>
          <w:rFonts w:ascii="Times New Roman" w:eastAsia="Calibri" w:hAnsi="Times New Roman" w:cs="Calibri"/>
          <w:sz w:val="24"/>
          <w:szCs w:val="24"/>
        </w:rPr>
        <w:t> – </w:t>
      </w:r>
      <w:r w:rsidRPr="00A07F29">
        <w:rPr>
          <w:rFonts w:ascii="Times New Roman" w:eastAsia="Calibri" w:hAnsi="Times New Roman" w:cs="Calibri"/>
          <w:sz w:val="24"/>
          <w:szCs w:val="24"/>
        </w:rPr>
        <w:t>135</w:t>
      </w:r>
      <w:r w:rsidR="0013290D" w:rsidRPr="00A07F29">
        <w:rPr>
          <w:rFonts w:ascii="Times New Roman" w:eastAsia="Calibri" w:hAnsi="Times New Roman" w:cs="Calibri"/>
          <w:sz w:val="24"/>
          <w:szCs w:val="24"/>
        </w:rPr>
        <w:t> </w:t>
      </w:r>
      <w:r w:rsidRPr="00A07F29">
        <w:rPr>
          <w:rFonts w:ascii="Times New Roman" w:eastAsia="Calibri" w:hAnsi="Times New Roman" w:cs="Calibri"/>
          <w:sz w:val="24"/>
          <w:szCs w:val="24"/>
        </w:rPr>
        <w:t xml:space="preserve">m </w:t>
      </w:r>
      <w:proofErr w:type="spellStart"/>
      <w:r w:rsidRPr="00A07F29">
        <w:rPr>
          <w:rFonts w:ascii="Times New Roman" w:eastAsia="Calibri" w:hAnsi="Times New Roman" w:cs="Calibri"/>
          <w:sz w:val="24"/>
          <w:szCs w:val="24"/>
        </w:rPr>
        <w:t>vjl</w:t>
      </w:r>
      <w:proofErr w:type="spellEnd"/>
      <w:r w:rsidRPr="00A07F29">
        <w:rPr>
          <w:rFonts w:ascii="Times New Roman" w:eastAsia="Calibri" w:hAnsi="Times New Roman" w:cs="Calibri"/>
          <w:sz w:val="24"/>
          <w:szCs w:val="24"/>
        </w:rPr>
        <w:t xml:space="preserve">. Minētās marginālā reljefa joslas turpinājums aiz Daugavas ielejas Latgales augstienes daļā iezīmējas starp </w:t>
      </w:r>
      <w:proofErr w:type="spellStart"/>
      <w:r w:rsidRPr="00A07F29">
        <w:rPr>
          <w:rFonts w:ascii="Times New Roman" w:eastAsia="Calibri" w:hAnsi="Times New Roman" w:cs="Calibri"/>
          <w:sz w:val="24"/>
          <w:szCs w:val="24"/>
        </w:rPr>
        <w:t>Markovu</w:t>
      </w:r>
      <w:proofErr w:type="spellEnd"/>
      <w:r w:rsidRPr="00A07F29">
        <w:rPr>
          <w:rFonts w:ascii="Times New Roman" w:eastAsia="Calibri" w:hAnsi="Times New Roman" w:cs="Calibri"/>
          <w:sz w:val="24"/>
          <w:szCs w:val="24"/>
        </w:rPr>
        <w:t xml:space="preserve"> un Spruktiem. </w:t>
      </w:r>
    </w:p>
    <w:p w14:paraId="4E2A2679" w14:textId="28C6F022" w:rsidR="00E5392D" w:rsidRPr="00A07F29" w:rsidRDefault="00E5392D" w:rsidP="00402A6B">
      <w:pPr>
        <w:spacing w:after="120" w:line="240" w:lineRule="auto"/>
        <w:ind w:firstLine="851"/>
        <w:jc w:val="both"/>
        <w:rPr>
          <w:rFonts w:ascii="Times New Roman" w:eastAsia="Calibri" w:hAnsi="Times New Roman" w:cs="Calibri"/>
          <w:sz w:val="24"/>
          <w:szCs w:val="24"/>
        </w:rPr>
      </w:pPr>
      <w:r w:rsidRPr="00A07F29">
        <w:rPr>
          <w:rFonts w:ascii="Times New Roman" w:eastAsia="Calibri" w:hAnsi="Times New Roman" w:cs="Calibri"/>
          <w:sz w:val="24"/>
          <w:szCs w:val="24"/>
        </w:rPr>
        <w:t xml:space="preserve">Uz </w:t>
      </w:r>
      <w:r w:rsidR="0D01A90A" w:rsidRPr="00A07F29">
        <w:rPr>
          <w:rFonts w:ascii="Times New Roman" w:eastAsia="Calibri" w:hAnsi="Times New Roman" w:cs="Calibri"/>
          <w:sz w:val="24"/>
          <w:szCs w:val="24"/>
        </w:rPr>
        <w:t>R</w:t>
      </w:r>
      <w:r w:rsidRPr="00A07F29">
        <w:rPr>
          <w:rFonts w:ascii="Times New Roman" w:eastAsia="Calibri" w:hAnsi="Times New Roman" w:cs="Calibri"/>
          <w:sz w:val="24"/>
          <w:szCs w:val="24"/>
        </w:rPr>
        <w:t xml:space="preserve"> no marginālās joslas, starp Spruktiem un </w:t>
      </w:r>
      <w:proofErr w:type="spellStart"/>
      <w:r w:rsidRPr="00A07F29">
        <w:rPr>
          <w:rFonts w:ascii="Times New Roman" w:eastAsia="Calibri" w:hAnsi="Times New Roman" w:cs="Calibri"/>
          <w:sz w:val="24"/>
          <w:szCs w:val="24"/>
        </w:rPr>
        <w:t>Sargelišķiem</w:t>
      </w:r>
      <w:proofErr w:type="spellEnd"/>
      <w:r w:rsidRPr="00A07F29">
        <w:rPr>
          <w:rFonts w:ascii="Times New Roman" w:eastAsia="Calibri" w:hAnsi="Times New Roman" w:cs="Calibri"/>
          <w:sz w:val="24"/>
          <w:szCs w:val="24"/>
        </w:rPr>
        <w:t xml:space="preserve"> raksturīgs morēnas pauguru reljefs, kuru </w:t>
      </w:r>
      <w:proofErr w:type="spellStart"/>
      <w:r w:rsidRPr="00A07F29">
        <w:rPr>
          <w:rFonts w:ascii="Times New Roman" w:eastAsia="Calibri" w:hAnsi="Times New Roman" w:cs="Calibri"/>
          <w:sz w:val="24"/>
          <w:szCs w:val="24"/>
        </w:rPr>
        <w:t>Sargelišķu</w:t>
      </w:r>
      <w:proofErr w:type="spellEnd"/>
      <w:r w:rsidRPr="00A07F29">
        <w:rPr>
          <w:rFonts w:ascii="Times New Roman" w:eastAsia="Calibri" w:hAnsi="Times New Roman" w:cs="Calibri"/>
          <w:sz w:val="24"/>
          <w:szCs w:val="24"/>
        </w:rPr>
        <w:t xml:space="preserve"> apkārtnē nomaina </w:t>
      </w:r>
      <w:proofErr w:type="spellStart"/>
      <w:r w:rsidRPr="00A07F29">
        <w:rPr>
          <w:rFonts w:ascii="Times New Roman" w:eastAsia="Calibri" w:hAnsi="Times New Roman" w:cs="Calibri"/>
          <w:sz w:val="24"/>
          <w:szCs w:val="24"/>
        </w:rPr>
        <w:t>glaciofluviālu</w:t>
      </w:r>
      <w:proofErr w:type="spellEnd"/>
      <w:r w:rsidRPr="00A07F29">
        <w:rPr>
          <w:rFonts w:ascii="Times New Roman" w:eastAsia="Calibri" w:hAnsi="Times New Roman" w:cs="Calibri"/>
          <w:sz w:val="24"/>
          <w:szCs w:val="24"/>
        </w:rPr>
        <w:t xml:space="preserve"> </w:t>
      </w:r>
      <w:proofErr w:type="spellStart"/>
      <w:r w:rsidRPr="00A07F29">
        <w:rPr>
          <w:rFonts w:ascii="Times New Roman" w:eastAsia="Calibri" w:hAnsi="Times New Roman" w:cs="Calibri"/>
          <w:sz w:val="24"/>
          <w:szCs w:val="24"/>
        </w:rPr>
        <w:t>kēmu</w:t>
      </w:r>
      <w:proofErr w:type="spellEnd"/>
      <w:r w:rsidRPr="00A07F29">
        <w:rPr>
          <w:rFonts w:ascii="Times New Roman" w:eastAsia="Calibri" w:hAnsi="Times New Roman" w:cs="Calibri"/>
          <w:sz w:val="24"/>
          <w:szCs w:val="24"/>
        </w:rPr>
        <w:t xml:space="preserve"> komplekss. Faktiski visā pārējā </w:t>
      </w:r>
      <w:r w:rsidR="00CB1E83" w:rsidRPr="00A07F29">
        <w:rPr>
          <w:rFonts w:ascii="Times New Roman" w:eastAsia="Calibri" w:hAnsi="Times New Roman" w:cs="Calibri"/>
          <w:sz w:val="24"/>
          <w:szCs w:val="24"/>
        </w:rPr>
        <w:t xml:space="preserve">AAA </w:t>
      </w:r>
      <w:r w:rsidR="00F67EDB" w:rsidRPr="00A07F29">
        <w:rPr>
          <w:rFonts w:ascii="Times New Roman" w:eastAsia="Calibri" w:hAnsi="Times New Roman" w:cs="Calibri"/>
          <w:sz w:val="24"/>
          <w:szCs w:val="24"/>
        </w:rPr>
        <w:t> </w:t>
      </w:r>
      <w:r w:rsidR="00CB1E83" w:rsidRPr="00A07F29">
        <w:rPr>
          <w:rFonts w:ascii="Times New Roman" w:eastAsia="Calibri" w:hAnsi="Times New Roman" w:cs="Calibri"/>
          <w:sz w:val="24"/>
          <w:szCs w:val="24"/>
        </w:rPr>
        <w:t>Augšdaugava”</w:t>
      </w:r>
      <w:r w:rsidRPr="00A07F29">
        <w:rPr>
          <w:rFonts w:ascii="Times New Roman" w:eastAsia="Calibri" w:hAnsi="Times New Roman" w:cs="Calibri"/>
          <w:sz w:val="24"/>
          <w:szCs w:val="24"/>
        </w:rPr>
        <w:t xml:space="preserve"> teritorijā ietilpstošajā Latgales augstienes daļā, līdz pat Kraujas ciematam, kur tas beidzas, dominē morēnas pauguru reljefs, kuru tiešā Daugavas ielejas tuvumā </w:t>
      </w:r>
      <w:proofErr w:type="spellStart"/>
      <w:r w:rsidRPr="00A07F29">
        <w:rPr>
          <w:rFonts w:ascii="Times New Roman" w:eastAsia="Calibri" w:hAnsi="Times New Roman" w:cs="Calibri"/>
          <w:sz w:val="24"/>
          <w:szCs w:val="24"/>
        </w:rPr>
        <w:t>Butišķu</w:t>
      </w:r>
      <w:proofErr w:type="spellEnd"/>
      <w:r w:rsidRPr="00A07F29">
        <w:rPr>
          <w:rFonts w:ascii="Times New Roman" w:eastAsia="Calibri" w:hAnsi="Times New Roman" w:cs="Calibri"/>
          <w:sz w:val="24"/>
          <w:szCs w:val="24"/>
        </w:rPr>
        <w:t xml:space="preserve"> lokā aizstāj šaura </w:t>
      </w:r>
      <w:proofErr w:type="spellStart"/>
      <w:r w:rsidRPr="00A07F29">
        <w:rPr>
          <w:rFonts w:ascii="Times New Roman" w:eastAsia="Calibri" w:hAnsi="Times New Roman" w:cs="Calibri"/>
          <w:sz w:val="24"/>
          <w:szCs w:val="24"/>
        </w:rPr>
        <w:t>glaciofluviālu</w:t>
      </w:r>
      <w:proofErr w:type="spellEnd"/>
      <w:r w:rsidRPr="00A07F29">
        <w:rPr>
          <w:rFonts w:ascii="Times New Roman" w:eastAsia="Calibri" w:hAnsi="Times New Roman" w:cs="Calibri"/>
          <w:sz w:val="24"/>
          <w:szCs w:val="24"/>
        </w:rPr>
        <w:t xml:space="preserve"> </w:t>
      </w:r>
      <w:proofErr w:type="spellStart"/>
      <w:r w:rsidRPr="00A07F29">
        <w:rPr>
          <w:rFonts w:ascii="Times New Roman" w:eastAsia="Calibri" w:hAnsi="Times New Roman" w:cs="Calibri"/>
          <w:sz w:val="24"/>
          <w:szCs w:val="24"/>
        </w:rPr>
        <w:t>kēmu</w:t>
      </w:r>
      <w:proofErr w:type="spellEnd"/>
      <w:r w:rsidRPr="00A07F29">
        <w:rPr>
          <w:rFonts w:ascii="Times New Roman" w:eastAsia="Calibri" w:hAnsi="Times New Roman" w:cs="Calibri"/>
          <w:sz w:val="24"/>
          <w:szCs w:val="24"/>
        </w:rPr>
        <w:t xml:space="preserve"> josla. Atšķirīga aina vērojama </w:t>
      </w:r>
      <w:r w:rsidRPr="00A07F29">
        <w:rPr>
          <w:rFonts w:ascii="Times New Roman" w:eastAsia="Calibri" w:hAnsi="Times New Roman" w:cs="Calibri"/>
          <w:sz w:val="24"/>
          <w:szCs w:val="24"/>
        </w:rPr>
        <w:lastRenderedPageBreak/>
        <w:t xml:space="preserve">AAA </w:t>
      </w:r>
      <w:r w:rsidR="00F67EDB" w:rsidRPr="00A07F29">
        <w:rPr>
          <w:rFonts w:ascii="Times New Roman" w:eastAsia="Calibri" w:hAnsi="Times New Roman" w:cs="Calibri"/>
          <w:sz w:val="24"/>
          <w:szCs w:val="24"/>
        </w:rPr>
        <w:t>“</w:t>
      </w:r>
      <w:r w:rsidRPr="00A07F29">
        <w:rPr>
          <w:rFonts w:ascii="Times New Roman" w:eastAsia="Calibri" w:hAnsi="Times New Roman" w:cs="Calibri"/>
          <w:sz w:val="24"/>
          <w:szCs w:val="24"/>
        </w:rPr>
        <w:t xml:space="preserve">Augšdaugava” Augšzemes augstienes daļā. </w:t>
      </w:r>
      <w:proofErr w:type="spellStart"/>
      <w:r w:rsidRPr="00A07F29">
        <w:rPr>
          <w:rFonts w:ascii="Times New Roman" w:eastAsia="Calibri" w:hAnsi="Times New Roman" w:cs="Calibri"/>
          <w:sz w:val="24"/>
          <w:szCs w:val="24"/>
        </w:rPr>
        <w:t>Vecsiķeles</w:t>
      </w:r>
      <w:proofErr w:type="spellEnd"/>
      <w:r w:rsidRPr="00A07F29">
        <w:rPr>
          <w:rFonts w:ascii="Times New Roman" w:eastAsia="Calibri" w:hAnsi="Times New Roman" w:cs="Calibri"/>
          <w:sz w:val="24"/>
          <w:szCs w:val="24"/>
        </w:rPr>
        <w:t xml:space="preserve"> </w:t>
      </w:r>
      <w:r w:rsidR="00124153" w:rsidRPr="00A07F29">
        <w:rPr>
          <w:rFonts w:ascii="Times New Roman" w:eastAsia="Calibri" w:hAnsi="Times New Roman" w:cs="Calibri"/>
          <w:sz w:val="24"/>
          <w:szCs w:val="24"/>
        </w:rPr>
        <w:t>–</w:t>
      </w:r>
      <w:r w:rsidRPr="00A07F29">
        <w:rPr>
          <w:rFonts w:ascii="Times New Roman" w:eastAsia="Calibri" w:hAnsi="Times New Roman" w:cs="Calibri"/>
          <w:sz w:val="24"/>
          <w:szCs w:val="24"/>
        </w:rPr>
        <w:t xml:space="preserve"> Grantiņu māju tuvumā izvietojusies </w:t>
      </w:r>
      <w:proofErr w:type="spellStart"/>
      <w:r w:rsidRPr="00A07F29">
        <w:rPr>
          <w:rFonts w:ascii="Times New Roman" w:eastAsia="Calibri" w:hAnsi="Times New Roman" w:cs="Calibri"/>
          <w:sz w:val="24"/>
          <w:szCs w:val="24"/>
        </w:rPr>
        <w:t>glaciofluviālu</w:t>
      </w:r>
      <w:proofErr w:type="spellEnd"/>
      <w:r w:rsidRPr="00A07F29">
        <w:rPr>
          <w:rFonts w:ascii="Times New Roman" w:eastAsia="Calibri" w:hAnsi="Times New Roman" w:cs="Calibri"/>
          <w:sz w:val="24"/>
          <w:szCs w:val="24"/>
        </w:rPr>
        <w:t xml:space="preserve"> </w:t>
      </w:r>
      <w:proofErr w:type="spellStart"/>
      <w:r w:rsidRPr="00A07F29">
        <w:rPr>
          <w:rFonts w:ascii="Times New Roman" w:eastAsia="Calibri" w:hAnsi="Times New Roman" w:cs="Calibri"/>
          <w:sz w:val="24"/>
          <w:szCs w:val="24"/>
        </w:rPr>
        <w:t>kēmu</w:t>
      </w:r>
      <w:proofErr w:type="spellEnd"/>
      <w:r w:rsidRPr="00A07F29">
        <w:rPr>
          <w:rFonts w:ascii="Times New Roman" w:eastAsia="Calibri" w:hAnsi="Times New Roman" w:cs="Calibri"/>
          <w:sz w:val="24"/>
          <w:szCs w:val="24"/>
        </w:rPr>
        <w:t xml:space="preserve"> kopa. Virzienā uz </w:t>
      </w:r>
      <w:r w:rsidR="1536A416" w:rsidRPr="00A07F29">
        <w:rPr>
          <w:rFonts w:ascii="Times New Roman" w:eastAsia="Calibri" w:hAnsi="Times New Roman" w:cs="Calibri"/>
          <w:sz w:val="24"/>
          <w:szCs w:val="24"/>
        </w:rPr>
        <w:t>A</w:t>
      </w:r>
      <w:r w:rsidRPr="00A07F29">
        <w:rPr>
          <w:rFonts w:ascii="Times New Roman" w:eastAsia="Calibri" w:hAnsi="Times New Roman" w:cs="Calibri"/>
          <w:sz w:val="24"/>
          <w:szCs w:val="24"/>
        </w:rPr>
        <w:t xml:space="preserve">, </w:t>
      </w:r>
      <w:proofErr w:type="spellStart"/>
      <w:r w:rsidRPr="00A07F29">
        <w:rPr>
          <w:rFonts w:ascii="Times New Roman" w:eastAsia="Calibri" w:hAnsi="Times New Roman" w:cs="Calibri"/>
          <w:sz w:val="24"/>
          <w:szCs w:val="24"/>
        </w:rPr>
        <w:t>Ververu</w:t>
      </w:r>
      <w:proofErr w:type="spellEnd"/>
      <w:r w:rsidRPr="00A07F29">
        <w:rPr>
          <w:rFonts w:ascii="Times New Roman" w:eastAsia="Calibri" w:hAnsi="Times New Roman" w:cs="Calibri"/>
          <w:sz w:val="24"/>
          <w:szCs w:val="24"/>
        </w:rPr>
        <w:t xml:space="preserve"> loka virsotnes </w:t>
      </w:r>
      <w:r w:rsidR="4FC6556A" w:rsidRPr="00A07F29">
        <w:rPr>
          <w:rFonts w:ascii="Times New Roman" w:eastAsia="Calibri" w:hAnsi="Times New Roman" w:cs="Calibri"/>
          <w:sz w:val="24"/>
          <w:szCs w:val="24"/>
        </w:rPr>
        <w:t>R</w:t>
      </w:r>
      <w:r w:rsidRPr="00A07F29">
        <w:rPr>
          <w:rFonts w:ascii="Times New Roman" w:eastAsia="Calibri" w:hAnsi="Times New Roman" w:cs="Calibri"/>
          <w:sz w:val="24"/>
          <w:szCs w:val="24"/>
        </w:rPr>
        <w:t xml:space="preserve"> pusei un </w:t>
      </w:r>
      <w:proofErr w:type="spellStart"/>
      <w:r w:rsidRPr="00A07F29">
        <w:rPr>
          <w:rFonts w:ascii="Times New Roman" w:eastAsia="Calibri" w:hAnsi="Times New Roman" w:cs="Calibri"/>
          <w:sz w:val="24"/>
          <w:szCs w:val="24"/>
        </w:rPr>
        <w:t>Rozališķu</w:t>
      </w:r>
      <w:proofErr w:type="spellEnd"/>
      <w:r w:rsidRPr="00A07F29">
        <w:rPr>
          <w:rFonts w:ascii="Times New Roman" w:eastAsia="Calibri" w:hAnsi="Times New Roman" w:cs="Calibri"/>
          <w:sz w:val="24"/>
          <w:szCs w:val="24"/>
        </w:rPr>
        <w:t xml:space="preserve"> loka </w:t>
      </w:r>
      <w:r w:rsidR="1B9D3A7A" w:rsidRPr="00A07F29">
        <w:rPr>
          <w:rFonts w:ascii="Times New Roman" w:eastAsia="Calibri" w:hAnsi="Times New Roman" w:cs="Calibri"/>
          <w:sz w:val="24"/>
          <w:szCs w:val="24"/>
        </w:rPr>
        <w:t>A</w:t>
      </w:r>
      <w:r w:rsidRPr="00A07F29">
        <w:rPr>
          <w:rFonts w:ascii="Times New Roman" w:eastAsia="Calibri" w:hAnsi="Times New Roman" w:cs="Calibri"/>
          <w:sz w:val="24"/>
          <w:szCs w:val="24"/>
        </w:rPr>
        <w:t xml:space="preserve"> daļai piegulošajā ainavu apvidus joslā ārpus Daugavas ielejas to nomaina nolaidens, gravu </w:t>
      </w:r>
      <w:proofErr w:type="spellStart"/>
      <w:r w:rsidRPr="00A07F29">
        <w:rPr>
          <w:rFonts w:ascii="Times New Roman" w:eastAsia="Calibri" w:hAnsi="Times New Roman" w:cs="Calibri"/>
          <w:sz w:val="24"/>
          <w:szCs w:val="24"/>
        </w:rPr>
        <w:t>saposmots</w:t>
      </w:r>
      <w:proofErr w:type="spellEnd"/>
      <w:r w:rsidRPr="00A07F29">
        <w:rPr>
          <w:rFonts w:ascii="Times New Roman" w:eastAsia="Calibri" w:hAnsi="Times New Roman" w:cs="Calibri"/>
          <w:sz w:val="24"/>
          <w:szCs w:val="24"/>
        </w:rPr>
        <w:t xml:space="preserve"> </w:t>
      </w:r>
      <w:proofErr w:type="spellStart"/>
      <w:r w:rsidRPr="00A07F29">
        <w:rPr>
          <w:rFonts w:ascii="Times New Roman" w:eastAsia="Calibri" w:hAnsi="Times New Roman" w:cs="Calibri"/>
          <w:sz w:val="24"/>
          <w:szCs w:val="24"/>
        </w:rPr>
        <w:t>pamatmorēnas</w:t>
      </w:r>
      <w:proofErr w:type="spellEnd"/>
      <w:r w:rsidRPr="00A07F29">
        <w:rPr>
          <w:rFonts w:ascii="Times New Roman" w:eastAsia="Calibri" w:hAnsi="Times New Roman" w:cs="Calibri"/>
          <w:sz w:val="24"/>
          <w:szCs w:val="24"/>
        </w:rPr>
        <w:t xml:space="preserve"> līdzenums ar kritumu Daugavas ielejas virzienā.</w:t>
      </w:r>
    </w:p>
    <w:p w14:paraId="4212C1B4" w14:textId="33F7CF21" w:rsidR="00E5392D" w:rsidRPr="00A07F29" w:rsidRDefault="00CB1E83" w:rsidP="00402A6B">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b/>
          <w:bCs/>
          <w:sz w:val="24"/>
        </w:rPr>
        <w:t xml:space="preserve">AAA </w:t>
      </w:r>
      <w:r w:rsidR="00E90764" w:rsidRPr="00A07F29">
        <w:rPr>
          <w:rFonts w:ascii="Times New Roman" w:eastAsia="Calibri" w:hAnsi="Times New Roman" w:cs="Calibri"/>
          <w:b/>
          <w:bCs/>
          <w:sz w:val="24"/>
        </w:rPr>
        <w:t>“</w:t>
      </w:r>
      <w:r w:rsidRPr="00A07F29">
        <w:rPr>
          <w:rFonts w:ascii="Times New Roman" w:eastAsia="Calibri" w:hAnsi="Times New Roman" w:cs="Calibri"/>
          <w:b/>
          <w:bCs/>
          <w:sz w:val="24"/>
        </w:rPr>
        <w:t xml:space="preserve">Augšdaugava” </w:t>
      </w:r>
      <w:r w:rsidR="00E5392D" w:rsidRPr="00A07F29">
        <w:rPr>
          <w:rFonts w:ascii="Times New Roman" w:eastAsia="Calibri" w:hAnsi="Times New Roman" w:cs="Calibri"/>
          <w:b/>
          <w:sz w:val="24"/>
        </w:rPr>
        <w:t xml:space="preserve">ietilpstošās Daugavas </w:t>
      </w:r>
      <w:proofErr w:type="spellStart"/>
      <w:r w:rsidR="00E5392D" w:rsidRPr="00A07F29">
        <w:rPr>
          <w:rFonts w:ascii="Times New Roman" w:eastAsia="Calibri" w:hAnsi="Times New Roman" w:cs="Calibri"/>
          <w:b/>
          <w:sz w:val="24"/>
        </w:rPr>
        <w:t>senielejas</w:t>
      </w:r>
      <w:proofErr w:type="spellEnd"/>
      <w:r w:rsidR="00E5392D" w:rsidRPr="00A07F29">
        <w:rPr>
          <w:rFonts w:ascii="Times New Roman" w:eastAsia="Calibri" w:hAnsi="Times New Roman" w:cs="Calibri"/>
          <w:b/>
          <w:sz w:val="24"/>
        </w:rPr>
        <w:t xml:space="preserve"> morfoloģija.</w:t>
      </w:r>
      <w:r w:rsidR="00E5392D" w:rsidRPr="00A07F29">
        <w:rPr>
          <w:rFonts w:ascii="Times New Roman" w:eastAsia="Calibri" w:hAnsi="Times New Roman" w:cs="Calibri"/>
          <w:sz w:val="24"/>
        </w:rPr>
        <w:t xml:space="preserve"> </w:t>
      </w:r>
      <w:r w:rsidR="00F27BEE" w:rsidRPr="00A07F29">
        <w:rPr>
          <w:rFonts w:ascii="Times New Roman" w:eastAsia="Calibri" w:hAnsi="Times New Roman" w:cs="Calibri"/>
          <w:sz w:val="24"/>
        </w:rPr>
        <w:t>Atbilsto</w:t>
      </w:r>
      <w:r w:rsidR="00E90764" w:rsidRPr="00A07F29">
        <w:rPr>
          <w:rFonts w:ascii="Times New Roman" w:eastAsia="Calibri" w:hAnsi="Times New Roman" w:cs="Calibri"/>
          <w:sz w:val="24"/>
        </w:rPr>
        <w:t>š</w:t>
      </w:r>
      <w:r w:rsidR="00F27BEE" w:rsidRPr="00A07F29">
        <w:rPr>
          <w:rFonts w:ascii="Times New Roman" w:eastAsia="Calibri" w:hAnsi="Times New Roman" w:cs="Calibri"/>
          <w:sz w:val="24"/>
        </w:rPr>
        <w:t xml:space="preserve">i </w:t>
      </w:r>
      <w:r w:rsidR="00E5392D" w:rsidRPr="00A07F29">
        <w:rPr>
          <w:rFonts w:ascii="Times New Roman" w:eastAsia="Calibri" w:hAnsi="Times New Roman" w:cs="Calibri"/>
          <w:sz w:val="24"/>
        </w:rPr>
        <w:t xml:space="preserve">Daugavas ielejas morfoloģijas un uzbūves īpatnībām </w:t>
      </w:r>
      <w:r w:rsidR="00F27BEE" w:rsidRPr="00A07F29">
        <w:rPr>
          <w:rFonts w:ascii="Times New Roman" w:eastAsia="Calibri" w:hAnsi="Times New Roman" w:cs="Calibri"/>
          <w:sz w:val="24"/>
        </w:rPr>
        <w:t>G.</w:t>
      </w:r>
      <w:r w:rsidR="00E90764" w:rsidRPr="00A07F29">
        <w:rPr>
          <w:rFonts w:ascii="Times New Roman" w:eastAsia="Calibri" w:hAnsi="Times New Roman" w:cs="Calibri"/>
          <w:sz w:val="24"/>
        </w:rPr>
        <w:t> </w:t>
      </w:r>
      <w:proofErr w:type="spellStart"/>
      <w:r w:rsidR="00F27BEE" w:rsidRPr="00A07F29">
        <w:rPr>
          <w:rFonts w:ascii="Times New Roman" w:eastAsia="Calibri" w:hAnsi="Times New Roman" w:cs="Calibri"/>
          <w:sz w:val="24"/>
        </w:rPr>
        <w:t>Eberhards</w:t>
      </w:r>
      <w:proofErr w:type="spellEnd"/>
      <w:r w:rsidR="00F27BEE" w:rsidRPr="00A07F29">
        <w:rPr>
          <w:rFonts w:ascii="Times New Roman" w:eastAsia="Calibri" w:hAnsi="Times New Roman" w:cs="Calibri"/>
          <w:sz w:val="24"/>
        </w:rPr>
        <w:t xml:space="preserve"> (1972) </w:t>
      </w:r>
      <w:r w:rsidR="00E5392D" w:rsidRPr="00A07F29">
        <w:rPr>
          <w:rFonts w:ascii="Times New Roman" w:eastAsia="Calibri" w:hAnsi="Times New Roman" w:cs="Calibri"/>
          <w:sz w:val="24"/>
        </w:rPr>
        <w:t xml:space="preserve">to sadala piecos lielos posmos: </w:t>
      </w:r>
      <w:proofErr w:type="spellStart"/>
      <w:r w:rsidR="00E5392D" w:rsidRPr="00A07F29">
        <w:rPr>
          <w:rFonts w:ascii="Times New Roman" w:eastAsia="Calibri" w:hAnsi="Times New Roman" w:cs="Calibri"/>
          <w:sz w:val="24"/>
        </w:rPr>
        <w:t>Dvorčanskas</w:t>
      </w:r>
      <w:proofErr w:type="spellEnd"/>
      <w:r w:rsidR="00E5392D" w:rsidRPr="00A07F29">
        <w:rPr>
          <w:rFonts w:ascii="Times New Roman" w:eastAsia="Calibri" w:hAnsi="Times New Roman" w:cs="Calibri"/>
          <w:sz w:val="24"/>
        </w:rPr>
        <w:t xml:space="preserve">, Piedrujas-Naujenes, Naujenes-Jēkabpils, Jēkabpils-Saulkalnes un grīvas posmā. AAA </w:t>
      </w:r>
      <w:r w:rsidR="00BE2F19" w:rsidRPr="00A07F29">
        <w:rPr>
          <w:rFonts w:ascii="Times New Roman" w:eastAsia="Calibri" w:hAnsi="Times New Roman" w:cs="Calibri"/>
          <w:sz w:val="24"/>
        </w:rPr>
        <w:t>“</w:t>
      </w:r>
      <w:r w:rsidR="00E5392D" w:rsidRPr="00A07F29">
        <w:rPr>
          <w:rFonts w:ascii="Times New Roman" w:eastAsia="Calibri" w:hAnsi="Times New Roman" w:cs="Calibri"/>
          <w:sz w:val="24"/>
        </w:rPr>
        <w:t xml:space="preserve">Augšdaugava” iekļaujas Piedrujas-Naujenes posmā un ietver arī izteiksmīgo </w:t>
      </w:r>
      <w:proofErr w:type="spellStart"/>
      <w:r w:rsidR="00E5392D" w:rsidRPr="00A07F29">
        <w:rPr>
          <w:rFonts w:ascii="Times New Roman" w:eastAsia="Calibri" w:hAnsi="Times New Roman" w:cs="Calibri"/>
          <w:sz w:val="24"/>
        </w:rPr>
        <w:t>senieleju</w:t>
      </w:r>
      <w:proofErr w:type="spellEnd"/>
      <w:r w:rsidR="00E5392D" w:rsidRPr="00A07F29">
        <w:rPr>
          <w:rFonts w:ascii="Times New Roman" w:eastAsia="Calibri" w:hAnsi="Times New Roman" w:cs="Calibri"/>
          <w:sz w:val="24"/>
        </w:rPr>
        <w:t xml:space="preserve"> posmā starp Krāslavu un Kraujas ciematu.</w:t>
      </w:r>
      <w:r w:rsidR="00C01BC2" w:rsidRPr="00A07F29">
        <w:rPr>
          <w:rFonts w:ascii="Times New Roman" w:eastAsia="Calibri" w:hAnsi="Times New Roman" w:cs="Calibri"/>
          <w:sz w:val="24"/>
        </w:rPr>
        <w:t xml:space="preserve"> Kopējais ielejas garums </w:t>
      </w:r>
      <w:proofErr w:type="spellStart"/>
      <w:r w:rsidR="00C01BC2" w:rsidRPr="00A07F29">
        <w:rPr>
          <w:rFonts w:ascii="Times New Roman" w:eastAsia="Calibri" w:hAnsi="Times New Roman" w:cs="Calibri"/>
          <w:sz w:val="24"/>
        </w:rPr>
        <w:t>Austrumlatvijas</w:t>
      </w:r>
      <w:proofErr w:type="spellEnd"/>
      <w:r w:rsidR="00C01BC2" w:rsidRPr="00A07F29">
        <w:rPr>
          <w:rFonts w:ascii="Times New Roman" w:eastAsia="Calibri" w:hAnsi="Times New Roman" w:cs="Calibri"/>
          <w:sz w:val="24"/>
        </w:rPr>
        <w:t xml:space="preserve"> augstieņu joslas ietvaros sasniedz aptuveni 70</w:t>
      </w:r>
      <w:r w:rsidR="00BE2F19" w:rsidRPr="00A07F29">
        <w:rPr>
          <w:rFonts w:ascii="Times New Roman" w:eastAsia="Calibri" w:hAnsi="Times New Roman" w:cs="Calibri"/>
          <w:sz w:val="24"/>
        </w:rPr>
        <w:t> </w:t>
      </w:r>
      <w:r w:rsidR="00C01BC2" w:rsidRPr="00A07F29">
        <w:rPr>
          <w:rFonts w:ascii="Times New Roman" w:eastAsia="Calibri" w:hAnsi="Times New Roman" w:cs="Calibri"/>
          <w:sz w:val="24"/>
        </w:rPr>
        <w:t xml:space="preserve">km. Ielejas </w:t>
      </w:r>
      <w:proofErr w:type="spellStart"/>
      <w:r w:rsidR="00C01BC2" w:rsidRPr="00A07F29">
        <w:rPr>
          <w:rFonts w:ascii="Times New Roman" w:eastAsia="Calibri" w:hAnsi="Times New Roman" w:cs="Calibri"/>
          <w:sz w:val="24"/>
        </w:rPr>
        <w:t>garenkritums</w:t>
      </w:r>
      <w:proofErr w:type="spellEnd"/>
      <w:r w:rsidR="00C01BC2" w:rsidRPr="00A07F29">
        <w:rPr>
          <w:rFonts w:ascii="Times New Roman" w:eastAsia="Calibri" w:hAnsi="Times New Roman" w:cs="Calibri"/>
          <w:sz w:val="24"/>
        </w:rPr>
        <w:t xml:space="preserve"> no Krāslavas līdz Kraujai sastāda apmēram 6</w:t>
      </w:r>
      <w:r w:rsidR="00BE2F19" w:rsidRPr="00A07F29">
        <w:rPr>
          <w:rFonts w:ascii="Times New Roman" w:eastAsia="Calibri" w:hAnsi="Times New Roman" w:cs="Calibri"/>
          <w:sz w:val="24"/>
        </w:rPr>
        <w:t> </w:t>
      </w:r>
      <w:r w:rsidR="00C01BC2" w:rsidRPr="00A07F29">
        <w:rPr>
          <w:rFonts w:ascii="Times New Roman" w:eastAsia="Calibri" w:hAnsi="Times New Roman" w:cs="Calibri"/>
          <w:sz w:val="24"/>
        </w:rPr>
        <w:t>m (no 95</w:t>
      </w:r>
      <w:r w:rsidR="00BE2F19" w:rsidRPr="00A07F29">
        <w:rPr>
          <w:rFonts w:ascii="Times New Roman" w:eastAsia="Calibri" w:hAnsi="Times New Roman" w:cs="Calibri"/>
          <w:sz w:val="24"/>
        </w:rPr>
        <w:t> </w:t>
      </w:r>
      <w:r w:rsidR="00C01BC2" w:rsidRPr="00A07F29">
        <w:rPr>
          <w:rFonts w:ascii="Times New Roman" w:eastAsia="Calibri" w:hAnsi="Times New Roman" w:cs="Calibri"/>
          <w:sz w:val="24"/>
        </w:rPr>
        <w:t xml:space="preserve">m </w:t>
      </w:r>
      <w:proofErr w:type="spellStart"/>
      <w:r w:rsidR="00C01BC2" w:rsidRPr="00A07F29">
        <w:rPr>
          <w:rFonts w:ascii="Times New Roman" w:eastAsia="Calibri" w:hAnsi="Times New Roman" w:cs="Calibri"/>
          <w:sz w:val="24"/>
        </w:rPr>
        <w:t>vjl</w:t>
      </w:r>
      <w:proofErr w:type="spellEnd"/>
      <w:r w:rsidR="00BE2F19" w:rsidRPr="00A07F29">
        <w:rPr>
          <w:rFonts w:ascii="Times New Roman" w:eastAsia="Calibri" w:hAnsi="Times New Roman" w:cs="Calibri"/>
          <w:sz w:val="24"/>
        </w:rPr>
        <w:t>.</w:t>
      </w:r>
      <w:r w:rsidR="00C01BC2" w:rsidRPr="00A07F29">
        <w:rPr>
          <w:rFonts w:ascii="Times New Roman" w:eastAsia="Calibri" w:hAnsi="Times New Roman" w:cs="Calibri"/>
          <w:sz w:val="24"/>
        </w:rPr>
        <w:t xml:space="preserve"> pie Krāslavas līdz 89</w:t>
      </w:r>
      <w:r w:rsidR="00BE2F19" w:rsidRPr="00A07F29">
        <w:rPr>
          <w:rFonts w:ascii="Times New Roman" w:eastAsia="Calibri" w:hAnsi="Times New Roman" w:cs="Calibri"/>
          <w:sz w:val="24"/>
        </w:rPr>
        <w:t> </w:t>
      </w:r>
      <w:r w:rsidR="00C01BC2" w:rsidRPr="00A07F29">
        <w:rPr>
          <w:rFonts w:ascii="Times New Roman" w:eastAsia="Calibri" w:hAnsi="Times New Roman" w:cs="Calibri"/>
          <w:sz w:val="24"/>
        </w:rPr>
        <w:t xml:space="preserve">m </w:t>
      </w:r>
      <w:proofErr w:type="spellStart"/>
      <w:r w:rsidR="00C01BC2" w:rsidRPr="00A07F29">
        <w:rPr>
          <w:rFonts w:ascii="Times New Roman" w:eastAsia="Calibri" w:hAnsi="Times New Roman" w:cs="Calibri"/>
          <w:sz w:val="24"/>
        </w:rPr>
        <w:t>vjl</w:t>
      </w:r>
      <w:proofErr w:type="spellEnd"/>
      <w:r w:rsidR="00BE2F19" w:rsidRPr="00A07F29">
        <w:rPr>
          <w:rFonts w:ascii="Times New Roman" w:eastAsia="Calibri" w:hAnsi="Times New Roman" w:cs="Calibri"/>
          <w:sz w:val="24"/>
        </w:rPr>
        <w:t>.</w:t>
      </w:r>
      <w:r w:rsidR="00C01BC2" w:rsidRPr="00A07F29">
        <w:rPr>
          <w:rFonts w:ascii="Times New Roman" w:eastAsia="Calibri" w:hAnsi="Times New Roman" w:cs="Calibri"/>
          <w:sz w:val="24"/>
        </w:rPr>
        <w:t xml:space="preserve"> pie Kraujas), kas ir apm. 15</w:t>
      </w:r>
      <w:r w:rsidR="0050757F" w:rsidRPr="00A07F29">
        <w:rPr>
          <w:rFonts w:ascii="Times New Roman" w:eastAsia="Calibri" w:hAnsi="Times New Roman" w:cs="Calibri"/>
          <w:sz w:val="24"/>
        </w:rPr>
        <w:t> </w:t>
      </w:r>
      <w:r w:rsidR="00C01BC2" w:rsidRPr="00A07F29">
        <w:rPr>
          <w:rFonts w:ascii="Times New Roman" w:eastAsia="Calibri" w:hAnsi="Times New Roman" w:cs="Calibri"/>
          <w:sz w:val="24"/>
        </w:rPr>
        <w:t>cm uz 1</w:t>
      </w:r>
      <w:r w:rsidR="0050757F" w:rsidRPr="00A07F29">
        <w:rPr>
          <w:rFonts w:ascii="Times New Roman" w:eastAsia="Calibri" w:hAnsi="Times New Roman" w:cs="Calibri"/>
          <w:sz w:val="24"/>
        </w:rPr>
        <w:t> </w:t>
      </w:r>
      <w:r w:rsidR="00C01BC2" w:rsidRPr="00A07F29">
        <w:rPr>
          <w:rFonts w:ascii="Times New Roman" w:eastAsia="Calibri" w:hAnsi="Times New Roman" w:cs="Calibri"/>
          <w:sz w:val="24"/>
        </w:rPr>
        <w:t>km.</w:t>
      </w:r>
    </w:p>
    <w:p w14:paraId="4D24B6AF" w14:textId="5DA508E8" w:rsidR="00E5392D" w:rsidRPr="00A07F29" w:rsidRDefault="00E5392D" w:rsidP="00402A6B">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szCs w:val="24"/>
        </w:rPr>
        <w:t xml:space="preserve">Šajā posmā </w:t>
      </w:r>
      <w:proofErr w:type="spellStart"/>
      <w:r w:rsidRPr="00A07F29">
        <w:rPr>
          <w:rFonts w:ascii="Times New Roman" w:eastAsia="Calibri" w:hAnsi="Times New Roman" w:cs="Calibri"/>
          <w:sz w:val="24"/>
          <w:szCs w:val="24"/>
        </w:rPr>
        <w:t>pamatkrasta</w:t>
      </w:r>
      <w:proofErr w:type="spellEnd"/>
      <w:r w:rsidRPr="00A07F29">
        <w:rPr>
          <w:rFonts w:ascii="Times New Roman" w:eastAsia="Calibri" w:hAnsi="Times New Roman" w:cs="Calibri"/>
          <w:sz w:val="24"/>
          <w:szCs w:val="24"/>
        </w:rPr>
        <w:t xml:space="preserve"> nogāze ne vienmēr ir labi izteikta, jo augšējā kompleksa terašu virsma bieži pāriet </w:t>
      </w:r>
      <w:proofErr w:type="spellStart"/>
      <w:r w:rsidRPr="00A07F29">
        <w:rPr>
          <w:rFonts w:ascii="Times New Roman" w:eastAsia="Calibri" w:hAnsi="Times New Roman" w:cs="Calibri"/>
          <w:sz w:val="24"/>
          <w:szCs w:val="24"/>
        </w:rPr>
        <w:t>kēmu</w:t>
      </w:r>
      <w:proofErr w:type="spellEnd"/>
      <w:r w:rsidRPr="00A07F29">
        <w:rPr>
          <w:rFonts w:ascii="Times New Roman" w:eastAsia="Calibri" w:hAnsi="Times New Roman" w:cs="Calibri"/>
          <w:sz w:val="24"/>
          <w:szCs w:val="24"/>
        </w:rPr>
        <w:t xml:space="preserve"> </w:t>
      </w:r>
      <w:proofErr w:type="spellStart"/>
      <w:r w:rsidRPr="00A07F29">
        <w:rPr>
          <w:rFonts w:ascii="Times New Roman" w:eastAsia="Calibri" w:hAnsi="Times New Roman" w:cs="Calibri"/>
          <w:sz w:val="24"/>
          <w:szCs w:val="24"/>
        </w:rPr>
        <w:t>paugurainēs</w:t>
      </w:r>
      <w:proofErr w:type="spellEnd"/>
      <w:r w:rsidRPr="00A07F29">
        <w:rPr>
          <w:rFonts w:ascii="Times New Roman" w:eastAsia="Calibri" w:hAnsi="Times New Roman" w:cs="Calibri"/>
          <w:sz w:val="24"/>
          <w:szCs w:val="24"/>
        </w:rPr>
        <w:t xml:space="preserve">. Šķērsojot augstieņu joslu </w:t>
      </w:r>
      <w:r w:rsidR="7AC23266" w:rsidRPr="00A07F29">
        <w:rPr>
          <w:rFonts w:ascii="Times New Roman" w:eastAsia="Calibri" w:hAnsi="Times New Roman" w:cs="Calibri"/>
          <w:sz w:val="24"/>
          <w:szCs w:val="24"/>
        </w:rPr>
        <w:t>R</w:t>
      </w:r>
      <w:r w:rsidRPr="00A07F29">
        <w:rPr>
          <w:rFonts w:ascii="Times New Roman" w:eastAsia="Calibri" w:hAnsi="Times New Roman" w:cs="Calibri"/>
          <w:sz w:val="24"/>
          <w:szCs w:val="24"/>
        </w:rPr>
        <w:t xml:space="preserve"> virzienā, Daugavas ieleja paplašinās no 2</w:t>
      </w:r>
      <w:r w:rsidR="0050757F" w:rsidRPr="00A07F29">
        <w:rPr>
          <w:rFonts w:ascii="Times New Roman" w:eastAsia="Calibri" w:hAnsi="Times New Roman" w:cs="Calibri"/>
          <w:sz w:val="24"/>
          <w:szCs w:val="24"/>
        </w:rPr>
        <w:t> </w:t>
      </w:r>
      <w:r w:rsidRPr="00A07F29">
        <w:rPr>
          <w:rFonts w:ascii="Times New Roman" w:eastAsia="Calibri" w:hAnsi="Times New Roman" w:cs="Calibri"/>
          <w:sz w:val="24"/>
          <w:szCs w:val="24"/>
        </w:rPr>
        <w:t>km pie Krāslavas līdz 4,5</w:t>
      </w:r>
      <w:r w:rsidR="0050757F" w:rsidRPr="00A07F29">
        <w:rPr>
          <w:rFonts w:ascii="Times New Roman" w:eastAsia="Calibri" w:hAnsi="Times New Roman" w:cs="Calibri"/>
          <w:sz w:val="24"/>
          <w:szCs w:val="24"/>
        </w:rPr>
        <w:t> </w:t>
      </w:r>
      <w:r w:rsidRPr="00A07F29">
        <w:rPr>
          <w:rFonts w:ascii="Times New Roman" w:eastAsia="Calibri" w:hAnsi="Times New Roman" w:cs="Calibri"/>
          <w:sz w:val="24"/>
          <w:szCs w:val="24"/>
        </w:rPr>
        <w:t>km pie Naujenes. Atbilstoši pieaug arī ielejas dziļums, sasniedzot 35</w:t>
      </w:r>
      <w:r w:rsidR="00AA0DFC" w:rsidRPr="00A07F29">
        <w:rPr>
          <w:rFonts w:ascii="Times New Roman" w:eastAsia="Calibri" w:hAnsi="Times New Roman" w:cs="Calibri"/>
          <w:sz w:val="24"/>
          <w:szCs w:val="24"/>
        </w:rPr>
        <w:t> – </w:t>
      </w:r>
      <w:r w:rsidRPr="00A07F29">
        <w:rPr>
          <w:rFonts w:ascii="Times New Roman" w:eastAsia="Calibri" w:hAnsi="Times New Roman" w:cs="Calibri"/>
          <w:sz w:val="24"/>
          <w:szCs w:val="24"/>
        </w:rPr>
        <w:t>40</w:t>
      </w:r>
      <w:r w:rsidR="00AA0DFC" w:rsidRPr="00A07F29">
        <w:rPr>
          <w:rFonts w:ascii="Times New Roman" w:eastAsia="Calibri" w:hAnsi="Times New Roman" w:cs="Calibri"/>
          <w:sz w:val="24"/>
          <w:szCs w:val="24"/>
        </w:rPr>
        <w:t> </w:t>
      </w:r>
      <w:r w:rsidRPr="00A07F29">
        <w:rPr>
          <w:rFonts w:ascii="Times New Roman" w:eastAsia="Calibri" w:hAnsi="Times New Roman" w:cs="Calibri"/>
          <w:sz w:val="24"/>
          <w:szCs w:val="24"/>
        </w:rPr>
        <w:t>m. Iemesls šādam straujam ielejas paplašinājumam lejpus Krāslavas ir vairāku lielu iegrauzto meandru izveidošanās (Sleinis</w:t>
      </w:r>
      <w:r w:rsidR="00876237" w:rsidRPr="00A07F29">
        <w:rPr>
          <w:rFonts w:ascii="Times New Roman" w:eastAsia="Calibri" w:hAnsi="Times New Roman" w:cs="Calibri"/>
          <w:sz w:val="24"/>
          <w:szCs w:val="24"/>
        </w:rPr>
        <w:t xml:space="preserve"> I.,</w:t>
      </w:r>
      <w:r w:rsidRPr="00A07F29">
        <w:rPr>
          <w:rFonts w:ascii="Times New Roman" w:eastAsia="Calibri" w:hAnsi="Times New Roman" w:cs="Calibri"/>
          <w:sz w:val="24"/>
          <w:szCs w:val="24"/>
        </w:rPr>
        <w:t xml:space="preserve"> </w:t>
      </w:r>
      <w:proofErr w:type="spellStart"/>
      <w:r w:rsidR="00867F65" w:rsidRPr="00A07F29">
        <w:rPr>
          <w:rFonts w:ascii="Times New Roman" w:eastAsia="Calibri" w:hAnsi="Times New Roman" w:cs="Calibri"/>
          <w:sz w:val="24"/>
          <w:szCs w:val="24"/>
        </w:rPr>
        <w:t>et</w:t>
      </w:r>
      <w:proofErr w:type="spellEnd"/>
      <w:r w:rsidR="00867F65" w:rsidRPr="00A07F29">
        <w:rPr>
          <w:rFonts w:ascii="Times New Roman" w:eastAsia="Calibri" w:hAnsi="Times New Roman" w:cs="Calibri"/>
          <w:sz w:val="24"/>
          <w:szCs w:val="24"/>
        </w:rPr>
        <w:t xml:space="preserve"> al</w:t>
      </w:r>
      <w:r w:rsidR="003C66DF" w:rsidRPr="00A07F29">
        <w:rPr>
          <w:rFonts w:ascii="Times New Roman" w:eastAsia="Calibri" w:hAnsi="Times New Roman" w:cs="Calibri"/>
          <w:sz w:val="24"/>
          <w:szCs w:val="24"/>
        </w:rPr>
        <w:t>,</w:t>
      </w:r>
      <w:r w:rsidRPr="00A07F29">
        <w:rPr>
          <w:rFonts w:ascii="Times New Roman" w:eastAsia="Calibri" w:hAnsi="Times New Roman" w:cs="Calibri"/>
          <w:sz w:val="24"/>
          <w:szCs w:val="24"/>
        </w:rPr>
        <w:t xml:space="preserve"> 1933). </w:t>
      </w:r>
      <w:r w:rsidR="00C01BC2" w:rsidRPr="00A07F29">
        <w:rPr>
          <w:rFonts w:ascii="Times New Roman" w:eastAsia="Calibri" w:hAnsi="Times New Roman" w:cs="Calibri"/>
          <w:sz w:val="24"/>
          <w:szCs w:val="24"/>
        </w:rPr>
        <w:t>Līdz ar to</w:t>
      </w:r>
      <w:r w:rsidRPr="00A07F29">
        <w:rPr>
          <w:rFonts w:ascii="Times New Roman" w:eastAsia="Calibri" w:hAnsi="Times New Roman" w:cs="Calibri"/>
          <w:sz w:val="24"/>
          <w:szCs w:val="24"/>
        </w:rPr>
        <w:t xml:space="preserve"> ieleja iegūst asimetrisku raksturu </w:t>
      </w:r>
      <w:r w:rsidR="00C01BC2" w:rsidRPr="00A07F29">
        <w:rPr>
          <w:rFonts w:ascii="Times New Roman" w:eastAsia="Calibri" w:hAnsi="Times New Roman" w:cs="Calibri"/>
          <w:sz w:val="24"/>
          <w:szCs w:val="24"/>
        </w:rPr>
        <w:t>–</w:t>
      </w:r>
      <w:r w:rsidRPr="00A07F29">
        <w:rPr>
          <w:rFonts w:ascii="Times New Roman" w:eastAsia="Calibri" w:hAnsi="Times New Roman" w:cs="Calibri"/>
          <w:sz w:val="24"/>
          <w:szCs w:val="24"/>
        </w:rPr>
        <w:t xml:space="preserve"> plašas </w:t>
      </w:r>
      <w:proofErr w:type="spellStart"/>
      <w:r w:rsidRPr="00A07F29">
        <w:rPr>
          <w:rFonts w:ascii="Times New Roman" w:eastAsia="Calibri" w:hAnsi="Times New Roman" w:cs="Calibri"/>
          <w:sz w:val="24"/>
          <w:szCs w:val="24"/>
        </w:rPr>
        <w:t>terasētas</w:t>
      </w:r>
      <w:proofErr w:type="spellEnd"/>
      <w:r w:rsidRPr="00A07F29">
        <w:rPr>
          <w:rFonts w:ascii="Times New Roman" w:eastAsia="Calibri" w:hAnsi="Times New Roman" w:cs="Calibri"/>
          <w:sz w:val="24"/>
          <w:szCs w:val="24"/>
        </w:rPr>
        <w:t xml:space="preserve"> nogāzes meandru loku iekšpusē mijas ar 30</w:t>
      </w:r>
      <w:r w:rsidR="003C66DF" w:rsidRPr="00A07F29">
        <w:rPr>
          <w:rFonts w:ascii="Times New Roman" w:eastAsia="Calibri" w:hAnsi="Times New Roman" w:cs="Calibri"/>
          <w:sz w:val="24"/>
          <w:szCs w:val="24"/>
        </w:rPr>
        <w:t> – </w:t>
      </w:r>
      <w:r w:rsidRPr="00A07F29">
        <w:rPr>
          <w:rFonts w:ascii="Times New Roman" w:eastAsia="Calibri" w:hAnsi="Times New Roman" w:cs="Calibri"/>
          <w:sz w:val="24"/>
          <w:szCs w:val="24"/>
        </w:rPr>
        <w:t>40</w:t>
      </w:r>
      <w:r w:rsidR="003C66DF" w:rsidRPr="00A07F29">
        <w:rPr>
          <w:rFonts w:ascii="Times New Roman" w:eastAsia="Calibri" w:hAnsi="Times New Roman" w:cs="Calibri"/>
          <w:sz w:val="24"/>
          <w:szCs w:val="24"/>
        </w:rPr>
        <w:t> </w:t>
      </w:r>
      <w:r w:rsidRPr="00A07F29">
        <w:rPr>
          <w:rFonts w:ascii="Times New Roman" w:eastAsia="Calibri" w:hAnsi="Times New Roman" w:cs="Calibri"/>
          <w:sz w:val="24"/>
          <w:szCs w:val="24"/>
        </w:rPr>
        <w:t xml:space="preserve">m augstām </w:t>
      </w:r>
      <w:proofErr w:type="spellStart"/>
      <w:r w:rsidRPr="00A07F29">
        <w:rPr>
          <w:rFonts w:ascii="Times New Roman" w:eastAsia="Calibri" w:hAnsi="Times New Roman" w:cs="Calibri"/>
          <w:sz w:val="24"/>
          <w:szCs w:val="24"/>
        </w:rPr>
        <w:t>pamatkrasta</w:t>
      </w:r>
      <w:proofErr w:type="spellEnd"/>
      <w:r w:rsidRPr="00A07F29">
        <w:rPr>
          <w:rFonts w:ascii="Times New Roman" w:eastAsia="Calibri" w:hAnsi="Times New Roman" w:cs="Calibri"/>
          <w:sz w:val="24"/>
          <w:szCs w:val="24"/>
        </w:rPr>
        <w:t xml:space="preserve"> kraujām un nogāzēm iegrauzto meandru ieliekto loku virsotnēs. </w:t>
      </w:r>
      <w:r w:rsidRPr="00A07F29">
        <w:rPr>
          <w:rFonts w:ascii="Times New Roman" w:eastAsia="Calibri" w:hAnsi="Times New Roman" w:cs="Calibri"/>
          <w:sz w:val="24"/>
        </w:rPr>
        <w:t>Krāslavas apkārtnē ielejas platums ir 2</w:t>
      </w:r>
      <w:r w:rsidR="003C66DF" w:rsidRPr="00A07F29">
        <w:rPr>
          <w:rFonts w:ascii="Times New Roman" w:eastAsia="Calibri" w:hAnsi="Times New Roman" w:cs="Calibri"/>
          <w:sz w:val="24"/>
        </w:rPr>
        <w:t> – </w:t>
      </w:r>
      <w:r w:rsidRPr="00A07F29">
        <w:rPr>
          <w:rFonts w:ascii="Times New Roman" w:eastAsia="Calibri" w:hAnsi="Times New Roman" w:cs="Calibri"/>
          <w:sz w:val="24"/>
        </w:rPr>
        <w:t>2,5</w:t>
      </w:r>
      <w:r w:rsidR="003C66DF" w:rsidRPr="00A07F29">
        <w:rPr>
          <w:rFonts w:ascii="Times New Roman" w:eastAsia="Calibri" w:hAnsi="Times New Roman" w:cs="Calibri"/>
          <w:sz w:val="24"/>
        </w:rPr>
        <w:t> </w:t>
      </w:r>
      <w:r w:rsidRPr="00A07F29">
        <w:rPr>
          <w:rFonts w:ascii="Times New Roman" w:eastAsia="Calibri" w:hAnsi="Times New Roman" w:cs="Calibri"/>
          <w:sz w:val="24"/>
        </w:rPr>
        <w:t xml:space="preserve">km, Naujenes </w:t>
      </w:r>
      <w:r w:rsidR="009A03CC" w:rsidRPr="00A07F29">
        <w:rPr>
          <w:rFonts w:ascii="Times New Roman" w:eastAsia="Calibri" w:hAnsi="Times New Roman" w:cs="Calibri"/>
          <w:sz w:val="24"/>
        </w:rPr>
        <w:t>–</w:t>
      </w:r>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sz w:val="24"/>
        </w:rPr>
        <w:t>Elernes</w:t>
      </w:r>
      <w:proofErr w:type="spellEnd"/>
      <w:r w:rsidRPr="00A07F29">
        <w:rPr>
          <w:rFonts w:ascii="Times New Roman" w:eastAsia="Calibri" w:hAnsi="Times New Roman" w:cs="Calibri"/>
          <w:sz w:val="24"/>
        </w:rPr>
        <w:t xml:space="preserve"> posmā 3,5</w:t>
      </w:r>
      <w:r w:rsidR="009A03CC" w:rsidRPr="00A07F29">
        <w:rPr>
          <w:rFonts w:ascii="Times New Roman" w:eastAsia="Calibri" w:hAnsi="Times New Roman" w:cs="Calibri"/>
          <w:sz w:val="24"/>
        </w:rPr>
        <w:t> – </w:t>
      </w:r>
      <w:r w:rsidRPr="00A07F29">
        <w:rPr>
          <w:rFonts w:ascii="Times New Roman" w:eastAsia="Calibri" w:hAnsi="Times New Roman" w:cs="Calibri"/>
          <w:sz w:val="24"/>
        </w:rPr>
        <w:t>4</w:t>
      </w:r>
      <w:r w:rsidR="009A03CC" w:rsidRPr="00A07F29">
        <w:rPr>
          <w:rFonts w:ascii="Times New Roman" w:eastAsia="Calibri" w:hAnsi="Times New Roman" w:cs="Calibri"/>
          <w:sz w:val="24"/>
        </w:rPr>
        <w:t> </w:t>
      </w:r>
      <w:r w:rsidRPr="00A07F29">
        <w:rPr>
          <w:rFonts w:ascii="Times New Roman" w:eastAsia="Calibri" w:hAnsi="Times New Roman" w:cs="Calibri"/>
          <w:sz w:val="24"/>
        </w:rPr>
        <w:t xml:space="preserve">km, </w:t>
      </w:r>
      <w:proofErr w:type="spellStart"/>
      <w:r w:rsidRPr="00A07F29">
        <w:rPr>
          <w:rFonts w:ascii="Times New Roman" w:eastAsia="Calibri" w:hAnsi="Times New Roman" w:cs="Calibri"/>
          <w:sz w:val="24"/>
        </w:rPr>
        <w:t>Lielbornes</w:t>
      </w:r>
      <w:proofErr w:type="spellEnd"/>
      <w:r w:rsidRPr="00A07F29">
        <w:rPr>
          <w:rFonts w:ascii="Times New Roman" w:eastAsia="Calibri" w:hAnsi="Times New Roman" w:cs="Calibri"/>
          <w:sz w:val="24"/>
        </w:rPr>
        <w:t xml:space="preserve"> </w:t>
      </w:r>
      <w:r w:rsidR="009A03CC" w:rsidRPr="00A07F29">
        <w:rPr>
          <w:rFonts w:ascii="Times New Roman" w:eastAsia="Calibri" w:hAnsi="Times New Roman" w:cs="Calibri"/>
          <w:sz w:val="24"/>
        </w:rPr>
        <w:t>–</w:t>
      </w:r>
      <w:r w:rsidRPr="00A07F29">
        <w:rPr>
          <w:rFonts w:ascii="Times New Roman" w:eastAsia="Calibri" w:hAnsi="Times New Roman" w:cs="Calibri"/>
          <w:sz w:val="24"/>
        </w:rPr>
        <w:t xml:space="preserve"> Kaplavas aptuveni 5</w:t>
      </w:r>
      <w:r w:rsidR="009A03CC" w:rsidRPr="00A07F29">
        <w:rPr>
          <w:rFonts w:ascii="Times New Roman" w:eastAsia="Calibri" w:hAnsi="Times New Roman" w:cs="Calibri"/>
          <w:sz w:val="24"/>
        </w:rPr>
        <w:t> </w:t>
      </w:r>
      <w:r w:rsidRPr="00A07F29">
        <w:rPr>
          <w:rFonts w:ascii="Times New Roman" w:eastAsia="Calibri" w:hAnsi="Times New Roman" w:cs="Calibri"/>
          <w:sz w:val="24"/>
        </w:rPr>
        <w:t>km garā posmā ieleja sašaurinās līdz 0,7</w:t>
      </w:r>
      <w:r w:rsidR="009A03CC" w:rsidRPr="00A07F29">
        <w:rPr>
          <w:rFonts w:ascii="Times New Roman" w:eastAsia="Calibri" w:hAnsi="Times New Roman" w:cs="Calibri"/>
          <w:sz w:val="24"/>
        </w:rPr>
        <w:t> </w:t>
      </w:r>
      <w:r w:rsidRPr="00A07F29">
        <w:rPr>
          <w:rFonts w:ascii="Times New Roman" w:eastAsia="Calibri" w:hAnsi="Times New Roman" w:cs="Calibri"/>
          <w:sz w:val="24"/>
        </w:rPr>
        <w:t>-</w:t>
      </w:r>
      <w:r w:rsidR="009A03CC" w:rsidRPr="00A07F29">
        <w:rPr>
          <w:rFonts w:ascii="Times New Roman" w:eastAsia="Calibri" w:hAnsi="Times New Roman" w:cs="Calibri"/>
          <w:sz w:val="24"/>
        </w:rPr>
        <w:t> </w:t>
      </w:r>
      <w:r w:rsidRPr="00A07F29">
        <w:rPr>
          <w:rFonts w:ascii="Times New Roman" w:eastAsia="Calibri" w:hAnsi="Times New Roman" w:cs="Calibri"/>
          <w:sz w:val="24"/>
        </w:rPr>
        <w:t>1,2</w:t>
      </w:r>
      <w:r w:rsidR="009A03CC" w:rsidRPr="00A07F29">
        <w:rPr>
          <w:rFonts w:ascii="Times New Roman" w:eastAsia="Calibri" w:hAnsi="Times New Roman" w:cs="Calibri"/>
          <w:sz w:val="24"/>
        </w:rPr>
        <w:t> </w:t>
      </w:r>
      <w:r w:rsidRPr="00A07F29">
        <w:rPr>
          <w:rFonts w:ascii="Times New Roman" w:eastAsia="Calibri" w:hAnsi="Times New Roman" w:cs="Calibri"/>
          <w:sz w:val="24"/>
        </w:rPr>
        <w:t xml:space="preserve">km. Starp </w:t>
      </w:r>
      <w:proofErr w:type="spellStart"/>
      <w:r w:rsidRPr="00A07F29">
        <w:rPr>
          <w:rFonts w:ascii="Times New Roman" w:eastAsia="Calibri" w:hAnsi="Times New Roman" w:cs="Calibri"/>
          <w:sz w:val="24"/>
        </w:rPr>
        <w:t>Slutišķu</w:t>
      </w:r>
      <w:proofErr w:type="spellEnd"/>
      <w:r w:rsidRPr="00A07F29">
        <w:rPr>
          <w:rFonts w:ascii="Times New Roman" w:eastAsia="Calibri" w:hAnsi="Times New Roman" w:cs="Calibri"/>
          <w:sz w:val="24"/>
        </w:rPr>
        <w:t xml:space="preserve"> un </w:t>
      </w:r>
      <w:proofErr w:type="spellStart"/>
      <w:r w:rsidRPr="00A07F29">
        <w:rPr>
          <w:rFonts w:ascii="Times New Roman" w:eastAsia="Calibri" w:hAnsi="Times New Roman" w:cs="Calibri"/>
          <w:sz w:val="24"/>
        </w:rPr>
        <w:t>Ververu</w:t>
      </w:r>
      <w:proofErr w:type="spellEnd"/>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sz w:val="24"/>
        </w:rPr>
        <w:t>Lisaja</w:t>
      </w:r>
      <w:proofErr w:type="spellEnd"/>
      <w:r w:rsidRPr="00A07F29">
        <w:rPr>
          <w:rFonts w:ascii="Times New Roman" w:eastAsia="Calibri" w:hAnsi="Times New Roman" w:cs="Calibri"/>
          <w:sz w:val="24"/>
        </w:rPr>
        <w:t xml:space="preserve"> Gora) kraujām iezīmējas savdabīgs ielejas sašaurinājums – </w:t>
      </w:r>
      <w:r w:rsidR="00BF07B1" w:rsidRPr="00A07F29">
        <w:rPr>
          <w:rFonts w:ascii="Times New Roman" w:eastAsia="Calibri" w:hAnsi="Times New Roman" w:cs="Calibri"/>
          <w:sz w:val="24"/>
        </w:rPr>
        <w:t>“</w:t>
      </w:r>
      <w:r w:rsidRPr="00A07F29">
        <w:rPr>
          <w:rFonts w:ascii="Times New Roman" w:eastAsia="Calibri" w:hAnsi="Times New Roman" w:cs="Calibri"/>
          <w:sz w:val="24"/>
        </w:rPr>
        <w:t xml:space="preserve">Daugavas vārti” </w:t>
      </w:r>
      <w:r w:rsidR="00BF07B1" w:rsidRPr="00A07F29">
        <w:rPr>
          <w:rFonts w:ascii="Times New Roman" w:eastAsia="Calibri" w:hAnsi="Times New Roman" w:cs="Calibri"/>
          <w:sz w:val="24"/>
        </w:rPr>
        <w:t>–</w:t>
      </w:r>
      <w:r w:rsidRPr="00A07F29">
        <w:rPr>
          <w:rFonts w:ascii="Times New Roman" w:eastAsia="Calibri" w:hAnsi="Times New Roman" w:cs="Calibri"/>
          <w:sz w:val="24"/>
        </w:rPr>
        <w:t xml:space="preserve"> ielejas platums šeit sasniedz tikai 0,5</w:t>
      </w:r>
      <w:r w:rsidR="00BF07B1" w:rsidRPr="00A07F29">
        <w:rPr>
          <w:rFonts w:ascii="Times New Roman" w:eastAsia="Calibri" w:hAnsi="Times New Roman" w:cs="Calibri"/>
          <w:sz w:val="24"/>
        </w:rPr>
        <w:t> – </w:t>
      </w:r>
      <w:r w:rsidRPr="00A07F29">
        <w:rPr>
          <w:rFonts w:ascii="Times New Roman" w:eastAsia="Calibri" w:hAnsi="Times New Roman" w:cs="Calibri"/>
          <w:sz w:val="24"/>
        </w:rPr>
        <w:t>0,6</w:t>
      </w:r>
      <w:r w:rsidR="00BF07B1" w:rsidRPr="00A07F29">
        <w:rPr>
          <w:rFonts w:ascii="Times New Roman" w:eastAsia="Calibri" w:hAnsi="Times New Roman" w:cs="Calibri"/>
          <w:sz w:val="24"/>
        </w:rPr>
        <w:t> </w:t>
      </w:r>
      <w:r w:rsidRPr="00A07F29">
        <w:rPr>
          <w:rFonts w:ascii="Times New Roman" w:eastAsia="Calibri" w:hAnsi="Times New Roman" w:cs="Calibri"/>
          <w:sz w:val="24"/>
        </w:rPr>
        <w:t xml:space="preserve">km. Te izteiktus vārtus starp plašajiem </w:t>
      </w:r>
      <w:proofErr w:type="spellStart"/>
      <w:r w:rsidRPr="00A07F29">
        <w:rPr>
          <w:rFonts w:ascii="Times New Roman" w:eastAsia="Calibri" w:hAnsi="Times New Roman" w:cs="Calibri"/>
          <w:sz w:val="24"/>
        </w:rPr>
        <w:t>Daugavsargu</w:t>
      </w:r>
      <w:proofErr w:type="spellEnd"/>
      <w:r w:rsidRPr="00A07F29">
        <w:rPr>
          <w:rFonts w:ascii="Times New Roman" w:eastAsia="Calibri" w:hAnsi="Times New Roman" w:cs="Calibri"/>
          <w:sz w:val="24"/>
        </w:rPr>
        <w:t xml:space="preserve"> un </w:t>
      </w:r>
      <w:proofErr w:type="spellStart"/>
      <w:r w:rsidRPr="00A07F29">
        <w:rPr>
          <w:rFonts w:ascii="Times New Roman" w:eastAsia="Calibri" w:hAnsi="Times New Roman" w:cs="Calibri"/>
          <w:sz w:val="24"/>
        </w:rPr>
        <w:t>Ververu</w:t>
      </w:r>
      <w:proofErr w:type="spellEnd"/>
      <w:r w:rsidRPr="00A07F29">
        <w:rPr>
          <w:rFonts w:ascii="Times New Roman" w:eastAsia="Calibri" w:hAnsi="Times New Roman" w:cs="Calibri"/>
          <w:sz w:val="24"/>
        </w:rPr>
        <w:t xml:space="preserve"> lokiem veido vairāk nekā 40</w:t>
      </w:r>
      <w:r w:rsidR="00555C8C" w:rsidRPr="00A07F29">
        <w:rPr>
          <w:rFonts w:ascii="Times New Roman" w:eastAsia="Calibri" w:hAnsi="Times New Roman" w:cs="Calibri"/>
          <w:sz w:val="24"/>
        </w:rPr>
        <w:t> </w:t>
      </w:r>
      <w:r w:rsidRPr="00A07F29">
        <w:rPr>
          <w:rFonts w:ascii="Times New Roman" w:eastAsia="Calibri" w:hAnsi="Times New Roman" w:cs="Calibri"/>
          <w:sz w:val="24"/>
        </w:rPr>
        <w:t xml:space="preserve">m augstās ielejas </w:t>
      </w:r>
      <w:proofErr w:type="spellStart"/>
      <w:r w:rsidRPr="00A07F29">
        <w:rPr>
          <w:rFonts w:ascii="Times New Roman" w:eastAsia="Calibri" w:hAnsi="Times New Roman" w:cs="Calibri"/>
          <w:sz w:val="24"/>
        </w:rPr>
        <w:t>pamatkrasta</w:t>
      </w:r>
      <w:proofErr w:type="spellEnd"/>
      <w:r w:rsidRPr="00A07F29">
        <w:rPr>
          <w:rFonts w:ascii="Times New Roman" w:eastAsia="Calibri" w:hAnsi="Times New Roman" w:cs="Calibri"/>
          <w:sz w:val="24"/>
        </w:rPr>
        <w:t xml:space="preserve"> kraujas. Otrs šāds sašaurinājums vērojams pēc 1,2</w:t>
      </w:r>
      <w:r w:rsidR="00555C8C" w:rsidRPr="00A07F29">
        <w:rPr>
          <w:rFonts w:ascii="Times New Roman" w:eastAsia="Calibri" w:hAnsi="Times New Roman" w:cs="Calibri"/>
          <w:sz w:val="24"/>
        </w:rPr>
        <w:t> </w:t>
      </w:r>
      <w:r w:rsidRPr="00A07F29">
        <w:rPr>
          <w:rFonts w:ascii="Times New Roman" w:eastAsia="Calibri" w:hAnsi="Times New Roman" w:cs="Calibri"/>
          <w:sz w:val="24"/>
        </w:rPr>
        <w:t xml:space="preserve">km, starp </w:t>
      </w:r>
      <w:proofErr w:type="spellStart"/>
      <w:r w:rsidRPr="00A07F29">
        <w:rPr>
          <w:rFonts w:ascii="Times New Roman" w:eastAsia="Calibri" w:hAnsi="Times New Roman" w:cs="Calibri"/>
          <w:sz w:val="24"/>
        </w:rPr>
        <w:t>Ververu</w:t>
      </w:r>
      <w:proofErr w:type="spellEnd"/>
      <w:r w:rsidRPr="00A07F29">
        <w:rPr>
          <w:rFonts w:ascii="Times New Roman" w:eastAsia="Calibri" w:hAnsi="Times New Roman" w:cs="Calibri"/>
          <w:sz w:val="24"/>
        </w:rPr>
        <w:t xml:space="preserve"> un </w:t>
      </w:r>
      <w:proofErr w:type="spellStart"/>
      <w:r w:rsidRPr="00A07F29">
        <w:rPr>
          <w:rFonts w:ascii="Times New Roman" w:eastAsia="Calibri" w:hAnsi="Times New Roman" w:cs="Calibri"/>
          <w:sz w:val="24"/>
        </w:rPr>
        <w:t>Rozališķu</w:t>
      </w:r>
      <w:proofErr w:type="spellEnd"/>
      <w:r w:rsidRPr="00A07F29">
        <w:rPr>
          <w:rFonts w:ascii="Times New Roman" w:eastAsia="Calibri" w:hAnsi="Times New Roman" w:cs="Calibri"/>
          <w:sz w:val="24"/>
        </w:rPr>
        <w:t xml:space="preserve"> lokiem (</w:t>
      </w:r>
      <w:proofErr w:type="spellStart"/>
      <w:r w:rsidRPr="00A07F29">
        <w:rPr>
          <w:rFonts w:ascii="Times New Roman" w:eastAsia="Calibri" w:hAnsi="Times New Roman" w:cs="Calibri"/>
          <w:sz w:val="24"/>
        </w:rPr>
        <w:t>Eberhards</w:t>
      </w:r>
      <w:proofErr w:type="spellEnd"/>
      <w:r w:rsidR="00555C8C" w:rsidRPr="00A07F29">
        <w:rPr>
          <w:rFonts w:ascii="Times New Roman" w:eastAsia="Calibri" w:hAnsi="Times New Roman" w:cs="Calibri"/>
          <w:sz w:val="24"/>
        </w:rPr>
        <w:t xml:space="preserve"> G.,</w:t>
      </w:r>
      <w:r w:rsidRPr="00A07F29">
        <w:rPr>
          <w:rFonts w:ascii="Times New Roman" w:eastAsia="Calibri" w:hAnsi="Times New Roman" w:cs="Calibri"/>
          <w:sz w:val="24"/>
        </w:rPr>
        <w:t xml:space="preserve"> 1972 un 1991).</w:t>
      </w:r>
    </w:p>
    <w:p w14:paraId="5DD96C7C" w14:textId="3A4053BC" w:rsidR="00E5392D" w:rsidRPr="00A07F29" w:rsidRDefault="00E5392D" w:rsidP="00402A6B">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Piedrujas</w:t>
      </w:r>
      <w:r w:rsidR="002C1745" w:rsidRPr="00A07F29">
        <w:rPr>
          <w:rFonts w:ascii="Times New Roman" w:eastAsia="Calibri" w:hAnsi="Times New Roman" w:cs="Calibri"/>
          <w:sz w:val="24"/>
        </w:rPr>
        <w:t xml:space="preserve"> – </w:t>
      </w:r>
      <w:r w:rsidRPr="00A07F29">
        <w:rPr>
          <w:rFonts w:ascii="Times New Roman" w:eastAsia="Calibri" w:hAnsi="Times New Roman" w:cs="Calibri"/>
          <w:sz w:val="24"/>
        </w:rPr>
        <w:t xml:space="preserve">Naujenes posmā Daugava atsevišķos </w:t>
      </w:r>
      <w:r w:rsidR="00962AD9" w:rsidRPr="00A07F29">
        <w:rPr>
          <w:rFonts w:ascii="Times New Roman" w:eastAsia="Calibri" w:hAnsi="Times New Roman" w:cs="Calibri"/>
          <w:sz w:val="24"/>
        </w:rPr>
        <w:t>posmos</w:t>
      </w:r>
      <w:r w:rsidRPr="00A07F29">
        <w:rPr>
          <w:rFonts w:ascii="Times New Roman" w:eastAsia="Calibri" w:hAnsi="Times New Roman" w:cs="Calibri"/>
          <w:sz w:val="24"/>
        </w:rPr>
        <w:t xml:space="preserve"> plūst pa mantotu </w:t>
      </w:r>
      <w:proofErr w:type="spellStart"/>
      <w:r w:rsidRPr="00A07F29">
        <w:rPr>
          <w:rFonts w:ascii="Times New Roman" w:eastAsia="Calibri" w:hAnsi="Times New Roman" w:cs="Calibri"/>
          <w:sz w:val="24"/>
        </w:rPr>
        <w:t>pirmskvartāra</w:t>
      </w:r>
      <w:proofErr w:type="spellEnd"/>
      <w:r w:rsidRPr="00A07F29">
        <w:rPr>
          <w:rFonts w:ascii="Times New Roman" w:eastAsia="Calibri" w:hAnsi="Times New Roman" w:cs="Calibri"/>
          <w:sz w:val="24"/>
        </w:rPr>
        <w:t xml:space="preserve"> ieleju (Āboltiņš</w:t>
      </w:r>
      <w:r w:rsidR="002C1745" w:rsidRPr="00A07F29">
        <w:rPr>
          <w:rFonts w:ascii="Times New Roman" w:eastAsia="Calibri" w:hAnsi="Times New Roman" w:cs="Calibri"/>
          <w:sz w:val="24"/>
        </w:rPr>
        <w:t>. O.,</w:t>
      </w:r>
      <w:r w:rsidRPr="00A07F29">
        <w:rPr>
          <w:rFonts w:ascii="Times New Roman" w:eastAsia="Calibri" w:hAnsi="Times New Roman" w:cs="Calibri"/>
          <w:sz w:val="24"/>
        </w:rPr>
        <w:t xml:space="preserve"> 1994; </w:t>
      </w:r>
      <w:proofErr w:type="spellStart"/>
      <w:r w:rsidRPr="00A07F29">
        <w:rPr>
          <w:rFonts w:ascii="Times New Roman" w:eastAsia="Calibri" w:hAnsi="Times New Roman" w:cs="Calibri"/>
          <w:sz w:val="24"/>
        </w:rPr>
        <w:t>Eberhards</w:t>
      </w:r>
      <w:proofErr w:type="spellEnd"/>
      <w:r w:rsidR="002C1745" w:rsidRPr="00A07F29">
        <w:rPr>
          <w:rFonts w:ascii="Times New Roman" w:eastAsia="Calibri" w:hAnsi="Times New Roman" w:cs="Calibri"/>
          <w:sz w:val="24"/>
        </w:rPr>
        <w:t xml:space="preserve"> G.,</w:t>
      </w:r>
      <w:r w:rsidRPr="00A07F29">
        <w:rPr>
          <w:rFonts w:ascii="Times New Roman" w:eastAsia="Calibri" w:hAnsi="Times New Roman" w:cs="Calibri"/>
          <w:sz w:val="24"/>
        </w:rPr>
        <w:t xml:space="preserve"> 1972 un 1991). Lejpus Krāslavas upes ieleja turklāt izvietojusies daudz jaunākā (</w:t>
      </w:r>
      <w:proofErr w:type="spellStart"/>
      <w:r w:rsidRPr="00A07F29">
        <w:rPr>
          <w:rFonts w:ascii="Times New Roman" w:eastAsia="Calibri" w:hAnsi="Times New Roman" w:cs="Calibri"/>
          <w:sz w:val="24"/>
        </w:rPr>
        <w:t>interstadiālā</w:t>
      </w:r>
      <w:proofErr w:type="spellEnd"/>
      <w:r w:rsidRPr="00A07F29">
        <w:rPr>
          <w:rFonts w:ascii="Times New Roman" w:eastAsia="Calibri" w:hAnsi="Times New Roman" w:cs="Calibri"/>
          <w:sz w:val="24"/>
        </w:rPr>
        <w:t>) iegrauzumā, kam ir aptuveni vienāds platums un garums.</w:t>
      </w:r>
      <w:r w:rsidR="00B45DCA" w:rsidRPr="00A07F29">
        <w:rPr>
          <w:rFonts w:ascii="Times New Roman" w:eastAsia="Calibri" w:hAnsi="Times New Roman" w:cs="Calibri"/>
          <w:sz w:val="24"/>
        </w:rPr>
        <w:t xml:space="preserve"> </w:t>
      </w:r>
      <w:r w:rsidRPr="00A07F29">
        <w:rPr>
          <w:rFonts w:ascii="Times New Roman" w:eastAsia="Calibri" w:hAnsi="Times New Roman" w:cs="Calibri"/>
          <w:sz w:val="24"/>
          <w:szCs w:val="24"/>
        </w:rPr>
        <w:t>Upe vāji līkumotajā ielejā no Krāslavas līdz Daugavpilij met 10 milzīg</w:t>
      </w:r>
      <w:r w:rsidR="009F4E69" w:rsidRPr="00A07F29">
        <w:rPr>
          <w:rFonts w:ascii="Times New Roman" w:eastAsia="Calibri" w:hAnsi="Times New Roman" w:cs="Calibri"/>
          <w:sz w:val="24"/>
          <w:szCs w:val="24"/>
        </w:rPr>
        <w:t>u</w:t>
      </w:r>
      <w:r w:rsidRPr="00A07F29">
        <w:rPr>
          <w:rFonts w:ascii="Times New Roman" w:eastAsia="Calibri" w:hAnsi="Times New Roman" w:cs="Calibri"/>
          <w:sz w:val="24"/>
          <w:szCs w:val="24"/>
        </w:rPr>
        <w:t xml:space="preserve">s līkumus, kas morfoloģiski ir iegrauztie meandri: piecus uz </w:t>
      </w:r>
      <w:r w:rsidR="72EAA856" w:rsidRPr="00A07F29">
        <w:rPr>
          <w:rFonts w:ascii="Times New Roman" w:eastAsia="Calibri" w:hAnsi="Times New Roman" w:cs="Calibri"/>
          <w:sz w:val="24"/>
          <w:szCs w:val="24"/>
        </w:rPr>
        <w:t>Z</w:t>
      </w:r>
      <w:r w:rsidRPr="00A07F29">
        <w:rPr>
          <w:rFonts w:ascii="Times New Roman" w:eastAsia="Calibri" w:hAnsi="Times New Roman" w:cs="Calibri"/>
          <w:sz w:val="24"/>
          <w:szCs w:val="24"/>
        </w:rPr>
        <w:t xml:space="preserve"> un piecus uz </w:t>
      </w:r>
      <w:r w:rsidR="16E32DE2" w:rsidRPr="00A07F29">
        <w:rPr>
          <w:rFonts w:ascii="Times New Roman" w:eastAsia="Calibri" w:hAnsi="Times New Roman" w:cs="Calibri"/>
          <w:sz w:val="24"/>
          <w:szCs w:val="24"/>
        </w:rPr>
        <w:t>D</w:t>
      </w:r>
      <w:r w:rsidRPr="00A07F29">
        <w:rPr>
          <w:rFonts w:ascii="Times New Roman" w:eastAsia="Calibri" w:hAnsi="Times New Roman" w:cs="Calibri"/>
          <w:sz w:val="24"/>
          <w:szCs w:val="24"/>
        </w:rPr>
        <w:t xml:space="preserve"> no ielejas ass līnijas. </w:t>
      </w:r>
      <w:r w:rsidRPr="00A07F29">
        <w:rPr>
          <w:rFonts w:ascii="Times New Roman" w:eastAsia="Calibri" w:hAnsi="Times New Roman" w:cs="Calibri"/>
          <w:sz w:val="24"/>
        </w:rPr>
        <w:t>Katra šī upes loka garums sasniedz 4</w:t>
      </w:r>
      <w:r w:rsidR="009F4E69" w:rsidRPr="00A07F29">
        <w:rPr>
          <w:rFonts w:ascii="Times New Roman" w:eastAsia="Calibri" w:hAnsi="Times New Roman" w:cs="Calibri"/>
          <w:sz w:val="24"/>
        </w:rPr>
        <w:t> – </w:t>
      </w:r>
      <w:r w:rsidRPr="00A07F29">
        <w:rPr>
          <w:rFonts w:ascii="Times New Roman" w:eastAsia="Calibri" w:hAnsi="Times New Roman" w:cs="Calibri"/>
          <w:sz w:val="24"/>
        </w:rPr>
        <w:t>6</w:t>
      </w:r>
      <w:r w:rsidR="009F4E69" w:rsidRPr="00A07F29">
        <w:rPr>
          <w:rFonts w:ascii="Times New Roman" w:eastAsia="Calibri" w:hAnsi="Times New Roman" w:cs="Calibri"/>
          <w:sz w:val="24"/>
        </w:rPr>
        <w:t> </w:t>
      </w:r>
      <w:r w:rsidRPr="00A07F29">
        <w:rPr>
          <w:rFonts w:ascii="Times New Roman" w:eastAsia="Calibri" w:hAnsi="Times New Roman" w:cs="Calibri"/>
          <w:sz w:val="24"/>
        </w:rPr>
        <w:t>km, bet īsākais attālums pa gaisa līniju ir tikai 2</w:t>
      </w:r>
      <w:r w:rsidR="009F4E69" w:rsidRPr="00A07F29">
        <w:rPr>
          <w:rFonts w:ascii="Times New Roman" w:eastAsia="Calibri" w:hAnsi="Times New Roman" w:cs="Calibri"/>
          <w:sz w:val="24"/>
        </w:rPr>
        <w:t> – </w:t>
      </w:r>
      <w:r w:rsidRPr="00A07F29">
        <w:rPr>
          <w:rFonts w:ascii="Times New Roman" w:eastAsia="Calibri" w:hAnsi="Times New Roman" w:cs="Calibri"/>
          <w:sz w:val="24"/>
        </w:rPr>
        <w:t>3</w:t>
      </w:r>
      <w:r w:rsidR="009F4E69" w:rsidRPr="00A07F29">
        <w:rPr>
          <w:rFonts w:ascii="Times New Roman" w:eastAsia="Calibri" w:hAnsi="Times New Roman" w:cs="Calibri"/>
          <w:sz w:val="24"/>
        </w:rPr>
        <w:t> </w:t>
      </w:r>
      <w:r w:rsidRPr="00A07F29">
        <w:rPr>
          <w:rFonts w:ascii="Times New Roman" w:eastAsia="Calibri" w:hAnsi="Times New Roman" w:cs="Calibri"/>
          <w:sz w:val="24"/>
        </w:rPr>
        <w:t xml:space="preserve">km, t.i. divas reizes mazāks. Katram Daugavas lokam ir savs vārds atbilstoši māju, apdzīvotu vietu vai pieteku nosaukumiem. Upes tecēšanas virzienā tie ir sekojoši: Adamovas (Priedaines), </w:t>
      </w:r>
      <w:proofErr w:type="spellStart"/>
      <w:r w:rsidRPr="00A07F29">
        <w:rPr>
          <w:rFonts w:ascii="Times New Roman" w:eastAsia="Calibri" w:hAnsi="Times New Roman" w:cs="Calibri"/>
          <w:sz w:val="24"/>
        </w:rPr>
        <w:t>Skerškānu</w:t>
      </w:r>
      <w:proofErr w:type="spellEnd"/>
      <w:r w:rsidRPr="00A07F29">
        <w:rPr>
          <w:rFonts w:ascii="Times New Roman" w:eastAsia="Calibri" w:hAnsi="Times New Roman" w:cs="Calibri"/>
          <w:sz w:val="24"/>
        </w:rPr>
        <w:t>, Zvejnieku (</w:t>
      </w:r>
      <w:proofErr w:type="spellStart"/>
      <w:r w:rsidRPr="00A07F29">
        <w:rPr>
          <w:rFonts w:ascii="Times New Roman" w:eastAsia="Calibri" w:hAnsi="Times New Roman" w:cs="Calibri"/>
          <w:sz w:val="24"/>
        </w:rPr>
        <w:t>Zvainieku</w:t>
      </w:r>
      <w:proofErr w:type="spellEnd"/>
      <w:r w:rsidRPr="00A07F29">
        <w:rPr>
          <w:rFonts w:ascii="Times New Roman" w:eastAsia="Calibri" w:hAnsi="Times New Roman" w:cs="Calibri"/>
          <w:sz w:val="24"/>
        </w:rPr>
        <w:t>), Tartaka (</w:t>
      </w:r>
      <w:proofErr w:type="spellStart"/>
      <w:r w:rsidRPr="00A07F29">
        <w:rPr>
          <w:rFonts w:ascii="Times New Roman" w:eastAsia="Calibri" w:hAnsi="Times New Roman" w:cs="Calibri"/>
          <w:sz w:val="24"/>
        </w:rPr>
        <w:t>Rudņas</w:t>
      </w:r>
      <w:proofErr w:type="spellEnd"/>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sz w:val="24"/>
        </w:rPr>
        <w:t>Daugavsargu</w:t>
      </w:r>
      <w:proofErr w:type="spellEnd"/>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sz w:val="24"/>
        </w:rPr>
        <w:t>Ververu</w:t>
      </w:r>
      <w:proofErr w:type="spellEnd"/>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sz w:val="24"/>
        </w:rPr>
        <w:t>Rozališķu</w:t>
      </w:r>
      <w:proofErr w:type="spellEnd"/>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sz w:val="24"/>
        </w:rPr>
        <w:t>Butišķu</w:t>
      </w:r>
      <w:proofErr w:type="spellEnd"/>
      <w:r w:rsidRPr="00A07F29">
        <w:rPr>
          <w:rFonts w:ascii="Times New Roman" w:eastAsia="Calibri" w:hAnsi="Times New Roman" w:cs="Calibri"/>
          <w:sz w:val="24"/>
        </w:rPr>
        <w:t xml:space="preserve"> un </w:t>
      </w:r>
      <w:proofErr w:type="spellStart"/>
      <w:r w:rsidRPr="00A07F29">
        <w:rPr>
          <w:rFonts w:ascii="Times New Roman" w:eastAsia="Calibri" w:hAnsi="Times New Roman" w:cs="Calibri"/>
          <w:sz w:val="24"/>
        </w:rPr>
        <w:t>Elernes</w:t>
      </w:r>
      <w:proofErr w:type="spellEnd"/>
      <w:r w:rsidRPr="00A07F29">
        <w:rPr>
          <w:rFonts w:ascii="Times New Roman" w:eastAsia="Calibri" w:hAnsi="Times New Roman" w:cs="Calibri"/>
          <w:sz w:val="24"/>
        </w:rPr>
        <w:t xml:space="preserve"> loki. Visi loki ietilpst ainavu apvidus teritorijā.</w:t>
      </w:r>
    </w:p>
    <w:p w14:paraId="7923BB71" w14:textId="2EB951B0" w:rsidR="00E5392D" w:rsidRPr="00A07F29" w:rsidRDefault="00E5392D" w:rsidP="00402A6B">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Lielajos meandru lokos Daugavas ielejai ir izteikta asimetriska uzbūve. Virzienā no izliektā ielejas </w:t>
      </w:r>
      <w:proofErr w:type="spellStart"/>
      <w:r w:rsidRPr="00A07F29">
        <w:rPr>
          <w:rFonts w:ascii="Times New Roman" w:eastAsia="Calibri" w:hAnsi="Times New Roman" w:cs="Calibri"/>
          <w:sz w:val="24"/>
        </w:rPr>
        <w:t>pamatkrasta</w:t>
      </w:r>
      <w:proofErr w:type="spellEnd"/>
      <w:r w:rsidRPr="00A07F29">
        <w:rPr>
          <w:rFonts w:ascii="Times New Roman" w:eastAsia="Calibri" w:hAnsi="Times New Roman" w:cs="Calibri"/>
          <w:sz w:val="24"/>
        </w:rPr>
        <w:t xml:space="preserve"> uz upes pusi lokveidīgi, it kā kopējot senos upes krasta stāvokļus, viena otru nomaina arvien zemākas, jaunākas terases. Tagadējo ieliekto Daugavas krastu upes meandra loka virsotnē visbiežāk pavada šaura paliene un pirmā vai otrā terase, kas novērojams pie </w:t>
      </w:r>
      <w:proofErr w:type="spellStart"/>
      <w:r w:rsidRPr="00A07F29">
        <w:rPr>
          <w:rFonts w:ascii="Times New Roman" w:eastAsia="Calibri" w:hAnsi="Times New Roman" w:cs="Calibri"/>
          <w:sz w:val="24"/>
        </w:rPr>
        <w:t>Slutišķu</w:t>
      </w:r>
      <w:proofErr w:type="spellEnd"/>
      <w:r w:rsidRPr="00A07F29">
        <w:rPr>
          <w:rFonts w:ascii="Times New Roman" w:eastAsia="Calibri" w:hAnsi="Times New Roman" w:cs="Calibri"/>
          <w:sz w:val="24"/>
        </w:rPr>
        <w:t xml:space="preserve"> sādžas, Naujenes, Kraujas. Citur, kur upei turpinās ieliektā krasta izskalošana un meandra loka pagarināšanās, tieši no upes sākas krūmiem vai mežu apaugušas 20</w:t>
      </w:r>
      <w:r w:rsidR="0017746C" w:rsidRPr="00A07F29">
        <w:rPr>
          <w:rFonts w:ascii="Times New Roman" w:eastAsia="Calibri" w:hAnsi="Times New Roman" w:cs="Calibri"/>
          <w:sz w:val="24"/>
        </w:rPr>
        <w:t> – </w:t>
      </w:r>
      <w:r w:rsidRPr="00A07F29">
        <w:rPr>
          <w:rFonts w:ascii="Times New Roman" w:eastAsia="Calibri" w:hAnsi="Times New Roman" w:cs="Calibri"/>
          <w:sz w:val="24"/>
        </w:rPr>
        <w:t>40</w:t>
      </w:r>
      <w:r w:rsidR="0017746C" w:rsidRPr="00A07F29">
        <w:rPr>
          <w:rFonts w:ascii="Times New Roman" w:eastAsia="Calibri" w:hAnsi="Times New Roman" w:cs="Calibri"/>
          <w:sz w:val="24"/>
        </w:rPr>
        <w:t> </w:t>
      </w:r>
      <w:r w:rsidRPr="00A07F29">
        <w:rPr>
          <w:rFonts w:ascii="Times New Roman" w:eastAsia="Calibri" w:hAnsi="Times New Roman" w:cs="Calibri"/>
          <w:sz w:val="24"/>
        </w:rPr>
        <w:t xml:space="preserve">m augstas, gravu </w:t>
      </w:r>
      <w:proofErr w:type="spellStart"/>
      <w:r w:rsidRPr="00A07F29">
        <w:rPr>
          <w:rFonts w:ascii="Times New Roman" w:eastAsia="Calibri" w:hAnsi="Times New Roman" w:cs="Calibri"/>
          <w:sz w:val="24"/>
        </w:rPr>
        <w:t>saposmotas</w:t>
      </w:r>
      <w:proofErr w:type="spellEnd"/>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sz w:val="24"/>
        </w:rPr>
        <w:t>pamatkrasta</w:t>
      </w:r>
      <w:proofErr w:type="spellEnd"/>
      <w:r w:rsidRPr="00A07F29">
        <w:rPr>
          <w:rFonts w:ascii="Times New Roman" w:eastAsia="Calibri" w:hAnsi="Times New Roman" w:cs="Calibri"/>
          <w:sz w:val="24"/>
        </w:rPr>
        <w:t xml:space="preserve"> nogāzes. Atsevišķās vietās, kur krastu izskalošana notiek tagad vai notikusi dažus desmitus gadu atpakaļ, virs upes paceļas kailas vai daļēji apaugušas, 20</w:t>
      </w:r>
      <w:r w:rsidR="00511AEA" w:rsidRPr="00A07F29">
        <w:rPr>
          <w:rFonts w:ascii="Times New Roman" w:eastAsia="Calibri" w:hAnsi="Times New Roman" w:cs="Calibri"/>
          <w:sz w:val="24"/>
        </w:rPr>
        <w:t> – </w:t>
      </w:r>
      <w:r w:rsidRPr="00A07F29">
        <w:rPr>
          <w:rFonts w:ascii="Times New Roman" w:eastAsia="Calibri" w:hAnsi="Times New Roman" w:cs="Calibri"/>
          <w:sz w:val="24"/>
        </w:rPr>
        <w:t>40</w:t>
      </w:r>
      <w:r w:rsidR="00511AEA" w:rsidRPr="00A07F29">
        <w:rPr>
          <w:rFonts w:ascii="Times New Roman" w:eastAsia="Calibri" w:hAnsi="Times New Roman" w:cs="Calibri"/>
          <w:sz w:val="24"/>
        </w:rPr>
        <w:t> </w:t>
      </w:r>
      <w:r w:rsidRPr="00A07F29">
        <w:rPr>
          <w:rFonts w:ascii="Times New Roman" w:eastAsia="Calibri" w:hAnsi="Times New Roman" w:cs="Calibri"/>
          <w:sz w:val="24"/>
        </w:rPr>
        <w:t xml:space="preserve">m augstas morēnas smilšmāla vai sarežģītas ģeoloģiskās uzbūves kraujas – piemēram, Adamovas, </w:t>
      </w:r>
      <w:proofErr w:type="spellStart"/>
      <w:r w:rsidRPr="00A07F29">
        <w:rPr>
          <w:rFonts w:ascii="Times New Roman" w:eastAsia="Calibri" w:hAnsi="Times New Roman" w:cs="Calibri"/>
          <w:sz w:val="24"/>
        </w:rPr>
        <w:t>Slutišķu</w:t>
      </w:r>
      <w:proofErr w:type="spellEnd"/>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sz w:val="24"/>
        </w:rPr>
        <w:t>Ververu</w:t>
      </w:r>
      <w:proofErr w:type="spellEnd"/>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sz w:val="24"/>
        </w:rPr>
        <w:t>Lisaja</w:t>
      </w:r>
      <w:proofErr w:type="spellEnd"/>
      <w:r w:rsidRPr="00A07F29">
        <w:rPr>
          <w:rFonts w:ascii="Times New Roman" w:eastAsia="Calibri" w:hAnsi="Times New Roman" w:cs="Calibri"/>
          <w:sz w:val="24"/>
        </w:rPr>
        <w:t xml:space="preserve"> Gora) kraujas.</w:t>
      </w:r>
    </w:p>
    <w:p w14:paraId="6ADADB8E" w14:textId="229EB5F5" w:rsidR="00E5392D" w:rsidRPr="00A07F29" w:rsidRDefault="00E5392D" w:rsidP="00402A6B">
      <w:pPr>
        <w:spacing w:after="120" w:line="240" w:lineRule="auto"/>
        <w:ind w:firstLine="851"/>
        <w:jc w:val="both"/>
        <w:rPr>
          <w:rFonts w:ascii="Times New Roman" w:eastAsia="Calibri" w:hAnsi="Times New Roman" w:cs="Calibri"/>
          <w:sz w:val="24"/>
          <w:szCs w:val="24"/>
        </w:rPr>
      </w:pPr>
      <w:r w:rsidRPr="00A07F29">
        <w:rPr>
          <w:rFonts w:ascii="Times New Roman" w:eastAsia="Calibri" w:hAnsi="Times New Roman" w:cs="Calibri"/>
          <w:sz w:val="24"/>
          <w:szCs w:val="24"/>
        </w:rPr>
        <w:t>Daugavas ielejas Piedrujas</w:t>
      </w:r>
      <w:r w:rsidR="00985C86" w:rsidRPr="00A07F29">
        <w:rPr>
          <w:rFonts w:ascii="Times New Roman" w:eastAsia="Calibri" w:hAnsi="Times New Roman" w:cs="Calibri"/>
          <w:sz w:val="24"/>
          <w:szCs w:val="24"/>
        </w:rPr>
        <w:t xml:space="preserve"> – </w:t>
      </w:r>
      <w:r w:rsidR="008857EF" w:rsidRPr="00A07F29">
        <w:rPr>
          <w:rFonts w:ascii="Times New Roman" w:eastAsia="Calibri" w:hAnsi="Times New Roman" w:cs="Calibri"/>
          <w:sz w:val="24"/>
          <w:szCs w:val="24"/>
        </w:rPr>
        <w:t>N</w:t>
      </w:r>
      <w:r w:rsidRPr="00A07F29">
        <w:rPr>
          <w:rFonts w:ascii="Times New Roman" w:eastAsia="Calibri" w:hAnsi="Times New Roman" w:cs="Calibri"/>
          <w:sz w:val="24"/>
          <w:szCs w:val="24"/>
        </w:rPr>
        <w:t xml:space="preserve">aujenes posmā, pateicoties augsti novietotajiem </w:t>
      </w:r>
      <w:proofErr w:type="spellStart"/>
      <w:r w:rsidRPr="00A07F29">
        <w:rPr>
          <w:rFonts w:ascii="Times New Roman" w:eastAsia="Calibri" w:hAnsi="Times New Roman" w:cs="Calibri"/>
          <w:sz w:val="24"/>
          <w:szCs w:val="24"/>
        </w:rPr>
        <w:t>pamatkrastiem</w:t>
      </w:r>
      <w:proofErr w:type="spellEnd"/>
      <w:r w:rsidRPr="00A07F29">
        <w:rPr>
          <w:rFonts w:ascii="Times New Roman" w:eastAsia="Calibri" w:hAnsi="Times New Roman" w:cs="Calibri"/>
          <w:sz w:val="24"/>
          <w:szCs w:val="24"/>
        </w:rPr>
        <w:t xml:space="preserve">, var izsekot </w:t>
      </w:r>
      <w:r w:rsidR="008857EF" w:rsidRPr="00A07F29">
        <w:rPr>
          <w:rFonts w:ascii="Times New Roman" w:eastAsia="Calibri" w:hAnsi="Times New Roman" w:cs="Calibri"/>
          <w:sz w:val="24"/>
          <w:szCs w:val="24"/>
        </w:rPr>
        <w:t>septiņas</w:t>
      </w:r>
      <w:r w:rsidRPr="00A07F29">
        <w:rPr>
          <w:rFonts w:ascii="Times New Roman" w:eastAsia="Calibri" w:hAnsi="Times New Roman" w:cs="Calibri"/>
          <w:sz w:val="24"/>
          <w:szCs w:val="24"/>
        </w:rPr>
        <w:t xml:space="preserve"> līdz </w:t>
      </w:r>
      <w:r w:rsidR="008857EF" w:rsidRPr="00A07F29">
        <w:rPr>
          <w:rFonts w:ascii="Times New Roman" w:eastAsia="Calibri" w:hAnsi="Times New Roman" w:cs="Calibri"/>
          <w:sz w:val="24"/>
          <w:szCs w:val="24"/>
        </w:rPr>
        <w:t>astoņas</w:t>
      </w:r>
      <w:r w:rsidRPr="00A07F29">
        <w:rPr>
          <w:rFonts w:ascii="Times New Roman" w:eastAsia="Calibri" w:hAnsi="Times New Roman" w:cs="Calibri"/>
          <w:sz w:val="24"/>
          <w:szCs w:val="24"/>
        </w:rPr>
        <w:t xml:space="preserve"> </w:t>
      </w:r>
      <w:proofErr w:type="spellStart"/>
      <w:r w:rsidRPr="00A07F29">
        <w:rPr>
          <w:rFonts w:ascii="Times New Roman" w:eastAsia="Calibri" w:hAnsi="Times New Roman" w:cs="Calibri"/>
          <w:sz w:val="24"/>
          <w:szCs w:val="24"/>
        </w:rPr>
        <w:t>virspalu</w:t>
      </w:r>
      <w:proofErr w:type="spellEnd"/>
      <w:r w:rsidRPr="00A07F29">
        <w:rPr>
          <w:rFonts w:ascii="Times New Roman" w:eastAsia="Calibri" w:hAnsi="Times New Roman" w:cs="Calibri"/>
          <w:sz w:val="24"/>
          <w:szCs w:val="24"/>
        </w:rPr>
        <w:t xml:space="preserve"> terases. 30</w:t>
      </w:r>
      <w:r w:rsidR="008857EF" w:rsidRPr="00A07F29">
        <w:rPr>
          <w:rFonts w:ascii="Times New Roman" w:eastAsia="Calibri" w:hAnsi="Times New Roman" w:cs="Calibri"/>
          <w:sz w:val="24"/>
          <w:szCs w:val="24"/>
        </w:rPr>
        <w:t> </w:t>
      </w:r>
      <w:r w:rsidRPr="00A07F29">
        <w:rPr>
          <w:rFonts w:ascii="Times New Roman" w:eastAsia="Calibri" w:hAnsi="Times New Roman" w:cs="Calibri"/>
          <w:sz w:val="24"/>
          <w:szCs w:val="24"/>
        </w:rPr>
        <w:t xml:space="preserve">km (pa gaisa līniju) garajā ielejas nogrieznī </w:t>
      </w:r>
      <w:r w:rsidR="008857EF" w:rsidRPr="00A07F29">
        <w:rPr>
          <w:rFonts w:ascii="Times New Roman" w:eastAsia="Calibri" w:hAnsi="Times New Roman" w:cs="Calibri"/>
          <w:sz w:val="24"/>
          <w:szCs w:val="24"/>
        </w:rPr>
        <w:t>deviņos</w:t>
      </w:r>
      <w:r w:rsidRPr="00A07F29">
        <w:rPr>
          <w:rFonts w:ascii="Times New Roman" w:eastAsia="Calibri" w:hAnsi="Times New Roman" w:cs="Calibri"/>
          <w:sz w:val="24"/>
          <w:szCs w:val="24"/>
        </w:rPr>
        <w:t xml:space="preserve"> lokos var konstatēt </w:t>
      </w:r>
      <w:r w:rsidR="008857EF" w:rsidRPr="00A07F29">
        <w:rPr>
          <w:rFonts w:ascii="Times New Roman" w:eastAsia="Calibri" w:hAnsi="Times New Roman" w:cs="Calibri"/>
          <w:sz w:val="24"/>
          <w:szCs w:val="24"/>
        </w:rPr>
        <w:t>sešas līdz septiņas</w:t>
      </w:r>
      <w:r w:rsidRPr="00A07F29">
        <w:rPr>
          <w:rFonts w:ascii="Times New Roman" w:eastAsia="Calibri" w:hAnsi="Times New Roman" w:cs="Calibri"/>
          <w:sz w:val="24"/>
          <w:szCs w:val="24"/>
        </w:rPr>
        <w:t xml:space="preserve">, vietām pat </w:t>
      </w:r>
      <w:r w:rsidR="008857EF" w:rsidRPr="00A07F29">
        <w:rPr>
          <w:rFonts w:ascii="Times New Roman" w:eastAsia="Calibri" w:hAnsi="Times New Roman" w:cs="Calibri"/>
          <w:sz w:val="24"/>
          <w:szCs w:val="24"/>
        </w:rPr>
        <w:t>astoņas</w:t>
      </w:r>
      <w:r w:rsidRPr="00A07F29">
        <w:rPr>
          <w:rFonts w:ascii="Times New Roman" w:eastAsia="Calibri" w:hAnsi="Times New Roman" w:cs="Calibri"/>
          <w:sz w:val="24"/>
          <w:szCs w:val="24"/>
        </w:rPr>
        <w:t xml:space="preserve"> </w:t>
      </w:r>
      <w:proofErr w:type="spellStart"/>
      <w:r w:rsidRPr="00A07F29">
        <w:rPr>
          <w:rFonts w:ascii="Times New Roman" w:eastAsia="Calibri" w:hAnsi="Times New Roman" w:cs="Calibri"/>
          <w:sz w:val="24"/>
          <w:szCs w:val="24"/>
        </w:rPr>
        <w:t>virspalu</w:t>
      </w:r>
      <w:proofErr w:type="spellEnd"/>
      <w:r w:rsidRPr="00A07F29">
        <w:rPr>
          <w:rFonts w:ascii="Times New Roman" w:eastAsia="Calibri" w:hAnsi="Times New Roman" w:cs="Calibri"/>
          <w:sz w:val="24"/>
          <w:szCs w:val="24"/>
        </w:rPr>
        <w:t xml:space="preserve"> terases. Vislielākās platības aizņem augšējā kompleksa (V</w:t>
      </w:r>
      <w:r w:rsidR="008857EF" w:rsidRPr="00A07F29">
        <w:rPr>
          <w:rFonts w:ascii="Times New Roman" w:eastAsia="Calibri" w:hAnsi="Times New Roman" w:cs="Calibri"/>
          <w:sz w:val="24"/>
          <w:szCs w:val="24"/>
        </w:rPr>
        <w:t> – </w:t>
      </w:r>
      <w:r w:rsidRPr="00A07F29">
        <w:rPr>
          <w:rFonts w:ascii="Times New Roman" w:eastAsia="Calibri" w:hAnsi="Times New Roman" w:cs="Calibri"/>
          <w:sz w:val="24"/>
          <w:szCs w:val="24"/>
        </w:rPr>
        <w:t xml:space="preserve">VIII) terases, kuru virsas laika </w:t>
      </w:r>
      <w:r w:rsidRPr="00A07F29">
        <w:rPr>
          <w:rFonts w:ascii="Times New Roman" w:eastAsia="Calibri" w:hAnsi="Times New Roman" w:cs="Calibri"/>
          <w:sz w:val="24"/>
          <w:szCs w:val="24"/>
        </w:rPr>
        <w:lastRenderedPageBreak/>
        <w:t xml:space="preserve">gaitā ir ievērojami pārveidotas eksogēno procesu un antropogēnās iedarbības rezultātā. </w:t>
      </w:r>
      <w:proofErr w:type="spellStart"/>
      <w:r w:rsidRPr="00A07F29">
        <w:rPr>
          <w:rFonts w:ascii="Times New Roman" w:eastAsia="Calibri" w:hAnsi="Times New Roman" w:cs="Calibri"/>
          <w:sz w:val="24"/>
          <w:szCs w:val="24"/>
        </w:rPr>
        <w:t>Elernes</w:t>
      </w:r>
      <w:proofErr w:type="spellEnd"/>
      <w:r w:rsidRPr="00A07F29">
        <w:rPr>
          <w:rFonts w:ascii="Times New Roman" w:eastAsia="Calibri" w:hAnsi="Times New Roman" w:cs="Calibri"/>
          <w:sz w:val="24"/>
          <w:szCs w:val="24"/>
        </w:rPr>
        <w:t xml:space="preserve"> lokā dominējošās platības aizņem III</w:t>
      </w:r>
      <w:r w:rsidR="009518AD" w:rsidRPr="00A07F29">
        <w:rPr>
          <w:rFonts w:ascii="Times New Roman" w:eastAsia="Calibri" w:hAnsi="Times New Roman" w:cs="Calibri"/>
          <w:sz w:val="24"/>
          <w:szCs w:val="24"/>
        </w:rPr>
        <w:t> – </w:t>
      </w:r>
      <w:r w:rsidRPr="00A07F29">
        <w:rPr>
          <w:rFonts w:ascii="Times New Roman" w:eastAsia="Calibri" w:hAnsi="Times New Roman" w:cs="Calibri"/>
          <w:sz w:val="24"/>
          <w:szCs w:val="24"/>
        </w:rPr>
        <w:t>V</w:t>
      </w:r>
      <w:r w:rsidR="009518AD" w:rsidRPr="00A07F29">
        <w:rPr>
          <w:rFonts w:ascii="Times New Roman" w:eastAsia="Calibri" w:hAnsi="Times New Roman" w:cs="Calibri"/>
          <w:sz w:val="24"/>
          <w:szCs w:val="24"/>
        </w:rPr>
        <w:t xml:space="preserve"> </w:t>
      </w:r>
      <w:r w:rsidRPr="00A07F29">
        <w:rPr>
          <w:rFonts w:ascii="Times New Roman" w:eastAsia="Calibri" w:hAnsi="Times New Roman" w:cs="Calibri"/>
          <w:sz w:val="24"/>
          <w:szCs w:val="24"/>
        </w:rPr>
        <w:t>terases.</w:t>
      </w:r>
    </w:p>
    <w:p w14:paraId="6925BA03" w14:textId="55C3A817" w:rsidR="00E5392D" w:rsidRPr="00A07F29" w:rsidRDefault="00E5392D" w:rsidP="00402A6B">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Augstākās terases uz zemākajām parasti pāriet ar </w:t>
      </w:r>
      <w:proofErr w:type="spellStart"/>
      <w:r w:rsidRPr="00A07F29">
        <w:rPr>
          <w:rFonts w:ascii="Times New Roman" w:eastAsia="Calibri" w:hAnsi="Times New Roman" w:cs="Calibri"/>
          <w:sz w:val="24"/>
        </w:rPr>
        <w:t>kāpli</w:t>
      </w:r>
      <w:proofErr w:type="spellEnd"/>
      <w:r w:rsidRPr="00A07F29">
        <w:rPr>
          <w:rFonts w:ascii="Times New Roman" w:eastAsia="Calibri" w:hAnsi="Times New Roman" w:cs="Calibri"/>
          <w:sz w:val="24"/>
        </w:rPr>
        <w:t xml:space="preserve"> no dažiem metriem līdz 10</w:t>
      </w:r>
      <w:r w:rsidR="009518AD" w:rsidRPr="00A07F29">
        <w:rPr>
          <w:rFonts w:ascii="Times New Roman" w:eastAsia="Calibri" w:hAnsi="Times New Roman" w:cs="Calibri"/>
          <w:sz w:val="24"/>
        </w:rPr>
        <w:t> – </w:t>
      </w:r>
      <w:r w:rsidRPr="00A07F29">
        <w:rPr>
          <w:rFonts w:ascii="Times New Roman" w:eastAsia="Calibri" w:hAnsi="Times New Roman" w:cs="Calibri"/>
          <w:sz w:val="24"/>
        </w:rPr>
        <w:t>15</w:t>
      </w:r>
      <w:r w:rsidR="009518AD" w:rsidRPr="00A07F29">
        <w:rPr>
          <w:rFonts w:ascii="Times New Roman" w:eastAsia="Calibri" w:hAnsi="Times New Roman" w:cs="Calibri"/>
          <w:sz w:val="24"/>
        </w:rPr>
        <w:t> </w:t>
      </w:r>
      <w:r w:rsidRPr="00A07F29">
        <w:rPr>
          <w:rFonts w:ascii="Times New Roman" w:eastAsia="Calibri" w:hAnsi="Times New Roman" w:cs="Calibri"/>
          <w:sz w:val="24"/>
        </w:rPr>
        <w:t xml:space="preserve">m. Smilšaino </w:t>
      </w:r>
      <w:proofErr w:type="spellStart"/>
      <w:r w:rsidRPr="00A07F29">
        <w:rPr>
          <w:rFonts w:ascii="Times New Roman" w:eastAsia="Calibri" w:hAnsi="Times New Roman" w:cs="Calibri"/>
          <w:sz w:val="24"/>
        </w:rPr>
        <w:t>terasu</w:t>
      </w:r>
      <w:proofErr w:type="spellEnd"/>
      <w:r w:rsidRPr="00A07F29">
        <w:rPr>
          <w:rFonts w:ascii="Times New Roman" w:eastAsia="Calibri" w:hAnsi="Times New Roman" w:cs="Calibri"/>
          <w:sz w:val="24"/>
        </w:rPr>
        <w:t xml:space="preserve"> virsma ir nelīdzena, </w:t>
      </w:r>
      <w:proofErr w:type="spellStart"/>
      <w:r w:rsidRPr="00A07F29">
        <w:rPr>
          <w:rFonts w:ascii="Times New Roman" w:eastAsia="Calibri" w:hAnsi="Times New Roman" w:cs="Calibri"/>
          <w:sz w:val="24"/>
        </w:rPr>
        <w:t>ciļņaina</w:t>
      </w:r>
      <w:proofErr w:type="spellEnd"/>
      <w:r w:rsidRPr="00A07F29">
        <w:rPr>
          <w:rFonts w:ascii="Times New Roman" w:eastAsia="Calibri" w:hAnsi="Times New Roman" w:cs="Calibri"/>
          <w:sz w:val="24"/>
        </w:rPr>
        <w:t xml:space="preserve">. Pēc </w:t>
      </w:r>
      <w:proofErr w:type="spellStart"/>
      <w:r w:rsidRPr="00A07F29">
        <w:rPr>
          <w:rFonts w:ascii="Times New Roman" w:eastAsia="Calibri" w:hAnsi="Times New Roman" w:cs="Calibri"/>
          <w:sz w:val="24"/>
        </w:rPr>
        <w:t>terasu</w:t>
      </w:r>
      <w:proofErr w:type="spellEnd"/>
      <w:r w:rsidRPr="00A07F29">
        <w:rPr>
          <w:rFonts w:ascii="Times New Roman" w:eastAsia="Calibri" w:hAnsi="Times New Roman" w:cs="Calibri"/>
          <w:sz w:val="24"/>
        </w:rPr>
        <w:t xml:space="preserve"> izveidošanās, sausās, ar skraju veģetācij</w:t>
      </w:r>
      <w:r w:rsidR="007F5303" w:rsidRPr="00A07F29">
        <w:rPr>
          <w:rFonts w:ascii="Times New Roman" w:eastAsia="Calibri" w:hAnsi="Times New Roman" w:cs="Calibri"/>
          <w:sz w:val="24"/>
        </w:rPr>
        <w:t>as</w:t>
      </w:r>
      <w:r w:rsidRPr="00A07F29">
        <w:rPr>
          <w:rFonts w:ascii="Times New Roman" w:eastAsia="Calibri" w:hAnsi="Times New Roman" w:cs="Calibri"/>
          <w:sz w:val="24"/>
        </w:rPr>
        <w:t xml:space="preserve"> segu klātās platības, kuras klāja aluviālie nogulumi, tika pārpūst</w:t>
      </w:r>
      <w:r w:rsidR="00D51D53" w:rsidRPr="00A07F29">
        <w:rPr>
          <w:rFonts w:ascii="Times New Roman" w:eastAsia="Calibri" w:hAnsi="Times New Roman" w:cs="Calibri"/>
          <w:sz w:val="24"/>
        </w:rPr>
        <w:t>a</w:t>
      </w:r>
      <w:r w:rsidRPr="00A07F29">
        <w:rPr>
          <w:rFonts w:ascii="Times New Roman" w:eastAsia="Calibri" w:hAnsi="Times New Roman" w:cs="Calibri"/>
          <w:sz w:val="24"/>
        </w:rPr>
        <w:t xml:space="preserve">s un veidojās lēzens </w:t>
      </w:r>
      <w:proofErr w:type="spellStart"/>
      <w:r w:rsidRPr="00A07F29">
        <w:rPr>
          <w:rFonts w:ascii="Times New Roman" w:eastAsia="Calibri" w:hAnsi="Times New Roman" w:cs="Calibri"/>
          <w:sz w:val="24"/>
        </w:rPr>
        <w:t>eolās</w:t>
      </w:r>
      <w:proofErr w:type="spellEnd"/>
      <w:r w:rsidRPr="00A07F29">
        <w:rPr>
          <w:rFonts w:ascii="Times New Roman" w:eastAsia="Calibri" w:hAnsi="Times New Roman" w:cs="Calibri"/>
          <w:sz w:val="24"/>
        </w:rPr>
        <w:t xml:space="preserve"> ģenēzes smilšu </w:t>
      </w:r>
      <w:proofErr w:type="spellStart"/>
      <w:r w:rsidRPr="00A07F29">
        <w:rPr>
          <w:rFonts w:ascii="Times New Roman" w:eastAsia="Calibri" w:hAnsi="Times New Roman" w:cs="Calibri"/>
          <w:sz w:val="24"/>
        </w:rPr>
        <w:t>pauguraiņu</w:t>
      </w:r>
      <w:proofErr w:type="spellEnd"/>
      <w:r w:rsidRPr="00A07F29">
        <w:rPr>
          <w:rFonts w:ascii="Times New Roman" w:eastAsia="Calibri" w:hAnsi="Times New Roman" w:cs="Calibri"/>
          <w:sz w:val="24"/>
        </w:rPr>
        <w:t xml:space="preserve"> reljefs, vietām pat nelieli kontinentālo kāpu grupējumi, kā tas ir novērojams </w:t>
      </w:r>
      <w:proofErr w:type="spellStart"/>
      <w:r w:rsidRPr="00A07F29">
        <w:rPr>
          <w:rFonts w:ascii="Times New Roman" w:eastAsia="Calibri" w:hAnsi="Times New Roman" w:cs="Calibri"/>
          <w:sz w:val="24"/>
        </w:rPr>
        <w:t>Elernes</w:t>
      </w:r>
      <w:proofErr w:type="spellEnd"/>
      <w:r w:rsidRPr="00A07F29">
        <w:rPr>
          <w:rFonts w:ascii="Times New Roman" w:eastAsia="Calibri" w:hAnsi="Times New Roman" w:cs="Calibri"/>
          <w:sz w:val="24"/>
        </w:rPr>
        <w:t xml:space="preserve"> lokā uz II </w:t>
      </w:r>
      <w:proofErr w:type="spellStart"/>
      <w:r w:rsidRPr="00A07F29">
        <w:rPr>
          <w:rFonts w:ascii="Times New Roman" w:eastAsia="Calibri" w:hAnsi="Times New Roman" w:cs="Calibri"/>
          <w:sz w:val="24"/>
        </w:rPr>
        <w:t>virspalu</w:t>
      </w:r>
      <w:proofErr w:type="spellEnd"/>
      <w:r w:rsidRPr="00A07F29">
        <w:rPr>
          <w:rFonts w:ascii="Times New Roman" w:eastAsia="Calibri" w:hAnsi="Times New Roman" w:cs="Calibri"/>
          <w:sz w:val="24"/>
        </w:rPr>
        <w:t xml:space="preserve"> terases, </w:t>
      </w:r>
      <w:proofErr w:type="spellStart"/>
      <w:r w:rsidRPr="00A07F29">
        <w:rPr>
          <w:rFonts w:ascii="Times New Roman" w:eastAsia="Calibri" w:hAnsi="Times New Roman" w:cs="Calibri"/>
          <w:sz w:val="24"/>
        </w:rPr>
        <w:t>Daugavsargu</w:t>
      </w:r>
      <w:proofErr w:type="spellEnd"/>
      <w:r w:rsidRPr="00A07F29">
        <w:rPr>
          <w:rFonts w:ascii="Times New Roman" w:eastAsia="Calibri" w:hAnsi="Times New Roman" w:cs="Calibri"/>
          <w:sz w:val="24"/>
        </w:rPr>
        <w:t xml:space="preserve"> lokā uz III </w:t>
      </w:r>
      <w:proofErr w:type="spellStart"/>
      <w:r w:rsidRPr="00A07F29">
        <w:rPr>
          <w:rFonts w:ascii="Times New Roman" w:eastAsia="Calibri" w:hAnsi="Times New Roman" w:cs="Calibri"/>
          <w:sz w:val="24"/>
        </w:rPr>
        <w:t>virspalu</w:t>
      </w:r>
      <w:proofErr w:type="spellEnd"/>
      <w:r w:rsidRPr="00A07F29">
        <w:rPr>
          <w:rFonts w:ascii="Times New Roman" w:eastAsia="Calibri" w:hAnsi="Times New Roman" w:cs="Calibri"/>
          <w:sz w:val="24"/>
        </w:rPr>
        <w:t xml:space="preserve"> terases, </w:t>
      </w:r>
      <w:proofErr w:type="spellStart"/>
      <w:r w:rsidRPr="00A07F29">
        <w:rPr>
          <w:rFonts w:ascii="Times New Roman" w:eastAsia="Calibri" w:hAnsi="Times New Roman" w:cs="Calibri"/>
          <w:sz w:val="24"/>
        </w:rPr>
        <w:t>Ververu</w:t>
      </w:r>
      <w:proofErr w:type="spellEnd"/>
      <w:r w:rsidRPr="00A07F29">
        <w:rPr>
          <w:rFonts w:ascii="Times New Roman" w:eastAsia="Calibri" w:hAnsi="Times New Roman" w:cs="Calibri"/>
          <w:sz w:val="24"/>
        </w:rPr>
        <w:t xml:space="preserve"> un </w:t>
      </w:r>
      <w:proofErr w:type="spellStart"/>
      <w:r w:rsidRPr="00A07F29">
        <w:rPr>
          <w:rFonts w:ascii="Times New Roman" w:eastAsia="Calibri" w:hAnsi="Times New Roman" w:cs="Calibri"/>
          <w:sz w:val="24"/>
        </w:rPr>
        <w:t>Zvainieku</w:t>
      </w:r>
      <w:proofErr w:type="spellEnd"/>
      <w:r w:rsidRPr="00A07F29">
        <w:rPr>
          <w:rFonts w:ascii="Times New Roman" w:eastAsia="Calibri" w:hAnsi="Times New Roman" w:cs="Calibri"/>
          <w:sz w:val="24"/>
        </w:rPr>
        <w:t xml:space="preserve"> lokos uz II </w:t>
      </w:r>
      <w:proofErr w:type="spellStart"/>
      <w:r w:rsidRPr="00A07F29">
        <w:rPr>
          <w:rFonts w:ascii="Times New Roman" w:eastAsia="Calibri" w:hAnsi="Times New Roman" w:cs="Calibri"/>
          <w:sz w:val="24"/>
        </w:rPr>
        <w:t>virspalu</w:t>
      </w:r>
      <w:proofErr w:type="spellEnd"/>
      <w:r w:rsidRPr="00A07F29">
        <w:rPr>
          <w:rFonts w:ascii="Times New Roman" w:eastAsia="Calibri" w:hAnsi="Times New Roman" w:cs="Calibri"/>
          <w:sz w:val="24"/>
        </w:rPr>
        <w:t xml:space="preserve"> terases.</w:t>
      </w:r>
    </w:p>
    <w:p w14:paraId="675E06CA" w14:textId="116483F7" w:rsidR="00E5392D" w:rsidRPr="00A07F29" w:rsidRDefault="00E5392D" w:rsidP="00402A6B">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Apakšējā kompleksa (II</w:t>
      </w:r>
      <w:r w:rsidR="00602FF1" w:rsidRPr="00A07F29">
        <w:rPr>
          <w:rFonts w:ascii="Times New Roman" w:eastAsia="Calibri" w:hAnsi="Times New Roman" w:cs="Calibri"/>
          <w:sz w:val="24"/>
        </w:rPr>
        <w:t> – </w:t>
      </w:r>
      <w:r w:rsidRPr="00A07F29">
        <w:rPr>
          <w:rFonts w:ascii="Times New Roman" w:eastAsia="Calibri" w:hAnsi="Times New Roman" w:cs="Calibri"/>
          <w:sz w:val="24"/>
        </w:rPr>
        <w:t xml:space="preserve">IV) </w:t>
      </w:r>
      <w:proofErr w:type="spellStart"/>
      <w:r w:rsidRPr="00A07F29">
        <w:rPr>
          <w:rFonts w:ascii="Times New Roman" w:eastAsia="Calibri" w:hAnsi="Times New Roman" w:cs="Calibri"/>
          <w:sz w:val="24"/>
        </w:rPr>
        <w:t>virspalu</w:t>
      </w:r>
      <w:proofErr w:type="spellEnd"/>
      <w:r w:rsidRPr="00A07F29">
        <w:rPr>
          <w:rFonts w:ascii="Times New Roman" w:eastAsia="Calibri" w:hAnsi="Times New Roman" w:cs="Calibri"/>
          <w:sz w:val="24"/>
        </w:rPr>
        <w:t xml:space="preserve"> terases izsekojamas ne tikai Piedrujas</w:t>
      </w:r>
      <w:r w:rsidR="00FD6278" w:rsidRPr="00A07F29">
        <w:rPr>
          <w:rFonts w:ascii="Times New Roman" w:eastAsia="Calibri" w:hAnsi="Times New Roman" w:cs="Calibri"/>
          <w:sz w:val="24"/>
        </w:rPr>
        <w:t xml:space="preserve"> – </w:t>
      </w:r>
      <w:r w:rsidRPr="00A07F29">
        <w:rPr>
          <w:rFonts w:ascii="Times New Roman" w:eastAsia="Calibri" w:hAnsi="Times New Roman" w:cs="Calibri"/>
          <w:sz w:val="24"/>
        </w:rPr>
        <w:t xml:space="preserve">Naujenes posmā, bet arī </w:t>
      </w:r>
      <w:proofErr w:type="spellStart"/>
      <w:r w:rsidRPr="00A07F29">
        <w:rPr>
          <w:rFonts w:ascii="Times New Roman" w:eastAsia="Calibri" w:hAnsi="Times New Roman" w:cs="Calibri"/>
          <w:sz w:val="24"/>
        </w:rPr>
        <w:t>Dvorčanskas</w:t>
      </w:r>
      <w:proofErr w:type="spellEnd"/>
      <w:r w:rsidRPr="00A07F29">
        <w:rPr>
          <w:rFonts w:ascii="Times New Roman" w:eastAsia="Calibri" w:hAnsi="Times New Roman" w:cs="Calibri"/>
          <w:sz w:val="24"/>
        </w:rPr>
        <w:t xml:space="preserve"> posmā un lielākajā daļā upes tecējuma </w:t>
      </w:r>
      <w:proofErr w:type="spellStart"/>
      <w:r w:rsidRPr="00A07F29">
        <w:rPr>
          <w:rFonts w:ascii="Times New Roman" w:eastAsia="Calibri" w:hAnsi="Times New Roman" w:cs="Calibri"/>
          <w:sz w:val="24"/>
        </w:rPr>
        <w:t>Polockas</w:t>
      </w:r>
      <w:proofErr w:type="spellEnd"/>
      <w:r w:rsidRPr="00A07F29">
        <w:rPr>
          <w:rFonts w:ascii="Times New Roman" w:eastAsia="Calibri" w:hAnsi="Times New Roman" w:cs="Calibri"/>
          <w:sz w:val="24"/>
        </w:rPr>
        <w:t xml:space="preserve"> zemienē. Apakšējo kompleksu, tāpat kā augšējo, pārstāv erozijas, retāk cokola terases, kuras veido plāns (</w:t>
      </w:r>
      <w:r w:rsidR="00FD6278" w:rsidRPr="00A07F29">
        <w:rPr>
          <w:rFonts w:ascii="Times New Roman" w:eastAsia="Calibri" w:hAnsi="Times New Roman" w:cs="Calibri"/>
          <w:sz w:val="24"/>
        </w:rPr>
        <w:t>vien</w:t>
      </w:r>
      <w:r w:rsidR="00C257C0" w:rsidRPr="00A07F29">
        <w:rPr>
          <w:rFonts w:ascii="Times New Roman" w:eastAsia="Calibri" w:hAnsi="Times New Roman" w:cs="Calibri"/>
          <w:sz w:val="24"/>
        </w:rPr>
        <w:t>u</w:t>
      </w:r>
      <w:r w:rsidRPr="00A07F29">
        <w:rPr>
          <w:rFonts w:ascii="Times New Roman" w:eastAsia="Calibri" w:hAnsi="Times New Roman" w:cs="Calibri"/>
          <w:sz w:val="24"/>
        </w:rPr>
        <w:t xml:space="preserve"> līdz </w:t>
      </w:r>
      <w:r w:rsidR="00C257C0" w:rsidRPr="00A07F29">
        <w:rPr>
          <w:rFonts w:ascii="Times New Roman" w:eastAsia="Calibri" w:hAnsi="Times New Roman" w:cs="Calibri"/>
          <w:sz w:val="24"/>
        </w:rPr>
        <w:t>piecu</w:t>
      </w:r>
      <w:r w:rsidRPr="00A07F29">
        <w:rPr>
          <w:rFonts w:ascii="Times New Roman" w:eastAsia="Calibri" w:hAnsi="Times New Roman" w:cs="Calibri"/>
          <w:sz w:val="24"/>
        </w:rPr>
        <w:t xml:space="preserve"> m) smilšaina vai grants-oļu alūvija slānis.</w:t>
      </w:r>
      <w:r w:rsidR="00D51D53" w:rsidRPr="00A07F29">
        <w:rPr>
          <w:rFonts w:ascii="Times New Roman" w:eastAsia="Calibri" w:hAnsi="Times New Roman" w:cs="Calibri"/>
          <w:sz w:val="24"/>
        </w:rPr>
        <w:t xml:space="preserve"> Apakšējā stāva terases (IV</w:t>
      </w:r>
      <w:r w:rsidR="00C257C0" w:rsidRPr="00A07F29">
        <w:rPr>
          <w:rFonts w:ascii="Times New Roman" w:eastAsia="Calibri" w:hAnsi="Times New Roman" w:cs="Calibri"/>
          <w:sz w:val="24"/>
        </w:rPr>
        <w:t> – </w:t>
      </w:r>
      <w:r w:rsidR="00D51D53" w:rsidRPr="00A07F29">
        <w:rPr>
          <w:rFonts w:ascii="Times New Roman" w:eastAsia="Calibri" w:hAnsi="Times New Roman" w:cs="Calibri"/>
          <w:sz w:val="24"/>
        </w:rPr>
        <w:t xml:space="preserve">II) ir paralēlas upes līmenim: IV </w:t>
      </w:r>
      <w:proofErr w:type="spellStart"/>
      <w:r w:rsidR="00D51D53" w:rsidRPr="00A07F29">
        <w:rPr>
          <w:rFonts w:ascii="Times New Roman" w:eastAsia="Calibri" w:hAnsi="Times New Roman" w:cs="Calibri"/>
          <w:sz w:val="24"/>
        </w:rPr>
        <w:t>virspalu</w:t>
      </w:r>
      <w:proofErr w:type="spellEnd"/>
      <w:r w:rsidR="00D51D53" w:rsidRPr="00A07F29">
        <w:rPr>
          <w:rFonts w:ascii="Times New Roman" w:eastAsia="Calibri" w:hAnsi="Times New Roman" w:cs="Calibri"/>
          <w:sz w:val="24"/>
        </w:rPr>
        <w:t xml:space="preserve"> terases relatīvais augstums ir 11 līdz 20</w:t>
      </w:r>
      <w:r w:rsidR="00284FF0" w:rsidRPr="00A07F29">
        <w:rPr>
          <w:rFonts w:ascii="Times New Roman" w:eastAsia="Calibri" w:hAnsi="Times New Roman" w:cs="Calibri"/>
          <w:sz w:val="24"/>
        </w:rPr>
        <w:t> </w:t>
      </w:r>
      <w:r w:rsidR="00D51D53" w:rsidRPr="00A07F29">
        <w:rPr>
          <w:rFonts w:ascii="Times New Roman" w:eastAsia="Calibri" w:hAnsi="Times New Roman" w:cs="Calibri"/>
          <w:sz w:val="24"/>
        </w:rPr>
        <w:t xml:space="preserve">m, III </w:t>
      </w:r>
      <w:r w:rsidR="00284FF0" w:rsidRPr="00A07F29">
        <w:rPr>
          <w:rFonts w:ascii="Times New Roman" w:eastAsia="Calibri" w:hAnsi="Times New Roman" w:cs="Calibri"/>
          <w:sz w:val="24"/>
        </w:rPr>
        <w:t>–</w:t>
      </w:r>
      <w:r w:rsidR="00D51D53" w:rsidRPr="00A07F29">
        <w:rPr>
          <w:rFonts w:ascii="Times New Roman" w:eastAsia="Calibri" w:hAnsi="Times New Roman" w:cs="Calibri"/>
          <w:sz w:val="24"/>
        </w:rPr>
        <w:t xml:space="preserve"> 15 līdz 17</w:t>
      </w:r>
      <w:r w:rsidR="00284FF0" w:rsidRPr="00A07F29">
        <w:rPr>
          <w:rFonts w:ascii="Times New Roman" w:eastAsia="Calibri" w:hAnsi="Times New Roman" w:cs="Calibri"/>
          <w:sz w:val="24"/>
        </w:rPr>
        <w:t> </w:t>
      </w:r>
      <w:r w:rsidR="00D51D53" w:rsidRPr="00A07F29">
        <w:rPr>
          <w:rFonts w:ascii="Times New Roman" w:eastAsia="Calibri" w:hAnsi="Times New Roman" w:cs="Calibri"/>
          <w:sz w:val="24"/>
        </w:rPr>
        <w:t>m</w:t>
      </w:r>
      <w:r w:rsidR="00D65BBA" w:rsidRPr="00A07F29">
        <w:rPr>
          <w:rFonts w:ascii="Times New Roman" w:eastAsia="Calibri" w:hAnsi="Times New Roman" w:cs="Calibri"/>
          <w:sz w:val="24"/>
        </w:rPr>
        <w:t xml:space="preserve"> </w:t>
      </w:r>
      <w:r w:rsidR="00D51D53" w:rsidRPr="00A07F29">
        <w:rPr>
          <w:rFonts w:ascii="Times New Roman" w:eastAsia="Calibri" w:hAnsi="Times New Roman" w:cs="Calibri"/>
          <w:sz w:val="24"/>
        </w:rPr>
        <w:t xml:space="preserve">un II </w:t>
      </w:r>
      <w:r w:rsidR="00284FF0" w:rsidRPr="00A07F29">
        <w:rPr>
          <w:rFonts w:ascii="Times New Roman" w:eastAsia="Calibri" w:hAnsi="Times New Roman" w:cs="Calibri"/>
          <w:sz w:val="24"/>
        </w:rPr>
        <w:t>–</w:t>
      </w:r>
      <w:r w:rsidR="00D51D53" w:rsidRPr="00A07F29">
        <w:rPr>
          <w:rFonts w:ascii="Times New Roman" w:eastAsia="Calibri" w:hAnsi="Times New Roman" w:cs="Calibri"/>
          <w:sz w:val="24"/>
        </w:rPr>
        <w:t xml:space="preserve"> 12 līdz 13</w:t>
      </w:r>
      <w:r w:rsidR="00284FF0" w:rsidRPr="00A07F29">
        <w:rPr>
          <w:rFonts w:ascii="Times New Roman" w:eastAsia="Calibri" w:hAnsi="Times New Roman" w:cs="Calibri"/>
          <w:sz w:val="24"/>
        </w:rPr>
        <w:t> </w:t>
      </w:r>
      <w:r w:rsidR="00D51D53" w:rsidRPr="00A07F29">
        <w:rPr>
          <w:rFonts w:ascii="Times New Roman" w:eastAsia="Calibri" w:hAnsi="Times New Roman" w:cs="Calibri"/>
          <w:sz w:val="24"/>
        </w:rPr>
        <w:t>m.</w:t>
      </w:r>
    </w:p>
    <w:p w14:paraId="1D375D55" w14:textId="6944F0C8" w:rsidR="00E5392D" w:rsidRPr="00A07F29" w:rsidRDefault="00E5392D" w:rsidP="00402A6B">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I </w:t>
      </w:r>
      <w:proofErr w:type="spellStart"/>
      <w:r w:rsidRPr="00A07F29">
        <w:rPr>
          <w:rFonts w:ascii="Times New Roman" w:eastAsia="Calibri" w:hAnsi="Times New Roman" w:cs="Calibri"/>
          <w:sz w:val="24"/>
        </w:rPr>
        <w:t>virspalu</w:t>
      </w:r>
      <w:proofErr w:type="spellEnd"/>
      <w:r w:rsidRPr="00A07F29">
        <w:rPr>
          <w:rFonts w:ascii="Times New Roman" w:eastAsia="Calibri" w:hAnsi="Times New Roman" w:cs="Calibri"/>
          <w:sz w:val="24"/>
        </w:rPr>
        <w:t xml:space="preserve"> terase ir veidojusies, dominējot akumulācijas procesiem, uz ko norāda biezs alūvija slānis (10</w:t>
      </w:r>
      <w:r w:rsidR="00C92D06" w:rsidRPr="00A07F29">
        <w:rPr>
          <w:rFonts w:ascii="Times New Roman" w:eastAsia="Calibri" w:hAnsi="Times New Roman" w:cs="Calibri"/>
          <w:sz w:val="24"/>
        </w:rPr>
        <w:t> – </w:t>
      </w:r>
      <w:r w:rsidRPr="00A07F29">
        <w:rPr>
          <w:rFonts w:ascii="Times New Roman" w:eastAsia="Calibri" w:hAnsi="Times New Roman" w:cs="Calibri"/>
          <w:sz w:val="24"/>
        </w:rPr>
        <w:t>14</w:t>
      </w:r>
      <w:r w:rsidR="00C92D06" w:rsidRPr="00A07F29">
        <w:rPr>
          <w:rFonts w:ascii="Times New Roman" w:eastAsia="Calibri" w:hAnsi="Times New Roman" w:cs="Calibri"/>
          <w:sz w:val="24"/>
        </w:rPr>
        <w:t> </w:t>
      </w:r>
      <w:r w:rsidRPr="00A07F29">
        <w:rPr>
          <w:rFonts w:ascii="Times New Roman" w:eastAsia="Calibri" w:hAnsi="Times New Roman" w:cs="Calibri"/>
          <w:sz w:val="24"/>
        </w:rPr>
        <w:t xml:space="preserve">m) un palienes </w:t>
      </w:r>
      <w:proofErr w:type="spellStart"/>
      <w:r w:rsidRPr="00A07F29">
        <w:rPr>
          <w:rFonts w:ascii="Times New Roman" w:eastAsia="Calibri" w:hAnsi="Times New Roman" w:cs="Calibri"/>
          <w:sz w:val="24"/>
        </w:rPr>
        <w:t>fācijas</w:t>
      </w:r>
      <w:proofErr w:type="spellEnd"/>
      <w:r w:rsidRPr="00A07F29">
        <w:rPr>
          <w:rFonts w:ascii="Times New Roman" w:eastAsia="Calibri" w:hAnsi="Times New Roman" w:cs="Calibri"/>
          <w:sz w:val="24"/>
        </w:rPr>
        <w:t xml:space="preserve"> nogulumi </w:t>
      </w:r>
      <w:r w:rsidR="00C92D06" w:rsidRPr="00A07F29">
        <w:rPr>
          <w:rFonts w:ascii="Times New Roman" w:eastAsia="Calibri" w:hAnsi="Times New Roman" w:cs="Calibri"/>
          <w:sz w:val="24"/>
        </w:rPr>
        <w:t>–</w:t>
      </w:r>
      <w:r w:rsidRPr="00A07F29">
        <w:rPr>
          <w:rFonts w:ascii="Times New Roman" w:eastAsia="Calibri" w:hAnsi="Times New Roman" w:cs="Calibri"/>
          <w:sz w:val="24"/>
        </w:rPr>
        <w:t xml:space="preserve"> smilšmāli un mālsmilts. Šīs terases alūvija </w:t>
      </w:r>
      <w:proofErr w:type="spellStart"/>
      <w:r w:rsidRPr="00A07F29">
        <w:rPr>
          <w:rFonts w:ascii="Times New Roman" w:eastAsia="Calibri" w:hAnsi="Times New Roman" w:cs="Calibri"/>
          <w:sz w:val="24"/>
        </w:rPr>
        <w:t>palinoloģiskie</w:t>
      </w:r>
      <w:proofErr w:type="spellEnd"/>
      <w:r w:rsidRPr="00A07F29">
        <w:rPr>
          <w:rFonts w:ascii="Times New Roman" w:eastAsia="Calibri" w:hAnsi="Times New Roman" w:cs="Calibri"/>
          <w:sz w:val="24"/>
        </w:rPr>
        <w:t xml:space="preserve"> pētījumi parāda, ka tā ir sākusi veidoties </w:t>
      </w:r>
      <w:proofErr w:type="spellStart"/>
      <w:r w:rsidRPr="00A07F29">
        <w:rPr>
          <w:rFonts w:ascii="Times New Roman" w:eastAsia="Calibri" w:hAnsi="Times New Roman" w:cs="Calibri"/>
          <w:sz w:val="24"/>
        </w:rPr>
        <w:t>allerēdā</w:t>
      </w:r>
      <w:proofErr w:type="spellEnd"/>
      <w:r w:rsidRPr="00A07F29">
        <w:rPr>
          <w:rFonts w:ascii="Times New Roman" w:eastAsia="Calibri" w:hAnsi="Times New Roman" w:cs="Calibri"/>
          <w:sz w:val="24"/>
        </w:rPr>
        <w:t>, bet galīgi izveidojusies atlantiskajā periodā, tātad tās formēšanās ilgu laiku norisinājusies regresīvās erozijas ceļā. Tās izveidošanās notikusi aptuveni 11 līdz 9 tūkstoši gadu atpakaļ (</w:t>
      </w:r>
      <w:proofErr w:type="spellStart"/>
      <w:r w:rsidRPr="00A07F29">
        <w:rPr>
          <w:rFonts w:ascii="Times New Roman" w:eastAsia="Calibri" w:hAnsi="Times New Roman" w:cs="Calibri"/>
          <w:sz w:val="24"/>
        </w:rPr>
        <w:t>Eberhards</w:t>
      </w:r>
      <w:proofErr w:type="spellEnd"/>
      <w:r w:rsidR="00813E69" w:rsidRPr="00A07F29">
        <w:rPr>
          <w:rFonts w:ascii="Times New Roman" w:eastAsia="Calibri" w:hAnsi="Times New Roman" w:cs="Calibri"/>
          <w:sz w:val="24"/>
        </w:rPr>
        <w:t xml:space="preserve"> G.,</w:t>
      </w:r>
      <w:r w:rsidRPr="00A07F29">
        <w:rPr>
          <w:rFonts w:ascii="Times New Roman" w:eastAsia="Calibri" w:hAnsi="Times New Roman" w:cs="Calibri"/>
          <w:sz w:val="24"/>
        </w:rPr>
        <w:t xml:space="preserve"> 1972).</w:t>
      </w:r>
    </w:p>
    <w:p w14:paraId="71ED321E" w14:textId="405EA780" w:rsidR="00E5392D" w:rsidRPr="00A07F29" w:rsidRDefault="00E5392D" w:rsidP="00402A6B">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Palienei izšķir vairākus līmeņus: augstais (8</w:t>
      </w:r>
      <w:r w:rsidR="00813E69" w:rsidRPr="00A07F29">
        <w:rPr>
          <w:rFonts w:ascii="Times New Roman" w:eastAsia="Calibri" w:hAnsi="Times New Roman" w:cs="Calibri"/>
          <w:sz w:val="24"/>
        </w:rPr>
        <w:t> – </w:t>
      </w:r>
      <w:r w:rsidRPr="00A07F29">
        <w:rPr>
          <w:rFonts w:ascii="Times New Roman" w:eastAsia="Calibri" w:hAnsi="Times New Roman" w:cs="Calibri"/>
          <w:sz w:val="24"/>
        </w:rPr>
        <w:t>8,5</w:t>
      </w:r>
      <w:r w:rsidR="00813E69" w:rsidRPr="00A07F29">
        <w:rPr>
          <w:rFonts w:ascii="Times New Roman" w:eastAsia="Calibri" w:hAnsi="Times New Roman" w:cs="Calibri"/>
          <w:sz w:val="24"/>
        </w:rPr>
        <w:t> </w:t>
      </w:r>
      <w:r w:rsidRPr="00A07F29">
        <w:rPr>
          <w:rFonts w:ascii="Times New Roman" w:eastAsia="Calibri" w:hAnsi="Times New Roman" w:cs="Calibri"/>
          <w:sz w:val="24"/>
        </w:rPr>
        <w:t>m) un zemais (5</w:t>
      </w:r>
      <w:r w:rsidR="00813E69" w:rsidRPr="00A07F29">
        <w:rPr>
          <w:rFonts w:ascii="Times New Roman" w:eastAsia="Calibri" w:hAnsi="Times New Roman" w:cs="Calibri"/>
          <w:sz w:val="24"/>
        </w:rPr>
        <w:t> – </w:t>
      </w:r>
      <w:r w:rsidRPr="00A07F29">
        <w:rPr>
          <w:rFonts w:ascii="Times New Roman" w:eastAsia="Calibri" w:hAnsi="Times New Roman" w:cs="Calibri"/>
          <w:sz w:val="24"/>
        </w:rPr>
        <w:t>5,5</w:t>
      </w:r>
      <w:r w:rsidR="00813E69" w:rsidRPr="00A07F29">
        <w:rPr>
          <w:rFonts w:ascii="Times New Roman" w:eastAsia="Calibri" w:hAnsi="Times New Roman" w:cs="Calibri"/>
          <w:sz w:val="24"/>
        </w:rPr>
        <w:t> </w:t>
      </w:r>
      <w:r w:rsidRPr="00A07F29">
        <w:rPr>
          <w:rFonts w:ascii="Times New Roman" w:eastAsia="Calibri" w:hAnsi="Times New Roman" w:cs="Calibri"/>
          <w:sz w:val="24"/>
        </w:rPr>
        <w:t xml:space="preserve">m). Tā kā palienes pavasara palu laikā applūst un tiek pakļautas tekošo ūdeņu un ledus gabalu ģeoloģiskai darbībai, it sevišķi pie upes ieliektajiem krastiem (piemēram </w:t>
      </w:r>
      <w:r w:rsidR="00FB0954" w:rsidRPr="00A07F29">
        <w:rPr>
          <w:rFonts w:ascii="Times New Roman" w:eastAsia="Calibri" w:hAnsi="Times New Roman" w:cs="Calibri"/>
          <w:sz w:val="24"/>
        </w:rPr>
        <w:t>–</w:t>
      </w:r>
      <w:r w:rsidRPr="00A07F29">
        <w:rPr>
          <w:rFonts w:ascii="Times New Roman" w:eastAsia="Calibri" w:hAnsi="Times New Roman" w:cs="Calibri"/>
          <w:sz w:val="24"/>
        </w:rPr>
        <w:t xml:space="preserve"> kreisajā krastā lejpus </w:t>
      </w:r>
      <w:proofErr w:type="spellStart"/>
      <w:r w:rsidRPr="00A07F29">
        <w:rPr>
          <w:rFonts w:ascii="Times New Roman" w:eastAsia="Calibri" w:hAnsi="Times New Roman" w:cs="Calibri"/>
          <w:sz w:val="24"/>
        </w:rPr>
        <w:t>Poguļankas</w:t>
      </w:r>
      <w:proofErr w:type="spellEnd"/>
      <w:r w:rsidRPr="00A07F29">
        <w:rPr>
          <w:rFonts w:ascii="Times New Roman" w:eastAsia="Calibri" w:hAnsi="Times New Roman" w:cs="Calibri"/>
          <w:sz w:val="24"/>
        </w:rPr>
        <w:t xml:space="preserve"> ietekas un pretī </w:t>
      </w:r>
      <w:proofErr w:type="spellStart"/>
      <w:r w:rsidRPr="00A07F29">
        <w:rPr>
          <w:rFonts w:ascii="Times New Roman" w:eastAsia="Calibri" w:hAnsi="Times New Roman" w:cs="Calibri"/>
          <w:sz w:val="24"/>
        </w:rPr>
        <w:t>Ververu</w:t>
      </w:r>
      <w:proofErr w:type="spellEnd"/>
      <w:r w:rsidRPr="00A07F29">
        <w:rPr>
          <w:rFonts w:ascii="Times New Roman" w:eastAsia="Calibri" w:hAnsi="Times New Roman" w:cs="Calibri"/>
          <w:sz w:val="24"/>
        </w:rPr>
        <w:t xml:space="preserve"> kraujai), tad uz tās virsmas redzamas ledus izaruma vagas, izskalojumu bedres un gultnes, vietām ar ledus sabīdītiem lielu laukakmeņu krāvumiem, to joslām gar upes krastu vai šķērsām upes gultnē. </w:t>
      </w:r>
    </w:p>
    <w:p w14:paraId="33A8A14F" w14:textId="77777777" w:rsidR="00E5392D" w:rsidRPr="00A07F29" w:rsidRDefault="00E5392D" w:rsidP="00402A6B">
      <w:pPr>
        <w:spacing w:after="120" w:line="240" w:lineRule="auto"/>
        <w:ind w:firstLine="851"/>
        <w:jc w:val="both"/>
        <w:rPr>
          <w:rFonts w:ascii="Times New Roman" w:eastAsia="Calibri" w:hAnsi="Times New Roman" w:cs="Calibri"/>
          <w:sz w:val="24"/>
        </w:rPr>
      </w:pPr>
      <w:proofErr w:type="spellStart"/>
      <w:r w:rsidRPr="00A07F29">
        <w:rPr>
          <w:rFonts w:ascii="Times New Roman" w:eastAsia="Calibri" w:hAnsi="Times New Roman" w:cs="Calibri"/>
          <w:sz w:val="24"/>
        </w:rPr>
        <w:t>Dziļumerozijas</w:t>
      </w:r>
      <w:proofErr w:type="spellEnd"/>
      <w:r w:rsidRPr="00A07F29">
        <w:rPr>
          <w:rFonts w:ascii="Times New Roman" w:eastAsia="Calibri" w:hAnsi="Times New Roman" w:cs="Calibri"/>
          <w:sz w:val="24"/>
        </w:rPr>
        <w:t xml:space="preserve"> rezultātā upe ir sasniegusi gruntsūdens spoguļa līmeni un daudzās vietās palienē iztek avoti. Dominē lejupplūsmas avoti ar nelielu </w:t>
      </w:r>
      <w:proofErr w:type="spellStart"/>
      <w:r w:rsidRPr="00A07F29">
        <w:rPr>
          <w:rFonts w:ascii="Times New Roman" w:eastAsia="Calibri" w:hAnsi="Times New Roman" w:cs="Calibri"/>
          <w:sz w:val="24"/>
        </w:rPr>
        <w:t>debitu</w:t>
      </w:r>
      <w:proofErr w:type="spellEnd"/>
      <w:r w:rsidRPr="00A07F29">
        <w:rPr>
          <w:rFonts w:ascii="Times New Roman" w:eastAsia="Calibri" w:hAnsi="Times New Roman" w:cs="Calibri"/>
          <w:sz w:val="24"/>
        </w:rPr>
        <w:t xml:space="preserve">, taču konstatēti arī augšupplūsmas avoti ar ievērojamiem </w:t>
      </w:r>
      <w:proofErr w:type="spellStart"/>
      <w:r w:rsidRPr="00A07F29">
        <w:rPr>
          <w:rFonts w:ascii="Times New Roman" w:eastAsia="Calibri" w:hAnsi="Times New Roman" w:cs="Calibri"/>
          <w:sz w:val="24"/>
        </w:rPr>
        <w:t>debitiem</w:t>
      </w:r>
      <w:proofErr w:type="spellEnd"/>
      <w:r w:rsidRPr="00A07F29">
        <w:rPr>
          <w:rFonts w:ascii="Times New Roman" w:eastAsia="Calibri" w:hAnsi="Times New Roman" w:cs="Calibri"/>
          <w:sz w:val="24"/>
        </w:rPr>
        <w:t xml:space="preserve">. Avotu maksimāla koncentrācija ir novērojama </w:t>
      </w:r>
      <w:proofErr w:type="spellStart"/>
      <w:r w:rsidRPr="00A07F29">
        <w:rPr>
          <w:rFonts w:ascii="Times New Roman" w:eastAsia="Calibri" w:hAnsi="Times New Roman" w:cs="Calibri"/>
          <w:sz w:val="24"/>
        </w:rPr>
        <w:t>Zvainieku</w:t>
      </w:r>
      <w:proofErr w:type="spellEnd"/>
      <w:r w:rsidRPr="00A07F29">
        <w:rPr>
          <w:rFonts w:ascii="Times New Roman" w:eastAsia="Calibri" w:hAnsi="Times New Roman" w:cs="Calibri"/>
          <w:sz w:val="24"/>
        </w:rPr>
        <w:t xml:space="preserve"> lokā abos krastos no Ventiņu mājām līdz </w:t>
      </w:r>
      <w:proofErr w:type="spellStart"/>
      <w:r w:rsidRPr="00A07F29">
        <w:rPr>
          <w:rFonts w:ascii="Times New Roman" w:eastAsia="Calibri" w:hAnsi="Times New Roman" w:cs="Calibri"/>
          <w:sz w:val="24"/>
        </w:rPr>
        <w:t>Užingorai</w:t>
      </w:r>
      <w:proofErr w:type="spellEnd"/>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sz w:val="24"/>
        </w:rPr>
        <w:t>Rudņas</w:t>
      </w:r>
      <w:proofErr w:type="spellEnd"/>
      <w:r w:rsidRPr="00A07F29">
        <w:rPr>
          <w:rFonts w:ascii="Times New Roman" w:eastAsia="Calibri" w:hAnsi="Times New Roman" w:cs="Calibri"/>
          <w:sz w:val="24"/>
        </w:rPr>
        <w:t xml:space="preserve"> lokā starp Kaplavu un </w:t>
      </w:r>
      <w:proofErr w:type="spellStart"/>
      <w:r w:rsidRPr="00A07F29">
        <w:rPr>
          <w:rFonts w:ascii="Times New Roman" w:eastAsia="Calibri" w:hAnsi="Times New Roman" w:cs="Calibri"/>
          <w:sz w:val="24"/>
        </w:rPr>
        <w:t>Augustinišķiem</w:t>
      </w:r>
      <w:proofErr w:type="spellEnd"/>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sz w:val="24"/>
        </w:rPr>
        <w:t>Daugavsargu</w:t>
      </w:r>
      <w:proofErr w:type="spellEnd"/>
      <w:r w:rsidRPr="00A07F29">
        <w:rPr>
          <w:rFonts w:ascii="Times New Roman" w:eastAsia="Calibri" w:hAnsi="Times New Roman" w:cs="Calibri"/>
          <w:sz w:val="24"/>
        </w:rPr>
        <w:t xml:space="preserve"> lokā starp Brenču mājām un </w:t>
      </w:r>
      <w:proofErr w:type="spellStart"/>
      <w:r w:rsidRPr="00A07F29">
        <w:rPr>
          <w:rFonts w:ascii="Times New Roman" w:eastAsia="Calibri" w:hAnsi="Times New Roman" w:cs="Calibri"/>
          <w:sz w:val="24"/>
        </w:rPr>
        <w:t>Slutiškiem</w:t>
      </w:r>
      <w:proofErr w:type="spellEnd"/>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sz w:val="24"/>
        </w:rPr>
        <w:t>Butišķu</w:t>
      </w:r>
      <w:proofErr w:type="spellEnd"/>
      <w:r w:rsidRPr="00A07F29">
        <w:rPr>
          <w:rFonts w:ascii="Times New Roman" w:eastAsia="Calibri" w:hAnsi="Times New Roman" w:cs="Calibri"/>
          <w:sz w:val="24"/>
        </w:rPr>
        <w:t xml:space="preserve"> lokā pie </w:t>
      </w:r>
      <w:proofErr w:type="spellStart"/>
      <w:r w:rsidRPr="00A07F29">
        <w:rPr>
          <w:rFonts w:ascii="Times New Roman" w:eastAsia="Calibri" w:hAnsi="Times New Roman" w:cs="Calibri"/>
          <w:sz w:val="24"/>
        </w:rPr>
        <w:t>Muravkiem</w:t>
      </w:r>
      <w:proofErr w:type="spellEnd"/>
      <w:r w:rsidRPr="00A07F29">
        <w:rPr>
          <w:rFonts w:ascii="Times New Roman" w:eastAsia="Calibri" w:hAnsi="Times New Roman" w:cs="Calibri"/>
          <w:sz w:val="24"/>
        </w:rPr>
        <w:t>.</w:t>
      </w:r>
    </w:p>
    <w:p w14:paraId="674129A4" w14:textId="19CEBF49" w:rsidR="00E5392D" w:rsidRPr="00A07F29" w:rsidRDefault="00E5392D" w:rsidP="00402A6B">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Daugavas krastos šajā posmā augstajās teras</w:t>
      </w:r>
      <w:r w:rsidR="00C9585A" w:rsidRPr="00A07F29">
        <w:rPr>
          <w:rFonts w:ascii="Times New Roman" w:eastAsia="Calibri" w:hAnsi="Times New Roman" w:cs="Calibri"/>
          <w:sz w:val="24"/>
        </w:rPr>
        <w:t>ē</w:t>
      </w:r>
      <w:r w:rsidRPr="00A07F29">
        <w:rPr>
          <w:rFonts w:ascii="Times New Roman" w:eastAsia="Calibri" w:hAnsi="Times New Roman" w:cs="Calibri"/>
          <w:sz w:val="24"/>
        </w:rPr>
        <w:t xml:space="preserve">s, retāk zemākajās terasēs ir plaši sastopamas </w:t>
      </w:r>
      <w:proofErr w:type="spellStart"/>
      <w:r w:rsidRPr="00A07F29">
        <w:rPr>
          <w:rFonts w:ascii="Times New Roman" w:eastAsia="Calibri" w:hAnsi="Times New Roman" w:cs="Calibri"/>
          <w:sz w:val="24"/>
        </w:rPr>
        <w:t>beznoteces</w:t>
      </w:r>
      <w:proofErr w:type="spellEnd"/>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sz w:val="24"/>
        </w:rPr>
        <w:t>glaciokarsta</w:t>
      </w:r>
      <w:proofErr w:type="spellEnd"/>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sz w:val="24"/>
        </w:rPr>
        <w:t>termokarsta</w:t>
      </w:r>
      <w:proofErr w:type="spellEnd"/>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sz w:val="24"/>
        </w:rPr>
        <w:t>ieplakas</w:t>
      </w:r>
      <w:proofErr w:type="spellEnd"/>
      <w:r w:rsidRPr="00A07F29">
        <w:rPr>
          <w:rFonts w:ascii="Times New Roman" w:eastAsia="Calibri" w:hAnsi="Times New Roman" w:cs="Calibri"/>
          <w:sz w:val="24"/>
        </w:rPr>
        <w:t>. Krāslavas apkārtnē (Priedaines loks) tās ir 8</w:t>
      </w:r>
      <w:r w:rsidR="00C9585A" w:rsidRPr="00A07F29">
        <w:rPr>
          <w:rFonts w:ascii="Times New Roman" w:eastAsia="Calibri" w:hAnsi="Times New Roman" w:cs="Calibri"/>
          <w:sz w:val="24"/>
        </w:rPr>
        <w:t> – </w:t>
      </w:r>
      <w:r w:rsidRPr="00A07F29">
        <w:rPr>
          <w:rFonts w:ascii="Times New Roman" w:eastAsia="Calibri" w:hAnsi="Times New Roman" w:cs="Calibri"/>
          <w:sz w:val="24"/>
        </w:rPr>
        <w:t>12</w:t>
      </w:r>
      <w:r w:rsidR="00C9585A" w:rsidRPr="00A07F29">
        <w:rPr>
          <w:rFonts w:ascii="Times New Roman" w:eastAsia="Calibri" w:hAnsi="Times New Roman" w:cs="Calibri"/>
          <w:sz w:val="24"/>
        </w:rPr>
        <w:t> </w:t>
      </w:r>
      <w:r w:rsidRPr="00A07F29">
        <w:rPr>
          <w:rFonts w:ascii="Times New Roman" w:eastAsia="Calibri" w:hAnsi="Times New Roman" w:cs="Calibri"/>
          <w:sz w:val="24"/>
        </w:rPr>
        <w:t>m dziļas, līdz 50</w:t>
      </w:r>
      <w:r w:rsidR="00C9585A" w:rsidRPr="00A07F29">
        <w:rPr>
          <w:rFonts w:ascii="Times New Roman" w:eastAsia="Calibri" w:hAnsi="Times New Roman" w:cs="Calibri"/>
          <w:sz w:val="24"/>
        </w:rPr>
        <w:t> – </w:t>
      </w:r>
      <w:r w:rsidRPr="00A07F29">
        <w:rPr>
          <w:rFonts w:ascii="Times New Roman" w:eastAsia="Calibri" w:hAnsi="Times New Roman" w:cs="Calibri"/>
          <w:sz w:val="24"/>
        </w:rPr>
        <w:t>200</w:t>
      </w:r>
      <w:r w:rsidR="00C9585A" w:rsidRPr="00A07F29">
        <w:rPr>
          <w:rFonts w:ascii="Times New Roman" w:eastAsia="Calibri" w:hAnsi="Times New Roman" w:cs="Calibri"/>
          <w:sz w:val="24"/>
        </w:rPr>
        <w:t> </w:t>
      </w:r>
      <w:r w:rsidRPr="00A07F29">
        <w:rPr>
          <w:rFonts w:ascii="Times New Roman" w:eastAsia="Calibri" w:hAnsi="Times New Roman" w:cs="Calibri"/>
          <w:sz w:val="24"/>
        </w:rPr>
        <w:t xml:space="preserve">m diametrā, ovālas vai iegarenas </w:t>
      </w:r>
      <w:proofErr w:type="spellStart"/>
      <w:r w:rsidRPr="00A07F29">
        <w:rPr>
          <w:rFonts w:ascii="Times New Roman" w:eastAsia="Calibri" w:hAnsi="Times New Roman" w:cs="Calibri"/>
          <w:sz w:val="24"/>
        </w:rPr>
        <w:t>ieplakas</w:t>
      </w:r>
      <w:proofErr w:type="spellEnd"/>
      <w:r w:rsidRPr="00A07F29">
        <w:rPr>
          <w:rFonts w:ascii="Times New Roman" w:eastAsia="Calibri" w:hAnsi="Times New Roman" w:cs="Calibri"/>
          <w:sz w:val="24"/>
        </w:rPr>
        <w:t xml:space="preserve">, reizēm ar īsu graviņu sašķeltām nogāzēm tās sastopamas pat uz II </w:t>
      </w:r>
      <w:proofErr w:type="spellStart"/>
      <w:r w:rsidRPr="00A07F29">
        <w:rPr>
          <w:rFonts w:ascii="Times New Roman" w:eastAsia="Calibri" w:hAnsi="Times New Roman" w:cs="Calibri"/>
          <w:sz w:val="24"/>
        </w:rPr>
        <w:t>virspalu</w:t>
      </w:r>
      <w:proofErr w:type="spellEnd"/>
      <w:r w:rsidRPr="00A07F29">
        <w:rPr>
          <w:rFonts w:ascii="Times New Roman" w:eastAsia="Calibri" w:hAnsi="Times New Roman" w:cs="Calibri"/>
          <w:sz w:val="24"/>
        </w:rPr>
        <w:t xml:space="preserve"> terases. Šīs </w:t>
      </w:r>
      <w:proofErr w:type="spellStart"/>
      <w:r w:rsidRPr="00A07F29">
        <w:rPr>
          <w:rFonts w:ascii="Times New Roman" w:eastAsia="Calibri" w:hAnsi="Times New Roman" w:cs="Calibri"/>
          <w:sz w:val="24"/>
        </w:rPr>
        <w:t>glaciokarsta</w:t>
      </w:r>
      <w:proofErr w:type="spellEnd"/>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sz w:val="24"/>
        </w:rPr>
        <w:t>ieplakas</w:t>
      </w:r>
      <w:proofErr w:type="spellEnd"/>
      <w:r w:rsidRPr="00A07F29">
        <w:rPr>
          <w:rFonts w:ascii="Times New Roman" w:eastAsia="Calibri" w:hAnsi="Times New Roman" w:cs="Calibri"/>
          <w:sz w:val="24"/>
        </w:rPr>
        <w:t xml:space="preserve"> radušās, izkūstot </w:t>
      </w:r>
      <w:proofErr w:type="spellStart"/>
      <w:r w:rsidRPr="00A07F29">
        <w:rPr>
          <w:rFonts w:ascii="Times New Roman" w:eastAsia="Calibri" w:hAnsi="Times New Roman" w:cs="Calibri"/>
          <w:sz w:val="24"/>
        </w:rPr>
        <w:t>glaciofluviālajos</w:t>
      </w:r>
      <w:proofErr w:type="spellEnd"/>
      <w:r w:rsidRPr="00A07F29">
        <w:rPr>
          <w:rFonts w:ascii="Times New Roman" w:eastAsia="Calibri" w:hAnsi="Times New Roman" w:cs="Calibri"/>
          <w:sz w:val="24"/>
        </w:rPr>
        <w:t xml:space="preserve"> oļu-grants slāņos apraktā ledus blāķiem pēc </w:t>
      </w:r>
      <w:proofErr w:type="spellStart"/>
      <w:r w:rsidRPr="00A07F29">
        <w:rPr>
          <w:rFonts w:ascii="Times New Roman" w:eastAsia="Calibri" w:hAnsi="Times New Roman" w:cs="Calibri"/>
          <w:sz w:val="24"/>
        </w:rPr>
        <w:t>terasu</w:t>
      </w:r>
      <w:proofErr w:type="spellEnd"/>
      <w:r w:rsidRPr="00A07F29">
        <w:rPr>
          <w:rFonts w:ascii="Times New Roman" w:eastAsia="Calibri" w:hAnsi="Times New Roman" w:cs="Calibri"/>
          <w:sz w:val="24"/>
        </w:rPr>
        <w:t xml:space="preserve"> izveidošanās, tas noticis apm. 10 līdz 9 tūkstoši gadu atpakaļ (Āboltiņš</w:t>
      </w:r>
      <w:r w:rsidR="003C687E" w:rsidRPr="00A07F29">
        <w:rPr>
          <w:rFonts w:ascii="Times New Roman" w:eastAsia="Calibri" w:hAnsi="Times New Roman" w:cs="Calibri"/>
          <w:sz w:val="24"/>
        </w:rPr>
        <w:t xml:space="preserve"> O.,</w:t>
      </w:r>
      <w:r w:rsidRPr="00A07F29">
        <w:rPr>
          <w:rFonts w:ascii="Times New Roman" w:eastAsia="Calibri" w:hAnsi="Times New Roman" w:cs="Calibri"/>
          <w:sz w:val="24"/>
        </w:rPr>
        <w:t xml:space="preserve"> 1989). Atsevišķās </w:t>
      </w:r>
      <w:proofErr w:type="spellStart"/>
      <w:r w:rsidRPr="00A07F29">
        <w:rPr>
          <w:rFonts w:ascii="Times New Roman" w:eastAsia="Calibri" w:hAnsi="Times New Roman" w:cs="Calibri"/>
          <w:sz w:val="24"/>
        </w:rPr>
        <w:t>glaciokarsta</w:t>
      </w:r>
      <w:proofErr w:type="spellEnd"/>
      <w:r w:rsidRPr="00A07F29">
        <w:rPr>
          <w:rFonts w:ascii="Times New Roman" w:eastAsia="Calibri" w:hAnsi="Times New Roman" w:cs="Calibri"/>
          <w:sz w:val="24"/>
        </w:rPr>
        <w:t xml:space="preserve"> ieplakās, kur tuvu terases virsmai ir gruntsūdens līmenis, izveidojušies nelieli purviņi vai avotu ezeriņi. Izteiksmīgākās </w:t>
      </w:r>
      <w:proofErr w:type="spellStart"/>
      <w:r w:rsidRPr="00A07F29">
        <w:rPr>
          <w:rFonts w:ascii="Times New Roman" w:eastAsia="Calibri" w:hAnsi="Times New Roman" w:cs="Calibri"/>
          <w:sz w:val="24"/>
        </w:rPr>
        <w:t>glaciokarsta</w:t>
      </w:r>
      <w:proofErr w:type="spellEnd"/>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sz w:val="24"/>
        </w:rPr>
        <w:t>ieplakas</w:t>
      </w:r>
      <w:proofErr w:type="spellEnd"/>
      <w:r w:rsidRPr="00A07F29">
        <w:rPr>
          <w:rFonts w:ascii="Times New Roman" w:eastAsia="Calibri" w:hAnsi="Times New Roman" w:cs="Calibri"/>
          <w:sz w:val="24"/>
        </w:rPr>
        <w:t xml:space="preserve"> izvietojušās ainavu apvidus centrālajā daļā, Tartaka lokā, kur tās veido grupas. Vietējie iedzīvotāji šīs reljefa formas dēvē par </w:t>
      </w:r>
      <w:r w:rsidR="00897E87" w:rsidRPr="00A07F29">
        <w:rPr>
          <w:rFonts w:ascii="Times New Roman" w:eastAsia="Calibri" w:hAnsi="Times New Roman" w:cs="Calibri"/>
          <w:sz w:val="24"/>
        </w:rPr>
        <w:t>“</w:t>
      </w:r>
      <w:r w:rsidRPr="00A07F29">
        <w:rPr>
          <w:rFonts w:ascii="Times New Roman" w:eastAsia="Calibri" w:hAnsi="Times New Roman" w:cs="Calibri"/>
          <w:sz w:val="24"/>
        </w:rPr>
        <w:t>velna dobēm”.</w:t>
      </w:r>
    </w:p>
    <w:p w14:paraId="49E75F88" w14:textId="1705C9A4" w:rsidR="00E5392D" w:rsidRPr="00A07F29" w:rsidRDefault="00E5392D" w:rsidP="00402A6B">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Saskaņā ar </w:t>
      </w:r>
      <w:bookmarkStart w:id="22" w:name="_Hlk44245402"/>
      <w:r w:rsidR="00CB1E83" w:rsidRPr="00A07F29">
        <w:rPr>
          <w:rFonts w:ascii="Times New Roman" w:eastAsia="Calibri" w:hAnsi="Times New Roman" w:cs="Calibri"/>
          <w:sz w:val="24"/>
        </w:rPr>
        <w:t xml:space="preserve">MK </w:t>
      </w:r>
      <w:r w:rsidR="002E0929" w:rsidRPr="00A07F29">
        <w:rPr>
          <w:rFonts w:ascii="Times New Roman" w:eastAsia="Calibri" w:hAnsi="Times New Roman" w:cs="Calibri"/>
          <w:sz w:val="24"/>
        </w:rPr>
        <w:t>2022</w:t>
      </w:r>
      <w:r w:rsidR="00CB1E83" w:rsidRPr="00A07F29">
        <w:rPr>
          <w:rFonts w:ascii="Times New Roman" w:eastAsia="Calibri" w:hAnsi="Times New Roman" w:cs="Calibri"/>
          <w:sz w:val="24"/>
        </w:rPr>
        <w:t>.</w:t>
      </w:r>
      <w:r w:rsidR="00897E87" w:rsidRPr="00A07F29">
        <w:rPr>
          <w:rFonts w:ascii="Times New Roman" w:eastAsia="Calibri" w:hAnsi="Times New Roman" w:cs="Calibri"/>
          <w:sz w:val="24"/>
        </w:rPr>
        <w:t> </w:t>
      </w:r>
      <w:r w:rsidR="00CB1E83" w:rsidRPr="00A07F29">
        <w:rPr>
          <w:rFonts w:ascii="Times New Roman" w:eastAsia="Calibri" w:hAnsi="Times New Roman" w:cs="Calibri"/>
          <w:sz w:val="24"/>
        </w:rPr>
        <w:t>gada 1</w:t>
      </w:r>
      <w:r w:rsidR="002E0929" w:rsidRPr="00A07F29">
        <w:rPr>
          <w:rFonts w:ascii="Times New Roman" w:eastAsia="Calibri" w:hAnsi="Times New Roman" w:cs="Calibri"/>
          <w:sz w:val="24"/>
        </w:rPr>
        <w:t>4</w:t>
      </w:r>
      <w:r w:rsidR="00897E87" w:rsidRPr="00A07F29">
        <w:rPr>
          <w:rFonts w:ascii="Times New Roman" w:eastAsia="Calibri" w:hAnsi="Times New Roman" w:cs="Calibri"/>
          <w:sz w:val="24"/>
        </w:rPr>
        <w:t>. </w:t>
      </w:r>
      <w:r w:rsidR="002E0929" w:rsidRPr="00A07F29">
        <w:rPr>
          <w:rFonts w:ascii="Times New Roman" w:eastAsia="Calibri" w:hAnsi="Times New Roman" w:cs="Calibri"/>
          <w:sz w:val="24"/>
        </w:rPr>
        <w:t>jūlija</w:t>
      </w:r>
      <w:r w:rsidR="00CB1E83" w:rsidRPr="00A07F29">
        <w:rPr>
          <w:rFonts w:ascii="Times New Roman" w:eastAsia="Calibri" w:hAnsi="Times New Roman" w:cs="Calibri"/>
          <w:sz w:val="24"/>
        </w:rPr>
        <w:t xml:space="preserve"> noteikumiem Nr.</w:t>
      </w:r>
      <w:r w:rsidR="00897E87" w:rsidRPr="00A07F29">
        <w:rPr>
          <w:rFonts w:ascii="Times New Roman" w:eastAsia="Calibri" w:hAnsi="Times New Roman" w:cs="Calibri"/>
          <w:sz w:val="24"/>
        </w:rPr>
        <w:t> </w:t>
      </w:r>
      <w:r w:rsidR="002E0929" w:rsidRPr="00A07F29">
        <w:rPr>
          <w:rFonts w:ascii="Times New Roman" w:eastAsia="Calibri" w:hAnsi="Times New Roman" w:cs="Calibri"/>
          <w:sz w:val="24"/>
        </w:rPr>
        <w:t xml:space="preserve">461 </w:t>
      </w:r>
      <w:r w:rsidR="00CB1E83" w:rsidRPr="00A07F29">
        <w:rPr>
          <w:rFonts w:ascii="Times New Roman" w:eastAsia="Calibri" w:hAnsi="Times New Roman" w:cs="Calibri"/>
          <w:sz w:val="24"/>
        </w:rPr>
        <w:t xml:space="preserve">“Noteikumi par aizsargājamiem ģeoloģiskiem un </w:t>
      </w:r>
      <w:proofErr w:type="spellStart"/>
      <w:r w:rsidR="00CB1E83" w:rsidRPr="00A07F29">
        <w:rPr>
          <w:rFonts w:ascii="Times New Roman" w:eastAsia="Calibri" w:hAnsi="Times New Roman" w:cs="Calibri"/>
          <w:sz w:val="24"/>
        </w:rPr>
        <w:t>ģeomorfoloģiskiem</w:t>
      </w:r>
      <w:proofErr w:type="spellEnd"/>
      <w:r w:rsidR="00CB1E83" w:rsidRPr="00A07F29">
        <w:rPr>
          <w:rFonts w:ascii="Times New Roman" w:eastAsia="Calibri" w:hAnsi="Times New Roman" w:cs="Calibri"/>
          <w:sz w:val="24"/>
        </w:rPr>
        <w:t xml:space="preserve"> dabas pieminekļiem”</w:t>
      </w:r>
      <w:bookmarkEnd w:id="22"/>
      <w:r w:rsidRPr="00A07F29">
        <w:rPr>
          <w:rFonts w:ascii="Times New Roman" w:eastAsia="Calibri" w:hAnsi="Times New Roman" w:cs="Calibri"/>
          <w:sz w:val="24"/>
        </w:rPr>
        <w:t xml:space="preserve"> AAA </w:t>
      </w:r>
      <w:r w:rsidR="005C27CC" w:rsidRPr="00A07F29">
        <w:rPr>
          <w:rFonts w:ascii="Times New Roman" w:eastAsia="Calibri" w:hAnsi="Times New Roman" w:cs="Calibri"/>
          <w:sz w:val="24"/>
        </w:rPr>
        <w:t>“</w:t>
      </w:r>
      <w:r w:rsidRPr="00A07F29">
        <w:rPr>
          <w:rFonts w:ascii="Times New Roman" w:eastAsia="Calibri" w:hAnsi="Times New Roman" w:cs="Calibri"/>
          <w:sz w:val="24"/>
        </w:rPr>
        <w:t xml:space="preserve">Augšdaugava” teritorijā atrodas seši valsts jeb nacionālas nozīmes ģeoloģiskie un </w:t>
      </w:r>
      <w:proofErr w:type="spellStart"/>
      <w:r w:rsidRPr="00A07F29">
        <w:rPr>
          <w:rFonts w:ascii="Times New Roman" w:eastAsia="Calibri" w:hAnsi="Times New Roman" w:cs="Calibri"/>
          <w:sz w:val="24"/>
        </w:rPr>
        <w:t>ģeomorfoloģiskie</w:t>
      </w:r>
      <w:proofErr w:type="spellEnd"/>
      <w:r w:rsidRPr="00A07F29">
        <w:rPr>
          <w:rFonts w:ascii="Times New Roman" w:eastAsia="Calibri" w:hAnsi="Times New Roman" w:cs="Calibri"/>
          <w:sz w:val="24"/>
        </w:rPr>
        <w:t xml:space="preserve"> dabas pieminekļi – četri </w:t>
      </w:r>
      <w:r w:rsidR="00DB442E" w:rsidRPr="00A07F29">
        <w:rPr>
          <w:rFonts w:ascii="Times New Roman" w:eastAsia="Calibri" w:hAnsi="Times New Roman" w:cs="Calibri"/>
          <w:sz w:val="24"/>
        </w:rPr>
        <w:t>Augšdaugavas</w:t>
      </w:r>
      <w:r w:rsidRPr="00A07F29">
        <w:rPr>
          <w:rFonts w:ascii="Times New Roman" w:eastAsia="Calibri" w:hAnsi="Times New Roman" w:cs="Calibri"/>
          <w:sz w:val="24"/>
        </w:rPr>
        <w:t xml:space="preserve"> novadā (</w:t>
      </w:r>
      <w:proofErr w:type="spellStart"/>
      <w:r w:rsidRPr="00A07F29">
        <w:rPr>
          <w:rFonts w:ascii="Times New Roman" w:eastAsia="Calibri" w:hAnsi="Times New Roman" w:cs="Calibri"/>
          <w:sz w:val="24"/>
        </w:rPr>
        <w:t>Viļušu</w:t>
      </w:r>
      <w:proofErr w:type="spellEnd"/>
      <w:r w:rsidRPr="00A07F29">
        <w:rPr>
          <w:rFonts w:ascii="Times New Roman" w:eastAsia="Calibri" w:hAnsi="Times New Roman" w:cs="Calibri"/>
          <w:sz w:val="24"/>
        </w:rPr>
        <w:t xml:space="preserve"> avots, </w:t>
      </w:r>
      <w:proofErr w:type="spellStart"/>
      <w:r w:rsidRPr="00A07F29">
        <w:rPr>
          <w:rFonts w:ascii="Times New Roman" w:eastAsia="Calibri" w:hAnsi="Times New Roman" w:cs="Calibri"/>
          <w:sz w:val="24"/>
        </w:rPr>
        <w:t>Sandarišķu</w:t>
      </w:r>
      <w:proofErr w:type="spellEnd"/>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sz w:val="24"/>
        </w:rPr>
        <w:t>karengravas</w:t>
      </w:r>
      <w:proofErr w:type="spellEnd"/>
      <w:r w:rsidRPr="00A07F29">
        <w:rPr>
          <w:rFonts w:ascii="Times New Roman" w:eastAsia="Calibri" w:hAnsi="Times New Roman" w:cs="Calibri"/>
          <w:sz w:val="24"/>
        </w:rPr>
        <w:t xml:space="preserve">, Daugavas </w:t>
      </w:r>
      <w:r w:rsidR="00A81F7C" w:rsidRPr="00A07F29">
        <w:rPr>
          <w:rFonts w:ascii="Times New Roman" w:eastAsia="Calibri" w:hAnsi="Times New Roman" w:cs="Calibri"/>
          <w:sz w:val="24"/>
        </w:rPr>
        <w:t xml:space="preserve">Vārtu kraujas </w:t>
      </w:r>
      <w:r w:rsidRPr="00A07F29">
        <w:rPr>
          <w:rFonts w:ascii="Times New Roman" w:eastAsia="Calibri" w:hAnsi="Times New Roman" w:cs="Calibri"/>
          <w:sz w:val="24"/>
        </w:rPr>
        <w:t>(</w:t>
      </w:r>
      <w:proofErr w:type="spellStart"/>
      <w:r w:rsidRPr="00A07F29">
        <w:rPr>
          <w:rFonts w:ascii="Times New Roman" w:eastAsia="Calibri" w:hAnsi="Times New Roman" w:cs="Calibri"/>
          <w:sz w:val="24"/>
        </w:rPr>
        <w:t>Ververu</w:t>
      </w:r>
      <w:proofErr w:type="spellEnd"/>
      <w:r w:rsidRPr="00A07F29">
        <w:rPr>
          <w:rFonts w:ascii="Times New Roman" w:eastAsia="Calibri" w:hAnsi="Times New Roman" w:cs="Calibri"/>
          <w:sz w:val="24"/>
        </w:rPr>
        <w:t xml:space="preserve"> un </w:t>
      </w:r>
      <w:proofErr w:type="spellStart"/>
      <w:r w:rsidRPr="00A07F29">
        <w:rPr>
          <w:rFonts w:ascii="Times New Roman" w:eastAsia="Calibri" w:hAnsi="Times New Roman" w:cs="Calibri"/>
          <w:sz w:val="24"/>
        </w:rPr>
        <w:t>Slutišķu</w:t>
      </w:r>
      <w:proofErr w:type="spellEnd"/>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sz w:val="24"/>
        </w:rPr>
        <w:t>pamatkrasta</w:t>
      </w:r>
      <w:proofErr w:type="spellEnd"/>
      <w:r w:rsidRPr="00A07F29">
        <w:rPr>
          <w:rFonts w:ascii="Times New Roman" w:eastAsia="Calibri" w:hAnsi="Times New Roman" w:cs="Calibri"/>
          <w:sz w:val="24"/>
        </w:rPr>
        <w:t xml:space="preserve"> kraujas) un </w:t>
      </w:r>
      <w:proofErr w:type="spellStart"/>
      <w:r w:rsidRPr="00A07F29">
        <w:rPr>
          <w:rFonts w:ascii="Times New Roman" w:eastAsia="Calibri" w:hAnsi="Times New Roman" w:cs="Calibri"/>
          <w:sz w:val="24"/>
        </w:rPr>
        <w:t>Mālkalnes</w:t>
      </w:r>
      <w:proofErr w:type="spellEnd"/>
      <w:r w:rsidRPr="00A07F29">
        <w:rPr>
          <w:rFonts w:ascii="Times New Roman" w:eastAsia="Calibri" w:hAnsi="Times New Roman" w:cs="Calibri"/>
          <w:sz w:val="24"/>
        </w:rPr>
        <w:t xml:space="preserve"> </w:t>
      </w:r>
      <w:r w:rsidR="00E42563" w:rsidRPr="00A07F29">
        <w:rPr>
          <w:rFonts w:ascii="Times New Roman" w:eastAsia="Calibri" w:hAnsi="Times New Roman" w:cs="Calibri"/>
          <w:sz w:val="24"/>
        </w:rPr>
        <w:t>avoti</w:t>
      </w:r>
      <w:r w:rsidRPr="00A07F29">
        <w:rPr>
          <w:rFonts w:ascii="Times New Roman" w:eastAsia="Calibri" w:hAnsi="Times New Roman" w:cs="Calibri"/>
          <w:sz w:val="24"/>
        </w:rPr>
        <w:t>) un divi Krāslavas novadā (Sproģu gravas un Adamovas krauja) (</w:t>
      </w:r>
      <w:r w:rsidR="00570CC8" w:rsidRPr="00A07F29">
        <w:rPr>
          <w:rFonts w:ascii="Times New Roman" w:eastAsia="Calibri" w:hAnsi="Times New Roman" w:cs="Calibri"/>
          <w:sz w:val="24"/>
        </w:rPr>
        <w:t xml:space="preserve">skat. </w:t>
      </w:r>
      <w:r w:rsidR="00242F95" w:rsidRPr="00A07F29">
        <w:rPr>
          <w:rFonts w:ascii="Times New Roman" w:eastAsia="Calibri" w:hAnsi="Times New Roman" w:cs="Calibri"/>
          <w:sz w:val="24"/>
        </w:rPr>
        <w:t>4.12., 4.13.</w:t>
      </w:r>
      <w:r w:rsidR="00570CC8" w:rsidRPr="00A07F29">
        <w:rPr>
          <w:rFonts w:ascii="Times New Roman" w:eastAsia="Calibri" w:hAnsi="Times New Roman" w:cs="Calibri"/>
          <w:sz w:val="24"/>
        </w:rPr>
        <w:t> </w:t>
      </w:r>
      <w:r w:rsidR="00242F95" w:rsidRPr="00A07F29">
        <w:rPr>
          <w:rFonts w:ascii="Times New Roman" w:eastAsia="Calibri" w:hAnsi="Times New Roman" w:cs="Calibri"/>
          <w:sz w:val="24"/>
        </w:rPr>
        <w:t>pielikum</w:t>
      </w:r>
      <w:r w:rsidR="00570CC8" w:rsidRPr="00A07F29">
        <w:rPr>
          <w:rFonts w:ascii="Times New Roman" w:eastAsia="Calibri" w:hAnsi="Times New Roman" w:cs="Calibri"/>
          <w:sz w:val="24"/>
        </w:rPr>
        <w:t>u</w:t>
      </w:r>
      <w:r w:rsidRPr="00A07F29">
        <w:rPr>
          <w:rFonts w:ascii="Times New Roman" w:eastAsia="Calibri" w:hAnsi="Times New Roman" w:cs="Calibri"/>
          <w:sz w:val="24"/>
        </w:rPr>
        <w:t>).</w:t>
      </w:r>
    </w:p>
    <w:p w14:paraId="4C48ADE9" w14:textId="1ABFD7D9" w:rsidR="00E5392D" w:rsidRPr="00A07F29" w:rsidRDefault="00E5392D" w:rsidP="00402A6B">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lastRenderedPageBreak/>
        <w:t xml:space="preserve">Lauka pētījumu atskaišu un novadpētnieku sniegtās informācijas apkopošana un analīze par </w:t>
      </w:r>
      <w:r w:rsidR="00BF0E06" w:rsidRPr="00A07F29">
        <w:rPr>
          <w:rFonts w:ascii="Times New Roman" w:eastAsia="Calibri" w:hAnsi="Times New Roman" w:cs="Calibri"/>
          <w:sz w:val="24"/>
        </w:rPr>
        <w:t>AAA</w:t>
      </w:r>
      <w:r w:rsidRPr="00A07F29">
        <w:rPr>
          <w:rFonts w:ascii="Times New Roman" w:eastAsia="Calibri" w:hAnsi="Times New Roman" w:cs="Calibri"/>
          <w:sz w:val="24"/>
        </w:rPr>
        <w:t xml:space="preserve"> esošajiem ģeoloģiskajiem un </w:t>
      </w:r>
      <w:proofErr w:type="spellStart"/>
      <w:r w:rsidRPr="00A07F29">
        <w:rPr>
          <w:rFonts w:ascii="Times New Roman" w:eastAsia="Calibri" w:hAnsi="Times New Roman" w:cs="Calibri"/>
          <w:sz w:val="24"/>
        </w:rPr>
        <w:t>ģeomorfoloģiskajiem</w:t>
      </w:r>
      <w:proofErr w:type="spellEnd"/>
      <w:r w:rsidRPr="00A07F29">
        <w:rPr>
          <w:rFonts w:ascii="Times New Roman" w:eastAsia="Calibri" w:hAnsi="Times New Roman" w:cs="Calibri"/>
          <w:sz w:val="24"/>
        </w:rPr>
        <w:t xml:space="preserve"> veidojumiem </w:t>
      </w:r>
      <w:r w:rsidR="00F91E0D" w:rsidRPr="00A07F29">
        <w:rPr>
          <w:rFonts w:ascii="Times New Roman" w:eastAsia="Calibri" w:hAnsi="Times New Roman" w:cs="Calibri"/>
          <w:sz w:val="24"/>
        </w:rPr>
        <w:t>(</w:t>
      </w:r>
      <w:r w:rsidR="00350A41" w:rsidRPr="00A07F29">
        <w:rPr>
          <w:rFonts w:ascii="Times New Roman" w:eastAsia="Calibri" w:hAnsi="Times New Roman" w:cs="Calibri"/>
          <w:sz w:val="24"/>
        </w:rPr>
        <w:t xml:space="preserve">skat. </w:t>
      </w:r>
      <w:r w:rsidR="00F91E0D" w:rsidRPr="00A07F29">
        <w:rPr>
          <w:rFonts w:ascii="Times New Roman" w:eastAsia="Calibri" w:hAnsi="Times New Roman" w:cs="Calibri"/>
          <w:sz w:val="24"/>
        </w:rPr>
        <w:t>4.</w:t>
      </w:r>
      <w:r w:rsidR="00B055B0" w:rsidRPr="00A07F29">
        <w:rPr>
          <w:rFonts w:ascii="Times New Roman" w:eastAsia="Calibri" w:hAnsi="Times New Roman" w:cs="Calibri"/>
          <w:sz w:val="24"/>
        </w:rPr>
        <w:t>12</w:t>
      </w:r>
      <w:r w:rsidR="00F91E0D" w:rsidRPr="00A07F29">
        <w:rPr>
          <w:rFonts w:ascii="Times New Roman" w:eastAsia="Calibri" w:hAnsi="Times New Roman" w:cs="Calibri"/>
          <w:sz w:val="24"/>
        </w:rPr>
        <w:t xml:space="preserve">. pielikums) </w:t>
      </w:r>
      <w:r w:rsidRPr="00A07F29">
        <w:rPr>
          <w:rFonts w:ascii="Times New Roman" w:eastAsia="Calibri" w:hAnsi="Times New Roman" w:cs="Calibri"/>
          <w:sz w:val="24"/>
        </w:rPr>
        <w:t xml:space="preserve">parāda, ka veselai virknei objektu arī būtu jānosaka aizsardzības režīms, tos iekļaujot </w:t>
      </w:r>
      <w:r w:rsidR="00935EDF" w:rsidRPr="00A07F29">
        <w:rPr>
          <w:rFonts w:ascii="Times New Roman" w:eastAsia="Calibri" w:hAnsi="Times New Roman" w:cs="Calibri"/>
          <w:sz w:val="24"/>
        </w:rPr>
        <w:t xml:space="preserve">valsts vai </w:t>
      </w:r>
      <w:r w:rsidRPr="00A07F29">
        <w:rPr>
          <w:rFonts w:ascii="Times New Roman" w:eastAsia="Calibri" w:hAnsi="Times New Roman" w:cs="Calibri"/>
          <w:sz w:val="24"/>
        </w:rPr>
        <w:t>vismaz vietējas nozīmes dabas pieminekļu sarakstā. Tie ir:</w:t>
      </w:r>
    </w:p>
    <w:p w14:paraId="1B44A4C1" w14:textId="77777777" w:rsidR="00E5392D" w:rsidRPr="00A07F29" w:rsidRDefault="00E5392D" w:rsidP="000F62E6">
      <w:pPr>
        <w:spacing w:after="0" w:line="240" w:lineRule="auto"/>
        <w:ind w:left="1134" w:hanging="283"/>
        <w:jc w:val="both"/>
        <w:rPr>
          <w:rFonts w:ascii="Times New Roman" w:eastAsia="Calibri" w:hAnsi="Times New Roman" w:cs="Calibri"/>
          <w:sz w:val="24"/>
        </w:rPr>
      </w:pPr>
      <w:r w:rsidRPr="00A07F29">
        <w:rPr>
          <w:rFonts w:ascii="Times New Roman" w:eastAsia="Calibri" w:hAnsi="Times New Roman" w:cs="Calibri"/>
          <w:sz w:val="24"/>
        </w:rPr>
        <w:t>•</w:t>
      </w:r>
      <w:r w:rsidRPr="00A07F29">
        <w:rPr>
          <w:rFonts w:ascii="Times New Roman" w:eastAsia="Calibri" w:hAnsi="Times New Roman" w:cs="Calibri"/>
          <w:sz w:val="24"/>
        </w:rPr>
        <w:tab/>
        <w:t xml:space="preserve">devona </w:t>
      </w:r>
      <w:proofErr w:type="spellStart"/>
      <w:r w:rsidRPr="00A07F29">
        <w:rPr>
          <w:rFonts w:ascii="Times New Roman" w:eastAsia="Calibri" w:hAnsi="Times New Roman" w:cs="Calibri"/>
          <w:sz w:val="24"/>
        </w:rPr>
        <w:t>pamatiežu</w:t>
      </w:r>
      <w:proofErr w:type="spellEnd"/>
      <w:r w:rsidRPr="00A07F29">
        <w:rPr>
          <w:rFonts w:ascii="Times New Roman" w:eastAsia="Calibri" w:hAnsi="Times New Roman" w:cs="Calibri"/>
          <w:sz w:val="24"/>
        </w:rPr>
        <w:t xml:space="preserve"> atsegumi pie </w:t>
      </w:r>
      <w:proofErr w:type="spellStart"/>
      <w:r w:rsidRPr="00A07F29">
        <w:rPr>
          <w:rFonts w:ascii="Times New Roman" w:eastAsia="Calibri" w:hAnsi="Times New Roman" w:cs="Calibri"/>
          <w:sz w:val="24"/>
        </w:rPr>
        <w:t>Zīmeļas</w:t>
      </w:r>
      <w:proofErr w:type="spellEnd"/>
      <w:r w:rsidRPr="00A07F29">
        <w:rPr>
          <w:rFonts w:ascii="Times New Roman" w:eastAsia="Calibri" w:hAnsi="Times New Roman" w:cs="Calibri"/>
          <w:sz w:val="24"/>
        </w:rPr>
        <w:t xml:space="preserve"> upes ietekas Daugavā, lejpus Krāslavas pie Adamovas, Zvejnieku lokā pie </w:t>
      </w:r>
      <w:proofErr w:type="spellStart"/>
      <w:r w:rsidRPr="00A07F29">
        <w:rPr>
          <w:rFonts w:ascii="Times New Roman" w:eastAsia="Calibri" w:hAnsi="Times New Roman" w:cs="Calibri"/>
          <w:sz w:val="24"/>
        </w:rPr>
        <w:t>Užingoras</w:t>
      </w:r>
      <w:proofErr w:type="spellEnd"/>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sz w:val="24"/>
        </w:rPr>
        <w:t>Rozališku</w:t>
      </w:r>
      <w:proofErr w:type="spellEnd"/>
      <w:r w:rsidRPr="00A07F29">
        <w:rPr>
          <w:rFonts w:ascii="Times New Roman" w:eastAsia="Calibri" w:hAnsi="Times New Roman" w:cs="Calibri"/>
          <w:sz w:val="24"/>
        </w:rPr>
        <w:t xml:space="preserve"> lokā;</w:t>
      </w:r>
    </w:p>
    <w:p w14:paraId="3371432D" w14:textId="77777777" w:rsidR="00E5392D" w:rsidRPr="00A07F29" w:rsidRDefault="00E5392D" w:rsidP="000F62E6">
      <w:pPr>
        <w:spacing w:after="0" w:line="240" w:lineRule="auto"/>
        <w:ind w:left="1134" w:hanging="283"/>
        <w:jc w:val="both"/>
        <w:rPr>
          <w:rFonts w:ascii="Times New Roman" w:eastAsia="Calibri" w:hAnsi="Times New Roman" w:cs="Calibri"/>
          <w:sz w:val="24"/>
        </w:rPr>
      </w:pPr>
      <w:r w:rsidRPr="00A07F29">
        <w:rPr>
          <w:rFonts w:ascii="Times New Roman" w:eastAsia="Calibri" w:hAnsi="Times New Roman" w:cs="Calibri"/>
          <w:sz w:val="24"/>
        </w:rPr>
        <w:t>•</w:t>
      </w:r>
      <w:r w:rsidRPr="00A07F29">
        <w:rPr>
          <w:rFonts w:ascii="Times New Roman" w:eastAsia="Calibri" w:hAnsi="Times New Roman" w:cs="Calibri"/>
          <w:sz w:val="24"/>
        </w:rPr>
        <w:tab/>
        <w:t xml:space="preserve">pēcleduslaikmeta konglomerāti Daugavas ielejā pie Adamovas un </w:t>
      </w:r>
      <w:proofErr w:type="spellStart"/>
      <w:r w:rsidRPr="00A07F29">
        <w:rPr>
          <w:rFonts w:ascii="Times New Roman" w:eastAsia="Calibri" w:hAnsi="Times New Roman" w:cs="Calibri"/>
          <w:sz w:val="24"/>
        </w:rPr>
        <w:t>Poguļankas</w:t>
      </w:r>
      <w:proofErr w:type="spellEnd"/>
      <w:r w:rsidRPr="00A07F29">
        <w:rPr>
          <w:rFonts w:ascii="Times New Roman" w:eastAsia="Calibri" w:hAnsi="Times New Roman" w:cs="Calibri"/>
          <w:sz w:val="24"/>
        </w:rPr>
        <w:t xml:space="preserve"> (Salienas) ielejā; </w:t>
      </w:r>
    </w:p>
    <w:p w14:paraId="1B2ADEA1" w14:textId="77777777" w:rsidR="00E5392D" w:rsidRPr="00A07F29" w:rsidRDefault="00E5392D" w:rsidP="000F62E6">
      <w:pPr>
        <w:spacing w:after="0" w:line="240" w:lineRule="auto"/>
        <w:ind w:left="1134" w:hanging="283"/>
        <w:jc w:val="both"/>
        <w:rPr>
          <w:rFonts w:ascii="Times New Roman" w:eastAsia="Calibri" w:hAnsi="Times New Roman" w:cs="Calibri"/>
          <w:sz w:val="24"/>
        </w:rPr>
      </w:pPr>
      <w:r w:rsidRPr="00A07F29">
        <w:rPr>
          <w:rFonts w:ascii="Times New Roman" w:eastAsia="Calibri" w:hAnsi="Times New Roman" w:cs="Calibri"/>
          <w:sz w:val="24"/>
        </w:rPr>
        <w:t>•</w:t>
      </w:r>
      <w:r w:rsidRPr="00A07F29">
        <w:rPr>
          <w:rFonts w:ascii="Times New Roman" w:eastAsia="Calibri" w:hAnsi="Times New Roman" w:cs="Calibri"/>
          <w:sz w:val="24"/>
        </w:rPr>
        <w:tab/>
        <w:t xml:space="preserve">Vecpils gravas avotu ūdenskritumi, Krāslavas veselības (Plāteru) avots; </w:t>
      </w:r>
    </w:p>
    <w:p w14:paraId="56AB92B0" w14:textId="77777777" w:rsidR="00E5392D" w:rsidRPr="00A07F29" w:rsidRDefault="00E5392D" w:rsidP="000F62E6">
      <w:pPr>
        <w:spacing w:after="0" w:line="240" w:lineRule="auto"/>
        <w:ind w:left="1134" w:hanging="283"/>
        <w:jc w:val="both"/>
        <w:rPr>
          <w:rFonts w:ascii="Times New Roman" w:eastAsia="Calibri" w:hAnsi="Times New Roman" w:cs="Calibri"/>
          <w:sz w:val="24"/>
        </w:rPr>
      </w:pPr>
      <w:r w:rsidRPr="00A07F29">
        <w:rPr>
          <w:rFonts w:ascii="Times New Roman" w:eastAsia="Calibri" w:hAnsi="Times New Roman" w:cs="Calibri"/>
          <w:sz w:val="24"/>
        </w:rPr>
        <w:t>•</w:t>
      </w:r>
      <w:r w:rsidRPr="00A07F29">
        <w:rPr>
          <w:rFonts w:ascii="Times New Roman" w:eastAsia="Calibri" w:hAnsi="Times New Roman" w:cs="Calibri"/>
          <w:sz w:val="24"/>
        </w:rPr>
        <w:tab/>
        <w:t xml:space="preserve">Salienas dižakmens, </w:t>
      </w:r>
      <w:proofErr w:type="spellStart"/>
      <w:r w:rsidRPr="00A07F29">
        <w:rPr>
          <w:rFonts w:ascii="Times New Roman" w:eastAsia="Calibri" w:hAnsi="Times New Roman" w:cs="Calibri"/>
          <w:sz w:val="24"/>
        </w:rPr>
        <w:t>Robeždaugavas</w:t>
      </w:r>
      <w:proofErr w:type="spellEnd"/>
      <w:r w:rsidRPr="00A07F29">
        <w:rPr>
          <w:rFonts w:ascii="Times New Roman" w:eastAsia="Calibri" w:hAnsi="Times New Roman" w:cs="Calibri"/>
          <w:sz w:val="24"/>
        </w:rPr>
        <w:t xml:space="preserve"> jeb Rudais akmens, Adamovas akmens;</w:t>
      </w:r>
    </w:p>
    <w:p w14:paraId="0F275FBA" w14:textId="63E4B781" w:rsidR="00E5392D" w:rsidRPr="00A07F29" w:rsidRDefault="00E5392D" w:rsidP="000F62E6">
      <w:pPr>
        <w:spacing w:after="0" w:line="240" w:lineRule="auto"/>
        <w:ind w:left="1134" w:hanging="283"/>
        <w:jc w:val="both"/>
        <w:rPr>
          <w:rFonts w:ascii="Times New Roman" w:eastAsia="Calibri" w:hAnsi="Times New Roman" w:cs="Calibri"/>
          <w:sz w:val="24"/>
        </w:rPr>
      </w:pPr>
      <w:r w:rsidRPr="00A07F29">
        <w:rPr>
          <w:rFonts w:ascii="Times New Roman" w:eastAsia="Calibri" w:hAnsi="Times New Roman" w:cs="Calibri"/>
          <w:sz w:val="24"/>
        </w:rPr>
        <w:t>•</w:t>
      </w:r>
      <w:r w:rsidRPr="00A07F29">
        <w:rPr>
          <w:rFonts w:ascii="Times New Roman" w:eastAsia="Calibri" w:hAnsi="Times New Roman" w:cs="Calibri"/>
          <w:sz w:val="24"/>
        </w:rPr>
        <w:tab/>
        <w:t xml:space="preserve">Tartaku un </w:t>
      </w:r>
      <w:proofErr w:type="spellStart"/>
      <w:r w:rsidRPr="00A07F29">
        <w:rPr>
          <w:rFonts w:ascii="Times New Roman" w:eastAsia="Calibri" w:hAnsi="Times New Roman" w:cs="Calibri"/>
          <w:sz w:val="24"/>
        </w:rPr>
        <w:t>Daugavsargu</w:t>
      </w:r>
      <w:proofErr w:type="spellEnd"/>
      <w:r w:rsidRPr="00A07F29">
        <w:rPr>
          <w:rFonts w:ascii="Times New Roman" w:eastAsia="Calibri" w:hAnsi="Times New Roman" w:cs="Calibri"/>
          <w:sz w:val="24"/>
        </w:rPr>
        <w:t xml:space="preserve"> loka </w:t>
      </w:r>
      <w:r w:rsidR="00177BBD" w:rsidRPr="00A07F29">
        <w:rPr>
          <w:rFonts w:ascii="Times New Roman" w:eastAsia="Calibri" w:hAnsi="Times New Roman" w:cs="Calibri"/>
          <w:sz w:val="24"/>
        </w:rPr>
        <w:t>“</w:t>
      </w:r>
      <w:r w:rsidRPr="00A07F29">
        <w:rPr>
          <w:rFonts w:ascii="Times New Roman" w:eastAsia="Calibri" w:hAnsi="Times New Roman" w:cs="Calibri"/>
          <w:sz w:val="24"/>
        </w:rPr>
        <w:t>velna dobes” (</w:t>
      </w:r>
      <w:proofErr w:type="spellStart"/>
      <w:r w:rsidRPr="00A07F29">
        <w:rPr>
          <w:rFonts w:ascii="Times New Roman" w:eastAsia="Calibri" w:hAnsi="Times New Roman" w:cs="Calibri"/>
          <w:sz w:val="24"/>
        </w:rPr>
        <w:t>glaciokarsta</w:t>
      </w:r>
      <w:proofErr w:type="spellEnd"/>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sz w:val="24"/>
        </w:rPr>
        <w:t>ieplakas</w:t>
      </w:r>
      <w:proofErr w:type="spellEnd"/>
      <w:r w:rsidRPr="00A07F29">
        <w:rPr>
          <w:rFonts w:ascii="Times New Roman" w:eastAsia="Calibri" w:hAnsi="Times New Roman" w:cs="Calibri"/>
          <w:sz w:val="24"/>
        </w:rPr>
        <w:t>);</w:t>
      </w:r>
    </w:p>
    <w:p w14:paraId="74902AB9" w14:textId="77777777" w:rsidR="00E5392D" w:rsidRPr="00A07F29" w:rsidRDefault="00E5392D" w:rsidP="000F62E6">
      <w:pPr>
        <w:spacing w:after="0" w:line="240" w:lineRule="auto"/>
        <w:ind w:left="1134" w:hanging="283"/>
        <w:jc w:val="both"/>
        <w:rPr>
          <w:rFonts w:ascii="Times New Roman" w:eastAsia="Calibri" w:hAnsi="Times New Roman" w:cs="Calibri"/>
          <w:sz w:val="24"/>
        </w:rPr>
      </w:pPr>
      <w:r w:rsidRPr="00A07F29">
        <w:rPr>
          <w:rFonts w:ascii="Times New Roman" w:eastAsia="Calibri" w:hAnsi="Times New Roman" w:cs="Calibri"/>
          <w:sz w:val="24"/>
        </w:rPr>
        <w:t>•</w:t>
      </w:r>
      <w:r w:rsidRPr="00A07F29">
        <w:rPr>
          <w:rFonts w:ascii="Times New Roman" w:eastAsia="Calibri" w:hAnsi="Times New Roman" w:cs="Calibri"/>
          <w:sz w:val="24"/>
        </w:rPr>
        <w:tab/>
      </w:r>
      <w:proofErr w:type="spellStart"/>
      <w:r w:rsidRPr="00A07F29">
        <w:rPr>
          <w:rFonts w:ascii="Times New Roman" w:eastAsia="Calibri" w:hAnsi="Times New Roman" w:cs="Calibri"/>
          <w:sz w:val="24"/>
        </w:rPr>
        <w:t>Šilovkas</w:t>
      </w:r>
      <w:proofErr w:type="spellEnd"/>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sz w:val="24"/>
        </w:rPr>
        <w:t>avotcirki</w:t>
      </w:r>
      <w:proofErr w:type="spellEnd"/>
      <w:r w:rsidRPr="00A07F29">
        <w:rPr>
          <w:rFonts w:ascii="Times New Roman" w:eastAsia="Calibri" w:hAnsi="Times New Roman" w:cs="Calibri"/>
          <w:sz w:val="24"/>
        </w:rPr>
        <w:t>;</w:t>
      </w:r>
    </w:p>
    <w:p w14:paraId="59C3F856" w14:textId="77777777" w:rsidR="00E5392D" w:rsidRPr="00A07F29" w:rsidRDefault="00E5392D" w:rsidP="000F62E6">
      <w:pPr>
        <w:spacing w:after="0" w:line="240" w:lineRule="auto"/>
        <w:ind w:left="1134" w:hanging="283"/>
        <w:jc w:val="both"/>
        <w:rPr>
          <w:rFonts w:ascii="Times New Roman" w:eastAsia="Calibri" w:hAnsi="Times New Roman" w:cs="Calibri"/>
          <w:sz w:val="24"/>
        </w:rPr>
      </w:pPr>
      <w:r w:rsidRPr="00A07F29">
        <w:rPr>
          <w:rFonts w:ascii="Times New Roman" w:eastAsia="Calibri" w:hAnsi="Times New Roman" w:cs="Calibri"/>
          <w:sz w:val="24"/>
        </w:rPr>
        <w:t>•</w:t>
      </w:r>
      <w:r w:rsidRPr="00A07F29">
        <w:rPr>
          <w:rFonts w:ascii="Times New Roman" w:eastAsia="Calibri" w:hAnsi="Times New Roman" w:cs="Calibri"/>
          <w:sz w:val="24"/>
        </w:rPr>
        <w:tab/>
        <w:t>krāces Daugavas gultnē.</w:t>
      </w:r>
    </w:p>
    <w:p w14:paraId="4E1AE245" w14:textId="77777777" w:rsidR="00E5392D" w:rsidRPr="00A07F29" w:rsidRDefault="00E5392D" w:rsidP="00E5392D">
      <w:pPr>
        <w:spacing w:after="120"/>
        <w:ind w:firstLine="851"/>
        <w:jc w:val="both"/>
        <w:rPr>
          <w:rFonts w:ascii="Times New Roman" w:eastAsia="Calibri" w:hAnsi="Times New Roman" w:cs="Calibri"/>
          <w:sz w:val="24"/>
        </w:rPr>
      </w:pPr>
    </w:p>
    <w:p w14:paraId="3E890EDF" w14:textId="340BE5E0" w:rsidR="00E5392D" w:rsidRPr="00A07F29" w:rsidRDefault="00E5392D" w:rsidP="00BE7BB7">
      <w:pPr>
        <w:pStyle w:val="Heading2"/>
        <w:spacing w:before="120" w:after="120"/>
        <w:ind w:firstLine="0"/>
        <w:jc w:val="center"/>
        <w:rPr>
          <w:rFonts w:ascii="Times New Roman" w:hAnsi="Times New Roman"/>
          <w:b w:val="0"/>
          <w:iCs w:val="0"/>
        </w:rPr>
      </w:pPr>
      <w:bookmarkStart w:id="23" w:name="_Toc183433980"/>
      <w:r w:rsidRPr="00A07F29">
        <w:rPr>
          <w:rFonts w:ascii="Times New Roman" w:hAnsi="Times New Roman"/>
          <w:i w:val="0"/>
        </w:rPr>
        <w:t>2.4. Augsnes</w:t>
      </w:r>
      <w:bookmarkEnd w:id="23"/>
    </w:p>
    <w:p w14:paraId="12CCDCF7" w14:textId="4692E4B7" w:rsidR="00E5392D" w:rsidRPr="00A07F29" w:rsidRDefault="00E5392D" w:rsidP="00FC49DC">
      <w:pPr>
        <w:spacing w:after="120" w:line="240" w:lineRule="auto"/>
        <w:ind w:firstLine="851"/>
        <w:jc w:val="both"/>
        <w:rPr>
          <w:rFonts w:ascii="Times New Roman" w:eastAsia="Calibri" w:hAnsi="Times New Roman" w:cs="Calibri"/>
          <w:sz w:val="24"/>
          <w:szCs w:val="24"/>
        </w:rPr>
      </w:pPr>
      <w:r w:rsidRPr="00A07F29">
        <w:rPr>
          <w:rFonts w:ascii="Times New Roman" w:eastAsia="Calibri" w:hAnsi="Times New Roman" w:cs="Calibri"/>
          <w:sz w:val="24"/>
          <w:szCs w:val="24"/>
        </w:rPr>
        <w:t xml:space="preserve">AAA </w:t>
      </w:r>
      <w:r w:rsidR="00F370EC" w:rsidRPr="00A07F29">
        <w:rPr>
          <w:rFonts w:ascii="Times New Roman" w:eastAsia="Calibri" w:hAnsi="Times New Roman" w:cs="Calibri"/>
          <w:sz w:val="24"/>
          <w:szCs w:val="24"/>
        </w:rPr>
        <w:t>“</w:t>
      </w:r>
      <w:r w:rsidRPr="00A07F29">
        <w:rPr>
          <w:rFonts w:ascii="Times New Roman" w:eastAsia="Calibri" w:hAnsi="Times New Roman" w:cs="Calibri"/>
          <w:sz w:val="24"/>
          <w:szCs w:val="24"/>
        </w:rPr>
        <w:t xml:space="preserve">Augšdaugava” atrodas </w:t>
      </w:r>
      <w:proofErr w:type="spellStart"/>
      <w:r w:rsidRPr="00A07F29">
        <w:rPr>
          <w:rFonts w:ascii="Times New Roman" w:eastAsia="Calibri" w:hAnsi="Times New Roman" w:cs="Calibri"/>
          <w:sz w:val="24"/>
          <w:szCs w:val="24"/>
        </w:rPr>
        <w:t>Austrumlatvijas</w:t>
      </w:r>
      <w:proofErr w:type="spellEnd"/>
      <w:r w:rsidRPr="00A07F29">
        <w:rPr>
          <w:rFonts w:ascii="Times New Roman" w:eastAsia="Calibri" w:hAnsi="Times New Roman" w:cs="Calibri"/>
          <w:sz w:val="24"/>
          <w:szCs w:val="24"/>
        </w:rPr>
        <w:t xml:space="preserve"> pauguraino augstieņu augšņu rajonā (Āva</w:t>
      </w:r>
      <w:r w:rsidR="000F56D7" w:rsidRPr="00A07F29">
        <w:rPr>
          <w:rFonts w:ascii="Times New Roman" w:eastAsia="Calibri" w:hAnsi="Times New Roman" w:cs="Calibri"/>
          <w:sz w:val="24"/>
          <w:szCs w:val="24"/>
        </w:rPr>
        <w:t xml:space="preserve"> R.,</w:t>
      </w:r>
      <w:r w:rsidRPr="00A07F29">
        <w:rPr>
          <w:rFonts w:ascii="Times New Roman" w:eastAsia="Calibri" w:hAnsi="Times New Roman" w:cs="Calibri"/>
          <w:sz w:val="24"/>
          <w:szCs w:val="24"/>
        </w:rPr>
        <w:t xml:space="preserve"> 1994). Dominējošie augsnes cilmieži šajā teritorijā ir vidējs un smags akmeņains morēnas smilšmāls, </w:t>
      </w:r>
      <w:proofErr w:type="spellStart"/>
      <w:r w:rsidRPr="00A07F29">
        <w:rPr>
          <w:rFonts w:ascii="Times New Roman" w:eastAsia="Calibri" w:hAnsi="Times New Roman" w:cs="Calibri"/>
          <w:sz w:val="24"/>
          <w:szCs w:val="24"/>
        </w:rPr>
        <w:t>ledājkušanas</w:t>
      </w:r>
      <w:proofErr w:type="spellEnd"/>
      <w:r w:rsidRPr="00A07F29">
        <w:rPr>
          <w:rFonts w:ascii="Times New Roman" w:eastAsia="Calibri" w:hAnsi="Times New Roman" w:cs="Calibri"/>
          <w:sz w:val="24"/>
          <w:szCs w:val="24"/>
        </w:rPr>
        <w:t xml:space="preserve"> ūdeņu </w:t>
      </w:r>
      <w:proofErr w:type="spellStart"/>
      <w:r w:rsidRPr="00A07F29">
        <w:rPr>
          <w:rFonts w:ascii="Times New Roman" w:eastAsia="Calibri" w:hAnsi="Times New Roman" w:cs="Calibri"/>
          <w:sz w:val="24"/>
          <w:szCs w:val="24"/>
        </w:rPr>
        <w:t>sprostezeros</w:t>
      </w:r>
      <w:proofErr w:type="spellEnd"/>
      <w:r w:rsidRPr="00A07F29">
        <w:rPr>
          <w:rFonts w:ascii="Times New Roman" w:eastAsia="Calibri" w:hAnsi="Times New Roman" w:cs="Calibri"/>
          <w:sz w:val="24"/>
          <w:szCs w:val="24"/>
        </w:rPr>
        <w:t xml:space="preserve"> akumulēti </w:t>
      </w:r>
      <w:proofErr w:type="spellStart"/>
      <w:r w:rsidRPr="00A07F29">
        <w:rPr>
          <w:rFonts w:ascii="Times New Roman" w:eastAsia="Calibri" w:hAnsi="Times New Roman" w:cs="Calibri"/>
          <w:sz w:val="24"/>
          <w:szCs w:val="24"/>
        </w:rPr>
        <w:t>bezakmens</w:t>
      </w:r>
      <w:proofErr w:type="spellEnd"/>
      <w:r w:rsidRPr="00A07F29">
        <w:rPr>
          <w:rFonts w:ascii="Times New Roman" w:eastAsia="Calibri" w:hAnsi="Times New Roman" w:cs="Calibri"/>
          <w:sz w:val="24"/>
          <w:szCs w:val="24"/>
        </w:rPr>
        <w:t xml:space="preserve"> māla, </w:t>
      </w:r>
      <w:proofErr w:type="spellStart"/>
      <w:r w:rsidRPr="00A07F29">
        <w:rPr>
          <w:rFonts w:ascii="Times New Roman" w:eastAsia="Calibri" w:hAnsi="Times New Roman" w:cs="Calibri"/>
          <w:sz w:val="24"/>
          <w:szCs w:val="24"/>
        </w:rPr>
        <w:t>aleirītu</w:t>
      </w:r>
      <w:proofErr w:type="spellEnd"/>
      <w:r w:rsidRPr="00A07F29">
        <w:rPr>
          <w:rFonts w:ascii="Times New Roman" w:eastAsia="Calibri" w:hAnsi="Times New Roman" w:cs="Calibri"/>
          <w:sz w:val="24"/>
          <w:szCs w:val="24"/>
        </w:rPr>
        <w:t xml:space="preserve"> un putekļainas smilts nogulumi, kā arī </w:t>
      </w:r>
      <w:proofErr w:type="spellStart"/>
      <w:r w:rsidRPr="00A07F29">
        <w:rPr>
          <w:rFonts w:ascii="Times New Roman" w:eastAsia="Calibri" w:hAnsi="Times New Roman" w:cs="Calibri"/>
          <w:sz w:val="24"/>
          <w:szCs w:val="24"/>
        </w:rPr>
        <w:t>ledājkušanas</w:t>
      </w:r>
      <w:proofErr w:type="spellEnd"/>
      <w:r w:rsidRPr="00A07F29">
        <w:rPr>
          <w:rFonts w:ascii="Times New Roman" w:eastAsia="Calibri" w:hAnsi="Times New Roman" w:cs="Calibri"/>
          <w:sz w:val="24"/>
          <w:szCs w:val="24"/>
        </w:rPr>
        <w:t xml:space="preserve"> ūdeņu straumju veidoti grants-smilts nogulumi. AAA </w:t>
      </w:r>
      <w:r w:rsidR="00D21AEA" w:rsidRPr="00A07F29">
        <w:rPr>
          <w:rFonts w:ascii="Times New Roman" w:eastAsia="Calibri" w:hAnsi="Times New Roman" w:cs="Calibri"/>
          <w:sz w:val="24"/>
          <w:szCs w:val="24"/>
        </w:rPr>
        <w:t xml:space="preserve">“Augšdaugava” </w:t>
      </w:r>
      <w:r w:rsidRPr="00A07F29">
        <w:rPr>
          <w:rFonts w:ascii="Times New Roman" w:eastAsia="Calibri" w:hAnsi="Times New Roman" w:cs="Calibri"/>
          <w:sz w:val="24"/>
          <w:szCs w:val="24"/>
        </w:rPr>
        <w:t xml:space="preserve">teritorijā, ņemot vērā tās ģeoloģisko uzbūvi, daudzveidīgo reljefu, atšķirīgus mitruma apstākļus un augsnes cilmiežus, izveidojusies daudzveidīga augšņu sega. Teritorijas pašos </w:t>
      </w:r>
      <w:r w:rsidR="7CFA96C5" w:rsidRPr="00A07F29">
        <w:rPr>
          <w:rFonts w:ascii="Times New Roman" w:eastAsia="Calibri" w:hAnsi="Times New Roman" w:cs="Calibri"/>
          <w:sz w:val="24"/>
          <w:szCs w:val="24"/>
        </w:rPr>
        <w:t>A</w:t>
      </w:r>
      <w:r w:rsidRPr="00A07F29">
        <w:rPr>
          <w:rFonts w:ascii="Times New Roman" w:eastAsia="Calibri" w:hAnsi="Times New Roman" w:cs="Calibri"/>
          <w:sz w:val="24"/>
          <w:szCs w:val="24"/>
        </w:rPr>
        <w:t xml:space="preserve">, </w:t>
      </w:r>
      <w:proofErr w:type="spellStart"/>
      <w:r w:rsidRPr="00A07F29">
        <w:rPr>
          <w:rFonts w:ascii="Times New Roman" w:eastAsia="Calibri" w:hAnsi="Times New Roman" w:cs="Calibri"/>
          <w:sz w:val="24"/>
          <w:szCs w:val="24"/>
        </w:rPr>
        <w:t>Polockas</w:t>
      </w:r>
      <w:proofErr w:type="spellEnd"/>
      <w:r w:rsidRPr="00A07F29">
        <w:rPr>
          <w:rFonts w:ascii="Times New Roman" w:eastAsia="Calibri" w:hAnsi="Times New Roman" w:cs="Calibri"/>
          <w:sz w:val="24"/>
          <w:szCs w:val="24"/>
        </w:rPr>
        <w:t xml:space="preserve"> zemienes ietvaros, uz </w:t>
      </w:r>
      <w:proofErr w:type="spellStart"/>
      <w:r w:rsidRPr="00A07F29">
        <w:rPr>
          <w:rFonts w:ascii="Times New Roman" w:eastAsia="Calibri" w:hAnsi="Times New Roman" w:cs="Calibri"/>
          <w:sz w:val="24"/>
          <w:szCs w:val="24"/>
        </w:rPr>
        <w:t>karbonātiskiem</w:t>
      </w:r>
      <w:proofErr w:type="spellEnd"/>
      <w:r w:rsidRPr="00A07F29">
        <w:rPr>
          <w:rFonts w:ascii="Times New Roman" w:eastAsia="Calibri" w:hAnsi="Times New Roman" w:cs="Calibri"/>
          <w:sz w:val="24"/>
          <w:szCs w:val="24"/>
        </w:rPr>
        <w:t xml:space="preserve"> </w:t>
      </w:r>
      <w:proofErr w:type="spellStart"/>
      <w:r w:rsidRPr="00A07F29">
        <w:rPr>
          <w:rFonts w:ascii="Times New Roman" w:eastAsia="Calibri" w:hAnsi="Times New Roman" w:cs="Calibri"/>
          <w:sz w:val="24"/>
          <w:szCs w:val="24"/>
        </w:rPr>
        <w:t>ledājkušanas</w:t>
      </w:r>
      <w:proofErr w:type="spellEnd"/>
      <w:r w:rsidRPr="00A07F29">
        <w:rPr>
          <w:rFonts w:ascii="Times New Roman" w:eastAsia="Calibri" w:hAnsi="Times New Roman" w:cs="Calibri"/>
          <w:sz w:val="24"/>
          <w:szCs w:val="24"/>
        </w:rPr>
        <w:t xml:space="preserve"> ūdeņu </w:t>
      </w:r>
      <w:proofErr w:type="spellStart"/>
      <w:r w:rsidRPr="00A07F29">
        <w:rPr>
          <w:rFonts w:ascii="Times New Roman" w:eastAsia="Calibri" w:hAnsi="Times New Roman" w:cs="Calibri"/>
          <w:sz w:val="24"/>
          <w:szCs w:val="24"/>
        </w:rPr>
        <w:t>sprostezeru</w:t>
      </w:r>
      <w:proofErr w:type="spellEnd"/>
      <w:r w:rsidRPr="00A07F29">
        <w:rPr>
          <w:rFonts w:ascii="Times New Roman" w:eastAsia="Calibri" w:hAnsi="Times New Roman" w:cs="Calibri"/>
          <w:sz w:val="24"/>
          <w:szCs w:val="24"/>
        </w:rPr>
        <w:t xml:space="preserve"> nogulumiem izveidojušās mālainas </w:t>
      </w:r>
      <w:proofErr w:type="spellStart"/>
      <w:r w:rsidRPr="00A07F29">
        <w:rPr>
          <w:rFonts w:ascii="Times New Roman" w:eastAsia="Calibri" w:hAnsi="Times New Roman" w:cs="Calibri"/>
          <w:sz w:val="24"/>
          <w:szCs w:val="24"/>
        </w:rPr>
        <w:t>karbonātiskās</w:t>
      </w:r>
      <w:proofErr w:type="spellEnd"/>
      <w:r w:rsidRPr="00A07F29">
        <w:rPr>
          <w:rFonts w:ascii="Times New Roman" w:eastAsia="Calibri" w:hAnsi="Times New Roman" w:cs="Calibri"/>
          <w:sz w:val="24"/>
          <w:szCs w:val="24"/>
        </w:rPr>
        <w:t xml:space="preserve"> augsnes. Ļoti interesantas ir augsnes uz </w:t>
      </w:r>
      <w:r w:rsidR="275AE6EE" w:rsidRPr="00A07F29">
        <w:rPr>
          <w:rFonts w:ascii="Times New Roman" w:eastAsia="Calibri" w:hAnsi="Times New Roman" w:cs="Calibri"/>
          <w:sz w:val="24"/>
          <w:szCs w:val="24"/>
        </w:rPr>
        <w:t>A</w:t>
      </w:r>
      <w:r w:rsidRPr="00A07F29">
        <w:rPr>
          <w:rFonts w:ascii="Times New Roman" w:eastAsia="Calibri" w:hAnsi="Times New Roman" w:cs="Calibri"/>
          <w:sz w:val="24"/>
          <w:szCs w:val="24"/>
        </w:rPr>
        <w:t xml:space="preserve"> no Piedrujas, kur uz smilšainām, karbonātiem bagātām un labi drenētām augsnēm izveidojušās </w:t>
      </w:r>
      <w:proofErr w:type="spellStart"/>
      <w:r w:rsidRPr="00A07F29">
        <w:rPr>
          <w:rFonts w:ascii="Times New Roman" w:eastAsia="Calibri" w:hAnsi="Times New Roman" w:cs="Calibri"/>
          <w:sz w:val="24"/>
          <w:szCs w:val="24"/>
        </w:rPr>
        <w:t>sausieņu</w:t>
      </w:r>
      <w:proofErr w:type="spellEnd"/>
      <w:r w:rsidRPr="00A07F29">
        <w:rPr>
          <w:rFonts w:ascii="Times New Roman" w:eastAsia="Calibri" w:hAnsi="Times New Roman" w:cs="Calibri"/>
          <w:sz w:val="24"/>
          <w:szCs w:val="24"/>
        </w:rPr>
        <w:t xml:space="preserve"> pļavas – ES aizsargājamais zālāju biotops 6210 </w:t>
      </w:r>
      <w:r w:rsidRPr="00A07F29">
        <w:rPr>
          <w:rFonts w:ascii="Times New Roman" w:eastAsia="Calibri" w:hAnsi="Times New Roman" w:cs="Calibri"/>
          <w:i/>
          <w:sz w:val="24"/>
          <w:szCs w:val="24"/>
        </w:rPr>
        <w:t>Sausi zālāji kaļķainās augsnēs</w:t>
      </w:r>
      <w:r w:rsidRPr="00A07F29">
        <w:rPr>
          <w:rFonts w:ascii="Times New Roman" w:eastAsia="Calibri" w:hAnsi="Times New Roman" w:cs="Calibri"/>
          <w:sz w:val="24"/>
          <w:szCs w:val="24"/>
        </w:rPr>
        <w:t>.</w:t>
      </w:r>
    </w:p>
    <w:p w14:paraId="5845BDF4" w14:textId="13148E22" w:rsidR="00E5392D" w:rsidRPr="00A07F29" w:rsidRDefault="00E5392D" w:rsidP="00FC49DC">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Daugavas un tās pieteku palienēs izveidojušās aluviālās palieņu augsnes, bet atsevišķos pazeminājumos ar gruntsūdens pieplūdi izveidojušās </w:t>
      </w:r>
      <w:proofErr w:type="spellStart"/>
      <w:r w:rsidRPr="00A07F29">
        <w:rPr>
          <w:rFonts w:ascii="Times New Roman" w:eastAsia="Calibri" w:hAnsi="Times New Roman" w:cs="Calibri"/>
          <w:sz w:val="24"/>
        </w:rPr>
        <w:t>pushidromorfās</w:t>
      </w:r>
      <w:proofErr w:type="spellEnd"/>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sz w:val="24"/>
        </w:rPr>
        <w:t>velēnglejotās</w:t>
      </w:r>
      <w:proofErr w:type="spellEnd"/>
      <w:r w:rsidRPr="00A07F29">
        <w:rPr>
          <w:rFonts w:ascii="Times New Roman" w:eastAsia="Calibri" w:hAnsi="Times New Roman" w:cs="Calibri"/>
          <w:sz w:val="24"/>
        </w:rPr>
        <w:t xml:space="preserve"> un </w:t>
      </w:r>
      <w:proofErr w:type="spellStart"/>
      <w:r w:rsidRPr="00A07F29">
        <w:rPr>
          <w:rFonts w:ascii="Times New Roman" w:eastAsia="Calibri" w:hAnsi="Times New Roman" w:cs="Calibri"/>
          <w:sz w:val="24"/>
        </w:rPr>
        <w:t>glejotās</w:t>
      </w:r>
      <w:proofErr w:type="spellEnd"/>
      <w:r w:rsidRPr="00A07F29">
        <w:rPr>
          <w:rFonts w:ascii="Times New Roman" w:eastAsia="Calibri" w:hAnsi="Times New Roman" w:cs="Calibri"/>
          <w:sz w:val="24"/>
        </w:rPr>
        <w:t xml:space="preserve"> augsnes. Savukārt uz </w:t>
      </w:r>
      <w:proofErr w:type="spellStart"/>
      <w:r w:rsidRPr="00A07F29">
        <w:rPr>
          <w:rFonts w:ascii="Times New Roman" w:eastAsia="Calibri" w:hAnsi="Times New Roman" w:cs="Calibri"/>
          <w:sz w:val="24"/>
        </w:rPr>
        <w:t>terasu</w:t>
      </w:r>
      <w:proofErr w:type="spellEnd"/>
      <w:r w:rsidRPr="00A07F29">
        <w:rPr>
          <w:rFonts w:ascii="Times New Roman" w:eastAsia="Calibri" w:hAnsi="Times New Roman" w:cs="Calibri"/>
          <w:sz w:val="24"/>
        </w:rPr>
        <w:t xml:space="preserve"> virsmas, kur augsnes cilmiežus raksturo augsta ūdenscaurlaidība un izplatīti skujkoku meži, plaši sastopamas tipiskas podzolaugsnes. Tās veidojušās uz nabadzīgiem cilmiežiem </w:t>
      </w:r>
      <w:proofErr w:type="spellStart"/>
      <w:r w:rsidRPr="00A07F29">
        <w:rPr>
          <w:rFonts w:ascii="Times New Roman" w:eastAsia="Calibri" w:hAnsi="Times New Roman" w:cs="Calibri"/>
          <w:sz w:val="24"/>
        </w:rPr>
        <w:t>caurskalošanās</w:t>
      </w:r>
      <w:proofErr w:type="spellEnd"/>
      <w:r w:rsidRPr="00A07F29">
        <w:rPr>
          <w:rFonts w:ascii="Times New Roman" w:eastAsia="Calibri" w:hAnsi="Times New Roman" w:cs="Calibri"/>
          <w:sz w:val="24"/>
        </w:rPr>
        <w:t xml:space="preserve"> režīmā, dominējot </w:t>
      </w:r>
      <w:proofErr w:type="spellStart"/>
      <w:r w:rsidRPr="00A07F29">
        <w:rPr>
          <w:rFonts w:ascii="Times New Roman" w:eastAsia="Calibri" w:hAnsi="Times New Roman" w:cs="Calibri"/>
          <w:sz w:val="24"/>
        </w:rPr>
        <w:t>podzolēšanās</w:t>
      </w:r>
      <w:proofErr w:type="spellEnd"/>
      <w:r w:rsidRPr="00A07F29">
        <w:rPr>
          <w:rFonts w:ascii="Times New Roman" w:eastAsia="Calibri" w:hAnsi="Times New Roman" w:cs="Calibri"/>
          <w:sz w:val="24"/>
        </w:rPr>
        <w:t xml:space="preserve"> procesiem. Daugavas ielejai piegulošajās Latgales un Augšzemes augstieņu joslās uz pozitīvajām reljefa formām izveidojušās vāji </w:t>
      </w:r>
      <w:proofErr w:type="spellStart"/>
      <w:r w:rsidRPr="00A07F29">
        <w:rPr>
          <w:rFonts w:ascii="Times New Roman" w:eastAsia="Calibri" w:hAnsi="Times New Roman" w:cs="Calibri"/>
          <w:sz w:val="24"/>
        </w:rPr>
        <w:t>podzolētās</w:t>
      </w:r>
      <w:proofErr w:type="spellEnd"/>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sz w:val="24"/>
        </w:rPr>
        <w:t>velēnaugsnes</w:t>
      </w:r>
      <w:proofErr w:type="spellEnd"/>
      <w:r w:rsidRPr="00A07F29">
        <w:rPr>
          <w:rFonts w:ascii="Times New Roman" w:eastAsia="Calibri" w:hAnsi="Times New Roman" w:cs="Calibri"/>
          <w:sz w:val="24"/>
        </w:rPr>
        <w:t xml:space="preserve"> un </w:t>
      </w:r>
      <w:proofErr w:type="spellStart"/>
      <w:r w:rsidRPr="00A07F29">
        <w:rPr>
          <w:rFonts w:ascii="Times New Roman" w:eastAsia="Calibri" w:hAnsi="Times New Roman" w:cs="Calibri"/>
          <w:sz w:val="24"/>
        </w:rPr>
        <w:t>kultūraugsnes</w:t>
      </w:r>
      <w:proofErr w:type="spellEnd"/>
      <w:r w:rsidRPr="00A07F29">
        <w:rPr>
          <w:rFonts w:ascii="Times New Roman" w:eastAsia="Calibri" w:hAnsi="Times New Roman" w:cs="Calibri"/>
          <w:sz w:val="24"/>
        </w:rPr>
        <w:t xml:space="preserve">. Ņemot vērā to, ka Daugavas ielejai piegulošā ainavu apvidus daļa jau sen ir lauksaimnieciski apgūta un saimniecībā izmantota teritorija, plašās velēnu podzolaugsnes platības uz pauguru nogāzēm ir vidēji un vāji </w:t>
      </w:r>
      <w:proofErr w:type="spellStart"/>
      <w:r w:rsidRPr="00A07F29">
        <w:rPr>
          <w:rFonts w:ascii="Times New Roman" w:eastAsia="Calibri" w:hAnsi="Times New Roman" w:cs="Calibri"/>
          <w:sz w:val="24"/>
        </w:rPr>
        <w:t>erodētas</w:t>
      </w:r>
      <w:proofErr w:type="spellEnd"/>
      <w:r w:rsidRPr="00A07F29">
        <w:rPr>
          <w:rFonts w:ascii="Times New Roman" w:eastAsia="Calibri" w:hAnsi="Times New Roman" w:cs="Calibri"/>
          <w:sz w:val="24"/>
        </w:rPr>
        <w:t xml:space="preserve">. Atšķirīgie augšņu tipi, to mitruma režīms un augsnes </w:t>
      </w:r>
      <w:proofErr w:type="spellStart"/>
      <w:r w:rsidRPr="00A07F29">
        <w:rPr>
          <w:rFonts w:ascii="Times New Roman" w:eastAsia="Calibri" w:hAnsi="Times New Roman" w:cs="Calibri"/>
          <w:sz w:val="24"/>
        </w:rPr>
        <w:t>pH</w:t>
      </w:r>
      <w:proofErr w:type="spellEnd"/>
      <w:r w:rsidRPr="00A07F29">
        <w:rPr>
          <w:rFonts w:ascii="Times New Roman" w:eastAsia="Calibri" w:hAnsi="Times New Roman" w:cs="Calibri"/>
          <w:sz w:val="24"/>
        </w:rPr>
        <w:t xml:space="preserve"> nodrošina dažādu augu sabiedrību eksistenci un veido biotopu daudzveidības </w:t>
      </w:r>
      <w:proofErr w:type="spellStart"/>
      <w:r w:rsidRPr="00A07F29">
        <w:rPr>
          <w:rFonts w:ascii="Times New Roman" w:eastAsia="Calibri" w:hAnsi="Times New Roman" w:cs="Calibri"/>
          <w:sz w:val="24"/>
        </w:rPr>
        <w:t>litogēno</w:t>
      </w:r>
      <w:proofErr w:type="spellEnd"/>
      <w:r w:rsidRPr="00A07F29">
        <w:rPr>
          <w:rFonts w:ascii="Times New Roman" w:eastAsia="Calibri" w:hAnsi="Times New Roman" w:cs="Calibri"/>
          <w:sz w:val="24"/>
        </w:rPr>
        <w:t xml:space="preserve"> pamatu (AAA “Augšdaugava” pārvaldības plāns 2015.</w:t>
      </w:r>
      <w:r w:rsidR="002A79F4" w:rsidRPr="00A07F29">
        <w:rPr>
          <w:rFonts w:ascii="Times New Roman" w:eastAsia="Calibri" w:hAnsi="Times New Roman" w:cs="Calibri"/>
          <w:sz w:val="24"/>
        </w:rPr>
        <w:t> </w:t>
      </w:r>
      <w:r w:rsidRPr="00A07F29">
        <w:rPr>
          <w:rFonts w:ascii="Times New Roman" w:eastAsia="Calibri" w:hAnsi="Times New Roman" w:cs="Calibri"/>
          <w:sz w:val="24"/>
        </w:rPr>
        <w:t>–</w:t>
      </w:r>
      <w:r w:rsidR="002A79F4" w:rsidRPr="00A07F29">
        <w:rPr>
          <w:rFonts w:ascii="Times New Roman" w:eastAsia="Calibri" w:hAnsi="Times New Roman" w:cs="Calibri"/>
          <w:sz w:val="24"/>
        </w:rPr>
        <w:t> </w:t>
      </w:r>
      <w:r w:rsidRPr="00A07F29">
        <w:rPr>
          <w:rFonts w:ascii="Times New Roman" w:eastAsia="Calibri" w:hAnsi="Times New Roman" w:cs="Calibri"/>
          <w:sz w:val="24"/>
        </w:rPr>
        <w:t>2027.</w:t>
      </w:r>
      <w:r w:rsidR="00067FBA" w:rsidRPr="00A07F29">
        <w:rPr>
          <w:rFonts w:ascii="Times New Roman" w:eastAsia="Calibri" w:hAnsi="Times New Roman" w:cs="Calibri"/>
          <w:sz w:val="24"/>
        </w:rPr>
        <w:t> </w:t>
      </w:r>
      <w:r w:rsidRPr="00A07F29">
        <w:rPr>
          <w:rFonts w:ascii="Times New Roman" w:eastAsia="Calibri" w:hAnsi="Times New Roman" w:cs="Calibri"/>
          <w:sz w:val="24"/>
        </w:rPr>
        <w:t>gadam, 2014).</w:t>
      </w:r>
    </w:p>
    <w:p w14:paraId="3BCA99A4" w14:textId="77777777" w:rsidR="00BE7BB7" w:rsidRPr="00A07F29" w:rsidRDefault="00BE7BB7" w:rsidP="00FC49DC">
      <w:pPr>
        <w:spacing w:after="120" w:line="240" w:lineRule="auto"/>
        <w:ind w:firstLine="851"/>
        <w:jc w:val="both"/>
        <w:rPr>
          <w:rFonts w:ascii="Times New Roman" w:eastAsia="Calibri" w:hAnsi="Times New Roman" w:cs="Calibri"/>
          <w:sz w:val="24"/>
        </w:rPr>
      </w:pPr>
    </w:p>
    <w:p w14:paraId="06952BC3" w14:textId="596A3D85" w:rsidR="00E5392D" w:rsidRPr="00A07F29" w:rsidRDefault="00E5392D" w:rsidP="00BE7BB7">
      <w:pPr>
        <w:pStyle w:val="Heading2"/>
        <w:spacing w:before="120" w:after="120"/>
        <w:ind w:firstLine="0"/>
        <w:jc w:val="center"/>
        <w:rPr>
          <w:rFonts w:ascii="Times New Roman" w:hAnsi="Times New Roman"/>
          <w:b w:val="0"/>
          <w:iCs w:val="0"/>
        </w:rPr>
      </w:pPr>
      <w:bookmarkStart w:id="24" w:name="_Toc183433981"/>
      <w:r w:rsidRPr="00A07F29">
        <w:rPr>
          <w:rFonts w:ascii="Times New Roman" w:hAnsi="Times New Roman"/>
          <w:i w:val="0"/>
        </w:rPr>
        <w:t>2.5. Hidroloģija</w:t>
      </w:r>
      <w:bookmarkEnd w:id="24"/>
    </w:p>
    <w:p w14:paraId="367DF358" w14:textId="2A8D39B6" w:rsidR="006761D3" w:rsidRPr="00A07F29" w:rsidRDefault="001216AD" w:rsidP="001216AD">
      <w:pPr>
        <w:spacing w:before="120" w:after="0" w:line="240" w:lineRule="auto"/>
        <w:ind w:firstLine="851"/>
        <w:jc w:val="both"/>
        <w:rPr>
          <w:rFonts w:ascii="Times New Roman" w:eastAsia="Times New Roman" w:hAnsi="Times New Roman" w:cs="Times New Roman"/>
          <w:color w:val="000000"/>
          <w:sz w:val="24"/>
          <w:szCs w:val="24"/>
          <w:lang w:eastAsia="ja-JP"/>
        </w:rPr>
      </w:pPr>
      <w:r w:rsidRPr="00A07F29">
        <w:rPr>
          <w:rFonts w:ascii="Times New Roman" w:eastAsia="Times New Roman" w:hAnsi="Times New Roman" w:cs="Times New Roman"/>
          <w:color w:val="000000"/>
          <w:sz w:val="24"/>
          <w:szCs w:val="24"/>
          <w:lang w:eastAsia="ja-JP"/>
        </w:rPr>
        <w:t>AAA “Augšdaugava” ietilpstošās teritorijas hidroloģisko tīklu veido Daugava un tās pietekas, kā arī vairāki citi nelieli virszemes ūdens objekti (piemēram, ezeri, palieņu ezeriņi, avoti, gravu strauti u.c.).</w:t>
      </w:r>
    </w:p>
    <w:p w14:paraId="0D241FB0" w14:textId="74DE5FFC" w:rsidR="0094598E" w:rsidRPr="00A07F29" w:rsidRDefault="0094598E" w:rsidP="00BE7BB7">
      <w:pPr>
        <w:pStyle w:val="Heading3"/>
        <w:spacing w:before="120" w:after="120" w:line="240" w:lineRule="auto"/>
        <w:jc w:val="center"/>
        <w:rPr>
          <w:lang w:eastAsia="ja-JP"/>
        </w:rPr>
      </w:pPr>
      <w:bookmarkStart w:id="25" w:name="_Toc183433982"/>
      <w:r w:rsidRPr="00A07F29">
        <w:rPr>
          <w:lang w:eastAsia="ja-JP"/>
        </w:rPr>
        <w:t>2.5.1. Upes</w:t>
      </w:r>
      <w:bookmarkEnd w:id="25"/>
    </w:p>
    <w:p w14:paraId="47DCCD5A" w14:textId="4D39B385" w:rsidR="006761D3" w:rsidRPr="00A07F29" w:rsidRDefault="0094598E" w:rsidP="006761D3">
      <w:pPr>
        <w:spacing w:before="120" w:after="0" w:line="240" w:lineRule="auto"/>
        <w:ind w:firstLine="851"/>
        <w:jc w:val="both"/>
        <w:rPr>
          <w:rFonts w:ascii="Times New Roman" w:eastAsia="Times New Roman" w:hAnsi="Times New Roman" w:cs="Times New Roman"/>
          <w:color w:val="000000"/>
          <w:sz w:val="24"/>
          <w:szCs w:val="24"/>
          <w:lang w:eastAsia="ja-JP"/>
        </w:rPr>
      </w:pPr>
      <w:r w:rsidRPr="00A07F29">
        <w:rPr>
          <w:rFonts w:ascii="Times New Roman" w:eastAsia="Times New Roman" w:hAnsi="Times New Roman" w:cs="Times New Roman"/>
          <w:color w:val="000000"/>
          <w:sz w:val="24"/>
          <w:szCs w:val="24"/>
          <w:lang w:eastAsia="ja-JP"/>
        </w:rPr>
        <w:t xml:space="preserve">AAA “Augšdaugava” Daugavas upes tecējums veido tā galveno asi. </w:t>
      </w:r>
      <w:r w:rsidR="006761D3" w:rsidRPr="00A07F29">
        <w:rPr>
          <w:rFonts w:ascii="Times New Roman" w:eastAsia="Times New Roman" w:hAnsi="Times New Roman" w:cs="Times New Roman"/>
          <w:color w:val="000000"/>
          <w:sz w:val="24"/>
          <w:szCs w:val="24"/>
          <w:lang w:eastAsia="ja-JP"/>
        </w:rPr>
        <w:t xml:space="preserve">AAA </w:t>
      </w:r>
      <w:r w:rsidR="00047267" w:rsidRPr="00A07F29">
        <w:rPr>
          <w:rFonts w:ascii="Times New Roman" w:eastAsia="Times New Roman" w:hAnsi="Times New Roman" w:cs="Times New Roman"/>
          <w:color w:val="000000"/>
          <w:sz w:val="24"/>
          <w:szCs w:val="24"/>
          <w:lang w:eastAsia="ja-JP"/>
        </w:rPr>
        <w:t>“</w:t>
      </w:r>
      <w:r w:rsidR="006761D3" w:rsidRPr="00A07F29">
        <w:rPr>
          <w:rFonts w:ascii="Times New Roman" w:eastAsia="Times New Roman" w:hAnsi="Times New Roman" w:cs="Times New Roman"/>
          <w:color w:val="000000"/>
          <w:sz w:val="24"/>
          <w:szCs w:val="24"/>
          <w:lang w:eastAsia="ja-JP"/>
        </w:rPr>
        <w:t xml:space="preserve">Augšdaugava” teritorijā Daugavā ieplūst 30 mazās upītes un 17 ievērojamāki strauti. Kreisā krasta pietekas – Robežupe, </w:t>
      </w:r>
      <w:proofErr w:type="spellStart"/>
      <w:r w:rsidR="006761D3" w:rsidRPr="00A07F29">
        <w:rPr>
          <w:rFonts w:ascii="Times New Roman" w:eastAsia="Times New Roman" w:hAnsi="Times New Roman" w:cs="Times New Roman"/>
          <w:color w:val="000000"/>
          <w:sz w:val="24"/>
          <w:szCs w:val="24"/>
          <w:lang w:eastAsia="ja-JP"/>
        </w:rPr>
        <w:t>Varnaviču</w:t>
      </w:r>
      <w:proofErr w:type="spellEnd"/>
      <w:r w:rsidR="006761D3" w:rsidRPr="00A07F29">
        <w:rPr>
          <w:rFonts w:ascii="Times New Roman" w:eastAsia="Times New Roman" w:hAnsi="Times New Roman" w:cs="Times New Roman"/>
          <w:color w:val="000000"/>
          <w:sz w:val="24"/>
          <w:szCs w:val="24"/>
          <w:lang w:eastAsia="ja-JP"/>
        </w:rPr>
        <w:t xml:space="preserve"> strauts, </w:t>
      </w:r>
      <w:proofErr w:type="spellStart"/>
      <w:r w:rsidR="006761D3" w:rsidRPr="00A07F29">
        <w:rPr>
          <w:rFonts w:ascii="Times New Roman" w:eastAsia="Times New Roman" w:hAnsi="Times New Roman" w:cs="Times New Roman"/>
          <w:color w:val="000000"/>
          <w:sz w:val="24"/>
          <w:szCs w:val="24"/>
          <w:lang w:eastAsia="ja-JP"/>
        </w:rPr>
        <w:t>Piskovatka</w:t>
      </w:r>
      <w:proofErr w:type="spellEnd"/>
      <w:r w:rsidR="006761D3" w:rsidRPr="00A07F29">
        <w:rPr>
          <w:rFonts w:ascii="Times New Roman" w:eastAsia="Times New Roman" w:hAnsi="Times New Roman" w:cs="Times New Roman"/>
          <w:color w:val="000000"/>
          <w:sz w:val="24"/>
          <w:szCs w:val="24"/>
          <w:lang w:eastAsia="ja-JP"/>
        </w:rPr>
        <w:t xml:space="preserve">, </w:t>
      </w:r>
      <w:proofErr w:type="spellStart"/>
      <w:r w:rsidR="006761D3" w:rsidRPr="00A07F29">
        <w:rPr>
          <w:rFonts w:ascii="Times New Roman" w:eastAsia="Times New Roman" w:hAnsi="Times New Roman" w:cs="Times New Roman"/>
          <w:color w:val="000000"/>
          <w:sz w:val="24"/>
          <w:szCs w:val="24"/>
          <w:lang w:eastAsia="ja-JP"/>
        </w:rPr>
        <w:t>Šaltupe</w:t>
      </w:r>
      <w:proofErr w:type="spellEnd"/>
      <w:r w:rsidR="006761D3" w:rsidRPr="00A07F29">
        <w:rPr>
          <w:rFonts w:ascii="Times New Roman" w:eastAsia="Times New Roman" w:hAnsi="Times New Roman" w:cs="Times New Roman"/>
          <w:color w:val="000000"/>
          <w:sz w:val="24"/>
          <w:szCs w:val="24"/>
          <w:lang w:eastAsia="ja-JP"/>
        </w:rPr>
        <w:t xml:space="preserve">, Bruņinieku upīte, </w:t>
      </w:r>
      <w:proofErr w:type="spellStart"/>
      <w:r w:rsidR="006761D3" w:rsidRPr="00A07F29">
        <w:rPr>
          <w:rFonts w:ascii="Times New Roman" w:eastAsia="Times New Roman" w:hAnsi="Times New Roman" w:cs="Times New Roman"/>
          <w:color w:val="000000"/>
          <w:sz w:val="24"/>
          <w:szCs w:val="24"/>
          <w:lang w:eastAsia="ja-JP"/>
        </w:rPr>
        <w:t>Viļeika</w:t>
      </w:r>
      <w:proofErr w:type="spellEnd"/>
      <w:r w:rsidR="006761D3" w:rsidRPr="00A07F29">
        <w:rPr>
          <w:rFonts w:ascii="Times New Roman" w:eastAsia="Times New Roman" w:hAnsi="Times New Roman" w:cs="Times New Roman"/>
          <w:color w:val="000000"/>
          <w:sz w:val="24"/>
          <w:szCs w:val="24"/>
          <w:lang w:eastAsia="ja-JP"/>
        </w:rPr>
        <w:t xml:space="preserve">, </w:t>
      </w:r>
      <w:proofErr w:type="spellStart"/>
      <w:r w:rsidR="006761D3" w:rsidRPr="00A07F29">
        <w:rPr>
          <w:rFonts w:ascii="Times New Roman" w:eastAsia="Times New Roman" w:hAnsi="Times New Roman" w:cs="Times New Roman"/>
          <w:color w:val="000000"/>
          <w:sz w:val="24"/>
          <w:szCs w:val="24"/>
          <w:lang w:eastAsia="ja-JP"/>
        </w:rPr>
        <w:lastRenderedPageBreak/>
        <w:t>Borne</w:t>
      </w:r>
      <w:proofErr w:type="spellEnd"/>
      <w:r w:rsidR="006761D3" w:rsidRPr="00A07F29">
        <w:rPr>
          <w:rFonts w:ascii="Times New Roman" w:eastAsia="Times New Roman" w:hAnsi="Times New Roman" w:cs="Times New Roman"/>
          <w:color w:val="000000"/>
          <w:sz w:val="24"/>
          <w:szCs w:val="24"/>
          <w:lang w:eastAsia="ja-JP"/>
        </w:rPr>
        <w:t xml:space="preserve">, </w:t>
      </w:r>
      <w:proofErr w:type="spellStart"/>
      <w:r w:rsidR="006761D3" w:rsidRPr="00A07F29">
        <w:rPr>
          <w:rFonts w:ascii="Times New Roman" w:eastAsia="Times New Roman" w:hAnsi="Times New Roman" w:cs="Times New Roman"/>
          <w:color w:val="000000"/>
          <w:sz w:val="24"/>
          <w:szCs w:val="24"/>
          <w:lang w:eastAsia="ja-JP"/>
        </w:rPr>
        <w:t>Poguļanka</w:t>
      </w:r>
      <w:proofErr w:type="spellEnd"/>
      <w:r w:rsidR="006761D3" w:rsidRPr="00A07F29">
        <w:rPr>
          <w:rFonts w:ascii="Times New Roman" w:eastAsia="Times New Roman" w:hAnsi="Times New Roman" w:cs="Times New Roman"/>
          <w:color w:val="000000"/>
          <w:sz w:val="24"/>
          <w:szCs w:val="24"/>
          <w:lang w:eastAsia="ja-JP"/>
        </w:rPr>
        <w:t xml:space="preserve">, </w:t>
      </w:r>
      <w:proofErr w:type="spellStart"/>
      <w:r w:rsidR="006761D3" w:rsidRPr="00A07F29">
        <w:rPr>
          <w:rFonts w:ascii="Times New Roman" w:eastAsia="Times New Roman" w:hAnsi="Times New Roman" w:cs="Times New Roman"/>
          <w:color w:val="000000"/>
          <w:sz w:val="24"/>
          <w:szCs w:val="24"/>
          <w:lang w:eastAsia="ja-JP"/>
        </w:rPr>
        <w:t>Mālkalne</w:t>
      </w:r>
      <w:proofErr w:type="spellEnd"/>
      <w:r w:rsidR="006761D3" w:rsidRPr="00A07F29">
        <w:rPr>
          <w:rFonts w:ascii="Times New Roman" w:eastAsia="Times New Roman" w:hAnsi="Times New Roman" w:cs="Times New Roman"/>
          <w:color w:val="000000"/>
          <w:sz w:val="24"/>
          <w:szCs w:val="24"/>
          <w:lang w:eastAsia="ja-JP"/>
        </w:rPr>
        <w:t xml:space="preserve">, Lazdukalna upīte, </w:t>
      </w:r>
      <w:proofErr w:type="spellStart"/>
      <w:r w:rsidR="006761D3" w:rsidRPr="00A07F29">
        <w:rPr>
          <w:rFonts w:ascii="Times New Roman" w:eastAsia="Times New Roman" w:hAnsi="Times New Roman" w:cs="Times New Roman"/>
          <w:color w:val="000000"/>
          <w:sz w:val="24"/>
          <w:szCs w:val="24"/>
          <w:lang w:eastAsia="ja-JP"/>
        </w:rPr>
        <w:t>Muravku</w:t>
      </w:r>
      <w:proofErr w:type="spellEnd"/>
      <w:r w:rsidR="006761D3" w:rsidRPr="00A07F29">
        <w:rPr>
          <w:rFonts w:ascii="Times New Roman" w:eastAsia="Times New Roman" w:hAnsi="Times New Roman" w:cs="Times New Roman"/>
          <w:color w:val="000000"/>
          <w:sz w:val="24"/>
          <w:szCs w:val="24"/>
          <w:lang w:eastAsia="ja-JP"/>
        </w:rPr>
        <w:t xml:space="preserve"> upīte un </w:t>
      </w:r>
      <w:proofErr w:type="spellStart"/>
      <w:r w:rsidR="006761D3" w:rsidRPr="00A07F29">
        <w:rPr>
          <w:rFonts w:ascii="Times New Roman" w:eastAsia="Times New Roman" w:hAnsi="Times New Roman" w:cs="Times New Roman"/>
          <w:color w:val="000000"/>
          <w:sz w:val="24"/>
          <w:szCs w:val="24"/>
          <w:lang w:eastAsia="ja-JP"/>
        </w:rPr>
        <w:t>Logovka</w:t>
      </w:r>
      <w:proofErr w:type="spellEnd"/>
      <w:r w:rsidR="006761D3" w:rsidRPr="00A07F29">
        <w:rPr>
          <w:rFonts w:ascii="Times New Roman" w:eastAsia="Times New Roman" w:hAnsi="Times New Roman" w:cs="Times New Roman"/>
          <w:color w:val="000000"/>
          <w:sz w:val="24"/>
          <w:szCs w:val="24"/>
          <w:lang w:eastAsia="ja-JP"/>
        </w:rPr>
        <w:t xml:space="preserve"> – nosaka hidrogrāfiskā tīkla blīvumu Daugavas kreisajam krastam piegulošajā AAA </w:t>
      </w:r>
      <w:r w:rsidR="00047267" w:rsidRPr="00A07F29">
        <w:rPr>
          <w:rFonts w:ascii="Times New Roman" w:eastAsia="Times New Roman" w:hAnsi="Times New Roman" w:cs="Times New Roman"/>
          <w:color w:val="000000"/>
          <w:sz w:val="24"/>
          <w:szCs w:val="24"/>
          <w:lang w:eastAsia="ja-JP"/>
        </w:rPr>
        <w:t>“</w:t>
      </w:r>
      <w:r w:rsidR="006761D3" w:rsidRPr="00A07F29">
        <w:rPr>
          <w:rFonts w:ascii="Times New Roman" w:eastAsia="Times New Roman" w:hAnsi="Times New Roman" w:cs="Times New Roman"/>
          <w:color w:val="000000"/>
          <w:sz w:val="24"/>
          <w:szCs w:val="24"/>
          <w:lang w:eastAsia="ja-JP"/>
        </w:rPr>
        <w:t xml:space="preserve">Augšdaugava” teritorijā, savukārt labā krasta pietekas – </w:t>
      </w:r>
      <w:proofErr w:type="spellStart"/>
      <w:r w:rsidR="006761D3" w:rsidRPr="00A07F29">
        <w:rPr>
          <w:rFonts w:ascii="Times New Roman" w:eastAsia="Times New Roman" w:hAnsi="Times New Roman" w:cs="Times New Roman"/>
          <w:color w:val="000000"/>
          <w:sz w:val="24"/>
          <w:szCs w:val="24"/>
          <w:lang w:eastAsia="ja-JP"/>
        </w:rPr>
        <w:t>Rosica</w:t>
      </w:r>
      <w:proofErr w:type="spellEnd"/>
      <w:r w:rsidR="006761D3" w:rsidRPr="00A07F29">
        <w:rPr>
          <w:rFonts w:ascii="Times New Roman" w:eastAsia="Times New Roman" w:hAnsi="Times New Roman" w:cs="Times New Roman"/>
          <w:color w:val="000000"/>
          <w:sz w:val="24"/>
          <w:szCs w:val="24"/>
          <w:lang w:eastAsia="ja-JP"/>
        </w:rPr>
        <w:t xml:space="preserve">, </w:t>
      </w:r>
      <w:proofErr w:type="spellStart"/>
      <w:r w:rsidR="006761D3" w:rsidRPr="00A07F29">
        <w:rPr>
          <w:rFonts w:ascii="Times New Roman" w:eastAsia="Times New Roman" w:hAnsi="Times New Roman" w:cs="Times New Roman"/>
          <w:color w:val="000000"/>
          <w:sz w:val="24"/>
          <w:szCs w:val="24"/>
          <w:lang w:eastAsia="ja-JP"/>
        </w:rPr>
        <w:t>Krutovka</w:t>
      </w:r>
      <w:proofErr w:type="spellEnd"/>
      <w:r w:rsidR="006761D3" w:rsidRPr="00A07F29">
        <w:rPr>
          <w:rFonts w:ascii="Times New Roman" w:eastAsia="Times New Roman" w:hAnsi="Times New Roman" w:cs="Times New Roman"/>
          <w:color w:val="000000"/>
          <w:sz w:val="24"/>
          <w:szCs w:val="24"/>
          <w:lang w:eastAsia="ja-JP"/>
        </w:rPr>
        <w:t xml:space="preserve">, </w:t>
      </w:r>
      <w:proofErr w:type="spellStart"/>
      <w:r w:rsidR="006761D3" w:rsidRPr="00A07F29">
        <w:rPr>
          <w:rFonts w:ascii="Times New Roman" w:eastAsia="Times New Roman" w:hAnsi="Times New Roman" w:cs="Times New Roman"/>
          <w:color w:val="000000"/>
          <w:sz w:val="24"/>
          <w:szCs w:val="24"/>
          <w:lang w:eastAsia="ja-JP"/>
        </w:rPr>
        <w:t>Ļipka</w:t>
      </w:r>
      <w:proofErr w:type="spellEnd"/>
      <w:r w:rsidR="006761D3" w:rsidRPr="00A07F29">
        <w:rPr>
          <w:rFonts w:ascii="Times New Roman" w:eastAsia="Times New Roman" w:hAnsi="Times New Roman" w:cs="Times New Roman"/>
          <w:color w:val="000000"/>
          <w:sz w:val="24"/>
          <w:szCs w:val="24"/>
          <w:lang w:eastAsia="ja-JP"/>
        </w:rPr>
        <w:t xml:space="preserve">, Marku upīte, </w:t>
      </w:r>
      <w:proofErr w:type="spellStart"/>
      <w:r w:rsidR="006761D3" w:rsidRPr="00A07F29">
        <w:rPr>
          <w:rFonts w:ascii="Times New Roman" w:eastAsia="Times New Roman" w:hAnsi="Times New Roman" w:cs="Times New Roman"/>
          <w:color w:val="000000"/>
          <w:sz w:val="24"/>
          <w:szCs w:val="24"/>
          <w:lang w:eastAsia="ja-JP"/>
        </w:rPr>
        <w:t>Ķiseļevcu</w:t>
      </w:r>
      <w:proofErr w:type="spellEnd"/>
      <w:r w:rsidR="006761D3" w:rsidRPr="00A07F29">
        <w:rPr>
          <w:rFonts w:ascii="Times New Roman" w:eastAsia="Times New Roman" w:hAnsi="Times New Roman" w:cs="Times New Roman"/>
          <w:color w:val="000000"/>
          <w:sz w:val="24"/>
          <w:szCs w:val="24"/>
          <w:lang w:eastAsia="ja-JP"/>
        </w:rPr>
        <w:t xml:space="preserve"> strauts, </w:t>
      </w:r>
      <w:proofErr w:type="spellStart"/>
      <w:r w:rsidR="006761D3" w:rsidRPr="00A07F29">
        <w:rPr>
          <w:rFonts w:ascii="Times New Roman" w:eastAsia="Times New Roman" w:hAnsi="Times New Roman" w:cs="Times New Roman"/>
          <w:color w:val="000000"/>
          <w:sz w:val="24"/>
          <w:szCs w:val="24"/>
          <w:lang w:eastAsia="ja-JP"/>
        </w:rPr>
        <w:t>Pomazina</w:t>
      </w:r>
      <w:proofErr w:type="spellEnd"/>
      <w:r w:rsidR="006761D3" w:rsidRPr="00A07F29">
        <w:rPr>
          <w:rFonts w:ascii="Times New Roman" w:eastAsia="Times New Roman" w:hAnsi="Times New Roman" w:cs="Times New Roman"/>
          <w:color w:val="000000"/>
          <w:sz w:val="24"/>
          <w:szCs w:val="24"/>
          <w:lang w:eastAsia="ja-JP"/>
        </w:rPr>
        <w:t xml:space="preserve">, </w:t>
      </w:r>
      <w:proofErr w:type="spellStart"/>
      <w:r w:rsidR="006761D3" w:rsidRPr="00A07F29">
        <w:rPr>
          <w:rFonts w:ascii="Times New Roman" w:eastAsia="Times New Roman" w:hAnsi="Times New Roman" w:cs="Times New Roman"/>
          <w:color w:val="000000"/>
          <w:sz w:val="24"/>
          <w:szCs w:val="24"/>
          <w:lang w:eastAsia="ja-JP"/>
        </w:rPr>
        <w:t>Indrica</w:t>
      </w:r>
      <w:proofErr w:type="spellEnd"/>
      <w:r w:rsidR="006761D3" w:rsidRPr="00A07F29">
        <w:rPr>
          <w:rFonts w:ascii="Times New Roman" w:eastAsia="Times New Roman" w:hAnsi="Times New Roman" w:cs="Times New Roman"/>
          <w:color w:val="000000"/>
          <w:sz w:val="24"/>
          <w:szCs w:val="24"/>
          <w:lang w:eastAsia="ja-JP"/>
        </w:rPr>
        <w:t xml:space="preserve">, </w:t>
      </w:r>
      <w:proofErr w:type="spellStart"/>
      <w:r w:rsidR="006761D3" w:rsidRPr="00A07F29">
        <w:rPr>
          <w:rFonts w:ascii="Times New Roman" w:eastAsia="Times New Roman" w:hAnsi="Times New Roman" w:cs="Times New Roman"/>
          <w:color w:val="000000"/>
          <w:sz w:val="24"/>
          <w:szCs w:val="24"/>
          <w:lang w:eastAsia="ja-JP"/>
        </w:rPr>
        <w:t>Tabaķerka</w:t>
      </w:r>
      <w:proofErr w:type="spellEnd"/>
      <w:r w:rsidR="006761D3" w:rsidRPr="00A07F29">
        <w:rPr>
          <w:rFonts w:ascii="Times New Roman" w:eastAsia="Times New Roman" w:hAnsi="Times New Roman" w:cs="Times New Roman"/>
          <w:color w:val="000000"/>
          <w:sz w:val="24"/>
          <w:szCs w:val="24"/>
          <w:lang w:eastAsia="ja-JP"/>
        </w:rPr>
        <w:t xml:space="preserve">, Zīmeļa, </w:t>
      </w:r>
      <w:proofErr w:type="spellStart"/>
      <w:r w:rsidR="006761D3" w:rsidRPr="00A07F29">
        <w:rPr>
          <w:rFonts w:ascii="Times New Roman" w:eastAsia="Times New Roman" w:hAnsi="Times New Roman" w:cs="Times New Roman"/>
          <w:color w:val="000000"/>
          <w:sz w:val="24"/>
          <w:szCs w:val="24"/>
          <w:lang w:eastAsia="ja-JP"/>
        </w:rPr>
        <w:t>Solodka</w:t>
      </w:r>
      <w:proofErr w:type="spellEnd"/>
      <w:r w:rsidR="006761D3" w:rsidRPr="00A07F29">
        <w:rPr>
          <w:rFonts w:ascii="Times New Roman" w:eastAsia="Times New Roman" w:hAnsi="Times New Roman" w:cs="Times New Roman"/>
          <w:color w:val="000000"/>
          <w:sz w:val="24"/>
          <w:szCs w:val="24"/>
          <w:lang w:eastAsia="ja-JP"/>
        </w:rPr>
        <w:t xml:space="preserve">, Skaista, </w:t>
      </w:r>
      <w:proofErr w:type="spellStart"/>
      <w:r w:rsidR="006761D3" w:rsidRPr="00A07F29">
        <w:rPr>
          <w:rFonts w:ascii="Times New Roman" w:eastAsia="Times New Roman" w:hAnsi="Times New Roman" w:cs="Times New Roman"/>
          <w:color w:val="000000"/>
          <w:sz w:val="24"/>
          <w:szCs w:val="24"/>
          <w:lang w:eastAsia="ja-JP"/>
        </w:rPr>
        <w:t>Olksna</w:t>
      </w:r>
      <w:proofErr w:type="spellEnd"/>
      <w:r w:rsidR="006761D3" w:rsidRPr="00A07F29">
        <w:rPr>
          <w:rFonts w:ascii="Times New Roman" w:eastAsia="Times New Roman" w:hAnsi="Times New Roman" w:cs="Times New Roman"/>
          <w:color w:val="000000"/>
          <w:sz w:val="24"/>
          <w:szCs w:val="24"/>
          <w:lang w:eastAsia="ja-JP"/>
        </w:rPr>
        <w:t xml:space="preserve">, </w:t>
      </w:r>
      <w:proofErr w:type="spellStart"/>
      <w:r w:rsidR="006761D3" w:rsidRPr="00A07F29">
        <w:rPr>
          <w:rFonts w:ascii="Times New Roman" w:eastAsia="Times New Roman" w:hAnsi="Times New Roman" w:cs="Times New Roman"/>
          <w:color w:val="000000"/>
          <w:sz w:val="24"/>
          <w:szCs w:val="24"/>
          <w:lang w:eastAsia="ja-JP"/>
        </w:rPr>
        <w:t>Rudņa</w:t>
      </w:r>
      <w:proofErr w:type="spellEnd"/>
      <w:r w:rsidR="006761D3" w:rsidRPr="00A07F29">
        <w:rPr>
          <w:rFonts w:ascii="Times New Roman" w:eastAsia="Times New Roman" w:hAnsi="Times New Roman" w:cs="Times New Roman"/>
          <w:color w:val="000000"/>
          <w:sz w:val="24"/>
          <w:szCs w:val="24"/>
          <w:lang w:eastAsia="ja-JP"/>
        </w:rPr>
        <w:t xml:space="preserve">, Balta, </w:t>
      </w:r>
      <w:proofErr w:type="spellStart"/>
      <w:r w:rsidR="006761D3" w:rsidRPr="00A07F29">
        <w:rPr>
          <w:rFonts w:ascii="Times New Roman" w:eastAsia="Times New Roman" w:hAnsi="Times New Roman" w:cs="Times New Roman"/>
          <w:color w:val="000000"/>
          <w:sz w:val="24"/>
          <w:szCs w:val="24"/>
          <w:lang w:eastAsia="ja-JP"/>
        </w:rPr>
        <w:t>Puņuška</w:t>
      </w:r>
      <w:proofErr w:type="spellEnd"/>
      <w:r w:rsidR="006761D3" w:rsidRPr="00A07F29">
        <w:rPr>
          <w:rFonts w:ascii="Times New Roman" w:eastAsia="Times New Roman" w:hAnsi="Times New Roman" w:cs="Times New Roman"/>
          <w:color w:val="000000"/>
          <w:sz w:val="24"/>
          <w:szCs w:val="24"/>
          <w:lang w:eastAsia="ja-JP"/>
        </w:rPr>
        <w:t xml:space="preserve"> un </w:t>
      </w:r>
      <w:proofErr w:type="spellStart"/>
      <w:r w:rsidR="006761D3" w:rsidRPr="00A07F29">
        <w:rPr>
          <w:rFonts w:ascii="Times New Roman" w:eastAsia="Times New Roman" w:hAnsi="Times New Roman" w:cs="Times New Roman"/>
          <w:color w:val="000000"/>
          <w:sz w:val="24"/>
          <w:szCs w:val="24"/>
          <w:lang w:eastAsia="ja-JP"/>
        </w:rPr>
        <w:t>Putānupīte</w:t>
      </w:r>
      <w:proofErr w:type="spellEnd"/>
      <w:r w:rsidR="006761D3" w:rsidRPr="00A07F29">
        <w:rPr>
          <w:rFonts w:ascii="Times New Roman" w:eastAsia="Times New Roman" w:hAnsi="Times New Roman" w:cs="Times New Roman"/>
          <w:color w:val="000000"/>
          <w:sz w:val="24"/>
          <w:szCs w:val="24"/>
          <w:lang w:eastAsia="ja-JP"/>
        </w:rPr>
        <w:t xml:space="preserve"> nosaka hidrogrāfisko blīvumu Daugavas labā krasta piegulošajā AAA </w:t>
      </w:r>
      <w:r w:rsidR="0068063F" w:rsidRPr="00A07F29">
        <w:rPr>
          <w:rFonts w:ascii="Times New Roman" w:eastAsia="Times New Roman" w:hAnsi="Times New Roman" w:cs="Times New Roman"/>
          <w:color w:val="000000"/>
          <w:sz w:val="24"/>
          <w:szCs w:val="24"/>
          <w:lang w:eastAsia="ja-JP"/>
        </w:rPr>
        <w:t>“</w:t>
      </w:r>
      <w:r w:rsidR="006761D3" w:rsidRPr="00A07F29">
        <w:rPr>
          <w:rFonts w:ascii="Times New Roman" w:eastAsia="Times New Roman" w:hAnsi="Times New Roman" w:cs="Times New Roman"/>
          <w:color w:val="000000"/>
          <w:sz w:val="24"/>
          <w:szCs w:val="24"/>
          <w:lang w:eastAsia="ja-JP"/>
        </w:rPr>
        <w:t xml:space="preserve">Augšdaugava” teritorijā. Visām mazajām upītēm iegraužoties kvartāra </w:t>
      </w:r>
      <w:proofErr w:type="spellStart"/>
      <w:r w:rsidR="006761D3" w:rsidRPr="00A07F29">
        <w:rPr>
          <w:rFonts w:ascii="Times New Roman" w:eastAsia="Times New Roman" w:hAnsi="Times New Roman" w:cs="Times New Roman"/>
          <w:color w:val="000000"/>
          <w:sz w:val="24"/>
          <w:szCs w:val="24"/>
          <w:lang w:eastAsia="ja-JP"/>
        </w:rPr>
        <w:t>glacigēnos</w:t>
      </w:r>
      <w:proofErr w:type="spellEnd"/>
      <w:r w:rsidR="006761D3" w:rsidRPr="00A07F29">
        <w:rPr>
          <w:rFonts w:ascii="Times New Roman" w:eastAsia="Times New Roman" w:hAnsi="Times New Roman" w:cs="Times New Roman"/>
          <w:color w:val="000000"/>
          <w:sz w:val="24"/>
          <w:szCs w:val="24"/>
          <w:lang w:eastAsia="ja-JP"/>
        </w:rPr>
        <w:t xml:space="preserve"> nogulumos un izskalojot smalkgraudainos </w:t>
      </w:r>
      <w:proofErr w:type="spellStart"/>
      <w:r w:rsidR="006761D3" w:rsidRPr="00A07F29">
        <w:rPr>
          <w:rFonts w:ascii="Times New Roman" w:eastAsia="Times New Roman" w:hAnsi="Times New Roman" w:cs="Times New Roman"/>
          <w:color w:val="000000"/>
          <w:sz w:val="24"/>
          <w:szCs w:val="24"/>
          <w:lang w:eastAsia="ja-JP"/>
        </w:rPr>
        <w:t>drupiežus</w:t>
      </w:r>
      <w:proofErr w:type="spellEnd"/>
      <w:r w:rsidR="006761D3" w:rsidRPr="00A07F29">
        <w:rPr>
          <w:rFonts w:ascii="Times New Roman" w:eastAsia="Times New Roman" w:hAnsi="Times New Roman" w:cs="Times New Roman"/>
          <w:color w:val="000000"/>
          <w:sz w:val="24"/>
          <w:szCs w:val="24"/>
          <w:lang w:eastAsia="ja-JP"/>
        </w:rPr>
        <w:t xml:space="preserve">, to gultnēs ir palikuši laukakmeņu, </w:t>
      </w:r>
      <w:proofErr w:type="spellStart"/>
      <w:r w:rsidR="006761D3" w:rsidRPr="00A07F29">
        <w:rPr>
          <w:rFonts w:ascii="Times New Roman" w:eastAsia="Times New Roman" w:hAnsi="Times New Roman" w:cs="Times New Roman"/>
          <w:color w:val="000000"/>
          <w:sz w:val="24"/>
          <w:szCs w:val="24"/>
          <w:lang w:eastAsia="ja-JP"/>
        </w:rPr>
        <w:t>oļakmeņu</w:t>
      </w:r>
      <w:proofErr w:type="spellEnd"/>
      <w:r w:rsidR="00D65BBA" w:rsidRPr="00A07F29">
        <w:rPr>
          <w:rFonts w:ascii="Times New Roman" w:eastAsia="Times New Roman" w:hAnsi="Times New Roman" w:cs="Times New Roman"/>
          <w:color w:val="000000"/>
          <w:sz w:val="24"/>
          <w:szCs w:val="24"/>
          <w:lang w:eastAsia="ja-JP"/>
        </w:rPr>
        <w:t xml:space="preserve"> </w:t>
      </w:r>
      <w:r w:rsidR="006761D3" w:rsidRPr="00A07F29">
        <w:rPr>
          <w:rFonts w:ascii="Times New Roman" w:eastAsia="Times New Roman" w:hAnsi="Times New Roman" w:cs="Times New Roman"/>
          <w:color w:val="000000"/>
          <w:sz w:val="24"/>
          <w:szCs w:val="24"/>
          <w:lang w:eastAsia="ja-JP"/>
        </w:rPr>
        <w:t>un oļu sakopojumi, kas veido šo upīšu krāčainos straujteču posmus (</w:t>
      </w:r>
      <w:r w:rsidR="00BF4827" w:rsidRPr="00A07F29">
        <w:rPr>
          <w:rFonts w:ascii="Times New Roman" w:eastAsia="Times New Roman" w:hAnsi="Times New Roman" w:cs="Times New Roman"/>
          <w:color w:val="000000"/>
          <w:sz w:val="24"/>
          <w:szCs w:val="24"/>
          <w:lang w:eastAsia="ja-JP"/>
        </w:rPr>
        <w:t xml:space="preserve">skat. </w:t>
      </w:r>
      <w:r w:rsidR="006761D3" w:rsidRPr="00A07F29">
        <w:rPr>
          <w:rFonts w:ascii="Times New Roman" w:eastAsia="Times New Roman" w:hAnsi="Times New Roman" w:cs="Times New Roman"/>
          <w:color w:val="000000"/>
          <w:sz w:val="24"/>
          <w:szCs w:val="24"/>
          <w:lang w:eastAsia="ja-JP"/>
        </w:rPr>
        <w:t>2.5.1.1</w:t>
      </w:r>
      <w:r w:rsidR="00301784" w:rsidRPr="00A07F29">
        <w:rPr>
          <w:rFonts w:ascii="Times New Roman" w:eastAsia="Times New Roman" w:hAnsi="Times New Roman" w:cs="Times New Roman"/>
          <w:color w:val="000000"/>
          <w:sz w:val="24"/>
          <w:szCs w:val="24"/>
          <w:lang w:eastAsia="ja-JP"/>
        </w:rPr>
        <w:t>. </w:t>
      </w:r>
      <w:r w:rsidR="006761D3" w:rsidRPr="00A07F29">
        <w:rPr>
          <w:rFonts w:ascii="Times New Roman" w:eastAsia="Times New Roman" w:hAnsi="Times New Roman" w:cs="Times New Roman"/>
          <w:color w:val="000000"/>
          <w:sz w:val="24"/>
          <w:szCs w:val="24"/>
          <w:lang w:eastAsia="ja-JP"/>
        </w:rPr>
        <w:t xml:space="preserve">attēls). </w:t>
      </w:r>
    </w:p>
    <w:p w14:paraId="3EB3D1E0" w14:textId="67B8975E" w:rsidR="006761D3" w:rsidRPr="00A07F29" w:rsidRDefault="006761D3" w:rsidP="006761D3">
      <w:pPr>
        <w:spacing w:after="120"/>
        <w:ind w:firstLine="851"/>
        <w:jc w:val="both"/>
        <w:rPr>
          <w:rFonts w:ascii="Times New Roman" w:eastAsia="Times New Roman" w:hAnsi="Times New Roman" w:cs="Times New Roman"/>
          <w:color w:val="000000"/>
          <w:sz w:val="24"/>
          <w:szCs w:val="24"/>
          <w:lang w:eastAsia="ja-JP"/>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6"/>
        <w:gridCol w:w="2510"/>
      </w:tblGrid>
      <w:tr w:rsidR="00FC49DC" w:rsidRPr="00A07F29" w14:paraId="3F2F3934" w14:textId="77777777" w:rsidTr="63C42FA1">
        <w:tc>
          <w:tcPr>
            <w:tcW w:w="4508" w:type="dxa"/>
          </w:tcPr>
          <w:p w14:paraId="2FEB4E80" w14:textId="7B21D8D4" w:rsidR="00FC49DC" w:rsidRPr="00A07F29" w:rsidRDefault="00FC49DC" w:rsidP="006761D3">
            <w:pPr>
              <w:spacing w:after="120"/>
              <w:jc w:val="both"/>
              <w:rPr>
                <w:rFonts w:ascii="Times New Roman" w:eastAsia="Times New Roman" w:hAnsi="Times New Roman" w:cs="Times New Roman"/>
                <w:color w:val="000000"/>
                <w:sz w:val="24"/>
                <w:szCs w:val="24"/>
                <w:lang w:eastAsia="ja-JP"/>
              </w:rPr>
            </w:pPr>
            <w:r w:rsidRPr="00A07F29">
              <w:rPr>
                <w:rFonts w:ascii="Times New Roman" w:eastAsia="Times New Roman" w:hAnsi="Times New Roman" w:cs="Times New Roman"/>
                <w:b/>
                <w:noProof/>
                <w:color w:val="000000"/>
                <w:sz w:val="24"/>
                <w:szCs w:val="24"/>
                <w:lang w:eastAsia="lv-LV"/>
              </w:rPr>
              <w:drawing>
                <wp:inline distT="0" distB="0" distL="0" distR="0" wp14:anchorId="5C88447C" wp14:editId="60AA2F49">
                  <wp:extent cx="3970020" cy="3139440"/>
                  <wp:effectExtent l="19050" t="19050" r="11430" b="22860"/>
                  <wp:docPr id="31" name="Picture 8" descr="Pogulanka_vidustece_07_19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11" descr="Pogulanka_vidustece_07_1999"/>
                          <pic:cNvPicPr>
                            <a:picLocks noChangeArrowheads="1"/>
                          </pic:cNvPicPr>
                        </pic:nvPicPr>
                        <pic:blipFill>
                          <a:blip r:embed="rId21">
                            <a:lum bright="-18000" contrast="12000"/>
                            <a:extLst>
                              <a:ext uri="{28A0092B-C50C-407E-A947-70E740481C1C}">
                                <a14:useLocalDpi xmlns:a14="http://schemas.microsoft.com/office/drawing/2010/main"/>
                              </a:ext>
                            </a:extLst>
                          </a:blip>
                          <a:srcRect/>
                          <a:stretch>
                            <a:fillRect/>
                          </a:stretch>
                        </pic:blipFill>
                        <pic:spPr bwMode="auto">
                          <a:xfrm>
                            <a:off x="0" y="0"/>
                            <a:ext cx="3970020" cy="3139440"/>
                          </a:xfrm>
                          <a:prstGeom prst="rect">
                            <a:avLst/>
                          </a:prstGeom>
                          <a:noFill/>
                          <a:ln w="6350" cmpd="sng">
                            <a:solidFill>
                              <a:srgbClr val="000000"/>
                            </a:solidFill>
                            <a:miter lim="800000"/>
                            <a:headEnd/>
                            <a:tailEnd/>
                          </a:ln>
                          <a:effectLst/>
                        </pic:spPr>
                      </pic:pic>
                    </a:graphicData>
                  </a:graphic>
                </wp:inline>
              </w:drawing>
            </w:r>
          </w:p>
        </w:tc>
        <w:tc>
          <w:tcPr>
            <w:tcW w:w="4508" w:type="dxa"/>
            <w:vAlign w:val="bottom"/>
          </w:tcPr>
          <w:p w14:paraId="712F507A" w14:textId="1FE00F99" w:rsidR="00FC49DC" w:rsidRPr="00685EBC" w:rsidRDefault="00FC49DC" w:rsidP="00FC49DC">
            <w:pPr>
              <w:spacing w:after="120"/>
              <w:jc w:val="both"/>
              <w:rPr>
                <w:rFonts w:ascii="Times New Roman" w:eastAsia="Times New Roman" w:hAnsi="Times New Roman" w:cs="Times New Roman"/>
                <w:color w:val="000000"/>
                <w:sz w:val="20"/>
                <w:szCs w:val="20"/>
                <w:lang w:eastAsia="ja-JP"/>
              </w:rPr>
            </w:pPr>
            <w:r w:rsidRPr="00685EBC">
              <w:rPr>
                <w:rFonts w:ascii="Times New Roman" w:eastAsia="Times New Roman" w:hAnsi="Times New Roman" w:cs="Times New Roman"/>
                <w:color w:val="000000"/>
                <w:sz w:val="20"/>
                <w:szCs w:val="20"/>
                <w:lang w:eastAsia="ja-JP"/>
              </w:rPr>
              <w:t>2.5.1.1.</w:t>
            </w:r>
            <w:r w:rsidR="005D5F9D" w:rsidRPr="00685EBC">
              <w:rPr>
                <w:rFonts w:ascii="Times New Roman" w:eastAsia="Times New Roman" w:hAnsi="Times New Roman" w:cs="Times New Roman"/>
                <w:color w:val="000000"/>
                <w:sz w:val="20"/>
                <w:szCs w:val="20"/>
                <w:lang w:eastAsia="ja-JP"/>
              </w:rPr>
              <w:t> </w:t>
            </w:r>
            <w:r w:rsidRPr="00685EBC">
              <w:rPr>
                <w:rFonts w:ascii="Times New Roman" w:eastAsia="Times New Roman" w:hAnsi="Times New Roman" w:cs="Times New Roman"/>
                <w:color w:val="000000"/>
                <w:sz w:val="20"/>
                <w:szCs w:val="20"/>
                <w:lang w:eastAsia="ja-JP"/>
              </w:rPr>
              <w:t xml:space="preserve">attēls. </w:t>
            </w:r>
            <w:proofErr w:type="spellStart"/>
            <w:r w:rsidRPr="00685EBC">
              <w:rPr>
                <w:rFonts w:ascii="Times New Roman" w:eastAsia="Times New Roman" w:hAnsi="Times New Roman" w:cs="Times New Roman"/>
                <w:color w:val="000000"/>
                <w:sz w:val="20"/>
                <w:szCs w:val="20"/>
                <w:lang w:eastAsia="ja-JP"/>
              </w:rPr>
              <w:t>Poguļankas</w:t>
            </w:r>
            <w:proofErr w:type="spellEnd"/>
            <w:r w:rsidRPr="00685EBC">
              <w:rPr>
                <w:rFonts w:ascii="Times New Roman" w:eastAsia="Times New Roman" w:hAnsi="Times New Roman" w:cs="Times New Roman"/>
                <w:color w:val="000000"/>
                <w:sz w:val="20"/>
                <w:szCs w:val="20"/>
                <w:lang w:eastAsia="ja-JP"/>
              </w:rPr>
              <w:t xml:space="preserve"> upītes straujtece ar oļu un akmeņu sakopojumu gultnē lejpus Daugavpils – Krāslavas šosejas. Foto: J.</w:t>
            </w:r>
            <w:r w:rsidR="005D5F9D" w:rsidRPr="00685EBC">
              <w:rPr>
                <w:rFonts w:ascii="Times New Roman" w:eastAsia="Times New Roman" w:hAnsi="Times New Roman" w:cs="Times New Roman"/>
                <w:color w:val="000000"/>
                <w:sz w:val="20"/>
                <w:szCs w:val="20"/>
                <w:lang w:eastAsia="ja-JP"/>
              </w:rPr>
              <w:t> </w:t>
            </w:r>
            <w:r w:rsidRPr="00685EBC">
              <w:rPr>
                <w:rFonts w:ascii="Times New Roman" w:eastAsia="Times New Roman" w:hAnsi="Times New Roman" w:cs="Times New Roman"/>
                <w:color w:val="000000"/>
                <w:sz w:val="20"/>
                <w:szCs w:val="20"/>
                <w:lang w:eastAsia="ja-JP"/>
              </w:rPr>
              <w:t>Soms</w:t>
            </w:r>
          </w:p>
        </w:tc>
      </w:tr>
    </w:tbl>
    <w:p w14:paraId="6E4B8306" w14:textId="77777777" w:rsidR="00FC49DC" w:rsidRPr="00A07F29" w:rsidRDefault="00FC49DC" w:rsidP="006761D3">
      <w:pPr>
        <w:spacing w:after="120"/>
        <w:ind w:firstLine="851"/>
        <w:jc w:val="both"/>
        <w:rPr>
          <w:rFonts w:ascii="Times New Roman" w:eastAsia="Times New Roman" w:hAnsi="Times New Roman" w:cs="Times New Roman"/>
          <w:color w:val="000000"/>
          <w:sz w:val="24"/>
          <w:szCs w:val="24"/>
          <w:lang w:eastAsia="ja-JP"/>
        </w:rPr>
      </w:pPr>
    </w:p>
    <w:p w14:paraId="477028C2" w14:textId="246F11C5" w:rsidR="006761D3" w:rsidRPr="00A07F29" w:rsidRDefault="006761D3" w:rsidP="006761D3">
      <w:pPr>
        <w:spacing w:before="120" w:after="0" w:line="240" w:lineRule="auto"/>
        <w:ind w:firstLine="851"/>
        <w:jc w:val="both"/>
        <w:rPr>
          <w:rFonts w:ascii="Times New Roman" w:eastAsia="Times New Roman" w:hAnsi="Times New Roman" w:cs="Times New Roman"/>
          <w:color w:val="000000"/>
          <w:sz w:val="24"/>
          <w:szCs w:val="24"/>
          <w:lang w:eastAsia="ja-JP"/>
        </w:rPr>
      </w:pPr>
      <w:r w:rsidRPr="00A07F29">
        <w:rPr>
          <w:rFonts w:ascii="Times New Roman" w:eastAsia="Times New Roman" w:hAnsi="Times New Roman" w:cs="Times New Roman"/>
          <w:color w:val="000000"/>
          <w:sz w:val="24"/>
          <w:szCs w:val="24"/>
          <w:lang w:eastAsia="ja-JP"/>
        </w:rPr>
        <w:t xml:space="preserve">Šāds upīšu gultnes raksturs kombinācijā ar lielo kritumu to lejteces posmos ir nodrošinājis augstu </w:t>
      </w:r>
      <w:proofErr w:type="spellStart"/>
      <w:r w:rsidRPr="00A07F29">
        <w:rPr>
          <w:rFonts w:ascii="Times New Roman" w:eastAsia="Times New Roman" w:hAnsi="Times New Roman" w:cs="Times New Roman"/>
          <w:color w:val="000000"/>
          <w:sz w:val="24"/>
          <w:szCs w:val="24"/>
          <w:lang w:eastAsia="ja-JP"/>
        </w:rPr>
        <w:t>pašattīrīšanās</w:t>
      </w:r>
      <w:proofErr w:type="spellEnd"/>
      <w:r w:rsidRPr="00A07F29">
        <w:rPr>
          <w:rFonts w:ascii="Times New Roman" w:eastAsia="Times New Roman" w:hAnsi="Times New Roman" w:cs="Times New Roman"/>
          <w:color w:val="000000"/>
          <w:sz w:val="24"/>
          <w:szCs w:val="24"/>
          <w:lang w:eastAsia="ja-JP"/>
        </w:rPr>
        <w:t xml:space="preserve"> spēju, jo krāčainajos posmos upīšu ūdenim bagātinoties ar skābekli, notiek intensīva </w:t>
      </w:r>
      <w:proofErr w:type="spellStart"/>
      <w:r w:rsidRPr="00A07F29">
        <w:rPr>
          <w:rFonts w:ascii="Times New Roman" w:eastAsia="Times New Roman" w:hAnsi="Times New Roman" w:cs="Times New Roman"/>
          <w:color w:val="000000"/>
          <w:sz w:val="24"/>
          <w:szCs w:val="24"/>
          <w:lang w:eastAsia="ja-JP"/>
        </w:rPr>
        <w:t>biogēnu</w:t>
      </w:r>
      <w:proofErr w:type="spellEnd"/>
      <w:r w:rsidRPr="00A07F29">
        <w:rPr>
          <w:rFonts w:ascii="Times New Roman" w:eastAsia="Times New Roman" w:hAnsi="Times New Roman" w:cs="Times New Roman"/>
          <w:color w:val="000000"/>
          <w:sz w:val="24"/>
          <w:szCs w:val="24"/>
          <w:lang w:eastAsia="ja-JP"/>
        </w:rPr>
        <w:t xml:space="preserve"> noārdīšana, respektīvi – upīšu lejteces daļu straujteces posmi darbojas kā dabiskas attīrīšanas iekārtas. Šādi straujteces posmi ar akmeņainu un oļainu gultni ir arī ES nozīmes biotops </w:t>
      </w:r>
      <w:r w:rsidRPr="00A07F29">
        <w:rPr>
          <w:rFonts w:ascii="Times New Roman" w:eastAsia="Calibri" w:hAnsi="Times New Roman" w:cs="Calibri"/>
          <w:sz w:val="24"/>
        </w:rPr>
        <w:t xml:space="preserve">3260 </w:t>
      </w:r>
      <w:r w:rsidRPr="00A07F29">
        <w:rPr>
          <w:rFonts w:ascii="Times New Roman" w:eastAsia="Calibri" w:hAnsi="Times New Roman" w:cs="Calibri"/>
          <w:i/>
          <w:sz w:val="24"/>
        </w:rPr>
        <w:t>Upju straujteces un dabiski upju posmi</w:t>
      </w:r>
      <w:r w:rsidRPr="00A07F29">
        <w:rPr>
          <w:rFonts w:ascii="Times New Roman" w:eastAsia="Times New Roman" w:hAnsi="Times New Roman" w:cs="Times New Roman"/>
          <w:color w:val="000000"/>
          <w:sz w:val="24"/>
          <w:szCs w:val="24"/>
          <w:lang w:eastAsia="ja-JP"/>
        </w:rPr>
        <w:t>.</w:t>
      </w:r>
    </w:p>
    <w:p w14:paraId="453B1BBF" w14:textId="1A46F37C" w:rsidR="00301784" w:rsidRPr="00A07F29" w:rsidRDefault="0094598E" w:rsidP="00301784">
      <w:pPr>
        <w:spacing w:before="120" w:after="0" w:line="240" w:lineRule="auto"/>
        <w:ind w:firstLine="851"/>
        <w:jc w:val="both"/>
        <w:rPr>
          <w:rFonts w:ascii="Times New Roman" w:eastAsia="Times New Roman" w:hAnsi="Times New Roman" w:cs="Times New Roman"/>
          <w:color w:val="000000"/>
          <w:sz w:val="24"/>
          <w:szCs w:val="24"/>
          <w:lang w:eastAsia="ja-JP"/>
        </w:rPr>
      </w:pPr>
      <w:r w:rsidRPr="00A07F29">
        <w:rPr>
          <w:rFonts w:ascii="Times New Roman" w:eastAsia="Times New Roman" w:hAnsi="Times New Roman" w:cs="Times New Roman"/>
          <w:color w:val="000000"/>
          <w:sz w:val="24"/>
          <w:szCs w:val="24"/>
          <w:lang w:eastAsia="ja-JP"/>
        </w:rPr>
        <w:t xml:space="preserve">Publiski pieejamajos informācijas avotos ziņu, kas ir sniegtas par apskatāmā Daugavas ielejas posma upītēm ir samērā maz. Detalizētāki hidroloģiskie un </w:t>
      </w:r>
      <w:proofErr w:type="spellStart"/>
      <w:r w:rsidRPr="00A07F29">
        <w:rPr>
          <w:rFonts w:ascii="Times New Roman" w:eastAsia="Times New Roman" w:hAnsi="Times New Roman" w:cs="Times New Roman"/>
          <w:color w:val="000000"/>
          <w:sz w:val="24"/>
          <w:szCs w:val="24"/>
          <w:lang w:eastAsia="ja-JP"/>
        </w:rPr>
        <w:t>fizioģeogrāfiskie</w:t>
      </w:r>
      <w:proofErr w:type="spellEnd"/>
      <w:r w:rsidRPr="00A07F29">
        <w:rPr>
          <w:rFonts w:ascii="Times New Roman" w:eastAsia="Times New Roman" w:hAnsi="Times New Roman" w:cs="Times New Roman"/>
          <w:color w:val="000000"/>
          <w:sz w:val="24"/>
          <w:szCs w:val="24"/>
          <w:lang w:eastAsia="ja-JP"/>
        </w:rPr>
        <w:t xml:space="preserve"> dati ir atrodami par četrām Daugavas pietekām – </w:t>
      </w:r>
      <w:proofErr w:type="spellStart"/>
      <w:r w:rsidRPr="00A07F29">
        <w:rPr>
          <w:rFonts w:ascii="Times New Roman" w:eastAsia="Times New Roman" w:hAnsi="Times New Roman" w:cs="Times New Roman"/>
          <w:color w:val="000000"/>
          <w:sz w:val="24"/>
          <w:szCs w:val="24"/>
          <w:lang w:eastAsia="ja-JP"/>
        </w:rPr>
        <w:t>Poguļanku</w:t>
      </w:r>
      <w:proofErr w:type="spellEnd"/>
      <w:r w:rsidRPr="00A07F29">
        <w:rPr>
          <w:rFonts w:ascii="Times New Roman" w:eastAsia="Times New Roman" w:hAnsi="Times New Roman" w:cs="Times New Roman"/>
          <w:color w:val="000000"/>
          <w:sz w:val="24"/>
          <w:szCs w:val="24"/>
          <w:lang w:eastAsia="ja-JP"/>
        </w:rPr>
        <w:t>, Borni (</w:t>
      </w:r>
      <w:proofErr w:type="spellStart"/>
      <w:r w:rsidRPr="00A07F29">
        <w:rPr>
          <w:rFonts w:ascii="Times New Roman" w:eastAsia="Times New Roman" w:hAnsi="Times New Roman" w:cs="Times New Roman"/>
          <w:color w:val="000000"/>
          <w:sz w:val="24"/>
          <w:szCs w:val="24"/>
          <w:lang w:eastAsia="ja-JP"/>
        </w:rPr>
        <w:t>Lielborni</w:t>
      </w:r>
      <w:proofErr w:type="spellEnd"/>
      <w:r w:rsidRPr="00A07F29">
        <w:rPr>
          <w:rFonts w:ascii="Times New Roman" w:eastAsia="Times New Roman" w:hAnsi="Times New Roman" w:cs="Times New Roman"/>
          <w:color w:val="000000"/>
          <w:sz w:val="24"/>
          <w:szCs w:val="24"/>
          <w:lang w:eastAsia="ja-JP"/>
        </w:rPr>
        <w:t xml:space="preserve">), </w:t>
      </w:r>
      <w:proofErr w:type="spellStart"/>
      <w:r w:rsidRPr="00A07F29">
        <w:rPr>
          <w:rFonts w:ascii="Times New Roman" w:eastAsia="Times New Roman" w:hAnsi="Times New Roman" w:cs="Times New Roman"/>
          <w:color w:val="000000"/>
          <w:sz w:val="24"/>
          <w:szCs w:val="24"/>
          <w:lang w:eastAsia="ja-JP"/>
        </w:rPr>
        <w:t>Rudņu</w:t>
      </w:r>
      <w:proofErr w:type="spellEnd"/>
      <w:r w:rsidRPr="00A07F29">
        <w:rPr>
          <w:rFonts w:ascii="Times New Roman" w:eastAsia="Times New Roman" w:hAnsi="Times New Roman" w:cs="Times New Roman"/>
          <w:color w:val="000000"/>
          <w:sz w:val="24"/>
          <w:szCs w:val="24"/>
          <w:lang w:eastAsia="ja-JP"/>
        </w:rPr>
        <w:t xml:space="preserve"> un Baltu (</w:t>
      </w:r>
      <w:proofErr w:type="spellStart"/>
      <w:r w:rsidRPr="00A07F29">
        <w:rPr>
          <w:rFonts w:ascii="Times New Roman" w:eastAsia="Times New Roman" w:hAnsi="Times New Roman" w:cs="Times New Roman"/>
          <w:color w:val="000000"/>
          <w:sz w:val="24"/>
          <w:szCs w:val="24"/>
          <w:lang w:eastAsia="ja-JP"/>
        </w:rPr>
        <w:t>Puņušku</w:t>
      </w:r>
      <w:proofErr w:type="spellEnd"/>
      <w:r w:rsidRPr="00A07F29">
        <w:rPr>
          <w:rFonts w:ascii="Times New Roman" w:eastAsia="Times New Roman" w:hAnsi="Times New Roman" w:cs="Times New Roman"/>
          <w:color w:val="000000"/>
          <w:sz w:val="24"/>
          <w:szCs w:val="24"/>
          <w:lang w:eastAsia="ja-JP"/>
        </w:rPr>
        <w:t>)</w:t>
      </w:r>
      <w:r w:rsidR="006A07D2" w:rsidRPr="00A07F29">
        <w:rPr>
          <w:rFonts w:ascii="Times New Roman" w:eastAsia="Times New Roman" w:hAnsi="Times New Roman" w:cs="Times New Roman"/>
          <w:color w:val="000000"/>
          <w:sz w:val="24"/>
          <w:szCs w:val="24"/>
          <w:lang w:eastAsia="ja-JP"/>
        </w:rPr>
        <w:t xml:space="preserve"> (Latvijas Daba, 1993)</w:t>
      </w:r>
      <w:r w:rsidR="00212F52" w:rsidRPr="00A07F29">
        <w:rPr>
          <w:rFonts w:ascii="Times New Roman" w:eastAsia="Times New Roman" w:hAnsi="Times New Roman" w:cs="Times New Roman"/>
          <w:color w:val="000000"/>
          <w:sz w:val="24"/>
          <w:szCs w:val="24"/>
          <w:lang w:eastAsia="ja-JP"/>
        </w:rPr>
        <w:t>.</w:t>
      </w:r>
    </w:p>
    <w:p w14:paraId="259BF936" w14:textId="443F8C51" w:rsidR="00301784" w:rsidRPr="00A07F29" w:rsidRDefault="00301784" w:rsidP="00301784">
      <w:pPr>
        <w:spacing w:before="120" w:after="0" w:line="240" w:lineRule="auto"/>
        <w:ind w:firstLine="851"/>
        <w:jc w:val="both"/>
        <w:rPr>
          <w:rFonts w:ascii="Times New Roman" w:eastAsia="TimesNewRomanPSMT" w:hAnsi="Times New Roman" w:cs="Times New Roman"/>
          <w:kern w:val="2"/>
          <w:sz w:val="24"/>
          <w:szCs w:val="24"/>
          <w:lang w:eastAsia="zh-CN" w:bidi="hi-IN"/>
        </w:rPr>
      </w:pPr>
      <w:r w:rsidRPr="00A07F29">
        <w:rPr>
          <w:rFonts w:ascii="Times New Roman" w:eastAsia="TimesNewRomanPSMT" w:hAnsi="Times New Roman" w:cs="Times New Roman"/>
          <w:kern w:val="2"/>
          <w:sz w:val="24"/>
          <w:szCs w:val="24"/>
          <w:lang w:eastAsia="zh-CN" w:bidi="hi-IN"/>
        </w:rPr>
        <w:t>Ekoloģiska Daugavas un Augšdaugavas izpēte veikta kopš 60</w:t>
      </w:r>
      <w:r w:rsidR="007C49E0" w:rsidRPr="00A07F29">
        <w:rPr>
          <w:rFonts w:ascii="Times New Roman" w:eastAsia="TimesNewRomanPSMT" w:hAnsi="Times New Roman" w:cs="Times New Roman"/>
          <w:kern w:val="2"/>
          <w:sz w:val="24"/>
          <w:szCs w:val="24"/>
          <w:lang w:eastAsia="zh-CN" w:bidi="hi-IN"/>
        </w:rPr>
        <w:t>t</w:t>
      </w:r>
      <w:r w:rsidRPr="00A07F29">
        <w:rPr>
          <w:rFonts w:ascii="Times New Roman" w:eastAsia="TimesNewRomanPSMT" w:hAnsi="Times New Roman" w:cs="Times New Roman"/>
          <w:kern w:val="2"/>
          <w:sz w:val="24"/>
          <w:szCs w:val="24"/>
          <w:lang w:eastAsia="zh-CN" w:bidi="hi-IN"/>
        </w:rPr>
        <w:t>iem gadiem, gan neregulāri, līdz 2008.</w:t>
      </w:r>
      <w:r w:rsidR="00D06278" w:rsidRPr="00A07F29">
        <w:rPr>
          <w:rFonts w:ascii="Times New Roman" w:eastAsia="TimesNewRomanPSMT" w:hAnsi="Times New Roman" w:cs="Times New Roman"/>
          <w:kern w:val="2"/>
          <w:sz w:val="24"/>
          <w:szCs w:val="24"/>
          <w:lang w:eastAsia="zh-CN" w:bidi="hi-IN"/>
        </w:rPr>
        <w:t> </w:t>
      </w:r>
      <w:r w:rsidRPr="00A07F29">
        <w:rPr>
          <w:rFonts w:ascii="Times New Roman" w:eastAsia="TimesNewRomanPSMT" w:hAnsi="Times New Roman" w:cs="Times New Roman"/>
          <w:kern w:val="2"/>
          <w:sz w:val="24"/>
          <w:szCs w:val="24"/>
          <w:lang w:eastAsia="zh-CN" w:bidi="hi-IN"/>
        </w:rPr>
        <w:t>gadam Bioloģijas institūta Hidrobiolo</w:t>
      </w:r>
      <w:r w:rsidR="00451E1C" w:rsidRPr="00A07F29">
        <w:rPr>
          <w:rFonts w:ascii="Times New Roman" w:eastAsia="TimesNewRomanPSMT" w:hAnsi="Times New Roman" w:cs="Times New Roman"/>
          <w:kern w:val="2"/>
          <w:sz w:val="24"/>
          <w:szCs w:val="24"/>
          <w:lang w:eastAsia="zh-CN" w:bidi="hi-IN"/>
        </w:rPr>
        <w:t>ģ</w:t>
      </w:r>
      <w:r w:rsidRPr="00A07F29">
        <w:rPr>
          <w:rFonts w:ascii="Times New Roman" w:eastAsia="TimesNewRomanPSMT" w:hAnsi="Times New Roman" w:cs="Times New Roman"/>
          <w:kern w:val="2"/>
          <w:sz w:val="24"/>
          <w:szCs w:val="24"/>
          <w:lang w:eastAsia="zh-CN" w:bidi="hi-IN"/>
        </w:rPr>
        <w:t>ijas laboratorijas dažādos pētniecības projektos.</w:t>
      </w:r>
    </w:p>
    <w:p w14:paraId="2059A3B6" w14:textId="05F8A0C9" w:rsidR="00301784" w:rsidRPr="00A07F29" w:rsidRDefault="00301784" w:rsidP="00212F52">
      <w:pPr>
        <w:spacing w:after="120" w:line="240" w:lineRule="auto"/>
        <w:ind w:firstLine="851"/>
        <w:jc w:val="both"/>
        <w:rPr>
          <w:rFonts w:ascii="Times New Roman" w:eastAsia="Calibri" w:hAnsi="Times New Roman" w:cs="Times New Roman"/>
          <w:kern w:val="2"/>
          <w:sz w:val="24"/>
          <w:szCs w:val="24"/>
          <w:lang w:eastAsia="zh-CN" w:bidi="hi-IN"/>
        </w:rPr>
      </w:pPr>
      <w:r w:rsidRPr="00A07F29">
        <w:rPr>
          <w:rFonts w:ascii="Times New Roman" w:eastAsia="Calibri" w:hAnsi="Times New Roman" w:cs="Times New Roman"/>
          <w:kern w:val="2"/>
          <w:sz w:val="24"/>
          <w:szCs w:val="24"/>
          <w:lang w:eastAsia="zh-CN" w:bidi="hi-IN"/>
        </w:rPr>
        <w:t xml:space="preserve">Daugavas hidroloģiskais režīms ir salīdzinoši labi izpētīts. Regulāri </w:t>
      </w:r>
      <w:proofErr w:type="spellStart"/>
      <w:r w:rsidRPr="00A07F29">
        <w:rPr>
          <w:rFonts w:ascii="Times New Roman" w:eastAsia="Calibri" w:hAnsi="Times New Roman" w:cs="Times New Roman"/>
          <w:kern w:val="2"/>
          <w:sz w:val="24"/>
          <w:szCs w:val="24"/>
          <w:lang w:eastAsia="zh-CN" w:bidi="hi-IN"/>
        </w:rPr>
        <w:t>hidrometriskie</w:t>
      </w:r>
      <w:proofErr w:type="spellEnd"/>
      <w:r w:rsidRPr="00A07F29">
        <w:rPr>
          <w:rFonts w:ascii="Times New Roman" w:eastAsia="Calibri" w:hAnsi="Times New Roman" w:cs="Times New Roman"/>
          <w:kern w:val="2"/>
          <w:sz w:val="24"/>
          <w:szCs w:val="24"/>
          <w:lang w:eastAsia="zh-CN" w:bidi="hi-IN"/>
        </w:rPr>
        <w:t xml:space="preserve"> novērojumi Daugavā ir uzsākti pie Daugavpils, Jaunjelgavas, </w:t>
      </w:r>
      <w:proofErr w:type="spellStart"/>
      <w:r w:rsidRPr="00A07F29">
        <w:rPr>
          <w:rFonts w:ascii="Times New Roman" w:eastAsia="Calibri" w:hAnsi="Times New Roman" w:cs="Times New Roman"/>
          <w:kern w:val="2"/>
          <w:sz w:val="24"/>
          <w:szCs w:val="24"/>
          <w:lang w:eastAsia="zh-CN" w:bidi="hi-IN"/>
        </w:rPr>
        <w:t>Meņķos</w:t>
      </w:r>
      <w:proofErr w:type="spellEnd"/>
      <w:r w:rsidRPr="00A07F29">
        <w:rPr>
          <w:rFonts w:ascii="Times New Roman" w:eastAsia="Calibri" w:hAnsi="Times New Roman" w:cs="Times New Roman"/>
          <w:kern w:val="2"/>
          <w:sz w:val="24"/>
          <w:szCs w:val="24"/>
          <w:lang w:eastAsia="zh-CN" w:bidi="hi-IN"/>
        </w:rPr>
        <w:t>, Jēkabpils (kopš 1906.</w:t>
      </w:r>
      <w:r w:rsidR="00D06278" w:rsidRPr="00A07F29">
        <w:rPr>
          <w:rFonts w:ascii="Times New Roman" w:eastAsia="Calibri" w:hAnsi="Times New Roman" w:cs="Times New Roman"/>
          <w:kern w:val="2"/>
          <w:sz w:val="24"/>
          <w:szCs w:val="24"/>
          <w:lang w:eastAsia="zh-CN" w:bidi="hi-IN"/>
        </w:rPr>
        <w:t> gada</w:t>
      </w:r>
      <w:r w:rsidRPr="00A07F29">
        <w:rPr>
          <w:rFonts w:ascii="Times New Roman" w:eastAsia="Calibri" w:hAnsi="Times New Roman" w:cs="Times New Roman"/>
          <w:kern w:val="2"/>
          <w:sz w:val="24"/>
          <w:szCs w:val="24"/>
          <w:lang w:eastAsia="zh-CN" w:bidi="hi-IN"/>
        </w:rPr>
        <w:t>) jau pagājušā gadsimta beigās un lielākie novērojumu rindas pārrāvumi ir abi pasaules kari.</w:t>
      </w:r>
    </w:p>
    <w:p w14:paraId="6AE3F831" w14:textId="714481F1" w:rsidR="008A40B5" w:rsidRPr="00A07F29" w:rsidRDefault="7C95AB3F" w:rsidP="009142BC">
      <w:pPr>
        <w:spacing w:after="12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t xml:space="preserve">Pali sākas, kad ceļoties ūdens līmenim applūst upei pieguļošās teritorijas, savukārt plūdi ir teritorijas pārplūšana, ko var izraisīt ne tikai palu ūdeņi, bet arī spēcīgas, ilgstošas lietusgāzes, vētras, dambju pārrāvumi. Paliem ir </w:t>
      </w:r>
      <w:r w:rsidR="003A1B25" w:rsidRPr="00A07F29">
        <w:rPr>
          <w:rFonts w:ascii="Times New Roman" w:hAnsi="Times New Roman" w:cs="Times New Roman"/>
          <w:sz w:val="24"/>
          <w:szCs w:val="24"/>
        </w:rPr>
        <w:t xml:space="preserve">liela </w:t>
      </w:r>
      <w:r w:rsidRPr="00A07F29">
        <w:rPr>
          <w:rFonts w:ascii="Times New Roman" w:hAnsi="Times New Roman" w:cs="Times New Roman"/>
          <w:sz w:val="24"/>
          <w:szCs w:val="24"/>
        </w:rPr>
        <w:t>nozīme dabas aizsardzībā – palienēs mežos veidojas reti satopami mežu biotopi ar daudzveidīgu augu un dzīvnie</w:t>
      </w:r>
      <w:r w:rsidR="00CF533E" w:rsidRPr="00A07F29">
        <w:rPr>
          <w:rFonts w:ascii="Times New Roman" w:hAnsi="Times New Roman" w:cs="Times New Roman"/>
          <w:sz w:val="24"/>
          <w:szCs w:val="24"/>
        </w:rPr>
        <w:t xml:space="preserve">ku valsti, savukārt </w:t>
      </w:r>
      <w:r w:rsidR="00CF533E" w:rsidRPr="00A07F29">
        <w:rPr>
          <w:rFonts w:ascii="Times New Roman" w:hAnsi="Times New Roman" w:cs="Times New Roman"/>
          <w:sz w:val="24"/>
          <w:szCs w:val="24"/>
        </w:rPr>
        <w:lastRenderedPageBreak/>
        <w:t>mitrajās un</w:t>
      </w:r>
      <w:r w:rsidRPr="00A07F29">
        <w:rPr>
          <w:rFonts w:ascii="Times New Roman" w:hAnsi="Times New Roman" w:cs="Times New Roman"/>
          <w:sz w:val="24"/>
          <w:szCs w:val="24"/>
        </w:rPr>
        <w:t xml:space="preserve"> auglīgajās palieņu pļavās veidojās piemēroti augšanas apstākļi arī retām sugām kā Sibīrijas skalbe, jumstiņu gladiola un citas.</w:t>
      </w:r>
    </w:p>
    <w:p w14:paraId="147AA3A4" w14:textId="1E6E49DD" w:rsidR="00B804E0" w:rsidRPr="00A07F29" w:rsidRDefault="00CF533E" w:rsidP="009142BC">
      <w:pPr>
        <w:spacing w:after="12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t>Saskaņā ar Daugavas upju baseinu apgabala plūdu risku pārvaldības plānu 2015.</w:t>
      </w:r>
      <w:r w:rsidR="001D2200" w:rsidRPr="00A07F29">
        <w:rPr>
          <w:rFonts w:ascii="Times New Roman" w:hAnsi="Times New Roman" w:cs="Times New Roman"/>
          <w:sz w:val="24"/>
          <w:szCs w:val="24"/>
        </w:rPr>
        <w:t> </w:t>
      </w:r>
      <w:r w:rsidRPr="00A07F29">
        <w:rPr>
          <w:rFonts w:ascii="Times New Roman" w:hAnsi="Times New Roman" w:cs="Times New Roman"/>
          <w:sz w:val="24"/>
          <w:szCs w:val="24"/>
        </w:rPr>
        <w:t>–</w:t>
      </w:r>
      <w:r w:rsidR="001D2200" w:rsidRPr="00A07F29">
        <w:rPr>
          <w:rFonts w:ascii="Times New Roman" w:hAnsi="Times New Roman" w:cs="Times New Roman"/>
          <w:sz w:val="24"/>
          <w:szCs w:val="24"/>
        </w:rPr>
        <w:t> </w:t>
      </w:r>
      <w:r w:rsidRPr="00A07F29">
        <w:rPr>
          <w:rFonts w:ascii="Times New Roman" w:hAnsi="Times New Roman" w:cs="Times New Roman"/>
          <w:sz w:val="24"/>
          <w:szCs w:val="24"/>
        </w:rPr>
        <w:t>2021.</w:t>
      </w:r>
      <w:r w:rsidR="001D2200" w:rsidRPr="00A07F29">
        <w:rPr>
          <w:rFonts w:ascii="Times New Roman" w:hAnsi="Times New Roman" w:cs="Times New Roman"/>
          <w:sz w:val="24"/>
          <w:szCs w:val="24"/>
        </w:rPr>
        <w:t> </w:t>
      </w:r>
      <w:r w:rsidRPr="00A07F29">
        <w:rPr>
          <w:rFonts w:ascii="Times New Roman" w:hAnsi="Times New Roman" w:cs="Times New Roman"/>
          <w:sz w:val="24"/>
          <w:szCs w:val="24"/>
        </w:rPr>
        <w:t>gadam D</w:t>
      </w:r>
      <w:r w:rsidR="7C95AB3F" w:rsidRPr="00A07F29">
        <w:rPr>
          <w:rFonts w:ascii="Times New Roman" w:hAnsi="Times New Roman" w:cs="Times New Roman"/>
          <w:sz w:val="24"/>
          <w:szCs w:val="24"/>
        </w:rPr>
        <w:t>augavas posms (</w:t>
      </w:r>
      <w:r w:rsidR="00816604" w:rsidRPr="00A07F29">
        <w:rPr>
          <w:rFonts w:ascii="Times New Roman" w:hAnsi="Times New Roman" w:cs="Times New Roman"/>
          <w:sz w:val="24"/>
          <w:szCs w:val="24"/>
        </w:rPr>
        <w:t xml:space="preserve">ūdensobjekts </w:t>
      </w:r>
      <w:r w:rsidRPr="00A07F29">
        <w:rPr>
          <w:rFonts w:ascii="Times New Roman" w:hAnsi="Times New Roman" w:cs="Times New Roman"/>
          <w:sz w:val="24"/>
          <w:szCs w:val="24"/>
        </w:rPr>
        <w:t>D</w:t>
      </w:r>
      <w:r w:rsidR="7C95AB3F" w:rsidRPr="00A07F29">
        <w:rPr>
          <w:rFonts w:ascii="Times New Roman" w:hAnsi="Times New Roman" w:cs="Times New Roman"/>
          <w:sz w:val="24"/>
          <w:szCs w:val="24"/>
        </w:rPr>
        <w:t>500) no Daugavpils</w:t>
      </w:r>
      <w:r w:rsidR="00816604" w:rsidRPr="00A07F29">
        <w:rPr>
          <w:rFonts w:ascii="Times New Roman" w:hAnsi="Times New Roman" w:cs="Times New Roman"/>
          <w:sz w:val="24"/>
          <w:szCs w:val="24"/>
        </w:rPr>
        <w:t xml:space="preserve"> </w:t>
      </w:r>
      <w:r w:rsidR="7C95AB3F" w:rsidRPr="00A07F29">
        <w:rPr>
          <w:rFonts w:ascii="Times New Roman" w:hAnsi="Times New Roman" w:cs="Times New Roman"/>
          <w:sz w:val="24"/>
          <w:szCs w:val="24"/>
        </w:rPr>
        <w:t>līdz valsts robežai nav ietverts nacionāl</w:t>
      </w:r>
      <w:r w:rsidR="00816604" w:rsidRPr="00A07F29">
        <w:rPr>
          <w:rFonts w:ascii="Times New Roman" w:hAnsi="Times New Roman" w:cs="Times New Roman"/>
          <w:sz w:val="24"/>
          <w:szCs w:val="24"/>
        </w:rPr>
        <w:t>o</w:t>
      </w:r>
      <w:r w:rsidR="7C95AB3F" w:rsidRPr="00A07F29">
        <w:rPr>
          <w:rFonts w:ascii="Times New Roman" w:hAnsi="Times New Roman" w:cs="Times New Roman"/>
          <w:sz w:val="24"/>
          <w:szCs w:val="24"/>
        </w:rPr>
        <w:t xml:space="preserve"> plūdu riska terito</w:t>
      </w:r>
      <w:r w:rsidRPr="00A07F29">
        <w:rPr>
          <w:rFonts w:ascii="Times New Roman" w:hAnsi="Times New Roman" w:cs="Times New Roman"/>
          <w:sz w:val="24"/>
          <w:szCs w:val="24"/>
        </w:rPr>
        <w:t>rij</w:t>
      </w:r>
      <w:r w:rsidR="00816604" w:rsidRPr="00A07F29">
        <w:rPr>
          <w:rFonts w:ascii="Times New Roman" w:hAnsi="Times New Roman" w:cs="Times New Roman"/>
          <w:sz w:val="24"/>
          <w:szCs w:val="24"/>
        </w:rPr>
        <w:t xml:space="preserve">u </w:t>
      </w:r>
      <w:r w:rsidRPr="00A07F29">
        <w:rPr>
          <w:rFonts w:ascii="Times New Roman" w:hAnsi="Times New Roman" w:cs="Times New Roman"/>
          <w:sz w:val="24"/>
          <w:szCs w:val="24"/>
        </w:rPr>
        <w:t>sarakstā, t</w:t>
      </w:r>
      <w:r w:rsidR="7C95AB3F" w:rsidRPr="00A07F29">
        <w:rPr>
          <w:rFonts w:ascii="Times New Roman" w:hAnsi="Times New Roman" w:cs="Times New Roman"/>
          <w:sz w:val="24"/>
          <w:szCs w:val="24"/>
        </w:rPr>
        <w:t xml:space="preserve">omēr </w:t>
      </w:r>
      <w:r w:rsidRPr="00A07F29">
        <w:rPr>
          <w:rFonts w:ascii="Times New Roman" w:hAnsi="Times New Roman" w:cs="Times New Roman"/>
          <w:sz w:val="24"/>
          <w:szCs w:val="24"/>
        </w:rPr>
        <w:t xml:space="preserve">plūdos ar </w:t>
      </w:r>
      <w:r w:rsidR="7C95AB3F" w:rsidRPr="00A07F29">
        <w:rPr>
          <w:rFonts w:ascii="Times New Roman" w:hAnsi="Times New Roman" w:cs="Times New Roman"/>
          <w:sz w:val="24"/>
          <w:szCs w:val="24"/>
        </w:rPr>
        <w:t>10</w:t>
      </w:r>
      <w:r w:rsidR="00ED7C13" w:rsidRPr="00A07F29">
        <w:rPr>
          <w:rFonts w:ascii="Times New Roman" w:hAnsi="Times New Roman" w:cs="Times New Roman"/>
          <w:sz w:val="24"/>
          <w:szCs w:val="24"/>
        </w:rPr>
        <w:t> </w:t>
      </w:r>
      <w:r w:rsidR="7C95AB3F" w:rsidRPr="00A07F29">
        <w:rPr>
          <w:rFonts w:ascii="Times New Roman" w:hAnsi="Times New Roman" w:cs="Times New Roman"/>
          <w:sz w:val="24"/>
          <w:szCs w:val="24"/>
        </w:rPr>
        <w:t>% plūdu riska v</w:t>
      </w:r>
      <w:r w:rsidRPr="00A07F29">
        <w:rPr>
          <w:rFonts w:ascii="Times New Roman" w:hAnsi="Times New Roman" w:cs="Times New Roman"/>
          <w:sz w:val="24"/>
          <w:szCs w:val="24"/>
        </w:rPr>
        <w:t>arbūtīb</w:t>
      </w:r>
      <w:r w:rsidR="00816604" w:rsidRPr="00A07F29">
        <w:rPr>
          <w:rFonts w:ascii="Times New Roman" w:hAnsi="Times New Roman" w:cs="Times New Roman"/>
          <w:sz w:val="24"/>
          <w:szCs w:val="24"/>
        </w:rPr>
        <w:t xml:space="preserve">u tiek skarta </w:t>
      </w:r>
      <w:r w:rsidR="00B804E0" w:rsidRPr="00A07F29">
        <w:rPr>
          <w:rFonts w:ascii="Times New Roman" w:hAnsi="Times New Roman" w:cs="Times New Roman"/>
          <w:sz w:val="24"/>
          <w:szCs w:val="24"/>
        </w:rPr>
        <w:t>723</w:t>
      </w:r>
      <w:r w:rsidR="00ED7C13" w:rsidRPr="00A07F29">
        <w:rPr>
          <w:rFonts w:ascii="Times New Roman" w:hAnsi="Times New Roman" w:cs="Times New Roman"/>
          <w:sz w:val="24"/>
          <w:szCs w:val="24"/>
        </w:rPr>
        <w:t> </w:t>
      </w:r>
      <w:r w:rsidR="00816604" w:rsidRPr="00A07F29">
        <w:rPr>
          <w:rFonts w:ascii="Times New Roman" w:hAnsi="Times New Roman" w:cs="Times New Roman"/>
          <w:sz w:val="24"/>
          <w:szCs w:val="24"/>
        </w:rPr>
        <w:t>ha</w:t>
      </w:r>
      <w:r w:rsidR="00B804E0" w:rsidRPr="00A07F29">
        <w:rPr>
          <w:rFonts w:ascii="Times New Roman" w:hAnsi="Times New Roman" w:cs="Times New Roman"/>
          <w:sz w:val="24"/>
          <w:szCs w:val="24"/>
        </w:rPr>
        <w:t xml:space="preserve"> </w:t>
      </w:r>
      <w:r w:rsidR="00816604" w:rsidRPr="00A07F29">
        <w:rPr>
          <w:rFonts w:ascii="Times New Roman" w:hAnsi="Times New Roman" w:cs="Times New Roman"/>
          <w:sz w:val="24"/>
          <w:szCs w:val="24"/>
        </w:rPr>
        <w:t>liela platība (t.sk.</w:t>
      </w:r>
      <w:r w:rsidR="00D65BBA" w:rsidRPr="00A07F29">
        <w:rPr>
          <w:rFonts w:ascii="Times New Roman" w:hAnsi="Times New Roman" w:cs="Times New Roman"/>
          <w:sz w:val="24"/>
          <w:szCs w:val="24"/>
        </w:rPr>
        <w:t xml:space="preserve"> </w:t>
      </w:r>
      <w:r w:rsidR="00816604" w:rsidRPr="00A07F29">
        <w:rPr>
          <w:rFonts w:ascii="Times New Roman" w:hAnsi="Times New Roman" w:cs="Times New Roman"/>
          <w:sz w:val="24"/>
          <w:szCs w:val="24"/>
        </w:rPr>
        <w:t>307</w:t>
      </w:r>
      <w:r w:rsidR="00ED7C13" w:rsidRPr="00A07F29">
        <w:rPr>
          <w:rFonts w:ascii="Times New Roman" w:hAnsi="Times New Roman" w:cs="Times New Roman"/>
          <w:sz w:val="24"/>
          <w:szCs w:val="24"/>
        </w:rPr>
        <w:t> </w:t>
      </w:r>
      <w:r w:rsidR="00816604" w:rsidRPr="00A07F29">
        <w:rPr>
          <w:rFonts w:ascii="Times New Roman" w:hAnsi="Times New Roman" w:cs="Times New Roman"/>
          <w:sz w:val="24"/>
          <w:szCs w:val="24"/>
        </w:rPr>
        <w:t>ha lauksaimniecības zemes) ar 200</w:t>
      </w:r>
      <w:r w:rsidR="00ED7C13" w:rsidRPr="00A07F29">
        <w:rPr>
          <w:rFonts w:ascii="Times New Roman" w:hAnsi="Times New Roman" w:cs="Times New Roman"/>
          <w:sz w:val="24"/>
          <w:szCs w:val="24"/>
        </w:rPr>
        <w:t xml:space="preserve"> – </w:t>
      </w:r>
      <w:r w:rsidR="00816604" w:rsidRPr="00A07F29">
        <w:rPr>
          <w:rFonts w:ascii="Times New Roman" w:hAnsi="Times New Roman" w:cs="Times New Roman"/>
          <w:sz w:val="24"/>
          <w:szCs w:val="24"/>
        </w:rPr>
        <w:t>250 iedzīvotājiem, 5,4</w:t>
      </w:r>
      <w:r w:rsidR="00ED7C13" w:rsidRPr="00A07F29">
        <w:rPr>
          <w:rFonts w:ascii="Times New Roman" w:hAnsi="Times New Roman" w:cs="Times New Roman"/>
          <w:sz w:val="24"/>
          <w:szCs w:val="24"/>
        </w:rPr>
        <w:t> </w:t>
      </w:r>
      <w:r w:rsidR="00816604" w:rsidRPr="00A07F29">
        <w:rPr>
          <w:rFonts w:ascii="Times New Roman" w:hAnsi="Times New Roman" w:cs="Times New Roman"/>
          <w:sz w:val="24"/>
          <w:szCs w:val="24"/>
        </w:rPr>
        <w:t xml:space="preserve">km ceļi un </w:t>
      </w:r>
      <w:r w:rsidR="00ED7C13" w:rsidRPr="00A07F29">
        <w:rPr>
          <w:rFonts w:ascii="Times New Roman" w:hAnsi="Times New Roman" w:cs="Times New Roman"/>
          <w:sz w:val="24"/>
          <w:szCs w:val="24"/>
        </w:rPr>
        <w:t>viena</w:t>
      </w:r>
      <w:r w:rsidR="002253B2" w:rsidRPr="00A07F29">
        <w:rPr>
          <w:rFonts w:ascii="Times New Roman" w:hAnsi="Times New Roman" w:cs="Times New Roman"/>
          <w:sz w:val="24"/>
          <w:szCs w:val="24"/>
        </w:rPr>
        <w:t>s</w:t>
      </w:r>
      <w:r w:rsidR="00816604" w:rsidRPr="00A07F29">
        <w:rPr>
          <w:rFonts w:ascii="Times New Roman" w:hAnsi="Times New Roman" w:cs="Times New Roman"/>
          <w:sz w:val="24"/>
          <w:szCs w:val="24"/>
        </w:rPr>
        <w:t xml:space="preserve"> notekūdeņu attīrīšanas iekārtas. </w:t>
      </w:r>
      <w:r w:rsidR="7C95AB3F" w:rsidRPr="00A07F29">
        <w:rPr>
          <w:rFonts w:ascii="Times New Roman" w:hAnsi="Times New Roman" w:cs="Times New Roman"/>
          <w:sz w:val="24"/>
          <w:szCs w:val="24"/>
        </w:rPr>
        <w:t>Savukārt lielāki</w:t>
      </w:r>
      <w:r w:rsidR="00816604" w:rsidRPr="00A07F29">
        <w:rPr>
          <w:rFonts w:ascii="Times New Roman" w:hAnsi="Times New Roman" w:cs="Times New Roman"/>
          <w:sz w:val="24"/>
          <w:szCs w:val="24"/>
        </w:rPr>
        <w:t>,</w:t>
      </w:r>
      <w:r w:rsidR="7C95AB3F" w:rsidRPr="00A07F29">
        <w:rPr>
          <w:rFonts w:ascii="Times New Roman" w:hAnsi="Times New Roman" w:cs="Times New Roman"/>
          <w:sz w:val="24"/>
          <w:szCs w:val="24"/>
        </w:rPr>
        <w:t xml:space="preserve"> bet retāki plūd</w:t>
      </w:r>
      <w:r w:rsidR="00B804E0" w:rsidRPr="00A07F29">
        <w:rPr>
          <w:rFonts w:ascii="Times New Roman" w:hAnsi="Times New Roman" w:cs="Times New Roman"/>
          <w:sz w:val="24"/>
          <w:szCs w:val="24"/>
        </w:rPr>
        <w:t xml:space="preserve">i </w:t>
      </w:r>
      <w:r w:rsidR="7C95AB3F" w:rsidRPr="00A07F29">
        <w:rPr>
          <w:rFonts w:ascii="Times New Roman" w:hAnsi="Times New Roman" w:cs="Times New Roman"/>
          <w:sz w:val="24"/>
          <w:szCs w:val="24"/>
        </w:rPr>
        <w:t>(1</w:t>
      </w:r>
      <w:r w:rsidR="002253B2" w:rsidRPr="00A07F29">
        <w:rPr>
          <w:rFonts w:ascii="Times New Roman" w:hAnsi="Times New Roman" w:cs="Times New Roman"/>
          <w:sz w:val="24"/>
          <w:szCs w:val="24"/>
        </w:rPr>
        <w:t> </w:t>
      </w:r>
      <w:r w:rsidR="7C95AB3F" w:rsidRPr="00A07F29">
        <w:rPr>
          <w:rFonts w:ascii="Times New Roman" w:hAnsi="Times New Roman" w:cs="Times New Roman"/>
          <w:sz w:val="24"/>
          <w:szCs w:val="24"/>
        </w:rPr>
        <w:t>%</w:t>
      </w:r>
      <w:r w:rsidR="00816604" w:rsidRPr="00A07F29">
        <w:rPr>
          <w:rFonts w:ascii="Times New Roman" w:hAnsi="Times New Roman" w:cs="Times New Roman"/>
          <w:sz w:val="24"/>
          <w:szCs w:val="24"/>
        </w:rPr>
        <w:t xml:space="preserve"> varbūtība</w:t>
      </w:r>
      <w:r w:rsidR="7C95AB3F" w:rsidRPr="00A07F29">
        <w:rPr>
          <w:rFonts w:ascii="Times New Roman" w:hAnsi="Times New Roman" w:cs="Times New Roman"/>
          <w:sz w:val="24"/>
          <w:szCs w:val="24"/>
        </w:rPr>
        <w:t xml:space="preserve">) </w:t>
      </w:r>
      <w:r w:rsidR="00B804E0" w:rsidRPr="00A07F29">
        <w:rPr>
          <w:rFonts w:ascii="Times New Roman" w:hAnsi="Times New Roman" w:cs="Times New Roman"/>
          <w:sz w:val="24"/>
          <w:szCs w:val="24"/>
        </w:rPr>
        <w:t xml:space="preserve">skar </w:t>
      </w:r>
      <w:r w:rsidR="7C95AB3F" w:rsidRPr="00A07F29">
        <w:rPr>
          <w:rFonts w:ascii="Times New Roman" w:hAnsi="Times New Roman" w:cs="Times New Roman"/>
          <w:sz w:val="24"/>
          <w:szCs w:val="24"/>
        </w:rPr>
        <w:t>1357</w:t>
      </w:r>
      <w:r w:rsidR="002253B2" w:rsidRPr="00A07F29">
        <w:rPr>
          <w:rFonts w:ascii="Times New Roman" w:hAnsi="Times New Roman" w:cs="Times New Roman"/>
          <w:sz w:val="24"/>
          <w:szCs w:val="24"/>
        </w:rPr>
        <w:t> </w:t>
      </w:r>
      <w:r w:rsidR="00B804E0" w:rsidRPr="00A07F29">
        <w:rPr>
          <w:rFonts w:ascii="Times New Roman" w:hAnsi="Times New Roman" w:cs="Times New Roman"/>
          <w:sz w:val="24"/>
          <w:szCs w:val="24"/>
        </w:rPr>
        <w:t>ha lielu platību (t.sk. 799</w:t>
      </w:r>
      <w:r w:rsidR="002253B2" w:rsidRPr="00A07F29">
        <w:rPr>
          <w:rFonts w:ascii="Times New Roman" w:hAnsi="Times New Roman" w:cs="Times New Roman"/>
          <w:sz w:val="24"/>
          <w:szCs w:val="24"/>
        </w:rPr>
        <w:t> </w:t>
      </w:r>
      <w:r w:rsidR="00B804E0" w:rsidRPr="00A07F29">
        <w:rPr>
          <w:rFonts w:ascii="Times New Roman" w:hAnsi="Times New Roman" w:cs="Times New Roman"/>
          <w:sz w:val="24"/>
          <w:szCs w:val="24"/>
        </w:rPr>
        <w:t xml:space="preserve">ha </w:t>
      </w:r>
      <w:proofErr w:type="spellStart"/>
      <w:r w:rsidR="00B804E0" w:rsidRPr="00A07F29">
        <w:rPr>
          <w:rFonts w:ascii="Times New Roman" w:hAnsi="Times New Roman" w:cs="Times New Roman"/>
          <w:sz w:val="24"/>
          <w:szCs w:val="24"/>
        </w:rPr>
        <w:t>lauksaimecības</w:t>
      </w:r>
      <w:proofErr w:type="spellEnd"/>
      <w:r w:rsidR="00B804E0" w:rsidRPr="00A07F29">
        <w:rPr>
          <w:rFonts w:ascii="Times New Roman" w:hAnsi="Times New Roman" w:cs="Times New Roman"/>
          <w:sz w:val="24"/>
          <w:szCs w:val="24"/>
        </w:rPr>
        <w:t xml:space="preserve"> zemes) ar 400 iedzīvotājiem</w:t>
      </w:r>
      <w:r w:rsidR="00D65BBA" w:rsidRPr="00A07F29">
        <w:rPr>
          <w:rFonts w:ascii="Times New Roman" w:hAnsi="Times New Roman" w:cs="Times New Roman"/>
          <w:sz w:val="24"/>
          <w:szCs w:val="24"/>
        </w:rPr>
        <w:t xml:space="preserve"> </w:t>
      </w:r>
      <w:r w:rsidR="00B804E0" w:rsidRPr="00A07F29">
        <w:rPr>
          <w:rFonts w:ascii="Times New Roman" w:hAnsi="Times New Roman" w:cs="Times New Roman"/>
          <w:sz w:val="24"/>
          <w:szCs w:val="24"/>
        </w:rPr>
        <w:t>un 22</w:t>
      </w:r>
      <w:r w:rsidR="002253B2" w:rsidRPr="00A07F29">
        <w:rPr>
          <w:rFonts w:ascii="Times New Roman" w:hAnsi="Times New Roman" w:cs="Times New Roman"/>
          <w:sz w:val="24"/>
          <w:szCs w:val="24"/>
        </w:rPr>
        <w:t> </w:t>
      </w:r>
      <w:r w:rsidR="00B804E0" w:rsidRPr="00A07F29">
        <w:rPr>
          <w:rFonts w:ascii="Times New Roman" w:hAnsi="Times New Roman" w:cs="Times New Roman"/>
          <w:sz w:val="24"/>
          <w:szCs w:val="24"/>
        </w:rPr>
        <w:t>km ceļus.</w:t>
      </w:r>
    </w:p>
    <w:p w14:paraId="40D50C07" w14:textId="41F0BD47" w:rsidR="00301784" w:rsidRPr="00A07F29" w:rsidRDefault="00301784" w:rsidP="009142BC">
      <w:pPr>
        <w:spacing w:after="120" w:line="240" w:lineRule="auto"/>
        <w:ind w:firstLine="851"/>
        <w:jc w:val="both"/>
        <w:rPr>
          <w:rFonts w:ascii="Liberation Serif" w:eastAsia="Noto Sans CJK SC" w:hAnsi="Liberation Serif" w:cs="Lohit Devanagari"/>
          <w:kern w:val="2"/>
          <w:sz w:val="24"/>
          <w:szCs w:val="24"/>
          <w:lang w:eastAsia="zh-CN" w:bidi="hi-IN"/>
        </w:rPr>
      </w:pPr>
      <w:proofErr w:type="spellStart"/>
      <w:r w:rsidRPr="00A07F29">
        <w:rPr>
          <w:rFonts w:ascii="Times New Roman" w:eastAsia="Calibri" w:hAnsi="Times New Roman" w:cs="Times New Roman"/>
          <w:kern w:val="2"/>
          <w:sz w:val="24"/>
          <w:szCs w:val="24"/>
          <w:lang w:eastAsia="zh-CN" w:bidi="hi-IN"/>
        </w:rPr>
        <w:t>Biogēno</w:t>
      </w:r>
      <w:proofErr w:type="spellEnd"/>
      <w:r w:rsidRPr="00A07F29">
        <w:rPr>
          <w:rFonts w:ascii="Times New Roman" w:eastAsia="Calibri" w:hAnsi="Times New Roman" w:cs="Times New Roman"/>
          <w:kern w:val="2"/>
          <w:sz w:val="24"/>
          <w:szCs w:val="24"/>
          <w:lang w:eastAsia="zh-CN" w:bidi="hi-IN"/>
        </w:rPr>
        <w:t xml:space="preserve"> elementu – slāpekļa un fosfora savienojumu – koncentrāciju un tās mainības raksturu virszemes ūdeņo</w:t>
      </w:r>
      <w:r w:rsidR="00B804E0" w:rsidRPr="00A07F29">
        <w:rPr>
          <w:rFonts w:ascii="Times New Roman" w:eastAsia="Calibri" w:hAnsi="Times New Roman" w:cs="Times New Roman"/>
          <w:kern w:val="2"/>
          <w:sz w:val="24"/>
          <w:szCs w:val="24"/>
          <w:lang w:eastAsia="zh-CN" w:bidi="hi-IN"/>
        </w:rPr>
        <w:t>s</w:t>
      </w:r>
      <w:r w:rsidRPr="00A07F29">
        <w:rPr>
          <w:rFonts w:ascii="Times New Roman" w:eastAsia="Calibri" w:hAnsi="Times New Roman" w:cs="Times New Roman"/>
          <w:kern w:val="2"/>
          <w:sz w:val="24"/>
          <w:szCs w:val="24"/>
          <w:lang w:eastAsia="zh-CN" w:bidi="hi-IN"/>
        </w:rPr>
        <w:t xml:space="preserve"> nosaka: </w:t>
      </w:r>
    </w:p>
    <w:p w14:paraId="483B41B5" w14:textId="14DD07A6" w:rsidR="00301784" w:rsidRPr="00A07F29" w:rsidRDefault="00301784" w:rsidP="002B2E8D">
      <w:pPr>
        <w:numPr>
          <w:ilvl w:val="0"/>
          <w:numId w:val="29"/>
        </w:numPr>
        <w:spacing w:after="120" w:line="240" w:lineRule="auto"/>
        <w:ind w:hanging="294"/>
        <w:contextualSpacing/>
        <w:jc w:val="both"/>
        <w:rPr>
          <w:rFonts w:ascii="Liberation Serif" w:eastAsia="Noto Sans CJK SC" w:hAnsi="Liberation Serif" w:cs="Lohit Devanagari"/>
          <w:iCs/>
          <w:kern w:val="2"/>
          <w:sz w:val="24"/>
          <w:szCs w:val="24"/>
          <w:lang w:eastAsia="zh-CN" w:bidi="hi-IN"/>
        </w:rPr>
      </w:pPr>
      <w:proofErr w:type="spellStart"/>
      <w:r w:rsidRPr="00A07F29">
        <w:rPr>
          <w:rFonts w:ascii="Times New Roman" w:eastAsia="Calibri" w:hAnsi="Times New Roman" w:cs="Times New Roman"/>
          <w:iCs/>
          <w:kern w:val="2"/>
          <w:sz w:val="24"/>
          <w:szCs w:val="24"/>
          <w:lang w:eastAsia="zh-CN" w:bidi="hi-IN"/>
        </w:rPr>
        <w:t>biogēno</w:t>
      </w:r>
      <w:proofErr w:type="spellEnd"/>
      <w:r w:rsidRPr="00A07F29">
        <w:rPr>
          <w:rFonts w:ascii="Times New Roman" w:eastAsia="Calibri" w:hAnsi="Times New Roman" w:cs="Times New Roman"/>
          <w:iCs/>
          <w:kern w:val="2"/>
          <w:sz w:val="24"/>
          <w:szCs w:val="24"/>
          <w:lang w:eastAsia="zh-CN" w:bidi="hi-IN"/>
        </w:rPr>
        <w:t xml:space="preserve"> elementu pieplūde – sadaloties fitoplanktonam un augstākajiem ūdensaugiem, ar rūpniecības un komunālajiem notekūdeņiem (notece no </w:t>
      </w:r>
      <w:proofErr w:type="spellStart"/>
      <w:r w:rsidRPr="00A07F29">
        <w:rPr>
          <w:rFonts w:ascii="Times New Roman" w:eastAsia="Calibri" w:hAnsi="Times New Roman" w:cs="Times New Roman"/>
          <w:iCs/>
          <w:kern w:val="2"/>
          <w:sz w:val="24"/>
          <w:szCs w:val="24"/>
          <w:lang w:eastAsia="zh-CN" w:bidi="hi-IN"/>
        </w:rPr>
        <w:t>urbānām</w:t>
      </w:r>
      <w:proofErr w:type="spellEnd"/>
      <w:r w:rsidRPr="00A07F29">
        <w:rPr>
          <w:rFonts w:ascii="Times New Roman" w:eastAsia="Calibri" w:hAnsi="Times New Roman" w:cs="Times New Roman"/>
          <w:iCs/>
          <w:kern w:val="2"/>
          <w:sz w:val="24"/>
          <w:szCs w:val="24"/>
          <w:lang w:eastAsia="zh-CN" w:bidi="hi-IN"/>
        </w:rPr>
        <w:t xml:space="preserve"> teritorijām), ar noteci no lauksaimniecības teritorijām, mežiem un ar atmosfēras nokrišņiem;</w:t>
      </w:r>
    </w:p>
    <w:p w14:paraId="24549C70" w14:textId="2F0001FA" w:rsidR="00301784" w:rsidRPr="00A07F29" w:rsidRDefault="00301784" w:rsidP="002B2E8D">
      <w:pPr>
        <w:numPr>
          <w:ilvl w:val="0"/>
          <w:numId w:val="29"/>
        </w:numPr>
        <w:spacing w:after="120" w:line="240" w:lineRule="auto"/>
        <w:ind w:hanging="294"/>
        <w:contextualSpacing/>
        <w:jc w:val="both"/>
        <w:rPr>
          <w:rFonts w:ascii="Liberation Serif" w:eastAsia="Noto Sans CJK SC" w:hAnsi="Liberation Serif" w:cs="Lohit Devanagari"/>
          <w:iCs/>
          <w:kern w:val="2"/>
          <w:sz w:val="24"/>
          <w:szCs w:val="24"/>
          <w:lang w:eastAsia="zh-CN" w:bidi="hi-IN"/>
        </w:rPr>
      </w:pPr>
      <w:proofErr w:type="spellStart"/>
      <w:r w:rsidRPr="00A07F29">
        <w:rPr>
          <w:rFonts w:ascii="Times New Roman" w:eastAsia="Calibri" w:hAnsi="Times New Roman" w:cs="Times New Roman"/>
          <w:iCs/>
          <w:kern w:val="2"/>
          <w:sz w:val="24"/>
          <w:szCs w:val="24"/>
          <w:lang w:eastAsia="zh-CN" w:bidi="hi-IN"/>
        </w:rPr>
        <w:t>biogēno</w:t>
      </w:r>
      <w:proofErr w:type="spellEnd"/>
      <w:r w:rsidRPr="00A07F29">
        <w:rPr>
          <w:rFonts w:ascii="Times New Roman" w:eastAsia="Calibri" w:hAnsi="Times New Roman" w:cs="Times New Roman"/>
          <w:iCs/>
          <w:kern w:val="2"/>
          <w:sz w:val="24"/>
          <w:szCs w:val="24"/>
          <w:lang w:eastAsia="zh-CN" w:bidi="hi-IN"/>
        </w:rPr>
        <w:t xml:space="preserve"> elementu patēriņš – šos savienojumus kā barības vielas izmanto ūdens organismi, saistās ar suspendētām vielām un izgulsnējas, nokrišņu veidošanās (iztvaikošana).</w:t>
      </w:r>
    </w:p>
    <w:p w14:paraId="1D7190B1" w14:textId="77777777" w:rsidR="00E93666" w:rsidRPr="00A07F29" w:rsidRDefault="00E93666" w:rsidP="00E93666">
      <w:pPr>
        <w:spacing w:after="120" w:line="240" w:lineRule="auto"/>
        <w:ind w:left="1287"/>
        <w:contextualSpacing/>
        <w:jc w:val="both"/>
        <w:rPr>
          <w:rFonts w:ascii="Liberation Serif" w:eastAsia="Noto Sans CJK SC" w:hAnsi="Liberation Serif" w:cs="Lohit Devanagari"/>
          <w:iCs/>
          <w:kern w:val="2"/>
          <w:sz w:val="24"/>
          <w:szCs w:val="24"/>
          <w:lang w:eastAsia="zh-CN" w:bidi="hi-IN"/>
        </w:rPr>
      </w:pPr>
    </w:p>
    <w:p w14:paraId="5D024CCD" w14:textId="7C206D0C" w:rsidR="00301784" w:rsidRPr="00A07F29" w:rsidRDefault="00301784" w:rsidP="009142BC">
      <w:pPr>
        <w:spacing w:after="120" w:line="240" w:lineRule="auto"/>
        <w:ind w:firstLine="851"/>
        <w:jc w:val="both"/>
        <w:rPr>
          <w:rFonts w:ascii="Liberation Serif" w:eastAsia="Noto Sans CJK SC" w:hAnsi="Liberation Serif" w:cs="Lohit Devanagari"/>
          <w:kern w:val="2"/>
          <w:sz w:val="24"/>
          <w:szCs w:val="24"/>
          <w:lang w:eastAsia="zh-CN" w:bidi="hi-IN"/>
        </w:rPr>
      </w:pPr>
      <w:r w:rsidRPr="00A07F29">
        <w:rPr>
          <w:rFonts w:ascii="Times New Roman" w:eastAsia="Calibri" w:hAnsi="Times New Roman" w:cs="Times New Roman"/>
          <w:kern w:val="2"/>
          <w:sz w:val="24"/>
          <w:szCs w:val="24"/>
          <w:lang w:eastAsia="zh-CN" w:bidi="hi-IN"/>
        </w:rPr>
        <w:t>Galvenie slāpekļa un fosfora savienojumu avoti ir:</w:t>
      </w:r>
    </w:p>
    <w:p w14:paraId="3C4945B1" w14:textId="14E33FD1" w:rsidR="00301784" w:rsidRPr="00A07F29" w:rsidRDefault="00301784" w:rsidP="00A151C5">
      <w:pPr>
        <w:numPr>
          <w:ilvl w:val="0"/>
          <w:numId w:val="30"/>
        </w:numPr>
        <w:tabs>
          <w:tab w:val="clear" w:pos="1117"/>
          <w:tab w:val="num" w:pos="1276"/>
        </w:tabs>
        <w:spacing w:after="120" w:line="240" w:lineRule="auto"/>
        <w:ind w:left="1276" w:hanging="266"/>
        <w:jc w:val="both"/>
        <w:rPr>
          <w:rFonts w:ascii="Liberation Serif" w:eastAsia="Noto Sans CJK SC" w:hAnsi="Liberation Serif" w:cs="Lohit Devanagari"/>
          <w:iCs/>
          <w:kern w:val="2"/>
          <w:sz w:val="24"/>
          <w:szCs w:val="24"/>
          <w:lang w:eastAsia="zh-CN" w:bidi="hi-IN"/>
        </w:rPr>
      </w:pPr>
      <w:r w:rsidRPr="00A07F29">
        <w:rPr>
          <w:rFonts w:ascii="Times New Roman" w:eastAsia="Calibri" w:hAnsi="Times New Roman" w:cs="Times New Roman"/>
          <w:iCs/>
          <w:kern w:val="2"/>
          <w:sz w:val="24"/>
          <w:szCs w:val="24"/>
          <w:lang w:eastAsia="zh-CN" w:bidi="hi-IN"/>
        </w:rPr>
        <w:t xml:space="preserve">dabiskie faktori – atmosfēras slāpekļa fiksācija ūdens vidē, izkrišana no atmosfēras, slāpekļa izskalošanās no augsnes, atbrīvošanās no ūdenstilpes </w:t>
      </w:r>
      <w:proofErr w:type="spellStart"/>
      <w:r w:rsidRPr="00A07F29">
        <w:rPr>
          <w:rFonts w:ascii="Times New Roman" w:eastAsia="Calibri" w:hAnsi="Times New Roman" w:cs="Times New Roman"/>
          <w:iCs/>
          <w:kern w:val="2"/>
          <w:sz w:val="24"/>
          <w:szCs w:val="24"/>
          <w:lang w:eastAsia="zh-CN" w:bidi="hi-IN"/>
        </w:rPr>
        <w:t>sedimentiem</w:t>
      </w:r>
      <w:proofErr w:type="spellEnd"/>
      <w:r w:rsidRPr="00A07F29">
        <w:rPr>
          <w:rFonts w:ascii="Times New Roman" w:eastAsia="Calibri" w:hAnsi="Times New Roman" w:cs="Times New Roman"/>
          <w:iCs/>
          <w:kern w:val="2"/>
          <w:sz w:val="24"/>
          <w:szCs w:val="24"/>
          <w:lang w:eastAsia="zh-CN" w:bidi="hi-IN"/>
        </w:rPr>
        <w:t>, slāpekļa savienojumu pieplūde ar gruntsūdeņiem</w:t>
      </w:r>
      <w:r w:rsidR="004F79D4" w:rsidRPr="00A07F29">
        <w:rPr>
          <w:rFonts w:ascii="Times New Roman" w:eastAsia="Calibri" w:hAnsi="Times New Roman" w:cs="Times New Roman"/>
          <w:iCs/>
          <w:kern w:val="2"/>
          <w:sz w:val="24"/>
          <w:szCs w:val="24"/>
          <w:lang w:eastAsia="zh-CN" w:bidi="hi-IN"/>
        </w:rPr>
        <w:t>;</w:t>
      </w:r>
    </w:p>
    <w:p w14:paraId="62035C62" w14:textId="5F418E98" w:rsidR="00301784" w:rsidRPr="00A07F29" w:rsidRDefault="00301784" w:rsidP="00A151C5">
      <w:pPr>
        <w:numPr>
          <w:ilvl w:val="0"/>
          <w:numId w:val="30"/>
        </w:numPr>
        <w:tabs>
          <w:tab w:val="clear" w:pos="1117"/>
          <w:tab w:val="num" w:pos="1276"/>
        </w:tabs>
        <w:spacing w:after="120" w:line="240" w:lineRule="auto"/>
        <w:ind w:left="1276" w:hanging="283"/>
        <w:jc w:val="both"/>
        <w:rPr>
          <w:rFonts w:ascii="Liberation Serif" w:eastAsia="Noto Sans CJK SC" w:hAnsi="Liberation Serif" w:cs="Lohit Devanagari"/>
          <w:iCs/>
          <w:kern w:val="2"/>
          <w:sz w:val="24"/>
          <w:szCs w:val="24"/>
          <w:lang w:eastAsia="zh-CN" w:bidi="hi-IN"/>
        </w:rPr>
      </w:pPr>
      <w:r w:rsidRPr="00A07F29">
        <w:rPr>
          <w:rFonts w:ascii="Times New Roman" w:eastAsia="Calibri" w:hAnsi="Times New Roman" w:cs="Times New Roman"/>
          <w:iCs/>
          <w:kern w:val="2"/>
          <w:sz w:val="24"/>
          <w:szCs w:val="24"/>
          <w:lang w:eastAsia="zh-CN" w:bidi="hi-IN"/>
        </w:rPr>
        <w:t>antropogēnie faktori – notece no lauksaimniecības zemēm un fermām, difūzā notece no urbanizētām teritorijām, komunālie un rūpnieciskie notekūdeņi.</w:t>
      </w:r>
    </w:p>
    <w:p w14:paraId="4A2E26C8" w14:textId="609BFB8B" w:rsidR="008D6500" w:rsidRPr="00A07F29" w:rsidRDefault="008D6500" w:rsidP="008D6500">
      <w:pPr>
        <w:spacing w:after="120" w:line="240" w:lineRule="auto"/>
        <w:ind w:firstLine="851"/>
        <w:jc w:val="both"/>
        <w:rPr>
          <w:rFonts w:ascii="Times New Roman" w:eastAsia="TimesNewRomanPSMT" w:hAnsi="Times New Roman" w:cs="Times New Roman"/>
          <w:kern w:val="2"/>
          <w:sz w:val="24"/>
          <w:szCs w:val="24"/>
          <w:lang w:eastAsia="zh-CN" w:bidi="hi-IN"/>
        </w:rPr>
      </w:pPr>
      <w:r w:rsidRPr="00A07F29">
        <w:rPr>
          <w:rFonts w:ascii="Times New Roman" w:eastAsia="TimesNewRomanPSMT" w:hAnsi="Times New Roman" w:cs="Times New Roman"/>
          <w:kern w:val="2"/>
          <w:sz w:val="24"/>
          <w:szCs w:val="24"/>
          <w:lang w:eastAsia="zh-CN" w:bidi="hi-IN"/>
        </w:rPr>
        <w:t>Daugavas upju baseinu apgabala ūdeņu nestā piesārņojuma slodze ir viena no lielākajām, kas būtiski ietekmē Rīgas jūras līča ūdeņu kvalitāti. Lielākā slāpekļa un fosfora ieplūde Rīgas jūras līcī nāk tieši no Daugavas upju baseinu apgabala (69</w:t>
      </w:r>
      <w:r w:rsidR="009B06C2" w:rsidRPr="00A07F29">
        <w:rPr>
          <w:rFonts w:ascii="Times New Roman" w:eastAsia="TimesNewRomanPSMT" w:hAnsi="Times New Roman" w:cs="Times New Roman"/>
          <w:kern w:val="2"/>
          <w:sz w:val="24"/>
          <w:szCs w:val="24"/>
          <w:lang w:eastAsia="zh-CN" w:bidi="hi-IN"/>
        </w:rPr>
        <w:t> </w:t>
      </w:r>
      <w:r w:rsidRPr="00A07F29">
        <w:rPr>
          <w:rFonts w:ascii="Times New Roman" w:eastAsia="TimesNewRomanPSMT" w:hAnsi="Times New Roman" w:cs="Times New Roman"/>
          <w:kern w:val="2"/>
          <w:sz w:val="24"/>
          <w:szCs w:val="24"/>
          <w:lang w:eastAsia="zh-CN" w:bidi="hi-IN"/>
        </w:rPr>
        <w:t>% un 36</w:t>
      </w:r>
      <w:r w:rsidR="009B06C2" w:rsidRPr="00A07F29">
        <w:rPr>
          <w:rFonts w:ascii="Times New Roman" w:eastAsia="TimesNewRomanPSMT" w:hAnsi="Times New Roman" w:cs="Times New Roman"/>
          <w:kern w:val="2"/>
          <w:sz w:val="24"/>
          <w:szCs w:val="24"/>
          <w:lang w:eastAsia="zh-CN" w:bidi="hi-IN"/>
        </w:rPr>
        <w:t> </w:t>
      </w:r>
      <w:r w:rsidRPr="00A07F29">
        <w:rPr>
          <w:rFonts w:ascii="Times New Roman" w:eastAsia="TimesNewRomanPSMT" w:hAnsi="Times New Roman" w:cs="Times New Roman"/>
          <w:kern w:val="2"/>
          <w:sz w:val="24"/>
          <w:szCs w:val="24"/>
          <w:lang w:eastAsia="zh-CN" w:bidi="hi-IN"/>
        </w:rPr>
        <w:t>%).</w:t>
      </w:r>
    </w:p>
    <w:p w14:paraId="0D421156" w14:textId="62735D0C" w:rsidR="0094598E" w:rsidRPr="00A07F29" w:rsidRDefault="0094598E" w:rsidP="008D6500">
      <w:pPr>
        <w:spacing w:after="120" w:line="240" w:lineRule="auto"/>
        <w:ind w:firstLine="851"/>
        <w:jc w:val="both"/>
        <w:rPr>
          <w:rFonts w:ascii="Times New Roman" w:eastAsia="TimesNewRomanPSMT" w:hAnsi="Times New Roman" w:cs="Times New Roman"/>
          <w:kern w:val="2"/>
          <w:sz w:val="24"/>
          <w:szCs w:val="24"/>
          <w:lang w:eastAsia="zh-CN" w:bidi="hi-IN"/>
        </w:rPr>
      </w:pPr>
      <w:r w:rsidRPr="00A07F29">
        <w:rPr>
          <w:rFonts w:ascii="Times New Roman" w:eastAsia="TimesNewRomanPSMT" w:hAnsi="Times New Roman" w:cs="Times New Roman"/>
          <w:kern w:val="2"/>
          <w:sz w:val="24"/>
          <w:szCs w:val="24"/>
          <w:lang w:eastAsia="zh-CN" w:bidi="hi-IN"/>
        </w:rPr>
        <w:t>Daugavas upju baseinu apgabalā</w:t>
      </w:r>
      <w:r w:rsidR="008D6500" w:rsidRPr="00A07F29">
        <w:rPr>
          <w:rFonts w:ascii="Times New Roman" w:eastAsia="TimesNewRomanPSMT" w:hAnsi="Times New Roman" w:cs="Times New Roman"/>
          <w:kern w:val="2"/>
          <w:sz w:val="24"/>
          <w:szCs w:val="24"/>
          <w:lang w:eastAsia="zh-CN" w:bidi="hi-IN"/>
        </w:rPr>
        <w:t xml:space="preserve"> (</w:t>
      </w:r>
      <w:r w:rsidR="009B06C2" w:rsidRPr="00A07F29">
        <w:rPr>
          <w:rFonts w:ascii="Times New Roman" w:eastAsia="TimesNewRomanPSMT" w:hAnsi="Times New Roman" w:cs="Times New Roman"/>
          <w:kern w:val="2"/>
          <w:sz w:val="24"/>
          <w:szCs w:val="24"/>
          <w:lang w:eastAsia="zh-CN" w:bidi="hi-IN"/>
        </w:rPr>
        <w:t xml:space="preserve">skat. </w:t>
      </w:r>
      <w:r w:rsidR="008D6500" w:rsidRPr="00A07F29">
        <w:rPr>
          <w:rFonts w:ascii="Times New Roman" w:eastAsia="TimesNewRomanPSMT" w:hAnsi="Times New Roman" w:cs="Times New Roman"/>
          <w:kern w:val="2"/>
          <w:sz w:val="24"/>
          <w:szCs w:val="24"/>
          <w:lang w:eastAsia="zh-CN" w:bidi="hi-IN"/>
        </w:rPr>
        <w:t>2.5.1.2.</w:t>
      </w:r>
      <w:r w:rsidR="009B06C2" w:rsidRPr="00A07F29">
        <w:rPr>
          <w:rFonts w:ascii="Times New Roman" w:eastAsia="TimesNewRomanPSMT" w:hAnsi="Times New Roman" w:cs="Times New Roman"/>
          <w:kern w:val="2"/>
          <w:sz w:val="24"/>
          <w:szCs w:val="24"/>
          <w:lang w:eastAsia="zh-CN" w:bidi="hi-IN"/>
        </w:rPr>
        <w:t> </w:t>
      </w:r>
      <w:r w:rsidR="008D6500" w:rsidRPr="00A07F29">
        <w:rPr>
          <w:rFonts w:ascii="Times New Roman" w:eastAsia="TimesNewRomanPSMT" w:hAnsi="Times New Roman" w:cs="Times New Roman"/>
          <w:kern w:val="2"/>
          <w:sz w:val="24"/>
          <w:szCs w:val="24"/>
          <w:lang w:eastAsia="zh-CN" w:bidi="hi-IN"/>
        </w:rPr>
        <w:t>attēls)</w:t>
      </w:r>
      <w:r w:rsidRPr="00A07F29">
        <w:rPr>
          <w:rFonts w:ascii="Times New Roman" w:eastAsia="TimesNewRomanPSMT" w:hAnsi="Times New Roman" w:cs="Times New Roman"/>
          <w:kern w:val="2"/>
          <w:sz w:val="24"/>
          <w:szCs w:val="24"/>
          <w:lang w:eastAsia="zh-CN" w:bidi="hi-IN"/>
        </w:rPr>
        <w:t xml:space="preserve"> par visbūtiskāko ir atzīta </w:t>
      </w:r>
      <w:proofErr w:type="spellStart"/>
      <w:r w:rsidRPr="00A07F29">
        <w:rPr>
          <w:rFonts w:ascii="Times New Roman" w:eastAsia="TimesNewRomanPSMT" w:hAnsi="Times New Roman" w:cs="Times New Roman"/>
          <w:kern w:val="2"/>
          <w:sz w:val="24"/>
          <w:szCs w:val="24"/>
          <w:lang w:eastAsia="zh-CN" w:bidi="hi-IN"/>
        </w:rPr>
        <w:t>punktveida</w:t>
      </w:r>
      <w:proofErr w:type="spellEnd"/>
      <w:r w:rsidRPr="00A07F29">
        <w:rPr>
          <w:rFonts w:ascii="Times New Roman" w:eastAsia="TimesNewRomanPSMT" w:hAnsi="Times New Roman" w:cs="Times New Roman"/>
          <w:kern w:val="2"/>
          <w:sz w:val="24"/>
          <w:szCs w:val="24"/>
          <w:lang w:eastAsia="zh-CN" w:bidi="hi-IN"/>
        </w:rPr>
        <w:t xml:space="preserve"> piesārņojuma radītā slodze no komunālā sektora. Ņemot vērā ūdenssaimniecības infrastruktūras attīstības projektos sasniegtos rezultātus, pēdējo 16 gadu laikā ir samazinājies gan notekūdeņu apjoms, gan ar tiem vidē novadīto piesārņojošo vielu apjoms.</w:t>
      </w:r>
    </w:p>
    <w:p w14:paraId="4838E505" w14:textId="718D1C07" w:rsidR="00FA351B" w:rsidRPr="00A07F29" w:rsidRDefault="00FA351B" w:rsidP="00FA351B">
      <w:pPr>
        <w:spacing w:after="120" w:line="240" w:lineRule="auto"/>
        <w:ind w:firstLine="851"/>
        <w:jc w:val="both"/>
        <w:rPr>
          <w:rFonts w:ascii="Liberation Serif" w:eastAsia="Noto Sans CJK SC" w:hAnsi="Liberation Serif" w:cs="Lohit Devanagari"/>
          <w:kern w:val="2"/>
          <w:sz w:val="24"/>
          <w:szCs w:val="24"/>
          <w:lang w:eastAsia="zh-CN" w:bidi="hi-IN"/>
        </w:rPr>
      </w:pPr>
      <w:r w:rsidRPr="00A07F29">
        <w:rPr>
          <w:rFonts w:ascii="Liberation Serif" w:eastAsia="Noto Sans CJK SC" w:hAnsi="Liberation Serif" w:cs="Lohit Devanagari"/>
          <w:kern w:val="2"/>
          <w:sz w:val="24"/>
          <w:szCs w:val="24"/>
          <w:lang w:eastAsia="zh-CN" w:bidi="hi-IN"/>
        </w:rPr>
        <w:t>Kopumā 2018.</w:t>
      </w:r>
      <w:r w:rsidR="00C9064A" w:rsidRPr="00A07F29">
        <w:rPr>
          <w:rFonts w:ascii="Liberation Serif" w:eastAsia="Noto Sans CJK SC" w:hAnsi="Liberation Serif" w:cs="Lohit Devanagari"/>
          <w:kern w:val="2"/>
          <w:sz w:val="24"/>
          <w:szCs w:val="24"/>
          <w:lang w:eastAsia="zh-CN" w:bidi="hi-IN"/>
        </w:rPr>
        <w:t> </w:t>
      </w:r>
      <w:r w:rsidRPr="00A07F29">
        <w:rPr>
          <w:rFonts w:ascii="Liberation Serif" w:eastAsia="Noto Sans CJK SC" w:hAnsi="Liberation Serif" w:cs="Lohit Devanagari"/>
          <w:kern w:val="2"/>
          <w:sz w:val="24"/>
          <w:szCs w:val="24"/>
          <w:lang w:eastAsia="zh-CN" w:bidi="hi-IN"/>
        </w:rPr>
        <w:t>gadā Daugavas upes kvalitātes rādītāji ir salīdzinoši labi, tomēr nesasniedzot prioritāro zivju ūdeņu kvalitātes prasības (LVĢMC</w:t>
      </w:r>
      <w:r w:rsidR="000B4634">
        <w:rPr>
          <w:rFonts w:ascii="Liberation Serif" w:eastAsia="Noto Sans CJK SC" w:hAnsi="Liberation Serif" w:cs="Lohit Devanagari"/>
          <w:kern w:val="2"/>
          <w:sz w:val="24"/>
          <w:szCs w:val="24"/>
          <w:lang w:eastAsia="zh-CN" w:bidi="hi-IN"/>
        </w:rPr>
        <w:t xml:space="preserve"> dati</w:t>
      </w:r>
      <w:r w:rsidRPr="00A07F29">
        <w:rPr>
          <w:rFonts w:ascii="Liberation Serif" w:eastAsia="Noto Sans CJK SC" w:hAnsi="Liberation Serif" w:cs="Lohit Devanagari"/>
          <w:kern w:val="2"/>
          <w:sz w:val="24"/>
          <w:szCs w:val="24"/>
          <w:lang w:eastAsia="zh-CN" w:bidi="hi-IN"/>
        </w:rPr>
        <w:t>, 2018).</w:t>
      </w:r>
    </w:p>
    <w:p w14:paraId="3A9FD986" w14:textId="3A1700D4" w:rsidR="0094598E" w:rsidRPr="00A07F29" w:rsidRDefault="0094598E" w:rsidP="00895210">
      <w:pPr>
        <w:spacing w:after="120" w:line="240" w:lineRule="auto"/>
        <w:ind w:firstLine="851"/>
        <w:jc w:val="both"/>
        <w:rPr>
          <w:rFonts w:ascii="Liberation Serif" w:eastAsia="Noto Sans CJK SC" w:hAnsi="Liberation Serif" w:cs="Lohit Devanagari"/>
          <w:kern w:val="2"/>
          <w:sz w:val="24"/>
          <w:szCs w:val="24"/>
          <w:lang w:eastAsia="zh-CN" w:bidi="hi-IN"/>
        </w:rPr>
      </w:pPr>
      <w:r w:rsidRPr="00A07F29">
        <w:rPr>
          <w:rFonts w:ascii="Times New Roman" w:eastAsia="TimesNewRomanPSMT" w:hAnsi="Times New Roman" w:cs="Times New Roman"/>
          <w:kern w:val="2"/>
          <w:sz w:val="24"/>
          <w:szCs w:val="24"/>
          <w:lang w:eastAsia="zh-CN" w:bidi="hi-IN"/>
        </w:rPr>
        <w:t xml:space="preserve">Tā kā Daugavas </w:t>
      </w:r>
      <w:r w:rsidR="001216AD" w:rsidRPr="00A07F29">
        <w:rPr>
          <w:rFonts w:ascii="Times New Roman" w:eastAsia="TimesNewRomanPSMT" w:hAnsi="Times New Roman" w:cs="Times New Roman"/>
          <w:kern w:val="2"/>
          <w:sz w:val="24"/>
          <w:szCs w:val="24"/>
          <w:lang w:eastAsia="zh-CN" w:bidi="hi-IN"/>
        </w:rPr>
        <w:t>sateces baseina</w:t>
      </w:r>
      <w:r w:rsidRPr="00A07F29">
        <w:rPr>
          <w:rFonts w:ascii="Times New Roman" w:eastAsia="TimesNewRomanPSMT" w:hAnsi="Times New Roman" w:cs="Times New Roman"/>
          <w:kern w:val="2"/>
          <w:sz w:val="24"/>
          <w:szCs w:val="24"/>
          <w:lang w:eastAsia="zh-CN" w:bidi="hi-IN"/>
        </w:rPr>
        <w:t xml:space="preserve"> nozīmīga daļa ir citu valstu teritorijā (Krievijā, Baltkrievijā, Igaunijā un Lietuvā), ar pārrobežu notecēm Latvijā nonāk arī šajās valstīs radītais piesārņojums</w:t>
      </w:r>
      <w:r w:rsidR="007E5469" w:rsidRPr="00A07F29">
        <w:rPr>
          <w:rFonts w:ascii="Times New Roman" w:eastAsia="TimesNewRomanPSMT" w:hAnsi="Times New Roman" w:cs="Times New Roman"/>
          <w:kern w:val="2"/>
          <w:sz w:val="24"/>
          <w:szCs w:val="24"/>
          <w:lang w:eastAsia="zh-CN" w:bidi="hi-IN"/>
        </w:rPr>
        <w:t>.</w:t>
      </w:r>
      <w:r w:rsidRPr="00A07F29">
        <w:rPr>
          <w:rFonts w:ascii="Times New Roman" w:eastAsia="TimesNewRomanPSMT" w:hAnsi="Times New Roman" w:cs="Times New Roman"/>
          <w:kern w:val="2"/>
          <w:sz w:val="24"/>
          <w:szCs w:val="24"/>
          <w:lang w:eastAsia="zh-CN" w:bidi="hi-IN"/>
        </w:rPr>
        <w:t xml:space="preserve"> Pēdējos 20 gados vidēji 64</w:t>
      </w:r>
      <w:r w:rsidR="00932CB2" w:rsidRPr="00A07F29">
        <w:rPr>
          <w:rFonts w:ascii="Times New Roman" w:eastAsia="TimesNewRomanPSMT" w:hAnsi="Times New Roman" w:cs="Times New Roman"/>
          <w:kern w:val="2"/>
          <w:sz w:val="24"/>
          <w:szCs w:val="24"/>
          <w:lang w:eastAsia="zh-CN" w:bidi="hi-IN"/>
        </w:rPr>
        <w:t> </w:t>
      </w:r>
      <w:r w:rsidRPr="00A07F29">
        <w:rPr>
          <w:rFonts w:ascii="Times New Roman" w:eastAsia="TimesNewRomanPSMT" w:hAnsi="Times New Roman" w:cs="Times New Roman"/>
          <w:kern w:val="2"/>
          <w:sz w:val="24"/>
          <w:szCs w:val="24"/>
          <w:lang w:eastAsia="zh-CN" w:bidi="hi-IN"/>
        </w:rPr>
        <w:t xml:space="preserve">% no </w:t>
      </w:r>
      <w:r w:rsidR="007E5469" w:rsidRPr="00A07F29">
        <w:rPr>
          <w:rFonts w:ascii="Times New Roman" w:eastAsia="TimesNewRomanPSMT" w:hAnsi="Times New Roman" w:cs="Times New Roman"/>
          <w:kern w:val="2"/>
          <w:sz w:val="24"/>
          <w:szCs w:val="24"/>
          <w:lang w:eastAsia="zh-CN" w:bidi="hi-IN"/>
        </w:rPr>
        <w:t>kopējās slāpekļa (</w:t>
      </w:r>
      <w:proofErr w:type="spellStart"/>
      <w:r w:rsidR="007E5469" w:rsidRPr="00A07F29">
        <w:rPr>
          <w:rFonts w:ascii="Times New Roman" w:eastAsia="TimesNewRomanPSMT" w:hAnsi="Times New Roman" w:cs="Times New Roman"/>
          <w:kern w:val="2"/>
          <w:sz w:val="24"/>
          <w:szCs w:val="24"/>
          <w:lang w:eastAsia="zh-CN" w:bidi="hi-IN"/>
        </w:rPr>
        <w:t>N</w:t>
      </w:r>
      <w:r w:rsidR="007E5469" w:rsidRPr="00A07F29">
        <w:rPr>
          <w:rFonts w:ascii="Times New Roman" w:eastAsia="TimesNewRomanPSMT" w:hAnsi="Times New Roman" w:cs="Times New Roman"/>
          <w:kern w:val="2"/>
          <w:sz w:val="24"/>
          <w:szCs w:val="24"/>
          <w:vertAlign w:val="subscript"/>
          <w:lang w:eastAsia="zh-CN" w:bidi="hi-IN"/>
        </w:rPr>
        <w:t>kop</w:t>
      </w:r>
      <w:proofErr w:type="spellEnd"/>
      <w:r w:rsidR="007E5469" w:rsidRPr="00A07F29">
        <w:rPr>
          <w:rFonts w:ascii="Times New Roman" w:eastAsia="TimesNewRomanPSMT" w:hAnsi="Times New Roman" w:cs="Times New Roman"/>
          <w:kern w:val="2"/>
          <w:sz w:val="24"/>
          <w:szCs w:val="24"/>
          <w:lang w:eastAsia="zh-CN" w:bidi="hi-IN"/>
        </w:rPr>
        <w:t xml:space="preserve">) </w:t>
      </w:r>
      <w:r w:rsidRPr="00A07F29">
        <w:rPr>
          <w:rFonts w:ascii="Times New Roman" w:eastAsia="TimesNewRomanPSMT" w:hAnsi="Times New Roman" w:cs="Times New Roman"/>
          <w:kern w:val="2"/>
          <w:sz w:val="24"/>
          <w:szCs w:val="24"/>
          <w:lang w:eastAsia="zh-CN" w:bidi="hi-IN"/>
        </w:rPr>
        <w:t>noteces un 92</w:t>
      </w:r>
      <w:r w:rsidR="00A3196E" w:rsidRPr="00A07F29">
        <w:rPr>
          <w:rFonts w:ascii="Times New Roman" w:eastAsia="TimesNewRomanPSMT" w:hAnsi="Times New Roman" w:cs="Times New Roman"/>
          <w:kern w:val="2"/>
          <w:sz w:val="24"/>
          <w:szCs w:val="24"/>
          <w:lang w:eastAsia="zh-CN" w:bidi="hi-IN"/>
        </w:rPr>
        <w:t> </w:t>
      </w:r>
      <w:r w:rsidRPr="00A07F29">
        <w:rPr>
          <w:rFonts w:ascii="Times New Roman" w:eastAsia="TimesNewRomanPSMT" w:hAnsi="Times New Roman" w:cs="Times New Roman"/>
          <w:kern w:val="2"/>
          <w:sz w:val="24"/>
          <w:szCs w:val="24"/>
          <w:lang w:eastAsia="zh-CN" w:bidi="hi-IN"/>
        </w:rPr>
        <w:t xml:space="preserve">% no </w:t>
      </w:r>
      <w:r w:rsidR="007E5469" w:rsidRPr="00A07F29">
        <w:rPr>
          <w:rFonts w:ascii="Times New Roman" w:eastAsia="TimesNewRomanPSMT" w:hAnsi="Times New Roman" w:cs="Times New Roman"/>
          <w:kern w:val="2"/>
          <w:sz w:val="24"/>
          <w:szCs w:val="24"/>
          <w:lang w:eastAsia="zh-CN" w:bidi="hi-IN"/>
        </w:rPr>
        <w:t xml:space="preserve">kopējās fosfora </w:t>
      </w:r>
      <w:r w:rsidR="001216AD" w:rsidRPr="00A07F29">
        <w:rPr>
          <w:rFonts w:ascii="Times New Roman" w:eastAsia="TimesNewRomanPSMT" w:hAnsi="Times New Roman" w:cs="Times New Roman"/>
          <w:kern w:val="2"/>
          <w:sz w:val="24"/>
          <w:szCs w:val="24"/>
          <w:lang w:eastAsia="zh-CN" w:bidi="hi-IN"/>
        </w:rPr>
        <w:t>(</w:t>
      </w:r>
      <w:proofErr w:type="spellStart"/>
      <w:r w:rsidR="001216AD" w:rsidRPr="00A07F29">
        <w:rPr>
          <w:rFonts w:ascii="Times New Roman" w:eastAsia="TimesNewRomanPSMT" w:hAnsi="Times New Roman" w:cs="Times New Roman"/>
          <w:kern w:val="2"/>
          <w:sz w:val="24"/>
          <w:szCs w:val="24"/>
          <w:lang w:eastAsia="zh-CN" w:bidi="hi-IN"/>
        </w:rPr>
        <w:t>P</w:t>
      </w:r>
      <w:r w:rsidR="001216AD" w:rsidRPr="00A07F29">
        <w:rPr>
          <w:rFonts w:ascii="Times New Roman" w:eastAsia="TimesNewRomanPSMT" w:hAnsi="Times New Roman" w:cs="Times New Roman"/>
          <w:kern w:val="2"/>
          <w:sz w:val="24"/>
          <w:szCs w:val="24"/>
          <w:vertAlign w:val="subscript"/>
          <w:lang w:eastAsia="zh-CN" w:bidi="hi-IN"/>
        </w:rPr>
        <w:t>kop</w:t>
      </w:r>
      <w:proofErr w:type="spellEnd"/>
      <w:r w:rsidR="001216AD" w:rsidRPr="00A07F29">
        <w:rPr>
          <w:rFonts w:ascii="Times New Roman" w:eastAsia="TimesNewRomanPSMT" w:hAnsi="Times New Roman" w:cs="Times New Roman"/>
          <w:kern w:val="2"/>
          <w:sz w:val="24"/>
          <w:szCs w:val="24"/>
          <w:lang w:eastAsia="zh-CN" w:bidi="hi-IN"/>
        </w:rPr>
        <w:t xml:space="preserve">) </w:t>
      </w:r>
      <w:r w:rsidRPr="00A07F29">
        <w:rPr>
          <w:rFonts w:ascii="Times New Roman" w:eastAsia="TimesNewRomanPSMT" w:hAnsi="Times New Roman" w:cs="Times New Roman"/>
          <w:kern w:val="2"/>
          <w:sz w:val="24"/>
          <w:szCs w:val="24"/>
          <w:lang w:eastAsia="zh-CN" w:bidi="hi-IN"/>
        </w:rPr>
        <w:t>noteces Daugavā bija radušās Baltkrievijas un Krievijas teritorijā.</w:t>
      </w:r>
    </w:p>
    <w:p w14:paraId="2168B5E2" w14:textId="77777777" w:rsidR="0094598E" w:rsidRPr="00A07F29" w:rsidRDefault="0094598E" w:rsidP="004814E0">
      <w:pPr>
        <w:spacing w:after="120" w:line="240" w:lineRule="auto"/>
        <w:jc w:val="center"/>
        <w:rPr>
          <w:rFonts w:ascii="Liberation Serif" w:eastAsia="Noto Sans CJK SC" w:hAnsi="Liberation Serif" w:cs="Lohit Devanagari"/>
          <w:kern w:val="2"/>
          <w:sz w:val="24"/>
          <w:szCs w:val="24"/>
          <w:lang w:eastAsia="zh-CN" w:bidi="hi-IN"/>
        </w:rPr>
      </w:pPr>
      <w:r w:rsidRPr="00A07F29">
        <w:rPr>
          <w:noProof/>
          <w:lang w:eastAsia="lv-LV"/>
        </w:rPr>
        <w:lastRenderedPageBreak/>
        <w:drawing>
          <wp:inline distT="0" distB="0" distL="0" distR="0" wp14:anchorId="662801EB" wp14:editId="7ECCD87F">
            <wp:extent cx="5591176" cy="3790950"/>
            <wp:effectExtent l="0" t="0" r="9525" b="0"/>
            <wp:docPr id="3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22">
                      <a:extLst>
                        <a:ext uri="{28A0092B-C50C-407E-A947-70E740481C1C}">
                          <a14:useLocalDpi xmlns:a14="http://schemas.microsoft.com/office/drawing/2010/main"/>
                        </a:ext>
                      </a:extLst>
                    </a:blip>
                    <a:stretch>
                      <a:fillRect/>
                    </a:stretch>
                  </pic:blipFill>
                  <pic:spPr>
                    <a:xfrm>
                      <a:off x="0" y="0"/>
                      <a:ext cx="5591176" cy="3790950"/>
                    </a:xfrm>
                    <a:prstGeom prst="rect">
                      <a:avLst/>
                    </a:prstGeom>
                  </pic:spPr>
                </pic:pic>
              </a:graphicData>
            </a:graphic>
          </wp:inline>
        </w:drawing>
      </w:r>
    </w:p>
    <w:p w14:paraId="49166E86" w14:textId="173F6E4E" w:rsidR="0094598E" w:rsidRPr="00685EBC" w:rsidRDefault="0094598E" w:rsidP="004814E0">
      <w:pPr>
        <w:spacing w:after="120" w:line="240" w:lineRule="auto"/>
        <w:ind w:firstLine="142"/>
        <w:jc w:val="both"/>
        <w:rPr>
          <w:rFonts w:ascii="Liberation Serif" w:eastAsia="Noto Sans CJK SC" w:hAnsi="Liberation Serif" w:cs="Lohit Devanagari"/>
          <w:kern w:val="2"/>
          <w:sz w:val="20"/>
          <w:szCs w:val="20"/>
          <w:lang w:eastAsia="zh-CN" w:bidi="hi-IN"/>
        </w:rPr>
      </w:pPr>
      <w:r w:rsidRPr="00685EBC">
        <w:rPr>
          <w:rFonts w:ascii="Times New Roman" w:eastAsia="TimesNewRomanPSMT" w:hAnsi="Times New Roman" w:cs="Times New Roman"/>
          <w:kern w:val="2"/>
          <w:sz w:val="20"/>
          <w:szCs w:val="20"/>
          <w:lang w:eastAsia="zh-CN" w:bidi="hi-IN"/>
        </w:rPr>
        <w:t>2.5.1.2.</w:t>
      </w:r>
      <w:r w:rsidR="005C6FC0" w:rsidRPr="00685EBC">
        <w:rPr>
          <w:rFonts w:ascii="Times New Roman" w:eastAsia="TimesNewRomanPSMT" w:hAnsi="Times New Roman" w:cs="Times New Roman"/>
          <w:kern w:val="2"/>
          <w:sz w:val="20"/>
          <w:szCs w:val="20"/>
          <w:lang w:eastAsia="zh-CN" w:bidi="hi-IN"/>
        </w:rPr>
        <w:t> </w:t>
      </w:r>
      <w:r w:rsidRPr="00685EBC">
        <w:rPr>
          <w:rFonts w:ascii="Times New Roman" w:eastAsia="TimesNewRomanPSMT" w:hAnsi="Times New Roman" w:cs="Times New Roman"/>
          <w:kern w:val="2"/>
          <w:sz w:val="20"/>
          <w:szCs w:val="20"/>
          <w:lang w:eastAsia="zh-CN" w:bidi="hi-IN"/>
        </w:rPr>
        <w:t>attēls</w:t>
      </w:r>
      <w:r w:rsidR="00FC49DC" w:rsidRPr="00685EBC">
        <w:rPr>
          <w:rFonts w:ascii="Times New Roman" w:eastAsia="TimesNewRomanPSMT" w:hAnsi="Times New Roman" w:cs="Times New Roman"/>
          <w:kern w:val="2"/>
          <w:sz w:val="20"/>
          <w:szCs w:val="20"/>
          <w:lang w:eastAsia="zh-CN" w:bidi="hi-IN"/>
        </w:rPr>
        <w:t>.</w:t>
      </w:r>
      <w:r w:rsidRPr="00685EBC">
        <w:rPr>
          <w:rFonts w:ascii="Times New Roman" w:eastAsia="TimesNewRomanPSMT" w:hAnsi="Times New Roman" w:cs="Times New Roman"/>
          <w:kern w:val="2"/>
          <w:sz w:val="20"/>
          <w:szCs w:val="20"/>
          <w:lang w:eastAsia="zh-CN" w:bidi="hi-IN"/>
        </w:rPr>
        <w:t xml:space="preserve"> Daugavas upju baseina administratīvais iedalījums, </w:t>
      </w:r>
      <w:r w:rsidR="005C6FC0" w:rsidRPr="00685EBC">
        <w:rPr>
          <w:rFonts w:ascii="Times New Roman" w:eastAsia="TimesNewRomanPSMT" w:hAnsi="Times New Roman" w:cs="Times New Roman"/>
          <w:kern w:val="2"/>
          <w:sz w:val="20"/>
          <w:szCs w:val="20"/>
          <w:lang w:eastAsia="zh-CN" w:bidi="hi-IN"/>
        </w:rPr>
        <w:t>(</w:t>
      </w:r>
      <w:r w:rsidRPr="00685EBC">
        <w:rPr>
          <w:rFonts w:ascii="Times New Roman" w:eastAsia="TimesNewRomanPSMT" w:hAnsi="Times New Roman" w:cs="Times New Roman"/>
          <w:kern w:val="2"/>
          <w:sz w:val="20"/>
          <w:szCs w:val="20"/>
          <w:lang w:eastAsia="zh-CN" w:bidi="hi-IN"/>
        </w:rPr>
        <w:t>LVĢMC</w:t>
      </w:r>
      <w:r w:rsidR="000B4634">
        <w:rPr>
          <w:rFonts w:ascii="Times New Roman" w:eastAsia="TimesNewRomanPSMT" w:hAnsi="Times New Roman" w:cs="Times New Roman"/>
          <w:kern w:val="2"/>
          <w:sz w:val="20"/>
          <w:szCs w:val="20"/>
          <w:lang w:eastAsia="zh-CN" w:bidi="hi-IN"/>
        </w:rPr>
        <w:t xml:space="preserve"> dati</w:t>
      </w:r>
      <w:r w:rsidRPr="00685EBC">
        <w:rPr>
          <w:rFonts w:ascii="Times New Roman" w:eastAsia="TimesNewRomanPSMT" w:hAnsi="Times New Roman" w:cs="Times New Roman"/>
          <w:kern w:val="2"/>
          <w:sz w:val="20"/>
          <w:szCs w:val="20"/>
          <w:lang w:eastAsia="zh-CN" w:bidi="hi-IN"/>
        </w:rPr>
        <w:t>, 2018</w:t>
      </w:r>
      <w:r w:rsidR="005C6FC0" w:rsidRPr="00685EBC">
        <w:rPr>
          <w:rFonts w:ascii="Times New Roman" w:eastAsia="TimesNewRomanPSMT" w:hAnsi="Times New Roman" w:cs="Times New Roman"/>
          <w:kern w:val="2"/>
          <w:sz w:val="20"/>
          <w:szCs w:val="20"/>
          <w:lang w:eastAsia="zh-CN" w:bidi="hi-IN"/>
        </w:rPr>
        <w:t>)</w:t>
      </w:r>
      <w:r w:rsidRPr="00685EBC">
        <w:rPr>
          <w:rFonts w:ascii="Times New Roman" w:eastAsia="TimesNewRomanPSMT" w:hAnsi="Times New Roman" w:cs="Times New Roman"/>
          <w:kern w:val="2"/>
          <w:sz w:val="20"/>
          <w:szCs w:val="20"/>
          <w:lang w:eastAsia="zh-CN" w:bidi="hi-IN"/>
        </w:rPr>
        <w:t>.</w:t>
      </w:r>
    </w:p>
    <w:p w14:paraId="1DD130AC" w14:textId="77777777" w:rsidR="008D6500" w:rsidRPr="00A07F29" w:rsidRDefault="008D6500" w:rsidP="0094598E">
      <w:pPr>
        <w:spacing w:after="120" w:line="240" w:lineRule="auto"/>
        <w:ind w:firstLine="567"/>
        <w:jc w:val="both"/>
        <w:rPr>
          <w:rFonts w:ascii="Times New Roman" w:eastAsia="Calibri" w:hAnsi="Times New Roman" w:cs="Times New Roman"/>
          <w:b/>
          <w:bCs/>
          <w:kern w:val="2"/>
          <w:sz w:val="24"/>
          <w:szCs w:val="24"/>
          <w:lang w:eastAsia="zh-CN" w:bidi="hi-IN"/>
        </w:rPr>
      </w:pPr>
    </w:p>
    <w:p w14:paraId="269D8CB8" w14:textId="104763ED" w:rsidR="0094598E" w:rsidRPr="00A07F29" w:rsidRDefault="0094598E" w:rsidP="00FC49DC">
      <w:pPr>
        <w:spacing w:after="120" w:line="240" w:lineRule="auto"/>
        <w:jc w:val="both"/>
        <w:rPr>
          <w:rFonts w:ascii="Liberation Serif" w:eastAsia="Noto Sans CJK SC" w:hAnsi="Liberation Serif" w:cs="Lohit Devanagari"/>
          <w:i/>
          <w:kern w:val="2"/>
          <w:sz w:val="24"/>
          <w:szCs w:val="24"/>
          <w:lang w:eastAsia="zh-CN" w:bidi="hi-IN"/>
        </w:rPr>
      </w:pPr>
      <w:r w:rsidRPr="00A07F29">
        <w:rPr>
          <w:rFonts w:ascii="Times New Roman" w:eastAsia="Calibri" w:hAnsi="Times New Roman" w:cs="Times New Roman"/>
          <w:b/>
          <w:bCs/>
          <w:i/>
          <w:kern w:val="2"/>
          <w:sz w:val="24"/>
          <w:szCs w:val="24"/>
          <w:lang w:eastAsia="zh-CN" w:bidi="hi-IN"/>
        </w:rPr>
        <w:t xml:space="preserve">Pārrobežu slodzes </w:t>
      </w:r>
      <w:proofErr w:type="spellStart"/>
      <w:r w:rsidRPr="00A07F29">
        <w:rPr>
          <w:rFonts w:ascii="Times New Roman" w:eastAsia="Calibri" w:hAnsi="Times New Roman" w:cs="Times New Roman"/>
          <w:b/>
          <w:bCs/>
          <w:i/>
          <w:kern w:val="2"/>
          <w:sz w:val="24"/>
          <w:szCs w:val="24"/>
          <w:lang w:eastAsia="zh-CN" w:bidi="hi-IN"/>
        </w:rPr>
        <w:t>izvērtējums</w:t>
      </w:r>
      <w:proofErr w:type="spellEnd"/>
      <w:r w:rsidRPr="00A07F29">
        <w:rPr>
          <w:rFonts w:ascii="Times New Roman" w:eastAsia="Calibri" w:hAnsi="Times New Roman" w:cs="Times New Roman"/>
          <w:b/>
          <w:bCs/>
          <w:i/>
          <w:kern w:val="2"/>
          <w:sz w:val="24"/>
          <w:szCs w:val="24"/>
          <w:lang w:eastAsia="zh-CN" w:bidi="hi-IN"/>
        </w:rPr>
        <w:t xml:space="preserve"> Daugavas augštecē</w:t>
      </w:r>
    </w:p>
    <w:p w14:paraId="4B378E1E" w14:textId="7DB06809" w:rsidR="00895210" w:rsidRPr="00A07F29" w:rsidRDefault="0094598E" w:rsidP="00895210">
      <w:pPr>
        <w:spacing w:after="120" w:line="240" w:lineRule="auto"/>
        <w:ind w:firstLine="851"/>
        <w:jc w:val="both"/>
        <w:rPr>
          <w:rFonts w:ascii="Times New Roman" w:eastAsia="Calibri" w:hAnsi="Times New Roman" w:cs="Times New Roman"/>
          <w:kern w:val="2"/>
          <w:sz w:val="24"/>
          <w:szCs w:val="24"/>
          <w:lang w:eastAsia="zh-CN" w:bidi="hi-IN"/>
        </w:rPr>
      </w:pPr>
      <w:r w:rsidRPr="00A07F29">
        <w:rPr>
          <w:rFonts w:ascii="Times New Roman" w:eastAsia="Calibri" w:hAnsi="Times New Roman" w:cs="Times New Roman"/>
          <w:kern w:val="2"/>
          <w:sz w:val="24"/>
          <w:szCs w:val="24"/>
          <w:lang w:eastAsia="zh-CN" w:bidi="hi-IN"/>
        </w:rPr>
        <w:t xml:space="preserve">Uz robežas ar Baltkrieviju atrodas </w:t>
      </w:r>
      <w:r w:rsidR="00C0653B" w:rsidRPr="00A07F29">
        <w:rPr>
          <w:rFonts w:ascii="Times New Roman" w:eastAsia="Calibri" w:hAnsi="Times New Roman" w:cs="Times New Roman"/>
          <w:kern w:val="2"/>
          <w:sz w:val="24"/>
          <w:szCs w:val="24"/>
          <w:lang w:eastAsia="zh-CN" w:bidi="hi-IN"/>
        </w:rPr>
        <w:t>pieci</w:t>
      </w:r>
      <w:r w:rsidRPr="00A07F29">
        <w:rPr>
          <w:rFonts w:ascii="Times New Roman" w:eastAsia="Calibri" w:hAnsi="Times New Roman" w:cs="Times New Roman"/>
          <w:kern w:val="2"/>
          <w:sz w:val="24"/>
          <w:szCs w:val="24"/>
          <w:lang w:eastAsia="zh-CN" w:bidi="hi-IN"/>
        </w:rPr>
        <w:t xml:space="preserve"> Latvijas upju ūdensobjekti (</w:t>
      </w:r>
      <w:r w:rsidRPr="00A07F29">
        <w:rPr>
          <w:rFonts w:ascii="Times New Roman" w:eastAsia="Calibri" w:hAnsi="Times New Roman" w:cs="Times New Roman"/>
          <w:i/>
          <w:iCs/>
          <w:kern w:val="2"/>
          <w:sz w:val="24"/>
          <w:szCs w:val="24"/>
          <w:lang w:eastAsia="zh-CN" w:bidi="hi-IN"/>
        </w:rPr>
        <w:t xml:space="preserve">Daugava </w:t>
      </w:r>
      <w:r w:rsidRPr="00A07F29">
        <w:rPr>
          <w:rFonts w:ascii="Times New Roman" w:eastAsia="Calibri" w:hAnsi="Times New Roman" w:cs="Times New Roman"/>
          <w:kern w:val="2"/>
          <w:sz w:val="24"/>
          <w:szCs w:val="24"/>
          <w:lang w:eastAsia="zh-CN" w:bidi="hi-IN"/>
        </w:rPr>
        <w:t>D500</w:t>
      </w:r>
      <w:r w:rsidRPr="00A07F29">
        <w:rPr>
          <w:rFonts w:ascii="Times New Roman" w:eastAsia="Calibri" w:hAnsi="Times New Roman" w:cs="Times New Roman"/>
          <w:i/>
          <w:iCs/>
          <w:kern w:val="2"/>
          <w:sz w:val="24"/>
          <w:szCs w:val="24"/>
          <w:lang w:eastAsia="zh-CN" w:bidi="hi-IN"/>
        </w:rPr>
        <w:t>,</w:t>
      </w:r>
      <w:r w:rsidR="00895210" w:rsidRPr="00A07F29">
        <w:rPr>
          <w:rFonts w:ascii="Times New Roman" w:eastAsia="Calibri" w:hAnsi="Times New Roman" w:cs="Times New Roman"/>
          <w:i/>
          <w:iCs/>
          <w:kern w:val="2"/>
          <w:sz w:val="24"/>
          <w:szCs w:val="24"/>
          <w:lang w:eastAsia="zh-CN" w:bidi="hi-IN"/>
        </w:rPr>
        <w:t xml:space="preserve"> </w:t>
      </w:r>
      <w:proofErr w:type="spellStart"/>
      <w:r w:rsidRPr="00A07F29">
        <w:rPr>
          <w:rFonts w:ascii="Times New Roman" w:eastAsia="Calibri" w:hAnsi="Times New Roman" w:cs="Times New Roman"/>
          <w:i/>
          <w:iCs/>
          <w:kern w:val="2"/>
          <w:sz w:val="24"/>
          <w:szCs w:val="24"/>
          <w:lang w:eastAsia="zh-CN" w:bidi="hi-IN"/>
        </w:rPr>
        <w:t>Rosica</w:t>
      </w:r>
      <w:proofErr w:type="spellEnd"/>
      <w:r w:rsidRPr="00A07F29">
        <w:rPr>
          <w:rFonts w:ascii="Times New Roman" w:eastAsia="Calibri" w:hAnsi="Times New Roman" w:cs="Times New Roman"/>
          <w:i/>
          <w:iCs/>
          <w:kern w:val="2"/>
          <w:sz w:val="24"/>
          <w:szCs w:val="24"/>
          <w:lang w:eastAsia="zh-CN" w:bidi="hi-IN"/>
        </w:rPr>
        <w:t xml:space="preserve"> </w:t>
      </w:r>
      <w:r w:rsidRPr="00A07F29">
        <w:rPr>
          <w:rFonts w:ascii="Times New Roman" w:eastAsia="Calibri" w:hAnsi="Times New Roman" w:cs="Times New Roman"/>
          <w:kern w:val="2"/>
          <w:sz w:val="24"/>
          <w:szCs w:val="24"/>
          <w:lang w:eastAsia="zh-CN" w:bidi="hi-IN"/>
        </w:rPr>
        <w:t xml:space="preserve">D503, </w:t>
      </w:r>
      <w:proofErr w:type="spellStart"/>
      <w:r w:rsidRPr="00A07F29">
        <w:rPr>
          <w:rFonts w:ascii="Times New Roman" w:eastAsia="Calibri" w:hAnsi="Times New Roman" w:cs="Times New Roman"/>
          <w:i/>
          <w:iCs/>
          <w:kern w:val="2"/>
          <w:sz w:val="24"/>
          <w:szCs w:val="24"/>
          <w:lang w:eastAsia="zh-CN" w:bidi="hi-IN"/>
        </w:rPr>
        <w:t>Asūnīca</w:t>
      </w:r>
      <w:proofErr w:type="spellEnd"/>
      <w:r w:rsidRPr="00A07F29">
        <w:rPr>
          <w:rFonts w:ascii="Times New Roman" w:eastAsia="Calibri" w:hAnsi="Times New Roman" w:cs="Times New Roman"/>
          <w:i/>
          <w:iCs/>
          <w:kern w:val="2"/>
          <w:sz w:val="24"/>
          <w:szCs w:val="24"/>
          <w:lang w:eastAsia="zh-CN" w:bidi="hi-IN"/>
        </w:rPr>
        <w:t xml:space="preserve"> </w:t>
      </w:r>
      <w:r w:rsidRPr="00A07F29">
        <w:rPr>
          <w:rFonts w:ascii="Times New Roman" w:eastAsia="Calibri" w:hAnsi="Times New Roman" w:cs="Times New Roman"/>
          <w:kern w:val="2"/>
          <w:sz w:val="24"/>
          <w:szCs w:val="24"/>
          <w:lang w:eastAsia="zh-CN" w:bidi="hi-IN"/>
        </w:rPr>
        <w:t xml:space="preserve">D506, </w:t>
      </w:r>
      <w:proofErr w:type="spellStart"/>
      <w:r w:rsidRPr="00A07F29">
        <w:rPr>
          <w:rFonts w:ascii="Times New Roman" w:eastAsia="Calibri" w:hAnsi="Times New Roman" w:cs="Times New Roman"/>
          <w:i/>
          <w:iCs/>
          <w:kern w:val="2"/>
          <w:sz w:val="24"/>
          <w:szCs w:val="24"/>
          <w:lang w:eastAsia="zh-CN" w:bidi="hi-IN"/>
        </w:rPr>
        <w:t>Sarjanka</w:t>
      </w:r>
      <w:proofErr w:type="spellEnd"/>
      <w:r w:rsidRPr="00A07F29">
        <w:rPr>
          <w:rFonts w:ascii="Times New Roman" w:eastAsia="Calibri" w:hAnsi="Times New Roman" w:cs="Times New Roman"/>
          <w:i/>
          <w:iCs/>
          <w:kern w:val="2"/>
          <w:sz w:val="24"/>
          <w:szCs w:val="24"/>
          <w:lang w:eastAsia="zh-CN" w:bidi="hi-IN"/>
        </w:rPr>
        <w:t xml:space="preserve"> </w:t>
      </w:r>
      <w:r w:rsidRPr="00A07F29">
        <w:rPr>
          <w:rFonts w:ascii="Times New Roman" w:eastAsia="Calibri" w:hAnsi="Times New Roman" w:cs="Times New Roman"/>
          <w:kern w:val="2"/>
          <w:sz w:val="24"/>
          <w:szCs w:val="24"/>
          <w:lang w:eastAsia="zh-CN" w:bidi="hi-IN"/>
        </w:rPr>
        <w:t xml:space="preserve">D505 un </w:t>
      </w:r>
      <w:r w:rsidRPr="00A07F29">
        <w:rPr>
          <w:rFonts w:ascii="Times New Roman" w:eastAsia="Calibri" w:hAnsi="Times New Roman" w:cs="Times New Roman"/>
          <w:i/>
          <w:iCs/>
          <w:kern w:val="2"/>
          <w:sz w:val="24"/>
          <w:szCs w:val="24"/>
          <w:lang w:eastAsia="zh-CN" w:bidi="hi-IN"/>
        </w:rPr>
        <w:t xml:space="preserve">Zilupe </w:t>
      </w:r>
      <w:r w:rsidRPr="00A07F29">
        <w:rPr>
          <w:rFonts w:ascii="Times New Roman" w:eastAsia="Calibri" w:hAnsi="Times New Roman" w:cs="Times New Roman"/>
          <w:kern w:val="2"/>
          <w:sz w:val="24"/>
          <w:szCs w:val="24"/>
          <w:lang w:eastAsia="zh-CN" w:bidi="hi-IN"/>
        </w:rPr>
        <w:t xml:space="preserve">D520SP) un </w:t>
      </w:r>
      <w:r w:rsidR="00C0653B" w:rsidRPr="00A07F29">
        <w:rPr>
          <w:rFonts w:ascii="Times New Roman" w:eastAsia="Calibri" w:hAnsi="Times New Roman" w:cs="Times New Roman"/>
          <w:kern w:val="2"/>
          <w:sz w:val="24"/>
          <w:szCs w:val="24"/>
          <w:lang w:eastAsia="zh-CN" w:bidi="hi-IN"/>
        </w:rPr>
        <w:t>trīs</w:t>
      </w:r>
      <w:r w:rsidRPr="00A07F29">
        <w:rPr>
          <w:rFonts w:ascii="Times New Roman" w:eastAsia="Calibri" w:hAnsi="Times New Roman" w:cs="Times New Roman"/>
          <w:kern w:val="2"/>
          <w:sz w:val="24"/>
          <w:szCs w:val="24"/>
          <w:lang w:eastAsia="zh-CN" w:bidi="hi-IN"/>
        </w:rPr>
        <w:t xml:space="preserve"> Latvijas ezeru ūdensobjekti (</w:t>
      </w:r>
      <w:r w:rsidRPr="00A07F29">
        <w:rPr>
          <w:rFonts w:ascii="Times New Roman" w:eastAsia="Calibri" w:hAnsi="Times New Roman" w:cs="Times New Roman"/>
          <w:i/>
          <w:iCs/>
          <w:kern w:val="2"/>
          <w:sz w:val="24"/>
          <w:szCs w:val="24"/>
          <w:lang w:eastAsia="zh-CN" w:bidi="hi-IN"/>
        </w:rPr>
        <w:t xml:space="preserve">Riču ezers </w:t>
      </w:r>
      <w:r w:rsidRPr="00A07F29">
        <w:rPr>
          <w:rFonts w:ascii="Times New Roman" w:eastAsia="Calibri" w:hAnsi="Times New Roman" w:cs="Times New Roman"/>
          <w:kern w:val="2"/>
          <w:sz w:val="24"/>
          <w:szCs w:val="24"/>
          <w:lang w:eastAsia="zh-CN" w:bidi="hi-IN"/>
        </w:rPr>
        <w:t xml:space="preserve">E176, </w:t>
      </w:r>
      <w:r w:rsidRPr="00A07F29">
        <w:rPr>
          <w:rFonts w:ascii="Times New Roman" w:eastAsia="Calibri" w:hAnsi="Times New Roman" w:cs="Times New Roman"/>
          <w:i/>
          <w:iCs/>
          <w:kern w:val="2"/>
          <w:sz w:val="24"/>
          <w:szCs w:val="24"/>
          <w:lang w:eastAsia="zh-CN" w:bidi="hi-IN"/>
        </w:rPr>
        <w:t xml:space="preserve">Sitas ezers </w:t>
      </w:r>
      <w:r w:rsidRPr="00A07F29">
        <w:rPr>
          <w:rFonts w:ascii="Times New Roman" w:eastAsia="Calibri" w:hAnsi="Times New Roman" w:cs="Times New Roman"/>
          <w:kern w:val="2"/>
          <w:sz w:val="24"/>
          <w:szCs w:val="24"/>
          <w:lang w:eastAsia="zh-CN" w:bidi="hi-IN"/>
        </w:rPr>
        <w:t xml:space="preserve">E175, </w:t>
      </w:r>
      <w:r w:rsidRPr="00A07F29">
        <w:rPr>
          <w:rFonts w:ascii="Times New Roman" w:eastAsia="Calibri" w:hAnsi="Times New Roman" w:cs="Times New Roman"/>
          <w:i/>
          <w:iCs/>
          <w:kern w:val="2"/>
          <w:sz w:val="24"/>
          <w:szCs w:val="24"/>
          <w:lang w:eastAsia="zh-CN" w:bidi="hi-IN"/>
        </w:rPr>
        <w:t xml:space="preserve">Baltais ezers </w:t>
      </w:r>
      <w:r w:rsidRPr="00A07F29">
        <w:rPr>
          <w:rFonts w:ascii="Times New Roman" w:eastAsia="Calibri" w:hAnsi="Times New Roman" w:cs="Times New Roman"/>
          <w:kern w:val="2"/>
          <w:sz w:val="24"/>
          <w:szCs w:val="24"/>
          <w:lang w:eastAsia="zh-CN" w:bidi="hi-IN"/>
        </w:rPr>
        <w:t>E181). Daugav</w:t>
      </w:r>
      <w:r w:rsidR="00895210" w:rsidRPr="00A07F29">
        <w:rPr>
          <w:rFonts w:ascii="Times New Roman" w:eastAsia="Calibri" w:hAnsi="Times New Roman" w:cs="Times New Roman"/>
          <w:kern w:val="2"/>
          <w:sz w:val="24"/>
          <w:szCs w:val="24"/>
          <w:lang w:eastAsia="zh-CN" w:bidi="hi-IN"/>
        </w:rPr>
        <w:t xml:space="preserve">u ietekmē notece no </w:t>
      </w:r>
      <w:r w:rsidRPr="00A07F29">
        <w:rPr>
          <w:rFonts w:ascii="Times New Roman" w:eastAsia="Calibri" w:hAnsi="Times New Roman" w:cs="Times New Roman"/>
          <w:kern w:val="2"/>
          <w:sz w:val="24"/>
          <w:szCs w:val="24"/>
          <w:lang w:eastAsia="zh-CN" w:bidi="hi-IN"/>
        </w:rPr>
        <w:t>Krievijas, Baltkrievijas un Lietuvas</w:t>
      </w:r>
      <w:r w:rsidR="00895210" w:rsidRPr="00A07F29">
        <w:rPr>
          <w:rFonts w:ascii="Times New Roman" w:eastAsia="Calibri" w:hAnsi="Times New Roman" w:cs="Times New Roman"/>
          <w:kern w:val="2"/>
          <w:sz w:val="24"/>
          <w:szCs w:val="24"/>
          <w:lang w:eastAsia="zh-CN" w:bidi="hi-IN"/>
        </w:rPr>
        <w:t>, un p</w:t>
      </w:r>
      <w:r w:rsidRPr="00A07F29">
        <w:rPr>
          <w:rFonts w:ascii="Times New Roman" w:eastAsia="Calibri" w:hAnsi="Times New Roman" w:cs="Times New Roman"/>
          <w:kern w:val="2"/>
          <w:sz w:val="24"/>
          <w:szCs w:val="24"/>
          <w:lang w:eastAsia="zh-CN" w:bidi="hi-IN"/>
        </w:rPr>
        <w:t>ārrobežu slodze uz Daugavu vērtējama kā būtiska (vairāk kā 50</w:t>
      </w:r>
      <w:r w:rsidR="004614C8" w:rsidRPr="00A07F29">
        <w:rPr>
          <w:rFonts w:ascii="Times New Roman" w:eastAsia="Calibri" w:hAnsi="Times New Roman" w:cs="Times New Roman"/>
          <w:kern w:val="2"/>
          <w:sz w:val="24"/>
          <w:szCs w:val="24"/>
          <w:lang w:eastAsia="zh-CN" w:bidi="hi-IN"/>
        </w:rPr>
        <w:t> </w:t>
      </w:r>
      <w:r w:rsidRPr="00A07F29">
        <w:rPr>
          <w:rFonts w:ascii="Times New Roman" w:eastAsia="Calibri" w:hAnsi="Times New Roman" w:cs="Times New Roman"/>
          <w:kern w:val="2"/>
          <w:sz w:val="24"/>
          <w:szCs w:val="24"/>
          <w:lang w:eastAsia="zh-CN" w:bidi="hi-IN"/>
        </w:rPr>
        <w:t xml:space="preserve">% no kopējās </w:t>
      </w:r>
      <w:proofErr w:type="spellStart"/>
      <w:r w:rsidRPr="00A07F29">
        <w:rPr>
          <w:rFonts w:ascii="Times New Roman" w:eastAsia="Calibri" w:hAnsi="Times New Roman" w:cs="Times New Roman"/>
          <w:kern w:val="2"/>
          <w:sz w:val="24"/>
          <w:szCs w:val="24"/>
          <w:lang w:eastAsia="zh-CN" w:bidi="hi-IN"/>
        </w:rPr>
        <w:t>N</w:t>
      </w:r>
      <w:r w:rsidRPr="00A07F29">
        <w:rPr>
          <w:rFonts w:ascii="Times New Roman" w:eastAsia="Calibri" w:hAnsi="Times New Roman" w:cs="Times New Roman"/>
          <w:kern w:val="2"/>
          <w:sz w:val="24"/>
          <w:szCs w:val="24"/>
          <w:vertAlign w:val="subscript"/>
          <w:lang w:eastAsia="zh-CN" w:bidi="hi-IN"/>
        </w:rPr>
        <w:t>kop</w:t>
      </w:r>
      <w:proofErr w:type="spellEnd"/>
      <w:r w:rsidRPr="00A07F29">
        <w:rPr>
          <w:rFonts w:ascii="Times New Roman" w:eastAsia="Calibri" w:hAnsi="Times New Roman" w:cs="Times New Roman"/>
          <w:kern w:val="2"/>
          <w:sz w:val="24"/>
          <w:szCs w:val="24"/>
          <w:lang w:eastAsia="zh-CN" w:bidi="hi-IN"/>
        </w:rPr>
        <w:t xml:space="preserve"> un </w:t>
      </w:r>
      <w:proofErr w:type="spellStart"/>
      <w:r w:rsidRPr="00A07F29">
        <w:rPr>
          <w:rFonts w:ascii="Times New Roman" w:eastAsia="Calibri" w:hAnsi="Times New Roman" w:cs="Times New Roman"/>
          <w:kern w:val="2"/>
          <w:sz w:val="24"/>
          <w:szCs w:val="24"/>
          <w:lang w:eastAsia="zh-CN" w:bidi="hi-IN"/>
        </w:rPr>
        <w:t>P</w:t>
      </w:r>
      <w:r w:rsidRPr="00A07F29">
        <w:rPr>
          <w:rFonts w:ascii="Times New Roman" w:eastAsia="Calibri" w:hAnsi="Times New Roman" w:cs="Times New Roman"/>
          <w:kern w:val="2"/>
          <w:sz w:val="24"/>
          <w:szCs w:val="24"/>
          <w:vertAlign w:val="subscript"/>
          <w:lang w:eastAsia="zh-CN" w:bidi="hi-IN"/>
        </w:rPr>
        <w:t>kop</w:t>
      </w:r>
      <w:proofErr w:type="spellEnd"/>
      <w:r w:rsidRPr="00A07F29">
        <w:rPr>
          <w:rFonts w:ascii="Times New Roman" w:eastAsia="Calibri" w:hAnsi="Times New Roman" w:cs="Times New Roman"/>
          <w:kern w:val="2"/>
          <w:sz w:val="24"/>
          <w:szCs w:val="24"/>
          <w:lang w:eastAsia="zh-CN" w:bidi="hi-IN"/>
        </w:rPr>
        <w:t xml:space="preserve"> noteces uz jūru).</w:t>
      </w:r>
    </w:p>
    <w:p w14:paraId="7DE66069" w14:textId="5B0F77BF" w:rsidR="0094598E" w:rsidRPr="00A07F29" w:rsidRDefault="0094598E" w:rsidP="00145282">
      <w:pPr>
        <w:spacing w:after="120" w:line="240" w:lineRule="auto"/>
        <w:ind w:firstLine="851"/>
        <w:jc w:val="both"/>
        <w:rPr>
          <w:rFonts w:ascii="Liberation Serif" w:eastAsia="Noto Sans CJK SC" w:hAnsi="Liberation Serif" w:cs="Lohit Devanagari"/>
          <w:kern w:val="2"/>
          <w:sz w:val="24"/>
          <w:szCs w:val="24"/>
          <w:lang w:eastAsia="zh-CN" w:bidi="hi-IN"/>
        </w:rPr>
      </w:pPr>
      <w:proofErr w:type="spellStart"/>
      <w:r w:rsidRPr="00A07F29">
        <w:rPr>
          <w:rFonts w:ascii="Times New Roman" w:eastAsia="Calibri" w:hAnsi="Times New Roman" w:cs="Times New Roman"/>
          <w:kern w:val="2"/>
          <w:sz w:val="24"/>
          <w:szCs w:val="24"/>
          <w:lang w:eastAsia="zh-CN" w:bidi="hi-IN"/>
        </w:rPr>
        <w:t>Rosica</w:t>
      </w:r>
      <w:proofErr w:type="spellEnd"/>
      <w:r w:rsidRPr="00A07F29">
        <w:rPr>
          <w:rFonts w:ascii="Times New Roman" w:eastAsia="Calibri" w:hAnsi="Times New Roman" w:cs="Times New Roman"/>
          <w:kern w:val="2"/>
          <w:sz w:val="24"/>
          <w:szCs w:val="24"/>
          <w:lang w:eastAsia="zh-CN" w:bidi="hi-IN"/>
        </w:rPr>
        <w:t xml:space="preserve"> sākumā nes piesārņojumu no Latvijas uz Baltkrieviju, bet pēc tam, ieplūstot ūdensobjektā Daugava D500 – no Baltkrievijas uz Latviju. </w:t>
      </w:r>
      <w:proofErr w:type="spellStart"/>
      <w:r w:rsidRPr="00A07F29">
        <w:rPr>
          <w:rFonts w:ascii="Times New Roman" w:eastAsia="Calibri" w:hAnsi="Times New Roman" w:cs="Times New Roman"/>
          <w:kern w:val="2"/>
          <w:sz w:val="24"/>
          <w:szCs w:val="24"/>
          <w:lang w:eastAsia="zh-CN" w:bidi="hi-IN"/>
        </w:rPr>
        <w:t>Asūnīca</w:t>
      </w:r>
      <w:proofErr w:type="spellEnd"/>
      <w:r w:rsidRPr="00A07F29">
        <w:rPr>
          <w:rFonts w:ascii="Times New Roman" w:eastAsia="Calibri" w:hAnsi="Times New Roman" w:cs="Times New Roman"/>
          <w:kern w:val="2"/>
          <w:sz w:val="24"/>
          <w:szCs w:val="24"/>
          <w:lang w:eastAsia="zh-CN" w:bidi="hi-IN"/>
        </w:rPr>
        <w:t xml:space="preserve"> </w:t>
      </w:r>
      <w:r w:rsidR="00895210" w:rsidRPr="00A07F29">
        <w:rPr>
          <w:rFonts w:ascii="Times New Roman" w:eastAsia="Calibri" w:hAnsi="Times New Roman" w:cs="Times New Roman"/>
          <w:kern w:val="2"/>
          <w:sz w:val="24"/>
          <w:szCs w:val="24"/>
          <w:lang w:eastAsia="zh-CN" w:bidi="hi-IN"/>
        </w:rPr>
        <w:t xml:space="preserve">sākas </w:t>
      </w:r>
      <w:r w:rsidRPr="00A07F29">
        <w:rPr>
          <w:rFonts w:ascii="Times New Roman" w:eastAsia="Calibri" w:hAnsi="Times New Roman" w:cs="Times New Roman"/>
          <w:kern w:val="2"/>
          <w:sz w:val="24"/>
          <w:szCs w:val="24"/>
          <w:lang w:eastAsia="zh-CN" w:bidi="hi-IN"/>
        </w:rPr>
        <w:t xml:space="preserve">Latvijā, tad ietek </w:t>
      </w:r>
      <w:proofErr w:type="spellStart"/>
      <w:r w:rsidRPr="00A07F29">
        <w:rPr>
          <w:rFonts w:ascii="Times New Roman" w:eastAsia="Calibri" w:hAnsi="Times New Roman" w:cs="Times New Roman"/>
          <w:kern w:val="2"/>
          <w:sz w:val="24"/>
          <w:szCs w:val="24"/>
          <w:lang w:eastAsia="zh-CN" w:bidi="hi-IN"/>
        </w:rPr>
        <w:t>Sarjankā</w:t>
      </w:r>
      <w:proofErr w:type="spellEnd"/>
      <w:r w:rsidRPr="00A07F29">
        <w:rPr>
          <w:rFonts w:ascii="Times New Roman" w:eastAsia="Calibri" w:hAnsi="Times New Roman" w:cs="Times New Roman"/>
          <w:kern w:val="2"/>
          <w:sz w:val="24"/>
          <w:szCs w:val="24"/>
          <w:lang w:eastAsia="zh-CN" w:bidi="hi-IN"/>
        </w:rPr>
        <w:t xml:space="preserve"> Baltkrievijas teritorijā, </w:t>
      </w:r>
      <w:r w:rsidR="00895210" w:rsidRPr="00A07F29">
        <w:rPr>
          <w:rFonts w:ascii="Times New Roman" w:eastAsia="Calibri" w:hAnsi="Times New Roman" w:cs="Times New Roman"/>
          <w:kern w:val="2"/>
          <w:sz w:val="24"/>
          <w:szCs w:val="24"/>
          <w:lang w:eastAsia="zh-CN" w:bidi="hi-IN"/>
        </w:rPr>
        <w:t xml:space="preserve">savukārt </w:t>
      </w:r>
      <w:proofErr w:type="spellStart"/>
      <w:r w:rsidRPr="00A07F29">
        <w:rPr>
          <w:rFonts w:ascii="Times New Roman" w:eastAsia="Calibri" w:hAnsi="Times New Roman" w:cs="Times New Roman"/>
          <w:kern w:val="2"/>
          <w:sz w:val="24"/>
          <w:szCs w:val="24"/>
          <w:lang w:eastAsia="zh-CN" w:bidi="hi-IN"/>
        </w:rPr>
        <w:t>Sarjanka</w:t>
      </w:r>
      <w:proofErr w:type="spellEnd"/>
      <w:r w:rsidRPr="00A07F29">
        <w:rPr>
          <w:rFonts w:ascii="Times New Roman" w:eastAsia="Calibri" w:hAnsi="Times New Roman" w:cs="Times New Roman"/>
          <w:kern w:val="2"/>
          <w:sz w:val="24"/>
          <w:szCs w:val="24"/>
          <w:lang w:eastAsia="zh-CN" w:bidi="hi-IN"/>
        </w:rPr>
        <w:t xml:space="preserve"> </w:t>
      </w:r>
      <w:r w:rsidR="00895210" w:rsidRPr="00A07F29">
        <w:rPr>
          <w:rFonts w:ascii="Times New Roman" w:eastAsia="Calibri" w:hAnsi="Times New Roman" w:cs="Times New Roman"/>
          <w:kern w:val="2"/>
          <w:sz w:val="24"/>
          <w:szCs w:val="24"/>
          <w:lang w:eastAsia="zh-CN" w:bidi="hi-IN"/>
        </w:rPr>
        <w:t xml:space="preserve">sākas </w:t>
      </w:r>
      <w:r w:rsidRPr="00A07F29">
        <w:rPr>
          <w:rFonts w:ascii="Times New Roman" w:eastAsia="Calibri" w:hAnsi="Times New Roman" w:cs="Times New Roman"/>
          <w:kern w:val="2"/>
          <w:sz w:val="24"/>
          <w:szCs w:val="24"/>
          <w:lang w:eastAsia="zh-CN" w:bidi="hi-IN"/>
        </w:rPr>
        <w:t xml:space="preserve">Latvijas teritorijā, bet ieplūst Daugavā Baltkrievijas teritorijā. Riču, Sitas un </w:t>
      </w:r>
      <w:r w:rsidR="00895210" w:rsidRPr="00A07F29">
        <w:rPr>
          <w:rFonts w:ascii="Times New Roman" w:eastAsia="Calibri" w:hAnsi="Times New Roman" w:cs="Times New Roman"/>
          <w:kern w:val="2"/>
          <w:sz w:val="24"/>
          <w:szCs w:val="24"/>
          <w:lang w:eastAsia="zh-CN" w:bidi="hi-IN"/>
        </w:rPr>
        <w:t xml:space="preserve">Balto ezeru ietekmē </w:t>
      </w:r>
      <w:r w:rsidRPr="00A07F29">
        <w:rPr>
          <w:rFonts w:ascii="Times New Roman" w:eastAsia="Calibri" w:hAnsi="Times New Roman" w:cs="Times New Roman"/>
          <w:kern w:val="2"/>
          <w:sz w:val="24"/>
          <w:szCs w:val="24"/>
          <w:lang w:eastAsia="zh-CN" w:bidi="hi-IN"/>
        </w:rPr>
        <w:t xml:space="preserve">gan Latvijas, gan Baltkrievijas, gan Krievijas </w:t>
      </w:r>
      <w:r w:rsidR="00895210" w:rsidRPr="00A07F29">
        <w:rPr>
          <w:rFonts w:ascii="Times New Roman" w:eastAsia="Calibri" w:hAnsi="Times New Roman" w:cs="Times New Roman"/>
          <w:kern w:val="2"/>
          <w:sz w:val="24"/>
          <w:szCs w:val="24"/>
          <w:lang w:eastAsia="zh-CN" w:bidi="hi-IN"/>
        </w:rPr>
        <w:t>radītā piesārņojuma slodze</w:t>
      </w:r>
      <w:r w:rsidRPr="00A07F29">
        <w:rPr>
          <w:rFonts w:ascii="Times New Roman" w:eastAsia="Calibri" w:hAnsi="Times New Roman" w:cs="Times New Roman"/>
          <w:kern w:val="2"/>
          <w:sz w:val="24"/>
          <w:szCs w:val="24"/>
          <w:lang w:eastAsia="zh-CN" w:bidi="hi-IN"/>
        </w:rPr>
        <w:t>.</w:t>
      </w:r>
    </w:p>
    <w:p w14:paraId="0A0DA57E" w14:textId="2B90F465" w:rsidR="0094598E" w:rsidRPr="00A07F29" w:rsidRDefault="0094598E" w:rsidP="00145282">
      <w:pPr>
        <w:spacing w:after="120" w:line="240" w:lineRule="auto"/>
        <w:ind w:firstLine="851"/>
        <w:jc w:val="both"/>
        <w:rPr>
          <w:rFonts w:ascii="Liberation Serif" w:eastAsia="Noto Sans CJK SC" w:hAnsi="Liberation Serif" w:cs="Lohit Devanagari"/>
          <w:kern w:val="2"/>
          <w:sz w:val="24"/>
          <w:szCs w:val="24"/>
          <w:lang w:eastAsia="zh-CN" w:bidi="hi-IN"/>
        </w:rPr>
      </w:pPr>
      <w:proofErr w:type="spellStart"/>
      <w:r w:rsidRPr="00A07F29">
        <w:rPr>
          <w:rFonts w:ascii="Times New Roman" w:eastAsia="Calibri" w:hAnsi="Times New Roman" w:cs="Times New Roman"/>
          <w:kern w:val="2"/>
          <w:sz w:val="24"/>
          <w:szCs w:val="24"/>
          <w:lang w:eastAsia="zh-CN" w:bidi="hi-IN"/>
        </w:rPr>
        <w:t>N</w:t>
      </w:r>
      <w:r w:rsidRPr="00A07F29">
        <w:rPr>
          <w:rFonts w:ascii="Times New Roman" w:eastAsia="Calibri" w:hAnsi="Times New Roman" w:cs="Times New Roman"/>
          <w:kern w:val="2"/>
          <w:sz w:val="24"/>
          <w:szCs w:val="24"/>
          <w:vertAlign w:val="subscript"/>
          <w:lang w:eastAsia="zh-CN" w:bidi="hi-IN"/>
        </w:rPr>
        <w:t>kop</w:t>
      </w:r>
      <w:proofErr w:type="spellEnd"/>
      <w:r w:rsidRPr="00A07F29">
        <w:rPr>
          <w:rFonts w:ascii="Times New Roman" w:eastAsia="Calibri" w:hAnsi="Times New Roman" w:cs="Times New Roman"/>
          <w:kern w:val="2"/>
          <w:sz w:val="24"/>
          <w:szCs w:val="24"/>
          <w:lang w:eastAsia="zh-CN" w:bidi="hi-IN"/>
        </w:rPr>
        <w:t xml:space="preserve"> koncentrācijām periodā no 1994. līdz 2008.</w:t>
      </w:r>
      <w:r w:rsidR="00895210" w:rsidRPr="00A07F29">
        <w:rPr>
          <w:rFonts w:ascii="Times New Roman" w:eastAsia="Calibri" w:hAnsi="Times New Roman" w:cs="Times New Roman"/>
          <w:kern w:val="2"/>
          <w:sz w:val="24"/>
          <w:szCs w:val="24"/>
          <w:lang w:eastAsia="zh-CN" w:bidi="hi-IN"/>
        </w:rPr>
        <w:t> </w:t>
      </w:r>
      <w:r w:rsidRPr="00A07F29">
        <w:rPr>
          <w:rFonts w:ascii="Times New Roman" w:eastAsia="Calibri" w:hAnsi="Times New Roman" w:cs="Times New Roman"/>
          <w:kern w:val="2"/>
          <w:sz w:val="24"/>
          <w:szCs w:val="24"/>
          <w:lang w:eastAsia="zh-CN" w:bidi="hi-IN"/>
        </w:rPr>
        <w:t>g</w:t>
      </w:r>
      <w:r w:rsidR="00A928BB" w:rsidRPr="00A07F29">
        <w:rPr>
          <w:rFonts w:ascii="Times New Roman" w:eastAsia="Calibri" w:hAnsi="Times New Roman" w:cs="Times New Roman"/>
          <w:kern w:val="2"/>
          <w:sz w:val="24"/>
          <w:szCs w:val="24"/>
          <w:lang w:eastAsia="zh-CN" w:bidi="hi-IN"/>
        </w:rPr>
        <w:t>adam</w:t>
      </w:r>
      <w:r w:rsidRPr="00A07F29">
        <w:rPr>
          <w:rFonts w:ascii="Times New Roman" w:eastAsia="Calibri" w:hAnsi="Times New Roman" w:cs="Times New Roman"/>
          <w:kern w:val="2"/>
          <w:sz w:val="24"/>
          <w:szCs w:val="24"/>
          <w:lang w:eastAsia="zh-CN" w:bidi="hi-IN"/>
        </w:rPr>
        <w:t xml:space="preserve"> un 2013., 2014.</w:t>
      </w:r>
      <w:r w:rsidR="00895210" w:rsidRPr="00A07F29">
        <w:t> </w:t>
      </w:r>
      <w:r w:rsidRPr="00A07F29">
        <w:rPr>
          <w:rFonts w:ascii="Times New Roman" w:eastAsia="Calibri" w:hAnsi="Times New Roman" w:cs="Times New Roman"/>
          <w:kern w:val="2"/>
          <w:sz w:val="24"/>
          <w:szCs w:val="24"/>
          <w:lang w:eastAsia="zh-CN" w:bidi="hi-IN"/>
        </w:rPr>
        <w:t>gadā (gadi, kuros visās sezonās veikti koncentrāciju mērījumi) Daugavā, Piedrujā, Latvijas</w:t>
      </w:r>
      <w:r w:rsidR="00FD328F" w:rsidRPr="00A07F29">
        <w:rPr>
          <w:rFonts w:ascii="Times New Roman" w:eastAsia="Calibri" w:hAnsi="Times New Roman" w:cs="Times New Roman"/>
          <w:kern w:val="2"/>
          <w:sz w:val="24"/>
          <w:szCs w:val="24"/>
          <w:lang w:eastAsia="zh-CN" w:bidi="hi-IN"/>
        </w:rPr>
        <w:t> – </w:t>
      </w:r>
      <w:r w:rsidRPr="00A07F29">
        <w:rPr>
          <w:rFonts w:ascii="Times New Roman" w:eastAsia="Calibri" w:hAnsi="Times New Roman" w:cs="Times New Roman"/>
          <w:kern w:val="2"/>
          <w:sz w:val="24"/>
          <w:szCs w:val="24"/>
          <w:lang w:eastAsia="zh-CN" w:bidi="hi-IN"/>
        </w:rPr>
        <w:t>Baltkrievijas robežā raksturīga samazināšanās tendence (augsts ticamības līmenis</w:t>
      </w:r>
      <w:r w:rsidR="00145282" w:rsidRPr="00A07F29">
        <w:rPr>
          <w:rFonts w:ascii="Times New Roman" w:eastAsia="Calibri" w:hAnsi="Times New Roman" w:cs="Times New Roman"/>
          <w:kern w:val="2"/>
          <w:sz w:val="24"/>
          <w:szCs w:val="24"/>
          <w:lang w:eastAsia="zh-CN" w:bidi="hi-IN"/>
        </w:rPr>
        <w:t xml:space="preserve"> – 99.7</w:t>
      </w:r>
      <w:r w:rsidR="00FD328F" w:rsidRPr="00A07F29">
        <w:rPr>
          <w:rFonts w:ascii="Times New Roman" w:eastAsia="Calibri" w:hAnsi="Times New Roman" w:cs="Times New Roman"/>
          <w:kern w:val="2"/>
          <w:sz w:val="24"/>
          <w:szCs w:val="24"/>
          <w:lang w:eastAsia="zh-CN" w:bidi="hi-IN"/>
        </w:rPr>
        <w:t> </w:t>
      </w:r>
      <w:r w:rsidR="00145282" w:rsidRPr="00A07F29">
        <w:rPr>
          <w:rFonts w:ascii="Times New Roman" w:eastAsia="Calibri" w:hAnsi="Times New Roman" w:cs="Times New Roman"/>
          <w:kern w:val="2"/>
          <w:sz w:val="24"/>
          <w:szCs w:val="24"/>
          <w:lang w:eastAsia="zh-CN" w:bidi="hi-IN"/>
        </w:rPr>
        <w:t>%</w:t>
      </w:r>
      <w:r w:rsidRPr="00A07F29">
        <w:rPr>
          <w:rFonts w:ascii="Times New Roman" w:eastAsia="Calibri" w:hAnsi="Times New Roman" w:cs="Times New Roman"/>
          <w:kern w:val="2"/>
          <w:sz w:val="24"/>
          <w:szCs w:val="24"/>
          <w:lang w:eastAsia="zh-CN" w:bidi="hi-IN"/>
        </w:rPr>
        <w:t>) (skat. 2.5.1.</w:t>
      </w:r>
      <w:r w:rsidR="00145282" w:rsidRPr="00A07F29">
        <w:rPr>
          <w:rFonts w:ascii="Times New Roman" w:eastAsia="Calibri" w:hAnsi="Times New Roman" w:cs="Times New Roman"/>
          <w:kern w:val="2"/>
          <w:sz w:val="24"/>
          <w:szCs w:val="24"/>
          <w:lang w:eastAsia="zh-CN" w:bidi="hi-IN"/>
        </w:rPr>
        <w:t>3. </w:t>
      </w:r>
      <w:r w:rsidRPr="00A07F29">
        <w:rPr>
          <w:rFonts w:ascii="Times New Roman" w:eastAsia="Calibri" w:hAnsi="Times New Roman" w:cs="Times New Roman"/>
          <w:kern w:val="2"/>
          <w:sz w:val="24"/>
          <w:szCs w:val="24"/>
          <w:lang w:eastAsia="zh-CN" w:bidi="hi-IN"/>
        </w:rPr>
        <w:t xml:space="preserve">attēlu). Turpretī </w:t>
      </w:r>
      <w:proofErr w:type="spellStart"/>
      <w:r w:rsidRPr="00A07F29">
        <w:rPr>
          <w:rFonts w:ascii="Times New Roman" w:eastAsia="Calibri" w:hAnsi="Times New Roman" w:cs="Times New Roman"/>
          <w:kern w:val="2"/>
          <w:sz w:val="24"/>
          <w:szCs w:val="24"/>
          <w:lang w:eastAsia="zh-CN" w:bidi="hi-IN"/>
        </w:rPr>
        <w:t>P</w:t>
      </w:r>
      <w:r w:rsidRPr="00A07F29">
        <w:rPr>
          <w:rFonts w:ascii="Times New Roman" w:eastAsia="Calibri" w:hAnsi="Times New Roman" w:cs="Times New Roman"/>
          <w:kern w:val="2"/>
          <w:sz w:val="24"/>
          <w:szCs w:val="24"/>
          <w:vertAlign w:val="subscript"/>
          <w:lang w:eastAsia="zh-CN" w:bidi="hi-IN"/>
        </w:rPr>
        <w:t>kop</w:t>
      </w:r>
      <w:proofErr w:type="spellEnd"/>
      <w:r w:rsidRPr="00A07F29">
        <w:rPr>
          <w:rFonts w:ascii="Times New Roman" w:eastAsia="Calibri" w:hAnsi="Times New Roman" w:cs="Times New Roman"/>
          <w:kern w:val="2"/>
          <w:sz w:val="24"/>
          <w:szCs w:val="24"/>
          <w:lang w:eastAsia="zh-CN" w:bidi="hi-IN"/>
        </w:rPr>
        <w:t xml:space="preserve"> koncentrācijām laikā no 1992. līdz 2008.</w:t>
      </w:r>
      <w:r w:rsidR="00845B4C" w:rsidRPr="00A07F29">
        <w:rPr>
          <w:rFonts w:ascii="Times New Roman" w:eastAsia="Calibri" w:hAnsi="Times New Roman" w:cs="Times New Roman"/>
          <w:kern w:val="2"/>
          <w:sz w:val="24"/>
          <w:szCs w:val="24"/>
          <w:lang w:eastAsia="zh-CN" w:bidi="hi-IN"/>
        </w:rPr>
        <w:t> gadam</w:t>
      </w:r>
      <w:r w:rsidRPr="00A07F29">
        <w:rPr>
          <w:rFonts w:ascii="Times New Roman" w:eastAsia="Calibri" w:hAnsi="Times New Roman" w:cs="Times New Roman"/>
          <w:kern w:val="2"/>
          <w:sz w:val="24"/>
          <w:szCs w:val="24"/>
          <w:lang w:eastAsia="zh-CN" w:bidi="hi-IN"/>
        </w:rPr>
        <w:t xml:space="preserve"> un 2013., 2014.</w:t>
      </w:r>
      <w:r w:rsidR="00145282" w:rsidRPr="00A07F29">
        <w:rPr>
          <w:rFonts w:ascii="Times New Roman" w:eastAsia="Calibri" w:hAnsi="Times New Roman" w:cs="Times New Roman"/>
          <w:kern w:val="2"/>
          <w:sz w:val="24"/>
          <w:szCs w:val="24"/>
          <w:lang w:eastAsia="zh-CN" w:bidi="hi-IN"/>
        </w:rPr>
        <w:t> </w:t>
      </w:r>
      <w:r w:rsidRPr="00A07F29">
        <w:rPr>
          <w:rFonts w:ascii="Times New Roman" w:eastAsia="Calibri" w:hAnsi="Times New Roman" w:cs="Times New Roman"/>
          <w:kern w:val="2"/>
          <w:sz w:val="24"/>
          <w:szCs w:val="24"/>
          <w:lang w:eastAsia="zh-CN" w:bidi="hi-IN"/>
        </w:rPr>
        <w:t>gadā raksturīga pieauguma izmaiņu tendence (augsts ticamības līmenis</w:t>
      </w:r>
      <w:r w:rsidR="00145282" w:rsidRPr="00A07F29">
        <w:rPr>
          <w:rFonts w:ascii="Times New Roman" w:eastAsia="Calibri" w:hAnsi="Times New Roman" w:cs="Times New Roman"/>
          <w:kern w:val="2"/>
          <w:sz w:val="24"/>
          <w:szCs w:val="24"/>
          <w:lang w:eastAsia="zh-CN" w:bidi="hi-IN"/>
        </w:rPr>
        <w:t xml:space="preserve"> – 99.9</w:t>
      </w:r>
      <w:r w:rsidR="00845B4C" w:rsidRPr="00A07F29">
        <w:rPr>
          <w:rFonts w:ascii="Times New Roman" w:eastAsia="Calibri" w:hAnsi="Times New Roman" w:cs="Times New Roman"/>
          <w:kern w:val="2"/>
          <w:sz w:val="24"/>
          <w:szCs w:val="24"/>
          <w:lang w:eastAsia="zh-CN" w:bidi="hi-IN"/>
        </w:rPr>
        <w:t> </w:t>
      </w:r>
      <w:r w:rsidR="00145282" w:rsidRPr="00A07F29">
        <w:rPr>
          <w:rFonts w:ascii="Times New Roman" w:eastAsia="Calibri" w:hAnsi="Times New Roman" w:cs="Times New Roman"/>
          <w:kern w:val="2"/>
          <w:sz w:val="24"/>
          <w:szCs w:val="24"/>
          <w:lang w:eastAsia="zh-CN" w:bidi="hi-IN"/>
        </w:rPr>
        <w:t>%</w:t>
      </w:r>
      <w:r w:rsidRPr="00A07F29">
        <w:rPr>
          <w:rFonts w:ascii="Times New Roman" w:eastAsia="Calibri" w:hAnsi="Times New Roman" w:cs="Times New Roman"/>
          <w:kern w:val="2"/>
          <w:sz w:val="24"/>
          <w:szCs w:val="24"/>
          <w:lang w:eastAsia="zh-CN" w:bidi="hi-IN"/>
        </w:rPr>
        <w:t>) (skat. 2.5.1.</w:t>
      </w:r>
      <w:r w:rsidR="00145282" w:rsidRPr="00A07F29">
        <w:rPr>
          <w:rFonts w:ascii="Times New Roman" w:eastAsia="Calibri" w:hAnsi="Times New Roman" w:cs="Times New Roman"/>
          <w:kern w:val="2"/>
          <w:sz w:val="24"/>
          <w:szCs w:val="24"/>
          <w:lang w:eastAsia="zh-CN" w:bidi="hi-IN"/>
        </w:rPr>
        <w:t>4</w:t>
      </w:r>
      <w:r w:rsidRPr="00A07F29">
        <w:rPr>
          <w:rFonts w:ascii="Times New Roman" w:eastAsia="Calibri" w:hAnsi="Times New Roman" w:cs="Times New Roman"/>
          <w:kern w:val="2"/>
          <w:sz w:val="24"/>
          <w:szCs w:val="24"/>
          <w:lang w:eastAsia="zh-CN" w:bidi="hi-IN"/>
        </w:rPr>
        <w:t>.</w:t>
      </w:r>
      <w:r w:rsidR="00145282" w:rsidRPr="00A07F29">
        <w:rPr>
          <w:rFonts w:ascii="Times New Roman" w:eastAsia="Calibri" w:hAnsi="Times New Roman" w:cs="Times New Roman"/>
          <w:kern w:val="2"/>
          <w:sz w:val="24"/>
          <w:szCs w:val="24"/>
          <w:lang w:eastAsia="zh-CN" w:bidi="hi-IN"/>
        </w:rPr>
        <w:t> </w:t>
      </w:r>
      <w:r w:rsidRPr="00A07F29">
        <w:rPr>
          <w:rFonts w:ascii="Times New Roman" w:eastAsia="Calibri" w:hAnsi="Times New Roman" w:cs="Times New Roman"/>
          <w:kern w:val="2"/>
          <w:sz w:val="24"/>
          <w:szCs w:val="24"/>
          <w:lang w:eastAsia="zh-CN" w:bidi="hi-IN"/>
        </w:rPr>
        <w:t>attēlu).</w:t>
      </w:r>
    </w:p>
    <w:p w14:paraId="4892844D" w14:textId="77777777" w:rsidR="0094598E" w:rsidRPr="00A07F29" w:rsidRDefault="0094598E" w:rsidP="004814E0">
      <w:pPr>
        <w:spacing w:after="120" w:line="240" w:lineRule="auto"/>
        <w:jc w:val="center"/>
        <w:rPr>
          <w:rFonts w:ascii="Liberation Serif" w:eastAsia="Noto Sans CJK SC" w:hAnsi="Liberation Serif" w:cs="Lohit Devanagari"/>
          <w:kern w:val="2"/>
          <w:sz w:val="24"/>
          <w:szCs w:val="24"/>
          <w:lang w:eastAsia="zh-CN" w:bidi="hi-IN"/>
        </w:rPr>
      </w:pPr>
      <w:r w:rsidRPr="00A07F29">
        <w:rPr>
          <w:rFonts w:ascii="Liberation Serif" w:eastAsia="Noto Sans CJK SC" w:hAnsi="Liberation Serif" w:cs="Lohit Devanagari"/>
          <w:noProof/>
          <w:kern w:val="2"/>
          <w:sz w:val="24"/>
          <w:szCs w:val="24"/>
          <w:lang w:eastAsia="lv-LV"/>
        </w:rPr>
        <w:lastRenderedPageBreak/>
        <w:drawing>
          <wp:inline distT="0" distB="0" distL="0" distR="0" wp14:anchorId="1DEBA020" wp14:editId="1A6DE1F3">
            <wp:extent cx="5172075" cy="2390775"/>
            <wp:effectExtent l="0" t="0" r="9525" b="9525"/>
            <wp:docPr id="3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5172075" cy="2390775"/>
                    </a:xfrm>
                    <a:prstGeom prst="rect">
                      <a:avLst/>
                    </a:prstGeom>
                    <a:noFill/>
                    <a:ln>
                      <a:noFill/>
                    </a:ln>
                  </pic:spPr>
                </pic:pic>
              </a:graphicData>
            </a:graphic>
          </wp:inline>
        </w:drawing>
      </w:r>
    </w:p>
    <w:p w14:paraId="37EA5A49" w14:textId="7777523E" w:rsidR="0094598E" w:rsidRPr="00685EBC" w:rsidRDefault="0094598E" w:rsidP="004814E0">
      <w:pPr>
        <w:spacing w:after="120" w:line="240" w:lineRule="auto"/>
        <w:ind w:left="567"/>
        <w:jc w:val="both"/>
        <w:rPr>
          <w:rFonts w:ascii="Liberation Serif" w:eastAsia="Noto Sans CJK SC" w:hAnsi="Liberation Serif" w:cs="Lohit Devanagari"/>
          <w:kern w:val="2"/>
          <w:sz w:val="20"/>
          <w:szCs w:val="20"/>
          <w:lang w:eastAsia="zh-CN" w:bidi="hi-IN"/>
        </w:rPr>
      </w:pPr>
      <w:r w:rsidRPr="00685EBC">
        <w:rPr>
          <w:rFonts w:ascii="Times New Roman" w:eastAsia="Calibri" w:hAnsi="Times New Roman" w:cs="Times New Roman"/>
          <w:kern w:val="2"/>
          <w:sz w:val="20"/>
          <w:szCs w:val="20"/>
          <w:lang w:eastAsia="zh-CN" w:bidi="hi-IN"/>
        </w:rPr>
        <w:t>2.5.1.</w:t>
      </w:r>
      <w:r w:rsidR="00145282" w:rsidRPr="00685EBC">
        <w:rPr>
          <w:rFonts w:ascii="Times New Roman" w:eastAsia="Calibri" w:hAnsi="Times New Roman" w:cs="Times New Roman"/>
          <w:kern w:val="2"/>
          <w:sz w:val="20"/>
          <w:szCs w:val="20"/>
          <w:lang w:eastAsia="zh-CN" w:bidi="hi-IN"/>
        </w:rPr>
        <w:t>3</w:t>
      </w:r>
      <w:r w:rsidRPr="00685EBC">
        <w:rPr>
          <w:rFonts w:ascii="Times New Roman" w:eastAsia="Calibri" w:hAnsi="Times New Roman" w:cs="Times New Roman"/>
          <w:kern w:val="2"/>
          <w:sz w:val="20"/>
          <w:szCs w:val="20"/>
          <w:lang w:eastAsia="zh-CN" w:bidi="hi-IN"/>
        </w:rPr>
        <w:t>.</w:t>
      </w:r>
      <w:r w:rsidR="00775AB1" w:rsidRPr="00685EBC">
        <w:rPr>
          <w:rFonts w:ascii="Times New Roman" w:eastAsia="Calibri" w:hAnsi="Times New Roman" w:cs="Times New Roman"/>
          <w:kern w:val="2"/>
          <w:sz w:val="20"/>
          <w:szCs w:val="20"/>
          <w:lang w:eastAsia="zh-CN" w:bidi="hi-IN"/>
        </w:rPr>
        <w:t> </w:t>
      </w:r>
      <w:r w:rsidRPr="00685EBC">
        <w:rPr>
          <w:rFonts w:ascii="Times New Roman" w:eastAsia="Calibri" w:hAnsi="Times New Roman" w:cs="Times New Roman"/>
          <w:kern w:val="2"/>
          <w:sz w:val="20"/>
          <w:szCs w:val="20"/>
          <w:lang w:eastAsia="zh-CN" w:bidi="hi-IN"/>
        </w:rPr>
        <w:t xml:space="preserve">attēls. Gada vidējās </w:t>
      </w:r>
      <w:proofErr w:type="spellStart"/>
      <w:r w:rsidRPr="00685EBC">
        <w:rPr>
          <w:rFonts w:ascii="Times New Roman" w:eastAsia="Calibri" w:hAnsi="Times New Roman" w:cs="Times New Roman"/>
          <w:kern w:val="2"/>
          <w:sz w:val="20"/>
          <w:szCs w:val="20"/>
          <w:lang w:eastAsia="zh-CN" w:bidi="hi-IN"/>
        </w:rPr>
        <w:t>N</w:t>
      </w:r>
      <w:r w:rsidRPr="00685EBC">
        <w:rPr>
          <w:rFonts w:ascii="Times New Roman" w:eastAsia="Calibri" w:hAnsi="Times New Roman" w:cs="Times New Roman"/>
          <w:kern w:val="2"/>
          <w:sz w:val="20"/>
          <w:szCs w:val="20"/>
          <w:vertAlign w:val="subscript"/>
          <w:lang w:eastAsia="zh-CN" w:bidi="hi-IN"/>
        </w:rPr>
        <w:t>kop</w:t>
      </w:r>
      <w:proofErr w:type="spellEnd"/>
      <w:r w:rsidRPr="00685EBC">
        <w:rPr>
          <w:rFonts w:ascii="Times New Roman" w:eastAsia="Calibri" w:hAnsi="Times New Roman" w:cs="Times New Roman"/>
          <w:kern w:val="2"/>
          <w:sz w:val="20"/>
          <w:szCs w:val="20"/>
          <w:lang w:eastAsia="zh-CN" w:bidi="hi-IN"/>
        </w:rPr>
        <w:t xml:space="preserve"> koncentrācijas Daugava, Piedruja Latvijas</w:t>
      </w:r>
      <w:r w:rsidR="00775AB1" w:rsidRPr="00685EBC">
        <w:rPr>
          <w:rFonts w:ascii="Times New Roman" w:eastAsia="Calibri" w:hAnsi="Times New Roman" w:cs="Times New Roman"/>
          <w:kern w:val="2"/>
          <w:sz w:val="20"/>
          <w:szCs w:val="20"/>
          <w:lang w:eastAsia="zh-CN" w:bidi="hi-IN"/>
        </w:rPr>
        <w:t> – </w:t>
      </w:r>
      <w:r w:rsidRPr="00685EBC">
        <w:rPr>
          <w:rFonts w:ascii="Times New Roman" w:eastAsia="Calibri" w:hAnsi="Times New Roman" w:cs="Times New Roman"/>
          <w:kern w:val="2"/>
          <w:sz w:val="20"/>
          <w:szCs w:val="20"/>
          <w:lang w:eastAsia="zh-CN" w:bidi="hi-IN"/>
        </w:rPr>
        <w:t xml:space="preserve">Baltkrievijas robežā, </w:t>
      </w:r>
      <w:r w:rsidR="00775AB1" w:rsidRPr="00685EBC">
        <w:rPr>
          <w:rFonts w:ascii="Times New Roman" w:eastAsia="Calibri" w:hAnsi="Times New Roman" w:cs="Times New Roman"/>
          <w:kern w:val="2"/>
          <w:sz w:val="20"/>
          <w:szCs w:val="20"/>
          <w:lang w:eastAsia="zh-CN" w:bidi="hi-IN"/>
        </w:rPr>
        <w:t>(</w:t>
      </w:r>
      <w:r w:rsidRPr="00685EBC">
        <w:rPr>
          <w:rFonts w:ascii="Times New Roman" w:eastAsia="Calibri" w:hAnsi="Times New Roman" w:cs="Times New Roman"/>
          <w:kern w:val="2"/>
          <w:sz w:val="20"/>
          <w:szCs w:val="20"/>
          <w:lang w:eastAsia="zh-CN" w:bidi="hi-IN"/>
        </w:rPr>
        <w:t>LVĢMC</w:t>
      </w:r>
      <w:r w:rsidR="000B4634">
        <w:rPr>
          <w:rFonts w:ascii="Times New Roman" w:eastAsia="Calibri" w:hAnsi="Times New Roman" w:cs="Times New Roman"/>
          <w:kern w:val="2"/>
          <w:sz w:val="20"/>
          <w:szCs w:val="20"/>
          <w:lang w:eastAsia="zh-CN" w:bidi="hi-IN"/>
        </w:rPr>
        <w:t xml:space="preserve"> dati</w:t>
      </w:r>
      <w:r w:rsidRPr="00685EBC">
        <w:rPr>
          <w:rFonts w:ascii="Times New Roman" w:eastAsia="Calibri" w:hAnsi="Times New Roman" w:cs="Times New Roman"/>
          <w:kern w:val="2"/>
          <w:sz w:val="20"/>
          <w:szCs w:val="20"/>
          <w:lang w:eastAsia="zh-CN" w:bidi="hi-IN"/>
        </w:rPr>
        <w:t>, 2018</w:t>
      </w:r>
      <w:r w:rsidR="00775AB1" w:rsidRPr="00685EBC">
        <w:rPr>
          <w:rFonts w:ascii="Times New Roman" w:eastAsia="Calibri" w:hAnsi="Times New Roman" w:cs="Times New Roman"/>
          <w:kern w:val="2"/>
          <w:sz w:val="20"/>
          <w:szCs w:val="20"/>
          <w:lang w:eastAsia="zh-CN" w:bidi="hi-IN"/>
        </w:rPr>
        <w:t>)</w:t>
      </w:r>
      <w:r w:rsidRPr="00685EBC">
        <w:rPr>
          <w:rFonts w:ascii="Times New Roman" w:eastAsia="Calibri" w:hAnsi="Times New Roman" w:cs="Times New Roman"/>
          <w:kern w:val="2"/>
          <w:sz w:val="20"/>
          <w:szCs w:val="20"/>
          <w:lang w:eastAsia="zh-CN" w:bidi="hi-IN"/>
        </w:rPr>
        <w:t>.</w:t>
      </w:r>
    </w:p>
    <w:p w14:paraId="349673F8" w14:textId="77777777" w:rsidR="0094598E" w:rsidRPr="00A07F29" w:rsidRDefault="0094598E" w:rsidP="0094598E">
      <w:pPr>
        <w:spacing w:after="120" w:line="240" w:lineRule="auto"/>
        <w:ind w:firstLine="567"/>
        <w:jc w:val="both"/>
        <w:rPr>
          <w:rFonts w:ascii="Times New Roman" w:eastAsia="Calibri" w:hAnsi="Times New Roman" w:cs="Times New Roman"/>
          <w:kern w:val="2"/>
          <w:sz w:val="24"/>
          <w:szCs w:val="24"/>
          <w:lang w:eastAsia="zh-CN" w:bidi="hi-IN"/>
        </w:rPr>
      </w:pPr>
    </w:p>
    <w:p w14:paraId="0AEBB595" w14:textId="77777777" w:rsidR="0094598E" w:rsidRPr="00A07F29" w:rsidRDefault="0094598E" w:rsidP="004814E0">
      <w:pPr>
        <w:spacing w:after="120" w:line="240" w:lineRule="auto"/>
        <w:jc w:val="center"/>
        <w:rPr>
          <w:rFonts w:ascii="Liberation Serif" w:eastAsia="Noto Sans CJK SC" w:hAnsi="Liberation Serif" w:cs="Lohit Devanagari"/>
          <w:kern w:val="2"/>
          <w:sz w:val="24"/>
          <w:szCs w:val="24"/>
          <w:lang w:eastAsia="zh-CN" w:bidi="hi-IN"/>
        </w:rPr>
      </w:pPr>
      <w:r w:rsidRPr="00A07F29">
        <w:rPr>
          <w:rFonts w:ascii="Liberation Serif" w:eastAsia="Noto Sans CJK SC" w:hAnsi="Liberation Serif" w:cs="Lohit Devanagari"/>
          <w:noProof/>
          <w:kern w:val="2"/>
          <w:sz w:val="24"/>
          <w:szCs w:val="24"/>
          <w:lang w:eastAsia="lv-LV"/>
        </w:rPr>
        <w:drawing>
          <wp:inline distT="0" distB="0" distL="0" distR="0" wp14:anchorId="5CF91385" wp14:editId="0481F0B6">
            <wp:extent cx="4838700" cy="2514600"/>
            <wp:effectExtent l="0" t="0" r="0" b="0"/>
            <wp:docPr id="4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4838700" cy="2514600"/>
                    </a:xfrm>
                    <a:prstGeom prst="rect">
                      <a:avLst/>
                    </a:prstGeom>
                    <a:noFill/>
                    <a:ln>
                      <a:noFill/>
                    </a:ln>
                  </pic:spPr>
                </pic:pic>
              </a:graphicData>
            </a:graphic>
          </wp:inline>
        </w:drawing>
      </w:r>
    </w:p>
    <w:p w14:paraId="0FA1C95B" w14:textId="379AFF4C" w:rsidR="0094598E" w:rsidRPr="00685EBC" w:rsidRDefault="0094598E" w:rsidP="004814E0">
      <w:pPr>
        <w:spacing w:after="120" w:line="240" w:lineRule="auto"/>
        <w:ind w:left="567"/>
        <w:jc w:val="both"/>
        <w:rPr>
          <w:rFonts w:ascii="Liberation Serif" w:eastAsia="Noto Sans CJK SC" w:hAnsi="Liberation Serif" w:cs="Lohit Devanagari"/>
          <w:kern w:val="2"/>
          <w:sz w:val="20"/>
          <w:szCs w:val="20"/>
          <w:lang w:eastAsia="zh-CN" w:bidi="hi-IN"/>
        </w:rPr>
      </w:pPr>
      <w:r w:rsidRPr="00685EBC">
        <w:rPr>
          <w:rFonts w:ascii="Times New Roman" w:eastAsia="Calibri" w:hAnsi="Times New Roman" w:cs="Times New Roman"/>
          <w:kern w:val="2"/>
          <w:sz w:val="20"/>
          <w:szCs w:val="20"/>
          <w:lang w:eastAsia="zh-CN" w:bidi="hi-IN"/>
        </w:rPr>
        <w:t>2.5.1.</w:t>
      </w:r>
      <w:r w:rsidR="00145282" w:rsidRPr="00685EBC">
        <w:rPr>
          <w:rFonts w:ascii="Times New Roman" w:eastAsia="Calibri" w:hAnsi="Times New Roman" w:cs="Times New Roman"/>
          <w:kern w:val="2"/>
          <w:sz w:val="20"/>
          <w:szCs w:val="20"/>
          <w:lang w:eastAsia="zh-CN" w:bidi="hi-IN"/>
        </w:rPr>
        <w:t>4</w:t>
      </w:r>
      <w:r w:rsidRPr="00685EBC">
        <w:rPr>
          <w:rFonts w:ascii="Times New Roman" w:eastAsia="Calibri" w:hAnsi="Times New Roman" w:cs="Times New Roman"/>
          <w:kern w:val="2"/>
          <w:sz w:val="20"/>
          <w:szCs w:val="20"/>
          <w:lang w:eastAsia="zh-CN" w:bidi="hi-IN"/>
        </w:rPr>
        <w:t>.</w:t>
      </w:r>
      <w:r w:rsidR="000409CD" w:rsidRPr="00685EBC">
        <w:rPr>
          <w:rFonts w:ascii="Times New Roman" w:eastAsia="Calibri" w:hAnsi="Times New Roman" w:cs="Times New Roman"/>
          <w:kern w:val="2"/>
          <w:sz w:val="20"/>
          <w:szCs w:val="20"/>
          <w:lang w:eastAsia="zh-CN" w:bidi="hi-IN"/>
        </w:rPr>
        <w:t> </w:t>
      </w:r>
      <w:r w:rsidRPr="00685EBC">
        <w:rPr>
          <w:rFonts w:ascii="Times New Roman" w:eastAsia="Calibri" w:hAnsi="Times New Roman" w:cs="Times New Roman"/>
          <w:kern w:val="2"/>
          <w:sz w:val="20"/>
          <w:szCs w:val="20"/>
          <w:lang w:eastAsia="zh-CN" w:bidi="hi-IN"/>
        </w:rPr>
        <w:t xml:space="preserve">attēls. Gada vidējās </w:t>
      </w:r>
      <w:proofErr w:type="spellStart"/>
      <w:r w:rsidRPr="00685EBC">
        <w:rPr>
          <w:rFonts w:ascii="Times New Roman" w:eastAsia="Calibri" w:hAnsi="Times New Roman" w:cs="Times New Roman"/>
          <w:kern w:val="2"/>
          <w:sz w:val="20"/>
          <w:szCs w:val="20"/>
          <w:lang w:eastAsia="zh-CN" w:bidi="hi-IN"/>
        </w:rPr>
        <w:t>P</w:t>
      </w:r>
      <w:r w:rsidRPr="00685EBC">
        <w:rPr>
          <w:rFonts w:ascii="Times New Roman" w:eastAsia="Calibri" w:hAnsi="Times New Roman" w:cs="Times New Roman"/>
          <w:kern w:val="2"/>
          <w:sz w:val="20"/>
          <w:szCs w:val="20"/>
          <w:vertAlign w:val="subscript"/>
          <w:lang w:eastAsia="zh-CN" w:bidi="hi-IN"/>
        </w:rPr>
        <w:t>kop</w:t>
      </w:r>
      <w:proofErr w:type="spellEnd"/>
      <w:r w:rsidRPr="00685EBC">
        <w:rPr>
          <w:rFonts w:ascii="Times New Roman" w:eastAsia="Calibri" w:hAnsi="Times New Roman" w:cs="Times New Roman"/>
          <w:kern w:val="2"/>
          <w:sz w:val="20"/>
          <w:szCs w:val="20"/>
          <w:lang w:eastAsia="zh-CN" w:bidi="hi-IN"/>
        </w:rPr>
        <w:t xml:space="preserve"> koncentrācijas Daugava, Piedruja, Latvijas</w:t>
      </w:r>
      <w:r w:rsidR="000409CD" w:rsidRPr="00685EBC">
        <w:rPr>
          <w:rFonts w:ascii="Times New Roman" w:eastAsia="Calibri" w:hAnsi="Times New Roman" w:cs="Times New Roman"/>
          <w:kern w:val="2"/>
          <w:sz w:val="20"/>
          <w:szCs w:val="20"/>
          <w:lang w:eastAsia="zh-CN" w:bidi="hi-IN"/>
        </w:rPr>
        <w:t> – </w:t>
      </w:r>
      <w:r w:rsidRPr="00685EBC">
        <w:rPr>
          <w:rFonts w:ascii="Times New Roman" w:eastAsia="Calibri" w:hAnsi="Times New Roman" w:cs="Times New Roman"/>
          <w:kern w:val="2"/>
          <w:sz w:val="20"/>
          <w:szCs w:val="20"/>
          <w:lang w:eastAsia="zh-CN" w:bidi="hi-IN"/>
        </w:rPr>
        <w:t xml:space="preserve">Baltkrievijas robežā, </w:t>
      </w:r>
      <w:r w:rsidR="000409CD" w:rsidRPr="00685EBC">
        <w:rPr>
          <w:rFonts w:ascii="Times New Roman" w:eastAsia="Calibri" w:hAnsi="Times New Roman" w:cs="Times New Roman"/>
          <w:kern w:val="2"/>
          <w:sz w:val="20"/>
          <w:szCs w:val="20"/>
          <w:lang w:eastAsia="zh-CN" w:bidi="hi-IN"/>
        </w:rPr>
        <w:t>(</w:t>
      </w:r>
      <w:r w:rsidRPr="00685EBC">
        <w:rPr>
          <w:rFonts w:ascii="Times New Roman" w:eastAsia="Calibri" w:hAnsi="Times New Roman" w:cs="Times New Roman"/>
          <w:kern w:val="2"/>
          <w:sz w:val="20"/>
          <w:szCs w:val="20"/>
          <w:lang w:eastAsia="zh-CN" w:bidi="hi-IN"/>
        </w:rPr>
        <w:t>LVĢMC</w:t>
      </w:r>
      <w:r w:rsidR="000B4634">
        <w:rPr>
          <w:rFonts w:ascii="Times New Roman" w:eastAsia="Calibri" w:hAnsi="Times New Roman" w:cs="Times New Roman"/>
          <w:kern w:val="2"/>
          <w:sz w:val="20"/>
          <w:szCs w:val="20"/>
          <w:lang w:eastAsia="zh-CN" w:bidi="hi-IN"/>
        </w:rPr>
        <w:t xml:space="preserve"> dati</w:t>
      </w:r>
      <w:r w:rsidRPr="00685EBC">
        <w:rPr>
          <w:rFonts w:ascii="Times New Roman" w:eastAsia="Calibri" w:hAnsi="Times New Roman" w:cs="Times New Roman"/>
          <w:kern w:val="2"/>
          <w:sz w:val="20"/>
          <w:szCs w:val="20"/>
          <w:lang w:eastAsia="zh-CN" w:bidi="hi-IN"/>
        </w:rPr>
        <w:t>, 2018</w:t>
      </w:r>
      <w:r w:rsidR="000409CD" w:rsidRPr="00685EBC">
        <w:rPr>
          <w:rFonts w:ascii="Times New Roman" w:eastAsia="Calibri" w:hAnsi="Times New Roman" w:cs="Times New Roman"/>
          <w:kern w:val="2"/>
          <w:sz w:val="20"/>
          <w:szCs w:val="20"/>
          <w:lang w:eastAsia="zh-CN" w:bidi="hi-IN"/>
        </w:rPr>
        <w:t>)</w:t>
      </w:r>
      <w:r w:rsidRPr="00685EBC">
        <w:rPr>
          <w:rFonts w:ascii="Times New Roman" w:eastAsia="Calibri" w:hAnsi="Times New Roman" w:cs="Times New Roman"/>
          <w:kern w:val="2"/>
          <w:sz w:val="20"/>
          <w:szCs w:val="20"/>
          <w:lang w:eastAsia="zh-CN" w:bidi="hi-IN"/>
        </w:rPr>
        <w:t>.</w:t>
      </w:r>
    </w:p>
    <w:p w14:paraId="4CB672B0" w14:textId="04CA1333" w:rsidR="0094598E" w:rsidRPr="00A07F29" w:rsidRDefault="0094598E" w:rsidP="00145282">
      <w:pPr>
        <w:spacing w:after="120" w:line="240" w:lineRule="auto"/>
        <w:ind w:firstLine="851"/>
        <w:jc w:val="both"/>
        <w:rPr>
          <w:rFonts w:ascii="Liberation Serif" w:eastAsia="Noto Sans CJK SC" w:hAnsi="Liberation Serif" w:cs="Lohit Devanagari"/>
          <w:kern w:val="2"/>
          <w:sz w:val="24"/>
          <w:szCs w:val="24"/>
          <w:lang w:eastAsia="zh-CN" w:bidi="hi-IN"/>
        </w:rPr>
      </w:pPr>
      <w:r w:rsidRPr="00A07F29">
        <w:rPr>
          <w:rFonts w:ascii="Times New Roman" w:eastAsia="Calibri" w:hAnsi="Times New Roman" w:cs="Times New Roman"/>
          <w:kern w:val="2"/>
          <w:sz w:val="24"/>
          <w:szCs w:val="24"/>
          <w:lang w:eastAsia="zh-CN" w:bidi="hi-IN"/>
        </w:rPr>
        <w:t xml:space="preserve">Pēc upju baseina apsaimniekošanas plāna pārskata Daugavas ūdensobjekts D500 novērtēts ar būtisku pārrobežu piesārņojuma slodzi, ko pamato arī slodžu aprēķini un ekoloģiskās kvalitātes dati, kā arī, ņemot vērā izgulsnēšanos no atmosfēras un ar upju noteci nesto un akumulēto piesārņojošo vielu slodzi. Pārrobežu slodze ietekmē arī citus Daugavas ūdensobjektus </w:t>
      </w:r>
      <w:r w:rsidR="00145282" w:rsidRPr="00A07F29">
        <w:rPr>
          <w:rFonts w:ascii="Times New Roman" w:eastAsia="Calibri" w:hAnsi="Times New Roman" w:cs="Times New Roman"/>
          <w:kern w:val="2"/>
          <w:sz w:val="24"/>
          <w:szCs w:val="24"/>
          <w:lang w:eastAsia="zh-CN" w:bidi="hi-IN"/>
        </w:rPr>
        <w:t xml:space="preserve">lejtecē, kā arī pārejas ūdensobjektu Rīgas līcī. </w:t>
      </w:r>
      <w:r w:rsidRPr="00A07F29">
        <w:rPr>
          <w:rFonts w:ascii="Times New Roman" w:eastAsia="Calibri" w:hAnsi="Times New Roman" w:cs="Times New Roman"/>
          <w:kern w:val="2"/>
          <w:sz w:val="24"/>
          <w:szCs w:val="24"/>
          <w:lang w:eastAsia="zh-CN" w:bidi="hi-IN"/>
        </w:rPr>
        <w:t xml:space="preserve">Kopējā pēc </w:t>
      </w:r>
      <w:r w:rsidR="00D22DFB" w:rsidRPr="00A07F29">
        <w:rPr>
          <w:rFonts w:ascii="Times New Roman" w:eastAsia="Calibri" w:hAnsi="Times New Roman" w:cs="Times New Roman"/>
          <w:kern w:val="2"/>
          <w:sz w:val="24"/>
          <w:szCs w:val="24"/>
          <w:lang w:eastAsia="zh-CN" w:bidi="hi-IN"/>
        </w:rPr>
        <w:t xml:space="preserve">bioloģiskajiem kritērijiem noteiktā </w:t>
      </w:r>
      <w:r w:rsidRPr="00A07F29">
        <w:rPr>
          <w:rFonts w:ascii="Times New Roman" w:eastAsia="Calibri" w:hAnsi="Times New Roman" w:cs="Times New Roman"/>
          <w:kern w:val="2"/>
          <w:sz w:val="24"/>
          <w:szCs w:val="24"/>
          <w:lang w:eastAsia="zh-CN" w:bidi="hi-IN"/>
        </w:rPr>
        <w:t>Daugavas un tās pieteku kvalitāte apkopota 2.5.1.1.</w:t>
      </w:r>
      <w:r w:rsidR="008141CF" w:rsidRPr="00A07F29">
        <w:rPr>
          <w:rFonts w:ascii="Times New Roman" w:eastAsia="Calibri" w:hAnsi="Times New Roman" w:cs="Times New Roman"/>
          <w:kern w:val="2"/>
          <w:sz w:val="24"/>
          <w:szCs w:val="24"/>
          <w:lang w:eastAsia="zh-CN" w:bidi="hi-IN"/>
        </w:rPr>
        <w:t> </w:t>
      </w:r>
      <w:r w:rsidRPr="00A07F29">
        <w:rPr>
          <w:rFonts w:ascii="Times New Roman" w:eastAsia="Calibri" w:hAnsi="Times New Roman" w:cs="Times New Roman"/>
          <w:kern w:val="2"/>
          <w:sz w:val="24"/>
          <w:szCs w:val="24"/>
          <w:lang w:eastAsia="zh-CN" w:bidi="hi-IN"/>
        </w:rPr>
        <w:t>tabulā.</w:t>
      </w:r>
    </w:p>
    <w:p w14:paraId="0E5AA07C" w14:textId="11328BE8" w:rsidR="0094598E" w:rsidRPr="00A07F29" w:rsidRDefault="0094598E" w:rsidP="00EB0C9B">
      <w:pPr>
        <w:keepNext/>
        <w:spacing w:after="120" w:line="240" w:lineRule="auto"/>
        <w:jc w:val="center"/>
        <w:rPr>
          <w:rFonts w:ascii="Liberation Serif" w:eastAsia="Noto Sans CJK SC" w:hAnsi="Liberation Serif" w:cs="Lohit Devanagari"/>
          <w:kern w:val="2"/>
          <w:lang w:eastAsia="zh-CN" w:bidi="hi-IN"/>
        </w:rPr>
      </w:pPr>
      <w:r w:rsidRPr="00A07F29">
        <w:rPr>
          <w:rFonts w:ascii="Times New Roman" w:eastAsia="Calibri" w:hAnsi="Times New Roman" w:cs="Times New Roman"/>
          <w:kern w:val="2"/>
          <w:sz w:val="24"/>
          <w:szCs w:val="24"/>
          <w:lang w:eastAsia="zh-CN" w:bidi="hi-IN"/>
        </w:rPr>
        <w:lastRenderedPageBreak/>
        <w:t>2.5.1.1.</w:t>
      </w:r>
      <w:r w:rsidR="008141CF" w:rsidRPr="00A07F29">
        <w:rPr>
          <w:rFonts w:ascii="Times New Roman" w:eastAsia="Calibri" w:hAnsi="Times New Roman" w:cs="Times New Roman"/>
          <w:kern w:val="2"/>
          <w:sz w:val="24"/>
          <w:szCs w:val="24"/>
          <w:lang w:eastAsia="zh-CN" w:bidi="hi-IN"/>
        </w:rPr>
        <w:t> </w:t>
      </w:r>
      <w:r w:rsidRPr="00A07F29">
        <w:rPr>
          <w:rFonts w:ascii="Times New Roman" w:eastAsia="Calibri" w:hAnsi="Times New Roman" w:cs="Times New Roman"/>
          <w:kern w:val="2"/>
          <w:sz w:val="24"/>
          <w:szCs w:val="24"/>
          <w:lang w:eastAsia="zh-CN" w:bidi="hi-IN"/>
        </w:rPr>
        <w:t>tabula. Daugavas un tās pieteku ekoloģiskās kvalitātes novērtējums atbilstoši ES kvalitātes klašu prasībām</w:t>
      </w:r>
      <w:r w:rsidR="46773C2B" w:rsidRPr="00A07F29">
        <w:rPr>
          <w:rFonts w:ascii="Times New Roman" w:eastAsia="Calibri" w:hAnsi="Times New Roman" w:cs="Times New Roman"/>
          <w:kern w:val="2"/>
          <w:sz w:val="24"/>
          <w:szCs w:val="24"/>
          <w:lang w:eastAsia="zh-CN" w:bidi="hi-IN"/>
        </w:rPr>
        <w:t xml:space="preserve"> </w:t>
      </w:r>
      <w:r w:rsidRPr="00A07F29">
        <w:rPr>
          <w:rFonts w:ascii="Times New Roman" w:eastAsia="Calibri" w:hAnsi="Times New Roman" w:cs="Times New Roman"/>
          <w:kern w:val="2"/>
          <w:sz w:val="24"/>
          <w:szCs w:val="24"/>
          <w:lang w:eastAsia="zh-CN" w:bidi="hi-IN"/>
        </w:rPr>
        <w:t>AAA “Augšdaugava” teritorijā</w:t>
      </w:r>
      <w:r w:rsidR="00FC49DC" w:rsidRPr="00A07F29">
        <w:rPr>
          <w:rFonts w:ascii="Times New Roman" w:eastAsia="Calibri" w:hAnsi="Times New Roman" w:cs="Times New Roman"/>
          <w:kern w:val="2"/>
          <w:sz w:val="24"/>
          <w:szCs w:val="24"/>
          <w:lang w:eastAsia="zh-CN" w:bidi="hi-IN"/>
        </w:rPr>
        <w:t xml:space="preserve"> </w:t>
      </w:r>
      <w:r w:rsidRPr="00A07F29">
        <w:rPr>
          <w:rFonts w:ascii="Times New Roman" w:eastAsia="Calibri" w:hAnsi="Times New Roman" w:cs="Times New Roman"/>
          <w:kern w:val="2"/>
          <w:lang w:eastAsia="zh-CN" w:bidi="hi-IN"/>
        </w:rPr>
        <w:t>(LVĢMC vides kvalitātes 2014.</w:t>
      </w:r>
      <w:r w:rsidR="00BB14A9" w:rsidRPr="00A07F29">
        <w:rPr>
          <w:rFonts w:ascii="Times New Roman" w:eastAsia="Calibri" w:hAnsi="Times New Roman" w:cs="Times New Roman"/>
          <w:kern w:val="2"/>
          <w:lang w:eastAsia="zh-CN" w:bidi="hi-IN"/>
        </w:rPr>
        <w:t> – </w:t>
      </w:r>
      <w:r w:rsidRPr="00A07F29">
        <w:rPr>
          <w:rFonts w:ascii="Times New Roman" w:eastAsia="Calibri" w:hAnsi="Times New Roman" w:cs="Times New Roman"/>
          <w:kern w:val="2"/>
          <w:lang w:eastAsia="zh-CN" w:bidi="hi-IN"/>
        </w:rPr>
        <w:t>2018.</w:t>
      </w:r>
      <w:r w:rsidR="00BB14A9" w:rsidRPr="00A07F29">
        <w:rPr>
          <w:rFonts w:ascii="Times New Roman" w:eastAsia="Calibri" w:hAnsi="Times New Roman" w:cs="Times New Roman"/>
          <w:kern w:val="2"/>
          <w:lang w:eastAsia="zh-CN" w:bidi="hi-IN"/>
        </w:rPr>
        <w:t> </w:t>
      </w:r>
      <w:r w:rsidRPr="00A07F29">
        <w:rPr>
          <w:rFonts w:ascii="Times New Roman" w:eastAsia="Calibri" w:hAnsi="Times New Roman" w:cs="Times New Roman"/>
          <w:kern w:val="2"/>
          <w:lang w:eastAsia="zh-CN" w:bidi="hi-IN"/>
        </w:rPr>
        <w:t>gadu atskaites)</w:t>
      </w:r>
    </w:p>
    <w:p w14:paraId="45CB60A8" w14:textId="77777777" w:rsidR="0094598E" w:rsidRPr="00A07F29" w:rsidRDefault="0094598E" w:rsidP="00FA351B">
      <w:pPr>
        <w:spacing w:after="120" w:line="240" w:lineRule="auto"/>
        <w:jc w:val="center"/>
        <w:rPr>
          <w:rFonts w:ascii="Liberation Serif" w:eastAsia="Noto Sans CJK SC" w:hAnsi="Liberation Serif" w:cs="Lohit Devanagari"/>
          <w:kern w:val="2"/>
          <w:sz w:val="24"/>
          <w:szCs w:val="24"/>
          <w:lang w:eastAsia="zh-CN" w:bidi="hi-IN"/>
        </w:rPr>
      </w:pPr>
      <w:r w:rsidRPr="00A07F29">
        <w:rPr>
          <w:noProof/>
          <w:lang w:eastAsia="lv-LV"/>
        </w:rPr>
        <w:drawing>
          <wp:inline distT="0" distB="0" distL="0" distR="0" wp14:anchorId="66338151" wp14:editId="1F119B5E">
            <wp:extent cx="5734052" cy="3000375"/>
            <wp:effectExtent l="0" t="0" r="0" b="0"/>
            <wp:docPr id="4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25">
                      <a:extLst>
                        <a:ext uri="{28A0092B-C50C-407E-A947-70E740481C1C}">
                          <a14:useLocalDpi xmlns:a14="http://schemas.microsoft.com/office/drawing/2010/main"/>
                        </a:ext>
                      </a:extLst>
                    </a:blip>
                    <a:stretch>
                      <a:fillRect/>
                    </a:stretch>
                  </pic:blipFill>
                  <pic:spPr>
                    <a:xfrm>
                      <a:off x="0" y="0"/>
                      <a:ext cx="5734052" cy="3000375"/>
                    </a:xfrm>
                    <a:prstGeom prst="rect">
                      <a:avLst/>
                    </a:prstGeom>
                  </pic:spPr>
                </pic:pic>
              </a:graphicData>
            </a:graphic>
          </wp:inline>
        </w:drawing>
      </w:r>
    </w:p>
    <w:p w14:paraId="2647DBEF" w14:textId="76D18EB7" w:rsidR="0094598E" w:rsidRPr="00A07F29" w:rsidRDefault="0094598E" w:rsidP="00FA351B">
      <w:pPr>
        <w:spacing w:after="120" w:line="240" w:lineRule="auto"/>
        <w:ind w:firstLine="851"/>
        <w:jc w:val="both"/>
        <w:rPr>
          <w:rFonts w:ascii="Liberation Serif" w:eastAsia="Noto Sans CJK SC" w:hAnsi="Liberation Serif" w:cs="Lohit Devanagari"/>
          <w:kern w:val="2"/>
          <w:sz w:val="24"/>
          <w:szCs w:val="24"/>
          <w:lang w:eastAsia="zh-CN" w:bidi="hi-IN"/>
        </w:rPr>
      </w:pPr>
      <w:r w:rsidRPr="00A07F29">
        <w:rPr>
          <w:rFonts w:ascii="Times New Roman" w:eastAsia="Calibri" w:hAnsi="Times New Roman" w:cs="Times New Roman"/>
          <w:kern w:val="2"/>
          <w:sz w:val="24"/>
          <w:szCs w:val="24"/>
          <w:lang w:eastAsia="zh-CN" w:bidi="hi-IN"/>
        </w:rPr>
        <w:t xml:space="preserve">Ne tikai </w:t>
      </w:r>
      <w:proofErr w:type="spellStart"/>
      <w:r w:rsidRPr="00A07F29">
        <w:rPr>
          <w:rFonts w:ascii="Times New Roman" w:eastAsia="Calibri" w:hAnsi="Times New Roman" w:cs="Times New Roman"/>
          <w:kern w:val="2"/>
          <w:sz w:val="24"/>
          <w:szCs w:val="24"/>
          <w:lang w:eastAsia="zh-CN" w:bidi="hi-IN"/>
        </w:rPr>
        <w:t>biogēno</w:t>
      </w:r>
      <w:proofErr w:type="spellEnd"/>
      <w:r w:rsidRPr="00A07F29">
        <w:rPr>
          <w:rFonts w:ascii="Times New Roman" w:eastAsia="Calibri" w:hAnsi="Times New Roman" w:cs="Times New Roman"/>
          <w:kern w:val="2"/>
          <w:sz w:val="24"/>
          <w:szCs w:val="24"/>
          <w:lang w:eastAsia="zh-CN" w:bidi="hi-IN"/>
        </w:rPr>
        <w:t xml:space="preserve"> vielu – slāpekļa un fosfora slodzes palielinājums pierobežā, bet arī toksisko prioritāro vielu klātbūtne rada riskus un apdraudējumus Daugavas ūdeņu kvalitātei Latvijas teritorijā.</w:t>
      </w:r>
    </w:p>
    <w:p w14:paraId="2DCD1D91" w14:textId="77777777" w:rsidR="0094598E" w:rsidRPr="00A07F29" w:rsidRDefault="0094598E" w:rsidP="00FA351B">
      <w:pPr>
        <w:spacing w:after="120" w:line="240" w:lineRule="auto"/>
        <w:jc w:val="center"/>
        <w:rPr>
          <w:rFonts w:ascii="Liberation Serif" w:eastAsia="Noto Sans CJK SC" w:hAnsi="Liberation Serif" w:cs="Lohit Devanagari"/>
          <w:kern w:val="2"/>
          <w:sz w:val="24"/>
          <w:szCs w:val="24"/>
          <w:lang w:eastAsia="zh-CN" w:bidi="hi-IN"/>
        </w:rPr>
      </w:pPr>
      <w:r w:rsidRPr="00A07F29">
        <w:rPr>
          <w:rFonts w:ascii="Liberation Serif" w:eastAsia="Noto Sans CJK SC" w:hAnsi="Liberation Serif" w:cs="Lohit Devanagari"/>
          <w:noProof/>
          <w:kern w:val="2"/>
          <w:sz w:val="24"/>
          <w:szCs w:val="24"/>
          <w:lang w:eastAsia="lv-LV"/>
        </w:rPr>
        <w:drawing>
          <wp:inline distT="0" distB="0" distL="0" distR="0" wp14:anchorId="313FFC82" wp14:editId="6FDFFD5F">
            <wp:extent cx="4857750" cy="3124200"/>
            <wp:effectExtent l="0" t="0" r="0" b="0"/>
            <wp:docPr id="4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email">
                      <a:extLst>
                        <a:ext uri="{28A0092B-C50C-407E-A947-70E740481C1C}">
                          <a14:useLocalDpi xmlns:a14="http://schemas.microsoft.com/office/drawing/2010/main"/>
                        </a:ext>
                      </a:extLst>
                    </a:blip>
                    <a:srcRect/>
                    <a:stretch>
                      <a:fillRect/>
                    </a:stretch>
                  </pic:blipFill>
                  <pic:spPr bwMode="auto">
                    <a:xfrm>
                      <a:off x="0" y="0"/>
                      <a:ext cx="4857750" cy="3124200"/>
                    </a:xfrm>
                    <a:prstGeom prst="rect">
                      <a:avLst/>
                    </a:prstGeom>
                    <a:noFill/>
                    <a:ln>
                      <a:noFill/>
                    </a:ln>
                  </pic:spPr>
                </pic:pic>
              </a:graphicData>
            </a:graphic>
          </wp:inline>
        </w:drawing>
      </w:r>
    </w:p>
    <w:p w14:paraId="30F410EE" w14:textId="4D85BAE1" w:rsidR="0094598E" w:rsidRPr="0000206E" w:rsidRDefault="0094598E" w:rsidP="004814E0">
      <w:pPr>
        <w:spacing w:after="120" w:line="240" w:lineRule="auto"/>
        <w:ind w:left="567"/>
        <w:jc w:val="both"/>
        <w:rPr>
          <w:rFonts w:ascii="Liberation Serif" w:eastAsia="Noto Sans CJK SC" w:hAnsi="Liberation Serif" w:cs="Lohit Devanagari"/>
          <w:kern w:val="2"/>
          <w:sz w:val="20"/>
          <w:szCs w:val="20"/>
          <w:lang w:eastAsia="zh-CN" w:bidi="hi-IN"/>
        </w:rPr>
      </w:pPr>
      <w:r w:rsidRPr="0000206E">
        <w:rPr>
          <w:rFonts w:ascii="Times New Roman" w:eastAsia="Calibri" w:hAnsi="Times New Roman" w:cs="Times New Roman"/>
          <w:kern w:val="2"/>
          <w:sz w:val="20"/>
          <w:szCs w:val="20"/>
          <w:lang w:eastAsia="zh-CN" w:bidi="hi-IN"/>
        </w:rPr>
        <w:t>2.5.1.</w:t>
      </w:r>
      <w:r w:rsidR="00BE7BB7" w:rsidRPr="0000206E">
        <w:rPr>
          <w:rFonts w:ascii="Times New Roman" w:eastAsia="Calibri" w:hAnsi="Times New Roman" w:cs="Times New Roman"/>
          <w:kern w:val="2"/>
          <w:sz w:val="20"/>
          <w:szCs w:val="20"/>
          <w:lang w:eastAsia="zh-CN" w:bidi="hi-IN"/>
        </w:rPr>
        <w:t>5</w:t>
      </w:r>
      <w:r w:rsidRPr="0000206E">
        <w:rPr>
          <w:rFonts w:ascii="Times New Roman" w:eastAsia="Calibri" w:hAnsi="Times New Roman" w:cs="Times New Roman"/>
          <w:kern w:val="2"/>
          <w:sz w:val="20"/>
          <w:szCs w:val="20"/>
          <w:lang w:eastAsia="zh-CN" w:bidi="hi-IN"/>
        </w:rPr>
        <w:t>.</w:t>
      </w:r>
      <w:r w:rsidR="00B4365A" w:rsidRPr="0000206E">
        <w:rPr>
          <w:rFonts w:ascii="Times New Roman" w:eastAsia="Calibri" w:hAnsi="Times New Roman" w:cs="Times New Roman"/>
          <w:kern w:val="2"/>
          <w:sz w:val="20"/>
          <w:szCs w:val="20"/>
          <w:lang w:eastAsia="zh-CN" w:bidi="hi-IN"/>
        </w:rPr>
        <w:t> </w:t>
      </w:r>
      <w:r w:rsidRPr="0000206E">
        <w:rPr>
          <w:rFonts w:ascii="Times New Roman" w:eastAsia="Calibri" w:hAnsi="Times New Roman" w:cs="Times New Roman"/>
          <w:kern w:val="2"/>
          <w:sz w:val="20"/>
          <w:szCs w:val="20"/>
          <w:lang w:eastAsia="zh-CN" w:bidi="hi-IN"/>
        </w:rPr>
        <w:t>attēls</w:t>
      </w:r>
      <w:r w:rsidR="00D22DFB" w:rsidRPr="0000206E">
        <w:rPr>
          <w:rFonts w:ascii="Times New Roman" w:eastAsia="Calibri" w:hAnsi="Times New Roman" w:cs="Times New Roman"/>
          <w:kern w:val="2"/>
          <w:sz w:val="20"/>
          <w:szCs w:val="20"/>
          <w:lang w:eastAsia="zh-CN" w:bidi="hi-IN"/>
        </w:rPr>
        <w:t>.</w:t>
      </w:r>
      <w:r w:rsidRPr="0000206E">
        <w:rPr>
          <w:rFonts w:ascii="Times New Roman" w:eastAsia="Calibri" w:hAnsi="Times New Roman" w:cs="Times New Roman"/>
          <w:kern w:val="2"/>
          <w:sz w:val="20"/>
          <w:szCs w:val="20"/>
          <w:lang w:eastAsia="zh-CN" w:bidi="hi-IN"/>
        </w:rPr>
        <w:t xml:space="preserve"> Municipālo un pesticīdu atkritumu poligoni Baltkrievijas teritorijā Daugavas upju baseina teritorijā (Kuzmin</w:t>
      </w:r>
      <w:r w:rsidR="004C3995" w:rsidRPr="0000206E">
        <w:rPr>
          <w:rFonts w:ascii="Times New Roman" w:eastAsia="Calibri" w:hAnsi="Times New Roman" w:cs="Times New Roman"/>
          <w:kern w:val="2"/>
          <w:sz w:val="20"/>
          <w:szCs w:val="20"/>
          <w:lang w:eastAsia="zh-CN" w:bidi="hi-IN"/>
        </w:rPr>
        <w:t xml:space="preserve"> S.,</w:t>
      </w:r>
      <w:r w:rsidRPr="0000206E">
        <w:rPr>
          <w:rFonts w:ascii="Times New Roman" w:eastAsia="Calibri" w:hAnsi="Times New Roman" w:cs="Times New Roman"/>
          <w:kern w:val="2"/>
          <w:sz w:val="20"/>
          <w:szCs w:val="20"/>
          <w:lang w:eastAsia="zh-CN" w:bidi="hi-IN"/>
        </w:rPr>
        <w:t xml:space="preserve"> </w:t>
      </w:r>
      <w:proofErr w:type="spellStart"/>
      <w:r w:rsidRPr="0000206E">
        <w:rPr>
          <w:rFonts w:ascii="Times New Roman" w:eastAsia="Calibri" w:hAnsi="Times New Roman" w:cs="Times New Roman"/>
          <w:kern w:val="2"/>
          <w:sz w:val="20"/>
          <w:szCs w:val="20"/>
          <w:lang w:eastAsia="zh-CN" w:bidi="hi-IN"/>
        </w:rPr>
        <w:t>et</w:t>
      </w:r>
      <w:proofErr w:type="spellEnd"/>
      <w:r w:rsidRPr="0000206E">
        <w:rPr>
          <w:rFonts w:ascii="Times New Roman" w:eastAsia="Calibri" w:hAnsi="Times New Roman" w:cs="Times New Roman"/>
          <w:kern w:val="2"/>
          <w:sz w:val="20"/>
          <w:szCs w:val="20"/>
          <w:lang w:eastAsia="zh-CN" w:bidi="hi-IN"/>
        </w:rPr>
        <w:t xml:space="preserve"> </w:t>
      </w:r>
      <w:proofErr w:type="spellStart"/>
      <w:r w:rsidRPr="0000206E">
        <w:rPr>
          <w:rFonts w:ascii="Times New Roman" w:eastAsia="Calibri" w:hAnsi="Times New Roman" w:cs="Times New Roman"/>
          <w:kern w:val="2"/>
          <w:sz w:val="20"/>
          <w:szCs w:val="20"/>
          <w:lang w:eastAsia="zh-CN" w:bidi="hi-IN"/>
        </w:rPr>
        <w:t>al</w:t>
      </w:r>
      <w:proofErr w:type="spellEnd"/>
      <w:r w:rsidRPr="0000206E">
        <w:rPr>
          <w:rFonts w:ascii="Times New Roman" w:eastAsia="Calibri" w:hAnsi="Times New Roman" w:cs="Times New Roman"/>
          <w:kern w:val="2"/>
          <w:sz w:val="20"/>
          <w:szCs w:val="20"/>
          <w:lang w:eastAsia="zh-CN" w:bidi="hi-IN"/>
        </w:rPr>
        <w:t>, 2017)</w:t>
      </w:r>
      <w:r w:rsidR="00D22DFB" w:rsidRPr="0000206E">
        <w:rPr>
          <w:rFonts w:ascii="Times New Roman" w:eastAsia="Calibri" w:hAnsi="Times New Roman" w:cs="Times New Roman"/>
          <w:kern w:val="2"/>
          <w:sz w:val="20"/>
          <w:szCs w:val="20"/>
          <w:lang w:eastAsia="zh-CN" w:bidi="hi-IN"/>
        </w:rPr>
        <w:t>.</w:t>
      </w:r>
    </w:p>
    <w:p w14:paraId="1E3A385B" w14:textId="7609C385" w:rsidR="0094598E" w:rsidRPr="00A07F29" w:rsidRDefault="0094598E" w:rsidP="00D22DFB">
      <w:pPr>
        <w:spacing w:after="120" w:line="240" w:lineRule="auto"/>
        <w:ind w:firstLine="851"/>
        <w:jc w:val="both"/>
        <w:rPr>
          <w:rFonts w:ascii="Times New Roman" w:eastAsia="Calibri" w:hAnsi="Times New Roman" w:cs="Times New Roman"/>
          <w:kern w:val="2"/>
          <w:sz w:val="24"/>
          <w:szCs w:val="24"/>
          <w:lang w:eastAsia="zh-CN" w:bidi="hi-IN"/>
        </w:rPr>
      </w:pPr>
      <w:r w:rsidRPr="00A07F29">
        <w:rPr>
          <w:rFonts w:ascii="Times New Roman" w:eastAsia="Calibri" w:hAnsi="Times New Roman" w:cs="Times New Roman"/>
          <w:kern w:val="2"/>
          <w:sz w:val="24"/>
          <w:szCs w:val="24"/>
          <w:lang w:eastAsia="zh-CN" w:bidi="hi-IN"/>
        </w:rPr>
        <w:t>Saskaņā ar Baltkrievijas zinātnieku pētījumu rezultātiem visaugstākais piesārņojuma indekss konstatēts Novopolockas poligonam</w:t>
      </w:r>
      <w:r w:rsidR="00D22DFB" w:rsidRPr="00A07F29">
        <w:rPr>
          <w:rFonts w:ascii="Times New Roman" w:eastAsia="Calibri" w:hAnsi="Times New Roman" w:cs="Times New Roman"/>
          <w:kern w:val="2"/>
          <w:sz w:val="24"/>
          <w:szCs w:val="24"/>
          <w:lang w:eastAsia="zh-CN" w:bidi="hi-IN"/>
        </w:rPr>
        <w:t xml:space="preserve"> (</w:t>
      </w:r>
      <w:r w:rsidR="00FB23F7" w:rsidRPr="00A07F29">
        <w:rPr>
          <w:rFonts w:ascii="Times New Roman" w:eastAsia="Calibri" w:hAnsi="Times New Roman" w:cs="Times New Roman"/>
          <w:kern w:val="2"/>
          <w:sz w:val="24"/>
          <w:szCs w:val="24"/>
          <w:lang w:eastAsia="zh-CN" w:bidi="hi-IN"/>
        </w:rPr>
        <w:t xml:space="preserve">skat. </w:t>
      </w:r>
      <w:r w:rsidR="00D22DFB" w:rsidRPr="00A07F29">
        <w:rPr>
          <w:rFonts w:ascii="Times New Roman" w:eastAsia="Calibri" w:hAnsi="Times New Roman" w:cs="Times New Roman"/>
          <w:kern w:val="2"/>
          <w:sz w:val="24"/>
          <w:szCs w:val="24"/>
          <w:lang w:eastAsia="zh-CN" w:bidi="hi-IN"/>
        </w:rPr>
        <w:t>2.5.1.</w:t>
      </w:r>
      <w:r w:rsidR="006B6371" w:rsidRPr="00A07F29">
        <w:rPr>
          <w:rFonts w:ascii="Times New Roman" w:eastAsia="Calibri" w:hAnsi="Times New Roman" w:cs="Times New Roman"/>
          <w:kern w:val="2"/>
          <w:sz w:val="24"/>
          <w:szCs w:val="24"/>
          <w:lang w:eastAsia="zh-CN" w:bidi="hi-IN"/>
        </w:rPr>
        <w:t>5</w:t>
      </w:r>
      <w:r w:rsidR="00D22DFB" w:rsidRPr="00A07F29">
        <w:rPr>
          <w:rFonts w:ascii="Times New Roman" w:eastAsia="Calibri" w:hAnsi="Times New Roman" w:cs="Times New Roman"/>
          <w:kern w:val="2"/>
          <w:sz w:val="24"/>
          <w:szCs w:val="24"/>
          <w:lang w:eastAsia="zh-CN" w:bidi="hi-IN"/>
        </w:rPr>
        <w:t>.</w:t>
      </w:r>
      <w:r w:rsidR="00FB23F7" w:rsidRPr="00A07F29">
        <w:rPr>
          <w:rFonts w:ascii="Times New Roman" w:eastAsia="Calibri" w:hAnsi="Times New Roman" w:cs="Times New Roman"/>
          <w:kern w:val="2"/>
          <w:sz w:val="24"/>
          <w:szCs w:val="24"/>
          <w:lang w:eastAsia="zh-CN" w:bidi="hi-IN"/>
        </w:rPr>
        <w:t> </w:t>
      </w:r>
      <w:r w:rsidR="00D22DFB" w:rsidRPr="00A07F29">
        <w:rPr>
          <w:rFonts w:ascii="Times New Roman" w:eastAsia="Calibri" w:hAnsi="Times New Roman" w:cs="Times New Roman"/>
          <w:kern w:val="2"/>
          <w:sz w:val="24"/>
          <w:szCs w:val="24"/>
          <w:lang w:eastAsia="zh-CN" w:bidi="hi-IN"/>
        </w:rPr>
        <w:t>attēls),</w:t>
      </w:r>
      <w:r w:rsidRPr="00A07F29">
        <w:rPr>
          <w:rFonts w:ascii="Times New Roman" w:eastAsia="Calibri" w:hAnsi="Times New Roman" w:cs="Times New Roman"/>
          <w:kern w:val="2"/>
          <w:sz w:val="24"/>
          <w:szCs w:val="24"/>
          <w:lang w:eastAsia="zh-CN" w:bidi="hi-IN"/>
        </w:rPr>
        <w:t xml:space="preserve"> kas atrodas Daugavas (</w:t>
      </w:r>
      <w:proofErr w:type="spellStart"/>
      <w:r w:rsidRPr="00A07F29">
        <w:rPr>
          <w:rFonts w:ascii="Times New Roman" w:eastAsia="Calibri" w:hAnsi="Times New Roman" w:cs="Times New Roman"/>
          <w:kern w:val="2"/>
          <w:sz w:val="24"/>
          <w:szCs w:val="24"/>
          <w:lang w:eastAsia="zh-CN" w:bidi="hi-IN"/>
        </w:rPr>
        <w:t>Zapadnaja</w:t>
      </w:r>
      <w:proofErr w:type="spellEnd"/>
      <w:r w:rsidRPr="00A07F29">
        <w:rPr>
          <w:rFonts w:ascii="Times New Roman" w:eastAsia="Calibri" w:hAnsi="Times New Roman" w:cs="Times New Roman"/>
          <w:kern w:val="2"/>
          <w:sz w:val="24"/>
          <w:szCs w:val="24"/>
          <w:lang w:eastAsia="zh-CN" w:bidi="hi-IN"/>
        </w:rPr>
        <w:t xml:space="preserve"> Dvina) krastos </w:t>
      </w:r>
      <w:r w:rsidR="009E754C" w:rsidRPr="00A07F29">
        <w:rPr>
          <w:rFonts w:ascii="Times New Roman" w:eastAsia="Calibri" w:hAnsi="Times New Roman" w:cs="Times New Roman"/>
          <w:kern w:val="2"/>
          <w:sz w:val="24"/>
          <w:szCs w:val="24"/>
          <w:lang w:eastAsia="zh-CN" w:bidi="hi-IN"/>
        </w:rPr>
        <w:t>(</w:t>
      </w:r>
      <w:r w:rsidR="00D22DFB" w:rsidRPr="00A07F29">
        <w:rPr>
          <w:rFonts w:ascii="Times New Roman" w:eastAsia="Calibri" w:hAnsi="Times New Roman" w:cs="Times New Roman"/>
          <w:kern w:val="2"/>
          <w:sz w:val="24"/>
          <w:szCs w:val="24"/>
          <w:lang w:eastAsia="zh-CN" w:bidi="hi-IN"/>
        </w:rPr>
        <w:t>Kuzmin</w:t>
      </w:r>
      <w:r w:rsidR="009E754C" w:rsidRPr="00A07F29">
        <w:rPr>
          <w:rFonts w:ascii="Times New Roman" w:eastAsia="Calibri" w:hAnsi="Times New Roman" w:cs="Times New Roman"/>
          <w:kern w:val="2"/>
          <w:sz w:val="24"/>
          <w:szCs w:val="24"/>
          <w:lang w:eastAsia="zh-CN" w:bidi="hi-IN"/>
        </w:rPr>
        <w:t xml:space="preserve"> S.,</w:t>
      </w:r>
      <w:r w:rsidR="00D22DFB" w:rsidRPr="00A07F29">
        <w:rPr>
          <w:rFonts w:ascii="Times New Roman" w:eastAsia="Calibri" w:hAnsi="Times New Roman" w:cs="Times New Roman"/>
          <w:kern w:val="2"/>
          <w:sz w:val="24"/>
          <w:szCs w:val="24"/>
          <w:lang w:eastAsia="zh-CN" w:bidi="hi-IN"/>
        </w:rPr>
        <w:t xml:space="preserve"> </w:t>
      </w:r>
      <w:proofErr w:type="spellStart"/>
      <w:r w:rsidR="00D22DFB" w:rsidRPr="00A07F29">
        <w:rPr>
          <w:rFonts w:ascii="Times New Roman" w:eastAsia="Calibri" w:hAnsi="Times New Roman" w:cs="Times New Roman"/>
          <w:kern w:val="2"/>
          <w:sz w:val="24"/>
          <w:szCs w:val="24"/>
          <w:lang w:eastAsia="zh-CN" w:bidi="hi-IN"/>
        </w:rPr>
        <w:t>et</w:t>
      </w:r>
      <w:proofErr w:type="spellEnd"/>
      <w:r w:rsidR="00D22DFB" w:rsidRPr="00A07F29">
        <w:rPr>
          <w:rFonts w:ascii="Times New Roman" w:eastAsia="Calibri" w:hAnsi="Times New Roman" w:cs="Times New Roman"/>
          <w:kern w:val="2"/>
          <w:sz w:val="24"/>
          <w:szCs w:val="24"/>
          <w:lang w:eastAsia="zh-CN" w:bidi="hi-IN"/>
        </w:rPr>
        <w:t xml:space="preserve"> </w:t>
      </w:r>
      <w:proofErr w:type="spellStart"/>
      <w:r w:rsidR="00D22DFB" w:rsidRPr="00A07F29">
        <w:rPr>
          <w:rFonts w:ascii="Times New Roman" w:eastAsia="Calibri" w:hAnsi="Times New Roman" w:cs="Times New Roman"/>
          <w:kern w:val="2"/>
          <w:sz w:val="24"/>
          <w:szCs w:val="24"/>
          <w:lang w:eastAsia="zh-CN" w:bidi="hi-IN"/>
        </w:rPr>
        <w:t>al</w:t>
      </w:r>
      <w:proofErr w:type="spellEnd"/>
      <w:r w:rsidR="00D22DFB" w:rsidRPr="00A07F29">
        <w:rPr>
          <w:rFonts w:ascii="Times New Roman" w:eastAsia="Calibri" w:hAnsi="Times New Roman" w:cs="Times New Roman"/>
          <w:kern w:val="2"/>
          <w:sz w:val="24"/>
          <w:szCs w:val="24"/>
          <w:lang w:eastAsia="zh-CN" w:bidi="hi-IN"/>
        </w:rPr>
        <w:t>, 2017</w:t>
      </w:r>
      <w:r w:rsidRPr="00A07F29">
        <w:rPr>
          <w:rFonts w:ascii="Times New Roman" w:eastAsia="Calibri" w:hAnsi="Times New Roman" w:cs="Times New Roman"/>
          <w:kern w:val="2"/>
          <w:sz w:val="24"/>
          <w:szCs w:val="24"/>
          <w:lang w:eastAsia="zh-CN" w:bidi="hi-IN"/>
        </w:rPr>
        <w:t xml:space="preserve">). Arī lielie ķīmiskie ražošanas kombināti, kas </w:t>
      </w:r>
      <w:r w:rsidR="00D22DFB" w:rsidRPr="00A07F29">
        <w:rPr>
          <w:rFonts w:ascii="Times New Roman" w:eastAsia="Calibri" w:hAnsi="Times New Roman" w:cs="Times New Roman"/>
          <w:kern w:val="2"/>
          <w:sz w:val="24"/>
          <w:szCs w:val="24"/>
          <w:lang w:eastAsia="zh-CN" w:bidi="hi-IN"/>
        </w:rPr>
        <w:t>atrodas</w:t>
      </w:r>
      <w:r w:rsidRPr="00A07F29">
        <w:rPr>
          <w:rFonts w:ascii="Times New Roman" w:eastAsia="Calibri" w:hAnsi="Times New Roman" w:cs="Times New Roman"/>
          <w:kern w:val="2"/>
          <w:sz w:val="24"/>
          <w:szCs w:val="24"/>
          <w:lang w:eastAsia="zh-CN" w:bidi="hi-IN"/>
        </w:rPr>
        <w:t xml:space="preserve"> šajā reģionā</w:t>
      </w:r>
      <w:r w:rsidR="00D22DFB" w:rsidRPr="00A07F29">
        <w:rPr>
          <w:rFonts w:ascii="Times New Roman" w:eastAsia="Calibri" w:hAnsi="Times New Roman" w:cs="Times New Roman"/>
          <w:kern w:val="2"/>
          <w:sz w:val="24"/>
          <w:szCs w:val="24"/>
          <w:lang w:eastAsia="zh-CN" w:bidi="hi-IN"/>
        </w:rPr>
        <w:t>,</w:t>
      </w:r>
      <w:r w:rsidRPr="00A07F29">
        <w:rPr>
          <w:rFonts w:ascii="Times New Roman" w:eastAsia="Calibri" w:hAnsi="Times New Roman" w:cs="Times New Roman"/>
          <w:kern w:val="2"/>
          <w:sz w:val="24"/>
          <w:szCs w:val="24"/>
          <w:lang w:eastAsia="zh-CN" w:bidi="hi-IN"/>
        </w:rPr>
        <w:t xml:space="preserve"> papildus rada </w:t>
      </w:r>
      <w:proofErr w:type="spellStart"/>
      <w:r w:rsidRPr="00A07F29">
        <w:rPr>
          <w:rFonts w:ascii="Times New Roman" w:eastAsia="Calibri" w:hAnsi="Times New Roman" w:cs="Times New Roman"/>
          <w:kern w:val="2"/>
          <w:sz w:val="24"/>
          <w:szCs w:val="24"/>
          <w:lang w:eastAsia="zh-CN" w:bidi="hi-IN"/>
        </w:rPr>
        <w:t>potencilālus</w:t>
      </w:r>
      <w:proofErr w:type="spellEnd"/>
      <w:r w:rsidRPr="00A07F29">
        <w:rPr>
          <w:rFonts w:ascii="Times New Roman" w:eastAsia="Calibri" w:hAnsi="Times New Roman" w:cs="Times New Roman"/>
          <w:kern w:val="2"/>
          <w:sz w:val="24"/>
          <w:szCs w:val="24"/>
          <w:lang w:eastAsia="zh-CN" w:bidi="hi-IN"/>
        </w:rPr>
        <w:t xml:space="preserve"> riskus pie avārijas situācijām.</w:t>
      </w:r>
    </w:p>
    <w:p w14:paraId="06BBBE2E" w14:textId="2427D266" w:rsidR="00507C42" w:rsidRPr="00A07F29" w:rsidRDefault="00CA3F2F" w:rsidP="00D22DFB">
      <w:pPr>
        <w:spacing w:after="120" w:line="240" w:lineRule="auto"/>
        <w:ind w:firstLine="851"/>
        <w:jc w:val="both"/>
        <w:rPr>
          <w:rFonts w:ascii="Liberation Serif" w:eastAsia="Noto Sans CJK SC" w:hAnsi="Liberation Serif" w:cs="Lohit Devanagari"/>
          <w:kern w:val="2"/>
          <w:sz w:val="24"/>
          <w:szCs w:val="24"/>
          <w:lang w:eastAsia="zh-CN" w:bidi="hi-IN"/>
        </w:rPr>
      </w:pPr>
      <w:r w:rsidRPr="00A07F29">
        <w:rPr>
          <w:rFonts w:ascii="Liberation Serif" w:eastAsia="Noto Sans CJK SC" w:hAnsi="Liberation Serif" w:cs="Lohit Devanagari"/>
          <w:kern w:val="2"/>
          <w:sz w:val="24"/>
          <w:szCs w:val="24"/>
          <w:lang w:eastAsia="zh-CN" w:bidi="hi-IN"/>
        </w:rPr>
        <w:t>2007.</w:t>
      </w:r>
      <w:r w:rsidR="009E754C" w:rsidRPr="00A07F29">
        <w:rPr>
          <w:rFonts w:ascii="Liberation Serif" w:eastAsia="Noto Sans CJK SC" w:hAnsi="Liberation Serif" w:cs="Lohit Devanagari"/>
          <w:kern w:val="2"/>
          <w:sz w:val="24"/>
          <w:szCs w:val="24"/>
          <w:lang w:eastAsia="zh-CN" w:bidi="hi-IN"/>
        </w:rPr>
        <w:t> </w:t>
      </w:r>
      <w:r w:rsidRPr="00A07F29">
        <w:rPr>
          <w:rFonts w:ascii="Liberation Serif" w:eastAsia="Noto Sans CJK SC" w:hAnsi="Liberation Serif" w:cs="Lohit Devanagari"/>
          <w:kern w:val="2"/>
          <w:sz w:val="24"/>
          <w:szCs w:val="24"/>
          <w:lang w:eastAsia="zh-CN" w:bidi="hi-IN"/>
        </w:rPr>
        <w:t>gad</w:t>
      </w:r>
      <w:r w:rsidR="00507C42" w:rsidRPr="00A07F29">
        <w:rPr>
          <w:rFonts w:ascii="Liberation Serif" w:eastAsia="Noto Sans CJK SC" w:hAnsi="Liberation Serif" w:cs="Lohit Devanagari"/>
          <w:kern w:val="2"/>
          <w:sz w:val="24"/>
          <w:szCs w:val="24"/>
          <w:lang w:eastAsia="zh-CN" w:bidi="hi-IN"/>
        </w:rPr>
        <w:t xml:space="preserve">ā Baltkrievijā notika </w:t>
      </w:r>
      <w:r w:rsidRPr="00A07F29">
        <w:rPr>
          <w:rFonts w:ascii="Liberation Serif" w:eastAsia="Noto Sans CJK SC" w:hAnsi="Liberation Serif" w:cs="Lohit Devanagari"/>
          <w:kern w:val="2"/>
          <w:sz w:val="24"/>
          <w:szCs w:val="24"/>
          <w:lang w:eastAsia="zh-CN" w:bidi="hi-IN"/>
        </w:rPr>
        <w:t>maģistrālā cauruļvada avārija</w:t>
      </w:r>
      <w:r w:rsidR="00507C42" w:rsidRPr="00A07F29">
        <w:rPr>
          <w:rFonts w:ascii="Liberation Serif" w:eastAsia="Noto Sans CJK SC" w:hAnsi="Liberation Serif" w:cs="Lohit Devanagari"/>
          <w:kern w:val="2"/>
          <w:sz w:val="24"/>
          <w:szCs w:val="24"/>
          <w:lang w:eastAsia="zh-CN" w:bidi="hi-IN"/>
        </w:rPr>
        <w:t>, kura</w:t>
      </w:r>
      <w:r w:rsidRPr="00A07F29">
        <w:rPr>
          <w:rFonts w:ascii="Liberation Serif" w:eastAsia="Noto Sans CJK SC" w:hAnsi="Liberation Serif" w:cs="Lohit Devanagari"/>
          <w:kern w:val="2"/>
          <w:sz w:val="24"/>
          <w:szCs w:val="24"/>
          <w:lang w:eastAsia="zh-CN" w:bidi="hi-IN"/>
        </w:rPr>
        <w:t xml:space="preserve">s dēļ </w:t>
      </w:r>
      <w:r w:rsidR="00507C42" w:rsidRPr="00A07F29">
        <w:rPr>
          <w:rFonts w:ascii="Liberation Serif" w:eastAsia="Noto Sans CJK SC" w:hAnsi="Liberation Serif" w:cs="Lohit Devanagari"/>
          <w:kern w:val="2"/>
          <w:sz w:val="24"/>
          <w:szCs w:val="24"/>
          <w:lang w:eastAsia="zh-CN" w:bidi="hi-IN"/>
        </w:rPr>
        <w:t xml:space="preserve">naftas produktu piesārņojums nonāca Daugavā un sasniedza Latviju. </w:t>
      </w:r>
      <w:r w:rsidRPr="00A07F29">
        <w:rPr>
          <w:rFonts w:ascii="Liberation Serif" w:eastAsia="Noto Sans CJK SC" w:hAnsi="Liberation Serif" w:cs="Lohit Devanagari"/>
          <w:kern w:val="2"/>
          <w:sz w:val="24"/>
          <w:szCs w:val="24"/>
          <w:lang w:eastAsia="zh-CN" w:bidi="hi-IN"/>
        </w:rPr>
        <w:t xml:space="preserve">Dažu dienu laikā Latvijā nonākušais piesārņojums apmēram </w:t>
      </w:r>
      <w:r w:rsidR="009E754C" w:rsidRPr="00A07F29">
        <w:rPr>
          <w:rFonts w:ascii="Liberation Serif" w:eastAsia="Noto Sans CJK SC" w:hAnsi="Liberation Serif" w:cs="Lohit Devanagari"/>
          <w:kern w:val="2"/>
          <w:sz w:val="24"/>
          <w:szCs w:val="24"/>
          <w:lang w:eastAsia="zh-CN" w:bidi="hi-IN"/>
        </w:rPr>
        <w:t>četru</w:t>
      </w:r>
      <w:r w:rsidRPr="00A07F29">
        <w:rPr>
          <w:rFonts w:ascii="Liberation Serif" w:eastAsia="Noto Sans CJK SC" w:hAnsi="Liberation Serif" w:cs="Lohit Devanagari"/>
          <w:kern w:val="2"/>
          <w:sz w:val="24"/>
          <w:szCs w:val="24"/>
          <w:lang w:eastAsia="zh-CN" w:bidi="hi-IN"/>
        </w:rPr>
        <w:t xml:space="preserve"> tonnu kopapjomā tika aizturēts un savākts.</w:t>
      </w:r>
      <w:r w:rsidR="00507C42" w:rsidRPr="00A07F29">
        <w:rPr>
          <w:rFonts w:ascii="Liberation Serif" w:eastAsia="Noto Sans CJK SC" w:hAnsi="Liberation Serif" w:cs="Lohit Devanagari"/>
          <w:kern w:val="2"/>
          <w:sz w:val="24"/>
          <w:szCs w:val="24"/>
          <w:lang w:eastAsia="zh-CN" w:bidi="hi-IN"/>
        </w:rPr>
        <w:t xml:space="preserve"> Daugava </w:t>
      </w:r>
      <w:r w:rsidRPr="00A07F29">
        <w:rPr>
          <w:rFonts w:ascii="Liberation Serif" w:eastAsia="Noto Sans CJK SC" w:hAnsi="Liberation Serif" w:cs="Lohit Devanagari"/>
          <w:kern w:val="2"/>
          <w:sz w:val="24"/>
          <w:szCs w:val="24"/>
          <w:lang w:eastAsia="zh-CN" w:bidi="hi-IN"/>
        </w:rPr>
        <w:lastRenderedPageBreak/>
        <w:t>Baltkrievijas teritorijā tiek uzskatīta par paaugstināta riska objektu</w:t>
      </w:r>
      <w:r w:rsidR="00507C42" w:rsidRPr="00A07F29">
        <w:rPr>
          <w:rFonts w:ascii="Liberation Serif" w:eastAsia="Noto Sans CJK SC" w:hAnsi="Liberation Serif" w:cs="Lohit Devanagari"/>
          <w:kern w:val="2"/>
          <w:sz w:val="24"/>
          <w:szCs w:val="24"/>
          <w:lang w:eastAsia="zh-CN" w:bidi="hi-IN"/>
        </w:rPr>
        <w:t>, un</w:t>
      </w:r>
      <w:r w:rsidRPr="00A07F29">
        <w:rPr>
          <w:rFonts w:ascii="Liberation Serif" w:eastAsia="Noto Sans CJK SC" w:hAnsi="Liberation Serif" w:cs="Lohit Devanagari"/>
          <w:kern w:val="2"/>
          <w:sz w:val="24"/>
          <w:szCs w:val="24"/>
          <w:lang w:eastAsia="zh-CN" w:bidi="hi-IN"/>
        </w:rPr>
        <w:t xml:space="preserve"> tās krastos vairākās vietās jau ir izbūvētas stacionāras </w:t>
      </w:r>
      <w:proofErr w:type="spellStart"/>
      <w:r w:rsidRPr="00A07F29">
        <w:rPr>
          <w:rFonts w:ascii="Liberation Serif" w:eastAsia="Noto Sans CJK SC" w:hAnsi="Liberation Serif" w:cs="Lohit Devanagari"/>
          <w:kern w:val="2"/>
          <w:sz w:val="24"/>
          <w:szCs w:val="24"/>
          <w:lang w:eastAsia="zh-CN" w:bidi="hi-IN"/>
        </w:rPr>
        <w:t>aizsargbūves</w:t>
      </w:r>
      <w:proofErr w:type="spellEnd"/>
      <w:r w:rsidRPr="00A07F29">
        <w:rPr>
          <w:rFonts w:ascii="Liberation Serif" w:eastAsia="Noto Sans CJK SC" w:hAnsi="Liberation Serif" w:cs="Lohit Devanagari"/>
          <w:kern w:val="2"/>
          <w:sz w:val="24"/>
          <w:szCs w:val="24"/>
          <w:lang w:eastAsia="zh-CN" w:bidi="hi-IN"/>
        </w:rPr>
        <w:t xml:space="preserve"> piesārņojumu aizturošo un uztverošo bonu vie</w:t>
      </w:r>
      <w:r w:rsidR="00507C42" w:rsidRPr="00A07F29">
        <w:rPr>
          <w:rFonts w:ascii="Liberation Serif" w:eastAsia="Noto Sans CJK SC" w:hAnsi="Liberation Serif" w:cs="Lohit Devanagari"/>
          <w:kern w:val="2"/>
          <w:sz w:val="24"/>
          <w:szCs w:val="24"/>
          <w:lang w:eastAsia="zh-CN" w:bidi="hi-IN"/>
        </w:rPr>
        <w:t>glākai un ātrākai uzstādīšanai. L</w:t>
      </w:r>
      <w:r w:rsidRPr="00A07F29">
        <w:rPr>
          <w:rFonts w:ascii="Liberation Serif" w:eastAsia="Noto Sans CJK SC" w:hAnsi="Liberation Serif" w:cs="Lohit Devanagari"/>
          <w:kern w:val="2"/>
          <w:sz w:val="24"/>
          <w:szCs w:val="24"/>
          <w:lang w:eastAsia="zh-CN" w:bidi="hi-IN"/>
        </w:rPr>
        <w:t xml:space="preserve">ai arī Latvijā līdzīgā veidā </w:t>
      </w:r>
      <w:r w:rsidR="00507C42" w:rsidRPr="00A07F29">
        <w:rPr>
          <w:rFonts w:ascii="Liberation Serif" w:eastAsia="Noto Sans CJK SC" w:hAnsi="Liberation Serif" w:cs="Lohit Devanagari"/>
          <w:kern w:val="2"/>
          <w:sz w:val="24"/>
          <w:szCs w:val="24"/>
          <w:lang w:eastAsia="zh-CN" w:bidi="hi-IN"/>
        </w:rPr>
        <w:t xml:space="preserve">uzlabotu gatavību avāriju novēršanai, </w:t>
      </w:r>
      <w:r w:rsidRPr="00A07F29">
        <w:rPr>
          <w:rFonts w:ascii="Liberation Serif" w:eastAsia="Noto Sans CJK SC" w:hAnsi="Liberation Serif" w:cs="Lohit Devanagari"/>
          <w:kern w:val="2"/>
          <w:sz w:val="24"/>
          <w:szCs w:val="24"/>
          <w:lang w:eastAsia="zh-CN" w:bidi="hi-IN"/>
        </w:rPr>
        <w:t>Vides ministrija sagatavoja un iesniedza izskatīšanai valdībā programmas projektu par stacionāro aizsardzības būvju būvniecību bīstamo vielu ierobežošanai Daugavā 2008.</w:t>
      </w:r>
      <w:r w:rsidR="009B4299" w:rsidRPr="00A07F29">
        <w:rPr>
          <w:rFonts w:ascii="Liberation Serif" w:eastAsia="Noto Sans CJK SC" w:hAnsi="Liberation Serif" w:cs="Lohit Devanagari"/>
          <w:kern w:val="2"/>
          <w:sz w:val="24"/>
          <w:szCs w:val="24"/>
          <w:lang w:eastAsia="zh-CN" w:bidi="hi-IN"/>
        </w:rPr>
        <w:t> – </w:t>
      </w:r>
      <w:r w:rsidRPr="00A07F29">
        <w:rPr>
          <w:rFonts w:ascii="Liberation Serif" w:eastAsia="Noto Sans CJK SC" w:hAnsi="Liberation Serif" w:cs="Lohit Devanagari"/>
          <w:kern w:val="2"/>
          <w:sz w:val="24"/>
          <w:szCs w:val="24"/>
          <w:lang w:eastAsia="zh-CN" w:bidi="hi-IN"/>
        </w:rPr>
        <w:t>2012.</w:t>
      </w:r>
      <w:r w:rsidR="009B4299" w:rsidRPr="00A07F29">
        <w:rPr>
          <w:rFonts w:ascii="Liberation Serif" w:eastAsia="Noto Sans CJK SC" w:hAnsi="Liberation Serif" w:cs="Lohit Devanagari"/>
          <w:kern w:val="2"/>
          <w:sz w:val="24"/>
          <w:szCs w:val="24"/>
          <w:lang w:eastAsia="zh-CN" w:bidi="hi-IN"/>
        </w:rPr>
        <w:t> </w:t>
      </w:r>
      <w:r w:rsidRPr="00A07F29">
        <w:rPr>
          <w:rFonts w:ascii="Liberation Serif" w:eastAsia="Noto Sans CJK SC" w:hAnsi="Liberation Serif" w:cs="Lohit Devanagari"/>
          <w:kern w:val="2"/>
          <w:sz w:val="24"/>
          <w:szCs w:val="24"/>
          <w:lang w:eastAsia="zh-CN" w:bidi="hi-IN"/>
        </w:rPr>
        <w:t>gadam</w:t>
      </w:r>
      <w:r w:rsidR="00507C42" w:rsidRPr="00A07F29">
        <w:rPr>
          <w:rFonts w:ascii="Liberation Serif" w:eastAsia="Noto Sans CJK SC" w:hAnsi="Liberation Serif" w:cs="Lohit Devanagari"/>
          <w:kern w:val="2"/>
          <w:sz w:val="24"/>
          <w:szCs w:val="24"/>
          <w:lang w:eastAsia="zh-CN" w:bidi="hi-IN"/>
        </w:rPr>
        <w:t>, taču līdzekļi šīs programmas īstenošanai netika piešķirti (V</w:t>
      </w:r>
      <w:r w:rsidR="00341762" w:rsidRPr="00A07F29">
        <w:rPr>
          <w:rFonts w:ascii="Liberation Serif" w:eastAsia="Noto Sans CJK SC" w:hAnsi="Liberation Serif" w:cs="Lohit Devanagari"/>
          <w:kern w:val="2"/>
          <w:sz w:val="24"/>
          <w:szCs w:val="24"/>
          <w:lang w:eastAsia="zh-CN" w:bidi="hi-IN"/>
        </w:rPr>
        <w:t>ē</w:t>
      </w:r>
      <w:r w:rsidR="00507C42" w:rsidRPr="00A07F29">
        <w:rPr>
          <w:rFonts w:ascii="Liberation Serif" w:eastAsia="Noto Sans CJK SC" w:hAnsi="Liberation Serif" w:cs="Lohit Devanagari"/>
          <w:kern w:val="2"/>
          <w:sz w:val="24"/>
          <w:szCs w:val="24"/>
          <w:lang w:eastAsia="zh-CN" w:bidi="hi-IN"/>
        </w:rPr>
        <w:t>jonis</w:t>
      </w:r>
      <w:r w:rsidR="001E1451" w:rsidRPr="00A07F29">
        <w:rPr>
          <w:rFonts w:ascii="Liberation Serif" w:eastAsia="Noto Sans CJK SC" w:hAnsi="Liberation Serif" w:cs="Lohit Devanagari"/>
          <w:kern w:val="2"/>
          <w:sz w:val="24"/>
          <w:szCs w:val="24"/>
          <w:lang w:eastAsia="zh-CN" w:bidi="hi-IN"/>
        </w:rPr>
        <w:t xml:space="preserve"> R.,</w:t>
      </w:r>
      <w:r w:rsidR="00507C42" w:rsidRPr="00A07F29">
        <w:rPr>
          <w:rFonts w:ascii="Liberation Serif" w:eastAsia="Noto Sans CJK SC" w:hAnsi="Liberation Serif" w:cs="Lohit Devanagari"/>
          <w:kern w:val="2"/>
          <w:sz w:val="24"/>
          <w:szCs w:val="24"/>
          <w:lang w:eastAsia="zh-CN" w:bidi="hi-IN"/>
        </w:rPr>
        <w:t xml:space="preserve"> 2008).</w:t>
      </w:r>
    </w:p>
    <w:p w14:paraId="3A90AFE2" w14:textId="7E08B34A" w:rsidR="0094598E" w:rsidRPr="00A07F29" w:rsidRDefault="0094598E" w:rsidP="00FA351B">
      <w:pPr>
        <w:spacing w:after="120" w:line="240" w:lineRule="auto"/>
        <w:ind w:firstLine="851"/>
        <w:jc w:val="both"/>
        <w:rPr>
          <w:rFonts w:ascii="Liberation Serif" w:eastAsia="Noto Sans CJK SC" w:hAnsi="Liberation Serif" w:cs="Lohit Devanagari"/>
          <w:kern w:val="2"/>
          <w:sz w:val="24"/>
          <w:szCs w:val="24"/>
          <w:lang w:eastAsia="zh-CN" w:bidi="hi-IN"/>
        </w:rPr>
      </w:pPr>
      <w:r w:rsidRPr="00A07F29">
        <w:rPr>
          <w:rFonts w:ascii="Times New Roman" w:eastAsia="Calibri" w:hAnsi="Times New Roman" w:cs="Times New Roman"/>
          <w:kern w:val="2"/>
          <w:sz w:val="24"/>
          <w:szCs w:val="24"/>
          <w:lang w:eastAsia="zh-CN" w:bidi="hi-IN"/>
        </w:rPr>
        <w:t xml:space="preserve">Atbilstoši Ūdeņu </w:t>
      </w:r>
      <w:proofErr w:type="spellStart"/>
      <w:r w:rsidRPr="00A07F29">
        <w:rPr>
          <w:rFonts w:ascii="Times New Roman" w:eastAsia="Calibri" w:hAnsi="Times New Roman" w:cs="Times New Roman"/>
          <w:kern w:val="2"/>
          <w:sz w:val="24"/>
          <w:szCs w:val="24"/>
          <w:lang w:eastAsia="zh-CN" w:bidi="hi-IN"/>
        </w:rPr>
        <w:t>Struktūrdirektīva</w:t>
      </w:r>
      <w:r w:rsidR="00FA351B" w:rsidRPr="00A07F29">
        <w:rPr>
          <w:rFonts w:ascii="Times New Roman" w:eastAsia="Calibri" w:hAnsi="Times New Roman" w:cs="Times New Roman"/>
          <w:kern w:val="2"/>
          <w:sz w:val="24"/>
          <w:szCs w:val="24"/>
          <w:lang w:eastAsia="zh-CN" w:bidi="hi-IN"/>
        </w:rPr>
        <w:t>i</w:t>
      </w:r>
      <w:proofErr w:type="spellEnd"/>
      <w:r w:rsidRPr="00A07F29">
        <w:rPr>
          <w:rFonts w:ascii="Times New Roman" w:eastAsia="Calibri" w:hAnsi="Times New Roman" w:cs="Times New Roman"/>
          <w:kern w:val="2"/>
          <w:sz w:val="24"/>
          <w:szCs w:val="24"/>
          <w:lang w:eastAsia="zh-CN" w:bidi="hi-IN"/>
        </w:rPr>
        <w:t xml:space="preserve"> būtiski </w:t>
      </w:r>
      <w:r w:rsidR="00FA351B" w:rsidRPr="00A07F29">
        <w:rPr>
          <w:rFonts w:ascii="Times New Roman" w:eastAsia="Calibri" w:hAnsi="Times New Roman" w:cs="Times New Roman"/>
          <w:kern w:val="2"/>
          <w:sz w:val="24"/>
          <w:szCs w:val="24"/>
          <w:lang w:eastAsia="zh-CN" w:bidi="hi-IN"/>
        </w:rPr>
        <w:t xml:space="preserve">kritēriji </w:t>
      </w:r>
      <w:r w:rsidRPr="00A07F29">
        <w:rPr>
          <w:rFonts w:ascii="Times New Roman" w:eastAsia="Calibri" w:hAnsi="Times New Roman" w:cs="Times New Roman"/>
          <w:kern w:val="2"/>
          <w:sz w:val="24"/>
          <w:szCs w:val="24"/>
          <w:lang w:eastAsia="zh-CN" w:bidi="hi-IN"/>
        </w:rPr>
        <w:t>ūdeņu kvalitātes noteikšanai ir upes hidroloģiskais režīms un upes nepārtrauktība. Ņemot vērā to, ka Baltkrievijā tiek celtas</w:t>
      </w:r>
      <w:r w:rsidR="00FA351B" w:rsidRPr="00A07F29">
        <w:rPr>
          <w:rFonts w:ascii="Times New Roman" w:eastAsia="Calibri" w:hAnsi="Times New Roman" w:cs="Times New Roman"/>
          <w:sz w:val="24"/>
          <w:szCs w:val="24"/>
          <w:lang w:eastAsia="zh-CN" w:bidi="hi-IN"/>
        </w:rPr>
        <w:t xml:space="preserve"> vai jau </w:t>
      </w:r>
      <w:r w:rsidRPr="00A07F29">
        <w:rPr>
          <w:rFonts w:ascii="Times New Roman" w:eastAsia="Calibri" w:hAnsi="Times New Roman" w:cs="Times New Roman"/>
          <w:kern w:val="2"/>
          <w:sz w:val="24"/>
          <w:szCs w:val="24"/>
          <w:lang w:eastAsia="zh-CN" w:bidi="hi-IN"/>
        </w:rPr>
        <w:t xml:space="preserve">darbojas vairākas, lai arī nelielas jaudas HES, nenoliedzami tas ietekmēs minētos kvalitātes kritērijus Latvijas pierobežā, kā arī laika gaitā </w:t>
      </w:r>
      <w:r w:rsidR="00FA351B" w:rsidRPr="00A07F29">
        <w:rPr>
          <w:rFonts w:ascii="Times New Roman" w:eastAsia="Calibri" w:hAnsi="Times New Roman" w:cs="Times New Roman"/>
          <w:kern w:val="2"/>
          <w:sz w:val="24"/>
          <w:szCs w:val="24"/>
          <w:lang w:eastAsia="zh-CN" w:bidi="hi-IN"/>
        </w:rPr>
        <w:t xml:space="preserve">izmainīs </w:t>
      </w:r>
      <w:r w:rsidRPr="00A07F29">
        <w:rPr>
          <w:rFonts w:ascii="Times New Roman" w:eastAsia="Calibri" w:hAnsi="Times New Roman" w:cs="Times New Roman"/>
          <w:kern w:val="2"/>
          <w:sz w:val="24"/>
          <w:szCs w:val="24"/>
          <w:lang w:eastAsia="zh-CN" w:bidi="hi-IN"/>
        </w:rPr>
        <w:t>upes kopējo h</w:t>
      </w:r>
      <w:r w:rsidR="73F1F65A" w:rsidRPr="00A07F29">
        <w:rPr>
          <w:rFonts w:ascii="Times New Roman" w:eastAsia="Calibri" w:hAnsi="Times New Roman" w:cs="Times New Roman"/>
          <w:kern w:val="2"/>
          <w:sz w:val="24"/>
          <w:szCs w:val="24"/>
          <w:lang w:eastAsia="zh-CN" w:bidi="hi-IN"/>
        </w:rPr>
        <w:t>i</w:t>
      </w:r>
      <w:r w:rsidRPr="00A07F29">
        <w:rPr>
          <w:rFonts w:ascii="Times New Roman" w:eastAsia="Calibri" w:hAnsi="Times New Roman" w:cs="Times New Roman"/>
          <w:kern w:val="2"/>
          <w:sz w:val="24"/>
          <w:szCs w:val="24"/>
          <w:lang w:eastAsia="zh-CN" w:bidi="hi-IN"/>
        </w:rPr>
        <w:t>droloģiju.</w:t>
      </w:r>
    </w:p>
    <w:p w14:paraId="55079BFC" w14:textId="77777777" w:rsidR="00087032" w:rsidRPr="00A07F29" w:rsidRDefault="00087032" w:rsidP="00087032">
      <w:pPr>
        <w:spacing w:after="0" w:line="240" w:lineRule="auto"/>
        <w:rPr>
          <w:rFonts w:ascii="Liberation Serif" w:eastAsia="Noto Sans CJK SC" w:hAnsi="Liberation Serif" w:cs="Lohit Devanagari"/>
          <w:kern w:val="2"/>
          <w:sz w:val="24"/>
          <w:szCs w:val="24"/>
          <w:lang w:eastAsia="zh-CN" w:bidi="hi-IN"/>
        </w:rPr>
      </w:pPr>
    </w:p>
    <w:p w14:paraId="0B0D0B1F" w14:textId="604DE62A" w:rsidR="00E5392D" w:rsidRPr="00A07F29" w:rsidRDefault="00E5392D" w:rsidP="00BE7BB7">
      <w:pPr>
        <w:pStyle w:val="Heading3"/>
        <w:spacing w:before="120" w:after="120" w:line="240" w:lineRule="auto"/>
        <w:jc w:val="center"/>
        <w:rPr>
          <w:b w:val="0"/>
          <w:lang w:eastAsia="ja-JP"/>
        </w:rPr>
      </w:pPr>
      <w:bookmarkStart w:id="26" w:name="_Toc183433983"/>
      <w:r w:rsidRPr="00A07F29">
        <w:rPr>
          <w:lang w:eastAsia="ja-JP"/>
        </w:rPr>
        <w:t>2.5.2</w:t>
      </w:r>
      <w:r w:rsidR="00415ABB" w:rsidRPr="00A07F29">
        <w:rPr>
          <w:lang w:eastAsia="ja-JP"/>
        </w:rPr>
        <w:t>.</w:t>
      </w:r>
      <w:r w:rsidRPr="00A07F29">
        <w:rPr>
          <w:lang w:eastAsia="ja-JP"/>
        </w:rPr>
        <w:t xml:space="preserve"> </w:t>
      </w:r>
      <w:r w:rsidR="00415ABB" w:rsidRPr="00A07F29">
        <w:rPr>
          <w:lang w:eastAsia="ja-JP"/>
        </w:rPr>
        <w:t>Ezeri</w:t>
      </w:r>
      <w:bookmarkEnd w:id="26"/>
    </w:p>
    <w:p w14:paraId="0E706B72" w14:textId="45A4650D" w:rsidR="00E5392D" w:rsidRPr="00A07F29" w:rsidRDefault="00030649" w:rsidP="0042500F">
      <w:pPr>
        <w:widowControl w:val="0"/>
        <w:autoSpaceDE w:val="0"/>
        <w:autoSpaceDN w:val="0"/>
        <w:adjustRightInd w:val="0"/>
        <w:spacing w:after="120" w:line="240" w:lineRule="auto"/>
        <w:rPr>
          <w:rFonts w:ascii="Times New Roman" w:hAnsi="Times New Roman"/>
          <w:b/>
          <w:bCs/>
          <w:i/>
          <w:sz w:val="24"/>
          <w:szCs w:val="24"/>
        </w:rPr>
      </w:pPr>
      <w:r w:rsidRPr="00A07F29">
        <w:rPr>
          <w:rFonts w:ascii="Times New Roman" w:hAnsi="Times New Roman"/>
          <w:b/>
          <w:i/>
          <w:sz w:val="24"/>
          <w:szCs w:val="24"/>
        </w:rPr>
        <w:t xml:space="preserve">AAA “Augšdaugava” </w:t>
      </w:r>
      <w:r w:rsidR="00E5392D" w:rsidRPr="00A07F29">
        <w:rPr>
          <w:rFonts w:ascii="Times New Roman" w:hAnsi="Times New Roman"/>
          <w:b/>
          <w:i/>
          <w:sz w:val="24"/>
          <w:szCs w:val="24"/>
        </w:rPr>
        <w:t>ezeru un to apkārtnes raksturojums</w:t>
      </w:r>
    </w:p>
    <w:p w14:paraId="02DCE60A" w14:textId="144D9A9F" w:rsidR="0094598E" w:rsidRPr="00A07F29" w:rsidRDefault="0094598E" w:rsidP="00415ABB">
      <w:pPr>
        <w:spacing w:after="0" w:line="240" w:lineRule="auto"/>
        <w:ind w:firstLine="851"/>
        <w:jc w:val="both"/>
        <w:rPr>
          <w:rFonts w:ascii="Times New Roman" w:eastAsia="Noto Sans CJK SC" w:hAnsi="Times New Roman" w:cs="Lohit Devanagari"/>
          <w:kern w:val="2"/>
          <w:sz w:val="24"/>
          <w:szCs w:val="24"/>
          <w:lang w:eastAsia="zh-CN" w:bidi="hi-IN"/>
        </w:rPr>
      </w:pPr>
      <w:r w:rsidRPr="00A07F29">
        <w:rPr>
          <w:rFonts w:ascii="Times New Roman" w:eastAsia="Noto Sans CJK SC" w:hAnsi="Times New Roman" w:cs="Lohit Devanagari"/>
          <w:kern w:val="2"/>
          <w:sz w:val="24"/>
          <w:szCs w:val="24"/>
          <w:lang w:eastAsia="zh-CN" w:bidi="hi-IN"/>
        </w:rPr>
        <w:t xml:space="preserve">AAA “Augšdaugava” atrodas 31 dabiski glaciālas izcelsmes </w:t>
      </w:r>
      <w:proofErr w:type="spellStart"/>
      <w:r w:rsidRPr="00A07F29">
        <w:rPr>
          <w:rFonts w:ascii="Times New Roman" w:eastAsia="Noto Sans CJK SC" w:hAnsi="Times New Roman" w:cs="Lohit Devanagari"/>
          <w:kern w:val="2"/>
          <w:sz w:val="24"/>
          <w:szCs w:val="24"/>
          <w:lang w:eastAsia="zh-CN" w:bidi="hi-IN"/>
        </w:rPr>
        <w:t>dimiktiski</w:t>
      </w:r>
      <w:proofErr w:type="spellEnd"/>
      <w:r w:rsidRPr="00A07F29">
        <w:rPr>
          <w:rFonts w:ascii="Times New Roman" w:eastAsia="Noto Sans CJK SC" w:hAnsi="Times New Roman" w:cs="Lohit Devanagari"/>
          <w:kern w:val="2"/>
          <w:sz w:val="24"/>
          <w:szCs w:val="24"/>
          <w:lang w:eastAsia="zh-CN" w:bidi="hi-IN"/>
        </w:rPr>
        <w:t xml:space="preserve"> (kuros viss ūdens slānis sajaucas divreiz gadā – pavasarī un rudenī) ezeri, kas sākuši veidoties pirms aptuveni 15000 gadu</w:t>
      </w:r>
      <w:r w:rsidR="0042500F" w:rsidRPr="00A07F29">
        <w:rPr>
          <w:rFonts w:ascii="Times New Roman" w:eastAsia="Noto Sans CJK SC" w:hAnsi="Times New Roman" w:cs="Lohit Devanagari"/>
          <w:kern w:val="2"/>
          <w:sz w:val="24"/>
          <w:szCs w:val="24"/>
          <w:lang w:eastAsia="zh-CN" w:bidi="hi-IN"/>
        </w:rPr>
        <w:t xml:space="preserve"> ledāja atkāpšanās Kaldabruņas</w:t>
      </w:r>
      <w:r w:rsidRPr="00A07F29">
        <w:rPr>
          <w:rFonts w:ascii="Times New Roman" w:eastAsia="Noto Sans CJK SC" w:hAnsi="Times New Roman" w:cs="Lohit Devanagari"/>
          <w:kern w:val="2"/>
          <w:sz w:val="24"/>
          <w:szCs w:val="24"/>
          <w:lang w:eastAsia="zh-CN" w:bidi="hi-IN"/>
        </w:rPr>
        <w:t xml:space="preserve"> </w:t>
      </w:r>
      <w:r w:rsidR="0042500F" w:rsidRPr="00A07F29">
        <w:rPr>
          <w:rFonts w:ascii="Times New Roman" w:eastAsia="Noto Sans CJK SC" w:hAnsi="Times New Roman" w:cs="Lohit Devanagari"/>
          <w:kern w:val="2"/>
          <w:sz w:val="24"/>
          <w:szCs w:val="24"/>
          <w:lang w:eastAsia="zh-CN" w:bidi="hi-IN"/>
        </w:rPr>
        <w:t xml:space="preserve">fāzē </w:t>
      </w:r>
      <w:r w:rsidRPr="00A07F29">
        <w:rPr>
          <w:rFonts w:ascii="Times New Roman" w:eastAsia="Noto Sans CJK SC" w:hAnsi="Times New Roman" w:cs="Lohit Devanagari"/>
          <w:kern w:val="2"/>
          <w:sz w:val="24"/>
          <w:szCs w:val="24"/>
          <w:lang w:eastAsia="zh-CN" w:bidi="hi-IN"/>
        </w:rPr>
        <w:t>un ir vieni no vecākajiem ezeriem Latvijā (</w:t>
      </w:r>
      <w:r w:rsidR="00DB5858" w:rsidRPr="00A07F29">
        <w:rPr>
          <w:rFonts w:ascii="Times New Roman" w:eastAsia="Noto Sans CJK SC" w:hAnsi="Times New Roman" w:cs="Lohit Devanagari"/>
          <w:kern w:val="2"/>
          <w:sz w:val="24"/>
          <w:szCs w:val="24"/>
          <w:lang w:eastAsia="zh-CN" w:bidi="hi-IN"/>
        </w:rPr>
        <w:t xml:space="preserve">skat. </w:t>
      </w:r>
      <w:r w:rsidRPr="00A07F29">
        <w:rPr>
          <w:rFonts w:ascii="Times New Roman" w:eastAsia="Noto Sans CJK SC" w:hAnsi="Times New Roman" w:cs="Lohit Devanagari"/>
          <w:kern w:val="2"/>
          <w:sz w:val="24"/>
          <w:szCs w:val="24"/>
          <w:lang w:eastAsia="zh-CN" w:bidi="hi-IN"/>
        </w:rPr>
        <w:t>2.1.</w:t>
      </w:r>
      <w:r w:rsidR="00DB5858" w:rsidRPr="00A07F29">
        <w:rPr>
          <w:rFonts w:ascii="Times New Roman" w:eastAsia="Noto Sans CJK SC" w:hAnsi="Times New Roman" w:cs="Lohit Devanagari"/>
          <w:kern w:val="2"/>
          <w:sz w:val="24"/>
          <w:szCs w:val="24"/>
          <w:lang w:eastAsia="zh-CN" w:bidi="hi-IN"/>
        </w:rPr>
        <w:t> </w:t>
      </w:r>
      <w:r w:rsidRPr="00A07F29">
        <w:rPr>
          <w:rFonts w:ascii="Times New Roman" w:eastAsia="Noto Sans CJK SC" w:hAnsi="Times New Roman" w:cs="Lohit Devanagari"/>
          <w:kern w:val="2"/>
          <w:sz w:val="24"/>
          <w:szCs w:val="24"/>
          <w:lang w:eastAsia="zh-CN" w:bidi="hi-IN"/>
        </w:rPr>
        <w:t>pielikums, 2.5.2.1., 2.5.2.2</w:t>
      </w:r>
      <w:r w:rsidR="00DB5858" w:rsidRPr="00A07F29">
        <w:rPr>
          <w:rFonts w:ascii="Times New Roman" w:eastAsia="Noto Sans CJK SC" w:hAnsi="Times New Roman" w:cs="Lohit Devanagari"/>
          <w:kern w:val="2"/>
          <w:sz w:val="24"/>
          <w:szCs w:val="24"/>
          <w:lang w:eastAsia="zh-CN" w:bidi="hi-IN"/>
        </w:rPr>
        <w:t>.</w:t>
      </w:r>
      <w:r w:rsidRPr="00A07F29">
        <w:rPr>
          <w:rFonts w:ascii="Times New Roman" w:eastAsia="Noto Sans CJK SC" w:hAnsi="Times New Roman" w:cs="Lohit Devanagari"/>
          <w:kern w:val="2"/>
          <w:sz w:val="24"/>
          <w:szCs w:val="24"/>
          <w:lang w:eastAsia="zh-CN" w:bidi="hi-IN"/>
        </w:rPr>
        <w:t>, 2.5.2.3.</w:t>
      </w:r>
      <w:r w:rsidR="00DB5858" w:rsidRPr="00A07F29">
        <w:rPr>
          <w:rFonts w:ascii="Times New Roman" w:eastAsia="Noto Sans CJK SC" w:hAnsi="Times New Roman" w:cs="Lohit Devanagari"/>
          <w:kern w:val="2"/>
          <w:sz w:val="24"/>
          <w:szCs w:val="24"/>
          <w:lang w:eastAsia="zh-CN" w:bidi="hi-IN"/>
        </w:rPr>
        <w:t> </w:t>
      </w:r>
      <w:r w:rsidRPr="00A07F29">
        <w:rPr>
          <w:rFonts w:ascii="Times New Roman" w:eastAsia="Noto Sans CJK SC" w:hAnsi="Times New Roman" w:cs="Lohit Devanagari"/>
          <w:kern w:val="2"/>
          <w:sz w:val="24"/>
          <w:szCs w:val="24"/>
          <w:lang w:eastAsia="zh-CN" w:bidi="hi-IN"/>
        </w:rPr>
        <w:t>att</w:t>
      </w:r>
      <w:r w:rsidR="00DB5858" w:rsidRPr="00A07F29">
        <w:rPr>
          <w:rFonts w:ascii="Times New Roman" w:eastAsia="Noto Sans CJK SC" w:hAnsi="Times New Roman" w:cs="Lohit Devanagari"/>
          <w:kern w:val="2"/>
          <w:sz w:val="24"/>
          <w:szCs w:val="24"/>
          <w:lang w:eastAsia="zh-CN" w:bidi="hi-IN"/>
        </w:rPr>
        <w:t>ēli</w:t>
      </w:r>
      <w:r w:rsidRPr="00A07F29">
        <w:rPr>
          <w:rFonts w:ascii="Times New Roman" w:eastAsia="Noto Sans CJK SC" w:hAnsi="Times New Roman" w:cs="Lohit Devanagari"/>
          <w:kern w:val="2"/>
          <w:sz w:val="24"/>
          <w:szCs w:val="24"/>
          <w:lang w:eastAsia="zh-CN" w:bidi="hi-IN"/>
        </w:rPr>
        <w:t xml:space="preserve">). Visi ezeri atrodas Krāslavas novadā, izņemot </w:t>
      </w:r>
      <w:proofErr w:type="spellStart"/>
      <w:r w:rsidRPr="00A07F29">
        <w:rPr>
          <w:rFonts w:ascii="Times New Roman" w:eastAsia="Noto Sans CJK SC" w:hAnsi="Times New Roman" w:cs="Lohit Devanagari"/>
          <w:kern w:val="2"/>
          <w:sz w:val="24"/>
          <w:szCs w:val="24"/>
          <w:lang w:eastAsia="zh-CN" w:bidi="hi-IN"/>
        </w:rPr>
        <w:t>Gluhoje</w:t>
      </w:r>
      <w:proofErr w:type="spellEnd"/>
      <w:r w:rsidRPr="00A07F29">
        <w:rPr>
          <w:rFonts w:ascii="Times New Roman" w:eastAsia="Noto Sans CJK SC" w:hAnsi="Times New Roman" w:cs="Lohit Devanagari"/>
          <w:kern w:val="2"/>
          <w:sz w:val="24"/>
          <w:szCs w:val="24"/>
          <w:lang w:eastAsia="zh-CN" w:bidi="hi-IN"/>
        </w:rPr>
        <w:t xml:space="preserve"> ezeru, kas atrodas </w:t>
      </w:r>
      <w:r w:rsidR="00DB442E" w:rsidRPr="00A07F29">
        <w:rPr>
          <w:rFonts w:ascii="Times New Roman" w:eastAsia="Noto Sans CJK SC" w:hAnsi="Times New Roman" w:cs="Lohit Devanagari"/>
          <w:kern w:val="2"/>
          <w:sz w:val="24"/>
          <w:szCs w:val="24"/>
          <w:lang w:eastAsia="zh-CN" w:bidi="hi-IN"/>
        </w:rPr>
        <w:t>Augšdaugavas</w:t>
      </w:r>
      <w:r w:rsidRPr="00A07F29">
        <w:rPr>
          <w:rFonts w:ascii="Times New Roman" w:eastAsia="Noto Sans CJK SC" w:hAnsi="Times New Roman" w:cs="Lohit Devanagari"/>
          <w:kern w:val="2"/>
          <w:sz w:val="24"/>
          <w:szCs w:val="24"/>
          <w:lang w:eastAsia="zh-CN" w:bidi="hi-IN"/>
        </w:rPr>
        <w:t xml:space="preserve"> novada Naujenes pagastā. Krāslavas novada Piedrujas pagastā atrodas divi ezeri (</w:t>
      </w:r>
      <w:proofErr w:type="spellStart"/>
      <w:r w:rsidRPr="00A07F29">
        <w:rPr>
          <w:rFonts w:ascii="Times New Roman" w:eastAsia="Noto Sans CJK SC" w:hAnsi="Times New Roman" w:cs="Lohit Devanagari"/>
          <w:kern w:val="2"/>
          <w:sz w:val="24"/>
          <w:szCs w:val="24"/>
          <w:lang w:eastAsia="zh-CN" w:bidi="hi-IN"/>
        </w:rPr>
        <w:t>Kaloda</w:t>
      </w:r>
      <w:proofErr w:type="spellEnd"/>
      <w:r w:rsidRPr="00A07F29">
        <w:rPr>
          <w:rFonts w:ascii="Times New Roman" w:eastAsia="Noto Sans CJK SC" w:hAnsi="Times New Roman" w:cs="Lohit Devanagari"/>
          <w:kern w:val="2"/>
          <w:sz w:val="24"/>
          <w:szCs w:val="24"/>
          <w:lang w:eastAsia="zh-CN" w:bidi="hi-IN"/>
        </w:rPr>
        <w:t xml:space="preserve"> un </w:t>
      </w:r>
      <w:proofErr w:type="spellStart"/>
      <w:r w:rsidRPr="00A07F29">
        <w:rPr>
          <w:rFonts w:ascii="Times New Roman" w:eastAsia="Noto Sans CJK SC" w:hAnsi="Times New Roman" w:cs="Lohit Devanagari"/>
          <w:kern w:val="2"/>
          <w:sz w:val="24"/>
          <w:szCs w:val="24"/>
          <w:lang w:eastAsia="zh-CN" w:bidi="hi-IN"/>
        </w:rPr>
        <w:t>Škļarovščinas</w:t>
      </w:r>
      <w:proofErr w:type="spellEnd"/>
      <w:r w:rsidRPr="00A07F29">
        <w:rPr>
          <w:rFonts w:ascii="Times New Roman" w:eastAsia="Noto Sans CJK SC" w:hAnsi="Times New Roman" w:cs="Lohit Devanagari"/>
          <w:kern w:val="2"/>
          <w:sz w:val="24"/>
          <w:szCs w:val="24"/>
          <w:lang w:eastAsia="zh-CN" w:bidi="hi-IN"/>
        </w:rPr>
        <w:t xml:space="preserve"> ez</w:t>
      </w:r>
      <w:r w:rsidR="00DE72AF" w:rsidRPr="00A07F29">
        <w:rPr>
          <w:rFonts w:ascii="Times New Roman" w:eastAsia="Noto Sans CJK SC" w:hAnsi="Times New Roman" w:cs="Lohit Devanagari"/>
          <w:kern w:val="2"/>
          <w:sz w:val="24"/>
          <w:szCs w:val="24"/>
          <w:lang w:eastAsia="zh-CN" w:bidi="hi-IN"/>
        </w:rPr>
        <w:t>ers</w:t>
      </w:r>
      <w:r w:rsidRPr="00A07F29">
        <w:rPr>
          <w:rFonts w:ascii="Times New Roman" w:eastAsia="Noto Sans CJK SC" w:hAnsi="Times New Roman" w:cs="Lohit Devanagari"/>
          <w:kern w:val="2"/>
          <w:sz w:val="24"/>
          <w:szCs w:val="24"/>
          <w:lang w:eastAsia="zh-CN" w:bidi="hi-IN"/>
        </w:rPr>
        <w:t xml:space="preserve">), Krāslavas pagastā – </w:t>
      </w:r>
      <w:r w:rsidR="00DE72AF" w:rsidRPr="00A07F29">
        <w:rPr>
          <w:rFonts w:ascii="Times New Roman" w:eastAsia="Noto Sans CJK SC" w:hAnsi="Times New Roman" w:cs="Lohit Devanagari"/>
          <w:kern w:val="2"/>
          <w:sz w:val="24"/>
          <w:szCs w:val="24"/>
          <w:lang w:eastAsia="zh-CN" w:bidi="hi-IN"/>
        </w:rPr>
        <w:t>seši</w:t>
      </w:r>
      <w:r w:rsidRPr="00A07F29">
        <w:rPr>
          <w:rFonts w:ascii="Times New Roman" w:eastAsia="Noto Sans CJK SC" w:hAnsi="Times New Roman" w:cs="Lohit Devanagari"/>
          <w:kern w:val="2"/>
          <w:sz w:val="24"/>
          <w:szCs w:val="24"/>
          <w:lang w:eastAsia="zh-CN" w:bidi="hi-IN"/>
        </w:rPr>
        <w:t xml:space="preserve"> ezeri (</w:t>
      </w:r>
      <w:proofErr w:type="spellStart"/>
      <w:r w:rsidRPr="00A07F29">
        <w:rPr>
          <w:rFonts w:ascii="Times New Roman" w:eastAsia="Noto Sans CJK SC" w:hAnsi="Times New Roman" w:cs="Lohit Devanagari"/>
          <w:kern w:val="2"/>
          <w:sz w:val="24"/>
          <w:szCs w:val="24"/>
          <w:lang w:eastAsia="zh-CN" w:bidi="hi-IN"/>
        </w:rPr>
        <w:t>Skumbiņu</w:t>
      </w:r>
      <w:proofErr w:type="spellEnd"/>
      <w:r w:rsidRPr="00A07F29">
        <w:rPr>
          <w:rFonts w:ascii="Times New Roman" w:eastAsia="Noto Sans CJK SC" w:hAnsi="Times New Roman" w:cs="Lohit Devanagari"/>
          <w:kern w:val="2"/>
          <w:sz w:val="24"/>
          <w:szCs w:val="24"/>
          <w:lang w:eastAsia="zh-CN" w:bidi="hi-IN"/>
        </w:rPr>
        <w:t xml:space="preserve">, </w:t>
      </w:r>
      <w:proofErr w:type="spellStart"/>
      <w:r w:rsidRPr="00A07F29">
        <w:rPr>
          <w:rFonts w:ascii="Times New Roman" w:eastAsia="Noto Sans CJK SC" w:hAnsi="Times New Roman" w:cs="Lohit Devanagari"/>
          <w:kern w:val="2"/>
          <w:sz w:val="24"/>
          <w:szCs w:val="24"/>
          <w:lang w:eastAsia="zh-CN" w:bidi="hi-IN"/>
        </w:rPr>
        <w:t>Dolgoje</w:t>
      </w:r>
      <w:proofErr w:type="spellEnd"/>
      <w:r w:rsidRPr="00A07F29">
        <w:rPr>
          <w:rFonts w:ascii="Times New Roman" w:eastAsia="Noto Sans CJK SC" w:hAnsi="Times New Roman" w:cs="Lohit Devanagari"/>
          <w:kern w:val="2"/>
          <w:sz w:val="24"/>
          <w:szCs w:val="24"/>
          <w:lang w:eastAsia="zh-CN" w:bidi="hi-IN"/>
        </w:rPr>
        <w:t xml:space="preserve">, Vidus </w:t>
      </w:r>
      <w:proofErr w:type="spellStart"/>
      <w:r w:rsidRPr="00A07F29">
        <w:rPr>
          <w:rFonts w:ascii="Times New Roman" w:eastAsia="Noto Sans CJK SC" w:hAnsi="Times New Roman" w:cs="Lohit Devanagari"/>
          <w:kern w:val="2"/>
          <w:sz w:val="24"/>
          <w:szCs w:val="24"/>
          <w:lang w:eastAsia="zh-CN" w:bidi="hi-IN"/>
        </w:rPr>
        <w:t>Dolgoje</w:t>
      </w:r>
      <w:proofErr w:type="spellEnd"/>
      <w:r w:rsidRPr="00A07F29">
        <w:rPr>
          <w:rFonts w:ascii="Times New Roman" w:eastAsia="Noto Sans CJK SC" w:hAnsi="Times New Roman" w:cs="Lohit Devanagari"/>
          <w:kern w:val="2"/>
          <w:sz w:val="24"/>
          <w:szCs w:val="24"/>
          <w:lang w:eastAsia="zh-CN" w:bidi="hi-IN"/>
        </w:rPr>
        <w:t xml:space="preserve">, Dienvidu </w:t>
      </w:r>
      <w:proofErr w:type="spellStart"/>
      <w:r w:rsidRPr="00A07F29">
        <w:rPr>
          <w:rFonts w:ascii="Times New Roman" w:eastAsia="Noto Sans CJK SC" w:hAnsi="Times New Roman" w:cs="Lohit Devanagari"/>
          <w:kern w:val="2"/>
          <w:sz w:val="24"/>
          <w:szCs w:val="24"/>
          <w:lang w:eastAsia="zh-CN" w:bidi="hi-IN"/>
        </w:rPr>
        <w:t>Dolgoje</w:t>
      </w:r>
      <w:proofErr w:type="spellEnd"/>
      <w:r w:rsidRPr="00A07F29">
        <w:rPr>
          <w:rFonts w:ascii="Times New Roman" w:eastAsia="Noto Sans CJK SC" w:hAnsi="Times New Roman" w:cs="Lohit Devanagari"/>
          <w:kern w:val="2"/>
          <w:sz w:val="24"/>
          <w:szCs w:val="24"/>
          <w:lang w:eastAsia="zh-CN" w:bidi="hi-IN"/>
        </w:rPr>
        <w:t xml:space="preserve">, </w:t>
      </w:r>
      <w:proofErr w:type="spellStart"/>
      <w:r w:rsidRPr="00A07F29">
        <w:rPr>
          <w:rFonts w:ascii="Times New Roman" w:eastAsia="Noto Sans CJK SC" w:hAnsi="Times New Roman" w:cs="Lohit Devanagari"/>
          <w:kern w:val="2"/>
          <w:sz w:val="24"/>
          <w:szCs w:val="24"/>
          <w:lang w:eastAsia="zh-CN" w:bidi="hi-IN"/>
        </w:rPr>
        <w:t>Krugloje</w:t>
      </w:r>
      <w:proofErr w:type="spellEnd"/>
      <w:r w:rsidRPr="00A07F29">
        <w:rPr>
          <w:rFonts w:ascii="Times New Roman" w:eastAsia="Noto Sans CJK SC" w:hAnsi="Times New Roman" w:cs="Lohit Devanagari"/>
          <w:kern w:val="2"/>
          <w:sz w:val="24"/>
          <w:szCs w:val="24"/>
          <w:lang w:eastAsia="zh-CN" w:bidi="hi-IN"/>
        </w:rPr>
        <w:t xml:space="preserve"> ez</w:t>
      </w:r>
      <w:r w:rsidR="00DE72AF" w:rsidRPr="00A07F29">
        <w:rPr>
          <w:rFonts w:ascii="Times New Roman" w:eastAsia="Noto Sans CJK SC" w:hAnsi="Times New Roman" w:cs="Lohit Devanagari"/>
          <w:kern w:val="2"/>
          <w:sz w:val="24"/>
          <w:szCs w:val="24"/>
          <w:lang w:eastAsia="zh-CN" w:bidi="hi-IN"/>
        </w:rPr>
        <w:t>ers</w:t>
      </w:r>
      <w:r w:rsidRPr="00A07F29">
        <w:rPr>
          <w:rFonts w:ascii="Times New Roman" w:eastAsia="Noto Sans CJK SC" w:hAnsi="Times New Roman" w:cs="Lohit Devanagari"/>
          <w:kern w:val="2"/>
          <w:sz w:val="24"/>
          <w:szCs w:val="24"/>
          <w:lang w:eastAsia="zh-CN" w:bidi="hi-IN"/>
        </w:rPr>
        <w:t xml:space="preserve"> un </w:t>
      </w:r>
      <w:proofErr w:type="spellStart"/>
      <w:r w:rsidRPr="00A07F29">
        <w:rPr>
          <w:rFonts w:ascii="Times New Roman" w:eastAsia="Noto Sans CJK SC" w:hAnsi="Times New Roman" w:cs="Lohit Devanagari"/>
          <w:kern w:val="2"/>
          <w:sz w:val="24"/>
          <w:szCs w:val="24"/>
          <w:lang w:eastAsia="zh-CN" w:bidi="hi-IN"/>
        </w:rPr>
        <w:t>Dūneklis</w:t>
      </w:r>
      <w:proofErr w:type="spellEnd"/>
      <w:r w:rsidRPr="00A07F29">
        <w:rPr>
          <w:rFonts w:ascii="Times New Roman" w:eastAsia="Noto Sans CJK SC" w:hAnsi="Times New Roman" w:cs="Lohit Devanagari"/>
          <w:kern w:val="2"/>
          <w:sz w:val="24"/>
          <w:szCs w:val="24"/>
          <w:lang w:eastAsia="zh-CN" w:bidi="hi-IN"/>
        </w:rPr>
        <w:t xml:space="preserve">), Kalniešu pagastā – 10 ezeri (Dauguļu, Dziļais, </w:t>
      </w:r>
      <w:proofErr w:type="spellStart"/>
      <w:r w:rsidRPr="00A07F29">
        <w:rPr>
          <w:rFonts w:ascii="Times New Roman" w:eastAsia="Noto Sans CJK SC" w:hAnsi="Times New Roman" w:cs="Lohit Devanagari"/>
          <w:kern w:val="2"/>
          <w:sz w:val="24"/>
          <w:szCs w:val="24"/>
          <w:lang w:eastAsia="zh-CN" w:bidi="hi-IN"/>
        </w:rPr>
        <w:t>Lukštānu</w:t>
      </w:r>
      <w:proofErr w:type="spellEnd"/>
      <w:r w:rsidRPr="00A07F29">
        <w:rPr>
          <w:rFonts w:ascii="Times New Roman" w:eastAsia="Noto Sans CJK SC" w:hAnsi="Times New Roman" w:cs="Lohit Devanagari"/>
          <w:kern w:val="2"/>
          <w:sz w:val="24"/>
          <w:szCs w:val="24"/>
          <w:lang w:eastAsia="zh-CN" w:bidi="hi-IN"/>
        </w:rPr>
        <w:t xml:space="preserve">, Maču un </w:t>
      </w:r>
      <w:proofErr w:type="spellStart"/>
      <w:r w:rsidRPr="00A07F29">
        <w:rPr>
          <w:rFonts w:ascii="Times New Roman" w:eastAsia="Noto Sans CJK SC" w:hAnsi="Times New Roman" w:cs="Lohit Devanagari"/>
          <w:kern w:val="2"/>
          <w:sz w:val="24"/>
          <w:szCs w:val="24"/>
          <w:lang w:eastAsia="zh-CN" w:bidi="hi-IN"/>
        </w:rPr>
        <w:t>Vaičuku</w:t>
      </w:r>
      <w:proofErr w:type="spellEnd"/>
      <w:r w:rsidRPr="00A07F29">
        <w:rPr>
          <w:rFonts w:ascii="Times New Roman" w:eastAsia="Noto Sans CJK SC" w:hAnsi="Times New Roman" w:cs="Lohit Devanagari"/>
          <w:kern w:val="2"/>
          <w:sz w:val="24"/>
          <w:szCs w:val="24"/>
          <w:lang w:eastAsia="zh-CN" w:bidi="hi-IN"/>
        </w:rPr>
        <w:t xml:space="preserve"> ez</w:t>
      </w:r>
      <w:r w:rsidR="00DE72AF" w:rsidRPr="00A07F29">
        <w:rPr>
          <w:rFonts w:ascii="Times New Roman" w:eastAsia="Noto Sans CJK SC" w:hAnsi="Times New Roman" w:cs="Lohit Devanagari"/>
          <w:kern w:val="2"/>
          <w:sz w:val="24"/>
          <w:szCs w:val="24"/>
          <w:lang w:eastAsia="zh-CN" w:bidi="hi-IN"/>
        </w:rPr>
        <w:t>eri</w:t>
      </w:r>
      <w:r w:rsidRPr="00A07F29">
        <w:rPr>
          <w:rFonts w:ascii="Times New Roman" w:eastAsia="Noto Sans CJK SC" w:hAnsi="Times New Roman" w:cs="Lohit Devanagari"/>
          <w:kern w:val="2"/>
          <w:sz w:val="24"/>
          <w:szCs w:val="24"/>
          <w:lang w:eastAsia="zh-CN" w:bidi="hi-IN"/>
        </w:rPr>
        <w:t xml:space="preserve">, kā arī </w:t>
      </w:r>
      <w:proofErr w:type="spellStart"/>
      <w:r w:rsidRPr="00A07F29">
        <w:rPr>
          <w:rFonts w:ascii="Times New Roman" w:eastAsia="Noto Sans CJK SC" w:hAnsi="Times New Roman" w:cs="Lohit Devanagari"/>
          <w:kern w:val="2"/>
          <w:sz w:val="24"/>
          <w:szCs w:val="24"/>
          <w:lang w:eastAsia="zh-CN" w:bidi="hi-IN"/>
        </w:rPr>
        <w:t>Mjaļina</w:t>
      </w:r>
      <w:proofErr w:type="spellEnd"/>
      <w:r w:rsidRPr="00A07F29">
        <w:rPr>
          <w:rFonts w:ascii="Times New Roman" w:eastAsia="Noto Sans CJK SC" w:hAnsi="Times New Roman" w:cs="Lohit Devanagari"/>
          <w:kern w:val="2"/>
          <w:sz w:val="24"/>
          <w:szCs w:val="24"/>
          <w:lang w:eastAsia="zh-CN" w:bidi="hi-IN"/>
        </w:rPr>
        <w:t xml:space="preserve">, </w:t>
      </w:r>
      <w:proofErr w:type="spellStart"/>
      <w:r w:rsidRPr="00A07F29">
        <w:rPr>
          <w:rFonts w:ascii="Times New Roman" w:eastAsia="Noto Sans CJK SC" w:hAnsi="Times New Roman" w:cs="Lohit Devanagari"/>
          <w:kern w:val="2"/>
          <w:sz w:val="24"/>
          <w:szCs w:val="24"/>
          <w:lang w:eastAsia="zh-CN" w:bidi="hi-IN"/>
        </w:rPr>
        <w:t>Prūdeņš</w:t>
      </w:r>
      <w:proofErr w:type="spellEnd"/>
      <w:r w:rsidRPr="00A07F29">
        <w:rPr>
          <w:rFonts w:ascii="Times New Roman" w:eastAsia="Noto Sans CJK SC" w:hAnsi="Times New Roman" w:cs="Lohit Devanagari"/>
          <w:kern w:val="2"/>
          <w:sz w:val="24"/>
          <w:szCs w:val="24"/>
          <w:lang w:eastAsia="zh-CN" w:bidi="hi-IN"/>
        </w:rPr>
        <w:t xml:space="preserve">, </w:t>
      </w:r>
      <w:proofErr w:type="spellStart"/>
      <w:r w:rsidRPr="00A07F29">
        <w:rPr>
          <w:rFonts w:ascii="Times New Roman" w:eastAsia="Noto Sans CJK SC" w:hAnsi="Times New Roman" w:cs="Lohit Devanagari"/>
          <w:kern w:val="2"/>
          <w:sz w:val="24"/>
          <w:szCs w:val="24"/>
          <w:lang w:eastAsia="zh-CN" w:bidi="hi-IN"/>
        </w:rPr>
        <w:t>Riņģis</w:t>
      </w:r>
      <w:proofErr w:type="spellEnd"/>
      <w:r w:rsidRPr="00A07F29">
        <w:rPr>
          <w:rFonts w:ascii="Times New Roman" w:eastAsia="Noto Sans CJK SC" w:hAnsi="Times New Roman" w:cs="Lohit Devanagari"/>
          <w:kern w:val="2"/>
          <w:sz w:val="24"/>
          <w:szCs w:val="24"/>
          <w:lang w:eastAsia="zh-CN" w:bidi="hi-IN"/>
        </w:rPr>
        <w:t xml:space="preserve">, </w:t>
      </w:r>
      <w:proofErr w:type="spellStart"/>
      <w:r w:rsidRPr="00A07F29">
        <w:rPr>
          <w:rFonts w:ascii="Times New Roman" w:eastAsia="Noto Sans CJK SC" w:hAnsi="Times New Roman" w:cs="Lohit Devanagari"/>
          <w:kern w:val="2"/>
          <w:sz w:val="24"/>
          <w:szCs w:val="24"/>
          <w:lang w:eastAsia="zh-CN" w:bidi="hi-IN"/>
        </w:rPr>
        <w:t>Šlapuks</w:t>
      </w:r>
      <w:proofErr w:type="spellEnd"/>
      <w:r w:rsidRPr="00A07F29">
        <w:rPr>
          <w:rFonts w:ascii="Times New Roman" w:eastAsia="Noto Sans CJK SC" w:hAnsi="Times New Roman" w:cs="Lohit Devanagari"/>
          <w:kern w:val="2"/>
          <w:sz w:val="24"/>
          <w:szCs w:val="24"/>
          <w:lang w:eastAsia="zh-CN" w:bidi="hi-IN"/>
        </w:rPr>
        <w:t xml:space="preserve"> un </w:t>
      </w:r>
      <w:proofErr w:type="spellStart"/>
      <w:r w:rsidRPr="00A07F29">
        <w:rPr>
          <w:rFonts w:ascii="Times New Roman" w:eastAsia="Noto Sans CJK SC" w:hAnsi="Times New Roman" w:cs="Lohit Devanagari"/>
          <w:kern w:val="2"/>
          <w:sz w:val="24"/>
          <w:szCs w:val="24"/>
          <w:lang w:eastAsia="zh-CN" w:bidi="hi-IN"/>
        </w:rPr>
        <w:t>Zīmeļs</w:t>
      </w:r>
      <w:proofErr w:type="spellEnd"/>
      <w:r w:rsidRPr="00A07F29">
        <w:rPr>
          <w:rFonts w:ascii="Times New Roman" w:eastAsia="Noto Sans CJK SC" w:hAnsi="Times New Roman" w:cs="Lohit Devanagari"/>
          <w:kern w:val="2"/>
          <w:sz w:val="24"/>
          <w:szCs w:val="24"/>
          <w:lang w:eastAsia="zh-CN" w:bidi="hi-IN"/>
        </w:rPr>
        <w:t>) un Kaplavas pagastā – 12 ezeri (</w:t>
      </w:r>
      <w:proofErr w:type="spellStart"/>
      <w:r w:rsidRPr="00A07F29">
        <w:rPr>
          <w:rFonts w:ascii="Times New Roman" w:eastAsia="Noto Sans CJK SC" w:hAnsi="Times New Roman" w:cs="Lohit Devanagari"/>
          <w:kern w:val="2"/>
          <w:sz w:val="24"/>
          <w:szCs w:val="24"/>
          <w:lang w:eastAsia="zh-CN" w:bidi="hi-IN"/>
        </w:rPr>
        <w:t>Baļticas</w:t>
      </w:r>
      <w:proofErr w:type="spellEnd"/>
      <w:r w:rsidRPr="00A07F29">
        <w:rPr>
          <w:rFonts w:ascii="Times New Roman" w:eastAsia="Noto Sans CJK SC" w:hAnsi="Times New Roman" w:cs="Lohit Devanagari"/>
          <w:kern w:val="2"/>
          <w:sz w:val="24"/>
          <w:szCs w:val="24"/>
          <w:lang w:eastAsia="zh-CN" w:bidi="hi-IN"/>
        </w:rPr>
        <w:t xml:space="preserve">, </w:t>
      </w:r>
      <w:proofErr w:type="spellStart"/>
      <w:r w:rsidRPr="00A07F29">
        <w:rPr>
          <w:rFonts w:ascii="Times New Roman" w:eastAsia="Noto Sans CJK SC" w:hAnsi="Times New Roman" w:cs="Lohit Devanagari"/>
          <w:kern w:val="2"/>
          <w:sz w:val="24"/>
          <w:szCs w:val="24"/>
          <w:lang w:eastAsia="zh-CN" w:bidi="hi-IN"/>
        </w:rPr>
        <w:t>Jabloņkas</w:t>
      </w:r>
      <w:proofErr w:type="spellEnd"/>
      <w:r w:rsidRPr="00A07F29">
        <w:rPr>
          <w:rFonts w:ascii="Times New Roman" w:eastAsia="Noto Sans CJK SC" w:hAnsi="Times New Roman" w:cs="Lohit Devanagari"/>
          <w:kern w:val="2"/>
          <w:sz w:val="24"/>
          <w:szCs w:val="24"/>
          <w:lang w:eastAsia="zh-CN" w:bidi="hi-IN"/>
        </w:rPr>
        <w:t xml:space="preserve">, Kaudzīšu, </w:t>
      </w:r>
      <w:proofErr w:type="spellStart"/>
      <w:r w:rsidRPr="00A07F29">
        <w:rPr>
          <w:rFonts w:ascii="Times New Roman" w:eastAsia="Noto Sans CJK SC" w:hAnsi="Times New Roman" w:cs="Lohit Devanagari"/>
          <w:kern w:val="2"/>
          <w:sz w:val="24"/>
          <w:szCs w:val="24"/>
          <w:lang w:eastAsia="zh-CN" w:bidi="hi-IN"/>
        </w:rPr>
        <w:t>Krivoje</w:t>
      </w:r>
      <w:proofErr w:type="spellEnd"/>
      <w:r w:rsidRPr="00A07F29">
        <w:rPr>
          <w:rFonts w:ascii="Times New Roman" w:eastAsia="Noto Sans CJK SC" w:hAnsi="Times New Roman" w:cs="Lohit Devanagari"/>
          <w:kern w:val="2"/>
          <w:sz w:val="24"/>
          <w:szCs w:val="24"/>
          <w:lang w:eastAsia="zh-CN" w:bidi="hi-IN"/>
        </w:rPr>
        <w:t xml:space="preserve">, Lielais </w:t>
      </w:r>
      <w:proofErr w:type="spellStart"/>
      <w:r w:rsidRPr="00A07F29">
        <w:rPr>
          <w:rFonts w:ascii="Times New Roman" w:eastAsia="Noto Sans CJK SC" w:hAnsi="Times New Roman" w:cs="Lohit Devanagari"/>
          <w:kern w:val="2"/>
          <w:sz w:val="24"/>
          <w:szCs w:val="24"/>
          <w:lang w:eastAsia="zh-CN" w:bidi="hi-IN"/>
        </w:rPr>
        <w:t>Borvinkas</w:t>
      </w:r>
      <w:proofErr w:type="spellEnd"/>
      <w:r w:rsidRPr="00A07F29">
        <w:rPr>
          <w:rFonts w:ascii="Times New Roman" w:eastAsia="Noto Sans CJK SC" w:hAnsi="Times New Roman" w:cs="Lohit Devanagari"/>
          <w:kern w:val="2"/>
          <w:sz w:val="24"/>
          <w:szCs w:val="24"/>
          <w:lang w:eastAsia="zh-CN" w:bidi="hi-IN"/>
        </w:rPr>
        <w:t xml:space="preserve"> (Latvijas daļa), Mazais </w:t>
      </w:r>
      <w:proofErr w:type="spellStart"/>
      <w:r w:rsidRPr="00A07F29">
        <w:rPr>
          <w:rFonts w:ascii="Times New Roman" w:eastAsia="Noto Sans CJK SC" w:hAnsi="Times New Roman" w:cs="Lohit Devanagari"/>
          <w:kern w:val="2"/>
          <w:sz w:val="24"/>
          <w:szCs w:val="24"/>
          <w:lang w:eastAsia="zh-CN" w:bidi="hi-IN"/>
        </w:rPr>
        <w:t>Borvinkas</w:t>
      </w:r>
      <w:proofErr w:type="spellEnd"/>
      <w:r w:rsidRPr="00A07F29">
        <w:rPr>
          <w:rFonts w:ascii="Times New Roman" w:eastAsia="Noto Sans CJK SC" w:hAnsi="Times New Roman" w:cs="Lohit Devanagari"/>
          <w:kern w:val="2"/>
          <w:sz w:val="24"/>
          <w:szCs w:val="24"/>
          <w:lang w:eastAsia="zh-CN" w:bidi="hi-IN"/>
        </w:rPr>
        <w:t xml:space="preserve">, </w:t>
      </w:r>
      <w:proofErr w:type="spellStart"/>
      <w:r w:rsidRPr="00A07F29">
        <w:rPr>
          <w:rFonts w:ascii="Times New Roman" w:eastAsia="Noto Sans CJK SC" w:hAnsi="Times New Roman" w:cs="Lohit Devanagari"/>
          <w:kern w:val="2"/>
          <w:sz w:val="24"/>
          <w:szCs w:val="24"/>
          <w:lang w:eastAsia="zh-CN" w:bidi="hi-IN"/>
        </w:rPr>
        <w:t>Saučenku</w:t>
      </w:r>
      <w:proofErr w:type="spellEnd"/>
      <w:r w:rsidRPr="00A07F29">
        <w:rPr>
          <w:rFonts w:ascii="Times New Roman" w:eastAsia="Noto Sans CJK SC" w:hAnsi="Times New Roman" w:cs="Lohit Devanagari"/>
          <w:kern w:val="2"/>
          <w:sz w:val="24"/>
          <w:szCs w:val="24"/>
          <w:lang w:eastAsia="zh-CN" w:bidi="hi-IN"/>
        </w:rPr>
        <w:t xml:space="preserve">, </w:t>
      </w:r>
      <w:proofErr w:type="spellStart"/>
      <w:r w:rsidRPr="00A07F29">
        <w:rPr>
          <w:rFonts w:ascii="Times New Roman" w:eastAsia="Noto Sans CJK SC" w:hAnsi="Times New Roman" w:cs="Lohit Devanagari"/>
          <w:kern w:val="2"/>
          <w:sz w:val="24"/>
          <w:szCs w:val="24"/>
          <w:lang w:eastAsia="zh-CN" w:bidi="hi-IN"/>
        </w:rPr>
        <w:t>Šilovkas</w:t>
      </w:r>
      <w:proofErr w:type="spellEnd"/>
      <w:r w:rsidRPr="00A07F29">
        <w:rPr>
          <w:rFonts w:ascii="Times New Roman" w:eastAsia="Noto Sans CJK SC" w:hAnsi="Times New Roman" w:cs="Lohit Devanagari"/>
          <w:kern w:val="2"/>
          <w:sz w:val="24"/>
          <w:szCs w:val="24"/>
          <w:lang w:eastAsia="zh-CN" w:bidi="hi-IN"/>
        </w:rPr>
        <w:t xml:space="preserve">, </w:t>
      </w:r>
      <w:proofErr w:type="spellStart"/>
      <w:r w:rsidRPr="00A07F29">
        <w:rPr>
          <w:rFonts w:ascii="Times New Roman" w:eastAsia="Noto Sans CJK SC" w:hAnsi="Times New Roman" w:cs="Lohit Devanagari"/>
          <w:kern w:val="2"/>
          <w:sz w:val="24"/>
          <w:szCs w:val="24"/>
          <w:lang w:eastAsia="zh-CN" w:bidi="hi-IN"/>
        </w:rPr>
        <w:t>Varnaviču</w:t>
      </w:r>
      <w:proofErr w:type="spellEnd"/>
      <w:r w:rsidRPr="00A07F29">
        <w:rPr>
          <w:rFonts w:ascii="Times New Roman" w:eastAsia="Noto Sans CJK SC" w:hAnsi="Times New Roman" w:cs="Lohit Devanagari"/>
          <w:kern w:val="2"/>
          <w:sz w:val="24"/>
          <w:szCs w:val="24"/>
          <w:lang w:eastAsia="zh-CN" w:bidi="hi-IN"/>
        </w:rPr>
        <w:t xml:space="preserve">, Zariņa un </w:t>
      </w:r>
      <w:proofErr w:type="spellStart"/>
      <w:r w:rsidRPr="00A07F29">
        <w:rPr>
          <w:rFonts w:ascii="Times New Roman" w:eastAsia="Noto Sans CJK SC" w:hAnsi="Times New Roman" w:cs="Lohit Devanagari"/>
          <w:kern w:val="2"/>
          <w:sz w:val="24"/>
          <w:szCs w:val="24"/>
          <w:lang w:eastAsia="zh-CN" w:bidi="hi-IN"/>
        </w:rPr>
        <w:t>Zimašu</w:t>
      </w:r>
      <w:proofErr w:type="spellEnd"/>
      <w:r w:rsidRPr="00A07F29">
        <w:rPr>
          <w:rFonts w:ascii="Times New Roman" w:eastAsia="Noto Sans CJK SC" w:hAnsi="Times New Roman" w:cs="Lohit Devanagari"/>
          <w:kern w:val="2"/>
          <w:sz w:val="24"/>
          <w:szCs w:val="24"/>
          <w:lang w:eastAsia="zh-CN" w:bidi="hi-IN"/>
        </w:rPr>
        <w:t xml:space="preserve"> ez</w:t>
      </w:r>
      <w:r w:rsidR="00BF6153" w:rsidRPr="00A07F29">
        <w:rPr>
          <w:rFonts w:ascii="Times New Roman" w:eastAsia="Noto Sans CJK SC" w:hAnsi="Times New Roman" w:cs="Lohit Devanagari"/>
          <w:kern w:val="2"/>
          <w:sz w:val="24"/>
          <w:szCs w:val="24"/>
          <w:lang w:eastAsia="zh-CN" w:bidi="hi-IN"/>
        </w:rPr>
        <w:t>ers</w:t>
      </w:r>
      <w:r w:rsidRPr="00A07F29">
        <w:rPr>
          <w:rFonts w:ascii="Times New Roman" w:eastAsia="Noto Sans CJK SC" w:hAnsi="Times New Roman" w:cs="Lohit Devanagari"/>
          <w:kern w:val="2"/>
          <w:sz w:val="24"/>
          <w:szCs w:val="24"/>
          <w:lang w:eastAsia="zh-CN" w:bidi="hi-IN"/>
        </w:rPr>
        <w:t xml:space="preserve">). Lielais </w:t>
      </w:r>
      <w:proofErr w:type="spellStart"/>
      <w:r w:rsidRPr="00A07F29">
        <w:rPr>
          <w:rFonts w:ascii="Times New Roman" w:eastAsia="Noto Sans CJK SC" w:hAnsi="Times New Roman" w:cs="Lohit Devanagari"/>
          <w:kern w:val="2"/>
          <w:sz w:val="24"/>
          <w:szCs w:val="24"/>
          <w:lang w:eastAsia="zh-CN" w:bidi="hi-IN"/>
        </w:rPr>
        <w:t>Borvinkas</w:t>
      </w:r>
      <w:proofErr w:type="spellEnd"/>
      <w:r w:rsidRPr="00A07F29">
        <w:rPr>
          <w:rFonts w:ascii="Times New Roman" w:eastAsia="Noto Sans CJK SC" w:hAnsi="Times New Roman" w:cs="Lohit Devanagari"/>
          <w:kern w:val="2"/>
          <w:sz w:val="24"/>
          <w:szCs w:val="24"/>
          <w:lang w:eastAsia="zh-CN" w:bidi="hi-IN"/>
        </w:rPr>
        <w:t xml:space="preserve"> ezers, kura kopējā platība ir 9,05</w:t>
      </w:r>
      <w:r w:rsidR="00BF6153" w:rsidRPr="00A07F29">
        <w:rPr>
          <w:rFonts w:ascii="Times New Roman" w:eastAsia="Noto Sans CJK SC" w:hAnsi="Times New Roman" w:cs="Lohit Devanagari"/>
          <w:kern w:val="2"/>
          <w:sz w:val="24"/>
          <w:szCs w:val="24"/>
          <w:lang w:eastAsia="zh-CN" w:bidi="hi-IN"/>
        </w:rPr>
        <w:t> </w:t>
      </w:r>
      <w:r w:rsidRPr="00A07F29">
        <w:rPr>
          <w:rFonts w:ascii="Times New Roman" w:eastAsia="Noto Sans CJK SC" w:hAnsi="Times New Roman" w:cs="Lohit Devanagari"/>
          <w:kern w:val="2"/>
          <w:sz w:val="24"/>
          <w:szCs w:val="24"/>
          <w:lang w:eastAsia="zh-CN" w:bidi="hi-IN"/>
        </w:rPr>
        <w:t>ha, atrodas uz Latvijas-Baltkrievijas robežas un Latvijā atrodas tikai 2,65</w:t>
      </w:r>
      <w:r w:rsidR="00BF6153" w:rsidRPr="00A07F29">
        <w:rPr>
          <w:rFonts w:ascii="Times New Roman" w:eastAsia="Noto Sans CJK SC" w:hAnsi="Times New Roman" w:cs="Lohit Devanagari"/>
          <w:kern w:val="2"/>
          <w:sz w:val="24"/>
          <w:szCs w:val="24"/>
          <w:lang w:eastAsia="zh-CN" w:bidi="hi-IN"/>
        </w:rPr>
        <w:t> </w:t>
      </w:r>
      <w:r w:rsidRPr="00A07F29">
        <w:rPr>
          <w:rFonts w:ascii="Times New Roman" w:eastAsia="Noto Sans CJK SC" w:hAnsi="Times New Roman" w:cs="Lohit Devanagari"/>
          <w:kern w:val="2"/>
          <w:sz w:val="24"/>
          <w:szCs w:val="24"/>
          <w:lang w:eastAsia="zh-CN" w:bidi="hi-IN"/>
        </w:rPr>
        <w:t xml:space="preserve">ha. </w:t>
      </w:r>
      <w:proofErr w:type="spellStart"/>
      <w:r w:rsidRPr="00A07F29">
        <w:rPr>
          <w:rFonts w:ascii="Times New Roman" w:eastAsia="Noto Sans CJK SC" w:hAnsi="Times New Roman" w:cs="Lohit Devanagari"/>
          <w:kern w:val="2"/>
          <w:sz w:val="24"/>
          <w:szCs w:val="24"/>
          <w:lang w:eastAsia="zh-CN" w:bidi="hi-IN"/>
        </w:rPr>
        <w:t>Floristiski</w:t>
      </w:r>
      <w:proofErr w:type="spellEnd"/>
      <w:r w:rsidRPr="00A07F29">
        <w:rPr>
          <w:rFonts w:ascii="Times New Roman" w:eastAsia="Noto Sans CJK SC" w:hAnsi="Times New Roman" w:cs="Lohit Devanagari"/>
          <w:kern w:val="2"/>
          <w:sz w:val="24"/>
          <w:szCs w:val="24"/>
          <w:lang w:eastAsia="zh-CN" w:bidi="hi-IN"/>
        </w:rPr>
        <w:t xml:space="preserve"> šie ezeri iekļaujas Dienvidaustrumu ģeobotāniskajā rajonā, bet </w:t>
      </w:r>
      <w:proofErr w:type="spellStart"/>
      <w:r w:rsidRPr="00A07F29">
        <w:rPr>
          <w:rFonts w:ascii="Times New Roman" w:eastAsia="Noto Sans CJK SC" w:hAnsi="Times New Roman" w:cs="Lohit Devanagari"/>
          <w:kern w:val="2"/>
          <w:sz w:val="24"/>
          <w:szCs w:val="24"/>
          <w:lang w:eastAsia="zh-CN" w:bidi="hi-IN"/>
        </w:rPr>
        <w:t>fizioģeogrāfiski</w:t>
      </w:r>
      <w:proofErr w:type="spellEnd"/>
      <w:r w:rsidRPr="00A07F29">
        <w:rPr>
          <w:rFonts w:ascii="Times New Roman" w:eastAsia="Noto Sans CJK SC" w:hAnsi="Times New Roman" w:cs="Lohit Devanagari"/>
          <w:kern w:val="2"/>
          <w:sz w:val="24"/>
          <w:szCs w:val="24"/>
          <w:lang w:eastAsia="zh-CN" w:bidi="hi-IN"/>
        </w:rPr>
        <w:t xml:space="preserve"> – Augšdaugavas pazeminājumā, kas </w:t>
      </w:r>
      <w:r w:rsidR="00095ED3">
        <w:rPr>
          <w:rFonts w:ascii="Times New Roman" w:eastAsia="Noto Sans CJK SC" w:hAnsi="Times New Roman" w:cs="Lohit Devanagari"/>
          <w:kern w:val="2"/>
          <w:sz w:val="24"/>
          <w:szCs w:val="24"/>
          <w:lang w:eastAsia="zh-CN" w:bidi="hi-IN"/>
        </w:rPr>
        <w:t>D</w:t>
      </w:r>
      <w:r w:rsidRPr="00A07F29">
        <w:rPr>
          <w:rFonts w:ascii="Times New Roman" w:eastAsia="Noto Sans CJK SC" w:hAnsi="Times New Roman" w:cs="Lohit Devanagari"/>
          <w:kern w:val="2"/>
          <w:sz w:val="24"/>
          <w:szCs w:val="24"/>
          <w:lang w:eastAsia="zh-CN" w:bidi="hi-IN"/>
        </w:rPr>
        <w:t xml:space="preserve"> virzienā Baltkrievijas pusē pāriet Braslavas augstienē, bet </w:t>
      </w:r>
      <w:r w:rsidR="00095ED3">
        <w:rPr>
          <w:rFonts w:ascii="Times New Roman" w:eastAsia="Noto Sans CJK SC" w:hAnsi="Times New Roman" w:cs="Lohit Devanagari"/>
          <w:kern w:val="2"/>
          <w:sz w:val="24"/>
          <w:szCs w:val="24"/>
          <w:lang w:eastAsia="zh-CN" w:bidi="hi-IN"/>
        </w:rPr>
        <w:t>Z</w:t>
      </w:r>
      <w:r w:rsidRPr="00A07F29">
        <w:rPr>
          <w:rFonts w:ascii="Times New Roman" w:eastAsia="Noto Sans CJK SC" w:hAnsi="Times New Roman" w:cs="Lohit Devanagari"/>
          <w:kern w:val="2"/>
          <w:sz w:val="24"/>
          <w:szCs w:val="24"/>
          <w:lang w:eastAsia="zh-CN" w:bidi="hi-IN"/>
        </w:rPr>
        <w:t xml:space="preserve"> virzienā Latvijas pusē – Latgales augstienes Dagdas </w:t>
      </w:r>
      <w:proofErr w:type="spellStart"/>
      <w:r w:rsidRPr="00A07F29">
        <w:rPr>
          <w:rFonts w:ascii="Times New Roman" w:eastAsia="Noto Sans CJK SC" w:hAnsi="Times New Roman" w:cs="Lohit Devanagari"/>
          <w:kern w:val="2"/>
          <w:sz w:val="24"/>
          <w:szCs w:val="24"/>
          <w:lang w:eastAsia="zh-CN" w:bidi="hi-IN"/>
        </w:rPr>
        <w:t>paugurainē</w:t>
      </w:r>
      <w:proofErr w:type="spellEnd"/>
      <w:r w:rsidRPr="00A07F29">
        <w:rPr>
          <w:rFonts w:ascii="Times New Roman" w:eastAsia="Noto Sans CJK SC" w:hAnsi="Times New Roman" w:cs="Lohit Devanagari"/>
          <w:kern w:val="2"/>
          <w:sz w:val="24"/>
          <w:szCs w:val="24"/>
          <w:lang w:eastAsia="zh-CN" w:bidi="hi-IN"/>
        </w:rPr>
        <w:t xml:space="preserve"> (Āboltiņš</w:t>
      </w:r>
      <w:r w:rsidR="00A806A2" w:rsidRPr="00A07F29">
        <w:rPr>
          <w:rFonts w:ascii="Times New Roman" w:eastAsia="Noto Sans CJK SC" w:hAnsi="Times New Roman" w:cs="Lohit Devanagari"/>
          <w:kern w:val="2"/>
          <w:sz w:val="24"/>
          <w:szCs w:val="24"/>
          <w:lang w:eastAsia="zh-CN" w:bidi="hi-IN"/>
        </w:rPr>
        <w:t xml:space="preserve"> O.</w:t>
      </w:r>
      <w:r w:rsidRPr="00A07F29">
        <w:rPr>
          <w:rFonts w:ascii="Times New Roman" w:eastAsia="Noto Sans CJK SC" w:hAnsi="Times New Roman" w:cs="Lohit Devanagari"/>
          <w:kern w:val="2"/>
          <w:sz w:val="24"/>
          <w:szCs w:val="24"/>
          <w:lang w:eastAsia="zh-CN" w:bidi="hi-IN"/>
        </w:rPr>
        <w:t>, 1994</w:t>
      </w:r>
      <w:r w:rsidR="001B72C3" w:rsidRPr="00A07F29">
        <w:rPr>
          <w:rFonts w:ascii="Times New Roman" w:eastAsia="Noto Sans CJK SC" w:hAnsi="Times New Roman" w:cs="Lohit Devanagari"/>
          <w:kern w:val="2"/>
          <w:sz w:val="24"/>
          <w:szCs w:val="24"/>
          <w:lang w:eastAsia="zh-CN" w:bidi="hi-IN"/>
        </w:rPr>
        <w:t>;</w:t>
      </w:r>
      <w:r w:rsidRPr="00A07F29">
        <w:rPr>
          <w:rFonts w:ascii="Times New Roman" w:eastAsia="Noto Sans CJK SC" w:hAnsi="Times New Roman" w:cs="Lohit Devanagari"/>
          <w:kern w:val="2"/>
          <w:sz w:val="24"/>
          <w:szCs w:val="24"/>
          <w:lang w:eastAsia="zh-CN" w:bidi="hi-IN"/>
        </w:rPr>
        <w:t xml:space="preserve"> </w:t>
      </w:r>
      <w:proofErr w:type="spellStart"/>
      <w:r w:rsidR="00244B83" w:rsidRPr="00244B83">
        <w:rPr>
          <w:rFonts w:ascii="Times New Roman" w:eastAsia="Noto Sans CJK SC" w:hAnsi="Times New Roman" w:cs="Lohit Devanagari"/>
          <w:kern w:val="2"/>
          <w:sz w:val="24"/>
          <w:szCs w:val="24"/>
          <w:lang w:eastAsia="zh-CN" w:bidi="hi-IN"/>
        </w:rPr>
        <w:t>Табака</w:t>
      </w:r>
      <w:proofErr w:type="spellEnd"/>
      <w:r w:rsidR="00244B83" w:rsidRPr="00244B83">
        <w:rPr>
          <w:rFonts w:ascii="Times New Roman" w:eastAsia="Noto Sans CJK SC" w:hAnsi="Times New Roman" w:cs="Lohit Devanagari"/>
          <w:kern w:val="2"/>
          <w:sz w:val="24"/>
          <w:szCs w:val="24"/>
          <w:lang w:eastAsia="zh-CN" w:bidi="hi-IN"/>
        </w:rPr>
        <w:t xml:space="preserve"> Л.В.</w:t>
      </w:r>
      <w:r w:rsidRPr="00A07F29">
        <w:rPr>
          <w:rFonts w:ascii="Times New Roman" w:eastAsia="Noto Sans CJK SC" w:hAnsi="Times New Roman" w:cs="Lohit Devanagari"/>
          <w:kern w:val="2"/>
          <w:sz w:val="24"/>
          <w:szCs w:val="24"/>
          <w:lang w:eastAsia="zh-CN" w:bidi="hi-IN"/>
        </w:rPr>
        <w:t>, 1982).</w:t>
      </w:r>
    </w:p>
    <w:p w14:paraId="6F71C6F3" w14:textId="6489F670" w:rsidR="0094598E" w:rsidRPr="00A07F29" w:rsidRDefault="0094598E" w:rsidP="0042500F">
      <w:pPr>
        <w:spacing w:after="0" w:line="240" w:lineRule="auto"/>
        <w:ind w:firstLine="851"/>
        <w:jc w:val="both"/>
        <w:rPr>
          <w:rFonts w:ascii="Times New Roman" w:eastAsia="Noto Sans CJK SC" w:hAnsi="Times New Roman" w:cs="Lohit Devanagari"/>
          <w:kern w:val="2"/>
          <w:sz w:val="24"/>
          <w:szCs w:val="24"/>
          <w:lang w:eastAsia="zh-CN" w:bidi="hi-IN"/>
        </w:rPr>
      </w:pPr>
      <w:r w:rsidRPr="00A07F29">
        <w:rPr>
          <w:rFonts w:ascii="Times New Roman" w:eastAsia="Noto Sans CJK SC" w:hAnsi="Times New Roman" w:cs="Lohit Devanagari"/>
          <w:kern w:val="2"/>
          <w:sz w:val="24"/>
          <w:szCs w:val="24"/>
          <w:lang w:eastAsia="zh-CN" w:bidi="hi-IN"/>
        </w:rPr>
        <w:t>Ezeru juridiskais statuss ir sekojošs:</w:t>
      </w:r>
      <w:r w:rsidR="008233D2" w:rsidRPr="00A07F29">
        <w:rPr>
          <w:rFonts w:ascii="Times New Roman" w:eastAsia="Noto Sans CJK SC" w:hAnsi="Times New Roman" w:cs="Lohit Devanagari"/>
          <w:kern w:val="2"/>
          <w:sz w:val="24"/>
          <w:szCs w:val="24"/>
          <w:lang w:eastAsia="zh-CN" w:bidi="hi-IN"/>
        </w:rPr>
        <w:t xml:space="preserve"> 11 </w:t>
      </w:r>
      <w:r w:rsidRPr="00A07F29">
        <w:rPr>
          <w:rFonts w:ascii="Times New Roman" w:eastAsia="Noto Sans CJK SC" w:hAnsi="Times New Roman" w:cs="Lohit Devanagari"/>
          <w:kern w:val="2"/>
          <w:sz w:val="24"/>
          <w:szCs w:val="24"/>
          <w:lang w:eastAsia="zh-CN" w:bidi="hi-IN"/>
        </w:rPr>
        <w:t>ezeri 94,99</w:t>
      </w:r>
      <w:r w:rsidR="00FD107B" w:rsidRPr="00A07F29">
        <w:rPr>
          <w:rFonts w:ascii="Times New Roman" w:eastAsia="Noto Sans CJK SC" w:hAnsi="Times New Roman" w:cs="Lohit Devanagari"/>
          <w:kern w:val="2"/>
          <w:sz w:val="24"/>
          <w:szCs w:val="24"/>
          <w:lang w:eastAsia="zh-CN" w:bidi="hi-IN"/>
        </w:rPr>
        <w:t> </w:t>
      </w:r>
      <w:r w:rsidRPr="00A07F29">
        <w:rPr>
          <w:rFonts w:ascii="Times New Roman" w:eastAsia="Noto Sans CJK SC" w:hAnsi="Times New Roman" w:cs="Lohit Devanagari"/>
          <w:kern w:val="2"/>
          <w:sz w:val="24"/>
          <w:szCs w:val="24"/>
          <w:lang w:eastAsia="zh-CN" w:bidi="hi-IN"/>
        </w:rPr>
        <w:t>ha kopplatībā un 30,1</w:t>
      </w:r>
      <w:r w:rsidR="00FD107B" w:rsidRPr="00A07F29">
        <w:rPr>
          <w:rFonts w:ascii="Times New Roman" w:eastAsia="Noto Sans CJK SC" w:hAnsi="Times New Roman" w:cs="Lohit Devanagari"/>
          <w:kern w:val="2"/>
          <w:sz w:val="24"/>
          <w:szCs w:val="24"/>
          <w:lang w:eastAsia="zh-CN" w:bidi="hi-IN"/>
        </w:rPr>
        <w:t> </w:t>
      </w:r>
      <w:r w:rsidRPr="00A07F29">
        <w:rPr>
          <w:rFonts w:ascii="Times New Roman" w:eastAsia="Noto Sans CJK SC" w:hAnsi="Times New Roman" w:cs="Lohit Devanagari"/>
          <w:kern w:val="2"/>
          <w:sz w:val="24"/>
          <w:szCs w:val="24"/>
          <w:lang w:eastAsia="zh-CN" w:bidi="hi-IN"/>
        </w:rPr>
        <w:t>% no visu ezeru kop</w:t>
      </w:r>
      <w:r w:rsidR="376A5AA0" w:rsidRPr="00A07F29">
        <w:rPr>
          <w:rFonts w:ascii="Times New Roman" w:eastAsia="Noto Sans CJK SC" w:hAnsi="Times New Roman" w:cs="Lohit Devanagari"/>
          <w:kern w:val="2"/>
          <w:sz w:val="24"/>
          <w:szCs w:val="24"/>
          <w:lang w:eastAsia="zh-CN" w:bidi="hi-IN"/>
        </w:rPr>
        <w:t>ē</w:t>
      </w:r>
      <w:r w:rsidRPr="00A07F29">
        <w:rPr>
          <w:rFonts w:ascii="Times New Roman" w:eastAsia="Noto Sans CJK SC" w:hAnsi="Times New Roman" w:cs="Lohit Devanagari"/>
          <w:kern w:val="2"/>
          <w:sz w:val="24"/>
          <w:szCs w:val="24"/>
          <w:lang w:eastAsia="zh-CN" w:bidi="hi-IN"/>
        </w:rPr>
        <w:t>jās platības ir valsts īpašumā un tos apsaimnieko LVM, trīs ezeri ar kopplatību 24,88</w:t>
      </w:r>
      <w:r w:rsidR="00FD107B" w:rsidRPr="00A07F29">
        <w:rPr>
          <w:rFonts w:ascii="Times New Roman" w:eastAsia="Noto Sans CJK SC" w:hAnsi="Times New Roman" w:cs="Lohit Devanagari"/>
          <w:kern w:val="2"/>
          <w:sz w:val="24"/>
          <w:szCs w:val="24"/>
          <w:lang w:eastAsia="zh-CN" w:bidi="hi-IN"/>
        </w:rPr>
        <w:t> </w:t>
      </w:r>
      <w:r w:rsidRPr="00A07F29">
        <w:rPr>
          <w:rFonts w:ascii="Times New Roman" w:eastAsia="Noto Sans CJK SC" w:hAnsi="Times New Roman" w:cs="Lohit Devanagari"/>
          <w:kern w:val="2"/>
          <w:sz w:val="24"/>
          <w:szCs w:val="24"/>
          <w:lang w:eastAsia="zh-CN" w:bidi="hi-IN"/>
        </w:rPr>
        <w:t>ha jeb 7</w:t>
      </w:r>
      <w:r w:rsidR="00FD107B" w:rsidRPr="00A07F29">
        <w:rPr>
          <w:rFonts w:ascii="Times New Roman" w:eastAsia="Noto Sans CJK SC" w:hAnsi="Times New Roman" w:cs="Lohit Devanagari"/>
          <w:kern w:val="2"/>
          <w:sz w:val="24"/>
          <w:szCs w:val="24"/>
          <w:lang w:eastAsia="zh-CN" w:bidi="hi-IN"/>
        </w:rPr>
        <w:t>,</w:t>
      </w:r>
      <w:r w:rsidRPr="00A07F29">
        <w:rPr>
          <w:rFonts w:ascii="Times New Roman" w:eastAsia="Noto Sans CJK SC" w:hAnsi="Times New Roman" w:cs="Lohit Devanagari"/>
          <w:kern w:val="2"/>
          <w:sz w:val="24"/>
          <w:szCs w:val="24"/>
          <w:lang w:eastAsia="zh-CN" w:bidi="hi-IN"/>
        </w:rPr>
        <w:t>9</w:t>
      </w:r>
      <w:r w:rsidR="00FD107B" w:rsidRPr="00A07F29">
        <w:rPr>
          <w:rFonts w:ascii="Times New Roman" w:eastAsia="Noto Sans CJK SC" w:hAnsi="Times New Roman" w:cs="Lohit Devanagari"/>
          <w:kern w:val="2"/>
          <w:sz w:val="24"/>
          <w:szCs w:val="24"/>
          <w:lang w:eastAsia="zh-CN" w:bidi="hi-IN"/>
        </w:rPr>
        <w:t> </w:t>
      </w:r>
      <w:r w:rsidRPr="00A07F29">
        <w:rPr>
          <w:rFonts w:ascii="Times New Roman" w:eastAsia="Noto Sans CJK SC" w:hAnsi="Times New Roman" w:cs="Lohit Devanagari"/>
          <w:kern w:val="2"/>
          <w:sz w:val="24"/>
          <w:szCs w:val="24"/>
          <w:lang w:eastAsia="zh-CN" w:bidi="hi-IN"/>
        </w:rPr>
        <w:t>% atrodas pašvaldību un privātajā kopīpašumā, bet 17 ezeri 195,66</w:t>
      </w:r>
      <w:r w:rsidR="00FD107B" w:rsidRPr="00A07F29">
        <w:rPr>
          <w:rFonts w:ascii="Times New Roman" w:eastAsia="Noto Sans CJK SC" w:hAnsi="Times New Roman" w:cs="Lohit Devanagari"/>
          <w:kern w:val="2"/>
          <w:sz w:val="24"/>
          <w:szCs w:val="24"/>
          <w:lang w:eastAsia="zh-CN" w:bidi="hi-IN"/>
        </w:rPr>
        <w:t> </w:t>
      </w:r>
      <w:r w:rsidRPr="00A07F29">
        <w:rPr>
          <w:rFonts w:ascii="Times New Roman" w:eastAsia="Noto Sans CJK SC" w:hAnsi="Times New Roman" w:cs="Lohit Devanagari"/>
          <w:kern w:val="2"/>
          <w:sz w:val="24"/>
          <w:szCs w:val="24"/>
          <w:lang w:eastAsia="zh-CN" w:bidi="hi-IN"/>
        </w:rPr>
        <w:t>ha kopplatībā jeb 62,0</w:t>
      </w:r>
      <w:r w:rsidR="00552698" w:rsidRPr="00A07F29">
        <w:rPr>
          <w:rFonts w:ascii="Times New Roman" w:eastAsia="Noto Sans CJK SC" w:hAnsi="Times New Roman" w:cs="Lohit Devanagari"/>
          <w:kern w:val="2"/>
          <w:sz w:val="24"/>
          <w:szCs w:val="24"/>
          <w:lang w:eastAsia="zh-CN" w:bidi="hi-IN"/>
        </w:rPr>
        <w:t> </w:t>
      </w:r>
      <w:r w:rsidRPr="00A07F29">
        <w:rPr>
          <w:rFonts w:ascii="Times New Roman" w:eastAsia="Noto Sans CJK SC" w:hAnsi="Times New Roman" w:cs="Lohit Devanagari"/>
          <w:kern w:val="2"/>
          <w:sz w:val="24"/>
          <w:szCs w:val="24"/>
          <w:lang w:eastAsia="zh-CN" w:bidi="hi-IN"/>
        </w:rPr>
        <w:t>%</w:t>
      </w:r>
      <w:r w:rsidR="00FD107B" w:rsidRPr="00A07F29">
        <w:rPr>
          <w:rFonts w:ascii="Times New Roman" w:eastAsia="Noto Sans CJK SC" w:hAnsi="Times New Roman" w:cs="Lohit Devanagari"/>
          <w:kern w:val="2"/>
          <w:sz w:val="24"/>
          <w:szCs w:val="24"/>
          <w:lang w:eastAsia="zh-CN" w:bidi="hi-IN"/>
        </w:rPr>
        <w:t xml:space="preserve"> - </w:t>
      </w:r>
      <w:r w:rsidRPr="00A07F29">
        <w:rPr>
          <w:rFonts w:ascii="Times New Roman" w:eastAsia="Noto Sans CJK SC" w:hAnsi="Times New Roman" w:cs="Lohit Devanagari"/>
          <w:kern w:val="2"/>
          <w:sz w:val="24"/>
          <w:szCs w:val="24"/>
          <w:lang w:eastAsia="zh-CN" w:bidi="hi-IN"/>
        </w:rPr>
        <w:t>privātajā īpašumā</w:t>
      </w:r>
      <w:r w:rsidR="00DF1FE3" w:rsidRPr="00A07F29">
        <w:rPr>
          <w:rStyle w:val="FootnoteReference"/>
          <w:rFonts w:ascii="Times New Roman" w:eastAsia="Noto Sans CJK SC" w:hAnsi="Times New Roman" w:cs="Lohit Devanagari"/>
          <w:kern w:val="2"/>
          <w:sz w:val="24"/>
          <w:szCs w:val="24"/>
          <w:lang w:eastAsia="zh-CN" w:bidi="hi-IN"/>
        </w:rPr>
        <w:footnoteReference w:id="7"/>
      </w:r>
      <w:r w:rsidR="00415ABB" w:rsidRPr="00A07F29">
        <w:rPr>
          <w:rFonts w:ascii="Times New Roman" w:eastAsia="Noto Sans CJK SC" w:hAnsi="Times New Roman" w:cs="Lohit Devanagari"/>
          <w:kern w:val="2"/>
          <w:sz w:val="24"/>
          <w:szCs w:val="24"/>
          <w:lang w:eastAsia="zh-CN" w:bidi="hi-IN"/>
        </w:rPr>
        <w:t>.</w:t>
      </w:r>
    </w:p>
    <w:p w14:paraId="7AEA56C1" w14:textId="77777777" w:rsidR="0094598E" w:rsidRPr="00A07F29" w:rsidRDefault="0094598E" w:rsidP="0094598E">
      <w:pPr>
        <w:spacing w:after="0" w:line="240" w:lineRule="auto"/>
        <w:jc w:val="both"/>
        <w:rPr>
          <w:rFonts w:ascii="Times New Roman" w:eastAsia="Noto Sans CJK SC" w:hAnsi="Times New Roman" w:cs="Lohit Devanagari"/>
          <w:kern w:val="2"/>
          <w:sz w:val="24"/>
          <w:szCs w:val="24"/>
          <w:lang w:eastAsia="zh-CN" w:bidi="hi-IN"/>
        </w:rPr>
      </w:pPr>
    </w:p>
    <w:p w14:paraId="0B0F3269" w14:textId="77777777" w:rsidR="0094598E" w:rsidRPr="00A07F29" w:rsidRDefault="0094598E" w:rsidP="00E0704C">
      <w:pPr>
        <w:widowControl w:val="0"/>
        <w:autoSpaceDE w:val="0"/>
        <w:autoSpaceDN w:val="0"/>
        <w:adjustRightInd w:val="0"/>
        <w:spacing w:after="0" w:line="240" w:lineRule="auto"/>
        <w:rPr>
          <w:rFonts w:ascii="Times New Roman" w:hAnsi="Times New Roman"/>
          <w:b/>
          <w:i/>
          <w:sz w:val="24"/>
          <w:szCs w:val="24"/>
        </w:rPr>
      </w:pPr>
      <w:r w:rsidRPr="00A07F29">
        <w:rPr>
          <w:rFonts w:ascii="Times New Roman" w:hAnsi="Times New Roman"/>
          <w:b/>
          <w:i/>
          <w:sz w:val="24"/>
          <w:szCs w:val="24"/>
        </w:rPr>
        <w:t>Ezeru sateces baseini</w:t>
      </w:r>
    </w:p>
    <w:p w14:paraId="4F42336C" w14:textId="573E9BD7" w:rsidR="00030649" w:rsidRPr="00A07F29" w:rsidRDefault="0094598E" w:rsidP="0042500F">
      <w:pPr>
        <w:spacing w:after="0" w:line="240" w:lineRule="auto"/>
        <w:ind w:firstLine="851"/>
        <w:jc w:val="both"/>
        <w:rPr>
          <w:rFonts w:ascii="Times New Roman" w:eastAsia="Noto Sans CJK SC" w:hAnsi="Times New Roman" w:cs="Lohit Devanagari"/>
          <w:kern w:val="2"/>
          <w:sz w:val="24"/>
          <w:szCs w:val="24"/>
          <w:lang w:eastAsia="zh-CN" w:bidi="hi-IN"/>
        </w:rPr>
      </w:pPr>
      <w:r w:rsidRPr="00A07F29">
        <w:rPr>
          <w:rFonts w:ascii="Times New Roman" w:eastAsia="Noto Sans CJK SC" w:hAnsi="Times New Roman" w:cs="Lohit Devanagari"/>
          <w:kern w:val="2"/>
          <w:sz w:val="24"/>
          <w:szCs w:val="24"/>
          <w:lang w:eastAsia="zh-CN" w:bidi="hi-IN"/>
        </w:rPr>
        <w:t>Visi ezeri atrodas Daugavas sateces baseinā (</w:t>
      </w:r>
      <w:r w:rsidR="009910D6" w:rsidRPr="00A07F29">
        <w:rPr>
          <w:rFonts w:ascii="Times New Roman" w:eastAsia="Noto Sans CJK SC" w:hAnsi="Times New Roman" w:cs="Lohit Devanagari"/>
          <w:kern w:val="2"/>
          <w:sz w:val="24"/>
          <w:szCs w:val="24"/>
          <w:lang w:eastAsia="zh-CN" w:bidi="hi-IN"/>
        </w:rPr>
        <w:t xml:space="preserve">skat. </w:t>
      </w:r>
      <w:r w:rsidRPr="00A07F29">
        <w:rPr>
          <w:rFonts w:ascii="Times New Roman" w:eastAsia="Noto Sans CJK SC" w:hAnsi="Times New Roman" w:cs="Lohit Devanagari"/>
          <w:kern w:val="2"/>
          <w:sz w:val="24"/>
          <w:szCs w:val="24"/>
          <w:lang w:eastAsia="zh-CN" w:bidi="hi-IN"/>
        </w:rPr>
        <w:t>2.1.</w:t>
      </w:r>
      <w:r w:rsidR="009910D6" w:rsidRPr="00A07F29">
        <w:rPr>
          <w:rFonts w:ascii="Times New Roman" w:eastAsia="Noto Sans CJK SC" w:hAnsi="Times New Roman" w:cs="Lohit Devanagari"/>
          <w:kern w:val="2"/>
          <w:sz w:val="24"/>
          <w:szCs w:val="24"/>
          <w:lang w:eastAsia="zh-CN" w:bidi="hi-IN"/>
        </w:rPr>
        <w:t> </w:t>
      </w:r>
      <w:r w:rsidRPr="00A07F29">
        <w:rPr>
          <w:rFonts w:ascii="Times New Roman" w:eastAsia="Noto Sans CJK SC" w:hAnsi="Times New Roman" w:cs="Lohit Devanagari"/>
          <w:kern w:val="2"/>
          <w:sz w:val="24"/>
          <w:szCs w:val="24"/>
          <w:lang w:eastAsia="zh-CN" w:bidi="hi-IN"/>
        </w:rPr>
        <w:t>pielikums).</w:t>
      </w:r>
    </w:p>
    <w:p w14:paraId="25BF952B" w14:textId="7D173443" w:rsidR="00BE7BB7" w:rsidRPr="00A07F29" w:rsidRDefault="00BE7BB7" w:rsidP="00BE7BB7">
      <w:pPr>
        <w:spacing w:after="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Visu ezeru kopējā sateces baseinu platība ir 97,61</w:t>
      </w:r>
      <w:r w:rsidR="009910D6" w:rsidRPr="00A07F29">
        <w:rPr>
          <w:rFonts w:ascii="Times New Roman" w:eastAsia="Calibri" w:hAnsi="Times New Roman" w:cs="Times New Roman"/>
          <w:sz w:val="24"/>
          <w:szCs w:val="24"/>
        </w:rPr>
        <w:t> </w:t>
      </w:r>
      <w:r w:rsidRPr="00A07F29">
        <w:rPr>
          <w:rFonts w:ascii="Times New Roman" w:eastAsia="Calibri" w:hAnsi="Times New Roman" w:cs="Times New Roman"/>
          <w:sz w:val="24"/>
          <w:szCs w:val="24"/>
        </w:rPr>
        <w:t>km</w:t>
      </w:r>
      <w:r w:rsidRPr="00A07F29">
        <w:rPr>
          <w:rFonts w:ascii="Times New Roman" w:eastAsia="Calibri" w:hAnsi="Times New Roman" w:cs="Times New Roman"/>
          <w:sz w:val="24"/>
          <w:szCs w:val="24"/>
          <w:vertAlign w:val="superscript"/>
        </w:rPr>
        <w:t>2</w:t>
      </w:r>
      <w:r w:rsidRPr="00A07F29">
        <w:rPr>
          <w:rFonts w:ascii="Times New Roman" w:eastAsia="Calibri" w:hAnsi="Times New Roman" w:cs="Times New Roman"/>
          <w:sz w:val="24"/>
          <w:szCs w:val="24"/>
        </w:rPr>
        <w:t>, no kuriem 91,58</w:t>
      </w:r>
      <w:r w:rsidR="009910D6" w:rsidRPr="00A07F29">
        <w:rPr>
          <w:rFonts w:ascii="Times New Roman" w:eastAsia="Calibri" w:hAnsi="Times New Roman" w:cs="Times New Roman"/>
          <w:sz w:val="24"/>
          <w:szCs w:val="24"/>
        </w:rPr>
        <w:t> </w:t>
      </w:r>
      <w:r w:rsidRPr="00A07F29">
        <w:rPr>
          <w:rFonts w:ascii="Times New Roman" w:eastAsia="Calibri" w:hAnsi="Times New Roman" w:cs="Times New Roman"/>
          <w:sz w:val="24"/>
          <w:szCs w:val="24"/>
        </w:rPr>
        <w:t>km</w:t>
      </w:r>
      <w:r w:rsidRPr="00A07F29">
        <w:rPr>
          <w:rFonts w:ascii="Times New Roman" w:eastAsia="Calibri" w:hAnsi="Times New Roman" w:cs="Times New Roman"/>
          <w:sz w:val="24"/>
          <w:szCs w:val="24"/>
          <w:vertAlign w:val="superscript"/>
        </w:rPr>
        <w:t>2</w:t>
      </w:r>
      <w:r w:rsidRPr="00A07F29">
        <w:rPr>
          <w:rFonts w:ascii="Times New Roman" w:eastAsia="Calibri" w:hAnsi="Times New Roman" w:cs="Times New Roman"/>
          <w:sz w:val="24"/>
          <w:szCs w:val="24"/>
        </w:rPr>
        <w:t xml:space="preserve"> jeb 93,8</w:t>
      </w:r>
      <w:r w:rsidR="00187AC9" w:rsidRPr="00A07F29">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 atrodas Latvijā. Tajos bez AAA </w:t>
      </w:r>
      <w:r w:rsidR="00187AC9" w:rsidRPr="00A07F29">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Augšdaugava” esošā 31 ezera atrodas vēl 15 Latvijas ezeri. Atsevišķu ezeru sateces baseinu platības ir ļoti dažādas. Vislielākais sateces baseins ir </w:t>
      </w:r>
      <w:proofErr w:type="spellStart"/>
      <w:r w:rsidRPr="00A07F29">
        <w:rPr>
          <w:rFonts w:ascii="Times New Roman" w:eastAsia="Calibri" w:hAnsi="Times New Roman" w:cs="Times New Roman"/>
          <w:sz w:val="24"/>
          <w:szCs w:val="24"/>
        </w:rPr>
        <w:t>Prūdeņam</w:t>
      </w:r>
      <w:proofErr w:type="spellEnd"/>
      <w:r w:rsidRPr="00A07F29">
        <w:rPr>
          <w:rFonts w:ascii="Times New Roman" w:eastAsia="Calibri" w:hAnsi="Times New Roman" w:cs="Times New Roman"/>
          <w:sz w:val="24"/>
          <w:szCs w:val="24"/>
        </w:rPr>
        <w:t xml:space="preserve"> – 47,17</w:t>
      </w:r>
      <w:r w:rsidR="00FE6966" w:rsidRPr="00A07F29">
        <w:rPr>
          <w:rFonts w:ascii="Times New Roman" w:eastAsia="Calibri" w:hAnsi="Times New Roman" w:cs="Times New Roman"/>
          <w:sz w:val="24"/>
          <w:szCs w:val="24"/>
        </w:rPr>
        <w:t> </w:t>
      </w:r>
      <w:r w:rsidRPr="00A07F29">
        <w:rPr>
          <w:rFonts w:ascii="Times New Roman" w:eastAsia="Calibri" w:hAnsi="Times New Roman" w:cs="Times New Roman"/>
          <w:sz w:val="24"/>
          <w:szCs w:val="24"/>
        </w:rPr>
        <w:t>km</w:t>
      </w:r>
      <w:r w:rsidRPr="00A07F29">
        <w:rPr>
          <w:rFonts w:ascii="Times New Roman" w:eastAsia="Calibri" w:hAnsi="Times New Roman" w:cs="Times New Roman"/>
          <w:sz w:val="24"/>
          <w:szCs w:val="24"/>
          <w:vertAlign w:val="superscript"/>
        </w:rPr>
        <w:t>2</w:t>
      </w:r>
      <w:r w:rsidRPr="00A07F29">
        <w:rPr>
          <w:rFonts w:ascii="Times New Roman" w:eastAsia="Calibri" w:hAnsi="Times New Roman" w:cs="Times New Roman"/>
          <w:sz w:val="24"/>
          <w:szCs w:val="24"/>
        </w:rPr>
        <w:t xml:space="preserve"> un uz to plūstošajam Dauguļu ezeram – 43,92</w:t>
      </w:r>
      <w:r w:rsidR="00FE6966" w:rsidRPr="00A07F29">
        <w:rPr>
          <w:rFonts w:ascii="Times New Roman" w:eastAsia="Calibri" w:hAnsi="Times New Roman" w:cs="Times New Roman"/>
          <w:sz w:val="24"/>
          <w:szCs w:val="24"/>
        </w:rPr>
        <w:t> </w:t>
      </w:r>
      <w:r w:rsidRPr="00A07F29">
        <w:rPr>
          <w:rFonts w:ascii="Times New Roman" w:eastAsia="Calibri" w:hAnsi="Times New Roman" w:cs="Times New Roman"/>
          <w:sz w:val="24"/>
          <w:szCs w:val="24"/>
        </w:rPr>
        <w:t>km</w:t>
      </w:r>
      <w:r w:rsidRPr="00A07F29">
        <w:rPr>
          <w:rFonts w:ascii="Times New Roman" w:eastAsia="Calibri" w:hAnsi="Times New Roman" w:cs="Times New Roman"/>
          <w:sz w:val="24"/>
          <w:szCs w:val="24"/>
          <w:vertAlign w:val="superscript"/>
        </w:rPr>
        <w:t>2</w:t>
      </w:r>
      <w:r w:rsidRPr="00A07F29">
        <w:rPr>
          <w:rFonts w:ascii="Times New Roman" w:eastAsia="Calibri" w:hAnsi="Times New Roman" w:cs="Times New Roman"/>
          <w:sz w:val="24"/>
          <w:szCs w:val="24"/>
        </w:rPr>
        <w:t xml:space="preserve"> (</w:t>
      </w:r>
      <w:r w:rsidR="00FE6966" w:rsidRPr="00A07F29">
        <w:rPr>
          <w:rFonts w:ascii="Times New Roman" w:eastAsia="Calibri" w:hAnsi="Times New Roman" w:cs="Times New Roman"/>
          <w:sz w:val="24"/>
          <w:szCs w:val="24"/>
        </w:rPr>
        <w:t xml:space="preserve">skat. </w:t>
      </w:r>
      <w:r w:rsidRPr="00A07F29">
        <w:rPr>
          <w:rFonts w:ascii="Times New Roman" w:eastAsia="Calibri" w:hAnsi="Times New Roman" w:cs="Times New Roman"/>
          <w:sz w:val="24"/>
          <w:szCs w:val="24"/>
        </w:rPr>
        <w:t>2.1.</w:t>
      </w:r>
      <w:r w:rsidR="00FE6966" w:rsidRPr="00A07F29">
        <w:rPr>
          <w:rFonts w:ascii="Times New Roman" w:eastAsia="Calibri" w:hAnsi="Times New Roman" w:cs="Times New Roman"/>
          <w:sz w:val="24"/>
          <w:szCs w:val="24"/>
        </w:rPr>
        <w:t> </w:t>
      </w:r>
      <w:r w:rsidRPr="00A07F29">
        <w:rPr>
          <w:rFonts w:ascii="Times New Roman" w:eastAsia="Calibri" w:hAnsi="Times New Roman" w:cs="Times New Roman"/>
          <w:sz w:val="24"/>
          <w:szCs w:val="24"/>
        </w:rPr>
        <w:t>pielikums).</w:t>
      </w:r>
    </w:p>
    <w:p w14:paraId="41CA6305" w14:textId="7AA9549D" w:rsidR="00BE7BB7" w:rsidRPr="00A07F29" w:rsidRDefault="00BE7BB7" w:rsidP="00BE7BB7">
      <w:pPr>
        <w:spacing w:after="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AAA </w:t>
      </w:r>
      <w:r w:rsidR="00FE6966" w:rsidRPr="00A07F29">
        <w:rPr>
          <w:rFonts w:ascii="Times New Roman" w:eastAsia="Calibri" w:hAnsi="Times New Roman" w:cs="Times New Roman"/>
          <w:sz w:val="24"/>
          <w:szCs w:val="24"/>
        </w:rPr>
        <w:t>“</w:t>
      </w:r>
      <w:r w:rsidRPr="00A07F29">
        <w:rPr>
          <w:rFonts w:ascii="Times New Roman" w:eastAsia="Calibri" w:hAnsi="Times New Roman" w:cs="Times New Roman"/>
          <w:sz w:val="24"/>
          <w:szCs w:val="24"/>
        </w:rPr>
        <w:t>Augšdaugava” vairāk kā divas trešdaļas ezeru ir ar pārsvarā mežainiem sateces baseiniem (21 ezers) un tas jau pats par sevi norāda uz potenciāli paaugstinātu dabas daudzveidības vērtību (</w:t>
      </w:r>
      <w:r w:rsidR="006362EA" w:rsidRPr="00A07F29">
        <w:rPr>
          <w:rFonts w:ascii="Times New Roman" w:eastAsia="Calibri" w:hAnsi="Times New Roman" w:cs="Times New Roman"/>
          <w:sz w:val="24"/>
          <w:szCs w:val="24"/>
        </w:rPr>
        <w:t xml:space="preserve">skat. </w:t>
      </w:r>
      <w:r w:rsidRPr="00A07F29">
        <w:rPr>
          <w:rFonts w:ascii="Times New Roman" w:eastAsia="Calibri" w:hAnsi="Times New Roman" w:cs="Times New Roman"/>
          <w:sz w:val="24"/>
          <w:szCs w:val="24"/>
        </w:rPr>
        <w:t>2.1.</w:t>
      </w:r>
      <w:r w:rsidR="006362EA" w:rsidRPr="00A07F29">
        <w:rPr>
          <w:rFonts w:ascii="Times New Roman" w:eastAsia="Calibri" w:hAnsi="Times New Roman" w:cs="Times New Roman"/>
          <w:sz w:val="24"/>
          <w:szCs w:val="24"/>
        </w:rPr>
        <w:t> </w:t>
      </w:r>
      <w:r w:rsidRPr="00A07F29">
        <w:rPr>
          <w:rFonts w:ascii="Times New Roman" w:eastAsia="Calibri" w:hAnsi="Times New Roman" w:cs="Times New Roman"/>
          <w:sz w:val="24"/>
          <w:szCs w:val="24"/>
        </w:rPr>
        <w:t>pielikums). Vismazāk pārveidotie un visdabiskākie ezeru sateces baseini, kuros meža un purvu kopējais īpatsvars pārsniedz 90</w:t>
      </w:r>
      <w:r w:rsidR="006362EA" w:rsidRPr="00A07F29">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F37DFD" w:rsidRPr="00A07F29">
        <w:rPr>
          <w:rFonts w:ascii="Times New Roman" w:eastAsia="Calibri" w:hAnsi="Times New Roman" w:cs="Times New Roman"/>
          <w:sz w:val="24"/>
          <w:szCs w:val="24"/>
        </w:rPr>
        <w:t>, ir</w:t>
      </w:r>
      <w:r w:rsidR="00C26CFC"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Saučenku</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Dolgoje</w:t>
      </w:r>
      <w:proofErr w:type="spellEnd"/>
      <w:r w:rsidRPr="00A07F29">
        <w:rPr>
          <w:rFonts w:ascii="Times New Roman" w:eastAsia="Calibri" w:hAnsi="Times New Roman" w:cs="Times New Roman"/>
          <w:sz w:val="24"/>
          <w:szCs w:val="24"/>
        </w:rPr>
        <w:t xml:space="preserve">, Dienvidu </w:t>
      </w:r>
      <w:proofErr w:type="spellStart"/>
      <w:r w:rsidRPr="00A07F29">
        <w:rPr>
          <w:rFonts w:ascii="Times New Roman" w:eastAsia="Calibri" w:hAnsi="Times New Roman" w:cs="Times New Roman"/>
          <w:sz w:val="24"/>
          <w:szCs w:val="24"/>
        </w:rPr>
        <w:t>Dolgoje</w:t>
      </w:r>
      <w:proofErr w:type="spellEnd"/>
      <w:r w:rsidRPr="00A07F29">
        <w:rPr>
          <w:rFonts w:ascii="Times New Roman" w:eastAsia="Calibri" w:hAnsi="Times New Roman" w:cs="Times New Roman"/>
          <w:sz w:val="24"/>
          <w:szCs w:val="24"/>
        </w:rPr>
        <w:t xml:space="preserve"> un Vidus </w:t>
      </w:r>
      <w:proofErr w:type="spellStart"/>
      <w:r w:rsidRPr="00A07F29">
        <w:rPr>
          <w:rFonts w:ascii="Times New Roman" w:eastAsia="Calibri" w:hAnsi="Times New Roman" w:cs="Times New Roman"/>
          <w:sz w:val="24"/>
          <w:szCs w:val="24"/>
        </w:rPr>
        <w:t>Dolgoje</w:t>
      </w:r>
      <w:proofErr w:type="spellEnd"/>
      <w:r w:rsidRPr="00A07F29">
        <w:rPr>
          <w:rFonts w:ascii="Times New Roman" w:eastAsia="Calibri" w:hAnsi="Times New Roman" w:cs="Times New Roman"/>
          <w:sz w:val="24"/>
          <w:szCs w:val="24"/>
        </w:rPr>
        <w:t xml:space="preserve"> ezeram, </w:t>
      </w:r>
      <w:proofErr w:type="spellStart"/>
      <w:r w:rsidRPr="00A07F29">
        <w:rPr>
          <w:rFonts w:ascii="Times New Roman" w:eastAsia="Calibri" w:hAnsi="Times New Roman" w:cs="Times New Roman"/>
          <w:sz w:val="24"/>
          <w:szCs w:val="24"/>
        </w:rPr>
        <w:t>Šlapukam</w:t>
      </w:r>
      <w:proofErr w:type="spellEnd"/>
      <w:r w:rsidRPr="00A07F29">
        <w:rPr>
          <w:rFonts w:ascii="Times New Roman" w:eastAsia="Calibri" w:hAnsi="Times New Roman" w:cs="Times New Roman"/>
          <w:sz w:val="24"/>
          <w:szCs w:val="24"/>
        </w:rPr>
        <w:t xml:space="preserve">, Lielajam </w:t>
      </w:r>
      <w:proofErr w:type="spellStart"/>
      <w:r w:rsidRPr="00A07F29">
        <w:rPr>
          <w:rFonts w:ascii="Times New Roman" w:eastAsia="Calibri" w:hAnsi="Times New Roman" w:cs="Times New Roman"/>
          <w:sz w:val="24"/>
          <w:szCs w:val="24"/>
        </w:rPr>
        <w:t>Borvinkas</w:t>
      </w:r>
      <w:proofErr w:type="spellEnd"/>
      <w:r w:rsidRPr="00A07F29">
        <w:rPr>
          <w:rFonts w:ascii="Times New Roman" w:eastAsia="Calibri" w:hAnsi="Times New Roman" w:cs="Times New Roman"/>
          <w:sz w:val="24"/>
          <w:szCs w:val="24"/>
        </w:rPr>
        <w:t xml:space="preserve"> ezeram, Mazajam </w:t>
      </w:r>
      <w:proofErr w:type="spellStart"/>
      <w:r w:rsidRPr="00A07F29">
        <w:rPr>
          <w:rFonts w:ascii="Times New Roman" w:eastAsia="Calibri" w:hAnsi="Times New Roman" w:cs="Times New Roman"/>
          <w:sz w:val="24"/>
          <w:szCs w:val="24"/>
        </w:rPr>
        <w:t>Borvinkas</w:t>
      </w:r>
      <w:proofErr w:type="spellEnd"/>
      <w:r w:rsidRPr="00A07F29">
        <w:rPr>
          <w:rFonts w:ascii="Times New Roman" w:eastAsia="Calibri" w:hAnsi="Times New Roman" w:cs="Times New Roman"/>
          <w:sz w:val="24"/>
          <w:szCs w:val="24"/>
        </w:rPr>
        <w:t xml:space="preserve"> ezeram, </w:t>
      </w:r>
      <w:proofErr w:type="spellStart"/>
      <w:r w:rsidRPr="00A07F29">
        <w:rPr>
          <w:rFonts w:ascii="Times New Roman" w:eastAsia="Calibri" w:hAnsi="Times New Roman" w:cs="Times New Roman"/>
          <w:sz w:val="24"/>
          <w:szCs w:val="24"/>
        </w:rPr>
        <w:t>Skumbiņu</w:t>
      </w:r>
      <w:proofErr w:type="spellEnd"/>
      <w:r w:rsidRPr="00A07F29">
        <w:rPr>
          <w:rFonts w:ascii="Times New Roman" w:eastAsia="Calibri" w:hAnsi="Times New Roman" w:cs="Times New Roman"/>
          <w:sz w:val="24"/>
          <w:szCs w:val="24"/>
        </w:rPr>
        <w:t xml:space="preserve"> ezeram, </w:t>
      </w:r>
      <w:proofErr w:type="spellStart"/>
      <w:r w:rsidRPr="00A07F29">
        <w:rPr>
          <w:rFonts w:ascii="Times New Roman" w:eastAsia="Calibri" w:hAnsi="Times New Roman" w:cs="Times New Roman"/>
          <w:sz w:val="24"/>
          <w:szCs w:val="24"/>
        </w:rPr>
        <w:t>Krugloje</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Dūneklim</w:t>
      </w:r>
      <w:proofErr w:type="spellEnd"/>
      <w:r w:rsidRPr="00A07F29">
        <w:rPr>
          <w:rFonts w:ascii="Times New Roman" w:eastAsia="Calibri" w:hAnsi="Times New Roman" w:cs="Times New Roman"/>
          <w:sz w:val="24"/>
          <w:szCs w:val="24"/>
        </w:rPr>
        <w:t>, un Zariņa ezeram.</w:t>
      </w:r>
    </w:p>
    <w:p w14:paraId="7984D7CE" w14:textId="4C5F9097" w:rsidR="00BE7BB7" w:rsidRPr="00A07F29" w:rsidRDefault="00BE7BB7" w:rsidP="00BE7BB7">
      <w:pPr>
        <w:spacing w:after="0" w:line="240" w:lineRule="auto"/>
        <w:ind w:firstLine="851"/>
        <w:jc w:val="both"/>
        <w:rPr>
          <w:rFonts w:ascii="Times New Roman" w:eastAsia="Noto Sans CJK SC" w:hAnsi="Times New Roman" w:cs="Lohit Devanagari"/>
          <w:kern w:val="2"/>
          <w:sz w:val="24"/>
          <w:szCs w:val="24"/>
          <w:lang w:eastAsia="zh-CN" w:bidi="hi-IN"/>
        </w:rPr>
      </w:pPr>
      <w:r w:rsidRPr="00A07F29">
        <w:rPr>
          <w:rFonts w:ascii="Times New Roman" w:eastAsia="Calibri" w:hAnsi="Times New Roman" w:cs="Times New Roman"/>
          <w:sz w:val="24"/>
          <w:szCs w:val="24"/>
        </w:rPr>
        <w:lastRenderedPageBreak/>
        <w:t>Vispurvainākie sateces baseini ir Zariņa ezeram ar 5,7</w:t>
      </w:r>
      <w:r w:rsidR="00F37DFD" w:rsidRPr="00A07F29">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 lielu purva īpatsvaru, kā arī </w:t>
      </w:r>
      <w:proofErr w:type="spellStart"/>
      <w:r w:rsidRPr="00A07F29">
        <w:rPr>
          <w:rFonts w:ascii="Times New Roman" w:eastAsia="Calibri" w:hAnsi="Times New Roman" w:cs="Times New Roman"/>
          <w:sz w:val="24"/>
          <w:szCs w:val="24"/>
        </w:rPr>
        <w:t>Dolgoje</w:t>
      </w:r>
      <w:proofErr w:type="spellEnd"/>
      <w:r w:rsidRPr="00A07F29">
        <w:rPr>
          <w:rFonts w:ascii="Times New Roman" w:eastAsia="Calibri" w:hAnsi="Times New Roman" w:cs="Times New Roman"/>
          <w:sz w:val="24"/>
          <w:szCs w:val="24"/>
        </w:rPr>
        <w:t xml:space="preserve">, Dienvidu </w:t>
      </w:r>
      <w:proofErr w:type="spellStart"/>
      <w:r w:rsidRPr="00A07F29">
        <w:rPr>
          <w:rFonts w:ascii="Times New Roman" w:eastAsia="Calibri" w:hAnsi="Times New Roman" w:cs="Times New Roman"/>
          <w:sz w:val="24"/>
          <w:szCs w:val="24"/>
        </w:rPr>
        <w:t>Dolgoje</w:t>
      </w:r>
      <w:proofErr w:type="spellEnd"/>
      <w:r w:rsidRPr="00A07F29">
        <w:rPr>
          <w:rFonts w:ascii="Times New Roman" w:eastAsia="Calibri" w:hAnsi="Times New Roman" w:cs="Times New Roman"/>
          <w:sz w:val="24"/>
          <w:szCs w:val="24"/>
        </w:rPr>
        <w:t xml:space="preserve"> un Vidus </w:t>
      </w:r>
      <w:proofErr w:type="spellStart"/>
      <w:r w:rsidRPr="00A07F29">
        <w:rPr>
          <w:rFonts w:ascii="Times New Roman" w:eastAsia="Calibri" w:hAnsi="Times New Roman" w:cs="Times New Roman"/>
          <w:sz w:val="24"/>
          <w:szCs w:val="24"/>
        </w:rPr>
        <w:t>Dolgoje</w:t>
      </w:r>
      <w:proofErr w:type="spellEnd"/>
      <w:r w:rsidRPr="00A07F29">
        <w:rPr>
          <w:rFonts w:ascii="Times New Roman" w:eastAsia="Calibri" w:hAnsi="Times New Roman" w:cs="Times New Roman"/>
          <w:sz w:val="24"/>
          <w:szCs w:val="24"/>
        </w:rPr>
        <w:t xml:space="preserve"> ezeriem ar 9,3</w:t>
      </w:r>
      <w:r w:rsidR="00F37DFD" w:rsidRPr="00A07F29">
        <w:rPr>
          <w:rFonts w:ascii="Times New Roman" w:eastAsia="Calibri" w:hAnsi="Times New Roman" w:cs="Times New Roman"/>
          <w:sz w:val="24"/>
          <w:szCs w:val="24"/>
        </w:rPr>
        <w:t> </w:t>
      </w:r>
      <w:r w:rsidRPr="00A07F29">
        <w:rPr>
          <w:rFonts w:ascii="Times New Roman" w:eastAsia="Calibri" w:hAnsi="Times New Roman" w:cs="Times New Roman"/>
          <w:sz w:val="24"/>
          <w:szCs w:val="24"/>
        </w:rPr>
        <w:t>% lielu purva īpatsvaru (</w:t>
      </w:r>
      <w:r w:rsidR="00387279" w:rsidRPr="00A07F29">
        <w:rPr>
          <w:rFonts w:ascii="Times New Roman" w:eastAsia="Calibri" w:hAnsi="Times New Roman" w:cs="Times New Roman"/>
          <w:sz w:val="24"/>
          <w:szCs w:val="24"/>
        </w:rPr>
        <w:t xml:space="preserve">skat. </w:t>
      </w:r>
      <w:r w:rsidRPr="00A07F29">
        <w:rPr>
          <w:rFonts w:ascii="Times New Roman" w:eastAsia="Calibri" w:hAnsi="Times New Roman" w:cs="Times New Roman"/>
          <w:sz w:val="24"/>
          <w:szCs w:val="24"/>
        </w:rPr>
        <w:t>2.1. pielikums).</w:t>
      </w:r>
    </w:p>
    <w:p w14:paraId="2D5A021A" w14:textId="77777777" w:rsidR="001F4E41" w:rsidRPr="00A07F29" w:rsidRDefault="001F4E41" w:rsidP="0042500F">
      <w:pPr>
        <w:spacing w:after="0" w:line="240" w:lineRule="auto"/>
        <w:ind w:firstLine="851"/>
        <w:jc w:val="both"/>
        <w:rPr>
          <w:rFonts w:ascii="Liberation Serif" w:eastAsia="Noto Sans CJK SC" w:hAnsi="Liberation Serif" w:cs="Lohit Devanagari"/>
          <w:kern w:val="2"/>
          <w:sz w:val="24"/>
          <w:szCs w:val="24"/>
          <w:lang w:eastAsia="zh-CN" w:bidi="hi-IN"/>
        </w:rPr>
        <w:sectPr w:rsidR="001F4E41" w:rsidRPr="00A07F29" w:rsidSect="00E1142E">
          <w:footerReference w:type="default" r:id="rId27"/>
          <w:footerReference w:type="first" r:id="rId28"/>
          <w:pgSz w:w="11906" w:h="16838"/>
          <w:pgMar w:top="1134" w:right="1440" w:bottom="1276" w:left="1440" w:header="454" w:footer="0" w:gutter="0"/>
          <w:cols w:space="720"/>
          <w:formProt w:val="0"/>
          <w:titlePg/>
          <w:docGrid w:linePitch="299"/>
        </w:sectPr>
      </w:pPr>
    </w:p>
    <w:p w14:paraId="7E5333AC" w14:textId="77777777" w:rsidR="00E5392D" w:rsidRPr="00A07F29" w:rsidRDefault="00E5392D" w:rsidP="00E5392D">
      <w:pPr>
        <w:widowControl w:val="0"/>
        <w:autoSpaceDE w:val="0"/>
        <w:autoSpaceDN w:val="0"/>
        <w:adjustRightInd w:val="0"/>
        <w:spacing w:after="0" w:line="240" w:lineRule="auto"/>
        <w:ind w:right="26"/>
        <w:jc w:val="center"/>
        <w:rPr>
          <w:rFonts w:ascii="Times New Roman" w:hAnsi="Times New Roman"/>
          <w:i/>
          <w:iCs/>
          <w:sz w:val="24"/>
          <w:szCs w:val="24"/>
        </w:rPr>
      </w:pPr>
    </w:p>
    <w:p w14:paraId="58F24FEF" w14:textId="77777777" w:rsidR="00E5392D" w:rsidRPr="00A07F29" w:rsidRDefault="00E5392D" w:rsidP="00E5392D">
      <w:pPr>
        <w:widowControl w:val="0"/>
        <w:autoSpaceDE w:val="0"/>
        <w:autoSpaceDN w:val="0"/>
        <w:adjustRightInd w:val="0"/>
        <w:spacing w:after="0" w:line="240" w:lineRule="auto"/>
        <w:ind w:right="26"/>
        <w:jc w:val="center"/>
        <w:rPr>
          <w:rFonts w:ascii="Times New Roman" w:hAnsi="Times New Roman"/>
          <w:iCs/>
          <w:sz w:val="24"/>
          <w:szCs w:val="24"/>
        </w:rPr>
      </w:pPr>
      <w:r w:rsidRPr="00A07F29">
        <w:rPr>
          <w:noProof/>
          <w:lang w:eastAsia="lv-LV"/>
        </w:rPr>
        <w:drawing>
          <wp:inline distT="0" distB="0" distL="0" distR="0" wp14:anchorId="52911C94" wp14:editId="756CC2CB">
            <wp:extent cx="12943839" cy="9153587"/>
            <wp:effectExtent l="19050" t="0" r="0" b="0"/>
            <wp:docPr id="21" name="Picture 7" descr="Augsdaugavas_ezeri1_600p_salabota_20.3.2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29">
                      <a:extLst>
                        <a:ext uri="{28A0092B-C50C-407E-A947-70E740481C1C}">
                          <a14:useLocalDpi xmlns:a14="http://schemas.microsoft.com/office/drawing/2010/main"/>
                        </a:ext>
                      </a:extLst>
                    </a:blip>
                    <a:stretch>
                      <a:fillRect/>
                    </a:stretch>
                  </pic:blipFill>
                  <pic:spPr>
                    <a:xfrm>
                      <a:off x="0" y="0"/>
                      <a:ext cx="12943839" cy="9153587"/>
                    </a:xfrm>
                    <a:prstGeom prst="rect">
                      <a:avLst/>
                    </a:prstGeom>
                  </pic:spPr>
                </pic:pic>
              </a:graphicData>
            </a:graphic>
          </wp:inline>
        </w:drawing>
      </w:r>
    </w:p>
    <w:p w14:paraId="62F166CD" w14:textId="2E5F2244" w:rsidR="00E5392D" w:rsidRPr="0000206E" w:rsidRDefault="00E5392D" w:rsidP="461809C0">
      <w:pPr>
        <w:widowControl w:val="0"/>
        <w:autoSpaceDE w:val="0"/>
        <w:autoSpaceDN w:val="0"/>
        <w:adjustRightInd w:val="0"/>
        <w:spacing w:after="0" w:line="240" w:lineRule="auto"/>
        <w:ind w:right="26"/>
        <w:jc w:val="both"/>
        <w:rPr>
          <w:rFonts w:ascii="Times New Roman" w:hAnsi="Times New Roman"/>
          <w:i/>
          <w:iCs/>
          <w:sz w:val="20"/>
          <w:szCs w:val="20"/>
        </w:rPr>
      </w:pPr>
      <w:r w:rsidRPr="0000206E">
        <w:rPr>
          <w:rFonts w:ascii="Times New Roman" w:hAnsi="Times New Roman"/>
          <w:i/>
          <w:iCs/>
          <w:sz w:val="20"/>
          <w:szCs w:val="20"/>
        </w:rPr>
        <w:t>2.5.2.1.</w:t>
      </w:r>
      <w:r w:rsidR="00123669" w:rsidRPr="0000206E">
        <w:rPr>
          <w:rFonts w:ascii="Times New Roman" w:hAnsi="Times New Roman"/>
          <w:i/>
          <w:iCs/>
          <w:sz w:val="20"/>
          <w:szCs w:val="20"/>
        </w:rPr>
        <w:t> </w:t>
      </w:r>
      <w:r w:rsidRPr="0000206E">
        <w:rPr>
          <w:rFonts w:ascii="Times New Roman" w:hAnsi="Times New Roman"/>
          <w:i/>
          <w:iCs/>
          <w:sz w:val="20"/>
          <w:szCs w:val="20"/>
        </w:rPr>
        <w:t>attēls.</w:t>
      </w:r>
      <w:r w:rsidRPr="0000206E">
        <w:rPr>
          <w:rFonts w:ascii="Times New Roman" w:hAnsi="Times New Roman"/>
          <w:sz w:val="20"/>
          <w:szCs w:val="20"/>
        </w:rPr>
        <w:t xml:space="preserve"> </w:t>
      </w:r>
      <w:r w:rsidR="00260499" w:rsidRPr="0000206E">
        <w:rPr>
          <w:rFonts w:ascii="Times New Roman" w:hAnsi="Times New Roman"/>
          <w:sz w:val="20"/>
          <w:szCs w:val="20"/>
        </w:rPr>
        <w:t>AAA “</w:t>
      </w:r>
      <w:proofErr w:type="spellStart"/>
      <w:r w:rsidR="00260499" w:rsidRPr="0000206E">
        <w:rPr>
          <w:rFonts w:ascii="Times New Roman" w:hAnsi="Times New Roman"/>
          <w:sz w:val="20"/>
          <w:szCs w:val="20"/>
        </w:rPr>
        <w:t>Augšdaugava”</w:t>
      </w:r>
      <w:r w:rsidRPr="0000206E">
        <w:rPr>
          <w:rFonts w:ascii="Times New Roman" w:hAnsi="Times New Roman"/>
          <w:sz w:val="20"/>
          <w:szCs w:val="20"/>
        </w:rPr>
        <w:t>dabisko</w:t>
      </w:r>
      <w:proofErr w:type="spellEnd"/>
      <w:r w:rsidRPr="0000206E">
        <w:rPr>
          <w:rFonts w:ascii="Times New Roman" w:hAnsi="Times New Roman"/>
          <w:sz w:val="20"/>
          <w:szCs w:val="20"/>
        </w:rPr>
        <w:t xml:space="preserve"> ezeru izvietojums Krāslavas, Kalniešu, Piedrujas un </w:t>
      </w:r>
      <w:proofErr w:type="spellStart"/>
      <w:r w:rsidRPr="0000206E">
        <w:rPr>
          <w:rFonts w:ascii="Times New Roman" w:hAnsi="Times New Roman"/>
          <w:sz w:val="20"/>
          <w:szCs w:val="20"/>
        </w:rPr>
        <w:t>Varnaviču</w:t>
      </w:r>
      <w:proofErr w:type="spellEnd"/>
      <w:r w:rsidRPr="0000206E">
        <w:rPr>
          <w:rFonts w:ascii="Times New Roman" w:hAnsi="Times New Roman"/>
          <w:sz w:val="20"/>
          <w:szCs w:val="20"/>
        </w:rPr>
        <w:t xml:space="preserve"> apkārtnē (kartes pamatne – © L</w:t>
      </w:r>
      <w:r w:rsidR="00FF74A4" w:rsidRPr="0000206E">
        <w:rPr>
          <w:rFonts w:ascii="Times New Roman" w:hAnsi="Times New Roman"/>
          <w:sz w:val="20"/>
          <w:szCs w:val="20"/>
        </w:rPr>
        <w:t>ĢIA</w:t>
      </w:r>
      <w:r w:rsidRPr="0000206E">
        <w:rPr>
          <w:rFonts w:ascii="Times New Roman" w:hAnsi="Times New Roman"/>
          <w:sz w:val="20"/>
          <w:szCs w:val="20"/>
        </w:rPr>
        <w:t>, 2020).</w:t>
      </w:r>
      <w:r w:rsidRPr="0000206E">
        <w:rPr>
          <w:rFonts w:ascii="Times New Roman" w:hAnsi="Times New Roman"/>
          <w:i/>
          <w:iCs/>
          <w:sz w:val="20"/>
          <w:szCs w:val="20"/>
        </w:rPr>
        <w:t xml:space="preserve"> </w:t>
      </w:r>
    </w:p>
    <w:p w14:paraId="6201C4A6" w14:textId="77777777" w:rsidR="00E5392D" w:rsidRPr="00A07F29" w:rsidRDefault="00E5392D" w:rsidP="00E5392D">
      <w:pPr>
        <w:widowControl w:val="0"/>
        <w:autoSpaceDE w:val="0"/>
        <w:autoSpaceDN w:val="0"/>
        <w:adjustRightInd w:val="0"/>
        <w:spacing w:after="0" w:line="240" w:lineRule="auto"/>
        <w:ind w:right="26"/>
        <w:jc w:val="center"/>
        <w:rPr>
          <w:rFonts w:ascii="Times New Roman" w:hAnsi="Times New Roman"/>
          <w:iCs/>
          <w:sz w:val="24"/>
          <w:szCs w:val="24"/>
        </w:rPr>
      </w:pPr>
      <w:r w:rsidRPr="00A07F29">
        <w:rPr>
          <w:noProof/>
          <w:lang w:eastAsia="lv-LV"/>
        </w:rPr>
        <w:lastRenderedPageBreak/>
        <w:drawing>
          <wp:inline distT="0" distB="0" distL="0" distR="0" wp14:anchorId="02B39C4C" wp14:editId="394A765C">
            <wp:extent cx="13026053" cy="9230104"/>
            <wp:effectExtent l="19050" t="0" r="4148" b="0"/>
            <wp:docPr id="22" name="Picture 8" descr="Augsdaugavas_ezeri2_600p_19.3.2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30">
                      <a:extLst>
                        <a:ext uri="{28A0092B-C50C-407E-A947-70E740481C1C}">
                          <a14:useLocalDpi xmlns:a14="http://schemas.microsoft.com/office/drawing/2010/main"/>
                        </a:ext>
                      </a:extLst>
                    </a:blip>
                    <a:stretch>
                      <a:fillRect/>
                    </a:stretch>
                  </pic:blipFill>
                  <pic:spPr>
                    <a:xfrm>
                      <a:off x="0" y="0"/>
                      <a:ext cx="13026053" cy="9230104"/>
                    </a:xfrm>
                    <a:prstGeom prst="rect">
                      <a:avLst/>
                    </a:prstGeom>
                  </pic:spPr>
                </pic:pic>
              </a:graphicData>
            </a:graphic>
          </wp:inline>
        </w:drawing>
      </w:r>
    </w:p>
    <w:p w14:paraId="78E21002" w14:textId="3DD3FFE8" w:rsidR="00E5392D" w:rsidRPr="0000206E" w:rsidRDefault="00E5392D" w:rsidP="00E5392D">
      <w:pPr>
        <w:widowControl w:val="0"/>
        <w:autoSpaceDE w:val="0"/>
        <w:autoSpaceDN w:val="0"/>
        <w:adjustRightInd w:val="0"/>
        <w:spacing w:after="0" w:line="240" w:lineRule="auto"/>
        <w:ind w:right="26"/>
        <w:jc w:val="both"/>
        <w:rPr>
          <w:rFonts w:ascii="Times New Roman" w:hAnsi="Times New Roman"/>
          <w:sz w:val="20"/>
          <w:szCs w:val="20"/>
        </w:rPr>
      </w:pPr>
      <w:r w:rsidRPr="0000206E">
        <w:rPr>
          <w:rFonts w:ascii="Times New Roman" w:hAnsi="Times New Roman"/>
          <w:i/>
          <w:sz w:val="20"/>
          <w:szCs w:val="20"/>
        </w:rPr>
        <w:t>2.5.2.</w:t>
      </w:r>
      <w:r w:rsidRPr="0000206E">
        <w:rPr>
          <w:rFonts w:ascii="Times New Roman" w:hAnsi="Times New Roman"/>
          <w:i/>
          <w:iCs/>
          <w:sz w:val="20"/>
          <w:szCs w:val="20"/>
        </w:rPr>
        <w:t>2.</w:t>
      </w:r>
      <w:r w:rsidR="008C7E35" w:rsidRPr="0000206E">
        <w:rPr>
          <w:rFonts w:ascii="Times New Roman" w:hAnsi="Times New Roman"/>
          <w:i/>
          <w:iCs/>
          <w:sz w:val="20"/>
          <w:szCs w:val="20"/>
        </w:rPr>
        <w:t> </w:t>
      </w:r>
      <w:r w:rsidRPr="0000206E">
        <w:rPr>
          <w:rFonts w:ascii="Times New Roman" w:hAnsi="Times New Roman"/>
          <w:i/>
          <w:iCs/>
          <w:sz w:val="20"/>
          <w:szCs w:val="20"/>
        </w:rPr>
        <w:t>attēls.</w:t>
      </w:r>
      <w:r w:rsidRPr="0000206E">
        <w:rPr>
          <w:rFonts w:ascii="Times New Roman" w:hAnsi="Times New Roman"/>
          <w:sz w:val="20"/>
          <w:szCs w:val="20"/>
        </w:rPr>
        <w:t xml:space="preserve"> </w:t>
      </w:r>
      <w:r w:rsidR="00260499" w:rsidRPr="0000206E">
        <w:rPr>
          <w:rFonts w:ascii="Times New Roman" w:hAnsi="Times New Roman"/>
          <w:sz w:val="20"/>
          <w:szCs w:val="20"/>
        </w:rPr>
        <w:t>AAA “</w:t>
      </w:r>
      <w:proofErr w:type="spellStart"/>
      <w:r w:rsidR="00260499" w:rsidRPr="0000206E">
        <w:rPr>
          <w:rFonts w:ascii="Times New Roman" w:hAnsi="Times New Roman"/>
          <w:sz w:val="20"/>
          <w:szCs w:val="20"/>
        </w:rPr>
        <w:t>Augšdaugava”</w:t>
      </w:r>
      <w:r w:rsidRPr="0000206E">
        <w:rPr>
          <w:rFonts w:ascii="Times New Roman" w:hAnsi="Times New Roman"/>
          <w:sz w:val="20"/>
          <w:szCs w:val="20"/>
        </w:rPr>
        <w:t>dabisko</w:t>
      </w:r>
      <w:proofErr w:type="spellEnd"/>
      <w:r w:rsidRPr="0000206E">
        <w:rPr>
          <w:rFonts w:ascii="Times New Roman" w:hAnsi="Times New Roman"/>
          <w:sz w:val="20"/>
          <w:szCs w:val="20"/>
        </w:rPr>
        <w:t xml:space="preserve"> ezeru izvietojums </w:t>
      </w:r>
      <w:proofErr w:type="spellStart"/>
      <w:r w:rsidRPr="0000206E">
        <w:rPr>
          <w:rFonts w:ascii="Times New Roman" w:hAnsi="Times New Roman"/>
          <w:sz w:val="20"/>
          <w:szCs w:val="20"/>
        </w:rPr>
        <w:t>Borovkas</w:t>
      </w:r>
      <w:proofErr w:type="spellEnd"/>
      <w:r w:rsidRPr="0000206E">
        <w:rPr>
          <w:rFonts w:ascii="Times New Roman" w:hAnsi="Times New Roman"/>
          <w:sz w:val="20"/>
          <w:szCs w:val="20"/>
        </w:rPr>
        <w:t xml:space="preserve">, </w:t>
      </w:r>
      <w:proofErr w:type="spellStart"/>
      <w:r w:rsidRPr="0000206E">
        <w:rPr>
          <w:rFonts w:ascii="Times New Roman" w:hAnsi="Times New Roman"/>
          <w:sz w:val="20"/>
          <w:szCs w:val="20"/>
        </w:rPr>
        <w:t>Jaunbornes</w:t>
      </w:r>
      <w:proofErr w:type="spellEnd"/>
      <w:r w:rsidRPr="0000206E">
        <w:rPr>
          <w:rFonts w:ascii="Times New Roman" w:hAnsi="Times New Roman"/>
          <w:sz w:val="20"/>
          <w:szCs w:val="20"/>
        </w:rPr>
        <w:t>, Salienas, Kaplavas un Krāslavas apkārtnē (kartes pamatne – © L</w:t>
      </w:r>
      <w:r w:rsidR="008C7E35" w:rsidRPr="0000206E">
        <w:rPr>
          <w:rFonts w:ascii="Times New Roman" w:hAnsi="Times New Roman"/>
          <w:sz w:val="20"/>
          <w:szCs w:val="20"/>
        </w:rPr>
        <w:t>ĢIA</w:t>
      </w:r>
      <w:r w:rsidRPr="0000206E">
        <w:rPr>
          <w:rFonts w:ascii="Times New Roman" w:hAnsi="Times New Roman"/>
          <w:sz w:val="20"/>
          <w:szCs w:val="20"/>
        </w:rPr>
        <w:t>, 2020).</w:t>
      </w:r>
    </w:p>
    <w:p w14:paraId="138D18A9" w14:textId="77777777" w:rsidR="00E5392D" w:rsidRPr="00A07F29" w:rsidRDefault="00E5392D" w:rsidP="00E5392D">
      <w:pPr>
        <w:widowControl w:val="0"/>
        <w:autoSpaceDE w:val="0"/>
        <w:autoSpaceDN w:val="0"/>
        <w:adjustRightInd w:val="0"/>
        <w:spacing w:after="0" w:line="240" w:lineRule="auto"/>
        <w:ind w:right="26"/>
        <w:jc w:val="center"/>
        <w:rPr>
          <w:rFonts w:ascii="Times New Roman" w:hAnsi="Times New Roman"/>
          <w:iCs/>
          <w:sz w:val="24"/>
          <w:szCs w:val="24"/>
        </w:rPr>
      </w:pPr>
      <w:r w:rsidRPr="00A07F29">
        <w:rPr>
          <w:noProof/>
          <w:lang w:eastAsia="lv-LV"/>
        </w:rPr>
        <w:lastRenderedPageBreak/>
        <w:drawing>
          <wp:inline distT="0" distB="0" distL="0" distR="0" wp14:anchorId="21D3C708" wp14:editId="0B31096B">
            <wp:extent cx="13088895" cy="9277712"/>
            <wp:effectExtent l="19050" t="0" r="0" b="0"/>
            <wp:docPr id="23" name="Picture 9" descr="Augsdaugavas_ezeri3_600p_19.3.2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31">
                      <a:extLst>
                        <a:ext uri="{28A0092B-C50C-407E-A947-70E740481C1C}">
                          <a14:useLocalDpi xmlns:a14="http://schemas.microsoft.com/office/drawing/2010/main"/>
                        </a:ext>
                      </a:extLst>
                    </a:blip>
                    <a:stretch>
                      <a:fillRect/>
                    </a:stretch>
                  </pic:blipFill>
                  <pic:spPr>
                    <a:xfrm>
                      <a:off x="0" y="0"/>
                      <a:ext cx="13088895" cy="9277712"/>
                    </a:xfrm>
                    <a:prstGeom prst="rect">
                      <a:avLst/>
                    </a:prstGeom>
                  </pic:spPr>
                </pic:pic>
              </a:graphicData>
            </a:graphic>
          </wp:inline>
        </w:drawing>
      </w:r>
    </w:p>
    <w:p w14:paraId="26F7CFA8" w14:textId="33B97180" w:rsidR="00E5392D" w:rsidRPr="0000206E" w:rsidRDefault="00E5392D" w:rsidP="00E5392D">
      <w:pPr>
        <w:spacing w:after="0"/>
        <w:rPr>
          <w:rFonts w:ascii="Times New Roman" w:hAnsi="Times New Roman"/>
          <w:i/>
          <w:sz w:val="20"/>
          <w:szCs w:val="20"/>
        </w:rPr>
      </w:pPr>
      <w:r w:rsidRPr="0000206E">
        <w:rPr>
          <w:rFonts w:ascii="Times New Roman" w:hAnsi="Times New Roman"/>
          <w:i/>
          <w:iCs/>
          <w:sz w:val="20"/>
          <w:szCs w:val="20"/>
        </w:rPr>
        <w:t>2.5.2.3.</w:t>
      </w:r>
      <w:r w:rsidR="008C7E35" w:rsidRPr="0000206E">
        <w:rPr>
          <w:rFonts w:ascii="Times New Roman" w:hAnsi="Times New Roman"/>
          <w:i/>
          <w:iCs/>
          <w:sz w:val="20"/>
          <w:szCs w:val="20"/>
        </w:rPr>
        <w:t> </w:t>
      </w:r>
      <w:r w:rsidRPr="0000206E">
        <w:rPr>
          <w:rFonts w:ascii="Times New Roman" w:hAnsi="Times New Roman"/>
          <w:i/>
          <w:iCs/>
          <w:sz w:val="20"/>
          <w:szCs w:val="20"/>
        </w:rPr>
        <w:t>attēls.</w:t>
      </w:r>
      <w:r w:rsidRPr="0000206E">
        <w:rPr>
          <w:rFonts w:ascii="Times New Roman" w:hAnsi="Times New Roman"/>
          <w:sz w:val="20"/>
          <w:szCs w:val="20"/>
        </w:rPr>
        <w:t xml:space="preserve"> </w:t>
      </w:r>
      <w:r w:rsidR="00260499" w:rsidRPr="0000206E">
        <w:rPr>
          <w:rFonts w:ascii="Times New Roman" w:hAnsi="Times New Roman"/>
          <w:sz w:val="20"/>
          <w:szCs w:val="20"/>
        </w:rPr>
        <w:t>AAA “</w:t>
      </w:r>
      <w:proofErr w:type="spellStart"/>
      <w:r w:rsidR="00260499" w:rsidRPr="0000206E">
        <w:rPr>
          <w:rFonts w:ascii="Times New Roman" w:hAnsi="Times New Roman"/>
          <w:sz w:val="20"/>
          <w:szCs w:val="20"/>
        </w:rPr>
        <w:t>Augšdaugava”</w:t>
      </w:r>
      <w:r w:rsidRPr="0000206E">
        <w:rPr>
          <w:rFonts w:ascii="Times New Roman" w:hAnsi="Times New Roman"/>
          <w:sz w:val="20"/>
          <w:szCs w:val="20"/>
        </w:rPr>
        <w:t>dabisko</w:t>
      </w:r>
      <w:proofErr w:type="spellEnd"/>
      <w:r w:rsidRPr="0000206E">
        <w:rPr>
          <w:rFonts w:ascii="Times New Roman" w:hAnsi="Times New Roman"/>
          <w:sz w:val="20"/>
          <w:szCs w:val="20"/>
        </w:rPr>
        <w:t xml:space="preserve"> ezeru izvietojums Kalniešu, </w:t>
      </w:r>
      <w:proofErr w:type="spellStart"/>
      <w:r w:rsidRPr="0000206E">
        <w:rPr>
          <w:rFonts w:ascii="Times New Roman" w:hAnsi="Times New Roman"/>
          <w:sz w:val="20"/>
          <w:szCs w:val="20"/>
        </w:rPr>
        <w:t>Varnaviču</w:t>
      </w:r>
      <w:proofErr w:type="spellEnd"/>
      <w:r w:rsidRPr="0000206E">
        <w:rPr>
          <w:rFonts w:ascii="Times New Roman" w:hAnsi="Times New Roman"/>
          <w:sz w:val="20"/>
          <w:szCs w:val="20"/>
        </w:rPr>
        <w:t xml:space="preserve">, Piedrujas un </w:t>
      </w:r>
      <w:proofErr w:type="spellStart"/>
      <w:r w:rsidRPr="0000206E">
        <w:rPr>
          <w:rFonts w:ascii="Times New Roman" w:hAnsi="Times New Roman"/>
          <w:sz w:val="20"/>
          <w:szCs w:val="20"/>
        </w:rPr>
        <w:t>Patarnieku</w:t>
      </w:r>
      <w:proofErr w:type="spellEnd"/>
      <w:r w:rsidRPr="0000206E">
        <w:rPr>
          <w:rFonts w:ascii="Times New Roman" w:hAnsi="Times New Roman"/>
          <w:sz w:val="20"/>
          <w:szCs w:val="20"/>
        </w:rPr>
        <w:t xml:space="preserve"> apkārtnē (kartes pamatne – © L</w:t>
      </w:r>
      <w:r w:rsidR="008C7E35" w:rsidRPr="0000206E">
        <w:rPr>
          <w:rFonts w:ascii="Times New Roman" w:hAnsi="Times New Roman"/>
          <w:sz w:val="20"/>
          <w:szCs w:val="20"/>
        </w:rPr>
        <w:t>ĢIA</w:t>
      </w:r>
      <w:r w:rsidRPr="0000206E">
        <w:rPr>
          <w:rFonts w:ascii="Times New Roman" w:hAnsi="Times New Roman"/>
          <w:sz w:val="20"/>
          <w:szCs w:val="20"/>
        </w:rPr>
        <w:t>, 2020).</w:t>
      </w:r>
    </w:p>
    <w:p w14:paraId="0BE625B8" w14:textId="77777777" w:rsidR="00E5392D" w:rsidRPr="00A07F29" w:rsidRDefault="00E5392D" w:rsidP="00E5392D">
      <w:pPr>
        <w:spacing w:after="0"/>
        <w:jc w:val="right"/>
        <w:rPr>
          <w:rFonts w:ascii="Times New Roman" w:hAnsi="Times New Roman"/>
          <w:i/>
          <w:sz w:val="24"/>
          <w:szCs w:val="24"/>
        </w:rPr>
        <w:sectPr w:rsidR="00E5392D" w:rsidRPr="00A07F29" w:rsidSect="009056A3">
          <w:pgSz w:w="23814" w:h="16840" w:orient="landscape" w:code="8"/>
          <w:pgMar w:top="709" w:right="1276" w:bottom="709" w:left="1276" w:header="720" w:footer="0" w:gutter="0"/>
          <w:cols w:space="720"/>
          <w:noEndnote/>
        </w:sectPr>
      </w:pPr>
    </w:p>
    <w:p w14:paraId="4927678B" w14:textId="632CA699" w:rsidR="00997A72" w:rsidRPr="00A07F29" w:rsidRDefault="00997A72" w:rsidP="00463A58">
      <w:pPr>
        <w:spacing w:after="0" w:line="240" w:lineRule="auto"/>
        <w:ind w:firstLine="851"/>
        <w:jc w:val="both"/>
        <w:rPr>
          <w:rFonts w:ascii="Times New Roman" w:eastAsia="Calibri" w:hAnsi="Times New Roman" w:cs="Times New Roman"/>
          <w:sz w:val="24"/>
          <w:szCs w:val="24"/>
        </w:rPr>
      </w:pPr>
      <w:proofErr w:type="spellStart"/>
      <w:r w:rsidRPr="00A07F29">
        <w:rPr>
          <w:rFonts w:ascii="Times New Roman" w:eastAsia="Calibri" w:hAnsi="Times New Roman" w:cs="Times New Roman"/>
          <w:sz w:val="24"/>
          <w:szCs w:val="24"/>
        </w:rPr>
        <w:lastRenderedPageBreak/>
        <w:t>Visezerainākie</w:t>
      </w:r>
      <w:proofErr w:type="spellEnd"/>
      <w:r w:rsidRPr="00A07F29">
        <w:rPr>
          <w:rFonts w:ascii="Times New Roman" w:eastAsia="Calibri" w:hAnsi="Times New Roman" w:cs="Times New Roman"/>
          <w:sz w:val="24"/>
          <w:szCs w:val="24"/>
        </w:rPr>
        <w:t xml:space="preserve"> sateces baseini ar 12</w:t>
      </w:r>
      <w:r w:rsidR="0007090D" w:rsidRPr="00A07F29">
        <w:rPr>
          <w:rFonts w:ascii="Times New Roman" w:eastAsia="Calibri" w:hAnsi="Times New Roman" w:cs="Times New Roman"/>
          <w:sz w:val="24"/>
          <w:szCs w:val="24"/>
        </w:rPr>
        <w:t> – </w:t>
      </w:r>
      <w:r w:rsidRPr="00A07F29">
        <w:rPr>
          <w:rFonts w:ascii="Times New Roman" w:eastAsia="Calibri" w:hAnsi="Times New Roman" w:cs="Times New Roman"/>
          <w:sz w:val="24"/>
          <w:szCs w:val="24"/>
        </w:rPr>
        <w:t>19</w:t>
      </w:r>
      <w:r w:rsidR="0007090D" w:rsidRPr="00A07F29">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 lielu </w:t>
      </w:r>
      <w:proofErr w:type="spellStart"/>
      <w:r w:rsidRPr="00A07F29">
        <w:rPr>
          <w:rFonts w:ascii="Times New Roman" w:eastAsia="Calibri" w:hAnsi="Times New Roman" w:cs="Times New Roman"/>
          <w:sz w:val="24"/>
          <w:szCs w:val="24"/>
        </w:rPr>
        <w:t>ezerainību</w:t>
      </w:r>
      <w:proofErr w:type="spellEnd"/>
      <w:r w:rsidRPr="00A07F29">
        <w:rPr>
          <w:rFonts w:ascii="Times New Roman" w:eastAsia="Calibri" w:hAnsi="Times New Roman" w:cs="Times New Roman"/>
          <w:sz w:val="24"/>
          <w:szCs w:val="24"/>
        </w:rPr>
        <w:t xml:space="preserve"> ir </w:t>
      </w:r>
      <w:proofErr w:type="spellStart"/>
      <w:r w:rsidRPr="00A07F29">
        <w:rPr>
          <w:rFonts w:ascii="Times New Roman" w:eastAsia="Calibri" w:hAnsi="Times New Roman" w:cs="Times New Roman"/>
          <w:sz w:val="24"/>
          <w:szCs w:val="24"/>
        </w:rPr>
        <w:t>Baļticas</w:t>
      </w:r>
      <w:proofErr w:type="spellEnd"/>
      <w:r w:rsidRPr="00A07F29">
        <w:rPr>
          <w:rFonts w:ascii="Times New Roman" w:eastAsia="Calibri" w:hAnsi="Times New Roman" w:cs="Times New Roman"/>
          <w:sz w:val="24"/>
          <w:szCs w:val="24"/>
        </w:rPr>
        <w:t xml:space="preserve"> (12</w:t>
      </w:r>
      <w:r w:rsidR="00BD7FAE" w:rsidRPr="00A07F29">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Krivoje</w:t>
      </w:r>
      <w:proofErr w:type="spellEnd"/>
      <w:r w:rsidRPr="00A07F29">
        <w:rPr>
          <w:rFonts w:ascii="Times New Roman" w:eastAsia="Calibri" w:hAnsi="Times New Roman" w:cs="Times New Roman"/>
          <w:sz w:val="24"/>
          <w:szCs w:val="24"/>
        </w:rPr>
        <w:t xml:space="preserve"> (12,5</w:t>
      </w:r>
      <w:r w:rsidR="00BD7FAE" w:rsidRPr="00A07F29">
        <w:rPr>
          <w:rFonts w:ascii="Times New Roman" w:eastAsia="Calibri" w:hAnsi="Times New Roman" w:cs="Times New Roman"/>
          <w:sz w:val="24"/>
          <w:szCs w:val="24"/>
        </w:rPr>
        <w:t> </w:t>
      </w:r>
      <w:r w:rsidRPr="00A07F29">
        <w:rPr>
          <w:rFonts w:ascii="Times New Roman" w:eastAsia="Calibri" w:hAnsi="Times New Roman" w:cs="Times New Roman"/>
          <w:sz w:val="24"/>
          <w:szCs w:val="24"/>
        </w:rPr>
        <w:t>%), Dziļajam (13,9</w:t>
      </w:r>
      <w:r w:rsidR="00BD7FAE" w:rsidRPr="00A07F29">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 un </w:t>
      </w:r>
      <w:proofErr w:type="spellStart"/>
      <w:r w:rsidRPr="00A07F29">
        <w:rPr>
          <w:rFonts w:ascii="Times New Roman" w:eastAsia="Calibri" w:hAnsi="Times New Roman" w:cs="Times New Roman"/>
          <w:sz w:val="24"/>
          <w:szCs w:val="24"/>
        </w:rPr>
        <w:t>Varnaviču</w:t>
      </w:r>
      <w:proofErr w:type="spellEnd"/>
      <w:r w:rsidRPr="00A07F29">
        <w:rPr>
          <w:rFonts w:ascii="Times New Roman" w:eastAsia="Calibri" w:hAnsi="Times New Roman" w:cs="Times New Roman"/>
          <w:sz w:val="24"/>
          <w:szCs w:val="24"/>
        </w:rPr>
        <w:t xml:space="preserve"> ezeram (14</w:t>
      </w:r>
      <w:r w:rsidR="00BD7FAE" w:rsidRPr="00A07F29">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 kā arī </w:t>
      </w:r>
      <w:proofErr w:type="spellStart"/>
      <w:r w:rsidRPr="00A07F29">
        <w:rPr>
          <w:rFonts w:ascii="Times New Roman" w:eastAsia="Calibri" w:hAnsi="Times New Roman" w:cs="Times New Roman"/>
          <w:sz w:val="24"/>
          <w:szCs w:val="24"/>
        </w:rPr>
        <w:t>Riņģim</w:t>
      </w:r>
      <w:proofErr w:type="spellEnd"/>
      <w:r w:rsidRPr="00A07F29">
        <w:rPr>
          <w:rFonts w:ascii="Times New Roman" w:eastAsia="Calibri" w:hAnsi="Times New Roman" w:cs="Times New Roman"/>
          <w:sz w:val="24"/>
          <w:szCs w:val="24"/>
        </w:rPr>
        <w:t xml:space="preserve"> (14,2</w:t>
      </w:r>
      <w:r w:rsidR="00BD7FAE" w:rsidRPr="00A07F29">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 un </w:t>
      </w:r>
      <w:proofErr w:type="spellStart"/>
      <w:r w:rsidRPr="00A07F29">
        <w:rPr>
          <w:rFonts w:ascii="Times New Roman" w:eastAsia="Calibri" w:hAnsi="Times New Roman" w:cs="Times New Roman"/>
          <w:sz w:val="24"/>
          <w:szCs w:val="24"/>
        </w:rPr>
        <w:t>Jabloņkas</w:t>
      </w:r>
      <w:proofErr w:type="spellEnd"/>
      <w:r w:rsidRPr="00A07F29">
        <w:rPr>
          <w:rFonts w:ascii="Times New Roman" w:eastAsia="Calibri" w:hAnsi="Times New Roman" w:cs="Times New Roman"/>
          <w:sz w:val="24"/>
          <w:szCs w:val="24"/>
        </w:rPr>
        <w:t xml:space="preserve"> ezeram (19</w:t>
      </w:r>
      <w:r w:rsidR="00BD7FAE" w:rsidRPr="00A07F29">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 tāpēc tie arī ietilpst </w:t>
      </w:r>
      <w:r w:rsidR="38EAA50B" w:rsidRPr="00A07F29">
        <w:rPr>
          <w:rFonts w:ascii="Times New Roman" w:eastAsia="Calibri" w:hAnsi="Times New Roman" w:cs="Times New Roman"/>
          <w:sz w:val="24"/>
          <w:szCs w:val="24"/>
        </w:rPr>
        <w:t>AAA</w:t>
      </w:r>
      <w:r w:rsidRPr="00A07F29">
        <w:rPr>
          <w:rFonts w:ascii="Times New Roman" w:eastAsia="Calibri" w:hAnsi="Times New Roman" w:cs="Times New Roman"/>
          <w:sz w:val="24"/>
          <w:szCs w:val="24"/>
        </w:rPr>
        <w:t xml:space="preserve"> </w:t>
      </w:r>
      <w:r w:rsidR="00A14E30" w:rsidRPr="00A07F29">
        <w:rPr>
          <w:rFonts w:ascii="Times New Roman" w:eastAsia="Calibri" w:hAnsi="Times New Roman" w:cs="Times New Roman"/>
          <w:sz w:val="24"/>
          <w:szCs w:val="24"/>
        </w:rPr>
        <w:t xml:space="preserve">“Augšdaugava” </w:t>
      </w:r>
      <w:r w:rsidRPr="00A07F29">
        <w:rPr>
          <w:rFonts w:ascii="Times New Roman" w:eastAsia="Calibri" w:hAnsi="Times New Roman" w:cs="Times New Roman"/>
          <w:sz w:val="24"/>
          <w:szCs w:val="24"/>
        </w:rPr>
        <w:t>vistīrāko un visaugstākās kvalitātes saldūdens biotopu grupā.</w:t>
      </w:r>
    </w:p>
    <w:p w14:paraId="07BC0D93" w14:textId="0963E5BA" w:rsidR="00997A72" w:rsidRPr="00A07F29" w:rsidRDefault="00997A72" w:rsidP="00463A58">
      <w:pPr>
        <w:spacing w:after="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Pēc ezeru sateces baseinā valdošā zemes lietojuma veida ezerus var iedalīt trīs grupās – mežezeros, mežmalu ezeros un klajumu ezeros. Šīs ezeru grupas raksturo arī ezeru sateces baseinu antropogēnās </w:t>
      </w:r>
      <w:proofErr w:type="spellStart"/>
      <w:r w:rsidRPr="00A07F29">
        <w:rPr>
          <w:rFonts w:ascii="Times New Roman" w:eastAsia="Calibri" w:hAnsi="Times New Roman" w:cs="Times New Roman"/>
          <w:sz w:val="24"/>
          <w:szCs w:val="24"/>
        </w:rPr>
        <w:t>pārveidotības</w:t>
      </w:r>
      <w:proofErr w:type="spellEnd"/>
      <w:r w:rsidRPr="00A07F29">
        <w:rPr>
          <w:rFonts w:ascii="Times New Roman" w:eastAsia="Calibri" w:hAnsi="Times New Roman" w:cs="Times New Roman"/>
          <w:sz w:val="24"/>
          <w:szCs w:val="24"/>
        </w:rPr>
        <w:t xml:space="preserve"> līmeni – vismazāk pārveidotie sateces baseini ir mežezeriem, vidēji pārveidoti ir mežmalu ezeru sateces baseini, bet stipri pārveidoti – klajumu ezeru sateces baseini</w:t>
      </w:r>
      <w:r w:rsidR="00463A58" w:rsidRPr="00A07F29">
        <w:rPr>
          <w:rFonts w:ascii="Times New Roman" w:eastAsia="Calibri" w:hAnsi="Times New Roman" w:cs="Times New Roman"/>
          <w:sz w:val="24"/>
          <w:szCs w:val="24"/>
        </w:rPr>
        <w:t xml:space="preserve"> (</w:t>
      </w:r>
      <w:r w:rsidR="00273F4D" w:rsidRPr="00A07F29">
        <w:rPr>
          <w:rFonts w:ascii="Times New Roman" w:eastAsia="Calibri" w:hAnsi="Times New Roman" w:cs="Times New Roman"/>
          <w:sz w:val="24"/>
          <w:szCs w:val="24"/>
        </w:rPr>
        <w:t xml:space="preserve">skat. </w:t>
      </w:r>
      <w:r w:rsidR="00463A58" w:rsidRPr="00A07F29">
        <w:rPr>
          <w:rFonts w:ascii="Times New Roman" w:eastAsia="Calibri" w:hAnsi="Times New Roman" w:cs="Times New Roman"/>
          <w:sz w:val="24"/>
          <w:szCs w:val="24"/>
        </w:rPr>
        <w:t>2.1.</w:t>
      </w:r>
      <w:r w:rsidR="00273F4D" w:rsidRPr="00A07F29">
        <w:rPr>
          <w:rFonts w:ascii="Times New Roman" w:eastAsia="Calibri" w:hAnsi="Times New Roman" w:cs="Times New Roman"/>
          <w:sz w:val="24"/>
          <w:szCs w:val="24"/>
        </w:rPr>
        <w:t> </w:t>
      </w:r>
      <w:r w:rsidR="00463A58" w:rsidRPr="00A07F29">
        <w:rPr>
          <w:rFonts w:ascii="Times New Roman" w:eastAsia="Calibri" w:hAnsi="Times New Roman" w:cs="Times New Roman"/>
          <w:sz w:val="24"/>
          <w:szCs w:val="24"/>
        </w:rPr>
        <w:t>pielikums)</w:t>
      </w:r>
      <w:r w:rsidRPr="00A07F29">
        <w:rPr>
          <w:rFonts w:ascii="Times New Roman" w:eastAsia="Calibri" w:hAnsi="Times New Roman" w:cs="Times New Roman"/>
          <w:sz w:val="24"/>
          <w:szCs w:val="24"/>
        </w:rPr>
        <w:t>.</w:t>
      </w:r>
    </w:p>
    <w:p w14:paraId="54617E38" w14:textId="5029EDEB" w:rsidR="00997A72" w:rsidRPr="00A07F29" w:rsidRDefault="00997A72" w:rsidP="00997A72">
      <w:pPr>
        <w:spacing w:after="0" w:line="240" w:lineRule="auto"/>
        <w:jc w:val="both"/>
        <w:rPr>
          <w:rFonts w:ascii="Times New Roman" w:eastAsia="Calibri" w:hAnsi="Times New Roman" w:cs="Times New Roman"/>
          <w:sz w:val="24"/>
          <w:szCs w:val="24"/>
        </w:rPr>
      </w:pPr>
    </w:p>
    <w:p w14:paraId="3B33FE90" w14:textId="77777777" w:rsidR="00997A72" w:rsidRPr="00A07F29" w:rsidRDefault="00997A72" w:rsidP="00997A72">
      <w:pPr>
        <w:spacing w:after="0" w:line="240" w:lineRule="auto"/>
        <w:jc w:val="both"/>
        <w:rPr>
          <w:rFonts w:ascii="Times New Roman" w:eastAsia="Calibri" w:hAnsi="Times New Roman" w:cs="Times New Roman"/>
          <w:sz w:val="24"/>
          <w:szCs w:val="24"/>
        </w:rPr>
      </w:pPr>
      <w:r w:rsidRPr="00A07F29">
        <w:rPr>
          <w:rFonts w:ascii="Times New Roman" w:eastAsia="Calibri" w:hAnsi="Times New Roman" w:cs="Times New Roman"/>
          <w:b/>
          <w:i/>
          <w:sz w:val="24"/>
          <w:szCs w:val="24"/>
        </w:rPr>
        <w:t>Ezeru tipoloģiskā piederība</w:t>
      </w:r>
    </w:p>
    <w:p w14:paraId="54B9BA72" w14:textId="23C33739" w:rsidR="00997A72" w:rsidRPr="00A07F29" w:rsidRDefault="00997A72" w:rsidP="00463A58">
      <w:pPr>
        <w:spacing w:after="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Pēc ūdens krāsas 17 ezeri ir </w:t>
      </w:r>
      <w:proofErr w:type="spellStart"/>
      <w:r w:rsidRPr="00A07F29">
        <w:rPr>
          <w:rFonts w:ascii="Times New Roman" w:eastAsia="Calibri" w:hAnsi="Times New Roman" w:cs="Times New Roman"/>
          <w:sz w:val="24"/>
          <w:szCs w:val="24"/>
        </w:rPr>
        <w:t>dzidrūdens</w:t>
      </w:r>
      <w:proofErr w:type="spellEnd"/>
      <w:r w:rsidRPr="00A07F29">
        <w:rPr>
          <w:rFonts w:ascii="Times New Roman" w:eastAsia="Calibri" w:hAnsi="Times New Roman" w:cs="Times New Roman"/>
          <w:sz w:val="24"/>
          <w:szCs w:val="24"/>
        </w:rPr>
        <w:t xml:space="preserve"> (galvenokārt </w:t>
      </w:r>
      <w:proofErr w:type="spellStart"/>
      <w:r w:rsidRPr="00A07F29">
        <w:rPr>
          <w:rFonts w:ascii="Times New Roman" w:eastAsia="Calibri" w:hAnsi="Times New Roman" w:cs="Times New Roman"/>
          <w:sz w:val="24"/>
          <w:szCs w:val="24"/>
        </w:rPr>
        <w:t>eitrofi</w:t>
      </w:r>
      <w:proofErr w:type="spellEnd"/>
      <w:r w:rsidRPr="00A07F29">
        <w:rPr>
          <w:rFonts w:ascii="Times New Roman" w:eastAsia="Calibri" w:hAnsi="Times New Roman" w:cs="Times New Roman"/>
          <w:sz w:val="24"/>
          <w:szCs w:val="24"/>
        </w:rPr>
        <w:t>) ezeri</w:t>
      </w:r>
      <w:r w:rsidR="002877BD" w:rsidRPr="00A07F29">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bet 14 ezeri – </w:t>
      </w:r>
      <w:proofErr w:type="spellStart"/>
      <w:r w:rsidRPr="00A07F29">
        <w:rPr>
          <w:rFonts w:ascii="Times New Roman" w:eastAsia="Calibri" w:hAnsi="Times New Roman" w:cs="Times New Roman"/>
          <w:sz w:val="24"/>
          <w:szCs w:val="24"/>
        </w:rPr>
        <w:t>brūnūdens</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diseitrofi</w:t>
      </w:r>
      <w:proofErr w:type="spellEnd"/>
      <w:r w:rsidRPr="00A07F29">
        <w:rPr>
          <w:rFonts w:ascii="Times New Roman" w:eastAsia="Calibri" w:hAnsi="Times New Roman" w:cs="Times New Roman"/>
          <w:sz w:val="24"/>
          <w:szCs w:val="24"/>
        </w:rPr>
        <w:t>) ezeri (</w:t>
      </w:r>
      <w:r w:rsidR="002877BD" w:rsidRPr="00A07F29">
        <w:rPr>
          <w:rFonts w:ascii="Times New Roman" w:eastAsia="Calibri" w:hAnsi="Times New Roman" w:cs="Times New Roman"/>
          <w:sz w:val="24"/>
          <w:szCs w:val="24"/>
        </w:rPr>
        <w:t xml:space="preserve">skat. </w:t>
      </w:r>
      <w:r w:rsidRPr="00A07F29">
        <w:rPr>
          <w:rFonts w:ascii="Times New Roman" w:eastAsia="Calibri" w:hAnsi="Times New Roman" w:cs="Times New Roman"/>
          <w:sz w:val="24"/>
          <w:szCs w:val="24"/>
        </w:rPr>
        <w:t>2.1.</w:t>
      </w:r>
      <w:r w:rsidR="002877BD" w:rsidRPr="00A07F29">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pielikums). </w:t>
      </w:r>
    </w:p>
    <w:p w14:paraId="743282F9" w14:textId="30E78A17" w:rsidR="00997A72" w:rsidRPr="00A07F29" w:rsidRDefault="00997A72" w:rsidP="00463A58">
      <w:pPr>
        <w:spacing w:after="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Bioloģiski visjaunākais ir </w:t>
      </w:r>
      <w:proofErr w:type="spellStart"/>
      <w:r w:rsidRPr="00A07F29">
        <w:rPr>
          <w:rFonts w:ascii="Times New Roman" w:eastAsia="Calibri" w:hAnsi="Times New Roman" w:cs="Times New Roman"/>
          <w:sz w:val="24"/>
          <w:szCs w:val="24"/>
        </w:rPr>
        <w:t>Varnaviču</w:t>
      </w:r>
      <w:proofErr w:type="spellEnd"/>
      <w:r w:rsidRPr="00A07F29">
        <w:rPr>
          <w:rFonts w:ascii="Times New Roman" w:eastAsia="Calibri" w:hAnsi="Times New Roman" w:cs="Times New Roman"/>
          <w:sz w:val="24"/>
          <w:szCs w:val="24"/>
        </w:rPr>
        <w:t xml:space="preserve"> ezers, kas ir </w:t>
      </w:r>
      <w:proofErr w:type="spellStart"/>
      <w:r w:rsidRPr="00A07F29">
        <w:rPr>
          <w:rFonts w:ascii="Times New Roman" w:eastAsia="Calibri" w:hAnsi="Times New Roman" w:cs="Times New Roman"/>
          <w:sz w:val="24"/>
          <w:szCs w:val="24"/>
        </w:rPr>
        <w:t>mezotrofs</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dzidrūdens</w:t>
      </w:r>
      <w:proofErr w:type="spellEnd"/>
      <w:r w:rsidRPr="00A07F29">
        <w:rPr>
          <w:rFonts w:ascii="Times New Roman" w:eastAsia="Calibri" w:hAnsi="Times New Roman" w:cs="Times New Roman"/>
          <w:sz w:val="24"/>
          <w:szCs w:val="24"/>
        </w:rPr>
        <w:t xml:space="preserve"> ezers. </w:t>
      </w:r>
      <w:r w:rsidR="22F128F1" w:rsidRPr="00A07F29">
        <w:rPr>
          <w:rFonts w:ascii="Times New Roman" w:eastAsia="Calibri" w:hAnsi="Times New Roman" w:cs="Times New Roman"/>
          <w:sz w:val="24"/>
          <w:szCs w:val="24"/>
        </w:rPr>
        <w:t>16</w:t>
      </w:r>
      <w:r w:rsidRPr="00A07F29">
        <w:rPr>
          <w:rFonts w:ascii="Times New Roman" w:eastAsia="Calibri" w:hAnsi="Times New Roman" w:cs="Times New Roman"/>
          <w:sz w:val="24"/>
          <w:szCs w:val="24"/>
        </w:rPr>
        <w:t xml:space="preserve"> ezeri – </w:t>
      </w:r>
      <w:proofErr w:type="spellStart"/>
      <w:r w:rsidRPr="00A07F29">
        <w:rPr>
          <w:rFonts w:ascii="Times New Roman" w:eastAsia="Calibri" w:hAnsi="Times New Roman" w:cs="Times New Roman"/>
          <w:sz w:val="24"/>
          <w:szCs w:val="24"/>
        </w:rPr>
        <w:t>Baļticas</w:t>
      </w:r>
      <w:proofErr w:type="spellEnd"/>
      <w:r w:rsidRPr="00A07F29">
        <w:rPr>
          <w:rFonts w:ascii="Times New Roman" w:eastAsia="Calibri" w:hAnsi="Times New Roman" w:cs="Times New Roman"/>
          <w:sz w:val="24"/>
          <w:szCs w:val="24"/>
        </w:rPr>
        <w:t xml:space="preserve">, Dauguļu, Dziļais, </w:t>
      </w:r>
      <w:proofErr w:type="spellStart"/>
      <w:r w:rsidRPr="00A07F29">
        <w:rPr>
          <w:rFonts w:ascii="Times New Roman" w:eastAsia="Calibri" w:hAnsi="Times New Roman" w:cs="Times New Roman"/>
          <w:sz w:val="24"/>
          <w:szCs w:val="24"/>
        </w:rPr>
        <w:t>Jabloņkas</w:t>
      </w:r>
      <w:proofErr w:type="spellEnd"/>
      <w:r w:rsidRPr="00A07F29">
        <w:rPr>
          <w:rFonts w:ascii="Times New Roman" w:eastAsia="Calibri" w:hAnsi="Times New Roman" w:cs="Times New Roman"/>
          <w:sz w:val="24"/>
          <w:szCs w:val="24"/>
        </w:rPr>
        <w:t xml:space="preserve">, Kaudzīšu, </w:t>
      </w:r>
      <w:proofErr w:type="spellStart"/>
      <w:r w:rsidRPr="00A07F29">
        <w:rPr>
          <w:rFonts w:ascii="Times New Roman" w:eastAsia="Calibri" w:hAnsi="Times New Roman" w:cs="Times New Roman"/>
          <w:sz w:val="24"/>
          <w:szCs w:val="24"/>
        </w:rPr>
        <w:t>Krivoje</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Krugloje</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Lukštānu</w:t>
      </w:r>
      <w:proofErr w:type="spellEnd"/>
      <w:r w:rsidRPr="00A07F29">
        <w:rPr>
          <w:rFonts w:ascii="Times New Roman" w:eastAsia="Calibri" w:hAnsi="Times New Roman" w:cs="Times New Roman"/>
          <w:sz w:val="24"/>
          <w:szCs w:val="24"/>
        </w:rPr>
        <w:t xml:space="preserve">, Mazais </w:t>
      </w:r>
      <w:proofErr w:type="spellStart"/>
      <w:r w:rsidRPr="00A07F29">
        <w:rPr>
          <w:rFonts w:ascii="Times New Roman" w:eastAsia="Calibri" w:hAnsi="Times New Roman" w:cs="Times New Roman"/>
          <w:sz w:val="24"/>
          <w:szCs w:val="24"/>
        </w:rPr>
        <w:t>Borvinkas</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Skumbiņu</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Šilovkas</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Vaičuku</w:t>
      </w:r>
      <w:proofErr w:type="spellEnd"/>
      <w:r w:rsidRPr="00A07F29">
        <w:rPr>
          <w:rFonts w:ascii="Times New Roman" w:eastAsia="Calibri" w:hAnsi="Times New Roman" w:cs="Times New Roman"/>
          <w:sz w:val="24"/>
          <w:szCs w:val="24"/>
        </w:rPr>
        <w:t xml:space="preserve"> ezers, kā arī </w:t>
      </w:r>
      <w:proofErr w:type="spellStart"/>
      <w:r w:rsidRPr="00A07F29">
        <w:rPr>
          <w:rFonts w:ascii="Times New Roman" w:eastAsia="Calibri" w:hAnsi="Times New Roman" w:cs="Times New Roman"/>
          <w:sz w:val="24"/>
          <w:szCs w:val="24"/>
        </w:rPr>
        <w:t>Dūneklis</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Kaloda</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Prūdeņš</w:t>
      </w:r>
      <w:proofErr w:type="spellEnd"/>
      <w:r w:rsidRPr="00A07F29">
        <w:rPr>
          <w:rFonts w:ascii="Times New Roman" w:eastAsia="Calibri" w:hAnsi="Times New Roman" w:cs="Times New Roman"/>
          <w:sz w:val="24"/>
          <w:szCs w:val="24"/>
        </w:rPr>
        <w:t xml:space="preserve"> un </w:t>
      </w:r>
      <w:proofErr w:type="spellStart"/>
      <w:r w:rsidRPr="00A07F29">
        <w:rPr>
          <w:rFonts w:ascii="Times New Roman" w:eastAsia="Calibri" w:hAnsi="Times New Roman" w:cs="Times New Roman"/>
          <w:sz w:val="24"/>
          <w:szCs w:val="24"/>
        </w:rPr>
        <w:t>Riņģis</w:t>
      </w:r>
      <w:proofErr w:type="spellEnd"/>
      <w:r w:rsidRPr="00A07F29">
        <w:rPr>
          <w:rFonts w:ascii="Times New Roman" w:eastAsia="Calibri" w:hAnsi="Times New Roman" w:cs="Times New Roman"/>
          <w:sz w:val="24"/>
          <w:szCs w:val="24"/>
        </w:rPr>
        <w:t xml:space="preserve"> ir </w:t>
      </w:r>
      <w:proofErr w:type="spellStart"/>
      <w:r w:rsidRPr="00A07F29">
        <w:rPr>
          <w:rFonts w:ascii="Times New Roman" w:eastAsia="Calibri" w:hAnsi="Times New Roman" w:cs="Times New Roman"/>
          <w:sz w:val="24"/>
          <w:szCs w:val="24"/>
        </w:rPr>
        <w:t>eitrofi</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dzidrūdens</w:t>
      </w:r>
      <w:proofErr w:type="spellEnd"/>
      <w:r w:rsidRPr="00A07F29">
        <w:rPr>
          <w:rFonts w:ascii="Times New Roman" w:eastAsia="Calibri" w:hAnsi="Times New Roman" w:cs="Times New Roman"/>
          <w:sz w:val="24"/>
          <w:szCs w:val="24"/>
        </w:rPr>
        <w:t xml:space="preserve"> ezeri, bet pārējie 14 ezeri – Dienvidu </w:t>
      </w:r>
      <w:proofErr w:type="spellStart"/>
      <w:r w:rsidRPr="00A07F29">
        <w:rPr>
          <w:rFonts w:ascii="Times New Roman" w:eastAsia="Calibri" w:hAnsi="Times New Roman" w:cs="Times New Roman"/>
          <w:sz w:val="24"/>
          <w:szCs w:val="24"/>
        </w:rPr>
        <w:t>Dolgoje</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Dolgoje</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Gluhoje</w:t>
      </w:r>
      <w:proofErr w:type="spellEnd"/>
      <w:r w:rsidRPr="00A07F29">
        <w:rPr>
          <w:rFonts w:ascii="Times New Roman" w:eastAsia="Calibri" w:hAnsi="Times New Roman" w:cs="Times New Roman"/>
          <w:sz w:val="24"/>
          <w:szCs w:val="24"/>
        </w:rPr>
        <w:t xml:space="preserve">, Lielais </w:t>
      </w:r>
      <w:proofErr w:type="spellStart"/>
      <w:r w:rsidRPr="00A07F29">
        <w:rPr>
          <w:rFonts w:ascii="Times New Roman" w:eastAsia="Calibri" w:hAnsi="Times New Roman" w:cs="Times New Roman"/>
          <w:sz w:val="24"/>
          <w:szCs w:val="24"/>
        </w:rPr>
        <w:t>Borvinkas</w:t>
      </w:r>
      <w:proofErr w:type="spellEnd"/>
      <w:r w:rsidRPr="00A07F29">
        <w:rPr>
          <w:rFonts w:ascii="Times New Roman" w:eastAsia="Calibri" w:hAnsi="Times New Roman" w:cs="Times New Roman"/>
          <w:sz w:val="24"/>
          <w:szCs w:val="24"/>
        </w:rPr>
        <w:t xml:space="preserve">, Maču, </w:t>
      </w:r>
      <w:proofErr w:type="spellStart"/>
      <w:r w:rsidRPr="00A07F29">
        <w:rPr>
          <w:rFonts w:ascii="Times New Roman" w:eastAsia="Calibri" w:hAnsi="Times New Roman" w:cs="Times New Roman"/>
          <w:sz w:val="24"/>
          <w:szCs w:val="24"/>
        </w:rPr>
        <w:t>Mjaļina</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Saučenku</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Škļarovščinas</w:t>
      </w:r>
      <w:proofErr w:type="spellEnd"/>
      <w:r w:rsidRPr="00A07F29">
        <w:rPr>
          <w:rFonts w:ascii="Times New Roman" w:eastAsia="Calibri" w:hAnsi="Times New Roman" w:cs="Times New Roman"/>
          <w:sz w:val="24"/>
          <w:szCs w:val="24"/>
        </w:rPr>
        <w:t xml:space="preserve">, Zariņa un </w:t>
      </w:r>
      <w:proofErr w:type="spellStart"/>
      <w:r w:rsidRPr="00A07F29">
        <w:rPr>
          <w:rFonts w:ascii="Times New Roman" w:eastAsia="Calibri" w:hAnsi="Times New Roman" w:cs="Times New Roman"/>
          <w:sz w:val="24"/>
          <w:szCs w:val="24"/>
        </w:rPr>
        <w:t>Zimašu</w:t>
      </w:r>
      <w:proofErr w:type="spellEnd"/>
      <w:r w:rsidRPr="00A07F29">
        <w:rPr>
          <w:rFonts w:ascii="Times New Roman" w:eastAsia="Calibri" w:hAnsi="Times New Roman" w:cs="Times New Roman"/>
          <w:sz w:val="24"/>
          <w:szCs w:val="24"/>
        </w:rPr>
        <w:t xml:space="preserve"> ezers, kā arī </w:t>
      </w:r>
      <w:proofErr w:type="spellStart"/>
      <w:r w:rsidRPr="00A07F29">
        <w:rPr>
          <w:rFonts w:ascii="Times New Roman" w:eastAsia="Calibri" w:hAnsi="Times New Roman" w:cs="Times New Roman"/>
          <w:sz w:val="24"/>
          <w:szCs w:val="24"/>
        </w:rPr>
        <w:t>Dubinka</w:t>
      </w:r>
      <w:proofErr w:type="spellEnd"/>
      <w:r w:rsidRPr="00A07F29">
        <w:rPr>
          <w:rFonts w:ascii="Times New Roman" w:eastAsia="Calibri" w:hAnsi="Times New Roman" w:cs="Times New Roman"/>
          <w:sz w:val="24"/>
          <w:szCs w:val="24"/>
        </w:rPr>
        <w:t xml:space="preserve">, Vidus </w:t>
      </w:r>
      <w:proofErr w:type="spellStart"/>
      <w:r w:rsidRPr="00A07F29">
        <w:rPr>
          <w:rFonts w:ascii="Times New Roman" w:eastAsia="Calibri" w:hAnsi="Times New Roman" w:cs="Times New Roman"/>
          <w:sz w:val="24"/>
          <w:szCs w:val="24"/>
        </w:rPr>
        <w:t>Dolgoje</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Šlapuks</w:t>
      </w:r>
      <w:proofErr w:type="spellEnd"/>
      <w:r w:rsidRPr="00A07F29">
        <w:rPr>
          <w:rFonts w:ascii="Times New Roman" w:eastAsia="Calibri" w:hAnsi="Times New Roman" w:cs="Times New Roman"/>
          <w:sz w:val="24"/>
          <w:szCs w:val="24"/>
        </w:rPr>
        <w:t xml:space="preserve"> un </w:t>
      </w:r>
      <w:proofErr w:type="spellStart"/>
      <w:r w:rsidRPr="00A07F29">
        <w:rPr>
          <w:rFonts w:ascii="Times New Roman" w:eastAsia="Calibri" w:hAnsi="Times New Roman" w:cs="Times New Roman"/>
          <w:sz w:val="24"/>
          <w:szCs w:val="24"/>
        </w:rPr>
        <w:t>Zīmeļs</w:t>
      </w:r>
      <w:proofErr w:type="spellEnd"/>
      <w:r w:rsidRPr="00A07F29">
        <w:rPr>
          <w:rFonts w:ascii="Times New Roman" w:eastAsia="Calibri" w:hAnsi="Times New Roman" w:cs="Times New Roman"/>
          <w:sz w:val="24"/>
          <w:szCs w:val="24"/>
        </w:rPr>
        <w:t xml:space="preserve"> ir </w:t>
      </w:r>
      <w:proofErr w:type="spellStart"/>
      <w:r w:rsidRPr="00A07F29">
        <w:rPr>
          <w:rFonts w:ascii="Times New Roman" w:eastAsia="Calibri" w:hAnsi="Times New Roman" w:cs="Times New Roman"/>
          <w:sz w:val="24"/>
          <w:szCs w:val="24"/>
        </w:rPr>
        <w:t>diseitrofi</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brūnūdens</w:t>
      </w:r>
      <w:proofErr w:type="spellEnd"/>
      <w:r w:rsidRPr="00A07F29">
        <w:rPr>
          <w:rFonts w:ascii="Times New Roman" w:eastAsia="Calibri" w:hAnsi="Times New Roman" w:cs="Times New Roman"/>
          <w:sz w:val="24"/>
          <w:szCs w:val="24"/>
        </w:rPr>
        <w:t xml:space="preserve"> ezeri (</w:t>
      </w:r>
      <w:r w:rsidR="007B54BB" w:rsidRPr="00A07F29">
        <w:rPr>
          <w:rFonts w:ascii="Times New Roman" w:eastAsia="Calibri" w:hAnsi="Times New Roman" w:cs="Times New Roman"/>
          <w:sz w:val="24"/>
          <w:szCs w:val="24"/>
        </w:rPr>
        <w:t xml:space="preserve">skat. </w:t>
      </w:r>
      <w:r w:rsidRPr="00A07F29">
        <w:rPr>
          <w:rFonts w:ascii="Times New Roman" w:eastAsia="Calibri" w:hAnsi="Times New Roman" w:cs="Times New Roman"/>
          <w:sz w:val="24"/>
          <w:szCs w:val="24"/>
        </w:rPr>
        <w:t>2.1.</w:t>
      </w:r>
      <w:r w:rsidR="007B54BB" w:rsidRPr="00A07F29">
        <w:rPr>
          <w:rFonts w:ascii="Times New Roman" w:eastAsia="Calibri" w:hAnsi="Times New Roman" w:cs="Times New Roman"/>
          <w:sz w:val="24"/>
          <w:szCs w:val="24"/>
        </w:rPr>
        <w:t> </w:t>
      </w:r>
      <w:r w:rsidRPr="00A07F29">
        <w:rPr>
          <w:rFonts w:ascii="Times New Roman" w:eastAsia="Calibri" w:hAnsi="Times New Roman" w:cs="Times New Roman"/>
          <w:sz w:val="24"/>
          <w:szCs w:val="24"/>
        </w:rPr>
        <w:t>pielikums).</w:t>
      </w:r>
    </w:p>
    <w:p w14:paraId="50D7894F" w14:textId="78773E6F" w:rsidR="00997A72" w:rsidRPr="00A07F29" w:rsidRDefault="00997A72" w:rsidP="00061CE0">
      <w:pPr>
        <w:widowControl w:val="0"/>
        <w:spacing w:after="0" w:line="240" w:lineRule="auto"/>
        <w:ind w:right="26" w:firstLine="851"/>
        <w:jc w:val="both"/>
        <w:rPr>
          <w:rFonts w:ascii="Liberation Serif" w:eastAsia="Noto Sans CJK SC" w:hAnsi="Liberation Serif" w:cs="Lohit Devanagari"/>
          <w:kern w:val="2"/>
          <w:sz w:val="24"/>
          <w:szCs w:val="24"/>
          <w:lang w:eastAsia="zh-CN" w:bidi="hi-IN"/>
        </w:rPr>
      </w:pPr>
      <w:r w:rsidRPr="00A07F29">
        <w:rPr>
          <w:rFonts w:ascii="Times New Roman" w:eastAsia="Noto Sans CJK SC" w:hAnsi="Times New Roman" w:cs="Lohit Devanagari"/>
          <w:kern w:val="2"/>
          <w:sz w:val="24"/>
          <w:szCs w:val="24"/>
          <w:lang w:eastAsia="zh-CN" w:bidi="hi-IN"/>
        </w:rPr>
        <w:t xml:space="preserve">Lielākā daļa ezeru, ko pārstāv 14 ezeri </w:t>
      </w:r>
      <w:r w:rsidR="00463A58" w:rsidRPr="00A07F29">
        <w:rPr>
          <w:rFonts w:ascii="Times New Roman" w:eastAsia="Noto Sans CJK SC" w:hAnsi="Times New Roman" w:cs="Lohit Devanagari"/>
          <w:kern w:val="2"/>
          <w:sz w:val="24"/>
          <w:szCs w:val="24"/>
          <w:lang w:eastAsia="zh-CN" w:bidi="hi-IN"/>
        </w:rPr>
        <w:t>(</w:t>
      </w:r>
      <w:proofErr w:type="spellStart"/>
      <w:r w:rsidRPr="00A07F29">
        <w:rPr>
          <w:rFonts w:ascii="Times New Roman" w:eastAsia="Noto Sans CJK SC" w:hAnsi="Times New Roman" w:cs="Lohit Devanagari"/>
          <w:kern w:val="2"/>
          <w:sz w:val="24"/>
          <w:szCs w:val="24"/>
          <w:lang w:eastAsia="zh-CN" w:bidi="hi-IN"/>
        </w:rPr>
        <w:t>Baļticas</w:t>
      </w:r>
      <w:proofErr w:type="spellEnd"/>
      <w:r w:rsidRPr="00A07F29">
        <w:rPr>
          <w:rFonts w:ascii="Times New Roman" w:eastAsia="Noto Sans CJK SC" w:hAnsi="Times New Roman" w:cs="Lohit Devanagari"/>
          <w:kern w:val="2"/>
          <w:sz w:val="24"/>
          <w:szCs w:val="24"/>
          <w:lang w:eastAsia="zh-CN" w:bidi="hi-IN"/>
        </w:rPr>
        <w:t xml:space="preserve">, Dauguļu, Dziļais, </w:t>
      </w:r>
      <w:proofErr w:type="spellStart"/>
      <w:r w:rsidRPr="00A07F29">
        <w:rPr>
          <w:rFonts w:ascii="Times New Roman" w:eastAsia="Noto Sans CJK SC" w:hAnsi="Times New Roman" w:cs="Lohit Devanagari"/>
          <w:kern w:val="2"/>
          <w:sz w:val="24"/>
          <w:szCs w:val="24"/>
          <w:lang w:eastAsia="zh-CN" w:bidi="hi-IN"/>
        </w:rPr>
        <w:t>Jabloņkas</w:t>
      </w:r>
      <w:proofErr w:type="spellEnd"/>
      <w:r w:rsidRPr="00A07F29">
        <w:rPr>
          <w:rFonts w:ascii="Times New Roman" w:eastAsia="Noto Sans CJK SC" w:hAnsi="Times New Roman" w:cs="Lohit Devanagari"/>
          <w:kern w:val="2"/>
          <w:sz w:val="24"/>
          <w:szCs w:val="24"/>
          <w:lang w:eastAsia="zh-CN" w:bidi="hi-IN"/>
        </w:rPr>
        <w:t xml:space="preserve">, Kaudzīšu, </w:t>
      </w:r>
      <w:proofErr w:type="spellStart"/>
      <w:r w:rsidRPr="00A07F29">
        <w:rPr>
          <w:rFonts w:ascii="Times New Roman" w:eastAsia="Noto Sans CJK SC" w:hAnsi="Times New Roman" w:cs="Lohit Devanagari"/>
          <w:kern w:val="2"/>
          <w:sz w:val="24"/>
          <w:szCs w:val="24"/>
          <w:lang w:eastAsia="zh-CN" w:bidi="hi-IN"/>
        </w:rPr>
        <w:t>Krivoje</w:t>
      </w:r>
      <w:proofErr w:type="spellEnd"/>
      <w:r w:rsidRPr="00A07F29">
        <w:rPr>
          <w:rFonts w:ascii="Times New Roman" w:eastAsia="Noto Sans CJK SC" w:hAnsi="Times New Roman" w:cs="Lohit Devanagari"/>
          <w:kern w:val="2"/>
          <w:sz w:val="24"/>
          <w:szCs w:val="24"/>
          <w:lang w:eastAsia="zh-CN" w:bidi="hi-IN"/>
        </w:rPr>
        <w:t xml:space="preserve">, </w:t>
      </w:r>
      <w:proofErr w:type="spellStart"/>
      <w:r w:rsidRPr="00A07F29">
        <w:rPr>
          <w:rFonts w:ascii="Times New Roman" w:eastAsia="Noto Sans CJK SC" w:hAnsi="Times New Roman" w:cs="Lohit Devanagari"/>
          <w:kern w:val="2"/>
          <w:sz w:val="24"/>
          <w:szCs w:val="24"/>
          <w:lang w:eastAsia="zh-CN" w:bidi="hi-IN"/>
        </w:rPr>
        <w:t>Krugloje</w:t>
      </w:r>
      <w:proofErr w:type="spellEnd"/>
      <w:r w:rsidRPr="00A07F29">
        <w:rPr>
          <w:rFonts w:ascii="Times New Roman" w:eastAsia="Noto Sans CJK SC" w:hAnsi="Times New Roman" w:cs="Lohit Devanagari"/>
          <w:kern w:val="2"/>
          <w:sz w:val="24"/>
          <w:szCs w:val="24"/>
          <w:lang w:eastAsia="zh-CN" w:bidi="hi-IN"/>
        </w:rPr>
        <w:t xml:space="preserve">, </w:t>
      </w:r>
      <w:proofErr w:type="spellStart"/>
      <w:r w:rsidRPr="00A07F29">
        <w:rPr>
          <w:rFonts w:ascii="Times New Roman" w:eastAsia="Noto Sans CJK SC" w:hAnsi="Times New Roman" w:cs="Lohit Devanagari"/>
          <w:kern w:val="2"/>
          <w:sz w:val="24"/>
          <w:szCs w:val="24"/>
          <w:lang w:eastAsia="zh-CN" w:bidi="hi-IN"/>
        </w:rPr>
        <w:t>Lukštānu</w:t>
      </w:r>
      <w:proofErr w:type="spellEnd"/>
      <w:r w:rsidRPr="00A07F29">
        <w:rPr>
          <w:rFonts w:ascii="Times New Roman" w:eastAsia="Noto Sans CJK SC" w:hAnsi="Times New Roman" w:cs="Lohit Devanagari"/>
          <w:kern w:val="2"/>
          <w:sz w:val="24"/>
          <w:szCs w:val="24"/>
          <w:lang w:eastAsia="zh-CN" w:bidi="hi-IN"/>
        </w:rPr>
        <w:t xml:space="preserve">, Mazais </w:t>
      </w:r>
      <w:proofErr w:type="spellStart"/>
      <w:r w:rsidRPr="00A07F29">
        <w:rPr>
          <w:rFonts w:ascii="Times New Roman" w:eastAsia="Noto Sans CJK SC" w:hAnsi="Times New Roman" w:cs="Lohit Devanagari"/>
          <w:kern w:val="2"/>
          <w:sz w:val="24"/>
          <w:szCs w:val="24"/>
          <w:lang w:eastAsia="zh-CN" w:bidi="hi-IN"/>
        </w:rPr>
        <w:t>Borvinkas</w:t>
      </w:r>
      <w:proofErr w:type="spellEnd"/>
      <w:r w:rsidRPr="00A07F29">
        <w:rPr>
          <w:rFonts w:ascii="Times New Roman" w:eastAsia="Noto Sans CJK SC" w:hAnsi="Times New Roman" w:cs="Lohit Devanagari"/>
          <w:kern w:val="2"/>
          <w:sz w:val="24"/>
          <w:szCs w:val="24"/>
          <w:lang w:eastAsia="zh-CN" w:bidi="hi-IN"/>
        </w:rPr>
        <w:t xml:space="preserve">, </w:t>
      </w:r>
      <w:proofErr w:type="spellStart"/>
      <w:r w:rsidRPr="00A07F29">
        <w:rPr>
          <w:rFonts w:ascii="Times New Roman" w:eastAsia="Noto Sans CJK SC" w:hAnsi="Times New Roman" w:cs="Lohit Devanagari"/>
          <w:kern w:val="2"/>
          <w:sz w:val="24"/>
          <w:szCs w:val="24"/>
          <w:lang w:eastAsia="zh-CN" w:bidi="hi-IN"/>
        </w:rPr>
        <w:t>Skumbiņu</w:t>
      </w:r>
      <w:proofErr w:type="spellEnd"/>
      <w:r w:rsidRPr="00A07F29">
        <w:rPr>
          <w:rFonts w:ascii="Times New Roman" w:eastAsia="Noto Sans CJK SC" w:hAnsi="Times New Roman" w:cs="Lohit Devanagari"/>
          <w:kern w:val="2"/>
          <w:sz w:val="24"/>
          <w:szCs w:val="24"/>
          <w:lang w:eastAsia="zh-CN" w:bidi="hi-IN"/>
        </w:rPr>
        <w:t xml:space="preserve">, </w:t>
      </w:r>
      <w:proofErr w:type="spellStart"/>
      <w:r w:rsidRPr="00A07F29">
        <w:rPr>
          <w:rFonts w:ascii="Times New Roman" w:eastAsia="Noto Sans CJK SC" w:hAnsi="Times New Roman" w:cs="Lohit Devanagari"/>
          <w:kern w:val="2"/>
          <w:sz w:val="24"/>
          <w:szCs w:val="24"/>
          <w:lang w:eastAsia="zh-CN" w:bidi="hi-IN"/>
        </w:rPr>
        <w:t>Šilovkas</w:t>
      </w:r>
      <w:proofErr w:type="spellEnd"/>
      <w:r w:rsidRPr="00A07F29">
        <w:rPr>
          <w:rFonts w:ascii="Times New Roman" w:eastAsia="Noto Sans CJK SC" w:hAnsi="Times New Roman" w:cs="Lohit Devanagari"/>
          <w:kern w:val="2"/>
          <w:sz w:val="24"/>
          <w:szCs w:val="24"/>
          <w:lang w:eastAsia="zh-CN" w:bidi="hi-IN"/>
        </w:rPr>
        <w:t xml:space="preserve">, </w:t>
      </w:r>
      <w:proofErr w:type="spellStart"/>
      <w:r w:rsidRPr="00A07F29">
        <w:rPr>
          <w:rFonts w:ascii="Times New Roman" w:eastAsia="Noto Sans CJK SC" w:hAnsi="Times New Roman" w:cs="Lohit Devanagari"/>
          <w:kern w:val="2"/>
          <w:sz w:val="24"/>
          <w:szCs w:val="24"/>
          <w:lang w:eastAsia="zh-CN" w:bidi="hi-IN"/>
        </w:rPr>
        <w:t>Vaičuku</w:t>
      </w:r>
      <w:proofErr w:type="spellEnd"/>
      <w:r w:rsidRPr="00A07F29">
        <w:rPr>
          <w:rFonts w:ascii="Times New Roman" w:eastAsia="Noto Sans CJK SC" w:hAnsi="Times New Roman" w:cs="Lohit Devanagari"/>
          <w:kern w:val="2"/>
          <w:sz w:val="24"/>
          <w:szCs w:val="24"/>
          <w:lang w:eastAsia="zh-CN" w:bidi="hi-IN"/>
        </w:rPr>
        <w:t xml:space="preserve"> ezers, kā arī </w:t>
      </w:r>
      <w:proofErr w:type="spellStart"/>
      <w:r w:rsidRPr="00A07F29">
        <w:rPr>
          <w:rFonts w:ascii="Times New Roman" w:eastAsia="Noto Sans CJK SC" w:hAnsi="Times New Roman" w:cs="Lohit Devanagari"/>
          <w:kern w:val="2"/>
          <w:sz w:val="24"/>
          <w:szCs w:val="24"/>
          <w:lang w:eastAsia="zh-CN" w:bidi="hi-IN"/>
        </w:rPr>
        <w:t>Kaloda</w:t>
      </w:r>
      <w:proofErr w:type="spellEnd"/>
      <w:r w:rsidRPr="00A07F29">
        <w:rPr>
          <w:rFonts w:ascii="Times New Roman" w:eastAsia="Noto Sans CJK SC" w:hAnsi="Times New Roman" w:cs="Lohit Devanagari"/>
          <w:kern w:val="2"/>
          <w:sz w:val="24"/>
          <w:szCs w:val="24"/>
          <w:lang w:eastAsia="zh-CN" w:bidi="hi-IN"/>
        </w:rPr>
        <w:t xml:space="preserve"> un </w:t>
      </w:r>
      <w:proofErr w:type="spellStart"/>
      <w:r w:rsidRPr="00A07F29">
        <w:rPr>
          <w:rFonts w:ascii="Times New Roman" w:eastAsia="Noto Sans CJK SC" w:hAnsi="Times New Roman" w:cs="Lohit Devanagari"/>
          <w:kern w:val="2"/>
          <w:sz w:val="24"/>
          <w:szCs w:val="24"/>
          <w:lang w:eastAsia="zh-CN" w:bidi="hi-IN"/>
        </w:rPr>
        <w:t>Riņģis</w:t>
      </w:r>
      <w:proofErr w:type="spellEnd"/>
      <w:r w:rsidR="00463A58" w:rsidRPr="00A07F29">
        <w:rPr>
          <w:rFonts w:ascii="Times New Roman" w:eastAsia="Noto Sans CJK SC" w:hAnsi="Times New Roman" w:cs="Lohit Devanagari"/>
          <w:kern w:val="2"/>
          <w:sz w:val="24"/>
          <w:szCs w:val="24"/>
          <w:lang w:eastAsia="zh-CN" w:bidi="hi-IN"/>
        </w:rPr>
        <w:t>),</w:t>
      </w:r>
      <w:r w:rsidRPr="00A07F29">
        <w:rPr>
          <w:rFonts w:ascii="Times New Roman" w:eastAsia="Noto Sans CJK SC" w:hAnsi="Times New Roman" w:cs="Lohit Devanagari"/>
          <w:kern w:val="2"/>
          <w:sz w:val="24"/>
          <w:szCs w:val="24"/>
          <w:lang w:eastAsia="zh-CN" w:bidi="hi-IN"/>
        </w:rPr>
        <w:t xml:space="preserve"> ir </w:t>
      </w:r>
      <w:r w:rsidRPr="00A07F29">
        <w:rPr>
          <w:rFonts w:ascii="Times New Roman" w:eastAsia="Noto Sans CJK SC" w:hAnsi="Times New Roman" w:cs="Lohit Devanagari"/>
          <w:kern w:val="2"/>
          <w:sz w:val="24"/>
          <w:szCs w:val="24"/>
          <w:u w:val="single"/>
          <w:lang w:eastAsia="zh-CN" w:bidi="hi-IN"/>
        </w:rPr>
        <w:t xml:space="preserve">sekli </w:t>
      </w:r>
      <w:proofErr w:type="spellStart"/>
      <w:r w:rsidRPr="00A07F29">
        <w:rPr>
          <w:rFonts w:ascii="Times New Roman" w:eastAsia="Noto Sans CJK SC" w:hAnsi="Times New Roman" w:cs="Lohit Devanagari"/>
          <w:kern w:val="2"/>
          <w:sz w:val="24"/>
          <w:szCs w:val="24"/>
          <w:u w:val="single"/>
          <w:lang w:eastAsia="zh-CN" w:bidi="hi-IN"/>
        </w:rPr>
        <w:t>dzidrūdens</w:t>
      </w:r>
      <w:proofErr w:type="spellEnd"/>
      <w:r w:rsidRPr="00A07F29">
        <w:rPr>
          <w:rFonts w:ascii="Times New Roman" w:eastAsia="Noto Sans CJK SC" w:hAnsi="Times New Roman" w:cs="Lohit Devanagari"/>
          <w:kern w:val="2"/>
          <w:sz w:val="24"/>
          <w:szCs w:val="24"/>
          <w:u w:val="single"/>
          <w:lang w:eastAsia="zh-CN" w:bidi="hi-IN"/>
        </w:rPr>
        <w:t xml:space="preserve"> ezeri</w:t>
      </w:r>
      <w:r w:rsidR="00463A58" w:rsidRPr="00A07F29">
        <w:rPr>
          <w:rFonts w:ascii="Times New Roman" w:eastAsia="Noto Sans CJK SC" w:hAnsi="Times New Roman" w:cs="Lohit Devanagari"/>
          <w:kern w:val="2"/>
          <w:sz w:val="24"/>
          <w:szCs w:val="24"/>
          <w:u w:val="single"/>
          <w:lang w:eastAsia="zh-CN" w:bidi="hi-IN"/>
        </w:rPr>
        <w:t xml:space="preserve"> </w:t>
      </w:r>
      <w:r w:rsidR="00463A58" w:rsidRPr="00A07F29">
        <w:rPr>
          <w:rFonts w:ascii="Times New Roman" w:eastAsia="Noto Sans CJK SC" w:hAnsi="Times New Roman" w:cs="Lohit Devanagari"/>
          <w:kern w:val="2"/>
          <w:sz w:val="24"/>
          <w:szCs w:val="24"/>
          <w:lang w:eastAsia="zh-CN" w:bidi="hi-IN"/>
        </w:rPr>
        <w:t>(vidējais dziļums 2</w:t>
      </w:r>
      <w:r w:rsidR="00686072" w:rsidRPr="00A07F29">
        <w:rPr>
          <w:rFonts w:ascii="Times New Roman" w:eastAsia="Noto Sans CJK SC" w:hAnsi="Times New Roman" w:cs="Lohit Devanagari"/>
          <w:kern w:val="2"/>
          <w:sz w:val="24"/>
          <w:szCs w:val="24"/>
          <w:lang w:eastAsia="zh-CN" w:bidi="hi-IN"/>
        </w:rPr>
        <w:t> – </w:t>
      </w:r>
      <w:r w:rsidR="00463A58" w:rsidRPr="00A07F29">
        <w:rPr>
          <w:rFonts w:ascii="Times New Roman" w:eastAsia="Noto Sans CJK SC" w:hAnsi="Times New Roman" w:cs="Lohit Devanagari"/>
          <w:kern w:val="2"/>
          <w:sz w:val="24"/>
          <w:szCs w:val="24"/>
          <w:lang w:eastAsia="zh-CN" w:bidi="hi-IN"/>
        </w:rPr>
        <w:t>9</w:t>
      </w:r>
      <w:r w:rsidR="00686072" w:rsidRPr="00A07F29">
        <w:rPr>
          <w:rFonts w:ascii="Times New Roman" w:eastAsia="Noto Sans CJK SC" w:hAnsi="Times New Roman" w:cs="Lohit Devanagari"/>
          <w:kern w:val="2"/>
          <w:sz w:val="24"/>
          <w:szCs w:val="24"/>
          <w:lang w:eastAsia="zh-CN" w:bidi="hi-IN"/>
        </w:rPr>
        <w:t> </w:t>
      </w:r>
      <w:r w:rsidR="00463A58" w:rsidRPr="00A07F29">
        <w:rPr>
          <w:rFonts w:ascii="Times New Roman" w:eastAsia="Noto Sans CJK SC" w:hAnsi="Times New Roman" w:cs="Lohit Devanagari"/>
          <w:kern w:val="2"/>
          <w:sz w:val="24"/>
          <w:szCs w:val="24"/>
          <w:lang w:eastAsia="zh-CN" w:bidi="hi-IN"/>
        </w:rPr>
        <w:t>m)</w:t>
      </w:r>
      <w:r w:rsidRPr="00A07F29">
        <w:rPr>
          <w:rFonts w:ascii="Times New Roman" w:eastAsia="Noto Sans CJK SC" w:hAnsi="Times New Roman" w:cs="Lohit Devanagari"/>
          <w:kern w:val="2"/>
          <w:sz w:val="24"/>
          <w:szCs w:val="24"/>
          <w:lang w:eastAsia="zh-CN" w:bidi="hi-IN"/>
        </w:rPr>
        <w:t xml:space="preserve">. Otrs izplatītākais ezeru tips, ko pārstāv </w:t>
      </w:r>
      <w:r w:rsidR="00686072" w:rsidRPr="00A07F29">
        <w:rPr>
          <w:rFonts w:ascii="Times New Roman" w:eastAsia="Noto Sans CJK SC" w:hAnsi="Times New Roman" w:cs="Lohit Devanagari"/>
          <w:kern w:val="2"/>
          <w:sz w:val="24"/>
          <w:szCs w:val="24"/>
          <w:lang w:eastAsia="zh-CN" w:bidi="hi-IN"/>
        </w:rPr>
        <w:t>deviņi</w:t>
      </w:r>
      <w:r w:rsidRPr="00A07F29">
        <w:rPr>
          <w:rFonts w:ascii="Times New Roman" w:eastAsia="Noto Sans CJK SC" w:hAnsi="Times New Roman" w:cs="Lohit Devanagari"/>
          <w:kern w:val="2"/>
          <w:sz w:val="24"/>
          <w:szCs w:val="24"/>
          <w:lang w:eastAsia="zh-CN" w:bidi="hi-IN"/>
        </w:rPr>
        <w:t xml:space="preserve"> ezeri </w:t>
      </w:r>
      <w:r w:rsidR="00061CE0" w:rsidRPr="00A07F29">
        <w:rPr>
          <w:rFonts w:ascii="Times New Roman" w:eastAsia="Noto Sans CJK SC" w:hAnsi="Times New Roman" w:cs="Lohit Devanagari"/>
          <w:kern w:val="2"/>
          <w:sz w:val="24"/>
          <w:szCs w:val="24"/>
          <w:lang w:eastAsia="zh-CN" w:bidi="hi-IN"/>
        </w:rPr>
        <w:t>(</w:t>
      </w:r>
      <w:r w:rsidRPr="00A07F29">
        <w:rPr>
          <w:rFonts w:ascii="Times New Roman" w:eastAsia="Noto Sans CJK SC" w:hAnsi="Times New Roman" w:cs="Lohit Devanagari"/>
          <w:kern w:val="2"/>
          <w:sz w:val="24"/>
          <w:szCs w:val="24"/>
          <w:lang w:eastAsia="zh-CN" w:bidi="hi-IN"/>
        </w:rPr>
        <w:t xml:space="preserve">Dienvidu </w:t>
      </w:r>
      <w:proofErr w:type="spellStart"/>
      <w:r w:rsidRPr="00A07F29">
        <w:rPr>
          <w:rFonts w:ascii="Times New Roman" w:eastAsia="Noto Sans CJK SC" w:hAnsi="Times New Roman" w:cs="Lohit Devanagari"/>
          <w:kern w:val="2"/>
          <w:sz w:val="24"/>
          <w:szCs w:val="24"/>
          <w:lang w:eastAsia="zh-CN" w:bidi="hi-IN"/>
        </w:rPr>
        <w:t>Dolgoje</w:t>
      </w:r>
      <w:proofErr w:type="spellEnd"/>
      <w:r w:rsidRPr="00A07F29">
        <w:rPr>
          <w:rFonts w:ascii="Times New Roman" w:eastAsia="Noto Sans CJK SC" w:hAnsi="Times New Roman" w:cs="Lohit Devanagari"/>
          <w:kern w:val="2"/>
          <w:sz w:val="24"/>
          <w:szCs w:val="24"/>
          <w:lang w:eastAsia="zh-CN" w:bidi="hi-IN"/>
        </w:rPr>
        <w:t xml:space="preserve">, </w:t>
      </w:r>
      <w:proofErr w:type="spellStart"/>
      <w:r w:rsidRPr="00A07F29">
        <w:rPr>
          <w:rFonts w:ascii="Times New Roman" w:eastAsia="Noto Sans CJK SC" w:hAnsi="Times New Roman" w:cs="Lohit Devanagari"/>
          <w:kern w:val="2"/>
          <w:sz w:val="24"/>
          <w:szCs w:val="24"/>
          <w:lang w:eastAsia="zh-CN" w:bidi="hi-IN"/>
        </w:rPr>
        <w:t>Dolgoje</w:t>
      </w:r>
      <w:proofErr w:type="spellEnd"/>
      <w:r w:rsidRPr="00A07F29">
        <w:rPr>
          <w:rFonts w:ascii="Times New Roman" w:eastAsia="Noto Sans CJK SC" w:hAnsi="Times New Roman" w:cs="Lohit Devanagari"/>
          <w:kern w:val="2"/>
          <w:sz w:val="24"/>
          <w:szCs w:val="24"/>
          <w:lang w:eastAsia="zh-CN" w:bidi="hi-IN"/>
        </w:rPr>
        <w:t xml:space="preserve">, Lielais </w:t>
      </w:r>
      <w:proofErr w:type="spellStart"/>
      <w:r w:rsidRPr="00A07F29">
        <w:rPr>
          <w:rFonts w:ascii="Times New Roman" w:eastAsia="Noto Sans CJK SC" w:hAnsi="Times New Roman" w:cs="Lohit Devanagari"/>
          <w:kern w:val="2"/>
          <w:sz w:val="24"/>
          <w:szCs w:val="24"/>
          <w:lang w:eastAsia="zh-CN" w:bidi="hi-IN"/>
        </w:rPr>
        <w:t>Borvinkas</w:t>
      </w:r>
      <w:proofErr w:type="spellEnd"/>
      <w:r w:rsidRPr="00A07F29">
        <w:rPr>
          <w:rFonts w:ascii="Times New Roman" w:eastAsia="Noto Sans CJK SC" w:hAnsi="Times New Roman" w:cs="Lohit Devanagari"/>
          <w:kern w:val="2"/>
          <w:sz w:val="24"/>
          <w:szCs w:val="24"/>
          <w:lang w:eastAsia="zh-CN" w:bidi="hi-IN"/>
        </w:rPr>
        <w:t xml:space="preserve">, Maču, </w:t>
      </w:r>
      <w:proofErr w:type="spellStart"/>
      <w:r w:rsidRPr="00A07F29">
        <w:rPr>
          <w:rFonts w:ascii="Times New Roman" w:eastAsia="Noto Sans CJK SC" w:hAnsi="Times New Roman" w:cs="Lohit Devanagari"/>
          <w:kern w:val="2"/>
          <w:sz w:val="24"/>
          <w:szCs w:val="24"/>
          <w:lang w:eastAsia="zh-CN" w:bidi="hi-IN"/>
        </w:rPr>
        <w:t>Mjaļina</w:t>
      </w:r>
      <w:proofErr w:type="spellEnd"/>
      <w:r w:rsidRPr="00A07F29">
        <w:rPr>
          <w:rFonts w:ascii="Times New Roman" w:eastAsia="Noto Sans CJK SC" w:hAnsi="Times New Roman" w:cs="Lohit Devanagari"/>
          <w:kern w:val="2"/>
          <w:sz w:val="24"/>
          <w:szCs w:val="24"/>
          <w:lang w:eastAsia="zh-CN" w:bidi="hi-IN"/>
        </w:rPr>
        <w:t xml:space="preserve">, </w:t>
      </w:r>
      <w:proofErr w:type="spellStart"/>
      <w:r w:rsidRPr="00A07F29">
        <w:rPr>
          <w:rFonts w:ascii="Times New Roman" w:eastAsia="Noto Sans CJK SC" w:hAnsi="Times New Roman" w:cs="Lohit Devanagari"/>
          <w:kern w:val="2"/>
          <w:sz w:val="24"/>
          <w:szCs w:val="24"/>
          <w:lang w:eastAsia="zh-CN" w:bidi="hi-IN"/>
        </w:rPr>
        <w:t>Saučenku</w:t>
      </w:r>
      <w:proofErr w:type="spellEnd"/>
      <w:r w:rsidRPr="00A07F29">
        <w:rPr>
          <w:rFonts w:ascii="Times New Roman" w:eastAsia="Noto Sans CJK SC" w:hAnsi="Times New Roman" w:cs="Lohit Devanagari"/>
          <w:kern w:val="2"/>
          <w:sz w:val="24"/>
          <w:szCs w:val="24"/>
          <w:lang w:eastAsia="zh-CN" w:bidi="hi-IN"/>
        </w:rPr>
        <w:t xml:space="preserve">, </w:t>
      </w:r>
      <w:proofErr w:type="spellStart"/>
      <w:r w:rsidRPr="00A07F29">
        <w:rPr>
          <w:rFonts w:ascii="Times New Roman" w:eastAsia="Noto Sans CJK SC" w:hAnsi="Times New Roman" w:cs="Lohit Devanagari"/>
          <w:kern w:val="2"/>
          <w:sz w:val="24"/>
          <w:szCs w:val="24"/>
          <w:lang w:eastAsia="zh-CN" w:bidi="hi-IN"/>
        </w:rPr>
        <w:t>Škļarovščinas</w:t>
      </w:r>
      <w:proofErr w:type="spellEnd"/>
      <w:r w:rsidRPr="00A07F29">
        <w:rPr>
          <w:rFonts w:ascii="Times New Roman" w:eastAsia="Noto Sans CJK SC" w:hAnsi="Times New Roman" w:cs="Lohit Devanagari"/>
          <w:kern w:val="2"/>
          <w:sz w:val="24"/>
          <w:szCs w:val="24"/>
          <w:lang w:eastAsia="zh-CN" w:bidi="hi-IN"/>
        </w:rPr>
        <w:t xml:space="preserve"> un </w:t>
      </w:r>
      <w:proofErr w:type="spellStart"/>
      <w:r w:rsidRPr="00A07F29">
        <w:rPr>
          <w:rFonts w:ascii="Times New Roman" w:eastAsia="Noto Sans CJK SC" w:hAnsi="Times New Roman" w:cs="Lohit Devanagari"/>
          <w:kern w:val="2"/>
          <w:sz w:val="24"/>
          <w:szCs w:val="24"/>
          <w:lang w:eastAsia="zh-CN" w:bidi="hi-IN"/>
        </w:rPr>
        <w:t>Zimašu</w:t>
      </w:r>
      <w:proofErr w:type="spellEnd"/>
      <w:r w:rsidRPr="00A07F29">
        <w:rPr>
          <w:rFonts w:ascii="Times New Roman" w:eastAsia="Noto Sans CJK SC" w:hAnsi="Times New Roman" w:cs="Lohit Devanagari"/>
          <w:kern w:val="2"/>
          <w:sz w:val="24"/>
          <w:szCs w:val="24"/>
          <w:lang w:eastAsia="zh-CN" w:bidi="hi-IN"/>
        </w:rPr>
        <w:t xml:space="preserve"> ezers, kā arī </w:t>
      </w:r>
      <w:proofErr w:type="spellStart"/>
      <w:r w:rsidRPr="00A07F29">
        <w:rPr>
          <w:rFonts w:ascii="Times New Roman" w:eastAsia="Noto Sans CJK SC" w:hAnsi="Times New Roman" w:cs="Lohit Devanagari"/>
          <w:kern w:val="2"/>
          <w:sz w:val="24"/>
          <w:szCs w:val="24"/>
          <w:lang w:eastAsia="zh-CN" w:bidi="hi-IN"/>
        </w:rPr>
        <w:t>Dubinka</w:t>
      </w:r>
      <w:proofErr w:type="spellEnd"/>
      <w:r w:rsidR="00061CE0" w:rsidRPr="00A07F29">
        <w:rPr>
          <w:rFonts w:ascii="Times New Roman" w:eastAsia="Noto Sans CJK SC" w:hAnsi="Times New Roman" w:cs="Lohit Devanagari"/>
          <w:kern w:val="2"/>
          <w:sz w:val="24"/>
          <w:szCs w:val="24"/>
          <w:lang w:eastAsia="zh-CN" w:bidi="hi-IN"/>
        </w:rPr>
        <w:t>)</w:t>
      </w:r>
      <w:r w:rsidRPr="00A07F29">
        <w:rPr>
          <w:rFonts w:ascii="Times New Roman" w:eastAsia="Noto Sans CJK SC" w:hAnsi="Times New Roman" w:cs="Lohit Devanagari"/>
          <w:kern w:val="2"/>
          <w:sz w:val="24"/>
          <w:szCs w:val="24"/>
          <w:lang w:eastAsia="zh-CN" w:bidi="hi-IN"/>
        </w:rPr>
        <w:t xml:space="preserve">, ir </w:t>
      </w:r>
      <w:r w:rsidRPr="00A07F29">
        <w:rPr>
          <w:rFonts w:ascii="Times New Roman" w:eastAsia="Noto Sans CJK SC" w:hAnsi="Times New Roman" w:cs="Lohit Devanagari"/>
          <w:kern w:val="2"/>
          <w:sz w:val="24"/>
          <w:szCs w:val="24"/>
          <w:u w:val="single"/>
          <w:lang w:eastAsia="zh-CN" w:bidi="hi-IN"/>
        </w:rPr>
        <w:t xml:space="preserve">sekli </w:t>
      </w:r>
      <w:proofErr w:type="spellStart"/>
      <w:r w:rsidR="00061CE0" w:rsidRPr="00A07F29">
        <w:rPr>
          <w:rFonts w:ascii="Times New Roman" w:eastAsia="Noto Sans CJK SC" w:hAnsi="Times New Roman" w:cs="Lohit Devanagari"/>
          <w:kern w:val="2"/>
          <w:sz w:val="24"/>
          <w:szCs w:val="24"/>
          <w:u w:val="single"/>
          <w:lang w:eastAsia="zh-CN" w:bidi="hi-IN"/>
        </w:rPr>
        <w:t>brūnūdens</w:t>
      </w:r>
      <w:proofErr w:type="spellEnd"/>
      <w:r w:rsidR="00061CE0" w:rsidRPr="00A07F29">
        <w:rPr>
          <w:rFonts w:ascii="Times New Roman" w:eastAsia="Noto Sans CJK SC" w:hAnsi="Times New Roman" w:cs="Lohit Devanagari"/>
          <w:kern w:val="2"/>
          <w:sz w:val="24"/>
          <w:szCs w:val="24"/>
          <w:u w:val="single"/>
          <w:lang w:eastAsia="zh-CN" w:bidi="hi-IN"/>
        </w:rPr>
        <w:t xml:space="preserve"> ezeri</w:t>
      </w:r>
      <w:r w:rsidR="00061CE0" w:rsidRPr="00A07F29">
        <w:rPr>
          <w:rFonts w:ascii="Times New Roman" w:eastAsia="Noto Sans CJK SC" w:hAnsi="Times New Roman" w:cs="Lohit Devanagari"/>
          <w:kern w:val="2"/>
          <w:sz w:val="24"/>
          <w:szCs w:val="24"/>
          <w:lang w:eastAsia="zh-CN" w:bidi="hi-IN"/>
        </w:rPr>
        <w:t xml:space="preserve"> </w:t>
      </w:r>
      <w:r w:rsidRPr="00A07F29">
        <w:rPr>
          <w:rFonts w:ascii="Times New Roman" w:eastAsia="Noto Sans CJK SC" w:hAnsi="Times New Roman" w:cs="Lohit Devanagari"/>
          <w:kern w:val="2"/>
          <w:sz w:val="24"/>
          <w:szCs w:val="24"/>
          <w:lang w:eastAsia="zh-CN" w:bidi="hi-IN"/>
        </w:rPr>
        <w:t xml:space="preserve">(vidējais </w:t>
      </w:r>
      <w:proofErr w:type="spellStart"/>
      <w:r w:rsidRPr="00A07F29">
        <w:rPr>
          <w:rFonts w:ascii="Times New Roman" w:eastAsia="Noto Sans CJK SC" w:hAnsi="Times New Roman" w:cs="Lohit Devanagari"/>
          <w:kern w:val="2"/>
          <w:sz w:val="24"/>
          <w:szCs w:val="24"/>
          <w:lang w:eastAsia="zh-CN" w:bidi="hi-IN"/>
        </w:rPr>
        <w:t>dzilums</w:t>
      </w:r>
      <w:proofErr w:type="spellEnd"/>
      <w:r w:rsidRPr="00A07F29">
        <w:rPr>
          <w:rFonts w:ascii="Times New Roman" w:eastAsia="Noto Sans CJK SC" w:hAnsi="Times New Roman" w:cs="Lohit Devanagari"/>
          <w:kern w:val="2"/>
          <w:sz w:val="24"/>
          <w:szCs w:val="24"/>
          <w:lang w:eastAsia="zh-CN" w:bidi="hi-IN"/>
        </w:rPr>
        <w:t xml:space="preserve"> 2</w:t>
      </w:r>
      <w:r w:rsidR="00D613CC" w:rsidRPr="00A07F29">
        <w:rPr>
          <w:rFonts w:ascii="Times New Roman" w:eastAsia="Noto Sans CJK SC" w:hAnsi="Times New Roman" w:cs="Lohit Devanagari"/>
          <w:kern w:val="2"/>
          <w:sz w:val="24"/>
          <w:szCs w:val="24"/>
          <w:lang w:eastAsia="zh-CN" w:bidi="hi-IN"/>
        </w:rPr>
        <w:t> – </w:t>
      </w:r>
      <w:r w:rsidRPr="00A07F29">
        <w:rPr>
          <w:rFonts w:ascii="Times New Roman" w:eastAsia="Noto Sans CJK SC" w:hAnsi="Times New Roman" w:cs="Lohit Devanagari"/>
          <w:kern w:val="2"/>
          <w:sz w:val="24"/>
          <w:szCs w:val="24"/>
          <w:lang w:eastAsia="zh-CN" w:bidi="hi-IN"/>
        </w:rPr>
        <w:t>9</w:t>
      </w:r>
      <w:r w:rsidR="00D613CC" w:rsidRPr="00A07F29">
        <w:rPr>
          <w:rFonts w:ascii="Times New Roman" w:eastAsia="Noto Sans CJK SC" w:hAnsi="Times New Roman" w:cs="Lohit Devanagari"/>
          <w:kern w:val="2"/>
          <w:sz w:val="24"/>
          <w:szCs w:val="24"/>
          <w:lang w:eastAsia="zh-CN" w:bidi="hi-IN"/>
        </w:rPr>
        <w:t> </w:t>
      </w:r>
      <w:r w:rsidRPr="00A07F29">
        <w:rPr>
          <w:rFonts w:ascii="Times New Roman" w:eastAsia="Noto Sans CJK SC" w:hAnsi="Times New Roman" w:cs="Lohit Devanagari"/>
          <w:kern w:val="2"/>
          <w:sz w:val="24"/>
          <w:szCs w:val="24"/>
          <w:lang w:eastAsia="zh-CN" w:bidi="hi-IN"/>
        </w:rPr>
        <w:t xml:space="preserve">m). Pieci ezeri – </w:t>
      </w:r>
      <w:proofErr w:type="spellStart"/>
      <w:r w:rsidRPr="00A07F29">
        <w:rPr>
          <w:rFonts w:ascii="Times New Roman" w:eastAsia="Noto Sans CJK SC" w:hAnsi="Times New Roman" w:cs="Lohit Devanagari"/>
          <w:kern w:val="2"/>
          <w:sz w:val="24"/>
          <w:szCs w:val="24"/>
          <w:lang w:eastAsia="zh-CN" w:bidi="hi-IN"/>
        </w:rPr>
        <w:t>Gluhoje</w:t>
      </w:r>
      <w:proofErr w:type="spellEnd"/>
      <w:r w:rsidRPr="00A07F29">
        <w:rPr>
          <w:rFonts w:ascii="Times New Roman" w:eastAsia="Noto Sans CJK SC" w:hAnsi="Times New Roman" w:cs="Lohit Devanagari"/>
          <w:kern w:val="2"/>
          <w:sz w:val="24"/>
          <w:szCs w:val="24"/>
          <w:lang w:eastAsia="zh-CN" w:bidi="hi-IN"/>
        </w:rPr>
        <w:t xml:space="preserve">, Vidus </w:t>
      </w:r>
      <w:proofErr w:type="spellStart"/>
      <w:r w:rsidRPr="00A07F29">
        <w:rPr>
          <w:rFonts w:ascii="Times New Roman" w:eastAsia="Noto Sans CJK SC" w:hAnsi="Times New Roman" w:cs="Lohit Devanagari"/>
          <w:kern w:val="2"/>
          <w:sz w:val="24"/>
          <w:szCs w:val="24"/>
          <w:lang w:eastAsia="zh-CN" w:bidi="hi-IN"/>
        </w:rPr>
        <w:t>Dolgoje</w:t>
      </w:r>
      <w:proofErr w:type="spellEnd"/>
      <w:r w:rsidRPr="00A07F29">
        <w:rPr>
          <w:rFonts w:ascii="Times New Roman" w:eastAsia="Noto Sans CJK SC" w:hAnsi="Times New Roman" w:cs="Lohit Devanagari"/>
          <w:kern w:val="2"/>
          <w:sz w:val="24"/>
          <w:szCs w:val="24"/>
          <w:lang w:eastAsia="zh-CN" w:bidi="hi-IN"/>
        </w:rPr>
        <w:t xml:space="preserve"> un Zariņa ezers, kā arī </w:t>
      </w:r>
      <w:proofErr w:type="spellStart"/>
      <w:r w:rsidRPr="00A07F29">
        <w:rPr>
          <w:rFonts w:ascii="Times New Roman" w:eastAsia="Noto Sans CJK SC" w:hAnsi="Times New Roman" w:cs="Lohit Devanagari"/>
          <w:kern w:val="2"/>
          <w:sz w:val="24"/>
          <w:szCs w:val="24"/>
          <w:lang w:eastAsia="zh-CN" w:bidi="hi-IN"/>
        </w:rPr>
        <w:t>Šlapuks</w:t>
      </w:r>
      <w:proofErr w:type="spellEnd"/>
      <w:r w:rsidRPr="00A07F29">
        <w:rPr>
          <w:rFonts w:ascii="Times New Roman" w:eastAsia="Noto Sans CJK SC" w:hAnsi="Times New Roman" w:cs="Lohit Devanagari"/>
          <w:kern w:val="2"/>
          <w:sz w:val="24"/>
          <w:szCs w:val="24"/>
          <w:lang w:eastAsia="zh-CN" w:bidi="hi-IN"/>
        </w:rPr>
        <w:t xml:space="preserve"> un </w:t>
      </w:r>
      <w:proofErr w:type="spellStart"/>
      <w:r w:rsidRPr="00A07F29">
        <w:rPr>
          <w:rFonts w:ascii="Times New Roman" w:eastAsia="Noto Sans CJK SC" w:hAnsi="Times New Roman" w:cs="Lohit Devanagari"/>
          <w:kern w:val="2"/>
          <w:sz w:val="24"/>
          <w:szCs w:val="24"/>
          <w:lang w:eastAsia="zh-CN" w:bidi="hi-IN"/>
        </w:rPr>
        <w:t>Zīmeļs</w:t>
      </w:r>
      <w:proofErr w:type="spellEnd"/>
      <w:r w:rsidRPr="00A07F29">
        <w:rPr>
          <w:rFonts w:ascii="Times New Roman" w:eastAsia="Noto Sans CJK SC" w:hAnsi="Times New Roman" w:cs="Lohit Devanagari"/>
          <w:kern w:val="2"/>
          <w:sz w:val="24"/>
          <w:szCs w:val="24"/>
          <w:lang w:eastAsia="zh-CN" w:bidi="hi-IN"/>
        </w:rPr>
        <w:t xml:space="preserve"> pārstāv </w:t>
      </w:r>
      <w:r w:rsidRPr="00A07F29">
        <w:rPr>
          <w:rFonts w:ascii="Times New Roman" w:eastAsia="Noto Sans CJK SC" w:hAnsi="Times New Roman" w:cs="Lohit Devanagari"/>
          <w:kern w:val="2"/>
          <w:sz w:val="24"/>
          <w:szCs w:val="24"/>
          <w:u w:val="single"/>
          <w:lang w:eastAsia="zh-CN" w:bidi="hi-IN"/>
        </w:rPr>
        <w:t xml:space="preserve">ļoti seklus </w:t>
      </w:r>
      <w:proofErr w:type="spellStart"/>
      <w:r w:rsidRPr="00A07F29">
        <w:rPr>
          <w:rFonts w:ascii="Times New Roman" w:eastAsia="Noto Sans CJK SC" w:hAnsi="Times New Roman" w:cs="Lohit Devanagari"/>
          <w:kern w:val="2"/>
          <w:sz w:val="24"/>
          <w:szCs w:val="24"/>
          <w:u w:val="single"/>
          <w:lang w:eastAsia="zh-CN" w:bidi="hi-IN"/>
        </w:rPr>
        <w:t>brūnūdens</w:t>
      </w:r>
      <w:proofErr w:type="spellEnd"/>
      <w:r w:rsidRPr="00A07F29">
        <w:rPr>
          <w:rFonts w:ascii="Times New Roman" w:eastAsia="Noto Sans CJK SC" w:hAnsi="Times New Roman" w:cs="Lohit Devanagari"/>
          <w:kern w:val="2"/>
          <w:sz w:val="24"/>
          <w:szCs w:val="24"/>
          <w:u w:val="single"/>
          <w:lang w:eastAsia="zh-CN" w:bidi="hi-IN"/>
        </w:rPr>
        <w:t xml:space="preserve"> ezerus</w:t>
      </w:r>
      <w:r w:rsidR="00061CE0" w:rsidRPr="00A07F29">
        <w:rPr>
          <w:rFonts w:ascii="Times New Roman" w:eastAsia="Noto Sans CJK SC" w:hAnsi="Times New Roman" w:cs="Lohit Devanagari"/>
          <w:kern w:val="2"/>
          <w:sz w:val="24"/>
          <w:szCs w:val="24"/>
          <w:lang w:eastAsia="zh-CN" w:bidi="hi-IN"/>
        </w:rPr>
        <w:t xml:space="preserve"> (vidējais dziļums mazāks par </w:t>
      </w:r>
      <w:r w:rsidR="00D613CC" w:rsidRPr="00A07F29">
        <w:rPr>
          <w:rFonts w:ascii="Times New Roman" w:eastAsia="Noto Sans CJK SC" w:hAnsi="Times New Roman" w:cs="Lohit Devanagari"/>
          <w:kern w:val="2"/>
          <w:sz w:val="24"/>
          <w:szCs w:val="24"/>
          <w:lang w:eastAsia="zh-CN" w:bidi="hi-IN"/>
        </w:rPr>
        <w:t>diviem</w:t>
      </w:r>
      <w:r w:rsidR="00061CE0" w:rsidRPr="00A07F29">
        <w:rPr>
          <w:rFonts w:ascii="Times New Roman" w:eastAsia="Noto Sans CJK SC" w:hAnsi="Times New Roman" w:cs="Lohit Devanagari"/>
          <w:kern w:val="2"/>
          <w:sz w:val="24"/>
          <w:szCs w:val="24"/>
          <w:lang w:eastAsia="zh-CN" w:bidi="hi-IN"/>
        </w:rPr>
        <w:t xml:space="preserve"> m</w:t>
      </w:r>
      <w:r w:rsidR="00D613CC" w:rsidRPr="00A07F29">
        <w:rPr>
          <w:rFonts w:ascii="Times New Roman" w:eastAsia="Noto Sans CJK SC" w:hAnsi="Times New Roman" w:cs="Lohit Devanagari"/>
          <w:kern w:val="2"/>
          <w:sz w:val="24"/>
          <w:szCs w:val="24"/>
          <w:lang w:eastAsia="zh-CN" w:bidi="hi-IN"/>
        </w:rPr>
        <w:t>etriem</w:t>
      </w:r>
      <w:r w:rsidR="00061CE0" w:rsidRPr="00A07F29">
        <w:rPr>
          <w:rFonts w:ascii="Times New Roman" w:eastAsia="Noto Sans CJK SC" w:hAnsi="Times New Roman" w:cs="Lohit Devanagari"/>
          <w:kern w:val="2"/>
          <w:sz w:val="24"/>
          <w:szCs w:val="24"/>
          <w:lang w:eastAsia="zh-CN" w:bidi="hi-IN"/>
        </w:rPr>
        <w:t>)</w:t>
      </w:r>
      <w:r w:rsidRPr="00A07F29">
        <w:rPr>
          <w:rFonts w:ascii="Times New Roman" w:eastAsia="Noto Sans CJK SC" w:hAnsi="Times New Roman" w:cs="Lohit Devanagari"/>
          <w:kern w:val="2"/>
          <w:sz w:val="24"/>
          <w:szCs w:val="24"/>
          <w:lang w:eastAsia="zh-CN" w:bidi="hi-IN"/>
        </w:rPr>
        <w:t xml:space="preserve">, bet divi ezeri – </w:t>
      </w:r>
      <w:proofErr w:type="spellStart"/>
      <w:r w:rsidRPr="00A07F29">
        <w:rPr>
          <w:rFonts w:ascii="Times New Roman" w:eastAsia="Noto Sans CJK SC" w:hAnsi="Times New Roman" w:cs="Lohit Devanagari"/>
          <w:kern w:val="2"/>
          <w:sz w:val="24"/>
          <w:szCs w:val="24"/>
          <w:lang w:eastAsia="zh-CN" w:bidi="hi-IN"/>
        </w:rPr>
        <w:t>Dūneklis</w:t>
      </w:r>
      <w:proofErr w:type="spellEnd"/>
      <w:r w:rsidRPr="00A07F29">
        <w:rPr>
          <w:rFonts w:ascii="Times New Roman" w:eastAsia="Noto Sans CJK SC" w:hAnsi="Times New Roman" w:cs="Lohit Devanagari"/>
          <w:kern w:val="2"/>
          <w:sz w:val="24"/>
          <w:szCs w:val="24"/>
          <w:lang w:eastAsia="zh-CN" w:bidi="hi-IN"/>
        </w:rPr>
        <w:t xml:space="preserve"> un </w:t>
      </w:r>
      <w:proofErr w:type="spellStart"/>
      <w:r w:rsidRPr="00A07F29">
        <w:rPr>
          <w:rFonts w:ascii="Times New Roman" w:eastAsia="Noto Sans CJK SC" w:hAnsi="Times New Roman" w:cs="Lohit Devanagari"/>
          <w:kern w:val="2"/>
          <w:sz w:val="24"/>
          <w:szCs w:val="24"/>
          <w:lang w:eastAsia="zh-CN" w:bidi="hi-IN"/>
        </w:rPr>
        <w:t>Prūdeņš</w:t>
      </w:r>
      <w:proofErr w:type="spellEnd"/>
      <w:r w:rsidRPr="00A07F29">
        <w:rPr>
          <w:rFonts w:ascii="Times New Roman" w:eastAsia="Noto Sans CJK SC" w:hAnsi="Times New Roman" w:cs="Lohit Devanagari"/>
          <w:kern w:val="2"/>
          <w:sz w:val="24"/>
          <w:szCs w:val="24"/>
          <w:lang w:eastAsia="zh-CN" w:bidi="hi-IN"/>
        </w:rPr>
        <w:t xml:space="preserve"> – </w:t>
      </w:r>
      <w:r w:rsidRPr="00A07F29">
        <w:rPr>
          <w:rFonts w:ascii="Times New Roman" w:eastAsia="Noto Sans CJK SC" w:hAnsi="Times New Roman" w:cs="Lohit Devanagari"/>
          <w:kern w:val="2"/>
          <w:sz w:val="24"/>
          <w:szCs w:val="24"/>
          <w:u w:val="single"/>
          <w:lang w:eastAsia="zh-CN" w:bidi="hi-IN"/>
        </w:rPr>
        <w:t xml:space="preserve">ļoti seklus </w:t>
      </w:r>
      <w:proofErr w:type="spellStart"/>
      <w:r w:rsidR="00061CE0" w:rsidRPr="00A07F29">
        <w:rPr>
          <w:rFonts w:ascii="Times New Roman" w:eastAsia="Noto Sans CJK SC" w:hAnsi="Times New Roman" w:cs="Lohit Devanagari"/>
          <w:kern w:val="2"/>
          <w:sz w:val="24"/>
          <w:szCs w:val="24"/>
          <w:u w:val="single"/>
          <w:lang w:eastAsia="zh-CN" w:bidi="hi-IN"/>
        </w:rPr>
        <w:t>dzidrūdens</w:t>
      </w:r>
      <w:proofErr w:type="spellEnd"/>
      <w:r w:rsidR="00061CE0" w:rsidRPr="00A07F29">
        <w:rPr>
          <w:rFonts w:ascii="Times New Roman" w:eastAsia="Noto Sans CJK SC" w:hAnsi="Times New Roman" w:cs="Lohit Devanagari"/>
          <w:kern w:val="2"/>
          <w:sz w:val="24"/>
          <w:szCs w:val="24"/>
          <w:u w:val="single"/>
          <w:lang w:eastAsia="zh-CN" w:bidi="hi-IN"/>
        </w:rPr>
        <w:t xml:space="preserve"> ezerus</w:t>
      </w:r>
      <w:r w:rsidR="00061CE0" w:rsidRPr="00A07F29">
        <w:rPr>
          <w:rFonts w:ascii="Times New Roman" w:eastAsia="Noto Sans CJK SC" w:hAnsi="Times New Roman" w:cs="Lohit Devanagari"/>
          <w:kern w:val="2"/>
          <w:sz w:val="24"/>
          <w:szCs w:val="24"/>
          <w:lang w:eastAsia="zh-CN" w:bidi="hi-IN"/>
        </w:rPr>
        <w:t xml:space="preserve"> </w:t>
      </w:r>
      <w:r w:rsidRPr="00A07F29">
        <w:rPr>
          <w:rFonts w:ascii="Times New Roman" w:eastAsia="Noto Sans CJK SC" w:hAnsi="Times New Roman" w:cs="Lohit Devanagari"/>
          <w:kern w:val="2"/>
          <w:sz w:val="24"/>
          <w:szCs w:val="24"/>
          <w:lang w:eastAsia="zh-CN" w:bidi="hi-IN"/>
        </w:rPr>
        <w:t xml:space="preserve">(vidējais dziļums mazāks par </w:t>
      </w:r>
      <w:r w:rsidR="00D613CC" w:rsidRPr="00A07F29">
        <w:rPr>
          <w:rFonts w:ascii="Times New Roman" w:eastAsia="Noto Sans CJK SC" w:hAnsi="Times New Roman" w:cs="Lohit Devanagari"/>
          <w:kern w:val="2"/>
          <w:sz w:val="24"/>
          <w:szCs w:val="24"/>
          <w:lang w:eastAsia="zh-CN" w:bidi="hi-IN"/>
        </w:rPr>
        <w:t>diviem</w:t>
      </w:r>
      <w:r w:rsidRPr="00A07F29">
        <w:rPr>
          <w:rFonts w:ascii="Times New Roman" w:eastAsia="Noto Sans CJK SC" w:hAnsi="Times New Roman" w:cs="Lohit Devanagari"/>
          <w:kern w:val="2"/>
          <w:sz w:val="24"/>
          <w:szCs w:val="24"/>
          <w:lang w:eastAsia="zh-CN" w:bidi="hi-IN"/>
        </w:rPr>
        <w:t xml:space="preserve"> m</w:t>
      </w:r>
      <w:r w:rsidR="00D613CC" w:rsidRPr="00A07F29">
        <w:rPr>
          <w:rFonts w:ascii="Times New Roman" w:eastAsia="Noto Sans CJK SC" w:hAnsi="Times New Roman" w:cs="Lohit Devanagari"/>
          <w:kern w:val="2"/>
          <w:sz w:val="24"/>
          <w:szCs w:val="24"/>
          <w:lang w:eastAsia="zh-CN" w:bidi="hi-IN"/>
        </w:rPr>
        <w:t>etriem</w:t>
      </w:r>
      <w:r w:rsidRPr="00A07F29">
        <w:rPr>
          <w:rFonts w:ascii="Times New Roman" w:eastAsia="Noto Sans CJK SC" w:hAnsi="Times New Roman" w:cs="Lohit Devanagari"/>
          <w:kern w:val="2"/>
          <w:sz w:val="24"/>
          <w:szCs w:val="24"/>
          <w:lang w:eastAsia="zh-CN" w:bidi="hi-IN"/>
        </w:rPr>
        <w:t xml:space="preserve">). Tikai </w:t>
      </w:r>
      <w:proofErr w:type="spellStart"/>
      <w:r w:rsidRPr="00A07F29">
        <w:rPr>
          <w:rFonts w:ascii="Times New Roman" w:eastAsia="Noto Sans CJK SC" w:hAnsi="Times New Roman" w:cs="Lohit Devanagari"/>
          <w:kern w:val="2"/>
          <w:sz w:val="24"/>
          <w:szCs w:val="24"/>
          <w:lang w:eastAsia="zh-CN" w:bidi="hi-IN"/>
        </w:rPr>
        <w:t>Varnaviču</w:t>
      </w:r>
      <w:proofErr w:type="spellEnd"/>
      <w:r w:rsidRPr="00A07F29">
        <w:rPr>
          <w:rFonts w:ascii="Times New Roman" w:eastAsia="Noto Sans CJK SC" w:hAnsi="Times New Roman" w:cs="Lohit Devanagari"/>
          <w:kern w:val="2"/>
          <w:sz w:val="24"/>
          <w:szCs w:val="24"/>
          <w:lang w:eastAsia="zh-CN" w:bidi="hi-IN"/>
        </w:rPr>
        <w:t xml:space="preserve"> ezers pārstāv </w:t>
      </w:r>
      <w:r w:rsidRPr="00A07F29">
        <w:rPr>
          <w:rFonts w:ascii="Times New Roman" w:eastAsia="Noto Sans CJK SC" w:hAnsi="Times New Roman" w:cs="Lohit Devanagari"/>
          <w:kern w:val="2"/>
          <w:sz w:val="24"/>
          <w:szCs w:val="24"/>
          <w:u w:val="single"/>
          <w:lang w:eastAsia="zh-CN" w:bidi="hi-IN"/>
        </w:rPr>
        <w:t xml:space="preserve">dziļus </w:t>
      </w:r>
      <w:proofErr w:type="spellStart"/>
      <w:r w:rsidRPr="00A07F29">
        <w:rPr>
          <w:rFonts w:ascii="Times New Roman" w:eastAsia="Noto Sans CJK SC" w:hAnsi="Times New Roman" w:cs="Lohit Devanagari"/>
          <w:kern w:val="2"/>
          <w:sz w:val="24"/>
          <w:szCs w:val="24"/>
          <w:u w:val="single"/>
          <w:lang w:eastAsia="zh-CN" w:bidi="hi-IN"/>
        </w:rPr>
        <w:t>dzidrūdens</w:t>
      </w:r>
      <w:proofErr w:type="spellEnd"/>
      <w:r w:rsidRPr="00A07F29">
        <w:rPr>
          <w:rFonts w:ascii="Times New Roman" w:eastAsia="Noto Sans CJK SC" w:hAnsi="Times New Roman" w:cs="Lohit Devanagari"/>
          <w:kern w:val="2"/>
          <w:sz w:val="24"/>
          <w:szCs w:val="24"/>
          <w:u w:val="single"/>
          <w:lang w:eastAsia="zh-CN" w:bidi="hi-IN"/>
        </w:rPr>
        <w:t xml:space="preserve"> ezerus</w:t>
      </w:r>
      <w:r w:rsidR="00061CE0" w:rsidRPr="00A07F29">
        <w:rPr>
          <w:rFonts w:ascii="Times New Roman" w:eastAsia="Noto Sans CJK SC" w:hAnsi="Times New Roman" w:cs="Lohit Devanagari"/>
          <w:kern w:val="2"/>
          <w:sz w:val="24"/>
          <w:szCs w:val="24"/>
          <w:lang w:eastAsia="zh-CN" w:bidi="hi-IN"/>
        </w:rPr>
        <w:t xml:space="preserve"> (vidējais dziļums lielāks par </w:t>
      </w:r>
      <w:r w:rsidR="00CD232D" w:rsidRPr="00A07F29">
        <w:rPr>
          <w:rFonts w:ascii="Times New Roman" w:eastAsia="Noto Sans CJK SC" w:hAnsi="Times New Roman" w:cs="Lohit Devanagari"/>
          <w:kern w:val="2"/>
          <w:sz w:val="24"/>
          <w:szCs w:val="24"/>
          <w:lang w:eastAsia="zh-CN" w:bidi="hi-IN"/>
        </w:rPr>
        <w:t>deviņiem</w:t>
      </w:r>
      <w:r w:rsidR="00061CE0" w:rsidRPr="00A07F29">
        <w:rPr>
          <w:rFonts w:ascii="Times New Roman" w:eastAsia="Noto Sans CJK SC" w:hAnsi="Times New Roman" w:cs="Lohit Devanagari"/>
          <w:kern w:val="2"/>
          <w:sz w:val="24"/>
          <w:szCs w:val="24"/>
          <w:lang w:eastAsia="zh-CN" w:bidi="hi-IN"/>
        </w:rPr>
        <w:t xml:space="preserve"> m</w:t>
      </w:r>
      <w:r w:rsidR="00CD232D" w:rsidRPr="00A07F29">
        <w:rPr>
          <w:rFonts w:ascii="Times New Roman" w:eastAsia="Noto Sans CJK SC" w:hAnsi="Times New Roman" w:cs="Lohit Devanagari"/>
          <w:kern w:val="2"/>
          <w:sz w:val="24"/>
          <w:szCs w:val="24"/>
          <w:lang w:eastAsia="zh-CN" w:bidi="hi-IN"/>
        </w:rPr>
        <w:t>etriem</w:t>
      </w:r>
      <w:r w:rsidR="00061CE0" w:rsidRPr="00A07F29">
        <w:rPr>
          <w:rFonts w:ascii="Times New Roman" w:eastAsia="Noto Sans CJK SC" w:hAnsi="Times New Roman" w:cs="Lohit Devanagari"/>
          <w:kern w:val="2"/>
          <w:sz w:val="24"/>
          <w:szCs w:val="24"/>
          <w:lang w:eastAsia="zh-CN" w:bidi="hi-IN"/>
        </w:rPr>
        <w:t>)</w:t>
      </w:r>
      <w:r w:rsidRPr="00A07F29">
        <w:rPr>
          <w:rFonts w:ascii="Times New Roman" w:eastAsia="Noto Sans CJK SC" w:hAnsi="Times New Roman" w:cs="Lohit Devanagari"/>
          <w:kern w:val="2"/>
          <w:sz w:val="24"/>
          <w:szCs w:val="24"/>
          <w:lang w:eastAsia="zh-CN" w:bidi="hi-IN"/>
        </w:rPr>
        <w:t>.</w:t>
      </w:r>
    </w:p>
    <w:p w14:paraId="77BB8977" w14:textId="77777777" w:rsidR="00997A72" w:rsidRPr="00A07F29" w:rsidRDefault="00997A72" w:rsidP="00997A72">
      <w:pPr>
        <w:widowControl w:val="0"/>
        <w:spacing w:after="0" w:line="240" w:lineRule="auto"/>
        <w:ind w:right="26"/>
        <w:jc w:val="both"/>
        <w:rPr>
          <w:rFonts w:ascii="Times New Roman" w:eastAsia="Noto Sans CJK SC" w:hAnsi="Times New Roman" w:cs="Lohit Devanagari"/>
          <w:kern w:val="2"/>
          <w:sz w:val="24"/>
          <w:szCs w:val="24"/>
          <w:lang w:eastAsia="zh-CN" w:bidi="hi-IN"/>
        </w:rPr>
      </w:pPr>
    </w:p>
    <w:p w14:paraId="70959E67" w14:textId="77777777" w:rsidR="00997A72" w:rsidRPr="00A07F29" w:rsidRDefault="00997A72" w:rsidP="00180490">
      <w:pPr>
        <w:keepNext/>
        <w:widowControl w:val="0"/>
        <w:spacing w:after="0" w:line="240" w:lineRule="auto"/>
        <w:ind w:right="28"/>
        <w:jc w:val="both"/>
        <w:rPr>
          <w:rFonts w:ascii="Liberation Serif" w:eastAsia="Noto Sans CJK SC" w:hAnsi="Liberation Serif" w:cs="Lohit Devanagari"/>
          <w:kern w:val="2"/>
          <w:sz w:val="24"/>
          <w:szCs w:val="24"/>
          <w:lang w:eastAsia="zh-CN" w:bidi="hi-IN"/>
        </w:rPr>
      </w:pPr>
      <w:r w:rsidRPr="00A07F29">
        <w:rPr>
          <w:rFonts w:ascii="Times New Roman" w:eastAsia="Noto Sans CJK SC" w:hAnsi="Times New Roman" w:cs="Lohit Devanagari"/>
          <w:b/>
          <w:i/>
          <w:kern w:val="2"/>
          <w:sz w:val="24"/>
          <w:szCs w:val="24"/>
          <w:lang w:eastAsia="zh-CN" w:bidi="hi-IN"/>
        </w:rPr>
        <w:t xml:space="preserve">Ezeru </w:t>
      </w:r>
      <w:proofErr w:type="spellStart"/>
      <w:r w:rsidRPr="00A07F29">
        <w:rPr>
          <w:rFonts w:ascii="Times New Roman" w:eastAsia="Noto Sans CJK SC" w:hAnsi="Times New Roman" w:cs="Lohit Devanagari"/>
          <w:b/>
          <w:i/>
          <w:kern w:val="2"/>
          <w:sz w:val="24"/>
          <w:szCs w:val="24"/>
          <w:lang w:eastAsia="zh-CN" w:bidi="hi-IN"/>
        </w:rPr>
        <w:t>morfometrija</w:t>
      </w:r>
      <w:proofErr w:type="spellEnd"/>
    </w:p>
    <w:p w14:paraId="66B3AD4E" w14:textId="57ACDA5A" w:rsidR="00997A72" w:rsidRPr="00A07F29" w:rsidRDefault="00997A72" w:rsidP="00061CE0">
      <w:pPr>
        <w:widowControl w:val="0"/>
        <w:spacing w:after="0" w:line="240" w:lineRule="auto"/>
        <w:ind w:right="26" w:firstLine="851"/>
        <w:jc w:val="both"/>
        <w:rPr>
          <w:rFonts w:ascii="Liberation Serif" w:eastAsia="Noto Sans CJK SC" w:hAnsi="Liberation Serif" w:cs="Lohit Devanagari"/>
          <w:kern w:val="2"/>
          <w:sz w:val="24"/>
          <w:szCs w:val="24"/>
          <w:highlight w:val="yellow"/>
          <w:lang w:eastAsia="zh-CN" w:bidi="hi-IN"/>
        </w:rPr>
      </w:pPr>
      <w:r w:rsidRPr="00A07F29">
        <w:rPr>
          <w:rFonts w:ascii="Times New Roman" w:eastAsia="Noto Sans CJK SC" w:hAnsi="Times New Roman" w:cs="Lohit Devanagari"/>
          <w:kern w:val="2"/>
          <w:sz w:val="24"/>
          <w:szCs w:val="24"/>
          <w:lang w:eastAsia="zh-CN" w:bidi="hi-IN"/>
        </w:rPr>
        <w:t>Ezeru kopējā platība ir 321,93</w:t>
      </w:r>
      <w:r w:rsidR="00CD232D" w:rsidRPr="00A07F29">
        <w:rPr>
          <w:rFonts w:ascii="Times New Roman" w:eastAsia="Noto Sans CJK SC" w:hAnsi="Times New Roman" w:cs="Lohit Devanagari"/>
          <w:kern w:val="2"/>
          <w:sz w:val="24"/>
          <w:szCs w:val="24"/>
          <w:lang w:eastAsia="zh-CN" w:bidi="hi-IN"/>
        </w:rPr>
        <w:t> </w:t>
      </w:r>
      <w:r w:rsidRPr="00A07F29">
        <w:rPr>
          <w:rFonts w:ascii="Times New Roman" w:eastAsia="Noto Sans CJK SC" w:hAnsi="Times New Roman" w:cs="Lohit Devanagari"/>
          <w:kern w:val="2"/>
          <w:sz w:val="24"/>
          <w:szCs w:val="24"/>
          <w:lang w:eastAsia="zh-CN" w:bidi="hi-IN"/>
        </w:rPr>
        <w:t>ha</w:t>
      </w:r>
      <w:r w:rsidR="00633DDB" w:rsidRPr="00A07F29">
        <w:rPr>
          <w:rFonts w:ascii="Times New Roman" w:eastAsia="Noto Sans CJK SC" w:hAnsi="Times New Roman" w:cs="Lohit Devanagari"/>
          <w:kern w:val="2"/>
          <w:sz w:val="24"/>
          <w:szCs w:val="24"/>
          <w:lang w:eastAsia="zh-CN" w:bidi="hi-IN"/>
        </w:rPr>
        <w:t>, kas ir</w:t>
      </w:r>
      <w:r w:rsidRPr="00A07F29">
        <w:rPr>
          <w:rFonts w:ascii="Times New Roman" w:eastAsia="Noto Sans CJK SC" w:hAnsi="Times New Roman" w:cs="Lohit Devanagari"/>
          <w:kern w:val="2"/>
          <w:sz w:val="24"/>
          <w:szCs w:val="24"/>
          <w:lang w:eastAsia="zh-CN" w:bidi="hi-IN"/>
        </w:rPr>
        <w:t xml:space="preserve"> tikai 0,6</w:t>
      </w:r>
      <w:r w:rsidR="00CD232D" w:rsidRPr="00A07F29">
        <w:rPr>
          <w:rFonts w:ascii="Times New Roman" w:eastAsia="Noto Sans CJK SC" w:hAnsi="Times New Roman" w:cs="Lohit Devanagari"/>
          <w:kern w:val="2"/>
          <w:sz w:val="24"/>
          <w:szCs w:val="24"/>
          <w:lang w:eastAsia="zh-CN" w:bidi="hi-IN"/>
        </w:rPr>
        <w:t> </w:t>
      </w:r>
      <w:r w:rsidRPr="00A07F29">
        <w:rPr>
          <w:rFonts w:ascii="Times New Roman" w:eastAsia="Noto Sans CJK SC" w:hAnsi="Times New Roman" w:cs="Lohit Devanagari"/>
          <w:kern w:val="2"/>
          <w:sz w:val="24"/>
          <w:szCs w:val="24"/>
          <w:lang w:eastAsia="zh-CN" w:bidi="hi-IN"/>
        </w:rPr>
        <w:t>% no AAA “Augšdaugava” platības</w:t>
      </w:r>
      <w:r w:rsidR="00633DDB" w:rsidRPr="00A07F29">
        <w:rPr>
          <w:rFonts w:ascii="Times New Roman" w:eastAsia="Noto Sans CJK SC" w:hAnsi="Times New Roman" w:cs="Lohit Devanagari"/>
          <w:kern w:val="2"/>
          <w:sz w:val="24"/>
          <w:szCs w:val="24"/>
          <w:lang w:eastAsia="zh-CN" w:bidi="hi-IN"/>
        </w:rPr>
        <w:t xml:space="preserve">. Tikai </w:t>
      </w:r>
      <w:r w:rsidR="00CD232D" w:rsidRPr="00A07F29">
        <w:rPr>
          <w:rFonts w:ascii="Times New Roman" w:eastAsia="Noto Sans CJK SC" w:hAnsi="Times New Roman" w:cs="Lohit Devanagari"/>
          <w:kern w:val="2"/>
          <w:sz w:val="24"/>
          <w:szCs w:val="24"/>
          <w:lang w:eastAsia="zh-CN" w:bidi="hi-IN"/>
        </w:rPr>
        <w:t>septiņiem</w:t>
      </w:r>
      <w:r w:rsidRPr="00A07F29">
        <w:rPr>
          <w:rFonts w:ascii="Times New Roman" w:eastAsia="Noto Sans CJK SC" w:hAnsi="Times New Roman" w:cs="Lohit Devanagari"/>
          <w:kern w:val="2"/>
          <w:sz w:val="24"/>
          <w:szCs w:val="24"/>
          <w:lang w:eastAsia="zh-CN" w:bidi="hi-IN"/>
        </w:rPr>
        <w:t xml:space="preserve"> AAA “Augšdaugava” ezeriem (22,6</w:t>
      </w:r>
      <w:r w:rsidR="00FB6C18" w:rsidRPr="00A07F29">
        <w:rPr>
          <w:rFonts w:ascii="Times New Roman" w:eastAsia="Noto Sans CJK SC" w:hAnsi="Times New Roman" w:cs="Lohit Devanagari"/>
          <w:kern w:val="2"/>
          <w:sz w:val="24"/>
          <w:szCs w:val="24"/>
          <w:lang w:eastAsia="zh-CN" w:bidi="hi-IN"/>
        </w:rPr>
        <w:t> </w:t>
      </w:r>
      <w:r w:rsidRPr="00A07F29">
        <w:rPr>
          <w:rFonts w:ascii="Times New Roman" w:eastAsia="Noto Sans CJK SC" w:hAnsi="Times New Roman" w:cs="Lohit Devanagari"/>
          <w:kern w:val="2"/>
          <w:sz w:val="24"/>
          <w:szCs w:val="24"/>
          <w:lang w:eastAsia="zh-CN" w:bidi="hi-IN"/>
        </w:rPr>
        <w:t>% no ezeru kopskaita) platība pārsniedz 10</w:t>
      </w:r>
      <w:r w:rsidR="00FB6C18" w:rsidRPr="00A07F29">
        <w:rPr>
          <w:rFonts w:ascii="Times New Roman" w:eastAsia="Noto Sans CJK SC" w:hAnsi="Times New Roman" w:cs="Lohit Devanagari"/>
          <w:kern w:val="2"/>
          <w:sz w:val="24"/>
          <w:szCs w:val="24"/>
          <w:lang w:eastAsia="zh-CN" w:bidi="hi-IN"/>
        </w:rPr>
        <w:t> </w:t>
      </w:r>
      <w:r w:rsidRPr="00A07F29">
        <w:rPr>
          <w:rFonts w:ascii="Times New Roman" w:eastAsia="Noto Sans CJK SC" w:hAnsi="Times New Roman" w:cs="Lohit Devanagari"/>
          <w:kern w:val="2"/>
          <w:sz w:val="24"/>
          <w:szCs w:val="24"/>
          <w:lang w:eastAsia="zh-CN" w:bidi="hi-IN"/>
        </w:rPr>
        <w:t>ha</w:t>
      </w:r>
      <w:r w:rsidR="00633DDB" w:rsidRPr="00A07F29">
        <w:rPr>
          <w:rFonts w:ascii="Times New Roman" w:eastAsia="Noto Sans CJK SC" w:hAnsi="Times New Roman" w:cs="Lohit Devanagari"/>
          <w:kern w:val="2"/>
          <w:sz w:val="24"/>
          <w:szCs w:val="24"/>
          <w:lang w:eastAsia="zh-CN" w:bidi="hi-IN"/>
        </w:rPr>
        <w:t xml:space="preserve">. </w:t>
      </w:r>
      <w:r w:rsidR="59DD30CD" w:rsidRPr="00A07F29">
        <w:rPr>
          <w:rFonts w:ascii="Times New Roman" w:eastAsia="Noto Sans CJK SC" w:hAnsi="Times New Roman" w:cs="Lohit Devanagari"/>
          <w:kern w:val="2"/>
          <w:sz w:val="24"/>
          <w:szCs w:val="24"/>
          <w:lang w:eastAsia="zh-CN" w:bidi="hi-IN"/>
        </w:rPr>
        <w:t>16</w:t>
      </w:r>
      <w:r w:rsidRPr="00A07F29">
        <w:rPr>
          <w:rFonts w:ascii="Times New Roman" w:eastAsia="Noto Sans CJK SC" w:hAnsi="Times New Roman" w:cs="Lohit Devanagari"/>
          <w:kern w:val="2"/>
          <w:sz w:val="24"/>
          <w:szCs w:val="24"/>
          <w:lang w:eastAsia="zh-CN" w:bidi="hi-IN"/>
        </w:rPr>
        <w:t xml:space="preserve"> ezeriem (51,6</w:t>
      </w:r>
      <w:r w:rsidR="00FB6C18" w:rsidRPr="00A07F29">
        <w:rPr>
          <w:rFonts w:ascii="Times New Roman" w:eastAsia="Noto Sans CJK SC" w:hAnsi="Times New Roman" w:cs="Lohit Devanagari"/>
          <w:kern w:val="2"/>
          <w:sz w:val="24"/>
          <w:szCs w:val="24"/>
          <w:lang w:eastAsia="zh-CN" w:bidi="hi-IN"/>
        </w:rPr>
        <w:t> </w:t>
      </w:r>
      <w:r w:rsidRPr="00A07F29">
        <w:rPr>
          <w:rFonts w:ascii="Times New Roman" w:eastAsia="Noto Sans CJK SC" w:hAnsi="Times New Roman" w:cs="Lohit Devanagari"/>
          <w:kern w:val="2"/>
          <w:sz w:val="24"/>
          <w:szCs w:val="24"/>
          <w:lang w:eastAsia="zh-CN" w:bidi="hi-IN"/>
        </w:rPr>
        <w:t xml:space="preserve">% no ezeru kopskaita) tā ir </w:t>
      </w:r>
      <w:r w:rsidR="00FB6C18" w:rsidRPr="00A07F29">
        <w:rPr>
          <w:rFonts w:ascii="Times New Roman" w:eastAsia="Noto Sans CJK SC" w:hAnsi="Times New Roman" w:cs="Lohit Devanagari"/>
          <w:kern w:val="2"/>
          <w:sz w:val="24"/>
          <w:szCs w:val="24"/>
          <w:lang w:eastAsia="zh-CN" w:bidi="hi-IN"/>
        </w:rPr>
        <w:t>1 – </w:t>
      </w:r>
      <w:r w:rsidRPr="00A07F29">
        <w:rPr>
          <w:rFonts w:ascii="Times New Roman" w:eastAsia="Noto Sans CJK SC" w:hAnsi="Times New Roman" w:cs="Lohit Devanagari"/>
          <w:kern w:val="2"/>
          <w:sz w:val="24"/>
          <w:szCs w:val="24"/>
          <w:lang w:eastAsia="zh-CN" w:bidi="hi-IN"/>
        </w:rPr>
        <w:t>10</w:t>
      </w:r>
      <w:r w:rsidR="00FB6C18" w:rsidRPr="00A07F29">
        <w:rPr>
          <w:rFonts w:ascii="Times New Roman" w:eastAsia="Noto Sans CJK SC" w:hAnsi="Times New Roman" w:cs="Lohit Devanagari"/>
          <w:kern w:val="2"/>
          <w:sz w:val="24"/>
          <w:szCs w:val="24"/>
          <w:lang w:eastAsia="zh-CN" w:bidi="hi-IN"/>
        </w:rPr>
        <w:t> </w:t>
      </w:r>
      <w:r w:rsidRPr="00A07F29">
        <w:rPr>
          <w:rFonts w:ascii="Times New Roman" w:eastAsia="Noto Sans CJK SC" w:hAnsi="Times New Roman" w:cs="Lohit Devanagari"/>
          <w:kern w:val="2"/>
          <w:sz w:val="24"/>
          <w:szCs w:val="24"/>
          <w:lang w:eastAsia="zh-CN" w:bidi="hi-IN"/>
        </w:rPr>
        <w:t xml:space="preserve">ha, bet </w:t>
      </w:r>
      <w:r w:rsidR="00FB6C18" w:rsidRPr="00A07F29">
        <w:rPr>
          <w:rFonts w:ascii="Times New Roman" w:eastAsia="Noto Sans CJK SC" w:hAnsi="Times New Roman" w:cs="Lohit Devanagari"/>
          <w:kern w:val="2"/>
          <w:sz w:val="24"/>
          <w:szCs w:val="24"/>
          <w:lang w:eastAsia="zh-CN" w:bidi="hi-IN"/>
        </w:rPr>
        <w:t>astoņiem</w:t>
      </w:r>
      <w:r w:rsidRPr="00A07F29">
        <w:rPr>
          <w:rFonts w:ascii="Times New Roman" w:eastAsia="Noto Sans CJK SC" w:hAnsi="Times New Roman" w:cs="Lohit Devanagari"/>
          <w:kern w:val="2"/>
          <w:sz w:val="24"/>
          <w:szCs w:val="24"/>
          <w:lang w:eastAsia="zh-CN" w:bidi="hi-IN"/>
        </w:rPr>
        <w:t xml:space="preserve"> ezeriem (25,8</w:t>
      </w:r>
      <w:r w:rsidR="00FB6C18" w:rsidRPr="00A07F29">
        <w:rPr>
          <w:rFonts w:ascii="Times New Roman" w:eastAsia="Noto Sans CJK SC" w:hAnsi="Times New Roman" w:cs="Lohit Devanagari"/>
          <w:kern w:val="2"/>
          <w:sz w:val="24"/>
          <w:szCs w:val="24"/>
          <w:lang w:eastAsia="zh-CN" w:bidi="hi-IN"/>
        </w:rPr>
        <w:t> </w:t>
      </w:r>
      <w:r w:rsidRPr="00A07F29">
        <w:rPr>
          <w:rFonts w:ascii="Times New Roman" w:eastAsia="Noto Sans CJK SC" w:hAnsi="Times New Roman" w:cs="Lohit Devanagari"/>
          <w:kern w:val="2"/>
          <w:sz w:val="24"/>
          <w:szCs w:val="24"/>
          <w:lang w:eastAsia="zh-CN" w:bidi="hi-IN"/>
        </w:rPr>
        <w:t xml:space="preserve">% no ezeru kopskaita) – mazāka par </w:t>
      </w:r>
      <w:r w:rsidR="00E5460A" w:rsidRPr="00A07F29">
        <w:rPr>
          <w:rFonts w:ascii="Times New Roman" w:eastAsia="Noto Sans CJK SC" w:hAnsi="Times New Roman" w:cs="Lohit Devanagari"/>
          <w:kern w:val="2"/>
          <w:sz w:val="24"/>
          <w:szCs w:val="24"/>
          <w:lang w:eastAsia="zh-CN" w:bidi="hi-IN"/>
        </w:rPr>
        <w:t xml:space="preserve">vienu </w:t>
      </w:r>
      <w:r w:rsidRPr="00A07F29">
        <w:rPr>
          <w:rFonts w:ascii="Times New Roman" w:eastAsia="Noto Sans CJK SC" w:hAnsi="Times New Roman" w:cs="Lohit Devanagari"/>
          <w:kern w:val="2"/>
          <w:sz w:val="24"/>
          <w:szCs w:val="24"/>
          <w:lang w:eastAsia="zh-CN" w:bidi="hi-IN"/>
        </w:rPr>
        <w:t>h</w:t>
      </w:r>
      <w:r w:rsidR="00E5460A" w:rsidRPr="00A07F29">
        <w:rPr>
          <w:rFonts w:ascii="Times New Roman" w:eastAsia="Noto Sans CJK SC" w:hAnsi="Times New Roman" w:cs="Lohit Devanagari"/>
          <w:kern w:val="2"/>
          <w:sz w:val="24"/>
          <w:szCs w:val="24"/>
          <w:lang w:eastAsia="zh-CN" w:bidi="hi-IN"/>
        </w:rPr>
        <w:t>ektāru</w:t>
      </w:r>
      <w:r w:rsidR="0F998039" w:rsidRPr="00A07F29">
        <w:rPr>
          <w:rFonts w:ascii="Times New Roman" w:eastAsia="Noto Sans CJK SC" w:hAnsi="Times New Roman" w:cs="Lohit Devanagari"/>
          <w:kern w:val="2"/>
          <w:sz w:val="24"/>
          <w:szCs w:val="24"/>
          <w:lang w:eastAsia="zh-CN" w:bidi="hi-IN"/>
        </w:rPr>
        <w:t>.</w:t>
      </w:r>
      <w:r w:rsidRPr="00A07F29">
        <w:rPr>
          <w:rFonts w:ascii="Times New Roman" w:eastAsia="Noto Sans CJK SC" w:hAnsi="Times New Roman" w:cs="Lohit Devanagari"/>
          <w:kern w:val="2"/>
          <w:sz w:val="24"/>
          <w:szCs w:val="24"/>
          <w:highlight w:val="yellow"/>
          <w:lang w:eastAsia="zh-CN" w:bidi="hi-IN"/>
        </w:rPr>
        <w:t xml:space="preserve"> </w:t>
      </w:r>
    </w:p>
    <w:p w14:paraId="160C7263" w14:textId="6618454D" w:rsidR="00997A72" w:rsidRPr="00A07F29" w:rsidRDefault="00997A72" w:rsidP="00061CE0">
      <w:pPr>
        <w:widowControl w:val="0"/>
        <w:spacing w:after="0" w:line="240" w:lineRule="auto"/>
        <w:ind w:right="26" w:firstLine="851"/>
        <w:jc w:val="both"/>
        <w:rPr>
          <w:rFonts w:ascii="Liberation Serif" w:eastAsia="Noto Sans CJK SC" w:hAnsi="Liberation Serif" w:cs="Lohit Devanagari"/>
          <w:kern w:val="2"/>
          <w:sz w:val="24"/>
          <w:szCs w:val="24"/>
          <w:lang w:eastAsia="zh-CN" w:bidi="hi-IN"/>
        </w:rPr>
      </w:pPr>
      <w:r w:rsidRPr="00A07F29">
        <w:rPr>
          <w:rFonts w:ascii="Times New Roman" w:eastAsia="Noto Sans CJK SC" w:hAnsi="Times New Roman" w:cs="Lohit Devanagari"/>
          <w:kern w:val="2"/>
          <w:sz w:val="24"/>
          <w:szCs w:val="24"/>
          <w:lang w:eastAsia="zh-CN" w:bidi="hi-IN"/>
        </w:rPr>
        <w:t>AAA “Augšdaugava” ezeriem ir 880</w:t>
      </w:r>
      <w:r w:rsidR="00E5460A" w:rsidRPr="00A07F29">
        <w:rPr>
          <w:rFonts w:ascii="Times New Roman" w:eastAsia="Noto Sans CJK SC" w:hAnsi="Times New Roman" w:cs="Lohit Devanagari"/>
          <w:kern w:val="2"/>
          <w:sz w:val="24"/>
          <w:szCs w:val="24"/>
          <w:lang w:eastAsia="zh-CN" w:bidi="hi-IN"/>
        </w:rPr>
        <w:t> – </w:t>
      </w:r>
      <w:r w:rsidRPr="00A07F29">
        <w:rPr>
          <w:rFonts w:ascii="Times New Roman" w:eastAsia="Noto Sans CJK SC" w:hAnsi="Times New Roman" w:cs="Lohit Devanagari"/>
          <w:kern w:val="2"/>
          <w:sz w:val="24"/>
          <w:szCs w:val="24"/>
          <w:lang w:eastAsia="zh-CN" w:bidi="hi-IN"/>
        </w:rPr>
        <w:t>5</w:t>
      </w:r>
      <w:r w:rsidR="00633DDB" w:rsidRPr="00A07F29">
        <w:rPr>
          <w:rFonts w:ascii="Times New Roman" w:eastAsia="Noto Sans CJK SC" w:hAnsi="Times New Roman" w:cs="Lohit Devanagari"/>
          <w:kern w:val="2"/>
          <w:sz w:val="24"/>
          <w:szCs w:val="24"/>
          <w:lang w:eastAsia="zh-CN" w:bidi="hi-IN"/>
        </w:rPr>
        <w:t> </w:t>
      </w:r>
      <w:r w:rsidRPr="00A07F29">
        <w:rPr>
          <w:rFonts w:ascii="Times New Roman" w:eastAsia="Noto Sans CJK SC" w:hAnsi="Times New Roman" w:cs="Lohit Devanagari"/>
          <w:kern w:val="2"/>
          <w:sz w:val="24"/>
          <w:szCs w:val="24"/>
          <w:lang w:eastAsia="zh-CN" w:bidi="hi-IN"/>
        </w:rPr>
        <w:t>441</w:t>
      </w:r>
      <w:r w:rsidR="00E5460A" w:rsidRPr="00A07F29">
        <w:rPr>
          <w:rFonts w:ascii="Times New Roman" w:eastAsia="Noto Sans CJK SC" w:hAnsi="Times New Roman" w:cs="Lohit Devanagari"/>
          <w:kern w:val="2"/>
          <w:sz w:val="24"/>
          <w:szCs w:val="24"/>
          <w:lang w:eastAsia="zh-CN" w:bidi="hi-IN"/>
        </w:rPr>
        <w:t> </w:t>
      </w:r>
      <w:r w:rsidRPr="00A07F29">
        <w:rPr>
          <w:rFonts w:ascii="Times New Roman" w:eastAsia="Noto Sans CJK SC" w:hAnsi="Times New Roman" w:cs="Lohit Devanagari"/>
          <w:kern w:val="2"/>
          <w:sz w:val="24"/>
          <w:szCs w:val="24"/>
          <w:lang w:eastAsia="zh-CN" w:bidi="hi-IN"/>
        </w:rPr>
        <w:t>800</w:t>
      </w:r>
      <w:r w:rsidR="00E5460A" w:rsidRPr="00A07F29">
        <w:rPr>
          <w:rFonts w:ascii="Times New Roman" w:eastAsia="Noto Sans CJK SC" w:hAnsi="Times New Roman" w:cs="Lohit Devanagari"/>
          <w:kern w:val="2"/>
          <w:sz w:val="24"/>
          <w:szCs w:val="24"/>
          <w:lang w:eastAsia="zh-CN" w:bidi="hi-IN"/>
        </w:rPr>
        <w:t> </w:t>
      </w:r>
      <w:r w:rsidRPr="00A07F29">
        <w:rPr>
          <w:rFonts w:ascii="Times New Roman" w:eastAsia="Noto Sans CJK SC" w:hAnsi="Times New Roman" w:cs="Lohit Devanagari"/>
          <w:kern w:val="2"/>
          <w:sz w:val="24"/>
          <w:szCs w:val="24"/>
          <w:lang w:eastAsia="zh-CN" w:bidi="hi-IN"/>
        </w:rPr>
        <w:t>m</w:t>
      </w:r>
      <w:r w:rsidRPr="00A07F29">
        <w:rPr>
          <w:rFonts w:ascii="Times New Roman" w:eastAsia="Noto Sans CJK SC" w:hAnsi="Times New Roman" w:cs="Lohit Devanagari"/>
          <w:kern w:val="2"/>
          <w:sz w:val="24"/>
          <w:szCs w:val="24"/>
          <w:vertAlign w:val="superscript"/>
          <w:lang w:eastAsia="zh-CN" w:bidi="hi-IN"/>
        </w:rPr>
        <w:t>3</w:t>
      </w:r>
      <w:r w:rsidRPr="00A07F29">
        <w:rPr>
          <w:rFonts w:ascii="Times New Roman" w:eastAsia="Noto Sans CJK SC" w:hAnsi="Times New Roman" w:cs="Lohit Devanagari"/>
          <w:kern w:val="2"/>
          <w:sz w:val="24"/>
          <w:szCs w:val="24"/>
          <w:lang w:eastAsia="zh-CN" w:bidi="hi-IN"/>
        </w:rPr>
        <w:t xml:space="preserve"> liels ūdens tilpums, kas kopā </w:t>
      </w:r>
      <w:r w:rsidR="00633DDB" w:rsidRPr="00A07F29">
        <w:rPr>
          <w:rFonts w:ascii="Times New Roman" w:eastAsia="Noto Sans CJK SC" w:hAnsi="Times New Roman" w:cs="Lohit Devanagari"/>
          <w:kern w:val="2"/>
          <w:sz w:val="24"/>
          <w:szCs w:val="24"/>
          <w:lang w:eastAsia="zh-CN" w:bidi="hi-IN"/>
        </w:rPr>
        <w:t xml:space="preserve">veido </w:t>
      </w:r>
      <w:r w:rsidRPr="00A07F29">
        <w:rPr>
          <w:rFonts w:ascii="Times New Roman" w:eastAsia="Noto Sans CJK SC" w:hAnsi="Times New Roman" w:cs="Lohit Devanagari"/>
          <w:kern w:val="2"/>
          <w:sz w:val="24"/>
          <w:szCs w:val="24"/>
          <w:lang w:eastAsia="zh-CN" w:bidi="hi-IN"/>
        </w:rPr>
        <w:t>aptuveni 18</w:t>
      </w:r>
      <w:r w:rsidR="00633DDB" w:rsidRPr="00A07F29">
        <w:rPr>
          <w:rFonts w:ascii="Times New Roman" w:eastAsia="Noto Sans CJK SC" w:hAnsi="Times New Roman" w:cs="Lohit Devanagari"/>
          <w:kern w:val="2"/>
          <w:sz w:val="24"/>
          <w:szCs w:val="24"/>
          <w:lang w:eastAsia="zh-CN" w:bidi="hi-IN"/>
        </w:rPr>
        <w:t> </w:t>
      </w:r>
      <w:r w:rsidRPr="00A07F29">
        <w:rPr>
          <w:rFonts w:ascii="Times New Roman" w:eastAsia="Noto Sans CJK SC" w:hAnsi="Times New Roman" w:cs="Lohit Devanagari"/>
          <w:kern w:val="2"/>
          <w:sz w:val="24"/>
          <w:szCs w:val="24"/>
          <w:lang w:eastAsia="zh-CN" w:bidi="hi-IN"/>
        </w:rPr>
        <w:t>893</w:t>
      </w:r>
      <w:r w:rsidR="00E5460A" w:rsidRPr="00A07F29">
        <w:rPr>
          <w:rFonts w:ascii="Times New Roman" w:eastAsia="Noto Sans CJK SC" w:hAnsi="Times New Roman" w:cs="Lohit Devanagari"/>
          <w:kern w:val="2"/>
          <w:sz w:val="24"/>
          <w:szCs w:val="24"/>
          <w:lang w:eastAsia="zh-CN" w:bidi="hi-IN"/>
        </w:rPr>
        <w:t> </w:t>
      </w:r>
      <w:r w:rsidRPr="00A07F29">
        <w:rPr>
          <w:rFonts w:ascii="Times New Roman" w:eastAsia="Noto Sans CJK SC" w:hAnsi="Times New Roman" w:cs="Lohit Devanagari"/>
          <w:kern w:val="2"/>
          <w:sz w:val="24"/>
          <w:szCs w:val="24"/>
          <w:lang w:eastAsia="zh-CN" w:bidi="hi-IN"/>
        </w:rPr>
        <w:t>950</w:t>
      </w:r>
      <w:r w:rsidR="00E5460A" w:rsidRPr="00A07F29">
        <w:rPr>
          <w:rFonts w:ascii="Times New Roman" w:eastAsia="Noto Sans CJK SC" w:hAnsi="Times New Roman" w:cs="Lohit Devanagari"/>
          <w:kern w:val="2"/>
          <w:sz w:val="24"/>
          <w:szCs w:val="24"/>
          <w:lang w:eastAsia="zh-CN" w:bidi="hi-IN"/>
        </w:rPr>
        <w:t> </w:t>
      </w:r>
      <w:r w:rsidRPr="00A07F29">
        <w:rPr>
          <w:rFonts w:ascii="Times New Roman" w:eastAsia="Noto Sans CJK SC" w:hAnsi="Times New Roman" w:cs="Lohit Devanagari"/>
          <w:kern w:val="2"/>
          <w:sz w:val="24"/>
          <w:szCs w:val="24"/>
          <w:lang w:eastAsia="zh-CN" w:bidi="hi-IN"/>
        </w:rPr>
        <w:t>m</w:t>
      </w:r>
      <w:r w:rsidRPr="00A07F29">
        <w:rPr>
          <w:rFonts w:ascii="Times New Roman" w:eastAsia="Noto Sans CJK SC" w:hAnsi="Times New Roman" w:cs="Lohit Devanagari"/>
          <w:kern w:val="2"/>
          <w:sz w:val="24"/>
          <w:szCs w:val="24"/>
          <w:vertAlign w:val="superscript"/>
          <w:lang w:eastAsia="zh-CN" w:bidi="hi-IN"/>
        </w:rPr>
        <w:t>3</w:t>
      </w:r>
      <w:r w:rsidRPr="00A07F29">
        <w:rPr>
          <w:rFonts w:ascii="Times New Roman" w:eastAsia="Noto Sans CJK SC" w:hAnsi="Times New Roman" w:cs="Lohit Devanagari"/>
          <w:kern w:val="2"/>
          <w:sz w:val="24"/>
          <w:szCs w:val="24"/>
          <w:lang w:eastAsia="zh-CN" w:bidi="hi-IN"/>
        </w:rPr>
        <w:t xml:space="preserve"> un </w:t>
      </w:r>
      <w:r w:rsidR="00633DDB" w:rsidRPr="00A07F29">
        <w:rPr>
          <w:rFonts w:ascii="Times New Roman" w:eastAsia="Noto Sans CJK SC" w:hAnsi="Times New Roman" w:cs="Lohit Devanagari"/>
          <w:kern w:val="2"/>
          <w:sz w:val="24"/>
          <w:szCs w:val="24"/>
          <w:lang w:eastAsia="zh-CN" w:bidi="hi-IN"/>
        </w:rPr>
        <w:t xml:space="preserve">ir </w:t>
      </w:r>
      <w:r w:rsidRPr="00A07F29">
        <w:rPr>
          <w:rFonts w:ascii="Times New Roman" w:eastAsia="Noto Sans CJK SC" w:hAnsi="Times New Roman" w:cs="Lohit Devanagari"/>
          <w:kern w:val="2"/>
          <w:sz w:val="24"/>
          <w:szCs w:val="24"/>
          <w:lang w:eastAsia="zh-CN" w:bidi="hi-IN"/>
        </w:rPr>
        <w:t>0,9</w:t>
      </w:r>
      <w:r w:rsidR="00E5460A" w:rsidRPr="00A07F29">
        <w:rPr>
          <w:rFonts w:ascii="Times New Roman" w:eastAsia="Noto Sans CJK SC" w:hAnsi="Times New Roman" w:cs="Lohit Devanagari"/>
          <w:kern w:val="2"/>
          <w:sz w:val="24"/>
          <w:szCs w:val="24"/>
          <w:lang w:eastAsia="zh-CN" w:bidi="hi-IN"/>
        </w:rPr>
        <w:t> </w:t>
      </w:r>
      <w:r w:rsidRPr="00A07F29">
        <w:rPr>
          <w:rFonts w:ascii="Times New Roman" w:eastAsia="Noto Sans CJK SC" w:hAnsi="Times New Roman" w:cs="Lohit Devanagari"/>
          <w:kern w:val="2"/>
          <w:sz w:val="24"/>
          <w:szCs w:val="24"/>
          <w:lang w:eastAsia="zh-CN" w:bidi="hi-IN"/>
        </w:rPr>
        <w:t>% no visu Latvijas ezeru kopējā ūdens tilpuma (</w:t>
      </w:r>
      <w:r w:rsidR="00633DDB" w:rsidRPr="00A07F29">
        <w:rPr>
          <w:rFonts w:ascii="Times New Roman" w:eastAsia="Noto Sans CJK SC" w:hAnsi="Times New Roman" w:cs="Lohit Devanagari"/>
          <w:kern w:val="2"/>
          <w:sz w:val="24"/>
          <w:szCs w:val="24"/>
          <w:lang w:eastAsia="zh-CN" w:bidi="hi-IN"/>
        </w:rPr>
        <w:t>2 </w:t>
      </w:r>
      <w:r w:rsidRPr="00A07F29">
        <w:rPr>
          <w:rFonts w:ascii="Times New Roman" w:eastAsia="Noto Sans CJK SC" w:hAnsi="Times New Roman" w:cs="Lohit Devanagari"/>
          <w:kern w:val="2"/>
          <w:sz w:val="24"/>
          <w:szCs w:val="24"/>
          <w:lang w:eastAsia="zh-CN" w:bidi="hi-IN"/>
        </w:rPr>
        <w:t>km</w:t>
      </w:r>
      <w:r w:rsidRPr="00A07F29">
        <w:rPr>
          <w:rFonts w:ascii="Times New Roman" w:eastAsia="Noto Sans CJK SC" w:hAnsi="Times New Roman" w:cs="Lohit Devanagari"/>
          <w:kern w:val="2"/>
          <w:sz w:val="24"/>
          <w:szCs w:val="24"/>
          <w:vertAlign w:val="superscript"/>
          <w:lang w:eastAsia="zh-CN" w:bidi="hi-IN"/>
        </w:rPr>
        <w:t>3</w:t>
      </w:r>
      <w:r w:rsidRPr="00A07F29">
        <w:rPr>
          <w:rFonts w:ascii="Times New Roman" w:eastAsia="Noto Sans CJK SC" w:hAnsi="Times New Roman" w:cs="Lohit Devanagari"/>
          <w:kern w:val="2"/>
          <w:sz w:val="24"/>
          <w:szCs w:val="24"/>
          <w:lang w:eastAsia="zh-CN" w:bidi="hi-IN"/>
        </w:rPr>
        <w:t>) (</w:t>
      </w:r>
      <w:r w:rsidR="00F45C93" w:rsidRPr="00A07F29">
        <w:rPr>
          <w:rFonts w:ascii="Times New Roman" w:eastAsia="Noto Sans CJK SC" w:hAnsi="Times New Roman" w:cs="Lohit Devanagari"/>
          <w:kern w:val="2"/>
          <w:sz w:val="24"/>
          <w:szCs w:val="24"/>
          <w:lang w:eastAsia="zh-CN" w:bidi="hi-IN"/>
        </w:rPr>
        <w:t xml:space="preserve">skat. </w:t>
      </w:r>
      <w:r w:rsidRPr="00A07F29">
        <w:rPr>
          <w:rFonts w:ascii="Times New Roman" w:eastAsia="Noto Sans CJK SC" w:hAnsi="Times New Roman" w:cs="Lohit Devanagari"/>
          <w:kern w:val="2"/>
          <w:sz w:val="24"/>
          <w:szCs w:val="24"/>
          <w:lang w:eastAsia="zh-CN" w:bidi="hi-IN"/>
        </w:rPr>
        <w:t>2.1.</w:t>
      </w:r>
      <w:r w:rsidR="00F45C93" w:rsidRPr="00A07F29">
        <w:rPr>
          <w:rFonts w:ascii="Times New Roman" w:eastAsia="Noto Sans CJK SC" w:hAnsi="Times New Roman" w:cs="Lohit Devanagari"/>
          <w:kern w:val="2"/>
          <w:sz w:val="24"/>
          <w:szCs w:val="24"/>
          <w:lang w:eastAsia="zh-CN" w:bidi="hi-IN"/>
        </w:rPr>
        <w:t> </w:t>
      </w:r>
      <w:r w:rsidRPr="00A07F29">
        <w:rPr>
          <w:rFonts w:ascii="Times New Roman" w:eastAsia="Noto Sans CJK SC" w:hAnsi="Times New Roman" w:cs="Lohit Devanagari"/>
          <w:kern w:val="2"/>
          <w:sz w:val="24"/>
          <w:szCs w:val="24"/>
          <w:lang w:eastAsia="zh-CN" w:bidi="hi-IN"/>
        </w:rPr>
        <w:t>pielikums) (Kļaviņš</w:t>
      </w:r>
      <w:r w:rsidR="009F4206" w:rsidRPr="00A07F29">
        <w:rPr>
          <w:rFonts w:ascii="Times New Roman" w:eastAsia="Noto Sans CJK SC" w:hAnsi="Times New Roman" w:cs="Lohit Devanagari"/>
          <w:kern w:val="2"/>
          <w:sz w:val="24"/>
          <w:szCs w:val="24"/>
          <w:lang w:eastAsia="zh-CN" w:bidi="hi-IN"/>
        </w:rPr>
        <w:t xml:space="preserve"> M.</w:t>
      </w:r>
      <w:r w:rsidRPr="00A07F29">
        <w:rPr>
          <w:rFonts w:ascii="Times New Roman" w:eastAsia="Noto Sans CJK SC" w:hAnsi="Times New Roman" w:cs="Lohit Devanagari"/>
          <w:kern w:val="2"/>
          <w:sz w:val="24"/>
          <w:szCs w:val="24"/>
          <w:lang w:eastAsia="zh-CN" w:bidi="hi-IN"/>
        </w:rPr>
        <w:t>, Cimdiņš</w:t>
      </w:r>
      <w:r w:rsidR="009F4206" w:rsidRPr="00A07F29">
        <w:rPr>
          <w:rFonts w:ascii="Times New Roman" w:eastAsia="Noto Sans CJK SC" w:hAnsi="Times New Roman" w:cs="Lohit Devanagari"/>
          <w:kern w:val="2"/>
          <w:sz w:val="24"/>
          <w:szCs w:val="24"/>
          <w:lang w:eastAsia="zh-CN" w:bidi="hi-IN"/>
        </w:rPr>
        <w:t xml:space="preserve"> P.</w:t>
      </w:r>
      <w:r w:rsidRPr="00A07F29">
        <w:rPr>
          <w:rFonts w:ascii="Times New Roman" w:eastAsia="Noto Sans CJK SC" w:hAnsi="Times New Roman" w:cs="Lohit Devanagari"/>
          <w:kern w:val="2"/>
          <w:sz w:val="24"/>
          <w:szCs w:val="24"/>
          <w:lang w:eastAsia="zh-CN" w:bidi="hi-IN"/>
        </w:rPr>
        <w:t>, 2004).</w:t>
      </w:r>
    </w:p>
    <w:p w14:paraId="768D0CC3" w14:textId="77777777" w:rsidR="00997A72" w:rsidRPr="00A07F29" w:rsidRDefault="00997A72" w:rsidP="00997A72">
      <w:pPr>
        <w:widowControl w:val="0"/>
        <w:spacing w:after="0" w:line="240" w:lineRule="auto"/>
        <w:ind w:right="26"/>
        <w:jc w:val="both"/>
        <w:rPr>
          <w:rFonts w:ascii="Times New Roman" w:eastAsia="Noto Sans CJK SC" w:hAnsi="Times New Roman" w:cs="Lohit Devanagari"/>
          <w:kern w:val="2"/>
          <w:sz w:val="24"/>
          <w:szCs w:val="24"/>
          <w:lang w:eastAsia="zh-CN" w:bidi="hi-IN"/>
        </w:rPr>
      </w:pPr>
    </w:p>
    <w:p w14:paraId="1C2F9C03" w14:textId="77777777" w:rsidR="00997A72" w:rsidRPr="00A07F29" w:rsidRDefault="00997A72" w:rsidP="00180490">
      <w:pPr>
        <w:keepNext/>
        <w:widowControl w:val="0"/>
        <w:spacing w:after="0" w:line="240" w:lineRule="auto"/>
        <w:ind w:right="28"/>
        <w:jc w:val="both"/>
        <w:rPr>
          <w:rFonts w:ascii="Liberation Serif" w:eastAsia="Noto Sans CJK SC" w:hAnsi="Liberation Serif" w:cs="Lohit Devanagari"/>
          <w:kern w:val="2"/>
          <w:sz w:val="24"/>
          <w:szCs w:val="24"/>
          <w:lang w:eastAsia="zh-CN" w:bidi="hi-IN"/>
        </w:rPr>
      </w:pPr>
      <w:r w:rsidRPr="00A07F29">
        <w:rPr>
          <w:rFonts w:ascii="Times New Roman" w:eastAsia="Noto Sans CJK SC" w:hAnsi="Times New Roman" w:cs="Lohit Devanagari"/>
          <w:b/>
          <w:i/>
          <w:kern w:val="2"/>
          <w:sz w:val="24"/>
          <w:szCs w:val="24"/>
          <w:lang w:eastAsia="zh-CN" w:bidi="hi-IN"/>
        </w:rPr>
        <w:t>Ezeru ūdens caurredzamība</w:t>
      </w:r>
    </w:p>
    <w:p w14:paraId="6980ECA3" w14:textId="068C0CC3" w:rsidR="00997A72" w:rsidRPr="00A07F29" w:rsidRDefault="00997A72" w:rsidP="00061CE0">
      <w:pPr>
        <w:widowControl w:val="0"/>
        <w:spacing w:after="0" w:line="240" w:lineRule="auto"/>
        <w:ind w:right="26" w:firstLine="851"/>
        <w:jc w:val="both"/>
        <w:rPr>
          <w:rFonts w:ascii="Liberation Serif" w:eastAsia="Noto Sans CJK SC" w:hAnsi="Liberation Serif" w:cs="Lohit Devanagari"/>
          <w:kern w:val="2"/>
          <w:sz w:val="24"/>
          <w:szCs w:val="24"/>
          <w:lang w:eastAsia="zh-CN" w:bidi="hi-IN"/>
        </w:rPr>
      </w:pPr>
      <w:r w:rsidRPr="00A07F29">
        <w:rPr>
          <w:rFonts w:ascii="Times New Roman" w:eastAsia="Noto Sans CJK SC" w:hAnsi="Times New Roman" w:cs="Lohit Devanagari"/>
          <w:kern w:val="2"/>
          <w:sz w:val="24"/>
          <w:szCs w:val="24"/>
          <w:lang w:eastAsia="zh-CN" w:bidi="hi-IN"/>
        </w:rPr>
        <w:t xml:space="preserve">Ūdens caurredzamība ir viens no svarīgākajiem ezera ūdens kvalitātes rādītājiem, no kuriem tieši atkarīgs Saules gaismas iespiešanās un ar to saistītās </w:t>
      </w:r>
      <w:proofErr w:type="spellStart"/>
      <w:r w:rsidRPr="00A07F29">
        <w:rPr>
          <w:rFonts w:ascii="Times New Roman" w:eastAsia="Noto Sans CJK SC" w:hAnsi="Times New Roman" w:cs="Lohit Devanagari"/>
          <w:kern w:val="2"/>
          <w:sz w:val="24"/>
          <w:szCs w:val="24"/>
          <w:lang w:eastAsia="zh-CN" w:bidi="hi-IN"/>
        </w:rPr>
        <w:t>makrofītu</w:t>
      </w:r>
      <w:proofErr w:type="spellEnd"/>
      <w:r w:rsidRPr="00A07F29">
        <w:rPr>
          <w:rFonts w:ascii="Times New Roman" w:eastAsia="Noto Sans CJK SC" w:hAnsi="Times New Roman" w:cs="Lohit Devanagari"/>
          <w:kern w:val="2"/>
          <w:sz w:val="24"/>
          <w:szCs w:val="24"/>
          <w:lang w:eastAsia="zh-CN" w:bidi="hi-IN"/>
        </w:rPr>
        <w:t xml:space="preserve"> veģetācijas sastopamības dziļums. Pēc ūdens caurredzamības lielā mērā vērtē ūdenstilpju stāvokli un zināmā mērā var iegūt informāc</w:t>
      </w:r>
      <w:r w:rsidR="3D7AAF2D" w:rsidRPr="00A07F29">
        <w:rPr>
          <w:rFonts w:ascii="Times New Roman" w:eastAsia="Noto Sans CJK SC" w:hAnsi="Times New Roman" w:cs="Lohit Devanagari"/>
          <w:kern w:val="2"/>
          <w:sz w:val="24"/>
          <w:szCs w:val="24"/>
          <w:lang w:eastAsia="zh-CN" w:bidi="hi-IN"/>
        </w:rPr>
        <w:t>i</w:t>
      </w:r>
      <w:r w:rsidRPr="00A07F29">
        <w:rPr>
          <w:rFonts w:ascii="Times New Roman" w:eastAsia="Noto Sans CJK SC" w:hAnsi="Times New Roman" w:cs="Lohit Devanagari"/>
          <w:kern w:val="2"/>
          <w:sz w:val="24"/>
          <w:szCs w:val="24"/>
          <w:lang w:eastAsia="zh-CN" w:bidi="hi-IN"/>
        </w:rPr>
        <w:t xml:space="preserve">ju par barības vielu daudzumu ezerā jeb noteikt tā </w:t>
      </w:r>
      <w:proofErr w:type="spellStart"/>
      <w:r w:rsidRPr="00A07F29">
        <w:rPr>
          <w:rFonts w:ascii="Times New Roman" w:eastAsia="Noto Sans CJK SC" w:hAnsi="Times New Roman" w:cs="Lohit Devanagari"/>
          <w:kern w:val="2"/>
          <w:sz w:val="24"/>
          <w:szCs w:val="24"/>
          <w:lang w:eastAsia="zh-CN" w:bidi="hi-IN"/>
        </w:rPr>
        <w:t>biolimnoloģisko</w:t>
      </w:r>
      <w:proofErr w:type="spellEnd"/>
      <w:r w:rsidRPr="00A07F29">
        <w:rPr>
          <w:rFonts w:ascii="Times New Roman" w:eastAsia="Noto Sans CJK SC" w:hAnsi="Times New Roman" w:cs="Lohit Devanagari"/>
          <w:kern w:val="2"/>
          <w:sz w:val="24"/>
          <w:szCs w:val="24"/>
          <w:lang w:eastAsia="zh-CN" w:bidi="hi-IN"/>
        </w:rPr>
        <w:t xml:space="preserve"> tipu (</w:t>
      </w:r>
      <w:proofErr w:type="spellStart"/>
      <w:r w:rsidRPr="00A07F29">
        <w:rPr>
          <w:rFonts w:ascii="Times New Roman" w:eastAsia="Noto Sans CJK SC" w:hAnsi="Times New Roman" w:cs="Lohit Devanagari"/>
          <w:kern w:val="2"/>
          <w:sz w:val="24"/>
          <w:szCs w:val="24"/>
          <w:lang w:eastAsia="zh-CN" w:bidi="hi-IN"/>
        </w:rPr>
        <w:t>Melluma</w:t>
      </w:r>
      <w:proofErr w:type="spellEnd"/>
      <w:r w:rsidR="007A594D" w:rsidRPr="00A07F29">
        <w:rPr>
          <w:rFonts w:ascii="Times New Roman" w:eastAsia="Noto Sans CJK SC" w:hAnsi="Times New Roman" w:cs="Lohit Devanagari"/>
          <w:kern w:val="2"/>
          <w:sz w:val="24"/>
          <w:szCs w:val="24"/>
          <w:lang w:eastAsia="zh-CN" w:bidi="hi-IN"/>
        </w:rPr>
        <w:t xml:space="preserve"> A.</w:t>
      </w:r>
      <w:r w:rsidRPr="00A07F29">
        <w:rPr>
          <w:rFonts w:ascii="Times New Roman" w:eastAsia="Noto Sans CJK SC" w:hAnsi="Times New Roman" w:cs="Lohit Devanagari"/>
          <w:kern w:val="2"/>
          <w:sz w:val="24"/>
          <w:szCs w:val="24"/>
          <w:lang w:eastAsia="zh-CN" w:bidi="hi-IN"/>
        </w:rPr>
        <w:t xml:space="preserve">, </w:t>
      </w:r>
      <w:proofErr w:type="spellStart"/>
      <w:r w:rsidRPr="00A07F29">
        <w:rPr>
          <w:rFonts w:ascii="Times New Roman" w:eastAsia="Noto Sans CJK SC" w:hAnsi="Times New Roman" w:cs="Lohit Devanagari"/>
          <w:kern w:val="2"/>
          <w:sz w:val="24"/>
          <w:szCs w:val="24"/>
          <w:lang w:eastAsia="zh-CN" w:bidi="hi-IN"/>
        </w:rPr>
        <w:t>Leinerte</w:t>
      </w:r>
      <w:proofErr w:type="spellEnd"/>
      <w:r w:rsidR="007A594D" w:rsidRPr="00A07F29">
        <w:rPr>
          <w:rFonts w:ascii="Times New Roman" w:eastAsia="Noto Sans CJK SC" w:hAnsi="Times New Roman" w:cs="Lohit Devanagari"/>
          <w:kern w:val="2"/>
          <w:sz w:val="24"/>
          <w:szCs w:val="24"/>
          <w:lang w:eastAsia="zh-CN" w:bidi="hi-IN"/>
        </w:rPr>
        <w:t xml:space="preserve"> M.</w:t>
      </w:r>
      <w:r w:rsidRPr="00A07F29">
        <w:rPr>
          <w:rFonts w:ascii="Times New Roman" w:eastAsia="Noto Sans CJK SC" w:hAnsi="Times New Roman" w:cs="Lohit Devanagari"/>
          <w:kern w:val="2"/>
          <w:sz w:val="24"/>
          <w:szCs w:val="24"/>
          <w:lang w:eastAsia="zh-CN" w:bidi="hi-IN"/>
        </w:rPr>
        <w:t xml:space="preserve">, 1992). Zināms, ja mazas ūdens caurredzamības apstākļos saules gaisma vairs neiespiežas līdz ezera dibenam un skābekļa koncentrācija </w:t>
      </w:r>
      <w:proofErr w:type="spellStart"/>
      <w:r w:rsidRPr="00A07F29">
        <w:rPr>
          <w:rFonts w:ascii="Times New Roman" w:eastAsia="Noto Sans CJK SC" w:hAnsi="Times New Roman" w:cs="Lohit Devanagari"/>
          <w:kern w:val="2"/>
          <w:sz w:val="24"/>
          <w:szCs w:val="24"/>
          <w:lang w:eastAsia="zh-CN" w:bidi="hi-IN"/>
        </w:rPr>
        <w:t>piegrunts</w:t>
      </w:r>
      <w:proofErr w:type="spellEnd"/>
      <w:r w:rsidRPr="00A07F29">
        <w:rPr>
          <w:rFonts w:ascii="Times New Roman" w:eastAsia="Noto Sans CJK SC" w:hAnsi="Times New Roman" w:cs="Lohit Devanagari"/>
          <w:kern w:val="2"/>
          <w:sz w:val="24"/>
          <w:szCs w:val="24"/>
          <w:lang w:eastAsia="zh-CN" w:bidi="hi-IN"/>
        </w:rPr>
        <w:t xml:space="preserve"> slānī kļūst mazāka par 50</w:t>
      </w:r>
      <w:r w:rsidR="000E514A" w:rsidRPr="00A07F29">
        <w:rPr>
          <w:rFonts w:ascii="Times New Roman" w:eastAsia="Noto Sans CJK SC" w:hAnsi="Times New Roman" w:cs="Lohit Devanagari"/>
          <w:kern w:val="2"/>
          <w:sz w:val="24"/>
          <w:szCs w:val="24"/>
          <w:lang w:eastAsia="zh-CN" w:bidi="hi-IN"/>
        </w:rPr>
        <w:t> </w:t>
      </w:r>
      <w:r w:rsidRPr="00A07F29">
        <w:rPr>
          <w:rFonts w:ascii="Times New Roman" w:eastAsia="Noto Sans CJK SC" w:hAnsi="Times New Roman" w:cs="Lohit Devanagari"/>
          <w:kern w:val="2"/>
          <w:sz w:val="24"/>
          <w:szCs w:val="24"/>
          <w:lang w:eastAsia="zh-CN" w:bidi="hi-IN"/>
        </w:rPr>
        <w:t>% no teorētiski iespējamā piesātinājuma attiecīgajā temperatūrā, ezera nogulumos saistītais fosfors atbrīvojas un nonāk ezera vielu apritē, uzsākot neatgriezenisku un strauju ezera kvalitātes pasliktināšanos (Urtāne</w:t>
      </w:r>
      <w:r w:rsidR="00244B83">
        <w:rPr>
          <w:rFonts w:ascii="Times New Roman" w:eastAsia="Noto Sans CJK SC" w:hAnsi="Times New Roman" w:cs="Lohit Devanagari"/>
          <w:kern w:val="2"/>
          <w:sz w:val="24"/>
          <w:szCs w:val="24"/>
          <w:lang w:eastAsia="zh-CN" w:bidi="hi-IN"/>
        </w:rPr>
        <w:t xml:space="preserve"> L.,</w:t>
      </w:r>
      <w:r w:rsidRPr="00A07F29">
        <w:rPr>
          <w:rFonts w:ascii="Times New Roman" w:eastAsia="Noto Sans CJK SC" w:hAnsi="Times New Roman" w:cs="Lohit Devanagari"/>
          <w:kern w:val="2"/>
          <w:sz w:val="24"/>
          <w:szCs w:val="24"/>
          <w:lang w:eastAsia="zh-CN" w:bidi="hi-IN"/>
        </w:rPr>
        <w:t xml:space="preserve"> 2014).</w:t>
      </w:r>
    </w:p>
    <w:p w14:paraId="4C7D527D" w14:textId="290E0A56" w:rsidR="00997A72" w:rsidRPr="00A07F29" w:rsidRDefault="00997A72" w:rsidP="00061CE0">
      <w:pPr>
        <w:widowControl w:val="0"/>
        <w:spacing w:after="0" w:line="240" w:lineRule="auto"/>
        <w:ind w:right="26" w:firstLine="851"/>
        <w:jc w:val="both"/>
        <w:rPr>
          <w:rFonts w:ascii="Liberation Serif" w:eastAsia="Noto Sans CJK SC" w:hAnsi="Liberation Serif" w:cs="Lohit Devanagari"/>
          <w:kern w:val="2"/>
          <w:sz w:val="24"/>
          <w:szCs w:val="24"/>
          <w:lang w:eastAsia="zh-CN" w:bidi="hi-IN"/>
        </w:rPr>
      </w:pPr>
      <w:r w:rsidRPr="00A07F29">
        <w:rPr>
          <w:rFonts w:ascii="Times New Roman" w:eastAsia="Noto Sans CJK SC" w:hAnsi="Times New Roman" w:cs="Lohit Devanagari"/>
          <w:kern w:val="2"/>
          <w:sz w:val="24"/>
          <w:szCs w:val="24"/>
          <w:lang w:eastAsia="zh-CN" w:bidi="hi-IN"/>
        </w:rPr>
        <w:t>Pēdējo 23</w:t>
      </w:r>
      <w:r w:rsidR="002823E3" w:rsidRPr="00A07F29">
        <w:rPr>
          <w:rFonts w:ascii="Times New Roman" w:eastAsia="Noto Sans CJK SC" w:hAnsi="Times New Roman" w:cs="Lohit Devanagari"/>
          <w:kern w:val="2"/>
          <w:sz w:val="24"/>
          <w:szCs w:val="24"/>
          <w:lang w:eastAsia="zh-CN" w:bidi="hi-IN"/>
        </w:rPr>
        <w:t> – </w:t>
      </w:r>
      <w:r w:rsidRPr="00A07F29">
        <w:rPr>
          <w:rFonts w:ascii="Times New Roman" w:eastAsia="Noto Sans CJK SC" w:hAnsi="Times New Roman" w:cs="Lohit Devanagari"/>
          <w:kern w:val="2"/>
          <w:sz w:val="24"/>
          <w:szCs w:val="24"/>
          <w:lang w:eastAsia="zh-CN" w:bidi="hi-IN"/>
        </w:rPr>
        <w:t xml:space="preserve">49 gadu laikā lielākajā daļā AAA “Augšdaugava” </w:t>
      </w:r>
      <w:r w:rsidR="00061CE0" w:rsidRPr="00A07F29">
        <w:rPr>
          <w:rFonts w:ascii="Times New Roman" w:eastAsia="Noto Sans CJK SC" w:hAnsi="Times New Roman" w:cs="Lohit Devanagari"/>
          <w:kern w:val="2"/>
          <w:sz w:val="24"/>
          <w:szCs w:val="24"/>
          <w:lang w:eastAsia="zh-CN" w:bidi="hi-IN"/>
        </w:rPr>
        <w:t xml:space="preserve">ezeru </w:t>
      </w:r>
      <w:r w:rsidR="00A47E1E" w:rsidRPr="00A07F29">
        <w:rPr>
          <w:rFonts w:ascii="Times New Roman" w:eastAsia="Noto Sans CJK SC" w:hAnsi="Times New Roman" w:cs="Lohit Devanagari"/>
          <w:kern w:val="2"/>
          <w:sz w:val="24"/>
          <w:szCs w:val="24"/>
          <w:lang w:eastAsia="zh-CN" w:bidi="hi-IN"/>
        </w:rPr>
        <w:t xml:space="preserve">ir </w:t>
      </w:r>
      <w:r w:rsidRPr="00A07F29">
        <w:rPr>
          <w:rFonts w:ascii="Times New Roman" w:eastAsia="Noto Sans CJK SC" w:hAnsi="Times New Roman" w:cs="Lohit Devanagari"/>
          <w:kern w:val="2"/>
          <w:sz w:val="24"/>
          <w:szCs w:val="24"/>
          <w:lang w:eastAsia="zh-CN" w:bidi="hi-IN"/>
        </w:rPr>
        <w:t xml:space="preserve">notikušas mazāk vai vairāk ievērojamas ūdens </w:t>
      </w:r>
      <w:r w:rsidR="00A47E1E" w:rsidRPr="00A07F29">
        <w:rPr>
          <w:rFonts w:ascii="Times New Roman" w:eastAsia="Noto Sans CJK SC" w:hAnsi="Times New Roman" w:cs="Lohit Devanagari"/>
          <w:kern w:val="2"/>
          <w:sz w:val="24"/>
          <w:szCs w:val="24"/>
          <w:lang w:eastAsia="zh-CN" w:bidi="hi-IN"/>
        </w:rPr>
        <w:t xml:space="preserve">caurredzamības </w:t>
      </w:r>
      <w:r w:rsidRPr="00A07F29">
        <w:rPr>
          <w:rFonts w:ascii="Times New Roman" w:eastAsia="Noto Sans CJK SC" w:hAnsi="Times New Roman" w:cs="Lohit Devanagari"/>
          <w:kern w:val="2"/>
          <w:sz w:val="24"/>
          <w:szCs w:val="24"/>
          <w:lang w:eastAsia="zh-CN" w:bidi="hi-IN"/>
        </w:rPr>
        <w:t xml:space="preserve">izmaiņas, kas palielināšanās gadījumā </w:t>
      </w:r>
      <w:r w:rsidRPr="00A07F29">
        <w:rPr>
          <w:rFonts w:ascii="Times New Roman" w:eastAsia="Noto Sans CJK SC" w:hAnsi="Times New Roman" w:cs="Lohit Devanagari"/>
          <w:kern w:val="2"/>
          <w:sz w:val="24"/>
          <w:szCs w:val="24"/>
          <w:lang w:eastAsia="zh-CN" w:bidi="hi-IN"/>
        </w:rPr>
        <w:lastRenderedPageBreak/>
        <w:t xml:space="preserve">izskaidrojamas ar ezeru atveseļošanos, bet samazināšanās gadījumā ar antropogēnās eitrofikācijas pastiprināšanos piesārņošanas, ūdens līmeņu paaugstināšanas un pastiprinātas </w:t>
      </w:r>
      <w:proofErr w:type="spellStart"/>
      <w:r w:rsidRPr="00A07F29">
        <w:rPr>
          <w:rFonts w:ascii="Times New Roman" w:eastAsia="Noto Sans CJK SC" w:hAnsi="Times New Roman" w:cs="Lohit Devanagari"/>
          <w:kern w:val="2"/>
          <w:sz w:val="24"/>
          <w:szCs w:val="24"/>
          <w:lang w:eastAsia="zh-CN" w:bidi="hi-IN"/>
        </w:rPr>
        <w:t>humusvielām</w:t>
      </w:r>
      <w:proofErr w:type="spellEnd"/>
      <w:r w:rsidRPr="00A07F29">
        <w:rPr>
          <w:rFonts w:ascii="Times New Roman" w:eastAsia="Noto Sans CJK SC" w:hAnsi="Times New Roman" w:cs="Lohit Devanagari"/>
          <w:kern w:val="2"/>
          <w:sz w:val="24"/>
          <w:szCs w:val="24"/>
          <w:lang w:eastAsia="zh-CN" w:bidi="hi-IN"/>
        </w:rPr>
        <w:t xml:space="preserve"> bagātu ūdeņu ieplūšanas no sateces baseiniem</w:t>
      </w:r>
      <w:r w:rsidR="00A47E1E" w:rsidRPr="00A07F29">
        <w:rPr>
          <w:rFonts w:ascii="Times New Roman" w:eastAsia="Noto Sans CJK SC" w:hAnsi="Times New Roman" w:cs="Lohit Devanagari"/>
          <w:kern w:val="2"/>
          <w:sz w:val="24"/>
          <w:szCs w:val="24"/>
          <w:lang w:eastAsia="zh-CN" w:bidi="hi-IN"/>
        </w:rPr>
        <w:t xml:space="preserve"> </w:t>
      </w:r>
      <w:r w:rsidR="00A47E1E" w:rsidRPr="00A07F29">
        <w:rPr>
          <w:rFonts w:ascii="Times New Roman" w:eastAsia="Calibri" w:hAnsi="Times New Roman" w:cs="Times New Roman"/>
          <w:sz w:val="24"/>
          <w:szCs w:val="24"/>
        </w:rPr>
        <w:t>(</w:t>
      </w:r>
      <w:r w:rsidR="00A62176" w:rsidRPr="00A07F29">
        <w:rPr>
          <w:rFonts w:ascii="Times New Roman" w:eastAsia="Calibri" w:hAnsi="Times New Roman" w:cs="Times New Roman"/>
          <w:sz w:val="24"/>
          <w:szCs w:val="24"/>
        </w:rPr>
        <w:t xml:space="preserve">skat. </w:t>
      </w:r>
      <w:r w:rsidR="00A47E1E" w:rsidRPr="00A07F29">
        <w:rPr>
          <w:rFonts w:ascii="Times New Roman" w:eastAsia="Calibri" w:hAnsi="Times New Roman" w:cs="Times New Roman"/>
          <w:sz w:val="24"/>
          <w:szCs w:val="24"/>
        </w:rPr>
        <w:t>2.1.</w:t>
      </w:r>
      <w:r w:rsidR="00A62176" w:rsidRPr="00A07F29">
        <w:rPr>
          <w:rFonts w:ascii="Times New Roman" w:eastAsia="Calibri" w:hAnsi="Times New Roman" w:cs="Times New Roman"/>
          <w:sz w:val="24"/>
          <w:szCs w:val="24"/>
        </w:rPr>
        <w:t> </w:t>
      </w:r>
      <w:r w:rsidR="00A47E1E" w:rsidRPr="00A07F29">
        <w:rPr>
          <w:rFonts w:ascii="Times New Roman" w:eastAsia="Calibri" w:hAnsi="Times New Roman" w:cs="Times New Roman"/>
          <w:sz w:val="24"/>
          <w:szCs w:val="24"/>
        </w:rPr>
        <w:t>pielikums)</w:t>
      </w:r>
      <w:r w:rsidRPr="00A07F29">
        <w:rPr>
          <w:rFonts w:ascii="Times New Roman" w:eastAsia="Noto Sans CJK SC" w:hAnsi="Times New Roman" w:cs="Lohit Devanagari"/>
          <w:kern w:val="2"/>
          <w:sz w:val="24"/>
          <w:szCs w:val="24"/>
          <w:lang w:eastAsia="zh-CN" w:bidi="hi-IN"/>
        </w:rPr>
        <w:t>.</w:t>
      </w:r>
      <w:r w:rsidR="00A47E1E" w:rsidRPr="00A07F29">
        <w:rPr>
          <w:rFonts w:ascii="Times New Roman" w:eastAsia="Noto Sans CJK SC" w:hAnsi="Times New Roman" w:cs="Lohit Devanagari"/>
          <w:kern w:val="2"/>
          <w:sz w:val="24"/>
          <w:szCs w:val="24"/>
          <w:lang w:eastAsia="zh-CN" w:bidi="hi-IN"/>
        </w:rPr>
        <w:t xml:space="preserve"> </w:t>
      </w:r>
      <w:r w:rsidRPr="00A07F29">
        <w:rPr>
          <w:rFonts w:ascii="Times New Roman" w:eastAsia="Noto Sans CJK SC" w:hAnsi="Times New Roman" w:cs="Lohit Devanagari"/>
          <w:kern w:val="2"/>
          <w:sz w:val="24"/>
          <w:szCs w:val="24"/>
          <w:lang w:eastAsia="zh-CN" w:bidi="hi-IN"/>
        </w:rPr>
        <w:t xml:space="preserve">Ūdens caurredzamība diemžēl ir pasliktinājusies </w:t>
      </w:r>
      <w:r w:rsidR="7FC8C4C7" w:rsidRPr="00A07F29">
        <w:rPr>
          <w:rFonts w:ascii="Times New Roman" w:eastAsia="Noto Sans CJK SC" w:hAnsi="Times New Roman" w:cs="Lohit Devanagari"/>
          <w:kern w:val="2"/>
          <w:sz w:val="24"/>
          <w:szCs w:val="24"/>
          <w:lang w:eastAsia="zh-CN" w:bidi="hi-IN"/>
        </w:rPr>
        <w:t>16</w:t>
      </w:r>
      <w:r w:rsidRPr="00A07F29">
        <w:rPr>
          <w:rFonts w:ascii="Times New Roman" w:eastAsia="Noto Sans CJK SC" w:hAnsi="Times New Roman" w:cs="Lohit Devanagari"/>
          <w:kern w:val="2"/>
          <w:sz w:val="24"/>
          <w:szCs w:val="24"/>
          <w:lang w:eastAsia="zh-CN" w:bidi="hi-IN"/>
        </w:rPr>
        <w:t xml:space="preserve"> ezeros par 0,2</w:t>
      </w:r>
      <w:r w:rsidR="00A62176" w:rsidRPr="00A07F29">
        <w:rPr>
          <w:rFonts w:ascii="Times New Roman" w:eastAsia="Noto Sans CJK SC" w:hAnsi="Times New Roman" w:cs="Lohit Devanagari"/>
          <w:kern w:val="2"/>
          <w:sz w:val="24"/>
          <w:szCs w:val="24"/>
          <w:lang w:eastAsia="zh-CN" w:bidi="hi-IN"/>
        </w:rPr>
        <w:t> </w:t>
      </w:r>
      <w:r w:rsidRPr="00A07F29">
        <w:rPr>
          <w:rFonts w:ascii="Times New Roman" w:eastAsia="Noto Sans CJK SC" w:hAnsi="Times New Roman" w:cs="Lohit Devanagari"/>
          <w:kern w:val="2"/>
          <w:sz w:val="24"/>
          <w:szCs w:val="24"/>
          <w:lang w:eastAsia="zh-CN" w:bidi="hi-IN"/>
        </w:rPr>
        <w:t>-</w:t>
      </w:r>
      <w:r w:rsidR="00A62176" w:rsidRPr="00A07F29">
        <w:rPr>
          <w:rFonts w:ascii="Times New Roman" w:eastAsia="Noto Sans CJK SC" w:hAnsi="Times New Roman" w:cs="Lohit Devanagari"/>
          <w:kern w:val="2"/>
          <w:sz w:val="24"/>
          <w:szCs w:val="24"/>
          <w:lang w:eastAsia="zh-CN" w:bidi="hi-IN"/>
        </w:rPr>
        <w:t> </w:t>
      </w:r>
      <w:r w:rsidRPr="00A07F29">
        <w:rPr>
          <w:rFonts w:ascii="Times New Roman" w:eastAsia="Noto Sans CJK SC" w:hAnsi="Times New Roman" w:cs="Lohit Devanagari"/>
          <w:kern w:val="2"/>
          <w:sz w:val="24"/>
          <w:szCs w:val="24"/>
          <w:lang w:eastAsia="zh-CN" w:bidi="hi-IN"/>
        </w:rPr>
        <w:t>1,1</w:t>
      </w:r>
      <w:r w:rsidR="00A62176" w:rsidRPr="00A07F29">
        <w:rPr>
          <w:rFonts w:ascii="Times New Roman" w:eastAsia="Noto Sans CJK SC" w:hAnsi="Times New Roman" w:cs="Lohit Devanagari"/>
          <w:kern w:val="2"/>
          <w:sz w:val="24"/>
          <w:szCs w:val="24"/>
          <w:lang w:eastAsia="zh-CN" w:bidi="hi-IN"/>
        </w:rPr>
        <w:t> </w:t>
      </w:r>
      <w:r w:rsidRPr="00A07F29">
        <w:rPr>
          <w:rFonts w:ascii="Times New Roman" w:eastAsia="Noto Sans CJK SC" w:hAnsi="Times New Roman" w:cs="Lohit Devanagari"/>
          <w:kern w:val="2"/>
          <w:sz w:val="24"/>
          <w:szCs w:val="24"/>
          <w:lang w:eastAsia="zh-CN" w:bidi="hi-IN"/>
        </w:rPr>
        <w:t>m (58</w:t>
      </w:r>
      <w:r w:rsidR="00A62176" w:rsidRPr="00A07F29">
        <w:rPr>
          <w:rFonts w:ascii="Times New Roman" w:eastAsia="Noto Sans CJK SC" w:hAnsi="Times New Roman" w:cs="Lohit Devanagari"/>
          <w:kern w:val="2"/>
          <w:sz w:val="24"/>
          <w:szCs w:val="24"/>
          <w:lang w:eastAsia="zh-CN" w:bidi="hi-IN"/>
        </w:rPr>
        <w:t> </w:t>
      </w:r>
      <w:r w:rsidRPr="00A07F29">
        <w:rPr>
          <w:rFonts w:ascii="Times New Roman" w:eastAsia="Noto Sans CJK SC" w:hAnsi="Times New Roman" w:cs="Lohit Devanagari"/>
          <w:kern w:val="2"/>
          <w:sz w:val="24"/>
          <w:szCs w:val="24"/>
          <w:lang w:eastAsia="zh-CN" w:bidi="hi-IN"/>
        </w:rPr>
        <w:t xml:space="preserve">% no ezeru kopskaita): </w:t>
      </w:r>
      <w:proofErr w:type="spellStart"/>
      <w:r w:rsidRPr="00A07F29">
        <w:rPr>
          <w:rFonts w:ascii="Times New Roman" w:eastAsia="Noto Sans CJK SC" w:hAnsi="Times New Roman" w:cs="Lohit Devanagari"/>
          <w:kern w:val="2"/>
          <w:sz w:val="24"/>
          <w:szCs w:val="24"/>
          <w:lang w:eastAsia="zh-CN" w:bidi="hi-IN"/>
        </w:rPr>
        <w:t>Krivoje</w:t>
      </w:r>
      <w:proofErr w:type="spellEnd"/>
      <w:r w:rsidRPr="00A07F29">
        <w:rPr>
          <w:rFonts w:ascii="Times New Roman" w:eastAsia="Noto Sans CJK SC" w:hAnsi="Times New Roman" w:cs="Lohit Devanagari"/>
          <w:kern w:val="2"/>
          <w:sz w:val="24"/>
          <w:szCs w:val="24"/>
          <w:lang w:eastAsia="zh-CN" w:bidi="hi-IN"/>
        </w:rPr>
        <w:t xml:space="preserve">, </w:t>
      </w:r>
      <w:proofErr w:type="spellStart"/>
      <w:r w:rsidRPr="00A07F29">
        <w:rPr>
          <w:rFonts w:ascii="Times New Roman" w:eastAsia="Noto Sans CJK SC" w:hAnsi="Times New Roman" w:cs="Lohit Devanagari"/>
          <w:kern w:val="2"/>
          <w:sz w:val="24"/>
          <w:szCs w:val="24"/>
          <w:lang w:eastAsia="zh-CN" w:bidi="hi-IN"/>
        </w:rPr>
        <w:t>Varnaviču</w:t>
      </w:r>
      <w:proofErr w:type="spellEnd"/>
      <w:r w:rsidRPr="00A07F29">
        <w:rPr>
          <w:rFonts w:ascii="Times New Roman" w:eastAsia="Noto Sans CJK SC" w:hAnsi="Times New Roman" w:cs="Lohit Devanagari"/>
          <w:kern w:val="2"/>
          <w:sz w:val="24"/>
          <w:szCs w:val="24"/>
          <w:lang w:eastAsia="zh-CN" w:bidi="hi-IN"/>
        </w:rPr>
        <w:t>,</w:t>
      </w:r>
      <w:r w:rsidR="00BE7EA0" w:rsidRPr="00A07F29">
        <w:rPr>
          <w:rFonts w:ascii="Times New Roman" w:eastAsia="Noto Sans CJK SC" w:hAnsi="Times New Roman" w:cs="Lohit Devanagari"/>
          <w:kern w:val="2"/>
          <w:sz w:val="24"/>
          <w:szCs w:val="24"/>
          <w:lang w:eastAsia="zh-CN" w:bidi="hi-IN"/>
        </w:rPr>
        <w:t xml:space="preserve"> </w:t>
      </w:r>
      <w:proofErr w:type="spellStart"/>
      <w:r w:rsidRPr="00A07F29">
        <w:rPr>
          <w:rFonts w:ascii="Times New Roman" w:eastAsia="Noto Sans CJK SC" w:hAnsi="Times New Roman" w:cs="Lohit Devanagari"/>
          <w:kern w:val="2"/>
          <w:sz w:val="24"/>
          <w:szCs w:val="24"/>
          <w:lang w:eastAsia="zh-CN" w:bidi="hi-IN"/>
        </w:rPr>
        <w:t>Dolgoje</w:t>
      </w:r>
      <w:proofErr w:type="spellEnd"/>
      <w:r w:rsidRPr="00A07F29">
        <w:rPr>
          <w:rFonts w:ascii="Times New Roman" w:eastAsia="Noto Sans CJK SC" w:hAnsi="Times New Roman" w:cs="Lohit Devanagari"/>
          <w:kern w:val="2"/>
          <w:sz w:val="24"/>
          <w:szCs w:val="24"/>
          <w:lang w:eastAsia="zh-CN" w:bidi="hi-IN"/>
        </w:rPr>
        <w:t xml:space="preserve">, </w:t>
      </w:r>
      <w:proofErr w:type="spellStart"/>
      <w:r w:rsidRPr="00A07F29">
        <w:rPr>
          <w:rFonts w:ascii="Times New Roman" w:eastAsia="Noto Sans CJK SC" w:hAnsi="Times New Roman" w:cs="Lohit Devanagari"/>
          <w:kern w:val="2"/>
          <w:sz w:val="24"/>
          <w:szCs w:val="24"/>
          <w:lang w:eastAsia="zh-CN" w:bidi="hi-IN"/>
        </w:rPr>
        <w:t>Krugloje</w:t>
      </w:r>
      <w:proofErr w:type="spellEnd"/>
      <w:r w:rsidRPr="00A07F29">
        <w:rPr>
          <w:rFonts w:ascii="Times New Roman" w:eastAsia="Noto Sans CJK SC" w:hAnsi="Times New Roman" w:cs="Lohit Devanagari"/>
          <w:kern w:val="2"/>
          <w:sz w:val="24"/>
          <w:szCs w:val="24"/>
          <w:lang w:eastAsia="zh-CN" w:bidi="hi-IN"/>
        </w:rPr>
        <w:t>,</w:t>
      </w:r>
      <w:r w:rsidR="00BE7EA0" w:rsidRPr="00A07F29">
        <w:rPr>
          <w:rFonts w:ascii="Times New Roman" w:eastAsia="Noto Sans CJK SC" w:hAnsi="Times New Roman" w:cs="Lohit Devanagari"/>
          <w:kern w:val="2"/>
          <w:sz w:val="24"/>
          <w:szCs w:val="24"/>
          <w:lang w:eastAsia="zh-CN" w:bidi="hi-IN"/>
        </w:rPr>
        <w:t xml:space="preserve"> </w:t>
      </w:r>
      <w:r w:rsidRPr="00A07F29">
        <w:rPr>
          <w:rFonts w:ascii="Times New Roman" w:eastAsia="Noto Sans CJK SC" w:hAnsi="Times New Roman" w:cs="Lohit Devanagari"/>
          <w:kern w:val="2"/>
          <w:sz w:val="24"/>
          <w:szCs w:val="24"/>
          <w:lang w:eastAsia="zh-CN" w:bidi="hi-IN"/>
        </w:rPr>
        <w:t xml:space="preserve">Mazā </w:t>
      </w:r>
      <w:proofErr w:type="spellStart"/>
      <w:r w:rsidRPr="00A07F29">
        <w:rPr>
          <w:rFonts w:ascii="Times New Roman" w:eastAsia="Noto Sans CJK SC" w:hAnsi="Times New Roman" w:cs="Lohit Devanagari"/>
          <w:kern w:val="2"/>
          <w:sz w:val="24"/>
          <w:szCs w:val="24"/>
          <w:lang w:eastAsia="zh-CN" w:bidi="hi-IN"/>
        </w:rPr>
        <w:t>Borvinkas</w:t>
      </w:r>
      <w:proofErr w:type="spellEnd"/>
      <w:r w:rsidRPr="00A07F29">
        <w:rPr>
          <w:rFonts w:ascii="Times New Roman" w:eastAsia="Noto Sans CJK SC" w:hAnsi="Times New Roman" w:cs="Lohit Devanagari"/>
          <w:kern w:val="2"/>
          <w:sz w:val="24"/>
          <w:szCs w:val="24"/>
          <w:lang w:eastAsia="zh-CN" w:bidi="hi-IN"/>
        </w:rPr>
        <w:t>,</w:t>
      </w:r>
      <w:r w:rsidR="00BE7EA0" w:rsidRPr="00A07F29">
        <w:rPr>
          <w:rFonts w:ascii="Times New Roman" w:eastAsia="Noto Sans CJK SC" w:hAnsi="Times New Roman" w:cs="Lohit Devanagari"/>
          <w:kern w:val="2"/>
          <w:sz w:val="24"/>
          <w:szCs w:val="24"/>
          <w:lang w:eastAsia="zh-CN" w:bidi="hi-IN"/>
        </w:rPr>
        <w:t xml:space="preserve"> </w:t>
      </w:r>
      <w:proofErr w:type="spellStart"/>
      <w:r w:rsidRPr="00A07F29">
        <w:rPr>
          <w:rFonts w:ascii="Times New Roman" w:eastAsia="Noto Sans CJK SC" w:hAnsi="Times New Roman" w:cs="Lohit Devanagari"/>
          <w:kern w:val="2"/>
          <w:sz w:val="24"/>
          <w:szCs w:val="24"/>
          <w:lang w:eastAsia="zh-CN" w:bidi="hi-IN"/>
        </w:rPr>
        <w:t>Saučenku</w:t>
      </w:r>
      <w:proofErr w:type="spellEnd"/>
      <w:r w:rsidRPr="00A07F29">
        <w:rPr>
          <w:rFonts w:ascii="Times New Roman" w:eastAsia="Noto Sans CJK SC" w:hAnsi="Times New Roman" w:cs="Lohit Devanagari"/>
          <w:kern w:val="2"/>
          <w:sz w:val="24"/>
          <w:szCs w:val="24"/>
          <w:lang w:eastAsia="zh-CN" w:bidi="hi-IN"/>
        </w:rPr>
        <w:t xml:space="preserve">, Zariņu, </w:t>
      </w:r>
      <w:proofErr w:type="spellStart"/>
      <w:r w:rsidRPr="00A07F29">
        <w:rPr>
          <w:rFonts w:ascii="Times New Roman" w:eastAsia="Noto Sans CJK SC" w:hAnsi="Times New Roman" w:cs="Lohit Devanagari"/>
          <w:kern w:val="2"/>
          <w:sz w:val="24"/>
          <w:szCs w:val="24"/>
          <w:lang w:eastAsia="zh-CN" w:bidi="hi-IN"/>
        </w:rPr>
        <w:t>Dubimkas</w:t>
      </w:r>
      <w:proofErr w:type="spellEnd"/>
      <w:r w:rsidRPr="00A07F29">
        <w:rPr>
          <w:rFonts w:ascii="Times New Roman" w:eastAsia="Noto Sans CJK SC" w:hAnsi="Times New Roman" w:cs="Lohit Devanagari"/>
          <w:kern w:val="2"/>
          <w:sz w:val="24"/>
          <w:szCs w:val="24"/>
          <w:lang w:eastAsia="zh-CN" w:bidi="hi-IN"/>
        </w:rPr>
        <w:t xml:space="preserve">, </w:t>
      </w:r>
      <w:proofErr w:type="spellStart"/>
      <w:r w:rsidRPr="00A07F29">
        <w:rPr>
          <w:rFonts w:ascii="Times New Roman" w:eastAsia="Noto Sans CJK SC" w:hAnsi="Times New Roman" w:cs="Lohit Devanagari"/>
          <w:kern w:val="2"/>
          <w:sz w:val="24"/>
          <w:szCs w:val="24"/>
          <w:lang w:eastAsia="zh-CN" w:bidi="hi-IN"/>
        </w:rPr>
        <w:t>Mjaļinas</w:t>
      </w:r>
      <w:proofErr w:type="spellEnd"/>
      <w:r w:rsidRPr="00A07F29">
        <w:rPr>
          <w:rFonts w:ascii="Times New Roman" w:eastAsia="Noto Sans CJK SC" w:hAnsi="Times New Roman" w:cs="Lohit Devanagari"/>
          <w:kern w:val="2"/>
          <w:sz w:val="24"/>
          <w:szCs w:val="24"/>
          <w:lang w:eastAsia="zh-CN" w:bidi="hi-IN"/>
        </w:rPr>
        <w:t xml:space="preserve">, </w:t>
      </w:r>
      <w:proofErr w:type="spellStart"/>
      <w:r w:rsidRPr="00A07F29">
        <w:rPr>
          <w:rFonts w:ascii="Times New Roman" w:eastAsia="Noto Sans CJK SC" w:hAnsi="Times New Roman" w:cs="Lohit Devanagari"/>
          <w:kern w:val="2"/>
          <w:sz w:val="24"/>
          <w:szCs w:val="24"/>
          <w:lang w:eastAsia="zh-CN" w:bidi="hi-IN"/>
        </w:rPr>
        <w:t>Šilovkas</w:t>
      </w:r>
      <w:proofErr w:type="spellEnd"/>
      <w:r w:rsidRPr="00A07F29">
        <w:rPr>
          <w:rFonts w:ascii="Times New Roman" w:eastAsia="Noto Sans CJK SC" w:hAnsi="Times New Roman" w:cs="Lohit Devanagari"/>
          <w:kern w:val="2"/>
          <w:sz w:val="24"/>
          <w:szCs w:val="24"/>
          <w:lang w:eastAsia="zh-CN" w:bidi="hi-IN"/>
        </w:rPr>
        <w:t xml:space="preserve">, Kaudzīšu, </w:t>
      </w:r>
      <w:proofErr w:type="spellStart"/>
      <w:r w:rsidRPr="00A07F29">
        <w:rPr>
          <w:rFonts w:ascii="Times New Roman" w:eastAsia="Noto Sans CJK SC" w:hAnsi="Times New Roman" w:cs="Lohit Devanagari"/>
          <w:kern w:val="2"/>
          <w:sz w:val="24"/>
          <w:szCs w:val="24"/>
          <w:lang w:eastAsia="zh-CN" w:bidi="hi-IN"/>
        </w:rPr>
        <w:t>Riņģa</w:t>
      </w:r>
      <w:proofErr w:type="spellEnd"/>
      <w:r w:rsidRPr="00A07F29">
        <w:rPr>
          <w:rFonts w:ascii="Times New Roman" w:eastAsia="Noto Sans CJK SC" w:hAnsi="Times New Roman" w:cs="Lohit Devanagari"/>
          <w:kern w:val="2"/>
          <w:sz w:val="24"/>
          <w:szCs w:val="24"/>
          <w:lang w:eastAsia="zh-CN" w:bidi="hi-IN"/>
        </w:rPr>
        <w:t xml:space="preserve">, </w:t>
      </w:r>
      <w:proofErr w:type="spellStart"/>
      <w:r w:rsidRPr="00A07F29">
        <w:rPr>
          <w:rFonts w:ascii="Times New Roman" w:eastAsia="Noto Sans CJK SC" w:hAnsi="Times New Roman" w:cs="Lohit Devanagari"/>
          <w:kern w:val="2"/>
          <w:sz w:val="24"/>
          <w:szCs w:val="24"/>
          <w:lang w:eastAsia="zh-CN" w:bidi="hi-IN"/>
        </w:rPr>
        <w:t>Lukštānu</w:t>
      </w:r>
      <w:proofErr w:type="spellEnd"/>
      <w:r w:rsidRPr="00A07F29">
        <w:rPr>
          <w:rFonts w:ascii="Times New Roman" w:eastAsia="Noto Sans CJK SC" w:hAnsi="Times New Roman" w:cs="Lohit Devanagari"/>
          <w:kern w:val="2"/>
          <w:sz w:val="24"/>
          <w:szCs w:val="24"/>
          <w:lang w:eastAsia="zh-CN" w:bidi="hi-IN"/>
        </w:rPr>
        <w:t xml:space="preserve">, </w:t>
      </w:r>
      <w:proofErr w:type="spellStart"/>
      <w:r w:rsidRPr="00A07F29">
        <w:rPr>
          <w:rFonts w:ascii="Times New Roman" w:eastAsia="Noto Sans CJK SC" w:hAnsi="Times New Roman" w:cs="Lohit Devanagari"/>
          <w:kern w:val="2"/>
          <w:sz w:val="24"/>
          <w:szCs w:val="24"/>
          <w:lang w:eastAsia="zh-CN" w:bidi="hi-IN"/>
        </w:rPr>
        <w:t>Vaičuka</w:t>
      </w:r>
      <w:proofErr w:type="spellEnd"/>
      <w:r w:rsidRPr="00A07F29">
        <w:rPr>
          <w:rFonts w:ascii="Times New Roman" w:eastAsia="Noto Sans CJK SC" w:hAnsi="Times New Roman" w:cs="Lohit Devanagari"/>
          <w:kern w:val="2"/>
          <w:sz w:val="24"/>
          <w:szCs w:val="24"/>
          <w:lang w:eastAsia="zh-CN" w:bidi="hi-IN"/>
        </w:rPr>
        <w:t>, Zīmeļa.</w:t>
      </w:r>
      <w:r w:rsidR="00A47E1E" w:rsidRPr="00A07F29">
        <w:rPr>
          <w:rFonts w:ascii="Times New Roman" w:eastAsia="Noto Sans CJK SC" w:hAnsi="Times New Roman" w:cs="Lohit Devanagari"/>
          <w:kern w:val="2"/>
          <w:sz w:val="24"/>
          <w:szCs w:val="24"/>
          <w:lang w:eastAsia="zh-CN" w:bidi="hi-IN"/>
        </w:rPr>
        <w:t xml:space="preserve"> </w:t>
      </w:r>
      <w:r w:rsidRPr="00A07F29">
        <w:rPr>
          <w:rFonts w:ascii="Times New Roman" w:eastAsia="Noto Sans CJK SC" w:hAnsi="Times New Roman" w:cs="Lohit Devanagari"/>
          <w:kern w:val="2"/>
          <w:sz w:val="24"/>
          <w:szCs w:val="24"/>
          <w:lang w:eastAsia="zh-CN" w:bidi="hi-IN"/>
        </w:rPr>
        <w:t xml:space="preserve">Ūdens caurredzamība ir uzlabojusies </w:t>
      </w:r>
      <w:r w:rsidR="00BE7EA0" w:rsidRPr="00A07F29">
        <w:rPr>
          <w:rFonts w:ascii="Times New Roman" w:eastAsia="Noto Sans CJK SC" w:hAnsi="Times New Roman" w:cs="Lohit Devanagari"/>
          <w:kern w:val="2"/>
          <w:sz w:val="24"/>
          <w:szCs w:val="24"/>
          <w:lang w:eastAsia="zh-CN" w:bidi="hi-IN"/>
        </w:rPr>
        <w:t>septiņos</w:t>
      </w:r>
      <w:r w:rsidRPr="00A07F29">
        <w:rPr>
          <w:rFonts w:ascii="Times New Roman" w:eastAsia="Noto Sans CJK SC" w:hAnsi="Times New Roman" w:cs="Lohit Devanagari"/>
          <w:kern w:val="2"/>
          <w:sz w:val="24"/>
          <w:szCs w:val="24"/>
          <w:lang w:eastAsia="zh-CN" w:bidi="hi-IN"/>
        </w:rPr>
        <w:t xml:space="preserve"> ezeros par 0,2</w:t>
      </w:r>
      <w:r w:rsidR="00BE7EA0" w:rsidRPr="00A07F29">
        <w:rPr>
          <w:rFonts w:ascii="Times New Roman" w:eastAsia="Noto Sans CJK SC" w:hAnsi="Times New Roman" w:cs="Lohit Devanagari"/>
          <w:kern w:val="2"/>
          <w:sz w:val="24"/>
          <w:szCs w:val="24"/>
          <w:lang w:eastAsia="zh-CN" w:bidi="hi-IN"/>
        </w:rPr>
        <w:t> – </w:t>
      </w:r>
      <w:r w:rsidRPr="00A07F29">
        <w:rPr>
          <w:rFonts w:ascii="Times New Roman" w:eastAsia="Noto Sans CJK SC" w:hAnsi="Times New Roman" w:cs="Lohit Devanagari"/>
          <w:kern w:val="2"/>
          <w:sz w:val="24"/>
          <w:szCs w:val="24"/>
          <w:lang w:eastAsia="zh-CN" w:bidi="hi-IN"/>
        </w:rPr>
        <w:t>1,1</w:t>
      </w:r>
      <w:r w:rsidR="00BE7EA0" w:rsidRPr="00A07F29">
        <w:rPr>
          <w:rFonts w:ascii="Times New Roman" w:eastAsia="Noto Sans CJK SC" w:hAnsi="Times New Roman" w:cs="Lohit Devanagari"/>
          <w:kern w:val="2"/>
          <w:sz w:val="24"/>
          <w:szCs w:val="24"/>
          <w:lang w:eastAsia="zh-CN" w:bidi="hi-IN"/>
        </w:rPr>
        <w:t> </w:t>
      </w:r>
      <w:r w:rsidRPr="00A07F29">
        <w:rPr>
          <w:rFonts w:ascii="Times New Roman" w:eastAsia="Noto Sans CJK SC" w:hAnsi="Times New Roman" w:cs="Lohit Devanagari"/>
          <w:kern w:val="2"/>
          <w:sz w:val="24"/>
          <w:szCs w:val="24"/>
          <w:lang w:eastAsia="zh-CN" w:bidi="hi-IN"/>
        </w:rPr>
        <w:t xml:space="preserve">m: Dziļajā ezerā, </w:t>
      </w:r>
      <w:proofErr w:type="spellStart"/>
      <w:r w:rsidRPr="00A07F29">
        <w:rPr>
          <w:rFonts w:ascii="Times New Roman" w:eastAsia="Noto Sans CJK SC" w:hAnsi="Times New Roman" w:cs="Lohit Devanagari"/>
          <w:kern w:val="2"/>
          <w:sz w:val="24"/>
          <w:szCs w:val="24"/>
          <w:lang w:eastAsia="zh-CN" w:bidi="hi-IN"/>
        </w:rPr>
        <w:t>Kalodā</w:t>
      </w:r>
      <w:proofErr w:type="spellEnd"/>
      <w:r w:rsidRPr="00A07F29">
        <w:rPr>
          <w:rFonts w:ascii="Times New Roman" w:eastAsia="Noto Sans CJK SC" w:hAnsi="Times New Roman" w:cs="Lohit Devanagari"/>
          <w:kern w:val="2"/>
          <w:sz w:val="24"/>
          <w:szCs w:val="24"/>
          <w:lang w:eastAsia="zh-CN" w:bidi="hi-IN"/>
        </w:rPr>
        <w:t xml:space="preserve">, Dauguļu, </w:t>
      </w:r>
      <w:proofErr w:type="spellStart"/>
      <w:r w:rsidRPr="00A07F29">
        <w:rPr>
          <w:rFonts w:ascii="Times New Roman" w:eastAsia="Noto Sans CJK SC" w:hAnsi="Times New Roman" w:cs="Lohit Devanagari"/>
          <w:kern w:val="2"/>
          <w:sz w:val="24"/>
          <w:szCs w:val="24"/>
          <w:lang w:eastAsia="zh-CN" w:bidi="hi-IN"/>
        </w:rPr>
        <w:t>Šlapukā</w:t>
      </w:r>
      <w:proofErr w:type="spellEnd"/>
      <w:r w:rsidRPr="00A07F29">
        <w:rPr>
          <w:rFonts w:ascii="Times New Roman" w:eastAsia="Noto Sans CJK SC" w:hAnsi="Times New Roman" w:cs="Lohit Devanagari"/>
          <w:kern w:val="2"/>
          <w:sz w:val="24"/>
          <w:szCs w:val="24"/>
          <w:lang w:eastAsia="zh-CN" w:bidi="hi-IN"/>
        </w:rPr>
        <w:t xml:space="preserve">, </w:t>
      </w:r>
      <w:proofErr w:type="spellStart"/>
      <w:r w:rsidRPr="00A07F29">
        <w:rPr>
          <w:rFonts w:ascii="Times New Roman" w:eastAsia="Noto Sans CJK SC" w:hAnsi="Times New Roman" w:cs="Lohit Devanagari"/>
          <w:kern w:val="2"/>
          <w:sz w:val="24"/>
          <w:szCs w:val="24"/>
          <w:lang w:eastAsia="zh-CN" w:bidi="hi-IN"/>
        </w:rPr>
        <w:t>Skumbiņu</w:t>
      </w:r>
      <w:proofErr w:type="spellEnd"/>
      <w:r w:rsidRPr="00A07F29">
        <w:rPr>
          <w:rFonts w:ascii="Times New Roman" w:eastAsia="Noto Sans CJK SC" w:hAnsi="Times New Roman" w:cs="Lohit Devanagari"/>
          <w:kern w:val="2"/>
          <w:sz w:val="24"/>
          <w:szCs w:val="24"/>
          <w:lang w:eastAsia="zh-CN" w:bidi="hi-IN"/>
        </w:rPr>
        <w:t xml:space="preserve">, Lielajā </w:t>
      </w:r>
      <w:proofErr w:type="spellStart"/>
      <w:r w:rsidRPr="00A07F29">
        <w:rPr>
          <w:rFonts w:ascii="Times New Roman" w:eastAsia="Noto Sans CJK SC" w:hAnsi="Times New Roman" w:cs="Lohit Devanagari"/>
          <w:kern w:val="2"/>
          <w:sz w:val="24"/>
          <w:szCs w:val="24"/>
          <w:lang w:eastAsia="zh-CN" w:bidi="hi-IN"/>
        </w:rPr>
        <w:t>Borvinkas</w:t>
      </w:r>
      <w:proofErr w:type="spellEnd"/>
      <w:r w:rsidRPr="00A07F29">
        <w:rPr>
          <w:rFonts w:ascii="Times New Roman" w:eastAsia="Noto Sans CJK SC" w:hAnsi="Times New Roman" w:cs="Lohit Devanagari"/>
          <w:kern w:val="2"/>
          <w:sz w:val="24"/>
          <w:szCs w:val="24"/>
          <w:lang w:eastAsia="zh-CN" w:bidi="hi-IN"/>
        </w:rPr>
        <w:t>,</w:t>
      </w:r>
      <w:r w:rsidR="00D65BBA" w:rsidRPr="00A07F29">
        <w:rPr>
          <w:rFonts w:ascii="Times New Roman" w:eastAsia="Noto Sans CJK SC" w:hAnsi="Times New Roman" w:cs="Lohit Devanagari"/>
          <w:kern w:val="2"/>
          <w:sz w:val="24"/>
          <w:szCs w:val="24"/>
          <w:lang w:eastAsia="zh-CN" w:bidi="hi-IN"/>
        </w:rPr>
        <w:t xml:space="preserve"> </w:t>
      </w:r>
      <w:proofErr w:type="spellStart"/>
      <w:r w:rsidRPr="00A07F29">
        <w:rPr>
          <w:rFonts w:ascii="Times New Roman" w:eastAsia="Noto Sans CJK SC" w:hAnsi="Times New Roman" w:cs="Lohit Devanagari"/>
          <w:kern w:val="2"/>
          <w:sz w:val="24"/>
          <w:szCs w:val="24"/>
          <w:lang w:eastAsia="zh-CN" w:bidi="hi-IN"/>
        </w:rPr>
        <w:t>Škļarovščinas</w:t>
      </w:r>
      <w:proofErr w:type="spellEnd"/>
      <w:r w:rsidRPr="00A07F29">
        <w:rPr>
          <w:rFonts w:ascii="Times New Roman" w:eastAsia="Noto Sans CJK SC" w:hAnsi="Times New Roman" w:cs="Lohit Devanagari"/>
          <w:kern w:val="2"/>
          <w:sz w:val="24"/>
          <w:szCs w:val="24"/>
          <w:lang w:eastAsia="zh-CN" w:bidi="hi-IN"/>
        </w:rPr>
        <w:t xml:space="preserve"> ezeros.</w:t>
      </w:r>
      <w:r w:rsidR="00A47E1E" w:rsidRPr="00A07F29">
        <w:rPr>
          <w:rFonts w:ascii="Times New Roman" w:eastAsia="Noto Sans CJK SC" w:hAnsi="Times New Roman" w:cs="Lohit Devanagari"/>
          <w:kern w:val="2"/>
          <w:sz w:val="24"/>
          <w:szCs w:val="24"/>
          <w:lang w:eastAsia="zh-CN" w:bidi="hi-IN"/>
        </w:rPr>
        <w:t xml:space="preserve"> </w:t>
      </w:r>
      <w:r w:rsidRPr="00A07F29">
        <w:rPr>
          <w:rFonts w:ascii="Times New Roman" w:eastAsia="Noto Sans CJK SC" w:hAnsi="Times New Roman" w:cs="Lohit Devanagari"/>
          <w:kern w:val="2"/>
          <w:sz w:val="24"/>
          <w:szCs w:val="24"/>
          <w:lang w:eastAsia="zh-CN" w:bidi="hi-IN"/>
        </w:rPr>
        <w:t>Pēdējo 23</w:t>
      </w:r>
      <w:r w:rsidR="006F5D31" w:rsidRPr="00A07F29">
        <w:rPr>
          <w:rFonts w:ascii="Times New Roman" w:eastAsia="Noto Sans CJK SC" w:hAnsi="Times New Roman" w:cs="Lohit Devanagari"/>
          <w:kern w:val="2"/>
          <w:sz w:val="24"/>
          <w:szCs w:val="24"/>
          <w:lang w:eastAsia="zh-CN" w:bidi="hi-IN"/>
        </w:rPr>
        <w:t> – </w:t>
      </w:r>
      <w:r w:rsidRPr="00A07F29">
        <w:rPr>
          <w:rFonts w:ascii="Times New Roman" w:eastAsia="Noto Sans CJK SC" w:hAnsi="Times New Roman" w:cs="Lohit Devanagari"/>
          <w:kern w:val="2"/>
          <w:sz w:val="24"/>
          <w:szCs w:val="24"/>
          <w:lang w:eastAsia="zh-CN" w:bidi="hi-IN"/>
        </w:rPr>
        <w:t>28</w:t>
      </w:r>
      <w:r w:rsidR="006F5D31" w:rsidRPr="00A07F29">
        <w:rPr>
          <w:rFonts w:ascii="Times New Roman" w:eastAsia="Noto Sans CJK SC" w:hAnsi="Times New Roman" w:cs="Lohit Devanagari"/>
          <w:kern w:val="2"/>
          <w:sz w:val="24"/>
          <w:szCs w:val="24"/>
          <w:lang w:eastAsia="zh-CN" w:bidi="hi-IN"/>
        </w:rPr>
        <w:t xml:space="preserve"> </w:t>
      </w:r>
      <w:r w:rsidRPr="00A07F29">
        <w:rPr>
          <w:rFonts w:ascii="Times New Roman" w:eastAsia="Noto Sans CJK SC" w:hAnsi="Times New Roman" w:cs="Lohit Devanagari"/>
          <w:kern w:val="2"/>
          <w:sz w:val="24"/>
          <w:szCs w:val="24"/>
          <w:lang w:eastAsia="zh-CN" w:bidi="hi-IN"/>
        </w:rPr>
        <w:t>gadu laikā ūdens caurredzamība nav būtiski vai vispār mainījusies četros ezeros.</w:t>
      </w:r>
    </w:p>
    <w:p w14:paraId="7ED254AE" w14:textId="77777777" w:rsidR="00997A72" w:rsidRPr="00A07F29" w:rsidRDefault="00997A72" w:rsidP="00997A72">
      <w:pPr>
        <w:widowControl w:val="0"/>
        <w:spacing w:after="0" w:line="240" w:lineRule="auto"/>
        <w:ind w:right="26"/>
        <w:jc w:val="both"/>
        <w:rPr>
          <w:rFonts w:ascii="Times New Roman" w:eastAsia="Noto Sans CJK SC" w:hAnsi="Times New Roman" w:cs="Lohit Devanagari"/>
          <w:kern w:val="2"/>
          <w:sz w:val="24"/>
          <w:szCs w:val="24"/>
          <w:lang w:eastAsia="zh-CN" w:bidi="hi-IN"/>
        </w:rPr>
      </w:pPr>
    </w:p>
    <w:p w14:paraId="66079E28" w14:textId="77777777" w:rsidR="00997A72" w:rsidRPr="00A07F29" w:rsidRDefault="00997A72" w:rsidP="00997A72">
      <w:pPr>
        <w:widowControl w:val="0"/>
        <w:spacing w:after="0" w:line="240" w:lineRule="auto"/>
        <w:ind w:right="26"/>
        <w:jc w:val="both"/>
        <w:rPr>
          <w:rFonts w:ascii="Liberation Serif" w:eastAsia="Noto Sans CJK SC" w:hAnsi="Liberation Serif" w:cs="Lohit Devanagari"/>
          <w:kern w:val="2"/>
          <w:sz w:val="24"/>
          <w:szCs w:val="24"/>
          <w:lang w:eastAsia="zh-CN" w:bidi="hi-IN"/>
        </w:rPr>
      </w:pPr>
      <w:r w:rsidRPr="00A07F29">
        <w:rPr>
          <w:rFonts w:ascii="Times New Roman" w:eastAsia="Noto Sans CJK SC" w:hAnsi="Times New Roman" w:cs="Lohit Devanagari"/>
          <w:b/>
          <w:i/>
          <w:kern w:val="2"/>
          <w:sz w:val="24"/>
          <w:szCs w:val="24"/>
          <w:lang w:eastAsia="zh-CN" w:bidi="hi-IN"/>
        </w:rPr>
        <w:t>Ezeru ūdens krāsa</w:t>
      </w:r>
    </w:p>
    <w:p w14:paraId="4D4B439D" w14:textId="2F9B18B1" w:rsidR="00997A72" w:rsidRPr="00A07F29" w:rsidRDefault="00997A72" w:rsidP="00A47E1E">
      <w:pPr>
        <w:widowControl w:val="0"/>
        <w:spacing w:after="0" w:line="240" w:lineRule="auto"/>
        <w:ind w:right="26" w:firstLine="851"/>
        <w:jc w:val="both"/>
        <w:rPr>
          <w:rFonts w:ascii="Times New Roman" w:eastAsia="Noto Sans CJK SC" w:hAnsi="Times New Roman" w:cs="Lohit Devanagari"/>
          <w:kern w:val="2"/>
          <w:sz w:val="24"/>
          <w:szCs w:val="24"/>
          <w:lang w:eastAsia="zh-CN" w:bidi="hi-IN"/>
        </w:rPr>
      </w:pPr>
      <w:r w:rsidRPr="00A07F29">
        <w:rPr>
          <w:rFonts w:ascii="Times New Roman" w:eastAsia="Noto Sans CJK SC" w:hAnsi="Times New Roman" w:cs="Lohit Devanagari"/>
          <w:kern w:val="2"/>
          <w:sz w:val="24"/>
          <w:szCs w:val="24"/>
          <w:lang w:eastAsia="zh-CN" w:bidi="hi-IN"/>
        </w:rPr>
        <w:t>Ezeru ūdens krāsa ir atkarīga no ezeru ūdens krājumu atjaunoš</w:t>
      </w:r>
      <w:r w:rsidR="7A646538" w:rsidRPr="00A07F29">
        <w:rPr>
          <w:rFonts w:ascii="Times New Roman" w:eastAsia="Noto Sans CJK SC" w:hAnsi="Times New Roman" w:cs="Lohit Devanagari"/>
          <w:kern w:val="2"/>
          <w:sz w:val="24"/>
          <w:szCs w:val="24"/>
          <w:lang w:eastAsia="zh-CN" w:bidi="hi-IN"/>
        </w:rPr>
        <w:t>an</w:t>
      </w:r>
      <w:r w:rsidRPr="00A07F29">
        <w:rPr>
          <w:rFonts w:ascii="Times New Roman" w:eastAsia="Noto Sans CJK SC" w:hAnsi="Times New Roman" w:cs="Lohit Devanagari"/>
          <w:kern w:val="2"/>
          <w:sz w:val="24"/>
          <w:szCs w:val="24"/>
          <w:lang w:eastAsia="zh-CN" w:bidi="hi-IN"/>
        </w:rPr>
        <w:t>ās veidiem, to dominances un intensitātes (lietus un gruntsūdeņi vai virszemes notece no sateces baseina), kas savukārt ir pamatā atkarīga no sateces basein</w:t>
      </w:r>
      <w:r w:rsidR="00DC26AF" w:rsidRPr="00A07F29">
        <w:rPr>
          <w:rFonts w:ascii="Times New Roman" w:eastAsia="Noto Sans CJK SC" w:hAnsi="Times New Roman" w:cs="Lohit Devanagari"/>
          <w:kern w:val="2"/>
          <w:sz w:val="24"/>
          <w:szCs w:val="24"/>
          <w:lang w:eastAsia="zh-CN" w:bidi="hi-IN"/>
        </w:rPr>
        <w:t>a</w:t>
      </w:r>
      <w:r w:rsidRPr="00A07F29">
        <w:rPr>
          <w:rFonts w:ascii="Times New Roman" w:eastAsia="Noto Sans CJK SC" w:hAnsi="Times New Roman" w:cs="Lohit Devanagari"/>
          <w:kern w:val="2"/>
          <w:sz w:val="24"/>
          <w:szCs w:val="24"/>
          <w:lang w:eastAsia="zh-CN" w:bidi="hi-IN"/>
        </w:rPr>
        <w:t xml:space="preserve"> lieluma, purvu un purvaino mežu īpatsvara, </w:t>
      </w:r>
      <w:proofErr w:type="spellStart"/>
      <w:r w:rsidRPr="00A07F29">
        <w:rPr>
          <w:rFonts w:ascii="Times New Roman" w:eastAsia="Noto Sans CJK SC" w:hAnsi="Times New Roman" w:cs="Lohit Devanagari"/>
          <w:kern w:val="2"/>
          <w:sz w:val="24"/>
          <w:szCs w:val="24"/>
          <w:lang w:eastAsia="zh-CN" w:bidi="hi-IN"/>
        </w:rPr>
        <w:t>atmežotības</w:t>
      </w:r>
      <w:proofErr w:type="spellEnd"/>
      <w:r w:rsidRPr="00A07F29">
        <w:rPr>
          <w:rFonts w:ascii="Times New Roman" w:eastAsia="Noto Sans CJK SC" w:hAnsi="Times New Roman" w:cs="Lohit Devanagari"/>
          <w:kern w:val="2"/>
          <w:sz w:val="24"/>
          <w:szCs w:val="24"/>
          <w:lang w:eastAsia="zh-CN" w:bidi="hi-IN"/>
        </w:rPr>
        <w:t xml:space="preserve"> pakāpes, kā arī negatīvās antropogēnās ietekmes. Ezera ūdens krāsa nosaka ezeru iedalījumu </w:t>
      </w:r>
      <w:proofErr w:type="spellStart"/>
      <w:r w:rsidRPr="00A07F29">
        <w:rPr>
          <w:rFonts w:ascii="Times New Roman" w:eastAsia="Noto Sans CJK SC" w:hAnsi="Times New Roman" w:cs="Lohit Devanagari"/>
          <w:kern w:val="2"/>
          <w:sz w:val="24"/>
          <w:szCs w:val="24"/>
          <w:lang w:eastAsia="zh-CN" w:bidi="hi-IN"/>
        </w:rPr>
        <w:t>dzidrūdens</w:t>
      </w:r>
      <w:proofErr w:type="spellEnd"/>
      <w:r w:rsidRPr="00A07F29">
        <w:rPr>
          <w:rFonts w:ascii="Times New Roman" w:eastAsia="Noto Sans CJK SC" w:hAnsi="Times New Roman" w:cs="Lohit Devanagari"/>
          <w:kern w:val="2"/>
          <w:sz w:val="24"/>
          <w:szCs w:val="24"/>
          <w:lang w:eastAsia="zh-CN" w:bidi="hi-IN"/>
        </w:rPr>
        <w:t xml:space="preserve"> un </w:t>
      </w:r>
      <w:proofErr w:type="spellStart"/>
      <w:r w:rsidRPr="00A07F29">
        <w:rPr>
          <w:rFonts w:ascii="Times New Roman" w:eastAsia="Noto Sans CJK SC" w:hAnsi="Times New Roman" w:cs="Lohit Devanagari"/>
          <w:kern w:val="2"/>
          <w:sz w:val="24"/>
          <w:szCs w:val="24"/>
          <w:lang w:eastAsia="zh-CN" w:bidi="hi-IN"/>
        </w:rPr>
        <w:t>brūnūdens</w:t>
      </w:r>
      <w:proofErr w:type="spellEnd"/>
      <w:r w:rsidRPr="00A07F29">
        <w:rPr>
          <w:rFonts w:ascii="Times New Roman" w:eastAsia="Noto Sans CJK SC" w:hAnsi="Times New Roman" w:cs="Lohit Devanagari"/>
          <w:kern w:val="2"/>
          <w:sz w:val="24"/>
          <w:szCs w:val="24"/>
          <w:lang w:eastAsia="zh-CN" w:bidi="hi-IN"/>
        </w:rPr>
        <w:t xml:space="preserve"> ezeros un tai ir liela ietekme uz ezeru ūdens kvalitātes rādītājiem (t.sk. ūdens caurredzamību), kā arī augu un dzīvnieku valsti</w:t>
      </w:r>
      <w:r w:rsidR="781BF556" w:rsidRPr="00A07F29">
        <w:rPr>
          <w:rFonts w:ascii="Times New Roman" w:eastAsia="Noto Sans CJK SC" w:hAnsi="Times New Roman" w:cs="Lohit Devanagari"/>
          <w:kern w:val="2"/>
          <w:sz w:val="24"/>
          <w:szCs w:val="24"/>
          <w:lang w:eastAsia="zh-CN" w:bidi="hi-IN"/>
        </w:rPr>
        <w:t>.</w:t>
      </w:r>
    </w:p>
    <w:p w14:paraId="1E169CD0" w14:textId="29C4384A" w:rsidR="00997A72" w:rsidRPr="00A07F29" w:rsidRDefault="00997A72" w:rsidP="00A47E1E">
      <w:pPr>
        <w:widowControl w:val="0"/>
        <w:spacing w:after="0" w:line="240" w:lineRule="auto"/>
        <w:ind w:right="26" w:firstLine="851"/>
        <w:jc w:val="both"/>
        <w:rPr>
          <w:rFonts w:ascii="Liberation Serif" w:eastAsia="Noto Sans CJK SC" w:hAnsi="Liberation Serif" w:cs="Lohit Devanagari"/>
          <w:kern w:val="2"/>
          <w:sz w:val="24"/>
          <w:szCs w:val="24"/>
          <w:lang w:eastAsia="zh-CN" w:bidi="hi-IN"/>
        </w:rPr>
      </w:pPr>
      <w:r w:rsidRPr="00A07F29">
        <w:rPr>
          <w:rFonts w:ascii="Liberation Serif" w:eastAsia="Noto Sans CJK SC" w:hAnsi="Liberation Serif" w:cs="Lohit Devanagari"/>
          <w:kern w:val="2"/>
          <w:sz w:val="24"/>
          <w:szCs w:val="24"/>
          <w:lang w:eastAsia="zh-CN" w:bidi="hi-IN"/>
        </w:rPr>
        <w:t>Pēdējo 23</w:t>
      </w:r>
      <w:r w:rsidR="00C36DA5" w:rsidRPr="00A07F29">
        <w:rPr>
          <w:rFonts w:ascii="Liberation Serif" w:eastAsia="Noto Sans CJK SC" w:hAnsi="Liberation Serif" w:cs="Lohit Devanagari"/>
          <w:kern w:val="2"/>
          <w:sz w:val="24"/>
          <w:szCs w:val="24"/>
          <w:lang w:eastAsia="zh-CN" w:bidi="hi-IN"/>
        </w:rPr>
        <w:t> – </w:t>
      </w:r>
      <w:r w:rsidRPr="00A07F29">
        <w:rPr>
          <w:rFonts w:ascii="Liberation Serif" w:eastAsia="Noto Sans CJK SC" w:hAnsi="Liberation Serif" w:cs="Lohit Devanagari"/>
          <w:kern w:val="2"/>
          <w:sz w:val="24"/>
          <w:szCs w:val="24"/>
          <w:lang w:eastAsia="zh-CN" w:bidi="hi-IN"/>
        </w:rPr>
        <w:t>49</w:t>
      </w:r>
      <w:r w:rsidR="00C36DA5" w:rsidRPr="00A07F29">
        <w:rPr>
          <w:rFonts w:ascii="Liberation Serif" w:eastAsia="Noto Sans CJK SC" w:hAnsi="Liberation Serif" w:cs="Lohit Devanagari"/>
          <w:kern w:val="2"/>
          <w:sz w:val="24"/>
          <w:szCs w:val="24"/>
          <w:lang w:eastAsia="zh-CN" w:bidi="hi-IN"/>
        </w:rPr>
        <w:t xml:space="preserve"> </w:t>
      </w:r>
      <w:r w:rsidRPr="00A07F29">
        <w:rPr>
          <w:rFonts w:ascii="Liberation Serif" w:eastAsia="Noto Sans CJK SC" w:hAnsi="Liberation Serif" w:cs="Lohit Devanagari"/>
          <w:kern w:val="2"/>
          <w:sz w:val="24"/>
          <w:szCs w:val="24"/>
          <w:lang w:eastAsia="zh-CN" w:bidi="hi-IN"/>
        </w:rPr>
        <w:t xml:space="preserve">gadu laikā ūdens krāsa diemžēl pasliktinājusies </w:t>
      </w:r>
      <w:r w:rsidR="552F114F" w:rsidRPr="00A07F29">
        <w:rPr>
          <w:rFonts w:ascii="Liberation Serif" w:eastAsia="Noto Sans CJK SC" w:hAnsi="Liberation Serif" w:cs="Lohit Devanagari"/>
          <w:kern w:val="2"/>
          <w:sz w:val="24"/>
          <w:szCs w:val="24"/>
          <w:lang w:eastAsia="zh-CN" w:bidi="hi-IN"/>
        </w:rPr>
        <w:t>12</w:t>
      </w:r>
      <w:r w:rsidR="00A47E1E" w:rsidRPr="00A07F29">
        <w:rPr>
          <w:rFonts w:ascii="Liberation Serif" w:eastAsia="Noto Sans CJK SC" w:hAnsi="Liberation Serif" w:cs="Lohit Devanagari"/>
          <w:kern w:val="2"/>
          <w:sz w:val="24"/>
          <w:szCs w:val="24"/>
          <w:lang w:eastAsia="zh-CN" w:bidi="hi-IN"/>
        </w:rPr>
        <w:t xml:space="preserve"> ezeros</w:t>
      </w:r>
      <w:r w:rsidRPr="00A07F29">
        <w:rPr>
          <w:rFonts w:ascii="Liberation Serif" w:eastAsia="Noto Sans CJK SC" w:hAnsi="Liberation Serif" w:cs="Lohit Devanagari"/>
          <w:kern w:val="2"/>
          <w:sz w:val="24"/>
          <w:szCs w:val="24"/>
          <w:lang w:eastAsia="zh-CN" w:bidi="hi-IN"/>
        </w:rPr>
        <w:t xml:space="preserve">: </w:t>
      </w:r>
      <w:proofErr w:type="spellStart"/>
      <w:r w:rsidRPr="00A07F29">
        <w:rPr>
          <w:rFonts w:ascii="Liberation Serif" w:eastAsia="Noto Sans CJK SC" w:hAnsi="Liberation Serif" w:cs="Lohit Devanagari"/>
          <w:kern w:val="2"/>
          <w:sz w:val="24"/>
          <w:szCs w:val="24"/>
          <w:lang w:eastAsia="zh-CN" w:bidi="hi-IN"/>
        </w:rPr>
        <w:t>Varnaviču</w:t>
      </w:r>
      <w:proofErr w:type="spellEnd"/>
      <w:r w:rsidRPr="00A07F29">
        <w:rPr>
          <w:rFonts w:ascii="Liberation Serif" w:eastAsia="Noto Sans CJK SC" w:hAnsi="Liberation Serif" w:cs="Lohit Devanagari"/>
          <w:kern w:val="2"/>
          <w:sz w:val="24"/>
          <w:szCs w:val="24"/>
          <w:lang w:eastAsia="zh-CN" w:bidi="hi-IN"/>
        </w:rPr>
        <w:t xml:space="preserve">, </w:t>
      </w:r>
      <w:proofErr w:type="spellStart"/>
      <w:r w:rsidRPr="00A07F29">
        <w:rPr>
          <w:rFonts w:ascii="Liberation Serif" w:eastAsia="Noto Sans CJK SC" w:hAnsi="Liberation Serif" w:cs="Lohit Devanagari"/>
          <w:kern w:val="2"/>
          <w:sz w:val="24"/>
          <w:szCs w:val="24"/>
          <w:lang w:eastAsia="zh-CN" w:bidi="hi-IN"/>
        </w:rPr>
        <w:t>Baļticas</w:t>
      </w:r>
      <w:proofErr w:type="spellEnd"/>
      <w:r w:rsidRPr="00A07F29">
        <w:rPr>
          <w:rFonts w:ascii="Liberation Serif" w:eastAsia="Noto Sans CJK SC" w:hAnsi="Liberation Serif" w:cs="Lohit Devanagari"/>
          <w:kern w:val="2"/>
          <w:sz w:val="24"/>
          <w:szCs w:val="24"/>
          <w:lang w:eastAsia="zh-CN" w:bidi="hi-IN"/>
        </w:rPr>
        <w:t xml:space="preserve">, </w:t>
      </w:r>
      <w:proofErr w:type="spellStart"/>
      <w:r w:rsidRPr="00A07F29">
        <w:rPr>
          <w:rFonts w:ascii="Liberation Serif" w:eastAsia="Noto Sans CJK SC" w:hAnsi="Liberation Serif" w:cs="Lohit Devanagari"/>
          <w:kern w:val="2"/>
          <w:sz w:val="24"/>
          <w:szCs w:val="24"/>
          <w:lang w:eastAsia="zh-CN" w:bidi="hi-IN"/>
        </w:rPr>
        <w:t>Krivoje</w:t>
      </w:r>
      <w:proofErr w:type="spellEnd"/>
      <w:r w:rsidRPr="00A07F29">
        <w:rPr>
          <w:rFonts w:ascii="Liberation Serif" w:eastAsia="Noto Sans CJK SC" w:hAnsi="Liberation Serif" w:cs="Lohit Devanagari"/>
          <w:kern w:val="2"/>
          <w:sz w:val="24"/>
          <w:szCs w:val="24"/>
          <w:lang w:eastAsia="zh-CN" w:bidi="hi-IN"/>
        </w:rPr>
        <w:t xml:space="preserve">, Lielajā </w:t>
      </w:r>
      <w:proofErr w:type="spellStart"/>
      <w:r w:rsidRPr="00A07F29">
        <w:rPr>
          <w:rFonts w:ascii="Liberation Serif" w:eastAsia="Noto Sans CJK SC" w:hAnsi="Liberation Serif" w:cs="Lohit Devanagari"/>
          <w:kern w:val="2"/>
          <w:sz w:val="24"/>
          <w:szCs w:val="24"/>
          <w:lang w:eastAsia="zh-CN" w:bidi="hi-IN"/>
        </w:rPr>
        <w:t>Borvinkas</w:t>
      </w:r>
      <w:proofErr w:type="spellEnd"/>
      <w:r w:rsidRPr="00A07F29">
        <w:rPr>
          <w:rFonts w:ascii="Liberation Serif" w:eastAsia="Noto Sans CJK SC" w:hAnsi="Liberation Serif" w:cs="Lohit Devanagari"/>
          <w:kern w:val="2"/>
          <w:sz w:val="24"/>
          <w:szCs w:val="24"/>
          <w:lang w:eastAsia="zh-CN" w:bidi="hi-IN"/>
        </w:rPr>
        <w:t xml:space="preserve">, </w:t>
      </w:r>
      <w:proofErr w:type="spellStart"/>
      <w:r w:rsidRPr="00A07F29">
        <w:rPr>
          <w:rFonts w:ascii="Liberation Serif" w:eastAsia="Noto Sans CJK SC" w:hAnsi="Liberation Serif" w:cs="Lohit Devanagari"/>
          <w:kern w:val="2"/>
          <w:sz w:val="24"/>
          <w:szCs w:val="24"/>
          <w:lang w:eastAsia="zh-CN" w:bidi="hi-IN"/>
        </w:rPr>
        <w:t>Šilovkas</w:t>
      </w:r>
      <w:proofErr w:type="spellEnd"/>
      <w:r w:rsidRPr="00A07F29">
        <w:rPr>
          <w:rFonts w:ascii="Liberation Serif" w:eastAsia="Noto Sans CJK SC" w:hAnsi="Liberation Serif" w:cs="Lohit Devanagari"/>
          <w:kern w:val="2"/>
          <w:sz w:val="24"/>
          <w:szCs w:val="24"/>
          <w:lang w:eastAsia="zh-CN" w:bidi="hi-IN"/>
        </w:rPr>
        <w:t xml:space="preserve">, </w:t>
      </w:r>
      <w:proofErr w:type="spellStart"/>
      <w:r w:rsidRPr="00A07F29">
        <w:rPr>
          <w:rFonts w:ascii="Liberation Serif" w:eastAsia="Noto Sans CJK SC" w:hAnsi="Liberation Serif" w:cs="Lohit Devanagari"/>
          <w:kern w:val="2"/>
          <w:sz w:val="24"/>
          <w:szCs w:val="24"/>
          <w:lang w:eastAsia="zh-CN" w:bidi="hi-IN"/>
        </w:rPr>
        <w:t>Dūneklī</w:t>
      </w:r>
      <w:proofErr w:type="spellEnd"/>
      <w:r w:rsidRPr="00A07F29">
        <w:rPr>
          <w:rFonts w:ascii="Liberation Serif" w:eastAsia="Noto Sans CJK SC" w:hAnsi="Liberation Serif" w:cs="Lohit Devanagari"/>
          <w:kern w:val="2"/>
          <w:sz w:val="24"/>
          <w:szCs w:val="24"/>
          <w:lang w:eastAsia="zh-CN" w:bidi="hi-IN"/>
        </w:rPr>
        <w:t xml:space="preserve">, </w:t>
      </w:r>
      <w:proofErr w:type="spellStart"/>
      <w:r w:rsidRPr="00A07F29">
        <w:rPr>
          <w:rFonts w:ascii="Liberation Serif" w:eastAsia="Noto Sans CJK SC" w:hAnsi="Liberation Serif" w:cs="Lohit Devanagari"/>
          <w:kern w:val="2"/>
          <w:sz w:val="24"/>
          <w:szCs w:val="24"/>
          <w:lang w:eastAsia="zh-CN" w:bidi="hi-IN"/>
        </w:rPr>
        <w:t>Krugloje</w:t>
      </w:r>
      <w:proofErr w:type="spellEnd"/>
      <w:r w:rsidRPr="00A07F29">
        <w:rPr>
          <w:rFonts w:ascii="Liberation Serif" w:eastAsia="Noto Sans CJK SC" w:hAnsi="Liberation Serif" w:cs="Lohit Devanagari"/>
          <w:kern w:val="2"/>
          <w:sz w:val="24"/>
          <w:szCs w:val="24"/>
          <w:lang w:eastAsia="zh-CN" w:bidi="hi-IN"/>
        </w:rPr>
        <w:t xml:space="preserve">, </w:t>
      </w:r>
      <w:proofErr w:type="spellStart"/>
      <w:r w:rsidRPr="00A07F29">
        <w:rPr>
          <w:rFonts w:ascii="Liberation Serif" w:eastAsia="Noto Sans CJK SC" w:hAnsi="Liberation Serif" w:cs="Lohit Devanagari"/>
          <w:kern w:val="2"/>
          <w:sz w:val="24"/>
          <w:szCs w:val="24"/>
          <w:lang w:eastAsia="zh-CN" w:bidi="hi-IN"/>
        </w:rPr>
        <w:t>Saučenku</w:t>
      </w:r>
      <w:proofErr w:type="spellEnd"/>
      <w:r w:rsidRPr="00A07F29">
        <w:rPr>
          <w:rFonts w:ascii="Liberation Serif" w:eastAsia="Noto Sans CJK SC" w:hAnsi="Liberation Serif" w:cs="Lohit Devanagari"/>
          <w:kern w:val="2"/>
          <w:sz w:val="24"/>
          <w:szCs w:val="24"/>
          <w:lang w:eastAsia="zh-CN" w:bidi="hi-IN"/>
        </w:rPr>
        <w:t xml:space="preserve">, </w:t>
      </w:r>
      <w:proofErr w:type="spellStart"/>
      <w:r w:rsidRPr="00A07F29">
        <w:rPr>
          <w:rFonts w:ascii="Liberation Serif" w:eastAsia="Noto Sans CJK SC" w:hAnsi="Liberation Serif" w:cs="Lohit Devanagari"/>
          <w:kern w:val="2"/>
          <w:sz w:val="24"/>
          <w:szCs w:val="24"/>
          <w:lang w:eastAsia="zh-CN" w:bidi="hi-IN"/>
        </w:rPr>
        <w:t>Dolgoje</w:t>
      </w:r>
      <w:proofErr w:type="spellEnd"/>
      <w:r w:rsidRPr="00A07F29">
        <w:rPr>
          <w:rFonts w:ascii="Liberation Serif" w:eastAsia="Noto Sans CJK SC" w:hAnsi="Liberation Serif" w:cs="Lohit Devanagari"/>
          <w:kern w:val="2"/>
          <w:sz w:val="24"/>
          <w:szCs w:val="24"/>
          <w:lang w:eastAsia="zh-CN" w:bidi="hi-IN"/>
        </w:rPr>
        <w:t xml:space="preserve">, </w:t>
      </w:r>
      <w:proofErr w:type="spellStart"/>
      <w:r w:rsidRPr="00A07F29">
        <w:rPr>
          <w:rFonts w:ascii="Liberation Serif" w:eastAsia="Noto Sans CJK SC" w:hAnsi="Liberation Serif" w:cs="Lohit Devanagari"/>
          <w:kern w:val="2"/>
          <w:sz w:val="24"/>
          <w:szCs w:val="24"/>
          <w:lang w:eastAsia="zh-CN" w:bidi="hi-IN"/>
        </w:rPr>
        <w:t>Dubinkā</w:t>
      </w:r>
      <w:proofErr w:type="spellEnd"/>
      <w:r w:rsidR="00882C03" w:rsidRPr="00A07F29">
        <w:rPr>
          <w:rFonts w:ascii="Liberation Serif" w:eastAsia="Noto Sans CJK SC" w:hAnsi="Liberation Serif" w:cs="Lohit Devanagari"/>
          <w:kern w:val="2"/>
          <w:sz w:val="24"/>
          <w:szCs w:val="24"/>
          <w:lang w:eastAsia="zh-CN" w:bidi="hi-IN"/>
        </w:rPr>
        <w:t>,</w:t>
      </w:r>
      <w:r w:rsidRPr="00A07F29">
        <w:rPr>
          <w:rFonts w:ascii="Liberation Serif" w:eastAsia="Noto Sans CJK SC" w:hAnsi="Liberation Serif" w:cs="Lohit Devanagari"/>
          <w:kern w:val="2"/>
          <w:sz w:val="24"/>
          <w:szCs w:val="24"/>
          <w:lang w:eastAsia="zh-CN" w:bidi="hi-IN"/>
        </w:rPr>
        <w:t xml:space="preserve"> Zīmeļa, </w:t>
      </w:r>
      <w:proofErr w:type="spellStart"/>
      <w:r w:rsidRPr="00A07F29">
        <w:rPr>
          <w:rFonts w:ascii="Liberation Serif" w:eastAsia="Noto Sans CJK SC" w:hAnsi="Liberation Serif" w:cs="Lohit Devanagari"/>
          <w:kern w:val="2"/>
          <w:sz w:val="24"/>
          <w:szCs w:val="24"/>
          <w:lang w:eastAsia="zh-CN" w:bidi="hi-IN"/>
        </w:rPr>
        <w:t>Mjaļinā</w:t>
      </w:r>
      <w:proofErr w:type="spellEnd"/>
      <w:r w:rsidRPr="00A07F29">
        <w:rPr>
          <w:rFonts w:ascii="Liberation Serif" w:eastAsia="Noto Sans CJK SC" w:hAnsi="Liberation Serif" w:cs="Lohit Devanagari"/>
          <w:kern w:val="2"/>
          <w:sz w:val="24"/>
          <w:szCs w:val="24"/>
          <w:lang w:eastAsia="zh-CN" w:bidi="hi-IN"/>
        </w:rPr>
        <w:t>.</w:t>
      </w:r>
      <w:r w:rsidR="00A47E1E" w:rsidRPr="00A07F29">
        <w:rPr>
          <w:rFonts w:ascii="Liberation Serif" w:eastAsia="Noto Sans CJK SC" w:hAnsi="Liberation Serif" w:cs="Lohit Devanagari"/>
          <w:kern w:val="2"/>
          <w:sz w:val="24"/>
          <w:szCs w:val="24"/>
          <w:lang w:eastAsia="zh-CN" w:bidi="hi-IN"/>
        </w:rPr>
        <w:t xml:space="preserve"> </w:t>
      </w:r>
      <w:r w:rsidRPr="00A07F29">
        <w:rPr>
          <w:rFonts w:ascii="Times New Roman" w:eastAsia="Noto Sans CJK SC" w:hAnsi="Times New Roman" w:cs="Lohit Devanagari"/>
          <w:kern w:val="2"/>
          <w:sz w:val="24"/>
          <w:szCs w:val="24"/>
          <w:lang w:eastAsia="zh-CN" w:bidi="hi-IN"/>
        </w:rPr>
        <w:t>Ūdens krāsas pasliktināšanās no vienas puses var tikt skaidrota ar sezonāliem apstākļiem, kādi lielo un ilgstošo lietavu veidā bija novērojami arī 2017.</w:t>
      </w:r>
      <w:r w:rsidR="00882C03" w:rsidRPr="00A07F29">
        <w:rPr>
          <w:rFonts w:ascii="Times New Roman" w:eastAsia="Noto Sans CJK SC" w:hAnsi="Times New Roman" w:cs="Lohit Devanagari"/>
          <w:kern w:val="2"/>
          <w:sz w:val="24"/>
          <w:szCs w:val="24"/>
          <w:lang w:eastAsia="zh-CN" w:bidi="hi-IN"/>
        </w:rPr>
        <w:t> </w:t>
      </w:r>
      <w:r w:rsidRPr="00A07F29">
        <w:rPr>
          <w:rFonts w:ascii="Times New Roman" w:eastAsia="Noto Sans CJK SC" w:hAnsi="Times New Roman" w:cs="Lohit Devanagari"/>
          <w:kern w:val="2"/>
          <w:sz w:val="24"/>
          <w:szCs w:val="24"/>
          <w:lang w:eastAsia="zh-CN" w:bidi="hi-IN"/>
        </w:rPr>
        <w:t xml:space="preserve">gada rudenī, gan ar izmaiņām, kas novērojamas ilgstošākā laika periodā. Ilgstošu lietavu apstākļos palielinās noteces no ezeru sateces baseinos esošajiem purviem un purvainajiem mežiem un tāpēc ezeros ieplūst vairāk </w:t>
      </w:r>
      <w:proofErr w:type="spellStart"/>
      <w:r w:rsidRPr="00A07F29">
        <w:rPr>
          <w:rFonts w:ascii="Times New Roman" w:eastAsia="Noto Sans CJK SC" w:hAnsi="Times New Roman" w:cs="Lohit Devanagari"/>
          <w:kern w:val="2"/>
          <w:sz w:val="24"/>
          <w:szCs w:val="24"/>
          <w:lang w:eastAsia="zh-CN" w:bidi="hi-IN"/>
        </w:rPr>
        <w:t>humusvielām</w:t>
      </w:r>
      <w:proofErr w:type="spellEnd"/>
      <w:r w:rsidRPr="00A07F29">
        <w:rPr>
          <w:rFonts w:ascii="Times New Roman" w:eastAsia="Noto Sans CJK SC" w:hAnsi="Times New Roman" w:cs="Lohit Devanagari"/>
          <w:kern w:val="2"/>
          <w:sz w:val="24"/>
          <w:szCs w:val="24"/>
          <w:lang w:eastAsia="zh-CN" w:bidi="hi-IN"/>
        </w:rPr>
        <w:t xml:space="preserve"> bagātu ūdeņu un ūdens kļūst brūnāks.</w:t>
      </w:r>
      <w:r w:rsidR="176EEFA6" w:rsidRPr="00A07F29">
        <w:rPr>
          <w:rFonts w:ascii="Times New Roman" w:eastAsia="Noto Sans CJK SC" w:hAnsi="Times New Roman" w:cs="Lohit Devanagari"/>
          <w:kern w:val="2"/>
          <w:sz w:val="24"/>
          <w:szCs w:val="24"/>
          <w:lang w:eastAsia="zh-CN" w:bidi="hi-IN"/>
        </w:rPr>
        <w:t xml:space="preserve"> </w:t>
      </w:r>
      <w:r w:rsidRPr="00A07F29">
        <w:rPr>
          <w:rFonts w:ascii="Times New Roman" w:eastAsia="Noto Sans CJK SC" w:hAnsi="Times New Roman" w:cs="Lohit Devanagari"/>
          <w:kern w:val="2"/>
          <w:sz w:val="24"/>
          <w:szCs w:val="24"/>
          <w:lang w:eastAsia="zh-CN" w:bidi="hi-IN"/>
        </w:rPr>
        <w:t xml:space="preserve">Ilgstošā laika posmā novērojamās izmaiņas, ko izraisa gan dabiskie procesi (eitrofikācija un </w:t>
      </w:r>
      <w:proofErr w:type="spellStart"/>
      <w:r w:rsidRPr="00A07F29">
        <w:rPr>
          <w:rFonts w:ascii="Times New Roman" w:eastAsia="Noto Sans CJK SC" w:hAnsi="Times New Roman" w:cs="Lohit Devanagari"/>
          <w:kern w:val="2"/>
          <w:sz w:val="24"/>
          <w:szCs w:val="24"/>
          <w:lang w:eastAsia="zh-CN" w:bidi="hi-IN"/>
        </w:rPr>
        <w:t>distrofikācija</w:t>
      </w:r>
      <w:proofErr w:type="spellEnd"/>
      <w:r w:rsidRPr="00A07F29">
        <w:rPr>
          <w:rFonts w:ascii="Times New Roman" w:eastAsia="Noto Sans CJK SC" w:hAnsi="Times New Roman" w:cs="Lohit Devanagari"/>
          <w:kern w:val="2"/>
          <w:sz w:val="24"/>
          <w:szCs w:val="24"/>
          <w:lang w:eastAsia="zh-CN" w:bidi="hi-IN"/>
        </w:rPr>
        <w:t>), gan antropogēnās</w:t>
      </w:r>
      <w:r w:rsidR="00D65BBA" w:rsidRPr="00A07F29">
        <w:rPr>
          <w:rFonts w:ascii="Times New Roman" w:eastAsia="Noto Sans CJK SC" w:hAnsi="Times New Roman" w:cs="Lohit Devanagari"/>
          <w:kern w:val="2"/>
          <w:sz w:val="24"/>
          <w:szCs w:val="24"/>
          <w:lang w:eastAsia="zh-CN" w:bidi="hi-IN"/>
        </w:rPr>
        <w:t xml:space="preserve"> </w:t>
      </w:r>
      <w:r w:rsidRPr="00A07F29">
        <w:rPr>
          <w:rFonts w:ascii="Times New Roman" w:eastAsia="Noto Sans CJK SC" w:hAnsi="Times New Roman" w:cs="Lohit Devanagari"/>
          <w:kern w:val="2"/>
          <w:sz w:val="24"/>
          <w:szCs w:val="24"/>
          <w:lang w:eastAsia="zh-CN" w:bidi="hi-IN"/>
        </w:rPr>
        <w:t>darbības negatīvā ietekme (ezeru sateces baseinos esošo sauszemes platību nepārdomāta meliorācija, ezeros ietekošo ūdensteču – upju, upīšu un strautu iztaisnošana un padziļināšana, ezeru ūdens līmeņu mākslīga izmainīšana, intensīva mež</w:t>
      </w:r>
      <w:r w:rsidR="6B5A1A2B" w:rsidRPr="00A07F29">
        <w:rPr>
          <w:rFonts w:ascii="Times New Roman" w:eastAsia="Noto Sans CJK SC" w:hAnsi="Times New Roman" w:cs="Lohit Devanagari"/>
          <w:kern w:val="2"/>
          <w:sz w:val="24"/>
          <w:szCs w:val="24"/>
          <w:lang w:eastAsia="zh-CN" w:bidi="hi-IN"/>
        </w:rPr>
        <w:t>s</w:t>
      </w:r>
      <w:r w:rsidRPr="00A07F29">
        <w:rPr>
          <w:rFonts w:ascii="Times New Roman" w:eastAsia="Noto Sans CJK SC" w:hAnsi="Times New Roman" w:cs="Lohit Devanagari"/>
          <w:kern w:val="2"/>
          <w:sz w:val="24"/>
          <w:szCs w:val="24"/>
          <w:lang w:eastAsia="zh-CN" w:bidi="hi-IN"/>
        </w:rPr>
        <w:t xml:space="preserve">aimnieciskā darbība). </w:t>
      </w:r>
      <w:r w:rsidR="483A4EDB" w:rsidRPr="00A07F29">
        <w:rPr>
          <w:rFonts w:ascii="Times New Roman" w:eastAsia="Noto Sans CJK SC" w:hAnsi="Times New Roman" w:cs="Lohit Devanagari"/>
          <w:kern w:val="2"/>
          <w:sz w:val="24"/>
          <w:szCs w:val="24"/>
          <w:lang w:eastAsia="zh-CN" w:bidi="hi-IN"/>
        </w:rPr>
        <w:t>AAA</w:t>
      </w:r>
      <w:r w:rsidRPr="00A07F29">
        <w:rPr>
          <w:rFonts w:ascii="Times New Roman" w:eastAsia="Noto Sans CJK SC" w:hAnsi="Times New Roman" w:cs="Lohit Devanagari"/>
          <w:kern w:val="2"/>
          <w:sz w:val="24"/>
          <w:szCs w:val="24"/>
          <w:lang w:eastAsia="zh-CN" w:bidi="hi-IN"/>
        </w:rPr>
        <w:t xml:space="preserve"> </w:t>
      </w:r>
      <w:r w:rsidR="00A14E30" w:rsidRPr="00A07F29">
        <w:rPr>
          <w:rFonts w:ascii="Times New Roman" w:eastAsia="Noto Sans CJK SC" w:hAnsi="Times New Roman" w:cs="Lohit Devanagari"/>
          <w:kern w:val="2"/>
          <w:sz w:val="24"/>
          <w:szCs w:val="24"/>
          <w:lang w:eastAsia="zh-CN" w:bidi="hi-IN"/>
        </w:rPr>
        <w:t xml:space="preserve">“Augšdaugava” </w:t>
      </w:r>
      <w:r w:rsidRPr="00A07F29">
        <w:rPr>
          <w:rFonts w:ascii="Times New Roman" w:eastAsia="Noto Sans CJK SC" w:hAnsi="Times New Roman" w:cs="Lohit Devanagari"/>
          <w:kern w:val="2"/>
          <w:sz w:val="24"/>
          <w:szCs w:val="24"/>
          <w:lang w:eastAsia="zh-CN" w:bidi="hi-IN"/>
        </w:rPr>
        <w:t>ezeru ūdens krāsas pasliktināšanos ir izraisījuši un turpina izraisīt šie faktori.</w:t>
      </w:r>
    </w:p>
    <w:p w14:paraId="648A99A6" w14:textId="77777777" w:rsidR="00997A72" w:rsidRPr="00A07F29" w:rsidRDefault="00997A72" w:rsidP="00A47E1E">
      <w:pPr>
        <w:widowControl w:val="0"/>
        <w:spacing w:after="0" w:line="240" w:lineRule="auto"/>
        <w:ind w:right="26" w:firstLine="851"/>
        <w:jc w:val="both"/>
        <w:rPr>
          <w:rFonts w:ascii="Times New Roman" w:eastAsia="Noto Sans CJK SC" w:hAnsi="Times New Roman" w:cs="Lohit Devanagari"/>
          <w:kern w:val="2"/>
          <w:sz w:val="24"/>
          <w:szCs w:val="24"/>
          <w:lang w:eastAsia="zh-CN" w:bidi="hi-IN"/>
        </w:rPr>
      </w:pPr>
    </w:p>
    <w:p w14:paraId="34355716" w14:textId="77777777" w:rsidR="00997A72" w:rsidRPr="00A07F29" w:rsidRDefault="00997A72" w:rsidP="00997A72">
      <w:pPr>
        <w:widowControl w:val="0"/>
        <w:spacing w:after="0" w:line="240" w:lineRule="auto"/>
        <w:ind w:right="26"/>
        <w:jc w:val="both"/>
        <w:rPr>
          <w:rFonts w:ascii="Liberation Serif" w:eastAsia="Noto Sans CJK SC" w:hAnsi="Liberation Serif" w:cs="Lohit Devanagari"/>
          <w:kern w:val="2"/>
          <w:sz w:val="24"/>
          <w:szCs w:val="24"/>
          <w:lang w:eastAsia="zh-CN" w:bidi="hi-IN"/>
        </w:rPr>
      </w:pPr>
      <w:r w:rsidRPr="00A07F29">
        <w:rPr>
          <w:rFonts w:ascii="Times New Roman" w:eastAsia="Noto Sans CJK SC" w:hAnsi="Times New Roman" w:cs="Lohit Devanagari"/>
          <w:b/>
          <w:i/>
          <w:kern w:val="2"/>
          <w:sz w:val="24"/>
          <w:szCs w:val="24"/>
          <w:lang w:eastAsia="zh-CN" w:bidi="hi-IN"/>
        </w:rPr>
        <w:t>Ezeru ainaviskums un kultūrvēsturiskais nozīmīgums</w:t>
      </w:r>
    </w:p>
    <w:p w14:paraId="1DE0DA56" w14:textId="45E4BE17" w:rsidR="00997A72" w:rsidRPr="00A07F29" w:rsidRDefault="00997A72" w:rsidP="00A47E1E">
      <w:pPr>
        <w:widowControl w:val="0"/>
        <w:spacing w:after="0" w:line="240" w:lineRule="auto"/>
        <w:ind w:right="26" w:firstLine="851"/>
        <w:jc w:val="both"/>
        <w:rPr>
          <w:rFonts w:ascii="Liberation Serif" w:eastAsia="Noto Sans CJK SC" w:hAnsi="Liberation Serif" w:cs="Lohit Devanagari"/>
          <w:kern w:val="2"/>
          <w:sz w:val="24"/>
          <w:szCs w:val="24"/>
          <w:lang w:eastAsia="zh-CN" w:bidi="hi-IN"/>
        </w:rPr>
      </w:pPr>
      <w:r w:rsidRPr="00A07F29">
        <w:rPr>
          <w:rFonts w:ascii="Times New Roman" w:eastAsia="Noto Sans CJK SC" w:hAnsi="Times New Roman" w:cs="Lohit Devanagari"/>
          <w:kern w:val="2"/>
          <w:sz w:val="24"/>
          <w:szCs w:val="24"/>
          <w:lang w:eastAsia="zh-CN" w:bidi="hi-IN"/>
        </w:rPr>
        <w:t xml:space="preserve">Lielākā daļa AAA “Augšdaugava” ezeru kopumā ir mazāk vai vairāk ļoti ainaviski, jo atrodas paugurainā reljefā mežainā, daļēji mežainā vai klajā ainavā un no </w:t>
      </w:r>
      <w:r w:rsidR="00022048" w:rsidRPr="00A07F29">
        <w:rPr>
          <w:rFonts w:ascii="Times New Roman" w:eastAsia="Noto Sans CJK SC" w:hAnsi="Times New Roman" w:cs="Lohit Devanagari"/>
          <w:kern w:val="2"/>
          <w:sz w:val="24"/>
          <w:szCs w:val="24"/>
          <w:lang w:eastAsia="zh-CN" w:bidi="hi-IN"/>
        </w:rPr>
        <w:t xml:space="preserve">to </w:t>
      </w:r>
      <w:r w:rsidRPr="00A07F29">
        <w:rPr>
          <w:rFonts w:ascii="Times New Roman" w:eastAsia="Noto Sans CJK SC" w:hAnsi="Times New Roman" w:cs="Lohit Devanagari"/>
          <w:kern w:val="2"/>
          <w:sz w:val="24"/>
          <w:szCs w:val="24"/>
          <w:lang w:eastAsia="zh-CN" w:bidi="hi-IN"/>
        </w:rPr>
        <w:t xml:space="preserve">augstajiem krastiem paveras skaisti skati un ainavas. Visainaviskākie ir ezeri ar augstiem krastiem – </w:t>
      </w:r>
      <w:proofErr w:type="spellStart"/>
      <w:r w:rsidRPr="00A07F29">
        <w:rPr>
          <w:rFonts w:ascii="Times New Roman" w:eastAsia="Noto Sans CJK SC" w:hAnsi="Times New Roman" w:cs="Lohit Devanagari"/>
          <w:kern w:val="2"/>
          <w:sz w:val="24"/>
          <w:szCs w:val="24"/>
          <w:lang w:eastAsia="zh-CN" w:bidi="hi-IN"/>
        </w:rPr>
        <w:t>Riņģis</w:t>
      </w:r>
      <w:proofErr w:type="spellEnd"/>
      <w:r w:rsidRPr="00A07F29">
        <w:rPr>
          <w:rFonts w:ascii="Times New Roman" w:eastAsia="Noto Sans CJK SC" w:hAnsi="Times New Roman" w:cs="Lohit Devanagari"/>
          <w:kern w:val="2"/>
          <w:sz w:val="24"/>
          <w:szCs w:val="24"/>
          <w:lang w:eastAsia="zh-CN" w:bidi="hi-IN"/>
        </w:rPr>
        <w:t xml:space="preserve">, Dauguļu ezers, Dziļais </w:t>
      </w:r>
      <w:proofErr w:type="spellStart"/>
      <w:r w:rsidRPr="00A07F29">
        <w:rPr>
          <w:rFonts w:ascii="Times New Roman" w:eastAsia="Noto Sans CJK SC" w:hAnsi="Times New Roman" w:cs="Lohit Devanagari"/>
          <w:kern w:val="2"/>
          <w:sz w:val="24"/>
          <w:szCs w:val="24"/>
          <w:lang w:eastAsia="zh-CN" w:bidi="hi-IN"/>
        </w:rPr>
        <w:t>Lukštānu</w:t>
      </w:r>
      <w:proofErr w:type="spellEnd"/>
      <w:r w:rsidRPr="00A07F29">
        <w:rPr>
          <w:rFonts w:ascii="Times New Roman" w:eastAsia="Noto Sans CJK SC" w:hAnsi="Times New Roman" w:cs="Lohit Devanagari"/>
          <w:kern w:val="2"/>
          <w:sz w:val="24"/>
          <w:szCs w:val="24"/>
          <w:lang w:eastAsia="zh-CN" w:bidi="hi-IN"/>
        </w:rPr>
        <w:t xml:space="preserve">, </w:t>
      </w:r>
      <w:proofErr w:type="spellStart"/>
      <w:r w:rsidRPr="00A07F29">
        <w:rPr>
          <w:rFonts w:ascii="Times New Roman" w:eastAsia="Noto Sans CJK SC" w:hAnsi="Times New Roman" w:cs="Lohit Devanagari"/>
          <w:kern w:val="2"/>
          <w:sz w:val="24"/>
          <w:szCs w:val="24"/>
          <w:lang w:eastAsia="zh-CN" w:bidi="hi-IN"/>
        </w:rPr>
        <w:t>Kaloda</w:t>
      </w:r>
      <w:proofErr w:type="spellEnd"/>
      <w:r w:rsidRPr="00A07F29">
        <w:rPr>
          <w:rFonts w:ascii="Times New Roman" w:eastAsia="Noto Sans CJK SC" w:hAnsi="Times New Roman" w:cs="Lohit Devanagari"/>
          <w:kern w:val="2"/>
          <w:sz w:val="24"/>
          <w:szCs w:val="24"/>
          <w:lang w:eastAsia="zh-CN" w:bidi="hi-IN"/>
        </w:rPr>
        <w:t xml:space="preserve">, Kaudzīšu, </w:t>
      </w:r>
      <w:proofErr w:type="spellStart"/>
      <w:r w:rsidRPr="00A07F29">
        <w:rPr>
          <w:rFonts w:ascii="Times New Roman" w:eastAsia="Noto Sans CJK SC" w:hAnsi="Times New Roman" w:cs="Lohit Devanagari"/>
          <w:kern w:val="2"/>
          <w:sz w:val="24"/>
          <w:szCs w:val="24"/>
          <w:lang w:eastAsia="zh-CN" w:bidi="hi-IN"/>
        </w:rPr>
        <w:t>Varnaviču</w:t>
      </w:r>
      <w:proofErr w:type="spellEnd"/>
      <w:r w:rsidRPr="00A07F29">
        <w:rPr>
          <w:rFonts w:ascii="Times New Roman" w:eastAsia="Noto Sans CJK SC" w:hAnsi="Times New Roman" w:cs="Lohit Devanagari"/>
          <w:kern w:val="2"/>
          <w:sz w:val="24"/>
          <w:szCs w:val="24"/>
          <w:lang w:eastAsia="zh-CN" w:bidi="hi-IN"/>
        </w:rPr>
        <w:t xml:space="preserve">, </w:t>
      </w:r>
      <w:proofErr w:type="spellStart"/>
      <w:r w:rsidRPr="00A07F29">
        <w:rPr>
          <w:rFonts w:ascii="Times New Roman" w:eastAsia="Noto Sans CJK SC" w:hAnsi="Times New Roman" w:cs="Lohit Devanagari"/>
          <w:kern w:val="2"/>
          <w:sz w:val="24"/>
          <w:szCs w:val="24"/>
          <w:lang w:eastAsia="zh-CN" w:bidi="hi-IN"/>
        </w:rPr>
        <w:t>Jabloņkas</w:t>
      </w:r>
      <w:proofErr w:type="spellEnd"/>
      <w:r w:rsidRPr="00A07F29">
        <w:rPr>
          <w:rFonts w:ascii="Times New Roman" w:eastAsia="Noto Sans CJK SC" w:hAnsi="Times New Roman" w:cs="Lohit Devanagari"/>
          <w:kern w:val="2"/>
          <w:sz w:val="24"/>
          <w:szCs w:val="24"/>
          <w:lang w:eastAsia="zh-CN" w:bidi="hi-IN"/>
        </w:rPr>
        <w:t xml:space="preserve">, </w:t>
      </w:r>
      <w:proofErr w:type="spellStart"/>
      <w:r w:rsidRPr="00A07F29">
        <w:rPr>
          <w:rFonts w:ascii="Times New Roman" w:eastAsia="Noto Sans CJK SC" w:hAnsi="Times New Roman" w:cs="Lohit Devanagari"/>
          <w:kern w:val="2"/>
          <w:sz w:val="24"/>
          <w:szCs w:val="24"/>
          <w:lang w:eastAsia="zh-CN" w:bidi="hi-IN"/>
        </w:rPr>
        <w:t>Šilovkas</w:t>
      </w:r>
      <w:proofErr w:type="spellEnd"/>
      <w:r w:rsidRPr="00A07F29">
        <w:rPr>
          <w:rFonts w:ascii="Times New Roman" w:eastAsia="Noto Sans CJK SC" w:hAnsi="Times New Roman" w:cs="Lohit Devanagari"/>
          <w:kern w:val="2"/>
          <w:sz w:val="24"/>
          <w:szCs w:val="24"/>
          <w:lang w:eastAsia="zh-CN" w:bidi="hi-IN"/>
        </w:rPr>
        <w:t xml:space="preserve">. Īpašu ainaviskumu vairākiem ezeriem piešķir arī to šaurā un garā </w:t>
      </w:r>
      <w:proofErr w:type="spellStart"/>
      <w:r w:rsidRPr="00A07F29">
        <w:rPr>
          <w:rFonts w:ascii="Times New Roman" w:eastAsia="Noto Sans CJK SC" w:hAnsi="Times New Roman" w:cs="Lohit Devanagari"/>
          <w:kern w:val="2"/>
          <w:sz w:val="24"/>
          <w:szCs w:val="24"/>
          <w:lang w:eastAsia="zh-CN" w:bidi="hi-IN"/>
        </w:rPr>
        <w:t>ezerdobes</w:t>
      </w:r>
      <w:proofErr w:type="spellEnd"/>
      <w:r w:rsidRPr="00A07F29">
        <w:rPr>
          <w:rFonts w:ascii="Times New Roman" w:eastAsia="Noto Sans CJK SC" w:hAnsi="Times New Roman" w:cs="Lohit Devanagari"/>
          <w:kern w:val="2"/>
          <w:sz w:val="24"/>
          <w:szCs w:val="24"/>
          <w:lang w:eastAsia="zh-CN" w:bidi="hi-IN"/>
        </w:rPr>
        <w:t xml:space="preserve"> forma, kas visvairāk raksturīga </w:t>
      </w:r>
      <w:proofErr w:type="spellStart"/>
      <w:r w:rsidRPr="00A07F29">
        <w:rPr>
          <w:rFonts w:ascii="Times New Roman" w:eastAsia="Noto Sans CJK SC" w:hAnsi="Times New Roman" w:cs="Lohit Devanagari"/>
          <w:kern w:val="2"/>
          <w:sz w:val="24"/>
          <w:szCs w:val="24"/>
          <w:lang w:eastAsia="zh-CN" w:bidi="hi-IN"/>
        </w:rPr>
        <w:t>Krivoje</w:t>
      </w:r>
      <w:proofErr w:type="spellEnd"/>
      <w:r w:rsidRPr="00A07F29">
        <w:rPr>
          <w:rFonts w:ascii="Times New Roman" w:eastAsia="Noto Sans CJK SC" w:hAnsi="Times New Roman" w:cs="Lohit Devanagari"/>
          <w:kern w:val="2"/>
          <w:sz w:val="24"/>
          <w:szCs w:val="24"/>
          <w:lang w:eastAsia="zh-CN" w:bidi="hi-IN"/>
        </w:rPr>
        <w:t xml:space="preserve">, </w:t>
      </w:r>
      <w:proofErr w:type="spellStart"/>
      <w:r w:rsidRPr="00A07F29">
        <w:rPr>
          <w:rFonts w:ascii="Times New Roman" w:eastAsia="Noto Sans CJK SC" w:hAnsi="Times New Roman" w:cs="Lohit Devanagari"/>
          <w:kern w:val="2"/>
          <w:sz w:val="24"/>
          <w:szCs w:val="24"/>
          <w:lang w:eastAsia="zh-CN" w:bidi="hi-IN"/>
        </w:rPr>
        <w:t>Šilovkas</w:t>
      </w:r>
      <w:proofErr w:type="spellEnd"/>
      <w:r w:rsidRPr="00A07F29">
        <w:rPr>
          <w:rFonts w:ascii="Times New Roman" w:eastAsia="Noto Sans CJK SC" w:hAnsi="Times New Roman" w:cs="Lohit Devanagari"/>
          <w:kern w:val="2"/>
          <w:sz w:val="24"/>
          <w:szCs w:val="24"/>
          <w:lang w:eastAsia="zh-CN" w:bidi="hi-IN"/>
        </w:rPr>
        <w:t xml:space="preserve"> un </w:t>
      </w:r>
      <w:proofErr w:type="spellStart"/>
      <w:r w:rsidRPr="00A07F29">
        <w:rPr>
          <w:rFonts w:ascii="Times New Roman" w:eastAsia="Noto Sans CJK SC" w:hAnsi="Times New Roman" w:cs="Lohit Devanagari"/>
          <w:kern w:val="2"/>
          <w:sz w:val="24"/>
          <w:szCs w:val="24"/>
          <w:lang w:eastAsia="zh-CN" w:bidi="hi-IN"/>
        </w:rPr>
        <w:t>Varnaviču</w:t>
      </w:r>
      <w:proofErr w:type="spellEnd"/>
      <w:r w:rsidRPr="00A07F29">
        <w:rPr>
          <w:rFonts w:ascii="Times New Roman" w:eastAsia="Noto Sans CJK SC" w:hAnsi="Times New Roman" w:cs="Lohit Devanagari"/>
          <w:kern w:val="2"/>
          <w:sz w:val="24"/>
          <w:szCs w:val="24"/>
          <w:lang w:eastAsia="zh-CN" w:bidi="hi-IN"/>
        </w:rPr>
        <w:t xml:space="preserve"> ezeriem, kā arī </w:t>
      </w:r>
      <w:proofErr w:type="spellStart"/>
      <w:r w:rsidRPr="00A07F29">
        <w:rPr>
          <w:rFonts w:ascii="Times New Roman" w:eastAsia="Noto Sans CJK SC" w:hAnsi="Times New Roman" w:cs="Lohit Devanagari"/>
          <w:kern w:val="2"/>
          <w:sz w:val="24"/>
          <w:szCs w:val="24"/>
          <w:lang w:eastAsia="zh-CN" w:bidi="hi-IN"/>
        </w:rPr>
        <w:t>Lukštānu</w:t>
      </w:r>
      <w:proofErr w:type="spellEnd"/>
      <w:r w:rsidRPr="00A07F29">
        <w:rPr>
          <w:rFonts w:ascii="Times New Roman" w:eastAsia="Noto Sans CJK SC" w:hAnsi="Times New Roman" w:cs="Lohit Devanagari"/>
          <w:kern w:val="2"/>
          <w:sz w:val="24"/>
          <w:szCs w:val="24"/>
          <w:lang w:eastAsia="zh-CN" w:bidi="hi-IN"/>
        </w:rPr>
        <w:t xml:space="preserve"> un </w:t>
      </w:r>
      <w:proofErr w:type="spellStart"/>
      <w:r w:rsidRPr="00A07F29">
        <w:rPr>
          <w:rFonts w:ascii="Times New Roman" w:eastAsia="Noto Sans CJK SC" w:hAnsi="Times New Roman" w:cs="Lohit Devanagari"/>
          <w:kern w:val="2"/>
          <w:sz w:val="24"/>
          <w:szCs w:val="24"/>
          <w:lang w:eastAsia="zh-CN" w:bidi="hi-IN"/>
        </w:rPr>
        <w:t>Vaičuku</w:t>
      </w:r>
      <w:proofErr w:type="spellEnd"/>
      <w:r w:rsidRPr="00A07F29">
        <w:rPr>
          <w:rFonts w:ascii="Times New Roman" w:eastAsia="Noto Sans CJK SC" w:hAnsi="Times New Roman" w:cs="Lohit Devanagari"/>
          <w:kern w:val="2"/>
          <w:sz w:val="24"/>
          <w:szCs w:val="24"/>
          <w:lang w:eastAsia="zh-CN" w:bidi="hi-IN"/>
        </w:rPr>
        <w:t xml:space="preserve"> ezeram</w:t>
      </w:r>
      <w:r w:rsidR="00A47E1E" w:rsidRPr="00A07F29">
        <w:rPr>
          <w:rFonts w:ascii="Times New Roman" w:eastAsia="Noto Sans CJK SC" w:hAnsi="Times New Roman" w:cs="Lohit Devanagari"/>
          <w:kern w:val="2"/>
          <w:sz w:val="24"/>
          <w:szCs w:val="24"/>
          <w:lang w:eastAsia="zh-CN" w:bidi="hi-IN"/>
        </w:rPr>
        <w:t>.</w:t>
      </w:r>
      <w:r w:rsidRPr="00A07F29">
        <w:rPr>
          <w:rFonts w:ascii="Times New Roman" w:eastAsia="Noto Sans CJK SC" w:hAnsi="Times New Roman" w:cs="Lohit Devanagari"/>
          <w:kern w:val="2"/>
          <w:sz w:val="24"/>
          <w:szCs w:val="24"/>
          <w:lang w:eastAsia="zh-CN" w:bidi="hi-IN"/>
        </w:rPr>
        <w:t xml:space="preserve"> Īpaši skaists ir augstiem un sausiem priežu mežiem apaugušiem krastiem ieskautais </w:t>
      </w:r>
      <w:proofErr w:type="spellStart"/>
      <w:r w:rsidRPr="00A07F29">
        <w:rPr>
          <w:rFonts w:ascii="Times New Roman" w:eastAsia="Noto Sans CJK SC" w:hAnsi="Times New Roman" w:cs="Lohit Devanagari"/>
          <w:kern w:val="2"/>
          <w:sz w:val="24"/>
          <w:szCs w:val="24"/>
          <w:lang w:eastAsia="zh-CN" w:bidi="hi-IN"/>
        </w:rPr>
        <w:t>Šilovkas</w:t>
      </w:r>
      <w:proofErr w:type="spellEnd"/>
      <w:r w:rsidRPr="00A07F29">
        <w:rPr>
          <w:rFonts w:ascii="Times New Roman" w:eastAsia="Noto Sans CJK SC" w:hAnsi="Times New Roman" w:cs="Lohit Devanagari"/>
          <w:kern w:val="2"/>
          <w:sz w:val="24"/>
          <w:szCs w:val="24"/>
          <w:lang w:eastAsia="zh-CN" w:bidi="hi-IN"/>
        </w:rPr>
        <w:t xml:space="preserve"> ezers. </w:t>
      </w:r>
      <w:proofErr w:type="spellStart"/>
      <w:r w:rsidRPr="00A07F29">
        <w:rPr>
          <w:rFonts w:ascii="Times New Roman" w:eastAsia="Noto Sans CJK SC" w:hAnsi="Times New Roman" w:cs="Lohit Devanagari"/>
          <w:kern w:val="2"/>
          <w:sz w:val="24"/>
          <w:szCs w:val="24"/>
          <w:lang w:eastAsia="zh-CN" w:bidi="hi-IN"/>
        </w:rPr>
        <w:t>Varnaviču</w:t>
      </w:r>
      <w:proofErr w:type="spellEnd"/>
      <w:r w:rsidRPr="00A07F29">
        <w:rPr>
          <w:rFonts w:ascii="Times New Roman" w:eastAsia="Noto Sans CJK SC" w:hAnsi="Times New Roman" w:cs="Lohit Devanagari"/>
          <w:kern w:val="2"/>
          <w:sz w:val="24"/>
          <w:szCs w:val="24"/>
          <w:lang w:eastAsia="zh-CN" w:bidi="hi-IN"/>
        </w:rPr>
        <w:t xml:space="preserve"> ezeram savdabīgu skaistumu piešķir arī tā neparastā, šaurā un izlocītā </w:t>
      </w:r>
      <w:proofErr w:type="spellStart"/>
      <w:r w:rsidRPr="00A07F29">
        <w:rPr>
          <w:rFonts w:ascii="Times New Roman" w:eastAsia="Noto Sans CJK SC" w:hAnsi="Times New Roman" w:cs="Lohit Devanagari"/>
          <w:kern w:val="2"/>
          <w:sz w:val="24"/>
          <w:szCs w:val="24"/>
          <w:lang w:eastAsia="zh-CN" w:bidi="hi-IN"/>
        </w:rPr>
        <w:t>ezerdobes</w:t>
      </w:r>
      <w:proofErr w:type="spellEnd"/>
      <w:r w:rsidRPr="00A07F29">
        <w:rPr>
          <w:rFonts w:ascii="Times New Roman" w:eastAsia="Noto Sans CJK SC" w:hAnsi="Times New Roman" w:cs="Lohit Devanagari"/>
          <w:kern w:val="2"/>
          <w:sz w:val="24"/>
          <w:szCs w:val="24"/>
          <w:lang w:eastAsia="zh-CN" w:bidi="hi-IN"/>
        </w:rPr>
        <w:t xml:space="preserve"> forma.</w:t>
      </w:r>
      <w:r w:rsidR="00A47E1E" w:rsidRPr="00A07F29">
        <w:rPr>
          <w:rFonts w:ascii="Times New Roman" w:eastAsia="Noto Sans CJK SC" w:hAnsi="Times New Roman" w:cs="Lohit Devanagari"/>
          <w:kern w:val="2"/>
          <w:sz w:val="24"/>
          <w:szCs w:val="24"/>
          <w:lang w:eastAsia="zh-CN" w:bidi="hi-IN"/>
        </w:rPr>
        <w:t xml:space="preserve"> </w:t>
      </w:r>
      <w:r w:rsidRPr="00A07F29">
        <w:rPr>
          <w:rFonts w:ascii="Times New Roman" w:eastAsia="Noto Sans CJK SC" w:hAnsi="Times New Roman" w:cs="Lohit Devanagari"/>
          <w:kern w:val="2"/>
          <w:sz w:val="24"/>
          <w:szCs w:val="24"/>
          <w:lang w:eastAsia="zh-CN" w:bidi="hi-IN"/>
        </w:rPr>
        <w:t xml:space="preserve">Ainaviski ir arī mazākie ezeri ar augstiem krastiem – </w:t>
      </w:r>
      <w:proofErr w:type="spellStart"/>
      <w:r w:rsidRPr="00A07F29">
        <w:rPr>
          <w:rFonts w:ascii="Times New Roman" w:eastAsia="Noto Sans CJK SC" w:hAnsi="Times New Roman" w:cs="Lohit Devanagari"/>
          <w:kern w:val="2"/>
          <w:sz w:val="24"/>
          <w:szCs w:val="24"/>
          <w:lang w:eastAsia="zh-CN" w:bidi="hi-IN"/>
        </w:rPr>
        <w:t>Saučenku</w:t>
      </w:r>
      <w:proofErr w:type="spellEnd"/>
      <w:r w:rsidRPr="00A07F29">
        <w:rPr>
          <w:rFonts w:ascii="Times New Roman" w:eastAsia="Noto Sans CJK SC" w:hAnsi="Times New Roman" w:cs="Lohit Devanagari"/>
          <w:kern w:val="2"/>
          <w:sz w:val="24"/>
          <w:szCs w:val="24"/>
          <w:lang w:eastAsia="zh-CN" w:bidi="hi-IN"/>
        </w:rPr>
        <w:t xml:space="preserve"> ezers, </w:t>
      </w:r>
      <w:proofErr w:type="spellStart"/>
      <w:r w:rsidRPr="00A07F29">
        <w:rPr>
          <w:rFonts w:ascii="Times New Roman" w:eastAsia="Noto Sans CJK SC" w:hAnsi="Times New Roman" w:cs="Lohit Devanagari"/>
          <w:kern w:val="2"/>
          <w:sz w:val="24"/>
          <w:szCs w:val="24"/>
          <w:lang w:eastAsia="zh-CN" w:bidi="hi-IN"/>
        </w:rPr>
        <w:t>Dubinka</w:t>
      </w:r>
      <w:proofErr w:type="spellEnd"/>
      <w:r w:rsidRPr="00A07F29">
        <w:rPr>
          <w:rFonts w:ascii="Times New Roman" w:eastAsia="Noto Sans CJK SC" w:hAnsi="Times New Roman" w:cs="Lohit Devanagari"/>
          <w:kern w:val="2"/>
          <w:sz w:val="24"/>
          <w:szCs w:val="24"/>
          <w:lang w:eastAsia="zh-CN" w:bidi="hi-IN"/>
        </w:rPr>
        <w:t xml:space="preserve">, </w:t>
      </w:r>
      <w:proofErr w:type="spellStart"/>
      <w:r w:rsidRPr="00A07F29">
        <w:rPr>
          <w:rFonts w:ascii="Times New Roman" w:eastAsia="Noto Sans CJK SC" w:hAnsi="Times New Roman" w:cs="Lohit Devanagari"/>
          <w:kern w:val="2"/>
          <w:sz w:val="24"/>
          <w:szCs w:val="24"/>
          <w:lang w:eastAsia="zh-CN" w:bidi="hi-IN"/>
        </w:rPr>
        <w:t>Baļticas</w:t>
      </w:r>
      <w:proofErr w:type="spellEnd"/>
      <w:r w:rsidRPr="00A07F29">
        <w:rPr>
          <w:rFonts w:ascii="Times New Roman" w:eastAsia="Noto Sans CJK SC" w:hAnsi="Times New Roman" w:cs="Lohit Devanagari"/>
          <w:kern w:val="2"/>
          <w:sz w:val="24"/>
          <w:szCs w:val="24"/>
          <w:lang w:eastAsia="zh-CN" w:bidi="hi-IN"/>
        </w:rPr>
        <w:t xml:space="preserve"> </w:t>
      </w:r>
      <w:proofErr w:type="spellStart"/>
      <w:r w:rsidRPr="00A07F29">
        <w:rPr>
          <w:rFonts w:ascii="Times New Roman" w:eastAsia="Noto Sans CJK SC" w:hAnsi="Times New Roman" w:cs="Lohit Devanagari"/>
          <w:kern w:val="2"/>
          <w:sz w:val="24"/>
          <w:szCs w:val="24"/>
          <w:lang w:eastAsia="zh-CN" w:bidi="hi-IN"/>
        </w:rPr>
        <w:t>Dūneklis</w:t>
      </w:r>
      <w:proofErr w:type="spellEnd"/>
      <w:r w:rsidRPr="00A07F29">
        <w:rPr>
          <w:rFonts w:ascii="Times New Roman" w:eastAsia="Noto Sans CJK SC" w:hAnsi="Times New Roman" w:cs="Lohit Devanagari"/>
          <w:kern w:val="2"/>
          <w:sz w:val="24"/>
          <w:szCs w:val="24"/>
          <w:lang w:eastAsia="zh-CN" w:bidi="hi-IN"/>
        </w:rPr>
        <w:t xml:space="preserve">, </w:t>
      </w:r>
      <w:proofErr w:type="spellStart"/>
      <w:r w:rsidRPr="00A07F29">
        <w:rPr>
          <w:rFonts w:ascii="Times New Roman" w:eastAsia="Noto Sans CJK SC" w:hAnsi="Times New Roman" w:cs="Lohit Devanagari"/>
          <w:kern w:val="2"/>
          <w:sz w:val="24"/>
          <w:szCs w:val="24"/>
          <w:lang w:eastAsia="zh-CN" w:bidi="hi-IN"/>
        </w:rPr>
        <w:t>Mjaļina</w:t>
      </w:r>
      <w:proofErr w:type="spellEnd"/>
      <w:r w:rsidRPr="00A07F29">
        <w:rPr>
          <w:rFonts w:ascii="Times New Roman" w:eastAsia="Noto Sans CJK SC" w:hAnsi="Times New Roman" w:cs="Lohit Devanagari"/>
          <w:kern w:val="2"/>
          <w:sz w:val="24"/>
          <w:szCs w:val="24"/>
          <w:lang w:eastAsia="zh-CN" w:bidi="hi-IN"/>
        </w:rPr>
        <w:t xml:space="preserve">, </w:t>
      </w:r>
      <w:proofErr w:type="spellStart"/>
      <w:r w:rsidRPr="00A07F29">
        <w:rPr>
          <w:rFonts w:ascii="Times New Roman" w:eastAsia="Noto Sans CJK SC" w:hAnsi="Times New Roman" w:cs="Lohit Devanagari"/>
          <w:kern w:val="2"/>
          <w:sz w:val="24"/>
          <w:szCs w:val="24"/>
          <w:lang w:eastAsia="zh-CN" w:bidi="hi-IN"/>
        </w:rPr>
        <w:t>Skumbiņu</w:t>
      </w:r>
      <w:proofErr w:type="spellEnd"/>
      <w:r w:rsidR="009B6B5E" w:rsidRPr="00A07F29">
        <w:rPr>
          <w:rFonts w:ascii="Times New Roman" w:eastAsia="Noto Sans CJK SC" w:hAnsi="Times New Roman" w:cs="Lohit Devanagari"/>
          <w:kern w:val="2"/>
          <w:sz w:val="24"/>
          <w:szCs w:val="24"/>
          <w:lang w:eastAsia="zh-CN" w:bidi="hi-IN"/>
        </w:rPr>
        <w:t>,</w:t>
      </w:r>
      <w:r w:rsidRPr="00A07F29">
        <w:rPr>
          <w:rFonts w:ascii="Times New Roman" w:eastAsia="Noto Sans CJK SC" w:hAnsi="Times New Roman" w:cs="Lohit Devanagari"/>
          <w:kern w:val="2"/>
          <w:sz w:val="24"/>
          <w:szCs w:val="24"/>
          <w:lang w:eastAsia="zh-CN" w:bidi="hi-IN"/>
        </w:rPr>
        <w:t xml:space="preserve"> </w:t>
      </w:r>
      <w:proofErr w:type="spellStart"/>
      <w:r w:rsidRPr="00A07F29">
        <w:rPr>
          <w:rFonts w:ascii="Times New Roman" w:eastAsia="Noto Sans CJK SC" w:hAnsi="Times New Roman" w:cs="Lohit Devanagari"/>
          <w:kern w:val="2"/>
          <w:sz w:val="24"/>
          <w:szCs w:val="24"/>
          <w:lang w:eastAsia="zh-CN" w:bidi="hi-IN"/>
        </w:rPr>
        <w:t>Zīmeļs</w:t>
      </w:r>
      <w:proofErr w:type="spellEnd"/>
      <w:r w:rsidRPr="00A07F29">
        <w:rPr>
          <w:rFonts w:ascii="Times New Roman" w:eastAsia="Noto Sans CJK SC" w:hAnsi="Times New Roman" w:cs="Lohit Devanagari"/>
          <w:kern w:val="2"/>
          <w:sz w:val="24"/>
          <w:szCs w:val="24"/>
          <w:lang w:eastAsia="zh-CN" w:bidi="hi-IN"/>
        </w:rPr>
        <w:t>, Maču</w:t>
      </w:r>
      <w:r w:rsidR="00A47E1E" w:rsidRPr="00A07F29">
        <w:rPr>
          <w:rFonts w:ascii="Times New Roman" w:eastAsia="Noto Sans CJK SC" w:hAnsi="Times New Roman" w:cs="Lohit Devanagari"/>
          <w:kern w:val="2"/>
          <w:sz w:val="24"/>
          <w:szCs w:val="24"/>
          <w:lang w:eastAsia="zh-CN" w:bidi="hi-IN"/>
        </w:rPr>
        <w:t xml:space="preserve"> ezers, kā arī mazie mežezeri</w:t>
      </w:r>
      <w:r w:rsidRPr="00A07F29">
        <w:rPr>
          <w:rFonts w:ascii="Times New Roman" w:eastAsia="Noto Sans CJK SC" w:hAnsi="Times New Roman" w:cs="Lohit Devanagari"/>
          <w:kern w:val="2"/>
          <w:sz w:val="24"/>
          <w:szCs w:val="24"/>
          <w:lang w:eastAsia="zh-CN" w:bidi="hi-IN"/>
        </w:rPr>
        <w:t>.</w:t>
      </w:r>
    </w:p>
    <w:p w14:paraId="56BAF894" w14:textId="42086A5C" w:rsidR="00E0704C" w:rsidRPr="00A07F29" w:rsidRDefault="00997A72" w:rsidP="00A47E1E">
      <w:pPr>
        <w:widowControl w:val="0"/>
        <w:spacing w:after="0" w:line="240" w:lineRule="auto"/>
        <w:ind w:right="26" w:firstLine="851"/>
        <w:jc w:val="both"/>
        <w:rPr>
          <w:rFonts w:ascii="Times New Roman" w:eastAsia="Noto Sans CJK SC" w:hAnsi="Times New Roman" w:cs="Lohit Devanagari"/>
          <w:kern w:val="2"/>
          <w:sz w:val="24"/>
          <w:szCs w:val="24"/>
          <w:lang w:eastAsia="zh-CN" w:bidi="hi-IN"/>
        </w:rPr>
      </w:pPr>
      <w:r w:rsidRPr="00A07F29">
        <w:rPr>
          <w:rFonts w:ascii="Times New Roman" w:eastAsia="Noto Sans CJK SC" w:hAnsi="Times New Roman" w:cs="Lohit Devanagari"/>
          <w:kern w:val="2"/>
          <w:sz w:val="24"/>
          <w:szCs w:val="24"/>
          <w:lang w:eastAsia="zh-CN" w:bidi="hi-IN"/>
        </w:rPr>
        <w:t xml:space="preserve">Ainaviski īpaši pievilcīgas ir arī mazo upīšu ietekas ezeros un iztekas no tiem, piemēram, </w:t>
      </w:r>
      <w:proofErr w:type="spellStart"/>
      <w:r w:rsidRPr="00A07F29">
        <w:rPr>
          <w:rFonts w:ascii="Times New Roman" w:eastAsia="Noto Sans CJK SC" w:hAnsi="Times New Roman" w:cs="Lohit Devanagari"/>
          <w:kern w:val="2"/>
          <w:sz w:val="24"/>
          <w:szCs w:val="24"/>
          <w:lang w:eastAsia="zh-CN" w:bidi="hi-IN"/>
        </w:rPr>
        <w:t>Melnupītes</w:t>
      </w:r>
      <w:proofErr w:type="spellEnd"/>
      <w:r w:rsidRPr="00A07F29">
        <w:rPr>
          <w:rFonts w:ascii="Times New Roman" w:eastAsia="Noto Sans CJK SC" w:hAnsi="Times New Roman" w:cs="Lohit Devanagari"/>
          <w:kern w:val="2"/>
          <w:sz w:val="24"/>
          <w:szCs w:val="24"/>
          <w:lang w:eastAsia="zh-CN" w:bidi="hi-IN"/>
        </w:rPr>
        <w:t xml:space="preserve"> ieteka </w:t>
      </w:r>
      <w:proofErr w:type="spellStart"/>
      <w:r w:rsidRPr="00A07F29">
        <w:rPr>
          <w:rFonts w:ascii="Times New Roman" w:eastAsia="Noto Sans CJK SC" w:hAnsi="Times New Roman" w:cs="Lohit Devanagari"/>
          <w:kern w:val="2"/>
          <w:sz w:val="24"/>
          <w:szCs w:val="24"/>
          <w:lang w:eastAsia="zh-CN" w:bidi="hi-IN"/>
        </w:rPr>
        <w:t>Šilovkas</w:t>
      </w:r>
      <w:proofErr w:type="spellEnd"/>
      <w:r w:rsidRPr="00A07F29">
        <w:rPr>
          <w:rFonts w:ascii="Times New Roman" w:eastAsia="Noto Sans CJK SC" w:hAnsi="Times New Roman" w:cs="Lohit Devanagari"/>
          <w:kern w:val="2"/>
          <w:sz w:val="24"/>
          <w:szCs w:val="24"/>
          <w:lang w:eastAsia="zh-CN" w:bidi="hi-IN"/>
        </w:rPr>
        <w:t xml:space="preserve"> ezera </w:t>
      </w:r>
      <w:r w:rsidR="00F3720C">
        <w:rPr>
          <w:rFonts w:ascii="Times New Roman" w:eastAsia="Noto Sans CJK SC" w:hAnsi="Times New Roman" w:cs="Lohit Devanagari"/>
          <w:kern w:val="2"/>
          <w:sz w:val="24"/>
          <w:szCs w:val="24"/>
          <w:lang w:eastAsia="zh-CN" w:bidi="hi-IN"/>
        </w:rPr>
        <w:t>D</w:t>
      </w:r>
      <w:r w:rsidRPr="00A07F29">
        <w:rPr>
          <w:rFonts w:ascii="Times New Roman" w:eastAsia="Noto Sans CJK SC" w:hAnsi="Times New Roman" w:cs="Lohit Devanagari"/>
          <w:kern w:val="2"/>
          <w:sz w:val="24"/>
          <w:szCs w:val="24"/>
          <w:lang w:eastAsia="zh-CN" w:bidi="hi-IN"/>
        </w:rPr>
        <w:t xml:space="preserve"> gala </w:t>
      </w:r>
      <w:r w:rsidR="00F3720C">
        <w:rPr>
          <w:rFonts w:ascii="Times New Roman" w:eastAsia="Noto Sans CJK SC" w:hAnsi="Times New Roman" w:cs="Lohit Devanagari"/>
          <w:kern w:val="2"/>
          <w:sz w:val="24"/>
          <w:szCs w:val="24"/>
          <w:lang w:eastAsia="zh-CN" w:bidi="hi-IN"/>
        </w:rPr>
        <w:t>R</w:t>
      </w:r>
      <w:r w:rsidRPr="00A07F29">
        <w:rPr>
          <w:rFonts w:ascii="Times New Roman" w:eastAsia="Noto Sans CJK SC" w:hAnsi="Times New Roman" w:cs="Lohit Devanagari"/>
          <w:kern w:val="2"/>
          <w:sz w:val="24"/>
          <w:szCs w:val="24"/>
          <w:lang w:eastAsia="zh-CN" w:bidi="hi-IN"/>
        </w:rPr>
        <w:t xml:space="preserve"> pusē un Bruņinieku upes iztekas šī paša ezers </w:t>
      </w:r>
      <w:r w:rsidR="00F3720C">
        <w:rPr>
          <w:rFonts w:ascii="Times New Roman" w:eastAsia="Noto Sans CJK SC" w:hAnsi="Times New Roman" w:cs="Lohit Devanagari"/>
          <w:kern w:val="2"/>
          <w:sz w:val="24"/>
          <w:szCs w:val="24"/>
          <w:lang w:eastAsia="zh-CN" w:bidi="hi-IN"/>
        </w:rPr>
        <w:t>Z</w:t>
      </w:r>
      <w:r w:rsidRPr="00A07F29">
        <w:rPr>
          <w:rFonts w:ascii="Times New Roman" w:eastAsia="Noto Sans CJK SC" w:hAnsi="Times New Roman" w:cs="Lohit Devanagari"/>
          <w:kern w:val="2"/>
          <w:sz w:val="24"/>
          <w:szCs w:val="24"/>
          <w:lang w:eastAsia="zh-CN" w:bidi="hi-IN"/>
        </w:rPr>
        <w:t xml:space="preserve"> galā. Jāpiezīmē, ka vēsturisko Kurzemes un Lietuvas robežu 19</w:t>
      </w:r>
      <w:r w:rsidR="00E0704C" w:rsidRPr="00A07F29">
        <w:rPr>
          <w:rFonts w:ascii="Times New Roman" w:eastAsia="Noto Sans CJK SC" w:hAnsi="Times New Roman" w:cs="Lohit Devanagari"/>
          <w:kern w:val="2"/>
          <w:sz w:val="24"/>
          <w:szCs w:val="24"/>
          <w:lang w:eastAsia="zh-CN" w:bidi="hi-IN"/>
        </w:rPr>
        <w:t>. </w:t>
      </w:r>
      <w:r w:rsidRPr="00A07F29">
        <w:rPr>
          <w:rFonts w:ascii="Times New Roman" w:eastAsia="Noto Sans CJK SC" w:hAnsi="Times New Roman" w:cs="Lohit Devanagari"/>
          <w:kern w:val="2"/>
          <w:sz w:val="24"/>
          <w:szCs w:val="24"/>
          <w:lang w:eastAsia="zh-CN" w:bidi="hi-IN"/>
        </w:rPr>
        <w:t xml:space="preserve">gadsimta </w:t>
      </w:r>
      <w:r w:rsidR="00E0704C" w:rsidRPr="00A07F29">
        <w:rPr>
          <w:rFonts w:ascii="Times New Roman" w:eastAsia="Noto Sans CJK SC" w:hAnsi="Times New Roman" w:cs="Lohit Devanagari"/>
          <w:kern w:val="2"/>
          <w:sz w:val="24"/>
          <w:szCs w:val="24"/>
          <w:lang w:eastAsia="zh-CN" w:bidi="hi-IN"/>
        </w:rPr>
        <w:t xml:space="preserve">pirmajā </w:t>
      </w:r>
      <w:r w:rsidRPr="00A07F29">
        <w:rPr>
          <w:rFonts w:ascii="Times New Roman" w:eastAsia="Noto Sans CJK SC" w:hAnsi="Times New Roman" w:cs="Lohit Devanagari"/>
          <w:kern w:val="2"/>
          <w:sz w:val="24"/>
          <w:szCs w:val="24"/>
          <w:lang w:eastAsia="zh-CN" w:bidi="hi-IN"/>
        </w:rPr>
        <w:t xml:space="preserve">pusē ceļā uz Daugavu pie </w:t>
      </w:r>
      <w:proofErr w:type="spellStart"/>
      <w:r w:rsidRPr="00A07F29">
        <w:rPr>
          <w:rFonts w:ascii="Times New Roman" w:eastAsia="Noto Sans CJK SC" w:hAnsi="Times New Roman" w:cs="Lohit Devanagari"/>
          <w:kern w:val="2"/>
          <w:sz w:val="24"/>
          <w:szCs w:val="24"/>
          <w:lang w:eastAsia="zh-CN" w:bidi="hi-IN"/>
        </w:rPr>
        <w:t>Indricas</w:t>
      </w:r>
      <w:proofErr w:type="spellEnd"/>
      <w:r w:rsidRPr="00A07F29">
        <w:rPr>
          <w:rFonts w:ascii="Times New Roman" w:eastAsia="Noto Sans CJK SC" w:hAnsi="Times New Roman" w:cs="Lohit Devanagari"/>
          <w:kern w:val="2"/>
          <w:sz w:val="24"/>
          <w:szCs w:val="24"/>
          <w:lang w:eastAsia="zh-CN" w:bidi="hi-IN"/>
        </w:rPr>
        <w:t xml:space="preserve"> šķērsoja Napoleons ar savu armiju, tāpēc šo ceļu no seniem laikiem sauc par Napoleona traktu.</w:t>
      </w:r>
    </w:p>
    <w:p w14:paraId="606DDBE3" w14:textId="4857FDE1" w:rsidR="00997A72" w:rsidRPr="00A07F29" w:rsidRDefault="00E0704C" w:rsidP="00A47E1E">
      <w:pPr>
        <w:widowControl w:val="0"/>
        <w:spacing w:after="0" w:line="240" w:lineRule="auto"/>
        <w:ind w:right="26" w:firstLine="851"/>
        <w:jc w:val="both"/>
        <w:rPr>
          <w:rFonts w:ascii="Times New Roman" w:eastAsia="Noto Sans CJK SC" w:hAnsi="Times New Roman" w:cs="Lohit Devanagari"/>
          <w:kern w:val="2"/>
          <w:sz w:val="24"/>
          <w:szCs w:val="24"/>
          <w:lang w:eastAsia="zh-CN" w:bidi="hi-IN"/>
        </w:rPr>
      </w:pPr>
      <w:r w:rsidRPr="00A07F29">
        <w:rPr>
          <w:rFonts w:ascii="Times New Roman" w:eastAsia="Noto Sans CJK SC" w:hAnsi="Times New Roman" w:cs="Lohit Devanagari"/>
          <w:kern w:val="2"/>
          <w:sz w:val="24"/>
          <w:szCs w:val="24"/>
          <w:lang w:eastAsia="zh-CN" w:bidi="hi-IN"/>
        </w:rPr>
        <w:t xml:space="preserve">Ainaviski ļoti savdabīgi un skaisti </w:t>
      </w:r>
      <w:r w:rsidR="00997A72" w:rsidRPr="00A07F29">
        <w:rPr>
          <w:rFonts w:ascii="Times New Roman" w:eastAsia="Noto Sans CJK SC" w:hAnsi="Times New Roman" w:cs="Lohit Devanagari"/>
          <w:kern w:val="2"/>
          <w:sz w:val="24"/>
          <w:szCs w:val="24"/>
          <w:lang w:eastAsia="zh-CN" w:bidi="hi-IN"/>
        </w:rPr>
        <w:t xml:space="preserve">ir ezeru krastos ietekošie avoti, </w:t>
      </w:r>
      <w:proofErr w:type="spellStart"/>
      <w:r w:rsidR="00997A72" w:rsidRPr="00A07F29">
        <w:rPr>
          <w:rFonts w:ascii="Times New Roman" w:eastAsia="Noto Sans CJK SC" w:hAnsi="Times New Roman" w:cs="Lohit Devanagari"/>
          <w:kern w:val="2"/>
          <w:sz w:val="24"/>
          <w:szCs w:val="24"/>
          <w:lang w:eastAsia="zh-CN" w:bidi="hi-IN"/>
        </w:rPr>
        <w:t>avotupes</w:t>
      </w:r>
      <w:proofErr w:type="spellEnd"/>
      <w:r w:rsidR="00997A72" w:rsidRPr="00A07F29">
        <w:rPr>
          <w:rFonts w:ascii="Times New Roman" w:eastAsia="Noto Sans CJK SC" w:hAnsi="Times New Roman" w:cs="Lohit Devanagari"/>
          <w:kern w:val="2"/>
          <w:sz w:val="24"/>
          <w:szCs w:val="24"/>
          <w:lang w:eastAsia="zh-CN" w:bidi="hi-IN"/>
        </w:rPr>
        <w:t xml:space="preserve"> un to gravas, piemēram, </w:t>
      </w:r>
      <w:proofErr w:type="spellStart"/>
      <w:r w:rsidR="00997A72" w:rsidRPr="00A07F29">
        <w:rPr>
          <w:rFonts w:ascii="Times New Roman" w:eastAsia="Noto Sans CJK SC" w:hAnsi="Times New Roman" w:cs="Lohit Devanagari"/>
          <w:kern w:val="2"/>
          <w:sz w:val="24"/>
          <w:szCs w:val="24"/>
          <w:lang w:eastAsia="zh-CN" w:bidi="hi-IN"/>
        </w:rPr>
        <w:t>Dūnekļa</w:t>
      </w:r>
      <w:proofErr w:type="spellEnd"/>
      <w:r w:rsidR="00997A72" w:rsidRPr="00A07F29">
        <w:rPr>
          <w:rFonts w:ascii="Times New Roman" w:eastAsia="Noto Sans CJK SC" w:hAnsi="Times New Roman" w:cs="Lohit Devanagari"/>
          <w:kern w:val="2"/>
          <w:sz w:val="24"/>
          <w:szCs w:val="24"/>
          <w:lang w:eastAsia="zh-CN" w:bidi="hi-IN"/>
        </w:rPr>
        <w:t xml:space="preserve"> </w:t>
      </w:r>
      <w:proofErr w:type="spellStart"/>
      <w:r w:rsidR="00997A72" w:rsidRPr="00A07F29">
        <w:rPr>
          <w:rFonts w:ascii="Times New Roman" w:eastAsia="Noto Sans CJK SC" w:hAnsi="Times New Roman" w:cs="Lohit Devanagari"/>
          <w:kern w:val="2"/>
          <w:sz w:val="24"/>
          <w:szCs w:val="24"/>
          <w:lang w:eastAsia="zh-CN" w:bidi="hi-IN"/>
        </w:rPr>
        <w:t>avotgrava</w:t>
      </w:r>
      <w:proofErr w:type="spellEnd"/>
      <w:r w:rsidR="00997A72" w:rsidRPr="00A07F29">
        <w:rPr>
          <w:rFonts w:ascii="Times New Roman" w:eastAsia="Noto Sans CJK SC" w:hAnsi="Times New Roman" w:cs="Lohit Devanagari"/>
          <w:kern w:val="2"/>
          <w:sz w:val="24"/>
          <w:szCs w:val="24"/>
          <w:lang w:eastAsia="zh-CN" w:bidi="hi-IN"/>
        </w:rPr>
        <w:t xml:space="preserve"> ar spēcīgo avotu </w:t>
      </w:r>
      <w:proofErr w:type="spellStart"/>
      <w:r w:rsidR="00997A72" w:rsidRPr="00A07F29">
        <w:rPr>
          <w:rFonts w:ascii="Times New Roman" w:eastAsia="Noto Sans CJK SC" w:hAnsi="Times New Roman" w:cs="Lohit Devanagari"/>
          <w:kern w:val="2"/>
          <w:sz w:val="24"/>
          <w:szCs w:val="24"/>
          <w:lang w:eastAsia="zh-CN" w:bidi="hi-IN"/>
        </w:rPr>
        <w:t>Dūnekļa</w:t>
      </w:r>
      <w:proofErr w:type="spellEnd"/>
      <w:r w:rsidR="00997A72" w:rsidRPr="00A07F29">
        <w:rPr>
          <w:rFonts w:ascii="Times New Roman" w:eastAsia="Noto Sans CJK SC" w:hAnsi="Times New Roman" w:cs="Lohit Devanagari"/>
          <w:kern w:val="2"/>
          <w:sz w:val="24"/>
          <w:szCs w:val="24"/>
          <w:lang w:eastAsia="zh-CN" w:bidi="hi-IN"/>
        </w:rPr>
        <w:t xml:space="preserve"> </w:t>
      </w:r>
      <w:r w:rsidR="407FF27F" w:rsidRPr="00A07F29">
        <w:rPr>
          <w:rFonts w:ascii="Times New Roman" w:eastAsia="Noto Sans CJK SC" w:hAnsi="Times New Roman" w:cs="Lohit Devanagari"/>
          <w:kern w:val="2"/>
          <w:sz w:val="24"/>
          <w:szCs w:val="24"/>
          <w:lang w:eastAsia="zh-CN" w:bidi="hi-IN"/>
        </w:rPr>
        <w:t>A</w:t>
      </w:r>
      <w:r w:rsidR="00997A72" w:rsidRPr="00A07F29">
        <w:rPr>
          <w:rFonts w:ascii="Times New Roman" w:eastAsia="Noto Sans CJK SC" w:hAnsi="Times New Roman" w:cs="Lohit Devanagari"/>
          <w:kern w:val="2"/>
          <w:sz w:val="24"/>
          <w:szCs w:val="24"/>
          <w:lang w:eastAsia="zh-CN" w:bidi="hi-IN"/>
        </w:rPr>
        <w:t xml:space="preserve"> krastā, </w:t>
      </w:r>
      <w:proofErr w:type="spellStart"/>
      <w:r w:rsidR="00997A72" w:rsidRPr="00A07F29">
        <w:rPr>
          <w:rFonts w:ascii="Times New Roman" w:eastAsia="Noto Sans CJK SC" w:hAnsi="Times New Roman" w:cs="Lohit Devanagari"/>
          <w:kern w:val="2"/>
          <w:sz w:val="24"/>
          <w:szCs w:val="24"/>
          <w:lang w:eastAsia="zh-CN" w:bidi="hi-IN"/>
        </w:rPr>
        <w:t>Baļticas</w:t>
      </w:r>
      <w:proofErr w:type="spellEnd"/>
      <w:r w:rsidR="00997A72" w:rsidRPr="00A07F29">
        <w:rPr>
          <w:rFonts w:ascii="Times New Roman" w:eastAsia="Noto Sans CJK SC" w:hAnsi="Times New Roman" w:cs="Lohit Devanagari"/>
          <w:kern w:val="2"/>
          <w:sz w:val="24"/>
          <w:szCs w:val="24"/>
          <w:lang w:eastAsia="zh-CN" w:bidi="hi-IN"/>
        </w:rPr>
        <w:t xml:space="preserve"> ezera </w:t>
      </w:r>
      <w:r w:rsidR="0B7206C8" w:rsidRPr="00A07F29">
        <w:rPr>
          <w:rFonts w:ascii="Times New Roman" w:eastAsia="Noto Sans CJK SC" w:hAnsi="Times New Roman" w:cs="Lohit Devanagari"/>
          <w:kern w:val="2"/>
          <w:sz w:val="24"/>
          <w:szCs w:val="24"/>
          <w:lang w:eastAsia="zh-CN" w:bidi="hi-IN"/>
        </w:rPr>
        <w:t>R</w:t>
      </w:r>
      <w:r w:rsidR="00997A72" w:rsidRPr="00A07F29">
        <w:rPr>
          <w:rFonts w:ascii="Times New Roman" w:eastAsia="Noto Sans CJK SC" w:hAnsi="Times New Roman" w:cs="Lohit Devanagari"/>
          <w:kern w:val="2"/>
          <w:sz w:val="24"/>
          <w:szCs w:val="24"/>
          <w:lang w:eastAsia="zh-CN" w:bidi="hi-IN"/>
        </w:rPr>
        <w:t xml:space="preserve"> krastā esošais </w:t>
      </w:r>
      <w:proofErr w:type="spellStart"/>
      <w:r w:rsidR="00997A72" w:rsidRPr="00A07F29">
        <w:rPr>
          <w:rFonts w:ascii="Times New Roman" w:eastAsia="Noto Sans CJK SC" w:hAnsi="Times New Roman" w:cs="Lohit Devanagari"/>
          <w:kern w:val="2"/>
          <w:sz w:val="24"/>
          <w:szCs w:val="24"/>
          <w:lang w:eastAsia="zh-CN" w:bidi="hi-IN"/>
        </w:rPr>
        <w:t>Baļticas</w:t>
      </w:r>
      <w:proofErr w:type="spellEnd"/>
      <w:r w:rsidR="00997A72" w:rsidRPr="00A07F29">
        <w:rPr>
          <w:rFonts w:ascii="Times New Roman" w:eastAsia="Noto Sans CJK SC" w:hAnsi="Times New Roman" w:cs="Lohit Devanagari"/>
          <w:kern w:val="2"/>
          <w:sz w:val="24"/>
          <w:szCs w:val="24"/>
          <w:lang w:eastAsia="zh-CN" w:bidi="hi-IN"/>
        </w:rPr>
        <w:t xml:space="preserve"> </w:t>
      </w:r>
      <w:proofErr w:type="spellStart"/>
      <w:r w:rsidR="00997A72" w:rsidRPr="00A07F29">
        <w:rPr>
          <w:rFonts w:ascii="Times New Roman" w:eastAsia="Noto Sans CJK SC" w:hAnsi="Times New Roman" w:cs="Lohit Devanagari"/>
          <w:kern w:val="2"/>
          <w:sz w:val="24"/>
          <w:szCs w:val="24"/>
          <w:lang w:eastAsia="zh-CN" w:bidi="hi-IN"/>
        </w:rPr>
        <w:t>svētavots</w:t>
      </w:r>
      <w:proofErr w:type="spellEnd"/>
      <w:r w:rsidR="00997A72" w:rsidRPr="00A07F29">
        <w:rPr>
          <w:rFonts w:ascii="Times New Roman" w:eastAsia="Noto Sans CJK SC" w:hAnsi="Times New Roman" w:cs="Lohit Devanagari"/>
          <w:kern w:val="2"/>
          <w:sz w:val="24"/>
          <w:szCs w:val="24"/>
          <w:lang w:eastAsia="zh-CN" w:bidi="hi-IN"/>
        </w:rPr>
        <w:t xml:space="preserve"> un vēl vien</w:t>
      </w:r>
      <w:r w:rsidR="00664AF4" w:rsidRPr="00A07F29">
        <w:rPr>
          <w:rFonts w:ascii="Times New Roman" w:eastAsia="Noto Sans CJK SC" w:hAnsi="Times New Roman" w:cs="Lohit Devanagari"/>
          <w:kern w:val="2"/>
          <w:sz w:val="24"/>
          <w:szCs w:val="24"/>
          <w:lang w:eastAsia="zh-CN" w:bidi="hi-IN"/>
        </w:rPr>
        <w:t>s</w:t>
      </w:r>
      <w:r w:rsidR="00997A72" w:rsidRPr="00A07F29">
        <w:rPr>
          <w:rFonts w:ascii="Times New Roman" w:eastAsia="Noto Sans CJK SC" w:hAnsi="Times New Roman" w:cs="Lohit Devanagari"/>
          <w:kern w:val="2"/>
          <w:sz w:val="24"/>
          <w:szCs w:val="24"/>
          <w:lang w:eastAsia="zh-CN" w:bidi="hi-IN"/>
        </w:rPr>
        <w:t xml:space="preserve"> avots ar mežonīgu </w:t>
      </w:r>
      <w:proofErr w:type="spellStart"/>
      <w:r w:rsidR="00997A72" w:rsidRPr="00A07F29">
        <w:rPr>
          <w:rFonts w:ascii="Times New Roman" w:eastAsia="Noto Sans CJK SC" w:hAnsi="Times New Roman" w:cs="Lohit Devanagari"/>
          <w:kern w:val="2"/>
          <w:sz w:val="24"/>
          <w:szCs w:val="24"/>
          <w:lang w:eastAsia="zh-CN" w:bidi="hi-IN"/>
        </w:rPr>
        <w:t>avotgravu</w:t>
      </w:r>
      <w:proofErr w:type="spellEnd"/>
      <w:r w:rsidR="00997A72" w:rsidRPr="00A07F29">
        <w:rPr>
          <w:rFonts w:ascii="Times New Roman" w:eastAsia="Noto Sans CJK SC" w:hAnsi="Times New Roman" w:cs="Lohit Devanagari"/>
          <w:kern w:val="2"/>
          <w:sz w:val="24"/>
          <w:szCs w:val="24"/>
          <w:lang w:eastAsia="zh-CN" w:bidi="hi-IN"/>
        </w:rPr>
        <w:t xml:space="preserve"> šī paša ezera </w:t>
      </w:r>
      <w:r w:rsidR="4B22BD24" w:rsidRPr="00A07F29">
        <w:rPr>
          <w:rFonts w:ascii="Times New Roman" w:eastAsia="Noto Sans CJK SC" w:hAnsi="Times New Roman" w:cs="Lohit Devanagari"/>
          <w:kern w:val="2"/>
          <w:sz w:val="24"/>
          <w:szCs w:val="24"/>
          <w:lang w:eastAsia="zh-CN" w:bidi="hi-IN"/>
        </w:rPr>
        <w:t>D</w:t>
      </w:r>
      <w:r w:rsidR="00997A72" w:rsidRPr="00A07F29">
        <w:rPr>
          <w:rFonts w:ascii="Times New Roman" w:eastAsia="Noto Sans CJK SC" w:hAnsi="Times New Roman" w:cs="Lohit Devanagari"/>
          <w:kern w:val="2"/>
          <w:sz w:val="24"/>
          <w:szCs w:val="24"/>
          <w:lang w:eastAsia="zh-CN" w:bidi="hi-IN"/>
        </w:rPr>
        <w:t xml:space="preserve"> krastā, kas sākas pie paša Krāslavas-</w:t>
      </w:r>
      <w:proofErr w:type="spellStart"/>
      <w:r w:rsidR="00997A72" w:rsidRPr="00A07F29">
        <w:rPr>
          <w:rFonts w:ascii="Times New Roman" w:eastAsia="Noto Sans CJK SC" w:hAnsi="Times New Roman" w:cs="Lohit Devanagari"/>
          <w:kern w:val="2"/>
          <w:sz w:val="24"/>
          <w:szCs w:val="24"/>
          <w:lang w:eastAsia="zh-CN" w:bidi="hi-IN"/>
        </w:rPr>
        <w:t>Varnaviču</w:t>
      </w:r>
      <w:proofErr w:type="spellEnd"/>
      <w:r w:rsidR="00997A72" w:rsidRPr="00A07F29">
        <w:rPr>
          <w:rFonts w:ascii="Times New Roman" w:eastAsia="Noto Sans CJK SC" w:hAnsi="Times New Roman" w:cs="Lohit Devanagari"/>
          <w:kern w:val="2"/>
          <w:sz w:val="24"/>
          <w:szCs w:val="24"/>
          <w:lang w:eastAsia="zh-CN" w:bidi="hi-IN"/>
        </w:rPr>
        <w:t xml:space="preserve"> ceļa, kā arī spēcīgie avoti ar divām avoti </w:t>
      </w:r>
      <w:proofErr w:type="spellStart"/>
      <w:r w:rsidR="00997A72" w:rsidRPr="00A07F29">
        <w:rPr>
          <w:rFonts w:ascii="Times New Roman" w:eastAsia="Noto Sans CJK SC" w:hAnsi="Times New Roman" w:cs="Lohit Devanagari"/>
          <w:kern w:val="2"/>
          <w:sz w:val="24"/>
          <w:szCs w:val="24"/>
          <w:lang w:eastAsia="zh-CN" w:bidi="hi-IN"/>
        </w:rPr>
        <w:t>cirkām</w:t>
      </w:r>
      <w:proofErr w:type="spellEnd"/>
      <w:r w:rsidR="00997A72" w:rsidRPr="00A07F29">
        <w:rPr>
          <w:rFonts w:ascii="Times New Roman" w:eastAsia="Noto Sans CJK SC" w:hAnsi="Times New Roman" w:cs="Lohit Devanagari"/>
          <w:kern w:val="2"/>
          <w:sz w:val="24"/>
          <w:szCs w:val="24"/>
          <w:lang w:eastAsia="zh-CN" w:bidi="hi-IN"/>
        </w:rPr>
        <w:t xml:space="preserve"> </w:t>
      </w:r>
      <w:proofErr w:type="spellStart"/>
      <w:r w:rsidR="00997A72" w:rsidRPr="00A07F29">
        <w:rPr>
          <w:rFonts w:ascii="Times New Roman" w:eastAsia="Noto Sans CJK SC" w:hAnsi="Times New Roman" w:cs="Lohit Devanagari"/>
          <w:kern w:val="2"/>
          <w:sz w:val="24"/>
          <w:szCs w:val="24"/>
          <w:lang w:eastAsia="zh-CN" w:bidi="hi-IN"/>
        </w:rPr>
        <w:lastRenderedPageBreak/>
        <w:t>Šilovkas</w:t>
      </w:r>
      <w:proofErr w:type="spellEnd"/>
      <w:r w:rsidR="00997A72" w:rsidRPr="00A07F29">
        <w:rPr>
          <w:rFonts w:ascii="Times New Roman" w:eastAsia="Noto Sans CJK SC" w:hAnsi="Times New Roman" w:cs="Lohit Devanagari"/>
          <w:kern w:val="2"/>
          <w:sz w:val="24"/>
          <w:szCs w:val="24"/>
          <w:lang w:eastAsia="zh-CN" w:bidi="hi-IN"/>
        </w:rPr>
        <w:t xml:space="preserve"> ezera </w:t>
      </w:r>
      <w:r w:rsidR="06CC64DC" w:rsidRPr="00A07F29">
        <w:rPr>
          <w:rFonts w:ascii="Times New Roman" w:eastAsia="Noto Sans CJK SC" w:hAnsi="Times New Roman" w:cs="Lohit Devanagari"/>
          <w:kern w:val="2"/>
          <w:sz w:val="24"/>
          <w:szCs w:val="24"/>
          <w:lang w:eastAsia="zh-CN" w:bidi="hi-IN"/>
        </w:rPr>
        <w:t>ZA</w:t>
      </w:r>
      <w:r w:rsidR="00997A72" w:rsidRPr="00A07F29">
        <w:rPr>
          <w:rFonts w:ascii="Times New Roman" w:eastAsia="Noto Sans CJK SC" w:hAnsi="Times New Roman" w:cs="Lohit Devanagari"/>
          <w:kern w:val="2"/>
          <w:sz w:val="24"/>
          <w:szCs w:val="24"/>
          <w:lang w:eastAsia="zh-CN" w:bidi="hi-IN"/>
        </w:rPr>
        <w:t xml:space="preserve"> un </w:t>
      </w:r>
      <w:r w:rsidR="2ACB7ED1" w:rsidRPr="00A07F29">
        <w:rPr>
          <w:rFonts w:ascii="Times New Roman" w:eastAsia="Noto Sans CJK SC" w:hAnsi="Times New Roman" w:cs="Lohit Devanagari"/>
          <w:kern w:val="2"/>
          <w:sz w:val="24"/>
          <w:szCs w:val="24"/>
          <w:lang w:eastAsia="zh-CN" w:bidi="hi-IN"/>
        </w:rPr>
        <w:t>A</w:t>
      </w:r>
      <w:r w:rsidR="00997A72" w:rsidRPr="00A07F29">
        <w:rPr>
          <w:rFonts w:ascii="Times New Roman" w:eastAsia="Noto Sans CJK SC" w:hAnsi="Times New Roman" w:cs="Lohit Devanagari"/>
          <w:kern w:val="2"/>
          <w:sz w:val="24"/>
          <w:szCs w:val="24"/>
          <w:lang w:eastAsia="zh-CN" w:bidi="hi-IN"/>
        </w:rPr>
        <w:t xml:space="preserve"> krastā un gandrīz divus kilometrus garā </w:t>
      </w:r>
      <w:proofErr w:type="spellStart"/>
      <w:r w:rsidR="00997A72" w:rsidRPr="00A07F29">
        <w:rPr>
          <w:rFonts w:ascii="Times New Roman" w:eastAsia="Noto Sans CJK SC" w:hAnsi="Times New Roman" w:cs="Lohit Devanagari"/>
          <w:kern w:val="2"/>
          <w:sz w:val="24"/>
          <w:szCs w:val="24"/>
          <w:lang w:eastAsia="zh-CN" w:bidi="hi-IN"/>
        </w:rPr>
        <w:t>Tjomnij</w:t>
      </w:r>
      <w:proofErr w:type="spellEnd"/>
      <w:r w:rsidR="00997A72" w:rsidRPr="00A07F29">
        <w:rPr>
          <w:rFonts w:ascii="Times New Roman" w:eastAsia="Noto Sans CJK SC" w:hAnsi="Times New Roman" w:cs="Lohit Devanagari"/>
          <w:kern w:val="2"/>
          <w:sz w:val="24"/>
          <w:szCs w:val="24"/>
          <w:lang w:eastAsia="zh-CN" w:bidi="hi-IN"/>
        </w:rPr>
        <w:t xml:space="preserve"> </w:t>
      </w:r>
      <w:proofErr w:type="spellStart"/>
      <w:r w:rsidR="00997A72" w:rsidRPr="00A07F29">
        <w:rPr>
          <w:rFonts w:ascii="Times New Roman" w:eastAsia="Noto Sans CJK SC" w:hAnsi="Times New Roman" w:cs="Lohit Devanagari"/>
          <w:kern w:val="2"/>
          <w:sz w:val="24"/>
          <w:szCs w:val="24"/>
          <w:lang w:eastAsia="zh-CN" w:bidi="hi-IN"/>
        </w:rPr>
        <w:t>Rov</w:t>
      </w:r>
      <w:proofErr w:type="spellEnd"/>
      <w:r w:rsidR="00997A72" w:rsidRPr="00A07F29">
        <w:rPr>
          <w:rFonts w:ascii="Times New Roman" w:eastAsia="Noto Sans CJK SC" w:hAnsi="Times New Roman" w:cs="Lohit Devanagari"/>
          <w:kern w:val="2"/>
          <w:sz w:val="24"/>
          <w:szCs w:val="24"/>
          <w:lang w:eastAsia="zh-CN" w:bidi="hi-IN"/>
        </w:rPr>
        <w:t xml:space="preserve"> </w:t>
      </w:r>
      <w:proofErr w:type="spellStart"/>
      <w:r w:rsidR="00997A72" w:rsidRPr="00A07F29">
        <w:rPr>
          <w:rFonts w:ascii="Times New Roman" w:eastAsia="Noto Sans CJK SC" w:hAnsi="Times New Roman" w:cs="Lohit Devanagari"/>
          <w:kern w:val="2"/>
          <w:sz w:val="24"/>
          <w:szCs w:val="24"/>
          <w:lang w:eastAsia="zh-CN" w:bidi="hi-IN"/>
        </w:rPr>
        <w:t>avotupe</w:t>
      </w:r>
      <w:proofErr w:type="spellEnd"/>
      <w:r w:rsidR="00997A72" w:rsidRPr="00A07F29">
        <w:rPr>
          <w:rFonts w:ascii="Times New Roman" w:eastAsia="Noto Sans CJK SC" w:hAnsi="Times New Roman" w:cs="Lohit Devanagari"/>
          <w:kern w:val="2"/>
          <w:sz w:val="24"/>
          <w:szCs w:val="24"/>
          <w:lang w:eastAsia="zh-CN" w:bidi="hi-IN"/>
        </w:rPr>
        <w:t xml:space="preserve"> ar mežaino gravu, kas ietek </w:t>
      </w:r>
      <w:proofErr w:type="spellStart"/>
      <w:r w:rsidR="00997A72" w:rsidRPr="00A07F29">
        <w:rPr>
          <w:rFonts w:ascii="Times New Roman" w:eastAsia="Noto Sans CJK SC" w:hAnsi="Times New Roman" w:cs="Lohit Devanagari"/>
          <w:kern w:val="2"/>
          <w:sz w:val="24"/>
          <w:szCs w:val="24"/>
          <w:lang w:eastAsia="zh-CN" w:bidi="hi-IN"/>
        </w:rPr>
        <w:t>Krivoje</w:t>
      </w:r>
      <w:proofErr w:type="spellEnd"/>
      <w:r w:rsidR="00997A72" w:rsidRPr="00A07F29">
        <w:rPr>
          <w:rFonts w:ascii="Times New Roman" w:eastAsia="Noto Sans CJK SC" w:hAnsi="Times New Roman" w:cs="Lohit Devanagari"/>
          <w:kern w:val="2"/>
          <w:sz w:val="24"/>
          <w:szCs w:val="24"/>
          <w:lang w:eastAsia="zh-CN" w:bidi="hi-IN"/>
        </w:rPr>
        <w:t xml:space="preserve"> ezerā. </w:t>
      </w:r>
    </w:p>
    <w:p w14:paraId="5C504576" w14:textId="77777777" w:rsidR="00E0704C" w:rsidRPr="00A07F29" w:rsidRDefault="00E0704C" w:rsidP="00A47E1E">
      <w:pPr>
        <w:widowControl w:val="0"/>
        <w:spacing w:after="0" w:line="240" w:lineRule="auto"/>
        <w:ind w:right="26" w:firstLine="851"/>
        <w:jc w:val="both"/>
        <w:rPr>
          <w:rFonts w:ascii="Liberation Serif" w:eastAsia="Noto Sans CJK SC" w:hAnsi="Liberation Serif" w:cs="Lohit Devanagari"/>
          <w:kern w:val="2"/>
          <w:sz w:val="24"/>
          <w:szCs w:val="24"/>
          <w:lang w:eastAsia="zh-CN" w:bidi="hi-IN"/>
        </w:rPr>
      </w:pPr>
    </w:p>
    <w:p w14:paraId="7199843B" w14:textId="5EFD2DA3" w:rsidR="00997A72" w:rsidRPr="00A07F29" w:rsidRDefault="00997A72" w:rsidP="00997A72">
      <w:pPr>
        <w:widowControl w:val="0"/>
        <w:spacing w:after="0" w:line="240" w:lineRule="auto"/>
        <w:ind w:right="26"/>
        <w:jc w:val="both"/>
        <w:rPr>
          <w:rFonts w:ascii="Liberation Serif" w:eastAsia="Noto Sans CJK SC" w:hAnsi="Liberation Serif" w:cs="Lohit Devanagari"/>
          <w:kern w:val="2"/>
          <w:sz w:val="24"/>
          <w:szCs w:val="24"/>
          <w:lang w:eastAsia="zh-CN" w:bidi="hi-IN"/>
        </w:rPr>
      </w:pPr>
      <w:r w:rsidRPr="00A07F29">
        <w:rPr>
          <w:rFonts w:ascii="Times New Roman" w:eastAsia="Noto Sans CJK SC" w:hAnsi="Times New Roman" w:cs="Lohit Devanagari"/>
          <w:b/>
          <w:i/>
          <w:kern w:val="2"/>
          <w:sz w:val="24"/>
          <w:szCs w:val="24"/>
          <w:lang w:eastAsia="zh-CN" w:bidi="hi-IN"/>
        </w:rPr>
        <w:t>Derīgo izrakteņu atradnes ezeru krastos</w:t>
      </w:r>
    </w:p>
    <w:p w14:paraId="2972B370" w14:textId="1DE890D6" w:rsidR="00997A72" w:rsidRPr="00A07F29" w:rsidRDefault="00997A72" w:rsidP="00E0704C">
      <w:pPr>
        <w:widowControl w:val="0"/>
        <w:spacing w:after="0" w:line="240" w:lineRule="auto"/>
        <w:ind w:right="26" w:firstLine="851"/>
        <w:jc w:val="both"/>
        <w:rPr>
          <w:rFonts w:ascii="Times New Roman" w:eastAsia="Noto Sans CJK SC" w:hAnsi="Times New Roman" w:cs="Lohit Devanagari"/>
          <w:kern w:val="2"/>
          <w:sz w:val="24"/>
          <w:szCs w:val="24"/>
          <w:lang w:eastAsia="zh-CN" w:bidi="hi-IN"/>
        </w:rPr>
      </w:pPr>
      <w:r w:rsidRPr="00A07F29">
        <w:rPr>
          <w:rFonts w:ascii="Times New Roman" w:eastAsia="Noto Sans CJK SC" w:hAnsi="Times New Roman" w:cs="Lohit Devanagari"/>
          <w:kern w:val="2"/>
          <w:sz w:val="24"/>
          <w:szCs w:val="24"/>
          <w:lang w:eastAsia="zh-CN" w:bidi="hi-IN"/>
        </w:rPr>
        <w:t>Divu AAA “Augšdaugava” ezeru krastos 1920.</w:t>
      </w:r>
      <w:r w:rsidR="0039126F" w:rsidRPr="00A07F29">
        <w:rPr>
          <w:rFonts w:ascii="Times New Roman" w:eastAsia="Noto Sans CJK SC" w:hAnsi="Times New Roman" w:cs="Lohit Devanagari"/>
          <w:kern w:val="2"/>
          <w:sz w:val="24"/>
          <w:szCs w:val="24"/>
          <w:lang w:eastAsia="zh-CN" w:bidi="hi-IN"/>
        </w:rPr>
        <w:t> </w:t>
      </w:r>
      <w:r w:rsidRPr="00A07F29">
        <w:rPr>
          <w:rFonts w:ascii="Times New Roman" w:eastAsia="Noto Sans CJK SC" w:hAnsi="Times New Roman" w:cs="Lohit Devanagari"/>
          <w:kern w:val="2"/>
          <w:sz w:val="24"/>
          <w:szCs w:val="24"/>
          <w:lang w:eastAsia="zh-CN" w:bidi="hi-IN"/>
        </w:rPr>
        <w:t>gados tika atklātas nelielas saldūdens kaļķu atradnes (</w:t>
      </w:r>
      <w:proofErr w:type="spellStart"/>
      <w:r w:rsidRPr="00A07F29">
        <w:rPr>
          <w:rFonts w:ascii="Times New Roman" w:eastAsia="Noto Sans CJK SC" w:hAnsi="Times New Roman" w:cs="Lohit Devanagari"/>
          <w:kern w:val="2"/>
          <w:sz w:val="24"/>
          <w:szCs w:val="24"/>
          <w:lang w:eastAsia="zh-CN" w:bidi="hi-IN"/>
        </w:rPr>
        <w:t>Rozenšteins</w:t>
      </w:r>
      <w:proofErr w:type="spellEnd"/>
      <w:r w:rsidR="00244B83">
        <w:rPr>
          <w:rFonts w:ascii="Times New Roman" w:eastAsia="Noto Sans CJK SC" w:hAnsi="Times New Roman" w:cs="Lohit Devanagari"/>
          <w:kern w:val="2"/>
          <w:sz w:val="24"/>
          <w:szCs w:val="24"/>
          <w:lang w:eastAsia="zh-CN" w:bidi="hi-IN"/>
        </w:rPr>
        <w:t xml:space="preserve"> E.</w:t>
      </w:r>
      <w:r w:rsidRPr="00A07F29">
        <w:rPr>
          <w:rFonts w:ascii="Times New Roman" w:eastAsia="Noto Sans CJK SC" w:hAnsi="Times New Roman" w:cs="Lohit Devanagari"/>
          <w:kern w:val="2"/>
          <w:sz w:val="24"/>
          <w:szCs w:val="24"/>
          <w:lang w:eastAsia="zh-CN" w:bidi="hi-IN"/>
        </w:rPr>
        <w:t>, Lancmanis</w:t>
      </w:r>
      <w:r w:rsidR="00244B83">
        <w:rPr>
          <w:rFonts w:ascii="Times New Roman" w:eastAsia="Noto Sans CJK SC" w:hAnsi="Times New Roman" w:cs="Lohit Devanagari"/>
          <w:kern w:val="2"/>
          <w:sz w:val="24"/>
          <w:szCs w:val="24"/>
          <w:lang w:eastAsia="zh-CN" w:bidi="hi-IN"/>
        </w:rPr>
        <w:t xml:space="preserve"> Z.</w:t>
      </w:r>
      <w:r w:rsidRPr="00A07F29">
        <w:rPr>
          <w:rFonts w:ascii="Times New Roman" w:eastAsia="Noto Sans CJK SC" w:hAnsi="Times New Roman" w:cs="Lohit Devanagari"/>
          <w:kern w:val="2"/>
          <w:sz w:val="24"/>
          <w:szCs w:val="24"/>
          <w:lang w:eastAsia="zh-CN" w:bidi="hi-IN"/>
        </w:rPr>
        <w:t xml:space="preserve">, 1928). Viena neizstrādāta atradne atrodas </w:t>
      </w:r>
      <w:proofErr w:type="spellStart"/>
      <w:r w:rsidRPr="00A07F29">
        <w:rPr>
          <w:rFonts w:ascii="Times New Roman" w:eastAsia="Noto Sans CJK SC" w:hAnsi="Times New Roman" w:cs="Lohit Devanagari"/>
          <w:kern w:val="2"/>
          <w:sz w:val="24"/>
          <w:szCs w:val="24"/>
          <w:lang w:eastAsia="zh-CN" w:bidi="hi-IN"/>
        </w:rPr>
        <w:t>Šilovkas</w:t>
      </w:r>
      <w:proofErr w:type="spellEnd"/>
      <w:r w:rsidRPr="00A07F29">
        <w:rPr>
          <w:rFonts w:ascii="Times New Roman" w:eastAsia="Noto Sans CJK SC" w:hAnsi="Times New Roman" w:cs="Lohit Devanagari"/>
          <w:kern w:val="2"/>
          <w:sz w:val="24"/>
          <w:szCs w:val="24"/>
          <w:lang w:eastAsia="zh-CN" w:bidi="hi-IN"/>
        </w:rPr>
        <w:t xml:space="preserve"> ezera </w:t>
      </w:r>
      <w:r w:rsidR="1981382C" w:rsidRPr="00A07F29">
        <w:rPr>
          <w:rFonts w:ascii="Times New Roman" w:eastAsia="Noto Sans CJK SC" w:hAnsi="Times New Roman" w:cs="Lohit Devanagari"/>
          <w:kern w:val="2"/>
          <w:sz w:val="24"/>
          <w:szCs w:val="24"/>
          <w:lang w:eastAsia="zh-CN" w:bidi="hi-IN"/>
        </w:rPr>
        <w:t>ZA</w:t>
      </w:r>
      <w:r w:rsidRPr="00A07F29">
        <w:rPr>
          <w:rFonts w:ascii="Times New Roman" w:eastAsia="Noto Sans CJK SC" w:hAnsi="Times New Roman" w:cs="Lohit Devanagari"/>
          <w:kern w:val="2"/>
          <w:sz w:val="24"/>
          <w:szCs w:val="24"/>
          <w:lang w:eastAsia="zh-CN" w:bidi="hi-IN"/>
        </w:rPr>
        <w:t xml:space="preserve"> daļas </w:t>
      </w:r>
      <w:proofErr w:type="spellStart"/>
      <w:r w:rsidRPr="00A07F29">
        <w:rPr>
          <w:rFonts w:ascii="Times New Roman" w:eastAsia="Noto Sans CJK SC" w:hAnsi="Times New Roman" w:cs="Lohit Devanagari"/>
          <w:kern w:val="2"/>
          <w:sz w:val="24"/>
          <w:szCs w:val="24"/>
          <w:lang w:eastAsia="zh-CN" w:bidi="hi-IN"/>
        </w:rPr>
        <w:t>Moskovskaja</w:t>
      </w:r>
      <w:proofErr w:type="spellEnd"/>
      <w:r w:rsidRPr="00A07F29">
        <w:rPr>
          <w:rFonts w:ascii="Times New Roman" w:eastAsia="Noto Sans CJK SC" w:hAnsi="Times New Roman" w:cs="Lohit Devanagari"/>
          <w:kern w:val="2"/>
          <w:sz w:val="24"/>
          <w:szCs w:val="24"/>
          <w:lang w:eastAsia="zh-CN" w:bidi="hi-IN"/>
        </w:rPr>
        <w:t xml:space="preserve"> </w:t>
      </w:r>
      <w:proofErr w:type="spellStart"/>
      <w:r w:rsidRPr="00A07F29">
        <w:rPr>
          <w:rFonts w:ascii="Times New Roman" w:eastAsia="Noto Sans CJK SC" w:hAnsi="Times New Roman" w:cs="Lohit Devanagari"/>
          <w:kern w:val="2"/>
          <w:sz w:val="24"/>
          <w:szCs w:val="24"/>
          <w:lang w:eastAsia="zh-CN" w:bidi="hi-IN"/>
        </w:rPr>
        <w:t>Luka</w:t>
      </w:r>
      <w:proofErr w:type="spellEnd"/>
      <w:r w:rsidRPr="00A07F29">
        <w:rPr>
          <w:rFonts w:ascii="Times New Roman" w:eastAsia="Noto Sans CJK SC" w:hAnsi="Times New Roman" w:cs="Lohit Devanagari"/>
          <w:kern w:val="2"/>
          <w:sz w:val="24"/>
          <w:szCs w:val="24"/>
          <w:lang w:eastAsia="zh-CN" w:bidi="hi-IN"/>
        </w:rPr>
        <w:t xml:space="preserve"> līča </w:t>
      </w:r>
      <w:r w:rsidR="56D0458F" w:rsidRPr="00A07F29">
        <w:rPr>
          <w:rFonts w:ascii="Times New Roman" w:eastAsia="Noto Sans CJK SC" w:hAnsi="Times New Roman" w:cs="Lohit Devanagari"/>
          <w:kern w:val="2"/>
          <w:sz w:val="24"/>
          <w:szCs w:val="24"/>
          <w:lang w:eastAsia="zh-CN" w:bidi="hi-IN"/>
        </w:rPr>
        <w:t>DR</w:t>
      </w:r>
      <w:r w:rsidRPr="00A07F29">
        <w:rPr>
          <w:rFonts w:ascii="Times New Roman" w:eastAsia="Noto Sans CJK SC" w:hAnsi="Times New Roman" w:cs="Lohit Devanagari"/>
          <w:kern w:val="2"/>
          <w:sz w:val="24"/>
          <w:szCs w:val="24"/>
          <w:lang w:eastAsia="zh-CN" w:bidi="hi-IN"/>
        </w:rPr>
        <w:t xml:space="preserve"> krastā esošajā pussaliņā, kas to atdala no ezera pamatdaļas (</w:t>
      </w:r>
      <w:proofErr w:type="spellStart"/>
      <w:r w:rsidRPr="00A07F29">
        <w:rPr>
          <w:rFonts w:ascii="Times New Roman" w:eastAsia="Noto Sans CJK SC" w:hAnsi="Times New Roman" w:cs="Lohit Devanagari"/>
          <w:kern w:val="2"/>
          <w:sz w:val="24"/>
          <w:szCs w:val="24"/>
          <w:lang w:eastAsia="zh-CN" w:bidi="hi-IN"/>
        </w:rPr>
        <w:t>koord</w:t>
      </w:r>
      <w:proofErr w:type="spellEnd"/>
      <w:r w:rsidRPr="00A07F29">
        <w:rPr>
          <w:rFonts w:ascii="Times New Roman" w:eastAsia="Noto Sans CJK SC" w:hAnsi="Times New Roman" w:cs="Lohit Devanagari"/>
          <w:kern w:val="2"/>
          <w:sz w:val="24"/>
          <w:szCs w:val="24"/>
          <w:lang w:eastAsia="zh-CN" w:bidi="hi-IN"/>
        </w:rPr>
        <w:t xml:space="preserve">. 703470/6191580), otra – </w:t>
      </w:r>
      <w:proofErr w:type="spellStart"/>
      <w:r w:rsidRPr="00A07F29">
        <w:rPr>
          <w:rFonts w:ascii="Times New Roman" w:eastAsia="Noto Sans CJK SC" w:hAnsi="Times New Roman" w:cs="Lohit Devanagari"/>
          <w:kern w:val="2"/>
          <w:sz w:val="24"/>
          <w:szCs w:val="24"/>
          <w:lang w:eastAsia="zh-CN" w:bidi="hi-IN"/>
        </w:rPr>
        <w:t>Baļticas</w:t>
      </w:r>
      <w:proofErr w:type="spellEnd"/>
      <w:r w:rsidRPr="00A07F29">
        <w:rPr>
          <w:rFonts w:ascii="Times New Roman" w:eastAsia="Noto Sans CJK SC" w:hAnsi="Times New Roman" w:cs="Lohit Devanagari"/>
          <w:kern w:val="2"/>
          <w:sz w:val="24"/>
          <w:szCs w:val="24"/>
          <w:lang w:eastAsia="zh-CN" w:bidi="hi-IN"/>
        </w:rPr>
        <w:t xml:space="preserve"> ezera </w:t>
      </w:r>
      <w:r w:rsidR="43A2A947" w:rsidRPr="00A07F29">
        <w:rPr>
          <w:rFonts w:ascii="Times New Roman" w:eastAsia="Noto Sans CJK SC" w:hAnsi="Times New Roman" w:cs="Lohit Devanagari"/>
          <w:kern w:val="2"/>
          <w:sz w:val="24"/>
          <w:szCs w:val="24"/>
          <w:lang w:eastAsia="zh-CN" w:bidi="hi-IN"/>
        </w:rPr>
        <w:t>A</w:t>
      </w:r>
      <w:r w:rsidRPr="00A07F29">
        <w:rPr>
          <w:rFonts w:ascii="Times New Roman" w:eastAsia="Noto Sans CJK SC" w:hAnsi="Times New Roman" w:cs="Lohit Devanagari"/>
          <w:kern w:val="2"/>
          <w:sz w:val="24"/>
          <w:szCs w:val="24"/>
          <w:lang w:eastAsia="zh-CN" w:bidi="hi-IN"/>
        </w:rPr>
        <w:t xml:space="preserve"> krasta </w:t>
      </w:r>
      <w:r w:rsidR="31997BD1" w:rsidRPr="00A07F29">
        <w:rPr>
          <w:rFonts w:ascii="Times New Roman" w:eastAsia="Noto Sans CJK SC" w:hAnsi="Times New Roman" w:cs="Lohit Devanagari"/>
          <w:kern w:val="2"/>
          <w:sz w:val="24"/>
          <w:szCs w:val="24"/>
          <w:lang w:eastAsia="zh-CN" w:bidi="hi-IN"/>
        </w:rPr>
        <w:t>Z</w:t>
      </w:r>
      <w:r w:rsidRPr="00A07F29">
        <w:rPr>
          <w:rFonts w:ascii="Times New Roman" w:eastAsia="Noto Sans CJK SC" w:hAnsi="Times New Roman" w:cs="Lohit Devanagari"/>
          <w:kern w:val="2"/>
          <w:sz w:val="24"/>
          <w:szCs w:val="24"/>
          <w:lang w:eastAsia="zh-CN" w:bidi="hi-IN"/>
        </w:rPr>
        <w:t xml:space="preserve"> puses pussalā (</w:t>
      </w:r>
      <w:proofErr w:type="spellStart"/>
      <w:r w:rsidRPr="00A07F29">
        <w:rPr>
          <w:rFonts w:ascii="Times New Roman" w:eastAsia="Noto Sans CJK SC" w:hAnsi="Times New Roman" w:cs="Lohit Devanagari"/>
          <w:kern w:val="2"/>
          <w:sz w:val="24"/>
          <w:szCs w:val="24"/>
          <w:lang w:eastAsia="zh-CN" w:bidi="hi-IN"/>
        </w:rPr>
        <w:t>koord</w:t>
      </w:r>
      <w:proofErr w:type="spellEnd"/>
      <w:r w:rsidRPr="00A07F29">
        <w:rPr>
          <w:rFonts w:ascii="Times New Roman" w:eastAsia="Noto Sans CJK SC" w:hAnsi="Times New Roman" w:cs="Lohit Devanagari"/>
          <w:kern w:val="2"/>
          <w:sz w:val="24"/>
          <w:szCs w:val="24"/>
          <w:lang w:eastAsia="zh-CN" w:bidi="hi-IN"/>
        </w:rPr>
        <w:t>. 701100/6193130), kas tika izstrādāta 1960.</w:t>
      </w:r>
      <w:r w:rsidR="00444233" w:rsidRPr="00A07F29">
        <w:rPr>
          <w:rFonts w:ascii="Times New Roman" w:eastAsia="Noto Sans CJK SC" w:hAnsi="Times New Roman" w:cs="Lohit Devanagari"/>
          <w:kern w:val="2"/>
          <w:sz w:val="24"/>
          <w:szCs w:val="24"/>
          <w:lang w:eastAsia="zh-CN" w:bidi="hi-IN"/>
        </w:rPr>
        <w:t> </w:t>
      </w:r>
      <w:r w:rsidRPr="00A07F29">
        <w:rPr>
          <w:rFonts w:ascii="Times New Roman" w:eastAsia="Noto Sans CJK SC" w:hAnsi="Times New Roman" w:cs="Lohit Devanagari"/>
          <w:kern w:val="2"/>
          <w:sz w:val="24"/>
          <w:szCs w:val="24"/>
          <w:lang w:eastAsia="zh-CN" w:bidi="hi-IN"/>
        </w:rPr>
        <w:t xml:space="preserve">gados. Vēl divu </w:t>
      </w:r>
      <w:proofErr w:type="spellStart"/>
      <w:r w:rsidRPr="00A07F29">
        <w:rPr>
          <w:rFonts w:ascii="Times New Roman" w:eastAsia="Noto Sans CJK SC" w:hAnsi="Times New Roman" w:cs="Lohit Devanagari"/>
          <w:kern w:val="2"/>
          <w:sz w:val="24"/>
          <w:szCs w:val="24"/>
          <w:lang w:eastAsia="zh-CN" w:bidi="hi-IN"/>
        </w:rPr>
        <w:t>Varnaviču</w:t>
      </w:r>
      <w:proofErr w:type="spellEnd"/>
      <w:r w:rsidRPr="00A07F29">
        <w:rPr>
          <w:rFonts w:ascii="Times New Roman" w:eastAsia="Noto Sans CJK SC" w:hAnsi="Times New Roman" w:cs="Lohit Devanagari"/>
          <w:kern w:val="2"/>
          <w:sz w:val="24"/>
          <w:szCs w:val="24"/>
          <w:lang w:eastAsia="zh-CN" w:bidi="hi-IN"/>
        </w:rPr>
        <w:t xml:space="preserve"> apkārtnes ezeru krastos padomju laikā tika veikta neliela apjoma kūdras atradņu izstrāde – </w:t>
      </w:r>
      <w:proofErr w:type="spellStart"/>
      <w:r w:rsidRPr="00A07F29">
        <w:rPr>
          <w:rFonts w:ascii="Times New Roman" w:eastAsia="Noto Sans CJK SC" w:hAnsi="Times New Roman" w:cs="Lohit Devanagari"/>
          <w:kern w:val="2"/>
          <w:sz w:val="24"/>
          <w:szCs w:val="24"/>
          <w:lang w:eastAsia="zh-CN" w:bidi="hi-IN"/>
        </w:rPr>
        <w:t>Dubinkas</w:t>
      </w:r>
      <w:proofErr w:type="spellEnd"/>
      <w:r w:rsidRPr="00A07F29">
        <w:rPr>
          <w:rFonts w:ascii="Times New Roman" w:eastAsia="Noto Sans CJK SC" w:hAnsi="Times New Roman" w:cs="Lohit Devanagari"/>
          <w:kern w:val="2"/>
          <w:sz w:val="24"/>
          <w:szCs w:val="24"/>
          <w:lang w:eastAsia="zh-CN" w:bidi="hi-IN"/>
        </w:rPr>
        <w:t xml:space="preserve"> </w:t>
      </w:r>
      <w:r w:rsidR="15D807C3" w:rsidRPr="00A07F29">
        <w:rPr>
          <w:rFonts w:ascii="Times New Roman" w:eastAsia="Noto Sans CJK SC" w:hAnsi="Times New Roman" w:cs="Lohit Devanagari"/>
          <w:kern w:val="2"/>
          <w:sz w:val="24"/>
          <w:szCs w:val="24"/>
          <w:lang w:eastAsia="zh-CN" w:bidi="hi-IN"/>
        </w:rPr>
        <w:t>D</w:t>
      </w:r>
      <w:r w:rsidRPr="00A07F29">
        <w:rPr>
          <w:rFonts w:ascii="Times New Roman" w:eastAsia="Noto Sans CJK SC" w:hAnsi="Times New Roman" w:cs="Lohit Devanagari"/>
          <w:kern w:val="2"/>
          <w:sz w:val="24"/>
          <w:szCs w:val="24"/>
          <w:lang w:eastAsia="zh-CN" w:bidi="hi-IN"/>
        </w:rPr>
        <w:t xml:space="preserve"> galā 1960.</w:t>
      </w:r>
      <w:r w:rsidR="00444233" w:rsidRPr="00A07F29">
        <w:rPr>
          <w:rFonts w:ascii="Times New Roman" w:eastAsia="Noto Sans CJK SC" w:hAnsi="Times New Roman" w:cs="Lohit Devanagari"/>
          <w:kern w:val="2"/>
          <w:sz w:val="24"/>
          <w:szCs w:val="24"/>
          <w:lang w:eastAsia="zh-CN" w:bidi="hi-IN"/>
        </w:rPr>
        <w:t> </w:t>
      </w:r>
      <w:r w:rsidRPr="00A07F29">
        <w:rPr>
          <w:rFonts w:ascii="Times New Roman" w:eastAsia="Noto Sans CJK SC" w:hAnsi="Times New Roman" w:cs="Lohit Devanagari"/>
          <w:kern w:val="2"/>
          <w:sz w:val="24"/>
          <w:szCs w:val="24"/>
          <w:lang w:eastAsia="zh-CN" w:bidi="hi-IN"/>
        </w:rPr>
        <w:t xml:space="preserve">gados, bet </w:t>
      </w:r>
      <w:proofErr w:type="spellStart"/>
      <w:r w:rsidRPr="00A07F29">
        <w:rPr>
          <w:rFonts w:ascii="Times New Roman" w:eastAsia="Noto Sans CJK SC" w:hAnsi="Times New Roman" w:cs="Lohit Devanagari"/>
          <w:kern w:val="2"/>
          <w:sz w:val="24"/>
          <w:szCs w:val="24"/>
          <w:lang w:eastAsia="zh-CN" w:bidi="hi-IN"/>
        </w:rPr>
        <w:t>Zimašu</w:t>
      </w:r>
      <w:proofErr w:type="spellEnd"/>
      <w:r w:rsidRPr="00A07F29">
        <w:rPr>
          <w:rFonts w:ascii="Times New Roman" w:eastAsia="Noto Sans CJK SC" w:hAnsi="Times New Roman" w:cs="Lohit Devanagari"/>
          <w:kern w:val="2"/>
          <w:sz w:val="24"/>
          <w:szCs w:val="24"/>
          <w:lang w:eastAsia="zh-CN" w:bidi="hi-IN"/>
        </w:rPr>
        <w:t xml:space="preserve"> ezera </w:t>
      </w:r>
      <w:r w:rsidR="13EEBFB6" w:rsidRPr="00A07F29">
        <w:rPr>
          <w:rFonts w:ascii="Times New Roman" w:eastAsia="Noto Sans CJK SC" w:hAnsi="Times New Roman" w:cs="Lohit Devanagari"/>
          <w:kern w:val="2"/>
          <w:sz w:val="24"/>
          <w:szCs w:val="24"/>
          <w:lang w:eastAsia="zh-CN" w:bidi="hi-IN"/>
        </w:rPr>
        <w:t>D</w:t>
      </w:r>
      <w:r w:rsidRPr="00A07F29">
        <w:rPr>
          <w:rFonts w:ascii="Times New Roman" w:eastAsia="Noto Sans CJK SC" w:hAnsi="Times New Roman" w:cs="Lohit Devanagari"/>
          <w:kern w:val="2"/>
          <w:sz w:val="24"/>
          <w:szCs w:val="24"/>
          <w:lang w:eastAsia="zh-CN" w:bidi="hi-IN"/>
        </w:rPr>
        <w:t xml:space="preserve"> krastā – 1970.</w:t>
      </w:r>
      <w:r w:rsidR="00544302" w:rsidRPr="00A07F29">
        <w:rPr>
          <w:rFonts w:ascii="Times New Roman" w:eastAsia="Noto Sans CJK SC" w:hAnsi="Times New Roman" w:cs="Lohit Devanagari"/>
          <w:kern w:val="2"/>
          <w:sz w:val="24"/>
          <w:szCs w:val="24"/>
          <w:lang w:eastAsia="zh-CN" w:bidi="hi-IN"/>
        </w:rPr>
        <w:t> – </w:t>
      </w:r>
      <w:r w:rsidRPr="00A07F29">
        <w:rPr>
          <w:rFonts w:ascii="Times New Roman" w:eastAsia="Noto Sans CJK SC" w:hAnsi="Times New Roman" w:cs="Lohit Devanagari"/>
          <w:kern w:val="2"/>
          <w:sz w:val="24"/>
          <w:szCs w:val="24"/>
          <w:lang w:eastAsia="zh-CN" w:bidi="hi-IN"/>
        </w:rPr>
        <w:t>1980.</w:t>
      </w:r>
      <w:r w:rsidR="00544302" w:rsidRPr="00A07F29">
        <w:rPr>
          <w:rFonts w:ascii="Times New Roman" w:eastAsia="Noto Sans CJK SC" w:hAnsi="Times New Roman" w:cs="Lohit Devanagari"/>
          <w:kern w:val="2"/>
          <w:sz w:val="24"/>
          <w:szCs w:val="24"/>
          <w:lang w:eastAsia="zh-CN" w:bidi="hi-IN"/>
        </w:rPr>
        <w:t> </w:t>
      </w:r>
      <w:r w:rsidRPr="00A07F29">
        <w:rPr>
          <w:rFonts w:ascii="Times New Roman" w:eastAsia="Noto Sans CJK SC" w:hAnsi="Times New Roman" w:cs="Lohit Devanagari"/>
          <w:kern w:val="2"/>
          <w:sz w:val="24"/>
          <w:szCs w:val="24"/>
          <w:lang w:eastAsia="zh-CN" w:bidi="hi-IN"/>
        </w:rPr>
        <w:t>gados.</w:t>
      </w:r>
    </w:p>
    <w:p w14:paraId="2B710283" w14:textId="77777777" w:rsidR="00E0704C" w:rsidRPr="00A07F29" w:rsidRDefault="00E0704C" w:rsidP="00E0704C">
      <w:pPr>
        <w:widowControl w:val="0"/>
        <w:spacing w:after="0" w:line="240" w:lineRule="auto"/>
        <w:ind w:right="26" w:firstLine="851"/>
        <w:jc w:val="both"/>
        <w:rPr>
          <w:rFonts w:ascii="Times New Roman" w:eastAsia="Noto Sans CJK SC" w:hAnsi="Times New Roman" w:cs="Lohit Devanagari"/>
          <w:b/>
          <w:i/>
          <w:kern w:val="2"/>
          <w:sz w:val="24"/>
          <w:szCs w:val="24"/>
          <w:lang w:eastAsia="zh-CN" w:bidi="hi-IN"/>
        </w:rPr>
      </w:pPr>
    </w:p>
    <w:p w14:paraId="305A87A9" w14:textId="5E63884E" w:rsidR="00997A72" w:rsidRPr="00A07F29" w:rsidRDefault="00997A72" w:rsidP="00E0704C">
      <w:pPr>
        <w:widowControl w:val="0"/>
        <w:spacing w:after="0" w:line="240" w:lineRule="auto"/>
        <w:ind w:right="26"/>
        <w:jc w:val="both"/>
        <w:rPr>
          <w:rFonts w:ascii="Liberation Serif" w:eastAsia="Noto Sans CJK SC" w:hAnsi="Liberation Serif" w:cs="Lohit Devanagari"/>
          <w:kern w:val="2"/>
          <w:sz w:val="24"/>
          <w:szCs w:val="24"/>
          <w:lang w:eastAsia="zh-CN" w:bidi="hi-IN"/>
        </w:rPr>
      </w:pPr>
      <w:r w:rsidRPr="00A07F29">
        <w:rPr>
          <w:rFonts w:ascii="Times New Roman" w:eastAsia="Noto Sans CJK SC" w:hAnsi="Times New Roman" w:cs="Lohit Devanagari"/>
          <w:b/>
          <w:i/>
          <w:kern w:val="2"/>
          <w:sz w:val="24"/>
          <w:szCs w:val="24"/>
          <w:lang w:eastAsia="zh-CN" w:bidi="hi-IN"/>
        </w:rPr>
        <w:t xml:space="preserve">Ezeru </w:t>
      </w:r>
      <w:proofErr w:type="spellStart"/>
      <w:r w:rsidRPr="00A07F29">
        <w:rPr>
          <w:rFonts w:ascii="Times New Roman" w:eastAsia="Noto Sans CJK SC" w:hAnsi="Times New Roman" w:cs="Lohit Devanagari"/>
          <w:b/>
          <w:i/>
          <w:kern w:val="2"/>
          <w:sz w:val="24"/>
          <w:szCs w:val="24"/>
          <w:lang w:eastAsia="zh-CN" w:bidi="hi-IN"/>
        </w:rPr>
        <w:t>hidroķīmiskie</w:t>
      </w:r>
      <w:proofErr w:type="spellEnd"/>
      <w:r w:rsidRPr="00A07F29">
        <w:rPr>
          <w:rFonts w:ascii="Times New Roman" w:eastAsia="Noto Sans CJK SC" w:hAnsi="Times New Roman" w:cs="Lohit Devanagari"/>
          <w:b/>
          <w:i/>
          <w:kern w:val="2"/>
          <w:sz w:val="24"/>
          <w:szCs w:val="24"/>
          <w:lang w:eastAsia="zh-CN" w:bidi="hi-IN"/>
        </w:rPr>
        <w:t xml:space="preserve"> rādītāji un to dinamika</w:t>
      </w:r>
    </w:p>
    <w:p w14:paraId="1C132C2C" w14:textId="41C23EBC" w:rsidR="00997A72" w:rsidRPr="00A07F29" w:rsidRDefault="00997A72" w:rsidP="00E0704C">
      <w:pPr>
        <w:widowControl w:val="0"/>
        <w:spacing w:after="0" w:line="240" w:lineRule="auto"/>
        <w:ind w:right="26" w:firstLine="851"/>
        <w:jc w:val="both"/>
        <w:rPr>
          <w:rFonts w:ascii="Times New Roman" w:eastAsia="Noto Sans CJK SC" w:hAnsi="Times New Roman" w:cs="Lohit Devanagari"/>
          <w:kern w:val="2"/>
          <w:sz w:val="24"/>
          <w:szCs w:val="24"/>
          <w:lang w:eastAsia="zh-CN" w:bidi="hi-IN"/>
        </w:rPr>
      </w:pPr>
      <w:r w:rsidRPr="00A07F29">
        <w:rPr>
          <w:rFonts w:ascii="Times New Roman" w:eastAsia="Noto Sans CJK SC" w:hAnsi="Times New Roman" w:cs="Lohit Devanagari"/>
          <w:kern w:val="2"/>
          <w:sz w:val="24"/>
          <w:szCs w:val="24"/>
          <w:lang w:eastAsia="zh-CN" w:bidi="hi-IN"/>
        </w:rPr>
        <w:t xml:space="preserve">AAA “Augšdaugava” ezeru ūdens </w:t>
      </w:r>
      <w:proofErr w:type="spellStart"/>
      <w:r w:rsidRPr="00A07F29">
        <w:rPr>
          <w:rFonts w:ascii="Times New Roman" w:eastAsia="Noto Sans CJK SC" w:hAnsi="Times New Roman" w:cs="Lohit Devanagari"/>
          <w:kern w:val="2"/>
          <w:sz w:val="24"/>
          <w:szCs w:val="24"/>
          <w:lang w:eastAsia="zh-CN" w:bidi="hi-IN"/>
        </w:rPr>
        <w:t>hidroķīmiskie</w:t>
      </w:r>
      <w:proofErr w:type="spellEnd"/>
      <w:r w:rsidRPr="00A07F29">
        <w:rPr>
          <w:rFonts w:ascii="Times New Roman" w:eastAsia="Noto Sans CJK SC" w:hAnsi="Times New Roman" w:cs="Lohit Devanagari"/>
          <w:kern w:val="2"/>
          <w:sz w:val="24"/>
          <w:szCs w:val="24"/>
          <w:lang w:eastAsia="zh-CN" w:bidi="hi-IN"/>
        </w:rPr>
        <w:t xml:space="preserve"> dati ir diezgan fragmentāri, jo tikai divi no ezeriem – </w:t>
      </w:r>
      <w:proofErr w:type="spellStart"/>
      <w:r w:rsidRPr="00A07F29">
        <w:rPr>
          <w:rFonts w:ascii="Times New Roman" w:eastAsia="Noto Sans CJK SC" w:hAnsi="Times New Roman" w:cs="Lohit Devanagari"/>
          <w:kern w:val="2"/>
          <w:sz w:val="24"/>
          <w:szCs w:val="24"/>
          <w:lang w:eastAsia="zh-CN" w:bidi="hi-IN"/>
        </w:rPr>
        <w:t>Šilovkas</w:t>
      </w:r>
      <w:proofErr w:type="spellEnd"/>
      <w:r w:rsidRPr="00A07F29">
        <w:rPr>
          <w:rFonts w:ascii="Times New Roman" w:eastAsia="Noto Sans CJK SC" w:hAnsi="Times New Roman" w:cs="Lohit Devanagari"/>
          <w:kern w:val="2"/>
          <w:sz w:val="24"/>
          <w:szCs w:val="24"/>
          <w:lang w:eastAsia="zh-CN" w:bidi="hi-IN"/>
        </w:rPr>
        <w:t xml:space="preserve"> un </w:t>
      </w:r>
      <w:proofErr w:type="spellStart"/>
      <w:r w:rsidRPr="00A07F29">
        <w:rPr>
          <w:rFonts w:ascii="Times New Roman" w:eastAsia="Noto Sans CJK SC" w:hAnsi="Times New Roman" w:cs="Lohit Devanagari"/>
          <w:kern w:val="2"/>
          <w:sz w:val="24"/>
          <w:szCs w:val="24"/>
          <w:lang w:eastAsia="zh-CN" w:bidi="hi-IN"/>
        </w:rPr>
        <w:t>Varnaviču</w:t>
      </w:r>
      <w:proofErr w:type="spellEnd"/>
      <w:r w:rsidRPr="00A07F29">
        <w:rPr>
          <w:rFonts w:ascii="Times New Roman" w:eastAsia="Noto Sans CJK SC" w:hAnsi="Times New Roman" w:cs="Lohit Devanagari"/>
          <w:kern w:val="2"/>
          <w:sz w:val="24"/>
          <w:szCs w:val="24"/>
          <w:lang w:eastAsia="zh-CN" w:bidi="hi-IN"/>
        </w:rPr>
        <w:t xml:space="preserve"> ezers ir lielāki par 50</w:t>
      </w:r>
      <w:r w:rsidR="00544302" w:rsidRPr="00A07F29">
        <w:rPr>
          <w:rFonts w:ascii="Times New Roman" w:eastAsia="Noto Sans CJK SC" w:hAnsi="Times New Roman" w:cs="Lohit Devanagari"/>
          <w:kern w:val="2"/>
          <w:sz w:val="24"/>
          <w:szCs w:val="24"/>
          <w:lang w:eastAsia="zh-CN" w:bidi="hi-IN"/>
        </w:rPr>
        <w:t> </w:t>
      </w:r>
      <w:r w:rsidRPr="00A07F29">
        <w:rPr>
          <w:rFonts w:ascii="Times New Roman" w:eastAsia="Noto Sans CJK SC" w:hAnsi="Times New Roman" w:cs="Lohit Devanagari"/>
          <w:kern w:val="2"/>
          <w:sz w:val="24"/>
          <w:szCs w:val="24"/>
          <w:lang w:eastAsia="zh-CN" w:bidi="hi-IN"/>
        </w:rPr>
        <w:t xml:space="preserve">ha un tāpēc </w:t>
      </w:r>
      <w:r w:rsidR="00E0704C" w:rsidRPr="00A07F29">
        <w:rPr>
          <w:rFonts w:ascii="Times New Roman" w:eastAsia="Noto Sans CJK SC" w:hAnsi="Times New Roman" w:cs="Lohit Devanagari"/>
          <w:kern w:val="2"/>
          <w:sz w:val="24"/>
          <w:szCs w:val="24"/>
          <w:lang w:eastAsia="zh-CN" w:bidi="hi-IN"/>
        </w:rPr>
        <w:t xml:space="preserve">izdalīti kā </w:t>
      </w:r>
      <w:r w:rsidRPr="00A07F29">
        <w:rPr>
          <w:rFonts w:ascii="Times New Roman" w:eastAsia="Noto Sans CJK SC" w:hAnsi="Times New Roman" w:cs="Lohit Devanagari"/>
          <w:kern w:val="2"/>
          <w:sz w:val="24"/>
          <w:szCs w:val="24"/>
          <w:lang w:eastAsia="zh-CN" w:bidi="hi-IN"/>
        </w:rPr>
        <w:t xml:space="preserve">Ūdeņu </w:t>
      </w:r>
      <w:proofErr w:type="spellStart"/>
      <w:r w:rsidRPr="00A07F29">
        <w:rPr>
          <w:rFonts w:ascii="Times New Roman" w:eastAsia="Noto Sans CJK SC" w:hAnsi="Times New Roman" w:cs="Lohit Devanagari"/>
          <w:kern w:val="2"/>
          <w:sz w:val="24"/>
          <w:szCs w:val="24"/>
          <w:lang w:eastAsia="zh-CN" w:bidi="hi-IN"/>
        </w:rPr>
        <w:t>struktūrdirektīvas</w:t>
      </w:r>
      <w:proofErr w:type="spellEnd"/>
      <w:r w:rsidRPr="00A07F29">
        <w:rPr>
          <w:rFonts w:ascii="Times New Roman" w:eastAsia="Noto Sans CJK SC" w:hAnsi="Times New Roman" w:cs="Lohit Devanagari"/>
          <w:kern w:val="2"/>
          <w:sz w:val="24"/>
          <w:szCs w:val="24"/>
          <w:lang w:eastAsia="zh-CN" w:bidi="hi-IN"/>
        </w:rPr>
        <w:t xml:space="preserve"> ūdensobjekti un līdz ar to arī ietilpst </w:t>
      </w:r>
      <w:r w:rsidR="79695BAB" w:rsidRPr="00A07F29">
        <w:rPr>
          <w:rFonts w:ascii="Times New Roman" w:eastAsia="Noto Sans CJK SC" w:hAnsi="Times New Roman" w:cs="Lohit Devanagari"/>
          <w:kern w:val="2"/>
          <w:sz w:val="24"/>
          <w:szCs w:val="24"/>
          <w:lang w:eastAsia="zh-CN" w:bidi="hi-IN"/>
        </w:rPr>
        <w:t>LVĢMC</w:t>
      </w:r>
      <w:r w:rsidRPr="00A07F29">
        <w:rPr>
          <w:rFonts w:ascii="Times New Roman" w:eastAsia="Noto Sans CJK SC" w:hAnsi="Times New Roman" w:cs="Lohit Devanagari"/>
          <w:kern w:val="2"/>
          <w:sz w:val="24"/>
          <w:szCs w:val="24"/>
          <w:lang w:eastAsia="zh-CN" w:bidi="hi-IN"/>
        </w:rPr>
        <w:t xml:space="preserve"> Virszemes ūdensobjektu monitoringa ietvaros apsekojamo ūdenstilpju </w:t>
      </w:r>
      <w:r w:rsidR="00E0704C" w:rsidRPr="00A07F29">
        <w:rPr>
          <w:rFonts w:ascii="Times New Roman" w:eastAsia="Noto Sans CJK SC" w:hAnsi="Times New Roman" w:cs="Lohit Devanagari"/>
          <w:kern w:val="2"/>
          <w:sz w:val="24"/>
          <w:szCs w:val="24"/>
          <w:lang w:eastAsia="zh-CN" w:bidi="hi-IN"/>
        </w:rPr>
        <w:t>skaitā</w:t>
      </w:r>
      <w:r w:rsidRPr="00A07F29">
        <w:rPr>
          <w:rFonts w:ascii="Times New Roman" w:eastAsia="Noto Sans CJK SC" w:hAnsi="Times New Roman" w:cs="Lohit Devanagari"/>
          <w:kern w:val="2"/>
          <w:sz w:val="24"/>
          <w:szCs w:val="24"/>
          <w:lang w:eastAsia="zh-CN" w:bidi="hi-IN"/>
        </w:rPr>
        <w:t>.</w:t>
      </w:r>
    </w:p>
    <w:p w14:paraId="26925C4B" w14:textId="1A7B3512" w:rsidR="00997A72" w:rsidRPr="00A07F29" w:rsidRDefault="00997A72" w:rsidP="00E0704C">
      <w:pPr>
        <w:widowControl w:val="0"/>
        <w:spacing w:after="0" w:line="240" w:lineRule="auto"/>
        <w:ind w:right="26" w:firstLine="851"/>
        <w:jc w:val="both"/>
        <w:rPr>
          <w:rFonts w:ascii="Times New Roman" w:eastAsia="Noto Sans CJK SC" w:hAnsi="Times New Roman" w:cs="Lohit Devanagari"/>
          <w:kern w:val="2"/>
          <w:sz w:val="24"/>
          <w:szCs w:val="24"/>
          <w:lang w:eastAsia="zh-CN" w:bidi="hi-IN"/>
        </w:rPr>
      </w:pPr>
      <w:r w:rsidRPr="00A07F29">
        <w:rPr>
          <w:rFonts w:ascii="Times New Roman" w:eastAsia="Noto Sans CJK SC" w:hAnsi="Times New Roman" w:cs="Lohit Devanagari"/>
          <w:kern w:val="2"/>
          <w:sz w:val="24"/>
          <w:szCs w:val="24"/>
          <w:lang w:eastAsia="zh-CN" w:bidi="hi-IN"/>
        </w:rPr>
        <w:t>Padziļināta pieejamo rādītāju analīze atspoguļota 2.</w:t>
      </w:r>
      <w:r w:rsidR="008B61C0" w:rsidRPr="00A07F29">
        <w:rPr>
          <w:rFonts w:ascii="Times New Roman" w:eastAsia="Noto Sans CJK SC" w:hAnsi="Times New Roman" w:cs="Lohit Devanagari"/>
          <w:kern w:val="2"/>
          <w:sz w:val="24"/>
          <w:szCs w:val="24"/>
          <w:lang w:eastAsia="zh-CN" w:bidi="hi-IN"/>
        </w:rPr>
        <w:t>1</w:t>
      </w:r>
      <w:r w:rsidRPr="00A07F29">
        <w:rPr>
          <w:rFonts w:ascii="Times New Roman" w:eastAsia="Noto Sans CJK SC" w:hAnsi="Times New Roman" w:cs="Lohit Devanagari"/>
          <w:kern w:val="2"/>
          <w:sz w:val="24"/>
          <w:szCs w:val="24"/>
          <w:lang w:eastAsia="zh-CN" w:bidi="hi-IN"/>
        </w:rPr>
        <w:t>.</w:t>
      </w:r>
      <w:r w:rsidR="007E0A22" w:rsidRPr="00A07F29">
        <w:rPr>
          <w:rFonts w:ascii="Times New Roman" w:eastAsia="Noto Sans CJK SC" w:hAnsi="Times New Roman" w:cs="Lohit Devanagari"/>
          <w:kern w:val="2"/>
          <w:sz w:val="24"/>
          <w:szCs w:val="24"/>
          <w:lang w:eastAsia="zh-CN" w:bidi="hi-IN"/>
        </w:rPr>
        <w:t> </w:t>
      </w:r>
      <w:r w:rsidR="008B61C0" w:rsidRPr="00A07F29">
        <w:rPr>
          <w:rFonts w:ascii="Times New Roman" w:eastAsia="Noto Sans CJK SC" w:hAnsi="Times New Roman" w:cs="Lohit Devanagari"/>
          <w:kern w:val="2"/>
          <w:sz w:val="24"/>
          <w:szCs w:val="24"/>
          <w:lang w:eastAsia="zh-CN" w:bidi="hi-IN"/>
        </w:rPr>
        <w:t>pielikuma 1.2.</w:t>
      </w:r>
      <w:r w:rsidR="007E0A22" w:rsidRPr="00A07F29">
        <w:rPr>
          <w:rFonts w:ascii="Times New Roman" w:eastAsia="Noto Sans CJK SC" w:hAnsi="Times New Roman" w:cs="Lohit Devanagari"/>
          <w:kern w:val="2"/>
          <w:sz w:val="24"/>
          <w:szCs w:val="24"/>
          <w:lang w:eastAsia="zh-CN" w:bidi="hi-IN"/>
        </w:rPr>
        <w:t> </w:t>
      </w:r>
      <w:r w:rsidR="008B61C0" w:rsidRPr="00A07F29">
        <w:rPr>
          <w:rFonts w:ascii="Times New Roman" w:eastAsia="Noto Sans CJK SC" w:hAnsi="Times New Roman" w:cs="Lohit Devanagari"/>
          <w:kern w:val="2"/>
          <w:sz w:val="24"/>
          <w:szCs w:val="24"/>
          <w:lang w:eastAsia="zh-CN" w:bidi="hi-IN"/>
        </w:rPr>
        <w:t>tabulā</w:t>
      </w:r>
      <w:r w:rsidRPr="00A07F29">
        <w:rPr>
          <w:rFonts w:ascii="Times New Roman" w:eastAsia="Noto Sans CJK SC" w:hAnsi="Times New Roman" w:cs="Lohit Devanagari"/>
          <w:kern w:val="2"/>
          <w:sz w:val="24"/>
          <w:szCs w:val="24"/>
          <w:lang w:eastAsia="zh-CN" w:bidi="hi-IN"/>
        </w:rPr>
        <w:t xml:space="preserve">, atsaucoties uz datiem no </w:t>
      </w:r>
      <w:r w:rsidR="00B16C7F">
        <w:rPr>
          <w:rFonts w:ascii="Times New Roman" w:eastAsia="Noto Sans CJK SC" w:hAnsi="Times New Roman" w:cs="Lohit Devanagari"/>
          <w:color w:val="0563C1"/>
          <w:kern w:val="2"/>
          <w:sz w:val="24"/>
          <w:szCs w:val="24"/>
          <w:u w:val="single"/>
          <w:lang w:eastAsia="zh-CN" w:bidi="hi-IN"/>
        </w:rPr>
        <w:t>https://videscentrs.lvgmc.lv</w:t>
      </w:r>
      <w:r w:rsidRPr="00A07F29">
        <w:rPr>
          <w:rFonts w:ascii="Times New Roman" w:eastAsia="Noto Sans CJK SC" w:hAnsi="Times New Roman" w:cs="Lohit Devanagari"/>
          <w:kern w:val="2"/>
          <w:sz w:val="24"/>
          <w:szCs w:val="24"/>
          <w:lang w:eastAsia="zh-CN" w:bidi="hi-IN"/>
        </w:rPr>
        <w:t xml:space="preserve">, </w:t>
      </w:r>
      <w:hyperlink r:id="rId32" w:history="1">
        <w:r w:rsidRPr="00A07F29">
          <w:rPr>
            <w:rFonts w:ascii="Times New Roman" w:eastAsia="Noto Sans CJK SC" w:hAnsi="Times New Roman" w:cs="Lohit Devanagari"/>
            <w:color w:val="0563C1"/>
            <w:kern w:val="2"/>
            <w:sz w:val="24"/>
            <w:szCs w:val="24"/>
            <w:u w:val="single"/>
            <w:lang w:eastAsia="zh-CN" w:bidi="hi-IN"/>
          </w:rPr>
          <w:t>www.daba.gov.lv</w:t>
        </w:r>
      </w:hyperlink>
      <w:r w:rsidRPr="00A07F29">
        <w:rPr>
          <w:rFonts w:ascii="Times New Roman" w:eastAsia="Noto Sans CJK SC" w:hAnsi="Times New Roman" w:cs="Lohit Devanagari"/>
          <w:kern w:val="2"/>
          <w:sz w:val="24"/>
          <w:szCs w:val="24"/>
          <w:lang w:eastAsia="zh-CN" w:bidi="hi-IN"/>
        </w:rPr>
        <w:t xml:space="preserve"> un </w:t>
      </w:r>
      <w:hyperlink r:id="rId33" w:history="1">
        <w:r w:rsidRPr="00A07F29">
          <w:rPr>
            <w:rFonts w:ascii="Times New Roman" w:eastAsia="Noto Sans CJK SC" w:hAnsi="Times New Roman" w:cs="Lohit Devanagari"/>
            <w:color w:val="0563C1"/>
            <w:kern w:val="2"/>
            <w:sz w:val="24"/>
            <w:szCs w:val="24"/>
            <w:u w:val="single"/>
            <w:lang w:eastAsia="zh-CN" w:bidi="hi-IN"/>
          </w:rPr>
          <w:t>www.ezeri.lv</w:t>
        </w:r>
      </w:hyperlink>
      <w:r w:rsidRPr="00A07F29">
        <w:rPr>
          <w:rFonts w:ascii="Times New Roman" w:eastAsia="Noto Sans CJK SC" w:hAnsi="Times New Roman" w:cs="Lohit Devanagari"/>
          <w:kern w:val="2"/>
          <w:sz w:val="24"/>
          <w:szCs w:val="24"/>
          <w:lang w:eastAsia="zh-CN" w:bidi="hi-IN"/>
        </w:rPr>
        <w:t xml:space="preserve">. </w:t>
      </w:r>
    </w:p>
    <w:p w14:paraId="6275C8EB" w14:textId="57F28D66" w:rsidR="00945A97" w:rsidRPr="00A07F29" w:rsidRDefault="00997A72" w:rsidP="00945A97">
      <w:pPr>
        <w:widowControl w:val="0"/>
        <w:spacing w:after="0" w:line="240" w:lineRule="auto"/>
        <w:ind w:right="26" w:firstLine="851"/>
        <w:jc w:val="both"/>
        <w:rPr>
          <w:rFonts w:ascii="Times New Roman" w:eastAsia="Noto Sans CJK SC" w:hAnsi="Times New Roman" w:cs="Lohit Devanagari"/>
          <w:kern w:val="2"/>
          <w:sz w:val="24"/>
          <w:szCs w:val="24"/>
          <w:lang w:eastAsia="zh-CN" w:bidi="hi-IN"/>
        </w:rPr>
      </w:pPr>
      <w:r w:rsidRPr="00A07F29">
        <w:rPr>
          <w:rFonts w:ascii="Times New Roman" w:eastAsia="Noto Sans CJK SC" w:hAnsi="Times New Roman" w:cs="Lohit Devanagari"/>
          <w:kern w:val="2"/>
          <w:sz w:val="24"/>
          <w:szCs w:val="24"/>
          <w:lang w:eastAsia="zh-CN" w:bidi="hi-IN"/>
        </w:rPr>
        <w:t>Plašāks apraksts par AAA “Augšdaugava” ezeriem atrodams 2.</w:t>
      </w:r>
      <w:r w:rsidR="008B61C0" w:rsidRPr="00A07F29">
        <w:rPr>
          <w:rFonts w:ascii="Times New Roman" w:eastAsia="Noto Sans CJK SC" w:hAnsi="Times New Roman" w:cs="Lohit Devanagari"/>
          <w:kern w:val="2"/>
          <w:sz w:val="24"/>
          <w:szCs w:val="24"/>
          <w:lang w:eastAsia="zh-CN" w:bidi="hi-IN"/>
        </w:rPr>
        <w:t>1</w:t>
      </w:r>
      <w:r w:rsidRPr="00A07F29">
        <w:rPr>
          <w:rFonts w:ascii="Times New Roman" w:eastAsia="Noto Sans CJK SC" w:hAnsi="Times New Roman" w:cs="Lohit Devanagari"/>
          <w:kern w:val="2"/>
          <w:sz w:val="24"/>
          <w:szCs w:val="24"/>
          <w:lang w:eastAsia="zh-CN" w:bidi="hi-IN"/>
        </w:rPr>
        <w:t>.</w:t>
      </w:r>
      <w:r w:rsidR="007E0A22" w:rsidRPr="00A07F29">
        <w:rPr>
          <w:rFonts w:ascii="Times New Roman" w:eastAsia="Noto Sans CJK SC" w:hAnsi="Times New Roman" w:cs="Lohit Devanagari"/>
          <w:kern w:val="2"/>
          <w:sz w:val="24"/>
          <w:szCs w:val="24"/>
          <w:lang w:eastAsia="zh-CN" w:bidi="hi-IN"/>
        </w:rPr>
        <w:t> </w:t>
      </w:r>
      <w:r w:rsidRPr="00A07F29">
        <w:rPr>
          <w:rFonts w:ascii="Times New Roman" w:eastAsia="Noto Sans CJK SC" w:hAnsi="Times New Roman" w:cs="Lohit Devanagari"/>
          <w:kern w:val="2"/>
          <w:sz w:val="24"/>
          <w:szCs w:val="24"/>
          <w:lang w:eastAsia="zh-CN" w:bidi="hi-IN"/>
        </w:rPr>
        <w:t>pielikumā.</w:t>
      </w:r>
    </w:p>
    <w:p w14:paraId="0B809F2E" w14:textId="31FD1E80" w:rsidR="009072CE" w:rsidRPr="00A07F29" w:rsidRDefault="008B61C0" w:rsidP="00945A97">
      <w:pPr>
        <w:pStyle w:val="Heading1"/>
        <w:pageBreakBefore/>
        <w:spacing w:before="0" w:after="240" w:line="240" w:lineRule="auto"/>
        <w:jc w:val="center"/>
        <w:rPr>
          <w:rFonts w:ascii="Times New Roman" w:eastAsia="Times New Roman" w:hAnsi="Times New Roman" w:cs="Times New Roman"/>
          <w:color w:val="auto"/>
          <w:lang w:eastAsia="ja-JP"/>
        </w:rPr>
      </w:pPr>
      <w:bookmarkStart w:id="27" w:name="_Toc183433984"/>
      <w:r w:rsidRPr="00A07F29">
        <w:rPr>
          <w:rFonts w:ascii="Times New Roman" w:eastAsia="Times New Roman" w:hAnsi="Times New Roman" w:cs="Times New Roman"/>
          <w:color w:val="auto"/>
          <w:lang w:eastAsia="ja-JP"/>
        </w:rPr>
        <w:lastRenderedPageBreak/>
        <w:t xml:space="preserve">3. </w:t>
      </w:r>
      <w:r w:rsidR="009072CE" w:rsidRPr="00A07F29">
        <w:rPr>
          <w:rFonts w:ascii="Times New Roman" w:eastAsia="Times New Roman" w:hAnsi="Times New Roman" w:cs="Times New Roman"/>
          <w:color w:val="auto"/>
          <w:lang w:eastAsia="ja-JP"/>
        </w:rPr>
        <w:t>TERITORIJAS SOCIĀLĀS UN EKONOMISKĀS SITUĀCIJAS APRAKSTS</w:t>
      </w:r>
      <w:bookmarkEnd w:id="27"/>
    </w:p>
    <w:p w14:paraId="606768BF" w14:textId="4BDA5994" w:rsidR="009072CE" w:rsidRPr="00A07F29" w:rsidRDefault="009072CE" w:rsidP="00945A97">
      <w:pPr>
        <w:pStyle w:val="Heading2"/>
        <w:spacing w:before="120" w:after="120"/>
        <w:ind w:firstLine="0"/>
        <w:jc w:val="center"/>
        <w:rPr>
          <w:rFonts w:ascii="Times New Roman" w:hAnsi="Times New Roman"/>
          <w:b w:val="0"/>
          <w:iCs w:val="0"/>
        </w:rPr>
      </w:pPr>
      <w:bookmarkStart w:id="28" w:name="_Toc183433985"/>
      <w:r w:rsidRPr="00A07F29">
        <w:rPr>
          <w:rFonts w:ascii="Times New Roman" w:hAnsi="Times New Roman"/>
          <w:i w:val="0"/>
        </w:rPr>
        <w:t>3.1. Iedzīvotāji un apmeklētāji</w:t>
      </w:r>
      <w:bookmarkEnd w:id="28"/>
    </w:p>
    <w:p w14:paraId="7A2A5AB3" w14:textId="0A033064" w:rsidR="009072CE" w:rsidRPr="00A07F29" w:rsidRDefault="009072CE" w:rsidP="00212F52">
      <w:pPr>
        <w:spacing w:after="120" w:line="240" w:lineRule="auto"/>
        <w:ind w:firstLine="851"/>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 xml:space="preserve">AAA </w:t>
      </w:r>
      <w:r w:rsidR="00505EE7" w:rsidRPr="00A07F29">
        <w:rPr>
          <w:rFonts w:ascii="Times New Roman" w:eastAsia="Calibri" w:hAnsi="Times New Roman" w:cs="Calibri"/>
          <w:sz w:val="24"/>
          <w:lang w:eastAsia="ja-JP"/>
        </w:rPr>
        <w:t>“</w:t>
      </w:r>
      <w:r w:rsidRPr="00A07F29">
        <w:rPr>
          <w:rFonts w:ascii="Times New Roman" w:eastAsia="Calibri" w:hAnsi="Times New Roman" w:cs="Calibri"/>
          <w:sz w:val="24"/>
          <w:lang w:eastAsia="ja-JP"/>
        </w:rPr>
        <w:t xml:space="preserve">Augšdaugava” teritorija ir nevienmērīgi apdzīvota. Tajā ietilpst ļoti reti apdzīvoti meža masīvi, piemēram, Daugavas meandru ietvertajās teritorijās, kur jau vēsturiski ir bijis ļoti maz apdzīvotu mājvietu nabadzīgo augšņu un grūti pieejamo gruntsūdeņu dēļ, un pašlaik daudzas no bijušajām mājvietām sen pamestas. Tāpat raksturīgas ir plašas </w:t>
      </w:r>
      <w:proofErr w:type="spellStart"/>
      <w:r w:rsidRPr="00A07F29">
        <w:rPr>
          <w:rFonts w:ascii="Times New Roman" w:eastAsia="Calibri" w:hAnsi="Times New Roman" w:cs="Calibri"/>
          <w:sz w:val="24"/>
          <w:lang w:eastAsia="ja-JP"/>
        </w:rPr>
        <w:t>agroainavas</w:t>
      </w:r>
      <w:proofErr w:type="spellEnd"/>
      <w:r w:rsidRPr="00A07F29">
        <w:rPr>
          <w:rFonts w:ascii="Times New Roman" w:eastAsia="Calibri" w:hAnsi="Times New Roman" w:cs="Calibri"/>
          <w:sz w:val="24"/>
          <w:lang w:eastAsia="ja-JP"/>
        </w:rPr>
        <w:t xml:space="preserve"> – meliorētie lauki ar atsevišķām viensētām un ciemiem/</w:t>
      </w:r>
      <w:proofErr w:type="spellStart"/>
      <w:r w:rsidRPr="00A07F29">
        <w:rPr>
          <w:rFonts w:ascii="Times New Roman" w:eastAsia="Calibri" w:hAnsi="Times New Roman" w:cs="Calibri"/>
          <w:sz w:val="24"/>
          <w:lang w:eastAsia="ja-JP"/>
        </w:rPr>
        <w:t>skrajciemiem</w:t>
      </w:r>
      <w:proofErr w:type="spellEnd"/>
      <w:r w:rsidRPr="00A07F29">
        <w:rPr>
          <w:rFonts w:ascii="Times New Roman" w:eastAsia="Calibri" w:hAnsi="Times New Roman" w:cs="Calibri"/>
          <w:sz w:val="24"/>
          <w:lang w:eastAsia="ja-JP"/>
        </w:rPr>
        <w:t xml:space="preserve"> (galvenokārt Daugavas kreisajā krastā, Kurzemes/Sēlijas pusē) vai sādžu tipa apbūvi (galvenokārt Daugavas labajā krastā, Latgales pusē). Teritorijā ietilpst arī lielākas apdzīvotas vietas, arī bijušie pagastu administratīvie centri (Kaplava, Kalnieši, </w:t>
      </w:r>
      <w:proofErr w:type="spellStart"/>
      <w:r w:rsidRPr="00A07F29">
        <w:rPr>
          <w:rFonts w:ascii="Times New Roman" w:eastAsia="Calibri" w:hAnsi="Times New Roman" w:cs="Calibri"/>
          <w:sz w:val="24"/>
          <w:lang w:eastAsia="ja-JP"/>
        </w:rPr>
        <w:t>Varnaviči</w:t>
      </w:r>
      <w:proofErr w:type="spellEnd"/>
      <w:r w:rsidRPr="00A07F29">
        <w:rPr>
          <w:rFonts w:ascii="Times New Roman" w:eastAsia="Calibri" w:hAnsi="Times New Roman" w:cs="Calibri"/>
          <w:sz w:val="24"/>
          <w:lang w:eastAsia="ja-JP"/>
        </w:rPr>
        <w:t xml:space="preserve">, Piedruja, Saliena, </w:t>
      </w:r>
      <w:proofErr w:type="spellStart"/>
      <w:r w:rsidRPr="00A07F29">
        <w:rPr>
          <w:rFonts w:ascii="Times New Roman" w:eastAsia="Calibri" w:hAnsi="Times New Roman" w:cs="Calibri"/>
          <w:sz w:val="24"/>
          <w:lang w:eastAsia="ja-JP"/>
        </w:rPr>
        <w:t>Červonka</w:t>
      </w:r>
      <w:proofErr w:type="spellEnd"/>
      <w:r w:rsidRPr="00A07F29">
        <w:rPr>
          <w:rFonts w:ascii="Times New Roman" w:eastAsia="Calibri" w:hAnsi="Times New Roman" w:cs="Calibri"/>
          <w:sz w:val="24"/>
          <w:lang w:eastAsia="ja-JP"/>
        </w:rPr>
        <w:t>), kur pašlaik atrodas pagastu pārvaldes vai pašvaldības pakalpojumu sniegšanas punkti. Teritorijā iekļauta arī daļa Krāslavas pilsētas. Tuvu lielajām pilsētām – Daugavpilij un Krāslavai teritorijā (galvenokārt labajā krastā) izvietotas dažas jaunuzceltas vai pārbūvētas mājsaimniecības, kuru iedzīvotāji brauc uz darbu pilsētās.</w:t>
      </w:r>
    </w:p>
    <w:p w14:paraId="45E673C5" w14:textId="61565180" w:rsidR="009072CE" w:rsidRPr="00A07F29" w:rsidRDefault="009072CE" w:rsidP="00212F52">
      <w:pPr>
        <w:spacing w:after="120" w:line="240" w:lineRule="auto"/>
        <w:ind w:firstLine="851"/>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AAA</w:t>
      </w:r>
      <w:r w:rsidR="000875FE" w:rsidRPr="00A07F29">
        <w:rPr>
          <w:rFonts w:ascii="Times New Roman" w:eastAsia="Calibri" w:hAnsi="Times New Roman" w:cs="Calibri"/>
          <w:sz w:val="24"/>
          <w:lang w:eastAsia="ja-JP"/>
        </w:rPr>
        <w:t xml:space="preserve"> </w:t>
      </w:r>
      <w:r w:rsidR="00E47E56" w:rsidRPr="00A07F29">
        <w:rPr>
          <w:rFonts w:ascii="Times New Roman" w:eastAsia="Calibri" w:hAnsi="Times New Roman" w:cs="Calibri"/>
          <w:sz w:val="24"/>
          <w:lang w:eastAsia="ja-JP"/>
        </w:rPr>
        <w:t>“</w:t>
      </w:r>
      <w:r w:rsidR="000875FE" w:rsidRPr="00A07F29">
        <w:rPr>
          <w:rFonts w:ascii="Times New Roman" w:eastAsia="Calibri" w:hAnsi="Times New Roman" w:cs="Calibri"/>
          <w:sz w:val="24"/>
          <w:lang w:eastAsia="ja-JP"/>
        </w:rPr>
        <w:t>Augšdaugava”</w:t>
      </w:r>
      <w:r w:rsidRPr="00A07F29">
        <w:rPr>
          <w:rFonts w:ascii="Times New Roman" w:eastAsia="Calibri" w:hAnsi="Times New Roman" w:cs="Calibri"/>
          <w:sz w:val="24"/>
          <w:lang w:eastAsia="ja-JP"/>
        </w:rPr>
        <w:t xml:space="preserve"> teritorijai, īpaši pierobežā, raksturīgs zems iedzīvotāju blīvums, ko nosaka kā dabas apstākļi, tā zemā ekonomiskā aktivitāte un pierobežas efekts</w:t>
      </w:r>
      <w:r w:rsidR="000875FE" w:rsidRPr="00A07F29">
        <w:rPr>
          <w:rFonts w:ascii="Times New Roman" w:eastAsia="Calibri" w:hAnsi="Times New Roman" w:cs="Calibri"/>
          <w:sz w:val="24"/>
          <w:lang w:eastAsia="ja-JP"/>
        </w:rPr>
        <w:t xml:space="preserve"> (</w:t>
      </w:r>
      <w:r w:rsidR="00AB5FD8" w:rsidRPr="00A07F29">
        <w:rPr>
          <w:rFonts w:ascii="Times New Roman" w:eastAsia="Calibri" w:hAnsi="Times New Roman" w:cs="Calibri"/>
          <w:sz w:val="24"/>
          <w:lang w:eastAsia="ja-JP"/>
        </w:rPr>
        <w:t xml:space="preserve">skat. </w:t>
      </w:r>
      <w:r w:rsidR="000875FE" w:rsidRPr="00A07F29">
        <w:rPr>
          <w:rFonts w:ascii="Times New Roman" w:eastAsia="Calibri" w:hAnsi="Times New Roman" w:cs="Calibri"/>
          <w:sz w:val="24"/>
          <w:lang w:eastAsia="ja-JP"/>
        </w:rPr>
        <w:t>3.1.</w:t>
      </w:r>
      <w:r w:rsidR="00AB5FD8" w:rsidRPr="00A07F29">
        <w:rPr>
          <w:rFonts w:ascii="Times New Roman" w:eastAsia="Calibri" w:hAnsi="Times New Roman" w:cs="Calibri"/>
          <w:sz w:val="24"/>
          <w:lang w:eastAsia="ja-JP"/>
        </w:rPr>
        <w:t> </w:t>
      </w:r>
      <w:r w:rsidR="000875FE" w:rsidRPr="00A07F29">
        <w:rPr>
          <w:rFonts w:ascii="Times New Roman" w:eastAsia="Calibri" w:hAnsi="Times New Roman" w:cs="Calibri"/>
          <w:sz w:val="24"/>
          <w:lang w:eastAsia="ja-JP"/>
        </w:rPr>
        <w:t>tabula</w:t>
      </w:r>
      <w:r w:rsidR="00A42C20" w:rsidRPr="00A07F29">
        <w:rPr>
          <w:rFonts w:ascii="Times New Roman" w:eastAsia="Calibri" w:hAnsi="Times New Roman" w:cs="Calibri"/>
          <w:sz w:val="24"/>
          <w:lang w:eastAsia="ja-JP"/>
        </w:rPr>
        <w:t>, 3.1.</w:t>
      </w:r>
      <w:r w:rsidR="00AB5FD8" w:rsidRPr="00A07F29">
        <w:rPr>
          <w:rFonts w:ascii="Times New Roman" w:eastAsia="Calibri" w:hAnsi="Times New Roman" w:cs="Calibri"/>
          <w:sz w:val="24"/>
          <w:lang w:eastAsia="ja-JP"/>
        </w:rPr>
        <w:t> </w:t>
      </w:r>
      <w:r w:rsidR="00A42C20" w:rsidRPr="00A07F29">
        <w:rPr>
          <w:rFonts w:ascii="Times New Roman" w:eastAsia="Calibri" w:hAnsi="Times New Roman" w:cs="Calibri"/>
          <w:sz w:val="24"/>
          <w:lang w:eastAsia="ja-JP"/>
        </w:rPr>
        <w:t>attēls</w:t>
      </w:r>
      <w:r w:rsidR="000875FE" w:rsidRPr="00A07F29">
        <w:rPr>
          <w:rFonts w:ascii="Times New Roman" w:eastAsia="Calibri" w:hAnsi="Times New Roman" w:cs="Calibri"/>
          <w:sz w:val="24"/>
          <w:lang w:eastAsia="ja-JP"/>
        </w:rPr>
        <w:t>)</w:t>
      </w:r>
      <w:r w:rsidRPr="00A07F29">
        <w:rPr>
          <w:rFonts w:ascii="Times New Roman" w:eastAsia="Calibri" w:hAnsi="Times New Roman" w:cs="Calibri"/>
          <w:sz w:val="24"/>
          <w:lang w:eastAsia="ja-JP"/>
        </w:rPr>
        <w:t xml:space="preserve">. Izņēmums </w:t>
      </w:r>
      <w:r w:rsidR="00DB442E" w:rsidRPr="00A07F29">
        <w:rPr>
          <w:rFonts w:ascii="Times New Roman" w:eastAsia="Calibri" w:hAnsi="Times New Roman" w:cs="Calibri"/>
          <w:sz w:val="24"/>
          <w:lang w:eastAsia="ja-JP"/>
        </w:rPr>
        <w:t>Augšdaugavas</w:t>
      </w:r>
      <w:r w:rsidRPr="00A07F29">
        <w:rPr>
          <w:rFonts w:ascii="Times New Roman" w:eastAsia="Calibri" w:hAnsi="Times New Roman" w:cs="Calibri"/>
          <w:sz w:val="24"/>
          <w:lang w:eastAsia="ja-JP"/>
        </w:rPr>
        <w:t xml:space="preserve"> novadā ir Naujenes pagasts, taču jāatzīmē, ka iedzīvotāji koncentrējas Kraujas, </w:t>
      </w:r>
      <w:proofErr w:type="spellStart"/>
      <w:r w:rsidRPr="00A07F29">
        <w:rPr>
          <w:rFonts w:ascii="Times New Roman" w:eastAsia="Calibri" w:hAnsi="Times New Roman" w:cs="Calibri"/>
          <w:sz w:val="24"/>
          <w:lang w:eastAsia="ja-JP"/>
        </w:rPr>
        <w:t>Vecstropu</w:t>
      </w:r>
      <w:proofErr w:type="spellEnd"/>
      <w:r w:rsidRPr="00A07F29">
        <w:rPr>
          <w:rFonts w:ascii="Times New Roman" w:eastAsia="Calibri" w:hAnsi="Times New Roman" w:cs="Calibri"/>
          <w:sz w:val="24"/>
          <w:lang w:eastAsia="ja-JP"/>
        </w:rPr>
        <w:t xml:space="preserve"> un Lociku ciemos, kas ir ārpus AAA </w:t>
      </w:r>
      <w:r w:rsidR="00AB5FD8" w:rsidRPr="00A07F29">
        <w:rPr>
          <w:rFonts w:ascii="Times New Roman" w:eastAsia="Calibri" w:hAnsi="Times New Roman" w:cs="Calibri"/>
          <w:sz w:val="24"/>
          <w:lang w:eastAsia="ja-JP"/>
        </w:rPr>
        <w:t>“</w:t>
      </w:r>
      <w:r w:rsidR="000875FE" w:rsidRPr="00A07F29">
        <w:rPr>
          <w:rFonts w:ascii="Times New Roman" w:eastAsia="Calibri" w:hAnsi="Times New Roman" w:cs="Calibri"/>
          <w:sz w:val="24"/>
          <w:lang w:eastAsia="ja-JP"/>
        </w:rPr>
        <w:t xml:space="preserve">Augšdaugava” </w:t>
      </w:r>
      <w:r w:rsidRPr="00A07F29">
        <w:rPr>
          <w:rFonts w:ascii="Times New Roman" w:eastAsia="Calibri" w:hAnsi="Times New Roman" w:cs="Calibri"/>
          <w:sz w:val="24"/>
          <w:lang w:eastAsia="ja-JP"/>
        </w:rPr>
        <w:t xml:space="preserve">teritorijas (AAA ietilpst neliela daļa Kraujas ciema). Arī Tabores pagastā lielākais iedzīvotāju skaits dzīvo Tabores ciemā, kas ir ārpus AAA </w:t>
      </w:r>
      <w:r w:rsidR="00FD4764" w:rsidRPr="00A07F29">
        <w:rPr>
          <w:rFonts w:ascii="Times New Roman" w:eastAsia="Calibri" w:hAnsi="Times New Roman" w:cs="Calibri"/>
          <w:sz w:val="24"/>
          <w:lang w:eastAsia="ja-JP"/>
        </w:rPr>
        <w:t>“</w:t>
      </w:r>
      <w:r w:rsidR="000875FE" w:rsidRPr="00A07F29">
        <w:rPr>
          <w:rFonts w:ascii="Times New Roman" w:eastAsia="Calibri" w:hAnsi="Times New Roman" w:cs="Calibri"/>
          <w:sz w:val="24"/>
          <w:lang w:eastAsia="ja-JP"/>
        </w:rPr>
        <w:t xml:space="preserve">Augšdaugava” </w:t>
      </w:r>
      <w:r w:rsidRPr="00A07F29">
        <w:rPr>
          <w:rFonts w:ascii="Times New Roman" w:eastAsia="Calibri" w:hAnsi="Times New Roman" w:cs="Calibri"/>
          <w:sz w:val="24"/>
          <w:lang w:eastAsia="ja-JP"/>
        </w:rPr>
        <w:t>teritorijas.</w:t>
      </w:r>
      <w:r w:rsidRPr="00A07F29">
        <w:rPr>
          <w:rFonts w:ascii="Times New Roman" w:eastAsia="Calibri" w:hAnsi="Times New Roman" w:cs="Calibri"/>
          <w:sz w:val="24"/>
        </w:rPr>
        <w:t xml:space="preserve"> </w:t>
      </w:r>
      <w:r w:rsidRPr="00A07F29">
        <w:rPr>
          <w:rFonts w:ascii="Times New Roman" w:eastAsia="Calibri" w:hAnsi="Times New Roman" w:cs="Calibri"/>
          <w:sz w:val="24"/>
          <w:lang w:eastAsia="ja-JP"/>
        </w:rPr>
        <w:t>AAA</w:t>
      </w:r>
      <w:r w:rsidR="000875FE" w:rsidRPr="00A07F29">
        <w:rPr>
          <w:rFonts w:ascii="Times New Roman" w:eastAsia="Calibri" w:hAnsi="Times New Roman" w:cs="Calibri"/>
          <w:sz w:val="24"/>
          <w:lang w:eastAsia="ja-JP"/>
        </w:rPr>
        <w:t xml:space="preserve"> </w:t>
      </w:r>
      <w:r w:rsidR="00FD4764" w:rsidRPr="00A07F29">
        <w:rPr>
          <w:rFonts w:ascii="Times New Roman" w:eastAsia="Calibri" w:hAnsi="Times New Roman" w:cs="Calibri"/>
          <w:sz w:val="24"/>
          <w:lang w:eastAsia="ja-JP"/>
        </w:rPr>
        <w:t>“</w:t>
      </w:r>
      <w:r w:rsidR="000875FE" w:rsidRPr="00A07F29">
        <w:rPr>
          <w:rFonts w:ascii="Times New Roman" w:eastAsia="Calibri" w:hAnsi="Times New Roman" w:cs="Calibri"/>
          <w:sz w:val="24"/>
          <w:lang w:eastAsia="ja-JP"/>
        </w:rPr>
        <w:t>Augšdaugava”</w:t>
      </w:r>
      <w:r w:rsidR="00D65BBA" w:rsidRPr="00A07F29">
        <w:rPr>
          <w:rFonts w:ascii="Times New Roman" w:eastAsia="Calibri" w:hAnsi="Times New Roman" w:cs="Calibri"/>
          <w:sz w:val="24"/>
          <w:lang w:eastAsia="ja-JP"/>
        </w:rPr>
        <w:t xml:space="preserve"> </w:t>
      </w:r>
      <w:r w:rsidRPr="00A07F29">
        <w:rPr>
          <w:rFonts w:ascii="Times New Roman" w:eastAsia="Calibri" w:hAnsi="Times New Roman" w:cs="Calibri"/>
          <w:sz w:val="24"/>
          <w:lang w:eastAsia="ja-JP"/>
        </w:rPr>
        <w:t>teritoriju apmeklē arī tuvējo pilsētu iedzīvotāji – Daugavpils pilsētā ir 91</w:t>
      </w:r>
      <w:r w:rsidR="000875FE" w:rsidRPr="00A07F29">
        <w:rPr>
          <w:rFonts w:ascii="Times New Roman" w:eastAsia="Calibri" w:hAnsi="Times New Roman" w:cs="Calibri"/>
          <w:sz w:val="24"/>
          <w:lang w:eastAsia="ja-JP"/>
        </w:rPr>
        <w:t>407</w:t>
      </w:r>
      <w:r w:rsidRPr="00A07F29">
        <w:rPr>
          <w:rFonts w:ascii="Times New Roman" w:eastAsia="Calibri" w:hAnsi="Times New Roman" w:cs="Calibri"/>
          <w:sz w:val="24"/>
          <w:lang w:eastAsia="ja-JP"/>
        </w:rPr>
        <w:t xml:space="preserve"> iedzīvotāju, bet Krāslavā – 8</w:t>
      </w:r>
      <w:r w:rsidR="000875FE" w:rsidRPr="00A07F29">
        <w:rPr>
          <w:rFonts w:ascii="Times New Roman" w:eastAsia="Calibri" w:hAnsi="Times New Roman" w:cs="Calibri"/>
          <w:sz w:val="24"/>
          <w:lang w:eastAsia="ja-JP"/>
        </w:rPr>
        <w:t xml:space="preserve">289 </w:t>
      </w:r>
      <w:r w:rsidRPr="00A07F29">
        <w:rPr>
          <w:rFonts w:ascii="Times New Roman" w:eastAsia="Calibri" w:hAnsi="Times New Roman" w:cs="Calibri"/>
          <w:sz w:val="24"/>
          <w:lang w:eastAsia="ja-JP"/>
        </w:rPr>
        <w:t>(</w:t>
      </w:r>
      <w:r w:rsidR="000875FE" w:rsidRPr="00A07F29">
        <w:rPr>
          <w:rFonts w:ascii="Times New Roman" w:eastAsia="Calibri" w:hAnsi="Times New Roman" w:cs="Calibri"/>
          <w:sz w:val="24"/>
          <w:lang w:eastAsia="ja-JP"/>
        </w:rPr>
        <w:t xml:space="preserve">Centrālā statistikas pārvalde, </w:t>
      </w:r>
      <w:r w:rsidR="00374996" w:rsidRPr="00A07F29">
        <w:rPr>
          <w:rFonts w:ascii="Times New Roman" w:eastAsia="Calibri" w:hAnsi="Times New Roman" w:cs="Calibri"/>
          <w:sz w:val="24"/>
          <w:lang w:eastAsia="ja-JP"/>
        </w:rPr>
        <w:t xml:space="preserve">dati </w:t>
      </w:r>
      <w:r w:rsidR="000875FE" w:rsidRPr="00A07F29">
        <w:rPr>
          <w:rFonts w:ascii="Times New Roman" w:eastAsia="Calibri" w:hAnsi="Times New Roman" w:cs="Calibri"/>
          <w:sz w:val="24"/>
          <w:lang w:eastAsia="ja-JP"/>
        </w:rPr>
        <w:t xml:space="preserve">uz </w:t>
      </w:r>
      <w:r w:rsidRPr="00A07F29">
        <w:rPr>
          <w:rFonts w:ascii="Times New Roman" w:eastAsia="Calibri" w:hAnsi="Times New Roman" w:cs="Calibri"/>
          <w:sz w:val="24"/>
          <w:lang w:eastAsia="ja-JP"/>
        </w:rPr>
        <w:t>01.01.20</w:t>
      </w:r>
      <w:r w:rsidR="000875FE" w:rsidRPr="00A07F29">
        <w:rPr>
          <w:rFonts w:ascii="Times New Roman" w:eastAsia="Calibri" w:hAnsi="Times New Roman" w:cs="Calibri"/>
          <w:sz w:val="24"/>
          <w:lang w:eastAsia="ja-JP"/>
        </w:rPr>
        <w:t>20</w:t>
      </w:r>
      <w:r w:rsidRPr="00A07F29">
        <w:rPr>
          <w:rFonts w:ascii="Times New Roman" w:eastAsia="Calibri" w:hAnsi="Times New Roman" w:cs="Calibri"/>
          <w:sz w:val="24"/>
          <w:lang w:eastAsia="ja-JP"/>
        </w:rPr>
        <w:t>.)</w:t>
      </w:r>
    </w:p>
    <w:p w14:paraId="34F43864" w14:textId="21D42395" w:rsidR="009072CE" w:rsidRPr="00A07F29" w:rsidRDefault="009072CE" w:rsidP="00212F52">
      <w:pPr>
        <w:spacing w:after="120" w:line="240" w:lineRule="auto"/>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3.1.</w:t>
      </w:r>
      <w:r w:rsidR="006C1420" w:rsidRPr="00A07F29">
        <w:rPr>
          <w:rFonts w:ascii="Times New Roman" w:eastAsia="Calibri" w:hAnsi="Times New Roman" w:cs="Calibri"/>
          <w:sz w:val="24"/>
          <w:lang w:eastAsia="ja-JP"/>
        </w:rPr>
        <w:t> </w:t>
      </w:r>
      <w:r w:rsidRPr="00A07F29">
        <w:rPr>
          <w:rFonts w:ascii="Times New Roman" w:eastAsia="Calibri" w:hAnsi="Times New Roman" w:cs="Calibri"/>
          <w:sz w:val="24"/>
          <w:lang w:eastAsia="ja-JP"/>
        </w:rPr>
        <w:t>tabula. Iedzīvotāju blīvums un kopējais skaits AAA “Augšdaugava” ietilpstošos pagastos</w:t>
      </w:r>
      <w:r w:rsidR="000875FE" w:rsidRPr="00A07F29">
        <w:rPr>
          <w:rFonts w:ascii="Times New Roman" w:eastAsia="Calibri" w:hAnsi="Times New Roman" w:cs="Calibri"/>
          <w:sz w:val="24"/>
          <w:lang w:eastAsia="ja-JP"/>
        </w:rPr>
        <w:t xml:space="preserve"> (Centrālā statistikas pārvalde, </w:t>
      </w:r>
      <w:r w:rsidR="00722A73" w:rsidRPr="00A07F29">
        <w:rPr>
          <w:rFonts w:ascii="Times New Roman" w:eastAsia="Calibri" w:hAnsi="Times New Roman" w:cs="Calibri"/>
          <w:sz w:val="24"/>
          <w:lang w:eastAsia="ja-JP"/>
        </w:rPr>
        <w:t xml:space="preserve">dati </w:t>
      </w:r>
      <w:r w:rsidR="000875FE" w:rsidRPr="00A07F29">
        <w:rPr>
          <w:rFonts w:ascii="Times New Roman" w:eastAsia="Calibri" w:hAnsi="Times New Roman" w:cs="Calibri"/>
          <w:sz w:val="24"/>
          <w:lang w:eastAsia="ja-JP"/>
        </w:rPr>
        <w:t>uz 01.01.2020.)</w:t>
      </w:r>
    </w:p>
    <w:tbl>
      <w:tblPr>
        <w:tblStyle w:val="TableGrid"/>
        <w:tblW w:w="0" w:type="auto"/>
        <w:jc w:val="center"/>
        <w:tblLook w:val="04A0" w:firstRow="1" w:lastRow="0" w:firstColumn="1" w:lastColumn="0" w:noHBand="0" w:noVBand="1"/>
      </w:tblPr>
      <w:tblGrid>
        <w:gridCol w:w="1666"/>
        <w:gridCol w:w="2121"/>
        <w:gridCol w:w="2404"/>
        <w:gridCol w:w="2404"/>
      </w:tblGrid>
      <w:tr w:rsidR="00AB1B4D" w:rsidRPr="00A07F29" w14:paraId="12269CD6" w14:textId="7C521EB3" w:rsidTr="008E5821">
        <w:trPr>
          <w:jc w:val="center"/>
        </w:trPr>
        <w:tc>
          <w:tcPr>
            <w:tcW w:w="1666" w:type="dxa"/>
            <w:shd w:val="clear" w:color="auto" w:fill="C2D69B" w:themeFill="accent3" w:themeFillTint="99"/>
          </w:tcPr>
          <w:p w14:paraId="1824166B" w14:textId="77777777" w:rsidR="00AB1B4D" w:rsidRPr="00A07F29" w:rsidRDefault="00AB1B4D" w:rsidP="00FC49DC">
            <w:pPr>
              <w:jc w:val="center"/>
              <w:rPr>
                <w:rFonts w:ascii="Times New Roman" w:eastAsia="Calibri" w:hAnsi="Times New Roman" w:cs="Calibri"/>
                <w:sz w:val="24"/>
                <w:lang w:eastAsia="ja-JP"/>
              </w:rPr>
            </w:pPr>
            <w:r w:rsidRPr="00A07F29">
              <w:rPr>
                <w:rFonts w:ascii="Times New Roman" w:eastAsia="Calibri" w:hAnsi="Times New Roman" w:cs="Calibri"/>
                <w:sz w:val="24"/>
                <w:lang w:eastAsia="ja-JP"/>
              </w:rPr>
              <w:t>Novads</w:t>
            </w:r>
          </w:p>
        </w:tc>
        <w:tc>
          <w:tcPr>
            <w:tcW w:w="2121" w:type="dxa"/>
            <w:shd w:val="clear" w:color="auto" w:fill="C2D69B" w:themeFill="accent3" w:themeFillTint="99"/>
          </w:tcPr>
          <w:p w14:paraId="3B7CC24A" w14:textId="77777777" w:rsidR="00AB1B4D" w:rsidRPr="00A07F29" w:rsidRDefault="00AB1B4D" w:rsidP="00FC49DC">
            <w:pPr>
              <w:jc w:val="center"/>
              <w:rPr>
                <w:rFonts w:ascii="Times New Roman" w:eastAsia="Calibri" w:hAnsi="Times New Roman" w:cs="Calibri"/>
                <w:sz w:val="24"/>
                <w:lang w:eastAsia="ja-JP"/>
              </w:rPr>
            </w:pPr>
            <w:r w:rsidRPr="00A07F29">
              <w:rPr>
                <w:rFonts w:ascii="Times New Roman" w:eastAsia="Calibri" w:hAnsi="Times New Roman" w:cs="Calibri"/>
                <w:sz w:val="24"/>
                <w:lang w:eastAsia="ja-JP"/>
              </w:rPr>
              <w:t>Pagasts</w:t>
            </w:r>
          </w:p>
        </w:tc>
        <w:tc>
          <w:tcPr>
            <w:tcW w:w="2404" w:type="dxa"/>
            <w:shd w:val="clear" w:color="auto" w:fill="C2D69B" w:themeFill="accent3" w:themeFillTint="99"/>
          </w:tcPr>
          <w:p w14:paraId="3C366C4C" w14:textId="0B2A83F7" w:rsidR="00AB1B4D" w:rsidRPr="00A07F29" w:rsidRDefault="00AB1B4D" w:rsidP="00FC49DC">
            <w:pPr>
              <w:jc w:val="center"/>
              <w:rPr>
                <w:rFonts w:ascii="Times New Roman" w:eastAsia="Calibri" w:hAnsi="Times New Roman" w:cs="Calibri"/>
                <w:sz w:val="24"/>
                <w:lang w:eastAsia="ja-JP"/>
              </w:rPr>
            </w:pPr>
            <w:r w:rsidRPr="00A07F29">
              <w:rPr>
                <w:rFonts w:ascii="Times New Roman" w:eastAsia="Calibri" w:hAnsi="Times New Roman" w:cs="Calibri"/>
                <w:sz w:val="24"/>
                <w:lang w:eastAsia="ja-JP"/>
              </w:rPr>
              <w:t>Iedzīvotāju skaits (01.01.20</w:t>
            </w:r>
            <w:r w:rsidR="000875FE" w:rsidRPr="00A07F29">
              <w:rPr>
                <w:rFonts w:ascii="Times New Roman" w:eastAsia="Calibri" w:hAnsi="Times New Roman" w:cs="Calibri"/>
                <w:sz w:val="24"/>
                <w:lang w:eastAsia="ja-JP"/>
              </w:rPr>
              <w:t>20</w:t>
            </w:r>
            <w:r w:rsidRPr="00A07F29">
              <w:rPr>
                <w:rFonts w:ascii="Times New Roman" w:eastAsia="Calibri" w:hAnsi="Times New Roman" w:cs="Calibri"/>
                <w:sz w:val="24"/>
                <w:lang w:eastAsia="ja-JP"/>
              </w:rPr>
              <w:t>.)</w:t>
            </w:r>
          </w:p>
        </w:tc>
        <w:tc>
          <w:tcPr>
            <w:tcW w:w="2404" w:type="dxa"/>
            <w:shd w:val="clear" w:color="auto" w:fill="C2D69B" w:themeFill="accent3" w:themeFillTint="99"/>
          </w:tcPr>
          <w:p w14:paraId="7570A692" w14:textId="38511C09" w:rsidR="00AB1B4D" w:rsidRPr="00A07F29" w:rsidRDefault="00AB1B4D" w:rsidP="00FC49DC">
            <w:pPr>
              <w:jc w:val="center"/>
              <w:rPr>
                <w:rFonts w:ascii="Times New Roman" w:eastAsia="Calibri" w:hAnsi="Times New Roman" w:cs="Calibri"/>
                <w:sz w:val="24"/>
                <w:lang w:eastAsia="ja-JP"/>
              </w:rPr>
            </w:pPr>
            <w:r w:rsidRPr="00A07F29">
              <w:rPr>
                <w:rFonts w:ascii="Times New Roman" w:eastAsia="Calibri" w:hAnsi="Times New Roman" w:cs="Calibri"/>
                <w:sz w:val="24"/>
                <w:lang w:eastAsia="ja-JP"/>
              </w:rPr>
              <w:t>Iedzīvotāju blīvums uz km</w:t>
            </w:r>
            <w:r w:rsidRPr="00A07F29">
              <w:rPr>
                <w:rFonts w:ascii="Times New Roman" w:eastAsia="Calibri" w:hAnsi="Times New Roman" w:cs="Calibri"/>
                <w:sz w:val="24"/>
                <w:vertAlign w:val="superscript"/>
                <w:lang w:eastAsia="ja-JP"/>
              </w:rPr>
              <w:t>2</w:t>
            </w:r>
          </w:p>
        </w:tc>
      </w:tr>
      <w:tr w:rsidR="000875FE" w:rsidRPr="00A07F29" w14:paraId="3B1F34F8" w14:textId="7DB31E74" w:rsidTr="008E5821">
        <w:trPr>
          <w:jc w:val="center"/>
        </w:trPr>
        <w:tc>
          <w:tcPr>
            <w:tcW w:w="1666" w:type="dxa"/>
          </w:tcPr>
          <w:p w14:paraId="6E5B6D78" w14:textId="55CCCC1B" w:rsidR="000875FE" w:rsidRPr="00A07F29" w:rsidRDefault="00DB442E" w:rsidP="00FC49DC">
            <w:pPr>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Augšdaugavas</w:t>
            </w:r>
          </w:p>
        </w:tc>
        <w:tc>
          <w:tcPr>
            <w:tcW w:w="2121" w:type="dxa"/>
          </w:tcPr>
          <w:p w14:paraId="4483897B" w14:textId="77777777" w:rsidR="000875FE" w:rsidRPr="00A07F29" w:rsidRDefault="000875FE" w:rsidP="00FC49DC">
            <w:pPr>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Naujenes</w:t>
            </w:r>
          </w:p>
        </w:tc>
        <w:tc>
          <w:tcPr>
            <w:tcW w:w="2404" w:type="dxa"/>
          </w:tcPr>
          <w:p w14:paraId="053E1B50" w14:textId="098BA830" w:rsidR="000875FE" w:rsidRPr="00A07F29" w:rsidRDefault="000875FE" w:rsidP="00FC49DC">
            <w:pPr>
              <w:jc w:val="center"/>
              <w:rPr>
                <w:rFonts w:ascii="Times New Roman" w:eastAsia="Calibri" w:hAnsi="Times New Roman" w:cs="Times New Roman"/>
                <w:sz w:val="24"/>
                <w:szCs w:val="24"/>
                <w:lang w:eastAsia="ja-JP"/>
              </w:rPr>
            </w:pPr>
            <w:r w:rsidRPr="00A07F29">
              <w:rPr>
                <w:rFonts w:ascii="Times New Roman" w:hAnsi="Times New Roman" w:cs="Times New Roman"/>
                <w:sz w:val="24"/>
                <w:szCs w:val="24"/>
              </w:rPr>
              <w:t>4901</w:t>
            </w:r>
          </w:p>
        </w:tc>
        <w:tc>
          <w:tcPr>
            <w:tcW w:w="2404" w:type="dxa"/>
          </w:tcPr>
          <w:p w14:paraId="5BA44C3D" w14:textId="353A0DD2" w:rsidR="000875FE" w:rsidRPr="00A07F29" w:rsidRDefault="00825DD3" w:rsidP="00FC49DC">
            <w:pPr>
              <w:jc w:val="center"/>
              <w:rPr>
                <w:rFonts w:ascii="Times New Roman" w:eastAsia="Calibri" w:hAnsi="Times New Roman" w:cs="Calibri"/>
                <w:sz w:val="24"/>
                <w:lang w:eastAsia="ja-JP"/>
              </w:rPr>
            </w:pPr>
            <w:r w:rsidRPr="00A07F29">
              <w:rPr>
                <w:rFonts w:ascii="Times New Roman" w:eastAsia="Calibri" w:hAnsi="Times New Roman" w:cs="Calibri"/>
                <w:sz w:val="24"/>
                <w:lang w:eastAsia="ja-JP"/>
              </w:rPr>
              <w:t>38</w:t>
            </w:r>
          </w:p>
        </w:tc>
      </w:tr>
      <w:tr w:rsidR="000875FE" w:rsidRPr="00A07F29" w14:paraId="1A77ED40" w14:textId="490DA2FE" w:rsidTr="008E5821">
        <w:trPr>
          <w:jc w:val="center"/>
        </w:trPr>
        <w:tc>
          <w:tcPr>
            <w:tcW w:w="1666" w:type="dxa"/>
          </w:tcPr>
          <w:p w14:paraId="373FD487" w14:textId="77777777" w:rsidR="000875FE" w:rsidRPr="00A07F29" w:rsidRDefault="000875FE" w:rsidP="00FC49DC">
            <w:pPr>
              <w:jc w:val="both"/>
              <w:rPr>
                <w:rFonts w:ascii="Times New Roman" w:eastAsia="Calibri" w:hAnsi="Times New Roman" w:cs="Calibri"/>
                <w:sz w:val="24"/>
                <w:lang w:eastAsia="ja-JP"/>
              </w:rPr>
            </w:pPr>
          </w:p>
        </w:tc>
        <w:tc>
          <w:tcPr>
            <w:tcW w:w="2121" w:type="dxa"/>
          </w:tcPr>
          <w:p w14:paraId="26C90EFE" w14:textId="77777777" w:rsidR="000875FE" w:rsidRPr="00A07F29" w:rsidRDefault="000875FE" w:rsidP="00FC49DC">
            <w:pPr>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Salienas</w:t>
            </w:r>
          </w:p>
        </w:tc>
        <w:tc>
          <w:tcPr>
            <w:tcW w:w="2404" w:type="dxa"/>
          </w:tcPr>
          <w:p w14:paraId="0A50F8D9" w14:textId="550514CB" w:rsidR="000875FE" w:rsidRPr="00A07F29" w:rsidRDefault="000875FE" w:rsidP="00FC49DC">
            <w:pPr>
              <w:jc w:val="center"/>
              <w:rPr>
                <w:rFonts w:ascii="Times New Roman" w:eastAsia="Calibri" w:hAnsi="Times New Roman" w:cs="Times New Roman"/>
                <w:sz w:val="24"/>
                <w:szCs w:val="24"/>
                <w:lang w:eastAsia="ja-JP"/>
              </w:rPr>
            </w:pPr>
            <w:r w:rsidRPr="00A07F29">
              <w:rPr>
                <w:rFonts w:ascii="Times New Roman" w:hAnsi="Times New Roman" w:cs="Times New Roman"/>
                <w:sz w:val="24"/>
                <w:szCs w:val="24"/>
              </w:rPr>
              <w:t>607</w:t>
            </w:r>
          </w:p>
        </w:tc>
        <w:tc>
          <w:tcPr>
            <w:tcW w:w="2404" w:type="dxa"/>
          </w:tcPr>
          <w:p w14:paraId="2B32B428" w14:textId="532BF74D" w:rsidR="000875FE" w:rsidRPr="00A07F29" w:rsidRDefault="00825DD3" w:rsidP="00FC49DC">
            <w:pPr>
              <w:jc w:val="center"/>
              <w:rPr>
                <w:rFonts w:ascii="Times New Roman" w:eastAsia="Calibri" w:hAnsi="Times New Roman" w:cs="Calibri"/>
                <w:sz w:val="24"/>
                <w:lang w:eastAsia="ja-JP"/>
              </w:rPr>
            </w:pPr>
            <w:r w:rsidRPr="00A07F29">
              <w:rPr>
                <w:rFonts w:ascii="Times New Roman" w:eastAsia="Calibri" w:hAnsi="Times New Roman" w:cs="Calibri"/>
                <w:sz w:val="24"/>
                <w:lang w:eastAsia="ja-JP"/>
              </w:rPr>
              <w:t>5</w:t>
            </w:r>
          </w:p>
        </w:tc>
      </w:tr>
      <w:tr w:rsidR="000875FE" w:rsidRPr="00A07F29" w14:paraId="742D9D3E" w14:textId="533619C1" w:rsidTr="008E5821">
        <w:trPr>
          <w:jc w:val="center"/>
        </w:trPr>
        <w:tc>
          <w:tcPr>
            <w:tcW w:w="1666" w:type="dxa"/>
          </w:tcPr>
          <w:p w14:paraId="05D58081" w14:textId="77777777" w:rsidR="000875FE" w:rsidRPr="00A07F29" w:rsidRDefault="000875FE" w:rsidP="00FC49DC">
            <w:pPr>
              <w:jc w:val="both"/>
              <w:rPr>
                <w:rFonts w:ascii="Times New Roman" w:eastAsia="Calibri" w:hAnsi="Times New Roman" w:cs="Calibri"/>
                <w:sz w:val="24"/>
                <w:lang w:eastAsia="ja-JP"/>
              </w:rPr>
            </w:pPr>
          </w:p>
        </w:tc>
        <w:tc>
          <w:tcPr>
            <w:tcW w:w="2121" w:type="dxa"/>
          </w:tcPr>
          <w:p w14:paraId="6AAF7694" w14:textId="77777777" w:rsidR="000875FE" w:rsidRPr="00A07F29" w:rsidRDefault="000875FE" w:rsidP="00FC49DC">
            <w:pPr>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Vecsalienas</w:t>
            </w:r>
          </w:p>
        </w:tc>
        <w:tc>
          <w:tcPr>
            <w:tcW w:w="2404" w:type="dxa"/>
          </w:tcPr>
          <w:p w14:paraId="686501ED" w14:textId="54E8197F" w:rsidR="000875FE" w:rsidRPr="00A07F29" w:rsidRDefault="000875FE" w:rsidP="00FC49DC">
            <w:pPr>
              <w:jc w:val="center"/>
              <w:rPr>
                <w:rFonts w:ascii="Times New Roman" w:eastAsia="Calibri" w:hAnsi="Times New Roman" w:cs="Times New Roman"/>
                <w:sz w:val="24"/>
                <w:szCs w:val="24"/>
                <w:lang w:eastAsia="ja-JP"/>
              </w:rPr>
            </w:pPr>
            <w:r w:rsidRPr="00A07F29">
              <w:rPr>
                <w:rFonts w:ascii="Times New Roman" w:hAnsi="Times New Roman" w:cs="Times New Roman"/>
                <w:sz w:val="24"/>
                <w:szCs w:val="24"/>
              </w:rPr>
              <w:t>558</w:t>
            </w:r>
          </w:p>
        </w:tc>
        <w:tc>
          <w:tcPr>
            <w:tcW w:w="2404" w:type="dxa"/>
          </w:tcPr>
          <w:p w14:paraId="5D86D5EE" w14:textId="58BB14EC" w:rsidR="000875FE" w:rsidRPr="00A07F29" w:rsidRDefault="00882A4D" w:rsidP="00FC49DC">
            <w:pPr>
              <w:jc w:val="center"/>
              <w:rPr>
                <w:rFonts w:ascii="Times New Roman" w:eastAsia="Calibri" w:hAnsi="Times New Roman" w:cs="Calibri"/>
                <w:sz w:val="24"/>
                <w:lang w:eastAsia="ja-JP"/>
              </w:rPr>
            </w:pPr>
            <w:r w:rsidRPr="00A07F29">
              <w:rPr>
                <w:rFonts w:ascii="Times New Roman" w:eastAsia="Calibri" w:hAnsi="Times New Roman" w:cs="Calibri"/>
                <w:sz w:val="24"/>
                <w:lang w:eastAsia="ja-JP"/>
              </w:rPr>
              <w:t>7</w:t>
            </w:r>
          </w:p>
        </w:tc>
      </w:tr>
      <w:tr w:rsidR="000875FE" w:rsidRPr="00A07F29" w14:paraId="094FCD8A" w14:textId="18C9FCFB" w:rsidTr="008E5821">
        <w:trPr>
          <w:jc w:val="center"/>
        </w:trPr>
        <w:tc>
          <w:tcPr>
            <w:tcW w:w="1666" w:type="dxa"/>
          </w:tcPr>
          <w:p w14:paraId="14F63C47" w14:textId="77777777" w:rsidR="000875FE" w:rsidRPr="00A07F29" w:rsidRDefault="000875FE" w:rsidP="00FC49DC">
            <w:pPr>
              <w:jc w:val="both"/>
              <w:rPr>
                <w:rFonts w:ascii="Times New Roman" w:eastAsia="Calibri" w:hAnsi="Times New Roman" w:cs="Calibri"/>
                <w:sz w:val="24"/>
                <w:lang w:eastAsia="ja-JP"/>
              </w:rPr>
            </w:pPr>
          </w:p>
        </w:tc>
        <w:tc>
          <w:tcPr>
            <w:tcW w:w="2121" w:type="dxa"/>
          </w:tcPr>
          <w:p w14:paraId="457320DF" w14:textId="77777777" w:rsidR="000875FE" w:rsidRPr="00A07F29" w:rsidRDefault="000875FE" w:rsidP="00FC49DC">
            <w:pPr>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Tabores</w:t>
            </w:r>
          </w:p>
        </w:tc>
        <w:tc>
          <w:tcPr>
            <w:tcW w:w="2404" w:type="dxa"/>
          </w:tcPr>
          <w:p w14:paraId="6CC0E3E0" w14:textId="5EC370A2" w:rsidR="000875FE" w:rsidRPr="00A07F29" w:rsidRDefault="000875FE" w:rsidP="00FC49DC">
            <w:pPr>
              <w:jc w:val="center"/>
              <w:rPr>
                <w:rFonts w:ascii="Times New Roman" w:eastAsia="Calibri" w:hAnsi="Times New Roman" w:cs="Times New Roman"/>
                <w:sz w:val="24"/>
                <w:szCs w:val="24"/>
                <w:lang w:eastAsia="ja-JP"/>
              </w:rPr>
            </w:pPr>
            <w:r w:rsidRPr="00A07F29">
              <w:rPr>
                <w:rFonts w:ascii="Times New Roman" w:hAnsi="Times New Roman" w:cs="Times New Roman"/>
                <w:sz w:val="24"/>
                <w:szCs w:val="24"/>
              </w:rPr>
              <w:t>789</w:t>
            </w:r>
          </w:p>
        </w:tc>
        <w:tc>
          <w:tcPr>
            <w:tcW w:w="2404" w:type="dxa"/>
          </w:tcPr>
          <w:p w14:paraId="17FAE3C8" w14:textId="5760B49E" w:rsidR="000875FE" w:rsidRPr="00A07F29" w:rsidRDefault="00882A4D" w:rsidP="00FC49DC">
            <w:pPr>
              <w:jc w:val="center"/>
              <w:rPr>
                <w:rFonts w:ascii="Times New Roman" w:eastAsia="Calibri" w:hAnsi="Times New Roman" w:cs="Calibri"/>
                <w:sz w:val="24"/>
                <w:lang w:eastAsia="ja-JP"/>
              </w:rPr>
            </w:pPr>
            <w:r w:rsidRPr="00A07F29">
              <w:rPr>
                <w:rFonts w:ascii="Times New Roman" w:eastAsia="Calibri" w:hAnsi="Times New Roman" w:cs="Calibri"/>
                <w:sz w:val="24"/>
                <w:lang w:eastAsia="ja-JP"/>
              </w:rPr>
              <w:t>10</w:t>
            </w:r>
          </w:p>
        </w:tc>
      </w:tr>
      <w:tr w:rsidR="000875FE" w:rsidRPr="00A07F29" w14:paraId="1BFCB446" w14:textId="0F0124C9" w:rsidTr="008E5821">
        <w:trPr>
          <w:jc w:val="center"/>
        </w:trPr>
        <w:tc>
          <w:tcPr>
            <w:tcW w:w="1666" w:type="dxa"/>
          </w:tcPr>
          <w:p w14:paraId="558CD117" w14:textId="77777777" w:rsidR="000875FE" w:rsidRPr="00A07F29" w:rsidRDefault="000875FE" w:rsidP="00FC49DC">
            <w:pPr>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Krāslavas</w:t>
            </w:r>
          </w:p>
        </w:tc>
        <w:tc>
          <w:tcPr>
            <w:tcW w:w="2121" w:type="dxa"/>
          </w:tcPr>
          <w:p w14:paraId="163E54C5" w14:textId="77777777" w:rsidR="000875FE" w:rsidRPr="00A07F29" w:rsidRDefault="000875FE" w:rsidP="00FC49DC">
            <w:pPr>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Kalniešu</w:t>
            </w:r>
          </w:p>
        </w:tc>
        <w:tc>
          <w:tcPr>
            <w:tcW w:w="2404" w:type="dxa"/>
          </w:tcPr>
          <w:p w14:paraId="7046D53E" w14:textId="405250C0" w:rsidR="000875FE" w:rsidRPr="00A07F29" w:rsidRDefault="000875FE" w:rsidP="00FC49DC">
            <w:pPr>
              <w:jc w:val="center"/>
              <w:rPr>
                <w:rFonts w:ascii="Times New Roman" w:eastAsia="Calibri" w:hAnsi="Times New Roman" w:cs="Times New Roman"/>
                <w:sz w:val="24"/>
                <w:szCs w:val="24"/>
                <w:lang w:eastAsia="ja-JP"/>
              </w:rPr>
            </w:pPr>
            <w:r w:rsidRPr="00A07F29">
              <w:rPr>
                <w:rFonts w:ascii="Times New Roman" w:hAnsi="Times New Roman" w:cs="Times New Roman"/>
                <w:sz w:val="24"/>
                <w:szCs w:val="24"/>
              </w:rPr>
              <w:t>654</w:t>
            </w:r>
          </w:p>
        </w:tc>
        <w:tc>
          <w:tcPr>
            <w:tcW w:w="2404" w:type="dxa"/>
          </w:tcPr>
          <w:p w14:paraId="39ECDE2E" w14:textId="33FDFAE6" w:rsidR="000875FE" w:rsidRPr="00A07F29" w:rsidRDefault="00882A4D" w:rsidP="00FC49DC">
            <w:pPr>
              <w:jc w:val="center"/>
              <w:rPr>
                <w:rFonts w:ascii="Times New Roman" w:eastAsia="Calibri" w:hAnsi="Times New Roman" w:cs="Calibri"/>
                <w:sz w:val="24"/>
                <w:lang w:eastAsia="ja-JP"/>
              </w:rPr>
            </w:pPr>
            <w:r w:rsidRPr="00A07F29">
              <w:rPr>
                <w:rFonts w:ascii="Times New Roman" w:eastAsia="Calibri" w:hAnsi="Times New Roman" w:cs="Calibri"/>
                <w:sz w:val="24"/>
                <w:lang w:eastAsia="ja-JP"/>
              </w:rPr>
              <w:t>6</w:t>
            </w:r>
          </w:p>
        </w:tc>
      </w:tr>
      <w:tr w:rsidR="000875FE" w:rsidRPr="00A07F29" w14:paraId="15F47C13" w14:textId="4F14562A" w:rsidTr="008E5821">
        <w:trPr>
          <w:jc w:val="center"/>
        </w:trPr>
        <w:tc>
          <w:tcPr>
            <w:tcW w:w="1666" w:type="dxa"/>
          </w:tcPr>
          <w:p w14:paraId="0D832392" w14:textId="77777777" w:rsidR="000875FE" w:rsidRPr="00A07F29" w:rsidRDefault="000875FE" w:rsidP="00FC49DC">
            <w:pPr>
              <w:jc w:val="both"/>
              <w:rPr>
                <w:rFonts w:ascii="Times New Roman" w:eastAsia="Calibri" w:hAnsi="Times New Roman" w:cs="Calibri"/>
                <w:sz w:val="24"/>
                <w:lang w:eastAsia="ja-JP"/>
              </w:rPr>
            </w:pPr>
          </w:p>
        </w:tc>
        <w:tc>
          <w:tcPr>
            <w:tcW w:w="2121" w:type="dxa"/>
          </w:tcPr>
          <w:p w14:paraId="7AF84E0F" w14:textId="6DB1129F" w:rsidR="000875FE" w:rsidRPr="00A07F29" w:rsidRDefault="000875FE" w:rsidP="00FC49DC">
            <w:pPr>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Krāslavas</w:t>
            </w:r>
          </w:p>
        </w:tc>
        <w:tc>
          <w:tcPr>
            <w:tcW w:w="2404" w:type="dxa"/>
          </w:tcPr>
          <w:p w14:paraId="22D7943B" w14:textId="4658C75D" w:rsidR="000875FE" w:rsidRPr="00A07F29" w:rsidRDefault="00882A4D" w:rsidP="00FC49DC">
            <w:pPr>
              <w:pStyle w:val="Default"/>
              <w:jc w:val="center"/>
              <w:rPr>
                <w:lang w:val="lv-LV"/>
              </w:rPr>
            </w:pPr>
            <w:r w:rsidRPr="00A07F29">
              <w:rPr>
                <w:lang w:val="lv-LV"/>
              </w:rPr>
              <w:t>473</w:t>
            </w:r>
          </w:p>
        </w:tc>
        <w:tc>
          <w:tcPr>
            <w:tcW w:w="2404" w:type="dxa"/>
          </w:tcPr>
          <w:p w14:paraId="5A3A5FB9" w14:textId="5B0DF450" w:rsidR="000875FE" w:rsidRPr="00A07F29" w:rsidRDefault="00882A4D" w:rsidP="00FC49DC">
            <w:pPr>
              <w:pStyle w:val="Default"/>
              <w:jc w:val="center"/>
              <w:rPr>
                <w:sz w:val="22"/>
                <w:szCs w:val="22"/>
                <w:lang w:val="lv-LV"/>
              </w:rPr>
            </w:pPr>
            <w:r w:rsidRPr="00A07F29">
              <w:rPr>
                <w:sz w:val="22"/>
                <w:szCs w:val="22"/>
                <w:lang w:val="lv-LV"/>
              </w:rPr>
              <w:t>8</w:t>
            </w:r>
          </w:p>
        </w:tc>
      </w:tr>
      <w:tr w:rsidR="00882A4D" w:rsidRPr="00A07F29" w14:paraId="29C18561" w14:textId="0C772D94" w:rsidTr="008E5821">
        <w:trPr>
          <w:jc w:val="center"/>
        </w:trPr>
        <w:tc>
          <w:tcPr>
            <w:tcW w:w="1666" w:type="dxa"/>
          </w:tcPr>
          <w:p w14:paraId="489C962E" w14:textId="77777777" w:rsidR="00882A4D" w:rsidRPr="00A07F29" w:rsidRDefault="00882A4D" w:rsidP="00FC49DC">
            <w:pPr>
              <w:jc w:val="both"/>
              <w:rPr>
                <w:rFonts w:ascii="Times New Roman" w:eastAsia="Calibri" w:hAnsi="Times New Roman" w:cs="Calibri"/>
                <w:sz w:val="24"/>
                <w:lang w:eastAsia="ja-JP"/>
              </w:rPr>
            </w:pPr>
          </w:p>
        </w:tc>
        <w:tc>
          <w:tcPr>
            <w:tcW w:w="2121" w:type="dxa"/>
          </w:tcPr>
          <w:p w14:paraId="3A3A37C1" w14:textId="77777777" w:rsidR="00882A4D" w:rsidRPr="00A07F29" w:rsidRDefault="00882A4D" w:rsidP="00FC49DC">
            <w:pPr>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Kaplavas</w:t>
            </w:r>
          </w:p>
        </w:tc>
        <w:tc>
          <w:tcPr>
            <w:tcW w:w="2404" w:type="dxa"/>
          </w:tcPr>
          <w:p w14:paraId="6679C72B" w14:textId="59D749B8" w:rsidR="00882A4D" w:rsidRPr="00A07F29" w:rsidRDefault="00882A4D" w:rsidP="00FC49DC">
            <w:pPr>
              <w:jc w:val="center"/>
              <w:rPr>
                <w:rFonts w:ascii="Times New Roman" w:eastAsia="Calibri" w:hAnsi="Times New Roman" w:cs="Times New Roman"/>
                <w:sz w:val="24"/>
                <w:szCs w:val="24"/>
                <w:lang w:eastAsia="ja-JP"/>
              </w:rPr>
            </w:pPr>
            <w:r w:rsidRPr="00A07F29">
              <w:rPr>
                <w:rFonts w:ascii="Times New Roman" w:hAnsi="Times New Roman" w:cs="Times New Roman"/>
                <w:sz w:val="24"/>
                <w:szCs w:val="24"/>
              </w:rPr>
              <w:t>506</w:t>
            </w:r>
          </w:p>
        </w:tc>
        <w:tc>
          <w:tcPr>
            <w:tcW w:w="2404" w:type="dxa"/>
          </w:tcPr>
          <w:p w14:paraId="531C336C" w14:textId="41629594" w:rsidR="00882A4D" w:rsidRPr="00A07F29" w:rsidRDefault="00882A4D" w:rsidP="00FC49DC">
            <w:pPr>
              <w:jc w:val="center"/>
              <w:rPr>
                <w:rFonts w:ascii="Times New Roman" w:eastAsia="Calibri" w:hAnsi="Times New Roman" w:cs="Calibri"/>
                <w:sz w:val="24"/>
                <w:lang w:eastAsia="ja-JP"/>
              </w:rPr>
            </w:pPr>
            <w:r w:rsidRPr="00A07F29">
              <w:rPr>
                <w:rFonts w:ascii="Times New Roman" w:eastAsia="Calibri" w:hAnsi="Times New Roman" w:cs="Calibri"/>
                <w:sz w:val="24"/>
                <w:lang w:eastAsia="ja-JP"/>
              </w:rPr>
              <w:t>4</w:t>
            </w:r>
          </w:p>
        </w:tc>
      </w:tr>
      <w:tr w:rsidR="00882A4D" w:rsidRPr="00A07F29" w14:paraId="3AB54536" w14:textId="7BED99F6" w:rsidTr="008E5821">
        <w:trPr>
          <w:jc w:val="center"/>
        </w:trPr>
        <w:tc>
          <w:tcPr>
            <w:tcW w:w="1666" w:type="dxa"/>
          </w:tcPr>
          <w:p w14:paraId="0026A133" w14:textId="77777777" w:rsidR="00882A4D" w:rsidRPr="00A07F29" w:rsidRDefault="00882A4D" w:rsidP="00FC49DC">
            <w:pPr>
              <w:jc w:val="both"/>
              <w:rPr>
                <w:rFonts w:ascii="Times New Roman" w:eastAsia="Calibri" w:hAnsi="Times New Roman" w:cs="Calibri"/>
                <w:sz w:val="24"/>
                <w:lang w:eastAsia="ja-JP"/>
              </w:rPr>
            </w:pPr>
          </w:p>
        </w:tc>
        <w:tc>
          <w:tcPr>
            <w:tcW w:w="2121" w:type="dxa"/>
          </w:tcPr>
          <w:p w14:paraId="6502D587" w14:textId="77777777" w:rsidR="00882A4D" w:rsidRPr="00A07F29" w:rsidRDefault="00882A4D" w:rsidP="00FC49DC">
            <w:pPr>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Piedrujas</w:t>
            </w:r>
          </w:p>
        </w:tc>
        <w:tc>
          <w:tcPr>
            <w:tcW w:w="2404" w:type="dxa"/>
          </w:tcPr>
          <w:p w14:paraId="38C67822" w14:textId="3333EC4A" w:rsidR="00882A4D" w:rsidRPr="00A07F29" w:rsidRDefault="00882A4D" w:rsidP="00FC49DC">
            <w:pPr>
              <w:jc w:val="center"/>
              <w:rPr>
                <w:rFonts w:ascii="Times New Roman" w:eastAsia="Calibri" w:hAnsi="Times New Roman" w:cs="Times New Roman"/>
                <w:sz w:val="24"/>
                <w:szCs w:val="24"/>
                <w:lang w:eastAsia="ja-JP"/>
              </w:rPr>
            </w:pPr>
            <w:r w:rsidRPr="00A07F29">
              <w:rPr>
                <w:rFonts w:ascii="Times New Roman" w:hAnsi="Times New Roman" w:cs="Times New Roman"/>
                <w:sz w:val="24"/>
                <w:szCs w:val="24"/>
              </w:rPr>
              <w:t>462</w:t>
            </w:r>
          </w:p>
        </w:tc>
        <w:tc>
          <w:tcPr>
            <w:tcW w:w="2404" w:type="dxa"/>
          </w:tcPr>
          <w:p w14:paraId="65386980" w14:textId="7E11138C" w:rsidR="00882A4D" w:rsidRPr="00A07F29" w:rsidRDefault="00882A4D" w:rsidP="00FC49DC">
            <w:pPr>
              <w:jc w:val="center"/>
              <w:rPr>
                <w:rFonts w:ascii="Times New Roman" w:eastAsia="Calibri" w:hAnsi="Times New Roman" w:cs="Calibri"/>
                <w:sz w:val="24"/>
                <w:lang w:eastAsia="ja-JP"/>
              </w:rPr>
            </w:pPr>
            <w:r w:rsidRPr="00A07F29">
              <w:rPr>
                <w:rFonts w:ascii="Times New Roman" w:eastAsia="Calibri" w:hAnsi="Times New Roman" w:cs="Calibri"/>
                <w:sz w:val="24"/>
                <w:lang w:eastAsia="ja-JP"/>
              </w:rPr>
              <w:t>7</w:t>
            </w:r>
          </w:p>
        </w:tc>
      </w:tr>
      <w:tr w:rsidR="00882A4D" w:rsidRPr="00A07F29" w14:paraId="7EFEF84A" w14:textId="40344C82" w:rsidTr="008E5821">
        <w:trPr>
          <w:jc w:val="center"/>
        </w:trPr>
        <w:tc>
          <w:tcPr>
            <w:tcW w:w="1666" w:type="dxa"/>
          </w:tcPr>
          <w:p w14:paraId="572CEA1A" w14:textId="77777777" w:rsidR="00882A4D" w:rsidRPr="00A07F29" w:rsidRDefault="00882A4D" w:rsidP="00FC49DC">
            <w:pPr>
              <w:jc w:val="both"/>
              <w:rPr>
                <w:rFonts w:ascii="Times New Roman" w:eastAsia="Calibri" w:hAnsi="Times New Roman" w:cs="Calibri"/>
                <w:sz w:val="24"/>
                <w:lang w:eastAsia="ja-JP"/>
              </w:rPr>
            </w:pPr>
          </w:p>
        </w:tc>
        <w:tc>
          <w:tcPr>
            <w:tcW w:w="2121" w:type="dxa"/>
          </w:tcPr>
          <w:p w14:paraId="711DDE34" w14:textId="77777777" w:rsidR="00882A4D" w:rsidRPr="00A07F29" w:rsidRDefault="00882A4D" w:rsidP="00FC49DC">
            <w:pPr>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Ūdrīšu</w:t>
            </w:r>
          </w:p>
        </w:tc>
        <w:tc>
          <w:tcPr>
            <w:tcW w:w="2404" w:type="dxa"/>
          </w:tcPr>
          <w:p w14:paraId="21E26D46" w14:textId="69FCA18E" w:rsidR="00882A4D" w:rsidRPr="00A07F29" w:rsidRDefault="00882A4D" w:rsidP="00FC49DC">
            <w:pPr>
              <w:jc w:val="center"/>
              <w:rPr>
                <w:rFonts w:ascii="Times New Roman" w:eastAsia="Calibri" w:hAnsi="Times New Roman" w:cs="Times New Roman"/>
                <w:sz w:val="24"/>
                <w:szCs w:val="24"/>
                <w:lang w:eastAsia="ja-JP"/>
              </w:rPr>
            </w:pPr>
            <w:r w:rsidRPr="00A07F29">
              <w:rPr>
                <w:rFonts w:ascii="Times New Roman" w:hAnsi="Times New Roman" w:cs="Times New Roman"/>
                <w:sz w:val="24"/>
                <w:szCs w:val="24"/>
              </w:rPr>
              <w:t>1305</w:t>
            </w:r>
          </w:p>
        </w:tc>
        <w:tc>
          <w:tcPr>
            <w:tcW w:w="2404" w:type="dxa"/>
          </w:tcPr>
          <w:p w14:paraId="3167FE7B" w14:textId="43A2A25F" w:rsidR="00882A4D" w:rsidRPr="00A07F29" w:rsidRDefault="00882A4D" w:rsidP="00FC49DC">
            <w:pPr>
              <w:jc w:val="center"/>
              <w:rPr>
                <w:rFonts w:ascii="Times New Roman" w:eastAsia="Calibri" w:hAnsi="Times New Roman" w:cs="Calibri"/>
                <w:sz w:val="24"/>
                <w:lang w:eastAsia="ja-JP"/>
              </w:rPr>
            </w:pPr>
            <w:r w:rsidRPr="00A07F29">
              <w:rPr>
                <w:rFonts w:ascii="Times New Roman" w:eastAsia="Calibri" w:hAnsi="Times New Roman" w:cs="Calibri"/>
                <w:sz w:val="24"/>
                <w:lang w:eastAsia="ja-JP"/>
              </w:rPr>
              <w:t>12</w:t>
            </w:r>
          </w:p>
        </w:tc>
      </w:tr>
      <w:tr w:rsidR="00882A4D" w:rsidRPr="00A07F29" w14:paraId="7596D080" w14:textId="7D9A73B2" w:rsidTr="008E5821">
        <w:trPr>
          <w:jc w:val="center"/>
        </w:trPr>
        <w:tc>
          <w:tcPr>
            <w:tcW w:w="1666" w:type="dxa"/>
          </w:tcPr>
          <w:p w14:paraId="168836BB" w14:textId="77777777" w:rsidR="00882A4D" w:rsidRPr="00A07F29" w:rsidRDefault="00882A4D" w:rsidP="00FC49DC">
            <w:pPr>
              <w:jc w:val="both"/>
              <w:rPr>
                <w:rFonts w:ascii="Times New Roman" w:eastAsia="Calibri" w:hAnsi="Times New Roman" w:cs="Calibri"/>
                <w:sz w:val="24"/>
                <w:lang w:eastAsia="ja-JP"/>
              </w:rPr>
            </w:pPr>
          </w:p>
        </w:tc>
        <w:tc>
          <w:tcPr>
            <w:tcW w:w="2121" w:type="dxa"/>
          </w:tcPr>
          <w:p w14:paraId="02A8638D" w14:textId="77777777" w:rsidR="00882A4D" w:rsidRPr="00A07F29" w:rsidRDefault="00882A4D" w:rsidP="00FC49DC">
            <w:pPr>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Krāslavas pilsēta (AAA ietilpst neliela daļa)</w:t>
            </w:r>
          </w:p>
        </w:tc>
        <w:tc>
          <w:tcPr>
            <w:tcW w:w="2404" w:type="dxa"/>
          </w:tcPr>
          <w:p w14:paraId="10FFD3DE" w14:textId="64C81D6B" w:rsidR="00882A4D" w:rsidRPr="00A07F29" w:rsidRDefault="00882A4D" w:rsidP="00FC49DC">
            <w:pPr>
              <w:jc w:val="center"/>
              <w:rPr>
                <w:rFonts w:ascii="Times New Roman" w:eastAsia="Calibri" w:hAnsi="Times New Roman" w:cs="Times New Roman"/>
                <w:sz w:val="24"/>
                <w:szCs w:val="24"/>
                <w:lang w:eastAsia="ja-JP"/>
              </w:rPr>
            </w:pPr>
            <w:r w:rsidRPr="00A07F29">
              <w:rPr>
                <w:rFonts w:ascii="Times New Roman" w:hAnsi="Times New Roman" w:cs="Times New Roman"/>
                <w:sz w:val="24"/>
                <w:szCs w:val="24"/>
              </w:rPr>
              <w:t>8289</w:t>
            </w:r>
          </w:p>
        </w:tc>
        <w:tc>
          <w:tcPr>
            <w:tcW w:w="2404" w:type="dxa"/>
          </w:tcPr>
          <w:p w14:paraId="29556AA7" w14:textId="1ABDA9E3" w:rsidR="00882A4D" w:rsidRPr="00A07F29" w:rsidRDefault="00882A4D" w:rsidP="00FC49DC">
            <w:pPr>
              <w:jc w:val="center"/>
              <w:rPr>
                <w:rFonts w:ascii="Times New Roman" w:eastAsia="Calibri" w:hAnsi="Times New Roman" w:cs="Calibri"/>
                <w:sz w:val="24"/>
                <w:lang w:eastAsia="ja-JP"/>
              </w:rPr>
            </w:pPr>
            <w:r w:rsidRPr="00A07F29">
              <w:rPr>
                <w:rFonts w:ascii="Times New Roman" w:eastAsia="Calibri" w:hAnsi="Times New Roman" w:cs="Calibri"/>
                <w:sz w:val="24"/>
                <w:lang w:eastAsia="ja-JP"/>
              </w:rPr>
              <w:t>921</w:t>
            </w:r>
          </w:p>
        </w:tc>
      </w:tr>
    </w:tbl>
    <w:p w14:paraId="4415C3D5" w14:textId="5F37F6AD" w:rsidR="00A42A67" w:rsidRPr="00A07F29" w:rsidRDefault="00AB1B4D" w:rsidP="00A42A67">
      <w:pPr>
        <w:spacing w:after="120"/>
        <w:jc w:val="both"/>
        <w:rPr>
          <w:rFonts w:ascii="Times New Roman" w:eastAsia="Calibri" w:hAnsi="Times New Roman" w:cs="Calibri"/>
          <w:sz w:val="24"/>
          <w:lang w:eastAsia="ja-JP"/>
        </w:rPr>
      </w:pPr>
      <w:r w:rsidRPr="00A07F29">
        <w:rPr>
          <w:rFonts w:ascii="Times New Roman" w:eastAsia="Calibri" w:hAnsi="Times New Roman" w:cs="Calibri"/>
          <w:sz w:val="24"/>
          <w:szCs w:val="24"/>
          <w:lang w:eastAsia="en-GB"/>
        </w:rPr>
        <w:t xml:space="preserve"> </w:t>
      </w:r>
    </w:p>
    <w:p w14:paraId="14EA7E93" w14:textId="53138A11" w:rsidR="00FC49DC" w:rsidRPr="00A07F29" w:rsidRDefault="00FC49DC" w:rsidP="000875FE">
      <w:pPr>
        <w:spacing w:before="240" w:after="0" w:line="240" w:lineRule="auto"/>
        <w:jc w:val="both"/>
        <w:rPr>
          <w:rFonts w:ascii="Times New Roman" w:eastAsia="Calibri" w:hAnsi="Times New Roman" w:cs="Calibri"/>
          <w:lang w:eastAsia="ja-JP"/>
        </w:rPr>
      </w:pPr>
      <w:r w:rsidRPr="00A07F29">
        <w:rPr>
          <w:noProof/>
          <w:lang w:eastAsia="lv-LV"/>
        </w:rPr>
        <w:lastRenderedPageBreak/>
        <w:drawing>
          <wp:inline distT="0" distB="0" distL="0" distR="0" wp14:anchorId="2FA49E7F" wp14:editId="27B79C5C">
            <wp:extent cx="5731510" cy="2665095"/>
            <wp:effectExtent l="0" t="0" r="2540" b="190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pic:nvPicPr>
                  <pic:blipFill>
                    <a:blip r:embed="rId34">
                      <a:extLst>
                        <a:ext uri="{28A0092B-C50C-407E-A947-70E740481C1C}">
                          <a14:useLocalDpi xmlns:a14="http://schemas.microsoft.com/office/drawing/2010/main" val="0"/>
                        </a:ext>
                      </a:extLst>
                    </a:blip>
                    <a:stretch>
                      <a:fillRect/>
                    </a:stretch>
                  </pic:blipFill>
                  <pic:spPr>
                    <a:xfrm>
                      <a:off x="0" y="0"/>
                      <a:ext cx="5731510" cy="2665095"/>
                    </a:xfrm>
                    <a:prstGeom prst="rect">
                      <a:avLst/>
                    </a:prstGeom>
                  </pic:spPr>
                </pic:pic>
              </a:graphicData>
            </a:graphic>
          </wp:inline>
        </w:drawing>
      </w:r>
    </w:p>
    <w:p w14:paraId="445159ED" w14:textId="0266393C" w:rsidR="00AB1B4D" w:rsidRPr="00F9336D" w:rsidRDefault="000875FE" w:rsidP="00FC49DC">
      <w:pPr>
        <w:spacing w:before="120" w:after="0" w:line="240" w:lineRule="auto"/>
        <w:jc w:val="both"/>
        <w:rPr>
          <w:rFonts w:ascii="Times New Roman" w:hAnsi="Times New Roman" w:cs="Times New Roman"/>
          <w:sz w:val="20"/>
          <w:szCs w:val="20"/>
        </w:rPr>
      </w:pPr>
      <w:r w:rsidRPr="00F9336D">
        <w:rPr>
          <w:rFonts w:ascii="Times New Roman" w:eastAsia="Calibri" w:hAnsi="Times New Roman" w:cs="Calibri"/>
          <w:sz w:val="20"/>
          <w:szCs w:val="20"/>
          <w:lang w:eastAsia="ja-JP"/>
        </w:rPr>
        <w:t>3.1</w:t>
      </w:r>
      <w:r w:rsidR="00AB1B4D" w:rsidRPr="00F9336D">
        <w:rPr>
          <w:rFonts w:ascii="Times New Roman" w:eastAsia="Calibri" w:hAnsi="Times New Roman" w:cs="Calibri"/>
          <w:sz w:val="20"/>
          <w:szCs w:val="20"/>
          <w:lang w:eastAsia="ja-JP"/>
        </w:rPr>
        <w:t>.</w:t>
      </w:r>
      <w:r w:rsidR="002F3B0D" w:rsidRPr="00F9336D">
        <w:rPr>
          <w:rFonts w:ascii="Times New Roman" w:eastAsia="Calibri" w:hAnsi="Times New Roman" w:cs="Calibri"/>
          <w:sz w:val="20"/>
          <w:szCs w:val="20"/>
          <w:lang w:eastAsia="ja-JP"/>
        </w:rPr>
        <w:t> </w:t>
      </w:r>
      <w:r w:rsidR="00AB1B4D" w:rsidRPr="00F9336D">
        <w:rPr>
          <w:rFonts w:ascii="Times New Roman" w:eastAsia="Calibri" w:hAnsi="Times New Roman" w:cs="Calibri"/>
          <w:sz w:val="20"/>
          <w:szCs w:val="20"/>
          <w:lang w:eastAsia="ja-JP"/>
        </w:rPr>
        <w:t xml:space="preserve">attēls. </w:t>
      </w:r>
      <w:r w:rsidR="00C12B08" w:rsidRPr="00F9336D">
        <w:rPr>
          <w:rFonts w:ascii="Times New Roman" w:eastAsia="Calibri" w:hAnsi="Times New Roman" w:cs="Calibri"/>
          <w:sz w:val="20"/>
          <w:szCs w:val="20"/>
          <w:lang w:eastAsia="ja-JP"/>
        </w:rPr>
        <w:t>AAA</w:t>
      </w:r>
      <w:r w:rsidR="00AB1B4D" w:rsidRPr="00F9336D">
        <w:rPr>
          <w:rFonts w:ascii="Times New Roman" w:eastAsia="Calibri" w:hAnsi="Times New Roman" w:cs="Calibri"/>
          <w:sz w:val="20"/>
          <w:szCs w:val="20"/>
          <w:lang w:eastAsia="ja-JP"/>
        </w:rPr>
        <w:t xml:space="preserve"> “Augšdaugava” </w:t>
      </w:r>
      <w:r w:rsidRPr="00F9336D">
        <w:rPr>
          <w:rFonts w:ascii="Times New Roman" w:eastAsia="Calibri" w:hAnsi="Times New Roman" w:cs="Calibri"/>
          <w:sz w:val="20"/>
          <w:szCs w:val="20"/>
          <w:lang w:eastAsia="ja-JP"/>
        </w:rPr>
        <w:t>robežās iekļautās administratīvās vienības – pagasti un Krāslavas pilsēta</w:t>
      </w:r>
      <w:r w:rsidR="00AB1B4D" w:rsidRPr="00F9336D">
        <w:rPr>
          <w:rFonts w:ascii="Times New Roman" w:eastAsia="Calibri" w:hAnsi="Times New Roman" w:cs="Calibri"/>
          <w:sz w:val="20"/>
          <w:szCs w:val="20"/>
          <w:lang w:eastAsia="ja-JP"/>
        </w:rPr>
        <w:t xml:space="preserve"> (</w:t>
      </w:r>
      <w:r w:rsidR="00AB1B4D" w:rsidRPr="00F9336D">
        <w:rPr>
          <w:rFonts w:ascii="Times New Roman" w:hAnsi="Times New Roman" w:cs="Times New Roman"/>
          <w:sz w:val="20"/>
          <w:szCs w:val="20"/>
        </w:rPr>
        <w:t>Par kartogrāfisko pamatni izmantota LĢIA sagatavotā Topogrāfiskā</w:t>
      </w:r>
      <w:r w:rsidR="00D65BBA" w:rsidRPr="00F9336D">
        <w:rPr>
          <w:rFonts w:ascii="Times New Roman" w:hAnsi="Times New Roman" w:cs="Times New Roman"/>
          <w:sz w:val="20"/>
          <w:szCs w:val="20"/>
        </w:rPr>
        <w:t xml:space="preserve"> </w:t>
      </w:r>
      <w:r w:rsidR="00AB1B4D" w:rsidRPr="00F9336D">
        <w:rPr>
          <w:rFonts w:ascii="Times New Roman" w:hAnsi="Times New Roman" w:cs="Times New Roman"/>
          <w:sz w:val="20"/>
          <w:szCs w:val="20"/>
        </w:rPr>
        <w:t>karte mērogā 1:50 000 (2014.</w:t>
      </w:r>
      <w:r w:rsidR="002F3B0D" w:rsidRPr="00F9336D">
        <w:rPr>
          <w:rFonts w:ascii="Times New Roman" w:hAnsi="Times New Roman" w:cs="Times New Roman"/>
          <w:sz w:val="20"/>
          <w:szCs w:val="20"/>
        </w:rPr>
        <w:t> </w:t>
      </w:r>
      <w:r w:rsidR="00AB1B4D" w:rsidRPr="00F9336D">
        <w:rPr>
          <w:rFonts w:ascii="Times New Roman" w:hAnsi="Times New Roman" w:cs="Times New Roman"/>
          <w:sz w:val="20"/>
          <w:szCs w:val="20"/>
        </w:rPr>
        <w:t>gads</w:t>
      </w:r>
      <w:r w:rsidRPr="00F9336D">
        <w:rPr>
          <w:rFonts w:ascii="Times New Roman" w:hAnsi="Times New Roman" w:cs="Times New Roman"/>
          <w:sz w:val="20"/>
          <w:szCs w:val="20"/>
        </w:rPr>
        <w:t>)</w:t>
      </w:r>
      <w:r w:rsidR="00AB1B4D" w:rsidRPr="00F9336D">
        <w:rPr>
          <w:rFonts w:ascii="Times New Roman" w:hAnsi="Times New Roman" w:cs="Times New Roman"/>
          <w:sz w:val="20"/>
          <w:szCs w:val="20"/>
        </w:rPr>
        <w:t xml:space="preserve"> un pagastu robeža © </w:t>
      </w:r>
      <w:r w:rsidRPr="00F9336D">
        <w:rPr>
          <w:rFonts w:ascii="Times New Roman" w:hAnsi="Times New Roman" w:cs="Times New Roman"/>
          <w:sz w:val="20"/>
          <w:szCs w:val="20"/>
        </w:rPr>
        <w:t>L</w:t>
      </w:r>
      <w:r w:rsidR="00AB1B4D" w:rsidRPr="00F9336D">
        <w:rPr>
          <w:rFonts w:ascii="Times New Roman" w:hAnsi="Times New Roman" w:cs="Times New Roman"/>
          <w:sz w:val="20"/>
          <w:szCs w:val="20"/>
        </w:rPr>
        <w:t>GIA</w:t>
      </w:r>
      <w:r w:rsidR="00D65BBA" w:rsidRPr="00F9336D">
        <w:rPr>
          <w:rFonts w:ascii="Times New Roman" w:hAnsi="Times New Roman" w:cs="Times New Roman"/>
          <w:sz w:val="20"/>
          <w:szCs w:val="20"/>
        </w:rPr>
        <w:t xml:space="preserve"> </w:t>
      </w:r>
      <w:r w:rsidR="00AB1B4D" w:rsidRPr="00F9336D">
        <w:rPr>
          <w:rFonts w:ascii="Times New Roman" w:hAnsi="Times New Roman" w:cs="Times New Roman"/>
          <w:sz w:val="20"/>
          <w:szCs w:val="20"/>
        </w:rPr>
        <w:t>(2017.</w:t>
      </w:r>
      <w:r w:rsidR="002F3B0D" w:rsidRPr="00F9336D">
        <w:rPr>
          <w:rFonts w:ascii="Times New Roman" w:hAnsi="Times New Roman" w:cs="Times New Roman"/>
          <w:sz w:val="20"/>
          <w:szCs w:val="20"/>
        </w:rPr>
        <w:t> </w:t>
      </w:r>
      <w:r w:rsidR="00AB1B4D" w:rsidRPr="00F9336D">
        <w:rPr>
          <w:rFonts w:ascii="Times New Roman" w:hAnsi="Times New Roman" w:cs="Times New Roman"/>
          <w:sz w:val="20"/>
          <w:szCs w:val="20"/>
        </w:rPr>
        <w:t>gads)</w:t>
      </w:r>
      <w:r w:rsidRPr="00F9336D">
        <w:rPr>
          <w:rFonts w:ascii="Times New Roman" w:hAnsi="Times New Roman" w:cs="Times New Roman"/>
          <w:sz w:val="20"/>
          <w:szCs w:val="20"/>
        </w:rPr>
        <w:t>)</w:t>
      </w:r>
      <w:r w:rsidR="00AB1B4D" w:rsidRPr="00F9336D">
        <w:rPr>
          <w:rFonts w:ascii="Times New Roman" w:hAnsi="Times New Roman" w:cs="Times New Roman"/>
          <w:sz w:val="20"/>
          <w:szCs w:val="20"/>
        </w:rPr>
        <w:t>.</w:t>
      </w:r>
    </w:p>
    <w:p w14:paraId="7985E99A" w14:textId="77777777" w:rsidR="00A42A67" w:rsidRPr="00A07F29" w:rsidRDefault="00A42A67" w:rsidP="00A42A67">
      <w:pPr>
        <w:spacing w:after="0" w:line="240" w:lineRule="auto"/>
        <w:jc w:val="both"/>
        <w:rPr>
          <w:rFonts w:ascii="Times New Roman" w:eastAsia="Calibri" w:hAnsi="Times New Roman" w:cs="Calibri"/>
          <w:sz w:val="24"/>
          <w:lang w:eastAsia="ja-JP"/>
        </w:rPr>
      </w:pPr>
    </w:p>
    <w:p w14:paraId="14EB507E" w14:textId="1644706A" w:rsidR="009072CE" w:rsidRPr="00A07F29" w:rsidRDefault="00C74FB6" w:rsidP="00212F52">
      <w:pPr>
        <w:spacing w:after="120" w:line="240" w:lineRule="auto"/>
        <w:ind w:firstLine="851"/>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 xml:space="preserve">Diemžēl pārsvarā </w:t>
      </w:r>
      <w:r w:rsidR="009072CE" w:rsidRPr="00A07F29">
        <w:rPr>
          <w:rFonts w:ascii="Times New Roman" w:eastAsia="Calibri" w:hAnsi="Times New Roman" w:cs="Calibri"/>
          <w:sz w:val="24"/>
          <w:lang w:eastAsia="ja-JP"/>
        </w:rPr>
        <w:t xml:space="preserve">AAA </w:t>
      </w:r>
      <w:r w:rsidR="007333BA" w:rsidRPr="00A07F29">
        <w:rPr>
          <w:rFonts w:ascii="Times New Roman" w:eastAsia="Calibri" w:hAnsi="Times New Roman" w:cs="Calibri"/>
          <w:sz w:val="24"/>
          <w:lang w:eastAsia="ja-JP"/>
        </w:rPr>
        <w:t>“</w:t>
      </w:r>
      <w:r w:rsidR="000875FE" w:rsidRPr="00A07F29">
        <w:rPr>
          <w:rFonts w:ascii="Times New Roman" w:eastAsia="Calibri" w:hAnsi="Times New Roman" w:cs="Calibri"/>
          <w:sz w:val="24"/>
          <w:lang w:eastAsia="ja-JP"/>
        </w:rPr>
        <w:t xml:space="preserve">Augšdaugava” </w:t>
      </w:r>
      <w:r w:rsidR="009072CE" w:rsidRPr="00A07F29">
        <w:rPr>
          <w:rFonts w:ascii="Times New Roman" w:eastAsia="Calibri" w:hAnsi="Times New Roman" w:cs="Calibri"/>
          <w:sz w:val="24"/>
          <w:lang w:eastAsia="ja-JP"/>
        </w:rPr>
        <w:t>lauku teritoriju iedzīvotāju skaits pakāpeniski samazinās, mainās arī vecumstruktūra, jo teritorijā ir maz darbavietu, tādēļ daudzi jaunieši pārceļas uz tuvējām pilsētām – Daugavpili un Krāslavu vai tālāk. Līdz ar to kļūst mazāk tradicionāli apsaimniekotu lauku saimniecību un mainās ainava. Lielos meliorētos laukus apstrādā intensīvi. Iepriekšējos gados lielās platībās audzēja kukurūzu biogāzes iegūšanai, pašlaik šajos laukos audzē rapsi un griķus. Daudzas grūtāk apsaimniekojamās lauksaimniecības zemes tiek pamestas un aizaug.</w:t>
      </w:r>
    </w:p>
    <w:p w14:paraId="227BA8C6" w14:textId="2F78FF20" w:rsidR="009072CE" w:rsidRPr="00A07F29" w:rsidRDefault="009072CE" w:rsidP="00212F52">
      <w:pPr>
        <w:spacing w:after="120" w:line="240" w:lineRule="auto"/>
        <w:ind w:firstLine="851"/>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 xml:space="preserve">Nodarbinātība Daugavpils novadā </w:t>
      </w:r>
      <w:r w:rsidR="008E5821" w:rsidRPr="00A07F29">
        <w:rPr>
          <w:rFonts w:ascii="Times New Roman" w:eastAsia="Calibri" w:hAnsi="Times New Roman" w:cs="Calibri"/>
          <w:sz w:val="24"/>
          <w:lang w:eastAsia="ja-JP"/>
        </w:rPr>
        <w:t>–</w:t>
      </w:r>
      <w:r w:rsidRPr="00A07F29">
        <w:rPr>
          <w:rFonts w:ascii="Times New Roman" w:eastAsia="Calibri" w:hAnsi="Times New Roman" w:cs="Calibri"/>
          <w:sz w:val="24"/>
          <w:lang w:eastAsia="ja-JP"/>
        </w:rPr>
        <w:t xml:space="preserve"> aktīvākās uzņēmumu nozares ir jauktā lauksaimniecība (augkopība un lopkopība), graudaugu, pākšaugu un eļļas augu sēklu audzēšana, mazumtirdzniecība, transporta pakalpojumi, kokapstrāde. Viens no uzņēmumiem, kas rada vislielāko apgrozījumu novadā, atrodas AAA teritorijā – Vecsalienas pagastā, tas ir SIA </w:t>
      </w:r>
      <w:r w:rsidR="005904D7" w:rsidRPr="00A07F29">
        <w:rPr>
          <w:rFonts w:ascii="Times New Roman" w:eastAsia="Calibri" w:hAnsi="Times New Roman" w:cs="Calibri"/>
          <w:sz w:val="24"/>
          <w:lang w:eastAsia="ja-JP"/>
        </w:rPr>
        <w:t>“</w:t>
      </w:r>
      <w:proofErr w:type="spellStart"/>
      <w:r w:rsidRPr="00A07F29">
        <w:rPr>
          <w:rFonts w:ascii="Times New Roman" w:eastAsia="Calibri" w:hAnsi="Times New Roman" w:cs="Calibri"/>
          <w:sz w:val="24"/>
          <w:lang w:eastAsia="ja-JP"/>
        </w:rPr>
        <w:t>Dubiki</w:t>
      </w:r>
      <w:proofErr w:type="spellEnd"/>
      <w:r w:rsidRPr="00A07F29">
        <w:rPr>
          <w:rFonts w:ascii="Times New Roman" w:eastAsia="Calibri" w:hAnsi="Times New Roman" w:cs="Calibri"/>
          <w:sz w:val="24"/>
          <w:lang w:eastAsia="ja-JP"/>
        </w:rPr>
        <w:t xml:space="preserve">” (pārtikas produkcijas ražošana, gaļas produktu tirdzniecība). Kraujas ciemā un tuvumā iedzīvotāji ir nodarbināti SIA </w:t>
      </w:r>
      <w:r w:rsidR="00581A2C" w:rsidRPr="00A07F29">
        <w:rPr>
          <w:rFonts w:ascii="Times New Roman" w:eastAsia="Calibri" w:hAnsi="Times New Roman" w:cs="Calibri"/>
          <w:sz w:val="24"/>
          <w:lang w:eastAsia="ja-JP"/>
        </w:rPr>
        <w:t>“</w:t>
      </w:r>
      <w:r w:rsidRPr="00A07F29">
        <w:rPr>
          <w:rFonts w:ascii="Times New Roman" w:eastAsia="Calibri" w:hAnsi="Times New Roman" w:cs="Calibri"/>
          <w:sz w:val="24"/>
          <w:lang w:eastAsia="ja-JP"/>
        </w:rPr>
        <w:t>MELIORS KRAUJA</w:t>
      </w:r>
      <w:r w:rsidR="00581A2C" w:rsidRPr="00A07F29">
        <w:rPr>
          <w:rFonts w:ascii="Times New Roman" w:eastAsia="Calibri" w:hAnsi="Times New Roman" w:cs="Calibri"/>
          <w:sz w:val="24"/>
          <w:lang w:eastAsia="ja-JP"/>
        </w:rPr>
        <w:t>”</w:t>
      </w:r>
      <w:r w:rsidRPr="00A07F29">
        <w:rPr>
          <w:rFonts w:ascii="Times New Roman" w:eastAsia="Calibri" w:hAnsi="Times New Roman" w:cs="Calibri"/>
          <w:sz w:val="24"/>
          <w:lang w:eastAsia="ja-JP"/>
        </w:rPr>
        <w:t xml:space="preserve"> (kūdras ieguve).</w:t>
      </w:r>
    </w:p>
    <w:p w14:paraId="7D0673D7" w14:textId="1AC1A81D" w:rsidR="009072CE" w:rsidRPr="00A07F29" w:rsidRDefault="009072CE" w:rsidP="00212F52">
      <w:pPr>
        <w:spacing w:after="120" w:line="240" w:lineRule="auto"/>
        <w:ind w:firstLine="851"/>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Krāslavas novadā Kaplavas pagastā atrodas liels uzņēmums kokapstrādes un mēbeļu ražošanā – SIA “</w:t>
      </w:r>
      <w:proofErr w:type="spellStart"/>
      <w:r w:rsidRPr="00A07F29">
        <w:rPr>
          <w:rFonts w:ascii="Times New Roman" w:eastAsia="Calibri" w:hAnsi="Times New Roman" w:cs="Calibri"/>
          <w:sz w:val="24"/>
          <w:lang w:eastAsia="ja-JP"/>
        </w:rPr>
        <w:t>Varpa</w:t>
      </w:r>
      <w:proofErr w:type="spellEnd"/>
      <w:r w:rsidRPr="00A07F29">
        <w:rPr>
          <w:rFonts w:ascii="Times New Roman" w:eastAsia="Calibri" w:hAnsi="Times New Roman" w:cs="Calibri"/>
          <w:sz w:val="24"/>
          <w:lang w:eastAsia="ja-JP"/>
        </w:rPr>
        <w:t>”, lauku tūrismā darbojas vairāki uzņēmumi (sk</w:t>
      </w:r>
      <w:r w:rsidR="00581A2C" w:rsidRPr="00A07F29">
        <w:rPr>
          <w:rFonts w:ascii="Times New Roman" w:eastAsia="Calibri" w:hAnsi="Times New Roman" w:cs="Calibri"/>
          <w:sz w:val="24"/>
          <w:lang w:eastAsia="ja-JP"/>
        </w:rPr>
        <w:t>at.</w:t>
      </w:r>
      <w:r w:rsidRPr="00A07F29">
        <w:rPr>
          <w:rFonts w:ascii="Times New Roman" w:eastAsia="Calibri" w:hAnsi="Times New Roman" w:cs="Calibri"/>
          <w:sz w:val="24"/>
          <w:lang w:eastAsia="ja-JP"/>
        </w:rPr>
        <w:t xml:space="preserve"> 3.4.</w:t>
      </w:r>
      <w:r w:rsidR="00581A2C" w:rsidRPr="00A07F29">
        <w:rPr>
          <w:rFonts w:ascii="Times New Roman" w:eastAsia="Calibri" w:hAnsi="Times New Roman" w:cs="Calibri"/>
          <w:sz w:val="24"/>
          <w:lang w:eastAsia="ja-JP"/>
        </w:rPr>
        <w:t> </w:t>
      </w:r>
      <w:r w:rsidRPr="00A07F29">
        <w:rPr>
          <w:rFonts w:ascii="Times New Roman" w:eastAsia="Calibri" w:hAnsi="Times New Roman" w:cs="Calibri"/>
          <w:sz w:val="24"/>
          <w:lang w:eastAsia="ja-JP"/>
        </w:rPr>
        <w:t>nodaļu),</w:t>
      </w:r>
      <w:r w:rsidR="00D65BBA" w:rsidRPr="00A07F29">
        <w:rPr>
          <w:rFonts w:ascii="Times New Roman" w:eastAsia="Calibri" w:hAnsi="Times New Roman" w:cs="Calibri"/>
          <w:sz w:val="24"/>
          <w:lang w:eastAsia="ja-JP"/>
        </w:rPr>
        <w:t xml:space="preserve"> </w:t>
      </w:r>
      <w:r w:rsidRPr="00A07F29">
        <w:rPr>
          <w:rFonts w:ascii="Times New Roman" w:eastAsia="Calibri" w:hAnsi="Times New Roman" w:cs="Calibri"/>
          <w:sz w:val="24"/>
          <w:lang w:eastAsia="ja-JP"/>
        </w:rPr>
        <w:t>lauksaimniecības produkcijas ražošana un pārstrāde –</w:t>
      </w:r>
      <w:r w:rsidR="00D65BBA" w:rsidRPr="00A07F29">
        <w:rPr>
          <w:rFonts w:ascii="Times New Roman" w:eastAsia="Calibri" w:hAnsi="Times New Roman" w:cs="Calibri"/>
          <w:sz w:val="24"/>
          <w:lang w:eastAsia="ja-JP"/>
        </w:rPr>
        <w:t xml:space="preserve"> </w:t>
      </w:r>
      <w:r w:rsidRPr="00A07F29">
        <w:rPr>
          <w:rFonts w:ascii="Times New Roman" w:eastAsia="Calibri" w:hAnsi="Times New Roman" w:cs="Calibri"/>
          <w:sz w:val="24"/>
          <w:lang w:eastAsia="ja-JP"/>
        </w:rPr>
        <w:t>z</w:t>
      </w:r>
      <w:r w:rsidR="00BE012D" w:rsidRPr="00A07F29">
        <w:rPr>
          <w:rFonts w:ascii="Times New Roman" w:eastAsia="Calibri" w:hAnsi="Times New Roman" w:cs="Calibri"/>
          <w:sz w:val="24"/>
          <w:lang w:eastAsia="ja-JP"/>
        </w:rPr>
        <w:t>emnieku saimniecība</w:t>
      </w:r>
      <w:r w:rsidRPr="00A07F29">
        <w:rPr>
          <w:rFonts w:ascii="Times New Roman" w:eastAsia="Calibri" w:hAnsi="Times New Roman" w:cs="Calibri"/>
          <w:sz w:val="24"/>
          <w:lang w:eastAsia="ja-JP"/>
        </w:rPr>
        <w:t xml:space="preserve"> “Kurmīši”</w:t>
      </w:r>
      <w:r w:rsidR="0085191C">
        <w:rPr>
          <w:rStyle w:val="FootnoteReference"/>
          <w:rFonts w:ascii="Times New Roman" w:eastAsia="Calibri" w:hAnsi="Times New Roman" w:cs="Calibri"/>
          <w:sz w:val="24"/>
          <w:lang w:eastAsia="ja-JP"/>
        </w:rPr>
        <w:footnoteReference w:id="8"/>
      </w:r>
      <w:r w:rsidRPr="00A07F29">
        <w:rPr>
          <w:rFonts w:ascii="Times New Roman" w:eastAsia="Calibri" w:hAnsi="Times New Roman" w:cs="Calibri"/>
          <w:sz w:val="24"/>
          <w:lang w:eastAsia="ja-JP"/>
        </w:rPr>
        <w:t xml:space="preserve">. Krāslavas novada pagastos ir attīstīta bioloģiskā lauksaimniecība, bioloģisko lauku saimniecību skaits ir vairāk kā 70. </w:t>
      </w:r>
    </w:p>
    <w:p w14:paraId="7B96FCFB" w14:textId="7A42F1B8" w:rsidR="009072CE" w:rsidRPr="00A07F29" w:rsidRDefault="009072CE" w:rsidP="00212F52">
      <w:pPr>
        <w:spacing w:after="120" w:line="240" w:lineRule="auto"/>
        <w:ind w:firstLine="851"/>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 xml:space="preserve">Lielākais nodarbināto skaits Krāslavas novadā ir pārtikas un dzērienu ražošana </w:t>
      </w:r>
      <w:r w:rsidR="008E5821" w:rsidRPr="00A07F29">
        <w:rPr>
          <w:rFonts w:ascii="Times New Roman" w:eastAsia="Calibri" w:hAnsi="Times New Roman" w:cs="Calibri"/>
          <w:sz w:val="24"/>
          <w:lang w:eastAsia="ja-JP"/>
        </w:rPr>
        <w:t>–</w:t>
      </w:r>
      <w:r w:rsidRPr="00A07F29">
        <w:rPr>
          <w:rFonts w:ascii="Times New Roman" w:eastAsia="Calibri" w:hAnsi="Times New Roman" w:cs="Calibri"/>
          <w:sz w:val="24"/>
          <w:lang w:eastAsia="ja-JP"/>
        </w:rPr>
        <w:t xml:space="preserve"> 18</w:t>
      </w:r>
      <w:r w:rsidR="00B7686B" w:rsidRPr="00A07F29">
        <w:rPr>
          <w:rFonts w:ascii="Times New Roman" w:eastAsia="Calibri" w:hAnsi="Times New Roman" w:cs="Calibri"/>
          <w:sz w:val="24"/>
          <w:lang w:eastAsia="ja-JP"/>
        </w:rPr>
        <w:t> </w:t>
      </w:r>
      <w:r w:rsidRPr="00A07F29">
        <w:rPr>
          <w:rFonts w:ascii="Times New Roman" w:eastAsia="Calibri" w:hAnsi="Times New Roman" w:cs="Calibri"/>
          <w:sz w:val="24"/>
          <w:lang w:eastAsia="ja-JP"/>
        </w:rPr>
        <w:t>%, apstrādes rūpniecībā – 7.2</w:t>
      </w:r>
      <w:r w:rsidR="00B7686B" w:rsidRPr="00A07F29">
        <w:rPr>
          <w:rFonts w:ascii="Times New Roman" w:eastAsia="Calibri" w:hAnsi="Times New Roman" w:cs="Calibri"/>
          <w:sz w:val="24"/>
          <w:lang w:eastAsia="ja-JP"/>
        </w:rPr>
        <w:t> </w:t>
      </w:r>
      <w:r w:rsidRPr="00A07F29">
        <w:rPr>
          <w:rFonts w:ascii="Times New Roman" w:eastAsia="Calibri" w:hAnsi="Times New Roman" w:cs="Calibri"/>
          <w:sz w:val="24"/>
          <w:lang w:eastAsia="ja-JP"/>
        </w:rPr>
        <w:t>%, transporta sektorā – 4.7</w:t>
      </w:r>
      <w:r w:rsidR="00B7686B" w:rsidRPr="00A07F29">
        <w:rPr>
          <w:rFonts w:ascii="Times New Roman" w:eastAsia="Calibri" w:hAnsi="Times New Roman" w:cs="Calibri"/>
          <w:sz w:val="24"/>
          <w:lang w:eastAsia="ja-JP"/>
        </w:rPr>
        <w:t> </w:t>
      </w:r>
      <w:r w:rsidRPr="00A07F29">
        <w:rPr>
          <w:rFonts w:ascii="Times New Roman" w:eastAsia="Calibri" w:hAnsi="Times New Roman" w:cs="Calibri"/>
          <w:sz w:val="24"/>
          <w:lang w:eastAsia="ja-JP"/>
        </w:rPr>
        <w:t>%, tirdzniecība – 10</w:t>
      </w:r>
      <w:r w:rsidR="00B7686B" w:rsidRPr="00A07F29">
        <w:rPr>
          <w:rFonts w:ascii="Times New Roman" w:eastAsia="Calibri" w:hAnsi="Times New Roman" w:cs="Calibri"/>
          <w:sz w:val="24"/>
          <w:lang w:eastAsia="ja-JP"/>
        </w:rPr>
        <w:t> </w:t>
      </w:r>
      <w:r w:rsidRPr="00A07F29">
        <w:rPr>
          <w:rFonts w:ascii="Times New Roman" w:eastAsia="Calibri" w:hAnsi="Times New Roman" w:cs="Calibri"/>
          <w:sz w:val="24"/>
          <w:lang w:eastAsia="ja-JP"/>
        </w:rPr>
        <w:t>%, veselības un aprūpes sektorā – 6.1</w:t>
      </w:r>
      <w:r w:rsidR="00B7686B" w:rsidRPr="00A07F29">
        <w:rPr>
          <w:rFonts w:ascii="Times New Roman" w:eastAsia="Calibri" w:hAnsi="Times New Roman" w:cs="Calibri"/>
          <w:sz w:val="24"/>
          <w:lang w:eastAsia="ja-JP"/>
        </w:rPr>
        <w:t> </w:t>
      </w:r>
      <w:r w:rsidRPr="00A07F29">
        <w:rPr>
          <w:rFonts w:ascii="Times New Roman" w:eastAsia="Calibri" w:hAnsi="Times New Roman" w:cs="Calibri"/>
          <w:sz w:val="24"/>
          <w:lang w:eastAsia="ja-JP"/>
        </w:rPr>
        <w:t xml:space="preserve">%, lauksaimniecībā </w:t>
      </w:r>
      <w:r w:rsidR="00B7686B" w:rsidRPr="00A07F29">
        <w:rPr>
          <w:rFonts w:ascii="Times New Roman" w:eastAsia="Calibri" w:hAnsi="Times New Roman" w:cs="Calibri"/>
          <w:sz w:val="24"/>
          <w:lang w:eastAsia="ja-JP"/>
        </w:rPr>
        <w:t>–</w:t>
      </w:r>
      <w:r w:rsidRPr="00A07F29">
        <w:rPr>
          <w:rFonts w:ascii="Times New Roman" w:eastAsia="Calibri" w:hAnsi="Times New Roman" w:cs="Calibri"/>
          <w:sz w:val="24"/>
          <w:lang w:eastAsia="ja-JP"/>
        </w:rPr>
        <w:t xml:space="preserve"> 9.9</w:t>
      </w:r>
      <w:r w:rsidR="00B7686B" w:rsidRPr="00A07F29">
        <w:rPr>
          <w:rFonts w:ascii="Times New Roman" w:eastAsia="Calibri" w:hAnsi="Times New Roman" w:cs="Calibri"/>
          <w:sz w:val="24"/>
          <w:lang w:eastAsia="ja-JP"/>
        </w:rPr>
        <w:t> </w:t>
      </w:r>
      <w:r w:rsidRPr="00A07F29">
        <w:rPr>
          <w:rFonts w:ascii="Times New Roman" w:eastAsia="Calibri" w:hAnsi="Times New Roman" w:cs="Calibri"/>
          <w:sz w:val="24"/>
          <w:lang w:eastAsia="ja-JP"/>
        </w:rPr>
        <w:t>%, meža nozare – 25</w:t>
      </w:r>
      <w:r w:rsidR="00B7686B" w:rsidRPr="00A07F29">
        <w:rPr>
          <w:rFonts w:ascii="Times New Roman" w:eastAsia="Calibri" w:hAnsi="Times New Roman" w:cs="Calibri"/>
          <w:sz w:val="24"/>
          <w:lang w:eastAsia="ja-JP"/>
        </w:rPr>
        <w:t> </w:t>
      </w:r>
      <w:r w:rsidRPr="00A07F29">
        <w:rPr>
          <w:rFonts w:ascii="Times New Roman" w:eastAsia="Calibri" w:hAnsi="Times New Roman" w:cs="Calibri"/>
          <w:sz w:val="24"/>
          <w:lang w:eastAsia="ja-JP"/>
        </w:rPr>
        <w:t>%.</w:t>
      </w:r>
    </w:p>
    <w:p w14:paraId="6A742F61" w14:textId="3EF077C5" w:rsidR="009072CE" w:rsidRPr="00A07F29" w:rsidRDefault="009072CE" w:rsidP="00212F52">
      <w:pPr>
        <w:spacing w:after="120" w:line="240" w:lineRule="auto"/>
        <w:ind w:firstLine="851"/>
        <w:jc w:val="both"/>
        <w:rPr>
          <w:rFonts w:ascii="Times New Roman" w:eastAsia="Calibri" w:hAnsi="Times New Roman" w:cs="Calibri"/>
          <w:sz w:val="24"/>
          <w:szCs w:val="24"/>
          <w:lang w:eastAsia="ja-JP"/>
        </w:rPr>
      </w:pPr>
      <w:r w:rsidRPr="00A07F29">
        <w:rPr>
          <w:rFonts w:ascii="Times New Roman" w:eastAsia="Calibri" w:hAnsi="Times New Roman" w:cs="Calibri"/>
          <w:sz w:val="24"/>
          <w:szCs w:val="24"/>
          <w:lang w:eastAsia="ja-JP"/>
        </w:rPr>
        <w:t xml:space="preserve">Saskaņā ar aptaujas datiem (Valsts pētījumu programmas </w:t>
      </w:r>
      <w:r w:rsidR="00753AAB" w:rsidRPr="00A07F29">
        <w:rPr>
          <w:rFonts w:ascii="Times New Roman" w:eastAsia="Calibri" w:hAnsi="Times New Roman" w:cs="Calibri"/>
          <w:sz w:val="24"/>
          <w:szCs w:val="24"/>
          <w:lang w:eastAsia="ja-JP"/>
        </w:rPr>
        <w:t>“</w:t>
      </w:r>
      <w:r w:rsidRPr="00A07F29">
        <w:rPr>
          <w:rFonts w:ascii="Times New Roman" w:eastAsia="Calibri" w:hAnsi="Times New Roman" w:cs="Calibri"/>
          <w:sz w:val="24"/>
          <w:szCs w:val="24"/>
          <w:lang w:eastAsia="ja-JP"/>
        </w:rPr>
        <w:t xml:space="preserve">Tautsaimniecības transformācija, gudra izaugsme, pārvaldība un tiesiskais ietvars valsts un sabiedrības ilgtspējīgai attīstībai </w:t>
      </w:r>
      <w:r w:rsidR="00753AAB" w:rsidRPr="00A07F29">
        <w:rPr>
          <w:rFonts w:ascii="Times New Roman" w:eastAsia="Calibri" w:hAnsi="Times New Roman" w:cs="Calibri"/>
          <w:sz w:val="24"/>
          <w:szCs w:val="24"/>
          <w:lang w:eastAsia="ja-JP"/>
        </w:rPr>
        <w:t>–</w:t>
      </w:r>
      <w:r w:rsidRPr="00A07F29">
        <w:rPr>
          <w:rFonts w:ascii="Times New Roman" w:eastAsia="Calibri" w:hAnsi="Times New Roman" w:cs="Calibri"/>
          <w:sz w:val="24"/>
          <w:szCs w:val="24"/>
          <w:lang w:eastAsia="ja-JP"/>
        </w:rPr>
        <w:t xml:space="preserve"> jaunas pieejas ilgtspējīgas zināšanu sabiedrības veidošanai (EKOSOC-LV)” 5.2.9</w:t>
      </w:r>
      <w:r w:rsidR="009B05F5" w:rsidRPr="00A07F29">
        <w:rPr>
          <w:rFonts w:ascii="Times New Roman" w:eastAsia="Calibri" w:hAnsi="Times New Roman" w:cs="Calibri"/>
          <w:sz w:val="24"/>
          <w:szCs w:val="24"/>
          <w:lang w:eastAsia="ja-JP"/>
        </w:rPr>
        <w:t>.</w:t>
      </w:r>
      <w:r w:rsidR="00753AAB" w:rsidRPr="00A07F29">
        <w:rPr>
          <w:rFonts w:ascii="Times New Roman" w:eastAsia="Calibri" w:hAnsi="Times New Roman" w:cs="Calibri"/>
          <w:sz w:val="24"/>
          <w:szCs w:val="24"/>
          <w:lang w:eastAsia="ja-JP"/>
        </w:rPr>
        <w:t> </w:t>
      </w:r>
      <w:r w:rsidRPr="00A07F29">
        <w:rPr>
          <w:rFonts w:ascii="Times New Roman" w:eastAsia="Calibri" w:hAnsi="Times New Roman" w:cs="Calibri"/>
          <w:sz w:val="24"/>
          <w:szCs w:val="24"/>
          <w:lang w:eastAsia="ja-JP"/>
        </w:rPr>
        <w:t xml:space="preserve">apakšprojekta </w:t>
      </w:r>
      <w:r w:rsidR="00753AAB" w:rsidRPr="00A07F29">
        <w:rPr>
          <w:rFonts w:ascii="Times New Roman" w:eastAsia="Calibri" w:hAnsi="Times New Roman" w:cs="Calibri"/>
          <w:sz w:val="24"/>
          <w:szCs w:val="24"/>
          <w:lang w:eastAsia="ja-JP"/>
        </w:rPr>
        <w:t>“</w:t>
      </w:r>
      <w:r w:rsidRPr="00A07F29">
        <w:rPr>
          <w:rFonts w:ascii="Times New Roman" w:eastAsia="Calibri" w:hAnsi="Times New Roman" w:cs="Calibri"/>
          <w:sz w:val="24"/>
          <w:szCs w:val="24"/>
          <w:lang w:eastAsia="ja-JP"/>
        </w:rPr>
        <w:t>Sociālās apziņas izmaiņu ietekme uz ekosistēmas pakalpojumu ilgtspējīgu nodrošinājumu” ietvaros veikta aptauja mājsaimniecībās visā AAA “Augšdaugava” teritorijā, 2014.</w:t>
      </w:r>
      <w:r w:rsidR="00282624" w:rsidRPr="00A07F29">
        <w:rPr>
          <w:rFonts w:ascii="Times New Roman" w:eastAsia="Calibri" w:hAnsi="Times New Roman" w:cs="Calibri"/>
          <w:sz w:val="24"/>
          <w:szCs w:val="24"/>
          <w:lang w:eastAsia="ja-JP"/>
        </w:rPr>
        <w:t> – </w:t>
      </w:r>
      <w:r w:rsidRPr="00A07F29">
        <w:rPr>
          <w:rFonts w:ascii="Times New Roman" w:eastAsia="Calibri" w:hAnsi="Times New Roman" w:cs="Calibri"/>
          <w:sz w:val="24"/>
          <w:szCs w:val="24"/>
          <w:lang w:eastAsia="ja-JP"/>
        </w:rPr>
        <w:t>2015.</w:t>
      </w:r>
      <w:r w:rsidR="00282624" w:rsidRPr="00A07F29">
        <w:rPr>
          <w:rFonts w:ascii="Times New Roman" w:eastAsia="Calibri" w:hAnsi="Times New Roman" w:cs="Calibri"/>
          <w:sz w:val="24"/>
          <w:szCs w:val="24"/>
          <w:lang w:eastAsia="ja-JP"/>
        </w:rPr>
        <w:t> </w:t>
      </w:r>
      <w:r w:rsidRPr="00A07F29">
        <w:rPr>
          <w:rFonts w:ascii="Times New Roman" w:eastAsia="Calibri" w:hAnsi="Times New Roman" w:cs="Calibri"/>
          <w:sz w:val="24"/>
          <w:szCs w:val="24"/>
          <w:lang w:eastAsia="ja-JP"/>
        </w:rPr>
        <w:t xml:space="preserve">gads), daudzi AAA </w:t>
      </w:r>
      <w:r w:rsidR="00282624" w:rsidRPr="00A07F29">
        <w:rPr>
          <w:rFonts w:ascii="Times New Roman" w:eastAsia="Calibri" w:hAnsi="Times New Roman" w:cs="Calibri"/>
          <w:sz w:val="24"/>
          <w:szCs w:val="24"/>
          <w:lang w:eastAsia="ja-JP"/>
        </w:rPr>
        <w:t>“</w:t>
      </w:r>
      <w:r w:rsidR="000875FE" w:rsidRPr="00A07F29">
        <w:rPr>
          <w:rFonts w:ascii="Times New Roman" w:eastAsia="Calibri" w:hAnsi="Times New Roman" w:cs="Calibri"/>
          <w:sz w:val="24"/>
          <w:szCs w:val="24"/>
          <w:lang w:eastAsia="ja-JP"/>
        </w:rPr>
        <w:t>Augšdaugava”</w:t>
      </w:r>
      <w:r w:rsidR="1E08B33F" w:rsidRPr="00A07F29">
        <w:rPr>
          <w:rFonts w:ascii="Times New Roman" w:eastAsia="Calibri" w:hAnsi="Times New Roman" w:cs="Calibri"/>
          <w:sz w:val="24"/>
          <w:szCs w:val="24"/>
          <w:lang w:eastAsia="ja-JP"/>
        </w:rPr>
        <w:t xml:space="preserve"> </w:t>
      </w:r>
      <w:r w:rsidRPr="00A07F29">
        <w:rPr>
          <w:rFonts w:ascii="Times New Roman" w:eastAsia="Calibri" w:hAnsi="Times New Roman" w:cs="Calibri"/>
          <w:sz w:val="24"/>
          <w:szCs w:val="24"/>
          <w:lang w:eastAsia="ja-JP"/>
        </w:rPr>
        <w:t xml:space="preserve">iedzīvotāji strādā savā mājsaimniecībā – piemājas vai zemnieku saimniecībā. Daudzi ir pensijas vecumā vai saņem </w:t>
      </w:r>
      <w:r w:rsidRPr="00A07F29">
        <w:rPr>
          <w:rFonts w:ascii="Times New Roman" w:eastAsia="Calibri" w:hAnsi="Times New Roman" w:cs="Calibri"/>
          <w:sz w:val="24"/>
          <w:szCs w:val="24"/>
          <w:lang w:eastAsia="ja-JP"/>
        </w:rPr>
        <w:lastRenderedPageBreak/>
        <w:t>pabalstus. Tāpat aptaujas dati rāda, ka Daugavpilij tuvāk dzīvojošie dodas uz darbu Daugavpils pilsētā.</w:t>
      </w:r>
    </w:p>
    <w:p w14:paraId="064A825F" w14:textId="14352326" w:rsidR="009072CE" w:rsidRPr="00A07F29" w:rsidRDefault="7C95AB3F" w:rsidP="7C95AB3F">
      <w:pPr>
        <w:spacing w:after="120" w:line="240" w:lineRule="auto"/>
        <w:ind w:firstLine="851"/>
        <w:jc w:val="both"/>
        <w:rPr>
          <w:rFonts w:ascii="Times New Roman" w:eastAsia="Calibri" w:hAnsi="Times New Roman" w:cs="Calibri"/>
          <w:sz w:val="24"/>
          <w:szCs w:val="24"/>
          <w:lang w:eastAsia="ja-JP"/>
        </w:rPr>
      </w:pPr>
      <w:r w:rsidRPr="00A07F29">
        <w:rPr>
          <w:rFonts w:ascii="Times New Roman" w:eastAsia="Calibri" w:hAnsi="Times New Roman" w:cs="Calibri"/>
          <w:sz w:val="24"/>
          <w:szCs w:val="24"/>
          <w:lang w:eastAsia="ja-JP"/>
        </w:rPr>
        <w:t xml:space="preserve">AAA “Augšdaugava” ietilpstošā DP “Daugavas loki” teritorija ir iecienīta tūristu un atpūtnieku vidū, faktiski veidojoties par tūrisma galamērķi. Šeit izvietoti daudzi tūrisma objekti, caur DP izveidoti tūrisma maršruti, arī nesen atjaunotais </w:t>
      </w:r>
      <w:proofErr w:type="spellStart"/>
      <w:r w:rsidRPr="00A07F29">
        <w:rPr>
          <w:rFonts w:ascii="Times New Roman" w:eastAsia="Calibri" w:hAnsi="Times New Roman" w:cs="Calibri"/>
          <w:sz w:val="24"/>
          <w:szCs w:val="24"/>
          <w:lang w:eastAsia="ja-JP"/>
        </w:rPr>
        <w:t>velomaršruts</w:t>
      </w:r>
      <w:proofErr w:type="spellEnd"/>
      <w:r w:rsidRPr="00A07F29">
        <w:rPr>
          <w:rFonts w:ascii="Times New Roman" w:eastAsia="Calibri" w:hAnsi="Times New Roman" w:cs="Calibri"/>
          <w:sz w:val="24"/>
          <w:szCs w:val="24"/>
          <w:lang w:eastAsia="ja-JP"/>
        </w:rPr>
        <w:t xml:space="preserve"> Nr.</w:t>
      </w:r>
      <w:r w:rsidR="005F536B" w:rsidRPr="00A07F29">
        <w:rPr>
          <w:rFonts w:ascii="Times New Roman" w:eastAsia="Calibri" w:hAnsi="Times New Roman" w:cs="Calibri"/>
          <w:sz w:val="24"/>
          <w:szCs w:val="24"/>
          <w:lang w:eastAsia="ja-JP"/>
        </w:rPr>
        <w:t> </w:t>
      </w:r>
      <w:r w:rsidRPr="00A07F29">
        <w:rPr>
          <w:rFonts w:ascii="Times New Roman" w:eastAsia="Calibri" w:hAnsi="Times New Roman" w:cs="Calibri"/>
          <w:sz w:val="24"/>
          <w:szCs w:val="24"/>
          <w:lang w:eastAsia="ja-JP"/>
        </w:rPr>
        <w:t xml:space="preserve">35. Tāpat tūristi bieži apmeklē Krāslavas pilsētu. Pārējā AAA </w:t>
      </w:r>
      <w:r w:rsidR="005F536B" w:rsidRPr="00A07F29">
        <w:rPr>
          <w:rFonts w:ascii="Times New Roman" w:eastAsia="Calibri" w:hAnsi="Times New Roman" w:cs="Calibri"/>
          <w:sz w:val="24"/>
          <w:szCs w:val="24"/>
          <w:lang w:eastAsia="ja-JP"/>
        </w:rPr>
        <w:t>“</w:t>
      </w:r>
      <w:r w:rsidRPr="00A07F29">
        <w:rPr>
          <w:rFonts w:ascii="Times New Roman" w:eastAsia="Calibri" w:hAnsi="Times New Roman" w:cs="Calibri"/>
          <w:sz w:val="24"/>
          <w:szCs w:val="24"/>
          <w:lang w:eastAsia="ja-JP"/>
        </w:rPr>
        <w:t>Augšdaugava” teritorija ir mazāk labiekārtota un arī mazāk apmeklēta. Tūristu uzskaites ir veiktas DP “Daugavas loki” teritorijā, jo pārējā AAA teritorija netiek uzskatīta par tūrismā nozīmīgu. Apkopojot reāli uzskaitītus datus no apmeklētāju elektroniskiem skaitītājiem, tūrisma uzņēmēju atskaitēm, muzeju biļešu un apmeklētāju centru uzskaitēm, DP “Daugavas loki” teritoriju gadā apmeklē vismaz 60</w:t>
      </w:r>
      <w:r w:rsidR="00AE4F4F" w:rsidRPr="00A07F29">
        <w:rPr>
          <w:rFonts w:ascii="Times New Roman" w:eastAsia="Calibri" w:hAnsi="Times New Roman" w:cs="Calibri"/>
          <w:sz w:val="24"/>
          <w:szCs w:val="24"/>
          <w:lang w:eastAsia="ja-JP"/>
        </w:rPr>
        <w:t> </w:t>
      </w:r>
      <w:r w:rsidRPr="00A07F29">
        <w:rPr>
          <w:rFonts w:ascii="Times New Roman" w:eastAsia="Calibri" w:hAnsi="Times New Roman" w:cs="Calibri"/>
          <w:sz w:val="24"/>
          <w:szCs w:val="24"/>
          <w:lang w:eastAsia="ja-JP"/>
        </w:rPr>
        <w:t>000 cilvēku (ap 40</w:t>
      </w:r>
      <w:r w:rsidR="00AE4F4F" w:rsidRPr="00A07F29">
        <w:rPr>
          <w:rFonts w:ascii="Times New Roman" w:eastAsia="Calibri" w:hAnsi="Times New Roman" w:cs="Calibri"/>
          <w:sz w:val="24"/>
          <w:szCs w:val="24"/>
          <w:lang w:eastAsia="ja-JP"/>
        </w:rPr>
        <w:t> </w:t>
      </w:r>
      <w:r w:rsidRPr="00A07F29">
        <w:rPr>
          <w:rFonts w:ascii="Times New Roman" w:eastAsia="Calibri" w:hAnsi="Times New Roman" w:cs="Calibri"/>
          <w:sz w:val="24"/>
          <w:szCs w:val="24"/>
          <w:lang w:eastAsia="ja-JP"/>
        </w:rPr>
        <w:t xml:space="preserve">000 </w:t>
      </w:r>
      <w:r w:rsidR="00DB442E" w:rsidRPr="00A07F29">
        <w:rPr>
          <w:rFonts w:ascii="Times New Roman" w:eastAsia="Calibri" w:hAnsi="Times New Roman" w:cs="Calibri"/>
          <w:sz w:val="24"/>
          <w:szCs w:val="24"/>
          <w:lang w:eastAsia="ja-JP"/>
        </w:rPr>
        <w:t>Augšdaugavas</w:t>
      </w:r>
      <w:r w:rsidRPr="00A07F29">
        <w:rPr>
          <w:rFonts w:ascii="Times New Roman" w:eastAsia="Calibri" w:hAnsi="Times New Roman" w:cs="Calibri"/>
          <w:sz w:val="24"/>
          <w:szCs w:val="24"/>
          <w:lang w:eastAsia="ja-JP"/>
        </w:rPr>
        <w:t xml:space="preserve"> novadā un ap 20</w:t>
      </w:r>
      <w:r w:rsidR="00AE4F4F" w:rsidRPr="00A07F29">
        <w:rPr>
          <w:rFonts w:ascii="Times New Roman" w:eastAsia="Calibri" w:hAnsi="Times New Roman" w:cs="Calibri"/>
          <w:sz w:val="24"/>
          <w:szCs w:val="24"/>
          <w:lang w:eastAsia="ja-JP"/>
        </w:rPr>
        <w:t> </w:t>
      </w:r>
      <w:r w:rsidRPr="00A07F29">
        <w:rPr>
          <w:rFonts w:ascii="Times New Roman" w:eastAsia="Calibri" w:hAnsi="Times New Roman" w:cs="Calibri"/>
          <w:sz w:val="24"/>
          <w:szCs w:val="24"/>
          <w:lang w:eastAsia="ja-JP"/>
        </w:rPr>
        <w:t>000 Krāslavas novadā). Tā kā teritoriju apmeklē arī daudzi tūristi, kas šeit neizmanto pakalpojumus un neiegriežas tūrisma informācijas centros, bet orientējas pēc ceļvežiem un navigācijas, reālais apmeklētāju skaits ir daudz lielāks. Tāpat netiek uzskaitīti vietējie un tuvējo pilsētu iedzīvotāji, kuri apmeklē teritoriju rekreācijas nolūkos – makšķerē, sēņo, ogo, pastaigājas. Tūristu skaitam pēdējos gados ir tendence pieaugt, jo izveidota jauna infrastruktūra.</w:t>
      </w:r>
      <w:r w:rsidR="00C74FB6" w:rsidRPr="00A07F29">
        <w:rPr>
          <w:rFonts w:ascii="Times New Roman" w:eastAsia="Calibri" w:hAnsi="Times New Roman" w:cs="Calibri"/>
          <w:sz w:val="24"/>
          <w:szCs w:val="24"/>
          <w:lang w:eastAsia="ja-JP"/>
        </w:rPr>
        <w:t xml:space="preserve"> </w:t>
      </w:r>
      <w:r w:rsidRPr="00A07F29">
        <w:rPr>
          <w:rFonts w:ascii="Times New Roman" w:eastAsia="Calibri" w:hAnsi="Times New Roman" w:cs="Calibri"/>
          <w:sz w:val="24"/>
          <w:szCs w:val="24"/>
          <w:lang w:eastAsia="ja-JP"/>
        </w:rPr>
        <w:t xml:space="preserve">Īpaši liela interese ir par atjaunoto </w:t>
      </w:r>
      <w:proofErr w:type="spellStart"/>
      <w:r w:rsidRPr="00A07F29">
        <w:rPr>
          <w:rFonts w:ascii="Times New Roman" w:eastAsia="Calibri" w:hAnsi="Times New Roman" w:cs="Calibri"/>
          <w:sz w:val="24"/>
          <w:szCs w:val="24"/>
          <w:lang w:eastAsia="ja-JP"/>
        </w:rPr>
        <w:t>velo</w:t>
      </w:r>
      <w:r w:rsidR="00C74FB6" w:rsidRPr="00A07F29">
        <w:rPr>
          <w:rFonts w:ascii="Times New Roman" w:eastAsia="Calibri" w:hAnsi="Times New Roman" w:cs="Calibri"/>
          <w:sz w:val="24"/>
          <w:szCs w:val="24"/>
          <w:lang w:eastAsia="ja-JP"/>
        </w:rPr>
        <w:t>maršrutu</w:t>
      </w:r>
      <w:proofErr w:type="spellEnd"/>
      <w:r w:rsidR="00C74FB6" w:rsidRPr="00A07F29">
        <w:rPr>
          <w:rFonts w:ascii="Times New Roman" w:eastAsia="Calibri" w:hAnsi="Times New Roman" w:cs="Calibri"/>
          <w:sz w:val="24"/>
          <w:szCs w:val="24"/>
          <w:lang w:eastAsia="ja-JP"/>
        </w:rPr>
        <w:t xml:space="preserve"> </w:t>
      </w:r>
      <w:r w:rsidRPr="00A07F29">
        <w:rPr>
          <w:rFonts w:ascii="Times New Roman" w:eastAsia="Calibri" w:hAnsi="Times New Roman" w:cs="Calibri"/>
          <w:sz w:val="24"/>
          <w:szCs w:val="24"/>
          <w:lang w:eastAsia="ja-JP"/>
        </w:rPr>
        <w:t>Nr.</w:t>
      </w:r>
      <w:r w:rsidR="00B46F5A" w:rsidRPr="00A07F29">
        <w:rPr>
          <w:rFonts w:ascii="Times New Roman" w:eastAsia="Calibri" w:hAnsi="Times New Roman" w:cs="Calibri"/>
          <w:sz w:val="24"/>
          <w:szCs w:val="24"/>
          <w:lang w:eastAsia="ja-JP"/>
        </w:rPr>
        <w:t> </w:t>
      </w:r>
      <w:r w:rsidRPr="00A07F29">
        <w:rPr>
          <w:rFonts w:ascii="Times New Roman" w:eastAsia="Calibri" w:hAnsi="Times New Roman" w:cs="Calibri"/>
          <w:sz w:val="24"/>
          <w:szCs w:val="24"/>
          <w:lang w:eastAsia="ja-JP"/>
        </w:rPr>
        <w:t>35 “Daugavas loki”.</w:t>
      </w:r>
    </w:p>
    <w:p w14:paraId="737819BA" w14:textId="77777777" w:rsidR="009072CE" w:rsidRPr="00A07F29" w:rsidRDefault="009072CE" w:rsidP="00212F52">
      <w:pPr>
        <w:spacing w:after="120" w:line="240" w:lineRule="auto"/>
        <w:ind w:firstLine="851"/>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Daugavas upi izmanto makšķernieki, ir izsniegts arī neliels daudzums licenču murdiem. Mežu teritoriju apmeklē sēņotāji un ogotāji no Daugavpils un Krāslavas, arī vietējie iedzīvotāji saskaņā ar aptaujas datiem labprāt izmanto meža veltes.</w:t>
      </w:r>
    </w:p>
    <w:p w14:paraId="617FDCA5" w14:textId="77777777" w:rsidR="009072CE" w:rsidRPr="00A07F29" w:rsidRDefault="009072CE" w:rsidP="00212F52">
      <w:pPr>
        <w:spacing w:after="120" w:line="240" w:lineRule="auto"/>
        <w:ind w:firstLine="851"/>
        <w:jc w:val="both"/>
        <w:rPr>
          <w:rFonts w:ascii="Times New Roman" w:eastAsia="Calibri" w:hAnsi="Times New Roman" w:cs="Calibri"/>
          <w:sz w:val="24"/>
          <w:lang w:eastAsia="ja-JP"/>
        </w:rPr>
      </w:pPr>
    </w:p>
    <w:p w14:paraId="01408B53" w14:textId="6D99B33C" w:rsidR="009072CE" w:rsidRPr="00A07F29" w:rsidRDefault="009072CE" w:rsidP="00BF62CE">
      <w:pPr>
        <w:pStyle w:val="Heading2"/>
        <w:spacing w:before="120" w:after="120"/>
        <w:ind w:firstLine="0"/>
        <w:jc w:val="center"/>
        <w:rPr>
          <w:rFonts w:ascii="Times New Roman" w:hAnsi="Times New Roman"/>
          <w:b w:val="0"/>
          <w:iCs w:val="0"/>
        </w:rPr>
      </w:pPr>
      <w:bookmarkStart w:id="29" w:name="_Toc183433986"/>
      <w:r w:rsidRPr="00A07F29">
        <w:rPr>
          <w:rFonts w:ascii="Times New Roman" w:hAnsi="Times New Roman"/>
          <w:i w:val="0"/>
        </w:rPr>
        <w:t>3.2. Lauksaimniecība</w:t>
      </w:r>
      <w:bookmarkEnd w:id="29"/>
    </w:p>
    <w:p w14:paraId="242D996A" w14:textId="2897A428" w:rsidR="009072CE" w:rsidRPr="00A07F29" w:rsidRDefault="7C95AB3F" w:rsidP="7C95AB3F">
      <w:pPr>
        <w:spacing w:after="120" w:line="240" w:lineRule="auto"/>
        <w:ind w:firstLine="851"/>
        <w:jc w:val="both"/>
        <w:rPr>
          <w:rFonts w:ascii="Times New Roman" w:eastAsia="Calibri" w:hAnsi="Times New Roman" w:cs="Calibri"/>
          <w:sz w:val="24"/>
          <w:szCs w:val="24"/>
          <w:lang w:eastAsia="ja-JP"/>
        </w:rPr>
      </w:pPr>
      <w:r w:rsidRPr="00A07F29">
        <w:rPr>
          <w:rFonts w:ascii="Times New Roman" w:eastAsia="Calibri" w:hAnsi="Times New Roman" w:cs="Calibri"/>
          <w:sz w:val="24"/>
          <w:szCs w:val="24"/>
          <w:lang w:eastAsia="ja-JP"/>
        </w:rPr>
        <w:t xml:space="preserve">Lauksaimniecības intensitāte AAA </w:t>
      </w:r>
      <w:r w:rsidR="00124DD1" w:rsidRPr="00A07F29">
        <w:rPr>
          <w:rFonts w:ascii="Times New Roman" w:eastAsia="Calibri" w:hAnsi="Times New Roman" w:cs="Calibri"/>
          <w:sz w:val="24"/>
          <w:szCs w:val="24"/>
          <w:lang w:eastAsia="ja-JP"/>
        </w:rPr>
        <w:t>“</w:t>
      </w:r>
      <w:r w:rsidRPr="00A07F29">
        <w:rPr>
          <w:rFonts w:ascii="Times New Roman" w:eastAsia="Calibri" w:hAnsi="Times New Roman" w:cs="Calibri"/>
          <w:sz w:val="24"/>
          <w:szCs w:val="24"/>
          <w:lang w:eastAsia="ja-JP"/>
        </w:rPr>
        <w:t xml:space="preserve">Augšdaugava” ir dažāda. DP </w:t>
      </w:r>
      <w:r w:rsidR="00124DD1" w:rsidRPr="00A07F29">
        <w:rPr>
          <w:rFonts w:ascii="Times New Roman" w:eastAsia="Calibri" w:hAnsi="Times New Roman" w:cs="Calibri"/>
          <w:sz w:val="24"/>
          <w:szCs w:val="24"/>
          <w:lang w:eastAsia="ja-JP"/>
        </w:rPr>
        <w:t>“</w:t>
      </w:r>
      <w:r w:rsidRPr="00A07F29">
        <w:rPr>
          <w:rFonts w:ascii="Times New Roman" w:eastAsia="Calibri" w:hAnsi="Times New Roman" w:cs="Calibri"/>
          <w:sz w:val="24"/>
          <w:szCs w:val="24"/>
          <w:lang w:eastAsia="ja-JP"/>
        </w:rPr>
        <w:t xml:space="preserve">Daugavas loki” teritorijā lauksaimniecības ietekme neliela, jo nabadzīgās augsnes un daudzviet ūdens trūkums ir šķēršļi intensīvai lauksaimnieciskai darbībai. Tāpat nelielie zemes īpašumi nedod iespēju attīstīt lielas saimniecības. Toties meliorētajās platībās (piemēram, pie </w:t>
      </w:r>
      <w:proofErr w:type="spellStart"/>
      <w:r w:rsidRPr="00A07F29">
        <w:rPr>
          <w:rFonts w:ascii="Times New Roman" w:eastAsia="Calibri" w:hAnsi="Times New Roman" w:cs="Calibri"/>
          <w:sz w:val="24"/>
          <w:szCs w:val="24"/>
          <w:lang w:eastAsia="ja-JP"/>
        </w:rPr>
        <w:t>Lupandiem</w:t>
      </w:r>
      <w:proofErr w:type="spellEnd"/>
      <w:r w:rsidRPr="00A07F29">
        <w:rPr>
          <w:rFonts w:ascii="Times New Roman" w:eastAsia="Calibri" w:hAnsi="Times New Roman" w:cs="Calibri"/>
          <w:sz w:val="24"/>
          <w:szCs w:val="24"/>
          <w:lang w:eastAsia="ja-JP"/>
        </w:rPr>
        <w:t>, Vecsalienas, Salienas, Kaplavas</w:t>
      </w:r>
      <w:r w:rsidR="00A62B16" w:rsidRPr="00A07F29">
        <w:rPr>
          <w:rFonts w:ascii="Times New Roman" w:eastAsia="Calibri" w:hAnsi="Times New Roman" w:cs="Calibri"/>
          <w:sz w:val="24"/>
          <w:szCs w:val="24"/>
          <w:lang w:eastAsia="ja-JP"/>
        </w:rPr>
        <w:t>, Kalniešu, Piedrujas</w:t>
      </w:r>
      <w:r w:rsidRPr="00A07F29">
        <w:rPr>
          <w:rFonts w:ascii="Times New Roman" w:eastAsia="Calibri" w:hAnsi="Times New Roman" w:cs="Calibri"/>
          <w:sz w:val="24"/>
          <w:szCs w:val="24"/>
          <w:lang w:eastAsia="ja-JP"/>
        </w:rPr>
        <w:t xml:space="preserve"> pagastā) lauki tiek intensīvi apsaimniekoti, </w:t>
      </w:r>
      <w:r w:rsidR="00A62B16" w:rsidRPr="00A07F29">
        <w:rPr>
          <w:rFonts w:ascii="Times New Roman" w:eastAsia="Calibri" w:hAnsi="Times New Roman" w:cs="Calibri"/>
          <w:sz w:val="24"/>
          <w:szCs w:val="24"/>
          <w:lang w:eastAsia="ja-JP"/>
        </w:rPr>
        <w:t xml:space="preserve">t.sk. </w:t>
      </w:r>
      <w:r w:rsidRPr="00A07F29">
        <w:rPr>
          <w:rFonts w:ascii="Times New Roman" w:eastAsia="Calibri" w:hAnsi="Times New Roman" w:cs="Calibri"/>
          <w:sz w:val="24"/>
          <w:szCs w:val="24"/>
          <w:lang w:eastAsia="ja-JP"/>
        </w:rPr>
        <w:t>arī audzējot kukurūzu biogāzes iegūšanai. Kā pozitīvs faktors un attīstība</w:t>
      </w:r>
      <w:r w:rsidR="00BE012D" w:rsidRPr="00A07F29">
        <w:rPr>
          <w:rFonts w:ascii="Times New Roman" w:eastAsia="Calibri" w:hAnsi="Times New Roman" w:cs="Calibri"/>
          <w:sz w:val="24"/>
          <w:szCs w:val="24"/>
          <w:lang w:eastAsia="ja-JP"/>
        </w:rPr>
        <w:t>s</w:t>
      </w:r>
      <w:r w:rsidRPr="00A07F29">
        <w:rPr>
          <w:rFonts w:ascii="Times New Roman" w:eastAsia="Calibri" w:hAnsi="Times New Roman" w:cs="Calibri"/>
          <w:sz w:val="24"/>
          <w:szCs w:val="24"/>
          <w:lang w:eastAsia="ja-JP"/>
        </w:rPr>
        <w:t xml:space="preserve"> iespēja jāmin lielais bioloģisko lauksaimnieku īpatsvars Vecsalienas un Salienas pagastos, kā arī Ūdrīšu pagasta zemnieku saimniecību </w:t>
      </w:r>
      <w:r w:rsidR="00BE012D" w:rsidRPr="00A07F29">
        <w:rPr>
          <w:rFonts w:ascii="Times New Roman" w:eastAsia="Calibri" w:hAnsi="Times New Roman" w:cs="Calibri"/>
          <w:sz w:val="24"/>
          <w:szCs w:val="24"/>
          <w:lang w:eastAsia="ja-JP"/>
        </w:rPr>
        <w:t>“</w:t>
      </w:r>
      <w:r w:rsidRPr="00A07F29">
        <w:rPr>
          <w:rFonts w:ascii="Times New Roman" w:eastAsia="Calibri" w:hAnsi="Times New Roman" w:cs="Calibri"/>
          <w:sz w:val="24"/>
          <w:szCs w:val="24"/>
          <w:lang w:eastAsia="ja-JP"/>
        </w:rPr>
        <w:t>Kurmīši”, kas audzē ārstniecības augus.</w:t>
      </w:r>
    </w:p>
    <w:p w14:paraId="04633C13" w14:textId="0645E6F5" w:rsidR="009072CE" w:rsidRPr="00A07F29" w:rsidRDefault="009072CE" w:rsidP="00713B38">
      <w:pPr>
        <w:spacing w:after="120" w:line="240" w:lineRule="auto"/>
        <w:ind w:firstLine="851"/>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Saskaņā ar LAD datiem 2018.</w:t>
      </w:r>
      <w:r w:rsidR="00EE2F70" w:rsidRPr="00A07F29">
        <w:rPr>
          <w:rFonts w:ascii="Times New Roman" w:eastAsia="Calibri" w:hAnsi="Times New Roman" w:cs="Calibri"/>
          <w:sz w:val="24"/>
          <w:lang w:eastAsia="ja-JP"/>
        </w:rPr>
        <w:t> </w:t>
      </w:r>
      <w:r w:rsidRPr="00A07F29">
        <w:rPr>
          <w:rFonts w:ascii="Times New Roman" w:eastAsia="Calibri" w:hAnsi="Times New Roman" w:cs="Calibri"/>
          <w:sz w:val="24"/>
          <w:lang w:eastAsia="ja-JP"/>
        </w:rPr>
        <w:t>gadā AAA “Augšdaugava” teritorijā atbalsta maksājumiem no</w:t>
      </w:r>
      <w:r w:rsidRPr="00A07F29">
        <w:rPr>
          <w:rFonts w:ascii="Times New Roman" w:eastAsia="Calibri" w:hAnsi="Times New Roman" w:cs="Calibri"/>
          <w:sz w:val="24"/>
        </w:rPr>
        <w:t xml:space="preserve"> </w:t>
      </w:r>
      <w:r w:rsidRPr="00A07F29">
        <w:rPr>
          <w:rFonts w:ascii="Times New Roman" w:eastAsia="Calibri" w:hAnsi="Times New Roman" w:cs="Calibri"/>
          <w:sz w:val="24"/>
          <w:lang w:eastAsia="ja-JP"/>
        </w:rPr>
        <w:t>21</w:t>
      </w:r>
      <w:r w:rsidR="00BC77AC" w:rsidRPr="00A07F29">
        <w:rPr>
          <w:rFonts w:ascii="Times New Roman" w:eastAsia="Calibri" w:hAnsi="Times New Roman" w:cs="Calibri"/>
          <w:sz w:val="24"/>
          <w:lang w:eastAsia="ja-JP"/>
        </w:rPr>
        <w:t> </w:t>
      </w:r>
      <w:r w:rsidRPr="00A07F29">
        <w:rPr>
          <w:rFonts w:ascii="Times New Roman" w:eastAsia="Calibri" w:hAnsi="Times New Roman" w:cs="Calibri"/>
          <w:sz w:val="24"/>
          <w:lang w:eastAsia="ja-JP"/>
        </w:rPr>
        <w:t>383,36</w:t>
      </w:r>
      <w:r w:rsidR="00EE2F70" w:rsidRPr="00A07F29">
        <w:rPr>
          <w:rFonts w:ascii="Times New Roman" w:eastAsia="Calibri" w:hAnsi="Times New Roman" w:cs="Calibri"/>
          <w:sz w:val="24"/>
          <w:lang w:eastAsia="ja-JP"/>
        </w:rPr>
        <w:t> </w:t>
      </w:r>
      <w:r w:rsidRPr="00A07F29">
        <w:rPr>
          <w:rFonts w:ascii="Times New Roman" w:eastAsia="Calibri" w:hAnsi="Times New Roman" w:cs="Calibri"/>
          <w:sz w:val="24"/>
          <w:lang w:eastAsia="ja-JP"/>
        </w:rPr>
        <w:t>ha esošās lauksaimniecības zemes pieteikti tikai 12</w:t>
      </w:r>
      <w:r w:rsidR="00BC77AC" w:rsidRPr="00A07F29">
        <w:rPr>
          <w:rFonts w:ascii="Times New Roman" w:eastAsia="Calibri" w:hAnsi="Times New Roman" w:cs="Calibri"/>
          <w:sz w:val="24"/>
          <w:lang w:eastAsia="ja-JP"/>
        </w:rPr>
        <w:t> </w:t>
      </w:r>
      <w:r w:rsidRPr="00A07F29">
        <w:rPr>
          <w:rFonts w:ascii="Times New Roman" w:eastAsia="Calibri" w:hAnsi="Times New Roman" w:cs="Calibri"/>
          <w:sz w:val="24"/>
          <w:lang w:eastAsia="ja-JP"/>
        </w:rPr>
        <w:t>705,</w:t>
      </w:r>
      <w:r w:rsidR="00BC77AC" w:rsidRPr="00A07F29">
        <w:rPr>
          <w:rFonts w:ascii="Times New Roman" w:eastAsia="Calibri" w:hAnsi="Times New Roman" w:cs="Calibri"/>
          <w:sz w:val="24"/>
          <w:lang w:eastAsia="ja-JP"/>
        </w:rPr>
        <w:t>6</w:t>
      </w:r>
      <w:r w:rsidR="00EE2F70" w:rsidRPr="00A07F29">
        <w:rPr>
          <w:rFonts w:ascii="Times New Roman" w:eastAsia="Calibri" w:hAnsi="Times New Roman" w:cs="Calibri"/>
          <w:sz w:val="24"/>
          <w:lang w:eastAsia="ja-JP"/>
        </w:rPr>
        <w:t> </w:t>
      </w:r>
      <w:r w:rsidRPr="00A07F29">
        <w:rPr>
          <w:rFonts w:ascii="Times New Roman" w:eastAsia="Calibri" w:hAnsi="Times New Roman" w:cs="Calibri"/>
          <w:sz w:val="24"/>
          <w:lang w:eastAsia="ja-JP"/>
        </w:rPr>
        <w:t>ha 5742 poligonos, tātad vidējā lauka poligona platība ir 2,21</w:t>
      </w:r>
      <w:r w:rsidR="00EE2F70" w:rsidRPr="00A07F29">
        <w:rPr>
          <w:rFonts w:ascii="Times New Roman" w:eastAsia="Calibri" w:hAnsi="Times New Roman" w:cs="Calibri"/>
          <w:sz w:val="24"/>
          <w:lang w:eastAsia="ja-JP"/>
        </w:rPr>
        <w:t> </w:t>
      </w:r>
      <w:r w:rsidRPr="00A07F29">
        <w:rPr>
          <w:rFonts w:ascii="Times New Roman" w:eastAsia="Calibri" w:hAnsi="Times New Roman" w:cs="Calibri"/>
          <w:sz w:val="24"/>
          <w:lang w:eastAsia="ja-JP"/>
        </w:rPr>
        <w:t xml:space="preserve">ha, kas ir samērā neliela. Tas atbilst pieņēmumam, ka daudz lauksaimniecības zemju teritorijā ir neliela izmēra un fragmentētas (izņemot lielākos meliorētos laukus). Tāpat var secināt, ka gandrīz puse </w:t>
      </w:r>
      <w:r w:rsidR="00A14E30" w:rsidRPr="00A07F29">
        <w:rPr>
          <w:rFonts w:ascii="Times New Roman" w:eastAsia="Calibri" w:hAnsi="Times New Roman" w:cs="Calibri"/>
          <w:sz w:val="24"/>
          <w:lang w:eastAsia="ja-JP"/>
        </w:rPr>
        <w:t>lauksaimniecībā izmantojamo zemju</w:t>
      </w:r>
      <w:r w:rsidRPr="00A07F29">
        <w:rPr>
          <w:rFonts w:ascii="Times New Roman" w:eastAsia="Calibri" w:hAnsi="Times New Roman" w:cs="Calibri"/>
          <w:sz w:val="24"/>
          <w:lang w:eastAsia="ja-JP"/>
        </w:rPr>
        <w:t xml:space="preserve"> netiek apsaimniekotas vai neatbilst LAD nosacījumiem (nav labā lauksaimniecības stāvoklī).</w:t>
      </w:r>
      <w:r w:rsidR="00BC77AC" w:rsidRPr="00A07F29">
        <w:rPr>
          <w:rFonts w:ascii="Times New Roman" w:eastAsia="Calibri" w:hAnsi="Times New Roman" w:cs="Calibri"/>
          <w:sz w:val="24"/>
          <w:lang w:eastAsia="ja-JP"/>
        </w:rPr>
        <w:t xml:space="preserve"> 2020.</w:t>
      </w:r>
      <w:r w:rsidR="00A35C51" w:rsidRPr="00A07F29">
        <w:rPr>
          <w:rFonts w:ascii="Times New Roman" w:eastAsia="Calibri" w:hAnsi="Times New Roman" w:cs="Calibri"/>
          <w:sz w:val="24"/>
          <w:lang w:eastAsia="ja-JP"/>
        </w:rPr>
        <w:t> </w:t>
      </w:r>
      <w:r w:rsidR="00BC77AC" w:rsidRPr="00A07F29">
        <w:rPr>
          <w:rFonts w:ascii="Times New Roman" w:eastAsia="Calibri" w:hAnsi="Times New Roman" w:cs="Calibri"/>
          <w:sz w:val="24"/>
          <w:lang w:eastAsia="ja-JP"/>
        </w:rPr>
        <w:t xml:space="preserve">gadā atbalsta maksājumiem pieteiktā </w:t>
      </w:r>
      <w:r w:rsidR="00CB6AE1" w:rsidRPr="00A07F29">
        <w:rPr>
          <w:rFonts w:ascii="Times New Roman" w:eastAsia="Calibri" w:hAnsi="Times New Roman" w:cs="Calibri"/>
          <w:sz w:val="24"/>
          <w:lang w:eastAsia="ja-JP"/>
        </w:rPr>
        <w:t xml:space="preserve">lauksaimniecības zemes platība </w:t>
      </w:r>
      <w:r w:rsidR="00BC77AC" w:rsidRPr="00A07F29">
        <w:rPr>
          <w:rFonts w:ascii="Times New Roman" w:eastAsia="Calibri" w:hAnsi="Times New Roman" w:cs="Calibri"/>
          <w:sz w:val="24"/>
          <w:lang w:eastAsia="ja-JP"/>
        </w:rPr>
        <w:t>ir palielinājusies un sasniedz 13 </w:t>
      </w:r>
      <w:r w:rsidR="00CB6AE1" w:rsidRPr="00A07F29">
        <w:rPr>
          <w:rFonts w:ascii="Times New Roman" w:eastAsia="Calibri" w:hAnsi="Times New Roman" w:cs="Calibri"/>
          <w:sz w:val="24"/>
          <w:lang w:eastAsia="ja-JP"/>
        </w:rPr>
        <w:t>258,9</w:t>
      </w:r>
      <w:r w:rsidR="00A35C51" w:rsidRPr="00A07F29">
        <w:rPr>
          <w:rFonts w:ascii="Times New Roman" w:eastAsia="Calibri" w:hAnsi="Times New Roman" w:cs="Calibri"/>
          <w:sz w:val="24"/>
          <w:lang w:eastAsia="ja-JP"/>
        </w:rPr>
        <w:t> </w:t>
      </w:r>
      <w:r w:rsidR="00CB6AE1" w:rsidRPr="00A07F29">
        <w:rPr>
          <w:rFonts w:ascii="Times New Roman" w:eastAsia="Calibri" w:hAnsi="Times New Roman" w:cs="Calibri"/>
          <w:sz w:val="24"/>
          <w:lang w:eastAsia="ja-JP"/>
        </w:rPr>
        <w:t>ha. Tāpat kā 2018.</w:t>
      </w:r>
      <w:r w:rsidR="00A35C51" w:rsidRPr="00A07F29">
        <w:rPr>
          <w:rFonts w:ascii="Times New Roman" w:eastAsia="Calibri" w:hAnsi="Times New Roman" w:cs="Calibri"/>
          <w:sz w:val="24"/>
          <w:lang w:eastAsia="ja-JP"/>
        </w:rPr>
        <w:t> </w:t>
      </w:r>
      <w:r w:rsidR="00CB6AE1" w:rsidRPr="00A07F29">
        <w:rPr>
          <w:rFonts w:ascii="Times New Roman" w:eastAsia="Calibri" w:hAnsi="Times New Roman" w:cs="Calibri"/>
          <w:sz w:val="24"/>
          <w:lang w:eastAsia="ja-JP"/>
        </w:rPr>
        <w:t xml:space="preserve">gadā </w:t>
      </w:r>
      <w:r w:rsidR="00713B38" w:rsidRPr="00A07F29">
        <w:rPr>
          <w:rFonts w:ascii="Times New Roman" w:eastAsia="Calibri" w:hAnsi="Times New Roman" w:cs="Calibri"/>
          <w:sz w:val="24"/>
          <w:lang w:eastAsia="ja-JP"/>
        </w:rPr>
        <w:t xml:space="preserve">vislielākās </w:t>
      </w:r>
      <w:r w:rsidR="00CB6AE1" w:rsidRPr="00A07F29">
        <w:rPr>
          <w:rFonts w:ascii="Times New Roman" w:eastAsia="Calibri" w:hAnsi="Times New Roman" w:cs="Calibri"/>
          <w:sz w:val="24"/>
          <w:lang w:eastAsia="ja-JP"/>
        </w:rPr>
        <w:t xml:space="preserve">atbalstam </w:t>
      </w:r>
      <w:r w:rsidR="00713B38" w:rsidRPr="00A07F29">
        <w:rPr>
          <w:rFonts w:ascii="Times New Roman" w:eastAsia="Calibri" w:hAnsi="Times New Roman" w:cs="Calibri"/>
          <w:sz w:val="24"/>
          <w:lang w:eastAsia="ja-JP"/>
        </w:rPr>
        <w:t>pieteiktās platības aizņem zālāji un graudaugi, taču graudaugu platība ir palielinājusies, bet zālāju platība – samazinājusies</w:t>
      </w:r>
      <w:r w:rsidR="00CB6AE1" w:rsidRPr="00A07F29">
        <w:rPr>
          <w:rFonts w:ascii="Times New Roman" w:eastAsia="Calibri" w:hAnsi="Times New Roman" w:cs="Calibri"/>
          <w:sz w:val="24"/>
          <w:lang w:eastAsia="ja-JP"/>
        </w:rPr>
        <w:t xml:space="preserve"> (</w:t>
      </w:r>
      <w:r w:rsidR="00902BF7" w:rsidRPr="00A07F29">
        <w:rPr>
          <w:rFonts w:ascii="Times New Roman" w:eastAsia="Calibri" w:hAnsi="Times New Roman" w:cs="Calibri"/>
          <w:sz w:val="24"/>
          <w:lang w:eastAsia="ja-JP"/>
        </w:rPr>
        <w:t xml:space="preserve">skat. </w:t>
      </w:r>
      <w:r w:rsidR="00CB6AE1" w:rsidRPr="00A07F29">
        <w:rPr>
          <w:rFonts w:ascii="Times New Roman" w:eastAsia="Calibri" w:hAnsi="Times New Roman" w:cs="Calibri"/>
          <w:sz w:val="24"/>
          <w:lang w:eastAsia="ja-JP"/>
        </w:rPr>
        <w:t>3.2.1.</w:t>
      </w:r>
      <w:r w:rsidR="00902BF7" w:rsidRPr="00A07F29">
        <w:rPr>
          <w:rFonts w:ascii="Times New Roman" w:eastAsia="Calibri" w:hAnsi="Times New Roman" w:cs="Calibri"/>
          <w:sz w:val="24"/>
          <w:lang w:eastAsia="ja-JP"/>
        </w:rPr>
        <w:t> </w:t>
      </w:r>
      <w:r w:rsidR="00CB6AE1" w:rsidRPr="00A07F29">
        <w:rPr>
          <w:rFonts w:ascii="Times New Roman" w:eastAsia="Calibri" w:hAnsi="Times New Roman" w:cs="Calibri"/>
          <w:sz w:val="24"/>
          <w:lang w:eastAsia="ja-JP"/>
        </w:rPr>
        <w:t>tabula).</w:t>
      </w:r>
    </w:p>
    <w:p w14:paraId="047277B6" w14:textId="3903D534" w:rsidR="00DF7325" w:rsidRPr="00A07F29" w:rsidRDefault="00CA1E10" w:rsidP="00EB0C9B">
      <w:pPr>
        <w:keepNext/>
        <w:spacing w:before="240" w:after="120" w:line="240" w:lineRule="auto"/>
        <w:jc w:val="center"/>
        <w:rPr>
          <w:rFonts w:ascii="Times New Roman" w:eastAsia="Calibri" w:hAnsi="Times New Roman" w:cs="Calibri"/>
          <w:sz w:val="24"/>
          <w:lang w:eastAsia="ja-JP"/>
        </w:rPr>
      </w:pPr>
      <w:r w:rsidRPr="00A07F29">
        <w:rPr>
          <w:rFonts w:ascii="Times New Roman" w:eastAsia="Calibri" w:hAnsi="Times New Roman" w:cs="Calibri"/>
          <w:sz w:val="24"/>
          <w:lang w:eastAsia="ja-JP"/>
        </w:rPr>
        <w:lastRenderedPageBreak/>
        <w:t>3.2.1.</w:t>
      </w:r>
      <w:r w:rsidR="00902BF7" w:rsidRPr="00A07F29">
        <w:rPr>
          <w:rFonts w:ascii="Times New Roman" w:eastAsia="Calibri" w:hAnsi="Times New Roman" w:cs="Calibri"/>
          <w:sz w:val="24"/>
          <w:lang w:eastAsia="ja-JP"/>
        </w:rPr>
        <w:t> </w:t>
      </w:r>
      <w:r w:rsidRPr="00A07F29">
        <w:rPr>
          <w:rFonts w:ascii="Times New Roman" w:eastAsia="Calibri" w:hAnsi="Times New Roman" w:cs="Calibri"/>
          <w:sz w:val="24"/>
          <w:lang w:eastAsia="ja-JP"/>
        </w:rPr>
        <w:t xml:space="preserve">tabula. </w:t>
      </w:r>
      <w:r w:rsidR="00BC77AC" w:rsidRPr="00A07F29">
        <w:rPr>
          <w:rFonts w:ascii="Times New Roman" w:eastAsia="Calibri" w:hAnsi="Times New Roman" w:cs="Calibri"/>
          <w:sz w:val="24"/>
          <w:lang w:eastAsia="ja-JP"/>
        </w:rPr>
        <w:t>AAA “Augšdaugava” teritorijā audzētie k</w:t>
      </w:r>
      <w:r w:rsidRPr="00A07F29">
        <w:rPr>
          <w:rFonts w:ascii="Times New Roman" w:eastAsia="Calibri" w:hAnsi="Times New Roman" w:cs="Calibri"/>
          <w:sz w:val="24"/>
          <w:lang w:eastAsia="ja-JP"/>
        </w:rPr>
        <w:t>ultūraugi 2018. un 2020.</w:t>
      </w:r>
      <w:r w:rsidR="00902BF7" w:rsidRPr="00A07F29">
        <w:rPr>
          <w:rFonts w:ascii="Times New Roman" w:eastAsia="Calibri" w:hAnsi="Times New Roman" w:cs="Calibri"/>
          <w:sz w:val="24"/>
          <w:lang w:eastAsia="ja-JP"/>
        </w:rPr>
        <w:t> </w:t>
      </w:r>
      <w:r w:rsidRPr="00A07F29">
        <w:rPr>
          <w:rFonts w:ascii="Times New Roman" w:eastAsia="Calibri" w:hAnsi="Times New Roman" w:cs="Calibri"/>
          <w:sz w:val="24"/>
          <w:lang w:eastAsia="ja-JP"/>
        </w:rPr>
        <w:t xml:space="preserve">gadā </w:t>
      </w:r>
      <w:r w:rsidR="00BC77AC" w:rsidRPr="00A07F29">
        <w:rPr>
          <w:rFonts w:ascii="Times New Roman" w:eastAsia="Calibri" w:hAnsi="Times New Roman" w:cs="Calibri"/>
          <w:sz w:val="24"/>
          <w:lang w:eastAsia="ja-JP"/>
        </w:rPr>
        <w:t xml:space="preserve">atbalstam </w:t>
      </w:r>
      <w:r w:rsidRPr="00A07F29">
        <w:rPr>
          <w:rFonts w:ascii="Times New Roman" w:eastAsia="Calibri" w:hAnsi="Times New Roman" w:cs="Calibri"/>
          <w:sz w:val="24"/>
          <w:lang w:eastAsia="ja-JP"/>
        </w:rPr>
        <w:t>pieteiktajās lauksaimniecības zemes platībās</w:t>
      </w:r>
      <w:r w:rsidR="00BC77AC" w:rsidRPr="00A07F29">
        <w:rPr>
          <w:rFonts w:ascii="Times New Roman" w:eastAsia="Calibri" w:hAnsi="Times New Roman" w:cs="Calibri"/>
          <w:sz w:val="24"/>
          <w:lang w:eastAsia="ja-JP"/>
        </w:rPr>
        <w:t xml:space="preserve"> (LAD</w:t>
      </w:r>
      <w:r w:rsidR="001D2268">
        <w:rPr>
          <w:rFonts w:ascii="Times New Roman" w:eastAsia="Calibri" w:hAnsi="Times New Roman" w:cs="Calibri"/>
          <w:sz w:val="24"/>
          <w:lang w:eastAsia="ja-JP"/>
        </w:rPr>
        <w:t xml:space="preserve"> dati</w:t>
      </w:r>
      <w:r w:rsidR="00902BF7" w:rsidRPr="00A07F29">
        <w:rPr>
          <w:rFonts w:ascii="Times New Roman" w:eastAsia="Calibri" w:hAnsi="Times New Roman" w:cs="Calibri"/>
          <w:sz w:val="24"/>
          <w:lang w:eastAsia="ja-JP"/>
        </w:rPr>
        <w:t>,</w:t>
      </w:r>
      <w:r w:rsidR="00BC77AC" w:rsidRPr="00A07F29">
        <w:rPr>
          <w:rFonts w:ascii="Times New Roman" w:eastAsia="Calibri" w:hAnsi="Times New Roman" w:cs="Calibri"/>
          <w:sz w:val="24"/>
          <w:lang w:eastAsia="ja-JP"/>
        </w:rPr>
        <w:t xml:space="preserve"> 2018, 2020)</w:t>
      </w:r>
      <w:r w:rsidR="00A62DDE" w:rsidRPr="00A07F29">
        <w:rPr>
          <w:rFonts w:ascii="Times New Roman" w:eastAsia="Calibri" w:hAnsi="Times New Roman" w:cs="Calibri"/>
          <w:sz w:val="24"/>
          <w:lang w:eastAsia="ja-JP"/>
        </w:rPr>
        <w:t>.</w:t>
      </w:r>
    </w:p>
    <w:tbl>
      <w:tblPr>
        <w:tblW w:w="9114" w:type="dxa"/>
        <w:jc w:val="center"/>
        <w:tblLook w:val="04A0" w:firstRow="1" w:lastRow="0" w:firstColumn="1" w:lastColumn="0" w:noHBand="0" w:noVBand="1"/>
      </w:tblPr>
      <w:tblGrid>
        <w:gridCol w:w="2547"/>
        <w:gridCol w:w="1417"/>
        <w:gridCol w:w="1325"/>
        <w:gridCol w:w="2380"/>
        <w:gridCol w:w="1445"/>
      </w:tblGrid>
      <w:tr w:rsidR="00CA1E10" w:rsidRPr="00A07F29" w14:paraId="20955D0D" w14:textId="77777777" w:rsidTr="00CA1E10">
        <w:trPr>
          <w:trHeight w:val="288"/>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820D29" w14:textId="77777777" w:rsidR="00F0206E" w:rsidRPr="00A07F29" w:rsidRDefault="00F0206E" w:rsidP="00EB0C9B">
            <w:pPr>
              <w:keepNext/>
              <w:spacing w:after="0" w:line="240" w:lineRule="auto"/>
              <w:rPr>
                <w:rFonts w:ascii="Times New Roman" w:eastAsia="Times New Roman" w:hAnsi="Times New Roman" w:cs="Times New Roman"/>
                <w:b/>
                <w:color w:val="000000"/>
                <w:sz w:val="20"/>
                <w:szCs w:val="20"/>
              </w:rPr>
            </w:pPr>
            <w:r w:rsidRPr="00A07F29">
              <w:rPr>
                <w:rFonts w:ascii="Times New Roman" w:eastAsia="Times New Roman" w:hAnsi="Times New Roman" w:cs="Times New Roman"/>
                <w:b/>
                <w:color w:val="000000"/>
                <w:sz w:val="20"/>
                <w:szCs w:val="20"/>
              </w:rPr>
              <w:t>Kultūraugu grupas</w:t>
            </w:r>
          </w:p>
        </w:tc>
        <w:tc>
          <w:tcPr>
            <w:tcW w:w="1417" w:type="dxa"/>
            <w:tcBorders>
              <w:top w:val="single" w:sz="4" w:space="0" w:color="auto"/>
              <w:left w:val="nil"/>
              <w:bottom w:val="single" w:sz="4" w:space="0" w:color="auto"/>
              <w:right w:val="single" w:sz="4" w:space="0" w:color="auto"/>
            </w:tcBorders>
            <w:vAlign w:val="center"/>
          </w:tcPr>
          <w:p w14:paraId="1AADB380" w14:textId="7D53064F" w:rsidR="00F0206E" w:rsidRPr="00A07F29" w:rsidRDefault="00F0206E" w:rsidP="00EB0C9B">
            <w:pPr>
              <w:keepNext/>
              <w:spacing w:after="0" w:line="240" w:lineRule="auto"/>
              <w:jc w:val="center"/>
              <w:rPr>
                <w:rFonts w:ascii="Times New Roman" w:eastAsia="Times New Roman" w:hAnsi="Times New Roman" w:cs="Times New Roman"/>
                <w:b/>
                <w:color w:val="000000"/>
                <w:sz w:val="20"/>
                <w:szCs w:val="20"/>
              </w:rPr>
            </w:pPr>
            <w:r w:rsidRPr="00A07F29">
              <w:rPr>
                <w:rFonts w:ascii="Times New Roman" w:eastAsia="Times New Roman" w:hAnsi="Times New Roman" w:cs="Times New Roman"/>
                <w:b/>
                <w:color w:val="000000"/>
                <w:sz w:val="20"/>
                <w:szCs w:val="20"/>
              </w:rPr>
              <w:t>Platība (ha), 2018.</w:t>
            </w:r>
          </w:p>
        </w:tc>
        <w:tc>
          <w:tcPr>
            <w:tcW w:w="13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3FCFB6" w14:textId="16F79977" w:rsidR="00F0206E" w:rsidRPr="00A07F29" w:rsidRDefault="00F0206E" w:rsidP="00EB0C9B">
            <w:pPr>
              <w:keepNext/>
              <w:spacing w:after="0" w:line="240" w:lineRule="auto"/>
              <w:jc w:val="center"/>
              <w:rPr>
                <w:rFonts w:ascii="Times New Roman" w:eastAsia="Times New Roman" w:hAnsi="Times New Roman" w:cs="Times New Roman"/>
                <w:b/>
                <w:color w:val="000000"/>
                <w:sz w:val="20"/>
                <w:szCs w:val="20"/>
              </w:rPr>
            </w:pPr>
            <w:r w:rsidRPr="00A07F29">
              <w:rPr>
                <w:rFonts w:ascii="Times New Roman" w:eastAsia="Times New Roman" w:hAnsi="Times New Roman" w:cs="Times New Roman"/>
                <w:b/>
                <w:color w:val="000000"/>
                <w:sz w:val="20"/>
                <w:szCs w:val="20"/>
              </w:rPr>
              <w:t>Platība (ha), 2020.</w:t>
            </w:r>
          </w:p>
        </w:tc>
        <w:tc>
          <w:tcPr>
            <w:tcW w:w="2380" w:type="dxa"/>
            <w:tcBorders>
              <w:top w:val="single" w:sz="4" w:space="0" w:color="auto"/>
              <w:left w:val="nil"/>
              <w:bottom w:val="single" w:sz="4" w:space="0" w:color="auto"/>
              <w:right w:val="single" w:sz="4" w:space="0" w:color="auto"/>
            </w:tcBorders>
            <w:shd w:val="clear" w:color="auto" w:fill="auto"/>
            <w:noWrap/>
            <w:vAlign w:val="center"/>
            <w:hideMark/>
          </w:tcPr>
          <w:p w14:paraId="3F104FA9" w14:textId="77777777" w:rsidR="00F0206E" w:rsidRPr="00A07F29" w:rsidRDefault="00F0206E" w:rsidP="00EB0C9B">
            <w:pPr>
              <w:keepNext/>
              <w:spacing w:after="0" w:line="240" w:lineRule="auto"/>
              <w:rPr>
                <w:rFonts w:ascii="Times New Roman" w:eastAsia="Times New Roman" w:hAnsi="Times New Roman" w:cs="Times New Roman"/>
                <w:b/>
                <w:color w:val="000000"/>
                <w:sz w:val="20"/>
                <w:szCs w:val="20"/>
              </w:rPr>
            </w:pPr>
            <w:r w:rsidRPr="00A07F29">
              <w:rPr>
                <w:rFonts w:ascii="Times New Roman" w:eastAsia="Times New Roman" w:hAnsi="Times New Roman" w:cs="Times New Roman"/>
                <w:b/>
                <w:color w:val="000000"/>
                <w:sz w:val="20"/>
                <w:szCs w:val="20"/>
              </w:rPr>
              <w:t>Biežāk audzētie kultūraugi</w:t>
            </w:r>
          </w:p>
        </w:tc>
        <w:tc>
          <w:tcPr>
            <w:tcW w:w="1445" w:type="dxa"/>
            <w:tcBorders>
              <w:top w:val="single" w:sz="4" w:space="0" w:color="auto"/>
              <w:left w:val="nil"/>
              <w:bottom w:val="single" w:sz="4" w:space="0" w:color="auto"/>
              <w:right w:val="single" w:sz="4" w:space="0" w:color="auto"/>
            </w:tcBorders>
            <w:shd w:val="clear" w:color="auto" w:fill="auto"/>
            <w:noWrap/>
            <w:vAlign w:val="center"/>
            <w:hideMark/>
          </w:tcPr>
          <w:p w14:paraId="6FCCD85D" w14:textId="22158131" w:rsidR="00F0206E" w:rsidRPr="00A07F29" w:rsidRDefault="00F0206E" w:rsidP="00EB0C9B">
            <w:pPr>
              <w:keepNext/>
              <w:spacing w:after="0" w:line="240" w:lineRule="auto"/>
              <w:jc w:val="center"/>
              <w:rPr>
                <w:rFonts w:ascii="Times New Roman" w:eastAsia="Times New Roman" w:hAnsi="Times New Roman" w:cs="Times New Roman"/>
                <w:b/>
                <w:color w:val="000000"/>
                <w:sz w:val="20"/>
                <w:szCs w:val="20"/>
              </w:rPr>
            </w:pPr>
            <w:r w:rsidRPr="00A07F29">
              <w:rPr>
                <w:rFonts w:ascii="Times New Roman" w:eastAsia="Times New Roman" w:hAnsi="Times New Roman" w:cs="Times New Roman"/>
                <w:b/>
                <w:color w:val="000000"/>
                <w:sz w:val="20"/>
                <w:szCs w:val="20"/>
              </w:rPr>
              <w:t>Platība (ha), 2020</w:t>
            </w:r>
            <w:r w:rsidR="00E8062C" w:rsidRPr="00A07F29">
              <w:rPr>
                <w:rFonts w:ascii="Times New Roman" w:eastAsia="Times New Roman" w:hAnsi="Times New Roman" w:cs="Times New Roman"/>
                <w:b/>
                <w:color w:val="000000"/>
                <w:sz w:val="20"/>
                <w:szCs w:val="20"/>
              </w:rPr>
              <w:t>.</w:t>
            </w:r>
          </w:p>
        </w:tc>
      </w:tr>
      <w:tr w:rsidR="00F0206E" w:rsidRPr="00A07F29" w14:paraId="674FB541" w14:textId="77777777" w:rsidTr="00CA1E10">
        <w:trPr>
          <w:trHeight w:val="288"/>
          <w:jc w:val="center"/>
        </w:trPr>
        <w:tc>
          <w:tcPr>
            <w:tcW w:w="254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D1F798A" w14:textId="77777777" w:rsidR="00F0206E" w:rsidRPr="00A07F29" w:rsidRDefault="00F0206E" w:rsidP="00BE060D">
            <w:pPr>
              <w:keepNext/>
              <w:spacing w:after="0" w:line="240" w:lineRule="auto"/>
              <w:rPr>
                <w:rFonts w:ascii="Times New Roman" w:eastAsia="Times New Roman" w:hAnsi="Times New Roman" w:cs="Times New Roman"/>
                <w:bCs/>
                <w:color w:val="000000"/>
                <w:sz w:val="20"/>
                <w:szCs w:val="20"/>
              </w:rPr>
            </w:pPr>
            <w:r w:rsidRPr="00A07F29">
              <w:rPr>
                <w:rFonts w:ascii="Times New Roman" w:eastAsia="Times New Roman" w:hAnsi="Times New Roman" w:cs="Times New Roman"/>
                <w:bCs/>
                <w:color w:val="000000"/>
                <w:sz w:val="20"/>
                <w:szCs w:val="20"/>
              </w:rPr>
              <w:t>Zālāji</w:t>
            </w:r>
          </w:p>
        </w:tc>
        <w:tc>
          <w:tcPr>
            <w:tcW w:w="1417" w:type="dxa"/>
            <w:vMerge w:val="restart"/>
            <w:tcBorders>
              <w:top w:val="nil"/>
              <w:left w:val="single" w:sz="4" w:space="0" w:color="auto"/>
              <w:right w:val="single" w:sz="4" w:space="0" w:color="auto"/>
            </w:tcBorders>
            <w:vAlign w:val="center"/>
          </w:tcPr>
          <w:p w14:paraId="70C92D0E" w14:textId="69A87F3F" w:rsidR="00F0206E" w:rsidRPr="00A07F29" w:rsidRDefault="00F0206E" w:rsidP="00BE060D">
            <w:pPr>
              <w:keepNext/>
              <w:spacing w:after="0" w:line="240" w:lineRule="auto"/>
              <w:jc w:val="center"/>
              <w:rPr>
                <w:rFonts w:ascii="Times New Roman" w:eastAsia="Times New Roman" w:hAnsi="Times New Roman" w:cs="Times New Roman"/>
                <w:bCs/>
                <w:color w:val="000000"/>
                <w:sz w:val="20"/>
                <w:szCs w:val="20"/>
              </w:rPr>
            </w:pPr>
            <w:r w:rsidRPr="00A07F29">
              <w:rPr>
                <w:rFonts w:ascii="Times New Roman" w:eastAsia="Times New Roman" w:hAnsi="Times New Roman" w:cs="Times New Roman"/>
                <w:bCs/>
                <w:color w:val="000000"/>
                <w:sz w:val="20"/>
                <w:szCs w:val="20"/>
              </w:rPr>
              <w:t>68</w:t>
            </w:r>
            <w:r w:rsidR="006749BE" w:rsidRPr="00A07F29">
              <w:rPr>
                <w:rFonts w:ascii="Times New Roman" w:eastAsia="Times New Roman" w:hAnsi="Times New Roman" w:cs="Times New Roman"/>
                <w:bCs/>
                <w:color w:val="000000"/>
                <w:sz w:val="20"/>
                <w:szCs w:val="20"/>
              </w:rPr>
              <w:t>45</w:t>
            </w:r>
            <w:r w:rsidR="00E8062C" w:rsidRPr="00A07F29">
              <w:rPr>
                <w:rFonts w:ascii="Times New Roman" w:eastAsia="Times New Roman" w:hAnsi="Times New Roman" w:cs="Times New Roman"/>
                <w:bCs/>
                <w:color w:val="000000"/>
                <w:sz w:val="20"/>
                <w:szCs w:val="20"/>
              </w:rPr>
              <w:t>,</w:t>
            </w:r>
            <w:r w:rsidR="006749BE" w:rsidRPr="00A07F29">
              <w:rPr>
                <w:rFonts w:ascii="Times New Roman" w:eastAsia="Times New Roman" w:hAnsi="Times New Roman" w:cs="Times New Roman"/>
                <w:bCs/>
                <w:color w:val="000000"/>
                <w:sz w:val="20"/>
                <w:szCs w:val="20"/>
              </w:rPr>
              <w:t>1</w:t>
            </w:r>
          </w:p>
        </w:tc>
        <w:tc>
          <w:tcPr>
            <w:tcW w:w="132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B86775A" w14:textId="00268D5A" w:rsidR="00F0206E" w:rsidRPr="00A07F29" w:rsidRDefault="00F0206E" w:rsidP="00BE060D">
            <w:pPr>
              <w:keepNext/>
              <w:spacing w:after="0" w:line="240" w:lineRule="auto"/>
              <w:jc w:val="center"/>
              <w:rPr>
                <w:rFonts w:ascii="Times New Roman" w:eastAsia="Times New Roman" w:hAnsi="Times New Roman" w:cs="Times New Roman"/>
                <w:bCs/>
                <w:color w:val="000000"/>
                <w:sz w:val="20"/>
                <w:szCs w:val="20"/>
              </w:rPr>
            </w:pPr>
            <w:r w:rsidRPr="00A07F29">
              <w:rPr>
                <w:rFonts w:ascii="Times New Roman" w:eastAsia="Times New Roman" w:hAnsi="Times New Roman" w:cs="Times New Roman"/>
                <w:bCs/>
                <w:color w:val="000000"/>
                <w:sz w:val="20"/>
                <w:szCs w:val="20"/>
              </w:rPr>
              <w:t>6557</w:t>
            </w:r>
            <w:r w:rsidR="00E8062C" w:rsidRPr="00A07F29">
              <w:rPr>
                <w:rFonts w:ascii="Times New Roman" w:eastAsia="Times New Roman" w:hAnsi="Times New Roman" w:cs="Times New Roman"/>
                <w:bCs/>
                <w:color w:val="000000"/>
                <w:sz w:val="20"/>
                <w:szCs w:val="20"/>
              </w:rPr>
              <w:t>,</w:t>
            </w:r>
            <w:r w:rsidRPr="00A07F29">
              <w:rPr>
                <w:rFonts w:ascii="Times New Roman" w:eastAsia="Times New Roman" w:hAnsi="Times New Roman" w:cs="Times New Roman"/>
                <w:bCs/>
                <w:color w:val="000000"/>
                <w:sz w:val="20"/>
                <w:szCs w:val="20"/>
              </w:rPr>
              <w:t>9</w:t>
            </w:r>
          </w:p>
        </w:tc>
        <w:tc>
          <w:tcPr>
            <w:tcW w:w="2380" w:type="dxa"/>
            <w:tcBorders>
              <w:top w:val="nil"/>
              <w:left w:val="nil"/>
              <w:bottom w:val="single" w:sz="4" w:space="0" w:color="auto"/>
              <w:right w:val="single" w:sz="4" w:space="0" w:color="auto"/>
            </w:tcBorders>
            <w:shd w:val="clear" w:color="auto" w:fill="auto"/>
            <w:noWrap/>
            <w:vAlign w:val="center"/>
            <w:hideMark/>
          </w:tcPr>
          <w:p w14:paraId="509D97D4" w14:textId="12C07FC6" w:rsidR="00F0206E" w:rsidRPr="00A07F29" w:rsidRDefault="00F0206E" w:rsidP="00BE060D">
            <w:pPr>
              <w:keepNext/>
              <w:spacing w:after="0" w:line="240" w:lineRule="auto"/>
              <w:rPr>
                <w:rFonts w:ascii="Times New Roman" w:eastAsia="Times New Roman" w:hAnsi="Times New Roman" w:cs="Times New Roman"/>
                <w:iCs/>
                <w:color w:val="000000"/>
                <w:sz w:val="20"/>
                <w:szCs w:val="20"/>
              </w:rPr>
            </w:pPr>
            <w:r w:rsidRPr="00A07F29">
              <w:rPr>
                <w:rFonts w:ascii="Times New Roman" w:eastAsia="Times New Roman" w:hAnsi="Times New Roman" w:cs="Times New Roman"/>
                <w:iCs/>
                <w:color w:val="000000"/>
                <w:sz w:val="20"/>
                <w:szCs w:val="20"/>
              </w:rPr>
              <w:t>Ilggadīgie zālāji</w:t>
            </w:r>
          </w:p>
        </w:tc>
        <w:tc>
          <w:tcPr>
            <w:tcW w:w="1445" w:type="dxa"/>
            <w:tcBorders>
              <w:top w:val="nil"/>
              <w:left w:val="nil"/>
              <w:bottom w:val="single" w:sz="4" w:space="0" w:color="auto"/>
              <w:right w:val="single" w:sz="4" w:space="0" w:color="auto"/>
            </w:tcBorders>
            <w:shd w:val="clear" w:color="auto" w:fill="auto"/>
            <w:noWrap/>
            <w:vAlign w:val="center"/>
            <w:hideMark/>
          </w:tcPr>
          <w:p w14:paraId="48D67B94" w14:textId="620953AA" w:rsidR="00F0206E" w:rsidRPr="00A07F29" w:rsidRDefault="00F0206E" w:rsidP="00BE060D">
            <w:pPr>
              <w:keepNext/>
              <w:spacing w:after="0" w:line="240" w:lineRule="auto"/>
              <w:jc w:val="center"/>
              <w:rPr>
                <w:rFonts w:ascii="Times New Roman" w:eastAsia="Times New Roman" w:hAnsi="Times New Roman" w:cs="Times New Roman"/>
                <w:iCs/>
                <w:color w:val="000000"/>
                <w:sz w:val="20"/>
                <w:szCs w:val="20"/>
              </w:rPr>
            </w:pPr>
            <w:r w:rsidRPr="00A07F29">
              <w:rPr>
                <w:rFonts w:ascii="Times New Roman" w:eastAsia="Times New Roman" w:hAnsi="Times New Roman" w:cs="Times New Roman"/>
                <w:iCs/>
                <w:color w:val="000000"/>
                <w:sz w:val="20"/>
                <w:szCs w:val="20"/>
              </w:rPr>
              <w:t>4986</w:t>
            </w:r>
            <w:r w:rsidR="00E8062C" w:rsidRPr="00A07F29">
              <w:rPr>
                <w:rFonts w:ascii="Times New Roman" w:eastAsia="Times New Roman" w:hAnsi="Times New Roman" w:cs="Times New Roman"/>
                <w:iCs/>
                <w:color w:val="000000"/>
                <w:sz w:val="20"/>
                <w:szCs w:val="20"/>
              </w:rPr>
              <w:t>,</w:t>
            </w:r>
            <w:r w:rsidRPr="00A07F29">
              <w:rPr>
                <w:rFonts w:ascii="Times New Roman" w:eastAsia="Times New Roman" w:hAnsi="Times New Roman" w:cs="Times New Roman"/>
                <w:iCs/>
                <w:color w:val="000000"/>
                <w:sz w:val="20"/>
                <w:szCs w:val="20"/>
              </w:rPr>
              <w:t>8</w:t>
            </w:r>
          </w:p>
        </w:tc>
      </w:tr>
      <w:tr w:rsidR="00F0206E" w:rsidRPr="00A07F29" w14:paraId="5BB18C13" w14:textId="77777777" w:rsidTr="00CA1E10">
        <w:trPr>
          <w:trHeight w:val="288"/>
          <w:jc w:val="center"/>
        </w:trPr>
        <w:tc>
          <w:tcPr>
            <w:tcW w:w="2547" w:type="dxa"/>
            <w:vMerge/>
            <w:tcBorders>
              <w:top w:val="nil"/>
              <w:left w:val="single" w:sz="4" w:space="0" w:color="auto"/>
              <w:bottom w:val="single" w:sz="4" w:space="0" w:color="auto"/>
              <w:right w:val="single" w:sz="4" w:space="0" w:color="auto"/>
            </w:tcBorders>
            <w:vAlign w:val="center"/>
            <w:hideMark/>
          </w:tcPr>
          <w:p w14:paraId="77E96C4E" w14:textId="77777777" w:rsidR="00F0206E" w:rsidRPr="00A07F29" w:rsidRDefault="00F0206E" w:rsidP="00BE060D">
            <w:pPr>
              <w:keepNext/>
              <w:spacing w:after="0" w:line="240" w:lineRule="auto"/>
              <w:rPr>
                <w:rFonts w:ascii="Times New Roman" w:eastAsia="Times New Roman" w:hAnsi="Times New Roman" w:cs="Times New Roman"/>
                <w:bCs/>
                <w:color w:val="000000"/>
                <w:sz w:val="20"/>
                <w:szCs w:val="20"/>
              </w:rPr>
            </w:pPr>
          </w:p>
        </w:tc>
        <w:tc>
          <w:tcPr>
            <w:tcW w:w="1417" w:type="dxa"/>
            <w:vMerge/>
            <w:tcBorders>
              <w:left w:val="single" w:sz="4" w:space="0" w:color="auto"/>
              <w:bottom w:val="single" w:sz="4" w:space="0" w:color="000000"/>
              <w:right w:val="single" w:sz="4" w:space="0" w:color="auto"/>
            </w:tcBorders>
            <w:vAlign w:val="center"/>
          </w:tcPr>
          <w:p w14:paraId="51E7F01D" w14:textId="77777777" w:rsidR="00F0206E" w:rsidRPr="00A07F29" w:rsidRDefault="00F0206E" w:rsidP="00BE060D">
            <w:pPr>
              <w:keepNext/>
              <w:spacing w:after="0" w:line="240" w:lineRule="auto"/>
              <w:rPr>
                <w:rFonts w:ascii="Times New Roman" w:eastAsia="Times New Roman" w:hAnsi="Times New Roman" w:cs="Times New Roman"/>
                <w:bCs/>
                <w:color w:val="000000"/>
                <w:sz w:val="20"/>
                <w:szCs w:val="20"/>
              </w:rPr>
            </w:pPr>
          </w:p>
        </w:tc>
        <w:tc>
          <w:tcPr>
            <w:tcW w:w="1325" w:type="dxa"/>
            <w:vMerge/>
            <w:tcBorders>
              <w:top w:val="nil"/>
              <w:left w:val="single" w:sz="4" w:space="0" w:color="auto"/>
              <w:bottom w:val="single" w:sz="4" w:space="0" w:color="000000"/>
              <w:right w:val="single" w:sz="4" w:space="0" w:color="auto"/>
            </w:tcBorders>
            <w:vAlign w:val="center"/>
            <w:hideMark/>
          </w:tcPr>
          <w:p w14:paraId="50ECE98A" w14:textId="70D26134" w:rsidR="00F0206E" w:rsidRPr="00A07F29" w:rsidRDefault="00F0206E" w:rsidP="00BE060D">
            <w:pPr>
              <w:keepNext/>
              <w:spacing w:after="0" w:line="240" w:lineRule="auto"/>
              <w:rPr>
                <w:rFonts w:ascii="Times New Roman" w:eastAsia="Times New Roman" w:hAnsi="Times New Roman" w:cs="Times New Roman"/>
                <w:bCs/>
                <w:color w:val="000000"/>
                <w:sz w:val="20"/>
                <w:szCs w:val="20"/>
              </w:rPr>
            </w:pPr>
          </w:p>
        </w:tc>
        <w:tc>
          <w:tcPr>
            <w:tcW w:w="2380" w:type="dxa"/>
            <w:tcBorders>
              <w:top w:val="nil"/>
              <w:left w:val="nil"/>
              <w:bottom w:val="single" w:sz="4" w:space="0" w:color="auto"/>
              <w:right w:val="single" w:sz="4" w:space="0" w:color="auto"/>
            </w:tcBorders>
            <w:shd w:val="clear" w:color="auto" w:fill="auto"/>
            <w:noWrap/>
            <w:vAlign w:val="center"/>
            <w:hideMark/>
          </w:tcPr>
          <w:p w14:paraId="2BC8410E" w14:textId="77777777" w:rsidR="00F0206E" w:rsidRPr="00A07F29" w:rsidRDefault="00F0206E" w:rsidP="00BE060D">
            <w:pPr>
              <w:keepNext/>
              <w:spacing w:after="0" w:line="240" w:lineRule="auto"/>
              <w:rPr>
                <w:rFonts w:ascii="Times New Roman" w:eastAsia="Times New Roman" w:hAnsi="Times New Roman" w:cs="Times New Roman"/>
                <w:iCs/>
                <w:color w:val="000000"/>
                <w:sz w:val="20"/>
                <w:szCs w:val="20"/>
              </w:rPr>
            </w:pPr>
            <w:r w:rsidRPr="00A07F29">
              <w:rPr>
                <w:rFonts w:ascii="Times New Roman" w:eastAsia="Times New Roman" w:hAnsi="Times New Roman" w:cs="Times New Roman"/>
                <w:iCs/>
                <w:color w:val="000000"/>
                <w:sz w:val="20"/>
                <w:szCs w:val="20"/>
              </w:rPr>
              <w:t>Aramzemē sētu stiebrzāļu vai lopbarības zālaugu maisījums</w:t>
            </w:r>
          </w:p>
        </w:tc>
        <w:tc>
          <w:tcPr>
            <w:tcW w:w="1445" w:type="dxa"/>
            <w:tcBorders>
              <w:top w:val="nil"/>
              <w:left w:val="nil"/>
              <w:bottom w:val="single" w:sz="4" w:space="0" w:color="auto"/>
              <w:right w:val="single" w:sz="4" w:space="0" w:color="auto"/>
            </w:tcBorders>
            <w:shd w:val="clear" w:color="auto" w:fill="auto"/>
            <w:noWrap/>
            <w:vAlign w:val="center"/>
            <w:hideMark/>
          </w:tcPr>
          <w:p w14:paraId="3C747B78" w14:textId="1ADB93C7" w:rsidR="00F0206E" w:rsidRPr="00A07F29" w:rsidRDefault="00F0206E" w:rsidP="00BE060D">
            <w:pPr>
              <w:keepNext/>
              <w:spacing w:after="0" w:line="240" w:lineRule="auto"/>
              <w:jc w:val="center"/>
              <w:rPr>
                <w:rFonts w:ascii="Times New Roman" w:eastAsia="Times New Roman" w:hAnsi="Times New Roman" w:cs="Times New Roman"/>
                <w:iCs/>
                <w:color w:val="000000"/>
                <w:sz w:val="20"/>
                <w:szCs w:val="20"/>
              </w:rPr>
            </w:pPr>
            <w:r w:rsidRPr="00A07F29">
              <w:rPr>
                <w:rFonts w:ascii="Times New Roman" w:eastAsia="Times New Roman" w:hAnsi="Times New Roman" w:cs="Times New Roman"/>
                <w:iCs/>
                <w:color w:val="000000"/>
                <w:sz w:val="20"/>
                <w:szCs w:val="20"/>
              </w:rPr>
              <w:t>1363</w:t>
            </w:r>
            <w:r w:rsidR="00E8062C" w:rsidRPr="00A07F29">
              <w:rPr>
                <w:rFonts w:ascii="Times New Roman" w:eastAsia="Times New Roman" w:hAnsi="Times New Roman" w:cs="Times New Roman"/>
                <w:iCs/>
                <w:color w:val="000000"/>
                <w:sz w:val="20"/>
                <w:szCs w:val="20"/>
              </w:rPr>
              <w:t>,</w:t>
            </w:r>
            <w:r w:rsidRPr="00A07F29">
              <w:rPr>
                <w:rFonts w:ascii="Times New Roman" w:eastAsia="Times New Roman" w:hAnsi="Times New Roman" w:cs="Times New Roman"/>
                <w:iCs/>
                <w:color w:val="000000"/>
                <w:sz w:val="20"/>
                <w:szCs w:val="20"/>
              </w:rPr>
              <w:t>1</w:t>
            </w:r>
          </w:p>
        </w:tc>
      </w:tr>
      <w:tr w:rsidR="00F0206E" w:rsidRPr="00A07F29" w14:paraId="2925BC4D" w14:textId="77777777" w:rsidTr="00CA1E10">
        <w:trPr>
          <w:trHeight w:val="288"/>
          <w:jc w:val="center"/>
        </w:trPr>
        <w:tc>
          <w:tcPr>
            <w:tcW w:w="254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5579ACE" w14:textId="77777777" w:rsidR="00F0206E" w:rsidRPr="00A07F29" w:rsidRDefault="00F0206E" w:rsidP="00BE060D">
            <w:pPr>
              <w:keepNext/>
              <w:spacing w:after="0" w:line="240" w:lineRule="auto"/>
              <w:rPr>
                <w:rFonts w:ascii="Times New Roman" w:eastAsia="Times New Roman" w:hAnsi="Times New Roman" w:cs="Times New Roman"/>
                <w:bCs/>
                <w:color w:val="000000"/>
                <w:sz w:val="20"/>
                <w:szCs w:val="20"/>
              </w:rPr>
            </w:pPr>
            <w:r w:rsidRPr="00A07F29">
              <w:rPr>
                <w:rFonts w:ascii="Times New Roman" w:eastAsia="Times New Roman" w:hAnsi="Times New Roman" w:cs="Times New Roman"/>
                <w:bCs/>
                <w:color w:val="000000"/>
                <w:sz w:val="20"/>
                <w:szCs w:val="20"/>
              </w:rPr>
              <w:t>Graudaugi</w:t>
            </w:r>
          </w:p>
        </w:tc>
        <w:tc>
          <w:tcPr>
            <w:tcW w:w="1417" w:type="dxa"/>
            <w:vMerge w:val="restart"/>
            <w:tcBorders>
              <w:top w:val="nil"/>
              <w:left w:val="single" w:sz="4" w:space="0" w:color="auto"/>
              <w:right w:val="single" w:sz="4" w:space="0" w:color="auto"/>
            </w:tcBorders>
            <w:vAlign w:val="center"/>
          </w:tcPr>
          <w:p w14:paraId="1CE32294" w14:textId="71BA4A8F" w:rsidR="00F0206E" w:rsidRPr="00A07F29" w:rsidRDefault="00F0206E" w:rsidP="00BE060D">
            <w:pPr>
              <w:keepNext/>
              <w:spacing w:after="0" w:line="240" w:lineRule="auto"/>
              <w:jc w:val="center"/>
              <w:rPr>
                <w:rFonts w:ascii="Times New Roman" w:eastAsia="Times New Roman" w:hAnsi="Times New Roman" w:cs="Times New Roman"/>
                <w:bCs/>
                <w:color w:val="000000"/>
                <w:sz w:val="20"/>
                <w:szCs w:val="20"/>
              </w:rPr>
            </w:pPr>
            <w:r w:rsidRPr="00A07F29">
              <w:rPr>
                <w:rFonts w:ascii="Times New Roman" w:eastAsia="Times New Roman" w:hAnsi="Times New Roman" w:cs="Times New Roman"/>
                <w:bCs/>
                <w:color w:val="000000"/>
                <w:sz w:val="20"/>
                <w:szCs w:val="20"/>
              </w:rPr>
              <w:t>3693,1</w:t>
            </w:r>
          </w:p>
        </w:tc>
        <w:tc>
          <w:tcPr>
            <w:tcW w:w="132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CDAABE0" w14:textId="74C0F42F" w:rsidR="00F0206E" w:rsidRPr="00A07F29" w:rsidRDefault="00F0206E" w:rsidP="00BE060D">
            <w:pPr>
              <w:keepNext/>
              <w:spacing w:after="0" w:line="240" w:lineRule="auto"/>
              <w:jc w:val="center"/>
              <w:rPr>
                <w:rFonts w:ascii="Times New Roman" w:eastAsia="Times New Roman" w:hAnsi="Times New Roman" w:cs="Times New Roman"/>
                <w:bCs/>
                <w:color w:val="000000"/>
                <w:sz w:val="20"/>
                <w:szCs w:val="20"/>
              </w:rPr>
            </w:pPr>
            <w:r w:rsidRPr="00A07F29">
              <w:rPr>
                <w:rFonts w:ascii="Times New Roman" w:eastAsia="Times New Roman" w:hAnsi="Times New Roman" w:cs="Times New Roman"/>
                <w:bCs/>
                <w:color w:val="000000"/>
                <w:sz w:val="20"/>
                <w:szCs w:val="20"/>
              </w:rPr>
              <w:t>5008</w:t>
            </w:r>
            <w:r w:rsidR="00E8062C" w:rsidRPr="00A07F29">
              <w:rPr>
                <w:rFonts w:ascii="Times New Roman" w:eastAsia="Times New Roman" w:hAnsi="Times New Roman" w:cs="Times New Roman"/>
                <w:bCs/>
                <w:color w:val="000000"/>
                <w:sz w:val="20"/>
                <w:szCs w:val="20"/>
              </w:rPr>
              <w:t>,</w:t>
            </w:r>
            <w:r w:rsidRPr="00A07F29">
              <w:rPr>
                <w:rFonts w:ascii="Times New Roman" w:eastAsia="Times New Roman" w:hAnsi="Times New Roman" w:cs="Times New Roman"/>
                <w:bCs/>
                <w:color w:val="000000"/>
                <w:sz w:val="20"/>
                <w:szCs w:val="20"/>
              </w:rPr>
              <w:t>1</w:t>
            </w:r>
          </w:p>
        </w:tc>
        <w:tc>
          <w:tcPr>
            <w:tcW w:w="2380" w:type="dxa"/>
            <w:tcBorders>
              <w:top w:val="nil"/>
              <w:left w:val="nil"/>
              <w:bottom w:val="single" w:sz="4" w:space="0" w:color="auto"/>
              <w:right w:val="single" w:sz="4" w:space="0" w:color="auto"/>
            </w:tcBorders>
            <w:shd w:val="clear" w:color="auto" w:fill="auto"/>
            <w:noWrap/>
            <w:vAlign w:val="center"/>
            <w:hideMark/>
          </w:tcPr>
          <w:p w14:paraId="7C007E72" w14:textId="77777777" w:rsidR="00F0206E" w:rsidRPr="00A07F29" w:rsidRDefault="00F0206E" w:rsidP="00BE060D">
            <w:pPr>
              <w:keepNext/>
              <w:spacing w:after="0" w:line="240" w:lineRule="auto"/>
              <w:rPr>
                <w:rFonts w:ascii="Times New Roman" w:eastAsia="Times New Roman" w:hAnsi="Times New Roman" w:cs="Times New Roman"/>
                <w:iCs/>
                <w:color w:val="000000"/>
                <w:sz w:val="20"/>
                <w:szCs w:val="20"/>
              </w:rPr>
            </w:pPr>
            <w:r w:rsidRPr="00A07F29">
              <w:rPr>
                <w:rFonts w:ascii="Times New Roman" w:eastAsia="Times New Roman" w:hAnsi="Times New Roman" w:cs="Times New Roman"/>
                <w:iCs/>
                <w:color w:val="000000"/>
                <w:sz w:val="20"/>
                <w:szCs w:val="20"/>
              </w:rPr>
              <w:t>Kvieši, ziemas</w:t>
            </w:r>
          </w:p>
        </w:tc>
        <w:tc>
          <w:tcPr>
            <w:tcW w:w="1445" w:type="dxa"/>
            <w:tcBorders>
              <w:top w:val="nil"/>
              <w:left w:val="nil"/>
              <w:bottom w:val="single" w:sz="4" w:space="0" w:color="auto"/>
              <w:right w:val="single" w:sz="4" w:space="0" w:color="auto"/>
            </w:tcBorders>
            <w:shd w:val="clear" w:color="auto" w:fill="auto"/>
            <w:noWrap/>
            <w:vAlign w:val="center"/>
            <w:hideMark/>
          </w:tcPr>
          <w:p w14:paraId="39FFE5F5" w14:textId="2964A670" w:rsidR="00F0206E" w:rsidRPr="00A07F29" w:rsidRDefault="00F0206E" w:rsidP="00BE060D">
            <w:pPr>
              <w:keepNext/>
              <w:spacing w:after="0" w:line="240" w:lineRule="auto"/>
              <w:jc w:val="center"/>
              <w:rPr>
                <w:rFonts w:ascii="Times New Roman" w:eastAsia="Times New Roman" w:hAnsi="Times New Roman" w:cs="Times New Roman"/>
                <w:iCs/>
                <w:color w:val="000000"/>
                <w:sz w:val="20"/>
                <w:szCs w:val="20"/>
              </w:rPr>
            </w:pPr>
            <w:r w:rsidRPr="00A07F29">
              <w:rPr>
                <w:rFonts w:ascii="Times New Roman" w:eastAsia="Times New Roman" w:hAnsi="Times New Roman" w:cs="Times New Roman"/>
                <w:iCs/>
                <w:color w:val="000000"/>
                <w:sz w:val="20"/>
                <w:szCs w:val="20"/>
              </w:rPr>
              <w:t>1974</w:t>
            </w:r>
            <w:r w:rsidR="00E8062C" w:rsidRPr="00A07F29">
              <w:rPr>
                <w:rFonts w:ascii="Times New Roman" w:eastAsia="Times New Roman" w:hAnsi="Times New Roman" w:cs="Times New Roman"/>
                <w:iCs/>
                <w:color w:val="000000"/>
                <w:sz w:val="20"/>
                <w:szCs w:val="20"/>
              </w:rPr>
              <w:t>,</w:t>
            </w:r>
            <w:r w:rsidRPr="00A07F29">
              <w:rPr>
                <w:rFonts w:ascii="Times New Roman" w:eastAsia="Times New Roman" w:hAnsi="Times New Roman" w:cs="Times New Roman"/>
                <w:iCs/>
                <w:color w:val="000000"/>
                <w:sz w:val="20"/>
                <w:szCs w:val="20"/>
              </w:rPr>
              <w:t>3</w:t>
            </w:r>
          </w:p>
        </w:tc>
      </w:tr>
      <w:tr w:rsidR="00F0206E" w:rsidRPr="00A07F29" w14:paraId="5AF172A3" w14:textId="77777777" w:rsidTr="00CA1E10">
        <w:trPr>
          <w:trHeight w:val="288"/>
          <w:jc w:val="center"/>
        </w:trPr>
        <w:tc>
          <w:tcPr>
            <w:tcW w:w="2547" w:type="dxa"/>
            <w:vMerge/>
            <w:tcBorders>
              <w:top w:val="nil"/>
              <w:left w:val="single" w:sz="4" w:space="0" w:color="auto"/>
              <w:bottom w:val="single" w:sz="4" w:space="0" w:color="auto"/>
              <w:right w:val="single" w:sz="4" w:space="0" w:color="auto"/>
            </w:tcBorders>
            <w:vAlign w:val="center"/>
            <w:hideMark/>
          </w:tcPr>
          <w:p w14:paraId="27B596B6" w14:textId="77777777" w:rsidR="00F0206E" w:rsidRPr="00A07F29" w:rsidRDefault="00F0206E" w:rsidP="00BE060D">
            <w:pPr>
              <w:keepNext/>
              <w:spacing w:after="0" w:line="240" w:lineRule="auto"/>
              <w:rPr>
                <w:rFonts w:ascii="Times New Roman" w:eastAsia="Times New Roman" w:hAnsi="Times New Roman" w:cs="Times New Roman"/>
                <w:bCs/>
                <w:color w:val="000000"/>
                <w:sz w:val="20"/>
                <w:szCs w:val="20"/>
              </w:rPr>
            </w:pPr>
          </w:p>
        </w:tc>
        <w:tc>
          <w:tcPr>
            <w:tcW w:w="1417" w:type="dxa"/>
            <w:vMerge/>
            <w:tcBorders>
              <w:left w:val="single" w:sz="4" w:space="0" w:color="auto"/>
              <w:right w:val="single" w:sz="4" w:space="0" w:color="auto"/>
            </w:tcBorders>
            <w:vAlign w:val="center"/>
          </w:tcPr>
          <w:p w14:paraId="6343AC6A" w14:textId="77777777" w:rsidR="00F0206E" w:rsidRPr="00A07F29" w:rsidRDefault="00F0206E" w:rsidP="00BE060D">
            <w:pPr>
              <w:keepNext/>
              <w:spacing w:after="0" w:line="240" w:lineRule="auto"/>
              <w:rPr>
                <w:rFonts w:ascii="Times New Roman" w:eastAsia="Times New Roman" w:hAnsi="Times New Roman" w:cs="Times New Roman"/>
                <w:bCs/>
                <w:color w:val="000000"/>
                <w:sz w:val="20"/>
                <w:szCs w:val="20"/>
              </w:rPr>
            </w:pPr>
          </w:p>
        </w:tc>
        <w:tc>
          <w:tcPr>
            <w:tcW w:w="1325" w:type="dxa"/>
            <w:vMerge/>
            <w:tcBorders>
              <w:top w:val="nil"/>
              <w:left w:val="single" w:sz="4" w:space="0" w:color="auto"/>
              <w:bottom w:val="single" w:sz="4" w:space="0" w:color="auto"/>
              <w:right w:val="single" w:sz="4" w:space="0" w:color="auto"/>
            </w:tcBorders>
            <w:vAlign w:val="center"/>
            <w:hideMark/>
          </w:tcPr>
          <w:p w14:paraId="7C639B8E" w14:textId="50B24D13" w:rsidR="00F0206E" w:rsidRPr="00A07F29" w:rsidRDefault="00F0206E" w:rsidP="00BE060D">
            <w:pPr>
              <w:keepNext/>
              <w:spacing w:after="0" w:line="240" w:lineRule="auto"/>
              <w:rPr>
                <w:rFonts w:ascii="Times New Roman" w:eastAsia="Times New Roman" w:hAnsi="Times New Roman" w:cs="Times New Roman"/>
                <w:bCs/>
                <w:color w:val="000000"/>
                <w:sz w:val="20"/>
                <w:szCs w:val="20"/>
              </w:rPr>
            </w:pPr>
          </w:p>
        </w:tc>
        <w:tc>
          <w:tcPr>
            <w:tcW w:w="2380" w:type="dxa"/>
            <w:tcBorders>
              <w:top w:val="nil"/>
              <w:left w:val="nil"/>
              <w:bottom w:val="single" w:sz="4" w:space="0" w:color="auto"/>
              <w:right w:val="single" w:sz="4" w:space="0" w:color="auto"/>
            </w:tcBorders>
            <w:shd w:val="clear" w:color="auto" w:fill="auto"/>
            <w:noWrap/>
            <w:vAlign w:val="center"/>
            <w:hideMark/>
          </w:tcPr>
          <w:p w14:paraId="145395D1" w14:textId="77777777" w:rsidR="00F0206E" w:rsidRPr="00A07F29" w:rsidRDefault="00F0206E" w:rsidP="00BE060D">
            <w:pPr>
              <w:keepNext/>
              <w:spacing w:after="0" w:line="240" w:lineRule="auto"/>
              <w:rPr>
                <w:rFonts w:ascii="Times New Roman" w:eastAsia="Times New Roman" w:hAnsi="Times New Roman" w:cs="Times New Roman"/>
                <w:iCs/>
                <w:color w:val="000000"/>
                <w:sz w:val="20"/>
                <w:szCs w:val="20"/>
              </w:rPr>
            </w:pPr>
            <w:r w:rsidRPr="00A07F29">
              <w:rPr>
                <w:rFonts w:ascii="Times New Roman" w:eastAsia="Times New Roman" w:hAnsi="Times New Roman" w:cs="Times New Roman"/>
                <w:iCs/>
                <w:color w:val="000000"/>
                <w:sz w:val="20"/>
                <w:szCs w:val="20"/>
              </w:rPr>
              <w:t>Auzas</w:t>
            </w:r>
          </w:p>
        </w:tc>
        <w:tc>
          <w:tcPr>
            <w:tcW w:w="1445" w:type="dxa"/>
            <w:tcBorders>
              <w:top w:val="nil"/>
              <w:left w:val="nil"/>
              <w:bottom w:val="single" w:sz="4" w:space="0" w:color="auto"/>
              <w:right w:val="single" w:sz="4" w:space="0" w:color="auto"/>
            </w:tcBorders>
            <w:shd w:val="clear" w:color="auto" w:fill="auto"/>
            <w:noWrap/>
            <w:vAlign w:val="center"/>
            <w:hideMark/>
          </w:tcPr>
          <w:p w14:paraId="65A736E2" w14:textId="1551D7CE" w:rsidR="00F0206E" w:rsidRPr="00A07F29" w:rsidRDefault="00F0206E" w:rsidP="00BE060D">
            <w:pPr>
              <w:keepNext/>
              <w:spacing w:after="0" w:line="240" w:lineRule="auto"/>
              <w:jc w:val="center"/>
              <w:rPr>
                <w:rFonts w:ascii="Times New Roman" w:eastAsia="Times New Roman" w:hAnsi="Times New Roman" w:cs="Times New Roman"/>
                <w:iCs/>
                <w:color w:val="000000"/>
                <w:sz w:val="20"/>
                <w:szCs w:val="20"/>
              </w:rPr>
            </w:pPr>
            <w:r w:rsidRPr="00A07F29">
              <w:rPr>
                <w:rFonts w:ascii="Times New Roman" w:eastAsia="Times New Roman" w:hAnsi="Times New Roman" w:cs="Times New Roman"/>
                <w:iCs/>
                <w:color w:val="000000"/>
                <w:sz w:val="20"/>
                <w:szCs w:val="20"/>
              </w:rPr>
              <w:t>1018</w:t>
            </w:r>
            <w:r w:rsidR="00E8062C" w:rsidRPr="00A07F29">
              <w:rPr>
                <w:rFonts w:ascii="Times New Roman" w:eastAsia="Times New Roman" w:hAnsi="Times New Roman" w:cs="Times New Roman"/>
                <w:iCs/>
                <w:color w:val="000000"/>
                <w:sz w:val="20"/>
                <w:szCs w:val="20"/>
              </w:rPr>
              <w:t>,</w:t>
            </w:r>
            <w:r w:rsidRPr="00A07F29">
              <w:rPr>
                <w:rFonts w:ascii="Times New Roman" w:eastAsia="Times New Roman" w:hAnsi="Times New Roman" w:cs="Times New Roman"/>
                <w:iCs/>
                <w:color w:val="000000"/>
                <w:sz w:val="20"/>
                <w:szCs w:val="20"/>
              </w:rPr>
              <w:t>7</w:t>
            </w:r>
          </w:p>
        </w:tc>
      </w:tr>
      <w:tr w:rsidR="00F0206E" w:rsidRPr="00A07F29" w14:paraId="35B19A49" w14:textId="77777777" w:rsidTr="00CA1E10">
        <w:trPr>
          <w:trHeight w:val="288"/>
          <w:jc w:val="center"/>
        </w:trPr>
        <w:tc>
          <w:tcPr>
            <w:tcW w:w="2547" w:type="dxa"/>
            <w:vMerge/>
            <w:tcBorders>
              <w:top w:val="nil"/>
              <w:left w:val="single" w:sz="4" w:space="0" w:color="auto"/>
              <w:bottom w:val="single" w:sz="4" w:space="0" w:color="auto"/>
              <w:right w:val="single" w:sz="4" w:space="0" w:color="auto"/>
            </w:tcBorders>
            <w:vAlign w:val="center"/>
            <w:hideMark/>
          </w:tcPr>
          <w:p w14:paraId="7BC7BEB0" w14:textId="77777777" w:rsidR="00F0206E" w:rsidRPr="00A07F29" w:rsidRDefault="00F0206E" w:rsidP="008959FB">
            <w:pPr>
              <w:spacing w:after="0" w:line="240" w:lineRule="auto"/>
              <w:rPr>
                <w:rFonts w:ascii="Times New Roman" w:eastAsia="Times New Roman" w:hAnsi="Times New Roman" w:cs="Times New Roman"/>
                <w:bCs/>
                <w:color w:val="000000"/>
                <w:sz w:val="20"/>
                <w:szCs w:val="20"/>
              </w:rPr>
            </w:pPr>
          </w:p>
        </w:tc>
        <w:tc>
          <w:tcPr>
            <w:tcW w:w="1417" w:type="dxa"/>
            <w:vMerge/>
            <w:tcBorders>
              <w:left w:val="single" w:sz="4" w:space="0" w:color="auto"/>
              <w:right w:val="single" w:sz="4" w:space="0" w:color="auto"/>
            </w:tcBorders>
            <w:vAlign w:val="center"/>
          </w:tcPr>
          <w:p w14:paraId="74FD6411" w14:textId="77777777" w:rsidR="00F0206E" w:rsidRPr="00A07F29" w:rsidRDefault="00F0206E" w:rsidP="008959FB">
            <w:pPr>
              <w:spacing w:after="0" w:line="240" w:lineRule="auto"/>
              <w:rPr>
                <w:rFonts w:ascii="Times New Roman" w:eastAsia="Times New Roman" w:hAnsi="Times New Roman" w:cs="Times New Roman"/>
                <w:bCs/>
                <w:color w:val="000000"/>
                <w:sz w:val="20"/>
                <w:szCs w:val="20"/>
              </w:rPr>
            </w:pPr>
          </w:p>
        </w:tc>
        <w:tc>
          <w:tcPr>
            <w:tcW w:w="1325" w:type="dxa"/>
            <w:vMerge/>
            <w:tcBorders>
              <w:top w:val="nil"/>
              <w:left w:val="single" w:sz="4" w:space="0" w:color="auto"/>
              <w:bottom w:val="single" w:sz="4" w:space="0" w:color="auto"/>
              <w:right w:val="single" w:sz="4" w:space="0" w:color="auto"/>
            </w:tcBorders>
            <w:vAlign w:val="center"/>
            <w:hideMark/>
          </w:tcPr>
          <w:p w14:paraId="38EB6039" w14:textId="363A4888" w:rsidR="00F0206E" w:rsidRPr="00A07F29" w:rsidRDefault="00F0206E" w:rsidP="008959FB">
            <w:pPr>
              <w:spacing w:after="0" w:line="240" w:lineRule="auto"/>
              <w:rPr>
                <w:rFonts w:ascii="Times New Roman" w:eastAsia="Times New Roman" w:hAnsi="Times New Roman" w:cs="Times New Roman"/>
                <w:bCs/>
                <w:color w:val="000000"/>
                <w:sz w:val="20"/>
                <w:szCs w:val="20"/>
              </w:rPr>
            </w:pPr>
          </w:p>
        </w:tc>
        <w:tc>
          <w:tcPr>
            <w:tcW w:w="2380" w:type="dxa"/>
            <w:tcBorders>
              <w:top w:val="nil"/>
              <w:left w:val="nil"/>
              <w:bottom w:val="single" w:sz="4" w:space="0" w:color="auto"/>
              <w:right w:val="single" w:sz="4" w:space="0" w:color="auto"/>
            </w:tcBorders>
            <w:shd w:val="clear" w:color="auto" w:fill="auto"/>
            <w:noWrap/>
            <w:vAlign w:val="center"/>
            <w:hideMark/>
          </w:tcPr>
          <w:p w14:paraId="38D72EF8" w14:textId="77777777" w:rsidR="00F0206E" w:rsidRPr="00A07F29" w:rsidRDefault="00F0206E" w:rsidP="008959FB">
            <w:pPr>
              <w:spacing w:after="0" w:line="240" w:lineRule="auto"/>
              <w:rPr>
                <w:rFonts w:ascii="Times New Roman" w:eastAsia="Times New Roman" w:hAnsi="Times New Roman" w:cs="Times New Roman"/>
                <w:iCs/>
                <w:color w:val="000000"/>
                <w:sz w:val="20"/>
                <w:szCs w:val="20"/>
              </w:rPr>
            </w:pPr>
            <w:r w:rsidRPr="00A07F29">
              <w:rPr>
                <w:rFonts w:ascii="Times New Roman" w:eastAsia="Times New Roman" w:hAnsi="Times New Roman" w:cs="Times New Roman"/>
                <w:iCs/>
                <w:color w:val="000000"/>
                <w:sz w:val="20"/>
                <w:szCs w:val="20"/>
              </w:rPr>
              <w:t>Kvieši, vasaras</w:t>
            </w:r>
          </w:p>
        </w:tc>
        <w:tc>
          <w:tcPr>
            <w:tcW w:w="1445" w:type="dxa"/>
            <w:tcBorders>
              <w:top w:val="nil"/>
              <w:left w:val="nil"/>
              <w:bottom w:val="single" w:sz="4" w:space="0" w:color="auto"/>
              <w:right w:val="single" w:sz="4" w:space="0" w:color="auto"/>
            </w:tcBorders>
            <w:shd w:val="clear" w:color="auto" w:fill="auto"/>
            <w:noWrap/>
            <w:vAlign w:val="center"/>
            <w:hideMark/>
          </w:tcPr>
          <w:p w14:paraId="3231A5C7" w14:textId="7FD0A764" w:rsidR="00F0206E" w:rsidRPr="00A07F29" w:rsidRDefault="00F0206E" w:rsidP="00CA1E10">
            <w:pPr>
              <w:spacing w:after="0" w:line="240" w:lineRule="auto"/>
              <w:jc w:val="center"/>
              <w:rPr>
                <w:rFonts w:ascii="Times New Roman" w:eastAsia="Times New Roman" w:hAnsi="Times New Roman" w:cs="Times New Roman"/>
                <w:iCs/>
                <w:color w:val="000000"/>
                <w:sz w:val="20"/>
                <w:szCs w:val="20"/>
              </w:rPr>
            </w:pPr>
            <w:r w:rsidRPr="00A07F29">
              <w:rPr>
                <w:rFonts w:ascii="Times New Roman" w:eastAsia="Times New Roman" w:hAnsi="Times New Roman" w:cs="Times New Roman"/>
                <w:iCs/>
                <w:color w:val="000000"/>
                <w:sz w:val="20"/>
                <w:szCs w:val="20"/>
              </w:rPr>
              <w:t>822</w:t>
            </w:r>
            <w:r w:rsidR="00E8062C" w:rsidRPr="00A07F29">
              <w:rPr>
                <w:rFonts w:ascii="Times New Roman" w:eastAsia="Times New Roman" w:hAnsi="Times New Roman" w:cs="Times New Roman"/>
                <w:iCs/>
                <w:color w:val="000000"/>
                <w:sz w:val="20"/>
                <w:szCs w:val="20"/>
              </w:rPr>
              <w:t>,</w:t>
            </w:r>
            <w:r w:rsidRPr="00A07F29">
              <w:rPr>
                <w:rFonts w:ascii="Times New Roman" w:eastAsia="Times New Roman" w:hAnsi="Times New Roman" w:cs="Times New Roman"/>
                <w:iCs/>
                <w:color w:val="000000"/>
                <w:sz w:val="20"/>
                <w:szCs w:val="20"/>
              </w:rPr>
              <w:t>3</w:t>
            </w:r>
          </w:p>
        </w:tc>
      </w:tr>
      <w:tr w:rsidR="00F0206E" w:rsidRPr="00A07F29" w14:paraId="2063E0EE" w14:textId="77777777" w:rsidTr="00CA1E10">
        <w:trPr>
          <w:trHeight w:val="288"/>
          <w:jc w:val="center"/>
        </w:trPr>
        <w:tc>
          <w:tcPr>
            <w:tcW w:w="2547" w:type="dxa"/>
            <w:vMerge/>
            <w:tcBorders>
              <w:top w:val="nil"/>
              <w:left w:val="single" w:sz="4" w:space="0" w:color="auto"/>
              <w:bottom w:val="single" w:sz="4" w:space="0" w:color="auto"/>
              <w:right w:val="single" w:sz="4" w:space="0" w:color="auto"/>
            </w:tcBorders>
            <w:vAlign w:val="center"/>
            <w:hideMark/>
          </w:tcPr>
          <w:p w14:paraId="7978B7EF" w14:textId="77777777" w:rsidR="00F0206E" w:rsidRPr="00A07F29" w:rsidRDefault="00F0206E" w:rsidP="008959FB">
            <w:pPr>
              <w:spacing w:after="0" w:line="240" w:lineRule="auto"/>
              <w:rPr>
                <w:rFonts w:ascii="Times New Roman" w:eastAsia="Times New Roman" w:hAnsi="Times New Roman" w:cs="Times New Roman"/>
                <w:bCs/>
                <w:color w:val="000000"/>
                <w:sz w:val="20"/>
                <w:szCs w:val="20"/>
              </w:rPr>
            </w:pPr>
          </w:p>
        </w:tc>
        <w:tc>
          <w:tcPr>
            <w:tcW w:w="1417" w:type="dxa"/>
            <w:vMerge/>
            <w:tcBorders>
              <w:left w:val="single" w:sz="4" w:space="0" w:color="auto"/>
              <w:right w:val="single" w:sz="4" w:space="0" w:color="auto"/>
            </w:tcBorders>
            <w:vAlign w:val="center"/>
          </w:tcPr>
          <w:p w14:paraId="47148936" w14:textId="77777777" w:rsidR="00F0206E" w:rsidRPr="00A07F29" w:rsidRDefault="00F0206E" w:rsidP="008959FB">
            <w:pPr>
              <w:spacing w:after="0" w:line="240" w:lineRule="auto"/>
              <w:rPr>
                <w:rFonts w:ascii="Times New Roman" w:eastAsia="Times New Roman" w:hAnsi="Times New Roman" w:cs="Times New Roman"/>
                <w:bCs/>
                <w:color w:val="000000"/>
                <w:sz w:val="20"/>
                <w:szCs w:val="20"/>
              </w:rPr>
            </w:pPr>
          </w:p>
        </w:tc>
        <w:tc>
          <w:tcPr>
            <w:tcW w:w="1325" w:type="dxa"/>
            <w:vMerge/>
            <w:tcBorders>
              <w:top w:val="nil"/>
              <w:left w:val="single" w:sz="4" w:space="0" w:color="auto"/>
              <w:bottom w:val="single" w:sz="4" w:space="0" w:color="auto"/>
              <w:right w:val="single" w:sz="4" w:space="0" w:color="auto"/>
            </w:tcBorders>
            <w:vAlign w:val="center"/>
            <w:hideMark/>
          </w:tcPr>
          <w:p w14:paraId="27354EBA" w14:textId="37F4D823" w:rsidR="00F0206E" w:rsidRPr="00A07F29" w:rsidRDefault="00F0206E" w:rsidP="008959FB">
            <w:pPr>
              <w:spacing w:after="0" w:line="240" w:lineRule="auto"/>
              <w:rPr>
                <w:rFonts w:ascii="Times New Roman" w:eastAsia="Times New Roman" w:hAnsi="Times New Roman" w:cs="Times New Roman"/>
                <w:bCs/>
                <w:color w:val="000000"/>
                <w:sz w:val="20"/>
                <w:szCs w:val="20"/>
              </w:rPr>
            </w:pPr>
          </w:p>
        </w:tc>
        <w:tc>
          <w:tcPr>
            <w:tcW w:w="2380" w:type="dxa"/>
            <w:tcBorders>
              <w:top w:val="nil"/>
              <w:left w:val="nil"/>
              <w:bottom w:val="single" w:sz="4" w:space="0" w:color="auto"/>
              <w:right w:val="single" w:sz="4" w:space="0" w:color="auto"/>
            </w:tcBorders>
            <w:shd w:val="clear" w:color="auto" w:fill="auto"/>
            <w:noWrap/>
            <w:vAlign w:val="center"/>
            <w:hideMark/>
          </w:tcPr>
          <w:p w14:paraId="4319F5A2" w14:textId="77777777" w:rsidR="00F0206E" w:rsidRPr="00A07F29" w:rsidRDefault="00F0206E" w:rsidP="008959FB">
            <w:pPr>
              <w:spacing w:after="0" w:line="240" w:lineRule="auto"/>
              <w:rPr>
                <w:rFonts w:ascii="Times New Roman" w:eastAsia="Times New Roman" w:hAnsi="Times New Roman" w:cs="Times New Roman"/>
                <w:iCs/>
                <w:color w:val="000000"/>
                <w:sz w:val="20"/>
                <w:szCs w:val="20"/>
              </w:rPr>
            </w:pPr>
            <w:r w:rsidRPr="00A07F29">
              <w:rPr>
                <w:rFonts w:ascii="Times New Roman" w:eastAsia="Times New Roman" w:hAnsi="Times New Roman" w:cs="Times New Roman"/>
                <w:iCs/>
                <w:color w:val="000000"/>
                <w:sz w:val="20"/>
                <w:szCs w:val="20"/>
              </w:rPr>
              <w:t>Mieži, vasaras</w:t>
            </w:r>
          </w:p>
        </w:tc>
        <w:tc>
          <w:tcPr>
            <w:tcW w:w="1445" w:type="dxa"/>
            <w:tcBorders>
              <w:top w:val="nil"/>
              <w:left w:val="nil"/>
              <w:bottom w:val="single" w:sz="4" w:space="0" w:color="auto"/>
              <w:right w:val="single" w:sz="4" w:space="0" w:color="auto"/>
            </w:tcBorders>
            <w:shd w:val="clear" w:color="auto" w:fill="auto"/>
            <w:noWrap/>
            <w:vAlign w:val="center"/>
            <w:hideMark/>
          </w:tcPr>
          <w:p w14:paraId="55F12D4E" w14:textId="02B291F5" w:rsidR="00F0206E" w:rsidRPr="00A07F29" w:rsidRDefault="00F0206E" w:rsidP="00CA1E10">
            <w:pPr>
              <w:spacing w:after="0" w:line="240" w:lineRule="auto"/>
              <w:jc w:val="center"/>
              <w:rPr>
                <w:rFonts w:ascii="Times New Roman" w:eastAsia="Times New Roman" w:hAnsi="Times New Roman" w:cs="Times New Roman"/>
                <w:iCs/>
                <w:color w:val="000000"/>
                <w:sz w:val="20"/>
                <w:szCs w:val="20"/>
              </w:rPr>
            </w:pPr>
            <w:r w:rsidRPr="00A07F29">
              <w:rPr>
                <w:rFonts w:ascii="Times New Roman" w:eastAsia="Times New Roman" w:hAnsi="Times New Roman" w:cs="Times New Roman"/>
                <w:iCs/>
                <w:color w:val="000000"/>
                <w:sz w:val="20"/>
                <w:szCs w:val="20"/>
              </w:rPr>
              <w:t>495</w:t>
            </w:r>
            <w:r w:rsidR="00E8062C" w:rsidRPr="00A07F29">
              <w:rPr>
                <w:rFonts w:ascii="Times New Roman" w:eastAsia="Times New Roman" w:hAnsi="Times New Roman" w:cs="Times New Roman"/>
                <w:iCs/>
                <w:color w:val="000000"/>
                <w:sz w:val="20"/>
                <w:szCs w:val="20"/>
              </w:rPr>
              <w:t>,</w:t>
            </w:r>
            <w:r w:rsidRPr="00A07F29">
              <w:rPr>
                <w:rFonts w:ascii="Times New Roman" w:eastAsia="Times New Roman" w:hAnsi="Times New Roman" w:cs="Times New Roman"/>
                <w:iCs/>
                <w:color w:val="000000"/>
                <w:sz w:val="20"/>
                <w:szCs w:val="20"/>
              </w:rPr>
              <w:t>5</w:t>
            </w:r>
          </w:p>
        </w:tc>
      </w:tr>
      <w:tr w:rsidR="00F0206E" w:rsidRPr="00A07F29" w14:paraId="0E4A3A4B" w14:textId="77777777" w:rsidTr="00CA1E10">
        <w:trPr>
          <w:trHeight w:val="288"/>
          <w:jc w:val="center"/>
        </w:trPr>
        <w:tc>
          <w:tcPr>
            <w:tcW w:w="2547" w:type="dxa"/>
            <w:vMerge/>
            <w:tcBorders>
              <w:top w:val="nil"/>
              <w:left w:val="single" w:sz="4" w:space="0" w:color="auto"/>
              <w:bottom w:val="single" w:sz="4" w:space="0" w:color="auto"/>
              <w:right w:val="single" w:sz="4" w:space="0" w:color="auto"/>
            </w:tcBorders>
            <w:vAlign w:val="center"/>
            <w:hideMark/>
          </w:tcPr>
          <w:p w14:paraId="32B8CAE7" w14:textId="77777777" w:rsidR="00F0206E" w:rsidRPr="00A07F29" w:rsidRDefault="00F0206E" w:rsidP="008959FB">
            <w:pPr>
              <w:spacing w:after="0" w:line="240" w:lineRule="auto"/>
              <w:rPr>
                <w:rFonts w:ascii="Times New Roman" w:eastAsia="Times New Roman" w:hAnsi="Times New Roman" w:cs="Times New Roman"/>
                <w:bCs/>
                <w:color w:val="000000"/>
                <w:sz w:val="20"/>
                <w:szCs w:val="20"/>
              </w:rPr>
            </w:pPr>
          </w:p>
        </w:tc>
        <w:tc>
          <w:tcPr>
            <w:tcW w:w="1417" w:type="dxa"/>
            <w:vMerge/>
            <w:tcBorders>
              <w:left w:val="single" w:sz="4" w:space="0" w:color="auto"/>
              <w:right w:val="single" w:sz="4" w:space="0" w:color="auto"/>
            </w:tcBorders>
            <w:vAlign w:val="center"/>
          </w:tcPr>
          <w:p w14:paraId="3CB05915" w14:textId="77777777" w:rsidR="00F0206E" w:rsidRPr="00A07F29" w:rsidRDefault="00F0206E" w:rsidP="008959FB">
            <w:pPr>
              <w:spacing w:after="0" w:line="240" w:lineRule="auto"/>
              <w:rPr>
                <w:rFonts w:ascii="Times New Roman" w:eastAsia="Times New Roman" w:hAnsi="Times New Roman" w:cs="Times New Roman"/>
                <w:bCs/>
                <w:color w:val="000000"/>
                <w:sz w:val="20"/>
                <w:szCs w:val="20"/>
              </w:rPr>
            </w:pPr>
          </w:p>
        </w:tc>
        <w:tc>
          <w:tcPr>
            <w:tcW w:w="1325" w:type="dxa"/>
            <w:vMerge/>
            <w:tcBorders>
              <w:top w:val="nil"/>
              <w:left w:val="single" w:sz="4" w:space="0" w:color="auto"/>
              <w:bottom w:val="single" w:sz="4" w:space="0" w:color="auto"/>
              <w:right w:val="single" w:sz="4" w:space="0" w:color="auto"/>
            </w:tcBorders>
            <w:vAlign w:val="center"/>
            <w:hideMark/>
          </w:tcPr>
          <w:p w14:paraId="764CBB7C" w14:textId="79E0B5EE" w:rsidR="00F0206E" w:rsidRPr="00A07F29" w:rsidRDefault="00F0206E" w:rsidP="008959FB">
            <w:pPr>
              <w:spacing w:after="0" w:line="240" w:lineRule="auto"/>
              <w:rPr>
                <w:rFonts w:ascii="Times New Roman" w:eastAsia="Times New Roman" w:hAnsi="Times New Roman" w:cs="Times New Roman"/>
                <w:bCs/>
                <w:color w:val="000000"/>
                <w:sz w:val="20"/>
                <w:szCs w:val="20"/>
              </w:rPr>
            </w:pPr>
          </w:p>
        </w:tc>
        <w:tc>
          <w:tcPr>
            <w:tcW w:w="2380" w:type="dxa"/>
            <w:tcBorders>
              <w:top w:val="nil"/>
              <w:left w:val="nil"/>
              <w:bottom w:val="single" w:sz="4" w:space="0" w:color="auto"/>
              <w:right w:val="single" w:sz="4" w:space="0" w:color="auto"/>
            </w:tcBorders>
            <w:shd w:val="clear" w:color="auto" w:fill="auto"/>
            <w:noWrap/>
            <w:vAlign w:val="center"/>
            <w:hideMark/>
          </w:tcPr>
          <w:p w14:paraId="78C16D65" w14:textId="77777777" w:rsidR="00F0206E" w:rsidRPr="00A07F29" w:rsidRDefault="00F0206E" w:rsidP="008959FB">
            <w:pPr>
              <w:spacing w:after="0" w:line="240" w:lineRule="auto"/>
              <w:rPr>
                <w:rFonts w:ascii="Times New Roman" w:eastAsia="Times New Roman" w:hAnsi="Times New Roman" w:cs="Times New Roman"/>
                <w:iCs/>
                <w:color w:val="000000"/>
                <w:sz w:val="20"/>
                <w:szCs w:val="20"/>
              </w:rPr>
            </w:pPr>
            <w:r w:rsidRPr="00A07F29">
              <w:rPr>
                <w:rFonts w:ascii="Times New Roman" w:eastAsia="Times New Roman" w:hAnsi="Times New Roman" w:cs="Times New Roman"/>
                <w:iCs/>
                <w:color w:val="000000"/>
                <w:sz w:val="20"/>
                <w:szCs w:val="20"/>
              </w:rPr>
              <w:t>Griķi</w:t>
            </w:r>
          </w:p>
        </w:tc>
        <w:tc>
          <w:tcPr>
            <w:tcW w:w="1445" w:type="dxa"/>
            <w:tcBorders>
              <w:top w:val="nil"/>
              <w:left w:val="nil"/>
              <w:bottom w:val="single" w:sz="4" w:space="0" w:color="auto"/>
              <w:right w:val="single" w:sz="4" w:space="0" w:color="auto"/>
            </w:tcBorders>
            <w:shd w:val="clear" w:color="auto" w:fill="auto"/>
            <w:noWrap/>
            <w:vAlign w:val="center"/>
            <w:hideMark/>
          </w:tcPr>
          <w:p w14:paraId="2F8EA484" w14:textId="17960367" w:rsidR="00F0206E" w:rsidRPr="00A07F29" w:rsidRDefault="00F0206E" w:rsidP="00CA1E10">
            <w:pPr>
              <w:spacing w:after="0" w:line="240" w:lineRule="auto"/>
              <w:jc w:val="center"/>
              <w:rPr>
                <w:rFonts w:ascii="Times New Roman" w:eastAsia="Times New Roman" w:hAnsi="Times New Roman" w:cs="Times New Roman"/>
                <w:iCs/>
                <w:color w:val="000000"/>
                <w:sz w:val="20"/>
                <w:szCs w:val="20"/>
              </w:rPr>
            </w:pPr>
            <w:r w:rsidRPr="00A07F29">
              <w:rPr>
                <w:rFonts w:ascii="Times New Roman" w:eastAsia="Times New Roman" w:hAnsi="Times New Roman" w:cs="Times New Roman"/>
                <w:iCs/>
                <w:color w:val="000000"/>
                <w:sz w:val="20"/>
                <w:szCs w:val="20"/>
              </w:rPr>
              <w:t>270</w:t>
            </w:r>
            <w:r w:rsidR="00E8062C" w:rsidRPr="00A07F29">
              <w:rPr>
                <w:rFonts w:ascii="Times New Roman" w:eastAsia="Times New Roman" w:hAnsi="Times New Roman" w:cs="Times New Roman"/>
                <w:iCs/>
                <w:color w:val="000000"/>
                <w:sz w:val="20"/>
                <w:szCs w:val="20"/>
              </w:rPr>
              <w:t>,</w:t>
            </w:r>
            <w:r w:rsidRPr="00A07F29">
              <w:rPr>
                <w:rFonts w:ascii="Times New Roman" w:eastAsia="Times New Roman" w:hAnsi="Times New Roman" w:cs="Times New Roman"/>
                <w:iCs/>
                <w:color w:val="000000"/>
                <w:sz w:val="20"/>
                <w:szCs w:val="20"/>
              </w:rPr>
              <w:t>8</w:t>
            </w:r>
          </w:p>
        </w:tc>
      </w:tr>
      <w:tr w:rsidR="00F0206E" w:rsidRPr="00A07F29" w14:paraId="2A828454" w14:textId="77777777" w:rsidTr="00CA1E10">
        <w:trPr>
          <w:trHeight w:val="288"/>
          <w:jc w:val="center"/>
        </w:trPr>
        <w:tc>
          <w:tcPr>
            <w:tcW w:w="2547" w:type="dxa"/>
            <w:vMerge/>
            <w:tcBorders>
              <w:top w:val="nil"/>
              <w:left w:val="single" w:sz="4" w:space="0" w:color="auto"/>
              <w:bottom w:val="single" w:sz="4" w:space="0" w:color="auto"/>
              <w:right w:val="single" w:sz="4" w:space="0" w:color="auto"/>
            </w:tcBorders>
            <w:vAlign w:val="center"/>
            <w:hideMark/>
          </w:tcPr>
          <w:p w14:paraId="50AAF6A8" w14:textId="77777777" w:rsidR="00F0206E" w:rsidRPr="00A07F29" w:rsidRDefault="00F0206E" w:rsidP="008959FB">
            <w:pPr>
              <w:spacing w:after="0" w:line="240" w:lineRule="auto"/>
              <w:rPr>
                <w:rFonts w:ascii="Times New Roman" w:eastAsia="Times New Roman" w:hAnsi="Times New Roman" w:cs="Times New Roman"/>
                <w:bCs/>
                <w:color w:val="000000"/>
                <w:sz w:val="20"/>
                <w:szCs w:val="20"/>
              </w:rPr>
            </w:pPr>
          </w:p>
        </w:tc>
        <w:tc>
          <w:tcPr>
            <w:tcW w:w="1417" w:type="dxa"/>
            <w:vMerge/>
            <w:tcBorders>
              <w:left w:val="single" w:sz="4" w:space="0" w:color="auto"/>
              <w:bottom w:val="single" w:sz="4" w:space="0" w:color="auto"/>
              <w:right w:val="single" w:sz="4" w:space="0" w:color="auto"/>
            </w:tcBorders>
            <w:vAlign w:val="center"/>
          </w:tcPr>
          <w:p w14:paraId="0D77E257" w14:textId="77777777" w:rsidR="00F0206E" w:rsidRPr="00A07F29" w:rsidRDefault="00F0206E" w:rsidP="008959FB">
            <w:pPr>
              <w:spacing w:after="0" w:line="240" w:lineRule="auto"/>
              <w:rPr>
                <w:rFonts w:ascii="Times New Roman" w:eastAsia="Times New Roman" w:hAnsi="Times New Roman" w:cs="Times New Roman"/>
                <w:bCs/>
                <w:color w:val="000000"/>
                <w:sz w:val="20"/>
                <w:szCs w:val="20"/>
              </w:rPr>
            </w:pPr>
          </w:p>
        </w:tc>
        <w:tc>
          <w:tcPr>
            <w:tcW w:w="1325" w:type="dxa"/>
            <w:vMerge/>
            <w:tcBorders>
              <w:top w:val="nil"/>
              <w:left w:val="single" w:sz="4" w:space="0" w:color="auto"/>
              <w:bottom w:val="single" w:sz="4" w:space="0" w:color="auto"/>
              <w:right w:val="single" w:sz="4" w:space="0" w:color="auto"/>
            </w:tcBorders>
            <w:vAlign w:val="center"/>
            <w:hideMark/>
          </w:tcPr>
          <w:p w14:paraId="49C579B3" w14:textId="54564A94" w:rsidR="00F0206E" w:rsidRPr="00A07F29" w:rsidRDefault="00F0206E" w:rsidP="008959FB">
            <w:pPr>
              <w:spacing w:after="0" w:line="240" w:lineRule="auto"/>
              <w:rPr>
                <w:rFonts w:ascii="Times New Roman" w:eastAsia="Times New Roman" w:hAnsi="Times New Roman" w:cs="Times New Roman"/>
                <w:bCs/>
                <w:color w:val="000000"/>
                <w:sz w:val="20"/>
                <w:szCs w:val="20"/>
              </w:rPr>
            </w:pPr>
          </w:p>
        </w:tc>
        <w:tc>
          <w:tcPr>
            <w:tcW w:w="2380" w:type="dxa"/>
            <w:tcBorders>
              <w:top w:val="nil"/>
              <w:left w:val="nil"/>
              <w:bottom w:val="single" w:sz="4" w:space="0" w:color="auto"/>
              <w:right w:val="single" w:sz="4" w:space="0" w:color="auto"/>
            </w:tcBorders>
            <w:shd w:val="clear" w:color="auto" w:fill="auto"/>
            <w:noWrap/>
            <w:vAlign w:val="center"/>
            <w:hideMark/>
          </w:tcPr>
          <w:p w14:paraId="37DAACBB" w14:textId="77777777" w:rsidR="00F0206E" w:rsidRPr="00A07F29" w:rsidRDefault="00F0206E" w:rsidP="008959FB">
            <w:pPr>
              <w:spacing w:after="0" w:line="240" w:lineRule="auto"/>
              <w:rPr>
                <w:rFonts w:ascii="Times New Roman" w:eastAsia="Times New Roman" w:hAnsi="Times New Roman" w:cs="Times New Roman"/>
                <w:iCs/>
                <w:color w:val="000000"/>
                <w:sz w:val="20"/>
                <w:szCs w:val="20"/>
              </w:rPr>
            </w:pPr>
            <w:r w:rsidRPr="00A07F29">
              <w:rPr>
                <w:rFonts w:ascii="Times New Roman" w:eastAsia="Times New Roman" w:hAnsi="Times New Roman" w:cs="Times New Roman"/>
                <w:iCs/>
                <w:color w:val="000000"/>
                <w:sz w:val="20"/>
                <w:szCs w:val="20"/>
              </w:rPr>
              <w:t>Rudzi</w:t>
            </w:r>
          </w:p>
        </w:tc>
        <w:tc>
          <w:tcPr>
            <w:tcW w:w="1445" w:type="dxa"/>
            <w:tcBorders>
              <w:top w:val="nil"/>
              <w:left w:val="nil"/>
              <w:bottom w:val="single" w:sz="4" w:space="0" w:color="auto"/>
              <w:right w:val="single" w:sz="4" w:space="0" w:color="auto"/>
            </w:tcBorders>
            <w:shd w:val="clear" w:color="auto" w:fill="auto"/>
            <w:noWrap/>
            <w:vAlign w:val="center"/>
            <w:hideMark/>
          </w:tcPr>
          <w:p w14:paraId="5B216091" w14:textId="710D3E04" w:rsidR="00F0206E" w:rsidRPr="00A07F29" w:rsidRDefault="00F0206E" w:rsidP="00CA1E10">
            <w:pPr>
              <w:spacing w:after="0" w:line="240" w:lineRule="auto"/>
              <w:jc w:val="center"/>
              <w:rPr>
                <w:rFonts w:ascii="Times New Roman" w:eastAsia="Times New Roman" w:hAnsi="Times New Roman" w:cs="Times New Roman"/>
                <w:iCs/>
                <w:color w:val="000000"/>
                <w:sz w:val="20"/>
                <w:szCs w:val="20"/>
              </w:rPr>
            </w:pPr>
            <w:r w:rsidRPr="00A07F29">
              <w:rPr>
                <w:rFonts w:ascii="Times New Roman" w:eastAsia="Times New Roman" w:hAnsi="Times New Roman" w:cs="Times New Roman"/>
                <w:iCs/>
                <w:color w:val="000000"/>
                <w:sz w:val="20"/>
                <w:szCs w:val="20"/>
              </w:rPr>
              <w:t>225</w:t>
            </w:r>
            <w:r w:rsidR="00E8062C" w:rsidRPr="00A07F29">
              <w:rPr>
                <w:rFonts w:ascii="Times New Roman" w:eastAsia="Times New Roman" w:hAnsi="Times New Roman" w:cs="Times New Roman"/>
                <w:iCs/>
                <w:color w:val="000000"/>
                <w:sz w:val="20"/>
                <w:szCs w:val="20"/>
              </w:rPr>
              <w:t>,</w:t>
            </w:r>
            <w:r w:rsidRPr="00A07F29">
              <w:rPr>
                <w:rFonts w:ascii="Times New Roman" w:eastAsia="Times New Roman" w:hAnsi="Times New Roman" w:cs="Times New Roman"/>
                <w:iCs/>
                <w:color w:val="000000"/>
                <w:sz w:val="20"/>
                <w:szCs w:val="20"/>
              </w:rPr>
              <w:t>0</w:t>
            </w:r>
          </w:p>
        </w:tc>
      </w:tr>
      <w:tr w:rsidR="00F0206E" w:rsidRPr="00A07F29" w14:paraId="67B6C856" w14:textId="77777777" w:rsidTr="00CA1E10">
        <w:trPr>
          <w:trHeight w:val="288"/>
          <w:jc w:val="center"/>
        </w:trPr>
        <w:tc>
          <w:tcPr>
            <w:tcW w:w="254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C1B4256" w14:textId="77777777" w:rsidR="00F0206E" w:rsidRPr="00A07F29" w:rsidRDefault="00F0206E" w:rsidP="008959FB">
            <w:pPr>
              <w:spacing w:after="0" w:line="240" w:lineRule="auto"/>
              <w:rPr>
                <w:rFonts w:ascii="Times New Roman" w:eastAsia="Times New Roman" w:hAnsi="Times New Roman" w:cs="Times New Roman"/>
                <w:bCs/>
                <w:color w:val="000000"/>
                <w:sz w:val="20"/>
                <w:szCs w:val="20"/>
              </w:rPr>
            </w:pPr>
            <w:r w:rsidRPr="00A07F29">
              <w:rPr>
                <w:rFonts w:ascii="Times New Roman" w:eastAsia="Times New Roman" w:hAnsi="Times New Roman" w:cs="Times New Roman"/>
                <w:bCs/>
                <w:color w:val="000000"/>
                <w:sz w:val="20"/>
                <w:szCs w:val="20"/>
              </w:rPr>
              <w:t>Pārējie</w:t>
            </w:r>
          </w:p>
        </w:tc>
        <w:tc>
          <w:tcPr>
            <w:tcW w:w="1417" w:type="dxa"/>
            <w:vMerge w:val="restart"/>
            <w:tcBorders>
              <w:top w:val="nil"/>
              <w:left w:val="single" w:sz="4" w:space="0" w:color="auto"/>
              <w:right w:val="single" w:sz="4" w:space="0" w:color="auto"/>
            </w:tcBorders>
            <w:vAlign w:val="center"/>
          </w:tcPr>
          <w:p w14:paraId="7969472D" w14:textId="48E474E8" w:rsidR="00F0206E" w:rsidRPr="00A07F29" w:rsidRDefault="00F0206E" w:rsidP="00CA1E10">
            <w:pPr>
              <w:spacing w:after="0" w:line="240" w:lineRule="auto"/>
              <w:jc w:val="center"/>
              <w:rPr>
                <w:rFonts w:ascii="Times New Roman" w:eastAsia="Times New Roman" w:hAnsi="Times New Roman" w:cs="Times New Roman"/>
                <w:bCs/>
                <w:color w:val="000000"/>
                <w:sz w:val="20"/>
                <w:szCs w:val="20"/>
              </w:rPr>
            </w:pPr>
            <w:r w:rsidRPr="00A07F29">
              <w:rPr>
                <w:rFonts w:ascii="Times New Roman" w:eastAsia="Times New Roman" w:hAnsi="Times New Roman" w:cs="Times New Roman"/>
                <w:bCs/>
                <w:color w:val="000000"/>
                <w:sz w:val="20"/>
                <w:szCs w:val="20"/>
              </w:rPr>
              <w:t>83</w:t>
            </w:r>
            <w:r w:rsidR="00CA1E10" w:rsidRPr="00A07F29">
              <w:rPr>
                <w:rFonts w:ascii="Times New Roman" w:eastAsia="Times New Roman" w:hAnsi="Times New Roman" w:cs="Times New Roman"/>
                <w:bCs/>
                <w:color w:val="000000"/>
                <w:sz w:val="20"/>
                <w:szCs w:val="20"/>
              </w:rPr>
              <w:t>2</w:t>
            </w:r>
            <w:r w:rsidRPr="00A07F29">
              <w:rPr>
                <w:rFonts w:ascii="Times New Roman" w:eastAsia="Times New Roman" w:hAnsi="Times New Roman" w:cs="Times New Roman"/>
                <w:bCs/>
                <w:color w:val="000000"/>
                <w:sz w:val="20"/>
                <w:szCs w:val="20"/>
              </w:rPr>
              <w:t>,</w:t>
            </w:r>
            <w:r w:rsidR="00CA1E10" w:rsidRPr="00A07F29">
              <w:rPr>
                <w:rFonts w:ascii="Times New Roman" w:eastAsia="Times New Roman" w:hAnsi="Times New Roman" w:cs="Times New Roman"/>
                <w:bCs/>
                <w:color w:val="000000"/>
                <w:sz w:val="20"/>
                <w:szCs w:val="20"/>
              </w:rPr>
              <w:t>3</w:t>
            </w:r>
          </w:p>
        </w:tc>
        <w:tc>
          <w:tcPr>
            <w:tcW w:w="132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CCCC371" w14:textId="241107C1" w:rsidR="00F0206E" w:rsidRPr="00A07F29" w:rsidRDefault="00CA1E10" w:rsidP="00CA1E10">
            <w:pPr>
              <w:spacing w:after="0" w:line="240" w:lineRule="auto"/>
              <w:jc w:val="center"/>
              <w:rPr>
                <w:rFonts w:ascii="Times New Roman" w:eastAsia="Times New Roman" w:hAnsi="Times New Roman" w:cs="Times New Roman"/>
                <w:bCs/>
                <w:color w:val="000000"/>
                <w:sz w:val="20"/>
                <w:szCs w:val="20"/>
              </w:rPr>
            </w:pPr>
            <w:r w:rsidRPr="00A07F29">
              <w:rPr>
                <w:rFonts w:ascii="Times New Roman" w:eastAsia="Times New Roman" w:hAnsi="Times New Roman" w:cs="Times New Roman"/>
                <w:bCs/>
                <w:color w:val="000000"/>
                <w:sz w:val="20"/>
                <w:szCs w:val="20"/>
              </w:rPr>
              <w:t>653</w:t>
            </w:r>
            <w:r w:rsidR="00E8062C" w:rsidRPr="00A07F29">
              <w:rPr>
                <w:rFonts w:ascii="Times New Roman" w:eastAsia="Times New Roman" w:hAnsi="Times New Roman" w:cs="Times New Roman"/>
                <w:bCs/>
                <w:color w:val="000000"/>
                <w:sz w:val="20"/>
                <w:szCs w:val="20"/>
              </w:rPr>
              <w:t>,</w:t>
            </w:r>
            <w:r w:rsidRPr="00A07F29">
              <w:rPr>
                <w:rFonts w:ascii="Times New Roman" w:eastAsia="Times New Roman" w:hAnsi="Times New Roman" w:cs="Times New Roman"/>
                <w:bCs/>
                <w:color w:val="000000"/>
                <w:sz w:val="20"/>
                <w:szCs w:val="20"/>
              </w:rPr>
              <w:t>4</w:t>
            </w:r>
          </w:p>
        </w:tc>
        <w:tc>
          <w:tcPr>
            <w:tcW w:w="2380" w:type="dxa"/>
            <w:tcBorders>
              <w:top w:val="nil"/>
              <w:left w:val="nil"/>
              <w:bottom w:val="single" w:sz="4" w:space="0" w:color="auto"/>
              <w:right w:val="single" w:sz="4" w:space="0" w:color="auto"/>
            </w:tcBorders>
            <w:shd w:val="clear" w:color="auto" w:fill="auto"/>
            <w:noWrap/>
            <w:vAlign w:val="center"/>
            <w:hideMark/>
          </w:tcPr>
          <w:p w14:paraId="0672BCF7" w14:textId="77777777" w:rsidR="00F0206E" w:rsidRPr="00A07F29" w:rsidRDefault="00F0206E" w:rsidP="008959FB">
            <w:pPr>
              <w:spacing w:after="0" w:line="240" w:lineRule="auto"/>
              <w:rPr>
                <w:rFonts w:ascii="Times New Roman" w:eastAsia="Times New Roman" w:hAnsi="Times New Roman" w:cs="Times New Roman"/>
                <w:iCs/>
                <w:color w:val="000000"/>
                <w:sz w:val="20"/>
                <w:szCs w:val="20"/>
              </w:rPr>
            </w:pPr>
            <w:r w:rsidRPr="00A07F29">
              <w:rPr>
                <w:rFonts w:ascii="Times New Roman" w:eastAsia="Times New Roman" w:hAnsi="Times New Roman" w:cs="Times New Roman"/>
                <w:iCs/>
                <w:color w:val="000000"/>
                <w:sz w:val="20"/>
                <w:szCs w:val="20"/>
              </w:rPr>
              <w:t>Papuve</w:t>
            </w:r>
          </w:p>
        </w:tc>
        <w:tc>
          <w:tcPr>
            <w:tcW w:w="1445" w:type="dxa"/>
            <w:tcBorders>
              <w:top w:val="nil"/>
              <w:left w:val="nil"/>
              <w:bottom w:val="single" w:sz="4" w:space="0" w:color="auto"/>
              <w:right w:val="single" w:sz="4" w:space="0" w:color="auto"/>
            </w:tcBorders>
            <w:shd w:val="clear" w:color="auto" w:fill="auto"/>
            <w:noWrap/>
            <w:vAlign w:val="center"/>
            <w:hideMark/>
          </w:tcPr>
          <w:p w14:paraId="7AC80D65" w14:textId="3C634AF5" w:rsidR="00F0206E" w:rsidRPr="00A07F29" w:rsidRDefault="00F0206E" w:rsidP="00CA1E10">
            <w:pPr>
              <w:spacing w:after="0" w:line="240" w:lineRule="auto"/>
              <w:jc w:val="center"/>
              <w:rPr>
                <w:rFonts w:ascii="Times New Roman" w:eastAsia="Times New Roman" w:hAnsi="Times New Roman" w:cs="Times New Roman"/>
                <w:iCs/>
                <w:color w:val="000000"/>
                <w:sz w:val="20"/>
                <w:szCs w:val="20"/>
              </w:rPr>
            </w:pPr>
            <w:r w:rsidRPr="00A07F29">
              <w:rPr>
                <w:rFonts w:ascii="Times New Roman" w:eastAsia="Times New Roman" w:hAnsi="Times New Roman" w:cs="Times New Roman"/>
                <w:iCs/>
                <w:color w:val="000000"/>
                <w:sz w:val="20"/>
                <w:szCs w:val="20"/>
              </w:rPr>
              <w:t>550</w:t>
            </w:r>
            <w:r w:rsidR="00E8062C" w:rsidRPr="00A07F29">
              <w:rPr>
                <w:rFonts w:ascii="Times New Roman" w:eastAsia="Times New Roman" w:hAnsi="Times New Roman" w:cs="Times New Roman"/>
                <w:iCs/>
                <w:color w:val="000000"/>
                <w:sz w:val="20"/>
                <w:szCs w:val="20"/>
              </w:rPr>
              <w:t>,</w:t>
            </w:r>
            <w:r w:rsidRPr="00A07F29">
              <w:rPr>
                <w:rFonts w:ascii="Times New Roman" w:eastAsia="Times New Roman" w:hAnsi="Times New Roman" w:cs="Times New Roman"/>
                <w:iCs/>
                <w:color w:val="000000"/>
                <w:sz w:val="20"/>
                <w:szCs w:val="20"/>
              </w:rPr>
              <w:t>9</w:t>
            </w:r>
          </w:p>
        </w:tc>
      </w:tr>
      <w:tr w:rsidR="00F0206E" w:rsidRPr="00A07F29" w14:paraId="02C72C2B" w14:textId="77777777" w:rsidTr="00CA1E10">
        <w:trPr>
          <w:trHeight w:val="576"/>
          <w:jc w:val="center"/>
        </w:trPr>
        <w:tc>
          <w:tcPr>
            <w:tcW w:w="2547" w:type="dxa"/>
            <w:vMerge/>
            <w:tcBorders>
              <w:top w:val="nil"/>
              <w:left w:val="single" w:sz="4" w:space="0" w:color="auto"/>
              <w:bottom w:val="single" w:sz="4" w:space="0" w:color="auto"/>
              <w:right w:val="single" w:sz="4" w:space="0" w:color="auto"/>
            </w:tcBorders>
            <w:vAlign w:val="center"/>
            <w:hideMark/>
          </w:tcPr>
          <w:p w14:paraId="6A3073C4" w14:textId="77777777" w:rsidR="00F0206E" w:rsidRPr="00A07F29" w:rsidRDefault="00F0206E" w:rsidP="008959FB">
            <w:pPr>
              <w:spacing w:after="0" w:line="240" w:lineRule="auto"/>
              <w:rPr>
                <w:rFonts w:ascii="Times New Roman" w:eastAsia="Times New Roman" w:hAnsi="Times New Roman" w:cs="Times New Roman"/>
                <w:bCs/>
                <w:color w:val="000000"/>
                <w:sz w:val="20"/>
                <w:szCs w:val="20"/>
              </w:rPr>
            </w:pPr>
          </w:p>
        </w:tc>
        <w:tc>
          <w:tcPr>
            <w:tcW w:w="1417" w:type="dxa"/>
            <w:vMerge/>
            <w:tcBorders>
              <w:left w:val="single" w:sz="4" w:space="0" w:color="auto"/>
              <w:bottom w:val="single" w:sz="4" w:space="0" w:color="000000"/>
              <w:right w:val="single" w:sz="4" w:space="0" w:color="auto"/>
            </w:tcBorders>
            <w:vAlign w:val="center"/>
          </w:tcPr>
          <w:p w14:paraId="6425C885" w14:textId="77777777" w:rsidR="00F0206E" w:rsidRPr="00A07F29" w:rsidRDefault="00F0206E" w:rsidP="008959FB">
            <w:pPr>
              <w:spacing w:after="0" w:line="240" w:lineRule="auto"/>
              <w:rPr>
                <w:rFonts w:ascii="Times New Roman" w:eastAsia="Times New Roman" w:hAnsi="Times New Roman" w:cs="Times New Roman"/>
                <w:bCs/>
                <w:color w:val="000000"/>
                <w:sz w:val="20"/>
                <w:szCs w:val="20"/>
              </w:rPr>
            </w:pPr>
          </w:p>
        </w:tc>
        <w:tc>
          <w:tcPr>
            <w:tcW w:w="1325" w:type="dxa"/>
            <w:vMerge/>
            <w:tcBorders>
              <w:top w:val="nil"/>
              <w:left w:val="single" w:sz="4" w:space="0" w:color="auto"/>
              <w:bottom w:val="single" w:sz="4" w:space="0" w:color="000000"/>
              <w:right w:val="single" w:sz="4" w:space="0" w:color="auto"/>
            </w:tcBorders>
            <w:vAlign w:val="center"/>
            <w:hideMark/>
          </w:tcPr>
          <w:p w14:paraId="5FD60EF4" w14:textId="56DC7FF5" w:rsidR="00F0206E" w:rsidRPr="00A07F29" w:rsidRDefault="00F0206E" w:rsidP="008959FB">
            <w:pPr>
              <w:spacing w:after="0" w:line="240" w:lineRule="auto"/>
              <w:rPr>
                <w:rFonts w:ascii="Times New Roman" w:eastAsia="Times New Roman" w:hAnsi="Times New Roman" w:cs="Times New Roman"/>
                <w:bCs/>
                <w:color w:val="000000"/>
                <w:sz w:val="20"/>
                <w:szCs w:val="20"/>
              </w:rPr>
            </w:pPr>
          </w:p>
        </w:tc>
        <w:tc>
          <w:tcPr>
            <w:tcW w:w="2380" w:type="dxa"/>
            <w:tcBorders>
              <w:top w:val="nil"/>
              <w:left w:val="nil"/>
              <w:bottom w:val="single" w:sz="4" w:space="0" w:color="auto"/>
              <w:right w:val="single" w:sz="4" w:space="0" w:color="auto"/>
            </w:tcBorders>
            <w:shd w:val="clear" w:color="auto" w:fill="auto"/>
            <w:vAlign w:val="center"/>
            <w:hideMark/>
          </w:tcPr>
          <w:p w14:paraId="32087DEF" w14:textId="77777777" w:rsidR="00F0206E" w:rsidRPr="00A07F29" w:rsidRDefault="00F0206E" w:rsidP="008959FB">
            <w:pPr>
              <w:spacing w:after="0" w:line="240" w:lineRule="auto"/>
              <w:rPr>
                <w:rFonts w:ascii="Times New Roman" w:eastAsia="Times New Roman" w:hAnsi="Times New Roman" w:cs="Times New Roman"/>
                <w:iCs/>
                <w:color w:val="000000"/>
                <w:sz w:val="20"/>
                <w:szCs w:val="20"/>
              </w:rPr>
            </w:pPr>
            <w:r w:rsidRPr="00A07F29">
              <w:rPr>
                <w:rFonts w:ascii="Times New Roman" w:eastAsia="Times New Roman" w:hAnsi="Times New Roman" w:cs="Times New Roman"/>
                <w:iCs/>
                <w:color w:val="000000"/>
                <w:sz w:val="20"/>
                <w:szCs w:val="20"/>
              </w:rPr>
              <w:t>Dažādi kultūraugi nelielās platībās</w:t>
            </w:r>
          </w:p>
        </w:tc>
        <w:tc>
          <w:tcPr>
            <w:tcW w:w="1445" w:type="dxa"/>
            <w:tcBorders>
              <w:top w:val="nil"/>
              <w:left w:val="nil"/>
              <w:bottom w:val="single" w:sz="4" w:space="0" w:color="auto"/>
              <w:right w:val="single" w:sz="4" w:space="0" w:color="auto"/>
            </w:tcBorders>
            <w:shd w:val="clear" w:color="auto" w:fill="auto"/>
            <w:noWrap/>
            <w:vAlign w:val="center"/>
            <w:hideMark/>
          </w:tcPr>
          <w:p w14:paraId="0AD404C2" w14:textId="483F7CA9" w:rsidR="00F0206E" w:rsidRPr="00A07F29" w:rsidRDefault="00F0206E" w:rsidP="00CA1E10">
            <w:pPr>
              <w:spacing w:after="0" w:line="240" w:lineRule="auto"/>
              <w:jc w:val="center"/>
              <w:rPr>
                <w:rFonts w:ascii="Times New Roman" w:eastAsia="Times New Roman" w:hAnsi="Times New Roman" w:cs="Times New Roman"/>
                <w:iCs/>
                <w:color w:val="000000"/>
                <w:sz w:val="20"/>
                <w:szCs w:val="20"/>
              </w:rPr>
            </w:pPr>
            <w:r w:rsidRPr="00A07F29">
              <w:rPr>
                <w:rFonts w:ascii="Times New Roman" w:eastAsia="Times New Roman" w:hAnsi="Times New Roman" w:cs="Times New Roman"/>
                <w:iCs/>
                <w:color w:val="000000"/>
                <w:sz w:val="20"/>
                <w:szCs w:val="20"/>
              </w:rPr>
              <w:t>70</w:t>
            </w:r>
            <w:r w:rsidR="00E8062C" w:rsidRPr="00A07F29">
              <w:rPr>
                <w:rFonts w:ascii="Times New Roman" w:eastAsia="Times New Roman" w:hAnsi="Times New Roman" w:cs="Times New Roman"/>
                <w:iCs/>
                <w:color w:val="000000"/>
                <w:sz w:val="20"/>
                <w:szCs w:val="20"/>
              </w:rPr>
              <w:t>,</w:t>
            </w:r>
            <w:r w:rsidRPr="00A07F29">
              <w:rPr>
                <w:rFonts w:ascii="Times New Roman" w:eastAsia="Times New Roman" w:hAnsi="Times New Roman" w:cs="Times New Roman"/>
                <w:iCs/>
                <w:color w:val="000000"/>
                <w:sz w:val="20"/>
                <w:szCs w:val="20"/>
              </w:rPr>
              <w:t>1</w:t>
            </w:r>
          </w:p>
        </w:tc>
      </w:tr>
      <w:tr w:rsidR="00F0206E" w:rsidRPr="00A07F29" w14:paraId="4B24B18B" w14:textId="77777777" w:rsidTr="00CA1E10">
        <w:trPr>
          <w:trHeight w:val="288"/>
          <w:jc w:val="center"/>
        </w:trPr>
        <w:tc>
          <w:tcPr>
            <w:tcW w:w="254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DF62F1C" w14:textId="77777777" w:rsidR="00F0206E" w:rsidRPr="00A07F29" w:rsidRDefault="00F0206E" w:rsidP="008959FB">
            <w:pPr>
              <w:spacing w:after="0" w:line="240" w:lineRule="auto"/>
              <w:rPr>
                <w:rFonts w:ascii="Times New Roman" w:eastAsia="Times New Roman" w:hAnsi="Times New Roman" w:cs="Times New Roman"/>
                <w:bCs/>
                <w:color w:val="000000"/>
                <w:sz w:val="20"/>
                <w:szCs w:val="20"/>
              </w:rPr>
            </w:pPr>
            <w:r w:rsidRPr="00A07F29">
              <w:rPr>
                <w:rFonts w:ascii="Times New Roman" w:eastAsia="Times New Roman" w:hAnsi="Times New Roman" w:cs="Times New Roman"/>
                <w:bCs/>
                <w:color w:val="000000"/>
                <w:sz w:val="20"/>
                <w:szCs w:val="20"/>
              </w:rPr>
              <w:t>Eļļas augi un šķiedraugi</w:t>
            </w:r>
          </w:p>
        </w:tc>
        <w:tc>
          <w:tcPr>
            <w:tcW w:w="1417" w:type="dxa"/>
            <w:vMerge w:val="restart"/>
            <w:tcBorders>
              <w:top w:val="nil"/>
              <w:left w:val="single" w:sz="4" w:space="0" w:color="auto"/>
              <w:right w:val="single" w:sz="4" w:space="0" w:color="auto"/>
            </w:tcBorders>
            <w:vAlign w:val="center"/>
          </w:tcPr>
          <w:p w14:paraId="1747634B" w14:textId="034A31D4" w:rsidR="00F0206E" w:rsidRPr="00A07F29" w:rsidRDefault="00F0206E" w:rsidP="00F0206E">
            <w:pPr>
              <w:spacing w:after="0" w:line="240" w:lineRule="auto"/>
              <w:jc w:val="center"/>
              <w:rPr>
                <w:rFonts w:ascii="Times New Roman" w:eastAsia="Times New Roman" w:hAnsi="Times New Roman" w:cs="Times New Roman"/>
                <w:bCs/>
                <w:color w:val="000000"/>
                <w:sz w:val="20"/>
                <w:szCs w:val="20"/>
              </w:rPr>
            </w:pPr>
            <w:r w:rsidRPr="00A07F29">
              <w:rPr>
                <w:rFonts w:ascii="Times New Roman" w:eastAsia="Times New Roman" w:hAnsi="Times New Roman" w:cs="Times New Roman"/>
                <w:bCs/>
                <w:color w:val="000000"/>
                <w:sz w:val="20"/>
                <w:szCs w:val="20"/>
              </w:rPr>
              <w:t>702,1</w:t>
            </w:r>
          </w:p>
        </w:tc>
        <w:tc>
          <w:tcPr>
            <w:tcW w:w="132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87A1592" w14:textId="469E2933" w:rsidR="00F0206E" w:rsidRPr="00A07F29" w:rsidRDefault="00F0206E" w:rsidP="008959FB">
            <w:pPr>
              <w:spacing w:after="0" w:line="240" w:lineRule="auto"/>
              <w:jc w:val="center"/>
              <w:rPr>
                <w:rFonts w:ascii="Times New Roman" w:eastAsia="Times New Roman" w:hAnsi="Times New Roman" w:cs="Times New Roman"/>
                <w:bCs/>
                <w:color w:val="000000"/>
                <w:sz w:val="20"/>
                <w:szCs w:val="20"/>
              </w:rPr>
            </w:pPr>
            <w:r w:rsidRPr="00A07F29">
              <w:rPr>
                <w:rFonts w:ascii="Times New Roman" w:eastAsia="Times New Roman" w:hAnsi="Times New Roman" w:cs="Times New Roman"/>
                <w:bCs/>
                <w:color w:val="000000"/>
                <w:sz w:val="20"/>
                <w:szCs w:val="20"/>
              </w:rPr>
              <w:t>513</w:t>
            </w:r>
            <w:r w:rsidR="00E8062C" w:rsidRPr="00A07F29">
              <w:rPr>
                <w:rFonts w:ascii="Times New Roman" w:eastAsia="Times New Roman" w:hAnsi="Times New Roman" w:cs="Times New Roman"/>
                <w:bCs/>
                <w:color w:val="000000"/>
                <w:sz w:val="20"/>
                <w:szCs w:val="20"/>
              </w:rPr>
              <w:t>,</w:t>
            </w:r>
            <w:r w:rsidRPr="00A07F29">
              <w:rPr>
                <w:rFonts w:ascii="Times New Roman" w:eastAsia="Times New Roman" w:hAnsi="Times New Roman" w:cs="Times New Roman"/>
                <w:bCs/>
                <w:color w:val="000000"/>
                <w:sz w:val="20"/>
                <w:szCs w:val="20"/>
              </w:rPr>
              <w:t>1</w:t>
            </w:r>
          </w:p>
        </w:tc>
        <w:tc>
          <w:tcPr>
            <w:tcW w:w="2380" w:type="dxa"/>
            <w:tcBorders>
              <w:top w:val="nil"/>
              <w:left w:val="nil"/>
              <w:bottom w:val="single" w:sz="4" w:space="0" w:color="auto"/>
              <w:right w:val="single" w:sz="4" w:space="0" w:color="auto"/>
            </w:tcBorders>
            <w:shd w:val="clear" w:color="auto" w:fill="auto"/>
            <w:noWrap/>
            <w:vAlign w:val="center"/>
            <w:hideMark/>
          </w:tcPr>
          <w:p w14:paraId="5E9A6F0F" w14:textId="77777777" w:rsidR="00F0206E" w:rsidRPr="00A07F29" w:rsidRDefault="00F0206E" w:rsidP="008959FB">
            <w:pPr>
              <w:spacing w:after="0" w:line="240" w:lineRule="auto"/>
              <w:rPr>
                <w:rFonts w:ascii="Times New Roman" w:eastAsia="Times New Roman" w:hAnsi="Times New Roman" w:cs="Times New Roman"/>
                <w:iCs/>
                <w:color w:val="000000"/>
                <w:sz w:val="20"/>
                <w:szCs w:val="20"/>
              </w:rPr>
            </w:pPr>
            <w:r w:rsidRPr="00A07F29">
              <w:rPr>
                <w:rFonts w:ascii="Times New Roman" w:eastAsia="Times New Roman" w:hAnsi="Times New Roman" w:cs="Times New Roman"/>
                <w:iCs/>
                <w:color w:val="000000"/>
                <w:sz w:val="20"/>
                <w:szCs w:val="20"/>
              </w:rPr>
              <w:t>Rapsis, vasaras</w:t>
            </w:r>
          </w:p>
        </w:tc>
        <w:tc>
          <w:tcPr>
            <w:tcW w:w="1445" w:type="dxa"/>
            <w:tcBorders>
              <w:top w:val="nil"/>
              <w:left w:val="nil"/>
              <w:bottom w:val="single" w:sz="4" w:space="0" w:color="auto"/>
              <w:right w:val="single" w:sz="4" w:space="0" w:color="auto"/>
            </w:tcBorders>
            <w:shd w:val="clear" w:color="auto" w:fill="auto"/>
            <w:noWrap/>
            <w:vAlign w:val="center"/>
            <w:hideMark/>
          </w:tcPr>
          <w:p w14:paraId="65A3774D" w14:textId="3C9F6025" w:rsidR="00F0206E" w:rsidRPr="00A07F29" w:rsidRDefault="00F0206E" w:rsidP="00CA1E10">
            <w:pPr>
              <w:spacing w:after="0" w:line="240" w:lineRule="auto"/>
              <w:jc w:val="center"/>
              <w:rPr>
                <w:rFonts w:ascii="Times New Roman" w:eastAsia="Times New Roman" w:hAnsi="Times New Roman" w:cs="Times New Roman"/>
                <w:iCs/>
                <w:color w:val="000000"/>
                <w:sz w:val="20"/>
                <w:szCs w:val="20"/>
              </w:rPr>
            </w:pPr>
            <w:r w:rsidRPr="00A07F29">
              <w:rPr>
                <w:rFonts w:ascii="Times New Roman" w:eastAsia="Times New Roman" w:hAnsi="Times New Roman" w:cs="Times New Roman"/>
                <w:iCs/>
                <w:color w:val="000000"/>
                <w:sz w:val="20"/>
                <w:szCs w:val="20"/>
              </w:rPr>
              <w:t>324</w:t>
            </w:r>
            <w:r w:rsidR="00E8062C" w:rsidRPr="00A07F29">
              <w:rPr>
                <w:rFonts w:ascii="Times New Roman" w:eastAsia="Times New Roman" w:hAnsi="Times New Roman" w:cs="Times New Roman"/>
                <w:iCs/>
                <w:color w:val="000000"/>
                <w:sz w:val="20"/>
                <w:szCs w:val="20"/>
              </w:rPr>
              <w:t>,</w:t>
            </w:r>
            <w:r w:rsidRPr="00A07F29">
              <w:rPr>
                <w:rFonts w:ascii="Times New Roman" w:eastAsia="Times New Roman" w:hAnsi="Times New Roman" w:cs="Times New Roman"/>
                <w:iCs/>
                <w:color w:val="000000"/>
                <w:sz w:val="20"/>
                <w:szCs w:val="20"/>
              </w:rPr>
              <w:t>4</w:t>
            </w:r>
          </w:p>
        </w:tc>
      </w:tr>
      <w:tr w:rsidR="00F0206E" w:rsidRPr="00A07F29" w14:paraId="4821122D" w14:textId="77777777" w:rsidTr="00CA1E10">
        <w:trPr>
          <w:trHeight w:val="288"/>
          <w:jc w:val="center"/>
        </w:trPr>
        <w:tc>
          <w:tcPr>
            <w:tcW w:w="2547" w:type="dxa"/>
            <w:vMerge/>
            <w:tcBorders>
              <w:top w:val="nil"/>
              <w:left w:val="single" w:sz="4" w:space="0" w:color="auto"/>
              <w:bottom w:val="single" w:sz="4" w:space="0" w:color="000000"/>
              <w:right w:val="single" w:sz="4" w:space="0" w:color="auto"/>
            </w:tcBorders>
            <w:vAlign w:val="center"/>
            <w:hideMark/>
          </w:tcPr>
          <w:p w14:paraId="59BC02E7" w14:textId="77777777" w:rsidR="00F0206E" w:rsidRPr="00A07F29" w:rsidRDefault="00F0206E" w:rsidP="008959FB">
            <w:pPr>
              <w:spacing w:after="0" w:line="240" w:lineRule="auto"/>
              <w:rPr>
                <w:rFonts w:ascii="Times New Roman" w:eastAsia="Times New Roman" w:hAnsi="Times New Roman" w:cs="Times New Roman"/>
                <w:bCs/>
                <w:color w:val="000000"/>
                <w:sz w:val="20"/>
                <w:szCs w:val="20"/>
              </w:rPr>
            </w:pPr>
          </w:p>
        </w:tc>
        <w:tc>
          <w:tcPr>
            <w:tcW w:w="1417" w:type="dxa"/>
            <w:vMerge/>
            <w:tcBorders>
              <w:left w:val="single" w:sz="4" w:space="0" w:color="auto"/>
              <w:bottom w:val="single" w:sz="4" w:space="0" w:color="000000"/>
              <w:right w:val="single" w:sz="4" w:space="0" w:color="auto"/>
            </w:tcBorders>
            <w:vAlign w:val="center"/>
          </w:tcPr>
          <w:p w14:paraId="5AE03BE2" w14:textId="77777777" w:rsidR="00F0206E" w:rsidRPr="00A07F29" w:rsidRDefault="00F0206E" w:rsidP="008959FB">
            <w:pPr>
              <w:spacing w:after="0" w:line="240" w:lineRule="auto"/>
              <w:rPr>
                <w:rFonts w:ascii="Times New Roman" w:eastAsia="Times New Roman" w:hAnsi="Times New Roman" w:cs="Times New Roman"/>
                <w:bCs/>
                <w:color w:val="000000"/>
                <w:sz w:val="20"/>
                <w:szCs w:val="20"/>
              </w:rPr>
            </w:pPr>
          </w:p>
        </w:tc>
        <w:tc>
          <w:tcPr>
            <w:tcW w:w="1325" w:type="dxa"/>
            <w:vMerge/>
            <w:tcBorders>
              <w:top w:val="nil"/>
              <w:left w:val="single" w:sz="4" w:space="0" w:color="auto"/>
              <w:bottom w:val="single" w:sz="4" w:space="0" w:color="000000"/>
              <w:right w:val="single" w:sz="4" w:space="0" w:color="auto"/>
            </w:tcBorders>
            <w:vAlign w:val="center"/>
            <w:hideMark/>
          </w:tcPr>
          <w:p w14:paraId="1CC836DB" w14:textId="28B8F6C9" w:rsidR="00F0206E" w:rsidRPr="00A07F29" w:rsidRDefault="00F0206E" w:rsidP="008959FB">
            <w:pPr>
              <w:spacing w:after="0" w:line="240" w:lineRule="auto"/>
              <w:rPr>
                <w:rFonts w:ascii="Times New Roman" w:eastAsia="Times New Roman" w:hAnsi="Times New Roman" w:cs="Times New Roman"/>
                <w:bCs/>
                <w:color w:val="000000"/>
                <w:sz w:val="20"/>
                <w:szCs w:val="20"/>
              </w:rPr>
            </w:pPr>
          </w:p>
        </w:tc>
        <w:tc>
          <w:tcPr>
            <w:tcW w:w="2380" w:type="dxa"/>
            <w:tcBorders>
              <w:top w:val="nil"/>
              <w:left w:val="nil"/>
              <w:bottom w:val="single" w:sz="4" w:space="0" w:color="auto"/>
              <w:right w:val="single" w:sz="4" w:space="0" w:color="auto"/>
            </w:tcBorders>
            <w:shd w:val="clear" w:color="auto" w:fill="auto"/>
            <w:noWrap/>
            <w:vAlign w:val="center"/>
            <w:hideMark/>
          </w:tcPr>
          <w:p w14:paraId="47ED285B" w14:textId="77777777" w:rsidR="00F0206E" w:rsidRPr="00A07F29" w:rsidRDefault="00F0206E" w:rsidP="008959FB">
            <w:pPr>
              <w:spacing w:after="0" w:line="240" w:lineRule="auto"/>
              <w:rPr>
                <w:rFonts w:ascii="Times New Roman" w:eastAsia="Times New Roman" w:hAnsi="Times New Roman" w:cs="Times New Roman"/>
                <w:iCs/>
                <w:color w:val="000000"/>
                <w:sz w:val="20"/>
                <w:szCs w:val="20"/>
              </w:rPr>
            </w:pPr>
            <w:r w:rsidRPr="00A07F29">
              <w:rPr>
                <w:rFonts w:ascii="Times New Roman" w:eastAsia="Times New Roman" w:hAnsi="Times New Roman" w:cs="Times New Roman"/>
                <w:iCs/>
                <w:color w:val="000000"/>
                <w:sz w:val="20"/>
                <w:szCs w:val="20"/>
              </w:rPr>
              <w:t>Rapsis, ziemas</w:t>
            </w:r>
          </w:p>
        </w:tc>
        <w:tc>
          <w:tcPr>
            <w:tcW w:w="1445" w:type="dxa"/>
            <w:tcBorders>
              <w:top w:val="nil"/>
              <w:left w:val="nil"/>
              <w:bottom w:val="single" w:sz="4" w:space="0" w:color="auto"/>
              <w:right w:val="single" w:sz="4" w:space="0" w:color="auto"/>
            </w:tcBorders>
            <w:shd w:val="clear" w:color="auto" w:fill="auto"/>
            <w:noWrap/>
            <w:vAlign w:val="center"/>
            <w:hideMark/>
          </w:tcPr>
          <w:p w14:paraId="7031F8C2" w14:textId="49384462" w:rsidR="00F0206E" w:rsidRPr="00A07F29" w:rsidRDefault="00F0206E" w:rsidP="00CA1E10">
            <w:pPr>
              <w:spacing w:after="0" w:line="240" w:lineRule="auto"/>
              <w:jc w:val="center"/>
              <w:rPr>
                <w:rFonts w:ascii="Times New Roman" w:eastAsia="Times New Roman" w:hAnsi="Times New Roman" w:cs="Times New Roman"/>
                <w:iCs/>
                <w:color w:val="000000"/>
                <w:sz w:val="20"/>
                <w:szCs w:val="20"/>
              </w:rPr>
            </w:pPr>
            <w:r w:rsidRPr="00A07F29">
              <w:rPr>
                <w:rFonts w:ascii="Times New Roman" w:eastAsia="Times New Roman" w:hAnsi="Times New Roman" w:cs="Times New Roman"/>
                <w:iCs/>
                <w:color w:val="000000"/>
                <w:sz w:val="20"/>
                <w:szCs w:val="20"/>
              </w:rPr>
              <w:t>188</w:t>
            </w:r>
            <w:r w:rsidR="00E8062C" w:rsidRPr="00A07F29">
              <w:rPr>
                <w:rFonts w:ascii="Times New Roman" w:eastAsia="Times New Roman" w:hAnsi="Times New Roman" w:cs="Times New Roman"/>
                <w:iCs/>
                <w:color w:val="000000"/>
                <w:sz w:val="20"/>
                <w:szCs w:val="20"/>
              </w:rPr>
              <w:t>,</w:t>
            </w:r>
            <w:r w:rsidRPr="00A07F29">
              <w:rPr>
                <w:rFonts w:ascii="Times New Roman" w:eastAsia="Times New Roman" w:hAnsi="Times New Roman" w:cs="Times New Roman"/>
                <w:iCs/>
                <w:color w:val="000000"/>
                <w:sz w:val="20"/>
                <w:szCs w:val="20"/>
              </w:rPr>
              <w:t>6</w:t>
            </w:r>
          </w:p>
        </w:tc>
      </w:tr>
      <w:tr w:rsidR="00F0206E" w:rsidRPr="00A07F29" w14:paraId="350CC9AF" w14:textId="77777777" w:rsidTr="00CA1E10">
        <w:trPr>
          <w:trHeight w:val="288"/>
          <w:jc w:val="center"/>
        </w:trPr>
        <w:tc>
          <w:tcPr>
            <w:tcW w:w="2547" w:type="dxa"/>
            <w:vMerge w:val="restart"/>
            <w:tcBorders>
              <w:top w:val="nil"/>
              <w:left w:val="single" w:sz="4" w:space="0" w:color="auto"/>
              <w:bottom w:val="single" w:sz="4" w:space="0" w:color="auto"/>
              <w:right w:val="single" w:sz="4" w:space="0" w:color="auto"/>
            </w:tcBorders>
            <w:shd w:val="clear" w:color="auto" w:fill="auto"/>
            <w:vAlign w:val="center"/>
            <w:hideMark/>
          </w:tcPr>
          <w:p w14:paraId="37C3312C" w14:textId="77777777" w:rsidR="00F0206E" w:rsidRPr="00A07F29" w:rsidRDefault="00F0206E" w:rsidP="008959FB">
            <w:pPr>
              <w:spacing w:after="0" w:line="240" w:lineRule="auto"/>
              <w:rPr>
                <w:rFonts w:ascii="Times New Roman" w:eastAsia="Times New Roman" w:hAnsi="Times New Roman" w:cs="Times New Roman"/>
                <w:bCs/>
                <w:color w:val="000000"/>
                <w:sz w:val="20"/>
                <w:szCs w:val="20"/>
              </w:rPr>
            </w:pPr>
            <w:r w:rsidRPr="00A07F29">
              <w:rPr>
                <w:rFonts w:ascii="Times New Roman" w:eastAsia="Times New Roman" w:hAnsi="Times New Roman" w:cs="Times New Roman"/>
                <w:bCs/>
                <w:color w:val="000000"/>
                <w:sz w:val="20"/>
                <w:szCs w:val="20"/>
              </w:rPr>
              <w:t xml:space="preserve">Tauriņzieži, tajā skaitā pākšaugi </w:t>
            </w:r>
            <w:proofErr w:type="spellStart"/>
            <w:r w:rsidRPr="00A07F29">
              <w:rPr>
                <w:rFonts w:ascii="Times New Roman" w:eastAsia="Times New Roman" w:hAnsi="Times New Roman" w:cs="Times New Roman"/>
                <w:bCs/>
                <w:color w:val="000000"/>
                <w:sz w:val="20"/>
                <w:szCs w:val="20"/>
              </w:rPr>
              <w:t>tīrsējā</w:t>
            </w:r>
            <w:proofErr w:type="spellEnd"/>
          </w:p>
        </w:tc>
        <w:tc>
          <w:tcPr>
            <w:tcW w:w="1417" w:type="dxa"/>
            <w:vMerge w:val="restart"/>
            <w:tcBorders>
              <w:top w:val="nil"/>
              <w:left w:val="single" w:sz="4" w:space="0" w:color="auto"/>
              <w:right w:val="single" w:sz="4" w:space="0" w:color="auto"/>
            </w:tcBorders>
            <w:vAlign w:val="center"/>
          </w:tcPr>
          <w:p w14:paraId="573842F8" w14:textId="24A58ADA" w:rsidR="00F0206E" w:rsidRPr="00A07F29" w:rsidRDefault="00F0206E" w:rsidP="00F0206E">
            <w:pPr>
              <w:spacing w:after="0" w:line="240" w:lineRule="auto"/>
              <w:jc w:val="center"/>
              <w:rPr>
                <w:rFonts w:ascii="Times New Roman" w:eastAsia="Times New Roman" w:hAnsi="Times New Roman" w:cs="Times New Roman"/>
                <w:bCs/>
                <w:color w:val="000000"/>
                <w:sz w:val="20"/>
                <w:szCs w:val="20"/>
              </w:rPr>
            </w:pPr>
            <w:r w:rsidRPr="00A07F29">
              <w:rPr>
                <w:rFonts w:ascii="Times New Roman" w:eastAsia="Times New Roman" w:hAnsi="Times New Roman" w:cs="Times New Roman"/>
                <w:bCs/>
                <w:color w:val="000000"/>
                <w:sz w:val="20"/>
                <w:szCs w:val="20"/>
              </w:rPr>
              <w:t>290,3</w:t>
            </w:r>
          </w:p>
        </w:tc>
        <w:tc>
          <w:tcPr>
            <w:tcW w:w="132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642433E" w14:textId="0EA42E62" w:rsidR="00F0206E" w:rsidRPr="00A07F29" w:rsidRDefault="00F0206E" w:rsidP="008959FB">
            <w:pPr>
              <w:spacing w:after="0" w:line="240" w:lineRule="auto"/>
              <w:jc w:val="center"/>
              <w:rPr>
                <w:rFonts w:ascii="Times New Roman" w:eastAsia="Times New Roman" w:hAnsi="Times New Roman" w:cs="Times New Roman"/>
                <w:bCs/>
                <w:color w:val="000000"/>
                <w:sz w:val="20"/>
                <w:szCs w:val="20"/>
              </w:rPr>
            </w:pPr>
            <w:r w:rsidRPr="00A07F29">
              <w:rPr>
                <w:rFonts w:ascii="Times New Roman" w:eastAsia="Times New Roman" w:hAnsi="Times New Roman" w:cs="Times New Roman"/>
                <w:bCs/>
                <w:color w:val="000000"/>
                <w:sz w:val="20"/>
                <w:szCs w:val="20"/>
              </w:rPr>
              <w:t>226</w:t>
            </w:r>
            <w:r w:rsidR="00E8062C" w:rsidRPr="00A07F29">
              <w:rPr>
                <w:rFonts w:ascii="Times New Roman" w:eastAsia="Times New Roman" w:hAnsi="Times New Roman" w:cs="Times New Roman"/>
                <w:bCs/>
                <w:color w:val="000000"/>
                <w:sz w:val="20"/>
                <w:szCs w:val="20"/>
              </w:rPr>
              <w:t>,</w:t>
            </w:r>
            <w:r w:rsidRPr="00A07F29">
              <w:rPr>
                <w:rFonts w:ascii="Times New Roman" w:eastAsia="Times New Roman" w:hAnsi="Times New Roman" w:cs="Times New Roman"/>
                <w:bCs/>
                <w:color w:val="000000"/>
                <w:sz w:val="20"/>
                <w:szCs w:val="20"/>
              </w:rPr>
              <w:t>7</w:t>
            </w:r>
          </w:p>
        </w:tc>
        <w:tc>
          <w:tcPr>
            <w:tcW w:w="2380" w:type="dxa"/>
            <w:tcBorders>
              <w:top w:val="nil"/>
              <w:left w:val="nil"/>
              <w:bottom w:val="single" w:sz="4" w:space="0" w:color="auto"/>
              <w:right w:val="single" w:sz="4" w:space="0" w:color="auto"/>
            </w:tcBorders>
            <w:shd w:val="clear" w:color="auto" w:fill="auto"/>
            <w:noWrap/>
            <w:vAlign w:val="center"/>
            <w:hideMark/>
          </w:tcPr>
          <w:p w14:paraId="471A8EB2" w14:textId="77777777" w:rsidR="00F0206E" w:rsidRPr="00A07F29" w:rsidRDefault="00F0206E" w:rsidP="008959FB">
            <w:pPr>
              <w:spacing w:after="0" w:line="240" w:lineRule="auto"/>
              <w:rPr>
                <w:rFonts w:ascii="Times New Roman" w:eastAsia="Times New Roman" w:hAnsi="Times New Roman" w:cs="Times New Roman"/>
                <w:iCs/>
                <w:color w:val="000000"/>
                <w:sz w:val="20"/>
                <w:szCs w:val="20"/>
              </w:rPr>
            </w:pPr>
            <w:r w:rsidRPr="00A07F29">
              <w:rPr>
                <w:rFonts w:ascii="Times New Roman" w:eastAsia="Times New Roman" w:hAnsi="Times New Roman" w:cs="Times New Roman"/>
                <w:iCs/>
                <w:color w:val="000000"/>
                <w:sz w:val="20"/>
                <w:szCs w:val="20"/>
              </w:rPr>
              <w:t>Zirņi</w:t>
            </w:r>
          </w:p>
        </w:tc>
        <w:tc>
          <w:tcPr>
            <w:tcW w:w="1445" w:type="dxa"/>
            <w:tcBorders>
              <w:top w:val="nil"/>
              <w:left w:val="nil"/>
              <w:bottom w:val="single" w:sz="4" w:space="0" w:color="auto"/>
              <w:right w:val="single" w:sz="4" w:space="0" w:color="auto"/>
            </w:tcBorders>
            <w:shd w:val="clear" w:color="auto" w:fill="auto"/>
            <w:noWrap/>
            <w:vAlign w:val="center"/>
            <w:hideMark/>
          </w:tcPr>
          <w:p w14:paraId="60E10F17" w14:textId="4B9423B7" w:rsidR="00F0206E" w:rsidRPr="00A07F29" w:rsidRDefault="00F0206E" w:rsidP="00CA1E10">
            <w:pPr>
              <w:spacing w:after="0" w:line="240" w:lineRule="auto"/>
              <w:jc w:val="center"/>
              <w:rPr>
                <w:rFonts w:ascii="Times New Roman" w:eastAsia="Times New Roman" w:hAnsi="Times New Roman" w:cs="Times New Roman"/>
                <w:iCs/>
                <w:color w:val="000000"/>
                <w:sz w:val="20"/>
                <w:szCs w:val="20"/>
              </w:rPr>
            </w:pPr>
            <w:r w:rsidRPr="00A07F29">
              <w:rPr>
                <w:rFonts w:ascii="Times New Roman" w:eastAsia="Times New Roman" w:hAnsi="Times New Roman" w:cs="Times New Roman"/>
                <w:iCs/>
                <w:color w:val="000000"/>
                <w:sz w:val="20"/>
                <w:szCs w:val="20"/>
              </w:rPr>
              <w:t>98</w:t>
            </w:r>
            <w:r w:rsidR="00E8062C" w:rsidRPr="00A07F29">
              <w:rPr>
                <w:rFonts w:ascii="Times New Roman" w:eastAsia="Times New Roman" w:hAnsi="Times New Roman" w:cs="Times New Roman"/>
                <w:iCs/>
                <w:color w:val="000000"/>
                <w:sz w:val="20"/>
                <w:szCs w:val="20"/>
              </w:rPr>
              <w:t>,</w:t>
            </w:r>
            <w:r w:rsidRPr="00A07F29">
              <w:rPr>
                <w:rFonts w:ascii="Times New Roman" w:eastAsia="Times New Roman" w:hAnsi="Times New Roman" w:cs="Times New Roman"/>
                <w:iCs/>
                <w:color w:val="000000"/>
                <w:sz w:val="20"/>
                <w:szCs w:val="20"/>
              </w:rPr>
              <w:t>4</w:t>
            </w:r>
          </w:p>
        </w:tc>
      </w:tr>
      <w:tr w:rsidR="00F0206E" w:rsidRPr="00A07F29" w14:paraId="147A4533" w14:textId="77777777" w:rsidTr="00CA1E10">
        <w:trPr>
          <w:trHeight w:val="288"/>
          <w:jc w:val="center"/>
        </w:trPr>
        <w:tc>
          <w:tcPr>
            <w:tcW w:w="2547" w:type="dxa"/>
            <w:vMerge/>
            <w:tcBorders>
              <w:top w:val="nil"/>
              <w:left w:val="single" w:sz="4" w:space="0" w:color="auto"/>
              <w:bottom w:val="single" w:sz="4" w:space="0" w:color="auto"/>
              <w:right w:val="single" w:sz="4" w:space="0" w:color="auto"/>
            </w:tcBorders>
            <w:vAlign w:val="center"/>
            <w:hideMark/>
          </w:tcPr>
          <w:p w14:paraId="46A220BB" w14:textId="77777777" w:rsidR="00F0206E" w:rsidRPr="00A07F29" w:rsidRDefault="00F0206E" w:rsidP="008959FB">
            <w:pPr>
              <w:spacing w:after="0" w:line="240" w:lineRule="auto"/>
              <w:rPr>
                <w:rFonts w:ascii="Times New Roman" w:eastAsia="Times New Roman" w:hAnsi="Times New Roman" w:cs="Times New Roman"/>
                <w:bCs/>
                <w:color w:val="000000"/>
                <w:sz w:val="20"/>
                <w:szCs w:val="20"/>
              </w:rPr>
            </w:pPr>
          </w:p>
        </w:tc>
        <w:tc>
          <w:tcPr>
            <w:tcW w:w="1417" w:type="dxa"/>
            <w:vMerge/>
            <w:tcBorders>
              <w:left w:val="single" w:sz="4" w:space="0" w:color="auto"/>
              <w:right w:val="single" w:sz="4" w:space="0" w:color="auto"/>
            </w:tcBorders>
            <w:vAlign w:val="center"/>
          </w:tcPr>
          <w:p w14:paraId="2BBEDF78" w14:textId="77777777" w:rsidR="00F0206E" w:rsidRPr="00A07F29" w:rsidRDefault="00F0206E" w:rsidP="008959FB">
            <w:pPr>
              <w:spacing w:after="0" w:line="240" w:lineRule="auto"/>
              <w:rPr>
                <w:rFonts w:ascii="Times New Roman" w:eastAsia="Times New Roman" w:hAnsi="Times New Roman" w:cs="Times New Roman"/>
                <w:bCs/>
                <w:color w:val="000000"/>
                <w:sz w:val="20"/>
                <w:szCs w:val="20"/>
              </w:rPr>
            </w:pPr>
          </w:p>
        </w:tc>
        <w:tc>
          <w:tcPr>
            <w:tcW w:w="1325" w:type="dxa"/>
            <w:vMerge/>
            <w:tcBorders>
              <w:top w:val="nil"/>
              <w:left w:val="single" w:sz="4" w:space="0" w:color="auto"/>
              <w:bottom w:val="single" w:sz="4" w:space="0" w:color="000000"/>
              <w:right w:val="single" w:sz="4" w:space="0" w:color="auto"/>
            </w:tcBorders>
            <w:vAlign w:val="center"/>
            <w:hideMark/>
          </w:tcPr>
          <w:p w14:paraId="54CE7DD3" w14:textId="246E04E7" w:rsidR="00F0206E" w:rsidRPr="00A07F29" w:rsidRDefault="00F0206E" w:rsidP="008959FB">
            <w:pPr>
              <w:spacing w:after="0" w:line="240" w:lineRule="auto"/>
              <w:rPr>
                <w:rFonts w:ascii="Times New Roman" w:eastAsia="Times New Roman" w:hAnsi="Times New Roman" w:cs="Times New Roman"/>
                <w:bCs/>
                <w:color w:val="000000"/>
                <w:sz w:val="20"/>
                <w:szCs w:val="20"/>
              </w:rPr>
            </w:pPr>
          </w:p>
        </w:tc>
        <w:tc>
          <w:tcPr>
            <w:tcW w:w="2380" w:type="dxa"/>
            <w:tcBorders>
              <w:top w:val="nil"/>
              <w:left w:val="nil"/>
              <w:bottom w:val="single" w:sz="4" w:space="0" w:color="auto"/>
              <w:right w:val="single" w:sz="4" w:space="0" w:color="auto"/>
            </w:tcBorders>
            <w:shd w:val="clear" w:color="auto" w:fill="auto"/>
            <w:noWrap/>
            <w:vAlign w:val="center"/>
            <w:hideMark/>
          </w:tcPr>
          <w:p w14:paraId="10BDE3F8" w14:textId="77777777" w:rsidR="00F0206E" w:rsidRPr="00A07F29" w:rsidRDefault="00F0206E" w:rsidP="008959FB">
            <w:pPr>
              <w:spacing w:after="0" w:line="240" w:lineRule="auto"/>
              <w:rPr>
                <w:rFonts w:ascii="Times New Roman" w:eastAsia="Times New Roman" w:hAnsi="Times New Roman" w:cs="Times New Roman"/>
                <w:iCs/>
                <w:color w:val="000000"/>
                <w:sz w:val="20"/>
                <w:szCs w:val="20"/>
              </w:rPr>
            </w:pPr>
            <w:r w:rsidRPr="00A07F29">
              <w:rPr>
                <w:rFonts w:ascii="Times New Roman" w:eastAsia="Times New Roman" w:hAnsi="Times New Roman" w:cs="Times New Roman"/>
                <w:iCs/>
                <w:color w:val="000000"/>
                <w:sz w:val="20"/>
                <w:szCs w:val="20"/>
              </w:rPr>
              <w:t>Sarkanais āboliņš</w:t>
            </w:r>
          </w:p>
        </w:tc>
        <w:tc>
          <w:tcPr>
            <w:tcW w:w="1445" w:type="dxa"/>
            <w:tcBorders>
              <w:top w:val="nil"/>
              <w:left w:val="nil"/>
              <w:bottom w:val="single" w:sz="4" w:space="0" w:color="auto"/>
              <w:right w:val="single" w:sz="4" w:space="0" w:color="auto"/>
            </w:tcBorders>
            <w:shd w:val="clear" w:color="auto" w:fill="auto"/>
            <w:noWrap/>
            <w:vAlign w:val="center"/>
            <w:hideMark/>
          </w:tcPr>
          <w:p w14:paraId="5FDF4C2D" w14:textId="0D2B1394" w:rsidR="00F0206E" w:rsidRPr="00A07F29" w:rsidRDefault="00F0206E" w:rsidP="00CA1E10">
            <w:pPr>
              <w:spacing w:after="0" w:line="240" w:lineRule="auto"/>
              <w:jc w:val="center"/>
              <w:rPr>
                <w:rFonts w:ascii="Times New Roman" w:eastAsia="Times New Roman" w:hAnsi="Times New Roman" w:cs="Times New Roman"/>
                <w:iCs/>
                <w:color w:val="000000"/>
                <w:sz w:val="20"/>
                <w:szCs w:val="20"/>
              </w:rPr>
            </w:pPr>
            <w:r w:rsidRPr="00A07F29">
              <w:rPr>
                <w:rFonts w:ascii="Times New Roman" w:eastAsia="Times New Roman" w:hAnsi="Times New Roman" w:cs="Times New Roman"/>
                <w:iCs/>
                <w:color w:val="000000"/>
                <w:sz w:val="20"/>
                <w:szCs w:val="20"/>
              </w:rPr>
              <w:t>96</w:t>
            </w:r>
            <w:r w:rsidR="00E8062C" w:rsidRPr="00A07F29">
              <w:rPr>
                <w:rFonts w:ascii="Times New Roman" w:eastAsia="Times New Roman" w:hAnsi="Times New Roman" w:cs="Times New Roman"/>
                <w:iCs/>
                <w:color w:val="000000"/>
                <w:sz w:val="20"/>
                <w:szCs w:val="20"/>
              </w:rPr>
              <w:t>,</w:t>
            </w:r>
            <w:r w:rsidRPr="00A07F29">
              <w:rPr>
                <w:rFonts w:ascii="Times New Roman" w:eastAsia="Times New Roman" w:hAnsi="Times New Roman" w:cs="Times New Roman"/>
                <w:iCs/>
                <w:color w:val="000000"/>
                <w:sz w:val="20"/>
                <w:szCs w:val="20"/>
              </w:rPr>
              <w:t>9</w:t>
            </w:r>
          </w:p>
        </w:tc>
      </w:tr>
      <w:tr w:rsidR="00F0206E" w:rsidRPr="00A07F29" w14:paraId="6C1ED934" w14:textId="77777777" w:rsidTr="00CA1E10">
        <w:trPr>
          <w:trHeight w:val="288"/>
          <w:jc w:val="center"/>
        </w:trPr>
        <w:tc>
          <w:tcPr>
            <w:tcW w:w="2547" w:type="dxa"/>
            <w:vMerge/>
            <w:tcBorders>
              <w:top w:val="nil"/>
              <w:left w:val="single" w:sz="4" w:space="0" w:color="auto"/>
              <w:bottom w:val="single" w:sz="4" w:space="0" w:color="auto"/>
              <w:right w:val="single" w:sz="4" w:space="0" w:color="auto"/>
            </w:tcBorders>
            <w:vAlign w:val="center"/>
            <w:hideMark/>
          </w:tcPr>
          <w:p w14:paraId="31BD69C1" w14:textId="77777777" w:rsidR="00F0206E" w:rsidRPr="00A07F29" w:rsidRDefault="00F0206E" w:rsidP="008959FB">
            <w:pPr>
              <w:spacing w:after="0" w:line="240" w:lineRule="auto"/>
              <w:rPr>
                <w:rFonts w:ascii="Times New Roman" w:eastAsia="Times New Roman" w:hAnsi="Times New Roman" w:cs="Times New Roman"/>
                <w:bCs/>
                <w:color w:val="000000"/>
                <w:sz w:val="20"/>
                <w:szCs w:val="20"/>
              </w:rPr>
            </w:pPr>
          </w:p>
        </w:tc>
        <w:tc>
          <w:tcPr>
            <w:tcW w:w="1417" w:type="dxa"/>
            <w:vMerge/>
            <w:tcBorders>
              <w:left w:val="single" w:sz="4" w:space="0" w:color="auto"/>
              <w:bottom w:val="single" w:sz="4" w:space="0" w:color="000000"/>
              <w:right w:val="single" w:sz="4" w:space="0" w:color="auto"/>
            </w:tcBorders>
            <w:vAlign w:val="center"/>
          </w:tcPr>
          <w:p w14:paraId="2D6C0C20" w14:textId="77777777" w:rsidR="00F0206E" w:rsidRPr="00A07F29" w:rsidRDefault="00F0206E" w:rsidP="008959FB">
            <w:pPr>
              <w:spacing w:after="0" w:line="240" w:lineRule="auto"/>
              <w:rPr>
                <w:rFonts w:ascii="Times New Roman" w:eastAsia="Times New Roman" w:hAnsi="Times New Roman" w:cs="Times New Roman"/>
                <w:bCs/>
                <w:color w:val="000000"/>
                <w:sz w:val="20"/>
                <w:szCs w:val="20"/>
              </w:rPr>
            </w:pPr>
          </w:p>
        </w:tc>
        <w:tc>
          <w:tcPr>
            <w:tcW w:w="1325" w:type="dxa"/>
            <w:vMerge/>
            <w:tcBorders>
              <w:top w:val="nil"/>
              <w:left w:val="single" w:sz="4" w:space="0" w:color="auto"/>
              <w:bottom w:val="single" w:sz="4" w:space="0" w:color="000000"/>
              <w:right w:val="single" w:sz="4" w:space="0" w:color="auto"/>
            </w:tcBorders>
            <w:vAlign w:val="center"/>
            <w:hideMark/>
          </w:tcPr>
          <w:p w14:paraId="4A8EDBBE" w14:textId="548FD85B" w:rsidR="00F0206E" w:rsidRPr="00A07F29" w:rsidRDefault="00F0206E" w:rsidP="008959FB">
            <w:pPr>
              <w:spacing w:after="0" w:line="240" w:lineRule="auto"/>
              <w:rPr>
                <w:rFonts w:ascii="Times New Roman" w:eastAsia="Times New Roman" w:hAnsi="Times New Roman" w:cs="Times New Roman"/>
                <w:bCs/>
                <w:color w:val="000000"/>
                <w:sz w:val="20"/>
                <w:szCs w:val="20"/>
              </w:rPr>
            </w:pPr>
          </w:p>
        </w:tc>
        <w:tc>
          <w:tcPr>
            <w:tcW w:w="2380" w:type="dxa"/>
            <w:tcBorders>
              <w:top w:val="nil"/>
              <w:left w:val="nil"/>
              <w:bottom w:val="single" w:sz="4" w:space="0" w:color="auto"/>
              <w:right w:val="single" w:sz="4" w:space="0" w:color="auto"/>
            </w:tcBorders>
            <w:shd w:val="clear" w:color="auto" w:fill="auto"/>
            <w:noWrap/>
            <w:vAlign w:val="center"/>
            <w:hideMark/>
          </w:tcPr>
          <w:p w14:paraId="6590DE90" w14:textId="77777777" w:rsidR="00F0206E" w:rsidRPr="00A07F29" w:rsidRDefault="00F0206E" w:rsidP="008959FB">
            <w:pPr>
              <w:spacing w:after="0" w:line="240" w:lineRule="auto"/>
              <w:rPr>
                <w:rFonts w:ascii="Times New Roman" w:eastAsia="Times New Roman" w:hAnsi="Times New Roman" w:cs="Times New Roman"/>
                <w:iCs/>
                <w:color w:val="000000"/>
                <w:sz w:val="20"/>
                <w:szCs w:val="20"/>
              </w:rPr>
            </w:pPr>
            <w:r w:rsidRPr="00A07F29">
              <w:rPr>
                <w:rFonts w:ascii="Times New Roman" w:eastAsia="Times New Roman" w:hAnsi="Times New Roman" w:cs="Times New Roman"/>
                <w:iCs/>
                <w:color w:val="000000"/>
                <w:sz w:val="20"/>
                <w:szCs w:val="20"/>
              </w:rPr>
              <w:t>Amoliņš</w:t>
            </w:r>
          </w:p>
        </w:tc>
        <w:tc>
          <w:tcPr>
            <w:tcW w:w="1445" w:type="dxa"/>
            <w:tcBorders>
              <w:top w:val="nil"/>
              <w:left w:val="nil"/>
              <w:bottom w:val="single" w:sz="4" w:space="0" w:color="auto"/>
              <w:right w:val="single" w:sz="4" w:space="0" w:color="auto"/>
            </w:tcBorders>
            <w:shd w:val="clear" w:color="auto" w:fill="auto"/>
            <w:noWrap/>
            <w:vAlign w:val="center"/>
            <w:hideMark/>
          </w:tcPr>
          <w:p w14:paraId="01B732A7" w14:textId="489ABE0D" w:rsidR="00F0206E" w:rsidRPr="00A07F29" w:rsidRDefault="00F0206E" w:rsidP="00CA1E10">
            <w:pPr>
              <w:spacing w:after="0" w:line="240" w:lineRule="auto"/>
              <w:jc w:val="center"/>
              <w:rPr>
                <w:rFonts w:ascii="Times New Roman" w:eastAsia="Times New Roman" w:hAnsi="Times New Roman" w:cs="Times New Roman"/>
                <w:iCs/>
                <w:color w:val="000000"/>
                <w:sz w:val="20"/>
                <w:szCs w:val="20"/>
              </w:rPr>
            </w:pPr>
            <w:r w:rsidRPr="00A07F29">
              <w:rPr>
                <w:rFonts w:ascii="Times New Roman" w:eastAsia="Times New Roman" w:hAnsi="Times New Roman" w:cs="Times New Roman"/>
                <w:iCs/>
                <w:color w:val="000000"/>
                <w:sz w:val="20"/>
                <w:szCs w:val="20"/>
              </w:rPr>
              <w:t>20</w:t>
            </w:r>
            <w:r w:rsidR="00E8062C" w:rsidRPr="00A07F29">
              <w:rPr>
                <w:rFonts w:ascii="Times New Roman" w:eastAsia="Times New Roman" w:hAnsi="Times New Roman" w:cs="Times New Roman"/>
                <w:iCs/>
                <w:color w:val="000000"/>
                <w:sz w:val="20"/>
                <w:szCs w:val="20"/>
              </w:rPr>
              <w:t>,</w:t>
            </w:r>
            <w:r w:rsidRPr="00A07F29">
              <w:rPr>
                <w:rFonts w:ascii="Times New Roman" w:eastAsia="Times New Roman" w:hAnsi="Times New Roman" w:cs="Times New Roman"/>
                <w:iCs/>
                <w:color w:val="000000"/>
                <w:sz w:val="20"/>
                <w:szCs w:val="20"/>
              </w:rPr>
              <w:t>8</w:t>
            </w:r>
          </w:p>
        </w:tc>
      </w:tr>
      <w:tr w:rsidR="00CA1E10" w:rsidRPr="00A07F29" w14:paraId="376B1769" w14:textId="77777777" w:rsidTr="00CA1E10">
        <w:trPr>
          <w:trHeight w:val="288"/>
          <w:jc w:val="center"/>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767F83FF" w14:textId="77777777" w:rsidR="00F0206E" w:rsidRPr="00A07F29" w:rsidRDefault="00F0206E" w:rsidP="008959FB">
            <w:pPr>
              <w:spacing w:after="0" w:line="240" w:lineRule="auto"/>
              <w:rPr>
                <w:rFonts w:ascii="Times New Roman" w:eastAsia="Times New Roman" w:hAnsi="Times New Roman" w:cs="Times New Roman"/>
                <w:bCs/>
                <w:color w:val="000000"/>
                <w:sz w:val="20"/>
                <w:szCs w:val="20"/>
              </w:rPr>
            </w:pPr>
            <w:proofErr w:type="spellStart"/>
            <w:r w:rsidRPr="00A07F29">
              <w:rPr>
                <w:rFonts w:ascii="Times New Roman" w:eastAsia="Times New Roman" w:hAnsi="Times New Roman" w:cs="Times New Roman"/>
                <w:bCs/>
                <w:color w:val="000000"/>
                <w:sz w:val="20"/>
                <w:szCs w:val="20"/>
              </w:rPr>
              <w:t>Zaļmasas</w:t>
            </w:r>
            <w:proofErr w:type="spellEnd"/>
            <w:r w:rsidRPr="00A07F29">
              <w:rPr>
                <w:rFonts w:ascii="Times New Roman" w:eastAsia="Times New Roman" w:hAnsi="Times New Roman" w:cs="Times New Roman"/>
                <w:bCs/>
                <w:color w:val="000000"/>
                <w:sz w:val="20"/>
                <w:szCs w:val="20"/>
              </w:rPr>
              <w:t xml:space="preserve"> augi un lopbarības sakņaugi</w:t>
            </w:r>
          </w:p>
        </w:tc>
        <w:tc>
          <w:tcPr>
            <w:tcW w:w="1417" w:type="dxa"/>
            <w:tcBorders>
              <w:top w:val="single" w:sz="4" w:space="0" w:color="000000"/>
              <w:left w:val="nil"/>
              <w:bottom w:val="single" w:sz="4" w:space="0" w:color="auto"/>
              <w:right w:val="single" w:sz="4" w:space="0" w:color="auto"/>
            </w:tcBorders>
            <w:vAlign w:val="center"/>
          </w:tcPr>
          <w:p w14:paraId="7243DD90" w14:textId="3060BEA3" w:rsidR="00F0206E" w:rsidRPr="00A07F29" w:rsidRDefault="00F0206E" w:rsidP="00F0206E">
            <w:pPr>
              <w:spacing w:after="0" w:line="240" w:lineRule="auto"/>
              <w:jc w:val="center"/>
              <w:rPr>
                <w:rFonts w:ascii="Times New Roman" w:eastAsia="Times New Roman" w:hAnsi="Times New Roman" w:cs="Times New Roman"/>
                <w:bCs/>
                <w:color w:val="000000"/>
                <w:sz w:val="20"/>
                <w:szCs w:val="20"/>
              </w:rPr>
            </w:pPr>
            <w:r w:rsidRPr="00A07F29">
              <w:rPr>
                <w:rFonts w:ascii="Times New Roman" w:eastAsia="Times New Roman" w:hAnsi="Times New Roman" w:cs="Times New Roman"/>
                <w:bCs/>
                <w:color w:val="000000"/>
                <w:sz w:val="20"/>
                <w:szCs w:val="20"/>
              </w:rPr>
              <w:t>175,0</w:t>
            </w:r>
          </w:p>
        </w:tc>
        <w:tc>
          <w:tcPr>
            <w:tcW w:w="1325" w:type="dxa"/>
            <w:tcBorders>
              <w:top w:val="nil"/>
              <w:left w:val="single" w:sz="4" w:space="0" w:color="auto"/>
              <w:bottom w:val="single" w:sz="4" w:space="0" w:color="auto"/>
              <w:right w:val="single" w:sz="4" w:space="0" w:color="auto"/>
            </w:tcBorders>
            <w:shd w:val="clear" w:color="auto" w:fill="auto"/>
            <w:noWrap/>
            <w:vAlign w:val="center"/>
            <w:hideMark/>
          </w:tcPr>
          <w:p w14:paraId="14F7B1F8" w14:textId="7379D5C8" w:rsidR="00F0206E" w:rsidRPr="00A07F29" w:rsidRDefault="00F0206E" w:rsidP="008959FB">
            <w:pPr>
              <w:spacing w:after="0" w:line="240" w:lineRule="auto"/>
              <w:jc w:val="center"/>
              <w:rPr>
                <w:rFonts w:ascii="Times New Roman" w:eastAsia="Times New Roman" w:hAnsi="Times New Roman" w:cs="Times New Roman"/>
                <w:bCs/>
                <w:color w:val="000000"/>
                <w:sz w:val="20"/>
                <w:szCs w:val="20"/>
              </w:rPr>
            </w:pPr>
            <w:r w:rsidRPr="00A07F29">
              <w:rPr>
                <w:rFonts w:ascii="Times New Roman" w:eastAsia="Times New Roman" w:hAnsi="Times New Roman" w:cs="Times New Roman"/>
                <w:bCs/>
                <w:color w:val="000000"/>
                <w:sz w:val="20"/>
                <w:szCs w:val="20"/>
              </w:rPr>
              <w:t>115</w:t>
            </w:r>
            <w:r w:rsidR="00E8062C" w:rsidRPr="00A07F29">
              <w:rPr>
                <w:rFonts w:ascii="Times New Roman" w:eastAsia="Times New Roman" w:hAnsi="Times New Roman" w:cs="Times New Roman"/>
                <w:bCs/>
                <w:color w:val="000000"/>
                <w:sz w:val="20"/>
                <w:szCs w:val="20"/>
              </w:rPr>
              <w:t>,</w:t>
            </w:r>
            <w:r w:rsidRPr="00A07F29">
              <w:rPr>
                <w:rFonts w:ascii="Times New Roman" w:eastAsia="Times New Roman" w:hAnsi="Times New Roman" w:cs="Times New Roman"/>
                <w:bCs/>
                <w:color w:val="000000"/>
                <w:sz w:val="20"/>
                <w:szCs w:val="20"/>
              </w:rPr>
              <w:t>2</w:t>
            </w:r>
          </w:p>
        </w:tc>
        <w:tc>
          <w:tcPr>
            <w:tcW w:w="2380" w:type="dxa"/>
            <w:tcBorders>
              <w:top w:val="nil"/>
              <w:left w:val="nil"/>
              <w:bottom w:val="single" w:sz="4" w:space="0" w:color="auto"/>
              <w:right w:val="single" w:sz="4" w:space="0" w:color="auto"/>
            </w:tcBorders>
            <w:shd w:val="clear" w:color="auto" w:fill="auto"/>
            <w:noWrap/>
            <w:vAlign w:val="center"/>
            <w:hideMark/>
          </w:tcPr>
          <w:p w14:paraId="7D7332F5" w14:textId="77777777" w:rsidR="00F0206E" w:rsidRPr="00A07F29" w:rsidRDefault="00F0206E" w:rsidP="008959FB">
            <w:pPr>
              <w:spacing w:after="0" w:line="240" w:lineRule="auto"/>
              <w:rPr>
                <w:rFonts w:ascii="Times New Roman" w:eastAsia="Times New Roman" w:hAnsi="Times New Roman" w:cs="Times New Roman"/>
                <w:iCs/>
                <w:color w:val="000000"/>
                <w:sz w:val="20"/>
                <w:szCs w:val="20"/>
              </w:rPr>
            </w:pPr>
            <w:r w:rsidRPr="00A07F29">
              <w:rPr>
                <w:rFonts w:ascii="Times New Roman" w:eastAsia="Times New Roman" w:hAnsi="Times New Roman" w:cs="Times New Roman"/>
                <w:iCs/>
                <w:color w:val="000000"/>
                <w:sz w:val="20"/>
                <w:szCs w:val="20"/>
              </w:rPr>
              <w:t>Kukurūza</w:t>
            </w:r>
          </w:p>
        </w:tc>
        <w:tc>
          <w:tcPr>
            <w:tcW w:w="1445" w:type="dxa"/>
            <w:tcBorders>
              <w:top w:val="nil"/>
              <w:left w:val="nil"/>
              <w:bottom w:val="single" w:sz="4" w:space="0" w:color="auto"/>
              <w:right w:val="single" w:sz="4" w:space="0" w:color="auto"/>
            </w:tcBorders>
            <w:shd w:val="clear" w:color="auto" w:fill="auto"/>
            <w:noWrap/>
            <w:vAlign w:val="center"/>
            <w:hideMark/>
          </w:tcPr>
          <w:p w14:paraId="4776E63A" w14:textId="240B4A6D" w:rsidR="00F0206E" w:rsidRPr="00A07F29" w:rsidRDefault="00F0206E" w:rsidP="00CA1E10">
            <w:pPr>
              <w:spacing w:after="0" w:line="240" w:lineRule="auto"/>
              <w:jc w:val="center"/>
              <w:rPr>
                <w:rFonts w:ascii="Times New Roman" w:eastAsia="Times New Roman" w:hAnsi="Times New Roman" w:cs="Times New Roman"/>
                <w:iCs/>
                <w:color w:val="000000"/>
                <w:sz w:val="20"/>
                <w:szCs w:val="20"/>
              </w:rPr>
            </w:pPr>
            <w:r w:rsidRPr="00A07F29">
              <w:rPr>
                <w:rFonts w:ascii="Times New Roman" w:eastAsia="Times New Roman" w:hAnsi="Times New Roman" w:cs="Times New Roman"/>
                <w:iCs/>
                <w:color w:val="000000"/>
                <w:sz w:val="20"/>
                <w:szCs w:val="20"/>
              </w:rPr>
              <w:t>115</w:t>
            </w:r>
            <w:r w:rsidR="00E8062C" w:rsidRPr="00A07F29">
              <w:rPr>
                <w:rFonts w:ascii="Times New Roman" w:eastAsia="Times New Roman" w:hAnsi="Times New Roman" w:cs="Times New Roman"/>
                <w:iCs/>
                <w:color w:val="000000"/>
                <w:sz w:val="20"/>
                <w:szCs w:val="20"/>
              </w:rPr>
              <w:t>,</w:t>
            </w:r>
            <w:r w:rsidRPr="00A07F29">
              <w:rPr>
                <w:rFonts w:ascii="Times New Roman" w:eastAsia="Times New Roman" w:hAnsi="Times New Roman" w:cs="Times New Roman"/>
                <w:iCs/>
                <w:color w:val="000000"/>
                <w:sz w:val="20"/>
                <w:szCs w:val="20"/>
              </w:rPr>
              <w:t>2</w:t>
            </w:r>
          </w:p>
        </w:tc>
      </w:tr>
      <w:tr w:rsidR="00CA1E10" w:rsidRPr="00A07F29" w14:paraId="412DE695" w14:textId="77777777" w:rsidTr="00CA1E10">
        <w:trPr>
          <w:trHeight w:val="288"/>
          <w:jc w:val="center"/>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226DF6E8" w14:textId="77777777" w:rsidR="00F0206E" w:rsidRPr="00A07F29" w:rsidRDefault="00F0206E" w:rsidP="008959FB">
            <w:pPr>
              <w:spacing w:after="0" w:line="240" w:lineRule="auto"/>
              <w:rPr>
                <w:rFonts w:ascii="Times New Roman" w:eastAsia="Times New Roman" w:hAnsi="Times New Roman" w:cs="Times New Roman"/>
                <w:bCs/>
                <w:color w:val="000000"/>
                <w:sz w:val="20"/>
                <w:szCs w:val="20"/>
              </w:rPr>
            </w:pPr>
            <w:r w:rsidRPr="00A07F29">
              <w:rPr>
                <w:rFonts w:ascii="Times New Roman" w:eastAsia="Times New Roman" w:hAnsi="Times New Roman" w:cs="Times New Roman"/>
                <w:bCs/>
                <w:color w:val="000000"/>
                <w:sz w:val="20"/>
                <w:szCs w:val="20"/>
              </w:rPr>
              <w:t>Dārzeņi</w:t>
            </w:r>
          </w:p>
        </w:tc>
        <w:tc>
          <w:tcPr>
            <w:tcW w:w="1417" w:type="dxa"/>
            <w:tcBorders>
              <w:top w:val="single" w:sz="4" w:space="0" w:color="auto"/>
              <w:left w:val="nil"/>
              <w:bottom w:val="single" w:sz="4" w:space="0" w:color="auto"/>
              <w:right w:val="single" w:sz="4" w:space="0" w:color="auto"/>
            </w:tcBorders>
            <w:vAlign w:val="center"/>
          </w:tcPr>
          <w:p w14:paraId="4B849502" w14:textId="20F6925C" w:rsidR="00F0206E" w:rsidRPr="00A07F29" w:rsidRDefault="006749BE" w:rsidP="008959FB">
            <w:pPr>
              <w:spacing w:after="0" w:line="240" w:lineRule="auto"/>
              <w:jc w:val="center"/>
              <w:rPr>
                <w:rFonts w:ascii="Times New Roman" w:eastAsia="Times New Roman" w:hAnsi="Times New Roman" w:cs="Times New Roman"/>
                <w:bCs/>
                <w:color w:val="000000"/>
                <w:sz w:val="20"/>
                <w:szCs w:val="20"/>
              </w:rPr>
            </w:pPr>
            <w:r w:rsidRPr="00A07F29">
              <w:rPr>
                <w:rFonts w:ascii="Times New Roman" w:eastAsia="Times New Roman" w:hAnsi="Times New Roman" w:cs="Times New Roman"/>
                <w:bCs/>
                <w:color w:val="000000"/>
                <w:sz w:val="20"/>
                <w:szCs w:val="20"/>
              </w:rPr>
              <w:t>96,0</w:t>
            </w:r>
          </w:p>
        </w:tc>
        <w:tc>
          <w:tcPr>
            <w:tcW w:w="1325" w:type="dxa"/>
            <w:tcBorders>
              <w:top w:val="nil"/>
              <w:left w:val="single" w:sz="4" w:space="0" w:color="auto"/>
              <w:bottom w:val="single" w:sz="4" w:space="0" w:color="auto"/>
              <w:right w:val="single" w:sz="4" w:space="0" w:color="auto"/>
            </w:tcBorders>
            <w:shd w:val="clear" w:color="auto" w:fill="auto"/>
            <w:noWrap/>
            <w:vAlign w:val="center"/>
            <w:hideMark/>
          </w:tcPr>
          <w:p w14:paraId="6FA5DB00" w14:textId="6032F94F" w:rsidR="00F0206E" w:rsidRPr="00A07F29" w:rsidRDefault="00F0206E" w:rsidP="008959FB">
            <w:pPr>
              <w:spacing w:after="0" w:line="240" w:lineRule="auto"/>
              <w:jc w:val="center"/>
              <w:rPr>
                <w:rFonts w:ascii="Times New Roman" w:eastAsia="Times New Roman" w:hAnsi="Times New Roman" w:cs="Times New Roman"/>
                <w:bCs/>
                <w:color w:val="000000"/>
                <w:sz w:val="20"/>
                <w:szCs w:val="20"/>
              </w:rPr>
            </w:pPr>
            <w:r w:rsidRPr="00A07F29">
              <w:rPr>
                <w:rFonts w:ascii="Times New Roman" w:eastAsia="Times New Roman" w:hAnsi="Times New Roman" w:cs="Times New Roman"/>
                <w:bCs/>
                <w:color w:val="000000"/>
                <w:sz w:val="20"/>
                <w:szCs w:val="20"/>
              </w:rPr>
              <w:t>93</w:t>
            </w:r>
            <w:r w:rsidR="00E8062C" w:rsidRPr="00A07F29">
              <w:rPr>
                <w:rFonts w:ascii="Times New Roman" w:eastAsia="Times New Roman" w:hAnsi="Times New Roman" w:cs="Times New Roman"/>
                <w:bCs/>
                <w:color w:val="000000"/>
                <w:sz w:val="20"/>
                <w:szCs w:val="20"/>
              </w:rPr>
              <w:t>,</w:t>
            </w:r>
            <w:r w:rsidRPr="00A07F29">
              <w:rPr>
                <w:rFonts w:ascii="Times New Roman" w:eastAsia="Times New Roman" w:hAnsi="Times New Roman" w:cs="Times New Roman"/>
                <w:bCs/>
                <w:color w:val="000000"/>
                <w:sz w:val="20"/>
                <w:szCs w:val="20"/>
              </w:rPr>
              <w:t>3</w:t>
            </w:r>
          </w:p>
        </w:tc>
        <w:tc>
          <w:tcPr>
            <w:tcW w:w="2380" w:type="dxa"/>
            <w:tcBorders>
              <w:top w:val="nil"/>
              <w:left w:val="nil"/>
              <w:bottom w:val="single" w:sz="4" w:space="0" w:color="auto"/>
              <w:right w:val="single" w:sz="4" w:space="0" w:color="auto"/>
            </w:tcBorders>
            <w:shd w:val="clear" w:color="auto" w:fill="auto"/>
            <w:noWrap/>
            <w:vAlign w:val="center"/>
            <w:hideMark/>
          </w:tcPr>
          <w:p w14:paraId="48CF7C18" w14:textId="77777777" w:rsidR="00F0206E" w:rsidRPr="00A07F29" w:rsidRDefault="00F0206E" w:rsidP="008959FB">
            <w:pPr>
              <w:spacing w:after="0" w:line="240" w:lineRule="auto"/>
              <w:rPr>
                <w:rFonts w:ascii="Times New Roman" w:eastAsia="Times New Roman" w:hAnsi="Times New Roman" w:cs="Times New Roman"/>
                <w:iCs/>
                <w:color w:val="000000"/>
                <w:sz w:val="20"/>
                <w:szCs w:val="20"/>
              </w:rPr>
            </w:pPr>
            <w:r w:rsidRPr="00A07F29">
              <w:rPr>
                <w:rFonts w:ascii="Times New Roman" w:eastAsia="Times New Roman" w:hAnsi="Times New Roman" w:cs="Times New Roman"/>
                <w:iCs/>
                <w:color w:val="000000"/>
                <w:sz w:val="20"/>
                <w:szCs w:val="20"/>
              </w:rPr>
              <w:t>Kartupeļi</w:t>
            </w:r>
          </w:p>
        </w:tc>
        <w:tc>
          <w:tcPr>
            <w:tcW w:w="1445" w:type="dxa"/>
            <w:tcBorders>
              <w:top w:val="nil"/>
              <w:left w:val="nil"/>
              <w:bottom w:val="single" w:sz="4" w:space="0" w:color="auto"/>
              <w:right w:val="single" w:sz="4" w:space="0" w:color="auto"/>
            </w:tcBorders>
            <w:shd w:val="clear" w:color="auto" w:fill="auto"/>
            <w:noWrap/>
            <w:vAlign w:val="center"/>
            <w:hideMark/>
          </w:tcPr>
          <w:p w14:paraId="5AD8908A" w14:textId="1E933101" w:rsidR="00F0206E" w:rsidRPr="00A07F29" w:rsidRDefault="00F0206E" w:rsidP="00CA1E10">
            <w:pPr>
              <w:spacing w:after="0" w:line="240" w:lineRule="auto"/>
              <w:jc w:val="center"/>
              <w:rPr>
                <w:rFonts w:ascii="Times New Roman" w:eastAsia="Times New Roman" w:hAnsi="Times New Roman" w:cs="Times New Roman"/>
                <w:iCs/>
                <w:color w:val="000000"/>
                <w:sz w:val="20"/>
                <w:szCs w:val="20"/>
              </w:rPr>
            </w:pPr>
            <w:r w:rsidRPr="00A07F29">
              <w:rPr>
                <w:rFonts w:ascii="Times New Roman" w:eastAsia="Times New Roman" w:hAnsi="Times New Roman" w:cs="Times New Roman"/>
                <w:iCs/>
                <w:color w:val="000000"/>
                <w:sz w:val="20"/>
                <w:szCs w:val="20"/>
              </w:rPr>
              <w:t>89</w:t>
            </w:r>
            <w:r w:rsidR="00E8062C" w:rsidRPr="00A07F29">
              <w:rPr>
                <w:rFonts w:ascii="Times New Roman" w:eastAsia="Times New Roman" w:hAnsi="Times New Roman" w:cs="Times New Roman"/>
                <w:iCs/>
                <w:color w:val="000000"/>
                <w:sz w:val="20"/>
                <w:szCs w:val="20"/>
              </w:rPr>
              <w:t>,</w:t>
            </w:r>
            <w:r w:rsidRPr="00A07F29">
              <w:rPr>
                <w:rFonts w:ascii="Times New Roman" w:eastAsia="Times New Roman" w:hAnsi="Times New Roman" w:cs="Times New Roman"/>
                <w:iCs/>
                <w:color w:val="000000"/>
                <w:sz w:val="20"/>
                <w:szCs w:val="20"/>
              </w:rPr>
              <w:t>5</w:t>
            </w:r>
          </w:p>
        </w:tc>
      </w:tr>
      <w:tr w:rsidR="00F0206E" w:rsidRPr="00A07F29" w14:paraId="098AB949" w14:textId="77777777" w:rsidTr="00CA1E10">
        <w:trPr>
          <w:trHeight w:val="288"/>
          <w:jc w:val="center"/>
        </w:trPr>
        <w:tc>
          <w:tcPr>
            <w:tcW w:w="254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8F3C3EA" w14:textId="77777777" w:rsidR="00F0206E" w:rsidRPr="00A07F29" w:rsidRDefault="00F0206E" w:rsidP="008959FB">
            <w:pPr>
              <w:spacing w:after="0" w:line="240" w:lineRule="auto"/>
              <w:rPr>
                <w:rFonts w:ascii="Times New Roman" w:eastAsia="Times New Roman" w:hAnsi="Times New Roman" w:cs="Times New Roman"/>
                <w:bCs/>
                <w:color w:val="000000"/>
                <w:sz w:val="20"/>
                <w:szCs w:val="20"/>
              </w:rPr>
            </w:pPr>
            <w:r w:rsidRPr="00A07F29">
              <w:rPr>
                <w:rFonts w:ascii="Times New Roman" w:eastAsia="Times New Roman" w:hAnsi="Times New Roman" w:cs="Times New Roman"/>
                <w:bCs/>
                <w:color w:val="000000"/>
                <w:sz w:val="20"/>
                <w:szCs w:val="20"/>
              </w:rPr>
              <w:t>Ilggadīgie stādījumi</w:t>
            </w:r>
          </w:p>
        </w:tc>
        <w:tc>
          <w:tcPr>
            <w:tcW w:w="1417" w:type="dxa"/>
            <w:vMerge w:val="restart"/>
            <w:tcBorders>
              <w:top w:val="nil"/>
              <w:left w:val="single" w:sz="4" w:space="0" w:color="auto"/>
              <w:right w:val="single" w:sz="4" w:space="0" w:color="auto"/>
            </w:tcBorders>
            <w:vAlign w:val="center"/>
          </w:tcPr>
          <w:p w14:paraId="3D84565F" w14:textId="4F3B363E" w:rsidR="00F0206E" w:rsidRPr="00A07F29" w:rsidRDefault="006749BE" w:rsidP="006749BE">
            <w:pPr>
              <w:spacing w:after="0" w:line="240" w:lineRule="auto"/>
              <w:jc w:val="center"/>
              <w:rPr>
                <w:rFonts w:ascii="Times New Roman" w:eastAsia="Times New Roman" w:hAnsi="Times New Roman" w:cs="Times New Roman"/>
                <w:bCs/>
                <w:color w:val="000000"/>
                <w:sz w:val="20"/>
                <w:szCs w:val="20"/>
              </w:rPr>
            </w:pPr>
            <w:r w:rsidRPr="00A07F29">
              <w:rPr>
                <w:rFonts w:ascii="Times New Roman" w:eastAsia="Times New Roman" w:hAnsi="Times New Roman" w:cs="Times New Roman"/>
                <w:bCs/>
                <w:color w:val="000000"/>
                <w:sz w:val="20"/>
                <w:szCs w:val="20"/>
              </w:rPr>
              <w:t>7,2</w:t>
            </w:r>
          </w:p>
        </w:tc>
        <w:tc>
          <w:tcPr>
            <w:tcW w:w="132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AAF9D0E" w14:textId="0FCBBD05" w:rsidR="00F0206E" w:rsidRPr="00A07F29" w:rsidRDefault="00F0206E" w:rsidP="008959FB">
            <w:pPr>
              <w:spacing w:after="0" w:line="240" w:lineRule="auto"/>
              <w:jc w:val="center"/>
              <w:rPr>
                <w:rFonts w:ascii="Times New Roman" w:eastAsia="Times New Roman" w:hAnsi="Times New Roman" w:cs="Times New Roman"/>
                <w:bCs/>
                <w:color w:val="000000"/>
                <w:sz w:val="20"/>
                <w:szCs w:val="20"/>
              </w:rPr>
            </w:pPr>
            <w:r w:rsidRPr="00A07F29">
              <w:rPr>
                <w:rFonts w:ascii="Times New Roman" w:eastAsia="Times New Roman" w:hAnsi="Times New Roman" w:cs="Times New Roman"/>
                <w:bCs/>
                <w:color w:val="000000"/>
                <w:sz w:val="20"/>
                <w:szCs w:val="20"/>
              </w:rPr>
              <w:t>82</w:t>
            </w:r>
            <w:r w:rsidR="00E8062C" w:rsidRPr="00A07F29">
              <w:rPr>
                <w:rFonts w:ascii="Times New Roman" w:eastAsia="Times New Roman" w:hAnsi="Times New Roman" w:cs="Times New Roman"/>
                <w:bCs/>
                <w:color w:val="000000"/>
                <w:sz w:val="20"/>
                <w:szCs w:val="20"/>
              </w:rPr>
              <w:t>,</w:t>
            </w:r>
            <w:r w:rsidRPr="00A07F29">
              <w:rPr>
                <w:rFonts w:ascii="Times New Roman" w:eastAsia="Times New Roman" w:hAnsi="Times New Roman" w:cs="Times New Roman"/>
                <w:bCs/>
                <w:color w:val="000000"/>
                <w:sz w:val="20"/>
                <w:szCs w:val="20"/>
              </w:rPr>
              <w:t>2</w:t>
            </w:r>
          </w:p>
        </w:tc>
        <w:tc>
          <w:tcPr>
            <w:tcW w:w="2380" w:type="dxa"/>
            <w:tcBorders>
              <w:top w:val="nil"/>
              <w:left w:val="nil"/>
              <w:bottom w:val="single" w:sz="4" w:space="0" w:color="auto"/>
              <w:right w:val="single" w:sz="4" w:space="0" w:color="auto"/>
            </w:tcBorders>
            <w:shd w:val="clear" w:color="auto" w:fill="auto"/>
            <w:noWrap/>
            <w:vAlign w:val="center"/>
            <w:hideMark/>
          </w:tcPr>
          <w:p w14:paraId="1E291301" w14:textId="77777777" w:rsidR="00F0206E" w:rsidRPr="00A07F29" w:rsidRDefault="00F0206E" w:rsidP="008959FB">
            <w:pPr>
              <w:spacing w:after="0" w:line="240" w:lineRule="auto"/>
              <w:rPr>
                <w:rFonts w:ascii="Times New Roman" w:eastAsia="Times New Roman" w:hAnsi="Times New Roman" w:cs="Times New Roman"/>
                <w:iCs/>
                <w:color w:val="000000"/>
                <w:sz w:val="20"/>
                <w:szCs w:val="20"/>
              </w:rPr>
            </w:pPr>
            <w:r w:rsidRPr="00A07F29">
              <w:rPr>
                <w:rFonts w:ascii="Times New Roman" w:eastAsia="Times New Roman" w:hAnsi="Times New Roman" w:cs="Times New Roman"/>
                <w:iCs/>
                <w:color w:val="000000"/>
                <w:sz w:val="20"/>
                <w:szCs w:val="20"/>
              </w:rPr>
              <w:t>Ābeles</w:t>
            </w:r>
          </w:p>
        </w:tc>
        <w:tc>
          <w:tcPr>
            <w:tcW w:w="1445" w:type="dxa"/>
            <w:tcBorders>
              <w:top w:val="nil"/>
              <w:left w:val="nil"/>
              <w:bottom w:val="single" w:sz="4" w:space="0" w:color="auto"/>
              <w:right w:val="single" w:sz="4" w:space="0" w:color="auto"/>
            </w:tcBorders>
            <w:shd w:val="clear" w:color="auto" w:fill="auto"/>
            <w:noWrap/>
            <w:vAlign w:val="center"/>
            <w:hideMark/>
          </w:tcPr>
          <w:p w14:paraId="28CADCF0" w14:textId="161F3180" w:rsidR="00F0206E" w:rsidRPr="00A07F29" w:rsidRDefault="00F0206E" w:rsidP="00CA1E10">
            <w:pPr>
              <w:spacing w:after="0" w:line="240" w:lineRule="auto"/>
              <w:jc w:val="center"/>
              <w:rPr>
                <w:rFonts w:ascii="Times New Roman" w:eastAsia="Times New Roman" w:hAnsi="Times New Roman" w:cs="Times New Roman"/>
                <w:iCs/>
                <w:color w:val="000000"/>
                <w:sz w:val="20"/>
                <w:szCs w:val="20"/>
              </w:rPr>
            </w:pPr>
            <w:r w:rsidRPr="00A07F29">
              <w:rPr>
                <w:rFonts w:ascii="Times New Roman" w:eastAsia="Times New Roman" w:hAnsi="Times New Roman" w:cs="Times New Roman"/>
                <w:iCs/>
                <w:color w:val="000000"/>
                <w:sz w:val="20"/>
                <w:szCs w:val="20"/>
              </w:rPr>
              <w:t>27</w:t>
            </w:r>
            <w:r w:rsidR="00E8062C" w:rsidRPr="00A07F29">
              <w:rPr>
                <w:rFonts w:ascii="Times New Roman" w:eastAsia="Times New Roman" w:hAnsi="Times New Roman" w:cs="Times New Roman"/>
                <w:iCs/>
                <w:color w:val="000000"/>
                <w:sz w:val="20"/>
                <w:szCs w:val="20"/>
              </w:rPr>
              <w:t>,</w:t>
            </w:r>
            <w:r w:rsidRPr="00A07F29">
              <w:rPr>
                <w:rFonts w:ascii="Times New Roman" w:eastAsia="Times New Roman" w:hAnsi="Times New Roman" w:cs="Times New Roman"/>
                <w:iCs/>
                <w:color w:val="000000"/>
                <w:sz w:val="20"/>
                <w:szCs w:val="20"/>
              </w:rPr>
              <w:t>4</w:t>
            </w:r>
          </w:p>
        </w:tc>
      </w:tr>
      <w:tr w:rsidR="00F0206E" w:rsidRPr="00A07F29" w14:paraId="3367072A" w14:textId="77777777" w:rsidTr="00CA1E10">
        <w:trPr>
          <w:trHeight w:val="288"/>
          <w:jc w:val="center"/>
        </w:trPr>
        <w:tc>
          <w:tcPr>
            <w:tcW w:w="2547" w:type="dxa"/>
            <w:vMerge/>
            <w:tcBorders>
              <w:top w:val="nil"/>
              <w:left w:val="single" w:sz="4" w:space="0" w:color="auto"/>
              <w:bottom w:val="single" w:sz="4" w:space="0" w:color="auto"/>
              <w:right w:val="single" w:sz="4" w:space="0" w:color="auto"/>
            </w:tcBorders>
            <w:vAlign w:val="center"/>
            <w:hideMark/>
          </w:tcPr>
          <w:p w14:paraId="29F2CDAF" w14:textId="77777777" w:rsidR="00F0206E" w:rsidRPr="00A07F29" w:rsidRDefault="00F0206E" w:rsidP="008959FB">
            <w:pPr>
              <w:spacing w:after="0" w:line="240" w:lineRule="auto"/>
              <w:rPr>
                <w:rFonts w:ascii="Times New Roman" w:eastAsia="Times New Roman" w:hAnsi="Times New Roman" w:cs="Times New Roman"/>
                <w:bCs/>
                <w:color w:val="000000"/>
                <w:sz w:val="20"/>
                <w:szCs w:val="20"/>
              </w:rPr>
            </w:pPr>
          </w:p>
        </w:tc>
        <w:tc>
          <w:tcPr>
            <w:tcW w:w="1417" w:type="dxa"/>
            <w:vMerge/>
            <w:tcBorders>
              <w:left w:val="single" w:sz="4" w:space="0" w:color="auto"/>
              <w:right w:val="single" w:sz="4" w:space="0" w:color="auto"/>
            </w:tcBorders>
            <w:vAlign w:val="center"/>
          </w:tcPr>
          <w:p w14:paraId="2147CD24" w14:textId="77777777" w:rsidR="00F0206E" w:rsidRPr="00A07F29" w:rsidRDefault="00F0206E" w:rsidP="008959FB">
            <w:pPr>
              <w:spacing w:after="0" w:line="240" w:lineRule="auto"/>
              <w:rPr>
                <w:rFonts w:ascii="Times New Roman" w:eastAsia="Times New Roman" w:hAnsi="Times New Roman" w:cs="Times New Roman"/>
                <w:bCs/>
                <w:color w:val="000000"/>
                <w:sz w:val="20"/>
                <w:szCs w:val="20"/>
              </w:rPr>
            </w:pPr>
          </w:p>
        </w:tc>
        <w:tc>
          <w:tcPr>
            <w:tcW w:w="1325" w:type="dxa"/>
            <w:vMerge/>
            <w:tcBorders>
              <w:top w:val="nil"/>
              <w:left w:val="single" w:sz="4" w:space="0" w:color="auto"/>
              <w:bottom w:val="single" w:sz="4" w:space="0" w:color="000000"/>
              <w:right w:val="single" w:sz="4" w:space="0" w:color="auto"/>
            </w:tcBorders>
            <w:vAlign w:val="center"/>
            <w:hideMark/>
          </w:tcPr>
          <w:p w14:paraId="62C973D6" w14:textId="18F244D8" w:rsidR="00F0206E" w:rsidRPr="00A07F29" w:rsidRDefault="00F0206E" w:rsidP="008959FB">
            <w:pPr>
              <w:spacing w:after="0" w:line="240" w:lineRule="auto"/>
              <w:rPr>
                <w:rFonts w:ascii="Times New Roman" w:eastAsia="Times New Roman" w:hAnsi="Times New Roman" w:cs="Times New Roman"/>
                <w:bCs/>
                <w:color w:val="000000"/>
                <w:sz w:val="20"/>
                <w:szCs w:val="20"/>
              </w:rPr>
            </w:pPr>
          </w:p>
        </w:tc>
        <w:tc>
          <w:tcPr>
            <w:tcW w:w="2380" w:type="dxa"/>
            <w:tcBorders>
              <w:top w:val="nil"/>
              <w:left w:val="nil"/>
              <w:bottom w:val="single" w:sz="4" w:space="0" w:color="auto"/>
              <w:right w:val="single" w:sz="4" w:space="0" w:color="auto"/>
            </w:tcBorders>
            <w:shd w:val="clear" w:color="auto" w:fill="auto"/>
            <w:noWrap/>
            <w:vAlign w:val="center"/>
            <w:hideMark/>
          </w:tcPr>
          <w:p w14:paraId="656DBA99" w14:textId="77777777" w:rsidR="00F0206E" w:rsidRPr="00A07F29" w:rsidRDefault="00F0206E" w:rsidP="008959FB">
            <w:pPr>
              <w:spacing w:after="0" w:line="240" w:lineRule="auto"/>
              <w:rPr>
                <w:rFonts w:ascii="Times New Roman" w:eastAsia="Times New Roman" w:hAnsi="Times New Roman" w:cs="Times New Roman"/>
                <w:iCs/>
                <w:color w:val="000000"/>
                <w:sz w:val="20"/>
                <w:szCs w:val="20"/>
              </w:rPr>
            </w:pPr>
            <w:r w:rsidRPr="00A07F29">
              <w:rPr>
                <w:rFonts w:ascii="Times New Roman" w:eastAsia="Times New Roman" w:hAnsi="Times New Roman" w:cs="Times New Roman"/>
                <w:iCs/>
                <w:color w:val="000000"/>
                <w:sz w:val="20"/>
                <w:szCs w:val="20"/>
              </w:rPr>
              <w:t>Aronijas</w:t>
            </w:r>
          </w:p>
        </w:tc>
        <w:tc>
          <w:tcPr>
            <w:tcW w:w="1445" w:type="dxa"/>
            <w:tcBorders>
              <w:top w:val="nil"/>
              <w:left w:val="nil"/>
              <w:bottom w:val="single" w:sz="4" w:space="0" w:color="auto"/>
              <w:right w:val="single" w:sz="4" w:space="0" w:color="auto"/>
            </w:tcBorders>
            <w:shd w:val="clear" w:color="auto" w:fill="auto"/>
            <w:noWrap/>
            <w:vAlign w:val="center"/>
            <w:hideMark/>
          </w:tcPr>
          <w:p w14:paraId="3D9C61F7" w14:textId="45BAB652" w:rsidR="00F0206E" w:rsidRPr="00A07F29" w:rsidRDefault="00F0206E" w:rsidP="00CA1E10">
            <w:pPr>
              <w:spacing w:after="0" w:line="240" w:lineRule="auto"/>
              <w:jc w:val="center"/>
              <w:rPr>
                <w:rFonts w:ascii="Times New Roman" w:eastAsia="Times New Roman" w:hAnsi="Times New Roman" w:cs="Times New Roman"/>
                <w:iCs/>
                <w:color w:val="000000"/>
                <w:sz w:val="20"/>
                <w:szCs w:val="20"/>
              </w:rPr>
            </w:pPr>
            <w:r w:rsidRPr="00A07F29">
              <w:rPr>
                <w:rFonts w:ascii="Times New Roman" w:eastAsia="Times New Roman" w:hAnsi="Times New Roman" w:cs="Times New Roman"/>
                <w:iCs/>
                <w:color w:val="000000"/>
                <w:sz w:val="20"/>
                <w:szCs w:val="20"/>
              </w:rPr>
              <w:t>25</w:t>
            </w:r>
            <w:r w:rsidR="00E8062C" w:rsidRPr="00A07F29">
              <w:rPr>
                <w:rFonts w:ascii="Times New Roman" w:eastAsia="Times New Roman" w:hAnsi="Times New Roman" w:cs="Times New Roman"/>
                <w:iCs/>
                <w:color w:val="000000"/>
                <w:sz w:val="20"/>
                <w:szCs w:val="20"/>
              </w:rPr>
              <w:t>,</w:t>
            </w:r>
            <w:r w:rsidRPr="00A07F29">
              <w:rPr>
                <w:rFonts w:ascii="Times New Roman" w:eastAsia="Times New Roman" w:hAnsi="Times New Roman" w:cs="Times New Roman"/>
                <w:iCs/>
                <w:color w:val="000000"/>
                <w:sz w:val="20"/>
                <w:szCs w:val="20"/>
              </w:rPr>
              <w:t>6</w:t>
            </w:r>
          </w:p>
        </w:tc>
      </w:tr>
      <w:tr w:rsidR="00F0206E" w:rsidRPr="00A07F29" w14:paraId="0D1BF546" w14:textId="77777777" w:rsidTr="00CA1E10">
        <w:trPr>
          <w:trHeight w:val="288"/>
          <w:jc w:val="center"/>
        </w:trPr>
        <w:tc>
          <w:tcPr>
            <w:tcW w:w="2547" w:type="dxa"/>
            <w:vMerge/>
            <w:tcBorders>
              <w:top w:val="nil"/>
              <w:left w:val="single" w:sz="4" w:space="0" w:color="auto"/>
              <w:bottom w:val="single" w:sz="4" w:space="0" w:color="auto"/>
              <w:right w:val="single" w:sz="4" w:space="0" w:color="auto"/>
            </w:tcBorders>
            <w:vAlign w:val="center"/>
            <w:hideMark/>
          </w:tcPr>
          <w:p w14:paraId="128AA636" w14:textId="77777777" w:rsidR="00F0206E" w:rsidRPr="00A07F29" w:rsidRDefault="00F0206E" w:rsidP="008959FB">
            <w:pPr>
              <w:spacing w:after="0" w:line="240" w:lineRule="auto"/>
              <w:rPr>
                <w:rFonts w:ascii="Times New Roman" w:eastAsia="Times New Roman" w:hAnsi="Times New Roman" w:cs="Times New Roman"/>
                <w:bCs/>
                <w:color w:val="000000"/>
                <w:sz w:val="20"/>
                <w:szCs w:val="20"/>
              </w:rPr>
            </w:pPr>
          </w:p>
        </w:tc>
        <w:tc>
          <w:tcPr>
            <w:tcW w:w="1417" w:type="dxa"/>
            <w:vMerge/>
            <w:tcBorders>
              <w:left w:val="single" w:sz="4" w:space="0" w:color="auto"/>
              <w:bottom w:val="single" w:sz="4" w:space="0" w:color="000000"/>
              <w:right w:val="single" w:sz="4" w:space="0" w:color="auto"/>
            </w:tcBorders>
            <w:vAlign w:val="center"/>
          </w:tcPr>
          <w:p w14:paraId="38485763" w14:textId="77777777" w:rsidR="00F0206E" w:rsidRPr="00A07F29" w:rsidRDefault="00F0206E" w:rsidP="008959FB">
            <w:pPr>
              <w:spacing w:after="0" w:line="240" w:lineRule="auto"/>
              <w:rPr>
                <w:rFonts w:ascii="Times New Roman" w:eastAsia="Times New Roman" w:hAnsi="Times New Roman" w:cs="Times New Roman"/>
                <w:bCs/>
                <w:color w:val="000000"/>
                <w:sz w:val="20"/>
                <w:szCs w:val="20"/>
              </w:rPr>
            </w:pPr>
          </w:p>
        </w:tc>
        <w:tc>
          <w:tcPr>
            <w:tcW w:w="1325" w:type="dxa"/>
            <w:vMerge/>
            <w:tcBorders>
              <w:top w:val="nil"/>
              <w:left w:val="single" w:sz="4" w:space="0" w:color="auto"/>
              <w:bottom w:val="single" w:sz="4" w:space="0" w:color="000000"/>
              <w:right w:val="single" w:sz="4" w:space="0" w:color="auto"/>
            </w:tcBorders>
            <w:vAlign w:val="center"/>
            <w:hideMark/>
          </w:tcPr>
          <w:p w14:paraId="6C1711D3" w14:textId="5A959A2B" w:rsidR="00F0206E" w:rsidRPr="00A07F29" w:rsidRDefault="00F0206E" w:rsidP="008959FB">
            <w:pPr>
              <w:spacing w:after="0" w:line="240" w:lineRule="auto"/>
              <w:rPr>
                <w:rFonts w:ascii="Times New Roman" w:eastAsia="Times New Roman" w:hAnsi="Times New Roman" w:cs="Times New Roman"/>
                <w:bCs/>
                <w:color w:val="000000"/>
                <w:sz w:val="20"/>
                <w:szCs w:val="20"/>
              </w:rPr>
            </w:pPr>
          </w:p>
        </w:tc>
        <w:tc>
          <w:tcPr>
            <w:tcW w:w="2380" w:type="dxa"/>
            <w:tcBorders>
              <w:top w:val="nil"/>
              <w:left w:val="nil"/>
              <w:bottom w:val="single" w:sz="4" w:space="0" w:color="auto"/>
              <w:right w:val="single" w:sz="4" w:space="0" w:color="auto"/>
            </w:tcBorders>
            <w:shd w:val="clear" w:color="auto" w:fill="auto"/>
            <w:noWrap/>
            <w:vAlign w:val="center"/>
            <w:hideMark/>
          </w:tcPr>
          <w:p w14:paraId="4C13ABEF" w14:textId="77777777" w:rsidR="00F0206E" w:rsidRPr="00A07F29" w:rsidRDefault="00F0206E" w:rsidP="008959FB">
            <w:pPr>
              <w:spacing w:after="0" w:line="240" w:lineRule="auto"/>
              <w:rPr>
                <w:rFonts w:ascii="Times New Roman" w:eastAsia="Times New Roman" w:hAnsi="Times New Roman" w:cs="Times New Roman"/>
                <w:iCs/>
                <w:color w:val="000000"/>
                <w:sz w:val="20"/>
                <w:szCs w:val="20"/>
              </w:rPr>
            </w:pPr>
            <w:r w:rsidRPr="00A07F29">
              <w:rPr>
                <w:rFonts w:ascii="Times New Roman" w:eastAsia="Times New Roman" w:hAnsi="Times New Roman" w:cs="Times New Roman"/>
                <w:iCs/>
                <w:color w:val="000000"/>
                <w:sz w:val="20"/>
                <w:szCs w:val="20"/>
              </w:rPr>
              <w:t>Krūmcidonijas</w:t>
            </w:r>
          </w:p>
        </w:tc>
        <w:tc>
          <w:tcPr>
            <w:tcW w:w="1445" w:type="dxa"/>
            <w:tcBorders>
              <w:top w:val="nil"/>
              <w:left w:val="nil"/>
              <w:bottom w:val="single" w:sz="4" w:space="0" w:color="auto"/>
              <w:right w:val="single" w:sz="4" w:space="0" w:color="auto"/>
            </w:tcBorders>
            <w:shd w:val="clear" w:color="auto" w:fill="auto"/>
            <w:noWrap/>
            <w:vAlign w:val="center"/>
            <w:hideMark/>
          </w:tcPr>
          <w:p w14:paraId="29B7D966" w14:textId="26F131D2" w:rsidR="00F0206E" w:rsidRPr="00A07F29" w:rsidRDefault="00F0206E" w:rsidP="00CA1E10">
            <w:pPr>
              <w:spacing w:after="0" w:line="240" w:lineRule="auto"/>
              <w:jc w:val="center"/>
              <w:rPr>
                <w:rFonts w:ascii="Times New Roman" w:eastAsia="Times New Roman" w:hAnsi="Times New Roman" w:cs="Times New Roman"/>
                <w:iCs/>
                <w:color w:val="000000"/>
                <w:sz w:val="20"/>
                <w:szCs w:val="20"/>
              </w:rPr>
            </w:pPr>
            <w:r w:rsidRPr="00A07F29">
              <w:rPr>
                <w:rFonts w:ascii="Times New Roman" w:eastAsia="Times New Roman" w:hAnsi="Times New Roman" w:cs="Times New Roman"/>
                <w:iCs/>
                <w:color w:val="000000"/>
                <w:sz w:val="20"/>
                <w:szCs w:val="20"/>
              </w:rPr>
              <w:t>10</w:t>
            </w:r>
            <w:r w:rsidR="00E8062C" w:rsidRPr="00A07F29">
              <w:rPr>
                <w:rFonts w:ascii="Times New Roman" w:eastAsia="Times New Roman" w:hAnsi="Times New Roman" w:cs="Times New Roman"/>
                <w:iCs/>
                <w:color w:val="000000"/>
                <w:sz w:val="20"/>
                <w:szCs w:val="20"/>
              </w:rPr>
              <w:t>,</w:t>
            </w:r>
            <w:r w:rsidRPr="00A07F29">
              <w:rPr>
                <w:rFonts w:ascii="Times New Roman" w:eastAsia="Times New Roman" w:hAnsi="Times New Roman" w:cs="Times New Roman"/>
                <w:iCs/>
                <w:color w:val="000000"/>
                <w:sz w:val="20"/>
                <w:szCs w:val="20"/>
              </w:rPr>
              <w:t>6</w:t>
            </w:r>
          </w:p>
        </w:tc>
      </w:tr>
      <w:tr w:rsidR="00CA1E10" w:rsidRPr="00A07F29" w14:paraId="46F77A48" w14:textId="77777777" w:rsidTr="00CA1E10">
        <w:trPr>
          <w:trHeight w:val="288"/>
          <w:jc w:val="center"/>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049D4265" w14:textId="77777777" w:rsidR="00F0206E" w:rsidRPr="00A07F29" w:rsidRDefault="00F0206E" w:rsidP="008959FB">
            <w:pPr>
              <w:spacing w:after="0" w:line="240" w:lineRule="auto"/>
              <w:rPr>
                <w:rFonts w:ascii="Times New Roman" w:eastAsia="Times New Roman" w:hAnsi="Times New Roman" w:cs="Times New Roman"/>
                <w:bCs/>
                <w:color w:val="000000"/>
                <w:sz w:val="20"/>
                <w:szCs w:val="20"/>
              </w:rPr>
            </w:pPr>
            <w:r w:rsidRPr="00A07F29">
              <w:rPr>
                <w:rFonts w:ascii="Times New Roman" w:eastAsia="Times New Roman" w:hAnsi="Times New Roman" w:cs="Times New Roman"/>
                <w:bCs/>
                <w:color w:val="000000"/>
                <w:sz w:val="20"/>
                <w:szCs w:val="20"/>
              </w:rPr>
              <w:t>Augļi un ogas</w:t>
            </w:r>
          </w:p>
        </w:tc>
        <w:tc>
          <w:tcPr>
            <w:tcW w:w="1417" w:type="dxa"/>
            <w:tcBorders>
              <w:top w:val="single" w:sz="4" w:space="0" w:color="000000"/>
              <w:left w:val="nil"/>
              <w:bottom w:val="single" w:sz="4" w:space="0" w:color="auto"/>
              <w:right w:val="single" w:sz="4" w:space="0" w:color="auto"/>
            </w:tcBorders>
            <w:vAlign w:val="center"/>
          </w:tcPr>
          <w:p w14:paraId="10220AB2" w14:textId="0A31CF4A" w:rsidR="00F0206E" w:rsidRPr="00A07F29" w:rsidRDefault="006749BE" w:rsidP="008959FB">
            <w:pPr>
              <w:spacing w:after="0" w:line="240" w:lineRule="auto"/>
              <w:jc w:val="center"/>
              <w:rPr>
                <w:rFonts w:ascii="Times New Roman" w:eastAsia="Times New Roman" w:hAnsi="Times New Roman" w:cs="Times New Roman"/>
                <w:bCs/>
                <w:color w:val="000000"/>
                <w:sz w:val="20"/>
                <w:szCs w:val="20"/>
              </w:rPr>
            </w:pPr>
            <w:r w:rsidRPr="00A07F29">
              <w:rPr>
                <w:rFonts w:ascii="Times New Roman" w:eastAsia="Times New Roman" w:hAnsi="Times New Roman" w:cs="Times New Roman"/>
                <w:bCs/>
                <w:color w:val="000000"/>
                <w:sz w:val="20"/>
                <w:szCs w:val="20"/>
              </w:rPr>
              <w:t>5,5</w:t>
            </w:r>
          </w:p>
        </w:tc>
        <w:tc>
          <w:tcPr>
            <w:tcW w:w="1325" w:type="dxa"/>
            <w:tcBorders>
              <w:top w:val="nil"/>
              <w:left w:val="single" w:sz="4" w:space="0" w:color="auto"/>
              <w:bottom w:val="single" w:sz="4" w:space="0" w:color="auto"/>
              <w:right w:val="single" w:sz="4" w:space="0" w:color="auto"/>
            </w:tcBorders>
            <w:shd w:val="clear" w:color="auto" w:fill="auto"/>
            <w:noWrap/>
            <w:vAlign w:val="center"/>
            <w:hideMark/>
          </w:tcPr>
          <w:p w14:paraId="2008C681" w14:textId="0E110A74" w:rsidR="00F0206E" w:rsidRPr="00A07F29" w:rsidRDefault="00F0206E" w:rsidP="008959FB">
            <w:pPr>
              <w:spacing w:after="0" w:line="240" w:lineRule="auto"/>
              <w:jc w:val="center"/>
              <w:rPr>
                <w:rFonts w:ascii="Times New Roman" w:eastAsia="Times New Roman" w:hAnsi="Times New Roman" w:cs="Times New Roman"/>
                <w:bCs/>
                <w:color w:val="000000"/>
                <w:sz w:val="20"/>
                <w:szCs w:val="20"/>
              </w:rPr>
            </w:pPr>
            <w:r w:rsidRPr="00A07F29">
              <w:rPr>
                <w:rFonts w:ascii="Times New Roman" w:eastAsia="Times New Roman" w:hAnsi="Times New Roman" w:cs="Times New Roman"/>
                <w:bCs/>
                <w:color w:val="000000"/>
                <w:sz w:val="20"/>
                <w:szCs w:val="20"/>
              </w:rPr>
              <w:t>5</w:t>
            </w:r>
            <w:r w:rsidR="00E8062C" w:rsidRPr="00A07F29">
              <w:rPr>
                <w:rFonts w:ascii="Times New Roman" w:eastAsia="Times New Roman" w:hAnsi="Times New Roman" w:cs="Times New Roman"/>
                <w:bCs/>
                <w:color w:val="000000"/>
                <w:sz w:val="20"/>
                <w:szCs w:val="20"/>
              </w:rPr>
              <w:t>,</w:t>
            </w:r>
            <w:r w:rsidRPr="00A07F29">
              <w:rPr>
                <w:rFonts w:ascii="Times New Roman" w:eastAsia="Times New Roman" w:hAnsi="Times New Roman" w:cs="Times New Roman"/>
                <w:bCs/>
                <w:color w:val="000000"/>
                <w:sz w:val="20"/>
                <w:szCs w:val="20"/>
              </w:rPr>
              <w:t>6</w:t>
            </w:r>
          </w:p>
        </w:tc>
        <w:tc>
          <w:tcPr>
            <w:tcW w:w="2380" w:type="dxa"/>
            <w:tcBorders>
              <w:top w:val="nil"/>
              <w:left w:val="nil"/>
              <w:bottom w:val="single" w:sz="4" w:space="0" w:color="auto"/>
              <w:right w:val="single" w:sz="4" w:space="0" w:color="auto"/>
            </w:tcBorders>
            <w:shd w:val="clear" w:color="auto" w:fill="auto"/>
            <w:noWrap/>
            <w:vAlign w:val="center"/>
            <w:hideMark/>
          </w:tcPr>
          <w:p w14:paraId="0BB403FB" w14:textId="77777777" w:rsidR="00F0206E" w:rsidRPr="00A07F29" w:rsidRDefault="00F0206E" w:rsidP="008959FB">
            <w:pPr>
              <w:spacing w:after="0" w:line="240" w:lineRule="auto"/>
              <w:rPr>
                <w:rFonts w:ascii="Times New Roman" w:eastAsia="Times New Roman" w:hAnsi="Times New Roman" w:cs="Times New Roman"/>
                <w:iCs/>
                <w:color w:val="000000"/>
                <w:sz w:val="20"/>
                <w:szCs w:val="20"/>
              </w:rPr>
            </w:pPr>
            <w:r w:rsidRPr="00A07F29">
              <w:rPr>
                <w:rFonts w:ascii="Times New Roman" w:eastAsia="Times New Roman" w:hAnsi="Times New Roman" w:cs="Times New Roman"/>
                <w:iCs/>
                <w:color w:val="000000"/>
                <w:sz w:val="20"/>
                <w:szCs w:val="20"/>
              </w:rPr>
              <w:t>Zemenes</w:t>
            </w:r>
          </w:p>
        </w:tc>
        <w:tc>
          <w:tcPr>
            <w:tcW w:w="1445" w:type="dxa"/>
            <w:tcBorders>
              <w:top w:val="nil"/>
              <w:left w:val="nil"/>
              <w:bottom w:val="single" w:sz="4" w:space="0" w:color="auto"/>
              <w:right w:val="single" w:sz="4" w:space="0" w:color="auto"/>
            </w:tcBorders>
            <w:shd w:val="clear" w:color="auto" w:fill="auto"/>
            <w:noWrap/>
            <w:vAlign w:val="center"/>
            <w:hideMark/>
          </w:tcPr>
          <w:p w14:paraId="140961BE" w14:textId="3ECAAA5B" w:rsidR="00F0206E" w:rsidRPr="00A07F29" w:rsidRDefault="00F0206E" w:rsidP="00CA1E10">
            <w:pPr>
              <w:spacing w:after="0" w:line="240" w:lineRule="auto"/>
              <w:jc w:val="center"/>
              <w:rPr>
                <w:rFonts w:ascii="Times New Roman" w:eastAsia="Times New Roman" w:hAnsi="Times New Roman" w:cs="Times New Roman"/>
                <w:iCs/>
                <w:color w:val="000000"/>
                <w:sz w:val="20"/>
                <w:szCs w:val="20"/>
              </w:rPr>
            </w:pPr>
            <w:r w:rsidRPr="00A07F29">
              <w:rPr>
                <w:rFonts w:ascii="Times New Roman" w:eastAsia="Times New Roman" w:hAnsi="Times New Roman" w:cs="Times New Roman"/>
                <w:iCs/>
                <w:color w:val="000000"/>
                <w:sz w:val="20"/>
                <w:szCs w:val="20"/>
              </w:rPr>
              <w:t>5</w:t>
            </w:r>
            <w:r w:rsidR="00E8062C" w:rsidRPr="00A07F29">
              <w:rPr>
                <w:rFonts w:ascii="Times New Roman" w:eastAsia="Times New Roman" w:hAnsi="Times New Roman" w:cs="Times New Roman"/>
                <w:iCs/>
                <w:color w:val="000000"/>
                <w:sz w:val="20"/>
                <w:szCs w:val="20"/>
              </w:rPr>
              <w:t>,</w:t>
            </w:r>
            <w:r w:rsidRPr="00A07F29">
              <w:rPr>
                <w:rFonts w:ascii="Times New Roman" w:eastAsia="Times New Roman" w:hAnsi="Times New Roman" w:cs="Times New Roman"/>
                <w:iCs/>
                <w:color w:val="000000"/>
                <w:sz w:val="20"/>
                <w:szCs w:val="20"/>
              </w:rPr>
              <w:t>6</w:t>
            </w:r>
          </w:p>
        </w:tc>
      </w:tr>
      <w:tr w:rsidR="00CA1E10" w:rsidRPr="00A07F29" w14:paraId="505D2B8C" w14:textId="77777777" w:rsidTr="00CA1E10">
        <w:trPr>
          <w:trHeight w:val="383"/>
          <w:jc w:val="center"/>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1F1B0835" w14:textId="0F9937FB" w:rsidR="00F0206E" w:rsidRPr="00A07F29" w:rsidRDefault="00F0206E" w:rsidP="008959FB">
            <w:pPr>
              <w:spacing w:after="0" w:line="240" w:lineRule="auto"/>
              <w:rPr>
                <w:rFonts w:ascii="Times New Roman" w:eastAsia="Times New Roman" w:hAnsi="Times New Roman" w:cs="Times New Roman"/>
                <w:bCs/>
                <w:color w:val="000000"/>
                <w:sz w:val="20"/>
                <w:szCs w:val="20"/>
              </w:rPr>
            </w:pPr>
            <w:proofErr w:type="spellStart"/>
            <w:r w:rsidRPr="00A07F29">
              <w:rPr>
                <w:rFonts w:ascii="Times New Roman" w:eastAsia="Times New Roman" w:hAnsi="Times New Roman" w:cs="Times New Roman"/>
                <w:bCs/>
                <w:color w:val="000000"/>
                <w:sz w:val="20"/>
                <w:szCs w:val="20"/>
              </w:rPr>
              <w:t>Īscirtmeta</w:t>
            </w:r>
            <w:proofErr w:type="spellEnd"/>
            <w:r w:rsidRPr="00A07F29">
              <w:rPr>
                <w:rFonts w:ascii="Times New Roman" w:eastAsia="Times New Roman" w:hAnsi="Times New Roman" w:cs="Times New Roman"/>
                <w:bCs/>
                <w:color w:val="000000"/>
                <w:sz w:val="20"/>
                <w:szCs w:val="20"/>
              </w:rPr>
              <w:t xml:space="preserve"> </w:t>
            </w:r>
            <w:proofErr w:type="spellStart"/>
            <w:r w:rsidRPr="00A07F29">
              <w:rPr>
                <w:rFonts w:ascii="Times New Roman" w:eastAsia="Times New Roman" w:hAnsi="Times New Roman" w:cs="Times New Roman"/>
                <w:bCs/>
                <w:color w:val="000000"/>
                <w:sz w:val="20"/>
                <w:szCs w:val="20"/>
              </w:rPr>
              <w:t>atvasāji</w:t>
            </w:r>
            <w:proofErr w:type="spellEnd"/>
            <w:r w:rsidRPr="00A07F29">
              <w:rPr>
                <w:rFonts w:ascii="Times New Roman" w:eastAsia="Times New Roman" w:hAnsi="Times New Roman" w:cs="Times New Roman"/>
                <w:bCs/>
                <w:color w:val="000000"/>
                <w:sz w:val="20"/>
                <w:szCs w:val="20"/>
              </w:rPr>
              <w:t>, enerģijas augi</w:t>
            </w:r>
          </w:p>
        </w:tc>
        <w:tc>
          <w:tcPr>
            <w:tcW w:w="1417" w:type="dxa"/>
            <w:tcBorders>
              <w:top w:val="single" w:sz="4" w:space="0" w:color="auto"/>
              <w:left w:val="nil"/>
              <w:bottom w:val="single" w:sz="4" w:space="0" w:color="auto"/>
              <w:right w:val="single" w:sz="4" w:space="0" w:color="auto"/>
            </w:tcBorders>
            <w:vAlign w:val="center"/>
          </w:tcPr>
          <w:p w14:paraId="132C0BB6" w14:textId="15DC83BB" w:rsidR="00F0206E" w:rsidRPr="00A07F29" w:rsidRDefault="006749BE" w:rsidP="006749BE">
            <w:pPr>
              <w:spacing w:after="0" w:line="240" w:lineRule="auto"/>
              <w:jc w:val="center"/>
              <w:rPr>
                <w:rFonts w:ascii="Times New Roman" w:eastAsia="Times New Roman" w:hAnsi="Times New Roman" w:cs="Times New Roman"/>
                <w:bCs/>
                <w:color w:val="000000"/>
                <w:sz w:val="20"/>
                <w:szCs w:val="20"/>
              </w:rPr>
            </w:pPr>
            <w:r w:rsidRPr="00A07F29">
              <w:rPr>
                <w:rFonts w:ascii="Times New Roman" w:eastAsia="Times New Roman" w:hAnsi="Times New Roman" w:cs="Times New Roman"/>
                <w:bCs/>
                <w:color w:val="000000"/>
                <w:sz w:val="20"/>
                <w:szCs w:val="20"/>
              </w:rPr>
              <w:t>8,1</w:t>
            </w:r>
          </w:p>
        </w:tc>
        <w:tc>
          <w:tcPr>
            <w:tcW w:w="1325" w:type="dxa"/>
            <w:tcBorders>
              <w:top w:val="nil"/>
              <w:left w:val="single" w:sz="4" w:space="0" w:color="auto"/>
              <w:bottom w:val="single" w:sz="4" w:space="0" w:color="auto"/>
              <w:right w:val="single" w:sz="4" w:space="0" w:color="auto"/>
            </w:tcBorders>
            <w:shd w:val="clear" w:color="auto" w:fill="auto"/>
            <w:noWrap/>
            <w:vAlign w:val="center"/>
            <w:hideMark/>
          </w:tcPr>
          <w:p w14:paraId="6B1689E1" w14:textId="7FF630F5" w:rsidR="00F0206E" w:rsidRPr="00A07F29" w:rsidRDefault="00F0206E" w:rsidP="008959FB">
            <w:pPr>
              <w:spacing w:after="0" w:line="240" w:lineRule="auto"/>
              <w:jc w:val="center"/>
              <w:rPr>
                <w:rFonts w:ascii="Times New Roman" w:eastAsia="Times New Roman" w:hAnsi="Times New Roman" w:cs="Times New Roman"/>
                <w:bCs/>
                <w:color w:val="000000"/>
                <w:sz w:val="20"/>
                <w:szCs w:val="20"/>
              </w:rPr>
            </w:pPr>
            <w:r w:rsidRPr="00A07F29">
              <w:rPr>
                <w:rFonts w:ascii="Times New Roman" w:eastAsia="Times New Roman" w:hAnsi="Times New Roman" w:cs="Times New Roman"/>
                <w:bCs/>
                <w:color w:val="000000"/>
                <w:sz w:val="20"/>
                <w:szCs w:val="20"/>
              </w:rPr>
              <w:t>2</w:t>
            </w:r>
            <w:r w:rsidR="00E8062C" w:rsidRPr="00A07F29">
              <w:rPr>
                <w:rFonts w:ascii="Times New Roman" w:eastAsia="Times New Roman" w:hAnsi="Times New Roman" w:cs="Times New Roman"/>
                <w:bCs/>
                <w:color w:val="000000"/>
                <w:sz w:val="20"/>
                <w:szCs w:val="20"/>
              </w:rPr>
              <w:t>,</w:t>
            </w:r>
            <w:r w:rsidRPr="00A07F29">
              <w:rPr>
                <w:rFonts w:ascii="Times New Roman" w:eastAsia="Times New Roman" w:hAnsi="Times New Roman" w:cs="Times New Roman"/>
                <w:bCs/>
                <w:color w:val="000000"/>
                <w:sz w:val="20"/>
                <w:szCs w:val="20"/>
              </w:rPr>
              <w:t>6</w:t>
            </w:r>
          </w:p>
        </w:tc>
        <w:tc>
          <w:tcPr>
            <w:tcW w:w="2380" w:type="dxa"/>
            <w:tcBorders>
              <w:top w:val="nil"/>
              <w:left w:val="nil"/>
              <w:bottom w:val="single" w:sz="4" w:space="0" w:color="auto"/>
              <w:right w:val="single" w:sz="4" w:space="0" w:color="auto"/>
            </w:tcBorders>
            <w:shd w:val="clear" w:color="auto" w:fill="auto"/>
            <w:noWrap/>
            <w:vAlign w:val="center"/>
            <w:hideMark/>
          </w:tcPr>
          <w:p w14:paraId="5AB47885" w14:textId="77777777" w:rsidR="00F0206E" w:rsidRPr="00A07F29" w:rsidRDefault="00F0206E" w:rsidP="008959FB">
            <w:pPr>
              <w:spacing w:after="0" w:line="240" w:lineRule="auto"/>
              <w:rPr>
                <w:rFonts w:ascii="Times New Roman" w:eastAsia="Times New Roman" w:hAnsi="Times New Roman" w:cs="Times New Roman"/>
                <w:iCs/>
                <w:color w:val="000000"/>
                <w:sz w:val="20"/>
                <w:szCs w:val="20"/>
              </w:rPr>
            </w:pPr>
            <w:proofErr w:type="spellStart"/>
            <w:r w:rsidRPr="00A07F29">
              <w:rPr>
                <w:rFonts w:ascii="Times New Roman" w:eastAsia="Times New Roman" w:hAnsi="Times New Roman" w:cs="Times New Roman"/>
                <w:iCs/>
                <w:color w:val="000000"/>
                <w:sz w:val="20"/>
                <w:szCs w:val="20"/>
              </w:rPr>
              <w:t>Miežabrālis</w:t>
            </w:r>
            <w:proofErr w:type="spellEnd"/>
          </w:p>
        </w:tc>
        <w:tc>
          <w:tcPr>
            <w:tcW w:w="1445" w:type="dxa"/>
            <w:tcBorders>
              <w:top w:val="nil"/>
              <w:left w:val="nil"/>
              <w:bottom w:val="single" w:sz="4" w:space="0" w:color="auto"/>
              <w:right w:val="single" w:sz="4" w:space="0" w:color="auto"/>
            </w:tcBorders>
            <w:shd w:val="clear" w:color="auto" w:fill="auto"/>
            <w:noWrap/>
            <w:vAlign w:val="center"/>
            <w:hideMark/>
          </w:tcPr>
          <w:p w14:paraId="588062DA" w14:textId="22C12749" w:rsidR="00F0206E" w:rsidRPr="00A07F29" w:rsidRDefault="00F0206E" w:rsidP="00CA1E10">
            <w:pPr>
              <w:spacing w:after="0" w:line="240" w:lineRule="auto"/>
              <w:jc w:val="center"/>
              <w:rPr>
                <w:rFonts w:ascii="Times New Roman" w:eastAsia="Times New Roman" w:hAnsi="Times New Roman" w:cs="Times New Roman"/>
                <w:iCs/>
                <w:color w:val="000000"/>
                <w:sz w:val="20"/>
                <w:szCs w:val="20"/>
              </w:rPr>
            </w:pPr>
            <w:r w:rsidRPr="00A07F29">
              <w:rPr>
                <w:rFonts w:ascii="Times New Roman" w:eastAsia="Times New Roman" w:hAnsi="Times New Roman" w:cs="Times New Roman"/>
                <w:iCs/>
                <w:color w:val="000000"/>
                <w:sz w:val="20"/>
                <w:szCs w:val="20"/>
              </w:rPr>
              <w:t>2</w:t>
            </w:r>
            <w:r w:rsidR="00E8062C" w:rsidRPr="00A07F29">
              <w:rPr>
                <w:rFonts w:ascii="Times New Roman" w:eastAsia="Times New Roman" w:hAnsi="Times New Roman" w:cs="Times New Roman"/>
                <w:iCs/>
                <w:color w:val="000000"/>
                <w:sz w:val="20"/>
                <w:szCs w:val="20"/>
              </w:rPr>
              <w:t>,</w:t>
            </w:r>
            <w:r w:rsidRPr="00A07F29">
              <w:rPr>
                <w:rFonts w:ascii="Times New Roman" w:eastAsia="Times New Roman" w:hAnsi="Times New Roman" w:cs="Times New Roman"/>
                <w:iCs/>
                <w:color w:val="000000"/>
                <w:sz w:val="20"/>
                <w:szCs w:val="20"/>
              </w:rPr>
              <w:t>6</w:t>
            </w:r>
          </w:p>
        </w:tc>
      </w:tr>
    </w:tbl>
    <w:p w14:paraId="71B040B9" w14:textId="77777777" w:rsidR="00DF7325" w:rsidRPr="00A07F29" w:rsidRDefault="00DF7325" w:rsidP="009072CE">
      <w:pPr>
        <w:spacing w:after="120"/>
        <w:ind w:firstLine="851"/>
        <w:jc w:val="both"/>
        <w:rPr>
          <w:rFonts w:ascii="Times New Roman" w:eastAsia="Calibri" w:hAnsi="Times New Roman" w:cs="Calibri"/>
          <w:sz w:val="24"/>
          <w:lang w:eastAsia="ja-JP"/>
        </w:rPr>
      </w:pPr>
    </w:p>
    <w:p w14:paraId="4E944F85" w14:textId="541E5C70" w:rsidR="00460F8C" w:rsidRPr="00A07F29" w:rsidRDefault="00460F8C" w:rsidP="00A537A8">
      <w:pPr>
        <w:spacing w:after="120" w:line="240" w:lineRule="auto"/>
        <w:ind w:firstLine="851"/>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 xml:space="preserve">Saskaņā ar LAD datiem </w:t>
      </w:r>
      <w:r w:rsidR="00E8062C" w:rsidRPr="00A07F29">
        <w:rPr>
          <w:rFonts w:ascii="Times New Roman" w:eastAsia="Calibri" w:hAnsi="Times New Roman" w:cs="Calibri"/>
          <w:sz w:val="24"/>
          <w:lang w:eastAsia="ja-JP"/>
        </w:rPr>
        <w:t>BVZ</w:t>
      </w:r>
      <w:r w:rsidR="0086774A" w:rsidRPr="00A07F29">
        <w:rPr>
          <w:rFonts w:ascii="Times New Roman" w:eastAsia="Calibri" w:hAnsi="Times New Roman" w:cs="Calibri"/>
          <w:sz w:val="24"/>
          <w:lang w:eastAsia="ja-JP"/>
        </w:rPr>
        <w:t xml:space="preserve"> p</w:t>
      </w:r>
      <w:r w:rsidR="00E8062C" w:rsidRPr="00A07F29">
        <w:rPr>
          <w:rFonts w:ascii="Times New Roman" w:eastAsia="Calibri" w:hAnsi="Times New Roman" w:cs="Calibri"/>
          <w:sz w:val="24"/>
          <w:lang w:eastAsia="ja-JP"/>
        </w:rPr>
        <w:t>l</w:t>
      </w:r>
      <w:r w:rsidR="0086774A" w:rsidRPr="00A07F29">
        <w:rPr>
          <w:rFonts w:ascii="Times New Roman" w:eastAsia="Calibri" w:hAnsi="Times New Roman" w:cs="Calibri"/>
          <w:sz w:val="24"/>
          <w:lang w:eastAsia="ja-JP"/>
        </w:rPr>
        <w:t>atības, kas kvalificēj</w:t>
      </w:r>
      <w:r w:rsidR="00987C41" w:rsidRPr="00A07F29">
        <w:rPr>
          <w:rFonts w:ascii="Times New Roman" w:eastAsia="Calibri" w:hAnsi="Times New Roman" w:cs="Calibri"/>
          <w:sz w:val="24"/>
          <w:lang w:eastAsia="ja-JP"/>
        </w:rPr>
        <w:t>a</w:t>
      </w:r>
      <w:r w:rsidR="0086774A" w:rsidRPr="00A07F29">
        <w:rPr>
          <w:rFonts w:ascii="Times New Roman" w:eastAsia="Calibri" w:hAnsi="Times New Roman" w:cs="Calibri"/>
          <w:sz w:val="24"/>
          <w:lang w:eastAsia="ja-JP"/>
        </w:rPr>
        <w:t xml:space="preserve">s </w:t>
      </w:r>
      <w:r w:rsidRPr="00A07F29">
        <w:rPr>
          <w:rFonts w:ascii="Times New Roman" w:eastAsia="Calibri" w:hAnsi="Times New Roman" w:cs="Calibri"/>
          <w:sz w:val="24"/>
          <w:lang w:eastAsia="ja-JP"/>
        </w:rPr>
        <w:t>L</w:t>
      </w:r>
      <w:r w:rsidR="007755A2">
        <w:rPr>
          <w:rFonts w:ascii="Times New Roman" w:eastAsia="Calibri" w:hAnsi="Times New Roman" w:cs="Calibri"/>
          <w:sz w:val="24"/>
          <w:lang w:eastAsia="ja-JP"/>
        </w:rPr>
        <w:t>auku attīstības</w:t>
      </w:r>
      <w:r w:rsidR="0091531F">
        <w:rPr>
          <w:rFonts w:ascii="Times New Roman" w:eastAsia="Calibri" w:hAnsi="Times New Roman" w:cs="Calibri"/>
          <w:sz w:val="24"/>
          <w:lang w:eastAsia="ja-JP"/>
        </w:rPr>
        <w:t xml:space="preserve"> </w:t>
      </w:r>
      <w:r w:rsidR="00950964">
        <w:rPr>
          <w:rFonts w:ascii="Times New Roman" w:eastAsia="Calibri" w:hAnsi="Times New Roman" w:cs="Calibri"/>
          <w:sz w:val="24"/>
          <w:lang w:eastAsia="ja-JP"/>
        </w:rPr>
        <w:t xml:space="preserve">programmas </w:t>
      </w:r>
      <w:r w:rsidRPr="00A07F29">
        <w:rPr>
          <w:rFonts w:ascii="Times New Roman" w:eastAsia="Calibri" w:hAnsi="Times New Roman" w:cs="Calibri"/>
          <w:sz w:val="24"/>
          <w:lang w:eastAsia="ja-JP"/>
        </w:rPr>
        <w:t>pasākuma “</w:t>
      </w:r>
      <w:proofErr w:type="spellStart"/>
      <w:r w:rsidRPr="00A07F29">
        <w:rPr>
          <w:rFonts w:ascii="Times New Roman" w:eastAsia="Calibri" w:hAnsi="Times New Roman" w:cs="Calibri"/>
          <w:sz w:val="24"/>
          <w:lang w:eastAsia="ja-JP"/>
        </w:rPr>
        <w:t>Agrovide</w:t>
      </w:r>
      <w:proofErr w:type="spellEnd"/>
      <w:r w:rsidRPr="00A07F29">
        <w:rPr>
          <w:rFonts w:ascii="Times New Roman" w:eastAsia="Calibri" w:hAnsi="Times New Roman" w:cs="Calibri"/>
          <w:sz w:val="24"/>
          <w:lang w:eastAsia="ja-JP"/>
        </w:rPr>
        <w:t xml:space="preserve"> un klimats” aktivitātei </w:t>
      </w:r>
      <w:r w:rsidR="003E0C77">
        <w:rPr>
          <w:rFonts w:ascii="Times New Roman" w:eastAsia="Calibri" w:hAnsi="Times New Roman" w:cs="Calibri"/>
          <w:sz w:val="24"/>
          <w:lang w:eastAsia="ja-JP"/>
        </w:rPr>
        <w:t>“</w:t>
      </w:r>
      <w:r w:rsidR="0086774A" w:rsidRPr="00A07F29">
        <w:rPr>
          <w:rFonts w:ascii="Times New Roman" w:eastAsia="Calibri" w:hAnsi="Times New Roman" w:cs="Calibri"/>
          <w:sz w:val="24"/>
          <w:lang w:eastAsia="ja-JP"/>
        </w:rPr>
        <w:t>Bi</w:t>
      </w:r>
      <w:r w:rsidR="00E8062C" w:rsidRPr="00A07F29">
        <w:rPr>
          <w:rFonts w:ascii="Times New Roman" w:eastAsia="Calibri" w:hAnsi="Times New Roman" w:cs="Calibri"/>
          <w:sz w:val="24"/>
          <w:lang w:eastAsia="ja-JP"/>
        </w:rPr>
        <w:t>o</w:t>
      </w:r>
      <w:r w:rsidR="0086774A" w:rsidRPr="00A07F29">
        <w:rPr>
          <w:rFonts w:ascii="Times New Roman" w:eastAsia="Calibri" w:hAnsi="Times New Roman" w:cs="Calibri"/>
          <w:sz w:val="24"/>
          <w:lang w:eastAsia="ja-JP"/>
        </w:rPr>
        <w:t>loģiskās daudzveidības uzturēšana zālājos</w:t>
      </w:r>
      <w:r w:rsidR="003E0C77">
        <w:rPr>
          <w:rFonts w:ascii="Times New Roman" w:eastAsia="Calibri" w:hAnsi="Times New Roman" w:cs="Calibri"/>
          <w:sz w:val="24"/>
          <w:lang w:eastAsia="ja-JP"/>
        </w:rPr>
        <w:t>”</w:t>
      </w:r>
      <w:r w:rsidR="0086774A" w:rsidRPr="00A07F29">
        <w:rPr>
          <w:rFonts w:ascii="Times New Roman" w:eastAsia="Calibri" w:hAnsi="Times New Roman" w:cs="Calibri"/>
          <w:sz w:val="24"/>
          <w:lang w:eastAsia="ja-JP"/>
        </w:rPr>
        <w:t xml:space="preserve">, </w:t>
      </w:r>
      <w:r w:rsidR="00E8062C" w:rsidRPr="00A07F29">
        <w:rPr>
          <w:rFonts w:ascii="Times New Roman" w:eastAsia="Calibri" w:hAnsi="Times New Roman" w:cs="Calibri"/>
          <w:sz w:val="24"/>
          <w:lang w:eastAsia="ja-JP"/>
        </w:rPr>
        <w:t>AAA “Augšdaugava” 2020.</w:t>
      </w:r>
      <w:r w:rsidR="00F17A26" w:rsidRPr="00A07F29">
        <w:rPr>
          <w:rFonts w:ascii="Times New Roman" w:eastAsia="Calibri" w:hAnsi="Times New Roman" w:cs="Calibri"/>
          <w:sz w:val="24"/>
          <w:lang w:eastAsia="ja-JP"/>
        </w:rPr>
        <w:t> </w:t>
      </w:r>
      <w:r w:rsidR="00E8062C" w:rsidRPr="00A07F29">
        <w:rPr>
          <w:rFonts w:ascii="Times New Roman" w:eastAsia="Calibri" w:hAnsi="Times New Roman" w:cs="Calibri"/>
          <w:sz w:val="24"/>
          <w:lang w:eastAsia="ja-JP"/>
        </w:rPr>
        <w:t>gadā aizņēma 1152,7</w:t>
      </w:r>
      <w:r w:rsidR="00F17A26" w:rsidRPr="00A07F29">
        <w:rPr>
          <w:rFonts w:ascii="Times New Roman" w:eastAsia="Calibri" w:hAnsi="Times New Roman" w:cs="Calibri"/>
          <w:sz w:val="24"/>
          <w:lang w:eastAsia="ja-JP"/>
        </w:rPr>
        <w:t> </w:t>
      </w:r>
      <w:r w:rsidR="00E8062C" w:rsidRPr="00A07F29">
        <w:rPr>
          <w:rFonts w:ascii="Times New Roman" w:eastAsia="Calibri" w:hAnsi="Times New Roman" w:cs="Calibri"/>
          <w:sz w:val="24"/>
          <w:lang w:eastAsia="ja-JP"/>
        </w:rPr>
        <w:t>ha</w:t>
      </w:r>
      <w:r w:rsidR="00637938" w:rsidRPr="00A07F29">
        <w:rPr>
          <w:rFonts w:ascii="Times New Roman" w:eastAsia="Calibri" w:hAnsi="Times New Roman" w:cs="Calibri"/>
          <w:sz w:val="24"/>
          <w:lang w:eastAsia="ja-JP"/>
        </w:rPr>
        <w:t xml:space="preserve">, bet atbalsta maksājumiem no tām </w:t>
      </w:r>
      <w:r w:rsidR="00B60775" w:rsidRPr="00A07F29">
        <w:rPr>
          <w:rFonts w:ascii="Times New Roman" w:eastAsia="Calibri" w:hAnsi="Times New Roman" w:cs="Calibri"/>
          <w:sz w:val="24"/>
          <w:lang w:eastAsia="ja-JP"/>
        </w:rPr>
        <w:t xml:space="preserve">tika </w:t>
      </w:r>
      <w:r w:rsidR="00637938" w:rsidRPr="00A07F29">
        <w:rPr>
          <w:rFonts w:ascii="Times New Roman" w:eastAsia="Calibri" w:hAnsi="Times New Roman" w:cs="Calibri"/>
          <w:sz w:val="24"/>
          <w:lang w:eastAsia="ja-JP"/>
        </w:rPr>
        <w:t xml:space="preserve">pieteikti </w:t>
      </w:r>
      <w:r w:rsidR="00E8062C" w:rsidRPr="00A07F29">
        <w:rPr>
          <w:rFonts w:ascii="Times New Roman" w:eastAsia="Calibri" w:hAnsi="Times New Roman" w:cs="Calibri"/>
          <w:sz w:val="24"/>
          <w:lang w:eastAsia="ja-JP"/>
        </w:rPr>
        <w:t>4</w:t>
      </w:r>
      <w:r w:rsidR="00637938" w:rsidRPr="00A07F29">
        <w:rPr>
          <w:rFonts w:ascii="Times New Roman" w:eastAsia="Calibri" w:hAnsi="Times New Roman" w:cs="Calibri"/>
          <w:sz w:val="24"/>
          <w:lang w:eastAsia="ja-JP"/>
        </w:rPr>
        <w:t>91,</w:t>
      </w:r>
      <w:r w:rsidR="00E8062C" w:rsidRPr="00A07F29">
        <w:rPr>
          <w:rFonts w:ascii="Times New Roman" w:eastAsia="Calibri" w:hAnsi="Times New Roman" w:cs="Calibri"/>
          <w:sz w:val="24"/>
          <w:lang w:eastAsia="ja-JP"/>
        </w:rPr>
        <w:t>7</w:t>
      </w:r>
      <w:r w:rsidR="00F17A26" w:rsidRPr="00A07F29">
        <w:rPr>
          <w:rFonts w:ascii="Times New Roman" w:eastAsia="Calibri" w:hAnsi="Times New Roman" w:cs="Calibri"/>
          <w:sz w:val="24"/>
          <w:lang w:eastAsia="ja-JP"/>
        </w:rPr>
        <w:t> </w:t>
      </w:r>
      <w:r w:rsidR="00637938" w:rsidRPr="00A07F29">
        <w:rPr>
          <w:rFonts w:ascii="Times New Roman" w:eastAsia="Calibri" w:hAnsi="Times New Roman" w:cs="Calibri"/>
          <w:sz w:val="24"/>
          <w:lang w:eastAsia="ja-JP"/>
        </w:rPr>
        <w:t xml:space="preserve">ha (42,7 %). </w:t>
      </w:r>
      <w:r w:rsidRPr="00A07F29">
        <w:rPr>
          <w:rFonts w:ascii="Times New Roman" w:eastAsia="Calibri" w:hAnsi="Times New Roman" w:cs="Calibri"/>
          <w:sz w:val="24"/>
          <w:lang w:eastAsia="ja-JP"/>
        </w:rPr>
        <w:t xml:space="preserve">Lielākoties šīs platības </w:t>
      </w:r>
      <w:r w:rsidR="00A537A8" w:rsidRPr="00A07F29">
        <w:rPr>
          <w:rFonts w:ascii="Times New Roman" w:eastAsia="Calibri" w:hAnsi="Times New Roman" w:cs="Calibri"/>
          <w:sz w:val="24"/>
          <w:lang w:eastAsia="ja-JP"/>
        </w:rPr>
        <w:t xml:space="preserve">tika </w:t>
      </w:r>
      <w:r w:rsidRPr="00A07F29">
        <w:rPr>
          <w:rFonts w:ascii="Times New Roman" w:eastAsia="Calibri" w:hAnsi="Times New Roman" w:cs="Calibri"/>
          <w:sz w:val="24"/>
          <w:lang w:eastAsia="ja-JP"/>
        </w:rPr>
        <w:t>pieteiktas BDUZ atbalstam (342,3</w:t>
      </w:r>
      <w:r w:rsidR="00551753" w:rsidRPr="00A07F29">
        <w:rPr>
          <w:rFonts w:ascii="Times New Roman" w:eastAsia="Calibri" w:hAnsi="Times New Roman" w:cs="Calibri"/>
          <w:sz w:val="24"/>
          <w:lang w:eastAsia="ja-JP"/>
        </w:rPr>
        <w:t> </w:t>
      </w:r>
      <w:r w:rsidRPr="00A07F29">
        <w:rPr>
          <w:rFonts w:ascii="Times New Roman" w:eastAsia="Calibri" w:hAnsi="Times New Roman" w:cs="Calibri"/>
          <w:sz w:val="24"/>
          <w:lang w:eastAsia="ja-JP"/>
        </w:rPr>
        <w:t>ha), taču BVZ platības ir pieteiktas arī bioloģiskās lauksaimniecības (59,2</w:t>
      </w:r>
      <w:r w:rsidR="00551753" w:rsidRPr="00A07F29">
        <w:rPr>
          <w:rFonts w:ascii="Times New Roman" w:eastAsia="Calibri" w:hAnsi="Times New Roman" w:cs="Calibri"/>
          <w:sz w:val="24"/>
          <w:lang w:eastAsia="ja-JP"/>
        </w:rPr>
        <w:t> </w:t>
      </w:r>
      <w:r w:rsidRPr="00A07F29">
        <w:rPr>
          <w:rFonts w:ascii="Times New Roman" w:eastAsia="Calibri" w:hAnsi="Times New Roman" w:cs="Calibri"/>
          <w:sz w:val="24"/>
          <w:lang w:eastAsia="ja-JP"/>
        </w:rPr>
        <w:t>ha)</w:t>
      </w:r>
      <w:r w:rsidR="00D01947" w:rsidRPr="00A07F29">
        <w:rPr>
          <w:rFonts w:ascii="Times New Roman" w:eastAsia="Calibri" w:hAnsi="Times New Roman" w:cs="Calibri"/>
          <w:sz w:val="24"/>
          <w:lang w:eastAsia="ja-JP"/>
        </w:rPr>
        <w:t xml:space="preserve"> un mazo lauksaimnieku (</w:t>
      </w:r>
      <w:r w:rsidR="00B60775" w:rsidRPr="00A07F29">
        <w:rPr>
          <w:rFonts w:ascii="Times New Roman" w:eastAsia="Calibri" w:hAnsi="Times New Roman" w:cs="Calibri"/>
          <w:sz w:val="24"/>
          <w:lang w:eastAsia="ja-JP"/>
        </w:rPr>
        <w:t xml:space="preserve">29,8 ha) </w:t>
      </w:r>
      <w:r w:rsidR="00D01947" w:rsidRPr="00A07F29">
        <w:rPr>
          <w:rFonts w:ascii="Times New Roman" w:eastAsia="Calibri" w:hAnsi="Times New Roman" w:cs="Calibri"/>
          <w:sz w:val="24"/>
          <w:lang w:eastAsia="ja-JP"/>
        </w:rPr>
        <w:t>atbalsta</w:t>
      </w:r>
      <w:r w:rsidR="00B60775" w:rsidRPr="00A07F29">
        <w:rPr>
          <w:rFonts w:ascii="Times New Roman" w:eastAsia="Calibri" w:hAnsi="Times New Roman" w:cs="Calibri"/>
          <w:sz w:val="24"/>
          <w:lang w:eastAsia="ja-JP"/>
        </w:rPr>
        <w:t>m</w:t>
      </w:r>
      <w:r w:rsidR="00D01947" w:rsidRPr="00A07F29">
        <w:rPr>
          <w:rFonts w:ascii="Times New Roman" w:eastAsia="Calibri" w:hAnsi="Times New Roman" w:cs="Calibri"/>
          <w:sz w:val="24"/>
          <w:lang w:eastAsia="ja-JP"/>
        </w:rPr>
        <w:t>, kā arī vienotā platībmaksājuma saņemšanai (</w:t>
      </w:r>
      <w:r w:rsidR="00B60775" w:rsidRPr="00A07F29">
        <w:rPr>
          <w:rFonts w:ascii="Times New Roman" w:eastAsia="Calibri" w:hAnsi="Times New Roman" w:cs="Calibri"/>
          <w:sz w:val="24"/>
          <w:lang w:eastAsia="ja-JP"/>
        </w:rPr>
        <w:t>461,6</w:t>
      </w:r>
      <w:r w:rsidR="00551753" w:rsidRPr="00A07F29">
        <w:rPr>
          <w:rFonts w:ascii="Times New Roman" w:eastAsia="Calibri" w:hAnsi="Times New Roman" w:cs="Calibri"/>
          <w:sz w:val="24"/>
          <w:lang w:eastAsia="ja-JP"/>
        </w:rPr>
        <w:t> </w:t>
      </w:r>
      <w:r w:rsidR="00B60775" w:rsidRPr="00A07F29">
        <w:rPr>
          <w:rFonts w:ascii="Times New Roman" w:eastAsia="Calibri" w:hAnsi="Times New Roman" w:cs="Calibri"/>
          <w:sz w:val="24"/>
          <w:lang w:eastAsia="ja-JP"/>
        </w:rPr>
        <w:t>ha).</w:t>
      </w:r>
    </w:p>
    <w:p w14:paraId="0DB683A9" w14:textId="63E87926" w:rsidR="008C05A2" w:rsidRPr="00A07F29" w:rsidRDefault="00637938" w:rsidP="00A537A8">
      <w:pPr>
        <w:spacing w:after="120" w:line="240" w:lineRule="auto"/>
        <w:ind w:firstLine="851"/>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Atbalstam pieejamo un pieteikto zālāju sadalījum</w:t>
      </w:r>
      <w:r w:rsidR="00987C41" w:rsidRPr="00A07F29">
        <w:rPr>
          <w:rFonts w:ascii="Times New Roman" w:eastAsia="Calibri" w:hAnsi="Times New Roman" w:cs="Calibri"/>
          <w:sz w:val="24"/>
          <w:lang w:eastAsia="ja-JP"/>
        </w:rPr>
        <w:t>s</w:t>
      </w:r>
      <w:r w:rsidRPr="00A07F29">
        <w:rPr>
          <w:rFonts w:ascii="Times New Roman" w:eastAsia="Calibri" w:hAnsi="Times New Roman" w:cs="Calibri"/>
          <w:sz w:val="24"/>
          <w:lang w:eastAsia="ja-JP"/>
        </w:rPr>
        <w:t xml:space="preserve"> </w:t>
      </w:r>
      <w:r w:rsidR="00A537A8" w:rsidRPr="00A07F29">
        <w:rPr>
          <w:rFonts w:ascii="Times New Roman" w:eastAsia="Calibri" w:hAnsi="Times New Roman" w:cs="Calibri"/>
          <w:sz w:val="24"/>
          <w:lang w:eastAsia="ja-JP"/>
        </w:rPr>
        <w:t xml:space="preserve">atbalsta </w:t>
      </w:r>
      <w:r w:rsidR="00987C41" w:rsidRPr="00A07F29">
        <w:rPr>
          <w:rFonts w:ascii="Times New Roman" w:eastAsia="Calibri" w:hAnsi="Times New Roman" w:cs="Calibri"/>
          <w:sz w:val="24"/>
          <w:lang w:eastAsia="ja-JP"/>
        </w:rPr>
        <w:t xml:space="preserve">maksājumu likmēm </w:t>
      </w:r>
      <w:r w:rsidRPr="00A07F29">
        <w:rPr>
          <w:rFonts w:ascii="Times New Roman" w:eastAsia="Calibri" w:hAnsi="Times New Roman" w:cs="Calibri"/>
          <w:sz w:val="24"/>
          <w:lang w:eastAsia="ja-JP"/>
        </w:rPr>
        <w:t>atbilstoš</w:t>
      </w:r>
      <w:r w:rsidR="00987C41" w:rsidRPr="00A07F29">
        <w:rPr>
          <w:rFonts w:ascii="Times New Roman" w:eastAsia="Calibri" w:hAnsi="Times New Roman" w:cs="Calibri"/>
          <w:sz w:val="24"/>
          <w:lang w:eastAsia="ja-JP"/>
        </w:rPr>
        <w:t>ajās ražības klasēs dots 3.2.2.</w:t>
      </w:r>
      <w:r w:rsidR="00592B29" w:rsidRPr="00A07F29">
        <w:rPr>
          <w:rFonts w:ascii="Times New Roman" w:eastAsia="Calibri" w:hAnsi="Times New Roman" w:cs="Calibri"/>
          <w:sz w:val="24"/>
          <w:lang w:eastAsia="ja-JP"/>
        </w:rPr>
        <w:t> </w:t>
      </w:r>
      <w:r w:rsidR="00987C41" w:rsidRPr="00A07F29">
        <w:rPr>
          <w:rFonts w:ascii="Times New Roman" w:eastAsia="Calibri" w:hAnsi="Times New Roman" w:cs="Calibri"/>
          <w:sz w:val="24"/>
          <w:lang w:eastAsia="ja-JP"/>
        </w:rPr>
        <w:t>tabulā. Jāatzīmē</w:t>
      </w:r>
      <w:r w:rsidR="00B60775" w:rsidRPr="00A07F29">
        <w:rPr>
          <w:rFonts w:ascii="Times New Roman" w:eastAsia="Calibri" w:hAnsi="Times New Roman" w:cs="Calibri"/>
          <w:sz w:val="24"/>
          <w:lang w:eastAsia="ja-JP"/>
        </w:rPr>
        <w:t xml:space="preserve">, </w:t>
      </w:r>
      <w:r w:rsidR="00987C41" w:rsidRPr="00A07F29">
        <w:rPr>
          <w:rFonts w:ascii="Times New Roman" w:eastAsia="Calibri" w:hAnsi="Times New Roman" w:cs="Calibri"/>
          <w:sz w:val="24"/>
          <w:lang w:eastAsia="ja-JP"/>
        </w:rPr>
        <w:t>k</w:t>
      </w:r>
      <w:r w:rsidR="00B60775" w:rsidRPr="00A07F29">
        <w:rPr>
          <w:rFonts w:ascii="Times New Roman" w:eastAsia="Calibri" w:hAnsi="Times New Roman" w:cs="Calibri"/>
          <w:sz w:val="24"/>
          <w:lang w:eastAsia="ja-JP"/>
        </w:rPr>
        <w:t>a tabulā norād</w:t>
      </w:r>
      <w:r w:rsidR="00A537A8" w:rsidRPr="00A07F29">
        <w:rPr>
          <w:rFonts w:ascii="Times New Roman" w:eastAsia="Calibri" w:hAnsi="Times New Roman" w:cs="Calibri"/>
          <w:sz w:val="24"/>
          <w:lang w:eastAsia="ja-JP"/>
        </w:rPr>
        <w:t>ī</w:t>
      </w:r>
      <w:r w:rsidR="00B60775" w:rsidRPr="00A07F29">
        <w:rPr>
          <w:rFonts w:ascii="Times New Roman" w:eastAsia="Calibri" w:hAnsi="Times New Roman" w:cs="Calibri"/>
          <w:sz w:val="24"/>
          <w:lang w:eastAsia="ja-JP"/>
        </w:rPr>
        <w:t>taj</w:t>
      </w:r>
      <w:r w:rsidR="00A537A8" w:rsidRPr="00A07F29">
        <w:rPr>
          <w:rFonts w:ascii="Times New Roman" w:eastAsia="Calibri" w:hAnsi="Times New Roman" w:cs="Calibri"/>
          <w:sz w:val="24"/>
          <w:lang w:eastAsia="ja-JP"/>
        </w:rPr>
        <w:t>ie</w:t>
      </w:r>
      <w:r w:rsidR="00B60775" w:rsidRPr="00A07F29">
        <w:rPr>
          <w:rFonts w:ascii="Times New Roman" w:eastAsia="Calibri" w:hAnsi="Times New Roman" w:cs="Calibri"/>
          <w:sz w:val="24"/>
          <w:lang w:eastAsia="ja-JP"/>
        </w:rPr>
        <w:t>m</w:t>
      </w:r>
      <w:r w:rsidR="00987C41" w:rsidRPr="00A07F29">
        <w:rPr>
          <w:rFonts w:ascii="Times New Roman" w:eastAsia="Calibri" w:hAnsi="Times New Roman" w:cs="Calibri"/>
          <w:sz w:val="24"/>
          <w:lang w:eastAsia="ja-JP"/>
        </w:rPr>
        <w:t xml:space="preserve"> “0” klases zālājiem</w:t>
      </w:r>
      <w:r w:rsidR="00B60775" w:rsidRPr="00A07F29">
        <w:rPr>
          <w:rFonts w:ascii="Times New Roman" w:eastAsia="Calibri" w:hAnsi="Times New Roman" w:cs="Calibri"/>
          <w:sz w:val="24"/>
          <w:lang w:eastAsia="ja-JP"/>
        </w:rPr>
        <w:t xml:space="preserve"> (</w:t>
      </w:r>
      <w:r w:rsidR="00987C41" w:rsidRPr="00A07F29">
        <w:rPr>
          <w:rFonts w:ascii="Times New Roman" w:eastAsia="Calibri" w:hAnsi="Times New Roman" w:cs="Calibri"/>
          <w:sz w:val="24"/>
          <w:lang w:eastAsia="ja-JP"/>
        </w:rPr>
        <w:t>pirms 2013.</w:t>
      </w:r>
      <w:r w:rsidR="00592B29" w:rsidRPr="00A07F29">
        <w:rPr>
          <w:rFonts w:ascii="Times New Roman" w:eastAsia="Calibri" w:hAnsi="Times New Roman" w:cs="Calibri"/>
          <w:sz w:val="24"/>
          <w:lang w:eastAsia="ja-JP"/>
        </w:rPr>
        <w:t> </w:t>
      </w:r>
      <w:r w:rsidR="00987C41" w:rsidRPr="00A07F29">
        <w:rPr>
          <w:rFonts w:ascii="Times New Roman" w:eastAsia="Calibri" w:hAnsi="Times New Roman" w:cs="Calibri"/>
          <w:sz w:val="24"/>
          <w:lang w:eastAsia="ja-JP"/>
        </w:rPr>
        <w:t xml:space="preserve">gada atzīti par </w:t>
      </w:r>
      <w:r w:rsidR="007D17A2">
        <w:rPr>
          <w:rFonts w:ascii="Times New Roman" w:eastAsia="Calibri" w:hAnsi="Times New Roman" w:cs="Calibri"/>
          <w:sz w:val="24"/>
          <w:lang w:eastAsia="ja-JP"/>
        </w:rPr>
        <w:t>BVZ</w:t>
      </w:r>
      <w:r w:rsidRPr="00A07F29">
        <w:rPr>
          <w:rFonts w:ascii="Times New Roman" w:eastAsia="Calibri" w:hAnsi="Times New Roman" w:cs="Calibri"/>
          <w:sz w:val="24"/>
          <w:lang w:eastAsia="ja-JP"/>
        </w:rPr>
        <w:t xml:space="preserve"> </w:t>
      </w:r>
      <w:r w:rsidR="00987C41" w:rsidRPr="00A07F29">
        <w:rPr>
          <w:rFonts w:ascii="Times New Roman" w:eastAsia="Calibri" w:hAnsi="Times New Roman" w:cs="Calibri"/>
          <w:sz w:val="24"/>
          <w:lang w:eastAsia="ja-JP"/>
        </w:rPr>
        <w:t xml:space="preserve">un nav atzīti par ES nozīmes zālāju biotopu vai putnu dzīvotni) BDUZ atbalsts </w:t>
      </w:r>
      <w:r w:rsidR="00FF02BF" w:rsidRPr="00A07F29">
        <w:rPr>
          <w:rFonts w:ascii="Times New Roman" w:eastAsia="Calibri" w:hAnsi="Times New Roman" w:cs="Calibri"/>
          <w:sz w:val="24"/>
          <w:lang w:eastAsia="ja-JP"/>
        </w:rPr>
        <w:t xml:space="preserve">bija </w:t>
      </w:r>
      <w:r w:rsidR="00987C41" w:rsidRPr="00A07F29">
        <w:rPr>
          <w:rFonts w:ascii="Times New Roman" w:eastAsia="Calibri" w:hAnsi="Times New Roman" w:cs="Calibri"/>
          <w:sz w:val="24"/>
          <w:lang w:eastAsia="ja-JP"/>
        </w:rPr>
        <w:t>pieejams tikai saistību perioda pabeigšanai 2021.</w:t>
      </w:r>
      <w:r w:rsidR="00041B50" w:rsidRPr="00A07F29">
        <w:rPr>
          <w:rFonts w:ascii="Times New Roman" w:eastAsia="Calibri" w:hAnsi="Times New Roman" w:cs="Calibri"/>
          <w:sz w:val="24"/>
          <w:lang w:eastAsia="ja-JP"/>
        </w:rPr>
        <w:t> – </w:t>
      </w:r>
      <w:r w:rsidR="00987C41" w:rsidRPr="00A07F29">
        <w:rPr>
          <w:rFonts w:ascii="Times New Roman" w:eastAsia="Calibri" w:hAnsi="Times New Roman" w:cs="Calibri"/>
          <w:sz w:val="24"/>
          <w:lang w:eastAsia="ja-JP"/>
        </w:rPr>
        <w:t>2022.</w:t>
      </w:r>
      <w:r w:rsidR="00041B50" w:rsidRPr="00A07F29">
        <w:rPr>
          <w:rFonts w:ascii="Times New Roman" w:eastAsia="Calibri" w:hAnsi="Times New Roman" w:cs="Calibri"/>
          <w:sz w:val="24"/>
          <w:lang w:eastAsia="ja-JP"/>
        </w:rPr>
        <w:t> </w:t>
      </w:r>
      <w:r w:rsidR="00987C41" w:rsidRPr="00A07F29">
        <w:rPr>
          <w:rFonts w:ascii="Times New Roman" w:eastAsia="Calibri" w:hAnsi="Times New Roman" w:cs="Calibri"/>
          <w:sz w:val="24"/>
          <w:lang w:eastAsia="ja-JP"/>
        </w:rPr>
        <w:t>gadā.</w:t>
      </w:r>
      <w:r w:rsidR="008C05A2" w:rsidRPr="00A07F29">
        <w:rPr>
          <w:rFonts w:ascii="Times New Roman" w:eastAsia="Calibri" w:hAnsi="Times New Roman" w:cs="Calibri"/>
          <w:sz w:val="24"/>
          <w:lang w:eastAsia="ja-JP"/>
        </w:rPr>
        <w:t xml:space="preserve"> AAA “Augšdaugava” konstatēto </w:t>
      </w:r>
      <w:r w:rsidR="00821251" w:rsidRPr="00A07F29">
        <w:rPr>
          <w:rFonts w:ascii="Times New Roman" w:eastAsia="Calibri" w:hAnsi="Times New Roman" w:cs="Calibri"/>
          <w:sz w:val="24"/>
          <w:lang w:eastAsia="ja-JP"/>
        </w:rPr>
        <w:t xml:space="preserve">ES </w:t>
      </w:r>
      <w:r w:rsidR="008C05A2" w:rsidRPr="00A07F29">
        <w:rPr>
          <w:rFonts w:ascii="Times New Roman" w:eastAsia="Calibri" w:hAnsi="Times New Roman" w:cs="Calibri"/>
          <w:sz w:val="24"/>
          <w:lang w:eastAsia="ja-JP"/>
        </w:rPr>
        <w:t xml:space="preserve">nozīmes </w:t>
      </w:r>
      <w:r w:rsidR="00821251" w:rsidRPr="00A07F29">
        <w:rPr>
          <w:rFonts w:ascii="Times New Roman" w:eastAsia="Calibri" w:hAnsi="Times New Roman" w:cs="Calibri"/>
          <w:sz w:val="24"/>
          <w:lang w:eastAsia="ja-JP"/>
        </w:rPr>
        <w:t xml:space="preserve">zālāju biotopu </w:t>
      </w:r>
      <w:r w:rsidR="008C05A2" w:rsidRPr="00A07F29">
        <w:rPr>
          <w:rFonts w:ascii="Times New Roman" w:eastAsia="Calibri" w:hAnsi="Times New Roman" w:cs="Calibri"/>
          <w:sz w:val="24"/>
          <w:lang w:eastAsia="ja-JP"/>
        </w:rPr>
        <w:t>sadalījums ražības klasēs un atbalstam pieteiktās platības kartogrāfiski attēlotas</w:t>
      </w:r>
      <w:r w:rsidR="00821251" w:rsidRPr="00A07F29">
        <w:rPr>
          <w:rFonts w:ascii="Times New Roman" w:eastAsia="Calibri" w:hAnsi="Times New Roman" w:cs="Calibri"/>
          <w:sz w:val="24"/>
          <w:lang w:eastAsia="ja-JP"/>
        </w:rPr>
        <w:t xml:space="preserve"> 3.1.</w:t>
      </w:r>
      <w:r w:rsidR="00041B50" w:rsidRPr="00A07F29">
        <w:rPr>
          <w:rFonts w:ascii="Times New Roman" w:eastAsia="Calibri" w:hAnsi="Times New Roman" w:cs="Calibri"/>
          <w:sz w:val="24"/>
          <w:lang w:eastAsia="ja-JP"/>
        </w:rPr>
        <w:t> </w:t>
      </w:r>
      <w:r w:rsidR="00821251" w:rsidRPr="00A07F29">
        <w:rPr>
          <w:rFonts w:ascii="Times New Roman" w:eastAsia="Calibri" w:hAnsi="Times New Roman" w:cs="Calibri"/>
          <w:sz w:val="24"/>
          <w:lang w:eastAsia="ja-JP"/>
        </w:rPr>
        <w:t>pielikumā.</w:t>
      </w:r>
    </w:p>
    <w:p w14:paraId="560649FB" w14:textId="6316F578" w:rsidR="008C05A2" w:rsidRPr="00A07F29" w:rsidRDefault="00930323" w:rsidP="00A537A8">
      <w:pPr>
        <w:keepNext/>
        <w:spacing w:after="120"/>
        <w:jc w:val="center"/>
        <w:rPr>
          <w:rFonts w:ascii="Times New Roman" w:eastAsia="Calibri" w:hAnsi="Times New Roman" w:cs="Calibri"/>
          <w:sz w:val="24"/>
          <w:lang w:eastAsia="ja-JP"/>
        </w:rPr>
      </w:pPr>
      <w:r w:rsidRPr="00A07F29">
        <w:rPr>
          <w:rFonts w:ascii="Times New Roman" w:eastAsia="Calibri" w:hAnsi="Times New Roman" w:cs="Calibri"/>
          <w:sz w:val="24"/>
          <w:lang w:eastAsia="ja-JP"/>
        </w:rPr>
        <w:lastRenderedPageBreak/>
        <w:t>3.2.2.</w:t>
      </w:r>
      <w:r w:rsidR="00041B50" w:rsidRPr="00A07F29">
        <w:rPr>
          <w:rFonts w:ascii="Times New Roman" w:eastAsia="Calibri" w:hAnsi="Times New Roman" w:cs="Calibri"/>
          <w:sz w:val="24"/>
          <w:lang w:eastAsia="ja-JP"/>
        </w:rPr>
        <w:t> </w:t>
      </w:r>
      <w:r w:rsidRPr="00A07F29">
        <w:rPr>
          <w:rFonts w:ascii="Times New Roman" w:eastAsia="Calibri" w:hAnsi="Times New Roman" w:cs="Calibri"/>
          <w:sz w:val="24"/>
          <w:lang w:eastAsia="ja-JP"/>
        </w:rPr>
        <w:t>tabula. Bioloģiski vērtīgo zālāju ražības klases AAA “Augšdaugava” (LAD</w:t>
      </w:r>
      <w:r w:rsidR="001D2268">
        <w:rPr>
          <w:rFonts w:ascii="Times New Roman" w:eastAsia="Calibri" w:hAnsi="Times New Roman" w:cs="Calibri"/>
          <w:sz w:val="24"/>
          <w:lang w:eastAsia="ja-JP"/>
        </w:rPr>
        <w:t xml:space="preserve"> dati</w:t>
      </w:r>
      <w:r w:rsidRPr="00A07F29">
        <w:rPr>
          <w:rFonts w:ascii="Times New Roman" w:eastAsia="Calibri" w:hAnsi="Times New Roman" w:cs="Calibri"/>
          <w:sz w:val="24"/>
          <w:lang w:eastAsia="ja-JP"/>
        </w:rPr>
        <w:t>, 2020)</w:t>
      </w:r>
    </w:p>
    <w:tbl>
      <w:tblPr>
        <w:tblW w:w="8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2546"/>
        <w:gridCol w:w="1985"/>
        <w:gridCol w:w="1984"/>
      </w:tblGrid>
      <w:tr w:rsidR="00A537A8" w:rsidRPr="00A07F29" w14:paraId="7486F054" w14:textId="77777777" w:rsidTr="00476612">
        <w:trPr>
          <w:trHeight w:val="975"/>
          <w:jc w:val="center"/>
        </w:trPr>
        <w:tc>
          <w:tcPr>
            <w:tcW w:w="1560" w:type="dxa"/>
            <w:shd w:val="clear" w:color="auto" w:fill="auto"/>
            <w:vAlign w:val="center"/>
            <w:hideMark/>
          </w:tcPr>
          <w:p w14:paraId="042AA698" w14:textId="15C05D3F" w:rsidR="008C05A2" w:rsidRPr="00A07F29" w:rsidRDefault="008C05A2" w:rsidP="00A537A8">
            <w:pPr>
              <w:keepNext/>
              <w:spacing w:after="0" w:line="240" w:lineRule="auto"/>
              <w:jc w:val="center"/>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Zālāju ražības klase</w:t>
            </w:r>
            <w:r w:rsidR="00930323" w:rsidRPr="00A07F29">
              <w:rPr>
                <w:rFonts w:ascii="Times New Roman" w:eastAsia="Times New Roman" w:hAnsi="Times New Roman" w:cs="Times New Roman"/>
                <w:color w:val="000000"/>
                <w:sz w:val="24"/>
                <w:szCs w:val="24"/>
              </w:rPr>
              <w:t xml:space="preserve">* </w:t>
            </w:r>
          </w:p>
        </w:tc>
        <w:tc>
          <w:tcPr>
            <w:tcW w:w="2546" w:type="dxa"/>
            <w:shd w:val="clear" w:color="auto" w:fill="auto"/>
            <w:vAlign w:val="center"/>
            <w:hideMark/>
          </w:tcPr>
          <w:p w14:paraId="7345C64B" w14:textId="1ED2A2F3" w:rsidR="008C05A2" w:rsidRPr="00A07F29" w:rsidRDefault="008C05A2" w:rsidP="00A537A8">
            <w:pPr>
              <w:keepNext/>
              <w:spacing w:after="0" w:line="240" w:lineRule="auto"/>
              <w:jc w:val="center"/>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 xml:space="preserve">Platība AAA </w:t>
            </w:r>
            <w:r w:rsidR="0083181C" w:rsidRPr="00A07F29">
              <w:rPr>
                <w:rFonts w:ascii="Times New Roman" w:eastAsia="Times New Roman" w:hAnsi="Times New Roman" w:cs="Times New Roman"/>
                <w:color w:val="000000"/>
                <w:sz w:val="24"/>
                <w:szCs w:val="24"/>
              </w:rPr>
              <w:t>“</w:t>
            </w:r>
            <w:r w:rsidRPr="00A07F29">
              <w:rPr>
                <w:rFonts w:ascii="Times New Roman" w:eastAsia="Times New Roman" w:hAnsi="Times New Roman" w:cs="Times New Roman"/>
                <w:color w:val="000000"/>
                <w:sz w:val="24"/>
                <w:szCs w:val="24"/>
              </w:rPr>
              <w:t>Augšdaugava</w:t>
            </w:r>
            <w:r w:rsidR="0083181C" w:rsidRPr="00A07F29">
              <w:rPr>
                <w:rFonts w:ascii="Times New Roman" w:eastAsia="Times New Roman" w:hAnsi="Times New Roman" w:cs="Times New Roman"/>
                <w:color w:val="000000"/>
                <w:sz w:val="24"/>
                <w:szCs w:val="24"/>
              </w:rPr>
              <w:t>”</w:t>
            </w:r>
            <w:r w:rsidRPr="00A07F29">
              <w:rPr>
                <w:rFonts w:ascii="Times New Roman" w:eastAsia="Times New Roman" w:hAnsi="Times New Roman" w:cs="Times New Roman"/>
                <w:color w:val="000000"/>
                <w:sz w:val="24"/>
                <w:szCs w:val="24"/>
              </w:rPr>
              <w:t xml:space="preserve"> teritorijā 2020.</w:t>
            </w:r>
            <w:r w:rsidR="0083181C" w:rsidRPr="00A07F29">
              <w:rPr>
                <w:rFonts w:ascii="Times New Roman" w:eastAsia="Times New Roman" w:hAnsi="Times New Roman" w:cs="Times New Roman"/>
                <w:color w:val="000000"/>
                <w:sz w:val="24"/>
                <w:szCs w:val="24"/>
              </w:rPr>
              <w:t> gadā</w:t>
            </w:r>
            <w:r w:rsidRPr="00A07F29">
              <w:rPr>
                <w:rFonts w:ascii="Times New Roman" w:eastAsia="Times New Roman" w:hAnsi="Times New Roman" w:cs="Times New Roman"/>
                <w:color w:val="000000"/>
                <w:sz w:val="24"/>
                <w:szCs w:val="24"/>
              </w:rPr>
              <w:t>, ha</w:t>
            </w:r>
          </w:p>
        </w:tc>
        <w:tc>
          <w:tcPr>
            <w:tcW w:w="1985" w:type="dxa"/>
            <w:shd w:val="clear" w:color="auto" w:fill="auto"/>
            <w:vAlign w:val="center"/>
            <w:hideMark/>
          </w:tcPr>
          <w:p w14:paraId="56D52A79" w14:textId="0EB8628F" w:rsidR="008C05A2" w:rsidRPr="00A07F29" w:rsidRDefault="008C05A2" w:rsidP="00A537A8">
            <w:pPr>
              <w:keepNext/>
              <w:spacing w:after="0" w:line="240" w:lineRule="auto"/>
              <w:jc w:val="center"/>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Atbalstam pieteiktā platība 2020.</w:t>
            </w:r>
            <w:r w:rsidR="00476612" w:rsidRPr="00A07F29">
              <w:rPr>
                <w:rFonts w:ascii="Times New Roman" w:eastAsia="Times New Roman" w:hAnsi="Times New Roman" w:cs="Times New Roman"/>
                <w:color w:val="000000"/>
                <w:sz w:val="24"/>
                <w:szCs w:val="24"/>
              </w:rPr>
              <w:t> </w:t>
            </w:r>
            <w:r w:rsidRPr="00A07F29">
              <w:rPr>
                <w:rFonts w:ascii="Times New Roman" w:eastAsia="Times New Roman" w:hAnsi="Times New Roman" w:cs="Times New Roman"/>
                <w:color w:val="000000"/>
                <w:sz w:val="24"/>
                <w:szCs w:val="24"/>
              </w:rPr>
              <w:t>g</w:t>
            </w:r>
            <w:r w:rsidR="0083181C" w:rsidRPr="00A07F29">
              <w:rPr>
                <w:rFonts w:ascii="Times New Roman" w:eastAsia="Times New Roman" w:hAnsi="Times New Roman" w:cs="Times New Roman"/>
                <w:color w:val="000000"/>
                <w:sz w:val="24"/>
                <w:szCs w:val="24"/>
              </w:rPr>
              <w:t>adā</w:t>
            </w:r>
            <w:r w:rsidRPr="00A07F29">
              <w:rPr>
                <w:rFonts w:ascii="Times New Roman" w:eastAsia="Times New Roman" w:hAnsi="Times New Roman" w:cs="Times New Roman"/>
                <w:color w:val="000000"/>
                <w:sz w:val="24"/>
                <w:szCs w:val="24"/>
              </w:rPr>
              <w:t>, ha</w:t>
            </w:r>
          </w:p>
        </w:tc>
        <w:tc>
          <w:tcPr>
            <w:tcW w:w="1984" w:type="dxa"/>
            <w:shd w:val="clear" w:color="auto" w:fill="auto"/>
            <w:vAlign w:val="center"/>
            <w:hideMark/>
          </w:tcPr>
          <w:p w14:paraId="4ACB4E48" w14:textId="77777777" w:rsidR="008C05A2" w:rsidRPr="00A07F29" w:rsidRDefault="008C05A2" w:rsidP="00A537A8">
            <w:pPr>
              <w:keepNext/>
              <w:spacing w:after="0" w:line="240" w:lineRule="auto"/>
              <w:jc w:val="center"/>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Atbalstam pieteiktās platības īpatsvars, %</w:t>
            </w:r>
          </w:p>
        </w:tc>
      </w:tr>
      <w:tr w:rsidR="008C05A2" w:rsidRPr="00A07F29" w14:paraId="7E45AD3D" w14:textId="77777777" w:rsidTr="00476612">
        <w:trPr>
          <w:trHeight w:val="288"/>
          <w:jc w:val="center"/>
        </w:trPr>
        <w:tc>
          <w:tcPr>
            <w:tcW w:w="1560" w:type="dxa"/>
            <w:shd w:val="clear" w:color="auto" w:fill="auto"/>
            <w:noWrap/>
            <w:vAlign w:val="bottom"/>
            <w:hideMark/>
          </w:tcPr>
          <w:p w14:paraId="77BEADFD" w14:textId="77777777" w:rsidR="008C05A2" w:rsidRPr="00A07F29" w:rsidRDefault="008C05A2" w:rsidP="00A537A8">
            <w:pPr>
              <w:spacing w:after="0" w:line="240" w:lineRule="auto"/>
              <w:jc w:val="center"/>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0</w:t>
            </w:r>
          </w:p>
        </w:tc>
        <w:tc>
          <w:tcPr>
            <w:tcW w:w="2546" w:type="dxa"/>
            <w:shd w:val="clear" w:color="auto" w:fill="auto"/>
            <w:noWrap/>
            <w:vAlign w:val="bottom"/>
            <w:hideMark/>
          </w:tcPr>
          <w:p w14:paraId="6925BD44" w14:textId="219D6DFB" w:rsidR="008C05A2" w:rsidRPr="00A07F29" w:rsidRDefault="008C05A2" w:rsidP="00A537A8">
            <w:pPr>
              <w:spacing w:after="0" w:line="240" w:lineRule="auto"/>
              <w:jc w:val="center"/>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263</w:t>
            </w:r>
            <w:r w:rsidR="00930323" w:rsidRPr="00A07F29">
              <w:rPr>
                <w:rFonts w:ascii="Times New Roman" w:eastAsia="Times New Roman" w:hAnsi="Times New Roman" w:cs="Times New Roman"/>
                <w:color w:val="000000"/>
                <w:sz w:val="24"/>
                <w:szCs w:val="24"/>
              </w:rPr>
              <w:t>,</w:t>
            </w:r>
            <w:r w:rsidRPr="00A07F29">
              <w:rPr>
                <w:rFonts w:ascii="Times New Roman" w:eastAsia="Times New Roman" w:hAnsi="Times New Roman" w:cs="Times New Roman"/>
                <w:color w:val="000000"/>
                <w:sz w:val="24"/>
                <w:szCs w:val="24"/>
              </w:rPr>
              <w:t>5</w:t>
            </w:r>
          </w:p>
        </w:tc>
        <w:tc>
          <w:tcPr>
            <w:tcW w:w="1985" w:type="dxa"/>
            <w:shd w:val="clear" w:color="auto" w:fill="auto"/>
            <w:noWrap/>
            <w:vAlign w:val="bottom"/>
            <w:hideMark/>
          </w:tcPr>
          <w:p w14:paraId="67DACB5E" w14:textId="650EDDC0" w:rsidR="008C05A2" w:rsidRPr="00A07F29" w:rsidRDefault="008C05A2" w:rsidP="00A537A8">
            <w:pPr>
              <w:spacing w:after="0" w:line="240" w:lineRule="auto"/>
              <w:jc w:val="center"/>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76</w:t>
            </w:r>
            <w:r w:rsidR="00930323" w:rsidRPr="00A07F29">
              <w:rPr>
                <w:rFonts w:ascii="Times New Roman" w:eastAsia="Times New Roman" w:hAnsi="Times New Roman" w:cs="Times New Roman"/>
                <w:color w:val="000000"/>
                <w:sz w:val="24"/>
                <w:szCs w:val="24"/>
              </w:rPr>
              <w:t>,</w:t>
            </w:r>
            <w:r w:rsidRPr="00A07F29">
              <w:rPr>
                <w:rFonts w:ascii="Times New Roman" w:eastAsia="Times New Roman" w:hAnsi="Times New Roman" w:cs="Times New Roman"/>
                <w:color w:val="000000"/>
                <w:sz w:val="24"/>
                <w:szCs w:val="24"/>
              </w:rPr>
              <w:t>3</w:t>
            </w:r>
          </w:p>
        </w:tc>
        <w:tc>
          <w:tcPr>
            <w:tcW w:w="1984" w:type="dxa"/>
            <w:shd w:val="clear" w:color="auto" w:fill="auto"/>
            <w:noWrap/>
            <w:vAlign w:val="bottom"/>
            <w:hideMark/>
          </w:tcPr>
          <w:p w14:paraId="4FB8C40B" w14:textId="5ED9E628" w:rsidR="008C05A2" w:rsidRPr="00A07F29" w:rsidRDefault="008C05A2" w:rsidP="00A537A8">
            <w:pPr>
              <w:spacing w:after="0" w:line="240" w:lineRule="auto"/>
              <w:jc w:val="center"/>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29</w:t>
            </w:r>
            <w:r w:rsidR="00930323" w:rsidRPr="00A07F29">
              <w:rPr>
                <w:rFonts w:ascii="Times New Roman" w:eastAsia="Times New Roman" w:hAnsi="Times New Roman" w:cs="Times New Roman"/>
                <w:color w:val="000000"/>
                <w:sz w:val="24"/>
                <w:szCs w:val="24"/>
              </w:rPr>
              <w:t>,</w:t>
            </w:r>
            <w:r w:rsidRPr="00A07F29">
              <w:rPr>
                <w:rFonts w:ascii="Times New Roman" w:eastAsia="Times New Roman" w:hAnsi="Times New Roman" w:cs="Times New Roman"/>
                <w:color w:val="000000"/>
                <w:sz w:val="24"/>
                <w:szCs w:val="24"/>
              </w:rPr>
              <w:t>0</w:t>
            </w:r>
          </w:p>
        </w:tc>
      </w:tr>
      <w:tr w:rsidR="008C05A2" w:rsidRPr="00A07F29" w14:paraId="28DA3AC3" w14:textId="77777777" w:rsidTr="00476612">
        <w:trPr>
          <w:trHeight w:val="288"/>
          <w:jc w:val="center"/>
        </w:trPr>
        <w:tc>
          <w:tcPr>
            <w:tcW w:w="1560" w:type="dxa"/>
            <w:shd w:val="clear" w:color="auto" w:fill="auto"/>
            <w:noWrap/>
            <w:vAlign w:val="bottom"/>
            <w:hideMark/>
          </w:tcPr>
          <w:p w14:paraId="5213F5CB" w14:textId="77777777" w:rsidR="008C05A2" w:rsidRPr="00A07F29" w:rsidRDefault="008C05A2" w:rsidP="00A537A8">
            <w:pPr>
              <w:spacing w:after="0" w:line="240" w:lineRule="auto"/>
              <w:jc w:val="center"/>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1</w:t>
            </w:r>
          </w:p>
        </w:tc>
        <w:tc>
          <w:tcPr>
            <w:tcW w:w="2546" w:type="dxa"/>
            <w:shd w:val="clear" w:color="auto" w:fill="auto"/>
            <w:noWrap/>
            <w:vAlign w:val="bottom"/>
            <w:hideMark/>
          </w:tcPr>
          <w:p w14:paraId="62C957AB" w14:textId="33BB2493" w:rsidR="008C05A2" w:rsidRPr="00A07F29" w:rsidRDefault="008C05A2" w:rsidP="00A537A8">
            <w:pPr>
              <w:spacing w:after="0" w:line="240" w:lineRule="auto"/>
              <w:jc w:val="center"/>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396</w:t>
            </w:r>
            <w:r w:rsidR="00930323" w:rsidRPr="00A07F29">
              <w:rPr>
                <w:rFonts w:ascii="Times New Roman" w:eastAsia="Times New Roman" w:hAnsi="Times New Roman" w:cs="Times New Roman"/>
                <w:color w:val="000000"/>
                <w:sz w:val="24"/>
                <w:szCs w:val="24"/>
              </w:rPr>
              <w:t>,</w:t>
            </w:r>
            <w:r w:rsidRPr="00A07F29">
              <w:rPr>
                <w:rFonts w:ascii="Times New Roman" w:eastAsia="Times New Roman" w:hAnsi="Times New Roman" w:cs="Times New Roman"/>
                <w:color w:val="000000"/>
                <w:sz w:val="24"/>
                <w:szCs w:val="24"/>
              </w:rPr>
              <w:t>4</w:t>
            </w:r>
          </w:p>
        </w:tc>
        <w:tc>
          <w:tcPr>
            <w:tcW w:w="1985" w:type="dxa"/>
            <w:shd w:val="clear" w:color="auto" w:fill="auto"/>
            <w:noWrap/>
            <w:vAlign w:val="bottom"/>
            <w:hideMark/>
          </w:tcPr>
          <w:p w14:paraId="61351CAD" w14:textId="46802AA5" w:rsidR="008C05A2" w:rsidRPr="00A07F29" w:rsidRDefault="008C05A2" w:rsidP="00A537A8">
            <w:pPr>
              <w:spacing w:after="0" w:line="240" w:lineRule="auto"/>
              <w:jc w:val="center"/>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167</w:t>
            </w:r>
            <w:r w:rsidR="00930323" w:rsidRPr="00A07F29">
              <w:rPr>
                <w:rFonts w:ascii="Times New Roman" w:eastAsia="Times New Roman" w:hAnsi="Times New Roman" w:cs="Times New Roman"/>
                <w:color w:val="000000"/>
                <w:sz w:val="24"/>
                <w:szCs w:val="24"/>
              </w:rPr>
              <w:t>,</w:t>
            </w:r>
            <w:r w:rsidRPr="00A07F29">
              <w:rPr>
                <w:rFonts w:ascii="Times New Roman" w:eastAsia="Times New Roman" w:hAnsi="Times New Roman" w:cs="Times New Roman"/>
                <w:color w:val="000000"/>
                <w:sz w:val="24"/>
                <w:szCs w:val="24"/>
              </w:rPr>
              <w:t>2</w:t>
            </w:r>
          </w:p>
        </w:tc>
        <w:tc>
          <w:tcPr>
            <w:tcW w:w="1984" w:type="dxa"/>
            <w:shd w:val="clear" w:color="auto" w:fill="auto"/>
            <w:noWrap/>
            <w:vAlign w:val="bottom"/>
            <w:hideMark/>
          </w:tcPr>
          <w:p w14:paraId="4D9A05B8" w14:textId="5C31E0B9" w:rsidR="008C05A2" w:rsidRPr="00A07F29" w:rsidRDefault="008C05A2" w:rsidP="00A537A8">
            <w:pPr>
              <w:spacing w:after="0" w:line="240" w:lineRule="auto"/>
              <w:jc w:val="center"/>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42</w:t>
            </w:r>
            <w:r w:rsidR="00930323" w:rsidRPr="00A07F29">
              <w:rPr>
                <w:rFonts w:ascii="Times New Roman" w:eastAsia="Times New Roman" w:hAnsi="Times New Roman" w:cs="Times New Roman"/>
                <w:color w:val="000000"/>
                <w:sz w:val="24"/>
                <w:szCs w:val="24"/>
              </w:rPr>
              <w:t>,</w:t>
            </w:r>
            <w:r w:rsidRPr="00A07F29">
              <w:rPr>
                <w:rFonts w:ascii="Times New Roman" w:eastAsia="Times New Roman" w:hAnsi="Times New Roman" w:cs="Times New Roman"/>
                <w:color w:val="000000"/>
                <w:sz w:val="24"/>
                <w:szCs w:val="24"/>
              </w:rPr>
              <w:t>2</w:t>
            </w:r>
          </w:p>
        </w:tc>
      </w:tr>
      <w:tr w:rsidR="008C05A2" w:rsidRPr="00A07F29" w14:paraId="491162AA" w14:textId="77777777" w:rsidTr="00476612">
        <w:trPr>
          <w:trHeight w:val="288"/>
          <w:jc w:val="center"/>
        </w:trPr>
        <w:tc>
          <w:tcPr>
            <w:tcW w:w="1560" w:type="dxa"/>
            <w:shd w:val="clear" w:color="auto" w:fill="auto"/>
            <w:noWrap/>
            <w:vAlign w:val="bottom"/>
            <w:hideMark/>
          </w:tcPr>
          <w:p w14:paraId="570D194A" w14:textId="77777777" w:rsidR="008C05A2" w:rsidRPr="00A07F29" w:rsidRDefault="008C05A2" w:rsidP="00A537A8">
            <w:pPr>
              <w:spacing w:after="0" w:line="240" w:lineRule="auto"/>
              <w:jc w:val="center"/>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2</w:t>
            </w:r>
          </w:p>
        </w:tc>
        <w:tc>
          <w:tcPr>
            <w:tcW w:w="2546" w:type="dxa"/>
            <w:shd w:val="clear" w:color="auto" w:fill="auto"/>
            <w:noWrap/>
            <w:vAlign w:val="bottom"/>
            <w:hideMark/>
          </w:tcPr>
          <w:p w14:paraId="2C900C8B" w14:textId="552F5922" w:rsidR="008C05A2" w:rsidRPr="00A07F29" w:rsidRDefault="008C05A2" w:rsidP="00A537A8">
            <w:pPr>
              <w:spacing w:after="0" w:line="240" w:lineRule="auto"/>
              <w:jc w:val="center"/>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134</w:t>
            </w:r>
            <w:r w:rsidR="00930323" w:rsidRPr="00A07F29">
              <w:rPr>
                <w:rFonts w:ascii="Times New Roman" w:eastAsia="Times New Roman" w:hAnsi="Times New Roman" w:cs="Times New Roman"/>
                <w:color w:val="000000"/>
                <w:sz w:val="24"/>
                <w:szCs w:val="24"/>
              </w:rPr>
              <w:t>,</w:t>
            </w:r>
            <w:r w:rsidRPr="00A07F29">
              <w:rPr>
                <w:rFonts w:ascii="Times New Roman" w:eastAsia="Times New Roman" w:hAnsi="Times New Roman" w:cs="Times New Roman"/>
                <w:color w:val="000000"/>
                <w:sz w:val="24"/>
                <w:szCs w:val="24"/>
              </w:rPr>
              <w:t>2</w:t>
            </w:r>
          </w:p>
        </w:tc>
        <w:tc>
          <w:tcPr>
            <w:tcW w:w="1985" w:type="dxa"/>
            <w:shd w:val="clear" w:color="auto" w:fill="auto"/>
            <w:noWrap/>
            <w:vAlign w:val="bottom"/>
            <w:hideMark/>
          </w:tcPr>
          <w:p w14:paraId="2D3DF01D" w14:textId="590238F4" w:rsidR="008C05A2" w:rsidRPr="00A07F29" w:rsidRDefault="008C05A2" w:rsidP="00A537A8">
            <w:pPr>
              <w:spacing w:after="0" w:line="240" w:lineRule="auto"/>
              <w:jc w:val="center"/>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62</w:t>
            </w:r>
            <w:r w:rsidR="00930323" w:rsidRPr="00A07F29">
              <w:rPr>
                <w:rFonts w:ascii="Times New Roman" w:eastAsia="Times New Roman" w:hAnsi="Times New Roman" w:cs="Times New Roman"/>
                <w:color w:val="000000"/>
                <w:sz w:val="24"/>
                <w:szCs w:val="24"/>
              </w:rPr>
              <w:t>,</w:t>
            </w:r>
            <w:r w:rsidRPr="00A07F29">
              <w:rPr>
                <w:rFonts w:ascii="Times New Roman" w:eastAsia="Times New Roman" w:hAnsi="Times New Roman" w:cs="Times New Roman"/>
                <w:color w:val="000000"/>
                <w:sz w:val="24"/>
                <w:szCs w:val="24"/>
              </w:rPr>
              <w:t>5</w:t>
            </w:r>
          </w:p>
        </w:tc>
        <w:tc>
          <w:tcPr>
            <w:tcW w:w="1984" w:type="dxa"/>
            <w:shd w:val="clear" w:color="auto" w:fill="auto"/>
            <w:noWrap/>
            <w:vAlign w:val="bottom"/>
            <w:hideMark/>
          </w:tcPr>
          <w:p w14:paraId="3C31442E" w14:textId="1FC51BC8" w:rsidR="008C05A2" w:rsidRPr="00A07F29" w:rsidRDefault="008C05A2" w:rsidP="00A537A8">
            <w:pPr>
              <w:spacing w:after="0" w:line="240" w:lineRule="auto"/>
              <w:jc w:val="center"/>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46</w:t>
            </w:r>
            <w:r w:rsidR="00930323" w:rsidRPr="00A07F29">
              <w:rPr>
                <w:rFonts w:ascii="Times New Roman" w:eastAsia="Times New Roman" w:hAnsi="Times New Roman" w:cs="Times New Roman"/>
                <w:color w:val="000000"/>
                <w:sz w:val="24"/>
                <w:szCs w:val="24"/>
              </w:rPr>
              <w:t>,</w:t>
            </w:r>
            <w:r w:rsidRPr="00A07F29">
              <w:rPr>
                <w:rFonts w:ascii="Times New Roman" w:eastAsia="Times New Roman" w:hAnsi="Times New Roman" w:cs="Times New Roman"/>
                <w:color w:val="000000"/>
                <w:sz w:val="24"/>
                <w:szCs w:val="24"/>
              </w:rPr>
              <w:t>6</w:t>
            </w:r>
          </w:p>
        </w:tc>
      </w:tr>
      <w:tr w:rsidR="008C05A2" w:rsidRPr="00A07F29" w14:paraId="06C92561" w14:textId="77777777" w:rsidTr="00476612">
        <w:trPr>
          <w:trHeight w:val="288"/>
          <w:jc w:val="center"/>
        </w:trPr>
        <w:tc>
          <w:tcPr>
            <w:tcW w:w="1560" w:type="dxa"/>
            <w:shd w:val="clear" w:color="auto" w:fill="auto"/>
            <w:noWrap/>
            <w:vAlign w:val="bottom"/>
            <w:hideMark/>
          </w:tcPr>
          <w:p w14:paraId="3B02F850" w14:textId="77777777" w:rsidR="008C05A2" w:rsidRPr="00A07F29" w:rsidRDefault="008C05A2" w:rsidP="00A537A8">
            <w:pPr>
              <w:spacing w:after="0" w:line="240" w:lineRule="auto"/>
              <w:jc w:val="center"/>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3</w:t>
            </w:r>
          </w:p>
        </w:tc>
        <w:tc>
          <w:tcPr>
            <w:tcW w:w="2546" w:type="dxa"/>
            <w:shd w:val="clear" w:color="auto" w:fill="auto"/>
            <w:noWrap/>
            <w:vAlign w:val="bottom"/>
            <w:hideMark/>
          </w:tcPr>
          <w:p w14:paraId="7BFCE5C2" w14:textId="6BC5ADC5" w:rsidR="008C05A2" w:rsidRPr="00A07F29" w:rsidRDefault="008C05A2" w:rsidP="00A537A8">
            <w:pPr>
              <w:spacing w:after="0" w:line="240" w:lineRule="auto"/>
              <w:jc w:val="center"/>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356</w:t>
            </w:r>
            <w:r w:rsidR="00930323" w:rsidRPr="00A07F29">
              <w:rPr>
                <w:rFonts w:ascii="Times New Roman" w:eastAsia="Times New Roman" w:hAnsi="Times New Roman" w:cs="Times New Roman"/>
                <w:color w:val="000000"/>
                <w:sz w:val="24"/>
                <w:szCs w:val="24"/>
              </w:rPr>
              <w:t>,</w:t>
            </w:r>
            <w:r w:rsidRPr="00A07F29">
              <w:rPr>
                <w:rFonts w:ascii="Times New Roman" w:eastAsia="Times New Roman" w:hAnsi="Times New Roman" w:cs="Times New Roman"/>
                <w:color w:val="000000"/>
                <w:sz w:val="24"/>
                <w:szCs w:val="24"/>
              </w:rPr>
              <w:t>2</w:t>
            </w:r>
          </w:p>
        </w:tc>
        <w:tc>
          <w:tcPr>
            <w:tcW w:w="1985" w:type="dxa"/>
            <w:shd w:val="clear" w:color="auto" w:fill="auto"/>
            <w:noWrap/>
            <w:vAlign w:val="bottom"/>
            <w:hideMark/>
          </w:tcPr>
          <w:p w14:paraId="3007355E" w14:textId="693A74E7" w:rsidR="008C05A2" w:rsidRPr="00A07F29" w:rsidRDefault="008C05A2" w:rsidP="00A537A8">
            <w:pPr>
              <w:spacing w:after="0" w:line="240" w:lineRule="auto"/>
              <w:jc w:val="center"/>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185</w:t>
            </w:r>
            <w:r w:rsidR="00930323" w:rsidRPr="00A07F29">
              <w:rPr>
                <w:rFonts w:ascii="Times New Roman" w:eastAsia="Times New Roman" w:hAnsi="Times New Roman" w:cs="Times New Roman"/>
                <w:color w:val="000000"/>
                <w:sz w:val="24"/>
                <w:szCs w:val="24"/>
              </w:rPr>
              <w:t>,</w:t>
            </w:r>
            <w:r w:rsidRPr="00A07F29">
              <w:rPr>
                <w:rFonts w:ascii="Times New Roman" w:eastAsia="Times New Roman" w:hAnsi="Times New Roman" w:cs="Times New Roman"/>
                <w:color w:val="000000"/>
                <w:sz w:val="24"/>
                <w:szCs w:val="24"/>
              </w:rPr>
              <w:t>6</w:t>
            </w:r>
          </w:p>
        </w:tc>
        <w:tc>
          <w:tcPr>
            <w:tcW w:w="1984" w:type="dxa"/>
            <w:shd w:val="clear" w:color="auto" w:fill="auto"/>
            <w:noWrap/>
            <w:vAlign w:val="bottom"/>
            <w:hideMark/>
          </w:tcPr>
          <w:p w14:paraId="1F973496" w14:textId="5D52A857" w:rsidR="008C05A2" w:rsidRPr="00A07F29" w:rsidRDefault="008C05A2" w:rsidP="00A537A8">
            <w:pPr>
              <w:spacing w:after="0" w:line="240" w:lineRule="auto"/>
              <w:jc w:val="center"/>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52</w:t>
            </w:r>
            <w:r w:rsidR="00930323" w:rsidRPr="00A07F29">
              <w:rPr>
                <w:rFonts w:ascii="Times New Roman" w:eastAsia="Times New Roman" w:hAnsi="Times New Roman" w:cs="Times New Roman"/>
                <w:color w:val="000000"/>
                <w:sz w:val="24"/>
                <w:szCs w:val="24"/>
              </w:rPr>
              <w:t>,</w:t>
            </w:r>
            <w:r w:rsidRPr="00A07F29">
              <w:rPr>
                <w:rFonts w:ascii="Times New Roman" w:eastAsia="Times New Roman" w:hAnsi="Times New Roman" w:cs="Times New Roman"/>
                <w:color w:val="000000"/>
                <w:sz w:val="24"/>
                <w:szCs w:val="24"/>
              </w:rPr>
              <w:t>1</w:t>
            </w:r>
          </w:p>
        </w:tc>
      </w:tr>
      <w:tr w:rsidR="008C05A2" w:rsidRPr="00A07F29" w14:paraId="3CBC483D" w14:textId="77777777" w:rsidTr="00476612">
        <w:trPr>
          <w:trHeight w:val="288"/>
          <w:jc w:val="center"/>
        </w:trPr>
        <w:tc>
          <w:tcPr>
            <w:tcW w:w="1560" w:type="dxa"/>
            <w:shd w:val="clear" w:color="auto" w:fill="auto"/>
            <w:noWrap/>
            <w:vAlign w:val="bottom"/>
            <w:hideMark/>
          </w:tcPr>
          <w:p w14:paraId="6DABA745" w14:textId="77777777" w:rsidR="008C05A2" w:rsidRPr="00A07F29" w:rsidRDefault="008C05A2" w:rsidP="00A537A8">
            <w:pPr>
              <w:spacing w:after="0" w:line="240" w:lineRule="auto"/>
              <w:jc w:val="center"/>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4</w:t>
            </w:r>
          </w:p>
        </w:tc>
        <w:tc>
          <w:tcPr>
            <w:tcW w:w="2546" w:type="dxa"/>
            <w:shd w:val="clear" w:color="auto" w:fill="auto"/>
            <w:noWrap/>
            <w:vAlign w:val="bottom"/>
            <w:hideMark/>
          </w:tcPr>
          <w:p w14:paraId="6D3CE246" w14:textId="71A0A081" w:rsidR="008C05A2" w:rsidRPr="00A07F29" w:rsidRDefault="008C05A2" w:rsidP="00A537A8">
            <w:pPr>
              <w:spacing w:after="0" w:line="240" w:lineRule="auto"/>
              <w:jc w:val="center"/>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2</w:t>
            </w:r>
            <w:r w:rsidR="00930323" w:rsidRPr="00A07F29">
              <w:rPr>
                <w:rFonts w:ascii="Times New Roman" w:eastAsia="Times New Roman" w:hAnsi="Times New Roman" w:cs="Times New Roman"/>
                <w:color w:val="000000"/>
                <w:sz w:val="24"/>
                <w:szCs w:val="24"/>
              </w:rPr>
              <w:t>,</w:t>
            </w:r>
            <w:r w:rsidRPr="00A07F29">
              <w:rPr>
                <w:rFonts w:ascii="Times New Roman" w:eastAsia="Times New Roman" w:hAnsi="Times New Roman" w:cs="Times New Roman"/>
                <w:color w:val="000000"/>
                <w:sz w:val="24"/>
                <w:szCs w:val="24"/>
              </w:rPr>
              <w:t>4</w:t>
            </w:r>
          </w:p>
        </w:tc>
        <w:tc>
          <w:tcPr>
            <w:tcW w:w="1985" w:type="dxa"/>
            <w:shd w:val="clear" w:color="auto" w:fill="auto"/>
            <w:noWrap/>
            <w:vAlign w:val="bottom"/>
            <w:hideMark/>
          </w:tcPr>
          <w:p w14:paraId="53C179F6" w14:textId="3425314B" w:rsidR="008C05A2" w:rsidRPr="00A07F29" w:rsidRDefault="00930323" w:rsidP="00A537A8">
            <w:pPr>
              <w:spacing w:after="0" w:line="240" w:lineRule="auto"/>
              <w:jc w:val="center"/>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w:t>
            </w:r>
          </w:p>
        </w:tc>
        <w:tc>
          <w:tcPr>
            <w:tcW w:w="1984" w:type="dxa"/>
            <w:shd w:val="clear" w:color="auto" w:fill="auto"/>
            <w:noWrap/>
            <w:vAlign w:val="bottom"/>
            <w:hideMark/>
          </w:tcPr>
          <w:p w14:paraId="4070A6D0" w14:textId="797525D8" w:rsidR="008C05A2" w:rsidRPr="00A07F29" w:rsidRDefault="00930323" w:rsidP="00A537A8">
            <w:pPr>
              <w:spacing w:after="0" w:line="240" w:lineRule="auto"/>
              <w:jc w:val="center"/>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w:t>
            </w:r>
          </w:p>
        </w:tc>
      </w:tr>
      <w:tr w:rsidR="008C05A2" w:rsidRPr="00A07F29" w14:paraId="1871DE4E" w14:textId="77777777" w:rsidTr="00476612">
        <w:trPr>
          <w:trHeight w:val="288"/>
          <w:jc w:val="center"/>
        </w:trPr>
        <w:tc>
          <w:tcPr>
            <w:tcW w:w="1560" w:type="dxa"/>
            <w:shd w:val="clear" w:color="auto" w:fill="auto"/>
            <w:noWrap/>
            <w:vAlign w:val="bottom"/>
            <w:hideMark/>
          </w:tcPr>
          <w:p w14:paraId="1E2C1B5D" w14:textId="0F078732" w:rsidR="008C05A2" w:rsidRPr="00A07F29" w:rsidRDefault="008C05A2" w:rsidP="00A537A8">
            <w:pPr>
              <w:spacing w:after="0" w:line="240" w:lineRule="auto"/>
              <w:jc w:val="center"/>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Kopā</w:t>
            </w:r>
          </w:p>
        </w:tc>
        <w:tc>
          <w:tcPr>
            <w:tcW w:w="2546" w:type="dxa"/>
            <w:shd w:val="clear" w:color="auto" w:fill="auto"/>
            <w:noWrap/>
            <w:vAlign w:val="bottom"/>
            <w:hideMark/>
          </w:tcPr>
          <w:p w14:paraId="1D22720A" w14:textId="6FBB1E25" w:rsidR="008C05A2" w:rsidRPr="00A07F29" w:rsidRDefault="008C05A2" w:rsidP="00A537A8">
            <w:pPr>
              <w:spacing w:after="0" w:line="240" w:lineRule="auto"/>
              <w:jc w:val="center"/>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1152</w:t>
            </w:r>
            <w:r w:rsidR="00930323" w:rsidRPr="00A07F29">
              <w:rPr>
                <w:rFonts w:ascii="Times New Roman" w:eastAsia="Times New Roman" w:hAnsi="Times New Roman" w:cs="Times New Roman"/>
                <w:color w:val="000000"/>
                <w:sz w:val="24"/>
                <w:szCs w:val="24"/>
              </w:rPr>
              <w:t>,</w:t>
            </w:r>
            <w:r w:rsidRPr="00A07F29">
              <w:rPr>
                <w:rFonts w:ascii="Times New Roman" w:eastAsia="Times New Roman" w:hAnsi="Times New Roman" w:cs="Times New Roman"/>
                <w:color w:val="000000"/>
                <w:sz w:val="24"/>
                <w:szCs w:val="24"/>
              </w:rPr>
              <w:t>7</w:t>
            </w:r>
          </w:p>
        </w:tc>
        <w:tc>
          <w:tcPr>
            <w:tcW w:w="1985" w:type="dxa"/>
            <w:shd w:val="clear" w:color="auto" w:fill="auto"/>
            <w:noWrap/>
            <w:vAlign w:val="bottom"/>
            <w:hideMark/>
          </w:tcPr>
          <w:p w14:paraId="4D7DA666" w14:textId="6FDA1809" w:rsidR="008C05A2" w:rsidRPr="00A07F29" w:rsidRDefault="008C05A2" w:rsidP="00A537A8">
            <w:pPr>
              <w:spacing w:after="0" w:line="240" w:lineRule="auto"/>
              <w:jc w:val="center"/>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491</w:t>
            </w:r>
            <w:r w:rsidR="00930323" w:rsidRPr="00A07F29">
              <w:rPr>
                <w:rFonts w:ascii="Times New Roman" w:eastAsia="Times New Roman" w:hAnsi="Times New Roman" w:cs="Times New Roman"/>
                <w:color w:val="000000"/>
                <w:sz w:val="24"/>
                <w:szCs w:val="24"/>
              </w:rPr>
              <w:t>,</w:t>
            </w:r>
            <w:r w:rsidRPr="00A07F29">
              <w:rPr>
                <w:rFonts w:ascii="Times New Roman" w:eastAsia="Times New Roman" w:hAnsi="Times New Roman" w:cs="Times New Roman"/>
                <w:color w:val="000000"/>
                <w:sz w:val="24"/>
                <w:szCs w:val="24"/>
              </w:rPr>
              <w:t>7</w:t>
            </w:r>
          </w:p>
        </w:tc>
        <w:tc>
          <w:tcPr>
            <w:tcW w:w="1984" w:type="dxa"/>
            <w:shd w:val="clear" w:color="auto" w:fill="auto"/>
            <w:noWrap/>
            <w:vAlign w:val="bottom"/>
            <w:hideMark/>
          </w:tcPr>
          <w:p w14:paraId="68657CCE" w14:textId="4F0A1A7F" w:rsidR="008C05A2" w:rsidRPr="00A07F29" w:rsidRDefault="008C05A2" w:rsidP="00A537A8">
            <w:pPr>
              <w:spacing w:after="0" w:line="240" w:lineRule="auto"/>
              <w:jc w:val="center"/>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42</w:t>
            </w:r>
            <w:r w:rsidR="00930323" w:rsidRPr="00A07F29">
              <w:rPr>
                <w:rFonts w:ascii="Times New Roman" w:eastAsia="Times New Roman" w:hAnsi="Times New Roman" w:cs="Times New Roman"/>
                <w:color w:val="000000"/>
                <w:sz w:val="24"/>
                <w:szCs w:val="24"/>
              </w:rPr>
              <w:t>,</w:t>
            </w:r>
            <w:r w:rsidRPr="00A07F29">
              <w:rPr>
                <w:rFonts w:ascii="Times New Roman" w:eastAsia="Times New Roman" w:hAnsi="Times New Roman" w:cs="Times New Roman"/>
                <w:color w:val="000000"/>
                <w:sz w:val="24"/>
                <w:szCs w:val="24"/>
              </w:rPr>
              <w:t>7</w:t>
            </w:r>
          </w:p>
        </w:tc>
      </w:tr>
    </w:tbl>
    <w:p w14:paraId="7FB4D005" w14:textId="77777777" w:rsidR="00930323" w:rsidRPr="00A07F29" w:rsidRDefault="00930323" w:rsidP="00A537A8">
      <w:pPr>
        <w:spacing w:before="120" w:after="0" w:line="240" w:lineRule="auto"/>
        <w:ind w:firstLine="851"/>
        <w:rPr>
          <w:rFonts w:ascii="Times New Roman" w:eastAsia="Calibri" w:hAnsi="Times New Roman" w:cs="Calibri"/>
          <w:sz w:val="20"/>
          <w:szCs w:val="20"/>
          <w:lang w:eastAsia="ja-JP"/>
        </w:rPr>
      </w:pPr>
      <w:r w:rsidRPr="00A07F29">
        <w:rPr>
          <w:rFonts w:ascii="Times New Roman" w:eastAsia="Calibri" w:hAnsi="Times New Roman" w:cs="Calibri"/>
          <w:sz w:val="20"/>
          <w:szCs w:val="20"/>
          <w:lang w:eastAsia="ja-JP"/>
        </w:rPr>
        <w:t>* Zālāju ražības klases:</w:t>
      </w:r>
    </w:p>
    <w:p w14:paraId="569D521E" w14:textId="02D87F78" w:rsidR="00930323" w:rsidRPr="00A07F29" w:rsidRDefault="00930323" w:rsidP="00930323">
      <w:pPr>
        <w:spacing w:after="0" w:line="240" w:lineRule="auto"/>
        <w:ind w:left="1134" w:hanging="283"/>
        <w:rPr>
          <w:rFonts w:ascii="Times New Roman" w:eastAsia="Calibri" w:hAnsi="Times New Roman" w:cs="Calibri"/>
          <w:sz w:val="20"/>
          <w:szCs w:val="20"/>
          <w:lang w:eastAsia="ja-JP"/>
        </w:rPr>
      </w:pPr>
      <w:r w:rsidRPr="00A07F29">
        <w:rPr>
          <w:rFonts w:ascii="Times New Roman" w:eastAsia="Calibri" w:hAnsi="Times New Roman" w:cs="Calibri"/>
          <w:sz w:val="20"/>
          <w:szCs w:val="20"/>
          <w:lang w:eastAsia="ja-JP"/>
        </w:rPr>
        <w:t xml:space="preserve">0 </w:t>
      </w:r>
      <w:r w:rsidR="00510B39" w:rsidRPr="00A07F29">
        <w:rPr>
          <w:rFonts w:ascii="Times New Roman" w:eastAsia="Calibri" w:hAnsi="Times New Roman" w:cs="Calibri"/>
          <w:sz w:val="20"/>
          <w:szCs w:val="20"/>
          <w:lang w:eastAsia="ja-JP"/>
        </w:rPr>
        <w:t>–</w:t>
      </w:r>
      <w:r w:rsidRPr="00A07F29">
        <w:rPr>
          <w:rFonts w:ascii="Times New Roman" w:eastAsia="Calibri" w:hAnsi="Times New Roman" w:cs="Calibri"/>
          <w:sz w:val="20"/>
          <w:szCs w:val="20"/>
          <w:lang w:eastAsia="ja-JP"/>
        </w:rPr>
        <w:t xml:space="preserve"> pirms 2013.</w:t>
      </w:r>
      <w:r w:rsidR="008E0D29" w:rsidRPr="00A07F29">
        <w:rPr>
          <w:rFonts w:ascii="Times New Roman" w:eastAsia="Calibri" w:hAnsi="Times New Roman" w:cs="Calibri"/>
          <w:sz w:val="20"/>
          <w:szCs w:val="20"/>
          <w:lang w:eastAsia="ja-JP"/>
        </w:rPr>
        <w:t> </w:t>
      </w:r>
      <w:r w:rsidRPr="00A07F29">
        <w:rPr>
          <w:rFonts w:ascii="Times New Roman" w:eastAsia="Calibri" w:hAnsi="Times New Roman" w:cs="Calibri"/>
          <w:sz w:val="20"/>
          <w:szCs w:val="20"/>
          <w:lang w:eastAsia="ja-JP"/>
        </w:rPr>
        <w:t xml:space="preserve">gada ir atzīts par </w:t>
      </w:r>
      <w:r w:rsidR="00222C8F">
        <w:rPr>
          <w:rFonts w:ascii="Times New Roman" w:eastAsia="Calibri" w:hAnsi="Times New Roman" w:cs="Calibri"/>
          <w:sz w:val="20"/>
          <w:szCs w:val="20"/>
          <w:lang w:eastAsia="ja-JP"/>
        </w:rPr>
        <w:t>BVZ</w:t>
      </w:r>
      <w:r w:rsidRPr="00A07F29">
        <w:rPr>
          <w:rFonts w:ascii="Times New Roman" w:eastAsia="Calibri" w:hAnsi="Times New Roman" w:cs="Calibri"/>
          <w:sz w:val="20"/>
          <w:szCs w:val="20"/>
          <w:lang w:eastAsia="ja-JP"/>
        </w:rPr>
        <w:t>, nav atzīts par ES nozīmes biotopu vai putnu dzīvotni</w:t>
      </w:r>
      <w:r w:rsidR="00C106E5" w:rsidRPr="00A07F29">
        <w:rPr>
          <w:rFonts w:ascii="Times New Roman" w:eastAsia="Calibri" w:hAnsi="Times New Roman" w:cs="Calibri"/>
          <w:sz w:val="20"/>
          <w:szCs w:val="20"/>
          <w:lang w:eastAsia="ja-JP"/>
        </w:rPr>
        <w:t>;</w:t>
      </w:r>
    </w:p>
    <w:p w14:paraId="6C641DF1" w14:textId="77FC2693" w:rsidR="00930323" w:rsidRPr="00A07F29" w:rsidRDefault="00930323" w:rsidP="00930323">
      <w:pPr>
        <w:spacing w:after="0" w:line="240" w:lineRule="auto"/>
        <w:ind w:firstLine="851"/>
        <w:rPr>
          <w:rFonts w:ascii="Times New Roman" w:eastAsia="Calibri" w:hAnsi="Times New Roman" w:cs="Calibri"/>
          <w:sz w:val="20"/>
          <w:szCs w:val="20"/>
          <w:lang w:eastAsia="ja-JP"/>
        </w:rPr>
      </w:pPr>
      <w:r w:rsidRPr="00A07F29">
        <w:rPr>
          <w:rFonts w:ascii="Times New Roman" w:eastAsia="Calibri" w:hAnsi="Times New Roman" w:cs="Calibri"/>
          <w:sz w:val="20"/>
          <w:szCs w:val="20"/>
          <w:lang w:eastAsia="ja-JP"/>
        </w:rPr>
        <w:t xml:space="preserve">1 </w:t>
      </w:r>
      <w:r w:rsidR="00510B39" w:rsidRPr="00A07F29">
        <w:rPr>
          <w:rFonts w:ascii="Times New Roman" w:eastAsia="Calibri" w:hAnsi="Times New Roman" w:cs="Calibri"/>
          <w:sz w:val="20"/>
          <w:szCs w:val="20"/>
          <w:lang w:eastAsia="ja-JP"/>
        </w:rPr>
        <w:t>–</w:t>
      </w:r>
      <w:r w:rsidRPr="00A07F29">
        <w:rPr>
          <w:rFonts w:ascii="Times New Roman" w:eastAsia="Calibri" w:hAnsi="Times New Roman" w:cs="Calibri"/>
          <w:sz w:val="20"/>
          <w:szCs w:val="20"/>
          <w:lang w:eastAsia="ja-JP"/>
        </w:rPr>
        <w:t xml:space="preserve"> </w:t>
      </w:r>
      <w:r w:rsidR="00510B39" w:rsidRPr="00A07F29">
        <w:rPr>
          <w:rFonts w:ascii="Times New Roman" w:eastAsia="Calibri" w:hAnsi="Times New Roman" w:cs="Calibri"/>
          <w:sz w:val="20"/>
          <w:szCs w:val="20"/>
          <w:lang w:eastAsia="ja-JP"/>
        </w:rPr>
        <w:t xml:space="preserve">LAD </w:t>
      </w:r>
      <w:r w:rsidRPr="00A07F29">
        <w:rPr>
          <w:rFonts w:ascii="Times New Roman" w:eastAsia="Calibri" w:hAnsi="Times New Roman" w:cs="Calibri"/>
          <w:sz w:val="20"/>
          <w:szCs w:val="20"/>
          <w:lang w:eastAsia="ja-JP"/>
        </w:rPr>
        <w:t>lauku blokos esošs zālājs auglīgā augsnē un putnu dzīvotnēs</w:t>
      </w:r>
      <w:r w:rsidR="00C106E5" w:rsidRPr="00A07F29">
        <w:rPr>
          <w:rFonts w:ascii="Times New Roman" w:eastAsia="Calibri" w:hAnsi="Times New Roman" w:cs="Calibri"/>
          <w:sz w:val="20"/>
          <w:szCs w:val="20"/>
          <w:lang w:eastAsia="ja-JP"/>
        </w:rPr>
        <w:t>;</w:t>
      </w:r>
    </w:p>
    <w:p w14:paraId="57DD869C" w14:textId="2FFE6F2B" w:rsidR="00930323" w:rsidRPr="00A07F29" w:rsidRDefault="00930323" w:rsidP="00930323">
      <w:pPr>
        <w:spacing w:after="0" w:line="240" w:lineRule="auto"/>
        <w:ind w:firstLine="851"/>
        <w:rPr>
          <w:rFonts w:ascii="Times New Roman" w:eastAsia="Calibri" w:hAnsi="Times New Roman" w:cs="Calibri"/>
          <w:sz w:val="20"/>
          <w:szCs w:val="20"/>
          <w:lang w:eastAsia="ja-JP"/>
        </w:rPr>
      </w:pPr>
      <w:r w:rsidRPr="00A07F29">
        <w:rPr>
          <w:rFonts w:ascii="Times New Roman" w:eastAsia="Calibri" w:hAnsi="Times New Roman" w:cs="Calibri"/>
          <w:sz w:val="20"/>
          <w:szCs w:val="20"/>
          <w:lang w:eastAsia="ja-JP"/>
        </w:rPr>
        <w:t xml:space="preserve">2 </w:t>
      </w:r>
      <w:r w:rsidR="00510B39" w:rsidRPr="00A07F29">
        <w:rPr>
          <w:rFonts w:ascii="Times New Roman" w:eastAsia="Calibri" w:hAnsi="Times New Roman" w:cs="Calibri"/>
          <w:sz w:val="20"/>
          <w:szCs w:val="20"/>
          <w:lang w:eastAsia="ja-JP"/>
        </w:rPr>
        <w:t>–</w:t>
      </w:r>
      <w:r w:rsidR="00D65BBA" w:rsidRPr="00A07F29">
        <w:rPr>
          <w:rFonts w:ascii="Times New Roman" w:eastAsia="Calibri" w:hAnsi="Times New Roman" w:cs="Calibri"/>
          <w:sz w:val="20"/>
          <w:szCs w:val="20"/>
          <w:lang w:eastAsia="ja-JP"/>
        </w:rPr>
        <w:t xml:space="preserve"> </w:t>
      </w:r>
      <w:r w:rsidR="00510B39" w:rsidRPr="00A07F29">
        <w:rPr>
          <w:rFonts w:ascii="Times New Roman" w:eastAsia="Calibri" w:hAnsi="Times New Roman" w:cs="Calibri"/>
          <w:sz w:val="20"/>
          <w:szCs w:val="20"/>
          <w:lang w:eastAsia="ja-JP"/>
        </w:rPr>
        <w:t xml:space="preserve">LAD </w:t>
      </w:r>
      <w:r w:rsidRPr="00A07F29">
        <w:rPr>
          <w:rFonts w:ascii="Times New Roman" w:eastAsia="Calibri" w:hAnsi="Times New Roman" w:cs="Calibri"/>
          <w:sz w:val="20"/>
          <w:szCs w:val="20"/>
          <w:lang w:eastAsia="ja-JP"/>
        </w:rPr>
        <w:t>lauku blokos esošs zālājs mēreni auglīgā augsnē</w:t>
      </w:r>
      <w:r w:rsidR="00C106E5" w:rsidRPr="00A07F29">
        <w:rPr>
          <w:rFonts w:ascii="Times New Roman" w:eastAsia="Calibri" w:hAnsi="Times New Roman" w:cs="Calibri"/>
          <w:sz w:val="20"/>
          <w:szCs w:val="20"/>
          <w:lang w:eastAsia="ja-JP"/>
        </w:rPr>
        <w:t>;</w:t>
      </w:r>
    </w:p>
    <w:p w14:paraId="6881E36A" w14:textId="2015DED7" w:rsidR="00930323" w:rsidRPr="00A07F29" w:rsidRDefault="00930323" w:rsidP="00930323">
      <w:pPr>
        <w:spacing w:after="0" w:line="240" w:lineRule="auto"/>
        <w:ind w:firstLine="851"/>
        <w:rPr>
          <w:rFonts w:ascii="Times New Roman" w:eastAsia="Calibri" w:hAnsi="Times New Roman" w:cs="Calibri"/>
          <w:sz w:val="20"/>
          <w:szCs w:val="20"/>
          <w:lang w:eastAsia="ja-JP"/>
        </w:rPr>
      </w:pPr>
      <w:r w:rsidRPr="00A07F29">
        <w:rPr>
          <w:rFonts w:ascii="Times New Roman" w:eastAsia="Calibri" w:hAnsi="Times New Roman" w:cs="Calibri"/>
          <w:sz w:val="20"/>
          <w:szCs w:val="20"/>
          <w:lang w:eastAsia="ja-JP"/>
        </w:rPr>
        <w:t xml:space="preserve">3 </w:t>
      </w:r>
      <w:r w:rsidR="00510B39" w:rsidRPr="00A07F29">
        <w:rPr>
          <w:rFonts w:ascii="Times New Roman" w:eastAsia="Calibri" w:hAnsi="Times New Roman" w:cs="Calibri"/>
          <w:sz w:val="20"/>
          <w:szCs w:val="20"/>
          <w:lang w:eastAsia="ja-JP"/>
        </w:rPr>
        <w:t>–</w:t>
      </w:r>
      <w:r w:rsidRPr="00A07F29">
        <w:rPr>
          <w:rFonts w:ascii="Times New Roman" w:eastAsia="Calibri" w:hAnsi="Times New Roman" w:cs="Calibri"/>
          <w:sz w:val="20"/>
          <w:szCs w:val="20"/>
          <w:lang w:eastAsia="ja-JP"/>
        </w:rPr>
        <w:t xml:space="preserve"> </w:t>
      </w:r>
      <w:r w:rsidR="00510B39" w:rsidRPr="00A07F29">
        <w:rPr>
          <w:rFonts w:ascii="Times New Roman" w:eastAsia="Calibri" w:hAnsi="Times New Roman" w:cs="Calibri"/>
          <w:sz w:val="20"/>
          <w:szCs w:val="20"/>
          <w:lang w:eastAsia="ja-JP"/>
        </w:rPr>
        <w:t xml:space="preserve">LAD </w:t>
      </w:r>
      <w:r w:rsidRPr="00A07F29">
        <w:rPr>
          <w:rFonts w:ascii="Times New Roman" w:eastAsia="Calibri" w:hAnsi="Times New Roman" w:cs="Calibri"/>
          <w:sz w:val="20"/>
          <w:szCs w:val="20"/>
          <w:lang w:eastAsia="ja-JP"/>
        </w:rPr>
        <w:t>lauku blokos esošs zālājs nabadzīgā augsnē</w:t>
      </w:r>
      <w:r w:rsidR="00C106E5" w:rsidRPr="00A07F29">
        <w:rPr>
          <w:rFonts w:ascii="Times New Roman" w:eastAsia="Calibri" w:hAnsi="Times New Roman" w:cs="Calibri"/>
          <w:sz w:val="20"/>
          <w:szCs w:val="20"/>
          <w:lang w:eastAsia="ja-JP"/>
        </w:rPr>
        <w:t>;</w:t>
      </w:r>
    </w:p>
    <w:p w14:paraId="59FE440E" w14:textId="70EF0FA5" w:rsidR="00930323" w:rsidRPr="00A07F29" w:rsidRDefault="00930323" w:rsidP="00930323">
      <w:pPr>
        <w:spacing w:after="0" w:line="240" w:lineRule="auto"/>
        <w:ind w:firstLine="851"/>
        <w:rPr>
          <w:rFonts w:ascii="Times New Roman" w:eastAsia="Calibri" w:hAnsi="Times New Roman" w:cs="Calibri"/>
          <w:sz w:val="24"/>
          <w:lang w:eastAsia="ja-JP"/>
        </w:rPr>
      </w:pPr>
      <w:r w:rsidRPr="00A07F29">
        <w:rPr>
          <w:rFonts w:ascii="Times New Roman" w:eastAsia="Calibri" w:hAnsi="Times New Roman" w:cs="Calibri"/>
          <w:sz w:val="20"/>
          <w:szCs w:val="20"/>
          <w:lang w:eastAsia="ja-JP"/>
        </w:rPr>
        <w:t xml:space="preserve">4 </w:t>
      </w:r>
      <w:r w:rsidR="00510B39" w:rsidRPr="00A07F29">
        <w:rPr>
          <w:rFonts w:ascii="Times New Roman" w:eastAsia="Calibri" w:hAnsi="Times New Roman" w:cs="Calibri"/>
          <w:sz w:val="20"/>
          <w:szCs w:val="20"/>
          <w:lang w:eastAsia="ja-JP"/>
        </w:rPr>
        <w:t>–</w:t>
      </w:r>
      <w:r w:rsidRPr="00A07F29">
        <w:rPr>
          <w:rFonts w:ascii="Times New Roman" w:eastAsia="Calibri" w:hAnsi="Times New Roman" w:cs="Calibri"/>
          <w:sz w:val="20"/>
          <w:szCs w:val="20"/>
          <w:lang w:eastAsia="ja-JP"/>
        </w:rPr>
        <w:t xml:space="preserve"> ārpus </w:t>
      </w:r>
      <w:r w:rsidR="00510B39" w:rsidRPr="00A07F29">
        <w:rPr>
          <w:rFonts w:ascii="Times New Roman" w:eastAsia="Calibri" w:hAnsi="Times New Roman" w:cs="Calibri"/>
          <w:sz w:val="20"/>
          <w:szCs w:val="20"/>
          <w:lang w:eastAsia="ja-JP"/>
        </w:rPr>
        <w:t xml:space="preserve">LAD </w:t>
      </w:r>
      <w:r w:rsidRPr="00A07F29">
        <w:rPr>
          <w:rFonts w:ascii="Times New Roman" w:eastAsia="Calibri" w:hAnsi="Times New Roman" w:cs="Calibri"/>
          <w:sz w:val="20"/>
          <w:szCs w:val="20"/>
          <w:lang w:eastAsia="ja-JP"/>
        </w:rPr>
        <w:t>lauku blokiem esošie ES aizsargājamie biotopi</w:t>
      </w:r>
      <w:r w:rsidR="00C106E5" w:rsidRPr="00A07F29">
        <w:rPr>
          <w:rFonts w:ascii="Times New Roman" w:eastAsia="Calibri" w:hAnsi="Times New Roman" w:cs="Calibri"/>
          <w:sz w:val="20"/>
          <w:szCs w:val="20"/>
          <w:lang w:eastAsia="ja-JP"/>
        </w:rPr>
        <w:t>.</w:t>
      </w:r>
    </w:p>
    <w:p w14:paraId="66C4833E" w14:textId="77777777" w:rsidR="00930323" w:rsidRPr="00A07F29" w:rsidRDefault="00930323" w:rsidP="009072CE">
      <w:pPr>
        <w:spacing w:after="120"/>
        <w:ind w:firstLine="851"/>
        <w:jc w:val="both"/>
        <w:rPr>
          <w:rFonts w:ascii="Times New Roman" w:eastAsia="Calibri" w:hAnsi="Times New Roman" w:cs="Calibri"/>
          <w:sz w:val="24"/>
          <w:lang w:eastAsia="ja-JP"/>
        </w:rPr>
      </w:pPr>
    </w:p>
    <w:p w14:paraId="16194F2A" w14:textId="7C89D2E4" w:rsidR="006C03D5" w:rsidRPr="00A07F29" w:rsidRDefault="009072CE" w:rsidP="00A537A8">
      <w:pPr>
        <w:spacing w:after="120" w:line="240" w:lineRule="auto"/>
        <w:ind w:firstLine="851"/>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 xml:space="preserve">Saskaņā ar </w:t>
      </w:r>
      <w:r w:rsidR="00930323" w:rsidRPr="00A07F29">
        <w:rPr>
          <w:rFonts w:ascii="Times New Roman" w:eastAsia="Calibri" w:hAnsi="Times New Roman" w:cs="Calibri"/>
          <w:sz w:val="24"/>
          <w:lang w:eastAsia="ja-JP"/>
        </w:rPr>
        <w:t xml:space="preserve">zālāju </w:t>
      </w:r>
      <w:r w:rsidRPr="00A07F29">
        <w:rPr>
          <w:rFonts w:ascii="Times New Roman" w:eastAsia="Calibri" w:hAnsi="Times New Roman" w:cs="Calibri"/>
          <w:sz w:val="24"/>
          <w:lang w:eastAsia="ja-JP"/>
        </w:rPr>
        <w:t xml:space="preserve">biotopu ekspertu vērtējumu (avots – sarunas ar satiktajiem zemes īpašniekiem un pašu novērojumi), iespējamie iemesli, kādēļ zemes īpašnieki nepiesaka maksājumiem </w:t>
      </w:r>
      <w:r w:rsidR="00601570" w:rsidRPr="00A07F29">
        <w:rPr>
          <w:rFonts w:ascii="Times New Roman" w:eastAsia="Calibri" w:hAnsi="Times New Roman" w:cs="Calibri"/>
          <w:sz w:val="24"/>
          <w:lang w:eastAsia="ja-JP"/>
        </w:rPr>
        <w:t>BVZ</w:t>
      </w:r>
      <w:r w:rsidRPr="00A07F29">
        <w:rPr>
          <w:rFonts w:ascii="Times New Roman" w:eastAsia="Calibri" w:hAnsi="Times New Roman" w:cs="Calibri"/>
          <w:sz w:val="24"/>
          <w:lang w:eastAsia="ja-JP"/>
        </w:rPr>
        <w:t xml:space="preserve"> – daudzi zālāju biotopi neatbilst labam lauksaimniecības stāvoklim – tie nav sen apsaimniekoti, aizauguši, galvenokārt ar priedi, tādēļ to apsaimniekošanas uzsākšana prasa daudz resursu, tāpat iemesls ir iedzīvotāju skaita samazināšanās laukos un tradicionālās lauku saimniekošanas izzušana – daudzi zemes īpašnieki vispār nenodarbojas ar savu nelielo īpašumu apsaimniekošanu, jo trūkst tehnikas, vairs nedzīvo uz vietas un baidās uzņemties saistības, tāpat daudzviet nozīmīgi ir reljefa apstākļi – grūti apsaimniekojamas nogāzes un terases, atsevišķās vietās – nav iespējas piebraukt.</w:t>
      </w:r>
      <w:r w:rsidR="006C03D5" w:rsidRPr="00A07F29">
        <w:rPr>
          <w:rFonts w:ascii="Times New Roman" w:eastAsia="Calibri" w:hAnsi="Times New Roman" w:cs="Calibri"/>
          <w:sz w:val="24"/>
          <w:lang w:eastAsia="ja-JP"/>
        </w:rPr>
        <w:t xml:space="preserve"> ES zālāju biotopos pēdējo desmitgadu laikā nav novērota zālāju ielabošana ar graudzāļu vai āboliņa piesēšanu, atsevišķos zālājos ir saglabājušās ietekmes no </w:t>
      </w:r>
      <w:r w:rsidR="00A537A8" w:rsidRPr="00A07F29">
        <w:rPr>
          <w:rFonts w:ascii="Times New Roman" w:eastAsia="Calibri" w:hAnsi="Times New Roman" w:cs="Calibri"/>
          <w:sz w:val="24"/>
          <w:lang w:eastAsia="ja-JP"/>
        </w:rPr>
        <w:t xml:space="preserve">piesēšanas </w:t>
      </w:r>
      <w:r w:rsidR="006C03D5" w:rsidRPr="00A07F29">
        <w:rPr>
          <w:rFonts w:ascii="Times New Roman" w:eastAsia="Calibri" w:hAnsi="Times New Roman" w:cs="Calibri"/>
          <w:sz w:val="24"/>
          <w:lang w:eastAsia="ja-JP"/>
        </w:rPr>
        <w:t xml:space="preserve">kolhozu </w:t>
      </w:r>
      <w:r w:rsidR="00A537A8" w:rsidRPr="00A07F29">
        <w:rPr>
          <w:rFonts w:ascii="Times New Roman" w:eastAsia="Calibri" w:hAnsi="Times New Roman" w:cs="Calibri"/>
          <w:sz w:val="24"/>
          <w:lang w:eastAsia="ja-JP"/>
        </w:rPr>
        <w:t>laikā</w:t>
      </w:r>
      <w:r w:rsidR="006C03D5" w:rsidRPr="00A07F29">
        <w:rPr>
          <w:rFonts w:ascii="Times New Roman" w:eastAsia="Calibri" w:hAnsi="Times New Roman" w:cs="Calibri"/>
          <w:sz w:val="24"/>
          <w:lang w:eastAsia="ja-JP"/>
        </w:rPr>
        <w:t>.</w:t>
      </w:r>
    </w:p>
    <w:p w14:paraId="3507111E" w14:textId="3E9ABF73" w:rsidR="009072CE" w:rsidRPr="00A07F29" w:rsidRDefault="009072CE" w:rsidP="00A537A8">
      <w:pPr>
        <w:spacing w:after="120" w:line="240" w:lineRule="auto"/>
        <w:ind w:firstLine="851"/>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 xml:space="preserve">Vidējā </w:t>
      </w:r>
      <w:r w:rsidR="00601570" w:rsidRPr="00A07F29">
        <w:rPr>
          <w:rFonts w:ascii="Times New Roman" w:eastAsia="Calibri" w:hAnsi="Times New Roman" w:cs="Calibri"/>
          <w:sz w:val="24"/>
          <w:lang w:eastAsia="ja-JP"/>
        </w:rPr>
        <w:t>BVZ</w:t>
      </w:r>
      <w:r w:rsidRPr="00A07F29">
        <w:rPr>
          <w:rFonts w:ascii="Times New Roman" w:eastAsia="Calibri" w:hAnsi="Times New Roman" w:cs="Calibri"/>
          <w:sz w:val="24"/>
          <w:lang w:eastAsia="ja-JP"/>
        </w:rPr>
        <w:t xml:space="preserve"> poligona platība ir 2,3</w:t>
      </w:r>
      <w:r w:rsidR="00B81E4A" w:rsidRPr="00A07F29">
        <w:rPr>
          <w:rFonts w:ascii="Times New Roman" w:eastAsia="Calibri" w:hAnsi="Times New Roman" w:cs="Calibri"/>
          <w:sz w:val="24"/>
          <w:lang w:eastAsia="ja-JP"/>
        </w:rPr>
        <w:t> </w:t>
      </w:r>
      <w:r w:rsidRPr="00A07F29">
        <w:rPr>
          <w:rFonts w:ascii="Times New Roman" w:eastAsia="Calibri" w:hAnsi="Times New Roman" w:cs="Calibri"/>
          <w:sz w:val="24"/>
          <w:lang w:eastAsia="ja-JP"/>
        </w:rPr>
        <w:t>ha, kas ir samērā liela platība, lai varētu organizēt zālāju atjaunošanu</w:t>
      </w:r>
      <w:r w:rsidR="00E374B1" w:rsidRPr="00A07F29">
        <w:rPr>
          <w:rFonts w:ascii="Times New Roman" w:eastAsia="Calibri" w:hAnsi="Times New Roman" w:cs="Calibri"/>
          <w:sz w:val="24"/>
          <w:lang w:eastAsia="ja-JP"/>
        </w:rPr>
        <w:t xml:space="preserve"> </w:t>
      </w:r>
      <w:r w:rsidRPr="00A07F29">
        <w:rPr>
          <w:rFonts w:ascii="Times New Roman" w:eastAsia="Calibri" w:hAnsi="Times New Roman" w:cs="Calibri"/>
          <w:sz w:val="24"/>
          <w:lang w:eastAsia="ja-JP"/>
        </w:rPr>
        <w:t>ar projektu līdzekļiem vai citādi. AAA “Augšdaugava” teritorijā Salienas pagastā ir saimniecība “Krasti”, kur</w:t>
      </w:r>
      <w:r w:rsidR="00601570" w:rsidRPr="00A07F29">
        <w:rPr>
          <w:rFonts w:ascii="Times New Roman" w:eastAsia="Calibri" w:hAnsi="Times New Roman" w:cs="Calibri"/>
          <w:sz w:val="24"/>
          <w:lang w:eastAsia="ja-JP"/>
        </w:rPr>
        <w:t>ā</w:t>
      </w:r>
      <w:r w:rsidRPr="00A07F29">
        <w:rPr>
          <w:rFonts w:ascii="Times New Roman" w:eastAsia="Calibri" w:hAnsi="Times New Roman" w:cs="Calibri"/>
          <w:sz w:val="24"/>
          <w:lang w:eastAsia="ja-JP"/>
        </w:rPr>
        <w:t xml:space="preserve"> no 2018. līdz 2023.</w:t>
      </w:r>
      <w:r w:rsidR="00E374B1" w:rsidRPr="00A07F29">
        <w:rPr>
          <w:rFonts w:ascii="Times New Roman" w:eastAsia="Calibri" w:hAnsi="Times New Roman" w:cs="Calibri"/>
          <w:sz w:val="24"/>
          <w:lang w:eastAsia="ja-JP"/>
        </w:rPr>
        <w:t> </w:t>
      </w:r>
      <w:r w:rsidRPr="00A07F29">
        <w:rPr>
          <w:rFonts w:ascii="Times New Roman" w:eastAsia="Calibri" w:hAnsi="Times New Roman" w:cs="Calibri"/>
          <w:sz w:val="24"/>
          <w:lang w:eastAsia="ja-JP"/>
        </w:rPr>
        <w:t xml:space="preserve">gadam darbojas LIFE+ programmas projekts </w:t>
      </w:r>
      <w:proofErr w:type="spellStart"/>
      <w:r w:rsidRPr="00A07F29">
        <w:rPr>
          <w:rFonts w:ascii="Times New Roman" w:eastAsia="Calibri" w:hAnsi="Times New Roman" w:cs="Calibri"/>
          <w:sz w:val="24"/>
          <w:lang w:eastAsia="ja-JP"/>
        </w:rPr>
        <w:t>GrassLIFE</w:t>
      </w:r>
      <w:proofErr w:type="spellEnd"/>
      <w:r w:rsidRPr="00A07F29">
        <w:rPr>
          <w:rFonts w:ascii="Times New Roman" w:eastAsia="Calibri" w:hAnsi="Times New Roman" w:cs="Calibri"/>
          <w:sz w:val="24"/>
          <w:lang w:eastAsia="ja-JP"/>
        </w:rPr>
        <w:t xml:space="preserve"> (Projekts Nr.</w:t>
      </w:r>
      <w:r w:rsidR="00E374B1" w:rsidRPr="00A07F29">
        <w:rPr>
          <w:rFonts w:ascii="Times New Roman" w:eastAsia="Calibri" w:hAnsi="Times New Roman" w:cs="Calibri"/>
          <w:sz w:val="24"/>
          <w:lang w:eastAsia="ja-JP"/>
        </w:rPr>
        <w:t> </w:t>
      </w:r>
      <w:r w:rsidRPr="00A07F29">
        <w:rPr>
          <w:rFonts w:ascii="Times New Roman" w:eastAsia="Calibri" w:hAnsi="Times New Roman" w:cs="Calibri"/>
          <w:sz w:val="24"/>
          <w:lang w:eastAsia="ja-JP"/>
        </w:rPr>
        <w:t xml:space="preserve">LIFE16 NAT/LV/000262 </w:t>
      </w:r>
      <w:proofErr w:type="spellStart"/>
      <w:r w:rsidRPr="00A07F29">
        <w:rPr>
          <w:rFonts w:ascii="Times New Roman" w:eastAsia="Calibri" w:hAnsi="Times New Roman" w:cs="Calibri"/>
          <w:sz w:val="24"/>
          <w:lang w:eastAsia="ja-JP"/>
        </w:rPr>
        <w:t>GrassLIFE</w:t>
      </w:r>
      <w:proofErr w:type="spellEnd"/>
      <w:r w:rsidRPr="00A07F29">
        <w:rPr>
          <w:rFonts w:ascii="Times New Roman" w:eastAsia="Calibri" w:hAnsi="Times New Roman" w:cs="Calibri"/>
          <w:sz w:val="24"/>
          <w:lang w:eastAsia="ja-JP"/>
        </w:rPr>
        <w:t xml:space="preserve"> “Zālāju atjaunošana un to dažādas izmantošanas veicināšana”, izpildītājs – Latvijas Dabas fonds), plānojot atjaunot 20</w:t>
      </w:r>
      <w:r w:rsidR="00680220" w:rsidRPr="00A07F29">
        <w:rPr>
          <w:rFonts w:ascii="Times New Roman" w:eastAsia="Calibri" w:hAnsi="Times New Roman" w:cs="Calibri"/>
          <w:sz w:val="24"/>
          <w:lang w:eastAsia="ja-JP"/>
        </w:rPr>
        <w:t> </w:t>
      </w:r>
      <w:r w:rsidRPr="00A07F29">
        <w:rPr>
          <w:rFonts w:ascii="Times New Roman" w:eastAsia="Calibri" w:hAnsi="Times New Roman" w:cs="Calibri"/>
          <w:sz w:val="24"/>
          <w:lang w:eastAsia="ja-JP"/>
        </w:rPr>
        <w:t xml:space="preserve">ha dabisko pļavu. Tiek sagatavots zālāju atjaunošanas plāns, monitoringa vajadzībām veiktas tauriņu un veģetācijas uzskaites, iespējams, pļavu atjaunošanai tiks izmantots arī projekta mobilais ganāmpulks – Galovejas liellopi vai </w:t>
      </w:r>
      <w:proofErr w:type="spellStart"/>
      <w:r w:rsidRPr="00A07F29">
        <w:rPr>
          <w:rFonts w:ascii="Times New Roman" w:eastAsia="Calibri" w:hAnsi="Times New Roman" w:cs="Calibri"/>
          <w:sz w:val="24"/>
          <w:lang w:eastAsia="ja-JP"/>
        </w:rPr>
        <w:t>Romanovas</w:t>
      </w:r>
      <w:proofErr w:type="spellEnd"/>
      <w:r w:rsidRPr="00A07F29">
        <w:rPr>
          <w:rFonts w:ascii="Times New Roman" w:eastAsia="Calibri" w:hAnsi="Times New Roman" w:cs="Calibri"/>
          <w:sz w:val="24"/>
          <w:lang w:eastAsia="ja-JP"/>
        </w:rPr>
        <w:t xml:space="preserve"> aitas.</w:t>
      </w:r>
    </w:p>
    <w:p w14:paraId="31C8A5B1" w14:textId="77777777" w:rsidR="00A537A8" w:rsidRPr="00A07F29" w:rsidRDefault="00A537A8" w:rsidP="00A537A8">
      <w:pPr>
        <w:spacing w:after="120" w:line="240" w:lineRule="auto"/>
        <w:ind w:firstLine="851"/>
        <w:jc w:val="both"/>
        <w:rPr>
          <w:rFonts w:ascii="Times New Roman" w:eastAsia="Calibri" w:hAnsi="Times New Roman" w:cs="Calibri"/>
          <w:sz w:val="24"/>
          <w:lang w:eastAsia="ja-JP"/>
        </w:rPr>
      </w:pPr>
    </w:p>
    <w:p w14:paraId="04B65455" w14:textId="564ADA36" w:rsidR="009072CE" w:rsidRPr="00A07F29" w:rsidRDefault="009072CE" w:rsidP="00BF62CE">
      <w:pPr>
        <w:pStyle w:val="Heading2"/>
        <w:spacing w:before="120" w:after="120"/>
        <w:ind w:firstLine="0"/>
        <w:jc w:val="center"/>
        <w:rPr>
          <w:rFonts w:ascii="Times New Roman" w:hAnsi="Times New Roman"/>
          <w:b w:val="0"/>
          <w:iCs w:val="0"/>
        </w:rPr>
      </w:pPr>
      <w:bookmarkStart w:id="30" w:name="_Toc183433987"/>
      <w:r w:rsidRPr="00A07F29">
        <w:rPr>
          <w:rFonts w:ascii="Times New Roman" w:hAnsi="Times New Roman"/>
          <w:i w:val="0"/>
        </w:rPr>
        <w:t>3.3. Mežsaimniecība</w:t>
      </w:r>
      <w:bookmarkEnd w:id="30"/>
    </w:p>
    <w:p w14:paraId="61CDFFF7" w14:textId="3D7BA2DC" w:rsidR="009072CE" w:rsidRPr="00A07F29" w:rsidRDefault="009072CE" w:rsidP="00606F35">
      <w:pPr>
        <w:spacing w:after="120" w:line="240" w:lineRule="auto"/>
        <w:ind w:firstLine="851"/>
        <w:jc w:val="both"/>
        <w:rPr>
          <w:rFonts w:ascii="Times New Roman" w:eastAsia="Times New Roman" w:hAnsi="Times New Roman" w:cs="Times New Roman"/>
          <w:sz w:val="24"/>
          <w:szCs w:val="24"/>
          <w:lang w:eastAsia="en-GB"/>
        </w:rPr>
      </w:pPr>
      <w:r w:rsidRPr="00A07F29">
        <w:rPr>
          <w:rFonts w:ascii="Times New Roman" w:eastAsia="Calibri" w:hAnsi="Times New Roman" w:cs="Calibri"/>
          <w:sz w:val="24"/>
          <w:lang w:eastAsia="ja-JP"/>
        </w:rPr>
        <w:t xml:space="preserve">AAA “Augšdaugava” teritorija ir samērā bagāta ar meža resursiem. </w:t>
      </w:r>
      <w:r w:rsidRPr="00A07F29">
        <w:rPr>
          <w:rFonts w:ascii="Times New Roman" w:eastAsia="Times New Roman" w:hAnsi="Times New Roman" w:cs="Times New Roman"/>
          <w:sz w:val="24"/>
          <w:szCs w:val="24"/>
          <w:lang w:eastAsia="en-GB"/>
        </w:rPr>
        <w:t>Kopš 1940.</w:t>
      </w:r>
      <w:r w:rsidR="004916A9" w:rsidRPr="00A07F29">
        <w:rPr>
          <w:rFonts w:ascii="Times New Roman" w:eastAsia="Times New Roman" w:hAnsi="Times New Roman" w:cs="Times New Roman"/>
          <w:sz w:val="24"/>
          <w:szCs w:val="24"/>
          <w:lang w:eastAsia="en-GB"/>
        </w:rPr>
        <w:t> </w:t>
      </w:r>
      <w:r w:rsidRPr="00A07F29">
        <w:rPr>
          <w:rFonts w:ascii="Times New Roman" w:eastAsia="Times New Roman" w:hAnsi="Times New Roman" w:cs="Times New Roman"/>
          <w:sz w:val="24"/>
          <w:szCs w:val="24"/>
          <w:lang w:eastAsia="en-GB"/>
        </w:rPr>
        <w:t>gada meža kopējā platība ir palielinājusies no 15</w:t>
      </w:r>
      <w:r w:rsidR="00BE0AEB" w:rsidRPr="00A07F29">
        <w:rPr>
          <w:rFonts w:ascii="Times New Roman" w:eastAsia="Times New Roman" w:hAnsi="Times New Roman" w:cs="Times New Roman"/>
          <w:sz w:val="24"/>
          <w:szCs w:val="24"/>
          <w:lang w:eastAsia="en-GB"/>
        </w:rPr>
        <w:t> </w:t>
      </w:r>
      <w:r w:rsidRPr="00A07F29">
        <w:rPr>
          <w:rFonts w:ascii="Times New Roman" w:eastAsia="Times New Roman" w:hAnsi="Times New Roman" w:cs="Times New Roman"/>
          <w:sz w:val="24"/>
          <w:szCs w:val="24"/>
          <w:lang w:eastAsia="en-GB"/>
        </w:rPr>
        <w:t>872</w:t>
      </w:r>
      <w:r w:rsidR="00BE0AEB" w:rsidRPr="00A07F29">
        <w:rPr>
          <w:rFonts w:ascii="Times New Roman" w:eastAsia="Times New Roman" w:hAnsi="Times New Roman" w:cs="Times New Roman"/>
          <w:sz w:val="24"/>
          <w:szCs w:val="24"/>
          <w:lang w:eastAsia="en-GB"/>
        </w:rPr>
        <w:t> </w:t>
      </w:r>
      <w:r w:rsidRPr="00A07F29">
        <w:rPr>
          <w:rFonts w:ascii="Times New Roman" w:eastAsia="Times New Roman" w:hAnsi="Times New Roman" w:cs="Times New Roman"/>
          <w:sz w:val="24"/>
          <w:szCs w:val="24"/>
          <w:lang w:eastAsia="en-GB"/>
        </w:rPr>
        <w:t>ha jeb 30,48</w:t>
      </w:r>
      <w:r w:rsidR="00BE0AEB" w:rsidRPr="00A07F29">
        <w:rPr>
          <w:rFonts w:ascii="Times New Roman" w:eastAsia="Times New Roman" w:hAnsi="Times New Roman" w:cs="Times New Roman"/>
          <w:sz w:val="24"/>
          <w:szCs w:val="24"/>
          <w:lang w:eastAsia="en-GB"/>
        </w:rPr>
        <w:t> </w:t>
      </w:r>
      <w:r w:rsidRPr="00A07F29">
        <w:rPr>
          <w:rFonts w:ascii="Times New Roman" w:eastAsia="Times New Roman" w:hAnsi="Times New Roman" w:cs="Times New Roman"/>
          <w:sz w:val="24"/>
          <w:szCs w:val="24"/>
          <w:lang w:eastAsia="en-GB"/>
        </w:rPr>
        <w:t>% līdz 17</w:t>
      </w:r>
      <w:r w:rsidR="00BE0AEB" w:rsidRPr="00A07F29">
        <w:rPr>
          <w:rFonts w:ascii="Times New Roman" w:eastAsia="Times New Roman" w:hAnsi="Times New Roman" w:cs="Times New Roman"/>
          <w:sz w:val="24"/>
          <w:szCs w:val="24"/>
          <w:lang w:eastAsia="en-GB"/>
        </w:rPr>
        <w:t> </w:t>
      </w:r>
      <w:r w:rsidRPr="00A07F29">
        <w:rPr>
          <w:rFonts w:ascii="Times New Roman" w:eastAsia="Times New Roman" w:hAnsi="Times New Roman" w:cs="Times New Roman"/>
          <w:sz w:val="24"/>
          <w:szCs w:val="24"/>
          <w:lang w:eastAsia="en-GB"/>
        </w:rPr>
        <w:t>541</w:t>
      </w:r>
      <w:r w:rsidR="00BE0AEB" w:rsidRPr="00A07F29">
        <w:rPr>
          <w:rFonts w:ascii="Times New Roman" w:eastAsia="Times New Roman" w:hAnsi="Times New Roman" w:cs="Times New Roman"/>
          <w:sz w:val="24"/>
          <w:szCs w:val="24"/>
          <w:lang w:eastAsia="en-GB"/>
        </w:rPr>
        <w:t> </w:t>
      </w:r>
      <w:r w:rsidRPr="00A07F29">
        <w:rPr>
          <w:rFonts w:ascii="Times New Roman" w:eastAsia="Times New Roman" w:hAnsi="Times New Roman" w:cs="Times New Roman"/>
          <w:sz w:val="24"/>
          <w:szCs w:val="24"/>
          <w:lang w:eastAsia="en-GB"/>
        </w:rPr>
        <w:t>ha jeb 33,68</w:t>
      </w:r>
      <w:r w:rsidR="00BE0AEB" w:rsidRPr="00A07F29">
        <w:rPr>
          <w:rFonts w:ascii="Times New Roman" w:eastAsia="Times New Roman" w:hAnsi="Times New Roman" w:cs="Times New Roman"/>
          <w:sz w:val="24"/>
          <w:szCs w:val="24"/>
          <w:lang w:eastAsia="en-GB"/>
        </w:rPr>
        <w:t> </w:t>
      </w:r>
      <w:r w:rsidRPr="00A07F29">
        <w:rPr>
          <w:rFonts w:ascii="Times New Roman" w:eastAsia="Times New Roman" w:hAnsi="Times New Roman" w:cs="Times New Roman"/>
          <w:sz w:val="24"/>
          <w:szCs w:val="24"/>
          <w:lang w:eastAsia="en-GB"/>
        </w:rPr>
        <w:t>% 1951.</w:t>
      </w:r>
      <w:r w:rsidR="006B7E5D" w:rsidRPr="00A07F29">
        <w:rPr>
          <w:rFonts w:ascii="Times New Roman" w:eastAsia="Times New Roman" w:hAnsi="Times New Roman" w:cs="Times New Roman"/>
          <w:sz w:val="24"/>
          <w:szCs w:val="24"/>
          <w:lang w:eastAsia="en-GB"/>
        </w:rPr>
        <w:t> </w:t>
      </w:r>
      <w:r w:rsidRPr="00A07F29">
        <w:rPr>
          <w:rFonts w:ascii="Times New Roman" w:eastAsia="Times New Roman" w:hAnsi="Times New Roman" w:cs="Times New Roman"/>
          <w:sz w:val="24"/>
          <w:szCs w:val="24"/>
          <w:lang w:eastAsia="en-GB"/>
        </w:rPr>
        <w:t>gadā,</w:t>
      </w:r>
      <w:r w:rsidR="006D7BDE" w:rsidRPr="00A07F29">
        <w:rPr>
          <w:rFonts w:ascii="Times New Roman" w:eastAsia="Times New Roman" w:hAnsi="Times New Roman" w:cs="Times New Roman"/>
          <w:sz w:val="24"/>
          <w:szCs w:val="24"/>
          <w:lang w:eastAsia="en-GB"/>
        </w:rPr>
        <w:t xml:space="preserve"> savukārt</w:t>
      </w:r>
      <w:r w:rsidRPr="00A07F29">
        <w:rPr>
          <w:rFonts w:ascii="Times New Roman" w:eastAsia="Times New Roman" w:hAnsi="Times New Roman" w:cs="Times New Roman"/>
          <w:sz w:val="24"/>
          <w:szCs w:val="24"/>
          <w:lang w:eastAsia="en-GB"/>
        </w:rPr>
        <w:t xml:space="preserve"> 2018.</w:t>
      </w:r>
      <w:r w:rsidR="006B7E5D" w:rsidRPr="00A07F29">
        <w:rPr>
          <w:rFonts w:ascii="Times New Roman" w:eastAsia="Times New Roman" w:hAnsi="Times New Roman" w:cs="Times New Roman"/>
          <w:sz w:val="24"/>
          <w:szCs w:val="24"/>
          <w:lang w:eastAsia="en-GB"/>
        </w:rPr>
        <w:t> </w:t>
      </w:r>
      <w:r w:rsidRPr="00A07F29">
        <w:rPr>
          <w:rFonts w:ascii="Times New Roman" w:eastAsia="Times New Roman" w:hAnsi="Times New Roman" w:cs="Times New Roman"/>
          <w:sz w:val="24"/>
          <w:szCs w:val="24"/>
          <w:lang w:eastAsia="en-GB"/>
        </w:rPr>
        <w:t xml:space="preserve">gadā meži aizņem </w:t>
      </w:r>
      <w:r w:rsidR="006D7BDE" w:rsidRPr="00A07F29">
        <w:rPr>
          <w:rFonts w:ascii="Times New Roman" w:eastAsia="Times New Roman" w:hAnsi="Times New Roman" w:cs="Times New Roman"/>
          <w:sz w:val="24"/>
          <w:szCs w:val="24"/>
          <w:lang w:eastAsia="en-GB"/>
        </w:rPr>
        <w:t xml:space="preserve">jau </w:t>
      </w:r>
      <w:r w:rsidRPr="00A07F29">
        <w:rPr>
          <w:rFonts w:ascii="Times New Roman" w:eastAsia="Times New Roman" w:hAnsi="Times New Roman" w:cs="Times New Roman"/>
          <w:sz w:val="24"/>
          <w:szCs w:val="24"/>
          <w:lang w:eastAsia="en-GB"/>
        </w:rPr>
        <w:t>21</w:t>
      </w:r>
      <w:r w:rsidR="006B7E5D" w:rsidRPr="00A07F29">
        <w:rPr>
          <w:rFonts w:ascii="Times New Roman" w:eastAsia="Times New Roman" w:hAnsi="Times New Roman" w:cs="Times New Roman"/>
          <w:sz w:val="24"/>
          <w:szCs w:val="24"/>
          <w:lang w:eastAsia="en-GB"/>
        </w:rPr>
        <w:t> </w:t>
      </w:r>
      <w:r w:rsidRPr="00A07F29">
        <w:rPr>
          <w:rFonts w:ascii="Times New Roman" w:eastAsia="Times New Roman" w:hAnsi="Times New Roman" w:cs="Times New Roman"/>
          <w:sz w:val="24"/>
          <w:szCs w:val="24"/>
          <w:lang w:eastAsia="en-GB"/>
        </w:rPr>
        <w:t>895,94</w:t>
      </w:r>
      <w:r w:rsidR="006B7E5D" w:rsidRPr="00A07F29">
        <w:rPr>
          <w:rFonts w:ascii="Times New Roman" w:eastAsia="Times New Roman" w:hAnsi="Times New Roman" w:cs="Times New Roman"/>
          <w:sz w:val="24"/>
          <w:szCs w:val="24"/>
          <w:lang w:eastAsia="en-GB"/>
        </w:rPr>
        <w:t> </w:t>
      </w:r>
      <w:r w:rsidRPr="00A07F29">
        <w:rPr>
          <w:rFonts w:ascii="Times New Roman" w:eastAsia="Times New Roman" w:hAnsi="Times New Roman" w:cs="Times New Roman"/>
          <w:sz w:val="24"/>
          <w:szCs w:val="24"/>
          <w:lang w:eastAsia="en-GB"/>
        </w:rPr>
        <w:t>ha (42,04</w:t>
      </w:r>
      <w:r w:rsidR="006B7E5D" w:rsidRPr="00A07F29">
        <w:rPr>
          <w:rFonts w:ascii="Times New Roman" w:eastAsia="Times New Roman" w:hAnsi="Times New Roman" w:cs="Times New Roman"/>
          <w:sz w:val="24"/>
          <w:szCs w:val="24"/>
          <w:lang w:eastAsia="en-GB"/>
        </w:rPr>
        <w:t> </w:t>
      </w:r>
      <w:r w:rsidRPr="00A07F29">
        <w:rPr>
          <w:rFonts w:ascii="Times New Roman" w:eastAsia="Times New Roman" w:hAnsi="Times New Roman" w:cs="Times New Roman"/>
          <w:sz w:val="24"/>
          <w:szCs w:val="24"/>
          <w:lang w:eastAsia="en-GB"/>
        </w:rPr>
        <w:t xml:space="preserve">%) no visas platības. Meža platības palielinājušās galvenokārt uz aizaugušo </w:t>
      </w:r>
      <w:proofErr w:type="spellStart"/>
      <w:r w:rsidRPr="00A07F29">
        <w:rPr>
          <w:rFonts w:ascii="Times New Roman" w:eastAsia="Times New Roman" w:hAnsi="Times New Roman" w:cs="Times New Roman"/>
          <w:sz w:val="24"/>
          <w:szCs w:val="24"/>
          <w:lang w:eastAsia="en-GB"/>
        </w:rPr>
        <w:t>mazproduktīvo</w:t>
      </w:r>
      <w:proofErr w:type="spellEnd"/>
      <w:r w:rsidRPr="00A07F29">
        <w:rPr>
          <w:rFonts w:ascii="Times New Roman" w:eastAsia="Times New Roman" w:hAnsi="Times New Roman" w:cs="Times New Roman"/>
          <w:sz w:val="24"/>
          <w:szCs w:val="24"/>
          <w:lang w:eastAsia="en-GB"/>
        </w:rPr>
        <w:t xml:space="preserve"> lauksaimniecības zemju rēķina.</w:t>
      </w:r>
    </w:p>
    <w:p w14:paraId="0977B461" w14:textId="774DC824" w:rsidR="009072CE" w:rsidRPr="00A07F29" w:rsidRDefault="009072CE" w:rsidP="00606F35">
      <w:pPr>
        <w:spacing w:after="120" w:line="240" w:lineRule="auto"/>
        <w:ind w:firstLine="851"/>
        <w:jc w:val="both"/>
        <w:rPr>
          <w:rFonts w:ascii="Times New Roman" w:eastAsia="Times New Roman" w:hAnsi="Times New Roman" w:cs="Times New Roman"/>
          <w:sz w:val="24"/>
          <w:szCs w:val="24"/>
          <w:lang w:eastAsia="en-GB"/>
        </w:rPr>
      </w:pPr>
      <w:r w:rsidRPr="00A07F29">
        <w:rPr>
          <w:rFonts w:ascii="Times New Roman" w:eastAsia="Times New Roman" w:hAnsi="Times New Roman" w:cs="Times New Roman"/>
          <w:sz w:val="24"/>
          <w:szCs w:val="24"/>
          <w:lang w:eastAsia="en-GB"/>
        </w:rPr>
        <w:t xml:space="preserve">Lielākā daļa no platības ir </w:t>
      </w:r>
      <w:proofErr w:type="spellStart"/>
      <w:r w:rsidRPr="00A07F29">
        <w:rPr>
          <w:rFonts w:ascii="Times New Roman" w:eastAsia="Times New Roman" w:hAnsi="Times New Roman" w:cs="Times New Roman"/>
          <w:sz w:val="24"/>
          <w:szCs w:val="24"/>
          <w:lang w:eastAsia="en-GB"/>
        </w:rPr>
        <w:t>sausieņu</w:t>
      </w:r>
      <w:proofErr w:type="spellEnd"/>
      <w:r w:rsidRPr="00A07F29">
        <w:rPr>
          <w:rFonts w:ascii="Times New Roman" w:eastAsia="Times New Roman" w:hAnsi="Times New Roman" w:cs="Times New Roman"/>
          <w:sz w:val="24"/>
          <w:szCs w:val="24"/>
          <w:lang w:eastAsia="en-GB"/>
        </w:rPr>
        <w:t xml:space="preserve"> meži – 89</w:t>
      </w:r>
      <w:r w:rsidR="00B112DB" w:rsidRPr="00A07F29">
        <w:rPr>
          <w:rFonts w:ascii="Times New Roman" w:eastAsia="Times New Roman" w:hAnsi="Times New Roman" w:cs="Times New Roman"/>
          <w:sz w:val="24"/>
          <w:szCs w:val="24"/>
          <w:lang w:eastAsia="en-GB"/>
        </w:rPr>
        <w:t> </w:t>
      </w:r>
      <w:r w:rsidRPr="00A07F29">
        <w:rPr>
          <w:rFonts w:ascii="Times New Roman" w:eastAsia="Times New Roman" w:hAnsi="Times New Roman" w:cs="Times New Roman"/>
          <w:sz w:val="24"/>
          <w:szCs w:val="24"/>
          <w:lang w:eastAsia="en-GB"/>
        </w:rPr>
        <w:t xml:space="preserve">% no visiem mežiem, izplatītākie meža augšanas apstākļu tipi: </w:t>
      </w:r>
      <w:proofErr w:type="spellStart"/>
      <w:r w:rsidRPr="00A07F29">
        <w:rPr>
          <w:rFonts w:ascii="Times New Roman" w:eastAsia="Times New Roman" w:hAnsi="Times New Roman" w:cs="Times New Roman"/>
          <w:sz w:val="24"/>
          <w:szCs w:val="24"/>
          <w:lang w:eastAsia="en-GB"/>
        </w:rPr>
        <w:t>lāns</w:t>
      </w:r>
      <w:proofErr w:type="spellEnd"/>
      <w:r w:rsidRPr="00A07F29">
        <w:rPr>
          <w:rFonts w:ascii="Times New Roman" w:eastAsia="Times New Roman" w:hAnsi="Times New Roman" w:cs="Times New Roman"/>
          <w:sz w:val="24"/>
          <w:szCs w:val="24"/>
          <w:lang w:eastAsia="en-GB"/>
        </w:rPr>
        <w:t xml:space="preserve"> – 27,03</w:t>
      </w:r>
      <w:r w:rsidR="00666013" w:rsidRPr="00A07F29">
        <w:rPr>
          <w:rFonts w:ascii="Times New Roman" w:eastAsia="Times New Roman" w:hAnsi="Times New Roman" w:cs="Times New Roman"/>
          <w:sz w:val="24"/>
          <w:szCs w:val="24"/>
          <w:lang w:eastAsia="en-GB"/>
        </w:rPr>
        <w:t> </w:t>
      </w:r>
      <w:r w:rsidRPr="00A07F29">
        <w:rPr>
          <w:rFonts w:ascii="Times New Roman" w:eastAsia="Times New Roman" w:hAnsi="Times New Roman" w:cs="Times New Roman"/>
          <w:sz w:val="24"/>
          <w:szCs w:val="24"/>
          <w:lang w:eastAsia="en-GB"/>
        </w:rPr>
        <w:t>%, damaksnis – 14,98</w:t>
      </w:r>
      <w:r w:rsidR="00666013" w:rsidRPr="00A07F29">
        <w:rPr>
          <w:rFonts w:ascii="Times New Roman" w:eastAsia="Times New Roman" w:hAnsi="Times New Roman" w:cs="Times New Roman"/>
          <w:sz w:val="24"/>
          <w:szCs w:val="24"/>
          <w:lang w:eastAsia="en-GB"/>
        </w:rPr>
        <w:t> </w:t>
      </w:r>
      <w:r w:rsidRPr="00A07F29">
        <w:rPr>
          <w:rFonts w:ascii="Times New Roman" w:eastAsia="Times New Roman" w:hAnsi="Times New Roman" w:cs="Times New Roman"/>
          <w:sz w:val="24"/>
          <w:szCs w:val="24"/>
          <w:lang w:eastAsia="en-GB"/>
        </w:rPr>
        <w:t>%, vēris – 7,06</w:t>
      </w:r>
      <w:r w:rsidR="00666013" w:rsidRPr="00A07F29">
        <w:rPr>
          <w:rFonts w:ascii="Times New Roman" w:eastAsia="Times New Roman" w:hAnsi="Times New Roman" w:cs="Times New Roman"/>
          <w:sz w:val="24"/>
          <w:szCs w:val="24"/>
          <w:lang w:eastAsia="en-GB"/>
        </w:rPr>
        <w:t> </w:t>
      </w:r>
      <w:r w:rsidRPr="00A07F29">
        <w:rPr>
          <w:rFonts w:ascii="Times New Roman" w:eastAsia="Times New Roman" w:hAnsi="Times New Roman" w:cs="Times New Roman"/>
          <w:sz w:val="24"/>
          <w:szCs w:val="24"/>
          <w:lang w:eastAsia="en-GB"/>
        </w:rPr>
        <w:t>%. Dabisku slapju mežu (</w:t>
      </w:r>
      <w:proofErr w:type="spellStart"/>
      <w:r w:rsidRPr="00A07F29">
        <w:rPr>
          <w:rFonts w:ascii="Times New Roman" w:eastAsia="Times New Roman" w:hAnsi="Times New Roman" w:cs="Times New Roman"/>
          <w:sz w:val="24"/>
          <w:szCs w:val="24"/>
          <w:lang w:eastAsia="en-GB"/>
        </w:rPr>
        <w:t>purvaiņu</w:t>
      </w:r>
      <w:proofErr w:type="spellEnd"/>
      <w:r w:rsidRPr="00A07F29">
        <w:rPr>
          <w:rFonts w:ascii="Times New Roman" w:eastAsia="Times New Roman" w:hAnsi="Times New Roman" w:cs="Times New Roman"/>
          <w:sz w:val="24"/>
          <w:szCs w:val="24"/>
          <w:lang w:eastAsia="en-GB"/>
        </w:rPr>
        <w:t xml:space="preserve"> un </w:t>
      </w:r>
      <w:proofErr w:type="spellStart"/>
      <w:r w:rsidRPr="00A07F29">
        <w:rPr>
          <w:rFonts w:ascii="Times New Roman" w:eastAsia="Times New Roman" w:hAnsi="Times New Roman" w:cs="Times New Roman"/>
          <w:sz w:val="24"/>
          <w:szCs w:val="24"/>
          <w:lang w:eastAsia="en-GB"/>
        </w:rPr>
        <w:t>slapjaiņu</w:t>
      </w:r>
      <w:proofErr w:type="spellEnd"/>
      <w:r w:rsidRPr="00A07F29">
        <w:rPr>
          <w:rFonts w:ascii="Times New Roman" w:eastAsia="Times New Roman" w:hAnsi="Times New Roman" w:cs="Times New Roman"/>
          <w:sz w:val="24"/>
          <w:szCs w:val="24"/>
          <w:lang w:eastAsia="en-GB"/>
        </w:rPr>
        <w:t>) AAA teritorijā ir 5,67</w:t>
      </w:r>
      <w:r w:rsidR="00666013" w:rsidRPr="00A07F29">
        <w:rPr>
          <w:rFonts w:ascii="Times New Roman" w:eastAsia="Times New Roman" w:hAnsi="Times New Roman" w:cs="Times New Roman"/>
          <w:sz w:val="24"/>
          <w:szCs w:val="24"/>
          <w:lang w:eastAsia="en-GB"/>
        </w:rPr>
        <w:t> </w:t>
      </w:r>
      <w:r w:rsidRPr="00A07F29">
        <w:rPr>
          <w:rFonts w:ascii="Times New Roman" w:eastAsia="Times New Roman" w:hAnsi="Times New Roman" w:cs="Times New Roman"/>
          <w:sz w:val="24"/>
          <w:szCs w:val="24"/>
          <w:lang w:eastAsia="en-GB"/>
        </w:rPr>
        <w:t>%, bet nosusinātu mežu (</w:t>
      </w:r>
      <w:proofErr w:type="spellStart"/>
      <w:r w:rsidRPr="00A07F29">
        <w:rPr>
          <w:rFonts w:ascii="Times New Roman" w:eastAsia="Times New Roman" w:hAnsi="Times New Roman" w:cs="Times New Roman"/>
          <w:sz w:val="24"/>
          <w:szCs w:val="24"/>
          <w:lang w:eastAsia="en-GB"/>
        </w:rPr>
        <w:t>āreņu</w:t>
      </w:r>
      <w:proofErr w:type="spellEnd"/>
      <w:r w:rsidRPr="00A07F29">
        <w:rPr>
          <w:rFonts w:ascii="Times New Roman" w:eastAsia="Times New Roman" w:hAnsi="Times New Roman" w:cs="Times New Roman"/>
          <w:sz w:val="24"/>
          <w:szCs w:val="24"/>
          <w:lang w:eastAsia="en-GB"/>
        </w:rPr>
        <w:t xml:space="preserve"> un </w:t>
      </w:r>
      <w:proofErr w:type="spellStart"/>
      <w:r w:rsidRPr="00A07F29">
        <w:rPr>
          <w:rFonts w:ascii="Times New Roman" w:eastAsia="Times New Roman" w:hAnsi="Times New Roman" w:cs="Times New Roman"/>
          <w:sz w:val="24"/>
          <w:szCs w:val="24"/>
          <w:lang w:eastAsia="en-GB"/>
        </w:rPr>
        <w:t>kūdreņu</w:t>
      </w:r>
      <w:proofErr w:type="spellEnd"/>
      <w:r w:rsidRPr="00A07F29">
        <w:rPr>
          <w:rFonts w:ascii="Times New Roman" w:eastAsia="Times New Roman" w:hAnsi="Times New Roman" w:cs="Times New Roman"/>
          <w:sz w:val="24"/>
          <w:szCs w:val="24"/>
          <w:lang w:eastAsia="en-GB"/>
        </w:rPr>
        <w:t>) – 5,33</w:t>
      </w:r>
      <w:r w:rsidR="00666013" w:rsidRPr="00A07F29">
        <w:rPr>
          <w:rFonts w:ascii="Times New Roman" w:eastAsia="Times New Roman" w:hAnsi="Times New Roman" w:cs="Times New Roman"/>
          <w:sz w:val="24"/>
          <w:szCs w:val="24"/>
          <w:lang w:eastAsia="en-GB"/>
        </w:rPr>
        <w:t> </w:t>
      </w:r>
      <w:r w:rsidRPr="00A07F29">
        <w:rPr>
          <w:rFonts w:ascii="Times New Roman" w:eastAsia="Times New Roman" w:hAnsi="Times New Roman" w:cs="Times New Roman"/>
          <w:sz w:val="24"/>
          <w:szCs w:val="24"/>
          <w:lang w:eastAsia="en-GB"/>
        </w:rPr>
        <w:t>% (</w:t>
      </w:r>
      <w:r w:rsidR="00666013" w:rsidRPr="00A07F29">
        <w:rPr>
          <w:rFonts w:ascii="Times New Roman" w:eastAsia="Times New Roman" w:hAnsi="Times New Roman" w:cs="Times New Roman"/>
          <w:sz w:val="24"/>
          <w:szCs w:val="24"/>
          <w:lang w:eastAsia="en-GB"/>
        </w:rPr>
        <w:t xml:space="preserve">skat. </w:t>
      </w:r>
      <w:r w:rsidRPr="00A07F29">
        <w:rPr>
          <w:rFonts w:ascii="Times New Roman" w:eastAsia="Times New Roman" w:hAnsi="Times New Roman" w:cs="Times New Roman"/>
          <w:sz w:val="24"/>
          <w:szCs w:val="24"/>
          <w:lang w:eastAsia="en-GB"/>
        </w:rPr>
        <w:t>3.</w:t>
      </w:r>
      <w:r w:rsidR="00B05F25" w:rsidRPr="00A07F29">
        <w:rPr>
          <w:rFonts w:ascii="Times New Roman" w:eastAsia="Times New Roman" w:hAnsi="Times New Roman" w:cs="Times New Roman"/>
          <w:sz w:val="24"/>
          <w:szCs w:val="24"/>
          <w:lang w:eastAsia="en-GB"/>
        </w:rPr>
        <w:t>2.1</w:t>
      </w:r>
      <w:r w:rsidRPr="00A07F29">
        <w:rPr>
          <w:rFonts w:ascii="Times New Roman" w:eastAsia="Times New Roman" w:hAnsi="Times New Roman" w:cs="Times New Roman"/>
          <w:sz w:val="24"/>
          <w:szCs w:val="24"/>
          <w:lang w:eastAsia="en-GB"/>
        </w:rPr>
        <w:t>.</w:t>
      </w:r>
      <w:r w:rsidR="00666013" w:rsidRPr="00A07F29">
        <w:rPr>
          <w:rFonts w:ascii="Times New Roman" w:eastAsia="Times New Roman" w:hAnsi="Times New Roman" w:cs="Times New Roman"/>
          <w:sz w:val="24"/>
          <w:szCs w:val="24"/>
          <w:lang w:eastAsia="en-GB"/>
        </w:rPr>
        <w:t> </w:t>
      </w:r>
      <w:r w:rsidR="00497485" w:rsidRPr="00A07F29">
        <w:rPr>
          <w:rFonts w:ascii="Times New Roman" w:eastAsia="Times New Roman" w:hAnsi="Times New Roman" w:cs="Times New Roman"/>
          <w:sz w:val="24"/>
          <w:szCs w:val="24"/>
          <w:lang w:eastAsia="en-GB"/>
        </w:rPr>
        <w:t>pielikums</w:t>
      </w:r>
      <w:r w:rsidRPr="00A07F29">
        <w:rPr>
          <w:rFonts w:ascii="Times New Roman" w:eastAsia="Times New Roman" w:hAnsi="Times New Roman" w:cs="Times New Roman"/>
          <w:sz w:val="24"/>
          <w:szCs w:val="24"/>
          <w:lang w:eastAsia="en-GB"/>
        </w:rPr>
        <w:t>). Dabiskas izcelsmes mežu teritorijā ir 78,78</w:t>
      </w:r>
      <w:r w:rsidR="00666013" w:rsidRPr="00A07F29">
        <w:rPr>
          <w:rFonts w:ascii="Times New Roman" w:eastAsia="Times New Roman" w:hAnsi="Times New Roman" w:cs="Times New Roman"/>
          <w:sz w:val="24"/>
          <w:szCs w:val="24"/>
          <w:lang w:eastAsia="en-GB"/>
        </w:rPr>
        <w:t> </w:t>
      </w:r>
      <w:r w:rsidRPr="00A07F29">
        <w:rPr>
          <w:rFonts w:ascii="Times New Roman" w:eastAsia="Times New Roman" w:hAnsi="Times New Roman" w:cs="Times New Roman"/>
          <w:sz w:val="24"/>
          <w:szCs w:val="24"/>
          <w:lang w:eastAsia="en-GB"/>
        </w:rPr>
        <w:t xml:space="preserve">%, pārējie ir </w:t>
      </w:r>
      <w:r w:rsidRPr="00A07F29">
        <w:rPr>
          <w:rFonts w:ascii="Times New Roman" w:eastAsia="Times New Roman" w:hAnsi="Times New Roman" w:cs="Times New Roman"/>
          <w:sz w:val="24"/>
          <w:szCs w:val="24"/>
          <w:lang w:eastAsia="en-GB"/>
        </w:rPr>
        <w:lastRenderedPageBreak/>
        <w:t>stādīti vai sēti meži. Interesanti, ka meži DP “Daugavas loki” lielās platībās ir tieši sēti vai stādīti, un vēsturiski daudzas šīs platības ir bijušas mazauglīgas lauksaimniecības zemes vai vēja pārpūsti smiltāji (</w:t>
      </w:r>
      <w:r w:rsidR="006E16D6" w:rsidRPr="00A07F29">
        <w:rPr>
          <w:rFonts w:ascii="Times New Roman" w:eastAsia="Times New Roman" w:hAnsi="Times New Roman" w:cs="Times New Roman"/>
          <w:sz w:val="24"/>
          <w:szCs w:val="24"/>
          <w:lang w:eastAsia="en-GB"/>
        </w:rPr>
        <w:t xml:space="preserve">skat. </w:t>
      </w:r>
      <w:r w:rsidRPr="00A07F29">
        <w:rPr>
          <w:rFonts w:ascii="Times New Roman" w:eastAsia="Times New Roman" w:hAnsi="Times New Roman" w:cs="Times New Roman"/>
          <w:sz w:val="24"/>
          <w:szCs w:val="24"/>
          <w:lang w:eastAsia="en-GB"/>
        </w:rPr>
        <w:t>3.</w:t>
      </w:r>
      <w:r w:rsidR="00B05F25" w:rsidRPr="00A07F29">
        <w:rPr>
          <w:rFonts w:ascii="Times New Roman" w:eastAsia="Times New Roman" w:hAnsi="Times New Roman" w:cs="Times New Roman"/>
          <w:sz w:val="24"/>
          <w:szCs w:val="24"/>
          <w:lang w:eastAsia="en-GB"/>
        </w:rPr>
        <w:t>3</w:t>
      </w:r>
      <w:r w:rsidRPr="00A07F29">
        <w:rPr>
          <w:rFonts w:ascii="Times New Roman" w:eastAsia="Times New Roman" w:hAnsi="Times New Roman" w:cs="Times New Roman"/>
          <w:sz w:val="24"/>
          <w:szCs w:val="24"/>
          <w:lang w:eastAsia="en-GB"/>
        </w:rPr>
        <w:t>.</w:t>
      </w:r>
      <w:r w:rsidR="006E16D6" w:rsidRPr="00A07F29">
        <w:rPr>
          <w:rFonts w:ascii="Times New Roman" w:eastAsia="Times New Roman" w:hAnsi="Times New Roman" w:cs="Times New Roman"/>
          <w:sz w:val="24"/>
          <w:szCs w:val="24"/>
          <w:lang w:eastAsia="en-GB"/>
        </w:rPr>
        <w:t> </w:t>
      </w:r>
      <w:r w:rsidR="00497485" w:rsidRPr="00A07F29">
        <w:rPr>
          <w:rFonts w:ascii="Times New Roman" w:eastAsia="Times New Roman" w:hAnsi="Times New Roman" w:cs="Times New Roman"/>
          <w:sz w:val="24"/>
          <w:szCs w:val="24"/>
          <w:lang w:eastAsia="en-GB"/>
        </w:rPr>
        <w:t>pielikums</w:t>
      </w:r>
      <w:r w:rsidRPr="00A07F29">
        <w:rPr>
          <w:rFonts w:ascii="Times New Roman" w:eastAsia="Times New Roman" w:hAnsi="Times New Roman" w:cs="Times New Roman"/>
          <w:sz w:val="24"/>
          <w:szCs w:val="24"/>
          <w:lang w:eastAsia="en-GB"/>
        </w:rPr>
        <w:t>).</w:t>
      </w:r>
      <w:r w:rsidR="00497485" w:rsidRPr="00A07F29">
        <w:rPr>
          <w:rFonts w:ascii="Times New Roman" w:eastAsia="Times New Roman" w:hAnsi="Times New Roman" w:cs="Times New Roman"/>
          <w:sz w:val="24"/>
          <w:szCs w:val="24"/>
          <w:lang w:eastAsia="en-GB"/>
        </w:rPr>
        <w:t xml:space="preserve"> AAA “Augšdaugava” izteikti dominē priežu meži, sevišķi valsts meža masīvos (</w:t>
      </w:r>
      <w:r w:rsidR="006E16D6" w:rsidRPr="00A07F29">
        <w:rPr>
          <w:rFonts w:ascii="Times New Roman" w:eastAsia="Times New Roman" w:hAnsi="Times New Roman" w:cs="Times New Roman"/>
          <w:sz w:val="24"/>
          <w:szCs w:val="24"/>
          <w:lang w:eastAsia="en-GB"/>
        </w:rPr>
        <w:t xml:space="preserve">skat. </w:t>
      </w:r>
      <w:r w:rsidR="00497485" w:rsidRPr="00A07F29">
        <w:rPr>
          <w:rFonts w:ascii="Times New Roman" w:eastAsia="Times New Roman" w:hAnsi="Times New Roman" w:cs="Times New Roman"/>
          <w:sz w:val="24"/>
          <w:szCs w:val="24"/>
          <w:lang w:eastAsia="en-GB"/>
        </w:rPr>
        <w:t>3.2.2.</w:t>
      </w:r>
      <w:r w:rsidR="006E16D6" w:rsidRPr="00A07F29">
        <w:rPr>
          <w:rFonts w:ascii="Times New Roman" w:eastAsia="Times New Roman" w:hAnsi="Times New Roman" w:cs="Times New Roman"/>
          <w:sz w:val="24"/>
          <w:szCs w:val="24"/>
          <w:lang w:eastAsia="en-GB"/>
        </w:rPr>
        <w:t> </w:t>
      </w:r>
      <w:r w:rsidR="00497485" w:rsidRPr="00A07F29">
        <w:rPr>
          <w:rFonts w:ascii="Times New Roman" w:eastAsia="Times New Roman" w:hAnsi="Times New Roman" w:cs="Times New Roman"/>
          <w:sz w:val="24"/>
          <w:szCs w:val="24"/>
          <w:lang w:eastAsia="en-GB"/>
        </w:rPr>
        <w:t>pielikums).</w:t>
      </w:r>
    </w:p>
    <w:p w14:paraId="582DC930" w14:textId="1954C764" w:rsidR="009072CE" w:rsidRPr="00A07F29" w:rsidRDefault="009072CE" w:rsidP="00606F35">
      <w:pPr>
        <w:spacing w:after="120" w:line="240" w:lineRule="auto"/>
        <w:ind w:firstLine="851"/>
        <w:jc w:val="both"/>
        <w:rPr>
          <w:rFonts w:ascii="Times New Roman" w:eastAsia="Times New Roman" w:hAnsi="Times New Roman" w:cs="Times New Roman"/>
          <w:sz w:val="24"/>
          <w:szCs w:val="24"/>
          <w:lang w:eastAsia="en-GB"/>
        </w:rPr>
      </w:pPr>
      <w:r w:rsidRPr="00A07F29">
        <w:rPr>
          <w:rFonts w:ascii="Times New Roman" w:eastAsia="Times New Roman" w:hAnsi="Times New Roman" w:cs="Times New Roman"/>
          <w:sz w:val="24"/>
          <w:szCs w:val="24"/>
          <w:lang w:eastAsia="en-GB"/>
        </w:rPr>
        <w:t xml:space="preserve">Mežsaimnieciskā darbība būtiski ierobežota tikai </w:t>
      </w:r>
      <w:r w:rsidR="00E35DC5" w:rsidRPr="00A07F29">
        <w:rPr>
          <w:rFonts w:ascii="Times New Roman" w:eastAsia="Times New Roman" w:hAnsi="Times New Roman" w:cs="Times New Roman"/>
          <w:sz w:val="24"/>
          <w:szCs w:val="24"/>
          <w:lang w:eastAsia="en-GB"/>
        </w:rPr>
        <w:t>mikroliegumos</w:t>
      </w:r>
      <w:r w:rsidRPr="00A07F29">
        <w:rPr>
          <w:rFonts w:ascii="Times New Roman" w:eastAsia="Times New Roman" w:hAnsi="Times New Roman" w:cs="Times New Roman"/>
          <w:sz w:val="24"/>
          <w:szCs w:val="24"/>
          <w:lang w:eastAsia="en-GB"/>
        </w:rPr>
        <w:t xml:space="preserve">. </w:t>
      </w:r>
      <w:r w:rsidR="00BF0E06" w:rsidRPr="00A07F29">
        <w:rPr>
          <w:rFonts w:ascii="Times New Roman" w:eastAsia="Times New Roman" w:hAnsi="Times New Roman" w:cs="Times New Roman"/>
          <w:sz w:val="24"/>
          <w:szCs w:val="24"/>
          <w:lang w:eastAsia="en-GB"/>
        </w:rPr>
        <w:t>DP</w:t>
      </w:r>
      <w:r w:rsidRPr="00A07F29">
        <w:rPr>
          <w:rFonts w:ascii="Times New Roman" w:eastAsia="Times New Roman" w:hAnsi="Times New Roman" w:cs="Times New Roman"/>
          <w:sz w:val="24"/>
          <w:szCs w:val="24"/>
          <w:lang w:eastAsia="en-GB"/>
        </w:rPr>
        <w:t xml:space="preserve"> “Daugavas loki” </w:t>
      </w:r>
      <w:r w:rsidR="00E35DC5" w:rsidRPr="00A07F29">
        <w:rPr>
          <w:rFonts w:ascii="Times New Roman" w:eastAsia="Times New Roman" w:hAnsi="Times New Roman" w:cs="Times New Roman"/>
          <w:sz w:val="24"/>
          <w:szCs w:val="24"/>
          <w:lang w:eastAsia="en-GB"/>
        </w:rPr>
        <w:t xml:space="preserve">un dabas pieminekļu teritorijās </w:t>
      </w:r>
      <w:r w:rsidRPr="00A07F29">
        <w:rPr>
          <w:rFonts w:ascii="Times New Roman" w:eastAsia="Times New Roman" w:hAnsi="Times New Roman" w:cs="Times New Roman"/>
          <w:sz w:val="24"/>
          <w:szCs w:val="24"/>
          <w:lang w:eastAsia="en-GB"/>
        </w:rPr>
        <w:t>aizliegts veikt kailcirti. Pārējā AAA teritorijā nav mežsaimnieciskās darbības aizliegumu, izņemot ierobežojumus putnu ligzdošanas laikā, līdz ar to 64,32</w:t>
      </w:r>
      <w:r w:rsidR="007F2498" w:rsidRPr="00A07F29">
        <w:rPr>
          <w:rFonts w:ascii="Times New Roman" w:eastAsia="Times New Roman" w:hAnsi="Times New Roman" w:cs="Times New Roman"/>
          <w:sz w:val="24"/>
          <w:szCs w:val="24"/>
          <w:lang w:eastAsia="en-GB"/>
        </w:rPr>
        <w:t> </w:t>
      </w:r>
      <w:r w:rsidRPr="00A07F29">
        <w:rPr>
          <w:rFonts w:ascii="Times New Roman" w:eastAsia="Times New Roman" w:hAnsi="Times New Roman" w:cs="Times New Roman"/>
          <w:sz w:val="24"/>
          <w:szCs w:val="24"/>
          <w:lang w:eastAsia="en-GB"/>
        </w:rPr>
        <w:t>% teritorijas faktiski meži tiek apsaimniekoti tāpat</w:t>
      </w:r>
      <w:r w:rsidR="00F37391" w:rsidRPr="00A07F29">
        <w:rPr>
          <w:rFonts w:ascii="Times New Roman" w:eastAsia="Times New Roman" w:hAnsi="Times New Roman" w:cs="Times New Roman"/>
          <w:sz w:val="24"/>
          <w:szCs w:val="24"/>
          <w:lang w:eastAsia="en-GB"/>
        </w:rPr>
        <w:t>,</w:t>
      </w:r>
      <w:r w:rsidRPr="00A07F29">
        <w:rPr>
          <w:rFonts w:ascii="Times New Roman" w:eastAsia="Times New Roman" w:hAnsi="Times New Roman" w:cs="Times New Roman"/>
          <w:sz w:val="24"/>
          <w:szCs w:val="24"/>
          <w:lang w:eastAsia="en-GB"/>
        </w:rPr>
        <w:t xml:space="preserve"> kā saimnieciskie meži ārpus ĪADT (</w:t>
      </w:r>
      <w:r w:rsidR="009B0D0E" w:rsidRPr="00A07F29">
        <w:rPr>
          <w:rFonts w:ascii="Times New Roman" w:eastAsia="Times New Roman" w:hAnsi="Times New Roman" w:cs="Times New Roman"/>
          <w:sz w:val="24"/>
          <w:szCs w:val="24"/>
          <w:lang w:eastAsia="en-GB"/>
        </w:rPr>
        <w:t xml:space="preserve">skat. </w:t>
      </w:r>
      <w:r w:rsidRPr="00A07F29">
        <w:rPr>
          <w:rFonts w:ascii="Times New Roman" w:eastAsia="Times New Roman" w:hAnsi="Times New Roman" w:cs="Times New Roman"/>
          <w:sz w:val="24"/>
          <w:szCs w:val="24"/>
          <w:lang w:eastAsia="en-GB"/>
        </w:rPr>
        <w:t>3.3.1.</w:t>
      </w:r>
      <w:r w:rsidR="009B0D0E" w:rsidRPr="00A07F29">
        <w:rPr>
          <w:rFonts w:ascii="Times New Roman" w:eastAsia="Times New Roman" w:hAnsi="Times New Roman" w:cs="Times New Roman"/>
          <w:sz w:val="24"/>
          <w:szCs w:val="24"/>
          <w:lang w:eastAsia="en-GB"/>
        </w:rPr>
        <w:t> </w:t>
      </w:r>
      <w:r w:rsidRPr="00A07F29">
        <w:rPr>
          <w:rFonts w:ascii="Times New Roman" w:eastAsia="Times New Roman" w:hAnsi="Times New Roman" w:cs="Times New Roman"/>
          <w:sz w:val="24"/>
          <w:szCs w:val="24"/>
          <w:lang w:eastAsia="en-GB"/>
        </w:rPr>
        <w:t>tabula un 3.</w:t>
      </w:r>
      <w:r w:rsidR="00B05F25" w:rsidRPr="00A07F29">
        <w:rPr>
          <w:rFonts w:ascii="Times New Roman" w:eastAsia="Times New Roman" w:hAnsi="Times New Roman" w:cs="Times New Roman"/>
          <w:sz w:val="24"/>
          <w:szCs w:val="24"/>
          <w:lang w:eastAsia="en-GB"/>
        </w:rPr>
        <w:t>4</w:t>
      </w:r>
      <w:r w:rsidRPr="00A07F29">
        <w:rPr>
          <w:rFonts w:ascii="Times New Roman" w:eastAsia="Times New Roman" w:hAnsi="Times New Roman" w:cs="Times New Roman"/>
          <w:sz w:val="24"/>
          <w:szCs w:val="24"/>
          <w:lang w:eastAsia="en-GB"/>
        </w:rPr>
        <w:t>.</w:t>
      </w:r>
      <w:r w:rsidR="009B0D0E" w:rsidRPr="00A07F29">
        <w:rPr>
          <w:rFonts w:ascii="Times New Roman" w:eastAsia="Times New Roman" w:hAnsi="Times New Roman" w:cs="Times New Roman"/>
          <w:sz w:val="24"/>
          <w:szCs w:val="24"/>
          <w:lang w:eastAsia="en-GB"/>
        </w:rPr>
        <w:t> </w:t>
      </w:r>
      <w:r w:rsidR="00ED6FEF" w:rsidRPr="00A07F29">
        <w:rPr>
          <w:rFonts w:ascii="Times New Roman" w:eastAsia="Times New Roman" w:hAnsi="Times New Roman" w:cs="Times New Roman"/>
          <w:sz w:val="24"/>
          <w:szCs w:val="24"/>
          <w:lang w:eastAsia="en-GB"/>
        </w:rPr>
        <w:t>pielikums</w:t>
      </w:r>
      <w:r w:rsidRPr="00A07F29">
        <w:rPr>
          <w:rFonts w:ascii="Times New Roman" w:eastAsia="Times New Roman" w:hAnsi="Times New Roman" w:cs="Times New Roman"/>
          <w:sz w:val="24"/>
          <w:szCs w:val="24"/>
          <w:lang w:eastAsia="en-GB"/>
        </w:rPr>
        <w:t xml:space="preserve">). Tā kā mežos konstatēts daudz retu un aizsargājamu sugu dzīvotņu un daļai no šīm sugām meža </w:t>
      </w:r>
      <w:r w:rsidR="00FE01F3" w:rsidRPr="00A07F29">
        <w:rPr>
          <w:rFonts w:ascii="Times New Roman" w:eastAsia="Times New Roman" w:hAnsi="Times New Roman" w:cs="Times New Roman"/>
          <w:sz w:val="24"/>
          <w:szCs w:val="24"/>
          <w:lang w:eastAsia="en-GB"/>
        </w:rPr>
        <w:t xml:space="preserve">nociršana </w:t>
      </w:r>
      <w:r w:rsidRPr="00A07F29">
        <w:rPr>
          <w:rFonts w:ascii="Times New Roman" w:eastAsia="Times New Roman" w:hAnsi="Times New Roman" w:cs="Times New Roman"/>
          <w:sz w:val="24"/>
          <w:szCs w:val="24"/>
          <w:lang w:eastAsia="en-GB"/>
        </w:rPr>
        <w:t>ir nozīmīgs apdraudējums, daudzas atradnes var tikt iznīcinātas. Tāpat apdraudēti ir aizsargājamie meža biotopi.</w:t>
      </w:r>
    </w:p>
    <w:p w14:paraId="15F8596D" w14:textId="77777777" w:rsidR="001D2268" w:rsidRDefault="009072CE" w:rsidP="001D2268">
      <w:pPr>
        <w:spacing w:after="0" w:line="240" w:lineRule="auto"/>
        <w:jc w:val="center"/>
        <w:rPr>
          <w:rFonts w:ascii="Times New Roman" w:eastAsia="Times New Roman" w:hAnsi="Times New Roman" w:cs="Times New Roman"/>
          <w:sz w:val="24"/>
          <w:szCs w:val="24"/>
          <w:lang w:eastAsia="en-GB"/>
        </w:rPr>
      </w:pPr>
      <w:r w:rsidRPr="00A07F29">
        <w:rPr>
          <w:rFonts w:ascii="Times New Roman" w:eastAsia="Times New Roman" w:hAnsi="Times New Roman" w:cs="Times New Roman"/>
          <w:sz w:val="24"/>
          <w:szCs w:val="24"/>
          <w:lang w:eastAsia="en-GB"/>
        </w:rPr>
        <w:t>3.3.1.</w:t>
      </w:r>
      <w:r w:rsidR="009B0D0E" w:rsidRPr="00A07F29">
        <w:rPr>
          <w:rFonts w:ascii="Times New Roman" w:eastAsia="Times New Roman" w:hAnsi="Times New Roman" w:cs="Times New Roman"/>
          <w:sz w:val="24"/>
          <w:szCs w:val="24"/>
          <w:lang w:eastAsia="en-GB"/>
        </w:rPr>
        <w:t> </w:t>
      </w:r>
      <w:r w:rsidRPr="00A07F29">
        <w:rPr>
          <w:rFonts w:ascii="Times New Roman" w:eastAsia="Times New Roman" w:hAnsi="Times New Roman" w:cs="Times New Roman"/>
          <w:sz w:val="24"/>
          <w:szCs w:val="24"/>
          <w:lang w:eastAsia="en-GB"/>
        </w:rPr>
        <w:t>tabula. Mežsaimnieciskās darbības ierobežojumi AAA “Augšdaugava”</w:t>
      </w:r>
      <w:r w:rsidR="00606F35" w:rsidRPr="00A07F29">
        <w:rPr>
          <w:rFonts w:ascii="Times New Roman" w:eastAsia="Times New Roman" w:hAnsi="Times New Roman" w:cs="Times New Roman"/>
          <w:sz w:val="24"/>
          <w:szCs w:val="24"/>
          <w:lang w:eastAsia="en-GB"/>
        </w:rPr>
        <w:t xml:space="preserve"> </w:t>
      </w:r>
    </w:p>
    <w:p w14:paraId="6F8C119F" w14:textId="738B7440" w:rsidR="009072CE" w:rsidRPr="00A07F29" w:rsidRDefault="00606F35" w:rsidP="001D2268">
      <w:pPr>
        <w:spacing w:after="120" w:line="240" w:lineRule="auto"/>
        <w:jc w:val="center"/>
        <w:rPr>
          <w:rFonts w:ascii="Times New Roman" w:eastAsia="Times New Roman" w:hAnsi="Times New Roman" w:cs="Times New Roman"/>
          <w:sz w:val="24"/>
          <w:szCs w:val="24"/>
          <w:lang w:eastAsia="en-GB"/>
        </w:rPr>
      </w:pPr>
      <w:r w:rsidRPr="00A07F29">
        <w:rPr>
          <w:rFonts w:ascii="Times New Roman" w:eastAsia="Times New Roman" w:hAnsi="Times New Roman" w:cs="Times New Roman"/>
          <w:sz w:val="24"/>
          <w:szCs w:val="24"/>
          <w:lang w:eastAsia="en-GB"/>
        </w:rPr>
        <w:t>(VMD</w:t>
      </w:r>
      <w:r w:rsidR="001D2268">
        <w:rPr>
          <w:rFonts w:ascii="Times New Roman" w:eastAsia="Times New Roman" w:hAnsi="Times New Roman" w:cs="Times New Roman"/>
          <w:sz w:val="24"/>
          <w:szCs w:val="24"/>
          <w:lang w:eastAsia="en-GB"/>
        </w:rPr>
        <w:t xml:space="preserve"> dati</w:t>
      </w:r>
      <w:r w:rsidRPr="00A07F29">
        <w:rPr>
          <w:rFonts w:ascii="Times New Roman" w:eastAsia="Times New Roman" w:hAnsi="Times New Roman" w:cs="Times New Roman"/>
          <w:sz w:val="24"/>
          <w:szCs w:val="24"/>
          <w:lang w:eastAsia="en-GB"/>
        </w:rPr>
        <w:t>, 2020)</w:t>
      </w:r>
    </w:p>
    <w:tbl>
      <w:tblPr>
        <w:tblStyle w:val="TableGrid"/>
        <w:tblW w:w="0" w:type="auto"/>
        <w:jc w:val="center"/>
        <w:tblLook w:val="04A0" w:firstRow="1" w:lastRow="0" w:firstColumn="1" w:lastColumn="0" w:noHBand="0" w:noVBand="1"/>
      </w:tblPr>
      <w:tblGrid>
        <w:gridCol w:w="4815"/>
        <w:gridCol w:w="1286"/>
        <w:gridCol w:w="1974"/>
      </w:tblGrid>
      <w:tr w:rsidR="00357FCC" w:rsidRPr="00A07F29" w14:paraId="1AB448F2" w14:textId="77777777" w:rsidTr="00357FCC">
        <w:trPr>
          <w:jc w:val="center"/>
        </w:trPr>
        <w:tc>
          <w:tcPr>
            <w:tcW w:w="4815" w:type="dxa"/>
            <w:shd w:val="clear" w:color="auto" w:fill="C2D69B" w:themeFill="accent3" w:themeFillTint="99"/>
          </w:tcPr>
          <w:p w14:paraId="6B8D0322" w14:textId="77777777" w:rsidR="00357FCC" w:rsidRPr="00A07F29" w:rsidRDefault="00357FCC" w:rsidP="00357FCC">
            <w:pPr>
              <w:jc w:val="both"/>
              <w:rPr>
                <w:rFonts w:ascii="Times New Roman" w:eastAsia="Times New Roman" w:hAnsi="Times New Roman" w:cs="Times New Roman"/>
                <w:sz w:val="24"/>
                <w:szCs w:val="24"/>
                <w:lang w:eastAsia="en-GB"/>
              </w:rPr>
            </w:pPr>
            <w:r w:rsidRPr="00A07F29">
              <w:rPr>
                <w:rFonts w:ascii="Times New Roman" w:eastAsia="Calibri" w:hAnsi="Times New Roman" w:cs="Calibri"/>
                <w:sz w:val="24"/>
              </w:rPr>
              <w:t>Aprobežojumi</w:t>
            </w:r>
          </w:p>
        </w:tc>
        <w:tc>
          <w:tcPr>
            <w:tcW w:w="1286" w:type="dxa"/>
            <w:shd w:val="clear" w:color="auto" w:fill="C2D69B" w:themeFill="accent3" w:themeFillTint="99"/>
          </w:tcPr>
          <w:p w14:paraId="6A83A8B6" w14:textId="58079DFF" w:rsidR="00357FCC" w:rsidRPr="00A07F29" w:rsidRDefault="00357FCC" w:rsidP="00357FCC">
            <w:pPr>
              <w:jc w:val="both"/>
              <w:rPr>
                <w:rFonts w:ascii="Times New Roman" w:eastAsia="Times New Roman" w:hAnsi="Times New Roman" w:cs="Times New Roman"/>
                <w:sz w:val="24"/>
                <w:szCs w:val="24"/>
                <w:lang w:eastAsia="en-GB"/>
              </w:rPr>
            </w:pPr>
            <w:r w:rsidRPr="00A07F29">
              <w:rPr>
                <w:rFonts w:ascii="Times New Roman" w:eastAsia="Calibri" w:hAnsi="Times New Roman" w:cs="Calibri"/>
                <w:sz w:val="24"/>
              </w:rPr>
              <w:t>Platība, ha</w:t>
            </w:r>
          </w:p>
        </w:tc>
        <w:tc>
          <w:tcPr>
            <w:tcW w:w="1974" w:type="dxa"/>
            <w:shd w:val="clear" w:color="auto" w:fill="C2D69B" w:themeFill="accent3" w:themeFillTint="99"/>
          </w:tcPr>
          <w:p w14:paraId="76083194" w14:textId="77777777" w:rsidR="00357FCC" w:rsidRPr="00A07F29" w:rsidRDefault="00357FCC" w:rsidP="00357FCC">
            <w:pPr>
              <w:jc w:val="both"/>
              <w:rPr>
                <w:rFonts w:ascii="Times New Roman" w:eastAsia="Calibri" w:hAnsi="Times New Roman" w:cs="Calibri"/>
                <w:sz w:val="24"/>
              </w:rPr>
            </w:pPr>
            <w:r w:rsidRPr="00A07F29">
              <w:rPr>
                <w:rFonts w:ascii="Times New Roman" w:eastAsia="Calibri" w:hAnsi="Times New Roman" w:cs="Calibri"/>
                <w:sz w:val="24"/>
              </w:rPr>
              <w:t xml:space="preserve">Īpatsvars no </w:t>
            </w:r>
          </w:p>
          <w:p w14:paraId="57EC2E2D" w14:textId="52071D9F" w:rsidR="00357FCC" w:rsidRPr="00A07F29" w:rsidRDefault="00357FCC" w:rsidP="00357FCC">
            <w:pPr>
              <w:jc w:val="both"/>
              <w:rPr>
                <w:rFonts w:ascii="Times New Roman" w:eastAsia="Times New Roman" w:hAnsi="Times New Roman" w:cs="Times New Roman"/>
                <w:sz w:val="24"/>
                <w:szCs w:val="24"/>
                <w:lang w:eastAsia="en-GB"/>
              </w:rPr>
            </w:pPr>
            <w:r w:rsidRPr="00A07F29">
              <w:rPr>
                <w:rFonts w:ascii="Times New Roman" w:eastAsia="Calibri" w:hAnsi="Times New Roman" w:cs="Calibri"/>
                <w:sz w:val="24"/>
              </w:rPr>
              <w:t>meža platības, %</w:t>
            </w:r>
          </w:p>
        </w:tc>
      </w:tr>
      <w:tr w:rsidR="00357FCC" w:rsidRPr="00A07F29" w14:paraId="085D4BFF" w14:textId="77777777" w:rsidTr="00357FCC">
        <w:trPr>
          <w:jc w:val="center"/>
        </w:trPr>
        <w:tc>
          <w:tcPr>
            <w:tcW w:w="4815" w:type="dxa"/>
          </w:tcPr>
          <w:p w14:paraId="115F222A" w14:textId="77777777" w:rsidR="00357FCC" w:rsidRPr="00A07F29" w:rsidRDefault="00357FCC" w:rsidP="00357FCC">
            <w:pPr>
              <w:jc w:val="both"/>
              <w:rPr>
                <w:rFonts w:ascii="Times New Roman" w:eastAsia="Times New Roman" w:hAnsi="Times New Roman" w:cs="Times New Roman"/>
                <w:sz w:val="24"/>
                <w:szCs w:val="24"/>
                <w:lang w:eastAsia="en-GB"/>
              </w:rPr>
            </w:pPr>
            <w:r w:rsidRPr="00A07F29">
              <w:rPr>
                <w:rFonts w:ascii="Times New Roman" w:eastAsia="Calibri" w:hAnsi="Times New Roman" w:cs="Calibri"/>
                <w:sz w:val="24"/>
              </w:rPr>
              <w:t>Aizliegta mežsaimnieciskā darbība</w:t>
            </w:r>
          </w:p>
        </w:tc>
        <w:tc>
          <w:tcPr>
            <w:tcW w:w="1286" w:type="dxa"/>
          </w:tcPr>
          <w:p w14:paraId="037A5459" w14:textId="77777777" w:rsidR="00357FCC" w:rsidRPr="00A07F29" w:rsidRDefault="00357FCC" w:rsidP="00357FCC">
            <w:pPr>
              <w:jc w:val="right"/>
              <w:rPr>
                <w:rFonts w:ascii="Times New Roman" w:eastAsia="Times New Roman" w:hAnsi="Times New Roman" w:cs="Times New Roman"/>
                <w:sz w:val="24"/>
                <w:szCs w:val="24"/>
                <w:lang w:eastAsia="en-GB"/>
              </w:rPr>
            </w:pPr>
            <w:r w:rsidRPr="00A07F29">
              <w:rPr>
                <w:rFonts w:ascii="Times New Roman" w:eastAsia="Calibri" w:hAnsi="Times New Roman" w:cs="Calibri"/>
                <w:sz w:val="24"/>
              </w:rPr>
              <w:t>120,19</w:t>
            </w:r>
          </w:p>
        </w:tc>
        <w:tc>
          <w:tcPr>
            <w:tcW w:w="1974" w:type="dxa"/>
          </w:tcPr>
          <w:p w14:paraId="0702900F" w14:textId="77777777" w:rsidR="00357FCC" w:rsidRPr="00A07F29" w:rsidRDefault="00357FCC" w:rsidP="00357FCC">
            <w:pPr>
              <w:jc w:val="center"/>
              <w:rPr>
                <w:rFonts w:ascii="Times New Roman" w:eastAsia="Times New Roman" w:hAnsi="Times New Roman" w:cs="Times New Roman"/>
                <w:sz w:val="24"/>
                <w:szCs w:val="24"/>
                <w:lang w:eastAsia="en-GB"/>
              </w:rPr>
            </w:pPr>
            <w:r w:rsidRPr="00A07F29">
              <w:rPr>
                <w:rFonts w:ascii="Times New Roman" w:eastAsia="Calibri" w:hAnsi="Times New Roman" w:cs="Calibri"/>
                <w:sz w:val="24"/>
              </w:rPr>
              <w:t>0,55</w:t>
            </w:r>
          </w:p>
        </w:tc>
      </w:tr>
      <w:tr w:rsidR="00357FCC" w:rsidRPr="00A07F29" w14:paraId="57D449BF" w14:textId="77777777" w:rsidTr="00357FCC">
        <w:trPr>
          <w:jc w:val="center"/>
        </w:trPr>
        <w:tc>
          <w:tcPr>
            <w:tcW w:w="4815" w:type="dxa"/>
          </w:tcPr>
          <w:p w14:paraId="7E39201E" w14:textId="77777777" w:rsidR="00357FCC" w:rsidRPr="00A07F29" w:rsidRDefault="00357FCC" w:rsidP="00357FCC">
            <w:pPr>
              <w:jc w:val="both"/>
              <w:rPr>
                <w:rFonts w:ascii="Times New Roman" w:eastAsia="Times New Roman" w:hAnsi="Times New Roman" w:cs="Times New Roman"/>
                <w:sz w:val="24"/>
                <w:szCs w:val="24"/>
                <w:lang w:eastAsia="en-GB"/>
              </w:rPr>
            </w:pPr>
            <w:r w:rsidRPr="00A07F29">
              <w:rPr>
                <w:rFonts w:ascii="Times New Roman" w:eastAsia="Calibri" w:hAnsi="Times New Roman" w:cs="Calibri"/>
                <w:sz w:val="24"/>
              </w:rPr>
              <w:t>Aizliegta galvenā cirte</w:t>
            </w:r>
          </w:p>
        </w:tc>
        <w:tc>
          <w:tcPr>
            <w:tcW w:w="1286" w:type="dxa"/>
          </w:tcPr>
          <w:p w14:paraId="30B19AEA" w14:textId="77777777" w:rsidR="00357FCC" w:rsidRPr="00A07F29" w:rsidRDefault="00357FCC" w:rsidP="00357FCC">
            <w:pPr>
              <w:jc w:val="right"/>
              <w:rPr>
                <w:rFonts w:ascii="Times New Roman" w:eastAsia="Times New Roman" w:hAnsi="Times New Roman" w:cs="Times New Roman"/>
                <w:sz w:val="24"/>
                <w:szCs w:val="24"/>
                <w:lang w:eastAsia="en-GB"/>
              </w:rPr>
            </w:pPr>
            <w:r w:rsidRPr="00A07F29">
              <w:rPr>
                <w:rFonts w:ascii="Times New Roman" w:eastAsia="Calibri" w:hAnsi="Times New Roman" w:cs="Calibri"/>
                <w:sz w:val="24"/>
              </w:rPr>
              <w:t>9,32</w:t>
            </w:r>
          </w:p>
        </w:tc>
        <w:tc>
          <w:tcPr>
            <w:tcW w:w="1974" w:type="dxa"/>
          </w:tcPr>
          <w:p w14:paraId="2890D8A7" w14:textId="77777777" w:rsidR="00357FCC" w:rsidRPr="00A07F29" w:rsidRDefault="00357FCC" w:rsidP="00357FCC">
            <w:pPr>
              <w:jc w:val="center"/>
              <w:rPr>
                <w:rFonts w:ascii="Times New Roman" w:eastAsia="Times New Roman" w:hAnsi="Times New Roman" w:cs="Times New Roman"/>
                <w:sz w:val="24"/>
                <w:szCs w:val="24"/>
                <w:lang w:eastAsia="en-GB"/>
              </w:rPr>
            </w:pPr>
            <w:r w:rsidRPr="00A07F29">
              <w:rPr>
                <w:rFonts w:ascii="Times New Roman" w:eastAsia="Calibri" w:hAnsi="Times New Roman" w:cs="Calibri"/>
                <w:sz w:val="24"/>
              </w:rPr>
              <w:t>0,04</w:t>
            </w:r>
          </w:p>
        </w:tc>
      </w:tr>
      <w:tr w:rsidR="00357FCC" w:rsidRPr="00A07F29" w14:paraId="119BE0F1" w14:textId="77777777" w:rsidTr="00357FCC">
        <w:trPr>
          <w:jc w:val="center"/>
        </w:trPr>
        <w:tc>
          <w:tcPr>
            <w:tcW w:w="4815" w:type="dxa"/>
          </w:tcPr>
          <w:p w14:paraId="061DFE61" w14:textId="77777777" w:rsidR="00357FCC" w:rsidRPr="00A07F29" w:rsidRDefault="00357FCC" w:rsidP="00357FCC">
            <w:pPr>
              <w:jc w:val="both"/>
              <w:rPr>
                <w:rFonts w:ascii="Times New Roman" w:eastAsia="Times New Roman" w:hAnsi="Times New Roman" w:cs="Times New Roman"/>
                <w:sz w:val="24"/>
                <w:szCs w:val="24"/>
                <w:lang w:eastAsia="en-GB"/>
              </w:rPr>
            </w:pPr>
            <w:r w:rsidRPr="00A07F29">
              <w:rPr>
                <w:rFonts w:ascii="Times New Roman" w:eastAsia="Calibri" w:hAnsi="Times New Roman" w:cs="Calibri"/>
                <w:sz w:val="24"/>
              </w:rPr>
              <w:t>Aizliegta kailcirte</w:t>
            </w:r>
          </w:p>
        </w:tc>
        <w:tc>
          <w:tcPr>
            <w:tcW w:w="1286" w:type="dxa"/>
          </w:tcPr>
          <w:p w14:paraId="73E4CE31" w14:textId="17EFCD6C" w:rsidR="00357FCC" w:rsidRPr="00A07F29" w:rsidRDefault="00357FCC" w:rsidP="00357FCC">
            <w:pPr>
              <w:jc w:val="right"/>
              <w:rPr>
                <w:rFonts w:ascii="Times New Roman" w:eastAsia="Times New Roman" w:hAnsi="Times New Roman" w:cs="Times New Roman"/>
                <w:sz w:val="24"/>
                <w:szCs w:val="24"/>
                <w:lang w:eastAsia="en-GB"/>
              </w:rPr>
            </w:pPr>
            <w:r w:rsidRPr="00A07F29">
              <w:rPr>
                <w:rFonts w:ascii="Times New Roman" w:eastAsia="Calibri" w:hAnsi="Times New Roman" w:cs="Calibri"/>
                <w:sz w:val="24"/>
              </w:rPr>
              <w:t>7 628,62</w:t>
            </w:r>
          </w:p>
        </w:tc>
        <w:tc>
          <w:tcPr>
            <w:tcW w:w="1974" w:type="dxa"/>
          </w:tcPr>
          <w:p w14:paraId="2BC72324" w14:textId="77777777" w:rsidR="00357FCC" w:rsidRPr="00A07F29" w:rsidRDefault="00357FCC" w:rsidP="00357FCC">
            <w:pPr>
              <w:jc w:val="center"/>
              <w:rPr>
                <w:rFonts w:ascii="Times New Roman" w:eastAsia="Times New Roman" w:hAnsi="Times New Roman" w:cs="Times New Roman"/>
                <w:sz w:val="24"/>
                <w:szCs w:val="24"/>
                <w:lang w:eastAsia="en-GB"/>
              </w:rPr>
            </w:pPr>
            <w:r w:rsidRPr="00A07F29">
              <w:rPr>
                <w:rFonts w:ascii="Times New Roman" w:eastAsia="Calibri" w:hAnsi="Times New Roman" w:cs="Calibri"/>
                <w:sz w:val="24"/>
              </w:rPr>
              <w:t>34,84</w:t>
            </w:r>
          </w:p>
        </w:tc>
      </w:tr>
      <w:tr w:rsidR="00357FCC" w:rsidRPr="00A07F29" w14:paraId="543805C2" w14:textId="77777777" w:rsidTr="00357FCC">
        <w:trPr>
          <w:jc w:val="center"/>
        </w:trPr>
        <w:tc>
          <w:tcPr>
            <w:tcW w:w="4815" w:type="dxa"/>
          </w:tcPr>
          <w:p w14:paraId="24112E42" w14:textId="77777777" w:rsidR="00357FCC" w:rsidRPr="00A07F29" w:rsidRDefault="00357FCC" w:rsidP="00357FCC">
            <w:pPr>
              <w:jc w:val="both"/>
              <w:rPr>
                <w:rFonts w:ascii="Times New Roman" w:eastAsia="Times New Roman" w:hAnsi="Times New Roman" w:cs="Times New Roman"/>
                <w:sz w:val="24"/>
                <w:szCs w:val="24"/>
                <w:lang w:eastAsia="en-GB"/>
              </w:rPr>
            </w:pPr>
            <w:r w:rsidRPr="00A07F29">
              <w:rPr>
                <w:rFonts w:ascii="Times New Roman" w:eastAsia="Calibri" w:hAnsi="Times New Roman" w:cs="Calibri"/>
                <w:sz w:val="24"/>
              </w:rPr>
              <w:t>Sezonāli aizliegta mežsaimnieciskā darbība</w:t>
            </w:r>
          </w:p>
        </w:tc>
        <w:tc>
          <w:tcPr>
            <w:tcW w:w="1286" w:type="dxa"/>
          </w:tcPr>
          <w:p w14:paraId="1F91E86B" w14:textId="46CE45B7" w:rsidR="00357FCC" w:rsidRPr="00A07F29" w:rsidRDefault="00357FCC" w:rsidP="00357FCC">
            <w:pPr>
              <w:jc w:val="right"/>
              <w:rPr>
                <w:rFonts w:ascii="Times New Roman" w:eastAsia="Times New Roman" w:hAnsi="Times New Roman" w:cs="Times New Roman"/>
                <w:sz w:val="24"/>
                <w:szCs w:val="24"/>
                <w:lang w:eastAsia="en-GB"/>
              </w:rPr>
            </w:pPr>
            <w:r w:rsidRPr="00A07F29">
              <w:rPr>
                <w:rFonts w:ascii="Times New Roman" w:eastAsia="Calibri" w:hAnsi="Times New Roman" w:cs="Calibri"/>
                <w:sz w:val="24"/>
              </w:rPr>
              <w:t>14</w:t>
            </w:r>
            <w:r w:rsidR="00DC42D1" w:rsidRPr="00A07F29">
              <w:rPr>
                <w:rFonts w:ascii="Times New Roman" w:eastAsia="Calibri" w:hAnsi="Times New Roman" w:cs="Calibri"/>
                <w:sz w:val="24"/>
              </w:rPr>
              <w:t> </w:t>
            </w:r>
            <w:r w:rsidRPr="00A07F29">
              <w:rPr>
                <w:rFonts w:ascii="Times New Roman" w:eastAsia="Calibri" w:hAnsi="Times New Roman" w:cs="Calibri"/>
                <w:sz w:val="24"/>
              </w:rPr>
              <w:t>137,8</w:t>
            </w:r>
          </w:p>
        </w:tc>
        <w:tc>
          <w:tcPr>
            <w:tcW w:w="1974" w:type="dxa"/>
          </w:tcPr>
          <w:p w14:paraId="3B8E113C" w14:textId="6F07C26D" w:rsidR="00357FCC" w:rsidRPr="00A07F29" w:rsidRDefault="00357FCC" w:rsidP="00357FCC">
            <w:pPr>
              <w:jc w:val="center"/>
              <w:rPr>
                <w:rFonts w:ascii="Times New Roman" w:eastAsia="Times New Roman" w:hAnsi="Times New Roman" w:cs="Times New Roman"/>
                <w:sz w:val="24"/>
                <w:szCs w:val="24"/>
                <w:lang w:eastAsia="en-GB"/>
              </w:rPr>
            </w:pPr>
            <w:r w:rsidRPr="00A07F29">
              <w:rPr>
                <w:rFonts w:ascii="Times New Roman" w:eastAsia="Calibri" w:hAnsi="Times New Roman" w:cs="Calibri"/>
                <w:sz w:val="24"/>
              </w:rPr>
              <w:t>64,57</w:t>
            </w:r>
          </w:p>
        </w:tc>
      </w:tr>
      <w:tr w:rsidR="00357FCC" w:rsidRPr="00A07F29" w14:paraId="2E2490AE" w14:textId="77777777" w:rsidTr="00357FCC">
        <w:trPr>
          <w:jc w:val="center"/>
        </w:trPr>
        <w:tc>
          <w:tcPr>
            <w:tcW w:w="4815" w:type="dxa"/>
          </w:tcPr>
          <w:p w14:paraId="5A3C9885" w14:textId="6D8A858E" w:rsidR="00357FCC" w:rsidRPr="00A07F29" w:rsidRDefault="00357FCC" w:rsidP="00357FCC">
            <w:pPr>
              <w:jc w:val="right"/>
              <w:rPr>
                <w:rFonts w:ascii="Times New Roman" w:eastAsia="Times New Roman" w:hAnsi="Times New Roman" w:cs="Times New Roman"/>
                <w:sz w:val="24"/>
                <w:szCs w:val="24"/>
                <w:lang w:eastAsia="en-GB"/>
              </w:rPr>
            </w:pPr>
            <w:r w:rsidRPr="00A07F29">
              <w:rPr>
                <w:rFonts w:ascii="Times New Roman" w:eastAsia="Calibri" w:hAnsi="Times New Roman" w:cs="Calibri"/>
                <w:sz w:val="24"/>
              </w:rPr>
              <w:t>Kopā</w:t>
            </w:r>
          </w:p>
        </w:tc>
        <w:tc>
          <w:tcPr>
            <w:tcW w:w="1286" w:type="dxa"/>
          </w:tcPr>
          <w:p w14:paraId="5379590E" w14:textId="3311A314" w:rsidR="00357FCC" w:rsidRPr="00A07F29" w:rsidRDefault="00357FCC" w:rsidP="00357FCC">
            <w:pPr>
              <w:jc w:val="right"/>
              <w:rPr>
                <w:rFonts w:ascii="Times New Roman" w:eastAsia="Times New Roman" w:hAnsi="Times New Roman" w:cs="Times New Roman"/>
                <w:sz w:val="24"/>
                <w:szCs w:val="24"/>
                <w:lang w:eastAsia="en-GB"/>
              </w:rPr>
            </w:pPr>
            <w:r w:rsidRPr="00A07F29">
              <w:rPr>
                <w:rFonts w:ascii="Times New Roman" w:eastAsia="Calibri" w:hAnsi="Times New Roman" w:cs="Calibri"/>
                <w:sz w:val="24"/>
              </w:rPr>
              <w:t>21 895,94</w:t>
            </w:r>
          </w:p>
        </w:tc>
        <w:tc>
          <w:tcPr>
            <w:tcW w:w="1974" w:type="dxa"/>
          </w:tcPr>
          <w:p w14:paraId="715A3EB5" w14:textId="77777777" w:rsidR="00357FCC" w:rsidRPr="00A07F29" w:rsidRDefault="00357FCC" w:rsidP="00357FCC">
            <w:pPr>
              <w:jc w:val="center"/>
              <w:rPr>
                <w:rFonts w:ascii="Times New Roman" w:eastAsia="Times New Roman" w:hAnsi="Times New Roman" w:cs="Times New Roman"/>
                <w:sz w:val="24"/>
                <w:szCs w:val="24"/>
                <w:lang w:eastAsia="en-GB"/>
              </w:rPr>
            </w:pPr>
            <w:r w:rsidRPr="00A07F29">
              <w:rPr>
                <w:rFonts w:ascii="Times New Roman" w:eastAsia="Calibri" w:hAnsi="Times New Roman" w:cs="Calibri"/>
                <w:sz w:val="24"/>
              </w:rPr>
              <w:t>100</w:t>
            </w:r>
          </w:p>
        </w:tc>
      </w:tr>
    </w:tbl>
    <w:p w14:paraId="4BCF1E7B" w14:textId="77777777" w:rsidR="009072CE" w:rsidRPr="00A07F29" w:rsidRDefault="009072CE" w:rsidP="00357FCC">
      <w:pPr>
        <w:spacing w:after="0" w:line="240" w:lineRule="auto"/>
        <w:ind w:firstLine="851"/>
        <w:jc w:val="both"/>
        <w:rPr>
          <w:rFonts w:ascii="Times New Roman" w:eastAsia="Times New Roman" w:hAnsi="Times New Roman" w:cs="Times New Roman"/>
          <w:sz w:val="24"/>
          <w:szCs w:val="24"/>
          <w:lang w:eastAsia="en-GB"/>
        </w:rPr>
      </w:pPr>
    </w:p>
    <w:p w14:paraId="63D12228" w14:textId="599F1665" w:rsidR="009072CE" w:rsidRPr="00A07F29" w:rsidRDefault="009072CE" w:rsidP="00357FCC">
      <w:pPr>
        <w:spacing w:after="120" w:line="240" w:lineRule="auto"/>
        <w:ind w:firstLine="851"/>
        <w:jc w:val="both"/>
        <w:rPr>
          <w:rFonts w:ascii="Times New Roman" w:eastAsia="Times New Roman" w:hAnsi="Times New Roman" w:cs="Times New Roman"/>
          <w:sz w:val="24"/>
          <w:szCs w:val="24"/>
          <w:lang w:eastAsia="en-GB"/>
        </w:rPr>
      </w:pPr>
      <w:r w:rsidRPr="00A07F29">
        <w:rPr>
          <w:rFonts w:ascii="Times New Roman" w:eastAsia="Times New Roman" w:hAnsi="Times New Roman" w:cs="Times New Roman"/>
          <w:sz w:val="24"/>
          <w:szCs w:val="24"/>
          <w:lang w:eastAsia="en-GB"/>
        </w:rPr>
        <w:t xml:space="preserve">Tā kā mežsaimnieciskā darbība </w:t>
      </w:r>
      <w:r w:rsidR="00FE01F3" w:rsidRPr="00A07F29">
        <w:rPr>
          <w:rFonts w:ascii="Times New Roman" w:eastAsia="Times New Roman" w:hAnsi="Times New Roman" w:cs="Times New Roman"/>
          <w:sz w:val="24"/>
          <w:szCs w:val="24"/>
          <w:lang w:eastAsia="en-GB"/>
        </w:rPr>
        <w:t xml:space="preserve">vai galvenā cirte </w:t>
      </w:r>
      <w:r w:rsidRPr="00A07F29">
        <w:rPr>
          <w:rFonts w:ascii="Times New Roman" w:eastAsia="Times New Roman" w:hAnsi="Times New Roman" w:cs="Times New Roman"/>
          <w:sz w:val="24"/>
          <w:szCs w:val="24"/>
          <w:lang w:eastAsia="en-GB"/>
        </w:rPr>
        <w:t xml:space="preserve">ir </w:t>
      </w:r>
      <w:r w:rsidR="00FE01F3" w:rsidRPr="00A07F29">
        <w:rPr>
          <w:rFonts w:ascii="Times New Roman" w:eastAsia="Times New Roman" w:hAnsi="Times New Roman" w:cs="Times New Roman"/>
          <w:sz w:val="24"/>
          <w:szCs w:val="24"/>
          <w:lang w:eastAsia="en-GB"/>
        </w:rPr>
        <w:t xml:space="preserve">aizliegta </w:t>
      </w:r>
      <w:r w:rsidRPr="00A07F29">
        <w:rPr>
          <w:rFonts w:ascii="Times New Roman" w:eastAsia="Times New Roman" w:hAnsi="Times New Roman" w:cs="Times New Roman"/>
          <w:sz w:val="24"/>
          <w:szCs w:val="24"/>
          <w:lang w:eastAsia="en-GB"/>
        </w:rPr>
        <w:t xml:space="preserve">tikai nelielā teritorijā, liela daļa mežaudžu ir mežsaimniecisko darbību </w:t>
      </w:r>
      <w:r w:rsidR="00FE01F3" w:rsidRPr="00A07F29">
        <w:rPr>
          <w:rFonts w:ascii="Times New Roman" w:eastAsia="Times New Roman" w:hAnsi="Times New Roman" w:cs="Times New Roman"/>
          <w:sz w:val="24"/>
          <w:szCs w:val="24"/>
          <w:lang w:eastAsia="en-GB"/>
        </w:rPr>
        <w:t>ietekmētas. L</w:t>
      </w:r>
      <w:r w:rsidRPr="00A07F29">
        <w:rPr>
          <w:rFonts w:ascii="Times New Roman" w:eastAsia="Times New Roman" w:hAnsi="Times New Roman" w:cs="Times New Roman"/>
          <w:sz w:val="24"/>
          <w:szCs w:val="24"/>
          <w:lang w:eastAsia="en-GB"/>
        </w:rPr>
        <w:t>īdz 2018.</w:t>
      </w:r>
      <w:r w:rsidR="00612033" w:rsidRPr="00A07F29">
        <w:rPr>
          <w:rFonts w:ascii="Times New Roman" w:eastAsia="Times New Roman" w:hAnsi="Times New Roman" w:cs="Times New Roman"/>
          <w:sz w:val="24"/>
          <w:szCs w:val="24"/>
          <w:lang w:eastAsia="en-GB"/>
        </w:rPr>
        <w:t> </w:t>
      </w:r>
      <w:r w:rsidRPr="00A07F29">
        <w:rPr>
          <w:rFonts w:ascii="Times New Roman" w:eastAsia="Times New Roman" w:hAnsi="Times New Roman" w:cs="Times New Roman"/>
          <w:sz w:val="24"/>
          <w:szCs w:val="24"/>
          <w:lang w:eastAsia="en-GB"/>
        </w:rPr>
        <w:t>gada martam (dati uzskaitīti</w:t>
      </w:r>
      <w:r w:rsidR="00FE01F3" w:rsidRPr="00A07F29">
        <w:rPr>
          <w:rFonts w:ascii="Times New Roman" w:eastAsia="Times New Roman" w:hAnsi="Times New Roman" w:cs="Times New Roman"/>
          <w:sz w:val="24"/>
          <w:szCs w:val="24"/>
          <w:lang w:eastAsia="en-GB"/>
        </w:rPr>
        <w:t>,</w:t>
      </w:r>
      <w:r w:rsidRPr="00A07F29">
        <w:rPr>
          <w:rFonts w:ascii="Times New Roman" w:eastAsia="Times New Roman" w:hAnsi="Times New Roman" w:cs="Times New Roman"/>
          <w:sz w:val="24"/>
          <w:szCs w:val="24"/>
          <w:lang w:eastAsia="en-GB"/>
        </w:rPr>
        <w:t xml:space="preserve"> sākot ar 1986.</w:t>
      </w:r>
      <w:r w:rsidR="002A5DA2" w:rsidRPr="00A07F29">
        <w:rPr>
          <w:rFonts w:ascii="Times New Roman" w:eastAsia="Times New Roman" w:hAnsi="Times New Roman" w:cs="Times New Roman"/>
          <w:sz w:val="24"/>
          <w:szCs w:val="24"/>
          <w:lang w:eastAsia="en-GB"/>
        </w:rPr>
        <w:t> </w:t>
      </w:r>
      <w:r w:rsidRPr="00A07F29">
        <w:rPr>
          <w:rFonts w:ascii="Times New Roman" w:eastAsia="Times New Roman" w:hAnsi="Times New Roman" w:cs="Times New Roman"/>
          <w:sz w:val="24"/>
          <w:szCs w:val="24"/>
          <w:lang w:eastAsia="en-GB"/>
        </w:rPr>
        <w:t xml:space="preserve">gadu) jebkāda veida cirte ir veikta </w:t>
      </w:r>
      <w:r w:rsidR="00FE01F3" w:rsidRPr="00A07F29">
        <w:rPr>
          <w:rFonts w:ascii="Times New Roman" w:eastAsia="Times New Roman" w:hAnsi="Times New Roman" w:cs="Times New Roman"/>
          <w:sz w:val="24"/>
          <w:szCs w:val="24"/>
          <w:lang w:eastAsia="en-GB"/>
        </w:rPr>
        <w:t xml:space="preserve">6552 poligonos </w:t>
      </w:r>
      <w:r w:rsidRPr="00A07F29">
        <w:rPr>
          <w:rFonts w:ascii="Times New Roman" w:eastAsia="Times New Roman" w:hAnsi="Times New Roman" w:cs="Times New Roman"/>
          <w:sz w:val="24"/>
          <w:szCs w:val="24"/>
          <w:lang w:eastAsia="en-GB"/>
        </w:rPr>
        <w:t>8207</w:t>
      </w:r>
      <w:r w:rsidR="002A5DA2" w:rsidRPr="00A07F29">
        <w:rPr>
          <w:rFonts w:ascii="Times New Roman" w:eastAsia="Times New Roman" w:hAnsi="Times New Roman" w:cs="Times New Roman"/>
          <w:sz w:val="24"/>
          <w:szCs w:val="24"/>
          <w:lang w:eastAsia="en-GB"/>
        </w:rPr>
        <w:t> </w:t>
      </w:r>
      <w:r w:rsidRPr="00A07F29">
        <w:rPr>
          <w:rFonts w:ascii="Times New Roman" w:eastAsia="Times New Roman" w:hAnsi="Times New Roman" w:cs="Times New Roman"/>
          <w:sz w:val="24"/>
          <w:szCs w:val="24"/>
          <w:lang w:eastAsia="en-GB"/>
        </w:rPr>
        <w:t xml:space="preserve">ha </w:t>
      </w:r>
      <w:r w:rsidR="00FE01F3" w:rsidRPr="00A07F29">
        <w:rPr>
          <w:rFonts w:ascii="Times New Roman" w:eastAsia="Times New Roman" w:hAnsi="Times New Roman" w:cs="Times New Roman"/>
          <w:sz w:val="24"/>
          <w:szCs w:val="24"/>
          <w:lang w:eastAsia="en-GB"/>
        </w:rPr>
        <w:t>platībā, kas ir 37,5</w:t>
      </w:r>
      <w:r w:rsidR="002A5DA2" w:rsidRPr="00A07F29">
        <w:rPr>
          <w:rFonts w:ascii="Times New Roman" w:eastAsia="Times New Roman" w:hAnsi="Times New Roman" w:cs="Times New Roman"/>
          <w:sz w:val="24"/>
          <w:szCs w:val="24"/>
          <w:lang w:eastAsia="en-GB"/>
        </w:rPr>
        <w:t> </w:t>
      </w:r>
      <w:r w:rsidR="00FE01F3" w:rsidRPr="00A07F29">
        <w:rPr>
          <w:rFonts w:ascii="Times New Roman" w:eastAsia="Times New Roman" w:hAnsi="Times New Roman" w:cs="Times New Roman"/>
          <w:sz w:val="24"/>
          <w:szCs w:val="24"/>
          <w:lang w:eastAsia="en-GB"/>
        </w:rPr>
        <w:t xml:space="preserve">% </w:t>
      </w:r>
      <w:r w:rsidRPr="00A07F29">
        <w:rPr>
          <w:rFonts w:ascii="Times New Roman" w:eastAsia="Times New Roman" w:hAnsi="Times New Roman" w:cs="Times New Roman"/>
          <w:sz w:val="24"/>
          <w:szCs w:val="24"/>
          <w:lang w:eastAsia="en-GB"/>
        </w:rPr>
        <w:t xml:space="preserve">visu AAA </w:t>
      </w:r>
      <w:r w:rsidR="006D7BDE" w:rsidRPr="00A07F29">
        <w:rPr>
          <w:rFonts w:ascii="Times New Roman" w:eastAsia="Times New Roman" w:hAnsi="Times New Roman" w:cs="Times New Roman"/>
          <w:sz w:val="24"/>
          <w:szCs w:val="24"/>
          <w:lang w:eastAsia="en-GB"/>
        </w:rPr>
        <w:t xml:space="preserve">“Augšdaugava” </w:t>
      </w:r>
      <w:r w:rsidRPr="00A07F29">
        <w:rPr>
          <w:rFonts w:ascii="Times New Roman" w:eastAsia="Times New Roman" w:hAnsi="Times New Roman" w:cs="Times New Roman"/>
          <w:sz w:val="24"/>
          <w:szCs w:val="24"/>
          <w:lang w:eastAsia="en-GB"/>
        </w:rPr>
        <w:t>esošo mežu. Kailcirte veikta 3076,77</w:t>
      </w:r>
      <w:r w:rsidR="002A5DA2" w:rsidRPr="00A07F29">
        <w:rPr>
          <w:rFonts w:ascii="Times New Roman" w:eastAsia="Times New Roman" w:hAnsi="Times New Roman" w:cs="Times New Roman"/>
          <w:sz w:val="24"/>
          <w:szCs w:val="24"/>
          <w:lang w:eastAsia="en-GB"/>
        </w:rPr>
        <w:t> </w:t>
      </w:r>
      <w:r w:rsidRPr="00A07F29">
        <w:rPr>
          <w:rFonts w:ascii="Times New Roman" w:eastAsia="Times New Roman" w:hAnsi="Times New Roman" w:cs="Times New Roman"/>
          <w:sz w:val="24"/>
          <w:szCs w:val="24"/>
          <w:lang w:eastAsia="en-GB"/>
        </w:rPr>
        <w:t>ha mežu (14,05</w:t>
      </w:r>
      <w:r w:rsidR="002A5DA2" w:rsidRPr="00A07F29">
        <w:rPr>
          <w:rFonts w:ascii="Times New Roman" w:eastAsia="Times New Roman" w:hAnsi="Times New Roman" w:cs="Times New Roman"/>
          <w:sz w:val="24"/>
          <w:szCs w:val="24"/>
          <w:lang w:eastAsia="en-GB"/>
        </w:rPr>
        <w:t> </w:t>
      </w:r>
      <w:r w:rsidRPr="00A07F29">
        <w:rPr>
          <w:rFonts w:ascii="Times New Roman" w:eastAsia="Times New Roman" w:hAnsi="Times New Roman" w:cs="Times New Roman"/>
          <w:sz w:val="24"/>
          <w:szCs w:val="24"/>
          <w:lang w:eastAsia="en-GB"/>
        </w:rPr>
        <w:t xml:space="preserve">%), bet izlases cirte (galvenās cirtes paņēmiens) </w:t>
      </w:r>
      <w:r w:rsidR="00FE01F3" w:rsidRPr="00A07F29">
        <w:rPr>
          <w:rFonts w:ascii="Times New Roman" w:eastAsia="Times New Roman" w:hAnsi="Times New Roman" w:cs="Times New Roman"/>
          <w:sz w:val="24"/>
          <w:szCs w:val="24"/>
          <w:lang w:eastAsia="en-GB"/>
        </w:rPr>
        <w:t xml:space="preserve">– </w:t>
      </w:r>
      <w:r w:rsidRPr="00A07F29">
        <w:rPr>
          <w:rFonts w:ascii="Times New Roman" w:eastAsia="Times New Roman" w:hAnsi="Times New Roman" w:cs="Times New Roman"/>
          <w:sz w:val="24"/>
          <w:szCs w:val="24"/>
          <w:lang w:eastAsia="en-GB"/>
        </w:rPr>
        <w:t>506,72</w:t>
      </w:r>
      <w:r w:rsidR="002A5DA2" w:rsidRPr="00A07F29">
        <w:rPr>
          <w:rFonts w:ascii="Times New Roman" w:eastAsia="Times New Roman" w:hAnsi="Times New Roman" w:cs="Times New Roman"/>
          <w:sz w:val="24"/>
          <w:szCs w:val="24"/>
          <w:lang w:eastAsia="en-GB"/>
        </w:rPr>
        <w:t> </w:t>
      </w:r>
      <w:r w:rsidRPr="00A07F29">
        <w:rPr>
          <w:rFonts w:ascii="Times New Roman" w:eastAsia="Times New Roman" w:hAnsi="Times New Roman" w:cs="Times New Roman"/>
          <w:sz w:val="24"/>
          <w:szCs w:val="24"/>
          <w:lang w:eastAsia="en-GB"/>
        </w:rPr>
        <w:t>ha (</w:t>
      </w:r>
      <w:r w:rsidR="002A5DA2" w:rsidRPr="00A07F29">
        <w:rPr>
          <w:rFonts w:ascii="Times New Roman" w:eastAsia="Times New Roman" w:hAnsi="Times New Roman" w:cs="Times New Roman"/>
          <w:sz w:val="24"/>
          <w:szCs w:val="24"/>
          <w:lang w:eastAsia="en-GB"/>
        </w:rPr>
        <w:t xml:space="preserve">skat. </w:t>
      </w:r>
      <w:r w:rsidRPr="00A07F29">
        <w:rPr>
          <w:rFonts w:ascii="Times New Roman" w:eastAsia="Times New Roman" w:hAnsi="Times New Roman" w:cs="Times New Roman"/>
          <w:sz w:val="24"/>
          <w:szCs w:val="24"/>
          <w:lang w:eastAsia="en-GB"/>
        </w:rPr>
        <w:t>3</w:t>
      </w:r>
      <w:r w:rsidR="00ED6FEF" w:rsidRPr="00A07F29">
        <w:rPr>
          <w:rFonts w:ascii="Times New Roman" w:eastAsia="Times New Roman" w:hAnsi="Times New Roman" w:cs="Times New Roman"/>
          <w:sz w:val="24"/>
          <w:szCs w:val="24"/>
          <w:lang w:eastAsia="en-GB"/>
        </w:rPr>
        <w:t>.</w:t>
      </w:r>
      <w:r w:rsidR="00B05F25" w:rsidRPr="00A07F29">
        <w:rPr>
          <w:rFonts w:ascii="Times New Roman" w:eastAsia="Times New Roman" w:hAnsi="Times New Roman" w:cs="Times New Roman"/>
          <w:sz w:val="24"/>
          <w:szCs w:val="24"/>
          <w:lang w:eastAsia="en-GB"/>
        </w:rPr>
        <w:t>5</w:t>
      </w:r>
      <w:r w:rsidRPr="00A07F29">
        <w:rPr>
          <w:rFonts w:ascii="Times New Roman" w:eastAsia="Times New Roman" w:hAnsi="Times New Roman" w:cs="Times New Roman"/>
          <w:sz w:val="24"/>
          <w:szCs w:val="24"/>
          <w:lang w:eastAsia="en-GB"/>
        </w:rPr>
        <w:t>.</w:t>
      </w:r>
      <w:r w:rsidR="002A5DA2" w:rsidRPr="00A07F29">
        <w:rPr>
          <w:rFonts w:ascii="Times New Roman" w:eastAsia="Times New Roman" w:hAnsi="Times New Roman" w:cs="Times New Roman"/>
          <w:sz w:val="24"/>
          <w:szCs w:val="24"/>
          <w:lang w:eastAsia="en-GB"/>
        </w:rPr>
        <w:t> </w:t>
      </w:r>
      <w:r w:rsidR="00497485" w:rsidRPr="00A07F29">
        <w:rPr>
          <w:rFonts w:ascii="Times New Roman" w:eastAsia="Times New Roman" w:hAnsi="Times New Roman" w:cs="Times New Roman"/>
          <w:sz w:val="24"/>
          <w:szCs w:val="24"/>
          <w:lang w:eastAsia="en-GB"/>
        </w:rPr>
        <w:t>pielikums</w:t>
      </w:r>
      <w:r w:rsidRPr="00A07F29">
        <w:rPr>
          <w:rFonts w:ascii="Times New Roman" w:eastAsia="Times New Roman" w:hAnsi="Times New Roman" w:cs="Times New Roman"/>
          <w:sz w:val="24"/>
          <w:szCs w:val="24"/>
          <w:lang w:eastAsia="en-GB"/>
        </w:rPr>
        <w:t xml:space="preserve">). </w:t>
      </w:r>
      <w:r w:rsidR="00FE01F3" w:rsidRPr="00A07F29">
        <w:rPr>
          <w:rFonts w:ascii="Times New Roman" w:eastAsia="Times New Roman" w:hAnsi="Times New Roman" w:cs="Times New Roman"/>
          <w:sz w:val="24"/>
          <w:szCs w:val="24"/>
          <w:lang w:eastAsia="en-GB"/>
        </w:rPr>
        <w:t>Veiktās mežizstrādes</w:t>
      </w:r>
      <w:r w:rsidRPr="00A07F29">
        <w:rPr>
          <w:rFonts w:ascii="Times New Roman" w:eastAsia="Times New Roman" w:hAnsi="Times New Roman" w:cs="Times New Roman"/>
          <w:sz w:val="24"/>
          <w:szCs w:val="24"/>
          <w:lang w:eastAsia="en-GB"/>
        </w:rPr>
        <w:t xml:space="preserve"> dēļ, kā arī tādēļ, ka mežaudzes daudzās platībās ir dabiski apmežojusies lauksaimniecības zeme vai stādītas un sētas smiltājos, vecu un bioloģiski vērtīgu mežu – </w:t>
      </w:r>
      <w:r w:rsidR="008D7C0D" w:rsidRPr="00A07F29">
        <w:rPr>
          <w:rFonts w:ascii="Times New Roman" w:eastAsia="Times New Roman" w:hAnsi="Times New Roman" w:cs="Times New Roman"/>
          <w:sz w:val="24"/>
          <w:szCs w:val="24"/>
          <w:lang w:eastAsia="en-GB"/>
        </w:rPr>
        <w:t xml:space="preserve">aizsargājamu </w:t>
      </w:r>
      <w:r w:rsidRPr="00A07F29">
        <w:rPr>
          <w:rFonts w:ascii="Times New Roman" w:eastAsia="Times New Roman" w:hAnsi="Times New Roman" w:cs="Times New Roman"/>
          <w:sz w:val="24"/>
          <w:szCs w:val="24"/>
          <w:lang w:eastAsia="en-GB"/>
        </w:rPr>
        <w:t xml:space="preserve">meža biotopu teritorijā ir samērā maz un tie </w:t>
      </w:r>
      <w:r w:rsidR="000717C2" w:rsidRPr="00A07F29">
        <w:rPr>
          <w:rFonts w:ascii="Times New Roman" w:eastAsia="Times New Roman" w:hAnsi="Times New Roman" w:cs="Times New Roman"/>
          <w:sz w:val="24"/>
          <w:szCs w:val="24"/>
          <w:lang w:eastAsia="en-GB"/>
        </w:rPr>
        <w:t xml:space="preserve">ir </w:t>
      </w:r>
      <w:r w:rsidRPr="00A07F29">
        <w:rPr>
          <w:rFonts w:ascii="Times New Roman" w:eastAsia="Times New Roman" w:hAnsi="Times New Roman" w:cs="Times New Roman"/>
          <w:sz w:val="24"/>
          <w:szCs w:val="24"/>
          <w:lang w:eastAsia="en-GB"/>
        </w:rPr>
        <w:t>saudzējami (</w:t>
      </w:r>
      <w:r w:rsidR="007A0769" w:rsidRPr="00A07F29">
        <w:rPr>
          <w:rFonts w:ascii="Times New Roman" w:eastAsia="Times New Roman" w:hAnsi="Times New Roman" w:cs="Times New Roman"/>
          <w:sz w:val="24"/>
          <w:szCs w:val="24"/>
          <w:lang w:eastAsia="en-GB"/>
        </w:rPr>
        <w:t xml:space="preserve">skat. </w:t>
      </w:r>
      <w:r w:rsidR="00ED6FEF" w:rsidRPr="00A07F29">
        <w:rPr>
          <w:rFonts w:ascii="Times New Roman" w:eastAsia="Times New Roman" w:hAnsi="Times New Roman" w:cs="Times New Roman"/>
          <w:sz w:val="24"/>
          <w:szCs w:val="24"/>
          <w:lang w:eastAsia="en-GB"/>
        </w:rPr>
        <w:t>3.</w:t>
      </w:r>
      <w:r w:rsidR="00B05F25" w:rsidRPr="00A07F29">
        <w:rPr>
          <w:rFonts w:ascii="Times New Roman" w:eastAsia="Times New Roman" w:hAnsi="Times New Roman" w:cs="Times New Roman"/>
          <w:sz w:val="24"/>
          <w:szCs w:val="24"/>
          <w:lang w:eastAsia="en-GB"/>
        </w:rPr>
        <w:t>6</w:t>
      </w:r>
      <w:r w:rsidR="00ED6FEF" w:rsidRPr="00A07F29">
        <w:rPr>
          <w:rFonts w:ascii="Times New Roman" w:eastAsia="Times New Roman" w:hAnsi="Times New Roman" w:cs="Times New Roman"/>
          <w:sz w:val="24"/>
          <w:szCs w:val="24"/>
          <w:lang w:eastAsia="en-GB"/>
        </w:rPr>
        <w:t>.</w:t>
      </w:r>
      <w:r w:rsidR="007A0769" w:rsidRPr="00A07F29">
        <w:rPr>
          <w:rFonts w:ascii="Times New Roman" w:eastAsia="Times New Roman" w:hAnsi="Times New Roman" w:cs="Times New Roman"/>
          <w:sz w:val="24"/>
          <w:szCs w:val="24"/>
          <w:lang w:eastAsia="en-GB"/>
        </w:rPr>
        <w:t> </w:t>
      </w:r>
      <w:r w:rsidR="00497485" w:rsidRPr="00A07F29">
        <w:rPr>
          <w:rFonts w:ascii="Times New Roman" w:eastAsia="Times New Roman" w:hAnsi="Times New Roman" w:cs="Times New Roman"/>
          <w:sz w:val="24"/>
          <w:szCs w:val="24"/>
          <w:lang w:eastAsia="en-GB"/>
        </w:rPr>
        <w:t>pielikums</w:t>
      </w:r>
      <w:r w:rsidRPr="00A07F29">
        <w:rPr>
          <w:rFonts w:ascii="Times New Roman" w:eastAsia="Times New Roman" w:hAnsi="Times New Roman" w:cs="Times New Roman"/>
          <w:sz w:val="24"/>
          <w:szCs w:val="24"/>
          <w:lang w:eastAsia="en-GB"/>
        </w:rPr>
        <w:t>).</w:t>
      </w:r>
    </w:p>
    <w:p w14:paraId="5CE89B09" w14:textId="6732AF45" w:rsidR="00F070F4" w:rsidRPr="00A07F29" w:rsidRDefault="009072CE" w:rsidP="00357FCC">
      <w:pPr>
        <w:spacing w:after="120" w:line="240" w:lineRule="auto"/>
        <w:ind w:firstLine="851"/>
        <w:jc w:val="both"/>
        <w:rPr>
          <w:rFonts w:ascii="Times New Roman" w:eastAsia="Calibri" w:hAnsi="Times New Roman" w:cs="Calibri"/>
          <w:sz w:val="24"/>
          <w:szCs w:val="24"/>
          <w:lang w:eastAsia="ja-JP"/>
        </w:rPr>
      </w:pPr>
      <w:r w:rsidRPr="00A07F29">
        <w:rPr>
          <w:rFonts w:ascii="Times New Roman" w:eastAsia="Calibri" w:hAnsi="Times New Roman" w:cs="Calibri"/>
          <w:sz w:val="24"/>
          <w:lang w:eastAsia="ja-JP"/>
        </w:rPr>
        <w:t xml:space="preserve">AAA teritorijā lielus meža masīvus apsaimnieko akciju sabiedrība </w:t>
      </w:r>
      <w:r w:rsidR="0022282A" w:rsidRPr="00A07F29">
        <w:rPr>
          <w:rFonts w:ascii="Times New Roman" w:eastAsia="Calibri" w:hAnsi="Times New Roman" w:cs="Calibri"/>
          <w:sz w:val="24"/>
          <w:lang w:eastAsia="ja-JP"/>
        </w:rPr>
        <w:t>LVM</w:t>
      </w:r>
      <w:r w:rsidRPr="00A07F29">
        <w:rPr>
          <w:rFonts w:ascii="Times New Roman" w:eastAsia="Calibri" w:hAnsi="Times New Roman" w:cs="Calibri"/>
          <w:sz w:val="24"/>
          <w:lang w:eastAsia="ja-JP"/>
        </w:rPr>
        <w:t xml:space="preserve">. </w:t>
      </w:r>
      <w:r w:rsidR="00F070F4" w:rsidRPr="00A07F29">
        <w:rPr>
          <w:rFonts w:ascii="Times New Roman" w:eastAsia="Calibri" w:hAnsi="Times New Roman" w:cs="Calibri"/>
          <w:sz w:val="24"/>
          <w:szCs w:val="24"/>
          <w:lang w:eastAsia="ja-JP"/>
        </w:rPr>
        <w:t>Saskaņā ar LVM Meža apsaimniekošanas plānu ĪADT apsaimniekošana valsts mežos tiek plānota saskaņā ar vides aizsardzību regulējošiem LR normatīvajiem aktiem. ĪADT tiek plānoti gan biotehniskie pasākumi, gan mežsaimnieciskā darbība ar papildus dabas aizsardzības nosacījumiem atbilstoši katras ĪADT individuālajiem aizsardzības un izmantošanas noteikumiem vai vispārējiem ĪADT aizsardzības un izmantošanas noteikumiem.</w:t>
      </w:r>
      <w:r w:rsidR="00F070F4" w:rsidRPr="00A07F29">
        <w:t xml:space="preserve"> </w:t>
      </w:r>
      <w:r w:rsidR="00F070F4" w:rsidRPr="00A07F29">
        <w:rPr>
          <w:rFonts w:ascii="Times New Roman" w:eastAsia="Calibri" w:hAnsi="Times New Roman" w:cs="Calibri"/>
          <w:sz w:val="24"/>
          <w:szCs w:val="24"/>
          <w:lang w:eastAsia="ja-JP"/>
        </w:rPr>
        <w:t xml:space="preserve">Lai nodrošinātu LVM meža apsaimniekošanas mērķus un atbalstītu koksnes ieguves, meža atjaunošanas un kopšanas, dabas daudzveidības saglabāšanas, kā arī citu darbību plānošanu, katram meža zemes, purva un lauksaimniecībā izmantojamās zemes nogabalam tiek noteikts nogabala apsaimniekošanas mērķis. DP “Daugavas loki” teritorijā valsts mežiem pārsvarā norādīts mērķis </w:t>
      </w:r>
      <w:r w:rsidR="00B03142" w:rsidRPr="00A07F29">
        <w:rPr>
          <w:rFonts w:ascii="Times New Roman" w:eastAsia="Calibri" w:hAnsi="Times New Roman" w:cs="Calibri"/>
          <w:sz w:val="24"/>
          <w:szCs w:val="24"/>
          <w:lang w:eastAsia="ja-JP"/>
        </w:rPr>
        <w:t>“</w:t>
      </w:r>
      <w:r w:rsidR="00F070F4" w:rsidRPr="00A07F29">
        <w:rPr>
          <w:rFonts w:ascii="Times New Roman" w:eastAsia="Calibri" w:hAnsi="Times New Roman" w:cs="Calibri"/>
          <w:sz w:val="24"/>
          <w:szCs w:val="24"/>
          <w:lang w:eastAsia="ja-JP"/>
        </w:rPr>
        <w:t>Dabas aizsardzībai ar nebūtisku koksnes ieguv</w:t>
      </w:r>
      <w:r w:rsidR="00B03142" w:rsidRPr="00A07F29">
        <w:rPr>
          <w:rFonts w:ascii="Times New Roman" w:eastAsia="Calibri" w:hAnsi="Times New Roman" w:cs="Calibri"/>
          <w:sz w:val="24"/>
          <w:szCs w:val="24"/>
          <w:lang w:eastAsia="ja-JP"/>
        </w:rPr>
        <w:t xml:space="preserve">i” </w:t>
      </w:r>
      <w:r w:rsidR="00F070F4" w:rsidRPr="00A07F29">
        <w:rPr>
          <w:rFonts w:ascii="Times New Roman" w:eastAsia="Calibri" w:hAnsi="Times New Roman" w:cs="Calibri"/>
          <w:sz w:val="24"/>
          <w:szCs w:val="24"/>
          <w:lang w:eastAsia="ja-JP"/>
        </w:rPr>
        <w:t xml:space="preserve">– </w:t>
      </w:r>
      <w:r w:rsidR="00B03142" w:rsidRPr="00A07F29">
        <w:rPr>
          <w:rFonts w:ascii="Times New Roman" w:eastAsia="Calibri" w:hAnsi="Times New Roman" w:cs="Calibri"/>
          <w:sz w:val="24"/>
          <w:szCs w:val="24"/>
          <w:lang w:eastAsia="ja-JP"/>
        </w:rPr>
        <w:t>b</w:t>
      </w:r>
      <w:r w:rsidR="00F070F4" w:rsidRPr="00A07F29">
        <w:rPr>
          <w:rFonts w:ascii="Times New Roman" w:eastAsia="Calibri" w:hAnsi="Times New Roman" w:cs="Calibri"/>
          <w:sz w:val="24"/>
          <w:szCs w:val="24"/>
          <w:lang w:eastAsia="ja-JP"/>
        </w:rPr>
        <w:t>ioloģiskās daudzveidības saglabāšana ar nebūtisku koksnes vai citu produktu ieguvi</w:t>
      </w:r>
      <w:r w:rsidR="008D7C0D" w:rsidRPr="00A07F29">
        <w:rPr>
          <w:rFonts w:ascii="Times New Roman" w:eastAsia="Calibri" w:hAnsi="Times New Roman" w:cs="Calibri"/>
          <w:sz w:val="24"/>
          <w:szCs w:val="24"/>
          <w:lang w:eastAsia="ja-JP"/>
        </w:rPr>
        <w:t>, lai gan šajā teritorijā ir atļauta galvenā izlases cirte</w:t>
      </w:r>
      <w:r w:rsidR="00F070F4" w:rsidRPr="00A07F29">
        <w:rPr>
          <w:rFonts w:ascii="Times New Roman" w:eastAsia="Calibri" w:hAnsi="Times New Roman" w:cs="Calibri"/>
          <w:sz w:val="24"/>
          <w:szCs w:val="24"/>
          <w:lang w:eastAsia="ja-JP"/>
        </w:rPr>
        <w:t xml:space="preserve">. </w:t>
      </w:r>
      <w:r w:rsidR="00B03142" w:rsidRPr="00A07F29">
        <w:rPr>
          <w:rFonts w:ascii="Times New Roman" w:eastAsia="Calibri" w:hAnsi="Times New Roman" w:cs="Calibri"/>
          <w:sz w:val="24"/>
          <w:szCs w:val="24"/>
          <w:lang w:eastAsia="ja-JP"/>
        </w:rPr>
        <w:t>Pārējā AAA “Augšdaugava” teritorijā valsts mežiem pārsvarā norādīts mērķis “</w:t>
      </w:r>
      <w:r w:rsidR="00F070F4" w:rsidRPr="00A07F29">
        <w:rPr>
          <w:rFonts w:ascii="Times New Roman" w:eastAsia="Calibri" w:hAnsi="Times New Roman" w:cs="Calibri"/>
          <w:sz w:val="24"/>
          <w:szCs w:val="24"/>
          <w:lang w:eastAsia="ja-JP"/>
        </w:rPr>
        <w:t>Koksnes ražošana ar papildus nosacījumiem vides aizsardzībai un rekreācijai</w:t>
      </w:r>
      <w:r w:rsidR="00B03142" w:rsidRPr="00A07F29">
        <w:rPr>
          <w:rFonts w:ascii="Times New Roman" w:eastAsia="Calibri" w:hAnsi="Times New Roman" w:cs="Calibri"/>
          <w:sz w:val="24"/>
          <w:szCs w:val="24"/>
          <w:lang w:eastAsia="ja-JP"/>
        </w:rPr>
        <w:t xml:space="preserve">” </w:t>
      </w:r>
      <w:r w:rsidR="00F070F4" w:rsidRPr="00A07F29">
        <w:rPr>
          <w:rFonts w:ascii="Times New Roman" w:eastAsia="Calibri" w:hAnsi="Times New Roman" w:cs="Calibri"/>
          <w:sz w:val="24"/>
          <w:szCs w:val="24"/>
          <w:lang w:eastAsia="ja-JP"/>
        </w:rPr>
        <w:t xml:space="preserve">– </w:t>
      </w:r>
      <w:r w:rsidR="00B03142" w:rsidRPr="00A07F29">
        <w:rPr>
          <w:rFonts w:ascii="Times New Roman" w:eastAsia="Calibri" w:hAnsi="Times New Roman" w:cs="Calibri"/>
          <w:sz w:val="24"/>
          <w:szCs w:val="24"/>
          <w:lang w:eastAsia="ja-JP"/>
        </w:rPr>
        <w:t>k</w:t>
      </w:r>
      <w:r w:rsidR="00F070F4" w:rsidRPr="00A07F29">
        <w:rPr>
          <w:rFonts w:ascii="Times New Roman" w:eastAsia="Calibri" w:hAnsi="Times New Roman" w:cs="Calibri"/>
          <w:sz w:val="24"/>
          <w:szCs w:val="24"/>
          <w:lang w:eastAsia="ja-JP"/>
        </w:rPr>
        <w:t>oksnes audzēšanai vai citu produktu ražošanai ar papildus nosacījumiem vides aizsardzībai un rekreācijai</w:t>
      </w:r>
      <w:r w:rsidR="00B03142" w:rsidRPr="00A07F29">
        <w:rPr>
          <w:rFonts w:ascii="Times New Roman" w:eastAsia="Calibri" w:hAnsi="Times New Roman" w:cs="Calibri"/>
          <w:sz w:val="24"/>
          <w:szCs w:val="24"/>
          <w:lang w:eastAsia="ja-JP"/>
        </w:rPr>
        <w:t>. AAA “Augšdaugava” teritorijā</w:t>
      </w:r>
      <w:r w:rsidR="008D7C0D" w:rsidRPr="00A07F29">
        <w:rPr>
          <w:rFonts w:ascii="Times New Roman" w:eastAsia="Calibri" w:hAnsi="Times New Roman" w:cs="Calibri"/>
          <w:sz w:val="24"/>
          <w:szCs w:val="24"/>
          <w:lang w:eastAsia="ja-JP"/>
        </w:rPr>
        <w:t xml:space="preserve"> konstatētajos ES nozīmes meža biot</w:t>
      </w:r>
      <w:r w:rsidR="007B199E" w:rsidRPr="00A07F29">
        <w:rPr>
          <w:rFonts w:ascii="Times New Roman" w:eastAsia="Calibri" w:hAnsi="Times New Roman" w:cs="Calibri"/>
          <w:sz w:val="24"/>
          <w:szCs w:val="24"/>
          <w:lang w:eastAsia="ja-JP"/>
        </w:rPr>
        <w:t>o</w:t>
      </w:r>
      <w:r w:rsidR="008D7C0D" w:rsidRPr="00A07F29">
        <w:rPr>
          <w:rFonts w:ascii="Times New Roman" w:eastAsia="Calibri" w:hAnsi="Times New Roman" w:cs="Calibri"/>
          <w:sz w:val="24"/>
          <w:szCs w:val="24"/>
          <w:lang w:eastAsia="ja-JP"/>
        </w:rPr>
        <w:t xml:space="preserve">pos norādītais meža apsaimniekošanas mērķis ir </w:t>
      </w:r>
      <w:r w:rsidR="00B03142" w:rsidRPr="00A07F29">
        <w:rPr>
          <w:rFonts w:ascii="Times New Roman" w:eastAsia="Calibri" w:hAnsi="Times New Roman" w:cs="Calibri"/>
          <w:sz w:val="24"/>
          <w:szCs w:val="24"/>
          <w:lang w:eastAsia="ja-JP"/>
        </w:rPr>
        <w:t>“Dabas aizsardzība” – bioloģiskās daudzveidības saglabāšana, neiejaucoties vai veicot biotehniskos pasākumus. Darbības plāno vides eksperts vai vides plānošanas speciālists, sagatavojot eksperta atzinumu vai atbilstošus norādījumus.</w:t>
      </w:r>
    </w:p>
    <w:p w14:paraId="1F35A41C" w14:textId="5706BC2E" w:rsidR="006441E9" w:rsidRPr="00A07F29" w:rsidRDefault="009072CE" w:rsidP="00EB6CE1">
      <w:pPr>
        <w:spacing w:after="120" w:line="240" w:lineRule="auto"/>
        <w:ind w:firstLine="851"/>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lastRenderedPageBreak/>
        <w:t>Vidējā katra privāto meža īpašuma platība ir neliela, tādējādi apsaimniekošana un pārvaldība ir sadrumstalota.</w:t>
      </w:r>
      <w:r w:rsidR="00EB6CE1" w:rsidRPr="00A07F29">
        <w:rPr>
          <w:rFonts w:ascii="Times New Roman" w:eastAsia="Calibri" w:hAnsi="Times New Roman" w:cs="Calibri"/>
          <w:sz w:val="24"/>
          <w:lang w:eastAsia="ja-JP"/>
        </w:rPr>
        <w:t xml:space="preserve"> Taču ir arī atsevišķi lieli privāto mežu īpašnieki, piemēram SODRA grupai AAA “Augšdaugava” pieder 2528</w:t>
      </w:r>
      <w:r w:rsidR="000560AA" w:rsidRPr="00A07F29">
        <w:rPr>
          <w:rFonts w:ascii="Times New Roman" w:eastAsia="Calibri" w:hAnsi="Times New Roman" w:cs="Calibri"/>
          <w:sz w:val="24"/>
          <w:lang w:eastAsia="ja-JP"/>
        </w:rPr>
        <w:t>,</w:t>
      </w:r>
      <w:r w:rsidR="00EB6CE1" w:rsidRPr="00A07F29">
        <w:rPr>
          <w:rFonts w:ascii="Times New Roman" w:eastAsia="Calibri" w:hAnsi="Times New Roman" w:cs="Calibri"/>
          <w:sz w:val="24"/>
          <w:lang w:eastAsia="ja-JP"/>
        </w:rPr>
        <w:t>9</w:t>
      </w:r>
      <w:r w:rsidR="0063443D" w:rsidRPr="00A07F29">
        <w:rPr>
          <w:rFonts w:ascii="Times New Roman" w:eastAsia="Calibri" w:hAnsi="Times New Roman" w:cs="Calibri"/>
          <w:sz w:val="24"/>
          <w:lang w:eastAsia="ja-JP"/>
        </w:rPr>
        <w:t> </w:t>
      </w:r>
      <w:r w:rsidR="00EB6CE1" w:rsidRPr="00A07F29">
        <w:rPr>
          <w:rFonts w:ascii="Times New Roman" w:eastAsia="Calibri" w:hAnsi="Times New Roman" w:cs="Calibri"/>
          <w:sz w:val="24"/>
          <w:lang w:eastAsia="ja-JP"/>
        </w:rPr>
        <w:t>ha</w:t>
      </w:r>
      <w:r w:rsidR="000560AA" w:rsidRPr="00A07F29">
        <w:rPr>
          <w:rFonts w:ascii="Times New Roman" w:eastAsia="Calibri" w:hAnsi="Times New Roman" w:cs="Calibri"/>
          <w:sz w:val="24"/>
          <w:lang w:eastAsia="ja-JP"/>
        </w:rPr>
        <w:t xml:space="preserve"> zemes, IRI </w:t>
      </w:r>
      <w:proofErr w:type="spellStart"/>
      <w:r w:rsidR="000560AA" w:rsidRPr="00A07F29">
        <w:rPr>
          <w:rFonts w:ascii="Times New Roman" w:eastAsia="Calibri" w:hAnsi="Times New Roman" w:cs="Calibri"/>
          <w:sz w:val="24"/>
          <w:lang w:eastAsia="ja-JP"/>
        </w:rPr>
        <w:t>Asset</w:t>
      </w:r>
      <w:proofErr w:type="spellEnd"/>
      <w:r w:rsidR="000560AA" w:rsidRPr="00A07F29">
        <w:rPr>
          <w:rFonts w:ascii="Times New Roman" w:eastAsia="Calibri" w:hAnsi="Times New Roman" w:cs="Calibri"/>
          <w:sz w:val="24"/>
          <w:lang w:eastAsia="ja-JP"/>
        </w:rPr>
        <w:t xml:space="preserve"> </w:t>
      </w:r>
      <w:proofErr w:type="spellStart"/>
      <w:r w:rsidR="000560AA" w:rsidRPr="00A07F29">
        <w:rPr>
          <w:rFonts w:ascii="Times New Roman" w:eastAsia="Calibri" w:hAnsi="Times New Roman" w:cs="Calibri"/>
          <w:sz w:val="24"/>
          <w:lang w:eastAsia="ja-JP"/>
        </w:rPr>
        <w:t>Management</w:t>
      </w:r>
      <w:proofErr w:type="spellEnd"/>
      <w:r w:rsidR="000560AA" w:rsidRPr="00A07F29">
        <w:rPr>
          <w:rFonts w:ascii="Times New Roman" w:eastAsia="Calibri" w:hAnsi="Times New Roman" w:cs="Calibri"/>
          <w:sz w:val="24"/>
          <w:lang w:eastAsia="ja-JP"/>
        </w:rPr>
        <w:t xml:space="preserve"> – 533,2</w:t>
      </w:r>
      <w:r w:rsidR="009060B4" w:rsidRPr="00A07F29">
        <w:rPr>
          <w:rFonts w:ascii="Times New Roman" w:eastAsia="Calibri" w:hAnsi="Times New Roman" w:cs="Calibri"/>
          <w:sz w:val="24"/>
          <w:lang w:eastAsia="ja-JP"/>
        </w:rPr>
        <w:t> </w:t>
      </w:r>
      <w:r w:rsidR="000560AA" w:rsidRPr="00A07F29">
        <w:rPr>
          <w:rFonts w:ascii="Times New Roman" w:eastAsia="Calibri" w:hAnsi="Times New Roman" w:cs="Calibri"/>
          <w:sz w:val="24"/>
          <w:lang w:eastAsia="ja-JP"/>
        </w:rPr>
        <w:t>ha, MPKS Mežsaimnieks – 235</w:t>
      </w:r>
      <w:r w:rsidR="009060B4" w:rsidRPr="00A07F29">
        <w:rPr>
          <w:rFonts w:ascii="Times New Roman" w:eastAsia="Calibri" w:hAnsi="Times New Roman" w:cs="Calibri"/>
          <w:sz w:val="24"/>
          <w:lang w:eastAsia="ja-JP"/>
        </w:rPr>
        <w:t> </w:t>
      </w:r>
      <w:r w:rsidR="000560AA" w:rsidRPr="00A07F29">
        <w:rPr>
          <w:rFonts w:ascii="Times New Roman" w:eastAsia="Calibri" w:hAnsi="Times New Roman" w:cs="Calibri"/>
          <w:sz w:val="24"/>
          <w:lang w:eastAsia="ja-JP"/>
        </w:rPr>
        <w:t xml:space="preserve">ha, </w:t>
      </w:r>
      <w:proofErr w:type="spellStart"/>
      <w:r w:rsidR="000560AA" w:rsidRPr="00A07F29">
        <w:rPr>
          <w:rFonts w:ascii="Times New Roman" w:eastAsia="Calibri" w:hAnsi="Times New Roman" w:cs="Calibri"/>
          <w:sz w:val="24"/>
          <w:lang w:eastAsia="ja-JP"/>
        </w:rPr>
        <w:t>Susab</w:t>
      </w:r>
      <w:proofErr w:type="spellEnd"/>
      <w:r w:rsidR="000560AA" w:rsidRPr="00A07F29">
        <w:rPr>
          <w:rFonts w:ascii="Times New Roman" w:eastAsia="Calibri" w:hAnsi="Times New Roman" w:cs="Calibri"/>
          <w:sz w:val="24"/>
          <w:lang w:eastAsia="ja-JP"/>
        </w:rPr>
        <w:t xml:space="preserve">, </w:t>
      </w:r>
      <w:proofErr w:type="spellStart"/>
      <w:r w:rsidR="000560AA" w:rsidRPr="00A07F29">
        <w:rPr>
          <w:rFonts w:ascii="Times New Roman" w:eastAsia="Calibri" w:hAnsi="Times New Roman" w:cs="Calibri"/>
          <w:sz w:val="24"/>
          <w:lang w:eastAsia="ja-JP"/>
        </w:rPr>
        <w:t>Skogsutveckling</w:t>
      </w:r>
      <w:proofErr w:type="spellEnd"/>
      <w:r w:rsidR="000560AA" w:rsidRPr="00A07F29">
        <w:rPr>
          <w:rFonts w:ascii="Times New Roman" w:eastAsia="Calibri" w:hAnsi="Times New Roman" w:cs="Calibri"/>
          <w:sz w:val="24"/>
          <w:lang w:eastAsia="ja-JP"/>
        </w:rPr>
        <w:t xml:space="preserve"> </w:t>
      </w:r>
      <w:proofErr w:type="spellStart"/>
      <w:r w:rsidR="000560AA" w:rsidRPr="00A07F29">
        <w:rPr>
          <w:rFonts w:ascii="Times New Roman" w:eastAsia="Calibri" w:hAnsi="Times New Roman" w:cs="Calibri"/>
          <w:sz w:val="24"/>
          <w:lang w:eastAsia="ja-JP"/>
        </w:rPr>
        <w:t>Syd</w:t>
      </w:r>
      <w:proofErr w:type="spellEnd"/>
      <w:r w:rsidR="000560AA" w:rsidRPr="00A07F29">
        <w:rPr>
          <w:rFonts w:ascii="Times New Roman" w:eastAsia="Calibri" w:hAnsi="Times New Roman" w:cs="Calibri"/>
          <w:sz w:val="24"/>
          <w:lang w:eastAsia="ja-JP"/>
        </w:rPr>
        <w:t xml:space="preserve"> AB, Latvijas Filiāle (SUSAB) – 146,9</w:t>
      </w:r>
      <w:r w:rsidR="009060B4" w:rsidRPr="00A07F29">
        <w:rPr>
          <w:rFonts w:ascii="Times New Roman" w:eastAsia="Calibri" w:hAnsi="Times New Roman" w:cs="Calibri"/>
          <w:sz w:val="24"/>
          <w:lang w:eastAsia="ja-JP"/>
        </w:rPr>
        <w:t> </w:t>
      </w:r>
      <w:r w:rsidR="000560AA" w:rsidRPr="00A07F29">
        <w:rPr>
          <w:rFonts w:ascii="Times New Roman" w:eastAsia="Calibri" w:hAnsi="Times New Roman" w:cs="Calibri"/>
          <w:sz w:val="24"/>
          <w:lang w:eastAsia="ja-JP"/>
        </w:rPr>
        <w:t>ha zemes</w:t>
      </w:r>
      <w:r w:rsidR="004459BC" w:rsidRPr="00A07F29">
        <w:rPr>
          <w:rFonts w:ascii="Times New Roman" w:eastAsia="Calibri" w:hAnsi="Times New Roman" w:cs="Calibri"/>
          <w:sz w:val="24"/>
          <w:lang w:eastAsia="ja-JP"/>
        </w:rPr>
        <w:t xml:space="preserve"> (informācija pēc 2021.</w:t>
      </w:r>
      <w:r w:rsidR="009060B4" w:rsidRPr="00A07F29">
        <w:rPr>
          <w:rFonts w:ascii="Times New Roman" w:eastAsia="Calibri" w:hAnsi="Times New Roman" w:cs="Calibri"/>
          <w:sz w:val="24"/>
          <w:lang w:eastAsia="ja-JP"/>
        </w:rPr>
        <w:t> </w:t>
      </w:r>
      <w:r w:rsidR="004459BC" w:rsidRPr="00A07F29">
        <w:rPr>
          <w:rFonts w:ascii="Times New Roman" w:eastAsia="Calibri" w:hAnsi="Times New Roman" w:cs="Calibri"/>
          <w:sz w:val="24"/>
          <w:lang w:eastAsia="ja-JP"/>
        </w:rPr>
        <w:t xml:space="preserve">gada </w:t>
      </w:r>
      <w:r w:rsidR="004133C2">
        <w:rPr>
          <w:rFonts w:ascii="Times New Roman" w:eastAsia="Calibri" w:hAnsi="Times New Roman" w:cs="Calibri"/>
          <w:sz w:val="24"/>
          <w:lang w:eastAsia="ja-JP"/>
        </w:rPr>
        <w:t xml:space="preserve">VMD un kadastra informācijas sistēmas </w:t>
      </w:r>
      <w:r w:rsidR="004459BC" w:rsidRPr="00A07F29">
        <w:rPr>
          <w:rFonts w:ascii="Times New Roman" w:eastAsia="Calibri" w:hAnsi="Times New Roman" w:cs="Calibri"/>
          <w:sz w:val="24"/>
          <w:lang w:eastAsia="ja-JP"/>
        </w:rPr>
        <w:t>datiem)</w:t>
      </w:r>
      <w:r w:rsidR="000560AA" w:rsidRPr="00A07F29">
        <w:rPr>
          <w:rFonts w:ascii="Times New Roman" w:eastAsia="Calibri" w:hAnsi="Times New Roman" w:cs="Calibri"/>
          <w:sz w:val="24"/>
          <w:lang w:eastAsia="ja-JP"/>
        </w:rPr>
        <w:t>.</w:t>
      </w:r>
    </w:p>
    <w:p w14:paraId="626A39BC" w14:textId="77777777" w:rsidR="006441E9" w:rsidRPr="00A07F29" w:rsidRDefault="006441E9" w:rsidP="006441E9">
      <w:pPr>
        <w:spacing w:after="0" w:line="240" w:lineRule="auto"/>
        <w:ind w:firstLine="851"/>
        <w:jc w:val="both"/>
        <w:rPr>
          <w:rFonts w:ascii="Times New Roman" w:eastAsia="Calibri" w:hAnsi="Times New Roman" w:cs="Calibri"/>
          <w:sz w:val="24"/>
          <w:lang w:eastAsia="ja-JP"/>
        </w:rPr>
      </w:pPr>
    </w:p>
    <w:p w14:paraId="097C46FA" w14:textId="5A3ED45B" w:rsidR="009072CE" w:rsidRPr="00A07F29" w:rsidRDefault="009072CE" w:rsidP="006441E9">
      <w:pPr>
        <w:pStyle w:val="Heading2"/>
        <w:spacing w:before="120" w:after="120"/>
        <w:ind w:firstLine="0"/>
        <w:jc w:val="center"/>
        <w:rPr>
          <w:rFonts w:ascii="Times New Roman" w:hAnsi="Times New Roman"/>
          <w:b w:val="0"/>
          <w:iCs w:val="0"/>
        </w:rPr>
      </w:pPr>
      <w:bookmarkStart w:id="31" w:name="_Toc183433988"/>
      <w:r w:rsidRPr="00A07F29">
        <w:rPr>
          <w:rFonts w:ascii="Times New Roman" w:hAnsi="Times New Roman"/>
          <w:i w:val="0"/>
        </w:rPr>
        <w:t>3.4. Tūrisms</w:t>
      </w:r>
      <w:bookmarkEnd w:id="31"/>
    </w:p>
    <w:p w14:paraId="7FBB8975" w14:textId="630C3FDC" w:rsidR="009072CE" w:rsidRPr="00A07F29" w:rsidRDefault="00BF0E06" w:rsidP="00EF3715">
      <w:pPr>
        <w:spacing w:after="120" w:line="240" w:lineRule="auto"/>
        <w:ind w:firstLine="720"/>
        <w:jc w:val="both"/>
        <w:rPr>
          <w:rFonts w:ascii="Times New Roman" w:eastAsia="Calibri" w:hAnsi="Times New Roman" w:cs="Times New Roman"/>
          <w:sz w:val="24"/>
          <w:szCs w:val="24"/>
        </w:rPr>
      </w:pPr>
      <w:r w:rsidRPr="00A07F29">
        <w:rPr>
          <w:rFonts w:ascii="Times New Roman" w:eastAsia="Calibri" w:hAnsi="Times New Roman" w:cs="Calibri"/>
          <w:sz w:val="24"/>
          <w:szCs w:val="24"/>
        </w:rPr>
        <w:t>AAA</w:t>
      </w:r>
      <w:r w:rsidR="009072CE" w:rsidRPr="00A07F29">
        <w:rPr>
          <w:rFonts w:ascii="Times New Roman" w:eastAsia="Calibri" w:hAnsi="Times New Roman" w:cs="Calibri"/>
          <w:sz w:val="24"/>
          <w:szCs w:val="24"/>
        </w:rPr>
        <w:t xml:space="preserve"> “Augšdaugava” esošās dabas vērtības un kultūrvēstures mantojums, t.sk. Daugavas upe un tās ieleja, kas veido </w:t>
      </w:r>
      <w:r w:rsidR="0022282A" w:rsidRPr="00A07F29">
        <w:rPr>
          <w:rFonts w:ascii="Times New Roman" w:eastAsia="Calibri" w:hAnsi="Times New Roman" w:cs="Calibri"/>
          <w:sz w:val="24"/>
          <w:szCs w:val="24"/>
        </w:rPr>
        <w:t xml:space="preserve">AAA </w:t>
      </w:r>
      <w:r w:rsidR="009072CE" w:rsidRPr="00A07F29">
        <w:rPr>
          <w:rFonts w:ascii="Times New Roman" w:eastAsia="Calibri" w:hAnsi="Times New Roman" w:cs="Calibri"/>
          <w:sz w:val="24"/>
          <w:szCs w:val="24"/>
        </w:rPr>
        <w:t xml:space="preserve">“Augšdaugava” raksturīgo, unikālo ainavu, ir svarīgākie tūrisma resursi AAA “Augšdaugava” teritorijā. </w:t>
      </w:r>
      <w:r w:rsidR="00B03142" w:rsidRPr="00A07F29">
        <w:rPr>
          <w:rFonts w:ascii="Times New Roman" w:eastAsia="Calibri" w:hAnsi="Times New Roman" w:cs="Calibri"/>
          <w:sz w:val="24"/>
          <w:szCs w:val="24"/>
        </w:rPr>
        <w:t>Līdz ar to š</w:t>
      </w:r>
      <w:r w:rsidR="0022282A" w:rsidRPr="00A07F29">
        <w:rPr>
          <w:rFonts w:ascii="Times New Roman" w:eastAsia="Calibri" w:hAnsi="Times New Roman" w:cs="Calibri"/>
          <w:sz w:val="24"/>
          <w:szCs w:val="24"/>
        </w:rPr>
        <w:t>i</w:t>
      </w:r>
      <w:r w:rsidR="00B03142" w:rsidRPr="00A07F29">
        <w:rPr>
          <w:rFonts w:ascii="Times New Roman" w:eastAsia="Calibri" w:hAnsi="Times New Roman" w:cs="Calibri"/>
          <w:sz w:val="24"/>
          <w:szCs w:val="24"/>
        </w:rPr>
        <w:t xml:space="preserve">e resursi izmantojami </w:t>
      </w:r>
      <w:r w:rsidR="0022282A" w:rsidRPr="00A07F29">
        <w:rPr>
          <w:rFonts w:ascii="Times New Roman" w:eastAsia="Calibri" w:hAnsi="Times New Roman" w:cs="Calibri"/>
          <w:sz w:val="24"/>
          <w:szCs w:val="24"/>
        </w:rPr>
        <w:t>dabas tūrisma piedāvājumā, ne tikai nodrošinot AAA “Augšdaugava” apmeklētājiem tūrisma pakalpojumus un apskates objektus, bet arī informējot un izglītojot par dabas vērtībām.</w:t>
      </w:r>
      <w:r w:rsidR="00D65BBA" w:rsidRPr="00A07F29">
        <w:rPr>
          <w:rFonts w:ascii="Times New Roman" w:eastAsia="Calibri" w:hAnsi="Times New Roman" w:cs="Calibri"/>
          <w:sz w:val="24"/>
          <w:szCs w:val="24"/>
        </w:rPr>
        <w:t xml:space="preserve"> </w:t>
      </w:r>
      <w:r w:rsidR="009072CE" w:rsidRPr="00A07F29">
        <w:rPr>
          <w:rFonts w:ascii="Times New Roman" w:eastAsia="Calibri" w:hAnsi="Times New Roman" w:cs="Calibri"/>
          <w:sz w:val="24"/>
          <w:szCs w:val="24"/>
        </w:rPr>
        <w:t xml:space="preserve">Latvijas mērogā </w:t>
      </w:r>
      <w:proofErr w:type="spellStart"/>
      <w:r w:rsidR="00062A64" w:rsidRPr="00A07F29">
        <w:rPr>
          <w:rFonts w:ascii="Times New Roman" w:eastAsia="Calibri" w:hAnsi="Times New Roman" w:cs="Calibri"/>
          <w:sz w:val="24"/>
          <w:szCs w:val="24"/>
        </w:rPr>
        <w:t>AAA</w:t>
      </w:r>
      <w:r w:rsidR="009072CE" w:rsidRPr="00A07F29">
        <w:rPr>
          <w:rFonts w:ascii="Times New Roman" w:eastAsia="Calibri" w:hAnsi="Times New Roman" w:cs="Calibri"/>
          <w:sz w:val="24"/>
          <w:szCs w:val="24"/>
        </w:rPr>
        <w:t>“Augšdaugava</w:t>
      </w:r>
      <w:proofErr w:type="spellEnd"/>
      <w:r w:rsidR="009072CE" w:rsidRPr="00A07F29">
        <w:rPr>
          <w:rFonts w:ascii="Times New Roman" w:eastAsia="Calibri" w:hAnsi="Times New Roman" w:cs="Calibri"/>
          <w:sz w:val="24"/>
          <w:szCs w:val="24"/>
        </w:rPr>
        <w:t xml:space="preserve">” kā tūrisma galamērķim piemīt savas īpašās raksturiezīmes, un jau šobrīd </w:t>
      </w:r>
      <w:proofErr w:type="spellStart"/>
      <w:r w:rsidR="00A814A6" w:rsidRPr="00A07F29">
        <w:rPr>
          <w:rFonts w:ascii="Times New Roman" w:eastAsia="Calibri" w:hAnsi="Times New Roman" w:cs="Calibri"/>
          <w:sz w:val="24"/>
          <w:szCs w:val="24"/>
        </w:rPr>
        <w:t>AAA</w:t>
      </w:r>
      <w:r w:rsidR="009072CE" w:rsidRPr="00A07F29">
        <w:rPr>
          <w:rFonts w:ascii="Times New Roman" w:eastAsia="Calibri" w:hAnsi="Times New Roman" w:cs="Calibri"/>
          <w:sz w:val="24"/>
          <w:szCs w:val="24"/>
        </w:rPr>
        <w:t>“Augšdaugav</w:t>
      </w:r>
      <w:r w:rsidR="00A814A6" w:rsidRPr="00A07F29">
        <w:rPr>
          <w:rFonts w:ascii="Times New Roman" w:eastAsia="Calibri" w:hAnsi="Times New Roman" w:cs="Calibri"/>
          <w:sz w:val="24"/>
          <w:szCs w:val="24"/>
        </w:rPr>
        <w:t>a</w:t>
      </w:r>
      <w:proofErr w:type="spellEnd"/>
      <w:r w:rsidR="009072CE" w:rsidRPr="00A07F29">
        <w:rPr>
          <w:rFonts w:ascii="Times New Roman" w:eastAsia="Calibri" w:hAnsi="Times New Roman" w:cs="Calibri"/>
          <w:sz w:val="24"/>
          <w:szCs w:val="24"/>
        </w:rPr>
        <w:t xml:space="preserve">” ir plašs tūrisma un atpūtas iespēju klāsts, kas galvenokārt balstās uz teritorijā esošajiem dabas, ģeoloģiskajiem un kultūrvēstures elementiem. Ir sagatavots </w:t>
      </w:r>
      <w:r w:rsidR="00A814A6" w:rsidRPr="00A07F29">
        <w:rPr>
          <w:rFonts w:ascii="Times New Roman" w:eastAsia="Calibri" w:hAnsi="Times New Roman" w:cs="Calibri"/>
          <w:sz w:val="24"/>
          <w:szCs w:val="24"/>
        </w:rPr>
        <w:t>“</w:t>
      </w:r>
      <w:r w:rsidRPr="00A07F29">
        <w:rPr>
          <w:rFonts w:ascii="Times New Roman" w:eastAsia="Calibri" w:hAnsi="Times New Roman" w:cs="Calibri"/>
          <w:sz w:val="24"/>
          <w:szCs w:val="24"/>
        </w:rPr>
        <w:t>D</w:t>
      </w:r>
      <w:r w:rsidR="0022282A" w:rsidRPr="00A07F29">
        <w:rPr>
          <w:rFonts w:ascii="Times New Roman" w:eastAsia="Calibri" w:hAnsi="Times New Roman" w:cs="Calibri"/>
          <w:sz w:val="24"/>
          <w:szCs w:val="24"/>
        </w:rPr>
        <w:t>abas parka</w:t>
      </w:r>
      <w:r w:rsidR="009072CE" w:rsidRPr="00A07F29">
        <w:rPr>
          <w:rFonts w:ascii="Times New Roman" w:eastAsia="Calibri" w:hAnsi="Times New Roman" w:cs="Calibri"/>
          <w:sz w:val="24"/>
          <w:szCs w:val="24"/>
        </w:rPr>
        <w:t xml:space="preserve"> </w:t>
      </w:r>
      <w:r w:rsidR="00A814A6" w:rsidRPr="00A07F29">
        <w:rPr>
          <w:rFonts w:ascii="Times New Roman" w:eastAsia="Calibri" w:hAnsi="Times New Roman" w:cs="Calibri"/>
          <w:sz w:val="24"/>
          <w:szCs w:val="24"/>
        </w:rPr>
        <w:t>“</w:t>
      </w:r>
      <w:r w:rsidR="009072CE" w:rsidRPr="00A07F29">
        <w:rPr>
          <w:rFonts w:ascii="Times New Roman" w:eastAsia="Calibri" w:hAnsi="Times New Roman" w:cs="Calibri"/>
          <w:sz w:val="24"/>
          <w:szCs w:val="24"/>
        </w:rPr>
        <w:t xml:space="preserve">Daugavas loki” </w:t>
      </w:r>
      <w:r w:rsidR="0022282A" w:rsidRPr="00A07F29">
        <w:rPr>
          <w:rFonts w:ascii="Times New Roman" w:eastAsia="Calibri" w:hAnsi="Times New Roman" w:cs="Calibri"/>
          <w:sz w:val="24"/>
          <w:szCs w:val="24"/>
        </w:rPr>
        <w:t>t</w:t>
      </w:r>
      <w:r w:rsidR="009072CE" w:rsidRPr="00A07F29">
        <w:rPr>
          <w:rFonts w:ascii="Times New Roman" w:eastAsia="Calibri" w:hAnsi="Times New Roman" w:cs="Calibri"/>
          <w:sz w:val="24"/>
          <w:szCs w:val="24"/>
        </w:rPr>
        <w:t>ūrisma attīstības plāns”</w:t>
      </w:r>
      <w:r w:rsidR="0048718D">
        <w:rPr>
          <w:rStyle w:val="FootnoteReference"/>
          <w:rFonts w:ascii="Times New Roman" w:eastAsia="Calibri" w:hAnsi="Times New Roman" w:cs="Calibri"/>
          <w:sz w:val="24"/>
          <w:szCs w:val="24"/>
        </w:rPr>
        <w:footnoteReference w:id="9"/>
      </w:r>
      <w:r w:rsidR="009072CE" w:rsidRPr="00A07F29">
        <w:rPr>
          <w:rFonts w:ascii="Times New Roman" w:eastAsia="Calibri" w:hAnsi="Times New Roman" w:cs="Calibri"/>
          <w:sz w:val="24"/>
          <w:szCs w:val="24"/>
        </w:rPr>
        <w:t>, kas ir arī apstiprināts ar Daugavpils novada domes 2011.</w:t>
      </w:r>
      <w:r w:rsidR="00A814A6" w:rsidRPr="00A07F29">
        <w:rPr>
          <w:rFonts w:ascii="Times New Roman" w:eastAsia="Calibri" w:hAnsi="Times New Roman" w:cs="Calibri"/>
          <w:sz w:val="24"/>
          <w:szCs w:val="24"/>
        </w:rPr>
        <w:t> </w:t>
      </w:r>
      <w:r w:rsidR="009072CE" w:rsidRPr="00A07F29">
        <w:rPr>
          <w:rFonts w:ascii="Times New Roman" w:eastAsia="Calibri" w:hAnsi="Times New Roman" w:cs="Calibri"/>
          <w:sz w:val="24"/>
          <w:szCs w:val="24"/>
        </w:rPr>
        <w:t>gada 14.</w:t>
      </w:r>
      <w:r w:rsidR="00A814A6" w:rsidRPr="00A07F29">
        <w:rPr>
          <w:rFonts w:ascii="Times New Roman" w:eastAsia="Calibri" w:hAnsi="Times New Roman" w:cs="Calibri"/>
          <w:sz w:val="24"/>
          <w:szCs w:val="24"/>
        </w:rPr>
        <w:t> </w:t>
      </w:r>
      <w:r w:rsidR="009072CE" w:rsidRPr="00A07F29">
        <w:rPr>
          <w:rFonts w:ascii="Times New Roman" w:eastAsia="Calibri" w:hAnsi="Times New Roman" w:cs="Calibri"/>
          <w:sz w:val="24"/>
          <w:szCs w:val="24"/>
        </w:rPr>
        <w:t xml:space="preserve">aprīļa </w:t>
      </w:r>
      <w:r w:rsidR="0022282A" w:rsidRPr="00A07F29">
        <w:rPr>
          <w:rFonts w:ascii="Times New Roman" w:eastAsia="Calibri" w:hAnsi="Times New Roman" w:cs="Calibri"/>
          <w:sz w:val="24"/>
          <w:szCs w:val="24"/>
        </w:rPr>
        <w:t>lēmumu Nr.</w:t>
      </w:r>
      <w:r w:rsidR="00A814A6" w:rsidRPr="00A07F29">
        <w:rPr>
          <w:rFonts w:ascii="Times New Roman" w:eastAsia="Calibri" w:hAnsi="Times New Roman" w:cs="Calibri"/>
          <w:sz w:val="24"/>
          <w:szCs w:val="24"/>
        </w:rPr>
        <w:t> </w:t>
      </w:r>
      <w:r w:rsidR="0022282A" w:rsidRPr="00A07F29">
        <w:rPr>
          <w:rFonts w:ascii="Times New Roman" w:eastAsia="Calibri" w:hAnsi="Times New Roman" w:cs="Calibri"/>
          <w:sz w:val="24"/>
          <w:szCs w:val="24"/>
        </w:rPr>
        <w:t>617 (Protokola Nr.</w:t>
      </w:r>
      <w:r w:rsidR="00E47D7E" w:rsidRPr="00A07F29">
        <w:rPr>
          <w:rFonts w:ascii="Times New Roman" w:eastAsia="Calibri" w:hAnsi="Times New Roman" w:cs="Calibri"/>
          <w:sz w:val="24"/>
          <w:szCs w:val="24"/>
        </w:rPr>
        <w:t> </w:t>
      </w:r>
      <w:r w:rsidR="0022282A" w:rsidRPr="00A07F29">
        <w:rPr>
          <w:rFonts w:ascii="Times New Roman" w:eastAsia="Calibri" w:hAnsi="Times New Roman" w:cs="Calibri"/>
          <w:sz w:val="24"/>
          <w:szCs w:val="24"/>
        </w:rPr>
        <w:t>8;92.&amp;)</w:t>
      </w:r>
      <w:r w:rsidR="009072CE" w:rsidRPr="00A07F29">
        <w:rPr>
          <w:rFonts w:ascii="Times New Roman" w:eastAsia="Calibri" w:hAnsi="Times New Roman" w:cs="Calibri"/>
          <w:sz w:val="24"/>
          <w:szCs w:val="24"/>
        </w:rPr>
        <w:t xml:space="preserve"> un ar Krāslavas novada domes 2011.</w:t>
      </w:r>
      <w:r w:rsidR="00E47D7E" w:rsidRPr="00A07F29">
        <w:rPr>
          <w:rFonts w:ascii="Times New Roman" w:eastAsia="Calibri" w:hAnsi="Times New Roman" w:cs="Calibri"/>
          <w:sz w:val="24"/>
          <w:szCs w:val="24"/>
        </w:rPr>
        <w:t> </w:t>
      </w:r>
      <w:r w:rsidR="009072CE" w:rsidRPr="00A07F29">
        <w:rPr>
          <w:rFonts w:ascii="Times New Roman" w:eastAsia="Calibri" w:hAnsi="Times New Roman" w:cs="Calibri"/>
          <w:sz w:val="24"/>
          <w:szCs w:val="24"/>
        </w:rPr>
        <w:t>gada 21.</w:t>
      </w:r>
      <w:r w:rsidR="00E47D7E" w:rsidRPr="00A07F29">
        <w:rPr>
          <w:rFonts w:ascii="Times New Roman" w:eastAsia="Calibri" w:hAnsi="Times New Roman" w:cs="Calibri"/>
          <w:sz w:val="24"/>
          <w:szCs w:val="24"/>
        </w:rPr>
        <w:t> </w:t>
      </w:r>
      <w:r w:rsidR="009072CE" w:rsidRPr="00A07F29">
        <w:rPr>
          <w:rFonts w:ascii="Times New Roman" w:eastAsia="Calibri" w:hAnsi="Times New Roman" w:cs="Calibri"/>
          <w:sz w:val="24"/>
          <w:szCs w:val="24"/>
        </w:rPr>
        <w:t>aprīļa lēmumu</w:t>
      </w:r>
      <w:r w:rsidR="0022282A" w:rsidRPr="00A07F29">
        <w:rPr>
          <w:rFonts w:ascii="Times New Roman" w:eastAsia="Calibri" w:hAnsi="Times New Roman" w:cs="Calibri"/>
          <w:sz w:val="24"/>
          <w:szCs w:val="24"/>
        </w:rPr>
        <w:t xml:space="preserve"> (Protokola Nr.</w:t>
      </w:r>
      <w:r w:rsidR="00E47D7E" w:rsidRPr="00A07F29">
        <w:rPr>
          <w:rFonts w:ascii="Times New Roman" w:eastAsia="Calibri" w:hAnsi="Times New Roman" w:cs="Calibri"/>
          <w:sz w:val="24"/>
          <w:szCs w:val="24"/>
        </w:rPr>
        <w:t> </w:t>
      </w:r>
      <w:r w:rsidR="0022282A" w:rsidRPr="00A07F29">
        <w:rPr>
          <w:rFonts w:ascii="Times New Roman" w:eastAsia="Calibri" w:hAnsi="Times New Roman" w:cs="Calibri"/>
          <w:sz w:val="24"/>
          <w:szCs w:val="24"/>
        </w:rPr>
        <w:t>5;1.§)</w:t>
      </w:r>
      <w:r w:rsidR="009072CE" w:rsidRPr="00A07F29">
        <w:rPr>
          <w:rFonts w:ascii="Times New Roman" w:eastAsia="Calibri" w:hAnsi="Times New Roman" w:cs="Calibri"/>
          <w:sz w:val="24"/>
          <w:szCs w:val="24"/>
        </w:rPr>
        <w:t xml:space="preserve">. </w:t>
      </w:r>
      <w:r w:rsidRPr="00A07F29">
        <w:rPr>
          <w:rFonts w:ascii="Times New Roman" w:eastAsia="Calibri" w:hAnsi="Times New Roman" w:cs="Calibri"/>
          <w:sz w:val="24"/>
          <w:szCs w:val="24"/>
        </w:rPr>
        <w:t>DP</w:t>
      </w:r>
      <w:r w:rsidR="009072CE" w:rsidRPr="00A07F29">
        <w:rPr>
          <w:rFonts w:ascii="Times New Roman" w:eastAsia="Calibri" w:hAnsi="Times New Roman" w:cs="Calibri"/>
          <w:sz w:val="24"/>
          <w:szCs w:val="24"/>
        </w:rPr>
        <w:t xml:space="preserve"> </w:t>
      </w:r>
      <w:r w:rsidR="00E47D7E" w:rsidRPr="00A07F29">
        <w:rPr>
          <w:rFonts w:ascii="Times New Roman" w:eastAsia="Calibri" w:hAnsi="Times New Roman" w:cs="Calibri"/>
          <w:sz w:val="24"/>
          <w:szCs w:val="24"/>
        </w:rPr>
        <w:t>“</w:t>
      </w:r>
      <w:r w:rsidR="009072CE" w:rsidRPr="00A07F29">
        <w:rPr>
          <w:rFonts w:ascii="Times New Roman" w:eastAsia="Calibri" w:hAnsi="Times New Roman" w:cs="Calibri"/>
          <w:sz w:val="24"/>
          <w:szCs w:val="24"/>
        </w:rPr>
        <w:t xml:space="preserve">Daugavas loki” tūrisma attīstības rīcības plāns paredzēts kā noderīga “rokasgrāmata” gan </w:t>
      </w:r>
      <w:r w:rsidR="24AEE05C" w:rsidRPr="00A07F29">
        <w:rPr>
          <w:rFonts w:ascii="Times New Roman" w:eastAsia="Calibri" w:hAnsi="Times New Roman" w:cs="Calibri"/>
          <w:sz w:val="24"/>
          <w:szCs w:val="24"/>
        </w:rPr>
        <w:t>DP</w:t>
      </w:r>
      <w:r w:rsidR="005E0971" w:rsidRPr="00A07F29">
        <w:rPr>
          <w:rFonts w:ascii="Times New Roman" w:eastAsia="Calibri" w:hAnsi="Times New Roman" w:cs="Calibri"/>
          <w:sz w:val="24"/>
          <w:szCs w:val="24"/>
        </w:rPr>
        <w:t xml:space="preserve"> “Daugavas loki”</w:t>
      </w:r>
      <w:r w:rsidR="009072CE" w:rsidRPr="00A07F29">
        <w:rPr>
          <w:rFonts w:ascii="Times New Roman" w:eastAsia="Calibri" w:hAnsi="Times New Roman" w:cs="Calibri"/>
          <w:sz w:val="24"/>
          <w:szCs w:val="24"/>
        </w:rPr>
        <w:t xml:space="preserve">, gan </w:t>
      </w:r>
      <w:r w:rsidR="005E0971" w:rsidRPr="00A07F29">
        <w:rPr>
          <w:rFonts w:ascii="Times New Roman" w:eastAsia="Calibri" w:hAnsi="Times New Roman" w:cs="Calibri"/>
          <w:sz w:val="24"/>
          <w:szCs w:val="24"/>
        </w:rPr>
        <w:t xml:space="preserve">AAA “Augšdaugava” </w:t>
      </w:r>
      <w:r w:rsidR="009072CE" w:rsidRPr="00A07F29">
        <w:rPr>
          <w:rFonts w:ascii="Times New Roman" w:eastAsia="Calibri" w:hAnsi="Times New Roman" w:cs="Calibri"/>
          <w:sz w:val="24"/>
          <w:szCs w:val="24"/>
        </w:rPr>
        <w:t>saimniekojošiem uzņēmējiem, zemes īpašniekiem, valsts un nevalstiskām organizācijām ar mērķi veidot ekonomisko pienesumu teritorijai, tai pat laikā nenoplicinot dabas vērtības</w:t>
      </w:r>
      <w:r w:rsidR="00B03142" w:rsidRPr="00A07F29">
        <w:rPr>
          <w:rFonts w:ascii="Times New Roman" w:eastAsia="Calibri" w:hAnsi="Times New Roman" w:cs="Calibri"/>
          <w:sz w:val="24"/>
          <w:szCs w:val="24"/>
        </w:rPr>
        <w:t>.</w:t>
      </w:r>
    </w:p>
    <w:p w14:paraId="5FC0351E" w14:textId="1CF61326" w:rsidR="001D3647" w:rsidRPr="00A07F29" w:rsidRDefault="007E64F7" w:rsidP="00EF3715">
      <w:pPr>
        <w:spacing w:after="120" w:line="240" w:lineRule="auto"/>
        <w:ind w:firstLine="851"/>
        <w:jc w:val="both"/>
        <w:rPr>
          <w:rFonts w:ascii="Times New Roman" w:eastAsia="Calibri" w:hAnsi="Times New Roman" w:cs="Times New Roman"/>
          <w:sz w:val="24"/>
        </w:rPr>
      </w:pPr>
      <w:r w:rsidRPr="00A07F29">
        <w:rPr>
          <w:rFonts w:ascii="Times New Roman" w:eastAsia="Calibri" w:hAnsi="Times New Roman" w:cs="Times New Roman"/>
          <w:sz w:val="24"/>
        </w:rPr>
        <w:t>AAA</w:t>
      </w:r>
      <w:r w:rsidR="009072CE" w:rsidRPr="00A07F29">
        <w:rPr>
          <w:rFonts w:ascii="Times New Roman" w:eastAsia="Calibri" w:hAnsi="Times New Roman" w:cs="Times New Roman"/>
          <w:sz w:val="24"/>
        </w:rPr>
        <w:t xml:space="preserve"> “Augšdaugava” teritorijā atrodas 3</w:t>
      </w:r>
      <w:r w:rsidR="00C1461F" w:rsidRPr="00A07F29">
        <w:rPr>
          <w:rFonts w:ascii="Times New Roman" w:eastAsia="Calibri" w:hAnsi="Times New Roman" w:cs="Times New Roman"/>
          <w:sz w:val="24"/>
        </w:rPr>
        <w:t>9</w:t>
      </w:r>
      <w:r w:rsidR="009072CE" w:rsidRPr="00A07F29">
        <w:rPr>
          <w:rFonts w:ascii="Times New Roman" w:eastAsia="Calibri" w:hAnsi="Times New Roman" w:cs="Times New Roman"/>
          <w:sz w:val="24"/>
        </w:rPr>
        <w:t xml:space="preserve"> kultūrvēsturiskie objekti un vietas</w:t>
      </w:r>
      <w:r w:rsidR="005E0971" w:rsidRPr="00A07F29">
        <w:rPr>
          <w:rFonts w:ascii="Times New Roman" w:eastAsia="Calibri" w:hAnsi="Times New Roman" w:cs="Times New Roman"/>
          <w:sz w:val="24"/>
        </w:rPr>
        <w:t>, kas koncentrējas DP “Daugavas loki”</w:t>
      </w:r>
      <w:r w:rsidR="009072CE" w:rsidRPr="00A07F29">
        <w:rPr>
          <w:rFonts w:ascii="Times New Roman" w:eastAsia="Calibri" w:hAnsi="Times New Roman" w:cs="Times New Roman"/>
          <w:sz w:val="24"/>
        </w:rPr>
        <w:t xml:space="preserve"> – baznīcas, muižas un citi objekti (</w:t>
      </w:r>
      <w:r w:rsidR="00CF0796" w:rsidRPr="00A07F29">
        <w:rPr>
          <w:rFonts w:ascii="Times New Roman" w:eastAsia="Calibri" w:hAnsi="Times New Roman" w:cs="Times New Roman"/>
          <w:sz w:val="24"/>
        </w:rPr>
        <w:t xml:space="preserve">skat. </w:t>
      </w:r>
      <w:r w:rsidR="009072CE" w:rsidRPr="00A07F29">
        <w:rPr>
          <w:rFonts w:ascii="Times New Roman" w:eastAsia="Calibri" w:hAnsi="Times New Roman" w:cs="Times New Roman"/>
          <w:sz w:val="24"/>
        </w:rPr>
        <w:t>3.</w:t>
      </w:r>
      <w:r w:rsidR="00D852E5" w:rsidRPr="00A07F29">
        <w:rPr>
          <w:rFonts w:ascii="Times New Roman" w:eastAsia="Calibri" w:hAnsi="Times New Roman" w:cs="Times New Roman"/>
          <w:sz w:val="24"/>
        </w:rPr>
        <w:t>7</w:t>
      </w:r>
      <w:r w:rsidR="0022282A" w:rsidRPr="00A07F29">
        <w:rPr>
          <w:rFonts w:ascii="Times New Roman" w:eastAsia="Calibri" w:hAnsi="Times New Roman" w:cs="Times New Roman"/>
          <w:sz w:val="24"/>
        </w:rPr>
        <w:t>.</w:t>
      </w:r>
      <w:r w:rsidR="009072CE" w:rsidRPr="00A07F29">
        <w:rPr>
          <w:rFonts w:ascii="Times New Roman" w:eastAsia="Calibri" w:hAnsi="Times New Roman" w:cs="Times New Roman"/>
          <w:sz w:val="24"/>
        </w:rPr>
        <w:t>2.</w:t>
      </w:r>
      <w:r w:rsidR="00CF0796" w:rsidRPr="00A07F29">
        <w:rPr>
          <w:rFonts w:ascii="Times New Roman" w:eastAsia="Calibri" w:hAnsi="Times New Roman" w:cs="Times New Roman"/>
          <w:sz w:val="24"/>
        </w:rPr>
        <w:t> </w:t>
      </w:r>
      <w:r w:rsidR="009072CE" w:rsidRPr="00A07F29">
        <w:rPr>
          <w:rFonts w:ascii="Times New Roman" w:eastAsia="Calibri" w:hAnsi="Times New Roman" w:cs="Times New Roman"/>
          <w:sz w:val="24"/>
        </w:rPr>
        <w:t xml:space="preserve">pielikums), </w:t>
      </w:r>
      <w:r w:rsidR="00B252DF" w:rsidRPr="00A07F29">
        <w:rPr>
          <w:rFonts w:ascii="Times New Roman" w:eastAsia="Calibri" w:hAnsi="Times New Roman" w:cs="Times New Roman"/>
          <w:sz w:val="24"/>
        </w:rPr>
        <w:t>pieci</w:t>
      </w:r>
      <w:r w:rsidR="009072CE" w:rsidRPr="00A07F29">
        <w:rPr>
          <w:rFonts w:ascii="Times New Roman" w:eastAsia="Calibri" w:hAnsi="Times New Roman" w:cs="Times New Roman"/>
          <w:sz w:val="24"/>
        </w:rPr>
        <w:t xml:space="preserve"> dabas objekti, </w:t>
      </w:r>
      <w:r w:rsidR="00B252DF" w:rsidRPr="00A07F29">
        <w:rPr>
          <w:rFonts w:ascii="Times New Roman" w:eastAsia="Calibri" w:hAnsi="Times New Roman" w:cs="Times New Roman"/>
          <w:sz w:val="24"/>
        </w:rPr>
        <w:t>deviņi</w:t>
      </w:r>
      <w:r w:rsidR="009072CE" w:rsidRPr="00A07F29">
        <w:rPr>
          <w:rFonts w:ascii="Times New Roman" w:eastAsia="Calibri" w:hAnsi="Times New Roman" w:cs="Times New Roman"/>
          <w:sz w:val="24"/>
        </w:rPr>
        <w:t xml:space="preserve"> </w:t>
      </w:r>
      <w:r w:rsidR="005E0971" w:rsidRPr="00A07F29">
        <w:rPr>
          <w:rFonts w:ascii="Times New Roman" w:eastAsia="Calibri" w:hAnsi="Times New Roman" w:cs="Times New Roman"/>
          <w:sz w:val="24"/>
        </w:rPr>
        <w:t xml:space="preserve">labiekārtoti </w:t>
      </w:r>
      <w:r w:rsidR="009072CE" w:rsidRPr="00A07F29">
        <w:rPr>
          <w:rFonts w:ascii="Times New Roman" w:eastAsia="Calibri" w:hAnsi="Times New Roman" w:cs="Times New Roman"/>
          <w:sz w:val="24"/>
        </w:rPr>
        <w:t xml:space="preserve">tūrisma infrastruktūras objekti (dabas takas, skatu torņi), </w:t>
      </w:r>
      <w:r w:rsidR="00B252DF" w:rsidRPr="00A07F29">
        <w:rPr>
          <w:rFonts w:ascii="Times New Roman" w:eastAsia="Calibri" w:hAnsi="Times New Roman" w:cs="Times New Roman"/>
          <w:sz w:val="24"/>
        </w:rPr>
        <w:t>septiņi</w:t>
      </w:r>
      <w:r w:rsidR="009072CE" w:rsidRPr="00A07F29">
        <w:rPr>
          <w:rFonts w:ascii="Times New Roman" w:eastAsia="Calibri" w:hAnsi="Times New Roman" w:cs="Times New Roman"/>
          <w:sz w:val="24"/>
        </w:rPr>
        <w:t xml:space="preserve"> izklaides un atpūtas objekti, </w:t>
      </w:r>
      <w:r w:rsidR="00B252DF" w:rsidRPr="00A07F29">
        <w:rPr>
          <w:rFonts w:ascii="Times New Roman" w:eastAsia="Calibri" w:hAnsi="Times New Roman" w:cs="Times New Roman"/>
          <w:sz w:val="24"/>
        </w:rPr>
        <w:t>trīs</w:t>
      </w:r>
      <w:r w:rsidR="009072CE" w:rsidRPr="00A07F29">
        <w:rPr>
          <w:rFonts w:ascii="Times New Roman" w:eastAsia="Calibri" w:hAnsi="Times New Roman" w:cs="Times New Roman"/>
          <w:sz w:val="24"/>
        </w:rPr>
        <w:t xml:space="preserve"> apskates saimniecības, 1</w:t>
      </w:r>
      <w:r w:rsidR="00395349" w:rsidRPr="00A07F29">
        <w:rPr>
          <w:rFonts w:ascii="Times New Roman" w:eastAsia="Calibri" w:hAnsi="Times New Roman" w:cs="Times New Roman"/>
          <w:sz w:val="24"/>
        </w:rPr>
        <w:t xml:space="preserve">2 </w:t>
      </w:r>
      <w:r w:rsidR="009072CE" w:rsidRPr="00A07F29">
        <w:rPr>
          <w:rFonts w:ascii="Times New Roman" w:eastAsia="Calibri" w:hAnsi="Times New Roman" w:cs="Times New Roman"/>
          <w:sz w:val="24"/>
        </w:rPr>
        <w:t xml:space="preserve">atpūtas vietas, t.sk. </w:t>
      </w:r>
      <w:r w:rsidR="003450E2" w:rsidRPr="00A07F29">
        <w:rPr>
          <w:rFonts w:ascii="Times New Roman" w:eastAsia="Calibri" w:hAnsi="Times New Roman" w:cs="Times New Roman"/>
          <w:sz w:val="24"/>
        </w:rPr>
        <w:t>deviņas</w:t>
      </w:r>
      <w:r w:rsidR="009072CE" w:rsidRPr="00A07F29">
        <w:rPr>
          <w:rFonts w:ascii="Times New Roman" w:eastAsia="Calibri" w:hAnsi="Times New Roman" w:cs="Times New Roman"/>
          <w:sz w:val="24"/>
        </w:rPr>
        <w:t xml:space="preserve"> LVM labiekārtotas atpūtas vietas un </w:t>
      </w:r>
      <w:r w:rsidR="00883300" w:rsidRPr="00A07F29">
        <w:rPr>
          <w:rFonts w:ascii="Times New Roman" w:eastAsia="Calibri" w:hAnsi="Times New Roman" w:cs="Times New Roman"/>
          <w:sz w:val="24"/>
        </w:rPr>
        <w:t>2</w:t>
      </w:r>
      <w:r w:rsidR="005B1B7B" w:rsidRPr="00A07F29">
        <w:rPr>
          <w:rFonts w:ascii="Times New Roman" w:eastAsia="Calibri" w:hAnsi="Times New Roman" w:cs="Times New Roman"/>
          <w:sz w:val="24"/>
        </w:rPr>
        <w:t>6</w:t>
      </w:r>
      <w:r w:rsidR="00883300" w:rsidRPr="00A07F29">
        <w:rPr>
          <w:rFonts w:ascii="Times New Roman" w:eastAsia="Calibri" w:hAnsi="Times New Roman" w:cs="Times New Roman"/>
          <w:sz w:val="24"/>
        </w:rPr>
        <w:t xml:space="preserve"> </w:t>
      </w:r>
      <w:r w:rsidR="009072CE" w:rsidRPr="00A07F29">
        <w:rPr>
          <w:rFonts w:ascii="Times New Roman" w:eastAsia="Calibri" w:hAnsi="Times New Roman" w:cs="Times New Roman"/>
          <w:sz w:val="24"/>
        </w:rPr>
        <w:t>naktsmītnes (</w:t>
      </w:r>
      <w:r w:rsidR="003450E2" w:rsidRPr="00A07F29">
        <w:rPr>
          <w:rFonts w:ascii="Times New Roman" w:eastAsia="Calibri" w:hAnsi="Times New Roman" w:cs="Times New Roman"/>
          <w:sz w:val="24"/>
        </w:rPr>
        <w:t xml:space="preserve">skat. </w:t>
      </w:r>
      <w:r w:rsidR="009072CE" w:rsidRPr="00A07F29">
        <w:rPr>
          <w:rFonts w:ascii="Times New Roman" w:eastAsia="Calibri" w:hAnsi="Times New Roman" w:cs="Times New Roman"/>
          <w:sz w:val="24"/>
        </w:rPr>
        <w:t>3.</w:t>
      </w:r>
      <w:r w:rsidR="00D852E5" w:rsidRPr="00A07F29">
        <w:rPr>
          <w:rFonts w:ascii="Times New Roman" w:eastAsia="Calibri" w:hAnsi="Times New Roman" w:cs="Times New Roman"/>
          <w:sz w:val="24"/>
        </w:rPr>
        <w:t>7</w:t>
      </w:r>
      <w:r w:rsidR="0022282A" w:rsidRPr="00A07F29">
        <w:rPr>
          <w:rFonts w:ascii="Times New Roman" w:eastAsia="Calibri" w:hAnsi="Times New Roman" w:cs="Times New Roman"/>
          <w:sz w:val="24"/>
        </w:rPr>
        <w:t>.</w:t>
      </w:r>
      <w:r w:rsidR="00D852E5" w:rsidRPr="00A07F29">
        <w:rPr>
          <w:rFonts w:ascii="Times New Roman" w:eastAsia="Calibri" w:hAnsi="Times New Roman" w:cs="Times New Roman"/>
          <w:sz w:val="24"/>
        </w:rPr>
        <w:t>1</w:t>
      </w:r>
      <w:r w:rsidR="009072CE" w:rsidRPr="00A07F29">
        <w:rPr>
          <w:rFonts w:ascii="Times New Roman" w:eastAsia="Calibri" w:hAnsi="Times New Roman" w:cs="Times New Roman"/>
          <w:sz w:val="24"/>
        </w:rPr>
        <w:t>.</w:t>
      </w:r>
      <w:r w:rsidR="003450E2" w:rsidRPr="00A07F29">
        <w:rPr>
          <w:rFonts w:ascii="Times New Roman" w:eastAsia="Calibri" w:hAnsi="Times New Roman" w:cs="Times New Roman"/>
          <w:sz w:val="24"/>
        </w:rPr>
        <w:t> </w:t>
      </w:r>
      <w:r w:rsidR="009072CE" w:rsidRPr="00A07F29">
        <w:rPr>
          <w:rFonts w:ascii="Times New Roman" w:eastAsia="Calibri" w:hAnsi="Times New Roman" w:cs="Times New Roman"/>
          <w:sz w:val="24"/>
        </w:rPr>
        <w:t xml:space="preserve">pielikums). </w:t>
      </w:r>
      <w:r w:rsidR="009072CE" w:rsidRPr="00A07F29">
        <w:rPr>
          <w:rFonts w:ascii="Times New Roman" w:eastAsia="Calibri" w:hAnsi="Times New Roman" w:cs="Calibri"/>
          <w:sz w:val="24"/>
        </w:rPr>
        <w:t xml:space="preserve">Ir izveidota publiski pieejama tūrisma infrastruktūra – skatu platformas, torņi, atpūtas vietas, veloceliņi, laivu nolaišanas vietas Daugavā. Pārsvarā publiski pieejamā infrastruktūra veidota uz pašvaldībai vai valstij piederošām zemēm, kaut gan ir arī privātas iniciatīvas, piemēram, </w:t>
      </w:r>
      <w:proofErr w:type="spellStart"/>
      <w:r w:rsidR="009072CE" w:rsidRPr="00A07F29">
        <w:rPr>
          <w:rFonts w:ascii="Times New Roman" w:eastAsia="Calibri" w:hAnsi="Times New Roman" w:cs="Calibri"/>
          <w:sz w:val="24"/>
        </w:rPr>
        <w:t>Lielbornes</w:t>
      </w:r>
      <w:proofErr w:type="spellEnd"/>
      <w:r w:rsidR="009072CE" w:rsidRPr="00A07F29">
        <w:rPr>
          <w:rFonts w:ascii="Times New Roman" w:eastAsia="Calibri" w:hAnsi="Times New Roman" w:cs="Calibri"/>
          <w:sz w:val="24"/>
        </w:rPr>
        <w:t xml:space="preserve"> muižas parks, kas pieejams apmeklētājiem noteiktā laika periodā. </w:t>
      </w:r>
      <w:r w:rsidR="009072CE" w:rsidRPr="00A07F29">
        <w:rPr>
          <w:rFonts w:ascii="Times New Roman" w:eastAsia="Calibri" w:hAnsi="Times New Roman" w:cs="Times New Roman"/>
          <w:sz w:val="24"/>
        </w:rPr>
        <w:t>AAA “Augšdaugava” esošo tūrisma objektu uzskaitījums pieejams 3.</w:t>
      </w:r>
      <w:r w:rsidR="00497485" w:rsidRPr="00A07F29">
        <w:rPr>
          <w:rFonts w:ascii="Times New Roman" w:eastAsia="Calibri" w:hAnsi="Times New Roman" w:cs="Times New Roman"/>
          <w:sz w:val="24"/>
        </w:rPr>
        <w:t>8</w:t>
      </w:r>
      <w:r w:rsidR="009072CE" w:rsidRPr="00A07F29">
        <w:rPr>
          <w:rFonts w:ascii="Times New Roman" w:eastAsia="Calibri" w:hAnsi="Times New Roman" w:cs="Times New Roman"/>
          <w:sz w:val="24"/>
        </w:rPr>
        <w:t>.</w:t>
      </w:r>
      <w:r w:rsidR="00B54652" w:rsidRPr="00A07F29">
        <w:rPr>
          <w:rFonts w:ascii="Times New Roman" w:eastAsia="Calibri" w:hAnsi="Times New Roman" w:cs="Times New Roman"/>
          <w:sz w:val="24"/>
        </w:rPr>
        <w:t> </w:t>
      </w:r>
      <w:r w:rsidR="009072CE" w:rsidRPr="00A07F29">
        <w:rPr>
          <w:rFonts w:ascii="Times New Roman" w:eastAsia="Calibri" w:hAnsi="Times New Roman" w:cs="Times New Roman"/>
          <w:sz w:val="24"/>
        </w:rPr>
        <w:t>pielikumā</w:t>
      </w:r>
      <w:r w:rsidR="00497485" w:rsidRPr="00A07F29">
        <w:rPr>
          <w:rFonts w:ascii="Times New Roman" w:eastAsia="Calibri" w:hAnsi="Times New Roman" w:cs="Times New Roman"/>
          <w:sz w:val="24"/>
        </w:rPr>
        <w:t>, bet d</w:t>
      </w:r>
      <w:r w:rsidR="009072CE" w:rsidRPr="00A07F29">
        <w:rPr>
          <w:rFonts w:ascii="Times New Roman" w:eastAsia="Calibri" w:hAnsi="Times New Roman" w:cs="Times New Roman"/>
          <w:sz w:val="24"/>
        </w:rPr>
        <w:t xml:space="preserve">etalizēts dabas tūrisma un izziņas infrastruktūras objektu </w:t>
      </w:r>
      <w:proofErr w:type="spellStart"/>
      <w:r w:rsidR="009072CE" w:rsidRPr="00A07F29">
        <w:rPr>
          <w:rFonts w:ascii="Times New Roman" w:eastAsia="Calibri" w:hAnsi="Times New Roman" w:cs="Times New Roman"/>
          <w:sz w:val="24"/>
        </w:rPr>
        <w:t>izvērtējums</w:t>
      </w:r>
      <w:proofErr w:type="spellEnd"/>
      <w:r w:rsidR="009072CE" w:rsidRPr="00A07F29">
        <w:rPr>
          <w:rFonts w:ascii="Times New Roman" w:eastAsia="Calibri" w:hAnsi="Times New Roman" w:cs="Times New Roman"/>
          <w:sz w:val="24"/>
        </w:rPr>
        <w:t xml:space="preserve"> apkopots 3.</w:t>
      </w:r>
      <w:r w:rsidR="00D852E5" w:rsidRPr="00A07F29">
        <w:rPr>
          <w:rFonts w:ascii="Times New Roman" w:eastAsia="Calibri" w:hAnsi="Times New Roman" w:cs="Times New Roman"/>
          <w:sz w:val="24"/>
        </w:rPr>
        <w:t>9</w:t>
      </w:r>
      <w:r w:rsidR="009072CE" w:rsidRPr="00A07F29">
        <w:rPr>
          <w:rFonts w:ascii="Times New Roman" w:eastAsia="Calibri" w:hAnsi="Times New Roman" w:cs="Times New Roman"/>
          <w:sz w:val="24"/>
        </w:rPr>
        <w:t>.</w:t>
      </w:r>
      <w:r w:rsidR="00B54652" w:rsidRPr="00A07F29">
        <w:rPr>
          <w:rFonts w:ascii="Times New Roman" w:eastAsia="Calibri" w:hAnsi="Times New Roman" w:cs="Times New Roman"/>
          <w:sz w:val="24"/>
        </w:rPr>
        <w:t> </w:t>
      </w:r>
      <w:r w:rsidR="009072CE" w:rsidRPr="00A07F29">
        <w:rPr>
          <w:rFonts w:ascii="Times New Roman" w:eastAsia="Calibri" w:hAnsi="Times New Roman" w:cs="Times New Roman"/>
          <w:sz w:val="24"/>
        </w:rPr>
        <w:t>pielikumā.</w:t>
      </w:r>
    </w:p>
    <w:p w14:paraId="71CD5631" w14:textId="2E5B7EE8" w:rsidR="009072CE" w:rsidRPr="00A07F29" w:rsidRDefault="001D3647" w:rsidP="00184C89">
      <w:pPr>
        <w:spacing w:after="120" w:line="240" w:lineRule="auto"/>
        <w:ind w:firstLine="851"/>
        <w:jc w:val="both"/>
        <w:rPr>
          <w:rFonts w:ascii="Times New Roman" w:eastAsia="Calibri" w:hAnsi="Times New Roman" w:cs="Times New Roman"/>
          <w:sz w:val="24"/>
        </w:rPr>
      </w:pPr>
      <w:r w:rsidRPr="00A07F29">
        <w:rPr>
          <w:rFonts w:ascii="Times New Roman" w:eastAsia="Calibri" w:hAnsi="Times New Roman" w:cs="Times New Roman"/>
          <w:sz w:val="24"/>
        </w:rPr>
        <w:t>Tūrisma</w:t>
      </w:r>
      <w:r w:rsidR="00985D87" w:rsidRPr="00A07F29">
        <w:rPr>
          <w:rFonts w:ascii="Times New Roman" w:eastAsia="Calibri" w:hAnsi="Times New Roman" w:cs="Times New Roman"/>
          <w:sz w:val="24"/>
        </w:rPr>
        <w:t xml:space="preserve"> </w:t>
      </w:r>
      <w:r w:rsidRPr="00A07F29">
        <w:rPr>
          <w:rFonts w:ascii="Times New Roman" w:eastAsia="Calibri" w:hAnsi="Times New Roman" w:cs="Times New Roman"/>
          <w:sz w:val="24"/>
        </w:rPr>
        <w:t>esošās situācijas apraksts AAA “Augšdaugava” sagatavots, izmantojot Daugavpils</w:t>
      </w:r>
      <w:r w:rsidR="00C651B4" w:rsidRPr="00A07F29">
        <w:rPr>
          <w:rStyle w:val="FootnoteReference"/>
          <w:rFonts w:ascii="Times New Roman" w:eastAsia="Calibri" w:hAnsi="Times New Roman" w:cs="Times New Roman"/>
          <w:sz w:val="24"/>
        </w:rPr>
        <w:footnoteReference w:id="10"/>
      </w:r>
      <w:r w:rsidRPr="00A07F29">
        <w:rPr>
          <w:rFonts w:ascii="Times New Roman" w:eastAsia="Calibri" w:hAnsi="Times New Roman" w:cs="Times New Roman"/>
          <w:sz w:val="24"/>
        </w:rPr>
        <w:t xml:space="preserve"> un Krāslavas</w:t>
      </w:r>
      <w:r w:rsidR="00C651B4" w:rsidRPr="00A07F29">
        <w:rPr>
          <w:rStyle w:val="FootnoteReference"/>
          <w:rFonts w:ascii="Times New Roman" w:eastAsia="Calibri" w:hAnsi="Times New Roman" w:cs="Times New Roman"/>
          <w:sz w:val="24"/>
        </w:rPr>
        <w:footnoteReference w:id="11"/>
      </w:r>
      <w:r w:rsidRPr="00A07F29">
        <w:rPr>
          <w:rFonts w:ascii="Times New Roman" w:eastAsia="Calibri" w:hAnsi="Times New Roman" w:cs="Times New Roman"/>
          <w:sz w:val="24"/>
        </w:rPr>
        <w:t xml:space="preserve"> novada tūrisma informācijas centru mājaslapas, vietējo tūrisma uzņēmumu mājaslapas</w:t>
      </w:r>
      <w:r w:rsidR="00184C89" w:rsidRPr="00A07F29">
        <w:rPr>
          <w:rFonts w:ascii="Times New Roman" w:eastAsia="Calibri" w:hAnsi="Times New Roman" w:cs="Times New Roman"/>
          <w:sz w:val="24"/>
        </w:rPr>
        <w:t>,</w:t>
      </w:r>
      <w:r w:rsidRPr="00A07F29">
        <w:rPr>
          <w:rFonts w:ascii="Times New Roman" w:eastAsia="Calibri" w:hAnsi="Times New Roman" w:cs="Times New Roman"/>
          <w:sz w:val="24"/>
        </w:rPr>
        <w:t xml:space="preserve"> u.c. informācijas</w:t>
      </w:r>
      <w:r w:rsidR="00985D87" w:rsidRPr="00A07F29">
        <w:rPr>
          <w:rFonts w:ascii="Times New Roman" w:eastAsia="Calibri" w:hAnsi="Times New Roman" w:cs="Times New Roman"/>
          <w:sz w:val="24"/>
        </w:rPr>
        <w:t xml:space="preserve"> avotus, </w:t>
      </w:r>
      <w:r w:rsidR="00523030" w:rsidRPr="00A07F29">
        <w:rPr>
          <w:rFonts w:ascii="Times New Roman" w:eastAsia="Calibri" w:hAnsi="Times New Roman" w:cs="Times New Roman"/>
          <w:sz w:val="24"/>
        </w:rPr>
        <w:t xml:space="preserve">kas atspoguļo informāciju uz </w:t>
      </w:r>
      <w:r w:rsidR="00296D77" w:rsidRPr="00A07F29">
        <w:rPr>
          <w:rFonts w:ascii="Times New Roman" w:eastAsia="Calibri" w:hAnsi="Times New Roman" w:cs="Times New Roman"/>
          <w:sz w:val="24"/>
        </w:rPr>
        <w:t>2021</w:t>
      </w:r>
      <w:r w:rsidR="00523030" w:rsidRPr="00A07F29">
        <w:rPr>
          <w:rFonts w:ascii="Times New Roman" w:eastAsia="Calibri" w:hAnsi="Times New Roman" w:cs="Times New Roman"/>
          <w:sz w:val="24"/>
        </w:rPr>
        <w:t>.</w:t>
      </w:r>
      <w:r w:rsidR="007E3CCF" w:rsidRPr="00A07F29">
        <w:rPr>
          <w:rFonts w:ascii="Times New Roman" w:eastAsia="Calibri" w:hAnsi="Times New Roman" w:cs="Times New Roman"/>
          <w:sz w:val="24"/>
        </w:rPr>
        <w:t> </w:t>
      </w:r>
      <w:r w:rsidR="00523030" w:rsidRPr="00A07F29">
        <w:rPr>
          <w:rFonts w:ascii="Times New Roman" w:eastAsia="Calibri" w:hAnsi="Times New Roman" w:cs="Times New Roman"/>
          <w:sz w:val="24"/>
        </w:rPr>
        <w:t xml:space="preserve">gadu, </w:t>
      </w:r>
      <w:r w:rsidR="00985D87" w:rsidRPr="00A07F29">
        <w:rPr>
          <w:rFonts w:ascii="Times New Roman" w:eastAsia="Calibri" w:hAnsi="Times New Roman" w:cs="Times New Roman"/>
          <w:sz w:val="24"/>
        </w:rPr>
        <w:t>kā arī veicot teritorijas apsekošanu un tūrisma objektu izvērtēšanu 2019. gadā</w:t>
      </w:r>
      <w:r w:rsidR="00184C89" w:rsidRPr="00A07F29">
        <w:rPr>
          <w:rFonts w:ascii="Times New Roman" w:eastAsia="Calibri" w:hAnsi="Times New Roman" w:cs="Times New Roman"/>
          <w:sz w:val="24"/>
        </w:rPr>
        <w:t xml:space="preserve"> un ņemot vērā</w:t>
      </w:r>
      <w:r w:rsidR="00184C89" w:rsidRPr="00A07F29">
        <w:t xml:space="preserve"> </w:t>
      </w:r>
      <w:r w:rsidR="00184C89" w:rsidRPr="00A07F29">
        <w:rPr>
          <w:rFonts w:ascii="Times New Roman" w:eastAsia="Calibri" w:hAnsi="Times New Roman" w:cs="Times New Roman"/>
          <w:sz w:val="24"/>
        </w:rPr>
        <w:t>uzņēmēju, pašvaldī</w:t>
      </w:r>
      <w:r w:rsidR="00DD6DF2">
        <w:rPr>
          <w:rFonts w:ascii="Times New Roman" w:eastAsia="Calibri" w:hAnsi="Times New Roman" w:cs="Times New Roman"/>
          <w:sz w:val="24"/>
        </w:rPr>
        <w:t>bu, DAP</w:t>
      </w:r>
      <w:r w:rsidR="00184C89" w:rsidRPr="00A07F29">
        <w:rPr>
          <w:rFonts w:ascii="Times New Roman" w:eastAsia="Calibri" w:hAnsi="Times New Roman" w:cs="Times New Roman"/>
          <w:sz w:val="24"/>
        </w:rPr>
        <w:t xml:space="preserve">, zemes īpašnieku un </w:t>
      </w:r>
      <w:proofErr w:type="spellStart"/>
      <w:r w:rsidR="00184C89" w:rsidRPr="00A07F29">
        <w:rPr>
          <w:rFonts w:ascii="Times New Roman" w:eastAsia="Calibri" w:hAnsi="Times New Roman" w:cs="Times New Roman"/>
          <w:sz w:val="24"/>
        </w:rPr>
        <w:t>apsaimniekotāju</w:t>
      </w:r>
      <w:proofErr w:type="spellEnd"/>
      <w:r w:rsidR="00184C89" w:rsidRPr="00A07F29">
        <w:rPr>
          <w:rFonts w:ascii="Times New Roman" w:eastAsia="Calibri" w:hAnsi="Times New Roman" w:cs="Times New Roman"/>
          <w:sz w:val="24"/>
        </w:rPr>
        <w:t xml:space="preserve"> sniegto informāciju</w:t>
      </w:r>
      <w:r w:rsidR="00985D87" w:rsidRPr="00A07F29">
        <w:rPr>
          <w:rFonts w:ascii="Times New Roman" w:eastAsia="Calibri" w:hAnsi="Times New Roman" w:cs="Times New Roman"/>
          <w:sz w:val="24"/>
        </w:rPr>
        <w:t>.</w:t>
      </w:r>
    </w:p>
    <w:p w14:paraId="11DBA5D6" w14:textId="77777777" w:rsidR="009072CE" w:rsidRPr="00A07F29" w:rsidRDefault="009072CE" w:rsidP="00EF3715">
      <w:pPr>
        <w:spacing w:before="240" w:after="120" w:line="240" w:lineRule="auto"/>
        <w:jc w:val="both"/>
        <w:rPr>
          <w:rFonts w:ascii="Times New Roman" w:eastAsia="Calibri" w:hAnsi="Times New Roman" w:cs="Times New Roman"/>
          <w:b/>
          <w:i/>
          <w:sz w:val="24"/>
        </w:rPr>
      </w:pPr>
      <w:r w:rsidRPr="00A07F29">
        <w:rPr>
          <w:rFonts w:ascii="Times New Roman" w:eastAsia="Calibri" w:hAnsi="Times New Roman" w:cs="Times New Roman"/>
          <w:b/>
          <w:i/>
          <w:sz w:val="24"/>
        </w:rPr>
        <w:t>Tūrisma piedāvājuma klāsts</w:t>
      </w:r>
    </w:p>
    <w:p w14:paraId="4CC90863" w14:textId="2C20B3DC" w:rsidR="00E65F0C" w:rsidRPr="00A07F29" w:rsidRDefault="009072CE" w:rsidP="00EF3715">
      <w:pPr>
        <w:spacing w:after="120" w:line="240" w:lineRule="auto"/>
        <w:ind w:firstLine="851"/>
        <w:jc w:val="both"/>
        <w:rPr>
          <w:rFonts w:ascii="Times New Roman" w:eastAsia="Calibri" w:hAnsi="Times New Roman" w:cs="Times New Roman"/>
          <w:sz w:val="24"/>
        </w:rPr>
      </w:pPr>
      <w:r w:rsidRPr="00A07F29">
        <w:rPr>
          <w:rFonts w:ascii="Times New Roman" w:eastAsia="Calibri" w:hAnsi="Times New Roman" w:cs="Times New Roman"/>
          <w:sz w:val="24"/>
        </w:rPr>
        <w:t xml:space="preserve">AAA “Augšdaugava” teritorijā ir plašs tūrisma piedāvājums – bez kultūrvēsturisko un dabas objektu apskates ir pieejamas arī dažādas atpūtas un izklaides iespējas (piemēram, </w:t>
      </w:r>
      <w:r w:rsidRPr="00A07F29">
        <w:rPr>
          <w:rFonts w:ascii="Times New Roman" w:eastAsia="Calibri" w:hAnsi="Times New Roman" w:cs="Times New Roman"/>
          <w:sz w:val="24"/>
        </w:rPr>
        <w:lastRenderedPageBreak/>
        <w:t>atjaunotais atpūtas komplekss “</w:t>
      </w:r>
      <w:proofErr w:type="spellStart"/>
      <w:r w:rsidRPr="00A07F29">
        <w:rPr>
          <w:rFonts w:ascii="Times New Roman" w:eastAsia="Calibri" w:hAnsi="Times New Roman" w:cs="Times New Roman"/>
          <w:sz w:val="24"/>
        </w:rPr>
        <w:t>Lielbornes</w:t>
      </w:r>
      <w:proofErr w:type="spellEnd"/>
      <w:r w:rsidRPr="00A07F29">
        <w:rPr>
          <w:rFonts w:ascii="Times New Roman" w:eastAsia="Calibri" w:hAnsi="Times New Roman" w:cs="Times New Roman"/>
          <w:sz w:val="24"/>
        </w:rPr>
        <w:t xml:space="preserve"> muiža”</w:t>
      </w:r>
      <w:r w:rsidR="00DD6DF2">
        <w:rPr>
          <w:rStyle w:val="FootnoteReference"/>
          <w:rFonts w:ascii="Times New Roman" w:eastAsia="Calibri" w:hAnsi="Times New Roman" w:cs="Times New Roman"/>
          <w:sz w:val="24"/>
        </w:rPr>
        <w:footnoteReference w:id="12"/>
      </w:r>
      <w:r w:rsidRPr="00A07F29">
        <w:rPr>
          <w:rFonts w:ascii="Times New Roman" w:eastAsia="Calibri" w:hAnsi="Times New Roman" w:cs="Times New Roman"/>
          <w:sz w:val="24"/>
        </w:rPr>
        <w:t>, labiekārtots atpūtas parks “</w:t>
      </w:r>
      <w:proofErr w:type="spellStart"/>
      <w:r w:rsidRPr="00A07F29">
        <w:rPr>
          <w:rFonts w:ascii="Times New Roman" w:eastAsia="Calibri" w:hAnsi="Times New Roman" w:cs="Times New Roman"/>
          <w:sz w:val="24"/>
        </w:rPr>
        <w:t>Stalkers</w:t>
      </w:r>
      <w:proofErr w:type="spellEnd"/>
      <w:r w:rsidRPr="00A07F29">
        <w:rPr>
          <w:rFonts w:ascii="Times New Roman" w:eastAsia="Calibri" w:hAnsi="Times New Roman" w:cs="Times New Roman"/>
          <w:sz w:val="24"/>
        </w:rPr>
        <w:t xml:space="preserve">” Daugavas krastā, </w:t>
      </w:r>
      <w:r w:rsidR="000E1B3A" w:rsidRPr="00A07F29">
        <w:rPr>
          <w:rFonts w:ascii="Times New Roman" w:eastAsia="Calibri" w:hAnsi="Times New Roman" w:cs="Times New Roman"/>
          <w:sz w:val="24"/>
        </w:rPr>
        <w:t xml:space="preserve">mākslinieka </w:t>
      </w:r>
      <w:proofErr w:type="spellStart"/>
      <w:r w:rsidRPr="00A07F29">
        <w:rPr>
          <w:rFonts w:ascii="Times New Roman" w:eastAsia="Calibri" w:hAnsi="Times New Roman" w:cs="Times New Roman"/>
          <w:sz w:val="24"/>
        </w:rPr>
        <w:t>Jevģēnij</w:t>
      </w:r>
      <w:r w:rsidR="00C1223C" w:rsidRPr="00A07F29">
        <w:rPr>
          <w:rFonts w:ascii="Times New Roman" w:eastAsia="Calibri" w:hAnsi="Times New Roman" w:cs="Times New Roman"/>
          <w:sz w:val="24"/>
        </w:rPr>
        <w:t>a</w:t>
      </w:r>
      <w:proofErr w:type="spellEnd"/>
      <w:r w:rsidRPr="00A07F29">
        <w:rPr>
          <w:rFonts w:ascii="Times New Roman" w:eastAsia="Calibri" w:hAnsi="Times New Roman" w:cs="Times New Roman"/>
          <w:sz w:val="24"/>
        </w:rPr>
        <w:t xml:space="preserve"> </w:t>
      </w:r>
      <w:proofErr w:type="spellStart"/>
      <w:r w:rsidR="000E1B3A" w:rsidRPr="00A07F29">
        <w:rPr>
          <w:rFonts w:ascii="Times New Roman" w:eastAsia="Calibri" w:hAnsi="Times New Roman" w:cs="Times New Roman"/>
          <w:sz w:val="24"/>
        </w:rPr>
        <w:t>Pohoduna</w:t>
      </w:r>
      <w:proofErr w:type="spellEnd"/>
      <w:r w:rsidR="000E1B3A" w:rsidRPr="00A07F29">
        <w:rPr>
          <w:rFonts w:ascii="Times New Roman" w:eastAsia="Calibri" w:hAnsi="Times New Roman" w:cs="Times New Roman"/>
          <w:sz w:val="24"/>
        </w:rPr>
        <w:t xml:space="preserve"> darbnīca</w:t>
      </w:r>
      <w:r w:rsidRPr="00A07F29">
        <w:rPr>
          <w:rFonts w:ascii="Times New Roman" w:eastAsia="Calibri" w:hAnsi="Times New Roman" w:cs="Times New Roman"/>
          <w:sz w:val="24"/>
        </w:rPr>
        <w:t>, kā arī saimniecību apmeklējumi ar ekskursijām u.c. pakalpojumiem</w:t>
      </w:r>
      <w:r w:rsidR="00C1223C" w:rsidRPr="00A07F29">
        <w:rPr>
          <w:rFonts w:ascii="Times New Roman" w:eastAsia="Calibri" w:hAnsi="Times New Roman" w:cs="Times New Roman"/>
          <w:sz w:val="24"/>
        </w:rPr>
        <w:t>)</w:t>
      </w:r>
      <w:r w:rsidRPr="00A07F29">
        <w:rPr>
          <w:rFonts w:ascii="Times New Roman" w:eastAsia="Calibri" w:hAnsi="Times New Roman" w:cs="Times New Roman"/>
          <w:sz w:val="24"/>
        </w:rPr>
        <w:t xml:space="preserve">. </w:t>
      </w:r>
      <w:r w:rsidR="00BC7ABE" w:rsidRPr="00A07F29">
        <w:rPr>
          <w:rFonts w:ascii="Times New Roman" w:eastAsia="Calibri" w:hAnsi="Times New Roman" w:cs="Times New Roman"/>
          <w:sz w:val="24"/>
        </w:rPr>
        <w:t xml:space="preserve">AAA </w:t>
      </w:r>
      <w:r w:rsidRPr="00A07F29">
        <w:rPr>
          <w:rFonts w:ascii="Times New Roman" w:eastAsia="Calibri" w:hAnsi="Times New Roman" w:cs="Times New Roman"/>
          <w:sz w:val="24"/>
        </w:rPr>
        <w:t>“Augšdaugav</w:t>
      </w:r>
      <w:r w:rsidR="00BC7ABE" w:rsidRPr="00A07F29">
        <w:rPr>
          <w:rFonts w:ascii="Times New Roman" w:eastAsia="Calibri" w:hAnsi="Times New Roman" w:cs="Times New Roman"/>
          <w:sz w:val="24"/>
        </w:rPr>
        <w:t>a</w:t>
      </w:r>
      <w:r w:rsidRPr="00A07F29">
        <w:rPr>
          <w:rFonts w:ascii="Times New Roman" w:eastAsia="Calibri" w:hAnsi="Times New Roman" w:cs="Times New Roman"/>
          <w:sz w:val="24"/>
        </w:rPr>
        <w:t xml:space="preserve">” atrodas trīs apskates saimniecības: saimniecība “Cīruļi” (nodarbojas ar biškopību), </w:t>
      </w:r>
      <w:r w:rsidR="00BC7ABE" w:rsidRPr="00A07F29">
        <w:rPr>
          <w:rFonts w:ascii="Times New Roman" w:eastAsia="Calibri" w:hAnsi="Times New Roman" w:cs="Times New Roman"/>
          <w:sz w:val="24"/>
        </w:rPr>
        <w:t>zemnieku saimniecība</w:t>
      </w:r>
      <w:r w:rsidRPr="00A07F29">
        <w:rPr>
          <w:rFonts w:ascii="Times New Roman" w:eastAsia="Calibri" w:hAnsi="Times New Roman" w:cs="Times New Roman"/>
          <w:sz w:val="24"/>
        </w:rPr>
        <w:t xml:space="preserve"> </w:t>
      </w:r>
      <w:r w:rsidR="00BC7ABE" w:rsidRPr="00A07F29">
        <w:rPr>
          <w:rFonts w:ascii="Times New Roman" w:eastAsia="Calibri" w:hAnsi="Times New Roman" w:cs="Times New Roman"/>
          <w:sz w:val="24"/>
        </w:rPr>
        <w:t>“</w:t>
      </w:r>
      <w:r w:rsidRPr="00A07F29">
        <w:rPr>
          <w:rFonts w:ascii="Times New Roman" w:eastAsia="Calibri" w:hAnsi="Times New Roman" w:cs="Times New Roman"/>
          <w:sz w:val="24"/>
        </w:rPr>
        <w:t>Kurmīši</w:t>
      </w:r>
      <w:r w:rsidR="00BC7ABE" w:rsidRPr="00A07F29">
        <w:rPr>
          <w:rFonts w:ascii="Times New Roman" w:eastAsia="Calibri" w:hAnsi="Times New Roman" w:cs="Times New Roman"/>
          <w:sz w:val="24"/>
        </w:rPr>
        <w:t>”</w:t>
      </w:r>
      <w:r w:rsidR="00DD6DF2">
        <w:rPr>
          <w:rStyle w:val="FootnoteReference"/>
          <w:rFonts w:ascii="Times New Roman" w:eastAsia="Calibri" w:hAnsi="Times New Roman" w:cs="Times New Roman"/>
          <w:sz w:val="24"/>
        </w:rPr>
        <w:footnoteReference w:id="13"/>
      </w:r>
      <w:r w:rsidRPr="00A07F29">
        <w:rPr>
          <w:rFonts w:ascii="Times New Roman" w:eastAsia="Calibri" w:hAnsi="Times New Roman" w:cs="Times New Roman"/>
          <w:sz w:val="24"/>
        </w:rPr>
        <w:t xml:space="preserve"> (audzē un ievāc ārstniecības augu tējas, ražo bišu vaska šūnas un sveces) un zirgu sēta “Klajumi”</w:t>
      </w:r>
      <w:r w:rsidR="00DD6DF2">
        <w:rPr>
          <w:rStyle w:val="FootnoteReference"/>
          <w:rFonts w:ascii="Times New Roman" w:eastAsia="Calibri" w:hAnsi="Times New Roman" w:cs="Times New Roman"/>
          <w:sz w:val="24"/>
        </w:rPr>
        <w:footnoteReference w:id="14"/>
      </w:r>
      <w:r w:rsidRPr="00A07F29">
        <w:rPr>
          <w:rFonts w:ascii="Times New Roman" w:eastAsia="Calibri" w:hAnsi="Times New Roman" w:cs="Times New Roman"/>
          <w:sz w:val="24"/>
        </w:rPr>
        <w:t xml:space="preserve"> (viens no atpazīstamākajiem tūrisma uzņēmumiem AAA </w:t>
      </w:r>
      <w:r w:rsidR="005E0971" w:rsidRPr="00A07F29">
        <w:rPr>
          <w:rFonts w:ascii="Times New Roman" w:eastAsia="Calibri" w:hAnsi="Times New Roman" w:cs="Times New Roman"/>
          <w:sz w:val="24"/>
        </w:rPr>
        <w:t xml:space="preserve">“Augšdaugava” </w:t>
      </w:r>
      <w:r w:rsidRPr="00A07F29">
        <w:rPr>
          <w:rFonts w:ascii="Times New Roman" w:eastAsia="Calibri" w:hAnsi="Times New Roman" w:cs="Times New Roman"/>
          <w:sz w:val="24"/>
        </w:rPr>
        <w:t xml:space="preserve">teritorijā – piedāvā zirgu izjādes, vairāku dienu pārgājienus zirga mugurā, vingrošanu uz zirga un </w:t>
      </w:r>
      <w:proofErr w:type="spellStart"/>
      <w:r w:rsidRPr="00A07F29">
        <w:rPr>
          <w:rFonts w:ascii="Times New Roman" w:eastAsia="Calibri" w:hAnsi="Times New Roman" w:cs="Times New Roman"/>
          <w:sz w:val="24"/>
        </w:rPr>
        <w:t>reitt</w:t>
      </w:r>
      <w:r w:rsidR="00405FCF" w:rsidRPr="00A07F29">
        <w:rPr>
          <w:rFonts w:ascii="Times New Roman" w:eastAsia="Calibri" w:hAnsi="Times New Roman" w:cs="Times New Roman"/>
          <w:sz w:val="24"/>
        </w:rPr>
        <w:t>e</w:t>
      </w:r>
      <w:r w:rsidRPr="00A07F29">
        <w:rPr>
          <w:rFonts w:ascii="Times New Roman" w:eastAsia="Calibri" w:hAnsi="Times New Roman" w:cs="Times New Roman"/>
          <w:sz w:val="24"/>
        </w:rPr>
        <w:t>rapiju</w:t>
      </w:r>
      <w:proofErr w:type="spellEnd"/>
      <w:r w:rsidRPr="00A07F29">
        <w:rPr>
          <w:rFonts w:ascii="Times New Roman" w:eastAsia="Calibri" w:hAnsi="Times New Roman" w:cs="Times New Roman"/>
          <w:sz w:val="24"/>
        </w:rPr>
        <w:t>, naktsmītnes, Latgales Kulinārā mantojuma ēdienus u.c. pakalpojumus). Apmeklētāju skaits visās trijās saimniecībās kopā 2017.</w:t>
      </w:r>
      <w:r w:rsidR="00405FCF" w:rsidRPr="00A07F29">
        <w:rPr>
          <w:rFonts w:ascii="Times New Roman" w:eastAsia="Calibri" w:hAnsi="Times New Roman" w:cs="Times New Roman"/>
          <w:sz w:val="24"/>
        </w:rPr>
        <w:t> </w:t>
      </w:r>
      <w:r w:rsidRPr="00A07F29">
        <w:rPr>
          <w:rFonts w:ascii="Times New Roman" w:eastAsia="Calibri" w:hAnsi="Times New Roman" w:cs="Times New Roman"/>
          <w:sz w:val="24"/>
        </w:rPr>
        <w:t>gadā bija 3</w:t>
      </w:r>
      <w:r w:rsidR="00405FCF" w:rsidRPr="00A07F29">
        <w:rPr>
          <w:rFonts w:ascii="Times New Roman" w:eastAsia="Calibri" w:hAnsi="Times New Roman" w:cs="Times New Roman"/>
          <w:sz w:val="24"/>
        </w:rPr>
        <w:t> </w:t>
      </w:r>
      <w:r w:rsidRPr="00A07F29">
        <w:rPr>
          <w:rFonts w:ascii="Times New Roman" w:eastAsia="Calibri" w:hAnsi="Times New Roman" w:cs="Times New Roman"/>
          <w:sz w:val="24"/>
        </w:rPr>
        <w:t>621, 2018.</w:t>
      </w:r>
      <w:r w:rsidR="00405FCF" w:rsidRPr="00A07F29">
        <w:rPr>
          <w:rFonts w:ascii="Times New Roman" w:eastAsia="Calibri" w:hAnsi="Times New Roman" w:cs="Times New Roman"/>
          <w:sz w:val="24"/>
        </w:rPr>
        <w:t> </w:t>
      </w:r>
      <w:r w:rsidRPr="00A07F29">
        <w:rPr>
          <w:rFonts w:ascii="Times New Roman" w:eastAsia="Calibri" w:hAnsi="Times New Roman" w:cs="Times New Roman"/>
          <w:sz w:val="24"/>
        </w:rPr>
        <w:t>gadā – 3</w:t>
      </w:r>
      <w:r w:rsidR="00405FCF" w:rsidRPr="00A07F29">
        <w:rPr>
          <w:rFonts w:ascii="Times New Roman" w:eastAsia="Calibri" w:hAnsi="Times New Roman" w:cs="Times New Roman"/>
          <w:sz w:val="24"/>
        </w:rPr>
        <w:t> </w:t>
      </w:r>
      <w:r w:rsidRPr="00A07F29">
        <w:rPr>
          <w:rFonts w:ascii="Times New Roman" w:eastAsia="Calibri" w:hAnsi="Times New Roman" w:cs="Times New Roman"/>
          <w:sz w:val="24"/>
        </w:rPr>
        <w:t>142, savukārt 2019.</w:t>
      </w:r>
      <w:r w:rsidR="00405FCF" w:rsidRPr="00A07F29">
        <w:rPr>
          <w:rFonts w:ascii="Times New Roman" w:eastAsia="Calibri" w:hAnsi="Times New Roman" w:cs="Times New Roman"/>
          <w:sz w:val="24"/>
        </w:rPr>
        <w:t> </w:t>
      </w:r>
      <w:r w:rsidRPr="00A07F29">
        <w:rPr>
          <w:rFonts w:ascii="Times New Roman" w:eastAsia="Calibri" w:hAnsi="Times New Roman" w:cs="Times New Roman"/>
          <w:sz w:val="24"/>
        </w:rPr>
        <w:t>gadā jau 3</w:t>
      </w:r>
      <w:r w:rsidR="00405FCF" w:rsidRPr="00A07F29">
        <w:rPr>
          <w:rFonts w:ascii="Times New Roman" w:eastAsia="Calibri" w:hAnsi="Times New Roman" w:cs="Times New Roman"/>
          <w:sz w:val="24"/>
        </w:rPr>
        <w:t> </w:t>
      </w:r>
      <w:r w:rsidRPr="00A07F29">
        <w:rPr>
          <w:rFonts w:ascii="Times New Roman" w:eastAsia="Calibri" w:hAnsi="Times New Roman" w:cs="Times New Roman"/>
          <w:sz w:val="24"/>
        </w:rPr>
        <w:t>947 apmeklētāji (Krāslavas TIC dati), līdz ar to var secināt, ka interese par lauku saimniecībām AAA “Augšdaugava” teritorijas apmeklētājiem pieaug.</w:t>
      </w:r>
      <w:r w:rsidR="00296D77" w:rsidRPr="00A07F29">
        <w:rPr>
          <w:rFonts w:ascii="Times New Roman" w:eastAsia="Calibri" w:hAnsi="Times New Roman" w:cs="Times New Roman"/>
          <w:sz w:val="24"/>
        </w:rPr>
        <w:t xml:space="preserve"> Korekcijas ieviesa </w:t>
      </w:r>
      <w:r w:rsidR="00961374" w:rsidRPr="00A07F29">
        <w:rPr>
          <w:rFonts w:ascii="Times New Roman" w:eastAsia="Calibri" w:hAnsi="Times New Roman" w:cs="Times New Roman"/>
          <w:sz w:val="24"/>
        </w:rPr>
        <w:t xml:space="preserve">Covid-19 pandēmija, </w:t>
      </w:r>
      <w:r w:rsidR="00E34A5D" w:rsidRPr="00A07F29">
        <w:rPr>
          <w:rFonts w:ascii="Times New Roman" w:eastAsia="Calibri" w:hAnsi="Times New Roman" w:cs="Times New Roman"/>
          <w:sz w:val="24"/>
        </w:rPr>
        <w:t xml:space="preserve">pēc kuras </w:t>
      </w:r>
      <w:r w:rsidR="004F5438" w:rsidRPr="00A07F29">
        <w:rPr>
          <w:rFonts w:ascii="Times New Roman" w:eastAsia="Calibri" w:hAnsi="Times New Roman" w:cs="Times New Roman"/>
          <w:sz w:val="24"/>
        </w:rPr>
        <w:t>nozar</w:t>
      </w:r>
      <w:r w:rsidR="00190AA6" w:rsidRPr="00A07F29">
        <w:rPr>
          <w:rFonts w:ascii="Times New Roman" w:eastAsia="Calibri" w:hAnsi="Times New Roman" w:cs="Times New Roman"/>
          <w:sz w:val="24"/>
        </w:rPr>
        <w:t xml:space="preserve">e šobrīd pamazām </w:t>
      </w:r>
      <w:r w:rsidR="00E742B3" w:rsidRPr="00A07F29">
        <w:rPr>
          <w:rFonts w:ascii="Times New Roman" w:eastAsia="Calibri" w:hAnsi="Times New Roman" w:cs="Times New Roman"/>
          <w:sz w:val="24"/>
        </w:rPr>
        <w:t>atjauno iepriekšējos rādītājus.</w:t>
      </w:r>
    </w:p>
    <w:p w14:paraId="6AE1BCBC" w14:textId="6314C52D" w:rsidR="009072CE" w:rsidRPr="00A07F29" w:rsidRDefault="009072CE" w:rsidP="00EF3715">
      <w:pPr>
        <w:spacing w:after="120" w:line="240" w:lineRule="auto"/>
        <w:ind w:firstLine="851"/>
        <w:jc w:val="both"/>
        <w:rPr>
          <w:rFonts w:ascii="Times New Roman" w:eastAsia="Calibri" w:hAnsi="Times New Roman" w:cs="Times New Roman"/>
          <w:sz w:val="24"/>
        </w:rPr>
      </w:pPr>
      <w:r w:rsidRPr="00A07F29">
        <w:rPr>
          <w:rFonts w:ascii="Times New Roman" w:eastAsia="Calibri" w:hAnsi="Times New Roman" w:cs="Times New Roman"/>
          <w:sz w:val="24"/>
        </w:rPr>
        <w:t xml:space="preserve">Tā kā visā teritorijā ir tikai </w:t>
      </w:r>
      <w:r w:rsidR="000817B9" w:rsidRPr="00A07F29">
        <w:rPr>
          <w:rFonts w:ascii="Times New Roman" w:eastAsia="Calibri" w:hAnsi="Times New Roman" w:cs="Times New Roman"/>
          <w:sz w:val="24"/>
        </w:rPr>
        <w:t>trīs</w:t>
      </w:r>
      <w:r w:rsidRPr="00A07F29">
        <w:rPr>
          <w:rFonts w:ascii="Times New Roman" w:eastAsia="Calibri" w:hAnsi="Times New Roman" w:cs="Times New Roman"/>
          <w:sz w:val="24"/>
        </w:rPr>
        <w:t xml:space="preserve"> apskates saimniecības, šis ir viens no virzieniem, kādā attīstīt tūrisma piedāvājumu </w:t>
      </w:r>
      <w:r w:rsidR="005E0971" w:rsidRPr="00A07F29">
        <w:rPr>
          <w:rFonts w:ascii="Times New Roman" w:eastAsia="Calibri" w:hAnsi="Times New Roman" w:cs="Times New Roman"/>
          <w:sz w:val="24"/>
        </w:rPr>
        <w:t xml:space="preserve">AAA </w:t>
      </w:r>
      <w:r w:rsidRPr="00A07F29">
        <w:rPr>
          <w:rFonts w:ascii="Times New Roman" w:eastAsia="Calibri" w:hAnsi="Times New Roman" w:cs="Times New Roman"/>
          <w:sz w:val="24"/>
        </w:rPr>
        <w:t>“</w:t>
      </w:r>
      <w:r w:rsidR="00E65F0C" w:rsidRPr="00A07F29">
        <w:rPr>
          <w:rFonts w:ascii="Times New Roman" w:eastAsia="Calibri" w:hAnsi="Times New Roman" w:cs="Times New Roman"/>
          <w:sz w:val="24"/>
        </w:rPr>
        <w:t>Augšdaugava</w:t>
      </w:r>
      <w:r w:rsidRPr="00A07F29">
        <w:rPr>
          <w:rFonts w:ascii="Times New Roman" w:eastAsia="Calibri" w:hAnsi="Times New Roman" w:cs="Times New Roman"/>
          <w:sz w:val="24"/>
        </w:rPr>
        <w:t xml:space="preserve">” – atverot apmeklētājiem jaunas saimniecības, </w:t>
      </w:r>
      <w:r w:rsidR="00BC7ABE" w:rsidRPr="00A07F29">
        <w:rPr>
          <w:rFonts w:ascii="Times New Roman" w:eastAsia="Calibri" w:hAnsi="Times New Roman" w:cs="Times New Roman"/>
          <w:sz w:val="24"/>
        </w:rPr>
        <w:t xml:space="preserve">tai skaitā ar dabas vērošanas piedāvājumiem, </w:t>
      </w:r>
      <w:r w:rsidRPr="00A07F29">
        <w:rPr>
          <w:rFonts w:ascii="Times New Roman" w:eastAsia="Calibri" w:hAnsi="Times New Roman" w:cs="Times New Roman"/>
          <w:sz w:val="24"/>
        </w:rPr>
        <w:t xml:space="preserve">kā arī vēlamas ir amatnieku darbnīcas, tādējādi iepazīstinot teritorijas apmeklētājus ar vietējo iedzīvotāju saimniekošanu un tradīcijām, kas ir neatņemama </w:t>
      </w:r>
      <w:r w:rsidR="005E0971" w:rsidRPr="00A07F29">
        <w:rPr>
          <w:rFonts w:ascii="Times New Roman" w:eastAsia="Calibri" w:hAnsi="Times New Roman" w:cs="Times New Roman"/>
          <w:sz w:val="24"/>
        </w:rPr>
        <w:t xml:space="preserve">AAA </w:t>
      </w:r>
      <w:r w:rsidRPr="00A07F29">
        <w:rPr>
          <w:rFonts w:ascii="Times New Roman" w:eastAsia="Calibri" w:hAnsi="Times New Roman" w:cs="Times New Roman"/>
          <w:sz w:val="24"/>
        </w:rPr>
        <w:t>“Augšdaugava” kultūrainavas sastāvdaļa.</w:t>
      </w:r>
    </w:p>
    <w:p w14:paraId="71126B29" w14:textId="77777777" w:rsidR="009072CE" w:rsidRPr="00A07F29" w:rsidRDefault="009072CE" w:rsidP="00EF3715">
      <w:pPr>
        <w:spacing w:before="240" w:after="120" w:line="240" w:lineRule="auto"/>
        <w:jc w:val="both"/>
        <w:rPr>
          <w:rFonts w:ascii="Times New Roman" w:eastAsia="Calibri" w:hAnsi="Times New Roman" w:cs="Times New Roman"/>
          <w:b/>
          <w:i/>
          <w:sz w:val="24"/>
        </w:rPr>
      </w:pPr>
      <w:r w:rsidRPr="00A07F29">
        <w:rPr>
          <w:rFonts w:ascii="Times New Roman" w:eastAsia="Calibri" w:hAnsi="Times New Roman" w:cs="Times New Roman"/>
          <w:b/>
          <w:i/>
          <w:sz w:val="24"/>
        </w:rPr>
        <w:t>Naktsmītnes un ēdināšanas pakalpojumi</w:t>
      </w:r>
    </w:p>
    <w:p w14:paraId="7AD8E8C7" w14:textId="6354FE73" w:rsidR="009072CE" w:rsidRPr="00A07F29" w:rsidRDefault="009072CE" w:rsidP="00DC7932">
      <w:pPr>
        <w:spacing w:after="120" w:line="240" w:lineRule="auto"/>
        <w:ind w:firstLine="851"/>
        <w:jc w:val="both"/>
        <w:rPr>
          <w:rFonts w:ascii="Times New Roman" w:eastAsia="Calibri" w:hAnsi="Times New Roman" w:cs="Times New Roman"/>
          <w:sz w:val="24"/>
        </w:rPr>
      </w:pPr>
      <w:r w:rsidRPr="00A07F29">
        <w:rPr>
          <w:rFonts w:ascii="Times New Roman" w:eastAsia="Calibri" w:hAnsi="Times New Roman" w:cs="Times New Roman"/>
          <w:sz w:val="24"/>
        </w:rPr>
        <w:t xml:space="preserve">Vairums </w:t>
      </w:r>
      <w:r w:rsidR="005E0971" w:rsidRPr="00A07F29">
        <w:rPr>
          <w:rFonts w:ascii="Times New Roman" w:eastAsia="Calibri" w:hAnsi="Times New Roman" w:cs="Times New Roman"/>
          <w:sz w:val="24"/>
        </w:rPr>
        <w:t xml:space="preserve">AAA </w:t>
      </w:r>
      <w:r w:rsidRPr="00A07F29">
        <w:rPr>
          <w:rFonts w:ascii="Times New Roman" w:eastAsia="Calibri" w:hAnsi="Times New Roman" w:cs="Times New Roman"/>
          <w:sz w:val="24"/>
        </w:rPr>
        <w:t>“</w:t>
      </w:r>
      <w:r w:rsidR="00E65F0C" w:rsidRPr="00A07F29">
        <w:rPr>
          <w:rFonts w:ascii="Times New Roman" w:eastAsia="Calibri" w:hAnsi="Times New Roman" w:cs="Times New Roman"/>
          <w:sz w:val="24"/>
        </w:rPr>
        <w:t>Augšdaugava</w:t>
      </w:r>
      <w:r w:rsidRPr="00A07F29">
        <w:rPr>
          <w:rFonts w:ascii="Times New Roman" w:eastAsia="Calibri" w:hAnsi="Times New Roman" w:cs="Times New Roman"/>
          <w:sz w:val="24"/>
        </w:rPr>
        <w:t>” esošo naktsmītņu piedāvā arī citus pakalpojumus, ne tikai tūristu izmitināšanu, piemēram, velo, laivu, plostu nomu, pirti, telpu nomu pasākumiem, izjādes ar zirgiem, ekskursiju pa saimniecību vai apkārtni.</w:t>
      </w:r>
      <w:r w:rsidR="00D65BBA" w:rsidRPr="00A07F29">
        <w:rPr>
          <w:rFonts w:ascii="Times New Roman" w:eastAsia="Calibri" w:hAnsi="Times New Roman" w:cs="Times New Roman"/>
          <w:sz w:val="24"/>
        </w:rPr>
        <w:t xml:space="preserve"> </w:t>
      </w:r>
      <w:r w:rsidRPr="00A07F29">
        <w:rPr>
          <w:rFonts w:ascii="Times New Roman" w:eastAsia="Calibri" w:hAnsi="Times New Roman" w:cs="Times New Roman"/>
          <w:sz w:val="24"/>
        </w:rPr>
        <w:t xml:space="preserve">Kā liecina Krāslavas TIC sniegtie dati, </w:t>
      </w:r>
      <w:r w:rsidR="008A58CA" w:rsidRPr="00A07F29">
        <w:rPr>
          <w:rFonts w:ascii="Times New Roman" w:eastAsia="Calibri" w:hAnsi="Times New Roman" w:cs="Times New Roman"/>
          <w:sz w:val="24"/>
        </w:rPr>
        <w:t>laika periodā no 2017.</w:t>
      </w:r>
      <w:r w:rsidR="00DC7932" w:rsidRPr="00A07F29">
        <w:rPr>
          <w:rFonts w:ascii="Times New Roman" w:eastAsia="Calibri" w:hAnsi="Times New Roman" w:cs="Times New Roman"/>
          <w:sz w:val="24"/>
        </w:rPr>
        <w:t> – </w:t>
      </w:r>
      <w:r w:rsidR="008A58CA" w:rsidRPr="00A07F29">
        <w:rPr>
          <w:rFonts w:ascii="Times New Roman" w:eastAsia="Calibri" w:hAnsi="Times New Roman" w:cs="Times New Roman"/>
          <w:sz w:val="24"/>
        </w:rPr>
        <w:t>2019.</w:t>
      </w:r>
      <w:r w:rsidR="00DC7932" w:rsidRPr="00A07F29">
        <w:rPr>
          <w:rFonts w:ascii="Times New Roman" w:eastAsia="Calibri" w:hAnsi="Times New Roman" w:cs="Times New Roman"/>
          <w:sz w:val="24"/>
        </w:rPr>
        <w:t> </w:t>
      </w:r>
      <w:r w:rsidR="008A58CA" w:rsidRPr="00A07F29">
        <w:rPr>
          <w:rFonts w:ascii="Times New Roman" w:eastAsia="Calibri" w:hAnsi="Times New Roman" w:cs="Times New Roman"/>
          <w:sz w:val="24"/>
        </w:rPr>
        <w:t xml:space="preserve">gadam </w:t>
      </w:r>
      <w:r w:rsidRPr="00A07F29">
        <w:rPr>
          <w:rFonts w:ascii="Times New Roman" w:eastAsia="Calibri" w:hAnsi="Times New Roman" w:cs="Times New Roman"/>
          <w:sz w:val="24"/>
        </w:rPr>
        <w:t>nakšņotāju skaits naktsmītnēs Krāslavas novadā (AAA “Augšdaugava” teritorijā) un Krāslavas pilsētā (t.sk. arī naktsmītnēs, kas neatrodas AAA teritorijā, taču atrodas tiešā tuvumā) ir palielinājies. Tūristu skaits Krāslavas novada (AAA “Augšdaugava” teritorijā) un Krāslavas pilsētas naktsmītnēs ir apkopots 3.4.1.</w:t>
      </w:r>
      <w:r w:rsidR="00543B4A" w:rsidRPr="00A07F29">
        <w:rPr>
          <w:rFonts w:ascii="Times New Roman" w:eastAsia="Calibri" w:hAnsi="Times New Roman" w:cs="Times New Roman"/>
          <w:sz w:val="24"/>
        </w:rPr>
        <w:t> </w:t>
      </w:r>
      <w:r w:rsidRPr="00A07F29">
        <w:rPr>
          <w:rFonts w:ascii="Times New Roman" w:eastAsia="Calibri" w:hAnsi="Times New Roman" w:cs="Times New Roman"/>
          <w:sz w:val="24"/>
        </w:rPr>
        <w:t>tabulā.</w:t>
      </w:r>
      <w:r w:rsidR="00196449" w:rsidRPr="00A07F29">
        <w:rPr>
          <w:rFonts w:ascii="Times New Roman" w:eastAsia="Calibri" w:hAnsi="Times New Roman" w:cs="Times New Roman"/>
          <w:sz w:val="24"/>
        </w:rPr>
        <w:t xml:space="preserve"> Analīzē nav ietverts periods Covid-19 laikā un šobrīd, jo </w:t>
      </w:r>
      <w:r w:rsidR="000E5D5A" w:rsidRPr="00A07F29">
        <w:rPr>
          <w:rFonts w:ascii="Times New Roman" w:eastAsia="Calibri" w:hAnsi="Times New Roman" w:cs="Times New Roman"/>
          <w:sz w:val="24"/>
        </w:rPr>
        <w:t xml:space="preserve">krīzes situācija būtiski ietekmējusi visas </w:t>
      </w:r>
      <w:r w:rsidR="005D42D3" w:rsidRPr="00A07F29">
        <w:rPr>
          <w:rFonts w:ascii="Times New Roman" w:eastAsia="Calibri" w:hAnsi="Times New Roman" w:cs="Times New Roman"/>
          <w:sz w:val="24"/>
        </w:rPr>
        <w:t>jomas.</w:t>
      </w:r>
    </w:p>
    <w:p w14:paraId="6E671BC4" w14:textId="715A9404" w:rsidR="009072CE" w:rsidRPr="00A07F29" w:rsidRDefault="009072CE" w:rsidP="00EF3715">
      <w:pPr>
        <w:spacing w:before="240" w:after="120" w:line="240" w:lineRule="auto"/>
        <w:jc w:val="center"/>
        <w:rPr>
          <w:rFonts w:ascii="Times New Roman" w:eastAsia="Calibri" w:hAnsi="Times New Roman" w:cs="Times New Roman"/>
          <w:bCs/>
          <w:iCs/>
          <w:sz w:val="24"/>
          <w:szCs w:val="24"/>
        </w:rPr>
      </w:pPr>
      <w:r w:rsidRPr="00A07F29">
        <w:rPr>
          <w:rFonts w:ascii="Times New Roman" w:eastAsia="Calibri" w:hAnsi="Times New Roman" w:cs="Times New Roman"/>
          <w:bCs/>
          <w:iCs/>
          <w:sz w:val="24"/>
          <w:szCs w:val="24"/>
        </w:rPr>
        <w:t>3.4.1.</w:t>
      </w:r>
      <w:r w:rsidR="00BB3E78" w:rsidRPr="00A07F29">
        <w:rPr>
          <w:rFonts w:ascii="Times New Roman" w:eastAsia="Calibri" w:hAnsi="Times New Roman" w:cs="Times New Roman"/>
          <w:bCs/>
          <w:iCs/>
          <w:sz w:val="24"/>
          <w:szCs w:val="24"/>
        </w:rPr>
        <w:t> </w:t>
      </w:r>
      <w:r w:rsidRPr="00A07F29">
        <w:rPr>
          <w:rFonts w:ascii="Times New Roman" w:eastAsia="Calibri" w:hAnsi="Times New Roman" w:cs="Times New Roman"/>
          <w:bCs/>
          <w:iCs/>
          <w:sz w:val="24"/>
          <w:szCs w:val="24"/>
        </w:rPr>
        <w:t>tabula. Nakšņotāju skaits Krāslavas novada (AAA “Augšdaugava” teritorijā) un Krāslavas pilsētas naktsmītnēs (Krāslavas TIC dati).</w:t>
      </w:r>
    </w:p>
    <w:tbl>
      <w:tblPr>
        <w:tblStyle w:val="TableGrid"/>
        <w:tblW w:w="0" w:type="auto"/>
        <w:tblLook w:val="04A0" w:firstRow="1" w:lastRow="0" w:firstColumn="1" w:lastColumn="0" w:noHBand="0" w:noVBand="1"/>
      </w:tblPr>
      <w:tblGrid>
        <w:gridCol w:w="2238"/>
        <w:gridCol w:w="2310"/>
        <w:gridCol w:w="2310"/>
        <w:gridCol w:w="2158"/>
      </w:tblGrid>
      <w:tr w:rsidR="009072CE" w:rsidRPr="00A07F29" w14:paraId="5DAD8231" w14:textId="77777777" w:rsidTr="00BC7ABE">
        <w:trPr>
          <w:trHeight w:val="261"/>
        </w:trPr>
        <w:tc>
          <w:tcPr>
            <w:tcW w:w="2636" w:type="dxa"/>
            <w:shd w:val="clear" w:color="auto" w:fill="C2D69B" w:themeFill="accent3" w:themeFillTint="99"/>
          </w:tcPr>
          <w:p w14:paraId="04A1299D" w14:textId="77777777" w:rsidR="009072CE" w:rsidRPr="00A07F29" w:rsidRDefault="009072CE" w:rsidP="00EF3715">
            <w:pPr>
              <w:rPr>
                <w:rFonts w:ascii="Times New Roman" w:eastAsia="Calibri" w:hAnsi="Times New Roman" w:cs="Times New Roman"/>
              </w:rPr>
            </w:pPr>
          </w:p>
        </w:tc>
        <w:tc>
          <w:tcPr>
            <w:tcW w:w="2636" w:type="dxa"/>
            <w:shd w:val="clear" w:color="auto" w:fill="C2D69B" w:themeFill="accent3" w:themeFillTint="99"/>
          </w:tcPr>
          <w:p w14:paraId="35C625CE" w14:textId="3D76FBA4" w:rsidR="009072CE" w:rsidRPr="00A07F29" w:rsidRDefault="009072CE" w:rsidP="00EF3715">
            <w:pPr>
              <w:rPr>
                <w:rFonts w:ascii="Times New Roman" w:eastAsia="Calibri" w:hAnsi="Times New Roman" w:cs="Times New Roman"/>
                <w:b/>
                <w:bCs/>
              </w:rPr>
            </w:pPr>
            <w:r w:rsidRPr="00A07F29">
              <w:rPr>
                <w:rFonts w:ascii="Times New Roman" w:eastAsia="Calibri" w:hAnsi="Times New Roman" w:cs="Times New Roman"/>
                <w:b/>
                <w:bCs/>
              </w:rPr>
              <w:t>2017.</w:t>
            </w:r>
            <w:r w:rsidR="00BB3E78" w:rsidRPr="00A07F29">
              <w:rPr>
                <w:rFonts w:ascii="Times New Roman" w:eastAsia="Calibri" w:hAnsi="Times New Roman" w:cs="Times New Roman"/>
                <w:b/>
                <w:bCs/>
              </w:rPr>
              <w:t> </w:t>
            </w:r>
            <w:r w:rsidRPr="00A07F29">
              <w:rPr>
                <w:rFonts w:ascii="Times New Roman" w:eastAsia="Calibri" w:hAnsi="Times New Roman" w:cs="Times New Roman"/>
                <w:b/>
                <w:bCs/>
              </w:rPr>
              <w:t>gads</w:t>
            </w:r>
          </w:p>
        </w:tc>
        <w:tc>
          <w:tcPr>
            <w:tcW w:w="2637" w:type="dxa"/>
            <w:shd w:val="clear" w:color="auto" w:fill="C2D69B" w:themeFill="accent3" w:themeFillTint="99"/>
          </w:tcPr>
          <w:p w14:paraId="0DA52B67" w14:textId="636434A3" w:rsidR="009072CE" w:rsidRPr="00A07F29" w:rsidRDefault="009072CE" w:rsidP="00EF3715">
            <w:pPr>
              <w:rPr>
                <w:rFonts w:ascii="Times New Roman" w:eastAsia="Calibri" w:hAnsi="Times New Roman" w:cs="Times New Roman"/>
                <w:b/>
                <w:bCs/>
              </w:rPr>
            </w:pPr>
            <w:r w:rsidRPr="00A07F29">
              <w:rPr>
                <w:rFonts w:ascii="Times New Roman" w:eastAsia="Calibri" w:hAnsi="Times New Roman" w:cs="Times New Roman"/>
                <w:b/>
                <w:bCs/>
              </w:rPr>
              <w:t>2018.</w:t>
            </w:r>
            <w:r w:rsidR="00BB3E78" w:rsidRPr="00A07F29">
              <w:rPr>
                <w:rFonts w:ascii="Times New Roman" w:eastAsia="Calibri" w:hAnsi="Times New Roman" w:cs="Times New Roman"/>
                <w:b/>
                <w:bCs/>
              </w:rPr>
              <w:t> </w:t>
            </w:r>
            <w:r w:rsidRPr="00A07F29">
              <w:rPr>
                <w:rFonts w:ascii="Times New Roman" w:eastAsia="Calibri" w:hAnsi="Times New Roman" w:cs="Times New Roman"/>
                <w:b/>
                <w:bCs/>
              </w:rPr>
              <w:t>gads</w:t>
            </w:r>
          </w:p>
        </w:tc>
        <w:tc>
          <w:tcPr>
            <w:tcW w:w="2440" w:type="dxa"/>
            <w:shd w:val="clear" w:color="auto" w:fill="C2D69B" w:themeFill="accent3" w:themeFillTint="99"/>
          </w:tcPr>
          <w:p w14:paraId="147EC08C" w14:textId="5436BB96" w:rsidR="009072CE" w:rsidRPr="00A07F29" w:rsidRDefault="009072CE" w:rsidP="00EF3715">
            <w:pPr>
              <w:rPr>
                <w:rFonts w:ascii="Times New Roman" w:eastAsia="Calibri" w:hAnsi="Times New Roman" w:cs="Times New Roman"/>
                <w:b/>
                <w:bCs/>
              </w:rPr>
            </w:pPr>
            <w:r w:rsidRPr="00A07F29">
              <w:rPr>
                <w:rFonts w:ascii="Times New Roman" w:eastAsia="Calibri" w:hAnsi="Times New Roman" w:cs="Times New Roman"/>
                <w:b/>
                <w:bCs/>
              </w:rPr>
              <w:t>2019.</w:t>
            </w:r>
            <w:r w:rsidR="00BB3E78" w:rsidRPr="00A07F29">
              <w:rPr>
                <w:rFonts w:ascii="Times New Roman" w:eastAsia="Calibri" w:hAnsi="Times New Roman" w:cs="Times New Roman"/>
                <w:b/>
                <w:bCs/>
              </w:rPr>
              <w:t> </w:t>
            </w:r>
            <w:r w:rsidRPr="00A07F29">
              <w:rPr>
                <w:rFonts w:ascii="Times New Roman" w:eastAsia="Calibri" w:hAnsi="Times New Roman" w:cs="Times New Roman"/>
                <w:b/>
                <w:bCs/>
              </w:rPr>
              <w:t>gads</w:t>
            </w:r>
          </w:p>
        </w:tc>
      </w:tr>
      <w:tr w:rsidR="009072CE" w:rsidRPr="00A07F29" w14:paraId="3A4184D4" w14:textId="77777777" w:rsidTr="009056A3">
        <w:trPr>
          <w:trHeight w:val="247"/>
        </w:trPr>
        <w:tc>
          <w:tcPr>
            <w:tcW w:w="2636" w:type="dxa"/>
          </w:tcPr>
          <w:p w14:paraId="646868A4" w14:textId="77777777" w:rsidR="009072CE" w:rsidRPr="00A07F29" w:rsidRDefault="009072CE" w:rsidP="00EF3715">
            <w:pPr>
              <w:rPr>
                <w:rFonts w:ascii="Times New Roman" w:eastAsia="Calibri" w:hAnsi="Times New Roman" w:cs="Times New Roman"/>
              </w:rPr>
            </w:pPr>
            <w:r w:rsidRPr="00A07F29">
              <w:rPr>
                <w:rFonts w:ascii="Times New Roman" w:eastAsia="Calibri" w:hAnsi="Times New Roman" w:cs="Times New Roman"/>
              </w:rPr>
              <w:t>Ārpus pilsētas</w:t>
            </w:r>
          </w:p>
        </w:tc>
        <w:tc>
          <w:tcPr>
            <w:tcW w:w="2636" w:type="dxa"/>
          </w:tcPr>
          <w:p w14:paraId="1483496D" w14:textId="77777777" w:rsidR="009072CE" w:rsidRPr="00A07F29" w:rsidRDefault="009072CE" w:rsidP="00EF3715">
            <w:pPr>
              <w:rPr>
                <w:rFonts w:ascii="Times New Roman" w:eastAsia="Calibri" w:hAnsi="Times New Roman" w:cs="Times New Roman"/>
              </w:rPr>
            </w:pPr>
            <w:r w:rsidRPr="00A07F29">
              <w:rPr>
                <w:rFonts w:ascii="Times New Roman" w:eastAsia="Calibri" w:hAnsi="Times New Roman" w:cs="Times New Roman"/>
              </w:rPr>
              <w:t>2474</w:t>
            </w:r>
          </w:p>
        </w:tc>
        <w:tc>
          <w:tcPr>
            <w:tcW w:w="2637" w:type="dxa"/>
          </w:tcPr>
          <w:p w14:paraId="0BA49904" w14:textId="77777777" w:rsidR="009072CE" w:rsidRPr="00A07F29" w:rsidRDefault="009072CE" w:rsidP="00EF3715">
            <w:pPr>
              <w:rPr>
                <w:rFonts w:ascii="Times New Roman" w:eastAsia="Calibri" w:hAnsi="Times New Roman" w:cs="Times New Roman"/>
              </w:rPr>
            </w:pPr>
            <w:r w:rsidRPr="00A07F29">
              <w:rPr>
                <w:rFonts w:ascii="Times New Roman" w:eastAsia="Calibri" w:hAnsi="Times New Roman" w:cs="Times New Roman"/>
              </w:rPr>
              <w:t>2687</w:t>
            </w:r>
          </w:p>
        </w:tc>
        <w:tc>
          <w:tcPr>
            <w:tcW w:w="2440" w:type="dxa"/>
          </w:tcPr>
          <w:p w14:paraId="448EEDB1" w14:textId="77777777" w:rsidR="009072CE" w:rsidRPr="00A07F29" w:rsidRDefault="009072CE" w:rsidP="00EF3715">
            <w:pPr>
              <w:rPr>
                <w:rFonts w:ascii="Times New Roman" w:eastAsia="Calibri" w:hAnsi="Times New Roman" w:cs="Times New Roman"/>
              </w:rPr>
            </w:pPr>
            <w:r w:rsidRPr="00A07F29">
              <w:rPr>
                <w:rFonts w:ascii="Times New Roman" w:eastAsia="Calibri" w:hAnsi="Times New Roman" w:cs="Times New Roman"/>
              </w:rPr>
              <w:t>3896</w:t>
            </w:r>
          </w:p>
        </w:tc>
      </w:tr>
      <w:tr w:rsidR="009072CE" w:rsidRPr="00A07F29" w14:paraId="67FEBAA0" w14:textId="77777777" w:rsidTr="009056A3">
        <w:trPr>
          <w:trHeight w:val="261"/>
        </w:trPr>
        <w:tc>
          <w:tcPr>
            <w:tcW w:w="2636" w:type="dxa"/>
          </w:tcPr>
          <w:p w14:paraId="7E919792" w14:textId="77777777" w:rsidR="009072CE" w:rsidRPr="00A07F29" w:rsidRDefault="009072CE" w:rsidP="00EF3715">
            <w:pPr>
              <w:rPr>
                <w:rFonts w:ascii="Times New Roman" w:eastAsia="Calibri" w:hAnsi="Times New Roman" w:cs="Times New Roman"/>
              </w:rPr>
            </w:pPr>
            <w:r w:rsidRPr="00A07F29">
              <w:rPr>
                <w:rFonts w:ascii="Times New Roman" w:eastAsia="Calibri" w:hAnsi="Times New Roman" w:cs="Times New Roman"/>
              </w:rPr>
              <w:t>Pilsētā</w:t>
            </w:r>
          </w:p>
        </w:tc>
        <w:tc>
          <w:tcPr>
            <w:tcW w:w="2636" w:type="dxa"/>
          </w:tcPr>
          <w:p w14:paraId="3270C516" w14:textId="77777777" w:rsidR="009072CE" w:rsidRPr="00A07F29" w:rsidRDefault="009072CE" w:rsidP="00EF3715">
            <w:pPr>
              <w:rPr>
                <w:rFonts w:ascii="Times New Roman" w:eastAsia="Calibri" w:hAnsi="Times New Roman" w:cs="Times New Roman"/>
              </w:rPr>
            </w:pPr>
            <w:r w:rsidRPr="00A07F29">
              <w:rPr>
                <w:rFonts w:ascii="Times New Roman" w:eastAsia="Calibri" w:hAnsi="Times New Roman" w:cs="Times New Roman"/>
              </w:rPr>
              <w:t>2533</w:t>
            </w:r>
          </w:p>
        </w:tc>
        <w:tc>
          <w:tcPr>
            <w:tcW w:w="2637" w:type="dxa"/>
          </w:tcPr>
          <w:p w14:paraId="2B459903" w14:textId="77777777" w:rsidR="009072CE" w:rsidRPr="00A07F29" w:rsidRDefault="009072CE" w:rsidP="00EF3715">
            <w:pPr>
              <w:rPr>
                <w:rFonts w:ascii="Times New Roman" w:eastAsia="Calibri" w:hAnsi="Times New Roman" w:cs="Times New Roman"/>
              </w:rPr>
            </w:pPr>
            <w:r w:rsidRPr="00A07F29">
              <w:rPr>
                <w:rFonts w:ascii="Times New Roman" w:eastAsia="Calibri" w:hAnsi="Times New Roman" w:cs="Times New Roman"/>
              </w:rPr>
              <w:t>2545</w:t>
            </w:r>
          </w:p>
        </w:tc>
        <w:tc>
          <w:tcPr>
            <w:tcW w:w="2440" w:type="dxa"/>
          </w:tcPr>
          <w:p w14:paraId="280BCE86" w14:textId="77777777" w:rsidR="009072CE" w:rsidRPr="00A07F29" w:rsidRDefault="009072CE" w:rsidP="00EF3715">
            <w:pPr>
              <w:rPr>
                <w:rFonts w:ascii="Times New Roman" w:eastAsia="Calibri" w:hAnsi="Times New Roman" w:cs="Times New Roman"/>
              </w:rPr>
            </w:pPr>
            <w:r w:rsidRPr="00A07F29">
              <w:rPr>
                <w:rFonts w:ascii="Times New Roman" w:eastAsia="Calibri" w:hAnsi="Times New Roman" w:cs="Times New Roman"/>
              </w:rPr>
              <w:t>2116</w:t>
            </w:r>
          </w:p>
        </w:tc>
      </w:tr>
      <w:tr w:rsidR="009072CE" w:rsidRPr="00A07F29" w14:paraId="3F35107C" w14:textId="77777777" w:rsidTr="009056A3">
        <w:trPr>
          <w:trHeight w:val="247"/>
        </w:trPr>
        <w:tc>
          <w:tcPr>
            <w:tcW w:w="2636" w:type="dxa"/>
          </w:tcPr>
          <w:p w14:paraId="324A850F" w14:textId="77777777" w:rsidR="009072CE" w:rsidRPr="00A07F29" w:rsidRDefault="009072CE" w:rsidP="00EF3715">
            <w:pPr>
              <w:rPr>
                <w:rFonts w:ascii="Times New Roman" w:eastAsia="Calibri" w:hAnsi="Times New Roman" w:cs="Times New Roman"/>
                <w:b/>
                <w:bCs/>
              </w:rPr>
            </w:pPr>
            <w:r w:rsidRPr="00A07F29">
              <w:rPr>
                <w:rFonts w:ascii="Times New Roman" w:eastAsia="Calibri" w:hAnsi="Times New Roman" w:cs="Times New Roman"/>
                <w:b/>
                <w:bCs/>
              </w:rPr>
              <w:t>Kopā</w:t>
            </w:r>
          </w:p>
        </w:tc>
        <w:tc>
          <w:tcPr>
            <w:tcW w:w="2636" w:type="dxa"/>
          </w:tcPr>
          <w:p w14:paraId="6FDF70BB" w14:textId="77777777" w:rsidR="009072CE" w:rsidRPr="00A07F29" w:rsidRDefault="009072CE" w:rsidP="00EF3715">
            <w:pPr>
              <w:rPr>
                <w:rFonts w:ascii="Times New Roman" w:eastAsia="Calibri" w:hAnsi="Times New Roman" w:cs="Times New Roman"/>
                <w:b/>
                <w:bCs/>
              </w:rPr>
            </w:pPr>
            <w:r w:rsidRPr="00A07F29">
              <w:rPr>
                <w:rFonts w:ascii="Times New Roman" w:eastAsia="Calibri" w:hAnsi="Times New Roman" w:cs="Times New Roman"/>
                <w:b/>
                <w:bCs/>
              </w:rPr>
              <w:t>5007</w:t>
            </w:r>
          </w:p>
        </w:tc>
        <w:tc>
          <w:tcPr>
            <w:tcW w:w="2637" w:type="dxa"/>
          </w:tcPr>
          <w:p w14:paraId="69F49F6E" w14:textId="77777777" w:rsidR="009072CE" w:rsidRPr="00A07F29" w:rsidRDefault="009072CE" w:rsidP="00EF3715">
            <w:pPr>
              <w:rPr>
                <w:rFonts w:ascii="Times New Roman" w:eastAsia="Calibri" w:hAnsi="Times New Roman" w:cs="Times New Roman"/>
                <w:b/>
                <w:bCs/>
              </w:rPr>
            </w:pPr>
            <w:r w:rsidRPr="00A07F29">
              <w:rPr>
                <w:rFonts w:ascii="Times New Roman" w:eastAsia="Calibri" w:hAnsi="Times New Roman" w:cs="Times New Roman"/>
                <w:b/>
                <w:bCs/>
              </w:rPr>
              <w:t>5232</w:t>
            </w:r>
          </w:p>
        </w:tc>
        <w:tc>
          <w:tcPr>
            <w:tcW w:w="2440" w:type="dxa"/>
          </w:tcPr>
          <w:p w14:paraId="68953592" w14:textId="77777777" w:rsidR="009072CE" w:rsidRPr="00A07F29" w:rsidRDefault="009072CE" w:rsidP="00EF3715">
            <w:pPr>
              <w:rPr>
                <w:rFonts w:ascii="Times New Roman" w:eastAsia="Calibri" w:hAnsi="Times New Roman" w:cs="Times New Roman"/>
                <w:b/>
                <w:bCs/>
              </w:rPr>
            </w:pPr>
            <w:r w:rsidRPr="00A07F29">
              <w:rPr>
                <w:rFonts w:ascii="Times New Roman" w:eastAsia="Calibri" w:hAnsi="Times New Roman" w:cs="Times New Roman"/>
                <w:b/>
                <w:bCs/>
              </w:rPr>
              <w:t>6012</w:t>
            </w:r>
          </w:p>
        </w:tc>
      </w:tr>
    </w:tbl>
    <w:p w14:paraId="71C634D8" w14:textId="77777777" w:rsidR="009072CE" w:rsidRPr="00A07F29" w:rsidRDefault="009072CE" w:rsidP="00EF3715">
      <w:pPr>
        <w:spacing w:after="0" w:line="240" w:lineRule="auto"/>
        <w:jc w:val="both"/>
        <w:rPr>
          <w:rFonts w:ascii="Times New Roman" w:eastAsia="Calibri" w:hAnsi="Times New Roman" w:cs="Times New Roman"/>
          <w:sz w:val="24"/>
        </w:rPr>
      </w:pPr>
      <w:r w:rsidRPr="00A07F29">
        <w:rPr>
          <w:rFonts w:ascii="Times New Roman" w:eastAsia="Calibri" w:hAnsi="Times New Roman" w:cs="Times New Roman"/>
          <w:sz w:val="24"/>
        </w:rPr>
        <w:t xml:space="preserve"> </w:t>
      </w:r>
    </w:p>
    <w:p w14:paraId="2F54D2DD" w14:textId="2817A614" w:rsidR="009072CE" w:rsidRPr="00A07F29" w:rsidRDefault="009072CE" w:rsidP="00EF3715">
      <w:pPr>
        <w:spacing w:after="120" w:line="240" w:lineRule="auto"/>
        <w:ind w:firstLine="851"/>
        <w:jc w:val="both"/>
        <w:rPr>
          <w:rFonts w:ascii="Calibri" w:eastAsia="Calibri" w:hAnsi="Calibri" w:cs="Times New Roman"/>
          <w:b/>
        </w:rPr>
      </w:pPr>
      <w:r w:rsidRPr="00A07F29">
        <w:rPr>
          <w:rFonts w:ascii="Times New Roman" w:eastAsia="Calibri" w:hAnsi="Times New Roman" w:cs="Times New Roman"/>
          <w:sz w:val="24"/>
        </w:rPr>
        <w:t>AAA “Augšdaugava” teritorijā ir viena kafejnīca “Karamele”, kas atrodas Krāslavas pilsētā, un vairākas naktsmītnes (</w:t>
      </w:r>
      <w:proofErr w:type="spellStart"/>
      <w:r w:rsidRPr="00A07F29">
        <w:rPr>
          <w:rFonts w:ascii="Times New Roman" w:eastAsia="Calibri" w:hAnsi="Times New Roman" w:cs="Times New Roman"/>
          <w:sz w:val="24"/>
        </w:rPr>
        <w:t>Lielbornes</w:t>
      </w:r>
      <w:proofErr w:type="spellEnd"/>
      <w:r w:rsidRPr="00A07F29">
        <w:rPr>
          <w:rFonts w:ascii="Times New Roman" w:eastAsia="Calibri" w:hAnsi="Times New Roman" w:cs="Times New Roman"/>
          <w:sz w:val="24"/>
        </w:rPr>
        <w:t xml:space="preserve"> muiža, Zirgu sēta “Klajumi”, motelis “Piedruja” un viesu nams “</w:t>
      </w:r>
      <w:proofErr w:type="spellStart"/>
      <w:r w:rsidRPr="00A07F29">
        <w:rPr>
          <w:rFonts w:ascii="Times New Roman" w:eastAsia="Calibri" w:hAnsi="Times New Roman" w:cs="Times New Roman"/>
          <w:sz w:val="24"/>
        </w:rPr>
        <w:t>Forest</w:t>
      </w:r>
      <w:proofErr w:type="spellEnd"/>
      <w:r w:rsidRPr="00A07F29">
        <w:rPr>
          <w:rFonts w:ascii="Times New Roman" w:eastAsia="Calibri" w:hAnsi="Times New Roman" w:cs="Times New Roman"/>
          <w:sz w:val="24"/>
        </w:rPr>
        <w:t xml:space="preserve"> B&amp;B”) piedāvā ēdināšanu pēc iepriekšēja pasūtījuma. </w:t>
      </w:r>
      <w:proofErr w:type="spellStart"/>
      <w:r w:rsidRPr="00A07F29">
        <w:rPr>
          <w:rFonts w:ascii="Times New Roman" w:eastAsia="Calibri" w:hAnsi="Times New Roman" w:cs="Times New Roman"/>
          <w:sz w:val="24"/>
        </w:rPr>
        <w:t>Lielbornes</w:t>
      </w:r>
      <w:proofErr w:type="spellEnd"/>
      <w:r w:rsidRPr="00A07F29">
        <w:rPr>
          <w:rFonts w:ascii="Times New Roman" w:eastAsia="Calibri" w:hAnsi="Times New Roman" w:cs="Times New Roman"/>
          <w:sz w:val="24"/>
        </w:rPr>
        <w:t xml:space="preserve"> muižā, “Klajumos” un “Piedrujā” iespējams pasūtīt Latgales kulinārā mantojuma ēdienus. Maltītes ir iespējams ieturēt vairākās kafejnīcās Krāslavas pilsētā ārpus AAA teritorijas, kā arī pie AAA “Augšdaugava” robežas, Naujenē, darbojas kafejnīca “Baltais krogs”.</w:t>
      </w:r>
    </w:p>
    <w:p w14:paraId="642A3F93" w14:textId="77777777" w:rsidR="009072CE" w:rsidRPr="00A07F29" w:rsidRDefault="009072CE" w:rsidP="00EF3715">
      <w:pPr>
        <w:spacing w:before="240" w:after="120" w:line="240" w:lineRule="auto"/>
        <w:jc w:val="both"/>
        <w:rPr>
          <w:rFonts w:ascii="Times New Roman" w:eastAsia="Calibri" w:hAnsi="Times New Roman" w:cs="Times New Roman"/>
          <w:b/>
          <w:i/>
          <w:sz w:val="24"/>
        </w:rPr>
      </w:pPr>
      <w:r w:rsidRPr="00A07F29">
        <w:rPr>
          <w:rFonts w:ascii="Times New Roman" w:eastAsia="Calibri" w:hAnsi="Times New Roman" w:cs="Times New Roman"/>
          <w:b/>
          <w:i/>
          <w:sz w:val="24"/>
        </w:rPr>
        <w:t>Sabiedrības izglītošana un tūrisma informācija</w:t>
      </w:r>
    </w:p>
    <w:p w14:paraId="43D5DBB2" w14:textId="31AFC5D9" w:rsidR="009072CE" w:rsidRPr="00A07F29" w:rsidRDefault="009072CE" w:rsidP="00EF3715">
      <w:pPr>
        <w:spacing w:after="120" w:line="240" w:lineRule="auto"/>
        <w:ind w:firstLine="851"/>
        <w:jc w:val="both"/>
        <w:rPr>
          <w:rFonts w:ascii="Times New Roman" w:eastAsia="Calibri" w:hAnsi="Times New Roman" w:cs="Times New Roman"/>
          <w:sz w:val="24"/>
        </w:rPr>
      </w:pPr>
      <w:r w:rsidRPr="00A07F29">
        <w:rPr>
          <w:rFonts w:ascii="Times New Roman" w:eastAsia="Calibri" w:hAnsi="Times New Roman" w:cs="Times New Roman"/>
          <w:sz w:val="24"/>
        </w:rPr>
        <w:lastRenderedPageBreak/>
        <w:t>Naujenē, pie pašas AAA “Augšdaugava” teritorijas robežas, atrodas Naujenes novadpētniecības muzejs</w:t>
      </w:r>
      <w:r w:rsidR="009C065C">
        <w:rPr>
          <w:rStyle w:val="FootnoteReference"/>
          <w:rFonts w:ascii="Times New Roman" w:eastAsia="Calibri" w:hAnsi="Times New Roman" w:cs="Times New Roman"/>
          <w:sz w:val="24"/>
        </w:rPr>
        <w:footnoteReference w:id="15"/>
      </w:r>
      <w:r w:rsidRPr="00A07F29">
        <w:rPr>
          <w:rFonts w:ascii="Times New Roman" w:eastAsia="Calibri" w:hAnsi="Times New Roman" w:cs="Times New Roman"/>
          <w:sz w:val="24"/>
        </w:rPr>
        <w:t xml:space="preserve"> un Dabas informācijas centrs, kur ir iespējams izzināt novada vēsturi un etnogrāfiju, līdzdarboties radošajās darbnīcās, piedalīties muzeja rīkotajos pasākumos, kā arī iesaistīties Lielā Augšdaugavas </w:t>
      </w:r>
      <w:proofErr w:type="spellStart"/>
      <w:r w:rsidRPr="00A07F29">
        <w:rPr>
          <w:rFonts w:ascii="Times New Roman" w:eastAsia="Calibri" w:hAnsi="Times New Roman" w:cs="Times New Roman"/>
          <w:sz w:val="24"/>
        </w:rPr>
        <w:t>musturdeķa</w:t>
      </w:r>
      <w:proofErr w:type="spellEnd"/>
      <w:r w:rsidRPr="00A07F29">
        <w:rPr>
          <w:rFonts w:ascii="Times New Roman" w:eastAsia="Calibri" w:hAnsi="Times New Roman" w:cs="Times New Roman"/>
          <w:sz w:val="24"/>
        </w:rPr>
        <w:t xml:space="preserve"> veidošanā. Muzejā ir izveidota arī dabas ekspozīcija “</w:t>
      </w:r>
      <w:proofErr w:type="spellStart"/>
      <w:r w:rsidRPr="00A07F29">
        <w:rPr>
          <w:rFonts w:ascii="Times New Roman" w:eastAsia="Calibri" w:hAnsi="Times New Roman" w:cs="Times New Roman"/>
          <w:sz w:val="24"/>
        </w:rPr>
        <w:t>SirdsDaugava</w:t>
      </w:r>
      <w:proofErr w:type="spellEnd"/>
      <w:r w:rsidRPr="00A07F29">
        <w:rPr>
          <w:rFonts w:ascii="Times New Roman" w:eastAsia="Calibri" w:hAnsi="Times New Roman" w:cs="Times New Roman"/>
          <w:sz w:val="24"/>
        </w:rPr>
        <w:t xml:space="preserve">”, kas mūsdienīgā un interaktīvā veidā ļauj iepazīties ar AAA “Augšdaugava” dabas vērtībām, kā arī uzzināt par tūrisma iespējām un kultūrvēstures mantojumu </w:t>
      </w:r>
      <w:r w:rsidR="005E0971" w:rsidRPr="00A07F29">
        <w:rPr>
          <w:rFonts w:ascii="Times New Roman" w:eastAsia="Calibri" w:hAnsi="Times New Roman" w:cs="Times New Roman"/>
          <w:sz w:val="24"/>
        </w:rPr>
        <w:t xml:space="preserve">AAA </w:t>
      </w:r>
      <w:r w:rsidRPr="00A07F29">
        <w:rPr>
          <w:rFonts w:ascii="Times New Roman" w:eastAsia="Calibri" w:hAnsi="Times New Roman" w:cs="Times New Roman"/>
          <w:sz w:val="24"/>
        </w:rPr>
        <w:t xml:space="preserve">“Augšdaugavā”. Dabas informācijas centrs piedāvā ekskursijas </w:t>
      </w:r>
      <w:r w:rsidR="007E64F7" w:rsidRPr="00A07F29">
        <w:rPr>
          <w:rFonts w:ascii="Times New Roman" w:eastAsia="Calibri" w:hAnsi="Times New Roman" w:cs="Times New Roman"/>
          <w:sz w:val="24"/>
        </w:rPr>
        <w:t>DP</w:t>
      </w:r>
      <w:r w:rsidRPr="00A07F29">
        <w:rPr>
          <w:rFonts w:ascii="Times New Roman" w:eastAsia="Calibri" w:hAnsi="Times New Roman" w:cs="Times New Roman"/>
          <w:sz w:val="24"/>
        </w:rPr>
        <w:t xml:space="preserve"> “Daugavas loki” un gida pakalpojumus latviešu, krievu un latgaliešu valodās. </w:t>
      </w:r>
    </w:p>
    <w:p w14:paraId="7E5A07B6" w14:textId="4A6C11FB" w:rsidR="009072CE" w:rsidRPr="00A07F29" w:rsidRDefault="009072CE" w:rsidP="00EF3715">
      <w:pPr>
        <w:spacing w:after="120" w:line="240" w:lineRule="auto"/>
        <w:ind w:firstLine="851"/>
        <w:jc w:val="both"/>
        <w:rPr>
          <w:rFonts w:ascii="Times New Roman" w:eastAsia="Calibri" w:hAnsi="Times New Roman" w:cs="Times New Roman"/>
          <w:sz w:val="24"/>
        </w:rPr>
      </w:pPr>
      <w:proofErr w:type="spellStart"/>
      <w:r w:rsidRPr="00A07F29">
        <w:rPr>
          <w:rFonts w:ascii="Times New Roman" w:eastAsia="Calibri" w:hAnsi="Times New Roman" w:cs="Times New Roman"/>
          <w:sz w:val="24"/>
        </w:rPr>
        <w:t>Slutišķu</w:t>
      </w:r>
      <w:proofErr w:type="spellEnd"/>
      <w:r w:rsidRPr="00A07F29">
        <w:rPr>
          <w:rFonts w:ascii="Times New Roman" w:eastAsia="Calibri" w:hAnsi="Times New Roman" w:cs="Times New Roman"/>
          <w:sz w:val="24"/>
        </w:rPr>
        <w:t xml:space="preserve"> sādža ar tajā esošo Naujenes novadpētniecības muzeja etnogrāfisko brīvdabas nodaļu “</w:t>
      </w:r>
      <w:proofErr w:type="spellStart"/>
      <w:r w:rsidRPr="00A07F29">
        <w:rPr>
          <w:rFonts w:ascii="Times New Roman" w:eastAsia="Calibri" w:hAnsi="Times New Roman" w:cs="Times New Roman"/>
          <w:sz w:val="24"/>
        </w:rPr>
        <w:t>Slutišķu</w:t>
      </w:r>
      <w:proofErr w:type="spellEnd"/>
      <w:r w:rsidRPr="00A07F29">
        <w:rPr>
          <w:rFonts w:ascii="Times New Roman" w:eastAsia="Calibri" w:hAnsi="Times New Roman" w:cs="Times New Roman"/>
          <w:sz w:val="24"/>
        </w:rPr>
        <w:t xml:space="preserve"> vecticībnieku lauku sēta”</w:t>
      </w:r>
      <w:r w:rsidR="009C065C">
        <w:rPr>
          <w:rStyle w:val="FootnoteReference"/>
          <w:rFonts w:ascii="Times New Roman" w:eastAsia="Calibri" w:hAnsi="Times New Roman" w:cs="Times New Roman"/>
          <w:sz w:val="24"/>
        </w:rPr>
        <w:footnoteReference w:id="16"/>
      </w:r>
      <w:r w:rsidRPr="00A07F29">
        <w:rPr>
          <w:rFonts w:ascii="Times New Roman" w:eastAsia="Calibri" w:hAnsi="Times New Roman" w:cs="Times New Roman"/>
          <w:sz w:val="24"/>
        </w:rPr>
        <w:t xml:space="preserve"> ir viens no atpazīstamākajiem tūrisma objektiem </w:t>
      </w:r>
      <w:r w:rsidR="007E64F7" w:rsidRPr="00A07F29">
        <w:rPr>
          <w:rFonts w:ascii="Times New Roman" w:eastAsia="Calibri" w:hAnsi="Times New Roman" w:cs="Times New Roman"/>
          <w:sz w:val="24"/>
        </w:rPr>
        <w:t>DP</w:t>
      </w:r>
      <w:r w:rsidRPr="00A07F29">
        <w:rPr>
          <w:rFonts w:ascii="Times New Roman" w:eastAsia="Calibri" w:hAnsi="Times New Roman" w:cs="Times New Roman"/>
          <w:sz w:val="24"/>
        </w:rPr>
        <w:t xml:space="preserve"> “Daugavas loki” un AAA “Augšdaugava”. </w:t>
      </w:r>
      <w:proofErr w:type="spellStart"/>
      <w:r w:rsidRPr="00A07F29">
        <w:rPr>
          <w:rFonts w:ascii="Times New Roman" w:eastAsia="Calibri" w:hAnsi="Times New Roman" w:cs="Times New Roman"/>
          <w:sz w:val="24"/>
        </w:rPr>
        <w:t>Slutišķu</w:t>
      </w:r>
      <w:proofErr w:type="spellEnd"/>
      <w:r w:rsidRPr="00A07F29">
        <w:rPr>
          <w:rFonts w:ascii="Times New Roman" w:eastAsia="Calibri" w:hAnsi="Times New Roman" w:cs="Times New Roman"/>
          <w:sz w:val="24"/>
        </w:rPr>
        <w:t xml:space="preserve"> vecticībnieku lauku sēta ir unikāls muzejs Latvijas mērogā, jo atrodas autentiskā vidē – mūsdienās vēl joprojām apdzīvotā sādžā, kur iespējams iepazīties ar unikāliem Latgales vecticībnieku sadzīves un garīgās kultūras elementiem. </w:t>
      </w:r>
    </w:p>
    <w:p w14:paraId="5A12906D" w14:textId="4B5835DD" w:rsidR="009072CE" w:rsidRPr="00A07F29" w:rsidRDefault="009072CE" w:rsidP="00EF3715">
      <w:pPr>
        <w:spacing w:after="120" w:line="240" w:lineRule="auto"/>
        <w:ind w:firstLine="851"/>
        <w:jc w:val="both"/>
        <w:rPr>
          <w:rFonts w:ascii="Times New Roman" w:eastAsia="Calibri" w:hAnsi="Times New Roman" w:cs="Times New Roman"/>
          <w:sz w:val="24"/>
        </w:rPr>
      </w:pPr>
      <w:r w:rsidRPr="00A07F29">
        <w:rPr>
          <w:rFonts w:ascii="Times New Roman" w:eastAsia="Calibri" w:hAnsi="Times New Roman" w:cs="Times New Roman"/>
          <w:sz w:val="24"/>
        </w:rPr>
        <w:t>AAA “Augšdaugava” teritorijā atrodas Piedrujas pagasta muzejs, kur iespējams iepazīties ar vietējo iedzīvotāju sadzīvi dažādos laika periodos. Ārpus AAA “Augšdaugava”, bet pie pašas teritorijas robežas atrodas arī Krāslavas Vēstures un mākslas muzejs (atrodas vienā no Krāslavas pils kompleksa ēkām) un Kalniešu muzejs (Kalniešu pagasts, Krāslavas novads), kur iespējams apmeklēt ekspozīcijas par Kalniešu pagasta vēsturi un izglītību. Apmeklētāju skaits Naujenes Novadpētniecības muzejā (t.sk. etnogrāfiskā brīvdabas nodaļa “</w:t>
      </w:r>
      <w:proofErr w:type="spellStart"/>
      <w:r w:rsidRPr="00A07F29">
        <w:rPr>
          <w:rFonts w:ascii="Times New Roman" w:eastAsia="Calibri" w:hAnsi="Times New Roman" w:cs="Times New Roman"/>
          <w:sz w:val="24"/>
        </w:rPr>
        <w:t>Slutišķu</w:t>
      </w:r>
      <w:proofErr w:type="spellEnd"/>
      <w:r w:rsidRPr="00A07F29">
        <w:rPr>
          <w:rFonts w:ascii="Times New Roman" w:eastAsia="Calibri" w:hAnsi="Times New Roman" w:cs="Times New Roman"/>
          <w:sz w:val="24"/>
        </w:rPr>
        <w:t xml:space="preserve"> vecticībnieku lauku sēta”) un Krāslavas novada muzejos (Krāslavas Vēstures un mākslas muzejs, Kalniešu muzejs un Piedrujas pagasta muzejs) ir apkopots 3.4.2.</w:t>
      </w:r>
      <w:r w:rsidR="00CA2590" w:rsidRPr="00A07F29">
        <w:rPr>
          <w:rFonts w:ascii="Times New Roman" w:eastAsia="Calibri" w:hAnsi="Times New Roman" w:cs="Times New Roman"/>
          <w:sz w:val="24"/>
        </w:rPr>
        <w:t> </w:t>
      </w:r>
      <w:r w:rsidRPr="00A07F29">
        <w:rPr>
          <w:rFonts w:ascii="Times New Roman" w:eastAsia="Calibri" w:hAnsi="Times New Roman" w:cs="Times New Roman"/>
          <w:sz w:val="24"/>
        </w:rPr>
        <w:t xml:space="preserve">tabulā. Naujenes Novadpētniecības muzeja apmeklētāju skaits </w:t>
      </w:r>
      <w:r w:rsidR="00D3795B" w:rsidRPr="00A07F29">
        <w:rPr>
          <w:rFonts w:ascii="Times New Roman" w:eastAsia="Calibri" w:hAnsi="Times New Roman" w:cs="Times New Roman"/>
          <w:sz w:val="24"/>
        </w:rPr>
        <w:t>laika periodā no 2017.</w:t>
      </w:r>
      <w:r w:rsidR="00CA2590" w:rsidRPr="00A07F29">
        <w:rPr>
          <w:rFonts w:ascii="Times New Roman" w:eastAsia="Calibri" w:hAnsi="Times New Roman" w:cs="Times New Roman"/>
          <w:sz w:val="24"/>
        </w:rPr>
        <w:t> – </w:t>
      </w:r>
      <w:r w:rsidR="00D3795B" w:rsidRPr="00A07F29">
        <w:rPr>
          <w:rFonts w:ascii="Times New Roman" w:eastAsia="Calibri" w:hAnsi="Times New Roman" w:cs="Times New Roman"/>
          <w:sz w:val="24"/>
        </w:rPr>
        <w:t>2019.</w:t>
      </w:r>
      <w:r w:rsidR="00CA2590" w:rsidRPr="00A07F29">
        <w:rPr>
          <w:rFonts w:ascii="Times New Roman" w:eastAsia="Calibri" w:hAnsi="Times New Roman" w:cs="Times New Roman"/>
          <w:sz w:val="24"/>
        </w:rPr>
        <w:t> </w:t>
      </w:r>
      <w:r w:rsidR="00D3795B" w:rsidRPr="00A07F29">
        <w:rPr>
          <w:rFonts w:ascii="Times New Roman" w:eastAsia="Calibri" w:hAnsi="Times New Roman" w:cs="Times New Roman"/>
          <w:sz w:val="24"/>
        </w:rPr>
        <w:t xml:space="preserve">gadam </w:t>
      </w:r>
      <w:r w:rsidRPr="00A07F29">
        <w:rPr>
          <w:rFonts w:ascii="Times New Roman" w:eastAsia="Calibri" w:hAnsi="Times New Roman" w:cs="Times New Roman"/>
          <w:sz w:val="24"/>
        </w:rPr>
        <w:t xml:space="preserve">nav ar viennozīmīgu tendenci – dinamika ir mainīga. Savukārt Krāslavas novada muzejos </w:t>
      </w:r>
      <w:r w:rsidR="004371AC" w:rsidRPr="00A07F29">
        <w:rPr>
          <w:rFonts w:ascii="Times New Roman" w:eastAsia="Calibri" w:hAnsi="Times New Roman" w:cs="Times New Roman"/>
          <w:sz w:val="24"/>
        </w:rPr>
        <w:t>laika periodā no 2017.</w:t>
      </w:r>
      <w:r w:rsidR="00CA2590" w:rsidRPr="00A07F29">
        <w:rPr>
          <w:rFonts w:ascii="Times New Roman" w:eastAsia="Calibri" w:hAnsi="Times New Roman" w:cs="Times New Roman"/>
          <w:sz w:val="24"/>
        </w:rPr>
        <w:t> – </w:t>
      </w:r>
      <w:r w:rsidR="004371AC" w:rsidRPr="00A07F29">
        <w:rPr>
          <w:rFonts w:ascii="Times New Roman" w:eastAsia="Calibri" w:hAnsi="Times New Roman" w:cs="Times New Roman"/>
          <w:sz w:val="24"/>
        </w:rPr>
        <w:t>2019.</w:t>
      </w:r>
      <w:r w:rsidR="00CA2590" w:rsidRPr="00A07F29">
        <w:rPr>
          <w:rFonts w:ascii="Times New Roman" w:eastAsia="Calibri" w:hAnsi="Times New Roman" w:cs="Times New Roman"/>
          <w:sz w:val="24"/>
        </w:rPr>
        <w:t> </w:t>
      </w:r>
      <w:r w:rsidR="004371AC" w:rsidRPr="00A07F29">
        <w:rPr>
          <w:rFonts w:ascii="Times New Roman" w:eastAsia="Calibri" w:hAnsi="Times New Roman" w:cs="Times New Roman"/>
          <w:sz w:val="24"/>
        </w:rPr>
        <w:t xml:space="preserve">gadam </w:t>
      </w:r>
      <w:r w:rsidRPr="00A07F29">
        <w:rPr>
          <w:rFonts w:ascii="Times New Roman" w:eastAsia="Calibri" w:hAnsi="Times New Roman" w:cs="Times New Roman"/>
          <w:sz w:val="24"/>
        </w:rPr>
        <w:t>vērojams apmeklētāju skaita pieaugums.</w:t>
      </w:r>
    </w:p>
    <w:p w14:paraId="153B898E" w14:textId="1DCF6B21" w:rsidR="009072CE" w:rsidRPr="00A07F29" w:rsidRDefault="009072CE" w:rsidP="004814E0">
      <w:pPr>
        <w:keepNext/>
        <w:spacing w:before="240" w:after="120" w:line="240" w:lineRule="auto"/>
        <w:jc w:val="center"/>
        <w:rPr>
          <w:rFonts w:ascii="Times New Roman" w:eastAsia="Calibri" w:hAnsi="Times New Roman" w:cs="Times New Roman"/>
          <w:bCs/>
          <w:iCs/>
          <w:sz w:val="24"/>
          <w:szCs w:val="24"/>
        </w:rPr>
      </w:pPr>
      <w:r w:rsidRPr="00A07F29">
        <w:rPr>
          <w:rFonts w:ascii="Times New Roman" w:eastAsia="Calibri" w:hAnsi="Times New Roman" w:cs="Times New Roman"/>
          <w:bCs/>
          <w:iCs/>
          <w:sz w:val="24"/>
          <w:szCs w:val="24"/>
        </w:rPr>
        <w:t>3.4.2.</w:t>
      </w:r>
      <w:r w:rsidR="00CA2590" w:rsidRPr="00A07F29">
        <w:rPr>
          <w:rFonts w:ascii="Times New Roman" w:eastAsia="Calibri" w:hAnsi="Times New Roman" w:cs="Times New Roman"/>
          <w:bCs/>
          <w:iCs/>
          <w:sz w:val="24"/>
          <w:szCs w:val="24"/>
        </w:rPr>
        <w:t> </w:t>
      </w:r>
      <w:r w:rsidRPr="00A07F29">
        <w:rPr>
          <w:rFonts w:ascii="Times New Roman" w:eastAsia="Calibri" w:hAnsi="Times New Roman" w:cs="Times New Roman"/>
          <w:bCs/>
          <w:iCs/>
          <w:sz w:val="24"/>
          <w:szCs w:val="24"/>
        </w:rPr>
        <w:t>tabula. Apmeklētāju skaits Naujenes Novadpētniecības muzejā (t.sk. etnogrāfiskā brīvdabas nodaļa “</w:t>
      </w:r>
      <w:proofErr w:type="spellStart"/>
      <w:r w:rsidRPr="00A07F29">
        <w:rPr>
          <w:rFonts w:ascii="Times New Roman" w:eastAsia="Calibri" w:hAnsi="Times New Roman" w:cs="Times New Roman"/>
          <w:bCs/>
          <w:iCs/>
          <w:sz w:val="24"/>
          <w:szCs w:val="24"/>
        </w:rPr>
        <w:t>Slutišķu</w:t>
      </w:r>
      <w:proofErr w:type="spellEnd"/>
      <w:r w:rsidRPr="00A07F29">
        <w:rPr>
          <w:rFonts w:ascii="Times New Roman" w:eastAsia="Calibri" w:hAnsi="Times New Roman" w:cs="Times New Roman"/>
          <w:bCs/>
          <w:iCs/>
          <w:sz w:val="24"/>
          <w:szCs w:val="24"/>
        </w:rPr>
        <w:t xml:space="preserve"> vecticībnieku lauku sēta”) un Krāslavas novada muzejos </w:t>
      </w:r>
      <w:r w:rsidRPr="00A07F29">
        <w:rPr>
          <w:rFonts w:ascii="Times New Roman" w:eastAsia="Calibri" w:hAnsi="Times New Roman" w:cs="Times New Roman"/>
          <w:bCs/>
          <w:iCs/>
        </w:rPr>
        <w:t>(Krāslavas TIC un Naujenes Novadpētniecības muzeja dati)</w:t>
      </w:r>
    </w:p>
    <w:tbl>
      <w:tblPr>
        <w:tblStyle w:val="TableGrid"/>
        <w:tblW w:w="9028" w:type="dxa"/>
        <w:jc w:val="center"/>
        <w:tblLook w:val="04A0" w:firstRow="1" w:lastRow="0" w:firstColumn="1" w:lastColumn="0" w:noHBand="0" w:noVBand="1"/>
      </w:tblPr>
      <w:tblGrid>
        <w:gridCol w:w="3544"/>
        <w:gridCol w:w="925"/>
        <w:gridCol w:w="926"/>
        <w:gridCol w:w="925"/>
        <w:gridCol w:w="926"/>
        <w:gridCol w:w="925"/>
        <w:gridCol w:w="857"/>
      </w:tblGrid>
      <w:tr w:rsidR="009072CE" w:rsidRPr="00A07F29" w14:paraId="32E998A5" w14:textId="77777777" w:rsidTr="00C14FA1">
        <w:trPr>
          <w:trHeight w:val="248"/>
          <w:jc w:val="center"/>
        </w:trPr>
        <w:tc>
          <w:tcPr>
            <w:tcW w:w="3544" w:type="dxa"/>
            <w:shd w:val="clear" w:color="auto" w:fill="C2D69B" w:themeFill="accent3" w:themeFillTint="99"/>
          </w:tcPr>
          <w:p w14:paraId="2818CBE7" w14:textId="77777777" w:rsidR="009072CE" w:rsidRPr="00A07F29" w:rsidRDefault="009072CE" w:rsidP="00EF3715">
            <w:pPr>
              <w:jc w:val="both"/>
              <w:rPr>
                <w:rFonts w:ascii="Times New Roman" w:eastAsia="Calibri" w:hAnsi="Times New Roman" w:cs="Times New Roman"/>
              </w:rPr>
            </w:pPr>
          </w:p>
        </w:tc>
        <w:tc>
          <w:tcPr>
            <w:tcW w:w="925" w:type="dxa"/>
            <w:shd w:val="clear" w:color="auto" w:fill="C2D69B" w:themeFill="accent3" w:themeFillTint="99"/>
          </w:tcPr>
          <w:p w14:paraId="5A53230D" w14:textId="77777777" w:rsidR="009072CE" w:rsidRPr="00A07F29" w:rsidRDefault="009072CE" w:rsidP="00EF3715">
            <w:pPr>
              <w:jc w:val="both"/>
              <w:rPr>
                <w:rFonts w:ascii="Times New Roman" w:eastAsia="Calibri" w:hAnsi="Times New Roman" w:cs="Times New Roman"/>
              </w:rPr>
            </w:pPr>
            <w:r w:rsidRPr="00A07F29">
              <w:rPr>
                <w:rFonts w:ascii="Times New Roman" w:eastAsia="Calibri" w:hAnsi="Times New Roman" w:cs="Times New Roman"/>
              </w:rPr>
              <w:t>2014</w:t>
            </w:r>
          </w:p>
        </w:tc>
        <w:tc>
          <w:tcPr>
            <w:tcW w:w="926" w:type="dxa"/>
            <w:shd w:val="clear" w:color="auto" w:fill="C2D69B" w:themeFill="accent3" w:themeFillTint="99"/>
          </w:tcPr>
          <w:p w14:paraId="42748429" w14:textId="77777777" w:rsidR="009072CE" w:rsidRPr="00A07F29" w:rsidRDefault="009072CE" w:rsidP="00EF3715">
            <w:pPr>
              <w:jc w:val="both"/>
              <w:rPr>
                <w:rFonts w:ascii="Times New Roman" w:eastAsia="Calibri" w:hAnsi="Times New Roman" w:cs="Times New Roman"/>
              </w:rPr>
            </w:pPr>
            <w:r w:rsidRPr="00A07F29">
              <w:rPr>
                <w:rFonts w:ascii="Times New Roman" w:eastAsia="Calibri" w:hAnsi="Times New Roman" w:cs="Times New Roman"/>
              </w:rPr>
              <w:t>2015</w:t>
            </w:r>
          </w:p>
        </w:tc>
        <w:tc>
          <w:tcPr>
            <w:tcW w:w="925" w:type="dxa"/>
            <w:shd w:val="clear" w:color="auto" w:fill="C2D69B" w:themeFill="accent3" w:themeFillTint="99"/>
          </w:tcPr>
          <w:p w14:paraId="0AFEFBF4" w14:textId="77777777" w:rsidR="009072CE" w:rsidRPr="00A07F29" w:rsidRDefault="009072CE" w:rsidP="00EF3715">
            <w:pPr>
              <w:jc w:val="both"/>
              <w:rPr>
                <w:rFonts w:ascii="Times New Roman" w:eastAsia="Calibri" w:hAnsi="Times New Roman" w:cs="Times New Roman"/>
              </w:rPr>
            </w:pPr>
            <w:r w:rsidRPr="00A07F29">
              <w:rPr>
                <w:rFonts w:ascii="Times New Roman" w:eastAsia="Calibri" w:hAnsi="Times New Roman" w:cs="Times New Roman"/>
              </w:rPr>
              <w:t>2016</w:t>
            </w:r>
          </w:p>
        </w:tc>
        <w:tc>
          <w:tcPr>
            <w:tcW w:w="926" w:type="dxa"/>
            <w:shd w:val="clear" w:color="auto" w:fill="C2D69B" w:themeFill="accent3" w:themeFillTint="99"/>
          </w:tcPr>
          <w:p w14:paraId="7314780F" w14:textId="77777777" w:rsidR="009072CE" w:rsidRPr="00A07F29" w:rsidRDefault="009072CE" w:rsidP="00EF3715">
            <w:pPr>
              <w:jc w:val="both"/>
              <w:rPr>
                <w:rFonts w:ascii="Times New Roman" w:eastAsia="Calibri" w:hAnsi="Times New Roman" w:cs="Times New Roman"/>
              </w:rPr>
            </w:pPr>
            <w:r w:rsidRPr="00A07F29">
              <w:rPr>
                <w:rFonts w:ascii="Times New Roman" w:eastAsia="Calibri" w:hAnsi="Times New Roman" w:cs="Times New Roman"/>
              </w:rPr>
              <w:t>2017</w:t>
            </w:r>
          </w:p>
        </w:tc>
        <w:tc>
          <w:tcPr>
            <w:tcW w:w="925" w:type="dxa"/>
            <w:shd w:val="clear" w:color="auto" w:fill="C2D69B" w:themeFill="accent3" w:themeFillTint="99"/>
          </w:tcPr>
          <w:p w14:paraId="734ECF08" w14:textId="77777777" w:rsidR="009072CE" w:rsidRPr="00A07F29" w:rsidRDefault="009072CE" w:rsidP="00EF3715">
            <w:pPr>
              <w:jc w:val="both"/>
              <w:rPr>
                <w:rFonts w:ascii="Times New Roman" w:eastAsia="Calibri" w:hAnsi="Times New Roman" w:cs="Times New Roman"/>
              </w:rPr>
            </w:pPr>
            <w:r w:rsidRPr="00A07F29">
              <w:rPr>
                <w:rFonts w:ascii="Times New Roman" w:eastAsia="Calibri" w:hAnsi="Times New Roman" w:cs="Times New Roman"/>
              </w:rPr>
              <w:t>2018</w:t>
            </w:r>
          </w:p>
        </w:tc>
        <w:tc>
          <w:tcPr>
            <w:tcW w:w="857" w:type="dxa"/>
            <w:shd w:val="clear" w:color="auto" w:fill="C2D69B" w:themeFill="accent3" w:themeFillTint="99"/>
          </w:tcPr>
          <w:p w14:paraId="31696237" w14:textId="77777777" w:rsidR="009072CE" w:rsidRPr="00A07F29" w:rsidRDefault="009072CE" w:rsidP="00EF3715">
            <w:pPr>
              <w:jc w:val="both"/>
              <w:rPr>
                <w:rFonts w:ascii="Times New Roman" w:eastAsia="Calibri" w:hAnsi="Times New Roman" w:cs="Times New Roman"/>
              </w:rPr>
            </w:pPr>
            <w:r w:rsidRPr="00A07F29">
              <w:rPr>
                <w:rFonts w:ascii="Times New Roman" w:eastAsia="Calibri" w:hAnsi="Times New Roman" w:cs="Times New Roman"/>
              </w:rPr>
              <w:t>2019</w:t>
            </w:r>
          </w:p>
        </w:tc>
      </w:tr>
      <w:tr w:rsidR="009072CE" w:rsidRPr="00A07F29" w14:paraId="6A6D7DA0" w14:textId="77777777" w:rsidTr="00C14FA1">
        <w:trPr>
          <w:trHeight w:val="744"/>
          <w:jc w:val="center"/>
        </w:trPr>
        <w:tc>
          <w:tcPr>
            <w:tcW w:w="3544" w:type="dxa"/>
            <w:tcBorders>
              <w:bottom w:val="single" w:sz="4" w:space="0" w:color="auto"/>
            </w:tcBorders>
          </w:tcPr>
          <w:p w14:paraId="4691C26A" w14:textId="77777777" w:rsidR="009072CE" w:rsidRPr="00A07F29" w:rsidRDefault="009072CE" w:rsidP="00EF3715">
            <w:pPr>
              <w:jc w:val="both"/>
              <w:rPr>
                <w:rFonts w:ascii="Times New Roman" w:eastAsia="Calibri" w:hAnsi="Times New Roman" w:cs="Times New Roman"/>
              </w:rPr>
            </w:pPr>
            <w:r w:rsidRPr="00A07F29">
              <w:rPr>
                <w:rFonts w:ascii="Times New Roman" w:eastAsia="Calibri" w:hAnsi="Times New Roman" w:cs="Times New Roman"/>
              </w:rPr>
              <w:t>Naujenes Novadpētniecības muzejs (t.sk. “</w:t>
            </w:r>
            <w:proofErr w:type="spellStart"/>
            <w:r w:rsidRPr="00A07F29">
              <w:rPr>
                <w:rFonts w:ascii="Times New Roman" w:eastAsia="Calibri" w:hAnsi="Times New Roman" w:cs="Times New Roman"/>
              </w:rPr>
              <w:t>Slutišķu</w:t>
            </w:r>
            <w:proofErr w:type="spellEnd"/>
            <w:r w:rsidRPr="00A07F29">
              <w:rPr>
                <w:rFonts w:ascii="Times New Roman" w:eastAsia="Calibri" w:hAnsi="Times New Roman" w:cs="Times New Roman"/>
              </w:rPr>
              <w:t xml:space="preserve"> vecticībnieku lauku sēta”)</w:t>
            </w:r>
          </w:p>
        </w:tc>
        <w:tc>
          <w:tcPr>
            <w:tcW w:w="925" w:type="dxa"/>
          </w:tcPr>
          <w:p w14:paraId="60DC397E" w14:textId="77777777" w:rsidR="009072CE" w:rsidRPr="00A07F29" w:rsidRDefault="009072CE" w:rsidP="00EF3715">
            <w:pPr>
              <w:jc w:val="both"/>
              <w:rPr>
                <w:rFonts w:ascii="Times New Roman" w:eastAsia="Calibri" w:hAnsi="Times New Roman" w:cs="Times New Roman"/>
              </w:rPr>
            </w:pPr>
            <w:r w:rsidRPr="00A07F29">
              <w:rPr>
                <w:rFonts w:ascii="Times New Roman" w:eastAsia="Calibri" w:hAnsi="Times New Roman" w:cs="Times New Roman"/>
              </w:rPr>
              <w:t>7873</w:t>
            </w:r>
          </w:p>
        </w:tc>
        <w:tc>
          <w:tcPr>
            <w:tcW w:w="926" w:type="dxa"/>
          </w:tcPr>
          <w:p w14:paraId="7B968092" w14:textId="77777777" w:rsidR="009072CE" w:rsidRPr="00A07F29" w:rsidRDefault="009072CE" w:rsidP="00EF3715">
            <w:pPr>
              <w:jc w:val="both"/>
              <w:rPr>
                <w:rFonts w:ascii="Times New Roman" w:eastAsia="Calibri" w:hAnsi="Times New Roman" w:cs="Times New Roman"/>
              </w:rPr>
            </w:pPr>
            <w:r w:rsidRPr="00A07F29">
              <w:rPr>
                <w:rFonts w:ascii="Times New Roman" w:eastAsia="Calibri" w:hAnsi="Times New Roman" w:cs="Times New Roman"/>
              </w:rPr>
              <w:t>3649</w:t>
            </w:r>
          </w:p>
        </w:tc>
        <w:tc>
          <w:tcPr>
            <w:tcW w:w="925" w:type="dxa"/>
          </w:tcPr>
          <w:p w14:paraId="57CF4D29" w14:textId="77777777" w:rsidR="009072CE" w:rsidRPr="00A07F29" w:rsidRDefault="009072CE" w:rsidP="00EF3715">
            <w:pPr>
              <w:jc w:val="both"/>
              <w:rPr>
                <w:rFonts w:ascii="Times New Roman" w:eastAsia="Calibri" w:hAnsi="Times New Roman" w:cs="Times New Roman"/>
              </w:rPr>
            </w:pPr>
            <w:r w:rsidRPr="00A07F29">
              <w:rPr>
                <w:rFonts w:ascii="Times New Roman" w:eastAsia="Calibri" w:hAnsi="Times New Roman" w:cs="Times New Roman"/>
              </w:rPr>
              <w:t>10814</w:t>
            </w:r>
          </w:p>
        </w:tc>
        <w:tc>
          <w:tcPr>
            <w:tcW w:w="926" w:type="dxa"/>
          </w:tcPr>
          <w:p w14:paraId="46CFFBEE" w14:textId="77777777" w:rsidR="009072CE" w:rsidRPr="00A07F29" w:rsidRDefault="009072CE" w:rsidP="00EF3715">
            <w:pPr>
              <w:jc w:val="both"/>
              <w:rPr>
                <w:rFonts w:ascii="Times New Roman" w:eastAsia="Calibri" w:hAnsi="Times New Roman" w:cs="Times New Roman"/>
              </w:rPr>
            </w:pPr>
            <w:r w:rsidRPr="00A07F29">
              <w:rPr>
                <w:rFonts w:ascii="Times New Roman" w:eastAsia="Calibri" w:hAnsi="Times New Roman" w:cs="Times New Roman"/>
              </w:rPr>
              <w:t>5689</w:t>
            </w:r>
          </w:p>
        </w:tc>
        <w:tc>
          <w:tcPr>
            <w:tcW w:w="925" w:type="dxa"/>
          </w:tcPr>
          <w:p w14:paraId="3400B1BA" w14:textId="77777777" w:rsidR="009072CE" w:rsidRPr="00A07F29" w:rsidRDefault="009072CE" w:rsidP="00EF3715">
            <w:pPr>
              <w:jc w:val="both"/>
              <w:rPr>
                <w:rFonts w:ascii="Times New Roman" w:eastAsia="Calibri" w:hAnsi="Times New Roman" w:cs="Times New Roman"/>
              </w:rPr>
            </w:pPr>
            <w:r w:rsidRPr="00A07F29">
              <w:rPr>
                <w:rFonts w:ascii="Times New Roman" w:eastAsia="Calibri" w:hAnsi="Times New Roman" w:cs="Times New Roman"/>
              </w:rPr>
              <w:t>9040</w:t>
            </w:r>
          </w:p>
        </w:tc>
        <w:tc>
          <w:tcPr>
            <w:tcW w:w="857" w:type="dxa"/>
          </w:tcPr>
          <w:p w14:paraId="19AF055D" w14:textId="77777777" w:rsidR="009072CE" w:rsidRPr="00A07F29" w:rsidRDefault="009072CE" w:rsidP="00EF3715">
            <w:pPr>
              <w:jc w:val="both"/>
              <w:rPr>
                <w:rFonts w:ascii="Times New Roman" w:eastAsia="Calibri" w:hAnsi="Times New Roman" w:cs="Times New Roman"/>
              </w:rPr>
            </w:pPr>
            <w:r w:rsidRPr="00A07F29">
              <w:rPr>
                <w:rFonts w:ascii="Times New Roman" w:eastAsia="Calibri" w:hAnsi="Times New Roman" w:cs="Times New Roman"/>
              </w:rPr>
              <w:t>7385</w:t>
            </w:r>
          </w:p>
        </w:tc>
      </w:tr>
      <w:tr w:rsidR="009072CE" w:rsidRPr="00A07F29" w14:paraId="0CB5E891" w14:textId="77777777" w:rsidTr="00C14FA1">
        <w:trPr>
          <w:trHeight w:val="480"/>
          <w:jc w:val="center"/>
        </w:trPr>
        <w:tc>
          <w:tcPr>
            <w:tcW w:w="3544" w:type="dxa"/>
          </w:tcPr>
          <w:p w14:paraId="05794FDA" w14:textId="77777777" w:rsidR="009072CE" w:rsidRPr="00A07F29" w:rsidRDefault="009072CE" w:rsidP="00EF3715">
            <w:pPr>
              <w:jc w:val="both"/>
              <w:rPr>
                <w:rFonts w:ascii="Times New Roman" w:eastAsia="Calibri" w:hAnsi="Times New Roman" w:cs="Times New Roman"/>
              </w:rPr>
            </w:pPr>
            <w:r w:rsidRPr="00A07F29">
              <w:rPr>
                <w:rFonts w:ascii="Times New Roman" w:eastAsia="Calibri" w:hAnsi="Times New Roman" w:cs="Times New Roman"/>
              </w:rPr>
              <w:t>Muzeji Krāslavas novadā (Krāslavas, Piedrujas, Kalniešu)</w:t>
            </w:r>
          </w:p>
        </w:tc>
        <w:tc>
          <w:tcPr>
            <w:tcW w:w="925" w:type="dxa"/>
          </w:tcPr>
          <w:p w14:paraId="19F900D1" w14:textId="77777777" w:rsidR="009072CE" w:rsidRPr="00A07F29" w:rsidRDefault="009072CE" w:rsidP="00EF3715">
            <w:pPr>
              <w:jc w:val="both"/>
              <w:rPr>
                <w:rFonts w:ascii="Times New Roman" w:eastAsia="Calibri" w:hAnsi="Times New Roman" w:cs="Times New Roman"/>
              </w:rPr>
            </w:pPr>
            <w:r w:rsidRPr="00A07F29">
              <w:rPr>
                <w:rFonts w:ascii="Times New Roman" w:eastAsia="Calibri" w:hAnsi="Times New Roman" w:cs="Times New Roman"/>
              </w:rPr>
              <w:t>-</w:t>
            </w:r>
          </w:p>
        </w:tc>
        <w:tc>
          <w:tcPr>
            <w:tcW w:w="926" w:type="dxa"/>
          </w:tcPr>
          <w:p w14:paraId="00A10242" w14:textId="77777777" w:rsidR="009072CE" w:rsidRPr="00A07F29" w:rsidRDefault="009072CE" w:rsidP="00EF3715">
            <w:pPr>
              <w:jc w:val="both"/>
              <w:rPr>
                <w:rFonts w:ascii="Times New Roman" w:eastAsia="Calibri" w:hAnsi="Times New Roman" w:cs="Times New Roman"/>
              </w:rPr>
            </w:pPr>
            <w:r w:rsidRPr="00A07F29">
              <w:rPr>
                <w:rFonts w:ascii="Times New Roman" w:eastAsia="Calibri" w:hAnsi="Times New Roman" w:cs="Times New Roman"/>
              </w:rPr>
              <w:t>-</w:t>
            </w:r>
          </w:p>
        </w:tc>
        <w:tc>
          <w:tcPr>
            <w:tcW w:w="925" w:type="dxa"/>
          </w:tcPr>
          <w:p w14:paraId="3BE05786" w14:textId="77777777" w:rsidR="009072CE" w:rsidRPr="00A07F29" w:rsidRDefault="009072CE" w:rsidP="00EF3715">
            <w:pPr>
              <w:jc w:val="both"/>
              <w:rPr>
                <w:rFonts w:ascii="Times New Roman" w:eastAsia="Calibri" w:hAnsi="Times New Roman" w:cs="Times New Roman"/>
              </w:rPr>
            </w:pPr>
            <w:r w:rsidRPr="00A07F29">
              <w:rPr>
                <w:rFonts w:ascii="Times New Roman" w:eastAsia="Calibri" w:hAnsi="Times New Roman" w:cs="Times New Roman"/>
              </w:rPr>
              <w:t>-</w:t>
            </w:r>
          </w:p>
        </w:tc>
        <w:tc>
          <w:tcPr>
            <w:tcW w:w="926" w:type="dxa"/>
          </w:tcPr>
          <w:p w14:paraId="288A7657" w14:textId="77777777" w:rsidR="009072CE" w:rsidRPr="00A07F29" w:rsidRDefault="009072CE" w:rsidP="00EF3715">
            <w:pPr>
              <w:jc w:val="both"/>
              <w:rPr>
                <w:rFonts w:ascii="Times New Roman" w:eastAsia="Calibri" w:hAnsi="Times New Roman" w:cs="Times New Roman"/>
              </w:rPr>
            </w:pPr>
            <w:r w:rsidRPr="00A07F29">
              <w:rPr>
                <w:rFonts w:ascii="Times New Roman" w:eastAsia="Calibri" w:hAnsi="Times New Roman" w:cs="Times New Roman"/>
              </w:rPr>
              <w:t>6286</w:t>
            </w:r>
          </w:p>
        </w:tc>
        <w:tc>
          <w:tcPr>
            <w:tcW w:w="925" w:type="dxa"/>
          </w:tcPr>
          <w:p w14:paraId="62EAB18F" w14:textId="77777777" w:rsidR="009072CE" w:rsidRPr="00A07F29" w:rsidRDefault="009072CE" w:rsidP="00EF3715">
            <w:pPr>
              <w:jc w:val="both"/>
              <w:rPr>
                <w:rFonts w:ascii="Times New Roman" w:eastAsia="Calibri" w:hAnsi="Times New Roman" w:cs="Times New Roman"/>
              </w:rPr>
            </w:pPr>
            <w:r w:rsidRPr="00A07F29">
              <w:rPr>
                <w:rFonts w:ascii="Times New Roman" w:eastAsia="Calibri" w:hAnsi="Times New Roman" w:cs="Times New Roman"/>
              </w:rPr>
              <w:t>6720</w:t>
            </w:r>
          </w:p>
        </w:tc>
        <w:tc>
          <w:tcPr>
            <w:tcW w:w="857" w:type="dxa"/>
          </w:tcPr>
          <w:p w14:paraId="60AA9F80" w14:textId="77777777" w:rsidR="009072CE" w:rsidRPr="00A07F29" w:rsidRDefault="009072CE" w:rsidP="00EF3715">
            <w:pPr>
              <w:jc w:val="both"/>
              <w:rPr>
                <w:rFonts w:ascii="Times New Roman" w:eastAsia="Calibri" w:hAnsi="Times New Roman" w:cs="Times New Roman"/>
              </w:rPr>
            </w:pPr>
            <w:r w:rsidRPr="00A07F29">
              <w:rPr>
                <w:rFonts w:ascii="Times New Roman" w:eastAsia="Calibri" w:hAnsi="Times New Roman" w:cs="Times New Roman"/>
              </w:rPr>
              <w:t>7747</w:t>
            </w:r>
          </w:p>
        </w:tc>
      </w:tr>
    </w:tbl>
    <w:p w14:paraId="39A7A7D7" w14:textId="77777777" w:rsidR="009072CE" w:rsidRPr="00A07F29" w:rsidRDefault="009072CE" w:rsidP="00EF3715">
      <w:pPr>
        <w:spacing w:after="0" w:line="240" w:lineRule="auto"/>
        <w:jc w:val="both"/>
        <w:rPr>
          <w:rFonts w:ascii="Times New Roman" w:eastAsia="Calibri" w:hAnsi="Times New Roman" w:cs="Times New Roman"/>
          <w:sz w:val="24"/>
        </w:rPr>
      </w:pPr>
    </w:p>
    <w:p w14:paraId="6FDEC08A" w14:textId="42F58F5C" w:rsidR="009072CE" w:rsidRPr="00A07F29" w:rsidRDefault="009072CE" w:rsidP="00EF3715">
      <w:pPr>
        <w:spacing w:after="120" w:line="240" w:lineRule="auto"/>
        <w:ind w:firstLine="851"/>
        <w:jc w:val="both"/>
        <w:rPr>
          <w:rFonts w:ascii="Times New Roman" w:eastAsia="Calibri" w:hAnsi="Times New Roman" w:cs="Times New Roman"/>
          <w:sz w:val="24"/>
        </w:rPr>
      </w:pPr>
      <w:r w:rsidRPr="00A07F29">
        <w:rPr>
          <w:rFonts w:ascii="Times New Roman" w:eastAsia="Calibri" w:hAnsi="Times New Roman" w:cs="Times New Roman"/>
          <w:sz w:val="24"/>
        </w:rPr>
        <w:t xml:space="preserve">Par tūrisma un atpūtas iespējām </w:t>
      </w:r>
      <w:proofErr w:type="spellStart"/>
      <w:r w:rsidR="003F1727" w:rsidRPr="00A07F29">
        <w:rPr>
          <w:rFonts w:ascii="Times New Roman" w:eastAsia="Calibri" w:hAnsi="Times New Roman" w:cs="Times New Roman"/>
          <w:sz w:val="24"/>
        </w:rPr>
        <w:t>AAA</w:t>
      </w:r>
      <w:r w:rsidRPr="00A07F29">
        <w:rPr>
          <w:rFonts w:ascii="Times New Roman" w:eastAsia="Calibri" w:hAnsi="Times New Roman" w:cs="Times New Roman"/>
          <w:sz w:val="24"/>
        </w:rPr>
        <w:t>“Augšdaugavā</w:t>
      </w:r>
      <w:proofErr w:type="spellEnd"/>
      <w:r w:rsidRPr="00A07F29">
        <w:rPr>
          <w:rFonts w:ascii="Times New Roman" w:eastAsia="Calibri" w:hAnsi="Times New Roman" w:cs="Times New Roman"/>
          <w:sz w:val="24"/>
        </w:rPr>
        <w:t xml:space="preserve">” ir iespējams uzzināt arī Krāslavas novada </w:t>
      </w:r>
      <w:r w:rsidR="0071227D">
        <w:rPr>
          <w:rFonts w:ascii="Times New Roman" w:eastAsia="Calibri" w:hAnsi="Times New Roman" w:cs="Times New Roman"/>
          <w:sz w:val="24"/>
        </w:rPr>
        <w:t>TIC</w:t>
      </w:r>
      <w:r w:rsidRPr="00A07F29">
        <w:rPr>
          <w:rFonts w:ascii="Times New Roman" w:eastAsia="Calibri" w:hAnsi="Times New Roman" w:cs="Times New Roman"/>
          <w:sz w:val="24"/>
        </w:rPr>
        <w:t>, kurš atrodas Krāslavā, grāfu Plāteru pils kompleksā. 2017.</w:t>
      </w:r>
      <w:r w:rsidR="003F1727" w:rsidRPr="00A07F29">
        <w:rPr>
          <w:rFonts w:ascii="Times New Roman" w:eastAsia="Calibri" w:hAnsi="Times New Roman" w:cs="Times New Roman"/>
          <w:sz w:val="24"/>
        </w:rPr>
        <w:t> </w:t>
      </w:r>
      <w:r w:rsidRPr="00A07F29">
        <w:rPr>
          <w:rFonts w:ascii="Times New Roman" w:eastAsia="Calibri" w:hAnsi="Times New Roman" w:cs="Times New Roman"/>
          <w:sz w:val="24"/>
        </w:rPr>
        <w:t>gadā Krāslavas novada TIC apmeklēja 13</w:t>
      </w:r>
      <w:r w:rsidR="003F1727" w:rsidRPr="00A07F29">
        <w:rPr>
          <w:rFonts w:ascii="Times New Roman" w:eastAsia="Calibri" w:hAnsi="Times New Roman" w:cs="Times New Roman"/>
          <w:sz w:val="24"/>
        </w:rPr>
        <w:t> </w:t>
      </w:r>
      <w:r w:rsidRPr="00A07F29">
        <w:rPr>
          <w:rFonts w:ascii="Times New Roman" w:eastAsia="Calibri" w:hAnsi="Times New Roman" w:cs="Times New Roman"/>
          <w:sz w:val="24"/>
        </w:rPr>
        <w:t>503 tūristu, 2018.</w:t>
      </w:r>
      <w:r w:rsidR="003F1727" w:rsidRPr="00A07F29">
        <w:rPr>
          <w:rFonts w:ascii="Times New Roman" w:eastAsia="Calibri" w:hAnsi="Times New Roman" w:cs="Times New Roman"/>
          <w:sz w:val="24"/>
        </w:rPr>
        <w:t> </w:t>
      </w:r>
      <w:r w:rsidRPr="00A07F29">
        <w:rPr>
          <w:rFonts w:ascii="Times New Roman" w:eastAsia="Calibri" w:hAnsi="Times New Roman" w:cs="Times New Roman"/>
          <w:sz w:val="24"/>
        </w:rPr>
        <w:t>gadā – 14</w:t>
      </w:r>
      <w:r w:rsidR="003F1727" w:rsidRPr="00A07F29">
        <w:rPr>
          <w:rFonts w:ascii="Times New Roman" w:eastAsia="Calibri" w:hAnsi="Times New Roman" w:cs="Times New Roman"/>
          <w:sz w:val="24"/>
        </w:rPr>
        <w:t> </w:t>
      </w:r>
      <w:r w:rsidRPr="00A07F29">
        <w:rPr>
          <w:rFonts w:ascii="Times New Roman" w:eastAsia="Calibri" w:hAnsi="Times New Roman" w:cs="Times New Roman"/>
          <w:sz w:val="24"/>
        </w:rPr>
        <w:t>110, bet 2019.</w:t>
      </w:r>
      <w:r w:rsidR="003F1727" w:rsidRPr="00A07F29">
        <w:rPr>
          <w:rFonts w:ascii="Times New Roman" w:eastAsia="Calibri" w:hAnsi="Times New Roman" w:cs="Times New Roman"/>
          <w:sz w:val="24"/>
        </w:rPr>
        <w:t> </w:t>
      </w:r>
      <w:r w:rsidRPr="00A07F29">
        <w:rPr>
          <w:rFonts w:ascii="Times New Roman" w:eastAsia="Calibri" w:hAnsi="Times New Roman" w:cs="Times New Roman"/>
          <w:sz w:val="24"/>
        </w:rPr>
        <w:t>gadā 13 516 tūristu (Krāslavas TIC dati). Diemžēl nav pieejama informācija, cik no šiem tūristiem apmeklēja AAA “Augšdaugava”</w:t>
      </w:r>
      <w:r w:rsidR="00470169" w:rsidRPr="00A07F29">
        <w:rPr>
          <w:rFonts w:ascii="Times New Roman" w:eastAsia="Calibri" w:hAnsi="Times New Roman" w:cs="Times New Roman"/>
          <w:sz w:val="24"/>
        </w:rPr>
        <w:t>.</w:t>
      </w:r>
    </w:p>
    <w:p w14:paraId="4F8D5B61" w14:textId="14430955" w:rsidR="009072CE" w:rsidRPr="00A07F29" w:rsidRDefault="009072CE" w:rsidP="00EF3715">
      <w:pPr>
        <w:spacing w:after="0" w:line="240" w:lineRule="auto"/>
        <w:ind w:firstLine="851"/>
        <w:jc w:val="both"/>
        <w:rPr>
          <w:rFonts w:ascii="Times New Roman" w:eastAsia="Calibri" w:hAnsi="Times New Roman" w:cs="Times New Roman"/>
          <w:sz w:val="24"/>
        </w:rPr>
      </w:pPr>
      <w:r w:rsidRPr="00A07F29">
        <w:rPr>
          <w:rFonts w:ascii="Times New Roman" w:eastAsia="Calibri" w:hAnsi="Times New Roman" w:cs="Times New Roman"/>
          <w:sz w:val="24"/>
        </w:rPr>
        <w:t>Teritorijas apsekošanas laikā 2019.</w:t>
      </w:r>
      <w:r w:rsidR="00AA22F3" w:rsidRPr="00A07F29">
        <w:rPr>
          <w:rFonts w:ascii="Times New Roman" w:eastAsia="Calibri" w:hAnsi="Times New Roman" w:cs="Times New Roman"/>
          <w:sz w:val="24"/>
        </w:rPr>
        <w:t> </w:t>
      </w:r>
      <w:r w:rsidRPr="00A07F29">
        <w:rPr>
          <w:rFonts w:ascii="Times New Roman" w:eastAsia="Calibri" w:hAnsi="Times New Roman" w:cs="Times New Roman"/>
          <w:sz w:val="24"/>
        </w:rPr>
        <w:t>gada augustā tika konstatēti vairāki informācijas stendi ārpus tūrisma apskates objektiem:</w:t>
      </w:r>
    </w:p>
    <w:p w14:paraId="7CF76BC8" w14:textId="58EE6255" w:rsidR="009072CE" w:rsidRPr="00A07F29" w:rsidRDefault="007E64F7" w:rsidP="00F87589">
      <w:pPr>
        <w:numPr>
          <w:ilvl w:val="0"/>
          <w:numId w:val="21"/>
        </w:numPr>
        <w:spacing w:after="0" w:line="240" w:lineRule="auto"/>
        <w:contextualSpacing/>
        <w:jc w:val="both"/>
        <w:rPr>
          <w:rFonts w:ascii="Times New Roman" w:eastAsia="Calibri" w:hAnsi="Times New Roman" w:cs="Times New Roman"/>
          <w:sz w:val="24"/>
        </w:rPr>
      </w:pPr>
      <w:r w:rsidRPr="00A07F29">
        <w:rPr>
          <w:rFonts w:ascii="Times New Roman" w:eastAsia="Calibri" w:hAnsi="Times New Roman" w:cs="Times New Roman"/>
          <w:sz w:val="24"/>
        </w:rPr>
        <w:t xml:space="preserve">pie </w:t>
      </w:r>
      <w:r w:rsidR="009072CE" w:rsidRPr="00A07F29">
        <w:rPr>
          <w:rFonts w:ascii="Times New Roman" w:eastAsia="Calibri" w:hAnsi="Times New Roman" w:cs="Times New Roman"/>
          <w:sz w:val="24"/>
        </w:rPr>
        <w:t xml:space="preserve">Naujenes novadpētniecības muzeja un Dabas informācijas centra izvietots informācijas stends par </w:t>
      </w:r>
      <w:proofErr w:type="spellStart"/>
      <w:r w:rsidR="009072CE" w:rsidRPr="00A07F29">
        <w:rPr>
          <w:rFonts w:ascii="Times New Roman" w:eastAsia="Calibri" w:hAnsi="Times New Roman" w:cs="Times New Roman"/>
          <w:sz w:val="24"/>
        </w:rPr>
        <w:t>velomaršrutu</w:t>
      </w:r>
      <w:proofErr w:type="spellEnd"/>
      <w:r w:rsidR="009072CE" w:rsidRPr="00A07F29">
        <w:rPr>
          <w:rFonts w:ascii="Times New Roman" w:eastAsia="Calibri" w:hAnsi="Times New Roman" w:cs="Times New Roman"/>
          <w:sz w:val="24"/>
        </w:rPr>
        <w:t xml:space="preserve"> Nr.</w:t>
      </w:r>
      <w:r w:rsidR="00AA22F3" w:rsidRPr="00A07F29">
        <w:rPr>
          <w:rFonts w:ascii="Times New Roman" w:eastAsia="Calibri" w:hAnsi="Times New Roman" w:cs="Times New Roman"/>
          <w:sz w:val="24"/>
        </w:rPr>
        <w:t> </w:t>
      </w:r>
      <w:r w:rsidR="009072CE" w:rsidRPr="00A07F29">
        <w:rPr>
          <w:rFonts w:ascii="Times New Roman" w:eastAsia="Calibri" w:hAnsi="Times New Roman" w:cs="Times New Roman"/>
          <w:sz w:val="24"/>
        </w:rPr>
        <w:t>35 “Daugavas loki”;</w:t>
      </w:r>
    </w:p>
    <w:p w14:paraId="3AEEC5CD" w14:textId="0EA6FAC8" w:rsidR="009072CE" w:rsidRPr="00A07F29" w:rsidRDefault="009072CE" w:rsidP="00F87589">
      <w:pPr>
        <w:numPr>
          <w:ilvl w:val="0"/>
          <w:numId w:val="21"/>
        </w:numPr>
        <w:spacing w:after="0" w:line="240" w:lineRule="auto"/>
        <w:contextualSpacing/>
        <w:jc w:val="both"/>
        <w:rPr>
          <w:rFonts w:ascii="Times New Roman" w:eastAsia="Calibri" w:hAnsi="Times New Roman" w:cs="Times New Roman"/>
          <w:sz w:val="24"/>
        </w:rPr>
      </w:pPr>
      <w:proofErr w:type="spellStart"/>
      <w:r w:rsidRPr="00A07F29">
        <w:rPr>
          <w:rFonts w:ascii="Times New Roman" w:eastAsia="Calibri" w:hAnsi="Times New Roman" w:cs="Times New Roman"/>
          <w:sz w:val="24"/>
        </w:rPr>
        <w:t>autostāvlaukumā</w:t>
      </w:r>
      <w:proofErr w:type="spellEnd"/>
      <w:r w:rsidRPr="00A07F29">
        <w:rPr>
          <w:rFonts w:ascii="Times New Roman" w:eastAsia="Calibri" w:hAnsi="Times New Roman" w:cs="Times New Roman"/>
          <w:sz w:val="24"/>
        </w:rPr>
        <w:t xml:space="preserve"> autoceļa A6 malā (Krāslavas novads, Ūdrīšu pagasts) informatīvais stends par </w:t>
      </w:r>
      <w:r w:rsidR="005E0971" w:rsidRPr="00A07F29">
        <w:rPr>
          <w:rFonts w:ascii="Times New Roman" w:eastAsia="Calibri" w:hAnsi="Times New Roman" w:cs="Times New Roman"/>
          <w:sz w:val="24"/>
        </w:rPr>
        <w:t>DP</w:t>
      </w:r>
      <w:r w:rsidRPr="00A07F29">
        <w:rPr>
          <w:rFonts w:ascii="Times New Roman" w:eastAsia="Calibri" w:hAnsi="Times New Roman" w:cs="Times New Roman"/>
          <w:sz w:val="24"/>
        </w:rPr>
        <w:t xml:space="preserve"> “Daugavas loki”;</w:t>
      </w:r>
    </w:p>
    <w:p w14:paraId="752723E8" w14:textId="77777777" w:rsidR="009072CE" w:rsidRPr="00A07F29" w:rsidRDefault="009072CE" w:rsidP="00F87589">
      <w:pPr>
        <w:numPr>
          <w:ilvl w:val="0"/>
          <w:numId w:val="21"/>
        </w:numPr>
        <w:spacing w:after="0" w:line="240" w:lineRule="auto"/>
        <w:contextualSpacing/>
        <w:jc w:val="both"/>
        <w:rPr>
          <w:rFonts w:ascii="Times New Roman" w:eastAsia="Calibri" w:hAnsi="Times New Roman" w:cs="Times New Roman"/>
          <w:sz w:val="24"/>
        </w:rPr>
      </w:pPr>
      <w:r w:rsidRPr="00A07F29">
        <w:rPr>
          <w:rFonts w:ascii="Times New Roman" w:eastAsia="Calibri" w:hAnsi="Times New Roman" w:cs="Times New Roman"/>
          <w:sz w:val="24"/>
        </w:rPr>
        <w:lastRenderedPageBreak/>
        <w:t>pļavā pie autoceļa V673 par DP “Daugavas loki”;</w:t>
      </w:r>
    </w:p>
    <w:p w14:paraId="799984B2" w14:textId="77777777" w:rsidR="009072CE" w:rsidRPr="00A07F29" w:rsidRDefault="009072CE" w:rsidP="00F87589">
      <w:pPr>
        <w:numPr>
          <w:ilvl w:val="0"/>
          <w:numId w:val="21"/>
        </w:numPr>
        <w:spacing w:after="0" w:line="240" w:lineRule="auto"/>
        <w:contextualSpacing/>
        <w:jc w:val="both"/>
        <w:rPr>
          <w:rFonts w:ascii="Times New Roman" w:eastAsia="Calibri" w:hAnsi="Times New Roman" w:cs="Times New Roman"/>
          <w:sz w:val="24"/>
        </w:rPr>
      </w:pPr>
      <w:r w:rsidRPr="00A07F29">
        <w:rPr>
          <w:rFonts w:ascii="Times New Roman" w:eastAsia="Calibri" w:hAnsi="Times New Roman" w:cs="Times New Roman"/>
          <w:sz w:val="24"/>
        </w:rPr>
        <w:t>mežā pie autoceļa V673 par DP “Daugavas loki”;</w:t>
      </w:r>
    </w:p>
    <w:p w14:paraId="1184A5F7" w14:textId="2E84DCCB" w:rsidR="009072CE" w:rsidRPr="00A07F29" w:rsidRDefault="009072CE" w:rsidP="00F87589">
      <w:pPr>
        <w:numPr>
          <w:ilvl w:val="0"/>
          <w:numId w:val="21"/>
        </w:numPr>
        <w:spacing w:after="0" w:line="240" w:lineRule="auto"/>
        <w:contextualSpacing/>
        <w:jc w:val="both"/>
        <w:rPr>
          <w:rFonts w:ascii="Times New Roman" w:eastAsia="Calibri" w:hAnsi="Times New Roman" w:cs="Times New Roman"/>
          <w:sz w:val="24"/>
        </w:rPr>
      </w:pPr>
      <w:proofErr w:type="spellStart"/>
      <w:r w:rsidRPr="00A07F29">
        <w:rPr>
          <w:rFonts w:ascii="Times New Roman" w:eastAsia="Calibri" w:hAnsi="Times New Roman" w:cs="Times New Roman"/>
          <w:sz w:val="24"/>
        </w:rPr>
        <w:t>velomaršruta</w:t>
      </w:r>
      <w:proofErr w:type="spellEnd"/>
      <w:r w:rsidRPr="00A07F29">
        <w:rPr>
          <w:rFonts w:ascii="Times New Roman" w:eastAsia="Calibri" w:hAnsi="Times New Roman" w:cs="Times New Roman"/>
          <w:sz w:val="24"/>
        </w:rPr>
        <w:t xml:space="preserve"> Nr.</w:t>
      </w:r>
      <w:r w:rsidR="00AA22F3" w:rsidRPr="00A07F29">
        <w:rPr>
          <w:rFonts w:ascii="Times New Roman" w:eastAsia="Calibri" w:hAnsi="Times New Roman" w:cs="Times New Roman"/>
          <w:sz w:val="24"/>
        </w:rPr>
        <w:t> </w:t>
      </w:r>
      <w:r w:rsidRPr="00A07F29">
        <w:rPr>
          <w:rFonts w:ascii="Times New Roman" w:eastAsia="Calibri" w:hAnsi="Times New Roman" w:cs="Times New Roman"/>
          <w:sz w:val="24"/>
        </w:rPr>
        <w:t>35 “Daugavas loki” stendi vairākās vietās meža ceļos;</w:t>
      </w:r>
    </w:p>
    <w:p w14:paraId="28DFAD9A" w14:textId="77777777" w:rsidR="009072CE" w:rsidRPr="00A07F29" w:rsidRDefault="009072CE" w:rsidP="00F87589">
      <w:pPr>
        <w:numPr>
          <w:ilvl w:val="0"/>
          <w:numId w:val="21"/>
        </w:numPr>
        <w:spacing w:after="0" w:line="240" w:lineRule="auto"/>
        <w:contextualSpacing/>
        <w:jc w:val="both"/>
        <w:rPr>
          <w:rFonts w:ascii="Times New Roman" w:eastAsia="Calibri" w:hAnsi="Times New Roman" w:cs="Times New Roman"/>
          <w:sz w:val="24"/>
        </w:rPr>
      </w:pPr>
      <w:r w:rsidRPr="00A07F29">
        <w:rPr>
          <w:rFonts w:ascii="Times New Roman" w:eastAsia="Calibri" w:hAnsi="Times New Roman" w:cs="Times New Roman"/>
          <w:sz w:val="24"/>
        </w:rPr>
        <w:t>autoceļa V703 malā par DP “Daugavas loki”;</w:t>
      </w:r>
    </w:p>
    <w:p w14:paraId="2813C19E" w14:textId="77777777" w:rsidR="009072CE" w:rsidRPr="00A07F29" w:rsidRDefault="009072CE" w:rsidP="00F87589">
      <w:pPr>
        <w:numPr>
          <w:ilvl w:val="0"/>
          <w:numId w:val="21"/>
        </w:numPr>
        <w:spacing w:after="0" w:line="240" w:lineRule="auto"/>
        <w:contextualSpacing/>
        <w:jc w:val="both"/>
        <w:rPr>
          <w:rFonts w:ascii="Times New Roman" w:eastAsia="Calibri" w:hAnsi="Times New Roman" w:cs="Times New Roman"/>
          <w:sz w:val="24"/>
        </w:rPr>
      </w:pPr>
      <w:r w:rsidRPr="00A07F29">
        <w:rPr>
          <w:rFonts w:ascii="Times New Roman" w:eastAsia="Calibri" w:hAnsi="Times New Roman" w:cs="Times New Roman"/>
          <w:sz w:val="24"/>
        </w:rPr>
        <w:t>Piedrujā, netālu no moteļa “Piedruja”, ierīkots neliels atpūtas laukums, kurā ir izvietots informācijas stends par AAA “Augšdaugava”;</w:t>
      </w:r>
    </w:p>
    <w:p w14:paraId="18F7879E" w14:textId="77777777" w:rsidR="009072CE" w:rsidRPr="00A07F29" w:rsidRDefault="009072CE" w:rsidP="00F87589">
      <w:pPr>
        <w:numPr>
          <w:ilvl w:val="0"/>
          <w:numId w:val="21"/>
        </w:numPr>
        <w:spacing w:after="0" w:line="240" w:lineRule="auto"/>
        <w:contextualSpacing/>
        <w:jc w:val="both"/>
        <w:rPr>
          <w:rFonts w:ascii="Times New Roman" w:eastAsia="Calibri" w:hAnsi="Times New Roman" w:cs="Times New Roman"/>
          <w:sz w:val="24"/>
        </w:rPr>
      </w:pPr>
      <w:r w:rsidRPr="00A07F29">
        <w:rPr>
          <w:rFonts w:ascii="Times New Roman" w:eastAsia="Calibri" w:hAnsi="Times New Roman" w:cs="Times New Roman"/>
          <w:sz w:val="24"/>
        </w:rPr>
        <w:t>Kaplavā, pie autoceļa P69, ir auto stāvlaukums, kurā izvietoti divi informācijas stendi – par AAA “Augšdaugava” un DP “Daugavas loki”.</w:t>
      </w:r>
    </w:p>
    <w:p w14:paraId="6B1A7B3B" w14:textId="77777777" w:rsidR="009072CE" w:rsidRPr="00A07F29" w:rsidRDefault="009072CE" w:rsidP="00EF3715">
      <w:pPr>
        <w:spacing w:after="0" w:line="240" w:lineRule="auto"/>
        <w:jc w:val="both"/>
        <w:rPr>
          <w:rFonts w:ascii="Times New Roman" w:eastAsia="Calibri" w:hAnsi="Times New Roman" w:cs="Times New Roman"/>
          <w:sz w:val="24"/>
        </w:rPr>
      </w:pPr>
    </w:p>
    <w:p w14:paraId="71F68788" w14:textId="77777777" w:rsidR="009072CE" w:rsidRPr="00A07F29" w:rsidRDefault="009072CE" w:rsidP="00EF3715">
      <w:pPr>
        <w:spacing w:after="0" w:line="240" w:lineRule="auto"/>
        <w:jc w:val="both"/>
        <w:rPr>
          <w:rFonts w:ascii="Times New Roman" w:eastAsia="Calibri" w:hAnsi="Times New Roman" w:cs="Times New Roman"/>
          <w:b/>
          <w:i/>
          <w:sz w:val="24"/>
        </w:rPr>
      </w:pPr>
      <w:proofErr w:type="spellStart"/>
      <w:r w:rsidRPr="00A07F29">
        <w:rPr>
          <w:rFonts w:ascii="Times New Roman" w:eastAsia="Calibri" w:hAnsi="Times New Roman" w:cs="Times New Roman"/>
          <w:b/>
          <w:i/>
          <w:sz w:val="24"/>
        </w:rPr>
        <w:t>Ūdenstūrisms</w:t>
      </w:r>
      <w:proofErr w:type="spellEnd"/>
    </w:p>
    <w:p w14:paraId="19BA6B6A" w14:textId="0803379F" w:rsidR="009072CE" w:rsidRPr="00A07F29" w:rsidRDefault="009072CE" w:rsidP="00EF3715">
      <w:pPr>
        <w:spacing w:after="0" w:line="240" w:lineRule="auto"/>
        <w:ind w:firstLine="851"/>
        <w:jc w:val="both"/>
        <w:rPr>
          <w:rFonts w:ascii="Times New Roman" w:eastAsia="Calibri" w:hAnsi="Times New Roman" w:cs="Times New Roman"/>
          <w:sz w:val="24"/>
        </w:rPr>
      </w:pPr>
      <w:r w:rsidRPr="00A07F29">
        <w:rPr>
          <w:rFonts w:ascii="Times New Roman" w:eastAsia="Calibri" w:hAnsi="Times New Roman" w:cs="Times New Roman"/>
          <w:sz w:val="24"/>
        </w:rPr>
        <w:t xml:space="preserve">AAA “Augšdaugava” teritorijā viena no populārākajām tūristu aktivitātēm ir laivošana un plostošana pa Daugavu. </w:t>
      </w:r>
      <w:r w:rsidR="00E066C6" w:rsidRPr="00A07F29">
        <w:rPr>
          <w:rFonts w:ascii="Times New Roman" w:eastAsia="Calibri" w:hAnsi="Times New Roman" w:cs="Times New Roman"/>
          <w:sz w:val="24"/>
        </w:rPr>
        <w:t xml:space="preserve">Teritorijā </w:t>
      </w:r>
      <w:r w:rsidR="00470169" w:rsidRPr="00A07F29">
        <w:rPr>
          <w:rFonts w:ascii="Times New Roman" w:eastAsia="Calibri" w:hAnsi="Times New Roman" w:cs="Times New Roman"/>
          <w:sz w:val="24"/>
        </w:rPr>
        <w:t xml:space="preserve">darbojas trīs vietējie laivu nomas pakalpojumu sniedzēji </w:t>
      </w:r>
      <w:r w:rsidRPr="00A07F29">
        <w:rPr>
          <w:rFonts w:ascii="Times New Roman" w:eastAsia="Calibri" w:hAnsi="Times New Roman" w:cs="Times New Roman"/>
          <w:sz w:val="24"/>
        </w:rPr>
        <w:t xml:space="preserve">– </w:t>
      </w:r>
      <w:r w:rsidR="00470169" w:rsidRPr="00A07F29">
        <w:rPr>
          <w:rFonts w:ascii="Times New Roman" w:eastAsia="Calibri" w:hAnsi="Times New Roman" w:cs="Times New Roman"/>
          <w:sz w:val="24"/>
        </w:rPr>
        <w:t>laivu un plostu</w:t>
      </w:r>
      <w:r w:rsidRPr="00A07F29">
        <w:rPr>
          <w:rFonts w:ascii="Times New Roman" w:eastAsia="Calibri" w:hAnsi="Times New Roman" w:cs="Times New Roman"/>
          <w:sz w:val="24"/>
        </w:rPr>
        <w:t xml:space="preserve"> noma “</w:t>
      </w:r>
      <w:proofErr w:type="spellStart"/>
      <w:r w:rsidRPr="00A07F29">
        <w:rPr>
          <w:rFonts w:ascii="Times New Roman" w:eastAsia="Calibri" w:hAnsi="Times New Roman" w:cs="Times New Roman"/>
          <w:sz w:val="24"/>
        </w:rPr>
        <w:t>Beibuks</w:t>
      </w:r>
      <w:proofErr w:type="spellEnd"/>
      <w:r w:rsidRPr="00A07F29">
        <w:rPr>
          <w:rFonts w:ascii="Times New Roman" w:eastAsia="Calibri" w:hAnsi="Times New Roman" w:cs="Times New Roman"/>
          <w:sz w:val="24"/>
        </w:rPr>
        <w:t>”, biedrība “Aktīva atpūta Latgalē”</w:t>
      </w:r>
      <w:r w:rsidR="009C065C">
        <w:rPr>
          <w:rStyle w:val="FootnoteReference"/>
          <w:rFonts w:ascii="Times New Roman" w:eastAsia="Calibri" w:hAnsi="Times New Roman" w:cs="Times New Roman"/>
          <w:sz w:val="24"/>
        </w:rPr>
        <w:footnoteReference w:id="17"/>
      </w:r>
      <w:r w:rsidRPr="00A07F29">
        <w:rPr>
          <w:rFonts w:ascii="Times New Roman" w:eastAsia="Calibri" w:hAnsi="Times New Roman" w:cs="Times New Roman"/>
          <w:sz w:val="24"/>
        </w:rPr>
        <w:t xml:space="preserve"> un SIA Saulgoze</w:t>
      </w:r>
      <w:r w:rsidR="00B73F34" w:rsidRPr="00A07F29">
        <w:rPr>
          <w:rFonts w:ascii="Times New Roman" w:eastAsia="Calibri" w:hAnsi="Times New Roman" w:cs="Times New Roman"/>
          <w:sz w:val="24"/>
        </w:rPr>
        <w:t> </w:t>
      </w:r>
      <w:r w:rsidRPr="00A07F29">
        <w:rPr>
          <w:rFonts w:ascii="Times New Roman" w:eastAsia="Calibri" w:hAnsi="Times New Roman" w:cs="Times New Roman"/>
          <w:sz w:val="24"/>
        </w:rPr>
        <w:t>G</w:t>
      </w:r>
      <w:r w:rsidR="009C065C">
        <w:rPr>
          <w:rStyle w:val="FootnoteReference"/>
          <w:rFonts w:ascii="Times New Roman" w:eastAsia="Calibri" w:hAnsi="Times New Roman" w:cs="Times New Roman"/>
          <w:sz w:val="24"/>
        </w:rPr>
        <w:footnoteReference w:id="18"/>
      </w:r>
      <w:r w:rsidRPr="00A07F29">
        <w:rPr>
          <w:rFonts w:ascii="Times New Roman" w:eastAsia="Calibri" w:hAnsi="Times New Roman" w:cs="Times New Roman"/>
          <w:sz w:val="24"/>
        </w:rPr>
        <w:t>. Laivu un plostu nomu laivošanai pa Daugavas upi AAA “Augšdaugava” teritorijā piedāvā arī dažas naktsmītnes (piemēram, atpūtas komplekss “</w:t>
      </w:r>
      <w:proofErr w:type="spellStart"/>
      <w:r w:rsidRPr="00A07F29">
        <w:rPr>
          <w:rFonts w:ascii="Times New Roman" w:eastAsia="Calibri" w:hAnsi="Times New Roman" w:cs="Times New Roman"/>
          <w:sz w:val="24"/>
        </w:rPr>
        <w:t>Lielbornes</w:t>
      </w:r>
      <w:proofErr w:type="spellEnd"/>
      <w:r w:rsidRPr="00A07F29">
        <w:rPr>
          <w:rFonts w:ascii="Times New Roman" w:eastAsia="Calibri" w:hAnsi="Times New Roman" w:cs="Times New Roman"/>
          <w:sz w:val="24"/>
        </w:rPr>
        <w:t xml:space="preserve"> muiža”, motelis “Piedruja”), kā arī citi uzņēmumi, kas aktīvi darbojas arī pārējos Latvijas reģionos, piemēram, laivu noma “</w:t>
      </w:r>
      <w:proofErr w:type="spellStart"/>
      <w:r w:rsidRPr="00A07F29">
        <w:rPr>
          <w:rFonts w:ascii="Times New Roman" w:eastAsia="Calibri" w:hAnsi="Times New Roman" w:cs="Times New Roman"/>
          <w:sz w:val="24"/>
        </w:rPr>
        <w:t>Mučas</w:t>
      </w:r>
      <w:proofErr w:type="spellEnd"/>
      <w:r w:rsidRPr="00A07F29">
        <w:rPr>
          <w:rFonts w:ascii="Times New Roman" w:eastAsia="Calibri" w:hAnsi="Times New Roman" w:cs="Times New Roman"/>
          <w:sz w:val="24"/>
        </w:rPr>
        <w:t>”</w:t>
      </w:r>
      <w:r w:rsidR="009C065C">
        <w:rPr>
          <w:rStyle w:val="FootnoteReference"/>
          <w:rFonts w:ascii="Times New Roman" w:eastAsia="Calibri" w:hAnsi="Times New Roman" w:cs="Times New Roman"/>
          <w:sz w:val="24"/>
        </w:rPr>
        <w:footnoteReference w:id="19"/>
      </w:r>
      <w:r w:rsidRPr="00A07F29">
        <w:rPr>
          <w:rFonts w:ascii="Times New Roman" w:eastAsia="Calibri" w:hAnsi="Times New Roman" w:cs="Times New Roman"/>
          <w:sz w:val="24"/>
        </w:rPr>
        <w:t>, “</w:t>
      </w:r>
      <w:proofErr w:type="spellStart"/>
      <w:r w:rsidRPr="00A07F29">
        <w:rPr>
          <w:rFonts w:ascii="Times New Roman" w:eastAsia="Calibri" w:hAnsi="Times New Roman" w:cs="Times New Roman"/>
          <w:sz w:val="24"/>
        </w:rPr>
        <w:t>Campo</w:t>
      </w:r>
      <w:proofErr w:type="spellEnd"/>
      <w:r w:rsidRPr="00A07F29">
        <w:rPr>
          <w:rFonts w:ascii="Times New Roman" w:eastAsia="Calibri" w:hAnsi="Times New Roman" w:cs="Times New Roman"/>
          <w:sz w:val="24"/>
        </w:rPr>
        <w:t>”</w:t>
      </w:r>
      <w:r w:rsidR="009C065C">
        <w:rPr>
          <w:rStyle w:val="FootnoteReference"/>
          <w:rFonts w:ascii="Times New Roman" w:eastAsia="Calibri" w:hAnsi="Times New Roman" w:cs="Times New Roman"/>
          <w:sz w:val="24"/>
        </w:rPr>
        <w:footnoteReference w:id="20"/>
      </w:r>
      <w:r w:rsidRPr="00A07F29">
        <w:rPr>
          <w:rFonts w:ascii="Times New Roman" w:eastAsia="Calibri" w:hAnsi="Times New Roman" w:cs="Times New Roman"/>
          <w:sz w:val="24"/>
        </w:rPr>
        <w:t>, “</w:t>
      </w:r>
      <w:proofErr w:type="spellStart"/>
      <w:r w:rsidRPr="00A07F29">
        <w:rPr>
          <w:rFonts w:ascii="Times New Roman" w:eastAsia="Calibri" w:hAnsi="Times New Roman" w:cs="Times New Roman"/>
          <w:sz w:val="24"/>
        </w:rPr>
        <w:t>Jeņču</w:t>
      </w:r>
      <w:proofErr w:type="spellEnd"/>
      <w:r w:rsidRPr="00A07F29">
        <w:rPr>
          <w:rFonts w:ascii="Times New Roman" w:eastAsia="Calibri" w:hAnsi="Times New Roman" w:cs="Times New Roman"/>
          <w:sz w:val="24"/>
        </w:rPr>
        <w:t xml:space="preserve"> laivas”</w:t>
      </w:r>
      <w:r w:rsidR="009C065C">
        <w:rPr>
          <w:rStyle w:val="FootnoteReference"/>
          <w:rFonts w:ascii="Times New Roman" w:eastAsia="Calibri" w:hAnsi="Times New Roman" w:cs="Times New Roman"/>
          <w:sz w:val="24"/>
        </w:rPr>
        <w:footnoteReference w:id="21"/>
      </w:r>
      <w:r w:rsidRPr="00A07F29">
        <w:rPr>
          <w:rFonts w:ascii="Times New Roman" w:eastAsia="Calibri" w:hAnsi="Times New Roman" w:cs="Times New Roman"/>
          <w:sz w:val="24"/>
        </w:rPr>
        <w:t>.</w:t>
      </w:r>
    </w:p>
    <w:p w14:paraId="1FB7707D" w14:textId="759521DF" w:rsidR="009072CE" w:rsidRPr="00A07F29" w:rsidRDefault="009072CE" w:rsidP="31987BBB">
      <w:pPr>
        <w:spacing w:after="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Kaut gan laivošana/plostošana pa Daugavu un atpūta Daugavas krastā AAA “Augšdaugava” teritorijā ir populāra un iecienīta tūristu vidū (piemēram, vietējās laivu un plostu nomas “</w:t>
      </w:r>
      <w:proofErr w:type="spellStart"/>
      <w:r w:rsidRPr="00A07F29">
        <w:rPr>
          <w:rFonts w:ascii="Times New Roman" w:eastAsia="Calibri" w:hAnsi="Times New Roman" w:cs="Times New Roman"/>
          <w:sz w:val="24"/>
          <w:szCs w:val="24"/>
        </w:rPr>
        <w:t>Beibuks</w:t>
      </w:r>
      <w:proofErr w:type="spellEnd"/>
      <w:r w:rsidRPr="00A07F29">
        <w:rPr>
          <w:rFonts w:ascii="Times New Roman" w:eastAsia="Calibri" w:hAnsi="Times New Roman" w:cs="Times New Roman"/>
          <w:sz w:val="24"/>
          <w:szCs w:val="24"/>
        </w:rPr>
        <w:t xml:space="preserve">” pakalpojumus izmanto ap 1600-2000 personām sezonas laikā no maija līdz septembrim, laivu nomas “Aktīva atpūta Latgalē” pakalpojumus laivošanai pa Daugavu izmanto aptuveni 200-500 personas sezonā), tomēr </w:t>
      </w:r>
      <w:proofErr w:type="spellStart"/>
      <w:r w:rsidRPr="00A07F29">
        <w:rPr>
          <w:rFonts w:ascii="Times New Roman" w:eastAsia="Calibri" w:hAnsi="Times New Roman" w:cs="Times New Roman"/>
          <w:sz w:val="24"/>
          <w:szCs w:val="24"/>
        </w:rPr>
        <w:t>ūdenstūrismu</w:t>
      </w:r>
      <w:proofErr w:type="spellEnd"/>
      <w:r w:rsidRPr="00A07F29">
        <w:rPr>
          <w:rFonts w:ascii="Times New Roman" w:eastAsia="Calibri" w:hAnsi="Times New Roman" w:cs="Times New Roman"/>
          <w:sz w:val="24"/>
          <w:szCs w:val="24"/>
        </w:rPr>
        <w:t xml:space="preserve"> atbalstošā infrastruktūra nav pietiekoši labi attīstīta, kā tas ir, piemēram, Gaujas nacionālajā parkā. </w:t>
      </w:r>
      <w:r w:rsidR="00470169" w:rsidRPr="00A07F29">
        <w:rPr>
          <w:rFonts w:ascii="Times New Roman" w:eastAsia="Calibri" w:hAnsi="Times New Roman" w:cs="Times New Roman"/>
          <w:sz w:val="24"/>
          <w:szCs w:val="24"/>
        </w:rPr>
        <w:t>Kā atzīst trīs laivu nomu (“</w:t>
      </w:r>
      <w:proofErr w:type="spellStart"/>
      <w:r w:rsidR="00470169" w:rsidRPr="00A07F29">
        <w:rPr>
          <w:rFonts w:ascii="Times New Roman" w:eastAsia="Calibri" w:hAnsi="Times New Roman" w:cs="Times New Roman"/>
          <w:sz w:val="24"/>
          <w:szCs w:val="24"/>
        </w:rPr>
        <w:t>Beibuks</w:t>
      </w:r>
      <w:proofErr w:type="spellEnd"/>
      <w:r w:rsidR="00470169" w:rsidRPr="00A07F29">
        <w:rPr>
          <w:rFonts w:ascii="Times New Roman" w:eastAsia="Calibri" w:hAnsi="Times New Roman" w:cs="Times New Roman"/>
          <w:sz w:val="24"/>
          <w:szCs w:val="24"/>
        </w:rPr>
        <w:t>”</w:t>
      </w:r>
      <w:r w:rsidR="009A0814">
        <w:rPr>
          <w:rStyle w:val="FootnoteReference"/>
          <w:rFonts w:ascii="Times New Roman" w:eastAsia="Calibri" w:hAnsi="Times New Roman" w:cs="Times New Roman"/>
          <w:sz w:val="24"/>
          <w:szCs w:val="24"/>
        </w:rPr>
        <w:footnoteReference w:id="22"/>
      </w:r>
      <w:r w:rsidR="00470169" w:rsidRPr="00A07F29">
        <w:rPr>
          <w:rFonts w:ascii="Times New Roman" w:eastAsia="Calibri" w:hAnsi="Times New Roman" w:cs="Times New Roman"/>
          <w:sz w:val="24"/>
          <w:szCs w:val="24"/>
        </w:rPr>
        <w:t>, “</w:t>
      </w:r>
      <w:proofErr w:type="spellStart"/>
      <w:r w:rsidR="00470169" w:rsidRPr="00A07F29">
        <w:rPr>
          <w:rFonts w:ascii="Times New Roman" w:eastAsia="Calibri" w:hAnsi="Times New Roman" w:cs="Times New Roman"/>
          <w:sz w:val="24"/>
          <w:szCs w:val="24"/>
        </w:rPr>
        <w:t>Mučas</w:t>
      </w:r>
      <w:proofErr w:type="spellEnd"/>
      <w:r w:rsidR="00470169" w:rsidRPr="00A07F29">
        <w:rPr>
          <w:rFonts w:ascii="Times New Roman" w:eastAsia="Calibri" w:hAnsi="Times New Roman" w:cs="Times New Roman"/>
          <w:sz w:val="24"/>
          <w:szCs w:val="24"/>
        </w:rPr>
        <w:t>”</w:t>
      </w:r>
      <w:r w:rsidR="009A0814">
        <w:rPr>
          <w:rStyle w:val="FootnoteReference"/>
          <w:rFonts w:ascii="Times New Roman" w:eastAsia="Calibri" w:hAnsi="Times New Roman" w:cs="Times New Roman"/>
          <w:sz w:val="24"/>
          <w:szCs w:val="24"/>
        </w:rPr>
        <w:footnoteReference w:id="23"/>
      </w:r>
      <w:r w:rsidR="00470169" w:rsidRPr="00A07F29">
        <w:rPr>
          <w:rFonts w:ascii="Times New Roman" w:eastAsia="Calibri" w:hAnsi="Times New Roman" w:cs="Times New Roman"/>
          <w:sz w:val="24"/>
          <w:szCs w:val="24"/>
        </w:rPr>
        <w:t xml:space="preserve"> Latgalē, “Aktīva atpūta Latgalē”</w:t>
      </w:r>
      <w:r w:rsidR="009A0814">
        <w:rPr>
          <w:rStyle w:val="FootnoteReference"/>
          <w:rFonts w:ascii="Times New Roman" w:eastAsia="Calibri" w:hAnsi="Times New Roman" w:cs="Times New Roman"/>
          <w:sz w:val="24"/>
          <w:szCs w:val="24"/>
        </w:rPr>
        <w:footnoteReference w:id="24"/>
      </w:r>
      <w:r w:rsidR="00470169" w:rsidRPr="00A07F29">
        <w:rPr>
          <w:rFonts w:ascii="Times New Roman" w:eastAsia="Calibri" w:hAnsi="Times New Roman" w:cs="Times New Roman"/>
          <w:sz w:val="24"/>
          <w:szCs w:val="24"/>
        </w:rPr>
        <w:t>) pārstāvji, AAA “Augšdaugava” nepieciešams uzlabot ceļu kvalitāti un piekļuvi Daugavai, jo pietrūkst labas kvalitātes piebraucamo ceļu laivu ielaišanai un izcelšanai</w:t>
      </w:r>
      <w:r w:rsidRPr="00A07F29">
        <w:rPr>
          <w:rFonts w:ascii="Times New Roman" w:eastAsia="Calibri" w:hAnsi="Times New Roman" w:cs="Times New Roman"/>
          <w:sz w:val="24"/>
          <w:szCs w:val="24"/>
        </w:rPr>
        <w:t>. Galvenie piebraucamie ceļi ir pašvaldību vai privātpersonu īpašumā, taču daudzi privātie zemju īpašnieki nevēlas, ka viņu ceļi tiktu izmantoti un īpašumā atrastos tūristi. Šobrīd liela daļa no piebraucamajiem ceļiem, kas jau tiek izmantoti laivu ielaišanai un izcelšanai, pieder privātpersonām, un, piemēram, vietējam laivu nomas īpašniekam ir izdevies vienoties par šo ceļu izmantošanu. Turklāt esošie ceļi lielākoties ir sliktā stāvoklī un grūti izbraucami (skat. 3.4.1.</w:t>
      </w:r>
      <w:r w:rsidR="0022629D" w:rsidRPr="00A07F29">
        <w:rPr>
          <w:rFonts w:ascii="Times New Roman" w:eastAsia="Calibri" w:hAnsi="Times New Roman" w:cs="Times New Roman"/>
          <w:sz w:val="24"/>
          <w:szCs w:val="24"/>
        </w:rPr>
        <w:t> </w:t>
      </w:r>
      <w:r w:rsidRPr="00A07F29">
        <w:rPr>
          <w:rFonts w:ascii="Times New Roman" w:eastAsia="Calibri" w:hAnsi="Times New Roman" w:cs="Times New Roman"/>
          <w:sz w:val="24"/>
          <w:szCs w:val="24"/>
        </w:rPr>
        <w:t>att</w:t>
      </w:r>
      <w:r w:rsidR="0022629D" w:rsidRPr="00A07F29">
        <w:rPr>
          <w:rFonts w:ascii="Times New Roman" w:eastAsia="Calibri" w:hAnsi="Times New Roman" w:cs="Times New Roman"/>
          <w:sz w:val="24"/>
          <w:szCs w:val="24"/>
        </w:rPr>
        <w:t>ēlu</w:t>
      </w:r>
      <w:r w:rsidRPr="00A07F29">
        <w:rPr>
          <w:rFonts w:ascii="Times New Roman" w:eastAsia="Calibri" w:hAnsi="Times New Roman" w:cs="Times New Roman"/>
          <w:sz w:val="24"/>
          <w:szCs w:val="24"/>
        </w:rPr>
        <w:t>).</w:t>
      </w:r>
    </w:p>
    <w:p w14:paraId="0D6FC8F6" w14:textId="5BF65012" w:rsidR="004814E0" w:rsidRPr="00A07F29" w:rsidRDefault="004814E0" w:rsidP="00EF3715">
      <w:pPr>
        <w:spacing w:after="0" w:line="240" w:lineRule="auto"/>
        <w:jc w:val="center"/>
        <w:rPr>
          <w:rFonts w:ascii="Calibri" w:eastAsia="Calibri" w:hAnsi="Calibri"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4814E0" w:rsidRPr="00A07F29" w14:paraId="26A2D807" w14:textId="77777777" w:rsidTr="63C42FA1">
        <w:tc>
          <w:tcPr>
            <w:tcW w:w="4508" w:type="dxa"/>
          </w:tcPr>
          <w:p w14:paraId="786BDBFF" w14:textId="50974289" w:rsidR="004814E0" w:rsidRPr="00A07F29" w:rsidRDefault="004814E0" w:rsidP="00EF3715">
            <w:pPr>
              <w:jc w:val="center"/>
              <w:rPr>
                <w:rFonts w:ascii="Calibri" w:eastAsia="Calibri" w:hAnsi="Calibri" w:cs="Times New Roman"/>
              </w:rPr>
            </w:pPr>
            <w:r w:rsidRPr="00A07F29">
              <w:rPr>
                <w:noProof/>
                <w:lang w:eastAsia="lv-LV"/>
              </w:rPr>
              <w:lastRenderedPageBreak/>
              <w:drawing>
                <wp:inline distT="0" distB="0" distL="0" distR="0" wp14:anchorId="55E05CE2" wp14:editId="36A4443A">
                  <wp:extent cx="2286000" cy="3048094"/>
                  <wp:effectExtent l="0" t="0" r="0" b="0"/>
                  <wp:docPr id="2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pic:nvPicPr>
                        <pic:blipFill>
                          <a:blip r:embed="rId35">
                            <a:extLst>
                              <a:ext uri="{28A0092B-C50C-407E-A947-70E740481C1C}">
                                <a14:useLocalDpi xmlns:a14="http://schemas.microsoft.com/office/drawing/2010/main"/>
                              </a:ext>
                            </a:extLst>
                          </a:blip>
                          <a:stretch>
                            <a:fillRect/>
                          </a:stretch>
                        </pic:blipFill>
                        <pic:spPr>
                          <a:xfrm>
                            <a:off x="0" y="0"/>
                            <a:ext cx="2286000" cy="3048094"/>
                          </a:xfrm>
                          <a:prstGeom prst="rect">
                            <a:avLst/>
                          </a:prstGeom>
                        </pic:spPr>
                      </pic:pic>
                    </a:graphicData>
                  </a:graphic>
                </wp:inline>
              </w:drawing>
            </w:r>
          </w:p>
        </w:tc>
        <w:tc>
          <w:tcPr>
            <w:tcW w:w="4508" w:type="dxa"/>
            <w:vAlign w:val="bottom"/>
          </w:tcPr>
          <w:p w14:paraId="5CE3B4FB" w14:textId="1A5626F0" w:rsidR="004814E0" w:rsidRPr="00A07F29" w:rsidRDefault="004814E0" w:rsidP="00171794">
            <w:pPr>
              <w:jc w:val="both"/>
              <w:rPr>
                <w:rFonts w:ascii="Calibri" w:eastAsia="Calibri" w:hAnsi="Calibri" w:cs="Times New Roman"/>
              </w:rPr>
            </w:pPr>
            <w:r w:rsidRPr="00A07F29">
              <w:rPr>
                <w:rFonts w:ascii="Times New Roman" w:eastAsia="Calibri" w:hAnsi="Times New Roman" w:cs="Times New Roman"/>
                <w:sz w:val="20"/>
                <w:szCs w:val="24"/>
              </w:rPr>
              <w:t>3.4.1.</w:t>
            </w:r>
            <w:r w:rsidR="006E4383" w:rsidRPr="00A07F29">
              <w:rPr>
                <w:rFonts w:ascii="Times New Roman" w:eastAsia="Calibri" w:hAnsi="Times New Roman" w:cs="Times New Roman"/>
                <w:sz w:val="20"/>
                <w:szCs w:val="24"/>
              </w:rPr>
              <w:t> </w:t>
            </w:r>
            <w:r w:rsidRPr="00A07F29">
              <w:rPr>
                <w:rFonts w:ascii="Times New Roman" w:eastAsia="Calibri" w:hAnsi="Times New Roman" w:cs="Times New Roman"/>
                <w:sz w:val="20"/>
                <w:szCs w:val="24"/>
              </w:rPr>
              <w:t>at</w:t>
            </w:r>
            <w:r w:rsidR="00BA05F7" w:rsidRPr="00A07F29">
              <w:rPr>
                <w:rFonts w:ascii="Times New Roman" w:eastAsia="Calibri" w:hAnsi="Times New Roman" w:cs="Times New Roman"/>
                <w:sz w:val="20"/>
                <w:szCs w:val="24"/>
              </w:rPr>
              <w:t>t</w:t>
            </w:r>
            <w:r w:rsidR="006E4383" w:rsidRPr="00A07F29">
              <w:rPr>
                <w:rFonts w:ascii="Times New Roman" w:eastAsia="Calibri" w:hAnsi="Times New Roman" w:cs="Times New Roman"/>
                <w:sz w:val="20"/>
                <w:szCs w:val="24"/>
              </w:rPr>
              <w:t>ēls</w:t>
            </w:r>
            <w:r w:rsidRPr="00A07F29">
              <w:rPr>
                <w:rFonts w:ascii="Times New Roman" w:eastAsia="Calibri" w:hAnsi="Times New Roman" w:cs="Times New Roman"/>
                <w:sz w:val="20"/>
                <w:szCs w:val="24"/>
              </w:rPr>
              <w:t>. Izskalots, grūti izbraucams piebraucamais ceļš pie piestāšanas vietas Kraujā (foto: K.</w:t>
            </w:r>
            <w:r w:rsidR="006E4383" w:rsidRPr="00A07F29">
              <w:rPr>
                <w:rFonts w:ascii="Times New Roman" w:eastAsia="Calibri" w:hAnsi="Times New Roman" w:cs="Times New Roman"/>
                <w:sz w:val="20"/>
                <w:szCs w:val="24"/>
              </w:rPr>
              <w:t> </w:t>
            </w:r>
            <w:r w:rsidRPr="00A07F29">
              <w:rPr>
                <w:rFonts w:ascii="Times New Roman" w:eastAsia="Calibri" w:hAnsi="Times New Roman" w:cs="Times New Roman"/>
                <w:sz w:val="20"/>
                <w:szCs w:val="24"/>
              </w:rPr>
              <w:t>Seržante).</w:t>
            </w:r>
          </w:p>
        </w:tc>
      </w:tr>
    </w:tbl>
    <w:p w14:paraId="5B6340FA" w14:textId="510A2665" w:rsidR="009072CE" w:rsidRPr="00A07F29" w:rsidRDefault="009072CE" w:rsidP="00EF3715">
      <w:pPr>
        <w:spacing w:after="0" w:line="240" w:lineRule="auto"/>
        <w:jc w:val="center"/>
        <w:rPr>
          <w:rFonts w:ascii="Calibri" w:eastAsia="Calibri" w:hAnsi="Calibri" w:cs="Times New Roman"/>
        </w:rPr>
      </w:pPr>
    </w:p>
    <w:p w14:paraId="3DF8985B" w14:textId="77777777" w:rsidR="009072CE" w:rsidRPr="00A07F29" w:rsidRDefault="009072CE" w:rsidP="00EF3715">
      <w:pPr>
        <w:spacing w:after="0" w:line="240" w:lineRule="auto"/>
        <w:jc w:val="both"/>
        <w:rPr>
          <w:rFonts w:ascii="Calibri" w:eastAsia="Calibri" w:hAnsi="Calibri" w:cs="Times New Roman"/>
        </w:rPr>
      </w:pPr>
    </w:p>
    <w:p w14:paraId="4A8AA93C" w14:textId="72AE9079" w:rsidR="00D02E38" w:rsidRPr="00A07F29" w:rsidRDefault="009072CE" w:rsidP="00EF3715">
      <w:pPr>
        <w:spacing w:after="0" w:line="240" w:lineRule="auto"/>
        <w:ind w:firstLine="851"/>
        <w:jc w:val="both"/>
      </w:pPr>
      <w:r w:rsidRPr="00A07F29">
        <w:rPr>
          <w:rFonts w:ascii="Times New Roman" w:eastAsia="Calibri" w:hAnsi="Times New Roman" w:cs="Times New Roman"/>
          <w:sz w:val="24"/>
        </w:rPr>
        <w:t xml:space="preserve">Tāpat ir jūtams </w:t>
      </w:r>
      <w:r w:rsidR="00D77D84" w:rsidRPr="00A07F29">
        <w:rPr>
          <w:rFonts w:ascii="Times New Roman" w:eastAsia="Calibri" w:hAnsi="Times New Roman" w:cs="Times New Roman"/>
          <w:sz w:val="24"/>
        </w:rPr>
        <w:t xml:space="preserve">labiekārtotu </w:t>
      </w:r>
      <w:r w:rsidRPr="00A07F29">
        <w:rPr>
          <w:rFonts w:ascii="Times New Roman" w:eastAsia="Calibri" w:hAnsi="Times New Roman" w:cs="Times New Roman"/>
          <w:sz w:val="24"/>
        </w:rPr>
        <w:t>atp</w:t>
      </w:r>
      <w:r w:rsidR="00A07F29">
        <w:rPr>
          <w:rFonts w:ascii="Times New Roman" w:eastAsia="Calibri" w:hAnsi="Times New Roman" w:cs="Times New Roman"/>
          <w:sz w:val="24"/>
        </w:rPr>
        <w:t>ū</w:t>
      </w:r>
      <w:r w:rsidRPr="00A07F29">
        <w:rPr>
          <w:rFonts w:ascii="Times New Roman" w:eastAsia="Calibri" w:hAnsi="Times New Roman" w:cs="Times New Roman"/>
          <w:sz w:val="24"/>
        </w:rPr>
        <w:t xml:space="preserve">tas </w:t>
      </w:r>
      <w:r w:rsidR="00D77D84" w:rsidRPr="00A07F29">
        <w:rPr>
          <w:rFonts w:ascii="Times New Roman" w:eastAsia="Calibri" w:hAnsi="Times New Roman" w:cs="Times New Roman"/>
          <w:sz w:val="24"/>
        </w:rPr>
        <w:t>vietu trūkums</w:t>
      </w:r>
      <w:r w:rsidRPr="00A07F29">
        <w:rPr>
          <w:rFonts w:ascii="Times New Roman" w:eastAsia="Calibri" w:hAnsi="Times New Roman" w:cs="Times New Roman"/>
          <w:sz w:val="24"/>
        </w:rPr>
        <w:t>. Ņemot vērā, ka Daugavas upes posms</w:t>
      </w:r>
      <w:r w:rsidR="00E066C6" w:rsidRPr="00A07F29">
        <w:rPr>
          <w:rFonts w:ascii="Times New Roman" w:eastAsia="Calibri" w:hAnsi="Times New Roman" w:cs="Times New Roman"/>
          <w:sz w:val="24"/>
        </w:rPr>
        <w:t xml:space="preserve"> AAA</w:t>
      </w:r>
      <w:r w:rsidRPr="00A07F29">
        <w:rPr>
          <w:rFonts w:ascii="Times New Roman" w:eastAsia="Calibri" w:hAnsi="Times New Roman" w:cs="Times New Roman"/>
          <w:sz w:val="24"/>
        </w:rPr>
        <w:t xml:space="preserve"> “Augšdaugava” teritorijā, it īpaši </w:t>
      </w:r>
      <w:r w:rsidR="00E066C6" w:rsidRPr="00A07F29">
        <w:rPr>
          <w:rFonts w:ascii="Times New Roman" w:eastAsia="Calibri" w:hAnsi="Times New Roman" w:cs="Times New Roman"/>
          <w:sz w:val="24"/>
        </w:rPr>
        <w:t>DP “</w:t>
      </w:r>
      <w:r w:rsidRPr="00A07F29">
        <w:rPr>
          <w:rFonts w:ascii="Times New Roman" w:eastAsia="Calibri" w:hAnsi="Times New Roman" w:cs="Times New Roman"/>
          <w:sz w:val="24"/>
        </w:rPr>
        <w:t>Daugavas loki</w:t>
      </w:r>
      <w:r w:rsidR="00E066C6" w:rsidRPr="00A07F29">
        <w:rPr>
          <w:rFonts w:ascii="Times New Roman" w:eastAsia="Calibri" w:hAnsi="Times New Roman" w:cs="Times New Roman"/>
          <w:sz w:val="24"/>
        </w:rPr>
        <w:t>”</w:t>
      </w:r>
      <w:r w:rsidRPr="00A07F29">
        <w:rPr>
          <w:rFonts w:ascii="Times New Roman" w:eastAsia="Calibri" w:hAnsi="Times New Roman" w:cs="Times New Roman"/>
          <w:sz w:val="24"/>
        </w:rPr>
        <w:t xml:space="preserve">, ir pieprasīts un populārs </w:t>
      </w:r>
      <w:proofErr w:type="spellStart"/>
      <w:r w:rsidRPr="00A07F29">
        <w:rPr>
          <w:rFonts w:ascii="Times New Roman" w:eastAsia="Calibri" w:hAnsi="Times New Roman" w:cs="Times New Roman"/>
          <w:sz w:val="24"/>
        </w:rPr>
        <w:t>ūdenstūristu</w:t>
      </w:r>
      <w:proofErr w:type="spellEnd"/>
      <w:r w:rsidRPr="00A07F29">
        <w:rPr>
          <w:rFonts w:ascii="Times New Roman" w:eastAsia="Calibri" w:hAnsi="Times New Roman" w:cs="Times New Roman"/>
          <w:sz w:val="24"/>
        </w:rPr>
        <w:t xml:space="preserve"> vidū, ir ļoti būtiski nodrošināt atbilstošu </w:t>
      </w:r>
      <w:proofErr w:type="spellStart"/>
      <w:r w:rsidRPr="00A07F29">
        <w:rPr>
          <w:rFonts w:ascii="Times New Roman" w:eastAsia="Calibri" w:hAnsi="Times New Roman" w:cs="Times New Roman"/>
          <w:sz w:val="24"/>
        </w:rPr>
        <w:t>ūdenstūrisma</w:t>
      </w:r>
      <w:proofErr w:type="spellEnd"/>
      <w:r w:rsidRPr="00A07F29">
        <w:rPr>
          <w:rFonts w:ascii="Times New Roman" w:eastAsia="Calibri" w:hAnsi="Times New Roman" w:cs="Times New Roman"/>
          <w:sz w:val="24"/>
        </w:rPr>
        <w:t xml:space="preserve"> infrastruktūru, kas ir ērta tās lietotājiem, tajā pašā laikā respektējot un saudzējot dabas vērtības. Nozīmīgu infrastruktūras elementu – laivu piestātņu un labiekārtotu atpūtas vietu Daugavas krastā – izveide un uzturēšana ir būtiska, lai novērstu antropogēnās slodzes rašanos tai neparedzētās un nepiemērotās vietās. Kā norāda viens no vietējiem laivu nomas īpašniekiem, Daugavas krasti ir izbraukāti, ierīkotas vairākas nesankcionētas ugunskura vietas (skat. 3.4.2.</w:t>
      </w:r>
      <w:r w:rsidR="003B6629" w:rsidRPr="00A07F29">
        <w:rPr>
          <w:rFonts w:ascii="Times New Roman" w:eastAsia="Calibri" w:hAnsi="Times New Roman" w:cs="Times New Roman"/>
          <w:sz w:val="24"/>
        </w:rPr>
        <w:t> </w:t>
      </w:r>
      <w:r w:rsidRPr="00A07F29">
        <w:rPr>
          <w:rFonts w:ascii="Times New Roman" w:eastAsia="Calibri" w:hAnsi="Times New Roman" w:cs="Times New Roman"/>
          <w:sz w:val="24"/>
        </w:rPr>
        <w:t>att</w:t>
      </w:r>
      <w:r w:rsidR="003B6629" w:rsidRPr="00A07F29">
        <w:rPr>
          <w:rFonts w:ascii="Times New Roman" w:eastAsia="Calibri" w:hAnsi="Times New Roman" w:cs="Times New Roman"/>
          <w:sz w:val="24"/>
        </w:rPr>
        <w:t>ēl</w:t>
      </w:r>
      <w:r w:rsidR="00BA05F7" w:rsidRPr="00A07F29">
        <w:rPr>
          <w:rFonts w:ascii="Times New Roman" w:eastAsia="Calibri" w:hAnsi="Times New Roman" w:cs="Times New Roman"/>
          <w:sz w:val="24"/>
        </w:rPr>
        <w:t>u</w:t>
      </w:r>
      <w:r w:rsidRPr="00A07F29">
        <w:rPr>
          <w:rFonts w:ascii="Times New Roman" w:eastAsia="Calibri" w:hAnsi="Times New Roman" w:cs="Times New Roman"/>
          <w:sz w:val="24"/>
        </w:rPr>
        <w:t>) un samesti atkritumi, pie kā vainīgi galvenokārt vietējie atpūtnieki no Daugavpils. Oficiālu atpūtas vietu labiekārtošana, iespējams, varētu samazināt neorganizētu Daugavas krastu izmantošanu un piesārņošanu.</w:t>
      </w:r>
      <w:r w:rsidR="00D02E38" w:rsidRPr="00A07F29">
        <w:t xml:space="preserve"> </w:t>
      </w:r>
    </w:p>
    <w:p w14:paraId="04F9BA4C" w14:textId="5F628BDA" w:rsidR="009072CE" w:rsidRPr="00A07F29" w:rsidRDefault="00D02E38" w:rsidP="00EF3715">
      <w:pPr>
        <w:spacing w:after="0" w:line="240" w:lineRule="auto"/>
        <w:ind w:firstLine="851"/>
        <w:jc w:val="both"/>
        <w:rPr>
          <w:rFonts w:ascii="Times New Roman" w:eastAsia="Calibri" w:hAnsi="Times New Roman" w:cs="Times New Roman"/>
          <w:sz w:val="24"/>
        </w:rPr>
      </w:pPr>
      <w:r w:rsidRPr="00A07F29">
        <w:rPr>
          <w:rFonts w:ascii="Times New Roman" w:eastAsia="Times New Roman" w:hAnsi="Times New Roman" w:cs="Times New Roman"/>
          <w:sz w:val="24"/>
          <w:szCs w:val="24"/>
          <w:lang w:eastAsia="lv-LV"/>
        </w:rPr>
        <w:t xml:space="preserve">Vides risinājumu institūta izstrādātajos Daugavas upes posma </w:t>
      </w:r>
      <w:r w:rsidR="00BA571D" w:rsidRPr="00A07F29">
        <w:rPr>
          <w:rFonts w:ascii="Times New Roman" w:eastAsia="Times New Roman" w:hAnsi="Times New Roman" w:cs="Times New Roman"/>
          <w:sz w:val="24"/>
          <w:szCs w:val="24"/>
          <w:lang w:eastAsia="lv-LV"/>
        </w:rPr>
        <w:t xml:space="preserve">Daugavpils novadā </w:t>
      </w:r>
      <w:r w:rsidRPr="00A07F29">
        <w:rPr>
          <w:rFonts w:ascii="Times New Roman" w:eastAsia="Times New Roman" w:hAnsi="Times New Roman" w:cs="Times New Roman"/>
          <w:sz w:val="24"/>
          <w:szCs w:val="24"/>
          <w:lang w:eastAsia="lv-LV"/>
        </w:rPr>
        <w:t xml:space="preserve">ekspluatācijas noteikumos (2020) un zivsaimnieciskās ekspluatācijas noteikumos (2020) atzīts, ka </w:t>
      </w:r>
      <w:r w:rsidRPr="00A07F29">
        <w:rPr>
          <w:rFonts w:ascii="Times New Roman" w:eastAsia="Calibri" w:hAnsi="Times New Roman" w:cs="Times New Roman"/>
          <w:sz w:val="24"/>
        </w:rPr>
        <w:t xml:space="preserve">DP “Daugavas loki” teritorijā pie upes iespējama publiska piekļuve, bet praktiski nav infrastruktūras (tualetes, atkritumu tvertnes u.c.). </w:t>
      </w:r>
      <w:r w:rsidRPr="00A07F29">
        <w:rPr>
          <w:rFonts w:ascii="Times New Roman" w:eastAsia="Times New Roman" w:hAnsi="Times New Roman" w:cs="Times New Roman"/>
          <w:sz w:val="24"/>
          <w:szCs w:val="24"/>
          <w:lang w:eastAsia="lv-LV"/>
        </w:rPr>
        <w:t>Daugavas upes posma ekspluatācijas noteikumu pielikumā, kas DA plāna izstrādes laikā tika saskaņoti ar DA plānā paredzētajiem plānotajiem apsaimniekošanas pasākumiem (</w:t>
      </w:r>
      <w:r w:rsidR="003E12E1" w:rsidRPr="00A07F29">
        <w:rPr>
          <w:rFonts w:ascii="Times New Roman" w:eastAsia="Times New Roman" w:hAnsi="Times New Roman" w:cs="Times New Roman"/>
          <w:sz w:val="24"/>
          <w:szCs w:val="24"/>
          <w:lang w:eastAsia="lv-LV"/>
        </w:rPr>
        <w:t xml:space="preserve">skat. </w:t>
      </w:r>
      <w:r w:rsidRPr="00A07F29">
        <w:rPr>
          <w:rFonts w:ascii="Times New Roman" w:eastAsia="Times New Roman" w:hAnsi="Times New Roman" w:cs="Times New Roman"/>
          <w:sz w:val="24"/>
          <w:szCs w:val="24"/>
          <w:lang w:eastAsia="lv-LV"/>
        </w:rPr>
        <w:t>5.1.</w:t>
      </w:r>
      <w:r w:rsidR="004C4A9A">
        <w:rPr>
          <w:rFonts w:ascii="Times New Roman" w:eastAsia="Times New Roman" w:hAnsi="Times New Roman" w:cs="Times New Roman"/>
          <w:sz w:val="24"/>
          <w:szCs w:val="24"/>
          <w:lang w:eastAsia="lv-LV"/>
        </w:rPr>
        <w:t>1. un 5.1.1a.</w:t>
      </w:r>
      <w:r w:rsidR="003E12E1" w:rsidRPr="00A07F29">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 xml:space="preserve">pielikums) norādītas esošās un potenciālās </w:t>
      </w:r>
      <w:proofErr w:type="spellStart"/>
      <w:r w:rsidRPr="00A07F29">
        <w:rPr>
          <w:rFonts w:ascii="Times New Roman" w:eastAsia="Times New Roman" w:hAnsi="Times New Roman" w:cs="Times New Roman"/>
          <w:sz w:val="24"/>
          <w:szCs w:val="24"/>
          <w:lang w:eastAsia="lv-LV"/>
        </w:rPr>
        <w:t>ūdenstūristu</w:t>
      </w:r>
      <w:proofErr w:type="spellEnd"/>
      <w:r w:rsidRPr="00A07F29">
        <w:rPr>
          <w:rFonts w:ascii="Times New Roman" w:eastAsia="Times New Roman" w:hAnsi="Times New Roman" w:cs="Times New Roman"/>
          <w:sz w:val="24"/>
          <w:szCs w:val="24"/>
          <w:lang w:eastAsia="lv-LV"/>
        </w:rPr>
        <w:t xml:space="preserve"> atpūtas vietas pie Daugavas, kur </w:t>
      </w:r>
      <w:r w:rsidRPr="00A07F29">
        <w:rPr>
          <w:rFonts w:ascii="Times New Roman" w:eastAsia="Calibri" w:hAnsi="Times New Roman" w:cs="Times New Roman"/>
          <w:sz w:val="24"/>
        </w:rPr>
        <w:t>iespējams atjaunot/izveidot publiski pieejamu tūrisma infrastruktūru</w:t>
      </w:r>
      <w:r w:rsidR="00D77D84" w:rsidRPr="00A07F29">
        <w:rPr>
          <w:rFonts w:ascii="Times New Roman" w:eastAsia="Calibri" w:hAnsi="Times New Roman" w:cs="Times New Roman"/>
          <w:sz w:val="24"/>
        </w:rPr>
        <w:t>, kā arī</w:t>
      </w:r>
      <w:r w:rsidRPr="00A07F29">
        <w:rPr>
          <w:rFonts w:ascii="Times New Roman" w:eastAsia="Calibri" w:hAnsi="Times New Roman" w:cs="Times New Roman"/>
          <w:sz w:val="24"/>
        </w:rPr>
        <w:t xml:space="preserve"> </w:t>
      </w:r>
      <w:r w:rsidR="00D77D84" w:rsidRPr="00A07F29">
        <w:rPr>
          <w:rFonts w:ascii="Times New Roman" w:eastAsia="Calibri" w:hAnsi="Times New Roman" w:cs="Times New Roman"/>
          <w:sz w:val="24"/>
        </w:rPr>
        <w:t>norādīts</w:t>
      </w:r>
      <w:r w:rsidRPr="00A07F29">
        <w:rPr>
          <w:rFonts w:ascii="Times New Roman" w:eastAsia="Calibri" w:hAnsi="Times New Roman" w:cs="Times New Roman"/>
          <w:sz w:val="24"/>
        </w:rPr>
        <w:t>, ka nav ieteicams veidot citus jaunus piekļuves punktus. Lai pilnvērtīgāk izmantotu ūdensteces rekreācijas potenciālu, rekomendēts izveidot/uzlabot publiski pieejamas laivu nolaišanas vietas (t.s. “</w:t>
      </w:r>
      <w:proofErr w:type="spellStart"/>
      <w:r w:rsidRPr="00A07F29">
        <w:rPr>
          <w:rFonts w:ascii="Times New Roman" w:eastAsia="Calibri" w:hAnsi="Times New Roman" w:cs="Times New Roman"/>
          <w:sz w:val="24"/>
        </w:rPr>
        <w:t>slipus</w:t>
      </w:r>
      <w:proofErr w:type="spellEnd"/>
      <w:r w:rsidRPr="00A07F29">
        <w:rPr>
          <w:rFonts w:ascii="Times New Roman" w:eastAsia="Calibri" w:hAnsi="Times New Roman" w:cs="Times New Roman"/>
          <w:sz w:val="24"/>
        </w:rPr>
        <w:t>”) un atpūtas vietas Daugavas krastos</w:t>
      </w:r>
      <w:r w:rsidR="00BA571D" w:rsidRPr="00A07F29">
        <w:rPr>
          <w:rFonts w:ascii="Times New Roman" w:eastAsia="Calibri" w:hAnsi="Times New Roman" w:cs="Times New Roman"/>
          <w:sz w:val="24"/>
        </w:rPr>
        <w:t>, tostarp</w:t>
      </w:r>
      <w:r w:rsidRPr="00A07F29">
        <w:rPr>
          <w:rFonts w:ascii="Times New Roman" w:eastAsia="Calibri" w:hAnsi="Times New Roman" w:cs="Times New Roman"/>
          <w:sz w:val="24"/>
        </w:rPr>
        <w:t xml:space="preserve"> ieteikts pārbūvēt laivu nolaišanas vietu pie </w:t>
      </w:r>
      <w:proofErr w:type="spellStart"/>
      <w:r w:rsidRPr="00A07F29">
        <w:rPr>
          <w:rFonts w:ascii="Times New Roman" w:eastAsia="Calibri" w:hAnsi="Times New Roman" w:cs="Times New Roman"/>
          <w:sz w:val="24"/>
        </w:rPr>
        <w:t>Slutišķiem</w:t>
      </w:r>
      <w:proofErr w:type="spellEnd"/>
      <w:r w:rsidRPr="00A07F29">
        <w:rPr>
          <w:rFonts w:ascii="Times New Roman" w:eastAsia="Calibri" w:hAnsi="Times New Roman" w:cs="Times New Roman"/>
          <w:sz w:val="24"/>
        </w:rPr>
        <w:t>. Pašlaik šajā vietā ir izveidots “</w:t>
      </w:r>
      <w:proofErr w:type="spellStart"/>
      <w:r w:rsidRPr="00A07F29">
        <w:rPr>
          <w:rFonts w:ascii="Times New Roman" w:eastAsia="Calibri" w:hAnsi="Times New Roman" w:cs="Times New Roman"/>
          <w:sz w:val="24"/>
        </w:rPr>
        <w:t>slips</w:t>
      </w:r>
      <w:proofErr w:type="spellEnd"/>
      <w:r w:rsidRPr="00A07F29">
        <w:rPr>
          <w:rFonts w:ascii="Times New Roman" w:eastAsia="Calibri" w:hAnsi="Times New Roman" w:cs="Times New Roman"/>
          <w:sz w:val="24"/>
        </w:rPr>
        <w:t>” ar lielu slīpumu un gludu betona virsmu. Rekomendējams “</w:t>
      </w:r>
      <w:proofErr w:type="spellStart"/>
      <w:r w:rsidRPr="00A07F29">
        <w:rPr>
          <w:rFonts w:ascii="Times New Roman" w:eastAsia="Calibri" w:hAnsi="Times New Roman" w:cs="Times New Roman"/>
          <w:sz w:val="24"/>
        </w:rPr>
        <w:t>slipu</w:t>
      </w:r>
      <w:proofErr w:type="spellEnd"/>
      <w:r w:rsidRPr="00A07F29">
        <w:rPr>
          <w:rFonts w:ascii="Times New Roman" w:eastAsia="Calibri" w:hAnsi="Times New Roman" w:cs="Times New Roman"/>
          <w:sz w:val="24"/>
        </w:rPr>
        <w:t>” padarīt lēzenāku un tā virsmu raupjāku, lai atvieglotu laivu ielaišanu upē.</w:t>
      </w:r>
    </w:p>
    <w:p w14:paraId="7B6CA3E9" w14:textId="77777777" w:rsidR="009072CE" w:rsidRPr="00A07F29" w:rsidRDefault="009072CE" w:rsidP="00EF3715">
      <w:pPr>
        <w:spacing w:after="0" w:line="240" w:lineRule="auto"/>
        <w:jc w:val="both"/>
        <w:rPr>
          <w:rFonts w:ascii="Times New Roman" w:eastAsia="Calibri" w:hAnsi="Times New Roman" w:cs="Times New Roman"/>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11"/>
        <w:gridCol w:w="2915"/>
      </w:tblGrid>
      <w:tr w:rsidR="004814E0" w:rsidRPr="00A07F29" w14:paraId="03FB0305" w14:textId="77777777" w:rsidTr="63C42FA1">
        <w:tc>
          <w:tcPr>
            <w:tcW w:w="4508" w:type="dxa"/>
          </w:tcPr>
          <w:p w14:paraId="7FA45C57" w14:textId="7DC71330" w:rsidR="004814E0" w:rsidRPr="00A07F29" w:rsidRDefault="004814E0" w:rsidP="00EF3715">
            <w:pPr>
              <w:jc w:val="both"/>
              <w:rPr>
                <w:rFonts w:ascii="Times New Roman" w:eastAsia="Calibri" w:hAnsi="Times New Roman" w:cs="Times New Roman"/>
                <w:sz w:val="24"/>
              </w:rPr>
            </w:pPr>
            <w:r w:rsidRPr="00A07F29">
              <w:rPr>
                <w:noProof/>
                <w:lang w:eastAsia="lv-LV"/>
              </w:rPr>
              <w:lastRenderedPageBreak/>
              <w:drawing>
                <wp:inline distT="0" distB="0" distL="0" distR="0" wp14:anchorId="59381425" wp14:editId="7C834388">
                  <wp:extent cx="3743325" cy="2807719"/>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pic:nvPicPr>
                        <pic:blipFill>
                          <a:blip r:embed="rId36">
                            <a:extLst>
                              <a:ext uri="{28A0092B-C50C-407E-A947-70E740481C1C}">
                                <a14:useLocalDpi xmlns:a14="http://schemas.microsoft.com/office/drawing/2010/main"/>
                              </a:ext>
                            </a:extLst>
                          </a:blip>
                          <a:stretch>
                            <a:fillRect/>
                          </a:stretch>
                        </pic:blipFill>
                        <pic:spPr>
                          <a:xfrm>
                            <a:off x="0" y="0"/>
                            <a:ext cx="3743325" cy="2807719"/>
                          </a:xfrm>
                          <a:prstGeom prst="rect">
                            <a:avLst/>
                          </a:prstGeom>
                        </pic:spPr>
                      </pic:pic>
                    </a:graphicData>
                  </a:graphic>
                </wp:inline>
              </w:drawing>
            </w:r>
          </w:p>
        </w:tc>
        <w:tc>
          <w:tcPr>
            <w:tcW w:w="4508" w:type="dxa"/>
            <w:vAlign w:val="bottom"/>
          </w:tcPr>
          <w:p w14:paraId="5F776F70" w14:textId="00F79CA9" w:rsidR="004814E0" w:rsidRPr="00A07F29" w:rsidRDefault="004814E0" w:rsidP="00EF3715">
            <w:pPr>
              <w:jc w:val="both"/>
              <w:rPr>
                <w:rFonts w:ascii="Times New Roman" w:eastAsia="Calibri" w:hAnsi="Times New Roman" w:cs="Times New Roman"/>
                <w:sz w:val="24"/>
              </w:rPr>
            </w:pPr>
            <w:r w:rsidRPr="00A07F29">
              <w:rPr>
                <w:rFonts w:ascii="Times New Roman" w:eastAsia="Calibri" w:hAnsi="Times New Roman" w:cs="Times New Roman"/>
                <w:sz w:val="20"/>
                <w:szCs w:val="24"/>
              </w:rPr>
              <w:t>3.4.2.</w:t>
            </w:r>
            <w:r w:rsidR="00171794" w:rsidRPr="00A07F29">
              <w:rPr>
                <w:rFonts w:ascii="Times New Roman" w:eastAsia="Calibri" w:hAnsi="Times New Roman" w:cs="Times New Roman"/>
                <w:sz w:val="20"/>
                <w:szCs w:val="24"/>
              </w:rPr>
              <w:t> </w:t>
            </w:r>
            <w:r w:rsidRPr="00A07F29">
              <w:rPr>
                <w:rFonts w:ascii="Times New Roman" w:eastAsia="Calibri" w:hAnsi="Times New Roman" w:cs="Times New Roman"/>
                <w:sz w:val="20"/>
                <w:szCs w:val="24"/>
              </w:rPr>
              <w:t>att</w:t>
            </w:r>
            <w:r w:rsidR="00171794" w:rsidRPr="00A07F29">
              <w:rPr>
                <w:rFonts w:ascii="Times New Roman" w:eastAsia="Calibri" w:hAnsi="Times New Roman" w:cs="Times New Roman"/>
                <w:sz w:val="20"/>
                <w:szCs w:val="24"/>
              </w:rPr>
              <w:t>ēls</w:t>
            </w:r>
            <w:r w:rsidRPr="00A07F29">
              <w:rPr>
                <w:rFonts w:ascii="Times New Roman" w:eastAsia="Calibri" w:hAnsi="Times New Roman" w:cs="Times New Roman"/>
                <w:sz w:val="20"/>
                <w:szCs w:val="24"/>
              </w:rPr>
              <w:t xml:space="preserve">. Nesankcionēta ugunskura vieta Daugavas labajā krastā </w:t>
            </w:r>
            <w:proofErr w:type="spellStart"/>
            <w:r w:rsidRPr="00A07F29">
              <w:rPr>
                <w:rFonts w:ascii="Times New Roman" w:eastAsia="Calibri" w:hAnsi="Times New Roman" w:cs="Times New Roman"/>
                <w:sz w:val="20"/>
                <w:szCs w:val="24"/>
              </w:rPr>
              <w:t>Ververu</w:t>
            </w:r>
            <w:proofErr w:type="spellEnd"/>
            <w:r w:rsidRPr="00A07F29">
              <w:rPr>
                <w:rFonts w:ascii="Times New Roman" w:eastAsia="Calibri" w:hAnsi="Times New Roman" w:cs="Times New Roman"/>
                <w:sz w:val="20"/>
                <w:szCs w:val="24"/>
              </w:rPr>
              <w:t xml:space="preserve"> lokā (foto: K.</w:t>
            </w:r>
            <w:r w:rsidR="00171794" w:rsidRPr="00A07F29">
              <w:rPr>
                <w:rFonts w:ascii="Times New Roman" w:eastAsia="Calibri" w:hAnsi="Times New Roman" w:cs="Times New Roman"/>
                <w:sz w:val="20"/>
                <w:szCs w:val="24"/>
              </w:rPr>
              <w:t> </w:t>
            </w:r>
            <w:r w:rsidRPr="00A07F29">
              <w:rPr>
                <w:rFonts w:ascii="Times New Roman" w:eastAsia="Calibri" w:hAnsi="Times New Roman" w:cs="Times New Roman"/>
                <w:sz w:val="20"/>
                <w:szCs w:val="24"/>
              </w:rPr>
              <w:t>Seržante).</w:t>
            </w:r>
          </w:p>
        </w:tc>
      </w:tr>
    </w:tbl>
    <w:p w14:paraId="24F8FAE9" w14:textId="77777777" w:rsidR="009072CE" w:rsidRPr="00A07F29" w:rsidRDefault="009072CE" w:rsidP="00EF3715">
      <w:pPr>
        <w:spacing w:after="0" w:line="240" w:lineRule="auto"/>
        <w:jc w:val="both"/>
        <w:rPr>
          <w:rFonts w:ascii="Times New Roman" w:eastAsia="Calibri" w:hAnsi="Times New Roman" w:cs="Times New Roman"/>
          <w:sz w:val="24"/>
        </w:rPr>
      </w:pPr>
    </w:p>
    <w:p w14:paraId="7EBE9116" w14:textId="2471395E" w:rsidR="009072CE" w:rsidRPr="00A07F29" w:rsidRDefault="00D77D84" w:rsidP="00EF3715">
      <w:pPr>
        <w:spacing w:after="0" w:line="240" w:lineRule="auto"/>
        <w:ind w:firstLine="851"/>
        <w:jc w:val="both"/>
        <w:rPr>
          <w:rFonts w:ascii="Times New Roman" w:eastAsia="Calibri" w:hAnsi="Times New Roman" w:cs="Times New Roman"/>
          <w:sz w:val="24"/>
        </w:rPr>
      </w:pPr>
      <w:r w:rsidRPr="00A07F29">
        <w:rPr>
          <w:rFonts w:ascii="Times New Roman" w:eastAsia="Calibri" w:hAnsi="Times New Roman" w:cs="Times New Roman"/>
          <w:sz w:val="24"/>
        </w:rPr>
        <w:t>I</w:t>
      </w:r>
      <w:r w:rsidR="009072CE" w:rsidRPr="00A07F29">
        <w:rPr>
          <w:rFonts w:ascii="Times New Roman" w:eastAsia="Calibri" w:hAnsi="Times New Roman" w:cs="Times New Roman"/>
          <w:sz w:val="24"/>
        </w:rPr>
        <w:t xml:space="preserve">r svarīgi </w:t>
      </w:r>
      <w:r w:rsidR="00A20087" w:rsidRPr="00A07F29">
        <w:rPr>
          <w:rFonts w:ascii="Times New Roman" w:eastAsia="Calibri" w:hAnsi="Times New Roman" w:cs="Times New Roman"/>
          <w:sz w:val="24"/>
        </w:rPr>
        <w:t xml:space="preserve">arī </w:t>
      </w:r>
      <w:r w:rsidR="009072CE" w:rsidRPr="00A07F29">
        <w:rPr>
          <w:rFonts w:ascii="Times New Roman" w:eastAsia="Calibri" w:hAnsi="Times New Roman" w:cs="Times New Roman"/>
          <w:sz w:val="24"/>
        </w:rPr>
        <w:t xml:space="preserve">nodrošināt pietiekamu informāciju par </w:t>
      </w:r>
      <w:r w:rsidRPr="00A07F29">
        <w:rPr>
          <w:rFonts w:ascii="Times New Roman" w:eastAsia="Calibri" w:hAnsi="Times New Roman" w:cs="Times New Roman"/>
          <w:sz w:val="24"/>
        </w:rPr>
        <w:t xml:space="preserve">ierīkotajām atpūtas </w:t>
      </w:r>
      <w:r w:rsidR="009072CE" w:rsidRPr="00A07F29">
        <w:rPr>
          <w:rFonts w:ascii="Times New Roman" w:eastAsia="Calibri" w:hAnsi="Times New Roman" w:cs="Times New Roman"/>
          <w:sz w:val="24"/>
        </w:rPr>
        <w:t>vietām. Šobrīd, piemēram, informācija par LVM atpūtas vietām ir pieejama tikai LVM interaktīvajā kartē</w:t>
      </w:r>
      <w:r w:rsidR="00F86512" w:rsidRPr="00A07F29">
        <w:rPr>
          <w:rStyle w:val="FootnoteReference"/>
          <w:rFonts w:ascii="Times New Roman" w:eastAsia="Calibri" w:hAnsi="Times New Roman" w:cs="Times New Roman"/>
          <w:sz w:val="24"/>
        </w:rPr>
        <w:footnoteReference w:id="25"/>
      </w:r>
      <w:r w:rsidR="009072CE" w:rsidRPr="00A07F29">
        <w:rPr>
          <w:rFonts w:ascii="Times New Roman" w:eastAsia="Calibri" w:hAnsi="Times New Roman" w:cs="Times New Roman"/>
          <w:sz w:val="24"/>
        </w:rPr>
        <w:t xml:space="preserve">, bet pašvaldību tūrisma portālos un drukātajos izdevumos nav informācijas, kā arī dabā nav izvietotas norādes, līdz ar to par šādu jau labiekārtotu atpūtas vietu esamību zina tikai </w:t>
      </w:r>
      <w:r w:rsidR="005B25B0" w:rsidRPr="00A07F29">
        <w:rPr>
          <w:rFonts w:ascii="Times New Roman" w:eastAsia="Calibri" w:hAnsi="Times New Roman" w:cs="Times New Roman"/>
          <w:sz w:val="24"/>
        </w:rPr>
        <w:t>atsevišķa</w:t>
      </w:r>
      <w:r w:rsidR="009072CE" w:rsidRPr="00A07F29">
        <w:rPr>
          <w:rFonts w:ascii="Times New Roman" w:eastAsia="Calibri" w:hAnsi="Times New Roman" w:cs="Times New Roman"/>
          <w:sz w:val="24"/>
        </w:rPr>
        <w:t xml:space="preserve"> daļa teritorijas apmeklētāju, un, iespējams, tas ir iemesls, kāpēc atpūtnieki izbraukā krastus un ierīko nesankcionētas ugunskura vietas.</w:t>
      </w:r>
    </w:p>
    <w:p w14:paraId="6FD0EE07" w14:textId="44E5E3B9" w:rsidR="009072CE" w:rsidRPr="00A07F29" w:rsidRDefault="00F11EC6" w:rsidP="00EF3715">
      <w:pPr>
        <w:spacing w:after="0" w:line="240" w:lineRule="auto"/>
        <w:ind w:firstLine="851"/>
        <w:jc w:val="both"/>
        <w:rPr>
          <w:rFonts w:ascii="Times New Roman" w:eastAsia="Calibri" w:hAnsi="Times New Roman" w:cs="Times New Roman"/>
          <w:sz w:val="24"/>
        </w:rPr>
      </w:pPr>
      <w:r w:rsidRPr="00A07F29">
        <w:rPr>
          <w:rFonts w:ascii="Times New Roman" w:eastAsia="Calibri" w:hAnsi="Times New Roman" w:cs="Times New Roman"/>
          <w:sz w:val="24"/>
        </w:rPr>
        <w:t>Kā norāda laivu nomas “</w:t>
      </w:r>
      <w:proofErr w:type="spellStart"/>
      <w:r w:rsidRPr="00A07F29">
        <w:rPr>
          <w:rFonts w:ascii="Times New Roman" w:eastAsia="Calibri" w:hAnsi="Times New Roman" w:cs="Times New Roman"/>
          <w:sz w:val="24"/>
        </w:rPr>
        <w:t>Beibuks</w:t>
      </w:r>
      <w:proofErr w:type="spellEnd"/>
      <w:r w:rsidRPr="00A07F29">
        <w:rPr>
          <w:rFonts w:ascii="Times New Roman" w:eastAsia="Calibri" w:hAnsi="Times New Roman" w:cs="Times New Roman"/>
          <w:sz w:val="24"/>
        </w:rPr>
        <w:t>” īpašnieks un “</w:t>
      </w:r>
      <w:proofErr w:type="spellStart"/>
      <w:r w:rsidRPr="00A07F29">
        <w:rPr>
          <w:rFonts w:ascii="Times New Roman" w:eastAsia="Calibri" w:hAnsi="Times New Roman" w:cs="Times New Roman"/>
          <w:sz w:val="24"/>
        </w:rPr>
        <w:t>Mučas</w:t>
      </w:r>
      <w:proofErr w:type="spellEnd"/>
      <w:r w:rsidRPr="00A07F29">
        <w:rPr>
          <w:rFonts w:ascii="Times New Roman" w:eastAsia="Calibri" w:hAnsi="Times New Roman" w:cs="Times New Roman"/>
          <w:sz w:val="24"/>
        </w:rPr>
        <w:t xml:space="preserve">” pārstāvis, daudzi </w:t>
      </w:r>
      <w:proofErr w:type="spellStart"/>
      <w:r w:rsidRPr="00A07F29">
        <w:rPr>
          <w:rFonts w:ascii="Times New Roman" w:eastAsia="Calibri" w:hAnsi="Times New Roman" w:cs="Times New Roman"/>
          <w:sz w:val="24"/>
        </w:rPr>
        <w:t>laivotāji</w:t>
      </w:r>
      <w:proofErr w:type="spellEnd"/>
      <w:r w:rsidRPr="00A07F29">
        <w:rPr>
          <w:rFonts w:ascii="Times New Roman" w:eastAsia="Calibri" w:hAnsi="Times New Roman" w:cs="Times New Roman"/>
          <w:sz w:val="24"/>
        </w:rPr>
        <w:t xml:space="preserve"> vēlas apmesties un pārnakšņot telpās, nevis teltīs, ir vēlme pēc lielāka komforta – tas ir it īpaši svarīgi ārzemju tūristiem un korporatīvajiem klientiem, bet diemžēl AAA “Augšdaugava” Daugavas tuvumā trūkst paaugstināta komforta naktsmītnes, un esošās naktsmītnes nespējot nodrošināt pieprasījumu</w:t>
      </w:r>
      <w:r w:rsidR="009072CE" w:rsidRPr="00A07F29">
        <w:rPr>
          <w:rFonts w:ascii="Times New Roman" w:eastAsia="Calibri" w:hAnsi="Times New Roman" w:cs="Times New Roman"/>
          <w:sz w:val="24"/>
        </w:rPr>
        <w:t>.</w:t>
      </w:r>
    </w:p>
    <w:p w14:paraId="3D487841" w14:textId="61A99319" w:rsidR="009072CE" w:rsidRPr="00A07F29" w:rsidRDefault="009072CE" w:rsidP="00EF3715">
      <w:pPr>
        <w:spacing w:after="0" w:line="240" w:lineRule="auto"/>
        <w:ind w:firstLine="851"/>
        <w:jc w:val="both"/>
        <w:rPr>
          <w:rFonts w:ascii="Times New Roman" w:eastAsia="Calibri" w:hAnsi="Times New Roman" w:cs="Times New Roman"/>
          <w:sz w:val="24"/>
        </w:rPr>
      </w:pPr>
      <w:r w:rsidRPr="00A07F29">
        <w:rPr>
          <w:rFonts w:ascii="Times New Roman" w:eastAsia="Calibri" w:hAnsi="Times New Roman" w:cs="Times New Roman"/>
          <w:sz w:val="24"/>
        </w:rPr>
        <w:t>2018.</w:t>
      </w:r>
      <w:r w:rsidR="00555C5E" w:rsidRPr="00A07F29">
        <w:rPr>
          <w:rFonts w:ascii="Times New Roman" w:eastAsia="Calibri" w:hAnsi="Times New Roman" w:cs="Times New Roman"/>
          <w:sz w:val="24"/>
        </w:rPr>
        <w:t> </w:t>
      </w:r>
      <w:r w:rsidRPr="00A07F29">
        <w:rPr>
          <w:rFonts w:ascii="Times New Roman" w:eastAsia="Calibri" w:hAnsi="Times New Roman" w:cs="Times New Roman"/>
          <w:sz w:val="24"/>
        </w:rPr>
        <w:t xml:space="preserve">gadā tika izdots buklets par </w:t>
      </w:r>
      <w:proofErr w:type="spellStart"/>
      <w:r w:rsidRPr="00A07F29">
        <w:rPr>
          <w:rFonts w:ascii="Times New Roman" w:eastAsia="Calibri" w:hAnsi="Times New Roman" w:cs="Times New Roman"/>
          <w:sz w:val="24"/>
        </w:rPr>
        <w:t>ūdenstūrisma</w:t>
      </w:r>
      <w:proofErr w:type="spellEnd"/>
      <w:r w:rsidRPr="00A07F29">
        <w:rPr>
          <w:rFonts w:ascii="Times New Roman" w:eastAsia="Calibri" w:hAnsi="Times New Roman" w:cs="Times New Roman"/>
          <w:sz w:val="24"/>
        </w:rPr>
        <w:t xml:space="preserve"> maršrutu </w:t>
      </w:r>
      <w:r w:rsidR="00E066C6" w:rsidRPr="00A07F29">
        <w:rPr>
          <w:rFonts w:ascii="Times New Roman" w:eastAsia="Calibri" w:hAnsi="Times New Roman" w:cs="Times New Roman"/>
          <w:sz w:val="24"/>
        </w:rPr>
        <w:t xml:space="preserve">AAA </w:t>
      </w:r>
      <w:r w:rsidRPr="00A07F29">
        <w:rPr>
          <w:rFonts w:ascii="Times New Roman" w:eastAsia="Calibri" w:hAnsi="Times New Roman" w:cs="Times New Roman"/>
          <w:sz w:val="24"/>
        </w:rPr>
        <w:t xml:space="preserve">“Augšdaugava” (Piedruja – Daugavpils), kurā apkopotas un atzīmētas </w:t>
      </w:r>
      <w:proofErr w:type="spellStart"/>
      <w:r w:rsidRPr="00A07F29">
        <w:rPr>
          <w:rFonts w:ascii="Times New Roman" w:eastAsia="Calibri" w:hAnsi="Times New Roman" w:cs="Times New Roman"/>
          <w:sz w:val="24"/>
        </w:rPr>
        <w:t>ūdenstūristu</w:t>
      </w:r>
      <w:proofErr w:type="spellEnd"/>
      <w:r w:rsidRPr="00A07F29">
        <w:rPr>
          <w:rFonts w:ascii="Times New Roman" w:eastAsia="Calibri" w:hAnsi="Times New Roman" w:cs="Times New Roman"/>
          <w:sz w:val="24"/>
        </w:rPr>
        <w:t xml:space="preserve"> atpūtas vietas, kā arī apskates objekti un tūrisma pakalpojumi Daugavas krastos.</w:t>
      </w:r>
    </w:p>
    <w:p w14:paraId="203A3D3E" w14:textId="77777777" w:rsidR="009072CE" w:rsidRPr="00A07F29" w:rsidRDefault="009072CE" w:rsidP="00EF3715">
      <w:pPr>
        <w:spacing w:after="0" w:line="240" w:lineRule="auto"/>
        <w:jc w:val="both"/>
        <w:rPr>
          <w:rFonts w:ascii="Times New Roman" w:eastAsia="Calibri" w:hAnsi="Times New Roman" w:cs="Times New Roman"/>
          <w:sz w:val="24"/>
        </w:rPr>
      </w:pPr>
    </w:p>
    <w:p w14:paraId="754C2F03" w14:textId="77777777" w:rsidR="009072CE" w:rsidRPr="00A07F29" w:rsidRDefault="009072CE" w:rsidP="00EF3715">
      <w:pPr>
        <w:spacing w:after="0" w:line="240" w:lineRule="auto"/>
        <w:jc w:val="both"/>
        <w:rPr>
          <w:rFonts w:ascii="Times New Roman" w:eastAsia="Calibri" w:hAnsi="Times New Roman" w:cs="Times New Roman"/>
          <w:b/>
          <w:i/>
          <w:sz w:val="24"/>
        </w:rPr>
      </w:pPr>
      <w:r w:rsidRPr="00A07F29">
        <w:rPr>
          <w:rFonts w:ascii="Times New Roman" w:eastAsia="Calibri" w:hAnsi="Times New Roman" w:cs="Times New Roman"/>
          <w:b/>
          <w:i/>
          <w:sz w:val="24"/>
        </w:rPr>
        <w:t>Pasākumi</w:t>
      </w:r>
    </w:p>
    <w:p w14:paraId="06B48ED6" w14:textId="6CA2C737" w:rsidR="009072CE" w:rsidRPr="00A07F29" w:rsidRDefault="00E066C6" w:rsidP="00EF3715">
      <w:pPr>
        <w:spacing w:after="0" w:line="240" w:lineRule="auto"/>
        <w:ind w:firstLine="851"/>
        <w:jc w:val="both"/>
        <w:rPr>
          <w:rFonts w:ascii="Times New Roman" w:eastAsia="Calibri" w:hAnsi="Times New Roman" w:cs="Times New Roman"/>
          <w:sz w:val="24"/>
        </w:rPr>
      </w:pPr>
      <w:r w:rsidRPr="00A07F29">
        <w:rPr>
          <w:rFonts w:ascii="Times New Roman" w:eastAsia="Calibri" w:hAnsi="Times New Roman" w:cs="Times New Roman"/>
          <w:sz w:val="24"/>
        </w:rPr>
        <w:t xml:space="preserve">AAA </w:t>
      </w:r>
      <w:r w:rsidR="009072CE" w:rsidRPr="00A07F29">
        <w:rPr>
          <w:rFonts w:ascii="Times New Roman" w:eastAsia="Calibri" w:hAnsi="Times New Roman" w:cs="Times New Roman"/>
          <w:sz w:val="24"/>
        </w:rPr>
        <w:t>“Augšdaugavas” teritorijā regulāri tiek rīkoti divi vērienīgi pasākumi:</w:t>
      </w:r>
    </w:p>
    <w:p w14:paraId="57D86E40" w14:textId="1DF59F1B" w:rsidR="009072CE" w:rsidRPr="00A07F29" w:rsidRDefault="009072CE" w:rsidP="00F87589">
      <w:pPr>
        <w:pStyle w:val="ListParagraph"/>
        <w:numPr>
          <w:ilvl w:val="0"/>
          <w:numId w:val="43"/>
        </w:numPr>
        <w:spacing w:after="0" w:line="240" w:lineRule="auto"/>
        <w:ind w:left="0" w:firstLine="851"/>
        <w:rPr>
          <w:rFonts w:cs="Times New Roman"/>
        </w:rPr>
      </w:pPr>
      <w:r w:rsidRPr="00A07F29">
        <w:rPr>
          <w:rFonts w:cs="Times New Roman"/>
        </w:rPr>
        <w:t xml:space="preserve">Tautas mākslas festivāls “Augšdaugava”, kurš tiek organizēts </w:t>
      </w:r>
      <w:proofErr w:type="spellStart"/>
      <w:r w:rsidRPr="00A07F29">
        <w:rPr>
          <w:rFonts w:cs="Times New Roman"/>
        </w:rPr>
        <w:t>Slutišķu</w:t>
      </w:r>
      <w:proofErr w:type="spellEnd"/>
      <w:r w:rsidRPr="00A07F29">
        <w:rPr>
          <w:rFonts w:cs="Times New Roman"/>
        </w:rPr>
        <w:t xml:space="preserve"> sādžā, programmā iekļaujot koncertus, tirdziņu, radošās darbnīcas un citas aktivitātes. Festivāla mērķis ir popularizēt AAA “Augšdaugava”, kā arī teritorijā sastopamo kultūras mantojumu un tradīcijas;</w:t>
      </w:r>
    </w:p>
    <w:p w14:paraId="250A642B" w14:textId="73AB1754" w:rsidR="009072CE" w:rsidRPr="00A07F29" w:rsidRDefault="009072CE" w:rsidP="00F87589">
      <w:pPr>
        <w:pStyle w:val="ListParagraph"/>
        <w:numPr>
          <w:ilvl w:val="0"/>
          <w:numId w:val="43"/>
        </w:numPr>
        <w:spacing w:after="0" w:line="240" w:lineRule="auto"/>
        <w:ind w:left="0" w:firstLine="851"/>
        <w:rPr>
          <w:rFonts w:cs="Times New Roman"/>
        </w:rPr>
      </w:pPr>
      <w:r w:rsidRPr="00A07F29">
        <w:rPr>
          <w:rFonts w:cs="Times New Roman"/>
        </w:rPr>
        <w:t>Vislatvijas ūdens tūristu saiets “Lielais plosts”, kura galvenā aktivitāte ir laivošana pa Daugavu. Pasākuma mērķis ir popularizēt ūdens tūrismu Latgalē.</w:t>
      </w:r>
      <w:r w:rsidR="00D65BBA" w:rsidRPr="00A07F29">
        <w:rPr>
          <w:rFonts w:cs="Times New Roman"/>
        </w:rPr>
        <w:t xml:space="preserve"> </w:t>
      </w:r>
      <w:r w:rsidRPr="00A07F29">
        <w:rPr>
          <w:rFonts w:cs="Times New Roman"/>
        </w:rPr>
        <w:t>2019.</w:t>
      </w:r>
      <w:r w:rsidR="00DD1EF6" w:rsidRPr="00A07F29">
        <w:rPr>
          <w:rFonts w:cs="Times New Roman"/>
        </w:rPr>
        <w:t> </w:t>
      </w:r>
      <w:r w:rsidRPr="00A07F29">
        <w:rPr>
          <w:rFonts w:cs="Times New Roman"/>
        </w:rPr>
        <w:t>gada 1</w:t>
      </w:r>
      <w:r w:rsidR="00883300" w:rsidRPr="00A07F29">
        <w:rPr>
          <w:rFonts w:cs="Times New Roman"/>
        </w:rPr>
        <w:t>. </w:t>
      </w:r>
      <w:r w:rsidRPr="00A07F29">
        <w:rPr>
          <w:rFonts w:cs="Times New Roman"/>
        </w:rPr>
        <w:t>jūnijā Vislatvijas ūdens tūristu saiets notika jau piekto reizi. 2019.</w:t>
      </w:r>
      <w:r w:rsidR="0022388A" w:rsidRPr="00A07F29">
        <w:rPr>
          <w:rFonts w:cs="Times New Roman"/>
        </w:rPr>
        <w:t> </w:t>
      </w:r>
      <w:r w:rsidRPr="00A07F29">
        <w:rPr>
          <w:rFonts w:cs="Times New Roman"/>
        </w:rPr>
        <w:t>gadā pasākumā piedalījās 240 dalībnieki, 2018.</w:t>
      </w:r>
      <w:r w:rsidR="0022388A" w:rsidRPr="00A07F29">
        <w:rPr>
          <w:rFonts w:cs="Times New Roman"/>
        </w:rPr>
        <w:t> </w:t>
      </w:r>
      <w:r w:rsidRPr="00A07F29">
        <w:rPr>
          <w:rFonts w:cs="Times New Roman"/>
        </w:rPr>
        <w:t>gadā – 220 dalībnieki (Sporta kluba “</w:t>
      </w:r>
      <w:proofErr w:type="spellStart"/>
      <w:r w:rsidRPr="00A07F29">
        <w:rPr>
          <w:rFonts w:cs="Times New Roman"/>
        </w:rPr>
        <w:t>Beibuks</w:t>
      </w:r>
      <w:proofErr w:type="spellEnd"/>
      <w:r w:rsidRPr="00A07F29">
        <w:rPr>
          <w:rFonts w:cs="Times New Roman"/>
        </w:rPr>
        <w:t>” dati).</w:t>
      </w:r>
    </w:p>
    <w:p w14:paraId="1AB19413" w14:textId="77777777" w:rsidR="009072CE" w:rsidRPr="00A07F29" w:rsidRDefault="009072CE" w:rsidP="00EF3715">
      <w:pPr>
        <w:spacing w:after="0" w:line="240" w:lineRule="auto"/>
        <w:jc w:val="both"/>
        <w:rPr>
          <w:rFonts w:ascii="Times New Roman" w:eastAsia="Calibri" w:hAnsi="Times New Roman" w:cs="Times New Roman"/>
          <w:sz w:val="24"/>
        </w:rPr>
      </w:pPr>
    </w:p>
    <w:p w14:paraId="298A5733" w14:textId="77777777" w:rsidR="009072CE" w:rsidRPr="00A07F29" w:rsidRDefault="009072CE" w:rsidP="00EF3715">
      <w:pPr>
        <w:spacing w:after="0" w:line="240" w:lineRule="auto"/>
        <w:jc w:val="both"/>
        <w:rPr>
          <w:rFonts w:ascii="Times New Roman" w:eastAsia="Calibri" w:hAnsi="Times New Roman" w:cs="Times New Roman"/>
          <w:b/>
          <w:i/>
          <w:sz w:val="24"/>
        </w:rPr>
      </w:pPr>
      <w:r w:rsidRPr="00A07F29">
        <w:rPr>
          <w:rFonts w:ascii="Times New Roman" w:eastAsia="Calibri" w:hAnsi="Times New Roman" w:cs="Times New Roman"/>
          <w:b/>
          <w:i/>
          <w:sz w:val="24"/>
        </w:rPr>
        <w:t>Tūrisma maršruti</w:t>
      </w:r>
    </w:p>
    <w:p w14:paraId="3B3FFF24" w14:textId="0B13457E" w:rsidR="009072CE" w:rsidRPr="00A07F29" w:rsidRDefault="009072CE" w:rsidP="00EF3715">
      <w:pPr>
        <w:spacing w:after="0" w:line="240" w:lineRule="auto"/>
        <w:ind w:firstLine="851"/>
        <w:jc w:val="both"/>
        <w:rPr>
          <w:rFonts w:ascii="Times New Roman" w:eastAsia="Calibri" w:hAnsi="Times New Roman" w:cs="Times New Roman"/>
          <w:sz w:val="24"/>
        </w:rPr>
      </w:pPr>
      <w:r w:rsidRPr="00A07F29">
        <w:rPr>
          <w:rFonts w:ascii="Times New Roman" w:eastAsia="Calibri" w:hAnsi="Times New Roman" w:cs="Times New Roman"/>
          <w:sz w:val="24"/>
        </w:rPr>
        <w:t xml:space="preserve">AAA “Augšdaugava” sastopamās dabas un kultūrvēsturiskās vērtības ir iespējams iepazīt, dodoties dažādos kultūrvēsturiskos un aktīvā tūrisma maršrutos, kurus ir </w:t>
      </w:r>
      <w:r w:rsidR="00A20087" w:rsidRPr="00A07F29">
        <w:rPr>
          <w:rFonts w:ascii="Times New Roman" w:eastAsia="Calibri" w:hAnsi="Times New Roman" w:cs="Times New Roman"/>
          <w:sz w:val="24"/>
        </w:rPr>
        <w:t xml:space="preserve">izveidojušas </w:t>
      </w:r>
      <w:r w:rsidRPr="00A07F29">
        <w:rPr>
          <w:rFonts w:ascii="Times New Roman" w:eastAsia="Calibri" w:hAnsi="Times New Roman" w:cs="Times New Roman"/>
          <w:sz w:val="24"/>
        </w:rPr>
        <w:t>dažādas tūrisma organizācijas. 3.</w:t>
      </w:r>
      <w:r w:rsidR="00C764E0" w:rsidRPr="00A07F29">
        <w:rPr>
          <w:rFonts w:ascii="Times New Roman" w:eastAsia="Calibri" w:hAnsi="Times New Roman" w:cs="Times New Roman"/>
          <w:sz w:val="24"/>
        </w:rPr>
        <w:t>10</w:t>
      </w:r>
      <w:r w:rsidRPr="00A07F29">
        <w:rPr>
          <w:rFonts w:ascii="Times New Roman" w:eastAsia="Calibri" w:hAnsi="Times New Roman" w:cs="Times New Roman"/>
          <w:sz w:val="24"/>
        </w:rPr>
        <w:t>.</w:t>
      </w:r>
      <w:r w:rsidR="0022388A" w:rsidRPr="00A07F29">
        <w:rPr>
          <w:rFonts w:ascii="Times New Roman" w:eastAsia="Calibri" w:hAnsi="Times New Roman" w:cs="Times New Roman"/>
          <w:sz w:val="24"/>
        </w:rPr>
        <w:t> </w:t>
      </w:r>
      <w:r w:rsidRPr="00A07F29">
        <w:rPr>
          <w:rFonts w:ascii="Times New Roman" w:eastAsia="Calibri" w:hAnsi="Times New Roman" w:cs="Times New Roman"/>
          <w:sz w:val="24"/>
        </w:rPr>
        <w:t xml:space="preserve">pielikumā ir apkopoti tūrisma maršruti, kuros ir iekļauta AAA “Augšdaugava” teritorija, t.sk. arī pārrobežu maršruti. Izstrādātie maršruti ļauj iepazīt reģionu no dažādiem “skatu punktiem” – caur kulināro mantojumu, sakrālajiem objektiem, </w:t>
      </w:r>
      <w:r w:rsidRPr="00A07F29">
        <w:rPr>
          <w:rFonts w:ascii="Times New Roman" w:eastAsia="Calibri" w:hAnsi="Times New Roman" w:cs="Times New Roman"/>
          <w:sz w:val="24"/>
        </w:rPr>
        <w:lastRenderedPageBreak/>
        <w:t xml:space="preserve">braucot ar velo vai jājot zirga mugurā u.tml. Tomēr neviens no maršrutiem nav paredzēts kopējai </w:t>
      </w:r>
      <w:r w:rsidR="00DC2146" w:rsidRPr="00A07F29">
        <w:rPr>
          <w:rFonts w:ascii="Times New Roman" w:eastAsia="Calibri" w:hAnsi="Times New Roman" w:cs="Times New Roman"/>
          <w:sz w:val="24"/>
        </w:rPr>
        <w:t xml:space="preserve">AAA </w:t>
      </w:r>
      <w:r w:rsidRPr="00A07F29">
        <w:rPr>
          <w:rFonts w:ascii="Times New Roman" w:eastAsia="Calibri" w:hAnsi="Times New Roman" w:cs="Times New Roman"/>
          <w:sz w:val="24"/>
        </w:rPr>
        <w:t>“Augšdaugava” teritorijas iepazīšanai</w:t>
      </w:r>
      <w:r w:rsidR="00A20087" w:rsidRPr="00A07F29">
        <w:rPr>
          <w:rFonts w:ascii="Times New Roman" w:eastAsia="Calibri" w:hAnsi="Times New Roman" w:cs="Times New Roman"/>
          <w:sz w:val="24"/>
        </w:rPr>
        <w:t>, jo</w:t>
      </w:r>
      <w:r w:rsidRPr="00A07F29">
        <w:rPr>
          <w:rFonts w:ascii="Times New Roman" w:eastAsia="Calibri" w:hAnsi="Times New Roman" w:cs="Times New Roman"/>
          <w:sz w:val="24"/>
        </w:rPr>
        <w:t xml:space="preserve"> esošie maršruti ietver tikai daļu no </w:t>
      </w:r>
      <w:r w:rsidR="00A20087" w:rsidRPr="00A07F29">
        <w:rPr>
          <w:rFonts w:ascii="Times New Roman" w:eastAsia="Calibri" w:hAnsi="Times New Roman" w:cs="Times New Roman"/>
          <w:sz w:val="24"/>
        </w:rPr>
        <w:t>teritorijas</w:t>
      </w:r>
      <w:r w:rsidRPr="00A07F29">
        <w:rPr>
          <w:rFonts w:ascii="Times New Roman" w:eastAsia="Calibri" w:hAnsi="Times New Roman" w:cs="Times New Roman"/>
          <w:sz w:val="24"/>
        </w:rPr>
        <w:t xml:space="preserve">. Līdz ar to būtu ieteicams izstrādāt jaunus tematiskos maršrutus, kas aptvertu visu AAA “Augšdaugava” un ļautu iepazīt tieši </w:t>
      </w:r>
      <w:r w:rsidR="00DC2146" w:rsidRPr="00A07F29">
        <w:rPr>
          <w:rFonts w:ascii="Times New Roman" w:eastAsia="Calibri" w:hAnsi="Times New Roman" w:cs="Times New Roman"/>
          <w:sz w:val="24"/>
        </w:rPr>
        <w:t xml:space="preserve">AAA </w:t>
      </w:r>
      <w:r w:rsidRPr="00A07F29">
        <w:rPr>
          <w:rFonts w:ascii="Times New Roman" w:eastAsia="Calibri" w:hAnsi="Times New Roman" w:cs="Times New Roman"/>
          <w:sz w:val="24"/>
        </w:rPr>
        <w:t>“Augšdaugava” raksturīgās kultūrvēsturiskās un dabas vērtības.</w:t>
      </w:r>
    </w:p>
    <w:p w14:paraId="3823E7DF" w14:textId="26DDF149" w:rsidR="00BF4C55" w:rsidRPr="00A07F29" w:rsidRDefault="00BF4C55" w:rsidP="00EF3715">
      <w:pPr>
        <w:spacing w:after="0" w:line="240" w:lineRule="auto"/>
        <w:ind w:firstLine="851"/>
        <w:jc w:val="both"/>
        <w:rPr>
          <w:rFonts w:ascii="Times New Roman" w:eastAsia="Calibri" w:hAnsi="Times New Roman" w:cs="Times New Roman"/>
          <w:sz w:val="24"/>
        </w:rPr>
      </w:pPr>
    </w:p>
    <w:p w14:paraId="2B7E3F15" w14:textId="2DEEC15B" w:rsidR="00BF4C55" w:rsidRPr="00A07F29" w:rsidRDefault="00BF4C55" w:rsidP="00E74FAE">
      <w:pPr>
        <w:spacing w:after="120" w:line="240" w:lineRule="auto"/>
        <w:jc w:val="both"/>
        <w:rPr>
          <w:rFonts w:ascii="Times New Roman" w:eastAsia="Calibri" w:hAnsi="Times New Roman" w:cs="Times New Roman"/>
          <w:b/>
          <w:i/>
          <w:sz w:val="24"/>
        </w:rPr>
      </w:pPr>
      <w:r w:rsidRPr="00A07F29">
        <w:rPr>
          <w:rFonts w:ascii="Times New Roman" w:eastAsia="Calibri" w:hAnsi="Times New Roman" w:cs="Times New Roman"/>
          <w:b/>
          <w:i/>
          <w:sz w:val="24"/>
        </w:rPr>
        <w:t>Tūrisma piedāvājuma iespējamā attīstība</w:t>
      </w:r>
    </w:p>
    <w:p w14:paraId="2CC017F3" w14:textId="4C74781D" w:rsidR="009072CE" w:rsidRPr="00A07F29" w:rsidRDefault="009072CE" w:rsidP="00E74FAE">
      <w:pPr>
        <w:spacing w:after="120" w:line="240" w:lineRule="auto"/>
        <w:ind w:firstLine="851"/>
        <w:jc w:val="both"/>
        <w:rPr>
          <w:rFonts w:ascii="Times New Roman" w:eastAsia="Calibri" w:hAnsi="Times New Roman" w:cs="Times New Roman"/>
          <w:sz w:val="24"/>
        </w:rPr>
      </w:pPr>
      <w:r w:rsidRPr="00A07F29">
        <w:rPr>
          <w:rFonts w:ascii="Times New Roman" w:eastAsia="Calibri" w:hAnsi="Times New Roman" w:cs="Times New Roman"/>
          <w:sz w:val="24"/>
        </w:rPr>
        <w:t>Kaut gan AAA “Augšdaugava” teritorijā ir sastopami daudzi apskates un tūrisma infrastruktūras objekti un ir vairāki tūrisma un atpūtas piedāvājumi, tomēr ir plašas iespējas tūrisma attīstībai arī nākotnē. Salīdzinot ar 2014.</w:t>
      </w:r>
      <w:r w:rsidR="00540EAB" w:rsidRPr="00A07F29">
        <w:rPr>
          <w:rFonts w:ascii="Times New Roman" w:eastAsia="Calibri" w:hAnsi="Times New Roman" w:cs="Times New Roman"/>
          <w:sz w:val="24"/>
        </w:rPr>
        <w:t> </w:t>
      </w:r>
      <w:r w:rsidRPr="00A07F29">
        <w:rPr>
          <w:rFonts w:ascii="Times New Roman" w:eastAsia="Calibri" w:hAnsi="Times New Roman" w:cs="Times New Roman"/>
          <w:sz w:val="24"/>
        </w:rPr>
        <w:t xml:space="preserve">gadu, kad tika veikts pirmais teritorijas </w:t>
      </w:r>
      <w:proofErr w:type="spellStart"/>
      <w:r w:rsidRPr="00A07F29">
        <w:rPr>
          <w:rFonts w:ascii="Times New Roman" w:eastAsia="Calibri" w:hAnsi="Times New Roman" w:cs="Times New Roman"/>
          <w:sz w:val="24"/>
        </w:rPr>
        <w:t>apsekojums</w:t>
      </w:r>
      <w:proofErr w:type="spellEnd"/>
      <w:r w:rsidRPr="00A07F29">
        <w:rPr>
          <w:rFonts w:ascii="Times New Roman" w:eastAsia="Calibri" w:hAnsi="Times New Roman" w:cs="Times New Roman"/>
          <w:sz w:val="24"/>
        </w:rPr>
        <w:t xml:space="preserve"> AAA “Augšdaugava” pārvaldības plāna tūrisma sadaļas sagatavošanai, tūrisma infrastruktūra un piedāvājumi ir tikuši pilnveidoti un attīstīti – ir izveidotas jaunas ceļa norādes, informācijas stendi, atvērtas jaunas naktsmītnes un izveidoti jauni apskates objekti, atjaunotas dabas takas </w:t>
      </w:r>
      <w:r w:rsidR="00A20087" w:rsidRPr="00A07F29">
        <w:rPr>
          <w:rFonts w:ascii="Times New Roman" w:eastAsia="Calibri" w:hAnsi="Times New Roman" w:cs="Times New Roman"/>
          <w:sz w:val="24"/>
        </w:rPr>
        <w:t xml:space="preserve">un veikti citi </w:t>
      </w:r>
      <w:r w:rsidRPr="00A07F29">
        <w:rPr>
          <w:rFonts w:ascii="Times New Roman" w:eastAsia="Calibri" w:hAnsi="Times New Roman" w:cs="Times New Roman"/>
          <w:sz w:val="24"/>
        </w:rPr>
        <w:t xml:space="preserve">uzlabojumi. Šobrīd </w:t>
      </w:r>
      <w:r w:rsidR="00E066C6" w:rsidRPr="00A07F29">
        <w:rPr>
          <w:rFonts w:ascii="Times New Roman" w:eastAsia="Calibri" w:hAnsi="Times New Roman" w:cs="Times New Roman"/>
          <w:sz w:val="24"/>
        </w:rPr>
        <w:t xml:space="preserve">AAA </w:t>
      </w:r>
      <w:r w:rsidRPr="00A07F29">
        <w:rPr>
          <w:rFonts w:ascii="Times New Roman" w:eastAsia="Calibri" w:hAnsi="Times New Roman" w:cs="Times New Roman"/>
          <w:sz w:val="24"/>
        </w:rPr>
        <w:t xml:space="preserve">“Augšdaugava” </w:t>
      </w:r>
      <w:r w:rsidR="00A20087" w:rsidRPr="00A07F29">
        <w:rPr>
          <w:rFonts w:ascii="Times New Roman" w:eastAsia="Calibri" w:hAnsi="Times New Roman" w:cs="Times New Roman"/>
          <w:sz w:val="24"/>
        </w:rPr>
        <w:t xml:space="preserve">tūrisma jomā </w:t>
      </w:r>
      <w:r w:rsidRPr="00A07F29">
        <w:rPr>
          <w:rFonts w:ascii="Times New Roman" w:eastAsia="Calibri" w:hAnsi="Times New Roman" w:cs="Times New Roman"/>
          <w:sz w:val="24"/>
        </w:rPr>
        <w:t xml:space="preserve">attīstītākā daļa ir </w:t>
      </w:r>
      <w:r w:rsidR="00BF0E06" w:rsidRPr="00A07F29">
        <w:rPr>
          <w:rFonts w:ascii="Times New Roman" w:eastAsia="Calibri" w:hAnsi="Times New Roman" w:cs="Times New Roman"/>
          <w:sz w:val="24"/>
        </w:rPr>
        <w:t>DP</w:t>
      </w:r>
      <w:r w:rsidRPr="00A07F29">
        <w:rPr>
          <w:rFonts w:ascii="Times New Roman" w:eastAsia="Calibri" w:hAnsi="Times New Roman" w:cs="Times New Roman"/>
          <w:sz w:val="24"/>
        </w:rPr>
        <w:t xml:space="preserve"> “Daugavas loki” teritorija Daugavas labajā krastā ar labi attīstītu un izstrādātu tūrisma piedāvājumu un infrastruktūru un ar plaši pazīstamiem tūrisma objektiem (piem</w:t>
      </w:r>
      <w:r w:rsidR="00A20087" w:rsidRPr="00A07F29">
        <w:rPr>
          <w:rFonts w:ascii="Times New Roman" w:eastAsia="Calibri" w:hAnsi="Times New Roman" w:cs="Times New Roman"/>
          <w:sz w:val="24"/>
        </w:rPr>
        <w:t xml:space="preserve">ēram, </w:t>
      </w:r>
      <w:proofErr w:type="spellStart"/>
      <w:r w:rsidRPr="00A07F29">
        <w:rPr>
          <w:rFonts w:ascii="Times New Roman" w:eastAsia="Calibri" w:hAnsi="Times New Roman" w:cs="Times New Roman"/>
          <w:sz w:val="24"/>
        </w:rPr>
        <w:t>Slutišķu</w:t>
      </w:r>
      <w:proofErr w:type="spellEnd"/>
      <w:r w:rsidRPr="00A07F29">
        <w:rPr>
          <w:rFonts w:ascii="Times New Roman" w:eastAsia="Calibri" w:hAnsi="Times New Roman" w:cs="Times New Roman"/>
          <w:sz w:val="24"/>
        </w:rPr>
        <w:t xml:space="preserve"> sādža, Dinaburgas pilsdrupas, </w:t>
      </w:r>
      <w:proofErr w:type="spellStart"/>
      <w:r w:rsidRPr="00A07F29">
        <w:rPr>
          <w:rFonts w:ascii="Times New Roman" w:eastAsia="Calibri" w:hAnsi="Times New Roman" w:cs="Times New Roman"/>
          <w:sz w:val="24"/>
        </w:rPr>
        <w:t>Vasargelišķu</w:t>
      </w:r>
      <w:proofErr w:type="spellEnd"/>
      <w:r w:rsidRPr="00A07F29">
        <w:rPr>
          <w:rFonts w:ascii="Times New Roman" w:eastAsia="Calibri" w:hAnsi="Times New Roman" w:cs="Times New Roman"/>
          <w:sz w:val="24"/>
        </w:rPr>
        <w:t xml:space="preserve"> skatu tornis, laivošana pa Daugavas lokiem ar tai paredzēto </w:t>
      </w:r>
      <w:proofErr w:type="spellStart"/>
      <w:r w:rsidRPr="00A07F29">
        <w:rPr>
          <w:rFonts w:ascii="Times New Roman" w:eastAsia="Calibri" w:hAnsi="Times New Roman" w:cs="Times New Roman"/>
          <w:sz w:val="24"/>
        </w:rPr>
        <w:t>ūdenstūrisma</w:t>
      </w:r>
      <w:proofErr w:type="spellEnd"/>
      <w:r w:rsidRPr="00A07F29">
        <w:rPr>
          <w:rFonts w:ascii="Times New Roman" w:eastAsia="Calibri" w:hAnsi="Times New Roman" w:cs="Times New Roman"/>
          <w:sz w:val="24"/>
        </w:rPr>
        <w:t xml:space="preserve"> infrastruktūru), līdz ar to apmeklētāju plūsma arī koncentrējas šajā teritorijas daļā. Kā liecina Daugavpils novada pašvaldības aģentūras “TAKA” sniegtā informācija, 2019.</w:t>
      </w:r>
      <w:r w:rsidR="00144EC0" w:rsidRPr="00A07F29">
        <w:rPr>
          <w:rFonts w:ascii="Times New Roman" w:eastAsia="Calibri" w:hAnsi="Times New Roman" w:cs="Times New Roman"/>
          <w:sz w:val="24"/>
        </w:rPr>
        <w:t> </w:t>
      </w:r>
      <w:r w:rsidRPr="00A07F29">
        <w:rPr>
          <w:rFonts w:ascii="Times New Roman" w:eastAsia="Calibri" w:hAnsi="Times New Roman" w:cs="Times New Roman"/>
          <w:sz w:val="24"/>
        </w:rPr>
        <w:t xml:space="preserve">gadā </w:t>
      </w:r>
      <w:r w:rsidR="00BF0E06" w:rsidRPr="00A07F29">
        <w:rPr>
          <w:rFonts w:ascii="Times New Roman" w:eastAsia="Calibri" w:hAnsi="Times New Roman" w:cs="Times New Roman"/>
          <w:sz w:val="24"/>
        </w:rPr>
        <w:t>DP</w:t>
      </w:r>
      <w:r w:rsidRPr="00A07F29">
        <w:rPr>
          <w:rFonts w:ascii="Times New Roman" w:eastAsia="Calibri" w:hAnsi="Times New Roman" w:cs="Times New Roman"/>
          <w:sz w:val="24"/>
        </w:rPr>
        <w:t xml:space="preserve"> “Daugavas loki” ir apmeklējuši 30 234 tūristi</w:t>
      </w:r>
      <w:r w:rsidR="005C1A4E" w:rsidRPr="00A07F29">
        <w:rPr>
          <w:rFonts w:ascii="Times New Roman" w:eastAsia="Calibri" w:hAnsi="Times New Roman" w:cs="Times New Roman"/>
          <w:sz w:val="24"/>
        </w:rPr>
        <w:t>,</w:t>
      </w:r>
      <w:r w:rsidRPr="00A07F29">
        <w:rPr>
          <w:rFonts w:ascii="Times New Roman" w:eastAsia="Calibri" w:hAnsi="Times New Roman" w:cs="Times New Roman"/>
          <w:sz w:val="24"/>
        </w:rPr>
        <w:t xml:space="preserve"> </w:t>
      </w:r>
      <w:proofErr w:type="spellStart"/>
      <w:r w:rsidRPr="00A07F29">
        <w:rPr>
          <w:rFonts w:ascii="Times New Roman" w:eastAsia="Calibri" w:hAnsi="Times New Roman" w:cs="Times New Roman"/>
          <w:sz w:val="24"/>
        </w:rPr>
        <w:t>Markovas</w:t>
      </w:r>
      <w:proofErr w:type="spellEnd"/>
      <w:r w:rsidRPr="00A07F29">
        <w:rPr>
          <w:rFonts w:ascii="Times New Roman" w:eastAsia="Calibri" w:hAnsi="Times New Roman" w:cs="Times New Roman"/>
          <w:sz w:val="24"/>
        </w:rPr>
        <w:t xml:space="preserve"> dabas izziņas takā ir bijuši ap 5300 apmeklētāju, </w:t>
      </w:r>
      <w:proofErr w:type="spellStart"/>
      <w:r w:rsidRPr="00A07F29">
        <w:rPr>
          <w:rFonts w:ascii="Times New Roman" w:eastAsia="Calibri" w:hAnsi="Times New Roman" w:cs="Times New Roman"/>
          <w:sz w:val="24"/>
        </w:rPr>
        <w:t>Vasargelišķu</w:t>
      </w:r>
      <w:proofErr w:type="spellEnd"/>
      <w:r w:rsidRPr="00A07F29">
        <w:rPr>
          <w:rFonts w:ascii="Times New Roman" w:eastAsia="Calibri" w:hAnsi="Times New Roman" w:cs="Times New Roman"/>
          <w:sz w:val="24"/>
        </w:rPr>
        <w:t xml:space="preserve"> skatu tornī – ap 18 000 apmeklētāju. Savukārt 2018.</w:t>
      </w:r>
      <w:r w:rsidR="00E25C97" w:rsidRPr="00A07F29">
        <w:rPr>
          <w:rFonts w:ascii="Times New Roman" w:eastAsia="Calibri" w:hAnsi="Times New Roman" w:cs="Times New Roman"/>
          <w:sz w:val="24"/>
        </w:rPr>
        <w:t> </w:t>
      </w:r>
      <w:r w:rsidRPr="00A07F29">
        <w:rPr>
          <w:rFonts w:ascii="Times New Roman" w:eastAsia="Calibri" w:hAnsi="Times New Roman" w:cs="Times New Roman"/>
          <w:sz w:val="24"/>
        </w:rPr>
        <w:t xml:space="preserve">gadā no automātiskajiem apmeklētāju skaitītājiem iegūtie dati rāda, ka pie Dinaburgas izziņas takas esošo platformu “Kuģis” ir apmeklējuši </w:t>
      </w:r>
      <w:r w:rsidR="00A20087" w:rsidRPr="00A07F29">
        <w:rPr>
          <w:rFonts w:ascii="Times New Roman" w:eastAsia="Calibri" w:hAnsi="Times New Roman" w:cs="Times New Roman"/>
          <w:sz w:val="24"/>
        </w:rPr>
        <w:t>4</w:t>
      </w:r>
      <w:r w:rsidRPr="00A07F29">
        <w:rPr>
          <w:rFonts w:ascii="Times New Roman" w:eastAsia="Calibri" w:hAnsi="Times New Roman" w:cs="Times New Roman"/>
          <w:sz w:val="24"/>
        </w:rPr>
        <w:t xml:space="preserve">072 tūristi, turpat esošo laivu piestātni ir izmantojuši </w:t>
      </w:r>
      <w:r w:rsidR="00A20087" w:rsidRPr="00A07F29">
        <w:rPr>
          <w:rFonts w:ascii="Times New Roman" w:eastAsia="Calibri" w:hAnsi="Times New Roman" w:cs="Times New Roman"/>
          <w:sz w:val="24"/>
        </w:rPr>
        <w:t>2</w:t>
      </w:r>
      <w:r w:rsidRPr="00A07F29">
        <w:rPr>
          <w:rFonts w:ascii="Times New Roman" w:eastAsia="Calibri" w:hAnsi="Times New Roman" w:cs="Times New Roman"/>
          <w:sz w:val="24"/>
        </w:rPr>
        <w:t xml:space="preserve">069 tūristi, </w:t>
      </w:r>
      <w:proofErr w:type="spellStart"/>
      <w:r w:rsidRPr="00A07F29">
        <w:rPr>
          <w:rFonts w:ascii="Times New Roman" w:eastAsia="Calibri" w:hAnsi="Times New Roman" w:cs="Times New Roman"/>
          <w:sz w:val="24"/>
        </w:rPr>
        <w:t>Markovā</w:t>
      </w:r>
      <w:proofErr w:type="spellEnd"/>
      <w:r w:rsidRPr="00A07F29">
        <w:rPr>
          <w:rFonts w:ascii="Times New Roman" w:eastAsia="Calibri" w:hAnsi="Times New Roman" w:cs="Times New Roman"/>
          <w:sz w:val="24"/>
        </w:rPr>
        <w:t xml:space="preserve"> ir bijuši 2726 apmeklētāji (reālais apmeklētāju skaits ir lielāks, jo 2018.</w:t>
      </w:r>
      <w:r w:rsidR="00E25C97" w:rsidRPr="00A07F29">
        <w:rPr>
          <w:rFonts w:ascii="Times New Roman" w:eastAsia="Calibri" w:hAnsi="Times New Roman" w:cs="Times New Roman"/>
          <w:sz w:val="24"/>
        </w:rPr>
        <w:t> </w:t>
      </w:r>
      <w:r w:rsidRPr="00A07F29">
        <w:rPr>
          <w:rFonts w:ascii="Times New Roman" w:eastAsia="Calibri" w:hAnsi="Times New Roman" w:cs="Times New Roman"/>
          <w:sz w:val="24"/>
        </w:rPr>
        <w:t xml:space="preserve">gada otrajā pusē viens no </w:t>
      </w:r>
      <w:proofErr w:type="spellStart"/>
      <w:r w:rsidRPr="00A07F29">
        <w:rPr>
          <w:rFonts w:ascii="Times New Roman" w:eastAsia="Calibri" w:hAnsi="Times New Roman" w:cs="Times New Roman"/>
          <w:sz w:val="24"/>
        </w:rPr>
        <w:t>Markovā</w:t>
      </w:r>
      <w:proofErr w:type="spellEnd"/>
      <w:r w:rsidRPr="00A07F29">
        <w:rPr>
          <w:rFonts w:ascii="Times New Roman" w:eastAsia="Calibri" w:hAnsi="Times New Roman" w:cs="Times New Roman"/>
          <w:sz w:val="24"/>
        </w:rPr>
        <w:t xml:space="preserve"> esošajiem skaitītājiem nav ievācis datus). Par tūrisma radīto pašreizējo un paredzamo antropogēno slodzi uz teritoriju ir aprakstīts </w:t>
      </w:r>
      <w:r w:rsidR="00BF0E06" w:rsidRPr="00A07F29">
        <w:rPr>
          <w:rFonts w:ascii="Times New Roman" w:eastAsia="Calibri" w:hAnsi="Times New Roman" w:cs="Times New Roman"/>
          <w:sz w:val="24"/>
        </w:rPr>
        <w:t>DA plāna</w:t>
      </w:r>
      <w:r w:rsidRPr="00A07F29">
        <w:rPr>
          <w:rFonts w:ascii="Times New Roman" w:eastAsia="Calibri" w:hAnsi="Times New Roman" w:cs="Times New Roman"/>
          <w:sz w:val="24"/>
        </w:rPr>
        <w:t xml:space="preserve"> 3.8.</w:t>
      </w:r>
      <w:r w:rsidR="00F012EE" w:rsidRPr="00A07F29">
        <w:rPr>
          <w:rFonts w:ascii="Times New Roman" w:eastAsia="Calibri" w:hAnsi="Times New Roman" w:cs="Times New Roman"/>
          <w:sz w:val="24"/>
        </w:rPr>
        <w:t> </w:t>
      </w:r>
      <w:r w:rsidRPr="00A07F29">
        <w:rPr>
          <w:rFonts w:ascii="Times New Roman" w:eastAsia="Calibri" w:hAnsi="Times New Roman" w:cs="Times New Roman"/>
          <w:sz w:val="24"/>
        </w:rPr>
        <w:t>nodaļā.</w:t>
      </w:r>
      <w:r w:rsidR="00BF4C55" w:rsidRPr="00A07F29">
        <w:rPr>
          <w:rFonts w:ascii="Times New Roman" w:eastAsia="Calibri" w:hAnsi="Times New Roman" w:cs="Times New Roman"/>
          <w:sz w:val="24"/>
        </w:rPr>
        <w:t xml:space="preserve"> Priekšlikumi tūrisma objektu turpmākajai apsaimniekošanai un attīstībai </w:t>
      </w:r>
      <w:r w:rsidR="00B02A55" w:rsidRPr="00A07F29">
        <w:rPr>
          <w:rFonts w:ascii="Times New Roman" w:eastAsia="Calibri" w:hAnsi="Times New Roman" w:cs="Times New Roman"/>
          <w:sz w:val="24"/>
        </w:rPr>
        <w:t xml:space="preserve">doti tūrisma objektu </w:t>
      </w:r>
      <w:proofErr w:type="spellStart"/>
      <w:r w:rsidR="00B02A55" w:rsidRPr="00A07F29">
        <w:rPr>
          <w:rFonts w:ascii="Times New Roman" w:eastAsia="Calibri" w:hAnsi="Times New Roman" w:cs="Times New Roman"/>
          <w:sz w:val="24"/>
        </w:rPr>
        <w:t>izvērtējumā</w:t>
      </w:r>
      <w:proofErr w:type="spellEnd"/>
      <w:r w:rsidR="00B02A55" w:rsidRPr="00A07F29">
        <w:rPr>
          <w:rFonts w:ascii="Times New Roman" w:eastAsia="Calibri" w:hAnsi="Times New Roman" w:cs="Times New Roman"/>
          <w:sz w:val="24"/>
        </w:rPr>
        <w:t xml:space="preserve"> </w:t>
      </w:r>
      <w:r w:rsidR="00BF4C55" w:rsidRPr="00A07F29">
        <w:rPr>
          <w:rFonts w:ascii="Times New Roman" w:eastAsia="Calibri" w:hAnsi="Times New Roman" w:cs="Times New Roman"/>
          <w:sz w:val="24"/>
        </w:rPr>
        <w:t>3.</w:t>
      </w:r>
      <w:r w:rsidR="00B02A55" w:rsidRPr="00A07F29">
        <w:rPr>
          <w:rFonts w:ascii="Times New Roman" w:eastAsia="Calibri" w:hAnsi="Times New Roman" w:cs="Times New Roman"/>
          <w:sz w:val="24"/>
        </w:rPr>
        <w:t>9</w:t>
      </w:r>
      <w:r w:rsidR="00BF4C55" w:rsidRPr="00A07F29">
        <w:rPr>
          <w:rFonts w:ascii="Times New Roman" w:eastAsia="Calibri" w:hAnsi="Times New Roman" w:cs="Times New Roman"/>
          <w:sz w:val="24"/>
        </w:rPr>
        <w:t>.</w:t>
      </w:r>
      <w:r w:rsidR="00F012EE" w:rsidRPr="00A07F29">
        <w:rPr>
          <w:rFonts w:ascii="Times New Roman" w:eastAsia="Calibri" w:hAnsi="Times New Roman" w:cs="Times New Roman"/>
          <w:sz w:val="24"/>
        </w:rPr>
        <w:t> </w:t>
      </w:r>
      <w:r w:rsidR="00BF4C55" w:rsidRPr="00A07F29">
        <w:rPr>
          <w:rFonts w:ascii="Times New Roman" w:eastAsia="Calibri" w:hAnsi="Times New Roman" w:cs="Times New Roman"/>
          <w:sz w:val="24"/>
        </w:rPr>
        <w:t>pielikumā.</w:t>
      </w:r>
    </w:p>
    <w:p w14:paraId="60638377" w14:textId="4187DEEB" w:rsidR="009072CE" w:rsidRPr="00A07F29" w:rsidRDefault="009072CE" w:rsidP="00E74FAE">
      <w:pPr>
        <w:spacing w:after="120" w:line="240" w:lineRule="auto"/>
        <w:ind w:firstLine="851"/>
        <w:jc w:val="both"/>
        <w:rPr>
          <w:rFonts w:ascii="Times New Roman" w:eastAsia="Calibri" w:hAnsi="Times New Roman" w:cs="Times New Roman"/>
          <w:sz w:val="24"/>
        </w:rPr>
      </w:pPr>
      <w:r w:rsidRPr="00A07F29">
        <w:rPr>
          <w:rFonts w:ascii="Times New Roman" w:eastAsia="Calibri" w:hAnsi="Times New Roman" w:cs="Times New Roman"/>
          <w:sz w:val="24"/>
        </w:rPr>
        <w:t xml:space="preserve">Nākotnē </w:t>
      </w:r>
      <w:r w:rsidR="00C1151D" w:rsidRPr="00A07F29">
        <w:rPr>
          <w:rFonts w:ascii="Times New Roman" w:eastAsia="Calibri" w:hAnsi="Times New Roman" w:cs="Times New Roman"/>
          <w:sz w:val="24"/>
        </w:rPr>
        <w:t xml:space="preserve">tūrisma attīstības jomā </w:t>
      </w:r>
      <w:r w:rsidRPr="00A07F29">
        <w:rPr>
          <w:rFonts w:ascii="Times New Roman" w:eastAsia="Calibri" w:hAnsi="Times New Roman" w:cs="Times New Roman"/>
          <w:sz w:val="24"/>
        </w:rPr>
        <w:t xml:space="preserve">akcents būtu jāliek uz Daugavas </w:t>
      </w:r>
      <w:r w:rsidR="00C1151D" w:rsidRPr="00A07F29">
        <w:rPr>
          <w:rFonts w:ascii="Times New Roman" w:eastAsia="Calibri" w:hAnsi="Times New Roman" w:cs="Times New Roman"/>
          <w:sz w:val="24"/>
        </w:rPr>
        <w:t>kreiso krastu</w:t>
      </w:r>
      <w:r w:rsidRPr="00A07F29">
        <w:rPr>
          <w:rFonts w:ascii="Times New Roman" w:eastAsia="Calibri" w:hAnsi="Times New Roman" w:cs="Times New Roman"/>
          <w:sz w:val="24"/>
        </w:rPr>
        <w:t xml:space="preserve">, kā arī ir nepieciešams pilnveidot tūrismu Daugavas labajā krastā Krāslavas novada Krāslavas, Kalniešu un Piedrujas pagastos. Tūrisma un atpūtas iespēju klāsta pilnveidošana un paplašināšana visā </w:t>
      </w:r>
      <w:r w:rsidR="00E066C6" w:rsidRPr="00A07F29">
        <w:rPr>
          <w:rFonts w:ascii="Times New Roman" w:eastAsia="Calibri" w:hAnsi="Times New Roman" w:cs="Times New Roman"/>
          <w:sz w:val="24"/>
        </w:rPr>
        <w:t xml:space="preserve">AAA </w:t>
      </w:r>
      <w:r w:rsidRPr="00A07F29">
        <w:rPr>
          <w:rFonts w:ascii="Times New Roman" w:eastAsia="Calibri" w:hAnsi="Times New Roman" w:cs="Times New Roman"/>
          <w:sz w:val="24"/>
        </w:rPr>
        <w:t>“Augšdaugava” teritorijā, iespējams, izlīdzinātu apmeklētāju plūsmu un novērstu apmeklētāju plūsmas koncentrēšanos vienā konkrētā teritorijas daļā.</w:t>
      </w:r>
    </w:p>
    <w:p w14:paraId="64B7634A" w14:textId="7D56DF70" w:rsidR="009072CE" w:rsidRPr="00A07F29" w:rsidRDefault="009072CE" w:rsidP="00E74FAE">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Tūrisma piedāvājums </w:t>
      </w:r>
      <w:r w:rsidR="00DC2146" w:rsidRPr="00A07F29">
        <w:rPr>
          <w:rFonts w:ascii="Times New Roman" w:eastAsia="Calibri" w:hAnsi="Times New Roman" w:cs="Times New Roman"/>
          <w:sz w:val="24"/>
          <w:szCs w:val="24"/>
        </w:rPr>
        <w:t xml:space="preserve">AAA </w:t>
      </w:r>
      <w:r w:rsidRPr="00A07F29">
        <w:rPr>
          <w:rFonts w:ascii="Times New Roman" w:eastAsia="Calibri" w:hAnsi="Times New Roman" w:cs="Times New Roman"/>
          <w:sz w:val="24"/>
          <w:szCs w:val="24"/>
        </w:rPr>
        <w:t>“Augšdaugav</w:t>
      </w:r>
      <w:r w:rsidR="00DC2146" w:rsidRPr="00A07F29">
        <w:rPr>
          <w:rFonts w:ascii="Times New Roman" w:eastAsia="Calibri" w:hAnsi="Times New Roman" w:cs="Times New Roman"/>
          <w:sz w:val="24"/>
          <w:szCs w:val="24"/>
        </w:rPr>
        <w:t>a</w:t>
      </w:r>
      <w:r w:rsidRPr="00A07F29">
        <w:rPr>
          <w:rFonts w:ascii="Times New Roman" w:eastAsia="Calibri" w:hAnsi="Times New Roman" w:cs="Times New Roman"/>
          <w:sz w:val="24"/>
          <w:szCs w:val="24"/>
        </w:rPr>
        <w:t xml:space="preserve">” ir sezonāls – pasākumi un aktīvās atpūtas iespējas pārsvarā ir pieejamas vasaras sezonas laikā, savukārt rudens, ziemas un pavasara piedāvājumi ir izteikti mazāk. Līdz ar to, plānojot tūrisma attīstību </w:t>
      </w:r>
      <w:r w:rsidR="00DC2146" w:rsidRPr="00A07F29">
        <w:rPr>
          <w:rFonts w:ascii="Times New Roman" w:eastAsia="Calibri" w:hAnsi="Times New Roman" w:cs="Times New Roman"/>
          <w:sz w:val="24"/>
          <w:szCs w:val="24"/>
        </w:rPr>
        <w:t>AAA</w:t>
      </w:r>
      <w:r w:rsidR="26593A7F" w:rsidRPr="00A07F29">
        <w:rPr>
          <w:rFonts w:ascii="Times New Roman" w:eastAsia="Calibri" w:hAnsi="Times New Roman" w:cs="Times New Roman"/>
          <w:sz w:val="24"/>
          <w:szCs w:val="24"/>
        </w:rPr>
        <w:t xml:space="preserve"> </w:t>
      </w:r>
      <w:r w:rsidRPr="00A07F29">
        <w:rPr>
          <w:rFonts w:ascii="Times New Roman" w:eastAsia="Calibri" w:hAnsi="Times New Roman" w:cs="Times New Roman"/>
          <w:sz w:val="24"/>
          <w:szCs w:val="24"/>
        </w:rPr>
        <w:t>“Augšdaugav</w:t>
      </w:r>
      <w:r w:rsidR="00DC2146" w:rsidRPr="00A07F29">
        <w:rPr>
          <w:rFonts w:ascii="Times New Roman" w:eastAsia="Calibri" w:hAnsi="Times New Roman" w:cs="Times New Roman"/>
          <w:sz w:val="24"/>
          <w:szCs w:val="24"/>
        </w:rPr>
        <w:t>a</w:t>
      </w:r>
      <w:r w:rsidRPr="00A07F29">
        <w:rPr>
          <w:rFonts w:ascii="Times New Roman" w:eastAsia="Calibri" w:hAnsi="Times New Roman" w:cs="Times New Roman"/>
          <w:sz w:val="24"/>
          <w:szCs w:val="24"/>
        </w:rPr>
        <w:t xml:space="preserve">”, svarīgi ir papildināt tūrisma, atpūtas un izklaides iespējas arī </w:t>
      </w:r>
      <w:r w:rsidR="00C1151D" w:rsidRPr="00A07F29">
        <w:rPr>
          <w:rFonts w:ascii="Times New Roman" w:eastAsia="Calibri" w:hAnsi="Times New Roman" w:cs="Times New Roman"/>
          <w:sz w:val="24"/>
          <w:szCs w:val="24"/>
        </w:rPr>
        <w:t>šajos gadalaikos</w:t>
      </w:r>
      <w:r w:rsidRPr="00A07F29">
        <w:rPr>
          <w:rFonts w:ascii="Times New Roman" w:eastAsia="Calibri" w:hAnsi="Times New Roman" w:cs="Times New Roman"/>
          <w:sz w:val="24"/>
          <w:szCs w:val="24"/>
        </w:rPr>
        <w:t xml:space="preserve">. Piemēram, pavasarī organizēt Ceļotāju dienas, un, aktīvi izmantojot dažādus mārketinga rīkus, </w:t>
      </w:r>
      <w:r w:rsidR="00E066C6" w:rsidRPr="00A07F29">
        <w:rPr>
          <w:rFonts w:ascii="Times New Roman" w:eastAsia="Calibri" w:hAnsi="Times New Roman" w:cs="Times New Roman"/>
          <w:sz w:val="24"/>
          <w:szCs w:val="24"/>
        </w:rPr>
        <w:t xml:space="preserve">AAA </w:t>
      </w:r>
      <w:r w:rsidRPr="00A07F29">
        <w:rPr>
          <w:rFonts w:ascii="Times New Roman" w:eastAsia="Calibri" w:hAnsi="Times New Roman" w:cs="Times New Roman"/>
          <w:sz w:val="24"/>
          <w:szCs w:val="24"/>
        </w:rPr>
        <w:t>“Augšdaugava” varētu kļūt par atpazīstamu zelta rudens vērošanas galamērķi Latvijā.</w:t>
      </w:r>
    </w:p>
    <w:p w14:paraId="6A68FFC6" w14:textId="7E467E13" w:rsidR="009072CE" w:rsidRPr="00A07F29" w:rsidRDefault="009072CE" w:rsidP="00E74FAE">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Tāpat svarīgi veidot vienotu </w:t>
      </w:r>
      <w:r w:rsidR="00DC2146" w:rsidRPr="00A07F29">
        <w:rPr>
          <w:rFonts w:ascii="Times New Roman" w:eastAsia="Calibri" w:hAnsi="Times New Roman" w:cs="Times New Roman"/>
          <w:sz w:val="24"/>
          <w:szCs w:val="24"/>
        </w:rPr>
        <w:t xml:space="preserve">AAA </w:t>
      </w:r>
      <w:r w:rsidRPr="00A07F29">
        <w:rPr>
          <w:rFonts w:ascii="Times New Roman" w:eastAsia="Calibri" w:hAnsi="Times New Roman" w:cs="Times New Roman"/>
          <w:sz w:val="24"/>
          <w:szCs w:val="24"/>
        </w:rPr>
        <w:t xml:space="preserve">“Augšdaugava” piedāvājumu (piemēram, tūrisma maršrutus, pasākumus) un tūrisma informatīvos materiālus, attīstīt </w:t>
      </w:r>
      <w:r w:rsidR="00DC2146" w:rsidRPr="00A07F29">
        <w:rPr>
          <w:rFonts w:ascii="Times New Roman" w:eastAsia="Calibri" w:hAnsi="Times New Roman" w:cs="Times New Roman"/>
          <w:sz w:val="24"/>
          <w:szCs w:val="24"/>
        </w:rPr>
        <w:t>AAA</w:t>
      </w:r>
      <w:r w:rsidR="7CADCC87" w:rsidRPr="00A07F29">
        <w:rPr>
          <w:rFonts w:ascii="Times New Roman" w:eastAsia="Calibri" w:hAnsi="Times New Roman" w:cs="Times New Roman"/>
          <w:sz w:val="24"/>
          <w:szCs w:val="24"/>
        </w:rPr>
        <w:t xml:space="preserve"> </w:t>
      </w:r>
      <w:r w:rsidRPr="00A07F29">
        <w:rPr>
          <w:rFonts w:ascii="Times New Roman" w:eastAsia="Calibri" w:hAnsi="Times New Roman" w:cs="Times New Roman"/>
          <w:sz w:val="24"/>
          <w:szCs w:val="24"/>
        </w:rPr>
        <w:t>“Augšdaugav</w:t>
      </w:r>
      <w:r w:rsidR="00DC2146" w:rsidRPr="00A07F29">
        <w:rPr>
          <w:rFonts w:ascii="Times New Roman" w:eastAsia="Calibri" w:hAnsi="Times New Roman" w:cs="Times New Roman"/>
          <w:sz w:val="24"/>
          <w:szCs w:val="24"/>
        </w:rPr>
        <w:t>a</w:t>
      </w:r>
      <w:r w:rsidRPr="00A07F29">
        <w:rPr>
          <w:rFonts w:ascii="Times New Roman" w:eastAsia="Calibri" w:hAnsi="Times New Roman" w:cs="Times New Roman"/>
          <w:sz w:val="24"/>
          <w:szCs w:val="24"/>
        </w:rPr>
        <w:t xml:space="preserve">” kā vienotu tūrisma galamērķi, jo šobrīd katra pašvaldība informē un liek akcentu tikai uz savā novadā esošajiem tūrisma objektiem un piedāvājumiem, turklāt nereti visvairāk izceļot </w:t>
      </w:r>
      <w:r w:rsidR="00BF0E06" w:rsidRPr="00A07F29">
        <w:rPr>
          <w:rFonts w:ascii="Times New Roman" w:eastAsia="Calibri" w:hAnsi="Times New Roman" w:cs="Times New Roman"/>
          <w:sz w:val="24"/>
          <w:szCs w:val="24"/>
        </w:rPr>
        <w:t>DP</w:t>
      </w:r>
      <w:r w:rsidRPr="00A07F29">
        <w:rPr>
          <w:rFonts w:ascii="Times New Roman" w:eastAsia="Calibri" w:hAnsi="Times New Roman" w:cs="Times New Roman"/>
          <w:sz w:val="24"/>
          <w:szCs w:val="24"/>
        </w:rPr>
        <w:t xml:space="preserve"> “Daugavas loki”.</w:t>
      </w:r>
    </w:p>
    <w:p w14:paraId="2B6DDB4E" w14:textId="00BD4229" w:rsidR="009072CE" w:rsidRPr="00A07F29" w:rsidRDefault="0E6B778D" w:rsidP="00D35712">
      <w:pPr>
        <w:spacing w:after="120" w:line="240" w:lineRule="auto"/>
        <w:ind w:firstLine="720"/>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Attīstot tūrisma piedāvājamu AAA “Augšdaugava”, ir svarīgi saglabāt Daugavas ielejā un tās apkārtnē sastopamās </w:t>
      </w:r>
      <w:proofErr w:type="spellStart"/>
      <w:r w:rsidRPr="00A07F29">
        <w:rPr>
          <w:rFonts w:ascii="Times New Roman" w:eastAsia="Calibri" w:hAnsi="Times New Roman" w:cs="Times New Roman"/>
          <w:sz w:val="24"/>
          <w:szCs w:val="24"/>
        </w:rPr>
        <w:t>kultūrainaviskās</w:t>
      </w:r>
      <w:proofErr w:type="spellEnd"/>
      <w:r w:rsidRPr="00A07F29">
        <w:rPr>
          <w:rFonts w:ascii="Times New Roman" w:eastAsia="Calibri" w:hAnsi="Times New Roman" w:cs="Times New Roman"/>
          <w:sz w:val="24"/>
          <w:szCs w:val="24"/>
        </w:rPr>
        <w:t xml:space="preserve"> un dabaszinātniskās vērtības. Tūrisms ir jāplāno un jāattīsta, ņemot vērā ilgtspējības principus, dabas un ainavas aizsardzības nosacījumus. Ir svarīgi vietējiem iedzīvotājiem un tūrisma uzņēmējiem skaidrot, ka ĪADT statuss neaizliedz </w:t>
      </w:r>
      <w:r w:rsidRPr="00A07F29">
        <w:rPr>
          <w:rFonts w:ascii="Times New Roman" w:eastAsia="Calibri" w:hAnsi="Times New Roman" w:cs="Times New Roman"/>
          <w:sz w:val="24"/>
          <w:szCs w:val="24"/>
        </w:rPr>
        <w:lastRenderedPageBreak/>
        <w:t>tūrisma attīstību un pilnveidošanu, un</w:t>
      </w:r>
      <w:r w:rsidR="005D654D" w:rsidRPr="00A07F29">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ka ar tūrisma palīdzību var iepazīstināt un izglītot sabiedrību par unikālām dabas un kultūrvēstures vērtībām, par dabas aizsardzības un videi draudzīgas ceļošanas principiem. AAA “Augšdaugava” ir jāattīsta kā Latvijas mērogā unikāls tūrisma galamērķis ar piedāvājumiem gan Latvijas tūristiem un dažādām iedzīvotāju grupām (pāriem, draugu kompānijām, ģimenēm ar bērniem u.c.), gan ārvalstu tūristiem.</w:t>
      </w:r>
    </w:p>
    <w:p w14:paraId="627973D1" w14:textId="77777777" w:rsidR="00E74FAE" w:rsidRPr="00A07F29" w:rsidRDefault="00E74FAE" w:rsidP="00E74FAE">
      <w:pPr>
        <w:spacing w:after="120" w:line="259" w:lineRule="auto"/>
        <w:jc w:val="both"/>
        <w:rPr>
          <w:rFonts w:ascii="Times New Roman" w:eastAsia="Calibri" w:hAnsi="Times New Roman" w:cs="Times New Roman"/>
          <w:sz w:val="24"/>
        </w:rPr>
      </w:pPr>
    </w:p>
    <w:p w14:paraId="2B9E3C3E" w14:textId="4C515789" w:rsidR="009072CE" w:rsidRPr="00A07F29" w:rsidRDefault="0E6B778D" w:rsidP="00C1151D">
      <w:pPr>
        <w:pStyle w:val="Heading2"/>
        <w:spacing w:before="120" w:after="120"/>
        <w:ind w:firstLine="0"/>
        <w:jc w:val="center"/>
        <w:rPr>
          <w:rFonts w:ascii="Times New Roman" w:hAnsi="Times New Roman"/>
          <w:b w:val="0"/>
          <w:iCs w:val="0"/>
        </w:rPr>
      </w:pPr>
      <w:bookmarkStart w:id="32" w:name="_Toc183433989"/>
      <w:r w:rsidRPr="00A07F29">
        <w:rPr>
          <w:rFonts w:ascii="Times New Roman" w:hAnsi="Times New Roman"/>
          <w:i w:val="0"/>
          <w:iCs w:val="0"/>
        </w:rPr>
        <w:t>3.5. Derīgo izrakteņu ieguve</w:t>
      </w:r>
      <w:bookmarkEnd w:id="32"/>
    </w:p>
    <w:p w14:paraId="0250BBC7" w14:textId="7C0D2B64" w:rsidR="003041BD" w:rsidRPr="00A07F29" w:rsidRDefault="0E6B778D" w:rsidP="0E6B778D">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Pēdējās desmitgadēs pasaulē un </w:t>
      </w:r>
      <w:r w:rsidR="00405BD1">
        <w:rPr>
          <w:rFonts w:ascii="Times New Roman" w:eastAsia="Calibri" w:hAnsi="Times New Roman" w:cs="Times New Roman"/>
          <w:sz w:val="24"/>
          <w:szCs w:val="24"/>
        </w:rPr>
        <w:t>ES</w:t>
      </w:r>
      <w:r w:rsidRPr="00A07F29">
        <w:rPr>
          <w:rFonts w:ascii="Times New Roman" w:eastAsia="Calibri" w:hAnsi="Times New Roman" w:cs="Times New Roman"/>
          <w:sz w:val="24"/>
          <w:szCs w:val="24"/>
        </w:rPr>
        <w:t xml:space="preserve"> strauji pieaug pretruna starp nepieciešamību iegūt derīgos izrakteņus un bioloģiskās daudzveidības saglabāšanas mērķiem un uzdevumiem. Tā trīs vadošās Pasaules kultūras un dabas aizsardzības organizācijas –</w:t>
      </w:r>
      <w:r w:rsidR="00765380">
        <w:rPr>
          <w:rFonts w:ascii="Times New Roman" w:eastAsia="Calibri" w:hAnsi="Times New Roman" w:cs="Times New Roman"/>
          <w:sz w:val="24"/>
          <w:szCs w:val="24"/>
        </w:rPr>
        <w:t xml:space="preserve"> </w:t>
      </w:r>
      <w:r w:rsidRPr="00A07F29">
        <w:rPr>
          <w:rFonts w:ascii="Times New Roman" w:eastAsia="Calibri" w:hAnsi="Times New Roman" w:cs="Times New Roman"/>
          <w:sz w:val="24"/>
          <w:szCs w:val="24"/>
        </w:rPr>
        <w:t>UNESCO, ICOMOS</w:t>
      </w:r>
      <w:r w:rsidR="004522F8">
        <w:rPr>
          <w:rFonts w:ascii="Times New Roman" w:eastAsia="Calibri" w:hAnsi="Times New Roman" w:cs="Times New Roman"/>
          <w:sz w:val="24"/>
          <w:szCs w:val="24"/>
        </w:rPr>
        <w:t xml:space="preserve"> (Starptautiskā pieminekļu un ievērojamu vietu</w:t>
      </w:r>
      <w:r w:rsidR="00417475">
        <w:rPr>
          <w:rFonts w:ascii="Times New Roman" w:eastAsia="Calibri" w:hAnsi="Times New Roman" w:cs="Times New Roman"/>
          <w:sz w:val="24"/>
          <w:szCs w:val="24"/>
        </w:rPr>
        <w:t xml:space="preserve"> padome)</w:t>
      </w:r>
      <w:r w:rsidRPr="00A07F29">
        <w:rPr>
          <w:rFonts w:ascii="Times New Roman" w:eastAsia="Calibri" w:hAnsi="Times New Roman" w:cs="Times New Roman"/>
          <w:sz w:val="24"/>
          <w:szCs w:val="24"/>
        </w:rPr>
        <w:t>, IUCN, pamatojoties uz pētījumiem ir deklarējušas, ka derīgo izrakteņu izpēte, ieguve un ar to saistītās darbības kopumā nav savienojamas ar vērtībām, kuras pārstāv minētās organizācijas (</w:t>
      </w:r>
      <w:proofErr w:type="spellStart"/>
      <w:r w:rsidRPr="00A07F29">
        <w:rPr>
          <w:rFonts w:ascii="Times New Roman" w:eastAsia="Calibri" w:hAnsi="Times New Roman" w:cs="Times New Roman"/>
          <w:sz w:val="24"/>
          <w:szCs w:val="24"/>
        </w:rPr>
        <w:t>Phil</w:t>
      </w:r>
      <w:r w:rsidR="00520AE4" w:rsidRPr="00A07F29">
        <w:rPr>
          <w:rFonts w:ascii="Times New Roman" w:eastAsia="Calibri" w:hAnsi="Times New Roman" w:cs="Times New Roman"/>
          <w:sz w:val="24"/>
          <w:szCs w:val="24"/>
        </w:rPr>
        <w:t>l</w:t>
      </w:r>
      <w:r w:rsidRPr="00A07F29">
        <w:rPr>
          <w:rFonts w:ascii="Times New Roman" w:eastAsia="Calibri" w:hAnsi="Times New Roman" w:cs="Times New Roman"/>
          <w:sz w:val="24"/>
          <w:szCs w:val="24"/>
        </w:rPr>
        <w:t>ips</w:t>
      </w:r>
      <w:proofErr w:type="spellEnd"/>
      <w:r w:rsidR="00443837" w:rsidRPr="00A07F29">
        <w:rPr>
          <w:rFonts w:ascii="Times New Roman" w:eastAsia="Calibri" w:hAnsi="Times New Roman" w:cs="Times New Roman"/>
          <w:sz w:val="24"/>
          <w:szCs w:val="24"/>
        </w:rPr>
        <w:t xml:space="preserve"> A</w:t>
      </w:r>
      <w:r w:rsidR="00520AE4" w:rsidRPr="00A07F29">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2001, </w:t>
      </w:r>
      <w:proofErr w:type="spellStart"/>
      <w:r w:rsidRPr="00A07F29">
        <w:rPr>
          <w:rFonts w:ascii="Times New Roman" w:eastAsia="Calibri" w:hAnsi="Times New Roman" w:cs="Times New Roman"/>
          <w:sz w:val="24"/>
          <w:szCs w:val="24"/>
        </w:rPr>
        <w:t>Sonter</w:t>
      </w:r>
      <w:proofErr w:type="spellEnd"/>
      <w:r w:rsidRPr="00A07F29">
        <w:rPr>
          <w:rFonts w:ascii="Times New Roman" w:eastAsia="Calibri" w:hAnsi="Times New Roman" w:cs="Times New Roman"/>
          <w:sz w:val="24"/>
          <w:szCs w:val="24"/>
        </w:rPr>
        <w:t xml:space="preserve"> L.J., </w:t>
      </w:r>
      <w:r w:rsidR="006C4491" w:rsidRPr="00A07F29">
        <w:rPr>
          <w:rFonts w:ascii="Times New Roman" w:eastAsia="Calibri" w:hAnsi="Times New Roman" w:cs="Times New Roman"/>
          <w:sz w:val="24"/>
          <w:szCs w:val="24"/>
        </w:rPr>
        <w:t>et.al.</w:t>
      </w:r>
      <w:r w:rsidRPr="00A07F29">
        <w:rPr>
          <w:rFonts w:ascii="Times New Roman" w:eastAsia="Calibri" w:hAnsi="Times New Roman" w:cs="Times New Roman"/>
          <w:sz w:val="24"/>
          <w:szCs w:val="24"/>
        </w:rPr>
        <w:t>, 2018, Tost M.</w:t>
      </w:r>
      <w:r w:rsidR="006C4491" w:rsidRPr="00A07F29">
        <w:rPr>
          <w:rFonts w:ascii="Times New Roman" w:eastAsia="Calibri" w:hAnsi="Times New Roman" w:cs="Times New Roman"/>
          <w:sz w:val="24"/>
          <w:szCs w:val="24"/>
        </w:rPr>
        <w:t>, et.al</w:t>
      </w:r>
      <w:r w:rsidR="007E441D" w:rsidRPr="00A07F29">
        <w:rPr>
          <w:rFonts w:ascii="Times New Roman" w:eastAsia="Calibri" w:hAnsi="Times New Roman" w:cs="Times New Roman"/>
          <w:sz w:val="24"/>
          <w:szCs w:val="24"/>
        </w:rPr>
        <w:t>.</w:t>
      </w:r>
      <w:r w:rsidRPr="00A07F29">
        <w:rPr>
          <w:rFonts w:ascii="Times New Roman" w:eastAsia="Calibri" w:hAnsi="Times New Roman" w:cs="Times New Roman"/>
          <w:sz w:val="24"/>
          <w:szCs w:val="24"/>
        </w:rPr>
        <w:t>, 2021).</w:t>
      </w:r>
    </w:p>
    <w:p w14:paraId="5095E3D5" w14:textId="3805CA16" w:rsidR="003041BD" w:rsidRPr="00A07F29" w:rsidRDefault="0E6B778D" w:rsidP="0E6B778D">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Visā Latvijas teritorijā ir iegūstami 13 veidu derīgie izrakteņi, visplašākais un apjomu ziņā vislielākais ir smilts un grants ieguves apjoms (</w:t>
      </w:r>
      <w:r w:rsidR="00CC1FDC" w:rsidRPr="00A07F29">
        <w:rPr>
          <w:rFonts w:ascii="Times New Roman" w:eastAsia="Calibri" w:hAnsi="Times New Roman" w:cs="Times New Roman"/>
          <w:sz w:val="24"/>
          <w:szCs w:val="24"/>
        </w:rPr>
        <w:t>skat</w:t>
      </w:r>
      <w:r w:rsidR="002C6880" w:rsidRPr="00A07F29">
        <w:rPr>
          <w:rFonts w:ascii="Times New Roman" w:eastAsia="Calibri" w:hAnsi="Times New Roman" w:cs="Times New Roman"/>
          <w:sz w:val="24"/>
          <w:szCs w:val="24"/>
        </w:rPr>
        <w:t xml:space="preserve">. </w:t>
      </w:r>
      <w:r w:rsidRPr="00A07F29">
        <w:rPr>
          <w:rFonts w:ascii="Times New Roman" w:eastAsia="Calibri" w:hAnsi="Times New Roman" w:cs="Times New Roman"/>
          <w:sz w:val="24"/>
          <w:szCs w:val="24"/>
        </w:rPr>
        <w:t>3.5.1.</w:t>
      </w:r>
      <w:r w:rsidR="002C6880" w:rsidRPr="00A07F29">
        <w:rPr>
          <w:rFonts w:ascii="Times New Roman" w:eastAsia="Calibri" w:hAnsi="Times New Roman" w:cs="Times New Roman"/>
          <w:sz w:val="24"/>
          <w:szCs w:val="24"/>
        </w:rPr>
        <w:t> </w:t>
      </w:r>
      <w:r w:rsidRPr="00A07F29">
        <w:rPr>
          <w:rFonts w:ascii="Times New Roman" w:eastAsia="Calibri" w:hAnsi="Times New Roman" w:cs="Times New Roman"/>
          <w:sz w:val="24"/>
          <w:szCs w:val="24"/>
        </w:rPr>
        <w:t>att</w:t>
      </w:r>
      <w:r w:rsidR="002C6880" w:rsidRPr="00A07F29">
        <w:rPr>
          <w:rFonts w:ascii="Times New Roman" w:eastAsia="Calibri" w:hAnsi="Times New Roman" w:cs="Times New Roman"/>
          <w:sz w:val="24"/>
          <w:szCs w:val="24"/>
        </w:rPr>
        <w:t>ēlu</w:t>
      </w:r>
      <w:r w:rsidRPr="00A07F29">
        <w:rPr>
          <w:rFonts w:ascii="Times New Roman" w:eastAsia="Calibri" w:hAnsi="Times New Roman" w:cs="Times New Roman"/>
          <w:sz w:val="24"/>
          <w:szCs w:val="24"/>
        </w:rPr>
        <w:t>) Kopā ar prognozētajām iegulām LVĢMC reģistrā ir reģistrētas 2023 šādas atradnes</w:t>
      </w:r>
      <w:r w:rsidR="00221DF8" w:rsidRPr="00A07F29">
        <w:rPr>
          <w:rStyle w:val="FootnoteReference"/>
          <w:rFonts w:ascii="Times New Roman" w:eastAsia="Calibri" w:hAnsi="Times New Roman" w:cs="Times New Roman"/>
          <w:sz w:val="24"/>
          <w:szCs w:val="24"/>
        </w:rPr>
        <w:footnoteReference w:id="26"/>
      </w:r>
      <w:r w:rsidRPr="00A07F29">
        <w:rPr>
          <w:rFonts w:ascii="Times New Roman" w:eastAsia="Calibri" w:hAnsi="Times New Roman" w:cs="Times New Roman"/>
          <w:sz w:val="24"/>
          <w:szCs w:val="24"/>
        </w:rPr>
        <w:t>.</w:t>
      </w:r>
    </w:p>
    <w:p w14:paraId="21581F2E" w14:textId="466E27E7" w:rsidR="003041BD" w:rsidRPr="00A07F29" w:rsidRDefault="003041BD" w:rsidP="0E6B778D">
      <w:pPr>
        <w:ind w:firstLine="720"/>
        <w:jc w:val="both"/>
      </w:pPr>
      <w:r w:rsidRPr="00A07F29">
        <w:rPr>
          <w:noProof/>
          <w:lang w:eastAsia="lv-LV"/>
        </w:rPr>
        <w:drawing>
          <wp:inline distT="0" distB="0" distL="0" distR="0" wp14:anchorId="5714DE8B" wp14:editId="754F6622">
            <wp:extent cx="4572000" cy="2676525"/>
            <wp:effectExtent l="0" t="0" r="0" b="0"/>
            <wp:docPr id="94303442" name="Picture 94303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303442"/>
                    <pic:cNvPicPr/>
                  </pic:nvPicPr>
                  <pic:blipFill>
                    <a:blip r:embed="rId37">
                      <a:extLst>
                        <a:ext uri="{28A0092B-C50C-407E-A947-70E740481C1C}">
                          <a14:useLocalDpi xmlns:a14="http://schemas.microsoft.com/office/drawing/2010/main" val="0"/>
                        </a:ext>
                      </a:extLst>
                    </a:blip>
                    <a:stretch>
                      <a:fillRect/>
                    </a:stretch>
                  </pic:blipFill>
                  <pic:spPr>
                    <a:xfrm>
                      <a:off x="0" y="0"/>
                      <a:ext cx="4572000" cy="2676525"/>
                    </a:xfrm>
                    <a:prstGeom prst="rect">
                      <a:avLst/>
                    </a:prstGeom>
                  </pic:spPr>
                </pic:pic>
              </a:graphicData>
            </a:graphic>
          </wp:inline>
        </w:drawing>
      </w:r>
    </w:p>
    <w:p w14:paraId="20891465" w14:textId="3020737E" w:rsidR="003041BD" w:rsidRPr="00C87E0B" w:rsidRDefault="0E6B778D" w:rsidP="0E6B778D">
      <w:pPr>
        <w:spacing w:after="0" w:line="259" w:lineRule="auto"/>
        <w:jc w:val="both"/>
        <w:rPr>
          <w:rFonts w:ascii="Times New Roman" w:eastAsia="Times New Roman" w:hAnsi="Times New Roman" w:cs="Times New Roman"/>
          <w:sz w:val="20"/>
          <w:szCs w:val="20"/>
        </w:rPr>
      </w:pPr>
      <w:r w:rsidRPr="00C87E0B">
        <w:rPr>
          <w:rFonts w:ascii="Times New Roman" w:eastAsia="Times New Roman" w:hAnsi="Times New Roman" w:cs="Times New Roman"/>
          <w:sz w:val="20"/>
          <w:szCs w:val="20"/>
        </w:rPr>
        <w:t>3.5.1.</w:t>
      </w:r>
      <w:r w:rsidR="006277E5" w:rsidRPr="00C87E0B">
        <w:rPr>
          <w:rFonts w:ascii="Times New Roman" w:eastAsia="Times New Roman" w:hAnsi="Times New Roman" w:cs="Times New Roman"/>
          <w:sz w:val="20"/>
          <w:szCs w:val="20"/>
        </w:rPr>
        <w:t> </w:t>
      </w:r>
      <w:r w:rsidRPr="00C87E0B">
        <w:rPr>
          <w:rFonts w:ascii="Times New Roman" w:eastAsia="Times New Roman" w:hAnsi="Times New Roman" w:cs="Times New Roman"/>
          <w:sz w:val="20"/>
          <w:szCs w:val="20"/>
        </w:rPr>
        <w:t>att</w:t>
      </w:r>
      <w:r w:rsidR="006277E5" w:rsidRPr="00C87E0B">
        <w:rPr>
          <w:rFonts w:ascii="Times New Roman" w:eastAsia="Times New Roman" w:hAnsi="Times New Roman" w:cs="Times New Roman"/>
          <w:sz w:val="20"/>
          <w:szCs w:val="20"/>
        </w:rPr>
        <w:t>ēls</w:t>
      </w:r>
      <w:r w:rsidRPr="00C87E0B">
        <w:rPr>
          <w:rFonts w:ascii="Times New Roman" w:eastAsia="Times New Roman" w:hAnsi="Times New Roman" w:cs="Times New Roman"/>
          <w:sz w:val="20"/>
          <w:szCs w:val="20"/>
        </w:rPr>
        <w:t>. Latvijas svarīgāko derīgo izrakteņu resursi (Segliņš</w:t>
      </w:r>
      <w:r w:rsidR="006B6FAC" w:rsidRPr="00C87E0B">
        <w:rPr>
          <w:rFonts w:ascii="Times New Roman" w:eastAsia="Times New Roman" w:hAnsi="Times New Roman" w:cs="Times New Roman"/>
          <w:sz w:val="20"/>
          <w:szCs w:val="20"/>
        </w:rPr>
        <w:t xml:space="preserve"> V.</w:t>
      </w:r>
      <w:r w:rsidRPr="00C87E0B">
        <w:rPr>
          <w:rFonts w:ascii="Times New Roman" w:eastAsia="Times New Roman" w:hAnsi="Times New Roman" w:cs="Times New Roman"/>
          <w:sz w:val="20"/>
          <w:szCs w:val="20"/>
        </w:rPr>
        <w:t xml:space="preserve"> un citi, 2013.)</w:t>
      </w:r>
    </w:p>
    <w:p w14:paraId="6DD0C117" w14:textId="77777777" w:rsidR="00577AC1" w:rsidRPr="00A07F29" w:rsidRDefault="00577AC1" w:rsidP="0E6B778D">
      <w:pPr>
        <w:spacing w:after="0" w:line="259" w:lineRule="auto"/>
        <w:jc w:val="both"/>
      </w:pPr>
    </w:p>
    <w:p w14:paraId="037F00D0" w14:textId="4C651445" w:rsidR="003041BD" w:rsidRPr="00A07F29" w:rsidRDefault="0E6B778D" w:rsidP="0E6B778D">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Ņemot vērā </w:t>
      </w:r>
      <w:proofErr w:type="spellStart"/>
      <w:r w:rsidRPr="00A07F29">
        <w:rPr>
          <w:rFonts w:ascii="Times New Roman" w:eastAsia="Calibri" w:hAnsi="Times New Roman" w:cs="Times New Roman"/>
          <w:sz w:val="24"/>
          <w:szCs w:val="24"/>
        </w:rPr>
        <w:t>virspalu</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terasu</w:t>
      </w:r>
      <w:proofErr w:type="spellEnd"/>
      <w:r w:rsidRPr="00A07F29">
        <w:rPr>
          <w:rFonts w:ascii="Times New Roman" w:eastAsia="Calibri" w:hAnsi="Times New Roman" w:cs="Times New Roman"/>
          <w:sz w:val="24"/>
          <w:szCs w:val="24"/>
        </w:rPr>
        <w:t xml:space="preserve"> veidošanās mehānismu un </w:t>
      </w:r>
      <w:proofErr w:type="spellStart"/>
      <w:r w:rsidRPr="00A07F29">
        <w:rPr>
          <w:rFonts w:ascii="Times New Roman" w:eastAsia="Calibri" w:hAnsi="Times New Roman" w:cs="Times New Roman"/>
          <w:sz w:val="24"/>
          <w:szCs w:val="24"/>
        </w:rPr>
        <w:t>formveidojošos</w:t>
      </w:r>
      <w:proofErr w:type="spellEnd"/>
      <w:r w:rsidRPr="00A07F29">
        <w:rPr>
          <w:rFonts w:ascii="Times New Roman" w:eastAsia="Calibri" w:hAnsi="Times New Roman" w:cs="Times New Roman"/>
          <w:sz w:val="24"/>
          <w:szCs w:val="24"/>
        </w:rPr>
        <w:t xml:space="preserve"> nogulumus, arī AAA “Augšdaugava” ir smilts un smilts-grants iegulas. Īpaši tas attiecas uz divām Daugavas loku teritorijām – </w:t>
      </w:r>
      <w:proofErr w:type="spellStart"/>
      <w:r w:rsidRPr="00A07F29">
        <w:rPr>
          <w:rFonts w:ascii="Times New Roman" w:eastAsia="Calibri" w:hAnsi="Times New Roman" w:cs="Times New Roman"/>
          <w:sz w:val="24"/>
          <w:szCs w:val="24"/>
        </w:rPr>
        <w:t>Elernes</w:t>
      </w:r>
      <w:proofErr w:type="spellEnd"/>
      <w:r w:rsidRPr="00A07F29">
        <w:rPr>
          <w:rFonts w:ascii="Times New Roman" w:eastAsia="Calibri" w:hAnsi="Times New Roman" w:cs="Times New Roman"/>
          <w:sz w:val="24"/>
          <w:szCs w:val="24"/>
        </w:rPr>
        <w:t xml:space="preserve"> (Naujenes pagasts) un </w:t>
      </w:r>
      <w:proofErr w:type="spellStart"/>
      <w:r w:rsidRPr="00A07F29">
        <w:rPr>
          <w:rFonts w:ascii="Times New Roman" w:eastAsia="Calibri" w:hAnsi="Times New Roman" w:cs="Times New Roman"/>
          <w:sz w:val="24"/>
          <w:szCs w:val="24"/>
        </w:rPr>
        <w:t>Butišķu</w:t>
      </w:r>
      <w:proofErr w:type="spellEnd"/>
      <w:r w:rsidRPr="00A07F29">
        <w:rPr>
          <w:rFonts w:ascii="Times New Roman" w:eastAsia="Calibri" w:hAnsi="Times New Roman" w:cs="Times New Roman"/>
          <w:sz w:val="24"/>
          <w:szCs w:val="24"/>
        </w:rPr>
        <w:t xml:space="preserve"> lokiem (Tabores pagasts). Abās šajās teritorijās 20.</w:t>
      </w:r>
      <w:r w:rsidR="00816E6F" w:rsidRPr="00A07F29">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gadsimta </w:t>
      </w:r>
      <w:proofErr w:type="spellStart"/>
      <w:r w:rsidRPr="00A07F29">
        <w:rPr>
          <w:rFonts w:ascii="Times New Roman" w:eastAsia="Calibri" w:hAnsi="Times New Roman" w:cs="Times New Roman"/>
          <w:sz w:val="24"/>
          <w:szCs w:val="24"/>
        </w:rPr>
        <w:t>astoņdesmitajos</w:t>
      </w:r>
      <w:proofErr w:type="spellEnd"/>
      <w:r w:rsidRPr="00A07F29">
        <w:rPr>
          <w:rFonts w:ascii="Times New Roman" w:eastAsia="Calibri" w:hAnsi="Times New Roman" w:cs="Times New Roman"/>
          <w:sz w:val="24"/>
          <w:szCs w:val="24"/>
        </w:rPr>
        <w:t xml:space="preserve"> gados steidzami tika izcirsti meži, izrakta un izvesta smilts un grants, lai tiktu lietderīgi izmantoti resursi pirms teritorijas appludināšanas zem Daugavpils HES ūdenskrātuves. Daugavpils HES celtniecība tika apturēta 1987.</w:t>
      </w:r>
      <w:r w:rsidR="00327944" w:rsidRPr="00A07F29">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gadā pēc sabiedrības protestiem pret Daugavas ielejas appludināšanu, bet plašās degradētās teritorijas apsaimniekošana turpinās, izmantojot tās derīgo izrakteņu iegūšanai. Izstrādātajās karjeru teritorijās, īpaši </w:t>
      </w:r>
      <w:proofErr w:type="spellStart"/>
      <w:r w:rsidRPr="00A07F29">
        <w:rPr>
          <w:rFonts w:ascii="Times New Roman" w:eastAsia="Calibri" w:hAnsi="Times New Roman" w:cs="Times New Roman"/>
          <w:sz w:val="24"/>
          <w:szCs w:val="24"/>
        </w:rPr>
        <w:t>Elernes</w:t>
      </w:r>
      <w:proofErr w:type="spellEnd"/>
      <w:r w:rsidRPr="00A07F29">
        <w:rPr>
          <w:rFonts w:ascii="Times New Roman" w:eastAsia="Calibri" w:hAnsi="Times New Roman" w:cs="Times New Roman"/>
          <w:sz w:val="24"/>
          <w:szCs w:val="24"/>
        </w:rPr>
        <w:t xml:space="preserve"> lokā, nav veikti mērķtiecīgi rekultivācijas darbi. AAA “Augšdaugava” teritorijā esošie karjeri apkopoti 3.5.1.</w:t>
      </w:r>
      <w:r w:rsidR="003917FE" w:rsidRPr="00A07F29">
        <w:rPr>
          <w:rFonts w:ascii="Times New Roman" w:eastAsia="Calibri" w:hAnsi="Times New Roman" w:cs="Times New Roman"/>
          <w:sz w:val="24"/>
          <w:szCs w:val="24"/>
        </w:rPr>
        <w:t> </w:t>
      </w:r>
      <w:r w:rsidRPr="00A07F29">
        <w:rPr>
          <w:rFonts w:ascii="Times New Roman" w:eastAsia="Calibri" w:hAnsi="Times New Roman" w:cs="Times New Roman"/>
          <w:sz w:val="24"/>
          <w:szCs w:val="24"/>
        </w:rPr>
        <w:t>tabulā.</w:t>
      </w:r>
    </w:p>
    <w:p w14:paraId="10D9CA29" w14:textId="0BCFBA96" w:rsidR="00ED11D8" w:rsidRPr="00A07F29" w:rsidRDefault="0E6B778D" w:rsidP="0E6B778D">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lastRenderedPageBreak/>
        <w:t xml:space="preserve">Pašlaik Tabores pagasta </w:t>
      </w:r>
      <w:proofErr w:type="spellStart"/>
      <w:r w:rsidRPr="00A07F29">
        <w:rPr>
          <w:rFonts w:ascii="Times New Roman" w:eastAsia="Calibri" w:hAnsi="Times New Roman" w:cs="Times New Roman"/>
          <w:sz w:val="24"/>
          <w:szCs w:val="24"/>
        </w:rPr>
        <w:t>Elernes</w:t>
      </w:r>
      <w:proofErr w:type="spellEnd"/>
      <w:r w:rsidRPr="00A07F29">
        <w:rPr>
          <w:rFonts w:ascii="Times New Roman" w:eastAsia="Calibri" w:hAnsi="Times New Roman" w:cs="Times New Roman"/>
          <w:sz w:val="24"/>
          <w:szCs w:val="24"/>
        </w:rPr>
        <w:t xml:space="preserve"> loka derīgo izrakteņu ieguves teritorija tiek vidēji intensīvi izmantota. Zeme šajā teritorijā pieder fiziskām un juridiskām personām, divas zemes vienības pieder valstij – VAS “Latvijas autoceļu uzturētājs” izmantotā zemes vienība (Satiksmes ministrijas valdījumā) un neizmantots karjers LVM valdījumā esošā teritorijā. Daļai derīgo izrakteņu atļauju termiņš ir beidzies, bet 2018.</w:t>
      </w:r>
      <w:r w:rsidR="008D6AE4" w:rsidRPr="00A07F29">
        <w:rPr>
          <w:rFonts w:ascii="Times New Roman" w:eastAsia="Calibri" w:hAnsi="Times New Roman" w:cs="Times New Roman"/>
          <w:sz w:val="24"/>
          <w:szCs w:val="24"/>
        </w:rPr>
        <w:t> </w:t>
      </w:r>
      <w:r w:rsidRPr="00A07F29">
        <w:rPr>
          <w:rFonts w:ascii="Times New Roman" w:eastAsia="Calibri" w:hAnsi="Times New Roman" w:cs="Times New Roman"/>
          <w:sz w:val="24"/>
          <w:szCs w:val="24"/>
        </w:rPr>
        <w:t>gadā ir pieprasīta un atjaunota atļauja divām ieguves vietām – VAS “Latvijas autoceļu uzturētājs” un SIA “Mežvidi” līdz 2027. un 2030.</w:t>
      </w:r>
      <w:r w:rsidR="008D6AE4" w:rsidRPr="00A07F29">
        <w:rPr>
          <w:rFonts w:ascii="Times New Roman" w:eastAsia="Calibri" w:hAnsi="Times New Roman" w:cs="Times New Roman"/>
          <w:sz w:val="24"/>
          <w:szCs w:val="24"/>
        </w:rPr>
        <w:t> </w:t>
      </w:r>
      <w:r w:rsidRPr="00A07F29">
        <w:rPr>
          <w:rFonts w:ascii="Times New Roman" w:eastAsia="Calibri" w:hAnsi="Times New Roman" w:cs="Times New Roman"/>
          <w:sz w:val="24"/>
          <w:szCs w:val="24"/>
        </w:rPr>
        <w:t>gadam, attiecīgi 2019. un 2020.</w:t>
      </w:r>
      <w:r w:rsidR="008D6AE4" w:rsidRPr="00A07F29">
        <w:rPr>
          <w:rFonts w:ascii="Times New Roman" w:eastAsia="Calibri" w:hAnsi="Times New Roman" w:cs="Times New Roman"/>
          <w:sz w:val="24"/>
          <w:szCs w:val="24"/>
        </w:rPr>
        <w:t> </w:t>
      </w:r>
      <w:r w:rsidRPr="00A07F29">
        <w:rPr>
          <w:rFonts w:ascii="Times New Roman" w:eastAsia="Calibri" w:hAnsi="Times New Roman" w:cs="Times New Roman"/>
          <w:sz w:val="24"/>
          <w:szCs w:val="24"/>
        </w:rPr>
        <w:t>gadā ir iesniegti arī jauni iesniegumi atļaujas derīgo izrakteņu ieguves saņemšanai. Daugavpils novada teritorijas plānojumā 2012.</w:t>
      </w:r>
      <w:r w:rsidR="008D6AE4" w:rsidRPr="00A07F29">
        <w:rPr>
          <w:rFonts w:ascii="Times New Roman" w:eastAsia="Calibri" w:hAnsi="Times New Roman" w:cs="Times New Roman"/>
          <w:sz w:val="24"/>
          <w:szCs w:val="24"/>
        </w:rPr>
        <w:t> – </w:t>
      </w:r>
      <w:r w:rsidRPr="00A07F29">
        <w:rPr>
          <w:rFonts w:ascii="Times New Roman" w:eastAsia="Calibri" w:hAnsi="Times New Roman" w:cs="Times New Roman"/>
          <w:sz w:val="24"/>
          <w:szCs w:val="24"/>
        </w:rPr>
        <w:t>2023.</w:t>
      </w:r>
      <w:r w:rsidR="008D6AE4" w:rsidRPr="00A07F29">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gadam šajā teritorijā ir noteikta R2 </w:t>
      </w:r>
      <w:proofErr w:type="spellStart"/>
      <w:r w:rsidRPr="00A07F29">
        <w:rPr>
          <w:rFonts w:ascii="Times New Roman" w:eastAsia="Calibri" w:hAnsi="Times New Roman" w:cs="Times New Roman"/>
          <w:sz w:val="24"/>
          <w:szCs w:val="24"/>
        </w:rPr>
        <w:t>apakšzona</w:t>
      </w:r>
      <w:proofErr w:type="spellEnd"/>
      <w:r w:rsidRPr="00A07F29">
        <w:rPr>
          <w:rFonts w:ascii="Times New Roman" w:eastAsia="Calibri" w:hAnsi="Times New Roman" w:cs="Times New Roman"/>
          <w:sz w:val="24"/>
          <w:szCs w:val="24"/>
        </w:rPr>
        <w:t xml:space="preserve"> (teritorijas ar vēsturiski intensīvu derīgo izrakteņu ieguvi, kur ir atļauta derīgo izrakteņu ieguves un ieguves rūpniecības uzņēmumu apbūve) 137,6</w:t>
      </w:r>
      <w:r w:rsidR="00CE7229" w:rsidRPr="00A07F29">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ha platībā. Tomēr kopumā dažādos laika periodos izmantoto karjeru vienlaidus platība </w:t>
      </w:r>
      <w:proofErr w:type="spellStart"/>
      <w:r w:rsidRPr="00A07F29">
        <w:rPr>
          <w:rFonts w:ascii="Times New Roman" w:eastAsia="Calibri" w:hAnsi="Times New Roman" w:cs="Times New Roman"/>
          <w:sz w:val="24"/>
          <w:szCs w:val="24"/>
        </w:rPr>
        <w:t>Elernes</w:t>
      </w:r>
      <w:proofErr w:type="spellEnd"/>
      <w:r w:rsidRPr="00A07F29">
        <w:rPr>
          <w:rFonts w:ascii="Times New Roman" w:eastAsia="Calibri" w:hAnsi="Times New Roman" w:cs="Times New Roman"/>
          <w:sz w:val="24"/>
          <w:szCs w:val="24"/>
        </w:rPr>
        <w:t xml:space="preserve"> lokā ir ap 280</w:t>
      </w:r>
      <w:r w:rsidR="00616C93" w:rsidRPr="00A07F29">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ha liela, tā ietver applūstošo zonu un atrodas tuvu Daugavas krastam, kas ļauj to uzskatīt par vides riska teritoriju. </w:t>
      </w:r>
      <w:r w:rsidR="00ED11D8" w:rsidRPr="00A07F29">
        <w:rPr>
          <w:rFonts w:ascii="Times New Roman" w:eastAsia="Calibri" w:hAnsi="Times New Roman" w:cs="Times New Roman"/>
          <w:sz w:val="24"/>
          <w:szCs w:val="24"/>
        </w:rPr>
        <w:t>Līdz ar to vērtējot derīgo izrakteņu ieguves ietekmi uz vidi, izvērtējams plūdu risks plānotās ieguves t</w:t>
      </w:r>
      <w:r w:rsidR="00E64D2B" w:rsidRPr="00A07F29">
        <w:rPr>
          <w:rFonts w:ascii="Times New Roman" w:eastAsia="Calibri" w:hAnsi="Times New Roman" w:cs="Times New Roman"/>
          <w:sz w:val="24"/>
          <w:szCs w:val="24"/>
        </w:rPr>
        <w:t xml:space="preserve">eritorijā un paredzami pasākumi, lai novērtu jaunu applūstošo teritoriju veidošanos. Izvērtējot plūdu risku un hidroģeoloģiskās ietekmes plānotās derīgo izrakteņu ieguves vietā, jāņem vērā </w:t>
      </w:r>
      <w:proofErr w:type="spellStart"/>
      <w:r w:rsidR="00E64D2B" w:rsidRPr="00A07F29">
        <w:rPr>
          <w:rFonts w:ascii="Times New Roman" w:eastAsia="Calibri" w:hAnsi="Times New Roman" w:cs="Times New Roman"/>
          <w:sz w:val="24"/>
          <w:szCs w:val="24"/>
        </w:rPr>
        <w:t>Elernes</w:t>
      </w:r>
      <w:proofErr w:type="spellEnd"/>
      <w:r w:rsidR="00E64D2B" w:rsidRPr="00A07F29">
        <w:rPr>
          <w:rFonts w:ascii="Times New Roman" w:eastAsia="Calibri" w:hAnsi="Times New Roman" w:cs="Times New Roman"/>
          <w:sz w:val="24"/>
          <w:szCs w:val="24"/>
        </w:rPr>
        <w:t xml:space="preserve"> lokā esošo derīgo izr</w:t>
      </w:r>
      <w:r w:rsidR="007B6707" w:rsidRPr="00A07F29">
        <w:rPr>
          <w:rFonts w:ascii="Times New Roman" w:eastAsia="Calibri" w:hAnsi="Times New Roman" w:cs="Times New Roman"/>
          <w:sz w:val="24"/>
          <w:szCs w:val="24"/>
        </w:rPr>
        <w:t>a</w:t>
      </w:r>
      <w:r w:rsidR="00E64D2B" w:rsidRPr="00A07F29">
        <w:rPr>
          <w:rFonts w:ascii="Times New Roman" w:eastAsia="Calibri" w:hAnsi="Times New Roman" w:cs="Times New Roman"/>
          <w:sz w:val="24"/>
          <w:szCs w:val="24"/>
        </w:rPr>
        <w:t>kt</w:t>
      </w:r>
      <w:r w:rsidR="007B6707" w:rsidRPr="00A07F29">
        <w:rPr>
          <w:rFonts w:ascii="Times New Roman" w:eastAsia="Calibri" w:hAnsi="Times New Roman" w:cs="Times New Roman"/>
          <w:sz w:val="24"/>
          <w:szCs w:val="24"/>
        </w:rPr>
        <w:t>eņ</w:t>
      </w:r>
      <w:r w:rsidR="00E64D2B" w:rsidRPr="00A07F29">
        <w:rPr>
          <w:rFonts w:ascii="Times New Roman" w:eastAsia="Calibri" w:hAnsi="Times New Roman" w:cs="Times New Roman"/>
          <w:sz w:val="24"/>
          <w:szCs w:val="24"/>
        </w:rPr>
        <w:t>u ieguves vietu radītā ietekme.</w:t>
      </w:r>
    </w:p>
    <w:p w14:paraId="08DEA5E8" w14:textId="591103CE" w:rsidR="00835EAB" w:rsidRPr="00A07F29" w:rsidRDefault="00ED11D8" w:rsidP="00835EAB">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Plāna izstādes laikā tika veikts</w:t>
      </w:r>
      <w:r w:rsidR="00E64D2B" w:rsidRPr="00A07F29">
        <w:rPr>
          <w:rFonts w:ascii="Times New Roman" w:eastAsia="Calibri" w:hAnsi="Times New Roman" w:cs="Times New Roman"/>
          <w:sz w:val="24"/>
          <w:szCs w:val="24"/>
        </w:rPr>
        <w:t xml:space="preserve"> ietekmes uz vidi novērtējums smilts un smilts-grants ieguves darbu turpināšanai un pabeigšanai atradnes “</w:t>
      </w:r>
      <w:proofErr w:type="spellStart"/>
      <w:r w:rsidR="00E64D2B" w:rsidRPr="00A07F29">
        <w:rPr>
          <w:rFonts w:ascii="Times New Roman" w:eastAsia="Calibri" w:hAnsi="Times New Roman" w:cs="Times New Roman"/>
          <w:sz w:val="24"/>
          <w:szCs w:val="24"/>
        </w:rPr>
        <w:t>Elerne</w:t>
      </w:r>
      <w:proofErr w:type="spellEnd"/>
      <w:r w:rsidR="00E64D2B" w:rsidRPr="00A07F29">
        <w:rPr>
          <w:rFonts w:ascii="Times New Roman" w:eastAsia="Calibri" w:hAnsi="Times New Roman" w:cs="Times New Roman"/>
          <w:sz w:val="24"/>
          <w:szCs w:val="24"/>
        </w:rPr>
        <w:t>” iecirknī “</w:t>
      </w:r>
      <w:proofErr w:type="spellStart"/>
      <w:r w:rsidR="00E64D2B" w:rsidRPr="00A07F29">
        <w:rPr>
          <w:rFonts w:ascii="Times New Roman" w:eastAsia="Calibri" w:hAnsi="Times New Roman" w:cs="Times New Roman"/>
          <w:sz w:val="24"/>
          <w:szCs w:val="24"/>
        </w:rPr>
        <w:t>Griguliņi</w:t>
      </w:r>
      <w:proofErr w:type="spellEnd"/>
      <w:r w:rsidR="00E64D2B" w:rsidRPr="00A07F29">
        <w:rPr>
          <w:rFonts w:ascii="Times New Roman" w:eastAsia="Calibri" w:hAnsi="Times New Roman" w:cs="Times New Roman"/>
          <w:sz w:val="24"/>
          <w:szCs w:val="24"/>
        </w:rPr>
        <w:t xml:space="preserve"> – Kaupišķi-5</w:t>
      </w:r>
      <w:r w:rsidR="00861B9D" w:rsidRPr="00A07F29">
        <w:rPr>
          <w:rFonts w:ascii="Times New Roman" w:eastAsia="Calibri" w:hAnsi="Times New Roman" w:cs="Times New Roman"/>
          <w:sz w:val="24"/>
          <w:szCs w:val="24"/>
        </w:rPr>
        <w:t>”</w:t>
      </w:r>
      <w:r w:rsidR="00E64D2B" w:rsidRPr="00A07F29">
        <w:rPr>
          <w:rFonts w:ascii="Times New Roman" w:eastAsia="Calibri" w:hAnsi="Times New Roman" w:cs="Times New Roman"/>
          <w:sz w:val="24"/>
          <w:szCs w:val="24"/>
        </w:rPr>
        <w:t xml:space="preserve">, kā rezultātā saņemts Vides pārraudzības valsts biroja </w:t>
      </w:r>
      <w:r w:rsidR="00382190" w:rsidRPr="00A07F29">
        <w:rPr>
          <w:rFonts w:ascii="Times New Roman" w:eastAsia="Calibri" w:hAnsi="Times New Roman" w:cs="Times New Roman"/>
          <w:sz w:val="24"/>
          <w:szCs w:val="24"/>
        </w:rPr>
        <w:t xml:space="preserve">2021. gada 8. novembra </w:t>
      </w:r>
      <w:r w:rsidR="00E64D2B" w:rsidRPr="00A07F29">
        <w:rPr>
          <w:rFonts w:ascii="Times New Roman" w:eastAsia="Calibri" w:hAnsi="Times New Roman" w:cs="Times New Roman"/>
          <w:sz w:val="24"/>
          <w:szCs w:val="24"/>
        </w:rPr>
        <w:t>atzinums Nr.</w:t>
      </w:r>
      <w:r w:rsidR="00382190" w:rsidRPr="00A07F29">
        <w:rPr>
          <w:rFonts w:ascii="Times New Roman" w:eastAsia="Calibri" w:hAnsi="Times New Roman" w:cs="Times New Roman"/>
          <w:sz w:val="24"/>
          <w:szCs w:val="24"/>
        </w:rPr>
        <w:t> </w:t>
      </w:r>
      <w:r w:rsidR="00E64D2B" w:rsidRPr="00A07F29">
        <w:rPr>
          <w:rFonts w:ascii="Times New Roman" w:eastAsia="Calibri" w:hAnsi="Times New Roman" w:cs="Times New Roman"/>
          <w:sz w:val="24"/>
          <w:szCs w:val="24"/>
        </w:rPr>
        <w:t xml:space="preserve">5-04/12 un Augšdaugavas novada </w:t>
      </w:r>
      <w:r w:rsidR="00835EAB" w:rsidRPr="00A07F29">
        <w:rPr>
          <w:rFonts w:ascii="Times New Roman" w:eastAsia="Calibri" w:hAnsi="Times New Roman" w:cs="Times New Roman"/>
          <w:sz w:val="24"/>
          <w:szCs w:val="24"/>
        </w:rPr>
        <w:t>dome 2021.</w:t>
      </w:r>
      <w:r w:rsidR="00DB064F" w:rsidRPr="00A07F29">
        <w:rPr>
          <w:rFonts w:ascii="Times New Roman" w:eastAsia="Calibri" w:hAnsi="Times New Roman" w:cs="Times New Roman"/>
          <w:sz w:val="24"/>
          <w:szCs w:val="24"/>
        </w:rPr>
        <w:t> gada 9. decembrī</w:t>
      </w:r>
      <w:r w:rsidR="00835EAB" w:rsidRPr="00A07F29">
        <w:rPr>
          <w:rFonts w:ascii="Times New Roman" w:eastAsia="Calibri" w:hAnsi="Times New Roman" w:cs="Times New Roman"/>
          <w:sz w:val="24"/>
          <w:szCs w:val="24"/>
        </w:rPr>
        <w:t xml:space="preserve"> pieņēma lēmumu Nr.</w:t>
      </w:r>
      <w:r w:rsidR="00DB064F" w:rsidRPr="00A07F29">
        <w:rPr>
          <w:rFonts w:ascii="Times New Roman" w:eastAsia="Calibri" w:hAnsi="Times New Roman" w:cs="Times New Roman"/>
          <w:sz w:val="24"/>
          <w:szCs w:val="24"/>
        </w:rPr>
        <w:t> </w:t>
      </w:r>
      <w:r w:rsidR="00835EAB" w:rsidRPr="00A07F29">
        <w:rPr>
          <w:rFonts w:ascii="Times New Roman" w:eastAsia="Calibri" w:hAnsi="Times New Roman" w:cs="Times New Roman"/>
          <w:sz w:val="24"/>
          <w:szCs w:val="24"/>
        </w:rPr>
        <w:t>286, ar kuru akceptē derīgo</w:t>
      </w:r>
      <w:r w:rsidR="00072C22" w:rsidRPr="00A07F29">
        <w:rPr>
          <w:rFonts w:ascii="Times New Roman" w:eastAsia="Calibri" w:hAnsi="Times New Roman" w:cs="Times New Roman"/>
          <w:sz w:val="24"/>
          <w:szCs w:val="24"/>
        </w:rPr>
        <w:t xml:space="preserve"> </w:t>
      </w:r>
      <w:r w:rsidR="00835EAB" w:rsidRPr="00A07F29">
        <w:rPr>
          <w:rFonts w:ascii="Times New Roman" w:eastAsia="Calibri" w:hAnsi="Times New Roman" w:cs="Times New Roman"/>
          <w:sz w:val="24"/>
          <w:szCs w:val="24"/>
        </w:rPr>
        <w:t>izrakt</w:t>
      </w:r>
      <w:r w:rsidR="00072C22" w:rsidRPr="00A07F29">
        <w:rPr>
          <w:rFonts w:ascii="Times New Roman" w:eastAsia="Calibri" w:hAnsi="Times New Roman" w:cs="Times New Roman"/>
          <w:sz w:val="24"/>
          <w:szCs w:val="24"/>
        </w:rPr>
        <w:t>eņu</w:t>
      </w:r>
      <w:r w:rsidR="00835EAB" w:rsidRPr="00A07F29">
        <w:rPr>
          <w:rFonts w:ascii="Times New Roman" w:eastAsia="Calibri" w:hAnsi="Times New Roman" w:cs="Times New Roman"/>
          <w:sz w:val="24"/>
          <w:szCs w:val="24"/>
        </w:rPr>
        <w:t xml:space="preserve"> ieguvi minētajā teritorijā.</w:t>
      </w:r>
    </w:p>
    <w:p w14:paraId="2FF529D4" w14:textId="11EED7CB" w:rsidR="003041BD" w:rsidRPr="00A07F29" w:rsidRDefault="0E6B778D" w:rsidP="0E6B778D">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Tāpat HES sagatavošanās periodā tika izmantotas karjeru platības </w:t>
      </w:r>
      <w:proofErr w:type="spellStart"/>
      <w:r w:rsidRPr="00A07F29">
        <w:rPr>
          <w:rFonts w:ascii="Times New Roman" w:eastAsia="Calibri" w:hAnsi="Times New Roman" w:cs="Times New Roman"/>
          <w:sz w:val="24"/>
          <w:szCs w:val="24"/>
        </w:rPr>
        <w:t>Butišķu</w:t>
      </w:r>
      <w:proofErr w:type="spellEnd"/>
      <w:r w:rsidRPr="00A07F29">
        <w:rPr>
          <w:rFonts w:ascii="Times New Roman" w:eastAsia="Calibri" w:hAnsi="Times New Roman" w:cs="Times New Roman"/>
          <w:sz w:val="24"/>
          <w:szCs w:val="24"/>
        </w:rPr>
        <w:t xml:space="preserve"> lokā Naujenes pagastā, no kurām ieguve līdz 2016.</w:t>
      </w:r>
      <w:r w:rsidR="0089713C" w:rsidRPr="00A07F29">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gadam notika tikai pašvaldības īpašumā esošajā atradnē </w:t>
      </w:r>
      <w:proofErr w:type="spellStart"/>
      <w:r w:rsidRPr="00A07F29">
        <w:rPr>
          <w:rFonts w:ascii="Times New Roman" w:eastAsia="Calibri" w:hAnsi="Times New Roman" w:cs="Times New Roman"/>
          <w:sz w:val="24"/>
          <w:szCs w:val="24"/>
        </w:rPr>
        <w:t>Butišķi</w:t>
      </w:r>
      <w:proofErr w:type="spellEnd"/>
      <w:r w:rsidR="007B52D2" w:rsidRPr="00A07F29">
        <w:rPr>
          <w:rFonts w:ascii="Times New Roman" w:eastAsia="Calibri" w:hAnsi="Times New Roman" w:cs="Times New Roman"/>
          <w:sz w:val="24"/>
          <w:szCs w:val="24"/>
        </w:rPr>
        <w:t xml:space="preserve"> – </w:t>
      </w:r>
      <w:proofErr w:type="spellStart"/>
      <w:r w:rsidRPr="00A07F29">
        <w:rPr>
          <w:rFonts w:ascii="Times New Roman" w:eastAsia="Calibri" w:hAnsi="Times New Roman" w:cs="Times New Roman"/>
          <w:sz w:val="24"/>
          <w:szCs w:val="24"/>
        </w:rPr>
        <w:t>Ceļuprojekts</w:t>
      </w:r>
      <w:proofErr w:type="spellEnd"/>
      <w:r w:rsidRPr="00A07F29">
        <w:rPr>
          <w:rFonts w:ascii="Times New Roman" w:eastAsia="Calibri" w:hAnsi="Times New Roman" w:cs="Times New Roman"/>
          <w:sz w:val="24"/>
          <w:szCs w:val="24"/>
        </w:rPr>
        <w:t xml:space="preserve"> (pašlaik uzņēmums, kas izstrādāja karjeru, ir likvidējies un atļauja zaudējusi spēku). Daugavpils novada teritorijas plānojumā 2012.</w:t>
      </w:r>
      <w:r w:rsidR="007B52D2" w:rsidRPr="00A07F29">
        <w:rPr>
          <w:rFonts w:ascii="Times New Roman" w:eastAsia="Calibri" w:hAnsi="Times New Roman" w:cs="Times New Roman"/>
          <w:sz w:val="24"/>
          <w:szCs w:val="24"/>
        </w:rPr>
        <w:t> – </w:t>
      </w:r>
      <w:r w:rsidRPr="00A07F29">
        <w:rPr>
          <w:rFonts w:ascii="Times New Roman" w:eastAsia="Calibri" w:hAnsi="Times New Roman" w:cs="Times New Roman"/>
          <w:sz w:val="24"/>
          <w:szCs w:val="24"/>
        </w:rPr>
        <w:t>2023.</w:t>
      </w:r>
      <w:r w:rsidR="007B52D2" w:rsidRPr="00A07F29">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gadam šajā teritorijā ir noteikta R2 </w:t>
      </w:r>
      <w:proofErr w:type="spellStart"/>
      <w:r w:rsidRPr="00A07F29">
        <w:rPr>
          <w:rFonts w:ascii="Times New Roman" w:eastAsia="Calibri" w:hAnsi="Times New Roman" w:cs="Times New Roman"/>
          <w:sz w:val="24"/>
          <w:szCs w:val="24"/>
        </w:rPr>
        <w:t>apakšzona</w:t>
      </w:r>
      <w:proofErr w:type="spellEnd"/>
      <w:r w:rsidRPr="00A07F29">
        <w:rPr>
          <w:rFonts w:ascii="Times New Roman" w:eastAsia="Calibri" w:hAnsi="Times New Roman" w:cs="Times New Roman"/>
          <w:sz w:val="24"/>
          <w:szCs w:val="24"/>
        </w:rPr>
        <w:t xml:space="preserve"> 11,53</w:t>
      </w:r>
      <w:r w:rsidR="007B52D2" w:rsidRPr="00A07F29">
        <w:rPr>
          <w:rFonts w:ascii="Times New Roman" w:eastAsia="Calibri" w:hAnsi="Times New Roman" w:cs="Times New Roman"/>
          <w:sz w:val="24"/>
          <w:szCs w:val="24"/>
        </w:rPr>
        <w:t> </w:t>
      </w:r>
      <w:r w:rsidRPr="00A07F29">
        <w:rPr>
          <w:rFonts w:ascii="Times New Roman" w:eastAsia="Calibri" w:hAnsi="Times New Roman" w:cs="Times New Roman"/>
          <w:sz w:val="24"/>
          <w:szCs w:val="24"/>
        </w:rPr>
        <w:t>ha platībā.</w:t>
      </w:r>
    </w:p>
    <w:p w14:paraId="722F95F2" w14:textId="22C8D031" w:rsidR="003041BD" w:rsidRPr="00A07F29" w:rsidRDefault="0E6B778D" w:rsidP="0E6B778D">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Krāslavas novada teritorijā līdz šim darbojušies pieci karjeri, no kuriem vienam derīgo izrakteņu ieguves limits izsniegts līdz 2040.</w:t>
      </w:r>
      <w:r w:rsidR="009D39B1" w:rsidRPr="00A07F29">
        <w:rPr>
          <w:rFonts w:ascii="Times New Roman" w:eastAsia="Calibri" w:hAnsi="Times New Roman" w:cs="Times New Roman"/>
          <w:sz w:val="24"/>
          <w:szCs w:val="24"/>
        </w:rPr>
        <w:t> </w:t>
      </w:r>
      <w:r w:rsidRPr="00A07F29">
        <w:rPr>
          <w:rFonts w:ascii="Times New Roman" w:eastAsia="Calibri" w:hAnsi="Times New Roman" w:cs="Times New Roman"/>
          <w:sz w:val="24"/>
          <w:szCs w:val="24"/>
        </w:rPr>
        <w:t>gadam (</w:t>
      </w:r>
      <w:r w:rsidR="009D39B1" w:rsidRPr="00A07F29">
        <w:rPr>
          <w:rFonts w:ascii="Times New Roman" w:eastAsia="Calibri" w:hAnsi="Times New Roman" w:cs="Times New Roman"/>
          <w:sz w:val="24"/>
          <w:szCs w:val="24"/>
        </w:rPr>
        <w:t xml:space="preserve">skat. </w:t>
      </w:r>
      <w:r w:rsidRPr="00A07F29">
        <w:rPr>
          <w:rFonts w:ascii="Times New Roman" w:eastAsia="Calibri" w:hAnsi="Times New Roman" w:cs="Times New Roman"/>
          <w:sz w:val="24"/>
          <w:szCs w:val="24"/>
        </w:rPr>
        <w:t>3.5.1.</w:t>
      </w:r>
      <w:r w:rsidR="009D39B1" w:rsidRPr="00A07F29">
        <w:rPr>
          <w:rFonts w:ascii="Times New Roman" w:eastAsia="Calibri" w:hAnsi="Times New Roman" w:cs="Times New Roman"/>
          <w:sz w:val="24"/>
          <w:szCs w:val="24"/>
        </w:rPr>
        <w:t> </w:t>
      </w:r>
      <w:r w:rsidRPr="00A07F29">
        <w:rPr>
          <w:rFonts w:ascii="Times New Roman" w:eastAsia="Calibri" w:hAnsi="Times New Roman" w:cs="Times New Roman"/>
          <w:sz w:val="24"/>
          <w:szCs w:val="24"/>
        </w:rPr>
        <w:t>tabula).</w:t>
      </w:r>
    </w:p>
    <w:p w14:paraId="2D827F58" w14:textId="77777777" w:rsidR="0085554F" w:rsidRPr="00A07F29" w:rsidRDefault="0085554F" w:rsidP="002C7A5C">
      <w:pPr>
        <w:rPr>
          <w:lang w:eastAsia="ja-JP"/>
        </w:rPr>
        <w:sectPr w:rsidR="0085554F" w:rsidRPr="00A07F29" w:rsidSect="008B09B8">
          <w:pgSz w:w="11906" w:h="16838"/>
          <w:pgMar w:top="1440" w:right="1440" w:bottom="1276" w:left="1440" w:header="709" w:footer="709" w:gutter="0"/>
          <w:cols w:space="708"/>
          <w:docGrid w:linePitch="360"/>
        </w:sectPr>
      </w:pPr>
    </w:p>
    <w:p w14:paraId="5DDE8B3B" w14:textId="2CE93CB5" w:rsidR="007C0EF2" w:rsidRPr="00A07F29" w:rsidRDefault="007C0EF2" w:rsidP="007C0EF2">
      <w:pPr>
        <w:spacing w:after="0" w:line="240" w:lineRule="auto"/>
        <w:jc w:val="center"/>
        <w:rPr>
          <w:rFonts w:ascii="Times New Roman" w:eastAsia="Calibri" w:hAnsi="Times New Roman" w:cs="Times New Roman"/>
          <w:sz w:val="24"/>
        </w:rPr>
      </w:pPr>
      <w:r w:rsidRPr="00A07F29">
        <w:rPr>
          <w:rFonts w:ascii="Times New Roman" w:eastAsia="Calibri" w:hAnsi="Times New Roman" w:cs="Times New Roman"/>
          <w:sz w:val="24"/>
        </w:rPr>
        <w:lastRenderedPageBreak/>
        <w:t>3.5.1.</w:t>
      </w:r>
      <w:r w:rsidR="009D39B1" w:rsidRPr="00A07F29">
        <w:rPr>
          <w:rFonts w:ascii="Times New Roman" w:eastAsia="Calibri" w:hAnsi="Times New Roman" w:cs="Times New Roman"/>
          <w:sz w:val="24"/>
        </w:rPr>
        <w:t> </w:t>
      </w:r>
      <w:r w:rsidRPr="00A07F29">
        <w:rPr>
          <w:rFonts w:ascii="Times New Roman" w:eastAsia="Calibri" w:hAnsi="Times New Roman" w:cs="Times New Roman"/>
          <w:sz w:val="24"/>
        </w:rPr>
        <w:t>tabula. Derīgo izrakteņu ieguve AAA “Augšdaugava” teritorijā”</w:t>
      </w:r>
    </w:p>
    <w:p w14:paraId="543E967C" w14:textId="6D861E5E" w:rsidR="009072CE" w:rsidRPr="00A07F29" w:rsidRDefault="007C0EF2" w:rsidP="007C0EF2">
      <w:pPr>
        <w:spacing w:after="120" w:line="240" w:lineRule="auto"/>
        <w:jc w:val="center"/>
        <w:rPr>
          <w:rFonts w:ascii="Times New Roman" w:hAnsi="Times New Roman" w:cs="Times New Roman"/>
          <w:lang w:eastAsia="ja-JP"/>
        </w:rPr>
      </w:pPr>
      <w:r w:rsidRPr="00A07F29">
        <w:rPr>
          <w:rFonts w:ascii="Times New Roman" w:eastAsia="Calibri" w:hAnsi="Times New Roman" w:cs="Times New Roman"/>
        </w:rPr>
        <w:t xml:space="preserve">(avots – </w:t>
      </w:r>
      <w:hyperlink r:id="rId38" w:history="1">
        <w:r w:rsidR="006E54AE" w:rsidRPr="0006090D">
          <w:rPr>
            <w:rStyle w:val="Hyperlink"/>
            <w:rFonts w:ascii="Times New Roman" w:eastAsia="Calibri" w:hAnsi="Times New Roman" w:cs="Times New Roman"/>
          </w:rPr>
          <w:t>www.augsdaugavasnovads.lv</w:t>
        </w:r>
      </w:hyperlink>
      <w:r w:rsidRPr="00A07F29">
        <w:rPr>
          <w:rFonts w:ascii="Times New Roman" w:eastAsia="Calibri" w:hAnsi="Times New Roman" w:cs="Times New Roman"/>
        </w:rPr>
        <w:t xml:space="preserve"> un Krāslavas novada Domes Attīstības nodaļa)</w:t>
      </w:r>
    </w:p>
    <w:tbl>
      <w:tblPr>
        <w:tblStyle w:val="TableGrid"/>
        <w:tblW w:w="0" w:type="auto"/>
        <w:jc w:val="center"/>
        <w:tblLayout w:type="fixed"/>
        <w:tblLook w:val="04A0" w:firstRow="1" w:lastRow="0" w:firstColumn="1" w:lastColumn="0" w:noHBand="0" w:noVBand="1"/>
      </w:tblPr>
      <w:tblGrid>
        <w:gridCol w:w="1838"/>
        <w:gridCol w:w="3544"/>
        <w:gridCol w:w="1843"/>
        <w:gridCol w:w="1275"/>
        <w:gridCol w:w="1701"/>
        <w:gridCol w:w="851"/>
        <w:gridCol w:w="1984"/>
        <w:gridCol w:w="1437"/>
      </w:tblGrid>
      <w:tr w:rsidR="004126AE" w:rsidRPr="00A07F29" w14:paraId="75AB3B42" w14:textId="77777777" w:rsidTr="004126AE">
        <w:trPr>
          <w:jc w:val="center"/>
        </w:trPr>
        <w:tc>
          <w:tcPr>
            <w:tcW w:w="1838" w:type="dxa"/>
            <w:shd w:val="clear" w:color="auto" w:fill="D6E3BC" w:themeFill="accent3" w:themeFillTint="66"/>
            <w:vAlign w:val="center"/>
          </w:tcPr>
          <w:p w14:paraId="5A92C46A" w14:textId="77777777"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Novads, pagasts</w:t>
            </w:r>
          </w:p>
        </w:tc>
        <w:tc>
          <w:tcPr>
            <w:tcW w:w="3544" w:type="dxa"/>
            <w:shd w:val="clear" w:color="auto" w:fill="D6E3BC" w:themeFill="accent3" w:themeFillTint="66"/>
            <w:vAlign w:val="center"/>
          </w:tcPr>
          <w:p w14:paraId="4B85F1D8" w14:textId="77777777"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Atradne vai atradnes iecirkņa nosaukums</w:t>
            </w:r>
          </w:p>
        </w:tc>
        <w:tc>
          <w:tcPr>
            <w:tcW w:w="1843" w:type="dxa"/>
            <w:shd w:val="clear" w:color="auto" w:fill="D6E3BC" w:themeFill="accent3" w:themeFillTint="66"/>
            <w:vAlign w:val="center"/>
          </w:tcPr>
          <w:p w14:paraId="6C9BD56A" w14:textId="77777777"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Zemes dzīļu izmantotājs</w:t>
            </w:r>
          </w:p>
        </w:tc>
        <w:tc>
          <w:tcPr>
            <w:tcW w:w="1275" w:type="dxa"/>
            <w:shd w:val="clear" w:color="auto" w:fill="D6E3BC" w:themeFill="accent3" w:themeFillTint="66"/>
            <w:vAlign w:val="center"/>
          </w:tcPr>
          <w:p w14:paraId="31573D91" w14:textId="2E39DA3D"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Limita derīguma termiņš</w:t>
            </w:r>
          </w:p>
        </w:tc>
        <w:tc>
          <w:tcPr>
            <w:tcW w:w="1701" w:type="dxa"/>
            <w:shd w:val="clear" w:color="auto" w:fill="D6E3BC" w:themeFill="accent3" w:themeFillTint="66"/>
            <w:vAlign w:val="center"/>
          </w:tcPr>
          <w:p w14:paraId="7AE1B977" w14:textId="77777777"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Kadastra apzīmējums</w:t>
            </w:r>
          </w:p>
        </w:tc>
        <w:tc>
          <w:tcPr>
            <w:tcW w:w="851" w:type="dxa"/>
            <w:shd w:val="clear" w:color="auto" w:fill="D6E3BC" w:themeFill="accent3" w:themeFillTint="66"/>
            <w:vAlign w:val="center"/>
          </w:tcPr>
          <w:p w14:paraId="309E776B" w14:textId="592E2EEF" w:rsidR="0085554F" w:rsidRPr="00A07F29" w:rsidRDefault="0085554F" w:rsidP="007C0EF2">
            <w:pPr>
              <w:rPr>
                <w:rFonts w:ascii="Times New Roman" w:hAnsi="Times New Roman" w:cs="Times New Roman"/>
                <w:bCs/>
                <w:iCs/>
                <w:sz w:val="20"/>
                <w:szCs w:val="20"/>
              </w:rPr>
            </w:pPr>
            <w:proofErr w:type="spellStart"/>
            <w:r w:rsidRPr="00A07F29">
              <w:rPr>
                <w:rFonts w:ascii="Times New Roman" w:hAnsi="Times New Roman" w:cs="Times New Roman"/>
                <w:bCs/>
                <w:iCs/>
                <w:sz w:val="20"/>
                <w:szCs w:val="20"/>
              </w:rPr>
              <w:t>Platība</w:t>
            </w:r>
            <w:r w:rsidR="007C0EF2" w:rsidRPr="00A07F29">
              <w:rPr>
                <w:rFonts w:ascii="Times New Roman" w:hAnsi="Times New Roman" w:cs="Times New Roman"/>
                <w:bCs/>
                <w:iCs/>
                <w:sz w:val="20"/>
                <w:szCs w:val="20"/>
              </w:rPr>
              <w:t>,</w:t>
            </w:r>
            <w:r w:rsidRPr="00A07F29">
              <w:rPr>
                <w:rFonts w:ascii="Times New Roman" w:hAnsi="Times New Roman" w:cs="Times New Roman"/>
                <w:bCs/>
                <w:iCs/>
                <w:sz w:val="20"/>
                <w:szCs w:val="20"/>
              </w:rPr>
              <w:t>ha</w:t>
            </w:r>
            <w:proofErr w:type="spellEnd"/>
          </w:p>
        </w:tc>
        <w:tc>
          <w:tcPr>
            <w:tcW w:w="1984" w:type="dxa"/>
            <w:shd w:val="clear" w:color="auto" w:fill="D6E3BC" w:themeFill="accent3" w:themeFillTint="66"/>
            <w:vAlign w:val="center"/>
          </w:tcPr>
          <w:p w14:paraId="4A58243B" w14:textId="77777777" w:rsidR="0085554F" w:rsidRPr="00A07F29" w:rsidRDefault="0085554F" w:rsidP="007C0EF2">
            <w:pPr>
              <w:rPr>
                <w:rFonts w:ascii="Times New Roman" w:hAnsi="Times New Roman" w:cs="Times New Roman"/>
                <w:bCs/>
                <w:iCs/>
                <w:sz w:val="20"/>
                <w:szCs w:val="20"/>
                <w:vertAlign w:val="superscript"/>
              </w:rPr>
            </w:pPr>
            <w:r w:rsidRPr="00A07F29">
              <w:rPr>
                <w:rFonts w:ascii="Times New Roman" w:hAnsi="Times New Roman" w:cs="Times New Roman"/>
                <w:bCs/>
                <w:iCs/>
                <w:sz w:val="20"/>
                <w:szCs w:val="20"/>
              </w:rPr>
              <w:t>Limits, tūkst m</w:t>
            </w:r>
            <w:r w:rsidRPr="00A07F29">
              <w:rPr>
                <w:rFonts w:ascii="Times New Roman" w:hAnsi="Times New Roman" w:cs="Times New Roman"/>
                <w:bCs/>
                <w:iCs/>
                <w:sz w:val="20"/>
                <w:szCs w:val="20"/>
                <w:vertAlign w:val="superscript"/>
              </w:rPr>
              <w:t>3</w:t>
            </w:r>
          </w:p>
        </w:tc>
        <w:tc>
          <w:tcPr>
            <w:tcW w:w="1437" w:type="dxa"/>
            <w:shd w:val="clear" w:color="auto" w:fill="D6E3BC" w:themeFill="accent3" w:themeFillTint="66"/>
            <w:vAlign w:val="center"/>
          </w:tcPr>
          <w:p w14:paraId="3272B58A" w14:textId="77777777"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Piezīmes</w:t>
            </w:r>
          </w:p>
        </w:tc>
      </w:tr>
      <w:tr w:rsidR="004126AE" w:rsidRPr="00A07F29" w14:paraId="1BA8D9A4" w14:textId="77777777" w:rsidTr="004126AE">
        <w:trPr>
          <w:jc w:val="center"/>
        </w:trPr>
        <w:tc>
          <w:tcPr>
            <w:tcW w:w="1838" w:type="dxa"/>
          </w:tcPr>
          <w:p w14:paraId="450D41CC" w14:textId="54172174"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 xml:space="preserve">Tabores pagasts, </w:t>
            </w:r>
            <w:r w:rsidR="00DB442E" w:rsidRPr="00A07F29">
              <w:rPr>
                <w:rFonts w:ascii="Times New Roman" w:hAnsi="Times New Roman" w:cs="Times New Roman"/>
                <w:bCs/>
                <w:iCs/>
                <w:sz w:val="20"/>
                <w:szCs w:val="20"/>
              </w:rPr>
              <w:t>Augšdaugavas</w:t>
            </w:r>
            <w:r w:rsidRPr="00A07F29">
              <w:rPr>
                <w:rFonts w:ascii="Times New Roman" w:hAnsi="Times New Roman" w:cs="Times New Roman"/>
                <w:bCs/>
                <w:iCs/>
                <w:sz w:val="20"/>
                <w:szCs w:val="20"/>
              </w:rPr>
              <w:t xml:space="preserve"> </w:t>
            </w:r>
            <w:r w:rsidR="004126AE" w:rsidRPr="00A07F29">
              <w:rPr>
                <w:rFonts w:ascii="Times New Roman" w:hAnsi="Times New Roman" w:cs="Times New Roman"/>
                <w:bCs/>
                <w:iCs/>
                <w:sz w:val="20"/>
                <w:szCs w:val="20"/>
              </w:rPr>
              <w:t>nov.</w:t>
            </w:r>
          </w:p>
        </w:tc>
        <w:tc>
          <w:tcPr>
            <w:tcW w:w="3544" w:type="dxa"/>
          </w:tcPr>
          <w:p w14:paraId="28A1FB77" w14:textId="77777777"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Smilts-grants un smilts atradne “</w:t>
            </w:r>
            <w:proofErr w:type="spellStart"/>
            <w:r w:rsidRPr="00A07F29">
              <w:rPr>
                <w:rFonts w:ascii="Times New Roman" w:hAnsi="Times New Roman" w:cs="Times New Roman"/>
                <w:bCs/>
                <w:iCs/>
                <w:sz w:val="20"/>
                <w:szCs w:val="20"/>
              </w:rPr>
              <w:t>Elerne</w:t>
            </w:r>
            <w:proofErr w:type="spellEnd"/>
            <w:r w:rsidRPr="00A07F29">
              <w:rPr>
                <w:rFonts w:ascii="Times New Roman" w:hAnsi="Times New Roman" w:cs="Times New Roman"/>
                <w:bCs/>
                <w:iCs/>
                <w:sz w:val="20"/>
                <w:szCs w:val="20"/>
              </w:rPr>
              <w:t>” I iec. laukums “Mežvidi 4”</w:t>
            </w:r>
          </w:p>
        </w:tc>
        <w:tc>
          <w:tcPr>
            <w:tcW w:w="1843" w:type="dxa"/>
          </w:tcPr>
          <w:p w14:paraId="6938BB3A" w14:textId="77777777"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SIA Mežvidi</w:t>
            </w:r>
          </w:p>
        </w:tc>
        <w:tc>
          <w:tcPr>
            <w:tcW w:w="1275" w:type="dxa"/>
          </w:tcPr>
          <w:p w14:paraId="40738659" w14:textId="77777777"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31.12.2030.</w:t>
            </w:r>
          </w:p>
        </w:tc>
        <w:tc>
          <w:tcPr>
            <w:tcW w:w="1701" w:type="dxa"/>
          </w:tcPr>
          <w:p w14:paraId="2AF5DBDA" w14:textId="77777777"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4492 001 0042</w:t>
            </w:r>
          </w:p>
          <w:p w14:paraId="34FFF3AB" w14:textId="77777777"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4492 001 0051</w:t>
            </w:r>
          </w:p>
        </w:tc>
        <w:tc>
          <w:tcPr>
            <w:tcW w:w="851" w:type="dxa"/>
          </w:tcPr>
          <w:p w14:paraId="5A33A6CF" w14:textId="77777777"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11,121</w:t>
            </w:r>
          </w:p>
        </w:tc>
        <w:tc>
          <w:tcPr>
            <w:tcW w:w="1984" w:type="dxa"/>
          </w:tcPr>
          <w:p w14:paraId="0A933C2D" w14:textId="77777777" w:rsidR="0085554F" w:rsidRPr="00A07F29" w:rsidRDefault="0085554F" w:rsidP="007C0EF2">
            <w:pPr>
              <w:ind w:right="-133"/>
              <w:rPr>
                <w:rFonts w:ascii="Times New Roman" w:hAnsi="Times New Roman" w:cs="Times New Roman"/>
                <w:bCs/>
                <w:iCs/>
                <w:sz w:val="20"/>
                <w:szCs w:val="20"/>
              </w:rPr>
            </w:pPr>
            <w:r w:rsidRPr="00A07F29">
              <w:rPr>
                <w:rFonts w:ascii="Times New Roman" w:hAnsi="Times New Roman" w:cs="Times New Roman"/>
                <w:bCs/>
                <w:iCs/>
                <w:sz w:val="20"/>
                <w:szCs w:val="20"/>
              </w:rPr>
              <w:t>497,23 smilts- grants</w:t>
            </w:r>
          </w:p>
        </w:tc>
        <w:tc>
          <w:tcPr>
            <w:tcW w:w="1437" w:type="dxa"/>
          </w:tcPr>
          <w:p w14:paraId="4D78502E" w14:textId="77777777" w:rsidR="0085554F" w:rsidRPr="00A07F29" w:rsidRDefault="0085554F" w:rsidP="007C0EF2">
            <w:pPr>
              <w:rPr>
                <w:rFonts w:ascii="Times New Roman" w:hAnsi="Times New Roman" w:cs="Times New Roman"/>
                <w:bCs/>
                <w:iCs/>
                <w:sz w:val="20"/>
                <w:szCs w:val="20"/>
              </w:rPr>
            </w:pPr>
          </w:p>
        </w:tc>
      </w:tr>
      <w:tr w:rsidR="004126AE" w:rsidRPr="00A07F29" w14:paraId="7C0F2F0D" w14:textId="77777777" w:rsidTr="004126AE">
        <w:trPr>
          <w:jc w:val="center"/>
        </w:trPr>
        <w:tc>
          <w:tcPr>
            <w:tcW w:w="1838" w:type="dxa"/>
          </w:tcPr>
          <w:p w14:paraId="37B235C1" w14:textId="1D7FFB60"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 xml:space="preserve">Tabores pagasts, </w:t>
            </w:r>
            <w:r w:rsidR="00DB442E" w:rsidRPr="00A07F29">
              <w:rPr>
                <w:rFonts w:ascii="Times New Roman" w:hAnsi="Times New Roman" w:cs="Times New Roman"/>
                <w:bCs/>
                <w:iCs/>
                <w:sz w:val="20"/>
                <w:szCs w:val="20"/>
              </w:rPr>
              <w:t>Augšdaugavas</w:t>
            </w:r>
            <w:r w:rsidRPr="00A07F29">
              <w:rPr>
                <w:rFonts w:ascii="Times New Roman" w:hAnsi="Times New Roman" w:cs="Times New Roman"/>
                <w:bCs/>
                <w:iCs/>
                <w:sz w:val="20"/>
                <w:szCs w:val="20"/>
              </w:rPr>
              <w:t xml:space="preserve"> </w:t>
            </w:r>
            <w:r w:rsidR="004126AE" w:rsidRPr="00A07F29">
              <w:rPr>
                <w:rFonts w:ascii="Times New Roman" w:hAnsi="Times New Roman" w:cs="Times New Roman"/>
                <w:bCs/>
                <w:iCs/>
                <w:sz w:val="20"/>
                <w:szCs w:val="20"/>
              </w:rPr>
              <w:t>nov.</w:t>
            </w:r>
          </w:p>
        </w:tc>
        <w:tc>
          <w:tcPr>
            <w:tcW w:w="3544" w:type="dxa"/>
          </w:tcPr>
          <w:p w14:paraId="4AC50A66" w14:textId="77777777"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Smilts-grants un smilts atradne “</w:t>
            </w:r>
            <w:proofErr w:type="spellStart"/>
            <w:r w:rsidRPr="00A07F29">
              <w:rPr>
                <w:rFonts w:ascii="Times New Roman" w:hAnsi="Times New Roman" w:cs="Times New Roman"/>
                <w:bCs/>
                <w:iCs/>
                <w:sz w:val="20"/>
                <w:szCs w:val="20"/>
              </w:rPr>
              <w:t>Elerne</w:t>
            </w:r>
            <w:proofErr w:type="spellEnd"/>
            <w:r w:rsidRPr="00A07F29">
              <w:rPr>
                <w:rFonts w:ascii="Times New Roman" w:hAnsi="Times New Roman" w:cs="Times New Roman"/>
                <w:bCs/>
                <w:iCs/>
                <w:sz w:val="20"/>
                <w:szCs w:val="20"/>
              </w:rPr>
              <w:t xml:space="preserve">” I </w:t>
            </w:r>
            <w:proofErr w:type="spellStart"/>
            <w:r w:rsidRPr="00A07F29">
              <w:rPr>
                <w:rFonts w:ascii="Times New Roman" w:hAnsi="Times New Roman" w:cs="Times New Roman"/>
                <w:bCs/>
                <w:iCs/>
                <w:sz w:val="20"/>
                <w:szCs w:val="20"/>
              </w:rPr>
              <w:t>iec.laukums</w:t>
            </w:r>
            <w:proofErr w:type="spellEnd"/>
            <w:r w:rsidRPr="00A07F29">
              <w:rPr>
                <w:rFonts w:ascii="Times New Roman" w:hAnsi="Times New Roman" w:cs="Times New Roman"/>
                <w:bCs/>
                <w:iCs/>
                <w:sz w:val="20"/>
                <w:szCs w:val="20"/>
              </w:rPr>
              <w:t xml:space="preserve"> “Mežvidi 3”</w:t>
            </w:r>
          </w:p>
        </w:tc>
        <w:tc>
          <w:tcPr>
            <w:tcW w:w="1843" w:type="dxa"/>
          </w:tcPr>
          <w:p w14:paraId="455C2D6C" w14:textId="2E6C74DC" w:rsidR="0085554F" w:rsidRPr="00A07F29" w:rsidRDefault="0085554F" w:rsidP="004126AE">
            <w:pPr>
              <w:rPr>
                <w:rFonts w:ascii="Times New Roman" w:hAnsi="Times New Roman" w:cs="Times New Roman"/>
                <w:bCs/>
                <w:iCs/>
                <w:sz w:val="20"/>
                <w:szCs w:val="20"/>
              </w:rPr>
            </w:pPr>
            <w:r w:rsidRPr="00A07F29">
              <w:rPr>
                <w:rFonts w:ascii="Times New Roman" w:hAnsi="Times New Roman" w:cs="Times New Roman"/>
                <w:bCs/>
                <w:iCs/>
                <w:sz w:val="20"/>
                <w:szCs w:val="20"/>
              </w:rPr>
              <w:t>SIA Mežvidi</w:t>
            </w:r>
          </w:p>
        </w:tc>
        <w:tc>
          <w:tcPr>
            <w:tcW w:w="1275" w:type="dxa"/>
          </w:tcPr>
          <w:p w14:paraId="7C4767B1" w14:textId="77777777"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06.09.2019.</w:t>
            </w:r>
          </w:p>
        </w:tc>
        <w:tc>
          <w:tcPr>
            <w:tcW w:w="1701" w:type="dxa"/>
          </w:tcPr>
          <w:p w14:paraId="5A61DAE0" w14:textId="77777777"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4492 001 0065</w:t>
            </w:r>
          </w:p>
        </w:tc>
        <w:tc>
          <w:tcPr>
            <w:tcW w:w="851" w:type="dxa"/>
          </w:tcPr>
          <w:p w14:paraId="77169AAA" w14:textId="35BCF50E"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10</w:t>
            </w:r>
            <w:r w:rsidR="00B43C72" w:rsidRPr="00A07F29">
              <w:rPr>
                <w:rFonts w:ascii="Times New Roman" w:hAnsi="Times New Roman" w:cs="Times New Roman"/>
                <w:bCs/>
                <w:iCs/>
                <w:sz w:val="20"/>
                <w:szCs w:val="20"/>
              </w:rPr>
              <w:t>,</w:t>
            </w:r>
            <w:r w:rsidRPr="00A07F29">
              <w:rPr>
                <w:rFonts w:ascii="Times New Roman" w:hAnsi="Times New Roman" w:cs="Times New Roman"/>
                <w:bCs/>
                <w:iCs/>
                <w:sz w:val="20"/>
                <w:szCs w:val="20"/>
              </w:rPr>
              <w:t>09</w:t>
            </w:r>
          </w:p>
        </w:tc>
        <w:tc>
          <w:tcPr>
            <w:tcW w:w="1984" w:type="dxa"/>
          </w:tcPr>
          <w:p w14:paraId="39385D0D" w14:textId="77777777"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429,2 smilts- grants</w:t>
            </w:r>
          </w:p>
          <w:p w14:paraId="425687C6" w14:textId="77777777"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56,6 smilts</w:t>
            </w:r>
          </w:p>
        </w:tc>
        <w:tc>
          <w:tcPr>
            <w:tcW w:w="1437" w:type="dxa"/>
          </w:tcPr>
          <w:p w14:paraId="0CA39EC9" w14:textId="77777777" w:rsidR="0085554F" w:rsidRPr="00A07F29" w:rsidRDefault="0085554F" w:rsidP="007C0EF2">
            <w:pPr>
              <w:rPr>
                <w:rFonts w:ascii="Times New Roman" w:hAnsi="Times New Roman" w:cs="Times New Roman"/>
                <w:bCs/>
                <w:iCs/>
                <w:sz w:val="20"/>
                <w:szCs w:val="20"/>
              </w:rPr>
            </w:pPr>
          </w:p>
        </w:tc>
      </w:tr>
      <w:tr w:rsidR="004126AE" w:rsidRPr="00A07F29" w14:paraId="0C54B973" w14:textId="77777777" w:rsidTr="004126AE">
        <w:trPr>
          <w:jc w:val="center"/>
        </w:trPr>
        <w:tc>
          <w:tcPr>
            <w:tcW w:w="1838" w:type="dxa"/>
          </w:tcPr>
          <w:p w14:paraId="6D8D021A" w14:textId="7678FC5B"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 xml:space="preserve">Tabores pagasts, </w:t>
            </w:r>
            <w:r w:rsidR="00DB442E" w:rsidRPr="00A07F29">
              <w:rPr>
                <w:rFonts w:ascii="Times New Roman" w:hAnsi="Times New Roman" w:cs="Times New Roman"/>
                <w:bCs/>
                <w:iCs/>
                <w:sz w:val="20"/>
                <w:szCs w:val="20"/>
              </w:rPr>
              <w:t>Augšdaugavas</w:t>
            </w:r>
            <w:r w:rsidRPr="00A07F29">
              <w:rPr>
                <w:rFonts w:ascii="Times New Roman" w:hAnsi="Times New Roman" w:cs="Times New Roman"/>
                <w:bCs/>
                <w:iCs/>
                <w:sz w:val="20"/>
                <w:szCs w:val="20"/>
              </w:rPr>
              <w:t xml:space="preserve"> </w:t>
            </w:r>
            <w:r w:rsidR="004126AE" w:rsidRPr="00A07F29">
              <w:rPr>
                <w:rFonts w:ascii="Times New Roman" w:hAnsi="Times New Roman" w:cs="Times New Roman"/>
                <w:bCs/>
                <w:iCs/>
                <w:sz w:val="20"/>
                <w:szCs w:val="20"/>
              </w:rPr>
              <w:t>nov.</w:t>
            </w:r>
          </w:p>
        </w:tc>
        <w:tc>
          <w:tcPr>
            <w:tcW w:w="3544" w:type="dxa"/>
          </w:tcPr>
          <w:p w14:paraId="55968D5D" w14:textId="006B566C"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Smilts-grants un smilts atradne “</w:t>
            </w:r>
            <w:proofErr w:type="spellStart"/>
            <w:r w:rsidRPr="00A07F29">
              <w:rPr>
                <w:rFonts w:ascii="Times New Roman" w:hAnsi="Times New Roman" w:cs="Times New Roman"/>
                <w:bCs/>
                <w:iCs/>
                <w:sz w:val="20"/>
                <w:szCs w:val="20"/>
              </w:rPr>
              <w:t>Elerne</w:t>
            </w:r>
            <w:proofErr w:type="spellEnd"/>
            <w:r w:rsidRPr="00A07F29">
              <w:rPr>
                <w:rFonts w:ascii="Times New Roman" w:hAnsi="Times New Roman" w:cs="Times New Roman"/>
                <w:bCs/>
                <w:iCs/>
                <w:sz w:val="20"/>
                <w:szCs w:val="20"/>
              </w:rPr>
              <w:t>” II iec</w:t>
            </w:r>
            <w:r w:rsidR="00D92B12" w:rsidRPr="00A07F29">
              <w:rPr>
                <w:rFonts w:ascii="Times New Roman" w:hAnsi="Times New Roman" w:cs="Times New Roman"/>
                <w:bCs/>
                <w:iCs/>
                <w:sz w:val="20"/>
                <w:szCs w:val="20"/>
              </w:rPr>
              <w:t>.</w:t>
            </w:r>
            <w:r w:rsidRPr="00A07F29">
              <w:rPr>
                <w:rFonts w:ascii="Times New Roman" w:hAnsi="Times New Roman" w:cs="Times New Roman"/>
                <w:bCs/>
                <w:iCs/>
                <w:sz w:val="20"/>
                <w:szCs w:val="20"/>
              </w:rPr>
              <w:t xml:space="preserve"> </w:t>
            </w:r>
          </w:p>
        </w:tc>
        <w:tc>
          <w:tcPr>
            <w:tcW w:w="1843" w:type="dxa"/>
          </w:tcPr>
          <w:p w14:paraId="0BBA149C" w14:textId="77777777"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 xml:space="preserve">SIA IMS Latgale </w:t>
            </w:r>
          </w:p>
        </w:tc>
        <w:tc>
          <w:tcPr>
            <w:tcW w:w="1275" w:type="dxa"/>
          </w:tcPr>
          <w:p w14:paraId="7CB566C1" w14:textId="77777777"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26.02.2017.</w:t>
            </w:r>
          </w:p>
        </w:tc>
        <w:tc>
          <w:tcPr>
            <w:tcW w:w="1701" w:type="dxa"/>
          </w:tcPr>
          <w:p w14:paraId="690ADB5C" w14:textId="77777777" w:rsidR="00DB442E" w:rsidRPr="00A07F29" w:rsidRDefault="00DB442E" w:rsidP="007C0EF2">
            <w:pPr>
              <w:rPr>
                <w:rFonts w:ascii="Times New Roman" w:hAnsi="Times New Roman" w:cs="Times New Roman"/>
                <w:bCs/>
                <w:iCs/>
                <w:sz w:val="20"/>
                <w:szCs w:val="20"/>
              </w:rPr>
            </w:pPr>
            <w:r w:rsidRPr="00A07F29">
              <w:rPr>
                <w:rFonts w:ascii="Times New Roman" w:hAnsi="Times New Roman" w:cs="Times New Roman"/>
                <w:bCs/>
                <w:iCs/>
                <w:sz w:val="20"/>
                <w:szCs w:val="20"/>
              </w:rPr>
              <w:t xml:space="preserve">Īpašums </w:t>
            </w:r>
            <w:proofErr w:type="spellStart"/>
            <w:r w:rsidRPr="00A07F29">
              <w:rPr>
                <w:rFonts w:ascii="Times New Roman" w:hAnsi="Times New Roman" w:cs="Times New Roman"/>
                <w:bCs/>
                <w:iCs/>
                <w:sz w:val="20"/>
                <w:szCs w:val="20"/>
              </w:rPr>
              <w:t>Vīgrieži</w:t>
            </w:r>
            <w:proofErr w:type="spellEnd"/>
            <w:r w:rsidRPr="00A07F29">
              <w:rPr>
                <w:rFonts w:ascii="Times New Roman" w:hAnsi="Times New Roman" w:cs="Times New Roman"/>
                <w:bCs/>
                <w:iCs/>
                <w:sz w:val="20"/>
                <w:szCs w:val="20"/>
              </w:rPr>
              <w:t>;</w:t>
            </w:r>
          </w:p>
          <w:p w14:paraId="24477977" w14:textId="265A1601"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4492 001</w:t>
            </w:r>
            <w:r w:rsidR="007C0EF2" w:rsidRPr="00A07F29">
              <w:rPr>
                <w:rFonts w:ascii="Times New Roman" w:hAnsi="Times New Roman" w:cs="Times New Roman"/>
                <w:bCs/>
                <w:iCs/>
                <w:sz w:val="20"/>
                <w:szCs w:val="20"/>
              </w:rPr>
              <w:t xml:space="preserve"> </w:t>
            </w:r>
            <w:r w:rsidRPr="00A07F29">
              <w:rPr>
                <w:rFonts w:ascii="Times New Roman" w:hAnsi="Times New Roman" w:cs="Times New Roman"/>
                <w:bCs/>
                <w:iCs/>
                <w:sz w:val="20"/>
                <w:szCs w:val="20"/>
              </w:rPr>
              <w:t>0081</w:t>
            </w:r>
          </w:p>
        </w:tc>
        <w:tc>
          <w:tcPr>
            <w:tcW w:w="851" w:type="dxa"/>
          </w:tcPr>
          <w:p w14:paraId="650B9BC0" w14:textId="255FF5EB"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7</w:t>
            </w:r>
            <w:r w:rsidR="00B43C72" w:rsidRPr="00A07F29">
              <w:rPr>
                <w:rFonts w:ascii="Times New Roman" w:hAnsi="Times New Roman" w:cs="Times New Roman"/>
                <w:bCs/>
                <w:iCs/>
                <w:sz w:val="20"/>
                <w:szCs w:val="20"/>
              </w:rPr>
              <w:t>,</w:t>
            </w:r>
            <w:r w:rsidRPr="00A07F29">
              <w:rPr>
                <w:rFonts w:ascii="Times New Roman" w:hAnsi="Times New Roman" w:cs="Times New Roman"/>
                <w:bCs/>
                <w:iCs/>
                <w:sz w:val="20"/>
                <w:szCs w:val="20"/>
              </w:rPr>
              <w:t>89</w:t>
            </w:r>
          </w:p>
        </w:tc>
        <w:tc>
          <w:tcPr>
            <w:tcW w:w="1984" w:type="dxa"/>
          </w:tcPr>
          <w:p w14:paraId="09630692" w14:textId="77777777" w:rsidR="0085554F" w:rsidRPr="00A07F29" w:rsidRDefault="0085554F" w:rsidP="007C0EF2">
            <w:pPr>
              <w:rPr>
                <w:rFonts w:ascii="Times New Roman" w:hAnsi="Times New Roman" w:cs="Times New Roman"/>
                <w:bCs/>
                <w:iCs/>
                <w:sz w:val="20"/>
                <w:szCs w:val="20"/>
              </w:rPr>
            </w:pPr>
          </w:p>
        </w:tc>
        <w:tc>
          <w:tcPr>
            <w:tcW w:w="1437" w:type="dxa"/>
          </w:tcPr>
          <w:p w14:paraId="36FFBF25" w14:textId="77777777" w:rsidR="0085554F" w:rsidRPr="00A07F29" w:rsidRDefault="0085554F" w:rsidP="007C0EF2">
            <w:pPr>
              <w:rPr>
                <w:rFonts w:ascii="Times New Roman" w:hAnsi="Times New Roman" w:cs="Times New Roman"/>
                <w:bCs/>
                <w:iCs/>
                <w:sz w:val="20"/>
                <w:szCs w:val="20"/>
              </w:rPr>
            </w:pPr>
          </w:p>
        </w:tc>
      </w:tr>
      <w:tr w:rsidR="004126AE" w:rsidRPr="00A07F29" w14:paraId="15D00377" w14:textId="77777777" w:rsidTr="004126AE">
        <w:trPr>
          <w:jc w:val="center"/>
        </w:trPr>
        <w:tc>
          <w:tcPr>
            <w:tcW w:w="1838" w:type="dxa"/>
          </w:tcPr>
          <w:p w14:paraId="295B1D70" w14:textId="7A0EF2C9"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 xml:space="preserve">Tabores pagasts, </w:t>
            </w:r>
            <w:r w:rsidR="00DB442E" w:rsidRPr="00A07F29">
              <w:rPr>
                <w:rFonts w:ascii="Times New Roman" w:hAnsi="Times New Roman" w:cs="Times New Roman"/>
                <w:bCs/>
                <w:iCs/>
                <w:sz w:val="20"/>
                <w:szCs w:val="20"/>
              </w:rPr>
              <w:t>Augšdaugavas</w:t>
            </w:r>
            <w:r w:rsidRPr="00A07F29">
              <w:rPr>
                <w:rFonts w:ascii="Times New Roman" w:hAnsi="Times New Roman" w:cs="Times New Roman"/>
                <w:bCs/>
                <w:iCs/>
                <w:sz w:val="20"/>
                <w:szCs w:val="20"/>
              </w:rPr>
              <w:t xml:space="preserve"> </w:t>
            </w:r>
            <w:r w:rsidR="004126AE" w:rsidRPr="00A07F29">
              <w:rPr>
                <w:rFonts w:ascii="Times New Roman" w:hAnsi="Times New Roman" w:cs="Times New Roman"/>
                <w:bCs/>
                <w:iCs/>
                <w:sz w:val="20"/>
                <w:szCs w:val="20"/>
              </w:rPr>
              <w:t>nov.</w:t>
            </w:r>
          </w:p>
        </w:tc>
        <w:tc>
          <w:tcPr>
            <w:tcW w:w="3544" w:type="dxa"/>
          </w:tcPr>
          <w:p w14:paraId="27850F0E" w14:textId="30DF20C9"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Smilts-grants un smilts atradne “</w:t>
            </w:r>
            <w:proofErr w:type="spellStart"/>
            <w:r w:rsidRPr="00A07F29">
              <w:rPr>
                <w:rFonts w:ascii="Times New Roman" w:hAnsi="Times New Roman" w:cs="Times New Roman"/>
                <w:bCs/>
                <w:iCs/>
                <w:sz w:val="20"/>
                <w:szCs w:val="20"/>
              </w:rPr>
              <w:t>Elerne</w:t>
            </w:r>
            <w:proofErr w:type="spellEnd"/>
            <w:r w:rsidRPr="00A07F29">
              <w:rPr>
                <w:rFonts w:ascii="Times New Roman" w:hAnsi="Times New Roman" w:cs="Times New Roman"/>
                <w:bCs/>
                <w:iCs/>
                <w:sz w:val="20"/>
                <w:szCs w:val="20"/>
              </w:rPr>
              <w:t>” II iec</w:t>
            </w:r>
            <w:r w:rsidR="00D92B12" w:rsidRPr="00A07F29">
              <w:rPr>
                <w:rFonts w:ascii="Times New Roman" w:hAnsi="Times New Roman" w:cs="Times New Roman"/>
                <w:bCs/>
                <w:iCs/>
                <w:sz w:val="20"/>
                <w:szCs w:val="20"/>
              </w:rPr>
              <w:t>.</w:t>
            </w:r>
            <w:r w:rsidR="00D65BBA" w:rsidRPr="00A07F29">
              <w:rPr>
                <w:rFonts w:ascii="Times New Roman" w:hAnsi="Times New Roman" w:cs="Times New Roman"/>
                <w:bCs/>
                <w:iCs/>
                <w:sz w:val="20"/>
                <w:szCs w:val="20"/>
              </w:rPr>
              <w:t xml:space="preserve"> </w:t>
            </w:r>
          </w:p>
        </w:tc>
        <w:tc>
          <w:tcPr>
            <w:tcW w:w="1843" w:type="dxa"/>
          </w:tcPr>
          <w:p w14:paraId="369F5CDC" w14:textId="77777777"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 xml:space="preserve">SIA Daugavpils </w:t>
            </w:r>
            <w:proofErr w:type="spellStart"/>
            <w:r w:rsidRPr="00A07F29">
              <w:rPr>
                <w:rFonts w:ascii="Times New Roman" w:hAnsi="Times New Roman" w:cs="Times New Roman"/>
                <w:bCs/>
                <w:iCs/>
                <w:sz w:val="20"/>
                <w:szCs w:val="20"/>
              </w:rPr>
              <w:t>dzelzbetons</w:t>
            </w:r>
            <w:proofErr w:type="spellEnd"/>
          </w:p>
        </w:tc>
        <w:tc>
          <w:tcPr>
            <w:tcW w:w="1275" w:type="dxa"/>
          </w:tcPr>
          <w:p w14:paraId="1ABA366C" w14:textId="77777777"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17.12.2019.</w:t>
            </w:r>
          </w:p>
        </w:tc>
        <w:tc>
          <w:tcPr>
            <w:tcW w:w="1701" w:type="dxa"/>
          </w:tcPr>
          <w:p w14:paraId="74C6802F" w14:textId="77777777"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44920010080</w:t>
            </w:r>
          </w:p>
        </w:tc>
        <w:tc>
          <w:tcPr>
            <w:tcW w:w="851" w:type="dxa"/>
          </w:tcPr>
          <w:p w14:paraId="7E3078B1" w14:textId="77777777"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34,2</w:t>
            </w:r>
          </w:p>
        </w:tc>
        <w:tc>
          <w:tcPr>
            <w:tcW w:w="1984" w:type="dxa"/>
          </w:tcPr>
          <w:p w14:paraId="2493149D" w14:textId="77777777"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640 smilts-grants</w:t>
            </w:r>
          </w:p>
        </w:tc>
        <w:tc>
          <w:tcPr>
            <w:tcW w:w="1437" w:type="dxa"/>
          </w:tcPr>
          <w:p w14:paraId="398A9DAF" w14:textId="77777777"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Izstrāde pabeigta, limits izņemts</w:t>
            </w:r>
          </w:p>
        </w:tc>
      </w:tr>
      <w:tr w:rsidR="004126AE" w:rsidRPr="00A07F29" w14:paraId="0E56F80D" w14:textId="77777777" w:rsidTr="004126AE">
        <w:trPr>
          <w:jc w:val="center"/>
        </w:trPr>
        <w:tc>
          <w:tcPr>
            <w:tcW w:w="1838" w:type="dxa"/>
          </w:tcPr>
          <w:p w14:paraId="6821AB3E" w14:textId="4E665232"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 xml:space="preserve">Tabores pagasts, </w:t>
            </w:r>
            <w:r w:rsidR="00DB442E" w:rsidRPr="00A07F29">
              <w:rPr>
                <w:rFonts w:ascii="Times New Roman" w:hAnsi="Times New Roman" w:cs="Times New Roman"/>
                <w:bCs/>
                <w:iCs/>
                <w:sz w:val="20"/>
                <w:szCs w:val="20"/>
              </w:rPr>
              <w:t>Augšdaugavas</w:t>
            </w:r>
            <w:r w:rsidRPr="00A07F29">
              <w:rPr>
                <w:rFonts w:ascii="Times New Roman" w:hAnsi="Times New Roman" w:cs="Times New Roman"/>
                <w:bCs/>
                <w:iCs/>
                <w:sz w:val="20"/>
                <w:szCs w:val="20"/>
              </w:rPr>
              <w:t xml:space="preserve"> </w:t>
            </w:r>
            <w:r w:rsidR="004126AE" w:rsidRPr="00A07F29">
              <w:rPr>
                <w:rFonts w:ascii="Times New Roman" w:hAnsi="Times New Roman" w:cs="Times New Roman"/>
                <w:bCs/>
                <w:iCs/>
                <w:sz w:val="20"/>
                <w:szCs w:val="20"/>
              </w:rPr>
              <w:t>nov.</w:t>
            </w:r>
          </w:p>
        </w:tc>
        <w:tc>
          <w:tcPr>
            <w:tcW w:w="3544" w:type="dxa"/>
          </w:tcPr>
          <w:p w14:paraId="6EB36082" w14:textId="7528339F"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Smilts-grants un smilts atradne “</w:t>
            </w:r>
            <w:proofErr w:type="spellStart"/>
            <w:r w:rsidRPr="00A07F29">
              <w:rPr>
                <w:rFonts w:ascii="Times New Roman" w:hAnsi="Times New Roman" w:cs="Times New Roman"/>
                <w:bCs/>
                <w:iCs/>
                <w:sz w:val="20"/>
                <w:szCs w:val="20"/>
              </w:rPr>
              <w:t>Elerne</w:t>
            </w:r>
            <w:proofErr w:type="spellEnd"/>
            <w:r w:rsidRPr="00A07F29">
              <w:rPr>
                <w:rFonts w:ascii="Times New Roman" w:hAnsi="Times New Roman" w:cs="Times New Roman"/>
                <w:bCs/>
                <w:iCs/>
                <w:sz w:val="20"/>
                <w:szCs w:val="20"/>
              </w:rPr>
              <w:t>”</w:t>
            </w:r>
            <w:r w:rsidR="00D65BBA" w:rsidRPr="00A07F29">
              <w:rPr>
                <w:rFonts w:ascii="Times New Roman" w:hAnsi="Times New Roman" w:cs="Times New Roman"/>
                <w:bCs/>
                <w:iCs/>
                <w:sz w:val="20"/>
                <w:szCs w:val="20"/>
              </w:rPr>
              <w:t xml:space="preserve"> </w:t>
            </w:r>
            <w:r w:rsidRPr="00A07F29">
              <w:rPr>
                <w:rFonts w:ascii="Times New Roman" w:hAnsi="Times New Roman" w:cs="Times New Roman"/>
                <w:bCs/>
                <w:iCs/>
                <w:sz w:val="20"/>
                <w:szCs w:val="20"/>
              </w:rPr>
              <w:t>iec. “Griguliņi-Kaupišķi-5”</w:t>
            </w:r>
          </w:p>
        </w:tc>
        <w:tc>
          <w:tcPr>
            <w:tcW w:w="1843" w:type="dxa"/>
          </w:tcPr>
          <w:p w14:paraId="728A4625" w14:textId="77777777"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SIA Inerto materiālu serviss</w:t>
            </w:r>
          </w:p>
        </w:tc>
        <w:tc>
          <w:tcPr>
            <w:tcW w:w="1275" w:type="dxa"/>
          </w:tcPr>
          <w:p w14:paraId="3DB20170" w14:textId="77777777"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31.03.2033.</w:t>
            </w:r>
          </w:p>
        </w:tc>
        <w:tc>
          <w:tcPr>
            <w:tcW w:w="1701" w:type="dxa"/>
          </w:tcPr>
          <w:p w14:paraId="676A58C3" w14:textId="77777777" w:rsidR="007C0EF2"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 xml:space="preserve">4492 001 0062; </w:t>
            </w:r>
          </w:p>
          <w:p w14:paraId="70EDF33C" w14:textId="4ED1F329"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4492 001 0052</w:t>
            </w:r>
          </w:p>
        </w:tc>
        <w:tc>
          <w:tcPr>
            <w:tcW w:w="851" w:type="dxa"/>
          </w:tcPr>
          <w:p w14:paraId="739944EC" w14:textId="3F8D1833" w:rsidR="0085554F" w:rsidRPr="00A07F29" w:rsidRDefault="00072C22" w:rsidP="007C0EF2">
            <w:pPr>
              <w:rPr>
                <w:rFonts w:ascii="Times New Roman" w:hAnsi="Times New Roman" w:cs="Times New Roman"/>
                <w:bCs/>
                <w:iCs/>
                <w:sz w:val="20"/>
                <w:szCs w:val="20"/>
              </w:rPr>
            </w:pPr>
            <w:r w:rsidRPr="00A07F29">
              <w:rPr>
                <w:rFonts w:ascii="Times New Roman" w:hAnsi="Times New Roman" w:cs="Times New Roman"/>
                <w:bCs/>
                <w:iCs/>
                <w:sz w:val="20"/>
                <w:szCs w:val="20"/>
              </w:rPr>
              <w:t>14,75</w:t>
            </w:r>
          </w:p>
        </w:tc>
        <w:tc>
          <w:tcPr>
            <w:tcW w:w="1984" w:type="dxa"/>
          </w:tcPr>
          <w:p w14:paraId="59F602F3" w14:textId="744202CD"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352</w:t>
            </w:r>
            <w:r w:rsidR="00D92B12" w:rsidRPr="00A07F29">
              <w:rPr>
                <w:rFonts w:ascii="Times New Roman" w:hAnsi="Times New Roman" w:cs="Times New Roman"/>
                <w:bCs/>
                <w:iCs/>
                <w:sz w:val="20"/>
                <w:szCs w:val="20"/>
              </w:rPr>
              <w:t>,</w:t>
            </w:r>
            <w:r w:rsidRPr="00A07F29">
              <w:rPr>
                <w:rFonts w:ascii="Times New Roman" w:hAnsi="Times New Roman" w:cs="Times New Roman"/>
                <w:bCs/>
                <w:iCs/>
                <w:sz w:val="20"/>
                <w:szCs w:val="20"/>
              </w:rPr>
              <w:t>68 smilts-grants; 228</w:t>
            </w:r>
            <w:r w:rsidR="00D92B12" w:rsidRPr="00A07F29">
              <w:rPr>
                <w:rFonts w:ascii="Times New Roman" w:hAnsi="Times New Roman" w:cs="Times New Roman"/>
                <w:bCs/>
                <w:iCs/>
                <w:sz w:val="20"/>
                <w:szCs w:val="20"/>
              </w:rPr>
              <w:t>,</w:t>
            </w:r>
            <w:r w:rsidRPr="00A07F29">
              <w:rPr>
                <w:rFonts w:ascii="Times New Roman" w:hAnsi="Times New Roman" w:cs="Times New Roman"/>
                <w:bCs/>
                <w:iCs/>
                <w:sz w:val="20"/>
                <w:szCs w:val="20"/>
              </w:rPr>
              <w:t>04 smilts</w:t>
            </w:r>
          </w:p>
        </w:tc>
        <w:tc>
          <w:tcPr>
            <w:tcW w:w="1437" w:type="dxa"/>
          </w:tcPr>
          <w:p w14:paraId="4DDC0FCD" w14:textId="77777777" w:rsidR="0085554F" w:rsidRPr="00A07F29" w:rsidRDefault="0085554F" w:rsidP="007C0EF2">
            <w:pPr>
              <w:rPr>
                <w:rFonts w:ascii="Times New Roman" w:hAnsi="Times New Roman" w:cs="Times New Roman"/>
                <w:bCs/>
                <w:iCs/>
                <w:sz w:val="20"/>
                <w:szCs w:val="20"/>
              </w:rPr>
            </w:pPr>
          </w:p>
        </w:tc>
      </w:tr>
      <w:tr w:rsidR="004126AE" w:rsidRPr="00A07F29" w14:paraId="227CBB55" w14:textId="77777777" w:rsidTr="004126AE">
        <w:trPr>
          <w:jc w:val="center"/>
        </w:trPr>
        <w:tc>
          <w:tcPr>
            <w:tcW w:w="1838" w:type="dxa"/>
          </w:tcPr>
          <w:p w14:paraId="3976D6A0" w14:textId="39AA3A7E"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 xml:space="preserve">Tabores pagasts, </w:t>
            </w:r>
            <w:r w:rsidR="00DB442E" w:rsidRPr="00A07F29">
              <w:rPr>
                <w:rFonts w:ascii="Times New Roman" w:hAnsi="Times New Roman" w:cs="Times New Roman"/>
                <w:bCs/>
                <w:iCs/>
                <w:sz w:val="20"/>
                <w:szCs w:val="20"/>
              </w:rPr>
              <w:t>Augšdaugavas</w:t>
            </w:r>
            <w:r w:rsidRPr="00A07F29">
              <w:rPr>
                <w:rFonts w:ascii="Times New Roman" w:hAnsi="Times New Roman" w:cs="Times New Roman"/>
                <w:bCs/>
                <w:iCs/>
                <w:sz w:val="20"/>
                <w:szCs w:val="20"/>
              </w:rPr>
              <w:t xml:space="preserve"> </w:t>
            </w:r>
            <w:r w:rsidR="004126AE" w:rsidRPr="00A07F29">
              <w:rPr>
                <w:rFonts w:ascii="Times New Roman" w:hAnsi="Times New Roman" w:cs="Times New Roman"/>
                <w:bCs/>
                <w:iCs/>
                <w:sz w:val="20"/>
                <w:szCs w:val="20"/>
              </w:rPr>
              <w:t>nov.</w:t>
            </w:r>
          </w:p>
        </w:tc>
        <w:tc>
          <w:tcPr>
            <w:tcW w:w="3544" w:type="dxa"/>
          </w:tcPr>
          <w:p w14:paraId="1F14920B" w14:textId="268302D3"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Smilts-grants un smilts atradne “</w:t>
            </w:r>
            <w:proofErr w:type="spellStart"/>
            <w:r w:rsidRPr="00A07F29">
              <w:rPr>
                <w:rFonts w:ascii="Times New Roman" w:hAnsi="Times New Roman" w:cs="Times New Roman"/>
                <w:bCs/>
                <w:iCs/>
                <w:sz w:val="20"/>
                <w:szCs w:val="20"/>
              </w:rPr>
              <w:t>Elerne</w:t>
            </w:r>
            <w:proofErr w:type="spellEnd"/>
            <w:r w:rsidRPr="00A07F29">
              <w:rPr>
                <w:rFonts w:ascii="Times New Roman" w:hAnsi="Times New Roman" w:cs="Times New Roman"/>
                <w:bCs/>
                <w:iCs/>
                <w:sz w:val="20"/>
                <w:szCs w:val="20"/>
              </w:rPr>
              <w:t>”</w:t>
            </w:r>
            <w:r w:rsidR="00D65BBA" w:rsidRPr="00A07F29">
              <w:rPr>
                <w:rFonts w:ascii="Times New Roman" w:hAnsi="Times New Roman" w:cs="Times New Roman"/>
                <w:bCs/>
                <w:iCs/>
                <w:sz w:val="20"/>
                <w:szCs w:val="20"/>
              </w:rPr>
              <w:t xml:space="preserve"> </w:t>
            </w:r>
            <w:r w:rsidRPr="00A07F29">
              <w:rPr>
                <w:rFonts w:ascii="Times New Roman" w:hAnsi="Times New Roman" w:cs="Times New Roman"/>
                <w:bCs/>
                <w:iCs/>
                <w:sz w:val="20"/>
                <w:szCs w:val="20"/>
              </w:rPr>
              <w:t>iec. “Elerne-10”</w:t>
            </w:r>
          </w:p>
        </w:tc>
        <w:tc>
          <w:tcPr>
            <w:tcW w:w="1843" w:type="dxa"/>
          </w:tcPr>
          <w:p w14:paraId="73336245" w14:textId="77777777"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 xml:space="preserve">SIA </w:t>
            </w:r>
            <w:proofErr w:type="spellStart"/>
            <w:r w:rsidRPr="00A07F29">
              <w:rPr>
                <w:rFonts w:ascii="Times New Roman" w:hAnsi="Times New Roman" w:cs="Times New Roman"/>
                <w:bCs/>
                <w:iCs/>
                <w:sz w:val="20"/>
                <w:szCs w:val="20"/>
              </w:rPr>
              <w:t>Meliors</w:t>
            </w:r>
            <w:proofErr w:type="spellEnd"/>
            <w:r w:rsidRPr="00A07F29">
              <w:rPr>
                <w:rFonts w:ascii="Times New Roman" w:hAnsi="Times New Roman" w:cs="Times New Roman"/>
                <w:bCs/>
                <w:iCs/>
                <w:sz w:val="20"/>
                <w:szCs w:val="20"/>
              </w:rPr>
              <w:t xml:space="preserve"> Krauja</w:t>
            </w:r>
          </w:p>
        </w:tc>
        <w:tc>
          <w:tcPr>
            <w:tcW w:w="1275" w:type="dxa"/>
          </w:tcPr>
          <w:p w14:paraId="154DECB3" w14:textId="77777777"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24.09.2045.</w:t>
            </w:r>
          </w:p>
        </w:tc>
        <w:tc>
          <w:tcPr>
            <w:tcW w:w="1701" w:type="dxa"/>
          </w:tcPr>
          <w:p w14:paraId="697E5DC6" w14:textId="77777777"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4492 001 0036</w:t>
            </w:r>
          </w:p>
        </w:tc>
        <w:tc>
          <w:tcPr>
            <w:tcW w:w="851" w:type="dxa"/>
          </w:tcPr>
          <w:p w14:paraId="2FE07176" w14:textId="77777777"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4,44</w:t>
            </w:r>
          </w:p>
        </w:tc>
        <w:tc>
          <w:tcPr>
            <w:tcW w:w="1984" w:type="dxa"/>
          </w:tcPr>
          <w:p w14:paraId="506D915C" w14:textId="77777777"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91,17 smilts-grants; 160,34 smilts</w:t>
            </w:r>
          </w:p>
        </w:tc>
        <w:tc>
          <w:tcPr>
            <w:tcW w:w="1437" w:type="dxa"/>
          </w:tcPr>
          <w:p w14:paraId="166E59EE" w14:textId="77777777" w:rsidR="0085554F" w:rsidRPr="00A07F29" w:rsidRDefault="0085554F" w:rsidP="007C0EF2">
            <w:pPr>
              <w:rPr>
                <w:rFonts w:ascii="Times New Roman" w:hAnsi="Times New Roman" w:cs="Times New Roman"/>
                <w:bCs/>
                <w:iCs/>
                <w:sz w:val="20"/>
                <w:szCs w:val="20"/>
              </w:rPr>
            </w:pPr>
          </w:p>
        </w:tc>
      </w:tr>
      <w:tr w:rsidR="004126AE" w:rsidRPr="00A07F29" w14:paraId="1D691393" w14:textId="77777777" w:rsidTr="004126AE">
        <w:trPr>
          <w:jc w:val="center"/>
        </w:trPr>
        <w:tc>
          <w:tcPr>
            <w:tcW w:w="1838" w:type="dxa"/>
          </w:tcPr>
          <w:p w14:paraId="262B6460" w14:textId="0BDFAE34"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 xml:space="preserve">Tabores pagasts, </w:t>
            </w:r>
            <w:r w:rsidR="00DB442E" w:rsidRPr="00A07F29">
              <w:rPr>
                <w:rFonts w:ascii="Times New Roman" w:hAnsi="Times New Roman" w:cs="Times New Roman"/>
                <w:bCs/>
                <w:iCs/>
                <w:sz w:val="20"/>
                <w:szCs w:val="20"/>
              </w:rPr>
              <w:t>Augšdaugavas</w:t>
            </w:r>
            <w:r w:rsidRPr="00A07F29">
              <w:rPr>
                <w:rFonts w:ascii="Times New Roman" w:hAnsi="Times New Roman" w:cs="Times New Roman"/>
                <w:bCs/>
                <w:iCs/>
                <w:sz w:val="20"/>
                <w:szCs w:val="20"/>
              </w:rPr>
              <w:t xml:space="preserve"> </w:t>
            </w:r>
            <w:r w:rsidR="004126AE" w:rsidRPr="00A07F29">
              <w:rPr>
                <w:rFonts w:ascii="Times New Roman" w:hAnsi="Times New Roman" w:cs="Times New Roman"/>
                <w:bCs/>
                <w:iCs/>
                <w:sz w:val="20"/>
                <w:szCs w:val="20"/>
              </w:rPr>
              <w:t>nov.</w:t>
            </w:r>
          </w:p>
        </w:tc>
        <w:tc>
          <w:tcPr>
            <w:tcW w:w="3544" w:type="dxa"/>
          </w:tcPr>
          <w:p w14:paraId="69B68F10" w14:textId="77777777"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Smilts-grants un smilts atradne “</w:t>
            </w:r>
            <w:proofErr w:type="spellStart"/>
            <w:r w:rsidRPr="00A07F29">
              <w:rPr>
                <w:rFonts w:ascii="Times New Roman" w:hAnsi="Times New Roman" w:cs="Times New Roman"/>
                <w:bCs/>
                <w:iCs/>
                <w:sz w:val="20"/>
                <w:szCs w:val="20"/>
              </w:rPr>
              <w:t>Elerne</w:t>
            </w:r>
            <w:proofErr w:type="spellEnd"/>
            <w:r w:rsidRPr="00A07F29">
              <w:rPr>
                <w:rFonts w:ascii="Times New Roman" w:hAnsi="Times New Roman" w:cs="Times New Roman"/>
                <w:bCs/>
                <w:iCs/>
                <w:sz w:val="20"/>
                <w:szCs w:val="20"/>
              </w:rPr>
              <w:t>” II 2018. gada iec.</w:t>
            </w:r>
          </w:p>
        </w:tc>
        <w:tc>
          <w:tcPr>
            <w:tcW w:w="1843" w:type="dxa"/>
          </w:tcPr>
          <w:p w14:paraId="1B9B5100" w14:textId="3CBCE94A" w:rsidR="0085554F" w:rsidRPr="00A07F29" w:rsidRDefault="004560FF" w:rsidP="007C0EF2">
            <w:pPr>
              <w:rPr>
                <w:rFonts w:ascii="Times New Roman" w:hAnsi="Times New Roman" w:cs="Times New Roman"/>
                <w:bCs/>
                <w:iCs/>
                <w:sz w:val="20"/>
                <w:szCs w:val="20"/>
              </w:rPr>
            </w:pPr>
            <w:r w:rsidRPr="00A07F29">
              <w:rPr>
                <w:rFonts w:ascii="Times New Roman" w:hAnsi="Times New Roman" w:cs="Times New Roman"/>
                <w:bCs/>
                <w:iCs/>
                <w:sz w:val="20"/>
                <w:szCs w:val="20"/>
              </w:rPr>
              <w:t>VAS</w:t>
            </w:r>
            <w:r w:rsidR="0085554F" w:rsidRPr="00A07F29">
              <w:rPr>
                <w:rFonts w:ascii="Times New Roman" w:hAnsi="Times New Roman" w:cs="Times New Roman"/>
                <w:bCs/>
                <w:iCs/>
                <w:sz w:val="20"/>
                <w:szCs w:val="20"/>
              </w:rPr>
              <w:t xml:space="preserve"> “Latvijas autoceļu uzturētājs”</w:t>
            </w:r>
          </w:p>
        </w:tc>
        <w:tc>
          <w:tcPr>
            <w:tcW w:w="1275" w:type="dxa"/>
          </w:tcPr>
          <w:p w14:paraId="307F2DF7" w14:textId="77777777"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31.12.2027.</w:t>
            </w:r>
          </w:p>
        </w:tc>
        <w:tc>
          <w:tcPr>
            <w:tcW w:w="1701" w:type="dxa"/>
          </w:tcPr>
          <w:p w14:paraId="1A1322B7" w14:textId="77777777"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4492 001 0038</w:t>
            </w:r>
          </w:p>
        </w:tc>
        <w:tc>
          <w:tcPr>
            <w:tcW w:w="851" w:type="dxa"/>
          </w:tcPr>
          <w:p w14:paraId="6B2792FB" w14:textId="77777777"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4,819</w:t>
            </w:r>
          </w:p>
        </w:tc>
        <w:tc>
          <w:tcPr>
            <w:tcW w:w="1984" w:type="dxa"/>
          </w:tcPr>
          <w:p w14:paraId="683E927B" w14:textId="77777777"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43,18 smilts-grants</w:t>
            </w:r>
          </w:p>
          <w:p w14:paraId="13B9A91D" w14:textId="10B445D4"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320,68</w:t>
            </w:r>
            <w:r w:rsidR="007C0EF2" w:rsidRPr="00A07F29">
              <w:rPr>
                <w:rFonts w:ascii="Times New Roman" w:hAnsi="Times New Roman" w:cs="Times New Roman"/>
                <w:bCs/>
                <w:iCs/>
                <w:sz w:val="20"/>
                <w:szCs w:val="20"/>
              </w:rPr>
              <w:t xml:space="preserve"> </w:t>
            </w:r>
            <w:r w:rsidRPr="00A07F29">
              <w:rPr>
                <w:rFonts w:ascii="Times New Roman" w:hAnsi="Times New Roman" w:cs="Times New Roman"/>
                <w:bCs/>
                <w:iCs/>
                <w:sz w:val="20"/>
                <w:szCs w:val="20"/>
              </w:rPr>
              <w:t>smilts</w:t>
            </w:r>
          </w:p>
        </w:tc>
        <w:tc>
          <w:tcPr>
            <w:tcW w:w="1437" w:type="dxa"/>
          </w:tcPr>
          <w:p w14:paraId="54996FF6" w14:textId="77777777" w:rsidR="0085554F" w:rsidRPr="00A07F29" w:rsidRDefault="0085554F" w:rsidP="007C0EF2">
            <w:pPr>
              <w:rPr>
                <w:rFonts w:ascii="Times New Roman" w:hAnsi="Times New Roman" w:cs="Times New Roman"/>
                <w:bCs/>
                <w:iCs/>
                <w:sz w:val="20"/>
                <w:szCs w:val="20"/>
              </w:rPr>
            </w:pPr>
          </w:p>
        </w:tc>
      </w:tr>
      <w:tr w:rsidR="004126AE" w:rsidRPr="00A07F29" w14:paraId="106E5439" w14:textId="77777777" w:rsidTr="004126AE">
        <w:trPr>
          <w:jc w:val="center"/>
        </w:trPr>
        <w:tc>
          <w:tcPr>
            <w:tcW w:w="1838" w:type="dxa"/>
          </w:tcPr>
          <w:p w14:paraId="6320B4C2" w14:textId="3DD98C45"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 xml:space="preserve">Naujenes pagasts, </w:t>
            </w:r>
            <w:r w:rsidR="00DB442E" w:rsidRPr="00A07F29">
              <w:rPr>
                <w:rFonts w:ascii="Times New Roman" w:hAnsi="Times New Roman" w:cs="Times New Roman"/>
                <w:bCs/>
                <w:iCs/>
                <w:sz w:val="20"/>
                <w:szCs w:val="20"/>
              </w:rPr>
              <w:t>Augšdaugavas</w:t>
            </w:r>
            <w:r w:rsidRPr="00A07F29">
              <w:rPr>
                <w:rFonts w:ascii="Times New Roman" w:hAnsi="Times New Roman" w:cs="Times New Roman"/>
                <w:bCs/>
                <w:iCs/>
                <w:sz w:val="20"/>
                <w:szCs w:val="20"/>
              </w:rPr>
              <w:t xml:space="preserve"> </w:t>
            </w:r>
            <w:r w:rsidR="004126AE" w:rsidRPr="00A07F29">
              <w:rPr>
                <w:rFonts w:ascii="Times New Roman" w:hAnsi="Times New Roman" w:cs="Times New Roman"/>
                <w:bCs/>
                <w:iCs/>
                <w:sz w:val="20"/>
                <w:szCs w:val="20"/>
              </w:rPr>
              <w:t>nov.</w:t>
            </w:r>
          </w:p>
        </w:tc>
        <w:tc>
          <w:tcPr>
            <w:tcW w:w="3544" w:type="dxa"/>
          </w:tcPr>
          <w:p w14:paraId="78C365D1" w14:textId="77777777"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Smilts-grants un smilts atradne “</w:t>
            </w:r>
            <w:proofErr w:type="spellStart"/>
            <w:r w:rsidRPr="00A07F29">
              <w:rPr>
                <w:rFonts w:ascii="Times New Roman" w:hAnsi="Times New Roman" w:cs="Times New Roman"/>
                <w:bCs/>
                <w:iCs/>
                <w:sz w:val="20"/>
                <w:szCs w:val="20"/>
              </w:rPr>
              <w:t>Butišķi</w:t>
            </w:r>
            <w:proofErr w:type="spellEnd"/>
            <w:r w:rsidRPr="00A07F29">
              <w:rPr>
                <w:rFonts w:ascii="Times New Roman" w:hAnsi="Times New Roman" w:cs="Times New Roman"/>
                <w:bCs/>
                <w:iCs/>
                <w:sz w:val="20"/>
                <w:szCs w:val="20"/>
              </w:rPr>
              <w:t xml:space="preserve"> </w:t>
            </w:r>
            <w:proofErr w:type="spellStart"/>
            <w:r w:rsidRPr="00A07F29">
              <w:rPr>
                <w:rFonts w:ascii="Times New Roman" w:hAnsi="Times New Roman" w:cs="Times New Roman"/>
                <w:bCs/>
                <w:iCs/>
                <w:sz w:val="20"/>
                <w:szCs w:val="20"/>
              </w:rPr>
              <w:t>Ceļuprojekts</w:t>
            </w:r>
            <w:proofErr w:type="spellEnd"/>
            <w:r w:rsidRPr="00A07F29">
              <w:rPr>
                <w:rFonts w:ascii="Times New Roman" w:hAnsi="Times New Roman" w:cs="Times New Roman"/>
                <w:bCs/>
                <w:iCs/>
                <w:sz w:val="20"/>
                <w:szCs w:val="20"/>
              </w:rPr>
              <w:t>”</w:t>
            </w:r>
          </w:p>
        </w:tc>
        <w:tc>
          <w:tcPr>
            <w:tcW w:w="1843" w:type="dxa"/>
          </w:tcPr>
          <w:p w14:paraId="7B25FFFA" w14:textId="77777777"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SIA “MARK INVEST LATVIA”</w:t>
            </w:r>
          </w:p>
        </w:tc>
        <w:tc>
          <w:tcPr>
            <w:tcW w:w="1275" w:type="dxa"/>
          </w:tcPr>
          <w:p w14:paraId="7BDA202A" w14:textId="77777777"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Zaudējis spēku, firma neeksistē</w:t>
            </w:r>
          </w:p>
        </w:tc>
        <w:tc>
          <w:tcPr>
            <w:tcW w:w="1701" w:type="dxa"/>
          </w:tcPr>
          <w:p w14:paraId="7A10DF52" w14:textId="77777777"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4474 007 0347</w:t>
            </w:r>
          </w:p>
        </w:tc>
        <w:tc>
          <w:tcPr>
            <w:tcW w:w="851" w:type="dxa"/>
          </w:tcPr>
          <w:p w14:paraId="74543490" w14:textId="77777777"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6,78</w:t>
            </w:r>
          </w:p>
        </w:tc>
        <w:tc>
          <w:tcPr>
            <w:tcW w:w="1984" w:type="dxa"/>
          </w:tcPr>
          <w:p w14:paraId="5D71682E" w14:textId="77777777"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180,6 smilts - grants 235,8 smilts</w:t>
            </w:r>
          </w:p>
        </w:tc>
        <w:tc>
          <w:tcPr>
            <w:tcW w:w="1437" w:type="dxa"/>
          </w:tcPr>
          <w:p w14:paraId="62B68DE4" w14:textId="77777777"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Pašvaldības zeme</w:t>
            </w:r>
          </w:p>
        </w:tc>
      </w:tr>
      <w:tr w:rsidR="004126AE" w:rsidRPr="00A07F29" w14:paraId="3A5DD39A" w14:textId="77777777" w:rsidTr="004126AE">
        <w:trPr>
          <w:jc w:val="center"/>
        </w:trPr>
        <w:tc>
          <w:tcPr>
            <w:tcW w:w="1838" w:type="dxa"/>
          </w:tcPr>
          <w:p w14:paraId="73A1D3DD" w14:textId="4F48A95D"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 xml:space="preserve">Kaplavas pagasts, Krāslavas </w:t>
            </w:r>
            <w:r w:rsidR="004126AE" w:rsidRPr="00A07F29">
              <w:rPr>
                <w:rFonts w:ascii="Times New Roman" w:hAnsi="Times New Roman" w:cs="Times New Roman"/>
                <w:bCs/>
                <w:iCs/>
                <w:sz w:val="20"/>
                <w:szCs w:val="20"/>
              </w:rPr>
              <w:t>nov.</w:t>
            </w:r>
          </w:p>
        </w:tc>
        <w:tc>
          <w:tcPr>
            <w:tcW w:w="3544" w:type="dxa"/>
          </w:tcPr>
          <w:p w14:paraId="2249B83A" w14:textId="77777777"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Smilts-grants un smilts atradne “</w:t>
            </w:r>
            <w:proofErr w:type="spellStart"/>
            <w:r w:rsidRPr="00A07F29">
              <w:rPr>
                <w:rFonts w:ascii="Times New Roman" w:hAnsi="Times New Roman" w:cs="Times New Roman"/>
                <w:bCs/>
                <w:iCs/>
                <w:sz w:val="20"/>
                <w:szCs w:val="20"/>
              </w:rPr>
              <w:t>Grantskalnes</w:t>
            </w:r>
            <w:proofErr w:type="spellEnd"/>
            <w:r w:rsidRPr="00A07F29">
              <w:rPr>
                <w:rFonts w:ascii="Times New Roman" w:hAnsi="Times New Roman" w:cs="Times New Roman"/>
                <w:bCs/>
                <w:iCs/>
                <w:sz w:val="20"/>
                <w:szCs w:val="20"/>
              </w:rPr>
              <w:t>”</w:t>
            </w:r>
          </w:p>
        </w:tc>
        <w:tc>
          <w:tcPr>
            <w:tcW w:w="1843" w:type="dxa"/>
          </w:tcPr>
          <w:p w14:paraId="012D5520" w14:textId="77777777"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SIA HERFORMERS</w:t>
            </w:r>
          </w:p>
        </w:tc>
        <w:tc>
          <w:tcPr>
            <w:tcW w:w="1275" w:type="dxa"/>
          </w:tcPr>
          <w:p w14:paraId="43276E1D" w14:textId="77777777"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25.10.2021.</w:t>
            </w:r>
          </w:p>
        </w:tc>
        <w:tc>
          <w:tcPr>
            <w:tcW w:w="1701" w:type="dxa"/>
          </w:tcPr>
          <w:p w14:paraId="5AB81EEF" w14:textId="77777777"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6070 004 0210</w:t>
            </w:r>
          </w:p>
        </w:tc>
        <w:tc>
          <w:tcPr>
            <w:tcW w:w="851" w:type="dxa"/>
          </w:tcPr>
          <w:p w14:paraId="6487984E" w14:textId="77777777"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2,82</w:t>
            </w:r>
          </w:p>
        </w:tc>
        <w:tc>
          <w:tcPr>
            <w:tcW w:w="1984" w:type="dxa"/>
          </w:tcPr>
          <w:p w14:paraId="40EACE3D" w14:textId="77777777"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87,60 smilts - grants 248,80 smilts</w:t>
            </w:r>
          </w:p>
        </w:tc>
        <w:tc>
          <w:tcPr>
            <w:tcW w:w="1437" w:type="dxa"/>
          </w:tcPr>
          <w:p w14:paraId="0AF6D534" w14:textId="77777777" w:rsidR="0085554F" w:rsidRPr="00A07F29" w:rsidRDefault="0085554F" w:rsidP="007C0EF2">
            <w:pPr>
              <w:rPr>
                <w:rFonts w:ascii="Times New Roman" w:hAnsi="Times New Roman" w:cs="Times New Roman"/>
                <w:bCs/>
                <w:iCs/>
                <w:sz w:val="20"/>
                <w:szCs w:val="20"/>
              </w:rPr>
            </w:pPr>
          </w:p>
        </w:tc>
      </w:tr>
      <w:tr w:rsidR="004126AE" w:rsidRPr="00A07F29" w14:paraId="7A51CEEE" w14:textId="77777777" w:rsidTr="004126AE">
        <w:trPr>
          <w:jc w:val="center"/>
        </w:trPr>
        <w:tc>
          <w:tcPr>
            <w:tcW w:w="1838" w:type="dxa"/>
          </w:tcPr>
          <w:p w14:paraId="3C8B9F20" w14:textId="6B2C7436"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 xml:space="preserve">Kalniešu pagasts, Krāslavas </w:t>
            </w:r>
            <w:r w:rsidR="004126AE" w:rsidRPr="00A07F29">
              <w:rPr>
                <w:rFonts w:ascii="Times New Roman" w:hAnsi="Times New Roman" w:cs="Times New Roman"/>
                <w:bCs/>
                <w:iCs/>
                <w:sz w:val="20"/>
                <w:szCs w:val="20"/>
              </w:rPr>
              <w:t>nov.</w:t>
            </w:r>
          </w:p>
        </w:tc>
        <w:tc>
          <w:tcPr>
            <w:tcW w:w="3544" w:type="dxa"/>
          </w:tcPr>
          <w:p w14:paraId="536462D8" w14:textId="77777777"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Smilts atradne “</w:t>
            </w:r>
            <w:proofErr w:type="spellStart"/>
            <w:r w:rsidRPr="00A07F29">
              <w:rPr>
                <w:rFonts w:ascii="Times New Roman" w:hAnsi="Times New Roman" w:cs="Times New Roman"/>
                <w:bCs/>
                <w:iCs/>
                <w:sz w:val="20"/>
                <w:szCs w:val="20"/>
              </w:rPr>
              <w:t>Baltika</w:t>
            </w:r>
            <w:proofErr w:type="spellEnd"/>
            <w:r w:rsidRPr="00A07F29">
              <w:rPr>
                <w:rFonts w:ascii="Times New Roman" w:hAnsi="Times New Roman" w:cs="Times New Roman"/>
                <w:bCs/>
                <w:iCs/>
                <w:sz w:val="20"/>
                <w:szCs w:val="20"/>
              </w:rPr>
              <w:t>”</w:t>
            </w:r>
          </w:p>
        </w:tc>
        <w:tc>
          <w:tcPr>
            <w:tcW w:w="1843" w:type="dxa"/>
          </w:tcPr>
          <w:p w14:paraId="4D30D89A" w14:textId="45345055" w:rsidR="0085554F" w:rsidRPr="00A07F29" w:rsidRDefault="007C0EF2" w:rsidP="007C0EF2">
            <w:pPr>
              <w:rPr>
                <w:rFonts w:ascii="Times New Roman" w:hAnsi="Times New Roman" w:cs="Times New Roman"/>
                <w:bCs/>
                <w:iCs/>
                <w:sz w:val="20"/>
                <w:szCs w:val="20"/>
              </w:rPr>
            </w:pPr>
            <w:r w:rsidRPr="00A07F29">
              <w:rPr>
                <w:rFonts w:ascii="Times New Roman" w:hAnsi="Times New Roman" w:cs="Times New Roman"/>
                <w:bCs/>
                <w:iCs/>
                <w:sz w:val="20"/>
                <w:szCs w:val="20"/>
              </w:rPr>
              <w:t>VAS</w:t>
            </w:r>
            <w:r w:rsidR="0085554F" w:rsidRPr="00A07F29">
              <w:rPr>
                <w:rFonts w:ascii="Times New Roman" w:hAnsi="Times New Roman" w:cs="Times New Roman"/>
                <w:bCs/>
                <w:iCs/>
                <w:sz w:val="20"/>
                <w:szCs w:val="20"/>
              </w:rPr>
              <w:t xml:space="preserve"> “Latvijas autoceļu uzturētājs”</w:t>
            </w:r>
          </w:p>
        </w:tc>
        <w:tc>
          <w:tcPr>
            <w:tcW w:w="1275" w:type="dxa"/>
          </w:tcPr>
          <w:p w14:paraId="65F26781" w14:textId="77777777"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24.03.2021.</w:t>
            </w:r>
          </w:p>
        </w:tc>
        <w:tc>
          <w:tcPr>
            <w:tcW w:w="1701" w:type="dxa"/>
          </w:tcPr>
          <w:p w14:paraId="1F79BEB8" w14:textId="77777777"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6068 006 2002</w:t>
            </w:r>
          </w:p>
        </w:tc>
        <w:tc>
          <w:tcPr>
            <w:tcW w:w="851" w:type="dxa"/>
          </w:tcPr>
          <w:p w14:paraId="1C96602E" w14:textId="77777777"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3,12</w:t>
            </w:r>
          </w:p>
        </w:tc>
        <w:tc>
          <w:tcPr>
            <w:tcW w:w="1984" w:type="dxa"/>
          </w:tcPr>
          <w:p w14:paraId="4FF47530" w14:textId="77777777"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81,76 smilts</w:t>
            </w:r>
          </w:p>
        </w:tc>
        <w:tc>
          <w:tcPr>
            <w:tcW w:w="1437" w:type="dxa"/>
          </w:tcPr>
          <w:p w14:paraId="7040A048" w14:textId="77777777" w:rsidR="0085554F" w:rsidRPr="00A07F29" w:rsidRDefault="0085554F" w:rsidP="007C0EF2">
            <w:pPr>
              <w:rPr>
                <w:rFonts w:ascii="Times New Roman" w:hAnsi="Times New Roman" w:cs="Times New Roman"/>
                <w:bCs/>
                <w:iCs/>
                <w:sz w:val="20"/>
                <w:szCs w:val="20"/>
              </w:rPr>
            </w:pPr>
          </w:p>
        </w:tc>
      </w:tr>
      <w:tr w:rsidR="004126AE" w:rsidRPr="00A07F29" w14:paraId="6BAD0A35" w14:textId="77777777" w:rsidTr="004126AE">
        <w:trPr>
          <w:jc w:val="center"/>
        </w:trPr>
        <w:tc>
          <w:tcPr>
            <w:tcW w:w="1838" w:type="dxa"/>
          </w:tcPr>
          <w:p w14:paraId="2F7C8C81" w14:textId="5AD41D71"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 xml:space="preserve">Kaplavas pagasts, Krāslavas </w:t>
            </w:r>
            <w:r w:rsidR="004126AE" w:rsidRPr="00A07F29">
              <w:rPr>
                <w:rFonts w:ascii="Times New Roman" w:hAnsi="Times New Roman" w:cs="Times New Roman"/>
                <w:bCs/>
                <w:iCs/>
                <w:sz w:val="20"/>
                <w:szCs w:val="20"/>
              </w:rPr>
              <w:t>nov.</w:t>
            </w:r>
          </w:p>
        </w:tc>
        <w:tc>
          <w:tcPr>
            <w:tcW w:w="3544" w:type="dxa"/>
          </w:tcPr>
          <w:p w14:paraId="5826F712" w14:textId="77777777"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Smilts-grants un smilts atradne “Vientuļnieki”</w:t>
            </w:r>
          </w:p>
        </w:tc>
        <w:tc>
          <w:tcPr>
            <w:tcW w:w="1843" w:type="dxa"/>
          </w:tcPr>
          <w:p w14:paraId="69E14EF2" w14:textId="77777777"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 xml:space="preserve">SIA </w:t>
            </w:r>
            <w:proofErr w:type="spellStart"/>
            <w:r w:rsidRPr="00A07F29">
              <w:rPr>
                <w:rFonts w:ascii="Times New Roman" w:hAnsi="Times New Roman" w:cs="Times New Roman"/>
                <w:bCs/>
                <w:iCs/>
                <w:sz w:val="20"/>
                <w:szCs w:val="20"/>
              </w:rPr>
              <w:t>Meliors</w:t>
            </w:r>
            <w:proofErr w:type="spellEnd"/>
            <w:r w:rsidRPr="00A07F29">
              <w:rPr>
                <w:rFonts w:ascii="Times New Roman" w:hAnsi="Times New Roman" w:cs="Times New Roman"/>
                <w:bCs/>
                <w:iCs/>
                <w:sz w:val="20"/>
                <w:szCs w:val="20"/>
              </w:rPr>
              <w:t xml:space="preserve"> Krauja</w:t>
            </w:r>
          </w:p>
        </w:tc>
        <w:tc>
          <w:tcPr>
            <w:tcW w:w="1275" w:type="dxa"/>
          </w:tcPr>
          <w:p w14:paraId="039E78DA" w14:textId="77777777"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31.12.2040.</w:t>
            </w:r>
          </w:p>
        </w:tc>
        <w:tc>
          <w:tcPr>
            <w:tcW w:w="1701" w:type="dxa"/>
          </w:tcPr>
          <w:p w14:paraId="718EFBFD" w14:textId="77777777"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6070 003 0235</w:t>
            </w:r>
          </w:p>
        </w:tc>
        <w:tc>
          <w:tcPr>
            <w:tcW w:w="851" w:type="dxa"/>
          </w:tcPr>
          <w:p w14:paraId="15660CFA" w14:textId="77777777"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4,824</w:t>
            </w:r>
          </w:p>
        </w:tc>
        <w:tc>
          <w:tcPr>
            <w:tcW w:w="1984" w:type="dxa"/>
          </w:tcPr>
          <w:p w14:paraId="75E469D7" w14:textId="77777777" w:rsidR="007C0EF2"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 xml:space="preserve">95,79 smilts </w:t>
            </w:r>
          </w:p>
          <w:p w14:paraId="070C943D" w14:textId="34CEA032"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275,93 smilts - grants</w:t>
            </w:r>
          </w:p>
        </w:tc>
        <w:tc>
          <w:tcPr>
            <w:tcW w:w="1437" w:type="dxa"/>
          </w:tcPr>
          <w:p w14:paraId="089F8B3B" w14:textId="77777777" w:rsidR="0085554F" w:rsidRPr="00A07F29" w:rsidRDefault="0085554F" w:rsidP="007C0EF2">
            <w:pPr>
              <w:rPr>
                <w:rFonts w:ascii="Times New Roman" w:hAnsi="Times New Roman" w:cs="Times New Roman"/>
                <w:bCs/>
                <w:iCs/>
                <w:sz w:val="20"/>
                <w:szCs w:val="20"/>
              </w:rPr>
            </w:pPr>
          </w:p>
        </w:tc>
      </w:tr>
      <w:tr w:rsidR="004126AE" w:rsidRPr="00A07F29" w14:paraId="61D00F31" w14:textId="77777777" w:rsidTr="004126AE">
        <w:trPr>
          <w:jc w:val="center"/>
        </w:trPr>
        <w:tc>
          <w:tcPr>
            <w:tcW w:w="1838" w:type="dxa"/>
          </w:tcPr>
          <w:p w14:paraId="686D80CC" w14:textId="121C511E"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 xml:space="preserve">Piedrujas pagasts, Krāslavas </w:t>
            </w:r>
            <w:r w:rsidR="004126AE" w:rsidRPr="00A07F29">
              <w:rPr>
                <w:rFonts w:ascii="Times New Roman" w:hAnsi="Times New Roman" w:cs="Times New Roman"/>
                <w:bCs/>
                <w:iCs/>
                <w:sz w:val="20"/>
                <w:szCs w:val="20"/>
              </w:rPr>
              <w:t>nov.</w:t>
            </w:r>
          </w:p>
        </w:tc>
        <w:tc>
          <w:tcPr>
            <w:tcW w:w="3544" w:type="dxa"/>
          </w:tcPr>
          <w:p w14:paraId="4BF30187" w14:textId="77777777"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Smilts-grants un smilts atradne “Paegles”</w:t>
            </w:r>
          </w:p>
        </w:tc>
        <w:tc>
          <w:tcPr>
            <w:tcW w:w="1843" w:type="dxa"/>
          </w:tcPr>
          <w:p w14:paraId="448E75B4" w14:textId="77777777"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 xml:space="preserve">SIA “LATGEO </w:t>
            </w:r>
            <w:proofErr w:type="spellStart"/>
            <w:r w:rsidRPr="00A07F29">
              <w:rPr>
                <w:rFonts w:ascii="Times New Roman" w:hAnsi="Times New Roman" w:cs="Times New Roman"/>
                <w:bCs/>
                <w:iCs/>
                <w:sz w:val="20"/>
                <w:szCs w:val="20"/>
              </w:rPr>
              <w:t>invest</w:t>
            </w:r>
            <w:proofErr w:type="spellEnd"/>
            <w:r w:rsidRPr="00A07F29">
              <w:rPr>
                <w:rFonts w:ascii="Times New Roman" w:hAnsi="Times New Roman" w:cs="Times New Roman"/>
                <w:bCs/>
                <w:iCs/>
                <w:sz w:val="20"/>
                <w:szCs w:val="20"/>
              </w:rPr>
              <w:t>”</w:t>
            </w:r>
          </w:p>
        </w:tc>
        <w:tc>
          <w:tcPr>
            <w:tcW w:w="1275" w:type="dxa"/>
          </w:tcPr>
          <w:p w14:paraId="2846562E" w14:textId="77777777"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26.03.2019.</w:t>
            </w:r>
          </w:p>
        </w:tc>
        <w:tc>
          <w:tcPr>
            <w:tcW w:w="1701" w:type="dxa"/>
          </w:tcPr>
          <w:p w14:paraId="2D64E9BF" w14:textId="77777777"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6084 001 0232</w:t>
            </w:r>
          </w:p>
        </w:tc>
        <w:tc>
          <w:tcPr>
            <w:tcW w:w="851" w:type="dxa"/>
          </w:tcPr>
          <w:p w14:paraId="1367FF5C" w14:textId="77777777"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1,53</w:t>
            </w:r>
          </w:p>
        </w:tc>
        <w:tc>
          <w:tcPr>
            <w:tcW w:w="1984" w:type="dxa"/>
          </w:tcPr>
          <w:p w14:paraId="17BC1E07" w14:textId="77777777"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15,7 smilts - grants 213,1 smilts</w:t>
            </w:r>
          </w:p>
        </w:tc>
        <w:tc>
          <w:tcPr>
            <w:tcW w:w="1437" w:type="dxa"/>
          </w:tcPr>
          <w:p w14:paraId="26D8AF76" w14:textId="77777777" w:rsidR="0085554F" w:rsidRPr="00A07F29" w:rsidRDefault="0085554F" w:rsidP="007C0EF2">
            <w:pPr>
              <w:rPr>
                <w:rFonts w:ascii="Times New Roman" w:hAnsi="Times New Roman" w:cs="Times New Roman"/>
                <w:bCs/>
                <w:iCs/>
                <w:sz w:val="20"/>
                <w:szCs w:val="20"/>
              </w:rPr>
            </w:pPr>
          </w:p>
        </w:tc>
      </w:tr>
      <w:tr w:rsidR="004126AE" w:rsidRPr="00A07F29" w14:paraId="5B901797" w14:textId="77777777" w:rsidTr="004126AE">
        <w:trPr>
          <w:jc w:val="center"/>
        </w:trPr>
        <w:tc>
          <w:tcPr>
            <w:tcW w:w="1838" w:type="dxa"/>
          </w:tcPr>
          <w:p w14:paraId="05E3B607" w14:textId="4C63676E"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 xml:space="preserve">Ūdrīšu pagasts, Krāslavas </w:t>
            </w:r>
            <w:r w:rsidR="004126AE" w:rsidRPr="00A07F29">
              <w:rPr>
                <w:rFonts w:ascii="Times New Roman" w:hAnsi="Times New Roman" w:cs="Times New Roman"/>
                <w:bCs/>
                <w:iCs/>
                <w:sz w:val="20"/>
                <w:szCs w:val="20"/>
              </w:rPr>
              <w:t>nov.</w:t>
            </w:r>
          </w:p>
        </w:tc>
        <w:tc>
          <w:tcPr>
            <w:tcW w:w="3544" w:type="dxa"/>
          </w:tcPr>
          <w:p w14:paraId="0BCADB40" w14:textId="77777777"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Smilts-grants un smilts atradne “</w:t>
            </w:r>
            <w:proofErr w:type="spellStart"/>
            <w:r w:rsidRPr="00A07F29">
              <w:rPr>
                <w:rFonts w:ascii="Times New Roman" w:hAnsi="Times New Roman" w:cs="Times New Roman"/>
                <w:bCs/>
                <w:iCs/>
                <w:sz w:val="20"/>
                <w:szCs w:val="20"/>
              </w:rPr>
              <w:t>Rakuti</w:t>
            </w:r>
            <w:proofErr w:type="spellEnd"/>
            <w:r w:rsidRPr="00A07F29">
              <w:rPr>
                <w:rFonts w:ascii="Times New Roman" w:hAnsi="Times New Roman" w:cs="Times New Roman"/>
                <w:bCs/>
                <w:iCs/>
                <w:sz w:val="20"/>
                <w:szCs w:val="20"/>
              </w:rPr>
              <w:t>”</w:t>
            </w:r>
          </w:p>
        </w:tc>
        <w:tc>
          <w:tcPr>
            <w:tcW w:w="1843" w:type="dxa"/>
          </w:tcPr>
          <w:p w14:paraId="0049DC47" w14:textId="77777777"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SIA “Krāslavas ūdens”</w:t>
            </w:r>
          </w:p>
        </w:tc>
        <w:tc>
          <w:tcPr>
            <w:tcW w:w="1275" w:type="dxa"/>
          </w:tcPr>
          <w:p w14:paraId="2C9441D9" w14:textId="77777777"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31.01.2016.</w:t>
            </w:r>
          </w:p>
        </w:tc>
        <w:tc>
          <w:tcPr>
            <w:tcW w:w="1701" w:type="dxa"/>
          </w:tcPr>
          <w:p w14:paraId="4EAEE232" w14:textId="77777777"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6096 010 0178</w:t>
            </w:r>
          </w:p>
        </w:tc>
        <w:tc>
          <w:tcPr>
            <w:tcW w:w="851" w:type="dxa"/>
          </w:tcPr>
          <w:p w14:paraId="26288184" w14:textId="77777777"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4,24</w:t>
            </w:r>
          </w:p>
        </w:tc>
        <w:tc>
          <w:tcPr>
            <w:tcW w:w="1984" w:type="dxa"/>
          </w:tcPr>
          <w:p w14:paraId="7AFD6743" w14:textId="77777777"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61,4 smilts - grants 350,3 smilts</w:t>
            </w:r>
          </w:p>
        </w:tc>
        <w:tc>
          <w:tcPr>
            <w:tcW w:w="1437" w:type="dxa"/>
          </w:tcPr>
          <w:p w14:paraId="666F6C06" w14:textId="77777777" w:rsidR="0085554F" w:rsidRPr="00A07F29" w:rsidRDefault="0085554F" w:rsidP="007C0EF2">
            <w:pPr>
              <w:rPr>
                <w:rFonts w:ascii="Times New Roman" w:hAnsi="Times New Roman" w:cs="Times New Roman"/>
                <w:bCs/>
                <w:iCs/>
                <w:sz w:val="20"/>
                <w:szCs w:val="20"/>
              </w:rPr>
            </w:pPr>
          </w:p>
        </w:tc>
      </w:tr>
      <w:tr w:rsidR="004126AE" w:rsidRPr="00A07F29" w14:paraId="6571A23C" w14:textId="77777777" w:rsidTr="004126AE">
        <w:trPr>
          <w:jc w:val="center"/>
        </w:trPr>
        <w:tc>
          <w:tcPr>
            <w:tcW w:w="1838" w:type="dxa"/>
          </w:tcPr>
          <w:p w14:paraId="41E5EDE6" w14:textId="1FF14DE1"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 xml:space="preserve">Naujenes pagasts, </w:t>
            </w:r>
            <w:r w:rsidR="00DB442E" w:rsidRPr="00A07F29">
              <w:rPr>
                <w:rFonts w:ascii="Times New Roman" w:hAnsi="Times New Roman" w:cs="Times New Roman"/>
                <w:bCs/>
                <w:iCs/>
                <w:sz w:val="20"/>
                <w:szCs w:val="20"/>
              </w:rPr>
              <w:t>Augšdaugavas</w:t>
            </w:r>
            <w:r w:rsidRPr="00A07F29">
              <w:rPr>
                <w:rFonts w:ascii="Times New Roman" w:hAnsi="Times New Roman" w:cs="Times New Roman"/>
                <w:bCs/>
                <w:iCs/>
                <w:sz w:val="20"/>
                <w:szCs w:val="20"/>
              </w:rPr>
              <w:t xml:space="preserve"> </w:t>
            </w:r>
            <w:r w:rsidR="004126AE" w:rsidRPr="00A07F29">
              <w:rPr>
                <w:rFonts w:ascii="Times New Roman" w:hAnsi="Times New Roman" w:cs="Times New Roman"/>
                <w:bCs/>
                <w:iCs/>
                <w:sz w:val="20"/>
                <w:szCs w:val="20"/>
              </w:rPr>
              <w:t>nov.</w:t>
            </w:r>
          </w:p>
        </w:tc>
        <w:tc>
          <w:tcPr>
            <w:tcW w:w="3544" w:type="dxa"/>
          </w:tcPr>
          <w:p w14:paraId="2CE45591" w14:textId="77777777"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Smilts-grants un smilts atradne “</w:t>
            </w:r>
            <w:proofErr w:type="spellStart"/>
            <w:r w:rsidRPr="00A07F29">
              <w:rPr>
                <w:rFonts w:ascii="Times New Roman" w:hAnsi="Times New Roman" w:cs="Times New Roman"/>
                <w:bCs/>
                <w:iCs/>
                <w:sz w:val="20"/>
                <w:szCs w:val="20"/>
              </w:rPr>
              <w:t>Butišķi-Ceļuprojekts</w:t>
            </w:r>
            <w:proofErr w:type="spellEnd"/>
            <w:r w:rsidRPr="00A07F29">
              <w:rPr>
                <w:rFonts w:ascii="Times New Roman" w:hAnsi="Times New Roman" w:cs="Times New Roman"/>
                <w:bCs/>
                <w:iCs/>
                <w:sz w:val="20"/>
                <w:szCs w:val="20"/>
              </w:rPr>
              <w:t xml:space="preserve"> iecirknis “Nitiši-3.3a”</w:t>
            </w:r>
          </w:p>
        </w:tc>
        <w:tc>
          <w:tcPr>
            <w:tcW w:w="1843" w:type="dxa"/>
          </w:tcPr>
          <w:p w14:paraId="4EB35A51" w14:textId="77777777"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SIA “</w:t>
            </w:r>
            <w:proofErr w:type="spellStart"/>
            <w:r w:rsidRPr="00A07F29">
              <w:rPr>
                <w:rFonts w:ascii="Times New Roman" w:hAnsi="Times New Roman" w:cs="Times New Roman"/>
                <w:bCs/>
                <w:iCs/>
                <w:sz w:val="20"/>
                <w:szCs w:val="20"/>
              </w:rPr>
              <w:t>Cascade</w:t>
            </w:r>
            <w:proofErr w:type="spellEnd"/>
            <w:r w:rsidRPr="00A07F29">
              <w:rPr>
                <w:rFonts w:ascii="Times New Roman" w:hAnsi="Times New Roman" w:cs="Times New Roman"/>
                <w:bCs/>
                <w:iCs/>
                <w:sz w:val="20"/>
                <w:szCs w:val="20"/>
              </w:rPr>
              <w:t xml:space="preserve"> </w:t>
            </w:r>
            <w:proofErr w:type="spellStart"/>
            <w:r w:rsidRPr="00A07F29">
              <w:rPr>
                <w:rFonts w:ascii="Times New Roman" w:hAnsi="Times New Roman" w:cs="Times New Roman"/>
                <w:bCs/>
                <w:iCs/>
                <w:sz w:val="20"/>
                <w:szCs w:val="20"/>
              </w:rPr>
              <w:t>mining</w:t>
            </w:r>
            <w:proofErr w:type="spellEnd"/>
            <w:r w:rsidRPr="00A07F29">
              <w:rPr>
                <w:rFonts w:ascii="Times New Roman" w:hAnsi="Times New Roman" w:cs="Times New Roman"/>
                <w:bCs/>
                <w:iCs/>
                <w:sz w:val="20"/>
                <w:szCs w:val="20"/>
              </w:rPr>
              <w:t>”</w:t>
            </w:r>
          </w:p>
        </w:tc>
        <w:tc>
          <w:tcPr>
            <w:tcW w:w="1275" w:type="dxa"/>
          </w:tcPr>
          <w:p w14:paraId="519CA992" w14:textId="77777777"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6.03.2041.</w:t>
            </w:r>
          </w:p>
        </w:tc>
        <w:tc>
          <w:tcPr>
            <w:tcW w:w="1701" w:type="dxa"/>
          </w:tcPr>
          <w:p w14:paraId="02221F35" w14:textId="77777777"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4474 007 0012</w:t>
            </w:r>
          </w:p>
        </w:tc>
        <w:tc>
          <w:tcPr>
            <w:tcW w:w="851" w:type="dxa"/>
          </w:tcPr>
          <w:p w14:paraId="7213ED92" w14:textId="77777777"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5,240</w:t>
            </w:r>
          </w:p>
        </w:tc>
        <w:tc>
          <w:tcPr>
            <w:tcW w:w="1984" w:type="dxa"/>
          </w:tcPr>
          <w:p w14:paraId="018DF886" w14:textId="77777777" w:rsidR="0085554F" w:rsidRPr="00A07F29" w:rsidRDefault="0085554F" w:rsidP="007C0EF2">
            <w:pPr>
              <w:rPr>
                <w:rFonts w:ascii="Times New Roman" w:hAnsi="Times New Roman" w:cs="Times New Roman"/>
                <w:bCs/>
                <w:iCs/>
                <w:sz w:val="20"/>
                <w:szCs w:val="20"/>
              </w:rPr>
            </w:pPr>
            <w:r w:rsidRPr="00A07F29">
              <w:rPr>
                <w:rFonts w:ascii="Times New Roman" w:hAnsi="Times New Roman" w:cs="Times New Roman"/>
                <w:bCs/>
                <w:iCs/>
                <w:sz w:val="20"/>
                <w:szCs w:val="20"/>
              </w:rPr>
              <w:t>91,89 smilts - grants 93,11 smilts</w:t>
            </w:r>
          </w:p>
        </w:tc>
        <w:tc>
          <w:tcPr>
            <w:tcW w:w="1437" w:type="dxa"/>
          </w:tcPr>
          <w:p w14:paraId="3E83E840" w14:textId="77777777" w:rsidR="0085554F" w:rsidRPr="00A07F29" w:rsidRDefault="0085554F" w:rsidP="007C0EF2">
            <w:pPr>
              <w:rPr>
                <w:rFonts w:ascii="Times New Roman" w:hAnsi="Times New Roman" w:cs="Times New Roman"/>
                <w:bCs/>
                <w:iCs/>
                <w:sz w:val="20"/>
                <w:szCs w:val="20"/>
              </w:rPr>
            </w:pPr>
          </w:p>
        </w:tc>
      </w:tr>
    </w:tbl>
    <w:p w14:paraId="76A32FF3" w14:textId="4A8B80B8" w:rsidR="007C0EF2" w:rsidRPr="00A07F29" w:rsidRDefault="0E6B778D" w:rsidP="0E6B778D">
      <w:pPr>
        <w:spacing w:before="120" w:after="0" w:line="240" w:lineRule="auto"/>
        <w:rPr>
          <w:rFonts w:ascii="Times New Roman" w:hAnsi="Times New Roman" w:cs="Times New Roman"/>
          <w:lang w:eastAsia="ja-JP"/>
        </w:rPr>
      </w:pPr>
      <w:r w:rsidRPr="00A07F29">
        <w:rPr>
          <w:rFonts w:ascii="Times New Roman" w:eastAsia="Times New Roman" w:hAnsi="Times New Roman" w:cs="Times New Roman"/>
        </w:rPr>
        <w:t>Saskaņā ar LVĢMC karšu pārlūkā pieejamo informāciju AAA “Augšdaugava” atrodas arī derīgo izrakteņu atradņu reģistrā iekļautā teritorija “Lūči”, kurā veikts krājumu aprēķins</w:t>
      </w:r>
      <w:r w:rsidRPr="00A07F29">
        <w:rPr>
          <w:rFonts w:ascii="Times New Roman" w:hAnsi="Times New Roman" w:cs="Times New Roman"/>
          <w:lang w:eastAsia="ja-JP"/>
        </w:rPr>
        <w:t>.</w:t>
      </w:r>
    </w:p>
    <w:p w14:paraId="75E40F8F" w14:textId="77777777" w:rsidR="007C0EF2" w:rsidRPr="00A07F29" w:rsidRDefault="007C0EF2" w:rsidP="007C0EF2">
      <w:pPr>
        <w:spacing w:after="0" w:line="240" w:lineRule="auto"/>
        <w:rPr>
          <w:rFonts w:ascii="Times New Roman" w:hAnsi="Times New Roman" w:cs="Times New Roman"/>
          <w:sz w:val="24"/>
          <w:szCs w:val="24"/>
          <w:lang w:eastAsia="ja-JP"/>
        </w:rPr>
        <w:sectPr w:rsidR="007C0EF2" w:rsidRPr="00A07F29" w:rsidSect="004126AE">
          <w:pgSz w:w="16838" w:h="11906" w:orient="landscape"/>
          <w:pgMar w:top="1418" w:right="1134" w:bottom="993" w:left="1134" w:header="709" w:footer="709" w:gutter="0"/>
          <w:cols w:space="708"/>
          <w:docGrid w:linePitch="360"/>
        </w:sectPr>
      </w:pPr>
    </w:p>
    <w:p w14:paraId="3188B8F6" w14:textId="3E894579" w:rsidR="0E6B778D" w:rsidRPr="00A07F29" w:rsidRDefault="0E6B778D" w:rsidP="0E6B778D">
      <w:pPr>
        <w:spacing w:after="8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lastRenderedPageBreak/>
        <w:t>Ietekmes uz vidi potenciālie riska faktori ir daudzveidīgi, tiem ir lokāla, reģionāla un plašāka ietekme, kas īpaši pastiprinās ekoloģiski jutīgās sugu un biotopu teritorijās, kāda ir arī AAA “Augšdaugava”. Veidojot jaunus karjerus vai neveicot rekultivācijas procesu, ir apzināti un zinātniski pamatoti sekojoši riski:</w:t>
      </w:r>
    </w:p>
    <w:p w14:paraId="4E0313C0" w14:textId="6A29D73B" w:rsidR="0E6B778D" w:rsidRPr="00A07F29" w:rsidRDefault="0E6B778D" w:rsidP="0E6B778D">
      <w:pPr>
        <w:pStyle w:val="ListParagraph"/>
        <w:numPr>
          <w:ilvl w:val="0"/>
          <w:numId w:val="2"/>
        </w:numPr>
        <w:spacing w:after="80" w:line="240" w:lineRule="auto"/>
        <w:rPr>
          <w:rFonts w:asciiTheme="minorHAnsi" w:eastAsiaTheme="minorEastAsia" w:hAnsiTheme="minorHAnsi" w:cstheme="minorBidi"/>
          <w:szCs w:val="24"/>
        </w:rPr>
      </w:pPr>
      <w:r w:rsidRPr="00A07F29">
        <w:rPr>
          <w:rFonts w:eastAsia="Times New Roman" w:cs="Times New Roman"/>
          <w:szCs w:val="24"/>
        </w:rPr>
        <w:t>Gaisa piesārņojums (putekļi – PM</w:t>
      </w:r>
      <w:r w:rsidRPr="00A07F29">
        <w:rPr>
          <w:rFonts w:eastAsia="Times New Roman" w:cs="Times New Roman"/>
          <w:szCs w:val="24"/>
          <w:vertAlign w:val="subscript"/>
        </w:rPr>
        <w:t xml:space="preserve">10, </w:t>
      </w:r>
      <w:r w:rsidRPr="00A07F29">
        <w:rPr>
          <w:rFonts w:eastAsia="Times New Roman" w:cs="Times New Roman"/>
          <w:szCs w:val="24"/>
        </w:rPr>
        <w:t>PM</w:t>
      </w:r>
      <w:r w:rsidRPr="00A07F29">
        <w:rPr>
          <w:rFonts w:eastAsia="Times New Roman" w:cs="Times New Roman"/>
          <w:szCs w:val="24"/>
          <w:vertAlign w:val="subscript"/>
        </w:rPr>
        <w:t>2.5</w:t>
      </w:r>
      <w:r w:rsidRPr="00A07F29">
        <w:rPr>
          <w:rFonts w:eastAsia="Times New Roman" w:cs="Times New Roman"/>
          <w:szCs w:val="24"/>
        </w:rPr>
        <w:t>) – veidojas karjera izstrādes teritorijā, kā arī pa ceļiem, pārvadājot kravas, īpaši iestājoties sausa laika periodiem.</w:t>
      </w:r>
    </w:p>
    <w:p w14:paraId="7D6FDBCD" w14:textId="6F9863F8" w:rsidR="0E6B778D" w:rsidRPr="00A07F29" w:rsidRDefault="0E6B778D" w:rsidP="0E6B778D">
      <w:pPr>
        <w:pStyle w:val="ListParagraph"/>
        <w:numPr>
          <w:ilvl w:val="0"/>
          <w:numId w:val="2"/>
        </w:numPr>
        <w:spacing w:after="80" w:line="240" w:lineRule="auto"/>
        <w:rPr>
          <w:rFonts w:asciiTheme="minorHAnsi" w:eastAsiaTheme="minorEastAsia" w:hAnsiTheme="minorHAnsi" w:cstheme="minorBidi"/>
          <w:szCs w:val="24"/>
        </w:rPr>
      </w:pPr>
      <w:r w:rsidRPr="00A07F29">
        <w:rPr>
          <w:rFonts w:eastAsia="Times New Roman" w:cs="Times New Roman"/>
          <w:szCs w:val="24"/>
        </w:rPr>
        <w:t xml:space="preserve">Troksnis – jebkurā karjera darbības posmā veidojas fona troksnis, kas atkarībā no vēja virziena un stipruma, var vairākkārtīgi pārsniegt karjera robežas. Trokšņa faktors būtiski ietekmē dzīvnieku un putnu uzturēšanos viņiem pieejamos biotopos. </w:t>
      </w:r>
    </w:p>
    <w:p w14:paraId="48E30C4D" w14:textId="0C751AD4" w:rsidR="0E6B778D" w:rsidRPr="00A07F29" w:rsidRDefault="0E6B778D" w:rsidP="0E6B778D">
      <w:pPr>
        <w:pStyle w:val="ListParagraph"/>
        <w:numPr>
          <w:ilvl w:val="0"/>
          <w:numId w:val="2"/>
        </w:numPr>
        <w:spacing w:after="80" w:line="240" w:lineRule="auto"/>
        <w:rPr>
          <w:rFonts w:asciiTheme="minorHAnsi" w:eastAsiaTheme="minorEastAsia" w:hAnsiTheme="minorHAnsi" w:cstheme="minorBidi"/>
          <w:szCs w:val="24"/>
        </w:rPr>
      </w:pPr>
      <w:r w:rsidRPr="00A07F29">
        <w:rPr>
          <w:rFonts w:eastAsia="Times New Roman" w:cs="Times New Roman"/>
          <w:szCs w:val="24"/>
        </w:rPr>
        <w:t>Virszemes ūdeņu piesārņojums – veidojas izrakteņu ieguves laikā, ja tiek veikta ūdens atsūknēšana, materiāla skalošana, kā arī avārijas situācijās; gruntsūdens un grunts piesārņojums avārijas situācijās.</w:t>
      </w:r>
    </w:p>
    <w:p w14:paraId="090BAC0B" w14:textId="0A6D0B77" w:rsidR="0E6B778D" w:rsidRPr="00A07F29" w:rsidRDefault="0E6B778D" w:rsidP="0E6B778D">
      <w:pPr>
        <w:pStyle w:val="ListParagraph"/>
        <w:numPr>
          <w:ilvl w:val="0"/>
          <w:numId w:val="2"/>
        </w:numPr>
        <w:spacing w:after="80" w:line="240" w:lineRule="auto"/>
        <w:rPr>
          <w:rFonts w:asciiTheme="minorHAnsi" w:eastAsiaTheme="minorEastAsia" w:hAnsiTheme="minorHAnsi" w:cstheme="minorBidi"/>
          <w:szCs w:val="24"/>
        </w:rPr>
      </w:pPr>
      <w:r w:rsidRPr="00A07F29">
        <w:rPr>
          <w:rFonts w:eastAsia="Times New Roman" w:cs="Times New Roman"/>
          <w:szCs w:val="24"/>
        </w:rPr>
        <w:t xml:space="preserve">Nezāļu un </w:t>
      </w:r>
      <w:proofErr w:type="spellStart"/>
      <w:r w:rsidRPr="00A07F29">
        <w:rPr>
          <w:rFonts w:eastAsia="Times New Roman" w:cs="Times New Roman"/>
          <w:szCs w:val="24"/>
        </w:rPr>
        <w:t>adventīvo</w:t>
      </w:r>
      <w:proofErr w:type="spellEnd"/>
      <w:r w:rsidRPr="00A07F29">
        <w:rPr>
          <w:rFonts w:eastAsia="Times New Roman" w:cs="Times New Roman"/>
          <w:szCs w:val="24"/>
        </w:rPr>
        <w:t>/</w:t>
      </w:r>
      <w:proofErr w:type="spellStart"/>
      <w:r w:rsidRPr="00A07F29">
        <w:rPr>
          <w:rFonts w:eastAsia="Times New Roman" w:cs="Times New Roman"/>
          <w:szCs w:val="24"/>
        </w:rPr>
        <w:t>invazīvo</w:t>
      </w:r>
      <w:proofErr w:type="spellEnd"/>
      <w:r w:rsidRPr="00A07F29">
        <w:rPr>
          <w:rFonts w:eastAsia="Times New Roman" w:cs="Times New Roman"/>
          <w:szCs w:val="24"/>
        </w:rPr>
        <w:t xml:space="preserve"> augu sugu izplatīšanās – šīs sugas ļoti veiksmīgi aizņem platības, kurās nav vai ir bojāta dabiskā zemsedze. Izpaliekot karjeru ilggadīgai rekultivācijai, kā tas ir </w:t>
      </w:r>
      <w:proofErr w:type="spellStart"/>
      <w:r w:rsidRPr="00A07F29">
        <w:rPr>
          <w:rFonts w:eastAsia="Times New Roman" w:cs="Times New Roman"/>
          <w:szCs w:val="24"/>
        </w:rPr>
        <w:t>Elernes</w:t>
      </w:r>
      <w:proofErr w:type="spellEnd"/>
      <w:r w:rsidRPr="00A07F29">
        <w:rPr>
          <w:rFonts w:eastAsia="Times New Roman" w:cs="Times New Roman"/>
          <w:szCs w:val="24"/>
        </w:rPr>
        <w:t xml:space="preserve"> un </w:t>
      </w:r>
      <w:proofErr w:type="spellStart"/>
      <w:r w:rsidRPr="00A07F29">
        <w:rPr>
          <w:rFonts w:eastAsia="Times New Roman" w:cs="Times New Roman"/>
          <w:szCs w:val="24"/>
        </w:rPr>
        <w:t>Butišķu</w:t>
      </w:r>
      <w:proofErr w:type="spellEnd"/>
      <w:r w:rsidRPr="00A07F29">
        <w:rPr>
          <w:rFonts w:eastAsia="Times New Roman" w:cs="Times New Roman"/>
          <w:szCs w:val="24"/>
        </w:rPr>
        <w:t xml:space="preserve"> lokos, veidojas optimāli apstākļi </w:t>
      </w:r>
      <w:proofErr w:type="spellStart"/>
      <w:r w:rsidRPr="00A07F29">
        <w:rPr>
          <w:rFonts w:eastAsia="Times New Roman" w:cs="Times New Roman"/>
          <w:szCs w:val="24"/>
        </w:rPr>
        <w:t>invazīvu</w:t>
      </w:r>
      <w:proofErr w:type="spellEnd"/>
      <w:r w:rsidRPr="00A07F29">
        <w:rPr>
          <w:rFonts w:eastAsia="Times New Roman" w:cs="Times New Roman"/>
          <w:szCs w:val="24"/>
        </w:rPr>
        <w:t xml:space="preserve"> augu AAA “Augšdaugava” kā </w:t>
      </w:r>
      <w:proofErr w:type="spellStart"/>
      <w:r w:rsidRPr="00A07F29">
        <w:rPr>
          <w:rFonts w:eastAsia="Times New Roman" w:cs="Times New Roman"/>
          <w:i/>
          <w:szCs w:val="24"/>
        </w:rPr>
        <w:t>Natura</w:t>
      </w:r>
      <w:proofErr w:type="spellEnd"/>
      <w:r w:rsidRPr="00A07F29">
        <w:rPr>
          <w:rFonts w:eastAsia="Times New Roman" w:cs="Times New Roman"/>
          <w:i/>
          <w:szCs w:val="24"/>
        </w:rPr>
        <w:t xml:space="preserve"> 2000</w:t>
      </w:r>
      <w:r w:rsidRPr="00A07F29">
        <w:rPr>
          <w:rFonts w:eastAsia="Times New Roman" w:cs="Times New Roman"/>
          <w:szCs w:val="24"/>
        </w:rPr>
        <w:t xml:space="preserve"> teritorijā </w:t>
      </w:r>
      <w:proofErr w:type="spellStart"/>
      <w:r w:rsidRPr="00A07F29">
        <w:rPr>
          <w:rFonts w:eastAsia="Times New Roman" w:cs="Times New Roman"/>
          <w:szCs w:val="24"/>
        </w:rPr>
        <w:t>invazīvo</w:t>
      </w:r>
      <w:proofErr w:type="spellEnd"/>
      <w:r w:rsidRPr="00A07F29">
        <w:rPr>
          <w:rFonts w:eastAsia="Times New Roman" w:cs="Times New Roman"/>
          <w:szCs w:val="24"/>
        </w:rPr>
        <w:t xml:space="preserve"> augu sugu nekontrolēta izplatīšanās ir īpaši jāierobežo un jānovērš.</w:t>
      </w:r>
    </w:p>
    <w:p w14:paraId="2FCBBC38" w14:textId="42635D9D" w:rsidR="0E6B778D" w:rsidRPr="00A07F29" w:rsidRDefault="0E6B778D" w:rsidP="0E6B778D">
      <w:pPr>
        <w:pStyle w:val="ListParagraph"/>
        <w:numPr>
          <w:ilvl w:val="0"/>
          <w:numId w:val="2"/>
        </w:numPr>
        <w:spacing w:after="80" w:line="240" w:lineRule="auto"/>
        <w:rPr>
          <w:rFonts w:asciiTheme="minorHAnsi" w:eastAsiaTheme="minorEastAsia" w:hAnsiTheme="minorHAnsi" w:cstheme="minorBidi"/>
          <w:szCs w:val="24"/>
        </w:rPr>
      </w:pPr>
      <w:r w:rsidRPr="00A07F29">
        <w:rPr>
          <w:rFonts w:eastAsia="Times New Roman" w:cs="Times New Roman"/>
          <w:szCs w:val="24"/>
        </w:rPr>
        <w:t xml:space="preserve">Smilts/grants karjeru izveide Daugavas ielejas </w:t>
      </w:r>
      <w:proofErr w:type="spellStart"/>
      <w:r w:rsidRPr="00A07F29">
        <w:rPr>
          <w:rFonts w:eastAsia="Times New Roman" w:cs="Times New Roman"/>
          <w:szCs w:val="24"/>
        </w:rPr>
        <w:t>terasētajās</w:t>
      </w:r>
      <w:proofErr w:type="spellEnd"/>
      <w:r w:rsidRPr="00A07F29">
        <w:rPr>
          <w:rFonts w:eastAsia="Times New Roman" w:cs="Times New Roman"/>
          <w:szCs w:val="24"/>
        </w:rPr>
        <w:t xml:space="preserve"> nogāzēs vai ielejai pieguļošajai teritorijai pārveido vai iznīcina esošās reljefa formas un to kompleksus, tādejādi tiek degradēti vai neatgriezeniski zaudēti Latvijas senākās ielejas </w:t>
      </w:r>
      <w:proofErr w:type="spellStart"/>
      <w:r w:rsidRPr="00A07F29">
        <w:rPr>
          <w:rFonts w:eastAsia="Times New Roman" w:cs="Times New Roman"/>
          <w:szCs w:val="24"/>
        </w:rPr>
        <w:t>ģeodaudzveidības</w:t>
      </w:r>
      <w:proofErr w:type="spellEnd"/>
      <w:r w:rsidRPr="00A07F29">
        <w:rPr>
          <w:rFonts w:eastAsia="Times New Roman" w:cs="Times New Roman"/>
          <w:szCs w:val="24"/>
        </w:rPr>
        <w:t xml:space="preserve"> elementi.</w:t>
      </w:r>
    </w:p>
    <w:p w14:paraId="0615009B" w14:textId="0508AB12" w:rsidR="0E6B778D" w:rsidRPr="00A07F29" w:rsidRDefault="0E6B778D" w:rsidP="0E6B778D">
      <w:pPr>
        <w:pStyle w:val="ListParagraph"/>
        <w:numPr>
          <w:ilvl w:val="0"/>
          <w:numId w:val="2"/>
        </w:numPr>
        <w:spacing w:after="80" w:line="240" w:lineRule="auto"/>
        <w:rPr>
          <w:rFonts w:asciiTheme="minorHAnsi" w:eastAsiaTheme="minorEastAsia" w:hAnsiTheme="minorHAnsi" w:cstheme="minorBidi"/>
          <w:szCs w:val="24"/>
        </w:rPr>
      </w:pPr>
      <w:r w:rsidRPr="00A07F29">
        <w:rPr>
          <w:rFonts w:eastAsia="Times New Roman" w:cs="Times New Roman"/>
          <w:szCs w:val="24"/>
        </w:rPr>
        <w:t>Augsnes un grunts virskārtas noņemšana un veģetācijas segas iznīcināšana</w:t>
      </w:r>
      <w:r w:rsidR="00625AD2" w:rsidRPr="00A07F29">
        <w:rPr>
          <w:rFonts w:eastAsia="Times New Roman" w:cs="Times New Roman"/>
          <w:szCs w:val="24"/>
        </w:rPr>
        <w:t>,</w:t>
      </w:r>
      <w:r w:rsidRPr="00A07F29">
        <w:rPr>
          <w:rFonts w:eastAsia="Times New Roman" w:cs="Times New Roman"/>
          <w:szCs w:val="24"/>
        </w:rPr>
        <w:t xml:space="preserve"> izveidojot karjerus, mazina ainavu apvidus ekosistēmu pakalpojumu apjomu, t.sk. lietus un sniega kušanas ūdeņu attīrīšanu filtrācijas gaitā, oglekļa piesaisti, deponēšanu augsnē u.c.</w:t>
      </w:r>
    </w:p>
    <w:p w14:paraId="28129D1F" w14:textId="481C3DFE" w:rsidR="0E6B778D" w:rsidRPr="00A07F29" w:rsidRDefault="0E6B778D" w:rsidP="0E6B778D">
      <w:pPr>
        <w:pStyle w:val="ListParagraph"/>
        <w:numPr>
          <w:ilvl w:val="0"/>
          <w:numId w:val="2"/>
        </w:numPr>
        <w:spacing w:after="80" w:line="240" w:lineRule="auto"/>
        <w:rPr>
          <w:rFonts w:asciiTheme="minorHAnsi" w:eastAsiaTheme="minorEastAsia" w:hAnsiTheme="minorHAnsi" w:cstheme="minorBidi"/>
          <w:szCs w:val="24"/>
        </w:rPr>
      </w:pPr>
      <w:r w:rsidRPr="00A07F29">
        <w:rPr>
          <w:rFonts w:eastAsia="Times New Roman" w:cs="Times New Roman"/>
          <w:szCs w:val="24"/>
        </w:rPr>
        <w:t>Karjeru klātbūtne pastiprina vērtīgo biotopu un ekosistēmas fragmentācijas procesu (ne tikai karjeru platības, bet arī papildus ceļu un citas infrastruktūras izbūve) un samazina teritorijas integritātes pakāpi.</w:t>
      </w:r>
    </w:p>
    <w:p w14:paraId="1E5D6E11" w14:textId="20F7213D" w:rsidR="0E6B778D" w:rsidRPr="00A07F29" w:rsidRDefault="0E6B778D" w:rsidP="0E6B778D">
      <w:pPr>
        <w:pStyle w:val="ListParagraph"/>
        <w:numPr>
          <w:ilvl w:val="0"/>
          <w:numId w:val="2"/>
        </w:numPr>
        <w:spacing w:after="80" w:line="240" w:lineRule="auto"/>
        <w:rPr>
          <w:rFonts w:asciiTheme="minorHAnsi" w:eastAsiaTheme="minorEastAsia" w:hAnsiTheme="minorHAnsi" w:cstheme="minorBidi"/>
          <w:szCs w:val="24"/>
        </w:rPr>
      </w:pPr>
      <w:r w:rsidRPr="00A07F29">
        <w:rPr>
          <w:rFonts w:eastAsia="Times New Roman" w:cs="Times New Roman"/>
          <w:szCs w:val="24"/>
        </w:rPr>
        <w:t>Vislielāko negatīvo ietekmi karjeri atstāj uz AAA “Augšdaugavas” ainavisko vērtību kopumu. DA plāna ietvaros šajā teritorijā pirmo reizi ir izstrādāts detalizēts ainavu struktūrplāns (</w:t>
      </w:r>
      <w:r w:rsidR="00591ABA" w:rsidRPr="00A07F29">
        <w:rPr>
          <w:rFonts w:eastAsia="Times New Roman" w:cs="Times New Roman"/>
          <w:szCs w:val="24"/>
        </w:rPr>
        <w:t xml:space="preserve">skat. </w:t>
      </w:r>
      <w:r w:rsidRPr="00A07F29">
        <w:rPr>
          <w:rFonts w:eastAsia="Times New Roman" w:cs="Times New Roman"/>
          <w:szCs w:val="24"/>
        </w:rPr>
        <w:t>4.2.</w:t>
      </w:r>
      <w:r w:rsidR="00591ABA" w:rsidRPr="00A07F29">
        <w:rPr>
          <w:rFonts w:eastAsia="Times New Roman" w:cs="Times New Roman"/>
          <w:szCs w:val="24"/>
        </w:rPr>
        <w:t> </w:t>
      </w:r>
      <w:r w:rsidRPr="00A07F29">
        <w:rPr>
          <w:rFonts w:eastAsia="Times New Roman" w:cs="Times New Roman"/>
          <w:szCs w:val="24"/>
        </w:rPr>
        <w:t xml:space="preserve">pielikums), kurā norādīts, ka nepieciešams izvairīties no teritoriju degradēšanas un jāveic esošo degradēto teritoriju </w:t>
      </w:r>
      <w:proofErr w:type="spellStart"/>
      <w:r w:rsidRPr="00A07F29">
        <w:rPr>
          <w:rFonts w:eastAsia="Times New Roman" w:cs="Times New Roman"/>
          <w:szCs w:val="24"/>
        </w:rPr>
        <w:t>revitalizācija</w:t>
      </w:r>
      <w:proofErr w:type="spellEnd"/>
      <w:r w:rsidRPr="00A07F29">
        <w:rPr>
          <w:rFonts w:eastAsia="Times New Roman" w:cs="Times New Roman"/>
          <w:szCs w:val="24"/>
        </w:rPr>
        <w:t>, kas attiecas arī uz karjeriem.</w:t>
      </w:r>
    </w:p>
    <w:p w14:paraId="31EFB851" w14:textId="7CBE89A8" w:rsidR="0E6B778D" w:rsidRPr="00A07F29" w:rsidRDefault="0E6B778D" w:rsidP="0E6B778D">
      <w:pPr>
        <w:spacing w:after="80" w:line="240" w:lineRule="auto"/>
        <w:ind w:firstLine="851"/>
        <w:jc w:val="both"/>
      </w:pPr>
      <w:r w:rsidRPr="00A07F29">
        <w:rPr>
          <w:rFonts w:ascii="Times New Roman" w:eastAsia="Times New Roman" w:hAnsi="Times New Roman" w:cs="Times New Roman"/>
          <w:sz w:val="24"/>
          <w:szCs w:val="24"/>
        </w:rPr>
        <w:t>Ņemot vērā starptautisko pieredzi saistībā ar bioloģiskās daudzveidības saglabāšanas apdraudējumiem derīgo izrakteņu ieguves procesā un ES rekomendācijas (</w:t>
      </w:r>
      <w:proofErr w:type="spellStart"/>
      <w:r w:rsidRPr="00A07F29">
        <w:rPr>
          <w:rFonts w:ascii="Times New Roman" w:eastAsia="Times New Roman" w:hAnsi="Times New Roman" w:cs="Times New Roman"/>
          <w:sz w:val="24"/>
          <w:szCs w:val="24"/>
        </w:rPr>
        <w:t>G</w:t>
      </w:r>
      <w:r w:rsidR="00883139">
        <w:rPr>
          <w:rFonts w:ascii="Times New Roman" w:eastAsia="Times New Roman" w:hAnsi="Times New Roman" w:cs="Times New Roman"/>
          <w:sz w:val="24"/>
          <w:szCs w:val="24"/>
        </w:rPr>
        <w:t>uidance</w:t>
      </w:r>
      <w:proofErr w:type="spellEnd"/>
      <w:r w:rsidR="00883139">
        <w:rPr>
          <w:rFonts w:ascii="Times New Roman" w:eastAsia="Times New Roman" w:hAnsi="Times New Roman" w:cs="Times New Roman"/>
          <w:sz w:val="24"/>
          <w:szCs w:val="24"/>
        </w:rPr>
        <w:t xml:space="preserve"> </w:t>
      </w:r>
      <w:proofErr w:type="spellStart"/>
      <w:r w:rsidR="00883139">
        <w:rPr>
          <w:rFonts w:ascii="Times New Roman" w:eastAsia="Times New Roman" w:hAnsi="Times New Roman" w:cs="Times New Roman"/>
          <w:sz w:val="24"/>
          <w:szCs w:val="24"/>
        </w:rPr>
        <w:t>document</w:t>
      </w:r>
      <w:proofErr w:type="spellEnd"/>
      <w:r w:rsidR="00883139">
        <w:rPr>
          <w:rFonts w:ascii="Times New Roman" w:eastAsia="Times New Roman" w:hAnsi="Times New Roman" w:cs="Times New Roman"/>
          <w:sz w:val="24"/>
          <w:szCs w:val="24"/>
        </w:rPr>
        <w:t>…</w:t>
      </w:r>
      <w:r w:rsidRPr="00A07F29">
        <w:rPr>
          <w:rFonts w:ascii="Times New Roman" w:eastAsia="Times New Roman" w:hAnsi="Times New Roman" w:cs="Times New Roman"/>
          <w:sz w:val="24"/>
          <w:szCs w:val="24"/>
        </w:rPr>
        <w:t>, 2</w:t>
      </w:r>
      <w:r w:rsidR="00883139">
        <w:rPr>
          <w:rFonts w:ascii="Times New Roman" w:eastAsia="Times New Roman" w:hAnsi="Times New Roman" w:cs="Times New Roman"/>
          <w:sz w:val="24"/>
          <w:szCs w:val="24"/>
        </w:rPr>
        <w:t>011)</w:t>
      </w:r>
      <w:r w:rsidRPr="00A07F29">
        <w:rPr>
          <w:rFonts w:ascii="Times New Roman" w:eastAsia="Times New Roman" w:hAnsi="Times New Roman" w:cs="Times New Roman"/>
          <w:sz w:val="24"/>
          <w:szCs w:val="24"/>
        </w:rPr>
        <w:t>, kā arī ņemot vērā DA plāna izstrādes gaitā iegūtos vērtējumus, turpmāk AAA “Augšdaugava” ieteicams:</w:t>
      </w:r>
    </w:p>
    <w:p w14:paraId="06792A3D" w14:textId="2959619D" w:rsidR="0E6B778D" w:rsidRPr="00A07F29" w:rsidRDefault="0E6B778D" w:rsidP="0E6B778D">
      <w:pPr>
        <w:pStyle w:val="ListParagraph"/>
        <w:numPr>
          <w:ilvl w:val="0"/>
          <w:numId w:val="1"/>
        </w:numPr>
        <w:spacing w:after="80" w:line="240" w:lineRule="auto"/>
        <w:rPr>
          <w:rFonts w:asciiTheme="minorHAnsi" w:eastAsiaTheme="minorEastAsia" w:hAnsiTheme="minorHAnsi" w:cstheme="minorBidi"/>
          <w:szCs w:val="24"/>
        </w:rPr>
      </w:pPr>
      <w:r w:rsidRPr="00A07F29">
        <w:rPr>
          <w:rFonts w:eastAsia="Times New Roman" w:cs="Times New Roman"/>
          <w:szCs w:val="24"/>
        </w:rPr>
        <w:t>atļaut turpināt derīgo izrakteņu ieguvi esošajos karjeros līdz paredzētā izrakteņu apjoma izsmelšanai un nodrošināt teritorijas rekultivāciju pēc ieguves beigām;</w:t>
      </w:r>
    </w:p>
    <w:p w14:paraId="58E9891D" w14:textId="4BE909B0" w:rsidR="0E6B778D" w:rsidRPr="00A07F29" w:rsidRDefault="0E6B778D" w:rsidP="0E6B778D">
      <w:pPr>
        <w:pStyle w:val="ListParagraph"/>
        <w:numPr>
          <w:ilvl w:val="0"/>
          <w:numId w:val="1"/>
        </w:numPr>
        <w:spacing w:after="80" w:line="240" w:lineRule="auto"/>
        <w:rPr>
          <w:rFonts w:asciiTheme="minorHAnsi" w:eastAsiaTheme="minorEastAsia" w:hAnsiTheme="minorHAnsi" w:cstheme="minorBidi"/>
          <w:szCs w:val="24"/>
        </w:rPr>
      </w:pPr>
      <w:r w:rsidRPr="00A07F29">
        <w:rPr>
          <w:rFonts w:eastAsia="Times New Roman" w:cs="Times New Roman"/>
          <w:szCs w:val="24"/>
        </w:rPr>
        <w:t xml:space="preserve"> nodrošināt pamesto karjeru teritoriju rekultivāciju/</w:t>
      </w:r>
      <w:proofErr w:type="spellStart"/>
      <w:r w:rsidRPr="00A07F29">
        <w:rPr>
          <w:rFonts w:eastAsia="Times New Roman" w:cs="Times New Roman"/>
          <w:szCs w:val="24"/>
        </w:rPr>
        <w:t>revitalizāciju</w:t>
      </w:r>
      <w:proofErr w:type="spellEnd"/>
      <w:r w:rsidRPr="00A07F29">
        <w:rPr>
          <w:rFonts w:eastAsia="Times New Roman" w:cs="Times New Roman"/>
          <w:szCs w:val="24"/>
        </w:rPr>
        <w:t>;</w:t>
      </w:r>
    </w:p>
    <w:p w14:paraId="4597D475" w14:textId="334616AB" w:rsidR="0E6B778D" w:rsidRPr="00A07F29" w:rsidRDefault="0E6B778D" w:rsidP="0E6B778D">
      <w:pPr>
        <w:pStyle w:val="ListParagraph"/>
        <w:numPr>
          <w:ilvl w:val="0"/>
          <w:numId w:val="1"/>
        </w:numPr>
        <w:spacing w:after="80" w:line="240" w:lineRule="auto"/>
        <w:rPr>
          <w:rFonts w:asciiTheme="minorHAnsi" w:eastAsiaTheme="minorEastAsia" w:hAnsiTheme="minorHAnsi" w:cstheme="minorBidi"/>
          <w:szCs w:val="24"/>
        </w:rPr>
      </w:pPr>
      <w:r w:rsidRPr="00A07F29">
        <w:rPr>
          <w:rFonts w:eastAsia="Times New Roman" w:cs="Times New Roman"/>
          <w:szCs w:val="24"/>
        </w:rPr>
        <w:t xml:space="preserve">nepieļaut jaunu karjeru veidošanu visā AAA </w:t>
      </w:r>
      <w:r w:rsidR="00EF69A2" w:rsidRPr="00A07F29">
        <w:rPr>
          <w:rFonts w:eastAsia="Times New Roman" w:cs="Times New Roman"/>
          <w:szCs w:val="24"/>
        </w:rPr>
        <w:t>“</w:t>
      </w:r>
      <w:r w:rsidRPr="00A07F29">
        <w:rPr>
          <w:rFonts w:eastAsia="Times New Roman" w:cs="Times New Roman"/>
          <w:szCs w:val="24"/>
        </w:rPr>
        <w:t>Augšdaugavas</w:t>
      </w:r>
      <w:r w:rsidR="00EF69A2" w:rsidRPr="00A07F29">
        <w:rPr>
          <w:rFonts w:eastAsia="Times New Roman" w:cs="Times New Roman"/>
          <w:szCs w:val="24"/>
        </w:rPr>
        <w:t>”</w:t>
      </w:r>
      <w:r w:rsidRPr="00A07F29">
        <w:rPr>
          <w:rFonts w:eastAsia="Times New Roman" w:cs="Times New Roman"/>
          <w:szCs w:val="24"/>
        </w:rPr>
        <w:t xml:space="preserve"> teritorijā.</w:t>
      </w:r>
    </w:p>
    <w:p w14:paraId="032199B9" w14:textId="5491A746" w:rsidR="0E6B778D" w:rsidRPr="00A07F29" w:rsidRDefault="0E6B778D" w:rsidP="0E6B778D">
      <w:pPr>
        <w:spacing w:line="240" w:lineRule="auto"/>
        <w:ind w:firstLine="851"/>
        <w:jc w:val="both"/>
      </w:pPr>
      <w:r w:rsidRPr="00A07F29">
        <w:rPr>
          <w:rFonts w:ascii="Times New Roman" w:eastAsia="Times New Roman" w:hAnsi="Times New Roman" w:cs="Times New Roman"/>
          <w:sz w:val="24"/>
          <w:szCs w:val="24"/>
        </w:rPr>
        <w:t>Vienlaikus jāatzīmē, ka ārpus AAA “Augšdaugavas” teritorijas, bet tās tuvumā atrodas vairāki ilgtermiņa smilts un grants karjeri, kā arī AAA “Augšdaugava” teritorijā turpinās darboties vairāki karjeri (</w:t>
      </w:r>
      <w:r w:rsidR="00AA437F" w:rsidRPr="00A07F29">
        <w:rPr>
          <w:rFonts w:ascii="Times New Roman" w:eastAsia="Times New Roman" w:hAnsi="Times New Roman" w:cs="Times New Roman"/>
          <w:sz w:val="24"/>
          <w:szCs w:val="24"/>
        </w:rPr>
        <w:t xml:space="preserve">skat. </w:t>
      </w:r>
      <w:r w:rsidRPr="00A07F29">
        <w:rPr>
          <w:rFonts w:ascii="Times New Roman" w:eastAsia="Times New Roman" w:hAnsi="Times New Roman" w:cs="Times New Roman"/>
          <w:sz w:val="24"/>
          <w:szCs w:val="24"/>
        </w:rPr>
        <w:t>3.5.1.</w:t>
      </w:r>
      <w:r w:rsidR="00AA437F" w:rsidRPr="00A07F29">
        <w:rPr>
          <w:rFonts w:ascii="Times New Roman" w:eastAsia="Times New Roman" w:hAnsi="Times New Roman" w:cs="Times New Roman"/>
          <w:sz w:val="24"/>
          <w:szCs w:val="24"/>
        </w:rPr>
        <w:t> </w:t>
      </w:r>
      <w:r w:rsidRPr="00A07F29">
        <w:rPr>
          <w:rFonts w:ascii="Times New Roman" w:eastAsia="Times New Roman" w:hAnsi="Times New Roman" w:cs="Times New Roman"/>
          <w:sz w:val="24"/>
          <w:szCs w:val="24"/>
        </w:rPr>
        <w:t xml:space="preserve">tabula), kas ļauj nodrošināt smilts un grants resursu ieguvi un pielietojumu </w:t>
      </w:r>
      <w:r w:rsidR="00DB442E" w:rsidRPr="00A07F29">
        <w:rPr>
          <w:rFonts w:ascii="Times New Roman" w:eastAsia="Times New Roman" w:hAnsi="Times New Roman" w:cs="Times New Roman"/>
          <w:sz w:val="24"/>
          <w:szCs w:val="24"/>
        </w:rPr>
        <w:t>Augšdaugavas</w:t>
      </w:r>
      <w:r w:rsidRPr="00A07F29">
        <w:rPr>
          <w:rFonts w:ascii="Times New Roman" w:eastAsia="Times New Roman" w:hAnsi="Times New Roman" w:cs="Times New Roman"/>
          <w:sz w:val="24"/>
          <w:szCs w:val="24"/>
        </w:rPr>
        <w:t xml:space="preserve"> un Krāslavas novados.</w:t>
      </w:r>
    </w:p>
    <w:p w14:paraId="09920736" w14:textId="5B049BF1" w:rsidR="0E6B778D" w:rsidRPr="00A07F29" w:rsidRDefault="0E6B778D" w:rsidP="0E6B778D">
      <w:pPr>
        <w:spacing w:after="120" w:line="240" w:lineRule="auto"/>
        <w:ind w:firstLine="851"/>
        <w:jc w:val="both"/>
        <w:rPr>
          <w:rFonts w:ascii="Times New Roman" w:eastAsia="Calibri" w:hAnsi="Times New Roman" w:cs="Calibri"/>
          <w:sz w:val="24"/>
          <w:szCs w:val="24"/>
        </w:rPr>
      </w:pPr>
    </w:p>
    <w:p w14:paraId="001FF595" w14:textId="12AE1E71" w:rsidR="009072CE" w:rsidRPr="00A07F29" w:rsidRDefault="009072CE" w:rsidP="00E5009C">
      <w:pPr>
        <w:pStyle w:val="Heading2"/>
        <w:spacing w:before="120" w:after="120"/>
        <w:ind w:firstLine="0"/>
        <w:jc w:val="center"/>
        <w:rPr>
          <w:rFonts w:ascii="Times New Roman" w:hAnsi="Times New Roman"/>
          <w:b w:val="0"/>
          <w:iCs w:val="0"/>
        </w:rPr>
      </w:pPr>
      <w:bookmarkStart w:id="33" w:name="_Toc183433990"/>
      <w:r w:rsidRPr="00A07F29">
        <w:rPr>
          <w:rFonts w:ascii="Times New Roman" w:hAnsi="Times New Roman"/>
          <w:i w:val="0"/>
        </w:rPr>
        <w:t>3.6. Medības</w:t>
      </w:r>
      <w:r w:rsidR="00C849A5" w:rsidRPr="00A07F29">
        <w:rPr>
          <w:rFonts w:ascii="Times New Roman" w:hAnsi="Times New Roman"/>
          <w:i w:val="0"/>
        </w:rPr>
        <w:t>, makšķerēšana un zveja</w:t>
      </w:r>
      <w:bookmarkEnd w:id="33"/>
    </w:p>
    <w:p w14:paraId="651D0322" w14:textId="098C47B9" w:rsidR="009072CE" w:rsidRPr="00A07F29" w:rsidRDefault="009072CE" w:rsidP="003041BD">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Saskaņā ar VMD </w:t>
      </w:r>
      <w:proofErr w:type="spellStart"/>
      <w:r w:rsidRPr="00A07F29">
        <w:rPr>
          <w:rFonts w:ascii="Times New Roman" w:eastAsia="Calibri" w:hAnsi="Times New Roman" w:cs="Calibri"/>
          <w:sz w:val="24"/>
        </w:rPr>
        <w:t>Dienvidlatgales</w:t>
      </w:r>
      <w:proofErr w:type="spellEnd"/>
      <w:r w:rsidRPr="00A07F29">
        <w:rPr>
          <w:rFonts w:ascii="Times New Roman" w:eastAsia="Calibri" w:hAnsi="Times New Roman" w:cs="Calibri"/>
          <w:sz w:val="24"/>
        </w:rPr>
        <w:t xml:space="preserve"> virsmežniecības sniegto informāciju, AAA teritorijā darbojas 10 medību kolektīvi</w:t>
      </w:r>
      <w:r w:rsidR="00165030" w:rsidRPr="00A07F29">
        <w:rPr>
          <w:rFonts w:ascii="Times New Roman" w:eastAsia="Calibri" w:hAnsi="Times New Roman" w:cs="Calibri"/>
          <w:sz w:val="24"/>
        </w:rPr>
        <w:t xml:space="preserve"> (</w:t>
      </w:r>
      <w:r w:rsidR="00AA437F" w:rsidRPr="00A07F29">
        <w:rPr>
          <w:rFonts w:ascii="Times New Roman" w:eastAsia="Calibri" w:hAnsi="Times New Roman" w:cs="Calibri"/>
          <w:sz w:val="24"/>
        </w:rPr>
        <w:t xml:space="preserve">skat. </w:t>
      </w:r>
      <w:r w:rsidR="00165030" w:rsidRPr="00A07F29">
        <w:rPr>
          <w:rFonts w:ascii="Times New Roman" w:eastAsia="Calibri" w:hAnsi="Times New Roman" w:cs="Calibri"/>
          <w:sz w:val="24"/>
        </w:rPr>
        <w:t>3.6.1.</w:t>
      </w:r>
      <w:r w:rsidR="00AA437F" w:rsidRPr="00A07F29">
        <w:rPr>
          <w:rFonts w:ascii="Times New Roman" w:eastAsia="Calibri" w:hAnsi="Times New Roman" w:cs="Calibri"/>
          <w:sz w:val="24"/>
        </w:rPr>
        <w:t> </w:t>
      </w:r>
      <w:r w:rsidR="00165030" w:rsidRPr="00A07F29">
        <w:rPr>
          <w:rFonts w:ascii="Times New Roman" w:eastAsia="Calibri" w:hAnsi="Times New Roman" w:cs="Calibri"/>
          <w:sz w:val="24"/>
        </w:rPr>
        <w:t>tabula).</w:t>
      </w:r>
    </w:p>
    <w:p w14:paraId="377754BA" w14:textId="34B3F947" w:rsidR="00FA3759" w:rsidRPr="00A07F29" w:rsidRDefault="00FA3759" w:rsidP="001E1B7F">
      <w:pPr>
        <w:keepNext/>
        <w:spacing w:before="240" w:after="120" w:line="240" w:lineRule="auto"/>
        <w:jc w:val="center"/>
        <w:rPr>
          <w:rFonts w:ascii="Times New Roman" w:eastAsia="Calibri" w:hAnsi="Times New Roman" w:cs="Calibri"/>
          <w:sz w:val="24"/>
        </w:rPr>
      </w:pPr>
      <w:r w:rsidRPr="00A07F29">
        <w:rPr>
          <w:rFonts w:ascii="Times New Roman" w:eastAsia="Calibri" w:hAnsi="Times New Roman" w:cs="Calibri"/>
          <w:sz w:val="24"/>
        </w:rPr>
        <w:lastRenderedPageBreak/>
        <w:t>3.6.1.</w:t>
      </w:r>
      <w:r w:rsidR="00AA437F" w:rsidRPr="00A07F29">
        <w:rPr>
          <w:rFonts w:ascii="Times New Roman" w:eastAsia="Calibri" w:hAnsi="Times New Roman" w:cs="Calibri"/>
          <w:sz w:val="24"/>
        </w:rPr>
        <w:t> </w:t>
      </w:r>
      <w:r w:rsidRPr="00A07F29">
        <w:rPr>
          <w:rFonts w:ascii="Times New Roman" w:eastAsia="Calibri" w:hAnsi="Times New Roman" w:cs="Calibri"/>
          <w:sz w:val="24"/>
        </w:rPr>
        <w:t xml:space="preserve">tabula. Medību iecirkņi AAA “Augšdaugava” teritorijā </w:t>
      </w:r>
      <w:r w:rsidR="00EF6958" w:rsidRPr="00A07F29">
        <w:rPr>
          <w:rFonts w:ascii="Times New Roman" w:eastAsia="Calibri" w:hAnsi="Times New Roman" w:cs="Calibri"/>
          <w:sz w:val="24"/>
        </w:rPr>
        <w:t>(VMD</w:t>
      </w:r>
      <w:r w:rsidR="00883139">
        <w:rPr>
          <w:rFonts w:ascii="Times New Roman" w:eastAsia="Calibri" w:hAnsi="Times New Roman" w:cs="Calibri"/>
          <w:sz w:val="24"/>
        </w:rPr>
        <w:t xml:space="preserve"> dati</w:t>
      </w:r>
      <w:r w:rsidR="00EF6958" w:rsidRPr="00A07F29">
        <w:rPr>
          <w:rFonts w:ascii="Times New Roman" w:eastAsia="Calibri" w:hAnsi="Times New Roman" w:cs="Calibri"/>
          <w:sz w:val="24"/>
        </w:rPr>
        <w:t>, 2019)</w:t>
      </w:r>
    </w:p>
    <w:tbl>
      <w:tblPr>
        <w:tblW w:w="8789" w:type="dxa"/>
        <w:jc w:val="center"/>
        <w:tblLook w:val="04A0" w:firstRow="1" w:lastRow="0" w:firstColumn="1" w:lastColumn="0" w:noHBand="0" w:noVBand="1"/>
      </w:tblPr>
      <w:tblGrid>
        <w:gridCol w:w="990"/>
        <w:gridCol w:w="1420"/>
        <w:gridCol w:w="6379"/>
      </w:tblGrid>
      <w:tr w:rsidR="009072CE" w:rsidRPr="00A07F29" w14:paraId="1550B350" w14:textId="77777777" w:rsidTr="008B09B8">
        <w:trPr>
          <w:trHeight w:val="841"/>
          <w:jc w:val="center"/>
        </w:trPr>
        <w:tc>
          <w:tcPr>
            <w:tcW w:w="990"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vAlign w:val="center"/>
          </w:tcPr>
          <w:p w14:paraId="250E1D6D" w14:textId="77777777" w:rsidR="009072CE" w:rsidRPr="00A07F29" w:rsidRDefault="009072CE" w:rsidP="003041BD">
            <w:pPr>
              <w:keepNext/>
              <w:spacing w:after="0" w:line="240" w:lineRule="auto"/>
              <w:jc w:val="center"/>
              <w:rPr>
                <w:rFonts w:ascii="Times New Roman" w:eastAsia="Times New Roman" w:hAnsi="Times New Roman" w:cs="Times New Roman"/>
                <w:color w:val="000000"/>
                <w:sz w:val="24"/>
                <w:szCs w:val="24"/>
              </w:rPr>
            </w:pPr>
            <w:bookmarkStart w:id="34" w:name="_Hlk44346377"/>
            <w:r w:rsidRPr="00A07F29">
              <w:rPr>
                <w:rFonts w:ascii="Times New Roman" w:eastAsia="Calibri" w:hAnsi="Times New Roman" w:cs="Times New Roman"/>
                <w:color w:val="000000"/>
                <w:sz w:val="24"/>
                <w:szCs w:val="24"/>
              </w:rPr>
              <w:t>Numurs</w:t>
            </w:r>
          </w:p>
        </w:tc>
        <w:tc>
          <w:tcPr>
            <w:tcW w:w="1420" w:type="dxa"/>
            <w:tcBorders>
              <w:top w:val="single" w:sz="4" w:space="0" w:color="auto"/>
              <w:left w:val="nil"/>
              <w:bottom w:val="single" w:sz="4" w:space="0" w:color="auto"/>
              <w:right w:val="single" w:sz="4" w:space="0" w:color="auto"/>
            </w:tcBorders>
            <w:shd w:val="clear" w:color="auto" w:fill="D6E3BC" w:themeFill="accent3" w:themeFillTint="66"/>
            <w:noWrap/>
            <w:vAlign w:val="center"/>
          </w:tcPr>
          <w:p w14:paraId="298B99F1" w14:textId="77777777" w:rsidR="009072CE" w:rsidRPr="00A07F29" w:rsidRDefault="009072CE" w:rsidP="003041BD">
            <w:pPr>
              <w:keepNext/>
              <w:spacing w:after="0" w:line="240" w:lineRule="auto"/>
              <w:jc w:val="center"/>
              <w:rPr>
                <w:rFonts w:ascii="Times New Roman" w:eastAsia="Times New Roman" w:hAnsi="Times New Roman" w:cs="Times New Roman"/>
                <w:color w:val="000000"/>
                <w:sz w:val="24"/>
                <w:szCs w:val="24"/>
              </w:rPr>
            </w:pPr>
            <w:r w:rsidRPr="00A07F29">
              <w:rPr>
                <w:rFonts w:ascii="Times New Roman" w:eastAsia="Calibri" w:hAnsi="Times New Roman" w:cs="Times New Roman"/>
                <w:color w:val="000000"/>
                <w:sz w:val="24"/>
                <w:szCs w:val="24"/>
              </w:rPr>
              <w:t>Uzskaites vienība</w:t>
            </w:r>
          </w:p>
        </w:tc>
        <w:tc>
          <w:tcPr>
            <w:tcW w:w="6379" w:type="dxa"/>
            <w:tcBorders>
              <w:top w:val="single" w:sz="4" w:space="0" w:color="auto"/>
              <w:left w:val="nil"/>
              <w:bottom w:val="single" w:sz="4" w:space="0" w:color="auto"/>
              <w:right w:val="single" w:sz="4" w:space="0" w:color="auto"/>
            </w:tcBorders>
            <w:shd w:val="clear" w:color="auto" w:fill="D6E3BC" w:themeFill="accent3" w:themeFillTint="66"/>
            <w:noWrap/>
            <w:vAlign w:val="center"/>
          </w:tcPr>
          <w:p w14:paraId="6B9D86FE" w14:textId="77777777" w:rsidR="009072CE" w:rsidRPr="00A07F29" w:rsidRDefault="009072CE" w:rsidP="003041BD">
            <w:pPr>
              <w:keepNext/>
              <w:spacing w:after="0" w:line="240" w:lineRule="auto"/>
              <w:jc w:val="center"/>
              <w:rPr>
                <w:rFonts w:ascii="Times New Roman" w:eastAsia="Times New Roman" w:hAnsi="Times New Roman" w:cs="Times New Roman"/>
                <w:color w:val="000000"/>
                <w:sz w:val="24"/>
                <w:szCs w:val="24"/>
              </w:rPr>
            </w:pPr>
            <w:r w:rsidRPr="00A07F29">
              <w:rPr>
                <w:rFonts w:ascii="Times New Roman" w:eastAsia="Calibri" w:hAnsi="Times New Roman" w:cs="Times New Roman"/>
                <w:color w:val="000000"/>
                <w:sz w:val="24"/>
                <w:szCs w:val="24"/>
              </w:rPr>
              <w:t>Medību iecirknis</w:t>
            </w:r>
          </w:p>
        </w:tc>
      </w:tr>
      <w:tr w:rsidR="009072CE" w:rsidRPr="00A07F29" w14:paraId="2B1E2CCD" w14:textId="77777777" w:rsidTr="008B09B8">
        <w:trPr>
          <w:trHeight w:val="315"/>
          <w:jc w:val="center"/>
        </w:trPr>
        <w:tc>
          <w:tcPr>
            <w:tcW w:w="990" w:type="dxa"/>
            <w:tcBorders>
              <w:top w:val="nil"/>
              <w:left w:val="single" w:sz="4" w:space="0" w:color="auto"/>
              <w:bottom w:val="single" w:sz="4" w:space="0" w:color="auto"/>
              <w:right w:val="single" w:sz="4" w:space="0" w:color="auto"/>
            </w:tcBorders>
            <w:shd w:val="clear" w:color="auto" w:fill="auto"/>
            <w:noWrap/>
            <w:vAlign w:val="bottom"/>
            <w:hideMark/>
          </w:tcPr>
          <w:p w14:paraId="53FBD369" w14:textId="77777777" w:rsidR="009072CE" w:rsidRPr="00A07F29" w:rsidRDefault="009072CE" w:rsidP="003041BD">
            <w:pPr>
              <w:keepNext/>
              <w:spacing w:after="0" w:line="240" w:lineRule="auto"/>
              <w:jc w:val="center"/>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7844</w:t>
            </w:r>
          </w:p>
        </w:tc>
        <w:tc>
          <w:tcPr>
            <w:tcW w:w="1420" w:type="dxa"/>
            <w:tcBorders>
              <w:top w:val="nil"/>
              <w:left w:val="nil"/>
              <w:bottom w:val="single" w:sz="4" w:space="0" w:color="auto"/>
              <w:right w:val="single" w:sz="4" w:space="0" w:color="auto"/>
            </w:tcBorders>
            <w:shd w:val="clear" w:color="auto" w:fill="auto"/>
            <w:noWrap/>
            <w:vAlign w:val="bottom"/>
            <w:hideMark/>
          </w:tcPr>
          <w:p w14:paraId="7EEA4AB1" w14:textId="77777777" w:rsidR="009072CE" w:rsidRPr="00A07F29" w:rsidRDefault="009072CE" w:rsidP="003041BD">
            <w:pPr>
              <w:keepNext/>
              <w:spacing w:after="0" w:line="240" w:lineRule="auto"/>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Naujenes</w:t>
            </w:r>
          </w:p>
        </w:tc>
        <w:tc>
          <w:tcPr>
            <w:tcW w:w="6379" w:type="dxa"/>
            <w:tcBorders>
              <w:top w:val="nil"/>
              <w:left w:val="nil"/>
              <w:bottom w:val="single" w:sz="4" w:space="0" w:color="auto"/>
              <w:right w:val="single" w:sz="4" w:space="0" w:color="auto"/>
            </w:tcBorders>
            <w:shd w:val="clear" w:color="auto" w:fill="auto"/>
            <w:noWrap/>
            <w:vAlign w:val="center"/>
            <w:hideMark/>
          </w:tcPr>
          <w:p w14:paraId="7D40698C" w14:textId="7904D752" w:rsidR="009072CE" w:rsidRPr="00A07F29" w:rsidRDefault="009072CE" w:rsidP="003041BD">
            <w:pPr>
              <w:keepNext/>
              <w:spacing w:after="0" w:line="240" w:lineRule="auto"/>
              <w:rPr>
                <w:rFonts w:ascii="Times New Roman" w:eastAsia="Times New Roman" w:hAnsi="Times New Roman" w:cs="Times New Roman"/>
                <w:b/>
                <w:bCs/>
                <w:color w:val="000000"/>
                <w:sz w:val="24"/>
                <w:szCs w:val="24"/>
              </w:rPr>
            </w:pPr>
            <w:r w:rsidRPr="00A07F29">
              <w:rPr>
                <w:rFonts w:ascii="Times New Roman" w:eastAsia="Times New Roman" w:hAnsi="Times New Roman" w:cs="Times New Roman"/>
                <w:b/>
                <w:bCs/>
                <w:color w:val="000000"/>
                <w:sz w:val="24"/>
                <w:szCs w:val="24"/>
              </w:rPr>
              <w:t xml:space="preserve"> </w:t>
            </w:r>
            <w:r w:rsidRPr="00A07F29">
              <w:rPr>
                <w:rFonts w:ascii="Times New Roman" w:eastAsia="Times New Roman" w:hAnsi="Times New Roman" w:cs="Times New Roman"/>
                <w:color w:val="000000"/>
                <w:sz w:val="24"/>
                <w:szCs w:val="24"/>
              </w:rPr>
              <w:t>DMMS Naujene</w:t>
            </w:r>
          </w:p>
        </w:tc>
      </w:tr>
      <w:tr w:rsidR="009072CE" w:rsidRPr="00A07F29" w14:paraId="66EE40B1" w14:textId="77777777" w:rsidTr="008B09B8">
        <w:trPr>
          <w:trHeight w:val="315"/>
          <w:jc w:val="center"/>
        </w:trPr>
        <w:tc>
          <w:tcPr>
            <w:tcW w:w="990" w:type="dxa"/>
            <w:tcBorders>
              <w:top w:val="nil"/>
              <w:left w:val="single" w:sz="4" w:space="0" w:color="auto"/>
              <w:bottom w:val="single" w:sz="4" w:space="0" w:color="auto"/>
              <w:right w:val="single" w:sz="4" w:space="0" w:color="auto"/>
            </w:tcBorders>
            <w:shd w:val="clear" w:color="auto" w:fill="auto"/>
            <w:noWrap/>
            <w:vAlign w:val="bottom"/>
            <w:hideMark/>
          </w:tcPr>
          <w:p w14:paraId="3FA98193" w14:textId="77777777" w:rsidR="009072CE" w:rsidRPr="00A07F29" w:rsidRDefault="009072CE" w:rsidP="003041BD">
            <w:pPr>
              <w:spacing w:after="0" w:line="240" w:lineRule="auto"/>
              <w:jc w:val="center"/>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7845</w:t>
            </w:r>
          </w:p>
        </w:tc>
        <w:tc>
          <w:tcPr>
            <w:tcW w:w="1420" w:type="dxa"/>
            <w:tcBorders>
              <w:top w:val="nil"/>
              <w:left w:val="nil"/>
              <w:bottom w:val="single" w:sz="4" w:space="0" w:color="auto"/>
              <w:right w:val="single" w:sz="4" w:space="0" w:color="auto"/>
            </w:tcBorders>
            <w:shd w:val="clear" w:color="auto" w:fill="auto"/>
            <w:noWrap/>
            <w:vAlign w:val="bottom"/>
            <w:hideMark/>
          </w:tcPr>
          <w:p w14:paraId="64DCBAB8" w14:textId="77777777" w:rsidR="009072CE" w:rsidRPr="00A07F29" w:rsidRDefault="009072CE" w:rsidP="003041BD">
            <w:pPr>
              <w:spacing w:after="0" w:line="240" w:lineRule="auto"/>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Tabores</w:t>
            </w:r>
          </w:p>
        </w:tc>
        <w:tc>
          <w:tcPr>
            <w:tcW w:w="6379" w:type="dxa"/>
            <w:tcBorders>
              <w:top w:val="nil"/>
              <w:left w:val="nil"/>
              <w:bottom w:val="single" w:sz="4" w:space="0" w:color="auto"/>
              <w:right w:val="single" w:sz="4" w:space="0" w:color="auto"/>
            </w:tcBorders>
            <w:shd w:val="clear" w:color="auto" w:fill="auto"/>
            <w:noWrap/>
            <w:vAlign w:val="center"/>
            <w:hideMark/>
          </w:tcPr>
          <w:p w14:paraId="02F40847" w14:textId="330B49AE" w:rsidR="009072CE" w:rsidRPr="00A07F29" w:rsidRDefault="009072CE" w:rsidP="003041BD">
            <w:pPr>
              <w:spacing w:after="0" w:line="240" w:lineRule="auto"/>
              <w:rPr>
                <w:rFonts w:ascii="Times New Roman" w:eastAsia="Times New Roman" w:hAnsi="Times New Roman" w:cs="Times New Roman"/>
                <w:b/>
                <w:bCs/>
                <w:color w:val="000000"/>
                <w:sz w:val="24"/>
                <w:szCs w:val="24"/>
              </w:rPr>
            </w:pPr>
            <w:r w:rsidRPr="00A07F29">
              <w:rPr>
                <w:rFonts w:ascii="Times New Roman" w:eastAsia="Times New Roman" w:hAnsi="Times New Roman" w:cs="Times New Roman"/>
                <w:b/>
                <w:bCs/>
                <w:color w:val="000000"/>
                <w:sz w:val="24"/>
                <w:szCs w:val="24"/>
              </w:rPr>
              <w:t xml:space="preserve"> </w:t>
            </w:r>
            <w:r w:rsidRPr="00A07F29">
              <w:rPr>
                <w:rFonts w:ascii="Times New Roman" w:eastAsia="Times New Roman" w:hAnsi="Times New Roman" w:cs="Times New Roman"/>
                <w:color w:val="000000"/>
                <w:sz w:val="24"/>
                <w:szCs w:val="24"/>
              </w:rPr>
              <w:t>Tabore, DMMS Tabore</w:t>
            </w:r>
          </w:p>
        </w:tc>
      </w:tr>
      <w:tr w:rsidR="009072CE" w:rsidRPr="00A07F29" w14:paraId="43CBB179" w14:textId="77777777" w:rsidTr="008B09B8">
        <w:trPr>
          <w:trHeight w:val="315"/>
          <w:jc w:val="center"/>
        </w:trPr>
        <w:tc>
          <w:tcPr>
            <w:tcW w:w="990" w:type="dxa"/>
            <w:tcBorders>
              <w:top w:val="nil"/>
              <w:left w:val="single" w:sz="4" w:space="0" w:color="auto"/>
              <w:bottom w:val="single" w:sz="4" w:space="0" w:color="auto"/>
              <w:right w:val="single" w:sz="4" w:space="0" w:color="auto"/>
            </w:tcBorders>
            <w:shd w:val="clear" w:color="auto" w:fill="auto"/>
            <w:noWrap/>
            <w:vAlign w:val="bottom"/>
            <w:hideMark/>
          </w:tcPr>
          <w:p w14:paraId="5D34A948" w14:textId="77777777" w:rsidR="009072CE" w:rsidRPr="00A07F29" w:rsidRDefault="009072CE" w:rsidP="003041BD">
            <w:pPr>
              <w:spacing w:after="0" w:line="240" w:lineRule="auto"/>
              <w:jc w:val="center"/>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7846</w:t>
            </w:r>
          </w:p>
        </w:tc>
        <w:tc>
          <w:tcPr>
            <w:tcW w:w="1420" w:type="dxa"/>
            <w:tcBorders>
              <w:top w:val="nil"/>
              <w:left w:val="nil"/>
              <w:bottom w:val="single" w:sz="4" w:space="0" w:color="auto"/>
              <w:right w:val="single" w:sz="4" w:space="0" w:color="auto"/>
            </w:tcBorders>
            <w:shd w:val="clear" w:color="auto" w:fill="auto"/>
            <w:noWrap/>
            <w:vAlign w:val="bottom"/>
            <w:hideMark/>
          </w:tcPr>
          <w:p w14:paraId="484F1DFA" w14:textId="77777777" w:rsidR="009072CE" w:rsidRPr="00A07F29" w:rsidRDefault="009072CE" w:rsidP="003041BD">
            <w:pPr>
              <w:spacing w:after="0" w:line="240" w:lineRule="auto"/>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Vecsalienas</w:t>
            </w:r>
          </w:p>
        </w:tc>
        <w:tc>
          <w:tcPr>
            <w:tcW w:w="6379" w:type="dxa"/>
            <w:tcBorders>
              <w:top w:val="nil"/>
              <w:left w:val="nil"/>
              <w:bottom w:val="single" w:sz="4" w:space="0" w:color="auto"/>
              <w:right w:val="single" w:sz="4" w:space="0" w:color="auto"/>
            </w:tcBorders>
            <w:shd w:val="clear" w:color="auto" w:fill="auto"/>
            <w:noWrap/>
            <w:vAlign w:val="center"/>
            <w:hideMark/>
          </w:tcPr>
          <w:p w14:paraId="1E3DCC1A" w14:textId="1C3F6FA2" w:rsidR="009072CE" w:rsidRPr="00A07F29" w:rsidRDefault="009072CE" w:rsidP="003041BD">
            <w:pPr>
              <w:spacing w:after="0" w:line="240" w:lineRule="auto"/>
              <w:rPr>
                <w:rFonts w:ascii="Times New Roman" w:eastAsia="Times New Roman" w:hAnsi="Times New Roman" w:cs="Times New Roman"/>
                <w:b/>
                <w:bCs/>
                <w:color w:val="000000"/>
                <w:sz w:val="24"/>
                <w:szCs w:val="24"/>
              </w:rPr>
            </w:pPr>
            <w:r w:rsidRPr="00A07F29">
              <w:rPr>
                <w:rFonts w:ascii="Times New Roman" w:eastAsia="Times New Roman" w:hAnsi="Times New Roman" w:cs="Times New Roman"/>
                <w:b/>
                <w:bCs/>
                <w:color w:val="000000"/>
                <w:sz w:val="24"/>
                <w:szCs w:val="24"/>
              </w:rPr>
              <w:t xml:space="preserve"> </w:t>
            </w:r>
            <w:r w:rsidRPr="00A07F29">
              <w:rPr>
                <w:rFonts w:ascii="Times New Roman" w:eastAsia="Times New Roman" w:hAnsi="Times New Roman" w:cs="Times New Roman"/>
                <w:color w:val="000000"/>
                <w:sz w:val="24"/>
                <w:szCs w:val="24"/>
              </w:rPr>
              <w:t xml:space="preserve">DMMS Vanags, DMMS Skrudaliena-1, </w:t>
            </w:r>
            <w:proofErr w:type="spellStart"/>
            <w:r w:rsidRPr="00A07F29">
              <w:rPr>
                <w:rFonts w:ascii="Times New Roman" w:eastAsia="Times New Roman" w:hAnsi="Times New Roman" w:cs="Times New Roman"/>
                <w:color w:val="000000"/>
                <w:sz w:val="24"/>
                <w:szCs w:val="24"/>
              </w:rPr>
              <w:t>Duneklis</w:t>
            </w:r>
            <w:proofErr w:type="spellEnd"/>
            <w:r w:rsidRPr="00A07F29">
              <w:rPr>
                <w:rFonts w:ascii="Times New Roman" w:eastAsia="Times New Roman" w:hAnsi="Times New Roman" w:cs="Times New Roman"/>
                <w:color w:val="000000"/>
                <w:sz w:val="24"/>
                <w:szCs w:val="24"/>
              </w:rPr>
              <w:t xml:space="preserve"> V, </w:t>
            </w:r>
            <w:proofErr w:type="spellStart"/>
            <w:r w:rsidRPr="00A07F29">
              <w:rPr>
                <w:rFonts w:ascii="Times New Roman" w:eastAsia="Times New Roman" w:hAnsi="Times New Roman" w:cs="Times New Roman"/>
                <w:color w:val="000000"/>
                <w:sz w:val="24"/>
                <w:szCs w:val="24"/>
              </w:rPr>
              <w:t>Červonka</w:t>
            </w:r>
            <w:proofErr w:type="spellEnd"/>
          </w:p>
        </w:tc>
      </w:tr>
      <w:tr w:rsidR="009072CE" w:rsidRPr="00A07F29" w14:paraId="720A2444" w14:textId="77777777" w:rsidTr="008B09B8">
        <w:trPr>
          <w:trHeight w:val="315"/>
          <w:jc w:val="center"/>
        </w:trPr>
        <w:tc>
          <w:tcPr>
            <w:tcW w:w="990" w:type="dxa"/>
            <w:tcBorders>
              <w:top w:val="nil"/>
              <w:left w:val="single" w:sz="4" w:space="0" w:color="auto"/>
              <w:bottom w:val="single" w:sz="4" w:space="0" w:color="auto"/>
              <w:right w:val="single" w:sz="4" w:space="0" w:color="auto"/>
            </w:tcBorders>
            <w:shd w:val="clear" w:color="auto" w:fill="auto"/>
            <w:noWrap/>
            <w:vAlign w:val="bottom"/>
            <w:hideMark/>
          </w:tcPr>
          <w:p w14:paraId="7864595A" w14:textId="77777777" w:rsidR="009072CE" w:rsidRPr="00A07F29" w:rsidRDefault="009072CE" w:rsidP="003041BD">
            <w:pPr>
              <w:spacing w:after="0" w:line="240" w:lineRule="auto"/>
              <w:jc w:val="center"/>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7847</w:t>
            </w:r>
          </w:p>
        </w:tc>
        <w:tc>
          <w:tcPr>
            <w:tcW w:w="1420" w:type="dxa"/>
            <w:tcBorders>
              <w:top w:val="nil"/>
              <w:left w:val="nil"/>
              <w:bottom w:val="single" w:sz="4" w:space="0" w:color="auto"/>
              <w:right w:val="single" w:sz="4" w:space="0" w:color="auto"/>
            </w:tcBorders>
            <w:shd w:val="clear" w:color="auto" w:fill="auto"/>
            <w:noWrap/>
            <w:vAlign w:val="bottom"/>
            <w:hideMark/>
          </w:tcPr>
          <w:p w14:paraId="3CC4CF33" w14:textId="77777777" w:rsidR="009072CE" w:rsidRPr="00A07F29" w:rsidRDefault="009072CE" w:rsidP="003041BD">
            <w:pPr>
              <w:spacing w:after="0" w:line="240" w:lineRule="auto"/>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Salienas</w:t>
            </w:r>
          </w:p>
        </w:tc>
        <w:tc>
          <w:tcPr>
            <w:tcW w:w="6379" w:type="dxa"/>
            <w:tcBorders>
              <w:top w:val="nil"/>
              <w:left w:val="nil"/>
              <w:bottom w:val="single" w:sz="4" w:space="0" w:color="auto"/>
              <w:right w:val="single" w:sz="4" w:space="0" w:color="auto"/>
            </w:tcBorders>
            <w:shd w:val="clear" w:color="auto" w:fill="auto"/>
            <w:noWrap/>
            <w:vAlign w:val="center"/>
            <w:hideMark/>
          </w:tcPr>
          <w:p w14:paraId="654DBAF5" w14:textId="4BD219BE" w:rsidR="009072CE" w:rsidRPr="00A07F29" w:rsidRDefault="009072CE" w:rsidP="003041BD">
            <w:pPr>
              <w:spacing w:after="0" w:line="240" w:lineRule="auto"/>
              <w:rPr>
                <w:rFonts w:ascii="Times New Roman" w:eastAsia="Times New Roman" w:hAnsi="Times New Roman" w:cs="Times New Roman"/>
                <w:b/>
                <w:bCs/>
                <w:color w:val="000000"/>
                <w:sz w:val="24"/>
                <w:szCs w:val="24"/>
              </w:rPr>
            </w:pPr>
            <w:r w:rsidRPr="00A07F29">
              <w:rPr>
                <w:rFonts w:ascii="Times New Roman" w:eastAsia="Times New Roman" w:hAnsi="Times New Roman" w:cs="Times New Roman"/>
                <w:b/>
                <w:bCs/>
                <w:color w:val="000000"/>
                <w:sz w:val="24"/>
                <w:szCs w:val="24"/>
              </w:rPr>
              <w:t xml:space="preserve"> </w:t>
            </w:r>
            <w:r w:rsidRPr="00A07F29">
              <w:rPr>
                <w:rFonts w:ascii="Times New Roman" w:eastAsia="Times New Roman" w:hAnsi="Times New Roman" w:cs="Times New Roman"/>
                <w:color w:val="000000"/>
                <w:sz w:val="24"/>
                <w:szCs w:val="24"/>
              </w:rPr>
              <w:t>Saliena, Ūpis, Vainags</w:t>
            </w:r>
          </w:p>
        </w:tc>
      </w:tr>
      <w:tr w:rsidR="009072CE" w:rsidRPr="00A07F29" w14:paraId="41D60EF2" w14:textId="77777777" w:rsidTr="008B09B8">
        <w:trPr>
          <w:trHeight w:val="315"/>
          <w:jc w:val="center"/>
        </w:trPr>
        <w:tc>
          <w:tcPr>
            <w:tcW w:w="990" w:type="dxa"/>
            <w:tcBorders>
              <w:top w:val="nil"/>
              <w:left w:val="single" w:sz="4" w:space="0" w:color="auto"/>
              <w:bottom w:val="single" w:sz="4" w:space="0" w:color="auto"/>
              <w:right w:val="single" w:sz="4" w:space="0" w:color="auto"/>
            </w:tcBorders>
            <w:shd w:val="clear" w:color="auto" w:fill="auto"/>
            <w:noWrap/>
            <w:vAlign w:val="bottom"/>
            <w:hideMark/>
          </w:tcPr>
          <w:p w14:paraId="0A1E27B0" w14:textId="77777777" w:rsidR="009072CE" w:rsidRPr="00A07F29" w:rsidRDefault="009072CE" w:rsidP="003041BD">
            <w:pPr>
              <w:spacing w:after="0" w:line="240" w:lineRule="auto"/>
              <w:jc w:val="center"/>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7851</w:t>
            </w:r>
          </w:p>
        </w:tc>
        <w:tc>
          <w:tcPr>
            <w:tcW w:w="1420" w:type="dxa"/>
            <w:tcBorders>
              <w:top w:val="nil"/>
              <w:left w:val="nil"/>
              <w:bottom w:val="single" w:sz="4" w:space="0" w:color="auto"/>
              <w:right w:val="single" w:sz="4" w:space="0" w:color="auto"/>
            </w:tcBorders>
            <w:shd w:val="clear" w:color="auto" w:fill="auto"/>
            <w:noWrap/>
            <w:vAlign w:val="bottom"/>
            <w:hideMark/>
          </w:tcPr>
          <w:p w14:paraId="41E53C77" w14:textId="77777777" w:rsidR="009072CE" w:rsidRPr="00A07F29" w:rsidRDefault="009072CE" w:rsidP="003041BD">
            <w:pPr>
              <w:spacing w:after="0" w:line="240" w:lineRule="auto"/>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Ūdrīši</w:t>
            </w:r>
          </w:p>
        </w:tc>
        <w:tc>
          <w:tcPr>
            <w:tcW w:w="6379" w:type="dxa"/>
            <w:tcBorders>
              <w:top w:val="nil"/>
              <w:left w:val="nil"/>
              <w:bottom w:val="single" w:sz="4" w:space="0" w:color="auto"/>
              <w:right w:val="single" w:sz="4" w:space="0" w:color="auto"/>
            </w:tcBorders>
            <w:shd w:val="clear" w:color="auto" w:fill="auto"/>
            <w:noWrap/>
            <w:vAlign w:val="center"/>
            <w:hideMark/>
          </w:tcPr>
          <w:p w14:paraId="124D7D8C" w14:textId="6811EC15" w:rsidR="009072CE" w:rsidRPr="00A07F29" w:rsidRDefault="009072CE" w:rsidP="003041BD">
            <w:pPr>
              <w:spacing w:after="0" w:line="240" w:lineRule="auto"/>
              <w:rPr>
                <w:rFonts w:ascii="Times New Roman" w:eastAsia="Times New Roman" w:hAnsi="Times New Roman" w:cs="Times New Roman"/>
                <w:b/>
                <w:bCs/>
                <w:color w:val="000000"/>
                <w:sz w:val="24"/>
                <w:szCs w:val="24"/>
              </w:rPr>
            </w:pPr>
            <w:r w:rsidRPr="00A07F29">
              <w:rPr>
                <w:rFonts w:ascii="Times New Roman" w:eastAsia="Times New Roman" w:hAnsi="Times New Roman" w:cs="Times New Roman"/>
                <w:b/>
                <w:bCs/>
                <w:color w:val="000000"/>
                <w:sz w:val="24"/>
                <w:szCs w:val="24"/>
              </w:rPr>
              <w:t xml:space="preserve"> </w:t>
            </w:r>
            <w:r w:rsidRPr="00A07F29">
              <w:rPr>
                <w:rFonts w:ascii="Times New Roman" w:eastAsia="Times New Roman" w:hAnsi="Times New Roman" w:cs="Times New Roman"/>
                <w:color w:val="000000"/>
                <w:sz w:val="24"/>
                <w:szCs w:val="24"/>
              </w:rPr>
              <w:t>IMI Adamova, Vāvere</w:t>
            </w:r>
          </w:p>
        </w:tc>
      </w:tr>
      <w:tr w:rsidR="009072CE" w:rsidRPr="00A07F29" w14:paraId="42E2BC95" w14:textId="77777777" w:rsidTr="008B09B8">
        <w:trPr>
          <w:trHeight w:val="315"/>
          <w:jc w:val="center"/>
        </w:trPr>
        <w:tc>
          <w:tcPr>
            <w:tcW w:w="990" w:type="dxa"/>
            <w:tcBorders>
              <w:top w:val="nil"/>
              <w:left w:val="single" w:sz="4" w:space="0" w:color="auto"/>
              <w:bottom w:val="single" w:sz="4" w:space="0" w:color="auto"/>
              <w:right w:val="single" w:sz="4" w:space="0" w:color="auto"/>
            </w:tcBorders>
            <w:shd w:val="clear" w:color="auto" w:fill="auto"/>
            <w:noWrap/>
            <w:vAlign w:val="bottom"/>
            <w:hideMark/>
          </w:tcPr>
          <w:p w14:paraId="4C081E66" w14:textId="77777777" w:rsidR="009072CE" w:rsidRPr="00A07F29" w:rsidRDefault="009072CE" w:rsidP="003041BD">
            <w:pPr>
              <w:spacing w:after="0" w:line="240" w:lineRule="auto"/>
              <w:jc w:val="center"/>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7853</w:t>
            </w:r>
          </w:p>
        </w:tc>
        <w:tc>
          <w:tcPr>
            <w:tcW w:w="1420" w:type="dxa"/>
            <w:tcBorders>
              <w:top w:val="nil"/>
              <w:left w:val="nil"/>
              <w:bottom w:val="single" w:sz="4" w:space="0" w:color="auto"/>
              <w:right w:val="single" w:sz="4" w:space="0" w:color="auto"/>
            </w:tcBorders>
            <w:shd w:val="clear" w:color="auto" w:fill="auto"/>
            <w:noWrap/>
            <w:vAlign w:val="bottom"/>
            <w:hideMark/>
          </w:tcPr>
          <w:p w14:paraId="6E8309A4" w14:textId="77777777" w:rsidR="009072CE" w:rsidRPr="00A07F29" w:rsidRDefault="009072CE" w:rsidP="003041BD">
            <w:pPr>
              <w:spacing w:after="0" w:line="240" w:lineRule="auto"/>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Priedaine</w:t>
            </w:r>
          </w:p>
        </w:tc>
        <w:tc>
          <w:tcPr>
            <w:tcW w:w="6379" w:type="dxa"/>
            <w:tcBorders>
              <w:top w:val="nil"/>
              <w:left w:val="nil"/>
              <w:bottom w:val="single" w:sz="4" w:space="0" w:color="auto"/>
              <w:right w:val="single" w:sz="4" w:space="0" w:color="auto"/>
            </w:tcBorders>
            <w:shd w:val="clear" w:color="auto" w:fill="auto"/>
            <w:noWrap/>
            <w:vAlign w:val="center"/>
            <w:hideMark/>
          </w:tcPr>
          <w:p w14:paraId="3415C992" w14:textId="58BCF23C" w:rsidR="009072CE" w:rsidRPr="00A07F29" w:rsidRDefault="009072CE" w:rsidP="003041BD">
            <w:pPr>
              <w:spacing w:after="0" w:line="240" w:lineRule="auto"/>
              <w:rPr>
                <w:rFonts w:ascii="Times New Roman" w:eastAsia="Times New Roman" w:hAnsi="Times New Roman" w:cs="Times New Roman"/>
                <w:b/>
                <w:bCs/>
                <w:color w:val="000000"/>
                <w:sz w:val="24"/>
                <w:szCs w:val="24"/>
              </w:rPr>
            </w:pPr>
            <w:r w:rsidRPr="00A07F29">
              <w:rPr>
                <w:rFonts w:ascii="Times New Roman" w:eastAsia="Times New Roman" w:hAnsi="Times New Roman" w:cs="Times New Roman"/>
                <w:b/>
                <w:bCs/>
                <w:color w:val="000000"/>
                <w:sz w:val="24"/>
                <w:szCs w:val="24"/>
              </w:rPr>
              <w:t xml:space="preserve"> </w:t>
            </w:r>
            <w:r w:rsidRPr="00A07F29">
              <w:rPr>
                <w:rFonts w:ascii="Times New Roman" w:eastAsia="Times New Roman" w:hAnsi="Times New Roman" w:cs="Times New Roman"/>
                <w:color w:val="000000"/>
                <w:sz w:val="24"/>
                <w:szCs w:val="24"/>
              </w:rPr>
              <w:t>Priedaine</w:t>
            </w:r>
          </w:p>
        </w:tc>
      </w:tr>
      <w:tr w:rsidR="009072CE" w:rsidRPr="00A07F29" w14:paraId="57A17827" w14:textId="77777777" w:rsidTr="008B09B8">
        <w:trPr>
          <w:trHeight w:val="315"/>
          <w:jc w:val="center"/>
        </w:trPr>
        <w:tc>
          <w:tcPr>
            <w:tcW w:w="990" w:type="dxa"/>
            <w:tcBorders>
              <w:top w:val="nil"/>
              <w:left w:val="single" w:sz="4" w:space="0" w:color="auto"/>
              <w:bottom w:val="single" w:sz="4" w:space="0" w:color="auto"/>
              <w:right w:val="single" w:sz="4" w:space="0" w:color="auto"/>
            </w:tcBorders>
            <w:shd w:val="clear" w:color="auto" w:fill="auto"/>
            <w:noWrap/>
            <w:vAlign w:val="bottom"/>
            <w:hideMark/>
          </w:tcPr>
          <w:p w14:paraId="0F69721B" w14:textId="77777777" w:rsidR="009072CE" w:rsidRPr="00A07F29" w:rsidRDefault="009072CE" w:rsidP="003041BD">
            <w:pPr>
              <w:spacing w:after="0" w:line="240" w:lineRule="auto"/>
              <w:jc w:val="center"/>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7854</w:t>
            </w:r>
          </w:p>
        </w:tc>
        <w:tc>
          <w:tcPr>
            <w:tcW w:w="1420" w:type="dxa"/>
            <w:tcBorders>
              <w:top w:val="nil"/>
              <w:left w:val="nil"/>
              <w:bottom w:val="single" w:sz="4" w:space="0" w:color="auto"/>
              <w:right w:val="single" w:sz="4" w:space="0" w:color="auto"/>
            </w:tcBorders>
            <w:shd w:val="clear" w:color="auto" w:fill="auto"/>
            <w:noWrap/>
            <w:vAlign w:val="bottom"/>
            <w:hideMark/>
          </w:tcPr>
          <w:p w14:paraId="5B4B1E58" w14:textId="77777777" w:rsidR="009072CE" w:rsidRPr="00A07F29" w:rsidRDefault="009072CE" w:rsidP="003041BD">
            <w:pPr>
              <w:spacing w:after="0" w:line="240" w:lineRule="auto"/>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Krāslava</w:t>
            </w:r>
          </w:p>
        </w:tc>
        <w:tc>
          <w:tcPr>
            <w:tcW w:w="6379" w:type="dxa"/>
            <w:tcBorders>
              <w:top w:val="nil"/>
              <w:left w:val="nil"/>
              <w:bottom w:val="single" w:sz="4" w:space="0" w:color="auto"/>
              <w:right w:val="single" w:sz="4" w:space="0" w:color="auto"/>
            </w:tcBorders>
            <w:shd w:val="clear" w:color="auto" w:fill="auto"/>
            <w:noWrap/>
            <w:vAlign w:val="center"/>
            <w:hideMark/>
          </w:tcPr>
          <w:p w14:paraId="6BD7FA12" w14:textId="697276D7" w:rsidR="009072CE" w:rsidRPr="00A07F29" w:rsidRDefault="009072CE" w:rsidP="003041BD">
            <w:pPr>
              <w:spacing w:after="0" w:line="240" w:lineRule="auto"/>
              <w:rPr>
                <w:rFonts w:ascii="Times New Roman" w:eastAsia="Times New Roman" w:hAnsi="Times New Roman" w:cs="Times New Roman"/>
                <w:b/>
                <w:bCs/>
                <w:color w:val="000000"/>
                <w:sz w:val="24"/>
                <w:szCs w:val="24"/>
              </w:rPr>
            </w:pPr>
            <w:r w:rsidRPr="00A07F29">
              <w:rPr>
                <w:rFonts w:ascii="Times New Roman" w:eastAsia="Times New Roman" w:hAnsi="Times New Roman" w:cs="Times New Roman"/>
                <w:b/>
                <w:bCs/>
                <w:color w:val="000000"/>
                <w:sz w:val="24"/>
                <w:szCs w:val="24"/>
              </w:rPr>
              <w:t xml:space="preserve"> </w:t>
            </w:r>
            <w:r w:rsidRPr="00A07F29">
              <w:rPr>
                <w:rFonts w:ascii="Times New Roman" w:eastAsia="Times New Roman" w:hAnsi="Times New Roman" w:cs="Times New Roman"/>
                <w:color w:val="000000"/>
                <w:sz w:val="24"/>
                <w:szCs w:val="24"/>
              </w:rPr>
              <w:t xml:space="preserve">Daugava, Krāslava, </w:t>
            </w:r>
            <w:proofErr w:type="spellStart"/>
            <w:r w:rsidRPr="00A07F29">
              <w:rPr>
                <w:rFonts w:ascii="Times New Roman" w:eastAsia="Times New Roman" w:hAnsi="Times New Roman" w:cs="Times New Roman"/>
                <w:color w:val="000000"/>
                <w:sz w:val="24"/>
                <w:szCs w:val="24"/>
              </w:rPr>
              <w:t>Zlaukti</w:t>
            </w:r>
            <w:proofErr w:type="spellEnd"/>
          </w:p>
        </w:tc>
      </w:tr>
      <w:tr w:rsidR="009072CE" w:rsidRPr="00A07F29" w14:paraId="18191A07" w14:textId="77777777" w:rsidTr="008B09B8">
        <w:trPr>
          <w:trHeight w:val="315"/>
          <w:jc w:val="center"/>
        </w:trPr>
        <w:tc>
          <w:tcPr>
            <w:tcW w:w="990" w:type="dxa"/>
            <w:tcBorders>
              <w:top w:val="nil"/>
              <w:left w:val="single" w:sz="4" w:space="0" w:color="auto"/>
              <w:bottom w:val="single" w:sz="4" w:space="0" w:color="auto"/>
              <w:right w:val="single" w:sz="4" w:space="0" w:color="auto"/>
            </w:tcBorders>
            <w:shd w:val="clear" w:color="auto" w:fill="auto"/>
            <w:noWrap/>
            <w:vAlign w:val="bottom"/>
            <w:hideMark/>
          </w:tcPr>
          <w:p w14:paraId="688B547F" w14:textId="77777777" w:rsidR="009072CE" w:rsidRPr="00A07F29" w:rsidRDefault="009072CE" w:rsidP="003041BD">
            <w:pPr>
              <w:spacing w:after="0" w:line="240" w:lineRule="auto"/>
              <w:jc w:val="center"/>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7856</w:t>
            </w:r>
          </w:p>
        </w:tc>
        <w:tc>
          <w:tcPr>
            <w:tcW w:w="1420" w:type="dxa"/>
            <w:tcBorders>
              <w:top w:val="nil"/>
              <w:left w:val="nil"/>
              <w:bottom w:val="single" w:sz="4" w:space="0" w:color="auto"/>
              <w:right w:val="single" w:sz="4" w:space="0" w:color="auto"/>
            </w:tcBorders>
            <w:shd w:val="clear" w:color="auto" w:fill="auto"/>
            <w:noWrap/>
            <w:vAlign w:val="bottom"/>
            <w:hideMark/>
          </w:tcPr>
          <w:p w14:paraId="44356E4B" w14:textId="77777777" w:rsidR="009072CE" w:rsidRPr="00A07F29" w:rsidRDefault="009072CE" w:rsidP="003041BD">
            <w:pPr>
              <w:spacing w:after="0" w:line="240" w:lineRule="auto"/>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Loks</w:t>
            </w:r>
          </w:p>
        </w:tc>
        <w:tc>
          <w:tcPr>
            <w:tcW w:w="6379" w:type="dxa"/>
            <w:tcBorders>
              <w:top w:val="nil"/>
              <w:left w:val="nil"/>
              <w:bottom w:val="single" w:sz="4" w:space="0" w:color="auto"/>
              <w:right w:val="single" w:sz="4" w:space="0" w:color="auto"/>
            </w:tcBorders>
            <w:shd w:val="clear" w:color="auto" w:fill="auto"/>
            <w:noWrap/>
            <w:vAlign w:val="center"/>
            <w:hideMark/>
          </w:tcPr>
          <w:p w14:paraId="50D50B23" w14:textId="05AA93B2" w:rsidR="009072CE" w:rsidRPr="00A07F29" w:rsidRDefault="009072CE" w:rsidP="003041BD">
            <w:pPr>
              <w:spacing w:after="0" w:line="240" w:lineRule="auto"/>
              <w:rPr>
                <w:rFonts w:ascii="Times New Roman" w:eastAsia="Times New Roman" w:hAnsi="Times New Roman" w:cs="Times New Roman"/>
                <w:b/>
                <w:bCs/>
                <w:color w:val="000000"/>
                <w:sz w:val="24"/>
                <w:szCs w:val="24"/>
              </w:rPr>
            </w:pPr>
            <w:r w:rsidRPr="00A07F29">
              <w:rPr>
                <w:rFonts w:ascii="Times New Roman" w:eastAsia="Times New Roman" w:hAnsi="Times New Roman" w:cs="Times New Roman"/>
                <w:b/>
                <w:bCs/>
                <w:color w:val="000000"/>
                <w:sz w:val="24"/>
                <w:szCs w:val="24"/>
              </w:rPr>
              <w:t xml:space="preserve"> </w:t>
            </w:r>
            <w:r w:rsidRPr="00A07F29">
              <w:rPr>
                <w:rFonts w:ascii="Times New Roman" w:eastAsia="Times New Roman" w:hAnsi="Times New Roman" w:cs="Times New Roman"/>
                <w:color w:val="000000"/>
                <w:sz w:val="24"/>
                <w:szCs w:val="24"/>
              </w:rPr>
              <w:t>Loks</w:t>
            </w:r>
          </w:p>
        </w:tc>
      </w:tr>
      <w:tr w:rsidR="009072CE" w:rsidRPr="00A07F29" w14:paraId="48C66ECE" w14:textId="77777777" w:rsidTr="008B09B8">
        <w:trPr>
          <w:trHeight w:val="315"/>
          <w:jc w:val="center"/>
        </w:trPr>
        <w:tc>
          <w:tcPr>
            <w:tcW w:w="990" w:type="dxa"/>
            <w:tcBorders>
              <w:top w:val="nil"/>
              <w:left w:val="single" w:sz="4" w:space="0" w:color="auto"/>
              <w:bottom w:val="single" w:sz="4" w:space="0" w:color="auto"/>
              <w:right w:val="single" w:sz="4" w:space="0" w:color="auto"/>
            </w:tcBorders>
            <w:shd w:val="clear" w:color="auto" w:fill="auto"/>
            <w:noWrap/>
            <w:vAlign w:val="bottom"/>
            <w:hideMark/>
          </w:tcPr>
          <w:p w14:paraId="16084FFE" w14:textId="77777777" w:rsidR="009072CE" w:rsidRPr="00A07F29" w:rsidRDefault="009072CE" w:rsidP="003041BD">
            <w:pPr>
              <w:spacing w:after="0" w:line="240" w:lineRule="auto"/>
              <w:jc w:val="center"/>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7857</w:t>
            </w:r>
          </w:p>
        </w:tc>
        <w:tc>
          <w:tcPr>
            <w:tcW w:w="1420" w:type="dxa"/>
            <w:tcBorders>
              <w:top w:val="nil"/>
              <w:left w:val="nil"/>
              <w:bottom w:val="single" w:sz="4" w:space="0" w:color="auto"/>
              <w:right w:val="single" w:sz="4" w:space="0" w:color="auto"/>
            </w:tcBorders>
            <w:shd w:val="clear" w:color="auto" w:fill="auto"/>
            <w:noWrap/>
            <w:vAlign w:val="bottom"/>
            <w:hideMark/>
          </w:tcPr>
          <w:p w14:paraId="57F187C2" w14:textId="77777777" w:rsidR="009072CE" w:rsidRPr="00A07F29" w:rsidRDefault="009072CE" w:rsidP="003041BD">
            <w:pPr>
              <w:spacing w:after="0" w:line="240" w:lineRule="auto"/>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Kalnieši</w:t>
            </w:r>
          </w:p>
        </w:tc>
        <w:tc>
          <w:tcPr>
            <w:tcW w:w="6379" w:type="dxa"/>
            <w:tcBorders>
              <w:top w:val="nil"/>
              <w:left w:val="nil"/>
              <w:bottom w:val="single" w:sz="4" w:space="0" w:color="auto"/>
              <w:right w:val="single" w:sz="4" w:space="0" w:color="auto"/>
            </w:tcBorders>
            <w:shd w:val="clear" w:color="auto" w:fill="auto"/>
            <w:noWrap/>
            <w:vAlign w:val="center"/>
            <w:hideMark/>
          </w:tcPr>
          <w:p w14:paraId="67F1F810" w14:textId="5F621E42" w:rsidR="009072CE" w:rsidRPr="00A07F29" w:rsidRDefault="009072CE" w:rsidP="003041BD">
            <w:pPr>
              <w:spacing w:after="0" w:line="240" w:lineRule="auto"/>
              <w:rPr>
                <w:rFonts w:ascii="Times New Roman" w:eastAsia="Times New Roman" w:hAnsi="Times New Roman" w:cs="Times New Roman"/>
                <w:b/>
                <w:bCs/>
                <w:color w:val="000000"/>
                <w:sz w:val="24"/>
                <w:szCs w:val="24"/>
              </w:rPr>
            </w:pPr>
            <w:r w:rsidRPr="00A07F29">
              <w:rPr>
                <w:rFonts w:ascii="Times New Roman" w:eastAsia="Times New Roman" w:hAnsi="Times New Roman" w:cs="Times New Roman"/>
                <w:b/>
                <w:bCs/>
                <w:color w:val="000000"/>
                <w:sz w:val="24"/>
                <w:szCs w:val="24"/>
              </w:rPr>
              <w:t xml:space="preserve"> </w:t>
            </w:r>
            <w:r w:rsidRPr="00A07F29">
              <w:rPr>
                <w:rFonts w:ascii="Times New Roman" w:eastAsia="Times New Roman" w:hAnsi="Times New Roman" w:cs="Times New Roman"/>
                <w:color w:val="000000"/>
                <w:sz w:val="24"/>
                <w:szCs w:val="24"/>
              </w:rPr>
              <w:t>Kalniešu Mednieks</w:t>
            </w:r>
          </w:p>
        </w:tc>
      </w:tr>
      <w:tr w:rsidR="009072CE" w:rsidRPr="00A07F29" w14:paraId="480FC3CC" w14:textId="77777777" w:rsidTr="008B09B8">
        <w:trPr>
          <w:trHeight w:val="315"/>
          <w:jc w:val="center"/>
        </w:trPr>
        <w:tc>
          <w:tcPr>
            <w:tcW w:w="990" w:type="dxa"/>
            <w:tcBorders>
              <w:top w:val="nil"/>
              <w:left w:val="single" w:sz="4" w:space="0" w:color="auto"/>
              <w:bottom w:val="single" w:sz="4" w:space="0" w:color="auto"/>
              <w:right w:val="single" w:sz="4" w:space="0" w:color="auto"/>
            </w:tcBorders>
            <w:shd w:val="clear" w:color="auto" w:fill="auto"/>
            <w:noWrap/>
            <w:vAlign w:val="bottom"/>
            <w:hideMark/>
          </w:tcPr>
          <w:p w14:paraId="7F95AB60" w14:textId="77777777" w:rsidR="009072CE" w:rsidRPr="00A07F29" w:rsidRDefault="009072CE" w:rsidP="003041BD">
            <w:pPr>
              <w:spacing w:after="0" w:line="240" w:lineRule="auto"/>
              <w:jc w:val="center"/>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7860</w:t>
            </w:r>
          </w:p>
        </w:tc>
        <w:tc>
          <w:tcPr>
            <w:tcW w:w="1420" w:type="dxa"/>
            <w:tcBorders>
              <w:top w:val="nil"/>
              <w:left w:val="nil"/>
              <w:bottom w:val="single" w:sz="4" w:space="0" w:color="auto"/>
              <w:right w:val="single" w:sz="4" w:space="0" w:color="auto"/>
            </w:tcBorders>
            <w:shd w:val="clear" w:color="auto" w:fill="auto"/>
            <w:noWrap/>
            <w:vAlign w:val="bottom"/>
            <w:hideMark/>
          </w:tcPr>
          <w:p w14:paraId="2BDC7A36" w14:textId="77777777" w:rsidR="009072CE" w:rsidRPr="00A07F29" w:rsidRDefault="009072CE" w:rsidP="003041BD">
            <w:pPr>
              <w:spacing w:after="0" w:line="240" w:lineRule="auto"/>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Piedruja</w:t>
            </w:r>
          </w:p>
        </w:tc>
        <w:tc>
          <w:tcPr>
            <w:tcW w:w="6379" w:type="dxa"/>
            <w:tcBorders>
              <w:top w:val="nil"/>
              <w:left w:val="nil"/>
              <w:bottom w:val="single" w:sz="4" w:space="0" w:color="auto"/>
              <w:right w:val="single" w:sz="4" w:space="0" w:color="auto"/>
            </w:tcBorders>
            <w:shd w:val="clear" w:color="auto" w:fill="auto"/>
            <w:noWrap/>
            <w:vAlign w:val="center"/>
            <w:hideMark/>
          </w:tcPr>
          <w:p w14:paraId="444938AB" w14:textId="093094A7" w:rsidR="009072CE" w:rsidRPr="00A07F29" w:rsidRDefault="009072CE" w:rsidP="003041BD">
            <w:pPr>
              <w:spacing w:after="0" w:line="240" w:lineRule="auto"/>
              <w:rPr>
                <w:rFonts w:ascii="Times New Roman" w:eastAsia="Times New Roman" w:hAnsi="Times New Roman" w:cs="Times New Roman"/>
                <w:b/>
                <w:bCs/>
                <w:color w:val="000000"/>
                <w:sz w:val="24"/>
                <w:szCs w:val="24"/>
              </w:rPr>
            </w:pPr>
            <w:r w:rsidRPr="00A07F29">
              <w:rPr>
                <w:rFonts w:ascii="Times New Roman" w:eastAsia="Times New Roman" w:hAnsi="Times New Roman" w:cs="Times New Roman"/>
                <w:b/>
                <w:bCs/>
                <w:color w:val="000000"/>
                <w:sz w:val="24"/>
                <w:szCs w:val="24"/>
              </w:rPr>
              <w:t xml:space="preserve"> </w:t>
            </w:r>
            <w:r w:rsidRPr="00A07F29">
              <w:rPr>
                <w:rFonts w:ascii="Times New Roman" w:eastAsia="Times New Roman" w:hAnsi="Times New Roman" w:cs="Times New Roman"/>
                <w:color w:val="000000"/>
                <w:sz w:val="24"/>
                <w:szCs w:val="24"/>
              </w:rPr>
              <w:t>Piedruja</w:t>
            </w:r>
          </w:p>
        </w:tc>
      </w:tr>
      <w:bookmarkEnd w:id="34"/>
    </w:tbl>
    <w:p w14:paraId="1FD7547C" w14:textId="1C84D897" w:rsidR="009072CE" w:rsidRPr="00A07F29" w:rsidRDefault="009072CE" w:rsidP="003041BD">
      <w:pPr>
        <w:spacing w:after="120" w:line="240" w:lineRule="auto"/>
        <w:ind w:firstLine="851"/>
        <w:jc w:val="both"/>
        <w:rPr>
          <w:rFonts w:ascii="Times New Roman" w:eastAsia="Calibri" w:hAnsi="Times New Roman" w:cs="Calibri"/>
          <w:sz w:val="24"/>
        </w:rPr>
      </w:pPr>
    </w:p>
    <w:p w14:paraId="45DC9E60" w14:textId="24F33170" w:rsidR="005A565B" w:rsidRPr="00A07F29" w:rsidRDefault="000D5599" w:rsidP="003041BD">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Nozīmīgākie medījamie dzīvnieki AAA “Augšdaugava” teritorijā ir stirnas, aļņi un mežacūkas. </w:t>
      </w:r>
      <w:r w:rsidR="005A565B" w:rsidRPr="00A07F29">
        <w:rPr>
          <w:rFonts w:ascii="Times New Roman" w:eastAsia="Calibri" w:hAnsi="Times New Roman" w:cs="Calibri"/>
          <w:sz w:val="24"/>
        </w:rPr>
        <w:t>2018./2019.</w:t>
      </w:r>
      <w:r w:rsidR="00064C31" w:rsidRPr="00A07F29">
        <w:rPr>
          <w:rFonts w:ascii="Times New Roman" w:eastAsia="Calibri" w:hAnsi="Times New Roman" w:cs="Calibri"/>
          <w:sz w:val="24"/>
        </w:rPr>
        <w:t> </w:t>
      </w:r>
      <w:r w:rsidR="005A565B" w:rsidRPr="00A07F29">
        <w:rPr>
          <w:rFonts w:ascii="Times New Roman" w:eastAsia="Calibri" w:hAnsi="Times New Roman" w:cs="Calibri"/>
          <w:sz w:val="24"/>
        </w:rPr>
        <w:t>gada sezonā AAA “Augšdaugava” ir nomedīti 86 aļņi, 181 mežacūka un 340 stirnas (</w:t>
      </w:r>
      <w:r w:rsidR="00064C31" w:rsidRPr="00A07F29">
        <w:rPr>
          <w:rFonts w:ascii="Times New Roman" w:eastAsia="Calibri" w:hAnsi="Times New Roman" w:cs="Calibri"/>
          <w:sz w:val="24"/>
        </w:rPr>
        <w:t xml:space="preserve">skat. </w:t>
      </w:r>
      <w:r w:rsidR="005A565B" w:rsidRPr="00A07F29">
        <w:rPr>
          <w:rFonts w:ascii="Times New Roman" w:eastAsia="Calibri" w:hAnsi="Times New Roman" w:cs="Calibri"/>
          <w:sz w:val="24"/>
        </w:rPr>
        <w:t>3.6.2.</w:t>
      </w:r>
      <w:r w:rsidR="00064C31" w:rsidRPr="00A07F29">
        <w:rPr>
          <w:rFonts w:ascii="Times New Roman" w:eastAsia="Calibri" w:hAnsi="Times New Roman" w:cs="Calibri"/>
          <w:sz w:val="24"/>
        </w:rPr>
        <w:t> </w:t>
      </w:r>
      <w:r w:rsidR="005A565B" w:rsidRPr="00A07F29">
        <w:rPr>
          <w:rFonts w:ascii="Times New Roman" w:eastAsia="Calibri" w:hAnsi="Times New Roman" w:cs="Calibri"/>
          <w:sz w:val="24"/>
        </w:rPr>
        <w:t>tabula). Šajā sezonā teritorijā nav nomedīts neviens staltbriedis, jo staltbriežu blīvums šeit ir ļoti zems – 2018.</w:t>
      </w:r>
      <w:r w:rsidR="00685C86" w:rsidRPr="00A07F29">
        <w:rPr>
          <w:rFonts w:ascii="Times New Roman" w:eastAsia="Calibri" w:hAnsi="Times New Roman" w:cs="Calibri"/>
          <w:sz w:val="24"/>
        </w:rPr>
        <w:t> </w:t>
      </w:r>
      <w:r w:rsidR="005A565B" w:rsidRPr="00A07F29">
        <w:rPr>
          <w:rFonts w:ascii="Times New Roman" w:eastAsia="Calibri" w:hAnsi="Times New Roman" w:cs="Calibri"/>
          <w:sz w:val="24"/>
        </w:rPr>
        <w:t xml:space="preserve">gadā medību iecirkņu uzskaites vienībās uzskaitīti kopā tikai </w:t>
      </w:r>
      <w:r w:rsidR="00685C86" w:rsidRPr="00A07F29">
        <w:rPr>
          <w:rFonts w:ascii="Times New Roman" w:eastAsia="Calibri" w:hAnsi="Times New Roman" w:cs="Calibri"/>
          <w:sz w:val="24"/>
        </w:rPr>
        <w:t>seši</w:t>
      </w:r>
      <w:r w:rsidR="005A565B" w:rsidRPr="00A07F29">
        <w:rPr>
          <w:rFonts w:ascii="Times New Roman" w:eastAsia="Calibri" w:hAnsi="Times New Roman" w:cs="Calibri"/>
          <w:sz w:val="24"/>
        </w:rPr>
        <w:t xml:space="preserve"> staltbrieži. </w:t>
      </w:r>
    </w:p>
    <w:p w14:paraId="7ED973C8" w14:textId="776EED62" w:rsidR="00EF6958" w:rsidRPr="00A07F29" w:rsidRDefault="00EF6958" w:rsidP="001E1B7F">
      <w:pPr>
        <w:spacing w:before="240" w:after="120" w:line="240" w:lineRule="auto"/>
        <w:jc w:val="center"/>
        <w:rPr>
          <w:rFonts w:ascii="Times New Roman" w:eastAsia="Calibri" w:hAnsi="Times New Roman" w:cs="Calibri"/>
          <w:sz w:val="24"/>
        </w:rPr>
      </w:pPr>
      <w:r w:rsidRPr="00A07F29">
        <w:rPr>
          <w:rFonts w:ascii="Times New Roman" w:eastAsia="Calibri" w:hAnsi="Times New Roman" w:cs="Calibri"/>
          <w:sz w:val="24"/>
        </w:rPr>
        <w:t>3.6.</w:t>
      </w:r>
      <w:r w:rsidR="005A565B" w:rsidRPr="00A07F29">
        <w:rPr>
          <w:rFonts w:ascii="Times New Roman" w:eastAsia="Calibri" w:hAnsi="Times New Roman" w:cs="Calibri"/>
          <w:sz w:val="24"/>
        </w:rPr>
        <w:t>2</w:t>
      </w:r>
      <w:r w:rsidRPr="00A07F29">
        <w:rPr>
          <w:rFonts w:ascii="Times New Roman" w:eastAsia="Calibri" w:hAnsi="Times New Roman" w:cs="Calibri"/>
          <w:sz w:val="24"/>
        </w:rPr>
        <w:t>.</w:t>
      </w:r>
      <w:r w:rsidR="00685C86" w:rsidRPr="00A07F29">
        <w:rPr>
          <w:rFonts w:ascii="Times New Roman" w:eastAsia="Calibri" w:hAnsi="Times New Roman" w:cs="Calibri"/>
          <w:sz w:val="24"/>
        </w:rPr>
        <w:t> </w:t>
      </w:r>
      <w:r w:rsidRPr="00A07F29">
        <w:rPr>
          <w:rFonts w:ascii="Times New Roman" w:eastAsia="Calibri" w:hAnsi="Times New Roman" w:cs="Calibri"/>
          <w:sz w:val="24"/>
        </w:rPr>
        <w:t xml:space="preserve">tabula. </w:t>
      </w:r>
      <w:r w:rsidR="000E6B83" w:rsidRPr="00A07F29">
        <w:rPr>
          <w:rFonts w:ascii="Times New Roman" w:eastAsia="Calibri" w:hAnsi="Times New Roman" w:cs="Calibri"/>
          <w:sz w:val="24"/>
        </w:rPr>
        <w:t>N</w:t>
      </w:r>
      <w:r w:rsidRPr="00A07F29">
        <w:rPr>
          <w:rFonts w:ascii="Times New Roman" w:eastAsia="Calibri" w:hAnsi="Times New Roman" w:cs="Calibri"/>
          <w:sz w:val="24"/>
        </w:rPr>
        <w:t>omedītie medījamie dzīvnieki AAA “Augšdaugava” teritorijā</w:t>
      </w:r>
      <w:r w:rsidR="000E6B83" w:rsidRPr="00A07F29">
        <w:rPr>
          <w:rFonts w:ascii="Times New Roman" w:eastAsia="Calibri" w:hAnsi="Times New Roman" w:cs="Calibri"/>
          <w:sz w:val="24"/>
        </w:rPr>
        <w:t xml:space="preserve"> </w:t>
      </w:r>
      <w:r w:rsidRPr="00A07F29">
        <w:rPr>
          <w:rFonts w:ascii="Times New Roman" w:eastAsia="Calibri" w:hAnsi="Times New Roman" w:cs="Calibri"/>
          <w:sz w:val="24"/>
        </w:rPr>
        <w:t>2018./2019.</w:t>
      </w:r>
      <w:r w:rsidR="00003E9E" w:rsidRPr="00A07F29">
        <w:rPr>
          <w:rFonts w:ascii="Times New Roman" w:eastAsia="Calibri" w:hAnsi="Times New Roman" w:cs="Calibri"/>
          <w:sz w:val="24"/>
        </w:rPr>
        <w:t> </w:t>
      </w:r>
      <w:r w:rsidRPr="00A07F29">
        <w:rPr>
          <w:rFonts w:ascii="Times New Roman" w:eastAsia="Calibri" w:hAnsi="Times New Roman" w:cs="Calibri"/>
          <w:sz w:val="24"/>
        </w:rPr>
        <w:t>gada sezonā (VMD</w:t>
      </w:r>
      <w:r w:rsidR="00883139">
        <w:rPr>
          <w:rFonts w:ascii="Times New Roman" w:eastAsia="Calibri" w:hAnsi="Times New Roman" w:cs="Calibri"/>
          <w:sz w:val="24"/>
        </w:rPr>
        <w:t xml:space="preserve"> dati</w:t>
      </w:r>
      <w:r w:rsidRPr="00A07F29">
        <w:rPr>
          <w:rFonts w:ascii="Times New Roman" w:eastAsia="Calibri" w:hAnsi="Times New Roman" w:cs="Calibri"/>
          <w:sz w:val="24"/>
        </w:rPr>
        <w:t>, 2019).</w:t>
      </w:r>
    </w:p>
    <w:tbl>
      <w:tblPr>
        <w:tblW w:w="6408" w:type="dxa"/>
        <w:jc w:val="center"/>
        <w:tblLayout w:type="fixed"/>
        <w:tblLook w:val="04A0" w:firstRow="1" w:lastRow="0" w:firstColumn="1" w:lastColumn="0" w:noHBand="0" w:noVBand="1"/>
      </w:tblPr>
      <w:tblGrid>
        <w:gridCol w:w="1305"/>
        <w:gridCol w:w="1985"/>
        <w:gridCol w:w="992"/>
        <w:gridCol w:w="1242"/>
        <w:gridCol w:w="884"/>
      </w:tblGrid>
      <w:tr w:rsidR="00620333" w:rsidRPr="00A07F29" w14:paraId="05E6B3E8" w14:textId="153CFE4F" w:rsidTr="00003E9E">
        <w:trPr>
          <w:trHeight w:val="605"/>
          <w:jc w:val="center"/>
        </w:trPr>
        <w:tc>
          <w:tcPr>
            <w:tcW w:w="1305"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vAlign w:val="center"/>
          </w:tcPr>
          <w:p w14:paraId="5498FE53" w14:textId="77777777" w:rsidR="00620333" w:rsidRPr="00A07F29" w:rsidRDefault="00620333" w:rsidP="003041BD">
            <w:pPr>
              <w:spacing w:after="0" w:line="240" w:lineRule="auto"/>
              <w:jc w:val="center"/>
              <w:rPr>
                <w:rFonts w:ascii="Times New Roman" w:eastAsia="Times New Roman" w:hAnsi="Times New Roman" w:cs="Times New Roman"/>
                <w:color w:val="000000"/>
                <w:sz w:val="24"/>
                <w:szCs w:val="24"/>
              </w:rPr>
            </w:pPr>
            <w:r w:rsidRPr="00A07F29">
              <w:rPr>
                <w:rFonts w:ascii="Times New Roman" w:eastAsia="Calibri" w:hAnsi="Times New Roman" w:cs="Times New Roman"/>
                <w:color w:val="000000"/>
                <w:sz w:val="24"/>
                <w:szCs w:val="24"/>
              </w:rPr>
              <w:t>Numurs</w:t>
            </w:r>
          </w:p>
        </w:tc>
        <w:tc>
          <w:tcPr>
            <w:tcW w:w="1985" w:type="dxa"/>
            <w:tcBorders>
              <w:top w:val="single" w:sz="4" w:space="0" w:color="auto"/>
              <w:left w:val="nil"/>
              <w:bottom w:val="single" w:sz="4" w:space="0" w:color="auto"/>
              <w:right w:val="single" w:sz="4" w:space="0" w:color="auto"/>
            </w:tcBorders>
            <w:shd w:val="clear" w:color="auto" w:fill="D6E3BC" w:themeFill="accent3" w:themeFillTint="66"/>
            <w:noWrap/>
            <w:vAlign w:val="center"/>
          </w:tcPr>
          <w:p w14:paraId="0C619670" w14:textId="77777777" w:rsidR="00620333" w:rsidRPr="00A07F29" w:rsidRDefault="00620333" w:rsidP="003041BD">
            <w:pPr>
              <w:spacing w:after="0" w:line="240" w:lineRule="auto"/>
              <w:jc w:val="center"/>
              <w:rPr>
                <w:rFonts w:ascii="Times New Roman" w:eastAsia="Times New Roman" w:hAnsi="Times New Roman" w:cs="Times New Roman"/>
                <w:color w:val="000000"/>
                <w:sz w:val="24"/>
                <w:szCs w:val="24"/>
              </w:rPr>
            </w:pPr>
            <w:r w:rsidRPr="00A07F29">
              <w:rPr>
                <w:rFonts w:ascii="Times New Roman" w:eastAsia="Calibri" w:hAnsi="Times New Roman" w:cs="Times New Roman"/>
                <w:color w:val="000000"/>
                <w:sz w:val="24"/>
                <w:szCs w:val="24"/>
              </w:rPr>
              <w:t>Uzskaites vienība</w:t>
            </w:r>
          </w:p>
        </w:tc>
        <w:tc>
          <w:tcPr>
            <w:tcW w:w="992" w:type="dxa"/>
            <w:tcBorders>
              <w:top w:val="single" w:sz="4" w:space="0" w:color="auto"/>
              <w:left w:val="nil"/>
              <w:bottom w:val="single" w:sz="4" w:space="0" w:color="auto"/>
              <w:right w:val="single" w:sz="4" w:space="0" w:color="auto"/>
            </w:tcBorders>
            <w:shd w:val="clear" w:color="auto" w:fill="D6E3BC" w:themeFill="accent3" w:themeFillTint="66"/>
            <w:noWrap/>
            <w:vAlign w:val="center"/>
          </w:tcPr>
          <w:p w14:paraId="16D509D3" w14:textId="063462A2" w:rsidR="00620333" w:rsidRPr="00A07F29" w:rsidRDefault="00620333" w:rsidP="003041BD">
            <w:pPr>
              <w:spacing w:after="0" w:line="240" w:lineRule="auto"/>
              <w:jc w:val="center"/>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Alnis</w:t>
            </w:r>
          </w:p>
        </w:tc>
        <w:tc>
          <w:tcPr>
            <w:tcW w:w="1242" w:type="dxa"/>
            <w:tcBorders>
              <w:top w:val="single" w:sz="4" w:space="0" w:color="auto"/>
              <w:left w:val="nil"/>
              <w:bottom w:val="single" w:sz="4" w:space="0" w:color="auto"/>
              <w:right w:val="single" w:sz="4" w:space="0" w:color="auto"/>
            </w:tcBorders>
            <w:shd w:val="clear" w:color="auto" w:fill="D6E3BC" w:themeFill="accent3" w:themeFillTint="66"/>
            <w:vAlign w:val="center"/>
          </w:tcPr>
          <w:p w14:paraId="52021EE9" w14:textId="6B883586" w:rsidR="00620333" w:rsidRPr="00A07F29" w:rsidRDefault="00620333" w:rsidP="003041BD">
            <w:pPr>
              <w:spacing w:after="0" w:line="240" w:lineRule="auto"/>
              <w:jc w:val="center"/>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Mežacūka</w:t>
            </w:r>
          </w:p>
        </w:tc>
        <w:tc>
          <w:tcPr>
            <w:tcW w:w="884" w:type="dxa"/>
            <w:tcBorders>
              <w:top w:val="single" w:sz="4" w:space="0" w:color="auto"/>
              <w:left w:val="nil"/>
              <w:bottom w:val="single" w:sz="4" w:space="0" w:color="auto"/>
              <w:right w:val="single" w:sz="4" w:space="0" w:color="auto"/>
            </w:tcBorders>
            <w:shd w:val="clear" w:color="auto" w:fill="D6E3BC" w:themeFill="accent3" w:themeFillTint="66"/>
            <w:vAlign w:val="center"/>
          </w:tcPr>
          <w:p w14:paraId="37526B5A" w14:textId="045E4B3D" w:rsidR="00620333" w:rsidRPr="00A07F29" w:rsidRDefault="00620333" w:rsidP="003041BD">
            <w:pPr>
              <w:spacing w:after="0" w:line="240" w:lineRule="auto"/>
              <w:jc w:val="center"/>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Stirna</w:t>
            </w:r>
          </w:p>
        </w:tc>
      </w:tr>
      <w:tr w:rsidR="00620333" w:rsidRPr="00A07F29" w14:paraId="3649E535" w14:textId="4EBD9631" w:rsidTr="00003E9E">
        <w:trPr>
          <w:trHeight w:val="315"/>
          <w:jc w:val="center"/>
        </w:trPr>
        <w:tc>
          <w:tcPr>
            <w:tcW w:w="1305" w:type="dxa"/>
            <w:tcBorders>
              <w:top w:val="nil"/>
              <w:left w:val="single" w:sz="4" w:space="0" w:color="auto"/>
              <w:bottom w:val="single" w:sz="4" w:space="0" w:color="auto"/>
              <w:right w:val="single" w:sz="4" w:space="0" w:color="auto"/>
            </w:tcBorders>
            <w:shd w:val="clear" w:color="auto" w:fill="auto"/>
            <w:noWrap/>
            <w:vAlign w:val="bottom"/>
            <w:hideMark/>
          </w:tcPr>
          <w:p w14:paraId="7E906CFF" w14:textId="77777777" w:rsidR="00620333" w:rsidRPr="00A07F29" w:rsidRDefault="00620333" w:rsidP="003041BD">
            <w:pPr>
              <w:spacing w:after="0" w:line="240" w:lineRule="auto"/>
              <w:jc w:val="center"/>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7844</w:t>
            </w:r>
          </w:p>
        </w:tc>
        <w:tc>
          <w:tcPr>
            <w:tcW w:w="1985" w:type="dxa"/>
            <w:tcBorders>
              <w:top w:val="nil"/>
              <w:left w:val="nil"/>
              <w:bottom w:val="single" w:sz="4" w:space="0" w:color="auto"/>
              <w:right w:val="single" w:sz="4" w:space="0" w:color="auto"/>
            </w:tcBorders>
            <w:shd w:val="clear" w:color="auto" w:fill="auto"/>
            <w:noWrap/>
            <w:vAlign w:val="bottom"/>
            <w:hideMark/>
          </w:tcPr>
          <w:p w14:paraId="05B268CD" w14:textId="77777777" w:rsidR="00620333" w:rsidRPr="00A07F29" w:rsidRDefault="00620333" w:rsidP="003041BD">
            <w:pPr>
              <w:spacing w:after="0" w:line="240" w:lineRule="auto"/>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Naujenes</w:t>
            </w:r>
          </w:p>
        </w:tc>
        <w:tc>
          <w:tcPr>
            <w:tcW w:w="992" w:type="dxa"/>
            <w:tcBorders>
              <w:top w:val="nil"/>
              <w:left w:val="nil"/>
              <w:bottom w:val="single" w:sz="4" w:space="0" w:color="auto"/>
              <w:right w:val="single" w:sz="4" w:space="0" w:color="auto"/>
            </w:tcBorders>
            <w:shd w:val="clear" w:color="auto" w:fill="auto"/>
            <w:noWrap/>
            <w:vAlign w:val="center"/>
          </w:tcPr>
          <w:p w14:paraId="286B452F" w14:textId="79D9D64A" w:rsidR="00620333" w:rsidRPr="00A07F29" w:rsidRDefault="00620333" w:rsidP="003041BD">
            <w:pPr>
              <w:spacing w:after="0" w:line="240" w:lineRule="auto"/>
              <w:rPr>
                <w:rFonts w:ascii="Times New Roman" w:eastAsia="Times New Roman" w:hAnsi="Times New Roman" w:cs="Times New Roman"/>
                <w:color w:val="000000"/>
              </w:rPr>
            </w:pPr>
            <w:r w:rsidRPr="00A07F29">
              <w:rPr>
                <w:rFonts w:ascii="Times New Roman" w:eastAsia="Times New Roman" w:hAnsi="Times New Roman" w:cs="Times New Roman"/>
                <w:color w:val="000000"/>
              </w:rPr>
              <w:t>7</w:t>
            </w:r>
          </w:p>
        </w:tc>
        <w:tc>
          <w:tcPr>
            <w:tcW w:w="1242" w:type="dxa"/>
            <w:tcBorders>
              <w:top w:val="nil"/>
              <w:left w:val="nil"/>
              <w:bottom w:val="single" w:sz="4" w:space="0" w:color="auto"/>
              <w:right w:val="single" w:sz="4" w:space="0" w:color="auto"/>
            </w:tcBorders>
          </w:tcPr>
          <w:p w14:paraId="6AB14E13" w14:textId="2200DE32" w:rsidR="00620333" w:rsidRPr="00A07F29" w:rsidRDefault="00620333" w:rsidP="003041BD">
            <w:pPr>
              <w:spacing w:after="0" w:line="240" w:lineRule="auto"/>
              <w:rPr>
                <w:rFonts w:ascii="Times New Roman" w:eastAsia="Times New Roman" w:hAnsi="Times New Roman" w:cs="Times New Roman"/>
                <w:color w:val="000000"/>
              </w:rPr>
            </w:pPr>
            <w:r w:rsidRPr="00A07F29">
              <w:rPr>
                <w:rFonts w:ascii="Times New Roman" w:eastAsia="Times New Roman" w:hAnsi="Times New Roman" w:cs="Times New Roman"/>
                <w:color w:val="000000"/>
              </w:rPr>
              <w:t>7</w:t>
            </w:r>
          </w:p>
        </w:tc>
        <w:tc>
          <w:tcPr>
            <w:tcW w:w="884" w:type="dxa"/>
            <w:tcBorders>
              <w:top w:val="nil"/>
              <w:left w:val="nil"/>
              <w:bottom w:val="single" w:sz="4" w:space="0" w:color="auto"/>
              <w:right w:val="single" w:sz="4" w:space="0" w:color="auto"/>
            </w:tcBorders>
          </w:tcPr>
          <w:p w14:paraId="77A7B768" w14:textId="2DE539BA" w:rsidR="00620333" w:rsidRPr="00A07F29" w:rsidRDefault="00620333" w:rsidP="003041BD">
            <w:pPr>
              <w:spacing w:after="0" w:line="240" w:lineRule="auto"/>
              <w:rPr>
                <w:rFonts w:ascii="Times New Roman" w:eastAsia="Times New Roman" w:hAnsi="Times New Roman" w:cs="Times New Roman"/>
                <w:color w:val="000000"/>
              </w:rPr>
            </w:pPr>
            <w:r w:rsidRPr="00A07F29">
              <w:rPr>
                <w:rFonts w:ascii="Times New Roman" w:eastAsia="Times New Roman" w:hAnsi="Times New Roman" w:cs="Times New Roman"/>
                <w:color w:val="000000"/>
              </w:rPr>
              <w:t>75</w:t>
            </w:r>
          </w:p>
        </w:tc>
      </w:tr>
      <w:tr w:rsidR="00620333" w:rsidRPr="00A07F29" w14:paraId="10CB9D74" w14:textId="245743E4" w:rsidTr="00003E9E">
        <w:trPr>
          <w:trHeight w:val="315"/>
          <w:jc w:val="center"/>
        </w:trPr>
        <w:tc>
          <w:tcPr>
            <w:tcW w:w="1305" w:type="dxa"/>
            <w:tcBorders>
              <w:top w:val="nil"/>
              <w:left w:val="single" w:sz="4" w:space="0" w:color="auto"/>
              <w:bottom w:val="single" w:sz="4" w:space="0" w:color="auto"/>
              <w:right w:val="single" w:sz="4" w:space="0" w:color="auto"/>
            </w:tcBorders>
            <w:shd w:val="clear" w:color="auto" w:fill="auto"/>
            <w:noWrap/>
            <w:vAlign w:val="bottom"/>
            <w:hideMark/>
          </w:tcPr>
          <w:p w14:paraId="4BEAE085" w14:textId="77777777" w:rsidR="00620333" w:rsidRPr="00A07F29" w:rsidRDefault="00620333" w:rsidP="003041BD">
            <w:pPr>
              <w:spacing w:after="0" w:line="240" w:lineRule="auto"/>
              <w:jc w:val="center"/>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7845</w:t>
            </w:r>
          </w:p>
        </w:tc>
        <w:tc>
          <w:tcPr>
            <w:tcW w:w="1985" w:type="dxa"/>
            <w:tcBorders>
              <w:top w:val="nil"/>
              <w:left w:val="nil"/>
              <w:bottom w:val="single" w:sz="4" w:space="0" w:color="auto"/>
              <w:right w:val="single" w:sz="4" w:space="0" w:color="auto"/>
            </w:tcBorders>
            <w:shd w:val="clear" w:color="auto" w:fill="auto"/>
            <w:noWrap/>
            <w:vAlign w:val="bottom"/>
            <w:hideMark/>
          </w:tcPr>
          <w:p w14:paraId="0CB425FC" w14:textId="77777777" w:rsidR="00620333" w:rsidRPr="00A07F29" w:rsidRDefault="00620333" w:rsidP="003041BD">
            <w:pPr>
              <w:spacing w:after="0" w:line="240" w:lineRule="auto"/>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Tabores</w:t>
            </w:r>
          </w:p>
        </w:tc>
        <w:tc>
          <w:tcPr>
            <w:tcW w:w="992" w:type="dxa"/>
            <w:tcBorders>
              <w:top w:val="nil"/>
              <w:left w:val="nil"/>
              <w:bottom w:val="single" w:sz="4" w:space="0" w:color="auto"/>
              <w:right w:val="single" w:sz="4" w:space="0" w:color="auto"/>
            </w:tcBorders>
            <w:shd w:val="clear" w:color="auto" w:fill="auto"/>
            <w:noWrap/>
            <w:vAlign w:val="center"/>
          </w:tcPr>
          <w:p w14:paraId="7621FBF3" w14:textId="1337DA64" w:rsidR="00620333" w:rsidRPr="00A07F29" w:rsidRDefault="00620333" w:rsidP="003041BD">
            <w:pPr>
              <w:spacing w:after="0" w:line="240" w:lineRule="auto"/>
              <w:rPr>
                <w:rFonts w:ascii="Times New Roman" w:eastAsia="Times New Roman" w:hAnsi="Times New Roman" w:cs="Times New Roman"/>
                <w:color w:val="000000"/>
              </w:rPr>
            </w:pPr>
            <w:r w:rsidRPr="00A07F29">
              <w:rPr>
                <w:rFonts w:ascii="Times New Roman" w:eastAsia="Times New Roman" w:hAnsi="Times New Roman" w:cs="Times New Roman"/>
                <w:color w:val="000000"/>
              </w:rPr>
              <w:t>-</w:t>
            </w:r>
          </w:p>
        </w:tc>
        <w:tc>
          <w:tcPr>
            <w:tcW w:w="1242" w:type="dxa"/>
            <w:tcBorders>
              <w:top w:val="nil"/>
              <w:left w:val="nil"/>
              <w:bottom w:val="single" w:sz="4" w:space="0" w:color="auto"/>
              <w:right w:val="single" w:sz="4" w:space="0" w:color="auto"/>
            </w:tcBorders>
          </w:tcPr>
          <w:p w14:paraId="2705F9CB" w14:textId="6D54D235" w:rsidR="00620333" w:rsidRPr="00A07F29" w:rsidRDefault="00620333" w:rsidP="003041BD">
            <w:pPr>
              <w:spacing w:after="0" w:line="240" w:lineRule="auto"/>
              <w:rPr>
                <w:rFonts w:ascii="Times New Roman" w:eastAsia="Times New Roman" w:hAnsi="Times New Roman" w:cs="Times New Roman"/>
                <w:color w:val="000000"/>
              </w:rPr>
            </w:pPr>
            <w:r w:rsidRPr="00A07F29">
              <w:rPr>
                <w:rFonts w:ascii="Times New Roman" w:eastAsia="Times New Roman" w:hAnsi="Times New Roman" w:cs="Times New Roman"/>
                <w:color w:val="000000"/>
              </w:rPr>
              <w:t>12</w:t>
            </w:r>
          </w:p>
        </w:tc>
        <w:tc>
          <w:tcPr>
            <w:tcW w:w="884" w:type="dxa"/>
            <w:tcBorders>
              <w:top w:val="nil"/>
              <w:left w:val="nil"/>
              <w:bottom w:val="single" w:sz="4" w:space="0" w:color="auto"/>
              <w:right w:val="single" w:sz="4" w:space="0" w:color="auto"/>
            </w:tcBorders>
          </w:tcPr>
          <w:p w14:paraId="00CCE1AD" w14:textId="4F192791" w:rsidR="00620333" w:rsidRPr="00A07F29" w:rsidRDefault="00620333" w:rsidP="003041BD">
            <w:pPr>
              <w:spacing w:after="0" w:line="240" w:lineRule="auto"/>
              <w:rPr>
                <w:rFonts w:ascii="Times New Roman" w:eastAsia="Times New Roman" w:hAnsi="Times New Roman" w:cs="Times New Roman"/>
                <w:color w:val="000000"/>
              </w:rPr>
            </w:pPr>
            <w:r w:rsidRPr="00A07F29">
              <w:rPr>
                <w:rFonts w:ascii="Times New Roman" w:eastAsia="Times New Roman" w:hAnsi="Times New Roman" w:cs="Times New Roman"/>
                <w:color w:val="000000"/>
              </w:rPr>
              <w:t>32</w:t>
            </w:r>
          </w:p>
        </w:tc>
      </w:tr>
      <w:tr w:rsidR="00620333" w:rsidRPr="00A07F29" w14:paraId="157F6F6B" w14:textId="65D3978D" w:rsidTr="00003E9E">
        <w:trPr>
          <w:trHeight w:val="315"/>
          <w:jc w:val="center"/>
        </w:trPr>
        <w:tc>
          <w:tcPr>
            <w:tcW w:w="1305" w:type="dxa"/>
            <w:tcBorders>
              <w:top w:val="nil"/>
              <w:left w:val="single" w:sz="4" w:space="0" w:color="auto"/>
              <w:bottom w:val="single" w:sz="4" w:space="0" w:color="auto"/>
              <w:right w:val="single" w:sz="4" w:space="0" w:color="auto"/>
            </w:tcBorders>
            <w:shd w:val="clear" w:color="auto" w:fill="auto"/>
            <w:noWrap/>
            <w:vAlign w:val="bottom"/>
            <w:hideMark/>
          </w:tcPr>
          <w:p w14:paraId="6E642E80" w14:textId="77777777" w:rsidR="00620333" w:rsidRPr="00A07F29" w:rsidRDefault="00620333" w:rsidP="003041BD">
            <w:pPr>
              <w:spacing w:after="0" w:line="240" w:lineRule="auto"/>
              <w:jc w:val="center"/>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7846</w:t>
            </w:r>
          </w:p>
        </w:tc>
        <w:tc>
          <w:tcPr>
            <w:tcW w:w="1985" w:type="dxa"/>
            <w:tcBorders>
              <w:top w:val="nil"/>
              <w:left w:val="nil"/>
              <w:bottom w:val="single" w:sz="4" w:space="0" w:color="auto"/>
              <w:right w:val="single" w:sz="4" w:space="0" w:color="auto"/>
            </w:tcBorders>
            <w:shd w:val="clear" w:color="auto" w:fill="auto"/>
            <w:noWrap/>
            <w:vAlign w:val="bottom"/>
            <w:hideMark/>
          </w:tcPr>
          <w:p w14:paraId="1458C9A8" w14:textId="77777777" w:rsidR="00620333" w:rsidRPr="00A07F29" w:rsidRDefault="00620333" w:rsidP="003041BD">
            <w:pPr>
              <w:spacing w:after="0" w:line="240" w:lineRule="auto"/>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Vecsalienas</w:t>
            </w:r>
          </w:p>
        </w:tc>
        <w:tc>
          <w:tcPr>
            <w:tcW w:w="992" w:type="dxa"/>
            <w:tcBorders>
              <w:top w:val="nil"/>
              <w:left w:val="nil"/>
              <w:bottom w:val="single" w:sz="4" w:space="0" w:color="auto"/>
              <w:right w:val="single" w:sz="4" w:space="0" w:color="auto"/>
            </w:tcBorders>
            <w:shd w:val="clear" w:color="auto" w:fill="auto"/>
            <w:noWrap/>
            <w:vAlign w:val="center"/>
          </w:tcPr>
          <w:p w14:paraId="2D3CEDE7" w14:textId="2898B4CB" w:rsidR="00620333" w:rsidRPr="00A07F29" w:rsidRDefault="00620333" w:rsidP="003041BD">
            <w:pPr>
              <w:spacing w:after="0" w:line="240" w:lineRule="auto"/>
              <w:rPr>
                <w:rFonts w:ascii="Times New Roman" w:eastAsia="Times New Roman" w:hAnsi="Times New Roman" w:cs="Times New Roman"/>
                <w:color w:val="000000"/>
              </w:rPr>
            </w:pPr>
            <w:r w:rsidRPr="00A07F29">
              <w:rPr>
                <w:rFonts w:ascii="Times New Roman" w:eastAsia="Times New Roman" w:hAnsi="Times New Roman" w:cs="Times New Roman"/>
                <w:color w:val="000000"/>
              </w:rPr>
              <w:t>9</w:t>
            </w:r>
          </w:p>
        </w:tc>
        <w:tc>
          <w:tcPr>
            <w:tcW w:w="1242" w:type="dxa"/>
            <w:tcBorders>
              <w:top w:val="nil"/>
              <w:left w:val="nil"/>
              <w:bottom w:val="single" w:sz="4" w:space="0" w:color="auto"/>
              <w:right w:val="single" w:sz="4" w:space="0" w:color="auto"/>
            </w:tcBorders>
          </w:tcPr>
          <w:p w14:paraId="3806B087" w14:textId="30AD1A10" w:rsidR="00620333" w:rsidRPr="00A07F29" w:rsidRDefault="00620333" w:rsidP="003041BD">
            <w:pPr>
              <w:spacing w:after="0" w:line="240" w:lineRule="auto"/>
              <w:rPr>
                <w:rFonts w:ascii="Times New Roman" w:eastAsia="Times New Roman" w:hAnsi="Times New Roman" w:cs="Times New Roman"/>
                <w:color w:val="000000"/>
              </w:rPr>
            </w:pPr>
            <w:r w:rsidRPr="00A07F29">
              <w:rPr>
                <w:rFonts w:ascii="Times New Roman" w:eastAsia="Times New Roman" w:hAnsi="Times New Roman" w:cs="Times New Roman"/>
                <w:color w:val="000000"/>
              </w:rPr>
              <w:t>19</w:t>
            </w:r>
          </w:p>
        </w:tc>
        <w:tc>
          <w:tcPr>
            <w:tcW w:w="884" w:type="dxa"/>
            <w:tcBorders>
              <w:top w:val="nil"/>
              <w:left w:val="nil"/>
              <w:bottom w:val="single" w:sz="4" w:space="0" w:color="auto"/>
              <w:right w:val="single" w:sz="4" w:space="0" w:color="auto"/>
            </w:tcBorders>
          </w:tcPr>
          <w:p w14:paraId="76CC7FF5" w14:textId="5ECB55C5" w:rsidR="00620333" w:rsidRPr="00A07F29" w:rsidRDefault="00620333" w:rsidP="003041BD">
            <w:pPr>
              <w:spacing w:after="0" w:line="240" w:lineRule="auto"/>
              <w:rPr>
                <w:rFonts w:ascii="Times New Roman" w:eastAsia="Times New Roman" w:hAnsi="Times New Roman" w:cs="Times New Roman"/>
                <w:color w:val="000000"/>
              </w:rPr>
            </w:pPr>
            <w:r w:rsidRPr="00A07F29">
              <w:rPr>
                <w:rFonts w:ascii="Times New Roman" w:eastAsia="Times New Roman" w:hAnsi="Times New Roman" w:cs="Times New Roman"/>
                <w:color w:val="000000"/>
              </w:rPr>
              <w:t>45</w:t>
            </w:r>
          </w:p>
        </w:tc>
      </w:tr>
      <w:tr w:rsidR="00620333" w:rsidRPr="00A07F29" w14:paraId="24612BF4" w14:textId="596A7A40" w:rsidTr="00003E9E">
        <w:trPr>
          <w:trHeight w:val="315"/>
          <w:jc w:val="center"/>
        </w:trPr>
        <w:tc>
          <w:tcPr>
            <w:tcW w:w="1305" w:type="dxa"/>
            <w:tcBorders>
              <w:top w:val="nil"/>
              <w:left w:val="single" w:sz="4" w:space="0" w:color="auto"/>
              <w:bottom w:val="single" w:sz="4" w:space="0" w:color="auto"/>
              <w:right w:val="single" w:sz="4" w:space="0" w:color="auto"/>
            </w:tcBorders>
            <w:shd w:val="clear" w:color="auto" w:fill="auto"/>
            <w:noWrap/>
            <w:vAlign w:val="bottom"/>
            <w:hideMark/>
          </w:tcPr>
          <w:p w14:paraId="54E20DB3" w14:textId="77777777" w:rsidR="00620333" w:rsidRPr="00A07F29" w:rsidRDefault="00620333" w:rsidP="003041BD">
            <w:pPr>
              <w:spacing w:after="0" w:line="240" w:lineRule="auto"/>
              <w:jc w:val="center"/>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7847</w:t>
            </w:r>
          </w:p>
        </w:tc>
        <w:tc>
          <w:tcPr>
            <w:tcW w:w="1985" w:type="dxa"/>
            <w:tcBorders>
              <w:top w:val="nil"/>
              <w:left w:val="nil"/>
              <w:bottom w:val="single" w:sz="4" w:space="0" w:color="auto"/>
              <w:right w:val="single" w:sz="4" w:space="0" w:color="auto"/>
            </w:tcBorders>
            <w:shd w:val="clear" w:color="auto" w:fill="auto"/>
            <w:noWrap/>
            <w:vAlign w:val="bottom"/>
            <w:hideMark/>
          </w:tcPr>
          <w:p w14:paraId="7F345DD8" w14:textId="77777777" w:rsidR="00620333" w:rsidRPr="00A07F29" w:rsidRDefault="00620333" w:rsidP="003041BD">
            <w:pPr>
              <w:spacing w:after="0" w:line="240" w:lineRule="auto"/>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Salienas</w:t>
            </w:r>
          </w:p>
        </w:tc>
        <w:tc>
          <w:tcPr>
            <w:tcW w:w="992" w:type="dxa"/>
            <w:tcBorders>
              <w:top w:val="nil"/>
              <w:left w:val="nil"/>
              <w:bottom w:val="single" w:sz="4" w:space="0" w:color="auto"/>
              <w:right w:val="single" w:sz="4" w:space="0" w:color="auto"/>
            </w:tcBorders>
            <w:shd w:val="clear" w:color="auto" w:fill="auto"/>
            <w:noWrap/>
            <w:vAlign w:val="center"/>
          </w:tcPr>
          <w:p w14:paraId="17013529" w14:textId="055C931D" w:rsidR="00620333" w:rsidRPr="00A07F29" w:rsidRDefault="00620333" w:rsidP="003041BD">
            <w:pPr>
              <w:spacing w:after="0" w:line="240" w:lineRule="auto"/>
              <w:rPr>
                <w:rFonts w:ascii="Times New Roman" w:eastAsia="Times New Roman" w:hAnsi="Times New Roman" w:cs="Times New Roman"/>
                <w:color w:val="000000"/>
              </w:rPr>
            </w:pPr>
            <w:r w:rsidRPr="00A07F29">
              <w:rPr>
                <w:rFonts w:ascii="Times New Roman" w:eastAsia="Times New Roman" w:hAnsi="Times New Roman" w:cs="Times New Roman"/>
                <w:color w:val="000000"/>
              </w:rPr>
              <w:t>13</w:t>
            </w:r>
          </w:p>
        </w:tc>
        <w:tc>
          <w:tcPr>
            <w:tcW w:w="1242" w:type="dxa"/>
            <w:tcBorders>
              <w:top w:val="nil"/>
              <w:left w:val="nil"/>
              <w:bottom w:val="single" w:sz="4" w:space="0" w:color="auto"/>
              <w:right w:val="single" w:sz="4" w:space="0" w:color="auto"/>
            </w:tcBorders>
          </w:tcPr>
          <w:p w14:paraId="1DBF93BD" w14:textId="1DEB7C6B" w:rsidR="00620333" w:rsidRPr="00A07F29" w:rsidRDefault="00620333" w:rsidP="003041BD">
            <w:pPr>
              <w:spacing w:after="0" w:line="240" w:lineRule="auto"/>
              <w:rPr>
                <w:rFonts w:ascii="Times New Roman" w:eastAsia="Times New Roman" w:hAnsi="Times New Roman" w:cs="Times New Roman"/>
                <w:color w:val="000000"/>
              </w:rPr>
            </w:pPr>
            <w:r w:rsidRPr="00A07F29">
              <w:rPr>
                <w:rFonts w:ascii="Times New Roman" w:eastAsia="Times New Roman" w:hAnsi="Times New Roman" w:cs="Times New Roman"/>
                <w:color w:val="000000"/>
              </w:rPr>
              <w:t>45</w:t>
            </w:r>
          </w:p>
        </w:tc>
        <w:tc>
          <w:tcPr>
            <w:tcW w:w="884" w:type="dxa"/>
            <w:tcBorders>
              <w:top w:val="nil"/>
              <w:left w:val="nil"/>
              <w:bottom w:val="single" w:sz="4" w:space="0" w:color="auto"/>
              <w:right w:val="single" w:sz="4" w:space="0" w:color="auto"/>
            </w:tcBorders>
          </w:tcPr>
          <w:p w14:paraId="6025039D" w14:textId="3BB3B3ED" w:rsidR="00620333" w:rsidRPr="00A07F29" w:rsidRDefault="00620333" w:rsidP="003041BD">
            <w:pPr>
              <w:spacing w:after="0" w:line="240" w:lineRule="auto"/>
              <w:rPr>
                <w:rFonts w:ascii="Times New Roman" w:eastAsia="Times New Roman" w:hAnsi="Times New Roman" w:cs="Times New Roman"/>
                <w:color w:val="000000"/>
              </w:rPr>
            </w:pPr>
            <w:r w:rsidRPr="00A07F29">
              <w:rPr>
                <w:rFonts w:ascii="Times New Roman" w:eastAsia="Times New Roman" w:hAnsi="Times New Roman" w:cs="Times New Roman"/>
                <w:color w:val="000000"/>
              </w:rPr>
              <w:t>40</w:t>
            </w:r>
          </w:p>
        </w:tc>
      </w:tr>
      <w:tr w:rsidR="00620333" w:rsidRPr="00A07F29" w14:paraId="13FFE1C5" w14:textId="2232723F" w:rsidTr="00003E9E">
        <w:trPr>
          <w:trHeight w:val="315"/>
          <w:jc w:val="center"/>
        </w:trPr>
        <w:tc>
          <w:tcPr>
            <w:tcW w:w="1305" w:type="dxa"/>
            <w:tcBorders>
              <w:top w:val="nil"/>
              <w:left w:val="single" w:sz="4" w:space="0" w:color="auto"/>
              <w:bottom w:val="single" w:sz="4" w:space="0" w:color="auto"/>
              <w:right w:val="single" w:sz="4" w:space="0" w:color="auto"/>
            </w:tcBorders>
            <w:shd w:val="clear" w:color="auto" w:fill="auto"/>
            <w:noWrap/>
            <w:vAlign w:val="bottom"/>
            <w:hideMark/>
          </w:tcPr>
          <w:p w14:paraId="3EE0031C" w14:textId="77777777" w:rsidR="00620333" w:rsidRPr="00A07F29" w:rsidRDefault="00620333" w:rsidP="003041BD">
            <w:pPr>
              <w:spacing w:after="0" w:line="240" w:lineRule="auto"/>
              <w:jc w:val="center"/>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7851</w:t>
            </w:r>
          </w:p>
        </w:tc>
        <w:tc>
          <w:tcPr>
            <w:tcW w:w="1985" w:type="dxa"/>
            <w:tcBorders>
              <w:top w:val="nil"/>
              <w:left w:val="nil"/>
              <w:bottom w:val="single" w:sz="4" w:space="0" w:color="auto"/>
              <w:right w:val="single" w:sz="4" w:space="0" w:color="auto"/>
            </w:tcBorders>
            <w:shd w:val="clear" w:color="auto" w:fill="auto"/>
            <w:noWrap/>
            <w:vAlign w:val="bottom"/>
            <w:hideMark/>
          </w:tcPr>
          <w:p w14:paraId="32E43059" w14:textId="77777777" w:rsidR="00620333" w:rsidRPr="00A07F29" w:rsidRDefault="00620333" w:rsidP="003041BD">
            <w:pPr>
              <w:spacing w:after="0" w:line="240" w:lineRule="auto"/>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Ūdrīši</w:t>
            </w:r>
          </w:p>
        </w:tc>
        <w:tc>
          <w:tcPr>
            <w:tcW w:w="992" w:type="dxa"/>
            <w:tcBorders>
              <w:top w:val="nil"/>
              <w:left w:val="nil"/>
              <w:bottom w:val="single" w:sz="4" w:space="0" w:color="auto"/>
              <w:right w:val="single" w:sz="4" w:space="0" w:color="auto"/>
            </w:tcBorders>
            <w:shd w:val="clear" w:color="auto" w:fill="auto"/>
            <w:noWrap/>
            <w:vAlign w:val="center"/>
          </w:tcPr>
          <w:p w14:paraId="771FA4BD" w14:textId="4B846EF7" w:rsidR="00620333" w:rsidRPr="00A07F29" w:rsidRDefault="00620333" w:rsidP="003041BD">
            <w:pPr>
              <w:spacing w:after="0" w:line="240" w:lineRule="auto"/>
              <w:rPr>
                <w:rFonts w:ascii="Times New Roman" w:eastAsia="Times New Roman" w:hAnsi="Times New Roman" w:cs="Times New Roman"/>
                <w:color w:val="000000"/>
              </w:rPr>
            </w:pPr>
            <w:r w:rsidRPr="00A07F29">
              <w:rPr>
                <w:rFonts w:ascii="Times New Roman" w:eastAsia="Times New Roman" w:hAnsi="Times New Roman" w:cs="Times New Roman"/>
                <w:color w:val="000000"/>
              </w:rPr>
              <w:t>11</w:t>
            </w:r>
          </w:p>
        </w:tc>
        <w:tc>
          <w:tcPr>
            <w:tcW w:w="1242" w:type="dxa"/>
            <w:tcBorders>
              <w:top w:val="nil"/>
              <w:left w:val="nil"/>
              <w:bottom w:val="single" w:sz="4" w:space="0" w:color="auto"/>
              <w:right w:val="single" w:sz="4" w:space="0" w:color="auto"/>
            </w:tcBorders>
          </w:tcPr>
          <w:p w14:paraId="0BAB7CE7" w14:textId="1835A9BA" w:rsidR="00620333" w:rsidRPr="00A07F29" w:rsidRDefault="00620333" w:rsidP="003041BD">
            <w:pPr>
              <w:spacing w:after="0" w:line="240" w:lineRule="auto"/>
              <w:rPr>
                <w:rFonts w:ascii="Times New Roman" w:eastAsia="Times New Roman" w:hAnsi="Times New Roman" w:cs="Times New Roman"/>
                <w:color w:val="000000"/>
              </w:rPr>
            </w:pPr>
            <w:r w:rsidRPr="00A07F29">
              <w:rPr>
                <w:rFonts w:ascii="Times New Roman" w:eastAsia="Times New Roman" w:hAnsi="Times New Roman" w:cs="Times New Roman"/>
                <w:color w:val="000000"/>
              </w:rPr>
              <w:t>16</w:t>
            </w:r>
          </w:p>
        </w:tc>
        <w:tc>
          <w:tcPr>
            <w:tcW w:w="884" w:type="dxa"/>
            <w:tcBorders>
              <w:top w:val="nil"/>
              <w:left w:val="nil"/>
              <w:bottom w:val="single" w:sz="4" w:space="0" w:color="auto"/>
              <w:right w:val="single" w:sz="4" w:space="0" w:color="auto"/>
            </w:tcBorders>
          </w:tcPr>
          <w:p w14:paraId="6FCE05CA" w14:textId="40790C40" w:rsidR="00620333" w:rsidRPr="00A07F29" w:rsidRDefault="00620333" w:rsidP="003041BD">
            <w:pPr>
              <w:spacing w:after="0" w:line="240" w:lineRule="auto"/>
              <w:rPr>
                <w:rFonts w:ascii="Times New Roman" w:eastAsia="Times New Roman" w:hAnsi="Times New Roman" w:cs="Times New Roman"/>
                <w:color w:val="000000"/>
              </w:rPr>
            </w:pPr>
            <w:r w:rsidRPr="00A07F29">
              <w:rPr>
                <w:rFonts w:ascii="Times New Roman" w:eastAsia="Times New Roman" w:hAnsi="Times New Roman" w:cs="Times New Roman"/>
                <w:color w:val="000000"/>
              </w:rPr>
              <w:t>45</w:t>
            </w:r>
          </w:p>
        </w:tc>
      </w:tr>
      <w:tr w:rsidR="00620333" w:rsidRPr="00A07F29" w14:paraId="2CD5CF3C" w14:textId="6373DE3D" w:rsidTr="00003E9E">
        <w:trPr>
          <w:trHeight w:val="315"/>
          <w:jc w:val="center"/>
        </w:trPr>
        <w:tc>
          <w:tcPr>
            <w:tcW w:w="1305" w:type="dxa"/>
            <w:tcBorders>
              <w:top w:val="nil"/>
              <w:left w:val="single" w:sz="4" w:space="0" w:color="auto"/>
              <w:bottom w:val="single" w:sz="4" w:space="0" w:color="auto"/>
              <w:right w:val="single" w:sz="4" w:space="0" w:color="auto"/>
            </w:tcBorders>
            <w:shd w:val="clear" w:color="auto" w:fill="auto"/>
            <w:noWrap/>
            <w:vAlign w:val="bottom"/>
            <w:hideMark/>
          </w:tcPr>
          <w:p w14:paraId="5A8506D3" w14:textId="77777777" w:rsidR="00620333" w:rsidRPr="00A07F29" w:rsidRDefault="00620333" w:rsidP="003041BD">
            <w:pPr>
              <w:spacing w:after="0" w:line="240" w:lineRule="auto"/>
              <w:jc w:val="center"/>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7853</w:t>
            </w:r>
          </w:p>
        </w:tc>
        <w:tc>
          <w:tcPr>
            <w:tcW w:w="1985" w:type="dxa"/>
            <w:tcBorders>
              <w:top w:val="nil"/>
              <w:left w:val="nil"/>
              <w:bottom w:val="single" w:sz="4" w:space="0" w:color="auto"/>
              <w:right w:val="single" w:sz="4" w:space="0" w:color="auto"/>
            </w:tcBorders>
            <w:shd w:val="clear" w:color="auto" w:fill="auto"/>
            <w:noWrap/>
            <w:vAlign w:val="bottom"/>
            <w:hideMark/>
          </w:tcPr>
          <w:p w14:paraId="3C63B8B3" w14:textId="77777777" w:rsidR="00620333" w:rsidRPr="00A07F29" w:rsidRDefault="00620333" w:rsidP="003041BD">
            <w:pPr>
              <w:spacing w:after="0" w:line="240" w:lineRule="auto"/>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Priedaine</w:t>
            </w:r>
          </w:p>
        </w:tc>
        <w:tc>
          <w:tcPr>
            <w:tcW w:w="992" w:type="dxa"/>
            <w:tcBorders>
              <w:top w:val="nil"/>
              <w:left w:val="nil"/>
              <w:bottom w:val="single" w:sz="4" w:space="0" w:color="auto"/>
              <w:right w:val="single" w:sz="4" w:space="0" w:color="auto"/>
            </w:tcBorders>
            <w:shd w:val="clear" w:color="auto" w:fill="auto"/>
            <w:noWrap/>
            <w:vAlign w:val="center"/>
          </w:tcPr>
          <w:p w14:paraId="58B18205" w14:textId="631FB12A" w:rsidR="00620333" w:rsidRPr="00A07F29" w:rsidRDefault="00620333" w:rsidP="003041BD">
            <w:pPr>
              <w:spacing w:after="0" w:line="240" w:lineRule="auto"/>
              <w:rPr>
                <w:rFonts w:ascii="Times New Roman" w:eastAsia="Times New Roman" w:hAnsi="Times New Roman" w:cs="Times New Roman"/>
                <w:color w:val="000000"/>
              </w:rPr>
            </w:pPr>
            <w:r w:rsidRPr="00A07F29">
              <w:rPr>
                <w:rFonts w:ascii="Times New Roman" w:eastAsia="Times New Roman" w:hAnsi="Times New Roman" w:cs="Times New Roman"/>
                <w:color w:val="000000"/>
              </w:rPr>
              <w:t>11</w:t>
            </w:r>
          </w:p>
        </w:tc>
        <w:tc>
          <w:tcPr>
            <w:tcW w:w="1242" w:type="dxa"/>
            <w:tcBorders>
              <w:top w:val="nil"/>
              <w:left w:val="nil"/>
              <w:bottom w:val="single" w:sz="4" w:space="0" w:color="auto"/>
              <w:right w:val="single" w:sz="4" w:space="0" w:color="auto"/>
            </w:tcBorders>
          </w:tcPr>
          <w:p w14:paraId="49B67B09" w14:textId="36A42919" w:rsidR="00620333" w:rsidRPr="00A07F29" w:rsidRDefault="00620333" w:rsidP="003041BD">
            <w:pPr>
              <w:spacing w:after="0" w:line="240" w:lineRule="auto"/>
              <w:rPr>
                <w:rFonts w:ascii="Times New Roman" w:eastAsia="Times New Roman" w:hAnsi="Times New Roman" w:cs="Times New Roman"/>
                <w:color w:val="000000"/>
              </w:rPr>
            </w:pPr>
            <w:r w:rsidRPr="00A07F29">
              <w:rPr>
                <w:rFonts w:ascii="Times New Roman" w:eastAsia="Times New Roman" w:hAnsi="Times New Roman" w:cs="Times New Roman"/>
                <w:color w:val="000000"/>
              </w:rPr>
              <w:t>23</w:t>
            </w:r>
          </w:p>
        </w:tc>
        <w:tc>
          <w:tcPr>
            <w:tcW w:w="884" w:type="dxa"/>
            <w:tcBorders>
              <w:top w:val="nil"/>
              <w:left w:val="nil"/>
              <w:bottom w:val="single" w:sz="4" w:space="0" w:color="auto"/>
              <w:right w:val="single" w:sz="4" w:space="0" w:color="auto"/>
            </w:tcBorders>
          </w:tcPr>
          <w:p w14:paraId="7F4ADB2D" w14:textId="36964C08" w:rsidR="00620333" w:rsidRPr="00A07F29" w:rsidRDefault="00620333" w:rsidP="003041BD">
            <w:pPr>
              <w:spacing w:after="0" w:line="240" w:lineRule="auto"/>
              <w:rPr>
                <w:rFonts w:ascii="Times New Roman" w:eastAsia="Times New Roman" w:hAnsi="Times New Roman" w:cs="Times New Roman"/>
                <w:color w:val="000000"/>
              </w:rPr>
            </w:pPr>
            <w:r w:rsidRPr="00A07F29">
              <w:rPr>
                <w:rFonts w:ascii="Times New Roman" w:eastAsia="Times New Roman" w:hAnsi="Times New Roman" w:cs="Times New Roman"/>
                <w:color w:val="000000"/>
              </w:rPr>
              <w:t>31</w:t>
            </w:r>
          </w:p>
        </w:tc>
      </w:tr>
      <w:tr w:rsidR="00620333" w:rsidRPr="00A07F29" w14:paraId="44FD1015" w14:textId="78D9C2F4" w:rsidTr="00003E9E">
        <w:trPr>
          <w:trHeight w:val="315"/>
          <w:jc w:val="center"/>
        </w:trPr>
        <w:tc>
          <w:tcPr>
            <w:tcW w:w="1305" w:type="dxa"/>
            <w:tcBorders>
              <w:top w:val="nil"/>
              <w:left w:val="single" w:sz="4" w:space="0" w:color="auto"/>
              <w:bottom w:val="single" w:sz="4" w:space="0" w:color="auto"/>
              <w:right w:val="single" w:sz="4" w:space="0" w:color="auto"/>
            </w:tcBorders>
            <w:shd w:val="clear" w:color="auto" w:fill="auto"/>
            <w:noWrap/>
            <w:vAlign w:val="bottom"/>
            <w:hideMark/>
          </w:tcPr>
          <w:p w14:paraId="217C0D56" w14:textId="77777777" w:rsidR="00620333" w:rsidRPr="00A07F29" w:rsidRDefault="00620333" w:rsidP="003041BD">
            <w:pPr>
              <w:spacing w:after="0" w:line="240" w:lineRule="auto"/>
              <w:jc w:val="center"/>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7854</w:t>
            </w:r>
          </w:p>
        </w:tc>
        <w:tc>
          <w:tcPr>
            <w:tcW w:w="1985" w:type="dxa"/>
            <w:tcBorders>
              <w:top w:val="nil"/>
              <w:left w:val="nil"/>
              <w:bottom w:val="single" w:sz="4" w:space="0" w:color="auto"/>
              <w:right w:val="single" w:sz="4" w:space="0" w:color="auto"/>
            </w:tcBorders>
            <w:shd w:val="clear" w:color="auto" w:fill="auto"/>
            <w:noWrap/>
            <w:vAlign w:val="bottom"/>
            <w:hideMark/>
          </w:tcPr>
          <w:p w14:paraId="2F185C3B" w14:textId="77777777" w:rsidR="00620333" w:rsidRPr="00A07F29" w:rsidRDefault="00620333" w:rsidP="003041BD">
            <w:pPr>
              <w:spacing w:after="0" w:line="240" w:lineRule="auto"/>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Krāslava</w:t>
            </w:r>
          </w:p>
        </w:tc>
        <w:tc>
          <w:tcPr>
            <w:tcW w:w="992" w:type="dxa"/>
            <w:tcBorders>
              <w:top w:val="nil"/>
              <w:left w:val="nil"/>
              <w:bottom w:val="single" w:sz="4" w:space="0" w:color="auto"/>
              <w:right w:val="single" w:sz="4" w:space="0" w:color="auto"/>
            </w:tcBorders>
            <w:shd w:val="clear" w:color="auto" w:fill="auto"/>
            <w:noWrap/>
          </w:tcPr>
          <w:p w14:paraId="549721EB" w14:textId="2EE4AC48" w:rsidR="00620333" w:rsidRPr="00A07F29" w:rsidRDefault="00620333" w:rsidP="003041BD">
            <w:pPr>
              <w:spacing w:after="0" w:line="240" w:lineRule="auto"/>
              <w:rPr>
                <w:rFonts w:ascii="Times New Roman" w:eastAsia="Times New Roman" w:hAnsi="Times New Roman" w:cs="Times New Roman"/>
                <w:color w:val="000000"/>
              </w:rPr>
            </w:pPr>
            <w:r w:rsidRPr="00A07F29">
              <w:rPr>
                <w:rFonts w:ascii="Times New Roman" w:hAnsi="Times New Roman" w:cs="Times New Roman"/>
              </w:rPr>
              <w:t>6</w:t>
            </w:r>
          </w:p>
        </w:tc>
        <w:tc>
          <w:tcPr>
            <w:tcW w:w="1242" w:type="dxa"/>
            <w:tcBorders>
              <w:top w:val="nil"/>
              <w:left w:val="nil"/>
              <w:bottom w:val="single" w:sz="4" w:space="0" w:color="auto"/>
              <w:right w:val="single" w:sz="4" w:space="0" w:color="auto"/>
            </w:tcBorders>
          </w:tcPr>
          <w:p w14:paraId="69319A38" w14:textId="185AC81D" w:rsidR="00620333" w:rsidRPr="00A07F29" w:rsidRDefault="00620333" w:rsidP="003041BD">
            <w:pPr>
              <w:spacing w:after="0" w:line="240" w:lineRule="auto"/>
              <w:rPr>
                <w:rFonts w:ascii="Times New Roman" w:eastAsia="Times New Roman" w:hAnsi="Times New Roman" w:cs="Times New Roman"/>
                <w:color w:val="000000"/>
              </w:rPr>
            </w:pPr>
            <w:r w:rsidRPr="00A07F29">
              <w:rPr>
                <w:rFonts w:ascii="Times New Roman" w:eastAsia="Times New Roman" w:hAnsi="Times New Roman" w:cs="Times New Roman"/>
                <w:color w:val="000000"/>
              </w:rPr>
              <w:t>13</w:t>
            </w:r>
          </w:p>
        </w:tc>
        <w:tc>
          <w:tcPr>
            <w:tcW w:w="884" w:type="dxa"/>
            <w:tcBorders>
              <w:top w:val="nil"/>
              <w:left w:val="nil"/>
              <w:bottom w:val="single" w:sz="4" w:space="0" w:color="auto"/>
              <w:right w:val="single" w:sz="4" w:space="0" w:color="auto"/>
            </w:tcBorders>
          </w:tcPr>
          <w:p w14:paraId="783F1FD4" w14:textId="08049D46" w:rsidR="00620333" w:rsidRPr="00A07F29" w:rsidRDefault="00620333" w:rsidP="003041BD">
            <w:pPr>
              <w:spacing w:after="0" w:line="240" w:lineRule="auto"/>
              <w:rPr>
                <w:rFonts w:ascii="Times New Roman" w:eastAsia="Times New Roman" w:hAnsi="Times New Roman" w:cs="Times New Roman"/>
                <w:color w:val="000000"/>
              </w:rPr>
            </w:pPr>
            <w:r w:rsidRPr="00A07F29">
              <w:rPr>
                <w:rFonts w:ascii="Times New Roman" w:eastAsia="Times New Roman" w:hAnsi="Times New Roman" w:cs="Times New Roman"/>
                <w:color w:val="000000"/>
              </w:rPr>
              <w:t>14</w:t>
            </w:r>
          </w:p>
        </w:tc>
      </w:tr>
      <w:tr w:rsidR="00620333" w:rsidRPr="00A07F29" w14:paraId="5B19AB02" w14:textId="3B3AE3CE" w:rsidTr="00003E9E">
        <w:trPr>
          <w:trHeight w:val="315"/>
          <w:jc w:val="center"/>
        </w:trPr>
        <w:tc>
          <w:tcPr>
            <w:tcW w:w="1305" w:type="dxa"/>
            <w:tcBorders>
              <w:top w:val="nil"/>
              <w:left w:val="single" w:sz="4" w:space="0" w:color="auto"/>
              <w:bottom w:val="single" w:sz="4" w:space="0" w:color="auto"/>
              <w:right w:val="single" w:sz="4" w:space="0" w:color="auto"/>
            </w:tcBorders>
            <w:shd w:val="clear" w:color="auto" w:fill="auto"/>
            <w:noWrap/>
            <w:vAlign w:val="bottom"/>
            <w:hideMark/>
          </w:tcPr>
          <w:p w14:paraId="3B5EDC0E" w14:textId="77777777" w:rsidR="00620333" w:rsidRPr="00A07F29" w:rsidRDefault="00620333" w:rsidP="003041BD">
            <w:pPr>
              <w:spacing w:after="0" w:line="240" w:lineRule="auto"/>
              <w:jc w:val="center"/>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7856</w:t>
            </w:r>
          </w:p>
        </w:tc>
        <w:tc>
          <w:tcPr>
            <w:tcW w:w="1985" w:type="dxa"/>
            <w:tcBorders>
              <w:top w:val="nil"/>
              <w:left w:val="nil"/>
              <w:bottom w:val="single" w:sz="4" w:space="0" w:color="auto"/>
              <w:right w:val="single" w:sz="4" w:space="0" w:color="auto"/>
            </w:tcBorders>
            <w:shd w:val="clear" w:color="auto" w:fill="auto"/>
            <w:noWrap/>
            <w:vAlign w:val="bottom"/>
            <w:hideMark/>
          </w:tcPr>
          <w:p w14:paraId="412CEA8A" w14:textId="77777777" w:rsidR="00620333" w:rsidRPr="00A07F29" w:rsidRDefault="00620333" w:rsidP="003041BD">
            <w:pPr>
              <w:spacing w:after="0" w:line="240" w:lineRule="auto"/>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Loks</w:t>
            </w:r>
          </w:p>
        </w:tc>
        <w:tc>
          <w:tcPr>
            <w:tcW w:w="992" w:type="dxa"/>
            <w:tcBorders>
              <w:top w:val="nil"/>
              <w:left w:val="nil"/>
              <w:bottom w:val="single" w:sz="4" w:space="0" w:color="auto"/>
              <w:right w:val="single" w:sz="4" w:space="0" w:color="auto"/>
            </w:tcBorders>
            <w:shd w:val="clear" w:color="auto" w:fill="auto"/>
            <w:noWrap/>
          </w:tcPr>
          <w:p w14:paraId="732E87B9" w14:textId="15B21176" w:rsidR="00620333" w:rsidRPr="00A07F29" w:rsidRDefault="00620333" w:rsidP="003041BD">
            <w:pPr>
              <w:spacing w:after="0" w:line="240" w:lineRule="auto"/>
              <w:rPr>
                <w:rFonts w:ascii="Times New Roman" w:eastAsia="Times New Roman" w:hAnsi="Times New Roman" w:cs="Times New Roman"/>
                <w:color w:val="000000"/>
              </w:rPr>
            </w:pPr>
            <w:r w:rsidRPr="00A07F29">
              <w:rPr>
                <w:rFonts w:ascii="Times New Roman" w:hAnsi="Times New Roman" w:cs="Times New Roman"/>
              </w:rPr>
              <w:t>14</w:t>
            </w:r>
          </w:p>
        </w:tc>
        <w:tc>
          <w:tcPr>
            <w:tcW w:w="1242" w:type="dxa"/>
            <w:tcBorders>
              <w:top w:val="nil"/>
              <w:left w:val="nil"/>
              <w:bottom w:val="single" w:sz="4" w:space="0" w:color="auto"/>
              <w:right w:val="single" w:sz="4" w:space="0" w:color="auto"/>
            </w:tcBorders>
          </w:tcPr>
          <w:p w14:paraId="3B4C0B91" w14:textId="57908AC2" w:rsidR="00620333" w:rsidRPr="00A07F29" w:rsidRDefault="00620333" w:rsidP="003041BD">
            <w:pPr>
              <w:spacing w:after="0" w:line="240" w:lineRule="auto"/>
              <w:rPr>
                <w:rFonts w:ascii="Times New Roman" w:eastAsia="Times New Roman" w:hAnsi="Times New Roman" w:cs="Times New Roman"/>
                <w:color w:val="000000"/>
              </w:rPr>
            </w:pPr>
            <w:r w:rsidRPr="00A07F29">
              <w:rPr>
                <w:rFonts w:ascii="Times New Roman" w:eastAsia="Times New Roman" w:hAnsi="Times New Roman" w:cs="Times New Roman"/>
                <w:color w:val="000000"/>
              </w:rPr>
              <w:t>13</w:t>
            </w:r>
          </w:p>
        </w:tc>
        <w:tc>
          <w:tcPr>
            <w:tcW w:w="884" w:type="dxa"/>
            <w:tcBorders>
              <w:top w:val="nil"/>
              <w:left w:val="nil"/>
              <w:bottom w:val="single" w:sz="4" w:space="0" w:color="auto"/>
              <w:right w:val="single" w:sz="4" w:space="0" w:color="auto"/>
            </w:tcBorders>
          </w:tcPr>
          <w:p w14:paraId="42D2AC0F" w14:textId="3AA6068F" w:rsidR="00620333" w:rsidRPr="00A07F29" w:rsidRDefault="00620333" w:rsidP="003041BD">
            <w:pPr>
              <w:spacing w:after="0" w:line="240" w:lineRule="auto"/>
              <w:rPr>
                <w:rFonts w:ascii="Times New Roman" w:eastAsia="Times New Roman" w:hAnsi="Times New Roman" w:cs="Times New Roman"/>
                <w:color w:val="000000"/>
              </w:rPr>
            </w:pPr>
            <w:r w:rsidRPr="00A07F29">
              <w:rPr>
                <w:rFonts w:ascii="Times New Roman" w:eastAsia="Times New Roman" w:hAnsi="Times New Roman" w:cs="Times New Roman"/>
                <w:color w:val="000000"/>
              </w:rPr>
              <w:t>13</w:t>
            </w:r>
          </w:p>
        </w:tc>
      </w:tr>
      <w:tr w:rsidR="00620333" w:rsidRPr="00A07F29" w14:paraId="3106CC56" w14:textId="4DE70022" w:rsidTr="00003E9E">
        <w:trPr>
          <w:trHeight w:val="315"/>
          <w:jc w:val="center"/>
        </w:trPr>
        <w:tc>
          <w:tcPr>
            <w:tcW w:w="1305" w:type="dxa"/>
            <w:tcBorders>
              <w:top w:val="nil"/>
              <w:left w:val="single" w:sz="4" w:space="0" w:color="auto"/>
              <w:bottom w:val="single" w:sz="4" w:space="0" w:color="auto"/>
              <w:right w:val="single" w:sz="4" w:space="0" w:color="auto"/>
            </w:tcBorders>
            <w:shd w:val="clear" w:color="auto" w:fill="auto"/>
            <w:noWrap/>
            <w:vAlign w:val="bottom"/>
            <w:hideMark/>
          </w:tcPr>
          <w:p w14:paraId="02C24DA9" w14:textId="77777777" w:rsidR="00620333" w:rsidRPr="00A07F29" w:rsidRDefault="00620333" w:rsidP="003041BD">
            <w:pPr>
              <w:spacing w:after="0" w:line="240" w:lineRule="auto"/>
              <w:jc w:val="center"/>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7857</w:t>
            </w:r>
          </w:p>
        </w:tc>
        <w:tc>
          <w:tcPr>
            <w:tcW w:w="1985" w:type="dxa"/>
            <w:tcBorders>
              <w:top w:val="nil"/>
              <w:left w:val="nil"/>
              <w:bottom w:val="single" w:sz="4" w:space="0" w:color="auto"/>
              <w:right w:val="single" w:sz="4" w:space="0" w:color="auto"/>
            </w:tcBorders>
            <w:shd w:val="clear" w:color="auto" w:fill="auto"/>
            <w:noWrap/>
            <w:vAlign w:val="bottom"/>
            <w:hideMark/>
          </w:tcPr>
          <w:p w14:paraId="732A0F61" w14:textId="77777777" w:rsidR="00620333" w:rsidRPr="00A07F29" w:rsidRDefault="00620333" w:rsidP="003041BD">
            <w:pPr>
              <w:spacing w:after="0" w:line="240" w:lineRule="auto"/>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Kalnieši</w:t>
            </w:r>
          </w:p>
        </w:tc>
        <w:tc>
          <w:tcPr>
            <w:tcW w:w="992" w:type="dxa"/>
            <w:tcBorders>
              <w:top w:val="nil"/>
              <w:left w:val="nil"/>
              <w:bottom w:val="single" w:sz="4" w:space="0" w:color="auto"/>
              <w:right w:val="single" w:sz="4" w:space="0" w:color="auto"/>
            </w:tcBorders>
            <w:shd w:val="clear" w:color="auto" w:fill="auto"/>
            <w:noWrap/>
          </w:tcPr>
          <w:p w14:paraId="2F9CE4EB" w14:textId="6B54A465" w:rsidR="00620333" w:rsidRPr="00A07F29" w:rsidRDefault="00620333" w:rsidP="003041BD">
            <w:pPr>
              <w:spacing w:after="0" w:line="240" w:lineRule="auto"/>
              <w:rPr>
                <w:rFonts w:ascii="Times New Roman" w:eastAsia="Times New Roman" w:hAnsi="Times New Roman" w:cs="Times New Roman"/>
                <w:color w:val="000000"/>
              </w:rPr>
            </w:pPr>
            <w:r w:rsidRPr="00A07F29">
              <w:rPr>
                <w:rFonts w:ascii="Times New Roman" w:hAnsi="Times New Roman" w:cs="Times New Roman"/>
              </w:rPr>
              <w:t>9</w:t>
            </w:r>
          </w:p>
        </w:tc>
        <w:tc>
          <w:tcPr>
            <w:tcW w:w="1242" w:type="dxa"/>
            <w:tcBorders>
              <w:top w:val="nil"/>
              <w:left w:val="nil"/>
              <w:bottom w:val="single" w:sz="4" w:space="0" w:color="auto"/>
              <w:right w:val="single" w:sz="4" w:space="0" w:color="auto"/>
            </w:tcBorders>
          </w:tcPr>
          <w:p w14:paraId="7F9BCAB5" w14:textId="5F281103" w:rsidR="00620333" w:rsidRPr="00A07F29" w:rsidRDefault="00620333" w:rsidP="003041BD">
            <w:pPr>
              <w:spacing w:after="0" w:line="240" w:lineRule="auto"/>
              <w:rPr>
                <w:rFonts w:ascii="Times New Roman" w:eastAsia="Times New Roman" w:hAnsi="Times New Roman" w:cs="Times New Roman"/>
                <w:color w:val="000000"/>
              </w:rPr>
            </w:pPr>
            <w:r w:rsidRPr="00A07F29">
              <w:rPr>
                <w:rFonts w:ascii="Times New Roman" w:eastAsia="Times New Roman" w:hAnsi="Times New Roman" w:cs="Times New Roman"/>
                <w:color w:val="000000"/>
              </w:rPr>
              <w:t>7</w:t>
            </w:r>
          </w:p>
        </w:tc>
        <w:tc>
          <w:tcPr>
            <w:tcW w:w="884" w:type="dxa"/>
            <w:tcBorders>
              <w:top w:val="nil"/>
              <w:left w:val="nil"/>
              <w:bottom w:val="single" w:sz="4" w:space="0" w:color="auto"/>
              <w:right w:val="single" w:sz="4" w:space="0" w:color="auto"/>
            </w:tcBorders>
          </w:tcPr>
          <w:p w14:paraId="005EB8B1" w14:textId="0E565C51" w:rsidR="00620333" w:rsidRPr="00A07F29" w:rsidRDefault="00620333" w:rsidP="003041BD">
            <w:pPr>
              <w:spacing w:after="0" w:line="240" w:lineRule="auto"/>
              <w:rPr>
                <w:rFonts w:ascii="Times New Roman" w:eastAsia="Times New Roman" w:hAnsi="Times New Roman" w:cs="Times New Roman"/>
                <w:color w:val="000000"/>
              </w:rPr>
            </w:pPr>
            <w:r w:rsidRPr="00A07F29">
              <w:rPr>
                <w:rFonts w:ascii="Times New Roman" w:eastAsia="Times New Roman" w:hAnsi="Times New Roman" w:cs="Times New Roman"/>
                <w:color w:val="000000"/>
              </w:rPr>
              <w:t>2</w:t>
            </w:r>
          </w:p>
        </w:tc>
      </w:tr>
      <w:tr w:rsidR="00620333" w:rsidRPr="00A07F29" w14:paraId="2659BB3A" w14:textId="509EEB11" w:rsidTr="00003E9E">
        <w:trPr>
          <w:trHeight w:val="315"/>
          <w:jc w:val="center"/>
        </w:trPr>
        <w:tc>
          <w:tcPr>
            <w:tcW w:w="1305" w:type="dxa"/>
            <w:tcBorders>
              <w:top w:val="nil"/>
              <w:left w:val="single" w:sz="4" w:space="0" w:color="auto"/>
              <w:bottom w:val="single" w:sz="4" w:space="0" w:color="auto"/>
              <w:right w:val="single" w:sz="4" w:space="0" w:color="auto"/>
            </w:tcBorders>
            <w:shd w:val="clear" w:color="auto" w:fill="auto"/>
            <w:noWrap/>
            <w:vAlign w:val="bottom"/>
            <w:hideMark/>
          </w:tcPr>
          <w:p w14:paraId="6CD9C539" w14:textId="77777777" w:rsidR="00620333" w:rsidRPr="00A07F29" w:rsidRDefault="00620333" w:rsidP="003041BD">
            <w:pPr>
              <w:spacing w:after="0" w:line="240" w:lineRule="auto"/>
              <w:jc w:val="center"/>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7860</w:t>
            </w:r>
          </w:p>
        </w:tc>
        <w:tc>
          <w:tcPr>
            <w:tcW w:w="1985" w:type="dxa"/>
            <w:tcBorders>
              <w:top w:val="nil"/>
              <w:left w:val="nil"/>
              <w:bottom w:val="single" w:sz="4" w:space="0" w:color="auto"/>
              <w:right w:val="single" w:sz="4" w:space="0" w:color="auto"/>
            </w:tcBorders>
            <w:shd w:val="clear" w:color="auto" w:fill="auto"/>
            <w:noWrap/>
            <w:vAlign w:val="bottom"/>
            <w:hideMark/>
          </w:tcPr>
          <w:p w14:paraId="79700E92" w14:textId="77777777" w:rsidR="00620333" w:rsidRPr="00A07F29" w:rsidRDefault="00620333" w:rsidP="003041BD">
            <w:pPr>
              <w:spacing w:after="0" w:line="240" w:lineRule="auto"/>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Piedruja</w:t>
            </w:r>
          </w:p>
        </w:tc>
        <w:tc>
          <w:tcPr>
            <w:tcW w:w="992" w:type="dxa"/>
            <w:tcBorders>
              <w:top w:val="nil"/>
              <w:left w:val="nil"/>
              <w:bottom w:val="single" w:sz="4" w:space="0" w:color="auto"/>
              <w:right w:val="single" w:sz="4" w:space="0" w:color="auto"/>
            </w:tcBorders>
            <w:shd w:val="clear" w:color="auto" w:fill="auto"/>
            <w:noWrap/>
          </w:tcPr>
          <w:p w14:paraId="5AEBE269" w14:textId="2933B04D" w:rsidR="00620333" w:rsidRPr="00A07F29" w:rsidRDefault="00620333" w:rsidP="003041BD">
            <w:pPr>
              <w:spacing w:after="0" w:line="240" w:lineRule="auto"/>
              <w:rPr>
                <w:rFonts w:ascii="Times New Roman" w:eastAsia="Times New Roman" w:hAnsi="Times New Roman" w:cs="Times New Roman"/>
                <w:color w:val="000000"/>
              </w:rPr>
            </w:pPr>
            <w:r w:rsidRPr="00A07F29">
              <w:rPr>
                <w:rFonts w:ascii="Times New Roman" w:hAnsi="Times New Roman" w:cs="Times New Roman"/>
              </w:rPr>
              <w:t>6</w:t>
            </w:r>
          </w:p>
        </w:tc>
        <w:tc>
          <w:tcPr>
            <w:tcW w:w="1242" w:type="dxa"/>
            <w:tcBorders>
              <w:top w:val="nil"/>
              <w:left w:val="nil"/>
              <w:bottom w:val="single" w:sz="4" w:space="0" w:color="auto"/>
              <w:right w:val="single" w:sz="4" w:space="0" w:color="auto"/>
            </w:tcBorders>
          </w:tcPr>
          <w:p w14:paraId="5AEECD70" w14:textId="642F7B89" w:rsidR="00620333" w:rsidRPr="00A07F29" w:rsidRDefault="00620333" w:rsidP="003041BD">
            <w:pPr>
              <w:spacing w:after="0" w:line="240" w:lineRule="auto"/>
              <w:rPr>
                <w:rFonts w:ascii="Times New Roman" w:eastAsia="Times New Roman" w:hAnsi="Times New Roman" w:cs="Times New Roman"/>
                <w:color w:val="000000"/>
              </w:rPr>
            </w:pPr>
            <w:r w:rsidRPr="00A07F29">
              <w:rPr>
                <w:rFonts w:ascii="Times New Roman" w:eastAsia="Times New Roman" w:hAnsi="Times New Roman" w:cs="Times New Roman"/>
                <w:color w:val="000000"/>
              </w:rPr>
              <w:t>26</w:t>
            </w:r>
          </w:p>
        </w:tc>
        <w:tc>
          <w:tcPr>
            <w:tcW w:w="884" w:type="dxa"/>
            <w:tcBorders>
              <w:top w:val="nil"/>
              <w:left w:val="nil"/>
              <w:bottom w:val="single" w:sz="4" w:space="0" w:color="auto"/>
              <w:right w:val="single" w:sz="4" w:space="0" w:color="auto"/>
            </w:tcBorders>
          </w:tcPr>
          <w:p w14:paraId="488A4E53" w14:textId="4ADE87A6" w:rsidR="00620333" w:rsidRPr="00A07F29" w:rsidRDefault="00620333" w:rsidP="003041BD">
            <w:pPr>
              <w:spacing w:after="0" w:line="240" w:lineRule="auto"/>
              <w:rPr>
                <w:rFonts w:ascii="Times New Roman" w:eastAsia="Times New Roman" w:hAnsi="Times New Roman" w:cs="Times New Roman"/>
                <w:color w:val="000000"/>
              </w:rPr>
            </w:pPr>
            <w:r w:rsidRPr="00A07F29">
              <w:rPr>
                <w:rFonts w:ascii="Times New Roman" w:eastAsia="Times New Roman" w:hAnsi="Times New Roman" w:cs="Times New Roman"/>
                <w:color w:val="000000"/>
              </w:rPr>
              <w:t>43</w:t>
            </w:r>
          </w:p>
        </w:tc>
      </w:tr>
      <w:tr w:rsidR="00620333" w:rsidRPr="00A07F29" w14:paraId="023731D8" w14:textId="77777777" w:rsidTr="00003E9E">
        <w:trPr>
          <w:trHeight w:val="315"/>
          <w:jc w:val="center"/>
        </w:trPr>
        <w:tc>
          <w:tcPr>
            <w:tcW w:w="13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60549B" w14:textId="77777777" w:rsidR="00620333" w:rsidRPr="00A07F29" w:rsidRDefault="00620333" w:rsidP="003041BD">
            <w:pPr>
              <w:spacing w:after="0" w:line="240" w:lineRule="auto"/>
              <w:jc w:val="center"/>
              <w:rPr>
                <w:rFonts w:ascii="Times New Roman" w:eastAsia="Times New Roman" w:hAnsi="Times New Roman" w:cs="Times New Roman"/>
                <w:color w:val="000000"/>
                <w:sz w:val="24"/>
                <w:szCs w:val="24"/>
              </w:rPr>
            </w:pPr>
          </w:p>
        </w:tc>
        <w:tc>
          <w:tcPr>
            <w:tcW w:w="1985" w:type="dxa"/>
            <w:tcBorders>
              <w:top w:val="single" w:sz="4" w:space="0" w:color="auto"/>
              <w:left w:val="nil"/>
              <w:bottom w:val="single" w:sz="4" w:space="0" w:color="auto"/>
              <w:right w:val="single" w:sz="4" w:space="0" w:color="auto"/>
            </w:tcBorders>
            <w:shd w:val="clear" w:color="auto" w:fill="auto"/>
            <w:noWrap/>
            <w:vAlign w:val="bottom"/>
          </w:tcPr>
          <w:p w14:paraId="749AAC13" w14:textId="155E72D4" w:rsidR="00620333" w:rsidRPr="00A07F29" w:rsidRDefault="00620333" w:rsidP="003041BD">
            <w:pPr>
              <w:spacing w:after="0" w:line="240" w:lineRule="auto"/>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KOPĀ</w:t>
            </w:r>
          </w:p>
        </w:tc>
        <w:tc>
          <w:tcPr>
            <w:tcW w:w="992" w:type="dxa"/>
            <w:tcBorders>
              <w:top w:val="single" w:sz="4" w:space="0" w:color="auto"/>
              <w:left w:val="nil"/>
              <w:bottom w:val="single" w:sz="4" w:space="0" w:color="auto"/>
              <w:right w:val="single" w:sz="4" w:space="0" w:color="auto"/>
            </w:tcBorders>
            <w:shd w:val="clear" w:color="auto" w:fill="auto"/>
            <w:noWrap/>
          </w:tcPr>
          <w:p w14:paraId="6CC85926" w14:textId="262ECD81" w:rsidR="00620333" w:rsidRPr="00A07F29" w:rsidRDefault="00620333" w:rsidP="003041BD">
            <w:pPr>
              <w:spacing w:after="0" w:line="240" w:lineRule="auto"/>
              <w:rPr>
                <w:rFonts w:ascii="Times New Roman" w:hAnsi="Times New Roman" w:cs="Times New Roman"/>
              </w:rPr>
            </w:pPr>
            <w:r w:rsidRPr="00A07F29">
              <w:rPr>
                <w:rFonts w:ascii="Times New Roman" w:hAnsi="Times New Roman" w:cs="Times New Roman"/>
              </w:rPr>
              <w:t>86</w:t>
            </w:r>
          </w:p>
        </w:tc>
        <w:tc>
          <w:tcPr>
            <w:tcW w:w="1242" w:type="dxa"/>
            <w:tcBorders>
              <w:top w:val="single" w:sz="4" w:space="0" w:color="auto"/>
              <w:left w:val="nil"/>
              <w:bottom w:val="single" w:sz="4" w:space="0" w:color="auto"/>
              <w:right w:val="single" w:sz="4" w:space="0" w:color="auto"/>
            </w:tcBorders>
          </w:tcPr>
          <w:p w14:paraId="5D10F792" w14:textId="41E0CF1E" w:rsidR="00620333" w:rsidRPr="00A07F29" w:rsidRDefault="00620333" w:rsidP="003041BD">
            <w:pPr>
              <w:spacing w:after="0" w:line="240" w:lineRule="auto"/>
              <w:rPr>
                <w:rFonts w:ascii="Times New Roman" w:eastAsia="Times New Roman" w:hAnsi="Times New Roman" w:cs="Times New Roman"/>
                <w:color w:val="000000"/>
              </w:rPr>
            </w:pPr>
            <w:r w:rsidRPr="00A07F29">
              <w:rPr>
                <w:rFonts w:ascii="Times New Roman" w:eastAsia="Times New Roman" w:hAnsi="Times New Roman" w:cs="Times New Roman"/>
                <w:color w:val="000000"/>
              </w:rPr>
              <w:t>181</w:t>
            </w:r>
          </w:p>
        </w:tc>
        <w:tc>
          <w:tcPr>
            <w:tcW w:w="884" w:type="dxa"/>
            <w:tcBorders>
              <w:top w:val="single" w:sz="4" w:space="0" w:color="auto"/>
              <w:left w:val="nil"/>
              <w:bottom w:val="single" w:sz="4" w:space="0" w:color="auto"/>
              <w:right w:val="single" w:sz="4" w:space="0" w:color="auto"/>
            </w:tcBorders>
          </w:tcPr>
          <w:p w14:paraId="6EF6841D" w14:textId="616B7F3F" w:rsidR="00620333" w:rsidRPr="00A07F29" w:rsidRDefault="00620333" w:rsidP="003041BD">
            <w:pPr>
              <w:spacing w:after="0" w:line="240" w:lineRule="auto"/>
              <w:rPr>
                <w:rFonts w:ascii="Times New Roman" w:eastAsia="Times New Roman" w:hAnsi="Times New Roman" w:cs="Times New Roman"/>
                <w:color w:val="000000"/>
              </w:rPr>
            </w:pPr>
            <w:r w:rsidRPr="00A07F29">
              <w:rPr>
                <w:rFonts w:ascii="Times New Roman" w:eastAsia="Times New Roman" w:hAnsi="Times New Roman" w:cs="Times New Roman"/>
                <w:color w:val="000000"/>
              </w:rPr>
              <w:t>340</w:t>
            </w:r>
          </w:p>
        </w:tc>
      </w:tr>
    </w:tbl>
    <w:p w14:paraId="13B0473A" w14:textId="55FAA0B6" w:rsidR="000E6B83" w:rsidRPr="00A07F29" w:rsidRDefault="000E6B83" w:rsidP="003041BD">
      <w:pPr>
        <w:spacing w:after="120" w:line="240" w:lineRule="auto"/>
        <w:ind w:firstLine="851"/>
        <w:jc w:val="both"/>
        <w:rPr>
          <w:rFonts w:ascii="Times New Roman" w:eastAsia="Calibri" w:hAnsi="Times New Roman" w:cs="Calibri"/>
          <w:sz w:val="24"/>
        </w:rPr>
      </w:pPr>
    </w:p>
    <w:p w14:paraId="65820256" w14:textId="163415D1" w:rsidR="00B209E7" w:rsidRPr="00A07F29" w:rsidRDefault="005A565B" w:rsidP="003041BD">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AAA “Augšdaugava” joprojām ir aktuāla Āfrikas cūku mēra izplatība</w:t>
      </w:r>
      <w:r w:rsidR="00C1461F" w:rsidRPr="00A07F29">
        <w:rPr>
          <w:rFonts w:ascii="Times New Roman" w:eastAsia="Calibri" w:hAnsi="Times New Roman" w:cs="Calibri"/>
          <w:sz w:val="24"/>
        </w:rPr>
        <w:t>. T</w:t>
      </w:r>
      <w:r w:rsidRPr="00A07F29">
        <w:rPr>
          <w:rFonts w:ascii="Times New Roman" w:eastAsia="Calibri" w:hAnsi="Times New Roman" w:cs="Calibri"/>
          <w:sz w:val="24"/>
        </w:rPr>
        <w:t xml:space="preserve">āpat kā lielākā daļa Latvijas teritorijas, AAA </w:t>
      </w:r>
      <w:r w:rsidR="00C1461F" w:rsidRPr="00A07F29">
        <w:rPr>
          <w:rFonts w:ascii="Times New Roman" w:eastAsia="Calibri" w:hAnsi="Times New Roman" w:cs="Calibri"/>
          <w:sz w:val="24"/>
        </w:rPr>
        <w:t xml:space="preserve">“Augšdaugava” </w:t>
      </w:r>
      <w:r w:rsidRPr="00A07F29">
        <w:rPr>
          <w:rFonts w:ascii="Times New Roman" w:eastAsia="Calibri" w:hAnsi="Times New Roman" w:cs="Calibri"/>
          <w:sz w:val="24"/>
        </w:rPr>
        <w:t xml:space="preserve">teritorija </w:t>
      </w:r>
      <w:r w:rsidR="003C61D2" w:rsidRPr="00A07F29">
        <w:rPr>
          <w:rFonts w:ascii="Times New Roman" w:eastAsia="Calibri" w:hAnsi="Times New Roman" w:cs="Calibri"/>
          <w:sz w:val="24"/>
        </w:rPr>
        <w:t>2024</w:t>
      </w:r>
      <w:r w:rsidRPr="00A07F29">
        <w:rPr>
          <w:rFonts w:ascii="Times New Roman" w:eastAsia="Calibri" w:hAnsi="Times New Roman" w:cs="Calibri"/>
          <w:sz w:val="24"/>
        </w:rPr>
        <w:t>.</w:t>
      </w:r>
      <w:r w:rsidR="00003E9E" w:rsidRPr="00A07F29">
        <w:rPr>
          <w:rFonts w:ascii="Times New Roman" w:eastAsia="Calibri" w:hAnsi="Times New Roman" w:cs="Calibri"/>
          <w:sz w:val="24"/>
        </w:rPr>
        <w:t> </w:t>
      </w:r>
      <w:r w:rsidR="003C61D2" w:rsidRPr="00A07F29">
        <w:rPr>
          <w:rFonts w:ascii="Times New Roman" w:eastAsia="Calibri" w:hAnsi="Times New Roman" w:cs="Calibri"/>
          <w:sz w:val="24"/>
        </w:rPr>
        <w:t>gadā</w:t>
      </w:r>
      <w:r w:rsidRPr="00A07F29">
        <w:rPr>
          <w:rFonts w:ascii="Times New Roman" w:eastAsia="Calibri" w:hAnsi="Times New Roman" w:cs="Calibri"/>
          <w:sz w:val="24"/>
        </w:rPr>
        <w:t xml:space="preserve"> atrodas II riska zonā, kas tiek noteikta pēc cūku mēra gadījumu konstatēšanas tikai savvaļas cūku populācijā. Ir konstatēt</w:t>
      </w:r>
      <w:r w:rsidR="0093168F" w:rsidRPr="00A07F29">
        <w:rPr>
          <w:rFonts w:ascii="Times New Roman" w:eastAsia="Calibri" w:hAnsi="Times New Roman" w:cs="Calibri"/>
          <w:sz w:val="24"/>
        </w:rPr>
        <w:t>s viens</w:t>
      </w:r>
      <w:r w:rsidRPr="00A07F29">
        <w:rPr>
          <w:rFonts w:ascii="Times New Roman" w:eastAsia="Calibri" w:hAnsi="Times New Roman" w:cs="Calibri"/>
          <w:sz w:val="24"/>
        </w:rPr>
        <w:t xml:space="preserve"> Āfrikas cūku mēra gadījum</w:t>
      </w:r>
      <w:r w:rsidR="0093168F" w:rsidRPr="00A07F29">
        <w:rPr>
          <w:rFonts w:ascii="Times New Roman" w:eastAsia="Calibri" w:hAnsi="Times New Roman" w:cs="Calibri"/>
          <w:sz w:val="24"/>
        </w:rPr>
        <w:t>s</w:t>
      </w:r>
      <w:r w:rsidRPr="00A07F29">
        <w:rPr>
          <w:rFonts w:ascii="Times New Roman" w:eastAsia="Calibri" w:hAnsi="Times New Roman" w:cs="Calibri"/>
          <w:sz w:val="24"/>
        </w:rPr>
        <w:t xml:space="preserve"> 2020.</w:t>
      </w:r>
      <w:r w:rsidR="008E29B5" w:rsidRPr="00A07F29">
        <w:rPr>
          <w:rFonts w:ascii="Times New Roman" w:eastAsia="Calibri" w:hAnsi="Times New Roman" w:cs="Calibri"/>
          <w:sz w:val="24"/>
        </w:rPr>
        <w:t> </w:t>
      </w:r>
      <w:r w:rsidRPr="00A07F29">
        <w:rPr>
          <w:rFonts w:ascii="Times New Roman" w:eastAsia="Calibri" w:hAnsi="Times New Roman" w:cs="Calibri"/>
          <w:sz w:val="24"/>
        </w:rPr>
        <w:t xml:space="preserve">gadā </w:t>
      </w:r>
      <w:r w:rsidR="0093168F" w:rsidRPr="00A07F29">
        <w:rPr>
          <w:rFonts w:ascii="Times New Roman" w:eastAsia="Calibri" w:hAnsi="Times New Roman" w:cs="Calibri"/>
          <w:sz w:val="24"/>
        </w:rPr>
        <w:t>Krāslavas novada Robežnieku pagastā, netālu no AAA “Augšdaugava”.</w:t>
      </w:r>
    </w:p>
    <w:p w14:paraId="3F37574B" w14:textId="102C4FDE" w:rsidR="0093168F" w:rsidRPr="00A07F29" w:rsidRDefault="0093168F" w:rsidP="003041BD">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Kopš 2013.</w:t>
      </w:r>
      <w:r w:rsidR="008E29B5" w:rsidRPr="00A07F29">
        <w:rPr>
          <w:rFonts w:ascii="Times New Roman" w:eastAsia="Calibri" w:hAnsi="Times New Roman" w:cs="Calibri"/>
          <w:sz w:val="24"/>
        </w:rPr>
        <w:t> </w:t>
      </w:r>
      <w:r w:rsidRPr="00A07F29">
        <w:rPr>
          <w:rFonts w:ascii="Times New Roman" w:eastAsia="Calibri" w:hAnsi="Times New Roman" w:cs="Calibri"/>
          <w:sz w:val="24"/>
        </w:rPr>
        <w:t xml:space="preserve">gada </w:t>
      </w:r>
      <w:r w:rsidR="00DB442E" w:rsidRPr="00A07F29">
        <w:rPr>
          <w:rFonts w:ascii="Times New Roman" w:eastAsia="Calibri" w:hAnsi="Times New Roman" w:cs="Calibri"/>
          <w:sz w:val="24"/>
        </w:rPr>
        <w:t>Augšdaugavas</w:t>
      </w:r>
      <w:r w:rsidRPr="00A07F29">
        <w:rPr>
          <w:rFonts w:ascii="Times New Roman" w:eastAsia="Calibri" w:hAnsi="Times New Roman" w:cs="Calibri"/>
          <w:sz w:val="24"/>
        </w:rPr>
        <w:t xml:space="preserve"> un Krāslavas novados, tai skaitā AAA “Augšdaugava”, nav konstatēti lielo plēsēju uzbrukumi mājdzīvniekiem.</w:t>
      </w:r>
    </w:p>
    <w:p w14:paraId="7338C476" w14:textId="1800949C" w:rsidR="00B209E7" w:rsidRPr="00A07F29" w:rsidRDefault="0093168F" w:rsidP="003041BD">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lastRenderedPageBreak/>
        <w:t>AAA “Augšdaugava” mežos ir reģistrēti 92,33</w:t>
      </w:r>
      <w:r w:rsidR="0002516B" w:rsidRPr="00A07F29">
        <w:rPr>
          <w:rFonts w:ascii="Times New Roman" w:eastAsia="Calibri" w:hAnsi="Times New Roman" w:cs="Calibri"/>
          <w:sz w:val="24"/>
        </w:rPr>
        <w:t> </w:t>
      </w:r>
      <w:r w:rsidRPr="00A07F29">
        <w:rPr>
          <w:rFonts w:ascii="Times New Roman" w:eastAsia="Calibri" w:hAnsi="Times New Roman" w:cs="Calibri"/>
          <w:sz w:val="24"/>
        </w:rPr>
        <w:t xml:space="preserve">ha meža dzīvnieku piebarošanas </w:t>
      </w:r>
      <w:proofErr w:type="spellStart"/>
      <w:r w:rsidRPr="00A07F29">
        <w:rPr>
          <w:rFonts w:ascii="Times New Roman" w:eastAsia="Calibri" w:hAnsi="Times New Roman" w:cs="Calibri"/>
          <w:sz w:val="24"/>
        </w:rPr>
        <w:t>lauču</w:t>
      </w:r>
      <w:proofErr w:type="spellEnd"/>
      <w:r w:rsidRPr="00A07F29">
        <w:rPr>
          <w:rFonts w:ascii="Times New Roman" w:eastAsia="Calibri" w:hAnsi="Times New Roman" w:cs="Calibri"/>
          <w:sz w:val="24"/>
        </w:rPr>
        <w:t xml:space="preserve"> (141 poligons), daļu no tām medību kolektīvi izmanto medījamo dzīvnieku piebarošanai.</w:t>
      </w:r>
    </w:p>
    <w:p w14:paraId="7715FE9C" w14:textId="38E8A895" w:rsidR="00FA3759" w:rsidRPr="00A07F29" w:rsidRDefault="00FA3759" w:rsidP="00BE060D">
      <w:pPr>
        <w:spacing w:before="240" w:after="120" w:line="240" w:lineRule="auto"/>
        <w:jc w:val="center"/>
        <w:rPr>
          <w:rFonts w:ascii="Times New Roman" w:eastAsia="Calibri" w:hAnsi="Times New Roman" w:cs="Calibri"/>
          <w:sz w:val="24"/>
        </w:rPr>
      </w:pPr>
      <w:r w:rsidRPr="00A07F29">
        <w:rPr>
          <w:rFonts w:ascii="Times New Roman" w:eastAsia="Calibri" w:hAnsi="Times New Roman" w:cs="Calibri"/>
          <w:sz w:val="24"/>
        </w:rPr>
        <w:t>3.6.</w:t>
      </w:r>
      <w:r w:rsidR="00EF6958" w:rsidRPr="00A07F29">
        <w:rPr>
          <w:rFonts w:ascii="Times New Roman" w:eastAsia="Calibri" w:hAnsi="Times New Roman" w:cs="Calibri"/>
          <w:sz w:val="24"/>
        </w:rPr>
        <w:t>3</w:t>
      </w:r>
      <w:r w:rsidRPr="00A07F29">
        <w:rPr>
          <w:rFonts w:ascii="Times New Roman" w:eastAsia="Calibri" w:hAnsi="Times New Roman" w:cs="Calibri"/>
          <w:sz w:val="24"/>
        </w:rPr>
        <w:t>.</w:t>
      </w:r>
      <w:r w:rsidR="00E21825" w:rsidRPr="00A07F29">
        <w:rPr>
          <w:rFonts w:ascii="Times New Roman" w:eastAsia="Calibri" w:hAnsi="Times New Roman" w:cs="Calibri"/>
          <w:sz w:val="24"/>
        </w:rPr>
        <w:t> </w:t>
      </w:r>
      <w:r w:rsidRPr="00A07F29">
        <w:rPr>
          <w:rFonts w:ascii="Times New Roman" w:eastAsia="Calibri" w:hAnsi="Times New Roman" w:cs="Calibri"/>
          <w:sz w:val="24"/>
        </w:rPr>
        <w:t xml:space="preserve">tabula. Meža dzīvnieku piebarošanas </w:t>
      </w:r>
      <w:proofErr w:type="spellStart"/>
      <w:r w:rsidRPr="00A07F29">
        <w:rPr>
          <w:rFonts w:ascii="Times New Roman" w:eastAsia="Calibri" w:hAnsi="Times New Roman" w:cs="Calibri"/>
          <w:sz w:val="24"/>
        </w:rPr>
        <w:t>lauces</w:t>
      </w:r>
      <w:proofErr w:type="spellEnd"/>
      <w:r w:rsidRPr="00A07F29">
        <w:rPr>
          <w:rFonts w:ascii="Times New Roman" w:eastAsia="Calibri" w:hAnsi="Times New Roman" w:cs="Calibri"/>
          <w:sz w:val="24"/>
        </w:rPr>
        <w:t xml:space="preserve"> AAA “Augšdaugava” teritorijā</w:t>
      </w:r>
      <w:r w:rsidR="0093168F" w:rsidRPr="00A07F29">
        <w:rPr>
          <w:rFonts w:ascii="Times New Roman" w:eastAsia="Calibri" w:hAnsi="Times New Roman" w:cs="Calibri"/>
          <w:sz w:val="24"/>
        </w:rPr>
        <w:t xml:space="preserve"> (V</w:t>
      </w:r>
      <w:r w:rsidR="00E21825" w:rsidRPr="00A07F29">
        <w:rPr>
          <w:rFonts w:ascii="Times New Roman" w:eastAsia="Calibri" w:hAnsi="Times New Roman" w:cs="Calibri"/>
          <w:sz w:val="24"/>
        </w:rPr>
        <w:t>MD</w:t>
      </w:r>
      <w:r w:rsidR="0093168F" w:rsidRPr="00A07F29">
        <w:rPr>
          <w:rFonts w:ascii="Times New Roman" w:eastAsia="Calibri" w:hAnsi="Times New Roman" w:cs="Calibri"/>
          <w:sz w:val="24"/>
        </w:rPr>
        <w:t xml:space="preserve"> dati, 2019)</w:t>
      </w:r>
    </w:p>
    <w:tbl>
      <w:tblPr>
        <w:tblW w:w="6917" w:type="dxa"/>
        <w:jc w:val="center"/>
        <w:shd w:val="clear" w:color="auto" w:fill="FFFFFF"/>
        <w:tblCellMar>
          <w:left w:w="0" w:type="dxa"/>
          <w:right w:w="0" w:type="dxa"/>
        </w:tblCellMar>
        <w:tblLook w:val="04A0" w:firstRow="1" w:lastRow="0" w:firstColumn="1" w:lastColumn="0" w:noHBand="0" w:noVBand="1"/>
      </w:tblPr>
      <w:tblGrid>
        <w:gridCol w:w="2948"/>
        <w:gridCol w:w="1985"/>
        <w:gridCol w:w="1984"/>
      </w:tblGrid>
      <w:tr w:rsidR="00FA3759" w:rsidRPr="00A07F29" w14:paraId="18CF9398" w14:textId="77777777" w:rsidTr="00C14FA1">
        <w:trPr>
          <w:trHeight w:val="300"/>
          <w:jc w:val="center"/>
        </w:trPr>
        <w:tc>
          <w:tcPr>
            <w:tcW w:w="2948" w:type="dxa"/>
            <w:tcBorders>
              <w:top w:val="single" w:sz="8" w:space="0" w:color="auto"/>
              <w:left w:val="single" w:sz="8" w:space="0" w:color="auto"/>
              <w:bottom w:val="single" w:sz="8" w:space="0" w:color="auto"/>
              <w:right w:val="single" w:sz="8" w:space="0" w:color="auto"/>
            </w:tcBorders>
            <w:shd w:val="clear" w:color="auto" w:fill="D6E3BC" w:themeFill="accent3" w:themeFillTint="66"/>
            <w:tcMar>
              <w:top w:w="0" w:type="dxa"/>
              <w:left w:w="108" w:type="dxa"/>
              <w:bottom w:w="0" w:type="dxa"/>
              <w:right w:w="108" w:type="dxa"/>
            </w:tcMar>
            <w:vAlign w:val="bottom"/>
            <w:hideMark/>
          </w:tcPr>
          <w:p w14:paraId="21D59F62" w14:textId="77777777" w:rsidR="00FA3759" w:rsidRPr="00A07F29" w:rsidRDefault="00FA3759" w:rsidP="003041BD">
            <w:pPr>
              <w:spacing w:after="120" w:line="240" w:lineRule="auto"/>
              <w:ind w:firstLine="34"/>
              <w:jc w:val="both"/>
              <w:rPr>
                <w:rFonts w:ascii="Times New Roman" w:eastAsia="Calibri" w:hAnsi="Times New Roman" w:cs="Calibri"/>
                <w:sz w:val="24"/>
              </w:rPr>
            </w:pPr>
            <w:r w:rsidRPr="00A07F29">
              <w:rPr>
                <w:rFonts w:ascii="Times New Roman" w:eastAsia="Calibri" w:hAnsi="Times New Roman" w:cs="Calibri"/>
                <w:sz w:val="24"/>
              </w:rPr>
              <w:t>Pagasts</w:t>
            </w:r>
          </w:p>
        </w:tc>
        <w:tc>
          <w:tcPr>
            <w:tcW w:w="1985" w:type="dxa"/>
            <w:tcBorders>
              <w:top w:val="single" w:sz="8" w:space="0" w:color="auto"/>
              <w:left w:val="nil"/>
              <w:bottom w:val="single" w:sz="8" w:space="0" w:color="auto"/>
              <w:right w:val="single" w:sz="8" w:space="0" w:color="auto"/>
            </w:tcBorders>
            <w:shd w:val="clear" w:color="auto" w:fill="D6E3BC" w:themeFill="accent3" w:themeFillTint="66"/>
            <w:tcMar>
              <w:top w:w="0" w:type="dxa"/>
              <w:left w:w="108" w:type="dxa"/>
              <w:bottom w:w="0" w:type="dxa"/>
              <w:right w:w="108" w:type="dxa"/>
            </w:tcMar>
            <w:vAlign w:val="bottom"/>
            <w:hideMark/>
          </w:tcPr>
          <w:p w14:paraId="1B503E0F" w14:textId="77777777" w:rsidR="00FA3759" w:rsidRPr="00A07F29" w:rsidRDefault="00FA3759" w:rsidP="003041BD">
            <w:pPr>
              <w:spacing w:after="120" w:line="240" w:lineRule="auto"/>
              <w:jc w:val="both"/>
              <w:rPr>
                <w:rFonts w:ascii="Times New Roman" w:eastAsia="Calibri" w:hAnsi="Times New Roman" w:cs="Calibri"/>
                <w:sz w:val="24"/>
              </w:rPr>
            </w:pPr>
            <w:r w:rsidRPr="00A07F29">
              <w:rPr>
                <w:rFonts w:ascii="Times New Roman" w:eastAsia="Calibri" w:hAnsi="Times New Roman" w:cs="Calibri"/>
                <w:sz w:val="24"/>
              </w:rPr>
              <w:t>Poligonu skaits</w:t>
            </w:r>
          </w:p>
        </w:tc>
        <w:tc>
          <w:tcPr>
            <w:tcW w:w="1984" w:type="dxa"/>
            <w:tcBorders>
              <w:top w:val="single" w:sz="8" w:space="0" w:color="auto"/>
              <w:left w:val="nil"/>
              <w:bottom w:val="single" w:sz="8" w:space="0" w:color="auto"/>
              <w:right w:val="single" w:sz="8" w:space="0" w:color="auto"/>
            </w:tcBorders>
            <w:shd w:val="clear" w:color="auto" w:fill="D6E3BC" w:themeFill="accent3" w:themeFillTint="66"/>
            <w:tcMar>
              <w:top w:w="0" w:type="dxa"/>
              <w:left w:w="108" w:type="dxa"/>
              <w:bottom w:w="0" w:type="dxa"/>
              <w:right w:w="108" w:type="dxa"/>
            </w:tcMar>
            <w:vAlign w:val="bottom"/>
            <w:hideMark/>
          </w:tcPr>
          <w:p w14:paraId="7069758D" w14:textId="77777777" w:rsidR="00FA3759" w:rsidRPr="00A07F29" w:rsidRDefault="00FA3759" w:rsidP="003041BD">
            <w:pPr>
              <w:spacing w:after="120" w:line="240" w:lineRule="auto"/>
              <w:ind w:firstLine="335"/>
              <w:jc w:val="both"/>
              <w:rPr>
                <w:rFonts w:ascii="Times New Roman" w:eastAsia="Calibri" w:hAnsi="Times New Roman" w:cs="Calibri"/>
                <w:sz w:val="24"/>
              </w:rPr>
            </w:pPr>
            <w:r w:rsidRPr="00A07F29">
              <w:rPr>
                <w:rFonts w:ascii="Times New Roman" w:eastAsia="Calibri" w:hAnsi="Times New Roman" w:cs="Calibri"/>
                <w:sz w:val="24"/>
              </w:rPr>
              <w:t>Platība ha</w:t>
            </w:r>
          </w:p>
        </w:tc>
      </w:tr>
      <w:tr w:rsidR="00FA3759" w:rsidRPr="00A07F29" w14:paraId="0B3781D5" w14:textId="77777777" w:rsidTr="00C14FA1">
        <w:trPr>
          <w:trHeight w:val="300"/>
          <w:jc w:val="center"/>
        </w:trPr>
        <w:tc>
          <w:tcPr>
            <w:tcW w:w="29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hideMark/>
          </w:tcPr>
          <w:p w14:paraId="6E5DDAF3" w14:textId="77777777" w:rsidR="00FA3759" w:rsidRPr="00A07F29" w:rsidRDefault="00FA3759" w:rsidP="003041BD">
            <w:pPr>
              <w:spacing w:after="120" w:line="240" w:lineRule="auto"/>
              <w:ind w:firstLine="34"/>
              <w:jc w:val="both"/>
              <w:rPr>
                <w:rFonts w:ascii="Times New Roman" w:eastAsia="Calibri" w:hAnsi="Times New Roman" w:cs="Calibri"/>
                <w:sz w:val="24"/>
              </w:rPr>
            </w:pPr>
            <w:r w:rsidRPr="00A07F29">
              <w:rPr>
                <w:rFonts w:ascii="Times New Roman" w:eastAsia="Calibri" w:hAnsi="Times New Roman" w:cs="Calibri"/>
                <w:sz w:val="24"/>
              </w:rPr>
              <w:t>Kalniešu pagasts</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14:paraId="21A586FA" w14:textId="77777777" w:rsidR="00FA3759" w:rsidRPr="00A07F29" w:rsidRDefault="00FA3759" w:rsidP="003041BD">
            <w:pPr>
              <w:spacing w:after="120" w:line="240" w:lineRule="auto"/>
              <w:jc w:val="both"/>
              <w:rPr>
                <w:rFonts w:ascii="Times New Roman" w:eastAsia="Calibri" w:hAnsi="Times New Roman" w:cs="Calibri"/>
                <w:sz w:val="24"/>
              </w:rPr>
            </w:pPr>
            <w:r w:rsidRPr="00A07F29">
              <w:rPr>
                <w:rFonts w:ascii="Times New Roman" w:eastAsia="Calibri" w:hAnsi="Times New Roman" w:cs="Calibri"/>
                <w:sz w:val="24"/>
              </w:rPr>
              <w:t>6</w:t>
            </w:r>
          </w:p>
        </w:tc>
        <w:tc>
          <w:tcPr>
            <w:tcW w:w="1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14:paraId="6637F178" w14:textId="77777777" w:rsidR="00FA3759" w:rsidRPr="00A07F29" w:rsidRDefault="00FA3759" w:rsidP="003041BD">
            <w:pPr>
              <w:spacing w:after="120" w:line="240" w:lineRule="auto"/>
              <w:ind w:firstLine="335"/>
              <w:jc w:val="both"/>
              <w:rPr>
                <w:rFonts w:ascii="Times New Roman" w:eastAsia="Calibri" w:hAnsi="Times New Roman" w:cs="Calibri"/>
                <w:sz w:val="24"/>
              </w:rPr>
            </w:pPr>
            <w:r w:rsidRPr="00A07F29">
              <w:rPr>
                <w:rFonts w:ascii="Times New Roman" w:eastAsia="Calibri" w:hAnsi="Times New Roman" w:cs="Calibri"/>
                <w:sz w:val="24"/>
              </w:rPr>
              <w:t>2,98</w:t>
            </w:r>
          </w:p>
        </w:tc>
      </w:tr>
      <w:tr w:rsidR="00FA3759" w:rsidRPr="00A07F29" w14:paraId="57C6D3ED" w14:textId="77777777" w:rsidTr="00C14FA1">
        <w:trPr>
          <w:trHeight w:val="300"/>
          <w:jc w:val="center"/>
        </w:trPr>
        <w:tc>
          <w:tcPr>
            <w:tcW w:w="29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hideMark/>
          </w:tcPr>
          <w:p w14:paraId="6B7C77CE" w14:textId="77777777" w:rsidR="00FA3759" w:rsidRPr="00A07F29" w:rsidRDefault="00FA3759" w:rsidP="003041BD">
            <w:pPr>
              <w:spacing w:after="120" w:line="240" w:lineRule="auto"/>
              <w:ind w:firstLine="34"/>
              <w:jc w:val="both"/>
              <w:rPr>
                <w:rFonts w:ascii="Times New Roman" w:eastAsia="Calibri" w:hAnsi="Times New Roman" w:cs="Calibri"/>
                <w:sz w:val="24"/>
              </w:rPr>
            </w:pPr>
            <w:r w:rsidRPr="00A07F29">
              <w:rPr>
                <w:rFonts w:ascii="Times New Roman" w:eastAsia="Calibri" w:hAnsi="Times New Roman" w:cs="Calibri"/>
                <w:sz w:val="24"/>
              </w:rPr>
              <w:t>Kaplavas pagasts</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14:paraId="210D1937" w14:textId="77777777" w:rsidR="00FA3759" w:rsidRPr="00A07F29" w:rsidRDefault="00FA3759" w:rsidP="003041BD">
            <w:pPr>
              <w:spacing w:after="120" w:line="240" w:lineRule="auto"/>
              <w:jc w:val="both"/>
              <w:rPr>
                <w:rFonts w:ascii="Times New Roman" w:eastAsia="Calibri" w:hAnsi="Times New Roman" w:cs="Calibri"/>
                <w:sz w:val="24"/>
              </w:rPr>
            </w:pPr>
            <w:r w:rsidRPr="00A07F29">
              <w:rPr>
                <w:rFonts w:ascii="Times New Roman" w:eastAsia="Calibri" w:hAnsi="Times New Roman" w:cs="Calibri"/>
                <w:sz w:val="24"/>
              </w:rPr>
              <w:t>31</w:t>
            </w:r>
          </w:p>
        </w:tc>
        <w:tc>
          <w:tcPr>
            <w:tcW w:w="1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14:paraId="0E8D24BB" w14:textId="77777777" w:rsidR="00FA3759" w:rsidRPr="00A07F29" w:rsidRDefault="00FA3759" w:rsidP="003041BD">
            <w:pPr>
              <w:spacing w:after="120" w:line="240" w:lineRule="auto"/>
              <w:ind w:firstLine="335"/>
              <w:jc w:val="both"/>
              <w:rPr>
                <w:rFonts w:ascii="Times New Roman" w:eastAsia="Calibri" w:hAnsi="Times New Roman" w:cs="Calibri"/>
                <w:sz w:val="24"/>
              </w:rPr>
            </w:pPr>
            <w:r w:rsidRPr="00A07F29">
              <w:rPr>
                <w:rFonts w:ascii="Times New Roman" w:eastAsia="Calibri" w:hAnsi="Times New Roman" w:cs="Calibri"/>
                <w:sz w:val="24"/>
              </w:rPr>
              <w:t>15,62</w:t>
            </w:r>
          </w:p>
        </w:tc>
      </w:tr>
      <w:tr w:rsidR="00FA3759" w:rsidRPr="00A07F29" w14:paraId="40908887" w14:textId="77777777" w:rsidTr="00C14FA1">
        <w:trPr>
          <w:trHeight w:val="300"/>
          <w:jc w:val="center"/>
        </w:trPr>
        <w:tc>
          <w:tcPr>
            <w:tcW w:w="29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hideMark/>
          </w:tcPr>
          <w:p w14:paraId="01BD1B92" w14:textId="659C8AD0" w:rsidR="00FA3759" w:rsidRPr="00A07F29" w:rsidRDefault="00FA3759" w:rsidP="003041BD">
            <w:pPr>
              <w:spacing w:after="120" w:line="240" w:lineRule="auto"/>
              <w:ind w:firstLine="34"/>
              <w:jc w:val="both"/>
              <w:rPr>
                <w:rFonts w:ascii="Times New Roman" w:eastAsia="Calibri" w:hAnsi="Times New Roman" w:cs="Calibri"/>
                <w:sz w:val="24"/>
              </w:rPr>
            </w:pPr>
            <w:r w:rsidRPr="00A07F29">
              <w:rPr>
                <w:rFonts w:ascii="Times New Roman" w:eastAsia="Calibri" w:hAnsi="Times New Roman" w:cs="Calibri"/>
                <w:sz w:val="24"/>
              </w:rPr>
              <w:t xml:space="preserve">Krāslava </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14:paraId="4ED755CD" w14:textId="77777777" w:rsidR="00FA3759" w:rsidRPr="00A07F29" w:rsidRDefault="00FA3759" w:rsidP="003041BD">
            <w:pPr>
              <w:spacing w:after="120" w:line="240" w:lineRule="auto"/>
              <w:jc w:val="both"/>
              <w:rPr>
                <w:rFonts w:ascii="Times New Roman" w:eastAsia="Calibri" w:hAnsi="Times New Roman" w:cs="Calibri"/>
                <w:sz w:val="24"/>
              </w:rPr>
            </w:pPr>
            <w:r w:rsidRPr="00A07F29">
              <w:rPr>
                <w:rFonts w:ascii="Times New Roman" w:eastAsia="Calibri" w:hAnsi="Times New Roman" w:cs="Calibri"/>
                <w:sz w:val="24"/>
              </w:rPr>
              <w:t>1</w:t>
            </w:r>
          </w:p>
        </w:tc>
        <w:tc>
          <w:tcPr>
            <w:tcW w:w="1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14:paraId="3603884B" w14:textId="77777777" w:rsidR="00FA3759" w:rsidRPr="00A07F29" w:rsidRDefault="00FA3759" w:rsidP="003041BD">
            <w:pPr>
              <w:spacing w:after="120" w:line="240" w:lineRule="auto"/>
              <w:ind w:firstLine="335"/>
              <w:jc w:val="both"/>
              <w:rPr>
                <w:rFonts w:ascii="Times New Roman" w:eastAsia="Calibri" w:hAnsi="Times New Roman" w:cs="Calibri"/>
                <w:sz w:val="24"/>
              </w:rPr>
            </w:pPr>
            <w:r w:rsidRPr="00A07F29">
              <w:rPr>
                <w:rFonts w:ascii="Times New Roman" w:eastAsia="Calibri" w:hAnsi="Times New Roman" w:cs="Calibri"/>
                <w:sz w:val="24"/>
              </w:rPr>
              <w:t>1,56</w:t>
            </w:r>
          </w:p>
        </w:tc>
      </w:tr>
      <w:tr w:rsidR="00FA3759" w:rsidRPr="00A07F29" w14:paraId="3A57EA27" w14:textId="77777777" w:rsidTr="00C14FA1">
        <w:trPr>
          <w:trHeight w:val="300"/>
          <w:jc w:val="center"/>
        </w:trPr>
        <w:tc>
          <w:tcPr>
            <w:tcW w:w="29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hideMark/>
          </w:tcPr>
          <w:p w14:paraId="03D2705F" w14:textId="77777777" w:rsidR="00FA3759" w:rsidRPr="00A07F29" w:rsidRDefault="00FA3759" w:rsidP="003041BD">
            <w:pPr>
              <w:spacing w:after="120" w:line="240" w:lineRule="auto"/>
              <w:ind w:firstLine="34"/>
              <w:jc w:val="both"/>
              <w:rPr>
                <w:rFonts w:ascii="Times New Roman" w:eastAsia="Calibri" w:hAnsi="Times New Roman" w:cs="Calibri"/>
                <w:sz w:val="24"/>
              </w:rPr>
            </w:pPr>
            <w:r w:rsidRPr="00A07F29">
              <w:rPr>
                <w:rFonts w:ascii="Times New Roman" w:eastAsia="Calibri" w:hAnsi="Times New Roman" w:cs="Calibri"/>
                <w:sz w:val="24"/>
              </w:rPr>
              <w:t>Krāslavas pagasts</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14:paraId="3B2DB15F" w14:textId="77777777" w:rsidR="00FA3759" w:rsidRPr="00A07F29" w:rsidRDefault="00FA3759" w:rsidP="003041BD">
            <w:pPr>
              <w:spacing w:after="120" w:line="240" w:lineRule="auto"/>
              <w:jc w:val="both"/>
              <w:rPr>
                <w:rFonts w:ascii="Times New Roman" w:eastAsia="Calibri" w:hAnsi="Times New Roman" w:cs="Calibri"/>
                <w:sz w:val="24"/>
              </w:rPr>
            </w:pPr>
            <w:r w:rsidRPr="00A07F29">
              <w:rPr>
                <w:rFonts w:ascii="Times New Roman" w:eastAsia="Calibri" w:hAnsi="Times New Roman" w:cs="Calibri"/>
                <w:sz w:val="24"/>
              </w:rPr>
              <w:t>8</w:t>
            </w:r>
          </w:p>
        </w:tc>
        <w:tc>
          <w:tcPr>
            <w:tcW w:w="1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14:paraId="62FA6094" w14:textId="77777777" w:rsidR="00FA3759" w:rsidRPr="00A07F29" w:rsidRDefault="00FA3759" w:rsidP="003041BD">
            <w:pPr>
              <w:spacing w:after="120" w:line="240" w:lineRule="auto"/>
              <w:ind w:firstLine="335"/>
              <w:jc w:val="both"/>
              <w:rPr>
                <w:rFonts w:ascii="Times New Roman" w:eastAsia="Calibri" w:hAnsi="Times New Roman" w:cs="Calibri"/>
                <w:sz w:val="24"/>
              </w:rPr>
            </w:pPr>
            <w:r w:rsidRPr="00A07F29">
              <w:rPr>
                <w:rFonts w:ascii="Times New Roman" w:eastAsia="Calibri" w:hAnsi="Times New Roman" w:cs="Calibri"/>
                <w:sz w:val="24"/>
              </w:rPr>
              <w:t>4,20</w:t>
            </w:r>
          </w:p>
        </w:tc>
      </w:tr>
      <w:tr w:rsidR="00FA3759" w:rsidRPr="00A07F29" w14:paraId="4A845BC9" w14:textId="77777777" w:rsidTr="00C14FA1">
        <w:trPr>
          <w:trHeight w:val="300"/>
          <w:jc w:val="center"/>
        </w:trPr>
        <w:tc>
          <w:tcPr>
            <w:tcW w:w="29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hideMark/>
          </w:tcPr>
          <w:p w14:paraId="59BEB295" w14:textId="77777777" w:rsidR="00FA3759" w:rsidRPr="00A07F29" w:rsidRDefault="00FA3759" w:rsidP="003041BD">
            <w:pPr>
              <w:spacing w:after="120" w:line="240" w:lineRule="auto"/>
              <w:ind w:firstLine="34"/>
              <w:jc w:val="both"/>
              <w:rPr>
                <w:rFonts w:ascii="Times New Roman" w:eastAsia="Calibri" w:hAnsi="Times New Roman" w:cs="Calibri"/>
                <w:sz w:val="24"/>
              </w:rPr>
            </w:pPr>
            <w:r w:rsidRPr="00A07F29">
              <w:rPr>
                <w:rFonts w:ascii="Times New Roman" w:eastAsia="Calibri" w:hAnsi="Times New Roman" w:cs="Calibri"/>
                <w:sz w:val="24"/>
              </w:rPr>
              <w:t>Naujenes pagasts</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14:paraId="03D5E4DC" w14:textId="77777777" w:rsidR="00FA3759" w:rsidRPr="00A07F29" w:rsidRDefault="00FA3759" w:rsidP="003041BD">
            <w:pPr>
              <w:spacing w:after="120" w:line="240" w:lineRule="auto"/>
              <w:jc w:val="both"/>
              <w:rPr>
                <w:rFonts w:ascii="Times New Roman" w:eastAsia="Calibri" w:hAnsi="Times New Roman" w:cs="Calibri"/>
                <w:sz w:val="24"/>
              </w:rPr>
            </w:pPr>
            <w:r w:rsidRPr="00A07F29">
              <w:rPr>
                <w:rFonts w:ascii="Times New Roman" w:eastAsia="Calibri" w:hAnsi="Times New Roman" w:cs="Calibri"/>
                <w:sz w:val="24"/>
              </w:rPr>
              <w:t>9</w:t>
            </w:r>
          </w:p>
        </w:tc>
        <w:tc>
          <w:tcPr>
            <w:tcW w:w="1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14:paraId="3FB98086" w14:textId="77777777" w:rsidR="00FA3759" w:rsidRPr="00A07F29" w:rsidRDefault="00FA3759" w:rsidP="003041BD">
            <w:pPr>
              <w:spacing w:after="120" w:line="240" w:lineRule="auto"/>
              <w:ind w:firstLine="335"/>
              <w:jc w:val="both"/>
              <w:rPr>
                <w:rFonts w:ascii="Times New Roman" w:eastAsia="Calibri" w:hAnsi="Times New Roman" w:cs="Calibri"/>
                <w:sz w:val="24"/>
              </w:rPr>
            </w:pPr>
            <w:r w:rsidRPr="00A07F29">
              <w:rPr>
                <w:rFonts w:ascii="Times New Roman" w:eastAsia="Calibri" w:hAnsi="Times New Roman" w:cs="Calibri"/>
                <w:sz w:val="24"/>
              </w:rPr>
              <w:t>9,72</w:t>
            </w:r>
          </w:p>
        </w:tc>
      </w:tr>
      <w:tr w:rsidR="00FA3759" w:rsidRPr="00A07F29" w14:paraId="50F7BA2E" w14:textId="77777777" w:rsidTr="00C14FA1">
        <w:trPr>
          <w:trHeight w:val="300"/>
          <w:jc w:val="center"/>
        </w:trPr>
        <w:tc>
          <w:tcPr>
            <w:tcW w:w="29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hideMark/>
          </w:tcPr>
          <w:p w14:paraId="52C21652" w14:textId="77777777" w:rsidR="00FA3759" w:rsidRPr="00A07F29" w:rsidRDefault="00FA3759" w:rsidP="003041BD">
            <w:pPr>
              <w:spacing w:after="120" w:line="240" w:lineRule="auto"/>
              <w:ind w:firstLine="34"/>
              <w:jc w:val="both"/>
              <w:rPr>
                <w:rFonts w:ascii="Times New Roman" w:eastAsia="Calibri" w:hAnsi="Times New Roman" w:cs="Calibri"/>
                <w:sz w:val="24"/>
              </w:rPr>
            </w:pPr>
            <w:r w:rsidRPr="00A07F29">
              <w:rPr>
                <w:rFonts w:ascii="Times New Roman" w:eastAsia="Calibri" w:hAnsi="Times New Roman" w:cs="Calibri"/>
                <w:sz w:val="24"/>
              </w:rPr>
              <w:t>Piedrujas pagasts</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14:paraId="7ADF1BA1" w14:textId="77777777" w:rsidR="00FA3759" w:rsidRPr="00A07F29" w:rsidRDefault="00FA3759" w:rsidP="003041BD">
            <w:pPr>
              <w:spacing w:after="120" w:line="240" w:lineRule="auto"/>
              <w:jc w:val="both"/>
              <w:rPr>
                <w:rFonts w:ascii="Times New Roman" w:eastAsia="Calibri" w:hAnsi="Times New Roman" w:cs="Calibri"/>
                <w:sz w:val="24"/>
              </w:rPr>
            </w:pPr>
            <w:r w:rsidRPr="00A07F29">
              <w:rPr>
                <w:rFonts w:ascii="Times New Roman" w:eastAsia="Calibri" w:hAnsi="Times New Roman" w:cs="Calibri"/>
                <w:sz w:val="24"/>
              </w:rPr>
              <w:t>5</w:t>
            </w:r>
          </w:p>
        </w:tc>
        <w:tc>
          <w:tcPr>
            <w:tcW w:w="1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14:paraId="5C33F981" w14:textId="77777777" w:rsidR="00FA3759" w:rsidRPr="00A07F29" w:rsidRDefault="00FA3759" w:rsidP="003041BD">
            <w:pPr>
              <w:spacing w:after="120" w:line="240" w:lineRule="auto"/>
              <w:ind w:firstLine="335"/>
              <w:jc w:val="both"/>
              <w:rPr>
                <w:rFonts w:ascii="Times New Roman" w:eastAsia="Calibri" w:hAnsi="Times New Roman" w:cs="Calibri"/>
                <w:sz w:val="24"/>
              </w:rPr>
            </w:pPr>
            <w:r w:rsidRPr="00A07F29">
              <w:rPr>
                <w:rFonts w:ascii="Times New Roman" w:eastAsia="Calibri" w:hAnsi="Times New Roman" w:cs="Calibri"/>
                <w:sz w:val="24"/>
              </w:rPr>
              <w:t>2,15</w:t>
            </w:r>
          </w:p>
        </w:tc>
      </w:tr>
      <w:tr w:rsidR="00FA3759" w:rsidRPr="00A07F29" w14:paraId="525AC359" w14:textId="77777777" w:rsidTr="00C14FA1">
        <w:trPr>
          <w:trHeight w:val="300"/>
          <w:jc w:val="center"/>
        </w:trPr>
        <w:tc>
          <w:tcPr>
            <w:tcW w:w="29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hideMark/>
          </w:tcPr>
          <w:p w14:paraId="4AAE5B44" w14:textId="77777777" w:rsidR="00FA3759" w:rsidRPr="00A07F29" w:rsidRDefault="00FA3759" w:rsidP="003041BD">
            <w:pPr>
              <w:spacing w:after="120" w:line="240" w:lineRule="auto"/>
              <w:ind w:firstLine="34"/>
              <w:jc w:val="both"/>
              <w:rPr>
                <w:rFonts w:ascii="Times New Roman" w:eastAsia="Calibri" w:hAnsi="Times New Roman" w:cs="Calibri"/>
                <w:sz w:val="24"/>
              </w:rPr>
            </w:pPr>
            <w:r w:rsidRPr="00A07F29">
              <w:rPr>
                <w:rFonts w:ascii="Times New Roman" w:eastAsia="Calibri" w:hAnsi="Times New Roman" w:cs="Calibri"/>
                <w:sz w:val="24"/>
              </w:rPr>
              <w:t>Salienas pagasts</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14:paraId="1DF01067" w14:textId="77777777" w:rsidR="00FA3759" w:rsidRPr="00A07F29" w:rsidRDefault="00FA3759" w:rsidP="003041BD">
            <w:pPr>
              <w:spacing w:after="120" w:line="240" w:lineRule="auto"/>
              <w:jc w:val="both"/>
              <w:rPr>
                <w:rFonts w:ascii="Times New Roman" w:eastAsia="Calibri" w:hAnsi="Times New Roman" w:cs="Calibri"/>
                <w:sz w:val="24"/>
              </w:rPr>
            </w:pPr>
            <w:r w:rsidRPr="00A07F29">
              <w:rPr>
                <w:rFonts w:ascii="Times New Roman" w:eastAsia="Calibri" w:hAnsi="Times New Roman" w:cs="Calibri"/>
                <w:sz w:val="24"/>
              </w:rPr>
              <w:t>26</w:t>
            </w:r>
          </w:p>
        </w:tc>
        <w:tc>
          <w:tcPr>
            <w:tcW w:w="1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14:paraId="1DB20AF3" w14:textId="77777777" w:rsidR="00FA3759" w:rsidRPr="00A07F29" w:rsidRDefault="00FA3759" w:rsidP="003041BD">
            <w:pPr>
              <w:spacing w:after="120" w:line="240" w:lineRule="auto"/>
              <w:ind w:firstLine="335"/>
              <w:jc w:val="both"/>
              <w:rPr>
                <w:rFonts w:ascii="Times New Roman" w:eastAsia="Calibri" w:hAnsi="Times New Roman" w:cs="Calibri"/>
                <w:sz w:val="24"/>
              </w:rPr>
            </w:pPr>
            <w:r w:rsidRPr="00A07F29">
              <w:rPr>
                <w:rFonts w:ascii="Times New Roman" w:eastAsia="Calibri" w:hAnsi="Times New Roman" w:cs="Calibri"/>
                <w:sz w:val="24"/>
              </w:rPr>
              <w:t>19,14</w:t>
            </w:r>
          </w:p>
        </w:tc>
      </w:tr>
      <w:tr w:rsidR="00FA3759" w:rsidRPr="00A07F29" w14:paraId="0E5CC3DA" w14:textId="77777777" w:rsidTr="00C14FA1">
        <w:trPr>
          <w:trHeight w:val="300"/>
          <w:jc w:val="center"/>
        </w:trPr>
        <w:tc>
          <w:tcPr>
            <w:tcW w:w="29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hideMark/>
          </w:tcPr>
          <w:p w14:paraId="7F051A93" w14:textId="77777777" w:rsidR="00FA3759" w:rsidRPr="00A07F29" w:rsidRDefault="00FA3759" w:rsidP="003041BD">
            <w:pPr>
              <w:spacing w:after="120" w:line="240" w:lineRule="auto"/>
              <w:ind w:firstLine="34"/>
              <w:jc w:val="both"/>
              <w:rPr>
                <w:rFonts w:ascii="Times New Roman" w:eastAsia="Calibri" w:hAnsi="Times New Roman" w:cs="Calibri"/>
                <w:sz w:val="24"/>
              </w:rPr>
            </w:pPr>
            <w:r w:rsidRPr="00A07F29">
              <w:rPr>
                <w:rFonts w:ascii="Times New Roman" w:eastAsia="Calibri" w:hAnsi="Times New Roman" w:cs="Calibri"/>
                <w:sz w:val="24"/>
              </w:rPr>
              <w:t>Tabores pagasts</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14:paraId="01D9732A" w14:textId="77777777" w:rsidR="00FA3759" w:rsidRPr="00A07F29" w:rsidRDefault="00FA3759" w:rsidP="003041BD">
            <w:pPr>
              <w:spacing w:after="120" w:line="240" w:lineRule="auto"/>
              <w:jc w:val="both"/>
              <w:rPr>
                <w:rFonts w:ascii="Times New Roman" w:eastAsia="Calibri" w:hAnsi="Times New Roman" w:cs="Calibri"/>
                <w:sz w:val="24"/>
              </w:rPr>
            </w:pPr>
            <w:r w:rsidRPr="00A07F29">
              <w:rPr>
                <w:rFonts w:ascii="Times New Roman" w:eastAsia="Calibri" w:hAnsi="Times New Roman" w:cs="Calibri"/>
                <w:sz w:val="24"/>
              </w:rPr>
              <w:t>31</w:t>
            </w:r>
          </w:p>
        </w:tc>
        <w:tc>
          <w:tcPr>
            <w:tcW w:w="1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14:paraId="0E23CC2E" w14:textId="77777777" w:rsidR="00FA3759" w:rsidRPr="00A07F29" w:rsidRDefault="00FA3759" w:rsidP="003041BD">
            <w:pPr>
              <w:spacing w:after="120" w:line="240" w:lineRule="auto"/>
              <w:ind w:firstLine="335"/>
              <w:jc w:val="both"/>
              <w:rPr>
                <w:rFonts w:ascii="Times New Roman" w:eastAsia="Calibri" w:hAnsi="Times New Roman" w:cs="Calibri"/>
                <w:sz w:val="24"/>
              </w:rPr>
            </w:pPr>
            <w:r w:rsidRPr="00A07F29">
              <w:rPr>
                <w:rFonts w:ascii="Times New Roman" w:eastAsia="Calibri" w:hAnsi="Times New Roman" w:cs="Calibri"/>
                <w:sz w:val="24"/>
              </w:rPr>
              <w:t>21,69</w:t>
            </w:r>
          </w:p>
        </w:tc>
      </w:tr>
      <w:tr w:rsidR="00FA3759" w:rsidRPr="00A07F29" w14:paraId="2256BC42" w14:textId="77777777" w:rsidTr="00C14FA1">
        <w:trPr>
          <w:trHeight w:val="300"/>
          <w:jc w:val="center"/>
        </w:trPr>
        <w:tc>
          <w:tcPr>
            <w:tcW w:w="29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hideMark/>
          </w:tcPr>
          <w:p w14:paraId="17D24316" w14:textId="77777777" w:rsidR="00FA3759" w:rsidRPr="00A07F29" w:rsidRDefault="00FA3759" w:rsidP="003041BD">
            <w:pPr>
              <w:spacing w:after="120" w:line="240" w:lineRule="auto"/>
              <w:ind w:firstLine="34"/>
              <w:jc w:val="both"/>
              <w:rPr>
                <w:rFonts w:ascii="Times New Roman" w:eastAsia="Calibri" w:hAnsi="Times New Roman" w:cs="Calibri"/>
                <w:sz w:val="24"/>
              </w:rPr>
            </w:pPr>
            <w:r w:rsidRPr="00A07F29">
              <w:rPr>
                <w:rFonts w:ascii="Times New Roman" w:eastAsia="Calibri" w:hAnsi="Times New Roman" w:cs="Calibri"/>
                <w:sz w:val="24"/>
              </w:rPr>
              <w:t>Ūdrīšu pagasts</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14:paraId="78646201" w14:textId="77777777" w:rsidR="00FA3759" w:rsidRPr="00A07F29" w:rsidRDefault="00FA3759" w:rsidP="003041BD">
            <w:pPr>
              <w:spacing w:after="120" w:line="240" w:lineRule="auto"/>
              <w:jc w:val="both"/>
              <w:rPr>
                <w:rFonts w:ascii="Times New Roman" w:eastAsia="Calibri" w:hAnsi="Times New Roman" w:cs="Calibri"/>
                <w:sz w:val="24"/>
              </w:rPr>
            </w:pPr>
            <w:r w:rsidRPr="00A07F29">
              <w:rPr>
                <w:rFonts w:ascii="Times New Roman" w:eastAsia="Calibri" w:hAnsi="Times New Roman" w:cs="Calibri"/>
                <w:sz w:val="24"/>
              </w:rPr>
              <w:t>10</w:t>
            </w:r>
          </w:p>
        </w:tc>
        <w:tc>
          <w:tcPr>
            <w:tcW w:w="1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14:paraId="3E10B75A" w14:textId="77777777" w:rsidR="00FA3759" w:rsidRPr="00A07F29" w:rsidRDefault="00FA3759" w:rsidP="003041BD">
            <w:pPr>
              <w:spacing w:after="120" w:line="240" w:lineRule="auto"/>
              <w:ind w:firstLine="335"/>
              <w:jc w:val="both"/>
              <w:rPr>
                <w:rFonts w:ascii="Times New Roman" w:eastAsia="Calibri" w:hAnsi="Times New Roman" w:cs="Calibri"/>
                <w:sz w:val="24"/>
              </w:rPr>
            </w:pPr>
            <w:r w:rsidRPr="00A07F29">
              <w:rPr>
                <w:rFonts w:ascii="Times New Roman" w:eastAsia="Calibri" w:hAnsi="Times New Roman" w:cs="Calibri"/>
                <w:sz w:val="24"/>
              </w:rPr>
              <w:t>4,37</w:t>
            </w:r>
          </w:p>
        </w:tc>
      </w:tr>
      <w:tr w:rsidR="00FA3759" w:rsidRPr="00A07F29" w14:paraId="0AB771A0" w14:textId="77777777" w:rsidTr="00C14FA1">
        <w:trPr>
          <w:trHeight w:val="300"/>
          <w:jc w:val="center"/>
        </w:trPr>
        <w:tc>
          <w:tcPr>
            <w:tcW w:w="29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hideMark/>
          </w:tcPr>
          <w:p w14:paraId="7480EB2B" w14:textId="77777777" w:rsidR="00FA3759" w:rsidRPr="00A07F29" w:rsidRDefault="00FA3759" w:rsidP="003041BD">
            <w:pPr>
              <w:spacing w:after="120" w:line="240" w:lineRule="auto"/>
              <w:ind w:firstLine="34"/>
              <w:jc w:val="both"/>
              <w:rPr>
                <w:rFonts w:ascii="Times New Roman" w:eastAsia="Calibri" w:hAnsi="Times New Roman" w:cs="Calibri"/>
                <w:sz w:val="24"/>
              </w:rPr>
            </w:pPr>
            <w:r w:rsidRPr="00A07F29">
              <w:rPr>
                <w:rFonts w:ascii="Times New Roman" w:eastAsia="Calibri" w:hAnsi="Times New Roman" w:cs="Calibri"/>
                <w:sz w:val="24"/>
              </w:rPr>
              <w:t>Vecsalienas pagasts</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14:paraId="10CABD7F" w14:textId="77777777" w:rsidR="00FA3759" w:rsidRPr="00A07F29" w:rsidRDefault="00FA3759" w:rsidP="003041BD">
            <w:pPr>
              <w:spacing w:after="120" w:line="240" w:lineRule="auto"/>
              <w:jc w:val="both"/>
              <w:rPr>
                <w:rFonts w:ascii="Times New Roman" w:eastAsia="Calibri" w:hAnsi="Times New Roman" w:cs="Calibri"/>
                <w:sz w:val="24"/>
              </w:rPr>
            </w:pPr>
            <w:r w:rsidRPr="00A07F29">
              <w:rPr>
                <w:rFonts w:ascii="Times New Roman" w:eastAsia="Calibri" w:hAnsi="Times New Roman" w:cs="Calibri"/>
                <w:sz w:val="24"/>
              </w:rPr>
              <w:t>14</w:t>
            </w:r>
          </w:p>
        </w:tc>
        <w:tc>
          <w:tcPr>
            <w:tcW w:w="1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14:paraId="4CD461C4" w14:textId="77777777" w:rsidR="00FA3759" w:rsidRPr="00A07F29" w:rsidRDefault="00FA3759" w:rsidP="003041BD">
            <w:pPr>
              <w:spacing w:after="120" w:line="240" w:lineRule="auto"/>
              <w:ind w:firstLine="335"/>
              <w:jc w:val="both"/>
              <w:rPr>
                <w:rFonts w:ascii="Times New Roman" w:eastAsia="Calibri" w:hAnsi="Times New Roman" w:cs="Calibri"/>
                <w:sz w:val="24"/>
              </w:rPr>
            </w:pPr>
            <w:r w:rsidRPr="00A07F29">
              <w:rPr>
                <w:rFonts w:ascii="Times New Roman" w:eastAsia="Calibri" w:hAnsi="Times New Roman" w:cs="Calibri"/>
                <w:sz w:val="24"/>
              </w:rPr>
              <w:t>10,90</w:t>
            </w:r>
          </w:p>
        </w:tc>
      </w:tr>
      <w:tr w:rsidR="00FA3759" w:rsidRPr="00A07F29" w14:paraId="786877E8" w14:textId="77777777" w:rsidTr="00C14FA1">
        <w:trPr>
          <w:trHeight w:val="300"/>
          <w:jc w:val="center"/>
        </w:trPr>
        <w:tc>
          <w:tcPr>
            <w:tcW w:w="29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hideMark/>
          </w:tcPr>
          <w:p w14:paraId="3A8EBD4C" w14:textId="77777777" w:rsidR="00FA3759" w:rsidRPr="00A07F29" w:rsidRDefault="00FA3759" w:rsidP="003041BD">
            <w:pPr>
              <w:spacing w:after="120" w:line="240" w:lineRule="auto"/>
              <w:ind w:firstLine="34"/>
              <w:jc w:val="both"/>
              <w:rPr>
                <w:rFonts w:ascii="Times New Roman" w:eastAsia="Calibri" w:hAnsi="Times New Roman" w:cs="Calibri"/>
                <w:sz w:val="24"/>
              </w:rPr>
            </w:pPr>
            <w:r w:rsidRPr="00A07F29">
              <w:rPr>
                <w:rFonts w:ascii="Times New Roman" w:eastAsia="Calibri" w:hAnsi="Times New Roman" w:cs="Calibri"/>
                <w:sz w:val="24"/>
              </w:rPr>
              <w:t>KOPĀ</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14:paraId="1100F2F7" w14:textId="77777777" w:rsidR="00FA3759" w:rsidRPr="00A07F29" w:rsidRDefault="00FA3759" w:rsidP="003041BD">
            <w:pPr>
              <w:spacing w:after="120" w:line="240" w:lineRule="auto"/>
              <w:jc w:val="both"/>
              <w:rPr>
                <w:rFonts w:ascii="Times New Roman" w:eastAsia="Calibri" w:hAnsi="Times New Roman" w:cs="Calibri"/>
                <w:sz w:val="24"/>
              </w:rPr>
            </w:pPr>
            <w:r w:rsidRPr="00A07F29">
              <w:rPr>
                <w:rFonts w:ascii="Times New Roman" w:eastAsia="Calibri" w:hAnsi="Times New Roman" w:cs="Calibri"/>
                <w:sz w:val="24"/>
              </w:rPr>
              <w:t>141</w:t>
            </w:r>
          </w:p>
        </w:tc>
        <w:tc>
          <w:tcPr>
            <w:tcW w:w="1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14:paraId="6C75A5D9" w14:textId="77777777" w:rsidR="00FA3759" w:rsidRPr="00A07F29" w:rsidRDefault="00FA3759" w:rsidP="003041BD">
            <w:pPr>
              <w:spacing w:after="120" w:line="240" w:lineRule="auto"/>
              <w:ind w:firstLine="335"/>
              <w:jc w:val="both"/>
              <w:rPr>
                <w:rFonts w:ascii="Times New Roman" w:eastAsia="Calibri" w:hAnsi="Times New Roman" w:cs="Calibri"/>
                <w:sz w:val="24"/>
              </w:rPr>
            </w:pPr>
            <w:r w:rsidRPr="00A07F29">
              <w:rPr>
                <w:rFonts w:ascii="Times New Roman" w:eastAsia="Calibri" w:hAnsi="Times New Roman" w:cs="Calibri"/>
                <w:sz w:val="24"/>
              </w:rPr>
              <w:t>92,33</w:t>
            </w:r>
          </w:p>
        </w:tc>
      </w:tr>
    </w:tbl>
    <w:p w14:paraId="7D70C562" w14:textId="0DE91AF0" w:rsidR="00FA3759" w:rsidRPr="00A07F29" w:rsidRDefault="00FA3759" w:rsidP="003041BD">
      <w:pPr>
        <w:spacing w:after="120" w:line="240" w:lineRule="auto"/>
        <w:ind w:firstLine="851"/>
        <w:jc w:val="both"/>
        <w:rPr>
          <w:rFonts w:ascii="Times New Roman" w:eastAsia="Calibri" w:hAnsi="Times New Roman" w:cs="Calibri"/>
          <w:sz w:val="24"/>
        </w:rPr>
      </w:pPr>
    </w:p>
    <w:p w14:paraId="67EEC668" w14:textId="39C96A7E" w:rsidR="00024275" w:rsidRPr="00A07F29" w:rsidRDefault="00A07163" w:rsidP="003041BD">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szCs w:val="24"/>
        </w:rPr>
        <w:t xml:space="preserve">AAA “Augšdaugava” iekļauta publiskā upe Daugava. </w:t>
      </w:r>
      <w:proofErr w:type="spellStart"/>
      <w:r w:rsidRPr="00A07F29">
        <w:rPr>
          <w:rFonts w:ascii="Times New Roman" w:eastAsia="Calibri" w:hAnsi="Times New Roman" w:cs="Calibri"/>
          <w:sz w:val="24"/>
          <w:szCs w:val="24"/>
        </w:rPr>
        <w:t>Varnaviču</w:t>
      </w:r>
      <w:proofErr w:type="spellEnd"/>
      <w:r w:rsidRPr="00A07F29">
        <w:rPr>
          <w:rFonts w:ascii="Times New Roman" w:eastAsia="Calibri" w:hAnsi="Times New Roman" w:cs="Calibri"/>
          <w:sz w:val="24"/>
          <w:szCs w:val="24"/>
        </w:rPr>
        <w:t>, Vilnīšu (</w:t>
      </w:r>
      <w:proofErr w:type="spellStart"/>
      <w:r w:rsidRPr="00A07F29">
        <w:rPr>
          <w:rFonts w:ascii="Times New Roman" w:eastAsia="Calibri" w:hAnsi="Times New Roman" w:cs="Calibri"/>
          <w:sz w:val="24"/>
          <w:szCs w:val="24"/>
        </w:rPr>
        <w:t>Krivojes</w:t>
      </w:r>
      <w:proofErr w:type="spellEnd"/>
      <w:r w:rsidRPr="00A07F29">
        <w:rPr>
          <w:rFonts w:ascii="Times New Roman" w:eastAsia="Calibri" w:hAnsi="Times New Roman" w:cs="Calibri"/>
          <w:sz w:val="24"/>
          <w:szCs w:val="24"/>
        </w:rPr>
        <w:t xml:space="preserve">) un </w:t>
      </w:r>
      <w:proofErr w:type="spellStart"/>
      <w:r w:rsidRPr="00A07F29">
        <w:rPr>
          <w:rFonts w:ascii="Times New Roman" w:eastAsia="Calibri" w:hAnsi="Times New Roman" w:cs="Calibri"/>
          <w:sz w:val="24"/>
          <w:szCs w:val="24"/>
        </w:rPr>
        <w:t>Šilovkas</w:t>
      </w:r>
      <w:proofErr w:type="spellEnd"/>
      <w:r w:rsidRPr="00A07F29">
        <w:rPr>
          <w:rFonts w:ascii="Times New Roman" w:eastAsia="Calibri" w:hAnsi="Times New Roman" w:cs="Calibri"/>
          <w:sz w:val="24"/>
          <w:szCs w:val="24"/>
        </w:rPr>
        <w:t xml:space="preserve"> ezeros zvejas tiesības pieder valstij. Ezeros atļautais tīklu limits (katrā) ir 75</w:t>
      </w:r>
      <w:r w:rsidR="00795650" w:rsidRPr="00A07F29">
        <w:rPr>
          <w:rFonts w:ascii="Times New Roman" w:eastAsia="Calibri" w:hAnsi="Times New Roman" w:cs="Calibri"/>
          <w:sz w:val="24"/>
          <w:szCs w:val="24"/>
        </w:rPr>
        <w:t> m</w:t>
      </w:r>
      <w:r w:rsidRPr="00A07F29">
        <w:rPr>
          <w:rFonts w:ascii="Times New Roman" w:eastAsia="Calibri" w:hAnsi="Times New Roman" w:cs="Calibri"/>
          <w:sz w:val="24"/>
          <w:szCs w:val="24"/>
        </w:rPr>
        <w:t xml:space="preserve"> (kopējais garums), ja rūpnieciskā zveja saskaņā ar zveju regulējošiem normatīvajiem aktiem nav aizliegta. Zvejas tīklu limitu pilnībā vai daļēji var aizstāt ar zivju murdu limitu, ievērojot nosacījumu, ka viens murds atbilst 25</w:t>
      </w:r>
      <w:r w:rsidR="00795650" w:rsidRPr="00A07F29">
        <w:rPr>
          <w:rFonts w:ascii="Times New Roman" w:eastAsia="Calibri" w:hAnsi="Times New Roman" w:cs="Calibri"/>
          <w:sz w:val="24"/>
          <w:szCs w:val="24"/>
        </w:rPr>
        <w:t> </w:t>
      </w:r>
      <w:r w:rsidRPr="00A07F29">
        <w:rPr>
          <w:rFonts w:ascii="Times New Roman" w:eastAsia="Calibri" w:hAnsi="Times New Roman" w:cs="Calibri"/>
          <w:sz w:val="24"/>
          <w:szCs w:val="24"/>
        </w:rPr>
        <w:t>m no tīklu garuma limita.</w:t>
      </w:r>
      <w:r w:rsidR="00A64258" w:rsidRPr="00A07F29">
        <w:rPr>
          <w:rFonts w:ascii="Times New Roman" w:eastAsia="Calibri" w:hAnsi="Times New Roman" w:cs="Calibri"/>
          <w:sz w:val="24"/>
          <w:szCs w:val="24"/>
        </w:rPr>
        <w:t xml:space="preserve"> AAA</w:t>
      </w:r>
      <w:r w:rsidR="3D927FF0" w:rsidRPr="00A07F29">
        <w:rPr>
          <w:rFonts w:ascii="Times New Roman" w:eastAsia="Calibri" w:hAnsi="Times New Roman" w:cs="Calibri"/>
          <w:sz w:val="24"/>
          <w:szCs w:val="24"/>
        </w:rPr>
        <w:t xml:space="preserve"> </w:t>
      </w:r>
      <w:r w:rsidR="00E5221A" w:rsidRPr="00A07F29">
        <w:rPr>
          <w:rFonts w:ascii="Times New Roman" w:eastAsia="Calibri" w:hAnsi="Times New Roman" w:cs="Calibri"/>
          <w:sz w:val="24"/>
          <w:szCs w:val="24"/>
        </w:rPr>
        <w:t>“</w:t>
      </w:r>
      <w:r w:rsidR="00A64258" w:rsidRPr="00A07F29">
        <w:rPr>
          <w:rFonts w:ascii="Times New Roman" w:eastAsia="Calibri" w:hAnsi="Times New Roman" w:cs="Calibri"/>
          <w:sz w:val="24"/>
          <w:szCs w:val="24"/>
        </w:rPr>
        <w:t xml:space="preserve">Augšdaugava” ezeros ir izsniegta pašpatēriņa rūpnieciskās zvejas licence tikai Kalniešu pagasta </w:t>
      </w:r>
      <w:proofErr w:type="spellStart"/>
      <w:r w:rsidR="00A64258" w:rsidRPr="00A07F29">
        <w:rPr>
          <w:rFonts w:ascii="Times New Roman" w:eastAsia="Calibri" w:hAnsi="Times New Roman" w:cs="Calibri"/>
          <w:sz w:val="24"/>
          <w:szCs w:val="24"/>
        </w:rPr>
        <w:t>Lukštānu</w:t>
      </w:r>
      <w:proofErr w:type="spellEnd"/>
      <w:r w:rsidR="00A64258" w:rsidRPr="00A07F29">
        <w:rPr>
          <w:rFonts w:ascii="Times New Roman" w:eastAsia="Calibri" w:hAnsi="Times New Roman" w:cs="Calibri"/>
          <w:sz w:val="24"/>
          <w:szCs w:val="24"/>
        </w:rPr>
        <w:t xml:space="preserve"> ezerā – 30</w:t>
      </w:r>
      <w:r w:rsidR="00795650" w:rsidRPr="00A07F29">
        <w:rPr>
          <w:rFonts w:ascii="Times New Roman" w:eastAsia="Calibri" w:hAnsi="Times New Roman" w:cs="Calibri"/>
          <w:sz w:val="24"/>
          <w:szCs w:val="24"/>
        </w:rPr>
        <w:t> </w:t>
      </w:r>
      <w:r w:rsidR="00A64258" w:rsidRPr="00A07F29">
        <w:rPr>
          <w:rFonts w:ascii="Times New Roman" w:eastAsia="Calibri" w:hAnsi="Times New Roman" w:cs="Calibri"/>
          <w:sz w:val="24"/>
          <w:szCs w:val="24"/>
        </w:rPr>
        <w:t>m tīkla un viens murds (datu avots – Daugavpils un Krāslavas novada pašvaldības). Daugavas upē ir atļauts veikt rūpniecisko zveju tikai ar murdiem. Noteiktais murdu skaita limits Krāslavas novadā ir 67, bet Daugavpils novadā kopā ar Ilūkstes novadu – 145 (saskaņā ar 2010.</w:t>
      </w:r>
      <w:r w:rsidR="000D0E72" w:rsidRPr="00A07F29">
        <w:rPr>
          <w:rFonts w:ascii="Times New Roman" w:eastAsia="Calibri" w:hAnsi="Times New Roman" w:cs="Calibri"/>
          <w:sz w:val="24"/>
          <w:szCs w:val="24"/>
        </w:rPr>
        <w:t> </w:t>
      </w:r>
      <w:r w:rsidR="00A64258" w:rsidRPr="00A07F29">
        <w:rPr>
          <w:rFonts w:ascii="Times New Roman" w:eastAsia="Calibri" w:hAnsi="Times New Roman" w:cs="Calibri"/>
          <w:sz w:val="24"/>
          <w:szCs w:val="24"/>
        </w:rPr>
        <w:t xml:space="preserve">gadā noslēgto vienošanos starp pašvaldībām, Daugavpils novadā atļauts izsniegt 131 murdu). Limits netiek sasniegts – pēdējo 4 gadu laikā AAA “Augšdaugava” teritorijā Daugavpils novadā izsniegtas 15-20 licences murdiem, Krāslavas novadā – 6-9 licences uz gadu (datu avots – Daugavpils un Krāslavas novada pašvaldības). </w:t>
      </w:r>
      <w:r w:rsidR="00C849A5" w:rsidRPr="00A07F29">
        <w:rPr>
          <w:rFonts w:ascii="Times New Roman" w:eastAsia="Calibri" w:hAnsi="Times New Roman" w:cs="Calibri"/>
          <w:sz w:val="24"/>
          <w:szCs w:val="24"/>
        </w:rPr>
        <w:t xml:space="preserve">AAA “Augšdaugava” teritorijā esošie ezeri un Daugavas upes posms ir pievilcīgs makšķerniekiem, bet īpašas uzskaites vai aptaujas par lomiem un </w:t>
      </w:r>
      <w:r w:rsidR="008B09B8" w:rsidRPr="00A07F29">
        <w:rPr>
          <w:rFonts w:ascii="Times New Roman" w:eastAsia="Calibri" w:hAnsi="Times New Roman" w:cs="Calibri"/>
          <w:sz w:val="24"/>
          <w:szCs w:val="24"/>
        </w:rPr>
        <w:t>makšķerē</w:t>
      </w:r>
      <w:r w:rsidR="00C849A5" w:rsidRPr="00A07F29">
        <w:rPr>
          <w:rFonts w:ascii="Times New Roman" w:eastAsia="Calibri" w:hAnsi="Times New Roman" w:cs="Calibri"/>
          <w:sz w:val="24"/>
          <w:szCs w:val="24"/>
        </w:rPr>
        <w:t xml:space="preserve">šanas paradumiem nav veiktas. </w:t>
      </w:r>
      <w:r w:rsidR="008B09B8" w:rsidRPr="00A07F29">
        <w:rPr>
          <w:rFonts w:ascii="Times New Roman" w:eastAsia="Calibri" w:hAnsi="Times New Roman" w:cs="Calibri"/>
          <w:sz w:val="24"/>
          <w:szCs w:val="24"/>
        </w:rPr>
        <w:t>AAA “Augšdaugava” e</w:t>
      </w:r>
      <w:r w:rsidRPr="00A07F29">
        <w:rPr>
          <w:rFonts w:ascii="Times New Roman" w:eastAsia="Calibri" w:hAnsi="Times New Roman" w:cs="Calibri"/>
          <w:sz w:val="24"/>
          <w:szCs w:val="24"/>
        </w:rPr>
        <w:t>zeros un upēs nav organizēta licencētā makšķerēšana.</w:t>
      </w:r>
      <w:r w:rsidR="008B09B8" w:rsidRPr="00A07F29">
        <w:rPr>
          <w:rFonts w:ascii="Times New Roman" w:eastAsia="Calibri" w:hAnsi="Times New Roman" w:cs="Calibri"/>
          <w:sz w:val="24"/>
        </w:rPr>
        <w:t xml:space="preserve"> </w:t>
      </w:r>
      <w:r w:rsidR="00024275" w:rsidRPr="00A07F29">
        <w:rPr>
          <w:rFonts w:ascii="Times New Roman" w:eastAsia="Calibri" w:hAnsi="Times New Roman" w:cs="Calibri"/>
          <w:sz w:val="24"/>
        </w:rPr>
        <w:t xml:space="preserve">Makšķernieku vidū vispopulārākie ir Dauguļu, </w:t>
      </w:r>
      <w:proofErr w:type="spellStart"/>
      <w:r w:rsidR="00024275" w:rsidRPr="00A07F29">
        <w:rPr>
          <w:rFonts w:ascii="Times New Roman" w:eastAsia="Calibri" w:hAnsi="Times New Roman" w:cs="Calibri"/>
          <w:sz w:val="24"/>
        </w:rPr>
        <w:t>Krivoje</w:t>
      </w:r>
      <w:proofErr w:type="spellEnd"/>
      <w:r w:rsidR="00024275" w:rsidRPr="00A07F29">
        <w:rPr>
          <w:rFonts w:ascii="Times New Roman" w:eastAsia="Calibri" w:hAnsi="Times New Roman" w:cs="Calibri"/>
          <w:sz w:val="24"/>
        </w:rPr>
        <w:t xml:space="preserve">, </w:t>
      </w:r>
      <w:proofErr w:type="spellStart"/>
      <w:r w:rsidR="00024275" w:rsidRPr="00A07F29">
        <w:rPr>
          <w:rFonts w:ascii="Times New Roman" w:eastAsia="Calibri" w:hAnsi="Times New Roman" w:cs="Calibri"/>
          <w:sz w:val="24"/>
        </w:rPr>
        <w:t>Šilovkas</w:t>
      </w:r>
      <w:proofErr w:type="spellEnd"/>
      <w:r w:rsidR="00024275" w:rsidRPr="00A07F29">
        <w:rPr>
          <w:rFonts w:ascii="Times New Roman" w:eastAsia="Calibri" w:hAnsi="Times New Roman" w:cs="Calibri"/>
          <w:sz w:val="24"/>
        </w:rPr>
        <w:t xml:space="preserve">, </w:t>
      </w:r>
      <w:proofErr w:type="spellStart"/>
      <w:r w:rsidR="00024275" w:rsidRPr="00A07F29">
        <w:rPr>
          <w:rFonts w:ascii="Times New Roman" w:eastAsia="Calibri" w:hAnsi="Times New Roman" w:cs="Calibri"/>
          <w:sz w:val="24"/>
        </w:rPr>
        <w:t>Varnaviču</w:t>
      </w:r>
      <w:proofErr w:type="spellEnd"/>
      <w:r w:rsidR="00024275" w:rsidRPr="00A07F29">
        <w:rPr>
          <w:rFonts w:ascii="Times New Roman" w:eastAsia="Calibri" w:hAnsi="Times New Roman" w:cs="Calibri"/>
          <w:sz w:val="24"/>
        </w:rPr>
        <w:t xml:space="preserve"> ezers un </w:t>
      </w:r>
      <w:proofErr w:type="spellStart"/>
      <w:r w:rsidR="00024275" w:rsidRPr="00A07F29">
        <w:rPr>
          <w:rFonts w:ascii="Times New Roman" w:eastAsia="Calibri" w:hAnsi="Times New Roman" w:cs="Calibri"/>
          <w:sz w:val="24"/>
        </w:rPr>
        <w:t>Kaloda</w:t>
      </w:r>
      <w:proofErr w:type="spellEnd"/>
      <w:r w:rsidR="00024275" w:rsidRPr="00A07F29">
        <w:rPr>
          <w:rFonts w:ascii="Times New Roman" w:eastAsia="Calibri" w:hAnsi="Times New Roman" w:cs="Calibri"/>
          <w:sz w:val="24"/>
        </w:rPr>
        <w:t xml:space="preserve">. Nedaudz mazāka nozīme </w:t>
      </w:r>
      <w:r w:rsidR="00255FB1" w:rsidRPr="00A07F29">
        <w:rPr>
          <w:rFonts w:ascii="Times New Roman" w:eastAsia="Calibri" w:hAnsi="Times New Roman" w:cs="Calibri"/>
          <w:sz w:val="24"/>
        </w:rPr>
        <w:t>mak</w:t>
      </w:r>
      <w:r w:rsidR="00C1461F" w:rsidRPr="00A07F29">
        <w:rPr>
          <w:rFonts w:ascii="Times New Roman" w:eastAsia="Calibri" w:hAnsi="Times New Roman" w:cs="Calibri"/>
          <w:sz w:val="24"/>
        </w:rPr>
        <w:t>š</w:t>
      </w:r>
      <w:r w:rsidR="00255FB1" w:rsidRPr="00A07F29">
        <w:rPr>
          <w:rFonts w:ascii="Times New Roman" w:eastAsia="Calibri" w:hAnsi="Times New Roman" w:cs="Calibri"/>
          <w:sz w:val="24"/>
        </w:rPr>
        <w:t xml:space="preserve">ķerēšanā </w:t>
      </w:r>
      <w:r w:rsidR="00024275" w:rsidRPr="00A07F29">
        <w:rPr>
          <w:rFonts w:ascii="Times New Roman" w:eastAsia="Calibri" w:hAnsi="Times New Roman" w:cs="Calibri"/>
          <w:sz w:val="24"/>
        </w:rPr>
        <w:t xml:space="preserve">ir Dziļajam un </w:t>
      </w:r>
      <w:proofErr w:type="spellStart"/>
      <w:r w:rsidR="00024275" w:rsidRPr="00A07F29">
        <w:rPr>
          <w:rFonts w:ascii="Times New Roman" w:eastAsia="Calibri" w:hAnsi="Times New Roman" w:cs="Calibri"/>
          <w:sz w:val="24"/>
        </w:rPr>
        <w:t>Lukštānu</w:t>
      </w:r>
      <w:proofErr w:type="spellEnd"/>
      <w:r w:rsidR="00024275" w:rsidRPr="00A07F29">
        <w:rPr>
          <w:rFonts w:ascii="Times New Roman" w:eastAsia="Calibri" w:hAnsi="Times New Roman" w:cs="Calibri"/>
          <w:sz w:val="24"/>
        </w:rPr>
        <w:t xml:space="preserve"> ezeram, kā arī </w:t>
      </w:r>
      <w:proofErr w:type="spellStart"/>
      <w:r w:rsidR="00024275" w:rsidRPr="00A07F29">
        <w:rPr>
          <w:rFonts w:ascii="Times New Roman" w:eastAsia="Calibri" w:hAnsi="Times New Roman" w:cs="Calibri"/>
          <w:sz w:val="24"/>
        </w:rPr>
        <w:t>Riņģim</w:t>
      </w:r>
      <w:proofErr w:type="spellEnd"/>
      <w:r w:rsidR="00024275" w:rsidRPr="00A07F29">
        <w:rPr>
          <w:rFonts w:ascii="Times New Roman" w:eastAsia="Calibri" w:hAnsi="Times New Roman" w:cs="Calibri"/>
          <w:sz w:val="24"/>
        </w:rPr>
        <w:t xml:space="preserve">. Makšķernieku paretam apmeklēts ir </w:t>
      </w:r>
      <w:proofErr w:type="spellStart"/>
      <w:r w:rsidR="00024275" w:rsidRPr="00A07F29">
        <w:rPr>
          <w:rFonts w:ascii="Times New Roman" w:eastAsia="Calibri" w:hAnsi="Times New Roman" w:cs="Calibri"/>
          <w:sz w:val="24"/>
        </w:rPr>
        <w:t>Baļticas</w:t>
      </w:r>
      <w:proofErr w:type="spellEnd"/>
      <w:r w:rsidR="00024275" w:rsidRPr="00A07F29">
        <w:rPr>
          <w:rFonts w:ascii="Times New Roman" w:eastAsia="Calibri" w:hAnsi="Times New Roman" w:cs="Calibri"/>
          <w:sz w:val="24"/>
        </w:rPr>
        <w:t xml:space="preserve">, </w:t>
      </w:r>
      <w:proofErr w:type="spellStart"/>
      <w:r w:rsidR="00024275" w:rsidRPr="00A07F29">
        <w:rPr>
          <w:rFonts w:ascii="Times New Roman" w:eastAsia="Calibri" w:hAnsi="Times New Roman" w:cs="Calibri"/>
          <w:sz w:val="24"/>
        </w:rPr>
        <w:t>Dolgoje</w:t>
      </w:r>
      <w:proofErr w:type="spellEnd"/>
      <w:r w:rsidR="00024275" w:rsidRPr="00A07F29">
        <w:rPr>
          <w:rFonts w:ascii="Times New Roman" w:eastAsia="Calibri" w:hAnsi="Times New Roman" w:cs="Calibri"/>
          <w:sz w:val="24"/>
        </w:rPr>
        <w:t xml:space="preserve">, Dienvidu </w:t>
      </w:r>
      <w:proofErr w:type="spellStart"/>
      <w:r w:rsidR="00024275" w:rsidRPr="00A07F29">
        <w:rPr>
          <w:rFonts w:ascii="Times New Roman" w:eastAsia="Calibri" w:hAnsi="Times New Roman" w:cs="Calibri"/>
          <w:sz w:val="24"/>
        </w:rPr>
        <w:t>Dolgoje</w:t>
      </w:r>
      <w:proofErr w:type="spellEnd"/>
      <w:r w:rsidR="00024275" w:rsidRPr="00A07F29">
        <w:rPr>
          <w:rFonts w:ascii="Times New Roman" w:eastAsia="Calibri" w:hAnsi="Times New Roman" w:cs="Calibri"/>
          <w:sz w:val="24"/>
        </w:rPr>
        <w:t xml:space="preserve">, </w:t>
      </w:r>
      <w:proofErr w:type="spellStart"/>
      <w:r w:rsidR="00024275" w:rsidRPr="00A07F29">
        <w:rPr>
          <w:rFonts w:ascii="Times New Roman" w:eastAsia="Calibri" w:hAnsi="Times New Roman" w:cs="Calibri"/>
          <w:sz w:val="24"/>
        </w:rPr>
        <w:t>Jabloņkas</w:t>
      </w:r>
      <w:proofErr w:type="spellEnd"/>
      <w:r w:rsidR="00865D76" w:rsidRPr="00A07F29">
        <w:rPr>
          <w:rFonts w:ascii="Times New Roman" w:eastAsia="Calibri" w:hAnsi="Times New Roman" w:cs="Calibri"/>
          <w:sz w:val="24"/>
        </w:rPr>
        <w:t>,</w:t>
      </w:r>
      <w:r w:rsidR="00024275" w:rsidRPr="00A07F29">
        <w:rPr>
          <w:rFonts w:ascii="Times New Roman" w:eastAsia="Calibri" w:hAnsi="Times New Roman" w:cs="Calibri"/>
          <w:sz w:val="24"/>
        </w:rPr>
        <w:t xml:space="preserve"> Kaudzīšu, </w:t>
      </w:r>
      <w:proofErr w:type="spellStart"/>
      <w:r w:rsidR="00024275" w:rsidRPr="00A07F29">
        <w:rPr>
          <w:rFonts w:ascii="Times New Roman" w:eastAsia="Calibri" w:hAnsi="Times New Roman" w:cs="Calibri"/>
          <w:sz w:val="24"/>
        </w:rPr>
        <w:t>Krugloje</w:t>
      </w:r>
      <w:proofErr w:type="spellEnd"/>
      <w:r w:rsidR="00024275" w:rsidRPr="00A07F29">
        <w:rPr>
          <w:rFonts w:ascii="Times New Roman" w:eastAsia="Calibri" w:hAnsi="Times New Roman" w:cs="Calibri"/>
          <w:sz w:val="24"/>
        </w:rPr>
        <w:t xml:space="preserve">, Maču, </w:t>
      </w:r>
      <w:proofErr w:type="spellStart"/>
      <w:r w:rsidR="00024275" w:rsidRPr="00A07F29">
        <w:rPr>
          <w:rFonts w:ascii="Times New Roman" w:eastAsia="Calibri" w:hAnsi="Times New Roman" w:cs="Calibri"/>
          <w:sz w:val="24"/>
        </w:rPr>
        <w:t>Saučenku</w:t>
      </w:r>
      <w:proofErr w:type="spellEnd"/>
      <w:r w:rsidR="00024275" w:rsidRPr="00A07F29">
        <w:rPr>
          <w:rFonts w:ascii="Times New Roman" w:eastAsia="Calibri" w:hAnsi="Times New Roman" w:cs="Calibri"/>
          <w:sz w:val="24"/>
        </w:rPr>
        <w:t xml:space="preserve">, </w:t>
      </w:r>
      <w:proofErr w:type="spellStart"/>
      <w:r w:rsidR="00024275" w:rsidRPr="00A07F29">
        <w:rPr>
          <w:rFonts w:ascii="Times New Roman" w:eastAsia="Calibri" w:hAnsi="Times New Roman" w:cs="Calibri"/>
          <w:sz w:val="24"/>
        </w:rPr>
        <w:t>Skumbiņu</w:t>
      </w:r>
      <w:proofErr w:type="spellEnd"/>
      <w:r w:rsidR="00024275" w:rsidRPr="00A07F29">
        <w:rPr>
          <w:rFonts w:ascii="Times New Roman" w:eastAsia="Calibri" w:hAnsi="Times New Roman" w:cs="Calibri"/>
          <w:sz w:val="24"/>
        </w:rPr>
        <w:t xml:space="preserve">, </w:t>
      </w:r>
      <w:proofErr w:type="spellStart"/>
      <w:r w:rsidR="00024275" w:rsidRPr="00A07F29">
        <w:rPr>
          <w:rFonts w:ascii="Times New Roman" w:eastAsia="Calibri" w:hAnsi="Times New Roman" w:cs="Calibri"/>
          <w:sz w:val="24"/>
        </w:rPr>
        <w:t>Škļarovščinas</w:t>
      </w:r>
      <w:proofErr w:type="spellEnd"/>
      <w:r w:rsidR="00024275" w:rsidRPr="00A07F29">
        <w:rPr>
          <w:rFonts w:ascii="Times New Roman" w:eastAsia="Calibri" w:hAnsi="Times New Roman" w:cs="Calibri"/>
          <w:sz w:val="24"/>
        </w:rPr>
        <w:t xml:space="preserve"> un </w:t>
      </w:r>
      <w:proofErr w:type="spellStart"/>
      <w:r w:rsidR="00024275" w:rsidRPr="00A07F29">
        <w:rPr>
          <w:rFonts w:ascii="Times New Roman" w:eastAsia="Calibri" w:hAnsi="Times New Roman" w:cs="Calibri"/>
          <w:sz w:val="24"/>
        </w:rPr>
        <w:t>Vaičuku</w:t>
      </w:r>
      <w:proofErr w:type="spellEnd"/>
      <w:r w:rsidR="00024275" w:rsidRPr="00A07F29">
        <w:rPr>
          <w:rFonts w:ascii="Times New Roman" w:eastAsia="Calibri" w:hAnsi="Times New Roman" w:cs="Calibri"/>
          <w:sz w:val="24"/>
        </w:rPr>
        <w:t xml:space="preserve"> ezers, kā arī </w:t>
      </w:r>
      <w:proofErr w:type="spellStart"/>
      <w:r w:rsidR="00024275" w:rsidRPr="00A07F29">
        <w:rPr>
          <w:rFonts w:ascii="Times New Roman" w:eastAsia="Calibri" w:hAnsi="Times New Roman" w:cs="Calibri"/>
          <w:sz w:val="24"/>
        </w:rPr>
        <w:t>Dubinka</w:t>
      </w:r>
      <w:proofErr w:type="spellEnd"/>
      <w:r w:rsidR="00024275" w:rsidRPr="00A07F29">
        <w:rPr>
          <w:rFonts w:ascii="Times New Roman" w:eastAsia="Calibri" w:hAnsi="Times New Roman" w:cs="Calibri"/>
          <w:sz w:val="24"/>
        </w:rPr>
        <w:t xml:space="preserve"> un </w:t>
      </w:r>
      <w:proofErr w:type="spellStart"/>
      <w:r w:rsidR="00024275" w:rsidRPr="00A07F29">
        <w:rPr>
          <w:rFonts w:ascii="Times New Roman" w:eastAsia="Calibri" w:hAnsi="Times New Roman" w:cs="Calibri"/>
          <w:sz w:val="24"/>
        </w:rPr>
        <w:t>Mjaļina</w:t>
      </w:r>
      <w:proofErr w:type="spellEnd"/>
      <w:r w:rsidR="00024275" w:rsidRPr="00A07F29">
        <w:rPr>
          <w:rFonts w:ascii="Times New Roman" w:eastAsia="Calibri" w:hAnsi="Times New Roman" w:cs="Calibri"/>
          <w:sz w:val="24"/>
        </w:rPr>
        <w:t xml:space="preserve">. Makšķernieku praktiski neapmeklēts ir Lielais </w:t>
      </w:r>
      <w:proofErr w:type="spellStart"/>
      <w:r w:rsidR="00024275" w:rsidRPr="00A07F29">
        <w:rPr>
          <w:rFonts w:ascii="Times New Roman" w:eastAsia="Calibri" w:hAnsi="Times New Roman" w:cs="Calibri"/>
          <w:sz w:val="24"/>
        </w:rPr>
        <w:t>Borvinkas</w:t>
      </w:r>
      <w:proofErr w:type="spellEnd"/>
      <w:r w:rsidR="00024275" w:rsidRPr="00A07F29">
        <w:rPr>
          <w:rFonts w:ascii="Times New Roman" w:eastAsia="Calibri" w:hAnsi="Times New Roman" w:cs="Calibri"/>
          <w:sz w:val="24"/>
        </w:rPr>
        <w:t xml:space="preserve"> un Mazais </w:t>
      </w:r>
      <w:proofErr w:type="spellStart"/>
      <w:r w:rsidR="00024275" w:rsidRPr="00A07F29">
        <w:rPr>
          <w:rFonts w:ascii="Times New Roman" w:eastAsia="Calibri" w:hAnsi="Times New Roman" w:cs="Calibri"/>
          <w:sz w:val="24"/>
        </w:rPr>
        <w:t>Borvinkas</w:t>
      </w:r>
      <w:proofErr w:type="spellEnd"/>
      <w:r w:rsidR="00024275" w:rsidRPr="00A07F29">
        <w:rPr>
          <w:rFonts w:ascii="Times New Roman" w:eastAsia="Calibri" w:hAnsi="Times New Roman" w:cs="Calibri"/>
          <w:sz w:val="24"/>
        </w:rPr>
        <w:t xml:space="preserve"> ezers, kas atrodas 2</w:t>
      </w:r>
      <w:r w:rsidR="00D4578C" w:rsidRPr="00A07F29">
        <w:rPr>
          <w:rFonts w:ascii="Times New Roman" w:eastAsia="Calibri" w:hAnsi="Times New Roman" w:cs="Calibri"/>
          <w:sz w:val="24"/>
        </w:rPr>
        <w:t> </w:t>
      </w:r>
      <w:r w:rsidR="00024275" w:rsidRPr="00A07F29">
        <w:rPr>
          <w:rFonts w:ascii="Times New Roman" w:eastAsia="Calibri" w:hAnsi="Times New Roman" w:cs="Calibri"/>
          <w:sz w:val="24"/>
        </w:rPr>
        <w:t xml:space="preserve">km platajā Latvijas-Baltkrievijas robežjoslā, kur bez speciālajām caurlaidēm nedrīkst atrasties. Līdzīgā veidā makšķernieku praktiski neapmeklēts ir </w:t>
      </w:r>
      <w:proofErr w:type="spellStart"/>
      <w:r w:rsidR="00024275" w:rsidRPr="00A07F29">
        <w:rPr>
          <w:rFonts w:ascii="Times New Roman" w:eastAsia="Calibri" w:hAnsi="Times New Roman" w:cs="Calibri"/>
          <w:sz w:val="24"/>
        </w:rPr>
        <w:t>Gluhoje</w:t>
      </w:r>
      <w:proofErr w:type="spellEnd"/>
      <w:r w:rsidR="00024275" w:rsidRPr="00A07F29">
        <w:rPr>
          <w:rFonts w:ascii="Times New Roman" w:eastAsia="Calibri" w:hAnsi="Times New Roman" w:cs="Calibri"/>
          <w:sz w:val="24"/>
        </w:rPr>
        <w:t xml:space="preserve">, Vidus </w:t>
      </w:r>
      <w:proofErr w:type="spellStart"/>
      <w:r w:rsidR="00024275" w:rsidRPr="00A07F29">
        <w:rPr>
          <w:rFonts w:ascii="Times New Roman" w:eastAsia="Calibri" w:hAnsi="Times New Roman" w:cs="Calibri"/>
          <w:sz w:val="24"/>
        </w:rPr>
        <w:t>Dolgoje</w:t>
      </w:r>
      <w:proofErr w:type="spellEnd"/>
      <w:r w:rsidR="00024275" w:rsidRPr="00A07F29">
        <w:rPr>
          <w:rFonts w:ascii="Times New Roman" w:eastAsia="Calibri" w:hAnsi="Times New Roman" w:cs="Calibri"/>
          <w:sz w:val="24"/>
        </w:rPr>
        <w:t xml:space="preserve">, </w:t>
      </w:r>
      <w:proofErr w:type="spellStart"/>
      <w:r w:rsidR="00024275" w:rsidRPr="00A07F29">
        <w:rPr>
          <w:rFonts w:ascii="Times New Roman" w:eastAsia="Calibri" w:hAnsi="Times New Roman" w:cs="Calibri"/>
          <w:sz w:val="24"/>
        </w:rPr>
        <w:t>Zimašu</w:t>
      </w:r>
      <w:proofErr w:type="spellEnd"/>
      <w:r w:rsidR="00024275" w:rsidRPr="00A07F29">
        <w:rPr>
          <w:rFonts w:ascii="Times New Roman" w:eastAsia="Calibri" w:hAnsi="Times New Roman" w:cs="Calibri"/>
          <w:sz w:val="24"/>
        </w:rPr>
        <w:t xml:space="preserve"> un Zariņa ezers, kā arī </w:t>
      </w:r>
      <w:proofErr w:type="spellStart"/>
      <w:r w:rsidR="00024275" w:rsidRPr="00A07F29">
        <w:rPr>
          <w:rFonts w:ascii="Times New Roman" w:eastAsia="Calibri" w:hAnsi="Times New Roman" w:cs="Calibri"/>
          <w:sz w:val="24"/>
        </w:rPr>
        <w:t>Dūneklis</w:t>
      </w:r>
      <w:proofErr w:type="spellEnd"/>
      <w:r w:rsidR="00024275" w:rsidRPr="00A07F29">
        <w:rPr>
          <w:rFonts w:ascii="Times New Roman" w:eastAsia="Calibri" w:hAnsi="Times New Roman" w:cs="Calibri"/>
          <w:sz w:val="24"/>
        </w:rPr>
        <w:t xml:space="preserve">, </w:t>
      </w:r>
      <w:proofErr w:type="spellStart"/>
      <w:r w:rsidR="00024275" w:rsidRPr="00A07F29">
        <w:rPr>
          <w:rFonts w:ascii="Times New Roman" w:eastAsia="Calibri" w:hAnsi="Times New Roman" w:cs="Calibri"/>
          <w:sz w:val="24"/>
        </w:rPr>
        <w:t>Prūdeņš</w:t>
      </w:r>
      <w:proofErr w:type="spellEnd"/>
      <w:r w:rsidR="00024275" w:rsidRPr="00A07F29">
        <w:rPr>
          <w:rFonts w:ascii="Times New Roman" w:eastAsia="Calibri" w:hAnsi="Times New Roman" w:cs="Calibri"/>
          <w:sz w:val="24"/>
        </w:rPr>
        <w:t xml:space="preserve">, </w:t>
      </w:r>
      <w:proofErr w:type="spellStart"/>
      <w:r w:rsidR="00024275" w:rsidRPr="00A07F29">
        <w:rPr>
          <w:rFonts w:ascii="Times New Roman" w:eastAsia="Calibri" w:hAnsi="Times New Roman" w:cs="Calibri"/>
          <w:sz w:val="24"/>
        </w:rPr>
        <w:t>Šlapuks</w:t>
      </w:r>
      <w:proofErr w:type="spellEnd"/>
      <w:r w:rsidR="00024275" w:rsidRPr="00A07F29">
        <w:rPr>
          <w:rFonts w:ascii="Times New Roman" w:eastAsia="Calibri" w:hAnsi="Times New Roman" w:cs="Calibri"/>
          <w:sz w:val="24"/>
        </w:rPr>
        <w:t xml:space="preserve"> un </w:t>
      </w:r>
      <w:proofErr w:type="spellStart"/>
      <w:r w:rsidR="00024275" w:rsidRPr="00A07F29">
        <w:rPr>
          <w:rFonts w:ascii="Times New Roman" w:eastAsia="Calibri" w:hAnsi="Times New Roman" w:cs="Calibri"/>
          <w:sz w:val="24"/>
        </w:rPr>
        <w:t>Zīmeļs</w:t>
      </w:r>
      <w:proofErr w:type="spellEnd"/>
      <w:r w:rsidR="00024275" w:rsidRPr="00A07F29">
        <w:rPr>
          <w:rFonts w:ascii="Times New Roman" w:eastAsia="Calibri" w:hAnsi="Times New Roman" w:cs="Calibri"/>
          <w:sz w:val="24"/>
        </w:rPr>
        <w:t>.</w:t>
      </w:r>
    </w:p>
    <w:p w14:paraId="62FF7BA9" w14:textId="77777777" w:rsidR="00024275" w:rsidRPr="00A07F29" w:rsidRDefault="00024275" w:rsidP="003041BD">
      <w:pPr>
        <w:spacing w:after="120" w:line="240" w:lineRule="auto"/>
        <w:ind w:firstLine="851"/>
        <w:jc w:val="both"/>
        <w:rPr>
          <w:rFonts w:ascii="Times New Roman" w:eastAsia="Calibri" w:hAnsi="Times New Roman" w:cs="Calibri"/>
          <w:sz w:val="24"/>
        </w:rPr>
      </w:pPr>
    </w:p>
    <w:p w14:paraId="59FF6449" w14:textId="618EA1E1" w:rsidR="008142D2" w:rsidRPr="00A07F29" w:rsidRDefault="009072CE" w:rsidP="001E1B7F">
      <w:pPr>
        <w:pStyle w:val="Heading2"/>
        <w:spacing w:before="120" w:after="120"/>
        <w:ind w:firstLine="0"/>
        <w:jc w:val="center"/>
        <w:rPr>
          <w:rFonts w:ascii="Times New Roman" w:hAnsi="Times New Roman"/>
          <w:b w:val="0"/>
          <w:iCs w:val="0"/>
        </w:rPr>
      </w:pPr>
      <w:bookmarkStart w:id="35" w:name="_Toc183433991"/>
      <w:r w:rsidRPr="00A07F29">
        <w:rPr>
          <w:rFonts w:ascii="Times New Roman" w:hAnsi="Times New Roman"/>
          <w:i w:val="0"/>
        </w:rPr>
        <w:lastRenderedPageBreak/>
        <w:t>3.7. Meliorētās teritorijas</w:t>
      </w:r>
      <w:bookmarkEnd w:id="35"/>
    </w:p>
    <w:p w14:paraId="4FDA8126" w14:textId="0EAFB3BA" w:rsidR="008142D2" w:rsidRPr="00A07F29" w:rsidRDefault="008142D2" w:rsidP="00F009C4">
      <w:pPr>
        <w:spacing w:after="120" w:line="240" w:lineRule="auto"/>
        <w:ind w:firstLine="851"/>
        <w:jc w:val="both"/>
        <w:rPr>
          <w:rFonts w:ascii="Times New Roman" w:hAnsi="Times New Roman" w:cs="Times New Roman"/>
          <w:sz w:val="24"/>
          <w:szCs w:val="24"/>
          <w:lang w:eastAsia="ja-JP"/>
        </w:rPr>
      </w:pPr>
      <w:r w:rsidRPr="00A07F29">
        <w:rPr>
          <w:rFonts w:ascii="Times New Roman" w:hAnsi="Times New Roman" w:cs="Times New Roman"/>
          <w:sz w:val="24"/>
          <w:szCs w:val="24"/>
          <w:lang w:eastAsia="ja-JP"/>
        </w:rPr>
        <w:t xml:space="preserve">AAA “Augšdaugava” meliorētās teritorijas pārsvarā atrodas ārpus DP “Daugavas loki”, </w:t>
      </w:r>
      <w:r w:rsidR="00EF1352" w:rsidRPr="00A07F29">
        <w:rPr>
          <w:rFonts w:ascii="Times New Roman" w:hAnsi="Times New Roman" w:cs="Times New Roman"/>
          <w:sz w:val="24"/>
          <w:szCs w:val="24"/>
          <w:lang w:eastAsia="ja-JP"/>
        </w:rPr>
        <w:t>lielākoties</w:t>
      </w:r>
      <w:r w:rsidRPr="00A07F29">
        <w:rPr>
          <w:rFonts w:ascii="Times New Roman" w:hAnsi="Times New Roman" w:cs="Times New Roman"/>
          <w:sz w:val="24"/>
          <w:szCs w:val="24"/>
          <w:lang w:eastAsia="ja-JP"/>
        </w:rPr>
        <w:t xml:space="preserve"> meliorētas lielākās lauksaimniecības zemes platības un mežu platības (</w:t>
      </w:r>
      <w:r w:rsidR="00CB4BCC" w:rsidRPr="00A07F29">
        <w:rPr>
          <w:rFonts w:ascii="Times New Roman" w:hAnsi="Times New Roman" w:cs="Times New Roman"/>
          <w:sz w:val="24"/>
          <w:szCs w:val="24"/>
          <w:lang w:eastAsia="ja-JP"/>
        </w:rPr>
        <w:t xml:space="preserve">skat. </w:t>
      </w:r>
      <w:r w:rsidRPr="00A07F29">
        <w:rPr>
          <w:rFonts w:ascii="Times New Roman" w:hAnsi="Times New Roman" w:cs="Times New Roman"/>
          <w:sz w:val="24"/>
          <w:szCs w:val="24"/>
          <w:lang w:eastAsia="ja-JP"/>
        </w:rPr>
        <w:t>3.7.1</w:t>
      </w:r>
      <w:r w:rsidR="00CB4BCC" w:rsidRPr="00A07F29">
        <w:rPr>
          <w:rFonts w:ascii="Times New Roman" w:hAnsi="Times New Roman" w:cs="Times New Roman"/>
          <w:sz w:val="24"/>
          <w:szCs w:val="24"/>
          <w:lang w:eastAsia="ja-JP"/>
        </w:rPr>
        <w:t> </w:t>
      </w:r>
      <w:r w:rsidRPr="00A07F29">
        <w:rPr>
          <w:rFonts w:ascii="Times New Roman" w:hAnsi="Times New Roman" w:cs="Times New Roman"/>
          <w:sz w:val="24"/>
          <w:szCs w:val="24"/>
          <w:lang w:eastAsia="ja-JP"/>
        </w:rPr>
        <w:t>tabula un 3.1</w:t>
      </w:r>
      <w:r w:rsidR="00597610" w:rsidRPr="00A07F29">
        <w:rPr>
          <w:rFonts w:ascii="Times New Roman" w:hAnsi="Times New Roman" w:cs="Times New Roman"/>
          <w:sz w:val="24"/>
          <w:szCs w:val="24"/>
          <w:lang w:eastAsia="ja-JP"/>
        </w:rPr>
        <w:t>1</w:t>
      </w:r>
      <w:r w:rsidRPr="00A07F29">
        <w:rPr>
          <w:rFonts w:ascii="Times New Roman" w:hAnsi="Times New Roman" w:cs="Times New Roman"/>
          <w:sz w:val="24"/>
          <w:szCs w:val="24"/>
          <w:lang w:eastAsia="ja-JP"/>
        </w:rPr>
        <w:t>.</w:t>
      </w:r>
      <w:r w:rsidR="00CB4BCC" w:rsidRPr="00A07F29">
        <w:rPr>
          <w:rFonts w:ascii="Times New Roman" w:hAnsi="Times New Roman" w:cs="Times New Roman"/>
          <w:sz w:val="24"/>
          <w:szCs w:val="24"/>
          <w:lang w:eastAsia="ja-JP"/>
        </w:rPr>
        <w:t> </w:t>
      </w:r>
      <w:r w:rsidRPr="00A07F29">
        <w:rPr>
          <w:rFonts w:ascii="Times New Roman" w:hAnsi="Times New Roman" w:cs="Times New Roman"/>
          <w:sz w:val="24"/>
          <w:szCs w:val="24"/>
          <w:lang w:eastAsia="ja-JP"/>
        </w:rPr>
        <w:t xml:space="preserve">pielikums). </w:t>
      </w:r>
      <w:r w:rsidR="00EF1352" w:rsidRPr="00A07F29">
        <w:rPr>
          <w:rFonts w:ascii="Times New Roman" w:hAnsi="Times New Roman" w:cs="Times New Roman"/>
          <w:sz w:val="24"/>
          <w:szCs w:val="24"/>
          <w:lang w:eastAsia="ja-JP"/>
        </w:rPr>
        <w:t>M</w:t>
      </w:r>
      <w:r w:rsidR="00417D15" w:rsidRPr="00A07F29">
        <w:rPr>
          <w:rFonts w:ascii="Times New Roman" w:hAnsi="Times New Roman" w:cs="Times New Roman"/>
          <w:sz w:val="24"/>
          <w:szCs w:val="24"/>
          <w:lang w:eastAsia="ja-JP"/>
        </w:rPr>
        <w:t xml:space="preserve">eliorēti ir </w:t>
      </w:r>
      <w:r w:rsidR="00396630" w:rsidRPr="00A07F29">
        <w:rPr>
          <w:rFonts w:ascii="Times New Roman" w:hAnsi="Times New Roman" w:cs="Times New Roman"/>
          <w:sz w:val="24"/>
          <w:szCs w:val="24"/>
          <w:lang w:eastAsia="ja-JP"/>
        </w:rPr>
        <w:t>6516,87</w:t>
      </w:r>
      <w:r w:rsidR="00CB4BCC" w:rsidRPr="00A07F29">
        <w:rPr>
          <w:rFonts w:ascii="Times New Roman" w:hAnsi="Times New Roman" w:cs="Times New Roman"/>
          <w:sz w:val="24"/>
          <w:szCs w:val="24"/>
          <w:lang w:eastAsia="ja-JP"/>
        </w:rPr>
        <w:t> </w:t>
      </w:r>
      <w:r w:rsidR="00396630" w:rsidRPr="00A07F29">
        <w:rPr>
          <w:rFonts w:ascii="Times New Roman" w:hAnsi="Times New Roman" w:cs="Times New Roman"/>
          <w:sz w:val="24"/>
          <w:szCs w:val="24"/>
          <w:lang w:eastAsia="ja-JP"/>
        </w:rPr>
        <w:t xml:space="preserve">ha lauksaimniecības zemju </w:t>
      </w:r>
      <w:r w:rsidR="00EF1352" w:rsidRPr="00A07F29">
        <w:rPr>
          <w:rFonts w:ascii="Times New Roman" w:hAnsi="Times New Roman" w:cs="Times New Roman"/>
          <w:sz w:val="24"/>
          <w:szCs w:val="24"/>
          <w:lang w:eastAsia="ja-JP"/>
        </w:rPr>
        <w:t>(2020.</w:t>
      </w:r>
      <w:r w:rsidR="00CB4BCC" w:rsidRPr="00A07F29">
        <w:rPr>
          <w:rFonts w:ascii="Times New Roman" w:hAnsi="Times New Roman" w:cs="Times New Roman"/>
          <w:sz w:val="24"/>
          <w:szCs w:val="24"/>
          <w:lang w:eastAsia="ja-JP"/>
        </w:rPr>
        <w:t> </w:t>
      </w:r>
      <w:r w:rsidR="00EF1352" w:rsidRPr="00A07F29">
        <w:rPr>
          <w:rFonts w:ascii="Times New Roman" w:hAnsi="Times New Roman" w:cs="Times New Roman"/>
          <w:sz w:val="24"/>
          <w:szCs w:val="24"/>
          <w:lang w:eastAsia="ja-JP"/>
        </w:rPr>
        <w:t xml:space="preserve">gada LAD dati) </w:t>
      </w:r>
      <w:r w:rsidR="00396630" w:rsidRPr="00A07F29">
        <w:rPr>
          <w:rFonts w:ascii="Times New Roman" w:hAnsi="Times New Roman" w:cs="Times New Roman"/>
          <w:sz w:val="24"/>
          <w:szCs w:val="24"/>
          <w:lang w:eastAsia="ja-JP"/>
        </w:rPr>
        <w:t>un</w:t>
      </w:r>
      <w:r w:rsidR="00D65BBA" w:rsidRPr="00A07F29">
        <w:rPr>
          <w:rFonts w:ascii="Times New Roman" w:hAnsi="Times New Roman" w:cs="Times New Roman"/>
          <w:sz w:val="24"/>
          <w:szCs w:val="24"/>
          <w:lang w:eastAsia="ja-JP"/>
        </w:rPr>
        <w:t xml:space="preserve"> </w:t>
      </w:r>
      <w:r w:rsidR="00396630" w:rsidRPr="00A07F29">
        <w:rPr>
          <w:rFonts w:ascii="Times New Roman" w:hAnsi="Times New Roman" w:cs="Times New Roman"/>
          <w:sz w:val="24"/>
          <w:szCs w:val="24"/>
          <w:lang w:eastAsia="ja-JP"/>
        </w:rPr>
        <w:t>1909, 91</w:t>
      </w:r>
      <w:r w:rsidR="00CB4BCC" w:rsidRPr="00A07F29">
        <w:rPr>
          <w:rFonts w:ascii="Times New Roman" w:hAnsi="Times New Roman" w:cs="Times New Roman"/>
          <w:sz w:val="24"/>
          <w:szCs w:val="24"/>
          <w:lang w:eastAsia="ja-JP"/>
        </w:rPr>
        <w:t> </w:t>
      </w:r>
      <w:r w:rsidR="00396630" w:rsidRPr="00A07F29">
        <w:rPr>
          <w:rFonts w:ascii="Times New Roman" w:hAnsi="Times New Roman" w:cs="Times New Roman"/>
          <w:sz w:val="24"/>
          <w:szCs w:val="24"/>
          <w:lang w:eastAsia="ja-JP"/>
        </w:rPr>
        <w:t>ha meža zemju</w:t>
      </w:r>
      <w:r w:rsidR="00EF1352" w:rsidRPr="00A07F29">
        <w:rPr>
          <w:rFonts w:ascii="Times New Roman" w:hAnsi="Times New Roman" w:cs="Times New Roman"/>
          <w:sz w:val="24"/>
          <w:szCs w:val="24"/>
          <w:lang w:eastAsia="ja-JP"/>
        </w:rPr>
        <w:t xml:space="preserve"> (2019.</w:t>
      </w:r>
      <w:r w:rsidR="00CB4BCC" w:rsidRPr="00A07F29">
        <w:rPr>
          <w:rFonts w:ascii="Times New Roman" w:hAnsi="Times New Roman" w:cs="Times New Roman"/>
          <w:sz w:val="24"/>
          <w:szCs w:val="24"/>
          <w:lang w:eastAsia="ja-JP"/>
        </w:rPr>
        <w:t> </w:t>
      </w:r>
      <w:r w:rsidR="00EF1352" w:rsidRPr="00A07F29">
        <w:rPr>
          <w:rFonts w:ascii="Times New Roman" w:hAnsi="Times New Roman" w:cs="Times New Roman"/>
          <w:sz w:val="24"/>
          <w:szCs w:val="24"/>
          <w:lang w:eastAsia="ja-JP"/>
        </w:rPr>
        <w:t>gada Valsts meža reģist</w:t>
      </w:r>
      <w:r w:rsidR="004C3DC2" w:rsidRPr="00A07F29">
        <w:rPr>
          <w:rFonts w:ascii="Times New Roman" w:hAnsi="Times New Roman" w:cs="Times New Roman"/>
          <w:sz w:val="24"/>
          <w:szCs w:val="24"/>
          <w:lang w:eastAsia="ja-JP"/>
        </w:rPr>
        <w:t>r</w:t>
      </w:r>
      <w:r w:rsidR="00883139">
        <w:rPr>
          <w:rFonts w:ascii="Times New Roman" w:hAnsi="Times New Roman" w:cs="Times New Roman"/>
          <w:sz w:val="24"/>
          <w:szCs w:val="24"/>
          <w:lang w:eastAsia="ja-JP"/>
        </w:rPr>
        <w:t>a dati</w:t>
      </w:r>
      <w:r w:rsidR="00EF1352" w:rsidRPr="00A07F29">
        <w:rPr>
          <w:rFonts w:ascii="Times New Roman" w:hAnsi="Times New Roman" w:cs="Times New Roman"/>
          <w:sz w:val="24"/>
          <w:szCs w:val="24"/>
          <w:lang w:eastAsia="ja-JP"/>
        </w:rPr>
        <w:t>)</w:t>
      </w:r>
      <w:r w:rsidR="00396630" w:rsidRPr="00A07F29">
        <w:rPr>
          <w:rFonts w:ascii="Times New Roman" w:hAnsi="Times New Roman" w:cs="Times New Roman"/>
          <w:sz w:val="24"/>
          <w:szCs w:val="24"/>
          <w:lang w:eastAsia="ja-JP"/>
        </w:rPr>
        <w:t>.</w:t>
      </w:r>
    </w:p>
    <w:p w14:paraId="37B9B1CB" w14:textId="50E9B3AD" w:rsidR="009072CE" w:rsidRPr="00A07F29" w:rsidRDefault="009072CE" w:rsidP="000A308A">
      <w:pPr>
        <w:spacing w:before="240" w:after="120" w:line="240" w:lineRule="auto"/>
        <w:jc w:val="center"/>
        <w:rPr>
          <w:rFonts w:ascii="Times New Roman" w:hAnsi="Times New Roman" w:cs="Times New Roman"/>
          <w:sz w:val="24"/>
          <w:szCs w:val="24"/>
          <w:lang w:eastAsia="ja-JP"/>
        </w:rPr>
      </w:pPr>
      <w:r w:rsidRPr="00A07F29">
        <w:rPr>
          <w:rFonts w:ascii="Times New Roman" w:hAnsi="Times New Roman" w:cs="Times New Roman"/>
          <w:sz w:val="24"/>
          <w:szCs w:val="24"/>
          <w:lang w:eastAsia="ja-JP"/>
        </w:rPr>
        <w:t>3.7.1.</w:t>
      </w:r>
      <w:r w:rsidR="008127A1" w:rsidRPr="00A07F29">
        <w:rPr>
          <w:rFonts w:ascii="Times New Roman" w:hAnsi="Times New Roman" w:cs="Times New Roman"/>
          <w:sz w:val="24"/>
          <w:szCs w:val="24"/>
          <w:lang w:eastAsia="ja-JP"/>
        </w:rPr>
        <w:t> </w:t>
      </w:r>
      <w:r w:rsidRPr="00A07F29">
        <w:rPr>
          <w:rFonts w:ascii="Times New Roman" w:hAnsi="Times New Roman" w:cs="Times New Roman"/>
          <w:sz w:val="24"/>
          <w:szCs w:val="24"/>
          <w:lang w:eastAsia="ja-JP"/>
        </w:rPr>
        <w:t>tabula. Meliorācijas sistēmas AAA “Augšdaugava”</w:t>
      </w:r>
      <w:r w:rsidR="0093168F" w:rsidRPr="00A07F29">
        <w:rPr>
          <w:rFonts w:ascii="Times New Roman" w:hAnsi="Times New Roman" w:cs="Times New Roman"/>
          <w:sz w:val="24"/>
          <w:szCs w:val="24"/>
          <w:lang w:eastAsia="ja-JP"/>
        </w:rPr>
        <w:t xml:space="preserve"> (Meliorācijas kadastra informācijas sistēma, 2019)</w:t>
      </w:r>
    </w:p>
    <w:tbl>
      <w:tblPr>
        <w:tblStyle w:val="TableGrid"/>
        <w:tblW w:w="0" w:type="auto"/>
        <w:jc w:val="center"/>
        <w:tblLook w:val="04A0" w:firstRow="1" w:lastRow="0" w:firstColumn="1" w:lastColumn="0" w:noHBand="0" w:noVBand="1"/>
      </w:tblPr>
      <w:tblGrid>
        <w:gridCol w:w="2920"/>
        <w:gridCol w:w="2976"/>
        <w:gridCol w:w="2447"/>
      </w:tblGrid>
      <w:tr w:rsidR="006951BC" w:rsidRPr="00A07F29" w14:paraId="0D4DF3F2" w14:textId="77777777" w:rsidTr="009B4AB0">
        <w:trPr>
          <w:jc w:val="center"/>
        </w:trPr>
        <w:tc>
          <w:tcPr>
            <w:tcW w:w="2920" w:type="dxa"/>
            <w:shd w:val="clear" w:color="auto" w:fill="D6E3BC" w:themeFill="accent3" w:themeFillTint="66"/>
            <w:hideMark/>
          </w:tcPr>
          <w:p w14:paraId="69E6986D" w14:textId="77777777" w:rsidR="006951BC" w:rsidRPr="00A07F29" w:rsidRDefault="006951BC" w:rsidP="009056A3">
            <w:pPr>
              <w:rPr>
                <w:rFonts w:ascii="Times New Roman" w:eastAsia="Times New Roman" w:hAnsi="Times New Roman" w:cs="Times New Roman"/>
                <w:sz w:val="24"/>
                <w:szCs w:val="24"/>
                <w:lang w:eastAsia="en-GB"/>
              </w:rPr>
            </w:pPr>
            <w:r w:rsidRPr="00A07F29">
              <w:rPr>
                <w:rFonts w:ascii="Times New Roman" w:eastAsia="Times New Roman" w:hAnsi="Times New Roman" w:cs="Times New Roman"/>
                <w:sz w:val="24"/>
                <w:szCs w:val="24"/>
                <w:lang w:eastAsia="en-GB"/>
              </w:rPr>
              <w:t>Meliorācijas grāvji</w:t>
            </w:r>
          </w:p>
        </w:tc>
        <w:tc>
          <w:tcPr>
            <w:tcW w:w="2976" w:type="dxa"/>
            <w:shd w:val="clear" w:color="auto" w:fill="D6E3BC" w:themeFill="accent3" w:themeFillTint="66"/>
            <w:hideMark/>
          </w:tcPr>
          <w:p w14:paraId="4E728C13" w14:textId="4702D481" w:rsidR="006951BC" w:rsidRPr="00A07F29" w:rsidRDefault="006951BC" w:rsidP="00126A03">
            <w:pPr>
              <w:rPr>
                <w:rFonts w:ascii="Times New Roman" w:eastAsia="Times New Roman" w:hAnsi="Times New Roman" w:cs="Times New Roman"/>
                <w:sz w:val="24"/>
                <w:szCs w:val="24"/>
                <w:lang w:eastAsia="en-GB"/>
              </w:rPr>
            </w:pPr>
            <w:r w:rsidRPr="00A07F29">
              <w:rPr>
                <w:rFonts w:ascii="Times New Roman" w:eastAsia="Times New Roman" w:hAnsi="Times New Roman" w:cs="Times New Roman"/>
                <w:sz w:val="24"/>
                <w:szCs w:val="24"/>
                <w:lang w:eastAsia="en-GB"/>
              </w:rPr>
              <w:t xml:space="preserve">Meliorācijas grāvju </w:t>
            </w:r>
            <w:r w:rsidR="00126A03" w:rsidRPr="00A07F29">
              <w:rPr>
                <w:rFonts w:ascii="Times New Roman" w:eastAsia="Times New Roman" w:hAnsi="Times New Roman" w:cs="Times New Roman"/>
                <w:sz w:val="24"/>
                <w:szCs w:val="24"/>
                <w:lang w:eastAsia="en-GB"/>
              </w:rPr>
              <w:t>skaits</w:t>
            </w:r>
          </w:p>
        </w:tc>
        <w:tc>
          <w:tcPr>
            <w:tcW w:w="2447" w:type="dxa"/>
            <w:shd w:val="clear" w:color="auto" w:fill="D6E3BC" w:themeFill="accent3" w:themeFillTint="66"/>
            <w:hideMark/>
          </w:tcPr>
          <w:p w14:paraId="6515B858" w14:textId="77777777" w:rsidR="006951BC" w:rsidRPr="00A07F29" w:rsidRDefault="006951BC" w:rsidP="009056A3">
            <w:pPr>
              <w:rPr>
                <w:rFonts w:ascii="Times New Roman" w:eastAsia="Times New Roman" w:hAnsi="Times New Roman" w:cs="Times New Roman"/>
                <w:sz w:val="24"/>
                <w:szCs w:val="24"/>
                <w:lang w:eastAsia="en-GB"/>
              </w:rPr>
            </w:pPr>
            <w:r w:rsidRPr="00A07F29">
              <w:rPr>
                <w:rFonts w:ascii="Times New Roman" w:eastAsia="Times New Roman" w:hAnsi="Times New Roman" w:cs="Times New Roman"/>
                <w:sz w:val="24"/>
                <w:szCs w:val="24"/>
                <w:lang w:eastAsia="en-GB"/>
              </w:rPr>
              <w:t>Kopējais garums (km)</w:t>
            </w:r>
          </w:p>
        </w:tc>
      </w:tr>
      <w:tr w:rsidR="006951BC" w:rsidRPr="00A07F29" w14:paraId="5E196149" w14:textId="77777777" w:rsidTr="009B4AB0">
        <w:trPr>
          <w:jc w:val="center"/>
        </w:trPr>
        <w:tc>
          <w:tcPr>
            <w:tcW w:w="2920" w:type="dxa"/>
            <w:hideMark/>
          </w:tcPr>
          <w:p w14:paraId="02943494" w14:textId="77777777" w:rsidR="006951BC" w:rsidRPr="00A07F29" w:rsidRDefault="006951BC" w:rsidP="009056A3">
            <w:pPr>
              <w:rPr>
                <w:rFonts w:ascii="Times New Roman" w:eastAsia="Times New Roman" w:hAnsi="Times New Roman" w:cs="Times New Roman"/>
                <w:sz w:val="24"/>
                <w:szCs w:val="24"/>
                <w:lang w:eastAsia="en-GB"/>
              </w:rPr>
            </w:pPr>
            <w:r w:rsidRPr="00A07F29">
              <w:rPr>
                <w:rFonts w:ascii="Times New Roman" w:eastAsia="Times New Roman" w:hAnsi="Times New Roman" w:cs="Times New Roman"/>
                <w:sz w:val="24"/>
                <w:szCs w:val="24"/>
                <w:lang w:eastAsia="en-GB"/>
              </w:rPr>
              <w:t>Koplietošanas novadgrāvis</w:t>
            </w:r>
          </w:p>
        </w:tc>
        <w:tc>
          <w:tcPr>
            <w:tcW w:w="2976" w:type="dxa"/>
            <w:hideMark/>
          </w:tcPr>
          <w:p w14:paraId="0AB1C4F2" w14:textId="77777777" w:rsidR="006951BC" w:rsidRPr="00A07F29" w:rsidRDefault="006951BC" w:rsidP="009056A3">
            <w:pPr>
              <w:rPr>
                <w:rFonts w:ascii="Times New Roman" w:eastAsia="Times New Roman" w:hAnsi="Times New Roman" w:cs="Times New Roman"/>
                <w:sz w:val="24"/>
                <w:szCs w:val="24"/>
                <w:lang w:eastAsia="en-GB"/>
              </w:rPr>
            </w:pPr>
            <w:r w:rsidRPr="00A07F29">
              <w:rPr>
                <w:rFonts w:ascii="Times New Roman" w:eastAsia="Times New Roman" w:hAnsi="Times New Roman" w:cs="Times New Roman"/>
                <w:sz w:val="24"/>
                <w:szCs w:val="24"/>
                <w:lang w:eastAsia="en-GB"/>
              </w:rPr>
              <w:t>317</w:t>
            </w:r>
          </w:p>
        </w:tc>
        <w:tc>
          <w:tcPr>
            <w:tcW w:w="2447" w:type="dxa"/>
            <w:hideMark/>
          </w:tcPr>
          <w:p w14:paraId="202F9FFD" w14:textId="77777777" w:rsidR="006951BC" w:rsidRPr="00A07F29" w:rsidRDefault="006951BC" w:rsidP="009056A3">
            <w:pPr>
              <w:rPr>
                <w:rFonts w:ascii="Times New Roman" w:eastAsia="Times New Roman" w:hAnsi="Times New Roman" w:cs="Times New Roman"/>
                <w:sz w:val="24"/>
                <w:szCs w:val="24"/>
                <w:lang w:eastAsia="en-GB"/>
              </w:rPr>
            </w:pPr>
            <w:r w:rsidRPr="00A07F29">
              <w:rPr>
                <w:rFonts w:ascii="Times New Roman" w:eastAsia="Times New Roman" w:hAnsi="Times New Roman" w:cs="Times New Roman"/>
                <w:sz w:val="24"/>
                <w:szCs w:val="24"/>
                <w:lang w:eastAsia="en-GB"/>
              </w:rPr>
              <w:t>219,1</w:t>
            </w:r>
          </w:p>
        </w:tc>
      </w:tr>
      <w:tr w:rsidR="006951BC" w:rsidRPr="00A07F29" w14:paraId="28B80789" w14:textId="77777777" w:rsidTr="009B4AB0">
        <w:trPr>
          <w:jc w:val="center"/>
        </w:trPr>
        <w:tc>
          <w:tcPr>
            <w:tcW w:w="2920" w:type="dxa"/>
            <w:hideMark/>
          </w:tcPr>
          <w:p w14:paraId="0EB60617" w14:textId="77777777" w:rsidR="006951BC" w:rsidRPr="00A07F29" w:rsidRDefault="006951BC" w:rsidP="009056A3">
            <w:pPr>
              <w:rPr>
                <w:rFonts w:ascii="Times New Roman" w:eastAsia="Times New Roman" w:hAnsi="Times New Roman" w:cs="Times New Roman"/>
                <w:sz w:val="24"/>
                <w:szCs w:val="24"/>
                <w:lang w:eastAsia="en-GB"/>
              </w:rPr>
            </w:pPr>
            <w:r w:rsidRPr="00A07F29">
              <w:rPr>
                <w:rFonts w:ascii="Times New Roman" w:eastAsia="Times New Roman" w:hAnsi="Times New Roman" w:cs="Times New Roman"/>
                <w:sz w:val="24"/>
                <w:szCs w:val="24"/>
                <w:lang w:eastAsia="en-GB"/>
              </w:rPr>
              <w:t>Viena īpašuma novadgrāvis</w:t>
            </w:r>
          </w:p>
        </w:tc>
        <w:tc>
          <w:tcPr>
            <w:tcW w:w="2976" w:type="dxa"/>
            <w:hideMark/>
          </w:tcPr>
          <w:p w14:paraId="7814484A" w14:textId="77777777" w:rsidR="006951BC" w:rsidRPr="00A07F29" w:rsidRDefault="006951BC" w:rsidP="009056A3">
            <w:pPr>
              <w:rPr>
                <w:rFonts w:ascii="Times New Roman" w:eastAsia="Times New Roman" w:hAnsi="Times New Roman" w:cs="Times New Roman"/>
                <w:sz w:val="24"/>
                <w:szCs w:val="24"/>
                <w:lang w:eastAsia="en-GB"/>
              </w:rPr>
            </w:pPr>
            <w:r w:rsidRPr="00A07F29">
              <w:rPr>
                <w:rFonts w:ascii="Times New Roman" w:eastAsia="Times New Roman" w:hAnsi="Times New Roman" w:cs="Times New Roman"/>
                <w:sz w:val="24"/>
                <w:szCs w:val="24"/>
                <w:lang w:eastAsia="en-GB"/>
              </w:rPr>
              <w:t>49</w:t>
            </w:r>
          </w:p>
        </w:tc>
        <w:tc>
          <w:tcPr>
            <w:tcW w:w="2447" w:type="dxa"/>
            <w:hideMark/>
          </w:tcPr>
          <w:p w14:paraId="7E3DECF2" w14:textId="77777777" w:rsidR="006951BC" w:rsidRPr="00A07F29" w:rsidRDefault="006951BC" w:rsidP="009056A3">
            <w:pPr>
              <w:rPr>
                <w:rFonts w:ascii="Times New Roman" w:eastAsia="Times New Roman" w:hAnsi="Times New Roman" w:cs="Times New Roman"/>
                <w:sz w:val="24"/>
                <w:szCs w:val="24"/>
                <w:lang w:eastAsia="en-GB"/>
              </w:rPr>
            </w:pPr>
            <w:r w:rsidRPr="00A07F29">
              <w:rPr>
                <w:rFonts w:ascii="Times New Roman" w:eastAsia="Times New Roman" w:hAnsi="Times New Roman" w:cs="Times New Roman"/>
                <w:sz w:val="24"/>
                <w:szCs w:val="24"/>
                <w:lang w:eastAsia="en-GB"/>
              </w:rPr>
              <w:t>7,7</w:t>
            </w:r>
          </w:p>
        </w:tc>
      </w:tr>
      <w:tr w:rsidR="006951BC" w:rsidRPr="00A07F29" w14:paraId="6EFE871F" w14:textId="77777777" w:rsidTr="009B4AB0">
        <w:trPr>
          <w:jc w:val="center"/>
        </w:trPr>
        <w:tc>
          <w:tcPr>
            <w:tcW w:w="2920" w:type="dxa"/>
            <w:hideMark/>
          </w:tcPr>
          <w:p w14:paraId="3705E3EB" w14:textId="77777777" w:rsidR="006951BC" w:rsidRPr="00A07F29" w:rsidRDefault="006951BC" w:rsidP="009056A3">
            <w:pPr>
              <w:rPr>
                <w:rFonts w:ascii="Times New Roman" w:eastAsia="Times New Roman" w:hAnsi="Times New Roman" w:cs="Times New Roman"/>
                <w:sz w:val="24"/>
                <w:szCs w:val="24"/>
                <w:lang w:eastAsia="en-GB"/>
              </w:rPr>
            </w:pPr>
            <w:proofErr w:type="spellStart"/>
            <w:r w:rsidRPr="00A07F29">
              <w:rPr>
                <w:rFonts w:ascii="Times New Roman" w:eastAsia="Times New Roman" w:hAnsi="Times New Roman" w:cs="Times New Roman"/>
                <w:sz w:val="24"/>
                <w:szCs w:val="24"/>
                <w:lang w:eastAsia="en-GB"/>
              </w:rPr>
              <w:t>Kontūrgrāvis</w:t>
            </w:r>
            <w:proofErr w:type="spellEnd"/>
          </w:p>
        </w:tc>
        <w:tc>
          <w:tcPr>
            <w:tcW w:w="2976" w:type="dxa"/>
            <w:hideMark/>
          </w:tcPr>
          <w:p w14:paraId="78057D58" w14:textId="77777777" w:rsidR="006951BC" w:rsidRPr="00A07F29" w:rsidRDefault="006951BC" w:rsidP="009056A3">
            <w:pPr>
              <w:rPr>
                <w:rFonts w:ascii="Times New Roman" w:eastAsia="Times New Roman" w:hAnsi="Times New Roman" w:cs="Times New Roman"/>
                <w:sz w:val="24"/>
                <w:szCs w:val="24"/>
                <w:lang w:eastAsia="en-GB"/>
              </w:rPr>
            </w:pPr>
            <w:r w:rsidRPr="00A07F29">
              <w:rPr>
                <w:rFonts w:ascii="Times New Roman" w:eastAsia="Times New Roman" w:hAnsi="Times New Roman" w:cs="Times New Roman"/>
                <w:sz w:val="24"/>
                <w:szCs w:val="24"/>
                <w:lang w:eastAsia="en-GB"/>
              </w:rPr>
              <w:t>273</w:t>
            </w:r>
          </w:p>
        </w:tc>
        <w:tc>
          <w:tcPr>
            <w:tcW w:w="2447" w:type="dxa"/>
            <w:hideMark/>
          </w:tcPr>
          <w:p w14:paraId="60246333" w14:textId="77777777" w:rsidR="006951BC" w:rsidRPr="00A07F29" w:rsidRDefault="006951BC" w:rsidP="009056A3">
            <w:pPr>
              <w:rPr>
                <w:rFonts w:ascii="Times New Roman" w:eastAsia="Times New Roman" w:hAnsi="Times New Roman" w:cs="Times New Roman"/>
                <w:sz w:val="24"/>
                <w:szCs w:val="24"/>
                <w:lang w:eastAsia="en-GB"/>
              </w:rPr>
            </w:pPr>
            <w:r w:rsidRPr="00A07F29">
              <w:rPr>
                <w:rFonts w:ascii="Times New Roman" w:eastAsia="Times New Roman" w:hAnsi="Times New Roman" w:cs="Times New Roman"/>
                <w:sz w:val="24"/>
                <w:szCs w:val="24"/>
                <w:lang w:eastAsia="en-GB"/>
              </w:rPr>
              <w:t>40,7</w:t>
            </w:r>
          </w:p>
        </w:tc>
      </w:tr>
      <w:tr w:rsidR="006951BC" w:rsidRPr="00A07F29" w14:paraId="2AFBE622" w14:textId="77777777" w:rsidTr="009B4AB0">
        <w:trPr>
          <w:jc w:val="center"/>
        </w:trPr>
        <w:tc>
          <w:tcPr>
            <w:tcW w:w="2920" w:type="dxa"/>
            <w:hideMark/>
          </w:tcPr>
          <w:p w14:paraId="3592AA2C" w14:textId="77777777" w:rsidR="006951BC" w:rsidRPr="00A07F29" w:rsidRDefault="006951BC" w:rsidP="009056A3">
            <w:pPr>
              <w:rPr>
                <w:rFonts w:ascii="Times New Roman" w:eastAsia="Times New Roman" w:hAnsi="Times New Roman" w:cs="Times New Roman"/>
                <w:sz w:val="24"/>
                <w:szCs w:val="24"/>
                <w:lang w:eastAsia="en-GB"/>
              </w:rPr>
            </w:pPr>
            <w:proofErr w:type="spellStart"/>
            <w:r w:rsidRPr="00A07F29">
              <w:rPr>
                <w:rFonts w:ascii="Times New Roman" w:eastAsia="Times New Roman" w:hAnsi="Times New Roman" w:cs="Times New Roman"/>
                <w:sz w:val="24"/>
                <w:szCs w:val="24"/>
                <w:lang w:eastAsia="en-GB"/>
              </w:rPr>
              <w:t>Susinātājgrāvis</w:t>
            </w:r>
            <w:proofErr w:type="spellEnd"/>
          </w:p>
        </w:tc>
        <w:tc>
          <w:tcPr>
            <w:tcW w:w="2976" w:type="dxa"/>
            <w:hideMark/>
          </w:tcPr>
          <w:p w14:paraId="569721D7" w14:textId="77777777" w:rsidR="006951BC" w:rsidRPr="00A07F29" w:rsidRDefault="006951BC" w:rsidP="009056A3">
            <w:pPr>
              <w:rPr>
                <w:rFonts w:ascii="Times New Roman" w:eastAsia="Times New Roman" w:hAnsi="Times New Roman" w:cs="Times New Roman"/>
                <w:sz w:val="24"/>
                <w:szCs w:val="24"/>
                <w:lang w:eastAsia="en-GB"/>
              </w:rPr>
            </w:pPr>
            <w:r w:rsidRPr="00A07F29">
              <w:rPr>
                <w:rFonts w:ascii="Times New Roman" w:eastAsia="Times New Roman" w:hAnsi="Times New Roman" w:cs="Times New Roman"/>
                <w:sz w:val="24"/>
                <w:szCs w:val="24"/>
                <w:lang w:eastAsia="en-GB"/>
              </w:rPr>
              <w:t>127</w:t>
            </w:r>
          </w:p>
        </w:tc>
        <w:tc>
          <w:tcPr>
            <w:tcW w:w="2447" w:type="dxa"/>
            <w:hideMark/>
          </w:tcPr>
          <w:p w14:paraId="5B38BEC8" w14:textId="77777777" w:rsidR="006951BC" w:rsidRPr="00A07F29" w:rsidRDefault="006951BC" w:rsidP="009056A3">
            <w:pPr>
              <w:rPr>
                <w:rFonts w:ascii="Times New Roman" w:eastAsia="Times New Roman" w:hAnsi="Times New Roman" w:cs="Times New Roman"/>
                <w:sz w:val="24"/>
                <w:szCs w:val="24"/>
                <w:lang w:eastAsia="en-GB"/>
              </w:rPr>
            </w:pPr>
            <w:r w:rsidRPr="00A07F29">
              <w:rPr>
                <w:rFonts w:ascii="Times New Roman" w:eastAsia="Times New Roman" w:hAnsi="Times New Roman" w:cs="Times New Roman"/>
                <w:sz w:val="24"/>
                <w:szCs w:val="24"/>
                <w:lang w:eastAsia="en-GB"/>
              </w:rPr>
              <w:t>21,6</w:t>
            </w:r>
          </w:p>
        </w:tc>
      </w:tr>
    </w:tbl>
    <w:p w14:paraId="1CB87A46" w14:textId="58E69256" w:rsidR="009072CE" w:rsidRPr="00A07F29" w:rsidRDefault="009072CE" w:rsidP="009072CE">
      <w:pPr>
        <w:spacing w:after="120"/>
        <w:ind w:firstLine="851"/>
        <w:jc w:val="both"/>
        <w:rPr>
          <w:rFonts w:ascii="Times New Roman" w:eastAsia="Calibri" w:hAnsi="Times New Roman" w:cs="Calibri"/>
          <w:sz w:val="24"/>
        </w:rPr>
      </w:pPr>
    </w:p>
    <w:p w14:paraId="336701F1" w14:textId="21A76F47" w:rsidR="00A42C20" w:rsidRPr="00A07F29" w:rsidRDefault="008142D2" w:rsidP="000A308A">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Tā kā AAA “Augšdaugava” nav tipiska mitrāju teritorija, būtiski </w:t>
      </w:r>
      <w:r w:rsidR="00891B75" w:rsidRPr="00A07F29">
        <w:rPr>
          <w:rFonts w:ascii="Times New Roman" w:eastAsia="Calibri" w:hAnsi="Times New Roman" w:cs="Calibri"/>
          <w:sz w:val="24"/>
        </w:rPr>
        <w:t>meliorācija</w:t>
      </w:r>
      <w:r w:rsidR="00E84D35" w:rsidRPr="00A07F29">
        <w:rPr>
          <w:rFonts w:ascii="Times New Roman" w:eastAsia="Calibri" w:hAnsi="Times New Roman" w:cs="Calibri"/>
          <w:sz w:val="24"/>
        </w:rPr>
        <w:t>s sistēmas darbība vai tās bloķēšana</w:t>
      </w:r>
      <w:r w:rsidR="00891B75" w:rsidRPr="00A07F29">
        <w:rPr>
          <w:rFonts w:ascii="Times New Roman" w:eastAsia="Calibri" w:hAnsi="Times New Roman" w:cs="Calibri"/>
          <w:sz w:val="24"/>
        </w:rPr>
        <w:t xml:space="preserve"> ietekmē</w:t>
      </w:r>
      <w:r w:rsidR="00E84D35" w:rsidRPr="00A07F29">
        <w:rPr>
          <w:rFonts w:ascii="Times New Roman" w:eastAsia="Calibri" w:hAnsi="Times New Roman" w:cs="Calibri"/>
          <w:sz w:val="24"/>
        </w:rPr>
        <w:t xml:space="preserve"> atsevišķus </w:t>
      </w:r>
      <w:r w:rsidR="00891B75" w:rsidRPr="00A07F29">
        <w:rPr>
          <w:rFonts w:ascii="Times New Roman" w:eastAsia="Calibri" w:hAnsi="Times New Roman" w:cs="Calibri"/>
          <w:sz w:val="24"/>
        </w:rPr>
        <w:t>tekošo un stāvošo saldūdeņu biotopus (</w:t>
      </w:r>
      <w:r w:rsidR="006951BC" w:rsidRPr="00A07F29">
        <w:rPr>
          <w:rFonts w:ascii="Times New Roman" w:eastAsia="Calibri" w:hAnsi="Times New Roman" w:cs="Calibri"/>
          <w:sz w:val="24"/>
        </w:rPr>
        <w:t xml:space="preserve">skat. </w:t>
      </w:r>
      <w:r w:rsidR="00891B75" w:rsidRPr="00A07F29">
        <w:rPr>
          <w:rFonts w:ascii="Times New Roman" w:eastAsia="Calibri" w:hAnsi="Times New Roman" w:cs="Calibri"/>
          <w:sz w:val="24"/>
        </w:rPr>
        <w:t>3.2.1. u</w:t>
      </w:r>
      <w:r w:rsidR="00E84D35" w:rsidRPr="00A07F29">
        <w:rPr>
          <w:rFonts w:ascii="Times New Roman" w:eastAsia="Calibri" w:hAnsi="Times New Roman" w:cs="Calibri"/>
          <w:sz w:val="24"/>
        </w:rPr>
        <w:t>n</w:t>
      </w:r>
      <w:r w:rsidR="00891B75" w:rsidRPr="00A07F29">
        <w:rPr>
          <w:rFonts w:ascii="Times New Roman" w:eastAsia="Calibri" w:hAnsi="Times New Roman" w:cs="Calibri"/>
          <w:sz w:val="24"/>
        </w:rPr>
        <w:t xml:space="preserve"> 3.2.2.</w:t>
      </w:r>
      <w:r w:rsidR="005A5AA2" w:rsidRPr="00A07F29">
        <w:rPr>
          <w:rFonts w:ascii="Times New Roman" w:eastAsia="Calibri" w:hAnsi="Times New Roman" w:cs="Calibri"/>
          <w:sz w:val="24"/>
        </w:rPr>
        <w:t> </w:t>
      </w:r>
      <w:r w:rsidR="00891B75" w:rsidRPr="00A07F29">
        <w:rPr>
          <w:rFonts w:ascii="Times New Roman" w:eastAsia="Calibri" w:hAnsi="Times New Roman" w:cs="Calibri"/>
          <w:sz w:val="24"/>
        </w:rPr>
        <w:t xml:space="preserve">nodaļu), </w:t>
      </w:r>
      <w:r w:rsidR="00396630" w:rsidRPr="00A07F29">
        <w:rPr>
          <w:rFonts w:ascii="Times New Roman" w:eastAsia="Calibri" w:hAnsi="Times New Roman" w:cs="Calibri"/>
          <w:sz w:val="24"/>
        </w:rPr>
        <w:t xml:space="preserve">purvu biotopus, </w:t>
      </w:r>
      <w:r w:rsidR="00891B75" w:rsidRPr="00A07F29">
        <w:rPr>
          <w:rFonts w:ascii="Times New Roman" w:eastAsia="Calibri" w:hAnsi="Times New Roman" w:cs="Calibri"/>
          <w:sz w:val="24"/>
        </w:rPr>
        <w:t>kā arī nelielu daļu slapjo mežu un zālāju biotopu (</w:t>
      </w:r>
      <w:r w:rsidR="006951BC" w:rsidRPr="00A07F29">
        <w:rPr>
          <w:rFonts w:ascii="Times New Roman" w:eastAsia="Calibri" w:hAnsi="Times New Roman" w:cs="Calibri"/>
          <w:sz w:val="24"/>
        </w:rPr>
        <w:t>skat</w:t>
      </w:r>
      <w:r w:rsidR="000A308A" w:rsidRPr="00A07F29">
        <w:rPr>
          <w:rFonts w:ascii="Times New Roman" w:eastAsia="Calibri" w:hAnsi="Times New Roman" w:cs="Calibri"/>
          <w:sz w:val="24"/>
        </w:rPr>
        <w:t>. 3.7.2.</w:t>
      </w:r>
      <w:r w:rsidR="00AF4C06" w:rsidRPr="00A07F29">
        <w:rPr>
          <w:rFonts w:ascii="Times New Roman" w:eastAsia="Calibri" w:hAnsi="Times New Roman" w:cs="Calibri"/>
          <w:sz w:val="24"/>
        </w:rPr>
        <w:t> </w:t>
      </w:r>
      <w:r w:rsidR="000A308A" w:rsidRPr="00A07F29">
        <w:rPr>
          <w:rFonts w:ascii="Times New Roman" w:eastAsia="Calibri" w:hAnsi="Times New Roman" w:cs="Calibri"/>
          <w:sz w:val="24"/>
        </w:rPr>
        <w:t>tabulu un 3.11.</w:t>
      </w:r>
      <w:r w:rsidR="00AF4C06" w:rsidRPr="00A07F29">
        <w:rPr>
          <w:rFonts w:ascii="Times New Roman" w:eastAsia="Calibri" w:hAnsi="Times New Roman" w:cs="Calibri"/>
          <w:sz w:val="24"/>
        </w:rPr>
        <w:t> </w:t>
      </w:r>
      <w:r w:rsidR="000A308A" w:rsidRPr="00A07F29">
        <w:rPr>
          <w:rFonts w:ascii="Times New Roman" w:eastAsia="Calibri" w:hAnsi="Times New Roman" w:cs="Calibri"/>
          <w:sz w:val="24"/>
        </w:rPr>
        <w:t>pielikumu</w:t>
      </w:r>
      <w:r w:rsidR="00891B75" w:rsidRPr="00A07F29">
        <w:rPr>
          <w:rFonts w:ascii="Times New Roman" w:eastAsia="Calibri" w:hAnsi="Times New Roman" w:cs="Calibri"/>
          <w:sz w:val="24"/>
        </w:rPr>
        <w:t>). Tāpat potenciāli var tikt ietekmēti</w:t>
      </w:r>
      <w:r w:rsidR="00E84D35" w:rsidRPr="00A07F29">
        <w:rPr>
          <w:rFonts w:ascii="Times New Roman" w:eastAsia="Calibri" w:hAnsi="Times New Roman" w:cs="Calibri"/>
          <w:sz w:val="24"/>
        </w:rPr>
        <w:t xml:space="preserve"> arī sausie mežu un zālāju biotopi nelielās platībās (</w:t>
      </w:r>
      <w:r w:rsidR="00AF4C06" w:rsidRPr="00A07F29">
        <w:rPr>
          <w:rFonts w:ascii="Times New Roman" w:eastAsia="Calibri" w:hAnsi="Times New Roman" w:cs="Calibri"/>
          <w:sz w:val="24"/>
        </w:rPr>
        <w:t xml:space="preserve">skat. </w:t>
      </w:r>
      <w:r w:rsidR="00E84D35" w:rsidRPr="00A07F29">
        <w:rPr>
          <w:rFonts w:ascii="Times New Roman" w:eastAsia="Calibri" w:hAnsi="Times New Roman" w:cs="Calibri"/>
          <w:sz w:val="24"/>
        </w:rPr>
        <w:t>3.7.2.</w:t>
      </w:r>
      <w:r w:rsidR="00AF4C06" w:rsidRPr="00A07F29">
        <w:rPr>
          <w:rFonts w:ascii="Times New Roman" w:eastAsia="Calibri" w:hAnsi="Times New Roman" w:cs="Calibri"/>
          <w:sz w:val="24"/>
        </w:rPr>
        <w:t> t</w:t>
      </w:r>
      <w:r w:rsidR="00E84D35" w:rsidRPr="00A07F29">
        <w:rPr>
          <w:rFonts w:ascii="Times New Roman" w:eastAsia="Calibri" w:hAnsi="Times New Roman" w:cs="Calibri"/>
          <w:sz w:val="24"/>
        </w:rPr>
        <w:t xml:space="preserve">abula), ja notiek meliorācijas sistēmas </w:t>
      </w:r>
      <w:r w:rsidR="006951BC" w:rsidRPr="00A07F29">
        <w:rPr>
          <w:rFonts w:ascii="Times New Roman" w:eastAsia="Calibri" w:hAnsi="Times New Roman" w:cs="Calibri"/>
          <w:sz w:val="24"/>
        </w:rPr>
        <w:t xml:space="preserve">pārbūves </w:t>
      </w:r>
      <w:r w:rsidR="00E84D35" w:rsidRPr="00A07F29">
        <w:rPr>
          <w:rFonts w:ascii="Times New Roman" w:eastAsia="Calibri" w:hAnsi="Times New Roman" w:cs="Calibri"/>
          <w:sz w:val="24"/>
        </w:rPr>
        <w:t>darbi.</w:t>
      </w:r>
    </w:p>
    <w:p w14:paraId="6FEFCCA0" w14:textId="3B03F021" w:rsidR="00DB1859" w:rsidRPr="00A07F29" w:rsidRDefault="00E84D35" w:rsidP="000A308A">
      <w:pPr>
        <w:spacing w:before="240" w:after="120" w:line="240" w:lineRule="auto"/>
        <w:jc w:val="center"/>
        <w:rPr>
          <w:rFonts w:ascii="Times New Roman" w:eastAsia="Calibri" w:hAnsi="Times New Roman" w:cs="Calibri"/>
          <w:sz w:val="24"/>
        </w:rPr>
      </w:pPr>
      <w:r w:rsidRPr="00A07F29">
        <w:rPr>
          <w:rFonts w:ascii="Times New Roman" w:eastAsia="Calibri" w:hAnsi="Times New Roman" w:cs="Calibri"/>
          <w:sz w:val="24"/>
        </w:rPr>
        <w:t>3.7.2.</w:t>
      </w:r>
      <w:r w:rsidR="00AF4C06" w:rsidRPr="00A07F29">
        <w:rPr>
          <w:rFonts w:ascii="Times New Roman" w:eastAsia="Calibri" w:hAnsi="Times New Roman" w:cs="Calibri"/>
          <w:sz w:val="24"/>
        </w:rPr>
        <w:t> t</w:t>
      </w:r>
      <w:r w:rsidRPr="00A07F29">
        <w:rPr>
          <w:rFonts w:ascii="Times New Roman" w:eastAsia="Calibri" w:hAnsi="Times New Roman" w:cs="Calibri"/>
          <w:sz w:val="24"/>
        </w:rPr>
        <w:t>abula</w:t>
      </w:r>
      <w:r w:rsidR="00AF4C06" w:rsidRPr="00A07F29">
        <w:rPr>
          <w:rFonts w:ascii="Times New Roman" w:eastAsia="Calibri" w:hAnsi="Times New Roman" w:cs="Calibri"/>
          <w:sz w:val="24"/>
        </w:rPr>
        <w:t>.</w:t>
      </w:r>
      <w:r w:rsidRPr="00A07F29">
        <w:rPr>
          <w:rFonts w:ascii="Times New Roman" w:eastAsia="Calibri" w:hAnsi="Times New Roman" w:cs="Calibri"/>
          <w:sz w:val="24"/>
        </w:rPr>
        <w:t xml:space="preserve"> </w:t>
      </w:r>
      <w:r w:rsidR="00DB1859" w:rsidRPr="00A07F29">
        <w:rPr>
          <w:rFonts w:ascii="Times New Roman" w:eastAsia="Calibri" w:hAnsi="Times New Roman" w:cs="Calibri"/>
          <w:sz w:val="24"/>
        </w:rPr>
        <w:t>ES nozīmes aizsargājamie biotopi</w:t>
      </w:r>
      <w:r w:rsidR="00891B75" w:rsidRPr="00A07F29">
        <w:rPr>
          <w:rFonts w:ascii="Times New Roman" w:eastAsia="Calibri" w:hAnsi="Times New Roman" w:cs="Calibri"/>
          <w:sz w:val="24"/>
        </w:rPr>
        <w:t xml:space="preserve">, ko </w:t>
      </w:r>
      <w:r w:rsidRPr="00A07F29">
        <w:rPr>
          <w:rFonts w:ascii="Times New Roman" w:eastAsia="Calibri" w:hAnsi="Times New Roman" w:cs="Calibri"/>
          <w:sz w:val="24"/>
        </w:rPr>
        <w:t>skar</w:t>
      </w:r>
      <w:r w:rsidR="00891B75" w:rsidRPr="00A07F29">
        <w:rPr>
          <w:rFonts w:ascii="Times New Roman" w:eastAsia="Calibri" w:hAnsi="Times New Roman" w:cs="Calibri"/>
          <w:sz w:val="24"/>
        </w:rPr>
        <w:t xml:space="preserve"> meliorācijas sistēmu darbība</w:t>
      </w:r>
    </w:p>
    <w:tbl>
      <w:tblPr>
        <w:tblStyle w:val="TableGrid"/>
        <w:tblW w:w="0" w:type="auto"/>
        <w:jc w:val="center"/>
        <w:tblLayout w:type="fixed"/>
        <w:tblLook w:val="04A0" w:firstRow="1" w:lastRow="0" w:firstColumn="1" w:lastColumn="0" w:noHBand="0" w:noVBand="1"/>
      </w:tblPr>
      <w:tblGrid>
        <w:gridCol w:w="846"/>
        <w:gridCol w:w="718"/>
        <w:gridCol w:w="621"/>
        <w:gridCol w:w="621"/>
        <w:gridCol w:w="621"/>
        <w:gridCol w:w="621"/>
        <w:gridCol w:w="621"/>
        <w:gridCol w:w="621"/>
        <w:gridCol w:w="621"/>
        <w:gridCol w:w="621"/>
        <w:gridCol w:w="621"/>
        <w:gridCol w:w="621"/>
        <w:gridCol w:w="556"/>
        <w:gridCol w:w="686"/>
      </w:tblGrid>
      <w:tr w:rsidR="00E84D35" w:rsidRPr="00A07F29" w14:paraId="1D58934D" w14:textId="4A208E8B" w:rsidTr="004E015D">
        <w:trPr>
          <w:jc w:val="center"/>
        </w:trPr>
        <w:tc>
          <w:tcPr>
            <w:tcW w:w="846" w:type="dxa"/>
          </w:tcPr>
          <w:p w14:paraId="6E8EBA64" w14:textId="2A43DECF" w:rsidR="00E84D35" w:rsidRPr="00A07F29" w:rsidRDefault="00E84D35" w:rsidP="00DB1859">
            <w:pPr>
              <w:spacing w:after="120"/>
              <w:jc w:val="both"/>
              <w:rPr>
                <w:rFonts w:ascii="Times New Roman" w:eastAsia="Calibri" w:hAnsi="Times New Roman" w:cs="Calibri"/>
                <w:sz w:val="16"/>
                <w:szCs w:val="16"/>
              </w:rPr>
            </w:pPr>
            <w:r w:rsidRPr="00A07F29">
              <w:rPr>
                <w:rFonts w:ascii="Times New Roman" w:eastAsia="Calibri" w:hAnsi="Times New Roman" w:cs="Calibri"/>
                <w:sz w:val="16"/>
                <w:szCs w:val="16"/>
              </w:rPr>
              <w:t>Kods</w:t>
            </w:r>
          </w:p>
        </w:tc>
        <w:tc>
          <w:tcPr>
            <w:tcW w:w="718" w:type="dxa"/>
          </w:tcPr>
          <w:p w14:paraId="749179C6" w14:textId="69B2E971" w:rsidR="00E84D35" w:rsidRPr="00A07F29" w:rsidRDefault="00E84D35" w:rsidP="00DB1859">
            <w:pPr>
              <w:spacing w:after="120"/>
              <w:jc w:val="both"/>
              <w:rPr>
                <w:rFonts w:ascii="Times New Roman" w:eastAsia="Calibri" w:hAnsi="Times New Roman" w:cs="Calibri"/>
                <w:sz w:val="16"/>
                <w:szCs w:val="16"/>
              </w:rPr>
            </w:pPr>
            <w:r w:rsidRPr="00A07F29">
              <w:rPr>
                <w:rFonts w:ascii="Times New Roman" w:eastAsia="Calibri" w:hAnsi="Times New Roman" w:cs="Calibri"/>
                <w:sz w:val="16"/>
                <w:szCs w:val="16"/>
              </w:rPr>
              <w:t>6120*</w:t>
            </w:r>
          </w:p>
        </w:tc>
        <w:tc>
          <w:tcPr>
            <w:tcW w:w="621" w:type="dxa"/>
          </w:tcPr>
          <w:p w14:paraId="0BF98D0E" w14:textId="48711B47" w:rsidR="00E84D35" w:rsidRPr="00A07F29" w:rsidRDefault="00E84D35" w:rsidP="00DB1859">
            <w:pPr>
              <w:spacing w:after="120"/>
              <w:jc w:val="both"/>
              <w:rPr>
                <w:rFonts w:ascii="Times New Roman" w:eastAsia="Calibri" w:hAnsi="Times New Roman" w:cs="Calibri"/>
                <w:sz w:val="16"/>
                <w:szCs w:val="16"/>
              </w:rPr>
            </w:pPr>
            <w:r w:rsidRPr="00A07F29">
              <w:rPr>
                <w:rFonts w:ascii="Times New Roman" w:eastAsia="Calibri" w:hAnsi="Times New Roman" w:cs="Calibri"/>
                <w:sz w:val="16"/>
                <w:szCs w:val="16"/>
              </w:rPr>
              <w:t>6210</w:t>
            </w:r>
          </w:p>
        </w:tc>
        <w:tc>
          <w:tcPr>
            <w:tcW w:w="621" w:type="dxa"/>
          </w:tcPr>
          <w:p w14:paraId="7FA509C1" w14:textId="266C7109" w:rsidR="00E84D35" w:rsidRPr="00A07F29" w:rsidRDefault="00E84D35" w:rsidP="00DB1859">
            <w:pPr>
              <w:spacing w:after="120"/>
              <w:jc w:val="both"/>
              <w:rPr>
                <w:rFonts w:ascii="Times New Roman" w:eastAsia="Calibri" w:hAnsi="Times New Roman" w:cs="Calibri"/>
                <w:sz w:val="16"/>
                <w:szCs w:val="16"/>
              </w:rPr>
            </w:pPr>
            <w:r w:rsidRPr="00A07F29">
              <w:rPr>
                <w:rFonts w:ascii="Times New Roman" w:eastAsia="Calibri" w:hAnsi="Times New Roman" w:cs="Calibri"/>
                <w:sz w:val="16"/>
                <w:szCs w:val="16"/>
              </w:rPr>
              <w:t>6270*</w:t>
            </w:r>
          </w:p>
        </w:tc>
        <w:tc>
          <w:tcPr>
            <w:tcW w:w="621" w:type="dxa"/>
          </w:tcPr>
          <w:p w14:paraId="79742FBD" w14:textId="6F6A5E10" w:rsidR="00E84D35" w:rsidRPr="00A07F29" w:rsidRDefault="00E84D35" w:rsidP="00DB1859">
            <w:pPr>
              <w:spacing w:after="120"/>
              <w:jc w:val="both"/>
              <w:rPr>
                <w:rFonts w:ascii="Times New Roman" w:eastAsia="Calibri" w:hAnsi="Times New Roman" w:cs="Calibri"/>
                <w:sz w:val="16"/>
                <w:szCs w:val="16"/>
              </w:rPr>
            </w:pPr>
            <w:r w:rsidRPr="00A07F29">
              <w:rPr>
                <w:rFonts w:ascii="Times New Roman" w:eastAsia="Calibri" w:hAnsi="Times New Roman" w:cs="Calibri"/>
                <w:sz w:val="16"/>
                <w:szCs w:val="16"/>
              </w:rPr>
              <w:t>6410</w:t>
            </w:r>
          </w:p>
        </w:tc>
        <w:tc>
          <w:tcPr>
            <w:tcW w:w="621" w:type="dxa"/>
          </w:tcPr>
          <w:p w14:paraId="795864F6" w14:textId="0F8A6D6B" w:rsidR="00E84D35" w:rsidRPr="00A07F29" w:rsidRDefault="00E84D35" w:rsidP="00DB1859">
            <w:pPr>
              <w:spacing w:after="120"/>
              <w:jc w:val="both"/>
              <w:rPr>
                <w:rFonts w:ascii="Times New Roman" w:eastAsia="Calibri" w:hAnsi="Times New Roman" w:cs="Calibri"/>
                <w:sz w:val="16"/>
                <w:szCs w:val="16"/>
              </w:rPr>
            </w:pPr>
            <w:r w:rsidRPr="00A07F29">
              <w:rPr>
                <w:rFonts w:ascii="Times New Roman" w:eastAsia="Calibri" w:hAnsi="Times New Roman" w:cs="Calibri"/>
                <w:sz w:val="16"/>
                <w:szCs w:val="16"/>
              </w:rPr>
              <w:t>6430</w:t>
            </w:r>
          </w:p>
        </w:tc>
        <w:tc>
          <w:tcPr>
            <w:tcW w:w="621" w:type="dxa"/>
          </w:tcPr>
          <w:p w14:paraId="4F262295" w14:textId="225F95F9" w:rsidR="00E84D35" w:rsidRPr="00A07F29" w:rsidRDefault="00E84D35" w:rsidP="00DB1859">
            <w:pPr>
              <w:spacing w:after="120"/>
              <w:jc w:val="both"/>
              <w:rPr>
                <w:rFonts w:ascii="Times New Roman" w:eastAsia="Calibri" w:hAnsi="Times New Roman" w:cs="Calibri"/>
                <w:sz w:val="16"/>
                <w:szCs w:val="16"/>
              </w:rPr>
            </w:pPr>
            <w:r w:rsidRPr="00A07F29">
              <w:rPr>
                <w:rFonts w:ascii="Times New Roman" w:eastAsia="Calibri" w:hAnsi="Times New Roman" w:cs="Calibri"/>
                <w:sz w:val="16"/>
                <w:szCs w:val="16"/>
              </w:rPr>
              <w:t>6450</w:t>
            </w:r>
          </w:p>
        </w:tc>
        <w:tc>
          <w:tcPr>
            <w:tcW w:w="621" w:type="dxa"/>
          </w:tcPr>
          <w:p w14:paraId="050999A8" w14:textId="12DDDF5F" w:rsidR="00E84D35" w:rsidRPr="00A07F29" w:rsidRDefault="00E84D35" w:rsidP="00DB1859">
            <w:pPr>
              <w:spacing w:after="120"/>
              <w:jc w:val="both"/>
              <w:rPr>
                <w:rFonts w:ascii="Times New Roman" w:eastAsia="Calibri" w:hAnsi="Times New Roman" w:cs="Calibri"/>
                <w:sz w:val="16"/>
                <w:szCs w:val="16"/>
              </w:rPr>
            </w:pPr>
            <w:r w:rsidRPr="00A07F29">
              <w:rPr>
                <w:rFonts w:ascii="Times New Roman" w:eastAsia="Calibri" w:hAnsi="Times New Roman" w:cs="Calibri"/>
                <w:sz w:val="16"/>
                <w:szCs w:val="16"/>
              </w:rPr>
              <w:t>6510</w:t>
            </w:r>
          </w:p>
        </w:tc>
        <w:tc>
          <w:tcPr>
            <w:tcW w:w="621" w:type="dxa"/>
          </w:tcPr>
          <w:p w14:paraId="5C58683E" w14:textId="5F7F5E61" w:rsidR="00E84D35" w:rsidRPr="00A07F29" w:rsidRDefault="00E84D35" w:rsidP="00DB1859">
            <w:pPr>
              <w:spacing w:after="120"/>
              <w:jc w:val="both"/>
              <w:rPr>
                <w:rFonts w:ascii="Times New Roman" w:eastAsia="Calibri" w:hAnsi="Times New Roman" w:cs="Calibri"/>
                <w:sz w:val="16"/>
                <w:szCs w:val="16"/>
              </w:rPr>
            </w:pPr>
            <w:r w:rsidRPr="00A07F29">
              <w:rPr>
                <w:rFonts w:ascii="Times New Roman" w:eastAsia="Calibri" w:hAnsi="Times New Roman" w:cs="Calibri"/>
                <w:sz w:val="16"/>
                <w:szCs w:val="16"/>
              </w:rPr>
              <w:t>9010*</w:t>
            </w:r>
          </w:p>
        </w:tc>
        <w:tc>
          <w:tcPr>
            <w:tcW w:w="621" w:type="dxa"/>
          </w:tcPr>
          <w:p w14:paraId="46A404CA" w14:textId="50933958" w:rsidR="00E84D35" w:rsidRPr="00A07F29" w:rsidRDefault="00E84D35" w:rsidP="00DB1859">
            <w:pPr>
              <w:spacing w:after="120"/>
              <w:jc w:val="both"/>
              <w:rPr>
                <w:rFonts w:ascii="Times New Roman" w:eastAsia="Calibri" w:hAnsi="Times New Roman" w:cs="Calibri"/>
                <w:sz w:val="16"/>
                <w:szCs w:val="16"/>
              </w:rPr>
            </w:pPr>
            <w:r w:rsidRPr="00A07F29">
              <w:rPr>
                <w:rFonts w:ascii="Times New Roman" w:eastAsia="Calibri" w:hAnsi="Times New Roman" w:cs="Calibri"/>
                <w:sz w:val="16"/>
                <w:szCs w:val="16"/>
              </w:rPr>
              <w:t>9020*</w:t>
            </w:r>
          </w:p>
        </w:tc>
        <w:tc>
          <w:tcPr>
            <w:tcW w:w="621" w:type="dxa"/>
          </w:tcPr>
          <w:p w14:paraId="5C02C135" w14:textId="59FF6CC5" w:rsidR="00E84D35" w:rsidRPr="00A07F29" w:rsidRDefault="00E84D35" w:rsidP="00DB1859">
            <w:pPr>
              <w:spacing w:after="120"/>
              <w:jc w:val="both"/>
              <w:rPr>
                <w:rFonts w:ascii="Times New Roman" w:eastAsia="Calibri" w:hAnsi="Times New Roman" w:cs="Calibri"/>
                <w:sz w:val="16"/>
                <w:szCs w:val="16"/>
              </w:rPr>
            </w:pPr>
            <w:r w:rsidRPr="00A07F29">
              <w:rPr>
                <w:rFonts w:ascii="Times New Roman" w:eastAsia="Calibri" w:hAnsi="Times New Roman" w:cs="Calibri"/>
                <w:sz w:val="16"/>
                <w:szCs w:val="16"/>
              </w:rPr>
              <w:t>9050</w:t>
            </w:r>
          </w:p>
        </w:tc>
        <w:tc>
          <w:tcPr>
            <w:tcW w:w="621" w:type="dxa"/>
          </w:tcPr>
          <w:p w14:paraId="70BAEA30" w14:textId="6D1B6D77" w:rsidR="00E84D35" w:rsidRPr="00A07F29" w:rsidRDefault="00E84D35" w:rsidP="00DB1859">
            <w:pPr>
              <w:spacing w:after="120"/>
              <w:jc w:val="both"/>
              <w:rPr>
                <w:rFonts w:ascii="Times New Roman" w:eastAsia="Calibri" w:hAnsi="Times New Roman" w:cs="Calibri"/>
                <w:sz w:val="16"/>
                <w:szCs w:val="16"/>
              </w:rPr>
            </w:pPr>
            <w:r w:rsidRPr="00A07F29">
              <w:rPr>
                <w:rFonts w:ascii="Times New Roman" w:eastAsia="Calibri" w:hAnsi="Times New Roman" w:cs="Calibri"/>
                <w:sz w:val="16"/>
                <w:szCs w:val="16"/>
              </w:rPr>
              <w:t>9080*</w:t>
            </w:r>
          </w:p>
        </w:tc>
        <w:tc>
          <w:tcPr>
            <w:tcW w:w="556" w:type="dxa"/>
          </w:tcPr>
          <w:p w14:paraId="5E0952B8" w14:textId="2A16115A" w:rsidR="00E84D35" w:rsidRPr="00A07F29" w:rsidRDefault="00E84D35" w:rsidP="00DB1859">
            <w:pPr>
              <w:spacing w:after="120"/>
              <w:jc w:val="both"/>
              <w:rPr>
                <w:rFonts w:ascii="Times New Roman" w:eastAsia="Calibri" w:hAnsi="Times New Roman" w:cs="Calibri"/>
                <w:sz w:val="16"/>
                <w:szCs w:val="16"/>
              </w:rPr>
            </w:pPr>
            <w:r w:rsidRPr="00A07F29">
              <w:rPr>
                <w:rFonts w:ascii="Times New Roman" w:eastAsia="Calibri" w:hAnsi="Times New Roman" w:cs="Calibri"/>
                <w:sz w:val="16"/>
                <w:szCs w:val="16"/>
              </w:rPr>
              <w:t>9160</w:t>
            </w:r>
          </w:p>
        </w:tc>
        <w:tc>
          <w:tcPr>
            <w:tcW w:w="686" w:type="dxa"/>
          </w:tcPr>
          <w:p w14:paraId="26B75016" w14:textId="17566E05" w:rsidR="00E84D35" w:rsidRPr="00A07F29" w:rsidRDefault="00E84D35" w:rsidP="00DB1859">
            <w:pPr>
              <w:spacing w:after="120"/>
              <w:jc w:val="both"/>
              <w:rPr>
                <w:rFonts w:ascii="Times New Roman" w:eastAsia="Calibri" w:hAnsi="Times New Roman" w:cs="Calibri"/>
                <w:sz w:val="16"/>
                <w:szCs w:val="16"/>
              </w:rPr>
            </w:pPr>
            <w:r w:rsidRPr="00A07F29">
              <w:rPr>
                <w:rFonts w:ascii="Times New Roman" w:eastAsia="Calibri" w:hAnsi="Times New Roman" w:cs="Calibri"/>
                <w:sz w:val="16"/>
                <w:szCs w:val="16"/>
              </w:rPr>
              <w:t>91D0*</w:t>
            </w:r>
          </w:p>
        </w:tc>
      </w:tr>
      <w:tr w:rsidR="00E84D35" w:rsidRPr="00A07F29" w14:paraId="378156E8" w14:textId="61881D67" w:rsidTr="004E015D">
        <w:trPr>
          <w:jc w:val="center"/>
        </w:trPr>
        <w:tc>
          <w:tcPr>
            <w:tcW w:w="846" w:type="dxa"/>
          </w:tcPr>
          <w:p w14:paraId="6A17A33F" w14:textId="60D6598F" w:rsidR="00E84D35" w:rsidRPr="00A07F29" w:rsidRDefault="00E84D35" w:rsidP="00DB1859">
            <w:pPr>
              <w:spacing w:after="120"/>
              <w:jc w:val="both"/>
              <w:rPr>
                <w:rFonts w:ascii="Times New Roman" w:eastAsia="Calibri" w:hAnsi="Times New Roman" w:cs="Calibri"/>
                <w:sz w:val="16"/>
                <w:szCs w:val="16"/>
              </w:rPr>
            </w:pPr>
            <w:r w:rsidRPr="00A07F29">
              <w:rPr>
                <w:rFonts w:ascii="Times New Roman" w:eastAsia="Calibri" w:hAnsi="Times New Roman" w:cs="Calibri"/>
                <w:sz w:val="16"/>
                <w:szCs w:val="16"/>
              </w:rPr>
              <w:t>Platība, ha</w:t>
            </w:r>
          </w:p>
        </w:tc>
        <w:tc>
          <w:tcPr>
            <w:tcW w:w="718" w:type="dxa"/>
          </w:tcPr>
          <w:p w14:paraId="27DEA385" w14:textId="16CD650F" w:rsidR="00E84D35" w:rsidRPr="00A07F29" w:rsidRDefault="00E84D35" w:rsidP="00DB1859">
            <w:pPr>
              <w:spacing w:after="120"/>
              <w:jc w:val="both"/>
              <w:rPr>
                <w:rFonts w:ascii="Times New Roman" w:eastAsia="Calibri" w:hAnsi="Times New Roman" w:cs="Calibri"/>
                <w:sz w:val="16"/>
                <w:szCs w:val="16"/>
              </w:rPr>
            </w:pPr>
            <w:r w:rsidRPr="00A07F29">
              <w:rPr>
                <w:rFonts w:ascii="Times New Roman" w:eastAsia="Calibri" w:hAnsi="Times New Roman" w:cs="Calibri"/>
                <w:sz w:val="16"/>
                <w:szCs w:val="16"/>
              </w:rPr>
              <w:t>1,08</w:t>
            </w:r>
          </w:p>
        </w:tc>
        <w:tc>
          <w:tcPr>
            <w:tcW w:w="621" w:type="dxa"/>
          </w:tcPr>
          <w:p w14:paraId="2333F3EB" w14:textId="60AAA5B9" w:rsidR="00E84D35" w:rsidRPr="00A07F29" w:rsidRDefault="00E84D35" w:rsidP="00DB1859">
            <w:pPr>
              <w:spacing w:after="120"/>
              <w:jc w:val="both"/>
              <w:rPr>
                <w:rFonts w:ascii="Times New Roman" w:eastAsia="Calibri" w:hAnsi="Times New Roman" w:cs="Calibri"/>
                <w:sz w:val="16"/>
                <w:szCs w:val="16"/>
              </w:rPr>
            </w:pPr>
            <w:r w:rsidRPr="00A07F29">
              <w:rPr>
                <w:rFonts w:ascii="Times New Roman" w:eastAsia="Calibri" w:hAnsi="Times New Roman" w:cs="Calibri"/>
                <w:sz w:val="16"/>
                <w:szCs w:val="16"/>
              </w:rPr>
              <w:t>65,88</w:t>
            </w:r>
          </w:p>
        </w:tc>
        <w:tc>
          <w:tcPr>
            <w:tcW w:w="621" w:type="dxa"/>
          </w:tcPr>
          <w:p w14:paraId="1B21469B" w14:textId="55E64AEC" w:rsidR="00E84D35" w:rsidRPr="00A07F29" w:rsidRDefault="00E84D35" w:rsidP="00DB1859">
            <w:pPr>
              <w:spacing w:after="120"/>
              <w:jc w:val="both"/>
              <w:rPr>
                <w:rFonts w:ascii="Times New Roman" w:eastAsia="Calibri" w:hAnsi="Times New Roman" w:cs="Calibri"/>
                <w:sz w:val="16"/>
                <w:szCs w:val="16"/>
              </w:rPr>
            </w:pPr>
            <w:r w:rsidRPr="00A07F29">
              <w:rPr>
                <w:rFonts w:ascii="Times New Roman" w:eastAsia="Calibri" w:hAnsi="Times New Roman" w:cs="Calibri"/>
                <w:sz w:val="16"/>
                <w:szCs w:val="16"/>
              </w:rPr>
              <w:t>62,59</w:t>
            </w:r>
          </w:p>
        </w:tc>
        <w:tc>
          <w:tcPr>
            <w:tcW w:w="621" w:type="dxa"/>
          </w:tcPr>
          <w:p w14:paraId="669E5FAE" w14:textId="5732E0C8" w:rsidR="00E84D35" w:rsidRPr="00A07F29" w:rsidRDefault="00E84D35" w:rsidP="00DB1859">
            <w:pPr>
              <w:spacing w:after="120"/>
              <w:jc w:val="both"/>
              <w:rPr>
                <w:rFonts w:ascii="Times New Roman" w:eastAsia="Calibri" w:hAnsi="Times New Roman" w:cs="Calibri"/>
                <w:sz w:val="16"/>
                <w:szCs w:val="16"/>
              </w:rPr>
            </w:pPr>
            <w:r w:rsidRPr="00A07F29">
              <w:rPr>
                <w:rFonts w:ascii="Times New Roman" w:eastAsia="Calibri" w:hAnsi="Times New Roman" w:cs="Calibri"/>
                <w:sz w:val="16"/>
                <w:szCs w:val="16"/>
              </w:rPr>
              <w:t>1,68</w:t>
            </w:r>
          </w:p>
        </w:tc>
        <w:tc>
          <w:tcPr>
            <w:tcW w:w="621" w:type="dxa"/>
          </w:tcPr>
          <w:p w14:paraId="64C978F7" w14:textId="7ED519A5" w:rsidR="00E84D35" w:rsidRPr="00A07F29" w:rsidRDefault="00E84D35" w:rsidP="00DB1859">
            <w:pPr>
              <w:spacing w:after="120"/>
              <w:jc w:val="both"/>
              <w:rPr>
                <w:rFonts w:ascii="Times New Roman" w:eastAsia="Calibri" w:hAnsi="Times New Roman" w:cs="Calibri"/>
                <w:sz w:val="16"/>
                <w:szCs w:val="16"/>
              </w:rPr>
            </w:pPr>
            <w:r w:rsidRPr="00A07F29">
              <w:rPr>
                <w:rFonts w:ascii="Times New Roman" w:eastAsia="Calibri" w:hAnsi="Times New Roman" w:cs="Calibri"/>
                <w:sz w:val="16"/>
                <w:szCs w:val="16"/>
              </w:rPr>
              <w:t>13,16</w:t>
            </w:r>
          </w:p>
        </w:tc>
        <w:tc>
          <w:tcPr>
            <w:tcW w:w="621" w:type="dxa"/>
          </w:tcPr>
          <w:p w14:paraId="20328502" w14:textId="1CCA0648" w:rsidR="00E84D35" w:rsidRPr="00A07F29" w:rsidRDefault="00E84D35" w:rsidP="00DB1859">
            <w:pPr>
              <w:spacing w:after="120"/>
              <w:jc w:val="both"/>
              <w:rPr>
                <w:rFonts w:ascii="Times New Roman" w:eastAsia="Calibri" w:hAnsi="Times New Roman" w:cs="Calibri"/>
                <w:sz w:val="16"/>
                <w:szCs w:val="16"/>
              </w:rPr>
            </w:pPr>
            <w:r w:rsidRPr="00A07F29">
              <w:rPr>
                <w:rFonts w:ascii="Times New Roman" w:eastAsia="Calibri" w:hAnsi="Times New Roman" w:cs="Calibri"/>
                <w:sz w:val="16"/>
                <w:szCs w:val="16"/>
              </w:rPr>
              <w:t>54,75</w:t>
            </w:r>
          </w:p>
        </w:tc>
        <w:tc>
          <w:tcPr>
            <w:tcW w:w="621" w:type="dxa"/>
          </w:tcPr>
          <w:p w14:paraId="4D255912" w14:textId="65123DFE" w:rsidR="00E84D35" w:rsidRPr="00A07F29" w:rsidRDefault="00E84D35" w:rsidP="00DB1859">
            <w:pPr>
              <w:spacing w:after="120"/>
              <w:jc w:val="both"/>
              <w:rPr>
                <w:rFonts w:ascii="Times New Roman" w:eastAsia="Calibri" w:hAnsi="Times New Roman" w:cs="Calibri"/>
                <w:sz w:val="16"/>
                <w:szCs w:val="16"/>
              </w:rPr>
            </w:pPr>
            <w:r w:rsidRPr="00A07F29">
              <w:rPr>
                <w:rFonts w:ascii="Times New Roman" w:eastAsia="Calibri" w:hAnsi="Times New Roman" w:cs="Calibri"/>
                <w:sz w:val="16"/>
                <w:szCs w:val="16"/>
              </w:rPr>
              <w:t>6,18</w:t>
            </w:r>
          </w:p>
        </w:tc>
        <w:tc>
          <w:tcPr>
            <w:tcW w:w="621" w:type="dxa"/>
          </w:tcPr>
          <w:p w14:paraId="2CD6DBFC" w14:textId="0773FA72" w:rsidR="00E84D35" w:rsidRPr="00A07F29" w:rsidRDefault="00E84D35" w:rsidP="00DB1859">
            <w:pPr>
              <w:spacing w:after="120"/>
              <w:jc w:val="both"/>
              <w:rPr>
                <w:rFonts w:ascii="Times New Roman" w:eastAsia="Calibri" w:hAnsi="Times New Roman" w:cs="Calibri"/>
                <w:sz w:val="16"/>
                <w:szCs w:val="16"/>
              </w:rPr>
            </w:pPr>
            <w:r w:rsidRPr="00A07F29">
              <w:rPr>
                <w:rFonts w:ascii="Times New Roman" w:eastAsia="Calibri" w:hAnsi="Times New Roman" w:cs="Calibri"/>
                <w:sz w:val="16"/>
                <w:szCs w:val="16"/>
              </w:rPr>
              <w:t>2,50</w:t>
            </w:r>
          </w:p>
        </w:tc>
        <w:tc>
          <w:tcPr>
            <w:tcW w:w="621" w:type="dxa"/>
          </w:tcPr>
          <w:p w14:paraId="49C22139" w14:textId="5EDF1F2E" w:rsidR="00E84D35" w:rsidRPr="00A07F29" w:rsidRDefault="00E84D35" w:rsidP="00DB1859">
            <w:pPr>
              <w:spacing w:after="120"/>
              <w:jc w:val="both"/>
              <w:rPr>
                <w:rFonts w:ascii="Times New Roman" w:eastAsia="Calibri" w:hAnsi="Times New Roman" w:cs="Calibri"/>
                <w:sz w:val="16"/>
                <w:szCs w:val="16"/>
              </w:rPr>
            </w:pPr>
            <w:r w:rsidRPr="00A07F29">
              <w:rPr>
                <w:rFonts w:ascii="Times New Roman" w:eastAsia="Calibri" w:hAnsi="Times New Roman" w:cs="Calibri"/>
                <w:sz w:val="16"/>
                <w:szCs w:val="16"/>
              </w:rPr>
              <w:t>10,9</w:t>
            </w:r>
            <w:r w:rsidR="00417D15" w:rsidRPr="00A07F29">
              <w:rPr>
                <w:rFonts w:ascii="Times New Roman" w:eastAsia="Calibri" w:hAnsi="Times New Roman" w:cs="Calibri"/>
                <w:sz w:val="16"/>
                <w:szCs w:val="16"/>
              </w:rPr>
              <w:t>4</w:t>
            </w:r>
          </w:p>
        </w:tc>
        <w:tc>
          <w:tcPr>
            <w:tcW w:w="621" w:type="dxa"/>
          </w:tcPr>
          <w:p w14:paraId="078A14CF" w14:textId="54E2F83D" w:rsidR="00E84D35" w:rsidRPr="00A07F29" w:rsidRDefault="00E84D35" w:rsidP="00DB1859">
            <w:pPr>
              <w:spacing w:after="120"/>
              <w:jc w:val="both"/>
              <w:rPr>
                <w:rFonts w:ascii="Times New Roman" w:eastAsia="Calibri" w:hAnsi="Times New Roman" w:cs="Calibri"/>
                <w:sz w:val="16"/>
                <w:szCs w:val="16"/>
              </w:rPr>
            </w:pPr>
            <w:r w:rsidRPr="00A07F29">
              <w:rPr>
                <w:rFonts w:ascii="Times New Roman" w:eastAsia="Calibri" w:hAnsi="Times New Roman" w:cs="Calibri"/>
                <w:sz w:val="16"/>
                <w:szCs w:val="16"/>
              </w:rPr>
              <w:t>4,7</w:t>
            </w:r>
            <w:r w:rsidR="00417D15" w:rsidRPr="00A07F29">
              <w:rPr>
                <w:rFonts w:ascii="Times New Roman" w:eastAsia="Calibri" w:hAnsi="Times New Roman" w:cs="Calibri"/>
                <w:sz w:val="16"/>
                <w:szCs w:val="16"/>
              </w:rPr>
              <w:t>6</w:t>
            </w:r>
          </w:p>
        </w:tc>
        <w:tc>
          <w:tcPr>
            <w:tcW w:w="621" w:type="dxa"/>
          </w:tcPr>
          <w:p w14:paraId="574D097D" w14:textId="5C5A1B07" w:rsidR="00E84D35" w:rsidRPr="00A07F29" w:rsidRDefault="00E84D35" w:rsidP="00DB1859">
            <w:pPr>
              <w:spacing w:after="120"/>
              <w:jc w:val="both"/>
              <w:rPr>
                <w:rFonts w:ascii="Times New Roman" w:eastAsia="Calibri" w:hAnsi="Times New Roman" w:cs="Calibri"/>
                <w:sz w:val="16"/>
                <w:szCs w:val="16"/>
              </w:rPr>
            </w:pPr>
            <w:r w:rsidRPr="00A07F29">
              <w:rPr>
                <w:rFonts w:ascii="Times New Roman" w:eastAsia="Calibri" w:hAnsi="Times New Roman" w:cs="Calibri"/>
                <w:sz w:val="16"/>
                <w:szCs w:val="16"/>
              </w:rPr>
              <w:t>3,8</w:t>
            </w:r>
            <w:r w:rsidR="00417D15" w:rsidRPr="00A07F29">
              <w:rPr>
                <w:rFonts w:ascii="Times New Roman" w:eastAsia="Calibri" w:hAnsi="Times New Roman" w:cs="Calibri"/>
                <w:sz w:val="16"/>
                <w:szCs w:val="16"/>
              </w:rPr>
              <w:t>6</w:t>
            </w:r>
          </w:p>
        </w:tc>
        <w:tc>
          <w:tcPr>
            <w:tcW w:w="556" w:type="dxa"/>
          </w:tcPr>
          <w:p w14:paraId="3DDCE836" w14:textId="07CBC1F9" w:rsidR="00E84D35" w:rsidRPr="00A07F29" w:rsidRDefault="00E84D35" w:rsidP="00DB1859">
            <w:pPr>
              <w:spacing w:after="120"/>
              <w:jc w:val="both"/>
              <w:rPr>
                <w:rFonts w:ascii="Times New Roman" w:eastAsia="Calibri" w:hAnsi="Times New Roman" w:cs="Calibri"/>
                <w:sz w:val="16"/>
                <w:szCs w:val="16"/>
              </w:rPr>
            </w:pPr>
            <w:r w:rsidRPr="00A07F29">
              <w:rPr>
                <w:rFonts w:ascii="Times New Roman" w:eastAsia="Calibri" w:hAnsi="Times New Roman" w:cs="Calibri"/>
                <w:sz w:val="16"/>
                <w:szCs w:val="16"/>
              </w:rPr>
              <w:t>0,69</w:t>
            </w:r>
          </w:p>
        </w:tc>
        <w:tc>
          <w:tcPr>
            <w:tcW w:w="686" w:type="dxa"/>
          </w:tcPr>
          <w:p w14:paraId="5EC539C1" w14:textId="2EDD2C8C" w:rsidR="00E84D35" w:rsidRPr="00A07F29" w:rsidRDefault="00E84D35" w:rsidP="00DB1859">
            <w:pPr>
              <w:spacing w:after="120"/>
              <w:jc w:val="both"/>
              <w:rPr>
                <w:rFonts w:ascii="Times New Roman" w:eastAsia="Calibri" w:hAnsi="Times New Roman" w:cs="Calibri"/>
                <w:sz w:val="16"/>
                <w:szCs w:val="16"/>
              </w:rPr>
            </w:pPr>
            <w:r w:rsidRPr="00A07F29">
              <w:rPr>
                <w:rFonts w:ascii="Times New Roman" w:eastAsia="Calibri" w:hAnsi="Times New Roman" w:cs="Calibri"/>
                <w:sz w:val="16"/>
                <w:szCs w:val="16"/>
              </w:rPr>
              <w:t>1,62</w:t>
            </w:r>
          </w:p>
        </w:tc>
      </w:tr>
    </w:tbl>
    <w:p w14:paraId="396390A8" w14:textId="42AD27F9" w:rsidR="00DB1859" w:rsidRPr="00C35C4A" w:rsidRDefault="00850B4B" w:rsidP="009072CE">
      <w:pPr>
        <w:spacing w:after="120"/>
        <w:jc w:val="both"/>
        <w:rPr>
          <w:rFonts w:ascii="Times New Roman" w:eastAsia="Calibri" w:hAnsi="Times New Roman" w:cs="Calibri"/>
          <w:sz w:val="16"/>
          <w:szCs w:val="16"/>
        </w:rPr>
      </w:pPr>
      <w:r w:rsidRPr="00C35C4A">
        <w:rPr>
          <w:rFonts w:ascii="Times New Roman" w:eastAsia="Calibri" w:hAnsi="Times New Roman" w:cs="Calibri"/>
          <w:sz w:val="16"/>
          <w:szCs w:val="16"/>
        </w:rPr>
        <w:t>6120</w:t>
      </w:r>
      <w:r w:rsidR="006D4A8A" w:rsidRPr="00C35C4A">
        <w:rPr>
          <w:rFonts w:ascii="Times New Roman" w:eastAsia="Calibri" w:hAnsi="Times New Roman" w:cs="Calibri"/>
          <w:sz w:val="16"/>
          <w:szCs w:val="16"/>
        </w:rPr>
        <w:t xml:space="preserve">* </w:t>
      </w:r>
      <w:r w:rsidR="006D4A8A" w:rsidRPr="00C35C4A">
        <w:rPr>
          <w:rFonts w:ascii="Times New Roman" w:eastAsia="Calibri" w:hAnsi="Times New Roman" w:cs="Calibri"/>
          <w:i/>
          <w:iCs/>
          <w:sz w:val="16"/>
          <w:szCs w:val="16"/>
        </w:rPr>
        <w:t>Smiltāju zālāji</w:t>
      </w:r>
      <w:r w:rsidR="006D4A8A" w:rsidRPr="00C35C4A">
        <w:rPr>
          <w:rFonts w:ascii="Times New Roman" w:eastAsia="Calibri" w:hAnsi="Times New Roman" w:cs="Calibri"/>
          <w:sz w:val="16"/>
          <w:szCs w:val="16"/>
        </w:rPr>
        <w:t xml:space="preserve">, 6210 </w:t>
      </w:r>
      <w:r w:rsidR="003B69F6" w:rsidRPr="00C35C4A">
        <w:rPr>
          <w:rFonts w:ascii="Times New Roman" w:eastAsia="Calibri" w:hAnsi="Times New Roman" w:cs="Calibri"/>
          <w:i/>
          <w:iCs/>
          <w:sz w:val="16"/>
          <w:szCs w:val="16"/>
        </w:rPr>
        <w:t>Sausi zālāji kaļķainās augsnēs</w:t>
      </w:r>
      <w:r w:rsidR="003B69F6" w:rsidRPr="00C35C4A">
        <w:rPr>
          <w:rFonts w:ascii="Times New Roman" w:eastAsia="Calibri" w:hAnsi="Times New Roman" w:cs="Calibri"/>
          <w:sz w:val="16"/>
          <w:szCs w:val="16"/>
        </w:rPr>
        <w:t xml:space="preserve">, 6270* </w:t>
      </w:r>
      <w:r w:rsidR="005F3EE5" w:rsidRPr="00C35C4A">
        <w:rPr>
          <w:rFonts w:ascii="Times New Roman" w:eastAsia="Calibri" w:hAnsi="Times New Roman" w:cs="Calibri"/>
          <w:i/>
          <w:iCs/>
          <w:sz w:val="16"/>
          <w:szCs w:val="16"/>
        </w:rPr>
        <w:t>Sugām bagātas ganības un ganītas pļavas</w:t>
      </w:r>
      <w:r w:rsidR="005F3EE5" w:rsidRPr="00C35C4A">
        <w:rPr>
          <w:rFonts w:ascii="Times New Roman" w:eastAsia="Calibri" w:hAnsi="Times New Roman" w:cs="Calibri"/>
          <w:sz w:val="16"/>
          <w:szCs w:val="16"/>
        </w:rPr>
        <w:t xml:space="preserve">, 6410 </w:t>
      </w:r>
      <w:r w:rsidR="005F3EE5" w:rsidRPr="00C35C4A">
        <w:rPr>
          <w:rFonts w:ascii="Times New Roman" w:eastAsia="Calibri" w:hAnsi="Times New Roman" w:cs="Calibri"/>
          <w:i/>
          <w:iCs/>
          <w:sz w:val="16"/>
          <w:szCs w:val="16"/>
        </w:rPr>
        <w:t>Mitri zālāji</w:t>
      </w:r>
      <w:r w:rsidR="00BA6573" w:rsidRPr="00C35C4A">
        <w:rPr>
          <w:rFonts w:ascii="Times New Roman" w:eastAsia="Calibri" w:hAnsi="Times New Roman" w:cs="Calibri"/>
          <w:i/>
          <w:iCs/>
          <w:sz w:val="16"/>
          <w:szCs w:val="16"/>
        </w:rPr>
        <w:t xml:space="preserve"> periodiski izžūstošās augsnēs</w:t>
      </w:r>
      <w:r w:rsidR="00BA6573" w:rsidRPr="00C35C4A">
        <w:rPr>
          <w:rFonts w:ascii="Times New Roman" w:eastAsia="Calibri" w:hAnsi="Times New Roman" w:cs="Calibri"/>
          <w:sz w:val="16"/>
          <w:szCs w:val="16"/>
        </w:rPr>
        <w:t xml:space="preserve">, 6430 </w:t>
      </w:r>
      <w:proofErr w:type="spellStart"/>
      <w:r w:rsidR="00BA6573" w:rsidRPr="00C35C4A">
        <w:rPr>
          <w:rFonts w:ascii="Times New Roman" w:eastAsia="Calibri" w:hAnsi="Times New Roman" w:cs="Calibri"/>
          <w:i/>
          <w:iCs/>
          <w:sz w:val="16"/>
          <w:szCs w:val="16"/>
        </w:rPr>
        <w:t>Eitrofas</w:t>
      </w:r>
      <w:proofErr w:type="spellEnd"/>
      <w:r w:rsidR="00BA6573" w:rsidRPr="00C35C4A">
        <w:rPr>
          <w:rFonts w:ascii="Times New Roman" w:eastAsia="Calibri" w:hAnsi="Times New Roman" w:cs="Calibri"/>
          <w:i/>
          <w:iCs/>
          <w:sz w:val="16"/>
          <w:szCs w:val="16"/>
        </w:rPr>
        <w:t xml:space="preserve"> augsto lakstaugu</w:t>
      </w:r>
      <w:r w:rsidR="007E2E06" w:rsidRPr="00C35C4A">
        <w:rPr>
          <w:rFonts w:ascii="Times New Roman" w:eastAsia="Calibri" w:hAnsi="Times New Roman" w:cs="Calibri"/>
          <w:i/>
          <w:iCs/>
          <w:sz w:val="16"/>
          <w:szCs w:val="16"/>
        </w:rPr>
        <w:t xml:space="preserve"> audzes</w:t>
      </w:r>
      <w:r w:rsidR="007E2E06" w:rsidRPr="00C35C4A">
        <w:rPr>
          <w:rFonts w:ascii="Times New Roman" w:eastAsia="Calibri" w:hAnsi="Times New Roman" w:cs="Calibri"/>
          <w:sz w:val="16"/>
          <w:szCs w:val="16"/>
        </w:rPr>
        <w:t xml:space="preserve">, 6450 </w:t>
      </w:r>
      <w:r w:rsidR="007E2E06" w:rsidRPr="00C35C4A">
        <w:rPr>
          <w:rFonts w:ascii="Times New Roman" w:eastAsia="Calibri" w:hAnsi="Times New Roman" w:cs="Calibri"/>
          <w:i/>
          <w:iCs/>
          <w:sz w:val="16"/>
          <w:szCs w:val="16"/>
        </w:rPr>
        <w:t>Palieņu zālāji</w:t>
      </w:r>
      <w:r w:rsidR="007E2E06" w:rsidRPr="00C35C4A">
        <w:rPr>
          <w:rFonts w:ascii="Times New Roman" w:eastAsia="Calibri" w:hAnsi="Times New Roman" w:cs="Calibri"/>
          <w:sz w:val="16"/>
          <w:szCs w:val="16"/>
        </w:rPr>
        <w:t xml:space="preserve">, 6510 </w:t>
      </w:r>
      <w:r w:rsidR="007E2E06" w:rsidRPr="00C35C4A">
        <w:rPr>
          <w:rFonts w:ascii="Times New Roman" w:eastAsia="Calibri" w:hAnsi="Times New Roman" w:cs="Calibri"/>
          <w:i/>
          <w:iCs/>
          <w:sz w:val="16"/>
          <w:szCs w:val="16"/>
        </w:rPr>
        <w:t>Mēreni mitras pļavas</w:t>
      </w:r>
      <w:r w:rsidR="007E2E06" w:rsidRPr="00C35C4A">
        <w:rPr>
          <w:rFonts w:ascii="Times New Roman" w:eastAsia="Calibri" w:hAnsi="Times New Roman" w:cs="Calibri"/>
          <w:sz w:val="16"/>
          <w:szCs w:val="16"/>
        </w:rPr>
        <w:t xml:space="preserve">, </w:t>
      </w:r>
      <w:r w:rsidR="00FA1A0E" w:rsidRPr="00C35C4A">
        <w:rPr>
          <w:rFonts w:ascii="Times New Roman" w:eastAsia="Calibri" w:hAnsi="Times New Roman" w:cs="Calibri"/>
          <w:sz w:val="16"/>
          <w:szCs w:val="16"/>
        </w:rPr>
        <w:t xml:space="preserve">9010* </w:t>
      </w:r>
      <w:r w:rsidR="00FA1A0E" w:rsidRPr="00C35C4A">
        <w:rPr>
          <w:rFonts w:ascii="Times New Roman" w:eastAsia="Calibri" w:hAnsi="Times New Roman" w:cs="Calibri"/>
          <w:i/>
          <w:iCs/>
          <w:sz w:val="16"/>
          <w:szCs w:val="16"/>
        </w:rPr>
        <w:t xml:space="preserve">Veci vai dabiski </w:t>
      </w:r>
      <w:proofErr w:type="spellStart"/>
      <w:r w:rsidR="00FA1A0E" w:rsidRPr="00C35C4A">
        <w:rPr>
          <w:rFonts w:ascii="Times New Roman" w:eastAsia="Calibri" w:hAnsi="Times New Roman" w:cs="Calibri"/>
          <w:i/>
          <w:iCs/>
          <w:sz w:val="16"/>
          <w:szCs w:val="16"/>
        </w:rPr>
        <w:t>boreāli</w:t>
      </w:r>
      <w:proofErr w:type="spellEnd"/>
      <w:r w:rsidR="00FA1A0E" w:rsidRPr="00C35C4A">
        <w:rPr>
          <w:rFonts w:ascii="Times New Roman" w:eastAsia="Calibri" w:hAnsi="Times New Roman" w:cs="Calibri"/>
          <w:i/>
          <w:iCs/>
          <w:sz w:val="16"/>
          <w:szCs w:val="16"/>
        </w:rPr>
        <w:t xml:space="preserve"> meži</w:t>
      </w:r>
      <w:r w:rsidR="00FA1A0E" w:rsidRPr="00C35C4A">
        <w:rPr>
          <w:rFonts w:ascii="Times New Roman" w:eastAsia="Calibri" w:hAnsi="Times New Roman" w:cs="Calibri"/>
          <w:sz w:val="16"/>
          <w:szCs w:val="16"/>
        </w:rPr>
        <w:t xml:space="preserve">, 9020* </w:t>
      </w:r>
      <w:r w:rsidR="00D668B4" w:rsidRPr="00C35C4A">
        <w:rPr>
          <w:rFonts w:ascii="Times New Roman" w:eastAsia="Calibri" w:hAnsi="Times New Roman" w:cs="Calibri"/>
          <w:i/>
          <w:iCs/>
          <w:sz w:val="16"/>
          <w:szCs w:val="16"/>
        </w:rPr>
        <w:t>Veci jaukti platlapju meži</w:t>
      </w:r>
      <w:r w:rsidR="00D668B4" w:rsidRPr="00C35C4A">
        <w:rPr>
          <w:rFonts w:ascii="Times New Roman" w:eastAsia="Calibri" w:hAnsi="Times New Roman" w:cs="Calibri"/>
          <w:sz w:val="16"/>
          <w:szCs w:val="16"/>
        </w:rPr>
        <w:t xml:space="preserve">, 9050 </w:t>
      </w:r>
      <w:r w:rsidR="0071648E" w:rsidRPr="00C35C4A">
        <w:rPr>
          <w:rFonts w:ascii="Times New Roman" w:eastAsia="Calibri" w:hAnsi="Times New Roman" w:cs="Calibri"/>
          <w:i/>
          <w:sz w:val="16"/>
          <w:szCs w:val="16"/>
        </w:rPr>
        <w:t>Lakstaugiem bagāti egļu meži</w:t>
      </w:r>
      <w:r w:rsidR="00751176" w:rsidRPr="00C35C4A">
        <w:rPr>
          <w:rFonts w:ascii="Times New Roman" w:eastAsia="Calibri" w:hAnsi="Times New Roman" w:cs="Calibri"/>
          <w:sz w:val="16"/>
          <w:szCs w:val="16"/>
        </w:rPr>
        <w:t xml:space="preserve">, 9080* </w:t>
      </w:r>
      <w:r w:rsidR="00751176" w:rsidRPr="00C35C4A">
        <w:rPr>
          <w:rFonts w:ascii="Times New Roman" w:eastAsia="Calibri" w:hAnsi="Times New Roman" w:cs="Calibri"/>
          <w:i/>
          <w:iCs/>
          <w:sz w:val="16"/>
          <w:szCs w:val="16"/>
        </w:rPr>
        <w:t>Nogāžu un gravu meži</w:t>
      </w:r>
      <w:r w:rsidR="00751176" w:rsidRPr="00C35C4A">
        <w:rPr>
          <w:rFonts w:ascii="Times New Roman" w:eastAsia="Calibri" w:hAnsi="Times New Roman" w:cs="Calibri"/>
          <w:sz w:val="16"/>
          <w:szCs w:val="16"/>
        </w:rPr>
        <w:t xml:space="preserve">, </w:t>
      </w:r>
      <w:r w:rsidR="00670980" w:rsidRPr="00C35C4A">
        <w:rPr>
          <w:rFonts w:ascii="Times New Roman" w:eastAsia="Calibri" w:hAnsi="Times New Roman" w:cs="Calibri"/>
          <w:sz w:val="16"/>
          <w:szCs w:val="16"/>
        </w:rPr>
        <w:t xml:space="preserve">9160 </w:t>
      </w:r>
      <w:r w:rsidR="00670980" w:rsidRPr="00C35C4A">
        <w:rPr>
          <w:rFonts w:ascii="Times New Roman" w:eastAsia="Calibri" w:hAnsi="Times New Roman" w:cs="Calibri"/>
          <w:i/>
          <w:iCs/>
          <w:sz w:val="16"/>
          <w:szCs w:val="16"/>
        </w:rPr>
        <w:t>Ozolu meži (ozolu, liepu un skābaržu meži)</w:t>
      </w:r>
      <w:r w:rsidR="00670980" w:rsidRPr="00C35C4A">
        <w:rPr>
          <w:rFonts w:ascii="Times New Roman" w:eastAsia="Calibri" w:hAnsi="Times New Roman" w:cs="Calibri"/>
          <w:sz w:val="16"/>
          <w:szCs w:val="16"/>
        </w:rPr>
        <w:t xml:space="preserve">, </w:t>
      </w:r>
      <w:r w:rsidR="00153AF1" w:rsidRPr="00C35C4A">
        <w:rPr>
          <w:rFonts w:ascii="Times New Roman" w:eastAsia="Calibri" w:hAnsi="Times New Roman" w:cs="Calibri"/>
          <w:sz w:val="16"/>
          <w:szCs w:val="16"/>
        </w:rPr>
        <w:t xml:space="preserve">91D0* </w:t>
      </w:r>
      <w:r w:rsidR="00153AF1" w:rsidRPr="00C35C4A">
        <w:rPr>
          <w:rFonts w:ascii="Times New Roman" w:eastAsia="Calibri" w:hAnsi="Times New Roman" w:cs="Calibri"/>
          <w:i/>
          <w:iCs/>
          <w:sz w:val="16"/>
          <w:szCs w:val="16"/>
        </w:rPr>
        <w:t>Purvaini meži</w:t>
      </w:r>
      <w:r w:rsidR="00153AF1" w:rsidRPr="00C35C4A">
        <w:rPr>
          <w:rFonts w:ascii="Times New Roman" w:eastAsia="Calibri" w:hAnsi="Times New Roman" w:cs="Calibri"/>
          <w:sz w:val="16"/>
          <w:szCs w:val="16"/>
        </w:rPr>
        <w:t>.</w:t>
      </w:r>
    </w:p>
    <w:p w14:paraId="3DFC897F" w14:textId="2792EF07" w:rsidR="004E015D" w:rsidRPr="00A07F29" w:rsidRDefault="004E015D" w:rsidP="009072CE">
      <w:pPr>
        <w:spacing w:after="120"/>
        <w:jc w:val="both"/>
        <w:rPr>
          <w:rFonts w:ascii="Times New Roman" w:eastAsia="Calibri" w:hAnsi="Times New Roman" w:cs="Calibri"/>
          <w:sz w:val="24"/>
        </w:rPr>
      </w:pPr>
    </w:p>
    <w:p w14:paraId="3E463F7B" w14:textId="74051CCA" w:rsidR="009072CE" w:rsidRPr="00A07F29" w:rsidRDefault="009072CE" w:rsidP="004E015D">
      <w:pPr>
        <w:pStyle w:val="Heading2"/>
        <w:spacing w:before="120" w:after="120"/>
        <w:ind w:firstLine="0"/>
        <w:jc w:val="center"/>
        <w:rPr>
          <w:rFonts w:ascii="Times New Roman" w:hAnsi="Times New Roman"/>
          <w:b w:val="0"/>
          <w:iCs w:val="0"/>
        </w:rPr>
      </w:pPr>
      <w:bookmarkStart w:id="36" w:name="_Toc183433992"/>
      <w:r w:rsidRPr="00A07F29">
        <w:rPr>
          <w:rFonts w:ascii="Times New Roman" w:hAnsi="Times New Roman"/>
          <w:i w:val="0"/>
        </w:rPr>
        <w:t>3.8. Pašreizējā un paredzamā antropogēnā slodze uz teritoriju</w:t>
      </w:r>
      <w:bookmarkEnd w:id="36"/>
    </w:p>
    <w:p w14:paraId="6A8561B1" w14:textId="77777777" w:rsidR="008603A4" w:rsidRPr="00A07F29" w:rsidRDefault="009072CE" w:rsidP="00365EA9">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Antropogēno slodzi rada teritorijas saimnieciskā izmantošana un apmeklēšana, kā arī potenciālais un esošais piesārņojums.</w:t>
      </w:r>
    </w:p>
    <w:p w14:paraId="1D2B1BDC" w14:textId="77777777" w:rsidR="008603A4" w:rsidRPr="00A07F29" w:rsidRDefault="009072CE" w:rsidP="00365EA9">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Tā kā visā AAA </w:t>
      </w:r>
      <w:r w:rsidR="00E5025A" w:rsidRPr="00A07F29">
        <w:rPr>
          <w:rFonts w:ascii="Times New Roman" w:eastAsia="Calibri" w:hAnsi="Times New Roman" w:cs="Calibri"/>
          <w:sz w:val="24"/>
        </w:rPr>
        <w:t xml:space="preserve">“Augšdaugava” </w:t>
      </w:r>
      <w:r w:rsidRPr="00A07F29">
        <w:rPr>
          <w:rFonts w:ascii="Times New Roman" w:eastAsia="Calibri" w:hAnsi="Times New Roman" w:cs="Calibri"/>
          <w:sz w:val="24"/>
        </w:rPr>
        <w:t xml:space="preserve">teritorijā, izņemot </w:t>
      </w:r>
      <w:r w:rsidR="00BF0E06" w:rsidRPr="00A07F29">
        <w:rPr>
          <w:rFonts w:ascii="Times New Roman" w:eastAsia="Calibri" w:hAnsi="Times New Roman" w:cs="Calibri"/>
          <w:sz w:val="24"/>
        </w:rPr>
        <w:t>DP</w:t>
      </w:r>
      <w:r w:rsidR="00E5025A" w:rsidRPr="00A07F29">
        <w:rPr>
          <w:rFonts w:ascii="Times New Roman" w:eastAsia="Calibri" w:hAnsi="Times New Roman" w:cs="Calibri"/>
          <w:sz w:val="24"/>
        </w:rPr>
        <w:t xml:space="preserve"> “Daugavas loki”</w:t>
      </w:r>
      <w:r w:rsidRPr="00A07F29">
        <w:rPr>
          <w:rFonts w:ascii="Times New Roman" w:eastAsia="Calibri" w:hAnsi="Times New Roman" w:cs="Calibri"/>
          <w:sz w:val="24"/>
        </w:rPr>
        <w:t>, mikroliegumus un dabas pieminekļus, ir atļauta jebkāda mežsaimnieciskā darbība, tai skaitā kailcirte, notiek mežizstrāde, kas pēc intensitātes ir salīdzināma ar saimnieciskajiem mežiem ārpus ĪADT.</w:t>
      </w:r>
    </w:p>
    <w:p w14:paraId="05959854" w14:textId="4964D8C9" w:rsidR="008603A4" w:rsidRPr="00A07F29" w:rsidRDefault="009072CE" w:rsidP="00365EA9">
      <w:pPr>
        <w:spacing w:after="120" w:line="240" w:lineRule="auto"/>
        <w:ind w:firstLine="851"/>
        <w:jc w:val="both"/>
        <w:rPr>
          <w:rFonts w:ascii="Times New Roman" w:eastAsia="Calibri" w:hAnsi="Times New Roman" w:cs="Calibri"/>
          <w:sz w:val="24"/>
          <w:lang w:eastAsia="ja-JP"/>
        </w:rPr>
      </w:pPr>
      <w:r w:rsidRPr="00A07F29">
        <w:rPr>
          <w:rFonts w:ascii="Times New Roman" w:eastAsia="Calibri" w:hAnsi="Times New Roman" w:cs="Calibri"/>
          <w:sz w:val="24"/>
        </w:rPr>
        <w:t>AAA</w:t>
      </w:r>
      <w:r w:rsidR="001E7C5B" w:rsidRPr="00A07F29">
        <w:rPr>
          <w:rFonts w:ascii="Times New Roman" w:eastAsia="Calibri" w:hAnsi="Times New Roman" w:cs="Calibri"/>
          <w:sz w:val="24"/>
        </w:rPr>
        <w:t xml:space="preserve"> </w:t>
      </w:r>
      <w:bookmarkStart w:id="37" w:name="_Hlk60424522"/>
      <w:r w:rsidR="001E7C5B" w:rsidRPr="00A07F29">
        <w:rPr>
          <w:rFonts w:ascii="Times New Roman" w:eastAsia="Calibri" w:hAnsi="Times New Roman" w:cs="Calibri"/>
          <w:sz w:val="24"/>
        </w:rPr>
        <w:t>“Augšdaugava”</w:t>
      </w:r>
      <w:bookmarkEnd w:id="37"/>
      <w:r w:rsidRPr="00A07F29">
        <w:rPr>
          <w:rFonts w:ascii="Times New Roman" w:eastAsia="Calibri" w:hAnsi="Times New Roman" w:cs="Calibri"/>
          <w:sz w:val="24"/>
        </w:rPr>
        <w:t xml:space="preserve"> teritorijā atrodas vairākas apdzīvotas vietas, tai skaitā daļa Krāslavas pilsētas, kas var radīt zināmu piesārņojuma risku, ja netiks sekots notekūdeņu attīrīšanai un gaisa piesārņojumam.</w:t>
      </w:r>
    </w:p>
    <w:p w14:paraId="28C0B6F2" w14:textId="159F250B" w:rsidR="008603A4" w:rsidRPr="00A07F29" w:rsidRDefault="008603A4" w:rsidP="00365EA9">
      <w:pPr>
        <w:spacing w:after="120" w:line="240" w:lineRule="auto"/>
        <w:ind w:firstLine="851"/>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AAA “Augšdaugava” teritorijā notiek organizēta atkritumu apsaimniekošana. Atkritumi tiek savākti visos ciemos, kur ir uzstādīti arī šķirošanas konteineri. Kopš DP “Daugavas loki” DA plāna izstrādes 2010.</w:t>
      </w:r>
      <w:r w:rsidR="00DC32BD" w:rsidRPr="00A07F29">
        <w:rPr>
          <w:rFonts w:ascii="Times New Roman" w:eastAsia="Calibri" w:hAnsi="Times New Roman" w:cs="Calibri"/>
          <w:sz w:val="24"/>
          <w:lang w:eastAsia="ja-JP"/>
        </w:rPr>
        <w:t> </w:t>
      </w:r>
      <w:r w:rsidRPr="00A07F29">
        <w:rPr>
          <w:rFonts w:ascii="Times New Roman" w:eastAsia="Calibri" w:hAnsi="Times New Roman" w:cs="Calibri"/>
          <w:sz w:val="24"/>
          <w:lang w:eastAsia="ja-JP"/>
        </w:rPr>
        <w:t xml:space="preserve">gadā, ir ievērojami uzlabojusies Daugavpils novada sadzīves atkritumu apsaimniekošana. Naujenes pagastā līgumi noslēgti ar 42 juridiskām personām un 243 mājsaimniecībām, Salienas pagastā – attiecīgi ar </w:t>
      </w:r>
      <w:r w:rsidR="007368B4" w:rsidRPr="00A07F29">
        <w:rPr>
          <w:rFonts w:ascii="Times New Roman" w:eastAsia="Calibri" w:hAnsi="Times New Roman" w:cs="Calibri"/>
          <w:sz w:val="24"/>
          <w:lang w:eastAsia="ja-JP"/>
        </w:rPr>
        <w:t>trīs</w:t>
      </w:r>
      <w:r w:rsidRPr="00A07F29">
        <w:rPr>
          <w:rFonts w:ascii="Times New Roman" w:eastAsia="Calibri" w:hAnsi="Times New Roman" w:cs="Calibri"/>
          <w:sz w:val="24"/>
          <w:lang w:eastAsia="ja-JP"/>
        </w:rPr>
        <w:t xml:space="preserve"> un 86, Tabores pagastā – </w:t>
      </w:r>
      <w:r w:rsidR="007368B4" w:rsidRPr="00A07F29">
        <w:rPr>
          <w:rFonts w:ascii="Times New Roman" w:eastAsia="Calibri" w:hAnsi="Times New Roman" w:cs="Calibri"/>
          <w:sz w:val="24"/>
          <w:lang w:eastAsia="ja-JP"/>
        </w:rPr>
        <w:t>sešām</w:t>
      </w:r>
      <w:r w:rsidRPr="00A07F29">
        <w:rPr>
          <w:rFonts w:ascii="Times New Roman" w:eastAsia="Calibri" w:hAnsi="Times New Roman" w:cs="Calibri"/>
          <w:sz w:val="24"/>
          <w:lang w:eastAsia="ja-JP"/>
        </w:rPr>
        <w:t xml:space="preserve"> un 155, Vecsalienas pagastā – </w:t>
      </w:r>
      <w:r w:rsidR="007368B4" w:rsidRPr="00A07F29">
        <w:rPr>
          <w:rFonts w:ascii="Times New Roman" w:eastAsia="Calibri" w:hAnsi="Times New Roman" w:cs="Calibri"/>
          <w:sz w:val="24"/>
          <w:lang w:eastAsia="ja-JP"/>
        </w:rPr>
        <w:t>piecām</w:t>
      </w:r>
      <w:r w:rsidRPr="00A07F29">
        <w:rPr>
          <w:rFonts w:ascii="Times New Roman" w:eastAsia="Calibri" w:hAnsi="Times New Roman" w:cs="Calibri"/>
          <w:sz w:val="24"/>
          <w:lang w:eastAsia="ja-JP"/>
        </w:rPr>
        <w:t xml:space="preserve"> un 44, kā arī ar katru gadu pieaug savākto atkritumu apjoms šajos pagastos. Tomēr joprojām no visām viensētām netiek veikta sadzīves atkritumu savākšana. Nav iespējams nodrošināt viensētu notekūdeņu attīrīšanu, līdz ar to </w:t>
      </w:r>
      <w:r w:rsidRPr="00A07F29">
        <w:rPr>
          <w:rFonts w:ascii="Times New Roman" w:eastAsia="Calibri" w:hAnsi="Times New Roman" w:cs="Calibri"/>
          <w:sz w:val="24"/>
          <w:lang w:eastAsia="ja-JP"/>
        </w:rPr>
        <w:lastRenderedPageBreak/>
        <w:t xml:space="preserve">saglabājas virszemes un pazemes ūdeņu piesārņojuma risks no viensētu notekūdeņiem. AAA “Augšdaugava” iedzīvotāji un apmeklētāji, tai skaitā no Daugavpils un Krāslavas pilsētām, mežos, ceļmalās un citās vietās izmet sadzīves atkritumus un </w:t>
      </w:r>
      <w:proofErr w:type="spellStart"/>
      <w:r w:rsidRPr="00A07F29">
        <w:rPr>
          <w:rFonts w:ascii="Times New Roman" w:eastAsia="Calibri" w:hAnsi="Times New Roman" w:cs="Calibri"/>
          <w:sz w:val="24"/>
          <w:lang w:eastAsia="ja-JP"/>
        </w:rPr>
        <w:t>lielgabarīta</w:t>
      </w:r>
      <w:proofErr w:type="spellEnd"/>
      <w:r w:rsidRPr="00A07F29">
        <w:rPr>
          <w:rFonts w:ascii="Times New Roman" w:eastAsia="Calibri" w:hAnsi="Times New Roman" w:cs="Calibri"/>
          <w:sz w:val="24"/>
          <w:lang w:eastAsia="ja-JP"/>
        </w:rPr>
        <w:t xml:space="preserve"> atkritumus, kas ir papildu apgrūtinājums un izmaksas teritorijas </w:t>
      </w:r>
      <w:proofErr w:type="spellStart"/>
      <w:r w:rsidRPr="00A07F29">
        <w:rPr>
          <w:rFonts w:ascii="Times New Roman" w:eastAsia="Calibri" w:hAnsi="Times New Roman" w:cs="Calibri"/>
          <w:sz w:val="24"/>
          <w:lang w:eastAsia="ja-JP"/>
        </w:rPr>
        <w:t>apsaimniekotājiem</w:t>
      </w:r>
      <w:proofErr w:type="spellEnd"/>
      <w:r w:rsidRPr="00A07F29">
        <w:rPr>
          <w:rFonts w:ascii="Times New Roman" w:eastAsia="Calibri" w:hAnsi="Times New Roman" w:cs="Calibri"/>
          <w:sz w:val="24"/>
          <w:lang w:eastAsia="ja-JP"/>
        </w:rPr>
        <w:t xml:space="preserve">. </w:t>
      </w:r>
    </w:p>
    <w:p w14:paraId="20C19B6F" w14:textId="2B4FED1C" w:rsidR="009072CE" w:rsidRPr="00A07F29" w:rsidRDefault="009072CE" w:rsidP="00365EA9">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AAA </w:t>
      </w:r>
      <w:r w:rsidR="001E7C5B" w:rsidRPr="00A07F29">
        <w:rPr>
          <w:rFonts w:ascii="Times New Roman" w:eastAsia="Calibri" w:hAnsi="Times New Roman" w:cs="Calibri"/>
          <w:sz w:val="24"/>
        </w:rPr>
        <w:t xml:space="preserve">“Augšdaugava” </w:t>
      </w:r>
      <w:r w:rsidRPr="00A07F29">
        <w:rPr>
          <w:rFonts w:ascii="Times New Roman" w:eastAsia="Calibri" w:hAnsi="Times New Roman" w:cs="Calibri"/>
          <w:sz w:val="24"/>
        </w:rPr>
        <w:t xml:space="preserve">teritorijā atrodas atsevišķi rūpniecības objekti – pārtikas un kokapstrādes ražotnes. </w:t>
      </w:r>
    </w:p>
    <w:p w14:paraId="3E74B369" w14:textId="231DDD34" w:rsidR="009072CE" w:rsidRPr="00A07F29" w:rsidRDefault="009072CE" w:rsidP="00365EA9">
      <w:pPr>
        <w:spacing w:after="120" w:line="240" w:lineRule="auto"/>
        <w:ind w:firstLine="851"/>
        <w:jc w:val="both"/>
        <w:rPr>
          <w:rFonts w:ascii="Times New Roman" w:eastAsia="Calibri" w:hAnsi="Times New Roman" w:cs="Calibri"/>
          <w:sz w:val="24"/>
          <w:lang w:eastAsia="ja-JP"/>
        </w:rPr>
      </w:pPr>
      <w:r w:rsidRPr="00A07F29">
        <w:rPr>
          <w:rFonts w:ascii="Times New Roman" w:eastAsia="Calibri" w:hAnsi="Times New Roman" w:cs="Calibri"/>
          <w:sz w:val="24"/>
        </w:rPr>
        <w:t>Teritorija ir salīdzinoši bagāta ar derīgajiem izrakteņiem</w:t>
      </w:r>
      <w:r w:rsidRPr="00A07F29">
        <w:rPr>
          <w:rFonts w:ascii="Times New Roman" w:eastAsia="Calibri" w:hAnsi="Times New Roman" w:cs="Calibri"/>
          <w:sz w:val="24"/>
          <w:lang w:eastAsia="ja-JP"/>
        </w:rPr>
        <w:t xml:space="preserve">, un zemes īpašnieki </w:t>
      </w:r>
      <w:r w:rsidR="00F60022" w:rsidRPr="00A07F29">
        <w:rPr>
          <w:rFonts w:ascii="Times New Roman" w:eastAsia="Calibri" w:hAnsi="Times New Roman" w:cs="Calibri"/>
          <w:sz w:val="24"/>
          <w:lang w:eastAsia="ja-JP"/>
        </w:rPr>
        <w:t>ir ieinteresēti</w:t>
      </w:r>
      <w:r w:rsidRPr="00A07F29">
        <w:rPr>
          <w:rFonts w:ascii="Times New Roman" w:eastAsia="Calibri" w:hAnsi="Times New Roman" w:cs="Calibri"/>
          <w:sz w:val="24"/>
          <w:lang w:eastAsia="ja-JP"/>
        </w:rPr>
        <w:t xml:space="preserve"> izstrādāt karjerus, </w:t>
      </w:r>
      <w:r w:rsidR="00F60022" w:rsidRPr="00A07F29">
        <w:rPr>
          <w:rFonts w:ascii="Times New Roman" w:eastAsia="Calibri" w:hAnsi="Times New Roman" w:cs="Calibri"/>
          <w:sz w:val="24"/>
          <w:lang w:eastAsia="ja-JP"/>
        </w:rPr>
        <w:t xml:space="preserve">tostarp </w:t>
      </w:r>
      <w:r w:rsidRPr="00A07F29">
        <w:rPr>
          <w:rFonts w:ascii="Times New Roman" w:eastAsia="Calibri" w:hAnsi="Times New Roman" w:cs="Calibri"/>
          <w:sz w:val="24"/>
          <w:lang w:eastAsia="ja-JP"/>
        </w:rPr>
        <w:t xml:space="preserve">arī </w:t>
      </w:r>
      <w:r w:rsidR="00F60022" w:rsidRPr="00A07F29">
        <w:rPr>
          <w:rFonts w:ascii="Times New Roman" w:eastAsia="Calibri" w:hAnsi="Times New Roman" w:cs="Calibri"/>
          <w:sz w:val="24"/>
          <w:lang w:eastAsia="ja-JP"/>
        </w:rPr>
        <w:t xml:space="preserve">jaunās </w:t>
      </w:r>
      <w:r w:rsidRPr="00A07F29">
        <w:rPr>
          <w:rFonts w:ascii="Times New Roman" w:eastAsia="Calibri" w:hAnsi="Times New Roman" w:cs="Calibri"/>
          <w:sz w:val="24"/>
          <w:lang w:eastAsia="ja-JP"/>
        </w:rPr>
        <w:t xml:space="preserve">teritorijās, </w:t>
      </w:r>
      <w:r w:rsidR="00F60022" w:rsidRPr="00A07F29">
        <w:rPr>
          <w:rFonts w:ascii="Times New Roman" w:eastAsia="Calibri" w:hAnsi="Times New Roman" w:cs="Calibri"/>
          <w:sz w:val="24"/>
          <w:lang w:eastAsia="ja-JP"/>
        </w:rPr>
        <w:t>kas</w:t>
      </w:r>
      <w:r w:rsidRPr="00A07F29">
        <w:rPr>
          <w:rFonts w:ascii="Times New Roman" w:eastAsia="Calibri" w:hAnsi="Times New Roman" w:cs="Calibri"/>
          <w:sz w:val="24"/>
          <w:lang w:eastAsia="ja-JP"/>
        </w:rPr>
        <w:t xml:space="preserve"> </w:t>
      </w:r>
      <w:r w:rsidR="00F60022" w:rsidRPr="00A07F29">
        <w:rPr>
          <w:rFonts w:ascii="Times New Roman" w:eastAsia="Calibri" w:hAnsi="Times New Roman" w:cs="Calibri"/>
          <w:sz w:val="24"/>
          <w:lang w:eastAsia="ja-JP"/>
        </w:rPr>
        <w:t>var izraisīt</w:t>
      </w:r>
      <w:r w:rsidRPr="00A07F29">
        <w:rPr>
          <w:rFonts w:ascii="Times New Roman" w:eastAsia="Calibri" w:hAnsi="Times New Roman" w:cs="Calibri"/>
          <w:sz w:val="24"/>
          <w:lang w:eastAsia="ja-JP"/>
        </w:rPr>
        <w:t xml:space="preserve"> ainavu </w:t>
      </w:r>
      <w:r w:rsidR="00F60022" w:rsidRPr="00A07F29">
        <w:rPr>
          <w:rFonts w:ascii="Times New Roman" w:eastAsia="Calibri" w:hAnsi="Times New Roman" w:cs="Calibri"/>
          <w:sz w:val="24"/>
          <w:lang w:eastAsia="ja-JP"/>
        </w:rPr>
        <w:t>degradāciju</w:t>
      </w:r>
      <w:r w:rsidRPr="00A07F29">
        <w:rPr>
          <w:rFonts w:ascii="Times New Roman" w:eastAsia="Calibri" w:hAnsi="Times New Roman" w:cs="Calibri"/>
          <w:sz w:val="24"/>
          <w:lang w:eastAsia="ja-JP"/>
        </w:rPr>
        <w:t>. Naujenes un Tabores pagastos ir darbojošies smilts-grants karjeri. Viena no vides riska teritorijām ir plaša daļēji izmantotu karjeru teritorija Tabores pagastā (</w:t>
      </w:r>
      <w:proofErr w:type="spellStart"/>
      <w:r w:rsidRPr="00A07F29">
        <w:rPr>
          <w:rFonts w:ascii="Times New Roman" w:eastAsia="Calibri" w:hAnsi="Times New Roman" w:cs="Calibri"/>
          <w:sz w:val="24"/>
          <w:lang w:eastAsia="ja-JP"/>
        </w:rPr>
        <w:t>Elernes</w:t>
      </w:r>
      <w:proofErr w:type="spellEnd"/>
      <w:r w:rsidRPr="00A07F29">
        <w:rPr>
          <w:rFonts w:ascii="Times New Roman" w:eastAsia="Calibri" w:hAnsi="Times New Roman" w:cs="Calibri"/>
          <w:sz w:val="24"/>
          <w:lang w:eastAsia="ja-JP"/>
        </w:rPr>
        <w:t xml:space="preserve"> loks), kas izveidojusies plānotā Daugavpils HES būvēšanas sagatavošanas laikā pagājušā gad</w:t>
      </w:r>
      <w:r w:rsidR="00E5025A" w:rsidRPr="00A07F29">
        <w:rPr>
          <w:rFonts w:ascii="Times New Roman" w:eastAsia="Calibri" w:hAnsi="Times New Roman" w:cs="Calibri"/>
          <w:sz w:val="24"/>
          <w:lang w:eastAsia="ja-JP"/>
        </w:rPr>
        <w:t>simta</w:t>
      </w:r>
      <w:r w:rsidRPr="00A07F29">
        <w:rPr>
          <w:rFonts w:ascii="Times New Roman" w:eastAsia="Calibri" w:hAnsi="Times New Roman" w:cs="Calibri"/>
          <w:sz w:val="24"/>
          <w:lang w:eastAsia="ja-JP"/>
        </w:rPr>
        <w:t xml:space="preserve"> deviņdesmitajos gados, neierobežoti un maksimāli ātri izmantojot smilts un smilts-grants resursus.</w:t>
      </w:r>
      <w:r w:rsidR="004E7E5E" w:rsidRPr="00A07F29">
        <w:rPr>
          <w:rFonts w:ascii="Times New Roman" w:eastAsia="Calibri" w:hAnsi="Times New Roman" w:cs="Calibri"/>
          <w:sz w:val="24"/>
          <w:lang w:eastAsia="ja-JP"/>
        </w:rPr>
        <w:t xml:space="preserve"> Daļā teritorijas joprojām notiek smilts un smilts-grants izstrāde, p</w:t>
      </w:r>
      <w:r w:rsidRPr="00A07F29">
        <w:rPr>
          <w:rFonts w:ascii="Times New Roman" w:eastAsia="Calibri" w:hAnsi="Times New Roman" w:cs="Calibri"/>
          <w:sz w:val="24"/>
          <w:lang w:eastAsia="ja-JP"/>
        </w:rPr>
        <w:t>ārējās platīb</w:t>
      </w:r>
      <w:r w:rsidR="004E7E5E" w:rsidRPr="00A07F29">
        <w:rPr>
          <w:rFonts w:ascii="Times New Roman" w:eastAsia="Calibri" w:hAnsi="Times New Roman" w:cs="Calibri"/>
          <w:sz w:val="24"/>
          <w:lang w:eastAsia="ja-JP"/>
        </w:rPr>
        <w:t>ā</w:t>
      </w:r>
      <w:r w:rsidRPr="00A07F29">
        <w:rPr>
          <w:rFonts w:ascii="Times New Roman" w:eastAsia="Calibri" w:hAnsi="Times New Roman" w:cs="Calibri"/>
          <w:sz w:val="24"/>
          <w:lang w:eastAsia="ja-JP"/>
        </w:rPr>
        <w:t xml:space="preserve">s </w:t>
      </w:r>
      <w:r w:rsidR="004E7E5E" w:rsidRPr="00A07F29">
        <w:rPr>
          <w:rFonts w:ascii="Times New Roman" w:eastAsia="Calibri" w:hAnsi="Times New Roman" w:cs="Calibri"/>
          <w:sz w:val="24"/>
          <w:lang w:eastAsia="ja-JP"/>
        </w:rPr>
        <w:t>notiek dabiska apmežošanās, izveidojušās atsevišķas ūdenskrātuves un bedrainas, krūmiem aizaugušas teritorijas</w:t>
      </w:r>
      <w:r w:rsidRPr="00A07F29">
        <w:rPr>
          <w:rFonts w:ascii="Times New Roman" w:eastAsia="Calibri" w:hAnsi="Times New Roman" w:cs="Calibri"/>
          <w:sz w:val="24"/>
          <w:lang w:eastAsia="ja-JP"/>
        </w:rPr>
        <w:t>.</w:t>
      </w:r>
    </w:p>
    <w:p w14:paraId="72AAF382" w14:textId="165BD5C6" w:rsidR="009072CE" w:rsidRPr="00A07F29" w:rsidRDefault="009072CE" w:rsidP="00365EA9">
      <w:pPr>
        <w:spacing w:after="120" w:line="240" w:lineRule="auto"/>
        <w:ind w:firstLine="851"/>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 xml:space="preserve">Lielākajā daļā DP “Daugavas loki” teritorijas lauksaimniecības ietekme šobrīd ir neliela, jo nabadzīgās augsnes un daudzviet ūdens trūkums ir šķēršļi intensīvai lauksaimnieciskai darbībai. Tāpat nelielie zemes īpašumi nedod iespēju attīstīt lielas saimniecības. </w:t>
      </w:r>
      <w:r w:rsidR="00365EA9" w:rsidRPr="00A07F29">
        <w:rPr>
          <w:rFonts w:ascii="Times New Roman" w:eastAsia="Calibri" w:hAnsi="Times New Roman" w:cs="Calibri"/>
          <w:sz w:val="24"/>
          <w:lang w:eastAsia="ja-JP"/>
        </w:rPr>
        <w:t xml:space="preserve">Taču </w:t>
      </w:r>
      <w:r w:rsidR="00365EA9" w:rsidRPr="00A07F29">
        <w:rPr>
          <w:rFonts w:ascii="Times New Roman" w:eastAsia="Calibri" w:hAnsi="Times New Roman" w:cs="Calibri"/>
          <w:sz w:val="24"/>
        </w:rPr>
        <w:t xml:space="preserve">AAA “Augšdaugava” </w:t>
      </w:r>
      <w:r w:rsidRPr="00A07F29">
        <w:rPr>
          <w:rFonts w:ascii="Times New Roman" w:eastAsia="Calibri" w:hAnsi="Times New Roman" w:cs="Calibri"/>
          <w:sz w:val="24"/>
          <w:lang w:eastAsia="ja-JP"/>
        </w:rPr>
        <w:t>intensīvi lauksaimniecībā izmanto teritoriju Piedruja-</w:t>
      </w:r>
      <w:proofErr w:type="spellStart"/>
      <w:r w:rsidRPr="00A07F29">
        <w:rPr>
          <w:rFonts w:ascii="Times New Roman" w:eastAsia="Calibri" w:hAnsi="Times New Roman" w:cs="Calibri"/>
          <w:sz w:val="24"/>
          <w:lang w:eastAsia="ja-JP"/>
        </w:rPr>
        <w:t>Lupandi</w:t>
      </w:r>
      <w:proofErr w:type="spellEnd"/>
      <w:r w:rsidRPr="00A07F29">
        <w:rPr>
          <w:rFonts w:ascii="Times New Roman" w:eastAsia="Calibri" w:hAnsi="Times New Roman" w:cs="Calibri"/>
          <w:sz w:val="24"/>
          <w:lang w:eastAsia="ja-JP"/>
        </w:rPr>
        <w:t>-</w:t>
      </w:r>
      <w:proofErr w:type="spellStart"/>
      <w:r w:rsidRPr="00A07F29">
        <w:rPr>
          <w:rFonts w:ascii="Times New Roman" w:eastAsia="Calibri" w:hAnsi="Times New Roman" w:cs="Calibri"/>
          <w:sz w:val="24"/>
          <w:lang w:eastAsia="ja-JP"/>
        </w:rPr>
        <w:t>Pātarnieki</w:t>
      </w:r>
      <w:proofErr w:type="spellEnd"/>
      <w:r w:rsidRPr="00A07F29">
        <w:rPr>
          <w:rFonts w:ascii="Times New Roman" w:eastAsia="Calibri" w:hAnsi="Times New Roman" w:cs="Calibri"/>
          <w:sz w:val="24"/>
          <w:lang w:eastAsia="ja-JP"/>
        </w:rPr>
        <w:t xml:space="preserve">, platības Kalniešu pagastā un pierobežas teritorijas Kaplavas un Salienas pagastos. Kā pozitīvs faktors un attīstības iespēja jāmin lielais bioloģisko lauksaimnieku īpatsvars Vecsalienas un Salienas pagastos, kā arī Ūdrīšu pagasta zemnieku saimniecību </w:t>
      </w:r>
      <w:r w:rsidR="00FA0B3C" w:rsidRPr="00A07F29">
        <w:rPr>
          <w:rFonts w:ascii="Times New Roman" w:eastAsia="Calibri" w:hAnsi="Times New Roman" w:cs="Calibri"/>
          <w:sz w:val="24"/>
          <w:lang w:eastAsia="ja-JP"/>
        </w:rPr>
        <w:t>“</w:t>
      </w:r>
      <w:r w:rsidRPr="00A07F29">
        <w:rPr>
          <w:rFonts w:ascii="Times New Roman" w:eastAsia="Calibri" w:hAnsi="Times New Roman" w:cs="Calibri"/>
          <w:sz w:val="24"/>
          <w:lang w:eastAsia="ja-JP"/>
        </w:rPr>
        <w:t>Kurmīši”, kas audzē ārstniecības augus.</w:t>
      </w:r>
    </w:p>
    <w:p w14:paraId="234CB325" w14:textId="5C7BB1C1" w:rsidR="009072CE" w:rsidRPr="00A07F29" w:rsidRDefault="00365EA9" w:rsidP="00365EA9">
      <w:pPr>
        <w:spacing w:after="0" w:line="240" w:lineRule="auto"/>
        <w:ind w:firstLine="851"/>
        <w:jc w:val="both"/>
        <w:rPr>
          <w:rFonts w:ascii="Times New Roman" w:eastAsia="Calibri" w:hAnsi="Times New Roman" w:cs="Calibri"/>
          <w:sz w:val="24"/>
          <w:lang w:eastAsia="ja-JP"/>
        </w:rPr>
      </w:pPr>
      <w:r w:rsidRPr="00A07F29">
        <w:rPr>
          <w:rFonts w:ascii="Times New Roman" w:eastAsia="Calibri" w:hAnsi="Times New Roman" w:cs="Calibri"/>
          <w:sz w:val="24"/>
        </w:rPr>
        <w:t xml:space="preserve">AAA “Augšdaugava” teritorijā ir Daugavas upe un vairāki ezeri, kuru krastus izmanto atpūtnieki un makšķernieki – šīs vietas ir pakļautas sadzīves atkritumu piesārņojuma un atmirušās koksnes izvākšanas riskam. </w:t>
      </w:r>
      <w:r w:rsidR="009072CE" w:rsidRPr="00A07F29">
        <w:rPr>
          <w:rFonts w:ascii="Times New Roman" w:eastAsia="Calibri" w:hAnsi="Times New Roman" w:cs="Calibri"/>
          <w:sz w:val="24"/>
          <w:lang w:eastAsia="ja-JP"/>
        </w:rPr>
        <w:t>Lielākā tūristu plūsma šobrīd koncentrējas</w:t>
      </w:r>
      <w:r w:rsidR="00396630" w:rsidRPr="00A07F29">
        <w:rPr>
          <w:rFonts w:ascii="Times New Roman" w:eastAsia="Calibri" w:hAnsi="Times New Roman" w:cs="Calibri"/>
          <w:sz w:val="24"/>
          <w:lang w:eastAsia="ja-JP"/>
        </w:rPr>
        <w:t xml:space="preserve"> </w:t>
      </w:r>
      <w:r w:rsidR="00BF0E06" w:rsidRPr="00A07F29">
        <w:rPr>
          <w:rFonts w:ascii="Times New Roman" w:eastAsia="Calibri" w:hAnsi="Times New Roman" w:cs="Calibri"/>
          <w:sz w:val="24"/>
          <w:lang w:eastAsia="ja-JP"/>
        </w:rPr>
        <w:t>DP</w:t>
      </w:r>
      <w:r w:rsidR="009072CE" w:rsidRPr="00A07F29">
        <w:rPr>
          <w:rFonts w:ascii="Times New Roman" w:eastAsia="Calibri" w:hAnsi="Times New Roman" w:cs="Calibri"/>
          <w:sz w:val="24"/>
          <w:lang w:eastAsia="ja-JP"/>
        </w:rPr>
        <w:t xml:space="preserve"> </w:t>
      </w:r>
      <w:r w:rsidR="001F1EA8" w:rsidRPr="00A07F29">
        <w:rPr>
          <w:rFonts w:ascii="Times New Roman" w:eastAsia="Calibri" w:hAnsi="Times New Roman" w:cs="Calibri"/>
          <w:sz w:val="24"/>
          <w:lang w:eastAsia="ja-JP"/>
        </w:rPr>
        <w:t>“</w:t>
      </w:r>
      <w:r w:rsidR="009072CE" w:rsidRPr="00A07F29">
        <w:rPr>
          <w:rFonts w:ascii="Times New Roman" w:eastAsia="Calibri" w:hAnsi="Times New Roman" w:cs="Calibri"/>
          <w:sz w:val="24"/>
          <w:lang w:eastAsia="ja-JP"/>
        </w:rPr>
        <w:t xml:space="preserve">Daugavas loki” teritorijā </w:t>
      </w:r>
      <w:r w:rsidRPr="00A07F29">
        <w:rPr>
          <w:rFonts w:ascii="Times New Roman" w:eastAsia="Calibri" w:hAnsi="Times New Roman" w:cs="Calibri"/>
          <w:sz w:val="24"/>
          <w:lang w:eastAsia="ja-JP"/>
        </w:rPr>
        <w:t xml:space="preserve">Daugavas labajā krastā </w:t>
      </w:r>
      <w:r w:rsidR="009072CE" w:rsidRPr="00A07F29">
        <w:rPr>
          <w:rFonts w:ascii="Times New Roman" w:eastAsia="Calibri" w:hAnsi="Times New Roman" w:cs="Calibri"/>
          <w:sz w:val="24"/>
          <w:lang w:eastAsia="ja-JP"/>
        </w:rPr>
        <w:t>šādos dabas vai infrastruktūras objektos un maršrutos:</w:t>
      </w:r>
    </w:p>
    <w:p w14:paraId="50816217" w14:textId="57E86C25" w:rsidR="009072CE" w:rsidRPr="00A07F29" w:rsidRDefault="009072CE" w:rsidP="00365EA9">
      <w:pPr>
        <w:spacing w:after="0" w:line="240" w:lineRule="auto"/>
        <w:ind w:firstLine="851"/>
        <w:jc w:val="both"/>
        <w:rPr>
          <w:rFonts w:ascii="Times New Roman" w:eastAsia="Calibri" w:hAnsi="Times New Roman" w:cs="Calibri"/>
          <w:sz w:val="24"/>
          <w:lang w:eastAsia="ja-JP"/>
        </w:rPr>
      </w:pPr>
      <w:r w:rsidRPr="00A07F29">
        <w:rPr>
          <w:rFonts w:ascii="Symbol" w:eastAsia="Symbol" w:hAnsi="Symbol" w:cs="Symbol"/>
          <w:sz w:val="24"/>
          <w:lang w:eastAsia="ja-JP"/>
        </w:rPr>
        <w:t></w:t>
      </w:r>
      <w:r w:rsidRPr="00A07F29">
        <w:rPr>
          <w:rFonts w:ascii="Times New Roman" w:eastAsia="Calibri" w:hAnsi="Times New Roman" w:cs="Calibri"/>
          <w:sz w:val="24"/>
          <w:lang w:eastAsia="ja-JP"/>
        </w:rPr>
        <w:t xml:space="preserve"> Naujenes pilskalns ar Dinaburgas pils maketu, apskates taka;</w:t>
      </w:r>
    </w:p>
    <w:p w14:paraId="0E9CE96B" w14:textId="5C9A7D5E" w:rsidR="009072CE" w:rsidRPr="00A07F29" w:rsidRDefault="009072CE" w:rsidP="00365EA9">
      <w:pPr>
        <w:spacing w:after="0" w:line="240" w:lineRule="auto"/>
        <w:ind w:firstLine="851"/>
        <w:jc w:val="both"/>
        <w:rPr>
          <w:rFonts w:ascii="Times New Roman" w:eastAsia="Calibri" w:hAnsi="Times New Roman" w:cs="Calibri"/>
          <w:sz w:val="24"/>
          <w:lang w:eastAsia="ja-JP"/>
        </w:rPr>
      </w:pPr>
      <w:r w:rsidRPr="00A07F29">
        <w:rPr>
          <w:rFonts w:ascii="Symbol" w:eastAsia="Symbol" w:hAnsi="Symbol" w:cs="Symbol"/>
          <w:sz w:val="24"/>
          <w:lang w:eastAsia="ja-JP"/>
        </w:rPr>
        <w:t></w:t>
      </w:r>
      <w:r w:rsidRPr="00A07F29">
        <w:rPr>
          <w:rFonts w:ascii="Times New Roman" w:eastAsia="Calibri" w:hAnsi="Times New Roman" w:cs="Calibri"/>
          <w:sz w:val="24"/>
          <w:lang w:eastAsia="ja-JP"/>
        </w:rPr>
        <w:t xml:space="preserve"> </w:t>
      </w:r>
      <w:proofErr w:type="spellStart"/>
      <w:r w:rsidRPr="00A07F29">
        <w:rPr>
          <w:rFonts w:ascii="Times New Roman" w:eastAsia="Calibri" w:hAnsi="Times New Roman" w:cs="Calibri"/>
          <w:sz w:val="24"/>
          <w:lang w:eastAsia="ja-JP"/>
        </w:rPr>
        <w:t>Vasargelišku</w:t>
      </w:r>
      <w:proofErr w:type="spellEnd"/>
      <w:r w:rsidRPr="00A07F29">
        <w:rPr>
          <w:rFonts w:ascii="Times New Roman" w:eastAsia="Calibri" w:hAnsi="Times New Roman" w:cs="Calibri"/>
          <w:sz w:val="24"/>
          <w:lang w:eastAsia="ja-JP"/>
        </w:rPr>
        <w:t xml:space="preserve"> skatu tornis;</w:t>
      </w:r>
    </w:p>
    <w:p w14:paraId="34B37847" w14:textId="4EC5FEAF" w:rsidR="009072CE" w:rsidRPr="00A07F29" w:rsidRDefault="009072CE" w:rsidP="00365EA9">
      <w:pPr>
        <w:spacing w:after="0" w:line="240" w:lineRule="auto"/>
        <w:ind w:firstLine="851"/>
        <w:jc w:val="both"/>
        <w:rPr>
          <w:rFonts w:ascii="Times New Roman" w:eastAsia="Calibri" w:hAnsi="Times New Roman" w:cs="Calibri"/>
          <w:sz w:val="24"/>
          <w:lang w:eastAsia="ja-JP"/>
        </w:rPr>
      </w:pPr>
      <w:r w:rsidRPr="00A07F29">
        <w:rPr>
          <w:rFonts w:ascii="Symbol" w:eastAsia="Symbol" w:hAnsi="Symbol" w:cs="Symbol"/>
          <w:sz w:val="24"/>
          <w:lang w:eastAsia="ja-JP"/>
        </w:rPr>
        <w:t></w:t>
      </w:r>
      <w:r w:rsidRPr="00A07F29">
        <w:rPr>
          <w:rFonts w:ascii="Times New Roman" w:eastAsia="Calibri" w:hAnsi="Times New Roman" w:cs="Calibri"/>
          <w:sz w:val="24"/>
          <w:lang w:eastAsia="ja-JP"/>
        </w:rPr>
        <w:t xml:space="preserve"> </w:t>
      </w:r>
      <w:proofErr w:type="spellStart"/>
      <w:r w:rsidRPr="00A07F29">
        <w:rPr>
          <w:rFonts w:ascii="Times New Roman" w:eastAsia="Calibri" w:hAnsi="Times New Roman" w:cs="Calibri"/>
          <w:sz w:val="24"/>
          <w:lang w:eastAsia="ja-JP"/>
        </w:rPr>
        <w:t>Slutišķu</w:t>
      </w:r>
      <w:proofErr w:type="spellEnd"/>
      <w:r w:rsidRPr="00A07F29">
        <w:rPr>
          <w:rFonts w:ascii="Times New Roman" w:eastAsia="Calibri" w:hAnsi="Times New Roman" w:cs="Calibri"/>
          <w:sz w:val="24"/>
          <w:lang w:eastAsia="ja-JP"/>
        </w:rPr>
        <w:t xml:space="preserve"> sādža;</w:t>
      </w:r>
    </w:p>
    <w:p w14:paraId="6419FD6E" w14:textId="46C75332" w:rsidR="009072CE" w:rsidRPr="00A07F29" w:rsidRDefault="009072CE" w:rsidP="00365EA9">
      <w:pPr>
        <w:spacing w:after="0" w:line="240" w:lineRule="auto"/>
        <w:ind w:firstLine="851"/>
        <w:jc w:val="both"/>
        <w:rPr>
          <w:rFonts w:ascii="Times New Roman" w:eastAsia="Calibri" w:hAnsi="Times New Roman" w:cs="Calibri"/>
          <w:sz w:val="24"/>
          <w:lang w:eastAsia="ja-JP"/>
        </w:rPr>
      </w:pPr>
      <w:r w:rsidRPr="00A07F29">
        <w:rPr>
          <w:rFonts w:ascii="Symbol" w:eastAsia="Symbol" w:hAnsi="Symbol" w:cs="Symbol"/>
          <w:sz w:val="24"/>
          <w:lang w:eastAsia="ja-JP"/>
        </w:rPr>
        <w:t></w:t>
      </w:r>
      <w:r w:rsidRPr="00A07F29">
        <w:rPr>
          <w:rFonts w:ascii="Times New Roman" w:eastAsia="Calibri" w:hAnsi="Times New Roman" w:cs="Calibri"/>
          <w:sz w:val="24"/>
          <w:lang w:eastAsia="ja-JP"/>
        </w:rPr>
        <w:t xml:space="preserve"> </w:t>
      </w:r>
      <w:proofErr w:type="spellStart"/>
      <w:r w:rsidRPr="00A07F29">
        <w:rPr>
          <w:rFonts w:ascii="Times New Roman" w:eastAsia="Calibri" w:hAnsi="Times New Roman" w:cs="Calibri"/>
          <w:sz w:val="24"/>
          <w:lang w:eastAsia="ja-JP"/>
        </w:rPr>
        <w:t>Markovas</w:t>
      </w:r>
      <w:proofErr w:type="spellEnd"/>
      <w:r w:rsidRPr="00A07F29">
        <w:rPr>
          <w:rFonts w:ascii="Times New Roman" w:eastAsia="Calibri" w:hAnsi="Times New Roman" w:cs="Calibri"/>
          <w:sz w:val="24"/>
          <w:lang w:eastAsia="ja-JP"/>
        </w:rPr>
        <w:t xml:space="preserve"> izziņas taka;</w:t>
      </w:r>
    </w:p>
    <w:p w14:paraId="541C434B" w14:textId="4F1E0E9A" w:rsidR="009072CE" w:rsidRPr="00A07F29" w:rsidRDefault="009072CE" w:rsidP="00365EA9">
      <w:pPr>
        <w:spacing w:after="0" w:line="240" w:lineRule="auto"/>
        <w:ind w:firstLine="851"/>
        <w:jc w:val="both"/>
        <w:rPr>
          <w:rFonts w:ascii="Times New Roman" w:eastAsia="Calibri" w:hAnsi="Times New Roman" w:cs="Calibri"/>
          <w:sz w:val="24"/>
          <w:lang w:eastAsia="ja-JP"/>
        </w:rPr>
      </w:pPr>
      <w:r w:rsidRPr="00A07F29">
        <w:rPr>
          <w:rFonts w:ascii="Symbol" w:eastAsia="Symbol" w:hAnsi="Symbol" w:cs="Symbol"/>
          <w:sz w:val="24"/>
          <w:lang w:eastAsia="ja-JP"/>
        </w:rPr>
        <w:t></w:t>
      </w:r>
      <w:r w:rsidRPr="00A07F29">
        <w:rPr>
          <w:rFonts w:ascii="Times New Roman" w:eastAsia="Calibri" w:hAnsi="Times New Roman" w:cs="Calibri"/>
          <w:sz w:val="24"/>
          <w:lang w:eastAsia="ja-JP"/>
        </w:rPr>
        <w:t xml:space="preserve"> Adamovas taka;</w:t>
      </w:r>
    </w:p>
    <w:p w14:paraId="5B4E8862" w14:textId="3084A088" w:rsidR="009072CE" w:rsidRPr="00A07F29" w:rsidRDefault="009072CE" w:rsidP="00365EA9">
      <w:pPr>
        <w:spacing w:after="0" w:line="240" w:lineRule="auto"/>
        <w:ind w:firstLine="851"/>
        <w:jc w:val="both"/>
        <w:rPr>
          <w:rFonts w:ascii="Times New Roman" w:eastAsia="Calibri" w:hAnsi="Times New Roman" w:cs="Calibri"/>
          <w:sz w:val="24"/>
          <w:lang w:eastAsia="ja-JP"/>
        </w:rPr>
      </w:pPr>
      <w:r w:rsidRPr="00A07F29">
        <w:rPr>
          <w:rFonts w:ascii="Symbol" w:eastAsia="Symbol" w:hAnsi="Symbol" w:cs="Symbol"/>
          <w:sz w:val="24"/>
          <w:lang w:eastAsia="ja-JP"/>
        </w:rPr>
        <w:t></w:t>
      </w:r>
      <w:r w:rsidRPr="00A07F29">
        <w:rPr>
          <w:rFonts w:ascii="Times New Roman" w:eastAsia="Calibri" w:hAnsi="Times New Roman" w:cs="Calibri"/>
          <w:sz w:val="24"/>
          <w:lang w:eastAsia="ja-JP"/>
        </w:rPr>
        <w:t xml:space="preserve"> </w:t>
      </w:r>
      <w:proofErr w:type="spellStart"/>
      <w:r w:rsidRPr="00A07F29">
        <w:rPr>
          <w:rFonts w:ascii="Times New Roman" w:eastAsia="Calibri" w:hAnsi="Times New Roman" w:cs="Calibri"/>
          <w:sz w:val="24"/>
          <w:lang w:eastAsia="ja-JP"/>
        </w:rPr>
        <w:t>Velomaršruts</w:t>
      </w:r>
      <w:proofErr w:type="spellEnd"/>
      <w:r w:rsidRPr="00A07F29">
        <w:rPr>
          <w:rFonts w:ascii="Times New Roman" w:eastAsia="Calibri" w:hAnsi="Times New Roman" w:cs="Calibri"/>
          <w:sz w:val="24"/>
          <w:lang w:eastAsia="ja-JP"/>
        </w:rPr>
        <w:t xml:space="preserve"> </w:t>
      </w:r>
      <w:r w:rsidR="001F1EA8" w:rsidRPr="00A07F29">
        <w:rPr>
          <w:rFonts w:ascii="Times New Roman" w:eastAsia="Calibri" w:hAnsi="Times New Roman" w:cs="Calibri"/>
          <w:sz w:val="24"/>
          <w:lang w:eastAsia="ja-JP"/>
        </w:rPr>
        <w:t>“</w:t>
      </w:r>
      <w:r w:rsidRPr="00A07F29">
        <w:rPr>
          <w:rFonts w:ascii="Times New Roman" w:eastAsia="Calibri" w:hAnsi="Times New Roman" w:cs="Calibri"/>
          <w:sz w:val="24"/>
          <w:lang w:eastAsia="ja-JP"/>
        </w:rPr>
        <w:t>Daugavas loki”;</w:t>
      </w:r>
    </w:p>
    <w:p w14:paraId="30A469C5" w14:textId="0372E73A" w:rsidR="009072CE" w:rsidRPr="00A07F29" w:rsidRDefault="009072CE" w:rsidP="007B0A25">
      <w:pPr>
        <w:spacing w:after="0" w:line="240" w:lineRule="auto"/>
        <w:ind w:firstLine="851"/>
        <w:jc w:val="both"/>
        <w:rPr>
          <w:rFonts w:ascii="Times New Roman" w:eastAsia="Calibri" w:hAnsi="Times New Roman" w:cs="Calibri"/>
          <w:sz w:val="24"/>
          <w:lang w:eastAsia="ja-JP"/>
        </w:rPr>
      </w:pPr>
      <w:r w:rsidRPr="00A07F29">
        <w:rPr>
          <w:rFonts w:ascii="Symbol" w:eastAsia="Symbol" w:hAnsi="Symbol" w:cs="Symbol"/>
          <w:sz w:val="24"/>
          <w:lang w:eastAsia="ja-JP"/>
        </w:rPr>
        <w:t></w:t>
      </w:r>
      <w:r w:rsidRPr="00A07F29">
        <w:rPr>
          <w:rFonts w:ascii="Times New Roman" w:eastAsia="Calibri" w:hAnsi="Times New Roman" w:cs="Calibri"/>
          <w:sz w:val="24"/>
          <w:lang w:eastAsia="ja-JP"/>
        </w:rPr>
        <w:t xml:space="preserve"> </w:t>
      </w:r>
      <w:proofErr w:type="spellStart"/>
      <w:r w:rsidRPr="00A07F29">
        <w:rPr>
          <w:rFonts w:ascii="Times New Roman" w:eastAsia="Calibri" w:hAnsi="Times New Roman" w:cs="Calibri"/>
          <w:sz w:val="24"/>
          <w:lang w:eastAsia="ja-JP"/>
        </w:rPr>
        <w:t>Ūdenstūrisma</w:t>
      </w:r>
      <w:proofErr w:type="spellEnd"/>
      <w:r w:rsidRPr="00A07F29">
        <w:rPr>
          <w:rFonts w:ascii="Times New Roman" w:eastAsia="Calibri" w:hAnsi="Times New Roman" w:cs="Calibri"/>
          <w:sz w:val="24"/>
          <w:lang w:eastAsia="ja-JP"/>
        </w:rPr>
        <w:t xml:space="preserve"> maršruts Daugavas posmā starp Krāslavu un Daugavpili.</w:t>
      </w:r>
    </w:p>
    <w:p w14:paraId="110DA8E4" w14:textId="31ECEA16" w:rsidR="007B0A25" w:rsidRPr="00A07F29" w:rsidRDefault="00365EA9" w:rsidP="007B0A25">
      <w:pPr>
        <w:spacing w:after="0" w:line="240" w:lineRule="auto"/>
        <w:ind w:firstLine="851"/>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T</w:t>
      </w:r>
      <w:r w:rsidR="009072CE" w:rsidRPr="00A07F29">
        <w:rPr>
          <w:rFonts w:ascii="Times New Roman" w:eastAsia="Calibri" w:hAnsi="Times New Roman" w:cs="Calibri"/>
          <w:sz w:val="24"/>
          <w:lang w:eastAsia="ja-JP"/>
        </w:rPr>
        <w:t xml:space="preserve">ūrisma un rekreācijas ietekmēm visvairāk pakļautā zona ir upei pieguļošās krastu teritorijas, kur koncentrējas vietējie atpūtnieki, vienas dienas apmeklētāji, makšķernieki, </w:t>
      </w:r>
      <w:proofErr w:type="spellStart"/>
      <w:r w:rsidR="009072CE" w:rsidRPr="00A07F29">
        <w:rPr>
          <w:rFonts w:ascii="Times New Roman" w:eastAsia="Calibri" w:hAnsi="Times New Roman" w:cs="Calibri"/>
          <w:sz w:val="24"/>
          <w:lang w:eastAsia="ja-JP"/>
        </w:rPr>
        <w:t>ūdenstūristi</w:t>
      </w:r>
      <w:proofErr w:type="spellEnd"/>
      <w:r w:rsidR="009072CE" w:rsidRPr="00A07F29">
        <w:rPr>
          <w:rFonts w:ascii="Times New Roman" w:eastAsia="Calibri" w:hAnsi="Times New Roman" w:cs="Calibri"/>
          <w:sz w:val="24"/>
          <w:lang w:eastAsia="ja-JP"/>
        </w:rPr>
        <w:t xml:space="preserve"> u.c. Tieši šajā zonā ir vērojamas </w:t>
      </w:r>
      <w:r w:rsidR="007B0A25" w:rsidRPr="00A07F29">
        <w:rPr>
          <w:rFonts w:ascii="Times New Roman" w:eastAsia="Calibri" w:hAnsi="Times New Roman" w:cs="Calibri"/>
          <w:sz w:val="24"/>
          <w:lang w:eastAsia="ja-JP"/>
        </w:rPr>
        <w:t>galvenās ietekmes</w:t>
      </w:r>
      <w:r w:rsidR="009072CE" w:rsidRPr="00A07F29">
        <w:rPr>
          <w:rFonts w:ascii="Times New Roman" w:eastAsia="Calibri" w:hAnsi="Times New Roman" w:cs="Calibri"/>
          <w:sz w:val="24"/>
          <w:lang w:eastAsia="ja-JP"/>
        </w:rPr>
        <w:t xml:space="preserve">, kas saistītas ar krasta eroziju, ugunskuru vietu patvaļīgu izveidi, </w:t>
      </w:r>
      <w:r w:rsidR="007B0A25" w:rsidRPr="00A07F29">
        <w:rPr>
          <w:rFonts w:ascii="Times New Roman" w:eastAsia="Calibri" w:hAnsi="Times New Roman" w:cs="Calibri"/>
          <w:sz w:val="24"/>
          <w:lang w:eastAsia="ja-JP"/>
        </w:rPr>
        <w:t xml:space="preserve">zemsedzes bojājumiem </w:t>
      </w:r>
      <w:r w:rsidR="009072CE" w:rsidRPr="00A07F29">
        <w:rPr>
          <w:rFonts w:ascii="Times New Roman" w:eastAsia="Calibri" w:hAnsi="Times New Roman" w:cs="Calibri"/>
          <w:sz w:val="24"/>
          <w:lang w:eastAsia="ja-JP"/>
        </w:rPr>
        <w:t xml:space="preserve">un atkritumiem, kā arī pārvietošanos ar mehāniskajiem transportlīdzekļiem pa vietām, kur tas saskaņā ar spēkā esošajiem normatīviem, nav atļauts, t.sk. </w:t>
      </w:r>
      <w:r w:rsidR="00832685" w:rsidRPr="00A07F29">
        <w:rPr>
          <w:rFonts w:ascii="Times New Roman" w:eastAsia="Calibri" w:hAnsi="Times New Roman" w:cs="Calibri"/>
          <w:sz w:val="24"/>
          <w:lang w:eastAsia="ja-JP"/>
        </w:rPr>
        <w:t>“</w:t>
      </w:r>
      <w:proofErr w:type="spellStart"/>
      <w:r w:rsidR="009072CE" w:rsidRPr="00A07F29">
        <w:rPr>
          <w:rFonts w:ascii="Times New Roman" w:eastAsia="Calibri" w:hAnsi="Times New Roman" w:cs="Calibri"/>
          <w:sz w:val="24"/>
          <w:lang w:eastAsia="ja-JP"/>
        </w:rPr>
        <w:t>bezceļu</w:t>
      </w:r>
      <w:proofErr w:type="spellEnd"/>
      <w:r w:rsidR="009072CE" w:rsidRPr="00A07F29">
        <w:rPr>
          <w:rFonts w:ascii="Times New Roman" w:eastAsia="Calibri" w:hAnsi="Times New Roman" w:cs="Calibri"/>
          <w:sz w:val="24"/>
          <w:lang w:eastAsia="ja-JP"/>
        </w:rPr>
        <w:t xml:space="preserve"> braukšanu”.</w:t>
      </w:r>
    </w:p>
    <w:p w14:paraId="2E7A8934" w14:textId="0D97E39D" w:rsidR="009072CE" w:rsidRPr="00A07F29" w:rsidRDefault="009072CE" w:rsidP="00365EA9">
      <w:pPr>
        <w:spacing w:after="120" w:line="240" w:lineRule="auto"/>
        <w:ind w:firstLine="851"/>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Šobrīd kopējais tūristu skaits (ap 60</w:t>
      </w:r>
      <w:r w:rsidR="00832685" w:rsidRPr="00A07F29">
        <w:rPr>
          <w:rFonts w:ascii="Times New Roman" w:eastAsia="Calibri" w:hAnsi="Times New Roman" w:cs="Calibri"/>
          <w:sz w:val="24"/>
          <w:lang w:eastAsia="ja-JP"/>
        </w:rPr>
        <w:t> </w:t>
      </w:r>
      <w:r w:rsidRPr="00A07F29">
        <w:rPr>
          <w:rFonts w:ascii="Times New Roman" w:eastAsia="Calibri" w:hAnsi="Times New Roman" w:cs="Calibri"/>
          <w:sz w:val="24"/>
          <w:lang w:eastAsia="ja-JP"/>
        </w:rPr>
        <w:t xml:space="preserve">000 uzskaitītu tūristu gadā) nav uzskatāms par reālu draudu </w:t>
      </w:r>
      <w:r w:rsidR="00BF0E06" w:rsidRPr="00A07F29">
        <w:rPr>
          <w:rFonts w:ascii="Times New Roman" w:eastAsia="Calibri" w:hAnsi="Times New Roman" w:cs="Calibri"/>
          <w:sz w:val="24"/>
          <w:lang w:eastAsia="ja-JP"/>
        </w:rPr>
        <w:t>DP</w:t>
      </w:r>
      <w:r w:rsidRPr="00A07F29">
        <w:rPr>
          <w:rFonts w:ascii="Times New Roman" w:eastAsia="Calibri" w:hAnsi="Times New Roman" w:cs="Calibri"/>
          <w:sz w:val="24"/>
          <w:lang w:eastAsia="ja-JP"/>
        </w:rPr>
        <w:t xml:space="preserve"> </w:t>
      </w:r>
      <w:r w:rsidR="00934979" w:rsidRPr="00A07F29">
        <w:rPr>
          <w:rFonts w:ascii="Times New Roman" w:eastAsia="Calibri" w:hAnsi="Times New Roman" w:cs="Calibri"/>
          <w:sz w:val="24"/>
          <w:lang w:eastAsia="ja-JP"/>
        </w:rPr>
        <w:t xml:space="preserve">“Daugavas loki” </w:t>
      </w:r>
      <w:r w:rsidRPr="00A07F29">
        <w:rPr>
          <w:rFonts w:ascii="Times New Roman" w:eastAsia="Calibri" w:hAnsi="Times New Roman" w:cs="Calibri"/>
          <w:sz w:val="24"/>
          <w:lang w:eastAsia="ja-JP"/>
        </w:rPr>
        <w:t xml:space="preserve">dabas un kultūrvēsturiskajiem resursiem, bet ir atzīmēta nozīmīga rekreācijas ietekme uz ezeriem – pirtis ezeru krastos </w:t>
      </w:r>
      <w:r w:rsidR="007B0A25" w:rsidRPr="00A07F29">
        <w:rPr>
          <w:rFonts w:ascii="Times New Roman" w:eastAsia="Calibri" w:hAnsi="Times New Roman" w:cs="Calibri"/>
          <w:sz w:val="24"/>
          <w:lang w:eastAsia="ja-JP"/>
        </w:rPr>
        <w:t>u.c. atpūtnieku ietekme.</w:t>
      </w:r>
      <w:r w:rsidRPr="00A07F29">
        <w:rPr>
          <w:rFonts w:ascii="Times New Roman" w:eastAsia="Calibri" w:hAnsi="Times New Roman" w:cs="Calibri"/>
          <w:sz w:val="24"/>
          <w:lang w:eastAsia="ja-JP"/>
        </w:rPr>
        <w:t xml:space="preserve"> Tādēļ nepieciešams šo risku ņemt vērā un tūrisma plūsmu virzīt, labiekārtojot un veidojot tūrisma infrastruktūru populārākajās atpūtas vietās, kā arī novirzot plūsmu uz Daugavas kreiso krastu un citām AAA </w:t>
      </w:r>
      <w:r w:rsidR="00934979" w:rsidRPr="00A07F29">
        <w:rPr>
          <w:rFonts w:ascii="Times New Roman" w:eastAsia="Calibri" w:hAnsi="Times New Roman" w:cs="Calibri"/>
          <w:sz w:val="24"/>
          <w:lang w:eastAsia="ja-JP"/>
        </w:rPr>
        <w:t xml:space="preserve">“Augšdaugava” </w:t>
      </w:r>
      <w:r w:rsidRPr="00A07F29">
        <w:rPr>
          <w:rFonts w:ascii="Times New Roman" w:eastAsia="Calibri" w:hAnsi="Times New Roman" w:cs="Calibri"/>
          <w:sz w:val="24"/>
          <w:lang w:eastAsia="ja-JP"/>
        </w:rPr>
        <w:t>teritorijām.</w:t>
      </w:r>
    </w:p>
    <w:p w14:paraId="495D5C54" w14:textId="3C36B8F8" w:rsidR="007B0A25" w:rsidRPr="00A07F29" w:rsidRDefault="009072CE" w:rsidP="00365EA9">
      <w:pPr>
        <w:spacing w:after="120" w:line="240" w:lineRule="auto"/>
        <w:ind w:firstLine="851"/>
        <w:jc w:val="both"/>
        <w:rPr>
          <w:rFonts w:ascii="Times New Roman" w:eastAsia="Times New Roman" w:hAnsi="Times New Roman" w:cs="Calibri"/>
          <w:sz w:val="24"/>
        </w:rPr>
      </w:pPr>
      <w:r w:rsidRPr="00A07F29">
        <w:rPr>
          <w:rFonts w:ascii="Times New Roman" w:eastAsia="Times New Roman" w:hAnsi="Times New Roman" w:cs="Calibri"/>
          <w:sz w:val="24"/>
        </w:rPr>
        <w:lastRenderedPageBreak/>
        <w:t xml:space="preserve">AAA </w:t>
      </w:r>
      <w:r w:rsidR="00934979" w:rsidRPr="00A07F29">
        <w:rPr>
          <w:rFonts w:ascii="Times New Roman" w:eastAsia="Times New Roman" w:hAnsi="Times New Roman" w:cs="Calibri"/>
          <w:sz w:val="24"/>
        </w:rPr>
        <w:t xml:space="preserve">“Augšdaugava” </w:t>
      </w:r>
      <w:r w:rsidRPr="00A07F29">
        <w:rPr>
          <w:rFonts w:ascii="Times New Roman" w:eastAsia="Times New Roman" w:hAnsi="Times New Roman" w:cs="Calibri"/>
          <w:sz w:val="24"/>
        </w:rPr>
        <w:t xml:space="preserve">ezerus apdraud un ietekmē intensīva rekreācija, papildus </w:t>
      </w:r>
      <w:proofErr w:type="spellStart"/>
      <w:r w:rsidRPr="00A07F29">
        <w:rPr>
          <w:rFonts w:ascii="Times New Roman" w:eastAsia="Times New Roman" w:hAnsi="Times New Roman" w:cs="Calibri"/>
          <w:sz w:val="24"/>
        </w:rPr>
        <w:t>biogēnu</w:t>
      </w:r>
      <w:proofErr w:type="spellEnd"/>
      <w:r w:rsidRPr="00A07F29">
        <w:rPr>
          <w:rFonts w:ascii="Times New Roman" w:eastAsia="Times New Roman" w:hAnsi="Times New Roman" w:cs="Calibri"/>
          <w:sz w:val="24"/>
        </w:rPr>
        <w:t xml:space="preserve"> ieplūde no ietekošajām meliorācijas sistēmām, ezeru</w:t>
      </w:r>
      <w:r w:rsidRPr="00A07F29">
        <w:rPr>
          <w:rFonts w:ascii="Times New Roman" w:eastAsia="Calibri" w:hAnsi="Times New Roman" w:cs="Calibri"/>
          <w:sz w:val="24"/>
        </w:rPr>
        <w:t xml:space="preserve"> </w:t>
      </w:r>
      <w:r w:rsidRPr="00A07F29">
        <w:rPr>
          <w:rFonts w:ascii="Times New Roman" w:eastAsia="Times New Roman" w:hAnsi="Times New Roman" w:cs="Calibri"/>
          <w:sz w:val="24"/>
        </w:rPr>
        <w:t xml:space="preserve">krastos esošajām aramzemēm, lopu ganībām </w:t>
      </w:r>
      <w:r w:rsidR="00413446" w:rsidRPr="00A07F29">
        <w:rPr>
          <w:rFonts w:ascii="Times New Roman" w:eastAsia="Times New Roman" w:hAnsi="Times New Roman" w:cs="Calibri"/>
          <w:sz w:val="24"/>
        </w:rPr>
        <w:t xml:space="preserve">ezeru krastos, </w:t>
      </w:r>
      <w:r w:rsidRPr="00A07F29">
        <w:rPr>
          <w:rFonts w:ascii="Times New Roman" w:eastAsia="Times New Roman" w:hAnsi="Times New Roman" w:cs="Calibri"/>
          <w:sz w:val="24"/>
        </w:rPr>
        <w:t xml:space="preserve">kailcirtēm ezeru </w:t>
      </w:r>
      <w:r w:rsidR="00413446" w:rsidRPr="00A07F29">
        <w:rPr>
          <w:rFonts w:ascii="Times New Roman" w:eastAsia="Times New Roman" w:hAnsi="Times New Roman" w:cs="Calibri"/>
          <w:sz w:val="24"/>
        </w:rPr>
        <w:t xml:space="preserve">sateces baseinos </w:t>
      </w:r>
      <w:r w:rsidRPr="00A07F29">
        <w:rPr>
          <w:rFonts w:ascii="Times New Roman" w:eastAsia="Times New Roman" w:hAnsi="Times New Roman" w:cs="Calibri"/>
          <w:sz w:val="24"/>
        </w:rPr>
        <w:t>un pirtīm ezeru krastmalās, kā arī no bijušajām padomju laika fermām un piesārņojuma ar notekūdeņiem.</w:t>
      </w:r>
    </w:p>
    <w:p w14:paraId="4EEFAF4E" w14:textId="33F763CC" w:rsidR="00413446" w:rsidRPr="00A07F29" w:rsidRDefault="00AC611A" w:rsidP="00413446">
      <w:pPr>
        <w:spacing w:after="120" w:line="240" w:lineRule="auto"/>
        <w:ind w:firstLine="851"/>
        <w:jc w:val="both"/>
        <w:rPr>
          <w:rFonts w:ascii="Times New Roman" w:hAnsi="Times New Roman" w:cs="Times New Roman"/>
          <w:sz w:val="24"/>
          <w:szCs w:val="24"/>
        </w:rPr>
      </w:pPr>
      <w:r w:rsidRPr="00A07F29">
        <w:rPr>
          <w:rFonts w:ascii="Times New Roman" w:eastAsia="Calibri" w:hAnsi="Times New Roman" w:cs="Calibri"/>
          <w:sz w:val="24"/>
          <w:lang w:eastAsia="ja-JP"/>
        </w:rPr>
        <w:t xml:space="preserve">Pārrobežu piesārņojuma risks saistīts ar Daugavu, kuras krastos Baltkrievijā atrodas pilsētas ar lieliem rūpniecības uzņēmumiem. Līdz ar to </w:t>
      </w:r>
      <w:r w:rsidRPr="00A07F29">
        <w:rPr>
          <w:rFonts w:ascii="Times New Roman" w:eastAsia="Times New Roman" w:hAnsi="Times New Roman" w:cs="Calibri"/>
          <w:sz w:val="24"/>
        </w:rPr>
        <w:t xml:space="preserve">AAA “Augšdaugava” esošajā </w:t>
      </w:r>
      <w:r w:rsidRPr="00A07F29">
        <w:rPr>
          <w:rFonts w:ascii="Times New Roman" w:eastAsia="Calibri" w:hAnsi="Times New Roman" w:cs="Calibri"/>
          <w:sz w:val="24"/>
          <w:lang w:eastAsia="ja-JP"/>
        </w:rPr>
        <w:t>Daugavas posmā ir vislielākais bīstamo vielu un vienreizējā piesārņojuma risks avāriju gadījumos. Viens no bīstamākajiem ir Novopolockas naftas pārstrādes kombināts, kurā jau notikušas avārijas ar smagām sekām.</w:t>
      </w:r>
    </w:p>
    <w:p w14:paraId="028DB630" w14:textId="165486D2" w:rsidR="00413446" w:rsidRPr="00A07F29" w:rsidRDefault="00E5025A" w:rsidP="00413446">
      <w:pPr>
        <w:spacing w:after="120" w:line="240" w:lineRule="auto"/>
        <w:ind w:firstLine="851"/>
        <w:jc w:val="both"/>
      </w:pPr>
      <w:r w:rsidRPr="00A07F29">
        <w:rPr>
          <w:rFonts w:ascii="Times New Roman" w:hAnsi="Times New Roman" w:cs="Times New Roman"/>
          <w:sz w:val="24"/>
          <w:szCs w:val="24"/>
        </w:rPr>
        <w:t xml:space="preserve">Pārskats par apdraudējumiem, slodzēm un darbībām, kas ietekmē AAA </w:t>
      </w:r>
      <w:r w:rsidR="008041AD" w:rsidRPr="00A07F29">
        <w:rPr>
          <w:rFonts w:ascii="Times New Roman" w:eastAsia="Times New Roman" w:hAnsi="Times New Roman" w:cs="Calibri"/>
          <w:sz w:val="24"/>
        </w:rPr>
        <w:t xml:space="preserve">“Augšdaugava” </w:t>
      </w:r>
      <w:r w:rsidRPr="00A07F29">
        <w:rPr>
          <w:rFonts w:ascii="Times New Roman" w:hAnsi="Times New Roman" w:cs="Times New Roman"/>
          <w:sz w:val="24"/>
          <w:szCs w:val="24"/>
        </w:rPr>
        <w:t>teritoriju apkopots 3.</w:t>
      </w:r>
      <w:r w:rsidR="0067519E" w:rsidRPr="00A07F29">
        <w:rPr>
          <w:rFonts w:ascii="Times New Roman" w:hAnsi="Times New Roman" w:cs="Times New Roman"/>
          <w:sz w:val="24"/>
          <w:szCs w:val="24"/>
        </w:rPr>
        <w:t>9</w:t>
      </w:r>
      <w:r w:rsidRPr="00A07F29">
        <w:rPr>
          <w:rFonts w:ascii="Times New Roman" w:hAnsi="Times New Roman" w:cs="Times New Roman"/>
          <w:sz w:val="24"/>
          <w:szCs w:val="24"/>
        </w:rPr>
        <w:t>.1.</w:t>
      </w:r>
      <w:r w:rsidR="00793A6D" w:rsidRPr="00A07F29">
        <w:rPr>
          <w:rFonts w:ascii="Times New Roman" w:hAnsi="Times New Roman" w:cs="Times New Roman"/>
          <w:sz w:val="24"/>
          <w:szCs w:val="24"/>
        </w:rPr>
        <w:t> </w:t>
      </w:r>
      <w:r w:rsidRPr="00A07F29">
        <w:rPr>
          <w:rFonts w:ascii="Times New Roman" w:hAnsi="Times New Roman" w:cs="Times New Roman"/>
          <w:sz w:val="24"/>
          <w:szCs w:val="24"/>
        </w:rPr>
        <w:t>tabulā</w:t>
      </w:r>
      <w:r w:rsidR="008041AD" w:rsidRPr="00A07F29">
        <w:rPr>
          <w:rFonts w:ascii="Times New Roman" w:hAnsi="Times New Roman" w:cs="Times New Roman"/>
          <w:sz w:val="24"/>
          <w:szCs w:val="24"/>
        </w:rPr>
        <w:t xml:space="preserve">, kur </w:t>
      </w:r>
      <w:r w:rsidRPr="00A07F29">
        <w:rPr>
          <w:rFonts w:ascii="Times New Roman" w:hAnsi="Times New Roman" w:cs="Times New Roman"/>
          <w:sz w:val="24"/>
          <w:szCs w:val="24"/>
        </w:rPr>
        <w:t xml:space="preserve">iekļautā informācija sagatavota atbilstoši ietekmju un apdraudējumu sarakstam, kas tiek izmantots, sagatavojot ziņojumu </w:t>
      </w:r>
      <w:r w:rsidRPr="00A07F29">
        <w:rPr>
          <w:rFonts w:ascii="Times New Roman" w:hAnsi="Times New Roman" w:cs="Times New Roman"/>
          <w:sz w:val="24"/>
          <w:szCs w:val="24"/>
          <w:shd w:val="clear" w:color="auto" w:fill="FFFFFF"/>
        </w:rPr>
        <w:t xml:space="preserve">Eiropas Komisijai par </w:t>
      </w:r>
      <w:proofErr w:type="spellStart"/>
      <w:r w:rsidR="008041AD" w:rsidRPr="00A07F29">
        <w:rPr>
          <w:rFonts w:ascii="Times New Roman" w:hAnsi="Times New Roman" w:cs="Times New Roman"/>
          <w:i/>
          <w:sz w:val="24"/>
          <w:szCs w:val="24"/>
          <w:shd w:val="clear" w:color="auto" w:fill="FFFFFF"/>
        </w:rPr>
        <w:t>Natura</w:t>
      </w:r>
      <w:proofErr w:type="spellEnd"/>
      <w:r w:rsidR="008041AD" w:rsidRPr="00A07F29">
        <w:rPr>
          <w:rFonts w:ascii="Times New Roman" w:hAnsi="Times New Roman" w:cs="Times New Roman"/>
          <w:i/>
          <w:sz w:val="24"/>
          <w:szCs w:val="24"/>
          <w:shd w:val="clear" w:color="auto" w:fill="FFFFFF"/>
        </w:rPr>
        <w:t xml:space="preserve"> 2000</w:t>
      </w:r>
      <w:r w:rsidR="008041AD" w:rsidRPr="00A07F29">
        <w:rPr>
          <w:rFonts w:ascii="Times New Roman" w:hAnsi="Times New Roman" w:cs="Times New Roman"/>
          <w:sz w:val="24"/>
          <w:szCs w:val="24"/>
          <w:shd w:val="clear" w:color="auto" w:fill="FFFFFF"/>
        </w:rPr>
        <w:t xml:space="preserve"> teritorijām</w:t>
      </w:r>
      <w:r w:rsidR="00387780" w:rsidRPr="00A07F29">
        <w:rPr>
          <w:rStyle w:val="FootnoteReference"/>
          <w:rFonts w:ascii="Times New Roman" w:hAnsi="Times New Roman" w:cs="Times New Roman"/>
          <w:sz w:val="24"/>
          <w:szCs w:val="24"/>
          <w:shd w:val="clear" w:color="auto" w:fill="FFFFFF"/>
        </w:rPr>
        <w:footnoteReference w:id="27"/>
      </w:r>
      <w:r w:rsidR="008041AD" w:rsidRPr="00A07F29">
        <w:rPr>
          <w:rFonts w:ascii="Times New Roman" w:hAnsi="Times New Roman" w:cs="Times New Roman"/>
          <w:sz w:val="24"/>
          <w:szCs w:val="24"/>
          <w:shd w:val="clear" w:color="auto" w:fill="FFFFFF"/>
        </w:rPr>
        <w:t>.</w:t>
      </w:r>
    </w:p>
    <w:p w14:paraId="02E92A42" w14:textId="77777777" w:rsidR="00F552F9" w:rsidRPr="00A07F29" w:rsidRDefault="00F552F9" w:rsidP="002C7A5C"/>
    <w:p w14:paraId="601B4D16" w14:textId="2A3B3E94" w:rsidR="00F552F9" w:rsidRPr="00A07F29" w:rsidRDefault="00F552F9" w:rsidP="00F552F9">
      <w:pPr>
        <w:pStyle w:val="Heading2"/>
        <w:spacing w:before="120" w:after="120"/>
        <w:ind w:firstLine="0"/>
        <w:jc w:val="center"/>
        <w:rPr>
          <w:rFonts w:ascii="Times New Roman" w:hAnsi="Times New Roman"/>
          <w:b w:val="0"/>
          <w:iCs w:val="0"/>
        </w:rPr>
      </w:pPr>
      <w:bookmarkStart w:id="38" w:name="_Toc183433993"/>
      <w:r w:rsidRPr="00A07F29">
        <w:rPr>
          <w:rFonts w:ascii="Times New Roman" w:hAnsi="Times New Roman"/>
          <w:i w:val="0"/>
        </w:rPr>
        <w:t xml:space="preserve">3.9. AAA </w:t>
      </w:r>
      <w:r w:rsidR="0007120D" w:rsidRPr="00A07F29">
        <w:rPr>
          <w:rFonts w:ascii="Times New Roman" w:hAnsi="Times New Roman"/>
          <w:i w:val="0"/>
        </w:rPr>
        <w:t xml:space="preserve">“Augšdaugava” </w:t>
      </w:r>
      <w:r w:rsidRPr="00A07F29">
        <w:rPr>
          <w:rFonts w:ascii="Times New Roman" w:hAnsi="Times New Roman"/>
          <w:i w:val="0"/>
        </w:rPr>
        <w:t>teritorijas sociālā un ekonomiskā nozīme</w:t>
      </w:r>
      <w:bookmarkEnd w:id="38"/>
    </w:p>
    <w:p w14:paraId="7714BE7C" w14:textId="3DFCF45A" w:rsidR="00E5025A" w:rsidRPr="00A07F29" w:rsidRDefault="00F552F9" w:rsidP="00F552F9">
      <w:pPr>
        <w:spacing w:after="120" w:line="240" w:lineRule="auto"/>
        <w:ind w:firstLine="851"/>
        <w:jc w:val="both"/>
        <w:rPr>
          <w:rFonts w:ascii="Times New Roman" w:eastAsia="Calibri" w:hAnsi="Times New Roman" w:cs="Calibri"/>
          <w:sz w:val="24"/>
        </w:rPr>
      </w:pPr>
      <w:r w:rsidRPr="00A07F29">
        <w:rPr>
          <w:rFonts w:ascii="Times New Roman" w:eastAsia="Times New Roman" w:hAnsi="Times New Roman" w:cs="Times New Roman"/>
          <w:sz w:val="24"/>
          <w:szCs w:val="24"/>
          <w:lang w:eastAsia="lv-LV"/>
        </w:rPr>
        <w:t xml:space="preserve">Tā kā AAA </w:t>
      </w:r>
      <w:r w:rsidR="0007120D" w:rsidRPr="00A07F29">
        <w:rPr>
          <w:rFonts w:ascii="Times New Roman" w:eastAsia="Times New Roman" w:hAnsi="Times New Roman" w:cs="Times New Roman"/>
          <w:sz w:val="24"/>
          <w:szCs w:val="24"/>
          <w:lang w:eastAsia="lv-LV"/>
        </w:rPr>
        <w:t xml:space="preserve">“Augšdaugava” </w:t>
      </w:r>
      <w:r w:rsidRPr="00A07F29">
        <w:rPr>
          <w:rFonts w:ascii="Times New Roman" w:eastAsia="Times New Roman" w:hAnsi="Times New Roman" w:cs="Times New Roman"/>
          <w:sz w:val="24"/>
          <w:szCs w:val="24"/>
          <w:lang w:eastAsia="lv-LV"/>
        </w:rPr>
        <w:t xml:space="preserve">teritorija aizņem lielu platību (ap </w:t>
      </w:r>
      <w:r w:rsidRPr="00A07F29">
        <w:rPr>
          <w:rFonts w:ascii="Times New Roman" w:eastAsia="Calibri" w:hAnsi="Times New Roman" w:cs="Calibri"/>
          <w:sz w:val="24"/>
        </w:rPr>
        <w:t>521</w:t>
      </w:r>
      <w:r w:rsidR="00525741" w:rsidRPr="00A07F29">
        <w:rPr>
          <w:rFonts w:ascii="Times New Roman" w:eastAsia="Calibri" w:hAnsi="Times New Roman" w:cs="Calibri"/>
          <w:sz w:val="24"/>
        </w:rPr>
        <w:t> </w:t>
      </w:r>
      <w:r w:rsidRPr="00A07F29">
        <w:rPr>
          <w:rFonts w:ascii="Times New Roman" w:eastAsia="Calibri" w:hAnsi="Times New Roman" w:cs="Calibri"/>
          <w:sz w:val="24"/>
        </w:rPr>
        <w:t>km</w:t>
      </w:r>
      <w:r w:rsidRPr="00A07F29">
        <w:rPr>
          <w:rFonts w:ascii="Times New Roman" w:eastAsia="Calibri" w:hAnsi="Times New Roman" w:cs="Calibri"/>
          <w:sz w:val="24"/>
          <w:vertAlign w:val="superscript"/>
        </w:rPr>
        <w:t>2</w:t>
      </w:r>
      <w:r w:rsidRPr="00A07F29">
        <w:rPr>
          <w:rFonts w:ascii="Times New Roman" w:eastAsia="Calibri" w:hAnsi="Times New Roman" w:cs="Calibri"/>
          <w:sz w:val="24"/>
        </w:rPr>
        <w:t>) un iekļauj kā ekonomiski nozīmīgus resursus – nozīmīgas meža platības (42</w:t>
      </w:r>
      <w:r w:rsidR="00525741" w:rsidRPr="00A07F29">
        <w:rPr>
          <w:rFonts w:ascii="Times New Roman" w:eastAsia="Calibri" w:hAnsi="Times New Roman" w:cs="Calibri"/>
          <w:sz w:val="24"/>
        </w:rPr>
        <w:t> </w:t>
      </w:r>
      <w:r w:rsidRPr="00A07F29">
        <w:rPr>
          <w:rFonts w:ascii="Times New Roman" w:eastAsia="Calibri" w:hAnsi="Times New Roman" w:cs="Calibri"/>
          <w:sz w:val="24"/>
        </w:rPr>
        <w:t>% no teritorijas), lauksaimniecības zemes, ūdeņus – Daugavas upes posmu un ezerus, tā arī dažāda veida infrastruktūru – ciemu un pilsētas tipa apbūvi, nozīmīgus ceļus, elektrolīnijas un naftas vada posmu, tai ir milzīga ekonomiskā un sociālā nozīme</w:t>
      </w:r>
      <w:r w:rsidR="0056795D" w:rsidRPr="00A07F29">
        <w:rPr>
          <w:rFonts w:ascii="Times New Roman" w:eastAsia="Calibri" w:hAnsi="Times New Roman" w:cs="Calibri"/>
          <w:sz w:val="24"/>
        </w:rPr>
        <w:t xml:space="preserve"> (par lauksaimniecību, </w:t>
      </w:r>
      <w:proofErr w:type="spellStart"/>
      <w:r w:rsidR="0056795D" w:rsidRPr="00A07F29">
        <w:rPr>
          <w:rFonts w:ascii="Times New Roman" w:eastAsia="Calibri" w:hAnsi="Times New Roman" w:cs="Calibri"/>
          <w:sz w:val="24"/>
        </w:rPr>
        <w:t>mežaimniecību</w:t>
      </w:r>
      <w:proofErr w:type="spellEnd"/>
      <w:r w:rsidR="0056795D" w:rsidRPr="00A07F29">
        <w:rPr>
          <w:rFonts w:ascii="Times New Roman" w:eastAsia="Calibri" w:hAnsi="Times New Roman" w:cs="Calibri"/>
          <w:sz w:val="24"/>
        </w:rPr>
        <w:t xml:space="preserve"> u.c. saimnieciskajām aktivitātēm AAA “Augšdaugava”</w:t>
      </w:r>
      <w:r w:rsidR="00D65BBA" w:rsidRPr="00A07F29">
        <w:rPr>
          <w:rFonts w:ascii="Times New Roman" w:eastAsia="Calibri" w:hAnsi="Times New Roman" w:cs="Calibri"/>
          <w:sz w:val="24"/>
        </w:rPr>
        <w:t xml:space="preserve"> </w:t>
      </w:r>
      <w:r w:rsidR="0056795D" w:rsidRPr="00A07F29">
        <w:rPr>
          <w:rFonts w:ascii="Times New Roman" w:eastAsia="Calibri" w:hAnsi="Times New Roman" w:cs="Calibri"/>
          <w:sz w:val="24"/>
        </w:rPr>
        <w:t>skat. iepriekš DA plāna 3.1. – 3.6. nodaļās)</w:t>
      </w:r>
      <w:r w:rsidRPr="00A07F29">
        <w:rPr>
          <w:rFonts w:ascii="Times New Roman" w:eastAsia="Calibri" w:hAnsi="Times New Roman" w:cs="Calibri"/>
          <w:sz w:val="24"/>
        </w:rPr>
        <w:t xml:space="preserve">. Tāpat jāņem vērā, ka vēl pilnībā nav atklāts tūrisma potenciāls, jo aktīvi tiek izmantoti tikai daži no tūrisma objektiem un teritorijām. Līdz ar to nepieciešama gudra un ilgtspējīga attīstības plānošana, integrējot visās saimniecības nozarēs </w:t>
      </w:r>
      <w:r w:rsidR="004E2155" w:rsidRPr="00A07F29">
        <w:rPr>
          <w:rFonts w:ascii="Times New Roman" w:eastAsia="Calibri" w:hAnsi="Times New Roman" w:cs="Calibri"/>
          <w:sz w:val="24"/>
        </w:rPr>
        <w:t xml:space="preserve">vides un </w:t>
      </w:r>
      <w:r w:rsidRPr="00A07F29">
        <w:rPr>
          <w:rFonts w:ascii="Times New Roman" w:eastAsia="Calibri" w:hAnsi="Times New Roman" w:cs="Calibri"/>
          <w:sz w:val="24"/>
        </w:rPr>
        <w:t xml:space="preserve">dabas aizsardzības </w:t>
      </w:r>
      <w:r w:rsidR="004E2155" w:rsidRPr="00A07F29">
        <w:rPr>
          <w:rFonts w:ascii="Times New Roman" w:eastAsia="Calibri" w:hAnsi="Times New Roman" w:cs="Calibri"/>
          <w:sz w:val="24"/>
        </w:rPr>
        <w:t>mērķus un principus</w:t>
      </w:r>
      <w:r w:rsidRPr="00A07F29">
        <w:rPr>
          <w:rFonts w:ascii="Times New Roman" w:eastAsia="Calibri" w:hAnsi="Times New Roman" w:cs="Calibri"/>
          <w:sz w:val="24"/>
        </w:rPr>
        <w:t>, veicinot zaļo uzņēmējdarbību, bioloģisko lauksaimniecību, lauksaimniecības produktu pārstrādi, plašāku tūrisma pakalpojumu piedāvājumu, un nepieļaujot vidi degradējošu objektu celtniecību. Pierobežas zona un robežas efekts ir papildu izaicinājums šādai attīstībai.</w:t>
      </w:r>
    </w:p>
    <w:p w14:paraId="2BAF6910" w14:textId="77777777" w:rsidR="00F552F9" w:rsidRPr="00A07F29" w:rsidRDefault="00F552F9" w:rsidP="00F552F9">
      <w:pPr>
        <w:spacing w:after="120" w:line="240" w:lineRule="auto"/>
        <w:ind w:firstLine="851"/>
        <w:jc w:val="both"/>
        <w:rPr>
          <w:rFonts w:ascii="Times New Roman" w:eastAsia="Calibri" w:hAnsi="Times New Roman" w:cs="Times New Roman"/>
          <w:sz w:val="24"/>
          <w:szCs w:val="24"/>
        </w:rPr>
      </w:pPr>
    </w:p>
    <w:p w14:paraId="613FAA73" w14:textId="77777777" w:rsidR="00413446" w:rsidRPr="00A07F29" w:rsidRDefault="00413446" w:rsidP="00E5025A">
      <w:pPr>
        <w:widowControl w:val="0"/>
        <w:spacing w:after="0" w:line="240" w:lineRule="auto"/>
        <w:jc w:val="both"/>
        <w:rPr>
          <w:rFonts w:ascii="Times New Roman" w:eastAsia="Calibri" w:hAnsi="Times New Roman" w:cs="Times New Roman"/>
          <w:i/>
          <w:sz w:val="20"/>
          <w:szCs w:val="20"/>
        </w:rPr>
        <w:sectPr w:rsidR="00413446" w:rsidRPr="00A07F29" w:rsidSect="008B09B8">
          <w:pgSz w:w="11906" w:h="16838"/>
          <w:pgMar w:top="1440" w:right="1440" w:bottom="1276" w:left="1440" w:header="709" w:footer="709" w:gutter="0"/>
          <w:cols w:space="708"/>
          <w:docGrid w:linePitch="360"/>
        </w:sectPr>
      </w:pPr>
    </w:p>
    <w:p w14:paraId="71DC89A3" w14:textId="3A9F5C9B" w:rsidR="00E5025A" w:rsidRPr="00A07F29" w:rsidRDefault="00E5025A" w:rsidP="00413446">
      <w:pPr>
        <w:widowControl w:val="0"/>
        <w:spacing w:after="120" w:line="240" w:lineRule="auto"/>
        <w:jc w:val="center"/>
        <w:rPr>
          <w:rFonts w:ascii="Times New Roman" w:eastAsia="Calibri" w:hAnsi="Times New Roman" w:cs="Times New Roman"/>
          <w:sz w:val="24"/>
          <w:szCs w:val="24"/>
        </w:rPr>
      </w:pPr>
      <w:r w:rsidRPr="00A07F29">
        <w:rPr>
          <w:rFonts w:ascii="Times New Roman" w:eastAsia="Calibri" w:hAnsi="Times New Roman" w:cs="Times New Roman"/>
          <w:sz w:val="24"/>
          <w:szCs w:val="24"/>
        </w:rPr>
        <w:lastRenderedPageBreak/>
        <w:t>3.</w:t>
      </w:r>
      <w:r w:rsidR="0067519E" w:rsidRPr="00A07F29">
        <w:rPr>
          <w:rFonts w:ascii="Times New Roman" w:eastAsia="Calibri" w:hAnsi="Times New Roman" w:cs="Times New Roman"/>
          <w:sz w:val="24"/>
          <w:szCs w:val="24"/>
        </w:rPr>
        <w:t>9</w:t>
      </w:r>
      <w:r w:rsidRPr="00A07F29">
        <w:rPr>
          <w:rFonts w:ascii="Times New Roman" w:eastAsia="Calibri" w:hAnsi="Times New Roman" w:cs="Times New Roman"/>
          <w:sz w:val="24"/>
          <w:szCs w:val="24"/>
        </w:rPr>
        <w:t>.1.</w:t>
      </w:r>
      <w:r w:rsidR="00CA242F" w:rsidRPr="00A07F29">
        <w:rPr>
          <w:rFonts w:ascii="Times New Roman" w:eastAsia="Calibri" w:hAnsi="Times New Roman" w:cs="Times New Roman"/>
          <w:sz w:val="24"/>
          <w:szCs w:val="24"/>
        </w:rPr>
        <w:t> </w:t>
      </w:r>
      <w:r w:rsidRPr="00A07F29">
        <w:rPr>
          <w:rFonts w:ascii="Times New Roman" w:eastAsia="Calibri" w:hAnsi="Times New Roman" w:cs="Times New Roman"/>
          <w:sz w:val="24"/>
          <w:szCs w:val="24"/>
        </w:rPr>
        <w:t>tabula. Pārskat</w:t>
      </w:r>
      <w:r w:rsidR="008041AD" w:rsidRPr="00A07F29">
        <w:rPr>
          <w:rFonts w:ascii="Times New Roman" w:eastAsia="Calibri" w:hAnsi="Times New Roman" w:cs="Times New Roman"/>
          <w:sz w:val="24"/>
          <w:szCs w:val="24"/>
        </w:rPr>
        <w:t>s</w:t>
      </w:r>
      <w:r w:rsidRPr="00A07F29">
        <w:rPr>
          <w:rFonts w:ascii="Times New Roman" w:eastAsia="Calibri" w:hAnsi="Times New Roman" w:cs="Times New Roman"/>
          <w:sz w:val="24"/>
          <w:szCs w:val="24"/>
        </w:rPr>
        <w:t xml:space="preserve"> par apdraudējumiem, slodzēm un darbībām, kas ietekmē </w:t>
      </w:r>
      <w:r w:rsidR="008041AD" w:rsidRPr="00A07F29">
        <w:rPr>
          <w:rFonts w:ascii="Times New Roman" w:hAnsi="Times New Roman" w:cs="Times New Roman"/>
          <w:sz w:val="24"/>
          <w:szCs w:val="24"/>
        </w:rPr>
        <w:t xml:space="preserve">AAA </w:t>
      </w:r>
      <w:r w:rsidR="008041AD" w:rsidRPr="00A07F29">
        <w:rPr>
          <w:rFonts w:ascii="Times New Roman" w:eastAsia="Times New Roman" w:hAnsi="Times New Roman" w:cs="Calibri"/>
          <w:sz w:val="24"/>
        </w:rPr>
        <w:t xml:space="preserve">“Augšdaugava” </w:t>
      </w:r>
      <w:r w:rsidR="008041AD" w:rsidRPr="00A07F29">
        <w:rPr>
          <w:rFonts w:ascii="Times New Roman" w:hAnsi="Times New Roman" w:cs="Times New Roman"/>
          <w:sz w:val="24"/>
          <w:szCs w:val="24"/>
        </w:rPr>
        <w:t>teritoriju</w:t>
      </w:r>
    </w:p>
    <w:tbl>
      <w:tblPr>
        <w:tblW w:w="14131" w:type="dxa"/>
        <w:jc w:val="center"/>
        <w:tblLook w:val="04A0" w:firstRow="1" w:lastRow="0" w:firstColumn="1" w:lastColumn="0" w:noHBand="0" w:noVBand="1"/>
      </w:tblPr>
      <w:tblGrid>
        <w:gridCol w:w="998"/>
        <w:gridCol w:w="2056"/>
        <w:gridCol w:w="1111"/>
        <w:gridCol w:w="983"/>
        <w:gridCol w:w="992"/>
        <w:gridCol w:w="1417"/>
        <w:gridCol w:w="983"/>
        <w:gridCol w:w="5591"/>
      </w:tblGrid>
      <w:tr w:rsidR="00E5025A" w:rsidRPr="00A07F29" w14:paraId="77E069BF" w14:textId="77777777" w:rsidTr="729E1729">
        <w:trPr>
          <w:trHeight w:val="576"/>
          <w:tblHeader/>
          <w:jc w:val="center"/>
        </w:trPr>
        <w:tc>
          <w:tcPr>
            <w:tcW w:w="998"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34993650" w14:textId="77777777" w:rsidR="00E5025A" w:rsidRPr="00A07F29" w:rsidRDefault="00E5025A" w:rsidP="0067519E">
            <w:pPr>
              <w:widowControl w:val="0"/>
              <w:spacing w:after="0" w:line="240" w:lineRule="auto"/>
              <w:jc w:val="center"/>
              <w:rPr>
                <w:rFonts w:ascii="Times New Roman" w:eastAsia="Times New Roman" w:hAnsi="Times New Roman" w:cs="Times New Roman"/>
                <w:b/>
                <w:sz w:val="20"/>
                <w:szCs w:val="20"/>
                <w:lang w:eastAsia="lv-LV"/>
              </w:rPr>
            </w:pPr>
            <w:proofErr w:type="spellStart"/>
            <w:r w:rsidRPr="00A07F29">
              <w:rPr>
                <w:rFonts w:ascii="Times New Roman" w:eastAsia="Times New Roman" w:hAnsi="Times New Roman" w:cs="Times New Roman"/>
                <w:b/>
                <w:sz w:val="20"/>
                <w:szCs w:val="20"/>
                <w:lang w:eastAsia="lv-LV"/>
              </w:rPr>
              <w:t>Npk</w:t>
            </w:r>
            <w:proofErr w:type="spellEnd"/>
            <w:r w:rsidRPr="00A07F29">
              <w:rPr>
                <w:rFonts w:ascii="Times New Roman" w:eastAsia="Times New Roman" w:hAnsi="Times New Roman" w:cs="Times New Roman"/>
                <w:b/>
                <w:sz w:val="20"/>
                <w:szCs w:val="20"/>
                <w:lang w:eastAsia="lv-LV"/>
              </w:rPr>
              <w:t>.</w:t>
            </w:r>
          </w:p>
        </w:tc>
        <w:tc>
          <w:tcPr>
            <w:tcW w:w="2056" w:type="dxa"/>
            <w:tcBorders>
              <w:top w:val="single" w:sz="4" w:space="0" w:color="auto"/>
              <w:left w:val="nil"/>
              <w:bottom w:val="single" w:sz="4" w:space="0" w:color="auto"/>
              <w:right w:val="single" w:sz="4" w:space="0" w:color="auto"/>
            </w:tcBorders>
            <w:shd w:val="clear" w:color="auto" w:fill="E2EFD9"/>
          </w:tcPr>
          <w:p w14:paraId="74C57DE4" w14:textId="77777777" w:rsidR="00E5025A" w:rsidRPr="00A07F29" w:rsidRDefault="00E5025A" w:rsidP="00295A55">
            <w:pPr>
              <w:widowControl w:val="0"/>
              <w:spacing w:after="0" w:line="240" w:lineRule="auto"/>
              <w:jc w:val="center"/>
              <w:rPr>
                <w:rFonts w:ascii="Times New Roman" w:eastAsia="Times New Roman" w:hAnsi="Times New Roman" w:cs="Times New Roman"/>
                <w:b/>
                <w:sz w:val="20"/>
                <w:szCs w:val="20"/>
                <w:lang w:eastAsia="lv-LV"/>
              </w:rPr>
            </w:pPr>
            <w:r w:rsidRPr="00A07F29">
              <w:rPr>
                <w:rFonts w:ascii="Times New Roman" w:eastAsia="Times New Roman" w:hAnsi="Times New Roman" w:cs="Times New Roman"/>
                <w:b/>
                <w:sz w:val="20"/>
                <w:szCs w:val="20"/>
                <w:lang w:eastAsia="lv-LV"/>
              </w:rPr>
              <w:t>Ietekmes</w:t>
            </w:r>
          </w:p>
          <w:p w14:paraId="577B8412" w14:textId="77777777" w:rsidR="00E5025A" w:rsidRPr="00A07F29" w:rsidRDefault="00E5025A" w:rsidP="00295A55">
            <w:pPr>
              <w:widowControl w:val="0"/>
              <w:spacing w:after="0" w:line="240" w:lineRule="auto"/>
              <w:jc w:val="center"/>
              <w:rPr>
                <w:rFonts w:ascii="Times New Roman" w:eastAsia="Times New Roman" w:hAnsi="Times New Roman" w:cs="Times New Roman"/>
                <w:b/>
                <w:sz w:val="20"/>
                <w:szCs w:val="20"/>
                <w:lang w:eastAsia="lv-LV"/>
              </w:rPr>
            </w:pPr>
            <w:r w:rsidRPr="00A07F29">
              <w:rPr>
                <w:rFonts w:ascii="Times New Roman" w:eastAsia="Times New Roman" w:hAnsi="Times New Roman" w:cs="Times New Roman"/>
                <w:b/>
                <w:sz w:val="20"/>
                <w:szCs w:val="20"/>
                <w:lang w:eastAsia="lv-LV"/>
              </w:rPr>
              <w:t>nosaukums</w:t>
            </w:r>
          </w:p>
        </w:tc>
        <w:tc>
          <w:tcPr>
            <w:tcW w:w="1111" w:type="dxa"/>
            <w:tcBorders>
              <w:top w:val="single" w:sz="4" w:space="0" w:color="auto"/>
              <w:left w:val="single" w:sz="4" w:space="0" w:color="auto"/>
              <w:bottom w:val="single" w:sz="4" w:space="0" w:color="auto"/>
              <w:right w:val="single" w:sz="4" w:space="0" w:color="auto"/>
            </w:tcBorders>
            <w:shd w:val="clear" w:color="auto" w:fill="E2EFD9"/>
            <w:vAlign w:val="center"/>
          </w:tcPr>
          <w:p w14:paraId="38868446" w14:textId="5EC3B4B8" w:rsidR="00E5025A" w:rsidRPr="00A07F29" w:rsidRDefault="00E5025A" w:rsidP="00295A55">
            <w:pPr>
              <w:widowControl w:val="0"/>
              <w:spacing w:after="0" w:line="240" w:lineRule="auto"/>
              <w:jc w:val="center"/>
              <w:rPr>
                <w:rFonts w:ascii="Times New Roman" w:eastAsia="Times New Roman" w:hAnsi="Times New Roman" w:cs="Times New Roman"/>
                <w:b/>
                <w:sz w:val="20"/>
                <w:szCs w:val="20"/>
                <w:lang w:eastAsia="lv-LV"/>
              </w:rPr>
            </w:pPr>
            <w:r w:rsidRPr="00A07F29">
              <w:rPr>
                <w:rFonts w:ascii="Times New Roman" w:eastAsia="Times New Roman" w:hAnsi="Times New Roman" w:cs="Times New Roman"/>
                <w:b/>
                <w:sz w:val="20"/>
                <w:szCs w:val="20"/>
                <w:lang w:eastAsia="lv-LV"/>
              </w:rPr>
              <w:t>Ietekmes kods</w:t>
            </w:r>
            <w:r w:rsidR="00252CB2" w:rsidRPr="00A07F29">
              <w:rPr>
                <w:rStyle w:val="FootnoteReference"/>
                <w:rFonts w:ascii="Times New Roman" w:eastAsia="Times New Roman" w:hAnsi="Times New Roman" w:cs="Times New Roman"/>
                <w:b/>
                <w:sz w:val="20"/>
                <w:szCs w:val="20"/>
                <w:lang w:eastAsia="lv-LV"/>
              </w:rPr>
              <w:footnoteReference w:id="28"/>
            </w:r>
          </w:p>
        </w:tc>
        <w:tc>
          <w:tcPr>
            <w:tcW w:w="983"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B8D5430" w14:textId="77777777" w:rsidR="00E5025A" w:rsidRPr="00A07F29" w:rsidRDefault="00E5025A" w:rsidP="00295A55">
            <w:pPr>
              <w:widowControl w:val="0"/>
              <w:spacing w:after="0" w:line="240" w:lineRule="auto"/>
              <w:jc w:val="center"/>
              <w:rPr>
                <w:rFonts w:ascii="Times New Roman" w:eastAsia="Times New Roman" w:hAnsi="Times New Roman" w:cs="Times New Roman"/>
                <w:b/>
                <w:sz w:val="20"/>
                <w:szCs w:val="20"/>
                <w:lang w:eastAsia="lv-LV"/>
              </w:rPr>
            </w:pPr>
            <w:r w:rsidRPr="00A07F29">
              <w:rPr>
                <w:rFonts w:ascii="Times New Roman" w:eastAsia="Times New Roman" w:hAnsi="Times New Roman" w:cs="Times New Roman"/>
                <w:b/>
                <w:sz w:val="20"/>
                <w:szCs w:val="20"/>
                <w:lang w:eastAsia="lv-LV"/>
              </w:rPr>
              <w:t>Ietekmes veids</w:t>
            </w:r>
          </w:p>
        </w:tc>
        <w:tc>
          <w:tcPr>
            <w:tcW w:w="992" w:type="dxa"/>
            <w:tcBorders>
              <w:top w:val="single" w:sz="4" w:space="0" w:color="auto"/>
              <w:left w:val="nil"/>
              <w:bottom w:val="single" w:sz="4" w:space="0" w:color="auto"/>
              <w:right w:val="single" w:sz="4" w:space="0" w:color="auto"/>
            </w:tcBorders>
            <w:shd w:val="clear" w:color="auto" w:fill="E2EFD9"/>
            <w:vAlign w:val="center"/>
            <w:hideMark/>
          </w:tcPr>
          <w:p w14:paraId="17E3785A" w14:textId="77777777" w:rsidR="00E5025A" w:rsidRPr="00A07F29" w:rsidRDefault="00E5025A" w:rsidP="00295A55">
            <w:pPr>
              <w:widowControl w:val="0"/>
              <w:spacing w:after="0" w:line="240" w:lineRule="auto"/>
              <w:jc w:val="center"/>
              <w:rPr>
                <w:rFonts w:ascii="Times New Roman" w:eastAsia="Times New Roman" w:hAnsi="Times New Roman" w:cs="Times New Roman"/>
                <w:b/>
                <w:sz w:val="20"/>
                <w:szCs w:val="20"/>
                <w:lang w:eastAsia="lv-LV"/>
              </w:rPr>
            </w:pPr>
            <w:r w:rsidRPr="00A07F29">
              <w:rPr>
                <w:rFonts w:ascii="Times New Roman" w:eastAsia="Times New Roman" w:hAnsi="Times New Roman" w:cs="Times New Roman"/>
                <w:b/>
                <w:sz w:val="20"/>
                <w:szCs w:val="20"/>
                <w:lang w:eastAsia="lv-LV"/>
              </w:rPr>
              <w:t>Ietekmes pakāpe</w:t>
            </w:r>
          </w:p>
        </w:tc>
        <w:tc>
          <w:tcPr>
            <w:tcW w:w="1417" w:type="dxa"/>
            <w:tcBorders>
              <w:top w:val="single" w:sz="4" w:space="0" w:color="auto"/>
              <w:left w:val="nil"/>
              <w:bottom w:val="single" w:sz="4" w:space="0" w:color="auto"/>
              <w:right w:val="single" w:sz="4" w:space="0" w:color="auto"/>
            </w:tcBorders>
            <w:shd w:val="clear" w:color="auto" w:fill="E2EFD9"/>
            <w:vAlign w:val="center"/>
            <w:hideMark/>
          </w:tcPr>
          <w:p w14:paraId="0C8CD00B" w14:textId="77777777" w:rsidR="00E5025A" w:rsidRPr="00A07F29" w:rsidRDefault="00E5025A" w:rsidP="00295A55">
            <w:pPr>
              <w:widowControl w:val="0"/>
              <w:spacing w:after="0" w:line="240" w:lineRule="auto"/>
              <w:jc w:val="center"/>
              <w:rPr>
                <w:rFonts w:ascii="Times New Roman" w:eastAsia="Times New Roman" w:hAnsi="Times New Roman" w:cs="Times New Roman"/>
                <w:b/>
                <w:sz w:val="20"/>
                <w:szCs w:val="20"/>
                <w:lang w:eastAsia="lv-LV"/>
              </w:rPr>
            </w:pPr>
            <w:r w:rsidRPr="00A07F29">
              <w:rPr>
                <w:rFonts w:ascii="Times New Roman" w:eastAsia="Times New Roman" w:hAnsi="Times New Roman" w:cs="Times New Roman"/>
                <w:b/>
                <w:sz w:val="20"/>
                <w:szCs w:val="20"/>
                <w:lang w:eastAsia="lv-LV"/>
              </w:rPr>
              <w:t>Piesārņojuma kods</w:t>
            </w:r>
          </w:p>
        </w:tc>
        <w:tc>
          <w:tcPr>
            <w:tcW w:w="983" w:type="dxa"/>
            <w:tcBorders>
              <w:top w:val="single" w:sz="4" w:space="0" w:color="auto"/>
              <w:left w:val="nil"/>
              <w:bottom w:val="single" w:sz="4" w:space="0" w:color="auto"/>
              <w:right w:val="single" w:sz="4" w:space="0" w:color="auto"/>
            </w:tcBorders>
            <w:shd w:val="clear" w:color="auto" w:fill="E2EFD9"/>
            <w:vAlign w:val="center"/>
            <w:hideMark/>
          </w:tcPr>
          <w:p w14:paraId="1115E415" w14:textId="77777777" w:rsidR="00E5025A" w:rsidRPr="00A07F29" w:rsidRDefault="00E5025A" w:rsidP="00295A55">
            <w:pPr>
              <w:widowControl w:val="0"/>
              <w:spacing w:after="0" w:line="240" w:lineRule="auto"/>
              <w:jc w:val="center"/>
              <w:rPr>
                <w:rFonts w:ascii="Times New Roman" w:eastAsia="Times New Roman" w:hAnsi="Times New Roman" w:cs="Times New Roman"/>
                <w:b/>
                <w:sz w:val="20"/>
                <w:szCs w:val="20"/>
                <w:lang w:eastAsia="lv-LV"/>
              </w:rPr>
            </w:pPr>
            <w:r w:rsidRPr="00A07F29">
              <w:rPr>
                <w:rFonts w:ascii="Times New Roman" w:eastAsia="Times New Roman" w:hAnsi="Times New Roman" w:cs="Times New Roman"/>
                <w:b/>
                <w:sz w:val="20"/>
                <w:szCs w:val="20"/>
                <w:lang w:eastAsia="lv-LV"/>
              </w:rPr>
              <w:t>Ietekmes vieta</w:t>
            </w:r>
          </w:p>
        </w:tc>
        <w:tc>
          <w:tcPr>
            <w:tcW w:w="5591" w:type="dxa"/>
            <w:tcBorders>
              <w:top w:val="single" w:sz="4" w:space="0" w:color="auto"/>
              <w:left w:val="nil"/>
              <w:bottom w:val="single" w:sz="4" w:space="0" w:color="auto"/>
              <w:right w:val="single" w:sz="4" w:space="0" w:color="auto"/>
            </w:tcBorders>
            <w:shd w:val="clear" w:color="auto" w:fill="E2EFD9"/>
            <w:vAlign w:val="center"/>
            <w:hideMark/>
          </w:tcPr>
          <w:p w14:paraId="0FDBA1F2" w14:textId="77777777" w:rsidR="00E5025A" w:rsidRPr="00A07F29" w:rsidRDefault="00E5025A" w:rsidP="00295A55">
            <w:pPr>
              <w:widowControl w:val="0"/>
              <w:spacing w:after="0" w:line="240" w:lineRule="auto"/>
              <w:jc w:val="center"/>
              <w:rPr>
                <w:rFonts w:ascii="Times New Roman" w:eastAsia="Times New Roman" w:hAnsi="Times New Roman" w:cs="Times New Roman"/>
                <w:b/>
                <w:sz w:val="20"/>
                <w:szCs w:val="20"/>
                <w:lang w:eastAsia="lv-LV"/>
              </w:rPr>
            </w:pPr>
            <w:r w:rsidRPr="00A07F29">
              <w:rPr>
                <w:rFonts w:ascii="Times New Roman" w:eastAsia="Times New Roman" w:hAnsi="Times New Roman" w:cs="Times New Roman"/>
                <w:b/>
                <w:sz w:val="20"/>
                <w:szCs w:val="20"/>
                <w:lang w:eastAsia="lv-LV"/>
              </w:rPr>
              <w:t>Piezīmes</w:t>
            </w:r>
          </w:p>
        </w:tc>
      </w:tr>
      <w:tr w:rsidR="00E5025A" w:rsidRPr="00A07F29" w14:paraId="4A8B06EA" w14:textId="77777777" w:rsidTr="729E1729">
        <w:trPr>
          <w:trHeight w:val="274"/>
          <w:jc w:val="center"/>
        </w:trPr>
        <w:tc>
          <w:tcPr>
            <w:tcW w:w="14131" w:type="dxa"/>
            <w:gridSpan w:val="8"/>
            <w:tcBorders>
              <w:top w:val="single" w:sz="4" w:space="0" w:color="auto"/>
              <w:left w:val="single" w:sz="4" w:space="0" w:color="auto"/>
              <w:bottom w:val="single" w:sz="4" w:space="0" w:color="auto"/>
              <w:right w:val="single" w:sz="4" w:space="0" w:color="auto"/>
            </w:tcBorders>
            <w:shd w:val="clear" w:color="auto" w:fill="A8D08D"/>
            <w:vAlign w:val="center"/>
          </w:tcPr>
          <w:p w14:paraId="7745C45C" w14:textId="07618EB8" w:rsidR="00E5025A" w:rsidRPr="00A07F29" w:rsidRDefault="0067519E" w:rsidP="0067519E">
            <w:pPr>
              <w:widowControl w:val="0"/>
              <w:spacing w:after="0" w:line="240" w:lineRule="auto"/>
              <w:jc w:val="center"/>
              <w:rPr>
                <w:rFonts w:ascii="Times New Roman" w:eastAsia="Times New Roman" w:hAnsi="Times New Roman" w:cs="Times New Roman"/>
                <w:b/>
                <w:sz w:val="20"/>
                <w:szCs w:val="20"/>
                <w:lang w:eastAsia="lv-LV"/>
              </w:rPr>
            </w:pPr>
            <w:bookmarkStart w:id="39" w:name="_Hlk39748936"/>
            <w:r w:rsidRPr="00A07F29">
              <w:rPr>
                <w:rFonts w:ascii="Times New Roman" w:eastAsia="Times New Roman" w:hAnsi="Times New Roman" w:cs="Times New Roman"/>
                <w:b/>
                <w:sz w:val="20"/>
                <w:szCs w:val="20"/>
                <w:lang w:eastAsia="lv-LV"/>
              </w:rPr>
              <w:t>A.</w:t>
            </w:r>
            <w:r w:rsidR="00E5025A" w:rsidRPr="00A07F29">
              <w:rPr>
                <w:rFonts w:ascii="Times New Roman" w:eastAsia="Times New Roman" w:hAnsi="Times New Roman" w:cs="Times New Roman"/>
                <w:b/>
                <w:sz w:val="20"/>
                <w:szCs w:val="20"/>
                <w:lang w:eastAsia="lv-LV"/>
              </w:rPr>
              <w:t xml:space="preserve"> Lauksaimniecība</w:t>
            </w:r>
          </w:p>
        </w:tc>
      </w:tr>
      <w:tr w:rsidR="00E5025A" w:rsidRPr="00A07F29" w14:paraId="4F471C8D" w14:textId="77777777" w:rsidTr="729E1729">
        <w:trPr>
          <w:trHeight w:val="288"/>
          <w:jc w:val="center"/>
        </w:trPr>
        <w:tc>
          <w:tcPr>
            <w:tcW w:w="998" w:type="dxa"/>
            <w:tcBorders>
              <w:top w:val="nil"/>
              <w:left w:val="single" w:sz="4" w:space="0" w:color="auto"/>
              <w:bottom w:val="single" w:sz="4" w:space="0" w:color="auto"/>
              <w:right w:val="single" w:sz="4" w:space="0" w:color="auto"/>
            </w:tcBorders>
            <w:shd w:val="clear" w:color="auto" w:fill="auto"/>
            <w:hideMark/>
          </w:tcPr>
          <w:p w14:paraId="529524D6" w14:textId="4DF5FCB9" w:rsidR="00E5025A" w:rsidRPr="00A07F29" w:rsidRDefault="008364A8" w:rsidP="0067519E">
            <w:pPr>
              <w:widowControl w:val="0"/>
              <w:spacing w:after="0" w:line="240" w:lineRule="auto"/>
              <w:ind w:left="142"/>
              <w:jc w:val="center"/>
              <w:rPr>
                <w:rFonts w:eastAsia="Times New Roman" w:cs="Times New Roman"/>
                <w:sz w:val="20"/>
                <w:szCs w:val="20"/>
                <w:lang w:eastAsia="lv-LV"/>
              </w:rPr>
            </w:pPr>
            <w:r w:rsidRPr="00A07F29">
              <w:rPr>
                <w:rFonts w:eastAsia="Times New Roman" w:cs="Times New Roman"/>
                <w:sz w:val="20"/>
                <w:szCs w:val="20"/>
                <w:lang w:eastAsia="lv-LV"/>
              </w:rPr>
              <w:t>1.</w:t>
            </w:r>
          </w:p>
        </w:tc>
        <w:tc>
          <w:tcPr>
            <w:tcW w:w="2056" w:type="dxa"/>
            <w:tcBorders>
              <w:top w:val="single" w:sz="4" w:space="0" w:color="auto"/>
              <w:left w:val="nil"/>
              <w:bottom w:val="single" w:sz="4" w:space="0" w:color="auto"/>
              <w:right w:val="single" w:sz="4" w:space="0" w:color="auto"/>
            </w:tcBorders>
          </w:tcPr>
          <w:p w14:paraId="3EB2F9D0" w14:textId="4645232D" w:rsidR="00E5025A" w:rsidRPr="00A07F29" w:rsidRDefault="00E5025A" w:rsidP="00295A55">
            <w:pPr>
              <w:widowControl w:val="0"/>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Lauksaimniec</w:t>
            </w:r>
            <w:r w:rsidR="00E42298" w:rsidRPr="00A07F29">
              <w:rPr>
                <w:rFonts w:ascii="Times New Roman" w:eastAsia="Times New Roman" w:hAnsi="Times New Roman" w:cs="Times New Roman"/>
                <w:sz w:val="20"/>
                <w:szCs w:val="20"/>
                <w:lang w:eastAsia="lv-LV"/>
              </w:rPr>
              <w:t>iskās darbības izmaiņas</w:t>
            </w:r>
          </w:p>
        </w:tc>
        <w:tc>
          <w:tcPr>
            <w:tcW w:w="1111" w:type="dxa"/>
            <w:tcBorders>
              <w:top w:val="nil"/>
              <w:left w:val="single" w:sz="4" w:space="0" w:color="auto"/>
              <w:bottom w:val="single" w:sz="4" w:space="0" w:color="auto"/>
              <w:right w:val="single" w:sz="4" w:space="0" w:color="auto"/>
            </w:tcBorders>
            <w:shd w:val="clear" w:color="auto" w:fill="FFFFFF" w:themeFill="background1"/>
            <w:vAlign w:val="center"/>
          </w:tcPr>
          <w:p w14:paraId="732672C2" w14:textId="77777777" w:rsidR="00E5025A" w:rsidRPr="00A07F29" w:rsidRDefault="00E5025A"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A02</w:t>
            </w:r>
          </w:p>
        </w:tc>
        <w:tc>
          <w:tcPr>
            <w:tcW w:w="983" w:type="dxa"/>
            <w:tcBorders>
              <w:top w:val="nil"/>
              <w:left w:val="single" w:sz="4" w:space="0" w:color="auto"/>
              <w:bottom w:val="single" w:sz="4" w:space="0" w:color="auto"/>
              <w:right w:val="single" w:sz="4" w:space="0" w:color="auto"/>
            </w:tcBorders>
            <w:shd w:val="clear" w:color="auto" w:fill="FFFFFF" w:themeFill="background1"/>
            <w:vAlign w:val="center"/>
            <w:hideMark/>
          </w:tcPr>
          <w:p w14:paraId="250D6048" w14:textId="77777777" w:rsidR="00E5025A" w:rsidRPr="00A07F29" w:rsidRDefault="00E5025A"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N</w:t>
            </w:r>
          </w:p>
        </w:tc>
        <w:tc>
          <w:tcPr>
            <w:tcW w:w="992" w:type="dxa"/>
            <w:tcBorders>
              <w:top w:val="nil"/>
              <w:left w:val="nil"/>
              <w:bottom w:val="single" w:sz="4" w:space="0" w:color="auto"/>
              <w:right w:val="single" w:sz="4" w:space="0" w:color="auto"/>
            </w:tcBorders>
            <w:shd w:val="clear" w:color="auto" w:fill="FFC000"/>
            <w:noWrap/>
            <w:vAlign w:val="center"/>
          </w:tcPr>
          <w:p w14:paraId="0D3381E7" w14:textId="566151AF" w:rsidR="00E5025A" w:rsidRPr="00A07F29" w:rsidRDefault="00E34A41"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H</w:t>
            </w:r>
          </w:p>
        </w:tc>
        <w:tc>
          <w:tcPr>
            <w:tcW w:w="1417" w:type="dxa"/>
            <w:tcBorders>
              <w:top w:val="nil"/>
              <w:left w:val="nil"/>
              <w:bottom w:val="single" w:sz="4" w:space="0" w:color="auto"/>
              <w:right w:val="single" w:sz="4" w:space="0" w:color="auto"/>
            </w:tcBorders>
            <w:shd w:val="clear" w:color="auto" w:fill="FFFFFF" w:themeFill="background1"/>
            <w:noWrap/>
            <w:vAlign w:val="center"/>
            <w:hideMark/>
          </w:tcPr>
          <w:p w14:paraId="0C0B22EF" w14:textId="77777777" w:rsidR="00E5025A" w:rsidRPr="00A07F29" w:rsidRDefault="00E5025A"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w:t>
            </w:r>
          </w:p>
        </w:tc>
        <w:tc>
          <w:tcPr>
            <w:tcW w:w="983" w:type="dxa"/>
            <w:tcBorders>
              <w:top w:val="nil"/>
              <w:left w:val="nil"/>
              <w:bottom w:val="single" w:sz="4" w:space="0" w:color="auto"/>
              <w:right w:val="single" w:sz="4" w:space="0" w:color="auto"/>
            </w:tcBorders>
            <w:shd w:val="clear" w:color="auto" w:fill="FFFFFF" w:themeFill="background1"/>
            <w:noWrap/>
            <w:vAlign w:val="center"/>
            <w:hideMark/>
          </w:tcPr>
          <w:p w14:paraId="2247DE27" w14:textId="77777777" w:rsidR="00E5025A" w:rsidRPr="00A07F29" w:rsidRDefault="00E5025A"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i</w:t>
            </w:r>
          </w:p>
        </w:tc>
        <w:tc>
          <w:tcPr>
            <w:tcW w:w="5591" w:type="dxa"/>
            <w:tcBorders>
              <w:top w:val="nil"/>
              <w:left w:val="nil"/>
              <w:bottom w:val="single" w:sz="4" w:space="0" w:color="auto"/>
              <w:right w:val="single" w:sz="4" w:space="0" w:color="auto"/>
            </w:tcBorders>
            <w:shd w:val="clear" w:color="auto" w:fill="FFFFFF" w:themeFill="background1"/>
            <w:noWrap/>
            <w:vAlign w:val="center"/>
          </w:tcPr>
          <w:p w14:paraId="3A2241E7" w14:textId="57EEC22A" w:rsidR="00E5025A" w:rsidRPr="00A07F29" w:rsidRDefault="00E34A41" w:rsidP="00295A55">
            <w:pPr>
              <w:widowControl w:val="0"/>
              <w:spacing w:after="0" w:line="240" w:lineRule="auto"/>
              <w:jc w:val="both"/>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Pāreja no tradicionālās viensētu vai sādžu lauksaimniecības modeļa uz vidēji intensīvu vai intensīvu lauksaimniecisko darbību vai arī lauksaimniecības zemju pamešana</w:t>
            </w:r>
          </w:p>
        </w:tc>
      </w:tr>
      <w:bookmarkEnd w:id="39"/>
      <w:tr w:rsidR="00E5025A" w:rsidRPr="00A07F29" w14:paraId="4C5C7900" w14:textId="77777777" w:rsidTr="729E1729">
        <w:trPr>
          <w:trHeight w:val="288"/>
          <w:jc w:val="center"/>
        </w:trPr>
        <w:tc>
          <w:tcPr>
            <w:tcW w:w="998" w:type="dxa"/>
            <w:tcBorders>
              <w:top w:val="nil"/>
              <w:left w:val="single" w:sz="4" w:space="0" w:color="auto"/>
              <w:bottom w:val="single" w:sz="4" w:space="0" w:color="auto"/>
              <w:right w:val="single" w:sz="4" w:space="0" w:color="auto"/>
            </w:tcBorders>
            <w:shd w:val="clear" w:color="auto" w:fill="auto"/>
          </w:tcPr>
          <w:p w14:paraId="761F1AB2" w14:textId="738B34DC" w:rsidR="00E5025A" w:rsidRPr="00A07F29" w:rsidRDefault="008364A8" w:rsidP="0067519E">
            <w:pPr>
              <w:widowControl w:val="0"/>
              <w:spacing w:after="0" w:line="240" w:lineRule="auto"/>
              <w:ind w:left="142"/>
              <w:jc w:val="center"/>
              <w:rPr>
                <w:rFonts w:eastAsia="Times New Roman" w:cs="Times New Roman"/>
                <w:sz w:val="20"/>
                <w:szCs w:val="20"/>
                <w:lang w:eastAsia="lv-LV"/>
              </w:rPr>
            </w:pPr>
            <w:r w:rsidRPr="00A07F29">
              <w:rPr>
                <w:rFonts w:eastAsia="Times New Roman" w:cs="Times New Roman"/>
                <w:sz w:val="20"/>
                <w:szCs w:val="20"/>
                <w:lang w:eastAsia="lv-LV"/>
              </w:rPr>
              <w:t>2.</w:t>
            </w:r>
          </w:p>
        </w:tc>
        <w:tc>
          <w:tcPr>
            <w:tcW w:w="2056" w:type="dxa"/>
            <w:tcBorders>
              <w:top w:val="single" w:sz="4" w:space="0" w:color="auto"/>
              <w:left w:val="nil"/>
              <w:bottom w:val="single" w:sz="4" w:space="0" w:color="auto"/>
              <w:right w:val="single" w:sz="4" w:space="0" w:color="auto"/>
            </w:tcBorders>
          </w:tcPr>
          <w:p w14:paraId="225017D3" w14:textId="54EFE908" w:rsidR="00E5025A" w:rsidRPr="00A07F29" w:rsidRDefault="00E42298" w:rsidP="00295A55">
            <w:pPr>
              <w:widowControl w:val="0"/>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Zālāju pļaušana</w:t>
            </w:r>
          </w:p>
        </w:tc>
        <w:tc>
          <w:tcPr>
            <w:tcW w:w="1111" w:type="dxa"/>
            <w:tcBorders>
              <w:top w:val="nil"/>
              <w:left w:val="single" w:sz="4" w:space="0" w:color="auto"/>
              <w:bottom w:val="single" w:sz="4" w:space="0" w:color="auto"/>
              <w:right w:val="single" w:sz="4" w:space="0" w:color="auto"/>
            </w:tcBorders>
            <w:shd w:val="clear" w:color="auto" w:fill="FFFFFF" w:themeFill="background1"/>
            <w:vAlign w:val="center"/>
          </w:tcPr>
          <w:p w14:paraId="75AEC88D" w14:textId="77777777" w:rsidR="00E5025A" w:rsidRPr="00A07F29" w:rsidRDefault="00E5025A" w:rsidP="00295A55">
            <w:pPr>
              <w:widowControl w:val="0"/>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A03</w:t>
            </w:r>
          </w:p>
        </w:tc>
        <w:tc>
          <w:tcPr>
            <w:tcW w:w="983" w:type="dxa"/>
            <w:tcBorders>
              <w:top w:val="nil"/>
              <w:left w:val="single" w:sz="4" w:space="0" w:color="auto"/>
              <w:bottom w:val="single" w:sz="4" w:space="0" w:color="auto"/>
              <w:right w:val="single" w:sz="4" w:space="0" w:color="auto"/>
            </w:tcBorders>
            <w:shd w:val="clear" w:color="auto" w:fill="FFFFFF" w:themeFill="background1"/>
            <w:vAlign w:val="center"/>
          </w:tcPr>
          <w:p w14:paraId="4D50AD54" w14:textId="77777777" w:rsidR="00E5025A" w:rsidRPr="00A07F29" w:rsidRDefault="00E5025A"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P</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2B163CC5" w14:textId="77777777" w:rsidR="00E5025A" w:rsidRPr="00A07F29" w:rsidRDefault="00E5025A"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L</w:t>
            </w:r>
          </w:p>
        </w:tc>
        <w:tc>
          <w:tcPr>
            <w:tcW w:w="1417" w:type="dxa"/>
            <w:tcBorders>
              <w:top w:val="nil"/>
              <w:left w:val="nil"/>
              <w:bottom w:val="single" w:sz="4" w:space="0" w:color="auto"/>
              <w:right w:val="single" w:sz="4" w:space="0" w:color="auto"/>
            </w:tcBorders>
            <w:shd w:val="clear" w:color="auto" w:fill="FFFFFF" w:themeFill="background1"/>
            <w:noWrap/>
            <w:vAlign w:val="center"/>
          </w:tcPr>
          <w:p w14:paraId="0F260F76" w14:textId="77777777" w:rsidR="00E5025A" w:rsidRPr="00A07F29" w:rsidRDefault="00E5025A"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w:t>
            </w:r>
          </w:p>
        </w:tc>
        <w:tc>
          <w:tcPr>
            <w:tcW w:w="983" w:type="dxa"/>
            <w:tcBorders>
              <w:top w:val="nil"/>
              <w:left w:val="nil"/>
              <w:bottom w:val="single" w:sz="4" w:space="0" w:color="auto"/>
              <w:right w:val="single" w:sz="4" w:space="0" w:color="auto"/>
            </w:tcBorders>
            <w:shd w:val="clear" w:color="auto" w:fill="FFFFFF" w:themeFill="background1"/>
            <w:noWrap/>
            <w:vAlign w:val="center"/>
          </w:tcPr>
          <w:p w14:paraId="422BD6B1" w14:textId="77777777" w:rsidR="00E5025A" w:rsidRPr="00A07F29" w:rsidRDefault="00E5025A"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i</w:t>
            </w:r>
          </w:p>
        </w:tc>
        <w:tc>
          <w:tcPr>
            <w:tcW w:w="5591" w:type="dxa"/>
            <w:tcBorders>
              <w:top w:val="nil"/>
              <w:left w:val="nil"/>
              <w:bottom w:val="single" w:sz="4" w:space="0" w:color="auto"/>
              <w:right w:val="single" w:sz="4" w:space="0" w:color="auto"/>
            </w:tcBorders>
            <w:shd w:val="clear" w:color="auto" w:fill="FFFFFF" w:themeFill="background1"/>
            <w:noWrap/>
            <w:vAlign w:val="center"/>
          </w:tcPr>
          <w:p w14:paraId="26D82051" w14:textId="108605E0" w:rsidR="00E5025A" w:rsidRPr="00A07F29" w:rsidRDefault="00E34A41" w:rsidP="00295A55">
            <w:pPr>
              <w:widowControl w:val="0"/>
              <w:spacing w:after="0" w:line="240" w:lineRule="auto"/>
              <w:jc w:val="both"/>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Nozīmīga ES zālāju biotopu un sugu dzīvotņu uzturēšanai</w:t>
            </w:r>
          </w:p>
        </w:tc>
      </w:tr>
      <w:tr w:rsidR="004C3DC2" w:rsidRPr="00A07F29" w14:paraId="085C3C47" w14:textId="77777777" w:rsidTr="729E1729">
        <w:trPr>
          <w:trHeight w:val="288"/>
          <w:jc w:val="center"/>
        </w:trPr>
        <w:tc>
          <w:tcPr>
            <w:tcW w:w="998" w:type="dxa"/>
            <w:tcBorders>
              <w:top w:val="nil"/>
              <w:left w:val="single" w:sz="4" w:space="0" w:color="auto"/>
              <w:bottom w:val="single" w:sz="4" w:space="0" w:color="auto"/>
              <w:right w:val="single" w:sz="4" w:space="0" w:color="auto"/>
            </w:tcBorders>
            <w:shd w:val="clear" w:color="auto" w:fill="FFC000"/>
          </w:tcPr>
          <w:p w14:paraId="33EAECBF" w14:textId="0604031D" w:rsidR="004C3DC2" w:rsidRPr="00A07F29" w:rsidRDefault="008364A8" w:rsidP="0067519E">
            <w:pPr>
              <w:widowControl w:val="0"/>
              <w:spacing w:after="0" w:line="240" w:lineRule="auto"/>
              <w:ind w:left="142"/>
              <w:jc w:val="center"/>
              <w:rPr>
                <w:rFonts w:eastAsia="Times New Roman" w:cs="Times New Roman"/>
                <w:sz w:val="20"/>
                <w:szCs w:val="20"/>
                <w:lang w:eastAsia="lv-LV"/>
              </w:rPr>
            </w:pPr>
            <w:r w:rsidRPr="00A07F29">
              <w:rPr>
                <w:rFonts w:eastAsia="Times New Roman" w:cs="Times New Roman"/>
                <w:sz w:val="20"/>
                <w:szCs w:val="20"/>
                <w:lang w:eastAsia="lv-LV"/>
              </w:rPr>
              <w:t>3.</w:t>
            </w:r>
          </w:p>
        </w:tc>
        <w:tc>
          <w:tcPr>
            <w:tcW w:w="2056" w:type="dxa"/>
            <w:tcBorders>
              <w:top w:val="single" w:sz="4" w:space="0" w:color="auto"/>
              <w:left w:val="nil"/>
              <w:bottom w:val="single" w:sz="4" w:space="0" w:color="auto"/>
              <w:right w:val="single" w:sz="4" w:space="0" w:color="auto"/>
            </w:tcBorders>
            <w:shd w:val="clear" w:color="auto" w:fill="FFC000"/>
          </w:tcPr>
          <w:p w14:paraId="5689329B" w14:textId="35D70357" w:rsidR="004C3DC2" w:rsidRPr="00A07F29" w:rsidRDefault="004C3DC2" w:rsidP="00295A55">
            <w:pPr>
              <w:widowControl w:val="0"/>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Zālāju pļaušanas pārtraukšana</w:t>
            </w:r>
          </w:p>
        </w:tc>
        <w:tc>
          <w:tcPr>
            <w:tcW w:w="1111" w:type="dxa"/>
            <w:tcBorders>
              <w:top w:val="nil"/>
              <w:left w:val="single" w:sz="4" w:space="0" w:color="auto"/>
              <w:bottom w:val="single" w:sz="4" w:space="0" w:color="auto"/>
              <w:right w:val="single" w:sz="4" w:space="0" w:color="auto"/>
            </w:tcBorders>
            <w:shd w:val="clear" w:color="auto" w:fill="FFC000"/>
            <w:vAlign w:val="center"/>
          </w:tcPr>
          <w:p w14:paraId="68673F45" w14:textId="11448B28" w:rsidR="004C3DC2" w:rsidRPr="00A07F29" w:rsidRDefault="004C3DC2" w:rsidP="00295A55">
            <w:pPr>
              <w:widowControl w:val="0"/>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A03.03</w:t>
            </w:r>
          </w:p>
        </w:tc>
        <w:tc>
          <w:tcPr>
            <w:tcW w:w="983" w:type="dxa"/>
            <w:tcBorders>
              <w:top w:val="nil"/>
              <w:left w:val="single" w:sz="4" w:space="0" w:color="auto"/>
              <w:bottom w:val="single" w:sz="4" w:space="0" w:color="auto"/>
              <w:right w:val="single" w:sz="4" w:space="0" w:color="auto"/>
            </w:tcBorders>
            <w:shd w:val="clear" w:color="auto" w:fill="FFC000"/>
            <w:vAlign w:val="center"/>
          </w:tcPr>
          <w:p w14:paraId="5BF32789" w14:textId="0D9B3CC6" w:rsidR="004C3DC2" w:rsidRPr="00A07F29" w:rsidRDefault="004C3DC2"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N</w:t>
            </w:r>
          </w:p>
        </w:tc>
        <w:tc>
          <w:tcPr>
            <w:tcW w:w="992" w:type="dxa"/>
            <w:tcBorders>
              <w:top w:val="nil"/>
              <w:left w:val="nil"/>
              <w:bottom w:val="single" w:sz="4" w:space="0" w:color="auto"/>
              <w:right w:val="single" w:sz="4" w:space="0" w:color="auto"/>
            </w:tcBorders>
            <w:shd w:val="clear" w:color="auto" w:fill="FFC000"/>
            <w:noWrap/>
            <w:vAlign w:val="center"/>
          </w:tcPr>
          <w:p w14:paraId="1A409B13" w14:textId="17773719" w:rsidR="004C3DC2" w:rsidRPr="00A07F29" w:rsidRDefault="004C3DC2"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H</w:t>
            </w:r>
          </w:p>
        </w:tc>
        <w:tc>
          <w:tcPr>
            <w:tcW w:w="1417" w:type="dxa"/>
            <w:tcBorders>
              <w:top w:val="nil"/>
              <w:left w:val="nil"/>
              <w:bottom w:val="single" w:sz="4" w:space="0" w:color="auto"/>
              <w:right w:val="single" w:sz="4" w:space="0" w:color="auto"/>
            </w:tcBorders>
            <w:shd w:val="clear" w:color="auto" w:fill="FFC000"/>
            <w:noWrap/>
            <w:vAlign w:val="center"/>
          </w:tcPr>
          <w:p w14:paraId="3B89D562" w14:textId="53897247" w:rsidR="004C3DC2" w:rsidRPr="00A07F29" w:rsidRDefault="004C3DC2"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w:t>
            </w:r>
          </w:p>
        </w:tc>
        <w:tc>
          <w:tcPr>
            <w:tcW w:w="983" w:type="dxa"/>
            <w:tcBorders>
              <w:top w:val="nil"/>
              <w:left w:val="nil"/>
              <w:bottom w:val="single" w:sz="4" w:space="0" w:color="auto"/>
              <w:right w:val="single" w:sz="4" w:space="0" w:color="auto"/>
            </w:tcBorders>
            <w:shd w:val="clear" w:color="auto" w:fill="FFC000"/>
            <w:noWrap/>
            <w:vAlign w:val="center"/>
          </w:tcPr>
          <w:p w14:paraId="31CBF442" w14:textId="5AF1F079" w:rsidR="004C3DC2" w:rsidRPr="00A07F29" w:rsidRDefault="004C3DC2"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i</w:t>
            </w:r>
          </w:p>
        </w:tc>
        <w:tc>
          <w:tcPr>
            <w:tcW w:w="5591" w:type="dxa"/>
            <w:tcBorders>
              <w:top w:val="nil"/>
              <w:left w:val="nil"/>
              <w:bottom w:val="single" w:sz="4" w:space="0" w:color="auto"/>
              <w:right w:val="single" w:sz="4" w:space="0" w:color="auto"/>
            </w:tcBorders>
            <w:shd w:val="clear" w:color="auto" w:fill="FFC000"/>
            <w:noWrap/>
            <w:vAlign w:val="center"/>
          </w:tcPr>
          <w:p w14:paraId="786651C7" w14:textId="58D47ED3" w:rsidR="004C3DC2" w:rsidRPr="00A07F29" w:rsidRDefault="729E1729" w:rsidP="00295A55">
            <w:pPr>
              <w:widowControl w:val="0"/>
              <w:spacing w:after="0" w:line="240" w:lineRule="auto"/>
              <w:jc w:val="both"/>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Būtiski samazina zālāju bioloģisko daudzveidību visā AAA “Augšdaugava” teritorijā</w:t>
            </w:r>
          </w:p>
        </w:tc>
      </w:tr>
      <w:tr w:rsidR="00E5025A" w:rsidRPr="00A07F29" w14:paraId="0214E8C9" w14:textId="77777777" w:rsidTr="729E1729">
        <w:trPr>
          <w:trHeight w:val="288"/>
          <w:jc w:val="center"/>
        </w:trPr>
        <w:tc>
          <w:tcPr>
            <w:tcW w:w="998" w:type="dxa"/>
            <w:tcBorders>
              <w:top w:val="nil"/>
              <w:left w:val="single" w:sz="4" w:space="0" w:color="auto"/>
              <w:bottom w:val="single" w:sz="4" w:space="0" w:color="auto"/>
              <w:right w:val="single" w:sz="4" w:space="0" w:color="auto"/>
            </w:tcBorders>
            <w:shd w:val="clear" w:color="auto" w:fill="auto"/>
          </w:tcPr>
          <w:p w14:paraId="129AC9F9" w14:textId="20422BFF" w:rsidR="00E5025A" w:rsidRPr="00A07F29" w:rsidRDefault="008364A8" w:rsidP="0067519E">
            <w:pPr>
              <w:widowControl w:val="0"/>
              <w:spacing w:after="0" w:line="240" w:lineRule="auto"/>
              <w:ind w:left="142"/>
              <w:jc w:val="center"/>
              <w:rPr>
                <w:rFonts w:eastAsia="Times New Roman" w:cs="Times New Roman"/>
                <w:sz w:val="20"/>
                <w:szCs w:val="20"/>
                <w:lang w:eastAsia="lv-LV"/>
              </w:rPr>
            </w:pPr>
            <w:r w:rsidRPr="00A07F29">
              <w:rPr>
                <w:rFonts w:eastAsia="Times New Roman" w:cs="Times New Roman"/>
                <w:sz w:val="20"/>
                <w:szCs w:val="20"/>
                <w:lang w:eastAsia="lv-LV"/>
              </w:rPr>
              <w:t>4.</w:t>
            </w:r>
          </w:p>
        </w:tc>
        <w:tc>
          <w:tcPr>
            <w:tcW w:w="2056" w:type="dxa"/>
            <w:tcBorders>
              <w:top w:val="single" w:sz="4" w:space="0" w:color="auto"/>
              <w:left w:val="nil"/>
              <w:bottom w:val="single" w:sz="4" w:space="0" w:color="auto"/>
              <w:right w:val="single" w:sz="4" w:space="0" w:color="auto"/>
            </w:tcBorders>
          </w:tcPr>
          <w:p w14:paraId="5743082F" w14:textId="47262A02" w:rsidR="00E5025A" w:rsidRPr="00A07F29" w:rsidRDefault="00E42298" w:rsidP="00295A55">
            <w:pPr>
              <w:widowControl w:val="0"/>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Noganīšana</w:t>
            </w:r>
          </w:p>
        </w:tc>
        <w:tc>
          <w:tcPr>
            <w:tcW w:w="1111" w:type="dxa"/>
            <w:tcBorders>
              <w:top w:val="nil"/>
              <w:left w:val="single" w:sz="4" w:space="0" w:color="auto"/>
              <w:bottom w:val="single" w:sz="4" w:space="0" w:color="auto"/>
              <w:right w:val="single" w:sz="4" w:space="0" w:color="auto"/>
            </w:tcBorders>
            <w:shd w:val="clear" w:color="auto" w:fill="FFFFFF" w:themeFill="background1"/>
            <w:vAlign w:val="center"/>
          </w:tcPr>
          <w:p w14:paraId="419DCBCA" w14:textId="77777777" w:rsidR="00E5025A" w:rsidRPr="00A07F29" w:rsidRDefault="00E5025A" w:rsidP="00295A55">
            <w:pPr>
              <w:widowControl w:val="0"/>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A04</w:t>
            </w:r>
          </w:p>
        </w:tc>
        <w:tc>
          <w:tcPr>
            <w:tcW w:w="983" w:type="dxa"/>
            <w:tcBorders>
              <w:top w:val="nil"/>
              <w:left w:val="single" w:sz="4" w:space="0" w:color="auto"/>
              <w:bottom w:val="single" w:sz="4" w:space="0" w:color="auto"/>
              <w:right w:val="single" w:sz="4" w:space="0" w:color="auto"/>
            </w:tcBorders>
            <w:shd w:val="clear" w:color="auto" w:fill="FFFFFF" w:themeFill="background1"/>
            <w:vAlign w:val="center"/>
          </w:tcPr>
          <w:p w14:paraId="5D9FE09E" w14:textId="77777777" w:rsidR="00E5025A" w:rsidRPr="00A07F29" w:rsidRDefault="00E5025A"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P</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5978FE3D" w14:textId="77777777" w:rsidR="00E5025A" w:rsidRPr="00A07F29" w:rsidRDefault="00E5025A"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M</w:t>
            </w:r>
          </w:p>
        </w:tc>
        <w:tc>
          <w:tcPr>
            <w:tcW w:w="1417" w:type="dxa"/>
            <w:tcBorders>
              <w:top w:val="nil"/>
              <w:left w:val="nil"/>
              <w:bottom w:val="single" w:sz="4" w:space="0" w:color="auto"/>
              <w:right w:val="single" w:sz="4" w:space="0" w:color="auto"/>
            </w:tcBorders>
            <w:shd w:val="clear" w:color="auto" w:fill="FFFFFF" w:themeFill="background1"/>
            <w:noWrap/>
            <w:vAlign w:val="center"/>
          </w:tcPr>
          <w:p w14:paraId="11BE5922" w14:textId="77777777" w:rsidR="00E5025A" w:rsidRPr="00A07F29" w:rsidRDefault="00E5025A"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w:t>
            </w:r>
          </w:p>
        </w:tc>
        <w:tc>
          <w:tcPr>
            <w:tcW w:w="983" w:type="dxa"/>
            <w:tcBorders>
              <w:top w:val="nil"/>
              <w:left w:val="nil"/>
              <w:bottom w:val="single" w:sz="4" w:space="0" w:color="auto"/>
              <w:right w:val="single" w:sz="4" w:space="0" w:color="auto"/>
            </w:tcBorders>
            <w:shd w:val="clear" w:color="auto" w:fill="FFFFFF" w:themeFill="background1"/>
            <w:noWrap/>
            <w:vAlign w:val="center"/>
          </w:tcPr>
          <w:p w14:paraId="4E6E2134" w14:textId="77777777" w:rsidR="00E5025A" w:rsidRPr="00A07F29" w:rsidRDefault="00E5025A"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i</w:t>
            </w:r>
          </w:p>
        </w:tc>
        <w:tc>
          <w:tcPr>
            <w:tcW w:w="5591" w:type="dxa"/>
            <w:tcBorders>
              <w:top w:val="nil"/>
              <w:left w:val="nil"/>
              <w:bottom w:val="single" w:sz="4" w:space="0" w:color="auto"/>
              <w:right w:val="single" w:sz="4" w:space="0" w:color="auto"/>
            </w:tcBorders>
            <w:shd w:val="clear" w:color="auto" w:fill="FFFFFF" w:themeFill="background1"/>
            <w:noWrap/>
            <w:vAlign w:val="center"/>
          </w:tcPr>
          <w:p w14:paraId="71FC960A" w14:textId="60543FDD" w:rsidR="00E5025A" w:rsidRPr="00A07F29" w:rsidRDefault="00E34A41" w:rsidP="00295A55">
            <w:pPr>
              <w:widowControl w:val="0"/>
              <w:spacing w:after="0" w:line="240" w:lineRule="auto"/>
              <w:jc w:val="both"/>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Lopu blīvums pārsvarā ir nepietiekams, lai uzturētu ES nozīmes zālāju biotopus un atjaunotu zālāju biotopus</w:t>
            </w:r>
          </w:p>
        </w:tc>
      </w:tr>
      <w:tr w:rsidR="00E34A41" w:rsidRPr="00A07F29" w14:paraId="6ADDA0C2" w14:textId="77777777" w:rsidTr="729E1729">
        <w:trPr>
          <w:trHeight w:val="288"/>
          <w:jc w:val="center"/>
        </w:trPr>
        <w:tc>
          <w:tcPr>
            <w:tcW w:w="998" w:type="dxa"/>
            <w:tcBorders>
              <w:top w:val="nil"/>
              <w:left w:val="single" w:sz="4" w:space="0" w:color="auto"/>
              <w:bottom w:val="single" w:sz="4" w:space="0" w:color="auto"/>
              <w:right w:val="single" w:sz="4" w:space="0" w:color="auto"/>
            </w:tcBorders>
            <w:shd w:val="clear" w:color="auto" w:fill="FFC000"/>
          </w:tcPr>
          <w:p w14:paraId="6ABBDBAE" w14:textId="3295B46C" w:rsidR="00E34A41" w:rsidRPr="00A07F29" w:rsidRDefault="008364A8" w:rsidP="0067519E">
            <w:pPr>
              <w:widowControl w:val="0"/>
              <w:spacing w:after="0" w:line="240" w:lineRule="auto"/>
              <w:ind w:left="142"/>
              <w:jc w:val="center"/>
              <w:rPr>
                <w:rFonts w:eastAsia="Times New Roman" w:cs="Times New Roman"/>
                <w:sz w:val="20"/>
                <w:szCs w:val="20"/>
                <w:lang w:eastAsia="lv-LV"/>
              </w:rPr>
            </w:pPr>
            <w:r w:rsidRPr="00A07F29">
              <w:rPr>
                <w:rFonts w:eastAsia="Times New Roman" w:cs="Times New Roman"/>
                <w:sz w:val="20"/>
                <w:szCs w:val="20"/>
                <w:lang w:eastAsia="lv-LV"/>
              </w:rPr>
              <w:t>5.</w:t>
            </w:r>
          </w:p>
        </w:tc>
        <w:tc>
          <w:tcPr>
            <w:tcW w:w="2056" w:type="dxa"/>
            <w:tcBorders>
              <w:top w:val="single" w:sz="4" w:space="0" w:color="auto"/>
              <w:left w:val="nil"/>
              <w:bottom w:val="single" w:sz="4" w:space="0" w:color="auto"/>
              <w:right w:val="single" w:sz="4" w:space="0" w:color="auto"/>
            </w:tcBorders>
            <w:shd w:val="clear" w:color="auto" w:fill="FFC000"/>
          </w:tcPr>
          <w:p w14:paraId="43E78F75" w14:textId="18AC65A1" w:rsidR="00E34A41" w:rsidRPr="00A07F29" w:rsidRDefault="00E34A41" w:rsidP="00295A55">
            <w:pPr>
              <w:widowControl w:val="0"/>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 xml:space="preserve">Atteikšanās no tradicionālās </w:t>
            </w:r>
            <w:proofErr w:type="spellStart"/>
            <w:r w:rsidRPr="00A07F29">
              <w:rPr>
                <w:rFonts w:ascii="Times New Roman" w:eastAsia="Times New Roman" w:hAnsi="Times New Roman" w:cs="Times New Roman"/>
                <w:sz w:val="20"/>
                <w:szCs w:val="20"/>
                <w:lang w:eastAsia="lv-LV"/>
              </w:rPr>
              <w:t>laiksaimniecības</w:t>
            </w:r>
            <w:proofErr w:type="spellEnd"/>
            <w:r w:rsidRPr="00A07F29">
              <w:rPr>
                <w:rFonts w:ascii="Times New Roman" w:eastAsia="Times New Roman" w:hAnsi="Times New Roman" w:cs="Times New Roman"/>
                <w:sz w:val="20"/>
                <w:szCs w:val="20"/>
                <w:lang w:eastAsia="lv-LV"/>
              </w:rPr>
              <w:t>, ganību pamešana</w:t>
            </w:r>
          </w:p>
        </w:tc>
        <w:tc>
          <w:tcPr>
            <w:tcW w:w="1111" w:type="dxa"/>
            <w:tcBorders>
              <w:top w:val="nil"/>
              <w:left w:val="single" w:sz="4" w:space="0" w:color="auto"/>
              <w:bottom w:val="single" w:sz="4" w:space="0" w:color="auto"/>
              <w:right w:val="single" w:sz="4" w:space="0" w:color="auto"/>
            </w:tcBorders>
            <w:shd w:val="clear" w:color="auto" w:fill="FFC000"/>
            <w:vAlign w:val="center"/>
          </w:tcPr>
          <w:p w14:paraId="25774EE7" w14:textId="4BBB490E" w:rsidR="00E34A41" w:rsidRPr="00A07F29" w:rsidRDefault="00E34A41" w:rsidP="00295A55">
            <w:pPr>
              <w:widowControl w:val="0"/>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A04.03</w:t>
            </w:r>
          </w:p>
        </w:tc>
        <w:tc>
          <w:tcPr>
            <w:tcW w:w="983" w:type="dxa"/>
            <w:tcBorders>
              <w:top w:val="nil"/>
              <w:left w:val="single" w:sz="4" w:space="0" w:color="auto"/>
              <w:bottom w:val="single" w:sz="4" w:space="0" w:color="auto"/>
              <w:right w:val="single" w:sz="4" w:space="0" w:color="auto"/>
            </w:tcBorders>
            <w:shd w:val="clear" w:color="auto" w:fill="FFC000"/>
            <w:vAlign w:val="center"/>
          </w:tcPr>
          <w:p w14:paraId="6D1AADC3" w14:textId="28C3851E" w:rsidR="00E34A41" w:rsidRPr="00A07F29" w:rsidRDefault="00E34A41"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N</w:t>
            </w:r>
          </w:p>
        </w:tc>
        <w:tc>
          <w:tcPr>
            <w:tcW w:w="992" w:type="dxa"/>
            <w:tcBorders>
              <w:top w:val="nil"/>
              <w:left w:val="nil"/>
              <w:bottom w:val="single" w:sz="4" w:space="0" w:color="auto"/>
              <w:right w:val="single" w:sz="4" w:space="0" w:color="auto"/>
            </w:tcBorders>
            <w:shd w:val="clear" w:color="auto" w:fill="FFC000"/>
            <w:noWrap/>
            <w:vAlign w:val="center"/>
          </w:tcPr>
          <w:p w14:paraId="3388F45F" w14:textId="6FD68924" w:rsidR="00E34A41" w:rsidRPr="00A07F29" w:rsidRDefault="00E34A41"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H</w:t>
            </w:r>
          </w:p>
        </w:tc>
        <w:tc>
          <w:tcPr>
            <w:tcW w:w="1417" w:type="dxa"/>
            <w:tcBorders>
              <w:top w:val="nil"/>
              <w:left w:val="nil"/>
              <w:bottom w:val="single" w:sz="4" w:space="0" w:color="auto"/>
              <w:right w:val="single" w:sz="4" w:space="0" w:color="auto"/>
            </w:tcBorders>
            <w:shd w:val="clear" w:color="auto" w:fill="FFC000"/>
            <w:noWrap/>
            <w:vAlign w:val="center"/>
          </w:tcPr>
          <w:p w14:paraId="2813B4F5" w14:textId="14582197" w:rsidR="00E34A41" w:rsidRPr="00A07F29" w:rsidRDefault="00E34A41"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w:t>
            </w:r>
          </w:p>
        </w:tc>
        <w:tc>
          <w:tcPr>
            <w:tcW w:w="983" w:type="dxa"/>
            <w:tcBorders>
              <w:top w:val="nil"/>
              <w:left w:val="nil"/>
              <w:bottom w:val="single" w:sz="4" w:space="0" w:color="auto"/>
              <w:right w:val="single" w:sz="4" w:space="0" w:color="auto"/>
            </w:tcBorders>
            <w:shd w:val="clear" w:color="auto" w:fill="FFC000"/>
            <w:noWrap/>
            <w:vAlign w:val="center"/>
          </w:tcPr>
          <w:p w14:paraId="1711E9AE" w14:textId="140D6CE8" w:rsidR="00E34A41" w:rsidRPr="00A07F29" w:rsidRDefault="00E34A41"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i</w:t>
            </w:r>
          </w:p>
        </w:tc>
        <w:tc>
          <w:tcPr>
            <w:tcW w:w="5591" w:type="dxa"/>
            <w:tcBorders>
              <w:top w:val="nil"/>
              <w:left w:val="nil"/>
              <w:bottom w:val="single" w:sz="4" w:space="0" w:color="auto"/>
              <w:right w:val="single" w:sz="4" w:space="0" w:color="auto"/>
            </w:tcBorders>
            <w:shd w:val="clear" w:color="auto" w:fill="FFC000"/>
            <w:noWrap/>
            <w:vAlign w:val="center"/>
          </w:tcPr>
          <w:p w14:paraId="253E8769" w14:textId="12176044" w:rsidR="00E34A41" w:rsidRPr="00A07F29" w:rsidRDefault="00E34A41" w:rsidP="00295A55">
            <w:pPr>
              <w:widowControl w:val="0"/>
              <w:spacing w:after="0" w:line="240" w:lineRule="auto"/>
              <w:jc w:val="both"/>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Daudz pamestu viensētu un sādžu, arī apdzīvotajās viensētās parasti tiek pārtraukta tradicionālā lauksaimniecība un zemas intensitātes noganīšana. Mainās ainavas struktūra un aizaug zālāju biotopi</w:t>
            </w:r>
          </w:p>
        </w:tc>
      </w:tr>
      <w:tr w:rsidR="004C3DC2" w:rsidRPr="00A07F29" w14:paraId="32AC82F5" w14:textId="77777777" w:rsidTr="729E1729">
        <w:trPr>
          <w:trHeight w:val="288"/>
          <w:jc w:val="center"/>
        </w:trPr>
        <w:tc>
          <w:tcPr>
            <w:tcW w:w="998" w:type="dxa"/>
            <w:tcBorders>
              <w:top w:val="nil"/>
              <w:left w:val="single" w:sz="4" w:space="0" w:color="auto"/>
              <w:bottom w:val="single" w:sz="4" w:space="0" w:color="auto"/>
              <w:right w:val="single" w:sz="4" w:space="0" w:color="auto"/>
            </w:tcBorders>
            <w:shd w:val="clear" w:color="auto" w:fill="FFC000"/>
          </w:tcPr>
          <w:p w14:paraId="5739C6D6" w14:textId="7079A707" w:rsidR="004C3DC2" w:rsidRPr="00A07F29" w:rsidRDefault="008364A8" w:rsidP="0067519E">
            <w:pPr>
              <w:widowControl w:val="0"/>
              <w:spacing w:after="0" w:line="240" w:lineRule="auto"/>
              <w:ind w:left="142"/>
              <w:jc w:val="center"/>
              <w:rPr>
                <w:rFonts w:eastAsia="Times New Roman" w:cs="Times New Roman"/>
                <w:sz w:val="20"/>
                <w:szCs w:val="20"/>
                <w:lang w:eastAsia="lv-LV"/>
              </w:rPr>
            </w:pPr>
            <w:r w:rsidRPr="00A07F29">
              <w:rPr>
                <w:rFonts w:eastAsia="Times New Roman" w:cs="Times New Roman"/>
                <w:sz w:val="20"/>
                <w:szCs w:val="20"/>
                <w:lang w:eastAsia="lv-LV"/>
              </w:rPr>
              <w:t>6.</w:t>
            </w:r>
          </w:p>
        </w:tc>
        <w:tc>
          <w:tcPr>
            <w:tcW w:w="2056" w:type="dxa"/>
            <w:tcBorders>
              <w:top w:val="single" w:sz="4" w:space="0" w:color="auto"/>
              <w:left w:val="nil"/>
              <w:bottom w:val="single" w:sz="4" w:space="0" w:color="auto"/>
              <w:right w:val="single" w:sz="4" w:space="0" w:color="auto"/>
            </w:tcBorders>
            <w:shd w:val="clear" w:color="auto" w:fill="FFC000"/>
          </w:tcPr>
          <w:p w14:paraId="5E8DD981" w14:textId="77777777" w:rsidR="004C3DC2" w:rsidRPr="00A07F29" w:rsidRDefault="004C3DC2" w:rsidP="00001788">
            <w:pPr>
              <w:widowControl w:val="0"/>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Intensīva lauksaimnieciska darbība pārtikas audzēšanai</w:t>
            </w:r>
          </w:p>
        </w:tc>
        <w:tc>
          <w:tcPr>
            <w:tcW w:w="1111" w:type="dxa"/>
            <w:tcBorders>
              <w:top w:val="nil"/>
              <w:left w:val="single" w:sz="4" w:space="0" w:color="auto"/>
              <w:bottom w:val="single" w:sz="4" w:space="0" w:color="auto"/>
              <w:right w:val="single" w:sz="4" w:space="0" w:color="auto"/>
            </w:tcBorders>
            <w:shd w:val="clear" w:color="auto" w:fill="FFC000"/>
            <w:vAlign w:val="center"/>
          </w:tcPr>
          <w:p w14:paraId="02DE1AEF" w14:textId="2B730A3D" w:rsidR="004C3DC2" w:rsidRPr="00A07F29" w:rsidRDefault="004C3DC2" w:rsidP="00001788">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A.06.01.01</w:t>
            </w:r>
          </w:p>
        </w:tc>
        <w:tc>
          <w:tcPr>
            <w:tcW w:w="983" w:type="dxa"/>
            <w:tcBorders>
              <w:top w:val="nil"/>
              <w:left w:val="single" w:sz="4" w:space="0" w:color="auto"/>
              <w:bottom w:val="single" w:sz="4" w:space="0" w:color="auto"/>
              <w:right w:val="single" w:sz="4" w:space="0" w:color="auto"/>
            </w:tcBorders>
            <w:shd w:val="clear" w:color="auto" w:fill="FFC000"/>
            <w:vAlign w:val="center"/>
          </w:tcPr>
          <w:p w14:paraId="1DBBF9F9" w14:textId="775C961B" w:rsidR="004C3DC2" w:rsidRPr="00A07F29" w:rsidRDefault="004C3DC2" w:rsidP="00001788">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N</w:t>
            </w:r>
          </w:p>
        </w:tc>
        <w:tc>
          <w:tcPr>
            <w:tcW w:w="992" w:type="dxa"/>
            <w:tcBorders>
              <w:top w:val="nil"/>
              <w:left w:val="nil"/>
              <w:bottom w:val="single" w:sz="4" w:space="0" w:color="auto"/>
              <w:right w:val="single" w:sz="4" w:space="0" w:color="auto"/>
            </w:tcBorders>
            <w:shd w:val="clear" w:color="auto" w:fill="FFC000"/>
            <w:noWrap/>
            <w:vAlign w:val="center"/>
          </w:tcPr>
          <w:p w14:paraId="4F71934F" w14:textId="35F782BE" w:rsidR="004C3DC2" w:rsidRPr="00A07F29" w:rsidRDefault="004C3DC2" w:rsidP="00001788">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M</w:t>
            </w:r>
          </w:p>
        </w:tc>
        <w:tc>
          <w:tcPr>
            <w:tcW w:w="1417" w:type="dxa"/>
            <w:tcBorders>
              <w:top w:val="nil"/>
              <w:left w:val="nil"/>
              <w:bottom w:val="single" w:sz="4" w:space="0" w:color="auto"/>
              <w:right w:val="single" w:sz="4" w:space="0" w:color="auto"/>
            </w:tcBorders>
            <w:shd w:val="clear" w:color="auto" w:fill="FFC000"/>
            <w:noWrap/>
            <w:vAlign w:val="center"/>
          </w:tcPr>
          <w:p w14:paraId="532D23FA" w14:textId="735F9374" w:rsidR="004C3DC2" w:rsidRPr="00A07F29" w:rsidRDefault="004C3DC2" w:rsidP="00001788">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w:t>
            </w:r>
          </w:p>
        </w:tc>
        <w:tc>
          <w:tcPr>
            <w:tcW w:w="983" w:type="dxa"/>
            <w:tcBorders>
              <w:top w:val="nil"/>
              <w:left w:val="nil"/>
              <w:bottom w:val="single" w:sz="4" w:space="0" w:color="auto"/>
              <w:right w:val="single" w:sz="4" w:space="0" w:color="auto"/>
            </w:tcBorders>
            <w:shd w:val="clear" w:color="auto" w:fill="FFC000"/>
            <w:noWrap/>
            <w:vAlign w:val="center"/>
          </w:tcPr>
          <w:p w14:paraId="05CA0557" w14:textId="34A8C094" w:rsidR="004C3DC2" w:rsidRPr="00A07F29" w:rsidRDefault="004C3DC2" w:rsidP="00001788">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i</w:t>
            </w:r>
          </w:p>
        </w:tc>
        <w:tc>
          <w:tcPr>
            <w:tcW w:w="5591" w:type="dxa"/>
            <w:tcBorders>
              <w:top w:val="nil"/>
              <w:left w:val="nil"/>
              <w:bottom w:val="single" w:sz="4" w:space="0" w:color="auto"/>
              <w:right w:val="single" w:sz="4" w:space="0" w:color="auto"/>
            </w:tcBorders>
            <w:shd w:val="clear" w:color="auto" w:fill="FFC000"/>
            <w:noWrap/>
            <w:vAlign w:val="center"/>
          </w:tcPr>
          <w:p w14:paraId="323B9414" w14:textId="63F40BE8" w:rsidR="004C3DC2" w:rsidRPr="00A07F29" w:rsidRDefault="00E34A41" w:rsidP="00001788">
            <w:pPr>
              <w:widowControl w:val="0"/>
              <w:spacing w:after="0" w:line="240" w:lineRule="auto"/>
              <w:jc w:val="both"/>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Daļā teritorijas (Piedrujas, Kaplavas, Salienas pagasti)</w:t>
            </w:r>
          </w:p>
        </w:tc>
      </w:tr>
      <w:tr w:rsidR="00E5025A" w:rsidRPr="00A07F29" w14:paraId="7D1C5C5C" w14:textId="77777777" w:rsidTr="729E1729">
        <w:trPr>
          <w:trHeight w:val="274"/>
          <w:jc w:val="center"/>
        </w:trPr>
        <w:tc>
          <w:tcPr>
            <w:tcW w:w="14131" w:type="dxa"/>
            <w:gridSpan w:val="8"/>
            <w:tcBorders>
              <w:top w:val="single" w:sz="4" w:space="0" w:color="auto"/>
              <w:left w:val="single" w:sz="4" w:space="0" w:color="auto"/>
              <w:bottom w:val="single" w:sz="4" w:space="0" w:color="auto"/>
              <w:right w:val="single" w:sz="4" w:space="0" w:color="auto"/>
            </w:tcBorders>
            <w:shd w:val="clear" w:color="auto" w:fill="A8D08D"/>
            <w:vAlign w:val="center"/>
          </w:tcPr>
          <w:p w14:paraId="773310E7" w14:textId="71C07E8B" w:rsidR="00E5025A" w:rsidRPr="00A07F29" w:rsidRDefault="0067519E" w:rsidP="0067519E">
            <w:pPr>
              <w:widowControl w:val="0"/>
              <w:spacing w:after="0" w:line="240" w:lineRule="auto"/>
              <w:jc w:val="center"/>
              <w:rPr>
                <w:rFonts w:ascii="Times New Roman" w:eastAsia="Times New Roman" w:hAnsi="Times New Roman" w:cs="Times New Roman"/>
                <w:b/>
                <w:sz w:val="20"/>
                <w:szCs w:val="20"/>
                <w:lang w:eastAsia="lv-LV"/>
              </w:rPr>
            </w:pPr>
            <w:r w:rsidRPr="00A07F29">
              <w:rPr>
                <w:rFonts w:ascii="Times New Roman" w:eastAsia="Times New Roman" w:hAnsi="Times New Roman" w:cs="Times New Roman"/>
                <w:b/>
                <w:sz w:val="20"/>
                <w:szCs w:val="20"/>
                <w:lang w:eastAsia="lv-LV"/>
              </w:rPr>
              <w:t>B.</w:t>
            </w:r>
            <w:r w:rsidR="00E5025A" w:rsidRPr="00A07F29">
              <w:rPr>
                <w:rFonts w:ascii="Times New Roman" w:eastAsia="Times New Roman" w:hAnsi="Times New Roman" w:cs="Times New Roman"/>
                <w:b/>
                <w:sz w:val="20"/>
                <w:szCs w:val="20"/>
                <w:lang w:eastAsia="lv-LV"/>
              </w:rPr>
              <w:t xml:space="preserve"> Mežsaimniecība</w:t>
            </w:r>
          </w:p>
        </w:tc>
      </w:tr>
      <w:tr w:rsidR="00392E2F" w:rsidRPr="00A07F29" w14:paraId="40912D03" w14:textId="77777777" w:rsidTr="0067519E">
        <w:trPr>
          <w:trHeight w:val="288"/>
          <w:jc w:val="center"/>
        </w:trPr>
        <w:tc>
          <w:tcPr>
            <w:tcW w:w="998" w:type="dxa"/>
            <w:tcBorders>
              <w:top w:val="nil"/>
              <w:left w:val="single" w:sz="4" w:space="0" w:color="auto"/>
              <w:bottom w:val="single" w:sz="4" w:space="0" w:color="auto"/>
              <w:right w:val="single" w:sz="4" w:space="0" w:color="auto"/>
            </w:tcBorders>
            <w:shd w:val="clear" w:color="auto" w:fill="FFC000"/>
          </w:tcPr>
          <w:p w14:paraId="475A2DCF" w14:textId="78EE8822" w:rsidR="00392E2F" w:rsidRPr="00A07F29" w:rsidRDefault="0067519E" w:rsidP="0067519E">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7.</w:t>
            </w:r>
          </w:p>
        </w:tc>
        <w:tc>
          <w:tcPr>
            <w:tcW w:w="2056" w:type="dxa"/>
            <w:tcBorders>
              <w:top w:val="single" w:sz="4" w:space="0" w:color="auto"/>
              <w:left w:val="nil"/>
              <w:bottom w:val="single" w:sz="4" w:space="0" w:color="auto"/>
              <w:right w:val="single" w:sz="4" w:space="0" w:color="auto"/>
            </w:tcBorders>
            <w:shd w:val="clear" w:color="auto" w:fill="FFC000"/>
          </w:tcPr>
          <w:p w14:paraId="699C4320" w14:textId="405737A7" w:rsidR="00392E2F" w:rsidRPr="00A07F29" w:rsidRDefault="00392E2F" w:rsidP="0067519E">
            <w:pPr>
              <w:widowControl w:val="0"/>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Apmežošana</w:t>
            </w:r>
          </w:p>
        </w:tc>
        <w:tc>
          <w:tcPr>
            <w:tcW w:w="1111" w:type="dxa"/>
            <w:tcBorders>
              <w:top w:val="nil"/>
              <w:left w:val="single" w:sz="4" w:space="0" w:color="auto"/>
              <w:bottom w:val="single" w:sz="4" w:space="0" w:color="auto"/>
              <w:right w:val="single" w:sz="4" w:space="0" w:color="auto"/>
            </w:tcBorders>
            <w:shd w:val="clear" w:color="auto" w:fill="FFC000"/>
            <w:vAlign w:val="center"/>
          </w:tcPr>
          <w:p w14:paraId="2AC8162B" w14:textId="77777777" w:rsidR="00392E2F" w:rsidRPr="00A07F29" w:rsidRDefault="00392E2F" w:rsidP="0067519E">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B01</w:t>
            </w:r>
          </w:p>
        </w:tc>
        <w:tc>
          <w:tcPr>
            <w:tcW w:w="983" w:type="dxa"/>
            <w:tcBorders>
              <w:top w:val="nil"/>
              <w:left w:val="single" w:sz="4" w:space="0" w:color="auto"/>
              <w:bottom w:val="single" w:sz="4" w:space="0" w:color="auto"/>
              <w:right w:val="single" w:sz="4" w:space="0" w:color="auto"/>
            </w:tcBorders>
            <w:shd w:val="clear" w:color="auto" w:fill="FFC000"/>
            <w:vAlign w:val="center"/>
          </w:tcPr>
          <w:p w14:paraId="5907268B" w14:textId="56B39C52" w:rsidR="00392E2F" w:rsidRPr="00A07F29" w:rsidRDefault="00392E2F" w:rsidP="0067519E">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N</w:t>
            </w:r>
          </w:p>
        </w:tc>
        <w:tc>
          <w:tcPr>
            <w:tcW w:w="992" w:type="dxa"/>
            <w:tcBorders>
              <w:top w:val="nil"/>
              <w:left w:val="nil"/>
              <w:bottom w:val="single" w:sz="4" w:space="0" w:color="auto"/>
              <w:right w:val="single" w:sz="4" w:space="0" w:color="auto"/>
            </w:tcBorders>
            <w:shd w:val="clear" w:color="auto" w:fill="FFC000"/>
            <w:noWrap/>
            <w:vAlign w:val="center"/>
          </w:tcPr>
          <w:p w14:paraId="025E81CF" w14:textId="4433BD83" w:rsidR="00392E2F" w:rsidRPr="00A07F29" w:rsidRDefault="0067519E" w:rsidP="0067519E">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M</w:t>
            </w:r>
          </w:p>
        </w:tc>
        <w:tc>
          <w:tcPr>
            <w:tcW w:w="1417" w:type="dxa"/>
            <w:tcBorders>
              <w:top w:val="nil"/>
              <w:left w:val="nil"/>
              <w:bottom w:val="single" w:sz="4" w:space="0" w:color="auto"/>
              <w:right w:val="single" w:sz="4" w:space="0" w:color="auto"/>
            </w:tcBorders>
            <w:shd w:val="clear" w:color="auto" w:fill="FFC000"/>
            <w:noWrap/>
            <w:vAlign w:val="center"/>
          </w:tcPr>
          <w:p w14:paraId="7EA69778" w14:textId="77777777" w:rsidR="00392E2F" w:rsidRPr="00A07F29" w:rsidRDefault="00392E2F" w:rsidP="0067519E">
            <w:pPr>
              <w:widowControl w:val="0"/>
              <w:spacing w:after="0" w:line="240" w:lineRule="auto"/>
              <w:jc w:val="center"/>
              <w:rPr>
                <w:rFonts w:ascii="Times New Roman" w:eastAsia="Times New Roman" w:hAnsi="Times New Roman" w:cs="Times New Roman"/>
                <w:sz w:val="20"/>
                <w:szCs w:val="20"/>
                <w:lang w:eastAsia="lv-LV"/>
              </w:rPr>
            </w:pPr>
          </w:p>
        </w:tc>
        <w:tc>
          <w:tcPr>
            <w:tcW w:w="983" w:type="dxa"/>
            <w:tcBorders>
              <w:top w:val="nil"/>
              <w:left w:val="nil"/>
              <w:bottom w:val="single" w:sz="4" w:space="0" w:color="auto"/>
              <w:right w:val="single" w:sz="4" w:space="0" w:color="auto"/>
            </w:tcBorders>
            <w:shd w:val="clear" w:color="auto" w:fill="FFC000"/>
            <w:noWrap/>
            <w:vAlign w:val="center"/>
          </w:tcPr>
          <w:p w14:paraId="580DDC6B" w14:textId="01A7F345" w:rsidR="00392E2F" w:rsidRPr="00A07F29" w:rsidRDefault="0067519E" w:rsidP="0067519E">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i</w:t>
            </w:r>
          </w:p>
        </w:tc>
        <w:tc>
          <w:tcPr>
            <w:tcW w:w="5591" w:type="dxa"/>
            <w:tcBorders>
              <w:top w:val="nil"/>
              <w:left w:val="nil"/>
              <w:bottom w:val="single" w:sz="4" w:space="0" w:color="auto"/>
              <w:right w:val="single" w:sz="4" w:space="0" w:color="auto"/>
            </w:tcBorders>
            <w:shd w:val="clear" w:color="auto" w:fill="FFC000"/>
            <w:noWrap/>
            <w:vAlign w:val="center"/>
          </w:tcPr>
          <w:p w14:paraId="26CDCF29" w14:textId="12EBF294" w:rsidR="00392E2F" w:rsidRPr="00A07F29" w:rsidRDefault="0067519E" w:rsidP="0067519E">
            <w:pPr>
              <w:widowControl w:val="0"/>
              <w:spacing w:after="0" w:line="240" w:lineRule="auto"/>
              <w:jc w:val="both"/>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Zālāju platību samazināšanās un fragmentācija, izmaiņas ainavā.</w:t>
            </w:r>
          </w:p>
        </w:tc>
      </w:tr>
      <w:tr w:rsidR="00E5025A" w:rsidRPr="00A07F29" w14:paraId="484F5BCB" w14:textId="77777777" w:rsidTr="729E1729">
        <w:trPr>
          <w:trHeight w:val="288"/>
          <w:jc w:val="center"/>
        </w:trPr>
        <w:tc>
          <w:tcPr>
            <w:tcW w:w="998" w:type="dxa"/>
            <w:tcBorders>
              <w:top w:val="nil"/>
              <w:left w:val="single" w:sz="4" w:space="0" w:color="auto"/>
              <w:bottom w:val="single" w:sz="4" w:space="0" w:color="auto"/>
              <w:right w:val="single" w:sz="4" w:space="0" w:color="auto"/>
            </w:tcBorders>
            <w:shd w:val="clear" w:color="auto" w:fill="auto"/>
            <w:hideMark/>
          </w:tcPr>
          <w:p w14:paraId="441042A9" w14:textId="78BAE810" w:rsidR="00E5025A" w:rsidRPr="00A07F29" w:rsidRDefault="0067519E" w:rsidP="0067519E">
            <w:pPr>
              <w:widowControl w:val="0"/>
              <w:spacing w:after="0" w:line="240" w:lineRule="auto"/>
              <w:ind w:left="142" w:hanging="142"/>
              <w:jc w:val="center"/>
              <w:rPr>
                <w:rFonts w:eastAsia="Times New Roman" w:cs="Times New Roman"/>
                <w:sz w:val="20"/>
                <w:szCs w:val="20"/>
                <w:lang w:eastAsia="lv-LV"/>
              </w:rPr>
            </w:pPr>
            <w:bookmarkStart w:id="40" w:name="_Hlk39748736"/>
            <w:r w:rsidRPr="00A07F29">
              <w:rPr>
                <w:rFonts w:eastAsia="Times New Roman" w:cs="Times New Roman"/>
                <w:sz w:val="20"/>
                <w:szCs w:val="20"/>
                <w:lang w:eastAsia="lv-LV"/>
              </w:rPr>
              <w:t>8</w:t>
            </w:r>
            <w:r w:rsidR="008364A8" w:rsidRPr="00A07F29">
              <w:rPr>
                <w:rFonts w:eastAsia="Times New Roman" w:cs="Times New Roman"/>
                <w:sz w:val="20"/>
                <w:szCs w:val="20"/>
                <w:lang w:eastAsia="lv-LV"/>
              </w:rPr>
              <w:t>.</w:t>
            </w:r>
          </w:p>
        </w:tc>
        <w:tc>
          <w:tcPr>
            <w:tcW w:w="2056" w:type="dxa"/>
            <w:tcBorders>
              <w:top w:val="single" w:sz="4" w:space="0" w:color="auto"/>
              <w:left w:val="nil"/>
              <w:bottom w:val="single" w:sz="4" w:space="0" w:color="auto"/>
              <w:right w:val="single" w:sz="4" w:space="0" w:color="auto"/>
            </w:tcBorders>
          </w:tcPr>
          <w:p w14:paraId="3EDA365F" w14:textId="087EEB91" w:rsidR="00E5025A" w:rsidRPr="00A07F29" w:rsidRDefault="00295A55" w:rsidP="00295A55">
            <w:pPr>
              <w:widowControl w:val="0"/>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Kailcirtes mežā</w:t>
            </w:r>
          </w:p>
        </w:tc>
        <w:tc>
          <w:tcPr>
            <w:tcW w:w="1111" w:type="dxa"/>
            <w:tcBorders>
              <w:top w:val="nil"/>
              <w:left w:val="single" w:sz="4" w:space="0" w:color="auto"/>
              <w:bottom w:val="single" w:sz="4" w:space="0" w:color="auto"/>
              <w:right w:val="single" w:sz="4" w:space="0" w:color="auto"/>
            </w:tcBorders>
            <w:shd w:val="clear" w:color="auto" w:fill="FFFFFF" w:themeFill="background1"/>
            <w:vAlign w:val="center"/>
          </w:tcPr>
          <w:p w14:paraId="5464A058" w14:textId="77777777" w:rsidR="00E5025A" w:rsidRPr="00A07F29" w:rsidRDefault="00E5025A"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B02.02</w:t>
            </w:r>
          </w:p>
        </w:tc>
        <w:tc>
          <w:tcPr>
            <w:tcW w:w="983" w:type="dxa"/>
            <w:tcBorders>
              <w:top w:val="nil"/>
              <w:left w:val="single" w:sz="4" w:space="0" w:color="auto"/>
              <w:bottom w:val="single" w:sz="4" w:space="0" w:color="auto"/>
              <w:right w:val="single" w:sz="4" w:space="0" w:color="auto"/>
            </w:tcBorders>
            <w:shd w:val="clear" w:color="auto" w:fill="FFFFFF" w:themeFill="background1"/>
            <w:vAlign w:val="center"/>
            <w:hideMark/>
          </w:tcPr>
          <w:p w14:paraId="336834E6" w14:textId="77777777" w:rsidR="00E5025A" w:rsidRPr="00A07F29" w:rsidRDefault="00E5025A"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N</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3FC228BB" w14:textId="77777777" w:rsidR="00E5025A" w:rsidRPr="00A07F29" w:rsidRDefault="00E5025A"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M</w:t>
            </w:r>
          </w:p>
        </w:tc>
        <w:tc>
          <w:tcPr>
            <w:tcW w:w="1417" w:type="dxa"/>
            <w:tcBorders>
              <w:top w:val="nil"/>
              <w:left w:val="nil"/>
              <w:bottom w:val="single" w:sz="4" w:space="0" w:color="auto"/>
              <w:right w:val="single" w:sz="4" w:space="0" w:color="auto"/>
            </w:tcBorders>
            <w:shd w:val="clear" w:color="auto" w:fill="FFFFFF" w:themeFill="background1"/>
            <w:noWrap/>
            <w:vAlign w:val="center"/>
            <w:hideMark/>
          </w:tcPr>
          <w:p w14:paraId="16A16B39" w14:textId="77777777" w:rsidR="00E5025A" w:rsidRPr="00A07F29" w:rsidRDefault="00E5025A"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w:t>
            </w:r>
          </w:p>
        </w:tc>
        <w:tc>
          <w:tcPr>
            <w:tcW w:w="983" w:type="dxa"/>
            <w:tcBorders>
              <w:top w:val="nil"/>
              <w:left w:val="nil"/>
              <w:bottom w:val="single" w:sz="4" w:space="0" w:color="auto"/>
              <w:right w:val="single" w:sz="4" w:space="0" w:color="auto"/>
            </w:tcBorders>
            <w:shd w:val="clear" w:color="auto" w:fill="FFFFFF" w:themeFill="background1"/>
            <w:noWrap/>
            <w:vAlign w:val="center"/>
            <w:hideMark/>
          </w:tcPr>
          <w:p w14:paraId="499B22A7" w14:textId="77777777" w:rsidR="00E5025A" w:rsidRPr="00A07F29" w:rsidRDefault="00E5025A"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i</w:t>
            </w:r>
          </w:p>
        </w:tc>
        <w:tc>
          <w:tcPr>
            <w:tcW w:w="5591" w:type="dxa"/>
            <w:tcBorders>
              <w:top w:val="nil"/>
              <w:left w:val="nil"/>
              <w:bottom w:val="single" w:sz="4" w:space="0" w:color="auto"/>
              <w:right w:val="single" w:sz="4" w:space="0" w:color="auto"/>
            </w:tcBorders>
            <w:shd w:val="clear" w:color="auto" w:fill="FFFFFF" w:themeFill="background1"/>
            <w:noWrap/>
            <w:vAlign w:val="center"/>
          </w:tcPr>
          <w:p w14:paraId="5F8D3C4E" w14:textId="160C66E5" w:rsidR="00E5025A" w:rsidRPr="00A07F29" w:rsidRDefault="00E34A41" w:rsidP="00295A55">
            <w:pPr>
              <w:widowControl w:val="0"/>
              <w:spacing w:after="0" w:line="240" w:lineRule="auto"/>
              <w:jc w:val="both"/>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Biotopu fragmentācija, dzīvotņu iznīcināšana</w:t>
            </w:r>
          </w:p>
        </w:tc>
      </w:tr>
      <w:tr w:rsidR="000B07FA" w:rsidRPr="00A07F29" w14:paraId="508D781B" w14:textId="77777777" w:rsidTr="002A7684">
        <w:trPr>
          <w:trHeight w:val="288"/>
          <w:jc w:val="center"/>
        </w:trPr>
        <w:tc>
          <w:tcPr>
            <w:tcW w:w="998" w:type="dxa"/>
            <w:tcBorders>
              <w:top w:val="nil"/>
              <w:left w:val="single" w:sz="4" w:space="0" w:color="auto"/>
              <w:bottom w:val="single" w:sz="4" w:space="0" w:color="auto"/>
              <w:right w:val="single" w:sz="4" w:space="0" w:color="auto"/>
            </w:tcBorders>
            <w:shd w:val="clear" w:color="auto" w:fill="auto"/>
          </w:tcPr>
          <w:p w14:paraId="7D93E7BA" w14:textId="526EEE05" w:rsidR="000B07FA" w:rsidRPr="00A07F29" w:rsidRDefault="0067519E" w:rsidP="0067519E">
            <w:pPr>
              <w:widowControl w:val="0"/>
              <w:spacing w:after="0" w:line="240" w:lineRule="auto"/>
              <w:ind w:left="317" w:hanging="317"/>
              <w:contextualSpacing/>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9</w:t>
            </w:r>
            <w:r w:rsidR="000B07FA" w:rsidRPr="00A07F29">
              <w:rPr>
                <w:rFonts w:ascii="Times New Roman" w:eastAsia="Times New Roman" w:hAnsi="Times New Roman" w:cs="Times New Roman"/>
                <w:sz w:val="20"/>
                <w:szCs w:val="20"/>
                <w:lang w:eastAsia="lv-LV"/>
              </w:rPr>
              <w:t>.</w:t>
            </w:r>
          </w:p>
        </w:tc>
        <w:tc>
          <w:tcPr>
            <w:tcW w:w="2056" w:type="dxa"/>
            <w:tcBorders>
              <w:top w:val="single" w:sz="4" w:space="0" w:color="auto"/>
              <w:left w:val="nil"/>
              <w:bottom w:val="single" w:sz="4" w:space="0" w:color="auto"/>
              <w:right w:val="single" w:sz="4" w:space="0" w:color="auto"/>
            </w:tcBorders>
          </w:tcPr>
          <w:p w14:paraId="2E2DBFE9" w14:textId="77777777" w:rsidR="000B07FA" w:rsidRPr="00A07F29" w:rsidRDefault="000B07FA" w:rsidP="002A7684">
            <w:pPr>
              <w:widowControl w:val="0"/>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Meža paaugas novākšana</w:t>
            </w:r>
          </w:p>
        </w:tc>
        <w:tc>
          <w:tcPr>
            <w:tcW w:w="1111" w:type="dxa"/>
            <w:tcBorders>
              <w:top w:val="nil"/>
              <w:left w:val="single" w:sz="4" w:space="0" w:color="auto"/>
              <w:bottom w:val="single" w:sz="4" w:space="0" w:color="auto"/>
              <w:right w:val="single" w:sz="4" w:space="0" w:color="auto"/>
            </w:tcBorders>
            <w:shd w:val="clear" w:color="auto" w:fill="FFFFFF" w:themeFill="background1"/>
            <w:vAlign w:val="center"/>
          </w:tcPr>
          <w:p w14:paraId="2C281281" w14:textId="77777777" w:rsidR="000B07FA" w:rsidRPr="00A07F29" w:rsidRDefault="000B07FA" w:rsidP="002A7684">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B02.03</w:t>
            </w:r>
          </w:p>
        </w:tc>
        <w:tc>
          <w:tcPr>
            <w:tcW w:w="983" w:type="dxa"/>
            <w:tcBorders>
              <w:top w:val="nil"/>
              <w:left w:val="single" w:sz="4" w:space="0" w:color="auto"/>
              <w:bottom w:val="single" w:sz="4" w:space="0" w:color="auto"/>
              <w:right w:val="single" w:sz="4" w:space="0" w:color="auto"/>
            </w:tcBorders>
            <w:shd w:val="clear" w:color="auto" w:fill="FFFFFF" w:themeFill="background1"/>
            <w:vAlign w:val="center"/>
          </w:tcPr>
          <w:p w14:paraId="185AB5EF" w14:textId="77777777" w:rsidR="000B07FA" w:rsidRPr="00A07F29" w:rsidRDefault="000B07FA" w:rsidP="002A7684">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N</w:t>
            </w:r>
          </w:p>
        </w:tc>
        <w:tc>
          <w:tcPr>
            <w:tcW w:w="992" w:type="dxa"/>
            <w:tcBorders>
              <w:top w:val="nil"/>
              <w:left w:val="nil"/>
              <w:bottom w:val="single" w:sz="4" w:space="0" w:color="auto"/>
              <w:right w:val="single" w:sz="4" w:space="0" w:color="auto"/>
            </w:tcBorders>
            <w:shd w:val="clear" w:color="auto" w:fill="FFC000"/>
            <w:noWrap/>
            <w:vAlign w:val="center"/>
          </w:tcPr>
          <w:p w14:paraId="6B0247D8" w14:textId="77777777" w:rsidR="000B07FA" w:rsidRPr="00A07F29" w:rsidRDefault="000B07FA" w:rsidP="002A7684">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L</w:t>
            </w:r>
          </w:p>
        </w:tc>
        <w:tc>
          <w:tcPr>
            <w:tcW w:w="1417" w:type="dxa"/>
            <w:tcBorders>
              <w:top w:val="nil"/>
              <w:left w:val="nil"/>
              <w:bottom w:val="single" w:sz="4" w:space="0" w:color="auto"/>
              <w:right w:val="single" w:sz="4" w:space="0" w:color="auto"/>
            </w:tcBorders>
            <w:shd w:val="clear" w:color="auto" w:fill="FFFFFF" w:themeFill="background1"/>
            <w:noWrap/>
            <w:vAlign w:val="center"/>
          </w:tcPr>
          <w:p w14:paraId="518B283F" w14:textId="77777777" w:rsidR="000B07FA" w:rsidRPr="00A07F29" w:rsidRDefault="000B07FA" w:rsidP="002A7684">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w:t>
            </w:r>
          </w:p>
        </w:tc>
        <w:tc>
          <w:tcPr>
            <w:tcW w:w="983" w:type="dxa"/>
            <w:tcBorders>
              <w:top w:val="nil"/>
              <w:left w:val="nil"/>
              <w:bottom w:val="single" w:sz="4" w:space="0" w:color="auto"/>
              <w:right w:val="single" w:sz="4" w:space="0" w:color="auto"/>
            </w:tcBorders>
            <w:shd w:val="clear" w:color="auto" w:fill="FFFFFF" w:themeFill="background1"/>
            <w:noWrap/>
            <w:vAlign w:val="center"/>
          </w:tcPr>
          <w:p w14:paraId="6293DF9D" w14:textId="77777777" w:rsidR="000B07FA" w:rsidRPr="00A07F29" w:rsidRDefault="000B07FA" w:rsidP="002A7684">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i</w:t>
            </w:r>
          </w:p>
        </w:tc>
        <w:tc>
          <w:tcPr>
            <w:tcW w:w="5591" w:type="dxa"/>
            <w:tcBorders>
              <w:top w:val="nil"/>
              <w:left w:val="nil"/>
              <w:bottom w:val="single" w:sz="4" w:space="0" w:color="auto"/>
              <w:right w:val="single" w:sz="4" w:space="0" w:color="auto"/>
            </w:tcBorders>
            <w:shd w:val="clear" w:color="auto" w:fill="FFFFFF" w:themeFill="background1"/>
            <w:noWrap/>
            <w:vAlign w:val="center"/>
          </w:tcPr>
          <w:p w14:paraId="5DF664FF" w14:textId="77777777" w:rsidR="000B07FA" w:rsidRPr="00A07F29" w:rsidRDefault="000B07FA" w:rsidP="002A7684">
            <w:pPr>
              <w:widowControl w:val="0"/>
              <w:spacing w:after="0" w:line="240" w:lineRule="auto"/>
              <w:jc w:val="both"/>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Var apdraudēt mitro mežu biotopus, gravu mežus</w:t>
            </w:r>
          </w:p>
        </w:tc>
      </w:tr>
      <w:tr w:rsidR="000B07FA" w:rsidRPr="00A07F29" w14:paraId="008218CF" w14:textId="77777777" w:rsidTr="002A7684">
        <w:trPr>
          <w:trHeight w:val="288"/>
          <w:jc w:val="center"/>
        </w:trPr>
        <w:tc>
          <w:tcPr>
            <w:tcW w:w="998" w:type="dxa"/>
            <w:tcBorders>
              <w:top w:val="nil"/>
              <w:left w:val="single" w:sz="4" w:space="0" w:color="auto"/>
              <w:bottom w:val="single" w:sz="4" w:space="0" w:color="auto"/>
              <w:right w:val="single" w:sz="4" w:space="0" w:color="auto"/>
            </w:tcBorders>
            <w:shd w:val="clear" w:color="auto" w:fill="FFC000"/>
          </w:tcPr>
          <w:p w14:paraId="5E458C1B" w14:textId="48906581" w:rsidR="000B07FA" w:rsidRPr="00A07F29" w:rsidRDefault="000B07FA" w:rsidP="0067519E">
            <w:pPr>
              <w:widowControl w:val="0"/>
              <w:spacing w:after="0" w:line="240" w:lineRule="auto"/>
              <w:ind w:left="317" w:hanging="317"/>
              <w:contextualSpacing/>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1</w:t>
            </w:r>
            <w:r w:rsidR="0067519E" w:rsidRPr="00A07F29">
              <w:rPr>
                <w:rFonts w:ascii="Times New Roman" w:eastAsia="Times New Roman" w:hAnsi="Times New Roman" w:cs="Times New Roman"/>
                <w:sz w:val="20"/>
                <w:szCs w:val="20"/>
                <w:lang w:eastAsia="lv-LV"/>
              </w:rPr>
              <w:t>0</w:t>
            </w:r>
            <w:r w:rsidRPr="00A07F29">
              <w:rPr>
                <w:rFonts w:ascii="Times New Roman" w:eastAsia="Times New Roman" w:hAnsi="Times New Roman" w:cs="Times New Roman"/>
                <w:sz w:val="20"/>
                <w:szCs w:val="20"/>
                <w:lang w:eastAsia="lv-LV"/>
              </w:rPr>
              <w:t>.</w:t>
            </w:r>
          </w:p>
        </w:tc>
        <w:tc>
          <w:tcPr>
            <w:tcW w:w="2056" w:type="dxa"/>
            <w:tcBorders>
              <w:top w:val="single" w:sz="4" w:space="0" w:color="auto"/>
              <w:left w:val="nil"/>
              <w:bottom w:val="single" w:sz="4" w:space="0" w:color="auto"/>
              <w:right w:val="single" w:sz="4" w:space="0" w:color="auto"/>
            </w:tcBorders>
            <w:shd w:val="clear" w:color="auto" w:fill="FFC000"/>
          </w:tcPr>
          <w:p w14:paraId="2D1CE205" w14:textId="77777777" w:rsidR="000B07FA" w:rsidRPr="00A07F29" w:rsidRDefault="000B07FA" w:rsidP="002A7684">
            <w:pPr>
              <w:widowControl w:val="0"/>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Meža paaugas novākšana</w:t>
            </w:r>
          </w:p>
        </w:tc>
        <w:tc>
          <w:tcPr>
            <w:tcW w:w="1111" w:type="dxa"/>
            <w:tcBorders>
              <w:top w:val="nil"/>
              <w:left w:val="single" w:sz="4" w:space="0" w:color="auto"/>
              <w:bottom w:val="single" w:sz="4" w:space="0" w:color="auto"/>
              <w:right w:val="single" w:sz="4" w:space="0" w:color="auto"/>
            </w:tcBorders>
            <w:shd w:val="clear" w:color="auto" w:fill="FFC000"/>
            <w:vAlign w:val="center"/>
          </w:tcPr>
          <w:p w14:paraId="4817971C" w14:textId="77777777" w:rsidR="000B07FA" w:rsidRPr="00A07F29" w:rsidRDefault="000B07FA" w:rsidP="002A7684">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B02.03</w:t>
            </w:r>
          </w:p>
        </w:tc>
        <w:tc>
          <w:tcPr>
            <w:tcW w:w="983" w:type="dxa"/>
            <w:tcBorders>
              <w:top w:val="nil"/>
              <w:left w:val="single" w:sz="4" w:space="0" w:color="auto"/>
              <w:bottom w:val="single" w:sz="4" w:space="0" w:color="auto"/>
              <w:right w:val="single" w:sz="4" w:space="0" w:color="auto"/>
            </w:tcBorders>
            <w:shd w:val="clear" w:color="auto" w:fill="FFC000"/>
            <w:vAlign w:val="center"/>
          </w:tcPr>
          <w:p w14:paraId="4C0CD6FA" w14:textId="77777777" w:rsidR="000B07FA" w:rsidRPr="00A07F29" w:rsidRDefault="000B07FA" w:rsidP="002A7684">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P</w:t>
            </w:r>
          </w:p>
        </w:tc>
        <w:tc>
          <w:tcPr>
            <w:tcW w:w="992" w:type="dxa"/>
            <w:tcBorders>
              <w:top w:val="nil"/>
              <w:left w:val="nil"/>
              <w:bottom w:val="single" w:sz="4" w:space="0" w:color="auto"/>
              <w:right w:val="single" w:sz="4" w:space="0" w:color="auto"/>
            </w:tcBorders>
            <w:shd w:val="clear" w:color="auto" w:fill="FFC000"/>
            <w:noWrap/>
            <w:vAlign w:val="center"/>
          </w:tcPr>
          <w:p w14:paraId="23A00B71" w14:textId="77777777" w:rsidR="000B07FA" w:rsidRPr="00A07F29" w:rsidRDefault="000B07FA" w:rsidP="002A7684">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L</w:t>
            </w:r>
          </w:p>
        </w:tc>
        <w:tc>
          <w:tcPr>
            <w:tcW w:w="1417" w:type="dxa"/>
            <w:tcBorders>
              <w:top w:val="nil"/>
              <w:left w:val="nil"/>
              <w:bottom w:val="single" w:sz="4" w:space="0" w:color="auto"/>
              <w:right w:val="single" w:sz="4" w:space="0" w:color="auto"/>
            </w:tcBorders>
            <w:shd w:val="clear" w:color="auto" w:fill="FFC000"/>
            <w:noWrap/>
            <w:vAlign w:val="center"/>
          </w:tcPr>
          <w:p w14:paraId="4DE3A0A0" w14:textId="77777777" w:rsidR="000B07FA" w:rsidRPr="00A07F29" w:rsidRDefault="000B07FA" w:rsidP="002A7684">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w:t>
            </w:r>
          </w:p>
        </w:tc>
        <w:tc>
          <w:tcPr>
            <w:tcW w:w="983" w:type="dxa"/>
            <w:tcBorders>
              <w:top w:val="nil"/>
              <w:left w:val="nil"/>
              <w:bottom w:val="single" w:sz="4" w:space="0" w:color="auto"/>
              <w:right w:val="single" w:sz="4" w:space="0" w:color="auto"/>
            </w:tcBorders>
            <w:shd w:val="clear" w:color="auto" w:fill="FFC000"/>
            <w:noWrap/>
            <w:vAlign w:val="center"/>
          </w:tcPr>
          <w:p w14:paraId="30960B45" w14:textId="77777777" w:rsidR="000B07FA" w:rsidRPr="00A07F29" w:rsidRDefault="000B07FA" w:rsidP="002A7684">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i</w:t>
            </w:r>
          </w:p>
        </w:tc>
        <w:tc>
          <w:tcPr>
            <w:tcW w:w="5591" w:type="dxa"/>
            <w:tcBorders>
              <w:top w:val="nil"/>
              <w:left w:val="nil"/>
              <w:bottom w:val="single" w:sz="4" w:space="0" w:color="auto"/>
              <w:right w:val="single" w:sz="4" w:space="0" w:color="auto"/>
            </w:tcBorders>
            <w:shd w:val="clear" w:color="auto" w:fill="FFC000"/>
            <w:noWrap/>
            <w:vAlign w:val="center"/>
          </w:tcPr>
          <w:p w14:paraId="073B1430" w14:textId="77777777" w:rsidR="000B07FA" w:rsidRPr="00A07F29" w:rsidRDefault="000B07FA" w:rsidP="002A7684">
            <w:pPr>
              <w:widowControl w:val="0"/>
              <w:spacing w:after="0" w:line="240" w:lineRule="auto"/>
              <w:jc w:val="both"/>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 xml:space="preserve">Veicot kopšanas cirti priežu mežos tiek saglabāts pietiekams </w:t>
            </w:r>
            <w:proofErr w:type="spellStart"/>
            <w:r w:rsidRPr="00A07F29">
              <w:rPr>
                <w:rFonts w:ascii="Times New Roman" w:eastAsia="Times New Roman" w:hAnsi="Times New Roman" w:cs="Times New Roman"/>
                <w:sz w:val="20"/>
                <w:szCs w:val="20"/>
                <w:lang w:eastAsia="lv-LV"/>
              </w:rPr>
              <w:t>izsauļojums</w:t>
            </w:r>
            <w:proofErr w:type="spellEnd"/>
            <w:r w:rsidRPr="00A07F29">
              <w:rPr>
                <w:rFonts w:ascii="Times New Roman" w:eastAsia="Times New Roman" w:hAnsi="Times New Roman" w:cs="Times New Roman"/>
                <w:sz w:val="20"/>
                <w:szCs w:val="20"/>
                <w:lang w:eastAsia="lv-LV"/>
              </w:rPr>
              <w:t>, lai saglabātu labvēlīgus apstākļus gaismas mīlošajām sugām</w:t>
            </w:r>
          </w:p>
        </w:tc>
      </w:tr>
      <w:tr w:rsidR="000B07FA" w:rsidRPr="00A07F29" w14:paraId="4EF24AAD" w14:textId="77777777" w:rsidTr="002A7684">
        <w:trPr>
          <w:trHeight w:val="288"/>
          <w:jc w:val="center"/>
        </w:trPr>
        <w:tc>
          <w:tcPr>
            <w:tcW w:w="998" w:type="dxa"/>
            <w:tcBorders>
              <w:top w:val="nil"/>
              <w:left w:val="single" w:sz="4" w:space="0" w:color="auto"/>
              <w:bottom w:val="single" w:sz="4" w:space="0" w:color="auto"/>
              <w:right w:val="single" w:sz="4" w:space="0" w:color="auto"/>
            </w:tcBorders>
            <w:shd w:val="clear" w:color="auto" w:fill="FFC000"/>
          </w:tcPr>
          <w:p w14:paraId="7630F8B1" w14:textId="3674E193" w:rsidR="000B07FA" w:rsidRPr="00A07F29" w:rsidRDefault="000B07FA" w:rsidP="0067519E">
            <w:pPr>
              <w:widowControl w:val="0"/>
              <w:spacing w:after="0" w:line="240" w:lineRule="auto"/>
              <w:contextualSpacing/>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1</w:t>
            </w:r>
            <w:r w:rsidR="0067519E" w:rsidRPr="00A07F29">
              <w:rPr>
                <w:rFonts w:ascii="Times New Roman" w:eastAsia="Times New Roman" w:hAnsi="Times New Roman" w:cs="Times New Roman"/>
                <w:sz w:val="20"/>
                <w:szCs w:val="20"/>
                <w:lang w:eastAsia="lv-LV"/>
              </w:rPr>
              <w:t>1</w:t>
            </w:r>
            <w:r w:rsidRPr="00A07F29">
              <w:rPr>
                <w:rFonts w:ascii="Times New Roman" w:eastAsia="Times New Roman" w:hAnsi="Times New Roman" w:cs="Times New Roman"/>
                <w:sz w:val="20"/>
                <w:szCs w:val="20"/>
                <w:lang w:eastAsia="lv-LV"/>
              </w:rPr>
              <w:t>.</w:t>
            </w:r>
          </w:p>
        </w:tc>
        <w:tc>
          <w:tcPr>
            <w:tcW w:w="2056" w:type="dxa"/>
            <w:tcBorders>
              <w:top w:val="single" w:sz="4" w:space="0" w:color="auto"/>
              <w:left w:val="nil"/>
              <w:bottom w:val="single" w:sz="4" w:space="0" w:color="auto"/>
              <w:right w:val="single" w:sz="4" w:space="0" w:color="auto"/>
            </w:tcBorders>
            <w:shd w:val="clear" w:color="auto" w:fill="FFC000"/>
          </w:tcPr>
          <w:p w14:paraId="4FC18F5E" w14:textId="77777777" w:rsidR="000B07FA" w:rsidRPr="00A07F29" w:rsidRDefault="000B07FA" w:rsidP="002A7684">
            <w:pPr>
              <w:widowControl w:val="0"/>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Mirušās koksnes izvākšana mežos</w:t>
            </w:r>
          </w:p>
        </w:tc>
        <w:tc>
          <w:tcPr>
            <w:tcW w:w="1111" w:type="dxa"/>
            <w:tcBorders>
              <w:top w:val="nil"/>
              <w:left w:val="single" w:sz="4" w:space="0" w:color="auto"/>
              <w:bottom w:val="single" w:sz="4" w:space="0" w:color="auto"/>
              <w:right w:val="single" w:sz="4" w:space="0" w:color="auto"/>
            </w:tcBorders>
            <w:shd w:val="clear" w:color="auto" w:fill="FFC000"/>
            <w:vAlign w:val="center"/>
          </w:tcPr>
          <w:p w14:paraId="4FA5E6BC" w14:textId="77777777" w:rsidR="000B07FA" w:rsidRPr="00A07F29" w:rsidRDefault="000B07FA" w:rsidP="002A7684">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B02.04</w:t>
            </w:r>
          </w:p>
        </w:tc>
        <w:tc>
          <w:tcPr>
            <w:tcW w:w="983" w:type="dxa"/>
            <w:tcBorders>
              <w:top w:val="nil"/>
              <w:left w:val="single" w:sz="4" w:space="0" w:color="auto"/>
              <w:bottom w:val="single" w:sz="4" w:space="0" w:color="auto"/>
              <w:right w:val="single" w:sz="4" w:space="0" w:color="auto"/>
            </w:tcBorders>
            <w:shd w:val="clear" w:color="auto" w:fill="FFC000"/>
            <w:vAlign w:val="center"/>
          </w:tcPr>
          <w:p w14:paraId="2A918F1E" w14:textId="77777777" w:rsidR="000B07FA" w:rsidRPr="00A07F29" w:rsidRDefault="000B07FA" w:rsidP="002A7684">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N</w:t>
            </w:r>
          </w:p>
        </w:tc>
        <w:tc>
          <w:tcPr>
            <w:tcW w:w="992" w:type="dxa"/>
            <w:tcBorders>
              <w:top w:val="nil"/>
              <w:left w:val="nil"/>
              <w:bottom w:val="single" w:sz="4" w:space="0" w:color="auto"/>
              <w:right w:val="single" w:sz="4" w:space="0" w:color="auto"/>
            </w:tcBorders>
            <w:shd w:val="clear" w:color="auto" w:fill="FFC000"/>
            <w:noWrap/>
            <w:vAlign w:val="center"/>
          </w:tcPr>
          <w:p w14:paraId="2D2C3D0E" w14:textId="77777777" w:rsidR="000B07FA" w:rsidRPr="00A07F29" w:rsidRDefault="000B07FA" w:rsidP="002A7684">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H</w:t>
            </w:r>
          </w:p>
        </w:tc>
        <w:tc>
          <w:tcPr>
            <w:tcW w:w="1417" w:type="dxa"/>
            <w:tcBorders>
              <w:top w:val="nil"/>
              <w:left w:val="nil"/>
              <w:bottom w:val="single" w:sz="4" w:space="0" w:color="auto"/>
              <w:right w:val="single" w:sz="4" w:space="0" w:color="auto"/>
            </w:tcBorders>
            <w:shd w:val="clear" w:color="auto" w:fill="FFC000"/>
            <w:noWrap/>
            <w:vAlign w:val="center"/>
          </w:tcPr>
          <w:p w14:paraId="152EFCAF" w14:textId="77777777" w:rsidR="000B07FA" w:rsidRPr="00A07F29" w:rsidRDefault="000B07FA" w:rsidP="002A7684">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w:t>
            </w:r>
          </w:p>
        </w:tc>
        <w:tc>
          <w:tcPr>
            <w:tcW w:w="983" w:type="dxa"/>
            <w:tcBorders>
              <w:top w:val="nil"/>
              <w:left w:val="nil"/>
              <w:bottom w:val="single" w:sz="4" w:space="0" w:color="auto"/>
              <w:right w:val="single" w:sz="4" w:space="0" w:color="auto"/>
            </w:tcBorders>
            <w:shd w:val="clear" w:color="auto" w:fill="FFC000"/>
            <w:noWrap/>
            <w:vAlign w:val="center"/>
          </w:tcPr>
          <w:p w14:paraId="46A07AB3" w14:textId="77777777" w:rsidR="000B07FA" w:rsidRPr="00A07F29" w:rsidRDefault="000B07FA" w:rsidP="002A7684">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i</w:t>
            </w:r>
          </w:p>
        </w:tc>
        <w:tc>
          <w:tcPr>
            <w:tcW w:w="5591" w:type="dxa"/>
            <w:tcBorders>
              <w:top w:val="nil"/>
              <w:left w:val="nil"/>
              <w:bottom w:val="single" w:sz="4" w:space="0" w:color="auto"/>
              <w:right w:val="single" w:sz="4" w:space="0" w:color="auto"/>
            </w:tcBorders>
            <w:shd w:val="clear" w:color="auto" w:fill="FFC000"/>
            <w:noWrap/>
            <w:vAlign w:val="center"/>
          </w:tcPr>
          <w:p w14:paraId="158FF68D" w14:textId="77777777" w:rsidR="000B07FA" w:rsidRPr="00A07F29" w:rsidRDefault="000B07FA" w:rsidP="002A7684">
            <w:pPr>
              <w:widowControl w:val="0"/>
              <w:spacing w:after="0" w:line="240" w:lineRule="auto"/>
              <w:jc w:val="both"/>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AAA “Augšdaugava” teritorijā ietekmē sausos priežu mežus, īpaši rekreācijas vietu tuvumā un pie apdzīvotām vietām.</w:t>
            </w:r>
          </w:p>
        </w:tc>
      </w:tr>
      <w:tr w:rsidR="00E34A41" w:rsidRPr="00A07F29" w14:paraId="497FB507" w14:textId="77777777" w:rsidTr="729E1729">
        <w:trPr>
          <w:trHeight w:val="288"/>
          <w:jc w:val="center"/>
        </w:trPr>
        <w:tc>
          <w:tcPr>
            <w:tcW w:w="998" w:type="dxa"/>
            <w:tcBorders>
              <w:top w:val="nil"/>
              <w:left w:val="single" w:sz="4" w:space="0" w:color="auto"/>
              <w:bottom w:val="single" w:sz="4" w:space="0" w:color="auto"/>
              <w:right w:val="single" w:sz="4" w:space="0" w:color="auto"/>
            </w:tcBorders>
            <w:shd w:val="clear" w:color="auto" w:fill="FFC000"/>
          </w:tcPr>
          <w:p w14:paraId="6423AE67" w14:textId="2AD26E6E" w:rsidR="00E34A41" w:rsidRPr="00A07F29" w:rsidRDefault="0067519E" w:rsidP="0067519E">
            <w:pPr>
              <w:widowControl w:val="0"/>
              <w:spacing w:after="0" w:line="240" w:lineRule="auto"/>
              <w:ind w:left="142" w:hanging="142"/>
              <w:contextualSpacing/>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12</w:t>
            </w:r>
            <w:r w:rsidR="003601FC" w:rsidRPr="00A07F29">
              <w:rPr>
                <w:rFonts w:ascii="Times New Roman" w:eastAsia="Times New Roman" w:hAnsi="Times New Roman" w:cs="Times New Roman"/>
                <w:sz w:val="20"/>
                <w:szCs w:val="20"/>
                <w:lang w:eastAsia="lv-LV"/>
              </w:rPr>
              <w:t>.</w:t>
            </w:r>
          </w:p>
        </w:tc>
        <w:tc>
          <w:tcPr>
            <w:tcW w:w="2056" w:type="dxa"/>
            <w:tcBorders>
              <w:top w:val="single" w:sz="4" w:space="0" w:color="auto"/>
              <w:left w:val="nil"/>
              <w:bottom w:val="single" w:sz="4" w:space="0" w:color="auto"/>
              <w:right w:val="single" w:sz="4" w:space="0" w:color="auto"/>
            </w:tcBorders>
            <w:shd w:val="clear" w:color="auto" w:fill="FFC000"/>
          </w:tcPr>
          <w:p w14:paraId="47E6991B" w14:textId="2744F5DE" w:rsidR="00E34A41" w:rsidRPr="00A07F29" w:rsidRDefault="00E34A41" w:rsidP="00295A55">
            <w:pPr>
              <w:widowControl w:val="0"/>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Izlases un kopšanas cirtes mežā</w:t>
            </w:r>
          </w:p>
        </w:tc>
        <w:tc>
          <w:tcPr>
            <w:tcW w:w="1111" w:type="dxa"/>
            <w:tcBorders>
              <w:top w:val="nil"/>
              <w:left w:val="single" w:sz="4" w:space="0" w:color="auto"/>
              <w:bottom w:val="single" w:sz="4" w:space="0" w:color="auto"/>
              <w:right w:val="single" w:sz="4" w:space="0" w:color="auto"/>
            </w:tcBorders>
            <w:shd w:val="clear" w:color="auto" w:fill="FFC000"/>
            <w:vAlign w:val="center"/>
          </w:tcPr>
          <w:p w14:paraId="748C8C07" w14:textId="23523448" w:rsidR="00E34A41" w:rsidRPr="00A07F29" w:rsidRDefault="00E34A41"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B02.06</w:t>
            </w:r>
          </w:p>
        </w:tc>
        <w:tc>
          <w:tcPr>
            <w:tcW w:w="983" w:type="dxa"/>
            <w:tcBorders>
              <w:top w:val="nil"/>
              <w:left w:val="single" w:sz="4" w:space="0" w:color="auto"/>
              <w:bottom w:val="single" w:sz="4" w:space="0" w:color="auto"/>
              <w:right w:val="single" w:sz="4" w:space="0" w:color="auto"/>
            </w:tcBorders>
            <w:shd w:val="clear" w:color="auto" w:fill="FFC000"/>
            <w:vAlign w:val="center"/>
          </w:tcPr>
          <w:p w14:paraId="4EE4E5F9" w14:textId="23AC6B4D" w:rsidR="00E34A41" w:rsidRPr="00A07F29" w:rsidRDefault="00E34A41"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N</w:t>
            </w:r>
          </w:p>
        </w:tc>
        <w:tc>
          <w:tcPr>
            <w:tcW w:w="992" w:type="dxa"/>
            <w:tcBorders>
              <w:top w:val="nil"/>
              <w:left w:val="nil"/>
              <w:bottom w:val="single" w:sz="4" w:space="0" w:color="auto"/>
              <w:right w:val="single" w:sz="4" w:space="0" w:color="auto"/>
            </w:tcBorders>
            <w:shd w:val="clear" w:color="auto" w:fill="FFC000"/>
            <w:noWrap/>
            <w:vAlign w:val="center"/>
          </w:tcPr>
          <w:p w14:paraId="3E575DFE" w14:textId="289D24D8" w:rsidR="00E34A41" w:rsidRPr="00A07F29" w:rsidRDefault="00E34A41"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M</w:t>
            </w:r>
          </w:p>
        </w:tc>
        <w:tc>
          <w:tcPr>
            <w:tcW w:w="1417" w:type="dxa"/>
            <w:tcBorders>
              <w:top w:val="nil"/>
              <w:left w:val="nil"/>
              <w:bottom w:val="single" w:sz="4" w:space="0" w:color="auto"/>
              <w:right w:val="single" w:sz="4" w:space="0" w:color="auto"/>
            </w:tcBorders>
            <w:shd w:val="clear" w:color="auto" w:fill="FFC000"/>
            <w:noWrap/>
            <w:vAlign w:val="center"/>
          </w:tcPr>
          <w:p w14:paraId="38BDBFA0" w14:textId="2F9B2AF7" w:rsidR="00E34A41" w:rsidRPr="00A07F29" w:rsidRDefault="00E34A41"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w:t>
            </w:r>
          </w:p>
        </w:tc>
        <w:tc>
          <w:tcPr>
            <w:tcW w:w="983" w:type="dxa"/>
            <w:tcBorders>
              <w:top w:val="nil"/>
              <w:left w:val="nil"/>
              <w:bottom w:val="single" w:sz="4" w:space="0" w:color="auto"/>
              <w:right w:val="single" w:sz="4" w:space="0" w:color="auto"/>
            </w:tcBorders>
            <w:shd w:val="clear" w:color="auto" w:fill="FFC000"/>
            <w:noWrap/>
            <w:vAlign w:val="center"/>
          </w:tcPr>
          <w:p w14:paraId="626D3B9C" w14:textId="6ECC1DEB" w:rsidR="00E34A41" w:rsidRPr="00A07F29" w:rsidRDefault="00E34A41"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i</w:t>
            </w:r>
          </w:p>
        </w:tc>
        <w:tc>
          <w:tcPr>
            <w:tcW w:w="5591" w:type="dxa"/>
            <w:tcBorders>
              <w:top w:val="nil"/>
              <w:left w:val="nil"/>
              <w:bottom w:val="single" w:sz="4" w:space="0" w:color="auto"/>
              <w:right w:val="single" w:sz="4" w:space="0" w:color="auto"/>
            </w:tcBorders>
            <w:shd w:val="clear" w:color="auto" w:fill="FFC000"/>
            <w:noWrap/>
            <w:vAlign w:val="center"/>
          </w:tcPr>
          <w:p w14:paraId="1394AB63" w14:textId="0025A6A1" w:rsidR="00E34A41" w:rsidRPr="00A07F29" w:rsidRDefault="00E34A41" w:rsidP="00295A55">
            <w:pPr>
              <w:widowControl w:val="0"/>
              <w:spacing w:after="0" w:line="240" w:lineRule="auto"/>
              <w:jc w:val="both"/>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 xml:space="preserve">Veicot izlases cirti (galvenā cirte) priežu mežos nenotiek atjaunošanās ar priedi, spēcīgs lazdu un citu krūmu </w:t>
            </w:r>
            <w:proofErr w:type="spellStart"/>
            <w:r w:rsidRPr="00A07F29">
              <w:rPr>
                <w:rFonts w:ascii="Times New Roman" w:eastAsia="Times New Roman" w:hAnsi="Times New Roman" w:cs="Times New Roman"/>
                <w:sz w:val="20"/>
                <w:szCs w:val="20"/>
                <w:lang w:eastAsia="lv-LV"/>
              </w:rPr>
              <w:t>aizzēlums</w:t>
            </w:r>
            <w:proofErr w:type="spellEnd"/>
            <w:r w:rsidRPr="00A07F29">
              <w:rPr>
                <w:rFonts w:ascii="Times New Roman" w:eastAsia="Times New Roman" w:hAnsi="Times New Roman" w:cs="Times New Roman"/>
                <w:sz w:val="20"/>
                <w:szCs w:val="20"/>
                <w:lang w:eastAsia="lv-LV"/>
              </w:rPr>
              <w:t xml:space="preserve">, </w:t>
            </w:r>
            <w:r w:rsidR="003601FC" w:rsidRPr="00A07F29">
              <w:rPr>
                <w:rFonts w:ascii="Times New Roman" w:eastAsia="Times New Roman" w:hAnsi="Times New Roman" w:cs="Times New Roman"/>
                <w:sz w:val="20"/>
                <w:szCs w:val="20"/>
                <w:lang w:eastAsia="lv-LV"/>
              </w:rPr>
              <w:t>citu koku sugu iesēšanās</w:t>
            </w:r>
          </w:p>
        </w:tc>
      </w:tr>
      <w:tr w:rsidR="003601FC" w:rsidRPr="00A07F29" w14:paraId="3B10DE36" w14:textId="77777777" w:rsidTr="729E1729">
        <w:trPr>
          <w:trHeight w:val="288"/>
          <w:jc w:val="center"/>
        </w:trPr>
        <w:tc>
          <w:tcPr>
            <w:tcW w:w="998" w:type="dxa"/>
            <w:tcBorders>
              <w:top w:val="nil"/>
              <w:left w:val="single" w:sz="4" w:space="0" w:color="auto"/>
              <w:bottom w:val="single" w:sz="4" w:space="0" w:color="auto"/>
              <w:right w:val="single" w:sz="4" w:space="0" w:color="auto"/>
            </w:tcBorders>
            <w:shd w:val="clear" w:color="auto" w:fill="FFC000"/>
          </w:tcPr>
          <w:p w14:paraId="4EC9957E" w14:textId="0DE14303" w:rsidR="003601FC" w:rsidRPr="00A07F29" w:rsidRDefault="0067519E" w:rsidP="0067519E">
            <w:pPr>
              <w:widowControl w:val="0"/>
              <w:spacing w:after="0" w:line="240" w:lineRule="auto"/>
              <w:ind w:left="175" w:hanging="175"/>
              <w:contextualSpacing/>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lastRenderedPageBreak/>
              <w:t>13</w:t>
            </w:r>
            <w:r w:rsidR="003601FC" w:rsidRPr="00A07F29">
              <w:rPr>
                <w:rFonts w:ascii="Times New Roman" w:eastAsia="Times New Roman" w:hAnsi="Times New Roman" w:cs="Times New Roman"/>
                <w:sz w:val="20"/>
                <w:szCs w:val="20"/>
                <w:lang w:eastAsia="lv-LV"/>
              </w:rPr>
              <w:t>.</w:t>
            </w:r>
          </w:p>
        </w:tc>
        <w:tc>
          <w:tcPr>
            <w:tcW w:w="2056" w:type="dxa"/>
            <w:tcBorders>
              <w:top w:val="single" w:sz="4" w:space="0" w:color="auto"/>
              <w:left w:val="nil"/>
              <w:bottom w:val="single" w:sz="4" w:space="0" w:color="auto"/>
              <w:right w:val="single" w:sz="4" w:space="0" w:color="auto"/>
            </w:tcBorders>
            <w:shd w:val="clear" w:color="auto" w:fill="FFC000"/>
          </w:tcPr>
          <w:p w14:paraId="2678E382" w14:textId="77777777" w:rsidR="003601FC" w:rsidRPr="00A07F29" w:rsidRDefault="003601FC" w:rsidP="00001788">
            <w:pPr>
              <w:widowControl w:val="0"/>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Izlases un kopšanas cirtes mežā</w:t>
            </w:r>
          </w:p>
        </w:tc>
        <w:tc>
          <w:tcPr>
            <w:tcW w:w="1111" w:type="dxa"/>
            <w:tcBorders>
              <w:top w:val="nil"/>
              <w:left w:val="single" w:sz="4" w:space="0" w:color="auto"/>
              <w:bottom w:val="single" w:sz="4" w:space="0" w:color="auto"/>
              <w:right w:val="single" w:sz="4" w:space="0" w:color="auto"/>
            </w:tcBorders>
            <w:shd w:val="clear" w:color="auto" w:fill="FFC000"/>
            <w:vAlign w:val="center"/>
          </w:tcPr>
          <w:p w14:paraId="06BCB8D0" w14:textId="77777777" w:rsidR="003601FC" w:rsidRPr="00A07F29" w:rsidRDefault="003601FC" w:rsidP="00001788">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B02.06</w:t>
            </w:r>
          </w:p>
        </w:tc>
        <w:tc>
          <w:tcPr>
            <w:tcW w:w="983" w:type="dxa"/>
            <w:tcBorders>
              <w:top w:val="nil"/>
              <w:left w:val="single" w:sz="4" w:space="0" w:color="auto"/>
              <w:bottom w:val="single" w:sz="4" w:space="0" w:color="auto"/>
              <w:right w:val="single" w:sz="4" w:space="0" w:color="auto"/>
            </w:tcBorders>
            <w:shd w:val="clear" w:color="auto" w:fill="FFC000"/>
            <w:vAlign w:val="center"/>
          </w:tcPr>
          <w:p w14:paraId="110ABB16" w14:textId="517E7B5E" w:rsidR="003601FC" w:rsidRPr="00A07F29" w:rsidRDefault="003601FC" w:rsidP="00001788">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P</w:t>
            </w:r>
          </w:p>
        </w:tc>
        <w:tc>
          <w:tcPr>
            <w:tcW w:w="992" w:type="dxa"/>
            <w:tcBorders>
              <w:top w:val="nil"/>
              <w:left w:val="nil"/>
              <w:bottom w:val="single" w:sz="4" w:space="0" w:color="auto"/>
              <w:right w:val="single" w:sz="4" w:space="0" w:color="auto"/>
            </w:tcBorders>
            <w:shd w:val="clear" w:color="auto" w:fill="FFC000"/>
            <w:noWrap/>
            <w:vAlign w:val="center"/>
          </w:tcPr>
          <w:p w14:paraId="63B80552" w14:textId="083E4FF3" w:rsidR="003601FC" w:rsidRPr="00A07F29" w:rsidRDefault="000B07FA" w:rsidP="00001788">
            <w:pPr>
              <w:widowControl w:val="0"/>
              <w:spacing w:after="0" w:line="240" w:lineRule="auto"/>
              <w:jc w:val="center"/>
              <w:rPr>
                <w:rFonts w:ascii="Times New Roman" w:eastAsia="Times New Roman" w:hAnsi="Times New Roman" w:cs="Times New Roman"/>
                <w:sz w:val="20"/>
                <w:szCs w:val="20"/>
                <w:highlight w:val="yellow"/>
                <w:lang w:eastAsia="lv-LV"/>
              </w:rPr>
            </w:pPr>
            <w:r w:rsidRPr="00A07F29">
              <w:rPr>
                <w:rFonts w:ascii="Times New Roman" w:eastAsia="Times New Roman" w:hAnsi="Times New Roman" w:cs="Times New Roman"/>
                <w:sz w:val="20"/>
                <w:szCs w:val="20"/>
                <w:lang w:eastAsia="lv-LV"/>
              </w:rPr>
              <w:t>L</w:t>
            </w:r>
          </w:p>
        </w:tc>
        <w:tc>
          <w:tcPr>
            <w:tcW w:w="1417" w:type="dxa"/>
            <w:tcBorders>
              <w:top w:val="nil"/>
              <w:left w:val="nil"/>
              <w:bottom w:val="single" w:sz="4" w:space="0" w:color="auto"/>
              <w:right w:val="single" w:sz="4" w:space="0" w:color="auto"/>
            </w:tcBorders>
            <w:shd w:val="clear" w:color="auto" w:fill="FFC000"/>
            <w:noWrap/>
            <w:vAlign w:val="center"/>
          </w:tcPr>
          <w:p w14:paraId="25B0FBD3" w14:textId="77777777" w:rsidR="003601FC" w:rsidRPr="00A07F29" w:rsidRDefault="003601FC" w:rsidP="00001788">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w:t>
            </w:r>
          </w:p>
        </w:tc>
        <w:tc>
          <w:tcPr>
            <w:tcW w:w="983" w:type="dxa"/>
            <w:tcBorders>
              <w:top w:val="nil"/>
              <w:left w:val="nil"/>
              <w:bottom w:val="single" w:sz="4" w:space="0" w:color="auto"/>
              <w:right w:val="single" w:sz="4" w:space="0" w:color="auto"/>
            </w:tcBorders>
            <w:shd w:val="clear" w:color="auto" w:fill="FFC000"/>
            <w:noWrap/>
            <w:vAlign w:val="center"/>
          </w:tcPr>
          <w:p w14:paraId="11B989BF" w14:textId="77777777" w:rsidR="003601FC" w:rsidRPr="00A07F29" w:rsidRDefault="003601FC" w:rsidP="00001788">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i</w:t>
            </w:r>
          </w:p>
        </w:tc>
        <w:tc>
          <w:tcPr>
            <w:tcW w:w="5591" w:type="dxa"/>
            <w:tcBorders>
              <w:top w:val="nil"/>
              <w:left w:val="nil"/>
              <w:bottom w:val="single" w:sz="4" w:space="0" w:color="auto"/>
              <w:right w:val="single" w:sz="4" w:space="0" w:color="auto"/>
            </w:tcBorders>
            <w:shd w:val="clear" w:color="auto" w:fill="FFC000"/>
            <w:noWrap/>
            <w:vAlign w:val="center"/>
          </w:tcPr>
          <w:p w14:paraId="15E631CA" w14:textId="2F89CD7E" w:rsidR="003601FC" w:rsidRPr="00A07F29" w:rsidRDefault="003601FC" w:rsidP="00001788">
            <w:pPr>
              <w:widowControl w:val="0"/>
              <w:spacing w:after="0" w:line="240" w:lineRule="auto"/>
              <w:jc w:val="both"/>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Veicot krājas kopšanas cirti (</w:t>
            </w:r>
            <w:proofErr w:type="spellStart"/>
            <w:r w:rsidRPr="00A07F29">
              <w:rPr>
                <w:rFonts w:ascii="Times New Roman" w:eastAsia="Times New Roman" w:hAnsi="Times New Roman" w:cs="Times New Roman"/>
                <w:sz w:val="20"/>
                <w:szCs w:val="20"/>
                <w:lang w:eastAsia="lv-LV"/>
              </w:rPr>
              <w:t>starpcirte</w:t>
            </w:r>
            <w:proofErr w:type="spellEnd"/>
            <w:r w:rsidRPr="00A07F29">
              <w:rPr>
                <w:rFonts w:ascii="Times New Roman" w:eastAsia="Times New Roman" w:hAnsi="Times New Roman" w:cs="Times New Roman"/>
                <w:sz w:val="20"/>
                <w:szCs w:val="20"/>
                <w:lang w:eastAsia="lv-LV"/>
              </w:rPr>
              <w:t xml:space="preserve">) priežu mežos tiek saglabāts pietiekams </w:t>
            </w:r>
            <w:proofErr w:type="spellStart"/>
            <w:r w:rsidRPr="00A07F29">
              <w:rPr>
                <w:rFonts w:ascii="Times New Roman" w:eastAsia="Times New Roman" w:hAnsi="Times New Roman" w:cs="Times New Roman"/>
                <w:sz w:val="20"/>
                <w:szCs w:val="20"/>
                <w:lang w:eastAsia="lv-LV"/>
              </w:rPr>
              <w:t>izsauļojums</w:t>
            </w:r>
            <w:proofErr w:type="spellEnd"/>
            <w:r w:rsidRPr="00A07F29">
              <w:rPr>
                <w:rFonts w:ascii="Times New Roman" w:eastAsia="Times New Roman" w:hAnsi="Times New Roman" w:cs="Times New Roman"/>
                <w:sz w:val="20"/>
                <w:szCs w:val="20"/>
                <w:lang w:eastAsia="lv-LV"/>
              </w:rPr>
              <w:t>, lai saglabātu labvēlīgus apstākļus gaismas mīlošajām sugām</w:t>
            </w:r>
          </w:p>
        </w:tc>
      </w:tr>
      <w:bookmarkEnd w:id="40"/>
      <w:tr w:rsidR="00E5025A" w:rsidRPr="00A07F29" w14:paraId="6F2861A6" w14:textId="77777777" w:rsidTr="729E1729">
        <w:trPr>
          <w:trHeight w:val="274"/>
          <w:jc w:val="center"/>
        </w:trPr>
        <w:tc>
          <w:tcPr>
            <w:tcW w:w="14131" w:type="dxa"/>
            <w:gridSpan w:val="8"/>
            <w:tcBorders>
              <w:top w:val="single" w:sz="4" w:space="0" w:color="auto"/>
              <w:left w:val="single" w:sz="4" w:space="0" w:color="auto"/>
              <w:bottom w:val="single" w:sz="4" w:space="0" w:color="auto"/>
              <w:right w:val="single" w:sz="4" w:space="0" w:color="auto"/>
            </w:tcBorders>
            <w:shd w:val="clear" w:color="auto" w:fill="A8D08D"/>
            <w:vAlign w:val="center"/>
          </w:tcPr>
          <w:p w14:paraId="25BD6DC2" w14:textId="7A7A26BA" w:rsidR="00E5025A" w:rsidRPr="00A07F29" w:rsidRDefault="0067519E" w:rsidP="0067519E">
            <w:pPr>
              <w:keepNext/>
              <w:widowControl w:val="0"/>
              <w:spacing w:after="0" w:line="240" w:lineRule="auto"/>
              <w:jc w:val="center"/>
              <w:rPr>
                <w:rFonts w:ascii="Times New Roman" w:eastAsia="Times New Roman" w:hAnsi="Times New Roman" w:cs="Times New Roman"/>
                <w:b/>
                <w:sz w:val="20"/>
                <w:szCs w:val="20"/>
                <w:lang w:eastAsia="lv-LV"/>
              </w:rPr>
            </w:pPr>
            <w:r w:rsidRPr="00A07F29">
              <w:rPr>
                <w:rFonts w:ascii="Times New Roman" w:eastAsia="Times New Roman" w:hAnsi="Times New Roman" w:cs="Times New Roman"/>
                <w:b/>
                <w:sz w:val="20"/>
                <w:szCs w:val="20"/>
                <w:lang w:eastAsia="lv-LV"/>
              </w:rPr>
              <w:t>C.</w:t>
            </w:r>
            <w:r w:rsidR="00E5025A" w:rsidRPr="00A07F29">
              <w:rPr>
                <w:rFonts w:ascii="Times New Roman" w:eastAsia="Times New Roman" w:hAnsi="Times New Roman" w:cs="Times New Roman"/>
                <w:b/>
                <w:sz w:val="20"/>
                <w:szCs w:val="20"/>
                <w:lang w:eastAsia="lv-LV"/>
              </w:rPr>
              <w:t xml:space="preserve"> Derīgo izrakteņu ieguve</w:t>
            </w:r>
          </w:p>
        </w:tc>
      </w:tr>
      <w:tr w:rsidR="00E5025A" w:rsidRPr="00A07F29" w14:paraId="28D14CCE" w14:textId="77777777" w:rsidTr="729E1729">
        <w:trPr>
          <w:trHeight w:val="288"/>
          <w:jc w:val="center"/>
        </w:trPr>
        <w:tc>
          <w:tcPr>
            <w:tcW w:w="998" w:type="dxa"/>
            <w:tcBorders>
              <w:top w:val="nil"/>
              <w:left w:val="single" w:sz="4" w:space="0" w:color="auto"/>
              <w:bottom w:val="single" w:sz="4" w:space="0" w:color="auto"/>
              <w:right w:val="single" w:sz="4" w:space="0" w:color="auto"/>
            </w:tcBorders>
            <w:shd w:val="clear" w:color="auto" w:fill="auto"/>
            <w:hideMark/>
          </w:tcPr>
          <w:p w14:paraId="7B3703A7" w14:textId="61A0EC82" w:rsidR="00E5025A" w:rsidRPr="00A07F29" w:rsidRDefault="00255379" w:rsidP="0067519E">
            <w:pPr>
              <w:widowControl w:val="0"/>
              <w:spacing w:after="0" w:line="240" w:lineRule="auto"/>
              <w:ind w:left="142"/>
              <w:contextualSpacing/>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1</w:t>
            </w:r>
            <w:r w:rsidR="0067519E" w:rsidRPr="00A07F29">
              <w:rPr>
                <w:rFonts w:ascii="Times New Roman" w:eastAsia="Times New Roman" w:hAnsi="Times New Roman" w:cs="Times New Roman"/>
                <w:sz w:val="20"/>
                <w:szCs w:val="20"/>
                <w:lang w:eastAsia="lv-LV"/>
              </w:rPr>
              <w:t>4</w:t>
            </w:r>
            <w:r w:rsidR="00E5025A" w:rsidRPr="00A07F29">
              <w:rPr>
                <w:rFonts w:ascii="Times New Roman" w:eastAsia="Times New Roman" w:hAnsi="Times New Roman" w:cs="Times New Roman"/>
                <w:sz w:val="20"/>
                <w:szCs w:val="20"/>
                <w:lang w:eastAsia="lv-LV"/>
              </w:rPr>
              <w:t>.</w:t>
            </w:r>
          </w:p>
        </w:tc>
        <w:tc>
          <w:tcPr>
            <w:tcW w:w="2056" w:type="dxa"/>
            <w:tcBorders>
              <w:top w:val="single" w:sz="4" w:space="0" w:color="auto"/>
              <w:left w:val="nil"/>
              <w:bottom w:val="single" w:sz="4" w:space="0" w:color="auto"/>
              <w:right w:val="single" w:sz="4" w:space="0" w:color="auto"/>
            </w:tcBorders>
          </w:tcPr>
          <w:p w14:paraId="089422AB" w14:textId="3910964E" w:rsidR="00E5025A" w:rsidRPr="00A07F29" w:rsidRDefault="00295A55" w:rsidP="00295A55">
            <w:pPr>
              <w:widowControl w:val="0"/>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Smilts un grants karjeri</w:t>
            </w:r>
          </w:p>
        </w:tc>
        <w:tc>
          <w:tcPr>
            <w:tcW w:w="1111" w:type="dxa"/>
            <w:tcBorders>
              <w:top w:val="nil"/>
              <w:left w:val="single" w:sz="4" w:space="0" w:color="auto"/>
              <w:bottom w:val="single" w:sz="4" w:space="0" w:color="auto"/>
              <w:right w:val="single" w:sz="4" w:space="0" w:color="auto"/>
            </w:tcBorders>
            <w:shd w:val="clear" w:color="auto" w:fill="FFFFFF" w:themeFill="background1"/>
            <w:vAlign w:val="center"/>
          </w:tcPr>
          <w:p w14:paraId="3602BD7C" w14:textId="77777777" w:rsidR="00E5025A" w:rsidRPr="00A07F29" w:rsidRDefault="00E5025A"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C01.01.01</w:t>
            </w:r>
          </w:p>
        </w:tc>
        <w:tc>
          <w:tcPr>
            <w:tcW w:w="983" w:type="dxa"/>
            <w:tcBorders>
              <w:top w:val="nil"/>
              <w:left w:val="single" w:sz="4" w:space="0" w:color="auto"/>
              <w:bottom w:val="single" w:sz="4" w:space="0" w:color="auto"/>
              <w:right w:val="single" w:sz="4" w:space="0" w:color="auto"/>
            </w:tcBorders>
            <w:shd w:val="clear" w:color="auto" w:fill="FFFFFF" w:themeFill="background1"/>
            <w:vAlign w:val="center"/>
            <w:hideMark/>
          </w:tcPr>
          <w:p w14:paraId="222BFCD7" w14:textId="77777777" w:rsidR="00E5025A" w:rsidRPr="00A07F29" w:rsidRDefault="00E5025A"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N</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0C8F7FD4" w14:textId="77777777" w:rsidR="00E5025A" w:rsidRPr="00A07F29" w:rsidRDefault="00E5025A"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H</w:t>
            </w:r>
          </w:p>
        </w:tc>
        <w:tc>
          <w:tcPr>
            <w:tcW w:w="1417" w:type="dxa"/>
            <w:tcBorders>
              <w:top w:val="nil"/>
              <w:left w:val="nil"/>
              <w:bottom w:val="single" w:sz="4" w:space="0" w:color="auto"/>
              <w:right w:val="single" w:sz="4" w:space="0" w:color="auto"/>
            </w:tcBorders>
            <w:shd w:val="clear" w:color="auto" w:fill="FFFFFF" w:themeFill="background1"/>
            <w:noWrap/>
            <w:vAlign w:val="center"/>
            <w:hideMark/>
          </w:tcPr>
          <w:p w14:paraId="78279292" w14:textId="77777777" w:rsidR="00E5025A" w:rsidRPr="00A07F29" w:rsidRDefault="00E5025A"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w:t>
            </w:r>
          </w:p>
        </w:tc>
        <w:tc>
          <w:tcPr>
            <w:tcW w:w="983" w:type="dxa"/>
            <w:tcBorders>
              <w:top w:val="nil"/>
              <w:left w:val="nil"/>
              <w:bottom w:val="single" w:sz="4" w:space="0" w:color="auto"/>
              <w:right w:val="single" w:sz="4" w:space="0" w:color="auto"/>
            </w:tcBorders>
            <w:shd w:val="clear" w:color="auto" w:fill="FFFFFF" w:themeFill="background1"/>
            <w:noWrap/>
            <w:vAlign w:val="center"/>
            <w:hideMark/>
          </w:tcPr>
          <w:p w14:paraId="212EF1D6" w14:textId="77777777" w:rsidR="00E5025A" w:rsidRPr="00A07F29" w:rsidRDefault="00E5025A"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i</w:t>
            </w:r>
          </w:p>
        </w:tc>
        <w:tc>
          <w:tcPr>
            <w:tcW w:w="5591" w:type="dxa"/>
            <w:tcBorders>
              <w:top w:val="nil"/>
              <w:left w:val="nil"/>
              <w:bottom w:val="single" w:sz="4" w:space="0" w:color="auto"/>
              <w:right w:val="single" w:sz="4" w:space="0" w:color="auto"/>
            </w:tcBorders>
            <w:shd w:val="clear" w:color="auto" w:fill="FFFFFF" w:themeFill="background1"/>
            <w:noWrap/>
            <w:vAlign w:val="center"/>
          </w:tcPr>
          <w:p w14:paraId="21006FE4" w14:textId="1ABC382B" w:rsidR="00E5025A" w:rsidRPr="00A07F29" w:rsidRDefault="003601FC" w:rsidP="006025CC">
            <w:pPr>
              <w:widowControl w:val="0"/>
              <w:spacing w:after="0" w:line="240" w:lineRule="auto"/>
              <w:jc w:val="both"/>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Nozīmīga ietekme Tabores un Naujenes pagastos – pašreiz noti</w:t>
            </w:r>
            <w:r w:rsidR="006025CC" w:rsidRPr="00A07F29">
              <w:rPr>
                <w:rFonts w:ascii="Times New Roman" w:eastAsia="Times New Roman" w:hAnsi="Times New Roman" w:cs="Times New Roman"/>
                <w:sz w:val="20"/>
                <w:szCs w:val="20"/>
                <w:lang w:eastAsia="lv-LV"/>
              </w:rPr>
              <w:t>e</w:t>
            </w:r>
            <w:r w:rsidRPr="00A07F29">
              <w:rPr>
                <w:rFonts w:ascii="Times New Roman" w:eastAsia="Times New Roman" w:hAnsi="Times New Roman" w:cs="Times New Roman"/>
                <w:sz w:val="20"/>
                <w:szCs w:val="20"/>
                <w:lang w:eastAsia="lv-LV"/>
              </w:rPr>
              <w:t>koša izstrāde un vēsturiski degradētas teritorijas.</w:t>
            </w:r>
          </w:p>
        </w:tc>
      </w:tr>
      <w:tr w:rsidR="00E5025A" w:rsidRPr="00A07F29" w14:paraId="399EA6FD" w14:textId="77777777" w:rsidTr="729E1729">
        <w:trPr>
          <w:trHeight w:val="288"/>
          <w:jc w:val="center"/>
        </w:trPr>
        <w:tc>
          <w:tcPr>
            <w:tcW w:w="14131" w:type="dxa"/>
            <w:gridSpan w:val="8"/>
            <w:tcBorders>
              <w:top w:val="nil"/>
              <w:left w:val="single" w:sz="4" w:space="0" w:color="auto"/>
              <w:bottom w:val="single" w:sz="4" w:space="0" w:color="auto"/>
              <w:right w:val="single" w:sz="4" w:space="0" w:color="auto"/>
            </w:tcBorders>
            <w:shd w:val="clear" w:color="auto" w:fill="A8D08D"/>
            <w:noWrap/>
            <w:vAlign w:val="center"/>
          </w:tcPr>
          <w:p w14:paraId="007C3F8D" w14:textId="74C3C0C5" w:rsidR="00E5025A" w:rsidRPr="00A07F29" w:rsidRDefault="00E5025A" w:rsidP="0067519E">
            <w:pPr>
              <w:widowControl w:val="0"/>
              <w:spacing w:after="0" w:line="240" w:lineRule="auto"/>
              <w:jc w:val="center"/>
              <w:rPr>
                <w:rFonts w:ascii="Times New Roman" w:eastAsia="Times New Roman" w:hAnsi="Times New Roman" w:cs="Times New Roman"/>
                <w:b/>
                <w:bCs/>
                <w:sz w:val="20"/>
                <w:szCs w:val="20"/>
                <w:lang w:eastAsia="lv-LV"/>
              </w:rPr>
            </w:pPr>
            <w:bookmarkStart w:id="41" w:name="_Hlk39749640"/>
            <w:r w:rsidRPr="00A07F29">
              <w:rPr>
                <w:rFonts w:ascii="Times New Roman" w:eastAsia="Times New Roman" w:hAnsi="Times New Roman" w:cs="Times New Roman"/>
                <w:b/>
                <w:bCs/>
                <w:sz w:val="20"/>
                <w:szCs w:val="20"/>
                <w:lang w:eastAsia="lv-LV"/>
              </w:rPr>
              <w:t>D</w:t>
            </w:r>
            <w:r w:rsidR="0067519E" w:rsidRPr="00A07F29">
              <w:rPr>
                <w:rFonts w:ascii="Times New Roman" w:eastAsia="Times New Roman" w:hAnsi="Times New Roman" w:cs="Times New Roman"/>
                <w:b/>
                <w:bCs/>
                <w:sz w:val="20"/>
                <w:szCs w:val="20"/>
                <w:lang w:eastAsia="lv-LV"/>
              </w:rPr>
              <w:t>.</w:t>
            </w:r>
            <w:r w:rsidRPr="00A07F29">
              <w:rPr>
                <w:rFonts w:ascii="Times New Roman" w:eastAsia="Times New Roman" w:hAnsi="Times New Roman" w:cs="Times New Roman"/>
                <w:b/>
                <w:bCs/>
                <w:sz w:val="20"/>
                <w:szCs w:val="20"/>
                <w:lang w:eastAsia="lv-LV"/>
              </w:rPr>
              <w:t xml:space="preserve"> </w:t>
            </w:r>
            <w:r w:rsidR="00295A55" w:rsidRPr="00A07F29">
              <w:rPr>
                <w:rFonts w:ascii="Times New Roman" w:eastAsia="Times New Roman" w:hAnsi="Times New Roman" w:cs="Times New Roman"/>
                <w:b/>
                <w:bCs/>
                <w:sz w:val="20"/>
                <w:szCs w:val="20"/>
                <w:lang w:eastAsia="lv-LV"/>
              </w:rPr>
              <w:t>Transports un pakalpojumu koridori</w:t>
            </w:r>
          </w:p>
        </w:tc>
      </w:tr>
      <w:tr w:rsidR="00E5025A" w:rsidRPr="00A07F29" w14:paraId="21CEF457" w14:textId="77777777" w:rsidTr="729E1729">
        <w:trPr>
          <w:trHeight w:val="288"/>
          <w:jc w:val="center"/>
        </w:trPr>
        <w:tc>
          <w:tcPr>
            <w:tcW w:w="998" w:type="dxa"/>
            <w:tcBorders>
              <w:top w:val="nil"/>
              <w:left w:val="single" w:sz="4" w:space="0" w:color="auto"/>
              <w:bottom w:val="single" w:sz="4" w:space="0" w:color="auto"/>
              <w:right w:val="single" w:sz="4" w:space="0" w:color="auto"/>
            </w:tcBorders>
            <w:shd w:val="clear" w:color="auto" w:fill="auto"/>
            <w:noWrap/>
          </w:tcPr>
          <w:p w14:paraId="16791C8B" w14:textId="685AAB1F" w:rsidR="00E5025A" w:rsidRPr="00A07F29" w:rsidRDefault="00255379" w:rsidP="0067519E">
            <w:pPr>
              <w:widowControl w:val="0"/>
              <w:spacing w:after="0" w:line="240" w:lineRule="auto"/>
              <w:ind w:left="502" w:hanging="468"/>
              <w:contextualSpacing/>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1</w:t>
            </w:r>
            <w:r w:rsidR="0067519E" w:rsidRPr="00A07F29">
              <w:rPr>
                <w:rFonts w:ascii="Times New Roman" w:eastAsia="Times New Roman" w:hAnsi="Times New Roman" w:cs="Times New Roman"/>
                <w:sz w:val="20"/>
                <w:szCs w:val="20"/>
                <w:lang w:eastAsia="lv-LV"/>
              </w:rPr>
              <w:t>5</w:t>
            </w:r>
            <w:r w:rsidR="00295A55" w:rsidRPr="00A07F29">
              <w:rPr>
                <w:rFonts w:ascii="Times New Roman" w:eastAsia="Times New Roman" w:hAnsi="Times New Roman" w:cs="Times New Roman"/>
                <w:sz w:val="20"/>
                <w:szCs w:val="20"/>
                <w:lang w:eastAsia="lv-LV"/>
              </w:rPr>
              <w:t>.</w:t>
            </w:r>
          </w:p>
        </w:tc>
        <w:tc>
          <w:tcPr>
            <w:tcW w:w="2056" w:type="dxa"/>
            <w:tcBorders>
              <w:top w:val="single" w:sz="4" w:space="0" w:color="auto"/>
              <w:left w:val="nil"/>
              <w:bottom w:val="single" w:sz="4" w:space="0" w:color="auto"/>
              <w:right w:val="single" w:sz="4" w:space="0" w:color="auto"/>
            </w:tcBorders>
          </w:tcPr>
          <w:p w14:paraId="3F48BD43" w14:textId="7E04F861" w:rsidR="00E5025A" w:rsidRPr="00A07F29" w:rsidRDefault="00295A55" w:rsidP="00295A55">
            <w:pPr>
              <w:widowControl w:val="0"/>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Takas, veloceliņi, ieskaitot meža ceļus bez seguma</w:t>
            </w:r>
          </w:p>
        </w:tc>
        <w:tc>
          <w:tcPr>
            <w:tcW w:w="1111" w:type="dxa"/>
            <w:tcBorders>
              <w:top w:val="nil"/>
              <w:left w:val="single" w:sz="4" w:space="0" w:color="auto"/>
              <w:bottom w:val="single" w:sz="4" w:space="0" w:color="auto"/>
              <w:right w:val="single" w:sz="4" w:space="0" w:color="auto"/>
            </w:tcBorders>
            <w:shd w:val="clear" w:color="auto" w:fill="FFFFFF" w:themeFill="background1"/>
            <w:vAlign w:val="center"/>
          </w:tcPr>
          <w:p w14:paraId="64919917" w14:textId="77777777" w:rsidR="00E5025A" w:rsidRPr="00A07F29" w:rsidRDefault="00E5025A"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D01.01</w:t>
            </w:r>
          </w:p>
        </w:tc>
        <w:tc>
          <w:tcPr>
            <w:tcW w:w="983" w:type="dxa"/>
            <w:tcBorders>
              <w:top w:val="nil"/>
              <w:left w:val="single" w:sz="4" w:space="0" w:color="auto"/>
              <w:bottom w:val="single" w:sz="4" w:space="0" w:color="auto"/>
              <w:right w:val="single" w:sz="4" w:space="0" w:color="auto"/>
            </w:tcBorders>
            <w:shd w:val="clear" w:color="auto" w:fill="FFFFFF" w:themeFill="background1"/>
            <w:vAlign w:val="center"/>
          </w:tcPr>
          <w:p w14:paraId="40AAFAD2" w14:textId="77777777" w:rsidR="00E5025A" w:rsidRPr="00A07F29" w:rsidRDefault="00E5025A"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P</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7A65209A" w14:textId="77777777" w:rsidR="00E5025A" w:rsidRPr="00A07F29" w:rsidRDefault="00E5025A"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M</w:t>
            </w:r>
          </w:p>
        </w:tc>
        <w:tc>
          <w:tcPr>
            <w:tcW w:w="1417" w:type="dxa"/>
            <w:tcBorders>
              <w:top w:val="nil"/>
              <w:left w:val="nil"/>
              <w:bottom w:val="single" w:sz="4" w:space="0" w:color="auto"/>
              <w:right w:val="single" w:sz="4" w:space="0" w:color="auto"/>
            </w:tcBorders>
            <w:shd w:val="clear" w:color="auto" w:fill="FFFFFF" w:themeFill="background1"/>
            <w:noWrap/>
            <w:vAlign w:val="center"/>
          </w:tcPr>
          <w:p w14:paraId="14A0BDBE" w14:textId="77777777" w:rsidR="00E5025A" w:rsidRPr="00A07F29" w:rsidRDefault="00E5025A"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w:t>
            </w:r>
          </w:p>
        </w:tc>
        <w:tc>
          <w:tcPr>
            <w:tcW w:w="983" w:type="dxa"/>
            <w:tcBorders>
              <w:top w:val="nil"/>
              <w:left w:val="nil"/>
              <w:bottom w:val="single" w:sz="4" w:space="0" w:color="auto"/>
              <w:right w:val="single" w:sz="4" w:space="0" w:color="auto"/>
            </w:tcBorders>
            <w:shd w:val="clear" w:color="auto" w:fill="FFFFFF" w:themeFill="background1"/>
            <w:noWrap/>
            <w:vAlign w:val="center"/>
          </w:tcPr>
          <w:p w14:paraId="759BD6FF" w14:textId="77777777" w:rsidR="00E5025A" w:rsidRPr="00A07F29" w:rsidRDefault="00E5025A"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i</w:t>
            </w:r>
          </w:p>
        </w:tc>
        <w:tc>
          <w:tcPr>
            <w:tcW w:w="5591" w:type="dxa"/>
            <w:tcBorders>
              <w:top w:val="nil"/>
              <w:left w:val="nil"/>
              <w:bottom w:val="single" w:sz="4" w:space="0" w:color="auto"/>
              <w:right w:val="single" w:sz="4" w:space="0" w:color="auto"/>
            </w:tcBorders>
            <w:shd w:val="clear" w:color="auto" w:fill="FFFFFF" w:themeFill="background1"/>
            <w:noWrap/>
            <w:vAlign w:val="center"/>
          </w:tcPr>
          <w:p w14:paraId="7693DE95" w14:textId="26A6C120" w:rsidR="00E5025A" w:rsidRPr="00A07F29" w:rsidRDefault="003601FC" w:rsidP="00295A55">
            <w:pPr>
              <w:widowControl w:val="0"/>
              <w:spacing w:after="0" w:line="240" w:lineRule="auto"/>
              <w:jc w:val="both"/>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 xml:space="preserve">Palielinās sabiedrības interese par dabas vērtībām, teritorijas uzraudzība, samazinās </w:t>
            </w:r>
            <w:proofErr w:type="spellStart"/>
            <w:r w:rsidRPr="00A07F29">
              <w:rPr>
                <w:rFonts w:ascii="Times New Roman" w:eastAsia="Times New Roman" w:hAnsi="Times New Roman" w:cs="Times New Roman"/>
                <w:sz w:val="20"/>
                <w:szCs w:val="20"/>
                <w:lang w:eastAsia="lv-LV"/>
              </w:rPr>
              <w:t>maluzveja</w:t>
            </w:r>
            <w:proofErr w:type="spellEnd"/>
            <w:r w:rsidRPr="00A07F29">
              <w:rPr>
                <w:rFonts w:ascii="Times New Roman" w:eastAsia="Times New Roman" w:hAnsi="Times New Roman" w:cs="Times New Roman"/>
                <w:sz w:val="20"/>
                <w:szCs w:val="20"/>
                <w:lang w:eastAsia="lv-LV"/>
              </w:rPr>
              <w:t xml:space="preserve"> un medības</w:t>
            </w:r>
            <w:r w:rsidR="00A900B4" w:rsidRPr="00A07F29">
              <w:rPr>
                <w:rFonts w:ascii="Times New Roman" w:eastAsia="Times New Roman" w:hAnsi="Times New Roman" w:cs="Times New Roman"/>
                <w:sz w:val="20"/>
                <w:szCs w:val="20"/>
                <w:lang w:eastAsia="lv-LV"/>
              </w:rPr>
              <w:t>.</w:t>
            </w:r>
          </w:p>
        </w:tc>
      </w:tr>
      <w:tr w:rsidR="00E5025A" w:rsidRPr="00A07F29" w14:paraId="66E507F1" w14:textId="77777777" w:rsidTr="729E1729">
        <w:trPr>
          <w:trHeight w:val="288"/>
          <w:jc w:val="center"/>
        </w:trPr>
        <w:tc>
          <w:tcPr>
            <w:tcW w:w="998" w:type="dxa"/>
            <w:tcBorders>
              <w:top w:val="nil"/>
              <w:left w:val="single" w:sz="4" w:space="0" w:color="auto"/>
              <w:bottom w:val="single" w:sz="4" w:space="0" w:color="auto"/>
              <w:right w:val="single" w:sz="4" w:space="0" w:color="auto"/>
            </w:tcBorders>
            <w:shd w:val="clear" w:color="auto" w:fill="auto"/>
            <w:noWrap/>
          </w:tcPr>
          <w:p w14:paraId="1B806AF9" w14:textId="78A576D8" w:rsidR="00E5025A" w:rsidRPr="00A07F29" w:rsidRDefault="00255379" w:rsidP="0067519E">
            <w:pPr>
              <w:widowControl w:val="0"/>
              <w:spacing w:after="0" w:line="240" w:lineRule="auto"/>
              <w:ind w:left="502" w:hanging="502"/>
              <w:contextualSpacing/>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1</w:t>
            </w:r>
            <w:r w:rsidR="0067519E" w:rsidRPr="00A07F29">
              <w:rPr>
                <w:rFonts w:ascii="Times New Roman" w:eastAsia="Times New Roman" w:hAnsi="Times New Roman" w:cs="Times New Roman"/>
                <w:sz w:val="20"/>
                <w:szCs w:val="20"/>
                <w:lang w:eastAsia="lv-LV"/>
              </w:rPr>
              <w:t>6</w:t>
            </w:r>
            <w:r w:rsidR="00295A55" w:rsidRPr="00A07F29">
              <w:rPr>
                <w:rFonts w:ascii="Times New Roman" w:eastAsia="Times New Roman" w:hAnsi="Times New Roman" w:cs="Times New Roman"/>
                <w:sz w:val="20"/>
                <w:szCs w:val="20"/>
                <w:lang w:eastAsia="lv-LV"/>
              </w:rPr>
              <w:t>.</w:t>
            </w:r>
          </w:p>
        </w:tc>
        <w:tc>
          <w:tcPr>
            <w:tcW w:w="2056" w:type="dxa"/>
            <w:tcBorders>
              <w:top w:val="single" w:sz="4" w:space="0" w:color="auto"/>
              <w:left w:val="nil"/>
              <w:bottom w:val="single" w:sz="4" w:space="0" w:color="auto"/>
              <w:right w:val="single" w:sz="4" w:space="0" w:color="auto"/>
            </w:tcBorders>
          </w:tcPr>
          <w:p w14:paraId="2894A33B" w14:textId="0A85F3F5" w:rsidR="00E5025A" w:rsidRPr="00A07F29" w:rsidRDefault="00295A55" w:rsidP="00295A55">
            <w:pPr>
              <w:widowControl w:val="0"/>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Takas, veloceliņi, ieskaitot meža ceļus bez seguma</w:t>
            </w:r>
          </w:p>
        </w:tc>
        <w:tc>
          <w:tcPr>
            <w:tcW w:w="1111" w:type="dxa"/>
            <w:tcBorders>
              <w:top w:val="nil"/>
              <w:left w:val="single" w:sz="4" w:space="0" w:color="auto"/>
              <w:bottom w:val="single" w:sz="4" w:space="0" w:color="auto"/>
              <w:right w:val="single" w:sz="4" w:space="0" w:color="auto"/>
            </w:tcBorders>
            <w:shd w:val="clear" w:color="auto" w:fill="FFFFFF" w:themeFill="background1"/>
            <w:vAlign w:val="center"/>
          </w:tcPr>
          <w:p w14:paraId="6946E0ED" w14:textId="77777777" w:rsidR="00E5025A" w:rsidRPr="00A07F29" w:rsidRDefault="00E5025A"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D01.01</w:t>
            </w:r>
          </w:p>
        </w:tc>
        <w:tc>
          <w:tcPr>
            <w:tcW w:w="983" w:type="dxa"/>
            <w:tcBorders>
              <w:top w:val="nil"/>
              <w:left w:val="single" w:sz="4" w:space="0" w:color="auto"/>
              <w:bottom w:val="single" w:sz="4" w:space="0" w:color="auto"/>
              <w:right w:val="single" w:sz="4" w:space="0" w:color="auto"/>
            </w:tcBorders>
            <w:shd w:val="clear" w:color="auto" w:fill="FFFFFF" w:themeFill="background1"/>
            <w:vAlign w:val="center"/>
          </w:tcPr>
          <w:p w14:paraId="5F2FE3C6" w14:textId="77777777" w:rsidR="00E5025A" w:rsidRPr="00A07F29" w:rsidRDefault="00E5025A"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N</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4B42108D" w14:textId="77777777" w:rsidR="00E5025A" w:rsidRPr="00A07F29" w:rsidRDefault="00E5025A"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M</w:t>
            </w:r>
          </w:p>
        </w:tc>
        <w:tc>
          <w:tcPr>
            <w:tcW w:w="1417" w:type="dxa"/>
            <w:tcBorders>
              <w:top w:val="nil"/>
              <w:left w:val="nil"/>
              <w:bottom w:val="single" w:sz="4" w:space="0" w:color="auto"/>
              <w:right w:val="single" w:sz="4" w:space="0" w:color="auto"/>
            </w:tcBorders>
            <w:shd w:val="clear" w:color="auto" w:fill="FFFFFF" w:themeFill="background1"/>
            <w:noWrap/>
            <w:vAlign w:val="center"/>
          </w:tcPr>
          <w:p w14:paraId="4081C119" w14:textId="77777777" w:rsidR="00E5025A" w:rsidRPr="00A07F29" w:rsidRDefault="00E5025A"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w:t>
            </w:r>
          </w:p>
        </w:tc>
        <w:tc>
          <w:tcPr>
            <w:tcW w:w="983" w:type="dxa"/>
            <w:tcBorders>
              <w:top w:val="nil"/>
              <w:left w:val="nil"/>
              <w:bottom w:val="single" w:sz="4" w:space="0" w:color="auto"/>
              <w:right w:val="single" w:sz="4" w:space="0" w:color="auto"/>
            </w:tcBorders>
            <w:shd w:val="clear" w:color="auto" w:fill="FFFFFF" w:themeFill="background1"/>
            <w:noWrap/>
            <w:vAlign w:val="center"/>
          </w:tcPr>
          <w:p w14:paraId="4CD9A7AF" w14:textId="77777777" w:rsidR="00E5025A" w:rsidRPr="00A07F29" w:rsidRDefault="00E5025A"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i</w:t>
            </w:r>
          </w:p>
        </w:tc>
        <w:tc>
          <w:tcPr>
            <w:tcW w:w="5591" w:type="dxa"/>
            <w:tcBorders>
              <w:top w:val="nil"/>
              <w:left w:val="nil"/>
              <w:bottom w:val="single" w:sz="4" w:space="0" w:color="auto"/>
              <w:right w:val="single" w:sz="4" w:space="0" w:color="auto"/>
            </w:tcBorders>
            <w:shd w:val="clear" w:color="auto" w:fill="FFFFFF" w:themeFill="background1"/>
            <w:noWrap/>
            <w:vAlign w:val="center"/>
          </w:tcPr>
          <w:p w14:paraId="5502C8FA" w14:textId="3FF13C46" w:rsidR="00E5025A" w:rsidRPr="00A07F29" w:rsidRDefault="003601FC" w:rsidP="00295A55">
            <w:pPr>
              <w:widowControl w:val="0"/>
              <w:spacing w:after="0" w:line="240" w:lineRule="auto"/>
              <w:jc w:val="both"/>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Tūrisma plūsma ietekmē apkārtējos biotopus</w:t>
            </w:r>
            <w:r w:rsidR="00916575" w:rsidRPr="00A07F29">
              <w:rPr>
                <w:rFonts w:ascii="Times New Roman" w:eastAsia="Times New Roman" w:hAnsi="Times New Roman" w:cs="Times New Roman"/>
                <w:sz w:val="20"/>
                <w:szCs w:val="20"/>
                <w:lang w:eastAsia="lv-LV"/>
              </w:rPr>
              <w:t xml:space="preserve"> intensīvi apmeklētās vietās</w:t>
            </w:r>
            <w:r w:rsidRPr="00A07F29">
              <w:rPr>
                <w:rFonts w:ascii="Times New Roman" w:eastAsia="Times New Roman" w:hAnsi="Times New Roman" w:cs="Times New Roman"/>
                <w:sz w:val="20"/>
                <w:szCs w:val="20"/>
                <w:lang w:eastAsia="lv-LV"/>
              </w:rPr>
              <w:t xml:space="preserve"> – nomīdīšana, atkritumi, tiek braukts ar nepiemērotu transportu – motocikliem, mopēdiem.</w:t>
            </w:r>
          </w:p>
        </w:tc>
      </w:tr>
      <w:bookmarkEnd w:id="41"/>
      <w:tr w:rsidR="00E5025A" w:rsidRPr="00A07F29" w14:paraId="3CCEC856" w14:textId="77777777" w:rsidTr="729E1729">
        <w:trPr>
          <w:trHeight w:val="288"/>
          <w:jc w:val="center"/>
        </w:trPr>
        <w:tc>
          <w:tcPr>
            <w:tcW w:w="998" w:type="dxa"/>
            <w:tcBorders>
              <w:top w:val="nil"/>
              <w:left w:val="single" w:sz="4" w:space="0" w:color="auto"/>
              <w:bottom w:val="single" w:sz="4" w:space="0" w:color="auto"/>
              <w:right w:val="single" w:sz="4" w:space="0" w:color="auto"/>
            </w:tcBorders>
            <w:shd w:val="clear" w:color="auto" w:fill="auto"/>
            <w:noWrap/>
          </w:tcPr>
          <w:p w14:paraId="7B6EA2AE" w14:textId="3E6EE33C" w:rsidR="00E5025A" w:rsidRPr="00A07F29" w:rsidRDefault="00255379" w:rsidP="0067519E">
            <w:pPr>
              <w:widowControl w:val="0"/>
              <w:spacing w:after="0" w:line="240" w:lineRule="auto"/>
              <w:ind w:left="502" w:hanging="502"/>
              <w:contextualSpacing/>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1</w:t>
            </w:r>
            <w:r w:rsidR="0067519E" w:rsidRPr="00A07F29">
              <w:rPr>
                <w:rFonts w:ascii="Times New Roman" w:eastAsia="Times New Roman" w:hAnsi="Times New Roman" w:cs="Times New Roman"/>
                <w:sz w:val="20"/>
                <w:szCs w:val="20"/>
                <w:lang w:eastAsia="lv-LV"/>
              </w:rPr>
              <w:t>7</w:t>
            </w:r>
            <w:r w:rsidR="00295A55" w:rsidRPr="00A07F29">
              <w:rPr>
                <w:rFonts w:ascii="Times New Roman" w:eastAsia="Times New Roman" w:hAnsi="Times New Roman" w:cs="Times New Roman"/>
                <w:sz w:val="20"/>
                <w:szCs w:val="20"/>
                <w:lang w:eastAsia="lv-LV"/>
              </w:rPr>
              <w:t>.</w:t>
            </w:r>
          </w:p>
        </w:tc>
        <w:tc>
          <w:tcPr>
            <w:tcW w:w="2056" w:type="dxa"/>
            <w:tcBorders>
              <w:top w:val="single" w:sz="4" w:space="0" w:color="auto"/>
              <w:left w:val="nil"/>
              <w:bottom w:val="single" w:sz="4" w:space="0" w:color="auto"/>
              <w:right w:val="single" w:sz="4" w:space="0" w:color="auto"/>
            </w:tcBorders>
          </w:tcPr>
          <w:p w14:paraId="5E63F042" w14:textId="74A16FF8" w:rsidR="00E5025A" w:rsidRPr="00A07F29" w:rsidRDefault="00295A55" w:rsidP="00295A55">
            <w:pPr>
              <w:widowControl w:val="0"/>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Ceļi, šosejas</w:t>
            </w:r>
          </w:p>
        </w:tc>
        <w:tc>
          <w:tcPr>
            <w:tcW w:w="1111" w:type="dxa"/>
            <w:tcBorders>
              <w:top w:val="nil"/>
              <w:left w:val="single" w:sz="4" w:space="0" w:color="auto"/>
              <w:bottom w:val="single" w:sz="4" w:space="0" w:color="auto"/>
              <w:right w:val="single" w:sz="4" w:space="0" w:color="auto"/>
            </w:tcBorders>
            <w:shd w:val="clear" w:color="auto" w:fill="FFFFFF" w:themeFill="background1"/>
            <w:vAlign w:val="center"/>
          </w:tcPr>
          <w:p w14:paraId="3B050857" w14:textId="77777777" w:rsidR="00E5025A" w:rsidRPr="00A07F29" w:rsidRDefault="00E5025A"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D01.02</w:t>
            </w:r>
          </w:p>
        </w:tc>
        <w:tc>
          <w:tcPr>
            <w:tcW w:w="983" w:type="dxa"/>
            <w:tcBorders>
              <w:top w:val="nil"/>
              <w:left w:val="single" w:sz="4" w:space="0" w:color="auto"/>
              <w:bottom w:val="single" w:sz="4" w:space="0" w:color="auto"/>
              <w:right w:val="single" w:sz="4" w:space="0" w:color="auto"/>
            </w:tcBorders>
            <w:shd w:val="clear" w:color="auto" w:fill="FFFFFF" w:themeFill="background1"/>
            <w:vAlign w:val="center"/>
          </w:tcPr>
          <w:p w14:paraId="4B1DCED1" w14:textId="77777777" w:rsidR="00E5025A" w:rsidRPr="00A07F29" w:rsidRDefault="00E5025A"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N</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51940044" w14:textId="77777777" w:rsidR="00E5025A" w:rsidRPr="00A07F29" w:rsidRDefault="00E5025A"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M</w:t>
            </w:r>
          </w:p>
        </w:tc>
        <w:tc>
          <w:tcPr>
            <w:tcW w:w="1417" w:type="dxa"/>
            <w:tcBorders>
              <w:top w:val="nil"/>
              <w:left w:val="nil"/>
              <w:bottom w:val="single" w:sz="4" w:space="0" w:color="auto"/>
              <w:right w:val="single" w:sz="4" w:space="0" w:color="auto"/>
            </w:tcBorders>
            <w:shd w:val="clear" w:color="auto" w:fill="FFFFFF" w:themeFill="background1"/>
            <w:noWrap/>
            <w:vAlign w:val="center"/>
          </w:tcPr>
          <w:p w14:paraId="35DB1076" w14:textId="77777777" w:rsidR="00E5025A" w:rsidRPr="00A07F29" w:rsidRDefault="00E5025A"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w:t>
            </w:r>
          </w:p>
        </w:tc>
        <w:tc>
          <w:tcPr>
            <w:tcW w:w="983" w:type="dxa"/>
            <w:tcBorders>
              <w:top w:val="nil"/>
              <w:left w:val="nil"/>
              <w:bottom w:val="single" w:sz="4" w:space="0" w:color="auto"/>
              <w:right w:val="single" w:sz="4" w:space="0" w:color="auto"/>
            </w:tcBorders>
            <w:shd w:val="clear" w:color="auto" w:fill="FFFFFF" w:themeFill="background1"/>
            <w:noWrap/>
            <w:vAlign w:val="center"/>
          </w:tcPr>
          <w:p w14:paraId="30135DF4" w14:textId="77777777" w:rsidR="00E5025A" w:rsidRPr="00A07F29" w:rsidRDefault="00E5025A"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i</w:t>
            </w:r>
          </w:p>
        </w:tc>
        <w:tc>
          <w:tcPr>
            <w:tcW w:w="5591" w:type="dxa"/>
            <w:tcBorders>
              <w:top w:val="nil"/>
              <w:left w:val="nil"/>
              <w:bottom w:val="single" w:sz="4" w:space="0" w:color="auto"/>
              <w:right w:val="single" w:sz="4" w:space="0" w:color="auto"/>
            </w:tcBorders>
            <w:shd w:val="clear" w:color="auto" w:fill="FFFFFF" w:themeFill="background1"/>
            <w:noWrap/>
            <w:vAlign w:val="center"/>
          </w:tcPr>
          <w:p w14:paraId="7208205F" w14:textId="448AAC47" w:rsidR="00E5025A" w:rsidRPr="00A07F29" w:rsidRDefault="00A900B4" w:rsidP="00295A55">
            <w:pPr>
              <w:widowControl w:val="0"/>
              <w:spacing w:after="0" w:line="240" w:lineRule="auto"/>
              <w:jc w:val="both"/>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Biotopu fragmentācija, uz ceļiem iet bojā abinieki, putni, rāpuļi</w:t>
            </w:r>
          </w:p>
        </w:tc>
      </w:tr>
      <w:tr w:rsidR="00E5025A" w:rsidRPr="00A07F29" w14:paraId="751D6684" w14:textId="77777777" w:rsidTr="729E1729">
        <w:trPr>
          <w:trHeight w:val="288"/>
          <w:jc w:val="center"/>
        </w:trPr>
        <w:tc>
          <w:tcPr>
            <w:tcW w:w="998" w:type="dxa"/>
            <w:tcBorders>
              <w:top w:val="nil"/>
              <w:left w:val="single" w:sz="4" w:space="0" w:color="auto"/>
              <w:bottom w:val="single" w:sz="4" w:space="0" w:color="auto"/>
              <w:right w:val="single" w:sz="4" w:space="0" w:color="auto"/>
            </w:tcBorders>
            <w:shd w:val="clear" w:color="auto" w:fill="auto"/>
            <w:noWrap/>
          </w:tcPr>
          <w:p w14:paraId="63E84D67" w14:textId="121130FD" w:rsidR="00E5025A" w:rsidRPr="00A07F29" w:rsidRDefault="00255379" w:rsidP="0067519E">
            <w:pPr>
              <w:widowControl w:val="0"/>
              <w:spacing w:after="0" w:line="240" w:lineRule="auto"/>
              <w:ind w:left="502" w:hanging="502"/>
              <w:contextualSpacing/>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1</w:t>
            </w:r>
            <w:r w:rsidR="0067519E" w:rsidRPr="00A07F29">
              <w:rPr>
                <w:rFonts w:ascii="Times New Roman" w:eastAsia="Times New Roman" w:hAnsi="Times New Roman" w:cs="Times New Roman"/>
                <w:sz w:val="20"/>
                <w:szCs w:val="20"/>
                <w:lang w:eastAsia="lv-LV"/>
              </w:rPr>
              <w:t>8</w:t>
            </w:r>
            <w:r w:rsidR="00295A55" w:rsidRPr="00A07F29">
              <w:rPr>
                <w:rFonts w:ascii="Times New Roman" w:eastAsia="Times New Roman" w:hAnsi="Times New Roman" w:cs="Times New Roman"/>
                <w:sz w:val="20"/>
                <w:szCs w:val="20"/>
                <w:lang w:eastAsia="lv-LV"/>
              </w:rPr>
              <w:t>.</w:t>
            </w:r>
          </w:p>
        </w:tc>
        <w:tc>
          <w:tcPr>
            <w:tcW w:w="2056" w:type="dxa"/>
            <w:tcBorders>
              <w:top w:val="single" w:sz="4" w:space="0" w:color="auto"/>
              <w:left w:val="nil"/>
              <w:bottom w:val="single" w:sz="4" w:space="0" w:color="auto"/>
              <w:right w:val="single" w:sz="4" w:space="0" w:color="auto"/>
            </w:tcBorders>
          </w:tcPr>
          <w:p w14:paraId="61EE512A" w14:textId="4460B14F" w:rsidR="00E5025A" w:rsidRPr="00A07F29" w:rsidRDefault="00295A55" w:rsidP="00295A55">
            <w:pPr>
              <w:widowControl w:val="0"/>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Ceļi, šosejas</w:t>
            </w:r>
          </w:p>
        </w:tc>
        <w:tc>
          <w:tcPr>
            <w:tcW w:w="1111" w:type="dxa"/>
            <w:tcBorders>
              <w:top w:val="nil"/>
              <w:left w:val="single" w:sz="4" w:space="0" w:color="auto"/>
              <w:bottom w:val="single" w:sz="4" w:space="0" w:color="auto"/>
              <w:right w:val="single" w:sz="4" w:space="0" w:color="auto"/>
            </w:tcBorders>
            <w:shd w:val="clear" w:color="auto" w:fill="FFFFFF" w:themeFill="background1"/>
            <w:vAlign w:val="center"/>
          </w:tcPr>
          <w:p w14:paraId="0EACB5EA" w14:textId="77777777" w:rsidR="00E5025A" w:rsidRPr="00A07F29" w:rsidRDefault="00E5025A"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D01.02</w:t>
            </w:r>
          </w:p>
        </w:tc>
        <w:tc>
          <w:tcPr>
            <w:tcW w:w="983" w:type="dxa"/>
            <w:tcBorders>
              <w:top w:val="nil"/>
              <w:left w:val="single" w:sz="4" w:space="0" w:color="auto"/>
              <w:bottom w:val="single" w:sz="4" w:space="0" w:color="auto"/>
              <w:right w:val="single" w:sz="4" w:space="0" w:color="auto"/>
            </w:tcBorders>
            <w:shd w:val="clear" w:color="auto" w:fill="FFFFFF" w:themeFill="background1"/>
            <w:vAlign w:val="center"/>
          </w:tcPr>
          <w:p w14:paraId="12CB9CF0" w14:textId="77777777" w:rsidR="00E5025A" w:rsidRPr="00A07F29" w:rsidRDefault="00E5025A"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P</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28506F3E" w14:textId="77777777" w:rsidR="00E5025A" w:rsidRPr="00A07F29" w:rsidRDefault="00E5025A"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M</w:t>
            </w:r>
          </w:p>
        </w:tc>
        <w:tc>
          <w:tcPr>
            <w:tcW w:w="1417" w:type="dxa"/>
            <w:tcBorders>
              <w:top w:val="nil"/>
              <w:left w:val="nil"/>
              <w:bottom w:val="single" w:sz="4" w:space="0" w:color="auto"/>
              <w:right w:val="single" w:sz="4" w:space="0" w:color="auto"/>
            </w:tcBorders>
            <w:shd w:val="clear" w:color="auto" w:fill="FFFFFF" w:themeFill="background1"/>
            <w:noWrap/>
            <w:vAlign w:val="center"/>
          </w:tcPr>
          <w:p w14:paraId="30C85F03" w14:textId="77777777" w:rsidR="00E5025A" w:rsidRPr="00A07F29" w:rsidRDefault="00E5025A"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w:t>
            </w:r>
          </w:p>
        </w:tc>
        <w:tc>
          <w:tcPr>
            <w:tcW w:w="983" w:type="dxa"/>
            <w:tcBorders>
              <w:top w:val="nil"/>
              <w:left w:val="nil"/>
              <w:bottom w:val="single" w:sz="4" w:space="0" w:color="auto"/>
              <w:right w:val="single" w:sz="4" w:space="0" w:color="auto"/>
            </w:tcBorders>
            <w:shd w:val="clear" w:color="auto" w:fill="FFFFFF" w:themeFill="background1"/>
            <w:noWrap/>
            <w:vAlign w:val="center"/>
          </w:tcPr>
          <w:p w14:paraId="11F1C67E" w14:textId="77777777" w:rsidR="00E5025A" w:rsidRPr="00A07F29" w:rsidRDefault="00E5025A"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i</w:t>
            </w:r>
          </w:p>
        </w:tc>
        <w:tc>
          <w:tcPr>
            <w:tcW w:w="5591" w:type="dxa"/>
            <w:tcBorders>
              <w:top w:val="nil"/>
              <w:left w:val="nil"/>
              <w:bottom w:val="single" w:sz="4" w:space="0" w:color="auto"/>
              <w:right w:val="single" w:sz="4" w:space="0" w:color="auto"/>
            </w:tcBorders>
            <w:shd w:val="clear" w:color="auto" w:fill="FFFFFF" w:themeFill="background1"/>
            <w:noWrap/>
            <w:vAlign w:val="center"/>
          </w:tcPr>
          <w:p w14:paraId="03587F6F" w14:textId="7081AA58" w:rsidR="00E5025A" w:rsidRPr="00A07F29" w:rsidRDefault="00A900B4" w:rsidP="00295A55">
            <w:pPr>
              <w:widowControl w:val="0"/>
              <w:spacing w:after="0" w:line="240" w:lineRule="auto"/>
              <w:jc w:val="both"/>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 xml:space="preserve">Ceļmalas kā </w:t>
            </w:r>
            <w:proofErr w:type="spellStart"/>
            <w:r w:rsidRPr="00A07F29">
              <w:rPr>
                <w:rFonts w:ascii="Times New Roman" w:eastAsia="Times New Roman" w:hAnsi="Times New Roman" w:cs="Times New Roman"/>
                <w:sz w:val="20"/>
                <w:szCs w:val="20"/>
                <w:lang w:eastAsia="lv-LV"/>
              </w:rPr>
              <w:t>ekotons</w:t>
            </w:r>
            <w:proofErr w:type="spellEnd"/>
            <w:r w:rsidRPr="00A07F29">
              <w:rPr>
                <w:rFonts w:ascii="Times New Roman" w:eastAsia="Times New Roman" w:hAnsi="Times New Roman" w:cs="Times New Roman"/>
                <w:sz w:val="20"/>
                <w:szCs w:val="20"/>
                <w:lang w:eastAsia="lv-LV"/>
              </w:rPr>
              <w:t>, mežmalas efekts</w:t>
            </w:r>
          </w:p>
        </w:tc>
      </w:tr>
      <w:tr w:rsidR="00E5025A" w:rsidRPr="00A07F29" w14:paraId="356B7E9F" w14:textId="77777777" w:rsidTr="729E1729">
        <w:trPr>
          <w:trHeight w:val="288"/>
          <w:jc w:val="center"/>
        </w:trPr>
        <w:tc>
          <w:tcPr>
            <w:tcW w:w="998" w:type="dxa"/>
            <w:tcBorders>
              <w:top w:val="nil"/>
              <w:left w:val="single" w:sz="4" w:space="0" w:color="auto"/>
              <w:bottom w:val="single" w:sz="4" w:space="0" w:color="auto"/>
              <w:right w:val="single" w:sz="4" w:space="0" w:color="auto"/>
            </w:tcBorders>
            <w:shd w:val="clear" w:color="auto" w:fill="auto"/>
            <w:noWrap/>
          </w:tcPr>
          <w:p w14:paraId="03F2C1B4" w14:textId="2CD50260" w:rsidR="00E5025A" w:rsidRPr="00A07F29" w:rsidRDefault="00255379" w:rsidP="0067519E">
            <w:pPr>
              <w:widowControl w:val="0"/>
              <w:spacing w:after="0" w:line="240" w:lineRule="auto"/>
              <w:ind w:left="502" w:hanging="502"/>
              <w:contextualSpacing/>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1</w:t>
            </w:r>
            <w:r w:rsidR="0067519E" w:rsidRPr="00A07F29">
              <w:rPr>
                <w:rFonts w:ascii="Times New Roman" w:eastAsia="Times New Roman" w:hAnsi="Times New Roman" w:cs="Times New Roman"/>
                <w:sz w:val="20"/>
                <w:szCs w:val="20"/>
                <w:lang w:eastAsia="lv-LV"/>
              </w:rPr>
              <w:t>9</w:t>
            </w:r>
            <w:r w:rsidR="00295A55" w:rsidRPr="00A07F29">
              <w:rPr>
                <w:rFonts w:ascii="Times New Roman" w:eastAsia="Times New Roman" w:hAnsi="Times New Roman" w:cs="Times New Roman"/>
                <w:sz w:val="20"/>
                <w:szCs w:val="20"/>
                <w:lang w:eastAsia="lv-LV"/>
              </w:rPr>
              <w:t>.</w:t>
            </w:r>
          </w:p>
        </w:tc>
        <w:tc>
          <w:tcPr>
            <w:tcW w:w="2056" w:type="dxa"/>
            <w:tcBorders>
              <w:top w:val="single" w:sz="4" w:space="0" w:color="auto"/>
              <w:left w:val="nil"/>
              <w:bottom w:val="single" w:sz="4" w:space="0" w:color="auto"/>
              <w:right w:val="single" w:sz="4" w:space="0" w:color="auto"/>
            </w:tcBorders>
          </w:tcPr>
          <w:p w14:paraId="12FDD1A9" w14:textId="755495D8" w:rsidR="00E5025A" w:rsidRPr="00A07F29" w:rsidRDefault="00E42298" w:rsidP="00295A55">
            <w:pPr>
              <w:widowControl w:val="0"/>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Elektropārvades un telefona līnijas</w:t>
            </w:r>
          </w:p>
        </w:tc>
        <w:tc>
          <w:tcPr>
            <w:tcW w:w="1111" w:type="dxa"/>
            <w:tcBorders>
              <w:top w:val="nil"/>
              <w:left w:val="single" w:sz="4" w:space="0" w:color="auto"/>
              <w:bottom w:val="single" w:sz="4" w:space="0" w:color="auto"/>
              <w:right w:val="single" w:sz="4" w:space="0" w:color="auto"/>
            </w:tcBorders>
            <w:shd w:val="clear" w:color="auto" w:fill="FFFFFF" w:themeFill="background1"/>
            <w:vAlign w:val="center"/>
          </w:tcPr>
          <w:p w14:paraId="2E610DDF" w14:textId="77777777" w:rsidR="00E5025A" w:rsidRPr="00A07F29" w:rsidRDefault="00E5025A"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D02.01</w:t>
            </w:r>
          </w:p>
        </w:tc>
        <w:tc>
          <w:tcPr>
            <w:tcW w:w="983" w:type="dxa"/>
            <w:tcBorders>
              <w:top w:val="nil"/>
              <w:left w:val="single" w:sz="4" w:space="0" w:color="auto"/>
              <w:bottom w:val="single" w:sz="4" w:space="0" w:color="auto"/>
              <w:right w:val="single" w:sz="4" w:space="0" w:color="auto"/>
            </w:tcBorders>
            <w:shd w:val="clear" w:color="auto" w:fill="FFFFFF" w:themeFill="background1"/>
            <w:vAlign w:val="center"/>
          </w:tcPr>
          <w:p w14:paraId="5C5DF6CE" w14:textId="77777777" w:rsidR="00E5025A" w:rsidRPr="00A07F29" w:rsidRDefault="00E5025A"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N</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1BD23207" w14:textId="77777777" w:rsidR="00E5025A" w:rsidRPr="00A07F29" w:rsidRDefault="00E5025A"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L</w:t>
            </w:r>
          </w:p>
        </w:tc>
        <w:tc>
          <w:tcPr>
            <w:tcW w:w="1417" w:type="dxa"/>
            <w:tcBorders>
              <w:top w:val="nil"/>
              <w:left w:val="nil"/>
              <w:bottom w:val="single" w:sz="4" w:space="0" w:color="auto"/>
              <w:right w:val="single" w:sz="4" w:space="0" w:color="auto"/>
            </w:tcBorders>
            <w:shd w:val="clear" w:color="auto" w:fill="FFFFFF" w:themeFill="background1"/>
            <w:noWrap/>
            <w:vAlign w:val="center"/>
          </w:tcPr>
          <w:p w14:paraId="69D5ED50" w14:textId="77777777" w:rsidR="00E5025A" w:rsidRPr="00A07F29" w:rsidRDefault="00E5025A"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w:t>
            </w:r>
          </w:p>
        </w:tc>
        <w:tc>
          <w:tcPr>
            <w:tcW w:w="983" w:type="dxa"/>
            <w:tcBorders>
              <w:top w:val="nil"/>
              <w:left w:val="nil"/>
              <w:bottom w:val="single" w:sz="4" w:space="0" w:color="auto"/>
              <w:right w:val="single" w:sz="4" w:space="0" w:color="auto"/>
            </w:tcBorders>
            <w:shd w:val="clear" w:color="auto" w:fill="FFFFFF" w:themeFill="background1"/>
            <w:noWrap/>
            <w:vAlign w:val="center"/>
          </w:tcPr>
          <w:p w14:paraId="4EFE0DCC" w14:textId="77777777" w:rsidR="00E5025A" w:rsidRPr="00A07F29" w:rsidRDefault="00E5025A"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i</w:t>
            </w:r>
          </w:p>
        </w:tc>
        <w:tc>
          <w:tcPr>
            <w:tcW w:w="5591" w:type="dxa"/>
            <w:tcBorders>
              <w:top w:val="nil"/>
              <w:left w:val="nil"/>
              <w:bottom w:val="single" w:sz="4" w:space="0" w:color="auto"/>
              <w:right w:val="single" w:sz="4" w:space="0" w:color="auto"/>
            </w:tcBorders>
            <w:shd w:val="clear" w:color="auto" w:fill="FFFFFF" w:themeFill="background1"/>
            <w:noWrap/>
            <w:vAlign w:val="center"/>
          </w:tcPr>
          <w:p w14:paraId="03642EFE" w14:textId="7CC23AFE" w:rsidR="00E5025A" w:rsidRPr="00A07F29" w:rsidRDefault="00A900B4" w:rsidP="00295A55">
            <w:pPr>
              <w:widowControl w:val="0"/>
              <w:spacing w:after="0" w:line="240" w:lineRule="auto"/>
              <w:jc w:val="both"/>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Biotopu fragmentācija</w:t>
            </w:r>
          </w:p>
        </w:tc>
      </w:tr>
      <w:tr w:rsidR="00E5025A" w:rsidRPr="00A07F29" w14:paraId="701B32A2" w14:textId="77777777" w:rsidTr="729E1729">
        <w:trPr>
          <w:trHeight w:val="288"/>
          <w:jc w:val="center"/>
        </w:trPr>
        <w:tc>
          <w:tcPr>
            <w:tcW w:w="998" w:type="dxa"/>
            <w:tcBorders>
              <w:top w:val="nil"/>
              <w:left w:val="single" w:sz="4" w:space="0" w:color="auto"/>
              <w:bottom w:val="single" w:sz="4" w:space="0" w:color="auto"/>
              <w:right w:val="single" w:sz="4" w:space="0" w:color="auto"/>
            </w:tcBorders>
            <w:shd w:val="clear" w:color="auto" w:fill="auto"/>
            <w:noWrap/>
          </w:tcPr>
          <w:p w14:paraId="77E56403" w14:textId="2F8C8387" w:rsidR="00E5025A" w:rsidRPr="00A07F29" w:rsidRDefault="0067519E" w:rsidP="0067519E">
            <w:pPr>
              <w:widowControl w:val="0"/>
              <w:spacing w:after="0" w:line="240" w:lineRule="auto"/>
              <w:ind w:left="502" w:hanging="502"/>
              <w:contextualSpacing/>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20</w:t>
            </w:r>
            <w:r w:rsidR="00295A55" w:rsidRPr="00A07F29">
              <w:rPr>
                <w:rFonts w:ascii="Times New Roman" w:eastAsia="Times New Roman" w:hAnsi="Times New Roman" w:cs="Times New Roman"/>
                <w:sz w:val="20"/>
                <w:szCs w:val="20"/>
                <w:lang w:eastAsia="lv-LV"/>
              </w:rPr>
              <w:t>.</w:t>
            </w:r>
          </w:p>
        </w:tc>
        <w:tc>
          <w:tcPr>
            <w:tcW w:w="2056" w:type="dxa"/>
            <w:tcBorders>
              <w:top w:val="single" w:sz="4" w:space="0" w:color="auto"/>
              <w:left w:val="nil"/>
              <w:bottom w:val="single" w:sz="4" w:space="0" w:color="auto"/>
              <w:right w:val="single" w:sz="4" w:space="0" w:color="auto"/>
            </w:tcBorders>
          </w:tcPr>
          <w:p w14:paraId="363AC785" w14:textId="3F2DAF5E" w:rsidR="00E5025A" w:rsidRPr="00A07F29" w:rsidRDefault="00E42298" w:rsidP="00295A55">
            <w:pPr>
              <w:widowControl w:val="0"/>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Elektropārvades un telefona līnijas</w:t>
            </w:r>
          </w:p>
        </w:tc>
        <w:tc>
          <w:tcPr>
            <w:tcW w:w="1111" w:type="dxa"/>
            <w:tcBorders>
              <w:top w:val="nil"/>
              <w:left w:val="single" w:sz="4" w:space="0" w:color="auto"/>
              <w:bottom w:val="single" w:sz="4" w:space="0" w:color="auto"/>
              <w:right w:val="single" w:sz="4" w:space="0" w:color="auto"/>
            </w:tcBorders>
            <w:shd w:val="clear" w:color="auto" w:fill="FFFFFF" w:themeFill="background1"/>
            <w:vAlign w:val="center"/>
          </w:tcPr>
          <w:p w14:paraId="0804F9AF" w14:textId="77777777" w:rsidR="00E5025A" w:rsidRPr="00A07F29" w:rsidRDefault="00E5025A"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D02.01</w:t>
            </w:r>
          </w:p>
        </w:tc>
        <w:tc>
          <w:tcPr>
            <w:tcW w:w="983" w:type="dxa"/>
            <w:tcBorders>
              <w:top w:val="nil"/>
              <w:left w:val="single" w:sz="4" w:space="0" w:color="auto"/>
              <w:bottom w:val="single" w:sz="4" w:space="0" w:color="auto"/>
              <w:right w:val="single" w:sz="4" w:space="0" w:color="auto"/>
            </w:tcBorders>
            <w:shd w:val="clear" w:color="auto" w:fill="FFFFFF" w:themeFill="background1"/>
            <w:vAlign w:val="center"/>
          </w:tcPr>
          <w:p w14:paraId="41EB632D" w14:textId="77777777" w:rsidR="00E5025A" w:rsidRPr="00A07F29" w:rsidRDefault="00E5025A"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P</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7E487C73" w14:textId="77777777" w:rsidR="00E5025A" w:rsidRPr="00A07F29" w:rsidRDefault="00E5025A"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L</w:t>
            </w:r>
          </w:p>
        </w:tc>
        <w:tc>
          <w:tcPr>
            <w:tcW w:w="1417" w:type="dxa"/>
            <w:tcBorders>
              <w:top w:val="nil"/>
              <w:left w:val="nil"/>
              <w:bottom w:val="single" w:sz="4" w:space="0" w:color="auto"/>
              <w:right w:val="single" w:sz="4" w:space="0" w:color="auto"/>
            </w:tcBorders>
            <w:shd w:val="clear" w:color="auto" w:fill="FFFFFF" w:themeFill="background1"/>
            <w:noWrap/>
            <w:vAlign w:val="center"/>
          </w:tcPr>
          <w:p w14:paraId="3DDB5671" w14:textId="77777777" w:rsidR="00E5025A" w:rsidRPr="00A07F29" w:rsidRDefault="00E5025A"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w:t>
            </w:r>
          </w:p>
        </w:tc>
        <w:tc>
          <w:tcPr>
            <w:tcW w:w="983" w:type="dxa"/>
            <w:tcBorders>
              <w:top w:val="nil"/>
              <w:left w:val="nil"/>
              <w:bottom w:val="single" w:sz="4" w:space="0" w:color="auto"/>
              <w:right w:val="single" w:sz="4" w:space="0" w:color="auto"/>
            </w:tcBorders>
            <w:shd w:val="clear" w:color="auto" w:fill="FFFFFF" w:themeFill="background1"/>
            <w:noWrap/>
            <w:vAlign w:val="center"/>
          </w:tcPr>
          <w:p w14:paraId="229000E6" w14:textId="77777777" w:rsidR="00E5025A" w:rsidRPr="00A07F29" w:rsidRDefault="00E5025A"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i</w:t>
            </w:r>
          </w:p>
        </w:tc>
        <w:tc>
          <w:tcPr>
            <w:tcW w:w="5591" w:type="dxa"/>
            <w:tcBorders>
              <w:top w:val="nil"/>
              <w:left w:val="nil"/>
              <w:bottom w:val="single" w:sz="4" w:space="0" w:color="auto"/>
              <w:right w:val="single" w:sz="4" w:space="0" w:color="auto"/>
            </w:tcBorders>
            <w:shd w:val="clear" w:color="auto" w:fill="FFFFFF" w:themeFill="background1"/>
            <w:noWrap/>
            <w:vAlign w:val="center"/>
          </w:tcPr>
          <w:p w14:paraId="097F34DA" w14:textId="49AADB24" w:rsidR="00E5025A" w:rsidRPr="00A07F29" w:rsidRDefault="00A900B4" w:rsidP="00295A55">
            <w:pPr>
              <w:widowControl w:val="0"/>
              <w:spacing w:after="0" w:line="240" w:lineRule="auto"/>
              <w:jc w:val="both"/>
              <w:rPr>
                <w:rFonts w:ascii="Times New Roman" w:eastAsia="Times New Roman" w:hAnsi="Times New Roman" w:cs="Times New Roman"/>
                <w:sz w:val="20"/>
                <w:szCs w:val="20"/>
                <w:lang w:eastAsia="lv-LV"/>
              </w:rPr>
            </w:pPr>
            <w:proofErr w:type="spellStart"/>
            <w:r w:rsidRPr="00A07F29">
              <w:rPr>
                <w:rFonts w:ascii="Times New Roman" w:eastAsia="Times New Roman" w:hAnsi="Times New Roman" w:cs="Times New Roman"/>
                <w:sz w:val="20"/>
                <w:szCs w:val="20"/>
                <w:lang w:eastAsia="lv-LV"/>
              </w:rPr>
              <w:t>Ekotons</w:t>
            </w:r>
            <w:proofErr w:type="spellEnd"/>
            <w:r w:rsidRPr="00A07F29">
              <w:rPr>
                <w:rFonts w:ascii="Times New Roman" w:eastAsia="Times New Roman" w:hAnsi="Times New Roman" w:cs="Times New Roman"/>
                <w:sz w:val="20"/>
                <w:szCs w:val="20"/>
                <w:lang w:eastAsia="lv-LV"/>
              </w:rPr>
              <w:t>, mežmalas efekts</w:t>
            </w:r>
          </w:p>
        </w:tc>
      </w:tr>
      <w:tr w:rsidR="00E5025A" w:rsidRPr="00A07F29" w14:paraId="66EC5D51" w14:textId="77777777" w:rsidTr="729E1729">
        <w:trPr>
          <w:trHeight w:val="288"/>
          <w:jc w:val="center"/>
        </w:trPr>
        <w:tc>
          <w:tcPr>
            <w:tcW w:w="14131" w:type="dxa"/>
            <w:gridSpan w:val="8"/>
            <w:tcBorders>
              <w:top w:val="nil"/>
              <w:left w:val="single" w:sz="4" w:space="0" w:color="auto"/>
              <w:bottom w:val="single" w:sz="4" w:space="0" w:color="auto"/>
              <w:right w:val="single" w:sz="4" w:space="0" w:color="auto"/>
            </w:tcBorders>
            <w:shd w:val="clear" w:color="auto" w:fill="A8D08D"/>
            <w:noWrap/>
            <w:vAlign w:val="center"/>
          </w:tcPr>
          <w:p w14:paraId="5E726DD5" w14:textId="2D066D7E" w:rsidR="00E5025A" w:rsidRPr="00A07F29" w:rsidRDefault="00E5025A" w:rsidP="0067519E">
            <w:pPr>
              <w:widowControl w:val="0"/>
              <w:spacing w:after="0" w:line="240" w:lineRule="auto"/>
              <w:jc w:val="center"/>
              <w:rPr>
                <w:rFonts w:ascii="Times New Roman" w:eastAsia="Times New Roman" w:hAnsi="Times New Roman" w:cs="Times New Roman"/>
                <w:b/>
                <w:bCs/>
                <w:sz w:val="20"/>
                <w:szCs w:val="20"/>
                <w:lang w:eastAsia="lv-LV"/>
              </w:rPr>
            </w:pPr>
            <w:bookmarkStart w:id="42" w:name="_Hlk39749811"/>
            <w:r w:rsidRPr="00A07F29">
              <w:rPr>
                <w:rFonts w:ascii="Times New Roman" w:eastAsia="Times New Roman" w:hAnsi="Times New Roman" w:cs="Times New Roman"/>
                <w:b/>
                <w:bCs/>
                <w:sz w:val="20"/>
                <w:szCs w:val="20"/>
                <w:lang w:eastAsia="lv-LV"/>
              </w:rPr>
              <w:t>E</w:t>
            </w:r>
            <w:r w:rsidR="0067519E" w:rsidRPr="00A07F29">
              <w:rPr>
                <w:rFonts w:ascii="Times New Roman" w:eastAsia="Times New Roman" w:hAnsi="Times New Roman" w:cs="Times New Roman"/>
                <w:b/>
                <w:bCs/>
                <w:sz w:val="20"/>
                <w:szCs w:val="20"/>
                <w:lang w:eastAsia="lv-LV"/>
              </w:rPr>
              <w:t>.</w:t>
            </w:r>
            <w:r w:rsidRPr="00A07F29">
              <w:rPr>
                <w:rFonts w:ascii="Times New Roman" w:eastAsia="Times New Roman" w:hAnsi="Times New Roman" w:cs="Times New Roman"/>
                <w:b/>
                <w:bCs/>
                <w:sz w:val="20"/>
                <w:szCs w:val="20"/>
                <w:lang w:eastAsia="lv-LV"/>
              </w:rPr>
              <w:t xml:space="preserve"> </w:t>
            </w:r>
            <w:r w:rsidR="00E42298" w:rsidRPr="00A07F29">
              <w:rPr>
                <w:rFonts w:ascii="Times New Roman" w:eastAsia="Times New Roman" w:hAnsi="Times New Roman" w:cs="Times New Roman"/>
                <w:b/>
                <w:bCs/>
                <w:sz w:val="20"/>
                <w:szCs w:val="20"/>
                <w:lang w:eastAsia="lv-LV"/>
              </w:rPr>
              <w:t>Urbanizācija, dzīvojamās un rūpnieciskās apbūves attīstība</w:t>
            </w:r>
          </w:p>
        </w:tc>
      </w:tr>
      <w:tr w:rsidR="00E5025A" w:rsidRPr="00A07F29" w14:paraId="47940051" w14:textId="77777777" w:rsidTr="729E1729">
        <w:trPr>
          <w:trHeight w:val="288"/>
          <w:jc w:val="center"/>
        </w:trPr>
        <w:tc>
          <w:tcPr>
            <w:tcW w:w="998" w:type="dxa"/>
            <w:tcBorders>
              <w:top w:val="nil"/>
              <w:left w:val="single" w:sz="4" w:space="0" w:color="auto"/>
              <w:bottom w:val="single" w:sz="4" w:space="0" w:color="auto"/>
              <w:right w:val="single" w:sz="4" w:space="0" w:color="auto"/>
            </w:tcBorders>
            <w:shd w:val="clear" w:color="auto" w:fill="auto"/>
            <w:noWrap/>
          </w:tcPr>
          <w:p w14:paraId="14C4DD92" w14:textId="17DFB082" w:rsidR="00E5025A" w:rsidRPr="00A07F29" w:rsidRDefault="00255379" w:rsidP="0067519E">
            <w:pPr>
              <w:widowControl w:val="0"/>
              <w:spacing w:after="0" w:line="240" w:lineRule="auto"/>
              <w:ind w:left="502" w:hanging="502"/>
              <w:contextualSpacing/>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2</w:t>
            </w:r>
            <w:r w:rsidR="0067519E" w:rsidRPr="00A07F29">
              <w:rPr>
                <w:rFonts w:ascii="Times New Roman" w:eastAsia="Times New Roman" w:hAnsi="Times New Roman" w:cs="Times New Roman"/>
                <w:sz w:val="20"/>
                <w:szCs w:val="20"/>
                <w:lang w:eastAsia="lv-LV"/>
              </w:rPr>
              <w:t>1</w:t>
            </w:r>
            <w:r w:rsidR="00A900B4" w:rsidRPr="00A07F29">
              <w:rPr>
                <w:rFonts w:ascii="Times New Roman" w:eastAsia="Times New Roman" w:hAnsi="Times New Roman" w:cs="Times New Roman"/>
                <w:sz w:val="20"/>
                <w:szCs w:val="20"/>
                <w:lang w:eastAsia="lv-LV"/>
              </w:rPr>
              <w:t>.</w:t>
            </w:r>
          </w:p>
        </w:tc>
        <w:tc>
          <w:tcPr>
            <w:tcW w:w="2056" w:type="dxa"/>
            <w:tcBorders>
              <w:top w:val="single" w:sz="4" w:space="0" w:color="auto"/>
              <w:left w:val="nil"/>
              <w:bottom w:val="single" w:sz="4" w:space="0" w:color="auto"/>
              <w:right w:val="single" w:sz="4" w:space="0" w:color="auto"/>
            </w:tcBorders>
          </w:tcPr>
          <w:p w14:paraId="5F74E827" w14:textId="6C1A4517" w:rsidR="00E5025A" w:rsidRPr="00A07F29" w:rsidRDefault="00E42298" w:rsidP="00295A55">
            <w:pPr>
              <w:widowControl w:val="0"/>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Urbanizācija atsevišķās vietās</w:t>
            </w:r>
          </w:p>
        </w:tc>
        <w:tc>
          <w:tcPr>
            <w:tcW w:w="1111" w:type="dxa"/>
            <w:tcBorders>
              <w:top w:val="nil"/>
              <w:left w:val="single" w:sz="4" w:space="0" w:color="auto"/>
              <w:bottom w:val="single" w:sz="4" w:space="0" w:color="auto"/>
              <w:right w:val="single" w:sz="4" w:space="0" w:color="auto"/>
            </w:tcBorders>
            <w:shd w:val="clear" w:color="auto" w:fill="FFFFFF" w:themeFill="background1"/>
            <w:vAlign w:val="center"/>
          </w:tcPr>
          <w:p w14:paraId="22FB1043" w14:textId="77777777" w:rsidR="00E5025A" w:rsidRPr="00A07F29" w:rsidRDefault="00E5025A"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E01.02</w:t>
            </w:r>
          </w:p>
        </w:tc>
        <w:tc>
          <w:tcPr>
            <w:tcW w:w="983" w:type="dxa"/>
            <w:tcBorders>
              <w:top w:val="nil"/>
              <w:left w:val="single" w:sz="4" w:space="0" w:color="auto"/>
              <w:bottom w:val="single" w:sz="4" w:space="0" w:color="auto"/>
              <w:right w:val="single" w:sz="4" w:space="0" w:color="auto"/>
            </w:tcBorders>
            <w:shd w:val="clear" w:color="auto" w:fill="FFFFFF" w:themeFill="background1"/>
            <w:vAlign w:val="center"/>
          </w:tcPr>
          <w:p w14:paraId="14ABA9FE" w14:textId="77777777" w:rsidR="00E5025A" w:rsidRPr="00A07F29" w:rsidRDefault="00E5025A"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N</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18A52BF9" w14:textId="77777777" w:rsidR="00E5025A" w:rsidRPr="00A07F29" w:rsidRDefault="00E5025A"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L</w:t>
            </w:r>
          </w:p>
        </w:tc>
        <w:tc>
          <w:tcPr>
            <w:tcW w:w="1417" w:type="dxa"/>
            <w:tcBorders>
              <w:top w:val="nil"/>
              <w:left w:val="nil"/>
              <w:bottom w:val="single" w:sz="4" w:space="0" w:color="auto"/>
              <w:right w:val="single" w:sz="4" w:space="0" w:color="auto"/>
            </w:tcBorders>
            <w:shd w:val="clear" w:color="auto" w:fill="FFFFFF" w:themeFill="background1"/>
            <w:noWrap/>
            <w:vAlign w:val="center"/>
          </w:tcPr>
          <w:p w14:paraId="1394B9DD" w14:textId="77777777" w:rsidR="00E5025A" w:rsidRPr="00A07F29" w:rsidRDefault="00E5025A"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w:t>
            </w:r>
          </w:p>
        </w:tc>
        <w:tc>
          <w:tcPr>
            <w:tcW w:w="983" w:type="dxa"/>
            <w:tcBorders>
              <w:top w:val="nil"/>
              <w:left w:val="nil"/>
              <w:bottom w:val="single" w:sz="4" w:space="0" w:color="auto"/>
              <w:right w:val="single" w:sz="4" w:space="0" w:color="auto"/>
            </w:tcBorders>
            <w:shd w:val="clear" w:color="auto" w:fill="FFFFFF" w:themeFill="background1"/>
            <w:noWrap/>
            <w:vAlign w:val="center"/>
          </w:tcPr>
          <w:p w14:paraId="4BAB14EC" w14:textId="77777777" w:rsidR="00E5025A" w:rsidRPr="00A07F29" w:rsidRDefault="00E5025A"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i</w:t>
            </w:r>
          </w:p>
        </w:tc>
        <w:tc>
          <w:tcPr>
            <w:tcW w:w="5591" w:type="dxa"/>
            <w:tcBorders>
              <w:top w:val="nil"/>
              <w:left w:val="nil"/>
              <w:bottom w:val="single" w:sz="4" w:space="0" w:color="auto"/>
              <w:right w:val="single" w:sz="4" w:space="0" w:color="auto"/>
            </w:tcBorders>
            <w:shd w:val="clear" w:color="auto" w:fill="FFFFFF" w:themeFill="background1"/>
            <w:noWrap/>
            <w:vAlign w:val="center"/>
          </w:tcPr>
          <w:p w14:paraId="7D4E8011" w14:textId="3F2F2022" w:rsidR="00E5025A" w:rsidRPr="00A07F29" w:rsidRDefault="00A900B4" w:rsidP="00295A55">
            <w:pPr>
              <w:widowControl w:val="0"/>
              <w:spacing w:after="0" w:line="240" w:lineRule="auto"/>
              <w:jc w:val="both"/>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 xml:space="preserve">Šobrīd AAA “Augšdaugava” teritorijā </w:t>
            </w:r>
            <w:r w:rsidR="00916575" w:rsidRPr="00A07F29">
              <w:rPr>
                <w:rFonts w:ascii="Times New Roman" w:eastAsia="Times New Roman" w:hAnsi="Times New Roman" w:cs="Times New Roman"/>
                <w:sz w:val="20"/>
                <w:szCs w:val="20"/>
                <w:lang w:eastAsia="lv-LV"/>
              </w:rPr>
              <w:t>strauja apdzīvotu vietu paplašināšanās un intensīva apbūve nenotiek, tomēr ir negatīva ietekme no apdzīvotu vietu infrastruktūras uzlabošanas (telekomunikāciju torņi, ražošanas zonu atjaunošana)</w:t>
            </w:r>
          </w:p>
        </w:tc>
      </w:tr>
      <w:tr w:rsidR="00E5025A" w:rsidRPr="00A07F29" w14:paraId="162B2B19" w14:textId="77777777" w:rsidTr="729E1729">
        <w:trPr>
          <w:trHeight w:val="1165"/>
          <w:jc w:val="center"/>
        </w:trPr>
        <w:tc>
          <w:tcPr>
            <w:tcW w:w="998" w:type="dxa"/>
            <w:tcBorders>
              <w:top w:val="nil"/>
              <w:left w:val="single" w:sz="4" w:space="0" w:color="auto"/>
              <w:bottom w:val="single" w:sz="4" w:space="0" w:color="auto"/>
              <w:right w:val="single" w:sz="4" w:space="0" w:color="auto"/>
            </w:tcBorders>
            <w:shd w:val="clear" w:color="auto" w:fill="auto"/>
            <w:noWrap/>
          </w:tcPr>
          <w:p w14:paraId="13DCEBE2" w14:textId="44B72868" w:rsidR="00E5025A" w:rsidRPr="00A07F29" w:rsidRDefault="00255379" w:rsidP="0067519E">
            <w:pPr>
              <w:widowControl w:val="0"/>
              <w:spacing w:after="0" w:line="240" w:lineRule="auto"/>
              <w:ind w:left="502" w:hanging="502"/>
              <w:contextualSpacing/>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2</w:t>
            </w:r>
            <w:r w:rsidR="0067519E" w:rsidRPr="00A07F29">
              <w:rPr>
                <w:rFonts w:ascii="Times New Roman" w:eastAsia="Times New Roman" w:hAnsi="Times New Roman" w:cs="Times New Roman"/>
                <w:sz w:val="20"/>
                <w:szCs w:val="20"/>
                <w:lang w:eastAsia="lv-LV"/>
              </w:rPr>
              <w:t>2</w:t>
            </w:r>
            <w:r w:rsidR="00A900B4" w:rsidRPr="00A07F29">
              <w:rPr>
                <w:rFonts w:ascii="Times New Roman" w:eastAsia="Times New Roman" w:hAnsi="Times New Roman" w:cs="Times New Roman"/>
                <w:sz w:val="20"/>
                <w:szCs w:val="20"/>
                <w:lang w:eastAsia="lv-LV"/>
              </w:rPr>
              <w:t>.</w:t>
            </w:r>
          </w:p>
        </w:tc>
        <w:tc>
          <w:tcPr>
            <w:tcW w:w="2056" w:type="dxa"/>
            <w:tcBorders>
              <w:top w:val="single" w:sz="4" w:space="0" w:color="auto"/>
              <w:left w:val="nil"/>
              <w:bottom w:val="single" w:sz="4" w:space="0" w:color="auto"/>
              <w:right w:val="single" w:sz="4" w:space="0" w:color="auto"/>
            </w:tcBorders>
          </w:tcPr>
          <w:p w14:paraId="1D520962" w14:textId="4F1ECC79" w:rsidR="00E5025A" w:rsidRPr="00A07F29" w:rsidRDefault="00E42298" w:rsidP="00295A55">
            <w:pPr>
              <w:widowControl w:val="0"/>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Mājsaimniecību vai rekreācijas radīto atkritumu izmešana</w:t>
            </w:r>
          </w:p>
        </w:tc>
        <w:tc>
          <w:tcPr>
            <w:tcW w:w="1111" w:type="dxa"/>
            <w:tcBorders>
              <w:top w:val="nil"/>
              <w:left w:val="single" w:sz="4" w:space="0" w:color="auto"/>
              <w:bottom w:val="single" w:sz="4" w:space="0" w:color="auto"/>
              <w:right w:val="single" w:sz="4" w:space="0" w:color="auto"/>
            </w:tcBorders>
            <w:shd w:val="clear" w:color="auto" w:fill="FFFFFF" w:themeFill="background1"/>
            <w:vAlign w:val="center"/>
          </w:tcPr>
          <w:p w14:paraId="6F3EA4A1" w14:textId="77777777" w:rsidR="00E5025A" w:rsidRPr="00A07F29" w:rsidRDefault="00E5025A"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E03.01</w:t>
            </w:r>
          </w:p>
        </w:tc>
        <w:tc>
          <w:tcPr>
            <w:tcW w:w="983" w:type="dxa"/>
            <w:tcBorders>
              <w:top w:val="nil"/>
              <w:left w:val="single" w:sz="4" w:space="0" w:color="auto"/>
              <w:bottom w:val="single" w:sz="4" w:space="0" w:color="auto"/>
              <w:right w:val="single" w:sz="4" w:space="0" w:color="auto"/>
            </w:tcBorders>
            <w:shd w:val="clear" w:color="auto" w:fill="FFFFFF" w:themeFill="background1"/>
            <w:vAlign w:val="center"/>
          </w:tcPr>
          <w:p w14:paraId="513E9EE3" w14:textId="77777777" w:rsidR="00E5025A" w:rsidRPr="00A07F29" w:rsidRDefault="00E5025A"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N</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6A62419B" w14:textId="77777777" w:rsidR="00E5025A" w:rsidRPr="00A07F29" w:rsidRDefault="00E5025A"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L</w:t>
            </w:r>
          </w:p>
        </w:tc>
        <w:tc>
          <w:tcPr>
            <w:tcW w:w="1417" w:type="dxa"/>
            <w:tcBorders>
              <w:top w:val="nil"/>
              <w:left w:val="nil"/>
              <w:bottom w:val="single" w:sz="4" w:space="0" w:color="auto"/>
              <w:right w:val="single" w:sz="4" w:space="0" w:color="auto"/>
            </w:tcBorders>
            <w:shd w:val="clear" w:color="auto" w:fill="FFFFFF" w:themeFill="background1"/>
            <w:noWrap/>
            <w:vAlign w:val="center"/>
          </w:tcPr>
          <w:p w14:paraId="567BBAAA" w14:textId="77777777" w:rsidR="00E5025A" w:rsidRPr="00A07F29" w:rsidRDefault="00E5025A"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w:t>
            </w:r>
          </w:p>
        </w:tc>
        <w:tc>
          <w:tcPr>
            <w:tcW w:w="983" w:type="dxa"/>
            <w:tcBorders>
              <w:top w:val="nil"/>
              <w:left w:val="nil"/>
              <w:bottom w:val="single" w:sz="4" w:space="0" w:color="auto"/>
              <w:right w:val="single" w:sz="4" w:space="0" w:color="auto"/>
            </w:tcBorders>
            <w:shd w:val="clear" w:color="auto" w:fill="FFFFFF" w:themeFill="background1"/>
            <w:noWrap/>
            <w:vAlign w:val="center"/>
          </w:tcPr>
          <w:p w14:paraId="63B4E00D" w14:textId="77777777" w:rsidR="00E5025A" w:rsidRPr="00A07F29" w:rsidRDefault="00E5025A"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i</w:t>
            </w:r>
          </w:p>
        </w:tc>
        <w:tc>
          <w:tcPr>
            <w:tcW w:w="5591" w:type="dxa"/>
            <w:tcBorders>
              <w:top w:val="nil"/>
              <w:left w:val="nil"/>
              <w:bottom w:val="single" w:sz="4" w:space="0" w:color="auto"/>
              <w:right w:val="single" w:sz="4" w:space="0" w:color="auto"/>
            </w:tcBorders>
            <w:shd w:val="clear" w:color="auto" w:fill="FFFFFF" w:themeFill="background1"/>
            <w:noWrap/>
            <w:vAlign w:val="center"/>
          </w:tcPr>
          <w:p w14:paraId="2D0439D3" w14:textId="1FB1C442" w:rsidR="00E5025A" w:rsidRPr="00A07F29" w:rsidRDefault="00916575" w:rsidP="006025CC">
            <w:pPr>
              <w:widowControl w:val="0"/>
              <w:spacing w:after="0" w:line="240" w:lineRule="auto"/>
              <w:jc w:val="both"/>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 xml:space="preserve">Mājsaimniecību izmesto atkritumu ietekme mazinās lielākajā daļā AAA teritorijas, joprojām ietekmētas ir platības </w:t>
            </w:r>
            <w:r w:rsidR="006025CC" w:rsidRPr="00A07F29">
              <w:rPr>
                <w:rFonts w:ascii="Times New Roman" w:eastAsia="Times New Roman" w:hAnsi="Times New Roman" w:cs="Times New Roman"/>
                <w:sz w:val="20"/>
                <w:szCs w:val="20"/>
                <w:lang w:eastAsia="lv-LV"/>
              </w:rPr>
              <w:t xml:space="preserve">netālu </w:t>
            </w:r>
            <w:r w:rsidRPr="00A07F29">
              <w:rPr>
                <w:rFonts w:ascii="Times New Roman" w:eastAsia="Times New Roman" w:hAnsi="Times New Roman" w:cs="Times New Roman"/>
                <w:sz w:val="20"/>
                <w:szCs w:val="20"/>
                <w:lang w:eastAsia="lv-LV"/>
              </w:rPr>
              <w:t>no Daugavpils un Krāslavas pilsētām (Naujenes, Tabores, Krāslavas pagasti). Tūristu, makšķernieku, atpūtnieku atstātie atkritumi pie upēm un ezeriem, atpūtas vietās.</w:t>
            </w:r>
          </w:p>
        </w:tc>
      </w:tr>
      <w:tr w:rsidR="00E5025A" w:rsidRPr="00A07F29" w14:paraId="3C860E4E" w14:textId="77777777" w:rsidTr="729E1729">
        <w:trPr>
          <w:trHeight w:val="288"/>
          <w:jc w:val="center"/>
        </w:trPr>
        <w:tc>
          <w:tcPr>
            <w:tcW w:w="14131" w:type="dxa"/>
            <w:gridSpan w:val="8"/>
            <w:tcBorders>
              <w:top w:val="nil"/>
              <w:left w:val="single" w:sz="4" w:space="0" w:color="auto"/>
              <w:bottom w:val="single" w:sz="4" w:space="0" w:color="auto"/>
              <w:right w:val="single" w:sz="4" w:space="0" w:color="auto"/>
            </w:tcBorders>
            <w:shd w:val="clear" w:color="auto" w:fill="A8D08D"/>
            <w:noWrap/>
            <w:vAlign w:val="center"/>
          </w:tcPr>
          <w:p w14:paraId="11211096" w14:textId="2365AD5A" w:rsidR="00E5025A" w:rsidRPr="00A07F29" w:rsidRDefault="0067519E" w:rsidP="0067519E">
            <w:pPr>
              <w:widowControl w:val="0"/>
              <w:spacing w:after="0" w:line="240" w:lineRule="auto"/>
              <w:jc w:val="center"/>
              <w:rPr>
                <w:rFonts w:ascii="Times New Roman" w:eastAsia="Times New Roman" w:hAnsi="Times New Roman" w:cs="Times New Roman"/>
                <w:b/>
                <w:bCs/>
                <w:sz w:val="20"/>
                <w:szCs w:val="20"/>
                <w:lang w:eastAsia="lv-LV"/>
              </w:rPr>
            </w:pPr>
            <w:bookmarkStart w:id="43" w:name="_Hlk39749978"/>
            <w:bookmarkEnd w:id="42"/>
            <w:r w:rsidRPr="00A07F29">
              <w:rPr>
                <w:rFonts w:ascii="Times New Roman" w:eastAsia="Times New Roman" w:hAnsi="Times New Roman" w:cs="Times New Roman"/>
                <w:b/>
                <w:bCs/>
                <w:sz w:val="20"/>
                <w:szCs w:val="20"/>
                <w:lang w:eastAsia="lv-LV"/>
              </w:rPr>
              <w:t>F.</w:t>
            </w:r>
            <w:r w:rsidR="00E5025A" w:rsidRPr="00A07F29">
              <w:rPr>
                <w:rFonts w:ascii="Times New Roman" w:eastAsia="Times New Roman" w:hAnsi="Times New Roman" w:cs="Times New Roman"/>
                <w:b/>
                <w:bCs/>
                <w:sz w:val="20"/>
                <w:szCs w:val="20"/>
                <w:lang w:eastAsia="lv-LV"/>
              </w:rPr>
              <w:t xml:space="preserve"> </w:t>
            </w:r>
            <w:r w:rsidR="00E42298" w:rsidRPr="00A07F29">
              <w:rPr>
                <w:rFonts w:ascii="Times New Roman" w:eastAsia="Times New Roman" w:hAnsi="Times New Roman" w:cs="Times New Roman"/>
                <w:b/>
                <w:bCs/>
                <w:sz w:val="20"/>
                <w:szCs w:val="20"/>
                <w:lang w:eastAsia="lv-LV"/>
              </w:rPr>
              <w:t>Bioloģisko resursu izmantošana, izņemot lauksaimniecību un mežsaimniecību</w:t>
            </w:r>
          </w:p>
        </w:tc>
      </w:tr>
      <w:tr w:rsidR="00E5025A" w:rsidRPr="00A07F29" w14:paraId="540DF915" w14:textId="77777777" w:rsidTr="729E1729">
        <w:trPr>
          <w:trHeight w:val="288"/>
          <w:jc w:val="center"/>
        </w:trPr>
        <w:tc>
          <w:tcPr>
            <w:tcW w:w="998" w:type="dxa"/>
            <w:tcBorders>
              <w:top w:val="nil"/>
              <w:left w:val="single" w:sz="4" w:space="0" w:color="auto"/>
              <w:bottom w:val="single" w:sz="4" w:space="0" w:color="auto"/>
              <w:right w:val="single" w:sz="4" w:space="0" w:color="auto"/>
            </w:tcBorders>
            <w:shd w:val="clear" w:color="auto" w:fill="auto"/>
            <w:noWrap/>
          </w:tcPr>
          <w:p w14:paraId="7DDF8892" w14:textId="19FA366C" w:rsidR="00E5025A" w:rsidRPr="00A07F29" w:rsidRDefault="00255379" w:rsidP="0067519E">
            <w:pPr>
              <w:widowControl w:val="0"/>
              <w:spacing w:after="0" w:line="240" w:lineRule="auto"/>
              <w:ind w:left="502" w:hanging="502"/>
              <w:contextualSpacing/>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2</w:t>
            </w:r>
            <w:r w:rsidR="0067519E" w:rsidRPr="00A07F29">
              <w:rPr>
                <w:rFonts w:ascii="Times New Roman" w:eastAsia="Times New Roman" w:hAnsi="Times New Roman" w:cs="Times New Roman"/>
                <w:sz w:val="20"/>
                <w:szCs w:val="20"/>
                <w:lang w:eastAsia="lv-LV"/>
              </w:rPr>
              <w:t>3</w:t>
            </w:r>
            <w:r w:rsidR="00916575" w:rsidRPr="00A07F29">
              <w:rPr>
                <w:rFonts w:ascii="Times New Roman" w:eastAsia="Times New Roman" w:hAnsi="Times New Roman" w:cs="Times New Roman"/>
                <w:sz w:val="20"/>
                <w:szCs w:val="20"/>
                <w:lang w:eastAsia="lv-LV"/>
              </w:rPr>
              <w:t>.</w:t>
            </w:r>
          </w:p>
        </w:tc>
        <w:tc>
          <w:tcPr>
            <w:tcW w:w="2056" w:type="dxa"/>
            <w:tcBorders>
              <w:top w:val="single" w:sz="4" w:space="0" w:color="auto"/>
              <w:left w:val="nil"/>
              <w:bottom w:val="single" w:sz="4" w:space="0" w:color="auto"/>
              <w:right w:val="single" w:sz="4" w:space="0" w:color="auto"/>
            </w:tcBorders>
          </w:tcPr>
          <w:p w14:paraId="038738C3" w14:textId="05613E24" w:rsidR="00E5025A" w:rsidRPr="00A07F29" w:rsidRDefault="00CD5703" w:rsidP="00295A55">
            <w:pPr>
              <w:widowControl w:val="0"/>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 xml:space="preserve">Zveja ar </w:t>
            </w:r>
            <w:proofErr w:type="spellStart"/>
            <w:r w:rsidRPr="00A07F29">
              <w:rPr>
                <w:rFonts w:ascii="Times New Roman" w:eastAsia="Times New Roman" w:hAnsi="Times New Roman" w:cs="Times New Roman"/>
                <w:sz w:val="20"/>
                <w:szCs w:val="20"/>
                <w:lang w:eastAsia="lv-LV"/>
              </w:rPr>
              <w:t>piegrunts</w:t>
            </w:r>
            <w:proofErr w:type="spellEnd"/>
            <w:r w:rsidRPr="00A07F29">
              <w:rPr>
                <w:rFonts w:ascii="Times New Roman" w:eastAsia="Times New Roman" w:hAnsi="Times New Roman" w:cs="Times New Roman"/>
                <w:sz w:val="20"/>
                <w:szCs w:val="20"/>
                <w:lang w:eastAsia="lv-LV"/>
              </w:rPr>
              <w:t xml:space="preserve"> tīkliem</w:t>
            </w:r>
          </w:p>
        </w:tc>
        <w:tc>
          <w:tcPr>
            <w:tcW w:w="1111" w:type="dxa"/>
            <w:tcBorders>
              <w:top w:val="nil"/>
              <w:left w:val="single" w:sz="4" w:space="0" w:color="auto"/>
              <w:bottom w:val="single" w:sz="4" w:space="0" w:color="auto"/>
              <w:right w:val="single" w:sz="4" w:space="0" w:color="auto"/>
            </w:tcBorders>
            <w:shd w:val="clear" w:color="auto" w:fill="FFFFFF" w:themeFill="background1"/>
            <w:vAlign w:val="center"/>
          </w:tcPr>
          <w:p w14:paraId="75993DB8" w14:textId="77777777" w:rsidR="00E5025A" w:rsidRPr="00A07F29" w:rsidRDefault="00E5025A"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F02.03</w:t>
            </w:r>
          </w:p>
        </w:tc>
        <w:tc>
          <w:tcPr>
            <w:tcW w:w="983" w:type="dxa"/>
            <w:tcBorders>
              <w:top w:val="nil"/>
              <w:left w:val="single" w:sz="4" w:space="0" w:color="auto"/>
              <w:bottom w:val="single" w:sz="4" w:space="0" w:color="auto"/>
              <w:right w:val="single" w:sz="4" w:space="0" w:color="auto"/>
            </w:tcBorders>
            <w:shd w:val="clear" w:color="auto" w:fill="FFFFFF" w:themeFill="background1"/>
            <w:vAlign w:val="center"/>
          </w:tcPr>
          <w:p w14:paraId="12E1B47B" w14:textId="77777777" w:rsidR="00E5025A" w:rsidRPr="00A07F29" w:rsidRDefault="00E5025A"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N</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77D5973D" w14:textId="77777777" w:rsidR="00E5025A" w:rsidRPr="00A07F29" w:rsidRDefault="00E5025A"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M</w:t>
            </w:r>
          </w:p>
        </w:tc>
        <w:tc>
          <w:tcPr>
            <w:tcW w:w="1417" w:type="dxa"/>
            <w:tcBorders>
              <w:top w:val="nil"/>
              <w:left w:val="nil"/>
              <w:bottom w:val="single" w:sz="4" w:space="0" w:color="auto"/>
              <w:right w:val="single" w:sz="4" w:space="0" w:color="auto"/>
            </w:tcBorders>
            <w:shd w:val="clear" w:color="auto" w:fill="FFFFFF" w:themeFill="background1"/>
            <w:noWrap/>
            <w:vAlign w:val="center"/>
          </w:tcPr>
          <w:p w14:paraId="58180714" w14:textId="77777777" w:rsidR="00E5025A" w:rsidRPr="00A07F29" w:rsidRDefault="00E5025A"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w:t>
            </w:r>
          </w:p>
        </w:tc>
        <w:tc>
          <w:tcPr>
            <w:tcW w:w="983" w:type="dxa"/>
            <w:tcBorders>
              <w:top w:val="nil"/>
              <w:left w:val="nil"/>
              <w:bottom w:val="single" w:sz="4" w:space="0" w:color="auto"/>
              <w:right w:val="single" w:sz="4" w:space="0" w:color="auto"/>
            </w:tcBorders>
            <w:shd w:val="clear" w:color="auto" w:fill="FFFFFF" w:themeFill="background1"/>
            <w:noWrap/>
            <w:vAlign w:val="center"/>
          </w:tcPr>
          <w:p w14:paraId="2CD4774A" w14:textId="77777777" w:rsidR="00E5025A" w:rsidRPr="00A07F29" w:rsidRDefault="00E5025A"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i</w:t>
            </w:r>
          </w:p>
        </w:tc>
        <w:tc>
          <w:tcPr>
            <w:tcW w:w="5591" w:type="dxa"/>
            <w:tcBorders>
              <w:top w:val="nil"/>
              <w:left w:val="nil"/>
              <w:bottom w:val="single" w:sz="4" w:space="0" w:color="auto"/>
              <w:right w:val="single" w:sz="4" w:space="0" w:color="auto"/>
            </w:tcBorders>
            <w:shd w:val="clear" w:color="auto" w:fill="FFFFFF" w:themeFill="background1"/>
            <w:noWrap/>
            <w:vAlign w:val="center"/>
          </w:tcPr>
          <w:p w14:paraId="6DF1105F" w14:textId="5ADFF984" w:rsidR="00E5025A" w:rsidRPr="00A07F29" w:rsidRDefault="00916575" w:rsidP="00295A55">
            <w:pPr>
              <w:widowControl w:val="0"/>
              <w:spacing w:after="0" w:line="240" w:lineRule="auto"/>
              <w:jc w:val="both"/>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 xml:space="preserve">Pārsvarā negatīva ietekme ir visa veida </w:t>
            </w:r>
            <w:proofErr w:type="spellStart"/>
            <w:r w:rsidRPr="00A07F29">
              <w:rPr>
                <w:rFonts w:ascii="Times New Roman" w:eastAsia="Times New Roman" w:hAnsi="Times New Roman" w:cs="Times New Roman"/>
                <w:sz w:val="20"/>
                <w:szCs w:val="20"/>
                <w:lang w:eastAsia="lv-LV"/>
              </w:rPr>
              <w:t>maluzvejai</w:t>
            </w:r>
            <w:proofErr w:type="spellEnd"/>
            <w:r w:rsidRPr="00A07F29">
              <w:rPr>
                <w:rFonts w:ascii="Times New Roman" w:eastAsia="Times New Roman" w:hAnsi="Times New Roman" w:cs="Times New Roman"/>
                <w:sz w:val="20"/>
                <w:szCs w:val="20"/>
                <w:lang w:eastAsia="lv-LV"/>
              </w:rPr>
              <w:t>. Legālo zvejnieku nav daudz un ietekmes nevar uzskatīt par intensīvām.</w:t>
            </w:r>
          </w:p>
        </w:tc>
      </w:tr>
      <w:tr w:rsidR="00E5025A" w:rsidRPr="00A07F29" w14:paraId="4A0DD345" w14:textId="77777777" w:rsidTr="729E1729">
        <w:trPr>
          <w:trHeight w:val="288"/>
          <w:jc w:val="center"/>
        </w:trPr>
        <w:tc>
          <w:tcPr>
            <w:tcW w:w="998" w:type="dxa"/>
            <w:tcBorders>
              <w:top w:val="nil"/>
              <w:left w:val="single" w:sz="4" w:space="0" w:color="auto"/>
              <w:bottom w:val="single" w:sz="4" w:space="0" w:color="auto"/>
              <w:right w:val="single" w:sz="4" w:space="0" w:color="auto"/>
            </w:tcBorders>
            <w:shd w:val="clear" w:color="auto" w:fill="auto"/>
            <w:noWrap/>
          </w:tcPr>
          <w:p w14:paraId="37197C1D" w14:textId="468DE0D9" w:rsidR="00E5025A" w:rsidRPr="00A07F29" w:rsidRDefault="00255379" w:rsidP="0067519E">
            <w:pPr>
              <w:widowControl w:val="0"/>
              <w:spacing w:after="0" w:line="240" w:lineRule="auto"/>
              <w:ind w:left="502" w:hanging="502"/>
              <w:contextualSpacing/>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2</w:t>
            </w:r>
            <w:r w:rsidR="0067519E" w:rsidRPr="00A07F29">
              <w:rPr>
                <w:rFonts w:ascii="Times New Roman" w:eastAsia="Times New Roman" w:hAnsi="Times New Roman" w:cs="Times New Roman"/>
                <w:sz w:val="20"/>
                <w:szCs w:val="20"/>
                <w:lang w:eastAsia="lv-LV"/>
              </w:rPr>
              <w:t>4</w:t>
            </w:r>
            <w:r w:rsidR="00916575" w:rsidRPr="00A07F29">
              <w:rPr>
                <w:rFonts w:ascii="Times New Roman" w:eastAsia="Times New Roman" w:hAnsi="Times New Roman" w:cs="Times New Roman"/>
                <w:sz w:val="20"/>
                <w:szCs w:val="20"/>
                <w:lang w:eastAsia="lv-LV"/>
              </w:rPr>
              <w:t>.</w:t>
            </w:r>
          </w:p>
        </w:tc>
        <w:tc>
          <w:tcPr>
            <w:tcW w:w="2056" w:type="dxa"/>
            <w:tcBorders>
              <w:top w:val="single" w:sz="4" w:space="0" w:color="auto"/>
              <w:left w:val="nil"/>
              <w:bottom w:val="single" w:sz="4" w:space="0" w:color="auto"/>
              <w:right w:val="single" w:sz="4" w:space="0" w:color="auto"/>
            </w:tcBorders>
          </w:tcPr>
          <w:p w14:paraId="67BB2412" w14:textId="4FA0FDA3" w:rsidR="00E5025A" w:rsidRPr="00A07F29" w:rsidRDefault="00CD5703" w:rsidP="00295A55">
            <w:pPr>
              <w:widowControl w:val="0"/>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 xml:space="preserve">Zveja ar </w:t>
            </w:r>
            <w:proofErr w:type="spellStart"/>
            <w:r w:rsidRPr="00A07F29">
              <w:rPr>
                <w:rFonts w:ascii="Times New Roman" w:eastAsia="Times New Roman" w:hAnsi="Times New Roman" w:cs="Times New Roman"/>
                <w:sz w:val="20"/>
                <w:szCs w:val="20"/>
                <w:lang w:eastAsia="lv-LV"/>
              </w:rPr>
              <w:t>piegrunts</w:t>
            </w:r>
            <w:proofErr w:type="spellEnd"/>
            <w:r w:rsidRPr="00A07F29">
              <w:rPr>
                <w:rFonts w:ascii="Times New Roman" w:eastAsia="Times New Roman" w:hAnsi="Times New Roman" w:cs="Times New Roman"/>
                <w:sz w:val="20"/>
                <w:szCs w:val="20"/>
                <w:lang w:eastAsia="lv-LV"/>
              </w:rPr>
              <w:t xml:space="preserve"> tīkliem</w:t>
            </w:r>
          </w:p>
        </w:tc>
        <w:tc>
          <w:tcPr>
            <w:tcW w:w="1111" w:type="dxa"/>
            <w:tcBorders>
              <w:top w:val="nil"/>
              <w:left w:val="single" w:sz="4" w:space="0" w:color="auto"/>
              <w:bottom w:val="single" w:sz="4" w:space="0" w:color="auto"/>
              <w:right w:val="single" w:sz="4" w:space="0" w:color="auto"/>
            </w:tcBorders>
            <w:shd w:val="clear" w:color="auto" w:fill="FFFFFF" w:themeFill="background1"/>
            <w:vAlign w:val="center"/>
          </w:tcPr>
          <w:p w14:paraId="1163C7F2" w14:textId="77777777" w:rsidR="00E5025A" w:rsidRPr="00A07F29" w:rsidRDefault="00E5025A"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F02.03</w:t>
            </w:r>
          </w:p>
        </w:tc>
        <w:tc>
          <w:tcPr>
            <w:tcW w:w="983" w:type="dxa"/>
            <w:tcBorders>
              <w:top w:val="nil"/>
              <w:left w:val="single" w:sz="4" w:space="0" w:color="auto"/>
              <w:bottom w:val="single" w:sz="4" w:space="0" w:color="auto"/>
              <w:right w:val="single" w:sz="4" w:space="0" w:color="auto"/>
            </w:tcBorders>
            <w:shd w:val="clear" w:color="auto" w:fill="FFFFFF" w:themeFill="background1"/>
            <w:vAlign w:val="center"/>
          </w:tcPr>
          <w:p w14:paraId="3BFA36A0" w14:textId="77777777" w:rsidR="00E5025A" w:rsidRPr="00A07F29" w:rsidRDefault="00E5025A"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P</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090E7C4F" w14:textId="77777777" w:rsidR="00E5025A" w:rsidRPr="00A07F29" w:rsidRDefault="00E5025A"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M</w:t>
            </w:r>
          </w:p>
        </w:tc>
        <w:tc>
          <w:tcPr>
            <w:tcW w:w="1417" w:type="dxa"/>
            <w:tcBorders>
              <w:top w:val="nil"/>
              <w:left w:val="nil"/>
              <w:bottom w:val="single" w:sz="4" w:space="0" w:color="auto"/>
              <w:right w:val="single" w:sz="4" w:space="0" w:color="auto"/>
            </w:tcBorders>
            <w:shd w:val="clear" w:color="auto" w:fill="FFFFFF" w:themeFill="background1"/>
            <w:noWrap/>
            <w:vAlign w:val="center"/>
          </w:tcPr>
          <w:p w14:paraId="0BC3908F" w14:textId="77777777" w:rsidR="00E5025A" w:rsidRPr="00A07F29" w:rsidRDefault="00E5025A"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w:t>
            </w:r>
          </w:p>
        </w:tc>
        <w:tc>
          <w:tcPr>
            <w:tcW w:w="983" w:type="dxa"/>
            <w:tcBorders>
              <w:top w:val="nil"/>
              <w:left w:val="nil"/>
              <w:bottom w:val="single" w:sz="4" w:space="0" w:color="auto"/>
              <w:right w:val="single" w:sz="4" w:space="0" w:color="auto"/>
            </w:tcBorders>
            <w:shd w:val="clear" w:color="auto" w:fill="FFFFFF" w:themeFill="background1"/>
            <w:noWrap/>
            <w:vAlign w:val="center"/>
          </w:tcPr>
          <w:p w14:paraId="688D77B7" w14:textId="77777777" w:rsidR="00E5025A" w:rsidRPr="00A07F29" w:rsidRDefault="00E5025A"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i</w:t>
            </w:r>
          </w:p>
        </w:tc>
        <w:tc>
          <w:tcPr>
            <w:tcW w:w="5591" w:type="dxa"/>
            <w:tcBorders>
              <w:top w:val="nil"/>
              <w:left w:val="nil"/>
              <w:bottom w:val="single" w:sz="4" w:space="0" w:color="auto"/>
              <w:right w:val="single" w:sz="4" w:space="0" w:color="auto"/>
            </w:tcBorders>
            <w:shd w:val="clear" w:color="auto" w:fill="FFFFFF" w:themeFill="background1"/>
            <w:noWrap/>
            <w:vAlign w:val="center"/>
          </w:tcPr>
          <w:p w14:paraId="1636A969" w14:textId="0DCEE23A" w:rsidR="00E5025A" w:rsidRPr="00A07F29" w:rsidRDefault="00916575" w:rsidP="00295A55">
            <w:pPr>
              <w:widowControl w:val="0"/>
              <w:spacing w:after="0" w:line="240" w:lineRule="auto"/>
              <w:jc w:val="both"/>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 xml:space="preserve">Legālā zveja un zvejnieku klātbūtne samazina </w:t>
            </w:r>
            <w:proofErr w:type="spellStart"/>
            <w:r w:rsidRPr="00A07F29">
              <w:rPr>
                <w:rFonts w:ascii="Times New Roman" w:eastAsia="Times New Roman" w:hAnsi="Times New Roman" w:cs="Times New Roman"/>
                <w:sz w:val="20"/>
                <w:szCs w:val="20"/>
                <w:lang w:eastAsia="lv-LV"/>
              </w:rPr>
              <w:t>maluzveju</w:t>
            </w:r>
            <w:proofErr w:type="spellEnd"/>
            <w:r w:rsidRPr="00A07F29">
              <w:rPr>
                <w:rFonts w:ascii="Times New Roman" w:eastAsia="Times New Roman" w:hAnsi="Times New Roman" w:cs="Times New Roman"/>
                <w:sz w:val="20"/>
                <w:szCs w:val="20"/>
                <w:lang w:eastAsia="lv-LV"/>
              </w:rPr>
              <w:t xml:space="preserve">. Tīkli nelielos apjomos nogādā krastā augu atliekas un </w:t>
            </w:r>
            <w:proofErr w:type="spellStart"/>
            <w:r w:rsidRPr="00A07F29">
              <w:rPr>
                <w:rFonts w:ascii="Times New Roman" w:eastAsia="Times New Roman" w:hAnsi="Times New Roman" w:cs="Times New Roman"/>
                <w:sz w:val="20"/>
                <w:szCs w:val="20"/>
                <w:lang w:eastAsia="lv-LV"/>
              </w:rPr>
              <w:t>sedimentus</w:t>
            </w:r>
            <w:proofErr w:type="spellEnd"/>
            <w:r w:rsidRPr="00A07F29">
              <w:rPr>
                <w:rFonts w:ascii="Times New Roman" w:eastAsia="Times New Roman" w:hAnsi="Times New Roman" w:cs="Times New Roman"/>
                <w:sz w:val="20"/>
                <w:szCs w:val="20"/>
                <w:lang w:eastAsia="lv-LV"/>
              </w:rPr>
              <w:t xml:space="preserve">, attīrot </w:t>
            </w:r>
            <w:r w:rsidRPr="00A07F29">
              <w:rPr>
                <w:rFonts w:ascii="Times New Roman" w:eastAsia="Times New Roman" w:hAnsi="Times New Roman" w:cs="Times New Roman"/>
                <w:sz w:val="20"/>
                <w:szCs w:val="20"/>
                <w:lang w:eastAsia="lv-LV"/>
              </w:rPr>
              <w:lastRenderedPageBreak/>
              <w:t>grunti</w:t>
            </w:r>
          </w:p>
        </w:tc>
      </w:tr>
      <w:bookmarkEnd w:id="43"/>
      <w:tr w:rsidR="00E5025A" w:rsidRPr="00A07F29" w14:paraId="2D576EAF" w14:textId="77777777" w:rsidTr="729E1729">
        <w:trPr>
          <w:trHeight w:val="288"/>
          <w:jc w:val="center"/>
        </w:trPr>
        <w:tc>
          <w:tcPr>
            <w:tcW w:w="14131" w:type="dxa"/>
            <w:gridSpan w:val="8"/>
            <w:tcBorders>
              <w:top w:val="nil"/>
              <w:left w:val="single" w:sz="4" w:space="0" w:color="auto"/>
              <w:bottom w:val="single" w:sz="4" w:space="0" w:color="auto"/>
              <w:right w:val="single" w:sz="4" w:space="0" w:color="auto"/>
            </w:tcBorders>
            <w:shd w:val="clear" w:color="auto" w:fill="A8D08D"/>
            <w:noWrap/>
            <w:vAlign w:val="center"/>
          </w:tcPr>
          <w:p w14:paraId="0F6EEBC4" w14:textId="0A949147" w:rsidR="00E5025A" w:rsidRPr="00A07F29" w:rsidRDefault="0067519E" w:rsidP="0067519E">
            <w:pPr>
              <w:keepNext/>
              <w:widowControl w:val="0"/>
              <w:spacing w:after="0" w:line="240" w:lineRule="auto"/>
              <w:jc w:val="center"/>
              <w:rPr>
                <w:rFonts w:ascii="Times New Roman" w:eastAsia="Times New Roman" w:hAnsi="Times New Roman" w:cs="Times New Roman"/>
                <w:b/>
                <w:bCs/>
                <w:sz w:val="20"/>
                <w:szCs w:val="20"/>
                <w:lang w:eastAsia="lv-LV"/>
              </w:rPr>
            </w:pPr>
            <w:r w:rsidRPr="00A07F29">
              <w:rPr>
                <w:rFonts w:ascii="Times New Roman" w:eastAsia="Times New Roman" w:hAnsi="Times New Roman" w:cs="Times New Roman"/>
                <w:b/>
                <w:bCs/>
                <w:sz w:val="20"/>
                <w:szCs w:val="20"/>
                <w:lang w:eastAsia="lv-LV"/>
              </w:rPr>
              <w:lastRenderedPageBreak/>
              <w:t>G.</w:t>
            </w:r>
            <w:r w:rsidR="00E5025A" w:rsidRPr="00A07F29">
              <w:rPr>
                <w:rFonts w:ascii="Times New Roman" w:eastAsia="Times New Roman" w:hAnsi="Times New Roman" w:cs="Times New Roman"/>
                <w:b/>
                <w:bCs/>
                <w:sz w:val="20"/>
                <w:szCs w:val="20"/>
                <w:lang w:eastAsia="lv-LV"/>
              </w:rPr>
              <w:t xml:space="preserve"> </w:t>
            </w:r>
            <w:r w:rsidR="00CD5703" w:rsidRPr="00A07F29">
              <w:rPr>
                <w:rFonts w:ascii="Times New Roman" w:eastAsia="Times New Roman" w:hAnsi="Times New Roman" w:cs="Times New Roman"/>
                <w:b/>
                <w:bCs/>
                <w:sz w:val="20"/>
                <w:szCs w:val="20"/>
                <w:lang w:eastAsia="lv-LV"/>
              </w:rPr>
              <w:t>Cilvēka radītās ietekmes</w:t>
            </w:r>
          </w:p>
        </w:tc>
      </w:tr>
      <w:tr w:rsidR="00E5025A" w:rsidRPr="00A07F29" w14:paraId="05F233A0" w14:textId="77777777" w:rsidTr="729E1729">
        <w:trPr>
          <w:trHeight w:val="288"/>
          <w:jc w:val="center"/>
        </w:trPr>
        <w:tc>
          <w:tcPr>
            <w:tcW w:w="998" w:type="dxa"/>
            <w:tcBorders>
              <w:top w:val="nil"/>
              <w:left w:val="single" w:sz="4" w:space="0" w:color="auto"/>
              <w:bottom w:val="single" w:sz="4" w:space="0" w:color="auto"/>
              <w:right w:val="single" w:sz="4" w:space="0" w:color="auto"/>
            </w:tcBorders>
            <w:shd w:val="clear" w:color="auto" w:fill="auto"/>
            <w:noWrap/>
          </w:tcPr>
          <w:p w14:paraId="0E3DF70F" w14:textId="6112E3D3" w:rsidR="00E5025A" w:rsidRPr="00A07F29" w:rsidRDefault="0067519E" w:rsidP="0067519E">
            <w:pPr>
              <w:widowControl w:val="0"/>
              <w:spacing w:after="0" w:line="240" w:lineRule="auto"/>
              <w:ind w:left="502" w:hanging="530"/>
              <w:contextualSpacing/>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25</w:t>
            </w:r>
            <w:r w:rsidR="00916575" w:rsidRPr="00A07F29">
              <w:rPr>
                <w:rFonts w:ascii="Times New Roman" w:eastAsia="Times New Roman" w:hAnsi="Times New Roman" w:cs="Times New Roman"/>
                <w:sz w:val="20"/>
                <w:szCs w:val="20"/>
                <w:lang w:eastAsia="lv-LV"/>
              </w:rPr>
              <w:t>.</w:t>
            </w:r>
          </w:p>
        </w:tc>
        <w:tc>
          <w:tcPr>
            <w:tcW w:w="2056" w:type="dxa"/>
            <w:tcBorders>
              <w:top w:val="single" w:sz="4" w:space="0" w:color="auto"/>
              <w:left w:val="nil"/>
              <w:bottom w:val="single" w:sz="4" w:space="0" w:color="auto"/>
              <w:right w:val="single" w:sz="4" w:space="0" w:color="auto"/>
            </w:tcBorders>
          </w:tcPr>
          <w:p w14:paraId="7A3BB8DC" w14:textId="1EF3EA2E" w:rsidR="00E5025A" w:rsidRPr="00A07F29" w:rsidRDefault="00CD5703" w:rsidP="00295A55">
            <w:pPr>
              <w:widowControl w:val="0"/>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Staigāšana, jāšana ar zirgu, nemotorizētais transports</w:t>
            </w:r>
          </w:p>
        </w:tc>
        <w:tc>
          <w:tcPr>
            <w:tcW w:w="1111" w:type="dxa"/>
            <w:tcBorders>
              <w:top w:val="nil"/>
              <w:left w:val="single" w:sz="4" w:space="0" w:color="auto"/>
              <w:bottom w:val="single" w:sz="4" w:space="0" w:color="auto"/>
              <w:right w:val="single" w:sz="4" w:space="0" w:color="auto"/>
            </w:tcBorders>
            <w:shd w:val="clear" w:color="auto" w:fill="FFFFFF" w:themeFill="background1"/>
            <w:vAlign w:val="center"/>
          </w:tcPr>
          <w:p w14:paraId="602FDBE3" w14:textId="77777777" w:rsidR="00E5025A" w:rsidRPr="00A07F29" w:rsidRDefault="00E5025A"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G01.02</w:t>
            </w:r>
          </w:p>
        </w:tc>
        <w:tc>
          <w:tcPr>
            <w:tcW w:w="983" w:type="dxa"/>
            <w:tcBorders>
              <w:top w:val="nil"/>
              <w:left w:val="single" w:sz="4" w:space="0" w:color="auto"/>
              <w:bottom w:val="single" w:sz="4" w:space="0" w:color="auto"/>
              <w:right w:val="single" w:sz="4" w:space="0" w:color="auto"/>
            </w:tcBorders>
            <w:shd w:val="clear" w:color="auto" w:fill="FFFFFF" w:themeFill="background1"/>
            <w:vAlign w:val="center"/>
          </w:tcPr>
          <w:p w14:paraId="271378FF" w14:textId="77777777" w:rsidR="00E5025A" w:rsidRPr="00A07F29" w:rsidRDefault="00E5025A"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N</w:t>
            </w:r>
          </w:p>
        </w:tc>
        <w:tc>
          <w:tcPr>
            <w:tcW w:w="992" w:type="dxa"/>
            <w:tcBorders>
              <w:top w:val="nil"/>
              <w:left w:val="nil"/>
              <w:bottom w:val="single" w:sz="4" w:space="0" w:color="auto"/>
              <w:right w:val="single" w:sz="4" w:space="0" w:color="auto"/>
            </w:tcBorders>
            <w:shd w:val="clear" w:color="auto" w:fill="FFC000"/>
            <w:noWrap/>
            <w:vAlign w:val="center"/>
          </w:tcPr>
          <w:p w14:paraId="311586D6" w14:textId="66A7132E" w:rsidR="00E5025A" w:rsidRPr="00A07F29" w:rsidRDefault="00916575"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L</w:t>
            </w:r>
          </w:p>
        </w:tc>
        <w:tc>
          <w:tcPr>
            <w:tcW w:w="1417" w:type="dxa"/>
            <w:tcBorders>
              <w:top w:val="nil"/>
              <w:left w:val="nil"/>
              <w:bottom w:val="single" w:sz="4" w:space="0" w:color="auto"/>
              <w:right w:val="single" w:sz="4" w:space="0" w:color="auto"/>
            </w:tcBorders>
            <w:shd w:val="clear" w:color="auto" w:fill="FFFFFF" w:themeFill="background1"/>
            <w:noWrap/>
            <w:vAlign w:val="center"/>
          </w:tcPr>
          <w:p w14:paraId="21E27C10" w14:textId="77777777" w:rsidR="00E5025A" w:rsidRPr="00A07F29" w:rsidRDefault="00E5025A"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w:t>
            </w:r>
          </w:p>
        </w:tc>
        <w:tc>
          <w:tcPr>
            <w:tcW w:w="983" w:type="dxa"/>
            <w:tcBorders>
              <w:top w:val="nil"/>
              <w:left w:val="nil"/>
              <w:bottom w:val="single" w:sz="4" w:space="0" w:color="auto"/>
              <w:right w:val="single" w:sz="4" w:space="0" w:color="auto"/>
            </w:tcBorders>
            <w:shd w:val="clear" w:color="auto" w:fill="FFFFFF" w:themeFill="background1"/>
            <w:noWrap/>
            <w:vAlign w:val="center"/>
          </w:tcPr>
          <w:p w14:paraId="08BE2DC2" w14:textId="77777777" w:rsidR="00E5025A" w:rsidRPr="00A07F29" w:rsidRDefault="00E5025A"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i</w:t>
            </w:r>
          </w:p>
        </w:tc>
        <w:tc>
          <w:tcPr>
            <w:tcW w:w="5591" w:type="dxa"/>
            <w:tcBorders>
              <w:top w:val="nil"/>
              <w:left w:val="nil"/>
              <w:bottom w:val="single" w:sz="4" w:space="0" w:color="auto"/>
              <w:right w:val="single" w:sz="4" w:space="0" w:color="auto"/>
            </w:tcBorders>
            <w:shd w:val="clear" w:color="auto" w:fill="FFFFFF" w:themeFill="background1"/>
            <w:noWrap/>
            <w:vAlign w:val="center"/>
          </w:tcPr>
          <w:p w14:paraId="02EE2AF2" w14:textId="5D2DC253" w:rsidR="00E5025A" w:rsidRPr="00A07F29" w:rsidRDefault="00916575" w:rsidP="00295A55">
            <w:pPr>
              <w:widowControl w:val="0"/>
              <w:spacing w:after="0" w:line="240" w:lineRule="auto"/>
              <w:jc w:val="both"/>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Tūrisma plūsma ietekmē apkārtējos biotopus – nomīdīšana, atkritumi.</w:t>
            </w:r>
          </w:p>
        </w:tc>
      </w:tr>
      <w:tr w:rsidR="00E5025A" w:rsidRPr="00A07F29" w14:paraId="6FD0ADCD" w14:textId="77777777" w:rsidTr="729E1729">
        <w:trPr>
          <w:trHeight w:val="288"/>
          <w:jc w:val="center"/>
        </w:trPr>
        <w:tc>
          <w:tcPr>
            <w:tcW w:w="14131" w:type="dxa"/>
            <w:gridSpan w:val="8"/>
            <w:tcBorders>
              <w:top w:val="nil"/>
              <w:left w:val="single" w:sz="4" w:space="0" w:color="auto"/>
              <w:bottom w:val="single" w:sz="4" w:space="0" w:color="auto"/>
              <w:right w:val="single" w:sz="4" w:space="0" w:color="auto"/>
            </w:tcBorders>
            <w:shd w:val="clear" w:color="auto" w:fill="A8D08D"/>
            <w:noWrap/>
            <w:vAlign w:val="center"/>
          </w:tcPr>
          <w:p w14:paraId="37B32CF6" w14:textId="6C60F4D3" w:rsidR="00E5025A" w:rsidRPr="00A07F29" w:rsidRDefault="001A48BB" w:rsidP="001A48BB">
            <w:pPr>
              <w:pStyle w:val="ListParagraph"/>
              <w:widowControl w:val="0"/>
              <w:spacing w:after="0" w:line="240" w:lineRule="auto"/>
              <w:ind w:firstLine="0"/>
              <w:jc w:val="center"/>
              <w:rPr>
                <w:rFonts w:eastAsia="Times New Roman" w:cs="Times New Roman"/>
                <w:b/>
                <w:bCs/>
                <w:sz w:val="20"/>
                <w:szCs w:val="20"/>
                <w:lang w:eastAsia="lv-LV"/>
              </w:rPr>
            </w:pPr>
            <w:bookmarkStart w:id="44" w:name="_Hlk39750464"/>
            <w:r w:rsidRPr="00A07F29">
              <w:rPr>
                <w:rFonts w:eastAsia="Times New Roman" w:cs="Times New Roman"/>
                <w:b/>
                <w:bCs/>
                <w:sz w:val="20"/>
                <w:szCs w:val="20"/>
                <w:lang w:eastAsia="lv-LV"/>
              </w:rPr>
              <w:t xml:space="preserve">H. </w:t>
            </w:r>
            <w:r w:rsidR="00CD5703" w:rsidRPr="00A07F29">
              <w:rPr>
                <w:rFonts w:eastAsia="Times New Roman" w:cs="Times New Roman"/>
                <w:b/>
                <w:bCs/>
                <w:sz w:val="20"/>
                <w:szCs w:val="20"/>
                <w:lang w:eastAsia="lv-LV"/>
              </w:rPr>
              <w:t>P</w:t>
            </w:r>
            <w:r w:rsidR="00E5025A" w:rsidRPr="00A07F29">
              <w:rPr>
                <w:rFonts w:eastAsia="Times New Roman" w:cs="Times New Roman"/>
                <w:b/>
                <w:bCs/>
                <w:sz w:val="20"/>
                <w:szCs w:val="20"/>
                <w:lang w:eastAsia="lv-LV"/>
              </w:rPr>
              <w:t>iesārņojums</w:t>
            </w:r>
          </w:p>
        </w:tc>
      </w:tr>
      <w:tr w:rsidR="00CD5703" w:rsidRPr="00A07F29" w14:paraId="24D61547" w14:textId="77777777" w:rsidTr="729E1729">
        <w:trPr>
          <w:trHeight w:val="288"/>
          <w:jc w:val="center"/>
        </w:trPr>
        <w:tc>
          <w:tcPr>
            <w:tcW w:w="998" w:type="dxa"/>
            <w:tcBorders>
              <w:top w:val="nil"/>
              <w:left w:val="single" w:sz="4" w:space="0" w:color="auto"/>
              <w:bottom w:val="single" w:sz="4" w:space="0" w:color="auto"/>
              <w:right w:val="single" w:sz="4" w:space="0" w:color="auto"/>
            </w:tcBorders>
            <w:shd w:val="clear" w:color="auto" w:fill="FFC000"/>
            <w:noWrap/>
          </w:tcPr>
          <w:p w14:paraId="2B9B421C" w14:textId="3F67B55F" w:rsidR="00CD5703" w:rsidRPr="00A07F29" w:rsidRDefault="0067519E" w:rsidP="0067519E">
            <w:pPr>
              <w:widowControl w:val="0"/>
              <w:spacing w:after="0" w:line="240" w:lineRule="auto"/>
              <w:ind w:left="501" w:hanging="501"/>
              <w:contextualSpacing/>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26</w:t>
            </w:r>
            <w:r w:rsidR="00F3648A" w:rsidRPr="00A07F29">
              <w:rPr>
                <w:rFonts w:ascii="Times New Roman" w:eastAsia="Times New Roman" w:hAnsi="Times New Roman" w:cs="Times New Roman"/>
                <w:sz w:val="20"/>
                <w:szCs w:val="20"/>
                <w:lang w:eastAsia="lv-LV"/>
              </w:rPr>
              <w:t>.</w:t>
            </w:r>
          </w:p>
        </w:tc>
        <w:tc>
          <w:tcPr>
            <w:tcW w:w="2056" w:type="dxa"/>
            <w:tcBorders>
              <w:top w:val="single" w:sz="4" w:space="0" w:color="auto"/>
              <w:left w:val="nil"/>
              <w:bottom w:val="single" w:sz="4" w:space="0" w:color="auto"/>
              <w:right w:val="single" w:sz="4" w:space="0" w:color="auto"/>
            </w:tcBorders>
            <w:shd w:val="clear" w:color="auto" w:fill="FFC000"/>
          </w:tcPr>
          <w:p w14:paraId="7E43F9DE" w14:textId="3C4F8E86" w:rsidR="00CD5703" w:rsidRPr="00A07F29" w:rsidRDefault="00EA1952" w:rsidP="00295A55">
            <w:pPr>
              <w:widowControl w:val="0"/>
              <w:spacing w:after="0" w:line="240" w:lineRule="auto"/>
              <w:rPr>
                <w:rFonts w:ascii="Times New Roman" w:eastAsia="Times New Roman" w:hAnsi="Times New Roman" w:cs="Times New Roman"/>
                <w:sz w:val="20"/>
                <w:szCs w:val="20"/>
                <w:lang w:eastAsia="lv-LV"/>
              </w:rPr>
            </w:pPr>
            <w:proofErr w:type="spellStart"/>
            <w:r w:rsidRPr="00A07F29">
              <w:rPr>
                <w:rFonts w:ascii="Times New Roman" w:eastAsia="Times New Roman" w:hAnsi="Times New Roman" w:cs="Times New Roman"/>
                <w:sz w:val="20"/>
                <w:szCs w:val="20"/>
                <w:lang w:eastAsia="lv-LV"/>
              </w:rPr>
              <w:t>Punktveida</w:t>
            </w:r>
            <w:proofErr w:type="spellEnd"/>
            <w:r w:rsidRPr="00A07F29">
              <w:rPr>
                <w:rFonts w:ascii="Times New Roman" w:eastAsia="Times New Roman" w:hAnsi="Times New Roman" w:cs="Times New Roman"/>
                <w:sz w:val="20"/>
                <w:szCs w:val="20"/>
                <w:lang w:eastAsia="lv-LV"/>
              </w:rPr>
              <w:t xml:space="preserve"> piesārņojums no ražošanas objektiem</w:t>
            </w:r>
          </w:p>
        </w:tc>
        <w:tc>
          <w:tcPr>
            <w:tcW w:w="1111" w:type="dxa"/>
            <w:tcBorders>
              <w:top w:val="nil"/>
              <w:left w:val="single" w:sz="4" w:space="0" w:color="auto"/>
              <w:bottom w:val="single" w:sz="4" w:space="0" w:color="auto"/>
              <w:right w:val="single" w:sz="4" w:space="0" w:color="auto"/>
            </w:tcBorders>
            <w:shd w:val="clear" w:color="auto" w:fill="FFC000"/>
            <w:vAlign w:val="center"/>
          </w:tcPr>
          <w:p w14:paraId="10D5C7B7" w14:textId="3D9A5CFE" w:rsidR="00CD5703" w:rsidRPr="00A07F29" w:rsidRDefault="00F3648A"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H01.01</w:t>
            </w:r>
          </w:p>
        </w:tc>
        <w:tc>
          <w:tcPr>
            <w:tcW w:w="983" w:type="dxa"/>
            <w:tcBorders>
              <w:top w:val="nil"/>
              <w:left w:val="single" w:sz="4" w:space="0" w:color="auto"/>
              <w:bottom w:val="single" w:sz="4" w:space="0" w:color="auto"/>
              <w:right w:val="single" w:sz="4" w:space="0" w:color="auto"/>
            </w:tcBorders>
            <w:shd w:val="clear" w:color="auto" w:fill="FFC000"/>
            <w:vAlign w:val="center"/>
          </w:tcPr>
          <w:p w14:paraId="745B79F0" w14:textId="516D2A67" w:rsidR="00CD5703" w:rsidRPr="00A07F29" w:rsidRDefault="00EA1952"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N</w:t>
            </w:r>
          </w:p>
        </w:tc>
        <w:tc>
          <w:tcPr>
            <w:tcW w:w="992" w:type="dxa"/>
            <w:tcBorders>
              <w:top w:val="nil"/>
              <w:left w:val="nil"/>
              <w:bottom w:val="single" w:sz="4" w:space="0" w:color="auto"/>
              <w:right w:val="single" w:sz="4" w:space="0" w:color="auto"/>
            </w:tcBorders>
            <w:shd w:val="clear" w:color="auto" w:fill="FFC000"/>
            <w:noWrap/>
            <w:vAlign w:val="center"/>
          </w:tcPr>
          <w:p w14:paraId="7461F0CF" w14:textId="64008A48" w:rsidR="00CD5703" w:rsidRPr="00A07F29" w:rsidRDefault="00EA1952"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L</w:t>
            </w:r>
          </w:p>
        </w:tc>
        <w:tc>
          <w:tcPr>
            <w:tcW w:w="1417" w:type="dxa"/>
            <w:tcBorders>
              <w:top w:val="nil"/>
              <w:left w:val="nil"/>
              <w:bottom w:val="single" w:sz="4" w:space="0" w:color="auto"/>
              <w:right w:val="single" w:sz="4" w:space="0" w:color="auto"/>
            </w:tcBorders>
            <w:shd w:val="clear" w:color="auto" w:fill="FFC000"/>
            <w:noWrap/>
            <w:vAlign w:val="center"/>
          </w:tcPr>
          <w:p w14:paraId="6C602284" w14:textId="10B5CFC5" w:rsidR="00CD5703" w:rsidRPr="00A07F29" w:rsidRDefault="00D66CAA"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X</w:t>
            </w:r>
          </w:p>
        </w:tc>
        <w:tc>
          <w:tcPr>
            <w:tcW w:w="983" w:type="dxa"/>
            <w:tcBorders>
              <w:top w:val="nil"/>
              <w:left w:val="nil"/>
              <w:bottom w:val="single" w:sz="4" w:space="0" w:color="auto"/>
              <w:right w:val="single" w:sz="4" w:space="0" w:color="auto"/>
            </w:tcBorders>
            <w:shd w:val="clear" w:color="auto" w:fill="FFC000"/>
            <w:noWrap/>
            <w:vAlign w:val="center"/>
          </w:tcPr>
          <w:p w14:paraId="3F1922C1" w14:textId="57BC3D1D" w:rsidR="00CD5703" w:rsidRPr="00A07F29" w:rsidRDefault="00EA1952"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o</w:t>
            </w:r>
          </w:p>
        </w:tc>
        <w:tc>
          <w:tcPr>
            <w:tcW w:w="5591" w:type="dxa"/>
            <w:tcBorders>
              <w:top w:val="nil"/>
              <w:left w:val="nil"/>
              <w:bottom w:val="single" w:sz="4" w:space="0" w:color="auto"/>
              <w:right w:val="single" w:sz="4" w:space="0" w:color="auto"/>
            </w:tcBorders>
            <w:shd w:val="clear" w:color="auto" w:fill="FFC000"/>
            <w:noWrap/>
            <w:vAlign w:val="center"/>
          </w:tcPr>
          <w:p w14:paraId="4257293E" w14:textId="3D83F4B0" w:rsidR="00CD5703" w:rsidRPr="00A07F29" w:rsidRDefault="00EA1952" w:rsidP="00295A55">
            <w:pPr>
              <w:widowControl w:val="0"/>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 xml:space="preserve">Pārrobežu piesārņojuma </w:t>
            </w:r>
            <w:proofErr w:type="spellStart"/>
            <w:r w:rsidRPr="00A07F29">
              <w:rPr>
                <w:rFonts w:ascii="Times New Roman" w:eastAsia="Calibri" w:hAnsi="Times New Roman" w:cs="Times New Roman"/>
                <w:sz w:val="20"/>
                <w:szCs w:val="20"/>
              </w:rPr>
              <w:t>pārnese</w:t>
            </w:r>
            <w:proofErr w:type="spellEnd"/>
            <w:r w:rsidRPr="00A07F29">
              <w:rPr>
                <w:rFonts w:ascii="Times New Roman" w:eastAsia="Calibri" w:hAnsi="Times New Roman" w:cs="Times New Roman"/>
                <w:sz w:val="20"/>
                <w:szCs w:val="20"/>
              </w:rPr>
              <w:t xml:space="preserve"> no Vitebskas un Novopolockas rūpniecības objektiem Baltkrievijā (š</w:t>
            </w:r>
            <w:r w:rsidR="00F5053A" w:rsidRPr="00A07F29">
              <w:rPr>
                <w:rFonts w:ascii="Times New Roman" w:eastAsia="Calibri" w:hAnsi="Times New Roman" w:cs="Times New Roman"/>
                <w:sz w:val="20"/>
                <w:szCs w:val="20"/>
              </w:rPr>
              <w:t>o</w:t>
            </w:r>
            <w:r w:rsidRPr="00A07F29">
              <w:rPr>
                <w:rFonts w:ascii="Times New Roman" w:eastAsia="Calibri" w:hAnsi="Times New Roman" w:cs="Times New Roman"/>
                <w:sz w:val="20"/>
                <w:szCs w:val="20"/>
              </w:rPr>
              <w:t>brīd zema ietekme, ir potenciāli riski)</w:t>
            </w:r>
          </w:p>
        </w:tc>
      </w:tr>
      <w:tr w:rsidR="00CD5703" w:rsidRPr="00A07F29" w14:paraId="499581D6" w14:textId="77777777" w:rsidTr="729E1729">
        <w:trPr>
          <w:trHeight w:val="288"/>
          <w:jc w:val="center"/>
        </w:trPr>
        <w:tc>
          <w:tcPr>
            <w:tcW w:w="998" w:type="dxa"/>
            <w:tcBorders>
              <w:top w:val="nil"/>
              <w:left w:val="single" w:sz="4" w:space="0" w:color="auto"/>
              <w:bottom w:val="single" w:sz="4" w:space="0" w:color="auto"/>
              <w:right w:val="single" w:sz="4" w:space="0" w:color="auto"/>
            </w:tcBorders>
            <w:shd w:val="clear" w:color="auto" w:fill="FFC000"/>
            <w:noWrap/>
          </w:tcPr>
          <w:p w14:paraId="73AC7CC5" w14:textId="7958849A" w:rsidR="00CD5703" w:rsidRPr="00A07F29" w:rsidRDefault="0067519E" w:rsidP="0067519E">
            <w:pPr>
              <w:widowControl w:val="0"/>
              <w:spacing w:after="0" w:line="240" w:lineRule="auto"/>
              <w:ind w:left="501" w:hanging="501"/>
              <w:contextualSpacing/>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27</w:t>
            </w:r>
          </w:p>
        </w:tc>
        <w:tc>
          <w:tcPr>
            <w:tcW w:w="2056" w:type="dxa"/>
            <w:tcBorders>
              <w:top w:val="single" w:sz="4" w:space="0" w:color="auto"/>
              <w:left w:val="nil"/>
              <w:bottom w:val="single" w:sz="4" w:space="0" w:color="auto"/>
              <w:right w:val="single" w:sz="4" w:space="0" w:color="auto"/>
            </w:tcBorders>
            <w:shd w:val="clear" w:color="auto" w:fill="FFC000"/>
          </w:tcPr>
          <w:p w14:paraId="3B3B858E" w14:textId="1C650B9E" w:rsidR="00CD5703" w:rsidRPr="00A07F29" w:rsidRDefault="00EA1952" w:rsidP="00295A55">
            <w:pPr>
              <w:widowControl w:val="0"/>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Difūzs piesārņojums no lauksaimniecības un mežsaimniecības</w:t>
            </w:r>
          </w:p>
        </w:tc>
        <w:tc>
          <w:tcPr>
            <w:tcW w:w="1111" w:type="dxa"/>
            <w:tcBorders>
              <w:top w:val="nil"/>
              <w:left w:val="single" w:sz="4" w:space="0" w:color="auto"/>
              <w:bottom w:val="single" w:sz="4" w:space="0" w:color="auto"/>
              <w:right w:val="single" w:sz="4" w:space="0" w:color="auto"/>
            </w:tcBorders>
            <w:shd w:val="clear" w:color="auto" w:fill="FFC000"/>
            <w:vAlign w:val="center"/>
          </w:tcPr>
          <w:p w14:paraId="757F7951" w14:textId="3CD3746A" w:rsidR="00CD5703" w:rsidRPr="00A07F29" w:rsidRDefault="00F3648A"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H</w:t>
            </w:r>
            <w:r w:rsidR="00EA1952" w:rsidRPr="00A07F29">
              <w:rPr>
                <w:rFonts w:ascii="Times New Roman" w:eastAsia="Times New Roman" w:hAnsi="Times New Roman" w:cs="Times New Roman"/>
                <w:sz w:val="20"/>
                <w:szCs w:val="20"/>
                <w:lang w:eastAsia="lv-LV"/>
              </w:rPr>
              <w:t>0</w:t>
            </w:r>
            <w:r w:rsidRPr="00A07F29">
              <w:rPr>
                <w:rFonts w:ascii="Times New Roman" w:eastAsia="Times New Roman" w:hAnsi="Times New Roman" w:cs="Times New Roman"/>
                <w:sz w:val="20"/>
                <w:szCs w:val="20"/>
                <w:lang w:eastAsia="lv-LV"/>
              </w:rPr>
              <w:t>1.09</w:t>
            </w:r>
          </w:p>
        </w:tc>
        <w:tc>
          <w:tcPr>
            <w:tcW w:w="983" w:type="dxa"/>
            <w:tcBorders>
              <w:top w:val="nil"/>
              <w:left w:val="single" w:sz="4" w:space="0" w:color="auto"/>
              <w:bottom w:val="single" w:sz="4" w:space="0" w:color="auto"/>
              <w:right w:val="single" w:sz="4" w:space="0" w:color="auto"/>
            </w:tcBorders>
            <w:shd w:val="clear" w:color="auto" w:fill="FFC000"/>
            <w:vAlign w:val="center"/>
          </w:tcPr>
          <w:p w14:paraId="365E055F" w14:textId="6B7B7DB2" w:rsidR="00CD5703" w:rsidRPr="00A07F29" w:rsidRDefault="00EA1952"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N</w:t>
            </w:r>
          </w:p>
        </w:tc>
        <w:tc>
          <w:tcPr>
            <w:tcW w:w="992" w:type="dxa"/>
            <w:tcBorders>
              <w:top w:val="nil"/>
              <w:left w:val="nil"/>
              <w:bottom w:val="single" w:sz="4" w:space="0" w:color="auto"/>
              <w:right w:val="single" w:sz="4" w:space="0" w:color="auto"/>
            </w:tcBorders>
            <w:shd w:val="clear" w:color="auto" w:fill="FFC000"/>
            <w:noWrap/>
            <w:vAlign w:val="center"/>
          </w:tcPr>
          <w:p w14:paraId="5000EB8C" w14:textId="7B91FE13" w:rsidR="00CD5703" w:rsidRPr="00A07F29" w:rsidRDefault="00EA1952"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M</w:t>
            </w:r>
          </w:p>
        </w:tc>
        <w:tc>
          <w:tcPr>
            <w:tcW w:w="1417" w:type="dxa"/>
            <w:tcBorders>
              <w:top w:val="nil"/>
              <w:left w:val="nil"/>
              <w:bottom w:val="single" w:sz="4" w:space="0" w:color="auto"/>
              <w:right w:val="single" w:sz="4" w:space="0" w:color="auto"/>
            </w:tcBorders>
            <w:shd w:val="clear" w:color="auto" w:fill="FFC000"/>
            <w:noWrap/>
            <w:vAlign w:val="center"/>
          </w:tcPr>
          <w:p w14:paraId="4E593220" w14:textId="29299E5A" w:rsidR="00CD5703" w:rsidRPr="00A07F29" w:rsidRDefault="00D66CAA"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N, P</w:t>
            </w:r>
          </w:p>
        </w:tc>
        <w:tc>
          <w:tcPr>
            <w:tcW w:w="983" w:type="dxa"/>
            <w:tcBorders>
              <w:top w:val="nil"/>
              <w:left w:val="nil"/>
              <w:bottom w:val="single" w:sz="4" w:space="0" w:color="auto"/>
              <w:right w:val="single" w:sz="4" w:space="0" w:color="auto"/>
            </w:tcBorders>
            <w:shd w:val="clear" w:color="auto" w:fill="FFC000"/>
            <w:noWrap/>
            <w:vAlign w:val="center"/>
          </w:tcPr>
          <w:p w14:paraId="4EE4CE6A" w14:textId="17FBB9E8" w:rsidR="00CD5703" w:rsidRPr="00A07F29" w:rsidRDefault="00EA1952"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b</w:t>
            </w:r>
          </w:p>
        </w:tc>
        <w:tc>
          <w:tcPr>
            <w:tcW w:w="5591" w:type="dxa"/>
            <w:tcBorders>
              <w:top w:val="nil"/>
              <w:left w:val="nil"/>
              <w:bottom w:val="single" w:sz="4" w:space="0" w:color="auto"/>
              <w:right w:val="single" w:sz="4" w:space="0" w:color="auto"/>
            </w:tcBorders>
            <w:shd w:val="clear" w:color="auto" w:fill="FFC000"/>
            <w:noWrap/>
            <w:vAlign w:val="center"/>
          </w:tcPr>
          <w:p w14:paraId="3ACF9BB7" w14:textId="2614E918" w:rsidR="00CD5703" w:rsidRPr="00A07F29" w:rsidRDefault="00EA1952" w:rsidP="00295A55">
            <w:pPr>
              <w:widowControl w:val="0"/>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 xml:space="preserve">Piesārņojums, kas nokļūst ezeros un Daugavas upē, arī pārrobežu </w:t>
            </w:r>
            <w:proofErr w:type="spellStart"/>
            <w:r w:rsidRPr="00A07F29">
              <w:rPr>
                <w:rFonts w:ascii="Times New Roman" w:eastAsia="Calibri" w:hAnsi="Times New Roman" w:cs="Times New Roman"/>
                <w:sz w:val="20"/>
                <w:szCs w:val="20"/>
              </w:rPr>
              <w:t>pārnese</w:t>
            </w:r>
            <w:proofErr w:type="spellEnd"/>
            <w:r w:rsidRPr="00A07F29">
              <w:rPr>
                <w:rFonts w:ascii="Times New Roman" w:eastAsia="Calibri" w:hAnsi="Times New Roman" w:cs="Times New Roman"/>
                <w:sz w:val="20"/>
                <w:szCs w:val="20"/>
              </w:rPr>
              <w:t xml:space="preserve"> pa mazajām upēm – Daugavas pietekām</w:t>
            </w:r>
          </w:p>
        </w:tc>
      </w:tr>
      <w:tr w:rsidR="00CD5703" w:rsidRPr="00A07F29" w14:paraId="737D1B40" w14:textId="77777777" w:rsidTr="729E1729">
        <w:trPr>
          <w:trHeight w:val="288"/>
          <w:jc w:val="center"/>
        </w:trPr>
        <w:tc>
          <w:tcPr>
            <w:tcW w:w="14131" w:type="dxa"/>
            <w:gridSpan w:val="8"/>
            <w:tcBorders>
              <w:top w:val="nil"/>
              <w:left w:val="single" w:sz="4" w:space="0" w:color="auto"/>
              <w:bottom w:val="single" w:sz="4" w:space="0" w:color="auto"/>
              <w:right w:val="single" w:sz="4" w:space="0" w:color="auto"/>
            </w:tcBorders>
            <w:shd w:val="clear" w:color="auto" w:fill="C2D69B" w:themeFill="accent3" w:themeFillTint="99"/>
            <w:noWrap/>
          </w:tcPr>
          <w:p w14:paraId="1ED88543" w14:textId="274F7FFB" w:rsidR="00CD5703" w:rsidRPr="00A07F29" w:rsidRDefault="001A48BB" w:rsidP="001A48BB">
            <w:pPr>
              <w:widowControl w:val="0"/>
              <w:spacing w:after="0" w:line="240" w:lineRule="auto"/>
              <w:ind w:left="360"/>
              <w:jc w:val="center"/>
              <w:rPr>
                <w:rFonts w:cs="Times New Roman"/>
                <w:b/>
                <w:bCs/>
                <w:sz w:val="20"/>
                <w:szCs w:val="20"/>
              </w:rPr>
            </w:pPr>
            <w:r w:rsidRPr="00A07F29">
              <w:rPr>
                <w:rFonts w:cs="Times New Roman"/>
                <w:b/>
                <w:bCs/>
                <w:sz w:val="20"/>
                <w:szCs w:val="20"/>
              </w:rPr>
              <w:t xml:space="preserve">I. </w:t>
            </w:r>
            <w:proofErr w:type="spellStart"/>
            <w:r w:rsidR="00CD5703" w:rsidRPr="00A07F29">
              <w:rPr>
                <w:rFonts w:cs="Times New Roman"/>
                <w:b/>
                <w:bCs/>
                <w:sz w:val="20"/>
                <w:szCs w:val="20"/>
              </w:rPr>
              <w:t>Invazīvas</w:t>
            </w:r>
            <w:proofErr w:type="spellEnd"/>
            <w:r w:rsidR="00CD5703" w:rsidRPr="00A07F29">
              <w:rPr>
                <w:rFonts w:cs="Times New Roman"/>
                <w:b/>
                <w:bCs/>
                <w:sz w:val="20"/>
                <w:szCs w:val="20"/>
              </w:rPr>
              <w:t xml:space="preserve"> un citādi problemātiskas sugas un ģintis</w:t>
            </w:r>
          </w:p>
        </w:tc>
      </w:tr>
      <w:tr w:rsidR="00CD5703" w:rsidRPr="00A07F29" w14:paraId="2B519D7C" w14:textId="77777777" w:rsidTr="729E1729">
        <w:trPr>
          <w:trHeight w:val="288"/>
          <w:jc w:val="center"/>
        </w:trPr>
        <w:tc>
          <w:tcPr>
            <w:tcW w:w="998" w:type="dxa"/>
            <w:tcBorders>
              <w:top w:val="nil"/>
              <w:left w:val="single" w:sz="4" w:space="0" w:color="auto"/>
              <w:bottom w:val="single" w:sz="4" w:space="0" w:color="auto"/>
              <w:right w:val="single" w:sz="4" w:space="0" w:color="auto"/>
            </w:tcBorders>
            <w:shd w:val="clear" w:color="auto" w:fill="FFC000"/>
            <w:noWrap/>
          </w:tcPr>
          <w:p w14:paraId="6A21849D" w14:textId="6541123A" w:rsidR="00CD5703" w:rsidRPr="00A07F29" w:rsidRDefault="00EA1952" w:rsidP="0067519E">
            <w:pPr>
              <w:widowControl w:val="0"/>
              <w:spacing w:after="0" w:line="240" w:lineRule="auto"/>
              <w:ind w:left="501" w:hanging="501"/>
              <w:contextualSpacing/>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2</w:t>
            </w:r>
            <w:r w:rsidR="0067519E" w:rsidRPr="00A07F29">
              <w:rPr>
                <w:rFonts w:ascii="Times New Roman" w:eastAsia="Times New Roman" w:hAnsi="Times New Roman" w:cs="Times New Roman"/>
                <w:sz w:val="20"/>
                <w:szCs w:val="20"/>
                <w:lang w:eastAsia="lv-LV"/>
              </w:rPr>
              <w:t>8</w:t>
            </w:r>
            <w:r w:rsidRPr="00A07F29">
              <w:rPr>
                <w:rFonts w:ascii="Times New Roman" w:eastAsia="Times New Roman" w:hAnsi="Times New Roman" w:cs="Times New Roman"/>
                <w:sz w:val="20"/>
                <w:szCs w:val="20"/>
                <w:lang w:eastAsia="lv-LV"/>
              </w:rPr>
              <w:t>.</w:t>
            </w:r>
          </w:p>
        </w:tc>
        <w:tc>
          <w:tcPr>
            <w:tcW w:w="2056" w:type="dxa"/>
            <w:tcBorders>
              <w:top w:val="single" w:sz="4" w:space="0" w:color="auto"/>
              <w:left w:val="nil"/>
              <w:bottom w:val="single" w:sz="4" w:space="0" w:color="auto"/>
              <w:right w:val="single" w:sz="4" w:space="0" w:color="auto"/>
            </w:tcBorders>
            <w:shd w:val="clear" w:color="auto" w:fill="FFC000"/>
          </w:tcPr>
          <w:p w14:paraId="22E95A45" w14:textId="09399A26" w:rsidR="00CD5703" w:rsidRPr="00A07F29" w:rsidRDefault="00C926F7" w:rsidP="00001788">
            <w:pPr>
              <w:widowControl w:val="0"/>
              <w:spacing w:after="0" w:line="240" w:lineRule="auto"/>
              <w:rPr>
                <w:rFonts w:ascii="Times New Roman" w:eastAsia="Times New Roman" w:hAnsi="Times New Roman" w:cs="Times New Roman"/>
                <w:sz w:val="20"/>
                <w:szCs w:val="20"/>
                <w:lang w:eastAsia="lv-LV"/>
              </w:rPr>
            </w:pPr>
            <w:proofErr w:type="spellStart"/>
            <w:r w:rsidRPr="00A07F29">
              <w:rPr>
                <w:rFonts w:ascii="Times New Roman" w:eastAsia="Times New Roman" w:hAnsi="Times New Roman" w:cs="Times New Roman"/>
                <w:sz w:val="20"/>
                <w:szCs w:val="20"/>
                <w:lang w:eastAsia="lv-LV"/>
              </w:rPr>
              <w:t>Invazīvas</w:t>
            </w:r>
            <w:proofErr w:type="spellEnd"/>
            <w:r w:rsidRPr="00A07F29">
              <w:rPr>
                <w:rFonts w:ascii="Times New Roman" w:eastAsia="Times New Roman" w:hAnsi="Times New Roman" w:cs="Times New Roman"/>
                <w:sz w:val="20"/>
                <w:szCs w:val="20"/>
                <w:lang w:eastAsia="lv-LV"/>
              </w:rPr>
              <w:t xml:space="preserve"> svešzemju sugas</w:t>
            </w:r>
          </w:p>
        </w:tc>
        <w:tc>
          <w:tcPr>
            <w:tcW w:w="1111" w:type="dxa"/>
            <w:tcBorders>
              <w:top w:val="nil"/>
              <w:left w:val="single" w:sz="4" w:space="0" w:color="auto"/>
              <w:bottom w:val="single" w:sz="4" w:space="0" w:color="auto"/>
              <w:right w:val="single" w:sz="4" w:space="0" w:color="auto"/>
            </w:tcBorders>
            <w:shd w:val="clear" w:color="auto" w:fill="FFC000"/>
            <w:vAlign w:val="center"/>
          </w:tcPr>
          <w:p w14:paraId="6D38DDBC" w14:textId="4EB94027" w:rsidR="00CD5703" w:rsidRPr="00A07F29" w:rsidRDefault="7769CC3B" w:rsidP="00001788">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I</w:t>
            </w:r>
            <w:r w:rsidR="4950A2F7" w:rsidRPr="00A07F29">
              <w:rPr>
                <w:rFonts w:ascii="Times New Roman" w:eastAsia="Times New Roman" w:hAnsi="Times New Roman" w:cs="Times New Roman"/>
                <w:sz w:val="20"/>
                <w:szCs w:val="20"/>
                <w:lang w:eastAsia="lv-LV"/>
              </w:rPr>
              <w:t>01</w:t>
            </w:r>
          </w:p>
        </w:tc>
        <w:tc>
          <w:tcPr>
            <w:tcW w:w="983" w:type="dxa"/>
            <w:tcBorders>
              <w:top w:val="nil"/>
              <w:left w:val="single" w:sz="4" w:space="0" w:color="auto"/>
              <w:bottom w:val="single" w:sz="4" w:space="0" w:color="auto"/>
              <w:right w:val="single" w:sz="4" w:space="0" w:color="auto"/>
            </w:tcBorders>
            <w:shd w:val="clear" w:color="auto" w:fill="FFC000"/>
            <w:vAlign w:val="center"/>
          </w:tcPr>
          <w:p w14:paraId="399F58E1" w14:textId="77777777" w:rsidR="00CD5703" w:rsidRPr="00A07F29" w:rsidRDefault="00CD5703" w:rsidP="00001788">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N</w:t>
            </w:r>
          </w:p>
        </w:tc>
        <w:tc>
          <w:tcPr>
            <w:tcW w:w="992" w:type="dxa"/>
            <w:tcBorders>
              <w:top w:val="nil"/>
              <w:left w:val="nil"/>
              <w:bottom w:val="single" w:sz="4" w:space="0" w:color="auto"/>
              <w:right w:val="single" w:sz="4" w:space="0" w:color="auto"/>
            </w:tcBorders>
            <w:shd w:val="clear" w:color="auto" w:fill="FFC000"/>
            <w:noWrap/>
            <w:vAlign w:val="center"/>
          </w:tcPr>
          <w:p w14:paraId="312172A7" w14:textId="2B371A4E" w:rsidR="00CD5703" w:rsidRPr="00A07F29" w:rsidRDefault="00C926F7" w:rsidP="00001788">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M</w:t>
            </w:r>
          </w:p>
        </w:tc>
        <w:tc>
          <w:tcPr>
            <w:tcW w:w="1417" w:type="dxa"/>
            <w:tcBorders>
              <w:top w:val="nil"/>
              <w:left w:val="nil"/>
              <w:bottom w:val="single" w:sz="4" w:space="0" w:color="auto"/>
              <w:right w:val="single" w:sz="4" w:space="0" w:color="auto"/>
            </w:tcBorders>
            <w:shd w:val="clear" w:color="auto" w:fill="FFC000"/>
            <w:noWrap/>
            <w:vAlign w:val="center"/>
          </w:tcPr>
          <w:p w14:paraId="6B382C02" w14:textId="77777777" w:rsidR="00CD5703" w:rsidRPr="00A07F29" w:rsidRDefault="00CD5703" w:rsidP="00001788">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w:t>
            </w:r>
          </w:p>
        </w:tc>
        <w:tc>
          <w:tcPr>
            <w:tcW w:w="983" w:type="dxa"/>
            <w:tcBorders>
              <w:top w:val="nil"/>
              <w:left w:val="nil"/>
              <w:bottom w:val="single" w:sz="4" w:space="0" w:color="auto"/>
              <w:right w:val="single" w:sz="4" w:space="0" w:color="auto"/>
            </w:tcBorders>
            <w:shd w:val="clear" w:color="auto" w:fill="FFC000"/>
            <w:noWrap/>
            <w:vAlign w:val="center"/>
          </w:tcPr>
          <w:p w14:paraId="64FD4388" w14:textId="77777777" w:rsidR="00CD5703" w:rsidRPr="00A07F29" w:rsidRDefault="00CD5703" w:rsidP="00001788">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i</w:t>
            </w:r>
          </w:p>
        </w:tc>
        <w:tc>
          <w:tcPr>
            <w:tcW w:w="5591" w:type="dxa"/>
            <w:tcBorders>
              <w:top w:val="nil"/>
              <w:left w:val="nil"/>
              <w:bottom w:val="single" w:sz="4" w:space="0" w:color="auto"/>
              <w:right w:val="single" w:sz="4" w:space="0" w:color="auto"/>
            </w:tcBorders>
            <w:shd w:val="clear" w:color="auto" w:fill="FFC000"/>
            <w:noWrap/>
            <w:vAlign w:val="center"/>
          </w:tcPr>
          <w:p w14:paraId="6314AD84" w14:textId="77777777" w:rsidR="00CD5703" w:rsidRPr="00A07F29" w:rsidRDefault="00CD5703" w:rsidP="00001788">
            <w:pPr>
              <w:widowControl w:val="0"/>
              <w:spacing w:after="0" w:line="240" w:lineRule="auto"/>
              <w:jc w:val="both"/>
              <w:rPr>
                <w:rFonts w:ascii="Times New Roman" w:eastAsia="Calibri" w:hAnsi="Times New Roman" w:cs="Times New Roman"/>
                <w:sz w:val="20"/>
                <w:szCs w:val="20"/>
              </w:rPr>
            </w:pPr>
          </w:p>
        </w:tc>
      </w:tr>
      <w:tr w:rsidR="00CD5703" w:rsidRPr="00A07F29" w14:paraId="37F845C3" w14:textId="77777777" w:rsidTr="729E1729">
        <w:trPr>
          <w:trHeight w:val="288"/>
          <w:jc w:val="center"/>
        </w:trPr>
        <w:tc>
          <w:tcPr>
            <w:tcW w:w="14131" w:type="dxa"/>
            <w:gridSpan w:val="8"/>
            <w:tcBorders>
              <w:top w:val="nil"/>
              <w:left w:val="single" w:sz="4" w:space="0" w:color="auto"/>
              <w:bottom w:val="single" w:sz="4" w:space="0" w:color="auto"/>
              <w:right w:val="single" w:sz="4" w:space="0" w:color="auto"/>
            </w:tcBorders>
            <w:shd w:val="clear" w:color="auto" w:fill="C2D69B" w:themeFill="accent3" w:themeFillTint="99"/>
            <w:noWrap/>
          </w:tcPr>
          <w:p w14:paraId="3B25E613" w14:textId="0CB484C9" w:rsidR="00CD5703" w:rsidRPr="00A07F29" w:rsidRDefault="001A48BB" w:rsidP="001A48BB">
            <w:pPr>
              <w:widowControl w:val="0"/>
              <w:spacing w:after="0" w:line="240" w:lineRule="auto"/>
              <w:ind w:left="219"/>
              <w:jc w:val="center"/>
              <w:rPr>
                <w:rFonts w:cs="Times New Roman"/>
                <w:b/>
                <w:bCs/>
                <w:sz w:val="20"/>
                <w:szCs w:val="20"/>
              </w:rPr>
            </w:pPr>
            <w:r w:rsidRPr="00A07F29">
              <w:rPr>
                <w:rFonts w:cs="Times New Roman"/>
                <w:b/>
                <w:bCs/>
                <w:sz w:val="20"/>
                <w:szCs w:val="20"/>
              </w:rPr>
              <w:t xml:space="preserve">J. </w:t>
            </w:r>
            <w:r w:rsidR="00EF18CD" w:rsidRPr="00A07F29">
              <w:rPr>
                <w:rFonts w:cs="Times New Roman"/>
                <w:b/>
                <w:bCs/>
                <w:sz w:val="20"/>
                <w:szCs w:val="20"/>
              </w:rPr>
              <w:t>Dabas sistēmu izmaiņas</w:t>
            </w:r>
          </w:p>
        </w:tc>
      </w:tr>
      <w:tr w:rsidR="00E5025A" w:rsidRPr="00A07F29" w14:paraId="3C23D570" w14:textId="77777777" w:rsidTr="729E1729">
        <w:trPr>
          <w:trHeight w:val="288"/>
          <w:jc w:val="center"/>
        </w:trPr>
        <w:tc>
          <w:tcPr>
            <w:tcW w:w="998" w:type="dxa"/>
            <w:tcBorders>
              <w:top w:val="nil"/>
              <w:left w:val="single" w:sz="4" w:space="0" w:color="auto"/>
              <w:bottom w:val="single" w:sz="4" w:space="0" w:color="auto"/>
              <w:right w:val="single" w:sz="4" w:space="0" w:color="auto"/>
            </w:tcBorders>
            <w:shd w:val="clear" w:color="auto" w:fill="auto"/>
            <w:noWrap/>
          </w:tcPr>
          <w:p w14:paraId="33A8773A" w14:textId="3A49F442" w:rsidR="00E5025A" w:rsidRPr="00A07F29" w:rsidRDefault="00C926F7" w:rsidP="0067519E">
            <w:pPr>
              <w:widowControl w:val="0"/>
              <w:spacing w:after="0" w:line="240" w:lineRule="auto"/>
              <w:ind w:left="501" w:hanging="501"/>
              <w:contextualSpacing/>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2</w:t>
            </w:r>
            <w:r w:rsidR="0067519E" w:rsidRPr="00A07F29">
              <w:rPr>
                <w:rFonts w:ascii="Times New Roman" w:eastAsia="Times New Roman" w:hAnsi="Times New Roman" w:cs="Times New Roman"/>
                <w:sz w:val="20"/>
                <w:szCs w:val="20"/>
                <w:lang w:eastAsia="lv-LV"/>
              </w:rPr>
              <w:t>9</w:t>
            </w:r>
            <w:r w:rsidRPr="00A07F29">
              <w:rPr>
                <w:rFonts w:ascii="Times New Roman" w:eastAsia="Times New Roman" w:hAnsi="Times New Roman" w:cs="Times New Roman"/>
                <w:sz w:val="20"/>
                <w:szCs w:val="20"/>
                <w:lang w:eastAsia="lv-LV"/>
              </w:rPr>
              <w:t>.</w:t>
            </w:r>
          </w:p>
        </w:tc>
        <w:tc>
          <w:tcPr>
            <w:tcW w:w="2056" w:type="dxa"/>
            <w:tcBorders>
              <w:top w:val="single" w:sz="4" w:space="0" w:color="auto"/>
              <w:left w:val="nil"/>
              <w:bottom w:val="single" w:sz="4" w:space="0" w:color="auto"/>
              <w:right w:val="single" w:sz="4" w:space="0" w:color="auto"/>
            </w:tcBorders>
            <w:shd w:val="clear" w:color="auto" w:fill="auto"/>
          </w:tcPr>
          <w:p w14:paraId="60F2B952" w14:textId="5B2F220B" w:rsidR="00E5025A" w:rsidRPr="00A07F29" w:rsidRDefault="00EF18CD" w:rsidP="00295A55">
            <w:pPr>
              <w:widowControl w:val="0"/>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Ugunsgrēki un to dzēšana</w:t>
            </w:r>
          </w:p>
        </w:tc>
        <w:tc>
          <w:tcPr>
            <w:tcW w:w="1111" w:type="dxa"/>
            <w:tcBorders>
              <w:top w:val="nil"/>
              <w:left w:val="single" w:sz="4" w:space="0" w:color="auto"/>
              <w:bottom w:val="single" w:sz="4" w:space="0" w:color="auto"/>
              <w:right w:val="single" w:sz="4" w:space="0" w:color="auto"/>
            </w:tcBorders>
            <w:shd w:val="clear" w:color="auto" w:fill="auto"/>
            <w:vAlign w:val="center"/>
          </w:tcPr>
          <w:p w14:paraId="5ABC630B" w14:textId="217B058E" w:rsidR="00E5025A" w:rsidRPr="00A07F29" w:rsidRDefault="00EF18CD"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J01</w:t>
            </w:r>
          </w:p>
        </w:tc>
        <w:tc>
          <w:tcPr>
            <w:tcW w:w="983" w:type="dxa"/>
            <w:tcBorders>
              <w:top w:val="nil"/>
              <w:left w:val="single" w:sz="4" w:space="0" w:color="auto"/>
              <w:bottom w:val="single" w:sz="4" w:space="0" w:color="auto"/>
              <w:right w:val="single" w:sz="4" w:space="0" w:color="auto"/>
            </w:tcBorders>
            <w:shd w:val="clear" w:color="auto" w:fill="auto"/>
            <w:vAlign w:val="center"/>
          </w:tcPr>
          <w:p w14:paraId="08307830" w14:textId="3A39D989" w:rsidR="00E5025A" w:rsidRPr="00A07F29" w:rsidRDefault="00EF18CD"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N</w:t>
            </w:r>
          </w:p>
        </w:tc>
        <w:tc>
          <w:tcPr>
            <w:tcW w:w="992" w:type="dxa"/>
            <w:tcBorders>
              <w:top w:val="nil"/>
              <w:left w:val="nil"/>
              <w:bottom w:val="single" w:sz="4" w:space="0" w:color="auto"/>
              <w:right w:val="single" w:sz="4" w:space="0" w:color="auto"/>
            </w:tcBorders>
            <w:shd w:val="clear" w:color="auto" w:fill="auto"/>
            <w:noWrap/>
            <w:vAlign w:val="center"/>
          </w:tcPr>
          <w:p w14:paraId="467F7F16" w14:textId="585B38EE" w:rsidR="00E5025A" w:rsidRPr="00A07F29" w:rsidRDefault="00EF18CD"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L</w:t>
            </w:r>
          </w:p>
        </w:tc>
        <w:tc>
          <w:tcPr>
            <w:tcW w:w="1417" w:type="dxa"/>
            <w:tcBorders>
              <w:top w:val="nil"/>
              <w:left w:val="nil"/>
              <w:bottom w:val="single" w:sz="4" w:space="0" w:color="auto"/>
              <w:right w:val="single" w:sz="4" w:space="0" w:color="auto"/>
            </w:tcBorders>
            <w:shd w:val="clear" w:color="auto" w:fill="FFFFFF" w:themeFill="background1"/>
            <w:noWrap/>
            <w:vAlign w:val="center"/>
          </w:tcPr>
          <w:p w14:paraId="243B4AEE" w14:textId="1CF0D745" w:rsidR="00E5025A" w:rsidRPr="00A07F29" w:rsidRDefault="00C926F7"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w:t>
            </w:r>
          </w:p>
        </w:tc>
        <w:tc>
          <w:tcPr>
            <w:tcW w:w="983" w:type="dxa"/>
            <w:tcBorders>
              <w:top w:val="nil"/>
              <w:left w:val="nil"/>
              <w:bottom w:val="single" w:sz="4" w:space="0" w:color="auto"/>
              <w:right w:val="single" w:sz="4" w:space="0" w:color="auto"/>
            </w:tcBorders>
            <w:shd w:val="clear" w:color="auto" w:fill="auto"/>
            <w:noWrap/>
            <w:vAlign w:val="center"/>
          </w:tcPr>
          <w:p w14:paraId="11B6616F" w14:textId="3EA3EC56" w:rsidR="00E5025A" w:rsidRPr="00A07F29" w:rsidRDefault="00EF18CD"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i</w:t>
            </w:r>
          </w:p>
        </w:tc>
        <w:tc>
          <w:tcPr>
            <w:tcW w:w="5591" w:type="dxa"/>
            <w:tcBorders>
              <w:top w:val="nil"/>
              <w:left w:val="nil"/>
              <w:bottom w:val="single" w:sz="4" w:space="0" w:color="auto"/>
              <w:right w:val="single" w:sz="4" w:space="0" w:color="auto"/>
            </w:tcBorders>
            <w:shd w:val="clear" w:color="auto" w:fill="auto"/>
            <w:noWrap/>
            <w:vAlign w:val="center"/>
          </w:tcPr>
          <w:p w14:paraId="1CC4920E" w14:textId="6ED3F78F" w:rsidR="00E5025A" w:rsidRPr="00A07F29" w:rsidRDefault="00C926F7" w:rsidP="00295A55">
            <w:pPr>
              <w:widowControl w:val="0"/>
              <w:spacing w:after="0" w:line="240" w:lineRule="auto"/>
              <w:jc w:val="both"/>
              <w:rPr>
                <w:rFonts w:ascii="Times New Roman" w:eastAsia="Calibri" w:hAnsi="Times New Roman" w:cs="Times New Roman"/>
                <w:sz w:val="20"/>
                <w:szCs w:val="20"/>
              </w:rPr>
            </w:pPr>
            <w:proofErr w:type="spellStart"/>
            <w:r w:rsidRPr="00A07F29">
              <w:rPr>
                <w:rFonts w:ascii="Times New Roman" w:eastAsia="Calibri" w:hAnsi="Times New Roman" w:cs="Times New Roman"/>
                <w:sz w:val="20"/>
                <w:szCs w:val="20"/>
              </w:rPr>
              <w:t>Sausieņu</w:t>
            </w:r>
            <w:proofErr w:type="spellEnd"/>
            <w:r w:rsidRPr="00A07F29">
              <w:rPr>
                <w:rFonts w:ascii="Times New Roman" w:eastAsia="Calibri" w:hAnsi="Times New Roman" w:cs="Times New Roman"/>
                <w:sz w:val="20"/>
                <w:szCs w:val="20"/>
              </w:rPr>
              <w:t xml:space="preserve"> mežos, īpaši rekreācijas vietu tuvumā, periodiski notiek ugunsgrēki</w:t>
            </w:r>
          </w:p>
        </w:tc>
      </w:tr>
      <w:tr w:rsidR="00E5025A" w:rsidRPr="00A07F29" w14:paraId="72B01F93" w14:textId="77777777" w:rsidTr="729E1729">
        <w:trPr>
          <w:trHeight w:val="288"/>
          <w:jc w:val="center"/>
        </w:trPr>
        <w:tc>
          <w:tcPr>
            <w:tcW w:w="14131" w:type="dxa"/>
            <w:gridSpan w:val="8"/>
            <w:tcBorders>
              <w:top w:val="nil"/>
              <w:left w:val="single" w:sz="4" w:space="0" w:color="auto"/>
              <w:bottom w:val="single" w:sz="4" w:space="0" w:color="auto"/>
              <w:right w:val="single" w:sz="4" w:space="0" w:color="auto"/>
            </w:tcBorders>
            <w:shd w:val="clear" w:color="auto" w:fill="A8D08D"/>
            <w:noWrap/>
            <w:vAlign w:val="center"/>
          </w:tcPr>
          <w:p w14:paraId="45C005ED" w14:textId="2E624D0A" w:rsidR="00E5025A" w:rsidRPr="00A07F29" w:rsidRDefault="001A48BB" w:rsidP="001A48BB">
            <w:pPr>
              <w:widowControl w:val="0"/>
              <w:spacing w:after="0" w:line="240" w:lineRule="auto"/>
              <w:ind w:left="360"/>
              <w:jc w:val="center"/>
              <w:rPr>
                <w:rFonts w:eastAsia="Times New Roman" w:cs="Times New Roman"/>
                <w:b/>
                <w:bCs/>
                <w:sz w:val="20"/>
                <w:szCs w:val="20"/>
                <w:lang w:eastAsia="lv-LV"/>
              </w:rPr>
            </w:pPr>
            <w:r w:rsidRPr="00A07F29">
              <w:rPr>
                <w:rFonts w:eastAsia="Times New Roman" w:cs="Times New Roman"/>
                <w:b/>
                <w:bCs/>
                <w:sz w:val="20"/>
                <w:szCs w:val="20"/>
                <w:lang w:eastAsia="lv-LV"/>
              </w:rPr>
              <w:t xml:space="preserve">K. </w:t>
            </w:r>
            <w:r w:rsidR="00EF18CD" w:rsidRPr="00A07F29">
              <w:rPr>
                <w:rFonts w:eastAsia="Times New Roman" w:cs="Times New Roman"/>
                <w:b/>
                <w:bCs/>
                <w:sz w:val="20"/>
                <w:szCs w:val="20"/>
                <w:lang w:eastAsia="lv-LV"/>
              </w:rPr>
              <w:t xml:space="preserve">Dabiskie </w:t>
            </w:r>
            <w:proofErr w:type="spellStart"/>
            <w:r w:rsidR="00EF18CD" w:rsidRPr="00A07F29">
              <w:rPr>
                <w:rFonts w:eastAsia="Times New Roman" w:cs="Times New Roman"/>
                <w:b/>
                <w:bCs/>
                <w:sz w:val="20"/>
                <w:szCs w:val="20"/>
                <w:lang w:eastAsia="lv-LV"/>
              </w:rPr>
              <w:t>biotiskie</w:t>
            </w:r>
            <w:proofErr w:type="spellEnd"/>
            <w:r w:rsidR="00EF18CD" w:rsidRPr="00A07F29">
              <w:rPr>
                <w:rFonts w:eastAsia="Times New Roman" w:cs="Times New Roman"/>
                <w:b/>
                <w:bCs/>
                <w:sz w:val="20"/>
                <w:szCs w:val="20"/>
                <w:lang w:eastAsia="lv-LV"/>
              </w:rPr>
              <w:t xml:space="preserve"> un </w:t>
            </w:r>
            <w:proofErr w:type="spellStart"/>
            <w:r w:rsidR="00EF18CD" w:rsidRPr="00A07F29">
              <w:rPr>
                <w:rFonts w:eastAsia="Times New Roman" w:cs="Times New Roman"/>
                <w:b/>
                <w:bCs/>
                <w:sz w:val="20"/>
                <w:szCs w:val="20"/>
                <w:lang w:eastAsia="lv-LV"/>
              </w:rPr>
              <w:t>abiotiskie</w:t>
            </w:r>
            <w:proofErr w:type="spellEnd"/>
            <w:r w:rsidR="00EF18CD" w:rsidRPr="00A07F29">
              <w:rPr>
                <w:rFonts w:eastAsia="Times New Roman" w:cs="Times New Roman"/>
                <w:b/>
                <w:bCs/>
                <w:sz w:val="20"/>
                <w:szCs w:val="20"/>
                <w:lang w:eastAsia="lv-LV"/>
              </w:rPr>
              <w:t xml:space="preserve"> procesi (bez katastrofām)</w:t>
            </w:r>
          </w:p>
        </w:tc>
      </w:tr>
      <w:tr w:rsidR="00E5025A" w:rsidRPr="00A07F29" w14:paraId="0660AF55" w14:textId="77777777" w:rsidTr="729E1729">
        <w:trPr>
          <w:trHeight w:val="288"/>
          <w:jc w:val="center"/>
        </w:trPr>
        <w:tc>
          <w:tcPr>
            <w:tcW w:w="998" w:type="dxa"/>
            <w:tcBorders>
              <w:top w:val="nil"/>
              <w:left w:val="single" w:sz="4" w:space="0" w:color="auto"/>
              <w:bottom w:val="single" w:sz="4" w:space="0" w:color="auto"/>
              <w:right w:val="single" w:sz="4" w:space="0" w:color="auto"/>
            </w:tcBorders>
            <w:shd w:val="clear" w:color="auto" w:fill="auto"/>
            <w:noWrap/>
          </w:tcPr>
          <w:p w14:paraId="69B8395E" w14:textId="36336808" w:rsidR="00E5025A" w:rsidRPr="00A07F29" w:rsidRDefault="0067519E" w:rsidP="0067519E">
            <w:pPr>
              <w:widowControl w:val="0"/>
              <w:spacing w:after="0" w:line="240" w:lineRule="auto"/>
              <w:ind w:left="501" w:hanging="501"/>
              <w:contextualSpacing/>
              <w:jc w:val="center"/>
              <w:rPr>
                <w:rFonts w:ascii="Times New Roman" w:eastAsia="Times New Roman" w:hAnsi="Times New Roman" w:cs="Times New Roman"/>
                <w:sz w:val="20"/>
                <w:szCs w:val="20"/>
                <w:lang w:eastAsia="lv-LV"/>
              </w:rPr>
            </w:pPr>
            <w:bookmarkStart w:id="45" w:name="_Hlk39750520"/>
            <w:r w:rsidRPr="00A07F29">
              <w:rPr>
                <w:rFonts w:ascii="Times New Roman" w:eastAsia="Times New Roman" w:hAnsi="Times New Roman" w:cs="Times New Roman"/>
                <w:sz w:val="20"/>
                <w:szCs w:val="20"/>
                <w:lang w:eastAsia="lv-LV"/>
              </w:rPr>
              <w:t>30</w:t>
            </w:r>
            <w:r w:rsidR="00C926F7" w:rsidRPr="00A07F29">
              <w:rPr>
                <w:rFonts w:ascii="Times New Roman" w:eastAsia="Times New Roman" w:hAnsi="Times New Roman" w:cs="Times New Roman"/>
                <w:sz w:val="20"/>
                <w:szCs w:val="20"/>
                <w:lang w:eastAsia="lv-LV"/>
              </w:rPr>
              <w:t>.</w:t>
            </w:r>
          </w:p>
        </w:tc>
        <w:tc>
          <w:tcPr>
            <w:tcW w:w="2056" w:type="dxa"/>
            <w:tcBorders>
              <w:top w:val="single" w:sz="4" w:space="0" w:color="auto"/>
              <w:left w:val="nil"/>
              <w:bottom w:val="single" w:sz="4" w:space="0" w:color="auto"/>
              <w:right w:val="single" w:sz="4" w:space="0" w:color="auto"/>
            </w:tcBorders>
            <w:shd w:val="clear" w:color="auto" w:fill="auto"/>
          </w:tcPr>
          <w:p w14:paraId="5B7DCBCD" w14:textId="48F79057" w:rsidR="00E5025A" w:rsidRPr="00A07F29" w:rsidRDefault="00EF18CD" w:rsidP="00295A55">
            <w:pPr>
              <w:widowControl w:val="0"/>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Erozija</w:t>
            </w:r>
          </w:p>
        </w:tc>
        <w:tc>
          <w:tcPr>
            <w:tcW w:w="1111" w:type="dxa"/>
            <w:tcBorders>
              <w:top w:val="nil"/>
              <w:left w:val="single" w:sz="4" w:space="0" w:color="auto"/>
              <w:bottom w:val="single" w:sz="4" w:space="0" w:color="auto"/>
              <w:right w:val="single" w:sz="4" w:space="0" w:color="auto"/>
            </w:tcBorders>
            <w:shd w:val="clear" w:color="auto" w:fill="auto"/>
            <w:vAlign w:val="center"/>
          </w:tcPr>
          <w:p w14:paraId="04004C98" w14:textId="77777777" w:rsidR="00E5025A" w:rsidRPr="00A07F29" w:rsidRDefault="00E5025A"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K01.01</w:t>
            </w:r>
          </w:p>
        </w:tc>
        <w:tc>
          <w:tcPr>
            <w:tcW w:w="983" w:type="dxa"/>
            <w:tcBorders>
              <w:top w:val="nil"/>
              <w:left w:val="single" w:sz="4" w:space="0" w:color="auto"/>
              <w:bottom w:val="single" w:sz="4" w:space="0" w:color="auto"/>
              <w:right w:val="single" w:sz="4" w:space="0" w:color="auto"/>
            </w:tcBorders>
            <w:shd w:val="clear" w:color="auto" w:fill="auto"/>
            <w:vAlign w:val="center"/>
          </w:tcPr>
          <w:p w14:paraId="1A8723E2" w14:textId="77777777" w:rsidR="00E5025A" w:rsidRPr="00A07F29" w:rsidRDefault="00E5025A"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N</w:t>
            </w:r>
          </w:p>
        </w:tc>
        <w:tc>
          <w:tcPr>
            <w:tcW w:w="992" w:type="dxa"/>
            <w:tcBorders>
              <w:top w:val="nil"/>
              <w:left w:val="nil"/>
              <w:bottom w:val="single" w:sz="4" w:space="0" w:color="auto"/>
              <w:right w:val="single" w:sz="4" w:space="0" w:color="auto"/>
            </w:tcBorders>
            <w:shd w:val="clear" w:color="auto" w:fill="auto"/>
            <w:noWrap/>
            <w:vAlign w:val="center"/>
          </w:tcPr>
          <w:p w14:paraId="4D786593" w14:textId="77777777" w:rsidR="00E5025A" w:rsidRPr="00A07F29" w:rsidRDefault="00E5025A"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L</w:t>
            </w:r>
          </w:p>
        </w:tc>
        <w:tc>
          <w:tcPr>
            <w:tcW w:w="1417" w:type="dxa"/>
            <w:tcBorders>
              <w:top w:val="nil"/>
              <w:left w:val="nil"/>
              <w:bottom w:val="single" w:sz="4" w:space="0" w:color="auto"/>
              <w:right w:val="single" w:sz="4" w:space="0" w:color="auto"/>
            </w:tcBorders>
            <w:shd w:val="clear" w:color="auto" w:fill="FFFFFF" w:themeFill="background1"/>
            <w:noWrap/>
            <w:vAlign w:val="center"/>
          </w:tcPr>
          <w:p w14:paraId="1EDD9564" w14:textId="77777777" w:rsidR="00E5025A" w:rsidRPr="00A07F29" w:rsidRDefault="00E5025A"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w:t>
            </w:r>
          </w:p>
        </w:tc>
        <w:tc>
          <w:tcPr>
            <w:tcW w:w="983" w:type="dxa"/>
            <w:tcBorders>
              <w:top w:val="nil"/>
              <w:left w:val="nil"/>
              <w:bottom w:val="single" w:sz="4" w:space="0" w:color="auto"/>
              <w:right w:val="single" w:sz="4" w:space="0" w:color="auto"/>
            </w:tcBorders>
            <w:shd w:val="clear" w:color="auto" w:fill="auto"/>
            <w:noWrap/>
            <w:vAlign w:val="center"/>
          </w:tcPr>
          <w:p w14:paraId="35B8E0C4" w14:textId="77777777" w:rsidR="00E5025A" w:rsidRPr="00A07F29" w:rsidRDefault="00E5025A"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i</w:t>
            </w:r>
          </w:p>
        </w:tc>
        <w:tc>
          <w:tcPr>
            <w:tcW w:w="5591" w:type="dxa"/>
            <w:tcBorders>
              <w:top w:val="nil"/>
              <w:left w:val="nil"/>
              <w:bottom w:val="single" w:sz="4" w:space="0" w:color="auto"/>
              <w:right w:val="single" w:sz="4" w:space="0" w:color="auto"/>
            </w:tcBorders>
            <w:shd w:val="clear" w:color="auto" w:fill="auto"/>
            <w:noWrap/>
            <w:vAlign w:val="center"/>
          </w:tcPr>
          <w:p w14:paraId="109384F7" w14:textId="2D9F7554" w:rsidR="00E5025A" w:rsidRPr="00A07F29" w:rsidRDefault="00C926F7" w:rsidP="00295A55">
            <w:pPr>
              <w:widowControl w:val="0"/>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Erozija upju krastos un derīgo izrakteņu ieguves vietās.</w:t>
            </w:r>
          </w:p>
        </w:tc>
      </w:tr>
      <w:tr w:rsidR="00E5025A" w:rsidRPr="00A07F29" w14:paraId="753C33A5" w14:textId="77777777" w:rsidTr="729E1729">
        <w:trPr>
          <w:trHeight w:val="288"/>
          <w:jc w:val="center"/>
        </w:trPr>
        <w:tc>
          <w:tcPr>
            <w:tcW w:w="998" w:type="dxa"/>
            <w:tcBorders>
              <w:top w:val="nil"/>
              <w:left w:val="single" w:sz="4" w:space="0" w:color="auto"/>
              <w:bottom w:val="single" w:sz="4" w:space="0" w:color="auto"/>
              <w:right w:val="single" w:sz="4" w:space="0" w:color="auto"/>
            </w:tcBorders>
            <w:shd w:val="clear" w:color="auto" w:fill="auto"/>
            <w:noWrap/>
          </w:tcPr>
          <w:p w14:paraId="4632FAD0" w14:textId="712C7758" w:rsidR="00E5025A" w:rsidRPr="00A07F29" w:rsidRDefault="0067519E" w:rsidP="0067519E">
            <w:pPr>
              <w:widowControl w:val="0"/>
              <w:spacing w:after="0" w:line="240" w:lineRule="auto"/>
              <w:ind w:left="501" w:hanging="501"/>
              <w:contextualSpacing/>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31</w:t>
            </w:r>
            <w:r w:rsidR="00C926F7" w:rsidRPr="00A07F29">
              <w:rPr>
                <w:rFonts w:ascii="Times New Roman" w:eastAsia="Times New Roman" w:hAnsi="Times New Roman" w:cs="Times New Roman"/>
                <w:sz w:val="20"/>
                <w:szCs w:val="20"/>
                <w:lang w:eastAsia="lv-LV"/>
              </w:rPr>
              <w:t>.</w:t>
            </w:r>
          </w:p>
        </w:tc>
        <w:tc>
          <w:tcPr>
            <w:tcW w:w="2056" w:type="dxa"/>
            <w:tcBorders>
              <w:top w:val="single" w:sz="4" w:space="0" w:color="auto"/>
              <w:left w:val="nil"/>
              <w:bottom w:val="single" w:sz="4" w:space="0" w:color="auto"/>
              <w:right w:val="single" w:sz="4" w:space="0" w:color="auto"/>
            </w:tcBorders>
            <w:shd w:val="clear" w:color="auto" w:fill="auto"/>
          </w:tcPr>
          <w:p w14:paraId="2CCCDA7A" w14:textId="47966335" w:rsidR="00E5025A" w:rsidRPr="00A07F29" w:rsidRDefault="00EF18CD" w:rsidP="00295A55">
            <w:pPr>
              <w:widowControl w:val="0"/>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Erozija</w:t>
            </w:r>
          </w:p>
        </w:tc>
        <w:tc>
          <w:tcPr>
            <w:tcW w:w="1111" w:type="dxa"/>
            <w:tcBorders>
              <w:top w:val="nil"/>
              <w:left w:val="single" w:sz="4" w:space="0" w:color="auto"/>
              <w:bottom w:val="single" w:sz="4" w:space="0" w:color="auto"/>
              <w:right w:val="single" w:sz="4" w:space="0" w:color="auto"/>
            </w:tcBorders>
            <w:shd w:val="clear" w:color="auto" w:fill="auto"/>
            <w:vAlign w:val="center"/>
          </w:tcPr>
          <w:p w14:paraId="49E636CA" w14:textId="77777777" w:rsidR="00E5025A" w:rsidRPr="00A07F29" w:rsidRDefault="00E5025A"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K01.01</w:t>
            </w:r>
          </w:p>
        </w:tc>
        <w:tc>
          <w:tcPr>
            <w:tcW w:w="983" w:type="dxa"/>
            <w:tcBorders>
              <w:top w:val="nil"/>
              <w:left w:val="single" w:sz="4" w:space="0" w:color="auto"/>
              <w:bottom w:val="single" w:sz="4" w:space="0" w:color="auto"/>
              <w:right w:val="single" w:sz="4" w:space="0" w:color="auto"/>
            </w:tcBorders>
            <w:shd w:val="clear" w:color="auto" w:fill="auto"/>
            <w:vAlign w:val="center"/>
          </w:tcPr>
          <w:p w14:paraId="1FD0AD44" w14:textId="77777777" w:rsidR="00E5025A" w:rsidRPr="00A07F29" w:rsidRDefault="00E5025A"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P</w:t>
            </w:r>
          </w:p>
        </w:tc>
        <w:tc>
          <w:tcPr>
            <w:tcW w:w="992" w:type="dxa"/>
            <w:tcBorders>
              <w:top w:val="nil"/>
              <w:left w:val="nil"/>
              <w:bottom w:val="single" w:sz="4" w:space="0" w:color="auto"/>
              <w:right w:val="single" w:sz="4" w:space="0" w:color="auto"/>
            </w:tcBorders>
            <w:shd w:val="clear" w:color="auto" w:fill="auto"/>
            <w:noWrap/>
            <w:vAlign w:val="center"/>
          </w:tcPr>
          <w:p w14:paraId="2393C0ED" w14:textId="77777777" w:rsidR="00E5025A" w:rsidRPr="00A07F29" w:rsidRDefault="00E5025A"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L</w:t>
            </w:r>
          </w:p>
        </w:tc>
        <w:tc>
          <w:tcPr>
            <w:tcW w:w="1417" w:type="dxa"/>
            <w:tcBorders>
              <w:top w:val="nil"/>
              <w:left w:val="nil"/>
              <w:bottom w:val="single" w:sz="4" w:space="0" w:color="auto"/>
              <w:right w:val="single" w:sz="4" w:space="0" w:color="auto"/>
            </w:tcBorders>
            <w:shd w:val="clear" w:color="auto" w:fill="FFFFFF" w:themeFill="background1"/>
            <w:noWrap/>
            <w:vAlign w:val="center"/>
          </w:tcPr>
          <w:p w14:paraId="765D18EA" w14:textId="77777777" w:rsidR="00E5025A" w:rsidRPr="00A07F29" w:rsidRDefault="00E5025A"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w:t>
            </w:r>
          </w:p>
        </w:tc>
        <w:tc>
          <w:tcPr>
            <w:tcW w:w="983" w:type="dxa"/>
            <w:tcBorders>
              <w:top w:val="nil"/>
              <w:left w:val="nil"/>
              <w:bottom w:val="single" w:sz="4" w:space="0" w:color="auto"/>
              <w:right w:val="single" w:sz="4" w:space="0" w:color="auto"/>
            </w:tcBorders>
            <w:shd w:val="clear" w:color="auto" w:fill="auto"/>
            <w:noWrap/>
            <w:vAlign w:val="center"/>
          </w:tcPr>
          <w:p w14:paraId="6C91BA86" w14:textId="77777777" w:rsidR="00E5025A" w:rsidRPr="00A07F29" w:rsidRDefault="00E5025A"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i</w:t>
            </w:r>
          </w:p>
        </w:tc>
        <w:tc>
          <w:tcPr>
            <w:tcW w:w="5591" w:type="dxa"/>
            <w:tcBorders>
              <w:top w:val="nil"/>
              <w:left w:val="nil"/>
              <w:bottom w:val="single" w:sz="4" w:space="0" w:color="auto"/>
              <w:right w:val="single" w:sz="4" w:space="0" w:color="auto"/>
            </w:tcBorders>
            <w:shd w:val="clear" w:color="auto" w:fill="auto"/>
            <w:noWrap/>
            <w:vAlign w:val="center"/>
          </w:tcPr>
          <w:p w14:paraId="2DAD87B7" w14:textId="4786B078" w:rsidR="00E5025A" w:rsidRPr="00A07F29" w:rsidRDefault="00C926F7" w:rsidP="00295A55">
            <w:pPr>
              <w:widowControl w:val="0"/>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 xml:space="preserve">Atsevišķās vietās ar dabiskas izcelsmes eroziju rodas </w:t>
            </w:r>
            <w:proofErr w:type="spellStart"/>
            <w:r w:rsidRPr="00A07F29">
              <w:rPr>
                <w:rFonts w:ascii="Times New Roman" w:eastAsia="Calibri" w:hAnsi="Times New Roman" w:cs="Times New Roman"/>
                <w:sz w:val="20"/>
                <w:szCs w:val="20"/>
              </w:rPr>
              <w:t>mikrobiotopi</w:t>
            </w:r>
            <w:proofErr w:type="spellEnd"/>
            <w:r w:rsidRPr="00A07F29">
              <w:rPr>
                <w:rFonts w:ascii="Times New Roman" w:eastAsia="Calibri" w:hAnsi="Times New Roman" w:cs="Times New Roman"/>
                <w:sz w:val="20"/>
                <w:szCs w:val="20"/>
              </w:rPr>
              <w:t xml:space="preserve"> - retu sugu dzīvotnes.</w:t>
            </w:r>
          </w:p>
        </w:tc>
      </w:tr>
      <w:tr w:rsidR="00C926F7" w:rsidRPr="00A07F29" w14:paraId="0AE181E2" w14:textId="77777777" w:rsidTr="729E1729">
        <w:trPr>
          <w:trHeight w:val="288"/>
          <w:jc w:val="center"/>
        </w:trPr>
        <w:tc>
          <w:tcPr>
            <w:tcW w:w="998" w:type="dxa"/>
            <w:tcBorders>
              <w:top w:val="nil"/>
              <w:left w:val="single" w:sz="4" w:space="0" w:color="auto"/>
              <w:bottom w:val="single" w:sz="4" w:space="0" w:color="auto"/>
              <w:right w:val="single" w:sz="4" w:space="0" w:color="auto"/>
            </w:tcBorders>
            <w:shd w:val="clear" w:color="auto" w:fill="FFC000"/>
            <w:noWrap/>
          </w:tcPr>
          <w:p w14:paraId="3D407C4B" w14:textId="74E8896B" w:rsidR="00C926F7" w:rsidRPr="00A07F29" w:rsidRDefault="0067519E" w:rsidP="0067519E">
            <w:pPr>
              <w:widowControl w:val="0"/>
              <w:spacing w:after="0" w:line="240" w:lineRule="auto"/>
              <w:ind w:left="501" w:hanging="501"/>
              <w:contextualSpacing/>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31</w:t>
            </w:r>
            <w:r w:rsidR="00C926F7" w:rsidRPr="00A07F29">
              <w:rPr>
                <w:rFonts w:ascii="Times New Roman" w:eastAsia="Times New Roman" w:hAnsi="Times New Roman" w:cs="Times New Roman"/>
                <w:sz w:val="20"/>
                <w:szCs w:val="20"/>
                <w:lang w:eastAsia="lv-LV"/>
              </w:rPr>
              <w:t>.</w:t>
            </w:r>
          </w:p>
        </w:tc>
        <w:tc>
          <w:tcPr>
            <w:tcW w:w="2056" w:type="dxa"/>
            <w:tcBorders>
              <w:top w:val="single" w:sz="4" w:space="0" w:color="auto"/>
              <w:left w:val="nil"/>
              <w:bottom w:val="single" w:sz="4" w:space="0" w:color="auto"/>
              <w:right w:val="single" w:sz="4" w:space="0" w:color="auto"/>
            </w:tcBorders>
            <w:shd w:val="clear" w:color="auto" w:fill="FFC000"/>
          </w:tcPr>
          <w:p w14:paraId="6DED0FD3" w14:textId="2E029D2B" w:rsidR="00C926F7" w:rsidRPr="00A07F29" w:rsidRDefault="00C926F7" w:rsidP="00295A55">
            <w:pPr>
              <w:widowControl w:val="0"/>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Organisko vielu uzkrāšanās</w:t>
            </w:r>
          </w:p>
        </w:tc>
        <w:tc>
          <w:tcPr>
            <w:tcW w:w="1111" w:type="dxa"/>
            <w:tcBorders>
              <w:top w:val="nil"/>
              <w:left w:val="single" w:sz="4" w:space="0" w:color="auto"/>
              <w:bottom w:val="single" w:sz="4" w:space="0" w:color="auto"/>
              <w:right w:val="single" w:sz="4" w:space="0" w:color="auto"/>
            </w:tcBorders>
            <w:shd w:val="clear" w:color="auto" w:fill="FFC000"/>
            <w:vAlign w:val="center"/>
          </w:tcPr>
          <w:p w14:paraId="3A8515E7" w14:textId="687656C6" w:rsidR="00C926F7" w:rsidRPr="00A07F29" w:rsidRDefault="00C926F7"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K.02.02</w:t>
            </w:r>
          </w:p>
        </w:tc>
        <w:tc>
          <w:tcPr>
            <w:tcW w:w="983" w:type="dxa"/>
            <w:tcBorders>
              <w:top w:val="nil"/>
              <w:left w:val="single" w:sz="4" w:space="0" w:color="auto"/>
              <w:bottom w:val="single" w:sz="4" w:space="0" w:color="auto"/>
              <w:right w:val="single" w:sz="4" w:space="0" w:color="auto"/>
            </w:tcBorders>
            <w:shd w:val="clear" w:color="auto" w:fill="FFC000"/>
            <w:vAlign w:val="center"/>
          </w:tcPr>
          <w:p w14:paraId="1EA60953" w14:textId="1EEBC8DE" w:rsidR="00C926F7" w:rsidRPr="00A07F29" w:rsidRDefault="00C926F7"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N</w:t>
            </w:r>
          </w:p>
        </w:tc>
        <w:tc>
          <w:tcPr>
            <w:tcW w:w="992" w:type="dxa"/>
            <w:tcBorders>
              <w:top w:val="nil"/>
              <w:left w:val="nil"/>
              <w:bottom w:val="single" w:sz="4" w:space="0" w:color="auto"/>
              <w:right w:val="single" w:sz="4" w:space="0" w:color="auto"/>
            </w:tcBorders>
            <w:shd w:val="clear" w:color="auto" w:fill="FFC000"/>
            <w:noWrap/>
            <w:vAlign w:val="center"/>
          </w:tcPr>
          <w:p w14:paraId="62C076CA" w14:textId="09012460" w:rsidR="00C926F7" w:rsidRPr="00A07F29" w:rsidRDefault="00E24A29"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L</w:t>
            </w:r>
          </w:p>
        </w:tc>
        <w:tc>
          <w:tcPr>
            <w:tcW w:w="1417" w:type="dxa"/>
            <w:tcBorders>
              <w:top w:val="nil"/>
              <w:left w:val="nil"/>
              <w:bottom w:val="single" w:sz="4" w:space="0" w:color="auto"/>
              <w:right w:val="single" w:sz="4" w:space="0" w:color="auto"/>
            </w:tcBorders>
            <w:shd w:val="clear" w:color="auto" w:fill="FFC000"/>
            <w:noWrap/>
            <w:vAlign w:val="center"/>
          </w:tcPr>
          <w:p w14:paraId="0C9A01B9" w14:textId="6028D41D" w:rsidR="00C926F7" w:rsidRPr="00A07F29" w:rsidRDefault="00C926F7"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w:t>
            </w:r>
          </w:p>
        </w:tc>
        <w:tc>
          <w:tcPr>
            <w:tcW w:w="983" w:type="dxa"/>
            <w:tcBorders>
              <w:top w:val="nil"/>
              <w:left w:val="nil"/>
              <w:bottom w:val="single" w:sz="4" w:space="0" w:color="auto"/>
              <w:right w:val="single" w:sz="4" w:space="0" w:color="auto"/>
            </w:tcBorders>
            <w:shd w:val="clear" w:color="auto" w:fill="FFC000"/>
            <w:noWrap/>
            <w:vAlign w:val="center"/>
          </w:tcPr>
          <w:p w14:paraId="0B40BD9F" w14:textId="195E443D" w:rsidR="00C926F7" w:rsidRPr="00A07F29" w:rsidRDefault="00C926F7"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i</w:t>
            </w:r>
          </w:p>
        </w:tc>
        <w:tc>
          <w:tcPr>
            <w:tcW w:w="5591" w:type="dxa"/>
            <w:tcBorders>
              <w:top w:val="nil"/>
              <w:left w:val="nil"/>
              <w:bottom w:val="single" w:sz="4" w:space="0" w:color="auto"/>
              <w:right w:val="single" w:sz="4" w:space="0" w:color="auto"/>
            </w:tcBorders>
            <w:shd w:val="clear" w:color="auto" w:fill="FFC000"/>
            <w:noWrap/>
            <w:vAlign w:val="center"/>
          </w:tcPr>
          <w:p w14:paraId="4DB74511" w14:textId="5C1D1183" w:rsidR="00C926F7" w:rsidRPr="00A07F29" w:rsidRDefault="00C926F7" w:rsidP="00295A55">
            <w:pPr>
              <w:widowControl w:val="0"/>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 xml:space="preserve">Organisko vielu uzkrāšanās </w:t>
            </w:r>
            <w:proofErr w:type="spellStart"/>
            <w:r w:rsidRPr="00A07F29">
              <w:rPr>
                <w:rFonts w:ascii="Times New Roman" w:eastAsia="Calibri" w:hAnsi="Times New Roman" w:cs="Times New Roman"/>
                <w:sz w:val="20"/>
                <w:szCs w:val="20"/>
              </w:rPr>
              <w:t>ezerdobēs</w:t>
            </w:r>
            <w:proofErr w:type="spellEnd"/>
            <w:r w:rsidRPr="00A07F29">
              <w:rPr>
                <w:rFonts w:ascii="Times New Roman" w:eastAsia="Calibri" w:hAnsi="Times New Roman" w:cs="Times New Roman"/>
                <w:sz w:val="20"/>
                <w:szCs w:val="20"/>
              </w:rPr>
              <w:t xml:space="preserve"> – vairākos ezeros ir nepieciešama dūņu atsūkšana</w:t>
            </w:r>
          </w:p>
        </w:tc>
      </w:tr>
      <w:tr w:rsidR="00E5025A" w:rsidRPr="00A07F29" w14:paraId="18FFC74D" w14:textId="77777777" w:rsidTr="729E1729">
        <w:trPr>
          <w:trHeight w:val="288"/>
          <w:jc w:val="center"/>
        </w:trPr>
        <w:tc>
          <w:tcPr>
            <w:tcW w:w="998" w:type="dxa"/>
            <w:tcBorders>
              <w:top w:val="nil"/>
              <w:left w:val="single" w:sz="4" w:space="0" w:color="auto"/>
              <w:bottom w:val="single" w:sz="4" w:space="0" w:color="auto"/>
              <w:right w:val="single" w:sz="4" w:space="0" w:color="auto"/>
            </w:tcBorders>
            <w:shd w:val="clear" w:color="auto" w:fill="auto"/>
            <w:noWrap/>
          </w:tcPr>
          <w:p w14:paraId="21963BAD" w14:textId="272FF412" w:rsidR="00E5025A" w:rsidRPr="00A07F29" w:rsidRDefault="0067519E" w:rsidP="0067519E">
            <w:pPr>
              <w:widowControl w:val="0"/>
              <w:spacing w:after="0" w:line="240" w:lineRule="auto"/>
              <w:ind w:left="501" w:hanging="501"/>
              <w:contextualSpacing/>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33</w:t>
            </w:r>
            <w:r w:rsidR="0DD08D98" w:rsidRPr="00A07F29">
              <w:rPr>
                <w:rFonts w:ascii="Times New Roman" w:eastAsia="Times New Roman" w:hAnsi="Times New Roman" w:cs="Times New Roman"/>
                <w:sz w:val="20"/>
                <w:szCs w:val="20"/>
                <w:lang w:eastAsia="lv-LV"/>
              </w:rPr>
              <w:t>.</w:t>
            </w:r>
          </w:p>
        </w:tc>
        <w:tc>
          <w:tcPr>
            <w:tcW w:w="2056" w:type="dxa"/>
            <w:tcBorders>
              <w:top w:val="single" w:sz="4" w:space="0" w:color="auto"/>
              <w:left w:val="nil"/>
              <w:bottom w:val="single" w:sz="4" w:space="0" w:color="auto"/>
              <w:right w:val="single" w:sz="4" w:space="0" w:color="auto"/>
            </w:tcBorders>
            <w:shd w:val="clear" w:color="auto" w:fill="auto"/>
          </w:tcPr>
          <w:p w14:paraId="1B7C23B5" w14:textId="2D152E49" w:rsidR="00E5025A" w:rsidRPr="00A07F29" w:rsidRDefault="00EF18CD" w:rsidP="00295A55">
            <w:pPr>
              <w:widowControl w:val="0"/>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 xml:space="preserve">Biocenozes evolūcija, </w:t>
            </w:r>
            <w:proofErr w:type="spellStart"/>
            <w:r w:rsidRPr="00A07F29">
              <w:rPr>
                <w:rFonts w:ascii="Times New Roman" w:eastAsia="Times New Roman" w:hAnsi="Times New Roman" w:cs="Times New Roman"/>
                <w:sz w:val="20"/>
                <w:szCs w:val="20"/>
                <w:lang w:eastAsia="lv-LV"/>
              </w:rPr>
              <w:t>sukcesija</w:t>
            </w:r>
            <w:proofErr w:type="spellEnd"/>
          </w:p>
        </w:tc>
        <w:tc>
          <w:tcPr>
            <w:tcW w:w="1111" w:type="dxa"/>
            <w:tcBorders>
              <w:top w:val="nil"/>
              <w:left w:val="single" w:sz="4" w:space="0" w:color="auto"/>
              <w:bottom w:val="single" w:sz="4" w:space="0" w:color="auto"/>
              <w:right w:val="single" w:sz="4" w:space="0" w:color="auto"/>
            </w:tcBorders>
            <w:shd w:val="clear" w:color="auto" w:fill="auto"/>
            <w:vAlign w:val="center"/>
          </w:tcPr>
          <w:p w14:paraId="047291A7" w14:textId="77777777" w:rsidR="00E5025A" w:rsidRPr="00A07F29" w:rsidRDefault="00E5025A"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K02</w:t>
            </w:r>
          </w:p>
        </w:tc>
        <w:tc>
          <w:tcPr>
            <w:tcW w:w="983" w:type="dxa"/>
            <w:tcBorders>
              <w:top w:val="nil"/>
              <w:left w:val="single" w:sz="4" w:space="0" w:color="auto"/>
              <w:bottom w:val="single" w:sz="4" w:space="0" w:color="auto"/>
              <w:right w:val="single" w:sz="4" w:space="0" w:color="auto"/>
            </w:tcBorders>
            <w:shd w:val="clear" w:color="auto" w:fill="auto"/>
            <w:vAlign w:val="center"/>
          </w:tcPr>
          <w:p w14:paraId="3A4A5E4E" w14:textId="77777777" w:rsidR="00E5025A" w:rsidRPr="00A07F29" w:rsidRDefault="00E5025A"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N</w:t>
            </w:r>
          </w:p>
        </w:tc>
        <w:tc>
          <w:tcPr>
            <w:tcW w:w="992" w:type="dxa"/>
            <w:tcBorders>
              <w:top w:val="nil"/>
              <w:left w:val="nil"/>
              <w:bottom w:val="single" w:sz="4" w:space="0" w:color="auto"/>
              <w:right w:val="single" w:sz="4" w:space="0" w:color="auto"/>
            </w:tcBorders>
            <w:shd w:val="clear" w:color="auto" w:fill="FFC000"/>
            <w:noWrap/>
            <w:vAlign w:val="center"/>
          </w:tcPr>
          <w:p w14:paraId="5210975F" w14:textId="1EBF9EE6" w:rsidR="00E5025A" w:rsidRPr="00A07F29" w:rsidRDefault="00C926F7"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M</w:t>
            </w:r>
          </w:p>
        </w:tc>
        <w:tc>
          <w:tcPr>
            <w:tcW w:w="1417" w:type="dxa"/>
            <w:tcBorders>
              <w:top w:val="nil"/>
              <w:left w:val="nil"/>
              <w:bottom w:val="single" w:sz="4" w:space="0" w:color="auto"/>
              <w:right w:val="single" w:sz="4" w:space="0" w:color="auto"/>
            </w:tcBorders>
            <w:shd w:val="clear" w:color="auto" w:fill="FFFFFF" w:themeFill="background1"/>
            <w:noWrap/>
            <w:vAlign w:val="center"/>
          </w:tcPr>
          <w:p w14:paraId="618C0AD3" w14:textId="77777777" w:rsidR="00E5025A" w:rsidRPr="00A07F29" w:rsidRDefault="00E5025A"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w:t>
            </w:r>
          </w:p>
        </w:tc>
        <w:tc>
          <w:tcPr>
            <w:tcW w:w="983" w:type="dxa"/>
            <w:tcBorders>
              <w:top w:val="nil"/>
              <w:left w:val="nil"/>
              <w:bottom w:val="single" w:sz="4" w:space="0" w:color="auto"/>
              <w:right w:val="single" w:sz="4" w:space="0" w:color="auto"/>
            </w:tcBorders>
            <w:shd w:val="clear" w:color="auto" w:fill="auto"/>
            <w:noWrap/>
            <w:vAlign w:val="center"/>
          </w:tcPr>
          <w:p w14:paraId="54882F65" w14:textId="77777777" w:rsidR="00E5025A" w:rsidRPr="00A07F29" w:rsidRDefault="00E5025A" w:rsidP="00295A55">
            <w:pPr>
              <w:widowControl w:val="0"/>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i</w:t>
            </w:r>
          </w:p>
        </w:tc>
        <w:tc>
          <w:tcPr>
            <w:tcW w:w="5591" w:type="dxa"/>
            <w:tcBorders>
              <w:top w:val="nil"/>
              <w:left w:val="nil"/>
              <w:bottom w:val="single" w:sz="4" w:space="0" w:color="auto"/>
              <w:right w:val="single" w:sz="4" w:space="0" w:color="auto"/>
            </w:tcBorders>
            <w:shd w:val="clear" w:color="auto" w:fill="auto"/>
            <w:noWrap/>
            <w:vAlign w:val="center"/>
          </w:tcPr>
          <w:p w14:paraId="078F215E" w14:textId="7ACE7083" w:rsidR="00E5025A" w:rsidRPr="00A07F29" w:rsidRDefault="00C926F7" w:rsidP="00295A55">
            <w:pPr>
              <w:widowControl w:val="0"/>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Notiek atklātās ainavas aizaugšana ar kokiem un krūmiem</w:t>
            </w:r>
          </w:p>
        </w:tc>
      </w:tr>
    </w:tbl>
    <w:bookmarkEnd w:id="44"/>
    <w:bookmarkEnd w:id="45"/>
    <w:p w14:paraId="278D98A2" w14:textId="3DC87BC0" w:rsidR="00E5025A" w:rsidRPr="00A07F29" w:rsidRDefault="00E5025A" w:rsidP="00E5025A">
      <w:pPr>
        <w:widowControl w:val="0"/>
        <w:spacing w:after="0" w:line="240" w:lineRule="auto"/>
        <w:jc w:val="both"/>
        <w:rPr>
          <w:rFonts w:ascii="Times New Roman" w:eastAsia="Times New Roman" w:hAnsi="Times New Roman" w:cs="Times New Roman"/>
          <w:sz w:val="20"/>
          <w:szCs w:val="20"/>
          <w:lang w:eastAsia="lv-LV"/>
        </w:rPr>
      </w:pPr>
      <w:r w:rsidRPr="00A07F29">
        <w:rPr>
          <w:rFonts w:ascii="Times New Roman" w:eastAsia="Calibri" w:hAnsi="Times New Roman" w:cs="Times New Roman"/>
          <w:b/>
          <w:bCs/>
          <w:sz w:val="20"/>
          <w:szCs w:val="20"/>
          <w:u w:val="single"/>
        </w:rPr>
        <w:t>Paskaidrojumi:</w:t>
      </w:r>
      <w:r w:rsidRPr="00A07F29">
        <w:rPr>
          <w:rFonts w:ascii="Times New Roman" w:eastAsia="Calibri" w:hAnsi="Times New Roman" w:cs="Times New Roman"/>
          <w:b/>
          <w:bCs/>
          <w:sz w:val="20"/>
          <w:szCs w:val="20"/>
        </w:rPr>
        <w:t xml:space="preserve"> </w:t>
      </w:r>
      <w:r w:rsidRPr="00A07F29">
        <w:rPr>
          <w:rFonts w:ascii="Times New Roman" w:eastAsia="Times New Roman" w:hAnsi="Times New Roman" w:cs="Times New Roman"/>
          <w:b/>
          <w:bCs/>
          <w:i/>
          <w:iCs/>
          <w:sz w:val="20"/>
          <w:szCs w:val="20"/>
          <w:lang w:eastAsia="lv-LV"/>
        </w:rPr>
        <w:t>Ietekmes veids</w:t>
      </w:r>
      <w:r w:rsidRPr="00A07F29">
        <w:rPr>
          <w:rFonts w:ascii="Times New Roman" w:eastAsia="Times New Roman" w:hAnsi="Times New Roman" w:cs="Times New Roman"/>
          <w:b/>
          <w:bCs/>
          <w:sz w:val="20"/>
          <w:szCs w:val="20"/>
          <w:lang w:eastAsia="lv-LV"/>
        </w:rPr>
        <w:t>:</w:t>
      </w:r>
      <w:r w:rsidRPr="00A07F29">
        <w:rPr>
          <w:rFonts w:ascii="Times New Roman" w:eastAsia="Times New Roman" w:hAnsi="Times New Roman" w:cs="Times New Roman"/>
          <w:sz w:val="20"/>
          <w:szCs w:val="20"/>
          <w:lang w:eastAsia="lv-LV"/>
        </w:rPr>
        <w:t xml:space="preserve"> </w:t>
      </w:r>
      <w:r w:rsidRPr="00A07F29">
        <w:rPr>
          <w:rFonts w:ascii="Times New Roman" w:eastAsia="Times New Roman" w:hAnsi="Times New Roman" w:cs="Times New Roman"/>
          <w:b/>
          <w:bCs/>
          <w:sz w:val="20"/>
          <w:szCs w:val="20"/>
          <w:lang w:eastAsia="lv-LV"/>
        </w:rPr>
        <w:t>N</w:t>
      </w:r>
      <w:r w:rsidRPr="00A07F29">
        <w:rPr>
          <w:rFonts w:ascii="Times New Roman" w:eastAsia="Times New Roman" w:hAnsi="Times New Roman" w:cs="Times New Roman"/>
          <w:sz w:val="20"/>
          <w:szCs w:val="20"/>
          <w:lang w:eastAsia="lv-LV"/>
        </w:rPr>
        <w:t xml:space="preserve"> – negatīva; </w:t>
      </w:r>
      <w:r w:rsidRPr="00A07F29">
        <w:rPr>
          <w:rFonts w:ascii="Times New Roman" w:eastAsia="Times New Roman" w:hAnsi="Times New Roman" w:cs="Times New Roman"/>
          <w:b/>
          <w:bCs/>
          <w:sz w:val="20"/>
          <w:szCs w:val="20"/>
          <w:lang w:eastAsia="lv-LV"/>
        </w:rPr>
        <w:t>P</w:t>
      </w:r>
      <w:r w:rsidRPr="00A07F29">
        <w:rPr>
          <w:rFonts w:ascii="Times New Roman" w:eastAsia="Times New Roman" w:hAnsi="Times New Roman" w:cs="Times New Roman"/>
          <w:sz w:val="20"/>
          <w:szCs w:val="20"/>
          <w:lang w:eastAsia="lv-LV"/>
        </w:rPr>
        <w:t xml:space="preserve"> – pozitīva. </w:t>
      </w:r>
      <w:r w:rsidRPr="00A07F29">
        <w:rPr>
          <w:rFonts w:ascii="Times New Roman" w:eastAsia="Times New Roman" w:hAnsi="Times New Roman" w:cs="Times New Roman"/>
          <w:i/>
          <w:iCs/>
          <w:sz w:val="20"/>
          <w:szCs w:val="20"/>
          <w:lang w:eastAsia="lv-LV"/>
        </w:rPr>
        <w:t>Ietekmes pakāpe</w:t>
      </w:r>
      <w:r w:rsidRPr="00A07F29">
        <w:rPr>
          <w:rFonts w:ascii="Times New Roman" w:eastAsia="Times New Roman" w:hAnsi="Times New Roman" w:cs="Times New Roman"/>
          <w:sz w:val="20"/>
          <w:szCs w:val="20"/>
          <w:lang w:eastAsia="lv-LV"/>
        </w:rPr>
        <w:t xml:space="preserve">: </w:t>
      </w:r>
      <w:r w:rsidRPr="00A07F29">
        <w:rPr>
          <w:rFonts w:ascii="Times New Roman" w:eastAsia="Calibri" w:hAnsi="Times New Roman" w:cs="Times New Roman"/>
          <w:b/>
          <w:bCs/>
          <w:sz w:val="20"/>
          <w:szCs w:val="20"/>
        </w:rPr>
        <w:t>H</w:t>
      </w:r>
      <w:r w:rsidRPr="00A07F29">
        <w:rPr>
          <w:rFonts w:ascii="Times New Roman" w:eastAsia="Calibri" w:hAnsi="Times New Roman" w:cs="Times New Roman"/>
          <w:sz w:val="20"/>
          <w:szCs w:val="20"/>
        </w:rPr>
        <w:t xml:space="preserve"> </w:t>
      </w:r>
      <w:r w:rsidR="006C0620" w:rsidRPr="00A07F29">
        <w:rPr>
          <w:rFonts w:ascii="Times New Roman" w:eastAsia="Calibri" w:hAnsi="Times New Roman" w:cs="Times New Roman"/>
          <w:sz w:val="20"/>
          <w:szCs w:val="20"/>
        </w:rPr>
        <w:t>–</w:t>
      </w:r>
      <w:r w:rsidRPr="00A07F29">
        <w:rPr>
          <w:rFonts w:ascii="Times New Roman" w:eastAsia="Calibri" w:hAnsi="Times New Roman" w:cs="Times New Roman"/>
          <w:sz w:val="20"/>
          <w:szCs w:val="20"/>
        </w:rPr>
        <w:t xml:space="preserve"> liela nozīme/ietekme (liela tieša vai tūlītēja ietekme un/vai iedarbība, kas skar plašus apgabalus); </w:t>
      </w:r>
      <w:r w:rsidRPr="00A07F29">
        <w:rPr>
          <w:rFonts w:ascii="Times New Roman" w:eastAsia="Calibri" w:hAnsi="Times New Roman" w:cs="Times New Roman"/>
          <w:b/>
          <w:bCs/>
          <w:sz w:val="20"/>
          <w:szCs w:val="20"/>
        </w:rPr>
        <w:t>M</w:t>
      </w:r>
      <w:r w:rsidRPr="00A07F29">
        <w:rPr>
          <w:rFonts w:ascii="Times New Roman" w:eastAsia="Calibri" w:hAnsi="Times New Roman" w:cs="Times New Roman"/>
          <w:sz w:val="20"/>
          <w:szCs w:val="20"/>
        </w:rPr>
        <w:t xml:space="preserve"> </w:t>
      </w:r>
      <w:r w:rsidR="006C0620" w:rsidRPr="00A07F29">
        <w:rPr>
          <w:rFonts w:ascii="Times New Roman" w:eastAsia="Calibri" w:hAnsi="Times New Roman" w:cs="Times New Roman"/>
          <w:sz w:val="20"/>
          <w:szCs w:val="20"/>
        </w:rPr>
        <w:t>–</w:t>
      </w:r>
      <w:r w:rsidRPr="00A07F29">
        <w:rPr>
          <w:rFonts w:ascii="Times New Roman" w:eastAsia="Calibri" w:hAnsi="Times New Roman" w:cs="Times New Roman"/>
          <w:sz w:val="20"/>
          <w:szCs w:val="20"/>
        </w:rPr>
        <w:t xml:space="preserve"> vidēja nozīme/ietekme (vidēja tieša vai tūlītēja iedarbība, galvenokārt netieša ietekme un/vai iedarbība, kas skar ierobežotu apgabalu/tikai reģionāli); </w:t>
      </w:r>
      <w:r w:rsidRPr="00A07F29">
        <w:rPr>
          <w:rFonts w:ascii="Times New Roman" w:eastAsia="Calibri" w:hAnsi="Times New Roman" w:cs="Times New Roman"/>
          <w:b/>
          <w:bCs/>
          <w:sz w:val="20"/>
          <w:szCs w:val="20"/>
        </w:rPr>
        <w:t>L</w:t>
      </w:r>
      <w:r w:rsidRPr="00A07F29">
        <w:rPr>
          <w:rFonts w:ascii="Times New Roman" w:eastAsia="Calibri" w:hAnsi="Times New Roman" w:cs="Times New Roman"/>
          <w:sz w:val="20"/>
          <w:szCs w:val="20"/>
        </w:rPr>
        <w:t xml:space="preserve"> </w:t>
      </w:r>
      <w:r w:rsidR="006C0620" w:rsidRPr="00A07F29">
        <w:rPr>
          <w:rFonts w:ascii="Times New Roman" w:eastAsia="Calibri" w:hAnsi="Times New Roman" w:cs="Times New Roman"/>
          <w:sz w:val="20"/>
          <w:szCs w:val="20"/>
        </w:rPr>
        <w:t>–</w:t>
      </w:r>
      <w:r w:rsidRPr="00A07F29">
        <w:rPr>
          <w:rFonts w:ascii="Times New Roman" w:eastAsia="Calibri" w:hAnsi="Times New Roman" w:cs="Times New Roman"/>
          <w:sz w:val="20"/>
          <w:szCs w:val="20"/>
        </w:rPr>
        <w:t xml:space="preserve"> maza nozīme/ietekme (neliela tieša vai tūlītēja iedarbība, netieša ietekme un/vai iedarbība, kas skar nelielu apgabala daļu/tikai lokāli). </w:t>
      </w:r>
      <w:r w:rsidRPr="00A07F29">
        <w:rPr>
          <w:rFonts w:ascii="Times New Roman" w:eastAsia="Times New Roman" w:hAnsi="Times New Roman" w:cs="Times New Roman"/>
          <w:b/>
          <w:bCs/>
          <w:i/>
          <w:iCs/>
          <w:sz w:val="20"/>
          <w:szCs w:val="20"/>
          <w:lang w:eastAsia="lv-LV"/>
        </w:rPr>
        <w:t>Piesārņojuma kods</w:t>
      </w:r>
      <w:r w:rsidRPr="00A07F29">
        <w:rPr>
          <w:rFonts w:ascii="Times New Roman" w:eastAsia="Times New Roman" w:hAnsi="Times New Roman" w:cs="Times New Roman"/>
          <w:b/>
          <w:bCs/>
          <w:sz w:val="20"/>
          <w:szCs w:val="20"/>
          <w:lang w:eastAsia="lv-LV"/>
        </w:rPr>
        <w:t>:</w:t>
      </w:r>
      <w:r w:rsidRPr="00A07F29">
        <w:rPr>
          <w:rFonts w:ascii="Times New Roman" w:eastAsia="Times New Roman" w:hAnsi="Times New Roman" w:cs="Times New Roman"/>
          <w:sz w:val="20"/>
          <w:szCs w:val="20"/>
          <w:lang w:eastAsia="lv-LV"/>
        </w:rPr>
        <w:t xml:space="preserve"> </w:t>
      </w:r>
      <w:r w:rsidRPr="00A07F29">
        <w:rPr>
          <w:rFonts w:ascii="Times New Roman" w:eastAsia="Times New Roman" w:hAnsi="Times New Roman" w:cs="Times New Roman"/>
          <w:b/>
          <w:bCs/>
          <w:sz w:val="20"/>
          <w:szCs w:val="20"/>
          <w:lang w:eastAsia="lv-LV"/>
        </w:rPr>
        <w:t>N</w:t>
      </w:r>
      <w:r w:rsidRPr="00A07F29">
        <w:rPr>
          <w:rFonts w:ascii="Times New Roman" w:eastAsia="Times New Roman" w:hAnsi="Times New Roman" w:cs="Times New Roman"/>
          <w:sz w:val="20"/>
          <w:szCs w:val="20"/>
          <w:lang w:eastAsia="lv-LV"/>
        </w:rPr>
        <w:t xml:space="preserve"> </w:t>
      </w:r>
      <w:r w:rsidR="006C0620" w:rsidRPr="00A07F29">
        <w:rPr>
          <w:rFonts w:ascii="Times New Roman" w:eastAsia="Times New Roman" w:hAnsi="Times New Roman" w:cs="Times New Roman"/>
          <w:sz w:val="20"/>
          <w:szCs w:val="20"/>
          <w:lang w:eastAsia="lv-LV"/>
        </w:rPr>
        <w:t>–</w:t>
      </w:r>
      <w:r w:rsidRPr="00A07F29">
        <w:rPr>
          <w:rFonts w:ascii="Times New Roman" w:eastAsia="Times New Roman" w:hAnsi="Times New Roman" w:cs="Times New Roman"/>
          <w:sz w:val="20"/>
          <w:szCs w:val="20"/>
          <w:lang w:eastAsia="lv-LV"/>
        </w:rPr>
        <w:t xml:space="preserve"> slāpekļa ienese; </w:t>
      </w:r>
      <w:r w:rsidRPr="00A07F29">
        <w:rPr>
          <w:rFonts w:ascii="Times New Roman" w:eastAsia="Times New Roman" w:hAnsi="Times New Roman" w:cs="Times New Roman"/>
          <w:b/>
          <w:bCs/>
          <w:sz w:val="20"/>
          <w:szCs w:val="20"/>
          <w:lang w:eastAsia="lv-LV"/>
        </w:rPr>
        <w:t>P</w:t>
      </w:r>
      <w:r w:rsidRPr="00A07F29">
        <w:rPr>
          <w:rFonts w:ascii="Times New Roman" w:eastAsia="Times New Roman" w:hAnsi="Times New Roman" w:cs="Times New Roman"/>
          <w:sz w:val="20"/>
          <w:szCs w:val="20"/>
          <w:lang w:eastAsia="lv-LV"/>
        </w:rPr>
        <w:t xml:space="preserve"> </w:t>
      </w:r>
      <w:r w:rsidR="006C0620" w:rsidRPr="00A07F29">
        <w:rPr>
          <w:rFonts w:ascii="Times New Roman" w:eastAsia="Times New Roman" w:hAnsi="Times New Roman" w:cs="Times New Roman"/>
          <w:sz w:val="20"/>
          <w:szCs w:val="20"/>
          <w:lang w:eastAsia="lv-LV"/>
        </w:rPr>
        <w:t>–</w:t>
      </w:r>
      <w:r w:rsidRPr="00A07F29">
        <w:rPr>
          <w:rFonts w:ascii="Times New Roman" w:eastAsia="Times New Roman" w:hAnsi="Times New Roman" w:cs="Times New Roman"/>
          <w:sz w:val="20"/>
          <w:szCs w:val="20"/>
          <w:lang w:eastAsia="lv-LV"/>
        </w:rPr>
        <w:t xml:space="preserve"> fosfora/fosfātu ienese; </w:t>
      </w:r>
      <w:r w:rsidRPr="00A07F29">
        <w:rPr>
          <w:rFonts w:ascii="Times New Roman" w:eastAsia="Times New Roman" w:hAnsi="Times New Roman" w:cs="Times New Roman"/>
          <w:b/>
          <w:bCs/>
          <w:sz w:val="20"/>
          <w:szCs w:val="20"/>
          <w:lang w:eastAsia="lv-LV"/>
        </w:rPr>
        <w:t>A</w:t>
      </w:r>
      <w:r w:rsidRPr="00A07F29">
        <w:rPr>
          <w:rFonts w:ascii="Times New Roman" w:eastAsia="Times New Roman" w:hAnsi="Times New Roman" w:cs="Times New Roman"/>
          <w:sz w:val="20"/>
          <w:szCs w:val="20"/>
          <w:lang w:eastAsia="lv-LV"/>
        </w:rPr>
        <w:t xml:space="preserve"> </w:t>
      </w:r>
      <w:r w:rsidR="006C0620" w:rsidRPr="00A07F29">
        <w:rPr>
          <w:rFonts w:ascii="Times New Roman" w:eastAsia="Times New Roman" w:hAnsi="Times New Roman" w:cs="Times New Roman"/>
          <w:sz w:val="20"/>
          <w:szCs w:val="20"/>
          <w:lang w:eastAsia="lv-LV"/>
        </w:rPr>
        <w:t>–</w:t>
      </w:r>
      <w:r w:rsidRPr="00A07F29">
        <w:rPr>
          <w:rFonts w:ascii="Times New Roman" w:eastAsia="Times New Roman" w:hAnsi="Times New Roman" w:cs="Times New Roman"/>
          <w:sz w:val="20"/>
          <w:szCs w:val="20"/>
          <w:lang w:eastAsia="lv-LV"/>
        </w:rPr>
        <w:t xml:space="preserve"> skābju ienese/paskābināšanās; </w:t>
      </w:r>
      <w:r w:rsidRPr="00A07F29">
        <w:rPr>
          <w:rFonts w:ascii="Times New Roman" w:eastAsia="Times New Roman" w:hAnsi="Times New Roman" w:cs="Times New Roman"/>
          <w:b/>
          <w:bCs/>
          <w:sz w:val="20"/>
          <w:szCs w:val="20"/>
          <w:lang w:eastAsia="lv-LV"/>
        </w:rPr>
        <w:t>T</w:t>
      </w:r>
      <w:r w:rsidRPr="00A07F29">
        <w:rPr>
          <w:rFonts w:ascii="Times New Roman" w:eastAsia="Times New Roman" w:hAnsi="Times New Roman" w:cs="Times New Roman"/>
          <w:sz w:val="20"/>
          <w:szCs w:val="20"/>
          <w:lang w:eastAsia="lv-LV"/>
        </w:rPr>
        <w:t xml:space="preserve"> </w:t>
      </w:r>
      <w:r w:rsidR="006C0620" w:rsidRPr="00A07F29">
        <w:rPr>
          <w:rFonts w:ascii="Times New Roman" w:eastAsia="Times New Roman" w:hAnsi="Times New Roman" w:cs="Times New Roman"/>
          <w:sz w:val="20"/>
          <w:szCs w:val="20"/>
          <w:lang w:eastAsia="lv-LV"/>
        </w:rPr>
        <w:t>–</w:t>
      </w:r>
      <w:r w:rsidRPr="00A07F29">
        <w:rPr>
          <w:rFonts w:ascii="Times New Roman" w:eastAsia="Times New Roman" w:hAnsi="Times New Roman" w:cs="Times New Roman"/>
          <w:sz w:val="20"/>
          <w:szCs w:val="20"/>
          <w:lang w:eastAsia="lv-LV"/>
        </w:rPr>
        <w:t xml:space="preserve"> toksiskas neorganiskās ķīmiskās vielas; </w:t>
      </w:r>
      <w:r w:rsidRPr="00A07F29">
        <w:rPr>
          <w:rFonts w:ascii="Times New Roman" w:eastAsia="Times New Roman" w:hAnsi="Times New Roman" w:cs="Times New Roman"/>
          <w:b/>
          <w:bCs/>
          <w:sz w:val="20"/>
          <w:szCs w:val="20"/>
          <w:lang w:eastAsia="lv-LV"/>
        </w:rPr>
        <w:t>O</w:t>
      </w:r>
      <w:r w:rsidRPr="00A07F29">
        <w:rPr>
          <w:rFonts w:ascii="Times New Roman" w:eastAsia="Times New Roman" w:hAnsi="Times New Roman" w:cs="Times New Roman"/>
          <w:sz w:val="20"/>
          <w:szCs w:val="20"/>
          <w:lang w:eastAsia="lv-LV"/>
        </w:rPr>
        <w:t xml:space="preserve"> </w:t>
      </w:r>
      <w:r w:rsidR="006C0620" w:rsidRPr="00A07F29">
        <w:rPr>
          <w:rFonts w:ascii="Times New Roman" w:eastAsia="Times New Roman" w:hAnsi="Times New Roman" w:cs="Times New Roman"/>
          <w:sz w:val="20"/>
          <w:szCs w:val="20"/>
          <w:lang w:eastAsia="lv-LV"/>
        </w:rPr>
        <w:t>–</w:t>
      </w:r>
      <w:r w:rsidRPr="00A07F29">
        <w:rPr>
          <w:rFonts w:ascii="Times New Roman" w:eastAsia="Times New Roman" w:hAnsi="Times New Roman" w:cs="Times New Roman"/>
          <w:sz w:val="20"/>
          <w:szCs w:val="20"/>
          <w:lang w:eastAsia="lv-LV"/>
        </w:rPr>
        <w:t xml:space="preserve"> toksiskas organiskās ķīmiskās vielas; </w:t>
      </w:r>
      <w:r w:rsidRPr="00A07F29">
        <w:rPr>
          <w:rFonts w:ascii="Times New Roman" w:eastAsia="Times New Roman" w:hAnsi="Times New Roman" w:cs="Times New Roman"/>
          <w:b/>
          <w:bCs/>
          <w:sz w:val="20"/>
          <w:szCs w:val="20"/>
          <w:lang w:eastAsia="lv-LV"/>
        </w:rPr>
        <w:t xml:space="preserve">X </w:t>
      </w:r>
      <w:r w:rsidR="006C0620" w:rsidRPr="00A07F29">
        <w:rPr>
          <w:rFonts w:ascii="Times New Roman" w:eastAsia="Times New Roman" w:hAnsi="Times New Roman" w:cs="Times New Roman"/>
          <w:sz w:val="20"/>
          <w:szCs w:val="20"/>
          <w:lang w:eastAsia="lv-LV"/>
        </w:rPr>
        <w:t>–</w:t>
      </w:r>
      <w:r w:rsidRPr="00A07F29">
        <w:rPr>
          <w:rFonts w:ascii="Times New Roman" w:eastAsia="Times New Roman" w:hAnsi="Times New Roman" w:cs="Times New Roman"/>
          <w:sz w:val="20"/>
          <w:szCs w:val="20"/>
          <w:lang w:eastAsia="lv-LV"/>
        </w:rPr>
        <w:t xml:space="preserve"> jaukts piesārņojums</w:t>
      </w:r>
      <w:r w:rsidRPr="00A07F29">
        <w:rPr>
          <w:rFonts w:ascii="Times New Roman" w:eastAsia="Calibri" w:hAnsi="Times New Roman" w:cs="Times New Roman"/>
          <w:sz w:val="20"/>
          <w:szCs w:val="20"/>
        </w:rPr>
        <w:t xml:space="preserve">. </w:t>
      </w:r>
      <w:r w:rsidRPr="00A07F29">
        <w:rPr>
          <w:rFonts w:ascii="Times New Roman" w:eastAsia="Times New Roman" w:hAnsi="Times New Roman" w:cs="Times New Roman"/>
          <w:b/>
          <w:bCs/>
          <w:i/>
          <w:iCs/>
          <w:sz w:val="20"/>
          <w:szCs w:val="20"/>
          <w:lang w:eastAsia="lv-LV"/>
        </w:rPr>
        <w:t>Ietekmes vieta:</w:t>
      </w:r>
      <w:r w:rsidRPr="00A07F29">
        <w:rPr>
          <w:rFonts w:ascii="Times New Roman" w:eastAsia="Times New Roman" w:hAnsi="Times New Roman" w:cs="Times New Roman"/>
          <w:i/>
          <w:iCs/>
          <w:sz w:val="20"/>
          <w:szCs w:val="20"/>
          <w:lang w:eastAsia="lv-LV"/>
        </w:rPr>
        <w:t xml:space="preserve"> </w:t>
      </w:r>
      <w:r w:rsidRPr="00A07F29">
        <w:rPr>
          <w:rFonts w:ascii="Times New Roman" w:eastAsia="Times New Roman" w:hAnsi="Times New Roman" w:cs="Times New Roman"/>
          <w:b/>
          <w:bCs/>
          <w:sz w:val="20"/>
          <w:szCs w:val="20"/>
          <w:lang w:eastAsia="lv-LV"/>
        </w:rPr>
        <w:t>i</w:t>
      </w:r>
      <w:r w:rsidRPr="00A07F29">
        <w:rPr>
          <w:rFonts w:ascii="Times New Roman" w:eastAsia="Times New Roman" w:hAnsi="Times New Roman" w:cs="Times New Roman"/>
          <w:sz w:val="20"/>
          <w:szCs w:val="20"/>
          <w:lang w:eastAsia="lv-LV"/>
        </w:rPr>
        <w:t xml:space="preserve"> – teritorijā; </w:t>
      </w:r>
      <w:r w:rsidRPr="00A07F29">
        <w:rPr>
          <w:rFonts w:ascii="Times New Roman" w:eastAsia="Times New Roman" w:hAnsi="Times New Roman" w:cs="Times New Roman"/>
          <w:b/>
          <w:bCs/>
          <w:sz w:val="20"/>
          <w:szCs w:val="20"/>
          <w:lang w:eastAsia="lv-LV"/>
        </w:rPr>
        <w:t>o</w:t>
      </w:r>
      <w:r w:rsidRPr="00A07F29">
        <w:rPr>
          <w:rFonts w:ascii="Times New Roman" w:eastAsia="Times New Roman" w:hAnsi="Times New Roman" w:cs="Times New Roman"/>
          <w:sz w:val="20"/>
          <w:szCs w:val="20"/>
          <w:lang w:eastAsia="lv-LV"/>
        </w:rPr>
        <w:t xml:space="preserve"> – ārpus teritorijas; </w:t>
      </w:r>
      <w:r w:rsidRPr="00A07F29">
        <w:rPr>
          <w:rFonts w:ascii="Times New Roman" w:eastAsia="Times New Roman" w:hAnsi="Times New Roman" w:cs="Times New Roman"/>
          <w:b/>
          <w:bCs/>
          <w:sz w:val="20"/>
          <w:szCs w:val="20"/>
          <w:lang w:eastAsia="lv-LV"/>
        </w:rPr>
        <w:t>b</w:t>
      </w:r>
      <w:r w:rsidRPr="00A07F29">
        <w:rPr>
          <w:rFonts w:ascii="Times New Roman" w:eastAsia="Times New Roman" w:hAnsi="Times New Roman" w:cs="Times New Roman"/>
          <w:sz w:val="20"/>
          <w:szCs w:val="20"/>
          <w:lang w:eastAsia="lv-LV"/>
        </w:rPr>
        <w:t xml:space="preserve"> – teritorijā un ārpus teritorijas.</w:t>
      </w:r>
    </w:p>
    <w:tbl>
      <w:tblPr>
        <w:tblStyle w:val="TableGrid"/>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8079"/>
      </w:tblGrid>
      <w:tr w:rsidR="004854C5" w:rsidRPr="00A07F29" w14:paraId="4BB4E71E" w14:textId="3AF148A5" w:rsidTr="005510C6">
        <w:trPr>
          <w:trHeight w:val="264"/>
        </w:trPr>
        <w:tc>
          <w:tcPr>
            <w:tcW w:w="988" w:type="dxa"/>
            <w:shd w:val="clear" w:color="auto" w:fill="FFC000"/>
          </w:tcPr>
          <w:p w14:paraId="25DDDEB1" w14:textId="77777777" w:rsidR="004854C5" w:rsidRPr="00A07F29" w:rsidRDefault="004854C5" w:rsidP="00001788">
            <w:pPr>
              <w:widowControl w:val="0"/>
              <w:jc w:val="both"/>
              <w:rPr>
                <w:rFonts w:ascii="Times New Roman" w:eastAsia="Calibri" w:hAnsi="Times New Roman" w:cs="Times New Roman"/>
                <w:b/>
                <w:sz w:val="20"/>
                <w:szCs w:val="20"/>
                <w:u w:val="single"/>
              </w:rPr>
            </w:pPr>
          </w:p>
        </w:tc>
        <w:tc>
          <w:tcPr>
            <w:tcW w:w="8079" w:type="dxa"/>
          </w:tcPr>
          <w:p w14:paraId="557CA6A6" w14:textId="6A536624" w:rsidR="004854C5" w:rsidRPr="00A07F29" w:rsidRDefault="00D32AD8" w:rsidP="00D32AD8">
            <w:pPr>
              <w:widowControl w:val="0"/>
              <w:jc w:val="both"/>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DA plānā ieteiktās i</w:t>
            </w:r>
            <w:r w:rsidR="004854C5" w:rsidRPr="00A07F29">
              <w:rPr>
                <w:rFonts w:ascii="Times New Roman" w:eastAsia="Calibri" w:hAnsi="Times New Roman" w:cs="Times New Roman"/>
                <w:bCs/>
                <w:sz w:val="20"/>
                <w:szCs w:val="20"/>
              </w:rPr>
              <w:t xml:space="preserve">zmaiņas </w:t>
            </w:r>
            <w:proofErr w:type="spellStart"/>
            <w:r w:rsidR="004854C5" w:rsidRPr="00A07F29">
              <w:rPr>
                <w:rFonts w:ascii="Times New Roman" w:eastAsia="Calibri" w:hAnsi="Times New Roman" w:cs="Times New Roman"/>
                <w:bCs/>
                <w:i/>
                <w:sz w:val="20"/>
                <w:szCs w:val="20"/>
              </w:rPr>
              <w:t>Natura</w:t>
            </w:r>
            <w:proofErr w:type="spellEnd"/>
            <w:r w:rsidR="004854C5" w:rsidRPr="00A07F29">
              <w:rPr>
                <w:rFonts w:ascii="Times New Roman" w:eastAsia="Calibri" w:hAnsi="Times New Roman" w:cs="Times New Roman"/>
                <w:bCs/>
                <w:i/>
                <w:sz w:val="20"/>
                <w:szCs w:val="20"/>
              </w:rPr>
              <w:t xml:space="preserve"> 2000</w:t>
            </w:r>
            <w:r w:rsidR="004854C5" w:rsidRPr="00A07F29">
              <w:rPr>
                <w:rFonts w:ascii="Times New Roman" w:eastAsia="Calibri" w:hAnsi="Times New Roman" w:cs="Times New Roman"/>
                <w:bCs/>
                <w:sz w:val="20"/>
                <w:szCs w:val="20"/>
              </w:rPr>
              <w:t xml:space="preserve"> SDF</w:t>
            </w:r>
            <w:r w:rsidR="0041419C" w:rsidRPr="00A07F29">
              <w:rPr>
                <w:rFonts w:ascii="Times New Roman" w:eastAsia="Calibri" w:hAnsi="Times New Roman" w:cs="Times New Roman"/>
                <w:bCs/>
                <w:sz w:val="20"/>
                <w:szCs w:val="20"/>
              </w:rPr>
              <w:t xml:space="preserve"> (</w:t>
            </w:r>
            <w:r w:rsidR="00C926F7" w:rsidRPr="00A07F29">
              <w:rPr>
                <w:rFonts w:ascii="Times New Roman" w:eastAsia="Calibri" w:hAnsi="Times New Roman" w:cs="Times New Roman"/>
                <w:bCs/>
                <w:sz w:val="20"/>
                <w:szCs w:val="20"/>
              </w:rPr>
              <w:t xml:space="preserve">uz </w:t>
            </w:r>
            <w:r w:rsidRPr="00A07F29">
              <w:rPr>
                <w:rFonts w:ascii="Times New Roman" w:eastAsia="Calibri" w:hAnsi="Times New Roman" w:cs="Times New Roman"/>
                <w:bCs/>
                <w:sz w:val="20"/>
                <w:szCs w:val="20"/>
              </w:rPr>
              <w:t>09</w:t>
            </w:r>
            <w:r w:rsidR="0041419C" w:rsidRPr="00A07F29">
              <w:rPr>
                <w:rFonts w:ascii="Times New Roman" w:eastAsia="Calibri" w:hAnsi="Times New Roman" w:cs="Times New Roman"/>
                <w:bCs/>
                <w:sz w:val="20"/>
                <w:szCs w:val="20"/>
              </w:rPr>
              <w:t>.</w:t>
            </w:r>
            <w:r w:rsidRPr="00A07F29">
              <w:rPr>
                <w:rFonts w:ascii="Times New Roman" w:eastAsia="Calibri" w:hAnsi="Times New Roman" w:cs="Times New Roman"/>
                <w:bCs/>
                <w:sz w:val="20"/>
                <w:szCs w:val="20"/>
              </w:rPr>
              <w:t>12</w:t>
            </w:r>
            <w:r w:rsidR="0041419C" w:rsidRPr="00A07F29">
              <w:rPr>
                <w:rFonts w:ascii="Times New Roman" w:eastAsia="Calibri" w:hAnsi="Times New Roman" w:cs="Times New Roman"/>
                <w:bCs/>
                <w:sz w:val="20"/>
                <w:szCs w:val="20"/>
              </w:rPr>
              <w:t>.202</w:t>
            </w:r>
            <w:r w:rsidRPr="00A07F29">
              <w:rPr>
                <w:rFonts w:ascii="Times New Roman" w:eastAsia="Calibri" w:hAnsi="Times New Roman" w:cs="Times New Roman"/>
                <w:bCs/>
                <w:sz w:val="20"/>
                <w:szCs w:val="20"/>
              </w:rPr>
              <w:t>1</w:t>
            </w:r>
            <w:r w:rsidR="0041419C" w:rsidRPr="00A07F29">
              <w:rPr>
                <w:rFonts w:ascii="Times New Roman" w:eastAsia="Calibri" w:hAnsi="Times New Roman" w:cs="Times New Roman"/>
                <w:bCs/>
                <w:sz w:val="20"/>
                <w:szCs w:val="20"/>
              </w:rPr>
              <w:t>.)</w:t>
            </w:r>
          </w:p>
        </w:tc>
      </w:tr>
    </w:tbl>
    <w:p w14:paraId="21BC4B63" w14:textId="77777777" w:rsidR="00413446" w:rsidRPr="00A07F29" w:rsidRDefault="00413446" w:rsidP="009072CE">
      <w:pPr>
        <w:spacing w:after="120"/>
        <w:ind w:firstLine="851"/>
        <w:jc w:val="both"/>
        <w:rPr>
          <w:rFonts w:ascii="Times New Roman" w:eastAsia="Calibri" w:hAnsi="Times New Roman" w:cs="Calibri"/>
          <w:sz w:val="24"/>
          <w:lang w:eastAsia="ja-JP"/>
        </w:rPr>
        <w:sectPr w:rsidR="00413446" w:rsidRPr="00A07F29" w:rsidSect="00413446">
          <w:pgSz w:w="16838" w:h="11906" w:orient="landscape"/>
          <w:pgMar w:top="1440" w:right="1440" w:bottom="1440" w:left="1276" w:header="709" w:footer="709" w:gutter="0"/>
          <w:cols w:space="708"/>
          <w:docGrid w:linePitch="360"/>
        </w:sectPr>
      </w:pPr>
    </w:p>
    <w:p w14:paraId="18C45D05" w14:textId="0DCFCC78" w:rsidR="009072CE" w:rsidRPr="00A07F29" w:rsidRDefault="009072CE" w:rsidP="004628A8">
      <w:pPr>
        <w:pStyle w:val="Heading1"/>
        <w:pageBreakBefore/>
        <w:spacing w:before="0" w:after="240" w:line="240" w:lineRule="auto"/>
        <w:jc w:val="center"/>
        <w:rPr>
          <w:rFonts w:ascii="Times New Roman" w:eastAsia="Times New Roman" w:hAnsi="Times New Roman" w:cs="Times New Roman"/>
          <w:b w:val="0"/>
          <w:bCs w:val="0"/>
          <w:color w:val="auto"/>
          <w:lang w:eastAsia="ja-JP"/>
        </w:rPr>
      </w:pPr>
      <w:bookmarkStart w:id="46" w:name="_Toc183433994"/>
      <w:r w:rsidRPr="00A07F29">
        <w:rPr>
          <w:rFonts w:ascii="Times New Roman" w:eastAsia="Times New Roman" w:hAnsi="Times New Roman" w:cs="Times New Roman"/>
          <w:color w:val="auto"/>
          <w:lang w:eastAsia="ja-JP"/>
        </w:rPr>
        <w:lastRenderedPageBreak/>
        <w:t>4. TERITORIJAS NOVĒRTĒJUMS</w:t>
      </w:r>
      <w:bookmarkEnd w:id="46"/>
    </w:p>
    <w:p w14:paraId="40313CE4" w14:textId="2E4A6EFC" w:rsidR="009072CE" w:rsidRPr="00A07F29" w:rsidRDefault="009072CE" w:rsidP="009664D1">
      <w:pPr>
        <w:pStyle w:val="Heading2"/>
        <w:spacing w:before="120" w:after="240"/>
        <w:ind w:firstLine="0"/>
        <w:jc w:val="center"/>
        <w:rPr>
          <w:rFonts w:ascii="Times New Roman" w:hAnsi="Times New Roman"/>
          <w:b w:val="0"/>
          <w:iCs w:val="0"/>
        </w:rPr>
      </w:pPr>
      <w:bookmarkStart w:id="47" w:name="_Toc183433995"/>
      <w:r w:rsidRPr="00A07F29">
        <w:rPr>
          <w:rFonts w:ascii="Times New Roman" w:hAnsi="Times New Roman"/>
          <w:i w:val="0"/>
        </w:rPr>
        <w:t xml:space="preserve">4.1. Aizsargājamā teritorija kā vienota dabas aizsardzības vērtība un faktori, kas to ietekmē, tai skaitā iespējamo draudu </w:t>
      </w:r>
      <w:proofErr w:type="spellStart"/>
      <w:r w:rsidRPr="00A07F29">
        <w:rPr>
          <w:rFonts w:ascii="Times New Roman" w:hAnsi="Times New Roman"/>
          <w:i w:val="0"/>
        </w:rPr>
        <w:t>izvērtējums</w:t>
      </w:r>
      <w:bookmarkEnd w:id="47"/>
      <w:proofErr w:type="spellEnd"/>
    </w:p>
    <w:p w14:paraId="13F3E9C2" w14:textId="7E046BAE" w:rsidR="003D10E4" w:rsidRPr="00A07F29" w:rsidRDefault="009664D1" w:rsidP="00CA6A29">
      <w:pPr>
        <w:spacing w:after="120" w:line="240" w:lineRule="auto"/>
        <w:ind w:firstLine="851"/>
        <w:jc w:val="both"/>
        <w:rPr>
          <w:rFonts w:ascii="Times New Roman" w:eastAsia="Calibri" w:hAnsi="Times New Roman" w:cs="Calibri"/>
          <w:sz w:val="24"/>
          <w:szCs w:val="24"/>
          <w:lang w:eastAsia="ja-JP"/>
        </w:rPr>
      </w:pPr>
      <w:r w:rsidRPr="00A07F29">
        <w:rPr>
          <w:rFonts w:ascii="Times New Roman" w:eastAsia="Calibri" w:hAnsi="Times New Roman" w:cs="Calibri"/>
          <w:sz w:val="24"/>
          <w:szCs w:val="24"/>
          <w:lang w:eastAsia="ja-JP"/>
        </w:rPr>
        <w:t xml:space="preserve">AAA </w:t>
      </w:r>
      <w:r w:rsidR="00D26107" w:rsidRPr="00A07F29">
        <w:rPr>
          <w:rFonts w:ascii="Times New Roman" w:eastAsia="Calibri" w:hAnsi="Times New Roman" w:cs="Calibri"/>
          <w:sz w:val="24"/>
          <w:szCs w:val="24"/>
          <w:lang w:eastAsia="ja-JP"/>
        </w:rPr>
        <w:t>“</w:t>
      </w:r>
      <w:r w:rsidRPr="00A07F29">
        <w:rPr>
          <w:rFonts w:ascii="Times New Roman" w:eastAsia="Calibri" w:hAnsi="Times New Roman" w:cs="Calibri"/>
          <w:sz w:val="24"/>
          <w:szCs w:val="24"/>
          <w:lang w:eastAsia="ja-JP"/>
        </w:rPr>
        <w:t xml:space="preserve">Augšdaugava” ietver Latvijas teritorijā ģeoloģiski vecāko un savdabīgāko Daugavas </w:t>
      </w:r>
      <w:proofErr w:type="spellStart"/>
      <w:r w:rsidRPr="00A07F29">
        <w:rPr>
          <w:rFonts w:ascii="Times New Roman" w:eastAsia="Calibri" w:hAnsi="Times New Roman" w:cs="Calibri"/>
          <w:sz w:val="24"/>
          <w:szCs w:val="24"/>
          <w:lang w:eastAsia="ja-JP"/>
        </w:rPr>
        <w:t>senielejas</w:t>
      </w:r>
      <w:proofErr w:type="spellEnd"/>
      <w:r w:rsidRPr="00A07F29">
        <w:rPr>
          <w:rFonts w:ascii="Times New Roman" w:eastAsia="Calibri" w:hAnsi="Times New Roman" w:cs="Calibri"/>
          <w:sz w:val="24"/>
          <w:szCs w:val="24"/>
          <w:lang w:eastAsia="ja-JP"/>
        </w:rPr>
        <w:t xml:space="preserve"> posmu</w:t>
      </w:r>
      <w:r w:rsidR="00B102D6" w:rsidRPr="00A07F29">
        <w:rPr>
          <w:rFonts w:ascii="Times New Roman" w:eastAsia="Calibri" w:hAnsi="Times New Roman" w:cs="Calibri"/>
          <w:sz w:val="24"/>
          <w:szCs w:val="24"/>
          <w:lang w:eastAsia="ja-JP"/>
        </w:rPr>
        <w:t xml:space="preserve"> un tai piegulošās teritorijas kā vienotu</w:t>
      </w:r>
      <w:r w:rsidR="000E4AE5" w:rsidRPr="00A07F29">
        <w:rPr>
          <w:rFonts w:ascii="Times New Roman" w:eastAsia="Calibri" w:hAnsi="Times New Roman" w:cs="Calibri"/>
          <w:sz w:val="24"/>
          <w:szCs w:val="24"/>
          <w:lang w:eastAsia="ja-JP"/>
        </w:rPr>
        <w:t>,</w:t>
      </w:r>
      <w:r w:rsidR="00B102D6" w:rsidRPr="00A07F29">
        <w:rPr>
          <w:rFonts w:ascii="Times New Roman" w:eastAsia="Calibri" w:hAnsi="Times New Roman" w:cs="Calibri"/>
          <w:sz w:val="24"/>
          <w:szCs w:val="24"/>
          <w:lang w:eastAsia="ja-JP"/>
        </w:rPr>
        <w:t xml:space="preserve"> reģionam r</w:t>
      </w:r>
      <w:r w:rsidR="00E72FF5" w:rsidRPr="00A07F29">
        <w:rPr>
          <w:rFonts w:ascii="Times New Roman" w:eastAsia="Calibri" w:hAnsi="Times New Roman" w:cs="Calibri"/>
          <w:sz w:val="24"/>
          <w:szCs w:val="24"/>
          <w:lang w:eastAsia="ja-JP"/>
        </w:rPr>
        <w:t>akst</w:t>
      </w:r>
      <w:r w:rsidR="000E4AE5" w:rsidRPr="00A07F29">
        <w:rPr>
          <w:rFonts w:ascii="Times New Roman" w:eastAsia="Calibri" w:hAnsi="Times New Roman" w:cs="Calibri"/>
          <w:sz w:val="24"/>
          <w:szCs w:val="24"/>
          <w:lang w:eastAsia="ja-JP"/>
        </w:rPr>
        <w:t>urīgu dabas un kultūrainavu.</w:t>
      </w:r>
      <w:r w:rsidR="00A833F6" w:rsidRPr="00A07F29">
        <w:rPr>
          <w:rFonts w:ascii="Times New Roman" w:eastAsia="Calibri" w:hAnsi="Times New Roman" w:cs="Calibri"/>
          <w:sz w:val="24"/>
          <w:szCs w:val="24"/>
          <w:lang w:eastAsia="ja-JP"/>
        </w:rPr>
        <w:t xml:space="preserve"> 2011. gada 25. februārī AAA </w:t>
      </w:r>
      <w:r w:rsidR="00F11148" w:rsidRPr="00A07F29">
        <w:rPr>
          <w:rFonts w:ascii="Times New Roman" w:eastAsia="Calibri" w:hAnsi="Times New Roman" w:cs="Calibri"/>
          <w:sz w:val="24"/>
          <w:szCs w:val="24"/>
          <w:lang w:eastAsia="ja-JP"/>
        </w:rPr>
        <w:t>“</w:t>
      </w:r>
      <w:r w:rsidR="00A833F6" w:rsidRPr="00A07F29">
        <w:rPr>
          <w:rFonts w:ascii="Times New Roman" w:eastAsia="Calibri" w:hAnsi="Times New Roman" w:cs="Calibri"/>
          <w:sz w:val="24"/>
          <w:szCs w:val="24"/>
          <w:lang w:eastAsia="ja-JP"/>
        </w:rPr>
        <w:t>Augšdaugava” tika iekļauts UNESCO Pasaules mantojuma Latvijas nacionālajā sarakstā.</w:t>
      </w:r>
    </w:p>
    <w:p w14:paraId="65BE7FAA" w14:textId="0C62F73B" w:rsidR="003D10E4" w:rsidRPr="00A07F29" w:rsidRDefault="00B102D6" w:rsidP="00CA6A29">
      <w:pPr>
        <w:spacing w:after="120" w:line="240" w:lineRule="auto"/>
        <w:ind w:firstLine="851"/>
        <w:jc w:val="both"/>
        <w:rPr>
          <w:rFonts w:ascii="Times New Roman" w:eastAsia="Calibri" w:hAnsi="Times New Roman" w:cs="Calibri"/>
          <w:sz w:val="24"/>
          <w:szCs w:val="24"/>
          <w:lang w:eastAsia="ja-JP"/>
        </w:rPr>
      </w:pPr>
      <w:r w:rsidRPr="00A07F29">
        <w:rPr>
          <w:rFonts w:ascii="Times New Roman" w:eastAsia="Calibri" w:hAnsi="Times New Roman" w:cs="Calibri"/>
          <w:sz w:val="24"/>
          <w:szCs w:val="24"/>
          <w:lang w:eastAsia="ja-JP"/>
        </w:rPr>
        <w:t xml:space="preserve">AAA </w:t>
      </w:r>
      <w:r w:rsidR="00F11148" w:rsidRPr="00A07F29">
        <w:rPr>
          <w:rFonts w:ascii="Times New Roman" w:eastAsia="Calibri" w:hAnsi="Times New Roman" w:cs="Calibri"/>
          <w:sz w:val="24"/>
          <w:szCs w:val="24"/>
          <w:lang w:eastAsia="ja-JP"/>
        </w:rPr>
        <w:t>“</w:t>
      </w:r>
      <w:r w:rsidRPr="00A07F29">
        <w:rPr>
          <w:rFonts w:ascii="Times New Roman" w:eastAsia="Calibri" w:hAnsi="Times New Roman" w:cs="Calibri"/>
          <w:sz w:val="24"/>
          <w:szCs w:val="24"/>
          <w:lang w:eastAsia="ja-JP"/>
        </w:rPr>
        <w:t xml:space="preserve">Augšdaugava” teritorijā </w:t>
      </w:r>
      <w:r w:rsidR="00A833F6" w:rsidRPr="00A07F29">
        <w:rPr>
          <w:rFonts w:ascii="Times New Roman" w:eastAsia="Calibri" w:hAnsi="Times New Roman" w:cs="Calibri"/>
          <w:sz w:val="24"/>
          <w:szCs w:val="24"/>
          <w:lang w:eastAsia="ja-JP"/>
        </w:rPr>
        <w:t xml:space="preserve">atrodas </w:t>
      </w:r>
      <w:r w:rsidR="003D10E4" w:rsidRPr="00A07F29">
        <w:rPr>
          <w:rFonts w:ascii="Times New Roman" w:eastAsia="Calibri" w:hAnsi="Times New Roman" w:cs="Calibri"/>
          <w:sz w:val="24"/>
          <w:szCs w:val="24"/>
          <w:lang w:eastAsia="ja-JP"/>
        </w:rPr>
        <w:t xml:space="preserve">seši valsts nozīmes ģeoloģiskie un </w:t>
      </w:r>
      <w:proofErr w:type="spellStart"/>
      <w:r w:rsidR="003D10E4" w:rsidRPr="00A07F29">
        <w:rPr>
          <w:rFonts w:ascii="Times New Roman" w:eastAsia="Calibri" w:hAnsi="Times New Roman" w:cs="Calibri"/>
          <w:sz w:val="24"/>
          <w:szCs w:val="24"/>
          <w:lang w:eastAsia="ja-JP"/>
        </w:rPr>
        <w:t>ģeomorfoloģiskie</w:t>
      </w:r>
      <w:proofErr w:type="spellEnd"/>
      <w:r w:rsidR="003D10E4" w:rsidRPr="00A07F29">
        <w:rPr>
          <w:rFonts w:ascii="Times New Roman" w:eastAsia="Calibri" w:hAnsi="Times New Roman" w:cs="Calibri"/>
          <w:sz w:val="24"/>
          <w:szCs w:val="24"/>
          <w:lang w:eastAsia="ja-JP"/>
        </w:rPr>
        <w:t xml:space="preserve"> dabas pieminekļi –</w:t>
      </w:r>
      <w:r w:rsidR="00A833F6" w:rsidRPr="00A07F29">
        <w:rPr>
          <w:rFonts w:ascii="Times New Roman" w:eastAsia="Calibri" w:hAnsi="Times New Roman" w:cs="Calibri"/>
          <w:sz w:val="24"/>
          <w:szCs w:val="24"/>
          <w:lang w:eastAsia="ja-JP"/>
        </w:rPr>
        <w:t xml:space="preserve"> </w:t>
      </w:r>
      <w:proofErr w:type="spellStart"/>
      <w:r w:rsidR="003D10E4" w:rsidRPr="00A07F29">
        <w:rPr>
          <w:rFonts w:ascii="Times New Roman" w:eastAsia="Calibri" w:hAnsi="Times New Roman" w:cs="Calibri"/>
          <w:sz w:val="24"/>
          <w:szCs w:val="24"/>
          <w:lang w:eastAsia="ja-JP"/>
        </w:rPr>
        <w:t>Sandarišķu</w:t>
      </w:r>
      <w:proofErr w:type="spellEnd"/>
      <w:r w:rsidR="003D10E4" w:rsidRPr="00A07F29">
        <w:rPr>
          <w:rFonts w:ascii="Times New Roman" w:eastAsia="Calibri" w:hAnsi="Times New Roman" w:cs="Calibri"/>
          <w:sz w:val="24"/>
          <w:szCs w:val="24"/>
          <w:lang w:eastAsia="ja-JP"/>
        </w:rPr>
        <w:t xml:space="preserve"> </w:t>
      </w:r>
      <w:proofErr w:type="spellStart"/>
      <w:r w:rsidR="003D10E4" w:rsidRPr="00A07F29">
        <w:rPr>
          <w:rFonts w:ascii="Times New Roman" w:eastAsia="Calibri" w:hAnsi="Times New Roman" w:cs="Calibri"/>
          <w:sz w:val="24"/>
          <w:szCs w:val="24"/>
          <w:lang w:eastAsia="ja-JP"/>
        </w:rPr>
        <w:t>karengravas</w:t>
      </w:r>
      <w:proofErr w:type="spellEnd"/>
      <w:r w:rsidR="003D10E4" w:rsidRPr="00A07F29">
        <w:rPr>
          <w:rFonts w:ascii="Times New Roman" w:eastAsia="Calibri" w:hAnsi="Times New Roman" w:cs="Calibri"/>
          <w:sz w:val="24"/>
          <w:szCs w:val="24"/>
          <w:lang w:eastAsia="ja-JP"/>
        </w:rPr>
        <w:t>, Daugavas Vārti (</w:t>
      </w:r>
      <w:proofErr w:type="spellStart"/>
      <w:r w:rsidR="003D10E4" w:rsidRPr="00A07F29">
        <w:rPr>
          <w:rFonts w:ascii="Times New Roman" w:eastAsia="Calibri" w:hAnsi="Times New Roman" w:cs="Calibri"/>
          <w:sz w:val="24"/>
          <w:szCs w:val="24"/>
          <w:lang w:eastAsia="ja-JP"/>
        </w:rPr>
        <w:t>Ververu</w:t>
      </w:r>
      <w:proofErr w:type="spellEnd"/>
      <w:r w:rsidR="003D10E4" w:rsidRPr="00A07F29">
        <w:rPr>
          <w:rFonts w:ascii="Times New Roman" w:eastAsia="Calibri" w:hAnsi="Times New Roman" w:cs="Calibri"/>
          <w:sz w:val="24"/>
          <w:szCs w:val="24"/>
          <w:lang w:eastAsia="ja-JP"/>
        </w:rPr>
        <w:t xml:space="preserve"> un </w:t>
      </w:r>
      <w:proofErr w:type="spellStart"/>
      <w:r w:rsidR="003D10E4" w:rsidRPr="00A07F29">
        <w:rPr>
          <w:rFonts w:ascii="Times New Roman" w:eastAsia="Calibri" w:hAnsi="Times New Roman" w:cs="Calibri"/>
          <w:sz w:val="24"/>
          <w:szCs w:val="24"/>
          <w:lang w:eastAsia="ja-JP"/>
        </w:rPr>
        <w:t>Slutišķu</w:t>
      </w:r>
      <w:proofErr w:type="spellEnd"/>
      <w:r w:rsidR="003D10E4" w:rsidRPr="00A07F29">
        <w:rPr>
          <w:rFonts w:ascii="Times New Roman" w:eastAsia="Calibri" w:hAnsi="Times New Roman" w:cs="Calibri"/>
          <w:sz w:val="24"/>
          <w:szCs w:val="24"/>
          <w:lang w:eastAsia="ja-JP"/>
        </w:rPr>
        <w:t xml:space="preserve"> </w:t>
      </w:r>
      <w:proofErr w:type="spellStart"/>
      <w:r w:rsidR="003D10E4" w:rsidRPr="00A07F29">
        <w:rPr>
          <w:rFonts w:ascii="Times New Roman" w:eastAsia="Calibri" w:hAnsi="Times New Roman" w:cs="Calibri"/>
          <w:sz w:val="24"/>
          <w:szCs w:val="24"/>
          <w:lang w:eastAsia="ja-JP"/>
        </w:rPr>
        <w:t>pamatkrasta</w:t>
      </w:r>
      <w:proofErr w:type="spellEnd"/>
      <w:r w:rsidR="003D10E4" w:rsidRPr="00A07F29">
        <w:rPr>
          <w:rFonts w:ascii="Times New Roman" w:eastAsia="Calibri" w:hAnsi="Times New Roman" w:cs="Calibri"/>
          <w:sz w:val="24"/>
          <w:szCs w:val="24"/>
          <w:lang w:eastAsia="ja-JP"/>
        </w:rPr>
        <w:t xml:space="preserve"> kraujas), </w:t>
      </w:r>
      <w:proofErr w:type="spellStart"/>
      <w:r w:rsidR="003D10E4" w:rsidRPr="00A07F29">
        <w:rPr>
          <w:rFonts w:ascii="Times New Roman" w:eastAsia="Calibri" w:hAnsi="Times New Roman" w:cs="Calibri"/>
          <w:sz w:val="24"/>
          <w:szCs w:val="24"/>
          <w:lang w:eastAsia="ja-JP"/>
        </w:rPr>
        <w:t>Viļušu</w:t>
      </w:r>
      <w:proofErr w:type="spellEnd"/>
      <w:r w:rsidR="003D10E4" w:rsidRPr="00A07F29">
        <w:rPr>
          <w:rFonts w:ascii="Times New Roman" w:eastAsia="Calibri" w:hAnsi="Times New Roman" w:cs="Calibri"/>
          <w:sz w:val="24"/>
          <w:szCs w:val="24"/>
          <w:lang w:eastAsia="ja-JP"/>
        </w:rPr>
        <w:t xml:space="preserve"> avots, </w:t>
      </w:r>
      <w:proofErr w:type="spellStart"/>
      <w:r w:rsidR="003D10E4" w:rsidRPr="00A07F29">
        <w:rPr>
          <w:rFonts w:ascii="Times New Roman" w:eastAsia="Calibri" w:hAnsi="Times New Roman" w:cs="Calibri"/>
          <w:sz w:val="24"/>
          <w:szCs w:val="24"/>
          <w:lang w:eastAsia="ja-JP"/>
        </w:rPr>
        <w:t>Mālkalnes</w:t>
      </w:r>
      <w:proofErr w:type="spellEnd"/>
      <w:r w:rsidR="003D10E4" w:rsidRPr="00A07F29">
        <w:rPr>
          <w:rFonts w:ascii="Times New Roman" w:eastAsia="Calibri" w:hAnsi="Times New Roman" w:cs="Calibri"/>
          <w:sz w:val="24"/>
          <w:szCs w:val="24"/>
          <w:lang w:eastAsia="ja-JP"/>
        </w:rPr>
        <w:t xml:space="preserve"> avots, Sproģu gravas un Adamovas krauja,</w:t>
      </w:r>
      <w:r w:rsidR="00A833F6" w:rsidRPr="00A07F29">
        <w:rPr>
          <w:rFonts w:ascii="Times New Roman" w:eastAsia="Calibri" w:hAnsi="Times New Roman" w:cs="Calibri"/>
          <w:sz w:val="24"/>
          <w:szCs w:val="24"/>
          <w:lang w:eastAsia="ja-JP"/>
        </w:rPr>
        <w:t xml:space="preserve"> kā arī vairāki ģeoloģiskie un </w:t>
      </w:r>
      <w:proofErr w:type="spellStart"/>
      <w:r w:rsidR="00A833F6" w:rsidRPr="00A07F29">
        <w:rPr>
          <w:rFonts w:ascii="Times New Roman" w:eastAsia="Calibri" w:hAnsi="Times New Roman" w:cs="Calibri"/>
          <w:sz w:val="24"/>
          <w:szCs w:val="24"/>
          <w:lang w:eastAsia="ja-JP"/>
        </w:rPr>
        <w:t>ģeomorfoloģiskie</w:t>
      </w:r>
      <w:proofErr w:type="spellEnd"/>
      <w:r w:rsidR="00A833F6" w:rsidRPr="00A07F29">
        <w:rPr>
          <w:rFonts w:ascii="Times New Roman" w:eastAsia="Calibri" w:hAnsi="Times New Roman" w:cs="Calibri"/>
          <w:sz w:val="24"/>
          <w:szCs w:val="24"/>
          <w:lang w:eastAsia="ja-JP"/>
        </w:rPr>
        <w:t xml:space="preserve"> dabas veidojumi, kuriem būtu piešķirams dabas pieminekļa statuss, piemēram, devona </w:t>
      </w:r>
      <w:proofErr w:type="spellStart"/>
      <w:r w:rsidR="00A833F6" w:rsidRPr="00A07F29">
        <w:rPr>
          <w:rFonts w:ascii="Times New Roman" w:eastAsia="Calibri" w:hAnsi="Times New Roman" w:cs="Calibri"/>
          <w:sz w:val="24"/>
          <w:szCs w:val="24"/>
          <w:lang w:eastAsia="ja-JP"/>
        </w:rPr>
        <w:t>pamatiežu</w:t>
      </w:r>
      <w:proofErr w:type="spellEnd"/>
      <w:r w:rsidR="00A833F6" w:rsidRPr="00A07F29">
        <w:rPr>
          <w:rFonts w:ascii="Times New Roman" w:eastAsia="Calibri" w:hAnsi="Times New Roman" w:cs="Calibri"/>
          <w:sz w:val="24"/>
          <w:szCs w:val="24"/>
          <w:lang w:eastAsia="ja-JP"/>
        </w:rPr>
        <w:t xml:space="preserve"> atsegumi pie Daugavas, Daugavas krāces, Vecpils gravas avotu ūdenskritumi, Krāslavas veselības (Plāteru) avots u.c. (skat. 4.1</w:t>
      </w:r>
      <w:r w:rsidR="00BB7061">
        <w:rPr>
          <w:rFonts w:ascii="Times New Roman" w:eastAsia="Calibri" w:hAnsi="Times New Roman" w:cs="Calibri"/>
          <w:sz w:val="24"/>
          <w:szCs w:val="24"/>
          <w:lang w:eastAsia="ja-JP"/>
        </w:rPr>
        <w:t>2</w:t>
      </w:r>
      <w:r w:rsidR="00A833F6" w:rsidRPr="00A07F29">
        <w:rPr>
          <w:rFonts w:ascii="Times New Roman" w:eastAsia="Calibri" w:hAnsi="Times New Roman" w:cs="Calibri"/>
          <w:sz w:val="24"/>
          <w:szCs w:val="24"/>
          <w:lang w:eastAsia="ja-JP"/>
        </w:rPr>
        <w:t>.</w:t>
      </w:r>
      <w:r w:rsidR="00FE6C96" w:rsidRPr="00A07F29">
        <w:rPr>
          <w:rFonts w:ascii="Times New Roman" w:eastAsia="Calibri" w:hAnsi="Times New Roman" w:cs="Calibri"/>
          <w:sz w:val="24"/>
          <w:szCs w:val="24"/>
          <w:lang w:eastAsia="ja-JP"/>
        </w:rPr>
        <w:t> </w:t>
      </w:r>
      <w:r w:rsidR="00A833F6" w:rsidRPr="00A07F29">
        <w:rPr>
          <w:rFonts w:ascii="Times New Roman" w:eastAsia="Calibri" w:hAnsi="Times New Roman" w:cs="Calibri"/>
          <w:sz w:val="24"/>
          <w:szCs w:val="24"/>
          <w:lang w:eastAsia="ja-JP"/>
        </w:rPr>
        <w:t>pielikumu).</w:t>
      </w:r>
    </w:p>
    <w:p w14:paraId="43AF6FE1" w14:textId="4413FB97" w:rsidR="009072CE" w:rsidRPr="00A07F29" w:rsidRDefault="00A833F6" w:rsidP="00CA6A29">
      <w:pPr>
        <w:spacing w:after="120" w:line="240" w:lineRule="auto"/>
        <w:ind w:firstLine="851"/>
        <w:jc w:val="both"/>
        <w:rPr>
          <w:rFonts w:ascii="Times New Roman" w:eastAsia="Calibri" w:hAnsi="Times New Roman" w:cs="Calibri"/>
          <w:sz w:val="24"/>
          <w:szCs w:val="24"/>
          <w:lang w:eastAsia="ja-JP"/>
        </w:rPr>
      </w:pPr>
      <w:r w:rsidRPr="00A07F29">
        <w:rPr>
          <w:rFonts w:ascii="Times New Roman" w:eastAsia="Calibri" w:hAnsi="Times New Roman" w:cs="Calibri"/>
          <w:sz w:val="24"/>
          <w:szCs w:val="24"/>
          <w:lang w:eastAsia="ja-JP"/>
        </w:rPr>
        <w:t xml:space="preserve">AAA </w:t>
      </w:r>
      <w:r w:rsidR="00FE6C96" w:rsidRPr="00A07F29">
        <w:rPr>
          <w:rFonts w:ascii="Times New Roman" w:eastAsia="Calibri" w:hAnsi="Times New Roman" w:cs="Calibri"/>
          <w:sz w:val="24"/>
          <w:szCs w:val="24"/>
          <w:lang w:eastAsia="ja-JP"/>
        </w:rPr>
        <w:t>“</w:t>
      </w:r>
      <w:r w:rsidRPr="00A07F29">
        <w:rPr>
          <w:rFonts w:ascii="Times New Roman" w:eastAsia="Calibri" w:hAnsi="Times New Roman" w:cs="Calibri"/>
          <w:sz w:val="24"/>
          <w:szCs w:val="24"/>
          <w:lang w:eastAsia="ja-JP"/>
        </w:rPr>
        <w:t xml:space="preserve">Augšdaugava” teritorijā atrodas valsts nozīmes dabas pieminekļi – dendroloģiskie stādījumi </w:t>
      </w:r>
      <w:proofErr w:type="spellStart"/>
      <w:r w:rsidRPr="00A07F29">
        <w:rPr>
          <w:rFonts w:ascii="Times New Roman" w:eastAsia="Calibri" w:hAnsi="Times New Roman" w:cs="Calibri"/>
          <w:sz w:val="24"/>
          <w:szCs w:val="24"/>
          <w:lang w:eastAsia="ja-JP"/>
        </w:rPr>
        <w:t>Hoftenbergas</w:t>
      </w:r>
      <w:proofErr w:type="spellEnd"/>
      <w:r w:rsidRPr="00A07F29">
        <w:rPr>
          <w:rFonts w:ascii="Times New Roman" w:eastAsia="Calibri" w:hAnsi="Times New Roman" w:cs="Calibri"/>
          <w:sz w:val="24"/>
          <w:szCs w:val="24"/>
          <w:lang w:eastAsia="ja-JP"/>
        </w:rPr>
        <w:t xml:space="preserve"> parks, </w:t>
      </w:r>
      <w:proofErr w:type="spellStart"/>
      <w:r w:rsidRPr="00A07F29">
        <w:rPr>
          <w:rFonts w:ascii="Times New Roman" w:eastAsia="Calibri" w:hAnsi="Times New Roman" w:cs="Calibri"/>
          <w:sz w:val="24"/>
          <w:szCs w:val="24"/>
          <w:lang w:eastAsia="ja-JP"/>
        </w:rPr>
        <w:t>Juzefovas</w:t>
      </w:r>
      <w:proofErr w:type="spellEnd"/>
      <w:r w:rsidRPr="00A07F29">
        <w:rPr>
          <w:rFonts w:ascii="Times New Roman" w:eastAsia="Calibri" w:hAnsi="Times New Roman" w:cs="Calibri"/>
          <w:sz w:val="24"/>
          <w:szCs w:val="24"/>
          <w:lang w:eastAsia="ja-JP"/>
        </w:rPr>
        <w:t xml:space="preserve"> parks, </w:t>
      </w:r>
      <w:r w:rsidR="009851D6" w:rsidRPr="00A07F29">
        <w:rPr>
          <w:rFonts w:ascii="Times New Roman" w:eastAsia="Calibri" w:hAnsi="Times New Roman" w:cs="Calibri"/>
          <w:sz w:val="24"/>
          <w:szCs w:val="24"/>
          <w:lang w:eastAsia="ja-JP"/>
        </w:rPr>
        <w:t xml:space="preserve">aizsargājamā </w:t>
      </w:r>
      <w:proofErr w:type="spellStart"/>
      <w:r w:rsidRPr="00A07F29">
        <w:rPr>
          <w:rFonts w:ascii="Times New Roman" w:eastAsia="Calibri" w:hAnsi="Times New Roman" w:cs="Calibri"/>
          <w:sz w:val="24"/>
          <w:szCs w:val="24"/>
          <w:lang w:eastAsia="ja-JP"/>
        </w:rPr>
        <w:t>Rozališķu</w:t>
      </w:r>
      <w:proofErr w:type="spellEnd"/>
      <w:r w:rsidRPr="00A07F29">
        <w:rPr>
          <w:rFonts w:ascii="Times New Roman" w:eastAsia="Calibri" w:hAnsi="Times New Roman" w:cs="Calibri"/>
          <w:sz w:val="24"/>
          <w:szCs w:val="24"/>
          <w:lang w:eastAsia="ja-JP"/>
        </w:rPr>
        <w:t xml:space="preserve"> </w:t>
      </w:r>
      <w:r w:rsidR="008C1B45" w:rsidRPr="00A07F29">
        <w:rPr>
          <w:rFonts w:ascii="Times New Roman" w:eastAsia="Calibri" w:hAnsi="Times New Roman" w:cs="Calibri"/>
          <w:sz w:val="24"/>
          <w:szCs w:val="24"/>
          <w:lang w:eastAsia="ja-JP"/>
        </w:rPr>
        <w:t>aleja</w:t>
      </w:r>
      <w:r w:rsidRPr="00A07F29">
        <w:rPr>
          <w:rFonts w:ascii="Times New Roman" w:eastAsia="Calibri" w:hAnsi="Times New Roman" w:cs="Calibri"/>
          <w:sz w:val="24"/>
          <w:szCs w:val="24"/>
          <w:lang w:eastAsia="ja-JP"/>
        </w:rPr>
        <w:t>, kā arī dižkoki.</w:t>
      </w:r>
    </w:p>
    <w:p w14:paraId="2BE68784" w14:textId="7CE0BDC8" w:rsidR="009072CE" w:rsidRPr="00A07F29" w:rsidRDefault="009072CE" w:rsidP="00CA6A29">
      <w:pPr>
        <w:spacing w:after="120" w:line="240" w:lineRule="auto"/>
        <w:ind w:firstLine="851"/>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 xml:space="preserve">Cilvēki </w:t>
      </w:r>
      <w:r w:rsidR="004C0431" w:rsidRPr="00A07F29">
        <w:rPr>
          <w:rFonts w:ascii="Times New Roman" w:eastAsia="Calibri" w:hAnsi="Times New Roman" w:cs="Calibri"/>
          <w:sz w:val="24"/>
          <w:lang w:eastAsia="ja-JP"/>
        </w:rPr>
        <w:t xml:space="preserve">AAA </w:t>
      </w:r>
      <w:r w:rsidR="00112721" w:rsidRPr="00A07F29">
        <w:rPr>
          <w:rFonts w:ascii="Times New Roman" w:eastAsia="Calibri" w:hAnsi="Times New Roman" w:cs="Calibri"/>
          <w:sz w:val="24"/>
          <w:lang w:eastAsia="ja-JP"/>
        </w:rPr>
        <w:t>“</w:t>
      </w:r>
      <w:r w:rsidR="004C0431" w:rsidRPr="00A07F29">
        <w:rPr>
          <w:rFonts w:ascii="Times New Roman" w:eastAsia="Calibri" w:hAnsi="Times New Roman" w:cs="Calibri"/>
          <w:sz w:val="24"/>
          <w:lang w:eastAsia="ja-JP"/>
        </w:rPr>
        <w:t xml:space="preserve">Augšdaugava” </w:t>
      </w:r>
      <w:r w:rsidRPr="00A07F29">
        <w:rPr>
          <w:rFonts w:ascii="Times New Roman" w:eastAsia="Calibri" w:hAnsi="Times New Roman" w:cs="Calibri"/>
          <w:sz w:val="24"/>
          <w:lang w:eastAsia="ja-JP"/>
        </w:rPr>
        <w:t xml:space="preserve">teritorijā </w:t>
      </w:r>
      <w:r w:rsidR="000E4AE5" w:rsidRPr="00A07F29">
        <w:rPr>
          <w:rFonts w:ascii="Times New Roman" w:eastAsia="Calibri" w:hAnsi="Times New Roman" w:cs="Calibri"/>
          <w:sz w:val="24"/>
          <w:lang w:eastAsia="ja-JP"/>
        </w:rPr>
        <w:t xml:space="preserve">ienāca </w:t>
      </w:r>
      <w:r w:rsidRPr="00A07F29">
        <w:rPr>
          <w:rFonts w:ascii="Times New Roman" w:eastAsia="Calibri" w:hAnsi="Times New Roman" w:cs="Calibri"/>
          <w:sz w:val="24"/>
          <w:lang w:eastAsia="ja-JP"/>
        </w:rPr>
        <w:t xml:space="preserve">pirms </w:t>
      </w:r>
      <w:r w:rsidR="000E4AE5" w:rsidRPr="00A07F29">
        <w:rPr>
          <w:rFonts w:ascii="Times New Roman" w:eastAsia="Calibri" w:hAnsi="Times New Roman" w:cs="Calibri"/>
          <w:sz w:val="24"/>
          <w:lang w:eastAsia="ja-JP"/>
        </w:rPr>
        <w:t xml:space="preserve">aptuveni </w:t>
      </w:r>
      <w:r w:rsidRPr="00A07F29">
        <w:rPr>
          <w:rFonts w:ascii="Times New Roman" w:eastAsia="Calibri" w:hAnsi="Times New Roman" w:cs="Calibri"/>
          <w:sz w:val="24"/>
          <w:lang w:eastAsia="ja-JP"/>
        </w:rPr>
        <w:t xml:space="preserve">11 tūkstošiem gadu. Vēsturiski mainoties </w:t>
      </w:r>
      <w:proofErr w:type="spellStart"/>
      <w:r w:rsidRPr="00A07F29">
        <w:rPr>
          <w:rFonts w:ascii="Times New Roman" w:eastAsia="Calibri" w:hAnsi="Times New Roman" w:cs="Calibri"/>
          <w:sz w:val="24"/>
          <w:lang w:eastAsia="ja-JP"/>
        </w:rPr>
        <w:t>apdzīvojuma</w:t>
      </w:r>
      <w:proofErr w:type="spellEnd"/>
      <w:r w:rsidRPr="00A07F29">
        <w:rPr>
          <w:rFonts w:ascii="Times New Roman" w:eastAsia="Calibri" w:hAnsi="Times New Roman" w:cs="Calibri"/>
          <w:sz w:val="24"/>
          <w:lang w:eastAsia="ja-JP"/>
        </w:rPr>
        <w:t xml:space="preserve"> struktūrai, politiskajai un reliģiskajai varai, tirdzniecības aktivitātēm, ir veidojusies apbūves un etniskā ziņā raiba </w:t>
      </w:r>
      <w:proofErr w:type="spellStart"/>
      <w:r w:rsidRPr="00A07F29">
        <w:rPr>
          <w:rFonts w:ascii="Times New Roman" w:eastAsia="Calibri" w:hAnsi="Times New Roman" w:cs="Calibri"/>
          <w:sz w:val="24"/>
          <w:lang w:eastAsia="ja-JP"/>
        </w:rPr>
        <w:t>apdzīvojuma</w:t>
      </w:r>
      <w:proofErr w:type="spellEnd"/>
      <w:r w:rsidRPr="00A07F29">
        <w:rPr>
          <w:rFonts w:ascii="Times New Roman" w:eastAsia="Calibri" w:hAnsi="Times New Roman" w:cs="Calibri"/>
          <w:sz w:val="24"/>
          <w:lang w:eastAsia="ja-JP"/>
        </w:rPr>
        <w:t xml:space="preserve"> aina. Līdz ar to viena no teritorijas unikālajām iezīmēm un vērtībām ir dažādu vēstures posmu kultūras (vēstures un arheoloģijas) pieminekļu ievērojams blīvums. Cilvēka dzīve un darbība </w:t>
      </w:r>
      <w:r w:rsidR="0082706F" w:rsidRPr="00A07F29">
        <w:rPr>
          <w:rFonts w:ascii="Times New Roman" w:eastAsia="Calibri" w:hAnsi="Times New Roman" w:cs="Calibri"/>
          <w:sz w:val="24"/>
          <w:lang w:eastAsia="ja-JP"/>
        </w:rPr>
        <w:t xml:space="preserve">šajā teritorijā </w:t>
      </w:r>
      <w:r w:rsidRPr="00A07F29">
        <w:rPr>
          <w:rFonts w:ascii="Times New Roman" w:eastAsia="Calibri" w:hAnsi="Times New Roman" w:cs="Calibri"/>
          <w:sz w:val="24"/>
          <w:lang w:eastAsia="ja-JP"/>
        </w:rPr>
        <w:t xml:space="preserve">ir veidojusi ainavu gar Daugavu, papildinājusi dabas apstākļu radīto, līdz ar to </w:t>
      </w:r>
      <w:r w:rsidR="000E4AE5" w:rsidRPr="00A07F29">
        <w:rPr>
          <w:rFonts w:ascii="Times New Roman" w:eastAsia="Calibri" w:hAnsi="Times New Roman" w:cs="Calibri"/>
          <w:sz w:val="24"/>
          <w:lang w:eastAsia="ja-JP"/>
        </w:rPr>
        <w:t xml:space="preserve">vietējai </w:t>
      </w:r>
      <w:r w:rsidRPr="00A07F29">
        <w:rPr>
          <w:rFonts w:ascii="Times New Roman" w:eastAsia="Calibri" w:hAnsi="Times New Roman" w:cs="Calibri"/>
          <w:sz w:val="24"/>
          <w:lang w:eastAsia="ja-JP"/>
        </w:rPr>
        <w:t>sabiedrība</w:t>
      </w:r>
      <w:r w:rsidR="000E4AE5" w:rsidRPr="00A07F29">
        <w:rPr>
          <w:rFonts w:ascii="Times New Roman" w:eastAsia="Calibri" w:hAnsi="Times New Roman" w:cs="Calibri"/>
          <w:sz w:val="24"/>
          <w:lang w:eastAsia="ja-JP"/>
        </w:rPr>
        <w:t>i</w:t>
      </w:r>
      <w:r w:rsidRPr="00A07F29">
        <w:rPr>
          <w:rFonts w:ascii="Times New Roman" w:eastAsia="Calibri" w:hAnsi="Times New Roman" w:cs="Calibri"/>
          <w:sz w:val="24"/>
          <w:lang w:eastAsia="ja-JP"/>
        </w:rPr>
        <w:t xml:space="preserve"> ir </w:t>
      </w:r>
      <w:r w:rsidR="000E4AE5" w:rsidRPr="00A07F29">
        <w:rPr>
          <w:rFonts w:ascii="Times New Roman" w:eastAsia="Calibri" w:hAnsi="Times New Roman" w:cs="Calibri"/>
          <w:sz w:val="24"/>
          <w:lang w:eastAsia="ja-JP"/>
        </w:rPr>
        <w:t xml:space="preserve">būtiska nozīme </w:t>
      </w:r>
      <w:r w:rsidR="0082706F" w:rsidRPr="00A07F29">
        <w:rPr>
          <w:rFonts w:ascii="Times New Roman" w:eastAsia="Calibri" w:hAnsi="Times New Roman" w:cs="Calibri"/>
          <w:sz w:val="24"/>
          <w:lang w:eastAsia="ja-JP"/>
        </w:rPr>
        <w:t xml:space="preserve">AAA </w:t>
      </w:r>
      <w:r w:rsidR="00F02FB5" w:rsidRPr="00A07F29">
        <w:rPr>
          <w:rFonts w:ascii="Times New Roman" w:eastAsia="Calibri" w:hAnsi="Times New Roman" w:cs="Calibri"/>
          <w:sz w:val="24"/>
          <w:lang w:eastAsia="ja-JP"/>
        </w:rPr>
        <w:t>“</w:t>
      </w:r>
      <w:r w:rsidR="0082706F" w:rsidRPr="00A07F29">
        <w:rPr>
          <w:rFonts w:ascii="Times New Roman" w:eastAsia="Calibri" w:hAnsi="Times New Roman" w:cs="Calibri"/>
          <w:sz w:val="24"/>
          <w:lang w:eastAsia="ja-JP"/>
        </w:rPr>
        <w:t>Augšdaugava”</w:t>
      </w:r>
      <w:r w:rsidRPr="00A07F29">
        <w:rPr>
          <w:rFonts w:ascii="Times New Roman" w:eastAsia="Calibri" w:hAnsi="Times New Roman" w:cs="Calibri"/>
          <w:sz w:val="24"/>
          <w:lang w:eastAsia="ja-JP"/>
        </w:rPr>
        <w:t xml:space="preserve"> turpmāk</w:t>
      </w:r>
      <w:r w:rsidR="0082706F" w:rsidRPr="00A07F29">
        <w:rPr>
          <w:rFonts w:ascii="Times New Roman" w:eastAsia="Calibri" w:hAnsi="Times New Roman" w:cs="Calibri"/>
          <w:sz w:val="24"/>
          <w:lang w:eastAsia="ja-JP"/>
        </w:rPr>
        <w:t>aj</w:t>
      </w:r>
      <w:r w:rsidRPr="00A07F29">
        <w:rPr>
          <w:rFonts w:ascii="Times New Roman" w:eastAsia="Calibri" w:hAnsi="Times New Roman" w:cs="Calibri"/>
          <w:sz w:val="24"/>
          <w:lang w:eastAsia="ja-JP"/>
        </w:rPr>
        <w:t xml:space="preserve">ā apsaimniekošanā un </w:t>
      </w:r>
      <w:r w:rsidR="004C0431" w:rsidRPr="00A07F29">
        <w:rPr>
          <w:rFonts w:ascii="Times New Roman" w:eastAsia="Calibri" w:hAnsi="Times New Roman" w:cs="Calibri"/>
          <w:sz w:val="24"/>
          <w:lang w:eastAsia="ja-JP"/>
        </w:rPr>
        <w:t xml:space="preserve">ainavas un dabas </w:t>
      </w:r>
      <w:r w:rsidRPr="00A07F29">
        <w:rPr>
          <w:rFonts w:ascii="Times New Roman" w:eastAsia="Calibri" w:hAnsi="Times New Roman" w:cs="Calibri"/>
          <w:sz w:val="24"/>
          <w:lang w:eastAsia="ja-JP"/>
        </w:rPr>
        <w:t xml:space="preserve">vērtību </w:t>
      </w:r>
      <w:r w:rsidR="000E4AE5" w:rsidRPr="00A07F29">
        <w:rPr>
          <w:rFonts w:ascii="Times New Roman" w:eastAsia="Calibri" w:hAnsi="Times New Roman" w:cs="Calibri"/>
          <w:sz w:val="24"/>
          <w:lang w:eastAsia="ja-JP"/>
        </w:rPr>
        <w:t>kopšanā un saglabāšanā</w:t>
      </w:r>
      <w:r w:rsidRPr="00A07F29">
        <w:rPr>
          <w:rFonts w:ascii="Times New Roman" w:eastAsia="Calibri" w:hAnsi="Times New Roman" w:cs="Calibri"/>
          <w:sz w:val="24"/>
          <w:lang w:eastAsia="ja-JP"/>
        </w:rPr>
        <w:t>.</w:t>
      </w:r>
    </w:p>
    <w:p w14:paraId="540FE4D6" w14:textId="78FC1E64" w:rsidR="00920FBB" w:rsidRPr="00A07F29" w:rsidRDefault="0024348A" w:rsidP="00CA6A29">
      <w:pPr>
        <w:spacing w:after="120" w:line="240" w:lineRule="auto"/>
        <w:ind w:firstLine="851"/>
        <w:jc w:val="both"/>
        <w:rPr>
          <w:rFonts w:ascii="Times New Roman" w:eastAsia="Calibri" w:hAnsi="Times New Roman" w:cs="Calibri"/>
          <w:sz w:val="24"/>
          <w:lang w:eastAsia="ja-JP"/>
        </w:rPr>
      </w:pPr>
      <w:r w:rsidRPr="00A07F29">
        <w:rPr>
          <w:rFonts w:ascii="Times New Roman" w:eastAsia="Calibri" w:hAnsi="Times New Roman" w:cs="Calibri"/>
          <w:sz w:val="24"/>
        </w:rPr>
        <w:t xml:space="preserve">AAA “Augšdaugava” noteikts kā </w:t>
      </w:r>
      <w:proofErr w:type="spellStart"/>
      <w:r w:rsidRPr="00A07F29">
        <w:rPr>
          <w:rFonts w:ascii="Times New Roman" w:eastAsia="Calibri" w:hAnsi="Times New Roman" w:cs="Calibri"/>
          <w:i/>
          <w:sz w:val="24"/>
        </w:rPr>
        <w:t>Natura</w:t>
      </w:r>
      <w:proofErr w:type="spellEnd"/>
      <w:r w:rsidRPr="00A07F29">
        <w:rPr>
          <w:rFonts w:ascii="Times New Roman" w:eastAsia="Calibri" w:hAnsi="Times New Roman" w:cs="Calibri"/>
          <w:i/>
          <w:sz w:val="24"/>
        </w:rPr>
        <w:t xml:space="preserve"> 2000</w:t>
      </w:r>
      <w:r w:rsidRPr="00A07F29">
        <w:rPr>
          <w:rFonts w:ascii="Times New Roman" w:eastAsia="Calibri" w:hAnsi="Times New Roman" w:cs="Calibri"/>
          <w:sz w:val="24"/>
        </w:rPr>
        <w:t xml:space="preserve"> teritorija ar mērķi saglabāt teritorijas galvenās dabas vērtības – </w:t>
      </w:r>
      <w:r w:rsidR="00DA613C" w:rsidRPr="00A07F29">
        <w:rPr>
          <w:rFonts w:ascii="Times New Roman" w:eastAsia="Calibri" w:hAnsi="Times New Roman" w:cs="Calibri"/>
          <w:sz w:val="24"/>
        </w:rPr>
        <w:t xml:space="preserve">ES nozīmes </w:t>
      </w:r>
      <w:r w:rsidRPr="00A07F29">
        <w:rPr>
          <w:rFonts w:ascii="Times New Roman" w:eastAsia="Calibri" w:hAnsi="Times New Roman" w:cs="Calibri"/>
          <w:sz w:val="24"/>
        </w:rPr>
        <w:t xml:space="preserve">biotopus 3260 </w:t>
      </w:r>
      <w:r w:rsidRPr="00A07F29">
        <w:rPr>
          <w:rFonts w:ascii="Times New Roman" w:eastAsia="Calibri" w:hAnsi="Times New Roman" w:cs="Calibri"/>
          <w:i/>
          <w:sz w:val="24"/>
        </w:rPr>
        <w:t>Upju straujteces un dabiski upju posmi</w:t>
      </w:r>
      <w:r w:rsidRPr="00A07F29">
        <w:rPr>
          <w:rFonts w:ascii="Times New Roman" w:eastAsia="Calibri" w:hAnsi="Times New Roman" w:cs="Calibri"/>
          <w:sz w:val="24"/>
        </w:rPr>
        <w:t xml:space="preserve">, </w:t>
      </w:r>
      <w:r w:rsidR="00C301E6" w:rsidRPr="00A07F29">
        <w:rPr>
          <w:rFonts w:ascii="Times New Roman" w:eastAsia="Calibri" w:hAnsi="Times New Roman" w:cs="Calibri"/>
          <w:sz w:val="24"/>
        </w:rPr>
        <w:t xml:space="preserve">3270 </w:t>
      </w:r>
      <w:r w:rsidR="00C301E6" w:rsidRPr="00A07F29">
        <w:rPr>
          <w:rFonts w:ascii="Times New Roman" w:eastAsia="Calibri" w:hAnsi="Times New Roman" w:cs="Calibri"/>
          <w:i/>
          <w:sz w:val="24"/>
        </w:rPr>
        <w:t xml:space="preserve">Dūņaini upju krasti ar slāpekli mīlošu viengadīgu </w:t>
      </w:r>
      <w:proofErr w:type="spellStart"/>
      <w:r w:rsidR="00C301E6" w:rsidRPr="00A07F29">
        <w:rPr>
          <w:rFonts w:ascii="Times New Roman" w:eastAsia="Calibri" w:hAnsi="Times New Roman" w:cs="Calibri"/>
          <w:i/>
          <w:sz w:val="24"/>
        </w:rPr>
        <w:t>pioniersugu</w:t>
      </w:r>
      <w:proofErr w:type="spellEnd"/>
      <w:r w:rsidR="00C301E6" w:rsidRPr="00A07F29">
        <w:rPr>
          <w:rFonts w:ascii="Times New Roman" w:eastAsia="Calibri" w:hAnsi="Times New Roman" w:cs="Calibri"/>
          <w:i/>
          <w:sz w:val="24"/>
        </w:rPr>
        <w:t xml:space="preserve"> augāju</w:t>
      </w:r>
      <w:r w:rsidR="00C301E6" w:rsidRPr="00A07F29">
        <w:rPr>
          <w:rFonts w:ascii="Times New Roman" w:eastAsia="Calibri" w:hAnsi="Times New Roman" w:cs="Calibri"/>
          <w:sz w:val="24"/>
        </w:rPr>
        <w:t xml:space="preserve">, </w:t>
      </w:r>
      <w:r w:rsidRPr="00A07F29">
        <w:rPr>
          <w:rFonts w:ascii="Times New Roman" w:eastAsia="Calibri" w:hAnsi="Times New Roman" w:cs="Calibri"/>
          <w:sz w:val="24"/>
        </w:rPr>
        <w:t xml:space="preserve">6270* </w:t>
      </w:r>
      <w:r w:rsidRPr="00A07F29">
        <w:rPr>
          <w:rFonts w:ascii="Times New Roman" w:eastAsia="Calibri" w:hAnsi="Times New Roman" w:cs="Calibri"/>
          <w:i/>
          <w:sz w:val="24"/>
        </w:rPr>
        <w:t>Sugām bagātas ganības un ganītas pļavas</w:t>
      </w:r>
      <w:r w:rsidRPr="00A07F29">
        <w:rPr>
          <w:rFonts w:ascii="Times New Roman" w:eastAsia="Calibri" w:hAnsi="Times New Roman" w:cs="Calibri"/>
          <w:sz w:val="24"/>
        </w:rPr>
        <w:t xml:space="preserve">, </w:t>
      </w:r>
      <w:r w:rsidR="00C301E6" w:rsidRPr="00A07F29">
        <w:rPr>
          <w:rFonts w:ascii="Times New Roman" w:eastAsia="Calibri" w:hAnsi="Times New Roman" w:cs="Calibri"/>
          <w:sz w:val="24"/>
        </w:rPr>
        <w:t xml:space="preserve">6210 </w:t>
      </w:r>
      <w:r w:rsidR="00C301E6" w:rsidRPr="00A07F29">
        <w:rPr>
          <w:rFonts w:ascii="Times New Roman" w:eastAsia="Calibri" w:hAnsi="Times New Roman" w:cs="Calibri"/>
          <w:i/>
          <w:sz w:val="24"/>
        </w:rPr>
        <w:t>Sausi zālāji kaļķainās augsnēs</w:t>
      </w:r>
      <w:r w:rsidR="00C301E6" w:rsidRPr="00A07F29">
        <w:rPr>
          <w:rFonts w:ascii="Times New Roman" w:eastAsia="Calibri" w:hAnsi="Times New Roman" w:cs="Calibri"/>
          <w:sz w:val="24"/>
        </w:rPr>
        <w:t>,</w:t>
      </w:r>
      <w:r w:rsidRPr="00A07F29">
        <w:rPr>
          <w:rFonts w:ascii="Times New Roman" w:eastAsia="Calibri" w:hAnsi="Times New Roman" w:cs="Calibri"/>
          <w:sz w:val="24"/>
        </w:rPr>
        <w:t xml:space="preserve">7160 </w:t>
      </w:r>
      <w:r w:rsidRPr="00A07F29">
        <w:rPr>
          <w:rFonts w:ascii="Times New Roman" w:eastAsia="Calibri" w:hAnsi="Times New Roman" w:cs="Calibri"/>
          <w:i/>
          <w:sz w:val="24"/>
        </w:rPr>
        <w:t>Minerālvielām bagāti avoti un avotu purvi</w:t>
      </w:r>
      <w:r w:rsidRPr="00A07F29">
        <w:rPr>
          <w:rFonts w:ascii="Times New Roman" w:eastAsia="Calibri" w:hAnsi="Times New Roman" w:cs="Calibri"/>
          <w:sz w:val="24"/>
        </w:rPr>
        <w:t xml:space="preserve">, 9180* </w:t>
      </w:r>
      <w:r w:rsidRPr="00A07F29">
        <w:rPr>
          <w:rFonts w:ascii="Times New Roman" w:eastAsia="Calibri" w:hAnsi="Times New Roman" w:cs="Calibri"/>
          <w:i/>
          <w:sz w:val="24"/>
        </w:rPr>
        <w:t>Nogāžu un gravu meži</w:t>
      </w:r>
      <w:r w:rsidR="0082706F" w:rsidRPr="00A07F29">
        <w:rPr>
          <w:rFonts w:ascii="Times New Roman" w:eastAsia="Calibri" w:hAnsi="Times New Roman" w:cs="Calibri"/>
          <w:sz w:val="24"/>
        </w:rPr>
        <w:t xml:space="preserve"> un </w:t>
      </w:r>
      <w:r w:rsidRPr="00A07F29">
        <w:rPr>
          <w:rFonts w:ascii="Times New Roman" w:eastAsia="Calibri" w:hAnsi="Times New Roman" w:cs="Calibri"/>
          <w:sz w:val="24"/>
        </w:rPr>
        <w:t xml:space="preserve">91D0* </w:t>
      </w:r>
      <w:r w:rsidRPr="00A07F29">
        <w:rPr>
          <w:rFonts w:ascii="Times New Roman" w:eastAsia="Calibri" w:hAnsi="Times New Roman" w:cs="Calibri"/>
          <w:i/>
          <w:sz w:val="24"/>
        </w:rPr>
        <w:t>Purvaini meži</w:t>
      </w:r>
      <w:r w:rsidRPr="00A07F29">
        <w:rPr>
          <w:rFonts w:ascii="Times New Roman" w:eastAsia="Calibri" w:hAnsi="Times New Roman" w:cs="Calibri"/>
          <w:sz w:val="24"/>
        </w:rPr>
        <w:t>,</w:t>
      </w:r>
      <w:r w:rsidR="00DA613C" w:rsidRPr="00A07F29">
        <w:rPr>
          <w:rFonts w:ascii="Times New Roman" w:eastAsia="Calibri" w:hAnsi="Times New Roman" w:cs="Calibri"/>
          <w:sz w:val="24"/>
        </w:rPr>
        <w:t xml:space="preserve"> kā arī sugas:</w:t>
      </w:r>
      <w:r w:rsidRPr="00A07F29">
        <w:rPr>
          <w:rFonts w:ascii="Times New Roman" w:eastAsia="Calibri" w:hAnsi="Times New Roman" w:cs="Calibri"/>
          <w:sz w:val="24"/>
        </w:rPr>
        <w:t xml:space="preserve"> </w:t>
      </w:r>
      <w:r w:rsidR="00556288" w:rsidRPr="00A07F29">
        <w:rPr>
          <w:rFonts w:ascii="Times New Roman" w:eastAsia="Calibri" w:hAnsi="Times New Roman" w:cs="Calibri"/>
          <w:sz w:val="24"/>
        </w:rPr>
        <w:t>ūdr</w:t>
      </w:r>
      <w:r w:rsidR="0045740E" w:rsidRPr="00A07F29">
        <w:rPr>
          <w:rFonts w:ascii="Times New Roman" w:eastAsia="Calibri" w:hAnsi="Times New Roman" w:cs="Calibri"/>
          <w:sz w:val="24"/>
        </w:rPr>
        <w:t>i</w:t>
      </w:r>
      <w:r w:rsidR="00556288" w:rsidRPr="00A07F29">
        <w:rPr>
          <w:rFonts w:ascii="Times New Roman" w:eastAsia="Calibri" w:hAnsi="Times New Roman" w:cs="Calibri"/>
          <w:sz w:val="24"/>
        </w:rPr>
        <w:t xml:space="preserve"> </w:t>
      </w:r>
      <w:proofErr w:type="spellStart"/>
      <w:r w:rsidRPr="00A07F29">
        <w:rPr>
          <w:rFonts w:ascii="Times New Roman" w:eastAsia="Calibri" w:hAnsi="Times New Roman" w:cs="Calibri"/>
          <w:i/>
          <w:iCs/>
          <w:sz w:val="24"/>
        </w:rPr>
        <w:t>Lutra</w:t>
      </w:r>
      <w:proofErr w:type="spellEnd"/>
      <w:r w:rsidRPr="00A07F29">
        <w:rPr>
          <w:rFonts w:ascii="Times New Roman" w:eastAsia="Calibri" w:hAnsi="Times New Roman" w:cs="Calibri"/>
          <w:i/>
          <w:iCs/>
          <w:sz w:val="24"/>
        </w:rPr>
        <w:t xml:space="preserve"> </w:t>
      </w:r>
      <w:proofErr w:type="spellStart"/>
      <w:r w:rsidRPr="00A07F29">
        <w:rPr>
          <w:rFonts w:ascii="Times New Roman" w:eastAsia="Calibri" w:hAnsi="Times New Roman" w:cs="Calibri"/>
          <w:i/>
          <w:iCs/>
          <w:sz w:val="24"/>
        </w:rPr>
        <w:t>lutra</w:t>
      </w:r>
      <w:proofErr w:type="spellEnd"/>
      <w:r w:rsidRPr="00A07F29">
        <w:rPr>
          <w:rFonts w:ascii="Times New Roman" w:eastAsia="Calibri" w:hAnsi="Times New Roman" w:cs="Calibri"/>
          <w:sz w:val="24"/>
        </w:rPr>
        <w:t xml:space="preserve">, dīķa </w:t>
      </w:r>
      <w:proofErr w:type="spellStart"/>
      <w:r w:rsidRPr="00A07F29">
        <w:rPr>
          <w:rFonts w:ascii="Times New Roman" w:eastAsia="Calibri" w:hAnsi="Times New Roman" w:cs="Calibri"/>
          <w:sz w:val="24"/>
        </w:rPr>
        <w:t>naktssikspārni</w:t>
      </w:r>
      <w:proofErr w:type="spellEnd"/>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i/>
          <w:iCs/>
          <w:sz w:val="24"/>
        </w:rPr>
        <w:t>Myotis</w:t>
      </w:r>
      <w:proofErr w:type="spellEnd"/>
      <w:r w:rsidRPr="00A07F29">
        <w:rPr>
          <w:rFonts w:ascii="Times New Roman" w:eastAsia="Calibri" w:hAnsi="Times New Roman" w:cs="Calibri"/>
          <w:i/>
          <w:iCs/>
          <w:sz w:val="24"/>
        </w:rPr>
        <w:t xml:space="preserve"> </w:t>
      </w:r>
      <w:proofErr w:type="spellStart"/>
      <w:r w:rsidRPr="00A07F29">
        <w:rPr>
          <w:rFonts w:ascii="Times New Roman" w:eastAsia="Calibri" w:hAnsi="Times New Roman" w:cs="Calibri"/>
          <w:i/>
          <w:iCs/>
          <w:sz w:val="24"/>
        </w:rPr>
        <w:t>dasycneme</w:t>
      </w:r>
      <w:proofErr w:type="spellEnd"/>
      <w:r w:rsidRPr="00A07F29">
        <w:rPr>
          <w:rFonts w:ascii="Times New Roman" w:eastAsia="Calibri" w:hAnsi="Times New Roman" w:cs="Calibri"/>
          <w:sz w:val="24"/>
        </w:rPr>
        <w:t xml:space="preserve">, lapkoku </w:t>
      </w:r>
      <w:proofErr w:type="spellStart"/>
      <w:r w:rsidRPr="00A07F29">
        <w:rPr>
          <w:rFonts w:ascii="Times New Roman" w:eastAsia="Calibri" w:hAnsi="Times New Roman" w:cs="Calibri"/>
          <w:sz w:val="24"/>
        </w:rPr>
        <w:t>praulgrauzi</w:t>
      </w:r>
      <w:proofErr w:type="spellEnd"/>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i/>
          <w:iCs/>
          <w:sz w:val="24"/>
        </w:rPr>
        <w:t>Osmoderma</w:t>
      </w:r>
      <w:proofErr w:type="spellEnd"/>
      <w:r w:rsidRPr="00A07F29">
        <w:rPr>
          <w:rFonts w:ascii="Times New Roman" w:eastAsia="Calibri" w:hAnsi="Times New Roman" w:cs="Calibri"/>
          <w:i/>
          <w:iCs/>
          <w:sz w:val="24"/>
        </w:rPr>
        <w:t xml:space="preserve"> </w:t>
      </w:r>
      <w:proofErr w:type="spellStart"/>
      <w:r w:rsidRPr="00A07F29">
        <w:rPr>
          <w:rFonts w:ascii="Times New Roman" w:eastAsia="Calibri" w:hAnsi="Times New Roman" w:cs="Calibri"/>
          <w:i/>
          <w:iCs/>
          <w:sz w:val="24"/>
        </w:rPr>
        <w:t>barnabita</w:t>
      </w:r>
      <w:proofErr w:type="spellEnd"/>
      <w:r w:rsidRPr="00A07F29">
        <w:rPr>
          <w:rFonts w:ascii="Times New Roman" w:eastAsia="Calibri" w:hAnsi="Times New Roman" w:cs="Calibri"/>
          <w:sz w:val="24"/>
        </w:rPr>
        <w:t xml:space="preserve">, </w:t>
      </w:r>
      <w:r w:rsidR="00556288" w:rsidRPr="00A07F29">
        <w:rPr>
          <w:rFonts w:ascii="Times New Roman" w:eastAsia="Calibri" w:hAnsi="Times New Roman" w:cs="Calibri"/>
          <w:sz w:val="24"/>
        </w:rPr>
        <w:t xml:space="preserve">zaļo </w:t>
      </w:r>
      <w:proofErr w:type="spellStart"/>
      <w:r w:rsidR="00556288" w:rsidRPr="00A07F29">
        <w:rPr>
          <w:rFonts w:ascii="Times New Roman" w:eastAsia="Calibri" w:hAnsi="Times New Roman" w:cs="Calibri"/>
          <w:sz w:val="24"/>
        </w:rPr>
        <w:t>upjuspāri</w:t>
      </w:r>
      <w:proofErr w:type="spellEnd"/>
      <w:r w:rsidR="00556288" w:rsidRPr="00A07F29">
        <w:rPr>
          <w:rFonts w:ascii="Times New Roman" w:eastAsia="Calibri" w:hAnsi="Times New Roman" w:cs="Calibri"/>
          <w:sz w:val="24"/>
        </w:rPr>
        <w:t xml:space="preserve"> </w:t>
      </w:r>
      <w:proofErr w:type="spellStart"/>
      <w:r w:rsidRPr="00A07F29">
        <w:rPr>
          <w:rFonts w:ascii="Times New Roman" w:eastAsia="Calibri" w:hAnsi="Times New Roman" w:cs="Calibri"/>
          <w:i/>
          <w:iCs/>
          <w:sz w:val="24"/>
        </w:rPr>
        <w:t>Ophiogomphus</w:t>
      </w:r>
      <w:proofErr w:type="spellEnd"/>
      <w:r w:rsidRPr="00A07F29">
        <w:rPr>
          <w:rFonts w:ascii="Times New Roman" w:eastAsia="Calibri" w:hAnsi="Times New Roman" w:cs="Calibri"/>
          <w:i/>
          <w:iCs/>
          <w:sz w:val="24"/>
        </w:rPr>
        <w:t xml:space="preserve"> </w:t>
      </w:r>
      <w:proofErr w:type="spellStart"/>
      <w:r w:rsidRPr="00A07F29">
        <w:rPr>
          <w:rFonts w:ascii="Times New Roman" w:eastAsia="Calibri" w:hAnsi="Times New Roman" w:cs="Calibri"/>
          <w:i/>
          <w:iCs/>
          <w:sz w:val="24"/>
        </w:rPr>
        <w:t>cecilia</w:t>
      </w:r>
      <w:proofErr w:type="spellEnd"/>
      <w:r w:rsidRPr="00A07F29">
        <w:rPr>
          <w:rFonts w:ascii="Times New Roman" w:eastAsia="Calibri" w:hAnsi="Times New Roman" w:cs="Calibri"/>
          <w:sz w:val="24"/>
        </w:rPr>
        <w:t xml:space="preserve">, </w:t>
      </w:r>
      <w:r w:rsidR="00556288" w:rsidRPr="00A07F29">
        <w:rPr>
          <w:rFonts w:ascii="Times New Roman" w:eastAsia="Calibri" w:hAnsi="Times New Roman" w:cs="Calibri"/>
          <w:sz w:val="24"/>
        </w:rPr>
        <w:t xml:space="preserve">biezo </w:t>
      </w:r>
      <w:proofErr w:type="spellStart"/>
      <w:r w:rsidR="00556288" w:rsidRPr="00A07F29">
        <w:rPr>
          <w:rFonts w:ascii="Times New Roman" w:eastAsia="Calibri" w:hAnsi="Times New Roman" w:cs="Calibri"/>
          <w:sz w:val="24"/>
        </w:rPr>
        <w:t>perlamutreni</w:t>
      </w:r>
      <w:proofErr w:type="spellEnd"/>
      <w:r w:rsidR="00556288" w:rsidRPr="00A07F29">
        <w:rPr>
          <w:rFonts w:ascii="Times New Roman" w:eastAsia="Calibri" w:hAnsi="Times New Roman" w:cs="Calibri"/>
          <w:sz w:val="24"/>
        </w:rPr>
        <w:t xml:space="preserve"> </w:t>
      </w:r>
      <w:proofErr w:type="spellStart"/>
      <w:r w:rsidRPr="00A07F29">
        <w:rPr>
          <w:rFonts w:ascii="Times New Roman" w:eastAsia="Calibri" w:hAnsi="Times New Roman" w:cs="Calibri"/>
          <w:i/>
          <w:iCs/>
          <w:sz w:val="24"/>
        </w:rPr>
        <w:t>Unio</w:t>
      </w:r>
      <w:proofErr w:type="spellEnd"/>
      <w:r w:rsidRPr="00A07F29">
        <w:rPr>
          <w:rFonts w:ascii="Times New Roman" w:eastAsia="Calibri" w:hAnsi="Times New Roman" w:cs="Calibri"/>
          <w:i/>
          <w:iCs/>
          <w:sz w:val="24"/>
        </w:rPr>
        <w:t xml:space="preserve"> </w:t>
      </w:r>
      <w:proofErr w:type="spellStart"/>
      <w:r w:rsidRPr="00A07F29">
        <w:rPr>
          <w:rFonts w:ascii="Times New Roman" w:eastAsia="Calibri" w:hAnsi="Times New Roman" w:cs="Calibri"/>
          <w:i/>
          <w:iCs/>
          <w:sz w:val="24"/>
        </w:rPr>
        <w:t>crassus</w:t>
      </w:r>
      <w:proofErr w:type="spellEnd"/>
      <w:r w:rsidRPr="00A07F29">
        <w:rPr>
          <w:rFonts w:ascii="Times New Roman" w:eastAsia="Calibri" w:hAnsi="Times New Roman" w:cs="Calibri"/>
          <w:sz w:val="24"/>
        </w:rPr>
        <w:t xml:space="preserve">, zirgskābeņu zilenīti </w:t>
      </w:r>
      <w:proofErr w:type="spellStart"/>
      <w:r w:rsidRPr="00A07F29">
        <w:rPr>
          <w:rFonts w:ascii="Times New Roman" w:eastAsia="Calibri" w:hAnsi="Times New Roman" w:cs="Calibri"/>
          <w:i/>
          <w:iCs/>
          <w:sz w:val="24"/>
        </w:rPr>
        <w:t>Lycaena</w:t>
      </w:r>
      <w:proofErr w:type="spellEnd"/>
      <w:r w:rsidRPr="00A07F29">
        <w:rPr>
          <w:rFonts w:ascii="Times New Roman" w:eastAsia="Calibri" w:hAnsi="Times New Roman" w:cs="Calibri"/>
          <w:i/>
          <w:iCs/>
          <w:sz w:val="24"/>
        </w:rPr>
        <w:t xml:space="preserve"> </w:t>
      </w:r>
      <w:proofErr w:type="spellStart"/>
      <w:r w:rsidRPr="00A07F29">
        <w:rPr>
          <w:rFonts w:ascii="Times New Roman" w:eastAsia="Calibri" w:hAnsi="Times New Roman" w:cs="Calibri"/>
          <w:i/>
          <w:iCs/>
          <w:sz w:val="24"/>
        </w:rPr>
        <w:t>dispar</w:t>
      </w:r>
      <w:proofErr w:type="spellEnd"/>
      <w:r w:rsidRPr="00A07F29">
        <w:rPr>
          <w:rFonts w:ascii="Times New Roman" w:eastAsia="Calibri" w:hAnsi="Times New Roman" w:cs="Calibri"/>
          <w:sz w:val="24"/>
        </w:rPr>
        <w:t>, strauta nēģi</w:t>
      </w:r>
      <w:r w:rsidRPr="00A07F29">
        <w:rPr>
          <w:rFonts w:ascii="Times New Roman" w:eastAsia="Calibri" w:hAnsi="Times New Roman" w:cs="Calibri"/>
          <w:i/>
          <w:iCs/>
          <w:sz w:val="24"/>
        </w:rPr>
        <w:t xml:space="preserve"> </w:t>
      </w:r>
      <w:proofErr w:type="spellStart"/>
      <w:r w:rsidRPr="00A07F29">
        <w:rPr>
          <w:rFonts w:ascii="Times New Roman" w:eastAsia="Calibri" w:hAnsi="Times New Roman" w:cs="Calibri"/>
          <w:i/>
          <w:iCs/>
          <w:sz w:val="24"/>
        </w:rPr>
        <w:t>Lampetra</w:t>
      </w:r>
      <w:proofErr w:type="spellEnd"/>
      <w:r w:rsidRPr="00A07F29">
        <w:rPr>
          <w:rFonts w:ascii="Times New Roman" w:eastAsia="Calibri" w:hAnsi="Times New Roman" w:cs="Calibri"/>
          <w:i/>
          <w:iCs/>
          <w:sz w:val="24"/>
        </w:rPr>
        <w:t xml:space="preserve"> </w:t>
      </w:r>
      <w:proofErr w:type="spellStart"/>
      <w:r w:rsidRPr="00A07F29">
        <w:rPr>
          <w:rFonts w:ascii="Times New Roman" w:eastAsia="Calibri" w:hAnsi="Times New Roman" w:cs="Calibri"/>
          <w:i/>
          <w:iCs/>
          <w:sz w:val="24"/>
        </w:rPr>
        <w:t>planeri</w:t>
      </w:r>
      <w:proofErr w:type="spellEnd"/>
      <w:r w:rsidRPr="00A07F29">
        <w:rPr>
          <w:rFonts w:ascii="Times New Roman" w:eastAsia="Calibri" w:hAnsi="Times New Roman" w:cs="Calibri"/>
          <w:sz w:val="24"/>
        </w:rPr>
        <w:t>, akmeņgrauzi</w:t>
      </w:r>
      <w:r w:rsidRPr="00A07F29">
        <w:rPr>
          <w:rFonts w:ascii="Times New Roman" w:eastAsia="Calibri" w:hAnsi="Times New Roman" w:cs="Calibri"/>
          <w:i/>
          <w:iCs/>
          <w:sz w:val="24"/>
        </w:rPr>
        <w:t xml:space="preserve"> </w:t>
      </w:r>
      <w:proofErr w:type="spellStart"/>
      <w:r w:rsidRPr="00A07F29">
        <w:rPr>
          <w:rFonts w:ascii="Times New Roman" w:eastAsia="Calibri" w:hAnsi="Times New Roman" w:cs="Calibri"/>
          <w:i/>
          <w:iCs/>
          <w:sz w:val="24"/>
        </w:rPr>
        <w:t>Cobitis</w:t>
      </w:r>
      <w:proofErr w:type="spellEnd"/>
      <w:r w:rsidRPr="00A07F29">
        <w:rPr>
          <w:rFonts w:ascii="Times New Roman" w:eastAsia="Calibri" w:hAnsi="Times New Roman" w:cs="Calibri"/>
          <w:i/>
          <w:iCs/>
          <w:sz w:val="24"/>
        </w:rPr>
        <w:t xml:space="preserve"> </w:t>
      </w:r>
      <w:proofErr w:type="spellStart"/>
      <w:r w:rsidRPr="00A07F29">
        <w:rPr>
          <w:rFonts w:ascii="Times New Roman" w:eastAsia="Calibri" w:hAnsi="Times New Roman" w:cs="Calibri"/>
          <w:i/>
          <w:iCs/>
          <w:sz w:val="24"/>
        </w:rPr>
        <w:t>taenia</w:t>
      </w:r>
      <w:proofErr w:type="spellEnd"/>
      <w:r w:rsidRPr="00A07F29">
        <w:rPr>
          <w:rFonts w:ascii="Times New Roman" w:eastAsia="Calibri" w:hAnsi="Times New Roman" w:cs="Calibri"/>
          <w:sz w:val="24"/>
        </w:rPr>
        <w:t xml:space="preserve">, </w:t>
      </w:r>
      <w:proofErr w:type="spellStart"/>
      <w:r w:rsidR="00556288" w:rsidRPr="00A07F29">
        <w:rPr>
          <w:rFonts w:ascii="Times New Roman" w:eastAsia="Calibri" w:hAnsi="Times New Roman" w:cs="Calibri"/>
          <w:sz w:val="24"/>
        </w:rPr>
        <w:t>platgalvi</w:t>
      </w:r>
      <w:proofErr w:type="spellEnd"/>
      <w:r w:rsidR="00556288" w:rsidRPr="00A07F29">
        <w:rPr>
          <w:rFonts w:ascii="Times New Roman" w:eastAsia="Calibri" w:hAnsi="Times New Roman" w:cs="Calibri"/>
          <w:i/>
          <w:iCs/>
          <w:sz w:val="24"/>
        </w:rPr>
        <w:t xml:space="preserve"> </w:t>
      </w:r>
      <w:proofErr w:type="spellStart"/>
      <w:r w:rsidRPr="00A07F29">
        <w:rPr>
          <w:rFonts w:ascii="Times New Roman" w:eastAsia="Calibri" w:hAnsi="Times New Roman" w:cs="Calibri"/>
          <w:i/>
          <w:iCs/>
          <w:sz w:val="24"/>
        </w:rPr>
        <w:t>Cottus</w:t>
      </w:r>
      <w:proofErr w:type="spellEnd"/>
      <w:r w:rsidRPr="00A07F29">
        <w:rPr>
          <w:rFonts w:ascii="Times New Roman" w:eastAsia="Calibri" w:hAnsi="Times New Roman" w:cs="Calibri"/>
          <w:i/>
          <w:iCs/>
          <w:sz w:val="24"/>
        </w:rPr>
        <w:t xml:space="preserve"> </w:t>
      </w:r>
      <w:proofErr w:type="spellStart"/>
      <w:r w:rsidRPr="00A07F29">
        <w:rPr>
          <w:rFonts w:ascii="Times New Roman" w:eastAsia="Calibri" w:hAnsi="Times New Roman" w:cs="Calibri"/>
          <w:i/>
          <w:iCs/>
          <w:sz w:val="24"/>
        </w:rPr>
        <w:t>gobio</w:t>
      </w:r>
      <w:proofErr w:type="spellEnd"/>
      <w:r w:rsidRPr="00A07F29">
        <w:rPr>
          <w:rFonts w:ascii="Times New Roman" w:eastAsia="Calibri" w:hAnsi="Times New Roman" w:cs="Calibri"/>
          <w:i/>
          <w:iCs/>
          <w:sz w:val="24"/>
        </w:rPr>
        <w:t xml:space="preserve">, </w:t>
      </w:r>
      <w:r w:rsidR="00556288" w:rsidRPr="00A07F29">
        <w:rPr>
          <w:rFonts w:ascii="Times New Roman" w:eastAsia="Calibri" w:hAnsi="Times New Roman" w:cs="Calibri"/>
          <w:sz w:val="24"/>
        </w:rPr>
        <w:t xml:space="preserve">salati </w:t>
      </w:r>
      <w:proofErr w:type="spellStart"/>
      <w:r w:rsidRPr="00A07F29">
        <w:rPr>
          <w:rFonts w:ascii="Times New Roman" w:eastAsia="Calibri" w:hAnsi="Times New Roman" w:cs="Calibri"/>
          <w:i/>
          <w:iCs/>
          <w:sz w:val="24"/>
        </w:rPr>
        <w:t>Aspius</w:t>
      </w:r>
      <w:proofErr w:type="spellEnd"/>
      <w:r w:rsidRPr="00A07F29">
        <w:rPr>
          <w:rFonts w:ascii="Times New Roman" w:eastAsia="Calibri" w:hAnsi="Times New Roman" w:cs="Calibri"/>
          <w:i/>
          <w:iCs/>
          <w:sz w:val="24"/>
        </w:rPr>
        <w:t xml:space="preserve"> </w:t>
      </w:r>
      <w:proofErr w:type="spellStart"/>
      <w:r w:rsidRPr="00A07F29">
        <w:rPr>
          <w:rFonts w:ascii="Times New Roman" w:eastAsia="Calibri" w:hAnsi="Times New Roman" w:cs="Calibri"/>
          <w:i/>
          <w:iCs/>
          <w:sz w:val="24"/>
        </w:rPr>
        <w:t>aspius</w:t>
      </w:r>
      <w:proofErr w:type="spellEnd"/>
      <w:r w:rsidRPr="00A07F29">
        <w:rPr>
          <w:rFonts w:ascii="Times New Roman" w:eastAsia="Calibri" w:hAnsi="Times New Roman" w:cs="Calibri"/>
          <w:sz w:val="24"/>
        </w:rPr>
        <w:t>,</w:t>
      </w:r>
      <w:r w:rsidRPr="00A07F29">
        <w:rPr>
          <w:rFonts w:ascii="Times New Roman" w:eastAsia="Calibri" w:hAnsi="Times New Roman" w:cs="Calibri"/>
          <w:i/>
          <w:iCs/>
          <w:sz w:val="24"/>
        </w:rPr>
        <w:t xml:space="preserve"> </w:t>
      </w:r>
      <w:proofErr w:type="spellStart"/>
      <w:r w:rsidR="00556288" w:rsidRPr="00A07F29">
        <w:rPr>
          <w:rFonts w:ascii="Times New Roman" w:eastAsia="Calibri" w:hAnsi="Times New Roman" w:cs="Calibri"/>
          <w:sz w:val="24"/>
        </w:rPr>
        <w:t>cepuraino</w:t>
      </w:r>
      <w:proofErr w:type="spellEnd"/>
      <w:r w:rsidR="00556288" w:rsidRPr="00A07F29">
        <w:rPr>
          <w:rFonts w:ascii="Times New Roman" w:eastAsia="Calibri" w:hAnsi="Times New Roman" w:cs="Calibri"/>
          <w:sz w:val="24"/>
        </w:rPr>
        <w:t xml:space="preserve"> </w:t>
      </w:r>
      <w:proofErr w:type="spellStart"/>
      <w:r w:rsidR="00556288" w:rsidRPr="00A07F29">
        <w:rPr>
          <w:rFonts w:ascii="Times New Roman" w:eastAsia="Calibri" w:hAnsi="Times New Roman" w:cs="Calibri"/>
          <w:sz w:val="24"/>
        </w:rPr>
        <w:t>neotianti</w:t>
      </w:r>
      <w:proofErr w:type="spellEnd"/>
      <w:r w:rsidR="00556288" w:rsidRPr="00A07F29">
        <w:rPr>
          <w:rFonts w:ascii="Times New Roman" w:eastAsia="Calibri" w:hAnsi="Times New Roman" w:cs="Calibri"/>
          <w:i/>
          <w:iCs/>
          <w:sz w:val="24"/>
        </w:rPr>
        <w:t xml:space="preserve"> </w:t>
      </w:r>
      <w:proofErr w:type="spellStart"/>
      <w:r w:rsidRPr="00A07F29">
        <w:rPr>
          <w:rFonts w:ascii="Times New Roman" w:eastAsia="Calibri" w:hAnsi="Times New Roman" w:cs="Calibri"/>
          <w:i/>
          <w:iCs/>
          <w:sz w:val="24"/>
        </w:rPr>
        <w:t>Cephalantera</w:t>
      </w:r>
      <w:proofErr w:type="spellEnd"/>
      <w:r w:rsidRPr="00A07F29">
        <w:rPr>
          <w:rFonts w:ascii="Times New Roman" w:eastAsia="Calibri" w:hAnsi="Times New Roman" w:cs="Calibri"/>
          <w:i/>
          <w:iCs/>
          <w:sz w:val="24"/>
        </w:rPr>
        <w:t xml:space="preserve"> </w:t>
      </w:r>
      <w:proofErr w:type="spellStart"/>
      <w:r w:rsidRPr="00A07F29">
        <w:rPr>
          <w:rFonts w:ascii="Times New Roman" w:eastAsia="Calibri" w:hAnsi="Times New Roman" w:cs="Calibri"/>
          <w:i/>
          <w:iCs/>
          <w:sz w:val="24"/>
        </w:rPr>
        <w:t>cucullata</w:t>
      </w:r>
      <w:proofErr w:type="spellEnd"/>
      <w:r w:rsidRPr="00A07F29">
        <w:rPr>
          <w:rFonts w:ascii="Times New Roman" w:eastAsia="Calibri" w:hAnsi="Times New Roman" w:cs="Calibri"/>
          <w:sz w:val="24"/>
        </w:rPr>
        <w:t>,</w:t>
      </w:r>
      <w:r w:rsidRPr="00A07F29">
        <w:rPr>
          <w:rFonts w:ascii="Times New Roman" w:eastAsia="Calibri" w:hAnsi="Times New Roman" w:cs="Calibri"/>
          <w:i/>
          <w:iCs/>
          <w:sz w:val="24"/>
        </w:rPr>
        <w:t xml:space="preserve"> </w:t>
      </w:r>
      <w:r w:rsidR="00556288" w:rsidRPr="00A07F29">
        <w:rPr>
          <w:rFonts w:ascii="Times New Roman" w:eastAsia="Calibri" w:hAnsi="Times New Roman" w:cs="Calibri"/>
          <w:sz w:val="24"/>
        </w:rPr>
        <w:t>dzelteno akmeņlauzīti</w:t>
      </w:r>
      <w:r w:rsidR="00556288" w:rsidRPr="00A07F29">
        <w:rPr>
          <w:rFonts w:ascii="Times New Roman" w:eastAsia="Calibri" w:hAnsi="Times New Roman" w:cs="Calibri"/>
          <w:i/>
          <w:iCs/>
          <w:sz w:val="24"/>
        </w:rPr>
        <w:t xml:space="preserve"> </w:t>
      </w:r>
      <w:proofErr w:type="spellStart"/>
      <w:r w:rsidRPr="00A07F29">
        <w:rPr>
          <w:rFonts w:ascii="Times New Roman" w:eastAsia="Calibri" w:hAnsi="Times New Roman" w:cs="Calibri"/>
          <w:i/>
          <w:iCs/>
          <w:sz w:val="24"/>
        </w:rPr>
        <w:t>Saxifraga</w:t>
      </w:r>
      <w:proofErr w:type="spellEnd"/>
      <w:r w:rsidRPr="00A07F29">
        <w:rPr>
          <w:rFonts w:ascii="Times New Roman" w:eastAsia="Calibri" w:hAnsi="Times New Roman" w:cs="Calibri"/>
          <w:i/>
          <w:iCs/>
          <w:sz w:val="24"/>
        </w:rPr>
        <w:t xml:space="preserve"> </w:t>
      </w:r>
      <w:proofErr w:type="spellStart"/>
      <w:r w:rsidRPr="00A07F29">
        <w:rPr>
          <w:rFonts w:ascii="Times New Roman" w:eastAsia="Calibri" w:hAnsi="Times New Roman" w:cs="Calibri"/>
          <w:i/>
          <w:iCs/>
          <w:sz w:val="24"/>
        </w:rPr>
        <w:t>hirculus</w:t>
      </w:r>
      <w:proofErr w:type="spellEnd"/>
      <w:r w:rsidRPr="00A07F29">
        <w:rPr>
          <w:rFonts w:ascii="Times New Roman" w:eastAsia="Calibri" w:hAnsi="Times New Roman" w:cs="Calibri"/>
          <w:sz w:val="24"/>
        </w:rPr>
        <w:t>,</w:t>
      </w:r>
      <w:r w:rsidRPr="00A07F29">
        <w:rPr>
          <w:rFonts w:ascii="Times New Roman" w:eastAsia="Calibri" w:hAnsi="Times New Roman" w:cs="Calibri"/>
          <w:i/>
          <w:iCs/>
          <w:sz w:val="24"/>
        </w:rPr>
        <w:t xml:space="preserve"> </w:t>
      </w:r>
      <w:r w:rsidRPr="00A07F29">
        <w:rPr>
          <w:rFonts w:ascii="Times New Roman" w:eastAsia="Calibri" w:hAnsi="Times New Roman" w:cs="Calibri"/>
          <w:sz w:val="24"/>
        </w:rPr>
        <w:t>spīdīg</w:t>
      </w:r>
      <w:r w:rsidR="00556288" w:rsidRPr="00A07F29">
        <w:rPr>
          <w:rFonts w:ascii="Times New Roman" w:eastAsia="Calibri" w:hAnsi="Times New Roman" w:cs="Calibri"/>
          <w:sz w:val="24"/>
        </w:rPr>
        <w:t>o</w:t>
      </w:r>
      <w:r w:rsidRPr="00A07F29">
        <w:rPr>
          <w:rFonts w:ascii="Times New Roman" w:eastAsia="Calibri" w:hAnsi="Times New Roman" w:cs="Calibri"/>
          <w:sz w:val="24"/>
        </w:rPr>
        <w:t xml:space="preserve"> </w:t>
      </w:r>
      <w:r w:rsidR="00556288" w:rsidRPr="00A07F29">
        <w:rPr>
          <w:rFonts w:ascii="Times New Roman" w:eastAsia="Calibri" w:hAnsi="Times New Roman" w:cs="Calibri"/>
          <w:sz w:val="24"/>
        </w:rPr>
        <w:t>āķīti</w:t>
      </w:r>
      <w:r w:rsidR="00556288" w:rsidRPr="00A07F29">
        <w:rPr>
          <w:rFonts w:ascii="Times New Roman" w:eastAsia="Calibri" w:hAnsi="Times New Roman" w:cs="Calibri"/>
          <w:i/>
          <w:iCs/>
          <w:sz w:val="24"/>
        </w:rPr>
        <w:t xml:space="preserve"> </w:t>
      </w:r>
      <w:proofErr w:type="spellStart"/>
      <w:r w:rsidRPr="00A07F29">
        <w:rPr>
          <w:rFonts w:ascii="Times New Roman" w:eastAsia="Calibri" w:hAnsi="Times New Roman" w:cs="Calibri"/>
          <w:i/>
          <w:iCs/>
          <w:sz w:val="24"/>
        </w:rPr>
        <w:t>Hamatocaulis</w:t>
      </w:r>
      <w:proofErr w:type="spellEnd"/>
      <w:r w:rsidRPr="00A07F29">
        <w:rPr>
          <w:rFonts w:ascii="Times New Roman" w:eastAsia="Calibri" w:hAnsi="Times New Roman" w:cs="Calibri"/>
          <w:i/>
          <w:iCs/>
          <w:sz w:val="24"/>
        </w:rPr>
        <w:t xml:space="preserve"> </w:t>
      </w:r>
      <w:proofErr w:type="spellStart"/>
      <w:r w:rsidRPr="00A07F29">
        <w:rPr>
          <w:rFonts w:ascii="Times New Roman" w:eastAsia="Calibri" w:hAnsi="Times New Roman" w:cs="Calibri"/>
          <w:i/>
          <w:iCs/>
          <w:sz w:val="24"/>
        </w:rPr>
        <w:t>vernicosus</w:t>
      </w:r>
      <w:proofErr w:type="spellEnd"/>
      <w:r w:rsidRPr="00A07F29">
        <w:rPr>
          <w:rFonts w:ascii="Times New Roman" w:eastAsia="Calibri" w:hAnsi="Times New Roman" w:cs="Calibri"/>
          <w:sz w:val="24"/>
        </w:rPr>
        <w:t>,</w:t>
      </w:r>
      <w:r w:rsidRPr="00A07F29">
        <w:rPr>
          <w:rFonts w:ascii="Times New Roman" w:eastAsia="Calibri" w:hAnsi="Times New Roman" w:cs="Calibri"/>
          <w:i/>
          <w:iCs/>
          <w:sz w:val="24"/>
        </w:rPr>
        <w:t xml:space="preserve"> </w:t>
      </w:r>
      <w:r w:rsidRPr="00A07F29">
        <w:rPr>
          <w:rFonts w:ascii="Times New Roman" w:eastAsia="Calibri" w:hAnsi="Times New Roman" w:cs="Calibri"/>
          <w:sz w:val="24"/>
        </w:rPr>
        <w:t>meža silpuren</w:t>
      </w:r>
      <w:r w:rsidR="00556288" w:rsidRPr="00A07F29">
        <w:rPr>
          <w:rFonts w:ascii="Times New Roman" w:eastAsia="Calibri" w:hAnsi="Times New Roman" w:cs="Calibri"/>
          <w:sz w:val="24"/>
        </w:rPr>
        <w:t>i</w:t>
      </w:r>
      <w:r w:rsidRPr="00A07F29">
        <w:rPr>
          <w:rFonts w:ascii="Times New Roman" w:eastAsia="Calibri" w:hAnsi="Times New Roman" w:cs="Calibri"/>
          <w:i/>
          <w:iCs/>
          <w:sz w:val="24"/>
        </w:rPr>
        <w:t xml:space="preserve"> </w:t>
      </w:r>
      <w:proofErr w:type="spellStart"/>
      <w:r w:rsidRPr="00A07F29">
        <w:rPr>
          <w:rFonts w:ascii="Times New Roman" w:eastAsia="Calibri" w:hAnsi="Times New Roman" w:cs="Calibri"/>
          <w:i/>
          <w:iCs/>
          <w:sz w:val="24"/>
        </w:rPr>
        <w:t>Pulsatilla</w:t>
      </w:r>
      <w:proofErr w:type="spellEnd"/>
      <w:r w:rsidRPr="00A07F29">
        <w:rPr>
          <w:rFonts w:ascii="Times New Roman" w:eastAsia="Calibri" w:hAnsi="Times New Roman" w:cs="Calibri"/>
          <w:i/>
          <w:iCs/>
          <w:sz w:val="24"/>
        </w:rPr>
        <w:t xml:space="preserve"> </w:t>
      </w:r>
      <w:proofErr w:type="spellStart"/>
      <w:r w:rsidRPr="00A07F29">
        <w:rPr>
          <w:rFonts w:ascii="Times New Roman" w:eastAsia="Calibri" w:hAnsi="Times New Roman" w:cs="Calibri"/>
          <w:i/>
          <w:iCs/>
          <w:sz w:val="24"/>
        </w:rPr>
        <w:t>patens</w:t>
      </w:r>
      <w:proofErr w:type="spellEnd"/>
      <w:r w:rsidRPr="00A07F29">
        <w:rPr>
          <w:rFonts w:ascii="Times New Roman" w:eastAsia="Calibri" w:hAnsi="Times New Roman" w:cs="Calibri"/>
          <w:sz w:val="24"/>
        </w:rPr>
        <w:t>,</w:t>
      </w:r>
      <w:r w:rsidRPr="00A07F29">
        <w:rPr>
          <w:rFonts w:ascii="Times New Roman" w:eastAsia="Calibri" w:hAnsi="Times New Roman" w:cs="Calibri"/>
          <w:i/>
          <w:iCs/>
          <w:sz w:val="24"/>
        </w:rPr>
        <w:t xml:space="preserve"> </w:t>
      </w:r>
      <w:r w:rsidR="00556288" w:rsidRPr="00A07F29">
        <w:rPr>
          <w:rFonts w:ascii="Times New Roman" w:eastAsia="Calibri" w:hAnsi="Times New Roman" w:cs="Calibri"/>
          <w:sz w:val="24"/>
        </w:rPr>
        <w:t xml:space="preserve">spilvaino </w:t>
      </w:r>
      <w:proofErr w:type="spellStart"/>
      <w:r w:rsidRPr="00A07F29">
        <w:rPr>
          <w:rFonts w:ascii="Times New Roman" w:eastAsia="Calibri" w:hAnsi="Times New Roman" w:cs="Calibri"/>
          <w:sz w:val="24"/>
        </w:rPr>
        <w:t>ancīti</w:t>
      </w:r>
      <w:proofErr w:type="spellEnd"/>
      <w:r w:rsidRPr="00A07F29">
        <w:rPr>
          <w:rFonts w:ascii="Times New Roman" w:eastAsia="Calibri" w:hAnsi="Times New Roman" w:cs="Calibri"/>
          <w:i/>
          <w:iCs/>
          <w:sz w:val="24"/>
        </w:rPr>
        <w:t xml:space="preserve"> </w:t>
      </w:r>
      <w:proofErr w:type="spellStart"/>
      <w:r w:rsidRPr="00A07F29">
        <w:rPr>
          <w:rFonts w:ascii="Times New Roman" w:eastAsia="Calibri" w:hAnsi="Times New Roman" w:cs="Calibri"/>
          <w:i/>
          <w:iCs/>
          <w:sz w:val="24"/>
        </w:rPr>
        <w:t>Agrimonia</w:t>
      </w:r>
      <w:proofErr w:type="spellEnd"/>
      <w:r w:rsidRPr="00A07F29">
        <w:rPr>
          <w:rFonts w:ascii="Times New Roman" w:eastAsia="Calibri" w:hAnsi="Times New Roman" w:cs="Calibri"/>
          <w:i/>
          <w:iCs/>
          <w:sz w:val="24"/>
        </w:rPr>
        <w:t xml:space="preserve"> </w:t>
      </w:r>
      <w:proofErr w:type="spellStart"/>
      <w:r w:rsidRPr="00A07F29">
        <w:rPr>
          <w:rFonts w:ascii="Times New Roman" w:eastAsia="Calibri" w:hAnsi="Times New Roman" w:cs="Calibri"/>
          <w:i/>
          <w:iCs/>
          <w:sz w:val="24"/>
        </w:rPr>
        <w:t>pilosa</w:t>
      </w:r>
      <w:proofErr w:type="spellEnd"/>
      <w:r w:rsidRPr="00A07F29">
        <w:rPr>
          <w:rFonts w:ascii="Times New Roman" w:eastAsia="Calibri" w:hAnsi="Times New Roman" w:cs="Calibri"/>
          <w:i/>
          <w:iCs/>
          <w:sz w:val="24"/>
        </w:rPr>
        <w:t xml:space="preserve">, </w:t>
      </w:r>
      <w:proofErr w:type="spellStart"/>
      <w:r w:rsidRPr="00A07F29">
        <w:rPr>
          <w:rFonts w:ascii="Times New Roman" w:eastAsia="Calibri" w:hAnsi="Times New Roman" w:cs="Calibri"/>
          <w:sz w:val="24"/>
        </w:rPr>
        <w:t>Lēzeļa</w:t>
      </w:r>
      <w:proofErr w:type="spellEnd"/>
      <w:r w:rsidRPr="00A07F29">
        <w:rPr>
          <w:rFonts w:ascii="Times New Roman" w:eastAsia="Calibri" w:hAnsi="Times New Roman" w:cs="Calibri"/>
          <w:sz w:val="24"/>
        </w:rPr>
        <w:t xml:space="preserve"> </w:t>
      </w:r>
      <w:proofErr w:type="spellStart"/>
      <w:r w:rsidR="00556288" w:rsidRPr="00A07F29">
        <w:rPr>
          <w:rFonts w:ascii="Times New Roman" w:eastAsia="Calibri" w:hAnsi="Times New Roman" w:cs="Calibri"/>
          <w:sz w:val="24"/>
        </w:rPr>
        <w:t>lipari</w:t>
      </w:r>
      <w:proofErr w:type="spellEnd"/>
      <w:r w:rsidR="00556288" w:rsidRPr="00A07F29">
        <w:rPr>
          <w:rFonts w:ascii="Times New Roman" w:eastAsia="Calibri" w:hAnsi="Times New Roman" w:cs="Calibri"/>
          <w:i/>
          <w:iCs/>
          <w:sz w:val="24"/>
        </w:rPr>
        <w:t xml:space="preserve"> </w:t>
      </w:r>
      <w:proofErr w:type="spellStart"/>
      <w:r w:rsidRPr="00A07F29">
        <w:rPr>
          <w:rFonts w:ascii="Times New Roman" w:eastAsia="Calibri" w:hAnsi="Times New Roman" w:cs="Calibri"/>
          <w:i/>
          <w:iCs/>
          <w:sz w:val="24"/>
        </w:rPr>
        <w:t>Liparis</w:t>
      </w:r>
      <w:proofErr w:type="spellEnd"/>
      <w:r w:rsidRPr="00A07F29">
        <w:rPr>
          <w:rFonts w:ascii="Times New Roman" w:eastAsia="Calibri" w:hAnsi="Times New Roman" w:cs="Calibri"/>
          <w:i/>
          <w:iCs/>
          <w:sz w:val="24"/>
        </w:rPr>
        <w:t xml:space="preserve"> </w:t>
      </w:r>
      <w:proofErr w:type="spellStart"/>
      <w:r w:rsidRPr="00A07F29">
        <w:rPr>
          <w:rFonts w:ascii="Times New Roman" w:eastAsia="Calibri" w:hAnsi="Times New Roman" w:cs="Calibri"/>
          <w:i/>
          <w:iCs/>
          <w:sz w:val="24"/>
        </w:rPr>
        <w:t>loeselii</w:t>
      </w:r>
      <w:proofErr w:type="spellEnd"/>
      <w:r w:rsidR="00C301E6" w:rsidRPr="00A07F29">
        <w:rPr>
          <w:rFonts w:ascii="Times New Roman" w:eastAsia="Calibri" w:hAnsi="Times New Roman" w:cs="Calibri"/>
          <w:sz w:val="24"/>
        </w:rPr>
        <w:t>.</w:t>
      </w:r>
      <w:r w:rsidR="00556288" w:rsidRPr="00A07F29">
        <w:rPr>
          <w:rFonts w:ascii="Times New Roman" w:eastAsia="Calibri" w:hAnsi="Times New Roman" w:cs="Calibri"/>
          <w:sz w:val="24"/>
        </w:rPr>
        <w:t xml:space="preserve"> AAA “Augšdaugava” teritorijā </w:t>
      </w:r>
      <w:r w:rsidR="005E73E4" w:rsidRPr="00A07F29">
        <w:rPr>
          <w:rFonts w:ascii="Times New Roman" w:eastAsia="Calibri" w:hAnsi="Times New Roman" w:cs="Calibri"/>
          <w:sz w:val="24"/>
        </w:rPr>
        <w:t xml:space="preserve">pavisam </w:t>
      </w:r>
      <w:r w:rsidR="00556288" w:rsidRPr="00A07F29">
        <w:rPr>
          <w:rFonts w:ascii="Times New Roman" w:eastAsia="Calibri" w:hAnsi="Times New Roman" w:cs="Calibri"/>
          <w:sz w:val="24"/>
        </w:rPr>
        <w:t xml:space="preserve">konstatēti </w:t>
      </w:r>
      <w:r w:rsidR="00CA6A29" w:rsidRPr="00A07F29">
        <w:rPr>
          <w:rFonts w:ascii="Times New Roman" w:eastAsia="Calibri" w:hAnsi="Times New Roman" w:cs="Calibri"/>
          <w:sz w:val="24"/>
          <w:lang w:eastAsia="ja-JP"/>
        </w:rPr>
        <w:t xml:space="preserve">28 </w:t>
      </w:r>
      <w:r w:rsidR="00556288" w:rsidRPr="00A07F29">
        <w:rPr>
          <w:rFonts w:ascii="Times New Roman" w:eastAsia="Calibri" w:hAnsi="Times New Roman" w:cs="Calibri"/>
          <w:sz w:val="24"/>
          <w:lang w:eastAsia="ja-JP"/>
        </w:rPr>
        <w:t xml:space="preserve">ES nozīmes biotopu veidi </w:t>
      </w:r>
      <w:r w:rsidR="00920FBB" w:rsidRPr="00A07F29">
        <w:rPr>
          <w:rFonts w:ascii="Times New Roman" w:eastAsia="Calibri" w:hAnsi="Times New Roman" w:cs="Calibri"/>
          <w:sz w:val="24"/>
          <w:lang w:eastAsia="ja-JP"/>
        </w:rPr>
        <w:t>(</w:t>
      </w:r>
      <w:r w:rsidR="00CD3A00" w:rsidRPr="00A07F29">
        <w:rPr>
          <w:rFonts w:ascii="Times New Roman" w:eastAsia="Calibri" w:hAnsi="Times New Roman" w:cs="Calibri"/>
          <w:sz w:val="24"/>
          <w:lang w:eastAsia="ja-JP"/>
        </w:rPr>
        <w:t xml:space="preserve">skat. </w:t>
      </w:r>
      <w:r w:rsidR="00920FBB" w:rsidRPr="00A07F29">
        <w:rPr>
          <w:rFonts w:ascii="Times New Roman" w:eastAsia="Calibri" w:hAnsi="Times New Roman" w:cs="Calibri"/>
          <w:sz w:val="24"/>
          <w:lang w:eastAsia="ja-JP"/>
        </w:rPr>
        <w:t>4.3.1.</w:t>
      </w:r>
      <w:r w:rsidR="00CD3A00" w:rsidRPr="00A07F29">
        <w:rPr>
          <w:rFonts w:ascii="Times New Roman" w:eastAsia="Calibri" w:hAnsi="Times New Roman" w:cs="Calibri"/>
          <w:sz w:val="24"/>
          <w:lang w:eastAsia="ja-JP"/>
        </w:rPr>
        <w:t> </w:t>
      </w:r>
      <w:r w:rsidR="00920FBB" w:rsidRPr="00A07F29">
        <w:rPr>
          <w:rFonts w:ascii="Times New Roman" w:eastAsia="Calibri" w:hAnsi="Times New Roman" w:cs="Calibri"/>
          <w:sz w:val="24"/>
          <w:lang w:eastAsia="ja-JP"/>
        </w:rPr>
        <w:t xml:space="preserve">tabula), </w:t>
      </w:r>
      <w:r w:rsidR="00556288" w:rsidRPr="00A07F29">
        <w:rPr>
          <w:rFonts w:ascii="Times New Roman" w:eastAsia="Calibri" w:hAnsi="Times New Roman" w:cs="Calibri"/>
          <w:sz w:val="24"/>
          <w:lang w:eastAsia="ja-JP"/>
        </w:rPr>
        <w:t xml:space="preserve">un </w:t>
      </w:r>
      <w:r w:rsidR="005E73E4" w:rsidRPr="00A07F29">
        <w:rPr>
          <w:rFonts w:ascii="Times New Roman" w:eastAsia="Calibri" w:hAnsi="Times New Roman" w:cs="Calibri"/>
          <w:sz w:val="24"/>
          <w:lang w:eastAsia="ja-JP"/>
        </w:rPr>
        <w:t>nozīmīg</w:t>
      </w:r>
      <w:r w:rsidR="00920FBB" w:rsidRPr="00A07F29">
        <w:rPr>
          <w:rFonts w:ascii="Times New Roman" w:eastAsia="Calibri" w:hAnsi="Times New Roman" w:cs="Calibri"/>
          <w:sz w:val="24"/>
          <w:lang w:eastAsia="ja-JP"/>
        </w:rPr>
        <w:t>as platības aizņem</w:t>
      </w:r>
      <w:r w:rsidR="00556288" w:rsidRPr="00A07F29">
        <w:rPr>
          <w:rFonts w:ascii="Times New Roman" w:eastAsia="Calibri" w:hAnsi="Times New Roman" w:cs="Calibri"/>
          <w:sz w:val="24"/>
          <w:lang w:eastAsia="ja-JP"/>
        </w:rPr>
        <w:t xml:space="preserve"> arī 9010*</w:t>
      </w:r>
      <w:r w:rsidR="005E73E4" w:rsidRPr="00A07F29">
        <w:rPr>
          <w:rFonts w:ascii="Times New Roman" w:eastAsia="Calibri" w:hAnsi="Times New Roman" w:cs="Calibri"/>
          <w:sz w:val="24"/>
          <w:lang w:eastAsia="ja-JP"/>
        </w:rPr>
        <w:t> </w:t>
      </w:r>
      <w:r w:rsidR="00556288" w:rsidRPr="00A07F29">
        <w:rPr>
          <w:rFonts w:ascii="Times New Roman" w:eastAsia="Calibri" w:hAnsi="Times New Roman" w:cs="Calibri"/>
          <w:i/>
          <w:sz w:val="24"/>
          <w:lang w:eastAsia="ja-JP"/>
        </w:rPr>
        <w:t xml:space="preserve">Veci vai dabiski </w:t>
      </w:r>
      <w:proofErr w:type="spellStart"/>
      <w:r w:rsidR="00556288" w:rsidRPr="00A07F29">
        <w:rPr>
          <w:rFonts w:ascii="Times New Roman" w:eastAsia="Calibri" w:hAnsi="Times New Roman" w:cs="Calibri"/>
          <w:i/>
          <w:sz w:val="24"/>
          <w:lang w:eastAsia="ja-JP"/>
        </w:rPr>
        <w:t>boreāli</w:t>
      </w:r>
      <w:proofErr w:type="spellEnd"/>
      <w:r w:rsidR="00556288" w:rsidRPr="00A07F29">
        <w:rPr>
          <w:rFonts w:ascii="Times New Roman" w:eastAsia="Calibri" w:hAnsi="Times New Roman" w:cs="Calibri"/>
          <w:i/>
          <w:sz w:val="24"/>
          <w:lang w:eastAsia="ja-JP"/>
        </w:rPr>
        <w:t xml:space="preserve"> meži</w:t>
      </w:r>
      <w:r w:rsidR="00556288" w:rsidRPr="00A07F29">
        <w:rPr>
          <w:rFonts w:ascii="Times New Roman" w:eastAsia="Calibri" w:hAnsi="Times New Roman" w:cs="Calibri"/>
          <w:sz w:val="24"/>
          <w:lang w:eastAsia="ja-JP"/>
        </w:rPr>
        <w:t xml:space="preserve">, </w:t>
      </w:r>
      <w:r w:rsidR="00920FBB" w:rsidRPr="00A07F29">
        <w:rPr>
          <w:rFonts w:ascii="Times New Roman" w:eastAsia="Calibri" w:hAnsi="Times New Roman" w:cs="Calibri"/>
          <w:sz w:val="24"/>
          <w:lang w:eastAsia="ja-JP"/>
        </w:rPr>
        <w:t xml:space="preserve">9050 </w:t>
      </w:r>
      <w:r w:rsidR="00920FBB" w:rsidRPr="00A07F29">
        <w:rPr>
          <w:rFonts w:ascii="Times New Roman" w:eastAsia="Calibri" w:hAnsi="Times New Roman" w:cs="Calibri"/>
          <w:i/>
          <w:sz w:val="24"/>
          <w:lang w:eastAsia="ja-JP"/>
        </w:rPr>
        <w:t>Lakstaugiem bagāti egļu meži</w:t>
      </w:r>
      <w:r w:rsidR="00920FBB" w:rsidRPr="00A07F29">
        <w:rPr>
          <w:rFonts w:ascii="Times New Roman" w:eastAsia="Calibri" w:hAnsi="Times New Roman" w:cs="Calibri"/>
          <w:sz w:val="24"/>
          <w:lang w:eastAsia="ja-JP"/>
        </w:rPr>
        <w:t xml:space="preserve">, </w:t>
      </w:r>
      <w:r w:rsidR="005E73E4" w:rsidRPr="00A07F29">
        <w:rPr>
          <w:rFonts w:ascii="Times New Roman" w:eastAsia="Calibri" w:hAnsi="Times New Roman" w:cs="Calibri"/>
          <w:sz w:val="24"/>
          <w:lang w:eastAsia="ja-JP"/>
        </w:rPr>
        <w:t>6430 </w:t>
      </w:r>
      <w:proofErr w:type="spellStart"/>
      <w:r w:rsidR="005E73E4" w:rsidRPr="00A07F29">
        <w:rPr>
          <w:rFonts w:ascii="Times New Roman" w:eastAsia="Calibri" w:hAnsi="Times New Roman" w:cs="Calibri"/>
          <w:i/>
          <w:sz w:val="24"/>
          <w:lang w:eastAsia="ja-JP"/>
        </w:rPr>
        <w:t>Eitrofas</w:t>
      </w:r>
      <w:proofErr w:type="spellEnd"/>
      <w:r w:rsidR="005E73E4" w:rsidRPr="00A07F29">
        <w:rPr>
          <w:rFonts w:ascii="Times New Roman" w:eastAsia="Calibri" w:hAnsi="Times New Roman" w:cs="Calibri"/>
          <w:i/>
          <w:sz w:val="24"/>
          <w:lang w:eastAsia="ja-JP"/>
        </w:rPr>
        <w:t xml:space="preserve"> augsto lakstaugu audzes</w:t>
      </w:r>
      <w:r w:rsidR="005E73E4" w:rsidRPr="00A07F29">
        <w:rPr>
          <w:rFonts w:ascii="Times New Roman" w:eastAsia="Calibri" w:hAnsi="Times New Roman" w:cs="Calibri"/>
          <w:sz w:val="24"/>
          <w:lang w:eastAsia="ja-JP"/>
        </w:rPr>
        <w:t>, 6450 </w:t>
      </w:r>
      <w:r w:rsidR="005E73E4" w:rsidRPr="00A07F29">
        <w:rPr>
          <w:rFonts w:ascii="Times New Roman" w:eastAsia="Calibri" w:hAnsi="Times New Roman" w:cs="Calibri"/>
          <w:i/>
          <w:sz w:val="24"/>
          <w:lang w:eastAsia="ja-JP"/>
        </w:rPr>
        <w:t>Palieņu zālāji</w:t>
      </w:r>
      <w:r w:rsidR="005E73E4" w:rsidRPr="00A07F29">
        <w:rPr>
          <w:rFonts w:ascii="Times New Roman" w:eastAsia="Calibri" w:hAnsi="Times New Roman" w:cs="Calibri"/>
          <w:sz w:val="24"/>
          <w:lang w:eastAsia="ja-JP"/>
        </w:rPr>
        <w:t xml:space="preserve">, </w:t>
      </w:r>
      <w:r w:rsidR="00920FBB" w:rsidRPr="00A07F29">
        <w:rPr>
          <w:rFonts w:ascii="Times New Roman" w:eastAsia="Calibri" w:hAnsi="Times New Roman" w:cs="Calibri"/>
          <w:sz w:val="24"/>
          <w:lang w:eastAsia="ja-JP"/>
        </w:rPr>
        <w:t xml:space="preserve">7140 </w:t>
      </w:r>
      <w:r w:rsidR="00920FBB" w:rsidRPr="00A07F29">
        <w:rPr>
          <w:rFonts w:ascii="Times New Roman" w:eastAsia="Calibri" w:hAnsi="Times New Roman" w:cs="Calibri"/>
          <w:i/>
          <w:sz w:val="24"/>
          <w:lang w:eastAsia="ja-JP"/>
        </w:rPr>
        <w:t>Pārejas purvi un slīkšņas</w:t>
      </w:r>
      <w:r w:rsidR="005E73E4" w:rsidRPr="00A07F29">
        <w:rPr>
          <w:rFonts w:ascii="Times New Roman" w:eastAsia="Calibri" w:hAnsi="Times New Roman" w:cs="Calibri"/>
          <w:sz w:val="24"/>
          <w:lang w:eastAsia="ja-JP"/>
        </w:rPr>
        <w:t>, 3150 </w:t>
      </w:r>
      <w:proofErr w:type="spellStart"/>
      <w:r w:rsidR="005E73E4" w:rsidRPr="00A07F29">
        <w:rPr>
          <w:rFonts w:ascii="Times New Roman" w:eastAsia="Calibri" w:hAnsi="Times New Roman" w:cs="Calibri"/>
          <w:i/>
          <w:sz w:val="24"/>
          <w:lang w:eastAsia="ja-JP"/>
        </w:rPr>
        <w:t>Eitrofi</w:t>
      </w:r>
      <w:proofErr w:type="spellEnd"/>
      <w:r w:rsidR="005E73E4" w:rsidRPr="00A07F29">
        <w:rPr>
          <w:rFonts w:ascii="Times New Roman" w:eastAsia="Calibri" w:hAnsi="Times New Roman" w:cs="Calibri"/>
          <w:i/>
          <w:sz w:val="24"/>
          <w:lang w:eastAsia="ja-JP"/>
        </w:rPr>
        <w:t xml:space="preserve"> ezeri ar iegrimušo ūdensaugu un </w:t>
      </w:r>
      <w:proofErr w:type="spellStart"/>
      <w:r w:rsidR="005E73E4" w:rsidRPr="00A07F29">
        <w:rPr>
          <w:rFonts w:ascii="Times New Roman" w:eastAsia="Calibri" w:hAnsi="Times New Roman" w:cs="Calibri"/>
          <w:i/>
          <w:sz w:val="24"/>
          <w:lang w:eastAsia="ja-JP"/>
        </w:rPr>
        <w:t>peldaugu</w:t>
      </w:r>
      <w:proofErr w:type="spellEnd"/>
      <w:r w:rsidR="005E73E4" w:rsidRPr="00A07F29">
        <w:rPr>
          <w:rFonts w:ascii="Times New Roman" w:eastAsia="Calibri" w:hAnsi="Times New Roman" w:cs="Calibri"/>
          <w:i/>
          <w:sz w:val="24"/>
          <w:lang w:eastAsia="ja-JP"/>
        </w:rPr>
        <w:t xml:space="preserve"> augāju</w:t>
      </w:r>
      <w:r w:rsidR="005E73E4" w:rsidRPr="00A07F29">
        <w:rPr>
          <w:rFonts w:ascii="Times New Roman" w:eastAsia="Calibri" w:hAnsi="Times New Roman" w:cs="Calibri"/>
          <w:sz w:val="24"/>
          <w:lang w:eastAsia="ja-JP"/>
        </w:rPr>
        <w:t xml:space="preserve">, 3130 </w:t>
      </w:r>
      <w:r w:rsidR="005E73E4" w:rsidRPr="00A07F29">
        <w:rPr>
          <w:rFonts w:ascii="Times New Roman" w:eastAsia="Calibri" w:hAnsi="Times New Roman" w:cs="Calibri"/>
          <w:i/>
          <w:sz w:val="24"/>
          <w:lang w:eastAsia="ja-JP"/>
        </w:rPr>
        <w:t xml:space="preserve">Ezeri ar </w:t>
      </w:r>
      <w:proofErr w:type="spellStart"/>
      <w:r w:rsidR="005E73E4" w:rsidRPr="00A07F29">
        <w:rPr>
          <w:rFonts w:ascii="Times New Roman" w:eastAsia="Calibri" w:hAnsi="Times New Roman" w:cs="Calibri"/>
          <w:i/>
          <w:sz w:val="24"/>
          <w:lang w:eastAsia="ja-JP"/>
        </w:rPr>
        <w:t>oligotrofām</w:t>
      </w:r>
      <w:proofErr w:type="spellEnd"/>
      <w:r w:rsidR="005E73E4" w:rsidRPr="00A07F29">
        <w:rPr>
          <w:rFonts w:ascii="Times New Roman" w:eastAsia="Calibri" w:hAnsi="Times New Roman" w:cs="Calibri"/>
          <w:i/>
          <w:sz w:val="24"/>
          <w:lang w:eastAsia="ja-JP"/>
        </w:rPr>
        <w:t xml:space="preserve"> līdz </w:t>
      </w:r>
      <w:proofErr w:type="spellStart"/>
      <w:r w:rsidR="005E73E4" w:rsidRPr="00A07F29">
        <w:rPr>
          <w:rFonts w:ascii="Times New Roman" w:eastAsia="Calibri" w:hAnsi="Times New Roman" w:cs="Calibri"/>
          <w:i/>
          <w:sz w:val="24"/>
          <w:lang w:eastAsia="ja-JP"/>
        </w:rPr>
        <w:t>mezotrofām</w:t>
      </w:r>
      <w:proofErr w:type="spellEnd"/>
      <w:r w:rsidR="005E73E4" w:rsidRPr="00A07F29">
        <w:rPr>
          <w:rFonts w:ascii="Times New Roman" w:eastAsia="Calibri" w:hAnsi="Times New Roman" w:cs="Calibri"/>
          <w:i/>
          <w:sz w:val="24"/>
          <w:lang w:eastAsia="ja-JP"/>
        </w:rPr>
        <w:t xml:space="preserve"> augu</w:t>
      </w:r>
      <w:r w:rsidR="00920FBB" w:rsidRPr="00A07F29">
        <w:rPr>
          <w:rFonts w:ascii="Times New Roman" w:eastAsia="Calibri" w:hAnsi="Times New Roman" w:cs="Calibri"/>
          <w:i/>
          <w:sz w:val="24"/>
          <w:lang w:eastAsia="ja-JP"/>
        </w:rPr>
        <w:t xml:space="preserve"> </w:t>
      </w:r>
      <w:r w:rsidR="005E73E4" w:rsidRPr="00A07F29">
        <w:rPr>
          <w:rFonts w:ascii="Times New Roman" w:eastAsia="Calibri" w:hAnsi="Times New Roman" w:cs="Calibri"/>
          <w:i/>
          <w:sz w:val="24"/>
          <w:lang w:eastAsia="ja-JP"/>
        </w:rPr>
        <w:t>sabiedrībām</w:t>
      </w:r>
      <w:r w:rsidR="00920FBB" w:rsidRPr="00A07F29">
        <w:rPr>
          <w:rFonts w:ascii="Times New Roman" w:eastAsia="Calibri" w:hAnsi="Times New Roman" w:cs="Calibri"/>
          <w:sz w:val="24"/>
          <w:lang w:eastAsia="ja-JP"/>
        </w:rPr>
        <w:t xml:space="preserve">. </w:t>
      </w:r>
      <w:r w:rsidR="0082706F" w:rsidRPr="00A07F29">
        <w:rPr>
          <w:rFonts w:ascii="Times New Roman" w:eastAsia="Calibri" w:hAnsi="Times New Roman" w:cs="Calibri"/>
          <w:sz w:val="24"/>
          <w:lang w:eastAsia="ja-JP"/>
        </w:rPr>
        <w:t>Nozīmīgākās</w:t>
      </w:r>
      <w:r w:rsidR="00001788" w:rsidRPr="00A07F29">
        <w:rPr>
          <w:rFonts w:ascii="Times New Roman" w:eastAsia="Calibri" w:hAnsi="Times New Roman" w:cs="Calibri"/>
          <w:sz w:val="24"/>
          <w:lang w:eastAsia="ja-JP"/>
        </w:rPr>
        <w:t xml:space="preserve"> </w:t>
      </w:r>
      <w:r w:rsidR="00C301E6" w:rsidRPr="00A07F29">
        <w:rPr>
          <w:rFonts w:ascii="Times New Roman" w:eastAsia="Calibri" w:hAnsi="Times New Roman" w:cs="Calibri"/>
          <w:sz w:val="24"/>
          <w:lang w:eastAsia="ja-JP"/>
        </w:rPr>
        <w:t xml:space="preserve">aizsargājamo </w:t>
      </w:r>
      <w:r w:rsidR="00001788" w:rsidRPr="00A07F29">
        <w:rPr>
          <w:rFonts w:ascii="Times New Roman" w:eastAsia="Calibri" w:hAnsi="Times New Roman" w:cs="Calibri"/>
          <w:sz w:val="24"/>
          <w:lang w:eastAsia="ja-JP"/>
        </w:rPr>
        <w:t xml:space="preserve">biotopu </w:t>
      </w:r>
      <w:r w:rsidR="00C301E6" w:rsidRPr="00A07F29">
        <w:rPr>
          <w:rFonts w:ascii="Times New Roman" w:eastAsia="Calibri" w:hAnsi="Times New Roman" w:cs="Calibri"/>
          <w:sz w:val="24"/>
          <w:lang w:eastAsia="ja-JP"/>
        </w:rPr>
        <w:t xml:space="preserve">un sugu </w:t>
      </w:r>
      <w:r w:rsidR="0082706F" w:rsidRPr="00A07F29">
        <w:rPr>
          <w:rFonts w:ascii="Times New Roman" w:eastAsia="Calibri" w:hAnsi="Times New Roman" w:cs="Calibri"/>
          <w:sz w:val="24"/>
          <w:lang w:eastAsia="ja-JP"/>
        </w:rPr>
        <w:t xml:space="preserve">atradnes </w:t>
      </w:r>
      <w:r w:rsidR="00001788" w:rsidRPr="00A07F29">
        <w:rPr>
          <w:rFonts w:ascii="Times New Roman" w:eastAsia="Calibri" w:hAnsi="Times New Roman" w:cs="Calibri"/>
          <w:sz w:val="24"/>
          <w:lang w:eastAsia="ja-JP"/>
        </w:rPr>
        <w:t>koncentr</w:t>
      </w:r>
      <w:r w:rsidR="0082706F" w:rsidRPr="00A07F29">
        <w:rPr>
          <w:rFonts w:ascii="Times New Roman" w:eastAsia="Calibri" w:hAnsi="Times New Roman" w:cs="Calibri"/>
          <w:sz w:val="24"/>
          <w:lang w:eastAsia="ja-JP"/>
        </w:rPr>
        <w:t>ē</w:t>
      </w:r>
      <w:r w:rsidR="00001788" w:rsidRPr="00A07F29">
        <w:rPr>
          <w:rFonts w:ascii="Times New Roman" w:eastAsia="Calibri" w:hAnsi="Times New Roman" w:cs="Calibri"/>
          <w:sz w:val="24"/>
          <w:lang w:eastAsia="ja-JP"/>
        </w:rPr>
        <w:t xml:space="preserve">jas </w:t>
      </w:r>
      <w:r w:rsidR="0082706F" w:rsidRPr="00A07F29">
        <w:rPr>
          <w:rFonts w:ascii="Times New Roman" w:eastAsia="Calibri" w:hAnsi="Times New Roman" w:cs="Calibri"/>
          <w:sz w:val="24"/>
          <w:lang w:eastAsia="ja-JP"/>
        </w:rPr>
        <w:t>DP “Daugavas loki” teritori</w:t>
      </w:r>
      <w:r w:rsidR="00C301E6" w:rsidRPr="00A07F29">
        <w:rPr>
          <w:rFonts w:ascii="Times New Roman" w:eastAsia="Calibri" w:hAnsi="Times New Roman" w:cs="Calibri"/>
          <w:sz w:val="24"/>
          <w:lang w:eastAsia="ja-JP"/>
        </w:rPr>
        <w:t>jā.</w:t>
      </w:r>
    </w:p>
    <w:p w14:paraId="39A9BD60" w14:textId="1E6A9CC1" w:rsidR="007145DD" w:rsidRPr="00A07F29" w:rsidRDefault="00920FBB" w:rsidP="00CA6A29">
      <w:pPr>
        <w:spacing w:after="120" w:line="240" w:lineRule="auto"/>
        <w:ind w:firstLine="851"/>
        <w:jc w:val="both"/>
        <w:rPr>
          <w:rFonts w:ascii="Times New Roman" w:eastAsia="Calibri" w:hAnsi="Times New Roman" w:cs="Calibri"/>
          <w:sz w:val="24"/>
          <w:lang w:eastAsia="ja-JP"/>
        </w:rPr>
      </w:pPr>
      <w:r w:rsidRPr="00A07F29">
        <w:rPr>
          <w:rFonts w:ascii="Times New Roman" w:eastAsia="Calibri" w:hAnsi="Times New Roman" w:cs="Calibri"/>
          <w:sz w:val="24"/>
        </w:rPr>
        <w:t xml:space="preserve">AAA “Augšdaugava” </w:t>
      </w:r>
      <w:r w:rsidR="007145DD" w:rsidRPr="00A07F29">
        <w:rPr>
          <w:rFonts w:ascii="Times New Roman" w:eastAsia="Calibri" w:hAnsi="Times New Roman" w:cs="Calibri"/>
          <w:sz w:val="24"/>
          <w:lang w:eastAsia="ja-JP"/>
        </w:rPr>
        <w:t xml:space="preserve">ligzdo 38 Putnu direktīvas I pielikuma putnu sugas, kā arī papildus tām konstatētas 16 </w:t>
      </w:r>
      <w:r w:rsidR="007145DD" w:rsidRPr="001F6CEA">
        <w:rPr>
          <w:rFonts w:ascii="Times New Roman" w:eastAsia="Calibri" w:hAnsi="Times New Roman" w:cs="Calibri"/>
          <w:sz w:val="24"/>
          <w:lang w:eastAsia="ja-JP"/>
        </w:rPr>
        <w:t>Latvijā īpaši aizsargājamas putnu</w:t>
      </w:r>
      <w:r w:rsidR="007145DD" w:rsidRPr="00A07F29">
        <w:rPr>
          <w:rFonts w:ascii="Times New Roman" w:eastAsia="Calibri" w:hAnsi="Times New Roman" w:cs="Calibri"/>
          <w:sz w:val="24"/>
          <w:lang w:eastAsia="ja-JP"/>
        </w:rPr>
        <w:t xml:space="preserve"> sugas.</w:t>
      </w:r>
    </w:p>
    <w:p w14:paraId="52D5681C" w14:textId="2011D5B0" w:rsidR="009158BF" w:rsidRPr="00A07F29" w:rsidRDefault="00AB7879" w:rsidP="00CA6A29">
      <w:pPr>
        <w:spacing w:after="120" w:line="240" w:lineRule="auto"/>
        <w:ind w:firstLine="851"/>
        <w:jc w:val="both"/>
        <w:rPr>
          <w:rFonts w:ascii="Times New Roman" w:eastAsia="Calibri" w:hAnsi="Times New Roman" w:cs="Calibri"/>
          <w:sz w:val="24"/>
          <w:lang w:eastAsia="ja-JP"/>
        </w:rPr>
      </w:pPr>
      <w:r w:rsidRPr="00A07F29">
        <w:rPr>
          <w:rFonts w:ascii="Times New Roman" w:eastAsia="Calibri" w:hAnsi="Times New Roman" w:cs="Calibri"/>
          <w:sz w:val="24"/>
          <w:szCs w:val="24"/>
          <w:lang w:eastAsia="ja-JP"/>
        </w:rPr>
        <w:lastRenderedPageBreak/>
        <w:t xml:space="preserve">AAA </w:t>
      </w:r>
      <w:r w:rsidR="00755ACF" w:rsidRPr="00A07F29">
        <w:rPr>
          <w:rFonts w:ascii="Times New Roman" w:eastAsia="Calibri" w:hAnsi="Times New Roman" w:cs="Calibri"/>
          <w:sz w:val="24"/>
          <w:szCs w:val="24"/>
          <w:lang w:eastAsia="ja-JP"/>
        </w:rPr>
        <w:t>“</w:t>
      </w:r>
      <w:r w:rsidRPr="00A07F29">
        <w:rPr>
          <w:rFonts w:ascii="Times New Roman" w:eastAsia="Calibri" w:hAnsi="Times New Roman" w:cs="Calibri"/>
          <w:sz w:val="24"/>
          <w:szCs w:val="24"/>
          <w:lang w:eastAsia="ja-JP"/>
        </w:rPr>
        <w:t>Augšdaugava”</w:t>
      </w:r>
      <w:r w:rsidRPr="00A07F29">
        <w:rPr>
          <w:rFonts w:ascii="Times New Roman" w:eastAsia="Calibri" w:hAnsi="Times New Roman" w:cs="Calibri"/>
          <w:sz w:val="24"/>
          <w:lang w:eastAsia="ja-JP"/>
        </w:rPr>
        <w:t xml:space="preserve"> teritorijā esošās Daugavas ielejas mikroklimats un kaļķainās augsnes dod iespēju šeit veidoties ļoti savdabīgai augu valstij. Daugavas lokos sastopami augi, kas uzskatāmi par Latvijas floras stepju elementiem. Silto vasaru dēļ vairākām augu sugām, kurām </w:t>
      </w:r>
      <w:proofErr w:type="spellStart"/>
      <w:r w:rsidRPr="00A07F29">
        <w:rPr>
          <w:rFonts w:ascii="Times New Roman" w:eastAsia="Calibri" w:hAnsi="Times New Roman" w:cs="Calibri"/>
          <w:sz w:val="24"/>
          <w:lang w:eastAsia="ja-JP"/>
        </w:rPr>
        <w:t>pamatareāls</w:t>
      </w:r>
      <w:proofErr w:type="spellEnd"/>
      <w:r w:rsidRPr="00A07F29">
        <w:rPr>
          <w:rFonts w:ascii="Times New Roman" w:eastAsia="Calibri" w:hAnsi="Times New Roman" w:cs="Calibri"/>
          <w:sz w:val="24"/>
          <w:lang w:eastAsia="ja-JP"/>
        </w:rPr>
        <w:t xml:space="preserve"> atrodas Eiropas vidusdaļā, šeit atrodas izplatības </w:t>
      </w:r>
      <w:r w:rsidR="00CA6A29" w:rsidRPr="00A07F29">
        <w:rPr>
          <w:rFonts w:ascii="Times New Roman" w:eastAsia="Calibri" w:hAnsi="Times New Roman" w:cs="Calibri"/>
          <w:sz w:val="24"/>
          <w:lang w:eastAsia="ja-JP"/>
        </w:rPr>
        <w:t xml:space="preserve">Z un ZR </w:t>
      </w:r>
      <w:r w:rsidRPr="00A07F29">
        <w:rPr>
          <w:rFonts w:ascii="Times New Roman" w:eastAsia="Calibri" w:hAnsi="Times New Roman" w:cs="Calibri"/>
          <w:sz w:val="24"/>
          <w:lang w:eastAsia="ja-JP"/>
        </w:rPr>
        <w:t xml:space="preserve">robeža. Daugavas ieleja ir arī ceļš jaunu sugu ienākšanai. Piemēram, ārstniecības </w:t>
      </w:r>
      <w:proofErr w:type="spellStart"/>
      <w:r w:rsidRPr="00A07F29">
        <w:rPr>
          <w:rFonts w:ascii="Times New Roman" w:eastAsia="Calibri" w:hAnsi="Times New Roman" w:cs="Calibri"/>
          <w:sz w:val="24"/>
          <w:lang w:eastAsia="ja-JP"/>
        </w:rPr>
        <w:t>rūgtene</w:t>
      </w:r>
      <w:proofErr w:type="spellEnd"/>
      <w:r w:rsidRPr="00A07F29">
        <w:rPr>
          <w:rFonts w:ascii="Times New Roman" w:eastAsia="Calibri" w:hAnsi="Times New Roman" w:cs="Calibri"/>
          <w:sz w:val="24"/>
          <w:lang w:eastAsia="ja-JP"/>
        </w:rPr>
        <w:t xml:space="preserve"> </w:t>
      </w:r>
      <w:proofErr w:type="spellStart"/>
      <w:r w:rsidRPr="00A07F29">
        <w:rPr>
          <w:rFonts w:ascii="Times New Roman" w:eastAsia="Calibri" w:hAnsi="Times New Roman" w:cs="Calibri"/>
          <w:i/>
          <w:sz w:val="24"/>
        </w:rPr>
        <w:t>Gratiola</w:t>
      </w:r>
      <w:proofErr w:type="spellEnd"/>
      <w:r w:rsidRPr="00A07F29">
        <w:rPr>
          <w:rFonts w:ascii="Times New Roman" w:eastAsia="Calibri" w:hAnsi="Times New Roman" w:cs="Calibri"/>
          <w:i/>
          <w:sz w:val="24"/>
        </w:rPr>
        <w:t xml:space="preserve"> </w:t>
      </w:r>
      <w:proofErr w:type="spellStart"/>
      <w:r w:rsidRPr="00A07F29">
        <w:rPr>
          <w:rFonts w:ascii="Times New Roman" w:eastAsia="Calibri" w:hAnsi="Times New Roman" w:cs="Calibri"/>
          <w:i/>
          <w:sz w:val="24"/>
        </w:rPr>
        <w:t>officinalis</w:t>
      </w:r>
      <w:proofErr w:type="spellEnd"/>
      <w:r w:rsidRPr="00A07F29">
        <w:rPr>
          <w:rFonts w:ascii="Times New Roman" w:eastAsia="Calibri" w:hAnsi="Times New Roman" w:cs="Calibri"/>
          <w:sz w:val="24"/>
          <w:lang w:eastAsia="ja-JP"/>
        </w:rPr>
        <w:t xml:space="preserve">, </w:t>
      </w:r>
      <w:proofErr w:type="spellStart"/>
      <w:r w:rsidRPr="00A07F29">
        <w:rPr>
          <w:rFonts w:ascii="Times New Roman" w:eastAsia="Calibri" w:hAnsi="Times New Roman" w:cs="Calibri"/>
          <w:sz w:val="24"/>
          <w:lang w:eastAsia="ja-JP"/>
        </w:rPr>
        <w:t>smaillapu</w:t>
      </w:r>
      <w:proofErr w:type="spellEnd"/>
      <w:r w:rsidRPr="00A07F29">
        <w:rPr>
          <w:rFonts w:ascii="Times New Roman" w:eastAsia="Calibri" w:hAnsi="Times New Roman" w:cs="Calibri"/>
          <w:sz w:val="24"/>
          <w:lang w:eastAsia="ja-JP"/>
        </w:rPr>
        <w:t xml:space="preserve"> kārkls </w:t>
      </w:r>
      <w:proofErr w:type="spellStart"/>
      <w:r w:rsidRPr="00A07F29">
        <w:rPr>
          <w:rFonts w:ascii="Times New Roman" w:eastAsia="Calibri" w:hAnsi="Times New Roman" w:cs="Calibri"/>
          <w:i/>
          <w:sz w:val="24"/>
          <w:lang w:eastAsia="ja-JP"/>
        </w:rPr>
        <w:t>Salix</w:t>
      </w:r>
      <w:proofErr w:type="spellEnd"/>
      <w:r w:rsidRPr="00A07F29">
        <w:rPr>
          <w:rFonts w:ascii="Times New Roman" w:eastAsia="Calibri" w:hAnsi="Times New Roman" w:cs="Calibri"/>
          <w:i/>
          <w:sz w:val="24"/>
          <w:lang w:eastAsia="ja-JP"/>
        </w:rPr>
        <w:t xml:space="preserve"> </w:t>
      </w:r>
      <w:proofErr w:type="spellStart"/>
      <w:r w:rsidRPr="00A07F29">
        <w:rPr>
          <w:rFonts w:ascii="Times New Roman" w:eastAsia="Calibri" w:hAnsi="Times New Roman" w:cs="Calibri"/>
          <w:i/>
          <w:sz w:val="24"/>
          <w:lang w:eastAsia="ja-JP"/>
        </w:rPr>
        <w:t>acutifolia</w:t>
      </w:r>
      <w:proofErr w:type="spellEnd"/>
      <w:r w:rsidRPr="00A07F29">
        <w:rPr>
          <w:rFonts w:ascii="Times New Roman" w:eastAsia="Calibri" w:hAnsi="Times New Roman" w:cs="Calibri"/>
          <w:sz w:val="24"/>
          <w:lang w:eastAsia="ja-JP"/>
        </w:rPr>
        <w:t xml:space="preserve">, baltā apse </w:t>
      </w:r>
      <w:proofErr w:type="spellStart"/>
      <w:r w:rsidRPr="00A07F29">
        <w:rPr>
          <w:rFonts w:ascii="Times New Roman" w:eastAsia="Calibri" w:hAnsi="Times New Roman" w:cs="Calibri"/>
          <w:i/>
          <w:sz w:val="24"/>
          <w:lang w:eastAsia="ja-JP"/>
        </w:rPr>
        <w:t>Populus</w:t>
      </w:r>
      <w:proofErr w:type="spellEnd"/>
      <w:r w:rsidRPr="00A07F29">
        <w:rPr>
          <w:rFonts w:ascii="Times New Roman" w:eastAsia="Calibri" w:hAnsi="Times New Roman" w:cs="Calibri"/>
          <w:i/>
          <w:sz w:val="24"/>
          <w:lang w:eastAsia="ja-JP"/>
        </w:rPr>
        <w:t xml:space="preserve"> </w:t>
      </w:r>
      <w:proofErr w:type="spellStart"/>
      <w:r w:rsidRPr="00A07F29">
        <w:rPr>
          <w:rFonts w:ascii="Times New Roman" w:eastAsia="Calibri" w:hAnsi="Times New Roman" w:cs="Calibri"/>
          <w:i/>
          <w:sz w:val="24"/>
          <w:lang w:eastAsia="ja-JP"/>
        </w:rPr>
        <w:t>alba</w:t>
      </w:r>
      <w:proofErr w:type="spellEnd"/>
      <w:r w:rsidRPr="00A07F29">
        <w:rPr>
          <w:rFonts w:ascii="Times New Roman" w:eastAsia="Calibri" w:hAnsi="Times New Roman" w:cs="Calibri"/>
          <w:sz w:val="24"/>
          <w:lang w:eastAsia="ja-JP"/>
        </w:rPr>
        <w:t xml:space="preserve"> izplatās tieši pa upju ielejām.</w:t>
      </w:r>
    </w:p>
    <w:p w14:paraId="7A195A06" w14:textId="3C8E7ED5" w:rsidR="009072CE" w:rsidRPr="00A07F29" w:rsidRDefault="007145DD" w:rsidP="00CA6A29">
      <w:pPr>
        <w:spacing w:after="120" w:line="240" w:lineRule="auto"/>
        <w:ind w:firstLine="851"/>
        <w:jc w:val="both"/>
        <w:rPr>
          <w:rFonts w:ascii="Times New Roman" w:eastAsia="Calibri" w:hAnsi="Times New Roman" w:cs="Calibri"/>
          <w:sz w:val="24"/>
          <w:lang w:eastAsia="ja-JP"/>
        </w:rPr>
      </w:pPr>
      <w:r w:rsidRPr="00A07F29">
        <w:rPr>
          <w:rFonts w:ascii="Times New Roman" w:eastAsia="Calibri" w:hAnsi="Times New Roman" w:cs="Calibri"/>
          <w:sz w:val="24"/>
        </w:rPr>
        <w:t xml:space="preserve">AAA “Augšdaugava” ir </w:t>
      </w:r>
      <w:r w:rsidR="009072CE" w:rsidRPr="00A07F29">
        <w:rPr>
          <w:rFonts w:ascii="Times New Roman" w:eastAsia="Calibri" w:hAnsi="Times New Roman" w:cs="Calibri"/>
          <w:sz w:val="24"/>
          <w:lang w:eastAsia="ja-JP"/>
        </w:rPr>
        <w:t xml:space="preserve">konstatētas vairāk nekā 900 </w:t>
      </w:r>
      <w:proofErr w:type="spellStart"/>
      <w:r w:rsidR="009072CE" w:rsidRPr="00A07F29">
        <w:rPr>
          <w:rFonts w:ascii="Times New Roman" w:eastAsia="Calibri" w:hAnsi="Times New Roman" w:cs="Calibri"/>
          <w:sz w:val="24"/>
          <w:lang w:eastAsia="ja-JP"/>
        </w:rPr>
        <w:t>vaskulāro</w:t>
      </w:r>
      <w:proofErr w:type="spellEnd"/>
      <w:r w:rsidR="009072CE" w:rsidRPr="00A07F29">
        <w:rPr>
          <w:rFonts w:ascii="Times New Roman" w:eastAsia="Calibri" w:hAnsi="Times New Roman" w:cs="Calibri"/>
          <w:sz w:val="24"/>
          <w:lang w:eastAsia="ja-JP"/>
        </w:rPr>
        <w:t xml:space="preserve"> augu sugas, no tām 71 </w:t>
      </w:r>
      <w:r w:rsidR="009072CE" w:rsidRPr="001F6CEA">
        <w:rPr>
          <w:rFonts w:ascii="Times New Roman" w:eastAsia="Calibri" w:hAnsi="Times New Roman" w:cs="Calibri"/>
          <w:sz w:val="24"/>
          <w:lang w:eastAsia="ja-JP"/>
        </w:rPr>
        <w:t>īpaši aizsargājama</w:t>
      </w:r>
      <w:r w:rsidRPr="001F6CEA">
        <w:rPr>
          <w:rFonts w:ascii="Times New Roman" w:eastAsia="Calibri" w:hAnsi="Times New Roman" w:cs="Calibri"/>
          <w:sz w:val="24"/>
          <w:lang w:eastAsia="ja-JP"/>
        </w:rPr>
        <w:t>, k</w:t>
      </w:r>
      <w:r w:rsidR="009072CE" w:rsidRPr="001F6CEA">
        <w:rPr>
          <w:rFonts w:ascii="Times New Roman" w:eastAsia="Calibri" w:hAnsi="Times New Roman" w:cs="Calibri"/>
          <w:sz w:val="24"/>
          <w:lang w:eastAsia="ja-JP"/>
        </w:rPr>
        <w:t xml:space="preserve">onstatētas </w:t>
      </w:r>
      <w:r w:rsidRPr="001F6CEA">
        <w:rPr>
          <w:rFonts w:ascii="Times New Roman" w:eastAsia="Calibri" w:hAnsi="Times New Roman" w:cs="Calibri"/>
          <w:sz w:val="24"/>
          <w:lang w:eastAsia="ja-JP"/>
        </w:rPr>
        <w:t xml:space="preserve">arī </w:t>
      </w:r>
      <w:r w:rsidR="009072CE" w:rsidRPr="001F6CEA">
        <w:rPr>
          <w:rFonts w:ascii="Times New Roman" w:eastAsia="Calibri" w:hAnsi="Times New Roman" w:cs="Calibri"/>
          <w:sz w:val="24"/>
          <w:lang w:eastAsia="ja-JP"/>
        </w:rPr>
        <w:t>2</w:t>
      </w:r>
      <w:r w:rsidR="00001788" w:rsidRPr="001F6CEA">
        <w:rPr>
          <w:rFonts w:ascii="Times New Roman" w:eastAsia="Calibri" w:hAnsi="Times New Roman" w:cs="Calibri"/>
          <w:sz w:val="24"/>
          <w:lang w:eastAsia="ja-JP"/>
        </w:rPr>
        <w:t>6</w:t>
      </w:r>
      <w:r w:rsidR="009072CE" w:rsidRPr="001F6CEA">
        <w:rPr>
          <w:rFonts w:ascii="Times New Roman" w:eastAsia="Calibri" w:hAnsi="Times New Roman" w:cs="Calibri"/>
          <w:sz w:val="24"/>
          <w:lang w:eastAsia="ja-JP"/>
        </w:rPr>
        <w:t xml:space="preserve"> </w:t>
      </w:r>
      <w:r w:rsidR="00D9036F" w:rsidRPr="001F6CEA">
        <w:rPr>
          <w:rFonts w:ascii="Times New Roman" w:eastAsia="Calibri" w:hAnsi="Times New Roman" w:cs="Calibri"/>
          <w:sz w:val="24"/>
          <w:lang w:eastAsia="ja-JP"/>
        </w:rPr>
        <w:t xml:space="preserve">Latvijas </w:t>
      </w:r>
      <w:r w:rsidR="009072CE" w:rsidRPr="001F6CEA">
        <w:rPr>
          <w:rFonts w:ascii="Times New Roman" w:eastAsia="Calibri" w:hAnsi="Times New Roman" w:cs="Calibri"/>
          <w:sz w:val="24"/>
          <w:lang w:eastAsia="ja-JP"/>
        </w:rPr>
        <w:t xml:space="preserve">īpaši </w:t>
      </w:r>
      <w:r w:rsidR="00D9036F" w:rsidRPr="001F6CEA">
        <w:rPr>
          <w:rFonts w:ascii="Times New Roman" w:eastAsia="Calibri" w:hAnsi="Times New Roman" w:cs="Calibri"/>
          <w:sz w:val="24"/>
          <w:lang w:eastAsia="ja-JP"/>
        </w:rPr>
        <w:t>aizsargājamās</w:t>
      </w:r>
      <w:r w:rsidR="00D9036F" w:rsidRPr="00A07F29">
        <w:rPr>
          <w:rFonts w:ascii="Times New Roman" w:eastAsia="Calibri" w:hAnsi="Times New Roman" w:cs="Calibri"/>
          <w:sz w:val="24"/>
          <w:lang w:eastAsia="ja-JP"/>
        </w:rPr>
        <w:t xml:space="preserve"> </w:t>
      </w:r>
      <w:r w:rsidR="009072CE" w:rsidRPr="00A07F29">
        <w:rPr>
          <w:rFonts w:ascii="Times New Roman" w:eastAsia="Calibri" w:hAnsi="Times New Roman" w:cs="Calibri"/>
          <w:sz w:val="24"/>
          <w:lang w:eastAsia="ja-JP"/>
        </w:rPr>
        <w:t>un 1</w:t>
      </w:r>
      <w:r w:rsidR="00001788" w:rsidRPr="00A07F29">
        <w:rPr>
          <w:rFonts w:ascii="Times New Roman" w:eastAsia="Calibri" w:hAnsi="Times New Roman" w:cs="Calibri"/>
          <w:sz w:val="24"/>
          <w:lang w:eastAsia="ja-JP"/>
        </w:rPr>
        <w:t>2</w:t>
      </w:r>
      <w:r w:rsidR="009072CE" w:rsidRPr="00A07F29">
        <w:rPr>
          <w:rFonts w:ascii="Times New Roman" w:eastAsia="Calibri" w:hAnsi="Times New Roman" w:cs="Calibri"/>
          <w:sz w:val="24"/>
          <w:lang w:eastAsia="ja-JP"/>
        </w:rPr>
        <w:t xml:space="preserve"> </w:t>
      </w:r>
      <w:r w:rsidR="00D9036F" w:rsidRPr="00A07F29">
        <w:rPr>
          <w:rFonts w:ascii="Times New Roman" w:eastAsia="Calibri" w:hAnsi="Times New Roman" w:cs="Calibri"/>
          <w:sz w:val="24"/>
          <w:lang w:eastAsia="ja-JP"/>
        </w:rPr>
        <w:t>Biotopu direktīvas pielikumos iekļautās</w:t>
      </w:r>
      <w:r w:rsidR="009072CE" w:rsidRPr="00A07F29">
        <w:rPr>
          <w:rFonts w:ascii="Times New Roman" w:eastAsia="Calibri" w:hAnsi="Times New Roman" w:cs="Calibri"/>
          <w:sz w:val="24"/>
          <w:lang w:eastAsia="ja-JP"/>
        </w:rPr>
        <w:t xml:space="preserve"> kukaiņu sugas</w:t>
      </w:r>
      <w:r w:rsidRPr="00A07F29">
        <w:rPr>
          <w:rFonts w:ascii="Times New Roman" w:eastAsia="Calibri" w:hAnsi="Times New Roman" w:cs="Calibri"/>
          <w:sz w:val="24"/>
          <w:lang w:eastAsia="ja-JP"/>
        </w:rPr>
        <w:t xml:space="preserve">, </w:t>
      </w:r>
      <w:r w:rsidR="009013CE" w:rsidRPr="00A07F29">
        <w:rPr>
          <w:rFonts w:ascii="Times New Roman" w:eastAsia="Calibri" w:hAnsi="Times New Roman" w:cs="Calibri"/>
          <w:sz w:val="24"/>
          <w:lang w:eastAsia="ja-JP"/>
        </w:rPr>
        <w:t>četras</w:t>
      </w:r>
      <w:r w:rsidRPr="00A07F29">
        <w:rPr>
          <w:rFonts w:ascii="Times New Roman" w:eastAsia="Calibri" w:hAnsi="Times New Roman" w:cs="Calibri"/>
          <w:sz w:val="24"/>
          <w:lang w:eastAsia="ja-JP"/>
        </w:rPr>
        <w:t xml:space="preserve"> aizsargājamas zivju un viena </w:t>
      </w:r>
      <w:proofErr w:type="spellStart"/>
      <w:r w:rsidRPr="00A07F29">
        <w:rPr>
          <w:rFonts w:ascii="Times New Roman" w:eastAsia="Calibri" w:hAnsi="Times New Roman" w:cs="Calibri"/>
          <w:sz w:val="24"/>
          <w:lang w:eastAsia="ja-JP"/>
        </w:rPr>
        <w:t>apaļmutnieku</w:t>
      </w:r>
      <w:proofErr w:type="spellEnd"/>
      <w:r w:rsidRPr="00A07F29">
        <w:rPr>
          <w:rFonts w:ascii="Times New Roman" w:eastAsia="Calibri" w:hAnsi="Times New Roman" w:cs="Calibri"/>
          <w:sz w:val="24"/>
          <w:lang w:eastAsia="ja-JP"/>
        </w:rPr>
        <w:t xml:space="preserve"> – nēģu suga, kā arī </w:t>
      </w:r>
      <w:r w:rsidR="009072CE" w:rsidRPr="00A07F29">
        <w:rPr>
          <w:rFonts w:ascii="Times New Roman" w:eastAsia="Calibri" w:hAnsi="Times New Roman" w:cs="Calibri"/>
          <w:sz w:val="24"/>
          <w:lang w:eastAsia="ja-JP"/>
        </w:rPr>
        <w:t xml:space="preserve">20 </w:t>
      </w:r>
      <w:r w:rsidRPr="00A07F29">
        <w:rPr>
          <w:rFonts w:ascii="Times New Roman" w:eastAsia="Calibri" w:hAnsi="Times New Roman" w:cs="Calibri"/>
          <w:sz w:val="24"/>
          <w:lang w:eastAsia="ja-JP"/>
        </w:rPr>
        <w:t xml:space="preserve">retas un aizsargājamas </w:t>
      </w:r>
      <w:r w:rsidR="009072CE" w:rsidRPr="00A07F29">
        <w:rPr>
          <w:rFonts w:ascii="Times New Roman" w:eastAsia="Calibri" w:hAnsi="Times New Roman" w:cs="Calibri"/>
          <w:sz w:val="24"/>
          <w:lang w:eastAsia="ja-JP"/>
        </w:rPr>
        <w:t>gliemju sugas</w:t>
      </w:r>
      <w:r w:rsidRPr="00A07F29">
        <w:rPr>
          <w:rFonts w:ascii="Times New Roman" w:eastAsia="Calibri" w:hAnsi="Times New Roman" w:cs="Calibri"/>
          <w:sz w:val="24"/>
          <w:lang w:eastAsia="ja-JP"/>
        </w:rPr>
        <w:t>, n</w:t>
      </w:r>
      <w:r w:rsidR="009072CE" w:rsidRPr="00A07F29">
        <w:rPr>
          <w:rFonts w:ascii="Times New Roman" w:eastAsia="Calibri" w:hAnsi="Times New Roman" w:cs="Calibri"/>
          <w:sz w:val="24"/>
          <w:lang w:eastAsia="ja-JP"/>
        </w:rPr>
        <w:t xml:space="preserve">o tām </w:t>
      </w:r>
      <w:r w:rsidR="009013CE" w:rsidRPr="00A07F29">
        <w:rPr>
          <w:rFonts w:ascii="Times New Roman" w:eastAsia="Calibri" w:hAnsi="Times New Roman" w:cs="Calibri"/>
          <w:sz w:val="24"/>
          <w:lang w:eastAsia="ja-JP"/>
        </w:rPr>
        <w:t>četras</w:t>
      </w:r>
      <w:r w:rsidRPr="00A07F29">
        <w:rPr>
          <w:rFonts w:ascii="Times New Roman" w:eastAsia="Calibri" w:hAnsi="Times New Roman" w:cs="Calibri"/>
          <w:sz w:val="24"/>
          <w:lang w:eastAsia="ja-JP"/>
        </w:rPr>
        <w:t xml:space="preserve"> iekļautas Biotopu direktīvas pielikumos. </w:t>
      </w:r>
      <w:r w:rsidR="00D9036F" w:rsidRPr="00A07F29">
        <w:rPr>
          <w:rFonts w:ascii="Times New Roman" w:eastAsia="Calibri" w:hAnsi="Times New Roman" w:cs="Calibri"/>
          <w:sz w:val="24"/>
          <w:lang w:eastAsia="ja-JP"/>
        </w:rPr>
        <w:t>AAA “Augšdaugava” ietilpstošais</w:t>
      </w:r>
      <w:r w:rsidR="009072CE" w:rsidRPr="00A07F29">
        <w:rPr>
          <w:rFonts w:ascii="Times New Roman" w:eastAsia="Calibri" w:hAnsi="Times New Roman" w:cs="Calibri"/>
          <w:sz w:val="24"/>
          <w:lang w:eastAsia="ja-JP"/>
        </w:rPr>
        <w:t xml:space="preserve"> DP “Daugavas loki” ir vienīgā vieta Latvijā, kur sastopams </w:t>
      </w:r>
      <w:proofErr w:type="spellStart"/>
      <w:r w:rsidR="009072CE" w:rsidRPr="00A07F29">
        <w:rPr>
          <w:rFonts w:ascii="Times New Roman" w:eastAsia="Calibri" w:hAnsi="Times New Roman" w:cs="Calibri"/>
          <w:sz w:val="24"/>
          <w:lang w:eastAsia="ja-JP"/>
        </w:rPr>
        <w:t>liellūpas</w:t>
      </w:r>
      <w:proofErr w:type="spellEnd"/>
      <w:r w:rsidR="009072CE" w:rsidRPr="00A07F29">
        <w:rPr>
          <w:rFonts w:ascii="Times New Roman" w:eastAsia="Calibri" w:hAnsi="Times New Roman" w:cs="Calibri"/>
          <w:sz w:val="24"/>
          <w:lang w:eastAsia="ja-JP"/>
        </w:rPr>
        <w:t xml:space="preserve"> vīngliemezis </w:t>
      </w:r>
      <w:proofErr w:type="spellStart"/>
      <w:r w:rsidR="009072CE" w:rsidRPr="00A07F29">
        <w:rPr>
          <w:rFonts w:ascii="Times New Roman" w:eastAsia="Calibri" w:hAnsi="Times New Roman" w:cs="Calibri"/>
          <w:i/>
          <w:iCs/>
          <w:sz w:val="24"/>
          <w:lang w:eastAsia="ja-JP"/>
        </w:rPr>
        <w:t>Isognomostoma</w:t>
      </w:r>
      <w:proofErr w:type="spellEnd"/>
      <w:r w:rsidR="009072CE" w:rsidRPr="00A07F29">
        <w:rPr>
          <w:rFonts w:ascii="Times New Roman" w:eastAsia="Calibri" w:hAnsi="Times New Roman" w:cs="Calibri"/>
          <w:i/>
          <w:iCs/>
          <w:sz w:val="24"/>
          <w:lang w:eastAsia="ja-JP"/>
        </w:rPr>
        <w:t xml:space="preserve"> </w:t>
      </w:r>
      <w:proofErr w:type="spellStart"/>
      <w:r w:rsidR="009072CE" w:rsidRPr="00A07F29">
        <w:rPr>
          <w:rFonts w:ascii="Times New Roman" w:eastAsia="Calibri" w:hAnsi="Times New Roman" w:cs="Calibri"/>
          <w:i/>
          <w:iCs/>
          <w:sz w:val="24"/>
          <w:lang w:eastAsia="ja-JP"/>
        </w:rPr>
        <w:t>isognomostomus</w:t>
      </w:r>
      <w:proofErr w:type="spellEnd"/>
      <w:r w:rsidR="009072CE" w:rsidRPr="00A07F29">
        <w:rPr>
          <w:rFonts w:ascii="Times New Roman" w:eastAsia="Calibri" w:hAnsi="Times New Roman" w:cs="Calibri"/>
          <w:sz w:val="24"/>
          <w:lang w:eastAsia="ja-JP"/>
        </w:rPr>
        <w:t>.</w:t>
      </w:r>
    </w:p>
    <w:p w14:paraId="1B881E7B" w14:textId="77777777" w:rsidR="00AB7879" w:rsidRPr="00A07F29" w:rsidRDefault="00AB7879" w:rsidP="00CA6A29">
      <w:pPr>
        <w:spacing w:after="120" w:line="240" w:lineRule="auto"/>
        <w:ind w:firstLine="851"/>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 xml:space="preserve">Liela nozīme </w:t>
      </w:r>
      <w:r w:rsidRPr="00A07F29">
        <w:rPr>
          <w:rFonts w:ascii="Times New Roman" w:eastAsia="Calibri" w:hAnsi="Times New Roman" w:cs="Calibri"/>
          <w:sz w:val="24"/>
        </w:rPr>
        <w:t xml:space="preserve">AAA “Augšdaugava” </w:t>
      </w:r>
      <w:r w:rsidRPr="00A07F29">
        <w:rPr>
          <w:rFonts w:ascii="Times New Roman" w:eastAsia="Calibri" w:hAnsi="Times New Roman" w:cs="Calibri"/>
          <w:sz w:val="24"/>
          <w:lang w:eastAsia="ja-JP"/>
        </w:rPr>
        <w:t xml:space="preserve">teritorijai ir sikspārņu sugu, īpaši dīķa </w:t>
      </w:r>
      <w:proofErr w:type="spellStart"/>
      <w:r w:rsidRPr="00A07F29">
        <w:rPr>
          <w:rFonts w:ascii="Times New Roman" w:eastAsia="Calibri" w:hAnsi="Times New Roman" w:cs="Calibri"/>
          <w:sz w:val="24"/>
          <w:lang w:eastAsia="ja-JP"/>
        </w:rPr>
        <w:t>naktssikspārņa</w:t>
      </w:r>
      <w:proofErr w:type="spellEnd"/>
      <w:r w:rsidRPr="00A07F29">
        <w:rPr>
          <w:rFonts w:ascii="Times New Roman" w:eastAsia="Calibri" w:hAnsi="Times New Roman" w:cs="Calibri"/>
          <w:sz w:val="24"/>
          <w:lang w:eastAsia="ja-JP"/>
        </w:rPr>
        <w:t xml:space="preserve"> </w:t>
      </w:r>
      <w:proofErr w:type="spellStart"/>
      <w:r w:rsidRPr="00A07F29">
        <w:rPr>
          <w:rFonts w:ascii="Times New Roman" w:eastAsia="Calibri" w:hAnsi="Times New Roman" w:cs="Calibri"/>
          <w:i/>
          <w:iCs/>
          <w:sz w:val="24"/>
          <w:lang w:eastAsia="ja-JP"/>
        </w:rPr>
        <w:t>Myotis</w:t>
      </w:r>
      <w:proofErr w:type="spellEnd"/>
      <w:r w:rsidRPr="00A07F29">
        <w:rPr>
          <w:rFonts w:ascii="Times New Roman" w:eastAsia="Calibri" w:hAnsi="Times New Roman" w:cs="Calibri"/>
          <w:i/>
          <w:iCs/>
          <w:sz w:val="24"/>
          <w:lang w:eastAsia="ja-JP"/>
        </w:rPr>
        <w:t xml:space="preserve"> </w:t>
      </w:r>
      <w:proofErr w:type="spellStart"/>
      <w:r w:rsidRPr="00A07F29">
        <w:rPr>
          <w:rFonts w:ascii="Times New Roman" w:eastAsia="Calibri" w:hAnsi="Times New Roman" w:cs="Calibri"/>
          <w:i/>
          <w:iCs/>
          <w:sz w:val="24"/>
          <w:lang w:eastAsia="ja-JP"/>
        </w:rPr>
        <w:t>dasycneme</w:t>
      </w:r>
      <w:proofErr w:type="spellEnd"/>
      <w:r w:rsidRPr="00A07F29">
        <w:rPr>
          <w:rFonts w:ascii="Times New Roman" w:eastAsia="Calibri" w:hAnsi="Times New Roman" w:cs="Calibri"/>
          <w:sz w:val="24"/>
          <w:lang w:eastAsia="ja-JP"/>
        </w:rPr>
        <w:t xml:space="preserve"> saglabāšanā.</w:t>
      </w:r>
    </w:p>
    <w:p w14:paraId="7DB87B03" w14:textId="7F138042" w:rsidR="00AB7879" w:rsidRPr="00A07F29" w:rsidRDefault="00746987" w:rsidP="00CA6A29">
      <w:pPr>
        <w:spacing w:after="120" w:line="240" w:lineRule="auto"/>
        <w:ind w:firstLine="851"/>
        <w:jc w:val="both"/>
        <w:rPr>
          <w:rFonts w:ascii="Times New Roman" w:eastAsia="Calibri" w:hAnsi="Times New Roman" w:cs="Calibri"/>
          <w:sz w:val="24"/>
          <w:lang w:eastAsia="ja-JP"/>
        </w:rPr>
      </w:pPr>
      <w:r w:rsidRPr="00A07F29">
        <w:rPr>
          <w:rFonts w:ascii="Times New Roman" w:eastAsia="Calibri" w:hAnsi="Times New Roman" w:cs="Calibri"/>
          <w:sz w:val="24"/>
        </w:rPr>
        <w:t>AAA “Augšdaugava” ir bagāta rāpuļu un abinieku fauna. Š</w:t>
      </w:r>
      <w:r w:rsidR="009072CE" w:rsidRPr="00A07F29">
        <w:rPr>
          <w:rFonts w:ascii="Times New Roman" w:eastAsia="Calibri" w:hAnsi="Times New Roman" w:cs="Calibri"/>
          <w:sz w:val="24"/>
          <w:lang w:eastAsia="ja-JP"/>
        </w:rPr>
        <w:t xml:space="preserve">eit ir sastopamas 11 abinieku </w:t>
      </w:r>
      <w:r w:rsidR="009158BF" w:rsidRPr="00A07F29">
        <w:rPr>
          <w:rFonts w:ascii="Times New Roman" w:eastAsia="Calibri" w:hAnsi="Times New Roman" w:cs="Calibri"/>
          <w:sz w:val="24"/>
          <w:lang w:eastAsia="ja-JP"/>
        </w:rPr>
        <w:t xml:space="preserve">sugas </w:t>
      </w:r>
      <w:r w:rsidR="009072CE" w:rsidRPr="00A07F29">
        <w:rPr>
          <w:rFonts w:ascii="Times New Roman" w:eastAsia="Calibri" w:hAnsi="Times New Roman" w:cs="Calibri"/>
          <w:sz w:val="24"/>
          <w:lang w:eastAsia="ja-JP"/>
        </w:rPr>
        <w:t>(jeb 85</w:t>
      </w:r>
      <w:r w:rsidR="003A1DD5" w:rsidRPr="00A07F29">
        <w:rPr>
          <w:rFonts w:ascii="Times New Roman" w:eastAsia="Calibri" w:hAnsi="Times New Roman" w:cs="Calibri"/>
          <w:sz w:val="24"/>
          <w:lang w:eastAsia="ja-JP"/>
        </w:rPr>
        <w:t> </w:t>
      </w:r>
      <w:r w:rsidR="009072CE" w:rsidRPr="00A07F29">
        <w:rPr>
          <w:rFonts w:ascii="Times New Roman" w:eastAsia="Calibri" w:hAnsi="Times New Roman" w:cs="Calibri"/>
          <w:sz w:val="24"/>
          <w:lang w:eastAsia="ja-JP"/>
        </w:rPr>
        <w:t xml:space="preserve">% </w:t>
      </w:r>
      <w:r w:rsidRPr="00A07F29">
        <w:rPr>
          <w:rFonts w:ascii="Times New Roman" w:eastAsia="Calibri" w:hAnsi="Times New Roman" w:cs="Calibri"/>
          <w:sz w:val="24"/>
          <w:lang w:eastAsia="ja-JP"/>
        </w:rPr>
        <w:t xml:space="preserve">no </w:t>
      </w:r>
      <w:r w:rsidR="009072CE" w:rsidRPr="00A07F29">
        <w:rPr>
          <w:rFonts w:ascii="Times New Roman" w:eastAsia="Calibri" w:hAnsi="Times New Roman" w:cs="Calibri"/>
          <w:sz w:val="24"/>
          <w:lang w:eastAsia="ja-JP"/>
        </w:rPr>
        <w:t xml:space="preserve">Latvijas abinieku </w:t>
      </w:r>
      <w:r w:rsidRPr="00A07F29">
        <w:rPr>
          <w:rFonts w:ascii="Times New Roman" w:eastAsia="Calibri" w:hAnsi="Times New Roman" w:cs="Calibri"/>
          <w:sz w:val="24"/>
          <w:lang w:eastAsia="ja-JP"/>
        </w:rPr>
        <w:t>sugām</w:t>
      </w:r>
      <w:r w:rsidR="009072CE" w:rsidRPr="00A07F29">
        <w:rPr>
          <w:rFonts w:ascii="Times New Roman" w:eastAsia="Calibri" w:hAnsi="Times New Roman" w:cs="Calibri"/>
          <w:sz w:val="24"/>
          <w:lang w:eastAsia="ja-JP"/>
        </w:rPr>
        <w:t xml:space="preserve">) un </w:t>
      </w:r>
      <w:r w:rsidR="003A1DD5" w:rsidRPr="00A07F29">
        <w:rPr>
          <w:rFonts w:ascii="Times New Roman" w:eastAsia="Calibri" w:hAnsi="Times New Roman" w:cs="Calibri"/>
          <w:sz w:val="24"/>
          <w:lang w:eastAsia="ja-JP"/>
        </w:rPr>
        <w:t>piecas</w:t>
      </w:r>
      <w:r w:rsidR="009072CE" w:rsidRPr="00A07F29">
        <w:rPr>
          <w:rFonts w:ascii="Times New Roman" w:eastAsia="Calibri" w:hAnsi="Times New Roman" w:cs="Calibri"/>
          <w:sz w:val="24"/>
          <w:lang w:eastAsia="ja-JP"/>
        </w:rPr>
        <w:t xml:space="preserve"> rāpuļu sugas (jeb 71</w:t>
      </w:r>
      <w:r w:rsidR="003A1DD5" w:rsidRPr="00A07F29">
        <w:rPr>
          <w:rFonts w:ascii="Times New Roman" w:eastAsia="Calibri" w:hAnsi="Times New Roman" w:cs="Calibri"/>
          <w:sz w:val="24"/>
          <w:lang w:eastAsia="ja-JP"/>
        </w:rPr>
        <w:t> </w:t>
      </w:r>
      <w:r w:rsidR="009072CE" w:rsidRPr="00A07F29">
        <w:rPr>
          <w:rFonts w:ascii="Times New Roman" w:eastAsia="Calibri" w:hAnsi="Times New Roman" w:cs="Calibri"/>
          <w:sz w:val="24"/>
          <w:lang w:eastAsia="ja-JP"/>
        </w:rPr>
        <w:t xml:space="preserve">% </w:t>
      </w:r>
      <w:r w:rsidR="001C2D46" w:rsidRPr="00A07F29">
        <w:rPr>
          <w:rFonts w:ascii="Times New Roman" w:eastAsia="Calibri" w:hAnsi="Times New Roman" w:cs="Calibri"/>
          <w:sz w:val="24"/>
          <w:lang w:eastAsia="ja-JP"/>
        </w:rPr>
        <w:t xml:space="preserve">no </w:t>
      </w:r>
      <w:r w:rsidR="009072CE" w:rsidRPr="00A07F29">
        <w:rPr>
          <w:rFonts w:ascii="Times New Roman" w:eastAsia="Calibri" w:hAnsi="Times New Roman" w:cs="Calibri"/>
          <w:sz w:val="24"/>
          <w:lang w:eastAsia="ja-JP"/>
        </w:rPr>
        <w:t xml:space="preserve">Latvijas rāpuļu </w:t>
      </w:r>
      <w:r w:rsidRPr="00A07F29">
        <w:rPr>
          <w:rFonts w:ascii="Times New Roman" w:eastAsia="Calibri" w:hAnsi="Times New Roman" w:cs="Calibri"/>
          <w:sz w:val="24"/>
          <w:lang w:eastAsia="ja-JP"/>
        </w:rPr>
        <w:t>sugām</w:t>
      </w:r>
      <w:r w:rsidR="009072CE" w:rsidRPr="00A07F29">
        <w:rPr>
          <w:rFonts w:ascii="Times New Roman" w:eastAsia="Calibri" w:hAnsi="Times New Roman" w:cs="Calibri"/>
          <w:sz w:val="24"/>
          <w:lang w:eastAsia="ja-JP"/>
        </w:rPr>
        <w:t xml:space="preserve">), </w:t>
      </w:r>
      <w:r w:rsidR="001C2D46" w:rsidRPr="00A07F29">
        <w:rPr>
          <w:rFonts w:ascii="Times New Roman" w:eastAsia="Calibri" w:hAnsi="Times New Roman" w:cs="Calibri"/>
          <w:sz w:val="24"/>
          <w:lang w:eastAsia="ja-JP"/>
        </w:rPr>
        <w:t>piecas</w:t>
      </w:r>
      <w:r w:rsidR="009072CE" w:rsidRPr="00A07F29">
        <w:rPr>
          <w:rFonts w:ascii="Times New Roman" w:eastAsia="Calibri" w:hAnsi="Times New Roman" w:cs="Calibri"/>
          <w:sz w:val="24"/>
          <w:lang w:eastAsia="ja-JP"/>
        </w:rPr>
        <w:t xml:space="preserve"> </w:t>
      </w:r>
      <w:r w:rsidRPr="00A07F29">
        <w:rPr>
          <w:rFonts w:ascii="Times New Roman" w:eastAsia="Calibri" w:hAnsi="Times New Roman" w:cs="Calibri"/>
          <w:sz w:val="24"/>
          <w:lang w:eastAsia="ja-JP"/>
        </w:rPr>
        <w:t xml:space="preserve">no tām ir Latvijā </w:t>
      </w:r>
      <w:r w:rsidRPr="001F6CEA">
        <w:rPr>
          <w:rFonts w:ascii="Times New Roman" w:eastAsia="Calibri" w:hAnsi="Times New Roman" w:cs="Calibri"/>
          <w:sz w:val="24"/>
          <w:lang w:eastAsia="ja-JP"/>
        </w:rPr>
        <w:t>ī</w:t>
      </w:r>
      <w:r w:rsidR="00787756" w:rsidRPr="001F6CEA">
        <w:rPr>
          <w:rFonts w:ascii="Times New Roman" w:eastAsia="Calibri" w:hAnsi="Times New Roman" w:cs="Calibri"/>
          <w:sz w:val="24"/>
          <w:lang w:eastAsia="ja-JP"/>
        </w:rPr>
        <w:t xml:space="preserve">paši </w:t>
      </w:r>
      <w:r w:rsidRPr="001F6CEA">
        <w:rPr>
          <w:rFonts w:ascii="Times New Roman" w:eastAsia="Calibri" w:hAnsi="Times New Roman" w:cs="Calibri"/>
          <w:sz w:val="24"/>
          <w:lang w:eastAsia="ja-JP"/>
        </w:rPr>
        <w:t>aizsargājamas</w:t>
      </w:r>
      <w:r w:rsidR="00787756" w:rsidRPr="00A07F29">
        <w:rPr>
          <w:rFonts w:ascii="Times New Roman" w:eastAsia="Calibri" w:hAnsi="Times New Roman" w:cs="Calibri"/>
          <w:sz w:val="24"/>
          <w:lang w:eastAsia="ja-JP"/>
        </w:rPr>
        <w:t xml:space="preserve"> un </w:t>
      </w:r>
      <w:r w:rsidR="001C2D46" w:rsidRPr="00A07F29">
        <w:rPr>
          <w:rFonts w:ascii="Times New Roman" w:eastAsia="Calibri" w:hAnsi="Times New Roman" w:cs="Calibri"/>
          <w:sz w:val="24"/>
          <w:lang w:eastAsia="ja-JP"/>
        </w:rPr>
        <w:t>piecas</w:t>
      </w:r>
      <w:r w:rsidR="00787756" w:rsidRPr="00A07F29">
        <w:rPr>
          <w:rFonts w:ascii="Times New Roman" w:eastAsia="Calibri" w:hAnsi="Times New Roman" w:cs="Calibri"/>
          <w:sz w:val="24"/>
          <w:lang w:eastAsia="ja-JP"/>
        </w:rPr>
        <w:t xml:space="preserve"> iekļautas Biotopu direktīvas pielikumos</w:t>
      </w:r>
      <w:r w:rsidRPr="00A07F29">
        <w:rPr>
          <w:rFonts w:ascii="Times New Roman" w:eastAsia="Calibri" w:hAnsi="Times New Roman" w:cs="Calibri"/>
          <w:sz w:val="24"/>
          <w:lang w:eastAsia="ja-JP"/>
        </w:rPr>
        <w:t xml:space="preserve">. </w:t>
      </w:r>
      <w:r w:rsidR="009072CE" w:rsidRPr="00A07F29">
        <w:rPr>
          <w:rFonts w:ascii="Times New Roman" w:eastAsia="Calibri" w:hAnsi="Times New Roman" w:cs="Calibri"/>
          <w:sz w:val="24"/>
          <w:lang w:eastAsia="ja-JP"/>
        </w:rPr>
        <w:t xml:space="preserve">Teritorija ir ļoti nozīmīga Biotopu direktīvas II pielikuma sugu </w:t>
      </w:r>
      <w:r w:rsidR="00787756" w:rsidRPr="00A07F29">
        <w:rPr>
          <w:rFonts w:ascii="Times New Roman" w:eastAsia="Calibri" w:hAnsi="Times New Roman" w:cs="Calibri"/>
          <w:sz w:val="24"/>
          <w:lang w:eastAsia="ja-JP"/>
        </w:rPr>
        <w:t xml:space="preserve">– lielā tritona un </w:t>
      </w:r>
      <w:proofErr w:type="spellStart"/>
      <w:r w:rsidR="00787756" w:rsidRPr="00A07F29">
        <w:rPr>
          <w:rFonts w:ascii="Times New Roman" w:eastAsia="Calibri" w:hAnsi="Times New Roman" w:cs="Calibri"/>
          <w:sz w:val="24"/>
          <w:lang w:eastAsia="ja-JP"/>
        </w:rPr>
        <w:t>sarkanvēdera</w:t>
      </w:r>
      <w:proofErr w:type="spellEnd"/>
      <w:r w:rsidR="00787756" w:rsidRPr="00A07F29">
        <w:rPr>
          <w:rFonts w:ascii="Times New Roman" w:eastAsia="Calibri" w:hAnsi="Times New Roman" w:cs="Calibri"/>
          <w:sz w:val="24"/>
          <w:lang w:eastAsia="ja-JP"/>
        </w:rPr>
        <w:t xml:space="preserve"> </w:t>
      </w:r>
      <w:proofErr w:type="spellStart"/>
      <w:r w:rsidR="00787756" w:rsidRPr="00A07F29">
        <w:rPr>
          <w:rFonts w:ascii="Times New Roman" w:eastAsia="Calibri" w:hAnsi="Times New Roman" w:cs="Calibri"/>
          <w:sz w:val="24"/>
          <w:lang w:eastAsia="ja-JP"/>
        </w:rPr>
        <w:t>ugunskrupja</w:t>
      </w:r>
      <w:proofErr w:type="spellEnd"/>
      <w:r w:rsidR="00787756" w:rsidRPr="00A07F29">
        <w:rPr>
          <w:rFonts w:ascii="Times New Roman" w:eastAsia="Calibri" w:hAnsi="Times New Roman" w:cs="Calibri"/>
          <w:sz w:val="24"/>
          <w:lang w:eastAsia="ja-JP"/>
        </w:rPr>
        <w:t xml:space="preserve"> </w:t>
      </w:r>
      <w:r w:rsidR="009072CE" w:rsidRPr="00A07F29">
        <w:rPr>
          <w:rFonts w:ascii="Times New Roman" w:eastAsia="Calibri" w:hAnsi="Times New Roman" w:cs="Calibri"/>
          <w:sz w:val="24"/>
          <w:lang w:eastAsia="ja-JP"/>
        </w:rPr>
        <w:t xml:space="preserve">aizsardzībai. </w:t>
      </w:r>
      <w:r w:rsidR="009072CE" w:rsidRPr="00A07F29">
        <w:rPr>
          <w:rFonts w:ascii="Times New Roman" w:eastAsia="Calibri" w:hAnsi="Times New Roman" w:cs="Calibri"/>
          <w:sz w:val="24"/>
          <w:szCs w:val="24"/>
          <w:lang w:eastAsia="ja-JP"/>
        </w:rPr>
        <w:t xml:space="preserve">AAA </w:t>
      </w:r>
      <w:r w:rsidR="00001788" w:rsidRPr="00A07F29">
        <w:rPr>
          <w:rFonts w:ascii="Times New Roman" w:eastAsia="Calibri" w:hAnsi="Times New Roman" w:cs="Calibri"/>
          <w:sz w:val="24"/>
          <w:szCs w:val="24"/>
          <w:lang w:eastAsia="ja-JP"/>
        </w:rPr>
        <w:t xml:space="preserve">“Augšdaugava” </w:t>
      </w:r>
      <w:r w:rsidR="009072CE" w:rsidRPr="00A07F29">
        <w:rPr>
          <w:rFonts w:ascii="Times New Roman" w:eastAsia="Calibri" w:hAnsi="Times New Roman" w:cs="Calibri"/>
          <w:sz w:val="24"/>
          <w:szCs w:val="24"/>
          <w:lang w:eastAsia="ja-JP"/>
        </w:rPr>
        <w:t xml:space="preserve">ir īpaši liela nozīme visas Eiropas </w:t>
      </w:r>
      <w:proofErr w:type="spellStart"/>
      <w:r w:rsidR="009072CE" w:rsidRPr="00A07F29">
        <w:rPr>
          <w:rFonts w:ascii="Times New Roman" w:eastAsia="Calibri" w:hAnsi="Times New Roman" w:cs="Calibri"/>
          <w:sz w:val="24"/>
          <w:szCs w:val="24"/>
          <w:lang w:eastAsia="ja-JP"/>
        </w:rPr>
        <w:t>sarkanvēdera</w:t>
      </w:r>
      <w:proofErr w:type="spellEnd"/>
      <w:r w:rsidR="009072CE" w:rsidRPr="00A07F29">
        <w:rPr>
          <w:rFonts w:ascii="Times New Roman" w:eastAsia="Calibri" w:hAnsi="Times New Roman" w:cs="Calibri"/>
          <w:sz w:val="24"/>
          <w:szCs w:val="24"/>
          <w:lang w:eastAsia="ja-JP"/>
        </w:rPr>
        <w:t xml:space="preserve"> </w:t>
      </w:r>
      <w:proofErr w:type="spellStart"/>
      <w:r w:rsidR="00AB7879" w:rsidRPr="00A07F29">
        <w:rPr>
          <w:rFonts w:ascii="Times New Roman" w:eastAsia="Calibri" w:hAnsi="Times New Roman" w:cs="Calibri"/>
          <w:sz w:val="24"/>
          <w:szCs w:val="24"/>
          <w:lang w:eastAsia="ja-JP"/>
        </w:rPr>
        <w:t>ugunskrupja</w:t>
      </w:r>
      <w:proofErr w:type="spellEnd"/>
      <w:r w:rsidR="00AB7879" w:rsidRPr="00A07F29">
        <w:rPr>
          <w:rFonts w:ascii="Times New Roman" w:eastAsia="Calibri" w:hAnsi="Times New Roman" w:cs="Calibri"/>
          <w:sz w:val="24"/>
          <w:szCs w:val="24"/>
          <w:lang w:eastAsia="ja-JP"/>
        </w:rPr>
        <w:t xml:space="preserve"> </w:t>
      </w:r>
      <w:proofErr w:type="spellStart"/>
      <w:r w:rsidR="009C4CB0" w:rsidRPr="00A07F29">
        <w:rPr>
          <w:rFonts w:ascii="Times New Roman" w:eastAsia="Calibri" w:hAnsi="Times New Roman" w:cs="Calibri"/>
          <w:i/>
          <w:iCs/>
          <w:sz w:val="24"/>
          <w:szCs w:val="24"/>
          <w:lang w:eastAsia="ja-JP"/>
        </w:rPr>
        <w:t>Bombina</w:t>
      </w:r>
      <w:proofErr w:type="spellEnd"/>
      <w:r w:rsidR="009C4CB0" w:rsidRPr="00A07F29">
        <w:rPr>
          <w:rFonts w:ascii="Times New Roman" w:eastAsia="Calibri" w:hAnsi="Times New Roman" w:cs="Calibri"/>
          <w:i/>
          <w:iCs/>
          <w:sz w:val="24"/>
          <w:szCs w:val="24"/>
          <w:lang w:eastAsia="ja-JP"/>
        </w:rPr>
        <w:t xml:space="preserve"> </w:t>
      </w:r>
      <w:proofErr w:type="spellStart"/>
      <w:r w:rsidR="009C4CB0" w:rsidRPr="00A07F29">
        <w:rPr>
          <w:rFonts w:ascii="Times New Roman" w:eastAsia="Calibri" w:hAnsi="Times New Roman" w:cs="Calibri"/>
          <w:i/>
          <w:iCs/>
          <w:sz w:val="24"/>
          <w:szCs w:val="24"/>
          <w:lang w:eastAsia="ja-JP"/>
        </w:rPr>
        <w:t>bombina</w:t>
      </w:r>
      <w:proofErr w:type="spellEnd"/>
      <w:r w:rsidR="009072CE" w:rsidRPr="00A07F29">
        <w:rPr>
          <w:rFonts w:ascii="Times New Roman" w:eastAsia="Calibri" w:hAnsi="Times New Roman" w:cs="Calibri"/>
          <w:sz w:val="24"/>
          <w:szCs w:val="24"/>
          <w:lang w:eastAsia="ja-JP"/>
        </w:rPr>
        <w:t xml:space="preserve"> populācijas aizsardzībā, jo šeit atrodas </w:t>
      </w:r>
      <w:proofErr w:type="spellStart"/>
      <w:r w:rsidR="009072CE" w:rsidRPr="00A07F29">
        <w:rPr>
          <w:rFonts w:ascii="Times New Roman" w:eastAsia="Calibri" w:hAnsi="Times New Roman" w:cs="Calibri"/>
          <w:sz w:val="24"/>
          <w:szCs w:val="24"/>
          <w:lang w:eastAsia="ja-JP"/>
        </w:rPr>
        <w:t>sarkanvēdera</w:t>
      </w:r>
      <w:proofErr w:type="spellEnd"/>
      <w:r w:rsidR="009072CE" w:rsidRPr="00A07F29">
        <w:rPr>
          <w:rFonts w:ascii="Times New Roman" w:eastAsia="Calibri" w:hAnsi="Times New Roman" w:cs="Calibri"/>
          <w:sz w:val="24"/>
          <w:szCs w:val="24"/>
          <w:lang w:eastAsia="ja-JP"/>
        </w:rPr>
        <w:t xml:space="preserve"> </w:t>
      </w:r>
      <w:proofErr w:type="spellStart"/>
      <w:r w:rsidR="00AB7879" w:rsidRPr="00A07F29">
        <w:rPr>
          <w:rFonts w:ascii="Times New Roman" w:eastAsia="Calibri" w:hAnsi="Times New Roman" w:cs="Calibri"/>
          <w:sz w:val="24"/>
          <w:szCs w:val="24"/>
          <w:lang w:eastAsia="ja-JP"/>
        </w:rPr>
        <w:t>ugunskrupja</w:t>
      </w:r>
      <w:proofErr w:type="spellEnd"/>
      <w:r w:rsidR="00AB7879" w:rsidRPr="00A07F29">
        <w:rPr>
          <w:rFonts w:ascii="Times New Roman" w:eastAsia="Calibri" w:hAnsi="Times New Roman" w:cs="Calibri"/>
          <w:sz w:val="24"/>
          <w:szCs w:val="24"/>
          <w:lang w:eastAsia="ja-JP"/>
        </w:rPr>
        <w:t xml:space="preserve"> visas Eiropas populācijas </w:t>
      </w:r>
      <w:r w:rsidR="009072CE" w:rsidRPr="00A07F29">
        <w:rPr>
          <w:rFonts w:ascii="Times New Roman" w:eastAsia="Calibri" w:hAnsi="Times New Roman" w:cs="Calibri"/>
          <w:sz w:val="24"/>
          <w:szCs w:val="24"/>
          <w:lang w:eastAsia="ja-JP"/>
        </w:rPr>
        <w:t xml:space="preserve">areāla </w:t>
      </w:r>
      <w:r w:rsidR="009158BF" w:rsidRPr="00A07F29">
        <w:rPr>
          <w:rFonts w:ascii="Times New Roman" w:eastAsia="Calibri" w:hAnsi="Times New Roman" w:cs="Calibri"/>
          <w:sz w:val="24"/>
          <w:szCs w:val="24"/>
          <w:lang w:eastAsia="ja-JP"/>
        </w:rPr>
        <w:t xml:space="preserve">Z </w:t>
      </w:r>
      <w:r w:rsidR="009072CE" w:rsidRPr="00A07F29">
        <w:rPr>
          <w:rFonts w:ascii="Times New Roman" w:eastAsia="Calibri" w:hAnsi="Times New Roman" w:cs="Calibri"/>
          <w:sz w:val="24"/>
          <w:szCs w:val="24"/>
          <w:lang w:eastAsia="ja-JP"/>
        </w:rPr>
        <w:t>robeža. AAA</w:t>
      </w:r>
      <w:r w:rsidR="60A5F08A" w:rsidRPr="00A07F29">
        <w:rPr>
          <w:rFonts w:ascii="Times New Roman" w:eastAsia="Calibri" w:hAnsi="Times New Roman" w:cs="Calibri"/>
          <w:sz w:val="24"/>
          <w:szCs w:val="24"/>
          <w:lang w:eastAsia="ja-JP"/>
        </w:rPr>
        <w:t xml:space="preserve"> </w:t>
      </w:r>
      <w:r w:rsidR="00001788" w:rsidRPr="00A07F29">
        <w:rPr>
          <w:rFonts w:ascii="Times New Roman" w:eastAsia="Calibri" w:hAnsi="Times New Roman" w:cs="Calibri"/>
          <w:sz w:val="24"/>
          <w:szCs w:val="24"/>
          <w:lang w:eastAsia="ja-JP"/>
        </w:rPr>
        <w:t>“Augšdaugava”</w:t>
      </w:r>
      <w:r w:rsidR="009072CE" w:rsidRPr="00A07F29">
        <w:rPr>
          <w:rFonts w:ascii="Times New Roman" w:eastAsia="Calibri" w:hAnsi="Times New Roman" w:cs="Calibri"/>
          <w:sz w:val="24"/>
          <w:szCs w:val="24"/>
          <w:lang w:eastAsia="ja-JP"/>
        </w:rPr>
        <w:t xml:space="preserve"> atrodas Latvijas pašos </w:t>
      </w:r>
      <w:r w:rsidR="7BF320D2" w:rsidRPr="00A07F29">
        <w:rPr>
          <w:rFonts w:ascii="Times New Roman" w:eastAsia="Calibri" w:hAnsi="Times New Roman" w:cs="Calibri"/>
          <w:sz w:val="24"/>
          <w:szCs w:val="24"/>
          <w:lang w:eastAsia="ja-JP"/>
        </w:rPr>
        <w:t>DA</w:t>
      </w:r>
      <w:r w:rsidR="009072CE" w:rsidRPr="00A07F29">
        <w:rPr>
          <w:rFonts w:ascii="Times New Roman" w:eastAsia="Calibri" w:hAnsi="Times New Roman" w:cs="Calibri"/>
          <w:sz w:val="24"/>
          <w:szCs w:val="24"/>
          <w:lang w:eastAsia="ja-JP"/>
        </w:rPr>
        <w:t xml:space="preserve">, kas ļauj Latvijas abinieku un rāpuļu </w:t>
      </w:r>
      <w:r w:rsidR="7D8EEEEE" w:rsidRPr="00A07F29">
        <w:rPr>
          <w:rFonts w:ascii="Times New Roman" w:eastAsia="Calibri" w:hAnsi="Times New Roman" w:cs="Calibri"/>
          <w:sz w:val="24"/>
          <w:szCs w:val="24"/>
          <w:lang w:eastAsia="ja-JP"/>
        </w:rPr>
        <w:t>Z</w:t>
      </w:r>
      <w:r w:rsidR="009072CE" w:rsidRPr="00A07F29">
        <w:rPr>
          <w:rFonts w:ascii="Times New Roman" w:eastAsia="Calibri" w:hAnsi="Times New Roman" w:cs="Calibri"/>
          <w:sz w:val="24"/>
          <w:szCs w:val="24"/>
          <w:lang w:eastAsia="ja-JP"/>
        </w:rPr>
        <w:t xml:space="preserve"> populācijām kontaktēties ar stiprākām </w:t>
      </w:r>
      <w:r w:rsidR="70756AF0" w:rsidRPr="00A07F29">
        <w:rPr>
          <w:rFonts w:ascii="Times New Roman" w:eastAsia="Calibri" w:hAnsi="Times New Roman" w:cs="Calibri"/>
          <w:sz w:val="24"/>
          <w:szCs w:val="24"/>
          <w:lang w:eastAsia="ja-JP"/>
        </w:rPr>
        <w:t>D</w:t>
      </w:r>
      <w:r w:rsidR="009072CE" w:rsidRPr="00A07F29">
        <w:rPr>
          <w:rFonts w:ascii="Times New Roman" w:eastAsia="Calibri" w:hAnsi="Times New Roman" w:cs="Calibri"/>
          <w:sz w:val="24"/>
          <w:szCs w:val="24"/>
          <w:lang w:eastAsia="ja-JP"/>
        </w:rPr>
        <w:t xml:space="preserve"> populācijām Baltkrievijā.</w:t>
      </w:r>
    </w:p>
    <w:p w14:paraId="1FF79E4C" w14:textId="405D7132" w:rsidR="00AB7879" w:rsidRPr="00A07F29" w:rsidRDefault="00AB7879" w:rsidP="00CA6A29">
      <w:pPr>
        <w:spacing w:after="120" w:line="240" w:lineRule="auto"/>
        <w:ind w:firstLine="851"/>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 xml:space="preserve">Ņemot vērā, ka Daugavas augštece Latvijā ir saglabājusies kā pēdējais cilvēka saimnieciskās darbības relatīvi maz ietekmētais upes ielejas posms, ir svarīgi arī turpmāk to pēc iespējas mazāk pārveidot, lai saglabātu šeit sastopamās augu sugas un biotopus, kā arī ainavu. AAA </w:t>
      </w:r>
      <w:r w:rsidR="008A417E" w:rsidRPr="00A07F29">
        <w:rPr>
          <w:rFonts w:ascii="Times New Roman" w:eastAsia="Calibri" w:hAnsi="Times New Roman" w:cs="Calibri"/>
          <w:sz w:val="24"/>
          <w:lang w:eastAsia="ja-JP"/>
        </w:rPr>
        <w:t>“</w:t>
      </w:r>
      <w:r w:rsidRPr="00A07F29">
        <w:rPr>
          <w:rFonts w:ascii="Times New Roman" w:eastAsia="Calibri" w:hAnsi="Times New Roman" w:cs="Calibri"/>
          <w:sz w:val="24"/>
          <w:lang w:eastAsia="ja-JP"/>
        </w:rPr>
        <w:t xml:space="preserve">Augšdaugava” ir ne tikai ļoti nozīmīga ĪADT Latgales un Zemgales (Sēlijas) reģionos, bet arī ES mērogā kā ES nozīmes aizsargājamo sugu un biotopu aizsardzībai izveidota </w:t>
      </w:r>
      <w:proofErr w:type="spellStart"/>
      <w:r w:rsidRPr="00A07F29">
        <w:rPr>
          <w:rFonts w:ascii="Times New Roman" w:eastAsia="Calibri" w:hAnsi="Times New Roman" w:cs="Calibri"/>
          <w:i/>
          <w:sz w:val="24"/>
          <w:lang w:eastAsia="ja-JP"/>
        </w:rPr>
        <w:t>Natura</w:t>
      </w:r>
      <w:proofErr w:type="spellEnd"/>
      <w:r w:rsidRPr="00A07F29">
        <w:rPr>
          <w:rFonts w:ascii="Times New Roman" w:eastAsia="Calibri" w:hAnsi="Times New Roman" w:cs="Calibri"/>
          <w:i/>
          <w:sz w:val="24"/>
          <w:lang w:eastAsia="ja-JP"/>
        </w:rPr>
        <w:t xml:space="preserve"> 2000</w:t>
      </w:r>
      <w:r w:rsidRPr="00A07F29">
        <w:rPr>
          <w:rFonts w:ascii="Times New Roman" w:eastAsia="Calibri" w:hAnsi="Times New Roman" w:cs="Calibri"/>
          <w:sz w:val="24"/>
          <w:lang w:eastAsia="ja-JP"/>
        </w:rPr>
        <w:t xml:space="preserve"> teritorija, kā arī starptautiski nozīmīgs ekoloģiskais koridors pārrobežu dabas aizsardzības kontekstā.</w:t>
      </w:r>
    </w:p>
    <w:p w14:paraId="54CF3E2F" w14:textId="488996AF" w:rsidR="00AB7879" w:rsidRPr="00A07F29" w:rsidRDefault="00AB7879" w:rsidP="00CA6A29">
      <w:pPr>
        <w:spacing w:after="120" w:line="240" w:lineRule="auto"/>
        <w:ind w:firstLine="851"/>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 xml:space="preserve">AAA </w:t>
      </w:r>
      <w:r w:rsidR="00826603" w:rsidRPr="00A07F29">
        <w:rPr>
          <w:rFonts w:ascii="Times New Roman" w:eastAsia="Calibri" w:hAnsi="Times New Roman" w:cs="Calibri"/>
          <w:sz w:val="24"/>
          <w:lang w:eastAsia="ja-JP"/>
        </w:rPr>
        <w:t>“</w:t>
      </w:r>
      <w:r w:rsidRPr="00A07F29">
        <w:rPr>
          <w:rFonts w:ascii="Times New Roman" w:eastAsia="Calibri" w:hAnsi="Times New Roman" w:cs="Calibri"/>
          <w:sz w:val="24"/>
          <w:lang w:eastAsia="ja-JP"/>
        </w:rPr>
        <w:t>Augšdaugava” teritoriju ir iespējams sadalīt funkcionālajās zonās, atbilstoši dabas un kultūrvēsturisko vērtību koncentrēšanās vietām</w:t>
      </w:r>
      <w:r w:rsidR="00CB2F06" w:rsidRPr="00A07F29">
        <w:rPr>
          <w:rFonts w:ascii="Times New Roman" w:eastAsia="Calibri" w:hAnsi="Times New Roman" w:cs="Calibri"/>
          <w:sz w:val="24"/>
          <w:lang w:eastAsia="ja-JP"/>
        </w:rPr>
        <w:t>,</w:t>
      </w:r>
      <w:r w:rsidRPr="00A07F29">
        <w:rPr>
          <w:rFonts w:ascii="Times New Roman" w:eastAsia="Calibri" w:hAnsi="Times New Roman" w:cs="Calibri"/>
          <w:sz w:val="24"/>
          <w:lang w:eastAsia="ja-JP"/>
        </w:rPr>
        <w:t xml:space="preserve"> nosakot atšķirīgas dabas aizsardzības un apsaimniekošanas prioritātes un nosacījumus teritorijas </w:t>
      </w:r>
      <w:proofErr w:type="spellStart"/>
      <w:r w:rsidRPr="00A07F29">
        <w:rPr>
          <w:rFonts w:ascii="Times New Roman" w:eastAsia="Calibri" w:hAnsi="Times New Roman" w:cs="Calibri"/>
          <w:sz w:val="24"/>
          <w:lang w:eastAsia="ja-JP"/>
        </w:rPr>
        <w:t>tupmākajai</w:t>
      </w:r>
      <w:proofErr w:type="spellEnd"/>
      <w:r w:rsidRPr="00A07F29">
        <w:rPr>
          <w:rFonts w:ascii="Times New Roman" w:eastAsia="Calibri" w:hAnsi="Times New Roman" w:cs="Calibri"/>
          <w:sz w:val="24"/>
          <w:lang w:eastAsia="ja-JP"/>
        </w:rPr>
        <w:t xml:space="preserve"> izmantošanai.</w:t>
      </w:r>
    </w:p>
    <w:p w14:paraId="17A97217" w14:textId="0537BEC5" w:rsidR="009072CE" w:rsidRPr="00A07F29" w:rsidRDefault="009072CE" w:rsidP="004F69DA">
      <w:pPr>
        <w:keepNext/>
        <w:spacing w:before="240" w:after="120" w:line="240" w:lineRule="auto"/>
        <w:jc w:val="both"/>
        <w:rPr>
          <w:rFonts w:ascii="Times New Roman" w:eastAsia="Calibri" w:hAnsi="Times New Roman" w:cs="Calibri"/>
          <w:i/>
          <w:sz w:val="24"/>
          <w:lang w:eastAsia="ja-JP"/>
        </w:rPr>
      </w:pPr>
      <w:r w:rsidRPr="00A07F29">
        <w:rPr>
          <w:rFonts w:ascii="Times New Roman" w:eastAsia="Calibri" w:hAnsi="Times New Roman" w:cs="Calibri"/>
          <w:b/>
          <w:bCs/>
          <w:i/>
          <w:sz w:val="24"/>
          <w:lang w:eastAsia="ja-JP"/>
        </w:rPr>
        <w:t xml:space="preserve">Iespējamo draudu </w:t>
      </w:r>
      <w:r w:rsidR="0024348A" w:rsidRPr="00A07F29">
        <w:rPr>
          <w:rFonts w:ascii="Times New Roman" w:eastAsia="Calibri" w:hAnsi="Times New Roman" w:cs="Calibri"/>
          <w:b/>
          <w:bCs/>
          <w:i/>
          <w:sz w:val="24"/>
          <w:lang w:eastAsia="ja-JP"/>
        </w:rPr>
        <w:t xml:space="preserve">un ietekmju </w:t>
      </w:r>
      <w:proofErr w:type="spellStart"/>
      <w:r w:rsidRPr="00A07F29">
        <w:rPr>
          <w:rFonts w:ascii="Times New Roman" w:eastAsia="Calibri" w:hAnsi="Times New Roman" w:cs="Calibri"/>
          <w:b/>
          <w:bCs/>
          <w:i/>
          <w:sz w:val="24"/>
          <w:lang w:eastAsia="ja-JP"/>
        </w:rPr>
        <w:t>izvērtējums</w:t>
      </w:r>
      <w:proofErr w:type="spellEnd"/>
    </w:p>
    <w:p w14:paraId="7F8A7E37" w14:textId="50F8631C" w:rsidR="00FA4903" w:rsidRPr="00A07F29" w:rsidRDefault="00FA4903" w:rsidP="003845EF">
      <w:pPr>
        <w:spacing w:after="120" w:line="240" w:lineRule="auto"/>
        <w:ind w:firstLine="851"/>
        <w:jc w:val="both"/>
        <w:rPr>
          <w:rFonts w:ascii="Times New Roman" w:eastAsia="Calibri" w:hAnsi="Times New Roman" w:cs="Calibri"/>
          <w:b/>
          <w:bCs/>
          <w:sz w:val="24"/>
          <w:szCs w:val="24"/>
        </w:rPr>
      </w:pPr>
      <w:r w:rsidRPr="00A07F29">
        <w:rPr>
          <w:rFonts w:ascii="Times New Roman" w:eastAsia="Calibri" w:hAnsi="Times New Roman" w:cs="Calibri"/>
          <w:sz w:val="24"/>
        </w:rPr>
        <w:t xml:space="preserve">Saimnieciskās aktivitātes, kas ietekmē AAA “Augšdaugava” teritoriju </w:t>
      </w:r>
      <w:proofErr w:type="spellStart"/>
      <w:r w:rsidR="00E75F41" w:rsidRPr="00A07F29">
        <w:rPr>
          <w:rFonts w:ascii="Times New Roman" w:eastAsia="Calibri" w:hAnsi="Times New Roman" w:cs="Calibri"/>
          <w:sz w:val="24"/>
        </w:rPr>
        <w:t>detālāk</w:t>
      </w:r>
      <w:proofErr w:type="spellEnd"/>
      <w:r w:rsidR="00E75F41" w:rsidRPr="00A07F29">
        <w:rPr>
          <w:rFonts w:ascii="Times New Roman" w:eastAsia="Calibri" w:hAnsi="Times New Roman" w:cs="Calibri"/>
          <w:sz w:val="24"/>
        </w:rPr>
        <w:t xml:space="preserve"> aprakstītas DA plāna 3.1. – 3.</w:t>
      </w:r>
      <w:r w:rsidR="001D2768" w:rsidRPr="00A07F29">
        <w:rPr>
          <w:rFonts w:ascii="Times New Roman" w:eastAsia="Calibri" w:hAnsi="Times New Roman" w:cs="Calibri"/>
          <w:sz w:val="24"/>
        </w:rPr>
        <w:t>8</w:t>
      </w:r>
      <w:r w:rsidR="00E75F41" w:rsidRPr="00A07F29">
        <w:rPr>
          <w:rFonts w:ascii="Times New Roman" w:eastAsia="Calibri" w:hAnsi="Times New Roman" w:cs="Calibri"/>
          <w:sz w:val="24"/>
        </w:rPr>
        <w:t>. nodaļās</w:t>
      </w:r>
      <w:r w:rsidRPr="00A07F29">
        <w:rPr>
          <w:rFonts w:ascii="Times New Roman" w:eastAsia="Calibri" w:hAnsi="Times New Roman" w:cs="Calibri"/>
          <w:sz w:val="24"/>
        </w:rPr>
        <w:t>.</w:t>
      </w:r>
    </w:p>
    <w:p w14:paraId="2C06FBDA" w14:textId="77777777" w:rsidR="000D1C10" w:rsidRPr="00A07F29" w:rsidRDefault="000D1C10" w:rsidP="003845EF">
      <w:pPr>
        <w:spacing w:after="120" w:line="240" w:lineRule="auto"/>
        <w:ind w:firstLine="851"/>
        <w:jc w:val="both"/>
        <w:rPr>
          <w:rFonts w:ascii="Times New Roman" w:eastAsia="Calibri" w:hAnsi="Times New Roman" w:cs="Calibri"/>
          <w:bCs/>
          <w:sz w:val="24"/>
          <w:szCs w:val="24"/>
        </w:rPr>
      </w:pPr>
      <w:proofErr w:type="spellStart"/>
      <w:r w:rsidRPr="00A07F29">
        <w:rPr>
          <w:rFonts w:ascii="Times New Roman" w:eastAsia="Calibri" w:hAnsi="Times New Roman" w:cs="Calibri"/>
          <w:b/>
          <w:bCs/>
          <w:sz w:val="24"/>
          <w:szCs w:val="24"/>
        </w:rPr>
        <w:t>Apdzīvojuma</w:t>
      </w:r>
      <w:proofErr w:type="spellEnd"/>
      <w:r w:rsidRPr="00A07F29">
        <w:rPr>
          <w:rFonts w:ascii="Times New Roman" w:eastAsia="Calibri" w:hAnsi="Times New Roman" w:cs="Calibri"/>
          <w:b/>
          <w:bCs/>
          <w:sz w:val="24"/>
          <w:szCs w:val="24"/>
        </w:rPr>
        <w:t xml:space="preserve"> samazināšanās un atklātās ainavas aizaugšana</w:t>
      </w:r>
      <w:r w:rsidRPr="00A07F29">
        <w:rPr>
          <w:rFonts w:ascii="Times New Roman" w:eastAsia="Calibri" w:hAnsi="Times New Roman" w:cs="Calibri"/>
          <w:bCs/>
          <w:sz w:val="24"/>
          <w:szCs w:val="24"/>
        </w:rPr>
        <w:t xml:space="preserve"> negatīvi ietekmē ne tikai AAA “Augšdaugava” ainavisko vērtību un teritorijas kā tūrisma resursa kvalitāti, bet arī ES nozīmes zālāju biotopus un tajos sastopamās </w:t>
      </w:r>
      <w:r w:rsidRPr="001F6CEA">
        <w:rPr>
          <w:rFonts w:ascii="Times New Roman" w:eastAsia="Calibri" w:hAnsi="Times New Roman" w:cs="Calibri"/>
          <w:bCs/>
          <w:sz w:val="24"/>
          <w:szCs w:val="24"/>
        </w:rPr>
        <w:t>īpaši aizsargājamās</w:t>
      </w:r>
      <w:r w:rsidRPr="00A07F29">
        <w:rPr>
          <w:rFonts w:ascii="Times New Roman" w:eastAsia="Calibri" w:hAnsi="Times New Roman" w:cs="Calibri"/>
          <w:bCs/>
          <w:sz w:val="24"/>
          <w:szCs w:val="24"/>
        </w:rPr>
        <w:t xml:space="preserve"> sugas.</w:t>
      </w:r>
    </w:p>
    <w:p w14:paraId="4D398382" w14:textId="40C27836" w:rsidR="00470994" w:rsidRPr="00A07F29" w:rsidRDefault="00470994" w:rsidP="003845EF">
      <w:pPr>
        <w:spacing w:after="120" w:line="240" w:lineRule="auto"/>
        <w:ind w:firstLine="851"/>
        <w:jc w:val="both"/>
        <w:rPr>
          <w:rFonts w:ascii="Times New Roman" w:hAnsi="Times New Roman" w:cs="Times New Roman"/>
          <w:sz w:val="24"/>
          <w:szCs w:val="24"/>
        </w:rPr>
      </w:pPr>
      <w:r w:rsidRPr="00A07F29">
        <w:rPr>
          <w:rFonts w:ascii="Times New Roman" w:eastAsia="Calibri" w:hAnsi="Times New Roman" w:cs="Calibri"/>
          <w:b/>
          <w:bCs/>
          <w:sz w:val="24"/>
          <w:szCs w:val="24"/>
        </w:rPr>
        <w:t>Lauksaimniecība</w:t>
      </w:r>
      <w:r w:rsidRPr="00A07F29">
        <w:rPr>
          <w:rFonts w:ascii="Times New Roman" w:eastAsia="Calibri" w:hAnsi="Times New Roman" w:cs="Calibri"/>
          <w:bCs/>
          <w:sz w:val="24"/>
          <w:szCs w:val="24"/>
        </w:rPr>
        <w:t xml:space="preserve"> ir viena no jomām, kas visbūtiskāk ietekmē AAA “Augšdaugava” </w:t>
      </w:r>
      <w:r w:rsidRPr="00A07F29">
        <w:rPr>
          <w:rFonts w:ascii="Times New Roman" w:hAnsi="Times New Roman" w:cs="Times New Roman"/>
          <w:sz w:val="24"/>
          <w:szCs w:val="24"/>
        </w:rPr>
        <w:t xml:space="preserve">sastopamās dabas vērtības un ainavu. </w:t>
      </w:r>
    </w:p>
    <w:p w14:paraId="712B7766" w14:textId="529C0C1B" w:rsidR="00470994" w:rsidRPr="00A07F29" w:rsidRDefault="00470994" w:rsidP="003845EF">
      <w:pPr>
        <w:spacing w:after="120" w:line="240" w:lineRule="auto"/>
        <w:ind w:firstLine="851"/>
        <w:jc w:val="both"/>
        <w:rPr>
          <w:rFonts w:ascii="Times New Roman" w:hAnsi="Times New Roman" w:cs="Times New Roman"/>
          <w:sz w:val="24"/>
          <w:szCs w:val="24"/>
        </w:rPr>
      </w:pPr>
      <w:r w:rsidRPr="001F6CEA">
        <w:rPr>
          <w:rFonts w:ascii="Times New Roman" w:hAnsi="Times New Roman" w:cs="Times New Roman"/>
          <w:sz w:val="24"/>
          <w:szCs w:val="24"/>
        </w:rPr>
        <w:lastRenderedPageBreak/>
        <w:t>Īpaši aizsargājamos</w:t>
      </w:r>
      <w:r w:rsidRPr="00A07F29">
        <w:rPr>
          <w:rFonts w:ascii="Times New Roman" w:hAnsi="Times New Roman" w:cs="Times New Roman"/>
          <w:sz w:val="24"/>
          <w:szCs w:val="24"/>
        </w:rPr>
        <w:t xml:space="preserve"> zālāju biotopus un tajos sastopamās aizsargājamās un tipiskās sugas pozitīvi ietekmē zālāju tradicionālā apsaimniekošana – pļaušana, novācot sienu, vai noganīšana. Attiecīgi negatīvi tos ietekmē zālāju tradicionālās apsaimniekošanas pārtrauk</w:t>
      </w:r>
      <w:r w:rsidR="00A27CC3" w:rsidRPr="00A07F29">
        <w:rPr>
          <w:rFonts w:ascii="Times New Roman" w:hAnsi="Times New Roman" w:cs="Times New Roman"/>
          <w:sz w:val="24"/>
          <w:szCs w:val="24"/>
        </w:rPr>
        <w:t>šana, kas izraisa nevēlamas izmaiņas sugu sastāvā un zālāju aizau</w:t>
      </w:r>
      <w:r w:rsidR="00BB44C2">
        <w:rPr>
          <w:rFonts w:ascii="Times New Roman" w:hAnsi="Times New Roman" w:cs="Times New Roman"/>
          <w:sz w:val="24"/>
          <w:szCs w:val="24"/>
        </w:rPr>
        <w:t>g</w:t>
      </w:r>
      <w:r w:rsidR="00A27CC3" w:rsidRPr="00A07F29">
        <w:rPr>
          <w:rFonts w:ascii="Times New Roman" w:hAnsi="Times New Roman" w:cs="Times New Roman"/>
          <w:sz w:val="24"/>
          <w:szCs w:val="24"/>
        </w:rPr>
        <w:t>šanu ar krūmiem un kokiem.</w:t>
      </w:r>
    </w:p>
    <w:p w14:paraId="1EF085E7" w14:textId="649AADCD" w:rsidR="00A27CC3" w:rsidRPr="00A07F29" w:rsidRDefault="00A27CC3" w:rsidP="003845EF">
      <w:pPr>
        <w:spacing w:after="12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t xml:space="preserve">Savukārt </w:t>
      </w:r>
      <w:r w:rsidR="004F69DA" w:rsidRPr="00A07F29">
        <w:rPr>
          <w:rFonts w:ascii="Times New Roman" w:hAnsi="Times New Roman" w:cs="Times New Roman"/>
          <w:sz w:val="24"/>
          <w:szCs w:val="24"/>
        </w:rPr>
        <w:t xml:space="preserve">intensīvi </w:t>
      </w:r>
      <w:r w:rsidRPr="00A07F29">
        <w:rPr>
          <w:rFonts w:ascii="Times New Roman" w:hAnsi="Times New Roman" w:cs="Times New Roman"/>
          <w:sz w:val="24"/>
          <w:szCs w:val="24"/>
        </w:rPr>
        <w:t xml:space="preserve">apsaimniekotās lauksaimniecības zemes samazina teritorijas bioloģisko daudzveidību, kā arī papildus ietekmes un riskus rada augu aizsardzības līdzekļu lietošana </w:t>
      </w:r>
      <w:r w:rsidR="00507213" w:rsidRPr="00A07F29">
        <w:rPr>
          <w:rFonts w:ascii="Times New Roman" w:hAnsi="Times New Roman" w:cs="Times New Roman"/>
          <w:sz w:val="24"/>
          <w:szCs w:val="24"/>
        </w:rPr>
        <w:t xml:space="preserve">(īpaši ietekme uz apputeksnētāju u.c. bezmugurkaulnieku sugām) </w:t>
      </w:r>
      <w:r w:rsidRPr="00A07F29">
        <w:rPr>
          <w:rFonts w:ascii="Times New Roman" w:hAnsi="Times New Roman" w:cs="Times New Roman"/>
          <w:sz w:val="24"/>
          <w:szCs w:val="24"/>
        </w:rPr>
        <w:t>un augu barības vielu ienese upēs un ezeros</w:t>
      </w:r>
      <w:r w:rsidR="00507213" w:rsidRPr="00A07F29">
        <w:rPr>
          <w:rFonts w:ascii="Times New Roman" w:hAnsi="Times New Roman" w:cs="Times New Roman"/>
          <w:sz w:val="24"/>
          <w:szCs w:val="24"/>
        </w:rPr>
        <w:t>, kas veicina to aizaugšanu</w:t>
      </w:r>
      <w:r w:rsidRPr="00A07F29">
        <w:rPr>
          <w:rFonts w:ascii="Times New Roman" w:hAnsi="Times New Roman" w:cs="Times New Roman"/>
          <w:sz w:val="24"/>
          <w:szCs w:val="24"/>
        </w:rPr>
        <w:t>.</w:t>
      </w:r>
      <w:r w:rsidR="00507213" w:rsidRPr="00A07F29">
        <w:rPr>
          <w:rFonts w:ascii="Times New Roman" w:hAnsi="Times New Roman" w:cs="Times New Roman"/>
          <w:sz w:val="24"/>
          <w:szCs w:val="24"/>
        </w:rPr>
        <w:t xml:space="preserve"> Aizsargājamos zālāju biotopus apdraud mēslošana un uzaršana.</w:t>
      </w:r>
    </w:p>
    <w:p w14:paraId="1B75EEB8" w14:textId="5CC4C432" w:rsidR="00A27CC3" w:rsidRPr="00A07F29" w:rsidRDefault="00507213" w:rsidP="003845EF">
      <w:pPr>
        <w:spacing w:after="12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t xml:space="preserve">AAA “Augšdaugava” sastopamās dabas vērtības un ainavu būtiski ietekmē arī </w:t>
      </w:r>
      <w:r w:rsidRPr="00A07F29">
        <w:rPr>
          <w:rFonts w:ascii="Times New Roman" w:hAnsi="Times New Roman" w:cs="Times New Roman"/>
          <w:b/>
          <w:sz w:val="24"/>
          <w:szCs w:val="24"/>
        </w:rPr>
        <w:t>mežsaimniecisk</w:t>
      </w:r>
      <w:r w:rsidR="00E75F41" w:rsidRPr="00A07F29">
        <w:rPr>
          <w:rFonts w:ascii="Times New Roman" w:hAnsi="Times New Roman" w:cs="Times New Roman"/>
          <w:b/>
          <w:sz w:val="24"/>
          <w:szCs w:val="24"/>
        </w:rPr>
        <w:t>ā darbība</w:t>
      </w:r>
      <w:r w:rsidR="00E75F41" w:rsidRPr="00A07F29">
        <w:rPr>
          <w:rFonts w:ascii="Times New Roman" w:hAnsi="Times New Roman" w:cs="Times New Roman"/>
          <w:sz w:val="24"/>
          <w:szCs w:val="24"/>
        </w:rPr>
        <w:t>.</w:t>
      </w:r>
      <w:r w:rsidR="000D1C10" w:rsidRPr="00A07F29">
        <w:rPr>
          <w:rFonts w:ascii="Times New Roman" w:hAnsi="Times New Roman" w:cs="Times New Roman"/>
          <w:sz w:val="24"/>
          <w:szCs w:val="24"/>
        </w:rPr>
        <w:t xml:space="preserve"> </w:t>
      </w:r>
      <w:r w:rsidRPr="00A07F29">
        <w:rPr>
          <w:rFonts w:ascii="Times New Roman" w:hAnsi="Times New Roman" w:cs="Times New Roman"/>
          <w:sz w:val="24"/>
          <w:szCs w:val="24"/>
        </w:rPr>
        <w:t xml:space="preserve">Lielākajā </w:t>
      </w:r>
      <w:r w:rsidR="00CC4542" w:rsidRPr="00A07F29">
        <w:rPr>
          <w:rFonts w:ascii="Times New Roman" w:hAnsi="Times New Roman" w:cs="Times New Roman"/>
          <w:sz w:val="24"/>
          <w:szCs w:val="24"/>
        </w:rPr>
        <w:t xml:space="preserve">daļā </w:t>
      </w:r>
      <w:r w:rsidRPr="00A07F29">
        <w:rPr>
          <w:rFonts w:ascii="Times New Roman" w:hAnsi="Times New Roman" w:cs="Times New Roman"/>
          <w:sz w:val="24"/>
          <w:szCs w:val="24"/>
        </w:rPr>
        <w:t>AAA “Augšdaugava”</w:t>
      </w:r>
      <w:r w:rsidR="00E75F41" w:rsidRPr="00A07F29">
        <w:rPr>
          <w:rFonts w:ascii="Times New Roman" w:hAnsi="Times New Roman" w:cs="Times New Roman"/>
          <w:sz w:val="24"/>
          <w:szCs w:val="24"/>
        </w:rPr>
        <w:t xml:space="preserve"> teritori</w:t>
      </w:r>
      <w:r w:rsidRPr="00A07F29">
        <w:rPr>
          <w:rFonts w:ascii="Times New Roman" w:hAnsi="Times New Roman" w:cs="Times New Roman"/>
          <w:sz w:val="24"/>
          <w:szCs w:val="24"/>
        </w:rPr>
        <w:t>jas ir atļ</w:t>
      </w:r>
      <w:r w:rsidR="00E75F41" w:rsidRPr="00A07F29">
        <w:rPr>
          <w:rFonts w:ascii="Times New Roman" w:hAnsi="Times New Roman" w:cs="Times New Roman"/>
          <w:sz w:val="24"/>
          <w:szCs w:val="24"/>
        </w:rPr>
        <w:t>auta kailcirte, kas ne tikai</w:t>
      </w:r>
      <w:r w:rsidR="00FA4903" w:rsidRPr="00A07F29">
        <w:rPr>
          <w:rFonts w:ascii="Times New Roman" w:hAnsi="Times New Roman" w:cs="Times New Roman"/>
          <w:sz w:val="24"/>
          <w:szCs w:val="24"/>
        </w:rPr>
        <w:t xml:space="preserve"> </w:t>
      </w:r>
      <w:r w:rsidR="00E75F41" w:rsidRPr="00A07F29">
        <w:rPr>
          <w:rFonts w:ascii="Times New Roman" w:hAnsi="Times New Roman" w:cs="Times New Roman"/>
          <w:sz w:val="24"/>
          <w:szCs w:val="24"/>
        </w:rPr>
        <w:t xml:space="preserve">fragmentē meža teritorijas un </w:t>
      </w:r>
      <w:r w:rsidR="00FA4903" w:rsidRPr="00A07F29">
        <w:rPr>
          <w:rFonts w:ascii="Times New Roman" w:hAnsi="Times New Roman" w:cs="Times New Roman"/>
          <w:sz w:val="24"/>
          <w:szCs w:val="24"/>
        </w:rPr>
        <w:t xml:space="preserve">samazina iespēju veidoties bioloģiski vērtīgām mežaudzēm ar dabiskam mežam raksturīgām struktūrām, bet </w:t>
      </w:r>
      <w:r w:rsidR="00E75F41" w:rsidRPr="00A07F29">
        <w:rPr>
          <w:rFonts w:ascii="Times New Roman" w:hAnsi="Times New Roman" w:cs="Times New Roman"/>
          <w:sz w:val="24"/>
          <w:szCs w:val="24"/>
        </w:rPr>
        <w:t xml:space="preserve">dod iespēju nocirst pat aizsargājamus meža biotopus. Kailcirtes ezeru </w:t>
      </w:r>
      <w:proofErr w:type="spellStart"/>
      <w:r w:rsidR="000D1C10" w:rsidRPr="00A07F29">
        <w:rPr>
          <w:rFonts w:ascii="Times New Roman" w:hAnsi="Times New Roman" w:cs="Times New Roman"/>
          <w:sz w:val="24"/>
          <w:szCs w:val="24"/>
        </w:rPr>
        <w:t>pamatbaseinos</w:t>
      </w:r>
      <w:proofErr w:type="spellEnd"/>
      <w:r w:rsidR="000D1C10" w:rsidRPr="00A07F29">
        <w:rPr>
          <w:rFonts w:ascii="Times New Roman" w:hAnsi="Times New Roman" w:cs="Times New Roman"/>
          <w:sz w:val="24"/>
          <w:szCs w:val="24"/>
        </w:rPr>
        <w:t xml:space="preserve"> </w:t>
      </w:r>
      <w:r w:rsidR="00E75F41" w:rsidRPr="00A07F29">
        <w:rPr>
          <w:rFonts w:ascii="Times New Roman" w:hAnsi="Times New Roman" w:cs="Times New Roman"/>
          <w:sz w:val="24"/>
          <w:szCs w:val="24"/>
        </w:rPr>
        <w:t>veicina barības vielu ieskalošanos ezeros un to ūdens kvalitātes pasliktināšanos un aizaugšanu.</w:t>
      </w:r>
    </w:p>
    <w:p w14:paraId="337D0774" w14:textId="209A0A9D" w:rsidR="00996EC3" w:rsidRPr="00A07F29" w:rsidRDefault="00E75F41" w:rsidP="003845EF">
      <w:pPr>
        <w:spacing w:after="12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t>Izlases cirtes, kas tiek veiktas DP “Daugavas loki” atbilstoši spēkā esošajiem noteikumiem, nesekmē dabiskam mežam raksturīgo struktūru veidošanos un veicina izretinātā meža aizzelšanu ar lazdām.</w:t>
      </w:r>
      <w:r w:rsidR="00B60860" w:rsidRPr="00A07F29">
        <w:rPr>
          <w:rFonts w:ascii="Times New Roman" w:hAnsi="Times New Roman" w:cs="Times New Roman"/>
          <w:sz w:val="24"/>
          <w:szCs w:val="24"/>
        </w:rPr>
        <w:t xml:space="preserve"> </w:t>
      </w:r>
      <w:r w:rsidR="00996EC3" w:rsidRPr="00A07F29">
        <w:rPr>
          <w:rFonts w:ascii="Times New Roman" w:hAnsi="Times New Roman" w:cs="Times New Roman"/>
          <w:sz w:val="24"/>
          <w:szCs w:val="24"/>
        </w:rPr>
        <w:t>Meža biotopus negatīvi ietekmē arī mirušās koksnes izvākšana.</w:t>
      </w:r>
    </w:p>
    <w:p w14:paraId="323FC2F4" w14:textId="153D1FE1" w:rsidR="000D1C10" w:rsidRPr="00A07F29" w:rsidRDefault="00D05298" w:rsidP="003845EF">
      <w:pPr>
        <w:spacing w:after="120" w:line="240" w:lineRule="auto"/>
        <w:ind w:firstLine="851"/>
        <w:jc w:val="both"/>
        <w:rPr>
          <w:rFonts w:ascii="Times New Roman" w:eastAsia="Calibri" w:hAnsi="Times New Roman" w:cs="Calibri"/>
          <w:sz w:val="24"/>
        </w:rPr>
      </w:pPr>
      <w:r w:rsidRPr="00BB44C2">
        <w:rPr>
          <w:rFonts w:ascii="Times New Roman" w:hAnsi="Times New Roman" w:cs="Times New Roman"/>
          <w:sz w:val="24"/>
          <w:szCs w:val="24"/>
        </w:rPr>
        <w:t xml:space="preserve">Īpaši </w:t>
      </w:r>
      <w:r w:rsidR="00E75F41" w:rsidRPr="00BB44C2">
        <w:rPr>
          <w:rFonts w:ascii="Times New Roman" w:hAnsi="Times New Roman" w:cs="Times New Roman"/>
          <w:sz w:val="24"/>
          <w:szCs w:val="24"/>
        </w:rPr>
        <w:t>aizsargājamiem</w:t>
      </w:r>
      <w:r w:rsidR="00E75F41" w:rsidRPr="00A07F29">
        <w:rPr>
          <w:rFonts w:ascii="Times New Roman" w:hAnsi="Times New Roman" w:cs="Times New Roman"/>
          <w:sz w:val="24"/>
          <w:szCs w:val="24"/>
        </w:rPr>
        <w:t xml:space="preserve"> meža biotopiem parasti nepieciešams nodrošināt to dabisku attīstību, ta</w:t>
      </w:r>
      <w:r w:rsidR="00996EC3" w:rsidRPr="00A07F29">
        <w:rPr>
          <w:rFonts w:ascii="Times New Roman" w:hAnsi="Times New Roman" w:cs="Times New Roman"/>
          <w:sz w:val="24"/>
          <w:szCs w:val="24"/>
        </w:rPr>
        <w:t xml:space="preserve">ču tos </w:t>
      </w:r>
      <w:r w:rsidR="00E75F41" w:rsidRPr="00A07F29">
        <w:rPr>
          <w:rFonts w:ascii="Times New Roman" w:hAnsi="Times New Roman" w:cs="Times New Roman"/>
          <w:sz w:val="24"/>
          <w:szCs w:val="24"/>
        </w:rPr>
        <w:t>labvēlīgi var ietekmēt arī</w:t>
      </w:r>
      <w:r w:rsidR="00996EC3" w:rsidRPr="00A07F29">
        <w:rPr>
          <w:rFonts w:ascii="Times New Roman" w:hAnsi="Times New Roman" w:cs="Times New Roman"/>
          <w:sz w:val="24"/>
          <w:szCs w:val="24"/>
        </w:rPr>
        <w:t xml:space="preserve"> specifiski, konkrētajai mežaudzei atbilstoši apsaimniekošanas pasākumi.</w:t>
      </w:r>
    </w:p>
    <w:p w14:paraId="75A7415C" w14:textId="592C78FE" w:rsidR="000D1C10" w:rsidRPr="00A07F29" w:rsidRDefault="000D1C10" w:rsidP="003845EF">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Lai </w:t>
      </w:r>
      <w:r w:rsidR="00B60860" w:rsidRPr="00A07F29">
        <w:rPr>
          <w:rFonts w:ascii="Times New Roman" w:eastAsia="Calibri" w:hAnsi="Times New Roman" w:cs="Calibri"/>
          <w:sz w:val="24"/>
        </w:rPr>
        <w:t>nodrošinātu veiksmīgu</w:t>
      </w:r>
      <w:r w:rsidRPr="00A07F29">
        <w:rPr>
          <w:rFonts w:ascii="Times New Roman" w:eastAsia="Calibri" w:hAnsi="Times New Roman" w:cs="Calibri"/>
          <w:sz w:val="24"/>
        </w:rPr>
        <w:t xml:space="preserve"> aizsargājamo mežu biotopu un ar tiem saistīto </w:t>
      </w:r>
      <w:r w:rsidR="00B60860" w:rsidRPr="00A07F29">
        <w:rPr>
          <w:rFonts w:ascii="Times New Roman" w:eastAsia="Calibri" w:hAnsi="Times New Roman" w:cs="Calibri"/>
          <w:sz w:val="24"/>
        </w:rPr>
        <w:t>aizsargājamo sugu pastāvēšanu AAA “Augšdaugava”, n</w:t>
      </w:r>
      <w:r w:rsidRPr="00A07F29">
        <w:rPr>
          <w:rFonts w:ascii="Times New Roman" w:eastAsia="Calibri" w:hAnsi="Times New Roman" w:cs="Calibri"/>
          <w:sz w:val="24"/>
        </w:rPr>
        <w:t xml:space="preserve">epieciešams </w:t>
      </w:r>
      <w:r w:rsidR="00B60860" w:rsidRPr="00A07F29">
        <w:rPr>
          <w:rFonts w:ascii="Times New Roman" w:eastAsia="Calibri" w:hAnsi="Times New Roman" w:cs="Calibri"/>
          <w:sz w:val="24"/>
        </w:rPr>
        <w:t xml:space="preserve">saglabāt </w:t>
      </w:r>
      <w:r w:rsidRPr="00A07F29">
        <w:rPr>
          <w:rFonts w:ascii="Times New Roman" w:eastAsia="Calibri" w:hAnsi="Times New Roman" w:cs="Calibri"/>
          <w:sz w:val="24"/>
        </w:rPr>
        <w:t>veco mež</w:t>
      </w:r>
      <w:r w:rsidR="00B60860" w:rsidRPr="00A07F29">
        <w:rPr>
          <w:rFonts w:ascii="Times New Roman" w:eastAsia="Calibri" w:hAnsi="Times New Roman" w:cs="Calibri"/>
          <w:sz w:val="24"/>
        </w:rPr>
        <w:t>u</w:t>
      </w:r>
      <w:r w:rsidRPr="00A07F29">
        <w:rPr>
          <w:rFonts w:ascii="Times New Roman" w:eastAsia="Calibri" w:hAnsi="Times New Roman" w:cs="Calibri"/>
          <w:sz w:val="24"/>
        </w:rPr>
        <w:t xml:space="preserve"> nogabalu</w:t>
      </w:r>
      <w:r w:rsidR="004A787E" w:rsidRPr="00A07F29">
        <w:rPr>
          <w:rFonts w:ascii="Times New Roman" w:eastAsia="Calibri" w:hAnsi="Times New Roman" w:cs="Calibri"/>
          <w:sz w:val="24"/>
        </w:rPr>
        <w:t>s un ļaut mežam dabiski attīstīties arī ekoloģiskajos koridoros starp tiem, kā arī pārējā</w:t>
      </w:r>
      <w:r w:rsidR="003845EF" w:rsidRPr="00A07F29">
        <w:rPr>
          <w:rFonts w:ascii="Times New Roman" w:eastAsia="Calibri" w:hAnsi="Times New Roman" w:cs="Calibri"/>
          <w:sz w:val="24"/>
        </w:rPr>
        <w:t xml:space="preserve"> mežu</w:t>
      </w:r>
      <w:r w:rsidR="004A787E" w:rsidRPr="00A07F29">
        <w:rPr>
          <w:rFonts w:ascii="Times New Roman" w:eastAsia="Calibri" w:hAnsi="Times New Roman" w:cs="Calibri"/>
          <w:sz w:val="24"/>
        </w:rPr>
        <w:t xml:space="preserve"> teritorijā saglabāt pēc iespējas vairāk dabiskam mežam raksturīgu struktūras elementu</w:t>
      </w:r>
      <w:r w:rsidR="003845EF" w:rsidRPr="00A07F29">
        <w:rPr>
          <w:rFonts w:ascii="Times New Roman" w:eastAsia="Calibri" w:hAnsi="Times New Roman" w:cs="Calibri"/>
          <w:sz w:val="24"/>
        </w:rPr>
        <w:t xml:space="preserve"> (piemēram, </w:t>
      </w:r>
      <w:r w:rsidR="004A787E" w:rsidRPr="00A07F29">
        <w:rPr>
          <w:rFonts w:ascii="Times New Roman" w:eastAsia="Calibri" w:hAnsi="Times New Roman" w:cs="Calibri"/>
          <w:sz w:val="24"/>
        </w:rPr>
        <w:t xml:space="preserve">vecus kokus, lielu dimensiju </w:t>
      </w:r>
      <w:proofErr w:type="spellStart"/>
      <w:r w:rsidR="004A787E" w:rsidRPr="00A07F29">
        <w:rPr>
          <w:rFonts w:ascii="Times New Roman" w:eastAsia="Calibri" w:hAnsi="Times New Roman" w:cs="Calibri"/>
          <w:sz w:val="24"/>
        </w:rPr>
        <w:t>sausokšņus</w:t>
      </w:r>
      <w:proofErr w:type="spellEnd"/>
      <w:r w:rsidR="004A787E" w:rsidRPr="00A07F29">
        <w:rPr>
          <w:rFonts w:ascii="Times New Roman" w:eastAsia="Calibri" w:hAnsi="Times New Roman" w:cs="Calibri"/>
          <w:sz w:val="24"/>
        </w:rPr>
        <w:t xml:space="preserve"> un kritalas, dobumainos kokus</w:t>
      </w:r>
      <w:r w:rsidR="003845EF" w:rsidRPr="00A07F29">
        <w:rPr>
          <w:rFonts w:ascii="Times New Roman" w:eastAsia="Calibri" w:hAnsi="Times New Roman" w:cs="Calibri"/>
          <w:sz w:val="24"/>
        </w:rPr>
        <w:t xml:space="preserve">), </w:t>
      </w:r>
      <w:r w:rsidR="004A787E" w:rsidRPr="00A07F29">
        <w:rPr>
          <w:rFonts w:ascii="Times New Roman" w:eastAsia="Calibri" w:hAnsi="Times New Roman" w:cs="Calibri"/>
          <w:sz w:val="24"/>
        </w:rPr>
        <w:t>kā arī veicināt dažāda vecuma mež</w:t>
      </w:r>
      <w:r w:rsidR="003845EF" w:rsidRPr="00A07F29">
        <w:rPr>
          <w:rFonts w:ascii="Times New Roman" w:eastAsia="Calibri" w:hAnsi="Times New Roman" w:cs="Calibri"/>
          <w:sz w:val="24"/>
        </w:rPr>
        <w:t>audzes veidošanos.</w:t>
      </w:r>
      <w:r w:rsidRPr="00A07F29">
        <w:rPr>
          <w:rFonts w:ascii="Times New Roman" w:eastAsia="Calibri" w:hAnsi="Times New Roman" w:cs="Calibri"/>
          <w:sz w:val="24"/>
        </w:rPr>
        <w:t xml:space="preserve"> </w:t>
      </w:r>
    </w:p>
    <w:p w14:paraId="3DE32E63" w14:textId="5411EE77" w:rsidR="00470994" w:rsidRPr="00A07F29" w:rsidRDefault="00996EC3" w:rsidP="00CA6A29">
      <w:pPr>
        <w:spacing w:after="12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t xml:space="preserve">Būtiskas ietekmes uz AAA “Augšdaugava” ainavu un ekosistēmām rada </w:t>
      </w:r>
      <w:r w:rsidRPr="00A07F29">
        <w:rPr>
          <w:rFonts w:ascii="Times New Roman" w:hAnsi="Times New Roman" w:cs="Times New Roman"/>
          <w:b/>
          <w:sz w:val="24"/>
          <w:szCs w:val="24"/>
        </w:rPr>
        <w:t>derīgo izrakteņu ieguve</w:t>
      </w:r>
      <w:r w:rsidRPr="00A07F29">
        <w:rPr>
          <w:rFonts w:ascii="Times New Roman" w:hAnsi="Times New Roman" w:cs="Times New Roman"/>
          <w:sz w:val="24"/>
          <w:szCs w:val="24"/>
        </w:rPr>
        <w:t>, īpaši vietās, kur līdz šim tā nav veikta. Līdz ar to jaunu karjeru ie</w:t>
      </w:r>
      <w:r w:rsidR="00B50BF3" w:rsidRPr="00A07F29">
        <w:rPr>
          <w:rFonts w:ascii="Times New Roman" w:hAnsi="Times New Roman" w:cs="Times New Roman"/>
          <w:sz w:val="24"/>
          <w:szCs w:val="24"/>
        </w:rPr>
        <w:t>rī</w:t>
      </w:r>
      <w:r w:rsidRPr="00A07F29">
        <w:rPr>
          <w:rFonts w:ascii="Times New Roman" w:hAnsi="Times New Roman" w:cs="Times New Roman"/>
          <w:sz w:val="24"/>
          <w:szCs w:val="24"/>
        </w:rPr>
        <w:t>ko</w:t>
      </w:r>
      <w:r w:rsidR="00B50BF3" w:rsidRPr="00A07F29">
        <w:rPr>
          <w:rFonts w:ascii="Times New Roman" w:hAnsi="Times New Roman" w:cs="Times New Roman"/>
          <w:sz w:val="24"/>
          <w:szCs w:val="24"/>
        </w:rPr>
        <w:t>š</w:t>
      </w:r>
      <w:r w:rsidRPr="00A07F29">
        <w:rPr>
          <w:rFonts w:ascii="Times New Roman" w:hAnsi="Times New Roman" w:cs="Times New Roman"/>
          <w:sz w:val="24"/>
          <w:szCs w:val="24"/>
        </w:rPr>
        <w:t xml:space="preserve">ana nav pieļaujama </w:t>
      </w:r>
      <w:r w:rsidRPr="00BB44C2">
        <w:rPr>
          <w:rFonts w:ascii="Times New Roman" w:hAnsi="Times New Roman" w:cs="Times New Roman"/>
          <w:sz w:val="24"/>
          <w:szCs w:val="24"/>
        </w:rPr>
        <w:t>īpaši aizsargājamo biotopu un sugu atradnēs</w:t>
      </w:r>
      <w:r w:rsidR="00B50BF3" w:rsidRPr="00BB44C2">
        <w:rPr>
          <w:rFonts w:ascii="Times New Roman" w:hAnsi="Times New Roman" w:cs="Times New Roman"/>
          <w:sz w:val="24"/>
          <w:szCs w:val="24"/>
        </w:rPr>
        <w:t xml:space="preserve">, kā arī </w:t>
      </w:r>
      <w:r w:rsidRPr="00BB44C2">
        <w:rPr>
          <w:rFonts w:ascii="Times New Roman" w:hAnsi="Times New Roman" w:cs="Times New Roman"/>
          <w:sz w:val="24"/>
          <w:szCs w:val="24"/>
        </w:rPr>
        <w:t>un a</w:t>
      </w:r>
      <w:r w:rsidR="00B50BF3" w:rsidRPr="00BB44C2">
        <w:rPr>
          <w:rFonts w:ascii="Times New Roman" w:hAnsi="Times New Roman" w:cs="Times New Roman"/>
          <w:sz w:val="24"/>
          <w:szCs w:val="24"/>
        </w:rPr>
        <w:t>i</w:t>
      </w:r>
      <w:r w:rsidRPr="00BB44C2">
        <w:rPr>
          <w:rFonts w:ascii="Times New Roman" w:hAnsi="Times New Roman" w:cs="Times New Roman"/>
          <w:sz w:val="24"/>
          <w:szCs w:val="24"/>
        </w:rPr>
        <w:t>naviski vērtīgās teritorij</w:t>
      </w:r>
      <w:r w:rsidR="001D2768" w:rsidRPr="00BB44C2">
        <w:rPr>
          <w:rFonts w:ascii="Times New Roman" w:hAnsi="Times New Roman" w:cs="Times New Roman"/>
          <w:sz w:val="24"/>
          <w:szCs w:val="24"/>
        </w:rPr>
        <w:t>ās. V</w:t>
      </w:r>
      <w:r w:rsidRPr="00BB44C2">
        <w:rPr>
          <w:rFonts w:ascii="Times New Roman" w:hAnsi="Times New Roman" w:cs="Times New Roman"/>
          <w:sz w:val="24"/>
          <w:szCs w:val="24"/>
        </w:rPr>
        <w:t xml:space="preserve">eicama </w:t>
      </w:r>
      <w:r w:rsidR="001D2768" w:rsidRPr="00BB44C2">
        <w:rPr>
          <w:rFonts w:ascii="Times New Roman" w:hAnsi="Times New Roman" w:cs="Times New Roman"/>
          <w:sz w:val="24"/>
          <w:szCs w:val="24"/>
        </w:rPr>
        <w:t xml:space="preserve">pārdomāta </w:t>
      </w:r>
      <w:r w:rsidRPr="00BB44C2">
        <w:rPr>
          <w:rFonts w:ascii="Times New Roman" w:hAnsi="Times New Roman" w:cs="Times New Roman"/>
          <w:sz w:val="24"/>
          <w:szCs w:val="24"/>
        </w:rPr>
        <w:t xml:space="preserve">izstrādāto karjeru </w:t>
      </w:r>
      <w:r w:rsidR="001D2768" w:rsidRPr="00BB44C2">
        <w:rPr>
          <w:rFonts w:ascii="Times New Roman" w:hAnsi="Times New Roman" w:cs="Times New Roman"/>
          <w:sz w:val="24"/>
          <w:szCs w:val="24"/>
        </w:rPr>
        <w:t>rekultivācija, tostarp sekmējot apvidum raksturīgās ainavas un īpaši aizsargājamo</w:t>
      </w:r>
      <w:r w:rsidR="001D2768" w:rsidRPr="00A07F29">
        <w:rPr>
          <w:rFonts w:ascii="Times New Roman" w:hAnsi="Times New Roman" w:cs="Times New Roman"/>
          <w:sz w:val="24"/>
          <w:szCs w:val="24"/>
        </w:rPr>
        <w:t xml:space="preserve"> biotopu un sugu dzīvotņu veidošanos.</w:t>
      </w:r>
    </w:p>
    <w:p w14:paraId="3A374FCB" w14:textId="741E9070" w:rsidR="00CE5D1B" w:rsidRPr="00A07F29" w:rsidRDefault="001D2768" w:rsidP="00CA6A29">
      <w:pPr>
        <w:spacing w:after="120" w:line="240" w:lineRule="auto"/>
        <w:ind w:firstLine="851"/>
        <w:jc w:val="both"/>
        <w:rPr>
          <w:rFonts w:ascii="Times New Roman" w:eastAsia="Calibri" w:hAnsi="Times New Roman" w:cs="Calibri"/>
          <w:bCs/>
          <w:sz w:val="24"/>
          <w:szCs w:val="24"/>
        </w:rPr>
      </w:pPr>
      <w:r w:rsidRPr="00A07F29">
        <w:rPr>
          <w:rFonts w:ascii="Times New Roman" w:eastAsia="Calibri" w:hAnsi="Times New Roman" w:cs="Calibri"/>
          <w:bCs/>
          <w:sz w:val="24"/>
          <w:szCs w:val="24"/>
        </w:rPr>
        <w:t xml:space="preserve">Jāatzīmē arī ietekmes, ko rada un turpmāk var radīt </w:t>
      </w:r>
      <w:r w:rsidRPr="00A07F29">
        <w:rPr>
          <w:rFonts w:ascii="Times New Roman" w:eastAsia="Calibri" w:hAnsi="Times New Roman" w:cs="Calibri"/>
          <w:b/>
          <w:bCs/>
          <w:sz w:val="24"/>
          <w:szCs w:val="24"/>
        </w:rPr>
        <w:t>infrastruktūras objektu pārbūve un jauna būvniecība, tūrisma plūsma un teritorijas izmantošana rekreācijai, atkritumi un piesārņojums</w:t>
      </w:r>
      <w:r w:rsidRPr="00A07F29">
        <w:rPr>
          <w:rFonts w:ascii="Times New Roman" w:eastAsia="Calibri" w:hAnsi="Times New Roman" w:cs="Calibri"/>
          <w:bCs/>
          <w:sz w:val="24"/>
          <w:szCs w:val="24"/>
        </w:rPr>
        <w:t>. Līdz ar to nepiecie</w:t>
      </w:r>
      <w:r w:rsidR="00B50BF3" w:rsidRPr="00A07F29">
        <w:rPr>
          <w:rFonts w:ascii="Times New Roman" w:eastAsia="Calibri" w:hAnsi="Times New Roman" w:cs="Calibri"/>
          <w:bCs/>
          <w:sz w:val="24"/>
          <w:szCs w:val="24"/>
        </w:rPr>
        <w:t>šami no</w:t>
      </w:r>
      <w:r w:rsidRPr="00A07F29">
        <w:rPr>
          <w:rFonts w:ascii="Times New Roman" w:eastAsia="Calibri" w:hAnsi="Times New Roman" w:cs="Calibri"/>
          <w:bCs/>
          <w:sz w:val="24"/>
          <w:szCs w:val="24"/>
        </w:rPr>
        <w:t>sacījumi</w:t>
      </w:r>
      <w:r w:rsidR="00B50BF3" w:rsidRPr="00A07F29">
        <w:rPr>
          <w:rFonts w:ascii="Times New Roman" w:eastAsia="Calibri" w:hAnsi="Times New Roman" w:cs="Calibri"/>
          <w:bCs/>
          <w:sz w:val="24"/>
          <w:szCs w:val="24"/>
        </w:rPr>
        <w:t xml:space="preserve">, kas mazinātu </w:t>
      </w:r>
      <w:r w:rsidRPr="00A07F29">
        <w:rPr>
          <w:rFonts w:ascii="Times New Roman" w:eastAsia="Calibri" w:hAnsi="Times New Roman" w:cs="Calibri"/>
          <w:bCs/>
          <w:sz w:val="24"/>
          <w:szCs w:val="24"/>
        </w:rPr>
        <w:t xml:space="preserve">infrastruktūras objektu </w:t>
      </w:r>
      <w:r w:rsidR="00B50BF3" w:rsidRPr="00A07F29">
        <w:rPr>
          <w:rFonts w:ascii="Times New Roman" w:eastAsia="Calibri" w:hAnsi="Times New Roman" w:cs="Calibri"/>
          <w:bCs/>
          <w:sz w:val="24"/>
          <w:szCs w:val="24"/>
        </w:rPr>
        <w:t>ietekmi</w:t>
      </w:r>
      <w:r w:rsidR="00CE5D1B" w:rsidRPr="00A07F29">
        <w:rPr>
          <w:rFonts w:ascii="Times New Roman" w:eastAsia="Calibri" w:hAnsi="Times New Roman" w:cs="Calibri"/>
          <w:bCs/>
          <w:sz w:val="24"/>
          <w:szCs w:val="24"/>
        </w:rPr>
        <w:t xml:space="preserve">, kā arī </w:t>
      </w:r>
      <w:r w:rsidRPr="00A07F29">
        <w:rPr>
          <w:rFonts w:ascii="Times New Roman" w:eastAsia="Calibri" w:hAnsi="Times New Roman" w:cs="Calibri"/>
          <w:bCs/>
          <w:sz w:val="24"/>
          <w:szCs w:val="24"/>
        </w:rPr>
        <w:t>pārdomāta tūrisma plūsmas virzīšana</w:t>
      </w:r>
      <w:r w:rsidR="00CC4542" w:rsidRPr="00A07F29">
        <w:rPr>
          <w:rFonts w:ascii="Times New Roman" w:eastAsia="Calibri" w:hAnsi="Times New Roman" w:cs="Calibri"/>
          <w:bCs/>
          <w:sz w:val="24"/>
          <w:szCs w:val="24"/>
        </w:rPr>
        <w:t xml:space="preserve"> (piemēram, </w:t>
      </w:r>
      <w:proofErr w:type="spellStart"/>
      <w:r w:rsidR="00CC4542" w:rsidRPr="00A07F29">
        <w:rPr>
          <w:rFonts w:ascii="Times New Roman" w:eastAsia="Calibri" w:hAnsi="Times New Roman" w:cs="Calibri"/>
          <w:sz w:val="24"/>
        </w:rPr>
        <w:t>ūdenstūristi</w:t>
      </w:r>
      <w:proofErr w:type="spellEnd"/>
      <w:r w:rsidR="00CC4542" w:rsidRPr="00A07F29">
        <w:rPr>
          <w:rFonts w:ascii="Times New Roman" w:eastAsia="Calibri" w:hAnsi="Times New Roman" w:cs="Calibri"/>
          <w:sz w:val="24"/>
        </w:rPr>
        <w:t xml:space="preserve"> </w:t>
      </w:r>
      <w:r w:rsidR="00CC4542" w:rsidRPr="00A07F29">
        <w:rPr>
          <w:rFonts w:ascii="Times New Roman" w:eastAsia="Calibri" w:hAnsi="Times New Roman" w:cs="Calibri"/>
          <w:bCs/>
          <w:sz w:val="24"/>
          <w:szCs w:val="24"/>
        </w:rPr>
        <w:t>j</w:t>
      </w:r>
      <w:r w:rsidR="00CC4542" w:rsidRPr="00A07F29">
        <w:rPr>
          <w:rFonts w:ascii="Times New Roman" w:eastAsia="Calibri" w:hAnsi="Times New Roman" w:cs="Calibri"/>
          <w:sz w:val="24"/>
        </w:rPr>
        <w:t>ānovirza no upē ligzdojošo putnu kolonijām, nav pieļaujama rāpšanās pa kraujām)</w:t>
      </w:r>
      <w:r w:rsidRPr="00A07F29">
        <w:rPr>
          <w:rFonts w:ascii="Times New Roman" w:eastAsia="Calibri" w:hAnsi="Times New Roman" w:cs="Calibri"/>
          <w:bCs/>
          <w:sz w:val="24"/>
          <w:szCs w:val="24"/>
        </w:rPr>
        <w:t>, sadzīves atkritumu apsaimniekošana un piesārņojuma novēršana.</w:t>
      </w:r>
      <w:r w:rsidR="00E121EF" w:rsidRPr="00A07F29">
        <w:rPr>
          <w:rFonts w:ascii="Times New Roman" w:eastAsia="Calibri" w:hAnsi="Times New Roman" w:cs="Calibri"/>
          <w:bCs/>
          <w:sz w:val="24"/>
          <w:szCs w:val="24"/>
        </w:rPr>
        <w:t xml:space="preserve"> </w:t>
      </w:r>
      <w:r w:rsidR="00CE5D1B" w:rsidRPr="00A07F29">
        <w:rPr>
          <w:rFonts w:ascii="Times New Roman" w:eastAsia="Calibri" w:hAnsi="Times New Roman" w:cs="Calibri"/>
          <w:bCs/>
          <w:sz w:val="24"/>
          <w:szCs w:val="24"/>
        </w:rPr>
        <w:t xml:space="preserve">Daugavas ekosistēmu un tur sastopamās </w:t>
      </w:r>
      <w:r w:rsidR="00CE5D1B" w:rsidRPr="00BB44C2">
        <w:rPr>
          <w:rFonts w:ascii="Times New Roman" w:eastAsia="Calibri" w:hAnsi="Times New Roman" w:cs="Calibri"/>
          <w:bCs/>
          <w:sz w:val="24"/>
          <w:szCs w:val="24"/>
        </w:rPr>
        <w:t>īpaši a</w:t>
      </w:r>
      <w:r w:rsidR="00CD6BC5" w:rsidRPr="00BB44C2">
        <w:rPr>
          <w:rFonts w:ascii="Times New Roman" w:eastAsia="Calibri" w:hAnsi="Times New Roman" w:cs="Calibri"/>
          <w:bCs/>
          <w:sz w:val="24"/>
          <w:szCs w:val="24"/>
        </w:rPr>
        <w:t>i</w:t>
      </w:r>
      <w:r w:rsidR="00CE5D1B" w:rsidRPr="00BB44C2">
        <w:rPr>
          <w:rFonts w:ascii="Times New Roman" w:eastAsia="Calibri" w:hAnsi="Times New Roman" w:cs="Calibri"/>
          <w:bCs/>
          <w:sz w:val="24"/>
          <w:szCs w:val="24"/>
        </w:rPr>
        <w:t>zsargājamās</w:t>
      </w:r>
      <w:r w:rsidR="00CE5D1B" w:rsidRPr="00A07F29">
        <w:rPr>
          <w:rFonts w:ascii="Times New Roman" w:eastAsia="Calibri" w:hAnsi="Times New Roman" w:cs="Calibri"/>
          <w:bCs/>
          <w:sz w:val="24"/>
          <w:szCs w:val="24"/>
        </w:rPr>
        <w:t xml:space="preserve"> sugas potenciāli apdraud </w:t>
      </w:r>
      <w:r w:rsidR="00CE5D1B" w:rsidRPr="00A07F29">
        <w:rPr>
          <w:rFonts w:ascii="Times New Roman" w:eastAsia="Calibri" w:hAnsi="Times New Roman" w:cs="Calibri"/>
          <w:b/>
          <w:bCs/>
          <w:sz w:val="24"/>
          <w:szCs w:val="24"/>
        </w:rPr>
        <w:t>pārrobežu piesārņojums</w:t>
      </w:r>
      <w:r w:rsidR="00CE5D1B" w:rsidRPr="00A07F29">
        <w:rPr>
          <w:rFonts w:ascii="Times New Roman" w:eastAsia="Calibri" w:hAnsi="Times New Roman" w:cs="Calibri"/>
          <w:bCs/>
          <w:sz w:val="24"/>
          <w:szCs w:val="24"/>
        </w:rPr>
        <w:t xml:space="preserve"> no Baltkrievijas (skat. 2.5.1. un 3.8.</w:t>
      </w:r>
      <w:r w:rsidR="00E121EF" w:rsidRPr="00A07F29">
        <w:rPr>
          <w:rFonts w:ascii="Times New Roman" w:eastAsia="Calibri" w:hAnsi="Times New Roman" w:cs="Calibri"/>
          <w:bCs/>
          <w:sz w:val="24"/>
          <w:szCs w:val="24"/>
        </w:rPr>
        <w:t> </w:t>
      </w:r>
      <w:r w:rsidR="00D05298" w:rsidRPr="00A07F29">
        <w:rPr>
          <w:rFonts w:ascii="Times New Roman" w:eastAsia="Calibri" w:hAnsi="Times New Roman" w:cs="Calibri"/>
          <w:bCs/>
          <w:sz w:val="24"/>
          <w:szCs w:val="24"/>
        </w:rPr>
        <w:t>nodaļu</w:t>
      </w:r>
      <w:r w:rsidR="00CE5D1B" w:rsidRPr="00A07F29">
        <w:rPr>
          <w:rFonts w:ascii="Times New Roman" w:eastAsia="Calibri" w:hAnsi="Times New Roman" w:cs="Calibri"/>
          <w:bCs/>
          <w:sz w:val="24"/>
          <w:szCs w:val="24"/>
        </w:rPr>
        <w:t>).</w:t>
      </w:r>
    </w:p>
    <w:p w14:paraId="1FDDF74A" w14:textId="53623A24" w:rsidR="0021554B" w:rsidRPr="00A07F29" w:rsidRDefault="0021554B" w:rsidP="00CA6A29">
      <w:pPr>
        <w:spacing w:after="120" w:line="240" w:lineRule="auto"/>
        <w:ind w:firstLine="851"/>
        <w:jc w:val="both"/>
        <w:rPr>
          <w:rFonts w:ascii="Times New Roman" w:eastAsia="Calibri" w:hAnsi="Times New Roman" w:cs="Calibri"/>
          <w:bCs/>
          <w:sz w:val="24"/>
          <w:szCs w:val="24"/>
        </w:rPr>
      </w:pPr>
      <w:r w:rsidRPr="00A07F29">
        <w:rPr>
          <w:rFonts w:ascii="Times New Roman" w:eastAsia="Calibri" w:hAnsi="Times New Roman" w:cs="Calibri"/>
          <w:bCs/>
          <w:sz w:val="24"/>
          <w:szCs w:val="24"/>
        </w:rPr>
        <w:t xml:space="preserve">Ezerus negatīvi ietekmē to </w:t>
      </w:r>
      <w:r w:rsidRPr="00A07F29">
        <w:rPr>
          <w:rFonts w:ascii="Times New Roman" w:eastAsia="Calibri" w:hAnsi="Times New Roman" w:cs="Calibri"/>
          <w:b/>
          <w:bCs/>
          <w:sz w:val="24"/>
          <w:szCs w:val="24"/>
        </w:rPr>
        <w:t>ūdens līmeņa pazemināšana</w:t>
      </w:r>
      <w:r w:rsidRPr="00A07F29">
        <w:rPr>
          <w:rFonts w:ascii="Times New Roman" w:eastAsia="Calibri" w:hAnsi="Times New Roman" w:cs="Calibri"/>
          <w:bCs/>
          <w:sz w:val="24"/>
          <w:szCs w:val="24"/>
        </w:rPr>
        <w:t xml:space="preserve"> vai</w:t>
      </w:r>
      <w:r w:rsidRPr="00A07F29">
        <w:rPr>
          <w:rFonts w:ascii="Times New Roman" w:eastAsia="Calibri" w:hAnsi="Times New Roman" w:cs="Calibri"/>
          <w:b/>
          <w:bCs/>
          <w:sz w:val="24"/>
          <w:szCs w:val="24"/>
        </w:rPr>
        <w:t xml:space="preserve"> paaugstināšana</w:t>
      </w:r>
      <w:r w:rsidRPr="00A07F29">
        <w:rPr>
          <w:rFonts w:ascii="Times New Roman" w:eastAsia="Calibri" w:hAnsi="Times New Roman" w:cs="Calibri"/>
          <w:bCs/>
          <w:sz w:val="24"/>
          <w:szCs w:val="24"/>
        </w:rPr>
        <w:t>, kas izraisa papildus barības vielu ieplūdi un ezeru ūdens kvalitātes pasliktināšanos un aizaugšanu.</w:t>
      </w:r>
      <w:r w:rsidR="00CD6BC5" w:rsidRPr="00A07F29">
        <w:rPr>
          <w:rFonts w:ascii="Times New Roman" w:eastAsia="Calibri" w:hAnsi="Times New Roman" w:cs="Calibri"/>
          <w:bCs/>
          <w:sz w:val="24"/>
          <w:szCs w:val="24"/>
        </w:rPr>
        <w:t xml:space="preserve"> Ezeru ekosistēmas ietekmējošo faktoru detāls apraksts dots 2.1.</w:t>
      </w:r>
      <w:r w:rsidR="002C1651" w:rsidRPr="00A07F29">
        <w:rPr>
          <w:rFonts w:ascii="Times New Roman" w:eastAsia="Calibri" w:hAnsi="Times New Roman" w:cs="Calibri"/>
          <w:bCs/>
          <w:sz w:val="24"/>
          <w:szCs w:val="24"/>
        </w:rPr>
        <w:t> </w:t>
      </w:r>
      <w:r w:rsidR="00CD6BC5" w:rsidRPr="00A07F29">
        <w:rPr>
          <w:rFonts w:ascii="Times New Roman" w:eastAsia="Calibri" w:hAnsi="Times New Roman" w:cs="Calibri"/>
          <w:bCs/>
          <w:sz w:val="24"/>
          <w:szCs w:val="24"/>
        </w:rPr>
        <w:t>pielikumā.</w:t>
      </w:r>
    </w:p>
    <w:p w14:paraId="389C83C3" w14:textId="201D808D" w:rsidR="0021554B" w:rsidRPr="00A07F29" w:rsidRDefault="001D2768" w:rsidP="00CA6A29">
      <w:pPr>
        <w:spacing w:after="120" w:line="240" w:lineRule="auto"/>
        <w:ind w:firstLine="851"/>
        <w:jc w:val="both"/>
        <w:rPr>
          <w:rFonts w:ascii="Times New Roman" w:eastAsia="Calibri" w:hAnsi="Times New Roman" w:cs="Calibri"/>
          <w:bCs/>
          <w:sz w:val="24"/>
          <w:szCs w:val="24"/>
        </w:rPr>
      </w:pPr>
      <w:r w:rsidRPr="00A07F29">
        <w:rPr>
          <w:rFonts w:ascii="Times New Roman" w:eastAsia="Calibri" w:hAnsi="Times New Roman" w:cs="Calibri"/>
          <w:bCs/>
          <w:sz w:val="24"/>
          <w:szCs w:val="24"/>
        </w:rPr>
        <w:lastRenderedPageBreak/>
        <w:t>AAA “Augšdaugava</w:t>
      </w:r>
      <w:r w:rsidR="002C1651" w:rsidRPr="00A07F29">
        <w:rPr>
          <w:rFonts w:ascii="Times New Roman" w:eastAsia="Calibri" w:hAnsi="Times New Roman" w:cs="Calibri"/>
          <w:bCs/>
          <w:sz w:val="24"/>
          <w:szCs w:val="24"/>
        </w:rPr>
        <w:t>”</w:t>
      </w:r>
      <w:r w:rsidRPr="00A07F29">
        <w:rPr>
          <w:rFonts w:ascii="Times New Roman" w:eastAsia="Calibri" w:hAnsi="Times New Roman" w:cs="Calibri"/>
          <w:bCs/>
          <w:sz w:val="24"/>
          <w:szCs w:val="24"/>
        </w:rPr>
        <w:t xml:space="preserve"> teritor</w:t>
      </w:r>
      <w:r w:rsidR="002C1651" w:rsidRPr="00A07F29">
        <w:rPr>
          <w:rFonts w:ascii="Times New Roman" w:eastAsia="Calibri" w:hAnsi="Times New Roman" w:cs="Calibri"/>
          <w:bCs/>
          <w:sz w:val="24"/>
          <w:szCs w:val="24"/>
        </w:rPr>
        <w:t>i</w:t>
      </w:r>
      <w:r w:rsidRPr="00A07F29">
        <w:rPr>
          <w:rFonts w:ascii="Times New Roman" w:eastAsia="Calibri" w:hAnsi="Times New Roman" w:cs="Calibri"/>
          <w:bCs/>
          <w:sz w:val="24"/>
          <w:szCs w:val="24"/>
        </w:rPr>
        <w:t xml:space="preserve">ju ietekmē arī dabiskie </w:t>
      </w:r>
      <w:r w:rsidR="00B50BF3" w:rsidRPr="00A07F29">
        <w:rPr>
          <w:rFonts w:ascii="Times New Roman" w:eastAsia="Calibri" w:hAnsi="Times New Roman" w:cs="Calibri"/>
          <w:bCs/>
          <w:sz w:val="24"/>
          <w:szCs w:val="24"/>
        </w:rPr>
        <w:t>procesi un kā nozīmīgākie atzīm</w:t>
      </w:r>
      <w:r w:rsidR="00993081" w:rsidRPr="00A07F29">
        <w:rPr>
          <w:rFonts w:ascii="Times New Roman" w:eastAsia="Calibri" w:hAnsi="Times New Roman" w:cs="Calibri"/>
          <w:bCs/>
          <w:sz w:val="24"/>
          <w:szCs w:val="24"/>
        </w:rPr>
        <w:t>ējami</w:t>
      </w:r>
      <w:r w:rsidR="00BF7EEA" w:rsidRPr="00A07F29">
        <w:rPr>
          <w:rFonts w:ascii="Times New Roman" w:eastAsia="Calibri" w:hAnsi="Times New Roman" w:cs="Calibri"/>
          <w:bCs/>
          <w:sz w:val="24"/>
          <w:szCs w:val="24"/>
        </w:rPr>
        <w:t>:</w:t>
      </w:r>
      <w:r w:rsidR="00993081" w:rsidRPr="00A07F29">
        <w:rPr>
          <w:rFonts w:ascii="Times New Roman" w:eastAsia="Calibri" w:hAnsi="Times New Roman" w:cs="Calibri"/>
          <w:bCs/>
          <w:sz w:val="24"/>
          <w:szCs w:val="24"/>
        </w:rPr>
        <w:t xml:space="preserve"> </w:t>
      </w:r>
      <w:r w:rsidR="00993081" w:rsidRPr="00A07F29">
        <w:rPr>
          <w:rFonts w:ascii="Times New Roman" w:eastAsia="Calibri" w:hAnsi="Times New Roman" w:cs="Calibri"/>
          <w:b/>
          <w:bCs/>
          <w:sz w:val="24"/>
          <w:szCs w:val="24"/>
        </w:rPr>
        <w:t>atklāto platību aizaugšana</w:t>
      </w:r>
      <w:r w:rsidR="00993081" w:rsidRPr="00A07F29">
        <w:rPr>
          <w:rFonts w:ascii="Times New Roman" w:eastAsia="Calibri" w:hAnsi="Times New Roman" w:cs="Calibri"/>
          <w:bCs/>
          <w:sz w:val="24"/>
          <w:szCs w:val="24"/>
        </w:rPr>
        <w:t xml:space="preserve">, </w:t>
      </w:r>
      <w:proofErr w:type="spellStart"/>
      <w:r w:rsidR="00B50BF3" w:rsidRPr="00A07F29">
        <w:rPr>
          <w:rFonts w:ascii="Times New Roman" w:eastAsia="Calibri" w:hAnsi="Times New Roman" w:cs="Calibri"/>
          <w:b/>
          <w:bCs/>
          <w:sz w:val="24"/>
          <w:szCs w:val="24"/>
        </w:rPr>
        <w:t>invazīvo</w:t>
      </w:r>
      <w:proofErr w:type="spellEnd"/>
      <w:r w:rsidR="00B50BF3" w:rsidRPr="00A07F29">
        <w:rPr>
          <w:rFonts w:ascii="Times New Roman" w:eastAsia="Calibri" w:hAnsi="Times New Roman" w:cs="Calibri"/>
          <w:b/>
          <w:bCs/>
          <w:sz w:val="24"/>
          <w:szCs w:val="24"/>
        </w:rPr>
        <w:t xml:space="preserve"> sugu izplatība</w:t>
      </w:r>
      <w:r w:rsidR="00B50BF3" w:rsidRPr="00A07F29">
        <w:rPr>
          <w:rFonts w:ascii="Times New Roman" w:eastAsia="Calibri" w:hAnsi="Times New Roman" w:cs="Calibri"/>
          <w:bCs/>
          <w:sz w:val="24"/>
          <w:szCs w:val="24"/>
        </w:rPr>
        <w:t xml:space="preserve">, </w:t>
      </w:r>
      <w:r w:rsidR="00B50BF3" w:rsidRPr="00A07F29">
        <w:rPr>
          <w:rFonts w:ascii="Times New Roman" w:eastAsia="Calibri" w:hAnsi="Times New Roman" w:cs="Calibri"/>
          <w:b/>
          <w:bCs/>
          <w:sz w:val="24"/>
          <w:szCs w:val="24"/>
        </w:rPr>
        <w:t>ezeru eitrofikācija</w:t>
      </w:r>
      <w:r w:rsidR="00B50BF3" w:rsidRPr="00A07F29">
        <w:rPr>
          <w:rFonts w:ascii="Times New Roman" w:eastAsia="Calibri" w:hAnsi="Times New Roman" w:cs="Calibri"/>
          <w:bCs/>
          <w:sz w:val="24"/>
          <w:szCs w:val="24"/>
        </w:rPr>
        <w:t>, kā arī</w:t>
      </w:r>
      <w:r w:rsidR="00B50BF3" w:rsidRPr="00A07F29">
        <w:rPr>
          <w:rFonts w:ascii="Times New Roman" w:eastAsia="Calibri" w:hAnsi="Times New Roman" w:cs="Calibri"/>
          <w:b/>
          <w:bCs/>
          <w:sz w:val="24"/>
          <w:szCs w:val="24"/>
        </w:rPr>
        <w:t xml:space="preserve"> bebru darbība</w:t>
      </w:r>
      <w:r w:rsidR="00B50BF3" w:rsidRPr="00A07F29">
        <w:rPr>
          <w:rFonts w:ascii="Times New Roman" w:eastAsia="Calibri" w:hAnsi="Times New Roman" w:cs="Calibri"/>
          <w:bCs/>
          <w:sz w:val="24"/>
          <w:szCs w:val="24"/>
        </w:rPr>
        <w:t xml:space="preserve"> un </w:t>
      </w:r>
      <w:r w:rsidR="00B50BF3" w:rsidRPr="00A07F29">
        <w:rPr>
          <w:rFonts w:ascii="Times New Roman" w:eastAsia="Calibri" w:hAnsi="Times New Roman" w:cs="Calibri"/>
          <w:b/>
          <w:bCs/>
          <w:sz w:val="24"/>
          <w:szCs w:val="24"/>
        </w:rPr>
        <w:t>koku sagāzumu veidošanās</w:t>
      </w:r>
      <w:r w:rsidR="00B50BF3" w:rsidRPr="00A07F29">
        <w:rPr>
          <w:rFonts w:ascii="Times New Roman" w:eastAsia="Calibri" w:hAnsi="Times New Roman" w:cs="Calibri"/>
          <w:bCs/>
          <w:sz w:val="24"/>
          <w:szCs w:val="24"/>
        </w:rPr>
        <w:t xml:space="preserve"> mazajās upītēs.</w:t>
      </w:r>
    </w:p>
    <w:p w14:paraId="6BB950C9" w14:textId="77777777" w:rsidR="0021554B" w:rsidRPr="00A07F29" w:rsidRDefault="00CE5D1B" w:rsidP="00CA6A29">
      <w:pPr>
        <w:spacing w:after="120" w:line="240" w:lineRule="auto"/>
        <w:ind w:firstLine="851"/>
        <w:jc w:val="both"/>
        <w:rPr>
          <w:rFonts w:ascii="Times New Roman" w:eastAsia="Calibri" w:hAnsi="Times New Roman" w:cs="Calibri"/>
          <w:bCs/>
          <w:sz w:val="24"/>
          <w:szCs w:val="24"/>
        </w:rPr>
      </w:pPr>
      <w:r w:rsidRPr="00A07F29">
        <w:rPr>
          <w:rFonts w:ascii="Times New Roman" w:eastAsia="Calibri" w:hAnsi="Times New Roman" w:cs="Calibri"/>
          <w:bCs/>
          <w:sz w:val="24"/>
          <w:szCs w:val="24"/>
        </w:rPr>
        <w:t>Dabisko eitrofikāciju ezeros pastiprina papildus</w:t>
      </w:r>
      <w:r w:rsidR="004E17C8" w:rsidRPr="00A07F29">
        <w:rPr>
          <w:rFonts w:ascii="Times New Roman" w:eastAsia="Calibri" w:hAnsi="Times New Roman" w:cs="Calibri"/>
          <w:bCs/>
          <w:sz w:val="24"/>
          <w:szCs w:val="24"/>
        </w:rPr>
        <w:t xml:space="preserve"> </w:t>
      </w:r>
      <w:r w:rsidRPr="00A07F29">
        <w:rPr>
          <w:rFonts w:ascii="Times New Roman" w:eastAsia="Calibri" w:hAnsi="Times New Roman" w:cs="Calibri"/>
          <w:bCs/>
          <w:sz w:val="24"/>
          <w:szCs w:val="24"/>
        </w:rPr>
        <w:t xml:space="preserve">barības vielu ienese no meliorācijas sistēmām lauksaimniecības un meža zemēm, kā arī </w:t>
      </w:r>
      <w:r w:rsidR="004E17C8" w:rsidRPr="00A07F29">
        <w:rPr>
          <w:rFonts w:ascii="Times New Roman" w:eastAsia="Calibri" w:hAnsi="Times New Roman" w:cs="Calibri"/>
          <w:bCs/>
          <w:sz w:val="24"/>
          <w:szCs w:val="24"/>
        </w:rPr>
        <w:t xml:space="preserve">no krastiem ar rekreācijas vai mežsaimnieciskās darbības ietekmē bojātu zemsedzi ezeru </w:t>
      </w:r>
      <w:proofErr w:type="spellStart"/>
      <w:r w:rsidR="004E17C8" w:rsidRPr="00A07F29">
        <w:rPr>
          <w:rFonts w:ascii="Times New Roman" w:eastAsia="Calibri" w:hAnsi="Times New Roman" w:cs="Calibri"/>
          <w:bCs/>
          <w:sz w:val="24"/>
          <w:szCs w:val="24"/>
        </w:rPr>
        <w:t>pamatbaseinos</w:t>
      </w:r>
      <w:proofErr w:type="spellEnd"/>
      <w:r w:rsidR="004E17C8" w:rsidRPr="00A07F29">
        <w:rPr>
          <w:rFonts w:ascii="Times New Roman" w:eastAsia="Calibri" w:hAnsi="Times New Roman" w:cs="Calibri"/>
          <w:bCs/>
          <w:sz w:val="24"/>
          <w:szCs w:val="24"/>
        </w:rPr>
        <w:t xml:space="preserve">. </w:t>
      </w:r>
    </w:p>
    <w:p w14:paraId="2F2B54A7" w14:textId="77777777" w:rsidR="00D05298" w:rsidRPr="00A07F29" w:rsidRDefault="00993081" w:rsidP="00CA6A29">
      <w:pPr>
        <w:spacing w:after="120" w:line="240" w:lineRule="auto"/>
        <w:ind w:firstLine="851"/>
        <w:jc w:val="both"/>
        <w:rPr>
          <w:rFonts w:ascii="Times New Roman" w:eastAsia="Calibri" w:hAnsi="Times New Roman" w:cs="Calibri"/>
          <w:bCs/>
          <w:sz w:val="24"/>
          <w:szCs w:val="24"/>
        </w:rPr>
      </w:pPr>
      <w:r w:rsidRPr="00A07F29">
        <w:rPr>
          <w:rFonts w:ascii="Times New Roman" w:eastAsia="Calibri" w:hAnsi="Times New Roman" w:cs="Calibri"/>
          <w:bCs/>
          <w:sz w:val="24"/>
          <w:szCs w:val="24"/>
        </w:rPr>
        <w:t xml:space="preserve">Mežu platību palielināšanās ezeru krastos lielākoties ir vērtējama pozitīvi, jo mežains sateces baseins būtiski palēnina </w:t>
      </w:r>
      <w:proofErr w:type="spellStart"/>
      <w:r w:rsidRPr="00A07F29">
        <w:rPr>
          <w:rFonts w:ascii="Times New Roman" w:eastAsia="Calibri" w:hAnsi="Times New Roman" w:cs="Calibri"/>
          <w:bCs/>
          <w:sz w:val="24"/>
          <w:szCs w:val="24"/>
        </w:rPr>
        <w:t>biogēnu</w:t>
      </w:r>
      <w:proofErr w:type="spellEnd"/>
      <w:r w:rsidRPr="00A07F29">
        <w:rPr>
          <w:rFonts w:ascii="Times New Roman" w:eastAsia="Calibri" w:hAnsi="Times New Roman" w:cs="Calibri"/>
          <w:bCs/>
          <w:sz w:val="24"/>
          <w:szCs w:val="24"/>
        </w:rPr>
        <w:t xml:space="preserve"> ienesi ezeros</w:t>
      </w:r>
      <w:r w:rsidR="0021554B" w:rsidRPr="00A07F29">
        <w:rPr>
          <w:rFonts w:ascii="Times New Roman" w:eastAsia="Calibri" w:hAnsi="Times New Roman" w:cs="Calibri"/>
          <w:bCs/>
          <w:sz w:val="24"/>
          <w:szCs w:val="24"/>
        </w:rPr>
        <w:t>. T</w:t>
      </w:r>
      <w:r w:rsidRPr="00A07F29">
        <w:rPr>
          <w:rFonts w:ascii="Times New Roman" w:eastAsia="Calibri" w:hAnsi="Times New Roman" w:cs="Calibri"/>
          <w:bCs/>
          <w:sz w:val="24"/>
          <w:szCs w:val="24"/>
        </w:rPr>
        <w:t xml:space="preserve">omēr dažos gadījumos iepriekš klajo ezeru krastu aizaugšana ar kokiem iznīcina skaistas ainavas un skatus un </w:t>
      </w:r>
      <w:r w:rsidR="0021554B" w:rsidRPr="00A07F29">
        <w:rPr>
          <w:rFonts w:ascii="Times New Roman" w:eastAsia="Calibri" w:hAnsi="Times New Roman" w:cs="Calibri"/>
          <w:bCs/>
          <w:sz w:val="24"/>
          <w:szCs w:val="24"/>
        </w:rPr>
        <w:t xml:space="preserve">nav </w:t>
      </w:r>
      <w:r w:rsidRPr="00A07F29">
        <w:rPr>
          <w:rFonts w:ascii="Times New Roman" w:eastAsia="Calibri" w:hAnsi="Times New Roman" w:cs="Calibri"/>
          <w:bCs/>
          <w:sz w:val="24"/>
          <w:szCs w:val="24"/>
        </w:rPr>
        <w:t>pieļaujama</w:t>
      </w:r>
      <w:r w:rsidR="0021554B" w:rsidRPr="00A07F29">
        <w:rPr>
          <w:rFonts w:ascii="Times New Roman" w:eastAsia="Calibri" w:hAnsi="Times New Roman" w:cs="Calibri"/>
          <w:bCs/>
          <w:sz w:val="24"/>
          <w:szCs w:val="24"/>
        </w:rPr>
        <w:t xml:space="preserve">, piemēram, </w:t>
      </w:r>
      <w:proofErr w:type="spellStart"/>
      <w:r w:rsidR="0021554B" w:rsidRPr="00A07F29">
        <w:rPr>
          <w:rFonts w:ascii="Times New Roman" w:eastAsia="Calibri" w:hAnsi="Times New Roman" w:cs="Calibri"/>
          <w:bCs/>
          <w:sz w:val="24"/>
          <w:szCs w:val="24"/>
        </w:rPr>
        <w:t>Saučenku</w:t>
      </w:r>
      <w:proofErr w:type="spellEnd"/>
      <w:r w:rsidR="0021554B" w:rsidRPr="00A07F29">
        <w:rPr>
          <w:rFonts w:ascii="Times New Roman" w:eastAsia="Calibri" w:hAnsi="Times New Roman" w:cs="Calibri"/>
          <w:bCs/>
          <w:sz w:val="24"/>
          <w:szCs w:val="24"/>
        </w:rPr>
        <w:t xml:space="preserve"> ezera A krastā</w:t>
      </w:r>
      <w:r w:rsidRPr="00A07F29">
        <w:rPr>
          <w:rFonts w:ascii="Times New Roman" w:eastAsia="Calibri" w:hAnsi="Times New Roman" w:cs="Calibri"/>
          <w:bCs/>
          <w:sz w:val="24"/>
          <w:szCs w:val="24"/>
        </w:rPr>
        <w:t>.</w:t>
      </w:r>
      <w:r w:rsidR="0021554B" w:rsidRPr="00A07F29">
        <w:rPr>
          <w:rFonts w:ascii="Times New Roman" w:eastAsia="Calibri" w:hAnsi="Times New Roman" w:cs="Calibri"/>
          <w:bCs/>
          <w:sz w:val="24"/>
          <w:szCs w:val="24"/>
        </w:rPr>
        <w:t xml:space="preserve"> </w:t>
      </w:r>
    </w:p>
    <w:p w14:paraId="4726627C" w14:textId="4864A4C3" w:rsidR="009072CE" w:rsidRPr="00A07F29" w:rsidRDefault="00507213" w:rsidP="00CA6A29">
      <w:pPr>
        <w:spacing w:after="12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t xml:space="preserve">Pārskats par apdraudējumiem, slodzēm un darbībām, kas ietekmē AAA </w:t>
      </w:r>
      <w:r w:rsidRPr="00A07F29">
        <w:rPr>
          <w:rFonts w:ascii="Times New Roman" w:eastAsia="Times New Roman" w:hAnsi="Times New Roman" w:cs="Calibri"/>
          <w:sz w:val="24"/>
        </w:rPr>
        <w:t xml:space="preserve">“Augšdaugava” </w:t>
      </w:r>
      <w:r w:rsidRPr="00A07F29">
        <w:rPr>
          <w:rFonts w:ascii="Times New Roman" w:hAnsi="Times New Roman" w:cs="Times New Roman"/>
          <w:sz w:val="24"/>
          <w:szCs w:val="24"/>
        </w:rPr>
        <w:t xml:space="preserve">teritoriju </w:t>
      </w:r>
      <w:r w:rsidR="00B50BF3" w:rsidRPr="00A07F29">
        <w:rPr>
          <w:rFonts w:ascii="Times New Roman" w:hAnsi="Times New Roman" w:cs="Times New Roman"/>
          <w:sz w:val="24"/>
          <w:szCs w:val="24"/>
        </w:rPr>
        <w:t xml:space="preserve">dots </w:t>
      </w:r>
      <w:r w:rsidRPr="00A07F29">
        <w:rPr>
          <w:rFonts w:ascii="Times New Roman" w:hAnsi="Times New Roman" w:cs="Times New Roman"/>
          <w:sz w:val="24"/>
          <w:szCs w:val="24"/>
        </w:rPr>
        <w:t>3.8.1.</w:t>
      </w:r>
      <w:r w:rsidR="00DE0966" w:rsidRPr="00A07F29">
        <w:rPr>
          <w:rFonts w:ascii="Times New Roman" w:hAnsi="Times New Roman" w:cs="Times New Roman"/>
          <w:sz w:val="24"/>
          <w:szCs w:val="24"/>
        </w:rPr>
        <w:t> </w:t>
      </w:r>
      <w:r w:rsidRPr="00A07F29">
        <w:rPr>
          <w:rFonts w:ascii="Times New Roman" w:hAnsi="Times New Roman" w:cs="Times New Roman"/>
          <w:sz w:val="24"/>
          <w:szCs w:val="24"/>
        </w:rPr>
        <w:t>tabulā.</w:t>
      </w:r>
      <w:r w:rsidR="00D05298" w:rsidRPr="00A07F29">
        <w:rPr>
          <w:rFonts w:ascii="Times New Roman" w:hAnsi="Times New Roman" w:cs="Times New Roman"/>
          <w:sz w:val="24"/>
          <w:szCs w:val="24"/>
        </w:rPr>
        <w:t xml:space="preserve"> Ietekmes uz konkrētiem biotopiem un sugām aprakstītas </w:t>
      </w:r>
      <w:r w:rsidR="00CA6A29" w:rsidRPr="00A07F29">
        <w:rPr>
          <w:rFonts w:ascii="Times New Roman" w:hAnsi="Times New Roman" w:cs="Times New Roman"/>
          <w:sz w:val="24"/>
          <w:szCs w:val="24"/>
        </w:rPr>
        <w:t xml:space="preserve">arī </w:t>
      </w:r>
      <w:r w:rsidR="00D05298" w:rsidRPr="00A07F29">
        <w:rPr>
          <w:rFonts w:ascii="Times New Roman" w:hAnsi="Times New Roman" w:cs="Times New Roman"/>
          <w:sz w:val="24"/>
          <w:szCs w:val="24"/>
        </w:rPr>
        <w:t>DA plāna 4.3.</w:t>
      </w:r>
      <w:r w:rsidR="006C401C" w:rsidRPr="00A07F29">
        <w:rPr>
          <w:rFonts w:ascii="Times New Roman" w:hAnsi="Times New Roman" w:cs="Times New Roman"/>
          <w:sz w:val="24"/>
          <w:szCs w:val="24"/>
        </w:rPr>
        <w:t> – </w:t>
      </w:r>
      <w:r w:rsidR="00D05298" w:rsidRPr="00A07F29">
        <w:rPr>
          <w:rFonts w:ascii="Times New Roman" w:hAnsi="Times New Roman" w:cs="Times New Roman"/>
          <w:sz w:val="24"/>
          <w:szCs w:val="24"/>
        </w:rPr>
        <w:t>4.</w:t>
      </w:r>
      <w:r w:rsidR="00CA6A29" w:rsidRPr="00A07F29">
        <w:rPr>
          <w:rFonts w:ascii="Times New Roman" w:hAnsi="Times New Roman" w:cs="Times New Roman"/>
          <w:sz w:val="24"/>
          <w:szCs w:val="24"/>
        </w:rPr>
        <w:t>11</w:t>
      </w:r>
      <w:r w:rsidR="00D05298" w:rsidRPr="00A07F29">
        <w:rPr>
          <w:rFonts w:ascii="Times New Roman" w:hAnsi="Times New Roman" w:cs="Times New Roman"/>
          <w:sz w:val="24"/>
          <w:szCs w:val="24"/>
        </w:rPr>
        <w:t>.</w:t>
      </w:r>
      <w:r w:rsidR="006C401C" w:rsidRPr="00A07F29">
        <w:rPr>
          <w:rFonts w:ascii="Times New Roman" w:hAnsi="Times New Roman" w:cs="Times New Roman"/>
          <w:sz w:val="24"/>
          <w:szCs w:val="24"/>
        </w:rPr>
        <w:t> </w:t>
      </w:r>
      <w:r w:rsidR="00D05298" w:rsidRPr="00A07F29">
        <w:rPr>
          <w:rFonts w:ascii="Times New Roman" w:hAnsi="Times New Roman" w:cs="Times New Roman"/>
          <w:sz w:val="24"/>
          <w:szCs w:val="24"/>
        </w:rPr>
        <w:t>nodaļā</w:t>
      </w:r>
      <w:r w:rsidR="00CA6A29" w:rsidRPr="00A07F29">
        <w:rPr>
          <w:rFonts w:ascii="Times New Roman" w:hAnsi="Times New Roman" w:cs="Times New Roman"/>
          <w:sz w:val="24"/>
          <w:szCs w:val="24"/>
        </w:rPr>
        <w:t>s</w:t>
      </w:r>
      <w:r w:rsidR="00D05298" w:rsidRPr="00A07F29">
        <w:rPr>
          <w:rFonts w:ascii="Times New Roman" w:hAnsi="Times New Roman" w:cs="Times New Roman"/>
          <w:sz w:val="24"/>
          <w:szCs w:val="24"/>
        </w:rPr>
        <w:t>.</w:t>
      </w:r>
    </w:p>
    <w:p w14:paraId="7D617406" w14:textId="77777777" w:rsidR="00F96D7D" w:rsidRPr="00A07F29" w:rsidRDefault="00F96D7D" w:rsidP="00CA6A29">
      <w:pPr>
        <w:spacing w:after="120" w:line="240" w:lineRule="auto"/>
        <w:ind w:firstLine="851"/>
        <w:jc w:val="both"/>
        <w:rPr>
          <w:rFonts w:ascii="Times New Roman" w:eastAsia="Times New Roman" w:hAnsi="Times New Roman" w:cs="Times New Roman"/>
          <w:sz w:val="24"/>
          <w:szCs w:val="24"/>
        </w:rPr>
      </w:pPr>
    </w:p>
    <w:p w14:paraId="27222B2E" w14:textId="4195FDFA" w:rsidR="00C21D24" w:rsidRPr="00A07F29" w:rsidRDefault="00C21D24" w:rsidP="0015366B">
      <w:pPr>
        <w:pStyle w:val="Heading2"/>
        <w:spacing w:before="120" w:after="120"/>
        <w:ind w:firstLine="0"/>
        <w:jc w:val="center"/>
        <w:rPr>
          <w:i w:val="0"/>
        </w:rPr>
      </w:pPr>
      <w:bookmarkStart w:id="48" w:name="_Toc183433996"/>
      <w:r w:rsidRPr="00A07F29">
        <w:rPr>
          <w:rFonts w:ascii="Times New Roman" w:hAnsi="Times New Roman"/>
          <w:i w:val="0"/>
        </w:rPr>
        <w:t>4.2. Ainaviskais novērtējums un ainavu struktūrplāns</w:t>
      </w:r>
      <w:bookmarkEnd w:id="48"/>
    </w:p>
    <w:p w14:paraId="64DF4712" w14:textId="2F475781" w:rsidR="00C21D24" w:rsidRPr="00A07F29" w:rsidRDefault="00A600CF" w:rsidP="00876D87">
      <w:pPr>
        <w:spacing w:after="12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t>DA</w:t>
      </w:r>
      <w:r w:rsidR="00C21D24" w:rsidRPr="00A07F29">
        <w:rPr>
          <w:rFonts w:ascii="Times New Roman" w:hAnsi="Times New Roman" w:cs="Times New Roman"/>
          <w:sz w:val="24"/>
          <w:szCs w:val="24"/>
        </w:rPr>
        <w:t xml:space="preserve"> plāna ietvaros izstrādāts ainavu struktūrplāns visai AAA “Augšdaugava” teritorijai. Izstrādājot ainavu struktūrplānu, ņemts vērā Eiropas ainavu konvencijas uzdevums </w:t>
      </w:r>
      <w:r w:rsidR="009B13E2" w:rsidRPr="00A07F29">
        <w:rPr>
          <w:rFonts w:ascii="Times New Roman" w:hAnsi="Times New Roman" w:cs="Times New Roman"/>
          <w:sz w:val="24"/>
          <w:szCs w:val="24"/>
        </w:rPr>
        <w:t>–</w:t>
      </w:r>
      <w:r w:rsidR="00C21D24" w:rsidRPr="00A07F29">
        <w:rPr>
          <w:rFonts w:ascii="Times New Roman" w:hAnsi="Times New Roman" w:cs="Times New Roman"/>
          <w:sz w:val="24"/>
          <w:szCs w:val="24"/>
        </w:rPr>
        <w:t xml:space="preserve"> nodrošināt ainavu aizsardzību, pārvaldību un plānošanu, izvērtējot esošās ainavu telpas, </w:t>
      </w:r>
      <w:proofErr w:type="spellStart"/>
      <w:r w:rsidR="00C21D24" w:rsidRPr="00A07F29">
        <w:rPr>
          <w:rFonts w:ascii="Times New Roman" w:hAnsi="Times New Roman" w:cs="Times New Roman"/>
          <w:sz w:val="24"/>
          <w:szCs w:val="24"/>
        </w:rPr>
        <w:t>struktūrelementus</w:t>
      </w:r>
      <w:proofErr w:type="spellEnd"/>
      <w:r w:rsidR="00C21D24" w:rsidRPr="00A07F29">
        <w:rPr>
          <w:rFonts w:ascii="Times New Roman" w:hAnsi="Times New Roman" w:cs="Times New Roman"/>
          <w:sz w:val="24"/>
          <w:szCs w:val="24"/>
        </w:rPr>
        <w:t>, kultūrvēsturisko raksturojumu.</w:t>
      </w:r>
    </w:p>
    <w:p w14:paraId="64B662B1" w14:textId="77777777" w:rsidR="00C21D24" w:rsidRPr="00A07F29" w:rsidRDefault="00C21D24" w:rsidP="00876D87">
      <w:pPr>
        <w:spacing w:after="12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t xml:space="preserve">Ainavu struktūrplāns ietver ainavu struktūras un elementu raksturojumu, ainavu telpu noteikšanu, ainavu struktūras izmaiņu analīzi, kultūrvēsturiskā mantojuma raksturojumu, teritorijas ainavisko novērtējumu, ainavu ietekmējošo faktoru aprakstu, ainavu pārvaldības plānu un apsaimniekošanas ieteikumus. </w:t>
      </w:r>
    </w:p>
    <w:p w14:paraId="43F50262" w14:textId="06CA95F5" w:rsidR="00C21D24" w:rsidRPr="00A07F29" w:rsidRDefault="00C21D24" w:rsidP="00876D87">
      <w:pPr>
        <w:spacing w:after="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t>Izanalizējot iepriekš izstrādāto AAA “Augšdaugava” pārvaldības plānu 2015.</w:t>
      </w:r>
      <w:r w:rsidR="001E181B" w:rsidRPr="00A07F29">
        <w:rPr>
          <w:rFonts w:ascii="Times New Roman" w:hAnsi="Times New Roman" w:cs="Times New Roman"/>
          <w:sz w:val="24"/>
          <w:szCs w:val="24"/>
        </w:rPr>
        <w:t> – </w:t>
      </w:r>
      <w:r w:rsidRPr="00A07F29">
        <w:rPr>
          <w:rFonts w:ascii="Times New Roman" w:hAnsi="Times New Roman" w:cs="Times New Roman"/>
          <w:sz w:val="24"/>
          <w:szCs w:val="24"/>
        </w:rPr>
        <w:t>2027.</w:t>
      </w:r>
      <w:r w:rsidR="001E181B" w:rsidRPr="00A07F29">
        <w:rPr>
          <w:rFonts w:ascii="Times New Roman" w:hAnsi="Times New Roman" w:cs="Times New Roman"/>
          <w:sz w:val="24"/>
          <w:szCs w:val="24"/>
        </w:rPr>
        <w:t> </w:t>
      </w:r>
      <w:r w:rsidRPr="00A07F29">
        <w:rPr>
          <w:rFonts w:ascii="Times New Roman" w:hAnsi="Times New Roman" w:cs="Times New Roman"/>
          <w:sz w:val="24"/>
          <w:szCs w:val="24"/>
        </w:rPr>
        <w:t xml:space="preserve">gadam, </w:t>
      </w:r>
      <w:r w:rsidR="00A600CF" w:rsidRPr="00A07F29">
        <w:rPr>
          <w:rFonts w:ascii="Times New Roman" w:hAnsi="Times New Roman" w:cs="Times New Roman"/>
          <w:sz w:val="24"/>
          <w:szCs w:val="24"/>
        </w:rPr>
        <w:t>DP</w:t>
      </w:r>
      <w:r w:rsidRPr="00A07F29">
        <w:rPr>
          <w:rFonts w:ascii="Times New Roman" w:hAnsi="Times New Roman" w:cs="Times New Roman"/>
          <w:sz w:val="24"/>
          <w:szCs w:val="24"/>
        </w:rPr>
        <w:t xml:space="preserve"> “Daugavas loki” </w:t>
      </w:r>
      <w:r w:rsidR="00A600CF" w:rsidRPr="00A07F29">
        <w:rPr>
          <w:rFonts w:ascii="Times New Roman" w:hAnsi="Times New Roman" w:cs="Times New Roman"/>
          <w:sz w:val="24"/>
          <w:szCs w:val="24"/>
        </w:rPr>
        <w:t>DA</w:t>
      </w:r>
      <w:r w:rsidRPr="00A07F29">
        <w:rPr>
          <w:rFonts w:ascii="Times New Roman" w:hAnsi="Times New Roman" w:cs="Times New Roman"/>
          <w:sz w:val="24"/>
          <w:szCs w:val="24"/>
        </w:rPr>
        <w:t xml:space="preserve"> plānu 2010.</w:t>
      </w:r>
      <w:r w:rsidR="003703C7" w:rsidRPr="00A07F29">
        <w:rPr>
          <w:rFonts w:ascii="Times New Roman" w:hAnsi="Times New Roman" w:cs="Times New Roman"/>
          <w:sz w:val="24"/>
          <w:szCs w:val="24"/>
        </w:rPr>
        <w:t> – </w:t>
      </w:r>
      <w:r w:rsidRPr="00A07F29">
        <w:rPr>
          <w:rFonts w:ascii="Times New Roman" w:hAnsi="Times New Roman" w:cs="Times New Roman"/>
          <w:sz w:val="24"/>
          <w:szCs w:val="24"/>
        </w:rPr>
        <w:t>2022.</w:t>
      </w:r>
      <w:r w:rsidR="003703C7" w:rsidRPr="00A07F29">
        <w:rPr>
          <w:rFonts w:ascii="Times New Roman" w:hAnsi="Times New Roman" w:cs="Times New Roman"/>
          <w:sz w:val="24"/>
          <w:szCs w:val="24"/>
        </w:rPr>
        <w:t> </w:t>
      </w:r>
      <w:r w:rsidRPr="00A07F29">
        <w:rPr>
          <w:rFonts w:ascii="Times New Roman" w:hAnsi="Times New Roman" w:cs="Times New Roman"/>
          <w:sz w:val="24"/>
          <w:szCs w:val="24"/>
        </w:rPr>
        <w:t xml:space="preserve">gadam un ainavu struktūru elementus, ir izdalītas </w:t>
      </w:r>
      <w:r w:rsidR="00C952D4" w:rsidRPr="00A07F29">
        <w:rPr>
          <w:rFonts w:ascii="Times New Roman" w:hAnsi="Times New Roman" w:cs="Times New Roman"/>
          <w:sz w:val="24"/>
          <w:szCs w:val="24"/>
        </w:rPr>
        <w:t>šādas</w:t>
      </w:r>
      <w:r w:rsidRPr="00A07F29">
        <w:rPr>
          <w:rFonts w:ascii="Times New Roman" w:hAnsi="Times New Roman" w:cs="Times New Roman"/>
          <w:sz w:val="24"/>
          <w:szCs w:val="24"/>
        </w:rPr>
        <w:t xml:space="preserve"> ainavu telpas:</w:t>
      </w:r>
    </w:p>
    <w:p w14:paraId="29693A87" w14:textId="77777777" w:rsidR="00C21D24" w:rsidRPr="00A07F29" w:rsidRDefault="00C21D24" w:rsidP="00F87589">
      <w:pPr>
        <w:pStyle w:val="ListParagraph"/>
        <w:numPr>
          <w:ilvl w:val="0"/>
          <w:numId w:val="25"/>
        </w:numPr>
        <w:spacing w:after="0" w:line="240" w:lineRule="auto"/>
        <w:contextualSpacing w:val="0"/>
        <w:rPr>
          <w:rFonts w:cs="Times New Roman"/>
          <w:szCs w:val="24"/>
        </w:rPr>
      </w:pPr>
      <w:r w:rsidRPr="00A07F29">
        <w:rPr>
          <w:rFonts w:cs="Times New Roman"/>
          <w:szCs w:val="24"/>
        </w:rPr>
        <w:t>Daugavas loku ainavu telpa;</w:t>
      </w:r>
    </w:p>
    <w:p w14:paraId="44F7071D" w14:textId="77777777" w:rsidR="00C21D24" w:rsidRPr="00A07F29" w:rsidRDefault="00C21D24" w:rsidP="00F87589">
      <w:pPr>
        <w:pStyle w:val="ListParagraph"/>
        <w:numPr>
          <w:ilvl w:val="0"/>
          <w:numId w:val="25"/>
        </w:numPr>
        <w:spacing w:after="0" w:line="240" w:lineRule="auto"/>
        <w:contextualSpacing w:val="0"/>
        <w:rPr>
          <w:rFonts w:cs="Times New Roman"/>
          <w:szCs w:val="24"/>
        </w:rPr>
      </w:pPr>
      <w:proofErr w:type="spellStart"/>
      <w:r w:rsidRPr="00A07F29">
        <w:rPr>
          <w:rFonts w:cs="Times New Roman"/>
          <w:szCs w:val="24"/>
        </w:rPr>
        <w:t>Elernes</w:t>
      </w:r>
      <w:proofErr w:type="spellEnd"/>
      <w:r w:rsidRPr="00A07F29">
        <w:rPr>
          <w:rFonts w:cs="Times New Roman"/>
          <w:szCs w:val="24"/>
        </w:rPr>
        <w:t xml:space="preserve"> loka ainavu telpa;</w:t>
      </w:r>
    </w:p>
    <w:p w14:paraId="53D8B49B" w14:textId="77777777" w:rsidR="00C21D24" w:rsidRPr="00A07F29" w:rsidRDefault="00C21D24" w:rsidP="00F87589">
      <w:pPr>
        <w:pStyle w:val="ListParagraph"/>
        <w:numPr>
          <w:ilvl w:val="0"/>
          <w:numId w:val="25"/>
        </w:numPr>
        <w:spacing w:after="0" w:line="240" w:lineRule="auto"/>
        <w:contextualSpacing w:val="0"/>
        <w:rPr>
          <w:rFonts w:cs="Times New Roman"/>
          <w:szCs w:val="24"/>
        </w:rPr>
      </w:pPr>
      <w:r w:rsidRPr="00A07F29">
        <w:rPr>
          <w:rFonts w:cs="Times New Roman"/>
          <w:szCs w:val="24"/>
        </w:rPr>
        <w:t>Skrudalienas lauku ainavu telpa;</w:t>
      </w:r>
    </w:p>
    <w:p w14:paraId="3B958CAE" w14:textId="77777777" w:rsidR="00C21D24" w:rsidRPr="00A07F29" w:rsidRDefault="00C21D24" w:rsidP="00F87589">
      <w:pPr>
        <w:pStyle w:val="ListParagraph"/>
        <w:numPr>
          <w:ilvl w:val="0"/>
          <w:numId w:val="25"/>
        </w:numPr>
        <w:spacing w:after="0" w:line="240" w:lineRule="auto"/>
        <w:contextualSpacing w:val="0"/>
        <w:rPr>
          <w:rFonts w:cs="Times New Roman"/>
          <w:szCs w:val="24"/>
        </w:rPr>
      </w:pPr>
      <w:proofErr w:type="spellStart"/>
      <w:r w:rsidRPr="00A07F29">
        <w:rPr>
          <w:rFonts w:cs="Times New Roman"/>
          <w:szCs w:val="24"/>
        </w:rPr>
        <w:t>Poguļankas</w:t>
      </w:r>
      <w:proofErr w:type="spellEnd"/>
      <w:r w:rsidRPr="00A07F29">
        <w:rPr>
          <w:rFonts w:cs="Times New Roman"/>
          <w:szCs w:val="24"/>
        </w:rPr>
        <w:t xml:space="preserve"> ielejas ainavu telpa;</w:t>
      </w:r>
    </w:p>
    <w:p w14:paraId="7342B80A" w14:textId="77777777" w:rsidR="00C21D24" w:rsidRPr="00A07F29" w:rsidRDefault="00C21D24" w:rsidP="00F87589">
      <w:pPr>
        <w:pStyle w:val="ListParagraph"/>
        <w:numPr>
          <w:ilvl w:val="0"/>
          <w:numId w:val="25"/>
        </w:numPr>
        <w:spacing w:after="0" w:line="240" w:lineRule="auto"/>
        <w:contextualSpacing w:val="0"/>
        <w:rPr>
          <w:rFonts w:cs="Times New Roman"/>
          <w:szCs w:val="24"/>
        </w:rPr>
      </w:pPr>
      <w:r w:rsidRPr="00A07F29">
        <w:rPr>
          <w:rFonts w:cs="Times New Roman"/>
          <w:szCs w:val="24"/>
        </w:rPr>
        <w:t>Kaplavas ainavu telpa;</w:t>
      </w:r>
    </w:p>
    <w:p w14:paraId="619B46C0" w14:textId="77777777" w:rsidR="00C21D24" w:rsidRPr="00A07F29" w:rsidRDefault="00C21D24" w:rsidP="00F87589">
      <w:pPr>
        <w:pStyle w:val="ListParagraph"/>
        <w:numPr>
          <w:ilvl w:val="0"/>
          <w:numId w:val="25"/>
        </w:numPr>
        <w:spacing w:after="0" w:line="240" w:lineRule="auto"/>
        <w:contextualSpacing w:val="0"/>
        <w:rPr>
          <w:rFonts w:cs="Times New Roman"/>
          <w:szCs w:val="24"/>
        </w:rPr>
      </w:pPr>
      <w:r w:rsidRPr="00A07F29">
        <w:rPr>
          <w:rFonts w:cs="Times New Roman"/>
          <w:szCs w:val="24"/>
        </w:rPr>
        <w:t>Priedaines loka ainavu telpa;</w:t>
      </w:r>
    </w:p>
    <w:p w14:paraId="1CF61BFA" w14:textId="77777777" w:rsidR="00C21D24" w:rsidRPr="00A07F29" w:rsidRDefault="00C21D24" w:rsidP="00F87589">
      <w:pPr>
        <w:pStyle w:val="ListParagraph"/>
        <w:numPr>
          <w:ilvl w:val="0"/>
          <w:numId w:val="25"/>
        </w:numPr>
        <w:spacing w:after="0" w:line="240" w:lineRule="auto"/>
        <w:contextualSpacing w:val="0"/>
        <w:rPr>
          <w:rFonts w:cs="Times New Roman"/>
          <w:szCs w:val="24"/>
        </w:rPr>
      </w:pPr>
      <w:r w:rsidRPr="00A07F29">
        <w:rPr>
          <w:rFonts w:cs="Times New Roman"/>
          <w:szCs w:val="24"/>
        </w:rPr>
        <w:t>Tālās Daugavmalas ainavu telpa;</w:t>
      </w:r>
    </w:p>
    <w:p w14:paraId="289C12B3" w14:textId="77777777" w:rsidR="00C21D24" w:rsidRPr="00A07F29" w:rsidRDefault="00C21D24" w:rsidP="00F87589">
      <w:pPr>
        <w:pStyle w:val="ListParagraph"/>
        <w:numPr>
          <w:ilvl w:val="0"/>
          <w:numId w:val="25"/>
        </w:numPr>
        <w:spacing w:after="0" w:line="240" w:lineRule="auto"/>
        <w:contextualSpacing w:val="0"/>
        <w:rPr>
          <w:rFonts w:cs="Times New Roman"/>
          <w:szCs w:val="24"/>
        </w:rPr>
      </w:pPr>
      <w:r w:rsidRPr="00A07F29">
        <w:rPr>
          <w:rFonts w:cs="Times New Roman"/>
          <w:szCs w:val="24"/>
        </w:rPr>
        <w:t>Ezeru ainavu telpa;</w:t>
      </w:r>
    </w:p>
    <w:p w14:paraId="06861E72" w14:textId="77777777" w:rsidR="00C21D24" w:rsidRPr="00A07F29" w:rsidRDefault="00C21D24" w:rsidP="00F87589">
      <w:pPr>
        <w:pStyle w:val="ListParagraph"/>
        <w:numPr>
          <w:ilvl w:val="0"/>
          <w:numId w:val="25"/>
        </w:numPr>
        <w:spacing w:after="0" w:line="240" w:lineRule="auto"/>
        <w:contextualSpacing w:val="0"/>
        <w:rPr>
          <w:rFonts w:cs="Times New Roman"/>
          <w:szCs w:val="24"/>
        </w:rPr>
      </w:pPr>
      <w:r w:rsidRPr="00A07F29">
        <w:rPr>
          <w:rFonts w:cs="Times New Roman"/>
          <w:szCs w:val="24"/>
        </w:rPr>
        <w:t>Piedrujas ainavu telpa;</w:t>
      </w:r>
    </w:p>
    <w:p w14:paraId="624A9E7B" w14:textId="77777777" w:rsidR="00C21D24" w:rsidRPr="00A07F29" w:rsidRDefault="00C21D24" w:rsidP="00F87589">
      <w:pPr>
        <w:pStyle w:val="ListParagraph"/>
        <w:numPr>
          <w:ilvl w:val="0"/>
          <w:numId w:val="25"/>
        </w:numPr>
        <w:spacing w:after="0" w:line="240" w:lineRule="auto"/>
        <w:contextualSpacing w:val="0"/>
        <w:rPr>
          <w:rFonts w:cs="Times New Roman"/>
          <w:szCs w:val="24"/>
        </w:rPr>
      </w:pPr>
      <w:proofErr w:type="spellStart"/>
      <w:r w:rsidRPr="00A07F29">
        <w:rPr>
          <w:rFonts w:cs="Times New Roman"/>
          <w:szCs w:val="24"/>
        </w:rPr>
        <w:t>Indricas</w:t>
      </w:r>
      <w:proofErr w:type="spellEnd"/>
      <w:r w:rsidRPr="00A07F29">
        <w:rPr>
          <w:rFonts w:cs="Times New Roman"/>
          <w:szCs w:val="24"/>
        </w:rPr>
        <w:t xml:space="preserve"> ielejas ainavu telpa;</w:t>
      </w:r>
    </w:p>
    <w:p w14:paraId="63AEAED2" w14:textId="77777777" w:rsidR="00C21D24" w:rsidRPr="00A07F29" w:rsidRDefault="00C21D24" w:rsidP="00F87589">
      <w:pPr>
        <w:pStyle w:val="ListParagraph"/>
        <w:numPr>
          <w:ilvl w:val="0"/>
          <w:numId w:val="25"/>
        </w:numPr>
        <w:spacing w:after="0" w:line="240" w:lineRule="auto"/>
        <w:contextualSpacing w:val="0"/>
        <w:rPr>
          <w:rFonts w:cs="Times New Roman"/>
          <w:szCs w:val="24"/>
        </w:rPr>
      </w:pPr>
      <w:proofErr w:type="spellStart"/>
      <w:r w:rsidRPr="00A07F29">
        <w:rPr>
          <w:rFonts w:cs="Times New Roman"/>
          <w:szCs w:val="24"/>
        </w:rPr>
        <w:t>Balticas</w:t>
      </w:r>
      <w:proofErr w:type="spellEnd"/>
      <w:r w:rsidRPr="00A07F29">
        <w:rPr>
          <w:rFonts w:cs="Times New Roman"/>
          <w:szCs w:val="24"/>
        </w:rPr>
        <w:t xml:space="preserve"> mežu ainavu telpa;</w:t>
      </w:r>
    </w:p>
    <w:p w14:paraId="3F759BD6" w14:textId="77777777" w:rsidR="00C21D24" w:rsidRPr="00A07F29" w:rsidRDefault="00C21D24" w:rsidP="00F87589">
      <w:pPr>
        <w:pStyle w:val="ListParagraph"/>
        <w:numPr>
          <w:ilvl w:val="0"/>
          <w:numId w:val="25"/>
        </w:numPr>
        <w:spacing w:after="0" w:line="240" w:lineRule="auto"/>
        <w:contextualSpacing w:val="0"/>
        <w:rPr>
          <w:rFonts w:cs="Times New Roman"/>
          <w:szCs w:val="24"/>
        </w:rPr>
      </w:pPr>
      <w:proofErr w:type="spellStart"/>
      <w:r w:rsidRPr="00A07F29">
        <w:rPr>
          <w:rFonts w:cs="Times New Roman"/>
          <w:szCs w:val="24"/>
        </w:rPr>
        <w:t>Baraukas</w:t>
      </w:r>
      <w:proofErr w:type="spellEnd"/>
      <w:r w:rsidRPr="00A07F29">
        <w:rPr>
          <w:rFonts w:cs="Times New Roman"/>
          <w:szCs w:val="24"/>
        </w:rPr>
        <w:t xml:space="preserve"> meža ainavu telpa;</w:t>
      </w:r>
    </w:p>
    <w:p w14:paraId="1DE829A6" w14:textId="77777777" w:rsidR="00C21D24" w:rsidRPr="00A07F29" w:rsidRDefault="00C21D24" w:rsidP="00F87589">
      <w:pPr>
        <w:pStyle w:val="ListParagraph"/>
        <w:numPr>
          <w:ilvl w:val="0"/>
          <w:numId w:val="25"/>
        </w:numPr>
        <w:spacing w:line="240" w:lineRule="auto"/>
        <w:ind w:left="1570" w:hanging="357"/>
        <w:contextualSpacing w:val="0"/>
        <w:rPr>
          <w:rFonts w:cs="Times New Roman"/>
          <w:szCs w:val="24"/>
        </w:rPr>
      </w:pPr>
      <w:r w:rsidRPr="00A07F29">
        <w:rPr>
          <w:rFonts w:cs="Times New Roman"/>
          <w:szCs w:val="24"/>
        </w:rPr>
        <w:t>Naujenes lauku ainavu telpa.</w:t>
      </w:r>
    </w:p>
    <w:p w14:paraId="6E929507" w14:textId="77777777" w:rsidR="00C21D24" w:rsidRPr="00A07F29" w:rsidRDefault="00C21D24" w:rsidP="00876D87">
      <w:pPr>
        <w:spacing w:after="12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t xml:space="preserve">Katra ainavu telpa ir unikāla ar vizuāli vērtīgām ainavām, bet dominējoša loma ir Daugavai un Daugavas ielejai. </w:t>
      </w:r>
    </w:p>
    <w:p w14:paraId="086C1193" w14:textId="6D54AB31" w:rsidR="00C21D24" w:rsidRPr="00A07F29" w:rsidRDefault="00C21D24" w:rsidP="00D622B9">
      <w:pPr>
        <w:spacing w:after="12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lastRenderedPageBreak/>
        <w:t xml:space="preserve">Kultūrvēsturiskais mantojums AAA “Augšdaugava” ir </w:t>
      </w:r>
      <w:r w:rsidR="000468F3" w:rsidRPr="00A07F29">
        <w:rPr>
          <w:rFonts w:ascii="Times New Roman" w:hAnsi="Times New Roman" w:cs="Times New Roman"/>
          <w:sz w:val="24"/>
          <w:szCs w:val="24"/>
        </w:rPr>
        <w:t xml:space="preserve">aprakstīts </w:t>
      </w:r>
      <w:r w:rsidRPr="00A07F29">
        <w:rPr>
          <w:rFonts w:ascii="Times New Roman" w:hAnsi="Times New Roman" w:cs="Times New Roman"/>
          <w:sz w:val="24"/>
          <w:szCs w:val="24"/>
        </w:rPr>
        <w:t xml:space="preserve">kultūras pieminekļu </w:t>
      </w:r>
      <w:proofErr w:type="spellStart"/>
      <w:r w:rsidRPr="00A07F29">
        <w:rPr>
          <w:rFonts w:ascii="Times New Roman" w:hAnsi="Times New Roman" w:cs="Times New Roman"/>
          <w:sz w:val="24"/>
          <w:szCs w:val="24"/>
        </w:rPr>
        <w:t>izvērtējumā</w:t>
      </w:r>
      <w:proofErr w:type="spellEnd"/>
      <w:r w:rsidRPr="00A07F29">
        <w:rPr>
          <w:rFonts w:ascii="Times New Roman" w:hAnsi="Times New Roman" w:cs="Times New Roman"/>
          <w:sz w:val="24"/>
          <w:szCs w:val="24"/>
        </w:rPr>
        <w:t xml:space="preserve"> 1.1.5.</w:t>
      </w:r>
      <w:r w:rsidR="00D622B9" w:rsidRPr="00A07F29">
        <w:rPr>
          <w:rFonts w:ascii="Times New Roman" w:hAnsi="Times New Roman" w:cs="Times New Roman"/>
          <w:sz w:val="24"/>
          <w:szCs w:val="24"/>
        </w:rPr>
        <w:t> </w:t>
      </w:r>
      <w:r w:rsidRPr="00A07F29">
        <w:rPr>
          <w:rFonts w:ascii="Times New Roman" w:hAnsi="Times New Roman" w:cs="Times New Roman"/>
          <w:sz w:val="24"/>
          <w:szCs w:val="24"/>
        </w:rPr>
        <w:t xml:space="preserve">nodaļā. </w:t>
      </w:r>
    </w:p>
    <w:p w14:paraId="34EAFAC3" w14:textId="7F7A9DD3" w:rsidR="00C21D24" w:rsidRPr="00A07F29" w:rsidRDefault="00C21D24" w:rsidP="00D622B9">
      <w:pPr>
        <w:spacing w:after="12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t>Ainaviskais novērtējums ir apkopots ainaviski nozīmīgo objektu kartē</w:t>
      </w:r>
      <w:r w:rsidR="00E86DF8" w:rsidRPr="00A07F29">
        <w:rPr>
          <w:rFonts w:ascii="Times New Roman" w:hAnsi="Times New Roman" w:cs="Times New Roman"/>
          <w:sz w:val="24"/>
          <w:szCs w:val="24"/>
        </w:rPr>
        <w:t xml:space="preserve"> (4.3. pielikums)</w:t>
      </w:r>
      <w:r w:rsidRPr="00A07F29">
        <w:rPr>
          <w:rFonts w:ascii="Times New Roman" w:hAnsi="Times New Roman" w:cs="Times New Roman"/>
          <w:sz w:val="24"/>
          <w:szCs w:val="24"/>
        </w:rPr>
        <w:t xml:space="preserve">, kura ir izveidota, apkopojot ainavas vizuālos, ekoloģiskos, kultūrvēsturiskos un sociālekonomiskos faktorus. </w:t>
      </w:r>
    </w:p>
    <w:p w14:paraId="35A2D3D2" w14:textId="77777777" w:rsidR="00C21D24" w:rsidRPr="00A07F29" w:rsidRDefault="00C21D24" w:rsidP="00D622B9">
      <w:pPr>
        <w:spacing w:after="0" w:line="240" w:lineRule="auto"/>
        <w:ind w:firstLine="851"/>
        <w:rPr>
          <w:rFonts w:ascii="Times New Roman" w:hAnsi="Times New Roman" w:cs="Times New Roman"/>
          <w:sz w:val="24"/>
          <w:szCs w:val="24"/>
        </w:rPr>
      </w:pPr>
      <w:r w:rsidRPr="00A07F29">
        <w:rPr>
          <w:rFonts w:ascii="Times New Roman" w:hAnsi="Times New Roman" w:cs="Times New Roman"/>
          <w:sz w:val="24"/>
          <w:szCs w:val="24"/>
        </w:rPr>
        <w:t>Ainaviski nozīmīgi objekti un teritorijas:</w:t>
      </w:r>
    </w:p>
    <w:p w14:paraId="42A4F5FB" w14:textId="7284583D" w:rsidR="00C21D24" w:rsidRPr="00A07F29" w:rsidRDefault="00A600CF" w:rsidP="00F87589">
      <w:pPr>
        <w:pStyle w:val="ListParagraph"/>
        <w:numPr>
          <w:ilvl w:val="0"/>
          <w:numId w:val="26"/>
        </w:numPr>
        <w:spacing w:after="0" w:line="240" w:lineRule="auto"/>
        <w:contextualSpacing w:val="0"/>
        <w:rPr>
          <w:rFonts w:cs="Times New Roman"/>
          <w:szCs w:val="24"/>
        </w:rPr>
      </w:pPr>
      <w:r w:rsidRPr="00A07F29">
        <w:rPr>
          <w:rFonts w:cs="Times New Roman"/>
          <w:szCs w:val="24"/>
        </w:rPr>
        <w:t xml:space="preserve">ainaviski </w:t>
      </w:r>
      <w:r w:rsidR="00C21D24" w:rsidRPr="00A07F29">
        <w:rPr>
          <w:rFonts w:cs="Times New Roman"/>
          <w:szCs w:val="24"/>
        </w:rPr>
        <w:t>augstvērtīga teritorija (Daugava un Daugavas ieleja);</w:t>
      </w:r>
    </w:p>
    <w:p w14:paraId="4D7D7E17" w14:textId="54730984" w:rsidR="00C21D24" w:rsidRPr="00A07F29" w:rsidRDefault="00C21D24" w:rsidP="00F87589">
      <w:pPr>
        <w:pStyle w:val="ListParagraph"/>
        <w:numPr>
          <w:ilvl w:val="0"/>
          <w:numId w:val="26"/>
        </w:numPr>
        <w:spacing w:after="0" w:line="240" w:lineRule="auto"/>
        <w:contextualSpacing w:val="0"/>
        <w:rPr>
          <w:rFonts w:cs="Times New Roman"/>
          <w:szCs w:val="24"/>
        </w:rPr>
      </w:pPr>
      <w:r w:rsidRPr="00A07F29">
        <w:rPr>
          <w:rFonts w:cs="Times New Roman"/>
          <w:szCs w:val="24"/>
        </w:rPr>
        <w:t>ES nozīmes aizsargājamie biotopi;</w:t>
      </w:r>
    </w:p>
    <w:p w14:paraId="5C40DDF3" w14:textId="50E0A3EE" w:rsidR="00D3226A" w:rsidRPr="00A07F29" w:rsidRDefault="00D3226A" w:rsidP="00F87589">
      <w:pPr>
        <w:pStyle w:val="ListParagraph"/>
        <w:numPr>
          <w:ilvl w:val="0"/>
          <w:numId w:val="26"/>
        </w:numPr>
        <w:spacing w:after="0" w:line="240" w:lineRule="auto"/>
        <w:contextualSpacing w:val="0"/>
        <w:rPr>
          <w:rFonts w:cs="Times New Roman"/>
          <w:szCs w:val="24"/>
        </w:rPr>
      </w:pPr>
      <w:r w:rsidRPr="00A07F29">
        <w:rPr>
          <w:rFonts w:cs="Times New Roman"/>
          <w:szCs w:val="24"/>
        </w:rPr>
        <w:t>parki, dendroloģiskie stādījumi, alejas;</w:t>
      </w:r>
    </w:p>
    <w:p w14:paraId="625B2560" w14:textId="5A3A1099" w:rsidR="00C21D24" w:rsidRPr="00A07F29" w:rsidRDefault="00A600CF" w:rsidP="00F87589">
      <w:pPr>
        <w:pStyle w:val="ListParagraph"/>
        <w:numPr>
          <w:ilvl w:val="0"/>
          <w:numId w:val="26"/>
        </w:numPr>
        <w:spacing w:after="0" w:line="240" w:lineRule="auto"/>
        <w:contextualSpacing w:val="0"/>
        <w:rPr>
          <w:rFonts w:cs="Times New Roman"/>
          <w:szCs w:val="24"/>
        </w:rPr>
      </w:pPr>
      <w:r w:rsidRPr="00A07F29">
        <w:rPr>
          <w:rFonts w:cs="Times New Roman"/>
          <w:szCs w:val="24"/>
        </w:rPr>
        <w:t>dižkoki</w:t>
      </w:r>
      <w:r w:rsidR="00C21D24" w:rsidRPr="00A07F29">
        <w:rPr>
          <w:rFonts w:cs="Times New Roman"/>
          <w:szCs w:val="24"/>
        </w:rPr>
        <w:t>;</w:t>
      </w:r>
    </w:p>
    <w:p w14:paraId="5DB5B8BA" w14:textId="009BA1EA" w:rsidR="00C21D24" w:rsidRPr="00A07F29" w:rsidRDefault="00A600CF" w:rsidP="00F87589">
      <w:pPr>
        <w:pStyle w:val="ListParagraph"/>
        <w:numPr>
          <w:ilvl w:val="0"/>
          <w:numId w:val="26"/>
        </w:numPr>
        <w:spacing w:after="0" w:line="240" w:lineRule="auto"/>
        <w:contextualSpacing w:val="0"/>
        <w:rPr>
          <w:rFonts w:cs="Times New Roman"/>
          <w:szCs w:val="24"/>
        </w:rPr>
      </w:pPr>
      <w:r w:rsidRPr="00A07F29">
        <w:rPr>
          <w:rFonts w:cs="Times New Roman"/>
          <w:szCs w:val="24"/>
        </w:rPr>
        <w:t xml:space="preserve">kultūrvēsturiskie </w:t>
      </w:r>
      <w:r w:rsidR="00C21D24" w:rsidRPr="00A07F29">
        <w:rPr>
          <w:rFonts w:cs="Times New Roman"/>
          <w:szCs w:val="24"/>
        </w:rPr>
        <w:t>pieminekļi;</w:t>
      </w:r>
    </w:p>
    <w:p w14:paraId="1F7CA425" w14:textId="6D9F49CC" w:rsidR="00C21D24" w:rsidRPr="00A07F29" w:rsidRDefault="00A600CF" w:rsidP="00F87589">
      <w:pPr>
        <w:pStyle w:val="ListParagraph"/>
        <w:numPr>
          <w:ilvl w:val="0"/>
          <w:numId w:val="26"/>
        </w:numPr>
        <w:spacing w:after="0" w:line="240" w:lineRule="auto"/>
        <w:contextualSpacing w:val="0"/>
        <w:rPr>
          <w:rFonts w:cs="Times New Roman"/>
          <w:szCs w:val="24"/>
        </w:rPr>
      </w:pPr>
      <w:r w:rsidRPr="00A07F29">
        <w:rPr>
          <w:rFonts w:cs="Times New Roman"/>
          <w:szCs w:val="24"/>
        </w:rPr>
        <w:t xml:space="preserve">skatu </w:t>
      </w:r>
      <w:r w:rsidR="00C21D24" w:rsidRPr="00A07F29">
        <w:rPr>
          <w:rFonts w:cs="Times New Roman"/>
          <w:szCs w:val="24"/>
        </w:rPr>
        <w:t>vietas (skatu torņi, skatu punkti);</w:t>
      </w:r>
    </w:p>
    <w:p w14:paraId="0BB1DA7D" w14:textId="12DF155E" w:rsidR="00C21D24" w:rsidRPr="00A07F29" w:rsidRDefault="00A600CF" w:rsidP="00F87589">
      <w:pPr>
        <w:pStyle w:val="ListParagraph"/>
        <w:numPr>
          <w:ilvl w:val="0"/>
          <w:numId w:val="26"/>
        </w:numPr>
        <w:spacing w:after="0" w:line="240" w:lineRule="auto"/>
        <w:contextualSpacing w:val="0"/>
        <w:rPr>
          <w:rFonts w:cs="Times New Roman"/>
          <w:szCs w:val="24"/>
        </w:rPr>
      </w:pPr>
      <w:r w:rsidRPr="00A07F29">
        <w:rPr>
          <w:rFonts w:cs="Times New Roman"/>
          <w:szCs w:val="24"/>
        </w:rPr>
        <w:t xml:space="preserve">ainaviskie </w:t>
      </w:r>
      <w:r w:rsidR="00C21D24" w:rsidRPr="00A07F29">
        <w:rPr>
          <w:rFonts w:cs="Times New Roman"/>
          <w:szCs w:val="24"/>
        </w:rPr>
        <w:t>ceļi, ceļu posmi;</w:t>
      </w:r>
    </w:p>
    <w:p w14:paraId="4117A5FB" w14:textId="77777777" w:rsidR="00C21D24" w:rsidRPr="00A07F29" w:rsidRDefault="00C21D24" w:rsidP="00F87589">
      <w:pPr>
        <w:pStyle w:val="ListParagraph"/>
        <w:numPr>
          <w:ilvl w:val="0"/>
          <w:numId w:val="26"/>
        </w:numPr>
        <w:spacing w:after="0" w:line="240" w:lineRule="auto"/>
        <w:contextualSpacing w:val="0"/>
        <w:rPr>
          <w:rFonts w:cs="Times New Roman"/>
          <w:szCs w:val="24"/>
        </w:rPr>
      </w:pPr>
      <w:r w:rsidRPr="00A07F29">
        <w:rPr>
          <w:rFonts w:cs="Times New Roman"/>
          <w:szCs w:val="24"/>
        </w:rPr>
        <w:t>Latvijas valsts mežu atpūtas vietas.</w:t>
      </w:r>
    </w:p>
    <w:p w14:paraId="43476D58" w14:textId="77777777" w:rsidR="00C21D24" w:rsidRPr="00A07F29" w:rsidRDefault="00C21D24" w:rsidP="00D622B9">
      <w:pPr>
        <w:spacing w:before="120" w:after="0" w:line="240" w:lineRule="auto"/>
        <w:ind w:firstLine="851"/>
        <w:rPr>
          <w:rFonts w:ascii="Times New Roman" w:eastAsiaTheme="majorEastAsia" w:hAnsi="Times New Roman" w:cs="Times New Roman"/>
          <w:iCs/>
          <w:sz w:val="24"/>
          <w:szCs w:val="24"/>
          <w:lang w:eastAsia="ja-JP"/>
        </w:rPr>
      </w:pPr>
      <w:r w:rsidRPr="00A07F29">
        <w:rPr>
          <w:rFonts w:ascii="Times New Roman" w:eastAsiaTheme="majorEastAsia" w:hAnsi="Times New Roman" w:cs="Times New Roman"/>
          <w:iCs/>
          <w:sz w:val="24"/>
          <w:szCs w:val="24"/>
          <w:lang w:eastAsia="ja-JP"/>
        </w:rPr>
        <w:t>Ainavu telpu vērtējumam noteikti ainavu kvalitātes indikatori:</w:t>
      </w:r>
    </w:p>
    <w:p w14:paraId="263A96AC" w14:textId="134378B7" w:rsidR="00C21D24" w:rsidRPr="00A07F29" w:rsidRDefault="00A600CF" w:rsidP="00F87589">
      <w:pPr>
        <w:pStyle w:val="ListParagraph"/>
        <w:numPr>
          <w:ilvl w:val="0"/>
          <w:numId w:val="27"/>
        </w:numPr>
        <w:spacing w:after="0" w:line="240" w:lineRule="auto"/>
        <w:contextualSpacing w:val="0"/>
        <w:rPr>
          <w:rFonts w:eastAsiaTheme="majorEastAsia" w:cs="Times New Roman"/>
          <w:iCs/>
          <w:szCs w:val="24"/>
          <w:lang w:eastAsia="ja-JP"/>
        </w:rPr>
      </w:pPr>
      <w:r w:rsidRPr="00A07F29">
        <w:rPr>
          <w:rFonts w:eastAsiaTheme="majorEastAsia" w:cs="Times New Roman"/>
          <w:iCs/>
          <w:szCs w:val="24"/>
          <w:lang w:eastAsia="ja-JP"/>
        </w:rPr>
        <w:t xml:space="preserve">ainavu </w:t>
      </w:r>
      <w:r w:rsidR="00C21D24" w:rsidRPr="00A07F29">
        <w:rPr>
          <w:rFonts w:eastAsiaTheme="majorEastAsia" w:cs="Times New Roman"/>
          <w:iCs/>
          <w:szCs w:val="24"/>
          <w:lang w:eastAsia="ja-JP"/>
        </w:rPr>
        <w:t xml:space="preserve">daudzveidība; </w:t>
      </w:r>
    </w:p>
    <w:p w14:paraId="30B305D3" w14:textId="1E7AB57C" w:rsidR="00C21D24" w:rsidRPr="00A07F29" w:rsidRDefault="00A600CF" w:rsidP="00F87589">
      <w:pPr>
        <w:pStyle w:val="ListParagraph"/>
        <w:numPr>
          <w:ilvl w:val="0"/>
          <w:numId w:val="27"/>
        </w:numPr>
        <w:spacing w:after="0" w:line="240" w:lineRule="auto"/>
        <w:contextualSpacing w:val="0"/>
        <w:rPr>
          <w:rFonts w:eastAsiaTheme="majorEastAsia" w:cs="Times New Roman"/>
          <w:iCs/>
          <w:szCs w:val="24"/>
          <w:lang w:eastAsia="ja-JP"/>
        </w:rPr>
      </w:pPr>
      <w:r w:rsidRPr="00A07F29">
        <w:rPr>
          <w:rFonts w:eastAsiaTheme="majorEastAsia" w:cs="Times New Roman"/>
          <w:iCs/>
          <w:szCs w:val="24"/>
          <w:lang w:eastAsia="ja-JP"/>
        </w:rPr>
        <w:t xml:space="preserve">kultūras </w:t>
      </w:r>
      <w:r w:rsidR="00C21D24" w:rsidRPr="00A07F29">
        <w:rPr>
          <w:rFonts w:eastAsiaTheme="majorEastAsia" w:cs="Times New Roman"/>
          <w:iCs/>
          <w:szCs w:val="24"/>
          <w:lang w:eastAsia="ja-JP"/>
        </w:rPr>
        <w:t>pieminekļu blīvums;</w:t>
      </w:r>
    </w:p>
    <w:p w14:paraId="5EF3321D" w14:textId="649127F1" w:rsidR="00C21D24" w:rsidRPr="00A07F29" w:rsidRDefault="00A600CF" w:rsidP="00F87589">
      <w:pPr>
        <w:pStyle w:val="ListParagraph"/>
        <w:numPr>
          <w:ilvl w:val="0"/>
          <w:numId w:val="27"/>
        </w:numPr>
        <w:spacing w:after="0" w:line="240" w:lineRule="auto"/>
        <w:contextualSpacing w:val="0"/>
        <w:rPr>
          <w:rFonts w:eastAsiaTheme="majorEastAsia" w:cs="Times New Roman"/>
          <w:iCs/>
          <w:szCs w:val="24"/>
          <w:lang w:eastAsia="ja-JP"/>
        </w:rPr>
      </w:pPr>
      <w:proofErr w:type="spellStart"/>
      <w:r w:rsidRPr="00A07F29">
        <w:rPr>
          <w:rFonts w:eastAsiaTheme="majorEastAsia" w:cs="Times New Roman"/>
          <w:iCs/>
          <w:szCs w:val="24"/>
          <w:lang w:eastAsia="ja-JP"/>
        </w:rPr>
        <w:t>apdzīvojuma</w:t>
      </w:r>
      <w:proofErr w:type="spellEnd"/>
      <w:r w:rsidRPr="00A07F29">
        <w:rPr>
          <w:rFonts w:eastAsiaTheme="majorEastAsia" w:cs="Times New Roman"/>
          <w:iCs/>
          <w:szCs w:val="24"/>
          <w:lang w:eastAsia="ja-JP"/>
        </w:rPr>
        <w:t xml:space="preserve"> </w:t>
      </w:r>
      <w:r w:rsidR="00C21D24" w:rsidRPr="00A07F29">
        <w:rPr>
          <w:rFonts w:eastAsiaTheme="majorEastAsia" w:cs="Times New Roman"/>
          <w:iCs/>
          <w:szCs w:val="24"/>
          <w:lang w:eastAsia="ja-JP"/>
        </w:rPr>
        <w:t>blīvums;</w:t>
      </w:r>
    </w:p>
    <w:p w14:paraId="32D660CC" w14:textId="2FB636D9" w:rsidR="00C21D24" w:rsidRPr="00A07F29" w:rsidRDefault="00A600CF" w:rsidP="00F87589">
      <w:pPr>
        <w:pStyle w:val="ListParagraph"/>
        <w:numPr>
          <w:ilvl w:val="0"/>
          <w:numId w:val="27"/>
        </w:numPr>
        <w:spacing w:after="0" w:line="240" w:lineRule="auto"/>
        <w:contextualSpacing w:val="0"/>
        <w:rPr>
          <w:rFonts w:eastAsiaTheme="majorEastAsia" w:cs="Times New Roman"/>
          <w:iCs/>
          <w:szCs w:val="24"/>
          <w:lang w:eastAsia="ja-JP"/>
        </w:rPr>
      </w:pPr>
      <w:r w:rsidRPr="00A07F29">
        <w:rPr>
          <w:rFonts w:eastAsiaTheme="majorEastAsia" w:cs="Times New Roman"/>
          <w:iCs/>
          <w:szCs w:val="24"/>
          <w:lang w:eastAsia="ja-JP"/>
        </w:rPr>
        <w:t xml:space="preserve">rekreācijas </w:t>
      </w:r>
      <w:r w:rsidR="00C21D24" w:rsidRPr="00A07F29">
        <w:rPr>
          <w:rFonts w:eastAsiaTheme="majorEastAsia" w:cs="Times New Roman"/>
          <w:iCs/>
          <w:szCs w:val="24"/>
          <w:lang w:eastAsia="ja-JP"/>
        </w:rPr>
        <w:t>iespējas;</w:t>
      </w:r>
    </w:p>
    <w:p w14:paraId="654C38EA" w14:textId="7C62E4B1" w:rsidR="00C21D24" w:rsidRPr="00A07F29" w:rsidRDefault="00A600CF" w:rsidP="00F87589">
      <w:pPr>
        <w:pStyle w:val="ListParagraph"/>
        <w:numPr>
          <w:ilvl w:val="0"/>
          <w:numId w:val="27"/>
        </w:numPr>
        <w:spacing w:line="240" w:lineRule="auto"/>
        <w:contextualSpacing w:val="0"/>
        <w:rPr>
          <w:rFonts w:eastAsiaTheme="majorEastAsia" w:cs="Times New Roman"/>
          <w:iCs/>
          <w:szCs w:val="24"/>
          <w:lang w:eastAsia="ja-JP"/>
        </w:rPr>
      </w:pPr>
      <w:r w:rsidRPr="00A07F29">
        <w:rPr>
          <w:rFonts w:eastAsiaTheme="majorEastAsia" w:cs="Times New Roman"/>
          <w:iCs/>
          <w:szCs w:val="24"/>
          <w:lang w:eastAsia="ja-JP"/>
        </w:rPr>
        <w:t xml:space="preserve">ainavas </w:t>
      </w:r>
      <w:r w:rsidR="00C21D24" w:rsidRPr="00A07F29">
        <w:rPr>
          <w:rFonts w:eastAsiaTheme="majorEastAsia" w:cs="Times New Roman"/>
          <w:iCs/>
          <w:szCs w:val="24"/>
          <w:lang w:eastAsia="ja-JP"/>
        </w:rPr>
        <w:t>dabiskums.</w:t>
      </w:r>
    </w:p>
    <w:p w14:paraId="38305BCC" w14:textId="2D9F146C" w:rsidR="00C21D24" w:rsidRPr="00A07F29" w:rsidRDefault="00C21D24" w:rsidP="0095264A">
      <w:pPr>
        <w:spacing w:after="0" w:line="240" w:lineRule="auto"/>
        <w:ind w:firstLine="851"/>
        <w:jc w:val="both"/>
        <w:rPr>
          <w:rFonts w:ascii="Times New Roman" w:eastAsiaTheme="majorEastAsia" w:hAnsi="Times New Roman" w:cs="Times New Roman"/>
          <w:iCs/>
          <w:sz w:val="24"/>
          <w:szCs w:val="24"/>
          <w:lang w:eastAsia="ja-JP"/>
        </w:rPr>
      </w:pPr>
      <w:r w:rsidRPr="00A07F29">
        <w:rPr>
          <w:rFonts w:ascii="Times New Roman" w:eastAsiaTheme="majorEastAsia" w:hAnsi="Times New Roman" w:cs="Times New Roman"/>
          <w:iCs/>
          <w:sz w:val="24"/>
          <w:szCs w:val="24"/>
          <w:lang w:eastAsia="ja-JP"/>
        </w:rPr>
        <w:t>Lai sasniegtu galveno mērķi – saglabāt un attīstīt ainavas daudzveidību un tās vērtību</w:t>
      </w:r>
      <w:r w:rsidR="00F85700" w:rsidRPr="00A07F29">
        <w:rPr>
          <w:rFonts w:ascii="Times New Roman" w:eastAsiaTheme="majorEastAsia" w:hAnsi="Times New Roman" w:cs="Times New Roman"/>
          <w:iCs/>
          <w:sz w:val="24"/>
          <w:szCs w:val="24"/>
          <w:lang w:eastAsia="ja-JP"/>
        </w:rPr>
        <w:t xml:space="preserve">, </w:t>
      </w:r>
      <w:r w:rsidRPr="00A07F29">
        <w:rPr>
          <w:rFonts w:ascii="Times New Roman" w:eastAsiaTheme="majorEastAsia" w:hAnsi="Times New Roman" w:cs="Times New Roman"/>
          <w:iCs/>
          <w:sz w:val="24"/>
          <w:szCs w:val="24"/>
          <w:lang w:eastAsia="ja-JP"/>
        </w:rPr>
        <w:t>jāievēro šādi nosacījumi:</w:t>
      </w:r>
    </w:p>
    <w:p w14:paraId="323E8571" w14:textId="78EC4D8A" w:rsidR="00C21D24" w:rsidRPr="00A07F29" w:rsidRDefault="00A600CF" w:rsidP="00F87589">
      <w:pPr>
        <w:pStyle w:val="ListParagraph"/>
        <w:numPr>
          <w:ilvl w:val="0"/>
          <w:numId w:val="28"/>
        </w:numPr>
        <w:spacing w:after="0" w:line="240" w:lineRule="auto"/>
        <w:contextualSpacing w:val="0"/>
        <w:rPr>
          <w:rFonts w:eastAsiaTheme="majorEastAsia" w:cs="Times New Roman"/>
          <w:iCs/>
          <w:szCs w:val="24"/>
          <w:lang w:eastAsia="ja-JP"/>
        </w:rPr>
      </w:pPr>
      <w:r w:rsidRPr="00A07F29">
        <w:rPr>
          <w:rFonts w:eastAsiaTheme="majorEastAsia" w:cs="Times New Roman"/>
          <w:iCs/>
          <w:szCs w:val="24"/>
          <w:lang w:eastAsia="ja-JP"/>
        </w:rPr>
        <w:t xml:space="preserve">ainavas </w:t>
      </w:r>
      <w:r w:rsidR="00C21D24" w:rsidRPr="00A07F29">
        <w:rPr>
          <w:rFonts w:eastAsiaTheme="majorEastAsia" w:cs="Times New Roman"/>
          <w:iCs/>
          <w:szCs w:val="24"/>
          <w:lang w:eastAsia="ja-JP"/>
        </w:rPr>
        <w:t>un bioloģiskās daudzveidības saglabāšana un attīstība;</w:t>
      </w:r>
    </w:p>
    <w:p w14:paraId="2391FBD8" w14:textId="1C678F10" w:rsidR="00C21D24" w:rsidRPr="00A07F29" w:rsidRDefault="00A600CF" w:rsidP="00F87589">
      <w:pPr>
        <w:pStyle w:val="ListParagraph"/>
        <w:numPr>
          <w:ilvl w:val="0"/>
          <w:numId w:val="28"/>
        </w:numPr>
        <w:spacing w:after="0" w:line="240" w:lineRule="auto"/>
        <w:contextualSpacing w:val="0"/>
        <w:rPr>
          <w:rFonts w:eastAsiaTheme="majorEastAsia" w:cs="Times New Roman"/>
          <w:iCs/>
          <w:szCs w:val="24"/>
          <w:lang w:eastAsia="ja-JP"/>
        </w:rPr>
      </w:pPr>
      <w:r w:rsidRPr="00A07F29">
        <w:rPr>
          <w:rFonts w:eastAsiaTheme="majorEastAsia" w:cs="Times New Roman"/>
          <w:iCs/>
          <w:szCs w:val="24"/>
          <w:lang w:eastAsia="ja-JP"/>
        </w:rPr>
        <w:t xml:space="preserve">kultūrvēsturiskā </w:t>
      </w:r>
      <w:r w:rsidR="00C21D24" w:rsidRPr="00A07F29">
        <w:rPr>
          <w:rFonts w:eastAsiaTheme="majorEastAsia" w:cs="Times New Roman"/>
          <w:iCs/>
          <w:szCs w:val="24"/>
          <w:lang w:eastAsia="ja-JP"/>
        </w:rPr>
        <w:t>mantojuma saglabāšana, kopšana, iekļaušana tūrisma maršrutos;</w:t>
      </w:r>
    </w:p>
    <w:p w14:paraId="3277655C" w14:textId="5019F16C" w:rsidR="00C21D24" w:rsidRPr="00A07F29" w:rsidRDefault="00A600CF" w:rsidP="00F87589">
      <w:pPr>
        <w:pStyle w:val="ListParagraph"/>
        <w:numPr>
          <w:ilvl w:val="0"/>
          <w:numId w:val="28"/>
        </w:numPr>
        <w:spacing w:after="0" w:line="240" w:lineRule="auto"/>
        <w:contextualSpacing w:val="0"/>
        <w:rPr>
          <w:rFonts w:eastAsiaTheme="majorEastAsia" w:cs="Times New Roman"/>
          <w:iCs/>
          <w:szCs w:val="24"/>
          <w:lang w:eastAsia="ja-JP"/>
        </w:rPr>
      </w:pPr>
      <w:r w:rsidRPr="00A07F29">
        <w:rPr>
          <w:rFonts w:eastAsiaTheme="majorEastAsia" w:cs="Times New Roman"/>
          <w:iCs/>
          <w:szCs w:val="24"/>
          <w:lang w:eastAsia="ja-JP"/>
        </w:rPr>
        <w:t xml:space="preserve">reģionālās </w:t>
      </w:r>
      <w:r w:rsidR="00C21D24" w:rsidRPr="00A07F29">
        <w:rPr>
          <w:rFonts w:eastAsiaTheme="majorEastAsia" w:cs="Times New Roman"/>
          <w:iCs/>
          <w:szCs w:val="24"/>
          <w:lang w:eastAsia="ja-JP"/>
        </w:rPr>
        <w:t>identitātes stiprināšana;</w:t>
      </w:r>
    </w:p>
    <w:p w14:paraId="0E4FA25D" w14:textId="7F25D438" w:rsidR="00F85700" w:rsidRPr="00A07F29" w:rsidRDefault="00F85700" w:rsidP="00F87589">
      <w:pPr>
        <w:pStyle w:val="ListParagraph"/>
        <w:numPr>
          <w:ilvl w:val="0"/>
          <w:numId w:val="28"/>
        </w:numPr>
        <w:spacing w:after="0" w:line="240" w:lineRule="auto"/>
        <w:contextualSpacing w:val="0"/>
        <w:rPr>
          <w:rFonts w:eastAsiaTheme="majorEastAsia" w:cs="Times New Roman"/>
          <w:iCs/>
          <w:szCs w:val="24"/>
          <w:lang w:eastAsia="ja-JP"/>
        </w:rPr>
      </w:pPr>
      <w:r w:rsidRPr="00A07F29">
        <w:rPr>
          <w:rStyle w:val="normaltextrun"/>
        </w:rPr>
        <w:t>dabisko ainavas elementu saglabāšana un veidošana;</w:t>
      </w:r>
    </w:p>
    <w:p w14:paraId="10131041" w14:textId="454BB1AF" w:rsidR="00F85700" w:rsidRPr="00A07F29" w:rsidRDefault="00F85700" w:rsidP="00F87589">
      <w:pPr>
        <w:pStyle w:val="ListParagraph"/>
        <w:numPr>
          <w:ilvl w:val="0"/>
          <w:numId w:val="28"/>
        </w:numPr>
        <w:spacing w:after="0" w:line="240" w:lineRule="auto"/>
        <w:contextualSpacing w:val="0"/>
        <w:rPr>
          <w:rFonts w:eastAsiaTheme="majorEastAsia" w:cs="Times New Roman"/>
          <w:iCs/>
          <w:szCs w:val="24"/>
          <w:lang w:eastAsia="ja-JP"/>
        </w:rPr>
      </w:pPr>
      <w:r w:rsidRPr="00A07F29">
        <w:rPr>
          <w:rFonts w:eastAsiaTheme="majorEastAsia" w:cs="Times New Roman"/>
          <w:iCs/>
          <w:szCs w:val="24"/>
          <w:lang w:eastAsia="ja-JP"/>
        </w:rPr>
        <w:t xml:space="preserve">ainavu vizuālās kvalitātes uzturēšana </w:t>
      </w:r>
      <w:r w:rsidR="00C21D24" w:rsidRPr="00A07F29">
        <w:rPr>
          <w:rFonts w:eastAsiaTheme="majorEastAsia" w:cs="Times New Roman"/>
          <w:iCs/>
          <w:szCs w:val="24"/>
          <w:lang w:eastAsia="ja-JP"/>
        </w:rPr>
        <w:t>un veido</w:t>
      </w:r>
      <w:r w:rsidRPr="00A07F29">
        <w:rPr>
          <w:rFonts w:eastAsiaTheme="majorEastAsia" w:cs="Times New Roman"/>
          <w:iCs/>
          <w:szCs w:val="24"/>
          <w:lang w:eastAsia="ja-JP"/>
        </w:rPr>
        <w:t>šana;</w:t>
      </w:r>
    </w:p>
    <w:p w14:paraId="297856BC" w14:textId="4AA0C14C" w:rsidR="00C21D24" w:rsidRPr="00A07F29" w:rsidRDefault="00F85700" w:rsidP="00F87589">
      <w:pPr>
        <w:pStyle w:val="ListParagraph"/>
        <w:numPr>
          <w:ilvl w:val="0"/>
          <w:numId w:val="28"/>
        </w:numPr>
        <w:spacing w:line="240" w:lineRule="auto"/>
        <w:contextualSpacing w:val="0"/>
        <w:rPr>
          <w:rFonts w:eastAsiaTheme="majorEastAsia" w:cs="Times New Roman"/>
          <w:iCs/>
          <w:szCs w:val="24"/>
          <w:lang w:eastAsia="ja-JP"/>
        </w:rPr>
      </w:pPr>
      <w:r w:rsidRPr="00A07F29">
        <w:rPr>
          <w:rFonts w:eastAsiaTheme="majorEastAsia" w:cs="Times New Roman"/>
          <w:iCs/>
          <w:szCs w:val="24"/>
          <w:lang w:eastAsia="ja-JP"/>
        </w:rPr>
        <w:t>ainavu saglabāšana un attīstīšana rekreācijai un tūrismam.</w:t>
      </w:r>
    </w:p>
    <w:p w14:paraId="08A43BBF" w14:textId="65B84DC6" w:rsidR="00C21D24" w:rsidRPr="00A07F29" w:rsidRDefault="00C21D24" w:rsidP="00596DCD">
      <w:pPr>
        <w:spacing w:after="120" w:line="240" w:lineRule="auto"/>
        <w:ind w:firstLine="720"/>
        <w:rPr>
          <w:rFonts w:ascii="Times New Roman" w:eastAsiaTheme="majorEastAsia" w:hAnsi="Times New Roman" w:cs="Times New Roman"/>
          <w:iCs/>
          <w:sz w:val="24"/>
          <w:szCs w:val="24"/>
          <w:lang w:eastAsia="ja-JP"/>
        </w:rPr>
      </w:pPr>
      <w:r w:rsidRPr="00A07F29">
        <w:rPr>
          <w:rFonts w:ascii="Times New Roman" w:eastAsiaTheme="majorEastAsia" w:hAnsi="Times New Roman" w:cs="Times New Roman"/>
          <w:iCs/>
          <w:sz w:val="24"/>
          <w:szCs w:val="24"/>
          <w:lang w:eastAsia="ja-JP"/>
        </w:rPr>
        <w:t>Izvērstais ainavu struktūrplāns pievienots 4.2.</w:t>
      </w:r>
      <w:r w:rsidR="009349FF" w:rsidRPr="00A07F29">
        <w:rPr>
          <w:rFonts w:ascii="Times New Roman" w:eastAsiaTheme="majorEastAsia" w:hAnsi="Times New Roman" w:cs="Times New Roman"/>
          <w:iCs/>
          <w:sz w:val="24"/>
          <w:szCs w:val="24"/>
          <w:lang w:eastAsia="ja-JP"/>
        </w:rPr>
        <w:t> </w:t>
      </w:r>
      <w:r w:rsidRPr="00A07F29">
        <w:rPr>
          <w:rFonts w:ascii="Times New Roman" w:eastAsiaTheme="majorEastAsia" w:hAnsi="Times New Roman" w:cs="Times New Roman"/>
          <w:iCs/>
          <w:sz w:val="24"/>
          <w:szCs w:val="24"/>
          <w:lang w:eastAsia="ja-JP"/>
        </w:rPr>
        <w:t>pielikumā.</w:t>
      </w:r>
    </w:p>
    <w:p w14:paraId="579C471D" w14:textId="44628366" w:rsidR="002B1603" w:rsidRPr="00A07F29" w:rsidRDefault="002B1603" w:rsidP="00F319A0">
      <w:pPr>
        <w:pStyle w:val="Heading3"/>
        <w:spacing w:before="240" w:after="120" w:line="240" w:lineRule="auto"/>
        <w:jc w:val="center"/>
        <w:rPr>
          <w:b w:val="0"/>
          <w:lang w:eastAsia="ja-JP"/>
        </w:rPr>
      </w:pPr>
      <w:bookmarkStart w:id="49" w:name="_Toc183433997"/>
      <w:r w:rsidRPr="00A07F29">
        <w:rPr>
          <w:lang w:eastAsia="ja-JP"/>
        </w:rPr>
        <w:t>4.2.</w:t>
      </w:r>
      <w:r w:rsidR="00C21D24" w:rsidRPr="00A07F29">
        <w:rPr>
          <w:lang w:eastAsia="ja-JP"/>
        </w:rPr>
        <w:t>1</w:t>
      </w:r>
      <w:r w:rsidRPr="00A07F29">
        <w:rPr>
          <w:lang w:eastAsia="ja-JP"/>
        </w:rPr>
        <w:t>. Ainavu pārvaldības ieteikumi, teritorijas turpmākās attīstības un apsaimniekošanas priekšlikumi</w:t>
      </w:r>
      <w:bookmarkEnd w:id="49"/>
    </w:p>
    <w:p w14:paraId="116A575D" w14:textId="77777777" w:rsidR="00D3226A" w:rsidRPr="00A07F29" w:rsidRDefault="00D3226A" w:rsidP="00BB0A8E">
      <w:pPr>
        <w:spacing w:after="120" w:line="240" w:lineRule="auto"/>
        <w:ind w:firstLine="851"/>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Nav ieteicams veikt darbības, kas būtiski pārveido ainavu un tās elementus, izmaina kultūrvēsturiskās vides īpatnības un reģionam raksturīgos ainavu elementus vai samazina bioloģisko daudzveidību un ainavas ekoloģisko kvalitāti.</w:t>
      </w:r>
    </w:p>
    <w:p w14:paraId="37A65425" w14:textId="4DF3D12A" w:rsidR="00D3226A" w:rsidRPr="00A07F29" w:rsidRDefault="00D3226A" w:rsidP="00BB0A8E">
      <w:pPr>
        <w:spacing w:after="120" w:line="240" w:lineRule="auto"/>
        <w:ind w:firstLine="851"/>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 xml:space="preserve">Ainavu skatu vietām nepieciešama regulāra to uzturēšana, nav vēlama lauksaimniecībā izmantojamo zemju apmežošana, aizaudzēšana, nav pieļaujama plantāciju mežu ierīkošana, nav pieļaujams izvietot jaunus neatbilstošus objektus, piemēram, mobilo sakaru torņus vai graudu kaltes un derīgo izrakteņu ieguves teritorijas vietās, kas būtiski ietekmētu skatu vērsuma kvalitāti. Perspektīvā veicama skatu atvēršana uz Daugavas ieleju, uz </w:t>
      </w:r>
      <w:proofErr w:type="spellStart"/>
      <w:r w:rsidRPr="00A07F29">
        <w:rPr>
          <w:rFonts w:ascii="Times New Roman" w:eastAsia="Calibri" w:hAnsi="Times New Roman" w:cs="Calibri"/>
          <w:sz w:val="24"/>
          <w:lang w:eastAsia="ja-JP"/>
        </w:rPr>
        <w:t>Varnaviču</w:t>
      </w:r>
      <w:proofErr w:type="spellEnd"/>
      <w:r w:rsidRPr="00A07F29">
        <w:rPr>
          <w:rFonts w:ascii="Times New Roman" w:eastAsia="Calibri" w:hAnsi="Times New Roman" w:cs="Calibri"/>
          <w:sz w:val="24"/>
          <w:lang w:eastAsia="ja-JP"/>
        </w:rPr>
        <w:t xml:space="preserve"> ezeru.</w:t>
      </w:r>
    </w:p>
    <w:p w14:paraId="02F6D341" w14:textId="77777777" w:rsidR="00D3226A" w:rsidRPr="00A07F29" w:rsidRDefault="00D3226A" w:rsidP="00BB0A8E">
      <w:pPr>
        <w:spacing w:after="120" w:line="240" w:lineRule="auto"/>
        <w:ind w:firstLine="851"/>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lastRenderedPageBreak/>
        <w:t>Nepieciešams uzturēt tehniski labā stāvoklī esošos skatu torņus, rūpējoties arī par esošo labiekārtojuma kvalitāti, un izbūvēt trūkstošos objektus (automašīnu stāvlaukumus, labierīcības, informatīvās zīmes utt.).</w:t>
      </w:r>
    </w:p>
    <w:p w14:paraId="521326D9" w14:textId="7EC0180F" w:rsidR="00D3226A" w:rsidRPr="00A07F29" w:rsidRDefault="00D3226A" w:rsidP="00BB0A8E">
      <w:pPr>
        <w:spacing w:after="120" w:line="240" w:lineRule="auto"/>
        <w:ind w:firstLine="851"/>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Nepieciešama ainavisko ceļu posmu uzturēšana, kas paredz regulāru ceļmalu pļaušanu un krūmu ciršanu atklātu ainavu skatu nodrošināšanai, saglabājot alejas un koku rindas</w:t>
      </w:r>
      <w:r w:rsidR="00BB0A8E" w:rsidRPr="00A07F29">
        <w:rPr>
          <w:rFonts w:ascii="Times New Roman" w:eastAsia="Calibri" w:hAnsi="Times New Roman" w:cs="Calibri"/>
          <w:sz w:val="24"/>
          <w:lang w:eastAsia="ja-JP"/>
        </w:rPr>
        <w:t>, kā arī c</w:t>
      </w:r>
      <w:r w:rsidR="00732CC9" w:rsidRPr="00A07F29">
        <w:rPr>
          <w:rFonts w:ascii="Times New Roman" w:eastAsia="Calibri" w:hAnsi="Times New Roman" w:cs="Calibri"/>
          <w:sz w:val="24"/>
          <w:lang w:eastAsia="ja-JP"/>
        </w:rPr>
        <w:t xml:space="preserve">eļa seguma atjaunošana. Pie ceļu pārbūves </w:t>
      </w:r>
      <w:r w:rsidRPr="00A07F29">
        <w:rPr>
          <w:rFonts w:ascii="Times New Roman" w:eastAsia="Calibri" w:hAnsi="Times New Roman" w:cs="Calibri"/>
          <w:sz w:val="24"/>
          <w:lang w:eastAsia="ja-JP"/>
        </w:rPr>
        <w:t xml:space="preserve">nedrīkst pieļaut reljefa pārveidošanu un mainīt ainavisko ceļu trases novietojumu. </w:t>
      </w:r>
      <w:bookmarkStart w:id="50" w:name="_Hlk66107338"/>
      <w:r w:rsidRPr="00A07F29">
        <w:rPr>
          <w:rFonts w:ascii="Times New Roman" w:eastAsia="Calibri" w:hAnsi="Times New Roman" w:cs="Calibri"/>
          <w:sz w:val="24"/>
          <w:lang w:eastAsia="ja-JP"/>
        </w:rPr>
        <w:t xml:space="preserve">Mežaudzēs esošie ainaviskie ceļi jāapsaimnieko, neveidojot kailcirtes vai saglabājot meža joslas buferzonu. </w:t>
      </w:r>
      <w:bookmarkEnd w:id="50"/>
    </w:p>
    <w:p w14:paraId="43C6428D" w14:textId="77777777" w:rsidR="00D3226A" w:rsidRPr="00A07F29" w:rsidRDefault="00D3226A" w:rsidP="00BB0A8E">
      <w:pPr>
        <w:spacing w:after="120" w:line="240" w:lineRule="auto"/>
        <w:ind w:firstLine="851"/>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 xml:space="preserve">Nepieciešama ainavu un vidi degradējošu objektu rekultivācija, negatīvās ietekmes mazināšana – derīgo izrakteņu ieguves teritorijām izstrādājami rekultivācijas projekti un jāseko to izpildei, jāveic piesārņoto un potenciāli piesārņoto vietu </w:t>
      </w:r>
      <w:proofErr w:type="spellStart"/>
      <w:r w:rsidRPr="00A07F29">
        <w:rPr>
          <w:rFonts w:ascii="Times New Roman" w:eastAsia="Calibri" w:hAnsi="Times New Roman" w:cs="Calibri"/>
          <w:sz w:val="24"/>
          <w:lang w:eastAsia="ja-JP"/>
        </w:rPr>
        <w:t>rekultivēšana</w:t>
      </w:r>
      <w:proofErr w:type="spellEnd"/>
      <w:r w:rsidRPr="00A07F29">
        <w:rPr>
          <w:rFonts w:ascii="Times New Roman" w:eastAsia="Calibri" w:hAnsi="Times New Roman" w:cs="Calibri"/>
          <w:sz w:val="24"/>
          <w:lang w:eastAsia="ja-JP"/>
        </w:rPr>
        <w:t xml:space="preserve">, bijušo fermu graustu nojaukšana vai sakopšana. </w:t>
      </w:r>
    </w:p>
    <w:p w14:paraId="27F40566" w14:textId="77777777" w:rsidR="00D3226A" w:rsidRPr="00A07F29" w:rsidRDefault="00D3226A" w:rsidP="00BB0A8E">
      <w:pPr>
        <w:spacing w:after="120" w:line="240" w:lineRule="auto"/>
        <w:ind w:firstLine="851"/>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 xml:space="preserve">Likums “Par zemes dzīlēm” nosaka zemes dzīļu izmantotāju pienākumu </w:t>
      </w:r>
      <w:proofErr w:type="spellStart"/>
      <w:r w:rsidRPr="00A07F29">
        <w:rPr>
          <w:rFonts w:ascii="Times New Roman" w:eastAsia="Calibri" w:hAnsi="Times New Roman" w:cs="Calibri"/>
          <w:sz w:val="24"/>
          <w:lang w:eastAsia="ja-JP"/>
        </w:rPr>
        <w:t>rekultivēt</w:t>
      </w:r>
      <w:proofErr w:type="spellEnd"/>
      <w:r w:rsidRPr="00A07F29">
        <w:rPr>
          <w:rFonts w:ascii="Times New Roman" w:eastAsia="Calibri" w:hAnsi="Times New Roman" w:cs="Calibri"/>
          <w:sz w:val="24"/>
          <w:lang w:eastAsia="ja-JP"/>
        </w:rPr>
        <w:t xml:space="preserve"> zemes dzīļu izmantošanas rezultātā radušos zemes gabala bojājumus atļaujā vai licencē norādītajā termiņā. Rekultivācija atkarīga no pazemes ūdens līmeņa. </w:t>
      </w:r>
      <w:proofErr w:type="spellStart"/>
      <w:r w:rsidRPr="00A07F29">
        <w:rPr>
          <w:rFonts w:ascii="Times New Roman" w:eastAsia="Calibri" w:hAnsi="Times New Roman" w:cs="Calibri"/>
          <w:sz w:val="24"/>
          <w:lang w:eastAsia="ja-JP"/>
        </w:rPr>
        <w:t>Rekultivējot</w:t>
      </w:r>
      <w:proofErr w:type="spellEnd"/>
      <w:r w:rsidRPr="00A07F29">
        <w:rPr>
          <w:rFonts w:ascii="Times New Roman" w:eastAsia="Calibri" w:hAnsi="Times New Roman" w:cs="Calibri"/>
          <w:sz w:val="24"/>
          <w:lang w:eastAsia="ja-JP"/>
        </w:rPr>
        <w:t xml:space="preserve"> </w:t>
      </w:r>
      <w:proofErr w:type="spellStart"/>
      <w:r w:rsidRPr="00A07F29">
        <w:rPr>
          <w:rFonts w:ascii="Times New Roman" w:eastAsia="Calibri" w:hAnsi="Times New Roman" w:cs="Calibri"/>
          <w:sz w:val="24"/>
          <w:lang w:eastAsia="ja-JP"/>
        </w:rPr>
        <w:t>Elernes</w:t>
      </w:r>
      <w:proofErr w:type="spellEnd"/>
      <w:r w:rsidRPr="00A07F29">
        <w:rPr>
          <w:rFonts w:ascii="Times New Roman" w:eastAsia="Calibri" w:hAnsi="Times New Roman" w:cs="Calibri"/>
          <w:sz w:val="24"/>
          <w:lang w:eastAsia="ja-JP"/>
        </w:rPr>
        <w:t xml:space="preserve"> karjerus, ņemot vērā Daugavpils tuvumu, derīgo izrakteņu ieguves teritoriju iespējams attīstīt kā aktīvās atpūtas teritoriju.</w:t>
      </w:r>
    </w:p>
    <w:p w14:paraId="577FDC4A" w14:textId="53400C0E" w:rsidR="00D3226A" w:rsidRPr="00A07F29" w:rsidRDefault="00D3226A" w:rsidP="00BB0A8E">
      <w:pPr>
        <w:spacing w:after="120" w:line="240" w:lineRule="auto"/>
        <w:ind w:firstLine="851"/>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 xml:space="preserve">Jāsekmē iedzīvotāju pieteikšanās </w:t>
      </w:r>
      <w:r w:rsidR="00940B0D">
        <w:rPr>
          <w:rFonts w:ascii="Times New Roman" w:eastAsia="Calibri" w:hAnsi="Times New Roman" w:cs="Calibri"/>
          <w:sz w:val="24"/>
          <w:lang w:eastAsia="ja-JP"/>
        </w:rPr>
        <w:t>BVZ</w:t>
      </w:r>
      <w:r w:rsidRPr="00A07F29">
        <w:rPr>
          <w:rFonts w:ascii="Times New Roman" w:eastAsia="Calibri" w:hAnsi="Times New Roman" w:cs="Calibri"/>
          <w:sz w:val="24"/>
          <w:lang w:eastAsia="ja-JP"/>
        </w:rPr>
        <w:t xml:space="preserve"> apsaimniekošanai.</w:t>
      </w:r>
    </w:p>
    <w:p w14:paraId="5F32F299" w14:textId="77777777" w:rsidR="00D3226A" w:rsidRPr="00A07F29" w:rsidRDefault="00D3226A" w:rsidP="00BB0A8E">
      <w:pPr>
        <w:spacing w:after="0" w:line="240" w:lineRule="auto"/>
        <w:ind w:firstLine="851"/>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Vizuāli vērtīgajās ainavās jākontrolē būvniecības procesi un teritorijas plānojumā jāiestrādā papildus nosacījumi jaunas apbūves veidošanai. Šajās teritorijās jauna apbūve primāri nav aizliedzama, bet pieļaujama, iepriekš rūpīgi izvērtējot tās arhitektonisko veidolu un pēc atbilstošiem nosacījumiem:</w:t>
      </w:r>
    </w:p>
    <w:p w14:paraId="4091D11E" w14:textId="5F11FF8E" w:rsidR="00D3226A" w:rsidRPr="00A07F29" w:rsidRDefault="00D3226A" w:rsidP="00F87589">
      <w:pPr>
        <w:numPr>
          <w:ilvl w:val="0"/>
          <w:numId w:val="45"/>
        </w:numPr>
        <w:spacing w:after="120" w:line="240" w:lineRule="auto"/>
        <w:contextualSpacing/>
        <w:jc w:val="both"/>
        <w:rPr>
          <w:rFonts w:ascii="Times New Roman" w:eastAsia="Calibri" w:hAnsi="Times New Roman" w:cs="Calibri"/>
          <w:sz w:val="24"/>
          <w:lang w:eastAsia="ja-JP"/>
        </w:rPr>
      </w:pPr>
      <w:bookmarkStart w:id="51" w:name="_Hlk66140399"/>
      <w:r w:rsidRPr="00A07F29">
        <w:rPr>
          <w:rFonts w:ascii="Times New Roman" w:eastAsia="Calibri" w:hAnsi="Times New Roman" w:cs="Calibri"/>
          <w:sz w:val="24"/>
          <w:lang w:eastAsia="ja-JP"/>
        </w:rPr>
        <w:t>maksimālais apbūves augstums 8</w:t>
      </w:r>
      <w:r w:rsidR="005146F1" w:rsidRPr="00A07F29">
        <w:rPr>
          <w:rFonts w:ascii="Times New Roman" w:eastAsia="Calibri" w:hAnsi="Times New Roman" w:cs="Calibri"/>
          <w:sz w:val="24"/>
          <w:lang w:eastAsia="ja-JP"/>
        </w:rPr>
        <w:t> </w:t>
      </w:r>
      <w:r w:rsidRPr="00A07F29">
        <w:rPr>
          <w:rFonts w:ascii="Times New Roman" w:eastAsia="Calibri" w:hAnsi="Times New Roman" w:cs="Calibri"/>
          <w:sz w:val="24"/>
          <w:lang w:eastAsia="ja-JP"/>
        </w:rPr>
        <w:t>m;</w:t>
      </w:r>
    </w:p>
    <w:p w14:paraId="35103734" w14:textId="77777777" w:rsidR="00D3226A" w:rsidRPr="00A07F29" w:rsidRDefault="00D3226A" w:rsidP="00F87589">
      <w:pPr>
        <w:numPr>
          <w:ilvl w:val="0"/>
          <w:numId w:val="45"/>
        </w:numPr>
        <w:spacing w:after="120" w:line="240" w:lineRule="auto"/>
        <w:contextualSpacing/>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maksimālais stāvu skaits 2 (viens stāvs un mansarda stāvs);</w:t>
      </w:r>
    </w:p>
    <w:p w14:paraId="4A228E6C" w14:textId="77777777" w:rsidR="00D3226A" w:rsidRPr="00A07F29" w:rsidRDefault="00D3226A" w:rsidP="00F87589">
      <w:pPr>
        <w:numPr>
          <w:ilvl w:val="0"/>
          <w:numId w:val="45"/>
        </w:numPr>
        <w:spacing w:after="120" w:line="240" w:lineRule="auto"/>
        <w:ind w:left="1570" w:hanging="357"/>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ēku fasādes un jumtu krāsojumā izmantot dabīgos toņus.</w:t>
      </w:r>
    </w:p>
    <w:bookmarkEnd w:id="51"/>
    <w:p w14:paraId="2ABE987B" w14:textId="77777777" w:rsidR="00D3226A" w:rsidRPr="00A07F29" w:rsidRDefault="00D3226A" w:rsidP="00BB0A8E">
      <w:pPr>
        <w:spacing w:after="120" w:line="240" w:lineRule="auto"/>
        <w:ind w:firstLine="851"/>
        <w:jc w:val="both"/>
        <w:rPr>
          <w:rFonts w:ascii="Times New Roman" w:hAnsi="Times New Roman" w:cs="Times New Roman"/>
          <w:sz w:val="24"/>
          <w:szCs w:val="24"/>
          <w:lang w:eastAsia="ja-JP"/>
        </w:rPr>
      </w:pPr>
      <w:r w:rsidRPr="00A07F29">
        <w:rPr>
          <w:rFonts w:ascii="Times New Roman" w:hAnsi="Times New Roman" w:cs="Times New Roman"/>
          <w:sz w:val="24"/>
          <w:szCs w:val="24"/>
          <w:lang w:eastAsia="ja-JP"/>
        </w:rPr>
        <w:t xml:space="preserve">Ārpus ainaviski nozīmīgām teritorijām nosakāma brīvāka apbūves forma, taču vēlams saglabāt apvidus raksturīgās iezīmes: </w:t>
      </w:r>
      <w:bookmarkStart w:id="52" w:name="_Hlk66140316"/>
      <w:proofErr w:type="spellStart"/>
      <w:r w:rsidRPr="00A07F29">
        <w:rPr>
          <w:rFonts w:ascii="Times New Roman" w:hAnsi="Times New Roman" w:cs="Times New Roman"/>
          <w:sz w:val="24"/>
          <w:szCs w:val="24"/>
          <w:lang w:eastAsia="ja-JP"/>
        </w:rPr>
        <w:t>vienstāvu</w:t>
      </w:r>
      <w:proofErr w:type="spellEnd"/>
      <w:r w:rsidRPr="00A07F29">
        <w:rPr>
          <w:rFonts w:ascii="Times New Roman" w:hAnsi="Times New Roman" w:cs="Times New Roman"/>
          <w:sz w:val="24"/>
          <w:szCs w:val="24"/>
          <w:lang w:eastAsia="ja-JP"/>
        </w:rPr>
        <w:t xml:space="preserve">, divstāvu apbūve; </w:t>
      </w:r>
      <w:proofErr w:type="spellStart"/>
      <w:r w:rsidRPr="00A07F29">
        <w:rPr>
          <w:rFonts w:ascii="Times New Roman" w:hAnsi="Times New Roman" w:cs="Times New Roman"/>
          <w:sz w:val="24"/>
          <w:szCs w:val="24"/>
          <w:lang w:eastAsia="ja-JP"/>
        </w:rPr>
        <w:t>dīvslīpju</w:t>
      </w:r>
      <w:proofErr w:type="spellEnd"/>
      <w:r w:rsidRPr="00A07F29">
        <w:rPr>
          <w:rFonts w:ascii="Times New Roman" w:hAnsi="Times New Roman" w:cs="Times New Roman"/>
          <w:sz w:val="24"/>
          <w:szCs w:val="24"/>
          <w:lang w:eastAsia="ja-JP"/>
        </w:rPr>
        <w:t xml:space="preserve"> jumti (30</w:t>
      </w:r>
      <w:r w:rsidRPr="00A07F29">
        <w:rPr>
          <w:rFonts w:ascii="Times New Roman" w:hAnsi="Times New Roman" w:cs="Times New Roman"/>
          <w:sz w:val="24"/>
          <w:szCs w:val="24"/>
          <w:vertAlign w:val="superscript"/>
          <w:lang w:eastAsia="ja-JP"/>
        </w:rPr>
        <w:t>0</w:t>
      </w:r>
      <w:r w:rsidRPr="00A07F29">
        <w:rPr>
          <w:rFonts w:ascii="Times New Roman" w:hAnsi="Times New Roman" w:cs="Times New Roman"/>
          <w:sz w:val="24"/>
          <w:szCs w:val="24"/>
          <w:lang w:eastAsia="ja-JP"/>
        </w:rPr>
        <w:t>-45</w:t>
      </w:r>
      <w:r w:rsidRPr="00A07F29">
        <w:rPr>
          <w:rFonts w:ascii="Times New Roman" w:hAnsi="Times New Roman" w:cs="Times New Roman"/>
          <w:sz w:val="24"/>
          <w:szCs w:val="24"/>
          <w:vertAlign w:val="superscript"/>
          <w:lang w:eastAsia="ja-JP"/>
        </w:rPr>
        <w:t>0</w:t>
      </w:r>
      <w:r w:rsidRPr="00A07F29">
        <w:rPr>
          <w:rFonts w:ascii="Times New Roman" w:hAnsi="Times New Roman" w:cs="Times New Roman"/>
          <w:sz w:val="24"/>
          <w:szCs w:val="24"/>
          <w:lang w:eastAsia="ja-JP"/>
        </w:rPr>
        <w:t xml:space="preserve">); ēku, jumtu krāsojumam ieteicami dabīgie toņi (ne spilgtie); koka apbūves fasādes izgreznot ar koka dekoratīviem </w:t>
      </w:r>
      <w:proofErr w:type="spellStart"/>
      <w:r w:rsidRPr="00A07F29">
        <w:rPr>
          <w:rFonts w:ascii="Times New Roman" w:hAnsi="Times New Roman" w:cs="Times New Roman"/>
          <w:sz w:val="24"/>
          <w:szCs w:val="24"/>
          <w:lang w:eastAsia="ja-JP"/>
        </w:rPr>
        <w:t>elementemiem</w:t>
      </w:r>
      <w:proofErr w:type="spellEnd"/>
      <w:r w:rsidRPr="00A07F29">
        <w:rPr>
          <w:rFonts w:ascii="Times New Roman" w:hAnsi="Times New Roman" w:cs="Times New Roman"/>
          <w:sz w:val="24"/>
          <w:szCs w:val="24"/>
          <w:lang w:eastAsia="ja-JP"/>
        </w:rPr>
        <w:t>.</w:t>
      </w:r>
      <w:bookmarkEnd w:id="52"/>
    </w:p>
    <w:p w14:paraId="6CEC78F4" w14:textId="77777777" w:rsidR="00D3226A" w:rsidRPr="00A07F29" w:rsidRDefault="00D3226A" w:rsidP="00BB0A8E">
      <w:pPr>
        <w:spacing w:after="120" w:line="240" w:lineRule="auto"/>
        <w:ind w:firstLine="851"/>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Apbūves teritorijās upju un ezeru aizsargjoslās stingri jākontrolē notekūdeņu attīrīšana un novadīšana.</w:t>
      </w:r>
    </w:p>
    <w:p w14:paraId="46E9136A" w14:textId="779DC93E" w:rsidR="00D3226A" w:rsidRPr="00A07F29" w:rsidRDefault="00D3226A" w:rsidP="00BB0A8E">
      <w:pPr>
        <w:keepNext/>
        <w:spacing w:after="0" w:line="240" w:lineRule="auto"/>
        <w:ind w:firstLine="851"/>
        <w:jc w:val="both"/>
        <w:rPr>
          <w:rFonts w:ascii="Times New Roman" w:eastAsia="Calibri" w:hAnsi="Times New Roman" w:cs="Calibri"/>
          <w:sz w:val="24"/>
          <w:szCs w:val="24"/>
          <w:lang w:eastAsia="ja-JP"/>
        </w:rPr>
      </w:pPr>
      <w:r w:rsidRPr="00A07F29">
        <w:rPr>
          <w:rFonts w:ascii="Times New Roman" w:eastAsia="Calibri" w:hAnsi="Times New Roman" w:cs="Calibri"/>
          <w:sz w:val="24"/>
          <w:szCs w:val="24"/>
          <w:lang w:eastAsia="ja-JP"/>
        </w:rPr>
        <w:t>Vizuāli vērtīgajās ainavās, kas attēlotas 4.3.</w:t>
      </w:r>
      <w:r w:rsidR="00673887" w:rsidRPr="00A07F29">
        <w:rPr>
          <w:rFonts w:ascii="Times New Roman" w:eastAsia="Calibri" w:hAnsi="Times New Roman" w:cs="Calibri"/>
          <w:sz w:val="24"/>
          <w:szCs w:val="24"/>
          <w:lang w:eastAsia="ja-JP"/>
        </w:rPr>
        <w:t> </w:t>
      </w:r>
      <w:r w:rsidRPr="00A07F29">
        <w:rPr>
          <w:rFonts w:ascii="Times New Roman" w:eastAsia="Calibri" w:hAnsi="Times New Roman" w:cs="Calibri"/>
          <w:sz w:val="24"/>
          <w:szCs w:val="24"/>
          <w:lang w:eastAsia="ja-JP"/>
        </w:rPr>
        <w:t xml:space="preserve">pielikumā nav pieļaujama: </w:t>
      </w:r>
    </w:p>
    <w:p w14:paraId="769A9D33" w14:textId="77777777" w:rsidR="00D3226A" w:rsidRPr="00A07F29" w:rsidRDefault="00D3226A" w:rsidP="00F87589">
      <w:pPr>
        <w:numPr>
          <w:ilvl w:val="0"/>
          <w:numId w:val="40"/>
        </w:numPr>
        <w:spacing w:after="120" w:line="240" w:lineRule="auto"/>
        <w:contextualSpacing/>
        <w:jc w:val="both"/>
        <w:rPr>
          <w:rFonts w:ascii="Times New Roman" w:eastAsia="Calibri" w:hAnsi="Times New Roman" w:cs="Calibri"/>
          <w:sz w:val="24"/>
          <w:szCs w:val="24"/>
          <w:lang w:eastAsia="ja-JP"/>
        </w:rPr>
      </w:pPr>
      <w:r w:rsidRPr="00A07F29">
        <w:rPr>
          <w:rFonts w:ascii="Times New Roman" w:eastAsia="Calibri" w:hAnsi="Times New Roman" w:cs="Calibri"/>
          <w:sz w:val="24"/>
          <w:szCs w:val="24"/>
          <w:lang w:eastAsia="ja-JP"/>
        </w:rPr>
        <w:t>lauksaimniecības zemju, pļavu apmežošana;</w:t>
      </w:r>
    </w:p>
    <w:p w14:paraId="248DA99C" w14:textId="77777777" w:rsidR="00D3226A" w:rsidRPr="00A07F29" w:rsidRDefault="00D3226A" w:rsidP="00F87589">
      <w:pPr>
        <w:numPr>
          <w:ilvl w:val="0"/>
          <w:numId w:val="40"/>
        </w:numPr>
        <w:spacing w:after="120" w:line="240" w:lineRule="auto"/>
        <w:contextualSpacing/>
        <w:jc w:val="both"/>
        <w:rPr>
          <w:rFonts w:ascii="Times New Roman" w:eastAsia="Calibri" w:hAnsi="Times New Roman" w:cs="Calibri"/>
          <w:sz w:val="24"/>
          <w:szCs w:val="24"/>
          <w:lang w:eastAsia="ja-JP"/>
        </w:rPr>
      </w:pPr>
      <w:r w:rsidRPr="00A07F29">
        <w:rPr>
          <w:rFonts w:ascii="Times New Roman" w:eastAsia="Calibri" w:hAnsi="Times New Roman" w:cs="Calibri"/>
          <w:sz w:val="24"/>
          <w:szCs w:val="24"/>
          <w:lang w:eastAsia="ja-JP"/>
        </w:rPr>
        <w:t>plantāciju mežu ierīkošana;</w:t>
      </w:r>
    </w:p>
    <w:p w14:paraId="69B097B7" w14:textId="77777777" w:rsidR="00D3226A" w:rsidRPr="00A07F29" w:rsidRDefault="00D3226A" w:rsidP="00F87589">
      <w:pPr>
        <w:numPr>
          <w:ilvl w:val="0"/>
          <w:numId w:val="40"/>
        </w:numPr>
        <w:spacing w:after="120" w:line="240" w:lineRule="auto"/>
        <w:contextualSpacing/>
        <w:jc w:val="both"/>
        <w:rPr>
          <w:rFonts w:ascii="Times New Roman" w:eastAsia="Calibri" w:hAnsi="Times New Roman" w:cs="Calibri"/>
          <w:sz w:val="24"/>
          <w:szCs w:val="24"/>
          <w:lang w:eastAsia="ja-JP"/>
        </w:rPr>
      </w:pPr>
      <w:r w:rsidRPr="00A07F29">
        <w:rPr>
          <w:rFonts w:ascii="Times New Roman" w:eastAsia="Calibri" w:hAnsi="Times New Roman" w:cs="Calibri"/>
          <w:sz w:val="24"/>
          <w:szCs w:val="24"/>
          <w:lang w:eastAsia="ja-JP"/>
        </w:rPr>
        <w:t>derīgo izrakteņu ieguve un derīgo izrakteņu krātuves izveide;</w:t>
      </w:r>
    </w:p>
    <w:p w14:paraId="36B943B6" w14:textId="77777777" w:rsidR="00D3226A" w:rsidRPr="00A07F29" w:rsidRDefault="00D3226A" w:rsidP="00F87589">
      <w:pPr>
        <w:numPr>
          <w:ilvl w:val="0"/>
          <w:numId w:val="40"/>
        </w:numPr>
        <w:spacing w:after="120" w:line="240" w:lineRule="auto"/>
        <w:contextualSpacing/>
        <w:jc w:val="both"/>
        <w:rPr>
          <w:rFonts w:ascii="Times New Roman" w:eastAsia="Calibri" w:hAnsi="Times New Roman" w:cs="Calibri"/>
          <w:sz w:val="24"/>
          <w:szCs w:val="24"/>
          <w:lang w:eastAsia="ja-JP"/>
        </w:rPr>
      </w:pPr>
      <w:r w:rsidRPr="00A07F29">
        <w:rPr>
          <w:rFonts w:ascii="Times New Roman" w:eastAsia="Calibri" w:hAnsi="Times New Roman" w:cs="Calibri"/>
          <w:sz w:val="24"/>
          <w:szCs w:val="24"/>
          <w:lang w:eastAsia="ja-JP"/>
        </w:rPr>
        <w:t>jumtu klājumā izmantot spilgtas krāsas (zilu, sarkanu, oranžu, zaļu utt.);</w:t>
      </w:r>
    </w:p>
    <w:p w14:paraId="7C677D19" w14:textId="77777777" w:rsidR="00D3226A" w:rsidRPr="00A07F29" w:rsidRDefault="00D3226A" w:rsidP="00F87589">
      <w:pPr>
        <w:numPr>
          <w:ilvl w:val="0"/>
          <w:numId w:val="40"/>
        </w:numPr>
        <w:spacing w:after="120" w:line="240" w:lineRule="auto"/>
        <w:contextualSpacing/>
        <w:jc w:val="both"/>
        <w:rPr>
          <w:rFonts w:ascii="Times New Roman" w:eastAsia="Calibri" w:hAnsi="Times New Roman" w:cs="Calibri"/>
          <w:sz w:val="24"/>
          <w:szCs w:val="24"/>
          <w:lang w:eastAsia="ja-JP"/>
        </w:rPr>
      </w:pPr>
      <w:r w:rsidRPr="00A07F29">
        <w:rPr>
          <w:rFonts w:ascii="Times New Roman" w:eastAsia="Calibri" w:hAnsi="Times New Roman" w:cs="Calibri"/>
          <w:sz w:val="24"/>
          <w:szCs w:val="24"/>
          <w:lang w:eastAsia="ja-JP"/>
        </w:rPr>
        <w:t>vertikālo elementu būvniecība (mobilo sakaru torņi, graudu kaltes utt.).</w:t>
      </w:r>
    </w:p>
    <w:p w14:paraId="1CB6CAB6" w14:textId="11127DC7" w:rsidR="002B1603" w:rsidRPr="00A07F29" w:rsidRDefault="00511AA1" w:rsidP="00596DCD">
      <w:pPr>
        <w:pStyle w:val="Heading3"/>
        <w:spacing w:before="240" w:after="120" w:line="240" w:lineRule="auto"/>
        <w:jc w:val="center"/>
        <w:rPr>
          <w:b w:val="0"/>
          <w:lang w:eastAsia="ja-JP"/>
        </w:rPr>
      </w:pPr>
      <w:bookmarkStart w:id="53" w:name="_Toc183433998"/>
      <w:r w:rsidRPr="00A07F29">
        <w:rPr>
          <w:lang w:eastAsia="ja-JP"/>
        </w:rPr>
        <w:t xml:space="preserve">4.2.2. </w:t>
      </w:r>
      <w:r w:rsidR="002B1603" w:rsidRPr="00A07F29">
        <w:rPr>
          <w:lang w:eastAsia="ja-JP"/>
        </w:rPr>
        <w:t>Priekšlikumi kultūrvēsturiskā mantojuma saglabāšanai un izmantošanai</w:t>
      </w:r>
      <w:bookmarkEnd w:id="53"/>
    </w:p>
    <w:p w14:paraId="7B3E3FC8" w14:textId="77777777" w:rsidR="002C3E29" w:rsidRPr="00A07F29" w:rsidRDefault="002C3E29" w:rsidP="00596DCD">
      <w:pPr>
        <w:spacing w:after="120" w:line="240" w:lineRule="auto"/>
        <w:ind w:firstLine="851"/>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 xml:space="preserve">Valsts aizsargājamo kultūras pieminekļu teritorijā aizsardzības zonas uzturēšana un kopšana veicama, neradot apdraudējumu kultūras piemineklim. Veicot būvniecību, zemes vienību </w:t>
      </w:r>
      <w:r w:rsidRPr="00A07F29">
        <w:rPr>
          <w:rFonts w:ascii="Times New Roman" w:eastAsia="Calibri" w:hAnsi="Times New Roman" w:cs="Calibri"/>
          <w:sz w:val="24"/>
          <w:lang w:eastAsia="ja-JP"/>
        </w:rPr>
        <w:lastRenderedPageBreak/>
        <w:t xml:space="preserve">robežu pārkārtošanu kultūras pieminekļu aizsardzības zonas teritorijā nepieciešams Nacionālās kultūras mantojuma pārvaldes saskaņojums. </w:t>
      </w:r>
    </w:p>
    <w:p w14:paraId="1E21D5CB" w14:textId="77777777" w:rsidR="002C3E29" w:rsidRPr="00A07F29" w:rsidRDefault="002C3E29" w:rsidP="00596DCD">
      <w:pPr>
        <w:spacing w:after="120" w:line="240" w:lineRule="auto"/>
        <w:ind w:firstLine="851"/>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Kultūras pieminekļu apkārtnē jāsaglabā kultūrainava ar lauku ainavas raksturu, respektējot tās saglabājamās vērtības, kur kultūras pieminekļi ir dominante.</w:t>
      </w:r>
    </w:p>
    <w:p w14:paraId="13138339" w14:textId="77777777" w:rsidR="002C3E29" w:rsidRPr="00A07F29" w:rsidRDefault="002C3E29" w:rsidP="00596DCD">
      <w:pPr>
        <w:spacing w:after="120" w:line="240" w:lineRule="auto"/>
        <w:ind w:firstLine="851"/>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Pieļaujama jaunu ēku/būvju būvniecība vai esošo ēku/būvju pārbūve vai atjaunošana, kas ar savu apjomu, arhitektonisko risinājumu, augstumu, materiālu lietojumu un tonalitāti nerada vizuālās uztveres traucējumu kultūras pieminekļiem un to tradicionālai ainavai.</w:t>
      </w:r>
    </w:p>
    <w:p w14:paraId="6E9DD734" w14:textId="05E7E1D2" w:rsidR="002C3E29" w:rsidRPr="00A07F29" w:rsidRDefault="002C3E29" w:rsidP="00596DCD">
      <w:pPr>
        <w:spacing w:after="120" w:line="240" w:lineRule="auto"/>
        <w:ind w:firstLine="851"/>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Arheoloģijas pieminekļu aizsardzības zonas teritorijā nav pieļaujama esošā reljefa būtiska pārveidošana</w:t>
      </w:r>
      <w:r w:rsidR="00D436E3" w:rsidRPr="00A07F29">
        <w:rPr>
          <w:rFonts w:ascii="Times New Roman" w:eastAsia="Calibri" w:hAnsi="Times New Roman" w:cs="Calibri"/>
          <w:sz w:val="24"/>
          <w:lang w:eastAsia="ja-JP"/>
        </w:rPr>
        <w:t>, jo</w:t>
      </w:r>
      <w:r w:rsidR="00173DFF" w:rsidRPr="00A07F29">
        <w:rPr>
          <w:rFonts w:ascii="Times New Roman" w:eastAsia="Calibri" w:hAnsi="Times New Roman" w:cs="Calibri"/>
          <w:sz w:val="24"/>
          <w:lang w:eastAsia="ja-JP"/>
        </w:rPr>
        <w:t xml:space="preserve"> </w:t>
      </w:r>
      <w:r w:rsidRPr="00A07F29">
        <w:rPr>
          <w:rFonts w:ascii="Times New Roman" w:eastAsia="Calibri" w:hAnsi="Times New Roman" w:cs="Calibri"/>
          <w:sz w:val="24"/>
          <w:lang w:eastAsia="ja-JP"/>
        </w:rPr>
        <w:t>veicot ar zemes reljefa pārveidojumiem saistītas darbības, var atklāties jaunas arheoloģiskas liecības, tādā gadījumā darbi jāpārtrauc un jāziņo Nacionālās kultūras mantojuma pārvaldei.</w:t>
      </w:r>
    </w:p>
    <w:p w14:paraId="24C5E7DA" w14:textId="46EAF50C" w:rsidR="00596DCD" w:rsidRPr="00A07F29" w:rsidRDefault="002C3E29" w:rsidP="00596DCD">
      <w:pPr>
        <w:spacing w:after="120" w:line="240" w:lineRule="auto"/>
        <w:ind w:firstLine="851"/>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 xml:space="preserve">Pie arheoloģijas un arhitektūras pieminekļiem, ko var iekļaut tūrisma apritē, nepieciešams izvietot informācijas stendus ar īsu informāciju un vizuālo materiālu. </w:t>
      </w:r>
      <w:r w:rsidR="00596DCD" w:rsidRPr="00A07F29">
        <w:rPr>
          <w:rFonts w:ascii="Times New Roman" w:eastAsia="Calibri" w:hAnsi="Times New Roman" w:cs="Calibri"/>
          <w:sz w:val="24"/>
          <w:lang w:eastAsia="ja-JP"/>
        </w:rPr>
        <w:t xml:space="preserve">Sakrālo arhitektūras pieminekļu iekštelpu apskate veicama sadarbībā ar īpašniekiem, saskaņojot apmeklējuma laiku. Kultūras pieminekļu </w:t>
      </w:r>
      <w:proofErr w:type="spellStart"/>
      <w:r w:rsidR="00596DCD" w:rsidRPr="00A07F29">
        <w:rPr>
          <w:rFonts w:ascii="Times New Roman" w:eastAsia="Calibri" w:hAnsi="Times New Roman" w:cs="Calibri"/>
          <w:sz w:val="24"/>
          <w:lang w:eastAsia="ja-JP"/>
        </w:rPr>
        <w:t>izvērtējums</w:t>
      </w:r>
      <w:proofErr w:type="spellEnd"/>
      <w:r w:rsidR="00596DCD" w:rsidRPr="00A07F29">
        <w:rPr>
          <w:rFonts w:ascii="Times New Roman" w:eastAsia="Calibri" w:hAnsi="Times New Roman" w:cs="Calibri"/>
          <w:sz w:val="24"/>
          <w:lang w:eastAsia="ja-JP"/>
        </w:rPr>
        <w:t xml:space="preserve"> apkopots 4.1.</w:t>
      </w:r>
      <w:r w:rsidR="00A77232" w:rsidRPr="00A07F29">
        <w:rPr>
          <w:rFonts w:ascii="Times New Roman" w:eastAsia="Calibri" w:hAnsi="Times New Roman" w:cs="Calibri"/>
          <w:sz w:val="24"/>
          <w:lang w:eastAsia="ja-JP"/>
        </w:rPr>
        <w:t> </w:t>
      </w:r>
      <w:r w:rsidR="00596DCD" w:rsidRPr="00A07F29">
        <w:rPr>
          <w:rFonts w:ascii="Times New Roman" w:eastAsia="Calibri" w:hAnsi="Times New Roman" w:cs="Calibri"/>
          <w:sz w:val="24"/>
          <w:lang w:eastAsia="ja-JP"/>
        </w:rPr>
        <w:t>pielikumā.</w:t>
      </w:r>
    </w:p>
    <w:p w14:paraId="72239124" w14:textId="1137B65D" w:rsidR="002B1603" w:rsidRPr="00A07F29" w:rsidRDefault="00D436E3" w:rsidP="00596DCD">
      <w:pPr>
        <w:pStyle w:val="Heading3"/>
        <w:spacing w:before="240" w:after="120" w:line="240" w:lineRule="auto"/>
        <w:jc w:val="center"/>
        <w:rPr>
          <w:lang w:eastAsia="ja-JP"/>
        </w:rPr>
      </w:pPr>
      <w:bookmarkStart w:id="54" w:name="_Toc183433999"/>
      <w:r w:rsidRPr="00A07F29">
        <w:rPr>
          <w:lang w:eastAsia="ja-JP"/>
        </w:rPr>
        <w:t xml:space="preserve">4.2.3. </w:t>
      </w:r>
      <w:r w:rsidR="002B1603" w:rsidRPr="00A07F29">
        <w:rPr>
          <w:lang w:eastAsia="ja-JP"/>
        </w:rPr>
        <w:t>Apbūves nosacījumi</w:t>
      </w:r>
      <w:bookmarkEnd w:id="54"/>
    </w:p>
    <w:p w14:paraId="6D06F4BB" w14:textId="2AFCC45F" w:rsidR="002C3E29" w:rsidRPr="00A07F29" w:rsidRDefault="002C3E29" w:rsidP="000A5DE6">
      <w:pPr>
        <w:spacing w:after="120" w:line="240" w:lineRule="auto"/>
        <w:ind w:firstLine="851"/>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 xml:space="preserve">Jaunu ēku būvniecība pieļaujama vietās, kurās tā nav pretrunā ar pašvaldības teritorijas plānojumu, vēsturisko plānojumu un telpisko struktūru. Nav pieļaujama tādu ēku būvniecība, kas ārējo izmēru vai </w:t>
      </w:r>
      <w:proofErr w:type="spellStart"/>
      <w:r w:rsidRPr="00A07F29">
        <w:rPr>
          <w:rFonts w:ascii="Times New Roman" w:eastAsia="Calibri" w:hAnsi="Times New Roman" w:cs="Calibri"/>
          <w:sz w:val="24"/>
          <w:lang w:eastAsia="ja-JP"/>
        </w:rPr>
        <w:t>būvapjoma</w:t>
      </w:r>
      <w:proofErr w:type="spellEnd"/>
      <w:r w:rsidRPr="00A07F29">
        <w:rPr>
          <w:rFonts w:ascii="Times New Roman" w:eastAsia="Calibri" w:hAnsi="Times New Roman" w:cs="Calibri"/>
          <w:sz w:val="24"/>
          <w:lang w:eastAsia="ja-JP"/>
        </w:rPr>
        <w:t xml:space="preserve"> ziņā izteikti kontrastē ar vēsturiskās apbūves ēku apjomiem.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6"/>
        <w:gridCol w:w="4656"/>
      </w:tblGrid>
      <w:tr w:rsidR="002B1603" w:rsidRPr="00A07F29" w14:paraId="6DC99BC7" w14:textId="77777777" w:rsidTr="63C42FA1">
        <w:tc>
          <w:tcPr>
            <w:tcW w:w="4508" w:type="dxa"/>
          </w:tcPr>
          <w:p w14:paraId="3693B5CF" w14:textId="77777777" w:rsidR="002B1603" w:rsidRPr="00A07F29" w:rsidRDefault="002B1603" w:rsidP="00596DCD">
            <w:pPr>
              <w:keepNext/>
              <w:spacing w:after="120"/>
              <w:jc w:val="both"/>
              <w:rPr>
                <w:rFonts w:ascii="Times New Roman" w:eastAsia="Calibri" w:hAnsi="Times New Roman" w:cs="Calibri"/>
                <w:sz w:val="24"/>
                <w:lang w:eastAsia="ja-JP"/>
              </w:rPr>
            </w:pPr>
            <w:r w:rsidRPr="00A07F29">
              <w:rPr>
                <w:noProof/>
                <w:lang w:eastAsia="lv-LV"/>
              </w:rPr>
              <w:drawing>
                <wp:inline distT="0" distB="0" distL="0" distR="0" wp14:anchorId="10F8E928" wp14:editId="19C3C76D">
                  <wp:extent cx="2810510" cy="1870925"/>
                  <wp:effectExtent l="0" t="0" r="8890" b="0"/>
                  <wp:docPr id="170371827"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pic:nvPicPr>
                        <pic:blipFill>
                          <a:blip r:embed="rId39">
                            <a:extLst>
                              <a:ext uri="{28A0092B-C50C-407E-A947-70E740481C1C}">
                                <a14:useLocalDpi xmlns:a14="http://schemas.microsoft.com/office/drawing/2010/main"/>
                              </a:ext>
                            </a:extLst>
                          </a:blip>
                          <a:stretch>
                            <a:fillRect/>
                          </a:stretch>
                        </pic:blipFill>
                        <pic:spPr>
                          <a:xfrm>
                            <a:off x="0" y="0"/>
                            <a:ext cx="2810510" cy="1870925"/>
                          </a:xfrm>
                          <a:prstGeom prst="rect">
                            <a:avLst/>
                          </a:prstGeom>
                        </pic:spPr>
                      </pic:pic>
                    </a:graphicData>
                  </a:graphic>
                </wp:inline>
              </w:drawing>
            </w:r>
          </w:p>
        </w:tc>
        <w:tc>
          <w:tcPr>
            <w:tcW w:w="4508" w:type="dxa"/>
          </w:tcPr>
          <w:p w14:paraId="5BB299F8" w14:textId="77777777" w:rsidR="002B1603" w:rsidRPr="00A07F29" w:rsidRDefault="002B1603" w:rsidP="00596DCD">
            <w:pPr>
              <w:keepNext/>
              <w:spacing w:after="120"/>
              <w:jc w:val="both"/>
              <w:rPr>
                <w:rFonts w:ascii="Times New Roman" w:eastAsia="Calibri" w:hAnsi="Times New Roman" w:cs="Calibri"/>
                <w:sz w:val="24"/>
                <w:lang w:eastAsia="ja-JP"/>
              </w:rPr>
            </w:pPr>
            <w:r w:rsidRPr="00A07F29">
              <w:rPr>
                <w:noProof/>
                <w:lang w:eastAsia="lv-LV"/>
              </w:rPr>
              <w:drawing>
                <wp:inline distT="0" distB="0" distL="0" distR="0" wp14:anchorId="26A92E89" wp14:editId="3D1788A1">
                  <wp:extent cx="2810510" cy="1870925"/>
                  <wp:effectExtent l="0" t="0" r="8890" b="0"/>
                  <wp:docPr id="170371828"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pic:nvPicPr>
                        <pic:blipFill>
                          <a:blip r:embed="rId40">
                            <a:extLst>
                              <a:ext uri="{28A0092B-C50C-407E-A947-70E740481C1C}">
                                <a14:useLocalDpi xmlns:a14="http://schemas.microsoft.com/office/drawing/2010/main"/>
                              </a:ext>
                            </a:extLst>
                          </a:blip>
                          <a:stretch>
                            <a:fillRect/>
                          </a:stretch>
                        </pic:blipFill>
                        <pic:spPr>
                          <a:xfrm>
                            <a:off x="0" y="0"/>
                            <a:ext cx="2810510" cy="1870925"/>
                          </a:xfrm>
                          <a:prstGeom prst="rect">
                            <a:avLst/>
                          </a:prstGeom>
                        </pic:spPr>
                      </pic:pic>
                    </a:graphicData>
                  </a:graphic>
                </wp:inline>
              </w:drawing>
            </w:r>
          </w:p>
        </w:tc>
      </w:tr>
      <w:tr w:rsidR="002B1603" w:rsidRPr="00A07F29" w14:paraId="02CACB60" w14:textId="77777777" w:rsidTr="63C42FA1">
        <w:tc>
          <w:tcPr>
            <w:tcW w:w="9016" w:type="dxa"/>
            <w:gridSpan w:val="2"/>
          </w:tcPr>
          <w:p w14:paraId="6A6A1594" w14:textId="6A7B3386" w:rsidR="002B1603" w:rsidRPr="00FF7A6A" w:rsidRDefault="00883139" w:rsidP="00596DCD">
            <w:pPr>
              <w:jc w:val="center"/>
              <w:rPr>
                <w:rFonts w:ascii="Times New Roman" w:eastAsia="Calibri" w:hAnsi="Times New Roman" w:cs="Calibri"/>
                <w:sz w:val="20"/>
                <w:szCs w:val="20"/>
                <w:lang w:eastAsia="ja-JP"/>
              </w:rPr>
            </w:pPr>
            <w:r>
              <w:rPr>
                <w:rFonts w:ascii="Times New Roman" w:eastAsia="Calibri" w:hAnsi="Times New Roman" w:cs="Times New Roman"/>
                <w:sz w:val="20"/>
                <w:szCs w:val="20"/>
              </w:rPr>
              <w:t>4.2.3.1</w:t>
            </w:r>
            <w:r w:rsidR="002B1603" w:rsidRPr="00FF7A6A">
              <w:rPr>
                <w:rFonts w:ascii="Times New Roman" w:eastAsia="Calibri" w:hAnsi="Times New Roman" w:cs="Times New Roman"/>
                <w:sz w:val="20"/>
                <w:szCs w:val="20"/>
              </w:rPr>
              <w:t>.</w:t>
            </w:r>
            <w:r w:rsidR="0065491A" w:rsidRPr="00FF7A6A">
              <w:rPr>
                <w:rFonts w:ascii="Times New Roman" w:eastAsia="Calibri" w:hAnsi="Times New Roman" w:cs="Times New Roman"/>
                <w:sz w:val="20"/>
                <w:szCs w:val="20"/>
              </w:rPr>
              <w:t> </w:t>
            </w:r>
            <w:r w:rsidR="002B1603" w:rsidRPr="00FF7A6A">
              <w:rPr>
                <w:rFonts w:ascii="Times New Roman" w:eastAsia="Calibri" w:hAnsi="Times New Roman" w:cs="Times New Roman"/>
                <w:sz w:val="20"/>
                <w:szCs w:val="20"/>
              </w:rPr>
              <w:t xml:space="preserve">attēls. Raksturīga apbūve </w:t>
            </w:r>
            <w:r w:rsidR="002B1603" w:rsidRPr="00FF7A6A">
              <w:rPr>
                <w:rFonts w:ascii="Times New Roman" w:eastAsia="Calibri" w:hAnsi="Times New Roman" w:cs="Calibri"/>
                <w:i/>
                <w:iCs/>
                <w:sz w:val="20"/>
                <w:szCs w:val="20"/>
                <w:lang w:eastAsia="ja-JP"/>
              </w:rPr>
              <w:t>(foto V.</w:t>
            </w:r>
            <w:r w:rsidR="00420A98" w:rsidRPr="00FF7A6A">
              <w:rPr>
                <w:rFonts w:ascii="Times New Roman" w:eastAsia="Calibri" w:hAnsi="Times New Roman" w:cs="Calibri"/>
                <w:i/>
                <w:iCs/>
                <w:sz w:val="20"/>
                <w:szCs w:val="20"/>
                <w:lang w:eastAsia="ja-JP"/>
              </w:rPr>
              <w:t> </w:t>
            </w:r>
            <w:r w:rsidR="002B1603" w:rsidRPr="00FF7A6A">
              <w:rPr>
                <w:rFonts w:ascii="Times New Roman" w:eastAsia="Calibri" w:hAnsi="Times New Roman" w:cs="Calibri"/>
                <w:i/>
                <w:iCs/>
                <w:sz w:val="20"/>
                <w:szCs w:val="20"/>
                <w:lang w:eastAsia="ja-JP"/>
              </w:rPr>
              <w:t>Jumtiņa).</w:t>
            </w:r>
          </w:p>
        </w:tc>
      </w:tr>
    </w:tbl>
    <w:p w14:paraId="38E8D7F9" w14:textId="77777777" w:rsidR="002B1603" w:rsidRPr="00A07F29" w:rsidRDefault="002B1603" w:rsidP="00596DCD">
      <w:pPr>
        <w:spacing w:after="120" w:line="240" w:lineRule="auto"/>
        <w:rPr>
          <w:rFonts w:ascii="Times New Roman" w:eastAsia="Calibri" w:hAnsi="Times New Roman" w:cs="Calibri"/>
          <w:sz w:val="24"/>
          <w:lang w:eastAsia="ja-JP"/>
        </w:rPr>
      </w:pPr>
    </w:p>
    <w:p w14:paraId="20F05F30" w14:textId="0310A76E" w:rsidR="002C3E29" w:rsidRPr="00A07F29" w:rsidRDefault="002C3E29" w:rsidP="00596DCD">
      <w:pPr>
        <w:spacing w:after="120" w:line="240" w:lineRule="auto"/>
        <w:ind w:firstLine="851"/>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 xml:space="preserve">Renovējot vecās koka ēkas, </w:t>
      </w:r>
      <w:r w:rsidR="00D436E3" w:rsidRPr="00A07F29">
        <w:rPr>
          <w:rFonts w:ascii="Times New Roman" w:eastAsia="Calibri" w:hAnsi="Times New Roman" w:cs="Calibri"/>
          <w:sz w:val="24"/>
          <w:lang w:eastAsia="ja-JP"/>
        </w:rPr>
        <w:t>jā</w:t>
      </w:r>
      <w:r w:rsidRPr="00A07F29">
        <w:rPr>
          <w:rFonts w:ascii="Times New Roman" w:eastAsia="Calibri" w:hAnsi="Times New Roman" w:cs="Calibri"/>
          <w:sz w:val="24"/>
          <w:lang w:eastAsia="ja-JP"/>
        </w:rPr>
        <w:t>izmanto tradicionāl</w:t>
      </w:r>
      <w:r w:rsidR="00D436E3" w:rsidRPr="00A07F29">
        <w:rPr>
          <w:rFonts w:ascii="Times New Roman" w:eastAsia="Calibri" w:hAnsi="Times New Roman" w:cs="Calibri"/>
          <w:sz w:val="24"/>
          <w:lang w:eastAsia="ja-JP"/>
        </w:rPr>
        <w:t>ie</w:t>
      </w:r>
      <w:r w:rsidRPr="00A07F29">
        <w:rPr>
          <w:rFonts w:ascii="Times New Roman" w:eastAsia="Calibri" w:hAnsi="Times New Roman" w:cs="Calibri"/>
          <w:sz w:val="24"/>
          <w:lang w:eastAsia="ja-JP"/>
        </w:rPr>
        <w:t xml:space="preserve"> </w:t>
      </w:r>
      <w:r w:rsidR="00D436E3" w:rsidRPr="00A07F29">
        <w:rPr>
          <w:rFonts w:ascii="Times New Roman" w:eastAsia="Calibri" w:hAnsi="Times New Roman" w:cs="Calibri"/>
          <w:sz w:val="24"/>
          <w:lang w:eastAsia="ja-JP"/>
        </w:rPr>
        <w:t>materiāli</w:t>
      </w:r>
      <w:r w:rsidRPr="00A07F29">
        <w:rPr>
          <w:rFonts w:ascii="Times New Roman" w:eastAsia="Calibri" w:hAnsi="Times New Roman" w:cs="Calibri"/>
          <w:sz w:val="24"/>
          <w:lang w:eastAsia="ja-JP"/>
        </w:rPr>
        <w:t xml:space="preserve">, </w:t>
      </w:r>
      <w:r w:rsidR="00D436E3" w:rsidRPr="00A07F29">
        <w:rPr>
          <w:rFonts w:ascii="Times New Roman" w:eastAsia="Calibri" w:hAnsi="Times New Roman" w:cs="Calibri"/>
          <w:sz w:val="24"/>
          <w:lang w:eastAsia="ja-JP"/>
        </w:rPr>
        <w:t>ievērojot</w:t>
      </w:r>
      <w:r w:rsidRPr="00A07F29">
        <w:rPr>
          <w:rFonts w:ascii="Times New Roman" w:eastAsia="Calibri" w:hAnsi="Times New Roman" w:cs="Calibri"/>
          <w:sz w:val="24"/>
          <w:lang w:eastAsia="ja-JP"/>
        </w:rPr>
        <w:t xml:space="preserve"> </w:t>
      </w:r>
      <w:r w:rsidR="00D436E3" w:rsidRPr="00A07F29">
        <w:rPr>
          <w:rFonts w:ascii="Times New Roman" w:eastAsia="Calibri" w:hAnsi="Times New Roman" w:cs="Calibri"/>
          <w:sz w:val="24"/>
          <w:lang w:eastAsia="ja-JP"/>
        </w:rPr>
        <w:t xml:space="preserve">vēsturisko </w:t>
      </w:r>
      <w:r w:rsidRPr="00A07F29">
        <w:rPr>
          <w:rFonts w:ascii="Times New Roman" w:eastAsia="Calibri" w:hAnsi="Times New Roman" w:cs="Calibri"/>
          <w:sz w:val="24"/>
          <w:lang w:eastAsia="ja-JP"/>
        </w:rPr>
        <w:t xml:space="preserve">apbūves </w:t>
      </w:r>
      <w:r w:rsidR="00D436E3" w:rsidRPr="00A07F29">
        <w:rPr>
          <w:rFonts w:ascii="Times New Roman" w:eastAsia="Calibri" w:hAnsi="Times New Roman" w:cs="Calibri"/>
          <w:sz w:val="24"/>
          <w:lang w:eastAsia="ja-JP"/>
        </w:rPr>
        <w:t>apjomu. J</w:t>
      </w:r>
      <w:r w:rsidRPr="00A07F29">
        <w:rPr>
          <w:rFonts w:ascii="Times New Roman" w:eastAsia="Calibri" w:hAnsi="Times New Roman" w:cs="Calibri"/>
          <w:sz w:val="24"/>
          <w:lang w:eastAsia="ja-JP"/>
        </w:rPr>
        <w:t xml:space="preserve">a nepieciešams palielināt </w:t>
      </w:r>
      <w:proofErr w:type="spellStart"/>
      <w:r w:rsidRPr="00A07F29">
        <w:rPr>
          <w:rFonts w:ascii="Times New Roman" w:eastAsia="Calibri" w:hAnsi="Times New Roman" w:cs="Calibri"/>
          <w:sz w:val="24"/>
          <w:lang w:eastAsia="ja-JP"/>
        </w:rPr>
        <w:t>būvapjomu</w:t>
      </w:r>
      <w:proofErr w:type="spellEnd"/>
      <w:r w:rsidRPr="00A07F29">
        <w:rPr>
          <w:rFonts w:ascii="Times New Roman" w:eastAsia="Calibri" w:hAnsi="Times New Roman" w:cs="Calibri"/>
          <w:sz w:val="24"/>
          <w:lang w:eastAsia="ja-JP"/>
        </w:rPr>
        <w:t xml:space="preserve">, </w:t>
      </w:r>
      <w:r w:rsidR="00D436E3" w:rsidRPr="00A07F29">
        <w:rPr>
          <w:rFonts w:ascii="Times New Roman" w:eastAsia="Calibri" w:hAnsi="Times New Roman" w:cs="Calibri"/>
          <w:sz w:val="24"/>
          <w:lang w:eastAsia="ja-JP"/>
        </w:rPr>
        <w:t xml:space="preserve">jāievēro galvenais </w:t>
      </w:r>
      <w:r w:rsidRPr="00A07F29">
        <w:rPr>
          <w:rFonts w:ascii="Times New Roman" w:eastAsia="Calibri" w:hAnsi="Times New Roman" w:cs="Calibri"/>
          <w:sz w:val="24"/>
          <w:lang w:eastAsia="ja-JP"/>
        </w:rPr>
        <w:t xml:space="preserve">būves </w:t>
      </w:r>
      <w:r w:rsidR="00D436E3" w:rsidRPr="00A07F29">
        <w:rPr>
          <w:rFonts w:ascii="Times New Roman" w:eastAsia="Calibri" w:hAnsi="Times New Roman" w:cs="Calibri"/>
          <w:sz w:val="24"/>
          <w:lang w:eastAsia="ja-JP"/>
        </w:rPr>
        <w:t>stils</w:t>
      </w:r>
      <w:r w:rsidRPr="00A07F29">
        <w:rPr>
          <w:rFonts w:ascii="Times New Roman" w:eastAsia="Calibri" w:hAnsi="Times New Roman" w:cs="Calibri"/>
          <w:sz w:val="24"/>
          <w:lang w:eastAsia="ja-JP"/>
        </w:rPr>
        <w:t xml:space="preserve">, </w:t>
      </w:r>
      <w:r w:rsidR="00D436E3" w:rsidRPr="00A07F29">
        <w:rPr>
          <w:rFonts w:ascii="Times New Roman" w:eastAsia="Calibri" w:hAnsi="Times New Roman" w:cs="Calibri"/>
          <w:sz w:val="24"/>
          <w:lang w:eastAsia="ja-JP"/>
        </w:rPr>
        <w:t>jā</w:t>
      </w:r>
      <w:r w:rsidRPr="00A07F29">
        <w:rPr>
          <w:rFonts w:ascii="Times New Roman" w:eastAsia="Calibri" w:hAnsi="Times New Roman" w:cs="Calibri"/>
          <w:sz w:val="24"/>
          <w:lang w:eastAsia="ja-JP"/>
        </w:rPr>
        <w:t xml:space="preserve">izmanto </w:t>
      </w:r>
      <w:r w:rsidR="00D436E3" w:rsidRPr="00A07F29">
        <w:rPr>
          <w:rFonts w:ascii="Times New Roman" w:eastAsia="Calibri" w:hAnsi="Times New Roman" w:cs="Calibri"/>
          <w:sz w:val="24"/>
          <w:lang w:eastAsia="ja-JP"/>
        </w:rPr>
        <w:t>līdzīgi materiāli</w:t>
      </w:r>
      <w:r w:rsidRPr="00A07F29">
        <w:rPr>
          <w:rFonts w:ascii="Times New Roman" w:eastAsia="Calibri" w:hAnsi="Times New Roman" w:cs="Calibri"/>
          <w:sz w:val="24"/>
          <w:lang w:eastAsia="ja-JP"/>
        </w:rPr>
        <w:t xml:space="preserve">, </w:t>
      </w:r>
      <w:r w:rsidR="00D436E3" w:rsidRPr="00A07F29">
        <w:rPr>
          <w:rFonts w:ascii="Times New Roman" w:eastAsia="Calibri" w:hAnsi="Times New Roman" w:cs="Calibri"/>
          <w:sz w:val="24"/>
          <w:lang w:eastAsia="ja-JP"/>
        </w:rPr>
        <w:t>apdare, jāk</w:t>
      </w:r>
      <w:r w:rsidRPr="00A07F29">
        <w:rPr>
          <w:rFonts w:ascii="Times New Roman" w:eastAsia="Calibri" w:hAnsi="Times New Roman" w:cs="Calibri"/>
          <w:sz w:val="24"/>
          <w:lang w:eastAsia="ja-JP"/>
        </w:rPr>
        <w:t>onsultē</w:t>
      </w:r>
      <w:r w:rsidR="00D436E3" w:rsidRPr="00A07F29">
        <w:rPr>
          <w:rFonts w:ascii="Times New Roman" w:eastAsia="Calibri" w:hAnsi="Times New Roman" w:cs="Calibri"/>
          <w:sz w:val="24"/>
          <w:lang w:eastAsia="ja-JP"/>
        </w:rPr>
        <w:t>ja</w:t>
      </w:r>
      <w:r w:rsidRPr="00A07F29">
        <w:rPr>
          <w:rFonts w:ascii="Times New Roman" w:eastAsia="Calibri" w:hAnsi="Times New Roman" w:cs="Calibri"/>
          <w:sz w:val="24"/>
          <w:lang w:eastAsia="ja-JP"/>
        </w:rPr>
        <w:t>s ar speciālistiem, restauratoriem.</w:t>
      </w:r>
    </w:p>
    <w:p w14:paraId="40806537" w14:textId="77777777" w:rsidR="002C3E29" w:rsidRPr="00A07F29" w:rsidRDefault="002C3E29" w:rsidP="00596DCD">
      <w:pPr>
        <w:spacing w:after="120" w:line="240" w:lineRule="auto"/>
        <w:ind w:firstLine="851"/>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Ēku pārbūvē saglabājams to tonālais risinājums un detaļas, piemēram, kokgriezumi.</w:t>
      </w:r>
    </w:p>
    <w:p w14:paraId="18B7D257" w14:textId="3D76A092" w:rsidR="002C3E29" w:rsidRPr="00A07F29" w:rsidRDefault="002C3E29" w:rsidP="00914941">
      <w:pPr>
        <w:spacing w:after="120" w:line="240" w:lineRule="auto"/>
        <w:ind w:firstLine="851"/>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 xml:space="preserve">Atjaunojot jumtu segumu, </w:t>
      </w:r>
      <w:r w:rsidR="00D436E3" w:rsidRPr="00A07F29">
        <w:rPr>
          <w:rFonts w:ascii="Times New Roman" w:eastAsia="Calibri" w:hAnsi="Times New Roman" w:cs="Calibri"/>
          <w:sz w:val="24"/>
          <w:lang w:eastAsia="ja-JP"/>
        </w:rPr>
        <w:t>jā</w:t>
      </w:r>
      <w:r w:rsidR="00914941" w:rsidRPr="00A07F29">
        <w:rPr>
          <w:rFonts w:ascii="Times New Roman" w:eastAsia="Calibri" w:hAnsi="Times New Roman" w:cs="Calibri"/>
          <w:sz w:val="24"/>
          <w:lang w:eastAsia="ja-JP"/>
        </w:rPr>
        <w:t xml:space="preserve">izmanto autentiskie materiāli vai, ja tas nav pretrunā ar kultūras pieminekļu saglabāšanas nosacījumiem, pieļaujama arī vizuāli līdzīgu materiālu izmantošana, kas harmoniski iekļaujas ainavā. </w:t>
      </w:r>
      <w:r w:rsidRPr="00A07F29">
        <w:rPr>
          <w:rFonts w:ascii="Times New Roman" w:eastAsia="Calibri" w:hAnsi="Times New Roman" w:cs="Calibri"/>
          <w:sz w:val="24"/>
          <w:lang w:eastAsia="ja-JP"/>
        </w:rPr>
        <w:t xml:space="preserve">Ieteicams saglabāt tradicionālo </w:t>
      </w:r>
      <w:proofErr w:type="spellStart"/>
      <w:r w:rsidRPr="00A07F29">
        <w:rPr>
          <w:rFonts w:ascii="Times New Roman" w:eastAsia="Calibri" w:hAnsi="Times New Roman" w:cs="Calibri"/>
          <w:sz w:val="24"/>
          <w:lang w:eastAsia="ja-JP"/>
        </w:rPr>
        <w:t>divslīpju</w:t>
      </w:r>
      <w:proofErr w:type="spellEnd"/>
      <w:r w:rsidRPr="00A07F29">
        <w:rPr>
          <w:rFonts w:ascii="Times New Roman" w:eastAsia="Calibri" w:hAnsi="Times New Roman" w:cs="Calibri"/>
          <w:sz w:val="24"/>
          <w:lang w:eastAsia="ja-JP"/>
        </w:rPr>
        <w:t xml:space="preserve"> jumtu konstrukciju.</w:t>
      </w:r>
      <w:r w:rsidR="00596DCD" w:rsidRPr="00A07F29">
        <w:t xml:space="preserve"> </w:t>
      </w:r>
      <w:r w:rsidR="00596DCD" w:rsidRPr="00A07F29">
        <w:rPr>
          <w:rFonts w:ascii="Times New Roman" w:eastAsia="Calibri" w:hAnsi="Times New Roman" w:cs="Calibri"/>
          <w:sz w:val="24"/>
          <w:lang w:eastAsia="ja-JP"/>
        </w:rPr>
        <w:t xml:space="preserve">Veicot jumtu atjaunošanas darbus Kaplavas </w:t>
      </w:r>
      <w:proofErr w:type="spellStart"/>
      <w:r w:rsidR="00596DCD" w:rsidRPr="00A07F29">
        <w:rPr>
          <w:rFonts w:ascii="Times New Roman" w:eastAsia="Calibri" w:hAnsi="Times New Roman" w:cs="Calibri"/>
          <w:sz w:val="24"/>
          <w:lang w:eastAsia="ja-JP"/>
        </w:rPr>
        <w:t>Vissvētās</w:t>
      </w:r>
      <w:proofErr w:type="spellEnd"/>
      <w:r w:rsidR="00596DCD" w:rsidRPr="00A07F29">
        <w:rPr>
          <w:rFonts w:ascii="Times New Roman" w:eastAsia="Calibri" w:hAnsi="Times New Roman" w:cs="Calibri"/>
          <w:sz w:val="24"/>
          <w:lang w:eastAsia="ja-JP"/>
        </w:rPr>
        <w:t xml:space="preserve"> Dievmātes patvēruma pareizticīgo baznīcai un </w:t>
      </w:r>
      <w:proofErr w:type="spellStart"/>
      <w:r w:rsidR="00596DCD" w:rsidRPr="00A07F29">
        <w:rPr>
          <w:rFonts w:ascii="Times New Roman" w:eastAsia="Calibri" w:hAnsi="Times New Roman" w:cs="Calibri"/>
          <w:sz w:val="24"/>
          <w:lang w:eastAsia="ja-JP"/>
        </w:rPr>
        <w:t>Sīķeles</w:t>
      </w:r>
      <w:proofErr w:type="spellEnd"/>
      <w:r w:rsidR="00596DCD" w:rsidRPr="00A07F29">
        <w:rPr>
          <w:rFonts w:ascii="Times New Roman" w:eastAsia="Calibri" w:hAnsi="Times New Roman" w:cs="Calibri"/>
          <w:sz w:val="24"/>
          <w:lang w:eastAsia="ja-JP"/>
        </w:rPr>
        <w:t xml:space="preserve"> luterāņu baznīcai, Kaplavas Pazaru mājai jāievēro pasākumi sikspārņu sugu aizsardzībai: neveikt darbus periodā maija beigas – jūlija vidus; neizmantot </w:t>
      </w:r>
      <w:r w:rsidR="00596DCD" w:rsidRPr="00A07F29">
        <w:rPr>
          <w:rFonts w:ascii="Times New Roman" w:eastAsia="Calibri" w:hAnsi="Times New Roman" w:cs="Calibri"/>
          <w:sz w:val="24"/>
          <w:lang w:eastAsia="ja-JP"/>
        </w:rPr>
        <w:lastRenderedPageBreak/>
        <w:t xml:space="preserve">sikspārņiem bīstamus koksnes apstrādes līdzekļus; Kaplavas </w:t>
      </w:r>
      <w:proofErr w:type="spellStart"/>
      <w:r w:rsidR="00596DCD" w:rsidRPr="00A07F29">
        <w:rPr>
          <w:rFonts w:ascii="Times New Roman" w:eastAsia="Calibri" w:hAnsi="Times New Roman" w:cs="Calibri"/>
          <w:sz w:val="24"/>
          <w:lang w:eastAsia="ja-JP"/>
        </w:rPr>
        <w:t>Vissvētās</w:t>
      </w:r>
      <w:proofErr w:type="spellEnd"/>
      <w:r w:rsidR="00596DCD" w:rsidRPr="00A07F29">
        <w:rPr>
          <w:rFonts w:ascii="Times New Roman" w:eastAsia="Calibri" w:hAnsi="Times New Roman" w:cs="Calibri"/>
          <w:sz w:val="24"/>
          <w:lang w:eastAsia="ja-JP"/>
        </w:rPr>
        <w:t xml:space="preserve"> Dievmātes patvēruma pareizticīgo baznīcai un </w:t>
      </w:r>
      <w:proofErr w:type="spellStart"/>
      <w:r w:rsidR="00596DCD" w:rsidRPr="00A07F29">
        <w:rPr>
          <w:rFonts w:ascii="Times New Roman" w:eastAsia="Calibri" w:hAnsi="Times New Roman" w:cs="Calibri"/>
          <w:sz w:val="24"/>
          <w:lang w:eastAsia="ja-JP"/>
        </w:rPr>
        <w:t>Sīķeles</w:t>
      </w:r>
      <w:proofErr w:type="spellEnd"/>
      <w:r w:rsidR="00596DCD" w:rsidRPr="00A07F29">
        <w:rPr>
          <w:rFonts w:ascii="Times New Roman" w:eastAsia="Calibri" w:hAnsi="Times New Roman" w:cs="Calibri"/>
          <w:sz w:val="24"/>
          <w:lang w:eastAsia="ja-JP"/>
        </w:rPr>
        <w:t xml:space="preserve"> luterāņu baznīcai saglabāt ielidošanas/izlidošanas skrejas; Kaplavas Pazaru mājai izveidot mākslīgu slēptuvju jeb liela izmēra sikspārņu būrus, piestiprinot pie saimniecības ēku ārsienas, lai atrisinātu konfliktu starp īpašniekiem un sikspārņiem.</w:t>
      </w:r>
    </w:p>
    <w:p w14:paraId="3ED9D07A" w14:textId="77777777" w:rsidR="00914941" w:rsidRPr="00A07F29" w:rsidRDefault="002C3E29" w:rsidP="00596DCD">
      <w:pPr>
        <w:spacing w:after="120" w:line="240" w:lineRule="auto"/>
        <w:ind w:firstLine="851"/>
        <w:jc w:val="both"/>
      </w:pPr>
      <w:r w:rsidRPr="00A07F29">
        <w:rPr>
          <w:rFonts w:ascii="Times New Roman" w:eastAsia="Calibri" w:hAnsi="Times New Roman" w:cs="Calibri"/>
          <w:sz w:val="24"/>
          <w:lang w:eastAsia="ja-JP"/>
        </w:rPr>
        <w:t xml:space="preserve">Plānojot un realizējot apbūves projektus gan esošajā apbūvē, gan apbūvējot jaunas zemes vienības, gan realizējot jaunu ēku celtniecības projektus vēsturiskajās viensētās un ciemos, </w:t>
      </w:r>
      <w:r w:rsidR="00D436E3" w:rsidRPr="00A07F29">
        <w:rPr>
          <w:rFonts w:ascii="Times New Roman" w:eastAsia="Calibri" w:hAnsi="Times New Roman" w:cs="Calibri"/>
          <w:sz w:val="24"/>
          <w:lang w:eastAsia="ja-JP"/>
        </w:rPr>
        <w:t xml:space="preserve">jāpiesaista arhitekts </w:t>
      </w:r>
      <w:r w:rsidRPr="00A07F29">
        <w:rPr>
          <w:rFonts w:ascii="Times New Roman" w:eastAsia="Calibri" w:hAnsi="Times New Roman" w:cs="Calibri"/>
          <w:sz w:val="24"/>
          <w:lang w:eastAsia="ja-JP"/>
        </w:rPr>
        <w:t xml:space="preserve">un ainavu </w:t>
      </w:r>
      <w:r w:rsidR="00D436E3" w:rsidRPr="00A07F29">
        <w:rPr>
          <w:rFonts w:ascii="Times New Roman" w:eastAsia="Calibri" w:hAnsi="Times New Roman" w:cs="Calibri"/>
          <w:sz w:val="24"/>
          <w:lang w:eastAsia="ja-JP"/>
        </w:rPr>
        <w:t>arhitekts</w:t>
      </w:r>
      <w:r w:rsidRPr="00A07F29">
        <w:rPr>
          <w:rFonts w:ascii="Times New Roman" w:eastAsia="Calibri" w:hAnsi="Times New Roman" w:cs="Calibri"/>
          <w:sz w:val="24"/>
          <w:lang w:eastAsia="ja-JP"/>
        </w:rPr>
        <w:t>, kas specializējies kultūrvēsturisku objektu izpētē un projektēšanā.</w:t>
      </w:r>
      <w:r w:rsidR="00914941" w:rsidRPr="00A07F29">
        <w:t xml:space="preserve"> </w:t>
      </w:r>
    </w:p>
    <w:p w14:paraId="4148A50B" w14:textId="77777777" w:rsidR="002B1603" w:rsidRPr="00A07F29" w:rsidRDefault="002B1603" w:rsidP="00596DCD">
      <w:pPr>
        <w:spacing w:after="120" w:line="240" w:lineRule="auto"/>
        <w:ind w:firstLine="851"/>
        <w:jc w:val="both"/>
        <w:rPr>
          <w:rFonts w:ascii="Times New Roman" w:eastAsia="Calibri" w:hAnsi="Times New Roman" w:cs="Calibri"/>
          <w:sz w:val="24"/>
          <w:lang w:eastAsia="ja-JP"/>
        </w:rPr>
      </w:pPr>
    </w:p>
    <w:p w14:paraId="1AF05D82" w14:textId="584A98B5" w:rsidR="002B1603" w:rsidRPr="00A07F29" w:rsidRDefault="002B1603" w:rsidP="0015366B">
      <w:pPr>
        <w:pStyle w:val="Heading2"/>
        <w:spacing w:before="120" w:after="120"/>
        <w:ind w:firstLine="0"/>
        <w:jc w:val="center"/>
        <w:rPr>
          <w:rFonts w:ascii="Times New Roman" w:hAnsi="Times New Roman"/>
          <w:b w:val="0"/>
          <w:iCs w:val="0"/>
        </w:rPr>
      </w:pPr>
      <w:bookmarkStart w:id="55" w:name="_Toc183434000"/>
      <w:r w:rsidRPr="00A07F29">
        <w:rPr>
          <w:rFonts w:ascii="Times New Roman" w:hAnsi="Times New Roman"/>
          <w:i w:val="0"/>
        </w:rPr>
        <w:t>4.3. Biotopi</w:t>
      </w:r>
      <w:bookmarkEnd w:id="55"/>
    </w:p>
    <w:p w14:paraId="123FF4C9" w14:textId="1866F6CC" w:rsidR="002B1603" w:rsidRPr="00A07F29" w:rsidRDefault="002B1603" w:rsidP="00B62BAF">
      <w:pPr>
        <w:spacing w:after="120" w:line="240" w:lineRule="auto"/>
        <w:ind w:firstLine="851"/>
        <w:jc w:val="both"/>
        <w:rPr>
          <w:rFonts w:ascii="Times New Roman" w:eastAsia="Calibri" w:hAnsi="Times New Roman" w:cs="Calibri"/>
          <w:bCs/>
          <w:sz w:val="24"/>
        </w:rPr>
      </w:pPr>
      <w:r w:rsidRPr="00A07F29">
        <w:rPr>
          <w:rFonts w:ascii="Times New Roman" w:eastAsia="Calibri" w:hAnsi="Times New Roman" w:cs="Calibri"/>
          <w:bCs/>
          <w:sz w:val="24"/>
        </w:rPr>
        <w:t xml:space="preserve">Informācija par AAA “Augšdaugava” teritorijā sastopamajiem biotopiem </w:t>
      </w:r>
      <w:r w:rsidR="00AC2849" w:rsidRPr="00A07F29">
        <w:rPr>
          <w:rFonts w:ascii="Times New Roman" w:eastAsia="Calibri" w:hAnsi="Times New Roman" w:cs="Calibri"/>
          <w:bCs/>
          <w:sz w:val="24"/>
        </w:rPr>
        <w:t xml:space="preserve">iegūta </w:t>
      </w:r>
      <w:r w:rsidRPr="00A07F29">
        <w:rPr>
          <w:rFonts w:ascii="Times New Roman" w:eastAsia="Calibri" w:hAnsi="Times New Roman" w:cs="Calibri"/>
          <w:bCs/>
          <w:sz w:val="24"/>
        </w:rPr>
        <w:t>no šādiem informācijas avotiem:</w:t>
      </w:r>
    </w:p>
    <w:p w14:paraId="3A9E6B1B" w14:textId="15FDFFA5" w:rsidR="002B1603" w:rsidRPr="006C36F5" w:rsidRDefault="00511AA1" w:rsidP="00F87589">
      <w:pPr>
        <w:pStyle w:val="ListParagraph"/>
        <w:numPr>
          <w:ilvl w:val="2"/>
          <w:numId w:val="44"/>
        </w:numPr>
        <w:spacing w:line="240" w:lineRule="auto"/>
        <w:ind w:left="1418" w:hanging="284"/>
        <w:rPr>
          <w:bCs/>
        </w:rPr>
      </w:pPr>
      <w:r w:rsidRPr="00A07F29">
        <w:rPr>
          <w:bCs/>
        </w:rPr>
        <w:t>DAP</w:t>
      </w:r>
      <w:r w:rsidR="002B1603" w:rsidRPr="00A07F29">
        <w:rPr>
          <w:bCs/>
        </w:rPr>
        <w:t xml:space="preserve"> </w:t>
      </w:r>
      <w:r w:rsidR="006C36F5" w:rsidRPr="006C36F5">
        <w:rPr>
          <w:bCs/>
        </w:rPr>
        <w:t>DDPS</w:t>
      </w:r>
      <w:r w:rsidR="002B1603" w:rsidRPr="006C36F5">
        <w:rPr>
          <w:bCs/>
        </w:rPr>
        <w:t xml:space="preserve"> "Ozols";</w:t>
      </w:r>
    </w:p>
    <w:p w14:paraId="6A7FCB77" w14:textId="0C6911A9" w:rsidR="002B1603" w:rsidRPr="00A07F29" w:rsidRDefault="0092556E" w:rsidP="00F87589">
      <w:pPr>
        <w:pStyle w:val="ListParagraph"/>
        <w:numPr>
          <w:ilvl w:val="2"/>
          <w:numId w:val="44"/>
        </w:numPr>
        <w:spacing w:line="240" w:lineRule="auto"/>
        <w:ind w:left="1418" w:hanging="284"/>
        <w:rPr>
          <w:bCs/>
        </w:rPr>
      </w:pPr>
      <w:proofErr w:type="spellStart"/>
      <w:r w:rsidRPr="00A07F29">
        <w:rPr>
          <w:bCs/>
          <w:i/>
        </w:rPr>
        <w:t>Natura</w:t>
      </w:r>
      <w:proofErr w:type="spellEnd"/>
      <w:r w:rsidR="002B1603" w:rsidRPr="00A07F29">
        <w:rPr>
          <w:bCs/>
          <w:i/>
        </w:rPr>
        <w:t xml:space="preserve"> 2000</w:t>
      </w:r>
      <w:r w:rsidR="002B1603" w:rsidRPr="00A07F29">
        <w:rPr>
          <w:bCs/>
        </w:rPr>
        <w:t xml:space="preserve"> datubāze</w:t>
      </w:r>
      <w:r w:rsidR="00AC2849" w:rsidRPr="00A07F29">
        <w:rPr>
          <w:bCs/>
        </w:rPr>
        <w:t>s</w:t>
      </w:r>
      <w:r w:rsidR="00E269A2" w:rsidRPr="00A07F29">
        <w:rPr>
          <w:rStyle w:val="FootnoteReference"/>
          <w:bCs/>
        </w:rPr>
        <w:footnoteReference w:id="29"/>
      </w:r>
      <w:r w:rsidR="002B1603" w:rsidRPr="00A07F29">
        <w:rPr>
          <w:bCs/>
        </w:rPr>
        <w:t>;</w:t>
      </w:r>
    </w:p>
    <w:p w14:paraId="43AD7A35" w14:textId="7DA7367F" w:rsidR="002B1603" w:rsidRPr="00A07F29" w:rsidRDefault="00A600CF" w:rsidP="00F87589">
      <w:pPr>
        <w:pStyle w:val="ListParagraph"/>
        <w:numPr>
          <w:ilvl w:val="2"/>
          <w:numId w:val="44"/>
        </w:numPr>
        <w:spacing w:line="240" w:lineRule="auto"/>
        <w:ind w:left="1418" w:hanging="284"/>
        <w:rPr>
          <w:bCs/>
        </w:rPr>
      </w:pPr>
      <w:r w:rsidRPr="00A07F29">
        <w:rPr>
          <w:bCs/>
        </w:rPr>
        <w:t xml:space="preserve">iepriekš </w:t>
      </w:r>
      <w:r w:rsidR="002B1603" w:rsidRPr="00A07F29">
        <w:rPr>
          <w:bCs/>
        </w:rPr>
        <w:t xml:space="preserve">izstrādātajiem DP “Daugavas loki” </w:t>
      </w:r>
      <w:r w:rsidRPr="00A07F29">
        <w:rPr>
          <w:bCs/>
        </w:rPr>
        <w:t>DA</w:t>
      </w:r>
      <w:r w:rsidR="002B1603" w:rsidRPr="00A07F29">
        <w:rPr>
          <w:bCs/>
        </w:rPr>
        <w:t xml:space="preserve"> plāniem (Bružika</w:t>
      </w:r>
      <w:r w:rsidR="00B31DB6" w:rsidRPr="00A07F29">
        <w:rPr>
          <w:bCs/>
        </w:rPr>
        <w:t xml:space="preserve"> I.,</w:t>
      </w:r>
      <w:r w:rsidR="002B1603" w:rsidRPr="00A07F29">
        <w:rPr>
          <w:bCs/>
        </w:rPr>
        <w:t xml:space="preserve"> </w:t>
      </w:r>
      <w:proofErr w:type="spellStart"/>
      <w:r w:rsidR="002B1603" w:rsidRPr="00A07F29">
        <w:rPr>
          <w:bCs/>
        </w:rPr>
        <w:t>et</w:t>
      </w:r>
      <w:proofErr w:type="spellEnd"/>
      <w:r w:rsidR="002B1603" w:rsidRPr="00A07F29">
        <w:rPr>
          <w:bCs/>
        </w:rPr>
        <w:t xml:space="preserve"> </w:t>
      </w:r>
      <w:proofErr w:type="spellStart"/>
      <w:r w:rsidR="002B1603" w:rsidRPr="00A07F29">
        <w:rPr>
          <w:bCs/>
        </w:rPr>
        <w:t>a</w:t>
      </w:r>
      <w:r w:rsidR="00AC2849" w:rsidRPr="00A07F29">
        <w:rPr>
          <w:bCs/>
        </w:rPr>
        <w:t>ll</w:t>
      </w:r>
      <w:proofErr w:type="spellEnd"/>
      <w:r w:rsidR="002B1603" w:rsidRPr="00A07F29">
        <w:rPr>
          <w:bCs/>
        </w:rPr>
        <w:t xml:space="preserve"> 1998; Bāra</w:t>
      </w:r>
      <w:r w:rsidR="00513B35" w:rsidRPr="00A07F29">
        <w:rPr>
          <w:bCs/>
        </w:rPr>
        <w:t xml:space="preserve"> J.</w:t>
      </w:r>
      <w:r w:rsidR="00883139">
        <w:rPr>
          <w:bCs/>
        </w:rPr>
        <w:t>, 2010</w:t>
      </w:r>
      <w:r w:rsidR="002B1603" w:rsidRPr="00A07F29">
        <w:rPr>
          <w:bCs/>
        </w:rPr>
        <w:t>);</w:t>
      </w:r>
    </w:p>
    <w:p w14:paraId="71362542" w14:textId="71EFC72F" w:rsidR="002B1603" w:rsidRPr="00A07F29" w:rsidRDefault="002B1603" w:rsidP="00F87589">
      <w:pPr>
        <w:pStyle w:val="ListParagraph"/>
        <w:numPr>
          <w:ilvl w:val="2"/>
          <w:numId w:val="44"/>
        </w:numPr>
        <w:spacing w:line="240" w:lineRule="auto"/>
        <w:ind w:left="1418" w:hanging="284"/>
        <w:rPr>
          <w:bCs/>
        </w:rPr>
      </w:pPr>
      <w:r w:rsidRPr="00A07F29">
        <w:rPr>
          <w:bCs/>
        </w:rPr>
        <w:t xml:space="preserve">AAA “Augšdaugava” pārvaldības </w:t>
      </w:r>
      <w:r w:rsidR="00173DFF" w:rsidRPr="00A07F29">
        <w:rPr>
          <w:bCs/>
        </w:rPr>
        <w:t>plān</w:t>
      </w:r>
      <w:r w:rsidR="003455EC" w:rsidRPr="00A07F29">
        <w:rPr>
          <w:bCs/>
        </w:rPr>
        <w:t>a</w:t>
      </w:r>
      <w:r w:rsidR="00173DFF" w:rsidRPr="00A07F29">
        <w:rPr>
          <w:bCs/>
        </w:rPr>
        <w:t xml:space="preserve"> </w:t>
      </w:r>
      <w:r w:rsidRPr="00A07F29">
        <w:rPr>
          <w:bCs/>
        </w:rPr>
        <w:t>(2014);</w:t>
      </w:r>
    </w:p>
    <w:p w14:paraId="4540454B" w14:textId="2829F3C1" w:rsidR="002B1603" w:rsidRPr="00A07F29" w:rsidRDefault="002B1603" w:rsidP="00F87589">
      <w:pPr>
        <w:pStyle w:val="ListParagraph"/>
        <w:numPr>
          <w:ilvl w:val="2"/>
          <w:numId w:val="44"/>
        </w:numPr>
        <w:spacing w:line="240" w:lineRule="auto"/>
        <w:ind w:left="1418" w:hanging="284"/>
        <w:rPr>
          <w:bCs/>
        </w:rPr>
      </w:pPr>
      <w:r w:rsidRPr="00A07F29">
        <w:rPr>
          <w:bCs/>
        </w:rPr>
        <w:t>EMERALD projekta ietvaros 2001.</w:t>
      </w:r>
      <w:r w:rsidR="003455EC" w:rsidRPr="00A07F29">
        <w:rPr>
          <w:bCs/>
        </w:rPr>
        <w:t> </w:t>
      </w:r>
      <w:r w:rsidRPr="00A07F29">
        <w:rPr>
          <w:bCs/>
        </w:rPr>
        <w:t>gadā veiktā</w:t>
      </w:r>
      <w:r w:rsidR="00AC2849" w:rsidRPr="00A07F29">
        <w:rPr>
          <w:bCs/>
        </w:rPr>
        <w:t>s</w:t>
      </w:r>
      <w:r w:rsidRPr="00A07F29">
        <w:rPr>
          <w:bCs/>
        </w:rPr>
        <w:t xml:space="preserve"> DP </w:t>
      </w:r>
      <w:r w:rsidR="003455EC" w:rsidRPr="00A07F29">
        <w:rPr>
          <w:bCs/>
        </w:rPr>
        <w:t>“</w:t>
      </w:r>
      <w:r w:rsidRPr="00A07F29">
        <w:rPr>
          <w:bCs/>
        </w:rPr>
        <w:t>Daugavas loki” aizsargājamo augu sugu un biotopu inventarizācija</w:t>
      </w:r>
      <w:r w:rsidR="00AC2849" w:rsidRPr="00A07F29">
        <w:rPr>
          <w:bCs/>
        </w:rPr>
        <w:t>s</w:t>
      </w:r>
      <w:r w:rsidRPr="00A07F29">
        <w:rPr>
          <w:bCs/>
        </w:rPr>
        <w:t xml:space="preserve"> (</w:t>
      </w:r>
      <w:proofErr w:type="spellStart"/>
      <w:r w:rsidRPr="00A07F29">
        <w:rPr>
          <w:bCs/>
        </w:rPr>
        <w:t>Evarts-Bunders</w:t>
      </w:r>
      <w:proofErr w:type="spellEnd"/>
      <w:r w:rsidR="00451A32" w:rsidRPr="00A07F29">
        <w:rPr>
          <w:bCs/>
        </w:rPr>
        <w:t xml:space="preserve"> P.</w:t>
      </w:r>
      <w:r w:rsidRPr="00A07F29">
        <w:rPr>
          <w:bCs/>
        </w:rPr>
        <w:t>).</w:t>
      </w:r>
      <w:r w:rsidR="00D65BBA" w:rsidRPr="00A07F29">
        <w:rPr>
          <w:bCs/>
        </w:rPr>
        <w:t xml:space="preserve"> </w:t>
      </w:r>
    </w:p>
    <w:p w14:paraId="4DAF32E0" w14:textId="5130CC6C" w:rsidR="002B1603" w:rsidRPr="00A07F29" w:rsidRDefault="00BF0E06" w:rsidP="00F87589">
      <w:pPr>
        <w:pStyle w:val="ListParagraph"/>
        <w:numPr>
          <w:ilvl w:val="2"/>
          <w:numId w:val="44"/>
        </w:numPr>
        <w:spacing w:line="240" w:lineRule="auto"/>
        <w:ind w:left="1418" w:hanging="284"/>
        <w:rPr>
          <w:bCs/>
        </w:rPr>
      </w:pPr>
      <w:r w:rsidRPr="00A07F29">
        <w:rPr>
          <w:bCs/>
        </w:rPr>
        <w:t>DA plāna</w:t>
      </w:r>
      <w:r w:rsidR="002B1603" w:rsidRPr="00A07F29">
        <w:rPr>
          <w:bCs/>
        </w:rPr>
        <w:t xml:space="preserve"> izstrādē iesaistīt</w:t>
      </w:r>
      <w:r w:rsidR="00AC2849" w:rsidRPr="00A07F29">
        <w:rPr>
          <w:bCs/>
        </w:rPr>
        <w:t>aj</w:t>
      </w:r>
      <w:r w:rsidR="002B1603" w:rsidRPr="00A07F29">
        <w:rPr>
          <w:bCs/>
        </w:rPr>
        <w:t>i</w:t>
      </w:r>
      <w:r w:rsidR="00173DFF" w:rsidRPr="00A07F29">
        <w:rPr>
          <w:bCs/>
        </w:rPr>
        <w:t>e</w:t>
      </w:r>
      <w:r w:rsidR="00AC2849" w:rsidRPr="00A07F29">
        <w:rPr>
          <w:bCs/>
        </w:rPr>
        <w:t>m</w:t>
      </w:r>
      <w:r w:rsidR="002B1603" w:rsidRPr="00A07F29">
        <w:rPr>
          <w:bCs/>
        </w:rPr>
        <w:t xml:space="preserve"> biotopu eksperti</w:t>
      </w:r>
      <w:r w:rsidR="00AC2849" w:rsidRPr="00A07F29">
        <w:rPr>
          <w:bCs/>
        </w:rPr>
        <w:t>em</w:t>
      </w:r>
      <w:r w:rsidR="002B1603" w:rsidRPr="00A07F29">
        <w:rPr>
          <w:bCs/>
        </w:rPr>
        <w:t xml:space="preserve"> </w:t>
      </w:r>
      <w:r w:rsidR="00B62BAF" w:rsidRPr="00A07F29">
        <w:rPr>
          <w:bCs/>
        </w:rPr>
        <w:t xml:space="preserve">Vitas Līcītes, Uvja </w:t>
      </w:r>
      <w:proofErr w:type="spellStart"/>
      <w:r w:rsidR="00B62BAF" w:rsidRPr="00A07F29">
        <w:rPr>
          <w:bCs/>
        </w:rPr>
        <w:t>Suško</w:t>
      </w:r>
      <w:proofErr w:type="spellEnd"/>
      <w:r w:rsidR="00B62BAF" w:rsidRPr="00A07F29">
        <w:rPr>
          <w:bCs/>
        </w:rPr>
        <w:t xml:space="preserve">, </w:t>
      </w:r>
      <w:r w:rsidR="002B1603" w:rsidRPr="00A07F29">
        <w:rPr>
          <w:bCs/>
        </w:rPr>
        <w:t>Aiva</w:t>
      </w:r>
      <w:r w:rsidR="00B62BAF" w:rsidRPr="00A07F29">
        <w:rPr>
          <w:bCs/>
        </w:rPr>
        <w:t>s</w:t>
      </w:r>
      <w:r w:rsidR="002B1603" w:rsidRPr="00A07F29">
        <w:rPr>
          <w:bCs/>
        </w:rPr>
        <w:t xml:space="preserve"> Bojāre</w:t>
      </w:r>
      <w:r w:rsidR="00AC2849" w:rsidRPr="00A07F29">
        <w:rPr>
          <w:bCs/>
        </w:rPr>
        <w:t>s</w:t>
      </w:r>
      <w:r w:rsidR="002B1603" w:rsidRPr="00A07F29">
        <w:rPr>
          <w:bCs/>
        </w:rPr>
        <w:t xml:space="preserve">, </w:t>
      </w:r>
      <w:r w:rsidR="00AC2849" w:rsidRPr="00A07F29">
        <w:rPr>
          <w:bCs/>
        </w:rPr>
        <w:t xml:space="preserve">Pētera </w:t>
      </w:r>
      <w:proofErr w:type="spellStart"/>
      <w:r w:rsidR="00AC2849" w:rsidRPr="00A07F29">
        <w:rPr>
          <w:bCs/>
        </w:rPr>
        <w:t>Evarta-Bundera</w:t>
      </w:r>
      <w:proofErr w:type="spellEnd"/>
      <w:r w:rsidR="00AC2849" w:rsidRPr="00A07F29">
        <w:rPr>
          <w:bCs/>
        </w:rPr>
        <w:t xml:space="preserve"> </w:t>
      </w:r>
      <w:r w:rsidR="002B1603" w:rsidRPr="00A07F29">
        <w:rPr>
          <w:bCs/>
        </w:rPr>
        <w:t>un Gunta</w:t>
      </w:r>
      <w:r w:rsidR="00AC2849" w:rsidRPr="00A07F29">
        <w:rPr>
          <w:bCs/>
        </w:rPr>
        <w:t>s</w:t>
      </w:r>
      <w:r w:rsidR="002B1603" w:rsidRPr="00A07F29">
        <w:rPr>
          <w:bCs/>
        </w:rPr>
        <w:t xml:space="preserve"> </w:t>
      </w:r>
      <w:proofErr w:type="spellStart"/>
      <w:r w:rsidR="00AC2849" w:rsidRPr="00A07F29">
        <w:rPr>
          <w:bCs/>
        </w:rPr>
        <w:t>Evartes</w:t>
      </w:r>
      <w:r w:rsidR="002B1603" w:rsidRPr="00A07F29">
        <w:rPr>
          <w:bCs/>
        </w:rPr>
        <w:t>-</w:t>
      </w:r>
      <w:r w:rsidR="00AC2849" w:rsidRPr="00A07F29">
        <w:rPr>
          <w:bCs/>
        </w:rPr>
        <w:t>Bunderes</w:t>
      </w:r>
      <w:proofErr w:type="spellEnd"/>
      <w:r w:rsidR="002B1603" w:rsidRPr="00A07F29">
        <w:rPr>
          <w:bCs/>
        </w:rPr>
        <w:t>.</w:t>
      </w:r>
    </w:p>
    <w:p w14:paraId="1EF9513B" w14:textId="4571BD56" w:rsidR="002B1603" w:rsidRPr="00A07F29" w:rsidRDefault="002B1603" w:rsidP="00B62BAF">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bCs/>
          <w:sz w:val="24"/>
        </w:rPr>
        <w:t xml:space="preserve">Saskaņā ar aktualizētajiem datiem AAA </w:t>
      </w:r>
      <w:r w:rsidR="006A373E" w:rsidRPr="00A07F29">
        <w:rPr>
          <w:rFonts w:ascii="Times New Roman" w:eastAsia="Calibri" w:hAnsi="Times New Roman" w:cs="Calibri"/>
          <w:bCs/>
          <w:sz w:val="24"/>
        </w:rPr>
        <w:t xml:space="preserve">“Augšdaugava” </w:t>
      </w:r>
      <w:r w:rsidRPr="00A07F29">
        <w:rPr>
          <w:rFonts w:ascii="Times New Roman" w:eastAsia="Calibri" w:hAnsi="Times New Roman" w:cs="Calibri"/>
          <w:bCs/>
          <w:sz w:val="24"/>
        </w:rPr>
        <w:t xml:space="preserve">teritorijā kopumā ir reģistrēti </w:t>
      </w:r>
      <w:r w:rsidR="006C3B3F" w:rsidRPr="00A07F29">
        <w:rPr>
          <w:rFonts w:ascii="Times New Roman" w:eastAsia="Calibri" w:hAnsi="Times New Roman" w:cs="Calibri"/>
          <w:bCs/>
          <w:sz w:val="24"/>
        </w:rPr>
        <w:t xml:space="preserve">27 </w:t>
      </w:r>
      <w:r w:rsidRPr="00A07F29">
        <w:rPr>
          <w:rFonts w:ascii="Times New Roman" w:eastAsia="Calibri" w:hAnsi="Times New Roman" w:cs="Calibri"/>
          <w:bCs/>
          <w:sz w:val="24"/>
        </w:rPr>
        <w:t xml:space="preserve">ES nozīmes aizsargājamie biotopi ar kopējo platību </w:t>
      </w:r>
      <w:r w:rsidR="00450903" w:rsidRPr="00A07F29">
        <w:rPr>
          <w:rFonts w:ascii="Times New Roman" w:eastAsia="Calibri" w:hAnsi="Times New Roman" w:cs="Calibri"/>
          <w:bCs/>
          <w:sz w:val="24"/>
        </w:rPr>
        <w:t>4548,77</w:t>
      </w:r>
      <w:r w:rsidR="00192ED7" w:rsidRPr="00A07F29">
        <w:rPr>
          <w:rFonts w:ascii="Times New Roman" w:eastAsia="Calibri" w:hAnsi="Times New Roman" w:cs="Calibri"/>
          <w:bCs/>
          <w:sz w:val="24"/>
        </w:rPr>
        <w:t> </w:t>
      </w:r>
      <w:r w:rsidRPr="00A07F29">
        <w:rPr>
          <w:rFonts w:ascii="Times New Roman" w:eastAsia="Calibri" w:hAnsi="Times New Roman" w:cs="Calibri"/>
          <w:bCs/>
          <w:sz w:val="24"/>
        </w:rPr>
        <w:t xml:space="preserve">ha, kas aizņem </w:t>
      </w:r>
      <w:r w:rsidR="006C3B3F" w:rsidRPr="00A07F29">
        <w:rPr>
          <w:rFonts w:ascii="Times New Roman" w:eastAsia="Calibri" w:hAnsi="Times New Roman" w:cs="Calibri"/>
          <w:bCs/>
          <w:sz w:val="24"/>
        </w:rPr>
        <w:t>8,7</w:t>
      </w:r>
      <w:r w:rsidR="00192ED7" w:rsidRPr="00A07F29">
        <w:rPr>
          <w:rFonts w:ascii="Times New Roman" w:eastAsia="Calibri" w:hAnsi="Times New Roman" w:cs="Calibri"/>
          <w:bCs/>
          <w:sz w:val="24"/>
        </w:rPr>
        <w:t> </w:t>
      </w:r>
      <w:r w:rsidRPr="00A07F29">
        <w:rPr>
          <w:rFonts w:ascii="Times New Roman" w:eastAsia="Calibri" w:hAnsi="Times New Roman" w:cs="Calibri"/>
          <w:bCs/>
          <w:sz w:val="24"/>
        </w:rPr>
        <w:t xml:space="preserve">% no kopējās ĪADT teritorijas. </w:t>
      </w:r>
      <w:r w:rsidR="00AC2849" w:rsidRPr="00A07F29">
        <w:rPr>
          <w:rFonts w:ascii="Times New Roman" w:eastAsia="Calibri" w:hAnsi="Times New Roman" w:cs="Calibri"/>
          <w:bCs/>
          <w:sz w:val="24"/>
        </w:rPr>
        <w:t xml:space="preserve">Apkopojums </w:t>
      </w:r>
      <w:r w:rsidRPr="00A07F29">
        <w:rPr>
          <w:rFonts w:ascii="Times New Roman" w:eastAsia="Calibri" w:hAnsi="Times New Roman" w:cs="Calibri"/>
          <w:bCs/>
          <w:sz w:val="24"/>
        </w:rPr>
        <w:t xml:space="preserve">par AAA teritorijā konstatētajiem ES nozīmes aizsargājamiem biotopiem, to platībām un novērtējumu </w:t>
      </w:r>
      <w:r w:rsidR="00AC2849" w:rsidRPr="00A07F29">
        <w:rPr>
          <w:rFonts w:ascii="Times New Roman" w:eastAsia="Calibri" w:hAnsi="Times New Roman" w:cs="Calibri"/>
          <w:bCs/>
          <w:sz w:val="24"/>
        </w:rPr>
        <w:t>dots</w:t>
      </w:r>
      <w:r w:rsidRPr="00A07F29">
        <w:rPr>
          <w:rFonts w:ascii="Times New Roman" w:eastAsia="Calibri" w:hAnsi="Times New Roman" w:cs="Calibri"/>
          <w:bCs/>
          <w:sz w:val="24"/>
        </w:rPr>
        <w:t xml:space="preserve"> 4.3.1.</w:t>
      </w:r>
      <w:r w:rsidR="00192ED7" w:rsidRPr="00A07F29">
        <w:rPr>
          <w:rFonts w:ascii="Times New Roman" w:eastAsia="Calibri" w:hAnsi="Times New Roman" w:cs="Calibri"/>
          <w:bCs/>
          <w:sz w:val="24"/>
        </w:rPr>
        <w:t> </w:t>
      </w:r>
      <w:r w:rsidRPr="00A07F29">
        <w:rPr>
          <w:rFonts w:ascii="Times New Roman" w:eastAsia="Calibri" w:hAnsi="Times New Roman" w:cs="Calibri"/>
          <w:bCs/>
          <w:sz w:val="24"/>
        </w:rPr>
        <w:t xml:space="preserve">tabulā, savukārt ES nozīmes aizsargājamo biotopu platību izmaiņu </w:t>
      </w:r>
      <w:proofErr w:type="spellStart"/>
      <w:r w:rsidR="00AC2849" w:rsidRPr="00A07F29">
        <w:rPr>
          <w:rFonts w:ascii="Times New Roman" w:eastAsia="Calibri" w:hAnsi="Times New Roman" w:cs="Calibri"/>
          <w:bCs/>
          <w:sz w:val="24"/>
        </w:rPr>
        <w:t>izvērtējums</w:t>
      </w:r>
      <w:proofErr w:type="spellEnd"/>
      <w:r w:rsidRPr="00A07F29">
        <w:rPr>
          <w:rFonts w:ascii="Times New Roman" w:eastAsia="Calibri" w:hAnsi="Times New Roman" w:cs="Calibri"/>
          <w:bCs/>
          <w:sz w:val="24"/>
        </w:rPr>
        <w:t xml:space="preserve">, salīdzinot ar </w:t>
      </w:r>
      <w:proofErr w:type="spellStart"/>
      <w:r w:rsidR="0092556E" w:rsidRPr="00A07F29">
        <w:rPr>
          <w:rFonts w:ascii="Times New Roman" w:eastAsia="Calibri" w:hAnsi="Times New Roman" w:cs="Calibri"/>
          <w:bCs/>
          <w:i/>
          <w:sz w:val="24"/>
        </w:rPr>
        <w:t>Natura</w:t>
      </w:r>
      <w:proofErr w:type="spellEnd"/>
      <w:r w:rsidR="006A373E" w:rsidRPr="00A07F29">
        <w:rPr>
          <w:rFonts w:ascii="Times New Roman" w:eastAsia="Calibri" w:hAnsi="Times New Roman" w:cs="Calibri"/>
          <w:bCs/>
          <w:i/>
          <w:sz w:val="24"/>
        </w:rPr>
        <w:t xml:space="preserve"> </w:t>
      </w:r>
      <w:r w:rsidRPr="00A07F29">
        <w:rPr>
          <w:rFonts w:ascii="Times New Roman" w:eastAsia="Calibri" w:hAnsi="Times New Roman" w:cs="Calibri"/>
          <w:bCs/>
          <w:i/>
          <w:sz w:val="24"/>
        </w:rPr>
        <w:t>2000</w:t>
      </w:r>
      <w:r w:rsidRPr="00A07F29">
        <w:rPr>
          <w:rFonts w:ascii="Times New Roman" w:eastAsia="Calibri" w:hAnsi="Times New Roman" w:cs="Calibri"/>
          <w:bCs/>
          <w:sz w:val="24"/>
        </w:rPr>
        <w:t xml:space="preserve"> datubāzē</w:t>
      </w:r>
      <w:r w:rsidR="000C7B4A" w:rsidRPr="00A07F29">
        <w:rPr>
          <w:rStyle w:val="FootnoteReference"/>
          <w:rFonts w:ascii="Times New Roman" w:eastAsia="Calibri" w:hAnsi="Times New Roman" w:cs="Calibri"/>
          <w:bCs/>
          <w:sz w:val="24"/>
        </w:rPr>
        <w:footnoteReference w:id="30"/>
      </w:r>
      <w:r w:rsidRPr="00A07F29">
        <w:rPr>
          <w:rFonts w:ascii="Times New Roman" w:eastAsia="Calibri" w:hAnsi="Times New Roman" w:cs="Calibri"/>
          <w:bCs/>
          <w:sz w:val="24"/>
        </w:rPr>
        <w:t xml:space="preserve"> iekļauto informāciju </w:t>
      </w:r>
      <w:r w:rsidR="00AC2849" w:rsidRPr="00A07F29">
        <w:rPr>
          <w:rFonts w:ascii="Times New Roman" w:eastAsia="Calibri" w:hAnsi="Times New Roman" w:cs="Calibri"/>
          <w:bCs/>
          <w:sz w:val="24"/>
        </w:rPr>
        <w:t>dots</w:t>
      </w:r>
      <w:r w:rsidRPr="00A07F29">
        <w:rPr>
          <w:rFonts w:ascii="Times New Roman" w:eastAsia="Calibri" w:hAnsi="Times New Roman" w:cs="Calibri"/>
          <w:bCs/>
          <w:sz w:val="24"/>
        </w:rPr>
        <w:t xml:space="preserve"> 4.3.2</w:t>
      </w:r>
      <w:r w:rsidR="009A23A2" w:rsidRPr="00A07F29">
        <w:rPr>
          <w:rFonts w:ascii="Times New Roman" w:eastAsia="Calibri" w:hAnsi="Times New Roman" w:cs="Calibri"/>
          <w:bCs/>
          <w:sz w:val="24"/>
        </w:rPr>
        <w:t> </w:t>
      </w:r>
      <w:r w:rsidRPr="00A07F29">
        <w:rPr>
          <w:rFonts w:ascii="Times New Roman" w:eastAsia="Calibri" w:hAnsi="Times New Roman" w:cs="Calibri"/>
          <w:bCs/>
          <w:sz w:val="24"/>
        </w:rPr>
        <w:t>tabulā. AAA</w:t>
      </w:r>
      <w:r w:rsidR="006A373E" w:rsidRPr="00A07F29">
        <w:rPr>
          <w:rFonts w:ascii="Times New Roman" w:eastAsia="Calibri" w:hAnsi="Times New Roman" w:cs="Calibri"/>
          <w:bCs/>
          <w:sz w:val="24"/>
        </w:rPr>
        <w:t xml:space="preserve"> “Augšdaugava” </w:t>
      </w:r>
      <w:r w:rsidRPr="00A07F29">
        <w:rPr>
          <w:rFonts w:ascii="Times New Roman" w:eastAsia="Calibri" w:hAnsi="Times New Roman" w:cs="Calibri"/>
          <w:bCs/>
          <w:sz w:val="24"/>
        </w:rPr>
        <w:t xml:space="preserve">teritorijā sastopamo ES nozīmes aizsargājamo biotopu izvietojuma kartogrāfisks attēlojums </w:t>
      </w:r>
      <w:r w:rsidR="00AC2849" w:rsidRPr="00A07F29">
        <w:rPr>
          <w:rFonts w:ascii="Times New Roman" w:eastAsia="Calibri" w:hAnsi="Times New Roman" w:cs="Calibri"/>
          <w:bCs/>
          <w:sz w:val="24"/>
        </w:rPr>
        <w:t xml:space="preserve">dots </w:t>
      </w:r>
      <w:r w:rsidRPr="00A07F29">
        <w:rPr>
          <w:rFonts w:ascii="Times New Roman" w:eastAsia="Calibri" w:hAnsi="Times New Roman" w:cs="Calibri"/>
          <w:bCs/>
          <w:sz w:val="24"/>
        </w:rPr>
        <w:t>4.</w:t>
      </w:r>
      <w:r w:rsidR="00511AA1" w:rsidRPr="00A07F29">
        <w:rPr>
          <w:rFonts w:ascii="Times New Roman" w:eastAsia="Calibri" w:hAnsi="Times New Roman" w:cs="Calibri"/>
          <w:bCs/>
          <w:sz w:val="24"/>
        </w:rPr>
        <w:t>4</w:t>
      </w:r>
      <w:r w:rsidRPr="00A07F29">
        <w:rPr>
          <w:rFonts w:ascii="Times New Roman" w:eastAsia="Calibri" w:hAnsi="Times New Roman" w:cs="Calibri"/>
          <w:bCs/>
          <w:sz w:val="24"/>
        </w:rPr>
        <w:t>.</w:t>
      </w:r>
      <w:r w:rsidR="000C7B4A" w:rsidRPr="00A07F29">
        <w:rPr>
          <w:rFonts w:ascii="Times New Roman" w:eastAsia="Calibri" w:hAnsi="Times New Roman" w:cs="Calibri"/>
          <w:bCs/>
          <w:sz w:val="24"/>
        </w:rPr>
        <w:t> </w:t>
      </w:r>
      <w:r w:rsidRPr="00A07F29">
        <w:rPr>
          <w:rFonts w:ascii="Times New Roman" w:eastAsia="Calibri" w:hAnsi="Times New Roman" w:cs="Calibri"/>
          <w:bCs/>
          <w:sz w:val="24"/>
        </w:rPr>
        <w:t>pielikumā.</w:t>
      </w:r>
    </w:p>
    <w:p w14:paraId="5DAE07CC" w14:textId="77777777" w:rsidR="002B1603" w:rsidRPr="00A07F29" w:rsidRDefault="002B1603" w:rsidP="002B1603">
      <w:pPr>
        <w:suppressAutoHyphens/>
        <w:spacing w:after="0" w:line="240" w:lineRule="auto"/>
        <w:rPr>
          <w:rFonts w:ascii="Times New Roman" w:eastAsia="Calibri" w:hAnsi="Times New Roman" w:cs="Times New Roman"/>
          <w:b/>
          <w:i/>
          <w:sz w:val="24"/>
          <w:szCs w:val="20"/>
          <w:lang w:eastAsia="ar-SA"/>
        </w:rPr>
        <w:sectPr w:rsidR="002B1603" w:rsidRPr="00A07F29" w:rsidSect="00F42B9F">
          <w:footerReference w:type="default" r:id="rId41"/>
          <w:pgSz w:w="12240" w:h="15840"/>
          <w:pgMar w:top="1418" w:right="1440" w:bottom="1418" w:left="1440" w:header="708" w:footer="369" w:gutter="0"/>
          <w:cols w:space="708"/>
          <w:docGrid w:linePitch="360"/>
        </w:sectPr>
      </w:pPr>
    </w:p>
    <w:p w14:paraId="2D0C60EF" w14:textId="79C6F641" w:rsidR="002B1603" w:rsidRPr="00A07F29" w:rsidRDefault="002B1603" w:rsidP="002300A8">
      <w:pPr>
        <w:suppressAutoHyphens/>
        <w:spacing w:after="120" w:line="240" w:lineRule="auto"/>
        <w:jc w:val="center"/>
        <w:rPr>
          <w:rFonts w:ascii="Times New Roman" w:eastAsia="Calibri" w:hAnsi="Times New Roman" w:cs="Times New Roman"/>
          <w:b/>
          <w:i/>
          <w:sz w:val="24"/>
          <w:szCs w:val="20"/>
          <w:lang w:eastAsia="ar-SA"/>
        </w:rPr>
      </w:pPr>
      <w:r w:rsidRPr="00A07F29">
        <w:rPr>
          <w:rFonts w:ascii="Times New Roman" w:eastAsia="Calibri" w:hAnsi="Times New Roman" w:cs="Times New Roman"/>
          <w:sz w:val="24"/>
          <w:szCs w:val="20"/>
          <w:lang w:eastAsia="ar-SA"/>
        </w:rPr>
        <w:lastRenderedPageBreak/>
        <w:t>4.3.1.</w:t>
      </w:r>
      <w:r w:rsidR="009E3033" w:rsidRPr="00A07F29">
        <w:rPr>
          <w:rFonts w:ascii="Times New Roman" w:eastAsia="Calibri" w:hAnsi="Times New Roman" w:cs="Times New Roman"/>
          <w:sz w:val="24"/>
          <w:szCs w:val="20"/>
          <w:lang w:eastAsia="ar-SA"/>
        </w:rPr>
        <w:t> </w:t>
      </w:r>
      <w:r w:rsidRPr="00A07F29">
        <w:rPr>
          <w:rFonts w:ascii="Times New Roman" w:eastAsia="Calibri" w:hAnsi="Times New Roman" w:cs="Times New Roman"/>
          <w:sz w:val="24"/>
          <w:szCs w:val="20"/>
          <w:lang w:eastAsia="ar-SA"/>
        </w:rPr>
        <w:t>tabula</w:t>
      </w:r>
      <w:r w:rsidRPr="003A7316">
        <w:rPr>
          <w:rFonts w:ascii="Times New Roman" w:eastAsia="Calibri" w:hAnsi="Times New Roman" w:cs="Times New Roman"/>
          <w:sz w:val="24"/>
          <w:szCs w:val="20"/>
          <w:lang w:eastAsia="ar-SA"/>
        </w:rPr>
        <w:t>. Īpaši aizsargājamie</w:t>
      </w:r>
      <w:r w:rsidRPr="00A07F29">
        <w:rPr>
          <w:rFonts w:ascii="Times New Roman" w:eastAsia="Calibri" w:hAnsi="Times New Roman" w:cs="Times New Roman"/>
          <w:sz w:val="24"/>
          <w:szCs w:val="20"/>
          <w:lang w:eastAsia="ar-SA"/>
        </w:rPr>
        <w:t xml:space="preserve"> biotopi AAA </w:t>
      </w:r>
      <w:r w:rsidR="00DD0424" w:rsidRPr="00A07F29">
        <w:rPr>
          <w:rFonts w:ascii="Times New Roman" w:eastAsia="Calibri" w:hAnsi="Times New Roman" w:cs="Times New Roman"/>
          <w:sz w:val="24"/>
          <w:szCs w:val="20"/>
          <w:lang w:eastAsia="ar-SA"/>
        </w:rPr>
        <w:t>“</w:t>
      </w:r>
      <w:r w:rsidRPr="00A07F29">
        <w:rPr>
          <w:rFonts w:ascii="Times New Roman" w:eastAsia="Calibri" w:hAnsi="Times New Roman" w:cs="Times New Roman"/>
          <w:sz w:val="24"/>
          <w:szCs w:val="20"/>
          <w:lang w:eastAsia="ar-SA"/>
        </w:rPr>
        <w:t>Augšdaugava” teritorijā</w:t>
      </w:r>
    </w:p>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8"/>
        <w:gridCol w:w="2835"/>
        <w:gridCol w:w="2691"/>
        <w:gridCol w:w="1700"/>
        <w:gridCol w:w="1987"/>
        <w:gridCol w:w="1558"/>
        <w:gridCol w:w="1418"/>
        <w:gridCol w:w="1559"/>
      </w:tblGrid>
      <w:tr w:rsidR="002B1603" w:rsidRPr="00A07F29" w14:paraId="6EC8FBE6" w14:textId="77777777" w:rsidTr="00AD1C16">
        <w:trPr>
          <w:trHeight w:val="1422"/>
          <w:tblHeader/>
          <w:jc w:val="center"/>
        </w:trPr>
        <w:tc>
          <w:tcPr>
            <w:tcW w:w="848" w:type="dxa"/>
            <w:shd w:val="clear" w:color="auto" w:fill="E2EFD9"/>
            <w:vAlign w:val="center"/>
          </w:tcPr>
          <w:p w14:paraId="4EEF8292" w14:textId="77777777" w:rsidR="002B1603" w:rsidRPr="00A07F29" w:rsidRDefault="002B1603" w:rsidP="002B1603">
            <w:pPr>
              <w:suppressAutoHyphens/>
              <w:spacing w:after="0" w:line="240" w:lineRule="auto"/>
              <w:jc w:val="center"/>
              <w:rPr>
                <w:rFonts w:ascii="Times New Roman" w:eastAsia="Calibri" w:hAnsi="Times New Roman" w:cs="Times New Roman"/>
                <w:b/>
                <w:sz w:val="20"/>
                <w:szCs w:val="20"/>
                <w:lang w:eastAsia="ar-SA"/>
              </w:rPr>
            </w:pPr>
            <w:r w:rsidRPr="00A07F29">
              <w:rPr>
                <w:rFonts w:ascii="Times New Roman" w:eastAsia="Calibri" w:hAnsi="Times New Roman" w:cs="Times New Roman"/>
                <w:b/>
                <w:sz w:val="20"/>
                <w:szCs w:val="20"/>
                <w:lang w:eastAsia="ar-SA"/>
              </w:rPr>
              <w:t>Nr.</w:t>
            </w:r>
          </w:p>
          <w:p w14:paraId="5570FB65" w14:textId="77777777" w:rsidR="002B1603" w:rsidRPr="00A07F29" w:rsidRDefault="002B1603" w:rsidP="002B1603">
            <w:pPr>
              <w:suppressAutoHyphens/>
              <w:spacing w:after="0" w:line="240" w:lineRule="auto"/>
              <w:jc w:val="center"/>
              <w:rPr>
                <w:rFonts w:ascii="Times New Roman" w:eastAsia="Calibri" w:hAnsi="Times New Roman" w:cs="Times New Roman"/>
                <w:b/>
                <w:sz w:val="20"/>
                <w:szCs w:val="20"/>
                <w:lang w:eastAsia="ar-SA"/>
              </w:rPr>
            </w:pPr>
            <w:r w:rsidRPr="00A07F29">
              <w:rPr>
                <w:rFonts w:ascii="Times New Roman" w:eastAsia="Calibri" w:hAnsi="Times New Roman" w:cs="Times New Roman"/>
                <w:b/>
                <w:sz w:val="20"/>
                <w:szCs w:val="20"/>
                <w:lang w:eastAsia="ar-SA"/>
              </w:rPr>
              <w:t>p.k.</w:t>
            </w:r>
          </w:p>
        </w:tc>
        <w:tc>
          <w:tcPr>
            <w:tcW w:w="2835" w:type="dxa"/>
            <w:shd w:val="clear" w:color="auto" w:fill="E2EFD9"/>
            <w:vAlign w:val="center"/>
          </w:tcPr>
          <w:p w14:paraId="631BEB05" w14:textId="517645F7" w:rsidR="002B1603" w:rsidRPr="00A07F29" w:rsidRDefault="002B1603" w:rsidP="002B1603">
            <w:pPr>
              <w:suppressAutoHyphens/>
              <w:spacing w:after="0" w:line="240" w:lineRule="auto"/>
              <w:jc w:val="center"/>
              <w:rPr>
                <w:rFonts w:ascii="Times New Roman" w:eastAsia="Calibri" w:hAnsi="Times New Roman" w:cs="Times New Roman"/>
                <w:b/>
                <w:sz w:val="20"/>
                <w:szCs w:val="20"/>
                <w:lang w:eastAsia="ar-SA"/>
              </w:rPr>
            </w:pPr>
            <w:r w:rsidRPr="00A07F29">
              <w:rPr>
                <w:rFonts w:ascii="Times New Roman" w:eastAsia="Calibri" w:hAnsi="Times New Roman" w:cs="Times New Roman"/>
                <w:b/>
                <w:sz w:val="20"/>
                <w:szCs w:val="20"/>
                <w:lang w:eastAsia="ar-SA"/>
              </w:rPr>
              <w:t>ES nozīmes aizsargājamā biotopa kods un nosaukums (ar * atzīmē prioritāros biotopus)</w:t>
            </w:r>
          </w:p>
        </w:tc>
        <w:tc>
          <w:tcPr>
            <w:tcW w:w="2691" w:type="dxa"/>
            <w:shd w:val="clear" w:color="auto" w:fill="E2EFD9"/>
            <w:vAlign w:val="center"/>
          </w:tcPr>
          <w:p w14:paraId="41140DA3" w14:textId="77777777" w:rsidR="002B1603" w:rsidRPr="00A07F29" w:rsidRDefault="002B1603" w:rsidP="002B1603">
            <w:pPr>
              <w:suppressAutoHyphens/>
              <w:spacing w:after="0" w:line="240" w:lineRule="auto"/>
              <w:jc w:val="center"/>
              <w:rPr>
                <w:rFonts w:ascii="Times New Roman" w:eastAsia="Calibri" w:hAnsi="Times New Roman" w:cs="Times New Roman"/>
                <w:b/>
                <w:sz w:val="20"/>
                <w:szCs w:val="20"/>
                <w:lang w:eastAsia="ar-SA"/>
              </w:rPr>
            </w:pPr>
            <w:r w:rsidRPr="00A07F29">
              <w:rPr>
                <w:rFonts w:ascii="Times New Roman" w:eastAsia="Calibri" w:hAnsi="Times New Roman" w:cs="Times New Roman"/>
                <w:b/>
                <w:sz w:val="20"/>
                <w:szCs w:val="20"/>
                <w:lang w:eastAsia="ar-SA"/>
              </w:rPr>
              <w:t>Latvijas nozīmes īpaši aizsargājamā biotopa nosaukums</w:t>
            </w:r>
          </w:p>
        </w:tc>
        <w:tc>
          <w:tcPr>
            <w:tcW w:w="1700" w:type="dxa"/>
            <w:shd w:val="clear" w:color="auto" w:fill="E2EFD9"/>
            <w:vAlign w:val="center"/>
          </w:tcPr>
          <w:p w14:paraId="395BF27E" w14:textId="77777777" w:rsidR="002B1603" w:rsidRPr="00A07F29" w:rsidRDefault="002B1603" w:rsidP="002B1603">
            <w:pPr>
              <w:suppressAutoHyphens/>
              <w:spacing w:after="0" w:line="240" w:lineRule="auto"/>
              <w:jc w:val="center"/>
              <w:rPr>
                <w:rFonts w:ascii="Times New Roman" w:eastAsia="Calibri" w:hAnsi="Times New Roman" w:cs="Times New Roman"/>
                <w:b/>
                <w:sz w:val="20"/>
                <w:szCs w:val="20"/>
                <w:lang w:eastAsia="ar-SA"/>
              </w:rPr>
            </w:pPr>
            <w:r w:rsidRPr="00A07F29">
              <w:rPr>
                <w:rFonts w:ascii="Times New Roman" w:eastAsia="Calibri" w:hAnsi="Times New Roman" w:cs="Times New Roman"/>
                <w:b/>
                <w:sz w:val="20"/>
                <w:szCs w:val="20"/>
                <w:lang w:eastAsia="ar-SA"/>
              </w:rPr>
              <w:t>Biotopa platība (ha) AAA teritorijā</w:t>
            </w:r>
          </w:p>
        </w:tc>
        <w:tc>
          <w:tcPr>
            <w:tcW w:w="1987" w:type="dxa"/>
            <w:shd w:val="clear" w:color="auto" w:fill="E2EFD9"/>
            <w:vAlign w:val="center"/>
          </w:tcPr>
          <w:p w14:paraId="1772A22B" w14:textId="624F25AC" w:rsidR="002B1603" w:rsidRPr="00A07F29" w:rsidRDefault="002B1603" w:rsidP="002B1603">
            <w:pPr>
              <w:suppressAutoHyphens/>
              <w:spacing w:after="0" w:line="240" w:lineRule="auto"/>
              <w:jc w:val="center"/>
              <w:rPr>
                <w:rFonts w:ascii="Times New Roman" w:eastAsia="Calibri" w:hAnsi="Times New Roman" w:cs="Times New Roman"/>
                <w:b/>
                <w:sz w:val="20"/>
                <w:szCs w:val="20"/>
                <w:lang w:eastAsia="ar-SA"/>
              </w:rPr>
            </w:pPr>
            <w:r w:rsidRPr="00A07F29">
              <w:rPr>
                <w:rFonts w:ascii="Times New Roman" w:eastAsia="Calibri" w:hAnsi="Times New Roman" w:cs="Times New Roman"/>
                <w:b/>
                <w:sz w:val="20"/>
                <w:szCs w:val="20"/>
                <w:lang w:eastAsia="ar-SA"/>
              </w:rPr>
              <w:t>Biotopa platības attiecība (%) pret AAA kopējo platīb</w:t>
            </w:r>
            <w:r w:rsidR="008E4359" w:rsidRPr="00A07F29">
              <w:rPr>
                <w:rFonts w:ascii="Times New Roman" w:eastAsia="Calibri" w:hAnsi="Times New Roman" w:cs="Times New Roman"/>
                <w:b/>
                <w:sz w:val="20"/>
                <w:szCs w:val="20"/>
                <w:lang w:eastAsia="ar-SA"/>
              </w:rPr>
              <w:t>u</w:t>
            </w:r>
          </w:p>
        </w:tc>
        <w:tc>
          <w:tcPr>
            <w:tcW w:w="1558" w:type="dxa"/>
            <w:shd w:val="clear" w:color="auto" w:fill="E2EFD9"/>
            <w:vAlign w:val="center"/>
          </w:tcPr>
          <w:p w14:paraId="23C40FA8" w14:textId="1CAA46C8" w:rsidR="002B1603" w:rsidRPr="00A07F29" w:rsidRDefault="002B1603" w:rsidP="002B1603">
            <w:pPr>
              <w:suppressAutoHyphens/>
              <w:spacing w:after="0" w:line="240" w:lineRule="auto"/>
              <w:jc w:val="center"/>
              <w:rPr>
                <w:rFonts w:ascii="Times New Roman" w:eastAsia="Calibri" w:hAnsi="Times New Roman" w:cs="Times New Roman"/>
                <w:b/>
                <w:sz w:val="20"/>
                <w:szCs w:val="20"/>
                <w:lang w:eastAsia="ar-SA"/>
              </w:rPr>
            </w:pPr>
            <w:r w:rsidRPr="00A07F29">
              <w:rPr>
                <w:rFonts w:ascii="Times New Roman" w:eastAsia="Calibri" w:hAnsi="Times New Roman" w:cs="Times New Roman"/>
                <w:b/>
                <w:sz w:val="20"/>
                <w:szCs w:val="20"/>
                <w:lang w:eastAsia="ar-SA"/>
              </w:rPr>
              <w:t xml:space="preserve">AAA teritorijā konstatētās biotopa platības attiecība (%) pret biotopa platību </w:t>
            </w:r>
            <w:proofErr w:type="spellStart"/>
            <w:r w:rsidR="0092556E" w:rsidRPr="00A07F29">
              <w:rPr>
                <w:rFonts w:ascii="Times New Roman" w:eastAsia="Calibri" w:hAnsi="Times New Roman" w:cs="Times New Roman"/>
                <w:b/>
                <w:i/>
                <w:sz w:val="20"/>
                <w:szCs w:val="20"/>
                <w:lang w:eastAsia="ar-SA"/>
              </w:rPr>
              <w:t>Natura</w:t>
            </w:r>
            <w:proofErr w:type="spellEnd"/>
            <w:r w:rsidRPr="00A07F29">
              <w:rPr>
                <w:rFonts w:ascii="Times New Roman" w:eastAsia="Calibri" w:hAnsi="Times New Roman" w:cs="Times New Roman"/>
                <w:b/>
                <w:i/>
                <w:sz w:val="20"/>
                <w:szCs w:val="20"/>
                <w:lang w:eastAsia="ar-SA"/>
              </w:rPr>
              <w:t xml:space="preserve"> 2000</w:t>
            </w:r>
            <w:r w:rsidRPr="00A07F29">
              <w:rPr>
                <w:rFonts w:ascii="Times New Roman" w:eastAsia="Calibri" w:hAnsi="Times New Roman" w:cs="Times New Roman"/>
                <w:b/>
                <w:sz w:val="20"/>
                <w:szCs w:val="20"/>
                <w:lang w:eastAsia="ar-SA"/>
              </w:rPr>
              <w:t xml:space="preserve"> teritorijās Latvijā</w:t>
            </w:r>
          </w:p>
        </w:tc>
        <w:tc>
          <w:tcPr>
            <w:tcW w:w="1418" w:type="dxa"/>
            <w:shd w:val="clear" w:color="auto" w:fill="E2EFD9"/>
            <w:vAlign w:val="center"/>
          </w:tcPr>
          <w:p w14:paraId="3399772D" w14:textId="3F2556A8" w:rsidR="002B1603" w:rsidRPr="00A07F29" w:rsidRDefault="002B1603" w:rsidP="00F14CF8">
            <w:pPr>
              <w:suppressAutoHyphens/>
              <w:spacing w:after="0" w:line="240" w:lineRule="auto"/>
              <w:jc w:val="center"/>
              <w:rPr>
                <w:rFonts w:ascii="Times New Roman" w:eastAsia="Calibri" w:hAnsi="Times New Roman" w:cs="Times New Roman"/>
                <w:b/>
                <w:sz w:val="20"/>
                <w:szCs w:val="20"/>
                <w:lang w:eastAsia="ar-SA"/>
              </w:rPr>
            </w:pPr>
            <w:r w:rsidRPr="00A07F29">
              <w:rPr>
                <w:rFonts w:ascii="Times New Roman" w:eastAsia="Calibri" w:hAnsi="Times New Roman" w:cs="Times New Roman"/>
                <w:b/>
                <w:sz w:val="20"/>
                <w:szCs w:val="20"/>
                <w:lang w:eastAsia="ar-SA"/>
              </w:rPr>
              <w:t>AAA teritorijā konstatētās biotopa platības attiecība (</w:t>
            </w:r>
            <w:r w:rsidR="00F14CF8" w:rsidRPr="00A07F29">
              <w:rPr>
                <w:rFonts w:ascii="Times New Roman" w:eastAsia="Calibri" w:hAnsi="Times New Roman" w:cs="Times New Roman"/>
                <w:b/>
                <w:sz w:val="20"/>
                <w:szCs w:val="20"/>
                <w:lang w:eastAsia="ar-SA"/>
              </w:rPr>
              <w:t>%) pret biotopa platību Latvijā</w:t>
            </w:r>
          </w:p>
        </w:tc>
        <w:tc>
          <w:tcPr>
            <w:tcW w:w="1559" w:type="dxa"/>
            <w:shd w:val="clear" w:color="auto" w:fill="E2EFD9"/>
            <w:vAlign w:val="center"/>
          </w:tcPr>
          <w:p w14:paraId="217DB657" w14:textId="77777777" w:rsidR="002B1603" w:rsidRPr="00A07F29" w:rsidRDefault="002B1603" w:rsidP="002B1603">
            <w:pPr>
              <w:suppressAutoHyphens/>
              <w:spacing w:after="0" w:line="240" w:lineRule="auto"/>
              <w:jc w:val="center"/>
              <w:rPr>
                <w:rFonts w:ascii="Times New Roman" w:eastAsia="Calibri" w:hAnsi="Times New Roman" w:cs="Times New Roman"/>
                <w:b/>
                <w:sz w:val="20"/>
                <w:szCs w:val="20"/>
                <w:lang w:eastAsia="ar-SA"/>
              </w:rPr>
            </w:pPr>
            <w:r w:rsidRPr="00A07F29">
              <w:rPr>
                <w:rFonts w:ascii="Times New Roman" w:eastAsia="Times New Roman" w:hAnsi="Times New Roman" w:cs="Times New Roman"/>
                <w:b/>
                <w:bCs/>
                <w:color w:val="000000"/>
                <w:kern w:val="24"/>
                <w:sz w:val="20"/>
                <w:szCs w:val="20"/>
                <w:lang w:eastAsia="lv-LV"/>
              </w:rPr>
              <w:t>Stāvokļa novērtējums valstī</w:t>
            </w:r>
            <w:r w:rsidRPr="00A07F29">
              <w:rPr>
                <w:rFonts w:ascii="Times New Roman" w:eastAsia="Calibri" w:hAnsi="Times New Roman" w:cs="Times New Roman"/>
                <w:b/>
                <w:sz w:val="20"/>
                <w:szCs w:val="20"/>
                <w:lang w:eastAsia="ar-SA"/>
              </w:rPr>
              <w:t xml:space="preserve"> kopumā (atbilstoši ETC datiem)</w:t>
            </w:r>
          </w:p>
        </w:tc>
      </w:tr>
      <w:tr w:rsidR="002B1603" w:rsidRPr="00A07F29" w14:paraId="256B3D79" w14:textId="77777777" w:rsidTr="00AD1C16">
        <w:trPr>
          <w:trHeight w:val="273"/>
          <w:jc w:val="center"/>
        </w:trPr>
        <w:tc>
          <w:tcPr>
            <w:tcW w:w="14596" w:type="dxa"/>
            <w:gridSpan w:val="8"/>
            <w:shd w:val="clear" w:color="auto" w:fill="C5E0B3"/>
          </w:tcPr>
          <w:p w14:paraId="2F748DA8" w14:textId="77777777" w:rsidR="002B1603" w:rsidRPr="00A07F29" w:rsidRDefault="002B1603" w:rsidP="002B1603">
            <w:pPr>
              <w:suppressAutoHyphens/>
              <w:spacing w:after="0" w:line="240" w:lineRule="auto"/>
              <w:jc w:val="center"/>
              <w:rPr>
                <w:rFonts w:ascii="Times New Roman" w:eastAsia="Calibri" w:hAnsi="Times New Roman" w:cs="Times New Roman"/>
                <w:b/>
                <w:lang w:eastAsia="ar-SA"/>
              </w:rPr>
            </w:pPr>
            <w:r w:rsidRPr="00A07F29">
              <w:rPr>
                <w:rFonts w:ascii="Times New Roman" w:eastAsia="Calibri" w:hAnsi="Times New Roman" w:cs="Times New Roman"/>
                <w:b/>
                <w:lang w:eastAsia="ar-SA"/>
              </w:rPr>
              <w:t>Saldūdeņu biotopi</w:t>
            </w:r>
          </w:p>
        </w:tc>
      </w:tr>
      <w:tr w:rsidR="004D5FB3" w:rsidRPr="00A07F29" w14:paraId="381B864E" w14:textId="77777777" w:rsidTr="0067691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3"/>
          <w:jc w:val="center"/>
        </w:trPr>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60A1774" w14:textId="52E614EB" w:rsidR="004D5FB3" w:rsidRPr="00A07F29" w:rsidRDefault="004D5FB3" w:rsidP="00B24715">
            <w:pPr>
              <w:suppressAutoHyphens/>
              <w:spacing w:after="0" w:line="240" w:lineRule="auto"/>
              <w:jc w:val="center"/>
              <w:rPr>
                <w:rFonts w:ascii="Times New Roman" w:hAnsi="Times New Roman" w:cs="Times New Roman"/>
                <w:highlight w:val="white"/>
              </w:rPr>
            </w:pPr>
            <w:r w:rsidRPr="00A07F29">
              <w:rPr>
                <w:rFonts w:ascii="Times New Roman" w:hAnsi="Times New Roman" w:cs="Times New Roman"/>
                <w:highlight w:val="white"/>
              </w:rPr>
              <w:t>1.</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47B5D9" w14:textId="53707A81" w:rsidR="004D5FB3" w:rsidRPr="00A07F29" w:rsidRDefault="004D5FB3" w:rsidP="00B24715">
            <w:pPr>
              <w:suppressAutoHyphens/>
              <w:spacing w:after="0" w:line="240" w:lineRule="auto"/>
              <w:rPr>
                <w:rFonts w:ascii="Times New Roman" w:hAnsi="Times New Roman" w:cs="Times New Roman"/>
              </w:rPr>
            </w:pPr>
            <w:r w:rsidRPr="00A07F29">
              <w:rPr>
                <w:rFonts w:ascii="Times New Roman" w:eastAsia="Calibri" w:hAnsi="Times New Roman" w:cs="Times New Roman"/>
                <w:highlight w:val="white"/>
                <w:lang w:eastAsia="ar-SA"/>
              </w:rPr>
              <w:t xml:space="preserve">3130 Ezeri ar </w:t>
            </w:r>
            <w:proofErr w:type="spellStart"/>
            <w:r w:rsidRPr="00A07F29">
              <w:rPr>
                <w:rFonts w:ascii="Times New Roman" w:eastAsia="Calibri" w:hAnsi="Times New Roman" w:cs="Times New Roman"/>
                <w:highlight w:val="white"/>
                <w:lang w:eastAsia="ar-SA"/>
              </w:rPr>
              <w:t>oligotrofām</w:t>
            </w:r>
            <w:proofErr w:type="spellEnd"/>
            <w:r w:rsidRPr="00A07F29">
              <w:rPr>
                <w:rFonts w:ascii="Times New Roman" w:eastAsia="Calibri" w:hAnsi="Times New Roman" w:cs="Times New Roman"/>
                <w:highlight w:val="white"/>
                <w:lang w:eastAsia="ar-SA"/>
              </w:rPr>
              <w:t xml:space="preserve"> līdz </w:t>
            </w:r>
            <w:proofErr w:type="spellStart"/>
            <w:r w:rsidRPr="00A07F29">
              <w:rPr>
                <w:rFonts w:ascii="Times New Roman" w:eastAsia="Calibri" w:hAnsi="Times New Roman" w:cs="Times New Roman"/>
                <w:highlight w:val="white"/>
                <w:lang w:eastAsia="ar-SA"/>
              </w:rPr>
              <w:t>mezotrofām</w:t>
            </w:r>
            <w:proofErr w:type="spellEnd"/>
            <w:r w:rsidRPr="00A07F29">
              <w:rPr>
                <w:rFonts w:ascii="Times New Roman" w:eastAsia="Calibri" w:hAnsi="Times New Roman" w:cs="Times New Roman"/>
                <w:highlight w:val="white"/>
                <w:lang w:eastAsia="ar-SA"/>
              </w:rPr>
              <w:t xml:space="preserve"> </w:t>
            </w:r>
            <w:proofErr w:type="spellStart"/>
            <w:r w:rsidRPr="00A07F29">
              <w:rPr>
                <w:rFonts w:ascii="Times New Roman" w:eastAsia="Calibri" w:hAnsi="Times New Roman" w:cs="Times New Roman"/>
                <w:highlight w:val="white"/>
                <w:lang w:eastAsia="ar-SA"/>
              </w:rPr>
              <w:t>augusabiedrībām</w:t>
            </w:r>
            <w:proofErr w:type="spellEnd"/>
          </w:p>
        </w:tc>
        <w:tc>
          <w:tcPr>
            <w:tcW w:w="2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21847AF" w14:textId="77777777" w:rsidR="004D5FB3" w:rsidRPr="00A07F29" w:rsidRDefault="004D5FB3" w:rsidP="00B24715">
            <w:pPr>
              <w:suppressAutoHyphens/>
              <w:spacing w:after="0" w:line="240" w:lineRule="auto"/>
              <w:rPr>
                <w:rFonts w:ascii="Times New Roman" w:hAnsi="Times New Roman" w:cs="Times New Roman"/>
              </w:rPr>
            </w:pPr>
            <w:r w:rsidRPr="00A07F29">
              <w:rPr>
                <w:rFonts w:ascii="Times New Roman" w:eastAsia="Calibri" w:hAnsi="Times New Roman" w:cs="Times New Roman"/>
                <w:highlight w:val="white"/>
                <w:lang w:eastAsia="ar-SA"/>
              </w:rPr>
              <w:t xml:space="preserve">4.5. </w:t>
            </w:r>
            <w:proofErr w:type="spellStart"/>
            <w:r w:rsidRPr="00A07F29">
              <w:rPr>
                <w:rFonts w:ascii="Times New Roman" w:eastAsia="Calibri" w:hAnsi="Times New Roman" w:cs="Times New Roman"/>
                <w:highlight w:val="white"/>
                <w:lang w:eastAsia="ar-SA"/>
              </w:rPr>
              <w:t>Mezotrofi</w:t>
            </w:r>
            <w:proofErr w:type="spellEnd"/>
            <w:r w:rsidRPr="00A07F29">
              <w:rPr>
                <w:rFonts w:ascii="Times New Roman" w:eastAsia="Calibri" w:hAnsi="Times New Roman" w:cs="Times New Roman"/>
                <w:highlight w:val="white"/>
                <w:lang w:eastAsia="ar-SA"/>
              </w:rPr>
              <w:t xml:space="preserve"> ezeri</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882D619" w14:textId="77777777" w:rsidR="004D5FB3" w:rsidRPr="00A07F29" w:rsidRDefault="004D5FB3" w:rsidP="00B24715">
            <w:pPr>
              <w:suppressAutoHyphens/>
              <w:spacing w:after="0" w:line="240" w:lineRule="auto"/>
              <w:jc w:val="center"/>
              <w:rPr>
                <w:rFonts w:ascii="Times New Roman" w:hAnsi="Times New Roman" w:cs="Times New Roman"/>
                <w:bCs/>
                <w:highlight w:val="white"/>
              </w:rPr>
            </w:pPr>
            <w:r w:rsidRPr="00A07F29">
              <w:rPr>
                <w:rFonts w:ascii="Times New Roman" w:eastAsia="Noto Sans CJK SC" w:hAnsi="Times New Roman" w:cs="Times New Roman"/>
                <w:bCs/>
                <w:kern w:val="2"/>
                <w:lang w:eastAsia="zh-CN" w:bidi="hi-IN"/>
              </w:rPr>
              <w:t>59,80 ha</w:t>
            </w:r>
          </w:p>
        </w:tc>
        <w:tc>
          <w:tcPr>
            <w:tcW w:w="19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E5C4888" w14:textId="77777777" w:rsidR="004D5FB3" w:rsidRPr="00A07F29" w:rsidRDefault="004D5FB3" w:rsidP="00B24715">
            <w:pPr>
              <w:suppressAutoHyphens/>
              <w:spacing w:after="0" w:line="240" w:lineRule="auto"/>
              <w:jc w:val="center"/>
              <w:rPr>
                <w:rFonts w:ascii="Times New Roman" w:hAnsi="Times New Roman" w:cs="Times New Roman"/>
                <w:bCs/>
                <w:highlight w:val="white"/>
              </w:rPr>
            </w:pPr>
            <w:r w:rsidRPr="00A07F29">
              <w:rPr>
                <w:rFonts w:ascii="Times New Roman" w:eastAsia="Noto Sans CJK SC" w:hAnsi="Times New Roman" w:cs="Times New Roman"/>
                <w:bCs/>
                <w:kern w:val="2"/>
                <w:lang w:eastAsia="zh-CN" w:bidi="hi-IN"/>
              </w:rPr>
              <w:t>0,11</w:t>
            </w: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7863C" w14:textId="77777777" w:rsidR="004D5FB3" w:rsidRPr="00A07F29" w:rsidRDefault="004D5FB3" w:rsidP="00B24715">
            <w:pPr>
              <w:spacing w:after="0" w:line="240" w:lineRule="auto"/>
              <w:jc w:val="center"/>
              <w:rPr>
                <w:rFonts w:ascii="Times New Roman" w:hAnsi="Times New Roman" w:cs="Times New Roman"/>
                <w:highlight w:val="white"/>
              </w:rPr>
            </w:pPr>
            <w:r w:rsidRPr="00A07F29">
              <w:rPr>
                <w:rFonts w:ascii="Times New Roman" w:hAnsi="Times New Roman" w:cs="Times New Roman"/>
                <w:highlight w:val="white"/>
              </w:rPr>
              <w:t>2,12</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9C59D50" w14:textId="77777777" w:rsidR="004D5FB3" w:rsidRPr="00A07F29" w:rsidRDefault="004D5FB3" w:rsidP="00B24715">
            <w:pPr>
              <w:spacing w:after="0" w:line="240" w:lineRule="auto"/>
              <w:jc w:val="center"/>
              <w:rPr>
                <w:rFonts w:ascii="Times New Roman" w:hAnsi="Times New Roman" w:cs="Times New Roman"/>
                <w:highlight w:val="white"/>
              </w:rPr>
            </w:pPr>
            <w:r w:rsidRPr="00A07F29">
              <w:rPr>
                <w:rFonts w:ascii="Times New Roman" w:hAnsi="Times New Roman" w:cs="Times New Roman"/>
                <w:highlight w:val="white"/>
              </w:rPr>
              <w:t>1,11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Pr>
          <w:p w14:paraId="5D30E705" w14:textId="77777777" w:rsidR="004D5FB3" w:rsidRPr="00A07F29" w:rsidRDefault="004D5FB3" w:rsidP="00B24715">
            <w:pPr>
              <w:spacing w:after="0" w:line="240" w:lineRule="auto"/>
              <w:jc w:val="center"/>
              <w:rPr>
                <w:rFonts w:ascii="Times New Roman" w:hAnsi="Times New Roman" w:cs="Times New Roman"/>
                <w:highlight w:val="red"/>
              </w:rPr>
            </w:pPr>
            <w:r w:rsidRPr="00A07F29">
              <w:rPr>
                <w:rFonts w:ascii="Times New Roman" w:hAnsi="Times New Roman" w:cs="Times New Roman"/>
                <w:highlight w:val="red"/>
              </w:rPr>
              <w:t>U2d</w:t>
            </w:r>
          </w:p>
        </w:tc>
      </w:tr>
      <w:tr w:rsidR="002B1603" w:rsidRPr="00A07F29" w14:paraId="723E0A1A" w14:textId="77777777" w:rsidTr="00AD1C16">
        <w:trPr>
          <w:trHeight w:val="273"/>
          <w:jc w:val="center"/>
        </w:trPr>
        <w:tc>
          <w:tcPr>
            <w:tcW w:w="848" w:type="dxa"/>
          </w:tcPr>
          <w:p w14:paraId="1E2223D3" w14:textId="7F801C7E" w:rsidR="002B1603" w:rsidRPr="00A07F29" w:rsidRDefault="004D5FB3" w:rsidP="00B24715">
            <w:pPr>
              <w:suppressAutoHyphens/>
              <w:spacing w:after="0" w:line="240" w:lineRule="auto"/>
              <w:jc w:val="center"/>
              <w:rPr>
                <w:rFonts w:ascii="Times New Roman" w:eastAsia="Calibri" w:hAnsi="Times New Roman" w:cs="Times New Roman"/>
                <w:bCs/>
                <w:lang w:eastAsia="ar-SA"/>
              </w:rPr>
            </w:pPr>
            <w:r w:rsidRPr="00A07F29">
              <w:rPr>
                <w:rFonts w:ascii="Times New Roman" w:eastAsia="Calibri" w:hAnsi="Times New Roman" w:cs="Times New Roman"/>
                <w:bCs/>
                <w:lang w:eastAsia="ar-SA"/>
              </w:rPr>
              <w:t>2</w:t>
            </w:r>
            <w:r w:rsidR="002B1603" w:rsidRPr="00A07F29">
              <w:rPr>
                <w:rFonts w:ascii="Times New Roman" w:eastAsia="Calibri" w:hAnsi="Times New Roman" w:cs="Times New Roman"/>
                <w:bCs/>
                <w:lang w:eastAsia="ar-SA"/>
              </w:rPr>
              <w:t>.</w:t>
            </w:r>
          </w:p>
        </w:tc>
        <w:tc>
          <w:tcPr>
            <w:tcW w:w="2835" w:type="dxa"/>
          </w:tcPr>
          <w:p w14:paraId="1EC51977" w14:textId="2EADAFA5" w:rsidR="002B1603" w:rsidRPr="00A07F29" w:rsidRDefault="002B1603" w:rsidP="00B24715">
            <w:pPr>
              <w:suppressAutoHyphens/>
              <w:spacing w:after="0" w:line="240" w:lineRule="auto"/>
              <w:rPr>
                <w:rFonts w:ascii="Times New Roman" w:eastAsia="Calibri" w:hAnsi="Times New Roman" w:cs="Times New Roman"/>
                <w:lang w:eastAsia="ar-SA"/>
              </w:rPr>
            </w:pPr>
            <w:r w:rsidRPr="00A07F29">
              <w:rPr>
                <w:rFonts w:ascii="Times New Roman" w:eastAsia="Calibri" w:hAnsi="Times New Roman" w:cs="Times New Roman"/>
                <w:lang w:eastAsia="ar-SA"/>
              </w:rPr>
              <w:t xml:space="preserve">3150 </w:t>
            </w:r>
            <w:proofErr w:type="spellStart"/>
            <w:r w:rsidRPr="00A07F29">
              <w:rPr>
                <w:rFonts w:ascii="Times New Roman" w:eastAsia="Calibri" w:hAnsi="Times New Roman" w:cs="Times New Roman"/>
                <w:lang w:eastAsia="ar-SA"/>
              </w:rPr>
              <w:t>Eitrofi</w:t>
            </w:r>
            <w:proofErr w:type="spellEnd"/>
            <w:r w:rsidRPr="00A07F29">
              <w:rPr>
                <w:rFonts w:ascii="Times New Roman" w:eastAsia="Calibri" w:hAnsi="Times New Roman" w:cs="Times New Roman"/>
                <w:lang w:eastAsia="ar-SA"/>
              </w:rPr>
              <w:t xml:space="preserve"> ezeri</w:t>
            </w:r>
            <w:r w:rsidR="006A373E" w:rsidRPr="00A07F29">
              <w:rPr>
                <w:rFonts w:ascii="Times New Roman" w:eastAsia="Calibri" w:hAnsi="Times New Roman" w:cs="Times New Roman"/>
                <w:lang w:eastAsia="ar-SA"/>
              </w:rPr>
              <w:t xml:space="preserve"> ar iegrimušo ūdensaugu un </w:t>
            </w:r>
            <w:proofErr w:type="spellStart"/>
            <w:r w:rsidR="006A373E" w:rsidRPr="00A07F29">
              <w:rPr>
                <w:rFonts w:ascii="Times New Roman" w:eastAsia="Calibri" w:hAnsi="Times New Roman" w:cs="Times New Roman"/>
                <w:lang w:eastAsia="ar-SA"/>
              </w:rPr>
              <w:t>peldaugu</w:t>
            </w:r>
            <w:proofErr w:type="spellEnd"/>
            <w:r w:rsidR="006A373E" w:rsidRPr="00A07F29">
              <w:rPr>
                <w:rFonts w:ascii="Times New Roman" w:eastAsia="Calibri" w:hAnsi="Times New Roman" w:cs="Times New Roman"/>
                <w:lang w:eastAsia="ar-SA"/>
              </w:rPr>
              <w:t xml:space="preserve"> augāju</w:t>
            </w:r>
          </w:p>
        </w:tc>
        <w:tc>
          <w:tcPr>
            <w:tcW w:w="2691" w:type="dxa"/>
          </w:tcPr>
          <w:p w14:paraId="7ADA568B" w14:textId="77777777" w:rsidR="009C2ABA" w:rsidRPr="00A07F29" w:rsidRDefault="009C2ABA" w:rsidP="00B24715">
            <w:pPr>
              <w:suppressAutoHyphens/>
              <w:spacing w:after="0" w:line="240" w:lineRule="auto"/>
              <w:rPr>
                <w:rFonts w:ascii="Times New Roman" w:eastAsia="Calibri" w:hAnsi="Times New Roman" w:cs="Times New Roman"/>
                <w:shd w:val="clear" w:color="auto" w:fill="FFFFFF"/>
                <w:lang w:eastAsia="ar-SA"/>
              </w:rPr>
            </w:pPr>
            <w:r w:rsidRPr="00A07F29">
              <w:rPr>
                <w:rFonts w:ascii="Times New Roman" w:eastAsia="Calibri" w:hAnsi="Times New Roman" w:cs="Times New Roman"/>
                <w:shd w:val="clear" w:color="auto" w:fill="FFFFFF"/>
                <w:lang w:eastAsia="ar-SA"/>
              </w:rPr>
              <w:t xml:space="preserve">4.15. </w:t>
            </w:r>
            <w:proofErr w:type="spellStart"/>
            <w:r w:rsidRPr="00A07F29">
              <w:rPr>
                <w:rFonts w:ascii="Times New Roman" w:eastAsia="Calibri" w:hAnsi="Times New Roman" w:cs="Times New Roman"/>
                <w:shd w:val="clear" w:color="auto" w:fill="FFFFFF"/>
                <w:lang w:eastAsia="ar-SA"/>
              </w:rPr>
              <w:t>Eitrofi</w:t>
            </w:r>
            <w:proofErr w:type="spellEnd"/>
          </w:p>
          <w:p w14:paraId="253701B1" w14:textId="77777777" w:rsidR="009C2ABA" w:rsidRPr="00A07F29" w:rsidRDefault="009C2ABA" w:rsidP="00B24715">
            <w:pPr>
              <w:suppressAutoHyphens/>
              <w:spacing w:after="0" w:line="240" w:lineRule="auto"/>
              <w:rPr>
                <w:rFonts w:ascii="Times New Roman" w:eastAsia="Calibri" w:hAnsi="Times New Roman" w:cs="Times New Roman"/>
                <w:shd w:val="clear" w:color="auto" w:fill="FFFFFF"/>
                <w:lang w:eastAsia="ar-SA"/>
              </w:rPr>
            </w:pPr>
            <w:r w:rsidRPr="00A07F29">
              <w:rPr>
                <w:rFonts w:ascii="Times New Roman" w:eastAsia="Calibri" w:hAnsi="Times New Roman" w:cs="Times New Roman"/>
                <w:shd w:val="clear" w:color="auto" w:fill="FFFFFF"/>
                <w:lang w:eastAsia="ar-SA"/>
              </w:rPr>
              <w:t>ezeri ar</w:t>
            </w:r>
          </w:p>
          <w:p w14:paraId="4A48AC0E" w14:textId="77777777" w:rsidR="009C2ABA" w:rsidRPr="00A07F29" w:rsidRDefault="009C2ABA" w:rsidP="00B24715">
            <w:pPr>
              <w:suppressAutoHyphens/>
              <w:spacing w:after="0" w:line="240" w:lineRule="auto"/>
              <w:rPr>
                <w:rFonts w:ascii="Times New Roman" w:eastAsia="Calibri" w:hAnsi="Times New Roman" w:cs="Times New Roman"/>
                <w:shd w:val="clear" w:color="auto" w:fill="FFFFFF"/>
                <w:lang w:eastAsia="ar-SA"/>
              </w:rPr>
            </w:pPr>
            <w:r w:rsidRPr="00A07F29">
              <w:rPr>
                <w:rFonts w:ascii="Times New Roman" w:eastAsia="Calibri" w:hAnsi="Times New Roman" w:cs="Times New Roman"/>
                <w:shd w:val="clear" w:color="auto" w:fill="FFFFFF"/>
                <w:lang w:eastAsia="ar-SA"/>
              </w:rPr>
              <w:t>iegrimušo</w:t>
            </w:r>
          </w:p>
          <w:p w14:paraId="60FD7D3C" w14:textId="77777777" w:rsidR="009C2ABA" w:rsidRPr="00A07F29" w:rsidRDefault="009C2ABA" w:rsidP="00B24715">
            <w:pPr>
              <w:suppressAutoHyphens/>
              <w:spacing w:after="0" w:line="240" w:lineRule="auto"/>
              <w:rPr>
                <w:rFonts w:ascii="Times New Roman" w:eastAsia="Calibri" w:hAnsi="Times New Roman" w:cs="Times New Roman"/>
                <w:shd w:val="clear" w:color="auto" w:fill="FFFFFF"/>
                <w:lang w:eastAsia="ar-SA"/>
              </w:rPr>
            </w:pPr>
            <w:r w:rsidRPr="00A07F29">
              <w:rPr>
                <w:rFonts w:ascii="Times New Roman" w:eastAsia="Calibri" w:hAnsi="Times New Roman" w:cs="Times New Roman"/>
                <w:shd w:val="clear" w:color="auto" w:fill="FFFFFF"/>
                <w:lang w:eastAsia="ar-SA"/>
              </w:rPr>
              <w:t>ūdensaugu un</w:t>
            </w:r>
          </w:p>
          <w:p w14:paraId="0A6EAC78" w14:textId="77BA5311" w:rsidR="002B1603" w:rsidRPr="00A07F29" w:rsidRDefault="009C2ABA" w:rsidP="00B24715">
            <w:pPr>
              <w:suppressAutoHyphens/>
              <w:spacing w:after="0" w:line="240" w:lineRule="auto"/>
              <w:rPr>
                <w:rFonts w:ascii="Times New Roman" w:eastAsia="Calibri" w:hAnsi="Times New Roman" w:cs="Times New Roman"/>
                <w:shd w:val="clear" w:color="auto" w:fill="FFFFFF"/>
                <w:lang w:eastAsia="ar-SA"/>
              </w:rPr>
            </w:pPr>
            <w:proofErr w:type="spellStart"/>
            <w:r w:rsidRPr="00A07F29">
              <w:rPr>
                <w:rFonts w:ascii="Times New Roman" w:eastAsia="Calibri" w:hAnsi="Times New Roman" w:cs="Times New Roman"/>
                <w:shd w:val="clear" w:color="auto" w:fill="FFFFFF"/>
                <w:lang w:eastAsia="ar-SA"/>
              </w:rPr>
              <w:t>peldaugu</w:t>
            </w:r>
            <w:proofErr w:type="spellEnd"/>
            <w:r w:rsidRPr="00A07F29">
              <w:rPr>
                <w:rFonts w:ascii="Times New Roman" w:eastAsia="Calibri" w:hAnsi="Times New Roman" w:cs="Times New Roman"/>
                <w:shd w:val="clear" w:color="auto" w:fill="FFFFFF"/>
                <w:lang w:eastAsia="ar-SA"/>
              </w:rPr>
              <w:t xml:space="preserve"> augāju</w:t>
            </w:r>
          </w:p>
        </w:tc>
        <w:tc>
          <w:tcPr>
            <w:tcW w:w="1700" w:type="dxa"/>
          </w:tcPr>
          <w:p w14:paraId="52DB40F3" w14:textId="31F15F80" w:rsidR="00D66CDC" w:rsidRPr="00A07F29" w:rsidRDefault="00D66CDC" w:rsidP="00F14CF8">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259,</w:t>
            </w:r>
            <w:r w:rsidR="00F14CF8" w:rsidRPr="00A07F29">
              <w:rPr>
                <w:rFonts w:ascii="Times New Roman" w:eastAsia="Calibri" w:hAnsi="Times New Roman" w:cs="Times New Roman"/>
                <w:lang w:eastAsia="ar-SA"/>
              </w:rPr>
              <w:t>08</w:t>
            </w:r>
          </w:p>
        </w:tc>
        <w:tc>
          <w:tcPr>
            <w:tcW w:w="1987" w:type="dxa"/>
          </w:tcPr>
          <w:p w14:paraId="40577D73" w14:textId="36E2E4CD" w:rsidR="002B1603" w:rsidRPr="00A07F29" w:rsidRDefault="002B1603"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0,5</w:t>
            </w:r>
          </w:p>
        </w:tc>
        <w:tc>
          <w:tcPr>
            <w:tcW w:w="1558" w:type="dxa"/>
          </w:tcPr>
          <w:p w14:paraId="48FC9E29" w14:textId="5DB80716" w:rsidR="002B1603" w:rsidRPr="00A07F29" w:rsidRDefault="002B1603"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color w:val="000000"/>
                <w:lang w:eastAsia="ar-SA"/>
              </w:rPr>
              <w:t>1,</w:t>
            </w:r>
            <w:r w:rsidR="00973B52" w:rsidRPr="00A07F29">
              <w:rPr>
                <w:rFonts w:ascii="Times New Roman" w:eastAsia="Calibri" w:hAnsi="Times New Roman" w:cs="Times New Roman"/>
                <w:color w:val="000000"/>
                <w:lang w:eastAsia="ar-SA"/>
              </w:rPr>
              <w:t>18</w:t>
            </w:r>
          </w:p>
        </w:tc>
        <w:tc>
          <w:tcPr>
            <w:tcW w:w="1418" w:type="dxa"/>
          </w:tcPr>
          <w:p w14:paraId="1E4C5E24" w14:textId="24AAE3EC" w:rsidR="002B1603" w:rsidRPr="00A07F29" w:rsidRDefault="002B1603"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 xml:space="preserve">0,43-0,65 </w:t>
            </w:r>
          </w:p>
        </w:tc>
        <w:tc>
          <w:tcPr>
            <w:tcW w:w="1559" w:type="dxa"/>
            <w:shd w:val="clear" w:color="auto" w:fill="FFFF00"/>
          </w:tcPr>
          <w:p w14:paraId="72C45D59" w14:textId="77777777" w:rsidR="002B1603" w:rsidRPr="00A07F29" w:rsidRDefault="002B1603"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highlight w:val="yellow"/>
                <w:lang w:eastAsia="ar-SA"/>
              </w:rPr>
              <w:t>U1s</w:t>
            </w:r>
          </w:p>
        </w:tc>
      </w:tr>
      <w:tr w:rsidR="002B1603" w:rsidRPr="00A07F29" w14:paraId="5FDBC801" w14:textId="77777777" w:rsidTr="00AD1C16">
        <w:trPr>
          <w:trHeight w:val="273"/>
          <w:jc w:val="center"/>
        </w:trPr>
        <w:tc>
          <w:tcPr>
            <w:tcW w:w="848" w:type="dxa"/>
          </w:tcPr>
          <w:p w14:paraId="51168181" w14:textId="21E986D2" w:rsidR="002B1603" w:rsidRPr="00A07F29" w:rsidRDefault="00C301E6"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3</w:t>
            </w:r>
            <w:r w:rsidR="002B1603" w:rsidRPr="00A07F29">
              <w:rPr>
                <w:rFonts w:ascii="Times New Roman" w:eastAsia="Calibri" w:hAnsi="Times New Roman" w:cs="Times New Roman"/>
                <w:lang w:eastAsia="ar-SA"/>
              </w:rPr>
              <w:t>.</w:t>
            </w:r>
          </w:p>
        </w:tc>
        <w:tc>
          <w:tcPr>
            <w:tcW w:w="2835" w:type="dxa"/>
          </w:tcPr>
          <w:p w14:paraId="677307A7" w14:textId="77777777" w:rsidR="002B1603" w:rsidRPr="00A07F29" w:rsidRDefault="002B1603" w:rsidP="00B24715">
            <w:pPr>
              <w:suppressAutoHyphens/>
              <w:spacing w:after="0" w:line="240" w:lineRule="auto"/>
              <w:rPr>
                <w:rFonts w:ascii="Times New Roman" w:eastAsia="Calibri" w:hAnsi="Times New Roman" w:cs="Times New Roman"/>
                <w:lang w:eastAsia="ar-SA"/>
              </w:rPr>
            </w:pPr>
            <w:r w:rsidRPr="00A07F29">
              <w:rPr>
                <w:rFonts w:ascii="Times New Roman" w:eastAsia="Calibri" w:hAnsi="Times New Roman" w:cs="Times New Roman"/>
                <w:lang w:eastAsia="ar-SA"/>
              </w:rPr>
              <w:t>3260 Upju straujteces un dabiski upju posmi</w:t>
            </w:r>
          </w:p>
        </w:tc>
        <w:tc>
          <w:tcPr>
            <w:tcW w:w="2691" w:type="dxa"/>
          </w:tcPr>
          <w:p w14:paraId="42F9910C" w14:textId="77777777" w:rsidR="002B1603" w:rsidRPr="00A07F29" w:rsidRDefault="002B1603" w:rsidP="00B24715">
            <w:pPr>
              <w:suppressAutoHyphens/>
              <w:spacing w:after="0" w:line="240" w:lineRule="auto"/>
              <w:rPr>
                <w:rFonts w:ascii="Times New Roman" w:eastAsia="Calibri" w:hAnsi="Times New Roman" w:cs="Times New Roman"/>
                <w:shd w:val="clear" w:color="auto" w:fill="FFFFFF"/>
                <w:lang w:eastAsia="ar-SA"/>
              </w:rPr>
            </w:pPr>
            <w:r w:rsidRPr="00A07F29">
              <w:rPr>
                <w:rFonts w:ascii="Times New Roman" w:eastAsia="Calibri" w:hAnsi="Times New Roman" w:cs="Times New Roman"/>
                <w:color w:val="414142"/>
                <w:shd w:val="clear" w:color="auto" w:fill="FFFFFF"/>
                <w:lang w:eastAsia="ar-SA"/>
              </w:rPr>
              <w:t>5.12. Upju straujteces un dabiski upju posmi</w:t>
            </w:r>
          </w:p>
        </w:tc>
        <w:tc>
          <w:tcPr>
            <w:tcW w:w="1700" w:type="dxa"/>
          </w:tcPr>
          <w:p w14:paraId="7B3E4B1A" w14:textId="451CCED8" w:rsidR="00D66CDC" w:rsidRPr="00A07F29" w:rsidRDefault="00D66CDC" w:rsidP="00FE708A">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1532,</w:t>
            </w:r>
            <w:r w:rsidR="00F14CF8" w:rsidRPr="00A07F29">
              <w:rPr>
                <w:rFonts w:ascii="Times New Roman" w:eastAsia="Calibri" w:hAnsi="Times New Roman" w:cs="Times New Roman"/>
                <w:lang w:eastAsia="ar-SA"/>
              </w:rPr>
              <w:t>4</w:t>
            </w:r>
            <w:r w:rsidR="00FE708A" w:rsidRPr="00A07F29">
              <w:rPr>
                <w:rFonts w:ascii="Times New Roman" w:eastAsia="Calibri" w:hAnsi="Times New Roman" w:cs="Times New Roman"/>
                <w:lang w:eastAsia="ar-SA"/>
              </w:rPr>
              <w:t>1</w:t>
            </w:r>
          </w:p>
        </w:tc>
        <w:tc>
          <w:tcPr>
            <w:tcW w:w="1987" w:type="dxa"/>
          </w:tcPr>
          <w:p w14:paraId="1FD42B2B" w14:textId="31EB5925" w:rsidR="002B1603" w:rsidRPr="00A07F29" w:rsidRDefault="00E1712D"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2,94</w:t>
            </w:r>
          </w:p>
        </w:tc>
        <w:tc>
          <w:tcPr>
            <w:tcW w:w="1558" w:type="dxa"/>
          </w:tcPr>
          <w:p w14:paraId="02419D71" w14:textId="6A55CF82" w:rsidR="002B1603" w:rsidRPr="00A07F29" w:rsidRDefault="002B1603" w:rsidP="00B24715">
            <w:pPr>
              <w:spacing w:after="0" w:line="240" w:lineRule="auto"/>
              <w:jc w:val="center"/>
              <w:rPr>
                <w:rFonts w:ascii="Times New Roman" w:eastAsia="Calibri" w:hAnsi="Times New Roman" w:cs="Times New Roman"/>
                <w:color w:val="000000"/>
                <w:lang w:eastAsia="ar-SA"/>
              </w:rPr>
            </w:pPr>
            <w:r w:rsidRPr="00A07F29">
              <w:rPr>
                <w:rFonts w:ascii="Times New Roman" w:eastAsia="Calibri" w:hAnsi="Times New Roman" w:cs="Times New Roman"/>
                <w:color w:val="000000"/>
                <w:lang w:eastAsia="ar-SA"/>
              </w:rPr>
              <w:t>38,</w:t>
            </w:r>
            <w:r w:rsidR="00973B52" w:rsidRPr="00A07F29">
              <w:rPr>
                <w:rFonts w:ascii="Times New Roman" w:eastAsia="Calibri" w:hAnsi="Times New Roman" w:cs="Times New Roman"/>
                <w:color w:val="000000"/>
                <w:lang w:eastAsia="ar-SA"/>
              </w:rPr>
              <w:t>8</w:t>
            </w:r>
          </w:p>
        </w:tc>
        <w:tc>
          <w:tcPr>
            <w:tcW w:w="1418" w:type="dxa"/>
          </w:tcPr>
          <w:p w14:paraId="3646D5BC" w14:textId="7B01DCA1" w:rsidR="002B1603" w:rsidRPr="00A07F29" w:rsidRDefault="002B1603"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8,</w:t>
            </w:r>
            <w:r w:rsidR="00E1712D" w:rsidRPr="00A07F29">
              <w:rPr>
                <w:rFonts w:ascii="Times New Roman" w:eastAsia="Calibri" w:hAnsi="Times New Roman" w:cs="Times New Roman"/>
                <w:lang w:eastAsia="ar-SA"/>
              </w:rPr>
              <w:t>96</w:t>
            </w:r>
            <w:r w:rsidRPr="00A07F29">
              <w:rPr>
                <w:rFonts w:ascii="Times New Roman" w:eastAsia="Calibri" w:hAnsi="Times New Roman" w:cs="Times New Roman"/>
                <w:lang w:eastAsia="ar-SA"/>
              </w:rPr>
              <w:t>-13,43</w:t>
            </w:r>
          </w:p>
        </w:tc>
        <w:tc>
          <w:tcPr>
            <w:tcW w:w="1559" w:type="dxa"/>
            <w:shd w:val="clear" w:color="auto" w:fill="FFFF00"/>
          </w:tcPr>
          <w:p w14:paraId="56824D49" w14:textId="77777777" w:rsidR="002B1603" w:rsidRPr="00A07F29" w:rsidRDefault="002B1603"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U1s</w:t>
            </w:r>
          </w:p>
        </w:tc>
      </w:tr>
      <w:tr w:rsidR="002B1603" w:rsidRPr="00A07F29" w14:paraId="09464DF5" w14:textId="77777777" w:rsidTr="00AD1C16">
        <w:trPr>
          <w:trHeight w:val="273"/>
          <w:jc w:val="center"/>
        </w:trPr>
        <w:tc>
          <w:tcPr>
            <w:tcW w:w="848" w:type="dxa"/>
          </w:tcPr>
          <w:p w14:paraId="0D94AA14" w14:textId="3BED097A" w:rsidR="002B1603" w:rsidRPr="00A07F29" w:rsidRDefault="00C301E6"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4</w:t>
            </w:r>
            <w:r w:rsidR="002B1603" w:rsidRPr="00A07F29">
              <w:rPr>
                <w:rFonts w:ascii="Times New Roman" w:eastAsia="Calibri" w:hAnsi="Times New Roman" w:cs="Times New Roman"/>
                <w:lang w:eastAsia="ar-SA"/>
              </w:rPr>
              <w:t>.</w:t>
            </w:r>
          </w:p>
        </w:tc>
        <w:tc>
          <w:tcPr>
            <w:tcW w:w="2835" w:type="dxa"/>
          </w:tcPr>
          <w:p w14:paraId="1B4D8155" w14:textId="77777777" w:rsidR="002B1603" w:rsidRPr="00A07F29" w:rsidRDefault="002B1603" w:rsidP="00B24715">
            <w:pPr>
              <w:suppressAutoHyphens/>
              <w:spacing w:after="0" w:line="240" w:lineRule="auto"/>
              <w:rPr>
                <w:rFonts w:ascii="Times New Roman" w:eastAsia="Calibri" w:hAnsi="Times New Roman" w:cs="Times New Roman"/>
                <w:lang w:eastAsia="ar-SA"/>
              </w:rPr>
            </w:pPr>
            <w:r w:rsidRPr="00A07F29">
              <w:rPr>
                <w:rFonts w:ascii="Times New Roman" w:eastAsia="Calibri" w:hAnsi="Times New Roman" w:cs="Times New Roman"/>
                <w:color w:val="000000"/>
                <w:lang w:eastAsia="ar-SA"/>
              </w:rPr>
              <w:t xml:space="preserve">3270 Dūņaini upju krasti ar slāpekli mīlošu viengadīgu </w:t>
            </w:r>
            <w:proofErr w:type="spellStart"/>
            <w:r w:rsidRPr="00A07F29">
              <w:rPr>
                <w:rFonts w:ascii="Times New Roman" w:eastAsia="Calibri" w:hAnsi="Times New Roman" w:cs="Times New Roman"/>
                <w:color w:val="000000"/>
                <w:lang w:eastAsia="ar-SA"/>
              </w:rPr>
              <w:t>pioniersugu</w:t>
            </w:r>
            <w:proofErr w:type="spellEnd"/>
            <w:r w:rsidRPr="00A07F29">
              <w:rPr>
                <w:rFonts w:ascii="Times New Roman" w:eastAsia="Calibri" w:hAnsi="Times New Roman" w:cs="Times New Roman"/>
                <w:color w:val="000000"/>
                <w:lang w:eastAsia="ar-SA"/>
              </w:rPr>
              <w:t xml:space="preserve"> augāju</w:t>
            </w:r>
          </w:p>
        </w:tc>
        <w:tc>
          <w:tcPr>
            <w:tcW w:w="2691" w:type="dxa"/>
          </w:tcPr>
          <w:p w14:paraId="076758F9" w14:textId="77777777" w:rsidR="002B1603" w:rsidRPr="00A07F29" w:rsidRDefault="002B1603" w:rsidP="00B24715">
            <w:pPr>
              <w:suppressAutoHyphens/>
              <w:spacing w:after="0" w:line="240" w:lineRule="auto"/>
              <w:rPr>
                <w:rFonts w:ascii="Times New Roman" w:eastAsia="Calibri" w:hAnsi="Times New Roman" w:cs="Times New Roman"/>
                <w:shd w:val="clear" w:color="auto" w:fill="FFFFFF"/>
                <w:lang w:eastAsia="ar-SA"/>
              </w:rPr>
            </w:pPr>
            <w:r w:rsidRPr="00A07F29">
              <w:rPr>
                <w:rFonts w:ascii="Times New Roman" w:eastAsia="Calibri" w:hAnsi="Times New Roman" w:cs="Times New Roman"/>
                <w:shd w:val="clear" w:color="auto" w:fill="FFFFFF"/>
                <w:lang w:eastAsia="ar-SA"/>
              </w:rPr>
              <w:t>-</w:t>
            </w:r>
          </w:p>
        </w:tc>
        <w:tc>
          <w:tcPr>
            <w:tcW w:w="1700" w:type="dxa"/>
          </w:tcPr>
          <w:p w14:paraId="22CCF9B0" w14:textId="0E942AAD" w:rsidR="002B1603" w:rsidRPr="00A07F29" w:rsidRDefault="00E1712D"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19,96</w:t>
            </w:r>
          </w:p>
        </w:tc>
        <w:tc>
          <w:tcPr>
            <w:tcW w:w="1987" w:type="dxa"/>
          </w:tcPr>
          <w:p w14:paraId="2C939561" w14:textId="1F065396" w:rsidR="002B1603" w:rsidRPr="00A07F29" w:rsidRDefault="002B1603"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0,</w:t>
            </w:r>
            <w:r w:rsidR="00E1712D" w:rsidRPr="00A07F29">
              <w:rPr>
                <w:rFonts w:ascii="Times New Roman" w:eastAsia="Calibri" w:hAnsi="Times New Roman" w:cs="Times New Roman"/>
                <w:lang w:eastAsia="ar-SA"/>
              </w:rPr>
              <w:t>04</w:t>
            </w:r>
          </w:p>
        </w:tc>
        <w:tc>
          <w:tcPr>
            <w:tcW w:w="1558" w:type="dxa"/>
          </w:tcPr>
          <w:p w14:paraId="34D665CF" w14:textId="747C2701" w:rsidR="002B1603" w:rsidRPr="00A07F29" w:rsidRDefault="002B1603" w:rsidP="00B24715">
            <w:pPr>
              <w:spacing w:after="0" w:line="240" w:lineRule="auto"/>
              <w:jc w:val="center"/>
              <w:rPr>
                <w:rFonts w:ascii="Times New Roman" w:eastAsia="Calibri" w:hAnsi="Times New Roman" w:cs="Times New Roman"/>
                <w:color w:val="000000"/>
                <w:lang w:eastAsia="ar-SA"/>
              </w:rPr>
            </w:pPr>
            <w:r w:rsidRPr="00A07F29">
              <w:rPr>
                <w:rFonts w:ascii="Times New Roman" w:eastAsia="Calibri" w:hAnsi="Times New Roman" w:cs="Times New Roman"/>
                <w:color w:val="000000"/>
                <w:lang w:eastAsia="ar-SA"/>
              </w:rPr>
              <w:t>238,</w:t>
            </w:r>
            <w:r w:rsidR="00973B52" w:rsidRPr="00A07F29">
              <w:rPr>
                <w:rFonts w:ascii="Times New Roman" w:eastAsia="Calibri" w:hAnsi="Times New Roman" w:cs="Times New Roman"/>
                <w:color w:val="000000"/>
                <w:lang w:eastAsia="ar-SA"/>
              </w:rPr>
              <w:t>92</w:t>
            </w:r>
          </w:p>
        </w:tc>
        <w:tc>
          <w:tcPr>
            <w:tcW w:w="1418" w:type="dxa"/>
          </w:tcPr>
          <w:p w14:paraId="1991E8C0" w14:textId="7525322D" w:rsidR="002B1603" w:rsidRPr="00A07F29" w:rsidRDefault="002B1603"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159,28-238,</w:t>
            </w:r>
            <w:r w:rsidR="00E1712D" w:rsidRPr="00A07F29">
              <w:rPr>
                <w:rFonts w:ascii="Times New Roman" w:eastAsia="Calibri" w:hAnsi="Times New Roman" w:cs="Times New Roman"/>
                <w:lang w:eastAsia="ar-SA"/>
              </w:rPr>
              <w:t>92</w:t>
            </w:r>
          </w:p>
        </w:tc>
        <w:tc>
          <w:tcPr>
            <w:tcW w:w="1559" w:type="dxa"/>
            <w:shd w:val="clear" w:color="auto" w:fill="808080" w:themeFill="background1" w:themeFillShade="80"/>
          </w:tcPr>
          <w:p w14:paraId="0D9ADE14" w14:textId="77777777" w:rsidR="002B1603" w:rsidRPr="00A07F29" w:rsidRDefault="002B1603"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XX</w:t>
            </w:r>
          </w:p>
        </w:tc>
      </w:tr>
      <w:tr w:rsidR="002B1603" w:rsidRPr="00A07F29" w14:paraId="71BAEFCC" w14:textId="77777777" w:rsidTr="00AD1C16">
        <w:trPr>
          <w:trHeight w:val="273"/>
          <w:jc w:val="center"/>
        </w:trPr>
        <w:tc>
          <w:tcPr>
            <w:tcW w:w="14596" w:type="dxa"/>
            <w:gridSpan w:val="8"/>
            <w:shd w:val="clear" w:color="auto" w:fill="C5E0B3"/>
          </w:tcPr>
          <w:p w14:paraId="69295551" w14:textId="77777777" w:rsidR="002B1603" w:rsidRPr="00A07F29" w:rsidRDefault="002B1603" w:rsidP="002B1603">
            <w:pPr>
              <w:suppressAutoHyphens/>
              <w:spacing w:after="0" w:line="240" w:lineRule="auto"/>
              <w:jc w:val="center"/>
              <w:rPr>
                <w:rFonts w:ascii="Times New Roman" w:eastAsia="Calibri" w:hAnsi="Times New Roman" w:cs="Times New Roman"/>
                <w:b/>
                <w:lang w:eastAsia="ar-SA"/>
              </w:rPr>
            </w:pPr>
            <w:r w:rsidRPr="00A07F29">
              <w:rPr>
                <w:rFonts w:ascii="Times New Roman" w:eastAsia="Calibri" w:hAnsi="Times New Roman" w:cs="Times New Roman"/>
                <w:b/>
                <w:lang w:eastAsia="ar-SA"/>
              </w:rPr>
              <w:t>Zālāju biotopi</w:t>
            </w:r>
          </w:p>
        </w:tc>
      </w:tr>
      <w:tr w:rsidR="002B1603" w:rsidRPr="00A07F29" w14:paraId="097CCD53" w14:textId="77777777" w:rsidTr="00AD1C16">
        <w:trPr>
          <w:trHeight w:val="273"/>
          <w:jc w:val="center"/>
        </w:trPr>
        <w:tc>
          <w:tcPr>
            <w:tcW w:w="848" w:type="dxa"/>
          </w:tcPr>
          <w:p w14:paraId="2B8E4A1D" w14:textId="22C25C38" w:rsidR="002B1603" w:rsidRPr="00A07F29" w:rsidRDefault="00C301E6"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5</w:t>
            </w:r>
            <w:r w:rsidR="002B1603" w:rsidRPr="00A07F29">
              <w:rPr>
                <w:rFonts w:ascii="Times New Roman" w:eastAsia="Calibri" w:hAnsi="Times New Roman" w:cs="Times New Roman"/>
                <w:lang w:eastAsia="ar-SA"/>
              </w:rPr>
              <w:t>.</w:t>
            </w:r>
          </w:p>
        </w:tc>
        <w:tc>
          <w:tcPr>
            <w:tcW w:w="2835" w:type="dxa"/>
          </w:tcPr>
          <w:p w14:paraId="0CBE0EAF" w14:textId="77777777" w:rsidR="002B1603" w:rsidRPr="00A07F29" w:rsidRDefault="002B1603" w:rsidP="00B24715">
            <w:pPr>
              <w:suppressAutoHyphens/>
              <w:spacing w:after="0" w:line="240" w:lineRule="auto"/>
              <w:rPr>
                <w:rFonts w:ascii="Times New Roman" w:eastAsia="Calibri" w:hAnsi="Times New Roman" w:cs="Times New Roman"/>
                <w:lang w:eastAsia="ar-SA"/>
              </w:rPr>
            </w:pPr>
            <w:r w:rsidRPr="00A07F29">
              <w:rPr>
                <w:rFonts w:ascii="Times New Roman" w:eastAsia="Calibri" w:hAnsi="Times New Roman" w:cs="Times New Roman"/>
                <w:color w:val="000000"/>
                <w:lang w:eastAsia="ar-SA"/>
              </w:rPr>
              <w:t>6120* Smiltāju zālāji</w:t>
            </w:r>
          </w:p>
        </w:tc>
        <w:tc>
          <w:tcPr>
            <w:tcW w:w="2691" w:type="dxa"/>
          </w:tcPr>
          <w:p w14:paraId="7246025F" w14:textId="77777777" w:rsidR="002B1603" w:rsidRPr="00A07F29" w:rsidRDefault="002B1603" w:rsidP="00B24715">
            <w:pPr>
              <w:suppressAutoHyphens/>
              <w:spacing w:after="0" w:line="240" w:lineRule="auto"/>
              <w:rPr>
                <w:rFonts w:ascii="Times New Roman" w:eastAsia="Calibri" w:hAnsi="Times New Roman" w:cs="Times New Roman"/>
                <w:shd w:val="clear" w:color="auto" w:fill="FFFFFF"/>
                <w:lang w:eastAsia="ar-SA"/>
              </w:rPr>
            </w:pPr>
            <w:r w:rsidRPr="00A07F29">
              <w:rPr>
                <w:rFonts w:ascii="Times New Roman" w:eastAsia="Calibri" w:hAnsi="Times New Roman" w:cs="Times New Roman"/>
                <w:shd w:val="clear" w:color="auto" w:fill="FFFFFF"/>
                <w:lang w:eastAsia="ar-SA"/>
              </w:rPr>
              <w:t>3.2. Smiltāju zālāji</w:t>
            </w:r>
          </w:p>
        </w:tc>
        <w:tc>
          <w:tcPr>
            <w:tcW w:w="1700" w:type="dxa"/>
          </w:tcPr>
          <w:p w14:paraId="02D5FC90" w14:textId="7E37C4DC" w:rsidR="002B1603" w:rsidRPr="00A07F29" w:rsidRDefault="002B1603" w:rsidP="00F14CF8">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18,</w:t>
            </w:r>
            <w:r w:rsidR="00F14CF8" w:rsidRPr="00A07F29">
              <w:rPr>
                <w:rFonts w:ascii="Times New Roman" w:eastAsia="Calibri" w:hAnsi="Times New Roman" w:cs="Times New Roman"/>
                <w:lang w:eastAsia="ar-SA"/>
              </w:rPr>
              <w:t>07</w:t>
            </w:r>
          </w:p>
        </w:tc>
        <w:tc>
          <w:tcPr>
            <w:tcW w:w="1987" w:type="dxa"/>
          </w:tcPr>
          <w:p w14:paraId="6646D223" w14:textId="1FD69796" w:rsidR="002B1603" w:rsidRPr="00A07F29" w:rsidRDefault="002B1603"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0,</w:t>
            </w:r>
            <w:r w:rsidR="00E1712D" w:rsidRPr="00A07F29">
              <w:rPr>
                <w:rFonts w:ascii="Times New Roman" w:eastAsia="Calibri" w:hAnsi="Times New Roman" w:cs="Times New Roman"/>
                <w:lang w:eastAsia="ar-SA"/>
              </w:rPr>
              <w:t>04</w:t>
            </w:r>
          </w:p>
        </w:tc>
        <w:tc>
          <w:tcPr>
            <w:tcW w:w="1558" w:type="dxa"/>
          </w:tcPr>
          <w:p w14:paraId="6975F5E2" w14:textId="2D7C1070" w:rsidR="002B1603" w:rsidRPr="00A07F29" w:rsidRDefault="002B1603" w:rsidP="00B24715">
            <w:pPr>
              <w:spacing w:after="0" w:line="240" w:lineRule="auto"/>
              <w:jc w:val="center"/>
              <w:rPr>
                <w:rFonts w:ascii="Times New Roman" w:eastAsia="Calibri" w:hAnsi="Times New Roman" w:cs="Times New Roman"/>
                <w:color w:val="000000"/>
                <w:lang w:eastAsia="ar-SA"/>
              </w:rPr>
            </w:pPr>
            <w:r w:rsidRPr="00A07F29">
              <w:rPr>
                <w:rFonts w:ascii="Times New Roman" w:eastAsia="Calibri" w:hAnsi="Times New Roman" w:cs="Times New Roman"/>
                <w:color w:val="000000"/>
                <w:lang w:eastAsia="ar-SA"/>
              </w:rPr>
              <w:t>13,</w:t>
            </w:r>
            <w:r w:rsidR="00E1712D" w:rsidRPr="00A07F29">
              <w:rPr>
                <w:rFonts w:ascii="Times New Roman" w:eastAsia="Calibri" w:hAnsi="Times New Roman" w:cs="Times New Roman"/>
                <w:color w:val="000000"/>
                <w:lang w:eastAsia="ar-SA"/>
              </w:rPr>
              <w:t>65</w:t>
            </w:r>
          </w:p>
        </w:tc>
        <w:tc>
          <w:tcPr>
            <w:tcW w:w="1418" w:type="dxa"/>
          </w:tcPr>
          <w:p w14:paraId="6D66C261" w14:textId="731F5396" w:rsidR="002B1603" w:rsidRPr="00A07F29" w:rsidRDefault="002B1603"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2,</w:t>
            </w:r>
            <w:r w:rsidR="00E1712D" w:rsidRPr="00A07F29">
              <w:rPr>
                <w:rFonts w:ascii="Times New Roman" w:eastAsia="Calibri" w:hAnsi="Times New Roman" w:cs="Times New Roman"/>
                <w:lang w:eastAsia="ar-SA"/>
              </w:rPr>
              <w:t>4</w:t>
            </w:r>
            <w:r w:rsidRPr="00A07F29">
              <w:rPr>
                <w:rFonts w:ascii="Times New Roman" w:eastAsia="Calibri" w:hAnsi="Times New Roman" w:cs="Times New Roman"/>
                <w:lang w:eastAsia="ar-SA"/>
              </w:rPr>
              <w:t>-3,19</w:t>
            </w:r>
          </w:p>
        </w:tc>
        <w:tc>
          <w:tcPr>
            <w:tcW w:w="1559" w:type="dxa"/>
            <w:shd w:val="clear" w:color="auto" w:fill="FF0000"/>
          </w:tcPr>
          <w:p w14:paraId="1A3BF6EE" w14:textId="77777777" w:rsidR="002B1603" w:rsidRPr="00A07F29" w:rsidRDefault="002B1603"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U2x</w:t>
            </w:r>
          </w:p>
        </w:tc>
      </w:tr>
      <w:tr w:rsidR="002B1603" w:rsidRPr="00A07F29" w14:paraId="4A617EA5" w14:textId="77777777" w:rsidTr="00AD1C16">
        <w:trPr>
          <w:trHeight w:val="273"/>
          <w:jc w:val="center"/>
        </w:trPr>
        <w:tc>
          <w:tcPr>
            <w:tcW w:w="848" w:type="dxa"/>
          </w:tcPr>
          <w:p w14:paraId="13DD99DC" w14:textId="69009BA3" w:rsidR="002B1603" w:rsidRPr="00A07F29" w:rsidRDefault="00DA613C"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6</w:t>
            </w:r>
            <w:r w:rsidR="002B1603" w:rsidRPr="00A07F29">
              <w:rPr>
                <w:rFonts w:ascii="Times New Roman" w:eastAsia="Calibri" w:hAnsi="Times New Roman" w:cs="Times New Roman"/>
                <w:lang w:eastAsia="ar-SA"/>
              </w:rPr>
              <w:t>.</w:t>
            </w:r>
          </w:p>
        </w:tc>
        <w:tc>
          <w:tcPr>
            <w:tcW w:w="2835" w:type="dxa"/>
          </w:tcPr>
          <w:p w14:paraId="376442F2" w14:textId="77777777" w:rsidR="002B1603" w:rsidRPr="00A07F29" w:rsidRDefault="002B1603" w:rsidP="00B24715">
            <w:pPr>
              <w:suppressAutoHyphens/>
              <w:spacing w:after="0" w:line="240" w:lineRule="auto"/>
              <w:rPr>
                <w:rFonts w:ascii="Times New Roman" w:eastAsia="Calibri" w:hAnsi="Times New Roman" w:cs="Times New Roman"/>
                <w:lang w:eastAsia="ar-SA"/>
              </w:rPr>
            </w:pPr>
            <w:r w:rsidRPr="00A07F29">
              <w:rPr>
                <w:rFonts w:ascii="Times New Roman" w:eastAsia="Calibri" w:hAnsi="Times New Roman" w:cs="Times New Roman"/>
                <w:lang w:eastAsia="ar-SA"/>
              </w:rPr>
              <w:t>6210 Sausi zālāji kaļķainās augsnēs</w:t>
            </w:r>
          </w:p>
        </w:tc>
        <w:tc>
          <w:tcPr>
            <w:tcW w:w="2691" w:type="dxa"/>
          </w:tcPr>
          <w:p w14:paraId="1C691655" w14:textId="77777777" w:rsidR="002B1603" w:rsidRPr="00A07F29" w:rsidRDefault="002B1603" w:rsidP="00B24715">
            <w:pPr>
              <w:suppressAutoHyphens/>
              <w:spacing w:after="0" w:line="240" w:lineRule="auto"/>
              <w:rPr>
                <w:rFonts w:ascii="Times New Roman" w:eastAsia="Times New Roman" w:hAnsi="Times New Roman" w:cs="Times New Roman"/>
                <w:bCs/>
                <w:kern w:val="24"/>
                <w:lang w:eastAsia="lv-LV"/>
              </w:rPr>
            </w:pPr>
            <w:r w:rsidRPr="00A07F29">
              <w:rPr>
                <w:rFonts w:ascii="Times New Roman" w:eastAsia="Calibri" w:hAnsi="Times New Roman" w:cs="Times New Roman"/>
                <w:shd w:val="clear" w:color="auto" w:fill="FFFFFF"/>
                <w:lang w:eastAsia="ar-SA"/>
              </w:rPr>
              <w:t>3.6. Sausi zālāji kaļķainās augsnēs</w:t>
            </w:r>
          </w:p>
        </w:tc>
        <w:tc>
          <w:tcPr>
            <w:tcW w:w="1700" w:type="dxa"/>
          </w:tcPr>
          <w:p w14:paraId="068A7B3F" w14:textId="2C23B473" w:rsidR="002B1603" w:rsidRPr="00A07F29" w:rsidRDefault="00F14CF8" w:rsidP="00F14CF8">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color w:val="000000"/>
                <w:lang w:eastAsia="ar-SA"/>
              </w:rPr>
              <w:t>382,52</w:t>
            </w:r>
          </w:p>
        </w:tc>
        <w:tc>
          <w:tcPr>
            <w:tcW w:w="1987" w:type="dxa"/>
          </w:tcPr>
          <w:p w14:paraId="09A6D47D" w14:textId="2A7F0D00" w:rsidR="002B1603" w:rsidRPr="00A07F29" w:rsidRDefault="002B1603"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0,</w:t>
            </w:r>
            <w:r w:rsidR="00E1712D" w:rsidRPr="00A07F29">
              <w:rPr>
                <w:rFonts w:ascii="Times New Roman" w:eastAsia="Calibri" w:hAnsi="Times New Roman" w:cs="Times New Roman"/>
                <w:lang w:eastAsia="ar-SA"/>
              </w:rPr>
              <w:t>74</w:t>
            </w:r>
          </w:p>
        </w:tc>
        <w:tc>
          <w:tcPr>
            <w:tcW w:w="1558" w:type="dxa"/>
          </w:tcPr>
          <w:p w14:paraId="60328684" w14:textId="67228A5F" w:rsidR="002B1603" w:rsidRPr="00A07F29" w:rsidRDefault="002B1603" w:rsidP="00B24715">
            <w:pPr>
              <w:spacing w:after="0" w:line="240" w:lineRule="auto"/>
              <w:jc w:val="center"/>
              <w:rPr>
                <w:rFonts w:ascii="Times New Roman" w:eastAsia="Calibri" w:hAnsi="Times New Roman" w:cs="Times New Roman"/>
                <w:color w:val="000000"/>
                <w:lang w:eastAsia="ar-SA"/>
              </w:rPr>
            </w:pPr>
            <w:r w:rsidRPr="00A07F29">
              <w:rPr>
                <w:rFonts w:ascii="Times New Roman" w:eastAsia="Calibri" w:hAnsi="Times New Roman" w:cs="Times New Roman"/>
                <w:color w:val="000000"/>
                <w:lang w:eastAsia="ar-SA"/>
              </w:rPr>
              <w:t>16,</w:t>
            </w:r>
            <w:r w:rsidR="00E1712D" w:rsidRPr="00A07F29">
              <w:rPr>
                <w:rFonts w:ascii="Times New Roman" w:eastAsia="Calibri" w:hAnsi="Times New Roman" w:cs="Times New Roman"/>
                <w:color w:val="000000"/>
                <w:lang w:eastAsia="ar-SA"/>
              </w:rPr>
              <w:t>87</w:t>
            </w:r>
          </w:p>
          <w:p w14:paraId="0D5F5E42" w14:textId="77777777" w:rsidR="002B1603" w:rsidRPr="00A07F29" w:rsidRDefault="002B1603" w:rsidP="00B24715">
            <w:pPr>
              <w:spacing w:after="0" w:line="240" w:lineRule="auto"/>
              <w:jc w:val="center"/>
              <w:rPr>
                <w:rFonts w:ascii="Times New Roman" w:eastAsia="Calibri" w:hAnsi="Times New Roman" w:cs="Times New Roman"/>
                <w:highlight w:val="yellow"/>
                <w:lang w:eastAsia="ar-SA"/>
              </w:rPr>
            </w:pPr>
          </w:p>
        </w:tc>
        <w:tc>
          <w:tcPr>
            <w:tcW w:w="1418" w:type="dxa"/>
          </w:tcPr>
          <w:p w14:paraId="1EAFB776" w14:textId="6AB6D509" w:rsidR="002B1603" w:rsidRPr="00A07F29" w:rsidRDefault="002B1603"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6,</w:t>
            </w:r>
            <w:r w:rsidR="00E1712D" w:rsidRPr="00A07F29">
              <w:rPr>
                <w:rFonts w:ascii="Times New Roman" w:eastAsia="Calibri" w:hAnsi="Times New Roman" w:cs="Times New Roman"/>
                <w:lang w:eastAsia="ar-SA"/>
              </w:rPr>
              <w:t>62</w:t>
            </w:r>
            <w:r w:rsidRPr="00A07F29">
              <w:rPr>
                <w:rFonts w:ascii="Times New Roman" w:eastAsia="Calibri" w:hAnsi="Times New Roman" w:cs="Times New Roman"/>
                <w:lang w:eastAsia="ar-SA"/>
              </w:rPr>
              <w:t>-8,61</w:t>
            </w:r>
          </w:p>
          <w:p w14:paraId="561DE728" w14:textId="77777777" w:rsidR="002B1603" w:rsidRPr="00A07F29" w:rsidRDefault="002B1603" w:rsidP="00B24715">
            <w:pPr>
              <w:suppressAutoHyphens/>
              <w:spacing w:after="0" w:line="240" w:lineRule="auto"/>
              <w:jc w:val="center"/>
              <w:rPr>
                <w:rFonts w:ascii="Times New Roman" w:eastAsia="Calibri" w:hAnsi="Times New Roman" w:cs="Times New Roman"/>
                <w:lang w:eastAsia="ar-SA"/>
              </w:rPr>
            </w:pPr>
          </w:p>
        </w:tc>
        <w:tc>
          <w:tcPr>
            <w:tcW w:w="1559" w:type="dxa"/>
            <w:shd w:val="clear" w:color="auto" w:fill="FF0000"/>
          </w:tcPr>
          <w:p w14:paraId="5439D9B3" w14:textId="77777777" w:rsidR="002B1603" w:rsidRPr="00A07F29" w:rsidRDefault="002B1603"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U2d</w:t>
            </w:r>
          </w:p>
        </w:tc>
      </w:tr>
      <w:tr w:rsidR="002B1603" w:rsidRPr="00A07F29" w14:paraId="202EF5BB" w14:textId="77777777" w:rsidTr="00AD1C16">
        <w:trPr>
          <w:trHeight w:val="273"/>
          <w:jc w:val="center"/>
        </w:trPr>
        <w:tc>
          <w:tcPr>
            <w:tcW w:w="848" w:type="dxa"/>
          </w:tcPr>
          <w:p w14:paraId="194458E2" w14:textId="5C2B7F28" w:rsidR="002B1603" w:rsidRPr="00A07F29" w:rsidRDefault="00DA613C"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7</w:t>
            </w:r>
            <w:r w:rsidR="002B1603" w:rsidRPr="00A07F29">
              <w:rPr>
                <w:rFonts w:ascii="Times New Roman" w:eastAsia="Calibri" w:hAnsi="Times New Roman" w:cs="Times New Roman"/>
                <w:lang w:eastAsia="ar-SA"/>
              </w:rPr>
              <w:t>.</w:t>
            </w:r>
          </w:p>
        </w:tc>
        <w:tc>
          <w:tcPr>
            <w:tcW w:w="2835" w:type="dxa"/>
          </w:tcPr>
          <w:p w14:paraId="6E12A0E1" w14:textId="77777777" w:rsidR="002B1603" w:rsidRPr="00A07F29" w:rsidRDefault="002B1603" w:rsidP="00B24715">
            <w:pPr>
              <w:suppressAutoHyphens/>
              <w:spacing w:after="0" w:line="240" w:lineRule="auto"/>
              <w:rPr>
                <w:rFonts w:ascii="Times New Roman" w:eastAsia="Calibri" w:hAnsi="Times New Roman" w:cs="Times New Roman"/>
                <w:lang w:eastAsia="ar-SA"/>
              </w:rPr>
            </w:pPr>
            <w:r w:rsidRPr="00A07F29">
              <w:rPr>
                <w:rFonts w:ascii="Times New Roman" w:eastAsia="Calibri" w:hAnsi="Times New Roman" w:cs="Times New Roman"/>
                <w:color w:val="000000"/>
                <w:lang w:eastAsia="ar-SA"/>
              </w:rPr>
              <w:t>6230* Vilkakūlas zālāji</w:t>
            </w:r>
          </w:p>
        </w:tc>
        <w:tc>
          <w:tcPr>
            <w:tcW w:w="2691" w:type="dxa"/>
          </w:tcPr>
          <w:p w14:paraId="5BB2BC37" w14:textId="77777777" w:rsidR="002B1603" w:rsidRPr="00A07F29" w:rsidRDefault="002B1603" w:rsidP="00B24715">
            <w:pPr>
              <w:suppressAutoHyphens/>
              <w:spacing w:after="0" w:line="240" w:lineRule="auto"/>
              <w:rPr>
                <w:rFonts w:ascii="Times New Roman" w:eastAsia="Calibri" w:hAnsi="Times New Roman" w:cs="Times New Roman"/>
                <w:shd w:val="clear" w:color="auto" w:fill="FFFFFF"/>
                <w:lang w:eastAsia="ar-SA"/>
              </w:rPr>
            </w:pPr>
            <w:r w:rsidRPr="00A07F29">
              <w:rPr>
                <w:rFonts w:ascii="Times New Roman" w:eastAsia="Calibri" w:hAnsi="Times New Roman" w:cs="Times New Roman"/>
                <w:shd w:val="clear" w:color="auto" w:fill="FFFFFF"/>
                <w:lang w:eastAsia="ar-SA"/>
              </w:rPr>
              <w:t>3.7. Vilkakūlas zālāji (</w:t>
            </w:r>
            <w:proofErr w:type="spellStart"/>
            <w:r w:rsidRPr="00A07F29">
              <w:rPr>
                <w:rFonts w:ascii="Times New Roman" w:eastAsia="Calibri" w:hAnsi="Times New Roman" w:cs="Times New Roman"/>
                <w:shd w:val="clear" w:color="auto" w:fill="FFFFFF"/>
                <w:lang w:eastAsia="ar-SA"/>
              </w:rPr>
              <w:t>tukšaiņu</w:t>
            </w:r>
            <w:proofErr w:type="spellEnd"/>
            <w:r w:rsidRPr="00A07F29">
              <w:rPr>
                <w:rFonts w:ascii="Times New Roman" w:eastAsia="Calibri" w:hAnsi="Times New Roman" w:cs="Times New Roman"/>
                <w:shd w:val="clear" w:color="auto" w:fill="FFFFFF"/>
                <w:lang w:eastAsia="ar-SA"/>
              </w:rPr>
              <w:t xml:space="preserve"> zālāji)</w:t>
            </w:r>
          </w:p>
        </w:tc>
        <w:tc>
          <w:tcPr>
            <w:tcW w:w="1700" w:type="dxa"/>
          </w:tcPr>
          <w:p w14:paraId="72EB7A25" w14:textId="0317AAE4" w:rsidR="002B1603" w:rsidRPr="00A07F29" w:rsidRDefault="002B1603"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1,</w:t>
            </w:r>
            <w:r w:rsidR="00E1712D" w:rsidRPr="00A07F29">
              <w:rPr>
                <w:rFonts w:ascii="Times New Roman" w:eastAsia="Calibri" w:hAnsi="Times New Roman" w:cs="Times New Roman"/>
                <w:lang w:eastAsia="ar-SA"/>
              </w:rPr>
              <w:t>36</w:t>
            </w:r>
          </w:p>
        </w:tc>
        <w:tc>
          <w:tcPr>
            <w:tcW w:w="1987" w:type="dxa"/>
          </w:tcPr>
          <w:p w14:paraId="4EB9DA6C" w14:textId="77777777" w:rsidR="002B1603" w:rsidRPr="00A07F29" w:rsidRDefault="002B1603"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0,003</w:t>
            </w:r>
          </w:p>
        </w:tc>
        <w:tc>
          <w:tcPr>
            <w:tcW w:w="1558" w:type="dxa"/>
          </w:tcPr>
          <w:p w14:paraId="4AFD3A2D" w14:textId="3E03A087" w:rsidR="002B1603" w:rsidRPr="00A07F29" w:rsidRDefault="00E1712D" w:rsidP="00B24715">
            <w:pPr>
              <w:spacing w:after="0" w:line="240" w:lineRule="auto"/>
              <w:jc w:val="center"/>
              <w:rPr>
                <w:rFonts w:ascii="Times New Roman" w:eastAsia="Calibri" w:hAnsi="Times New Roman" w:cs="Times New Roman"/>
                <w:color w:val="000000"/>
                <w:highlight w:val="yellow"/>
                <w:lang w:eastAsia="ar-SA"/>
              </w:rPr>
            </w:pPr>
            <w:r w:rsidRPr="00A07F29">
              <w:rPr>
                <w:rFonts w:ascii="Times New Roman" w:eastAsia="Calibri" w:hAnsi="Times New Roman" w:cs="Times New Roman"/>
                <w:color w:val="000000"/>
                <w:lang w:eastAsia="ar-SA"/>
              </w:rPr>
              <w:t>1,0</w:t>
            </w:r>
          </w:p>
        </w:tc>
        <w:tc>
          <w:tcPr>
            <w:tcW w:w="1418" w:type="dxa"/>
          </w:tcPr>
          <w:p w14:paraId="6FAD9B20" w14:textId="1F0C54CB" w:rsidR="002B1603" w:rsidRPr="00A07F29" w:rsidRDefault="002B1603"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0,</w:t>
            </w:r>
            <w:r w:rsidR="00E1712D" w:rsidRPr="00A07F29">
              <w:rPr>
                <w:rFonts w:ascii="Times New Roman" w:eastAsia="Calibri" w:hAnsi="Times New Roman" w:cs="Times New Roman"/>
                <w:lang w:eastAsia="ar-SA"/>
              </w:rPr>
              <w:t>22</w:t>
            </w:r>
            <w:r w:rsidRPr="00A07F29">
              <w:rPr>
                <w:rFonts w:ascii="Times New Roman" w:eastAsia="Calibri" w:hAnsi="Times New Roman" w:cs="Times New Roman"/>
                <w:lang w:eastAsia="ar-SA"/>
              </w:rPr>
              <w:t>-0,</w:t>
            </w:r>
            <w:r w:rsidR="00E1712D" w:rsidRPr="00A07F29">
              <w:rPr>
                <w:rFonts w:ascii="Times New Roman" w:eastAsia="Calibri" w:hAnsi="Times New Roman" w:cs="Times New Roman"/>
                <w:lang w:eastAsia="ar-SA"/>
              </w:rPr>
              <w:t>28</w:t>
            </w:r>
          </w:p>
          <w:p w14:paraId="7224FF1A" w14:textId="77777777" w:rsidR="002B1603" w:rsidRPr="00A07F29" w:rsidRDefault="002B1603" w:rsidP="00B24715">
            <w:pPr>
              <w:suppressAutoHyphens/>
              <w:spacing w:after="0" w:line="240" w:lineRule="auto"/>
              <w:jc w:val="center"/>
              <w:rPr>
                <w:rFonts w:ascii="Times New Roman" w:eastAsia="Calibri" w:hAnsi="Times New Roman" w:cs="Times New Roman"/>
                <w:lang w:eastAsia="ar-SA"/>
              </w:rPr>
            </w:pPr>
          </w:p>
        </w:tc>
        <w:tc>
          <w:tcPr>
            <w:tcW w:w="1559" w:type="dxa"/>
            <w:shd w:val="clear" w:color="auto" w:fill="FF0000"/>
          </w:tcPr>
          <w:p w14:paraId="105B789E" w14:textId="77777777" w:rsidR="002B1603" w:rsidRPr="00A07F29" w:rsidRDefault="002B1603"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U2d</w:t>
            </w:r>
          </w:p>
        </w:tc>
      </w:tr>
      <w:tr w:rsidR="002B1603" w:rsidRPr="00A07F29" w14:paraId="30DEDE2A" w14:textId="77777777" w:rsidTr="00AD1C16">
        <w:trPr>
          <w:trHeight w:val="273"/>
          <w:jc w:val="center"/>
        </w:trPr>
        <w:tc>
          <w:tcPr>
            <w:tcW w:w="848" w:type="dxa"/>
          </w:tcPr>
          <w:p w14:paraId="4495C07B" w14:textId="4EEFB14F" w:rsidR="002B1603" w:rsidRPr="00A07F29" w:rsidRDefault="00DA613C"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8</w:t>
            </w:r>
            <w:r w:rsidR="002B1603" w:rsidRPr="00A07F29">
              <w:rPr>
                <w:rFonts w:ascii="Times New Roman" w:eastAsia="Calibri" w:hAnsi="Times New Roman" w:cs="Times New Roman"/>
                <w:lang w:eastAsia="ar-SA"/>
              </w:rPr>
              <w:t>.</w:t>
            </w:r>
          </w:p>
        </w:tc>
        <w:tc>
          <w:tcPr>
            <w:tcW w:w="2835" w:type="dxa"/>
          </w:tcPr>
          <w:p w14:paraId="4005F557" w14:textId="77777777" w:rsidR="002B1603" w:rsidRPr="00A07F29" w:rsidRDefault="002B1603" w:rsidP="00B24715">
            <w:pPr>
              <w:suppressAutoHyphens/>
              <w:spacing w:after="0" w:line="240" w:lineRule="auto"/>
              <w:rPr>
                <w:rFonts w:ascii="Times New Roman" w:eastAsia="Calibri" w:hAnsi="Times New Roman" w:cs="Times New Roman"/>
                <w:lang w:eastAsia="ar-SA"/>
              </w:rPr>
            </w:pPr>
            <w:r w:rsidRPr="00A07F29">
              <w:rPr>
                <w:rFonts w:ascii="Times New Roman" w:eastAsia="Calibri" w:hAnsi="Times New Roman" w:cs="Times New Roman"/>
                <w:lang w:eastAsia="ar-SA"/>
              </w:rPr>
              <w:t>6270* Sugām bagātas ganības un ganītas pļavas</w:t>
            </w:r>
          </w:p>
        </w:tc>
        <w:tc>
          <w:tcPr>
            <w:tcW w:w="2691" w:type="dxa"/>
          </w:tcPr>
          <w:p w14:paraId="3FA1EF76" w14:textId="77777777" w:rsidR="002B1603" w:rsidRPr="00A07F29" w:rsidRDefault="002B1603" w:rsidP="00B24715">
            <w:pPr>
              <w:suppressAutoHyphens/>
              <w:spacing w:after="0" w:line="240" w:lineRule="auto"/>
              <w:rPr>
                <w:rFonts w:ascii="Times New Roman" w:eastAsia="Times New Roman" w:hAnsi="Times New Roman" w:cs="Times New Roman"/>
                <w:bCs/>
                <w:kern w:val="24"/>
                <w:lang w:eastAsia="lv-LV"/>
              </w:rPr>
            </w:pPr>
            <w:r w:rsidRPr="00A07F29">
              <w:rPr>
                <w:rFonts w:ascii="Times New Roman" w:eastAsia="Calibri" w:hAnsi="Times New Roman" w:cs="Times New Roman"/>
                <w:shd w:val="clear" w:color="auto" w:fill="FFFFFF"/>
                <w:lang w:eastAsia="ar-SA"/>
              </w:rPr>
              <w:t>3.9. Sugām bagātas ganības un ganītas pļavas</w:t>
            </w:r>
          </w:p>
        </w:tc>
        <w:tc>
          <w:tcPr>
            <w:tcW w:w="1700" w:type="dxa"/>
          </w:tcPr>
          <w:p w14:paraId="426C4813" w14:textId="48F8F78A" w:rsidR="002B1603" w:rsidRPr="00A07F29" w:rsidRDefault="00F14CF8" w:rsidP="00F14CF8">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245,78</w:t>
            </w:r>
          </w:p>
        </w:tc>
        <w:tc>
          <w:tcPr>
            <w:tcW w:w="1987" w:type="dxa"/>
          </w:tcPr>
          <w:p w14:paraId="4F15E24F" w14:textId="50208A89" w:rsidR="002B1603" w:rsidRPr="00A07F29" w:rsidRDefault="002B1603"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0,48</w:t>
            </w:r>
          </w:p>
        </w:tc>
        <w:tc>
          <w:tcPr>
            <w:tcW w:w="1558" w:type="dxa"/>
          </w:tcPr>
          <w:p w14:paraId="1597CFA3" w14:textId="51AB42B4" w:rsidR="002B1603" w:rsidRPr="00A07F29" w:rsidRDefault="002B1603"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6,</w:t>
            </w:r>
            <w:r w:rsidR="002439E5" w:rsidRPr="00A07F29">
              <w:rPr>
                <w:rFonts w:ascii="Times New Roman" w:eastAsia="Calibri" w:hAnsi="Times New Roman" w:cs="Times New Roman"/>
                <w:lang w:eastAsia="ar-SA"/>
              </w:rPr>
              <w:t>53</w:t>
            </w:r>
          </w:p>
          <w:p w14:paraId="7C055902" w14:textId="77777777" w:rsidR="002B1603" w:rsidRPr="00A07F29" w:rsidRDefault="002B1603" w:rsidP="00B24715">
            <w:pPr>
              <w:suppressAutoHyphens/>
              <w:spacing w:after="0" w:line="240" w:lineRule="auto"/>
              <w:jc w:val="center"/>
              <w:rPr>
                <w:rFonts w:ascii="Times New Roman" w:eastAsia="Calibri" w:hAnsi="Times New Roman" w:cs="Times New Roman"/>
                <w:highlight w:val="yellow"/>
                <w:lang w:eastAsia="ar-SA"/>
              </w:rPr>
            </w:pPr>
          </w:p>
        </w:tc>
        <w:tc>
          <w:tcPr>
            <w:tcW w:w="1418" w:type="dxa"/>
          </w:tcPr>
          <w:p w14:paraId="743495CA" w14:textId="2D91D34F" w:rsidR="002B1603" w:rsidRPr="00A07F29" w:rsidRDefault="002B1603"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1,25-1,</w:t>
            </w:r>
            <w:r w:rsidR="002439E5" w:rsidRPr="00A07F29">
              <w:rPr>
                <w:rFonts w:ascii="Times New Roman" w:eastAsia="Calibri" w:hAnsi="Times New Roman" w:cs="Times New Roman"/>
                <w:lang w:eastAsia="ar-SA"/>
              </w:rPr>
              <w:t>63</w:t>
            </w:r>
          </w:p>
          <w:p w14:paraId="20634E29" w14:textId="77777777" w:rsidR="002B1603" w:rsidRPr="00A07F29" w:rsidRDefault="002B1603" w:rsidP="00B24715">
            <w:pPr>
              <w:suppressAutoHyphens/>
              <w:spacing w:after="0" w:line="240" w:lineRule="auto"/>
              <w:jc w:val="center"/>
              <w:rPr>
                <w:rFonts w:ascii="Times New Roman" w:eastAsia="Calibri" w:hAnsi="Times New Roman" w:cs="Times New Roman"/>
                <w:lang w:eastAsia="ar-SA"/>
              </w:rPr>
            </w:pPr>
          </w:p>
        </w:tc>
        <w:tc>
          <w:tcPr>
            <w:tcW w:w="1559" w:type="dxa"/>
            <w:shd w:val="clear" w:color="auto" w:fill="FF0000"/>
          </w:tcPr>
          <w:p w14:paraId="1CBA4467" w14:textId="77777777" w:rsidR="002B1603" w:rsidRPr="00A07F29" w:rsidRDefault="002B1603"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U2d</w:t>
            </w:r>
          </w:p>
        </w:tc>
      </w:tr>
      <w:tr w:rsidR="002B1603" w:rsidRPr="00A07F29" w14:paraId="74AC3008" w14:textId="77777777" w:rsidTr="00AD1C16">
        <w:trPr>
          <w:trHeight w:val="273"/>
          <w:jc w:val="center"/>
        </w:trPr>
        <w:tc>
          <w:tcPr>
            <w:tcW w:w="848" w:type="dxa"/>
          </w:tcPr>
          <w:p w14:paraId="70FDB451" w14:textId="6D042C67" w:rsidR="002B1603" w:rsidRPr="00A07F29" w:rsidRDefault="00DA613C"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9</w:t>
            </w:r>
            <w:r w:rsidR="002B1603" w:rsidRPr="00A07F29">
              <w:rPr>
                <w:rFonts w:ascii="Times New Roman" w:eastAsia="Calibri" w:hAnsi="Times New Roman" w:cs="Times New Roman"/>
                <w:lang w:eastAsia="ar-SA"/>
              </w:rPr>
              <w:t>.</w:t>
            </w:r>
          </w:p>
        </w:tc>
        <w:tc>
          <w:tcPr>
            <w:tcW w:w="2835" w:type="dxa"/>
          </w:tcPr>
          <w:p w14:paraId="4FFB7711" w14:textId="77777777" w:rsidR="002B1603" w:rsidRPr="00A07F29" w:rsidRDefault="002B1603" w:rsidP="00B24715">
            <w:pPr>
              <w:suppressAutoHyphens/>
              <w:spacing w:after="0" w:line="240" w:lineRule="auto"/>
              <w:rPr>
                <w:rFonts w:ascii="Times New Roman" w:eastAsia="Calibri" w:hAnsi="Times New Roman" w:cs="Times New Roman"/>
                <w:lang w:eastAsia="ar-SA"/>
              </w:rPr>
            </w:pPr>
            <w:r w:rsidRPr="00A07F29">
              <w:rPr>
                <w:rFonts w:ascii="Times New Roman" w:eastAsia="Calibri" w:hAnsi="Times New Roman" w:cs="Times New Roman"/>
                <w:color w:val="000000"/>
                <w:lang w:eastAsia="ar-SA"/>
              </w:rPr>
              <w:t>6410 Mitri zālāji periodiski izžūstošās augsnēs</w:t>
            </w:r>
          </w:p>
        </w:tc>
        <w:tc>
          <w:tcPr>
            <w:tcW w:w="2691" w:type="dxa"/>
          </w:tcPr>
          <w:p w14:paraId="7D13B9E3" w14:textId="77777777" w:rsidR="002B1603" w:rsidRPr="00A07F29" w:rsidRDefault="002B1603" w:rsidP="00B24715">
            <w:pPr>
              <w:suppressAutoHyphens/>
              <w:spacing w:after="0" w:line="240" w:lineRule="auto"/>
              <w:rPr>
                <w:rFonts w:ascii="Times New Roman" w:eastAsia="Calibri" w:hAnsi="Times New Roman" w:cs="Times New Roman"/>
                <w:shd w:val="clear" w:color="auto" w:fill="FFFFFF"/>
                <w:lang w:eastAsia="ar-SA"/>
              </w:rPr>
            </w:pPr>
            <w:r w:rsidRPr="00A07F29">
              <w:rPr>
                <w:rFonts w:ascii="Times New Roman" w:eastAsia="Calibri" w:hAnsi="Times New Roman" w:cs="Times New Roman"/>
                <w:shd w:val="clear" w:color="auto" w:fill="FFFFFF"/>
                <w:lang w:eastAsia="ar-SA"/>
              </w:rPr>
              <w:t>3.8. Mitri zālāji periodiski izžūstošās augsnēs</w:t>
            </w:r>
          </w:p>
        </w:tc>
        <w:tc>
          <w:tcPr>
            <w:tcW w:w="1700" w:type="dxa"/>
          </w:tcPr>
          <w:p w14:paraId="78CF3D30" w14:textId="148AACF5" w:rsidR="002B1603" w:rsidRPr="00A07F29" w:rsidRDefault="002B1603" w:rsidP="00F14CF8">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5,</w:t>
            </w:r>
            <w:r w:rsidR="00973B52" w:rsidRPr="00A07F29">
              <w:rPr>
                <w:rFonts w:ascii="Times New Roman" w:eastAsia="Calibri" w:hAnsi="Times New Roman" w:cs="Times New Roman"/>
                <w:lang w:eastAsia="ar-SA"/>
              </w:rPr>
              <w:t>1</w:t>
            </w:r>
            <w:r w:rsidR="00F14CF8" w:rsidRPr="00A07F29">
              <w:rPr>
                <w:rFonts w:ascii="Times New Roman" w:eastAsia="Calibri" w:hAnsi="Times New Roman" w:cs="Times New Roman"/>
                <w:lang w:eastAsia="ar-SA"/>
              </w:rPr>
              <w:t>6</w:t>
            </w:r>
          </w:p>
        </w:tc>
        <w:tc>
          <w:tcPr>
            <w:tcW w:w="1987" w:type="dxa"/>
          </w:tcPr>
          <w:p w14:paraId="416B40DD" w14:textId="1F829F8A" w:rsidR="002B1603" w:rsidRPr="00A07F29" w:rsidRDefault="002B1603"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0,01</w:t>
            </w:r>
          </w:p>
        </w:tc>
        <w:tc>
          <w:tcPr>
            <w:tcW w:w="1558" w:type="dxa"/>
          </w:tcPr>
          <w:p w14:paraId="1ACA6120" w14:textId="7B9D511D" w:rsidR="002B1603" w:rsidRPr="00A07F29" w:rsidRDefault="002B1603" w:rsidP="00B24715">
            <w:pPr>
              <w:spacing w:after="0" w:line="240" w:lineRule="auto"/>
              <w:jc w:val="center"/>
              <w:rPr>
                <w:rFonts w:ascii="Times New Roman" w:eastAsia="Calibri" w:hAnsi="Times New Roman" w:cs="Times New Roman"/>
                <w:color w:val="000000"/>
                <w:lang w:eastAsia="ar-SA"/>
              </w:rPr>
            </w:pPr>
            <w:r w:rsidRPr="00A07F29">
              <w:rPr>
                <w:rFonts w:ascii="Times New Roman" w:eastAsia="Calibri" w:hAnsi="Times New Roman" w:cs="Times New Roman"/>
                <w:color w:val="000000"/>
                <w:lang w:eastAsia="ar-SA"/>
              </w:rPr>
              <w:t>0,</w:t>
            </w:r>
            <w:r w:rsidR="00973B52" w:rsidRPr="00A07F29">
              <w:rPr>
                <w:rFonts w:ascii="Times New Roman" w:eastAsia="Calibri" w:hAnsi="Times New Roman" w:cs="Times New Roman"/>
                <w:color w:val="000000"/>
                <w:lang w:eastAsia="ar-SA"/>
              </w:rPr>
              <w:t>44</w:t>
            </w:r>
          </w:p>
        </w:tc>
        <w:tc>
          <w:tcPr>
            <w:tcW w:w="1418" w:type="dxa"/>
          </w:tcPr>
          <w:p w14:paraId="5C1C33DB" w14:textId="300E857C" w:rsidR="002B1603" w:rsidRPr="00A07F29" w:rsidRDefault="002B1603"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0,12-0,</w:t>
            </w:r>
            <w:r w:rsidR="00973B52" w:rsidRPr="00A07F29">
              <w:rPr>
                <w:rFonts w:ascii="Times New Roman" w:eastAsia="Calibri" w:hAnsi="Times New Roman" w:cs="Times New Roman"/>
                <w:lang w:eastAsia="ar-SA"/>
              </w:rPr>
              <w:t>16</w:t>
            </w:r>
          </w:p>
        </w:tc>
        <w:tc>
          <w:tcPr>
            <w:tcW w:w="1559" w:type="dxa"/>
            <w:shd w:val="clear" w:color="auto" w:fill="FF0000"/>
          </w:tcPr>
          <w:p w14:paraId="40FE3E63" w14:textId="77777777" w:rsidR="002B1603" w:rsidRPr="00A07F29" w:rsidRDefault="002B1603"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U2x</w:t>
            </w:r>
          </w:p>
        </w:tc>
      </w:tr>
      <w:tr w:rsidR="002B1603" w:rsidRPr="00A07F29" w14:paraId="1A13F28B" w14:textId="77777777" w:rsidTr="00AD1C16">
        <w:trPr>
          <w:trHeight w:val="273"/>
          <w:jc w:val="center"/>
        </w:trPr>
        <w:tc>
          <w:tcPr>
            <w:tcW w:w="848" w:type="dxa"/>
          </w:tcPr>
          <w:p w14:paraId="0CBB9B78" w14:textId="5C95E4F3" w:rsidR="002B1603" w:rsidRPr="00A07F29" w:rsidRDefault="00DA613C"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10</w:t>
            </w:r>
            <w:r w:rsidR="002B1603" w:rsidRPr="00A07F29">
              <w:rPr>
                <w:rFonts w:ascii="Times New Roman" w:eastAsia="Calibri" w:hAnsi="Times New Roman" w:cs="Times New Roman"/>
                <w:lang w:eastAsia="ar-SA"/>
              </w:rPr>
              <w:t>.</w:t>
            </w:r>
          </w:p>
        </w:tc>
        <w:tc>
          <w:tcPr>
            <w:tcW w:w="2835" w:type="dxa"/>
          </w:tcPr>
          <w:p w14:paraId="1448081D" w14:textId="77777777" w:rsidR="002B1603" w:rsidRPr="00A07F29" w:rsidRDefault="002B1603" w:rsidP="00B24715">
            <w:pPr>
              <w:suppressAutoHyphens/>
              <w:spacing w:after="0" w:line="240" w:lineRule="auto"/>
              <w:rPr>
                <w:rFonts w:ascii="Times New Roman" w:eastAsia="Calibri" w:hAnsi="Times New Roman" w:cs="Times New Roman"/>
                <w:lang w:eastAsia="ar-SA"/>
              </w:rPr>
            </w:pPr>
            <w:r w:rsidRPr="00A07F29">
              <w:rPr>
                <w:rFonts w:ascii="Times New Roman" w:eastAsia="Calibri" w:hAnsi="Times New Roman" w:cs="Times New Roman"/>
                <w:color w:val="000000"/>
                <w:lang w:eastAsia="ar-SA"/>
              </w:rPr>
              <w:t xml:space="preserve">6430 </w:t>
            </w:r>
            <w:proofErr w:type="spellStart"/>
            <w:r w:rsidRPr="00A07F29">
              <w:rPr>
                <w:rFonts w:ascii="Times New Roman" w:eastAsia="Calibri" w:hAnsi="Times New Roman" w:cs="Times New Roman"/>
                <w:color w:val="000000"/>
                <w:lang w:eastAsia="ar-SA"/>
              </w:rPr>
              <w:t>Eitrofas</w:t>
            </w:r>
            <w:proofErr w:type="spellEnd"/>
            <w:r w:rsidRPr="00A07F29">
              <w:rPr>
                <w:rFonts w:ascii="Times New Roman" w:eastAsia="Calibri" w:hAnsi="Times New Roman" w:cs="Times New Roman"/>
                <w:color w:val="000000"/>
                <w:lang w:eastAsia="ar-SA"/>
              </w:rPr>
              <w:t xml:space="preserve"> augsto lakstaugu audzes</w:t>
            </w:r>
          </w:p>
        </w:tc>
        <w:tc>
          <w:tcPr>
            <w:tcW w:w="2691" w:type="dxa"/>
          </w:tcPr>
          <w:p w14:paraId="2A6BF8E2" w14:textId="77777777" w:rsidR="002B1603" w:rsidRPr="00A07F29" w:rsidRDefault="002B1603" w:rsidP="00B24715">
            <w:pPr>
              <w:suppressAutoHyphens/>
              <w:spacing w:after="0" w:line="240" w:lineRule="auto"/>
              <w:rPr>
                <w:rFonts w:ascii="Times New Roman" w:eastAsia="Calibri" w:hAnsi="Times New Roman" w:cs="Times New Roman"/>
                <w:shd w:val="clear" w:color="auto" w:fill="FFFFFF"/>
                <w:lang w:eastAsia="ar-SA"/>
              </w:rPr>
            </w:pPr>
            <w:r w:rsidRPr="00A07F29">
              <w:rPr>
                <w:rFonts w:ascii="Times New Roman" w:eastAsia="Calibri" w:hAnsi="Times New Roman" w:cs="Times New Roman"/>
                <w:shd w:val="clear" w:color="auto" w:fill="FFFFFF"/>
                <w:lang w:eastAsia="ar-SA"/>
              </w:rPr>
              <w:t xml:space="preserve">3.10. </w:t>
            </w:r>
            <w:proofErr w:type="spellStart"/>
            <w:r w:rsidRPr="00A07F29">
              <w:rPr>
                <w:rFonts w:ascii="Times New Roman" w:eastAsia="Calibri" w:hAnsi="Times New Roman" w:cs="Times New Roman"/>
                <w:shd w:val="clear" w:color="auto" w:fill="FFFFFF"/>
                <w:lang w:eastAsia="ar-SA"/>
              </w:rPr>
              <w:t>Eitrofas</w:t>
            </w:r>
            <w:proofErr w:type="spellEnd"/>
            <w:r w:rsidRPr="00A07F29">
              <w:rPr>
                <w:rFonts w:ascii="Times New Roman" w:eastAsia="Calibri" w:hAnsi="Times New Roman" w:cs="Times New Roman"/>
                <w:shd w:val="clear" w:color="auto" w:fill="FFFFFF"/>
                <w:lang w:eastAsia="ar-SA"/>
              </w:rPr>
              <w:t xml:space="preserve"> augsto lakstaugu audzes</w:t>
            </w:r>
          </w:p>
        </w:tc>
        <w:tc>
          <w:tcPr>
            <w:tcW w:w="1700" w:type="dxa"/>
          </w:tcPr>
          <w:p w14:paraId="0B37C05C" w14:textId="5B2AEC89" w:rsidR="00973B52" w:rsidRPr="00A07F29" w:rsidRDefault="00F14CF8" w:rsidP="00F14CF8">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126,67</w:t>
            </w:r>
          </w:p>
        </w:tc>
        <w:tc>
          <w:tcPr>
            <w:tcW w:w="1987" w:type="dxa"/>
          </w:tcPr>
          <w:p w14:paraId="74DB3D1F" w14:textId="332008DF" w:rsidR="002B1603" w:rsidRPr="00A07F29" w:rsidRDefault="002B1603"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0,</w:t>
            </w:r>
            <w:r w:rsidR="00973B52" w:rsidRPr="00A07F29">
              <w:rPr>
                <w:rFonts w:ascii="Times New Roman" w:eastAsia="Calibri" w:hAnsi="Times New Roman" w:cs="Times New Roman"/>
                <w:lang w:eastAsia="ar-SA"/>
              </w:rPr>
              <w:t>23</w:t>
            </w:r>
          </w:p>
        </w:tc>
        <w:tc>
          <w:tcPr>
            <w:tcW w:w="1558" w:type="dxa"/>
          </w:tcPr>
          <w:p w14:paraId="2A5A6935" w14:textId="1A215C2E" w:rsidR="002B1603" w:rsidRPr="00A07F29" w:rsidRDefault="002B1603" w:rsidP="00B24715">
            <w:pPr>
              <w:spacing w:after="0" w:line="240" w:lineRule="auto"/>
              <w:jc w:val="center"/>
              <w:rPr>
                <w:rFonts w:ascii="Times New Roman" w:eastAsia="Calibri" w:hAnsi="Times New Roman" w:cs="Times New Roman"/>
                <w:color w:val="000000"/>
                <w:lang w:eastAsia="ar-SA"/>
              </w:rPr>
            </w:pPr>
            <w:r w:rsidRPr="00A07F29">
              <w:rPr>
                <w:rFonts w:ascii="Times New Roman" w:eastAsia="Calibri" w:hAnsi="Times New Roman" w:cs="Times New Roman"/>
                <w:color w:val="000000"/>
                <w:lang w:eastAsia="ar-SA"/>
              </w:rPr>
              <w:t>31,64</w:t>
            </w:r>
          </w:p>
        </w:tc>
        <w:tc>
          <w:tcPr>
            <w:tcW w:w="1418" w:type="dxa"/>
          </w:tcPr>
          <w:p w14:paraId="5EBA8078" w14:textId="17D663F2" w:rsidR="002B1603" w:rsidRPr="00A07F29" w:rsidRDefault="002B1603"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17,83-23,</w:t>
            </w:r>
            <w:r w:rsidR="00973B52" w:rsidRPr="00A07F29">
              <w:rPr>
                <w:rFonts w:ascii="Times New Roman" w:eastAsia="Calibri" w:hAnsi="Times New Roman" w:cs="Times New Roman"/>
                <w:lang w:eastAsia="ar-SA"/>
              </w:rPr>
              <w:t>21</w:t>
            </w:r>
          </w:p>
        </w:tc>
        <w:tc>
          <w:tcPr>
            <w:tcW w:w="1559" w:type="dxa"/>
            <w:shd w:val="clear" w:color="auto" w:fill="FFFF00"/>
          </w:tcPr>
          <w:p w14:paraId="33DF56DC" w14:textId="77777777" w:rsidR="002B1603" w:rsidRPr="00A07F29" w:rsidRDefault="002B1603"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highlight w:val="yellow"/>
                <w:lang w:eastAsia="ar-SA"/>
              </w:rPr>
              <w:t>U1s</w:t>
            </w:r>
          </w:p>
        </w:tc>
      </w:tr>
      <w:tr w:rsidR="002B1603" w:rsidRPr="00A07F29" w14:paraId="2265224B" w14:textId="77777777" w:rsidTr="00AD1C16">
        <w:trPr>
          <w:trHeight w:val="273"/>
          <w:jc w:val="center"/>
        </w:trPr>
        <w:tc>
          <w:tcPr>
            <w:tcW w:w="848" w:type="dxa"/>
          </w:tcPr>
          <w:p w14:paraId="0A4C6FF4" w14:textId="3F54E81A" w:rsidR="002B1603" w:rsidRPr="00A07F29" w:rsidRDefault="00DA613C" w:rsidP="00DA613C">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lastRenderedPageBreak/>
              <w:t>11</w:t>
            </w:r>
            <w:r w:rsidR="002B1603" w:rsidRPr="00A07F29">
              <w:rPr>
                <w:rFonts w:ascii="Times New Roman" w:eastAsia="Calibri" w:hAnsi="Times New Roman" w:cs="Times New Roman"/>
                <w:lang w:eastAsia="ar-SA"/>
              </w:rPr>
              <w:t>.</w:t>
            </w:r>
          </w:p>
        </w:tc>
        <w:tc>
          <w:tcPr>
            <w:tcW w:w="2835" w:type="dxa"/>
          </w:tcPr>
          <w:p w14:paraId="316F929F" w14:textId="77777777" w:rsidR="002B1603" w:rsidRPr="00A07F29" w:rsidRDefault="002B1603" w:rsidP="002B1603">
            <w:pPr>
              <w:suppressAutoHyphens/>
              <w:spacing w:after="0" w:line="240" w:lineRule="auto"/>
              <w:rPr>
                <w:rFonts w:ascii="Times New Roman" w:eastAsia="Calibri" w:hAnsi="Times New Roman" w:cs="Times New Roman"/>
                <w:lang w:eastAsia="ar-SA"/>
              </w:rPr>
            </w:pPr>
            <w:r w:rsidRPr="00A07F29">
              <w:rPr>
                <w:rFonts w:ascii="Times New Roman" w:eastAsia="Calibri" w:hAnsi="Times New Roman" w:cs="Times New Roman"/>
                <w:color w:val="000000"/>
                <w:lang w:eastAsia="ar-SA"/>
              </w:rPr>
              <w:t>6450 Palieņu zālāji</w:t>
            </w:r>
          </w:p>
        </w:tc>
        <w:tc>
          <w:tcPr>
            <w:tcW w:w="2691" w:type="dxa"/>
          </w:tcPr>
          <w:p w14:paraId="2058B355" w14:textId="77777777" w:rsidR="002B1603" w:rsidRPr="00A07F29" w:rsidRDefault="002B1603" w:rsidP="002B1603">
            <w:pPr>
              <w:suppressAutoHyphens/>
              <w:spacing w:after="0" w:line="240" w:lineRule="auto"/>
              <w:rPr>
                <w:rFonts w:ascii="Times New Roman" w:eastAsia="Calibri" w:hAnsi="Times New Roman" w:cs="Times New Roman"/>
                <w:shd w:val="clear" w:color="auto" w:fill="FFFFFF"/>
                <w:lang w:eastAsia="ar-SA"/>
              </w:rPr>
            </w:pPr>
            <w:r w:rsidRPr="00A07F29">
              <w:rPr>
                <w:rFonts w:ascii="Times New Roman" w:eastAsia="Calibri" w:hAnsi="Times New Roman" w:cs="Times New Roman"/>
                <w:shd w:val="clear" w:color="auto" w:fill="FFFFFF"/>
                <w:lang w:eastAsia="ar-SA"/>
              </w:rPr>
              <w:t>3.11. Palieņu zālāji</w:t>
            </w:r>
          </w:p>
        </w:tc>
        <w:tc>
          <w:tcPr>
            <w:tcW w:w="1700" w:type="dxa"/>
          </w:tcPr>
          <w:p w14:paraId="05E487FE" w14:textId="2864A220" w:rsidR="002B1603" w:rsidRPr="00A07F29" w:rsidRDefault="00F14CF8" w:rsidP="002B1603">
            <w:pPr>
              <w:suppressAutoHyphens/>
              <w:spacing w:after="0" w:line="240" w:lineRule="auto"/>
              <w:jc w:val="center"/>
              <w:rPr>
                <w:rFonts w:ascii="Times New Roman" w:eastAsia="Calibri" w:hAnsi="Times New Roman" w:cs="Times New Roman"/>
                <w:lang w:eastAsia="ar-SA"/>
              </w:rPr>
            </w:pPr>
            <w:r w:rsidRPr="00A07F29">
              <w:rPr>
                <w:rFonts w:ascii="Times New Roman" w:hAnsi="Times New Roman" w:cs="Times New Roman"/>
                <w:color w:val="000000"/>
              </w:rPr>
              <w:t>120,47</w:t>
            </w:r>
          </w:p>
        </w:tc>
        <w:tc>
          <w:tcPr>
            <w:tcW w:w="1987" w:type="dxa"/>
          </w:tcPr>
          <w:p w14:paraId="2B41D306" w14:textId="1AB678C4" w:rsidR="002B1603" w:rsidRPr="00A07F29" w:rsidRDefault="002B1603" w:rsidP="00973B52">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0,23</w:t>
            </w:r>
          </w:p>
        </w:tc>
        <w:tc>
          <w:tcPr>
            <w:tcW w:w="1558" w:type="dxa"/>
          </w:tcPr>
          <w:p w14:paraId="1749460E" w14:textId="6543BE3C" w:rsidR="002B1603" w:rsidRPr="00A07F29" w:rsidRDefault="002B1603" w:rsidP="00973B52">
            <w:pPr>
              <w:spacing w:after="0" w:line="240" w:lineRule="auto"/>
              <w:jc w:val="center"/>
              <w:rPr>
                <w:rFonts w:ascii="Times New Roman" w:eastAsia="Calibri" w:hAnsi="Times New Roman" w:cs="Times New Roman"/>
                <w:color w:val="000000"/>
                <w:lang w:eastAsia="ar-SA"/>
              </w:rPr>
            </w:pPr>
            <w:r w:rsidRPr="00A07F29">
              <w:rPr>
                <w:rFonts w:ascii="Times New Roman" w:eastAsia="Calibri" w:hAnsi="Times New Roman" w:cs="Times New Roman"/>
                <w:color w:val="000000"/>
                <w:lang w:eastAsia="ar-SA"/>
              </w:rPr>
              <w:t>0,88</w:t>
            </w:r>
          </w:p>
        </w:tc>
        <w:tc>
          <w:tcPr>
            <w:tcW w:w="1418" w:type="dxa"/>
          </w:tcPr>
          <w:p w14:paraId="3C3A20E9" w14:textId="7ECF1343" w:rsidR="002B1603" w:rsidRPr="00A07F29" w:rsidRDefault="002B1603" w:rsidP="002B1603">
            <w:pPr>
              <w:suppressAutoHyphens/>
              <w:spacing w:after="0" w:line="240" w:lineRule="auto"/>
              <w:rPr>
                <w:rFonts w:ascii="Times New Roman" w:eastAsia="Calibri" w:hAnsi="Times New Roman" w:cs="Times New Roman"/>
                <w:lang w:eastAsia="ar-SA"/>
              </w:rPr>
            </w:pPr>
            <w:r w:rsidRPr="00A07F29">
              <w:rPr>
                <w:rFonts w:ascii="Times New Roman" w:eastAsia="Calibri" w:hAnsi="Times New Roman" w:cs="Times New Roman"/>
                <w:lang w:eastAsia="ar-SA"/>
              </w:rPr>
              <w:t>0,</w:t>
            </w:r>
            <w:r w:rsidR="00973B52" w:rsidRPr="00A07F29">
              <w:rPr>
                <w:rFonts w:ascii="Times New Roman" w:eastAsia="Calibri" w:hAnsi="Times New Roman" w:cs="Times New Roman"/>
                <w:lang w:eastAsia="ar-SA"/>
              </w:rPr>
              <w:t>68</w:t>
            </w:r>
            <w:r w:rsidRPr="00A07F29">
              <w:rPr>
                <w:rFonts w:ascii="Times New Roman" w:eastAsia="Calibri" w:hAnsi="Times New Roman" w:cs="Times New Roman"/>
                <w:lang w:eastAsia="ar-SA"/>
              </w:rPr>
              <w:t>-0,88</w:t>
            </w:r>
          </w:p>
        </w:tc>
        <w:tc>
          <w:tcPr>
            <w:tcW w:w="1559" w:type="dxa"/>
            <w:shd w:val="clear" w:color="auto" w:fill="FF0000"/>
          </w:tcPr>
          <w:p w14:paraId="1D0D4D8F" w14:textId="77777777" w:rsidR="002B1603" w:rsidRPr="00A07F29" w:rsidRDefault="002B1603" w:rsidP="002B1603">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U2d</w:t>
            </w:r>
          </w:p>
        </w:tc>
      </w:tr>
      <w:tr w:rsidR="002B1603" w:rsidRPr="00A07F29" w14:paraId="6FC2D1D0" w14:textId="77777777" w:rsidTr="00AD1C16">
        <w:trPr>
          <w:trHeight w:val="273"/>
          <w:jc w:val="center"/>
        </w:trPr>
        <w:tc>
          <w:tcPr>
            <w:tcW w:w="848" w:type="dxa"/>
          </w:tcPr>
          <w:p w14:paraId="1CE16BB1" w14:textId="78EA41C6" w:rsidR="002B1603" w:rsidRPr="00A07F29" w:rsidRDefault="00DA613C" w:rsidP="00DA613C">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12</w:t>
            </w:r>
            <w:r w:rsidR="002B1603" w:rsidRPr="00A07F29">
              <w:rPr>
                <w:rFonts w:ascii="Times New Roman" w:eastAsia="Calibri" w:hAnsi="Times New Roman" w:cs="Times New Roman"/>
                <w:lang w:eastAsia="ar-SA"/>
              </w:rPr>
              <w:t>.</w:t>
            </w:r>
          </w:p>
        </w:tc>
        <w:tc>
          <w:tcPr>
            <w:tcW w:w="2835" w:type="dxa"/>
          </w:tcPr>
          <w:p w14:paraId="0EED33FB" w14:textId="77777777" w:rsidR="002B1603" w:rsidRPr="00A07F29" w:rsidRDefault="002B1603" w:rsidP="002B1603">
            <w:pPr>
              <w:suppressAutoHyphens/>
              <w:spacing w:after="0" w:line="240" w:lineRule="auto"/>
              <w:rPr>
                <w:rFonts w:ascii="Times New Roman" w:eastAsia="Calibri" w:hAnsi="Times New Roman" w:cs="Times New Roman"/>
                <w:lang w:eastAsia="ar-SA"/>
              </w:rPr>
            </w:pPr>
            <w:r w:rsidRPr="00A07F29">
              <w:rPr>
                <w:rFonts w:ascii="Times New Roman" w:eastAsia="Calibri" w:hAnsi="Times New Roman" w:cs="Times New Roman"/>
                <w:color w:val="000000"/>
                <w:lang w:eastAsia="ar-SA"/>
              </w:rPr>
              <w:t>6510 Mēreni mitras pļavas</w:t>
            </w:r>
          </w:p>
        </w:tc>
        <w:tc>
          <w:tcPr>
            <w:tcW w:w="2691" w:type="dxa"/>
          </w:tcPr>
          <w:p w14:paraId="3CEFCD05" w14:textId="77777777" w:rsidR="002B1603" w:rsidRPr="00A07F29" w:rsidRDefault="002B1603" w:rsidP="002B1603">
            <w:pPr>
              <w:suppressAutoHyphens/>
              <w:spacing w:after="0" w:line="240" w:lineRule="auto"/>
              <w:rPr>
                <w:rFonts w:ascii="Times New Roman" w:eastAsia="Calibri" w:hAnsi="Times New Roman" w:cs="Times New Roman"/>
                <w:shd w:val="clear" w:color="auto" w:fill="FFFFFF"/>
                <w:lang w:eastAsia="ar-SA"/>
              </w:rPr>
            </w:pPr>
            <w:r w:rsidRPr="00A07F29">
              <w:rPr>
                <w:rFonts w:ascii="Times New Roman" w:eastAsia="Calibri" w:hAnsi="Times New Roman" w:cs="Times New Roman"/>
                <w:shd w:val="clear" w:color="auto" w:fill="FFFFFF"/>
                <w:lang w:eastAsia="ar-SA"/>
              </w:rPr>
              <w:t>3.12. Mēreni mitras pļavas</w:t>
            </w:r>
          </w:p>
        </w:tc>
        <w:tc>
          <w:tcPr>
            <w:tcW w:w="1700" w:type="dxa"/>
          </w:tcPr>
          <w:p w14:paraId="5699126E" w14:textId="6E1CFB67" w:rsidR="002B1603" w:rsidRPr="00A07F29" w:rsidRDefault="00973B52" w:rsidP="002B1603">
            <w:pPr>
              <w:suppressAutoHyphens/>
              <w:spacing w:after="0" w:line="240" w:lineRule="auto"/>
              <w:jc w:val="center"/>
              <w:rPr>
                <w:rFonts w:ascii="Times New Roman" w:eastAsia="Calibri" w:hAnsi="Times New Roman" w:cs="Times New Roman"/>
                <w:lang w:eastAsia="ar-SA"/>
              </w:rPr>
            </w:pPr>
            <w:r w:rsidRPr="00A07F29">
              <w:rPr>
                <w:rFonts w:ascii="Times New Roman" w:hAnsi="Times New Roman" w:cs="Times New Roman"/>
                <w:color w:val="000000"/>
              </w:rPr>
              <w:t>28,04</w:t>
            </w:r>
          </w:p>
        </w:tc>
        <w:tc>
          <w:tcPr>
            <w:tcW w:w="1987" w:type="dxa"/>
          </w:tcPr>
          <w:p w14:paraId="4964E917" w14:textId="44FFFBE0" w:rsidR="002B1603" w:rsidRPr="00A07F29" w:rsidRDefault="002B1603" w:rsidP="00973B52">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0,05</w:t>
            </w:r>
          </w:p>
        </w:tc>
        <w:tc>
          <w:tcPr>
            <w:tcW w:w="1558" w:type="dxa"/>
          </w:tcPr>
          <w:p w14:paraId="3F4EFD1C" w14:textId="2B6EAA53" w:rsidR="002B1603" w:rsidRPr="00A07F29" w:rsidRDefault="002B1603" w:rsidP="00973B52">
            <w:pPr>
              <w:spacing w:after="0" w:line="240" w:lineRule="auto"/>
              <w:jc w:val="center"/>
              <w:rPr>
                <w:rFonts w:ascii="Times New Roman" w:eastAsia="Calibri" w:hAnsi="Times New Roman" w:cs="Times New Roman"/>
                <w:color w:val="000000"/>
                <w:lang w:eastAsia="ar-SA"/>
              </w:rPr>
            </w:pPr>
            <w:r w:rsidRPr="00A07F29">
              <w:rPr>
                <w:rFonts w:ascii="Times New Roman" w:eastAsia="Calibri" w:hAnsi="Times New Roman" w:cs="Times New Roman"/>
                <w:color w:val="000000"/>
                <w:lang w:eastAsia="ar-SA"/>
              </w:rPr>
              <w:t>1,</w:t>
            </w:r>
            <w:r w:rsidR="00973B52" w:rsidRPr="00A07F29">
              <w:rPr>
                <w:rFonts w:ascii="Times New Roman" w:eastAsia="Calibri" w:hAnsi="Times New Roman" w:cs="Times New Roman"/>
                <w:color w:val="000000"/>
                <w:lang w:eastAsia="ar-SA"/>
              </w:rPr>
              <w:t>99</w:t>
            </w:r>
          </w:p>
        </w:tc>
        <w:tc>
          <w:tcPr>
            <w:tcW w:w="1418" w:type="dxa"/>
          </w:tcPr>
          <w:p w14:paraId="5450E846" w14:textId="56B22B8D" w:rsidR="002B1603" w:rsidRPr="00A07F29" w:rsidRDefault="002B1603" w:rsidP="00973B52">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0,52-0,</w:t>
            </w:r>
            <w:r w:rsidR="00973B52" w:rsidRPr="00A07F29">
              <w:rPr>
                <w:rFonts w:ascii="Times New Roman" w:eastAsia="Calibri" w:hAnsi="Times New Roman" w:cs="Times New Roman"/>
                <w:lang w:eastAsia="ar-SA"/>
              </w:rPr>
              <w:t>68</w:t>
            </w:r>
          </w:p>
        </w:tc>
        <w:tc>
          <w:tcPr>
            <w:tcW w:w="1559" w:type="dxa"/>
            <w:shd w:val="clear" w:color="auto" w:fill="FF0000"/>
          </w:tcPr>
          <w:p w14:paraId="3EEB9BBF" w14:textId="77777777" w:rsidR="002B1603" w:rsidRPr="00A07F29" w:rsidRDefault="002B1603" w:rsidP="002B1603">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U2d</w:t>
            </w:r>
          </w:p>
        </w:tc>
      </w:tr>
      <w:tr w:rsidR="002B1603" w:rsidRPr="00A07F29" w14:paraId="0C118692" w14:textId="77777777" w:rsidTr="00AD1C16">
        <w:trPr>
          <w:trHeight w:val="273"/>
          <w:jc w:val="center"/>
        </w:trPr>
        <w:tc>
          <w:tcPr>
            <w:tcW w:w="14596" w:type="dxa"/>
            <w:gridSpan w:val="8"/>
            <w:shd w:val="clear" w:color="auto" w:fill="C5E0B3"/>
          </w:tcPr>
          <w:p w14:paraId="1FF81A31" w14:textId="77777777" w:rsidR="002B1603" w:rsidRPr="00A07F29" w:rsidRDefault="002B1603" w:rsidP="002B1603">
            <w:pPr>
              <w:tabs>
                <w:tab w:val="left" w:pos="8810"/>
              </w:tabs>
              <w:suppressAutoHyphens/>
              <w:spacing w:after="0" w:line="240" w:lineRule="auto"/>
              <w:jc w:val="center"/>
              <w:rPr>
                <w:rFonts w:ascii="Times New Roman" w:eastAsia="Calibri" w:hAnsi="Times New Roman" w:cs="Times New Roman"/>
                <w:b/>
                <w:lang w:eastAsia="ar-SA"/>
              </w:rPr>
            </w:pPr>
            <w:r w:rsidRPr="00A07F29">
              <w:rPr>
                <w:rFonts w:ascii="Times New Roman" w:eastAsia="Calibri" w:hAnsi="Times New Roman" w:cs="Times New Roman"/>
                <w:b/>
                <w:lang w:eastAsia="ar-SA"/>
              </w:rPr>
              <w:t>Purvu biotopi</w:t>
            </w:r>
          </w:p>
        </w:tc>
      </w:tr>
      <w:tr w:rsidR="002B1603" w:rsidRPr="00A07F29" w14:paraId="522771A0" w14:textId="77777777" w:rsidTr="00AD1C16">
        <w:trPr>
          <w:trHeight w:val="273"/>
          <w:jc w:val="center"/>
        </w:trPr>
        <w:tc>
          <w:tcPr>
            <w:tcW w:w="848" w:type="dxa"/>
          </w:tcPr>
          <w:p w14:paraId="17644E6E" w14:textId="5C444C06" w:rsidR="002B1603" w:rsidRPr="00A07F29" w:rsidRDefault="00DA613C"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13</w:t>
            </w:r>
            <w:r w:rsidR="002B1603" w:rsidRPr="00A07F29">
              <w:rPr>
                <w:rFonts w:ascii="Times New Roman" w:eastAsia="Calibri" w:hAnsi="Times New Roman" w:cs="Times New Roman"/>
                <w:lang w:eastAsia="ar-SA"/>
              </w:rPr>
              <w:t>.</w:t>
            </w:r>
          </w:p>
        </w:tc>
        <w:tc>
          <w:tcPr>
            <w:tcW w:w="2835" w:type="dxa"/>
            <w:vAlign w:val="center"/>
          </w:tcPr>
          <w:p w14:paraId="7E219F0F" w14:textId="77777777" w:rsidR="002B1603" w:rsidRPr="00A07F29" w:rsidRDefault="002B1603" w:rsidP="00B24715">
            <w:pPr>
              <w:suppressAutoHyphens/>
              <w:spacing w:after="0" w:line="240" w:lineRule="auto"/>
              <w:rPr>
                <w:rFonts w:ascii="Times New Roman" w:eastAsia="Calibri" w:hAnsi="Times New Roman" w:cs="Times New Roman"/>
                <w:lang w:eastAsia="ar-SA"/>
              </w:rPr>
            </w:pPr>
            <w:r w:rsidRPr="00A07F29">
              <w:rPr>
                <w:rFonts w:ascii="Times New Roman" w:eastAsia="Calibri" w:hAnsi="Times New Roman" w:cs="Times New Roman"/>
                <w:lang w:eastAsia="ar-SA"/>
              </w:rPr>
              <w:t>7110* Aktīvi augstie purvi</w:t>
            </w:r>
          </w:p>
        </w:tc>
        <w:tc>
          <w:tcPr>
            <w:tcW w:w="2691" w:type="dxa"/>
          </w:tcPr>
          <w:p w14:paraId="6ADFFF21" w14:textId="77777777" w:rsidR="002B1603" w:rsidRPr="00A07F29" w:rsidRDefault="002B1603" w:rsidP="00B24715">
            <w:pPr>
              <w:suppressAutoHyphens/>
              <w:spacing w:after="0" w:line="240" w:lineRule="auto"/>
              <w:rPr>
                <w:rFonts w:ascii="Times New Roman" w:eastAsia="Times New Roman" w:hAnsi="Times New Roman" w:cs="Times New Roman"/>
                <w:bCs/>
                <w:color w:val="000000"/>
                <w:kern w:val="24"/>
                <w:lang w:eastAsia="lv-LV"/>
              </w:rPr>
            </w:pPr>
            <w:r w:rsidRPr="00A07F29">
              <w:rPr>
                <w:rFonts w:ascii="Times New Roman" w:eastAsia="Times New Roman" w:hAnsi="Times New Roman" w:cs="Times New Roman"/>
                <w:bCs/>
                <w:color w:val="000000"/>
                <w:kern w:val="24"/>
                <w:lang w:eastAsia="lv-LV"/>
              </w:rPr>
              <w:t>-</w:t>
            </w:r>
          </w:p>
        </w:tc>
        <w:tc>
          <w:tcPr>
            <w:tcW w:w="1700" w:type="dxa"/>
          </w:tcPr>
          <w:p w14:paraId="2E4B786B" w14:textId="2CFA101A" w:rsidR="002B1603" w:rsidRPr="00A07F29" w:rsidRDefault="002B1603"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4,</w:t>
            </w:r>
            <w:r w:rsidR="004D1EB1" w:rsidRPr="00A07F29">
              <w:rPr>
                <w:rFonts w:ascii="Times New Roman" w:eastAsia="Calibri" w:hAnsi="Times New Roman" w:cs="Times New Roman"/>
                <w:lang w:eastAsia="ar-SA"/>
              </w:rPr>
              <w:t>67</w:t>
            </w:r>
          </w:p>
        </w:tc>
        <w:tc>
          <w:tcPr>
            <w:tcW w:w="1987" w:type="dxa"/>
          </w:tcPr>
          <w:p w14:paraId="20577C36" w14:textId="10488A6B" w:rsidR="002B1603" w:rsidRPr="00A07F29" w:rsidRDefault="002B1603"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0,</w:t>
            </w:r>
            <w:r w:rsidR="004D1EB1" w:rsidRPr="00A07F29">
              <w:rPr>
                <w:rFonts w:ascii="Times New Roman" w:eastAsia="Calibri" w:hAnsi="Times New Roman" w:cs="Times New Roman"/>
                <w:lang w:eastAsia="ar-SA"/>
              </w:rPr>
              <w:t>01</w:t>
            </w:r>
          </w:p>
        </w:tc>
        <w:tc>
          <w:tcPr>
            <w:tcW w:w="1558" w:type="dxa"/>
          </w:tcPr>
          <w:p w14:paraId="09668997" w14:textId="26EDCBC2" w:rsidR="002B1603" w:rsidRPr="00A07F29" w:rsidRDefault="002B1603" w:rsidP="00B24715">
            <w:pPr>
              <w:spacing w:after="0" w:line="240" w:lineRule="auto"/>
              <w:jc w:val="center"/>
              <w:rPr>
                <w:rFonts w:ascii="Times New Roman" w:eastAsia="Calibri" w:hAnsi="Times New Roman" w:cs="Times New Roman"/>
                <w:highlight w:val="yellow"/>
                <w:lang w:eastAsia="ar-SA"/>
              </w:rPr>
            </w:pPr>
            <w:r w:rsidRPr="00A07F29">
              <w:rPr>
                <w:rFonts w:ascii="Times New Roman" w:eastAsia="Calibri" w:hAnsi="Times New Roman" w:cs="Times New Roman"/>
                <w:lang w:eastAsia="ar-SA"/>
              </w:rPr>
              <w:t>0,00006</w:t>
            </w:r>
          </w:p>
        </w:tc>
        <w:tc>
          <w:tcPr>
            <w:tcW w:w="1418" w:type="dxa"/>
          </w:tcPr>
          <w:p w14:paraId="3DB91536" w14:textId="77777777" w:rsidR="002B1603" w:rsidRPr="00A07F29" w:rsidRDefault="002B1603" w:rsidP="00B24715">
            <w:pPr>
              <w:suppressAutoHyphens/>
              <w:spacing w:after="0" w:line="240" w:lineRule="auto"/>
              <w:jc w:val="center"/>
              <w:rPr>
                <w:rFonts w:ascii="Times New Roman" w:eastAsia="Calibri" w:hAnsi="Times New Roman" w:cs="Calibri"/>
                <w:lang w:eastAsia="ar-SA"/>
              </w:rPr>
            </w:pPr>
            <w:r w:rsidRPr="00A07F29">
              <w:rPr>
                <w:rFonts w:ascii="Times New Roman" w:eastAsia="Calibri" w:hAnsi="Times New Roman" w:cs="Calibri"/>
                <w:lang w:eastAsia="ar-SA"/>
              </w:rPr>
              <w:t>0,042-0,005</w:t>
            </w:r>
          </w:p>
        </w:tc>
        <w:tc>
          <w:tcPr>
            <w:tcW w:w="1559" w:type="dxa"/>
            <w:shd w:val="clear" w:color="auto" w:fill="FFFF00"/>
          </w:tcPr>
          <w:p w14:paraId="006F8AAB" w14:textId="77777777" w:rsidR="002B1603" w:rsidRPr="00A07F29" w:rsidRDefault="002B1603"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U1s</w:t>
            </w:r>
          </w:p>
        </w:tc>
      </w:tr>
      <w:tr w:rsidR="002B1603" w:rsidRPr="00A07F29" w14:paraId="34705A12" w14:textId="77777777" w:rsidTr="00AD1C16">
        <w:trPr>
          <w:trHeight w:val="273"/>
          <w:jc w:val="center"/>
        </w:trPr>
        <w:tc>
          <w:tcPr>
            <w:tcW w:w="848" w:type="dxa"/>
          </w:tcPr>
          <w:p w14:paraId="4E3EE71C" w14:textId="5D5B6D8D" w:rsidR="002B1603" w:rsidRPr="00A07F29" w:rsidRDefault="00DA613C"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14</w:t>
            </w:r>
            <w:r w:rsidR="002B1603" w:rsidRPr="00A07F29">
              <w:rPr>
                <w:rFonts w:ascii="Times New Roman" w:eastAsia="Calibri" w:hAnsi="Times New Roman" w:cs="Times New Roman"/>
                <w:lang w:eastAsia="ar-SA"/>
              </w:rPr>
              <w:t>.</w:t>
            </w:r>
          </w:p>
        </w:tc>
        <w:tc>
          <w:tcPr>
            <w:tcW w:w="2835" w:type="dxa"/>
            <w:vAlign w:val="center"/>
          </w:tcPr>
          <w:p w14:paraId="5E34F643" w14:textId="77777777" w:rsidR="002B1603" w:rsidRPr="00A07F29" w:rsidRDefault="002B1603" w:rsidP="00B24715">
            <w:pPr>
              <w:suppressAutoHyphens/>
              <w:spacing w:after="0" w:line="240" w:lineRule="auto"/>
              <w:rPr>
                <w:rFonts w:ascii="Times New Roman" w:eastAsia="Calibri" w:hAnsi="Times New Roman" w:cs="Times New Roman"/>
                <w:lang w:eastAsia="ar-SA"/>
              </w:rPr>
            </w:pPr>
            <w:r w:rsidRPr="00A07F29">
              <w:rPr>
                <w:rFonts w:ascii="Times New Roman" w:eastAsia="Calibri" w:hAnsi="Times New Roman" w:cs="Times New Roman"/>
                <w:lang w:eastAsia="ar-SA"/>
              </w:rPr>
              <w:t xml:space="preserve">7120 </w:t>
            </w:r>
            <w:r w:rsidRPr="00A07F29">
              <w:rPr>
                <w:rFonts w:ascii="Times New Roman" w:eastAsia="Calibri" w:hAnsi="Times New Roman" w:cs="Calibri"/>
                <w:color w:val="000000"/>
                <w:lang w:eastAsia="ar-SA"/>
              </w:rPr>
              <w:t>Degradēti augstie purvi, kuros iespējama vai noris dabiskā atjaunošanās</w:t>
            </w:r>
          </w:p>
        </w:tc>
        <w:tc>
          <w:tcPr>
            <w:tcW w:w="2691" w:type="dxa"/>
          </w:tcPr>
          <w:p w14:paraId="30D8410E" w14:textId="77777777" w:rsidR="002B1603" w:rsidRPr="00A07F29" w:rsidRDefault="002B1603" w:rsidP="00B24715">
            <w:pPr>
              <w:suppressAutoHyphens/>
              <w:spacing w:after="0" w:line="240" w:lineRule="auto"/>
              <w:rPr>
                <w:rFonts w:ascii="Times New Roman" w:eastAsia="Times New Roman" w:hAnsi="Times New Roman" w:cs="Times New Roman"/>
                <w:bCs/>
                <w:color w:val="000000"/>
                <w:kern w:val="24"/>
                <w:lang w:eastAsia="lv-LV"/>
              </w:rPr>
            </w:pPr>
            <w:r w:rsidRPr="00A07F29">
              <w:rPr>
                <w:rFonts w:ascii="Times New Roman" w:eastAsia="Times New Roman" w:hAnsi="Times New Roman" w:cs="Times New Roman"/>
                <w:bCs/>
                <w:color w:val="000000"/>
                <w:kern w:val="24"/>
                <w:lang w:eastAsia="lv-LV"/>
              </w:rPr>
              <w:t>-</w:t>
            </w:r>
          </w:p>
        </w:tc>
        <w:tc>
          <w:tcPr>
            <w:tcW w:w="1700" w:type="dxa"/>
          </w:tcPr>
          <w:p w14:paraId="73449252" w14:textId="349BC385" w:rsidR="002B1603" w:rsidRPr="00A07F29" w:rsidRDefault="002B1603"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0,96</w:t>
            </w:r>
          </w:p>
        </w:tc>
        <w:tc>
          <w:tcPr>
            <w:tcW w:w="1987" w:type="dxa"/>
          </w:tcPr>
          <w:p w14:paraId="28AE44A2" w14:textId="56A882E8" w:rsidR="002B1603" w:rsidRPr="00A07F29" w:rsidRDefault="002B1603"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0,</w:t>
            </w:r>
            <w:r w:rsidR="004D1EB1" w:rsidRPr="00A07F29">
              <w:rPr>
                <w:rFonts w:ascii="Times New Roman" w:eastAsia="Calibri" w:hAnsi="Times New Roman" w:cs="Times New Roman"/>
                <w:lang w:eastAsia="ar-SA"/>
              </w:rPr>
              <w:t>002</w:t>
            </w:r>
          </w:p>
        </w:tc>
        <w:tc>
          <w:tcPr>
            <w:tcW w:w="1558" w:type="dxa"/>
          </w:tcPr>
          <w:p w14:paraId="4CDBF975" w14:textId="5E3C375E" w:rsidR="002B1603" w:rsidRPr="00A07F29" w:rsidRDefault="002B1603"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0,0001</w:t>
            </w:r>
          </w:p>
        </w:tc>
        <w:tc>
          <w:tcPr>
            <w:tcW w:w="1418" w:type="dxa"/>
          </w:tcPr>
          <w:p w14:paraId="2DFDE9C7" w14:textId="77777777" w:rsidR="002B1603" w:rsidRPr="00A07F29" w:rsidRDefault="002B1603" w:rsidP="00B24715">
            <w:pPr>
              <w:suppressAutoHyphens/>
              <w:spacing w:after="0" w:line="240" w:lineRule="auto"/>
              <w:jc w:val="center"/>
              <w:rPr>
                <w:rFonts w:ascii="Times New Roman" w:eastAsia="Calibri" w:hAnsi="Times New Roman" w:cs="Calibri"/>
                <w:lang w:eastAsia="ar-SA"/>
              </w:rPr>
            </w:pPr>
            <w:r w:rsidRPr="00A07F29">
              <w:rPr>
                <w:rFonts w:ascii="Times New Roman" w:eastAsia="Calibri" w:hAnsi="Times New Roman" w:cs="Calibri"/>
                <w:lang w:eastAsia="ar-SA"/>
              </w:rPr>
              <w:t>0,006-0,008</w:t>
            </w:r>
          </w:p>
        </w:tc>
        <w:tc>
          <w:tcPr>
            <w:tcW w:w="1559" w:type="dxa"/>
            <w:shd w:val="clear" w:color="auto" w:fill="FF0000"/>
          </w:tcPr>
          <w:p w14:paraId="00FE3CD5" w14:textId="77777777" w:rsidR="002B1603" w:rsidRPr="00A07F29" w:rsidRDefault="002B1603"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U2x</w:t>
            </w:r>
          </w:p>
        </w:tc>
      </w:tr>
      <w:tr w:rsidR="002B1603" w:rsidRPr="00A07F29" w14:paraId="4782BEB7" w14:textId="77777777" w:rsidTr="00AD1C16">
        <w:trPr>
          <w:trHeight w:val="273"/>
          <w:jc w:val="center"/>
        </w:trPr>
        <w:tc>
          <w:tcPr>
            <w:tcW w:w="848" w:type="dxa"/>
          </w:tcPr>
          <w:p w14:paraId="553C4233" w14:textId="6A81F313" w:rsidR="002B1603" w:rsidRPr="00A07F29" w:rsidRDefault="00DA613C"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15</w:t>
            </w:r>
            <w:r w:rsidR="002B1603" w:rsidRPr="00A07F29">
              <w:rPr>
                <w:rFonts w:ascii="Times New Roman" w:eastAsia="Calibri" w:hAnsi="Times New Roman" w:cs="Times New Roman"/>
                <w:lang w:eastAsia="ar-SA"/>
              </w:rPr>
              <w:t>.</w:t>
            </w:r>
          </w:p>
        </w:tc>
        <w:tc>
          <w:tcPr>
            <w:tcW w:w="2835" w:type="dxa"/>
            <w:vAlign w:val="center"/>
          </w:tcPr>
          <w:p w14:paraId="03C485D2" w14:textId="77777777" w:rsidR="002B1603" w:rsidRPr="00A07F29" w:rsidRDefault="002B1603" w:rsidP="00B24715">
            <w:pPr>
              <w:suppressAutoHyphens/>
              <w:spacing w:after="0" w:line="240" w:lineRule="auto"/>
              <w:rPr>
                <w:rFonts w:ascii="Times New Roman" w:eastAsia="Calibri" w:hAnsi="Times New Roman" w:cs="Times New Roman"/>
                <w:lang w:eastAsia="ar-SA"/>
              </w:rPr>
            </w:pPr>
            <w:r w:rsidRPr="00A07F29">
              <w:rPr>
                <w:rFonts w:ascii="Times New Roman" w:eastAsia="Calibri" w:hAnsi="Times New Roman" w:cs="Times New Roman"/>
                <w:lang w:eastAsia="ar-SA"/>
              </w:rPr>
              <w:t xml:space="preserve">7140 </w:t>
            </w:r>
            <w:r w:rsidRPr="00A07F29">
              <w:rPr>
                <w:rFonts w:ascii="Times New Roman" w:eastAsia="Calibri" w:hAnsi="Times New Roman" w:cs="Times New Roman"/>
                <w:shd w:val="clear" w:color="auto" w:fill="FFFFFF"/>
                <w:lang w:eastAsia="ar-SA"/>
              </w:rPr>
              <w:t>Pārejas purvi un slīkšņas</w:t>
            </w:r>
          </w:p>
        </w:tc>
        <w:tc>
          <w:tcPr>
            <w:tcW w:w="2691" w:type="dxa"/>
          </w:tcPr>
          <w:p w14:paraId="254E78A5" w14:textId="77777777" w:rsidR="002B1603" w:rsidRPr="00A07F29" w:rsidRDefault="002B1603" w:rsidP="00B24715">
            <w:pPr>
              <w:suppressAutoHyphens/>
              <w:spacing w:after="0" w:line="240" w:lineRule="auto"/>
              <w:rPr>
                <w:rFonts w:ascii="Times New Roman" w:eastAsia="Times New Roman" w:hAnsi="Times New Roman" w:cs="Times New Roman"/>
                <w:bCs/>
                <w:color w:val="000000"/>
                <w:kern w:val="24"/>
                <w:lang w:eastAsia="lv-LV"/>
              </w:rPr>
            </w:pPr>
            <w:r w:rsidRPr="00A07F29">
              <w:rPr>
                <w:rFonts w:ascii="Times New Roman" w:eastAsia="Calibri" w:hAnsi="Times New Roman" w:cs="Times New Roman"/>
                <w:lang w:eastAsia="ar-SA"/>
              </w:rPr>
              <w:t>2.7. Pārejas purvi un slīkšņas</w:t>
            </w:r>
          </w:p>
        </w:tc>
        <w:tc>
          <w:tcPr>
            <w:tcW w:w="1700" w:type="dxa"/>
          </w:tcPr>
          <w:p w14:paraId="4E7723FD" w14:textId="0B2D1C00" w:rsidR="00583EA1" w:rsidRPr="00A07F29" w:rsidRDefault="00583EA1"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49,25</w:t>
            </w:r>
          </w:p>
        </w:tc>
        <w:tc>
          <w:tcPr>
            <w:tcW w:w="1987" w:type="dxa"/>
          </w:tcPr>
          <w:p w14:paraId="4BAC76C7" w14:textId="5C97DA61" w:rsidR="002B1603" w:rsidRPr="00A07F29" w:rsidRDefault="002B1603"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0,09</w:t>
            </w:r>
          </w:p>
        </w:tc>
        <w:tc>
          <w:tcPr>
            <w:tcW w:w="1558" w:type="dxa"/>
          </w:tcPr>
          <w:p w14:paraId="32559047" w14:textId="48A1A5C9" w:rsidR="002B1603" w:rsidRPr="00A07F29" w:rsidRDefault="002B1603"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0,</w:t>
            </w:r>
            <w:r w:rsidR="00583EA1" w:rsidRPr="00A07F29">
              <w:rPr>
                <w:rFonts w:ascii="Times New Roman" w:eastAsia="Calibri" w:hAnsi="Times New Roman" w:cs="Times New Roman"/>
                <w:lang w:eastAsia="ar-SA"/>
              </w:rPr>
              <w:t>01</w:t>
            </w:r>
          </w:p>
          <w:p w14:paraId="178CC16C" w14:textId="77777777" w:rsidR="002B1603" w:rsidRPr="00A07F29" w:rsidRDefault="002B1603" w:rsidP="00B24715">
            <w:pPr>
              <w:suppressAutoHyphens/>
              <w:spacing w:after="0" w:line="240" w:lineRule="auto"/>
              <w:jc w:val="center"/>
              <w:rPr>
                <w:rFonts w:ascii="Times New Roman" w:eastAsia="Calibri" w:hAnsi="Times New Roman" w:cs="Times New Roman"/>
                <w:highlight w:val="yellow"/>
                <w:lang w:eastAsia="ar-SA"/>
              </w:rPr>
            </w:pPr>
          </w:p>
        </w:tc>
        <w:tc>
          <w:tcPr>
            <w:tcW w:w="1418" w:type="dxa"/>
          </w:tcPr>
          <w:p w14:paraId="0DE5069B" w14:textId="55049B32" w:rsidR="002B1603" w:rsidRPr="00A07F29" w:rsidRDefault="002B1603"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0,</w:t>
            </w:r>
            <w:r w:rsidR="00583EA1" w:rsidRPr="00A07F29">
              <w:rPr>
                <w:rFonts w:ascii="Times New Roman" w:eastAsia="Calibri" w:hAnsi="Times New Roman" w:cs="Times New Roman"/>
                <w:lang w:eastAsia="ar-SA"/>
              </w:rPr>
              <w:t>58</w:t>
            </w:r>
            <w:r w:rsidRPr="00A07F29">
              <w:rPr>
                <w:rFonts w:ascii="Times New Roman" w:eastAsia="Calibri" w:hAnsi="Times New Roman" w:cs="Times New Roman"/>
                <w:lang w:eastAsia="ar-SA"/>
              </w:rPr>
              <w:t>-0,74</w:t>
            </w:r>
          </w:p>
        </w:tc>
        <w:tc>
          <w:tcPr>
            <w:tcW w:w="1559" w:type="dxa"/>
            <w:shd w:val="clear" w:color="auto" w:fill="FFFF00"/>
          </w:tcPr>
          <w:p w14:paraId="263B2EE5" w14:textId="77777777" w:rsidR="002B1603" w:rsidRPr="00A07F29" w:rsidRDefault="002B1603"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U1s</w:t>
            </w:r>
          </w:p>
        </w:tc>
      </w:tr>
      <w:tr w:rsidR="002B1603" w:rsidRPr="00A07F29" w14:paraId="691592BC" w14:textId="77777777" w:rsidTr="00AD1C16">
        <w:trPr>
          <w:trHeight w:val="273"/>
          <w:jc w:val="center"/>
        </w:trPr>
        <w:tc>
          <w:tcPr>
            <w:tcW w:w="848" w:type="dxa"/>
          </w:tcPr>
          <w:p w14:paraId="7DDB3CCE" w14:textId="53E4252E" w:rsidR="002B1603" w:rsidRPr="00A07F29" w:rsidRDefault="00DA613C"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16</w:t>
            </w:r>
            <w:r w:rsidR="002B1603" w:rsidRPr="00A07F29">
              <w:rPr>
                <w:rFonts w:ascii="Times New Roman" w:eastAsia="Calibri" w:hAnsi="Times New Roman" w:cs="Times New Roman"/>
                <w:lang w:eastAsia="ar-SA"/>
              </w:rPr>
              <w:t>.</w:t>
            </w:r>
          </w:p>
        </w:tc>
        <w:tc>
          <w:tcPr>
            <w:tcW w:w="2835" w:type="dxa"/>
            <w:vAlign w:val="center"/>
          </w:tcPr>
          <w:p w14:paraId="5EB8B23B" w14:textId="77777777" w:rsidR="002B1603" w:rsidRPr="00A07F29" w:rsidRDefault="002B1603" w:rsidP="00B24715">
            <w:pPr>
              <w:suppressAutoHyphens/>
              <w:spacing w:after="0" w:line="240" w:lineRule="auto"/>
              <w:rPr>
                <w:rFonts w:ascii="Times New Roman" w:eastAsia="Calibri" w:hAnsi="Times New Roman" w:cs="Times New Roman"/>
                <w:lang w:eastAsia="ar-SA"/>
              </w:rPr>
            </w:pPr>
            <w:r w:rsidRPr="00A07F29">
              <w:rPr>
                <w:rFonts w:ascii="Times New Roman" w:eastAsia="Calibri" w:hAnsi="Times New Roman" w:cs="Calibri"/>
                <w:color w:val="000000"/>
                <w:lang w:eastAsia="ar-SA"/>
              </w:rPr>
              <w:t>7160 Minerālvielām bagāti avoti un avotu purvi</w:t>
            </w:r>
          </w:p>
        </w:tc>
        <w:tc>
          <w:tcPr>
            <w:tcW w:w="2691" w:type="dxa"/>
          </w:tcPr>
          <w:p w14:paraId="6E9A63F6" w14:textId="77777777" w:rsidR="002B1603" w:rsidRPr="00A07F29" w:rsidRDefault="002B1603" w:rsidP="00B24715">
            <w:pPr>
              <w:suppressAutoHyphens/>
              <w:spacing w:after="0" w:line="240" w:lineRule="auto"/>
              <w:rPr>
                <w:rFonts w:ascii="Times New Roman" w:eastAsia="Times New Roman" w:hAnsi="Times New Roman" w:cs="Times New Roman"/>
                <w:bCs/>
                <w:color w:val="000000"/>
                <w:kern w:val="24"/>
                <w:lang w:eastAsia="lv-LV"/>
              </w:rPr>
            </w:pPr>
            <w:r w:rsidRPr="00A07F29">
              <w:rPr>
                <w:rFonts w:ascii="Times New Roman" w:eastAsia="Times New Roman" w:hAnsi="Times New Roman" w:cs="Times New Roman"/>
                <w:bCs/>
                <w:color w:val="000000"/>
                <w:kern w:val="24"/>
                <w:lang w:eastAsia="lv-LV"/>
              </w:rPr>
              <w:t xml:space="preserve">2.4. </w:t>
            </w:r>
            <w:r w:rsidRPr="00A07F29">
              <w:rPr>
                <w:rFonts w:ascii="Times New Roman" w:eastAsia="Calibri" w:hAnsi="Times New Roman" w:cs="Calibri"/>
                <w:color w:val="000000"/>
                <w:lang w:eastAsia="ar-SA"/>
              </w:rPr>
              <w:t>Minerālvielām bagāti avoti un avotu purvi</w:t>
            </w:r>
          </w:p>
        </w:tc>
        <w:tc>
          <w:tcPr>
            <w:tcW w:w="1700" w:type="dxa"/>
          </w:tcPr>
          <w:p w14:paraId="33F9CF1A" w14:textId="6F6F8476" w:rsidR="002B1603" w:rsidRPr="00A07F29" w:rsidRDefault="002B1603" w:rsidP="00F14CF8">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16,</w:t>
            </w:r>
            <w:r w:rsidR="00F14CF8" w:rsidRPr="00A07F29">
              <w:rPr>
                <w:rFonts w:ascii="Times New Roman" w:eastAsia="Calibri" w:hAnsi="Times New Roman" w:cs="Times New Roman"/>
                <w:lang w:eastAsia="ar-SA"/>
              </w:rPr>
              <w:t>19</w:t>
            </w:r>
          </w:p>
        </w:tc>
        <w:tc>
          <w:tcPr>
            <w:tcW w:w="1987" w:type="dxa"/>
          </w:tcPr>
          <w:p w14:paraId="118AE04E" w14:textId="41D5AB50" w:rsidR="002B1603" w:rsidRPr="00A07F29" w:rsidRDefault="002B1603"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0,03</w:t>
            </w:r>
          </w:p>
        </w:tc>
        <w:tc>
          <w:tcPr>
            <w:tcW w:w="1558" w:type="dxa"/>
          </w:tcPr>
          <w:p w14:paraId="17CBCB3B" w14:textId="3D19F0A8" w:rsidR="002B1603" w:rsidRPr="00A07F29" w:rsidRDefault="002B1603"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4,86</w:t>
            </w:r>
          </w:p>
        </w:tc>
        <w:tc>
          <w:tcPr>
            <w:tcW w:w="1418" w:type="dxa"/>
          </w:tcPr>
          <w:p w14:paraId="0040676F" w14:textId="4CDA35E6" w:rsidR="002B1603" w:rsidRPr="00A07F29" w:rsidRDefault="002B1603"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2,</w:t>
            </w:r>
            <w:r w:rsidR="00583EA1" w:rsidRPr="00A07F29">
              <w:rPr>
                <w:rFonts w:ascii="Times New Roman" w:eastAsia="Calibri" w:hAnsi="Times New Roman" w:cs="Times New Roman"/>
                <w:lang w:eastAsia="ar-SA"/>
              </w:rPr>
              <w:t>26</w:t>
            </w:r>
            <w:r w:rsidRPr="00A07F29">
              <w:rPr>
                <w:rFonts w:ascii="Times New Roman" w:eastAsia="Calibri" w:hAnsi="Times New Roman" w:cs="Times New Roman"/>
                <w:lang w:eastAsia="ar-SA"/>
              </w:rPr>
              <w:t>-2,87</w:t>
            </w:r>
          </w:p>
        </w:tc>
        <w:tc>
          <w:tcPr>
            <w:tcW w:w="1559" w:type="dxa"/>
            <w:shd w:val="clear" w:color="auto" w:fill="FFFF00"/>
          </w:tcPr>
          <w:p w14:paraId="41CCCE5D" w14:textId="77777777" w:rsidR="002B1603" w:rsidRPr="00A07F29" w:rsidRDefault="002B1603"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U1x</w:t>
            </w:r>
          </w:p>
        </w:tc>
      </w:tr>
      <w:tr w:rsidR="002B1603" w:rsidRPr="00A07F29" w14:paraId="79D40016" w14:textId="77777777" w:rsidTr="00AD1C16">
        <w:trPr>
          <w:trHeight w:val="273"/>
          <w:jc w:val="center"/>
        </w:trPr>
        <w:tc>
          <w:tcPr>
            <w:tcW w:w="848" w:type="dxa"/>
          </w:tcPr>
          <w:p w14:paraId="7BAB336C" w14:textId="51E3F340" w:rsidR="002B1603" w:rsidRPr="00A07F29" w:rsidRDefault="00DA613C"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17</w:t>
            </w:r>
            <w:r w:rsidR="002B1603" w:rsidRPr="00A07F29">
              <w:rPr>
                <w:rFonts w:ascii="Times New Roman" w:eastAsia="Calibri" w:hAnsi="Times New Roman" w:cs="Times New Roman"/>
                <w:lang w:eastAsia="ar-SA"/>
              </w:rPr>
              <w:t>.</w:t>
            </w:r>
          </w:p>
        </w:tc>
        <w:tc>
          <w:tcPr>
            <w:tcW w:w="2835" w:type="dxa"/>
            <w:vAlign w:val="center"/>
          </w:tcPr>
          <w:p w14:paraId="71E0C379" w14:textId="2193D34E" w:rsidR="002B1603" w:rsidRPr="00A07F29" w:rsidRDefault="002B1603" w:rsidP="00B24715">
            <w:pPr>
              <w:suppressAutoHyphens/>
              <w:spacing w:after="0" w:line="240" w:lineRule="auto"/>
              <w:rPr>
                <w:rFonts w:ascii="Times New Roman" w:eastAsia="Calibri" w:hAnsi="Times New Roman" w:cs="Times New Roman"/>
                <w:lang w:eastAsia="ar-SA"/>
              </w:rPr>
            </w:pPr>
            <w:r w:rsidRPr="00A07F29">
              <w:rPr>
                <w:rFonts w:ascii="Times New Roman" w:eastAsia="Calibri" w:hAnsi="Times New Roman" w:cs="Calibri"/>
                <w:color w:val="000000"/>
                <w:lang w:eastAsia="ar-SA"/>
              </w:rPr>
              <w:t>7220*Avoti, kas izgulsnē avotkaļķ</w:t>
            </w:r>
            <w:r w:rsidR="006A373E" w:rsidRPr="00A07F29">
              <w:rPr>
                <w:rFonts w:ascii="Times New Roman" w:eastAsia="Calibri" w:hAnsi="Times New Roman" w:cs="Calibri"/>
                <w:color w:val="000000"/>
                <w:lang w:eastAsia="ar-SA"/>
              </w:rPr>
              <w:t>us</w:t>
            </w:r>
          </w:p>
        </w:tc>
        <w:tc>
          <w:tcPr>
            <w:tcW w:w="2691" w:type="dxa"/>
          </w:tcPr>
          <w:p w14:paraId="56B7E1EE" w14:textId="77777777" w:rsidR="002B1603" w:rsidRPr="00A07F29" w:rsidRDefault="002B1603" w:rsidP="00B24715">
            <w:pPr>
              <w:suppressAutoHyphens/>
              <w:spacing w:after="0" w:line="240" w:lineRule="auto"/>
              <w:rPr>
                <w:rFonts w:ascii="Times New Roman" w:eastAsia="Times New Roman" w:hAnsi="Times New Roman" w:cs="Times New Roman"/>
                <w:bCs/>
                <w:color w:val="000000"/>
                <w:kern w:val="24"/>
                <w:lang w:eastAsia="lv-LV"/>
              </w:rPr>
            </w:pPr>
            <w:r w:rsidRPr="00A07F29">
              <w:rPr>
                <w:rFonts w:ascii="Times New Roman" w:eastAsia="Times New Roman" w:hAnsi="Times New Roman" w:cs="Times New Roman"/>
                <w:bCs/>
                <w:color w:val="000000"/>
                <w:kern w:val="24"/>
                <w:lang w:eastAsia="lv-LV"/>
              </w:rPr>
              <w:t xml:space="preserve">2.1. </w:t>
            </w:r>
            <w:r w:rsidRPr="00A07F29">
              <w:rPr>
                <w:rFonts w:ascii="Times New Roman" w:eastAsia="Calibri" w:hAnsi="Times New Roman" w:cs="Calibri"/>
                <w:color w:val="000000"/>
                <w:lang w:eastAsia="ar-SA"/>
              </w:rPr>
              <w:t>Avoti, kas izgulsnē avotkaļķi</w:t>
            </w:r>
          </w:p>
        </w:tc>
        <w:tc>
          <w:tcPr>
            <w:tcW w:w="1700" w:type="dxa"/>
          </w:tcPr>
          <w:p w14:paraId="676353BB" w14:textId="6A5292EA" w:rsidR="002B1603" w:rsidRPr="00A07F29" w:rsidRDefault="002B1603"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0,</w:t>
            </w:r>
            <w:r w:rsidR="00583EA1" w:rsidRPr="00A07F29">
              <w:rPr>
                <w:rFonts w:ascii="Times New Roman" w:eastAsia="Calibri" w:hAnsi="Times New Roman" w:cs="Times New Roman"/>
                <w:lang w:eastAsia="ar-SA"/>
              </w:rPr>
              <w:t>56</w:t>
            </w:r>
          </w:p>
        </w:tc>
        <w:tc>
          <w:tcPr>
            <w:tcW w:w="1987" w:type="dxa"/>
          </w:tcPr>
          <w:p w14:paraId="689018D4" w14:textId="77777777" w:rsidR="002B1603" w:rsidRPr="00A07F29" w:rsidRDefault="002B1603"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0,001</w:t>
            </w:r>
          </w:p>
        </w:tc>
        <w:tc>
          <w:tcPr>
            <w:tcW w:w="1558" w:type="dxa"/>
          </w:tcPr>
          <w:p w14:paraId="7B156C6E" w14:textId="7CDB1D74" w:rsidR="002B1603" w:rsidRPr="00A07F29" w:rsidRDefault="002B1603"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3,49</w:t>
            </w:r>
          </w:p>
        </w:tc>
        <w:tc>
          <w:tcPr>
            <w:tcW w:w="1418" w:type="dxa"/>
          </w:tcPr>
          <w:p w14:paraId="7FEDBBFB" w14:textId="687E30FD" w:rsidR="002B1603" w:rsidRPr="00A07F29" w:rsidRDefault="002B1603"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1,</w:t>
            </w:r>
            <w:r w:rsidR="00583EA1" w:rsidRPr="00A07F29">
              <w:rPr>
                <w:rFonts w:ascii="Times New Roman" w:eastAsia="Calibri" w:hAnsi="Times New Roman" w:cs="Times New Roman"/>
                <w:lang w:eastAsia="ar-SA"/>
              </w:rPr>
              <w:t>12</w:t>
            </w:r>
            <w:r w:rsidRPr="00A07F29">
              <w:rPr>
                <w:rFonts w:ascii="Times New Roman" w:eastAsia="Calibri" w:hAnsi="Times New Roman" w:cs="Times New Roman"/>
                <w:lang w:eastAsia="ar-SA"/>
              </w:rPr>
              <w:t>-1,83</w:t>
            </w:r>
          </w:p>
        </w:tc>
        <w:tc>
          <w:tcPr>
            <w:tcW w:w="1559" w:type="dxa"/>
            <w:shd w:val="clear" w:color="auto" w:fill="FFFF00"/>
          </w:tcPr>
          <w:p w14:paraId="5E518E7B" w14:textId="77777777" w:rsidR="002B1603" w:rsidRPr="00A07F29" w:rsidRDefault="002B1603"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U1s</w:t>
            </w:r>
          </w:p>
        </w:tc>
      </w:tr>
      <w:tr w:rsidR="002B1603" w:rsidRPr="00A07F29" w14:paraId="07AA8141" w14:textId="77777777" w:rsidTr="00AD1C16">
        <w:trPr>
          <w:trHeight w:val="273"/>
          <w:jc w:val="center"/>
        </w:trPr>
        <w:tc>
          <w:tcPr>
            <w:tcW w:w="14596" w:type="dxa"/>
            <w:gridSpan w:val="8"/>
            <w:shd w:val="clear" w:color="auto" w:fill="C5E0B3"/>
          </w:tcPr>
          <w:p w14:paraId="5514526A" w14:textId="77777777" w:rsidR="002B1603" w:rsidRPr="00A07F29" w:rsidRDefault="002B1603" w:rsidP="002B1603">
            <w:pPr>
              <w:suppressAutoHyphens/>
              <w:spacing w:after="0" w:line="240" w:lineRule="auto"/>
              <w:jc w:val="center"/>
              <w:rPr>
                <w:rFonts w:ascii="Times New Roman" w:eastAsia="Calibri" w:hAnsi="Times New Roman" w:cs="Times New Roman"/>
                <w:b/>
                <w:lang w:eastAsia="ar-SA"/>
              </w:rPr>
            </w:pPr>
            <w:r w:rsidRPr="00A07F29">
              <w:rPr>
                <w:rFonts w:ascii="Times New Roman" w:eastAsia="Calibri" w:hAnsi="Times New Roman" w:cs="Times New Roman"/>
                <w:b/>
                <w:lang w:eastAsia="ar-SA"/>
              </w:rPr>
              <w:t>Mežu biotopi</w:t>
            </w:r>
          </w:p>
        </w:tc>
      </w:tr>
      <w:tr w:rsidR="002B1603" w:rsidRPr="00A07F29" w14:paraId="594F3BEC" w14:textId="77777777" w:rsidTr="00AD1C16">
        <w:trPr>
          <w:trHeight w:val="273"/>
          <w:jc w:val="center"/>
        </w:trPr>
        <w:tc>
          <w:tcPr>
            <w:tcW w:w="848" w:type="dxa"/>
          </w:tcPr>
          <w:p w14:paraId="332D5ECD" w14:textId="4F0AED50" w:rsidR="002B1603" w:rsidRPr="00A07F29" w:rsidRDefault="00DA613C"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18</w:t>
            </w:r>
            <w:r w:rsidR="002B1603" w:rsidRPr="00A07F29">
              <w:rPr>
                <w:rFonts w:ascii="Times New Roman" w:eastAsia="Calibri" w:hAnsi="Times New Roman" w:cs="Times New Roman"/>
                <w:lang w:eastAsia="ar-SA"/>
              </w:rPr>
              <w:t>.</w:t>
            </w:r>
          </w:p>
        </w:tc>
        <w:tc>
          <w:tcPr>
            <w:tcW w:w="2835" w:type="dxa"/>
            <w:vAlign w:val="center"/>
          </w:tcPr>
          <w:p w14:paraId="6E9A9D2F" w14:textId="3FDD314E" w:rsidR="002B1603" w:rsidRPr="00A07F29" w:rsidRDefault="002B1603" w:rsidP="00B24715">
            <w:pPr>
              <w:suppressAutoHyphens/>
              <w:spacing w:after="0" w:line="240" w:lineRule="auto"/>
              <w:rPr>
                <w:rFonts w:ascii="Times New Roman" w:eastAsia="Calibri" w:hAnsi="Times New Roman" w:cs="Times New Roman"/>
                <w:lang w:eastAsia="ar-SA"/>
              </w:rPr>
            </w:pPr>
            <w:r w:rsidRPr="00A07F29">
              <w:rPr>
                <w:rFonts w:ascii="Times New Roman" w:eastAsia="Calibri" w:hAnsi="Times New Roman" w:cs="Times New Roman"/>
                <w:lang w:eastAsia="ar-SA"/>
              </w:rPr>
              <w:t xml:space="preserve">9010* Veci vai dabiski </w:t>
            </w:r>
            <w:proofErr w:type="spellStart"/>
            <w:r w:rsidRPr="00A07F29">
              <w:rPr>
                <w:rFonts w:ascii="Times New Roman" w:eastAsia="Calibri" w:hAnsi="Times New Roman" w:cs="Times New Roman"/>
                <w:lang w:eastAsia="ar-SA"/>
              </w:rPr>
              <w:t>boreāli</w:t>
            </w:r>
            <w:proofErr w:type="spellEnd"/>
            <w:r w:rsidRPr="00A07F29">
              <w:rPr>
                <w:rFonts w:ascii="Times New Roman" w:eastAsia="Calibri" w:hAnsi="Times New Roman" w:cs="Times New Roman"/>
                <w:lang w:eastAsia="ar-SA"/>
              </w:rPr>
              <w:t xml:space="preserve"> meži</w:t>
            </w:r>
          </w:p>
        </w:tc>
        <w:tc>
          <w:tcPr>
            <w:tcW w:w="2691" w:type="dxa"/>
          </w:tcPr>
          <w:p w14:paraId="3C8D158D" w14:textId="23B95082" w:rsidR="002B1603" w:rsidRPr="00A07F29" w:rsidRDefault="002B1603" w:rsidP="00B24715">
            <w:pPr>
              <w:suppressAutoHyphens/>
              <w:spacing w:after="0" w:line="240" w:lineRule="auto"/>
              <w:rPr>
                <w:rFonts w:ascii="Times New Roman" w:eastAsia="Times New Roman" w:hAnsi="Times New Roman" w:cs="Times New Roman"/>
                <w:bCs/>
                <w:color w:val="000000"/>
                <w:kern w:val="24"/>
                <w:lang w:eastAsia="lv-LV"/>
              </w:rPr>
            </w:pPr>
            <w:r w:rsidRPr="00A07F29">
              <w:rPr>
                <w:rFonts w:ascii="Times New Roman" w:eastAsia="Times New Roman" w:hAnsi="Times New Roman" w:cs="Times New Roman"/>
                <w:bCs/>
                <w:color w:val="000000"/>
                <w:kern w:val="24"/>
                <w:lang w:eastAsia="lv-LV"/>
              </w:rPr>
              <w:t xml:space="preserve">1.17. </w:t>
            </w:r>
            <w:r w:rsidRPr="00A07F29">
              <w:rPr>
                <w:rFonts w:ascii="Times New Roman" w:eastAsia="Calibri" w:hAnsi="Times New Roman" w:cs="Times New Roman"/>
                <w:lang w:eastAsia="ar-SA"/>
              </w:rPr>
              <w:t xml:space="preserve">Veci vai dabiski </w:t>
            </w:r>
            <w:proofErr w:type="spellStart"/>
            <w:r w:rsidRPr="00A07F29">
              <w:rPr>
                <w:rFonts w:ascii="Times New Roman" w:eastAsia="Calibri" w:hAnsi="Times New Roman" w:cs="Times New Roman"/>
                <w:lang w:eastAsia="ar-SA"/>
              </w:rPr>
              <w:t>boreāli</w:t>
            </w:r>
            <w:proofErr w:type="spellEnd"/>
            <w:r w:rsidRPr="00A07F29">
              <w:rPr>
                <w:rFonts w:ascii="Times New Roman" w:eastAsia="Calibri" w:hAnsi="Times New Roman" w:cs="Times New Roman"/>
                <w:lang w:eastAsia="ar-SA"/>
              </w:rPr>
              <w:t xml:space="preserve"> meži</w:t>
            </w:r>
          </w:p>
        </w:tc>
        <w:tc>
          <w:tcPr>
            <w:tcW w:w="1700" w:type="dxa"/>
            <w:vAlign w:val="center"/>
          </w:tcPr>
          <w:p w14:paraId="0B809745" w14:textId="58CC5D33" w:rsidR="003B68B4" w:rsidRPr="00A07F29" w:rsidRDefault="00F14CF8" w:rsidP="00F14CF8">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1071,98</w:t>
            </w:r>
          </w:p>
        </w:tc>
        <w:tc>
          <w:tcPr>
            <w:tcW w:w="1987" w:type="dxa"/>
          </w:tcPr>
          <w:p w14:paraId="5F37EBC2" w14:textId="5565882A" w:rsidR="002B1603" w:rsidRPr="00A07F29" w:rsidRDefault="002B1603"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2,</w:t>
            </w:r>
            <w:r w:rsidR="003B68B4" w:rsidRPr="00A07F29">
              <w:rPr>
                <w:rFonts w:ascii="Times New Roman" w:eastAsia="Calibri" w:hAnsi="Times New Roman" w:cs="Times New Roman"/>
                <w:lang w:eastAsia="ar-SA"/>
              </w:rPr>
              <w:t>06</w:t>
            </w:r>
          </w:p>
        </w:tc>
        <w:tc>
          <w:tcPr>
            <w:tcW w:w="1558" w:type="dxa"/>
          </w:tcPr>
          <w:p w14:paraId="17B8BAF0" w14:textId="22BCF254" w:rsidR="002B1603" w:rsidRPr="00A07F29" w:rsidRDefault="002B1603" w:rsidP="00B24715">
            <w:pPr>
              <w:suppressAutoHyphens/>
              <w:spacing w:after="0" w:line="240" w:lineRule="auto"/>
              <w:jc w:val="center"/>
              <w:rPr>
                <w:rFonts w:ascii="Times New Roman" w:eastAsia="Calibri" w:hAnsi="Times New Roman" w:cs="Times New Roman"/>
                <w:highlight w:val="yellow"/>
                <w:lang w:eastAsia="ar-SA"/>
              </w:rPr>
            </w:pPr>
            <w:r w:rsidRPr="00A07F29">
              <w:rPr>
                <w:rFonts w:ascii="Times New Roman" w:eastAsia="Calibri" w:hAnsi="Times New Roman" w:cs="Times New Roman"/>
                <w:lang w:eastAsia="ar-SA"/>
              </w:rPr>
              <w:t>5,39</w:t>
            </w:r>
          </w:p>
        </w:tc>
        <w:tc>
          <w:tcPr>
            <w:tcW w:w="1418" w:type="dxa"/>
          </w:tcPr>
          <w:p w14:paraId="24E85026" w14:textId="5DEDD738" w:rsidR="002B1603" w:rsidRPr="00A07F29" w:rsidRDefault="002B1603"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1,</w:t>
            </w:r>
            <w:r w:rsidR="003B68B4" w:rsidRPr="00A07F29">
              <w:rPr>
                <w:rFonts w:ascii="Times New Roman" w:eastAsia="Calibri" w:hAnsi="Times New Roman" w:cs="Times New Roman"/>
                <w:lang w:eastAsia="ar-SA"/>
              </w:rPr>
              <w:t>47</w:t>
            </w:r>
            <w:r w:rsidRPr="00A07F29">
              <w:rPr>
                <w:rFonts w:ascii="Times New Roman" w:eastAsia="Calibri" w:hAnsi="Times New Roman" w:cs="Times New Roman"/>
                <w:lang w:eastAsia="ar-SA"/>
              </w:rPr>
              <w:t>-2,21</w:t>
            </w:r>
          </w:p>
        </w:tc>
        <w:tc>
          <w:tcPr>
            <w:tcW w:w="1559" w:type="dxa"/>
            <w:shd w:val="clear" w:color="auto" w:fill="FF0000"/>
          </w:tcPr>
          <w:p w14:paraId="7F5775CD" w14:textId="77777777" w:rsidR="002B1603" w:rsidRPr="00A07F29" w:rsidRDefault="002B1603"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U2x</w:t>
            </w:r>
          </w:p>
        </w:tc>
      </w:tr>
      <w:tr w:rsidR="002B1603" w:rsidRPr="00A07F29" w14:paraId="71E81126" w14:textId="77777777" w:rsidTr="00AD1C16">
        <w:trPr>
          <w:trHeight w:val="273"/>
          <w:jc w:val="center"/>
        </w:trPr>
        <w:tc>
          <w:tcPr>
            <w:tcW w:w="848" w:type="dxa"/>
          </w:tcPr>
          <w:p w14:paraId="4FBAAFB7" w14:textId="04EE2E28" w:rsidR="002B1603" w:rsidRPr="00A07F29" w:rsidRDefault="00DA613C"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19</w:t>
            </w:r>
            <w:r w:rsidR="002B1603" w:rsidRPr="00A07F29">
              <w:rPr>
                <w:rFonts w:ascii="Times New Roman" w:eastAsia="Calibri" w:hAnsi="Times New Roman" w:cs="Times New Roman"/>
                <w:lang w:eastAsia="ar-SA"/>
              </w:rPr>
              <w:t>.</w:t>
            </w:r>
          </w:p>
        </w:tc>
        <w:tc>
          <w:tcPr>
            <w:tcW w:w="2835" w:type="dxa"/>
            <w:vAlign w:val="center"/>
          </w:tcPr>
          <w:p w14:paraId="47F3D74C" w14:textId="77777777" w:rsidR="002B1603" w:rsidRPr="00A07F29" w:rsidRDefault="002B1603" w:rsidP="00B24715">
            <w:pPr>
              <w:suppressAutoHyphens/>
              <w:spacing w:after="0" w:line="240" w:lineRule="auto"/>
              <w:rPr>
                <w:rFonts w:ascii="Times New Roman" w:eastAsia="Calibri" w:hAnsi="Times New Roman" w:cs="Times New Roman"/>
                <w:lang w:eastAsia="ar-SA"/>
              </w:rPr>
            </w:pPr>
            <w:r w:rsidRPr="00A07F29">
              <w:rPr>
                <w:rFonts w:ascii="Times New Roman" w:eastAsia="Calibri" w:hAnsi="Times New Roman" w:cs="Times New Roman"/>
                <w:lang w:eastAsia="ar-SA"/>
              </w:rPr>
              <w:t>9020* Veci jaukti platlapju meži</w:t>
            </w:r>
          </w:p>
        </w:tc>
        <w:tc>
          <w:tcPr>
            <w:tcW w:w="2691" w:type="dxa"/>
          </w:tcPr>
          <w:p w14:paraId="709753F3" w14:textId="77777777" w:rsidR="002B1603" w:rsidRPr="00A07F29" w:rsidRDefault="002B1603" w:rsidP="00B24715">
            <w:pPr>
              <w:suppressAutoHyphens/>
              <w:spacing w:after="0" w:line="240" w:lineRule="auto"/>
              <w:rPr>
                <w:rFonts w:ascii="Times New Roman" w:eastAsia="Times New Roman" w:hAnsi="Times New Roman" w:cs="Times New Roman"/>
                <w:bCs/>
                <w:color w:val="000000"/>
                <w:kern w:val="24"/>
                <w:lang w:eastAsia="lv-LV"/>
              </w:rPr>
            </w:pPr>
            <w:r w:rsidRPr="00A07F29">
              <w:rPr>
                <w:rFonts w:ascii="Times New Roman" w:eastAsia="Calibri" w:hAnsi="Times New Roman" w:cs="Times New Roman"/>
                <w:lang w:eastAsia="ar-SA"/>
              </w:rPr>
              <w:t>1.16. Veci jaukti platlapju meži</w:t>
            </w:r>
          </w:p>
        </w:tc>
        <w:tc>
          <w:tcPr>
            <w:tcW w:w="1700" w:type="dxa"/>
            <w:vAlign w:val="center"/>
          </w:tcPr>
          <w:p w14:paraId="787C8D35" w14:textId="1CF43322" w:rsidR="002B1603" w:rsidRPr="00A07F29" w:rsidRDefault="00F14CF8" w:rsidP="00F14CF8">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29,65</w:t>
            </w:r>
          </w:p>
        </w:tc>
        <w:tc>
          <w:tcPr>
            <w:tcW w:w="1987" w:type="dxa"/>
          </w:tcPr>
          <w:p w14:paraId="5D4214E0" w14:textId="59A06FEF" w:rsidR="002B1603" w:rsidRPr="00A07F29" w:rsidRDefault="002B1603"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0,06</w:t>
            </w:r>
          </w:p>
        </w:tc>
        <w:tc>
          <w:tcPr>
            <w:tcW w:w="1558" w:type="dxa"/>
          </w:tcPr>
          <w:p w14:paraId="4B27C17F" w14:textId="7AF3103E" w:rsidR="002B1603" w:rsidRPr="00A07F29" w:rsidRDefault="002B1603" w:rsidP="00B24715">
            <w:pPr>
              <w:suppressAutoHyphens/>
              <w:spacing w:after="0" w:line="240" w:lineRule="auto"/>
              <w:jc w:val="center"/>
              <w:rPr>
                <w:rFonts w:ascii="Times New Roman" w:eastAsia="Calibri" w:hAnsi="Times New Roman" w:cs="Times New Roman"/>
                <w:highlight w:val="yellow"/>
                <w:lang w:eastAsia="ar-SA"/>
              </w:rPr>
            </w:pPr>
            <w:r w:rsidRPr="00A07F29">
              <w:rPr>
                <w:rFonts w:ascii="Times New Roman" w:eastAsia="Calibri" w:hAnsi="Times New Roman" w:cs="Times New Roman"/>
                <w:lang w:eastAsia="ar-SA"/>
              </w:rPr>
              <w:t>1,19</w:t>
            </w:r>
          </w:p>
        </w:tc>
        <w:tc>
          <w:tcPr>
            <w:tcW w:w="1418" w:type="dxa"/>
          </w:tcPr>
          <w:p w14:paraId="4F370319" w14:textId="2BF0CE63" w:rsidR="002B1603" w:rsidRPr="00A07F29" w:rsidRDefault="002B1603"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0,</w:t>
            </w:r>
            <w:r w:rsidR="003B68B4" w:rsidRPr="00A07F29">
              <w:rPr>
                <w:rFonts w:ascii="Times New Roman" w:eastAsia="Calibri" w:hAnsi="Times New Roman" w:cs="Times New Roman"/>
                <w:lang w:eastAsia="ar-SA"/>
              </w:rPr>
              <w:t>23</w:t>
            </w:r>
            <w:r w:rsidRPr="00A07F29">
              <w:rPr>
                <w:rFonts w:ascii="Times New Roman" w:eastAsia="Calibri" w:hAnsi="Times New Roman" w:cs="Times New Roman"/>
                <w:lang w:eastAsia="ar-SA"/>
              </w:rPr>
              <w:t>-0,29</w:t>
            </w:r>
          </w:p>
        </w:tc>
        <w:tc>
          <w:tcPr>
            <w:tcW w:w="1559" w:type="dxa"/>
            <w:shd w:val="clear" w:color="auto" w:fill="FF0000"/>
          </w:tcPr>
          <w:p w14:paraId="0C7EA762" w14:textId="77777777" w:rsidR="002B1603" w:rsidRPr="00A07F29" w:rsidRDefault="002B1603"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U2s</w:t>
            </w:r>
          </w:p>
        </w:tc>
      </w:tr>
      <w:tr w:rsidR="002B1603" w:rsidRPr="00A07F29" w14:paraId="4419073B" w14:textId="77777777" w:rsidTr="00AD1C16">
        <w:trPr>
          <w:trHeight w:val="273"/>
          <w:jc w:val="center"/>
        </w:trPr>
        <w:tc>
          <w:tcPr>
            <w:tcW w:w="848" w:type="dxa"/>
          </w:tcPr>
          <w:p w14:paraId="6EE6C1A2" w14:textId="41537FEF" w:rsidR="002B1603" w:rsidRPr="00A07F29" w:rsidRDefault="00DA613C"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20</w:t>
            </w:r>
            <w:r w:rsidR="002B1603" w:rsidRPr="00A07F29">
              <w:rPr>
                <w:rFonts w:ascii="Times New Roman" w:eastAsia="Calibri" w:hAnsi="Times New Roman" w:cs="Times New Roman"/>
                <w:lang w:eastAsia="ar-SA"/>
              </w:rPr>
              <w:t>.</w:t>
            </w:r>
          </w:p>
        </w:tc>
        <w:tc>
          <w:tcPr>
            <w:tcW w:w="2835" w:type="dxa"/>
            <w:vAlign w:val="center"/>
          </w:tcPr>
          <w:p w14:paraId="259F542C" w14:textId="77777777" w:rsidR="002B1603" w:rsidRPr="00A07F29" w:rsidRDefault="002B1603" w:rsidP="00B24715">
            <w:pPr>
              <w:suppressAutoHyphens/>
              <w:spacing w:after="0" w:line="240" w:lineRule="auto"/>
              <w:rPr>
                <w:rFonts w:ascii="Times New Roman" w:eastAsia="Calibri" w:hAnsi="Times New Roman" w:cs="Times New Roman"/>
                <w:lang w:eastAsia="ar-SA"/>
              </w:rPr>
            </w:pPr>
            <w:r w:rsidRPr="00A07F29">
              <w:rPr>
                <w:rFonts w:ascii="Times New Roman" w:eastAsia="Calibri" w:hAnsi="Times New Roman" w:cs="Times New Roman"/>
                <w:lang w:eastAsia="ar-SA"/>
              </w:rPr>
              <w:t>9050 Lakstaugiem bagāti egļu meži</w:t>
            </w:r>
          </w:p>
        </w:tc>
        <w:tc>
          <w:tcPr>
            <w:tcW w:w="2691" w:type="dxa"/>
          </w:tcPr>
          <w:p w14:paraId="6C6CDA3F" w14:textId="17525688" w:rsidR="002B1603" w:rsidRPr="00A07F29" w:rsidRDefault="002B1603" w:rsidP="00B24715">
            <w:pPr>
              <w:suppressAutoHyphens/>
              <w:spacing w:after="0" w:line="240" w:lineRule="auto"/>
              <w:rPr>
                <w:rFonts w:ascii="Times New Roman" w:eastAsia="Times New Roman" w:hAnsi="Times New Roman" w:cs="Times New Roman"/>
                <w:bCs/>
                <w:color w:val="000000"/>
                <w:kern w:val="24"/>
                <w:lang w:eastAsia="lv-LV"/>
              </w:rPr>
            </w:pPr>
            <w:r w:rsidRPr="00A07F29">
              <w:rPr>
                <w:rFonts w:ascii="Times New Roman" w:eastAsia="Times New Roman" w:hAnsi="Times New Roman" w:cs="Times New Roman"/>
                <w:bCs/>
                <w:color w:val="000000"/>
                <w:kern w:val="24"/>
                <w:lang w:eastAsia="lv-LV"/>
              </w:rPr>
              <w:t xml:space="preserve">1.17. </w:t>
            </w:r>
            <w:r w:rsidRPr="00A07F29">
              <w:rPr>
                <w:rFonts w:ascii="Times New Roman" w:eastAsia="Calibri" w:hAnsi="Times New Roman" w:cs="Times New Roman"/>
                <w:lang w:eastAsia="ar-SA"/>
              </w:rPr>
              <w:t xml:space="preserve">Veci vai dabiski </w:t>
            </w:r>
            <w:proofErr w:type="spellStart"/>
            <w:r w:rsidRPr="00A07F29">
              <w:rPr>
                <w:rFonts w:ascii="Times New Roman" w:eastAsia="Calibri" w:hAnsi="Times New Roman" w:cs="Times New Roman"/>
                <w:lang w:eastAsia="ar-SA"/>
              </w:rPr>
              <w:t>boreāli</w:t>
            </w:r>
            <w:proofErr w:type="spellEnd"/>
            <w:r w:rsidRPr="00A07F29">
              <w:rPr>
                <w:rFonts w:ascii="Times New Roman" w:eastAsia="Calibri" w:hAnsi="Times New Roman" w:cs="Times New Roman"/>
                <w:lang w:eastAsia="ar-SA"/>
              </w:rPr>
              <w:t xml:space="preserve"> meži</w:t>
            </w:r>
          </w:p>
        </w:tc>
        <w:tc>
          <w:tcPr>
            <w:tcW w:w="1700" w:type="dxa"/>
            <w:vAlign w:val="center"/>
          </w:tcPr>
          <w:p w14:paraId="26FDA0EB" w14:textId="1725C671" w:rsidR="003B68B4" w:rsidRPr="00A07F29" w:rsidRDefault="003B68B4" w:rsidP="00F14CF8">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110,</w:t>
            </w:r>
            <w:r w:rsidR="00F14CF8" w:rsidRPr="00A07F29">
              <w:rPr>
                <w:rFonts w:ascii="Times New Roman" w:eastAsia="Calibri" w:hAnsi="Times New Roman" w:cs="Times New Roman"/>
                <w:lang w:eastAsia="ar-SA"/>
              </w:rPr>
              <w:t>77</w:t>
            </w:r>
          </w:p>
        </w:tc>
        <w:tc>
          <w:tcPr>
            <w:tcW w:w="1987" w:type="dxa"/>
          </w:tcPr>
          <w:p w14:paraId="6B131EED" w14:textId="076243C8" w:rsidR="002B1603" w:rsidRPr="00A07F29" w:rsidRDefault="002B1603"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0,</w:t>
            </w:r>
            <w:r w:rsidR="003B68B4" w:rsidRPr="00A07F29">
              <w:rPr>
                <w:rFonts w:ascii="Times New Roman" w:eastAsia="Calibri" w:hAnsi="Times New Roman" w:cs="Times New Roman"/>
                <w:lang w:eastAsia="ar-SA"/>
              </w:rPr>
              <w:t>21</w:t>
            </w:r>
          </w:p>
        </w:tc>
        <w:tc>
          <w:tcPr>
            <w:tcW w:w="1558" w:type="dxa"/>
          </w:tcPr>
          <w:p w14:paraId="3D68211A" w14:textId="2655C2E4" w:rsidR="002B1603" w:rsidRPr="00A07F29" w:rsidRDefault="002B1603" w:rsidP="00B24715">
            <w:pPr>
              <w:suppressAutoHyphens/>
              <w:spacing w:after="0" w:line="240" w:lineRule="auto"/>
              <w:jc w:val="center"/>
              <w:rPr>
                <w:rFonts w:ascii="Times New Roman" w:eastAsia="Calibri" w:hAnsi="Times New Roman" w:cs="Times New Roman"/>
                <w:highlight w:val="yellow"/>
                <w:lang w:eastAsia="ar-SA"/>
              </w:rPr>
            </w:pPr>
            <w:r w:rsidRPr="00A07F29">
              <w:rPr>
                <w:rFonts w:ascii="Times New Roman" w:eastAsia="Calibri" w:hAnsi="Times New Roman" w:cs="Times New Roman"/>
                <w:lang w:eastAsia="ar-SA"/>
              </w:rPr>
              <w:t>4,</w:t>
            </w:r>
            <w:r w:rsidR="003B68B4" w:rsidRPr="00A07F29">
              <w:rPr>
                <w:rFonts w:ascii="Times New Roman" w:eastAsia="Calibri" w:hAnsi="Times New Roman" w:cs="Times New Roman"/>
                <w:lang w:eastAsia="ar-SA"/>
              </w:rPr>
              <w:t>29</w:t>
            </w:r>
          </w:p>
        </w:tc>
        <w:tc>
          <w:tcPr>
            <w:tcW w:w="1418" w:type="dxa"/>
          </w:tcPr>
          <w:p w14:paraId="5ECAAFEB" w14:textId="43227D18" w:rsidR="002B1603" w:rsidRPr="00A07F29" w:rsidRDefault="002B1603"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1,01-1,03</w:t>
            </w:r>
          </w:p>
        </w:tc>
        <w:tc>
          <w:tcPr>
            <w:tcW w:w="1559" w:type="dxa"/>
            <w:shd w:val="clear" w:color="auto" w:fill="FF0000"/>
          </w:tcPr>
          <w:p w14:paraId="20CBC388" w14:textId="77777777" w:rsidR="002B1603" w:rsidRPr="00A07F29" w:rsidRDefault="002B1603"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U2x</w:t>
            </w:r>
          </w:p>
        </w:tc>
      </w:tr>
      <w:tr w:rsidR="002B1603" w:rsidRPr="00A07F29" w14:paraId="732977C5" w14:textId="77777777" w:rsidTr="00AD1C16">
        <w:trPr>
          <w:trHeight w:val="273"/>
          <w:jc w:val="center"/>
        </w:trPr>
        <w:tc>
          <w:tcPr>
            <w:tcW w:w="848" w:type="dxa"/>
          </w:tcPr>
          <w:p w14:paraId="0F373F93" w14:textId="6F81AEF9" w:rsidR="002B1603" w:rsidRPr="00A07F29" w:rsidRDefault="00DA613C"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21</w:t>
            </w:r>
            <w:r w:rsidR="002B1603" w:rsidRPr="00A07F29">
              <w:rPr>
                <w:rFonts w:ascii="Times New Roman" w:eastAsia="Calibri" w:hAnsi="Times New Roman" w:cs="Times New Roman"/>
                <w:lang w:eastAsia="ar-SA"/>
              </w:rPr>
              <w:t>.</w:t>
            </w:r>
          </w:p>
        </w:tc>
        <w:tc>
          <w:tcPr>
            <w:tcW w:w="2835" w:type="dxa"/>
            <w:vAlign w:val="center"/>
          </w:tcPr>
          <w:p w14:paraId="558E9569" w14:textId="77777777" w:rsidR="002B1603" w:rsidRPr="00A07F29" w:rsidRDefault="002B1603" w:rsidP="00B24715">
            <w:pPr>
              <w:suppressAutoHyphens/>
              <w:spacing w:after="0" w:line="240" w:lineRule="auto"/>
              <w:rPr>
                <w:rFonts w:ascii="Times New Roman" w:eastAsia="Calibri" w:hAnsi="Times New Roman" w:cs="Times New Roman"/>
                <w:lang w:eastAsia="ar-SA"/>
              </w:rPr>
            </w:pPr>
            <w:r w:rsidRPr="00A07F29">
              <w:rPr>
                <w:rFonts w:ascii="Times New Roman" w:eastAsia="Calibri" w:hAnsi="Times New Roman" w:cs="Times New Roman"/>
                <w:lang w:eastAsia="ar-SA"/>
              </w:rPr>
              <w:t xml:space="preserve">9060 Skujkoku meži uz </w:t>
            </w:r>
            <w:proofErr w:type="spellStart"/>
            <w:r w:rsidRPr="00A07F29">
              <w:rPr>
                <w:rFonts w:ascii="Times New Roman" w:eastAsia="Calibri" w:hAnsi="Times New Roman" w:cs="Times New Roman"/>
                <w:lang w:eastAsia="ar-SA"/>
              </w:rPr>
              <w:t>osveida</w:t>
            </w:r>
            <w:proofErr w:type="spellEnd"/>
            <w:r w:rsidRPr="00A07F29">
              <w:rPr>
                <w:rFonts w:ascii="Times New Roman" w:eastAsia="Calibri" w:hAnsi="Times New Roman" w:cs="Times New Roman"/>
                <w:lang w:eastAsia="ar-SA"/>
              </w:rPr>
              <w:t xml:space="preserve"> reljefa formām</w:t>
            </w:r>
          </w:p>
        </w:tc>
        <w:tc>
          <w:tcPr>
            <w:tcW w:w="2691" w:type="dxa"/>
          </w:tcPr>
          <w:p w14:paraId="5A06C106" w14:textId="77777777" w:rsidR="002B1603" w:rsidRPr="00A07F29" w:rsidRDefault="002B1603" w:rsidP="00B24715">
            <w:pPr>
              <w:suppressAutoHyphens/>
              <w:spacing w:after="0" w:line="240" w:lineRule="auto"/>
              <w:rPr>
                <w:rFonts w:ascii="Times New Roman" w:eastAsia="Times New Roman" w:hAnsi="Times New Roman" w:cs="Times New Roman"/>
                <w:bCs/>
                <w:color w:val="000000"/>
                <w:kern w:val="24"/>
                <w:lang w:eastAsia="lv-LV"/>
              </w:rPr>
            </w:pPr>
            <w:r w:rsidRPr="00A07F29">
              <w:rPr>
                <w:rFonts w:ascii="Times New Roman" w:eastAsia="Calibri" w:hAnsi="Times New Roman" w:cs="Times New Roman"/>
                <w:lang w:eastAsia="ar-SA"/>
              </w:rPr>
              <w:t xml:space="preserve">1.14. Skujkoku meži uz </w:t>
            </w:r>
            <w:proofErr w:type="spellStart"/>
            <w:r w:rsidRPr="00A07F29">
              <w:rPr>
                <w:rFonts w:ascii="Times New Roman" w:eastAsia="Calibri" w:hAnsi="Times New Roman" w:cs="Times New Roman"/>
                <w:lang w:eastAsia="ar-SA"/>
              </w:rPr>
              <w:t>osveida</w:t>
            </w:r>
            <w:proofErr w:type="spellEnd"/>
            <w:r w:rsidRPr="00A07F29">
              <w:rPr>
                <w:rFonts w:ascii="Times New Roman" w:eastAsia="Calibri" w:hAnsi="Times New Roman" w:cs="Times New Roman"/>
                <w:lang w:eastAsia="ar-SA"/>
              </w:rPr>
              <w:t xml:space="preserve"> reljefa formām</w:t>
            </w:r>
          </w:p>
        </w:tc>
        <w:tc>
          <w:tcPr>
            <w:tcW w:w="1700" w:type="dxa"/>
            <w:vAlign w:val="center"/>
          </w:tcPr>
          <w:p w14:paraId="5027E1E3" w14:textId="1D25DA83" w:rsidR="002B1603" w:rsidRPr="00A07F29" w:rsidRDefault="002B1603"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3,</w:t>
            </w:r>
            <w:r w:rsidR="003B68B4" w:rsidRPr="00A07F29">
              <w:rPr>
                <w:rFonts w:ascii="Times New Roman" w:eastAsia="Calibri" w:hAnsi="Times New Roman" w:cs="Times New Roman"/>
                <w:lang w:eastAsia="ar-SA"/>
              </w:rPr>
              <w:t>16</w:t>
            </w:r>
          </w:p>
        </w:tc>
        <w:tc>
          <w:tcPr>
            <w:tcW w:w="1987" w:type="dxa"/>
          </w:tcPr>
          <w:p w14:paraId="2511B216" w14:textId="503C906E" w:rsidR="002B1603" w:rsidRPr="00A07F29" w:rsidRDefault="002B1603"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0,</w:t>
            </w:r>
            <w:r w:rsidR="003B68B4" w:rsidRPr="00A07F29">
              <w:rPr>
                <w:rFonts w:ascii="Times New Roman" w:eastAsia="Calibri" w:hAnsi="Times New Roman" w:cs="Times New Roman"/>
                <w:lang w:eastAsia="ar-SA"/>
              </w:rPr>
              <w:t>01</w:t>
            </w:r>
          </w:p>
        </w:tc>
        <w:tc>
          <w:tcPr>
            <w:tcW w:w="1558" w:type="dxa"/>
          </w:tcPr>
          <w:p w14:paraId="491FD1E1" w14:textId="7822DA8D" w:rsidR="002B1603" w:rsidRPr="00A07F29" w:rsidRDefault="002B1603" w:rsidP="00B24715">
            <w:pPr>
              <w:suppressAutoHyphens/>
              <w:spacing w:after="0" w:line="240" w:lineRule="auto"/>
              <w:jc w:val="center"/>
              <w:rPr>
                <w:rFonts w:ascii="Times New Roman" w:eastAsia="Calibri" w:hAnsi="Times New Roman" w:cs="Times New Roman"/>
                <w:highlight w:val="yellow"/>
                <w:lang w:eastAsia="ar-SA"/>
              </w:rPr>
            </w:pPr>
            <w:r w:rsidRPr="00A07F29">
              <w:rPr>
                <w:rFonts w:ascii="Times New Roman" w:eastAsia="Calibri" w:hAnsi="Times New Roman" w:cs="Times New Roman"/>
                <w:lang w:eastAsia="ar-SA"/>
              </w:rPr>
              <w:t>0,42</w:t>
            </w:r>
          </w:p>
        </w:tc>
        <w:tc>
          <w:tcPr>
            <w:tcW w:w="1418" w:type="dxa"/>
          </w:tcPr>
          <w:p w14:paraId="64C371C3" w14:textId="6C275047" w:rsidR="002B1603" w:rsidRPr="00A07F29" w:rsidRDefault="002B1603"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0,19</w:t>
            </w:r>
          </w:p>
        </w:tc>
        <w:tc>
          <w:tcPr>
            <w:tcW w:w="1559" w:type="dxa"/>
            <w:shd w:val="clear" w:color="auto" w:fill="FF0000"/>
          </w:tcPr>
          <w:p w14:paraId="38F03B8E" w14:textId="77777777" w:rsidR="002B1603" w:rsidRPr="00A07F29" w:rsidRDefault="002B1603"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U2x</w:t>
            </w:r>
          </w:p>
        </w:tc>
      </w:tr>
      <w:tr w:rsidR="002B1603" w:rsidRPr="00A07F29" w14:paraId="268B2E1F" w14:textId="77777777" w:rsidTr="00AD1C16">
        <w:trPr>
          <w:trHeight w:val="273"/>
          <w:jc w:val="center"/>
        </w:trPr>
        <w:tc>
          <w:tcPr>
            <w:tcW w:w="848" w:type="dxa"/>
          </w:tcPr>
          <w:p w14:paraId="18E4C1D2" w14:textId="6F063BAA" w:rsidR="002B1603" w:rsidRPr="00A07F29" w:rsidRDefault="00DA613C"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22</w:t>
            </w:r>
            <w:r w:rsidR="002B1603" w:rsidRPr="00A07F29">
              <w:rPr>
                <w:rFonts w:ascii="Times New Roman" w:eastAsia="Calibri" w:hAnsi="Times New Roman" w:cs="Times New Roman"/>
                <w:lang w:eastAsia="ar-SA"/>
              </w:rPr>
              <w:t>.</w:t>
            </w:r>
          </w:p>
        </w:tc>
        <w:tc>
          <w:tcPr>
            <w:tcW w:w="2835" w:type="dxa"/>
            <w:vAlign w:val="center"/>
          </w:tcPr>
          <w:p w14:paraId="1AEC5581" w14:textId="77777777" w:rsidR="002B1603" w:rsidRPr="00A07F29" w:rsidRDefault="002B1603" w:rsidP="00B24715">
            <w:pPr>
              <w:suppressAutoHyphens/>
              <w:spacing w:after="0" w:line="240" w:lineRule="auto"/>
              <w:rPr>
                <w:rFonts w:ascii="Times New Roman" w:eastAsia="Calibri" w:hAnsi="Times New Roman" w:cs="Times New Roman"/>
                <w:lang w:eastAsia="ar-SA"/>
              </w:rPr>
            </w:pPr>
            <w:r w:rsidRPr="00A07F29">
              <w:rPr>
                <w:rFonts w:ascii="Times New Roman" w:eastAsia="Calibri" w:hAnsi="Times New Roman" w:cs="Times New Roman"/>
                <w:lang w:eastAsia="ar-SA"/>
              </w:rPr>
              <w:t>9080* Staignāju meži</w:t>
            </w:r>
          </w:p>
        </w:tc>
        <w:tc>
          <w:tcPr>
            <w:tcW w:w="2691" w:type="dxa"/>
          </w:tcPr>
          <w:p w14:paraId="779902E3" w14:textId="77777777" w:rsidR="002B1603" w:rsidRPr="00A07F29" w:rsidRDefault="002B1603" w:rsidP="00B24715">
            <w:pPr>
              <w:suppressAutoHyphens/>
              <w:spacing w:after="0" w:line="240" w:lineRule="auto"/>
              <w:rPr>
                <w:rFonts w:ascii="Times New Roman" w:eastAsia="Times New Roman" w:hAnsi="Times New Roman" w:cs="Times New Roman"/>
                <w:bCs/>
                <w:color w:val="000000"/>
                <w:kern w:val="24"/>
                <w:lang w:eastAsia="lv-LV"/>
              </w:rPr>
            </w:pPr>
            <w:r w:rsidRPr="00A07F29">
              <w:rPr>
                <w:rFonts w:ascii="Times New Roman" w:eastAsia="Calibri" w:hAnsi="Times New Roman" w:cs="Times New Roman"/>
                <w:lang w:eastAsia="ar-SA"/>
              </w:rPr>
              <w:t>1.15. Staignāju meži</w:t>
            </w:r>
          </w:p>
        </w:tc>
        <w:tc>
          <w:tcPr>
            <w:tcW w:w="1700" w:type="dxa"/>
            <w:vAlign w:val="center"/>
          </w:tcPr>
          <w:p w14:paraId="4410B42D" w14:textId="0F5EB251" w:rsidR="003B68B4" w:rsidRPr="00A07F29" w:rsidRDefault="003B68B4" w:rsidP="00F14CF8">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59,</w:t>
            </w:r>
            <w:r w:rsidR="00F14CF8" w:rsidRPr="00A07F29">
              <w:rPr>
                <w:rFonts w:ascii="Times New Roman" w:eastAsia="Calibri" w:hAnsi="Times New Roman" w:cs="Times New Roman"/>
                <w:lang w:eastAsia="ar-SA"/>
              </w:rPr>
              <w:t>56</w:t>
            </w:r>
          </w:p>
        </w:tc>
        <w:tc>
          <w:tcPr>
            <w:tcW w:w="1987" w:type="dxa"/>
          </w:tcPr>
          <w:p w14:paraId="4FDD09F9" w14:textId="111506FF" w:rsidR="002B1603" w:rsidRPr="00A07F29" w:rsidRDefault="002B1603"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0,</w:t>
            </w:r>
            <w:r w:rsidR="003B68B4" w:rsidRPr="00A07F29">
              <w:rPr>
                <w:rFonts w:ascii="Times New Roman" w:eastAsia="Calibri" w:hAnsi="Times New Roman" w:cs="Times New Roman"/>
                <w:lang w:eastAsia="ar-SA"/>
              </w:rPr>
              <w:t>11</w:t>
            </w:r>
          </w:p>
        </w:tc>
        <w:tc>
          <w:tcPr>
            <w:tcW w:w="1558" w:type="dxa"/>
          </w:tcPr>
          <w:p w14:paraId="0AF21A72" w14:textId="5EB0790F" w:rsidR="002B1603" w:rsidRPr="00A07F29" w:rsidRDefault="002B1603" w:rsidP="00B24715">
            <w:pPr>
              <w:suppressAutoHyphens/>
              <w:spacing w:after="0" w:line="240" w:lineRule="auto"/>
              <w:jc w:val="center"/>
              <w:rPr>
                <w:rFonts w:ascii="Times New Roman" w:eastAsia="Calibri" w:hAnsi="Times New Roman" w:cs="Times New Roman"/>
                <w:highlight w:val="yellow"/>
                <w:lang w:eastAsia="ar-SA"/>
              </w:rPr>
            </w:pPr>
            <w:r w:rsidRPr="00A07F29">
              <w:rPr>
                <w:rFonts w:ascii="Times New Roman" w:eastAsia="Calibri" w:hAnsi="Times New Roman" w:cs="Times New Roman"/>
                <w:lang w:eastAsia="ar-SA"/>
              </w:rPr>
              <w:t>1,04</w:t>
            </w:r>
          </w:p>
        </w:tc>
        <w:tc>
          <w:tcPr>
            <w:tcW w:w="1418" w:type="dxa"/>
          </w:tcPr>
          <w:p w14:paraId="04ED4DED" w14:textId="69446A7D" w:rsidR="002B1603" w:rsidRPr="00A07F29" w:rsidRDefault="002B1603"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0,</w:t>
            </w:r>
            <w:r w:rsidR="003B68B4" w:rsidRPr="00A07F29">
              <w:rPr>
                <w:rFonts w:ascii="Times New Roman" w:eastAsia="Calibri" w:hAnsi="Times New Roman" w:cs="Times New Roman"/>
                <w:lang w:eastAsia="ar-SA"/>
              </w:rPr>
              <w:t>26</w:t>
            </w:r>
            <w:r w:rsidRPr="00A07F29">
              <w:rPr>
                <w:rFonts w:ascii="Times New Roman" w:eastAsia="Calibri" w:hAnsi="Times New Roman" w:cs="Times New Roman"/>
                <w:lang w:eastAsia="ar-SA"/>
              </w:rPr>
              <w:t>-0,</w:t>
            </w:r>
            <w:r w:rsidR="003B68B4" w:rsidRPr="00A07F29">
              <w:rPr>
                <w:rFonts w:ascii="Times New Roman" w:eastAsia="Calibri" w:hAnsi="Times New Roman" w:cs="Times New Roman"/>
                <w:lang w:eastAsia="ar-SA"/>
              </w:rPr>
              <w:t>29</w:t>
            </w:r>
          </w:p>
        </w:tc>
        <w:tc>
          <w:tcPr>
            <w:tcW w:w="1559" w:type="dxa"/>
            <w:shd w:val="clear" w:color="auto" w:fill="FF0000"/>
          </w:tcPr>
          <w:p w14:paraId="1ED32DA7" w14:textId="77777777" w:rsidR="002B1603" w:rsidRPr="00A07F29" w:rsidRDefault="002B1603"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U2d</w:t>
            </w:r>
          </w:p>
        </w:tc>
      </w:tr>
      <w:tr w:rsidR="002B1603" w:rsidRPr="00A07F29" w14:paraId="200A4E19" w14:textId="77777777" w:rsidTr="00AD1C16">
        <w:trPr>
          <w:trHeight w:val="273"/>
          <w:jc w:val="center"/>
        </w:trPr>
        <w:tc>
          <w:tcPr>
            <w:tcW w:w="848" w:type="dxa"/>
          </w:tcPr>
          <w:p w14:paraId="4475158E" w14:textId="47E89CBE" w:rsidR="002B1603" w:rsidRPr="00A07F29" w:rsidRDefault="00DA613C"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23</w:t>
            </w:r>
            <w:r w:rsidR="002B1603" w:rsidRPr="00A07F29">
              <w:rPr>
                <w:rFonts w:ascii="Times New Roman" w:eastAsia="Calibri" w:hAnsi="Times New Roman" w:cs="Times New Roman"/>
                <w:lang w:eastAsia="ar-SA"/>
              </w:rPr>
              <w:t>.</w:t>
            </w:r>
          </w:p>
        </w:tc>
        <w:tc>
          <w:tcPr>
            <w:tcW w:w="2835" w:type="dxa"/>
            <w:vAlign w:val="center"/>
          </w:tcPr>
          <w:p w14:paraId="5AC8CE90" w14:textId="77777777" w:rsidR="002B1603" w:rsidRPr="00A07F29" w:rsidRDefault="002B1603" w:rsidP="00B24715">
            <w:pPr>
              <w:suppressAutoHyphens/>
              <w:spacing w:after="0" w:line="240" w:lineRule="auto"/>
              <w:rPr>
                <w:rFonts w:ascii="Times New Roman" w:eastAsia="Calibri" w:hAnsi="Times New Roman" w:cs="Times New Roman"/>
                <w:lang w:eastAsia="ar-SA"/>
              </w:rPr>
            </w:pPr>
            <w:r w:rsidRPr="00A07F29">
              <w:rPr>
                <w:rFonts w:ascii="Times New Roman" w:eastAsia="Calibri" w:hAnsi="Times New Roman" w:cs="Times New Roman"/>
                <w:lang w:eastAsia="ar-SA"/>
              </w:rPr>
              <w:t>9160 Ozolu meži</w:t>
            </w:r>
          </w:p>
        </w:tc>
        <w:tc>
          <w:tcPr>
            <w:tcW w:w="2691" w:type="dxa"/>
          </w:tcPr>
          <w:p w14:paraId="64A94C51" w14:textId="77777777" w:rsidR="002B1603" w:rsidRPr="00A07F29" w:rsidRDefault="002B1603" w:rsidP="00B24715">
            <w:pPr>
              <w:suppressAutoHyphens/>
              <w:spacing w:after="0" w:line="240" w:lineRule="auto"/>
              <w:rPr>
                <w:rFonts w:ascii="Times New Roman" w:eastAsia="Calibri" w:hAnsi="Times New Roman" w:cs="Times New Roman"/>
                <w:lang w:eastAsia="ar-SA"/>
              </w:rPr>
            </w:pPr>
            <w:r w:rsidRPr="00A07F29">
              <w:rPr>
                <w:rFonts w:ascii="Times New Roman" w:eastAsia="Calibri" w:hAnsi="Times New Roman" w:cs="Times New Roman"/>
                <w:lang w:eastAsia="ar-SA"/>
              </w:rPr>
              <w:t>1.7. Ozolu meži</w:t>
            </w:r>
          </w:p>
        </w:tc>
        <w:tc>
          <w:tcPr>
            <w:tcW w:w="1700" w:type="dxa"/>
            <w:vAlign w:val="center"/>
          </w:tcPr>
          <w:p w14:paraId="4DE1AFBE" w14:textId="6855D8A9" w:rsidR="002B1603" w:rsidRPr="00A07F29" w:rsidRDefault="003B68B4" w:rsidP="00F14CF8">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1,3</w:t>
            </w:r>
            <w:r w:rsidR="00F14CF8" w:rsidRPr="00A07F29">
              <w:rPr>
                <w:rFonts w:ascii="Times New Roman" w:eastAsia="Calibri" w:hAnsi="Times New Roman" w:cs="Times New Roman"/>
                <w:lang w:eastAsia="ar-SA"/>
              </w:rPr>
              <w:t>0</w:t>
            </w:r>
          </w:p>
        </w:tc>
        <w:tc>
          <w:tcPr>
            <w:tcW w:w="1987" w:type="dxa"/>
          </w:tcPr>
          <w:p w14:paraId="661FF093" w14:textId="4A4ED63F" w:rsidR="002B1603" w:rsidRPr="00A07F29" w:rsidRDefault="002B1603"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0,</w:t>
            </w:r>
            <w:r w:rsidR="003B68B4" w:rsidRPr="00A07F29">
              <w:rPr>
                <w:rFonts w:ascii="Times New Roman" w:eastAsia="Calibri" w:hAnsi="Times New Roman" w:cs="Times New Roman"/>
                <w:lang w:eastAsia="ar-SA"/>
              </w:rPr>
              <w:t>0</w:t>
            </w:r>
            <w:r w:rsidR="00F14CF8" w:rsidRPr="00A07F29">
              <w:rPr>
                <w:rFonts w:ascii="Times New Roman" w:eastAsia="Calibri" w:hAnsi="Times New Roman" w:cs="Times New Roman"/>
                <w:lang w:eastAsia="ar-SA"/>
              </w:rPr>
              <w:t>0</w:t>
            </w:r>
            <w:r w:rsidR="003B68B4" w:rsidRPr="00A07F29">
              <w:rPr>
                <w:rFonts w:ascii="Times New Roman" w:eastAsia="Calibri" w:hAnsi="Times New Roman" w:cs="Times New Roman"/>
                <w:lang w:eastAsia="ar-SA"/>
              </w:rPr>
              <w:t>2</w:t>
            </w:r>
          </w:p>
        </w:tc>
        <w:tc>
          <w:tcPr>
            <w:tcW w:w="1558" w:type="dxa"/>
          </w:tcPr>
          <w:p w14:paraId="7BCC56C1" w14:textId="37D00F63" w:rsidR="002B1603" w:rsidRPr="00A07F29" w:rsidRDefault="002B1603" w:rsidP="00B24715">
            <w:pPr>
              <w:suppressAutoHyphens/>
              <w:spacing w:after="0" w:line="240" w:lineRule="auto"/>
              <w:jc w:val="center"/>
              <w:rPr>
                <w:rFonts w:ascii="Times New Roman" w:eastAsia="Calibri" w:hAnsi="Times New Roman" w:cs="Times New Roman"/>
                <w:highlight w:val="yellow"/>
                <w:lang w:eastAsia="ar-SA"/>
              </w:rPr>
            </w:pPr>
            <w:r w:rsidRPr="00A07F29">
              <w:rPr>
                <w:rFonts w:ascii="Times New Roman" w:eastAsia="Calibri" w:hAnsi="Times New Roman" w:cs="Times New Roman"/>
                <w:lang w:eastAsia="ar-SA"/>
              </w:rPr>
              <w:t>0,</w:t>
            </w:r>
            <w:r w:rsidR="00F14CF8" w:rsidRPr="00A07F29">
              <w:rPr>
                <w:rFonts w:ascii="Times New Roman" w:eastAsia="Calibri" w:hAnsi="Times New Roman" w:cs="Times New Roman"/>
                <w:lang w:eastAsia="ar-SA"/>
              </w:rPr>
              <w:t>0</w:t>
            </w:r>
            <w:r w:rsidR="003B68B4" w:rsidRPr="00A07F29">
              <w:rPr>
                <w:rFonts w:ascii="Times New Roman" w:eastAsia="Calibri" w:hAnsi="Times New Roman" w:cs="Times New Roman"/>
                <w:lang w:eastAsia="ar-SA"/>
              </w:rPr>
              <w:t>19</w:t>
            </w:r>
          </w:p>
        </w:tc>
        <w:tc>
          <w:tcPr>
            <w:tcW w:w="1418" w:type="dxa"/>
          </w:tcPr>
          <w:p w14:paraId="69292DE9" w14:textId="389A7FC6" w:rsidR="002B1603" w:rsidRPr="00A07F29" w:rsidRDefault="002B1603"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0,</w:t>
            </w:r>
            <w:r w:rsidR="003B68B4" w:rsidRPr="00A07F29">
              <w:rPr>
                <w:rFonts w:ascii="Times New Roman" w:eastAsia="Calibri" w:hAnsi="Times New Roman" w:cs="Times New Roman"/>
                <w:lang w:eastAsia="ar-SA"/>
              </w:rPr>
              <w:t>0</w:t>
            </w:r>
            <w:r w:rsidR="00870B9B" w:rsidRPr="00A07F29">
              <w:rPr>
                <w:rFonts w:ascii="Times New Roman" w:eastAsia="Calibri" w:hAnsi="Times New Roman" w:cs="Times New Roman"/>
                <w:lang w:eastAsia="ar-SA"/>
              </w:rPr>
              <w:t>0</w:t>
            </w:r>
            <w:r w:rsidR="003B68B4" w:rsidRPr="00A07F29">
              <w:rPr>
                <w:rFonts w:ascii="Times New Roman" w:eastAsia="Calibri" w:hAnsi="Times New Roman" w:cs="Times New Roman"/>
                <w:lang w:eastAsia="ar-SA"/>
              </w:rPr>
              <w:t>3</w:t>
            </w:r>
            <w:r w:rsidRPr="00A07F29">
              <w:rPr>
                <w:rFonts w:ascii="Times New Roman" w:eastAsia="Calibri" w:hAnsi="Times New Roman" w:cs="Times New Roman"/>
                <w:lang w:eastAsia="ar-SA"/>
              </w:rPr>
              <w:t>-0,0</w:t>
            </w:r>
            <w:r w:rsidR="00870B9B" w:rsidRPr="00A07F29">
              <w:rPr>
                <w:rFonts w:ascii="Times New Roman" w:eastAsia="Calibri" w:hAnsi="Times New Roman" w:cs="Times New Roman"/>
                <w:lang w:eastAsia="ar-SA"/>
              </w:rPr>
              <w:t>0</w:t>
            </w:r>
            <w:r w:rsidRPr="00A07F29">
              <w:rPr>
                <w:rFonts w:ascii="Times New Roman" w:eastAsia="Calibri" w:hAnsi="Times New Roman" w:cs="Times New Roman"/>
                <w:lang w:eastAsia="ar-SA"/>
              </w:rPr>
              <w:t>6</w:t>
            </w:r>
          </w:p>
        </w:tc>
        <w:tc>
          <w:tcPr>
            <w:tcW w:w="1559" w:type="dxa"/>
            <w:shd w:val="clear" w:color="auto" w:fill="FFFF00"/>
          </w:tcPr>
          <w:p w14:paraId="6BD330F6" w14:textId="77777777" w:rsidR="002B1603" w:rsidRPr="00A07F29" w:rsidRDefault="002B1603"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U1x</w:t>
            </w:r>
          </w:p>
        </w:tc>
      </w:tr>
      <w:tr w:rsidR="002B1603" w:rsidRPr="00A07F29" w14:paraId="15E65A1F" w14:textId="77777777" w:rsidTr="00AD1C16">
        <w:trPr>
          <w:trHeight w:val="273"/>
          <w:jc w:val="center"/>
        </w:trPr>
        <w:tc>
          <w:tcPr>
            <w:tcW w:w="848" w:type="dxa"/>
          </w:tcPr>
          <w:p w14:paraId="4662CAF5" w14:textId="57EAD5BC" w:rsidR="002B1603" w:rsidRPr="00A07F29" w:rsidRDefault="00DA613C"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24</w:t>
            </w:r>
            <w:r w:rsidR="002B1603" w:rsidRPr="00A07F29">
              <w:rPr>
                <w:rFonts w:ascii="Times New Roman" w:eastAsia="Calibri" w:hAnsi="Times New Roman" w:cs="Times New Roman"/>
                <w:lang w:eastAsia="ar-SA"/>
              </w:rPr>
              <w:t>.</w:t>
            </w:r>
          </w:p>
        </w:tc>
        <w:tc>
          <w:tcPr>
            <w:tcW w:w="2835" w:type="dxa"/>
            <w:vAlign w:val="center"/>
          </w:tcPr>
          <w:p w14:paraId="5710E37B" w14:textId="77777777" w:rsidR="002B1603" w:rsidRPr="00A07F29" w:rsidRDefault="002B1603" w:rsidP="00B24715">
            <w:pPr>
              <w:suppressAutoHyphens/>
              <w:spacing w:after="0" w:line="240" w:lineRule="auto"/>
              <w:rPr>
                <w:rFonts w:ascii="Times New Roman" w:eastAsia="Calibri" w:hAnsi="Times New Roman" w:cs="Times New Roman"/>
                <w:lang w:eastAsia="ar-SA"/>
              </w:rPr>
            </w:pPr>
            <w:r w:rsidRPr="00A07F29">
              <w:rPr>
                <w:rFonts w:ascii="Times New Roman" w:eastAsia="Calibri" w:hAnsi="Times New Roman" w:cs="Times New Roman"/>
                <w:lang w:eastAsia="ar-SA"/>
              </w:rPr>
              <w:t>9180* Nogāžu un gravu meži</w:t>
            </w:r>
          </w:p>
        </w:tc>
        <w:tc>
          <w:tcPr>
            <w:tcW w:w="2691" w:type="dxa"/>
          </w:tcPr>
          <w:p w14:paraId="3DF3D4A7" w14:textId="77777777" w:rsidR="002B1603" w:rsidRPr="00A07F29" w:rsidRDefault="002B1603" w:rsidP="00B24715">
            <w:pPr>
              <w:suppressAutoHyphens/>
              <w:spacing w:after="0" w:line="240" w:lineRule="auto"/>
              <w:rPr>
                <w:rFonts w:ascii="Times New Roman" w:eastAsia="Times New Roman" w:hAnsi="Times New Roman" w:cs="Times New Roman"/>
                <w:bCs/>
                <w:color w:val="000000"/>
                <w:kern w:val="24"/>
                <w:lang w:eastAsia="lv-LV"/>
              </w:rPr>
            </w:pPr>
            <w:r w:rsidRPr="00A07F29">
              <w:rPr>
                <w:rFonts w:ascii="Times New Roman" w:eastAsia="Calibri" w:hAnsi="Times New Roman" w:cs="Times New Roman"/>
                <w:lang w:eastAsia="ar-SA"/>
              </w:rPr>
              <w:t>1.9. Nogāžu un gravu meži</w:t>
            </w:r>
          </w:p>
        </w:tc>
        <w:tc>
          <w:tcPr>
            <w:tcW w:w="1700" w:type="dxa"/>
            <w:vAlign w:val="center"/>
          </w:tcPr>
          <w:p w14:paraId="4E31E4E2" w14:textId="0A9EBD7D" w:rsidR="00B24715" w:rsidRPr="00A07F29" w:rsidRDefault="00870B9B" w:rsidP="00870B9B">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239,60</w:t>
            </w:r>
          </w:p>
        </w:tc>
        <w:tc>
          <w:tcPr>
            <w:tcW w:w="1987" w:type="dxa"/>
          </w:tcPr>
          <w:p w14:paraId="6B268040" w14:textId="35ABDFB9" w:rsidR="002B1603" w:rsidRPr="00A07F29" w:rsidRDefault="002B1603"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0,</w:t>
            </w:r>
            <w:r w:rsidR="00B24715" w:rsidRPr="00A07F29">
              <w:rPr>
                <w:rFonts w:ascii="Times New Roman" w:eastAsia="Calibri" w:hAnsi="Times New Roman" w:cs="Times New Roman"/>
                <w:lang w:eastAsia="ar-SA"/>
              </w:rPr>
              <w:t>44</w:t>
            </w:r>
          </w:p>
        </w:tc>
        <w:tc>
          <w:tcPr>
            <w:tcW w:w="1558" w:type="dxa"/>
          </w:tcPr>
          <w:p w14:paraId="574FD34D" w14:textId="1DB27E99" w:rsidR="002B1603" w:rsidRPr="00A07F29" w:rsidRDefault="002B1603" w:rsidP="00B24715">
            <w:pPr>
              <w:suppressAutoHyphens/>
              <w:spacing w:after="0" w:line="240" w:lineRule="auto"/>
              <w:jc w:val="center"/>
              <w:rPr>
                <w:rFonts w:ascii="Times New Roman" w:eastAsia="Calibri" w:hAnsi="Times New Roman" w:cs="Times New Roman"/>
                <w:highlight w:val="yellow"/>
                <w:lang w:eastAsia="ar-SA"/>
              </w:rPr>
            </w:pPr>
            <w:r w:rsidRPr="00A07F29">
              <w:rPr>
                <w:rFonts w:ascii="Times New Roman" w:eastAsia="Calibri" w:hAnsi="Times New Roman" w:cs="Times New Roman"/>
                <w:lang w:eastAsia="ar-SA"/>
              </w:rPr>
              <w:t>7,52</w:t>
            </w:r>
          </w:p>
        </w:tc>
        <w:tc>
          <w:tcPr>
            <w:tcW w:w="1418" w:type="dxa"/>
          </w:tcPr>
          <w:p w14:paraId="2C6A1F6B" w14:textId="5AAFC084" w:rsidR="002B1603" w:rsidRPr="00A07F29" w:rsidRDefault="002B1603"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3,66-4,</w:t>
            </w:r>
            <w:r w:rsidR="00B24715" w:rsidRPr="00A07F29">
              <w:rPr>
                <w:rFonts w:ascii="Times New Roman" w:eastAsia="Calibri" w:hAnsi="Times New Roman" w:cs="Times New Roman"/>
                <w:lang w:eastAsia="ar-SA"/>
              </w:rPr>
              <w:t>25</w:t>
            </w:r>
          </w:p>
        </w:tc>
        <w:tc>
          <w:tcPr>
            <w:tcW w:w="1559" w:type="dxa"/>
            <w:shd w:val="clear" w:color="auto" w:fill="FFFF00"/>
          </w:tcPr>
          <w:p w14:paraId="7E441BAB" w14:textId="77777777" w:rsidR="002B1603" w:rsidRPr="00A07F29" w:rsidRDefault="002B1603"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U1x</w:t>
            </w:r>
          </w:p>
        </w:tc>
      </w:tr>
      <w:tr w:rsidR="002B1603" w:rsidRPr="00A07F29" w14:paraId="276C184C" w14:textId="77777777" w:rsidTr="00AD1C16">
        <w:trPr>
          <w:trHeight w:val="273"/>
          <w:jc w:val="center"/>
        </w:trPr>
        <w:tc>
          <w:tcPr>
            <w:tcW w:w="848" w:type="dxa"/>
          </w:tcPr>
          <w:p w14:paraId="411C196C" w14:textId="2BC85AB6" w:rsidR="002B1603" w:rsidRPr="00A07F29" w:rsidRDefault="00DA613C"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25</w:t>
            </w:r>
            <w:r w:rsidR="002B1603" w:rsidRPr="00A07F29">
              <w:rPr>
                <w:rFonts w:ascii="Times New Roman" w:eastAsia="Calibri" w:hAnsi="Times New Roman" w:cs="Times New Roman"/>
                <w:lang w:eastAsia="ar-SA"/>
              </w:rPr>
              <w:t>.</w:t>
            </w:r>
          </w:p>
        </w:tc>
        <w:tc>
          <w:tcPr>
            <w:tcW w:w="2835" w:type="dxa"/>
            <w:vAlign w:val="center"/>
          </w:tcPr>
          <w:p w14:paraId="6E082CFB" w14:textId="77777777" w:rsidR="002B1603" w:rsidRPr="00A07F29" w:rsidRDefault="002B1603" w:rsidP="00B24715">
            <w:pPr>
              <w:suppressAutoHyphens/>
              <w:spacing w:after="0" w:line="240" w:lineRule="auto"/>
              <w:rPr>
                <w:rFonts w:ascii="Times New Roman" w:eastAsia="Calibri" w:hAnsi="Times New Roman" w:cs="Times New Roman"/>
                <w:lang w:eastAsia="ar-SA"/>
              </w:rPr>
            </w:pPr>
            <w:r w:rsidRPr="00A07F29">
              <w:rPr>
                <w:rFonts w:ascii="Times New Roman" w:eastAsia="Calibri" w:hAnsi="Times New Roman" w:cs="Times New Roman"/>
                <w:lang w:eastAsia="ar-SA"/>
              </w:rPr>
              <w:t>91D0* Purvaini meži</w:t>
            </w:r>
          </w:p>
        </w:tc>
        <w:tc>
          <w:tcPr>
            <w:tcW w:w="2691" w:type="dxa"/>
          </w:tcPr>
          <w:p w14:paraId="4AB296D7" w14:textId="77777777" w:rsidR="002B1603" w:rsidRPr="00A07F29" w:rsidRDefault="002B1603" w:rsidP="00B24715">
            <w:pPr>
              <w:suppressAutoHyphens/>
              <w:spacing w:after="0" w:line="240" w:lineRule="auto"/>
              <w:rPr>
                <w:rFonts w:ascii="Times New Roman" w:eastAsia="Times New Roman" w:hAnsi="Times New Roman" w:cs="Times New Roman"/>
                <w:bCs/>
                <w:color w:val="000000"/>
                <w:kern w:val="24"/>
                <w:lang w:eastAsia="lv-LV"/>
              </w:rPr>
            </w:pPr>
            <w:r w:rsidRPr="00A07F29">
              <w:rPr>
                <w:rFonts w:ascii="Times New Roman" w:eastAsia="Calibri" w:hAnsi="Times New Roman" w:cs="Times New Roman"/>
                <w:lang w:eastAsia="ar-SA"/>
              </w:rPr>
              <w:t>1.18. Veci un dabiski purvaini meži</w:t>
            </w:r>
          </w:p>
        </w:tc>
        <w:tc>
          <w:tcPr>
            <w:tcW w:w="1700" w:type="dxa"/>
            <w:vAlign w:val="center"/>
          </w:tcPr>
          <w:p w14:paraId="4051811C" w14:textId="44BB9214" w:rsidR="00B24715" w:rsidRPr="00A07F29" w:rsidRDefault="00B24715" w:rsidP="00870B9B">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123,</w:t>
            </w:r>
            <w:r w:rsidR="00870B9B" w:rsidRPr="00A07F29">
              <w:rPr>
                <w:rFonts w:ascii="Times New Roman" w:eastAsia="Calibri" w:hAnsi="Times New Roman" w:cs="Times New Roman"/>
                <w:lang w:eastAsia="ar-SA"/>
              </w:rPr>
              <w:t>81</w:t>
            </w:r>
          </w:p>
        </w:tc>
        <w:tc>
          <w:tcPr>
            <w:tcW w:w="1987" w:type="dxa"/>
          </w:tcPr>
          <w:p w14:paraId="11D2E232" w14:textId="23797A5F" w:rsidR="002B1603" w:rsidRPr="00A07F29" w:rsidRDefault="002B1603"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0,24</w:t>
            </w:r>
          </w:p>
        </w:tc>
        <w:tc>
          <w:tcPr>
            <w:tcW w:w="1558" w:type="dxa"/>
          </w:tcPr>
          <w:p w14:paraId="3FAA132E" w14:textId="06585001" w:rsidR="002B1603" w:rsidRPr="00A07F29" w:rsidRDefault="002B1603" w:rsidP="00B24715">
            <w:pPr>
              <w:suppressAutoHyphens/>
              <w:spacing w:after="0" w:line="240" w:lineRule="auto"/>
              <w:jc w:val="center"/>
              <w:rPr>
                <w:rFonts w:ascii="Times New Roman" w:eastAsia="Calibri" w:hAnsi="Times New Roman" w:cs="Times New Roman"/>
                <w:highlight w:val="yellow"/>
                <w:lang w:eastAsia="ar-SA"/>
              </w:rPr>
            </w:pPr>
            <w:r w:rsidRPr="00A07F29">
              <w:rPr>
                <w:rFonts w:ascii="Times New Roman" w:eastAsia="Calibri" w:hAnsi="Times New Roman" w:cs="Times New Roman"/>
                <w:lang w:eastAsia="ar-SA"/>
              </w:rPr>
              <w:t>0,</w:t>
            </w:r>
            <w:r w:rsidR="00B24715" w:rsidRPr="00A07F29">
              <w:rPr>
                <w:rFonts w:ascii="Times New Roman" w:eastAsia="Calibri" w:hAnsi="Times New Roman" w:cs="Times New Roman"/>
                <w:lang w:eastAsia="ar-SA"/>
              </w:rPr>
              <w:t>64</w:t>
            </w:r>
          </w:p>
        </w:tc>
        <w:tc>
          <w:tcPr>
            <w:tcW w:w="1418" w:type="dxa"/>
          </w:tcPr>
          <w:p w14:paraId="7AAE9E34" w14:textId="340A7F13" w:rsidR="002B1603" w:rsidRPr="00A07F29" w:rsidRDefault="002B1603"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0,</w:t>
            </w:r>
            <w:r w:rsidR="00B24715" w:rsidRPr="00A07F29">
              <w:rPr>
                <w:rFonts w:ascii="Times New Roman" w:eastAsia="Calibri" w:hAnsi="Times New Roman" w:cs="Times New Roman"/>
                <w:lang w:eastAsia="ar-SA"/>
              </w:rPr>
              <w:t>11</w:t>
            </w:r>
            <w:r w:rsidRPr="00A07F29">
              <w:rPr>
                <w:rFonts w:ascii="Times New Roman" w:eastAsia="Calibri" w:hAnsi="Times New Roman" w:cs="Times New Roman"/>
                <w:lang w:eastAsia="ar-SA"/>
              </w:rPr>
              <w:t>-0,21</w:t>
            </w:r>
          </w:p>
        </w:tc>
        <w:tc>
          <w:tcPr>
            <w:tcW w:w="1559" w:type="dxa"/>
            <w:shd w:val="clear" w:color="auto" w:fill="FFFF00"/>
          </w:tcPr>
          <w:p w14:paraId="17F83092" w14:textId="77777777" w:rsidR="002B1603" w:rsidRPr="00A07F29" w:rsidRDefault="002B1603"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U1s</w:t>
            </w:r>
          </w:p>
        </w:tc>
      </w:tr>
      <w:tr w:rsidR="002B1603" w:rsidRPr="00A07F29" w14:paraId="529DE785" w14:textId="77777777" w:rsidTr="00AD1C16">
        <w:trPr>
          <w:trHeight w:val="273"/>
          <w:jc w:val="center"/>
        </w:trPr>
        <w:tc>
          <w:tcPr>
            <w:tcW w:w="848" w:type="dxa"/>
          </w:tcPr>
          <w:p w14:paraId="78ECEB7B" w14:textId="4B832920" w:rsidR="002B1603" w:rsidRPr="00A07F29" w:rsidRDefault="00DA613C"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lastRenderedPageBreak/>
              <w:t>26</w:t>
            </w:r>
            <w:r w:rsidR="002B1603" w:rsidRPr="00A07F29">
              <w:rPr>
                <w:rFonts w:ascii="Times New Roman" w:eastAsia="Calibri" w:hAnsi="Times New Roman" w:cs="Times New Roman"/>
                <w:lang w:eastAsia="ar-SA"/>
              </w:rPr>
              <w:t>.</w:t>
            </w:r>
          </w:p>
        </w:tc>
        <w:tc>
          <w:tcPr>
            <w:tcW w:w="2835" w:type="dxa"/>
            <w:vAlign w:val="center"/>
          </w:tcPr>
          <w:p w14:paraId="3412BFA7" w14:textId="77777777" w:rsidR="002B1603" w:rsidRPr="00A07F29" w:rsidRDefault="002B1603" w:rsidP="00B24715">
            <w:pPr>
              <w:suppressAutoHyphens/>
              <w:spacing w:after="0" w:line="240" w:lineRule="auto"/>
              <w:rPr>
                <w:rFonts w:ascii="Times New Roman" w:eastAsia="Calibri" w:hAnsi="Times New Roman" w:cs="Times New Roman"/>
                <w:lang w:eastAsia="ar-SA"/>
              </w:rPr>
            </w:pPr>
            <w:r w:rsidRPr="00A07F29">
              <w:rPr>
                <w:rFonts w:ascii="Times New Roman" w:eastAsia="Calibri" w:hAnsi="Times New Roman" w:cs="Times New Roman"/>
                <w:lang w:eastAsia="ar-SA"/>
              </w:rPr>
              <w:t>91E0* Aluviāli meži (aluviāli krastmalu un palieņu meži)</w:t>
            </w:r>
          </w:p>
        </w:tc>
        <w:tc>
          <w:tcPr>
            <w:tcW w:w="2691" w:type="dxa"/>
          </w:tcPr>
          <w:p w14:paraId="4E4F27C8" w14:textId="77777777" w:rsidR="002B1603" w:rsidRPr="00A07F29" w:rsidRDefault="002B1603" w:rsidP="00B24715">
            <w:pPr>
              <w:suppressAutoHyphens/>
              <w:spacing w:after="0" w:line="240" w:lineRule="auto"/>
              <w:rPr>
                <w:rFonts w:ascii="Times New Roman" w:eastAsia="Times New Roman" w:hAnsi="Times New Roman" w:cs="Times New Roman"/>
                <w:bCs/>
                <w:color w:val="000000"/>
                <w:kern w:val="24"/>
                <w:lang w:eastAsia="lv-LV"/>
              </w:rPr>
            </w:pPr>
            <w:r w:rsidRPr="00A07F29">
              <w:rPr>
                <w:rFonts w:ascii="Times New Roman" w:eastAsia="Calibri" w:hAnsi="Times New Roman" w:cs="Times New Roman"/>
                <w:lang w:eastAsia="ar-SA"/>
              </w:rPr>
              <w:t>1.11. Aluviāli krastmalu un palieņu meži</w:t>
            </w:r>
          </w:p>
        </w:tc>
        <w:tc>
          <w:tcPr>
            <w:tcW w:w="1700" w:type="dxa"/>
            <w:vAlign w:val="center"/>
          </w:tcPr>
          <w:p w14:paraId="4DB613C0" w14:textId="11B9C376" w:rsidR="002B1603" w:rsidRPr="00A07F29" w:rsidRDefault="00B24715"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32,81</w:t>
            </w:r>
          </w:p>
        </w:tc>
        <w:tc>
          <w:tcPr>
            <w:tcW w:w="1987" w:type="dxa"/>
          </w:tcPr>
          <w:p w14:paraId="5D207C66" w14:textId="1E8C4B41" w:rsidR="002B1603" w:rsidRPr="00A07F29" w:rsidRDefault="002B1603"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0,06</w:t>
            </w:r>
          </w:p>
        </w:tc>
        <w:tc>
          <w:tcPr>
            <w:tcW w:w="1558" w:type="dxa"/>
          </w:tcPr>
          <w:p w14:paraId="3FFC734D" w14:textId="072FB7BC" w:rsidR="002B1603" w:rsidRPr="00A07F29" w:rsidRDefault="002B1603" w:rsidP="00B24715">
            <w:pPr>
              <w:suppressAutoHyphens/>
              <w:spacing w:after="0" w:line="240" w:lineRule="auto"/>
              <w:jc w:val="center"/>
              <w:rPr>
                <w:rFonts w:ascii="Times New Roman" w:eastAsia="Calibri" w:hAnsi="Times New Roman" w:cs="Times New Roman"/>
                <w:highlight w:val="yellow"/>
                <w:lang w:eastAsia="ar-SA"/>
              </w:rPr>
            </w:pPr>
            <w:r w:rsidRPr="00A07F29">
              <w:rPr>
                <w:rFonts w:ascii="Times New Roman" w:eastAsia="Calibri" w:hAnsi="Times New Roman" w:cs="Times New Roman"/>
                <w:lang w:eastAsia="ar-SA"/>
              </w:rPr>
              <w:t>1,58</w:t>
            </w:r>
          </w:p>
        </w:tc>
        <w:tc>
          <w:tcPr>
            <w:tcW w:w="1418" w:type="dxa"/>
          </w:tcPr>
          <w:p w14:paraId="52E038F9" w14:textId="737DFAC7" w:rsidR="002B1603" w:rsidRPr="00A07F29" w:rsidRDefault="002B1603" w:rsidP="00B24715">
            <w:pPr>
              <w:suppressAutoHyphens/>
              <w:spacing w:after="0" w:line="240" w:lineRule="auto"/>
              <w:jc w:val="center"/>
              <w:rPr>
                <w:rFonts w:ascii="Times New Roman" w:eastAsia="Calibri" w:hAnsi="Times New Roman" w:cs="Calibri"/>
                <w:lang w:eastAsia="ar-SA"/>
              </w:rPr>
            </w:pPr>
            <w:r w:rsidRPr="00A07F29">
              <w:rPr>
                <w:rFonts w:ascii="Times New Roman" w:eastAsia="Calibri" w:hAnsi="Times New Roman" w:cs="Calibri"/>
                <w:lang w:eastAsia="ar-SA"/>
              </w:rPr>
              <w:t>0,</w:t>
            </w:r>
            <w:r w:rsidR="00B24715" w:rsidRPr="00A07F29">
              <w:rPr>
                <w:rFonts w:ascii="Times New Roman" w:eastAsia="Calibri" w:hAnsi="Times New Roman" w:cs="Calibri"/>
                <w:lang w:eastAsia="ar-SA"/>
              </w:rPr>
              <w:t>29</w:t>
            </w:r>
            <w:r w:rsidRPr="00A07F29">
              <w:rPr>
                <w:rFonts w:ascii="Times New Roman" w:eastAsia="Calibri" w:hAnsi="Times New Roman" w:cs="Calibri"/>
                <w:lang w:eastAsia="ar-SA"/>
              </w:rPr>
              <w:t>-0,4</w:t>
            </w:r>
          </w:p>
        </w:tc>
        <w:tc>
          <w:tcPr>
            <w:tcW w:w="1559" w:type="dxa"/>
            <w:shd w:val="clear" w:color="auto" w:fill="FFFF00"/>
          </w:tcPr>
          <w:p w14:paraId="7EF686CA" w14:textId="77777777" w:rsidR="002B1603" w:rsidRPr="00A07F29" w:rsidRDefault="002B1603"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U1x</w:t>
            </w:r>
          </w:p>
        </w:tc>
      </w:tr>
      <w:tr w:rsidR="002B1603" w:rsidRPr="00A07F29" w14:paraId="29203453" w14:textId="77777777" w:rsidTr="00AD1C16">
        <w:trPr>
          <w:trHeight w:val="273"/>
          <w:jc w:val="center"/>
        </w:trPr>
        <w:tc>
          <w:tcPr>
            <w:tcW w:w="848" w:type="dxa"/>
          </w:tcPr>
          <w:p w14:paraId="0EC7C824" w14:textId="67533017" w:rsidR="002B1603" w:rsidRPr="00A07F29" w:rsidRDefault="00DA613C"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27</w:t>
            </w:r>
            <w:r w:rsidR="002B1603" w:rsidRPr="00A07F29">
              <w:rPr>
                <w:rFonts w:ascii="Times New Roman" w:eastAsia="Calibri" w:hAnsi="Times New Roman" w:cs="Times New Roman"/>
                <w:lang w:eastAsia="ar-SA"/>
              </w:rPr>
              <w:t>.</w:t>
            </w:r>
          </w:p>
        </w:tc>
        <w:tc>
          <w:tcPr>
            <w:tcW w:w="2835" w:type="dxa"/>
            <w:vAlign w:val="center"/>
          </w:tcPr>
          <w:p w14:paraId="2155B2FE" w14:textId="77777777" w:rsidR="002B1603" w:rsidRPr="00A07F29" w:rsidRDefault="002B1603" w:rsidP="00B24715">
            <w:pPr>
              <w:suppressAutoHyphens/>
              <w:spacing w:after="0" w:line="240" w:lineRule="auto"/>
              <w:rPr>
                <w:rFonts w:ascii="Times New Roman" w:eastAsia="Calibri" w:hAnsi="Times New Roman" w:cs="Times New Roman"/>
                <w:lang w:eastAsia="ar-SA"/>
              </w:rPr>
            </w:pPr>
            <w:r w:rsidRPr="00A07F29">
              <w:rPr>
                <w:rFonts w:ascii="Times New Roman" w:eastAsia="Calibri" w:hAnsi="Times New Roman" w:cs="Times New Roman"/>
                <w:lang w:eastAsia="ar-SA"/>
              </w:rPr>
              <w:t>91T0 Ķērpjiem bagāti priežu meži</w:t>
            </w:r>
          </w:p>
        </w:tc>
        <w:tc>
          <w:tcPr>
            <w:tcW w:w="2691" w:type="dxa"/>
          </w:tcPr>
          <w:p w14:paraId="6FC090AA" w14:textId="4CCE67F0" w:rsidR="002B1603" w:rsidRPr="00A07F29" w:rsidRDefault="002B1603" w:rsidP="00B24715">
            <w:pPr>
              <w:suppressAutoHyphens/>
              <w:spacing w:after="0" w:line="240" w:lineRule="auto"/>
              <w:rPr>
                <w:rFonts w:ascii="Times New Roman" w:eastAsia="Calibri" w:hAnsi="Times New Roman" w:cs="Times New Roman"/>
                <w:lang w:eastAsia="ar-SA"/>
              </w:rPr>
            </w:pPr>
            <w:r w:rsidRPr="00A07F29">
              <w:rPr>
                <w:rFonts w:ascii="Times New Roman" w:eastAsia="Times New Roman" w:hAnsi="Times New Roman" w:cs="Times New Roman"/>
                <w:bCs/>
                <w:color w:val="000000"/>
                <w:kern w:val="24"/>
                <w:lang w:eastAsia="lv-LV"/>
              </w:rPr>
              <w:t xml:space="preserve">1.17. </w:t>
            </w:r>
            <w:r w:rsidRPr="00A07F29">
              <w:rPr>
                <w:rFonts w:ascii="Times New Roman" w:eastAsia="Calibri" w:hAnsi="Times New Roman" w:cs="Times New Roman"/>
                <w:lang w:eastAsia="ar-SA"/>
              </w:rPr>
              <w:t xml:space="preserve">Veci vai dabiski </w:t>
            </w:r>
            <w:proofErr w:type="spellStart"/>
            <w:r w:rsidRPr="00A07F29">
              <w:rPr>
                <w:rFonts w:ascii="Times New Roman" w:eastAsia="Calibri" w:hAnsi="Times New Roman" w:cs="Times New Roman"/>
                <w:lang w:eastAsia="ar-SA"/>
              </w:rPr>
              <w:t>boreāli</w:t>
            </w:r>
            <w:proofErr w:type="spellEnd"/>
            <w:r w:rsidRPr="00A07F29">
              <w:rPr>
                <w:rFonts w:ascii="Times New Roman" w:eastAsia="Calibri" w:hAnsi="Times New Roman" w:cs="Times New Roman"/>
                <w:lang w:eastAsia="ar-SA"/>
              </w:rPr>
              <w:t xml:space="preserve"> meži</w:t>
            </w:r>
          </w:p>
        </w:tc>
        <w:tc>
          <w:tcPr>
            <w:tcW w:w="1700" w:type="dxa"/>
            <w:vAlign w:val="center"/>
          </w:tcPr>
          <w:p w14:paraId="497AB428" w14:textId="430A98BB" w:rsidR="002B1603" w:rsidRPr="00A07F29" w:rsidRDefault="002B1603"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5,15</w:t>
            </w:r>
          </w:p>
        </w:tc>
        <w:tc>
          <w:tcPr>
            <w:tcW w:w="1987" w:type="dxa"/>
          </w:tcPr>
          <w:p w14:paraId="035E39AD" w14:textId="08922244" w:rsidR="002B1603" w:rsidRPr="00A07F29" w:rsidRDefault="002B1603"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0,01</w:t>
            </w:r>
          </w:p>
        </w:tc>
        <w:tc>
          <w:tcPr>
            <w:tcW w:w="1558" w:type="dxa"/>
          </w:tcPr>
          <w:p w14:paraId="715E3266" w14:textId="6939467E" w:rsidR="002B1603" w:rsidRPr="00A07F29" w:rsidRDefault="002B1603"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0,</w:t>
            </w:r>
            <w:r w:rsidR="00B24715" w:rsidRPr="00A07F29">
              <w:rPr>
                <w:rFonts w:ascii="Times New Roman" w:eastAsia="Calibri" w:hAnsi="Times New Roman" w:cs="Times New Roman"/>
                <w:lang w:eastAsia="ar-SA"/>
              </w:rPr>
              <w:t>81</w:t>
            </w:r>
          </w:p>
        </w:tc>
        <w:tc>
          <w:tcPr>
            <w:tcW w:w="1418" w:type="dxa"/>
          </w:tcPr>
          <w:p w14:paraId="45C05A28" w14:textId="77777777" w:rsidR="002B1603" w:rsidRPr="00A07F29" w:rsidRDefault="002B1603" w:rsidP="00B24715">
            <w:pPr>
              <w:suppressAutoHyphens/>
              <w:spacing w:after="0" w:line="240" w:lineRule="auto"/>
              <w:jc w:val="center"/>
              <w:rPr>
                <w:rFonts w:ascii="Times New Roman" w:eastAsia="Calibri" w:hAnsi="Times New Roman" w:cs="Calibri"/>
                <w:lang w:eastAsia="ar-SA"/>
              </w:rPr>
            </w:pPr>
            <w:r w:rsidRPr="00A07F29">
              <w:rPr>
                <w:rFonts w:ascii="Times New Roman" w:eastAsia="Calibri" w:hAnsi="Times New Roman" w:cs="Calibri"/>
                <w:lang w:eastAsia="ar-SA"/>
              </w:rPr>
              <w:t>0,20-0,21</w:t>
            </w:r>
          </w:p>
        </w:tc>
        <w:tc>
          <w:tcPr>
            <w:tcW w:w="1559" w:type="dxa"/>
            <w:shd w:val="clear" w:color="auto" w:fill="FFFF00"/>
          </w:tcPr>
          <w:p w14:paraId="7F4F87F8" w14:textId="77777777" w:rsidR="002B1603" w:rsidRPr="00A07F29" w:rsidRDefault="002B1603" w:rsidP="00B24715">
            <w:pPr>
              <w:suppressAutoHyphens/>
              <w:spacing w:after="0" w:line="240" w:lineRule="auto"/>
              <w:jc w:val="center"/>
              <w:rPr>
                <w:rFonts w:ascii="Times New Roman" w:eastAsia="Calibri" w:hAnsi="Times New Roman" w:cs="Times New Roman"/>
                <w:lang w:eastAsia="ar-SA"/>
              </w:rPr>
            </w:pPr>
            <w:r w:rsidRPr="00A07F29">
              <w:rPr>
                <w:rFonts w:ascii="Times New Roman" w:eastAsia="Calibri" w:hAnsi="Times New Roman" w:cs="Times New Roman"/>
                <w:lang w:eastAsia="ar-SA"/>
              </w:rPr>
              <w:t>U1x</w:t>
            </w:r>
          </w:p>
        </w:tc>
      </w:tr>
    </w:tbl>
    <w:p w14:paraId="5384181D" w14:textId="77777777" w:rsidR="002B1603" w:rsidRPr="00A07F29" w:rsidRDefault="002B1603" w:rsidP="002B1603">
      <w:pPr>
        <w:spacing w:before="120" w:after="120"/>
        <w:ind w:right="6572"/>
        <w:jc w:val="both"/>
        <w:rPr>
          <w:rFonts w:cs="Times New Roman"/>
          <w:b/>
          <w:sz w:val="16"/>
          <w:szCs w:val="16"/>
        </w:rPr>
      </w:pPr>
      <w:r w:rsidRPr="00A07F29">
        <w:rPr>
          <w:rFonts w:cs="Times New Roman"/>
          <w:b/>
          <w:spacing w:val="-3"/>
          <w:sz w:val="16"/>
          <w:szCs w:val="16"/>
        </w:rPr>
        <w:t>P</w:t>
      </w:r>
      <w:r w:rsidRPr="00A07F29">
        <w:rPr>
          <w:rFonts w:cs="Times New Roman"/>
          <w:b/>
          <w:sz w:val="16"/>
          <w:szCs w:val="16"/>
        </w:rPr>
        <w:t>AS</w:t>
      </w:r>
      <w:r w:rsidRPr="00A07F29">
        <w:rPr>
          <w:rFonts w:cs="Times New Roman"/>
          <w:b/>
          <w:spacing w:val="1"/>
          <w:sz w:val="16"/>
          <w:szCs w:val="16"/>
        </w:rPr>
        <w:t>K</w:t>
      </w:r>
      <w:r w:rsidRPr="00A07F29">
        <w:rPr>
          <w:rFonts w:cs="Times New Roman"/>
          <w:b/>
          <w:sz w:val="16"/>
          <w:szCs w:val="16"/>
        </w:rPr>
        <w:t>A</w:t>
      </w:r>
      <w:r w:rsidRPr="00A07F29">
        <w:rPr>
          <w:rFonts w:cs="Times New Roman"/>
          <w:b/>
          <w:spacing w:val="1"/>
          <w:sz w:val="16"/>
          <w:szCs w:val="16"/>
        </w:rPr>
        <w:t>ID</w:t>
      </w:r>
      <w:r w:rsidRPr="00A07F29">
        <w:rPr>
          <w:rFonts w:cs="Times New Roman"/>
          <w:b/>
          <w:spacing w:val="-1"/>
          <w:sz w:val="16"/>
          <w:szCs w:val="16"/>
        </w:rPr>
        <w:t>R</w:t>
      </w:r>
      <w:r w:rsidRPr="00A07F29">
        <w:rPr>
          <w:rFonts w:cs="Times New Roman"/>
          <w:b/>
          <w:sz w:val="16"/>
          <w:szCs w:val="16"/>
        </w:rPr>
        <w:t>O</w:t>
      </w:r>
      <w:r w:rsidRPr="00A07F29">
        <w:rPr>
          <w:rFonts w:cs="Times New Roman"/>
          <w:b/>
          <w:spacing w:val="-1"/>
          <w:sz w:val="16"/>
          <w:szCs w:val="16"/>
        </w:rPr>
        <w:t>J</w:t>
      </w:r>
      <w:r w:rsidRPr="00A07F29">
        <w:rPr>
          <w:rFonts w:cs="Times New Roman"/>
          <w:b/>
          <w:spacing w:val="3"/>
          <w:sz w:val="16"/>
          <w:szCs w:val="16"/>
        </w:rPr>
        <w:t>U</w:t>
      </w:r>
      <w:r w:rsidRPr="00A07F29">
        <w:rPr>
          <w:rFonts w:cs="Times New Roman"/>
          <w:b/>
          <w:spacing w:val="-3"/>
          <w:sz w:val="16"/>
          <w:szCs w:val="16"/>
        </w:rPr>
        <w:t>M</w:t>
      </w:r>
      <w:r w:rsidRPr="00A07F29">
        <w:rPr>
          <w:rFonts w:cs="Times New Roman"/>
          <w:b/>
          <w:sz w:val="16"/>
          <w:szCs w:val="16"/>
        </w:rPr>
        <w:t>I</w:t>
      </w:r>
      <w:r w:rsidRPr="00A07F29">
        <w:rPr>
          <w:rFonts w:cs="Times New Roman"/>
          <w:b/>
          <w:spacing w:val="-11"/>
          <w:sz w:val="16"/>
          <w:szCs w:val="16"/>
        </w:rPr>
        <w:t xml:space="preserve"> </w:t>
      </w:r>
      <w:r w:rsidRPr="00A07F29">
        <w:rPr>
          <w:rFonts w:cs="Times New Roman"/>
          <w:b/>
          <w:spacing w:val="1"/>
          <w:sz w:val="16"/>
          <w:szCs w:val="16"/>
        </w:rPr>
        <w:t>U</w:t>
      </w:r>
      <w:r w:rsidRPr="00A07F29">
        <w:rPr>
          <w:rFonts w:cs="Times New Roman"/>
          <w:b/>
          <w:sz w:val="16"/>
          <w:szCs w:val="16"/>
        </w:rPr>
        <w:t>N</w:t>
      </w:r>
      <w:r w:rsidRPr="00A07F29">
        <w:rPr>
          <w:rFonts w:cs="Times New Roman"/>
          <w:b/>
          <w:spacing w:val="-2"/>
          <w:sz w:val="16"/>
          <w:szCs w:val="16"/>
        </w:rPr>
        <w:t xml:space="preserve"> </w:t>
      </w:r>
      <w:r w:rsidRPr="00A07F29">
        <w:rPr>
          <w:rFonts w:cs="Times New Roman"/>
          <w:b/>
          <w:sz w:val="16"/>
          <w:szCs w:val="16"/>
        </w:rPr>
        <w:t>A</w:t>
      </w:r>
      <w:r w:rsidRPr="00A07F29">
        <w:rPr>
          <w:rFonts w:cs="Times New Roman"/>
          <w:b/>
          <w:spacing w:val="1"/>
          <w:sz w:val="16"/>
          <w:szCs w:val="16"/>
        </w:rPr>
        <w:t>P</w:t>
      </w:r>
      <w:r w:rsidRPr="00A07F29">
        <w:rPr>
          <w:rFonts w:cs="Times New Roman"/>
          <w:b/>
          <w:spacing w:val="-1"/>
          <w:sz w:val="16"/>
          <w:szCs w:val="16"/>
        </w:rPr>
        <w:t>Z</w:t>
      </w:r>
      <w:r w:rsidRPr="00A07F29">
        <w:rPr>
          <w:rFonts w:cs="Times New Roman"/>
          <w:spacing w:val="-2"/>
          <w:sz w:val="16"/>
          <w:szCs w:val="16"/>
        </w:rPr>
        <w:t>Ī</w:t>
      </w:r>
      <w:r w:rsidRPr="00A07F29">
        <w:rPr>
          <w:rFonts w:cs="Times New Roman"/>
          <w:b/>
          <w:spacing w:val="-1"/>
          <w:sz w:val="16"/>
          <w:szCs w:val="16"/>
        </w:rPr>
        <w:t>M</w:t>
      </w:r>
      <w:r w:rsidRPr="00A07F29">
        <w:rPr>
          <w:rFonts w:cs="Times New Roman"/>
          <w:spacing w:val="-1"/>
          <w:sz w:val="16"/>
          <w:szCs w:val="16"/>
        </w:rPr>
        <w:t>Ē</w:t>
      </w:r>
      <w:r w:rsidRPr="00A07F29">
        <w:rPr>
          <w:rFonts w:cs="Times New Roman"/>
          <w:b/>
          <w:spacing w:val="-1"/>
          <w:sz w:val="16"/>
          <w:szCs w:val="16"/>
        </w:rPr>
        <w:t>J</w:t>
      </w:r>
      <w:r w:rsidRPr="00A07F29">
        <w:rPr>
          <w:rFonts w:cs="Times New Roman"/>
          <w:b/>
          <w:spacing w:val="3"/>
          <w:sz w:val="16"/>
          <w:szCs w:val="16"/>
        </w:rPr>
        <w:t>U</w:t>
      </w:r>
      <w:r w:rsidRPr="00A07F29">
        <w:rPr>
          <w:rFonts w:cs="Times New Roman"/>
          <w:b/>
          <w:spacing w:val="-3"/>
          <w:sz w:val="16"/>
          <w:szCs w:val="16"/>
        </w:rPr>
        <w:t>M</w:t>
      </w:r>
      <w:r w:rsidRPr="00A07F29">
        <w:rPr>
          <w:rFonts w:cs="Times New Roman"/>
          <w:b/>
          <w:sz w:val="16"/>
          <w:szCs w:val="16"/>
        </w:rPr>
        <w:t>I:</w:t>
      </w:r>
    </w:p>
    <w:p w14:paraId="0D9DE0B6" w14:textId="3BA033E1" w:rsidR="002B1603" w:rsidRPr="00A07F29" w:rsidRDefault="002B1603" w:rsidP="002B1603">
      <w:pPr>
        <w:spacing w:after="120"/>
        <w:jc w:val="both"/>
        <w:rPr>
          <w:rFonts w:cs="Times New Roman"/>
          <w:sz w:val="16"/>
          <w:szCs w:val="16"/>
        </w:rPr>
      </w:pPr>
      <w:r w:rsidRPr="00A07F29">
        <w:rPr>
          <w:rFonts w:cs="Times New Roman"/>
          <w:b/>
          <w:sz w:val="16"/>
          <w:szCs w:val="16"/>
        </w:rPr>
        <w:t>*</w:t>
      </w:r>
      <w:r w:rsidR="00B53522" w:rsidRPr="00B53522">
        <w:rPr>
          <w:rFonts w:ascii="Times New Roman" w:eastAsia="Calibri" w:hAnsi="Times New Roman" w:cs="Times New Roman"/>
          <w:b/>
          <w:sz w:val="16"/>
          <w:szCs w:val="16"/>
        </w:rPr>
        <w:t xml:space="preserve"> </w:t>
      </w:r>
      <w:r w:rsidR="00B53522" w:rsidRPr="00B53522">
        <w:rPr>
          <w:rFonts w:cs="Times New Roman"/>
          <w:b/>
          <w:sz w:val="16"/>
          <w:szCs w:val="16"/>
        </w:rPr>
        <w:t xml:space="preserve">Aizsardzības stāvokļa novērtējums atbilstoši ziņojumā Eiropas Komisijai </w:t>
      </w:r>
      <w:r w:rsidR="00B53522" w:rsidRPr="00B53522">
        <w:rPr>
          <w:rFonts w:cs="Times New Roman"/>
          <w:b/>
          <w:bCs/>
          <w:iCs/>
          <w:sz w:val="16"/>
          <w:szCs w:val="16"/>
        </w:rPr>
        <w:t>par ES nozīmes biotopu (dzīvotņu) un sugu aizsardzības stāvokli Latvijā, novērtējums par 2013. – 2018. gada periodu (ES ziņojums, 2019) lietotajiem apzīmējumiem</w:t>
      </w:r>
      <w:r w:rsidR="00B53522" w:rsidRPr="00B53522">
        <w:rPr>
          <w:rFonts w:cs="Times New Roman"/>
          <w:b/>
          <w:sz w:val="16"/>
          <w:szCs w:val="16"/>
        </w:rPr>
        <w:t xml:space="preserve"> (tikai direktīvu pielikumos iekļautajām sugām):</w:t>
      </w:r>
      <w:r w:rsidR="00B53522">
        <w:rPr>
          <w:rFonts w:cs="Times New Roman"/>
          <w:b/>
          <w:sz w:val="16"/>
          <w:szCs w:val="16"/>
        </w:rPr>
        <w:t xml:space="preserve"> </w:t>
      </w:r>
      <w:r w:rsidRPr="00A07F29">
        <w:rPr>
          <w:rFonts w:cs="Times New Roman"/>
          <w:b/>
          <w:sz w:val="16"/>
          <w:szCs w:val="16"/>
        </w:rPr>
        <w:t>:</w:t>
      </w:r>
    </w:p>
    <w:tbl>
      <w:tblPr>
        <w:tblStyle w:val="TableGrid"/>
        <w:tblW w:w="0" w:type="auto"/>
        <w:tblLook w:val="04A0" w:firstRow="1" w:lastRow="0" w:firstColumn="1" w:lastColumn="0" w:noHBand="0" w:noVBand="1"/>
      </w:tblPr>
      <w:tblGrid>
        <w:gridCol w:w="704"/>
        <w:gridCol w:w="8646"/>
      </w:tblGrid>
      <w:tr w:rsidR="002B1603" w:rsidRPr="00A07F29" w14:paraId="7D096551" w14:textId="77777777" w:rsidTr="00F42B9F">
        <w:tc>
          <w:tcPr>
            <w:tcW w:w="704" w:type="dxa"/>
            <w:tcBorders>
              <w:top w:val="single" w:sz="4" w:space="0" w:color="auto"/>
              <w:left w:val="single" w:sz="4" w:space="0" w:color="auto"/>
              <w:bottom w:val="single" w:sz="4" w:space="0" w:color="auto"/>
              <w:right w:val="single" w:sz="4" w:space="0" w:color="auto"/>
            </w:tcBorders>
            <w:shd w:val="clear" w:color="auto" w:fill="92D050"/>
          </w:tcPr>
          <w:p w14:paraId="7CC2673A" w14:textId="77777777" w:rsidR="002B1603" w:rsidRPr="00A07F29" w:rsidRDefault="002B1603" w:rsidP="002B1603">
            <w:pPr>
              <w:spacing w:after="120"/>
              <w:jc w:val="both"/>
              <w:rPr>
                <w:rFonts w:cs="Times New Roman"/>
                <w:sz w:val="16"/>
                <w:szCs w:val="16"/>
                <w:shd w:val="clear" w:color="auto" w:fill="FFC000"/>
              </w:rPr>
            </w:pPr>
          </w:p>
        </w:tc>
        <w:tc>
          <w:tcPr>
            <w:tcW w:w="8646" w:type="dxa"/>
            <w:tcBorders>
              <w:top w:val="nil"/>
              <w:left w:val="single" w:sz="4" w:space="0" w:color="auto"/>
              <w:bottom w:val="nil"/>
              <w:right w:val="nil"/>
            </w:tcBorders>
          </w:tcPr>
          <w:p w14:paraId="48FF165A" w14:textId="77777777" w:rsidR="002B1603" w:rsidRPr="00A07F29" w:rsidRDefault="002B1603" w:rsidP="002B1603">
            <w:pPr>
              <w:spacing w:after="120"/>
              <w:jc w:val="both"/>
              <w:rPr>
                <w:rFonts w:cs="Times New Roman"/>
                <w:sz w:val="16"/>
                <w:szCs w:val="16"/>
                <w:shd w:val="clear" w:color="auto" w:fill="FFC000"/>
              </w:rPr>
            </w:pPr>
            <w:r w:rsidRPr="00A07F29">
              <w:rPr>
                <w:rFonts w:cs="Times New Roman"/>
                <w:sz w:val="16"/>
                <w:szCs w:val="16"/>
                <w:shd w:val="clear" w:color="auto" w:fill="FFFFFF" w:themeFill="background1"/>
              </w:rPr>
              <w:t>FV</w:t>
            </w:r>
            <w:r w:rsidRPr="00A07F29">
              <w:rPr>
                <w:rFonts w:cs="Times New Roman"/>
                <w:sz w:val="16"/>
                <w:szCs w:val="16"/>
              </w:rPr>
              <w:t>: Aizsardzības stāvoklis labvēlīgs (</w:t>
            </w:r>
            <w:proofErr w:type="spellStart"/>
            <w:r w:rsidRPr="00A07F29">
              <w:rPr>
                <w:rFonts w:cs="Times New Roman"/>
                <w:sz w:val="16"/>
                <w:szCs w:val="16"/>
              </w:rPr>
              <w:t>Favourable</w:t>
            </w:r>
            <w:proofErr w:type="spellEnd"/>
            <w:r w:rsidRPr="00A07F29">
              <w:rPr>
                <w:rFonts w:cs="Times New Roman"/>
                <w:sz w:val="16"/>
                <w:szCs w:val="16"/>
              </w:rPr>
              <w:t>);</w:t>
            </w:r>
          </w:p>
        </w:tc>
      </w:tr>
      <w:tr w:rsidR="002B1603" w:rsidRPr="00A07F29" w14:paraId="0D1DD784" w14:textId="77777777" w:rsidTr="00F42B9F">
        <w:tc>
          <w:tcPr>
            <w:tcW w:w="704" w:type="dxa"/>
            <w:tcBorders>
              <w:top w:val="single" w:sz="4" w:space="0" w:color="auto"/>
              <w:left w:val="single" w:sz="4" w:space="0" w:color="auto"/>
              <w:bottom w:val="single" w:sz="4" w:space="0" w:color="auto"/>
              <w:right w:val="single" w:sz="4" w:space="0" w:color="auto"/>
            </w:tcBorders>
            <w:shd w:val="clear" w:color="auto" w:fill="FFFF00"/>
          </w:tcPr>
          <w:p w14:paraId="6C80C078" w14:textId="77777777" w:rsidR="002B1603" w:rsidRPr="00A07F29" w:rsidRDefault="002B1603" w:rsidP="002B1603">
            <w:pPr>
              <w:spacing w:after="120"/>
              <w:jc w:val="both"/>
              <w:rPr>
                <w:rFonts w:cs="Times New Roman"/>
                <w:sz w:val="16"/>
                <w:szCs w:val="16"/>
                <w:shd w:val="clear" w:color="auto" w:fill="FFC000"/>
              </w:rPr>
            </w:pPr>
          </w:p>
        </w:tc>
        <w:tc>
          <w:tcPr>
            <w:tcW w:w="8646" w:type="dxa"/>
            <w:tcBorders>
              <w:top w:val="nil"/>
              <w:left w:val="single" w:sz="4" w:space="0" w:color="auto"/>
              <w:bottom w:val="nil"/>
              <w:right w:val="nil"/>
            </w:tcBorders>
          </w:tcPr>
          <w:p w14:paraId="2264B91A" w14:textId="77777777" w:rsidR="002B1603" w:rsidRPr="00A07F29" w:rsidRDefault="002B1603" w:rsidP="002B1603">
            <w:pPr>
              <w:spacing w:after="120"/>
              <w:jc w:val="both"/>
              <w:rPr>
                <w:rFonts w:cs="Times New Roman"/>
                <w:sz w:val="16"/>
                <w:szCs w:val="16"/>
              </w:rPr>
            </w:pPr>
            <w:r w:rsidRPr="00A07F29">
              <w:rPr>
                <w:rFonts w:cs="Times New Roman"/>
                <w:sz w:val="16"/>
                <w:szCs w:val="16"/>
              </w:rPr>
              <w:t>U1: Aizsardzības stāvoklis nelabvēlīgs-nepietiekams (</w:t>
            </w:r>
            <w:proofErr w:type="spellStart"/>
            <w:r w:rsidRPr="00A07F29">
              <w:rPr>
                <w:rFonts w:cs="Times New Roman"/>
                <w:sz w:val="16"/>
                <w:szCs w:val="16"/>
              </w:rPr>
              <w:t>Unfavourable-Inadequate</w:t>
            </w:r>
            <w:proofErr w:type="spellEnd"/>
            <w:r w:rsidRPr="00A07F29">
              <w:rPr>
                <w:rFonts w:cs="Times New Roman"/>
                <w:sz w:val="16"/>
                <w:szCs w:val="16"/>
              </w:rPr>
              <w:t xml:space="preserve">); </w:t>
            </w:r>
          </w:p>
        </w:tc>
      </w:tr>
      <w:tr w:rsidR="002B1603" w:rsidRPr="00A07F29" w14:paraId="504EBB2A" w14:textId="77777777" w:rsidTr="00F42B9F">
        <w:tc>
          <w:tcPr>
            <w:tcW w:w="704" w:type="dxa"/>
            <w:tcBorders>
              <w:top w:val="single" w:sz="4" w:space="0" w:color="auto"/>
              <w:left w:val="single" w:sz="4" w:space="0" w:color="auto"/>
              <w:bottom w:val="single" w:sz="4" w:space="0" w:color="auto"/>
              <w:right w:val="single" w:sz="4" w:space="0" w:color="auto"/>
            </w:tcBorders>
            <w:shd w:val="clear" w:color="auto" w:fill="FF0000"/>
          </w:tcPr>
          <w:p w14:paraId="4CE197DA" w14:textId="77777777" w:rsidR="002B1603" w:rsidRPr="00A07F29" w:rsidRDefault="002B1603" w:rsidP="002B1603">
            <w:pPr>
              <w:spacing w:after="120"/>
              <w:jc w:val="both"/>
              <w:rPr>
                <w:rFonts w:cs="Times New Roman"/>
                <w:sz w:val="16"/>
                <w:szCs w:val="16"/>
                <w:shd w:val="clear" w:color="auto" w:fill="FFC000"/>
              </w:rPr>
            </w:pPr>
          </w:p>
        </w:tc>
        <w:tc>
          <w:tcPr>
            <w:tcW w:w="8646" w:type="dxa"/>
            <w:tcBorders>
              <w:top w:val="nil"/>
              <w:left w:val="single" w:sz="4" w:space="0" w:color="auto"/>
              <w:bottom w:val="nil"/>
              <w:right w:val="nil"/>
            </w:tcBorders>
          </w:tcPr>
          <w:p w14:paraId="058B692E" w14:textId="77777777" w:rsidR="002B1603" w:rsidRPr="00A07F29" w:rsidRDefault="002B1603" w:rsidP="002B1603">
            <w:pPr>
              <w:spacing w:after="120"/>
              <w:jc w:val="both"/>
              <w:rPr>
                <w:rFonts w:cs="Times New Roman"/>
                <w:sz w:val="16"/>
                <w:szCs w:val="16"/>
              </w:rPr>
            </w:pPr>
            <w:r w:rsidRPr="00A07F29">
              <w:rPr>
                <w:rFonts w:cs="Times New Roman"/>
                <w:sz w:val="16"/>
                <w:szCs w:val="16"/>
              </w:rPr>
              <w:t>U2: Aizsardzības stāvoklis nelabvēlīgs-slikts (</w:t>
            </w:r>
            <w:proofErr w:type="spellStart"/>
            <w:r w:rsidRPr="00A07F29">
              <w:rPr>
                <w:rFonts w:cs="Times New Roman"/>
                <w:sz w:val="16"/>
                <w:szCs w:val="16"/>
              </w:rPr>
              <w:t>Unfavourable</w:t>
            </w:r>
            <w:proofErr w:type="spellEnd"/>
            <w:r w:rsidRPr="00A07F29">
              <w:rPr>
                <w:rFonts w:cs="Times New Roman"/>
                <w:sz w:val="16"/>
                <w:szCs w:val="16"/>
              </w:rPr>
              <w:t>-Bad);</w:t>
            </w:r>
          </w:p>
        </w:tc>
      </w:tr>
      <w:tr w:rsidR="002B1603" w:rsidRPr="00A07F29" w14:paraId="4107F837" w14:textId="77777777" w:rsidTr="00F42B9F">
        <w:tc>
          <w:tcPr>
            <w:tcW w:w="70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776F0F99" w14:textId="77777777" w:rsidR="002B1603" w:rsidRPr="00A07F29" w:rsidRDefault="002B1603" w:rsidP="002B1603">
            <w:pPr>
              <w:spacing w:after="120"/>
              <w:jc w:val="both"/>
              <w:rPr>
                <w:rFonts w:cs="Times New Roman"/>
                <w:sz w:val="16"/>
                <w:szCs w:val="16"/>
                <w:shd w:val="clear" w:color="auto" w:fill="FFC000"/>
              </w:rPr>
            </w:pPr>
          </w:p>
        </w:tc>
        <w:tc>
          <w:tcPr>
            <w:tcW w:w="8646" w:type="dxa"/>
            <w:tcBorders>
              <w:top w:val="nil"/>
              <w:left w:val="single" w:sz="4" w:space="0" w:color="auto"/>
              <w:bottom w:val="nil"/>
              <w:right w:val="nil"/>
            </w:tcBorders>
          </w:tcPr>
          <w:p w14:paraId="7AB65C83" w14:textId="77777777" w:rsidR="002B1603" w:rsidRPr="00A07F29" w:rsidRDefault="002B1603" w:rsidP="002B1603">
            <w:pPr>
              <w:spacing w:after="120"/>
              <w:jc w:val="both"/>
              <w:rPr>
                <w:rFonts w:cs="Times New Roman"/>
                <w:sz w:val="16"/>
                <w:szCs w:val="16"/>
              </w:rPr>
            </w:pPr>
            <w:r w:rsidRPr="00A07F29">
              <w:rPr>
                <w:rFonts w:cs="Times New Roman"/>
                <w:sz w:val="16"/>
                <w:szCs w:val="16"/>
              </w:rPr>
              <w:t>XX: Aizsardzības stāvoklis nezināms (</w:t>
            </w:r>
            <w:proofErr w:type="spellStart"/>
            <w:r w:rsidRPr="00A07F29">
              <w:rPr>
                <w:rFonts w:cs="Times New Roman"/>
                <w:sz w:val="16"/>
                <w:szCs w:val="16"/>
              </w:rPr>
              <w:t>Unknown</w:t>
            </w:r>
            <w:proofErr w:type="spellEnd"/>
            <w:r w:rsidRPr="00A07F29">
              <w:rPr>
                <w:rFonts w:cs="Times New Roman"/>
                <w:sz w:val="16"/>
                <w:szCs w:val="16"/>
              </w:rPr>
              <w:t>)</w:t>
            </w:r>
          </w:p>
        </w:tc>
      </w:tr>
    </w:tbl>
    <w:p w14:paraId="69CA1BBD" w14:textId="0D49144D" w:rsidR="002B1603" w:rsidRPr="00A07F29" w:rsidRDefault="002B1603" w:rsidP="002B1603">
      <w:pPr>
        <w:spacing w:after="120"/>
        <w:jc w:val="both"/>
        <w:rPr>
          <w:rFonts w:cs="Times New Roman"/>
          <w:sz w:val="16"/>
          <w:szCs w:val="16"/>
        </w:rPr>
      </w:pPr>
      <w:r w:rsidRPr="00A07F29">
        <w:rPr>
          <w:rFonts w:cs="Times New Roman"/>
          <w:b/>
          <w:sz w:val="16"/>
          <w:szCs w:val="16"/>
        </w:rPr>
        <w:t>Apzīmējumi aizsardzības stāvokļa tendencei:</w:t>
      </w:r>
      <w:r w:rsidR="00D65BBA" w:rsidRPr="00A07F29">
        <w:rPr>
          <w:rFonts w:cs="Times New Roman"/>
          <w:sz w:val="16"/>
          <w:szCs w:val="16"/>
        </w:rPr>
        <w:t xml:space="preserve"> </w:t>
      </w:r>
      <w:r w:rsidR="00563FAE" w:rsidRPr="00A07F29">
        <w:rPr>
          <w:rFonts w:cs="Times New Roman"/>
          <w:sz w:val="16"/>
          <w:szCs w:val="16"/>
        </w:rPr>
        <w:t>Apzīmējumi sugas aizsardzības stāvokļa tendencei:</w:t>
      </w:r>
      <w:r w:rsidR="00D65BBA" w:rsidRPr="00A07F29">
        <w:rPr>
          <w:rFonts w:cs="Times New Roman"/>
          <w:sz w:val="16"/>
          <w:szCs w:val="16"/>
        </w:rPr>
        <w:t xml:space="preserve"> </w:t>
      </w:r>
      <w:r w:rsidR="00563FAE" w:rsidRPr="00A07F29">
        <w:rPr>
          <w:rFonts w:cs="Times New Roman"/>
          <w:sz w:val="16"/>
          <w:szCs w:val="16"/>
        </w:rPr>
        <w:t>I ‐ uzlabojas</w:t>
      </w:r>
      <w:r w:rsidR="00D65BBA" w:rsidRPr="00A07F29">
        <w:rPr>
          <w:rFonts w:cs="Times New Roman"/>
          <w:sz w:val="16"/>
          <w:szCs w:val="16"/>
        </w:rPr>
        <w:t xml:space="preserve"> </w:t>
      </w:r>
      <w:r w:rsidR="00563FAE" w:rsidRPr="00A07F29">
        <w:rPr>
          <w:rFonts w:cs="Times New Roman"/>
          <w:sz w:val="16"/>
          <w:szCs w:val="16"/>
        </w:rPr>
        <w:t>D ‐ pasliktinās</w:t>
      </w:r>
      <w:r w:rsidR="00D65BBA" w:rsidRPr="00A07F29">
        <w:rPr>
          <w:rFonts w:cs="Times New Roman"/>
          <w:sz w:val="16"/>
          <w:szCs w:val="16"/>
        </w:rPr>
        <w:t xml:space="preserve"> </w:t>
      </w:r>
      <w:r w:rsidR="00563FAE" w:rsidRPr="00A07F29">
        <w:rPr>
          <w:rFonts w:cs="Times New Roman"/>
          <w:sz w:val="16"/>
          <w:szCs w:val="16"/>
        </w:rPr>
        <w:t>S ‐ stabils</w:t>
      </w:r>
      <w:r w:rsidR="00D65BBA" w:rsidRPr="00A07F29">
        <w:rPr>
          <w:rFonts w:cs="Times New Roman"/>
          <w:sz w:val="16"/>
          <w:szCs w:val="16"/>
        </w:rPr>
        <w:t xml:space="preserve"> </w:t>
      </w:r>
      <w:r w:rsidR="00563FAE" w:rsidRPr="00A07F29">
        <w:rPr>
          <w:rFonts w:cs="Times New Roman"/>
          <w:sz w:val="16"/>
          <w:szCs w:val="16"/>
        </w:rPr>
        <w:t>x nezināms</w:t>
      </w:r>
    </w:p>
    <w:p w14:paraId="0996FFA0" w14:textId="77777777" w:rsidR="002B1603" w:rsidRPr="00A07F29" w:rsidRDefault="002B1603" w:rsidP="002B1603">
      <w:pPr>
        <w:suppressAutoHyphens/>
        <w:spacing w:after="0" w:line="240" w:lineRule="auto"/>
        <w:rPr>
          <w:rFonts w:ascii="Times New Roman" w:eastAsia="Calibri" w:hAnsi="Times New Roman" w:cs="Times New Roman"/>
          <w:b/>
          <w:i/>
          <w:sz w:val="24"/>
          <w:szCs w:val="20"/>
          <w:lang w:eastAsia="ar-SA"/>
        </w:rPr>
      </w:pPr>
    </w:p>
    <w:p w14:paraId="00D94810" w14:textId="2588BAD1" w:rsidR="002B1603" w:rsidRPr="00A07F29" w:rsidRDefault="002B1603" w:rsidP="00647C52">
      <w:pPr>
        <w:pageBreakBefore/>
        <w:suppressAutoHyphens/>
        <w:spacing w:after="0" w:line="240" w:lineRule="auto"/>
        <w:jc w:val="center"/>
        <w:rPr>
          <w:rFonts w:ascii="Times New Roman" w:eastAsia="Calibri" w:hAnsi="Times New Roman" w:cs="Times New Roman"/>
          <w:color w:val="000000"/>
          <w:sz w:val="24"/>
          <w:szCs w:val="24"/>
          <w:lang w:eastAsia="ar-SA"/>
        </w:rPr>
      </w:pPr>
      <w:r w:rsidRPr="00A07F29">
        <w:rPr>
          <w:rFonts w:ascii="Times New Roman" w:eastAsia="Calibri" w:hAnsi="Times New Roman" w:cs="Times New Roman"/>
          <w:color w:val="000000"/>
          <w:sz w:val="24"/>
          <w:szCs w:val="24"/>
          <w:lang w:eastAsia="ar-SA"/>
        </w:rPr>
        <w:lastRenderedPageBreak/>
        <w:t>4.3.2.</w:t>
      </w:r>
      <w:r w:rsidR="00393499" w:rsidRPr="00A07F29">
        <w:rPr>
          <w:rFonts w:ascii="Times New Roman" w:eastAsia="Calibri" w:hAnsi="Times New Roman" w:cs="Times New Roman"/>
          <w:color w:val="000000"/>
          <w:sz w:val="24"/>
          <w:szCs w:val="24"/>
          <w:lang w:eastAsia="ar-SA"/>
        </w:rPr>
        <w:t> </w:t>
      </w:r>
      <w:r w:rsidRPr="00A07F29">
        <w:rPr>
          <w:rFonts w:ascii="Times New Roman" w:eastAsia="Calibri" w:hAnsi="Times New Roman" w:cs="Times New Roman"/>
          <w:color w:val="000000"/>
          <w:sz w:val="24"/>
          <w:szCs w:val="24"/>
          <w:lang w:eastAsia="ar-SA"/>
        </w:rPr>
        <w:t>tabula</w:t>
      </w:r>
      <w:r w:rsidRPr="00A07F29">
        <w:rPr>
          <w:rFonts w:ascii="Times New Roman" w:eastAsia="Calibri" w:hAnsi="Times New Roman" w:cs="Times New Roman"/>
          <w:i/>
          <w:color w:val="000000"/>
          <w:sz w:val="24"/>
          <w:szCs w:val="24"/>
          <w:lang w:eastAsia="ar-SA"/>
        </w:rPr>
        <w:t>.</w:t>
      </w:r>
      <w:r w:rsidRPr="00A07F29">
        <w:rPr>
          <w:rFonts w:ascii="Times New Roman" w:eastAsia="Calibri" w:hAnsi="Times New Roman" w:cs="Times New Roman"/>
          <w:color w:val="000000"/>
          <w:sz w:val="24"/>
          <w:szCs w:val="24"/>
          <w:lang w:eastAsia="ar-SA"/>
        </w:rPr>
        <w:t xml:space="preserve"> </w:t>
      </w:r>
      <w:r w:rsidR="001E391E" w:rsidRPr="00A07F29">
        <w:rPr>
          <w:rFonts w:ascii="Times New Roman" w:eastAsia="Calibri" w:hAnsi="Times New Roman" w:cs="Times New Roman"/>
          <w:color w:val="000000"/>
          <w:sz w:val="24"/>
          <w:szCs w:val="24"/>
          <w:lang w:eastAsia="ar-SA"/>
        </w:rPr>
        <w:t>ES</w:t>
      </w:r>
      <w:r w:rsidRPr="00A07F29">
        <w:rPr>
          <w:rFonts w:ascii="Times New Roman" w:eastAsia="Calibri" w:hAnsi="Times New Roman" w:cs="Times New Roman"/>
          <w:color w:val="000000"/>
          <w:sz w:val="24"/>
          <w:szCs w:val="24"/>
          <w:lang w:eastAsia="ar-SA"/>
        </w:rPr>
        <w:t xml:space="preserve"> nozīmes aizsargājamo biotopu platību izmaiņu </w:t>
      </w:r>
      <w:proofErr w:type="spellStart"/>
      <w:r w:rsidRPr="00A07F29">
        <w:rPr>
          <w:rFonts w:ascii="Times New Roman" w:eastAsia="Calibri" w:hAnsi="Times New Roman" w:cs="Times New Roman"/>
          <w:color w:val="000000"/>
          <w:sz w:val="24"/>
          <w:szCs w:val="24"/>
          <w:lang w:eastAsia="ar-SA"/>
        </w:rPr>
        <w:t>izvērtējums</w:t>
      </w:r>
      <w:proofErr w:type="spellEnd"/>
      <w:r w:rsidRPr="00A07F29">
        <w:rPr>
          <w:rFonts w:ascii="Times New Roman" w:eastAsia="Calibri" w:hAnsi="Times New Roman" w:cs="Times New Roman"/>
          <w:color w:val="000000"/>
          <w:sz w:val="24"/>
          <w:szCs w:val="24"/>
          <w:lang w:eastAsia="ar-SA"/>
        </w:rPr>
        <w:t xml:space="preserve"> </w:t>
      </w:r>
      <w:r w:rsidRPr="00A07F29">
        <w:rPr>
          <w:rFonts w:ascii="Times New Roman" w:eastAsia="Calibri" w:hAnsi="Times New Roman" w:cs="Times New Roman"/>
          <w:sz w:val="24"/>
          <w:szCs w:val="24"/>
          <w:lang w:eastAsia="ar-SA"/>
        </w:rPr>
        <w:t xml:space="preserve">AAA </w:t>
      </w:r>
      <w:r w:rsidR="00393499" w:rsidRPr="00A07F29">
        <w:rPr>
          <w:rFonts w:ascii="Times New Roman" w:eastAsia="Calibri" w:hAnsi="Times New Roman" w:cs="Times New Roman"/>
          <w:sz w:val="24"/>
          <w:szCs w:val="24"/>
          <w:lang w:eastAsia="ar-SA"/>
        </w:rPr>
        <w:t>“</w:t>
      </w:r>
      <w:r w:rsidRPr="00A07F29">
        <w:rPr>
          <w:rFonts w:ascii="Times New Roman" w:eastAsia="Calibri" w:hAnsi="Times New Roman" w:cs="Times New Roman"/>
          <w:sz w:val="24"/>
          <w:szCs w:val="24"/>
          <w:lang w:eastAsia="ar-SA"/>
        </w:rPr>
        <w:t>Augšdaugava” teritorijā</w:t>
      </w:r>
    </w:p>
    <w:p w14:paraId="2AAE445D" w14:textId="77777777" w:rsidR="002B1603" w:rsidRPr="00A07F29" w:rsidRDefault="002B1603" w:rsidP="002B1603">
      <w:pPr>
        <w:suppressAutoHyphens/>
        <w:spacing w:after="0" w:line="240" w:lineRule="auto"/>
        <w:rPr>
          <w:rFonts w:ascii="Times New Roman" w:eastAsia="Calibri" w:hAnsi="Times New Roman" w:cs="Times New Roman"/>
          <w:b/>
          <w:i/>
          <w:sz w:val="24"/>
          <w:szCs w:val="20"/>
          <w:lang w:eastAsia="ar-SA"/>
        </w:rPr>
      </w:pPr>
    </w:p>
    <w:tbl>
      <w:tblPr>
        <w:tblStyle w:val="Reatabula10"/>
        <w:tblW w:w="13320" w:type="dxa"/>
        <w:jc w:val="center"/>
        <w:tblLook w:val="04A0" w:firstRow="1" w:lastRow="0" w:firstColumn="1" w:lastColumn="0" w:noHBand="0" w:noVBand="1"/>
      </w:tblPr>
      <w:tblGrid>
        <w:gridCol w:w="704"/>
        <w:gridCol w:w="3686"/>
        <w:gridCol w:w="1984"/>
        <w:gridCol w:w="1843"/>
        <w:gridCol w:w="1134"/>
        <w:gridCol w:w="3969"/>
      </w:tblGrid>
      <w:tr w:rsidR="00C10491" w:rsidRPr="00A07F29" w14:paraId="333A6E62" w14:textId="77777777" w:rsidTr="007E2DDD">
        <w:trPr>
          <w:tblHeader/>
          <w:jc w:val="center"/>
        </w:trPr>
        <w:tc>
          <w:tcPr>
            <w:tcW w:w="704" w:type="dxa"/>
            <w:shd w:val="clear" w:color="auto" w:fill="E2EFD9"/>
            <w:vAlign w:val="center"/>
          </w:tcPr>
          <w:p w14:paraId="7A816040" w14:textId="77777777" w:rsidR="002B1603" w:rsidRPr="00A07F29" w:rsidRDefault="002B1603" w:rsidP="002B1603">
            <w:pPr>
              <w:suppressAutoHyphens/>
              <w:jc w:val="center"/>
              <w:rPr>
                <w:rFonts w:cs="Times New Roman"/>
                <w:sz w:val="22"/>
                <w:lang w:eastAsia="ar-SA"/>
              </w:rPr>
            </w:pPr>
            <w:bookmarkStart w:id="56" w:name="_Hlk39610393"/>
            <w:r w:rsidRPr="00A07F29">
              <w:rPr>
                <w:rFonts w:cs="Times New Roman"/>
                <w:lang w:eastAsia="ar-SA"/>
              </w:rPr>
              <w:t>Nr.</w:t>
            </w:r>
          </w:p>
          <w:p w14:paraId="505672FE" w14:textId="77777777" w:rsidR="002B1603" w:rsidRPr="00A07F29" w:rsidRDefault="002B1603" w:rsidP="002B1603">
            <w:pPr>
              <w:suppressAutoHyphens/>
              <w:jc w:val="center"/>
              <w:rPr>
                <w:rFonts w:cs="Times New Roman"/>
                <w:sz w:val="22"/>
                <w:lang w:eastAsia="ar-SA"/>
              </w:rPr>
            </w:pPr>
            <w:r w:rsidRPr="00A07F29">
              <w:rPr>
                <w:rFonts w:cs="Times New Roman"/>
                <w:lang w:eastAsia="ar-SA"/>
              </w:rPr>
              <w:t>p.k.</w:t>
            </w:r>
          </w:p>
        </w:tc>
        <w:tc>
          <w:tcPr>
            <w:tcW w:w="3686" w:type="dxa"/>
            <w:shd w:val="clear" w:color="auto" w:fill="E2EFD9"/>
            <w:vAlign w:val="center"/>
          </w:tcPr>
          <w:p w14:paraId="0218CE66" w14:textId="1A2F3799" w:rsidR="002B1603" w:rsidRPr="00A07F29" w:rsidRDefault="002B1603" w:rsidP="002B1603">
            <w:pPr>
              <w:suppressAutoHyphens/>
              <w:jc w:val="center"/>
              <w:rPr>
                <w:rFonts w:cs="Times New Roman"/>
                <w:sz w:val="22"/>
                <w:lang w:eastAsia="ar-SA"/>
              </w:rPr>
            </w:pPr>
            <w:r w:rsidRPr="00A07F29">
              <w:rPr>
                <w:rFonts w:cs="Times New Roman"/>
                <w:lang w:eastAsia="ar-SA"/>
              </w:rPr>
              <w:t>ES nozīmes aizsargājamā biotopa kods un nosaukums (ar * atzīmē prioritāros biotopus)</w:t>
            </w:r>
          </w:p>
        </w:tc>
        <w:tc>
          <w:tcPr>
            <w:tcW w:w="1984" w:type="dxa"/>
            <w:shd w:val="clear" w:color="auto" w:fill="E2EFD9"/>
            <w:vAlign w:val="center"/>
          </w:tcPr>
          <w:p w14:paraId="0CB2C1C0" w14:textId="003C3594" w:rsidR="002B1603" w:rsidRPr="00A07F29" w:rsidRDefault="0092556E" w:rsidP="002B1603">
            <w:pPr>
              <w:suppressAutoHyphens/>
              <w:jc w:val="center"/>
              <w:rPr>
                <w:rFonts w:cs="Times New Roman"/>
                <w:i/>
                <w:sz w:val="22"/>
                <w:lang w:eastAsia="ar-SA"/>
              </w:rPr>
            </w:pPr>
            <w:proofErr w:type="spellStart"/>
            <w:r w:rsidRPr="00A07F29">
              <w:rPr>
                <w:rFonts w:cs="Times New Roman"/>
                <w:i/>
                <w:lang w:eastAsia="ar-SA"/>
              </w:rPr>
              <w:t>N</w:t>
            </w:r>
            <w:r w:rsidR="006A373E" w:rsidRPr="00A07F29">
              <w:rPr>
                <w:rFonts w:cs="Times New Roman"/>
                <w:i/>
                <w:lang w:eastAsia="ar-SA"/>
              </w:rPr>
              <w:t>atura</w:t>
            </w:r>
            <w:proofErr w:type="spellEnd"/>
            <w:r w:rsidR="002B1603" w:rsidRPr="00A07F29">
              <w:rPr>
                <w:rFonts w:cs="Times New Roman"/>
                <w:i/>
                <w:lang w:eastAsia="ar-SA"/>
              </w:rPr>
              <w:t xml:space="preserve"> 2000 </w:t>
            </w:r>
          </w:p>
          <w:p w14:paraId="40BF9A0D" w14:textId="03C2CFB2" w:rsidR="002B1603" w:rsidRPr="00A07F29" w:rsidRDefault="002B1603" w:rsidP="002B1603">
            <w:pPr>
              <w:suppressAutoHyphens/>
              <w:jc w:val="center"/>
              <w:rPr>
                <w:rFonts w:cs="Times New Roman"/>
                <w:sz w:val="22"/>
                <w:lang w:eastAsia="ar-SA"/>
              </w:rPr>
            </w:pPr>
            <w:r w:rsidRPr="00A07F29">
              <w:rPr>
                <w:rFonts w:cs="Times New Roman"/>
                <w:lang w:eastAsia="ar-SA"/>
              </w:rPr>
              <w:t xml:space="preserve">Standard </w:t>
            </w:r>
            <w:proofErr w:type="spellStart"/>
            <w:r w:rsidRPr="00A07F29">
              <w:rPr>
                <w:rFonts w:cs="Times New Roman"/>
                <w:lang w:eastAsia="ar-SA"/>
              </w:rPr>
              <w:t>Data</w:t>
            </w:r>
            <w:proofErr w:type="spellEnd"/>
            <w:r w:rsidRPr="00A07F29">
              <w:rPr>
                <w:rFonts w:cs="Times New Roman"/>
                <w:lang w:eastAsia="ar-SA"/>
              </w:rPr>
              <w:t xml:space="preserve"> </w:t>
            </w:r>
            <w:proofErr w:type="spellStart"/>
            <w:r w:rsidRPr="00A07F29">
              <w:rPr>
                <w:rFonts w:cs="Times New Roman"/>
                <w:lang w:eastAsia="ar-SA"/>
              </w:rPr>
              <w:t>Form</w:t>
            </w:r>
            <w:proofErr w:type="spellEnd"/>
            <w:r w:rsidR="00D63DC1">
              <w:rPr>
                <w:rStyle w:val="FootnoteReference"/>
                <w:rFonts w:cs="Times New Roman"/>
                <w:lang w:eastAsia="ar-SA"/>
              </w:rPr>
              <w:footnoteReference w:id="31"/>
            </w:r>
            <w:r w:rsidRPr="00A07F29">
              <w:rPr>
                <w:rFonts w:cs="Times New Roman"/>
                <w:lang w:eastAsia="ar-SA"/>
              </w:rPr>
              <w:t xml:space="preserve"> dati (ha)</w:t>
            </w:r>
          </w:p>
        </w:tc>
        <w:tc>
          <w:tcPr>
            <w:tcW w:w="1843" w:type="dxa"/>
            <w:shd w:val="clear" w:color="auto" w:fill="E2EFD9"/>
            <w:vAlign w:val="center"/>
          </w:tcPr>
          <w:p w14:paraId="1185B125" w14:textId="52666E5F" w:rsidR="002B1603" w:rsidRPr="00A07F29" w:rsidRDefault="002B1603" w:rsidP="002B1603">
            <w:pPr>
              <w:suppressAutoHyphens/>
              <w:jc w:val="center"/>
              <w:rPr>
                <w:rFonts w:cs="Times New Roman"/>
                <w:sz w:val="22"/>
                <w:lang w:eastAsia="ar-SA"/>
              </w:rPr>
            </w:pPr>
            <w:r w:rsidRPr="00A07F29">
              <w:rPr>
                <w:rFonts w:cs="Times New Roman"/>
                <w:lang w:eastAsia="ar-SA"/>
              </w:rPr>
              <w:t>DA</w:t>
            </w:r>
            <w:r w:rsidR="006A373E" w:rsidRPr="00A07F29">
              <w:rPr>
                <w:rFonts w:cs="Times New Roman"/>
                <w:lang w:eastAsia="ar-SA"/>
              </w:rPr>
              <w:t xml:space="preserve"> plāna</w:t>
            </w:r>
            <w:r w:rsidRPr="00A07F29">
              <w:rPr>
                <w:rFonts w:cs="Times New Roman"/>
                <w:lang w:eastAsia="ar-SA"/>
              </w:rPr>
              <w:t xml:space="preserve"> izstrādes gaitā iegūtie dati (ha)</w:t>
            </w:r>
          </w:p>
        </w:tc>
        <w:tc>
          <w:tcPr>
            <w:tcW w:w="1134" w:type="dxa"/>
            <w:shd w:val="clear" w:color="auto" w:fill="E2EFD9"/>
            <w:vAlign w:val="center"/>
          </w:tcPr>
          <w:p w14:paraId="50E9871F" w14:textId="77777777" w:rsidR="002B1603" w:rsidRPr="00A07F29" w:rsidRDefault="002B1603" w:rsidP="002B1603">
            <w:pPr>
              <w:suppressAutoHyphens/>
              <w:jc w:val="center"/>
              <w:rPr>
                <w:rFonts w:cs="Times New Roman"/>
                <w:sz w:val="22"/>
                <w:lang w:eastAsia="ar-SA"/>
              </w:rPr>
            </w:pPr>
            <w:r w:rsidRPr="00A07F29">
              <w:rPr>
                <w:rFonts w:cs="Times New Roman"/>
                <w:lang w:eastAsia="ar-SA"/>
              </w:rPr>
              <w:t>Starpība</w:t>
            </w:r>
          </w:p>
        </w:tc>
        <w:tc>
          <w:tcPr>
            <w:tcW w:w="3969" w:type="dxa"/>
            <w:shd w:val="clear" w:color="auto" w:fill="E2EFD9"/>
            <w:vAlign w:val="center"/>
          </w:tcPr>
          <w:p w14:paraId="29F19052" w14:textId="77777777" w:rsidR="002B1603" w:rsidRPr="00A07F29" w:rsidRDefault="002B1603" w:rsidP="002B1603">
            <w:pPr>
              <w:suppressAutoHyphens/>
              <w:jc w:val="center"/>
              <w:rPr>
                <w:rFonts w:cs="Times New Roman"/>
                <w:sz w:val="22"/>
                <w:lang w:eastAsia="ar-SA"/>
              </w:rPr>
            </w:pPr>
            <w:r w:rsidRPr="00A07F29">
              <w:rPr>
                <w:rFonts w:cs="Times New Roman"/>
                <w:lang w:eastAsia="ar-SA"/>
              </w:rPr>
              <w:t>ES biotopu platību izmaiņu cēloņi</w:t>
            </w:r>
          </w:p>
        </w:tc>
      </w:tr>
      <w:tr w:rsidR="002B1603" w:rsidRPr="00A07F29" w14:paraId="78F53EEF" w14:textId="77777777" w:rsidTr="007E2DDD">
        <w:trPr>
          <w:jc w:val="center"/>
        </w:trPr>
        <w:tc>
          <w:tcPr>
            <w:tcW w:w="13320" w:type="dxa"/>
            <w:gridSpan w:val="6"/>
            <w:shd w:val="clear" w:color="auto" w:fill="C5E0B3"/>
            <w:vAlign w:val="center"/>
          </w:tcPr>
          <w:p w14:paraId="63A98236" w14:textId="77777777" w:rsidR="002B1603" w:rsidRPr="00A07F29" w:rsidRDefault="002B1603" w:rsidP="002B1603">
            <w:pPr>
              <w:suppressAutoHyphens/>
              <w:jc w:val="center"/>
              <w:rPr>
                <w:rFonts w:cs="Times New Roman"/>
                <w:b/>
                <w:color w:val="000000"/>
                <w:sz w:val="22"/>
                <w:lang w:eastAsia="ar-SA"/>
              </w:rPr>
            </w:pPr>
            <w:r w:rsidRPr="00A07F29">
              <w:rPr>
                <w:rFonts w:cs="Times New Roman"/>
                <w:b/>
                <w:lang w:eastAsia="ar-SA"/>
              </w:rPr>
              <w:t>Saldūdeņu biotopi</w:t>
            </w:r>
          </w:p>
        </w:tc>
      </w:tr>
      <w:tr w:rsidR="00C10491" w:rsidRPr="00A07F29" w14:paraId="04E925E1" w14:textId="77777777" w:rsidTr="0067691F">
        <w:trPr>
          <w:jc w:val="center"/>
        </w:trPr>
        <w:tc>
          <w:tcPr>
            <w:tcW w:w="704" w:type="dxa"/>
            <w:vAlign w:val="center"/>
          </w:tcPr>
          <w:p w14:paraId="58AB0160" w14:textId="5E74B4AB" w:rsidR="004D5FB3" w:rsidRPr="00A07F29" w:rsidRDefault="004D5FB3" w:rsidP="0067691F">
            <w:pPr>
              <w:suppressAutoHyphens/>
              <w:jc w:val="center"/>
              <w:rPr>
                <w:rFonts w:cs="Times New Roman"/>
                <w:sz w:val="22"/>
                <w:lang w:eastAsia="ar-SA"/>
              </w:rPr>
            </w:pPr>
            <w:r w:rsidRPr="00A07F29">
              <w:rPr>
                <w:rFonts w:cs="Times New Roman"/>
                <w:sz w:val="22"/>
                <w:lang w:eastAsia="ar-SA"/>
              </w:rPr>
              <w:t>1.</w:t>
            </w:r>
          </w:p>
        </w:tc>
        <w:tc>
          <w:tcPr>
            <w:tcW w:w="3686" w:type="dxa"/>
            <w:vAlign w:val="center"/>
          </w:tcPr>
          <w:p w14:paraId="33609EF6" w14:textId="77777777" w:rsidR="004D5FB3" w:rsidRPr="00A07F29" w:rsidRDefault="004D5FB3" w:rsidP="0067691F">
            <w:pPr>
              <w:suppressAutoHyphens/>
              <w:rPr>
                <w:rFonts w:cs="Times New Roman"/>
                <w:sz w:val="22"/>
              </w:rPr>
            </w:pPr>
            <w:r w:rsidRPr="00A07F29">
              <w:rPr>
                <w:rFonts w:cs="Times New Roman"/>
                <w:b/>
                <w:sz w:val="22"/>
                <w:highlight w:val="white"/>
                <w:lang w:eastAsia="ar-SA"/>
              </w:rPr>
              <w:t xml:space="preserve">3130 Ezeri ar </w:t>
            </w:r>
            <w:proofErr w:type="spellStart"/>
            <w:r w:rsidRPr="00A07F29">
              <w:rPr>
                <w:rFonts w:cs="Times New Roman"/>
                <w:b/>
                <w:sz w:val="22"/>
                <w:highlight w:val="white"/>
                <w:lang w:eastAsia="ar-SA"/>
              </w:rPr>
              <w:t>oligotrofām</w:t>
            </w:r>
            <w:proofErr w:type="spellEnd"/>
            <w:r w:rsidRPr="00A07F29">
              <w:rPr>
                <w:rFonts w:cs="Times New Roman"/>
                <w:b/>
                <w:sz w:val="22"/>
                <w:highlight w:val="white"/>
                <w:lang w:eastAsia="ar-SA"/>
              </w:rPr>
              <w:t xml:space="preserve"> līdz </w:t>
            </w:r>
            <w:proofErr w:type="spellStart"/>
            <w:r w:rsidRPr="00A07F29">
              <w:rPr>
                <w:rFonts w:cs="Times New Roman"/>
                <w:b/>
                <w:sz w:val="22"/>
                <w:highlight w:val="white"/>
                <w:lang w:eastAsia="ar-SA"/>
              </w:rPr>
              <w:t>mezotrofām</w:t>
            </w:r>
            <w:proofErr w:type="spellEnd"/>
            <w:r w:rsidRPr="00A07F29">
              <w:rPr>
                <w:rFonts w:cs="Times New Roman"/>
                <w:b/>
                <w:sz w:val="22"/>
                <w:highlight w:val="white"/>
                <w:lang w:eastAsia="ar-SA"/>
              </w:rPr>
              <w:t xml:space="preserve"> augu</w:t>
            </w:r>
          </w:p>
          <w:p w14:paraId="1CBF0A1A" w14:textId="7E0984CB" w:rsidR="004D5FB3" w:rsidRPr="00A07F29" w:rsidRDefault="004D5FB3" w:rsidP="0067691F">
            <w:pPr>
              <w:suppressAutoHyphens/>
              <w:rPr>
                <w:rFonts w:cs="Times New Roman"/>
                <w:b/>
                <w:sz w:val="22"/>
                <w:lang w:eastAsia="ar-SA"/>
              </w:rPr>
            </w:pPr>
            <w:r w:rsidRPr="00A07F29">
              <w:rPr>
                <w:rFonts w:cs="Times New Roman"/>
                <w:b/>
                <w:sz w:val="22"/>
                <w:highlight w:val="white"/>
                <w:lang w:eastAsia="ar-SA"/>
              </w:rPr>
              <w:t>sabiedrībām</w:t>
            </w:r>
          </w:p>
        </w:tc>
        <w:tc>
          <w:tcPr>
            <w:tcW w:w="1984" w:type="dxa"/>
            <w:vAlign w:val="center"/>
          </w:tcPr>
          <w:p w14:paraId="67F34CE7" w14:textId="77777777" w:rsidR="004D5FB3" w:rsidRPr="00A07F29" w:rsidRDefault="004D5FB3" w:rsidP="0067691F">
            <w:pPr>
              <w:suppressAutoHyphens/>
              <w:jc w:val="center"/>
              <w:rPr>
                <w:rFonts w:cs="Times New Roman"/>
                <w:color w:val="000000"/>
                <w:sz w:val="22"/>
                <w:lang w:eastAsia="ar-SA"/>
              </w:rPr>
            </w:pPr>
            <w:r w:rsidRPr="00A07F29">
              <w:rPr>
                <w:rFonts w:cs="Times New Roman"/>
                <w:color w:val="000000"/>
                <w:sz w:val="22"/>
                <w:lang w:eastAsia="ar-SA"/>
              </w:rPr>
              <w:t>-</w:t>
            </w:r>
          </w:p>
        </w:tc>
        <w:tc>
          <w:tcPr>
            <w:tcW w:w="1843" w:type="dxa"/>
            <w:vAlign w:val="center"/>
          </w:tcPr>
          <w:p w14:paraId="7BDA225D" w14:textId="7353764B" w:rsidR="004D5FB3" w:rsidRPr="00A07F29" w:rsidRDefault="004D5FB3" w:rsidP="0067691F">
            <w:pPr>
              <w:suppressAutoHyphens/>
              <w:jc w:val="center"/>
              <w:rPr>
                <w:rFonts w:cs="Times New Roman"/>
                <w:sz w:val="22"/>
                <w:lang w:eastAsia="ar-SA"/>
              </w:rPr>
            </w:pPr>
            <w:r w:rsidRPr="00A07F29">
              <w:rPr>
                <w:rFonts w:cs="Times New Roman"/>
                <w:sz w:val="22"/>
                <w:lang w:eastAsia="ar-SA"/>
              </w:rPr>
              <w:t>59,8 ha</w:t>
            </w:r>
          </w:p>
        </w:tc>
        <w:tc>
          <w:tcPr>
            <w:tcW w:w="1134" w:type="dxa"/>
            <w:vAlign w:val="center"/>
          </w:tcPr>
          <w:p w14:paraId="7A6551ED" w14:textId="63EE05B8" w:rsidR="004D5FB3" w:rsidRPr="00A07F29" w:rsidRDefault="004D5FB3" w:rsidP="0067691F">
            <w:pPr>
              <w:suppressAutoHyphens/>
              <w:jc w:val="center"/>
              <w:rPr>
                <w:rFonts w:cs="Times New Roman"/>
                <w:b/>
                <w:color w:val="000000"/>
                <w:sz w:val="22"/>
                <w:lang w:eastAsia="ar-SA"/>
              </w:rPr>
            </w:pPr>
            <w:r w:rsidRPr="00A07F29">
              <w:rPr>
                <w:rFonts w:cs="Times New Roman"/>
                <w:b/>
                <w:color w:val="000000"/>
                <w:sz w:val="22"/>
                <w:lang w:eastAsia="ar-SA"/>
              </w:rPr>
              <w:t>+59,8</w:t>
            </w:r>
          </w:p>
        </w:tc>
        <w:tc>
          <w:tcPr>
            <w:tcW w:w="3969" w:type="dxa"/>
            <w:vAlign w:val="center"/>
          </w:tcPr>
          <w:p w14:paraId="1C04F2F3" w14:textId="77777777" w:rsidR="004D5FB3" w:rsidRPr="00A07F29" w:rsidRDefault="004D5FB3" w:rsidP="0067691F">
            <w:pPr>
              <w:suppressAutoHyphens/>
              <w:jc w:val="both"/>
              <w:rPr>
                <w:rFonts w:cs="Times New Roman"/>
                <w:color w:val="000000"/>
                <w:sz w:val="22"/>
                <w:lang w:eastAsia="ar-SA"/>
              </w:rPr>
            </w:pPr>
            <w:r w:rsidRPr="00A07F29">
              <w:rPr>
                <w:rFonts w:cs="Times New Roman"/>
                <w:color w:val="000000"/>
                <w:sz w:val="22"/>
                <w:lang w:eastAsia="ar-SA"/>
              </w:rPr>
              <w:t xml:space="preserve">Detalizēta aizsargājamo biotopu inventarizācija AAA “Augšdaugava” </w:t>
            </w:r>
            <w:r w:rsidRPr="00A07F29">
              <w:rPr>
                <w:rFonts w:cs="Times New Roman"/>
                <w:i/>
                <w:color w:val="000000"/>
                <w:sz w:val="22"/>
                <w:lang w:eastAsia="ar-SA"/>
              </w:rPr>
              <w:t>Dabas skaitīšanas</w:t>
            </w:r>
            <w:r w:rsidRPr="00A07F29">
              <w:rPr>
                <w:rFonts w:cs="Times New Roman"/>
                <w:color w:val="000000"/>
                <w:sz w:val="22"/>
                <w:lang w:eastAsia="ar-SA"/>
              </w:rPr>
              <w:t xml:space="preserve"> ietvaros.</w:t>
            </w:r>
          </w:p>
        </w:tc>
      </w:tr>
      <w:tr w:rsidR="00C10491" w:rsidRPr="00A07F29" w14:paraId="394ED631" w14:textId="77777777" w:rsidTr="007E2DDD">
        <w:trPr>
          <w:jc w:val="center"/>
        </w:trPr>
        <w:tc>
          <w:tcPr>
            <w:tcW w:w="704" w:type="dxa"/>
            <w:vAlign w:val="center"/>
          </w:tcPr>
          <w:p w14:paraId="737C578C" w14:textId="00BDAC27" w:rsidR="002B1603" w:rsidRPr="00A07F29" w:rsidRDefault="004D5FB3" w:rsidP="002B1603">
            <w:pPr>
              <w:suppressAutoHyphens/>
              <w:jc w:val="center"/>
              <w:rPr>
                <w:rFonts w:cs="Times New Roman"/>
                <w:sz w:val="22"/>
                <w:lang w:eastAsia="ar-SA"/>
              </w:rPr>
            </w:pPr>
            <w:r w:rsidRPr="00A07F29">
              <w:rPr>
                <w:rFonts w:cs="Times New Roman"/>
                <w:sz w:val="22"/>
                <w:lang w:eastAsia="ar-SA"/>
              </w:rPr>
              <w:t>2</w:t>
            </w:r>
            <w:r w:rsidR="002B1603" w:rsidRPr="00A07F29">
              <w:rPr>
                <w:rFonts w:cs="Times New Roman"/>
                <w:sz w:val="22"/>
                <w:lang w:eastAsia="ar-SA"/>
              </w:rPr>
              <w:t>.</w:t>
            </w:r>
          </w:p>
        </w:tc>
        <w:tc>
          <w:tcPr>
            <w:tcW w:w="3686" w:type="dxa"/>
            <w:vAlign w:val="center"/>
          </w:tcPr>
          <w:p w14:paraId="04379877" w14:textId="7F89786C" w:rsidR="002B1603" w:rsidRPr="00A07F29" w:rsidRDefault="002B1603" w:rsidP="002B1603">
            <w:pPr>
              <w:suppressAutoHyphens/>
              <w:rPr>
                <w:rFonts w:cs="Times New Roman"/>
                <w:b/>
                <w:sz w:val="22"/>
                <w:lang w:eastAsia="ar-SA"/>
              </w:rPr>
            </w:pPr>
            <w:r w:rsidRPr="00A07F29">
              <w:rPr>
                <w:rFonts w:cs="Times New Roman"/>
                <w:b/>
                <w:sz w:val="22"/>
                <w:lang w:eastAsia="ar-SA"/>
              </w:rPr>
              <w:t xml:space="preserve">3150 </w:t>
            </w:r>
            <w:proofErr w:type="spellStart"/>
            <w:r w:rsidR="006A373E" w:rsidRPr="00A07F29">
              <w:rPr>
                <w:rFonts w:cs="Times New Roman"/>
                <w:b/>
                <w:sz w:val="22"/>
                <w:lang w:eastAsia="ar-SA"/>
              </w:rPr>
              <w:t>Eitrofi</w:t>
            </w:r>
            <w:proofErr w:type="spellEnd"/>
            <w:r w:rsidR="006A373E" w:rsidRPr="00A07F29">
              <w:rPr>
                <w:rFonts w:cs="Times New Roman"/>
                <w:b/>
                <w:sz w:val="22"/>
                <w:lang w:eastAsia="ar-SA"/>
              </w:rPr>
              <w:t xml:space="preserve"> ezeri ar iegrimušo ūdensaugu un </w:t>
            </w:r>
            <w:proofErr w:type="spellStart"/>
            <w:r w:rsidR="006A373E" w:rsidRPr="00A07F29">
              <w:rPr>
                <w:rFonts w:cs="Times New Roman"/>
                <w:b/>
                <w:sz w:val="22"/>
                <w:lang w:eastAsia="ar-SA"/>
              </w:rPr>
              <w:t>peldaugu</w:t>
            </w:r>
            <w:proofErr w:type="spellEnd"/>
            <w:r w:rsidR="006A373E" w:rsidRPr="00A07F29">
              <w:rPr>
                <w:rFonts w:cs="Times New Roman"/>
                <w:b/>
                <w:sz w:val="22"/>
                <w:lang w:eastAsia="ar-SA"/>
              </w:rPr>
              <w:t xml:space="preserve"> augāju</w:t>
            </w:r>
          </w:p>
        </w:tc>
        <w:tc>
          <w:tcPr>
            <w:tcW w:w="1984" w:type="dxa"/>
            <w:vAlign w:val="center"/>
          </w:tcPr>
          <w:p w14:paraId="63E0B16B" w14:textId="77777777" w:rsidR="002B1603" w:rsidRPr="00A07F29" w:rsidRDefault="002B1603" w:rsidP="002B1603">
            <w:pPr>
              <w:suppressAutoHyphens/>
              <w:jc w:val="center"/>
              <w:rPr>
                <w:rFonts w:cs="Times New Roman"/>
                <w:color w:val="000000"/>
                <w:sz w:val="22"/>
                <w:lang w:eastAsia="ar-SA"/>
              </w:rPr>
            </w:pPr>
            <w:r w:rsidRPr="00A07F29">
              <w:rPr>
                <w:rFonts w:cs="Times New Roman"/>
                <w:color w:val="000000"/>
                <w:sz w:val="22"/>
                <w:lang w:eastAsia="ar-SA"/>
              </w:rPr>
              <w:t>204,53</w:t>
            </w:r>
          </w:p>
        </w:tc>
        <w:tc>
          <w:tcPr>
            <w:tcW w:w="1843" w:type="dxa"/>
            <w:vAlign w:val="center"/>
          </w:tcPr>
          <w:p w14:paraId="3E034BCF" w14:textId="3516304E" w:rsidR="002B1603" w:rsidRPr="00A07F29" w:rsidRDefault="00450903" w:rsidP="00B24715">
            <w:pPr>
              <w:suppressAutoHyphens/>
              <w:jc w:val="center"/>
              <w:rPr>
                <w:rFonts w:cs="Times New Roman"/>
                <w:sz w:val="22"/>
                <w:lang w:eastAsia="ar-SA"/>
              </w:rPr>
            </w:pPr>
            <w:r w:rsidRPr="00A07F29">
              <w:rPr>
                <w:rFonts w:cs="Times New Roman"/>
                <w:sz w:val="22"/>
                <w:lang w:eastAsia="ar-SA"/>
              </w:rPr>
              <w:t>259,08</w:t>
            </w:r>
          </w:p>
        </w:tc>
        <w:tc>
          <w:tcPr>
            <w:tcW w:w="1134" w:type="dxa"/>
            <w:vAlign w:val="center"/>
          </w:tcPr>
          <w:p w14:paraId="1F801A4B" w14:textId="790452F9" w:rsidR="002B1603" w:rsidRPr="00A07F29" w:rsidRDefault="002B1603" w:rsidP="00450903">
            <w:pPr>
              <w:suppressAutoHyphens/>
              <w:jc w:val="center"/>
              <w:rPr>
                <w:rFonts w:cs="Times New Roman"/>
                <w:b/>
                <w:color w:val="000000"/>
                <w:sz w:val="22"/>
                <w:lang w:eastAsia="ar-SA"/>
              </w:rPr>
            </w:pPr>
            <w:r w:rsidRPr="00A07F29">
              <w:rPr>
                <w:rFonts w:cs="Times New Roman"/>
                <w:b/>
                <w:color w:val="000000"/>
                <w:sz w:val="22"/>
                <w:lang w:eastAsia="ar-SA"/>
              </w:rPr>
              <w:t>+</w:t>
            </w:r>
            <w:r w:rsidR="00C3269C" w:rsidRPr="00A07F29">
              <w:rPr>
                <w:rFonts w:cs="Times New Roman"/>
                <w:b/>
                <w:color w:val="000000"/>
                <w:sz w:val="22"/>
                <w:lang w:eastAsia="ar-SA"/>
              </w:rPr>
              <w:t>54,</w:t>
            </w:r>
            <w:r w:rsidR="00450903" w:rsidRPr="00A07F29">
              <w:rPr>
                <w:rFonts w:cs="Times New Roman"/>
                <w:b/>
                <w:color w:val="000000"/>
                <w:sz w:val="22"/>
                <w:lang w:eastAsia="ar-SA"/>
              </w:rPr>
              <w:t>55</w:t>
            </w:r>
          </w:p>
        </w:tc>
        <w:tc>
          <w:tcPr>
            <w:tcW w:w="3969" w:type="dxa"/>
            <w:vAlign w:val="center"/>
          </w:tcPr>
          <w:p w14:paraId="107D7DC6" w14:textId="77777777" w:rsidR="002B1603" w:rsidRPr="00A07F29" w:rsidRDefault="002B1603" w:rsidP="002B1603">
            <w:pPr>
              <w:suppressAutoHyphens/>
              <w:jc w:val="both"/>
              <w:rPr>
                <w:rFonts w:cs="Times New Roman"/>
                <w:b/>
                <w:color w:val="000000"/>
                <w:sz w:val="22"/>
                <w:lang w:eastAsia="ar-SA"/>
              </w:rPr>
            </w:pPr>
            <w:r w:rsidRPr="00A07F29">
              <w:rPr>
                <w:rFonts w:cs="Times New Roman"/>
                <w:color w:val="000000"/>
                <w:sz w:val="22"/>
                <w:lang w:eastAsia="ar-SA"/>
              </w:rPr>
              <w:t xml:space="preserve">Detalizēta aizsargājamo biotopu inventarizācija AAA “Augšdaugava” </w:t>
            </w:r>
            <w:r w:rsidRPr="00A07F29">
              <w:rPr>
                <w:rFonts w:cs="Times New Roman"/>
                <w:i/>
                <w:color w:val="000000"/>
                <w:sz w:val="22"/>
                <w:lang w:eastAsia="ar-SA"/>
              </w:rPr>
              <w:t>Dabas skaitīšanas</w:t>
            </w:r>
            <w:r w:rsidRPr="00A07F29">
              <w:rPr>
                <w:rFonts w:cs="Times New Roman"/>
                <w:color w:val="000000"/>
                <w:sz w:val="22"/>
                <w:lang w:eastAsia="ar-SA"/>
              </w:rPr>
              <w:t xml:space="preserve"> ietvaros.</w:t>
            </w:r>
          </w:p>
        </w:tc>
      </w:tr>
      <w:tr w:rsidR="00C10491" w:rsidRPr="00A07F29" w14:paraId="1AC969D5" w14:textId="77777777" w:rsidTr="007E2DDD">
        <w:trPr>
          <w:jc w:val="center"/>
        </w:trPr>
        <w:tc>
          <w:tcPr>
            <w:tcW w:w="704" w:type="dxa"/>
            <w:vAlign w:val="center"/>
          </w:tcPr>
          <w:p w14:paraId="207BF7A9" w14:textId="6097F2DE" w:rsidR="002B1603" w:rsidRPr="00A07F29" w:rsidRDefault="00DA613C" w:rsidP="002B1603">
            <w:pPr>
              <w:suppressAutoHyphens/>
              <w:jc w:val="center"/>
              <w:rPr>
                <w:rFonts w:cs="Times New Roman"/>
                <w:sz w:val="22"/>
                <w:lang w:eastAsia="ar-SA"/>
              </w:rPr>
            </w:pPr>
            <w:r w:rsidRPr="00A07F29">
              <w:rPr>
                <w:rFonts w:cs="Times New Roman"/>
                <w:sz w:val="22"/>
                <w:lang w:eastAsia="ar-SA"/>
              </w:rPr>
              <w:t>3</w:t>
            </w:r>
            <w:r w:rsidR="002B1603" w:rsidRPr="00A07F29">
              <w:rPr>
                <w:rFonts w:cs="Times New Roman"/>
                <w:sz w:val="22"/>
                <w:lang w:eastAsia="ar-SA"/>
              </w:rPr>
              <w:t>.</w:t>
            </w:r>
          </w:p>
        </w:tc>
        <w:tc>
          <w:tcPr>
            <w:tcW w:w="3686" w:type="dxa"/>
            <w:vAlign w:val="center"/>
          </w:tcPr>
          <w:p w14:paraId="4ED8CA69" w14:textId="77777777" w:rsidR="002B1603" w:rsidRPr="00A07F29" w:rsidRDefault="002B1603" w:rsidP="002B1603">
            <w:pPr>
              <w:suppressAutoHyphens/>
              <w:rPr>
                <w:rFonts w:cs="Times New Roman"/>
                <w:b/>
                <w:sz w:val="22"/>
                <w:lang w:eastAsia="ar-SA"/>
              </w:rPr>
            </w:pPr>
            <w:r w:rsidRPr="00A07F29">
              <w:rPr>
                <w:rFonts w:cs="Times New Roman"/>
                <w:b/>
                <w:sz w:val="22"/>
                <w:lang w:eastAsia="ar-SA"/>
              </w:rPr>
              <w:t>3260 Upju straujteces un dabiski upju posmi</w:t>
            </w:r>
          </w:p>
        </w:tc>
        <w:tc>
          <w:tcPr>
            <w:tcW w:w="1984" w:type="dxa"/>
            <w:vAlign w:val="center"/>
          </w:tcPr>
          <w:p w14:paraId="6DDA0AF0" w14:textId="77777777" w:rsidR="002B1603" w:rsidRPr="00A07F29" w:rsidRDefault="002B1603" w:rsidP="002B1603">
            <w:pPr>
              <w:suppressAutoHyphens/>
              <w:jc w:val="center"/>
              <w:rPr>
                <w:rFonts w:cs="Times New Roman"/>
                <w:color w:val="000000"/>
                <w:sz w:val="22"/>
                <w:lang w:eastAsia="ar-SA"/>
              </w:rPr>
            </w:pPr>
            <w:r w:rsidRPr="00A07F29">
              <w:rPr>
                <w:rFonts w:cs="Times New Roman"/>
                <w:color w:val="000000"/>
                <w:sz w:val="22"/>
                <w:lang w:eastAsia="ar-SA"/>
              </w:rPr>
              <w:t>1449</w:t>
            </w:r>
          </w:p>
        </w:tc>
        <w:tc>
          <w:tcPr>
            <w:tcW w:w="1843" w:type="dxa"/>
            <w:vAlign w:val="center"/>
          </w:tcPr>
          <w:p w14:paraId="60E28F7F" w14:textId="64E6E951" w:rsidR="00C3269C" w:rsidRPr="00A07F29" w:rsidRDefault="00450903" w:rsidP="00450903">
            <w:pPr>
              <w:suppressAutoHyphens/>
              <w:jc w:val="center"/>
              <w:rPr>
                <w:rFonts w:cs="Times New Roman"/>
                <w:sz w:val="22"/>
                <w:lang w:eastAsia="ar-SA"/>
              </w:rPr>
            </w:pPr>
            <w:r w:rsidRPr="00A07F29">
              <w:rPr>
                <w:rFonts w:cs="Times New Roman"/>
                <w:sz w:val="22"/>
                <w:lang w:eastAsia="ar-SA"/>
              </w:rPr>
              <w:t>1532,41</w:t>
            </w:r>
          </w:p>
        </w:tc>
        <w:tc>
          <w:tcPr>
            <w:tcW w:w="1134" w:type="dxa"/>
            <w:vAlign w:val="center"/>
          </w:tcPr>
          <w:p w14:paraId="6EA7F425" w14:textId="5D191F3E" w:rsidR="002B1603" w:rsidRPr="00A07F29" w:rsidRDefault="002B1603" w:rsidP="00FE708A">
            <w:pPr>
              <w:suppressAutoHyphens/>
              <w:jc w:val="center"/>
              <w:rPr>
                <w:rFonts w:cs="Times New Roman"/>
                <w:b/>
                <w:color w:val="000000"/>
                <w:sz w:val="22"/>
                <w:lang w:eastAsia="ar-SA"/>
              </w:rPr>
            </w:pPr>
            <w:r w:rsidRPr="00A07F29">
              <w:rPr>
                <w:rFonts w:cs="Times New Roman"/>
                <w:b/>
                <w:color w:val="000000"/>
                <w:sz w:val="22"/>
                <w:lang w:eastAsia="ar-SA"/>
              </w:rPr>
              <w:t>+</w:t>
            </w:r>
            <w:r w:rsidR="00FE708A" w:rsidRPr="00A07F29">
              <w:rPr>
                <w:rFonts w:cs="Times New Roman"/>
                <w:b/>
                <w:color w:val="000000"/>
                <w:sz w:val="22"/>
                <w:lang w:eastAsia="ar-SA"/>
              </w:rPr>
              <w:t>83,41</w:t>
            </w:r>
          </w:p>
        </w:tc>
        <w:tc>
          <w:tcPr>
            <w:tcW w:w="3969" w:type="dxa"/>
            <w:vAlign w:val="center"/>
          </w:tcPr>
          <w:p w14:paraId="3C4E16B1" w14:textId="77777777" w:rsidR="002B1603" w:rsidRPr="00A07F29" w:rsidRDefault="002B1603" w:rsidP="002B1603">
            <w:pPr>
              <w:suppressAutoHyphens/>
              <w:rPr>
                <w:rFonts w:cs="Times New Roman"/>
                <w:sz w:val="22"/>
                <w:lang w:eastAsia="ar-SA"/>
              </w:rPr>
            </w:pPr>
            <w:r w:rsidRPr="00A07F29">
              <w:rPr>
                <w:rFonts w:cs="Times New Roman"/>
                <w:color w:val="000000"/>
                <w:sz w:val="22"/>
                <w:lang w:eastAsia="ar-SA"/>
              </w:rPr>
              <w:t xml:space="preserve">Detalizēta aizsargājamo biotopu inventarizācija AAA “Augšdaugava” </w:t>
            </w:r>
            <w:r w:rsidRPr="00A07F29">
              <w:rPr>
                <w:rFonts w:cs="Times New Roman"/>
                <w:i/>
                <w:color w:val="000000"/>
                <w:sz w:val="22"/>
                <w:lang w:eastAsia="ar-SA"/>
              </w:rPr>
              <w:t>Dabas skaitīšanas</w:t>
            </w:r>
            <w:r w:rsidRPr="00A07F29">
              <w:rPr>
                <w:rFonts w:cs="Times New Roman"/>
                <w:color w:val="000000"/>
                <w:sz w:val="22"/>
                <w:lang w:eastAsia="ar-SA"/>
              </w:rPr>
              <w:t xml:space="preserve"> ietvaros.</w:t>
            </w:r>
          </w:p>
        </w:tc>
      </w:tr>
      <w:tr w:rsidR="00C10491" w:rsidRPr="00A07F29" w14:paraId="3255CC41" w14:textId="77777777" w:rsidTr="007E2DDD">
        <w:trPr>
          <w:jc w:val="center"/>
        </w:trPr>
        <w:tc>
          <w:tcPr>
            <w:tcW w:w="704" w:type="dxa"/>
            <w:vAlign w:val="center"/>
          </w:tcPr>
          <w:p w14:paraId="3BEDC893" w14:textId="084B1C2B" w:rsidR="002B1603" w:rsidRPr="00A07F29" w:rsidRDefault="00DA613C" w:rsidP="002B1603">
            <w:pPr>
              <w:suppressAutoHyphens/>
              <w:jc w:val="center"/>
              <w:rPr>
                <w:rFonts w:cs="Times New Roman"/>
                <w:sz w:val="22"/>
                <w:lang w:eastAsia="ar-SA"/>
              </w:rPr>
            </w:pPr>
            <w:r w:rsidRPr="00A07F29">
              <w:rPr>
                <w:rFonts w:cs="Times New Roman"/>
                <w:sz w:val="22"/>
                <w:lang w:eastAsia="ar-SA"/>
              </w:rPr>
              <w:t>4</w:t>
            </w:r>
            <w:r w:rsidR="002B1603" w:rsidRPr="00A07F29">
              <w:rPr>
                <w:rFonts w:cs="Times New Roman"/>
                <w:sz w:val="22"/>
                <w:lang w:eastAsia="ar-SA"/>
              </w:rPr>
              <w:t>.</w:t>
            </w:r>
          </w:p>
        </w:tc>
        <w:tc>
          <w:tcPr>
            <w:tcW w:w="3686" w:type="dxa"/>
            <w:vAlign w:val="center"/>
          </w:tcPr>
          <w:p w14:paraId="2C349216" w14:textId="77777777" w:rsidR="002B1603" w:rsidRPr="00A07F29" w:rsidRDefault="002B1603" w:rsidP="002B1603">
            <w:pPr>
              <w:suppressAutoHyphens/>
              <w:rPr>
                <w:rFonts w:cs="Times New Roman"/>
                <w:b/>
                <w:sz w:val="22"/>
                <w:lang w:eastAsia="ar-SA"/>
              </w:rPr>
            </w:pPr>
            <w:r w:rsidRPr="00A07F29">
              <w:rPr>
                <w:rFonts w:cs="Times New Roman"/>
                <w:b/>
                <w:color w:val="000000"/>
                <w:sz w:val="22"/>
                <w:lang w:eastAsia="ar-SA"/>
              </w:rPr>
              <w:t xml:space="preserve">3270 Dūņaini upju krasti ar slāpekli mīlošu viengadīgu </w:t>
            </w:r>
            <w:proofErr w:type="spellStart"/>
            <w:r w:rsidRPr="00A07F29">
              <w:rPr>
                <w:rFonts w:cs="Times New Roman"/>
                <w:b/>
                <w:color w:val="000000"/>
                <w:sz w:val="22"/>
                <w:lang w:eastAsia="ar-SA"/>
              </w:rPr>
              <w:t>pioniersugu</w:t>
            </w:r>
            <w:proofErr w:type="spellEnd"/>
            <w:r w:rsidRPr="00A07F29">
              <w:rPr>
                <w:rFonts w:cs="Times New Roman"/>
                <w:b/>
                <w:color w:val="000000"/>
                <w:sz w:val="22"/>
                <w:lang w:eastAsia="ar-SA"/>
              </w:rPr>
              <w:t xml:space="preserve"> augāju</w:t>
            </w:r>
          </w:p>
        </w:tc>
        <w:tc>
          <w:tcPr>
            <w:tcW w:w="1984" w:type="dxa"/>
            <w:vAlign w:val="center"/>
          </w:tcPr>
          <w:p w14:paraId="77D511EF" w14:textId="77777777" w:rsidR="002B1603" w:rsidRPr="00A07F29" w:rsidRDefault="002B1603" w:rsidP="002B1603">
            <w:pPr>
              <w:suppressAutoHyphens/>
              <w:jc w:val="center"/>
              <w:rPr>
                <w:rFonts w:cs="Times New Roman"/>
                <w:color w:val="000000"/>
                <w:sz w:val="22"/>
                <w:lang w:eastAsia="ar-SA"/>
              </w:rPr>
            </w:pPr>
            <w:r w:rsidRPr="00A07F29">
              <w:rPr>
                <w:rFonts w:cs="Times New Roman"/>
                <w:color w:val="000000"/>
                <w:sz w:val="22"/>
                <w:lang w:eastAsia="ar-SA"/>
              </w:rPr>
              <w:t>22,28</w:t>
            </w:r>
          </w:p>
        </w:tc>
        <w:tc>
          <w:tcPr>
            <w:tcW w:w="1843" w:type="dxa"/>
            <w:vAlign w:val="center"/>
          </w:tcPr>
          <w:p w14:paraId="441DE3A7" w14:textId="34F70E53" w:rsidR="002B1603" w:rsidRPr="00A07F29" w:rsidRDefault="00C3269C" w:rsidP="00C3269C">
            <w:pPr>
              <w:suppressAutoHyphens/>
              <w:jc w:val="center"/>
              <w:rPr>
                <w:rFonts w:cs="Times New Roman"/>
                <w:sz w:val="22"/>
                <w:lang w:eastAsia="ar-SA"/>
              </w:rPr>
            </w:pPr>
            <w:r w:rsidRPr="00A07F29">
              <w:rPr>
                <w:rFonts w:cs="Times New Roman"/>
                <w:sz w:val="22"/>
                <w:lang w:eastAsia="ar-SA"/>
              </w:rPr>
              <w:t>19,96</w:t>
            </w:r>
          </w:p>
        </w:tc>
        <w:tc>
          <w:tcPr>
            <w:tcW w:w="1134" w:type="dxa"/>
            <w:vAlign w:val="center"/>
          </w:tcPr>
          <w:p w14:paraId="49B351D0" w14:textId="04ED4EB0" w:rsidR="002B1603" w:rsidRPr="00A07F29" w:rsidRDefault="002B1603" w:rsidP="00C3269C">
            <w:pPr>
              <w:suppressAutoHyphens/>
              <w:jc w:val="center"/>
              <w:rPr>
                <w:rFonts w:cs="Times New Roman"/>
                <w:b/>
                <w:color w:val="000000"/>
                <w:sz w:val="22"/>
                <w:lang w:eastAsia="ar-SA"/>
              </w:rPr>
            </w:pPr>
            <w:r w:rsidRPr="00A07F29">
              <w:rPr>
                <w:rFonts w:cs="Times New Roman"/>
                <w:b/>
                <w:color w:val="000000"/>
                <w:sz w:val="22"/>
                <w:lang w:eastAsia="ar-SA"/>
              </w:rPr>
              <w:t>-</w:t>
            </w:r>
            <w:r w:rsidR="00C3269C" w:rsidRPr="00A07F29">
              <w:rPr>
                <w:rFonts w:cs="Times New Roman"/>
                <w:b/>
                <w:color w:val="000000"/>
                <w:sz w:val="22"/>
                <w:lang w:eastAsia="ar-SA"/>
              </w:rPr>
              <w:t>2,32</w:t>
            </w:r>
          </w:p>
        </w:tc>
        <w:tc>
          <w:tcPr>
            <w:tcW w:w="3969" w:type="dxa"/>
            <w:vAlign w:val="center"/>
          </w:tcPr>
          <w:p w14:paraId="7F5671B9" w14:textId="067EB9E0" w:rsidR="002B1603" w:rsidRPr="00A07F29" w:rsidRDefault="00C3269C" w:rsidP="00C3269C">
            <w:pPr>
              <w:suppressAutoHyphens/>
              <w:rPr>
                <w:rFonts w:cs="Times New Roman"/>
                <w:sz w:val="22"/>
                <w:lang w:eastAsia="ar-SA"/>
              </w:rPr>
            </w:pPr>
            <w:r w:rsidRPr="00A07F29">
              <w:rPr>
                <w:rFonts w:cs="Times New Roman"/>
                <w:color w:val="000000" w:themeColor="text1"/>
                <w:sz w:val="22"/>
                <w:lang w:eastAsia="ar-SA"/>
              </w:rPr>
              <w:t>Dabiskas izmaiņas, jo biotopa izveidošanās atkarīga no ūdens līmeņa Daugavā.</w:t>
            </w:r>
          </w:p>
        </w:tc>
      </w:tr>
      <w:tr w:rsidR="002B1603" w:rsidRPr="00A07F29" w14:paraId="5D76FDA8" w14:textId="77777777" w:rsidTr="007E2DDD">
        <w:trPr>
          <w:jc w:val="center"/>
        </w:trPr>
        <w:tc>
          <w:tcPr>
            <w:tcW w:w="13320" w:type="dxa"/>
            <w:gridSpan w:val="6"/>
            <w:shd w:val="clear" w:color="auto" w:fill="C5E0B3"/>
            <w:vAlign w:val="center"/>
          </w:tcPr>
          <w:p w14:paraId="2089B1CE" w14:textId="77777777" w:rsidR="002B1603" w:rsidRPr="00A07F29" w:rsidRDefault="002B1603" w:rsidP="461809C0">
            <w:pPr>
              <w:suppressAutoHyphens/>
              <w:jc w:val="center"/>
              <w:rPr>
                <w:rFonts w:cs="Times New Roman"/>
                <w:b/>
                <w:bCs/>
                <w:color w:val="000000"/>
                <w:sz w:val="22"/>
                <w:lang w:eastAsia="ar-SA"/>
              </w:rPr>
            </w:pPr>
            <w:r w:rsidRPr="00A07F29">
              <w:rPr>
                <w:rFonts w:cs="Times New Roman"/>
                <w:b/>
                <w:bCs/>
                <w:lang w:eastAsia="ar-SA"/>
              </w:rPr>
              <w:t>Zālāju biotopi</w:t>
            </w:r>
          </w:p>
        </w:tc>
      </w:tr>
      <w:tr w:rsidR="00C10491" w:rsidRPr="00A07F29" w14:paraId="6B66C0D3" w14:textId="77777777" w:rsidTr="007E2DDD">
        <w:trPr>
          <w:jc w:val="center"/>
        </w:trPr>
        <w:tc>
          <w:tcPr>
            <w:tcW w:w="704" w:type="dxa"/>
            <w:vAlign w:val="center"/>
          </w:tcPr>
          <w:p w14:paraId="38EDFD5C" w14:textId="43CE2A0E" w:rsidR="002B1603" w:rsidRPr="00A07F29" w:rsidRDefault="00DA613C" w:rsidP="002B1603">
            <w:pPr>
              <w:suppressAutoHyphens/>
              <w:jc w:val="center"/>
              <w:rPr>
                <w:rFonts w:cs="Times New Roman"/>
                <w:sz w:val="22"/>
                <w:lang w:eastAsia="ar-SA"/>
              </w:rPr>
            </w:pPr>
            <w:r w:rsidRPr="00A07F29">
              <w:rPr>
                <w:rFonts w:cs="Times New Roman"/>
                <w:sz w:val="22"/>
                <w:lang w:eastAsia="ar-SA"/>
              </w:rPr>
              <w:t>5</w:t>
            </w:r>
            <w:r w:rsidR="002B1603" w:rsidRPr="00A07F29">
              <w:rPr>
                <w:rFonts w:cs="Times New Roman"/>
                <w:sz w:val="22"/>
                <w:lang w:eastAsia="ar-SA"/>
              </w:rPr>
              <w:t>.</w:t>
            </w:r>
          </w:p>
        </w:tc>
        <w:tc>
          <w:tcPr>
            <w:tcW w:w="3686" w:type="dxa"/>
            <w:vAlign w:val="center"/>
          </w:tcPr>
          <w:p w14:paraId="1D1D7868" w14:textId="77777777" w:rsidR="002B1603" w:rsidRPr="00A07F29" w:rsidRDefault="002B1603" w:rsidP="002B1603">
            <w:pPr>
              <w:suppressAutoHyphens/>
              <w:rPr>
                <w:rFonts w:cs="Times New Roman"/>
                <w:b/>
                <w:sz w:val="22"/>
                <w:lang w:eastAsia="ar-SA"/>
              </w:rPr>
            </w:pPr>
            <w:r w:rsidRPr="00A07F29">
              <w:rPr>
                <w:rFonts w:cs="Times New Roman"/>
                <w:b/>
                <w:color w:val="000000"/>
                <w:sz w:val="22"/>
                <w:lang w:eastAsia="ar-SA"/>
              </w:rPr>
              <w:t>6120* Smiltāju zālāji</w:t>
            </w:r>
          </w:p>
        </w:tc>
        <w:tc>
          <w:tcPr>
            <w:tcW w:w="1984" w:type="dxa"/>
            <w:vAlign w:val="center"/>
          </w:tcPr>
          <w:p w14:paraId="0EA0FA49" w14:textId="77777777" w:rsidR="002B1603" w:rsidRPr="00A07F29" w:rsidRDefault="002B1603" w:rsidP="002B1603">
            <w:pPr>
              <w:suppressAutoHyphens/>
              <w:jc w:val="center"/>
              <w:rPr>
                <w:rFonts w:cs="Times New Roman"/>
                <w:color w:val="000000"/>
                <w:sz w:val="22"/>
                <w:lang w:eastAsia="ar-SA"/>
              </w:rPr>
            </w:pPr>
            <w:r w:rsidRPr="00A07F29">
              <w:rPr>
                <w:rFonts w:cs="Times New Roman"/>
                <w:color w:val="000000"/>
                <w:sz w:val="22"/>
                <w:shd w:val="clear" w:color="auto" w:fill="FFFFFF"/>
                <w:lang w:eastAsia="ar-SA"/>
              </w:rPr>
              <w:t>94,38</w:t>
            </w:r>
          </w:p>
        </w:tc>
        <w:tc>
          <w:tcPr>
            <w:tcW w:w="1843" w:type="dxa"/>
            <w:vAlign w:val="center"/>
          </w:tcPr>
          <w:p w14:paraId="50AE8774" w14:textId="3FAE09E1" w:rsidR="002B1603" w:rsidRPr="00A07F29" w:rsidRDefault="002B1603" w:rsidP="00FE708A">
            <w:pPr>
              <w:suppressAutoHyphens/>
              <w:jc w:val="center"/>
              <w:rPr>
                <w:rFonts w:cs="Times New Roman"/>
                <w:sz w:val="22"/>
                <w:lang w:eastAsia="ar-SA"/>
              </w:rPr>
            </w:pPr>
            <w:r w:rsidRPr="00A07F29">
              <w:rPr>
                <w:rFonts w:cs="Times New Roman"/>
                <w:sz w:val="22"/>
                <w:lang w:eastAsia="ar-SA"/>
              </w:rPr>
              <w:t>18,</w:t>
            </w:r>
            <w:r w:rsidR="00FE708A" w:rsidRPr="00A07F29">
              <w:rPr>
                <w:rFonts w:cs="Times New Roman"/>
                <w:sz w:val="22"/>
                <w:lang w:eastAsia="ar-SA"/>
              </w:rPr>
              <w:t>07</w:t>
            </w:r>
          </w:p>
        </w:tc>
        <w:tc>
          <w:tcPr>
            <w:tcW w:w="1134" w:type="dxa"/>
            <w:vAlign w:val="center"/>
          </w:tcPr>
          <w:p w14:paraId="528F4B2D" w14:textId="5B5B14C9" w:rsidR="002B1603" w:rsidRPr="00A07F29" w:rsidRDefault="002B1603" w:rsidP="00FE708A">
            <w:pPr>
              <w:suppressAutoHyphens/>
              <w:jc w:val="center"/>
              <w:rPr>
                <w:rFonts w:cs="Times New Roman"/>
                <w:b/>
                <w:color w:val="000000"/>
                <w:sz w:val="22"/>
                <w:lang w:eastAsia="ar-SA"/>
              </w:rPr>
            </w:pPr>
            <w:r w:rsidRPr="00A07F29">
              <w:rPr>
                <w:rFonts w:cs="Times New Roman"/>
                <w:b/>
                <w:color w:val="000000"/>
                <w:sz w:val="22"/>
                <w:lang w:eastAsia="ar-SA"/>
              </w:rPr>
              <w:t>-7</w:t>
            </w:r>
            <w:r w:rsidR="00FE708A" w:rsidRPr="00A07F29">
              <w:rPr>
                <w:rFonts w:cs="Times New Roman"/>
                <w:b/>
                <w:color w:val="000000"/>
                <w:sz w:val="22"/>
                <w:lang w:eastAsia="ar-SA"/>
              </w:rPr>
              <w:t>6,31</w:t>
            </w:r>
          </w:p>
        </w:tc>
        <w:tc>
          <w:tcPr>
            <w:tcW w:w="3969" w:type="dxa"/>
            <w:vAlign w:val="center"/>
          </w:tcPr>
          <w:p w14:paraId="5E43D59D" w14:textId="296D2BE2" w:rsidR="002B1603" w:rsidRPr="00A07F29" w:rsidRDefault="002B1603" w:rsidP="00672153">
            <w:pPr>
              <w:suppressAutoHyphens/>
              <w:rPr>
                <w:rFonts w:cs="Times New Roman"/>
                <w:sz w:val="22"/>
                <w:lang w:eastAsia="ar-SA"/>
              </w:rPr>
            </w:pPr>
            <w:r w:rsidRPr="00A07F29">
              <w:rPr>
                <w:rFonts w:cs="Times New Roman"/>
                <w:color w:val="000000"/>
                <w:sz w:val="22"/>
                <w:lang w:eastAsia="ar-SA"/>
              </w:rPr>
              <w:t xml:space="preserve">Detalizēta aizsargājamo biotopu inventarizācija AAA “Augšdaugava” </w:t>
            </w:r>
            <w:r w:rsidRPr="00A07F29">
              <w:rPr>
                <w:rFonts w:cs="Times New Roman"/>
                <w:i/>
                <w:color w:val="000000"/>
                <w:sz w:val="22"/>
                <w:lang w:eastAsia="ar-SA"/>
              </w:rPr>
              <w:t>Dabas skaitīšanas</w:t>
            </w:r>
            <w:r w:rsidRPr="00A07F29">
              <w:rPr>
                <w:rFonts w:cs="Times New Roman"/>
                <w:color w:val="000000"/>
                <w:sz w:val="22"/>
                <w:lang w:eastAsia="ar-SA"/>
              </w:rPr>
              <w:t xml:space="preserve"> ietvaros.</w:t>
            </w:r>
            <w:r w:rsidR="00672153" w:rsidRPr="00A07F29">
              <w:rPr>
                <w:rFonts w:cs="Times New Roman"/>
                <w:color w:val="000000"/>
                <w:sz w:val="22"/>
                <w:lang w:eastAsia="ar-SA"/>
              </w:rPr>
              <w:t xml:space="preserve"> Daļa no šī biotopa poligoniem tagad nokartēti kā 6210 Sausi zālāji kaļķainās augsnēs.</w:t>
            </w:r>
          </w:p>
        </w:tc>
      </w:tr>
      <w:tr w:rsidR="00C10491" w:rsidRPr="00A07F29" w14:paraId="1456BFEF" w14:textId="77777777" w:rsidTr="007E2DDD">
        <w:trPr>
          <w:jc w:val="center"/>
        </w:trPr>
        <w:tc>
          <w:tcPr>
            <w:tcW w:w="704" w:type="dxa"/>
            <w:vAlign w:val="center"/>
          </w:tcPr>
          <w:p w14:paraId="600041DB" w14:textId="1F1F9DF1" w:rsidR="002B1603" w:rsidRPr="00A07F29" w:rsidRDefault="00DA613C" w:rsidP="002B1603">
            <w:pPr>
              <w:suppressAutoHyphens/>
              <w:jc w:val="center"/>
              <w:rPr>
                <w:rFonts w:cs="Times New Roman"/>
                <w:sz w:val="22"/>
                <w:lang w:eastAsia="ar-SA"/>
              </w:rPr>
            </w:pPr>
            <w:r w:rsidRPr="00A07F29">
              <w:rPr>
                <w:rFonts w:cs="Times New Roman"/>
                <w:sz w:val="22"/>
                <w:lang w:eastAsia="ar-SA"/>
              </w:rPr>
              <w:t>6</w:t>
            </w:r>
            <w:r w:rsidR="002B1603" w:rsidRPr="00A07F29">
              <w:rPr>
                <w:rFonts w:cs="Times New Roman"/>
                <w:sz w:val="22"/>
                <w:lang w:eastAsia="ar-SA"/>
              </w:rPr>
              <w:t>.</w:t>
            </w:r>
          </w:p>
        </w:tc>
        <w:tc>
          <w:tcPr>
            <w:tcW w:w="3686" w:type="dxa"/>
            <w:vAlign w:val="center"/>
          </w:tcPr>
          <w:p w14:paraId="04EB5B49" w14:textId="77777777" w:rsidR="002B1603" w:rsidRPr="00A07F29" w:rsidRDefault="002B1603" w:rsidP="002B1603">
            <w:pPr>
              <w:suppressAutoHyphens/>
              <w:rPr>
                <w:rFonts w:cs="Times New Roman"/>
                <w:b/>
                <w:sz w:val="22"/>
                <w:lang w:eastAsia="ar-SA"/>
              </w:rPr>
            </w:pPr>
            <w:r w:rsidRPr="00A07F29">
              <w:rPr>
                <w:rFonts w:cs="Times New Roman"/>
                <w:b/>
                <w:sz w:val="22"/>
                <w:lang w:eastAsia="ar-SA"/>
              </w:rPr>
              <w:t>6210 Sausi zālāji kaļķainās augsnēs</w:t>
            </w:r>
          </w:p>
        </w:tc>
        <w:tc>
          <w:tcPr>
            <w:tcW w:w="1984" w:type="dxa"/>
            <w:vAlign w:val="center"/>
          </w:tcPr>
          <w:p w14:paraId="5419A223" w14:textId="77777777" w:rsidR="002B1603" w:rsidRPr="00A07F29" w:rsidRDefault="002B1603" w:rsidP="002B1603">
            <w:pPr>
              <w:suppressAutoHyphens/>
              <w:jc w:val="center"/>
              <w:rPr>
                <w:rFonts w:cs="Times New Roman"/>
                <w:color w:val="000000"/>
                <w:sz w:val="22"/>
                <w:lang w:eastAsia="ar-SA"/>
              </w:rPr>
            </w:pPr>
            <w:r w:rsidRPr="00A07F29">
              <w:rPr>
                <w:rFonts w:cs="Times New Roman"/>
                <w:color w:val="000000"/>
                <w:sz w:val="22"/>
                <w:shd w:val="clear" w:color="auto" w:fill="FFFFFF"/>
                <w:lang w:eastAsia="ar-SA"/>
              </w:rPr>
              <w:t>94,38</w:t>
            </w:r>
          </w:p>
        </w:tc>
        <w:tc>
          <w:tcPr>
            <w:tcW w:w="1843" w:type="dxa"/>
            <w:vAlign w:val="center"/>
          </w:tcPr>
          <w:p w14:paraId="766DEF67" w14:textId="2C986F39" w:rsidR="002B1603" w:rsidRPr="00A07F29" w:rsidRDefault="003C33AF" w:rsidP="003C33AF">
            <w:pPr>
              <w:suppressAutoHyphens/>
              <w:jc w:val="center"/>
              <w:rPr>
                <w:rFonts w:cs="Times New Roman"/>
                <w:sz w:val="22"/>
                <w:lang w:eastAsia="ar-SA"/>
              </w:rPr>
            </w:pPr>
            <w:r w:rsidRPr="00A07F29">
              <w:rPr>
                <w:rFonts w:cs="Times New Roman"/>
                <w:color w:val="000000"/>
                <w:sz w:val="22"/>
                <w:lang w:eastAsia="ar-SA"/>
              </w:rPr>
              <w:t>382,52</w:t>
            </w:r>
          </w:p>
        </w:tc>
        <w:tc>
          <w:tcPr>
            <w:tcW w:w="1134" w:type="dxa"/>
            <w:vAlign w:val="center"/>
          </w:tcPr>
          <w:p w14:paraId="728648B0" w14:textId="2CD941BC" w:rsidR="002B1603" w:rsidRPr="00A07F29" w:rsidRDefault="003C33AF" w:rsidP="003C33AF">
            <w:pPr>
              <w:suppressAutoHyphens/>
              <w:jc w:val="center"/>
              <w:rPr>
                <w:rFonts w:cs="Times New Roman"/>
                <w:b/>
                <w:color w:val="000000"/>
                <w:sz w:val="22"/>
                <w:lang w:eastAsia="ar-SA"/>
              </w:rPr>
            </w:pPr>
            <w:r w:rsidRPr="00A07F29">
              <w:rPr>
                <w:rFonts w:cs="Times New Roman"/>
                <w:b/>
                <w:color w:val="000000"/>
                <w:sz w:val="22"/>
                <w:lang w:eastAsia="ar-SA"/>
              </w:rPr>
              <w:t>+288,14</w:t>
            </w:r>
          </w:p>
        </w:tc>
        <w:tc>
          <w:tcPr>
            <w:tcW w:w="3969" w:type="dxa"/>
            <w:vAlign w:val="center"/>
          </w:tcPr>
          <w:p w14:paraId="249F74F6" w14:textId="0212FE7F" w:rsidR="002B1603" w:rsidRPr="00A07F29" w:rsidRDefault="002B1603" w:rsidP="002B1603">
            <w:pPr>
              <w:suppressAutoHyphens/>
              <w:rPr>
                <w:rFonts w:cs="Times New Roman"/>
                <w:sz w:val="22"/>
                <w:lang w:eastAsia="ar-SA"/>
              </w:rPr>
            </w:pPr>
            <w:r w:rsidRPr="00A07F29">
              <w:rPr>
                <w:rFonts w:cs="Times New Roman"/>
                <w:color w:val="000000"/>
                <w:sz w:val="22"/>
                <w:lang w:eastAsia="ar-SA"/>
              </w:rPr>
              <w:t xml:space="preserve">Detalizēta aizsargājamo biotopu inventarizācija AAA “Augšdaugava” </w:t>
            </w:r>
            <w:r w:rsidRPr="00A07F29">
              <w:rPr>
                <w:rFonts w:cs="Times New Roman"/>
                <w:i/>
                <w:color w:val="000000"/>
                <w:sz w:val="22"/>
                <w:lang w:eastAsia="ar-SA"/>
              </w:rPr>
              <w:t>Dabas skaitīšanas</w:t>
            </w:r>
            <w:r w:rsidRPr="00A07F29">
              <w:rPr>
                <w:rFonts w:cs="Times New Roman"/>
                <w:color w:val="000000"/>
                <w:sz w:val="22"/>
                <w:lang w:eastAsia="ar-SA"/>
              </w:rPr>
              <w:t xml:space="preserve"> ietvaros.</w:t>
            </w:r>
            <w:r w:rsidR="00672153" w:rsidRPr="00A07F29">
              <w:rPr>
                <w:rFonts w:cs="Times New Roman"/>
                <w:color w:val="000000"/>
                <w:sz w:val="22"/>
                <w:lang w:eastAsia="ar-SA"/>
              </w:rPr>
              <w:t xml:space="preserve"> Daļa no šī biotopa platības iepriekš bija nokartēta kā 6120* Smiltāju zālāji.</w:t>
            </w:r>
          </w:p>
        </w:tc>
      </w:tr>
      <w:tr w:rsidR="00C10491" w:rsidRPr="00A07F29" w14:paraId="2FEBA3D2" w14:textId="77777777" w:rsidTr="007E2DDD">
        <w:trPr>
          <w:jc w:val="center"/>
        </w:trPr>
        <w:tc>
          <w:tcPr>
            <w:tcW w:w="704" w:type="dxa"/>
            <w:vAlign w:val="center"/>
          </w:tcPr>
          <w:p w14:paraId="5F0E0100" w14:textId="1BC685B2" w:rsidR="002B1603" w:rsidRPr="00A07F29" w:rsidRDefault="00DA613C" w:rsidP="002B1603">
            <w:pPr>
              <w:suppressAutoHyphens/>
              <w:jc w:val="center"/>
              <w:rPr>
                <w:rFonts w:cs="Times New Roman"/>
                <w:sz w:val="22"/>
                <w:lang w:eastAsia="ar-SA"/>
              </w:rPr>
            </w:pPr>
            <w:r w:rsidRPr="00A07F29">
              <w:rPr>
                <w:rFonts w:cs="Times New Roman"/>
                <w:sz w:val="22"/>
                <w:lang w:eastAsia="ar-SA"/>
              </w:rPr>
              <w:t>7</w:t>
            </w:r>
            <w:r w:rsidR="002B1603" w:rsidRPr="00A07F29">
              <w:rPr>
                <w:rFonts w:cs="Times New Roman"/>
                <w:sz w:val="22"/>
                <w:lang w:eastAsia="ar-SA"/>
              </w:rPr>
              <w:t>.</w:t>
            </w:r>
          </w:p>
        </w:tc>
        <w:tc>
          <w:tcPr>
            <w:tcW w:w="3686" w:type="dxa"/>
            <w:vAlign w:val="center"/>
          </w:tcPr>
          <w:p w14:paraId="37493A49" w14:textId="77777777" w:rsidR="002B1603" w:rsidRPr="00A07F29" w:rsidRDefault="002B1603" w:rsidP="002B1603">
            <w:pPr>
              <w:suppressAutoHyphens/>
              <w:rPr>
                <w:rFonts w:cs="Times New Roman"/>
                <w:b/>
                <w:sz w:val="22"/>
                <w:lang w:eastAsia="ar-SA"/>
              </w:rPr>
            </w:pPr>
            <w:r w:rsidRPr="00A07F29">
              <w:rPr>
                <w:rFonts w:cs="Times New Roman"/>
                <w:b/>
                <w:color w:val="000000"/>
                <w:sz w:val="22"/>
                <w:lang w:eastAsia="ar-SA"/>
              </w:rPr>
              <w:t>6230* Vilkakūlas zālāji</w:t>
            </w:r>
          </w:p>
        </w:tc>
        <w:tc>
          <w:tcPr>
            <w:tcW w:w="1984" w:type="dxa"/>
            <w:vAlign w:val="center"/>
          </w:tcPr>
          <w:p w14:paraId="0F4DE1D5" w14:textId="77777777" w:rsidR="002B1603" w:rsidRPr="00A07F29" w:rsidRDefault="002B1603" w:rsidP="002B1603">
            <w:pPr>
              <w:suppressAutoHyphens/>
              <w:jc w:val="center"/>
              <w:rPr>
                <w:rFonts w:cs="Times New Roman"/>
                <w:color w:val="000000"/>
                <w:sz w:val="22"/>
                <w:lang w:eastAsia="ar-SA"/>
              </w:rPr>
            </w:pPr>
            <w:r w:rsidRPr="00A07F29">
              <w:rPr>
                <w:rFonts w:cs="Times New Roman"/>
                <w:color w:val="000000"/>
                <w:sz w:val="22"/>
                <w:lang w:eastAsia="ar-SA"/>
              </w:rPr>
              <w:t>0,71</w:t>
            </w:r>
          </w:p>
        </w:tc>
        <w:tc>
          <w:tcPr>
            <w:tcW w:w="1843" w:type="dxa"/>
            <w:vAlign w:val="center"/>
          </w:tcPr>
          <w:p w14:paraId="39DD5DA7" w14:textId="000AD3E6" w:rsidR="002B1603" w:rsidRPr="00A07F29" w:rsidRDefault="002B1603" w:rsidP="00DF50F4">
            <w:pPr>
              <w:suppressAutoHyphens/>
              <w:jc w:val="center"/>
              <w:rPr>
                <w:rFonts w:cs="Times New Roman"/>
                <w:sz w:val="22"/>
                <w:lang w:eastAsia="ar-SA"/>
              </w:rPr>
            </w:pPr>
            <w:r w:rsidRPr="00A07F29">
              <w:rPr>
                <w:rFonts w:cs="Times New Roman"/>
                <w:sz w:val="22"/>
                <w:lang w:eastAsia="ar-SA"/>
              </w:rPr>
              <w:t>1,</w:t>
            </w:r>
            <w:r w:rsidR="00DF50F4" w:rsidRPr="00A07F29">
              <w:rPr>
                <w:rFonts w:cs="Times New Roman"/>
                <w:sz w:val="22"/>
                <w:lang w:eastAsia="ar-SA"/>
              </w:rPr>
              <w:t>36</w:t>
            </w:r>
          </w:p>
        </w:tc>
        <w:tc>
          <w:tcPr>
            <w:tcW w:w="1134" w:type="dxa"/>
            <w:vAlign w:val="center"/>
          </w:tcPr>
          <w:p w14:paraId="7C5EAF20" w14:textId="3A6FCD3C" w:rsidR="002B1603" w:rsidRPr="00A07F29" w:rsidRDefault="002B1603" w:rsidP="00DF50F4">
            <w:pPr>
              <w:suppressAutoHyphens/>
              <w:jc w:val="center"/>
              <w:rPr>
                <w:rFonts w:cs="Times New Roman"/>
                <w:b/>
                <w:color w:val="000000"/>
                <w:sz w:val="22"/>
                <w:lang w:eastAsia="ar-SA"/>
              </w:rPr>
            </w:pPr>
            <w:r w:rsidRPr="00A07F29">
              <w:rPr>
                <w:rFonts w:cs="Times New Roman"/>
                <w:b/>
                <w:color w:val="000000"/>
                <w:sz w:val="22"/>
                <w:lang w:eastAsia="ar-SA"/>
              </w:rPr>
              <w:t>+0,</w:t>
            </w:r>
            <w:r w:rsidR="00DF50F4" w:rsidRPr="00A07F29">
              <w:rPr>
                <w:rFonts w:cs="Times New Roman"/>
                <w:b/>
                <w:color w:val="000000"/>
                <w:sz w:val="22"/>
                <w:lang w:eastAsia="ar-SA"/>
              </w:rPr>
              <w:t>65</w:t>
            </w:r>
          </w:p>
        </w:tc>
        <w:tc>
          <w:tcPr>
            <w:tcW w:w="3969" w:type="dxa"/>
            <w:vAlign w:val="center"/>
          </w:tcPr>
          <w:p w14:paraId="57714833" w14:textId="77777777" w:rsidR="002B1603" w:rsidRPr="00A07F29" w:rsidRDefault="002B1603" w:rsidP="002B1603">
            <w:pPr>
              <w:suppressAutoHyphens/>
              <w:rPr>
                <w:rFonts w:cs="Times New Roman"/>
                <w:sz w:val="22"/>
                <w:lang w:eastAsia="ar-SA"/>
              </w:rPr>
            </w:pPr>
            <w:r w:rsidRPr="00A07F29">
              <w:rPr>
                <w:rFonts w:cs="Times New Roman"/>
                <w:color w:val="000000"/>
                <w:sz w:val="22"/>
                <w:lang w:eastAsia="ar-SA"/>
              </w:rPr>
              <w:t xml:space="preserve">Detalizēta aizsargājamo biotopu inventarizācija AAA “Augšdaugava” </w:t>
            </w:r>
            <w:r w:rsidRPr="00A07F29">
              <w:rPr>
                <w:rFonts w:cs="Times New Roman"/>
                <w:i/>
                <w:color w:val="000000"/>
                <w:sz w:val="22"/>
                <w:lang w:eastAsia="ar-SA"/>
              </w:rPr>
              <w:t>Dabas skaitīšanas</w:t>
            </w:r>
            <w:r w:rsidRPr="00A07F29">
              <w:rPr>
                <w:rFonts w:cs="Times New Roman"/>
                <w:color w:val="000000"/>
                <w:sz w:val="22"/>
                <w:lang w:eastAsia="ar-SA"/>
              </w:rPr>
              <w:t xml:space="preserve"> ietvaros.</w:t>
            </w:r>
          </w:p>
        </w:tc>
      </w:tr>
      <w:tr w:rsidR="00C10491" w:rsidRPr="00A07F29" w14:paraId="28B768C1" w14:textId="77777777" w:rsidTr="007E2DDD">
        <w:trPr>
          <w:jc w:val="center"/>
        </w:trPr>
        <w:tc>
          <w:tcPr>
            <w:tcW w:w="704" w:type="dxa"/>
            <w:vAlign w:val="center"/>
          </w:tcPr>
          <w:p w14:paraId="7DF87A37" w14:textId="785BC904" w:rsidR="002B1603" w:rsidRPr="00A07F29" w:rsidRDefault="00DA613C" w:rsidP="002B1603">
            <w:pPr>
              <w:suppressAutoHyphens/>
              <w:jc w:val="center"/>
              <w:rPr>
                <w:rFonts w:cs="Times New Roman"/>
                <w:sz w:val="22"/>
                <w:lang w:eastAsia="ar-SA"/>
              </w:rPr>
            </w:pPr>
            <w:r w:rsidRPr="00A07F29">
              <w:rPr>
                <w:rFonts w:cs="Times New Roman"/>
                <w:sz w:val="22"/>
                <w:lang w:eastAsia="ar-SA"/>
              </w:rPr>
              <w:lastRenderedPageBreak/>
              <w:t>8</w:t>
            </w:r>
            <w:r w:rsidR="002B1603" w:rsidRPr="00A07F29">
              <w:rPr>
                <w:rFonts w:cs="Times New Roman"/>
                <w:sz w:val="22"/>
                <w:lang w:eastAsia="ar-SA"/>
              </w:rPr>
              <w:t>.</w:t>
            </w:r>
          </w:p>
        </w:tc>
        <w:tc>
          <w:tcPr>
            <w:tcW w:w="3686" w:type="dxa"/>
            <w:vAlign w:val="center"/>
          </w:tcPr>
          <w:p w14:paraId="40758265" w14:textId="77777777" w:rsidR="002B1603" w:rsidRPr="00A07F29" w:rsidRDefault="002B1603" w:rsidP="002B1603">
            <w:pPr>
              <w:suppressAutoHyphens/>
              <w:rPr>
                <w:rFonts w:cs="Times New Roman"/>
                <w:b/>
                <w:sz w:val="22"/>
                <w:lang w:eastAsia="ar-SA"/>
              </w:rPr>
            </w:pPr>
            <w:r w:rsidRPr="00A07F29">
              <w:rPr>
                <w:rFonts w:cs="Times New Roman"/>
                <w:b/>
                <w:sz w:val="22"/>
                <w:lang w:eastAsia="ar-SA"/>
              </w:rPr>
              <w:t>6270* Sugām bagātas ganības un ganītas pļavas</w:t>
            </w:r>
          </w:p>
        </w:tc>
        <w:tc>
          <w:tcPr>
            <w:tcW w:w="1984" w:type="dxa"/>
            <w:vAlign w:val="center"/>
          </w:tcPr>
          <w:p w14:paraId="7718449D" w14:textId="77777777" w:rsidR="002B1603" w:rsidRPr="00A07F29" w:rsidRDefault="002B1603" w:rsidP="002B1603">
            <w:pPr>
              <w:suppressAutoHyphens/>
              <w:jc w:val="center"/>
              <w:rPr>
                <w:rFonts w:cs="Times New Roman"/>
                <w:color w:val="000000"/>
                <w:sz w:val="22"/>
                <w:lang w:eastAsia="ar-SA"/>
              </w:rPr>
            </w:pPr>
            <w:r w:rsidRPr="00A07F29">
              <w:rPr>
                <w:rFonts w:cs="Times New Roman"/>
                <w:color w:val="000000"/>
                <w:sz w:val="22"/>
                <w:lang w:eastAsia="ar-SA"/>
              </w:rPr>
              <w:t>146,38</w:t>
            </w:r>
          </w:p>
        </w:tc>
        <w:tc>
          <w:tcPr>
            <w:tcW w:w="1843" w:type="dxa"/>
            <w:vAlign w:val="center"/>
          </w:tcPr>
          <w:p w14:paraId="790D38C3" w14:textId="26BECC45" w:rsidR="00DF50F4" w:rsidRPr="00A07F29" w:rsidRDefault="007919AB" w:rsidP="007919AB">
            <w:pPr>
              <w:suppressAutoHyphens/>
              <w:jc w:val="center"/>
              <w:rPr>
                <w:rFonts w:cs="Times New Roman"/>
                <w:sz w:val="22"/>
                <w:lang w:eastAsia="ar-SA"/>
              </w:rPr>
            </w:pPr>
            <w:r w:rsidRPr="00A07F29">
              <w:rPr>
                <w:rFonts w:cs="Times New Roman"/>
                <w:sz w:val="22"/>
                <w:lang w:eastAsia="ar-SA"/>
              </w:rPr>
              <w:t>245,78</w:t>
            </w:r>
          </w:p>
        </w:tc>
        <w:tc>
          <w:tcPr>
            <w:tcW w:w="1134" w:type="dxa"/>
            <w:vAlign w:val="center"/>
          </w:tcPr>
          <w:p w14:paraId="0B478941" w14:textId="249DA5CC" w:rsidR="002B1603" w:rsidRPr="00A07F29" w:rsidRDefault="002B1603" w:rsidP="007919AB">
            <w:pPr>
              <w:suppressAutoHyphens/>
              <w:jc w:val="center"/>
              <w:rPr>
                <w:rFonts w:cs="Times New Roman"/>
                <w:b/>
                <w:color w:val="000000"/>
                <w:sz w:val="22"/>
                <w:lang w:eastAsia="ar-SA"/>
              </w:rPr>
            </w:pPr>
            <w:r w:rsidRPr="00A07F29">
              <w:rPr>
                <w:rFonts w:cs="Times New Roman"/>
                <w:b/>
                <w:color w:val="000000"/>
                <w:sz w:val="22"/>
                <w:lang w:eastAsia="ar-SA"/>
              </w:rPr>
              <w:t>+</w:t>
            </w:r>
            <w:r w:rsidR="007919AB" w:rsidRPr="00A07F29">
              <w:rPr>
                <w:rFonts w:cs="Times New Roman"/>
                <w:b/>
                <w:color w:val="000000"/>
                <w:sz w:val="22"/>
                <w:lang w:eastAsia="ar-SA"/>
              </w:rPr>
              <w:t>99.4</w:t>
            </w:r>
          </w:p>
        </w:tc>
        <w:tc>
          <w:tcPr>
            <w:tcW w:w="3969" w:type="dxa"/>
            <w:vAlign w:val="center"/>
          </w:tcPr>
          <w:p w14:paraId="52693231" w14:textId="77777777" w:rsidR="002B1603" w:rsidRPr="00A07F29" w:rsidRDefault="002B1603" w:rsidP="002B1603">
            <w:pPr>
              <w:suppressAutoHyphens/>
              <w:rPr>
                <w:rFonts w:cs="Times New Roman"/>
                <w:sz w:val="22"/>
                <w:lang w:eastAsia="ar-SA"/>
              </w:rPr>
            </w:pPr>
            <w:r w:rsidRPr="00A07F29">
              <w:rPr>
                <w:rFonts w:cs="Times New Roman"/>
                <w:color w:val="000000"/>
                <w:sz w:val="22"/>
                <w:lang w:eastAsia="ar-SA"/>
              </w:rPr>
              <w:t xml:space="preserve">Detalizēta aizsargājamo biotopu inventarizācija AAA “Augšdaugava” </w:t>
            </w:r>
            <w:r w:rsidRPr="00A07F29">
              <w:rPr>
                <w:rFonts w:cs="Times New Roman"/>
                <w:i/>
                <w:color w:val="000000"/>
                <w:sz w:val="22"/>
                <w:lang w:eastAsia="ar-SA"/>
              </w:rPr>
              <w:t>Dabas skaitīšanas</w:t>
            </w:r>
            <w:r w:rsidRPr="00A07F29">
              <w:rPr>
                <w:rFonts w:cs="Times New Roman"/>
                <w:color w:val="000000"/>
                <w:sz w:val="22"/>
                <w:lang w:eastAsia="ar-SA"/>
              </w:rPr>
              <w:t xml:space="preserve"> ietvaros.</w:t>
            </w:r>
          </w:p>
        </w:tc>
      </w:tr>
      <w:tr w:rsidR="00C10491" w:rsidRPr="00A07F29" w14:paraId="2BF98367" w14:textId="77777777" w:rsidTr="007E2DDD">
        <w:trPr>
          <w:jc w:val="center"/>
        </w:trPr>
        <w:tc>
          <w:tcPr>
            <w:tcW w:w="704" w:type="dxa"/>
            <w:vAlign w:val="center"/>
          </w:tcPr>
          <w:p w14:paraId="1F3A7D9F" w14:textId="2ACF2239" w:rsidR="002B1603" w:rsidRPr="00A07F29" w:rsidRDefault="00DA613C" w:rsidP="002B1603">
            <w:pPr>
              <w:suppressAutoHyphens/>
              <w:jc w:val="center"/>
              <w:rPr>
                <w:rFonts w:cs="Times New Roman"/>
                <w:sz w:val="22"/>
                <w:lang w:eastAsia="ar-SA"/>
              </w:rPr>
            </w:pPr>
            <w:r w:rsidRPr="00A07F29">
              <w:rPr>
                <w:rFonts w:cs="Times New Roman"/>
                <w:sz w:val="22"/>
                <w:lang w:eastAsia="ar-SA"/>
              </w:rPr>
              <w:t>9</w:t>
            </w:r>
            <w:r w:rsidR="002B1603" w:rsidRPr="00A07F29">
              <w:rPr>
                <w:rFonts w:cs="Times New Roman"/>
                <w:sz w:val="22"/>
                <w:lang w:eastAsia="ar-SA"/>
              </w:rPr>
              <w:t>.</w:t>
            </w:r>
          </w:p>
        </w:tc>
        <w:tc>
          <w:tcPr>
            <w:tcW w:w="3686" w:type="dxa"/>
            <w:vAlign w:val="center"/>
          </w:tcPr>
          <w:p w14:paraId="21F1F782" w14:textId="77777777" w:rsidR="002B1603" w:rsidRPr="00A07F29" w:rsidRDefault="002B1603" w:rsidP="002B1603">
            <w:pPr>
              <w:suppressAutoHyphens/>
              <w:rPr>
                <w:rFonts w:cs="Times New Roman"/>
                <w:b/>
                <w:sz w:val="22"/>
                <w:lang w:eastAsia="ar-SA"/>
              </w:rPr>
            </w:pPr>
            <w:r w:rsidRPr="00A07F29">
              <w:rPr>
                <w:rFonts w:cs="Times New Roman"/>
                <w:b/>
                <w:color w:val="000000"/>
                <w:sz w:val="22"/>
                <w:lang w:eastAsia="ar-SA"/>
              </w:rPr>
              <w:t>6410 Mitri zālāji periodiski izžūstošās augsnēs</w:t>
            </w:r>
          </w:p>
        </w:tc>
        <w:tc>
          <w:tcPr>
            <w:tcW w:w="1984" w:type="dxa"/>
            <w:vAlign w:val="center"/>
          </w:tcPr>
          <w:p w14:paraId="5AB0F949" w14:textId="77777777" w:rsidR="002B1603" w:rsidRPr="00A07F29" w:rsidRDefault="002B1603" w:rsidP="002B1603">
            <w:pPr>
              <w:suppressAutoHyphens/>
              <w:jc w:val="center"/>
              <w:rPr>
                <w:rFonts w:cs="Times New Roman"/>
                <w:color w:val="000000"/>
                <w:sz w:val="22"/>
                <w:lang w:eastAsia="ar-SA"/>
              </w:rPr>
            </w:pPr>
            <w:r w:rsidRPr="00A07F29">
              <w:rPr>
                <w:rFonts w:cs="Times New Roman"/>
                <w:color w:val="000000"/>
                <w:sz w:val="22"/>
                <w:lang w:eastAsia="ar-SA"/>
              </w:rPr>
              <w:t>-</w:t>
            </w:r>
          </w:p>
        </w:tc>
        <w:tc>
          <w:tcPr>
            <w:tcW w:w="1843" w:type="dxa"/>
            <w:vAlign w:val="center"/>
          </w:tcPr>
          <w:p w14:paraId="52585529" w14:textId="79FBAD0F" w:rsidR="00DF50F4" w:rsidRPr="00A07F29" w:rsidRDefault="00DF50F4" w:rsidP="00DF50F4">
            <w:pPr>
              <w:suppressAutoHyphens/>
              <w:jc w:val="center"/>
              <w:rPr>
                <w:rFonts w:cs="Times New Roman"/>
                <w:sz w:val="22"/>
                <w:lang w:eastAsia="ar-SA"/>
              </w:rPr>
            </w:pPr>
            <w:r w:rsidRPr="00A07F29">
              <w:rPr>
                <w:rFonts w:cs="Times New Roman"/>
                <w:sz w:val="22"/>
                <w:lang w:eastAsia="ar-SA"/>
              </w:rPr>
              <w:t>5,16</w:t>
            </w:r>
          </w:p>
        </w:tc>
        <w:tc>
          <w:tcPr>
            <w:tcW w:w="1134" w:type="dxa"/>
            <w:vAlign w:val="center"/>
          </w:tcPr>
          <w:p w14:paraId="21C7F876" w14:textId="472B16DA" w:rsidR="002B1603" w:rsidRPr="00A07F29" w:rsidRDefault="002B1603" w:rsidP="00DF50F4">
            <w:pPr>
              <w:suppressAutoHyphens/>
              <w:jc w:val="center"/>
              <w:rPr>
                <w:rFonts w:cs="Times New Roman"/>
                <w:b/>
                <w:color w:val="000000"/>
                <w:sz w:val="22"/>
                <w:lang w:eastAsia="ar-SA"/>
              </w:rPr>
            </w:pPr>
            <w:r w:rsidRPr="00A07F29">
              <w:rPr>
                <w:rFonts w:cs="Times New Roman"/>
                <w:b/>
                <w:color w:val="000000"/>
                <w:sz w:val="22"/>
                <w:lang w:eastAsia="ar-SA"/>
              </w:rPr>
              <w:t>+5,16</w:t>
            </w:r>
          </w:p>
        </w:tc>
        <w:tc>
          <w:tcPr>
            <w:tcW w:w="3969" w:type="dxa"/>
            <w:vAlign w:val="center"/>
          </w:tcPr>
          <w:p w14:paraId="0F93964B" w14:textId="77777777" w:rsidR="002B1603" w:rsidRPr="00A07F29" w:rsidRDefault="002B1603" w:rsidP="002B1603">
            <w:pPr>
              <w:suppressAutoHyphens/>
              <w:rPr>
                <w:rFonts w:cs="Times New Roman"/>
                <w:sz w:val="22"/>
                <w:lang w:eastAsia="ar-SA"/>
              </w:rPr>
            </w:pPr>
            <w:r w:rsidRPr="00A07F29">
              <w:rPr>
                <w:rFonts w:cs="Times New Roman"/>
                <w:color w:val="000000"/>
                <w:sz w:val="22"/>
                <w:lang w:eastAsia="ar-SA"/>
              </w:rPr>
              <w:t xml:space="preserve">Detalizēta aizsargājamo biotopu inventarizācija AAA “Augšdaugava” </w:t>
            </w:r>
            <w:r w:rsidRPr="00A07F29">
              <w:rPr>
                <w:rFonts w:cs="Times New Roman"/>
                <w:i/>
                <w:color w:val="000000"/>
                <w:sz w:val="22"/>
                <w:lang w:eastAsia="ar-SA"/>
              </w:rPr>
              <w:t>Dabas skaitīšanas</w:t>
            </w:r>
            <w:r w:rsidRPr="00A07F29">
              <w:rPr>
                <w:rFonts w:cs="Times New Roman"/>
                <w:color w:val="000000"/>
                <w:sz w:val="22"/>
                <w:lang w:eastAsia="ar-SA"/>
              </w:rPr>
              <w:t xml:space="preserve"> ietvaros.</w:t>
            </w:r>
          </w:p>
        </w:tc>
      </w:tr>
      <w:tr w:rsidR="00C10491" w:rsidRPr="00A07F29" w14:paraId="58F7C85B" w14:textId="77777777" w:rsidTr="007E2DDD">
        <w:trPr>
          <w:jc w:val="center"/>
        </w:trPr>
        <w:tc>
          <w:tcPr>
            <w:tcW w:w="704" w:type="dxa"/>
            <w:vAlign w:val="center"/>
          </w:tcPr>
          <w:p w14:paraId="1E32DD30" w14:textId="168635CC" w:rsidR="002B1603" w:rsidRPr="00A07F29" w:rsidRDefault="00DA613C" w:rsidP="002B1603">
            <w:pPr>
              <w:suppressAutoHyphens/>
              <w:jc w:val="center"/>
              <w:rPr>
                <w:rFonts w:cs="Times New Roman"/>
                <w:sz w:val="22"/>
                <w:lang w:eastAsia="ar-SA"/>
              </w:rPr>
            </w:pPr>
            <w:r w:rsidRPr="00A07F29">
              <w:rPr>
                <w:rFonts w:cs="Times New Roman"/>
                <w:sz w:val="22"/>
                <w:lang w:eastAsia="ar-SA"/>
              </w:rPr>
              <w:t>10</w:t>
            </w:r>
            <w:r w:rsidR="002B1603" w:rsidRPr="00A07F29">
              <w:rPr>
                <w:rFonts w:cs="Times New Roman"/>
                <w:sz w:val="22"/>
                <w:lang w:eastAsia="ar-SA"/>
              </w:rPr>
              <w:t>.</w:t>
            </w:r>
          </w:p>
        </w:tc>
        <w:tc>
          <w:tcPr>
            <w:tcW w:w="3686" w:type="dxa"/>
            <w:vAlign w:val="center"/>
          </w:tcPr>
          <w:p w14:paraId="205C3AF4" w14:textId="77777777" w:rsidR="002B1603" w:rsidRPr="00A07F29" w:rsidRDefault="002B1603" w:rsidP="002B1603">
            <w:pPr>
              <w:suppressAutoHyphens/>
              <w:rPr>
                <w:rFonts w:cs="Times New Roman"/>
                <w:b/>
                <w:sz w:val="22"/>
                <w:lang w:eastAsia="ar-SA"/>
              </w:rPr>
            </w:pPr>
            <w:r w:rsidRPr="00A07F29">
              <w:rPr>
                <w:rFonts w:cs="Times New Roman"/>
                <w:b/>
                <w:color w:val="000000"/>
                <w:sz w:val="22"/>
                <w:lang w:eastAsia="ar-SA"/>
              </w:rPr>
              <w:t xml:space="preserve">6430 </w:t>
            </w:r>
            <w:proofErr w:type="spellStart"/>
            <w:r w:rsidRPr="00A07F29">
              <w:rPr>
                <w:rFonts w:cs="Times New Roman"/>
                <w:b/>
                <w:color w:val="000000"/>
                <w:sz w:val="22"/>
                <w:lang w:eastAsia="ar-SA"/>
              </w:rPr>
              <w:t>Eitrofas</w:t>
            </w:r>
            <w:proofErr w:type="spellEnd"/>
            <w:r w:rsidRPr="00A07F29">
              <w:rPr>
                <w:rFonts w:cs="Times New Roman"/>
                <w:b/>
                <w:color w:val="000000"/>
                <w:sz w:val="22"/>
                <w:lang w:eastAsia="ar-SA"/>
              </w:rPr>
              <w:t xml:space="preserve"> augsto lakstaugu audzes</w:t>
            </w:r>
          </w:p>
        </w:tc>
        <w:tc>
          <w:tcPr>
            <w:tcW w:w="1984" w:type="dxa"/>
            <w:vAlign w:val="center"/>
          </w:tcPr>
          <w:p w14:paraId="0D4E652E" w14:textId="77777777" w:rsidR="002B1603" w:rsidRPr="00A07F29" w:rsidRDefault="002B1603" w:rsidP="002B1603">
            <w:pPr>
              <w:suppressAutoHyphens/>
              <w:jc w:val="center"/>
              <w:rPr>
                <w:rFonts w:cs="Times New Roman"/>
                <w:color w:val="000000"/>
                <w:sz w:val="22"/>
                <w:lang w:eastAsia="ar-SA"/>
              </w:rPr>
            </w:pPr>
            <w:r w:rsidRPr="00A07F29">
              <w:rPr>
                <w:rFonts w:cs="Times New Roman"/>
                <w:color w:val="000000"/>
                <w:sz w:val="22"/>
                <w:lang w:eastAsia="ar-SA"/>
              </w:rPr>
              <w:t>49,52</w:t>
            </w:r>
          </w:p>
        </w:tc>
        <w:tc>
          <w:tcPr>
            <w:tcW w:w="1843" w:type="dxa"/>
            <w:vAlign w:val="center"/>
          </w:tcPr>
          <w:p w14:paraId="138C5494" w14:textId="44DF2E3F" w:rsidR="00DF50F4" w:rsidRPr="00A07F29" w:rsidRDefault="007919AB" w:rsidP="007919AB">
            <w:pPr>
              <w:suppressAutoHyphens/>
              <w:jc w:val="center"/>
              <w:rPr>
                <w:rFonts w:cs="Times New Roman"/>
                <w:sz w:val="22"/>
                <w:lang w:eastAsia="ar-SA"/>
              </w:rPr>
            </w:pPr>
            <w:r w:rsidRPr="00A07F29">
              <w:rPr>
                <w:rFonts w:cs="Times New Roman"/>
                <w:sz w:val="22"/>
                <w:lang w:eastAsia="ar-SA"/>
              </w:rPr>
              <w:t>126,67</w:t>
            </w:r>
          </w:p>
        </w:tc>
        <w:tc>
          <w:tcPr>
            <w:tcW w:w="1134" w:type="dxa"/>
            <w:vAlign w:val="center"/>
          </w:tcPr>
          <w:p w14:paraId="09957475" w14:textId="0915B606" w:rsidR="002B1603" w:rsidRPr="00A07F29" w:rsidRDefault="002B1603" w:rsidP="007919AB">
            <w:pPr>
              <w:suppressAutoHyphens/>
              <w:jc w:val="center"/>
              <w:rPr>
                <w:rFonts w:cs="Times New Roman"/>
                <w:b/>
                <w:color w:val="000000"/>
                <w:sz w:val="22"/>
                <w:lang w:eastAsia="ar-SA"/>
              </w:rPr>
            </w:pPr>
            <w:r w:rsidRPr="00A07F29">
              <w:rPr>
                <w:rFonts w:cs="Times New Roman"/>
                <w:b/>
                <w:color w:val="000000"/>
                <w:sz w:val="22"/>
                <w:lang w:eastAsia="ar-SA"/>
              </w:rPr>
              <w:t>+</w:t>
            </w:r>
            <w:r w:rsidR="007919AB" w:rsidRPr="00A07F29">
              <w:rPr>
                <w:rFonts w:cs="Times New Roman"/>
                <w:b/>
                <w:color w:val="000000"/>
                <w:sz w:val="22"/>
                <w:lang w:eastAsia="ar-SA"/>
              </w:rPr>
              <w:t>77.15</w:t>
            </w:r>
          </w:p>
        </w:tc>
        <w:tc>
          <w:tcPr>
            <w:tcW w:w="3969" w:type="dxa"/>
            <w:vAlign w:val="center"/>
          </w:tcPr>
          <w:p w14:paraId="45A152F1" w14:textId="77777777" w:rsidR="002B1603" w:rsidRPr="00A07F29" w:rsidRDefault="002B1603" w:rsidP="002B1603">
            <w:pPr>
              <w:suppressAutoHyphens/>
              <w:rPr>
                <w:rFonts w:cs="Times New Roman"/>
                <w:sz w:val="22"/>
                <w:lang w:eastAsia="ar-SA"/>
              </w:rPr>
            </w:pPr>
            <w:r w:rsidRPr="00A07F29">
              <w:rPr>
                <w:rFonts w:cs="Times New Roman"/>
                <w:color w:val="000000"/>
                <w:sz w:val="22"/>
                <w:lang w:eastAsia="ar-SA"/>
              </w:rPr>
              <w:t xml:space="preserve">Detalizēta aizsargājamo biotopu inventarizācija AAA “Augšdaugava” </w:t>
            </w:r>
            <w:r w:rsidRPr="00A07F29">
              <w:rPr>
                <w:rFonts w:cs="Times New Roman"/>
                <w:i/>
                <w:color w:val="000000"/>
                <w:sz w:val="22"/>
                <w:lang w:eastAsia="ar-SA"/>
              </w:rPr>
              <w:t>Dabas skaitīšanas</w:t>
            </w:r>
            <w:r w:rsidRPr="00A07F29">
              <w:rPr>
                <w:rFonts w:cs="Times New Roman"/>
                <w:color w:val="000000"/>
                <w:sz w:val="22"/>
                <w:lang w:eastAsia="ar-SA"/>
              </w:rPr>
              <w:t xml:space="preserve"> ietvaros.</w:t>
            </w:r>
          </w:p>
        </w:tc>
      </w:tr>
      <w:tr w:rsidR="00C10491" w:rsidRPr="00A07F29" w14:paraId="15A2B876" w14:textId="77777777" w:rsidTr="007E2DDD">
        <w:trPr>
          <w:jc w:val="center"/>
        </w:trPr>
        <w:tc>
          <w:tcPr>
            <w:tcW w:w="704" w:type="dxa"/>
            <w:vAlign w:val="center"/>
          </w:tcPr>
          <w:p w14:paraId="34CE3EF9" w14:textId="43B071EB" w:rsidR="002B1603" w:rsidRPr="00A07F29" w:rsidRDefault="00DA613C" w:rsidP="00DA613C">
            <w:pPr>
              <w:suppressAutoHyphens/>
              <w:jc w:val="center"/>
              <w:rPr>
                <w:rFonts w:cs="Times New Roman"/>
                <w:sz w:val="22"/>
                <w:lang w:eastAsia="ar-SA"/>
              </w:rPr>
            </w:pPr>
            <w:r w:rsidRPr="00A07F29">
              <w:rPr>
                <w:rFonts w:cs="Times New Roman"/>
                <w:sz w:val="22"/>
                <w:lang w:eastAsia="ar-SA"/>
              </w:rPr>
              <w:t>11</w:t>
            </w:r>
            <w:r w:rsidR="002B1603" w:rsidRPr="00A07F29">
              <w:rPr>
                <w:rFonts w:cs="Times New Roman"/>
                <w:sz w:val="22"/>
                <w:lang w:eastAsia="ar-SA"/>
              </w:rPr>
              <w:t>.</w:t>
            </w:r>
          </w:p>
        </w:tc>
        <w:tc>
          <w:tcPr>
            <w:tcW w:w="3686" w:type="dxa"/>
            <w:vAlign w:val="center"/>
          </w:tcPr>
          <w:p w14:paraId="6752B038" w14:textId="77777777" w:rsidR="002B1603" w:rsidRPr="00A07F29" w:rsidRDefault="002B1603" w:rsidP="002B1603">
            <w:pPr>
              <w:suppressAutoHyphens/>
              <w:rPr>
                <w:rFonts w:cs="Times New Roman"/>
                <w:b/>
                <w:sz w:val="22"/>
                <w:lang w:eastAsia="ar-SA"/>
              </w:rPr>
            </w:pPr>
            <w:r w:rsidRPr="00A07F29">
              <w:rPr>
                <w:rFonts w:cs="Times New Roman"/>
                <w:b/>
                <w:color w:val="000000"/>
                <w:sz w:val="22"/>
                <w:lang w:eastAsia="ar-SA"/>
              </w:rPr>
              <w:t>6450 Palieņu zālāji</w:t>
            </w:r>
          </w:p>
        </w:tc>
        <w:tc>
          <w:tcPr>
            <w:tcW w:w="1984" w:type="dxa"/>
            <w:vAlign w:val="center"/>
          </w:tcPr>
          <w:p w14:paraId="6A3F4569" w14:textId="77777777" w:rsidR="002B1603" w:rsidRPr="00A07F29" w:rsidRDefault="002B1603" w:rsidP="002B1603">
            <w:pPr>
              <w:suppressAutoHyphens/>
              <w:jc w:val="center"/>
              <w:rPr>
                <w:rFonts w:cs="Times New Roman"/>
                <w:color w:val="000000"/>
                <w:sz w:val="22"/>
                <w:lang w:eastAsia="ar-SA"/>
              </w:rPr>
            </w:pPr>
            <w:r w:rsidRPr="00A07F29">
              <w:rPr>
                <w:rFonts w:cs="Times New Roman"/>
                <w:color w:val="000000"/>
                <w:sz w:val="22"/>
                <w:lang w:eastAsia="ar-SA"/>
              </w:rPr>
              <w:t>193,6</w:t>
            </w:r>
          </w:p>
        </w:tc>
        <w:tc>
          <w:tcPr>
            <w:tcW w:w="1843" w:type="dxa"/>
            <w:vAlign w:val="center"/>
          </w:tcPr>
          <w:p w14:paraId="1856AAA8" w14:textId="3C4529C7" w:rsidR="00DF50F4" w:rsidRPr="00A07F29" w:rsidRDefault="007919AB" w:rsidP="007919AB">
            <w:pPr>
              <w:suppressAutoHyphens/>
              <w:jc w:val="center"/>
              <w:rPr>
                <w:rFonts w:cs="Times New Roman"/>
                <w:sz w:val="22"/>
                <w:lang w:eastAsia="ar-SA"/>
              </w:rPr>
            </w:pPr>
            <w:r w:rsidRPr="00A07F29">
              <w:rPr>
                <w:rFonts w:cs="Times New Roman"/>
                <w:sz w:val="22"/>
                <w:lang w:eastAsia="ar-SA"/>
              </w:rPr>
              <w:t>120,47</w:t>
            </w:r>
          </w:p>
        </w:tc>
        <w:tc>
          <w:tcPr>
            <w:tcW w:w="1134" w:type="dxa"/>
            <w:vAlign w:val="center"/>
          </w:tcPr>
          <w:p w14:paraId="4FDDBCE2" w14:textId="650DF1EA" w:rsidR="002B1603" w:rsidRPr="00A07F29" w:rsidRDefault="002B1603" w:rsidP="007919AB">
            <w:pPr>
              <w:suppressAutoHyphens/>
              <w:jc w:val="center"/>
              <w:rPr>
                <w:rFonts w:cs="Times New Roman"/>
                <w:b/>
                <w:color w:val="000000"/>
                <w:sz w:val="22"/>
                <w:lang w:eastAsia="ar-SA"/>
              </w:rPr>
            </w:pPr>
            <w:r w:rsidRPr="00A07F29">
              <w:rPr>
                <w:rFonts w:cs="Times New Roman"/>
                <w:b/>
                <w:color w:val="000000"/>
                <w:sz w:val="22"/>
                <w:lang w:eastAsia="ar-SA"/>
              </w:rPr>
              <w:t>-7</w:t>
            </w:r>
            <w:r w:rsidR="007919AB" w:rsidRPr="00A07F29">
              <w:rPr>
                <w:rFonts w:cs="Times New Roman"/>
                <w:b/>
                <w:color w:val="000000"/>
                <w:sz w:val="22"/>
                <w:lang w:eastAsia="ar-SA"/>
              </w:rPr>
              <w:t>3.13</w:t>
            </w:r>
          </w:p>
        </w:tc>
        <w:tc>
          <w:tcPr>
            <w:tcW w:w="3969" w:type="dxa"/>
            <w:vAlign w:val="center"/>
          </w:tcPr>
          <w:p w14:paraId="08A3F961" w14:textId="77777777" w:rsidR="002B1603" w:rsidRPr="00A07F29" w:rsidRDefault="002B1603" w:rsidP="002B1603">
            <w:pPr>
              <w:suppressAutoHyphens/>
              <w:rPr>
                <w:rFonts w:cs="Times New Roman"/>
                <w:sz w:val="22"/>
                <w:lang w:eastAsia="ar-SA"/>
              </w:rPr>
            </w:pPr>
            <w:r w:rsidRPr="00A07F29">
              <w:rPr>
                <w:rFonts w:cs="Times New Roman"/>
                <w:color w:val="000000"/>
                <w:sz w:val="22"/>
                <w:lang w:eastAsia="ar-SA"/>
              </w:rPr>
              <w:t xml:space="preserve">Detalizēta aizsargājamo biotopu inventarizācija AAA “Augšdaugava” </w:t>
            </w:r>
            <w:r w:rsidRPr="00A07F29">
              <w:rPr>
                <w:rFonts w:cs="Times New Roman"/>
                <w:i/>
                <w:color w:val="000000"/>
                <w:sz w:val="22"/>
                <w:lang w:eastAsia="ar-SA"/>
              </w:rPr>
              <w:t>Dabas skaitīšanas</w:t>
            </w:r>
            <w:r w:rsidRPr="00A07F29">
              <w:rPr>
                <w:rFonts w:cs="Times New Roman"/>
                <w:color w:val="000000"/>
                <w:sz w:val="22"/>
                <w:lang w:eastAsia="ar-SA"/>
              </w:rPr>
              <w:t xml:space="preserve"> ietvaros.</w:t>
            </w:r>
          </w:p>
        </w:tc>
      </w:tr>
      <w:tr w:rsidR="00C10491" w:rsidRPr="00A07F29" w14:paraId="6323057F" w14:textId="77777777" w:rsidTr="007E2DDD">
        <w:trPr>
          <w:jc w:val="center"/>
        </w:trPr>
        <w:tc>
          <w:tcPr>
            <w:tcW w:w="704" w:type="dxa"/>
            <w:vAlign w:val="center"/>
          </w:tcPr>
          <w:p w14:paraId="1E8B3F84" w14:textId="35EB97FC" w:rsidR="002B1603" w:rsidRPr="00A07F29" w:rsidRDefault="00DA613C" w:rsidP="00DA613C">
            <w:pPr>
              <w:suppressAutoHyphens/>
              <w:jc w:val="center"/>
              <w:rPr>
                <w:rFonts w:cs="Times New Roman"/>
                <w:sz w:val="22"/>
                <w:lang w:eastAsia="ar-SA"/>
              </w:rPr>
            </w:pPr>
            <w:r w:rsidRPr="00A07F29">
              <w:rPr>
                <w:rFonts w:cs="Times New Roman"/>
                <w:sz w:val="22"/>
                <w:lang w:eastAsia="ar-SA"/>
              </w:rPr>
              <w:t>12</w:t>
            </w:r>
            <w:r w:rsidR="002B1603" w:rsidRPr="00A07F29">
              <w:rPr>
                <w:rFonts w:cs="Times New Roman"/>
                <w:sz w:val="22"/>
                <w:lang w:eastAsia="ar-SA"/>
              </w:rPr>
              <w:t>.</w:t>
            </w:r>
          </w:p>
        </w:tc>
        <w:tc>
          <w:tcPr>
            <w:tcW w:w="3686" w:type="dxa"/>
            <w:vAlign w:val="center"/>
          </w:tcPr>
          <w:p w14:paraId="5F106AB7" w14:textId="77777777" w:rsidR="002B1603" w:rsidRPr="00A07F29" w:rsidRDefault="002B1603" w:rsidP="002B1603">
            <w:pPr>
              <w:suppressAutoHyphens/>
              <w:rPr>
                <w:rFonts w:cs="Times New Roman"/>
                <w:b/>
                <w:sz w:val="22"/>
                <w:lang w:eastAsia="ar-SA"/>
              </w:rPr>
            </w:pPr>
            <w:r w:rsidRPr="00A07F29">
              <w:rPr>
                <w:rFonts w:cs="Times New Roman"/>
                <w:b/>
                <w:color w:val="000000"/>
                <w:sz w:val="22"/>
                <w:lang w:eastAsia="ar-SA"/>
              </w:rPr>
              <w:t>6510 Mēreni mitras pļavas</w:t>
            </w:r>
          </w:p>
        </w:tc>
        <w:tc>
          <w:tcPr>
            <w:tcW w:w="1984" w:type="dxa"/>
            <w:vAlign w:val="center"/>
          </w:tcPr>
          <w:p w14:paraId="13DADE6D" w14:textId="77777777" w:rsidR="002B1603" w:rsidRPr="00A07F29" w:rsidRDefault="002B1603" w:rsidP="002B1603">
            <w:pPr>
              <w:suppressAutoHyphens/>
              <w:jc w:val="center"/>
              <w:rPr>
                <w:rFonts w:cs="Times New Roman"/>
                <w:color w:val="000000"/>
                <w:sz w:val="22"/>
                <w:lang w:eastAsia="ar-SA"/>
              </w:rPr>
            </w:pPr>
            <w:r w:rsidRPr="00A07F29">
              <w:rPr>
                <w:rFonts w:cs="Times New Roman"/>
                <w:color w:val="000000"/>
                <w:sz w:val="22"/>
                <w:lang w:eastAsia="ar-SA"/>
              </w:rPr>
              <w:t>54,59</w:t>
            </w:r>
          </w:p>
        </w:tc>
        <w:tc>
          <w:tcPr>
            <w:tcW w:w="1843" w:type="dxa"/>
            <w:vAlign w:val="center"/>
          </w:tcPr>
          <w:p w14:paraId="4E93BD4F" w14:textId="0E7BEBE3" w:rsidR="00DF50F4" w:rsidRPr="00A07F29" w:rsidRDefault="00DF50F4" w:rsidP="00DF50F4">
            <w:pPr>
              <w:suppressAutoHyphens/>
              <w:jc w:val="center"/>
              <w:rPr>
                <w:rFonts w:cs="Times New Roman"/>
                <w:sz w:val="22"/>
                <w:lang w:eastAsia="ar-SA"/>
              </w:rPr>
            </w:pPr>
            <w:r w:rsidRPr="00A07F29">
              <w:rPr>
                <w:rFonts w:cs="Times New Roman"/>
                <w:sz w:val="22"/>
                <w:lang w:eastAsia="ar-SA"/>
              </w:rPr>
              <w:t>28,0</w:t>
            </w:r>
            <w:r w:rsidR="007919AB" w:rsidRPr="00A07F29">
              <w:rPr>
                <w:rFonts w:cs="Times New Roman"/>
                <w:sz w:val="22"/>
                <w:lang w:eastAsia="ar-SA"/>
              </w:rPr>
              <w:t>4</w:t>
            </w:r>
          </w:p>
        </w:tc>
        <w:tc>
          <w:tcPr>
            <w:tcW w:w="1134" w:type="dxa"/>
            <w:vAlign w:val="center"/>
          </w:tcPr>
          <w:p w14:paraId="14D26501" w14:textId="69491D75" w:rsidR="002B1603" w:rsidRPr="00A07F29" w:rsidRDefault="002B1603" w:rsidP="007919AB">
            <w:pPr>
              <w:suppressAutoHyphens/>
              <w:jc w:val="center"/>
              <w:rPr>
                <w:rFonts w:cs="Times New Roman"/>
                <w:b/>
                <w:color w:val="000000"/>
                <w:sz w:val="22"/>
                <w:lang w:eastAsia="ar-SA"/>
              </w:rPr>
            </w:pPr>
            <w:r w:rsidRPr="00A07F29">
              <w:rPr>
                <w:rFonts w:cs="Times New Roman"/>
                <w:b/>
                <w:color w:val="000000"/>
                <w:sz w:val="22"/>
                <w:lang w:eastAsia="ar-SA"/>
              </w:rPr>
              <w:t>-</w:t>
            </w:r>
            <w:r w:rsidR="007A37AF" w:rsidRPr="00A07F29">
              <w:rPr>
                <w:rFonts w:cs="Times New Roman"/>
                <w:b/>
                <w:color w:val="000000"/>
                <w:sz w:val="22"/>
                <w:lang w:eastAsia="ar-SA"/>
              </w:rPr>
              <w:t>26,5</w:t>
            </w:r>
            <w:r w:rsidR="007919AB" w:rsidRPr="00A07F29">
              <w:rPr>
                <w:rFonts w:cs="Times New Roman"/>
                <w:b/>
                <w:color w:val="000000"/>
                <w:sz w:val="22"/>
                <w:lang w:eastAsia="ar-SA"/>
              </w:rPr>
              <w:t>5</w:t>
            </w:r>
          </w:p>
        </w:tc>
        <w:tc>
          <w:tcPr>
            <w:tcW w:w="3969" w:type="dxa"/>
            <w:vAlign w:val="center"/>
          </w:tcPr>
          <w:p w14:paraId="6679A104" w14:textId="77777777" w:rsidR="002B1603" w:rsidRPr="00A07F29" w:rsidRDefault="002B1603" w:rsidP="002B1603">
            <w:pPr>
              <w:suppressAutoHyphens/>
              <w:rPr>
                <w:rFonts w:cs="Times New Roman"/>
                <w:sz w:val="22"/>
                <w:lang w:eastAsia="ar-SA"/>
              </w:rPr>
            </w:pPr>
            <w:r w:rsidRPr="00A07F29">
              <w:rPr>
                <w:rFonts w:cs="Times New Roman"/>
                <w:color w:val="000000"/>
                <w:sz w:val="22"/>
                <w:lang w:eastAsia="ar-SA"/>
              </w:rPr>
              <w:t xml:space="preserve">Detalizēta aizsargājamo biotopu inventarizācija AAA “Augšdaugava” </w:t>
            </w:r>
            <w:r w:rsidRPr="00A07F29">
              <w:rPr>
                <w:rFonts w:cs="Times New Roman"/>
                <w:i/>
                <w:color w:val="000000"/>
                <w:sz w:val="22"/>
                <w:lang w:eastAsia="ar-SA"/>
              </w:rPr>
              <w:t>Dabas skaitīšanas</w:t>
            </w:r>
            <w:r w:rsidRPr="00A07F29">
              <w:rPr>
                <w:rFonts w:cs="Times New Roman"/>
                <w:color w:val="000000"/>
                <w:sz w:val="22"/>
                <w:lang w:eastAsia="ar-SA"/>
              </w:rPr>
              <w:t xml:space="preserve"> ietvaros.</w:t>
            </w:r>
          </w:p>
        </w:tc>
      </w:tr>
      <w:tr w:rsidR="002B1603" w:rsidRPr="00A07F29" w14:paraId="1E76A5D2" w14:textId="77777777" w:rsidTr="007E2DDD">
        <w:trPr>
          <w:jc w:val="center"/>
        </w:trPr>
        <w:tc>
          <w:tcPr>
            <w:tcW w:w="13320" w:type="dxa"/>
            <w:gridSpan w:val="6"/>
            <w:shd w:val="clear" w:color="auto" w:fill="C5E0B3"/>
            <w:vAlign w:val="center"/>
          </w:tcPr>
          <w:p w14:paraId="5196BA51" w14:textId="77777777" w:rsidR="002B1603" w:rsidRPr="00A07F29" w:rsidRDefault="002B1603" w:rsidP="002B1603">
            <w:pPr>
              <w:tabs>
                <w:tab w:val="left" w:pos="8810"/>
              </w:tabs>
              <w:suppressAutoHyphens/>
              <w:jc w:val="center"/>
              <w:rPr>
                <w:rFonts w:cs="Times New Roman"/>
                <w:b/>
                <w:sz w:val="22"/>
                <w:lang w:eastAsia="ar-SA"/>
              </w:rPr>
            </w:pPr>
            <w:r w:rsidRPr="00A07F29">
              <w:rPr>
                <w:rFonts w:cs="Times New Roman"/>
                <w:b/>
                <w:lang w:eastAsia="ar-SA"/>
              </w:rPr>
              <w:t>Purvu biotopi</w:t>
            </w:r>
          </w:p>
        </w:tc>
      </w:tr>
      <w:tr w:rsidR="00C10491" w:rsidRPr="00A07F29" w14:paraId="374E3BD7" w14:textId="77777777" w:rsidTr="007E2DDD">
        <w:trPr>
          <w:jc w:val="center"/>
        </w:trPr>
        <w:tc>
          <w:tcPr>
            <w:tcW w:w="704" w:type="dxa"/>
            <w:vAlign w:val="center"/>
          </w:tcPr>
          <w:p w14:paraId="48C42E73" w14:textId="4763DEC1" w:rsidR="002B1603" w:rsidRPr="00A07F29" w:rsidRDefault="00DA613C" w:rsidP="00DA613C">
            <w:pPr>
              <w:suppressAutoHyphens/>
              <w:jc w:val="center"/>
              <w:rPr>
                <w:rFonts w:cs="Times New Roman"/>
                <w:sz w:val="22"/>
                <w:lang w:eastAsia="ar-SA"/>
              </w:rPr>
            </w:pPr>
            <w:r w:rsidRPr="00A07F29">
              <w:rPr>
                <w:rFonts w:cs="Times New Roman"/>
                <w:sz w:val="22"/>
                <w:lang w:eastAsia="ar-SA"/>
              </w:rPr>
              <w:t>13</w:t>
            </w:r>
            <w:r w:rsidR="002B1603" w:rsidRPr="00A07F29">
              <w:rPr>
                <w:rFonts w:cs="Times New Roman"/>
                <w:sz w:val="22"/>
                <w:lang w:eastAsia="ar-SA"/>
              </w:rPr>
              <w:t>.</w:t>
            </w:r>
          </w:p>
        </w:tc>
        <w:tc>
          <w:tcPr>
            <w:tcW w:w="3686" w:type="dxa"/>
            <w:vAlign w:val="center"/>
          </w:tcPr>
          <w:p w14:paraId="2936BE5B" w14:textId="77777777" w:rsidR="002B1603" w:rsidRPr="00A07F29" w:rsidRDefault="002B1603" w:rsidP="002B1603">
            <w:pPr>
              <w:suppressAutoHyphens/>
              <w:rPr>
                <w:rFonts w:cs="Times New Roman"/>
                <w:b/>
                <w:sz w:val="22"/>
                <w:lang w:eastAsia="ar-SA"/>
              </w:rPr>
            </w:pPr>
            <w:r w:rsidRPr="00A07F29">
              <w:rPr>
                <w:rFonts w:cs="Times New Roman"/>
                <w:b/>
                <w:sz w:val="22"/>
                <w:lang w:eastAsia="ar-SA"/>
              </w:rPr>
              <w:t>7110* Aktīvi augstie purvi</w:t>
            </w:r>
          </w:p>
        </w:tc>
        <w:tc>
          <w:tcPr>
            <w:tcW w:w="1984" w:type="dxa"/>
            <w:vAlign w:val="center"/>
          </w:tcPr>
          <w:p w14:paraId="343174F6" w14:textId="77777777" w:rsidR="002B1603" w:rsidRPr="00A07F29" w:rsidRDefault="002B1603" w:rsidP="002B1603">
            <w:pPr>
              <w:suppressAutoHyphens/>
              <w:jc w:val="center"/>
              <w:rPr>
                <w:rFonts w:cs="Times New Roman"/>
                <w:color w:val="000000"/>
                <w:sz w:val="22"/>
                <w:lang w:eastAsia="ar-SA"/>
              </w:rPr>
            </w:pPr>
            <w:r w:rsidRPr="00A07F29">
              <w:rPr>
                <w:rFonts w:cs="Times New Roman"/>
                <w:color w:val="000000"/>
                <w:sz w:val="22"/>
                <w:lang w:eastAsia="ar-SA"/>
              </w:rPr>
              <w:t>1,12</w:t>
            </w:r>
          </w:p>
        </w:tc>
        <w:tc>
          <w:tcPr>
            <w:tcW w:w="1843" w:type="dxa"/>
            <w:vAlign w:val="center"/>
          </w:tcPr>
          <w:p w14:paraId="6860DB47" w14:textId="0596928C" w:rsidR="002B1603" w:rsidRPr="00A07F29" w:rsidRDefault="002B1603" w:rsidP="007A37AF">
            <w:pPr>
              <w:suppressAutoHyphens/>
              <w:jc w:val="center"/>
              <w:rPr>
                <w:rFonts w:cs="Times New Roman"/>
                <w:sz w:val="22"/>
                <w:lang w:eastAsia="ar-SA"/>
              </w:rPr>
            </w:pPr>
            <w:r w:rsidRPr="00A07F29">
              <w:rPr>
                <w:rFonts w:cs="Times New Roman"/>
                <w:sz w:val="22"/>
                <w:lang w:eastAsia="ar-SA"/>
              </w:rPr>
              <w:t>4,</w:t>
            </w:r>
            <w:r w:rsidR="007A37AF" w:rsidRPr="00A07F29">
              <w:rPr>
                <w:rFonts w:cs="Times New Roman"/>
                <w:sz w:val="22"/>
                <w:lang w:eastAsia="ar-SA"/>
              </w:rPr>
              <w:t>67</w:t>
            </w:r>
          </w:p>
        </w:tc>
        <w:tc>
          <w:tcPr>
            <w:tcW w:w="1134" w:type="dxa"/>
            <w:vAlign w:val="center"/>
          </w:tcPr>
          <w:p w14:paraId="66C931CB" w14:textId="13D126F2" w:rsidR="002B1603" w:rsidRPr="00A07F29" w:rsidRDefault="002B1603" w:rsidP="007A37AF">
            <w:pPr>
              <w:suppressAutoHyphens/>
              <w:jc w:val="center"/>
              <w:rPr>
                <w:rFonts w:cs="Times New Roman"/>
                <w:b/>
                <w:color w:val="000000"/>
                <w:sz w:val="22"/>
                <w:lang w:eastAsia="ar-SA"/>
              </w:rPr>
            </w:pPr>
            <w:r w:rsidRPr="00A07F29">
              <w:rPr>
                <w:rFonts w:cs="Times New Roman"/>
                <w:b/>
                <w:color w:val="000000"/>
                <w:sz w:val="22"/>
                <w:lang w:eastAsia="ar-SA"/>
              </w:rPr>
              <w:t>+3,</w:t>
            </w:r>
            <w:r w:rsidR="007A37AF" w:rsidRPr="00A07F29">
              <w:rPr>
                <w:rFonts w:cs="Times New Roman"/>
                <w:b/>
                <w:color w:val="000000"/>
                <w:sz w:val="22"/>
                <w:lang w:eastAsia="ar-SA"/>
              </w:rPr>
              <w:t>55</w:t>
            </w:r>
          </w:p>
        </w:tc>
        <w:tc>
          <w:tcPr>
            <w:tcW w:w="3969" w:type="dxa"/>
            <w:vAlign w:val="center"/>
          </w:tcPr>
          <w:p w14:paraId="4F883461" w14:textId="77777777" w:rsidR="002B1603" w:rsidRPr="00A07F29" w:rsidRDefault="002B1603" w:rsidP="002B1603">
            <w:pPr>
              <w:suppressAutoHyphens/>
              <w:rPr>
                <w:rFonts w:cs="Times New Roman"/>
                <w:sz w:val="22"/>
                <w:lang w:eastAsia="ar-SA"/>
              </w:rPr>
            </w:pPr>
            <w:r w:rsidRPr="00A07F29">
              <w:rPr>
                <w:rFonts w:cs="Times New Roman"/>
                <w:color w:val="000000"/>
                <w:sz w:val="22"/>
                <w:lang w:eastAsia="ar-SA"/>
              </w:rPr>
              <w:t xml:space="preserve">Detalizēta aizsargājamo biotopu inventarizācija AAA “Augšdaugava” </w:t>
            </w:r>
            <w:r w:rsidRPr="00A07F29">
              <w:rPr>
                <w:rFonts w:cs="Times New Roman"/>
                <w:i/>
                <w:color w:val="000000"/>
                <w:sz w:val="22"/>
                <w:lang w:eastAsia="ar-SA"/>
              </w:rPr>
              <w:t>Dabas skaitīšanas</w:t>
            </w:r>
            <w:r w:rsidRPr="00A07F29">
              <w:rPr>
                <w:rFonts w:cs="Times New Roman"/>
                <w:color w:val="000000"/>
                <w:sz w:val="22"/>
                <w:lang w:eastAsia="ar-SA"/>
              </w:rPr>
              <w:t xml:space="preserve"> ietvaros.</w:t>
            </w:r>
          </w:p>
        </w:tc>
      </w:tr>
      <w:tr w:rsidR="00C10491" w:rsidRPr="00A07F29" w14:paraId="4E1BDB95" w14:textId="77777777" w:rsidTr="007E2DDD">
        <w:trPr>
          <w:jc w:val="center"/>
        </w:trPr>
        <w:tc>
          <w:tcPr>
            <w:tcW w:w="704" w:type="dxa"/>
            <w:vAlign w:val="center"/>
          </w:tcPr>
          <w:p w14:paraId="4F5A6F56" w14:textId="513C9F90" w:rsidR="002B1603" w:rsidRPr="00A07F29" w:rsidRDefault="00DA613C" w:rsidP="00DA613C">
            <w:pPr>
              <w:suppressAutoHyphens/>
              <w:jc w:val="center"/>
              <w:rPr>
                <w:rFonts w:cs="Times New Roman"/>
                <w:sz w:val="22"/>
                <w:lang w:eastAsia="ar-SA"/>
              </w:rPr>
            </w:pPr>
            <w:r w:rsidRPr="00A07F29">
              <w:rPr>
                <w:rFonts w:cs="Times New Roman"/>
                <w:sz w:val="22"/>
                <w:lang w:eastAsia="ar-SA"/>
              </w:rPr>
              <w:t>14</w:t>
            </w:r>
            <w:r w:rsidR="002B1603" w:rsidRPr="00A07F29">
              <w:rPr>
                <w:rFonts w:cs="Times New Roman"/>
                <w:sz w:val="22"/>
                <w:lang w:eastAsia="ar-SA"/>
              </w:rPr>
              <w:t>.</w:t>
            </w:r>
          </w:p>
        </w:tc>
        <w:tc>
          <w:tcPr>
            <w:tcW w:w="3686" w:type="dxa"/>
            <w:vAlign w:val="center"/>
          </w:tcPr>
          <w:p w14:paraId="5B6E13FA" w14:textId="77777777" w:rsidR="002B1603" w:rsidRPr="00A07F29" w:rsidRDefault="002B1603" w:rsidP="002B1603">
            <w:pPr>
              <w:suppressAutoHyphens/>
              <w:rPr>
                <w:rFonts w:cs="Times New Roman"/>
                <w:b/>
                <w:sz w:val="22"/>
                <w:lang w:eastAsia="ar-SA"/>
              </w:rPr>
            </w:pPr>
            <w:r w:rsidRPr="00A07F29">
              <w:rPr>
                <w:rFonts w:cs="Times New Roman"/>
                <w:b/>
                <w:sz w:val="22"/>
                <w:lang w:eastAsia="ar-SA"/>
              </w:rPr>
              <w:t xml:space="preserve">7120 </w:t>
            </w:r>
            <w:r w:rsidRPr="00A07F29">
              <w:rPr>
                <w:rFonts w:cs="Times New Roman"/>
                <w:b/>
                <w:color w:val="000000"/>
                <w:sz w:val="22"/>
                <w:lang w:eastAsia="ar-SA"/>
              </w:rPr>
              <w:t>Degradēti augstie purvi, kuros iespējama vai noris dabiskā atjaunošanās</w:t>
            </w:r>
          </w:p>
        </w:tc>
        <w:tc>
          <w:tcPr>
            <w:tcW w:w="1984" w:type="dxa"/>
            <w:vAlign w:val="center"/>
          </w:tcPr>
          <w:p w14:paraId="29014094" w14:textId="77777777" w:rsidR="002B1603" w:rsidRPr="00A07F29" w:rsidRDefault="002B1603" w:rsidP="002B1603">
            <w:pPr>
              <w:suppressAutoHyphens/>
              <w:jc w:val="center"/>
              <w:rPr>
                <w:rFonts w:cs="Times New Roman"/>
                <w:color w:val="000000"/>
                <w:sz w:val="22"/>
                <w:lang w:eastAsia="ar-SA"/>
              </w:rPr>
            </w:pPr>
            <w:r w:rsidRPr="00A07F29">
              <w:rPr>
                <w:rFonts w:cs="Times New Roman"/>
                <w:color w:val="000000"/>
                <w:sz w:val="22"/>
                <w:lang w:eastAsia="ar-SA"/>
              </w:rPr>
              <w:t>-</w:t>
            </w:r>
          </w:p>
        </w:tc>
        <w:tc>
          <w:tcPr>
            <w:tcW w:w="1843" w:type="dxa"/>
            <w:vAlign w:val="center"/>
          </w:tcPr>
          <w:p w14:paraId="301730AE" w14:textId="69CF5EA3" w:rsidR="002B1603" w:rsidRPr="00A07F29" w:rsidRDefault="002B1603" w:rsidP="007A37AF">
            <w:pPr>
              <w:suppressAutoHyphens/>
              <w:jc w:val="center"/>
              <w:rPr>
                <w:rFonts w:cs="Times New Roman"/>
                <w:sz w:val="22"/>
                <w:lang w:eastAsia="ar-SA"/>
              </w:rPr>
            </w:pPr>
            <w:r w:rsidRPr="00A07F29">
              <w:rPr>
                <w:rFonts w:cs="Times New Roman"/>
                <w:sz w:val="22"/>
                <w:lang w:eastAsia="ar-SA"/>
              </w:rPr>
              <w:t>0,96</w:t>
            </w:r>
          </w:p>
        </w:tc>
        <w:tc>
          <w:tcPr>
            <w:tcW w:w="1134" w:type="dxa"/>
            <w:vAlign w:val="center"/>
          </w:tcPr>
          <w:p w14:paraId="04B33E8F" w14:textId="536E815C" w:rsidR="002B1603" w:rsidRPr="00A07F29" w:rsidRDefault="002B1603" w:rsidP="007A37AF">
            <w:pPr>
              <w:suppressAutoHyphens/>
              <w:jc w:val="center"/>
              <w:rPr>
                <w:rFonts w:cs="Times New Roman"/>
                <w:b/>
                <w:color w:val="000000"/>
                <w:sz w:val="22"/>
                <w:lang w:eastAsia="ar-SA"/>
              </w:rPr>
            </w:pPr>
            <w:r w:rsidRPr="00A07F29">
              <w:rPr>
                <w:rFonts w:cs="Times New Roman"/>
                <w:b/>
                <w:color w:val="000000"/>
                <w:sz w:val="22"/>
                <w:lang w:eastAsia="ar-SA"/>
              </w:rPr>
              <w:t>+0,96</w:t>
            </w:r>
          </w:p>
        </w:tc>
        <w:tc>
          <w:tcPr>
            <w:tcW w:w="3969" w:type="dxa"/>
            <w:vAlign w:val="center"/>
          </w:tcPr>
          <w:p w14:paraId="6B73A207" w14:textId="77777777" w:rsidR="002B1603" w:rsidRPr="00A07F29" w:rsidRDefault="002B1603" w:rsidP="002B1603">
            <w:pPr>
              <w:suppressAutoHyphens/>
              <w:rPr>
                <w:rFonts w:cs="Times New Roman"/>
                <w:sz w:val="22"/>
                <w:lang w:eastAsia="ar-SA"/>
              </w:rPr>
            </w:pPr>
            <w:r w:rsidRPr="00A07F29">
              <w:rPr>
                <w:rFonts w:cs="Times New Roman"/>
                <w:color w:val="000000"/>
                <w:sz w:val="22"/>
                <w:lang w:eastAsia="ar-SA"/>
              </w:rPr>
              <w:t xml:space="preserve">Detalizēta aizsargājamo biotopu inventarizācija AAA “Augšdaugava” </w:t>
            </w:r>
            <w:r w:rsidRPr="00A07F29">
              <w:rPr>
                <w:rFonts w:cs="Times New Roman"/>
                <w:i/>
                <w:color w:val="000000"/>
                <w:sz w:val="22"/>
                <w:lang w:eastAsia="ar-SA"/>
              </w:rPr>
              <w:t>Dabas skaitīšanas</w:t>
            </w:r>
            <w:r w:rsidRPr="00A07F29">
              <w:rPr>
                <w:rFonts w:cs="Times New Roman"/>
                <w:color w:val="000000"/>
                <w:sz w:val="22"/>
                <w:lang w:eastAsia="ar-SA"/>
              </w:rPr>
              <w:t xml:space="preserve"> ietvaros.</w:t>
            </w:r>
          </w:p>
        </w:tc>
      </w:tr>
      <w:tr w:rsidR="00C10491" w:rsidRPr="00A07F29" w14:paraId="1E45370C" w14:textId="77777777" w:rsidTr="007E2DDD">
        <w:trPr>
          <w:jc w:val="center"/>
        </w:trPr>
        <w:tc>
          <w:tcPr>
            <w:tcW w:w="704" w:type="dxa"/>
            <w:vAlign w:val="center"/>
          </w:tcPr>
          <w:p w14:paraId="1DC3B27B" w14:textId="45CF914A" w:rsidR="002B1603" w:rsidRPr="00A07F29" w:rsidRDefault="00DA613C" w:rsidP="00DA613C">
            <w:pPr>
              <w:suppressAutoHyphens/>
              <w:jc w:val="center"/>
              <w:rPr>
                <w:rFonts w:cs="Times New Roman"/>
                <w:sz w:val="22"/>
                <w:lang w:eastAsia="ar-SA"/>
              </w:rPr>
            </w:pPr>
            <w:r w:rsidRPr="00A07F29">
              <w:rPr>
                <w:rFonts w:cs="Times New Roman"/>
                <w:sz w:val="22"/>
                <w:lang w:eastAsia="ar-SA"/>
              </w:rPr>
              <w:t>15</w:t>
            </w:r>
            <w:r w:rsidR="002B1603" w:rsidRPr="00A07F29">
              <w:rPr>
                <w:rFonts w:cs="Times New Roman"/>
                <w:sz w:val="22"/>
                <w:lang w:eastAsia="ar-SA"/>
              </w:rPr>
              <w:t>.</w:t>
            </w:r>
          </w:p>
        </w:tc>
        <w:tc>
          <w:tcPr>
            <w:tcW w:w="3686" w:type="dxa"/>
            <w:vAlign w:val="center"/>
          </w:tcPr>
          <w:p w14:paraId="77A2D9DE" w14:textId="77777777" w:rsidR="002B1603" w:rsidRPr="00A07F29" w:rsidRDefault="002B1603" w:rsidP="002B1603">
            <w:pPr>
              <w:suppressAutoHyphens/>
              <w:rPr>
                <w:rFonts w:cs="Times New Roman"/>
                <w:b/>
                <w:sz w:val="22"/>
                <w:lang w:eastAsia="ar-SA"/>
              </w:rPr>
            </w:pPr>
            <w:r w:rsidRPr="00A07F29">
              <w:rPr>
                <w:rFonts w:cs="Times New Roman"/>
                <w:b/>
                <w:sz w:val="22"/>
                <w:lang w:eastAsia="ar-SA"/>
              </w:rPr>
              <w:t xml:space="preserve">7140 </w:t>
            </w:r>
            <w:r w:rsidRPr="00A07F29">
              <w:rPr>
                <w:rFonts w:cs="Times New Roman"/>
                <w:b/>
                <w:sz w:val="22"/>
                <w:shd w:val="clear" w:color="auto" w:fill="FFFFFF"/>
                <w:lang w:eastAsia="ar-SA"/>
              </w:rPr>
              <w:t>Pārejas purvi un slīkšņas</w:t>
            </w:r>
          </w:p>
        </w:tc>
        <w:tc>
          <w:tcPr>
            <w:tcW w:w="1984" w:type="dxa"/>
            <w:vAlign w:val="center"/>
          </w:tcPr>
          <w:p w14:paraId="3D8D1AE6" w14:textId="77777777" w:rsidR="002B1603" w:rsidRPr="00A07F29" w:rsidRDefault="002B1603" w:rsidP="002B1603">
            <w:pPr>
              <w:suppressAutoHyphens/>
              <w:jc w:val="center"/>
              <w:rPr>
                <w:rFonts w:cs="Times New Roman"/>
                <w:color w:val="000000"/>
                <w:sz w:val="22"/>
                <w:lang w:eastAsia="ar-SA"/>
              </w:rPr>
            </w:pPr>
            <w:r w:rsidRPr="00A07F29">
              <w:rPr>
                <w:rFonts w:cs="Times New Roman"/>
                <w:color w:val="000000"/>
                <w:sz w:val="22"/>
                <w:lang w:eastAsia="ar-SA"/>
              </w:rPr>
              <w:t>16,23</w:t>
            </w:r>
          </w:p>
        </w:tc>
        <w:tc>
          <w:tcPr>
            <w:tcW w:w="1843" w:type="dxa"/>
            <w:vAlign w:val="center"/>
          </w:tcPr>
          <w:p w14:paraId="694DD021" w14:textId="2CC8EF8D" w:rsidR="007A37AF" w:rsidRPr="00A07F29" w:rsidRDefault="007A37AF" w:rsidP="007A37AF">
            <w:pPr>
              <w:suppressAutoHyphens/>
              <w:jc w:val="center"/>
              <w:rPr>
                <w:rFonts w:cs="Times New Roman"/>
                <w:sz w:val="22"/>
                <w:lang w:eastAsia="ar-SA"/>
              </w:rPr>
            </w:pPr>
            <w:r w:rsidRPr="00A07F29">
              <w:rPr>
                <w:rFonts w:cs="Times New Roman"/>
                <w:sz w:val="22"/>
                <w:lang w:eastAsia="ar-SA"/>
              </w:rPr>
              <w:t>49,25</w:t>
            </w:r>
          </w:p>
        </w:tc>
        <w:tc>
          <w:tcPr>
            <w:tcW w:w="1134" w:type="dxa"/>
            <w:vAlign w:val="center"/>
          </w:tcPr>
          <w:p w14:paraId="69367560" w14:textId="4FE3C6E8" w:rsidR="002B1603" w:rsidRPr="00A07F29" w:rsidRDefault="002B1603" w:rsidP="007A37AF">
            <w:pPr>
              <w:suppressAutoHyphens/>
              <w:jc w:val="center"/>
              <w:rPr>
                <w:rFonts w:cs="Times New Roman"/>
                <w:b/>
                <w:color w:val="000000"/>
                <w:sz w:val="22"/>
                <w:lang w:eastAsia="ar-SA"/>
              </w:rPr>
            </w:pPr>
            <w:r w:rsidRPr="00A07F29">
              <w:rPr>
                <w:rFonts w:cs="Times New Roman"/>
                <w:b/>
                <w:color w:val="000000"/>
                <w:sz w:val="22"/>
                <w:lang w:eastAsia="ar-SA"/>
              </w:rPr>
              <w:t>+</w:t>
            </w:r>
            <w:r w:rsidR="007A37AF" w:rsidRPr="00A07F29">
              <w:rPr>
                <w:rFonts w:cs="Times New Roman"/>
                <w:b/>
                <w:color w:val="000000"/>
                <w:sz w:val="22"/>
                <w:lang w:eastAsia="ar-SA"/>
              </w:rPr>
              <w:t>33</w:t>
            </w:r>
            <w:r w:rsidRPr="00A07F29">
              <w:rPr>
                <w:rFonts w:cs="Times New Roman"/>
                <w:b/>
                <w:color w:val="000000"/>
                <w:sz w:val="22"/>
                <w:lang w:eastAsia="ar-SA"/>
              </w:rPr>
              <w:t>,</w:t>
            </w:r>
            <w:r w:rsidR="007A37AF" w:rsidRPr="00A07F29">
              <w:rPr>
                <w:rFonts w:cs="Times New Roman"/>
                <w:b/>
                <w:color w:val="000000"/>
                <w:sz w:val="22"/>
                <w:lang w:eastAsia="ar-SA"/>
              </w:rPr>
              <w:t>02</w:t>
            </w:r>
          </w:p>
        </w:tc>
        <w:tc>
          <w:tcPr>
            <w:tcW w:w="3969" w:type="dxa"/>
            <w:vAlign w:val="center"/>
          </w:tcPr>
          <w:p w14:paraId="6941D996" w14:textId="77777777" w:rsidR="002B1603" w:rsidRPr="00A07F29" w:rsidRDefault="002B1603" w:rsidP="002B1603">
            <w:pPr>
              <w:suppressAutoHyphens/>
              <w:rPr>
                <w:rFonts w:cs="Times New Roman"/>
                <w:sz w:val="22"/>
                <w:lang w:eastAsia="ar-SA"/>
              </w:rPr>
            </w:pPr>
            <w:r w:rsidRPr="00A07F29">
              <w:rPr>
                <w:rFonts w:cs="Times New Roman"/>
                <w:color w:val="000000"/>
                <w:sz w:val="22"/>
                <w:lang w:eastAsia="ar-SA"/>
              </w:rPr>
              <w:t xml:space="preserve">Detalizēta aizsargājamo biotopu inventarizācija AAA “Augšdaugava” </w:t>
            </w:r>
            <w:r w:rsidRPr="00A07F29">
              <w:rPr>
                <w:rFonts w:cs="Times New Roman"/>
                <w:i/>
                <w:color w:val="000000"/>
                <w:sz w:val="22"/>
                <w:lang w:eastAsia="ar-SA"/>
              </w:rPr>
              <w:t>Dabas skaitīšanas</w:t>
            </w:r>
            <w:r w:rsidRPr="00A07F29">
              <w:rPr>
                <w:rFonts w:cs="Times New Roman"/>
                <w:color w:val="000000"/>
                <w:sz w:val="22"/>
                <w:lang w:eastAsia="ar-SA"/>
              </w:rPr>
              <w:t xml:space="preserve"> ietvaros.</w:t>
            </w:r>
          </w:p>
        </w:tc>
      </w:tr>
      <w:tr w:rsidR="00C10491" w:rsidRPr="00A07F29" w14:paraId="205EB983" w14:textId="77777777" w:rsidTr="007E2DDD">
        <w:trPr>
          <w:jc w:val="center"/>
        </w:trPr>
        <w:tc>
          <w:tcPr>
            <w:tcW w:w="704" w:type="dxa"/>
            <w:vAlign w:val="center"/>
          </w:tcPr>
          <w:p w14:paraId="605D7BE2" w14:textId="6F20A62D" w:rsidR="002B1603" w:rsidRPr="00A07F29" w:rsidRDefault="00DA613C" w:rsidP="00DA613C">
            <w:pPr>
              <w:suppressAutoHyphens/>
              <w:jc w:val="center"/>
              <w:rPr>
                <w:rFonts w:cs="Times New Roman"/>
                <w:sz w:val="22"/>
                <w:lang w:eastAsia="ar-SA"/>
              </w:rPr>
            </w:pPr>
            <w:r w:rsidRPr="00A07F29">
              <w:rPr>
                <w:rFonts w:cs="Times New Roman"/>
                <w:sz w:val="22"/>
                <w:lang w:eastAsia="ar-SA"/>
              </w:rPr>
              <w:t>16</w:t>
            </w:r>
            <w:r w:rsidR="002B1603" w:rsidRPr="00A07F29">
              <w:rPr>
                <w:rFonts w:cs="Times New Roman"/>
                <w:sz w:val="22"/>
                <w:lang w:eastAsia="ar-SA"/>
              </w:rPr>
              <w:t>.</w:t>
            </w:r>
          </w:p>
        </w:tc>
        <w:tc>
          <w:tcPr>
            <w:tcW w:w="3686" w:type="dxa"/>
            <w:vAlign w:val="center"/>
          </w:tcPr>
          <w:p w14:paraId="7D66739A" w14:textId="77777777" w:rsidR="002B1603" w:rsidRPr="00A07F29" w:rsidRDefault="002B1603" w:rsidP="002B1603">
            <w:pPr>
              <w:suppressAutoHyphens/>
              <w:rPr>
                <w:rFonts w:cs="Times New Roman"/>
                <w:b/>
                <w:sz w:val="22"/>
                <w:lang w:eastAsia="ar-SA"/>
              </w:rPr>
            </w:pPr>
            <w:r w:rsidRPr="00A07F29">
              <w:rPr>
                <w:rFonts w:cs="Times New Roman"/>
                <w:b/>
                <w:color w:val="000000"/>
                <w:sz w:val="22"/>
                <w:lang w:eastAsia="ar-SA"/>
              </w:rPr>
              <w:t>7160 Minerālvielām bagāti avoti un avotu purvi</w:t>
            </w:r>
          </w:p>
        </w:tc>
        <w:tc>
          <w:tcPr>
            <w:tcW w:w="1984" w:type="dxa"/>
            <w:vAlign w:val="center"/>
          </w:tcPr>
          <w:p w14:paraId="5E6DC75D" w14:textId="77777777" w:rsidR="002B1603" w:rsidRPr="00A07F29" w:rsidRDefault="002B1603" w:rsidP="002B1603">
            <w:pPr>
              <w:suppressAutoHyphens/>
              <w:jc w:val="center"/>
              <w:rPr>
                <w:rFonts w:cs="Times New Roman"/>
                <w:color w:val="000000"/>
                <w:sz w:val="22"/>
                <w:lang w:eastAsia="ar-SA"/>
              </w:rPr>
            </w:pPr>
            <w:r w:rsidRPr="00A07F29">
              <w:rPr>
                <w:rFonts w:cs="Times New Roman"/>
                <w:color w:val="000000"/>
                <w:sz w:val="22"/>
                <w:lang w:eastAsia="ar-SA"/>
              </w:rPr>
              <w:t>1,44</w:t>
            </w:r>
          </w:p>
        </w:tc>
        <w:tc>
          <w:tcPr>
            <w:tcW w:w="1843" w:type="dxa"/>
            <w:vAlign w:val="center"/>
          </w:tcPr>
          <w:p w14:paraId="348634B2" w14:textId="54063D85" w:rsidR="002B1603" w:rsidRPr="00A07F29" w:rsidRDefault="002B1603" w:rsidP="007919AB">
            <w:pPr>
              <w:suppressAutoHyphens/>
              <w:jc w:val="center"/>
              <w:rPr>
                <w:rFonts w:cs="Times New Roman"/>
                <w:sz w:val="22"/>
                <w:lang w:eastAsia="ar-SA"/>
              </w:rPr>
            </w:pPr>
            <w:r w:rsidRPr="00A07F29">
              <w:rPr>
                <w:rFonts w:cs="Times New Roman"/>
                <w:sz w:val="22"/>
                <w:lang w:eastAsia="ar-SA"/>
              </w:rPr>
              <w:t>16,</w:t>
            </w:r>
            <w:r w:rsidR="007919AB" w:rsidRPr="00A07F29">
              <w:rPr>
                <w:rFonts w:cs="Times New Roman"/>
                <w:sz w:val="22"/>
                <w:lang w:eastAsia="ar-SA"/>
              </w:rPr>
              <w:t>19</w:t>
            </w:r>
          </w:p>
        </w:tc>
        <w:tc>
          <w:tcPr>
            <w:tcW w:w="1134" w:type="dxa"/>
            <w:vAlign w:val="center"/>
          </w:tcPr>
          <w:p w14:paraId="1BA05873" w14:textId="3FB1C92A" w:rsidR="002B1603" w:rsidRPr="00A07F29" w:rsidRDefault="002B1603" w:rsidP="007919AB">
            <w:pPr>
              <w:suppressAutoHyphens/>
              <w:jc w:val="center"/>
              <w:rPr>
                <w:rFonts w:cs="Times New Roman"/>
                <w:b/>
                <w:color w:val="000000"/>
                <w:sz w:val="22"/>
                <w:lang w:eastAsia="ar-SA"/>
              </w:rPr>
            </w:pPr>
            <w:r w:rsidRPr="00A07F29">
              <w:rPr>
                <w:rFonts w:cs="Times New Roman"/>
                <w:b/>
                <w:color w:val="000000"/>
                <w:sz w:val="22"/>
                <w:lang w:eastAsia="ar-SA"/>
              </w:rPr>
              <w:t>+</w:t>
            </w:r>
            <w:r w:rsidR="007A37AF" w:rsidRPr="00A07F29">
              <w:rPr>
                <w:rFonts w:cs="Times New Roman"/>
                <w:b/>
                <w:color w:val="000000"/>
                <w:sz w:val="22"/>
                <w:lang w:eastAsia="ar-SA"/>
              </w:rPr>
              <w:t>14,7</w:t>
            </w:r>
            <w:r w:rsidR="007919AB" w:rsidRPr="00A07F29">
              <w:rPr>
                <w:rFonts w:cs="Times New Roman"/>
                <w:b/>
                <w:color w:val="000000"/>
                <w:sz w:val="22"/>
                <w:lang w:eastAsia="ar-SA"/>
              </w:rPr>
              <w:t>5</w:t>
            </w:r>
          </w:p>
        </w:tc>
        <w:tc>
          <w:tcPr>
            <w:tcW w:w="3969" w:type="dxa"/>
            <w:vAlign w:val="center"/>
          </w:tcPr>
          <w:p w14:paraId="716DE7B3" w14:textId="77777777" w:rsidR="002B1603" w:rsidRPr="00A07F29" w:rsidRDefault="002B1603" w:rsidP="002B1603">
            <w:pPr>
              <w:suppressAutoHyphens/>
              <w:rPr>
                <w:rFonts w:cs="Times New Roman"/>
                <w:sz w:val="22"/>
                <w:lang w:eastAsia="ar-SA"/>
              </w:rPr>
            </w:pPr>
            <w:r w:rsidRPr="00A07F29">
              <w:rPr>
                <w:rFonts w:cs="Times New Roman"/>
                <w:color w:val="000000"/>
                <w:sz w:val="22"/>
                <w:lang w:eastAsia="ar-SA"/>
              </w:rPr>
              <w:t xml:space="preserve">Detalizēta aizsargājamo biotopu inventarizācija AAA “Augšdaugava” </w:t>
            </w:r>
            <w:r w:rsidRPr="00A07F29">
              <w:rPr>
                <w:rFonts w:cs="Times New Roman"/>
                <w:i/>
                <w:color w:val="000000"/>
                <w:sz w:val="22"/>
                <w:lang w:eastAsia="ar-SA"/>
              </w:rPr>
              <w:t>Dabas skaitīšanas</w:t>
            </w:r>
            <w:r w:rsidRPr="00A07F29">
              <w:rPr>
                <w:rFonts w:cs="Times New Roman"/>
                <w:color w:val="000000"/>
                <w:sz w:val="22"/>
                <w:lang w:eastAsia="ar-SA"/>
              </w:rPr>
              <w:t xml:space="preserve"> ietvaros.</w:t>
            </w:r>
          </w:p>
        </w:tc>
      </w:tr>
      <w:tr w:rsidR="00C10491" w:rsidRPr="00A07F29" w14:paraId="6352FDB2" w14:textId="77777777" w:rsidTr="007E2DDD">
        <w:trPr>
          <w:jc w:val="center"/>
        </w:trPr>
        <w:tc>
          <w:tcPr>
            <w:tcW w:w="704" w:type="dxa"/>
            <w:vAlign w:val="center"/>
          </w:tcPr>
          <w:p w14:paraId="6CFF9740" w14:textId="47A4466A" w:rsidR="002B1603" w:rsidRPr="00A07F29" w:rsidRDefault="00DA613C" w:rsidP="00DA613C">
            <w:pPr>
              <w:suppressAutoHyphens/>
              <w:jc w:val="center"/>
              <w:rPr>
                <w:rFonts w:cs="Times New Roman"/>
                <w:sz w:val="22"/>
                <w:lang w:eastAsia="ar-SA"/>
              </w:rPr>
            </w:pPr>
            <w:r w:rsidRPr="00A07F29">
              <w:rPr>
                <w:rFonts w:cs="Times New Roman"/>
                <w:sz w:val="22"/>
                <w:lang w:eastAsia="ar-SA"/>
              </w:rPr>
              <w:t>17</w:t>
            </w:r>
            <w:r w:rsidR="002B1603" w:rsidRPr="00A07F29">
              <w:rPr>
                <w:rFonts w:cs="Times New Roman"/>
                <w:sz w:val="22"/>
                <w:lang w:eastAsia="ar-SA"/>
              </w:rPr>
              <w:t>.</w:t>
            </w:r>
          </w:p>
        </w:tc>
        <w:tc>
          <w:tcPr>
            <w:tcW w:w="3686" w:type="dxa"/>
            <w:vAlign w:val="center"/>
          </w:tcPr>
          <w:p w14:paraId="245A6917" w14:textId="7C03C0A5" w:rsidR="002B1603" w:rsidRPr="00A07F29" w:rsidRDefault="002B1603" w:rsidP="002B1603">
            <w:pPr>
              <w:suppressAutoHyphens/>
              <w:rPr>
                <w:rFonts w:cs="Times New Roman"/>
                <w:b/>
                <w:sz w:val="22"/>
                <w:lang w:eastAsia="ar-SA"/>
              </w:rPr>
            </w:pPr>
            <w:r w:rsidRPr="00A07F29">
              <w:rPr>
                <w:rFonts w:cs="Times New Roman"/>
                <w:b/>
                <w:color w:val="000000"/>
                <w:sz w:val="22"/>
                <w:lang w:eastAsia="ar-SA"/>
              </w:rPr>
              <w:t>7220*Avoti, kas izgulsnē avotkaļķ</w:t>
            </w:r>
            <w:r w:rsidR="006A373E" w:rsidRPr="00A07F29">
              <w:rPr>
                <w:rFonts w:cs="Times New Roman"/>
                <w:b/>
                <w:color w:val="000000"/>
                <w:sz w:val="22"/>
                <w:lang w:eastAsia="ar-SA"/>
              </w:rPr>
              <w:t>us</w:t>
            </w:r>
          </w:p>
        </w:tc>
        <w:tc>
          <w:tcPr>
            <w:tcW w:w="1984" w:type="dxa"/>
            <w:vAlign w:val="center"/>
          </w:tcPr>
          <w:p w14:paraId="3B7E4E21" w14:textId="77777777" w:rsidR="002B1603" w:rsidRPr="00A07F29" w:rsidRDefault="002B1603" w:rsidP="002B1603">
            <w:pPr>
              <w:suppressAutoHyphens/>
              <w:jc w:val="center"/>
              <w:rPr>
                <w:rFonts w:cs="Times New Roman"/>
                <w:color w:val="000000"/>
                <w:sz w:val="22"/>
                <w:lang w:eastAsia="ar-SA"/>
              </w:rPr>
            </w:pPr>
            <w:r w:rsidRPr="00A07F29">
              <w:rPr>
                <w:rFonts w:cs="Times New Roman"/>
                <w:color w:val="000000"/>
                <w:sz w:val="22"/>
                <w:lang w:eastAsia="ar-SA"/>
              </w:rPr>
              <w:t>1,12</w:t>
            </w:r>
          </w:p>
        </w:tc>
        <w:tc>
          <w:tcPr>
            <w:tcW w:w="1843" w:type="dxa"/>
            <w:vAlign w:val="center"/>
          </w:tcPr>
          <w:p w14:paraId="7788195B" w14:textId="55A971ED" w:rsidR="002B1603" w:rsidRPr="00A07F29" w:rsidRDefault="002B1603" w:rsidP="007A37AF">
            <w:pPr>
              <w:suppressAutoHyphens/>
              <w:jc w:val="center"/>
              <w:rPr>
                <w:rFonts w:cs="Times New Roman"/>
                <w:sz w:val="22"/>
                <w:lang w:eastAsia="ar-SA"/>
              </w:rPr>
            </w:pPr>
            <w:r w:rsidRPr="00A07F29">
              <w:rPr>
                <w:rFonts w:cs="Times New Roman"/>
                <w:sz w:val="22"/>
                <w:lang w:eastAsia="ar-SA"/>
              </w:rPr>
              <w:t>0,</w:t>
            </w:r>
            <w:r w:rsidR="007A37AF" w:rsidRPr="00A07F29">
              <w:rPr>
                <w:rFonts w:cs="Times New Roman"/>
                <w:sz w:val="22"/>
                <w:lang w:eastAsia="ar-SA"/>
              </w:rPr>
              <w:t>56</w:t>
            </w:r>
          </w:p>
        </w:tc>
        <w:tc>
          <w:tcPr>
            <w:tcW w:w="1134" w:type="dxa"/>
            <w:vAlign w:val="center"/>
          </w:tcPr>
          <w:p w14:paraId="3B41C24D" w14:textId="60846F5B" w:rsidR="002B1603" w:rsidRPr="00A07F29" w:rsidRDefault="002B1603" w:rsidP="007A37AF">
            <w:pPr>
              <w:suppressAutoHyphens/>
              <w:jc w:val="center"/>
              <w:rPr>
                <w:rFonts w:cs="Times New Roman"/>
                <w:b/>
                <w:color w:val="000000"/>
                <w:sz w:val="22"/>
                <w:lang w:eastAsia="ar-SA"/>
              </w:rPr>
            </w:pPr>
            <w:r w:rsidRPr="00A07F29">
              <w:rPr>
                <w:rFonts w:cs="Times New Roman"/>
                <w:b/>
                <w:color w:val="000000"/>
                <w:sz w:val="22"/>
                <w:lang w:eastAsia="ar-SA"/>
              </w:rPr>
              <w:t>-0,56</w:t>
            </w:r>
          </w:p>
        </w:tc>
        <w:tc>
          <w:tcPr>
            <w:tcW w:w="3969" w:type="dxa"/>
            <w:vAlign w:val="center"/>
          </w:tcPr>
          <w:p w14:paraId="64C7E2C1" w14:textId="77777777" w:rsidR="002B1603" w:rsidRPr="00A07F29" w:rsidRDefault="002B1603" w:rsidP="002B1603">
            <w:pPr>
              <w:suppressAutoHyphens/>
              <w:rPr>
                <w:rFonts w:cs="Times New Roman"/>
                <w:sz w:val="22"/>
                <w:lang w:eastAsia="ar-SA"/>
              </w:rPr>
            </w:pPr>
            <w:r w:rsidRPr="00A07F29">
              <w:rPr>
                <w:rFonts w:cs="Times New Roman"/>
                <w:color w:val="000000"/>
                <w:sz w:val="22"/>
                <w:lang w:eastAsia="ar-SA"/>
              </w:rPr>
              <w:t xml:space="preserve">Detalizēta aizsargājamo biotopu inventarizācija AAA “Augšdaugava” </w:t>
            </w:r>
            <w:r w:rsidRPr="00A07F29">
              <w:rPr>
                <w:rFonts w:cs="Times New Roman"/>
                <w:i/>
                <w:color w:val="000000"/>
                <w:sz w:val="22"/>
                <w:lang w:eastAsia="ar-SA"/>
              </w:rPr>
              <w:t>Dabas skaitīšanas</w:t>
            </w:r>
            <w:r w:rsidRPr="00A07F29">
              <w:rPr>
                <w:rFonts w:cs="Times New Roman"/>
                <w:color w:val="000000"/>
                <w:sz w:val="22"/>
                <w:lang w:eastAsia="ar-SA"/>
              </w:rPr>
              <w:t xml:space="preserve"> ietvaros.</w:t>
            </w:r>
          </w:p>
        </w:tc>
      </w:tr>
      <w:tr w:rsidR="002B1603" w:rsidRPr="00A07F29" w14:paraId="5F7BBE0B" w14:textId="77777777" w:rsidTr="007E2DDD">
        <w:trPr>
          <w:jc w:val="center"/>
        </w:trPr>
        <w:tc>
          <w:tcPr>
            <w:tcW w:w="13320" w:type="dxa"/>
            <w:gridSpan w:val="6"/>
            <w:shd w:val="clear" w:color="auto" w:fill="C5E0B3"/>
            <w:vAlign w:val="center"/>
          </w:tcPr>
          <w:p w14:paraId="01DB91F9" w14:textId="77777777" w:rsidR="002B1603" w:rsidRPr="00A07F29" w:rsidRDefault="002B1603" w:rsidP="002B1603">
            <w:pPr>
              <w:suppressAutoHyphens/>
              <w:jc w:val="center"/>
              <w:rPr>
                <w:rFonts w:cs="Times New Roman"/>
                <w:b/>
                <w:sz w:val="22"/>
                <w:lang w:eastAsia="ar-SA"/>
              </w:rPr>
            </w:pPr>
            <w:r w:rsidRPr="00A07F29">
              <w:rPr>
                <w:rFonts w:cs="Times New Roman"/>
                <w:b/>
                <w:lang w:eastAsia="ar-SA"/>
              </w:rPr>
              <w:t>Mežu biotopi</w:t>
            </w:r>
          </w:p>
        </w:tc>
      </w:tr>
      <w:tr w:rsidR="00C10491" w:rsidRPr="00A07F29" w14:paraId="3B88E3E8" w14:textId="77777777" w:rsidTr="007E2DDD">
        <w:trPr>
          <w:jc w:val="center"/>
        </w:trPr>
        <w:tc>
          <w:tcPr>
            <w:tcW w:w="704" w:type="dxa"/>
            <w:vAlign w:val="center"/>
          </w:tcPr>
          <w:p w14:paraId="29369BDE" w14:textId="62F7EEEC" w:rsidR="002B1603" w:rsidRPr="00A07F29" w:rsidRDefault="00DA613C" w:rsidP="00DA613C">
            <w:pPr>
              <w:suppressAutoHyphens/>
              <w:jc w:val="center"/>
              <w:rPr>
                <w:rFonts w:cs="Times New Roman"/>
                <w:sz w:val="22"/>
                <w:lang w:eastAsia="ar-SA"/>
              </w:rPr>
            </w:pPr>
            <w:r w:rsidRPr="00A07F29">
              <w:rPr>
                <w:rFonts w:cs="Times New Roman"/>
                <w:sz w:val="22"/>
                <w:lang w:eastAsia="ar-SA"/>
              </w:rPr>
              <w:lastRenderedPageBreak/>
              <w:t>18</w:t>
            </w:r>
            <w:r w:rsidR="002B1603" w:rsidRPr="00A07F29">
              <w:rPr>
                <w:rFonts w:cs="Times New Roman"/>
                <w:sz w:val="22"/>
                <w:lang w:eastAsia="ar-SA"/>
              </w:rPr>
              <w:t>.</w:t>
            </w:r>
          </w:p>
        </w:tc>
        <w:tc>
          <w:tcPr>
            <w:tcW w:w="3686" w:type="dxa"/>
            <w:vAlign w:val="center"/>
          </w:tcPr>
          <w:p w14:paraId="2F066566" w14:textId="2576356F" w:rsidR="002B1603" w:rsidRPr="00A07F29" w:rsidRDefault="002B1603" w:rsidP="002B1603">
            <w:pPr>
              <w:suppressAutoHyphens/>
              <w:rPr>
                <w:rFonts w:cs="Times New Roman"/>
                <w:b/>
                <w:sz w:val="22"/>
                <w:lang w:eastAsia="ar-SA"/>
              </w:rPr>
            </w:pPr>
            <w:r w:rsidRPr="00A07F29">
              <w:rPr>
                <w:rFonts w:cs="Times New Roman"/>
                <w:b/>
                <w:sz w:val="22"/>
                <w:lang w:eastAsia="ar-SA"/>
              </w:rPr>
              <w:t xml:space="preserve">9010* Veci vai dabiski </w:t>
            </w:r>
            <w:proofErr w:type="spellStart"/>
            <w:r w:rsidRPr="00A07F29">
              <w:rPr>
                <w:rFonts w:cs="Times New Roman"/>
                <w:b/>
                <w:sz w:val="22"/>
                <w:lang w:eastAsia="ar-SA"/>
              </w:rPr>
              <w:t>boreāli</w:t>
            </w:r>
            <w:proofErr w:type="spellEnd"/>
            <w:r w:rsidRPr="00A07F29">
              <w:rPr>
                <w:rFonts w:cs="Times New Roman"/>
                <w:b/>
                <w:sz w:val="22"/>
                <w:lang w:eastAsia="ar-SA"/>
              </w:rPr>
              <w:t xml:space="preserve"> meži</w:t>
            </w:r>
          </w:p>
        </w:tc>
        <w:tc>
          <w:tcPr>
            <w:tcW w:w="1984" w:type="dxa"/>
            <w:vAlign w:val="center"/>
          </w:tcPr>
          <w:p w14:paraId="236CB40D" w14:textId="77777777" w:rsidR="002B1603" w:rsidRPr="00A07F29" w:rsidRDefault="002B1603" w:rsidP="002B1603">
            <w:pPr>
              <w:suppressAutoHyphens/>
              <w:jc w:val="center"/>
              <w:rPr>
                <w:rFonts w:cs="Times New Roman"/>
                <w:color w:val="000000"/>
                <w:sz w:val="22"/>
                <w:lang w:eastAsia="ar-SA"/>
              </w:rPr>
            </w:pPr>
            <w:r w:rsidRPr="00A07F29">
              <w:rPr>
                <w:rFonts w:cs="Times New Roman"/>
                <w:color w:val="000000"/>
                <w:sz w:val="22"/>
                <w:lang w:eastAsia="ar-SA"/>
              </w:rPr>
              <w:t>238,2</w:t>
            </w:r>
          </w:p>
        </w:tc>
        <w:tc>
          <w:tcPr>
            <w:tcW w:w="1843" w:type="dxa"/>
            <w:vAlign w:val="center"/>
          </w:tcPr>
          <w:p w14:paraId="1C4420D4" w14:textId="7B573F4A" w:rsidR="002B1603" w:rsidRPr="00A07F29" w:rsidRDefault="007919AB" w:rsidP="00297258">
            <w:pPr>
              <w:suppressAutoHyphens/>
              <w:jc w:val="center"/>
              <w:rPr>
                <w:rFonts w:cs="Times New Roman"/>
                <w:sz w:val="22"/>
                <w:lang w:eastAsia="ar-SA"/>
              </w:rPr>
            </w:pPr>
            <w:r w:rsidRPr="00A07F29">
              <w:rPr>
                <w:rFonts w:cs="Times New Roman"/>
                <w:color w:val="000000"/>
                <w:sz w:val="22"/>
                <w:lang w:eastAsia="ar-SA"/>
              </w:rPr>
              <w:t>1071,98</w:t>
            </w:r>
          </w:p>
        </w:tc>
        <w:tc>
          <w:tcPr>
            <w:tcW w:w="1134" w:type="dxa"/>
            <w:vAlign w:val="center"/>
          </w:tcPr>
          <w:p w14:paraId="7CAC3124" w14:textId="5EF8DFD1" w:rsidR="002B1603" w:rsidRPr="00A07F29" w:rsidRDefault="002B1603" w:rsidP="00297258">
            <w:pPr>
              <w:suppressAutoHyphens/>
              <w:jc w:val="center"/>
              <w:rPr>
                <w:rFonts w:cs="Times New Roman"/>
                <w:b/>
                <w:color w:val="000000"/>
                <w:sz w:val="22"/>
                <w:lang w:eastAsia="ar-SA"/>
              </w:rPr>
            </w:pPr>
            <w:r w:rsidRPr="00A07F29">
              <w:rPr>
                <w:rFonts w:cs="Times New Roman"/>
                <w:b/>
                <w:color w:val="000000"/>
                <w:sz w:val="22"/>
                <w:lang w:eastAsia="ar-SA"/>
              </w:rPr>
              <w:t>+8</w:t>
            </w:r>
            <w:r w:rsidR="005A7868" w:rsidRPr="00A07F29">
              <w:rPr>
                <w:rFonts w:cs="Times New Roman"/>
                <w:b/>
                <w:color w:val="000000"/>
                <w:sz w:val="22"/>
                <w:lang w:eastAsia="ar-SA"/>
              </w:rPr>
              <w:t>3</w:t>
            </w:r>
            <w:r w:rsidR="00297258" w:rsidRPr="00A07F29">
              <w:rPr>
                <w:rFonts w:cs="Times New Roman"/>
                <w:b/>
                <w:color w:val="000000"/>
                <w:sz w:val="22"/>
                <w:lang w:eastAsia="ar-SA"/>
              </w:rPr>
              <w:t>3,78</w:t>
            </w:r>
          </w:p>
        </w:tc>
        <w:tc>
          <w:tcPr>
            <w:tcW w:w="3969" w:type="dxa"/>
            <w:vAlign w:val="center"/>
          </w:tcPr>
          <w:p w14:paraId="74E620E5" w14:textId="7C73E019" w:rsidR="002B1603" w:rsidRPr="00A07F29" w:rsidRDefault="002B1603" w:rsidP="00672153">
            <w:pPr>
              <w:suppressAutoHyphens/>
              <w:rPr>
                <w:rFonts w:cs="Times New Roman"/>
                <w:sz w:val="22"/>
                <w:lang w:eastAsia="ar-SA"/>
              </w:rPr>
            </w:pPr>
            <w:r w:rsidRPr="00A07F29">
              <w:rPr>
                <w:rFonts w:cs="Times New Roman"/>
                <w:color w:val="000000"/>
                <w:sz w:val="22"/>
                <w:lang w:eastAsia="ar-SA"/>
              </w:rPr>
              <w:t xml:space="preserve">Detalizēta aizsargājamo biotopu inventarizācija AAA “Augšdaugava” </w:t>
            </w:r>
            <w:r w:rsidRPr="00A07F29">
              <w:rPr>
                <w:rFonts w:cs="Times New Roman"/>
                <w:i/>
                <w:color w:val="000000"/>
                <w:sz w:val="22"/>
                <w:lang w:eastAsia="ar-SA"/>
              </w:rPr>
              <w:t>Dabas skaitīšanas</w:t>
            </w:r>
            <w:r w:rsidRPr="00A07F29">
              <w:rPr>
                <w:rFonts w:cs="Times New Roman"/>
                <w:color w:val="000000"/>
                <w:sz w:val="22"/>
                <w:lang w:eastAsia="ar-SA"/>
              </w:rPr>
              <w:t xml:space="preserve"> ietvaros.</w:t>
            </w:r>
            <w:r w:rsidR="00672153" w:rsidRPr="00A07F29">
              <w:rPr>
                <w:rFonts w:cs="Times New Roman"/>
                <w:color w:val="000000"/>
                <w:sz w:val="22"/>
                <w:lang w:eastAsia="ar-SA"/>
              </w:rPr>
              <w:t xml:space="preserve"> Iepriekš nav bijusi veikta visu potenciāli ES nozīmes biotopiem atbilstošo meža platību apsekošana.</w:t>
            </w:r>
          </w:p>
        </w:tc>
      </w:tr>
      <w:tr w:rsidR="00C10491" w:rsidRPr="00A07F29" w14:paraId="12394FB1" w14:textId="77777777" w:rsidTr="007E2DDD">
        <w:trPr>
          <w:jc w:val="center"/>
        </w:trPr>
        <w:tc>
          <w:tcPr>
            <w:tcW w:w="704" w:type="dxa"/>
            <w:vAlign w:val="center"/>
          </w:tcPr>
          <w:p w14:paraId="0D9C18B8" w14:textId="3208D9DE" w:rsidR="002B1603" w:rsidRPr="00A07F29" w:rsidRDefault="00DA613C" w:rsidP="00DA613C">
            <w:pPr>
              <w:suppressAutoHyphens/>
              <w:jc w:val="center"/>
              <w:rPr>
                <w:rFonts w:cs="Times New Roman"/>
                <w:sz w:val="22"/>
                <w:lang w:eastAsia="ar-SA"/>
              </w:rPr>
            </w:pPr>
            <w:r w:rsidRPr="00A07F29">
              <w:rPr>
                <w:rFonts w:cs="Times New Roman"/>
                <w:sz w:val="22"/>
                <w:lang w:eastAsia="ar-SA"/>
              </w:rPr>
              <w:t>19</w:t>
            </w:r>
            <w:r w:rsidR="002B1603" w:rsidRPr="00A07F29">
              <w:rPr>
                <w:rFonts w:cs="Times New Roman"/>
                <w:sz w:val="22"/>
                <w:lang w:eastAsia="ar-SA"/>
              </w:rPr>
              <w:t>.</w:t>
            </w:r>
          </w:p>
        </w:tc>
        <w:tc>
          <w:tcPr>
            <w:tcW w:w="3686" w:type="dxa"/>
            <w:vAlign w:val="center"/>
          </w:tcPr>
          <w:p w14:paraId="386D11BA" w14:textId="77777777" w:rsidR="002B1603" w:rsidRPr="00A07F29" w:rsidRDefault="002B1603" w:rsidP="002B1603">
            <w:pPr>
              <w:suppressAutoHyphens/>
              <w:rPr>
                <w:rFonts w:cs="Times New Roman"/>
                <w:b/>
                <w:sz w:val="22"/>
                <w:lang w:eastAsia="ar-SA"/>
              </w:rPr>
            </w:pPr>
            <w:r w:rsidRPr="00A07F29">
              <w:rPr>
                <w:rFonts w:cs="Times New Roman"/>
                <w:b/>
                <w:sz w:val="22"/>
                <w:lang w:eastAsia="ar-SA"/>
              </w:rPr>
              <w:t>9020* Veci jaukti platlapju meži</w:t>
            </w:r>
          </w:p>
        </w:tc>
        <w:tc>
          <w:tcPr>
            <w:tcW w:w="1984" w:type="dxa"/>
            <w:vAlign w:val="center"/>
          </w:tcPr>
          <w:p w14:paraId="4B4DDFF7" w14:textId="77777777" w:rsidR="002B1603" w:rsidRPr="00A07F29" w:rsidRDefault="002B1603" w:rsidP="002B1603">
            <w:pPr>
              <w:suppressAutoHyphens/>
              <w:jc w:val="center"/>
              <w:rPr>
                <w:rFonts w:cs="Times New Roman"/>
                <w:color w:val="000000"/>
                <w:sz w:val="22"/>
                <w:lang w:eastAsia="ar-SA"/>
              </w:rPr>
            </w:pPr>
            <w:r w:rsidRPr="00A07F29">
              <w:rPr>
                <w:rFonts w:cs="Times New Roman"/>
                <w:color w:val="000000"/>
                <w:sz w:val="22"/>
                <w:lang w:eastAsia="ar-SA"/>
              </w:rPr>
              <w:t>-</w:t>
            </w:r>
          </w:p>
        </w:tc>
        <w:tc>
          <w:tcPr>
            <w:tcW w:w="1843" w:type="dxa"/>
            <w:vAlign w:val="center"/>
          </w:tcPr>
          <w:p w14:paraId="0595E6F1" w14:textId="7C6A51E6" w:rsidR="002B1603" w:rsidRPr="00A07F29" w:rsidRDefault="00297258" w:rsidP="00297258">
            <w:pPr>
              <w:suppressAutoHyphens/>
              <w:jc w:val="center"/>
              <w:rPr>
                <w:rFonts w:cs="Times New Roman"/>
                <w:sz w:val="22"/>
                <w:lang w:eastAsia="ar-SA"/>
              </w:rPr>
            </w:pPr>
            <w:r w:rsidRPr="00A07F29">
              <w:rPr>
                <w:rFonts w:cs="Times New Roman"/>
                <w:sz w:val="22"/>
                <w:lang w:eastAsia="ar-SA"/>
              </w:rPr>
              <w:t>29,65</w:t>
            </w:r>
          </w:p>
        </w:tc>
        <w:tc>
          <w:tcPr>
            <w:tcW w:w="1134" w:type="dxa"/>
            <w:vAlign w:val="center"/>
          </w:tcPr>
          <w:p w14:paraId="62C967B7" w14:textId="4FAA1D88" w:rsidR="002B1603" w:rsidRPr="00A07F29" w:rsidRDefault="002B1603" w:rsidP="005A7868">
            <w:pPr>
              <w:suppressAutoHyphens/>
              <w:jc w:val="center"/>
              <w:rPr>
                <w:rFonts w:cs="Times New Roman"/>
                <w:b/>
                <w:color w:val="000000"/>
                <w:sz w:val="22"/>
                <w:lang w:eastAsia="ar-SA"/>
              </w:rPr>
            </w:pPr>
            <w:r w:rsidRPr="00A07F29">
              <w:rPr>
                <w:rFonts w:cs="Times New Roman"/>
                <w:b/>
                <w:color w:val="000000"/>
                <w:sz w:val="22"/>
                <w:lang w:eastAsia="ar-SA"/>
              </w:rPr>
              <w:t>+</w:t>
            </w:r>
            <w:r w:rsidR="00297258" w:rsidRPr="00A07F29">
              <w:rPr>
                <w:rFonts w:cs="Times New Roman"/>
                <w:b/>
                <w:color w:val="000000"/>
                <w:sz w:val="22"/>
                <w:lang w:eastAsia="ar-SA"/>
              </w:rPr>
              <w:t>29,65</w:t>
            </w:r>
          </w:p>
        </w:tc>
        <w:tc>
          <w:tcPr>
            <w:tcW w:w="3969" w:type="dxa"/>
            <w:vAlign w:val="center"/>
          </w:tcPr>
          <w:p w14:paraId="639CD236" w14:textId="77777777" w:rsidR="002B1603" w:rsidRPr="00A07F29" w:rsidRDefault="002B1603" w:rsidP="002B1603">
            <w:pPr>
              <w:suppressAutoHyphens/>
              <w:rPr>
                <w:rFonts w:cs="Times New Roman"/>
                <w:sz w:val="22"/>
                <w:lang w:eastAsia="ar-SA"/>
              </w:rPr>
            </w:pPr>
            <w:r w:rsidRPr="00A07F29">
              <w:rPr>
                <w:rFonts w:cs="Times New Roman"/>
                <w:color w:val="000000"/>
                <w:sz w:val="22"/>
                <w:lang w:eastAsia="ar-SA"/>
              </w:rPr>
              <w:t xml:space="preserve">Detalizēta aizsargājamo biotopu inventarizācija AAA “Augšdaugava” </w:t>
            </w:r>
            <w:r w:rsidRPr="00A07F29">
              <w:rPr>
                <w:rFonts w:cs="Times New Roman"/>
                <w:i/>
                <w:color w:val="000000"/>
                <w:sz w:val="22"/>
                <w:lang w:eastAsia="ar-SA"/>
              </w:rPr>
              <w:t>Dabas skaitīšanas</w:t>
            </w:r>
            <w:r w:rsidRPr="00A07F29">
              <w:rPr>
                <w:rFonts w:cs="Times New Roman"/>
                <w:color w:val="000000"/>
                <w:sz w:val="22"/>
                <w:lang w:eastAsia="ar-SA"/>
              </w:rPr>
              <w:t xml:space="preserve"> ietvaros.</w:t>
            </w:r>
          </w:p>
        </w:tc>
      </w:tr>
      <w:tr w:rsidR="00C10491" w:rsidRPr="00A07F29" w14:paraId="24038A3E" w14:textId="77777777" w:rsidTr="007E2DDD">
        <w:trPr>
          <w:jc w:val="center"/>
        </w:trPr>
        <w:tc>
          <w:tcPr>
            <w:tcW w:w="704" w:type="dxa"/>
            <w:vAlign w:val="center"/>
          </w:tcPr>
          <w:p w14:paraId="3BB2E642" w14:textId="11FC05E7" w:rsidR="002B1603" w:rsidRPr="00A07F29" w:rsidRDefault="00DA613C" w:rsidP="002B1603">
            <w:pPr>
              <w:suppressAutoHyphens/>
              <w:jc w:val="center"/>
              <w:rPr>
                <w:rFonts w:cs="Times New Roman"/>
                <w:sz w:val="22"/>
                <w:lang w:eastAsia="ar-SA"/>
              </w:rPr>
            </w:pPr>
            <w:r w:rsidRPr="00A07F29">
              <w:rPr>
                <w:rFonts w:cs="Times New Roman"/>
                <w:sz w:val="22"/>
                <w:lang w:eastAsia="ar-SA"/>
              </w:rPr>
              <w:t>20</w:t>
            </w:r>
            <w:r w:rsidR="002B1603" w:rsidRPr="00A07F29">
              <w:rPr>
                <w:rFonts w:cs="Times New Roman"/>
                <w:sz w:val="22"/>
                <w:lang w:eastAsia="ar-SA"/>
              </w:rPr>
              <w:t>.</w:t>
            </w:r>
          </w:p>
        </w:tc>
        <w:tc>
          <w:tcPr>
            <w:tcW w:w="3686" w:type="dxa"/>
            <w:vAlign w:val="center"/>
          </w:tcPr>
          <w:p w14:paraId="59384B37" w14:textId="77777777" w:rsidR="002B1603" w:rsidRPr="00A07F29" w:rsidRDefault="002B1603" w:rsidP="002B1603">
            <w:pPr>
              <w:suppressAutoHyphens/>
              <w:rPr>
                <w:rFonts w:cs="Times New Roman"/>
                <w:b/>
                <w:sz w:val="22"/>
                <w:lang w:eastAsia="ar-SA"/>
              </w:rPr>
            </w:pPr>
            <w:r w:rsidRPr="00A07F29">
              <w:rPr>
                <w:rFonts w:cs="Times New Roman"/>
                <w:b/>
                <w:sz w:val="22"/>
                <w:lang w:eastAsia="ar-SA"/>
              </w:rPr>
              <w:t>9050 Lakstaugiem bagāti egļu meži</w:t>
            </w:r>
          </w:p>
        </w:tc>
        <w:tc>
          <w:tcPr>
            <w:tcW w:w="1984" w:type="dxa"/>
            <w:vAlign w:val="center"/>
          </w:tcPr>
          <w:p w14:paraId="5FAA63A1" w14:textId="77777777" w:rsidR="002B1603" w:rsidRPr="00A07F29" w:rsidRDefault="002B1603" w:rsidP="002B1603">
            <w:pPr>
              <w:suppressAutoHyphens/>
              <w:jc w:val="center"/>
              <w:rPr>
                <w:rFonts w:cs="Times New Roman"/>
                <w:color w:val="000000"/>
                <w:sz w:val="22"/>
                <w:lang w:eastAsia="ar-SA"/>
              </w:rPr>
            </w:pPr>
            <w:r w:rsidRPr="00A07F29">
              <w:rPr>
                <w:rFonts w:cs="Times New Roman"/>
                <w:color w:val="000000"/>
                <w:sz w:val="22"/>
                <w:lang w:eastAsia="ar-SA"/>
              </w:rPr>
              <w:t>-</w:t>
            </w:r>
          </w:p>
        </w:tc>
        <w:tc>
          <w:tcPr>
            <w:tcW w:w="1843" w:type="dxa"/>
            <w:vAlign w:val="center"/>
          </w:tcPr>
          <w:p w14:paraId="26BD11D9" w14:textId="326639ED" w:rsidR="002B1603" w:rsidRPr="00A07F29" w:rsidRDefault="00C10491" w:rsidP="00297258">
            <w:pPr>
              <w:suppressAutoHyphens/>
              <w:jc w:val="center"/>
              <w:rPr>
                <w:rFonts w:cs="Times New Roman"/>
                <w:sz w:val="22"/>
                <w:lang w:eastAsia="ar-SA"/>
              </w:rPr>
            </w:pPr>
            <w:r w:rsidRPr="00A07F29">
              <w:rPr>
                <w:rFonts w:cs="Times New Roman"/>
                <w:sz w:val="22"/>
                <w:lang w:eastAsia="ar-SA"/>
              </w:rPr>
              <w:t>110,</w:t>
            </w:r>
            <w:r w:rsidR="00297258" w:rsidRPr="00A07F29">
              <w:rPr>
                <w:rFonts w:cs="Times New Roman"/>
                <w:sz w:val="22"/>
                <w:lang w:eastAsia="ar-SA"/>
              </w:rPr>
              <w:t>77</w:t>
            </w:r>
          </w:p>
        </w:tc>
        <w:tc>
          <w:tcPr>
            <w:tcW w:w="1134" w:type="dxa"/>
            <w:vAlign w:val="center"/>
          </w:tcPr>
          <w:p w14:paraId="3E627D0F" w14:textId="1E6D5C61" w:rsidR="002B1603" w:rsidRPr="00A07F29" w:rsidRDefault="002B1603" w:rsidP="00297258">
            <w:pPr>
              <w:suppressAutoHyphens/>
              <w:jc w:val="center"/>
              <w:rPr>
                <w:rFonts w:cs="Times New Roman"/>
                <w:b/>
                <w:color w:val="000000"/>
                <w:sz w:val="22"/>
                <w:lang w:eastAsia="ar-SA"/>
              </w:rPr>
            </w:pPr>
            <w:r w:rsidRPr="00A07F29">
              <w:rPr>
                <w:rFonts w:cs="Times New Roman"/>
                <w:b/>
                <w:color w:val="000000"/>
                <w:sz w:val="22"/>
                <w:lang w:eastAsia="ar-SA"/>
              </w:rPr>
              <w:t>+</w:t>
            </w:r>
            <w:r w:rsidR="00C10491" w:rsidRPr="00A07F29">
              <w:rPr>
                <w:rFonts w:cs="Times New Roman"/>
                <w:b/>
                <w:color w:val="000000"/>
                <w:sz w:val="22"/>
                <w:lang w:eastAsia="ar-SA"/>
              </w:rPr>
              <w:t>110</w:t>
            </w:r>
            <w:r w:rsidRPr="00A07F29">
              <w:rPr>
                <w:rFonts w:cs="Times New Roman"/>
                <w:b/>
                <w:color w:val="000000"/>
                <w:sz w:val="22"/>
                <w:lang w:eastAsia="ar-SA"/>
              </w:rPr>
              <w:t>,</w:t>
            </w:r>
            <w:r w:rsidR="00297258" w:rsidRPr="00A07F29">
              <w:rPr>
                <w:rFonts w:cs="Times New Roman"/>
                <w:b/>
                <w:color w:val="000000"/>
                <w:sz w:val="22"/>
                <w:lang w:eastAsia="ar-SA"/>
              </w:rPr>
              <w:t>77</w:t>
            </w:r>
          </w:p>
        </w:tc>
        <w:tc>
          <w:tcPr>
            <w:tcW w:w="3969" w:type="dxa"/>
            <w:vAlign w:val="center"/>
          </w:tcPr>
          <w:p w14:paraId="6364905F" w14:textId="027CB92A" w:rsidR="002B1603" w:rsidRPr="00A07F29" w:rsidRDefault="00672153" w:rsidP="00672153">
            <w:pPr>
              <w:suppressAutoHyphens/>
              <w:rPr>
                <w:rFonts w:cs="Times New Roman"/>
                <w:sz w:val="22"/>
                <w:lang w:eastAsia="ar-SA"/>
              </w:rPr>
            </w:pPr>
            <w:r w:rsidRPr="00A07F29">
              <w:rPr>
                <w:rFonts w:cs="Times New Roman"/>
                <w:color w:val="000000"/>
                <w:sz w:val="22"/>
                <w:lang w:eastAsia="ar-SA"/>
              </w:rPr>
              <w:t>Precizēta ES nozīmes biotopu noteikšanas metodika (iepriekš šis biotops Latvijā netika izdalīts), kā arī veikta d</w:t>
            </w:r>
            <w:r w:rsidR="002B1603" w:rsidRPr="00A07F29">
              <w:rPr>
                <w:rFonts w:cs="Times New Roman"/>
                <w:color w:val="000000"/>
                <w:sz w:val="22"/>
                <w:lang w:eastAsia="ar-SA"/>
              </w:rPr>
              <w:t xml:space="preserve">etalizēta aizsargājamo biotopu inventarizācija AAA “Augšdaugava” </w:t>
            </w:r>
            <w:r w:rsidR="002B1603" w:rsidRPr="00A07F29">
              <w:rPr>
                <w:rFonts w:cs="Times New Roman"/>
                <w:i/>
                <w:color w:val="000000"/>
                <w:sz w:val="22"/>
                <w:lang w:eastAsia="ar-SA"/>
              </w:rPr>
              <w:t>Dabas skaitīšanas</w:t>
            </w:r>
            <w:r w:rsidR="002B1603" w:rsidRPr="00A07F29">
              <w:rPr>
                <w:rFonts w:cs="Times New Roman"/>
                <w:color w:val="000000"/>
                <w:sz w:val="22"/>
                <w:lang w:eastAsia="ar-SA"/>
              </w:rPr>
              <w:t xml:space="preserve"> ietvaros.</w:t>
            </w:r>
          </w:p>
        </w:tc>
      </w:tr>
      <w:tr w:rsidR="00C10491" w:rsidRPr="00A07F29" w14:paraId="40AEBABD" w14:textId="77777777" w:rsidTr="007E2DDD">
        <w:trPr>
          <w:jc w:val="center"/>
        </w:trPr>
        <w:tc>
          <w:tcPr>
            <w:tcW w:w="704" w:type="dxa"/>
            <w:vAlign w:val="center"/>
          </w:tcPr>
          <w:p w14:paraId="36DB3E6C" w14:textId="1E7E7CB9" w:rsidR="002B1603" w:rsidRPr="00A07F29" w:rsidRDefault="00DA613C" w:rsidP="00DA613C">
            <w:pPr>
              <w:suppressAutoHyphens/>
              <w:jc w:val="center"/>
              <w:rPr>
                <w:rFonts w:cs="Times New Roman"/>
                <w:sz w:val="22"/>
                <w:lang w:eastAsia="ar-SA"/>
              </w:rPr>
            </w:pPr>
            <w:r w:rsidRPr="00A07F29">
              <w:rPr>
                <w:rFonts w:cs="Times New Roman"/>
                <w:sz w:val="22"/>
                <w:lang w:eastAsia="ar-SA"/>
              </w:rPr>
              <w:t>21</w:t>
            </w:r>
            <w:r w:rsidR="002B1603" w:rsidRPr="00A07F29">
              <w:rPr>
                <w:rFonts w:cs="Times New Roman"/>
                <w:sz w:val="22"/>
                <w:lang w:eastAsia="ar-SA"/>
              </w:rPr>
              <w:t>.</w:t>
            </w:r>
          </w:p>
        </w:tc>
        <w:tc>
          <w:tcPr>
            <w:tcW w:w="3686" w:type="dxa"/>
            <w:vAlign w:val="center"/>
          </w:tcPr>
          <w:p w14:paraId="13F67D2B" w14:textId="77777777" w:rsidR="002B1603" w:rsidRPr="00A07F29" w:rsidRDefault="002B1603" w:rsidP="002B1603">
            <w:pPr>
              <w:suppressAutoHyphens/>
              <w:rPr>
                <w:rFonts w:cs="Times New Roman"/>
                <w:b/>
                <w:sz w:val="22"/>
                <w:lang w:eastAsia="ar-SA"/>
              </w:rPr>
            </w:pPr>
            <w:r w:rsidRPr="00A07F29">
              <w:rPr>
                <w:rFonts w:cs="Times New Roman"/>
                <w:b/>
                <w:sz w:val="22"/>
                <w:lang w:eastAsia="ar-SA"/>
              </w:rPr>
              <w:t xml:space="preserve">9060 Skujkoku meži uz </w:t>
            </w:r>
            <w:proofErr w:type="spellStart"/>
            <w:r w:rsidRPr="00A07F29">
              <w:rPr>
                <w:rFonts w:cs="Times New Roman"/>
                <w:b/>
                <w:sz w:val="22"/>
                <w:lang w:eastAsia="ar-SA"/>
              </w:rPr>
              <w:t>osveida</w:t>
            </w:r>
            <w:proofErr w:type="spellEnd"/>
            <w:r w:rsidRPr="00A07F29">
              <w:rPr>
                <w:rFonts w:cs="Times New Roman"/>
                <w:b/>
                <w:sz w:val="22"/>
                <w:lang w:eastAsia="ar-SA"/>
              </w:rPr>
              <w:t xml:space="preserve"> reljefa formām</w:t>
            </w:r>
          </w:p>
        </w:tc>
        <w:tc>
          <w:tcPr>
            <w:tcW w:w="1984" w:type="dxa"/>
            <w:vAlign w:val="center"/>
          </w:tcPr>
          <w:p w14:paraId="722C9C7B" w14:textId="77777777" w:rsidR="002B1603" w:rsidRPr="00A07F29" w:rsidRDefault="002B1603" w:rsidP="002B1603">
            <w:pPr>
              <w:suppressAutoHyphens/>
              <w:jc w:val="center"/>
              <w:rPr>
                <w:rFonts w:cs="Times New Roman"/>
                <w:color w:val="000000"/>
                <w:sz w:val="22"/>
                <w:lang w:eastAsia="ar-SA"/>
              </w:rPr>
            </w:pPr>
            <w:r w:rsidRPr="00A07F29">
              <w:rPr>
                <w:rFonts w:cs="Times New Roman"/>
                <w:color w:val="000000"/>
                <w:sz w:val="22"/>
                <w:lang w:eastAsia="ar-SA"/>
              </w:rPr>
              <w:t>-</w:t>
            </w:r>
          </w:p>
        </w:tc>
        <w:tc>
          <w:tcPr>
            <w:tcW w:w="1843" w:type="dxa"/>
            <w:vAlign w:val="center"/>
          </w:tcPr>
          <w:p w14:paraId="347C0DED" w14:textId="378FD849" w:rsidR="002B1603" w:rsidRPr="00A07F29" w:rsidRDefault="002B1603" w:rsidP="00C10491">
            <w:pPr>
              <w:suppressAutoHyphens/>
              <w:jc w:val="center"/>
              <w:rPr>
                <w:rFonts w:cs="Times New Roman"/>
                <w:sz w:val="22"/>
                <w:lang w:eastAsia="ar-SA"/>
              </w:rPr>
            </w:pPr>
            <w:r w:rsidRPr="00A07F29">
              <w:rPr>
                <w:rFonts w:cs="Times New Roman"/>
                <w:sz w:val="22"/>
                <w:lang w:eastAsia="ar-SA"/>
              </w:rPr>
              <w:t>3,</w:t>
            </w:r>
            <w:r w:rsidR="00C10491" w:rsidRPr="00A07F29">
              <w:rPr>
                <w:rFonts w:cs="Times New Roman"/>
                <w:sz w:val="22"/>
                <w:lang w:eastAsia="ar-SA"/>
              </w:rPr>
              <w:t>16</w:t>
            </w:r>
          </w:p>
        </w:tc>
        <w:tc>
          <w:tcPr>
            <w:tcW w:w="1134" w:type="dxa"/>
            <w:vAlign w:val="center"/>
          </w:tcPr>
          <w:p w14:paraId="162EFEAA" w14:textId="24693E2A" w:rsidR="002B1603" w:rsidRPr="00A07F29" w:rsidRDefault="002B1603" w:rsidP="00C10491">
            <w:pPr>
              <w:suppressAutoHyphens/>
              <w:jc w:val="center"/>
              <w:rPr>
                <w:rFonts w:cs="Times New Roman"/>
                <w:b/>
                <w:color w:val="000000"/>
                <w:sz w:val="22"/>
                <w:lang w:eastAsia="ar-SA"/>
              </w:rPr>
            </w:pPr>
            <w:r w:rsidRPr="00A07F29">
              <w:rPr>
                <w:rFonts w:cs="Times New Roman"/>
                <w:b/>
                <w:color w:val="000000"/>
                <w:sz w:val="22"/>
                <w:lang w:eastAsia="ar-SA"/>
              </w:rPr>
              <w:t>+3,</w:t>
            </w:r>
            <w:r w:rsidR="00C10491" w:rsidRPr="00A07F29">
              <w:rPr>
                <w:rFonts w:cs="Times New Roman"/>
                <w:b/>
                <w:color w:val="000000"/>
                <w:sz w:val="22"/>
                <w:lang w:eastAsia="ar-SA"/>
              </w:rPr>
              <w:t>16</w:t>
            </w:r>
          </w:p>
        </w:tc>
        <w:tc>
          <w:tcPr>
            <w:tcW w:w="3969" w:type="dxa"/>
            <w:vAlign w:val="center"/>
          </w:tcPr>
          <w:p w14:paraId="23EC70C3" w14:textId="77777777" w:rsidR="002B1603" w:rsidRPr="00A07F29" w:rsidRDefault="002B1603" w:rsidP="002B1603">
            <w:pPr>
              <w:suppressAutoHyphens/>
              <w:rPr>
                <w:rFonts w:cs="Times New Roman"/>
                <w:sz w:val="22"/>
                <w:lang w:eastAsia="ar-SA"/>
              </w:rPr>
            </w:pPr>
            <w:r w:rsidRPr="00A07F29">
              <w:rPr>
                <w:rFonts w:cs="Times New Roman"/>
                <w:color w:val="000000"/>
                <w:sz w:val="22"/>
                <w:lang w:eastAsia="ar-SA"/>
              </w:rPr>
              <w:t xml:space="preserve">Detalizēta aizsargājamo biotopu inventarizācija AAA “Augšdaugava” </w:t>
            </w:r>
            <w:r w:rsidRPr="00A07F29">
              <w:rPr>
                <w:rFonts w:cs="Times New Roman"/>
                <w:i/>
                <w:color w:val="000000"/>
                <w:sz w:val="22"/>
                <w:lang w:eastAsia="ar-SA"/>
              </w:rPr>
              <w:t>Dabas skaitīšanas</w:t>
            </w:r>
            <w:r w:rsidRPr="00A07F29">
              <w:rPr>
                <w:rFonts w:cs="Times New Roman"/>
                <w:color w:val="000000"/>
                <w:sz w:val="22"/>
                <w:lang w:eastAsia="ar-SA"/>
              </w:rPr>
              <w:t xml:space="preserve"> ietvaros.</w:t>
            </w:r>
          </w:p>
        </w:tc>
      </w:tr>
      <w:tr w:rsidR="00C10491" w:rsidRPr="00A07F29" w14:paraId="36DC3DD5" w14:textId="77777777" w:rsidTr="007E2DDD">
        <w:trPr>
          <w:jc w:val="center"/>
        </w:trPr>
        <w:tc>
          <w:tcPr>
            <w:tcW w:w="704" w:type="dxa"/>
            <w:vAlign w:val="center"/>
          </w:tcPr>
          <w:p w14:paraId="0A3EAC98" w14:textId="114BCC56" w:rsidR="002B1603" w:rsidRPr="00A07F29" w:rsidRDefault="00DA613C" w:rsidP="00DA613C">
            <w:pPr>
              <w:suppressAutoHyphens/>
              <w:jc w:val="center"/>
              <w:rPr>
                <w:rFonts w:cs="Times New Roman"/>
                <w:sz w:val="22"/>
                <w:lang w:eastAsia="ar-SA"/>
              </w:rPr>
            </w:pPr>
            <w:r w:rsidRPr="00A07F29">
              <w:rPr>
                <w:rFonts w:cs="Times New Roman"/>
                <w:sz w:val="22"/>
                <w:lang w:eastAsia="ar-SA"/>
              </w:rPr>
              <w:t>22</w:t>
            </w:r>
            <w:r w:rsidR="002B1603" w:rsidRPr="00A07F29">
              <w:rPr>
                <w:rFonts w:cs="Times New Roman"/>
                <w:sz w:val="22"/>
                <w:lang w:eastAsia="ar-SA"/>
              </w:rPr>
              <w:t>.</w:t>
            </w:r>
          </w:p>
        </w:tc>
        <w:tc>
          <w:tcPr>
            <w:tcW w:w="3686" w:type="dxa"/>
            <w:vAlign w:val="center"/>
          </w:tcPr>
          <w:p w14:paraId="21700515" w14:textId="77777777" w:rsidR="002B1603" w:rsidRPr="00A07F29" w:rsidRDefault="002B1603" w:rsidP="002B1603">
            <w:pPr>
              <w:suppressAutoHyphens/>
              <w:rPr>
                <w:rFonts w:cs="Times New Roman"/>
                <w:b/>
                <w:sz w:val="22"/>
                <w:lang w:eastAsia="ar-SA"/>
              </w:rPr>
            </w:pPr>
            <w:r w:rsidRPr="00A07F29">
              <w:rPr>
                <w:rFonts w:cs="Times New Roman"/>
                <w:b/>
                <w:sz w:val="22"/>
                <w:lang w:eastAsia="ar-SA"/>
              </w:rPr>
              <w:t>9080* Staignāju meži</w:t>
            </w:r>
          </w:p>
        </w:tc>
        <w:tc>
          <w:tcPr>
            <w:tcW w:w="1984" w:type="dxa"/>
            <w:vAlign w:val="center"/>
          </w:tcPr>
          <w:p w14:paraId="617FC381" w14:textId="77777777" w:rsidR="002B1603" w:rsidRPr="00A07F29" w:rsidRDefault="002B1603" w:rsidP="002B1603">
            <w:pPr>
              <w:suppressAutoHyphens/>
              <w:jc w:val="center"/>
              <w:rPr>
                <w:rFonts w:cs="Times New Roman"/>
                <w:color w:val="000000"/>
                <w:sz w:val="22"/>
                <w:lang w:eastAsia="ar-SA"/>
              </w:rPr>
            </w:pPr>
            <w:r w:rsidRPr="00A07F29">
              <w:rPr>
                <w:rFonts w:cs="Times New Roman"/>
                <w:color w:val="000000"/>
                <w:sz w:val="22"/>
                <w:lang w:eastAsia="ar-SA"/>
              </w:rPr>
              <w:t>-</w:t>
            </w:r>
          </w:p>
        </w:tc>
        <w:tc>
          <w:tcPr>
            <w:tcW w:w="1843" w:type="dxa"/>
            <w:vAlign w:val="center"/>
          </w:tcPr>
          <w:p w14:paraId="7D7C13A3" w14:textId="09B84FC3" w:rsidR="002B1603" w:rsidRPr="00A07F29" w:rsidRDefault="00C10491" w:rsidP="00297258">
            <w:pPr>
              <w:suppressAutoHyphens/>
              <w:jc w:val="center"/>
              <w:rPr>
                <w:rFonts w:cs="Times New Roman"/>
                <w:sz w:val="22"/>
                <w:lang w:eastAsia="ar-SA"/>
              </w:rPr>
            </w:pPr>
            <w:r w:rsidRPr="00A07F29">
              <w:rPr>
                <w:rFonts w:cs="Times New Roman"/>
                <w:sz w:val="22"/>
                <w:lang w:eastAsia="ar-SA"/>
              </w:rPr>
              <w:t>59,</w:t>
            </w:r>
            <w:r w:rsidR="00297258" w:rsidRPr="00A07F29">
              <w:rPr>
                <w:rFonts w:cs="Times New Roman"/>
                <w:sz w:val="22"/>
                <w:lang w:eastAsia="ar-SA"/>
              </w:rPr>
              <w:t>56</w:t>
            </w:r>
            <w:r w:rsidRPr="00A07F29">
              <w:rPr>
                <w:rFonts w:cs="Times New Roman"/>
                <w:sz w:val="22"/>
                <w:lang w:eastAsia="ar-SA"/>
              </w:rPr>
              <w:t>1</w:t>
            </w:r>
          </w:p>
        </w:tc>
        <w:tc>
          <w:tcPr>
            <w:tcW w:w="1134" w:type="dxa"/>
            <w:vAlign w:val="center"/>
          </w:tcPr>
          <w:p w14:paraId="1C0A4403" w14:textId="5F6290D1" w:rsidR="002B1603" w:rsidRPr="00A07F29" w:rsidRDefault="002B1603" w:rsidP="00297258">
            <w:pPr>
              <w:suppressAutoHyphens/>
              <w:jc w:val="center"/>
              <w:rPr>
                <w:rFonts w:cs="Times New Roman"/>
                <w:b/>
                <w:color w:val="000000"/>
                <w:sz w:val="22"/>
                <w:lang w:eastAsia="ar-SA"/>
              </w:rPr>
            </w:pPr>
            <w:r w:rsidRPr="00A07F29">
              <w:rPr>
                <w:rFonts w:cs="Times New Roman"/>
                <w:b/>
                <w:color w:val="000000"/>
                <w:sz w:val="22"/>
                <w:lang w:eastAsia="ar-SA"/>
              </w:rPr>
              <w:t>+</w:t>
            </w:r>
            <w:r w:rsidR="00C10491" w:rsidRPr="00A07F29">
              <w:rPr>
                <w:rFonts w:cs="Times New Roman"/>
                <w:b/>
                <w:color w:val="000000"/>
                <w:sz w:val="22"/>
                <w:lang w:eastAsia="ar-SA"/>
              </w:rPr>
              <w:t>59,</w:t>
            </w:r>
            <w:r w:rsidR="00297258" w:rsidRPr="00A07F29">
              <w:rPr>
                <w:rFonts w:cs="Times New Roman"/>
                <w:b/>
                <w:color w:val="000000"/>
                <w:sz w:val="22"/>
                <w:lang w:eastAsia="ar-SA"/>
              </w:rPr>
              <w:t>56</w:t>
            </w:r>
          </w:p>
        </w:tc>
        <w:tc>
          <w:tcPr>
            <w:tcW w:w="3969" w:type="dxa"/>
            <w:vAlign w:val="center"/>
          </w:tcPr>
          <w:p w14:paraId="50DFDADD" w14:textId="77777777" w:rsidR="002B1603" w:rsidRPr="00A07F29" w:rsidRDefault="002B1603" w:rsidP="002B1603">
            <w:pPr>
              <w:suppressAutoHyphens/>
              <w:rPr>
                <w:rFonts w:cs="Times New Roman"/>
                <w:sz w:val="22"/>
                <w:lang w:eastAsia="ar-SA"/>
              </w:rPr>
            </w:pPr>
            <w:r w:rsidRPr="00A07F29">
              <w:rPr>
                <w:rFonts w:cs="Times New Roman"/>
                <w:color w:val="000000"/>
                <w:sz w:val="22"/>
                <w:lang w:eastAsia="ar-SA"/>
              </w:rPr>
              <w:t xml:space="preserve">Detalizēta aizsargājamo biotopu inventarizācija AAA “Augšdaugava” </w:t>
            </w:r>
            <w:r w:rsidRPr="00A07F29">
              <w:rPr>
                <w:rFonts w:cs="Times New Roman"/>
                <w:i/>
                <w:color w:val="000000"/>
                <w:sz w:val="22"/>
                <w:lang w:eastAsia="ar-SA"/>
              </w:rPr>
              <w:t>Dabas skaitīšanas</w:t>
            </w:r>
            <w:r w:rsidRPr="00A07F29">
              <w:rPr>
                <w:rFonts w:cs="Times New Roman"/>
                <w:color w:val="000000"/>
                <w:sz w:val="22"/>
                <w:lang w:eastAsia="ar-SA"/>
              </w:rPr>
              <w:t xml:space="preserve"> ietvaros.</w:t>
            </w:r>
          </w:p>
        </w:tc>
      </w:tr>
      <w:tr w:rsidR="00C10491" w:rsidRPr="00A07F29" w14:paraId="181A28CF" w14:textId="77777777" w:rsidTr="007E2DDD">
        <w:trPr>
          <w:jc w:val="center"/>
        </w:trPr>
        <w:tc>
          <w:tcPr>
            <w:tcW w:w="704" w:type="dxa"/>
            <w:vAlign w:val="center"/>
          </w:tcPr>
          <w:p w14:paraId="3A3CDD49" w14:textId="3BF2F616" w:rsidR="002B1603" w:rsidRPr="00A07F29" w:rsidRDefault="00DA613C" w:rsidP="00DA613C">
            <w:pPr>
              <w:suppressAutoHyphens/>
              <w:jc w:val="center"/>
              <w:rPr>
                <w:rFonts w:cs="Times New Roman"/>
                <w:sz w:val="22"/>
                <w:lang w:eastAsia="ar-SA"/>
              </w:rPr>
            </w:pPr>
            <w:r w:rsidRPr="00A07F29">
              <w:rPr>
                <w:rFonts w:cs="Times New Roman"/>
                <w:sz w:val="22"/>
                <w:lang w:eastAsia="ar-SA"/>
              </w:rPr>
              <w:t>23</w:t>
            </w:r>
            <w:r w:rsidR="002B1603" w:rsidRPr="00A07F29">
              <w:rPr>
                <w:rFonts w:cs="Times New Roman"/>
                <w:sz w:val="22"/>
                <w:lang w:eastAsia="ar-SA"/>
              </w:rPr>
              <w:t>.</w:t>
            </w:r>
          </w:p>
        </w:tc>
        <w:tc>
          <w:tcPr>
            <w:tcW w:w="3686" w:type="dxa"/>
            <w:vAlign w:val="center"/>
          </w:tcPr>
          <w:p w14:paraId="4C02093E" w14:textId="77777777" w:rsidR="002B1603" w:rsidRPr="00A07F29" w:rsidRDefault="002B1603" w:rsidP="002B1603">
            <w:pPr>
              <w:suppressAutoHyphens/>
              <w:rPr>
                <w:rFonts w:cs="Times New Roman"/>
                <w:b/>
                <w:sz w:val="22"/>
                <w:lang w:eastAsia="ar-SA"/>
              </w:rPr>
            </w:pPr>
            <w:r w:rsidRPr="00A07F29">
              <w:rPr>
                <w:rFonts w:cs="Times New Roman"/>
                <w:b/>
                <w:sz w:val="22"/>
                <w:lang w:eastAsia="ar-SA"/>
              </w:rPr>
              <w:t>9160 Ozolu meži</w:t>
            </w:r>
          </w:p>
        </w:tc>
        <w:tc>
          <w:tcPr>
            <w:tcW w:w="1984" w:type="dxa"/>
            <w:vAlign w:val="center"/>
          </w:tcPr>
          <w:p w14:paraId="0529738E" w14:textId="77777777" w:rsidR="002B1603" w:rsidRPr="00A07F29" w:rsidRDefault="002B1603" w:rsidP="002B1603">
            <w:pPr>
              <w:suppressAutoHyphens/>
              <w:jc w:val="center"/>
              <w:rPr>
                <w:rFonts w:cs="Times New Roman"/>
                <w:color w:val="000000"/>
                <w:sz w:val="22"/>
                <w:lang w:eastAsia="ar-SA"/>
              </w:rPr>
            </w:pPr>
            <w:r w:rsidRPr="00A07F29">
              <w:rPr>
                <w:rFonts w:cs="Times New Roman"/>
                <w:color w:val="000000"/>
                <w:sz w:val="22"/>
                <w:lang w:eastAsia="ar-SA"/>
              </w:rPr>
              <w:t>-</w:t>
            </w:r>
          </w:p>
        </w:tc>
        <w:tc>
          <w:tcPr>
            <w:tcW w:w="1843" w:type="dxa"/>
            <w:vAlign w:val="center"/>
          </w:tcPr>
          <w:p w14:paraId="2242D4DF" w14:textId="1CACE26D" w:rsidR="002B1603" w:rsidRPr="00A07F29" w:rsidRDefault="00C10491" w:rsidP="00297258">
            <w:pPr>
              <w:suppressAutoHyphens/>
              <w:jc w:val="center"/>
              <w:rPr>
                <w:rFonts w:cs="Times New Roman"/>
                <w:sz w:val="22"/>
                <w:lang w:eastAsia="ar-SA"/>
              </w:rPr>
            </w:pPr>
            <w:r w:rsidRPr="00A07F29">
              <w:rPr>
                <w:rFonts w:cs="Times New Roman"/>
                <w:sz w:val="22"/>
                <w:lang w:eastAsia="ar-SA"/>
              </w:rPr>
              <w:t>1,3</w:t>
            </w:r>
            <w:r w:rsidR="00297258" w:rsidRPr="00A07F29">
              <w:rPr>
                <w:rFonts w:cs="Times New Roman"/>
                <w:sz w:val="22"/>
                <w:lang w:eastAsia="ar-SA"/>
              </w:rPr>
              <w:t>0</w:t>
            </w:r>
          </w:p>
        </w:tc>
        <w:tc>
          <w:tcPr>
            <w:tcW w:w="1134" w:type="dxa"/>
            <w:vAlign w:val="center"/>
          </w:tcPr>
          <w:p w14:paraId="78ED3105" w14:textId="03AB0994" w:rsidR="002B1603" w:rsidRPr="00A07F29" w:rsidRDefault="002B1603" w:rsidP="00297258">
            <w:pPr>
              <w:suppressAutoHyphens/>
              <w:jc w:val="center"/>
              <w:rPr>
                <w:rFonts w:cs="Times New Roman"/>
                <w:b/>
                <w:color w:val="000000"/>
                <w:sz w:val="22"/>
                <w:lang w:eastAsia="ar-SA"/>
              </w:rPr>
            </w:pPr>
            <w:r w:rsidRPr="00A07F29">
              <w:rPr>
                <w:rFonts w:cs="Times New Roman"/>
                <w:b/>
                <w:color w:val="000000"/>
                <w:sz w:val="22"/>
                <w:lang w:eastAsia="ar-SA"/>
              </w:rPr>
              <w:t>+1,</w:t>
            </w:r>
            <w:r w:rsidR="00C10491" w:rsidRPr="00A07F29">
              <w:rPr>
                <w:rFonts w:cs="Times New Roman"/>
                <w:b/>
                <w:color w:val="000000"/>
                <w:sz w:val="22"/>
                <w:lang w:eastAsia="ar-SA"/>
              </w:rPr>
              <w:t>3</w:t>
            </w:r>
            <w:r w:rsidR="00297258" w:rsidRPr="00A07F29">
              <w:rPr>
                <w:rFonts w:cs="Times New Roman"/>
                <w:b/>
                <w:color w:val="000000"/>
                <w:sz w:val="22"/>
                <w:lang w:eastAsia="ar-SA"/>
              </w:rPr>
              <w:t>0</w:t>
            </w:r>
          </w:p>
        </w:tc>
        <w:tc>
          <w:tcPr>
            <w:tcW w:w="3969" w:type="dxa"/>
            <w:vAlign w:val="center"/>
          </w:tcPr>
          <w:p w14:paraId="3E7E8DFE" w14:textId="77777777" w:rsidR="002B1603" w:rsidRPr="00A07F29" w:rsidRDefault="002B1603" w:rsidP="002B1603">
            <w:pPr>
              <w:suppressAutoHyphens/>
              <w:rPr>
                <w:rFonts w:cs="Times New Roman"/>
                <w:sz w:val="22"/>
                <w:lang w:eastAsia="ar-SA"/>
              </w:rPr>
            </w:pPr>
            <w:r w:rsidRPr="00A07F29">
              <w:rPr>
                <w:rFonts w:cs="Times New Roman"/>
                <w:color w:val="000000"/>
                <w:sz w:val="22"/>
                <w:lang w:eastAsia="ar-SA"/>
              </w:rPr>
              <w:t xml:space="preserve">Detalizēta aizsargājamo biotopu inventarizācija AAA “Augšdaugava” </w:t>
            </w:r>
            <w:r w:rsidRPr="00A07F29">
              <w:rPr>
                <w:rFonts w:cs="Times New Roman"/>
                <w:i/>
                <w:color w:val="000000"/>
                <w:sz w:val="22"/>
                <w:lang w:eastAsia="ar-SA"/>
              </w:rPr>
              <w:t>Dabas skaitīšanas</w:t>
            </w:r>
            <w:r w:rsidRPr="00A07F29">
              <w:rPr>
                <w:rFonts w:cs="Times New Roman"/>
                <w:color w:val="000000"/>
                <w:sz w:val="22"/>
                <w:lang w:eastAsia="ar-SA"/>
              </w:rPr>
              <w:t xml:space="preserve"> ietvaros.</w:t>
            </w:r>
          </w:p>
        </w:tc>
      </w:tr>
      <w:tr w:rsidR="00C10491" w:rsidRPr="00A07F29" w14:paraId="6487B01B" w14:textId="77777777" w:rsidTr="007E2DDD">
        <w:trPr>
          <w:jc w:val="center"/>
        </w:trPr>
        <w:tc>
          <w:tcPr>
            <w:tcW w:w="704" w:type="dxa"/>
            <w:vAlign w:val="center"/>
          </w:tcPr>
          <w:p w14:paraId="3E9C5761" w14:textId="4AC54857" w:rsidR="002B1603" w:rsidRPr="00A07F29" w:rsidRDefault="00DA613C" w:rsidP="00DA613C">
            <w:pPr>
              <w:suppressAutoHyphens/>
              <w:jc w:val="center"/>
              <w:rPr>
                <w:rFonts w:cs="Times New Roman"/>
                <w:sz w:val="22"/>
                <w:lang w:eastAsia="ar-SA"/>
              </w:rPr>
            </w:pPr>
            <w:r w:rsidRPr="00A07F29">
              <w:rPr>
                <w:rFonts w:cs="Times New Roman"/>
                <w:sz w:val="22"/>
                <w:lang w:eastAsia="ar-SA"/>
              </w:rPr>
              <w:t>24</w:t>
            </w:r>
            <w:r w:rsidR="002B1603" w:rsidRPr="00A07F29">
              <w:rPr>
                <w:rFonts w:cs="Times New Roman"/>
                <w:sz w:val="22"/>
                <w:lang w:eastAsia="ar-SA"/>
              </w:rPr>
              <w:t>.</w:t>
            </w:r>
          </w:p>
        </w:tc>
        <w:tc>
          <w:tcPr>
            <w:tcW w:w="3686" w:type="dxa"/>
            <w:vAlign w:val="center"/>
          </w:tcPr>
          <w:p w14:paraId="0ED0F756" w14:textId="77777777" w:rsidR="002B1603" w:rsidRPr="00A07F29" w:rsidRDefault="002B1603" w:rsidP="002B1603">
            <w:pPr>
              <w:suppressAutoHyphens/>
              <w:rPr>
                <w:rFonts w:cs="Times New Roman"/>
                <w:b/>
                <w:sz w:val="22"/>
                <w:lang w:eastAsia="ar-SA"/>
              </w:rPr>
            </w:pPr>
            <w:r w:rsidRPr="00A07F29">
              <w:rPr>
                <w:rFonts w:cs="Times New Roman"/>
                <w:b/>
                <w:sz w:val="22"/>
                <w:lang w:eastAsia="ar-SA"/>
              </w:rPr>
              <w:t>9180* Nogāžu un gravu meži</w:t>
            </w:r>
          </w:p>
        </w:tc>
        <w:tc>
          <w:tcPr>
            <w:tcW w:w="1984" w:type="dxa"/>
            <w:vAlign w:val="center"/>
          </w:tcPr>
          <w:p w14:paraId="01AD6295" w14:textId="77777777" w:rsidR="002B1603" w:rsidRPr="00A07F29" w:rsidRDefault="002B1603" w:rsidP="002B1603">
            <w:pPr>
              <w:suppressAutoHyphens/>
              <w:jc w:val="center"/>
              <w:rPr>
                <w:rFonts w:cs="Times New Roman"/>
                <w:color w:val="000000"/>
                <w:sz w:val="22"/>
                <w:lang w:eastAsia="ar-SA"/>
              </w:rPr>
            </w:pPr>
            <w:r w:rsidRPr="00A07F29">
              <w:rPr>
                <w:rFonts w:cs="Times New Roman"/>
                <w:color w:val="000000"/>
                <w:sz w:val="22"/>
                <w:lang w:eastAsia="ar-SA"/>
              </w:rPr>
              <w:t>97,08</w:t>
            </w:r>
          </w:p>
        </w:tc>
        <w:tc>
          <w:tcPr>
            <w:tcW w:w="1843" w:type="dxa"/>
            <w:vAlign w:val="center"/>
          </w:tcPr>
          <w:p w14:paraId="73AB946A" w14:textId="0CA51BB3" w:rsidR="002B1603" w:rsidRPr="00A07F29" w:rsidRDefault="00297258" w:rsidP="00297258">
            <w:pPr>
              <w:suppressAutoHyphens/>
              <w:jc w:val="center"/>
              <w:rPr>
                <w:rFonts w:cs="Times New Roman"/>
                <w:sz w:val="22"/>
                <w:lang w:eastAsia="ar-SA"/>
              </w:rPr>
            </w:pPr>
            <w:r w:rsidRPr="00A07F29">
              <w:rPr>
                <w:rFonts w:cs="Times New Roman"/>
                <w:sz w:val="22"/>
                <w:lang w:eastAsia="ar-SA"/>
              </w:rPr>
              <w:t>239,60</w:t>
            </w:r>
          </w:p>
        </w:tc>
        <w:tc>
          <w:tcPr>
            <w:tcW w:w="1134" w:type="dxa"/>
            <w:vAlign w:val="center"/>
          </w:tcPr>
          <w:p w14:paraId="18699FBF" w14:textId="1FE60497" w:rsidR="002B1603" w:rsidRPr="00A07F29" w:rsidRDefault="002B1603" w:rsidP="00297258">
            <w:pPr>
              <w:suppressAutoHyphens/>
              <w:jc w:val="center"/>
              <w:rPr>
                <w:rFonts w:cs="Times New Roman"/>
                <w:b/>
                <w:color w:val="000000"/>
                <w:sz w:val="22"/>
                <w:lang w:eastAsia="ar-SA"/>
              </w:rPr>
            </w:pPr>
            <w:r w:rsidRPr="00A07F29">
              <w:rPr>
                <w:rFonts w:cs="Times New Roman"/>
                <w:b/>
                <w:color w:val="000000"/>
                <w:sz w:val="22"/>
                <w:lang w:eastAsia="ar-SA"/>
              </w:rPr>
              <w:t>+</w:t>
            </w:r>
            <w:r w:rsidR="00297258" w:rsidRPr="00A07F29">
              <w:rPr>
                <w:rFonts w:cs="Times New Roman"/>
                <w:b/>
                <w:color w:val="000000"/>
                <w:sz w:val="22"/>
                <w:lang w:eastAsia="ar-SA"/>
              </w:rPr>
              <w:t>142</w:t>
            </w:r>
            <w:r w:rsidR="00C10491" w:rsidRPr="00A07F29">
              <w:rPr>
                <w:rFonts w:cs="Times New Roman"/>
                <w:b/>
                <w:color w:val="000000"/>
                <w:sz w:val="22"/>
                <w:lang w:eastAsia="ar-SA"/>
              </w:rPr>
              <w:t>,</w:t>
            </w:r>
            <w:r w:rsidR="00297258" w:rsidRPr="00A07F29">
              <w:rPr>
                <w:rFonts w:cs="Times New Roman"/>
                <w:b/>
                <w:color w:val="000000"/>
                <w:sz w:val="22"/>
                <w:lang w:eastAsia="ar-SA"/>
              </w:rPr>
              <w:t>52</w:t>
            </w:r>
          </w:p>
        </w:tc>
        <w:tc>
          <w:tcPr>
            <w:tcW w:w="3969" w:type="dxa"/>
            <w:vAlign w:val="center"/>
          </w:tcPr>
          <w:p w14:paraId="272228E5" w14:textId="77777777" w:rsidR="002B1603" w:rsidRPr="00A07F29" w:rsidRDefault="002B1603" w:rsidP="002B1603">
            <w:pPr>
              <w:suppressAutoHyphens/>
              <w:rPr>
                <w:rFonts w:cs="Times New Roman"/>
                <w:sz w:val="22"/>
                <w:lang w:eastAsia="ar-SA"/>
              </w:rPr>
            </w:pPr>
            <w:r w:rsidRPr="00A07F29">
              <w:rPr>
                <w:rFonts w:cs="Times New Roman"/>
                <w:color w:val="000000"/>
                <w:sz w:val="22"/>
                <w:lang w:eastAsia="ar-SA"/>
              </w:rPr>
              <w:t xml:space="preserve">Detalizēta aizsargājamo biotopu inventarizācija AAA “Augšdaugava” </w:t>
            </w:r>
            <w:r w:rsidRPr="00A07F29">
              <w:rPr>
                <w:rFonts w:cs="Times New Roman"/>
                <w:i/>
                <w:color w:val="000000"/>
                <w:sz w:val="22"/>
                <w:lang w:eastAsia="ar-SA"/>
              </w:rPr>
              <w:t>Dabas skaitīšanas</w:t>
            </w:r>
            <w:r w:rsidRPr="00A07F29">
              <w:rPr>
                <w:rFonts w:cs="Times New Roman"/>
                <w:color w:val="000000"/>
                <w:sz w:val="22"/>
                <w:lang w:eastAsia="ar-SA"/>
              </w:rPr>
              <w:t xml:space="preserve"> ietvaros.</w:t>
            </w:r>
          </w:p>
        </w:tc>
      </w:tr>
      <w:tr w:rsidR="00C10491" w:rsidRPr="00A07F29" w14:paraId="55F0DCEE" w14:textId="77777777" w:rsidTr="007E2DDD">
        <w:trPr>
          <w:jc w:val="center"/>
        </w:trPr>
        <w:tc>
          <w:tcPr>
            <w:tcW w:w="704" w:type="dxa"/>
            <w:vAlign w:val="center"/>
          </w:tcPr>
          <w:p w14:paraId="447BF09F" w14:textId="2EC97A49" w:rsidR="002B1603" w:rsidRPr="00A07F29" w:rsidRDefault="00DA613C" w:rsidP="00DA613C">
            <w:pPr>
              <w:suppressAutoHyphens/>
              <w:jc w:val="center"/>
              <w:rPr>
                <w:rFonts w:cs="Times New Roman"/>
                <w:sz w:val="22"/>
                <w:lang w:eastAsia="ar-SA"/>
              </w:rPr>
            </w:pPr>
            <w:r w:rsidRPr="00A07F29">
              <w:rPr>
                <w:rFonts w:cs="Times New Roman"/>
                <w:sz w:val="22"/>
                <w:lang w:eastAsia="ar-SA"/>
              </w:rPr>
              <w:t>25</w:t>
            </w:r>
            <w:r w:rsidR="002B1603" w:rsidRPr="00A07F29">
              <w:rPr>
                <w:rFonts w:cs="Times New Roman"/>
                <w:sz w:val="22"/>
                <w:lang w:eastAsia="ar-SA"/>
              </w:rPr>
              <w:t>.</w:t>
            </w:r>
          </w:p>
        </w:tc>
        <w:tc>
          <w:tcPr>
            <w:tcW w:w="3686" w:type="dxa"/>
            <w:vAlign w:val="center"/>
          </w:tcPr>
          <w:p w14:paraId="61CAE46B" w14:textId="77777777" w:rsidR="002B1603" w:rsidRPr="00A07F29" w:rsidRDefault="002B1603" w:rsidP="002B1603">
            <w:pPr>
              <w:suppressAutoHyphens/>
              <w:rPr>
                <w:rFonts w:cs="Times New Roman"/>
                <w:b/>
                <w:sz w:val="22"/>
                <w:lang w:eastAsia="ar-SA"/>
              </w:rPr>
            </w:pPr>
            <w:r w:rsidRPr="00A07F29">
              <w:rPr>
                <w:rFonts w:cs="Times New Roman"/>
                <w:b/>
                <w:sz w:val="22"/>
                <w:lang w:eastAsia="ar-SA"/>
              </w:rPr>
              <w:t>91D0* Purvaini meži</w:t>
            </w:r>
          </w:p>
        </w:tc>
        <w:tc>
          <w:tcPr>
            <w:tcW w:w="1984" w:type="dxa"/>
            <w:vAlign w:val="center"/>
          </w:tcPr>
          <w:p w14:paraId="3FA9C2D9" w14:textId="77777777" w:rsidR="002B1603" w:rsidRPr="00A07F29" w:rsidRDefault="002B1603" w:rsidP="002B1603">
            <w:pPr>
              <w:suppressAutoHyphens/>
              <w:jc w:val="center"/>
              <w:rPr>
                <w:rFonts w:cs="Times New Roman"/>
                <w:color w:val="000000"/>
                <w:sz w:val="22"/>
                <w:lang w:eastAsia="ar-SA"/>
              </w:rPr>
            </w:pPr>
            <w:r w:rsidRPr="00A07F29">
              <w:rPr>
                <w:rFonts w:cs="Times New Roman"/>
                <w:color w:val="000000"/>
                <w:sz w:val="22"/>
                <w:lang w:eastAsia="ar-SA"/>
              </w:rPr>
              <w:t>36,57</w:t>
            </w:r>
          </w:p>
        </w:tc>
        <w:tc>
          <w:tcPr>
            <w:tcW w:w="1843" w:type="dxa"/>
            <w:vAlign w:val="center"/>
          </w:tcPr>
          <w:p w14:paraId="6EA4E0D6" w14:textId="774A47D0" w:rsidR="002B1603" w:rsidRPr="00A07F29" w:rsidRDefault="00C10491" w:rsidP="00297258">
            <w:pPr>
              <w:suppressAutoHyphens/>
              <w:jc w:val="center"/>
              <w:rPr>
                <w:rFonts w:cs="Times New Roman"/>
                <w:sz w:val="22"/>
                <w:lang w:eastAsia="ar-SA"/>
              </w:rPr>
            </w:pPr>
            <w:r w:rsidRPr="00A07F29">
              <w:rPr>
                <w:rFonts w:cs="Times New Roman"/>
                <w:sz w:val="22"/>
                <w:lang w:eastAsia="ar-SA"/>
              </w:rPr>
              <w:t>123,</w:t>
            </w:r>
            <w:r w:rsidR="00297258" w:rsidRPr="00A07F29">
              <w:rPr>
                <w:rFonts w:cs="Times New Roman"/>
                <w:sz w:val="22"/>
                <w:lang w:eastAsia="ar-SA"/>
              </w:rPr>
              <w:t>81</w:t>
            </w:r>
          </w:p>
        </w:tc>
        <w:tc>
          <w:tcPr>
            <w:tcW w:w="1134" w:type="dxa"/>
            <w:vAlign w:val="center"/>
          </w:tcPr>
          <w:p w14:paraId="4652620F" w14:textId="5229BE8A" w:rsidR="002B1603" w:rsidRPr="00A07F29" w:rsidRDefault="002B1603" w:rsidP="00297258">
            <w:pPr>
              <w:suppressAutoHyphens/>
              <w:jc w:val="center"/>
              <w:rPr>
                <w:rFonts w:cs="Times New Roman"/>
                <w:b/>
                <w:color w:val="000000"/>
                <w:sz w:val="22"/>
                <w:lang w:eastAsia="ar-SA"/>
              </w:rPr>
            </w:pPr>
            <w:r w:rsidRPr="00A07F29">
              <w:rPr>
                <w:rFonts w:cs="Times New Roman"/>
                <w:b/>
                <w:color w:val="000000"/>
                <w:sz w:val="22"/>
                <w:lang w:eastAsia="ar-SA"/>
              </w:rPr>
              <w:t>+</w:t>
            </w:r>
            <w:r w:rsidR="00C10491" w:rsidRPr="00A07F29">
              <w:rPr>
                <w:rFonts w:cs="Times New Roman"/>
                <w:b/>
                <w:color w:val="000000"/>
                <w:sz w:val="22"/>
                <w:lang w:eastAsia="ar-SA"/>
              </w:rPr>
              <w:t>87,</w:t>
            </w:r>
            <w:r w:rsidR="00297258" w:rsidRPr="00A07F29">
              <w:rPr>
                <w:rFonts w:cs="Times New Roman"/>
                <w:b/>
                <w:color w:val="000000"/>
                <w:sz w:val="22"/>
                <w:lang w:eastAsia="ar-SA"/>
              </w:rPr>
              <w:t>24</w:t>
            </w:r>
          </w:p>
        </w:tc>
        <w:tc>
          <w:tcPr>
            <w:tcW w:w="3969" w:type="dxa"/>
            <w:vAlign w:val="center"/>
          </w:tcPr>
          <w:p w14:paraId="6188BE14" w14:textId="77777777" w:rsidR="002B1603" w:rsidRPr="00A07F29" w:rsidRDefault="002B1603" w:rsidP="002B1603">
            <w:pPr>
              <w:suppressAutoHyphens/>
              <w:rPr>
                <w:rFonts w:cs="Times New Roman"/>
                <w:sz w:val="22"/>
                <w:lang w:eastAsia="ar-SA"/>
              </w:rPr>
            </w:pPr>
            <w:r w:rsidRPr="00A07F29">
              <w:rPr>
                <w:rFonts w:cs="Times New Roman"/>
                <w:color w:val="000000"/>
                <w:sz w:val="22"/>
                <w:lang w:eastAsia="ar-SA"/>
              </w:rPr>
              <w:t xml:space="preserve">Detalizēta aizsargājamo biotopu inventarizācija AAA “Augšdaugava” </w:t>
            </w:r>
            <w:r w:rsidRPr="00A07F29">
              <w:rPr>
                <w:rFonts w:cs="Times New Roman"/>
                <w:i/>
                <w:color w:val="000000"/>
                <w:sz w:val="22"/>
                <w:lang w:eastAsia="ar-SA"/>
              </w:rPr>
              <w:t>Dabas skaitīšanas</w:t>
            </w:r>
            <w:r w:rsidRPr="00A07F29">
              <w:rPr>
                <w:rFonts w:cs="Times New Roman"/>
                <w:color w:val="000000"/>
                <w:sz w:val="22"/>
                <w:lang w:eastAsia="ar-SA"/>
              </w:rPr>
              <w:t xml:space="preserve"> ietvaros.</w:t>
            </w:r>
          </w:p>
        </w:tc>
      </w:tr>
      <w:tr w:rsidR="00C10491" w:rsidRPr="00A07F29" w14:paraId="77D4EC80" w14:textId="77777777" w:rsidTr="007E2DDD">
        <w:trPr>
          <w:jc w:val="center"/>
        </w:trPr>
        <w:tc>
          <w:tcPr>
            <w:tcW w:w="704" w:type="dxa"/>
            <w:vAlign w:val="center"/>
          </w:tcPr>
          <w:p w14:paraId="1458843C" w14:textId="27B1A6C1" w:rsidR="002B1603" w:rsidRPr="00A07F29" w:rsidRDefault="00DA613C" w:rsidP="00DA613C">
            <w:pPr>
              <w:suppressAutoHyphens/>
              <w:jc w:val="center"/>
              <w:rPr>
                <w:rFonts w:cs="Times New Roman"/>
                <w:sz w:val="22"/>
                <w:lang w:eastAsia="ar-SA"/>
              </w:rPr>
            </w:pPr>
            <w:r w:rsidRPr="00A07F29">
              <w:rPr>
                <w:rFonts w:cs="Times New Roman"/>
                <w:sz w:val="22"/>
                <w:lang w:eastAsia="ar-SA"/>
              </w:rPr>
              <w:t>26</w:t>
            </w:r>
            <w:r w:rsidR="002B1603" w:rsidRPr="00A07F29">
              <w:rPr>
                <w:rFonts w:cs="Times New Roman"/>
                <w:sz w:val="22"/>
                <w:lang w:eastAsia="ar-SA"/>
              </w:rPr>
              <w:t>.</w:t>
            </w:r>
          </w:p>
        </w:tc>
        <w:tc>
          <w:tcPr>
            <w:tcW w:w="3686" w:type="dxa"/>
            <w:vAlign w:val="center"/>
          </w:tcPr>
          <w:p w14:paraId="22D5A93F" w14:textId="77777777" w:rsidR="002B1603" w:rsidRPr="00A07F29" w:rsidRDefault="002B1603" w:rsidP="002B1603">
            <w:pPr>
              <w:suppressAutoHyphens/>
              <w:rPr>
                <w:rFonts w:cs="Times New Roman"/>
                <w:b/>
                <w:sz w:val="22"/>
                <w:lang w:eastAsia="ar-SA"/>
              </w:rPr>
            </w:pPr>
            <w:r w:rsidRPr="00A07F29">
              <w:rPr>
                <w:rFonts w:cs="Times New Roman"/>
                <w:b/>
                <w:sz w:val="22"/>
                <w:lang w:eastAsia="ar-SA"/>
              </w:rPr>
              <w:t>91E0* Aluviāli meži (aluviāli krastmalu un palieņu meži)</w:t>
            </w:r>
          </w:p>
        </w:tc>
        <w:tc>
          <w:tcPr>
            <w:tcW w:w="1984" w:type="dxa"/>
            <w:vAlign w:val="center"/>
          </w:tcPr>
          <w:p w14:paraId="79CA993E" w14:textId="77777777" w:rsidR="002B1603" w:rsidRPr="00A07F29" w:rsidRDefault="002B1603" w:rsidP="002B1603">
            <w:pPr>
              <w:suppressAutoHyphens/>
              <w:jc w:val="center"/>
              <w:rPr>
                <w:rFonts w:cs="Times New Roman"/>
                <w:color w:val="000000"/>
                <w:sz w:val="22"/>
                <w:lang w:eastAsia="ar-SA"/>
              </w:rPr>
            </w:pPr>
            <w:r w:rsidRPr="00A07F29">
              <w:rPr>
                <w:rFonts w:cs="Times New Roman"/>
                <w:color w:val="000000"/>
                <w:sz w:val="22"/>
                <w:lang w:eastAsia="ar-SA"/>
              </w:rPr>
              <w:t>-</w:t>
            </w:r>
          </w:p>
        </w:tc>
        <w:tc>
          <w:tcPr>
            <w:tcW w:w="1843" w:type="dxa"/>
            <w:vAlign w:val="center"/>
          </w:tcPr>
          <w:p w14:paraId="6C65EB0A" w14:textId="24A5257A" w:rsidR="002B1603" w:rsidRPr="00A07F29" w:rsidRDefault="00C10491" w:rsidP="00C10491">
            <w:pPr>
              <w:suppressAutoHyphens/>
              <w:jc w:val="center"/>
              <w:rPr>
                <w:rFonts w:cs="Times New Roman"/>
                <w:sz w:val="22"/>
                <w:lang w:eastAsia="ar-SA"/>
              </w:rPr>
            </w:pPr>
            <w:r w:rsidRPr="00A07F29">
              <w:rPr>
                <w:rFonts w:cs="Times New Roman"/>
                <w:sz w:val="22"/>
                <w:lang w:eastAsia="ar-SA"/>
              </w:rPr>
              <w:t>32,81</w:t>
            </w:r>
          </w:p>
        </w:tc>
        <w:tc>
          <w:tcPr>
            <w:tcW w:w="1134" w:type="dxa"/>
            <w:vAlign w:val="center"/>
          </w:tcPr>
          <w:p w14:paraId="1CF6C0DE" w14:textId="6E9B8D16" w:rsidR="002B1603" w:rsidRPr="00A07F29" w:rsidRDefault="002B1603" w:rsidP="00C10491">
            <w:pPr>
              <w:suppressAutoHyphens/>
              <w:jc w:val="center"/>
              <w:rPr>
                <w:rFonts w:cs="Times New Roman"/>
                <w:b/>
                <w:color w:val="000000"/>
                <w:sz w:val="22"/>
                <w:lang w:eastAsia="ar-SA"/>
              </w:rPr>
            </w:pPr>
            <w:r w:rsidRPr="00A07F29">
              <w:rPr>
                <w:rFonts w:cs="Times New Roman"/>
                <w:b/>
                <w:color w:val="000000"/>
                <w:sz w:val="22"/>
                <w:lang w:eastAsia="ar-SA"/>
              </w:rPr>
              <w:t>+</w:t>
            </w:r>
            <w:r w:rsidR="00C10491" w:rsidRPr="00A07F29">
              <w:rPr>
                <w:rFonts w:cs="Times New Roman"/>
                <w:b/>
                <w:color w:val="000000"/>
                <w:sz w:val="22"/>
                <w:lang w:eastAsia="ar-SA"/>
              </w:rPr>
              <w:t>32,81</w:t>
            </w:r>
          </w:p>
        </w:tc>
        <w:tc>
          <w:tcPr>
            <w:tcW w:w="3969" w:type="dxa"/>
            <w:vAlign w:val="center"/>
          </w:tcPr>
          <w:p w14:paraId="4151BD38" w14:textId="77777777" w:rsidR="002B1603" w:rsidRPr="00A07F29" w:rsidRDefault="002B1603" w:rsidP="002B1603">
            <w:pPr>
              <w:suppressAutoHyphens/>
              <w:rPr>
                <w:rFonts w:cs="Times New Roman"/>
                <w:sz w:val="22"/>
                <w:lang w:eastAsia="ar-SA"/>
              </w:rPr>
            </w:pPr>
            <w:r w:rsidRPr="00A07F29">
              <w:rPr>
                <w:rFonts w:cs="Times New Roman"/>
                <w:color w:val="000000"/>
                <w:sz w:val="22"/>
                <w:lang w:eastAsia="ar-SA"/>
              </w:rPr>
              <w:t xml:space="preserve">Detalizēta aizsargājamo biotopu inventarizācija AAA “Augšdaugava” </w:t>
            </w:r>
            <w:r w:rsidRPr="00A07F29">
              <w:rPr>
                <w:rFonts w:cs="Times New Roman"/>
                <w:i/>
                <w:color w:val="000000"/>
                <w:sz w:val="22"/>
                <w:lang w:eastAsia="ar-SA"/>
              </w:rPr>
              <w:t>Dabas skaitīšanas</w:t>
            </w:r>
            <w:r w:rsidRPr="00A07F29">
              <w:rPr>
                <w:rFonts w:cs="Times New Roman"/>
                <w:color w:val="000000"/>
                <w:sz w:val="22"/>
                <w:lang w:eastAsia="ar-SA"/>
              </w:rPr>
              <w:t xml:space="preserve"> ietvaros.</w:t>
            </w:r>
          </w:p>
        </w:tc>
      </w:tr>
      <w:tr w:rsidR="00C10491" w:rsidRPr="00A07F29" w14:paraId="19FDDDB6" w14:textId="77777777" w:rsidTr="007E2DDD">
        <w:trPr>
          <w:jc w:val="center"/>
        </w:trPr>
        <w:tc>
          <w:tcPr>
            <w:tcW w:w="704" w:type="dxa"/>
            <w:tcBorders>
              <w:bottom w:val="single" w:sz="4" w:space="0" w:color="auto"/>
            </w:tcBorders>
            <w:vAlign w:val="center"/>
          </w:tcPr>
          <w:p w14:paraId="3E81DE90" w14:textId="702EEA08" w:rsidR="002B1603" w:rsidRPr="00A07F29" w:rsidRDefault="00DA613C" w:rsidP="00DA613C">
            <w:pPr>
              <w:suppressAutoHyphens/>
              <w:jc w:val="center"/>
              <w:rPr>
                <w:rFonts w:cs="Times New Roman"/>
                <w:sz w:val="22"/>
                <w:lang w:eastAsia="ar-SA"/>
              </w:rPr>
            </w:pPr>
            <w:r w:rsidRPr="00A07F29">
              <w:rPr>
                <w:rFonts w:cs="Times New Roman"/>
                <w:sz w:val="22"/>
                <w:lang w:eastAsia="ar-SA"/>
              </w:rPr>
              <w:lastRenderedPageBreak/>
              <w:t>27</w:t>
            </w:r>
            <w:r w:rsidR="002B1603" w:rsidRPr="00A07F29">
              <w:rPr>
                <w:rFonts w:cs="Times New Roman"/>
                <w:sz w:val="22"/>
                <w:lang w:eastAsia="ar-SA"/>
              </w:rPr>
              <w:t>.</w:t>
            </w:r>
          </w:p>
        </w:tc>
        <w:tc>
          <w:tcPr>
            <w:tcW w:w="3686" w:type="dxa"/>
            <w:vAlign w:val="center"/>
          </w:tcPr>
          <w:p w14:paraId="17442217" w14:textId="77777777" w:rsidR="002B1603" w:rsidRPr="00A07F29" w:rsidRDefault="002B1603" w:rsidP="002B1603">
            <w:pPr>
              <w:suppressAutoHyphens/>
              <w:rPr>
                <w:rFonts w:cs="Times New Roman"/>
                <w:b/>
                <w:sz w:val="22"/>
                <w:lang w:eastAsia="ar-SA"/>
              </w:rPr>
            </w:pPr>
            <w:r w:rsidRPr="00A07F29">
              <w:rPr>
                <w:rFonts w:cs="Times New Roman"/>
                <w:b/>
                <w:sz w:val="22"/>
                <w:lang w:eastAsia="ar-SA"/>
              </w:rPr>
              <w:t>91T0 Ķērpjiem bagāti priežu meži</w:t>
            </w:r>
          </w:p>
        </w:tc>
        <w:tc>
          <w:tcPr>
            <w:tcW w:w="1984" w:type="dxa"/>
            <w:vAlign w:val="center"/>
          </w:tcPr>
          <w:p w14:paraId="2BDC95C9" w14:textId="77777777" w:rsidR="002B1603" w:rsidRPr="00A07F29" w:rsidRDefault="002B1603" w:rsidP="002B1603">
            <w:pPr>
              <w:suppressAutoHyphens/>
              <w:jc w:val="center"/>
              <w:rPr>
                <w:rFonts w:cs="Times New Roman"/>
                <w:color w:val="000000"/>
                <w:sz w:val="22"/>
                <w:lang w:eastAsia="ar-SA"/>
              </w:rPr>
            </w:pPr>
            <w:r w:rsidRPr="00A07F29">
              <w:rPr>
                <w:rFonts w:cs="Times New Roman"/>
                <w:color w:val="000000"/>
                <w:sz w:val="22"/>
                <w:lang w:eastAsia="ar-SA"/>
              </w:rPr>
              <w:t>-</w:t>
            </w:r>
          </w:p>
        </w:tc>
        <w:tc>
          <w:tcPr>
            <w:tcW w:w="1843" w:type="dxa"/>
            <w:vAlign w:val="center"/>
          </w:tcPr>
          <w:p w14:paraId="486B1A28" w14:textId="6080880A" w:rsidR="002B1603" w:rsidRPr="00A07F29" w:rsidRDefault="002B1603" w:rsidP="00C10491">
            <w:pPr>
              <w:suppressAutoHyphens/>
              <w:jc w:val="center"/>
              <w:rPr>
                <w:rFonts w:cs="Times New Roman"/>
                <w:sz w:val="22"/>
                <w:lang w:eastAsia="ar-SA"/>
              </w:rPr>
            </w:pPr>
            <w:r w:rsidRPr="00A07F29">
              <w:rPr>
                <w:rFonts w:cs="Times New Roman"/>
                <w:sz w:val="22"/>
                <w:lang w:eastAsia="ar-SA"/>
              </w:rPr>
              <w:t>5,15</w:t>
            </w:r>
          </w:p>
        </w:tc>
        <w:tc>
          <w:tcPr>
            <w:tcW w:w="1134" w:type="dxa"/>
            <w:vAlign w:val="center"/>
          </w:tcPr>
          <w:p w14:paraId="4FD75E13" w14:textId="3DEFDBFF" w:rsidR="002B1603" w:rsidRPr="00A07F29" w:rsidRDefault="002B1603" w:rsidP="00C10491">
            <w:pPr>
              <w:suppressAutoHyphens/>
              <w:jc w:val="center"/>
              <w:rPr>
                <w:rFonts w:cs="Times New Roman"/>
                <w:b/>
                <w:color w:val="000000"/>
                <w:sz w:val="22"/>
                <w:lang w:eastAsia="ar-SA"/>
              </w:rPr>
            </w:pPr>
            <w:r w:rsidRPr="00A07F29">
              <w:rPr>
                <w:rFonts w:cs="Times New Roman"/>
                <w:b/>
                <w:color w:val="000000"/>
                <w:sz w:val="22"/>
                <w:lang w:eastAsia="ar-SA"/>
              </w:rPr>
              <w:t>+5,15</w:t>
            </w:r>
          </w:p>
        </w:tc>
        <w:tc>
          <w:tcPr>
            <w:tcW w:w="3969" w:type="dxa"/>
            <w:vAlign w:val="center"/>
          </w:tcPr>
          <w:p w14:paraId="1440EE2D" w14:textId="05D81F35" w:rsidR="002B1603" w:rsidRPr="00A07F29" w:rsidRDefault="001540B6" w:rsidP="001540B6">
            <w:pPr>
              <w:suppressAutoHyphens/>
              <w:rPr>
                <w:rFonts w:cs="Times New Roman"/>
                <w:sz w:val="22"/>
                <w:lang w:eastAsia="ar-SA"/>
              </w:rPr>
            </w:pPr>
            <w:r w:rsidRPr="00A07F29">
              <w:rPr>
                <w:rFonts w:cs="Times New Roman"/>
                <w:color w:val="000000"/>
                <w:sz w:val="22"/>
                <w:lang w:eastAsia="ar-SA"/>
              </w:rPr>
              <w:t>Precizēta ES nozīmes biotopu noteikšanas metodika (iepriekš šis biotops Latvijā netika izdalīts), kā arī veikta d</w:t>
            </w:r>
            <w:r w:rsidR="002B1603" w:rsidRPr="00A07F29">
              <w:rPr>
                <w:rFonts w:cs="Times New Roman"/>
                <w:color w:val="000000"/>
                <w:sz w:val="22"/>
                <w:lang w:eastAsia="ar-SA"/>
              </w:rPr>
              <w:t xml:space="preserve">etalizēta aizsargājamo biotopu inventarizācija AAA “Augšdaugava” </w:t>
            </w:r>
            <w:r w:rsidR="002B1603" w:rsidRPr="00A07F29">
              <w:rPr>
                <w:rFonts w:cs="Times New Roman"/>
                <w:i/>
                <w:color w:val="000000"/>
                <w:sz w:val="22"/>
                <w:lang w:eastAsia="ar-SA"/>
              </w:rPr>
              <w:t>Dabas skaitīšanas</w:t>
            </w:r>
            <w:r w:rsidR="002B1603" w:rsidRPr="00A07F29">
              <w:rPr>
                <w:rFonts w:cs="Times New Roman"/>
                <w:color w:val="000000"/>
                <w:sz w:val="22"/>
                <w:lang w:eastAsia="ar-SA"/>
              </w:rPr>
              <w:t xml:space="preserve"> ietvaros.</w:t>
            </w:r>
          </w:p>
        </w:tc>
      </w:tr>
      <w:tr w:rsidR="00C10491" w:rsidRPr="00A07F29" w14:paraId="758A1E18" w14:textId="77777777" w:rsidTr="007E2DDD">
        <w:trPr>
          <w:jc w:val="center"/>
        </w:trPr>
        <w:tc>
          <w:tcPr>
            <w:tcW w:w="704" w:type="dxa"/>
            <w:tcBorders>
              <w:left w:val="nil"/>
              <w:bottom w:val="nil"/>
            </w:tcBorders>
            <w:vAlign w:val="center"/>
          </w:tcPr>
          <w:p w14:paraId="3B2F4CC9" w14:textId="77777777" w:rsidR="002B1603" w:rsidRPr="00A07F29" w:rsidRDefault="002B1603" w:rsidP="002B1603">
            <w:pPr>
              <w:suppressAutoHyphens/>
              <w:jc w:val="center"/>
              <w:rPr>
                <w:rFonts w:cs="Times New Roman"/>
                <w:b/>
                <w:sz w:val="22"/>
                <w:lang w:eastAsia="ar-SA"/>
              </w:rPr>
            </w:pPr>
          </w:p>
        </w:tc>
        <w:tc>
          <w:tcPr>
            <w:tcW w:w="3686" w:type="dxa"/>
            <w:vAlign w:val="center"/>
          </w:tcPr>
          <w:p w14:paraId="20A1814E" w14:textId="77777777" w:rsidR="002B1603" w:rsidRPr="00A07F29" w:rsidRDefault="002B1603" w:rsidP="002B1603">
            <w:pPr>
              <w:suppressAutoHyphens/>
              <w:rPr>
                <w:rFonts w:cs="Times New Roman"/>
                <w:b/>
                <w:sz w:val="22"/>
                <w:lang w:eastAsia="ar-SA"/>
              </w:rPr>
            </w:pPr>
            <w:r w:rsidRPr="00A07F29">
              <w:rPr>
                <w:rFonts w:cs="Times New Roman"/>
                <w:b/>
                <w:sz w:val="22"/>
                <w:lang w:eastAsia="ar-SA"/>
              </w:rPr>
              <w:t>Kopā:</w:t>
            </w:r>
          </w:p>
        </w:tc>
        <w:tc>
          <w:tcPr>
            <w:tcW w:w="1984" w:type="dxa"/>
            <w:vAlign w:val="center"/>
          </w:tcPr>
          <w:p w14:paraId="6EEA4F58" w14:textId="77777777" w:rsidR="002B1603" w:rsidRPr="00A07F29" w:rsidRDefault="002B1603" w:rsidP="002B1603">
            <w:pPr>
              <w:suppressAutoHyphens/>
              <w:jc w:val="center"/>
              <w:rPr>
                <w:rFonts w:cs="Times New Roman"/>
                <w:color w:val="000000"/>
                <w:sz w:val="22"/>
                <w:lang w:eastAsia="ar-SA"/>
              </w:rPr>
            </w:pPr>
            <w:r w:rsidRPr="00A07F29">
              <w:rPr>
                <w:rFonts w:cs="Times New Roman"/>
                <w:color w:val="000000"/>
                <w:sz w:val="22"/>
                <w:lang w:eastAsia="ar-SA"/>
              </w:rPr>
              <w:t>2701,13</w:t>
            </w:r>
          </w:p>
        </w:tc>
        <w:tc>
          <w:tcPr>
            <w:tcW w:w="1843" w:type="dxa"/>
            <w:vAlign w:val="center"/>
          </w:tcPr>
          <w:p w14:paraId="2DF2E426" w14:textId="76199A4E" w:rsidR="002B1603" w:rsidRPr="00A07F29" w:rsidRDefault="00297258" w:rsidP="00297258">
            <w:pPr>
              <w:suppressAutoHyphens/>
              <w:jc w:val="center"/>
              <w:rPr>
                <w:rFonts w:cs="Times New Roman"/>
                <w:bCs/>
                <w:color w:val="000000"/>
                <w:sz w:val="22"/>
                <w:lang w:eastAsia="ar-SA"/>
              </w:rPr>
            </w:pPr>
            <w:r w:rsidRPr="00A07F29">
              <w:rPr>
                <w:rFonts w:cs="Times New Roman"/>
                <w:bCs/>
                <w:color w:val="000000"/>
                <w:sz w:val="22"/>
                <w:lang w:eastAsia="ar-SA"/>
              </w:rPr>
              <w:t>4548,77</w:t>
            </w:r>
          </w:p>
        </w:tc>
        <w:tc>
          <w:tcPr>
            <w:tcW w:w="1134" w:type="dxa"/>
            <w:vAlign w:val="center"/>
          </w:tcPr>
          <w:p w14:paraId="5A273EF9" w14:textId="2F5FFF36" w:rsidR="002B1603" w:rsidRPr="00A07F29" w:rsidRDefault="002B1603" w:rsidP="00297258">
            <w:pPr>
              <w:suppressAutoHyphens/>
              <w:jc w:val="center"/>
              <w:rPr>
                <w:rFonts w:cs="Times New Roman"/>
                <w:b/>
                <w:color w:val="000000"/>
                <w:sz w:val="22"/>
                <w:lang w:eastAsia="ar-SA"/>
              </w:rPr>
            </w:pPr>
            <w:r w:rsidRPr="00A07F29">
              <w:rPr>
                <w:rFonts w:cs="Times New Roman"/>
                <w:b/>
                <w:color w:val="000000"/>
                <w:sz w:val="22"/>
                <w:lang w:eastAsia="ar-SA"/>
              </w:rPr>
              <w:t>+</w:t>
            </w:r>
            <w:r w:rsidR="00C10491" w:rsidRPr="00A07F29">
              <w:rPr>
                <w:rFonts w:cs="Times New Roman"/>
                <w:b/>
                <w:color w:val="000000"/>
                <w:sz w:val="22"/>
                <w:lang w:eastAsia="ar-SA"/>
              </w:rPr>
              <w:t>18</w:t>
            </w:r>
            <w:r w:rsidR="00297258" w:rsidRPr="00A07F29">
              <w:rPr>
                <w:rFonts w:cs="Times New Roman"/>
                <w:b/>
                <w:color w:val="000000"/>
                <w:sz w:val="22"/>
                <w:lang w:eastAsia="ar-SA"/>
              </w:rPr>
              <w:t>47</w:t>
            </w:r>
            <w:r w:rsidR="00C10491" w:rsidRPr="00A07F29">
              <w:rPr>
                <w:rFonts w:cs="Times New Roman"/>
                <w:b/>
                <w:color w:val="000000"/>
                <w:sz w:val="22"/>
                <w:lang w:eastAsia="ar-SA"/>
              </w:rPr>
              <w:t>,</w:t>
            </w:r>
            <w:r w:rsidR="00297258" w:rsidRPr="00A07F29">
              <w:rPr>
                <w:rFonts w:cs="Times New Roman"/>
                <w:b/>
                <w:color w:val="000000"/>
                <w:sz w:val="22"/>
                <w:lang w:eastAsia="ar-SA"/>
              </w:rPr>
              <w:t>64</w:t>
            </w:r>
          </w:p>
        </w:tc>
        <w:tc>
          <w:tcPr>
            <w:tcW w:w="3969" w:type="dxa"/>
            <w:vAlign w:val="center"/>
          </w:tcPr>
          <w:p w14:paraId="2EA7C700" w14:textId="4F31E868" w:rsidR="002B1603" w:rsidRPr="00A07F29" w:rsidRDefault="001540B6" w:rsidP="001540B6">
            <w:pPr>
              <w:suppressAutoHyphens/>
              <w:rPr>
                <w:rFonts w:cs="Times New Roman"/>
                <w:sz w:val="22"/>
                <w:lang w:eastAsia="ar-SA"/>
              </w:rPr>
            </w:pPr>
            <w:r w:rsidRPr="00A07F29">
              <w:rPr>
                <w:rFonts w:cs="Times New Roman"/>
                <w:color w:val="000000"/>
                <w:sz w:val="22"/>
                <w:lang w:eastAsia="ar-SA"/>
              </w:rPr>
              <w:t>Precizēta ES nozīmes biotopu noteikšanas metodika un veikta d</w:t>
            </w:r>
            <w:r w:rsidR="002B1603" w:rsidRPr="00A07F29">
              <w:rPr>
                <w:rFonts w:cs="Times New Roman"/>
                <w:color w:val="000000"/>
                <w:sz w:val="22"/>
                <w:lang w:eastAsia="ar-SA"/>
              </w:rPr>
              <w:t xml:space="preserve">etalizēta aizsargājamo biotopu inventarizācija </w:t>
            </w:r>
            <w:r w:rsidR="00AA14E3" w:rsidRPr="00A07F29">
              <w:rPr>
                <w:rFonts w:cs="Times New Roman"/>
                <w:color w:val="000000"/>
                <w:sz w:val="22"/>
                <w:lang w:eastAsia="ar-SA"/>
              </w:rPr>
              <w:t xml:space="preserve">visā </w:t>
            </w:r>
            <w:r w:rsidR="002B1603" w:rsidRPr="00A07F29">
              <w:rPr>
                <w:rFonts w:cs="Times New Roman"/>
                <w:color w:val="000000"/>
                <w:sz w:val="22"/>
                <w:lang w:eastAsia="ar-SA"/>
              </w:rPr>
              <w:t>AAA “Augšdaugava”</w:t>
            </w:r>
            <w:r w:rsidR="00AA14E3" w:rsidRPr="00A07F29">
              <w:rPr>
                <w:rFonts w:cs="Times New Roman"/>
                <w:color w:val="000000"/>
                <w:sz w:val="22"/>
                <w:lang w:eastAsia="ar-SA"/>
              </w:rPr>
              <w:t xml:space="preserve"> teritorijā</w:t>
            </w:r>
            <w:r w:rsidR="002B1603" w:rsidRPr="00A07F29">
              <w:rPr>
                <w:rFonts w:cs="Times New Roman"/>
                <w:color w:val="000000"/>
                <w:sz w:val="22"/>
                <w:lang w:eastAsia="ar-SA"/>
              </w:rPr>
              <w:t xml:space="preserve"> </w:t>
            </w:r>
            <w:r w:rsidR="002B1603" w:rsidRPr="00A07F29">
              <w:rPr>
                <w:rFonts w:cs="Times New Roman"/>
                <w:i/>
                <w:color w:val="000000"/>
                <w:sz w:val="22"/>
                <w:lang w:eastAsia="ar-SA"/>
              </w:rPr>
              <w:t>Dabas skaitīšanas</w:t>
            </w:r>
            <w:r w:rsidR="002B1603" w:rsidRPr="00A07F29">
              <w:rPr>
                <w:rFonts w:cs="Times New Roman"/>
                <w:color w:val="000000"/>
                <w:sz w:val="22"/>
                <w:lang w:eastAsia="ar-SA"/>
              </w:rPr>
              <w:t xml:space="preserve"> ietvaros.</w:t>
            </w:r>
            <w:r w:rsidRPr="00A07F29">
              <w:rPr>
                <w:rFonts w:cs="Times New Roman"/>
                <w:color w:val="000000"/>
                <w:sz w:val="22"/>
                <w:lang w:eastAsia="ar-SA"/>
              </w:rPr>
              <w:t xml:space="preserve"> Iepriekš nav bijusi veikta mērķtiecīga visu potenciāli ES nozīmes biotopiem atbilstošo platību apsekošana. Līdz ar to ES nozīmes biotopu platības pieaugums skaidrojams </w:t>
            </w:r>
            <w:r w:rsidR="00AA14E3" w:rsidRPr="00A07F29">
              <w:rPr>
                <w:rFonts w:cs="Times New Roman"/>
                <w:color w:val="000000"/>
                <w:sz w:val="22"/>
                <w:lang w:eastAsia="ar-SA"/>
              </w:rPr>
              <w:t>ar jaunas informācijas iegūšanu nevis būtiskām izmaiņām dabā.</w:t>
            </w:r>
          </w:p>
        </w:tc>
      </w:tr>
      <w:bookmarkEnd w:id="56"/>
    </w:tbl>
    <w:p w14:paraId="4EB1696B" w14:textId="77777777" w:rsidR="002B1603" w:rsidRPr="00A07F29" w:rsidRDefault="002B1603" w:rsidP="002B1603">
      <w:pPr>
        <w:suppressAutoHyphens/>
        <w:spacing w:after="0" w:line="240" w:lineRule="auto"/>
        <w:rPr>
          <w:rFonts w:ascii="Times New Roman" w:eastAsia="Calibri" w:hAnsi="Times New Roman" w:cs="Times New Roman"/>
          <w:bCs/>
          <w:iCs/>
          <w:sz w:val="24"/>
          <w:szCs w:val="20"/>
          <w:lang w:eastAsia="ar-SA"/>
        </w:rPr>
      </w:pPr>
    </w:p>
    <w:p w14:paraId="0725FA87" w14:textId="77777777" w:rsidR="002B1603" w:rsidRPr="00A07F29" w:rsidRDefault="002B1603" w:rsidP="002B1603">
      <w:pPr>
        <w:rPr>
          <w:rFonts w:ascii="Times New Roman" w:eastAsia="Calibri" w:hAnsi="Times New Roman" w:cs="Times New Roman"/>
          <w:b/>
          <w:i/>
          <w:color w:val="000000"/>
          <w:sz w:val="24"/>
          <w:szCs w:val="24"/>
          <w:lang w:eastAsia="ar-SA"/>
        </w:rPr>
      </w:pPr>
      <w:r w:rsidRPr="00A07F29">
        <w:rPr>
          <w:rFonts w:ascii="Times New Roman" w:eastAsia="Calibri" w:hAnsi="Times New Roman" w:cs="Times New Roman"/>
          <w:b/>
          <w:i/>
          <w:color w:val="000000"/>
          <w:sz w:val="24"/>
          <w:szCs w:val="24"/>
          <w:lang w:eastAsia="ar-SA"/>
        </w:rPr>
        <w:br w:type="page"/>
      </w:r>
    </w:p>
    <w:p w14:paraId="5708B98D" w14:textId="77777777" w:rsidR="002B1603" w:rsidRPr="00A07F29" w:rsidRDefault="002B1603" w:rsidP="002B1603">
      <w:pPr>
        <w:suppressAutoHyphens/>
        <w:spacing w:after="0" w:line="240" w:lineRule="auto"/>
        <w:jc w:val="both"/>
        <w:rPr>
          <w:rFonts w:ascii="Times New Roman" w:eastAsia="Calibri" w:hAnsi="Times New Roman" w:cs="Times New Roman"/>
          <w:b/>
          <w:i/>
          <w:color w:val="000000"/>
          <w:sz w:val="24"/>
          <w:szCs w:val="24"/>
          <w:lang w:eastAsia="ar-SA"/>
        </w:rPr>
        <w:sectPr w:rsidR="002B1603" w:rsidRPr="00A07F29" w:rsidSect="00F42B9F">
          <w:pgSz w:w="15840" w:h="12240" w:orient="landscape" w:code="1"/>
          <w:pgMar w:top="1440" w:right="1134" w:bottom="1440" w:left="1134" w:header="709" w:footer="369" w:gutter="0"/>
          <w:cols w:space="708"/>
          <w:docGrid w:linePitch="360"/>
        </w:sectPr>
      </w:pPr>
    </w:p>
    <w:p w14:paraId="16A6C358" w14:textId="26D68866" w:rsidR="002B1603" w:rsidRPr="00A07F29" w:rsidRDefault="002B1603" w:rsidP="000F36EB">
      <w:pPr>
        <w:pStyle w:val="Heading3"/>
        <w:spacing w:before="120" w:after="120" w:line="240" w:lineRule="auto"/>
        <w:jc w:val="center"/>
        <w:rPr>
          <w:b w:val="0"/>
          <w:lang w:eastAsia="ja-JP"/>
        </w:rPr>
      </w:pPr>
      <w:bookmarkStart w:id="57" w:name="_Toc183434001"/>
      <w:r w:rsidRPr="00A07F29">
        <w:rPr>
          <w:lang w:eastAsia="ja-JP"/>
        </w:rPr>
        <w:lastRenderedPageBreak/>
        <w:t>4.3.1. Stāvošu saldūdeņu biotopi</w:t>
      </w:r>
      <w:bookmarkEnd w:id="57"/>
    </w:p>
    <w:p w14:paraId="2C1931B6" w14:textId="30BF8753" w:rsidR="00BE5DB7" w:rsidRPr="00A07F29" w:rsidRDefault="0067691F" w:rsidP="00363227">
      <w:pPr>
        <w:widowControl w:val="0"/>
        <w:spacing w:before="120" w:after="120" w:line="240" w:lineRule="auto"/>
        <w:ind w:right="28"/>
        <w:jc w:val="both"/>
        <w:rPr>
          <w:rFonts w:ascii="Times New Roman" w:eastAsia="Times New Roman" w:hAnsi="Times New Roman" w:cs="Times New Roman"/>
          <w:b/>
          <w:i/>
          <w:iCs/>
          <w:color w:val="000000"/>
          <w:sz w:val="24"/>
          <w:szCs w:val="24"/>
          <w:lang w:eastAsia="ja-JP"/>
        </w:rPr>
      </w:pPr>
      <w:r w:rsidRPr="00A07F29">
        <w:rPr>
          <w:rFonts w:ascii="Times New Roman" w:eastAsia="Times New Roman" w:hAnsi="Times New Roman" w:cs="Times New Roman"/>
          <w:b/>
          <w:i/>
          <w:iCs/>
          <w:color w:val="000000"/>
          <w:sz w:val="24"/>
          <w:szCs w:val="24"/>
          <w:lang w:eastAsia="ja-JP"/>
        </w:rPr>
        <w:t>E</w:t>
      </w:r>
      <w:r w:rsidR="00BE5DB7" w:rsidRPr="00A07F29">
        <w:rPr>
          <w:rFonts w:ascii="Times New Roman" w:eastAsia="Times New Roman" w:hAnsi="Times New Roman" w:cs="Times New Roman"/>
          <w:b/>
          <w:i/>
          <w:iCs/>
          <w:color w:val="000000"/>
          <w:sz w:val="24"/>
          <w:szCs w:val="24"/>
          <w:lang w:eastAsia="ja-JP"/>
        </w:rPr>
        <w:t>zeru izpētes vēsture</w:t>
      </w:r>
    </w:p>
    <w:p w14:paraId="5A32B5DC" w14:textId="3E5933D1" w:rsidR="00BE5DB7" w:rsidRPr="00A07F29" w:rsidRDefault="00BE5DB7" w:rsidP="000F36EB">
      <w:pPr>
        <w:widowControl w:val="0"/>
        <w:spacing w:after="0" w:line="240" w:lineRule="auto"/>
        <w:ind w:right="26" w:firstLine="851"/>
        <w:jc w:val="both"/>
        <w:rPr>
          <w:rFonts w:ascii="Times New Roman" w:eastAsia="Times New Roman" w:hAnsi="Times New Roman" w:cs="Times New Roman"/>
          <w:kern w:val="2"/>
          <w:sz w:val="24"/>
          <w:szCs w:val="24"/>
          <w:lang w:eastAsia="zh-CN" w:bidi="hi-IN"/>
        </w:rPr>
      </w:pPr>
      <w:r w:rsidRPr="00A07F29">
        <w:rPr>
          <w:rFonts w:ascii="Times New Roman" w:eastAsia="Times New Roman" w:hAnsi="Times New Roman" w:cs="Times New Roman"/>
          <w:kern w:val="2"/>
          <w:sz w:val="24"/>
          <w:szCs w:val="24"/>
          <w:lang w:eastAsia="zh-CN" w:bidi="hi-IN"/>
        </w:rPr>
        <w:t xml:space="preserve">Pirmos plašākos pētījumus veica Dauguļu ezerā un </w:t>
      </w:r>
      <w:proofErr w:type="spellStart"/>
      <w:r w:rsidRPr="00A07F29">
        <w:rPr>
          <w:rFonts w:ascii="Times New Roman" w:eastAsia="Times New Roman" w:hAnsi="Times New Roman" w:cs="Times New Roman"/>
          <w:kern w:val="2"/>
          <w:sz w:val="24"/>
          <w:szCs w:val="24"/>
          <w:lang w:eastAsia="zh-CN" w:bidi="hi-IN"/>
        </w:rPr>
        <w:t>Riņģī</w:t>
      </w:r>
      <w:proofErr w:type="spellEnd"/>
      <w:r w:rsidRPr="00A07F29">
        <w:rPr>
          <w:rFonts w:ascii="Times New Roman" w:eastAsia="Times New Roman" w:hAnsi="Times New Roman" w:cs="Times New Roman"/>
          <w:kern w:val="2"/>
          <w:sz w:val="24"/>
          <w:szCs w:val="24"/>
          <w:lang w:eastAsia="zh-CN" w:bidi="hi-IN"/>
        </w:rPr>
        <w:t xml:space="preserve"> ap 1950.</w:t>
      </w:r>
      <w:r w:rsidR="004E31A6" w:rsidRPr="00A07F29">
        <w:rPr>
          <w:rFonts w:ascii="Times New Roman" w:eastAsia="Times New Roman" w:hAnsi="Times New Roman" w:cs="Times New Roman"/>
          <w:kern w:val="2"/>
          <w:sz w:val="24"/>
          <w:szCs w:val="24"/>
          <w:lang w:eastAsia="zh-CN" w:bidi="hi-IN"/>
        </w:rPr>
        <w:t> – </w:t>
      </w:r>
      <w:r w:rsidRPr="00A07F29">
        <w:rPr>
          <w:rFonts w:ascii="Times New Roman" w:eastAsia="Times New Roman" w:hAnsi="Times New Roman" w:cs="Times New Roman"/>
          <w:kern w:val="2"/>
          <w:sz w:val="24"/>
          <w:szCs w:val="24"/>
          <w:lang w:eastAsia="zh-CN" w:bidi="hi-IN"/>
        </w:rPr>
        <w:t>1951.</w:t>
      </w:r>
      <w:r w:rsidR="004E31A6" w:rsidRPr="00A07F29">
        <w:rPr>
          <w:rFonts w:ascii="Times New Roman" w:eastAsia="Times New Roman" w:hAnsi="Times New Roman" w:cs="Times New Roman"/>
          <w:kern w:val="2"/>
          <w:sz w:val="24"/>
          <w:szCs w:val="24"/>
          <w:lang w:eastAsia="zh-CN" w:bidi="hi-IN"/>
        </w:rPr>
        <w:t> gadu</w:t>
      </w:r>
      <w:r w:rsidRPr="00A07F29">
        <w:rPr>
          <w:rFonts w:ascii="Times New Roman" w:eastAsia="Times New Roman" w:hAnsi="Times New Roman" w:cs="Times New Roman"/>
          <w:kern w:val="2"/>
          <w:sz w:val="24"/>
          <w:szCs w:val="24"/>
          <w:lang w:eastAsia="zh-CN" w:bidi="hi-IN"/>
        </w:rPr>
        <w:t xml:space="preserve"> toreizējā Latvijas PSR Zinātņu akadēmijas Bioloģijas insti</w:t>
      </w:r>
      <w:r w:rsidR="00883139">
        <w:rPr>
          <w:rFonts w:ascii="Times New Roman" w:eastAsia="Times New Roman" w:hAnsi="Times New Roman" w:cs="Times New Roman"/>
          <w:kern w:val="2"/>
          <w:sz w:val="24"/>
          <w:szCs w:val="24"/>
          <w:lang w:eastAsia="zh-CN" w:bidi="hi-IN"/>
        </w:rPr>
        <w:t xml:space="preserve">tūta ihtioloģijas laboratorija. </w:t>
      </w:r>
      <w:r w:rsidRPr="00A07F29">
        <w:rPr>
          <w:rFonts w:ascii="Times New Roman" w:eastAsia="Times New Roman" w:hAnsi="Times New Roman" w:cs="Times New Roman"/>
          <w:kern w:val="2"/>
          <w:sz w:val="24"/>
          <w:szCs w:val="24"/>
          <w:lang w:eastAsia="zh-CN" w:bidi="hi-IN"/>
        </w:rPr>
        <w:t xml:space="preserve">Pirmos plašākos </w:t>
      </w:r>
      <w:proofErr w:type="spellStart"/>
      <w:r w:rsidRPr="00A07F29">
        <w:rPr>
          <w:rFonts w:ascii="Times New Roman" w:eastAsia="Times New Roman" w:hAnsi="Times New Roman" w:cs="Times New Roman"/>
          <w:kern w:val="2"/>
          <w:sz w:val="24"/>
          <w:szCs w:val="24"/>
          <w:lang w:eastAsia="zh-CN" w:bidi="hi-IN"/>
        </w:rPr>
        <w:t>limnoloģiskos</w:t>
      </w:r>
      <w:proofErr w:type="spellEnd"/>
      <w:r w:rsidRPr="00A07F29">
        <w:rPr>
          <w:rFonts w:ascii="Times New Roman" w:eastAsia="Times New Roman" w:hAnsi="Times New Roman" w:cs="Times New Roman"/>
          <w:kern w:val="2"/>
          <w:sz w:val="24"/>
          <w:szCs w:val="24"/>
          <w:lang w:eastAsia="zh-CN" w:bidi="hi-IN"/>
        </w:rPr>
        <w:t xml:space="preserve"> un bioloģiskos pētījumus Augšdaugavas </w:t>
      </w:r>
      <w:r w:rsidR="00E248B6">
        <w:rPr>
          <w:rFonts w:ascii="Times New Roman" w:eastAsia="Times New Roman" w:hAnsi="Times New Roman" w:cs="Times New Roman"/>
          <w:kern w:val="2"/>
          <w:sz w:val="24"/>
          <w:szCs w:val="24"/>
          <w:lang w:eastAsia="zh-CN" w:bidi="hi-IN"/>
        </w:rPr>
        <w:t>AAA</w:t>
      </w:r>
      <w:r w:rsidRPr="00A07F29">
        <w:rPr>
          <w:rFonts w:ascii="Times New Roman" w:eastAsia="Times New Roman" w:hAnsi="Times New Roman" w:cs="Times New Roman"/>
          <w:kern w:val="2"/>
          <w:sz w:val="24"/>
          <w:szCs w:val="24"/>
          <w:lang w:eastAsia="zh-CN" w:bidi="hi-IN"/>
        </w:rPr>
        <w:t xml:space="preserve"> ezeros 1971.</w:t>
      </w:r>
      <w:r w:rsidR="00E13C82" w:rsidRPr="00A07F29">
        <w:rPr>
          <w:rFonts w:ascii="Times New Roman" w:eastAsia="Times New Roman" w:hAnsi="Times New Roman" w:cs="Times New Roman"/>
          <w:kern w:val="2"/>
          <w:sz w:val="24"/>
          <w:szCs w:val="24"/>
          <w:lang w:eastAsia="zh-CN" w:bidi="hi-IN"/>
        </w:rPr>
        <w:t> </w:t>
      </w:r>
      <w:r w:rsidRPr="00A07F29">
        <w:rPr>
          <w:rFonts w:ascii="Times New Roman" w:eastAsia="Times New Roman" w:hAnsi="Times New Roman" w:cs="Times New Roman"/>
          <w:kern w:val="2"/>
          <w:sz w:val="24"/>
          <w:szCs w:val="24"/>
          <w:lang w:eastAsia="zh-CN" w:bidi="hi-IN"/>
        </w:rPr>
        <w:t xml:space="preserve">gadā veica toreizējā Latvijas Valsts Meliorācijas pētniecības institūta </w:t>
      </w:r>
      <w:proofErr w:type="spellStart"/>
      <w:r w:rsidRPr="00A07F29">
        <w:rPr>
          <w:rFonts w:ascii="Times New Roman" w:eastAsia="Times New Roman" w:hAnsi="Times New Roman" w:cs="Times New Roman"/>
          <w:kern w:val="2"/>
          <w:sz w:val="24"/>
          <w:szCs w:val="24"/>
          <w:lang w:eastAsia="zh-CN" w:bidi="hi-IN"/>
        </w:rPr>
        <w:t>limnologs</w:t>
      </w:r>
      <w:proofErr w:type="spellEnd"/>
      <w:r w:rsidRPr="00A07F29">
        <w:rPr>
          <w:rFonts w:ascii="Times New Roman" w:eastAsia="Times New Roman" w:hAnsi="Times New Roman" w:cs="Times New Roman"/>
          <w:kern w:val="2"/>
          <w:sz w:val="24"/>
          <w:szCs w:val="24"/>
          <w:lang w:eastAsia="zh-CN" w:bidi="hi-IN"/>
        </w:rPr>
        <w:t xml:space="preserve"> Ludvigs Lazdiņš. </w:t>
      </w:r>
      <w:r w:rsidR="00E248B6">
        <w:rPr>
          <w:rFonts w:ascii="Times New Roman" w:eastAsia="Times New Roman" w:hAnsi="Times New Roman" w:cs="Times New Roman"/>
          <w:kern w:val="2"/>
          <w:sz w:val="24"/>
          <w:szCs w:val="24"/>
          <w:lang w:eastAsia="zh-CN" w:bidi="hi-IN"/>
        </w:rPr>
        <w:t>LVM</w:t>
      </w:r>
      <w:r w:rsidRPr="00A07F29">
        <w:rPr>
          <w:rFonts w:ascii="Times New Roman" w:eastAsia="Times New Roman" w:hAnsi="Times New Roman" w:cs="Times New Roman"/>
          <w:kern w:val="2"/>
          <w:sz w:val="24"/>
          <w:szCs w:val="24"/>
          <w:lang w:eastAsia="zh-CN" w:bidi="hi-IN"/>
        </w:rPr>
        <w:t xml:space="preserve"> fondā esošo ezeru uzskaites gaitā (1972.-1973</w:t>
      </w:r>
      <w:r w:rsidR="006F411A" w:rsidRPr="00A07F29">
        <w:rPr>
          <w:rFonts w:ascii="Times New Roman" w:eastAsia="Times New Roman" w:hAnsi="Times New Roman" w:cs="Times New Roman"/>
          <w:kern w:val="2"/>
          <w:sz w:val="24"/>
          <w:szCs w:val="24"/>
          <w:lang w:eastAsia="zh-CN" w:bidi="hi-IN"/>
        </w:rPr>
        <w:t>.</w:t>
      </w:r>
      <w:r w:rsidRPr="00A07F29">
        <w:rPr>
          <w:rFonts w:ascii="Times New Roman" w:eastAsia="Times New Roman" w:hAnsi="Times New Roman" w:cs="Times New Roman"/>
          <w:kern w:val="2"/>
          <w:sz w:val="24"/>
          <w:szCs w:val="24"/>
          <w:lang w:eastAsia="zh-CN" w:bidi="hi-IN"/>
        </w:rPr>
        <w:t>) izpētīta sešu par 10</w:t>
      </w:r>
      <w:r w:rsidR="006F411A" w:rsidRPr="00A07F29">
        <w:rPr>
          <w:rFonts w:ascii="Times New Roman" w:eastAsia="Times New Roman" w:hAnsi="Times New Roman" w:cs="Times New Roman"/>
          <w:kern w:val="2"/>
          <w:sz w:val="24"/>
          <w:szCs w:val="24"/>
          <w:lang w:eastAsia="zh-CN" w:bidi="hi-IN"/>
        </w:rPr>
        <w:t> </w:t>
      </w:r>
      <w:r w:rsidRPr="00A07F29">
        <w:rPr>
          <w:rFonts w:ascii="Times New Roman" w:eastAsia="Times New Roman" w:hAnsi="Times New Roman" w:cs="Times New Roman"/>
          <w:kern w:val="2"/>
          <w:sz w:val="24"/>
          <w:szCs w:val="24"/>
          <w:lang w:eastAsia="zh-CN" w:bidi="hi-IN"/>
        </w:rPr>
        <w:t xml:space="preserve">ha lielāko ezeru hidroloģija, </w:t>
      </w:r>
      <w:proofErr w:type="spellStart"/>
      <w:r w:rsidRPr="00A07F29">
        <w:rPr>
          <w:rFonts w:ascii="Times New Roman" w:eastAsia="Times New Roman" w:hAnsi="Times New Roman" w:cs="Times New Roman"/>
          <w:kern w:val="2"/>
          <w:sz w:val="24"/>
          <w:szCs w:val="24"/>
          <w:lang w:eastAsia="zh-CN" w:bidi="hi-IN"/>
        </w:rPr>
        <w:t>morfometrija</w:t>
      </w:r>
      <w:proofErr w:type="spellEnd"/>
      <w:r w:rsidRPr="00A07F29">
        <w:rPr>
          <w:rFonts w:ascii="Times New Roman" w:eastAsia="Times New Roman" w:hAnsi="Times New Roman" w:cs="Times New Roman"/>
          <w:kern w:val="2"/>
          <w:sz w:val="24"/>
          <w:szCs w:val="24"/>
          <w:lang w:eastAsia="zh-CN" w:bidi="hi-IN"/>
        </w:rPr>
        <w:t xml:space="preserve">, veģetācija, </w:t>
      </w:r>
      <w:proofErr w:type="spellStart"/>
      <w:r w:rsidRPr="00A07F29">
        <w:rPr>
          <w:rFonts w:ascii="Times New Roman" w:eastAsia="Times New Roman" w:hAnsi="Times New Roman" w:cs="Times New Roman"/>
          <w:kern w:val="2"/>
          <w:sz w:val="24"/>
          <w:szCs w:val="24"/>
          <w:lang w:eastAsia="zh-CN" w:bidi="hi-IN"/>
        </w:rPr>
        <w:t>ihtiofauna</w:t>
      </w:r>
      <w:proofErr w:type="spellEnd"/>
      <w:r w:rsidRPr="00A07F29">
        <w:rPr>
          <w:rFonts w:ascii="Times New Roman" w:eastAsia="Times New Roman" w:hAnsi="Times New Roman" w:cs="Times New Roman"/>
          <w:kern w:val="2"/>
          <w:sz w:val="24"/>
          <w:szCs w:val="24"/>
          <w:lang w:eastAsia="zh-CN" w:bidi="hi-IN"/>
        </w:rPr>
        <w:t>. Kopš 1989.</w:t>
      </w:r>
      <w:r w:rsidR="006F411A" w:rsidRPr="00A07F29">
        <w:rPr>
          <w:rFonts w:ascii="Times New Roman" w:eastAsia="Times New Roman" w:hAnsi="Times New Roman" w:cs="Times New Roman"/>
          <w:kern w:val="2"/>
          <w:sz w:val="24"/>
          <w:szCs w:val="24"/>
          <w:lang w:eastAsia="zh-CN" w:bidi="hi-IN"/>
        </w:rPr>
        <w:t> </w:t>
      </w:r>
      <w:r w:rsidRPr="00A07F29">
        <w:rPr>
          <w:rFonts w:ascii="Times New Roman" w:eastAsia="Times New Roman" w:hAnsi="Times New Roman" w:cs="Times New Roman"/>
          <w:kern w:val="2"/>
          <w:sz w:val="24"/>
          <w:szCs w:val="24"/>
          <w:lang w:eastAsia="zh-CN" w:bidi="hi-IN"/>
        </w:rPr>
        <w:t xml:space="preserve">gada Augšdaugavas </w:t>
      </w:r>
      <w:r w:rsidR="008977A5">
        <w:rPr>
          <w:rFonts w:ascii="Times New Roman" w:eastAsia="Times New Roman" w:hAnsi="Times New Roman" w:cs="Times New Roman"/>
          <w:kern w:val="2"/>
          <w:sz w:val="24"/>
          <w:szCs w:val="24"/>
          <w:lang w:eastAsia="zh-CN" w:bidi="hi-IN"/>
        </w:rPr>
        <w:t>AAA</w:t>
      </w:r>
      <w:r w:rsidRPr="00A07F29">
        <w:rPr>
          <w:rFonts w:ascii="Times New Roman" w:eastAsia="Times New Roman" w:hAnsi="Times New Roman" w:cs="Times New Roman"/>
          <w:kern w:val="2"/>
          <w:sz w:val="24"/>
          <w:szCs w:val="24"/>
          <w:lang w:eastAsia="zh-CN" w:bidi="hi-IN"/>
        </w:rPr>
        <w:t xml:space="preserve"> ezerus, to ūdensaugu floru un veģetāciju uzsāka pētīt botāniķis U. </w:t>
      </w:r>
      <w:proofErr w:type="spellStart"/>
      <w:r w:rsidRPr="00A07F29">
        <w:rPr>
          <w:rFonts w:ascii="Times New Roman" w:eastAsia="Times New Roman" w:hAnsi="Times New Roman" w:cs="Times New Roman"/>
          <w:kern w:val="2"/>
          <w:sz w:val="24"/>
          <w:szCs w:val="24"/>
          <w:lang w:eastAsia="zh-CN" w:bidi="hi-IN"/>
        </w:rPr>
        <w:t>Suško</w:t>
      </w:r>
      <w:proofErr w:type="spellEnd"/>
      <w:r w:rsidRPr="00A07F29">
        <w:rPr>
          <w:rFonts w:ascii="Times New Roman" w:eastAsia="Times New Roman" w:hAnsi="Times New Roman" w:cs="Times New Roman"/>
          <w:kern w:val="2"/>
          <w:sz w:val="24"/>
          <w:szCs w:val="24"/>
          <w:lang w:eastAsia="zh-CN" w:bidi="hi-IN"/>
        </w:rPr>
        <w:t xml:space="preserve"> (</w:t>
      </w:r>
      <w:proofErr w:type="spellStart"/>
      <w:r w:rsidRPr="00A07F29">
        <w:rPr>
          <w:rFonts w:ascii="Times New Roman" w:eastAsia="Times New Roman" w:hAnsi="Times New Roman" w:cs="Times New Roman"/>
          <w:kern w:val="2"/>
          <w:sz w:val="24"/>
          <w:szCs w:val="24"/>
          <w:lang w:eastAsia="zh-CN" w:bidi="hi-IN"/>
        </w:rPr>
        <w:t>Suško</w:t>
      </w:r>
      <w:proofErr w:type="spellEnd"/>
      <w:r w:rsidR="00804852" w:rsidRPr="00A07F29">
        <w:rPr>
          <w:rFonts w:ascii="Times New Roman" w:eastAsia="Times New Roman" w:hAnsi="Times New Roman" w:cs="Times New Roman"/>
          <w:kern w:val="2"/>
          <w:sz w:val="24"/>
          <w:szCs w:val="24"/>
          <w:lang w:eastAsia="zh-CN" w:bidi="hi-IN"/>
        </w:rPr>
        <w:t xml:space="preserve"> U.</w:t>
      </w:r>
      <w:r w:rsidRPr="00A07F29">
        <w:rPr>
          <w:rFonts w:ascii="Times New Roman" w:eastAsia="Times New Roman" w:hAnsi="Times New Roman" w:cs="Times New Roman"/>
          <w:kern w:val="2"/>
          <w:sz w:val="24"/>
          <w:szCs w:val="24"/>
          <w:lang w:eastAsia="zh-CN" w:bidi="hi-IN"/>
        </w:rPr>
        <w:t>, 1991a, 1991</w:t>
      </w:r>
      <w:r w:rsidR="00883139">
        <w:rPr>
          <w:rFonts w:ascii="Times New Roman" w:eastAsia="Times New Roman" w:hAnsi="Times New Roman" w:cs="Times New Roman"/>
          <w:kern w:val="2"/>
          <w:sz w:val="24"/>
          <w:szCs w:val="24"/>
          <w:lang w:eastAsia="zh-CN" w:bidi="hi-IN"/>
        </w:rPr>
        <w:t>b, 1993, 1994, 1995, 1996, 1997</w:t>
      </w:r>
      <w:r w:rsidRPr="00A07F29">
        <w:rPr>
          <w:rFonts w:ascii="Times New Roman" w:eastAsia="Times New Roman" w:hAnsi="Times New Roman" w:cs="Times New Roman"/>
          <w:kern w:val="2"/>
          <w:sz w:val="24"/>
          <w:szCs w:val="24"/>
          <w:lang w:eastAsia="zh-CN" w:bidi="hi-IN"/>
        </w:rPr>
        <w:t xml:space="preserve">, </w:t>
      </w:r>
      <w:proofErr w:type="spellStart"/>
      <w:r w:rsidRPr="00A07F29">
        <w:rPr>
          <w:rFonts w:ascii="Times New Roman" w:eastAsia="Times New Roman" w:hAnsi="Times New Roman" w:cs="Times New Roman"/>
          <w:kern w:val="2"/>
          <w:sz w:val="24"/>
          <w:szCs w:val="24"/>
          <w:lang w:eastAsia="zh-CN" w:bidi="hi-IN"/>
        </w:rPr>
        <w:t>Suško</w:t>
      </w:r>
      <w:proofErr w:type="spellEnd"/>
      <w:r w:rsidR="00DB7775" w:rsidRPr="00A07F29">
        <w:rPr>
          <w:rFonts w:ascii="Times New Roman" w:eastAsia="Times New Roman" w:hAnsi="Times New Roman" w:cs="Times New Roman"/>
          <w:kern w:val="2"/>
          <w:sz w:val="24"/>
          <w:szCs w:val="24"/>
          <w:lang w:eastAsia="zh-CN" w:bidi="hi-IN"/>
        </w:rPr>
        <w:t xml:space="preserve"> U.</w:t>
      </w:r>
      <w:r w:rsidRPr="00A07F29">
        <w:rPr>
          <w:rFonts w:ascii="Times New Roman" w:eastAsia="Times New Roman" w:hAnsi="Times New Roman" w:cs="Times New Roman"/>
          <w:kern w:val="2"/>
          <w:sz w:val="24"/>
          <w:szCs w:val="24"/>
          <w:lang w:eastAsia="zh-CN" w:bidi="hi-IN"/>
        </w:rPr>
        <w:t xml:space="preserve"> </w:t>
      </w:r>
      <w:r w:rsidR="00DB7775" w:rsidRPr="00A07F29">
        <w:rPr>
          <w:rFonts w:ascii="Times New Roman" w:eastAsia="Times New Roman" w:hAnsi="Times New Roman" w:cs="Times New Roman"/>
          <w:kern w:val="2"/>
          <w:sz w:val="24"/>
          <w:szCs w:val="24"/>
          <w:lang w:eastAsia="zh-CN" w:bidi="hi-IN"/>
        </w:rPr>
        <w:t>un</w:t>
      </w:r>
      <w:r w:rsidRPr="00A07F29">
        <w:rPr>
          <w:rFonts w:ascii="Times New Roman" w:eastAsia="Times New Roman" w:hAnsi="Times New Roman" w:cs="Times New Roman"/>
          <w:kern w:val="2"/>
          <w:sz w:val="24"/>
          <w:szCs w:val="24"/>
          <w:lang w:eastAsia="zh-CN" w:bidi="hi-IN"/>
        </w:rPr>
        <w:t xml:space="preserve"> </w:t>
      </w:r>
      <w:proofErr w:type="spellStart"/>
      <w:r w:rsidRPr="00A07F29">
        <w:rPr>
          <w:rFonts w:ascii="Times New Roman" w:eastAsia="Times New Roman" w:hAnsi="Times New Roman" w:cs="Times New Roman"/>
          <w:kern w:val="2"/>
          <w:sz w:val="24"/>
          <w:szCs w:val="24"/>
          <w:lang w:eastAsia="zh-CN" w:bidi="hi-IN"/>
        </w:rPr>
        <w:t>Bambe</w:t>
      </w:r>
      <w:proofErr w:type="spellEnd"/>
      <w:r w:rsidR="00DB7775" w:rsidRPr="00A07F29">
        <w:rPr>
          <w:rFonts w:ascii="Times New Roman" w:eastAsia="Times New Roman" w:hAnsi="Times New Roman" w:cs="Times New Roman"/>
          <w:kern w:val="2"/>
          <w:sz w:val="24"/>
          <w:szCs w:val="24"/>
          <w:lang w:eastAsia="zh-CN" w:bidi="hi-IN"/>
        </w:rPr>
        <w:t xml:space="preserve"> B.</w:t>
      </w:r>
      <w:r w:rsidRPr="00A07F29">
        <w:rPr>
          <w:rFonts w:ascii="Times New Roman" w:eastAsia="Times New Roman" w:hAnsi="Times New Roman" w:cs="Times New Roman"/>
          <w:kern w:val="2"/>
          <w:sz w:val="24"/>
          <w:szCs w:val="24"/>
          <w:lang w:eastAsia="zh-CN" w:bidi="hi-IN"/>
        </w:rPr>
        <w:t>, 2002). 1989.</w:t>
      </w:r>
      <w:r w:rsidR="00E070A8" w:rsidRPr="00A07F29">
        <w:rPr>
          <w:rFonts w:ascii="Times New Roman" w:eastAsia="Times New Roman" w:hAnsi="Times New Roman" w:cs="Times New Roman"/>
          <w:kern w:val="2"/>
          <w:sz w:val="24"/>
          <w:szCs w:val="24"/>
          <w:lang w:eastAsia="zh-CN" w:bidi="hi-IN"/>
        </w:rPr>
        <w:t> </w:t>
      </w:r>
      <w:r w:rsidRPr="00A07F29">
        <w:rPr>
          <w:rFonts w:ascii="Times New Roman" w:eastAsia="Times New Roman" w:hAnsi="Times New Roman" w:cs="Times New Roman"/>
          <w:kern w:val="2"/>
          <w:sz w:val="24"/>
          <w:szCs w:val="24"/>
          <w:lang w:eastAsia="zh-CN" w:bidi="hi-IN"/>
        </w:rPr>
        <w:t xml:space="preserve">gada rudenī </w:t>
      </w:r>
      <w:proofErr w:type="spellStart"/>
      <w:r w:rsidRPr="00A07F29">
        <w:rPr>
          <w:rFonts w:ascii="Times New Roman" w:eastAsia="Times New Roman" w:hAnsi="Times New Roman" w:cs="Times New Roman"/>
          <w:kern w:val="2"/>
          <w:sz w:val="24"/>
          <w:szCs w:val="24"/>
          <w:lang w:eastAsia="zh-CN" w:bidi="hi-IN"/>
        </w:rPr>
        <w:t>Varnaviču</w:t>
      </w:r>
      <w:proofErr w:type="spellEnd"/>
      <w:r w:rsidRPr="00A07F29">
        <w:rPr>
          <w:rFonts w:ascii="Times New Roman" w:eastAsia="Times New Roman" w:hAnsi="Times New Roman" w:cs="Times New Roman"/>
          <w:kern w:val="2"/>
          <w:sz w:val="24"/>
          <w:szCs w:val="24"/>
          <w:lang w:eastAsia="zh-CN" w:bidi="hi-IN"/>
        </w:rPr>
        <w:t xml:space="preserve"> un </w:t>
      </w:r>
      <w:proofErr w:type="spellStart"/>
      <w:r w:rsidRPr="00A07F29">
        <w:rPr>
          <w:rFonts w:ascii="Times New Roman" w:eastAsia="Times New Roman" w:hAnsi="Times New Roman" w:cs="Times New Roman"/>
          <w:kern w:val="2"/>
          <w:sz w:val="24"/>
          <w:szCs w:val="24"/>
          <w:lang w:eastAsia="zh-CN" w:bidi="hi-IN"/>
        </w:rPr>
        <w:t>Šilovkas</w:t>
      </w:r>
      <w:proofErr w:type="spellEnd"/>
      <w:r w:rsidRPr="00A07F29">
        <w:rPr>
          <w:rFonts w:ascii="Times New Roman" w:eastAsia="Times New Roman" w:hAnsi="Times New Roman" w:cs="Times New Roman"/>
          <w:kern w:val="2"/>
          <w:sz w:val="24"/>
          <w:szCs w:val="24"/>
          <w:lang w:eastAsia="zh-CN" w:bidi="hi-IN"/>
        </w:rPr>
        <w:t xml:space="preserve"> ezeros tika atklāta Latvijas </w:t>
      </w:r>
      <w:proofErr w:type="spellStart"/>
      <w:r w:rsidRPr="00A07F29">
        <w:rPr>
          <w:rFonts w:ascii="Times New Roman" w:eastAsia="Times New Roman" w:hAnsi="Times New Roman" w:cs="Times New Roman"/>
          <w:kern w:val="2"/>
          <w:sz w:val="24"/>
          <w:szCs w:val="24"/>
          <w:lang w:eastAsia="zh-CN" w:bidi="hi-IN"/>
        </w:rPr>
        <w:t>vaskulāro</w:t>
      </w:r>
      <w:proofErr w:type="spellEnd"/>
      <w:r w:rsidRPr="00A07F29">
        <w:rPr>
          <w:rFonts w:ascii="Times New Roman" w:eastAsia="Times New Roman" w:hAnsi="Times New Roman" w:cs="Times New Roman"/>
          <w:kern w:val="2"/>
          <w:sz w:val="24"/>
          <w:szCs w:val="24"/>
          <w:lang w:eastAsia="zh-CN" w:bidi="hi-IN"/>
        </w:rPr>
        <w:t xml:space="preserve"> augu florai jauna suga – mazā </w:t>
      </w:r>
      <w:proofErr w:type="spellStart"/>
      <w:r w:rsidRPr="00A07F29">
        <w:rPr>
          <w:rFonts w:ascii="Times New Roman" w:eastAsia="Times New Roman" w:hAnsi="Times New Roman" w:cs="Times New Roman"/>
          <w:kern w:val="2"/>
          <w:sz w:val="24"/>
          <w:szCs w:val="24"/>
          <w:lang w:eastAsia="zh-CN" w:bidi="hi-IN"/>
        </w:rPr>
        <w:t>najāda</w:t>
      </w:r>
      <w:proofErr w:type="spellEnd"/>
      <w:r w:rsidRPr="00A07F29">
        <w:rPr>
          <w:rFonts w:ascii="Times New Roman" w:eastAsia="Times New Roman" w:hAnsi="Times New Roman" w:cs="Times New Roman"/>
          <w:kern w:val="2"/>
          <w:sz w:val="24"/>
          <w:szCs w:val="24"/>
          <w:lang w:eastAsia="zh-CN" w:bidi="hi-IN"/>
        </w:rPr>
        <w:t xml:space="preserve"> </w:t>
      </w:r>
      <w:proofErr w:type="spellStart"/>
      <w:r w:rsidRPr="00A07F29">
        <w:rPr>
          <w:rFonts w:ascii="Times New Roman" w:eastAsia="Times New Roman" w:hAnsi="Times New Roman" w:cs="Times New Roman"/>
          <w:i/>
          <w:kern w:val="2"/>
          <w:sz w:val="24"/>
          <w:szCs w:val="24"/>
          <w:lang w:eastAsia="zh-CN" w:bidi="hi-IN"/>
        </w:rPr>
        <w:t>Najas</w:t>
      </w:r>
      <w:proofErr w:type="spellEnd"/>
      <w:r w:rsidRPr="00A07F29">
        <w:rPr>
          <w:rFonts w:ascii="Times New Roman" w:eastAsia="Times New Roman" w:hAnsi="Times New Roman" w:cs="Times New Roman"/>
          <w:i/>
          <w:kern w:val="2"/>
          <w:sz w:val="24"/>
          <w:szCs w:val="24"/>
          <w:lang w:eastAsia="zh-CN" w:bidi="hi-IN"/>
        </w:rPr>
        <w:t xml:space="preserve"> minor</w:t>
      </w:r>
      <w:r w:rsidRPr="00A07F29">
        <w:rPr>
          <w:rFonts w:ascii="Times New Roman" w:eastAsia="Times New Roman" w:hAnsi="Times New Roman" w:cs="Times New Roman"/>
          <w:kern w:val="2"/>
          <w:sz w:val="24"/>
          <w:szCs w:val="24"/>
          <w:lang w:eastAsia="zh-CN" w:bidi="hi-IN"/>
        </w:rPr>
        <w:t>, kas mūsdienās zināma jau 13 Latvijas ezeros (trijos no tiem diemžēl jau izzudusi piesārņošanas dēļ) (</w:t>
      </w:r>
      <w:proofErr w:type="spellStart"/>
      <w:r w:rsidRPr="00A07F29">
        <w:rPr>
          <w:rFonts w:ascii="Times New Roman" w:eastAsia="Times New Roman" w:hAnsi="Times New Roman" w:cs="Times New Roman"/>
          <w:kern w:val="2"/>
          <w:sz w:val="24"/>
          <w:szCs w:val="24"/>
          <w:lang w:eastAsia="zh-CN" w:bidi="hi-IN"/>
        </w:rPr>
        <w:t>Suško</w:t>
      </w:r>
      <w:proofErr w:type="spellEnd"/>
      <w:r w:rsidR="00E070A8" w:rsidRPr="00A07F29">
        <w:rPr>
          <w:rFonts w:ascii="Times New Roman" w:eastAsia="Times New Roman" w:hAnsi="Times New Roman" w:cs="Times New Roman"/>
          <w:kern w:val="2"/>
          <w:sz w:val="24"/>
          <w:szCs w:val="24"/>
          <w:lang w:eastAsia="zh-CN" w:bidi="hi-IN"/>
        </w:rPr>
        <w:t xml:space="preserve"> U.</w:t>
      </w:r>
      <w:r w:rsidRPr="00A07F29">
        <w:rPr>
          <w:rFonts w:ascii="Times New Roman" w:eastAsia="Times New Roman" w:hAnsi="Times New Roman" w:cs="Times New Roman"/>
          <w:kern w:val="2"/>
          <w:sz w:val="24"/>
          <w:szCs w:val="24"/>
          <w:lang w:eastAsia="zh-CN" w:bidi="hi-IN"/>
        </w:rPr>
        <w:t>, 1991a). Laika posmā no 2002. līdz 2019.</w:t>
      </w:r>
      <w:r w:rsidR="00E070A8" w:rsidRPr="00A07F29">
        <w:rPr>
          <w:rFonts w:ascii="Times New Roman" w:eastAsia="Times New Roman" w:hAnsi="Times New Roman" w:cs="Times New Roman"/>
          <w:kern w:val="2"/>
          <w:sz w:val="24"/>
          <w:szCs w:val="24"/>
          <w:lang w:eastAsia="zh-CN" w:bidi="hi-IN"/>
        </w:rPr>
        <w:t> </w:t>
      </w:r>
      <w:r w:rsidRPr="00A07F29">
        <w:rPr>
          <w:rFonts w:ascii="Times New Roman" w:eastAsia="Times New Roman" w:hAnsi="Times New Roman" w:cs="Times New Roman"/>
          <w:kern w:val="2"/>
          <w:sz w:val="24"/>
          <w:szCs w:val="24"/>
          <w:lang w:eastAsia="zh-CN" w:bidi="hi-IN"/>
        </w:rPr>
        <w:t xml:space="preserve">gadam vairākus Augšdaugavas </w:t>
      </w:r>
      <w:r w:rsidR="008977A5">
        <w:rPr>
          <w:rFonts w:ascii="Times New Roman" w:eastAsia="Times New Roman" w:hAnsi="Times New Roman" w:cs="Times New Roman"/>
          <w:kern w:val="2"/>
          <w:sz w:val="24"/>
          <w:szCs w:val="24"/>
          <w:lang w:eastAsia="zh-CN" w:bidi="hi-IN"/>
        </w:rPr>
        <w:t>AAA</w:t>
      </w:r>
      <w:r w:rsidRPr="00A07F29">
        <w:rPr>
          <w:rFonts w:ascii="Times New Roman" w:eastAsia="Times New Roman" w:hAnsi="Times New Roman" w:cs="Times New Roman"/>
          <w:kern w:val="2"/>
          <w:sz w:val="24"/>
          <w:szCs w:val="24"/>
          <w:lang w:eastAsia="zh-CN" w:bidi="hi-IN"/>
        </w:rPr>
        <w:t xml:space="preserve"> ezerus pētījuši arī citi pētnieki un eksperti (Līcīte</w:t>
      </w:r>
      <w:r w:rsidR="00C07F90" w:rsidRPr="00A07F29">
        <w:rPr>
          <w:rFonts w:ascii="Times New Roman" w:eastAsia="Times New Roman" w:hAnsi="Times New Roman" w:cs="Times New Roman"/>
          <w:kern w:val="2"/>
          <w:sz w:val="24"/>
          <w:szCs w:val="24"/>
          <w:lang w:eastAsia="zh-CN" w:bidi="hi-IN"/>
        </w:rPr>
        <w:t xml:space="preserve"> V.</w:t>
      </w:r>
      <w:r w:rsidRPr="00A07F29">
        <w:rPr>
          <w:rFonts w:ascii="Times New Roman" w:eastAsia="Times New Roman" w:hAnsi="Times New Roman" w:cs="Times New Roman"/>
          <w:kern w:val="2"/>
          <w:sz w:val="24"/>
          <w:szCs w:val="24"/>
          <w:lang w:eastAsia="zh-CN" w:bidi="hi-IN"/>
        </w:rPr>
        <w:t>, 2020, Paidere</w:t>
      </w:r>
      <w:r w:rsidR="00C07D4E">
        <w:rPr>
          <w:rFonts w:ascii="Times New Roman" w:eastAsia="Times New Roman" w:hAnsi="Times New Roman" w:cs="Times New Roman"/>
          <w:kern w:val="2"/>
          <w:sz w:val="24"/>
          <w:szCs w:val="24"/>
          <w:lang w:eastAsia="zh-CN" w:bidi="hi-IN"/>
        </w:rPr>
        <w:t xml:space="preserve"> J</w:t>
      </w:r>
      <w:r w:rsidR="00AB431C">
        <w:rPr>
          <w:rFonts w:ascii="Times New Roman" w:eastAsia="Times New Roman" w:hAnsi="Times New Roman" w:cs="Times New Roman"/>
          <w:kern w:val="2"/>
          <w:sz w:val="24"/>
          <w:szCs w:val="24"/>
          <w:lang w:eastAsia="zh-CN" w:bidi="hi-IN"/>
        </w:rPr>
        <w:t>.</w:t>
      </w:r>
      <w:r w:rsidRPr="00A07F29">
        <w:rPr>
          <w:rFonts w:ascii="Times New Roman" w:eastAsia="Times New Roman" w:hAnsi="Times New Roman" w:cs="Times New Roman"/>
          <w:kern w:val="2"/>
          <w:sz w:val="24"/>
          <w:szCs w:val="24"/>
          <w:lang w:eastAsia="zh-CN" w:bidi="hi-IN"/>
        </w:rPr>
        <w:t xml:space="preserve"> </w:t>
      </w:r>
      <w:proofErr w:type="spellStart"/>
      <w:r w:rsidRPr="00A07F29">
        <w:rPr>
          <w:rFonts w:ascii="Times New Roman" w:eastAsia="Times New Roman" w:hAnsi="Times New Roman" w:cs="Times New Roman"/>
          <w:kern w:val="2"/>
          <w:sz w:val="24"/>
          <w:szCs w:val="24"/>
          <w:lang w:eastAsia="zh-CN" w:bidi="hi-IN"/>
        </w:rPr>
        <w:t>et</w:t>
      </w:r>
      <w:proofErr w:type="spellEnd"/>
      <w:r w:rsidRPr="00A07F29">
        <w:rPr>
          <w:rFonts w:ascii="Times New Roman" w:eastAsia="Times New Roman" w:hAnsi="Times New Roman" w:cs="Times New Roman"/>
          <w:kern w:val="2"/>
          <w:sz w:val="24"/>
          <w:szCs w:val="24"/>
          <w:lang w:eastAsia="zh-CN" w:bidi="hi-IN"/>
        </w:rPr>
        <w:t xml:space="preserve"> al</w:t>
      </w:r>
      <w:r w:rsidR="00AB431C">
        <w:rPr>
          <w:rFonts w:ascii="Times New Roman" w:eastAsia="Times New Roman" w:hAnsi="Times New Roman" w:cs="Times New Roman"/>
          <w:kern w:val="2"/>
          <w:sz w:val="24"/>
          <w:szCs w:val="24"/>
          <w:lang w:eastAsia="zh-CN" w:bidi="hi-IN"/>
        </w:rPr>
        <w:t>, 2012</w:t>
      </w:r>
      <w:r w:rsidR="00883139">
        <w:rPr>
          <w:rFonts w:ascii="Times New Roman" w:eastAsia="Times New Roman" w:hAnsi="Times New Roman" w:cs="Times New Roman"/>
          <w:kern w:val="2"/>
          <w:sz w:val="24"/>
          <w:szCs w:val="24"/>
          <w:lang w:eastAsia="zh-CN" w:bidi="hi-IN"/>
        </w:rPr>
        <w:t>)</w:t>
      </w:r>
      <w:r w:rsidR="00CA7053" w:rsidRPr="00A07F29">
        <w:rPr>
          <w:rFonts w:ascii="Times New Roman" w:eastAsia="Times New Roman" w:hAnsi="Times New Roman" w:cs="Times New Roman"/>
          <w:kern w:val="2"/>
          <w:sz w:val="24"/>
          <w:szCs w:val="24"/>
          <w:lang w:eastAsia="zh-CN" w:bidi="hi-IN"/>
        </w:rPr>
        <w:t>. D</w:t>
      </w:r>
      <w:r w:rsidRPr="00A07F29">
        <w:rPr>
          <w:rFonts w:ascii="Times New Roman" w:eastAsia="Times New Roman" w:hAnsi="Times New Roman" w:cs="Times New Roman"/>
          <w:kern w:val="2"/>
          <w:sz w:val="24"/>
          <w:szCs w:val="24"/>
          <w:lang w:eastAsia="zh-CN" w:bidi="hi-IN"/>
        </w:rPr>
        <w:t>etalizēt</w:t>
      </w:r>
      <w:r w:rsidR="00CA7053" w:rsidRPr="00A07F29">
        <w:rPr>
          <w:rFonts w:ascii="Times New Roman" w:eastAsia="Times New Roman" w:hAnsi="Times New Roman" w:cs="Times New Roman"/>
          <w:kern w:val="2"/>
          <w:sz w:val="24"/>
          <w:szCs w:val="24"/>
          <w:lang w:eastAsia="zh-CN" w:bidi="hi-IN"/>
        </w:rPr>
        <w:t xml:space="preserve">s pētījums par AAA “Augšdaugava” ezeriem dots </w:t>
      </w:r>
      <w:r w:rsidRPr="00A07F29">
        <w:rPr>
          <w:rFonts w:ascii="Times New Roman" w:eastAsia="Times New Roman" w:hAnsi="Times New Roman" w:cs="Times New Roman"/>
          <w:kern w:val="2"/>
          <w:sz w:val="24"/>
          <w:szCs w:val="24"/>
          <w:lang w:eastAsia="zh-CN" w:bidi="hi-IN"/>
        </w:rPr>
        <w:t>2.</w:t>
      </w:r>
      <w:r w:rsidR="00C4071A" w:rsidRPr="00A07F29">
        <w:rPr>
          <w:rFonts w:ascii="Times New Roman" w:eastAsia="Times New Roman" w:hAnsi="Times New Roman" w:cs="Times New Roman"/>
          <w:kern w:val="2"/>
          <w:sz w:val="24"/>
          <w:szCs w:val="24"/>
          <w:lang w:eastAsia="zh-CN" w:bidi="hi-IN"/>
        </w:rPr>
        <w:t>1</w:t>
      </w:r>
      <w:r w:rsidR="00CA7053" w:rsidRPr="00A07F29">
        <w:rPr>
          <w:rFonts w:ascii="Times New Roman" w:eastAsia="Times New Roman" w:hAnsi="Times New Roman" w:cs="Times New Roman"/>
          <w:kern w:val="2"/>
          <w:sz w:val="24"/>
          <w:szCs w:val="24"/>
          <w:lang w:eastAsia="zh-CN" w:bidi="hi-IN"/>
        </w:rPr>
        <w:t>. </w:t>
      </w:r>
      <w:r w:rsidRPr="00A07F29">
        <w:rPr>
          <w:rFonts w:ascii="Times New Roman" w:eastAsia="Times New Roman" w:hAnsi="Times New Roman" w:cs="Times New Roman"/>
          <w:kern w:val="2"/>
          <w:sz w:val="24"/>
          <w:szCs w:val="24"/>
          <w:lang w:eastAsia="zh-CN" w:bidi="hi-IN"/>
        </w:rPr>
        <w:t>pielikumā.</w:t>
      </w:r>
    </w:p>
    <w:p w14:paraId="14B62F79" w14:textId="77777777" w:rsidR="00BE5DB7" w:rsidRPr="00A07F29" w:rsidRDefault="00BE5DB7" w:rsidP="00BE5DB7">
      <w:pPr>
        <w:widowControl w:val="0"/>
        <w:spacing w:after="0" w:line="240" w:lineRule="auto"/>
        <w:ind w:right="26"/>
        <w:jc w:val="both"/>
        <w:rPr>
          <w:rFonts w:ascii="Times New Roman" w:eastAsia="Times New Roman" w:hAnsi="Times New Roman" w:cs="Times New Roman"/>
          <w:kern w:val="2"/>
          <w:sz w:val="24"/>
          <w:szCs w:val="24"/>
          <w:lang w:eastAsia="zh-CN" w:bidi="hi-IN"/>
        </w:rPr>
      </w:pPr>
    </w:p>
    <w:p w14:paraId="31932FDF" w14:textId="667795AE" w:rsidR="00BE5DB7" w:rsidRPr="00A07F29" w:rsidRDefault="00BE5DB7" w:rsidP="001539AA">
      <w:pPr>
        <w:widowControl w:val="0"/>
        <w:spacing w:before="120" w:after="120" w:line="240" w:lineRule="auto"/>
        <w:ind w:right="28"/>
        <w:jc w:val="both"/>
        <w:rPr>
          <w:rFonts w:ascii="Times New Roman" w:eastAsia="Times New Roman" w:hAnsi="Times New Roman" w:cs="Times New Roman"/>
          <w:b/>
          <w:i/>
          <w:iCs/>
          <w:color w:val="000000"/>
          <w:sz w:val="24"/>
          <w:szCs w:val="24"/>
          <w:lang w:eastAsia="ja-JP"/>
        </w:rPr>
      </w:pPr>
      <w:r w:rsidRPr="00A07F29">
        <w:rPr>
          <w:rFonts w:ascii="Times New Roman" w:eastAsia="Times New Roman" w:hAnsi="Times New Roman" w:cs="Times New Roman"/>
          <w:b/>
          <w:i/>
          <w:iCs/>
          <w:color w:val="000000"/>
          <w:sz w:val="24"/>
          <w:szCs w:val="24"/>
          <w:lang w:eastAsia="ja-JP"/>
        </w:rPr>
        <w:t>Ezeru biotopu raksturojums</w:t>
      </w:r>
    </w:p>
    <w:p w14:paraId="4077F932" w14:textId="144B4286" w:rsidR="009B0158" w:rsidRPr="004C604B" w:rsidRDefault="0067691F" w:rsidP="004C604B">
      <w:pPr>
        <w:spacing w:after="120" w:line="240" w:lineRule="auto"/>
        <w:ind w:firstLine="720"/>
        <w:jc w:val="both"/>
        <w:rPr>
          <w:rFonts w:ascii="Times New Roman" w:eastAsia="Noto Sans CJK SC" w:hAnsi="Times New Roman" w:cs="Lohit Devanagari"/>
          <w:i/>
          <w:kern w:val="2"/>
          <w:sz w:val="24"/>
          <w:szCs w:val="24"/>
          <w:lang w:eastAsia="zh-CN" w:bidi="hi-IN"/>
        </w:rPr>
      </w:pPr>
      <w:proofErr w:type="spellStart"/>
      <w:r w:rsidRPr="00A07F29">
        <w:rPr>
          <w:rFonts w:ascii="Times New Roman" w:eastAsia="Noto Sans CJK SC" w:hAnsi="Times New Roman" w:cs="Lohit Devanagari"/>
          <w:kern w:val="2"/>
          <w:sz w:val="24"/>
          <w:szCs w:val="24"/>
          <w:lang w:eastAsia="zh-CN" w:bidi="hi-IN"/>
        </w:rPr>
        <w:t>Varnaviču</w:t>
      </w:r>
      <w:proofErr w:type="spellEnd"/>
      <w:r w:rsidRPr="00A07F29">
        <w:rPr>
          <w:rFonts w:ascii="Times New Roman" w:eastAsia="Noto Sans CJK SC" w:hAnsi="Times New Roman" w:cs="Lohit Devanagari"/>
          <w:kern w:val="2"/>
          <w:sz w:val="24"/>
          <w:szCs w:val="24"/>
          <w:lang w:eastAsia="zh-CN" w:bidi="hi-IN"/>
        </w:rPr>
        <w:t xml:space="preserve"> ezers atbilst ES </w:t>
      </w:r>
      <w:r w:rsidR="00D2384F" w:rsidRPr="00A07F29">
        <w:rPr>
          <w:rFonts w:ascii="Times New Roman" w:eastAsia="Noto Sans CJK SC" w:hAnsi="Times New Roman" w:cs="Lohit Devanagari"/>
          <w:kern w:val="2"/>
          <w:sz w:val="24"/>
          <w:szCs w:val="24"/>
          <w:lang w:eastAsia="zh-CN" w:bidi="hi-IN"/>
        </w:rPr>
        <w:t xml:space="preserve">nozīmes </w:t>
      </w:r>
      <w:r w:rsidRPr="00A07F29">
        <w:rPr>
          <w:rFonts w:ascii="Times New Roman" w:eastAsia="Noto Sans CJK SC" w:hAnsi="Times New Roman" w:cs="Lohit Devanagari"/>
          <w:kern w:val="2"/>
          <w:sz w:val="24"/>
          <w:szCs w:val="24"/>
          <w:lang w:eastAsia="zh-CN" w:bidi="hi-IN"/>
        </w:rPr>
        <w:t xml:space="preserve">biotopa 3130 </w:t>
      </w:r>
      <w:r w:rsidRPr="00A07F29">
        <w:rPr>
          <w:rFonts w:ascii="Times New Roman" w:eastAsia="Noto Sans CJK SC" w:hAnsi="Times New Roman" w:cs="Lohit Devanagari"/>
          <w:i/>
          <w:kern w:val="2"/>
          <w:sz w:val="24"/>
          <w:szCs w:val="24"/>
          <w:lang w:eastAsia="zh-CN" w:bidi="hi-IN"/>
        </w:rPr>
        <w:t xml:space="preserve">Ezeri ar </w:t>
      </w:r>
      <w:proofErr w:type="spellStart"/>
      <w:r w:rsidRPr="00A07F29">
        <w:rPr>
          <w:rFonts w:ascii="Times New Roman" w:eastAsia="Noto Sans CJK SC" w:hAnsi="Times New Roman" w:cs="Lohit Devanagari"/>
          <w:i/>
          <w:kern w:val="2"/>
          <w:sz w:val="24"/>
          <w:szCs w:val="24"/>
          <w:lang w:eastAsia="zh-CN" w:bidi="hi-IN"/>
        </w:rPr>
        <w:t>oligotrofām</w:t>
      </w:r>
      <w:proofErr w:type="spellEnd"/>
      <w:r w:rsidRPr="00A07F29">
        <w:rPr>
          <w:rFonts w:ascii="Times New Roman" w:eastAsia="Noto Sans CJK SC" w:hAnsi="Times New Roman" w:cs="Lohit Devanagari"/>
          <w:i/>
          <w:kern w:val="2"/>
          <w:sz w:val="24"/>
          <w:szCs w:val="24"/>
          <w:lang w:eastAsia="zh-CN" w:bidi="hi-IN"/>
        </w:rPr>
        <w:t xml:space="preserve"> līdz </w:t>
      </w:r>
      <w:proofErr w:type="spellStart"/>
      <w:r w:rsidRPr="00A07F29">
        <w:rPr>
          <w:rFonts w:ascii="Times New Roman" w:eastAsia="Noto Sans CJK SC" w:hAnsi="Times New Roman" w:cs="Lohit Devanagari"/>
          <w:i/>
          <w:kern w:val="2"/>
          <w:sz w:val="24"/>
          <w:szCs w:val="24"/>
          <w:lang w:eastAsia="zh-CN" w:bidi="hi-IN"/>
        </w:rPr>
        <w:t>mezotrofām</w:t>
      </w:r>
      <w:proofErr w:type="spellEnd"/>
      <w:r w:rsidRPr="00A07F29">
        <w:rPr>
          <w:rFonts w:ascii="Times New Roman" w:eastAsia="Noto Sans CJK SC" w:hAnsi="Times New Roman" w:cs="Lohit Devanagari"/>
          <w:i/>
          <w:kern w:val="2"/>
          <w:sz w:val="24"/>
          <w:szCs w:val="24"/>
          <w:lang w:eastAsia="zh-CN" w:bidi="hi-IN"/>
        </w:rPr>
        <w:t xml:space="preserve"> augu sabiedrībām</w:t>
      </w:r>
      <w:r w:rsidRPr="00A07F29">
        <w:rPr>
          <w:rFonts w:ascii="Times New Roman" w:eastAsia="Noto Sans CJK SC" w:hAnsi="Times New Roman" w:cs="Lohit Devanagari"/>
          <w:kern w:val="2"/>
          <w:sz w:val="24"/>
          <w:szCs w:val="24"/>
          <w:lang w:eastAsia="zh-CN" w:bidi="hi-IN"/>
        </w:rPr>
        <w:t xml:space="preserve"> 2.</w:t>
      </w:r>
      <w:r w:rsidR="00B17B29" w:rsidRPr="00A07F29">
        <w:rPr>
          <w:rFonts w:ascii="Times New Roman" w:eastAsia="Noto Sans CJK SC" w:hAnsi="Times New Roman" w:cs="Lohit Devanagari"/>
          <w:kern w:val="2"/>
          <w:sz w:val="24"/>
          <w:szCs w:val="24"/>
          <w:lang w:eastAsia="zh-CN" w:bidi="hi-IN"/>
        </w:rPr>
        <w:t> </w:t>
      </w:r>
      <w:r w:rsidRPr="00A07F29">
        <w:rPr>
          <w:rFonts w:ascii="Times New Roman" w:eastAsia="Noto Sans CJK SC" w:hAnsi="Times New Roman" w:cs="Lohit Devanagari"/>
          <w:kern w:val="2"/>
          <w:sz w:val="24"/>
          <w:szCs w:val="24"/>
          <w:lang w:eastAsia="zh-CN" w:bidi="hi-IN"/>
        </w:rPr>
        <w:t>variantam</w:t>
      </w:r>
      <w:r w:rsidR="00D2384F" w:rsidRPr="00A07F29">
        <w:rPr>
          <w:rFonts w:ascii="Times New Roman" w:eastAsia="Noto Sans CJK SC" w:hAnsi="Times New Roman" w:cs="Lohit Devanagari"/>
          <w:kern w:val="2"/>
          <w:sz w:val="24"/>
          <w:szCs w:val="24"/>
          <w:lang w:eastAsia="zh-CN" w:bidi="hi-IN"/>
        </w:rPr>
        <w:t xml:space="preserve"> un vienlaikus arī </w:t>
      </w:r>
      <w:r w:rsidRPr="00A07F29">
        <w:rPr>
          <w:rFonts w:ascii="Times New Roman" w:eastAsia="Noto Sans CJK SC" w:hAnsi="Times New Roman" w:cs="Lohit Devanagari"/>
          <w:kern w:val="2"/>
          <w:sz w:val="24"/>
          <w:szCs w:val="24"/>
          <w:lang w:eastAsia="zh-CN" w:bidi="hi-IN"/>
        </w:rPr>
        <w:t xml:space="preserve">Latvijas </w:t>
      </w:r>
      <w:r w:rsidR="0058203B">
        <w:rPr>
          <w:rFonts w:ascii="Times New Roman" w:eastAsia="Noto Sans CJK SC" w:hAnsi="Times New Roman" w:cs="Lohit Devanagari"/>
          <w:kern w:val="2"/>
          <w:sz w:val="24"/>
          <w:szCs w:val="24"/>
          <w:lang w:eastAsia="zh-CN" w:bidi="hi-IN"/>
        </w:rPr>
        <w:t>īpaši aizsargājamiem</w:t>
      </w:r>
      <w:r w:rsidRPr="00A07F29">
        <w:rPr>
          <w:rFonts w:ascii="Times New Roman" w:eastAsia="Noto Sans CJK SC" w:hAnsi="Times New Roman" w:cs="Lohit Devanagari"/>
          <w:kern w:val="2"/>
          <w:sz w:val="24"/>
          <w:szCs w:val="24"/>
          <w:lang w:eastAsia="zh-CN" w:bidi="hi-IN"/>
        </w:rPr>
        <w:t xml:space="preserve"> biotop</w:t>
      </w:r>
      <w:r w:rsidR="00D2384F" w:rsidRPr="00A07F29">
        <w:rPr>
          <w:rFonts w:ascii="Times New Roman" w:eastAsia="Noto Sans CJK SC" w:hAnsi="Times New Roman" w:cs="Lohit Devanagari"/>
          <w:kern w:val="2"/>
          <w:sz w:val="24"/>
          <w:szCs w:val="24"/>
          <w:lang w:eastAsia="zh-CN" w:bidi="hi-IN"/>
        </w:rPr>
        <w:t>i</w:t>
      </w:r>
      <w:r w:rsidR="00FF1FAD" w:rsidRPr="00A07F29">
        <w:rPr>
          <w:rFonts w:ascii="Times New Roman" w:eastAsia="Noto Sans CJK SC" w:hAnsi="Times New Roman" w:cs="Lohit Devanagari"/>
          <w:kern w:val="2"/>
          <w:sz w:val="24"/>
          <w:szCs w:val="24"/>
          <w:lang w:eastAsia="zh-CN" w:bidi="hi-IN"/>
        </w:rPr>
        <w:t xml:space="preserve">em </w:t>
      </w:r>
      <w:r w:rsidR="00D2384F" w:rsidRPr="00A07F29">
        <w:rPr>
          <w:rFonts w:ascii="Times New Roman" w:eastAsia="Noto Sans CJK SC" w:hAnsi="Times New Roman" w:cs="Lohit Devanagari"/>
          <w:i/>
          <w:kern w:val="2"/>
          <w:sz w:val="24"/>
          <w:szCs w:val="24"/>
          <w:lang w:eastAsia="zh-CN" w:bidi="hi-IN"/>
        </w:rPr>
        <w:t xml:space="preserve">4.1. </w:t>
      </w:r>
      <w:r w:rsidR="004C604B">
        <w:rPr>
          <w:rFonts w:ascii="Times New Roman" w:eastAsia="Noto Sans CJK SC" w:hAnsi="Times New Roman" w:cs="Lohit Devanagari"/>
          <w:i/>
          <w:kern w:val="2"/>
          <w:sz w:val="24"/>
          <w:szCs w:val="24"/>
          <w:lang w:eastAsia="zh-CN" w:bidi="hi-IN"/>
        </w:rPr>
        <w:t xml:space="preserve">Ezeri ar </w:t>
      </w:r>
      <w:proofErr w:type="spellStart"/>
      <w:r w:rsidR="004C604B">
        <w:rPr>
          <w:rFonts w:ascii="Times New Roman" w:eastAsia="Noto Sans CJK SC" w:hAnsi="Times New Roman" w:cs="Lohit Devanagari"/>
          <w:i/>
          <w:kern w:val="2"/>
          <w:sz w:val="24"/>
          <w:szCs w:val="24"/>
          <w:lang w:eastAsia="zh-CN" w:bidi="hi-IN"/>
        </w:rPr>
        <w:t>oli</w:t>
      </w:r>
      <w:r w:rsidR="00B42C6D">
        <w:rPr>
          <w:rFonts w:ascii="Times New Roman" w:eastAsia="Noto Sans CJK SC" w:hAnsi="Times New Roman" w:cs="Lohit Devanagari"/>
          <w:i/>
          <w:kern w:val="2"/>
          <w:sz w:val="24"/>
          <w:szCs w:val="24"/>
          <w:lang w:eastAsia="zh-CN" w:bidi="hi-IN"/>
        </w:rPr>
        <w:t>g</w:t>
      </w:r>
      <w:r w:rsidR="00D2384F" w:rsidRPr="00A07F29">
        <w:rPr>
          <w:rFonts w:ascii="Times New Roman" w:eastAsia="Noto Sans CJK SC" w:hAnsi="Times New Roman" w:cs="Lohit Devanagari"/>
          <w:i/>
          <w:kern w:val="2"/>
          <w:sz w:val="24"/>
          <w:szCs w:val="24"/>
          <w:lang w:eastAsia="zh-CN" w:bidi="hi-IN"/>
        </w:rPr>
        <w:t>otrofām</w:t>
      </w:r>
      <w:proofErr w:type="spellEnd"/>
      <w:r w:rsidR="00D2384F" w:rsidRPr="00A07F29">
        <w:rPr>
          <w:rFonts w:ascii="Times New Roman" w:eastAsia="Noto Sans CJK SC" w:hAnsi="Times New Roman" w:cs="Lohit Devanagari"/>
          <w:i/>
          <w:kern w:val="2"/>
          <w:sz w:val="24"/>
          <w:szCs w:val="24"/>
          <w:lang w:eastAsia="zh-CN" w:bidi="hi-IN"/>
        </w:rPr>
        <w:t xml:space="preserve"> līdz </w:t>
      </w:r>
      <w:proofErr w:type="spellStart"/>
      <w:r w:rsidR="00D2384F" w:rsidRPr="00A07F29">
        <w:rPr>
          <w:rFonts w:ascii="Times New Roman" w:eastAsia="Noto Sans CJK SC" w:hAnsi="Times New Roman" w:cs="Lohit Devanagari"/>
          <w:i/>
          <w:kern w:val="2"/>
          <w:sz w:val="24"/>
          <w:szCs w:val="24"/>
          <w:lang w:eastAsia="zh-CN" w:bidi="hi-IN"/>
        </w:rPr>
        <w:t>mezotrofām</w:t>
      </w:r>
      <w:proofErr w:type="spellEnd"/>
      <w:r w:rsidR="00D2384F" w:rsidRPr="00A07F29">
        <w:rPr>
          <w:rFonts w:ascii="Times New Roman" w:eastAsia="Noto Sans CJK SC" w:hAnsi="Times New Roman" w:cs="Lohit Devanagari"/>
          <w:i/>
          <w:kern w:val="2"/>
          <w:sz w:val="24"/>
          <w:szCs w:val="24"/>
          <w:lang w:eastAsia="zh-CN" w:bidi="hi-IN"/>
        </w:rPr>
        <w:t xml:space="preserve"> augu sabiedrībām</w:t>
      </w:r>
      <w:r w:rsidR="00D2384F" w:rsidRPr="00A07F29">
        <w:rPr>
          <w:rFonts w:ascii="Times New Roman" w:eastAsia="Noto Sans CJK SC" w:hAnsi="Times New Roman" w:cs="Lohit Devanagari"/>
          <w:kern w:val="2"/>
          <w:sz w:val="24"/>
          <w:szCs w:val="24"/>
          <w:lang w:eastAsia="zh-CN" w:bidi="hi-IN"/>
        </w:rPr>
        <w:t xml:space="preserve"> un </w:t>
      </w:r>
      <w:r w:rsidR="00A755C1" w:rsidRPr="00A07F29">
        <w:rPr>
          <w:rFonts w:ascii="Times New Roman" w:eastAsia="Noto Sans CJK SC" w:hAnsi="Times New Roman" w:cs="Lohit Devanagari"/>
          <w:iCs/>
          <w:kern w:val="2"/>
          <w:sz w:val="24"/>
          <w:szCs w:val="24"/>
          <w:lang w:eastAsia="zh-CN" w:bidi="hi-IN"/>
        </w:rPr>
        <w:t>4.5.</w:t>
      </w:r>
      <w:r w:rsidR="001239F5" w:rsidRPr="00A07F29">
        <w:rPr>
          <w:rFonts w:ascii="Times New Roman" w:eastAsia="Noto Sans CJK SC" w:hAnsi="Times New Roman" w:cs="Lohit Devanagari"/>
          <w:i/>
          <w:kern w:val="2"/>
          <w:sz w:val="24"/>
          <w:szCs w:val="24"/>
          <w:lang w:eastAsia="zh-CN" w:bidi="hi-IN"/>
        </w:rPr>
        <w:t> </w:t>
      </w:r>
      <w:proofErr w:type="spellStart"/>
      <w:r w:rsidR="00A755C1" w:rsidRPr="00A07F29">
        <w:rPr>
          <w:rFonts w:ascii="Times New Roman" w:eastAsia="Noto Sans CJK SC" w:hAnsi="Times New Roman" w:cs="Lohit Devanagari"/>
          <w:i/>
          <w:kern w:val="2"/>
          <w:sz w:val="24"/>
          <w:szCs w:val="24"/>
          <w:lang w:eastAsia="zh-CN" w:bidi="hi-IN"/>
        </w:rPr>
        <w:t>Mezotrofi</w:t>
      </w:r>
      <w:proofErr w:type="spellEnd"/>
      <w:r w:rsidR="00A755C1" w:rsidRPr="00A07F29">
        <w:rPr>
          <w:rFonts w:ascii="Times New Roman" w:eastAsia="Noto Sans CJK SC" w:hAnsi="Times New Roman" w:cs="Lohit Devanagari"/>
          <w:i/>
          <w:kern w:val="2"/>
          <w:sz w:val="24"/>
          <w:szCs w:val="24"/>
          <w:lang w:eastAsia="zh-CN" w:bidi="hi-IN"/>
        </w:rPr>
        <w:t xml:space="preserve"> ezeri</w:t>
      </w:r>
      <w:r w:rsidR="00A755C1" w:rsidRPr="00A07F29">
        <w:rPr>
          <w:rFonts w:ascii="Times New Roman" w:eastAsia="Noto Sans CJK SC" w:hAnsi="Times New Roman" w:cs="Lohit Devanagari"/>
          <w:kern w:val="2"/>
          <w:sz w:val="24"/>
          <w:szCs w:val="24"/>
          <w:lang w:eastAsia="zh-CN" w:bidi="hi-IN"/>
        </w:rPr>
        <w:t>. Biotopa kvalitāte raksturojama kā laba</w:t>
      </w:r>
      <w:r w:rsidR="001F75E3" w:rsidRPr="00A07F29">
        <w:rPr>
          <w:rFonts w:ascii="Times New Roman" w:eastAsia="Noto Sans CJK SC" w:hAnsi="Times New Roman" w:cs="Lohit Devanagari"/>
          <w:kern w:val="2"/>
          <w:sz w:val="24"/>
          <w:szCs w:val="24"/>
          <w:lang w:eastAsia="zh-CN" w:bidi="hi-IN"/>
        </w:rPr>
        <w:t>, bet l</w:t>
      </w:r>
      <w:r w:rsidR="00AC4FFB" w:rsidRPr="00A07F29">
        <w:rPr>
          <w:rFonts w:ascii="Times New Roman" w:eastAsia="Noto Sans CJK SC" w:hAnsi="Times New Roman" w:cs="Lohit Devanagari"/>
          <w:kern w:val="2"/>
          <w:sz w:val="24"/>
          <w:szCs w:val="24"/>
          <w:lang w:eastAsia="zh-CN" w:bidi="hi-IN"/>
        </w:rPr>
        <w:t>īdz aptuveni 2000.</w:t>
      </w:r>
      <w:r w:rsidR="00003C89" w:rsidRPr="00A07F29">
        <w:rPr>
          <w:rFonts w:ascii="Times New Roman" w:eastAsia="Noto Sans CJK SC" w:hAnsi="Times New Roman" w:cs="Lohit Devanagari"/>
          <w:kern w:val="2"/>
          <w:sz w:val="24"/>
          <w:szCs w:val="24"/>
          <w:lang w:eastAsia="zh-CN" w:bidi="hi-IN"/>
        </w:rPr>
        <w:t> </w:t>
      </w:r>
      <w:r w:rsidR="00AC4FFB" w:rsidRPr="00A07F29">
        <w:rPr>
          <w:rFonts w:ascii="Times New Roman" w:eastAsia="Noto Sans CJK SC" w:hAnsi="Times New Roman" w:cs="Lohit Devanagari"/>
          <w:kern w:val="2"/>
          <w:sz w:val="24"/>
          <w:szCs w:val="24"/>
          <w:lang w:eastAsia="zh-CN" w:bidi="hi-IN"/>
        </w:rPr>
        <w:t xml:space="preserve">gadam, kad </w:t>
      </w:r>
      <w:proofErr w:type="spellStart"/>
      <w:r w:rsidR="00AC4FFB" w:rsidRPr="00A07F29">
        <w:rPr>
          <w:rFonts w:ascii="Times New Roman" w:eastAsia="Noto Sans CJK SC" w:hAnsi="Times New Roman" w:cs="Lohit Devanagari"/>
          <w:kern w:val="2"/>
          <w:sz w:val="24"/>
          <w:szCs w:val="24"/>
          <w:lang w:eastAsia="zh-CN" w:bidi="hi-IN"/>
        </w:rPr>
        <w:t>Varnaviču</w:t>
      </w:r>
      <w:proofErr w:type="spellEnd"/>
      <w:r w:rsidR="00AC4FFB" w:rsidRPr="00A07F29">
        <w:rPr>
          <w:rFonts w:ascii="Times New Roman" w:eastAsia="Noto Sans CJK SC" w:hAnsi="Times New Roman" w:cs="Lohit Devanagari"/>
          <w:kern w:val="2"/>
          <w:sz w:val="24"/>
          <w:szCs w:val="24"/>
          <w:lang w:eastAsia="zh-CN" w:bidi="hi-IN"/>
        </w:rPr>
        <w:t xml:space="preserve"> ezerā tika nelikumīgi paaugstināts ūdens līmenis, šis ezers bija pieskaitāms izcilas kvalitātes biotopiem. </w:t>
      </w:r>
      <w:proofErr w:type="spellStart"/>
      <w:r w:rsidR="00AC4FFB" w:rsidRPr="00A07F29">
        <w:rPr>
          <w:rFonts w:ascii="Times New Roman" w:eastAsia="Times New Roman" w:hAnsi="Times New Roman" w:cs="Times New Roman"/>
          <w:kern w:val="2"/>
          <w:sz w:val="24"/>
          <w:szCs w:val="24"/>
          <w:lang w:eastAsia="zh-CN" w:bidi="hi-IN"/>
        </w:rPr>
        <w:t>Varnaviču</w:t>
      </w:r>
      <w:proofErr w:type="spellEnd"/>
      <w:r w:rsidR="00AC4FFB" w:rsidRPr="00A07F29">
        <w:rPr>
          <w:rFonts w:ascii="Times New Roman" w:eastAsia="Times New Roman" w:hAnsi="Times New Roman" w:cs="Times New Roman"/>
          <w:kern w:val="2"/>
          <w:sz w:val="24"/>
          <w:szCs w:val="24"/>
          <w:lang w:eastAsia="zh-CN" w:bidi="hi-IN"/>
        </w:rPr>
        <w:t xml:space="preserve"> ezers ir visas Latvijas mērogā nozīmīgs labas kvalitātes ļoti dziļš </w:t>
      </w:r>
      <w:proofErr w:type="spellStart"/>
      <w:r w:rsidR="00AC4FFB" w:rsidRPr="00A07F29">
        <w:rPr>
          <w:rFonts w:ascii="Times New Roman" w:eastAsia="Times New Roman" w:hAnsi="Times New Roman" w:cs="Times New Roman"/>
          <w:kern w:val="2"/>
          <w:sz w:val="24"/>
          <w:szCs w:val="24"/>
          <w:lang w:eastAsia="zh-CN" w:bidi="hi-IN"/>
        </w:rPr>
        <w:t>mezotrofs</w:t>
      </w:r>
      <w:proofErr w:type="spellEnd"/>
      <w:r w:rsidR="00AC4FFB" w:rsidRPr="00A07F29">
        <w:rPr>
          <w:rFonts w:ascii="Times New Roman" w:eastAsia="Times New Roman" w:hAnsi="Times New Roman" w:cs="Times New Roman"/>
          <w:kern w:val="2"/>
          <w:sz w:val="24"/>
          <w:szCs w:val="24"/>
          <w:lang w:eastAsia="zh-CN" w:bidi="hi-IN"/>
        </w:rPr>
        <w:t xml:space="preserve"> ezers, tāpēc tā kvalitātes saglabāšana, aizsardzība un uzlabošana ir ļoti svarīgs nacionāla mēroga dabas aizsardzības prioritārs uzdevums</w:t>
      </w:r>
      <w:r w:rsidR="009B0158" w:rsidRPr="00A07F29">
        <w:rPr>
          <w:rFonts w:ascii="Times New Roman" w:eastAsia="Times New Roman" w:hAnsi="Times New Roman" w:cs="Times New Roman"/>
          <w:kern w:val="2"/>
          <w:sz w:val="24"/>
          <w:szCs w:val="24"/>
          <w:lang w:eastAsia="zh-CN" w:bidi="hi-IN"/>
        </w:rPr>
        <w:t>.</w:t>
      </w:r>
    </w:p>
    <w:p w14:paraId="12EC61C5" w14:textId="1E78B263" w:rsidR="00AE0AD8" w:rsidRPr="00A07F29" w:rsidRDefault="00D2384F" w:rsidP="00E94290">
      <w:pPr>
        <w:suppressAutoHyphens/>
        <w:spacing w:after="120" w:line="240" w:lineRule="auto"/>
        <w:ind w:firstLine="851"/>
        <w:jc w:val="both"/>
        <w:rPr>
          <w:rFonts w:ascii="Times New Roman" w:eastAsia="Times New Roman" w:hAnsi="Times New Roman" w:cs="Times New Roman"/>
          <w:kern w:val="2"/>
          <w:sz w:val="24"/>
          <w:szCs w:val="24"/>
          <w:lang w:eastAsia="zh-CN" w:bidi="hi-IN"/>
        </w:rPr>
      </w:pPr>
      <w:r w:rsidRPr="00A07F29">
        <w:rPr>
          <w:rFonts w:ascii="Times New Roman" w:eastAsia="Noto Sans CJK SC" w:hAnsi="Times New Roman" w:cs="Lohit Devanagari"/>
          <w:kern w:val="2"/>
          <w:sz w:val="24"/>
          <w:szCs w:val="24"/>
          <w:lang w:eastAsia="zh-CN" w:bidi="hi-IN"/>
        </w:rPr>
        <w:t xml:space="preserve">Pārējie 30 AAA “Augšdaugava” ezeri atbilst ES nozīmes biotopam </w:t>
      </w:r>
      <w:r w:rsidRPr="00A07F29">
        <w:rPr>
          <w:rFonts w:ascii="Times New Roman" w:eastAsia="Noto Sans CJK SC" w:hAnsi="Times New Roman" w:cs="Lohit Devanagari"/>
          <w:iCs/>
          <w:kern w:val="2"/>
          <w:sz w:val="24"/>
          <w:szCs w:val="24"/>
          <w:lang w:eastAsia="zh-CN" w:bidi="hi-IN"/>
        </w:rPr>
        <w:t>3150</w:t>
      </w:r>
      <w:r w:rsidRPr="00A07F29">
        <w:rPr>
          <w:rFonts w:ascii="Times New Roman" w:eastAsia="Noto Sans CJK SC" w:hAnsi="Times New Roman" w:cs="Lohit Devanagari"/>
          <w:i/>
          <w:iCs/>
          <w:kern w:val="2"/>
          <w:sz w:val="24"/>
          <w:szCs w:val="24"/>
          <w:lang w:eastAsia="zh-CN" w:bidi="hi-IN"/>
        </w:rPr>
        <w:t xml:space="preserve"> </w:t>
      </w:r>
      <w:proofErr w:type="spellStart"/>
      <w:r w:rsidRPr="00A07F29">
        <w:rPr>
          <w:rFonts w:ascii="Times New Roman" w:eastAsia="Noto Sans CJK SC" w:hAnsi="Times New Roman" w:cs="Lohit Devanagari"/>
          <w:i/>
          <w:iCs/>
          <w:kern w:val="2"/>
          <w:sz w:val="24"/>
          <w:szCs w:val="24"/>
          <w:lang w:eastAsia="zh-CN" w:bidi="hi-IN"/>
        </w:rPr>
        <w:t>Eitrofi</w:t>
      </w:r>
      <w:proofErr w:type="spellEnd"/>
      <w:r w:rsidRPr="00A07F29">
        <w:rPr>
          <w:rFonts w:ascii="Times New Roman" w:eastAsia="Noto Sans CJK SC" w:hAnsi="Times New Roman" w:cs="Lohit Devanagari"/>
          <w:i/>
          <w:iCs/>
          <w:kern w:val="2"/>
          <w:sz w:val="24"/>
          <w:szCs w:val="24"/>
          <w:lang w:eastAsia="zh-CN" w:bidi="hi-IN"/>
        </w:rPr>
        <w:t xml:space="preserve"> ezeri ar iegrimušu ūdensaugu un </w:t>
      </w:r>
      <w:proofErr w:type="spellStart"/>
      <w:r w:rsidRPr="00A07F29">
        <w:rPr>
          <w:rFonts w:ascii="Times New Roman" w:eastAsia="Noto Sans CJK SC" w:hAnsi="Times New Roman" w:cs="Lohit Devanagari"/>
          <w:i/>
          <w:iCs/>
          <w:kern w:val="2"/>
          <w:sz w:val="24"/>
          <w:szCs w:val="24"/>
          <w:lang w:eastAsia="zh-CN" w:bidi="hi-IN"/>
        </w:rPr>
        <w:t>peldaugu</w:t>
      </w:r>
      <w:proofErr w:type="spellEnd"/>
      <w:r w:rsidRPr="00A07F29">
        <w:rPr>
          <w:rFonts w:ascii="Times New Roman" w:eastAsia="Noto Sans CJK SC" w:hAnsi="Times New Roman" w:cs="Lohit Devanagari"/>
          <w:i/>
          <w:iCs/>
          <w:kern w:val="2"/>
          <w:sz w:val="24"/>
          <w:szCs w:val="24"/>
          <w:lang w:eastAsia="zh-CN" w:bidi="hi-IN"/>
        </w:rPr>
        <w:t xml:space="preserve"> augāju</w:t>
      </w:r>
      <w:r w:rsidRPr="00A07F29">
        <w:rPr>
          <w:rFonts w:ascii="Times New Roman" w:eastAsia="Noto Sans CJK SC" w:hAnsi="Times New Roman" w:cs="Lohit Devanagari"/>
          <w:iCs/>
          <w:kern w:val="2"/>
          <w:sz w:val="24"/>
          <w:szCs w:val="24"/>
          <w:lang w:eastAsia="zh-CN" w:bidi="hi-IN"/>
        </w:rPr>
        <w:t xml:space="preserve">, kas ir arī Latvijas </w:t>
      </w:r>
      <w:r w:rsidR="004947FC">
        <w:rPr>
          <w:rFonts w:ascii="Times New Roman" w:eastAsia="Noto Sans CJK SC" w:hAnsi="Times New Roman" w:cs="Lohit Devanagari"/>
          <w:iCs/>
          <w:kern w:val="2"/>
          <w:sz w:val="24"/>
          <w:szCs w:val="24"/>
          <w:lang w:eastAsia="zh-CN" w:bidi="hi-IN"/>
        </w:rPr>
        <w:t>īpaši aizsargājams</w:t>
      </w:r>
      <w:r w:rsidRPr="00A07F29">
        <w:rPr>
          <w:rFonts w:ascii="Times New Roman" w:eastAsia="Noto Sans CJK SC" w:hAnsi="Times New Roman" w:cs="Lohit Devanagari"/>
          <w:iCs/>
          <w:kern w:val="2"/>
          <w:sz w:val="24"/>
          <w:szCs w:val="24"/>
          <w:lang w:eastAsia="zh-CN" w:bidi="hi-IN"/>
        </w:rPr>
        <w:t xml:space="preserve"> biotops.</w:t>
      </w:r>
      <w:r w:rsidR="00FF1FAD" w:rsidRPr="00A07F29">
        <w:rPr>
          <w:rFonts w:ascii="Times New Roman" w:eastAsia="Noto Sans CJK SC" w:hAnsi="Times New Roman" w:cs="Lohit Devanagari"/>
          <w:iCs/>
          <w:kern w:val="2"/>
          <w:sz w:val="24"/>
          <w:szCs w:val="24"/>
          <w:lang w:eastAsia="zh-CN" w:bidi="hi-IN"/>
        </w:rPr>
        <w:t xml:space="preserve"> Šī biotopa 1.</w:t>
      </w:r>
      <w:r w:rsidR="00497E46" w:rsidRPr="00A07F29">
        <w:rPr>
          <w:rFonts w:ascii="Times New Roman" w:eastAsia="Noto Sans CJK SC" w:hAnsi="Times New Roman" w:cs="Lohit Devanagari"/>
          <w:iCs/>
          <w:kern w:val="2"/>
          <w:sz w:val="24"/>
          <w:szCs w:val="24"/>
          <w:lang w:eastAsia="zh-CN" w:bidi="hi-IN"/>
        </w:rPr>
        <w:t> </w:t>
      </w:r>
      <w:r w:rsidR="00FF1FAD" w:rsidRPr="00A07F29">
        <w:rPr>
          <w:rFonts w:ascii="Times New Roman" w:eastAsia="Noto Sans CJK SC" w:hAnsi="Times New Roman" w:cs="Lohit Devanagari"/>
          <w:iCs/>
          <w:kern w:val="2"/>
          <w:sz w:val="24"/>
          <w:szCs w:val="24"/>
          <w:lang w:eastAsia="zh-CN" w:bidi="hi-IN"/>
        </w:rPr>
        <w:t xml:space="preserve">variantam </w:t>
      </w:r>
      <w:r w:rsidR="00FF1FAD" w:rsidRPr="00A07F29">
        <w:rPr>
          <w:rFonts w:ascii="Times New Roman" w:eastAsia="Noto Sans CJK SC" w:hAnsi="Times New Roman" w:cs="Lohit Devanagari"/>
          <w:kern w:val="2"/>
          <w:sz w:val="24"/>
          <w:szCs w:val="24"/>
          <w:lang w:eastAsia="zh-CN" w:bidi="hi-IN"/>
        </w:rPr>
        <w:t xml:space="preserve">– </w:t>
      </w:r>
      <w:proofErr w:type="spellStart"/>
      <w:r w:rsidR="00FF1FAD" w:rsidRPr="00A07F29">
        <w:rPr>
          <w:rFonts w:ascii="Times New Roman" w:eastAsia="Noto Sans CJK SC" w:hAnsi="Times New Roman" w:cs="Lohit Devanagari"/>
          <w:i/>
          <w:iCs/>
          <w:kern w:val="2"/>
          <w:sz w:val="24"/>
          <w:szCs w:val="24"/>
          <w:lang w:eastAsia="zh-CN" w:bidi="hi-IN"/>
        </w:rPr>
        <w:t>dzidrūdens</w:t>
      </w:r>
      <w:proofErr w:type="spellEnd"/>
      <w:r w:rsidR="00FF1FAD" w:rsidRPr="00A07F29">
        <w:rPr>
          <w:rFonts w:ascii="Times New Roman" w:eastAsia="Noto Sans CJK SC" w:hAnsi="Times New Roman" w:cs="Lohit Devanagari"/>
          <w:i/>
          <w:iCs/>
          <w:kern w:val="2"/>
          <w:sz w:val="24"/>
          <w:szCs w:val="24"/>
          <w:lang w:eastAsia="zh-CN" w:bidi="hi-IN"/>
        </w:rPr>
        <w:t xml:space="preserve"> ezeri ar iegrimušo augāju </w:t>
      </w:r>
      <w:r w:rsidR="00FF1FAD" w:rsidRPr="00A07F29">
        <w:rPr>
          <w:rFonts w:ascii="Times New Roman" w:eastAsia="Noto Sans CJK SC" w:hAnsi="Times New Roman" w:cs="Lohit Devanagari"/>
          <w:iCs/>
          <w:kern w:val="2"/>
          <w:sz w:val="24"/>
          <w:szCs w:val="24"/>
          <w:lang w:eastAsia="zh-CN" w:bidi="hi-IN"/>
        </w:rPr>
        <w:t>atbilst</w:t>
      </w:r>
      <w:r w:rsidR="00FF1FAD" w:rsidRPr="00A07F29">
        <w:rPr>
          <w:rFonts w:ascii="Times New Roman" w:eastAsia="Noto Sans CJK SC" w:hAnsi="Times New Roman" w:cs="Lohit Devanagari"/>
          <w:i/>
          <w:iCs/>
          <w:kern w:val="2"/>
          <w:sz w:val="24"/>
          <w:szCs w:val="24"/>
          <w:lang w:eastAsia="zh-CN" w:bidi="hi-IN"/>
        </w:rPr>
        <w:t xml:space="preserve"> </w:t>
      </w:r>
      <w:r w:rsidR="00497E46" w:rsidRPr="00A07F29">
        <w:rPr>
          <w:rFonts w:ascii="Times New Roman" w:eastAsia="Noto Sans CJK SC" w:hAnsi="Times New Roman" w:cs="Lohit Devanagari"/>
          <w:iCs/>
          <w:kern w:val="2"/>
          <w:sz w:val="24"/>
          <w:szCs w:val="24"/>
          <w:lang w:eastAsia="zh-CN" w:bidi="hi-IN"/>
        </w:rPr>
        <w:t>septiņi</w:t>
      </w:r>
      <w:r w:rsidR="00CB0873" w:rsidRPr="00A07F29">
        <w:rPr>
          <w:rFonts w:ascii="Times New Roman" w:eastAsia="Noto Sans CJK SC" w:hAnsi="Times New Roman" w:cs="Lohit Devanagari"/>
          <w:iCs/>
          <w:kern w:val="2"/>
          <w:sz w:val="24"/>
          <w:szCs w:val="24"/>
          <w:lang w:eastAsia="zh-CN" w:bidi="hi-IN"/>
        </w:rPr>
        <w:t xml:space="preserve"> ezeri ar labu biotopa kvalitāti (</w:t>
      </w:r>
      <w:proofErr w:type="spellStart"/>
      <w:r w:rsidR="00CB0873" w:rsidRPr="00A07F29">
        <w:rPr>
          <w:rFonts w:ascii="Times New Roman" w:eastAsia="Noto Sans CJK SC" w:hAnsi="Times New Roman" w:cs="Lohit Devanagari"/>
          <w:iCs/>
          <w:kern w:val="2"/>
          <w:sz w:val="24"/>
          <w:szCs w:val="24"/>
          <w:lang w:eastAsia="zh-CN" w:bidi="hi-IN"/>
        </w:rPr>
        <w:t>Baļticas</w:t>
      </w:r>
      <w:proofErr w:type="spellEnd"/>
      <w:r w:rsidR="00CB0873" w:rsidRPr="00A07F29">
        <w:rPr>
          <w:rFonts w:ascii="Times New Roman" w:eastAsia="Noto Sans CJK SC" w:hAnsi="Times New Roman" w:cs="Lohit Devanagari"/>
          <w:iCs/>
          <w:kern w:val="2"/>
          <w:sz w:val="24"/>
          <w:szCs w:val="24"/>
          <w:lang w:eastAsia="zh-CN" w:bidi="hi-IN"/>
        </w:rPr>
        <w:t xml:space="preserve">, Dziļais, </w:t>
      </w:r>
      <w:proofErr w:type="spellStart"/>
      <w:r w:rsidR="00CB0873" w:rsidRPr="00A07F29">
        <w:rPr>
          <w:rFonts w:ascii="Times New Roman" w:eastAsia="Noto Sans CJK SC" w:hAnsi="Times New Roman" w:cs="Lohit Devanagari"/>
          <w:iCs/>
          <w:kern w:val="2"/>
          <w:sz w:val="24"/>
          <w:szCs w:val="24"/>
          <w:lang w:eastAsia="zh-CN" w:bidi="hi-IN"/>
        </w:rPr>
        <w:t>Jabloņkas</w:t>
      </w:r>
      <w:proofErr w:type="spellEnd"/>
      <w:r w:rsidR="00CB0873" w:rsidRPr="00A07F29">
        <w:rPr>
          <w:rFonts w:ascii="Times New Roman" w:eastAsia="Noto Sans CJK SC" w:hAnsi="Times New Roman" w:cs="Lohit Devanagari"/>
          <w:iCs/>
          <w:kern w:val="2"/>
          <w:sz w:val="24"/>
          <w:szCs w:val="24"/>
          <w:lang w:eastAsia="zh-CN" w:bidi="hi-IN"/>
        </w:rPr>
        <w:t xml:space="preserve">, </w:t>
      </w:r>
      <w:proofErr w:type="spellStart"/>
      <w:r w:rsidR="00CB0873" w:rsidRPr="00A07F29">
        <w:rPr>
          <w:rFonts w:ascii="Times New Roman" w:eastAsia="Noto Sans CJK SC" w:hAnsi="Times New Roman" w:cs="Lohit Devanagari"/>
          <w:iCs/>
          <w:kern w:val="2"/>
          <w:sz w:val="24"/>
          <w:szCs w:val="24"/>
          <w:lang w:eastAsia="zh-CN" w:bidi="hi-IN"/>
        </w:rPr>
        <w:t>Krivoje</w:t>
      </w:r>
      <w:proofErr w:type="spellEnd"/>
      <w:r w:rsidR="00CB0873" w:rsidRPr="00A07F29">
        <w:rPr>
          <w:rFonts w:ascii="Times New Roman" w:eastAsia="Noto Sans CJK SC" w:hAnsi="Times New Roman" w:cs="Lohit Devanagari"/>
          <w:iCs/>
          <w:kern w:val="2"/>
          <w:sz w:val="24"/>
          <w:szCs w:val="24"/>
          <w:lang w:eastAsia="zh-CN" w:bidi="hi-IN"/>
        </w:rPr>
        <w:t xml:space="preserve">, Mazais </w:t>
      </w:r>
      <w:proofErr w:type="spellStart"/>
      <w:r w:rsidR="00CB0873" w:rsidRPr="00A07F29">
        <w:rPr>
          <w:rFonts w:ascii="Times New Roman" w:eastAsia="Noto Sans CJK SC" w:hAnsi="Times New Roman" w:cs="Lohit Devanagari"/>
          <w:iCs/>
          <w:kern w:val="2"/>
          <w:sz w:val="24"/>
          <w:szCs w:val="24"/>
          <w:lang w:eastAsia="zh-CN" w:bidi="hi-IN"/>
        </w:rPr>
        <w:t>Borvinkas</w:t>
      </w:r>
      <w:proofErr w:type="spellEnd"/>
      <w:r w:rsidR="00CB0873" w:rsidRPr="00A07F29">
        <w:rPr>
          <w:rFonts w:ascii="Times New Roman" w:eastAsia="Noto Sans CJK SC" w:hAnsi="Times New Roman" w:cs="Lohit Devanagari"/>
          <w:iCs/>
          <w:kern w:val="2"/>
          <w:sz w:val="24"/>
          <w:szCs w:val="24"/>
          <w:lang w:eastAsia="zh-CN" w:bidi="hi-IN"/>
        </w:rPr>
        <w:t xml:space="preserve">, </w:t>
      </w:r>
      <w:proofErr w:type="spellStart"/>
      <w:r w:rsidR="00CB0873" w:rsidRPr="00A07F29">
        <w:rPr>
          <w:rFonts w:ascii="Times New Roman" w:eastAsia="Noto Sans CJK SC" w:hAnsi="Times New Roman" w:cs="Lohit Devanagari"/>
          <w:iCs/>
          <w:kern w:val="2"/>
          <w:sz w:val="24"/>
          <w:szCs w:val="24"/>
          <w:lang w:eastAsia="zh-CN" w:bidi="hi-IN"/>
        </w:rPr>
        <w:t>Dūnekļa</w:t>
      </w:r>
      <w:proofErr w:type="spellEnd"/>
      <w:r w:rsidR="00CB0873" w:rsidRPr="00A07F29">
        <w:rPr>
          <w:rFonts w:ascii="Times New Roman" w:eastAsia="Noto Sans CJK SC" w:hAnsi="Times New Roman" w:cs="Lohit Devanagari"/>
          <w:iCs/>
          <w:kern w:val="2"/>
          <w:sz w:val="24"/>
          <w:szCs w:val="24"/>
          <w:lang w:eastAsia="zh-CN" w:bidi="hi-IN"/>
        </w:rPr>
        <w:t xml:space="preserve"> un </w:t>
      </w:r>
      <w:proofErr w:type="spellStart"/>
      <w:r w:rsidR="00CB0873" w:rsidRPr="00A07F29">
        <w:rPr>
          <w:rFonts w:ascii="Times New Roman" w:eastAsia="Noto Sans CJK SC" w:hAnsi="Times New Roman" w:cs="Lohit Devanagari"/>
          <w:iCs/>
          <w:kern w:val="2"/>
          <w:sz w:val="24"/>
          <w:szCs w:val="24"/>
          <w:lang w:eastAsia="zh-CN" w:bidi="hi-IN"/>
        </w:rPr>
        <w:t>Riņģa</w:t>
      </w:r>
      <w:proofErr w:type="spellEnd"/>
      <w:r w:rsidR="00CB0873" w:rsidRPr="00A07F29">
        <w:rPr>
          <w:rFonts w:ascii="Times New Roman" w:eastAsia="Noto Sans CJK SC" w:hAnsi="Times New Roman" w:cs="Lohit Devanagari"/>
          <w:iCs/>
          <w:kern w:val="2"/>
          <w:sz w:val="24"/>
          <w:szCs w:val="24"/>
          <w:lang w:eastAsia="zh-CN" w:bidi="hi-IN"/>
        </w:rPr>
        <w:t xml:space="preserve"> ezeri),</w:t>
      </w:r>
      <w:r w:rsidR="00FF1FAD" w:rsidRPr="00A07F29">
        <w:rPr>
          <w:rFonts w:ascii="Times New Roman" w:eastAsia="Noto Sans CJK SC" w:hAnsi="Times New Roman" w:cs="Lohit Devanagari"/>
          <w:kern w:val="2"/>
          <w:sz w:val="24"/>
          <w:szCs w:val="24"/>
          <w:lang w:eastAsia="zh-CN" w:bidi="hi-IN"/>
        </w:rPr>
        <w:t xml:space="preserve"> </w:t>
      </w:r>
      <w:r w:rsidR="00AF76C9" w:rsidRPr="00A07F29">
        <w:rPr>
          <w:rFonts w:ascii="Times New Roman" w:eastAsia="Noto Sans CJK SC" w:hAnsi="Times New Roman" w:cs="Lohit Devanagari"/>
          <w:kern w:val="2"/>
          <w:sz w:val="24"/>
          <w:szCs w:val="24"/>
          <w:lang w:eastAsia="zh-CN" w:bidi="hi-IN"/>
        </w:rPr>
        <w:t>astoņi</w:t>
      </w:r>
      <w:r w:rsidR="000348F6" w:rsidRPr="00A07F29">
        <w:rPr>
          <w:rFonts w:ascii="Times New Roman" w:eastAsia="Noto Sans CJK SC" w:hAnsi="Times New Roman" w:cs="Lohit Devanagari"/>
          <w:kern w:val="2"/>
          <w:sz w:val="24"/>
          <w:szCs w:val="24"/>
          <w:lang w:eastAsia="zh-CN" w:bidi="hi-IN"/>
        </w:rPr>
        <w:t xml:space="preserve"> ezeri ar </w:t>
      </w:r>
      <w:r w:rsidR="00FF1FAD" w:rsidRPr="00A07F29">
        <w:rPr>
          <w:rFonts w:ascii="Times New Roman" w:eastAsia="Noto Sans CJK SC" w:hAnsi="Times New Roman" w:cs="Lohit Devanagari"/>
          <w:kern w:val="2"/>
          <w:sz w:val="24"/>
          <w:szCs w:val="24"/>
          <w:lang w:eastAsia="zh-CN" w:bidi="hi-IN"/>
        </w:rPr>
        <w:t xml:space="preserve">vidēju kvalitāti </w:t>
      </w:r>
      <w:r w:rsidR="009D177A" w:rsidRPr="00A07F29">
        <w:rPr>
          <w:rFonts w:ascii="Times New Roman" w:eastAsia="Noto Sans CJK SC" w:hAnsi="Times New Roman" w:cs="Lohit Devanagari"/>
          <w:kern w:val="2"/>
          <w:sz w:val="24"/>
          <w:szCs w:val="24"/>
          <w:lang w:eastAsia="zh-CN" w:bidi="hi-IN"/>
        </w:rPr>
        <w:t>(</w:t>
      </w:r>
      <w:r w:rsidR="000348F6" w:rsidRPr="00A07F29">
        <w:rPr>
          <w:rFonts w:ascii="Times New Roman" w:eastAsia="Noto Sans CJK SC" w:hAnsi="Times New Roman" w:cs="Lohit Devanagari"/>
          <w:iCs/>
          <w:kern w:val="2"/>
          <w:sz w:val="24"/>
          <w:szCs w:val="24"/>
          <w:lang w:eastAsia="zh-CN" w:bidi="hi-IN"/>
        </w:rPr>
        <w:t xml:space="preserve">Dauguļu, </w:t>
      </w:r>
      <w:proofErr w:type="spellStart"/>
      <w:r w:rsidR="000348F6" w:rsidRPr="00A07F29">
        <w:rPr>
          <w:rFonts w:ascii="Times New Roman" w:eastAsia="Noto Sans CJK SC" w:hAnsi="Times New Roman" w:cs="Lohit Devanagari"/>
          <w:iCs/>
          <w:kern w:val="2"/>
          <w:sz w:val="24"/>
          <w:szCs w:val="24"/>
          <w:lang w:eastAsia="zh-CN" w:bidi="hi-IN"/>
        </w:rPr>
        <w:t>Krugloje</w:t>
      </w:r>
      <w:proofErr w:type="spellEnd"/>
      <w:r w:rsidR="000348F6" w:rsidRPr="00A07F29">
        <w:rPr>
          <w:rFonts w:ascii="Times New Roman" w:eastAsia="Noto Sans CJK SC" w:hAnsi="Times New Roman" w:cs="Lohit Devanagari"/>
          <w:iCs/>
          <w:kern w:val="2"/>
          <w:sz w:val="24"/>
          <w:szCs w:val="24"/>
          <w:lang w:eastAsia="zh-CN" w:bidi="hi-IN"/>
        </w:rPr>
        <w:t xml:space="preserve">, </w:t>
      </w:r>
      <w:proofErr w:type="spellStart"/>
      <w:r w:rsidR="000348F6" w:rsidRPr="00A07F29">
        <w:rPr>
          <w:rFonts w:ascii="Times New Roman" w:eastAsia="Noto Sans CJK SC" w:hAnsi="Times New Roman" w:cs="Lohit Devanagari"/>
          <w:iCs/>
          <w:kern w:val="2"/>
          <w:sz w:val="24"/>
          <w:szCs w:val="24"/>
          <w:lang w:eastAsia="zh-CN" w:bidi="hi-IN"/>
        </w:rPr>
        <w:t>Lukštānu</w:t>
      </w:r>
      <w:proofErr w:type="spellEnd"/>
      <w:r w:rsidR="000348F6" w:rsidRPr="00A07F29">
        <w:rPr>
          <w:rFonts w:ascii="Times New Roman" w:eastAsia="Noto Sans CJK SC" w:hAnsi="Times New Roman" w:cs="Lohit Devanagari"/>
          <w:iCs/>
          <w:kern w:val="2"/>
          <w:sz w:val="24"/>
          <w:szCs w:val="24"/>
          <w:lang w:eastAsia="zh-CN" w:bidi="hi-IN"/>
        </w:rPr>
        <w:t xml:space="preserve">, </w:t>
      </w:r>
      <w:proofErr w:type="spellStart"/>
      <w:r w:rsidR="000348F6" w:rsidRPr="00A07F29">
        <w:rPr>
          <w:rFonts w:ascii="Times New Roman" w:eastAsia="Noto Sans CJK SC" w:hAnsi="Times New Roman" w:cs="Lohit Devanagari"/>
          <w:iCs/>
          <w:kern w:val="2"/>
          <w:sz w:val="24"/>
          <w:szCs w:val="24"/>
          <w:lang w:eastAsia="zh-CN" w:bidi="hi-IN"/>
        </w:rPr>
        <w:t>Skumbiņu</w:t>
      </w:r>
      <w:proofErr w:type="spellEnd"/>
      <w:r w:rsidR="000348F6" w:rsidRPr="00A07F29">
        <w:rPr>
          <w:rFonts w:ascii="Times New Roman" w:eastAsia="Noto Sans CJK SC" w:hAnsi="Times New Roman" w:cs="Lohit Devanagari"/>
          <w:iCs/>
          <w:kern w:val="2"/>
          <w:sz w:val="24"/>
          <w:szCs w:val="24"/>
          <w:lang w:eastAsia="zh-CN" w:bidi="hi-IN"/>
        </w:rPr>
        <w:t xml:space="preserve">, </w:t>
      </w:r>
      <w:proofErr w:type="spellStart"/>
      <w:r w:rsidR="000348F6" w:rsidRPr="00A07F29">
        <w:rPr>
          <w:rFonts w:ascii="Times New Roman" w:eastAsia="Noto Sans CJK SC" w:hAnsi="Times New Roman" w:cs="Lohit Devanagari"/>
          <w:iCs/>
          <w:kern w:val="2"/>
          <w:sz w:val="24"/>
          <w:szCs w:val="24"/>
          <w:lang w:eastAsia="zh-CN" w:bidi="hi-IN"/>
        </w:rPr>
        <w:t>Šilovkas</w:t>
      </w:r>
      <w:proofErr w:type="spellEnd"/>
      <w:r w:rsidR="009D177A" w:rsidRPr="00A07F29">
        <w:rPr>
          <w:rFonts w:ascii="Times New Roman" w:eastAsia="Noto Sans CJK SC" w:hAnsi="Times New Roman" w:cs="Lohit Devanagari"/>
          <w:iCs/>
          <w:kern w:val="2"/>
          <w:sz w:val="24"/>
          <w:szCs w:val="24"/>
          <w:lang w:eastAsia="zh-CN" w:bidi="hi-IN"/>
        </w:rPr>
        <w:t>,</w:t>
      </w:r>
      <w:r w:rsidR="000348F6" w:rsidRPr="00A07F29">
        <w:rPr>
          <w:rFonts w:ascii="Times New Roman" w:eastAsia="Noto Sans CJK SC" w:hAnsi="Times New Roman" w:cs="Lohit Devanagari"/>
          <w:iCs/>
          <w:kern w:val="2"/>
          <w:sz w:val="24"/>
          <w:szCs w:val="24"/>
          <w:lang w:eastAsia="zh-CN" w:bidi="hi-IN"/>
        </w:rPr>
        <w:t xml:space="preserve"> </w:t>
      </w:r>
      <w:proofErr w:type="spellStart"/>
      <w:r w:rsidR="000348F6" w:rsidRPr="00A07F29">
        <w:rPr>
          <w:rFonts w:ascii="Times New Roman" w:eastAsia="Noto Sans CJK SC" w:hAnsi="Times New Roman" w:cs="Lohit Devanagari"/>
          <w:iCs/>
          <w:kern w:val="2"/>
          <w:sz w:val="24"/>
          <w:szCs w:val="24"/>
          <w:lang w:eastAsia="zh-CN" w:bidi="hi-IN"/>
        </w:rPr>
        <w:t>Vaičuku</w:t>
      </w:r>
      <w:proofErr w:type="spellEnd"/>
      <w:r w:rsidR="009D177A" w:rsidRPr="00A07F29">
        <w:rPr>
          <w:rFonts w:ascii="Times New Roman" w:eastAsia="Noto Sans CJK SC" w:hAnsi="Times New Roman" w:cs="Lohit Devanagari"/>
          <w:iCs/>
          <w:kern w:val="2"/>
          <w:sz w:val="24"/>
          <w:szCs w:val="24"/>
          <w:lang w:eastAsia="zh-CN" w:bidi="hi-IN"/>
        </w:rPr>
        <w:t xml:space="preserve">, </w:t>
      </w:r>
      <w:proofErr w:type="spellStart"/>
      <w:r w:rsidR="000348F6" w:rsidRPr="00A07F29">
        <w:rPr>
          <w:rFonts w:ascii="Times New Roman" w:eastAsia="Noto Sans CJK SC" w:hAnsi="Times New Roman" w:cs="Lohit Devanagari"/>
          <w:iCs/>
          <w:kern w:val="2"/>
          <w:sz w:val="24"/>
          <w:szCs w:val="24"/>
          <w:lang w:eastAsia="zh-CN" w:bidi="hi-IN"/>
        </w:rPr>
        <w:t>Kaloda</w:t>
      </w:r>
      <w:r w:rsidR="009D177A" w:rsidRPr="00A07F29">
        <w:rPr>
          <w:rFonts w:ascii="Times New Roman" w:eastAsia="Noto Sans CJK SC" w:hAnsi="Times New Roman" w:cs="Lohit Devanagari"/>
          <w:iCs/>
          <w:kern w:val="2"/>
          <w:sz w:val="24"/>
          <w:szCs w:val="24"/>
          <w:lang w:eastAsia="zh-CN" w:bidi="hi-IN"/>
        </w:rPr>
        <w:t>s</w:t>
      </w:r>
      <w:proofErr w:type="spellEnd"/>
      <w:r w:rsidR="000348F6" w:rsidRPr="00A07F29">
        <w:rPr>
          <w:rFonts w:ascii="Times New Roman" w:eastAsia="Noto Sans CJK SC" w:hAnsi="Times New Roman" w:cs="Lohit Devanagari"/>
          <w:iCs/>
          <w:kern w:val="2"/>
          <w:sz w:val="24"/>
          <w:szCs w:val="24"/>
          <w:lang w:eastAsia="zh-CN" w:bidi="hi-IN"/>
        </w:rPr>
        <w:t xml:space="preserve"> un </w:t>
      </w:r>
      <w:proofErr w:type="spellStart"/>
      <w:r w:rsidR="009D177A" w:rsidRPr="00A07F29">
        <w:rPr>
          <w:rFonts w:ascii="Times New Roman" w:eastAsia="Noto Sans CJK SC" w:hAnsi="Times New Roman" w:cs="Lohit Devanagari"/>
          <w:iCs/>
          <w:kern w:val="2"/>
          <w:sz w:val="24"/>
          <w:szCs w:val="24"/>
          <w:lang w:eastAsia="zh-CN" w:bidi="hi-IN"/>
        </w:rPr>
        <w:t>Prūdeņa</w:t>
      </w:r>
      <w:proofErr w:type="spellEnd"/>
      <w:r w:rsidR="009D177A" w:rsidRPr="00A07F29">
        <w:rPr>
          <w:rFonts w:ascii="Times New Roman" w:eastAsia="Noto Sans CJK SC" w:hAnsi="Times New Roman" w:cs="Lohit Devanagari"/>
          <w:iCs/>
          <w:kern w:val="2"/>
          <w:sz w:val="24"/>
          <w:szCs w:val="24"/>
          <w:lang w:eastAsia="zh-CN" w:bidi="hi-IN"/>
        </w:rPr>
        <w:t xml:space="preserve"> ezeri)</w:t>
      </w:r>
      <w:r w:rsidR="009D177A" w:rsidRPr="00A07F29">
        <w:rPr>
          <w:rFonts w:ascii="Times New Roman" w:eastAsia="Noto Sans CJK SC" w:hAnsi="Times New Roman" w:cs="Lohit Devanagari"/>
          <w:kern w:val="2"/>
          <w:sz w:val="24"/>
          <w:szCs w:val="24"/>
          <w:lang w:eastAsia="zh-CN" w:bidi="hi-IN"/>
        </w:rPr>
        <w:t>, kā arī Kaudzīšu ezers, kur biotopa kvalitāte vērtējama kā slikta.</w:t>
      </w:r>
      <w:r w:rsidR="00AE0AD8" w:rsidRPr="00A07F29">
        <w:rPr>
          <w:rFonts w:ascii="Times New Roman" w:eastAsia="Times New Roman" w:hAnsi="Times New Roman" w:cs="Times New Roman"/>
          <w:kern w:val="2"/>
          <w:sz w:val="24"/>
          <w:szCs w:val="24"/>
          <w:lang w:eastAsia="zh-CN" w:bidi="hi-IN"/>
        </w:rPr>
        <w:t xml:space="preserve"> </w:t>
      </w:r>
    </w:p>
    <w:p w14:paraId="04BF4E53" w14:textId="14ECF566" w:rsidR="00FF1FAD" w:rsidRPr="00A07F29" w:rsidRDefault="00A755C1" w:rsidP="00E94290">
      <w:pPr>
        <w:suppressAutoHyphens/>
        <w:spacing w:after="120" w:line="240" w:lineRule="auto"/>
        <w:ind w:firstLine="720"/>
        <w:jc w:val="both"/>
        <w:rPr>
          <w:rFonts w:ascii="Times New Roman" w:eastAsia="Noto Sans CJK SC" w:hAnsi="Times New Roman" w:cs="Lohit Devanagari"/>
          <w:kern w:val="2"/>
          <w:sz w:val="24"/>
          <w:szCs w:val="24"/>
          <w:lang w:eastAsia="zh-CN" w:bidi="hi-IN"/>
        </w:rPr>
      </w:pPr>
      <w:r w:rsidRPr="00A07F29">
        <w:rPr>
          <w:rFonts w:ascii="Times New Roman" w:eastAsia="Noto Sans CJK SC" w:hAnsi="Times New Roman" w:cs="Lohit Devanagari"/>
          <w:iCs/>
          <w:kern w:val="2"/>
          <w:sz w:val="24"/>
          <w:szCs w:val="24"/>
          <w:lang w:eastAsia="zh-CN" w:bidi="hi-IN"/>
        </w:rPr>
        <w:t>Savukārt šī biotopa</w:t>
      </w:r>
      <w:r w:rsidR="00FF1FAD" w:rsidRPr="00A07F29">
        <w:rPr>
          <w:rFonts w:ascii="Times New Roman" w:eastAsia="Noto Sans CJK SC" w:hAnsi="Times New Roman" w:cs="Lohit Devanagari"/>
          <w:iCs/>
          <w:kern w:val="2"/>
          <w:sz w:val="24"/>
          <w:szCs w:val="24"/>
          <w:lang w:eastAsia="zh-CN" w:bidi="hi-IN"/>
        </w:rPr>
        <w:t xml:space="preserve"> 2.</w:t>
      </w:r>
      <w:r w:rsidR="00AF76C9" w:rsidRPr="00A07F29">
        <w:rPr>
          <w:rFonts w:ascii="Times New Roman" w:eastAsia="Noto Sans CJK SC" w:hAnsi="Times New Roman" w:cs="Lohit Devanagari"/>
          <w:iCs/>
          <w:kern w:val="2"/>
          <w:sz w:val="24"/>
          <w:szCs w:val="24"/>
          <w:lang w:eastAsia="zh-CN" w:bidi="hi-IN"/>
        </w:rPr>
        <w:t> </w:t>
      </w:r>
      <w:r w:rsidR="00FF1FAD" w:rsidRPr="00A07F29">
        <w:rPr>
          <w:rFonts w:ascii="Times New Roman" w:eastAsia="Noto Sans CJK SC" w:hAnsi="Times New Roman" w:cs="Lohit Devanagari"/>
          <w:iCs/>
          <w:kern w:val="2"/>
          <w:sz w:val="24"/>
          <w:szCs w:val="24"/>
          <w:lang w:eastAsia="zh-CN" w:bidi="hi-IN"/>
        </w:rPr>
        <w:t>variantam</w:t>
      </w:r>
      <w:r w:rsidR="00FF1FAD" w:rsidRPr="00A07F29">
        <w:rPr>
          <w:rFonts w:ascii="Times New Roman" w:eastAsia="Noto Sans CJK SC" w:hAnsi="Times New Roman" w:cs="Lohit Devanagari"/>
          <w:kern w:val="2"/>
          <w:sz w:val="24"/>
          <w:szCs w:val="24"/>
          <w:lang w:eastAsia="zh-CN" w:bidi="hi-IN"/>
        </w:rPr>
        <w:t xml:space="preserve"> </w:t>
      </w:r>
      <w:r w:rsidRPr="00A07F29">
        <w:rPr>
          <w:rFonts w:ascii="Times New Roman" w:eastAsia="Noto Sans CJK SC" w:hAnsi="Times New Roman" w:cs="Lohit Devanagari"/>
          <w:kern w:val="2"/>
          <w:sz w:val="24"/>
          <w:szCs w:val="24"/>
          <w:lang w:eastAsia="zh-CN" w:bidi="hi-IN"/>
        </w:rPr>
        <w:t>–</w:t>
      </w:r>
      <w:r w:rsidR="00FF1FAD" w:rsidRPr="00A07F29">
        <w:rPr>
          <w:rFonts w:ascii="Times New Roman" w:eastAsia="Noto Sans CJK SC" w:hAnsi="Times New Roman" w:cs="Lohit Devanagari"/>
          <w:kern w:val="2"/>
          <w:sz w:val="24"/>
          <w:szCs w:val="24"/>
          <w:lang w:eastAsia="zh-CN" w:bidi="hi-IN"/>
        </w:rPr>
        <w:t xml:space="preserve"> </w:t>
      </w:r>
      <w:proofErr w:type="spellStart"/>
      <w:r w:rsidR="00FF1FAD" w:rsidRPr="00A07F29">
        <w:rPr>
          <w:rFonts w:ascii="Times New Roman" w:eastAsia="Noto Sans CJK SC" w:hAnsi="Times New Roman" w:cs="Lohit Devanagari"/>
          <w:i/>
          <w:iCs/>
          <w:kern w:val="2"/>
          <w:sz w:val="24"/>
          <w:szCs w:val="24"/>
          <w:lang w:eastAsia="zh-CN" w:bidi="hi-IN"/>
        </w:rPr>
        <w:t>brūnūdens</w:t>
      </w:r>
      <w:proofErr w:type="spellEnd"/>
      <w:r w:rsidR="00FF1FAD" w:rsidRPr="00A07F29">
        <w:rPr>
          <w:rFonts w:ascii="Times New Roman" w:eastAsia="Noto Sans CJK SC" w:hAnsi="Times New Roman" w:cs="Lohit Devanagari"/>
          <w:i/>
          <w:iCs/>
          <w:kern w:val="2"/>
          <w:sz w:val="24"/>
          <w:szCs w:val="24"/>
          <w:lang w:eastAsia="zh-CN" w:bidi="hi-IN"/>
        </w:rPr>
        <w:t xml:space="preserve"> ezeri ar daudzveidīgu augāju</w:t>
      </w:r>
      <w:r w:rsidR="00FF1FAD" w:rsidRPr="00A07F29">
        <w:rPr>
          <w:rFonts w:ascii="Times New Roman" w:eastAsia="Noto Sans CJK SC" w:hAnsi="Times New Roman" w:cs="Lohit Devanagari"/>
          <w:kern w:val="2"/>
          <w:sz w:val="24"/>
          <w:szCs w:val="24"/>
          <w:lang w:eastAsia="zh-CN" w:bidi="hi-IN"/>
        </w:rPr>
        <w:t xml:space="preserve"> atbilst 14 ezeri</w:t>
      </w:r>
      <w:r w:rsidR="000348F6" w:rsidRPr="00A07F29">
        <w:rPr>
          <w:rFonts w:ascii="Times New Roman" w:eastAsia="Noto Sans CJK SC" w:hAnsi="Times New Roman" w:cs="Lohit Devanagari"/>
          <w:kern w:val="2"/>
          <w:sz w:val="24"/>
          <w:szCs w:val="24"/>
          <w:lang w:eastAsia="zh-CN" w:bidi="hi-IN"/>
        </w:rPr>
        <w:t xml:space="preserve">, no kuriem biotopa kvalitāte kā laba vērtējama </w:t>
      </w:r>
      <w:proofErr w:type="spellStart"/>
      <w:r w:rsidR="00FF1FAD" w:rsidRPr="00A07F29">
        <w:rPr>
          <w:rFonts w:ascii="Times New Roman" w:eastAsia="Noto Sans CJK SC" w:hAnsi="Times New Roman" w:cs="Lohit Devanagari"/>
          <w:kern w:val="2"/>
          <w:sz w:val="24"/>
          <w:szCs w:val="24"/>
          <w:lang w:eastAsia="zh-CN" w:bidi="hi-IN"/>
        </w:rPr>
        <w:t>Dolgoje</w:t>
      </w:r>
      <w:proofErr w:type="spellEnd"/>
      <w:r w:rsidR="00FF1FAD" w:rsidRPr="00A07F29">
        <w:rPr>
          <w:rFonts w:ascii="Times New Roman" w:eastAsia="Noto Sans CJK SC" w:hAnsi="Times New Roman" w:cs="Lohit Devanagari"/>
          <w:kern w:val="2"/>
          <w:sz w:val="24"/>
          <w:szCs w:val="24"/>
          <w:lang w:eastAsia="zh-CN" w:bidi="hi-IN"/>
        </w:rPr>
        <w:t xml:space="preserve"> un Zariņa </w:t>
      </w:r>
      <w:r w:rsidR="000348F6" w:rsidRPr="00A07F29">
        <w:rPr>
          <w:rFonts w:ascii="Times New Roman" w:eastAsia="Noto Sans CJK SC" w:hAnsi="Times New Roman" w:cs="Lohit Devanagari"/>
          <w:kern w:val="2"/>
          <w:sz w:val="24"/>
          <w:szCs w:val="24"/>
          <w:lang w:eastAsia="zh-CN" w:bidi="hi-IN"/>
        </w:rPr>
        <w:t>ezeros</w:t>
      </w:r>
      <w:r w:rsidR="00FF1FAD" w:rsidRPr="00A07F29">
        <w:rPr>
          <w:rFonts w:ascii="Times New Roman" w:eastAsia="Noto Sans CJK SC" w:hAnsi="Times New Roman" w:cs="Lohit Devanagari"/>
          <w:kern w:val="2"/>
          <w:sz w:val="24"/>
          <w:szCs w:val="24"/>
          <w:lang w:eastAsia="zh-CN" w:bidi="hi-IN"/>
        </w:rPr>
        <w:t xml:space="preserve">, </w:t>
      </w:r>
      <w:r w:rsidR="000348F6" w:rsidRPr="00A07F29">
        <w:rPr>
          <w:rFonts w:ascii="Times New Roman" w:eastAsia="Noto Sans CJK SC" w:hAnsi="Times New Roman" w:cs="Lohit Devanagari"/>
          <w:kern w:val="2"/>
          <w:sz w:val="24"/>
          <w:szCs w:val="24"/>
          <w:lang w:eastAsia="zh-CN" w:bidi="hi-IN"/>
        </w:rPr>
        <w:t>vidēja –</w:t>
      </w:r>
      <w:r w:rsidR="00FF1FAD" w:rsidRPr="00A07F29">
        <w:rPr>
          <w:rFonts w:ascii="Times New Roman" w:eastAsia="Noto Sans CJK SC" w:hAnsi="Times New Roman" w:cs="Lohit Devanagari"/>
          <w:kern w:val="2"/>
          <w:sz w:val="24"/>
          <w:szCs w:val="24"/>
          <w:lang w:eastAsia="zh-CN" w:bidi="hi-IN"/>
        </w:rPr>
        <w:t xml:space="preserve"> </w:t>
      </w:r>
      <w:r w:rsidR="000348F6" w:rsidRPr="00A07F29">
        <w:rPr>
          <w:rFonts w:ascii="Times New Roman" w:eastAsia="Noto Sans CJK SC" w:hAnsi="Times New Roman" w:cs="Lohit Devanagari"/>
          <w:kern w:val="2"/>
          <w:sz w:val="24"/>
          <w:szCs w:val="24"/>
          <w:lang w:eastAsia="zh-CN" w:bidi="hi-IN"/>
        </w:rPr>
        <w:t>11 ezeros (</w:t>
      </w:r>
      <w:r w:rsidR="00FF1FAD" w:rsidRPr="00A07F29">
        <w:rPr>
          <w:rFonts w:ascii="Times New Roman" w:eastAsia="Noto Sans CJK SC" w:hAnsi="Times New Roman" w:cs="Lohit Devanagari"/>
          <w:kern w:val="2"/>
          <w:sz w:val="24"/>
          <w:szCs w:val="24"/>
          <w:lang w:eastAsia="zh-CN" w:bidi="hi-IN"/>
        </w:rPr>
        <w:t xml:space="preserve">Dienvidu </w:t>
      </w:r>
      <w:proofErr w:type="spellStart"/>
      <w:r w:rsidR="00FF1FAD" w:rsidRPr="00A07F29">
        <w:rPr>
          <w:rFonts w:ascii="Times New Roman" w:eastAsia="Noto Sans CJK SC" w:hAnsi="Times New Roman" w:cs="Lohit Devanagari"/>
          <w:kern w:val="2"/>
          <w:sz w:val="24"/>
          <w:szCs w:val="24"/>
          <w:lang w:eastAsia="zh-CN" w:bidi="hi-IN"/>
        </w:rPr>
        <w:t>Dolgoje</w:t>
      </w:r>
      <w:proofErr w:type="spellEnd"/>
      <w:r w:rsidR="00FF1FAD" w:rsidRPr="00A07F29">
        <w:rPr>
          <w:rFonts w:ascii="Times New Roman" w:eastAsia="Noto Sans CJK SC" w:hAnsi="Times New Roman" w:cs="Lohit Devanagari"/>
          <w:kern w:val="2"/>
          <w:sz w:val="24"/>
          <w:szCs w:val="24"/>
          <w:lang w:eastAsia="zh-CN" w:bidi="hi-IN"/>
        </w:rPr>
        <w:t xml:space="preserve">, </w:t>
      </w:r>
      <w:proofErr w:type="spellStart"/>
      <w:r w:rsidR="00FF1FAD" w:rsidRPr="00A07F29">
        <w:rPr>
          <w:rFonts w:ascii="Times New Roman" w:eastAsia="Noto Sans CJK SC" w:hAnsi="Times New Roman" w:cs="Lohit Devanagari"/>
          <w:kern w:val="2"/>
          <w:sz w:val="24"/>
          <w:szCs w:val="24"/>
          <w:lang w:eastAsia="zh-CN" w:bidi="hi-IN"/>
        </w:rPr>
        <w:t>Gluhoje</w:t>
      </w:r>
      <w:proofErr w:type="spellEnd"/>
      <w:r w:rsidR="00FF1FAD" w:rsidRPr="00A07F29">
        <w:rPr>
          <w:rFonts w:ascii="Times New Roman" w:eastAsia="Noto Sans CJK SC" w:hAnsi="Times New Roman" w:cs="Lohit Devanagari"/>
          <w:kern w:val="2"/>
          <w:sz w:val="24"/>
          <w:szCs w:val="24"/>
          <w:lang w:eastAsia="zh-CN" w:bidi="hi-IN"/>
        </w:rPr>
        <w:t>, Liel</w:t>
      </w:r>
      <w:r w:rsidR="000348F6" w:rsidRPr="00A07F29">
        <w:rPr>
          <w:rFonts w:ascii="Times New Roman" w:eastAsia="Noto Sans CJK SC" w:hAnsi="Times New Roman" w:cs="Lohit Devanagari"/>
          <w:kern w:val="2"/>
          <w:sz w:val="24"/>
          <w:szCs w:val="24"/>
          <w:lang w:eastAsia="zh-CN" w:bidi="hi-IN"/>
        </w:rPr>
        <w:t xml:space="preserve">ajā </w:t>
      </w:r>
      <w:proofErr w:type="spellStart"/>
      <w:r w:rsidR="00FF1FAD" w:rsidRPr="00A07F29">
        <w:rPr>
          <w:rFonts w:ascii="Times New Roman" w:eastAsia="Noto Sans CJK SC" w:hAnsi="Times New Roman" w:cs="Lohit Devanagari"/>
          <w:kern w:val="2"/>
          <w:sz w:val="24"/>
          <w:szCs w:val="24"/>
          <w:lang w:eastAsia="zh-CN" w:bidi="hi-IN"/>
        </w:rPr>
        <w:t>Borvinkas</w:t>
      </w:r>
      <w:proofErr w:type="spellEnd"/>
      <w:r w:rsidR="00FF1FAD" w:rsidRPr="00A07F29">
        <w:rPr>
          <w:rFonts w:ascii="Times New Roman" w:eastAsia="Noto Sans CJK SC" w:hAnsi="Times New Roman" w:cs="Lohit Devanagari"/>
          <w:kern w:val="2"/>
          <w:sz w:val="24"/>
          <w:szCs w:val="24"/>
          <w:lang w:eastAsia="zh-CN" w:bidi="hi-IN"/>
        </w:rPr>
        <w:t xml:space="preserve">, Maču, Vidus </w:t>
      </w:r>
      <w:proofErr w:type="spellStart"/>
      <w:r w:rsidR="00FF1FAD" w:rsidRPr="00A07F29">
        <w:rPr>
          <w:rFonts w:ascii="Times New Roman" w:eastAsia="Noto Sans CJK SC" w:hAnsi="Times New Roman" w:cs="Lohit Devanagari"/>
          <w:kern w:val="2"/>
          <w:sz w:val="24"/>
          <w:szCs w:val="24"/>
          <w:lang w:eastAsia="zh-CN" w:bidi="hi-IN"/>
        </w:rPr>
        <w:t>Dolgoje</w:t>
      </w:r>
      <w:proofErr w:type="spellEnd"/>
      <w:r w:rsidR="00FF1FAD" w:rsidRPr="00A07F29">
        <w:rPr>
          <w:rFonts w:ascii="Times New Roman" w:eastAsia="Noto Sans CJK SC" w:hAnsi="Times New Roman" w:cs="Lohit Devanagari"/>
          <w:kern w:val="2"/>
          <w:sz w:val="24"/>
          <w:szCs w:val="24"/>
          <w:lang w:eastAsia="zh-CN" w:bidi="hi-IN"/>
        </w:rPr>
        <w:t xml:space="preserve">, </w:t>
      </w:r>
      <w:proofErr w:type="spellStart"/>
      <w:r w:rsidR="00FF1FAD" w:rsidRPr="00A07F29">
        <w:rPr>
          <w:rFonts w:ascii="Times New Roman" w:eastAsia="Noto Sans CJK SC" w:hAnsi="Times New Roman" w:cs="Lohit Devanagari"/>
          <w:kern w:val="2"/>
          <w:sz w:val="24"/>
          <w:szCs w:val="24"/>
          <w:lang w:eastAsia="zh-CN" w:bidi="hi-IN"/>
        </w:rPr>
        <w:t>Mjaļina</w:t>
      </w:r>
      <w:proofErr w:type="spellEnd"/>
      <w:r w:rsidR="00FF1FAD" w:rsidRPr="00A07F29">
        <w:rPr>
          <w:rFonts w:ascii="Times New Roman" w:eastAsia="Noto Sans CJK SC" w:hAnsi="Times New Roman" w:cs="Lohit Devanagari"/>
          <w:kern w:val="2"/>
          <w:sz w:val="24"/>
          <w:szCs w:val="24"/>
          <w:lang w:eastAsia="zh-CN" w:bidi="hi-IN"/>
        </w:rPr>
        <w:t xml:space="preserve">, </w:t>
      </w:r>
      <w:proofErr w:type="spellStart"/>
      <w:r w:rsidR="00FF1FAD" w:rsidRPr="00A07F29">
        <w:rPr>
          <w:rFonts w:ascii="Times New Roman" w:eastAsia="Noto Sans CJK SC" w:hAnsi="Times New Roman" w:cs="Lohit Devanagari"/>
          <w:kern w:val="2"/>
          <w:sz w:val="24"/>
          <w:szCs w:val="24"/>
          <w:lang w:eastAsia="zh-CN" w:bidi="hi-IN"/>
        </w:rPr>
        <w:t>Saučenku</w:t>
      </w:r>
      <w:proofErr w:type="spellEnd"/>
      <w:r w:rsidR="00FF1FAD" w:rsidRPr="00A07F29">
        <w:rPr>
          <w:rFonts w:ascii="Times New Roman" w:eastAsia="Noto Sans CJK SC" w:hAnsi="Times New Roman" w:cs="Lohit Devanagari"/>
          <w:kern w:val="2"/>
          <w:sz w:val="24"/>
          <w:szCs w:val="24"/>
          <w:lang w:eastAsia="zh-CN" w:bidi="hi-IN"/>
        </w:rPr>
        <w:t xml:space="preserve">, </w:t>
      </w:r>
      <w:proofErr w:type="spellStart"/>
      <w:r w:rsidR="00FF1FAD" w:rsidRPr="00A07F29">
        <w:rPr>
          <w:rFonts w:ascii="Times New Roman" w:eastAsia="Noto Sans CJK SC" w:hAnsi="Times New Roman" w:cs="Lohit Devanagari"/>
          <w:kern w:val="2"/>
          <w:sz w:val="24"/>
          <w:szCs w:val="24"/>
          <w:lang w:eastAsia="zh-CN" w:bidi="hi-IN"/>
        </w:rPr>
        <w:t>Škļarovščinas</w:t>
      </w:r>
      <w:proofErr w:type="spellEnd"/>
      <w:r w:rsidR="000348F6" w:rsidRPr="00A07F29">
        <w:rPr>
          <w:rFonts w:ascii="Times New Roman" w:eastAsia="Noto Sans CJK SC" w:hAnsi="Times New Roman" w:cs="Lohit Devanagari"/>
          <w:kern w:val="2"/>
          <w:sz w:val="24"/>
          <w:szCs w:val="24"/>
          <w:lang w:eastAsia="zh-CN" w:bidi="hi-IN"/>
        </w:rPr>
        <w:t xml:space="preserve">, </w:t>
      </w:r>
      <w:proofErr w:type="spellStart"/>
      <w:r w:rsidR="00FF1FAD" w:rsidRPr="00A07F29">
        <w:rPr>
          <w:rFonts w:ascii="Times New Roman" w:eastAsia="Noto Sans CJK SC" w:hAnsi="Times New Roman" w:cs="Lohit Devanagari"/>
          <w:kern w:val="2"/>
          <w:sz w:val="24"/>
          <w:szCs w:val="24"/>
          <w:lang w:eastAsia="zh-CN" w:bidi="hi-IN"/>
        </w:rPr>
        <w:t>Zimašu</w:t>
      </w:r>
      <w:proofErr w:type="spellEnd"/>
      <w:r w:rsidR="000348F6" w:rsidRPr="00A07F29">
        <w:rPr>
          <w:rFonts w:ascii="Times New Roman" w:eastAsia="Noto Sans CJK SC" w:hAnsi="Times New Roman" w:cs="Lohit Devanagari"/>
          <w:kern w:val="2"/>
          <w:sz w:val="24"/>
          <w:szCs w:val="24"/>
          <w:lang w:eastAsia="zh-CN" w:bidi="hi-IN"/>
        </w:rPr>
        <w:t>,</w:t>
      </w:r>
      <w:r w:rsidR="00FF1FAD" w:rsidRPr="00A07F29">
        <w:rPr>
          <w:rFonts w:ascii="Times New Roman" w:eastAsia="Noto Sans CJK SC" w:hAnsi="Times New Roman" w:cs="Lohit Devanagari"/>
          <w:kern w:val="2"/>
          <w:sz w:val="24"/>
          <w:szCs w:val="24"/>
          <w:lang w:eastAsia="zh-CN" w:bidi="hi-IN"/>
        </w:rPr>
        <w:t xml:space="preserve"> </w:t>
      </w:r>
      <w:proofErr w:type="spellStart"/>
      <w:r w:rsidR="00FF1FAD" w:rsidRPr="00A07F29">
        <w:rPr>
          <w:rFonts w:ascii="Times New Roman" w:eastAsia="Noto Sans CJK SC" w:hAnsi="Times New Roman" w:cs="Lohit Devanagari"/>
          <w:kern w:val="2"/>
          <w:sz w:val="24"/>
          <w:szCs w:val="24"/>
          <w:lang w:eastAsia="zh-CN" w:bidi="hi-IN"/>
        </w:rPr>
        <w:t>Dubinka</w:t>
      </w:r>
      <w:proofErr w:type="spellEnd"/>
      <w:r w:rsidR="000348F6" w:rsidRPr="00A07F29">
        <w:rPr>
          <w:rFonts w:ascii="Times New Roman" w:eastAsia="Noto Sans CJK SC" w:hAnsi="Times New Roman" w:cs="Lohit Devanagari"/>
          <w:kern w:val="2"/>
          <w:sz w:val="24"/>
          <w:szCs w:val="24"/>
          <w:lang w:eastAsia="zh-CN" w:bidi="hi-IN"/>
        </w:rPr>
        <w:t xml:space="preserve"> un </w:t>
      </w:r>
      <w:proofErr w:type="spellStart"/>
      <w:r w:rsidR="00FF1FAD" w:rsidRPr="00A07F29">
        <w:rPr>
          <w:rFonts w:ascii="Times New Roman" w:eastAsia="Noto Sans CJK SC" w:hAnsi="Times New Roman" w:cs="Lohit Devanagari"/>
          <w:kern w:val="2"/>
          <w:sz w:val="24"/>
          <w:szCs w:val="24"/>
          <w:lang w:eastAsia="zh-CN" w:bidi="hi-IN"/>
        </w:rPr>
        <w:t>Šlapuka</w:t>
      </w:r>
      <w:proofErr w:type="spellEnd"/>
      <w:r w:rsidR="009D177A" w:rsidRPr="00A07F29">
        <w:rPr>
          <w:rFonts w:ascii="Times New Roman" w:eastAsia="Noto Sans CJK SC" w:hAnsi="Times New Roman" w:cs="Lohit Devanagari"/>
          <w:kern w:val="2"/>
          <w:sz w:val="24"/>
          <w:szCs w:val="24"/>
          <w:lang w:eastAsia="zh-CN" w:bidi="hi-IN"/>
        </w:rPr>
        <w:t xml:space="preserve"> ezerā</w:t>
      </w:r>
      <w:r w:rsidR="00CB0873" w:rsidRPr="00A07F29">
        <w:rPr>
          <w:rFonts w:ascii="Times New Roman" w:eastAsia="Noto Sans CJK SC" w:hAnsi="Times New Roman" w:cs="Lohit Devanagari"/>
          <w:kern w:val="2"/>
          <w:sz w:val="24"/>
          <w:szCs w:val="24"/>
          <w:lang w:eastAsia="zh-CN" w:bidi="hi-IN"/>
        </w:rPr>
        <w:t>)</w:t>
      </w:r>
      <w:r w:rsidR="00FF1FAD" w:rsidRPr="00A07F29">
        <w:rPr>
          <w:rFonts w:ascii="Times New Roman" w:eastAsia="Noto Sans CJK SC" w:hAnsi="Times New Roman" w:cs="Lohit Devanagari"/>
          <w:kern w:val="2"/>
          <w:sz w:val="24"/>
          <w:szCs w:val="24"/>
          <w:lang w:eastAsia="zh-CN" w:bidi="hi-IN"/>
        </w:rPr>
        <w:t xml:space="preserve">, bet </w:t>
      </w:r>
      <w:r w:rsidR="00CB0873" w:rsidRPr="00A07F29">
        <w:rPr>
          <w:rFonts w:ascii="Times New Roman" w:eastAsia="Noto Sans CJK SC" w:hAnsi="Times New Roman" w:cs="Lohit Devanagari"/>
          <w:kern w:val="2"/>
          <w:sz w:val="24"/>
          <w:szCs w:val="24"/>
          <w:lang w:eastAsia="zh-CN" w:bidi="hi-IN"/>
        </w:rPr>
        <w:t xml:space="preserve">zema </w:t>
      </w:r>
      <w:r w:rsidR="00FF1FAD" w:rsidRPr="00A07F29">
        <w:rPr>
          <w:rFonts w:ascii="Times New Roman" w:eastAsia="Noto Sans CJK SC" w:hAnsi="Times New Roman" w:cs="Lohit Devanagari"/>
          <w:kern w:val="2"/>
          <w:sz w:val="24"/>
          <w:szCs w:val="24"/>
          <w:lang w:eastAsia="zh-CN" w:bidi="hi-IN"/>
        </w:rPr>
        <w:t xml:space="preserve">– </w:t>
      </w:r>
      <w:r w:rsidR="00CB0873" w:rsidRPr="00A07F29">
        <w:rPr>
          <w:rFonts w:ascii="Times New Roman" w:eastAsia="Noto Sans CJK SC" w:hAnsi="Times New Roman" w:cs="Lohit Devanagari"/>
          <w:kern w:val="2"/>
          <w:sz w:val="24"/>
          <w:szCs w:val="24"/>
          <w:lang w:eastAsia="zh-CN" w:bidi="hi-IN"/>
        </w:rPr>
        <w:t>Zīmeļa ezerā</w:t>
      </w:r>
      <w:r w:rsidR="00FF1FAD" w:rsidRPr="00A07F29">
        <w:rPr>
          <w:rFonts w:ascii="Times New Roman" w:eastAsia="Noto Sans CJK SC" w:hAnsi="Times New Roman" w:cs="Lohit Devanagari"/>
          <w:kern w:val="2"/>
          <w:sz w:val="24"/>
          <w:szCs w:val="24"/>
          <w:lang w:eastAsia="zh-CN" w:bidi="hi-IN"/>
        </w:rPr>
        <w:t>.</w:t>
      </w:r>
    </w:p>
    <w:p w14:paraId="106E9706" w14:textId="5E9B3F37" w:rsidR="00CB616E" w:rsidRPr="00A07F29" w:rsidRDefault="00BE5DB7" w:rsidP="00E94290">
      <w:pPr>
        <w:suppressAutoHyphens/>
        <w:spacing w:after="120" w:line="240" w:lineRule="auto"/>
        <w:ind w:firstLine="851"/>
        <w:jc w:val="both"/>
        <w:rPr>
          <w:rFonts w:ascii="Times New Roman" w:eastAsia="Noto Sans CJK SC" w:hAnsi="Times New Roman" w:cs="Lohit Devanagari"/>
          <w:kern w:val="2"/>
          <w:sz w:val="24"/>
          <w:szCs w:val="24"/>
          <w:lang w:eastAsia="zh-CN" w:bidi="hi-IN"/>
        </w:rPr>
      </w:pPr>
      <w:bookmarkStart w:id="58" w:name="_Hlk51166779"/>
      <w:bookmarkEnd w:id="58"/>
      <w:r w:rsidRPr="00A07F29">
        <w:rPr>
          <w:rFonts w:ascii="Times New Roman" w:eastAsia="Noto Sans CJK SC" w:hAnsi="Times New Roman" w:cs="Lohit Devanagari"/>
          <w:kern w:val="2"/>
          <w:sz w:val="24"/>
          <w:szCs w:val="24"/>
          <w:lang w:eastAsia="zh-CN" w:bidi="hi-IN"/>
        </w:rPr>
        <w:t>Kaudzīšu ezera gadījumā zemā kvalitāte izskaidrojama ar ap 2005.</w:t>
      </w:r>
      <w:r w:rsidR="00091334" w:rsidRPr="00A07F29">
        <w:rPr>
          <w:rFonts w:ascii="Times New Roman" w:eastAsia="Noto Sans CJK SC" w:hAnsi="Times New Roman" w:cs="Lohit Devanagari"/>
          <w:kern w:val="2"/>
          <w:sz w:val="24"/>
          <w:szCs w:val="24"/>
          <w:lang w:eastAsia="zh-CN" w:bidi="hi-IN"/>
        </w:rPr>
        <w:t> </w:t>
      </w:r>
      <w:r w:rsidRPr="00A07F29">
        <w:rPr>
          <w:rFonts w:ascii="Times New Roman" w:eastAsia="Noto Sans CJK SC" w:hAnsi="Times New Roman" w:cs="Lohit Devanagari"/>
          <w:kern w:val="2"/>
          <w:sz w:val="24"/>
          <w:szCs w:val="24"/>
          <w:lang w:eastAsia="zh-CN" w:bidi="hi-IN"/>
        </w:rPr>
        <w:t xml:space="preserve">gadu notikušo nelikumīgo ūdensšķirtnes pārrakšanu un </w:t>
      </w:r>
      <w:proofErr w:type="spellStart"/>
      <w:r w:rsidRPr="00A07F29">
        <w:rPr>
          <w:rFonts w:ascii="Times New Roman" w:eastAsia="Noto Sans CJK SC" w:hAnsi="Times New Roman" w:cs="Lohit Devanagari"/>
          <w:kern w:val="2"/>
          <w:sz w:val="24"/>
          <w:szCs w:val="24"/>
          <w:lang w:eastAsia="zh-CN" w:bidi="hi-IN"/>
        </w:rPr>
        <w:t>Varnaviču</w:t>
      </w:r>
      <w:proofErr w:type="spellEnd"/>
      <w:r w:rsidRPr="00A07F29">
        <w:rPr>
          <w:rFonts w:ascii="Times New Roman" w:eastAsia="Noto Sans CJK SC" w:hAnsi="Times New Roman" w:cs="Lohit Devanagari"/>
          <w:kern w:val="2"/>
          <w:sz w:val="24"/>
          <w:szCs w:val="24"/>
          <w:lang w:eastAsia="zh-CN" w:bidi="hi-IN"/>
        </w:rPr>
        <w:t xml:space="preserve"> upes ievadīšanu tajā</w:t>
      </w:r>
      <w:r w:rsidR="00CB616E" w:rsidRPr="00A07F29">
        <w:rPr>
          <w:rFonts w:ascii="Times New Roman" w:eastAsia="Noto Sans CJK SC" w:hAnsi="Times New Roman" w:cs="Lohit Devanagari"/>
          <w:kern w:val="2"/>
          <w:sz w:val="24"/>
          <w:szCs w:val="24"/>
          <w:lang w:eastAsia="zh-CN" w:bidi="hi-IN"/>
        </w:rPr>
        <w:t>. Tas ir izraisījis ļoti ievērojamu un joprojām aktīvu augsnes eroziju. Ezerā ir ieplūdis ļoti liels smilšmāla daudzums, kas ir izveidojis ap 20</w:t>
      </w:r>
      <w:r w:rsidR="00DC5042" w:rsidRPr="00A07F29">
        <w:rPr>
          <w:rFonts w:ascii="Times New Roman" w:eastAsia="Noto Sans CJK SC" w:hAnsi="Times New Roman" w:cs="Lohit Devanagari"/>
          <w:kern w:val="2"/>
          <w:sz w:val="24"/>
          <w:szCs w:val="24"/>
          <w:lang w:eastAsia="zh-CN" w:bidi="hi-IN"/>
        </w:rPr>
        <w:t> </w:t>
      </w:r>
      <w:r w:rsidR="00CB616E" w:rsidRPr="00A07F29">
        <w:rPr>
          <w:rFonts w:ascii="Times New Roman" w:eastAsia="Noto Sans CJK SC" w:hAnsi="Times New Roman" w:cs="Lohit Devanagari"/>
          <w:kern w:val="2"/>
          <w:sz w:val="24"/>
          <w:szCs w:val="24"/>
          <w:lang w:eastAsia="zh-CN" w:bidi="hi-IN"/>
        </w:rPr>
        <w:t>m garu un 25</w:t>
      </w:r>
      <w:r w:rsidR="00DC5042" w:rsidRPr="00A07F29">
        <w:rPr>
          <w:rFonts w:ascii="Times New Roman" w:eastAsia="Noto Sans CJK SC" w:hAnsi="Times New Roman" w:cs="Lohit Devanagari"/>
          <w:kern w:val="2"/>
          <w:sz w:val="24"/>
          <w:szCs w:val="24"/>
          <w:lang w:eastAsia="zh-CN" w:bidi="hi-IN"/>
        </w:rPr>
        <w:t> </w:t>
      </w:r>
      <w:r w:rsidR="00CB616E" w:rsidRPr="00A07F29">
        <w:rPr>
          <w:rFonts w:ascii="Times New Roman" w:eastAsia="Noto Sans CJK SC" w:hAnsi="Times New Roman" w:cs="Lohit Devanagari"/>
          <w:kern w:val="2"/>
          <w:sz w:val="24"/>
          <w:szCs w:val="24"/>
          <w:lang w:eastAsia="zh-CN" w:bidi="hi-IN"/>
        </w:rPr>
        <w:t>m platu sēri, kā arī suspendēto māla daļiņu dēļ ir ievērojami samazinājusies ezera ūdens caurredzamību no 2,0</w:t>
      </w:r>
      <w:r w:rsidR="00DC5042" w:rsidRPr="00A07F29">
        <w:rPr>
          <w:rFonts w:ascii="Times New Roman" w:eastAsia="Noto Sans CJK SC" w:hAnsi="Times New Roman" w:cs="Lohit Devanagari"/>
          <w:kern w:val="2"/>
          <w:sz w:val="24"/>
          <w:szCs w:val="24"/>
          <w:lang w:eastAsia="zh-CN" w:bidi="hi-IN"/>
        </w:rPr>
        <w:t> </w:t>
      </w:r>
      <w:r w:rsidR="00CB616E" w:rsidRPr="00A07F29">
        <w:rPr>
          <w:rFonts w:ascii="Times New Roman" w:eastAsia="Noto Sans CJK SC" w:hAnsi="Times New Roman" w:cs="Lohit Devanagari"/>
          <w:kern w:val="2"/>
          <w:sz w:val="24"/>
          <w:szCs w:val="24"/>
          <w:lang w:eastAsia="zh-CN" w:bidi="hi-IN"/>
        </w:rPr>
        <w:t>m 1997.</w:t>
      </w:r>
      <w:r w:rsidR="00DC5042" w:rsidRPr="00A07F29">
        <w:rPr>
          <w:rFonts w:ascii="Times New Roman" w:eastAsia="Noto Sans CJK SC" w:hAnsi="Times New Roman" w:cs="Lohit Devanagari"/>
          <w:kern w:val="2"/>
          <w:sz w:val="24"/>
          <w:szCs w:val="24"/>
          <w:lang w:eastAsia="zh-CN" w:bidi="hi-IN"/>
        </w:rPr>
        <w:t> </w:t>
      </w:r>
      <w:r w:rsidR="00CB616E" w:rsidRPr="00A07F29">
        <w:rPr>
          <w:rFonts w:ascii="Times New Roman" w:eastAsia="Noto Sans CJK SC" w:hAnsi="Times New Roman" w:cs="Lohit Devanagari"/>
          <w:kern w:val="2"/>
          <w:sz w:val="24"/>
          <w:szCs w:val="24"/>
          <w:lang w:eastAsia="zh-CN" w:bidi="hi-IN"/>
        </w:rPr>
        <w:t>gada vasarā uz 0,45</w:t>
      </w:r>
      <w:r w:rsidR="00DC5042" w:rsidRPr="00A07F29">
        <w:rPr>
          <w:rFonts w:ascii="Times New Roman" w:eastAsia="Noto Sans CJK SC" w:hAnsi="Times New Roman" w:cs="Lohit Devanagari"/>
          <w:kern w:val="2"/>
          <w:sz w:val="24"/>
          <w:szCs w:val="24"/>
          <w:lang w:eastAsia="zh-CN" w:bidi="hi-IN"/>
        </w:rPr>
        <w:t> </w:t>
      </w:r>
      <w:r w:rsidR="00CB616E" w:rsidRPr="00A07F29">
        <w:rPr>
          <w:rFonts w:ascii="Times New Roman" w:eastAsia="Noto Sans CJK SC" w:hAnsi="Times New Roman" w:cs="Lohit Devanagari"/>
          <w:kern w:val="2"/>
          <w:sz w:val="24"/>
          <w:szCs w:val="24"/>
          <w:lang w:eastAsia="zh-CN" w:bidi="hi-IN"/>
        </w:rPr>
        <w:t>m 2017.</w:t>
      </w:r>
      <w:r w:rsidR="00DC5042" w:rsidRPr="00A07F29">
        <w:rPr>
          <w:rFonts w:ascii="Times New Roman" w:eastAsia="Noto Sans CJK SC" w:hAnsi="Times New Roman" w:cs="Lohit Devanagari"/>
          <w:kern w:val="2"/>
          <w:sz w:val="24"/>
          <w:szCs w:val="24"/>
          <w:lang w:eastAsia="zh-CN" w:bidi="hi-IN"/>
        </w:rPr>
        <w:t> </w:t>
      </w:r>
      <w:r w:rsidR="00CB616E" w:rsidRPr="00A07F29">
        <w:rPr>
          <w:rFonts w:ascii="Times New Roman" w:eastAsia="Noto Sans CJK SC" w:hAnsi="Times New Roman" w:cs="Lohit Devanagari"/>
          <w:kern w:val="2"/>
          <w:sz w:val="24"/>
          <w:szCs w:val="24"/>
          <w:lang w:eastAsia="zh-CN" w:bidi="hi-IN"/>
        </w:rPr>
        <w:t>gada rudenī. Suspendēto māla daļiņu dēļ ezera ūdens krāsa izmainījusies no gaiši brūnas pirms veiktās darbības uz dzeltenīgu pēc veiktās darbības.</w:t>
      </w:r>
    </w:p>
    <w:p w14:paraId="11C93454" w14:textId="10B52A21" w:rsidR="00AE0AD8" w:rsidRPr="00A07F29" w:rsidRDefault="00BE5DB7" w:rsidP="00E94290">
      <w:pPr>
        <w:suppressAutoHyphens/>
        <w:spacing w:after="120" w:line="240" w:lineRule="auto"/>
        <w:ind w:firstLine="851"/>
        <w:jc w:val="both"/>
        <w:rPr>
          <w:rFonts w:ascii="Times New Roman" w:eastAsia="Times New Roman" w:hAnsi="Times New Roman" w:cs="Times New Roman"/>
          <w:kern w:val="2"/>
          <w:sz w:val="24"/>
          <w:szCs w:val="24"/>
          <w:lang w:eastAsia="zh-CN" w:bidi="hi-IN"/>
        </w:rPr>
      </w:pPr>
      <w:r w:rsidRPr="00A07F29">
        <w:rPr>
          <w:rFonts w:ascii="Times New Roman" w:eastAsia="Noto Sans CJK SC" w:hAnsi="Times New Roman" w:cs="Lohit Devanagari"/>
          <w:kern w:val="2"/>
          <w:sz w:val="24"/>
          <w:szCs w:val="24"/>
          <w:lang w:eastAsia="zh-CN" w:bidi="hi-IN"/>
        </w:rPr>
        <w:t xml:space="preserve">Zīmeļa gadījumā </w:t>
      </w:r>
      <w:r w:rsidR="00CB616E" w:rsidRPr="00A07F29">
        <w:rPr>
          <w:rFonts w:ascii="Times New Roman" w:eastAsia="Noto Sans CJK SC" w:hAnsi="Times New Roman" w:cs="Lohit Devanagari"/>
          <w:kern w:val="2"/>
          <w:sz w:val="24"/>
          <w:szCs w:val="24"/>
          <w:lang w:eastAsia="zh-CN" w:bidi="hi-IN"/>
        </w:rPr>
        <w:t xml:space="preserve">zemā kvalitāte ir saistīta </w:t>
      </w:r>
      <w:r w:rsidRPr="00A07F29">
        <w:rPr>
          <w:rFonts w:ascii="Times New Roman" w:eastAsia="Noto Sans CJK SC" w:hAnsi="Times New Roman" w:cs="Lohit Devanagari"/>
          <w:kern w:val="2"/>
          <w:sz w:val="24"/>
          <w:szCs w:val="24"/>
          <w:lang w:eastAsia="zh-CN" w:bidi="hi-IN"/>
        </w:rPr>
        <w:t xml:space="preserve">ar pastiprinātu antropogēno eitrofikāciju </w:t>
      </w:r>
      <w:proofErr w:type="spellStart"/>
      <w:r w:rsidRPr="00A07F29">
        <w:rPr>
          <w:rFonts w:ascii="Times New Roman" w:eastAsia="Noto Sans CJK SC" w:hAnsi="Times New Roman" w:cs="Lohit Devanagari"/>
          <w:kern w:val="2"/>
          <w:sz w:val="24"/>
          <w:szCs w:val="24"/>
          <w:lang w:eastAsia="zh-CN" w:bidi="hi-IN"/>
        </w:rPr>
        <w:t>biogēnu</w:t>
      </w:r>
      <w:proofErr w:type="spellEnd"/>
      <w:r w:rsidRPr="00A07F29">
        <w:rPr>
          <w:rFonts w:ascii="Times New Roman" w:eastAsia="Noto Sans CJK SC" w:hAnsi="Times New Roman" w:cs="Lohit Devanagari"/>
          <w:kern w:val="2"/>
          <w:sz w:val="24"/>
          <w:szCs w:val="24"/>
          <w:lang w:eastAsia="zh-CN" w:bidi="hi-IN"/>
        </w:rPr>
        <w:t xml:space="preserve"> ieneses dēļ pa tajā ietekošo Stirnas upi.</w:t>
      </w:r>
    </w:p>
    <w:p w14:paraId="75DAF3A6" w14:textId="303453BA" w:rsidR="00EF2666" w:rsidRPr="00A07F29" w:rsidRDefault="00EF2666" w:rsidP="00E94290">
      <w:pPr>
        <w:suppressAutoHyphens/>
        <w:spacing w:after="120" w:line="240" w:lineRule="auto"/>
        <w:ind w:firstLine="851"/>
        <w:jc w:val="both"/>
        <w:rPr>
          <w:rFonts w:ascii="Liberation Serif" w:eastAsia="Noto Sans CJK SC" w:hAnsi="Liberation Serif" w:cs="Lohit Devanagari"/>
          <w:kern w:val="2"/>
          <w:sz w:val="24"/>
          <w:szCs w:val="24"/>
          <w:lang w:eastAsia="zh-CN" w:bidi="hi-IN"/>
        </w:rPr>
      </w:pPr>
      <w:proofErr w:type="spellStart"/>
      <w:r w:rsidRPr="00A07F29">
        <w:rPr>
          <w:rFonts w:ascii="Times New Roman" w:eastAsia="Times New Roman" w:hAnsi="Times New Roman" w:cs="Times New Roman"/>
          <w:kern w:val="2"/>
          <w:sz w:val="24"/>
          <w:szCs w:val="24"/>
          <w:lang w:eastAsia="zh-CN" w:bidi="hi-IN"/>
        </w:rPr>
        <w:t>Balticas</w:t>
      </w:r>
      <w:proofErr w:type="spellEnd"/>
      <w:r w:rsidRPr="00A07F29">
        <w:rPr>
          <w:rFonts w:ascii="Times New Roman" w:eastAsia="Times New Roman" w:hAnsi="Times New Roman" w:cs="Times New Roman"/>
          <w:kern w:val="2"/>
          <w:sz w:val="24"/>
          <w:szCs w:val="24"/>
          <w:lang w:eastAsia="zh-CN" w:bidi="hi-IN"/>
        </w:rPr>
        <w:t xml:space="preserve"> un </w:t>
      </w:r>
      <w:proofErr w:type="spellStart"/>
      <w:r w:rsidRPr="00A07F29">
        <w:rPr>
          <w:rFonts w:ascii="Times New Roman" w:eastAsia="Times New Roman" w:hAnsi="Times New Roman" w:cs="Times New Roman"/>
          <w:kern w:val="2"/>
          <w:sz w:val="24"/>
          <w:szCs w:val="24"/>
          <w:lang w:eastAsia="zh-CN" w:bidi="hi-IN"/>
        </w:rPr>
        <w:t>Šilovkas</w:t>
      </w:r>
      <w:proofErr w:type="spellEnd"/>
      <w:r w:rsidRPr="00A07F29">
        <w:rPr>
          <w:rFonts w:ascii="Times New Roman" w:eastAsia="Times New Roman" w:hAnsi="Times New Roman" w:cs="Times New Roman"/>
          <w:kern w:val="2"/>
          <w:sz w:val="24"/>
          <w:szCs w:val="24"/>
          <w:lang w:eastAsia="zh-CN" w:bidi="hi-IN"/>
        </w:rPr>
        <w:t xml:space="preserve"> ezers atbilst arī Latvijas </w:t>
      </w:r>
      <w:r w:rsidR="00555F76">
        <w:rPr>
          <w:rFonts w:ascii="Times New Roman" w:eastAsia="Times New Roman" w:hAnsi="Times New Roman" w:cs="Times New Roman"/>
          <w:kern w:val="2"/>
          <w:sz w:val="24"/>
          <w:szCs w:val="24"/>
          <w:lang w:eastAsia="zh-CN" w:bidi="hi-IN"/>
        </w:rPr>
        <w:t>īpaši aizsargājam</w:t>
      </w:r>
      <w:r w:rsidR="0048463A">
        <w:rPr>
          <w:rFonts w:ascii="Times New Roman" w:eastAsia="Times New Roman" w:hAnsi="Times New Roman" w:cs="Times New Roman"/>
          <w:kern w:val="2"/>
          <w:sz w:val="24"/>
          <w:szCs w:val="24"/>
          <w:lang w:eastAsia="zh-CN" w:bidi="hi-IN"/>
        </w:rPr>
        <w:t>am</w:t>
      </w:r>
      <w:r w:rsidRPr="00A07F29">
        <w:rPr>
          <w:rFonts w:ascii="Times New Roman" w:eastAsia="Times New Roman" w:hAnsi="Times New Roman" w:cs="Times New Roman"/>
          <w:kern w:val="2"/>
          <w:sz w:val="24"/>
          <w:szCs w:val="24"/>
          <w:lang w:eastAsia="zh-CN" w:bidi="hi-IN"/>
        </w:rPr>
        <w:t xml:space="preserve"> biotopam 4.6.</w:t>
      </w:r>
      <w:r w:rsidR="001239F5" w:rsidRPr="00A07F29">
        <w:rPr>
          <w:rFonts w:ascii="Times New Roman" w:eastAsia="Times New Roman" w:hAnsi="Times New Roman" w:cs="Times New Roman"/>
          <w:kern w:val="2"/>
          <w:sz w:val="24"/>
          <w:szCs w:val="24"/>
          <w:lang w:eastAsia="zh-CN" w:bidi="hi-IN"/>
        </w:rPr>
        <w:t> </w:t>
      </w:r>
      <w:r w:rsidRPr="00A07F29">
        <w:rPr>
          <w:rFonts w:ascii="Times New Roman" w:eastAsia="Times New Roman" w:hAnsi="Times New Roman" w:cs="Times New Roman"/>
          <w:i/>
          <w:iCs/>
          <w:kern w:val="2"/>
          <w:sz w:val="24"/>
          <w:szCs w:val="24"/>
          <w:lang w:eastAsia="zh-CN" w:bidi="hi-IN"/>
        </w:rPr>
        <w:t xml:space="preserve">Ezeri ar </w:t>
      </w:r>
      <w:proofErr w:type="spellStart"/>
      <w:r w:rsidRPr="00A07F29">
        <w:rPr>
          <w:rFonts w:ascii="Times New Roman" w:eastAsia="Times New Roman" w:hAnsi="Times New Roman" w:cs="Times New Roman"/>
          <w:i/>
          <w:iCs/>
          <w:kern w:val="2"/>
          <w:sz w:val="24"/>
          <w:szCs w:val="24"/>
          <w:lang w:eastAsia="zh-CN" w:bidi="hi-IN"/>
        </w:rPr>
        <w:t>najādu</w:t>
      </w:r>
      <w:proofErr w:type="spellEnd"/>
      <w:r w:rsidRPr="00A07F29">
        <w:rPr>
          <w:rFonts w:ascii="Times New Roman" w:eastAsia="Times New Roman" w:hAnsi="Times New Roman" w:cs="Times New Roman"/>
          <w:i/>
          <w:iCs/>
          <w:kern w:val="2"/>
          <w:sz w:val="24"/>
          <w:szCs w:val="24"/>
          <w:lang w:eastAsia="zh-CN" w:bidi="hi-IN"/>
        </w:rPr>
        <w:t xml:space="preserve"> </w:t>
      </w:r>
      <w:proofErr w:type="spellStart"/>
      <w:r w:rsidRPr="00A07F29">
        <w:rPr>
          <w:rFonts w:ascii="Times New Roman" w:eastAsia="Times New Roman" w:hAnsi="Times New Roman" w:cs="Times New Roman"/>
          <w:i/>
          <w:iCs/>
          <w:kern w:val="2"/>
          <w:sz w:val="24"/>
          <w:szCs w:val="24"/>
          <w:lang w:eastAsia="zh-CN" w:bidi="hi-IN"/>
        </w:rPr>
        <w:t>Najas</w:t>
      </w:r>
      <w:proofErr w:type="spellEnd"/>
      <w:r w:rsidRPr="00A07F29">
        <w:rPr>
          <w:rFonts w:ascii="Times New Roman" w:eastAsia="Times New Roman" w:hAnsi="Times New Roman" w:cs="Times New Roman"/>
          <w:i/>
          <w:iCs/>
          <w:kern w:val="2"/>
          <w:sz w:val="24"/>
          <w:szCs w:val="24"/>
          <w:lang w:eastAsia="zh-CN" w:bidi="hi-IN"/>
        </w:rPr>
        <w:t xml:space="preserve"> audzēm</w:t>
      </w:r>
      <w:r w:rsidRPr="00A07F29">
        <w:rPr>
          <w:rFonts w:ascii="Times New Roman" w:eastAsia="Times New Roman" w:hAnsi="Times New Roman" w:cs="Times New Roman"/>
          <w:kern w:val="2"/>
          <w:sz w:val="24"/>
          <w:szCs w:val="24"/>
          <w:lang w:eastAsia="zh-CN" w:bidi="hi-IN"/>
        </w:rPr>
        <w:t xml:space="preserve">. Savukārt Dauguļu, Dziļais, </w:t>
      </w:r>
      <w:proofErr w:type="spellStart"/>
      <w:r w:rsidRPr="00A07F29">
        <w:rPr>
          <w:rFonts w:ascii="Times New Roman" w:eastAsia="Times New Roman" w:hAnsi="Times New Roman" w:cs="Times New Roman"/>
          <w:kern w:val="2"/>
          <w:sz w:val="24"/>
          <w:szCs w:val="24"/>
          <w:lang w:eastAsia="zh-CN" w:bidi="hi-IN"/>
        </w:rPr>
        <w:t>Krivoje</w:t>
      </w:r>
      <w:proofErr w:type="spellEnd"/>
      <w:r w:rsidRPr="00A07F29">
        <w:rPr>
          <w:rFonts w:ascii="Times New Roman" w:eastAsia="Times New Roman" w:hAnsi="Times New Roman" w:cs="Times New Roman"/>
          <w:kern w:val="2"/>
          <w:sz w:val="24"/>
          <w:szCs w:val="24"/>
          <w:lang w:eastAsia="zh-CN" w:bidi="hi-IN"/>
        </w:rPr>
        <w:t xml:space="preserve">, Lielais </w:t>
      </w:r>
      <w:proofErr w:type="spellStart"/>
      <w:r w:rsidRPr="00A07F29">
        <w:rPr>
          <w:rFonts w:ascii="Times New Roman" w:eastAsia="Times New Roman" w:hAnsi="Times New Roman" w:cs="Times New Roman"/>
          <w:kern w:val="2"/>
          <w:sz w:val="24"/>
          <w:szCs w:val="24"/>
          <w:lang w:eastAsia="zh-CN" w:bidi="hi-IN"/>
        </w:rPr>
        <w:t>Borvinkas</w:t>
      </w:r>
      <w:proofErr w:type="spellEnd"/>
      <w:r w:rsidRPr="00A07F29">
        <w:rPr>
          <w:rFonts w:ascii="Times New Roman" w:eastAsia="Times New Roman" w:hAnsi="Times New Roman" w:cs="Times New Roman"/>
          <w:kern w:val="2"/>
          <w:sz w:val="24"/>
          <w:szCs w:val="24"/>
          <w:lang w:eastAsia="zh-CN" w:bidi="hi-IN"/>
        </w:rPr>
        <w:t xml:space="preserve">, </w:t>
      </w:r>
      <w:proofErr w:type="spellStart"/>
      <w:r w:rsidRPr="00A07F29">
        <w:rPr>
          <w:rFonts w:ascii="Times New Roman" w:eastAsia="Times New Roman" w:hAnsi="Times New Roman" w:cs="Times New Roman"/>
          <w:kern w:val="2"/>
          <w:sz w:val="24"/>
          <w:szCs w:val="24"/>
          <w:lang w:eastAsia="zh-CN" w:bidi="hi-IN"/>
        </w:rPr>
        <w:t>Šilovkas</w:t>
      </w:r>
      <w:proofErr w:type="spellEnd"/>
      <w:r w:rsidRPr="00A07F29">
        <w:rPr>
          <w:rFonts w:ascii="Times New Roman" w:eastAsia="Times New Roman" w:hAnsi="Times New Roman" w:cs="Times New Roman"/>
          <w:kern w:val="2"/>
          <w:sz w:val="24"/>
          <w:szCs w:val="24"/>
          <w:lang w:eastAsia="zh-CN" w:bidi="hi-IN"/>
        </w:rPr>
        <w:t xml:space="preserve">, </w:t>
      </w:r>
      <w:proofErr w:type="spellStart"/>
      <w:r w:rsidRPr="00A07F29">
        <w:rPr>
          <w:rFonts w:ascii="Times New Roman" w:eastAsia="Times New Roman" w:hAnsi="Times New Roman" w:cs="Times New Roman"/>
          <w:kern w:val="2"/>
          <w:sz w:val="24"/>
          <w:szCs w:val="24"/>
          <w:lang w:eastAsia="zh-CN" w:bidi="hi-IN"/>
        </w:rPr>
        <w:t>Varnaviču</w:t>
      </w:r>
      <w:proofErr w:type="spellEnd"/>
      <w:r w:rsidRPr="00A07F29">
        <w:rPr>
          <w:rFonts w:ascii="Times New Roman" w:eastAsia="Times New Roman" w:hAnsi="Times New Roman" w:cs="Times New Roman"/>
          <w:kern w:val="2"/>
          <w:sz w:val="24"/>
          <w:szCs w:val="24"/>
          <w:lang w:eastAsia="zh-CN" w:bidi="hi-IN"/>
        </w:rPr>
        <w:t xml:space="preserve"> </w:t>
      </w:r>
      <w:r w:rsidRPr="00A07F29">
        <w:rPr>
          <w:rFonts w:ascii="Times New Roman" w:eastAsia="Times New Roman" w:hAnsi="Times New Roman" w:cs="Times New Roman"/>
          <w:kern w:val="2"/>
          <w:sz w:val="24"/>
          <w:szCs w:val="24"/>
          <w:lang w:eastAsia="zh-CN" w:bidi="hi-IN"/>
        </w:rPr>
        <w:lastRenderedPageBreak/>
        <w:t xml:space="preserve">un </w:t>
      </w:r>
      <w:proofErr w:type="spellStart"/>
      <w:r w:rsidRPr="00A07F29">
        <w:rPr>
          <w:rFonts w:ascii="Times New Roman" w:eastAsia="Times New Roman" w:hAnsi="Times New Roman" w:cs="Times New Roman"/>
          <w:kern w:val="2"/>
          <w:sz w:val="24"/>
          <w:szCs w:val="24"/>
          <w:lang w:eastAsia="zh-CN" w:bidi="hi-IN"/>
        </w:rPr>
        <w:t>Riņģa</w:t>
      </w:r>
      <w:proofErr w:type="spellEnd"/>
      <w:r w:rsidRPr="00A07F29">
        <w:rPr>
          <w:rFonts w:ascii="Times New Roman" w:eastAsia="Times New Roman" w:hAnsi="Times New Roman" w:cs="Times New Roman"/>
          <w:kern w:val="2"/>
          <w:sz w:val="24"/>
          <w:szCs w:val="24"/>
          <w:lang w:eastAsia="zh-CN" w:bidi="hi-IN"/>
        </w:rPr>
        <w:t xml:space="preserve"> ezers atbilst arī Latvijas </w:t>
      </w:r>
      <w:r w:rsidR="0048463A">
        <w:rPr>
          <w:rFonts w:ascii="Times New Roman" w:eastAsia="Times New Roman" w:hAnsi="Times New Roman" w:cs="Times New Roman"/>
          <w:kern w:val="2"/>
          <w:sz w:val="24"/>
          <w:szCs w:val="24"/>
          <w:lang w:eastAsia="zh-CN" w:bidi="hi-IN"/>
        </w:rPr>
        <w:t>īpaši aizsargājamam</w:t>
      </w:r>
      <w:r w:rsidRPr="00A07F29">
        <w:rPr>
          <w:rFonts w:ascii="Times New Roman" w:eastAsia="Times New Roman" w:hAnsi="Times New Roman" w:cs="Times New Roman"/>
          <w:kern w:val="2"/>
          <w:sz w:val="24"/>
          <w:szCs w:val="24"/>
          <w:lang w:eastAsia="zh-CN" w:bidi="hi-IN"/>
        </w:rPr>
        <w:t xml:space="preserve"> biotopam </w:t>
      </w:r>
      <w:r w:rsidRPr="00A07F29">
        <w:rPr>
          <w:rFonts w:ascii="Times New Roman" w:eastAsia="Times New Roman" w:hAnsi="Times New Roman" w:cs="Times New Roman"/>
          <w:iCs/>
          <w:kern w:val="2"/>
          <w:sz w:val="24"/>
          <w:szCs w:val="24"/>
          <w:lang w:eastAsia="zh-CN" w:bidi="hi-IN"/>
        </w:rPr>
        <w:t>4.14.</w:t>
      </w:r>
      <w:r w:rsidR="001239F5" w:rsidRPr="00A07F29">
        <w:rPr>
          <w:rFonts w:ascii="Times New Roman" w:eastAsia="Times New Roman" w:hAnsi="Times New Roman" w:cs="Times New Roman"/>
          <w:i/>
          <w:iCs/>
          <w:kern w:val="2"/>
          <w:sz w:val="24"/>
          <w:szCs w:val="24"/>
          <w:lang w:eastAsia="zh-CN" w:bidi="hi-IN"/>
        </w:rPr>
        <w:t> </w:t>
      </w:r>
      <w:r w:rsidRPr="00A07F29">
        <w:rPr>
          <w:rFonts w:ascii="Times New Roman" w:eastAsia="Times New Roman" w:hAnsi="Times New Roman" w:cs="Times New Roman"/>
          <w:i/>
          <w:iCs/>
          <w:kern w:val="2"/>
          <w:sz w:val="24"/>
          <w:szCs w:val="24"/>
          <w:lang w:eastAsia="zh-CN" w:bidi="hi-IN"/>
        </w:rPr>
        <w:t xml:space="preserve">Ezeri ar piekrastē dominējošu </w:t>
      </w:r>
      <w:proofErr w:type="spellStart"/>
      <w:r w:rsidRPr="00A07F29">
        <w:rPr>
          <w:rFonts w:ascii="Times New Roman" w:eastAsia="Times New Roman" w:hAnsi="Times New Roman" w:cs="Times New Roman"/>
          <w:i/>
          <w:iCs/>
          <w:kern w:val="2"/>
          <w:sz w:val="24"/>
          <w:szCs w:val="24"/>
          <w:lang w:eastAsia="zh-CN" w:bidi="hi-IN"/>
        </w:rPr>
        <w:t>minerālgrunti</w:t>
      </w:r>
      <w:proofErr w:type="spellEnd"/>
      <w:r w:rsidRPr="00A07F29">
        <w:rPr>
          <w:rFonts w:ascii="Times New Roman" w:eastAsia="Times New Roman" w:hAnsi="Times New Roman" w:cs="Times New Roman"/>
          <w:kern w:val="2"/>
          <w:sz w:val="24"/>
          <w:szCs w:val="24"/>
          <w:lang w:eastAsia="zh-CN" w:bidi="hi-IN"/>
        </w:rPr>
        <w:t>.</w:t>
      </w:r>
    </w:p>
    <w:p w14:paraId="3C82EC3E" w14:textId="3B7C3FB4" w:rsidR="00BE5DB7" w:rsidRPr="00A07F29" w:rsidRDefault="0044326F" w:rsidP="00EF3715">
      <w:pPr>
        <w:spacing w:after="120" w:line="240" w:lineRule="auto"/>
        <w:ind w:firstLine="851"/>
        <w:jc w:val="both"/>
        <w:rPr>
          <w:rFonts w:ascii="Liberation Serif" w:eastAsia="Noto Sans CJK SC" w:hAnsi="Liberation Serif" w:cs="Lohit Devanagari"/>
          <w:kern w:val="2"/>
          <w:sz w:val="24"/>
          <w:szCs w:val="24"/>
          <w:lang w:eastAsia="zh-CN" w:bidi="hi-IN"/>
        </w:rPr>
      </w:pPr>
      <w:r w:rsidRPr="00A07F29">
        <w:rPr>
          <w:rFonts w:ascii="Times New Roman" w:eastAsia="Times New Roman" w:hAnsi="Times New Roman" w:cs="Times New Roman"/>
          <w:kern w:val="2"/>
          <w:sz w:val="24"/>
          <w:szCs w:val="24"/>
          <w:lang w:eastAsia="zh-CN" w:bidi="hi-IN"/>
        </w:rPr>
        <w:t xml:space="preserve">Dabas vērtību ziņā nozīmīgākie </w:t>
      </w:r>
      <w:r w:rsidRPr="00A07F29">
        <w:rPr>
          <w:rFonts w:ascii="Times New Roman" w:eastAsia="Noto Sans CJK SC" w:hAnsi="Times New Roman" w:cs="Lohit Devanagari"/>
          <w:kern w:val="2"/>
          <w:sz w:val="24"/>
          <w:szCs w:val="24"/>
          <w:lang w:eastAsia="zh-CN" w:bidi="hi-IN"/>
        </w:rPr>
        <w:t xml:space="preserve">AAA “Augšdaugava” </w:t>
      </w:r>
      <w:r w:rsidRPr="00A07F29">
        <w:rPr>
          <w:rFonts w:ascii="Times New Roman" w:eastAsia="Times New Roman" w:hAnsi="Times New Roman" w:cs="Times New Roman"/>
          <w:kern w:val="2"/>
          <w:sz w:val="24"/>
          <w:szCs w:val="24"/>
          <w:lang w:eastAsia="zh-CN" w:bidi="hi-IN"/>
        </w:rPr>
        <w:t xml:space="preserve">ir </w:t>
      </w:r>
      <w:r w:rsidR="00BE5DB7" w:rsidRPr="00A07F29">
        <w:rPr>
          <w:rFonts w:ascii="Times New Roman" w:eastAsia="Times New Roman" w:hAnsi="Times New Roman" w:cs="Times New Roman"/>
          <w:kern w:val="2"/>
          <w:sz w:val="24"/>
          <w:szCs w:val="24"/>
          <w:lang w:eastAsia="zh-CN" w:bidi="hi-IN"/>
        </w:rPr>
        <w:t xml:space="preserve">labas kvalitātes </w:t>
      </w:r>
      <w:proofErr w:type="spellStart"/>
      <w:r w:rsidR="00BE5DB7" w:rsidRPr="00A07F29">
        <w:rPr>
          <w:rFonts w:ascii="Times New Roman" w:eastAsia="Times New Roman" w:hAnsi="Times New Roman" w:cs="Times New Roman"/>
          <w:kern w:val="2"/>
          <w:sz w:val="24"/>
          <w:szCs w:val="24"/>
          <w:lang w:eastAsia="zh-CN" w:bidi="hi-IN"/>
        </w:rPr>
        <w:t>eitrofie</w:t>
      </w:r>
      <w:proofErr w:type="spellEnd"/>
      <w:r w:rsidR="00BE5DB7" w:rsidRPr="00A07F29">
        <w:rPr>
          <w:rFonts w:ascii="Times New Roman" w:eastAsia="Times New Roman" w:hAnsi="Times New Roman" w:cs="Times New Roman"/>
          <w:kern w:val="2"/>
          <w:sz w:val="24"/>
          <w:szCs w:val="24"/>
          <w:lang w:eastAsia="zh-CN" w:bidi="hi-IN"/>
        </w:rPr>
        <w:t xml:space="preserve"> </w:t>
      </w:r>
      <w:proofErr w:type="spellStart"/>
      <w:r w:rsidR="00BE5DB7" w:rsidRPr="00A07F29">
        <w:rPr>
          <w:rFonts w:ascii="Times New Roman" w:eastAsia="Times New Roman" w:hAnsi="Times New Roman" w:cs="Times New Roman"/>
          <w:kern w:val="2"/>
          <w:sz w:val="24"/>
          <w:szCs w:val="24"/>
          <w:lang w:eastAsia="zh-CN" w:bidi="hi-IN"/>
        </w:rPr>
        <w:t>dzidrūdens</w:t>
      </w:r>
      <w:proofErr w:type="spellEnd"/>
      <w:r w:rsidR="00BE5DB7" w:rsidRPr="00A07F29">
        <w:rPr>
          <w:rFonts w:ascii="Times New Roman" w:eastAsia="Times New Roman" w:hAnsi="Times New Roman" w:cs="Times New Roman"/>
          <w:kern w:val="2"/>
          <w:sz w:val="24"/>
          <w:szCs w:val="24"/>
          <w:lang w:eastAsia="zh-CN" w:bidi="hi-IN"/>
        </w:rPr>
        <w:t xml:space="preserve"> ezeri un </w:t>
      </w:r>
      <w:proofErr w:type="spellStart"/>
      <w:r w:rsidR="00BE5DB7" w:rsidRPr="00A07F29">
        <w:rPr>
          <w:rFonts w:ascii="Times New Roman" w:eastAsia="Times New Roman" w:hAnsi="Times New Roman" w:cs="Times New Roman"/>
          <w:kern w:val="2"/>
          <w:sz w:val="24"/>
          <w:szCs w:val="24"/>
          <w:lang w:eastAsia="zh-CN" w:bidi="hi-IN"/>
        </w:rPr>
        <w:t>diseitrofie</w:t>
      </w:r>
      <w:proofErr w:type="spellEnd"/>
      <w:r w:rsidR="00BE5DB7" w:rsidRPr="00A07F29">
        <w:rPr>
          <w:rFonts w:ascii="Times New Roman" w:eastAsia="Times New Roman" w:hAnsi="Times New Roman" w:cs="Times New Roman"/>
          <w:kern w:val="2"/>
          <w:sz w:val="24"/>
          <w:szCs w:val="24"/>
          <w:lang w:eastAsia="zh-CN" w:bidi="hi-IN"/>
        </w:rPr>
        <w:t xml:space="preserve"> </w:t>
      </w:r>
      <w:proofErr w:type="spellStart"/>
      <w:r w:rsidR="00BE5DB7" w:rsidRPr="00A07F29">
        <w:rPr>
          <w:rFonts w:ascii="Times New Roman" w:eastAsia="Times New Roman" w:hAnsi="Times New Roman" w:cs="Times New Roman"/>
          <w:kern w:val="2"/>
          <w:sz w:val="24"/>
          <w:szCs w:val="24"/>
          <w:lang w:eastAsia="zh-CN" w:bidi="hi-IN"/>
        </w:rPr>
        <w:t>brūnūdens</w:t>
      </w:r>
      <w:proofErr w:type="spellEnd"/>
      <w:r w:rsidR="00BE5DB7" w:rsidRPr="00A07F29">
        <w:rPr>
          <w:rFonts w:ascii="Times New Roman" w:eastAsia="Times New Roman" w:hAnsi="Times New Roman" w:cs="Times New Roman"/>
          <w:kern w:val="2"/>
          <w:sz w:val="24"/>
          <w:szCs w:val="24"/>
          <w:lang w:eastAsia="zh-CN" w:bidi="hi-IN"/>
        </w:rPr>
        <w:t xml:space="preserve"> ezeri (pārsvarā antropogēni maz ietekmēti, pret piesārņošanu jutīgi un ūdensšķirtnes zonā esoši mežezeri un mežmalu ezeri ar maziem sateces baseiniem un garu ūdens apmaiņas periodu)</w:t>
      </w:r>
      <w:r w:rsidR="009B0158" w:rsidRPr="00A07F29">
        <w:rPr>
          <w:rFonts w:ascii="Times New Roman" w:eastAsia="Times New Roman" w:hAnsi="Times New Roman" w:cs="Times New Roman"/>
          <w:kern w:val="2"/>
          <w:sz w:val="24"/>
          <w:szCs w:val="24"/>
          <w:lang w:eastAsia="zh-CN" w:bidi="hi-IN"/>
        </w:rPr>
        <w:t>,</w:t>
      </w:r>
      <w:r w:rsidR="00BE5DB7" w:rsidRPr="00A07F29">
        <w:rPr>
          <w:rFonts w:ascii="Times New Roman" w:eastAsia="Times New Roman" w:hAnsi="Times New Roman" w:cs="Times New Roman"/>
          <w:kern w:val="2"/>
          <w:sz w:val="24"/>
          <w:szCs w:val="24"/>
          <w:lang w:eastAsia="zh-CN" w:bidi="hi-IN"/>
        </w:rPr>
        <w:t xml:space="preserve"> ezeri, </w:t>
      </w:r>
      <w:r w:rsidRPr="00A07F29">
        <w:rPr>
          <w:rFonts w:ascii="Times New Roman" w:eastAsia="Times New Roman" w:hAnsi="Times New Roman" w:cs="Times New Roman"/>
          <w:kern w:val="2"/>
          <w:sz w:val="24"/>
          <w:szCs w:val="24"/>
          <w:lang w:eastAsia="zh-CN" w:bidi="hi-IN"/>
        </w:rPr>
        <w:t xml:space="preserve">kuru ūdens </w:t>
      </w:r>
      <w:proofErr w:type="spellStart"/>
      <w:r w:rsidRPr="00A07F29">
        <w:rPr>
          <w:rFonts w:ascii="Times New Roman" w:eastAsia="Times New Roman" w:hAnsi="Times New Roman" w:cs="Times New Roman"/>
          <w:kern w:val="2"/>
          <w:sz w:val="24"/>
          <w:szCs w:val="24"/>
          <w:lang w:eastAsia="zh-CN" w:bidi="hi-IN"/>
        </w:rPr>
        <w:t>pietecē</w:t>
      </w:r>
      <w:proofErr w:type="spellEnd"/>
      <w:r w:rsidRPr="00A07F29">
        <w:rPr>
          <w:rFonts w:ascii="Times New Roman" w:eastAsia="Times New Roman" w:hAnsi="Times New Roman" w:cs="Times New Roman"/>
          <w:kern w:val="2"/>
          <w:sz w:val="24"/>
          <w:szCs w:val="24"/>
          <w:lang w:eastAsia="zh-CN" w:bidi="hi-IN"/>
        </w:rPr>
        <w:t xml:space="preserve"> nozīmīga loma ir </w:t>
      </w:r>
      <w:r w:rsidR="00BE5DB7" w:rsidRPr="00A07F29">
        <w:rPr>
          <w:rFonts w:ascii="Times New Roman" w:eastAsia="Times New Roman" w:hAnsi="Times New Roman" w:cs="Times New Roman"/>
          <w:kern w:val="2"/>
          <w:sz w:val="24"/>
          <w:szCs w:val="24"/>
          <w:lang w:eastAsia="zh-CN" w:bidi="hi-IN"/>
        </w:rPr>
        <w:t xml:space="preserve">avotiem un </w:t>
      </w:r>
      <w:proofErr w:type="spellStart"/>
      <w:r w:rsidR="00BE5DB7" w:rsidRPr="00A07F29">
        <w:rPr>
          <w:rFonts w:ascii="Times New Roman" w:eastAsia="Times New Roman" w:hAnsi="Times New Roman" w:cs="Times New Roman"/>
          <w:kern w:val="2"/>
          <w:sz w:val="24"/>
          <w:szCs w:val="24"/>
          <w:lang w:eastAsia="zh-CN" w:bidi="hi-IN"/>
        </w:rPr>
        <w:t>avotupēm</w:t>
      </w:r>
      <w:proofErr w:type="spellEnd"/>
      <w:r w:rsidR="00BE5DB7" w:rsidRPr="00A07F29">
        <w:rPr>
          <w:rFonts w:ascii="Times New Roman" w:eastAsia="Times New Roman" w:hAnsi="Times New Roman" w:cs="Times New Roman"/>
          <w:kern w:val="2"/>
          <w:sz w:val="24"/>
          <w:szCs w:val="24"/>
          <w:lang w:eastAsia="zh-CN" w:bidi="hi-IN"/>
        </w:rPr>
        <w:t xml:space="preserve">, </w:t>
      </w:r>
      <w:r w:rsidRPr="00A07F29">
        <w:rPr>
          <w:rFonts w:ascii="Times New Roman" w:eastAsia="Times New Roman" w:hAnsi="Times New Roman" w:cs="Times New Roman"/>
          <w:kern w:val="2"/>
          <w:sz w:val="24"/>
          <w:szCs w:val="24"/>
          <w:lang w:eastAsia="zh-CN" w:bidi="hi-IN"/>
        </w:rPr>
        <w:t xml:space="preserve">kā arī </w:t>
      </w:r>
      <w:r w:rsidR="00BE5DB7" w:rsidRPr="00A07F29">
        <w:rPr>
          <w:rFonts w:ascii="Times New Roman" w:eastAsia="Times New Roman" w:hAnsi="Times New Roman" w:cs="Times New Roman"/>
          <w:kern w:val="2"/>
          <w:sz w:val="24"/>
          <w:szCs w:val="24"/>
          <w:lang w:eastAsia="zh-CN" w:bidi="hi-IN"/>
        </w:rPr>
        <w:t>ezeri, kuros sastopamas retas un aizsargājamas ūdensaugu sugas</w:t>
      </w:r>
      <w:r w:rsidR="00AE0AD8" w:rsidRPr="00A07F29">
        <w:rPr>
          <w:rFonts w:ascii="Times New Roman" w:eastAsia="Times New Roman" w:hAnsi="Times New Roman" w:cs="Times New Roman"/>
          <w:kern w:val="2"/>
          <w:sz w:val="24"/>
          <w:szCs w:val="24"/>
          <w:lang w:eastAsia="zh-CN" w:bidi="hi-IN"/>
        </w:rPr>
        <w:t>, un ezeri,</w:t>
      </w:r>
      <w:r w:rsidR="00BE5DB7" w:rsidRPr="00A07F29">
        <w:rPr>
          <w:rFonts w:ascii="Times New Roman" w:eastAsia="Times New Roman" w:hAnsi="Times New Roman" w:cs="Times New Roman"/>
          <w:kern w:val="2"/>
          <w:sz w:val="24"/>
          <w:szCs w:val="24"/>
          <w:lang w:eastAsia="zh-CN" w:bidi="hi-IN"/>
        </w:rPr>
        <w:t xml:space="preserve"> </w:t>
      </w:r>
      <w:r w:rsidR="00AE0AD8" w:rsidRPr="00A07F29">
        <w:rPr>
          <w:rFonts w:ascii="Times New Roman" w:eastAsia="Times New Roman" w:hAnsi="Times New Roman" w:cs="Times New Roman"/>
          <w:kern w:val="2"/>
          <w:sz w:val="24"/>
          <w:szCs w:val="24"/>
          <w:lang w:eastAsia="zh-CN" w:bidi="hi-IN"/>
        </w:rPr>
        <w:t xml:space="preserve">kuru krastos sastopams retām un aizsargājamām sugām bagāts ES un Latvijas aizsargājamais biotops 7140 </w:t>
      </w:r>
      <w:r w:rsidR="00AE0AD8" w:rsidRPr="00A07F29">
        <w:rPr>
          <w:rFonts w:ascii="Times New Roman" w:eastAsia="Times New Roman" w:hAnsi="Times New Roman" w:cs="Times New Roman"/>
          <w:i/>
          <w:iCs/>
          <w:kern w:val="2"/>
          <w:sz w:val="24"/>
          <w:szCs w:val="24"/>
          <w:lang w:eastAsia="zh-CN" w:bidi="hi-IN"/>
        </w:rPr>
        <w:t>Pārejas purvi un slīkšņas</w:t>
      </w:r>
      <w:r w:rsidR="00AE0AD8" w:rsidRPr="00A07F29">
        <w:rPr>
          <w:rFonts w:ascii="Times New Roman" w:eastAsia="Times New Roman" w:hAnsi="Times New Roman" w:cs="Times New Roman"/>
          <w:kern w:val="2"/>
          <w:sz w:val="24"/>
          <w:szCs w:val="24"/>
          <w:lang w:eastAsia="zh-CN" w:bidi="hi-IN"/>
        </w:rPr>
        <w:t xml:space="preserve"> (ezeru un to dabas vērtību detāls apraksts </w:t>
      </w:r>
      <w:r w:rsidR="00BE5DB7" w:rsidRPr="00A07F29">
        <w:rPr>
          <w:rFonts w:ascii="Times New Roman" w:eastAsia="Times New Roman" w:hAnsi="Times New Roman" w:cs="Times New Roman"/>
          <w:kern w:val="2"/>
          <w:sz w:val="24"/>
          <w:szCs w:val="24"/>
          <w:lang w:eastAsia="zh-CN" w:bidi="hi-IN"/>
        </w:rPr>
        <w:t>2.</w:t>
      </w:r>
      <w:r w:rsidR="00AE0AD8" w:rsidRPr="00A07F29">
        <w:rPr>
          <w:rFonts w:ascii="Times New Roman" w:eastAsia="Times New Roman" w:hAnsi="Times New Roman" w:cs="Times New Roman"/>
          <w:kern w:val="2"/>
          <w:sz w:val="24"/>
          <w:szCs w:val="24"/>
          <w:lang w:eastAsia="zh-CN" w:bidi="hi-IN"/>
        </w:rPr>
        <w:t>1</w:t>
      </w:r>
      <w:r w:rsidR="00BE5DB7" w:rsidRPr="00A07F29">
        <w:rPr>
          <w:rFonts w:ascii="Times New Roman" w:eastAsia="Times New Roman" w:hAnsi="Times New Roman" w:cs="Times New Roman"/>
          <w:kern w:val="2"/>
          <w:sz w:val="24"/>
          <w:szCs w:val="24"/>
          <w:lang w:eastAsia="zh-CN" w:bidi="hi-IN"/>
        </w:rPr>
        <w:t>.</w:t>
      </w:r>
      <w:r w:rsidR="00211C6C" w:rsidRPr="00A07F29">
        <w:rPr>
          <w:rFonts w:ascii="Times New Roman" w:eastAsia="Times New Roman" w:hAnsi="Times New Roman" w:cs="Times New Roman"/>
          <w:kern w:val="2"/>
          <w:sz w:val="24"/>
          <w:szCs w:val="24"/>
          <w:lang w:eastAsia="zh-CN" w:bidi="hi-IN"/>
        </w:rPr>
        <w:t> </w:t>
      </w:r>
      <w:r w:rsidR="00BE5DB7" w:rsidRPr="00A07F29">
        <w:rPr>
          <w:rFonts w:ascii="Times New Roman" w:eastAsia="Times New Roman" w:hAnsi="Times New Roman" w:cs="Times New Roman"/>
          <w:kern w:val="2"/>
          <w:sz w:val="24"/>
          <w:szCs w:val="24"/>
          <w:lang w:eastAsia="zh-CN" w:bidi="hi-IN"/>
        </w:rPr>
        <w:t>pielikumā</w:t>
      </w:r>
      <w:r w:rsidRPr="00A07F29">
        <w:rPr>
          <w:rFonts w:ascii="Times New Roman" w:eastAsia="Times New Roman" w:hAnsi="Times New Roman" w:cs="Times New Roman"/>
          <w:kern w:val="2"/>
          <w:sz w:val="24"/>
          <w:szCs w:val="24"/>
          <w:lang w:eastAsia="zh-CN" w:bidi="hi-IN"/>
        </w:rPr>
        <w:t xml:space="preserve">, ezeros un to krastos konstatēto aizsargājamo augu sugu apraksts arī </w:t>
      </w:r>
      <w:r w:rsidR="00E94290" w:rsidRPr="00A07F29">
        <w:rPr>
          <w:rFonts w:ascii="Times New Roman" w:eastAsia="Times New Roman" w:hAnsi="Times New Roman" w:cs="Times New Roman"/>
          <w:kern w:val="2"/>
          <w:sz w:val="24"/>
          <w:szCs w:val="24"/>
          <w:lang w:eastAsia="zh-CN" w:bidi="hi-IN"/>
        </w:rPr>
        <w:t>DA plāna 4.4.3., 4.4.4 un 4.5.</w:t>
      </w:r>
      <w:r w:rsidR="00211C6C" w:rsidRPr="00A07F29">
        <w:rPr>
          <w:rFonts w:ascii="Times New Roman" w:eastAsia="Times New Roman" w:hAnsi="Times New Roman" w:cs="Times New Roman"/>
          <w:kern w:val="2"/>
          <w:sz w:val="24"/>
          <w:szCs w:val="24"/>
          <w:lang w:eastAsia="zh-CN" w:bidi="hi-IN"/>
        </w:rPr>
        <w:t> </w:t>
      </w:r>
      <w:r w:rsidR="00E94290" w:rsidRPr="00A07F29">
        <w:rPr>
          <w:rFonts w:ascii="Times New Roman" w:eastAsia="Times New Roman" w:hAnsi="Times New Roman" w:cs="Times New Roman"/>
          <w:kern w:val="2"/>
          <w:sz w:val="24"/>
          <w:szCs w:val="24"/>
          <w:lang w:eastAsia="zh-CN" w:bidi="hi-IN"/>
        </w:rPr>
        <w:t>nodaļās</w:t>
      </w:r>
      <w:r w:rsidR="00BE5DB7" w:rsidRPr="00A07F29">
        <w:rPr>
          <w:rFonts w:ascii="Times New Roman" w:eastAsia="Times New Roman" w:hAnsi="Times New Roman" w:cs="Times New Roman"/>
          <w:kern w:val="2"/>
          <w:sz w:val="24"/>
          <w:szCs w:val="24"/>
          <w:lang w:eastAsia="zh-CN" w:bidi="hi-IN"/>
        </w:rPr>
        <w:t>).</w:t>
      </w:r>
    </w:p>
    <w:p w14:paraId="3E4335C5" w14:textId="0EA3FA5B" w:rsidR="0069752F" w:rsidRPr="00A07F29" w:rsidRDefault="0069752F" w:rsidP="00E56E66">
      <w:pPr>
        <w:widowControl w:val="0"/>
        <w:spacing w:after="120" w:line="240" w:lineRule="auto"/>
        <w:ind w:right="26" w:firstLine="851"/>
        <w:jc w:val="both"/>
        <w:rPr>
          <w:rFonts w:ascii="Times New Roman" w:eastAsia="Times New Roman" w:hAnsi="Times New Roman" w:cs="Times New Roman"/>
          <w:kern w:val="2"/>
          <w:sz w:val="24"/>
          <w:szCs w:val="24"/>
          <w:lang w:eastAsia="zh-CN" w:bidi="hi-IN"/>
        </w:rPr>
      </w:pPr>
      <w:r w:rsidRPr="00A07F29">
        <w:rPr>
          <w:rFonts w:ascii="Times New Roman" w:eastAsia="Noto Sans CJK SC" w:hAnsi="Times New Roman" w:cs="Lohit Devanagari"/>
          <w:kern w:val="2"/>
          <w:sz w:val="24"/>
          <w:szCs w:val="24"/>
          <w:lang w:eastAsia="zh-CN" w:bidi="hi-IN"/>
        </w:rPr>
        <w:t xml:space="preserve">Lielākajai daļai </w:t>
      </w:r>
      <w:r w:rsidR="00BE5DB7" w:rsidRPr="00A07F29">
        <w:rPr>
          <w:rFonts w:ascii="Times New Roman" w:eastAsia="Noto Sans CJK SC" w:hAnsi="Times New Roman" w:cs="Lohit Devanagari"/>
          <w:kern w:val="2"/>
          <w:sz w:val="24"/>
          <w:szCs w:val="24"/>
          <w:lang w:eastAsia="zh-CN" w:bidi="hi-IN"/>
        </w:rPr>
        <w:t xml:space="preserve">AAA “Augšdaugava” </w:t>
      </w:r>
      <w:r w:rsidR="00BE5DB7" w:rsidRPr="00A07F29">
        <w:rPr>
          <w:rFonts w:ascii="Times New Roman" w:eastAsia="Times New Roman" w:hAnsi="Times New Roman" w:cs="Times New Roman"/>
          <w:kern w:val="2"/>
          <w:sz w:val="24"/>
          <w:szCs w:val="24"/>
          <w:lang w:eastAsia="zh-CN" w:bidi="hi-IN"/>
        </w:rPr>
        <w:t xml:space="preserve">ezeru </w:t>
      </w:r>
      <w:r w:rsidRPr="00A07F29">
        <w:rPr>
          <w:rFonts w:ascii="Times New Roman" w:eastAsia="Times New Roman" w:hAnsi="Times New Roman" w:cs="Times New Roman"/>
          <w:kern w:val="2"/>
          <w:sz w:val="24"/>
          <w:szCs w:val="24"/>
          <w:lang w:eastAsia="zh-CN" w:bidi="hi-IN"/>
        </w:rPr>
        <w:t xml:space="preserve">ir ļoti nozīmīga </w:t>
      </w:r>
      <w:r w:rsidR="00BE5DB7" w:rsidRPr="00A07F29">
        <w:rPr>
          <w:rFonts w:ascii="Times New Roman" w:eastAsia="Times New Roman" w:hAnsi="Times New Roman" w:cs="Times New Roman"/>
          <w:kern w:val="2"/>
          <w:sz w:val="24"/>
          <w:szCs w:val="24"/>
          <w:lang w:eastAsia="zh-CN" w:bidi="hi-IN"/>
        </w:rPr>
        <w:t xml:space="preserve">ainaviskā un estētiskā vērtība. Īpaši tas attiecas uz </w:t>
      </w:r>
      <w:proofErr w:type="spellStart"/>
      <w:r w:rsidR="00BE5DB7" w:rsidRPr="00A07F29">
        <w:rPr>
          <w:rFonts w:ascii="Times New Roman" w:eastAsia="Times New Roman" w:hAnsi="Times New Roman" w:cs="Times New Roman"/>
          <w:kern w:val="2"/>
          <w:sz w:val="24"/>
          <w:szCs w:val="24"/>
          <w:lang w:eastAsia="zh-CN" w:bidi="hi-IN"/>
        </w:rPr>
        <w:t>Šilovkas</w:t>
      </w:r>
      <w:proofErr w:type="spellEnd"/>
      <w:r w:rsidR="00BE5DB7" w:rsidRPr="00A07F29">
        <w:rPr>
          <w:rFonts w:ascii="Times New Roman" w:eastAsia="Times New Roman" w:hAnsi="Times New Roman" w:cs="Times New Roman"/>
          <w:kern w:val="2"/>
          <w:sz w:val="24"/>
          <w:szCs w:val="24"/>
          <w:lang w:eastAsia="zh-CN" w:bidi="hi-IN"/>
        </w:rPr>
        <w:t xml:space="preserve"> ezeru, kā arī Dauguļu, Dziļo, </w:t>
      </w:r>
      <w:proofErr w:type="spellStart"/>
      <w:r w:rsidR="00BE5DB7" w:rsidRPr="00A07F29">
        <w:rPr>
          <w:rFonts w:ascii="Times New Roman" w:eastAsia="Times New Roman" w:hAnsi="Times New Roman" w:cs="Times New Roman"/>
          <w:kern w:val="2"/>
          <w:sz w:val="24"/>
          <w:szCs w:val="24"/>
          <w:lang w:eastAsia="zh-CN" w:bidi="hi-IN"/>
        </w:rPr>
        <w:t>Jabloņkas</w:t>
      </w:r>
      <w:proofErr w:type="spellEnd"/>
      <w:r w:rsidR="00BE5DB7" w:rsidRPr="00A07F29">
        <w:rPr>
          <w:rFonts w:ascii="Times New Roman" w:eastAsia="Times New Roman" w:hAnsi="Times New Roman" w:cs="Times New Roman"/>
          <w:kern w:val="2"/>
          <w:sz w:val="24"/>
          <w:szCs w:val="24"/>
          <w:lang w:eastAsia="zh-CN" w:bidi="hi-IN"/>
        </w:rPr>
        <w:t xml:space="preserve">, Kaudzīšu, </w:t>
      </w:r>
      <w:proofErr w:type="spellStart"/>
      <w:r w:rsidR="00BE5DB7" w:rsidRPr="00A07F29">
        <w:rPr>
          <w:rFonts w:ascii="Times New Roman" w:eastAsia="Times New Roman" w:hAnsi="Times New Roman" w:cs="Times New Roman"/>
          <w:kern w:val="2"/>
          <w:sz w:val="24"/>
          <w:szCs w:val="24"/>
          <w:lang w:eastAsia="zh-CN" w:bidi="hi-IN"/>
        </w:rPr>
        <w:t>Krivoje</w:t>
      </w:r>
      <w:proofErr w:type="spellEnd"/>
      <w:r w:rsidR="00BE5DB7" w:rsidRPr="00A07F29">
        <w:rPr>
          <w:rFonts w:ascii="Times New Roman" w:eastAsia="Times New Roman" w:hAnsi="Times New Roman" w:cs="Times New Roman"/>
          <w:kern w:val="2"/>
          <w:sz w:val="24"/>
          <w:szCs w:val="24"/>
          <w:lang w:eastAsia="zh-CN" w:bidi="hi-IN"/>
        </w:rPr>
        <w:t xml:space="preserve">, </w:t>
      </w:r>
      <w:proofErr w:type="spellStart"/>
      <w:r w:rsidR="00BE5DB7" w:rsidRPr="00A07F29">
        <w:rPr>
          <w:rFonts w:ascii="Times New Roman" w:eastAsia="Times New Roman" w:hAnsi="Times New Roman" w:cs="Times New Roman"/>
          <w:kern w:val="2"/>
          <w:sz w:val="24"/>
          <w:szCs w:val="24"/>
          <w:lang w:eastAsia="zh-CN" w:bidi="hi-IN"/>
        </w:rPr>
        <w:t>Lukštānu</w:t>
      </w:r>
      <w:proofErr w:type="spellEnd"/>
      <w:r w:rsidR="00BE5DB7" w:rsidRPr="00A07F29">
        <w:rPr>
          <w:rFonts w:ascii="Times New Roman" w:eastAsia="Times New Roman" w:hAnsi="Times New Roman" w:cs="Times New Roman"/>
          <w:kern w:val="2"/>
          <w:sz w:val="24"/>
          <w:szCs w:val="24"/>
          <w:lang w:eastAsia="zh-CN" w:bidi="hi-IN"/>
        </w:rPr>
        <w:t xml:space="preserve">, </w:t>
      </w:r>
      <w:proofErr w:type="spellStart"/>
      <w:r w:rsidR="00BE5DB7" w:rsidRPr="00A07F29">
        <w:rPr>
          <w:rFonts w:ascii="Times New Roman" w:eastAsia="Times New Roman" w:hAnsi="Times New Roman" w:cs="Times New Roman"/>
          <w:kern w:val="2"/>
          <w:sz w:val="24"/>
          <w:szCs w:val="24"/>
          <w:lang w:eastAsia="zh-CN" w:bidi="hi-IN"/>
        </w:rPr>
        <w:t>Saučenku</w:t>
      </w:r>
      <w:proofErr w:type="spellEnd"/>
      <w:r w:rsidR="00BE5DB7" w:rsidRPr="00A07F29">
        <w:rPr>
          <w:rFonts w:ascii="Times New Roman" w:eastAsia="Times New Roman" w:hAnsi="Times New Roman" w:cs="Times New Roman"/>
          <w:kern w:val="2"/>
          <w:sz w:val="24"/>
          <w:szCs w:val="24"/>
          <w:lang w:eastAsia="zh-CN" w:bidi="hi-IN"/>
        </w:rPr>
        <w:t xml:space="preserve">, </w:t>
      </w:r>
      <w:proofErr w:type="spellStart"/>
      <w:r w:rsidR="00BE5DB7" w:rsidRPr="00A07F29">
        <w:rPr>
          <w:rFonts w:ascii="Times New Roman" w:eastAsia="Times New Roman" w:hAnsi="Times New Roman" w:cs="Times New Roman"/>
          <w:kern w:val="2"/>
          <w:sz w:val="24"/>
          <w:szCs w:val="24"/>
          <w:lang w:eastAsia="zh-CN" w:bidi="hi-IN"/>
        </w:rPr>
        <w:t>Varnaviču</w:t>
      </w:r>
      <w:proofErr w:type="spellEnd"/>
      <w:r w:rsidR="00BE5DB7" w:rsidRPr="00A07F29">
        <w:rPr>
          <w:rFonts w:ascii="Times New Roman" w:eastAsia="Times New Roman" w:hAnsi="Times New Roman" w:cs="Times New Roman"/>
          <w:kern w:val="2"/>
          <w:sz w:val="24"/>
          <w:szCs w:val="24"/>
          <w:lang w:eastAsia="zh-CN" w:bidi="hi-IN"/>
        </w:rPr>
        <w:t xml:space="preserve"> ezeru, </w:t>
      </w:r>
      <w:proofErr w:type="spellStart"/>
      <w:r w:rsidR="00BE5DB7" w:rsidRPr="00A07F29">
        <w:rPr>
          <w:rFonts w:ascii="Times New Roman" w:eastAsia="Times New Roman" w:hAnsi="Times New Roman" w:cs="Times New Roman"/>
          <w:kern w:val="2"/>
          <w:sz w:val="24"/>
          <w:szCs w:val="24"/>
          <w:lang w:eastAsia="zh-CN" w:bidi="hi-IN"/>
        </w:rPr>
        <w:t>Kalodu</w:t>
      </w:r>
      <w:proofErr w:type="spellEnd"/>
      <w:r w:rsidR="00BE5DB7" w:rsidRPr="00A07F29">
        <w:rPr>
          <w:rFonts w:ascii="Times New Roman" w:eastAsia="Times New Roman" w:hAnsi="Times New Roman" w:cs="Times New Roman"/>
          <w:kern w:val="2"/>
          <w:sz w:val="24"/>
          <w:szCs w:val="24"/>
          <w:lang w:eastAsia="zh-CN" w:bidi="hi-IN"/>
        </w:rPr>
        <w:t xml:space="preserve"> un </w:t>
      </w:r>
      <w:proofErr w:type="spellStart"/>
      <w:r w:rsidR="00BE5DB7" w:rsidRPr="00A07F29">
        <w:rPr>
          <w:rFonts w:ascii="Times New Roman" w:eastAsia="Times New Roman" w:hAnsi="Times New Roman" w:cs="Times New Roman"/>
          <w:kern w:val="2"/>
          <w:sz w:val="24"/>
          <w:szCs w:val="24"/>
          <w:lang w:eastAsia="zh-CN" w:bidi="hi-IN"/>
        </w:rPr>
        <w:t>Riņģi</w:t>
      </w:r>
      <w:proofErr w:type="spellEnd"/>
      <w:r w:rsidR="00BE5DB7" w:rsidRPr="00A07F29">
        <w:rPr>
          <w:rFonts w:ascii="Times New Roman" w:eastAsia="Times New Roman" w:hAnsi="Times New Roman" w:cs="Times New Roman"/>
          <w:kern w:val="2"/>
          <w:sz w:val="24"/>
          <w:szCs w:val="24"/>
          <w:lang w:eastAsia="zh-CN" w:bidi="hi-IN"/>
        </w:rPr>
        <w:t xml:space="preserve">, kas ir lielākie un skaistākie šīs teritorijas ezeri ar augstiem krastiem, no kuriem paveras ļoti pievilcīgas dabas ainavas. Šeit sevišķi jāizceļ sausiem priežu mežiem gandrīz pilnībā ieskautais </w:t>
      </w:r>
      <w:proofErr w:type="spellStart"/>
      <w:r w:rsidR="00BE5DB7" w:rsidRPr="00A07F29">
        <w:rPr>
          <w:rFonts w:ascii="Times New Roman" w:eastAsia="Times New Roman" w:hAnsi="Times New Roman" w:cs="Times New Roman"/>
          <w:kern w:val="2"/>
          <w:sz w:val="24"/>
          <w:szCs w:val="24"/>
          <w:lang w:eastAsia="zh-CN" w:bidi="hi-IN"/>
        </w:rPr>
        <w:t>Šilovkas</w:t>
      </w:r>
      <w:proofErr w:type="spellEnd"/>
      <w:r w:rsidR="00BE5DB7" w:rsidRPr="00A07F29">
        <w:rPr>
          <w:rFonts w:ascii="Times New Roman" w:eastAsia="Times New Roman" w:hAnsi="Times New Roman" w:cs="Times New Roman"/>
          <w:kern w:val="2"/>
          <w:sz w:val="24"/>
          <w:szCs w:val="24"/>
          <w:lang w:eastAsia="zh-CN" w:bidi="hi-IN"/>
        </w:rPr>
        <w:t xml:space="preserve"> ezers, kas ir Augšdaugavas AAA lielākais un skaistākais ezers un vienīgais, kurā ir divas mazas un mežainas saliņas. Tomēr visiespaidīgākā ainava paveras no Kaudzīšu ezera 39,7</w:t>
      </w:r>
      <w:r w:rsidR="00342BDA" w:rsidRPr="00A07F29">
        <w:rPr>
          <w:rFonts w:ascii="Times New Roman" w:eastAsia="Times New Roman" w:hAnsi="Times New Roman" w:cs="Times New Roman"/>
          <w:kern w:val="2"/>
          <w:sz w:val="24"/>
          <w:szCs w:val="24"/>
          <w:lang w:eastAsia="zh-CN" w:bidi="hi-IN"/>
        </w:rPr>
        <w:t> </w:t>
      </w:r>
      <w:r w:rsidR="00BE5DB7" w:rsidRPr="00A07F29">
        <w:rPr>
          <w:rFonts w:ascii="Times New Roman" w:eastAsia="Times New Roman" w:hAnsi="Times New Roman" w:cs="Times New Roman"/>
          <w:kern w:val="2"/>
          <w:sz w:val="24"/>
          <w:szCs w:val="24"/>
          <w:lang w:eastAsia="zh-CN" w:bidi="hi-IN"/>
        </w:rPr>
        <w:t xml:space="preserve">m augstā un klajā </w:t>
      </w:r>
      <w:r w:rsidR="33C16547" w:rsidRPr="00A07F29">
        <w:rPr>
          <w:rFonts w:ascii="Times New Roman" w:eastAsia="Times New Roman" w:hAnsi="Times New Roman" w:cs="Times New Roman"/>
          <w:kern w:val="2"/>
          <w:sz w:val="24"/>
          <w:szCs w:val="24"/>
          <w:lang w:eastAsia="zh-CN" w:bidi="hi-IN"/>
        </w:rPr>
        <w:t>A</w:t>
      </w:r>
      <w:r w:rsidR="00BE5DB7" w:rsidRPr="00A07F29">
        <w:rPr>
          <w:rFonts w:ascii="Times New Roman" w:eastAsia="Times New Roman" w:hAnsi="Times New Roman" w:cs="Times New Roman"/>
          <w:kern w:val="2"/>
          <w:sz w:val="24"/>
          <w:szCs w:val="24"/>
          <w:lang w:eastAsia="zh-CN" w:bidi="hi-IN"/>
        </w:rPr>
        <w:t xml:space="preserve"> krasta</w:t>
      </w:r>
      <w:r w:rsidRPr="00A07F29">
        <w:rPr>
          <w:rFonts w:ascii="Times New Roman" w:eastAsia="Times New Roman" w:hAnsi="Times New Roman" w:cs="Times New Roman"/>
          <w:kern w:val="2"/>
          <w:sz w:val="24"/>
          <w:szCs w:val="24"/>
          <w:lang w:eastAsia="zh-CN" w:bidi="hi-IN"/>
        </w:rPr>
        <w:t>.</w:t>
      </w:r>
    </w:p>
    <w:p w14:paraId="70C0F714" w14:textId="7188F357" w:rsidR="0069752F" w:rsidRPr="00A07F29" w:rsidRDefault="0044326F" w:rsidP="00E56E66">
      <w:pPr>
        <w:widowControl w:val="0"/>
        <w:spacing w:after="120" w:line="240" w:lineRule="auto"/>
        <w:ind w:right="26" w:firstLine="851"/>
        <w:jc w:val="both"/>
        <w:rPr>
          <w:rFonts w:ascii="Times New Roman" w:eastAsia="Times New Roman" w:hAnsi="Times New Roman" w:cs="Times New Roman"/>
          <w:kern w:val="2"/>
          <w:sz w:val="24"/>
          <w:szCs w:val="24"/>
          <w:lang w:eastAsia="zh-CN" w:bidi="hi-IN"/>
        </w:rPr>
      </w:pPr>
      <w:r w:rsidRPr="00A07F29">
        <w:rPr>
          <w:rFonts w:ascii="Times New Roman" w:eastAsia="Times New Roman" w:hAnsi="Times New Roman" w:cs="Times New Roman"/>
          <w:kern w:val="2"/>
          <w:sz w:val="24"/>
          <w:szCs w:val="24"/>
          <w:lang w:eastAsia="zh-CN" w:bidi="hi-IN"/>
        </w:rPr>
        <w:t xml:space="preserve">Lielākā daļa </w:t>
      </w:r>
      <w:r w:rsidRPr="00A07F29">
        <w:rPr>
          <w:rFonts w:ascii="Times New Roman" w:eastAsia="Noto Sans CJK SC" w:hAnsi="Times New Roman" w:cs="Lohit Devanagari"/>
          <w:kern w:val="2"/>
          <w:sz w:val="24"/>
          <w:szCs w:val="24"/>
          <w:lang w:eastAsia="zh-CN" w:bidi="hi-IN"/>
        </w:rPr>
        <w:t>AAA “Augšdaugava”</w:t>
      </w:r>
      <w:r w:rsidRPr="00A07F29">
        <w:rPr>
          <w:rFonts w:ascii="Times New Roman" w:eastAsia="Times New Roman" w:hAnsi="Times New Roman" w:cs="Times New Roman"/>
          <w:kern w:val="2"/>
          <w:sz w:val="24"/>
          <w:szCs w:val="24"/>
          <w:lang w:eastAsia="zh-CN" w:bidi="hi-IN"/>
        </w:rPr>
        <w:t xml:space="preserve"> ezeru tiek izmantoti individuālai atp</w:t>
      </w:r>
      <w:r w:rsidR="00E94290" w:rsidRPr="00A07F29">
        <w:rPr>
          <w:rFonts w:ascii="Times New Roman" w:eastAsia="Times New Roman" w:hAnsi="Times New Roman" w:cs="Times New Roman"/>
          <w:kern w:val="2"/>
          <w:sz w:val="24"/>
          <w:szCs w:val="24"/>
          <w:lang w:eastAsia="zh-CN" w:bidi="hi-IN"/>
        </w:rPr>
        <w:t>ū</w:t>
      </w:r>
      <w:r w:rsidRPr="00A07F29">
        <w:rPr>
          <w:rFonts w:ascii="Times New Roman" w:eastAsia="Times New Roman" w:hAnsi="Times New Roman" w:cs="Times New Roman"/>
          <w:kern w:val="2"/>
          <w:sz w:val="24"/>
          <w:szCs w:val="24"/>
          <w:lang w:eastAsia="zh-CN" w:bidi="hi-IN"/>
        </w:rPr>
        <w:t>tai un makšķerēšanai. Reti vai nemaz netiek apmeklēti vienīgi purvainiem un slīkšņainiem krastiem ieskautie ezeri, kā a</w:t>
      </w:r>
      <w:r w:rsidR="003B3D78" w:rsidRPr="00A07F29">
        <w:rPr>
          <w:rFonts w:ascii="Times New Roman" w:eastAsia="Times New Roman" w:hAnsi="Times New Roman" w:cs="Times New Roman"/>
          <w:kern w:val="2"/>
          <w:sz w:val="24"/>
          <w:szCs w:val="24"/>
          <w:lang w:eastAsia="zh-CN" w:bidi="hi-IN"/>
        </w:rPr>
        <w:t>rī</w:t>
      </w:r>
      <w:r w:rsidRPr="00A07F29">
        <w:rPr>
          <w:rFonts w:ascii="Times New Roman" w:eastAsia="Times New Roman" w:hAnsi="Times New Roman" w:cs="Times New Roman"/>
          <w:kern w:val="2"/>
          <w:sz w:val="24"/>
          <w:szCs w:val="24"/>
          <w:lang w:eastAsia="zh-CN" w:bidi="hi-IN"/>
        </w:rPr>
        <w:t xml:space="preserve"> ezeri, kas atrodas Latvijas-Baltkrievijas pierobežas joslā.</w:t>
      </w:r>
    </w:p>
    <w:p w14:paraId="7DC6466D" w14:textId="22EAFB64" w:rsidR="00C61803" w:rsidRPr="00A07F29" w:rsidRDefault="00E94290" w:rsidP="00E56E66">
      <w:pPr>
        <w:widowControl w:val="0"/>
        <w:spacing w:after="120" w:line="240" w:lineRule="auto"/>
        <w:ind w:right="26" w:firstLine="851"/>
        <w:jc w:val="both"/>
        <w:rPr>
          <w:rFonts w:ascii="Times New Roman" w:eastAsia="Times New Roman" w:hAnsi="Times New Roman" w:cs="Times New Roman"/>
          <w:kern w:val="2"/>
          <w:sz w:val="24"/>
          <w:szCs w:val="24"/>
          <w:lang w:eastAsia="zh-CN" w:bidi="hi-IN"/>
        </w:rPr>
      </w:pPr>
      <w:r w:rsidRPr="00A07F29">
        <w:rPr>
          <w:rFonts w:ascii="Times New Roman" w:eastAsia="Times New Roman" w:hAnsi="Times New Roman" w:cs="Times New Roman"/>
          <w:kern w:val="2"/>
          <w:sz w:val="24"/>
          <w:szCs w:val="24"/>
          <w:lang w:eastAsia="zh-CN" w:bidi="hi-IN"/>
        </w:rPr>
        <w:t>AAA “</w:t>
      </w:r>
      <w:proofErr w:type="spellStart"/>
      <w:r w:rsidRPr="00A07F29">
        <w:rPr>
          <w:rFonts w:ascii="Times New Roman" w:eastAsia="Times New Roman" w:hAnsi="Times New Roman" w:cs="Times New Roman"/>
          <w:kern w:val="2"/>
          <w:sz w:val="24"/>
          <w:szCs w:val="24"/>
          <w:lang w:eastAsia="zh-CN" w:bidi="hi-IN"/>
        </w:rPr>
        <w:t>Augsdaugavas</w:t>
      </w:r>
      <w:proofErr w:type="spellEnd"/>
      <w:r w:rsidRPr="00A07F29">
        <w:rPr>
          <w:rFonts w:ascii="Times New Roman" w:eastAsia="Times New Roman" w:hAnsi="Times New Roman" w:cs="Times New Roman"/>
          <w:kern w:val="2"/>
          <w:sz w:val="24"/>
          <w:szCs w:val="24"/>
          <w:lang w:eastAsia="zh-CN" w:bidi="hi-IN"/>
        </w:rPr>
        <w:t xml:space="preserve">” ezerus laika gaitā ir ietekmējuši, ietekmē un apdraud vairāki faktori, kas saistīti ar cilvēku darbību – zemes lietojuma izmaiņas, nepārdomāti un bieži vien pārspīlēti hidromelioratīvie darbi un to izraisītās ezera ūdens līmeņa izmaiņas, sateces baseinu patvaļīga paplašināšana dabisko ūdensšķirtņu pārrakšanas rezultātā, papildus </w:t>
      </w:r>
      <w:proofErr w:type="spellStart"/>
      <w:r w:rsidRPr="00A07F29">
        <w:rPr>
          <w:rFonts w:ascii="Times New Roman" w:eastAsia="Times New Roman" w:hAnsi="Times New Roman" w:cs="Times New Roman"/>
          <w:kern w:val="2"/>
          <w:sz w:val="24"/>
          <w:szCs w:val="24"/>
          <w:lang w:eastAsia="zh-CN" w:bidi="hi-IN"/>
        </w:rPr>
        <w:t>biogēno</w:t>
      </w:r>
      <w:proofErr w:type="spellEnd"/>
      <w:r w:rsidRPr="00A07F29">
        <w:rPr>
          <w:rFonts w:ascii="Times New Roman" w:eastAsia="Times New Roman" w:hAnsi="Times New Roman" w:cs="Times New Roman"/>
          <w:kern w:val="2"/>
          <w:sz w:val="24"/>
          <w:szCs w:val="24"/>
          <w:lang w:eastAsia="zh-CN" w:bidi="hi-IN"/>
        </w:rPr>
        <w:t xml:space="preserve"> elementu ieplūde pa ezeros ietekošajām meliorācijas sistēmām no to sateces baseinos esošajām lauksa</w:t>
      </w:r>
      <w:r w:rsidR="00547C8E" w:rsidRPr="00A07F29">
        <w:rPr>
          <w:rFonts w:ascii="Times New Roman" w:eastAsia="Times New Roman" w:hAnsi="Times New Roman" w:cs="Times New Roman"/>
          <w:kern w:val="2"/>
          <w:sz w:val="24"/>
          <w:szCs w:val="24"/>
          <w:lang w:eastAsia="zh-CN" w:bidi="hi-IN"/>
        </w:rPr>
        <w:t>i</w:t>
      </w:r>
      <w:r w:rsidRPr="00A07F29">
        <w:rPr>
          <w:rFonts w:ascii="Times New Roman" w:eastAsia="Times New Roman" w:hAnsi="Times New Roman" w:cs="Times New Roman"/>
          <w:kern w:val="2"/>
          <w:sz w:val="24"/>
          <w:szCs w:val="24"/>
          <w:lang w:eastAsia="zh-CN" w:bidi="hi-IN"/>
        </w:rPr>
        <w:t>mniecības zemēm (aramzemes, ganību mēslošana, fermas, pienotavas, lopu peldināšana ezeros, minerālmēslu novietnes u</w:t>
      </w:r>
      <w:r w:rsidR="004633E5">
        <w:rPr>
          <w:rFonts w:ascii="Times New Roman" w:eastAsia="Times New Roman" w:hAnsi="Times New Roman" w:cs="Times New Roman"/>
          <w:kern w:val="2"/>
          <w:sz w:val="24"/>
          <w:szCs w:val="24"/>
          <w:lang w:eastAsia="zh-CN" w:bidi="hi-IN"/>
        </w:rPr>
        <w:t>.</w:t>
      </w:r>
      <w:r w:rsidRPr="00A07F29">
        <w:rPr>
          <w:rFonts w:ascii="Times New Roman" w:eastAsia="Times New Roman" w:hAnsi="Times New Roman" w:cs="Times New Roman"/>
          <w:kern w:val="2"/>
          <w:sz w:val="24"/>
          <w:szCs w:val="24"/>
          <w:lang w:eastAsia="zh-CN" w:bidi="hi-IN"/>
        </w:rPr>
        <w:t xml:space="preserve">tml.), apdzīvotām vietām (nepilnīgi attīrīti vai neattīrīti sadzīves notekūdeņi) un pārāk intensīvi apsaimniekotām mežu zemēm (kailcirtes, mežu mēslošana), kā arī intensīvas rekreācijas izraisītā ezeru piesārņošana ar </w:t>
      </w:r>
      <w:proofErr w:type="spellStart"/>
      <w:r w:rsidRPr="00A07F29">
        <w:rPr>
          <w:rFonts w:ascii="Times New Roman" w:eastAsia="Times New Roman" w:hAnsi="Times New Roman" w:cs="Times New Roman"/>
          <w:kern w:val="2"/>
          <w:sz w:val="24"/>
          <w:szCs w:val="24"/>
          <w:lang w:eastAsia="zh-CN" w:bidi="hi-IN"/>
        </w:rPr>
        <w:t>biogēniem</w:t>
      </w:r>
      <w:proofErr w:type="spellEnd"/>
      <w:r w:rsidRPr="00A07F29">
        <w:rPr>
          <w:rFonts w:ascii="Times New Roman" w:eastAsia="Times New Roman" w:hAnsi="Times New Roman" w:cs="Times New Roman"/>
          <w:kern w:val="2"/>
          <w:sz w:val="24"/>
          <w:szCs w:val="24"/>
          <w:lang w:eastAsia="zh-CN" w:bidi="hi-IN"/>
        </w:rPr>
        <w:t xml:space="preserve"> (peldvietas, ezeru krastmalās esošās pirtis un viesu mājas). Tomēr ezerus ietekmē arī dabiskā eitrofikācija, kā arī bebru darbības izraisīta ūdens līmeņa paaugstināšanās.</w:t>
      </w:r>
    </w:p>
    <w:p w14:paraId="0716B019" w14:textId="70706764" w:rsidR="00CD6BC5" w:rsidRPr="00A07F29" w:rsidRDefault="00CD6BC5" w:rsidP="00E56E66">
      <w:pPr>
        <w:widowControl w:val="0"/>
        <w:spacing w:after="120" w:line="240" w:lineRule="auto"/>
        <w:ind w:right="26" w:firstLine="851"/>
        <w:jc w:val="both"/>
        <w:rPr>
          <w:rFonts w:ascii="Times New Roman" w:eastAsia="Times New Roman" w:hAnsi="Times New Roman" w:cs="Times New Roman"/>
          <w:sz w:val="24"/>
          <w:szCs w:val="24"/>
        </w:rPr>
      </w:pPr>
      <w:proofErr w:type="spellStart"/>
      <w:r w:rsidRPr="00A07F29">
        <w:rPr>
          <w:rFonts w:ascii="Times New Roman" w:eastAsia="Times New Roman" w:hAnsi="Times New Roman" w:cs="Times New Roman"/>
          <w:sz w:val="24"/>
          <w:szCs w:val="24"/>
        </w:rPr>
        <w:t>Varnaviču</w:t>
      </w:r>
      <w:proofErr w:type="spellEnd"/>
      <w:r w:rsidRPr="00A07F29">
        <w:rPr>
          <w:rFonts w:ascii="Times New Roman" w:eastAsia="Times New Roman" w:hAnsi="Times New Roman" w:cs="Times New Roman"/>
          <w:sz w:val="24"/>
          <w:szCs w:val="24"/>
        </w:rPr>
        <w:t xml:space="preserve">, </w:t>
      </w:r>
      <w:proofErr w:type="spellStart"/>
      <w:r w:rsidRPr="00A07F29">
        <w:rPr>
          <w:rFonts w:ascii="Times New Roman" w:eastAsia="Times New Roman" w:hAnsi="Times New Roman" w:cs="Times New Roman"/>
          <w:sz w:val="24"/>
          <w:szCs w:val="24"/>
        </w:rPr>
        <w:t>Krivoje</w:t>
      </w:r>
      <w:proofErr w:type="spellEnd"/>
      <w:r w:rsidRPr="00A07F29">
        <w:rPr>
          <w:rFonts w:ascii="Times New Roman" w:eastAsia="Times New Roman" w:hAnsi="Times New Roman" w:cs="Times New Roman"/>
          <w:sz w:val="24"/>
          <w:szCs w:val="24"/>
        </w:rPr>
        <w:t xml:space="preserve"> un </w:t>
      </w:r>
      <w:proofErr w:type="spellStart"/>
      <w:r w:rsidRPr="00A07F29">
        <w:rPr>
          <w:rFonts w:ascii="Times New Roman" w:eastAsia="Times New Roman" w:hAnsi="Times New Roman" w:cs="Times New Roman"/>
          <w:sz w:val="24"/>
          <w:szCs w:val="24"/>
        </w:rPr>
        <w:t>Jablonkas</w:t>
      </w:r>
      <w:proofErr w:type="spellEnd"/>
      <w:r w:rsidRPr="00A07F29">
        <w:rPr>
          <w:rFonts w:ascii="Times New Roman" w:eastAsia="Times New Roman" w:hAnsi="Times New Roman" w:cs="Times New Roman"/>
          <w:sz w:val="24"/>
          <w:szCs w:val="24"/>
        </w:rPr>
        <w:t xml:space="preserve"> </w:t>
      </w:r>
      <w:r w:rsidR="00C61803" w:rsidRPr="00A07F29">
        <w:rPr>
          <w:rFonts w:ascii="Times New Roman" w:eastAsia="Times New Roman" w:hAnsi="Times New Roman" w:cs="Times New Roman"/>
          <w:sz w:val="24"/>
          <w:szCs w:val="24"/>
        </w:rPr>
        <w:t xml:space="preserve">ezerus negatīvi ietekmējusi ūdens līmeņa </w:t>
      </w:r>
      <w:r w:rsidR="00CA6A29" w:rsidRPr="00A07F29">
        <w:rPr>
          <w:rFonts w:ascii="Times New Roman" w:eastAsia="Times New Roman" w:hAnsi="Times New Roman" w:cs="Times New Roman"/>
          <w:sz w:val="24"/>
          <w:szCs w:val="24"/>
        </w:rPr>
        <w:t xml:space="preserve">paaugstināšana </w:t>
      </w:r>
      <w:r w:rsidR="00C61803" w:rsidRPr="00A07F29">
        <w:rPr>
          <w:rFonts w:ascii="Times New Roman" w:eastAsia="Times New Roman" w:hAnsi="Times New Roman" w:cs="Times New Roman"/>
          <w:sz w:val="24"/>
          <w:szCs w:val="24"/>
        </w:rPr>
        <w:t>par aptuveni 0,5</w:t>
      </w:r>
      <w:r w:rsidR="00E83B57" w:rsidRPr="00A07F29">
        <w:rPr>
          <w:rFonts w:ascii="Times New Roman" w:eastAsia="Times New Roman" w:hAnsi="Times New Roman" w:cs="Times New Roman"/>
          <w:sz w:val="24"/>
          <w:szCs w:val="24"/>
        </w:rPr>
        <w:t> </w:t>
      </w:r>
      <w:r w:rsidR="00C61803" w:rsidRPr="00A07F29">
        <w:rPr>
          <w:rFonts w:ascii="Times New Roman" w:eastAsia="Times New Roman" w:hAnsi="Times New Roman" w:cs="Times New Roman"/>
          <w:sz w:val="24"/>
          <w:szCs w:val="24"/>
        </w:rPr>
        <w:t xml:space="preserve">m, ko izraisījusi pārāk mazas caurules ievietošana </w:t>
      </w:r>
      <w:proofErr w:type="spellStart"/>
      <w:r w:rsidR="00C61803" w:rsidRPr="00A07F29">
        <w:rPr>
          <w:rFonts w:ascii="Times New Roman" w:eastAsia="Times New Roman" w:hAnsi="Times New Roman" w:cs="Times New Roman"/>
          <w:sz w:val="24"/>
          <w:szCs w:val="24"/>
        </w:rPr>
        <w:t>Varnaviču</w:t>
      </w:r>
      <w:proofErr w:type="spellEnd"/>
      <w:r w:rsidR="00C61803" w:rsidRPr="00A07F29">
        <w:rPr>
          <w:rFonts w:ascii="Times New Roman" w:eastAsia="Times New Roman" w:hAnsi="Times New Roman" w:cs="Times New Roman"/>
          <w:sz w:val="24"/>
          <w:szCs w:val="24"/>
        </w:rPr>
        <w:t xml:space="preserve"> upes caurtekā </w:t>
      </w:r>
      <w:r w:rsidRPr="00A07F29">
        <w:rPr>
          <w:rFonts w:ascii="Times New Roman" w:eastAsia="Times New Roman" w:hAnsi="Times New Roman" w:cs="Times New Roman"/>
          <w:sz w:val="24"/>
          <w:szCs w:val="24"/>
        </w:rPr>
        <w:t xml:space="preserve">zem </w:t>
      </w:r>
      <w:proofErr w:type="spellStart"/>
      <w:r w:rsidRPr="00A07F29">
        <w:rPr>
          <w:rFonts w:ascii="Times New Roman" w:eastAsia="Times New Roman" w:hAnsi="Times New Roman" w:cs="Times New Roman"/>
          <w:sz w:val="24"/>
          <w:szCs w:val="24"/>
        </w:rPr>
        <w:t>Varnaviču-Robeždaugavas</w:t>
      </w:r>
      <w:proofErr w:type="spellEnd"/>
      <w:r w:rsidRPr="00A07F29">
        <w:rPr>
          <w:rFonts w:ascii="Times New Roman" w:eastAsia="Times New Roman" w:hAnsi="Times New Roman" w:cs="Times New Roman"/>
          <w:sz w:val="24"/>
          <w:szCs w:val="24"/>
        </w:rPr>
        <w:t xml:space="preserve"> ceļa</w:t>
      </w:r>
      <w:r w:rsidR="00C61803" w:rsidRPr="00A07F29">
        <w:rPr>
          <w:rFonts w:ascii="Times New Roman" w:eastAsia="Times New Roman" w:hAnsi="Times New Roman" w:cs="Times New Roman"/>
          <w:sz w:val="24"/>
          <w:szCs w:val="24"/>
        </w:rPr>
        <w:t xml:space="preserve"> ap 2000.</w:t>
      </w:r>
      <w:r w:rsidR="009E31DD" w:rsidRPr="00A07F29">
        <w:rPr>
          <w:rFonts w:ascii="Times New Roman" w:eastAsia="Times New Roman" w:hAnsi="Times New Roman" w:cs="Times New Roman"/>
          <w:sz w:val="24"/>
          <w:szCs w:val="24"/>
        </w:rPr>
        <w:t> </w:t>
      </w:r>
      <w:r w:rsidR="00C61803" w:rsidRPr="00A07F29">
        <w:rPr>
          <w:rFonts w:ascii="Times New Roman" w:eastAsia="Times New Roman" w:hAnsi="Times New Roman" w:cs="Times New Roman"/>
          <w:sz w:val="24"/>
          <w:szCs w:val="24"/>
        </w:rPr>
        <w:t xml:space="preserve">gadu. </w:t>
      </w:r>
      <w:r w:rsidRPr="00A07F29">
        <w:rPr>
          <w:rFonts w:ascii="Times New Roman" w:eastAsia="Times New Roman" w:hAnsi="Times New Roman" w:cs="Times New Roman"/>
          <w:sz w:val="24"/>
          <w:szCs w:val="24"/>
        </w:rPr>
        <w:t xml:space="preserve">Tās rezultātā ezeros tika ieskalots ievērojams papildus </w:t>
      </w:r>
      <w:proofErr w:type="spellStart"/>
      <w:r w:rsidRPr="00A07F29">
        <w:rPr>
          <w:rFonts w:ascii="Times New Roman" w:eastAsia="Times New Roman" w:hAnsi="Times New Roman" w:cs="Times New Roman"/>
          <w:sz w:val="24"/>
          <w:szCs w:val="24"/>
        </w:rPr>
        <w:t>biogēnu</w:t>
      </w:r>
      <w:proofErr w:type="spellEnd"/>
      <w:r w:rsidRPr="00A07F29">
        <w:rPr>
          <w:rFonts w:ascii="Times New Roman" w:eastAsia="Times New Roman" w:hAnsi="Times New Roman" w:cs="Times New Roman"/>
          <w:sz w:val="24"/>
          <w:szCs w:val="24"/>
        </w:rPr>
        <w:t xml:space="preserve"> daudzums, </w:t>
      </w:r>
      <w:r w:rsidR="00C61803" w:rsidRPr="00A07F29">
        <w:rPr>
          <w:rFonts w:ascii="Times New Roman" w:eastAsia="Times New Roman" w:hAnsi="Times New Roman" w:cs="Times New Roman"/>
          <w:sz w:val="24"/>
          <w:szCs w:val="24"/>
        </w:rPr>
        <w:t>un š</w:t>
      </w:r>
      <w:r w:rsidRPr="00A07F29">
        <w:rPr>
          <w:rFonts w:ascii="Times New Roman" w:eastAsia="Times New Roman" w:hAnsi="Times New Roman" w:cs="Times New Roman"/>
          <w:sz w:val="24"/>
          <w:szCs w:val="24"/>
        </w:rPr>
        <w:t xml:space="preserve">īs ietekmes dēļ </w:t>
      </w:r>
      <w:proofErr w:type="spellStart"/>
      <w:r w:rsidRPr="00A07F29">
        <w:rPr>
          <w:rFonts w:ascii="Times New Roman" w:eastAsia="Times New Roman" w:hAnsi="Times New Roman" w:cs="Times New Roman"/>
          <w:sz w:val="24"/>
          <w:szCs w:val="24"/>
        </w:rPr>
        <w:t>Varnaviču</w:t>
      </w:r>
      <w:proofErr w:type="spellEnd"/>
      <w:r w:rsidRPr="00A07F29">
        <w:rPr>
          <w:rFonts w:ascii="Times New Roman" w:eastAsia="Times New Roman" w:hAnsi="Times New Roman" w:cs="Times New Roman"/>
          <w:sz w:val="24"/>
          <w:szCs w:val="24"/>
        </w:rPr>
        <w:t xml:space="preserve"> un </w:t>
      </w:r>
      <w:proofErr w:type="spellStart"/>
      <w:r w:rsidRPr="00A07F29">
        <w:rPr>
          <w:rFonts w:ascii="Times New Roman" w:eastAsia="Times New Roman" w:hAnsi="Times New Roman" w:cs="Times New Roman"/>
          <w:sz w:val="24"/>
          <w:szCs w:val="24"/>
        </w:rPr>
        <w:t>Krivojes</w:t>
      </w:r>
      <w:proofErr w:type="spellEnd"/>
      <w:r w:rsidRPr="00A07F29">
        <w:rPr>
          <w:rFonts w:ascii="Times New Roman" w:eastAsia="Times New Roman" w:hAnsi="Times New Roman" w:cs="Times New Roman"/>
          <w:sz w:val="24"/>
          <w:szCs w:val="24"/>
        </w:rPr>
        <w:t xml:space="preserve"> ezeros ir samazinājusies ūdens caurredzamība</w:t>
      </w:r>
      <w:r w:rsidR="00CA6A29" w:rsidRPr="00A07F29">
        <w:rPr>
          <w:rFonts w:ascii="Times New Roman" w:eastAsia="Times New Roman" w:hAnsi="Times New Roman" w:cs="Times New Roman"/>
          <w:sz w:val="24"/>
          <w:szCs w:val="24"/>
        </w:rPr>
        <w:t xml:space="preserve"> </w:t>
      </w:r>
      <w:r w:rsidR="001D46C6" w:rsidRPr="00A07F29">
        <w:rPr>
          <w:rFonts w:ascii="Times New Roman" w:eastAsia="Times New Roman" w:hAnsi="Times New Roman" w:cs="Times New Roman"/>
          <w:sz w:val="24"/>
          <w:szCs w:val="24"/>
        </w:rPr>
        <w:t xml:space="preserve">un </w:t>
      </w:r>
      <w:r w:rsidRPr="00A07F29">
        <w:rPr>
          <w:rFonts w:ascii="Times New Roman" w:eastAsia="Times New Roman" w:hAnsi="Times New Roman" w:cs="Times New Roman"/>
          <w:sz w:val="24"/>
          <w:szCs w:val="24"/>
        </w:rPr>
        <w:t>ievērojami palielinājušās niedru audžu platības</w:t>
      </w:r>
      <w:r w:rsidR="002E7E91" w:rsidRPr="00A07F29">
        <w:rPr>
          <w:rFonts w:ascii="Times New Roman" w:eastAsia="Times New Roman" w:hAnsi="Times New Roman" w:cs="Times New Roman"/>
          <w:sz w:val="24"/>
          <w:szCs w:val="24"/>
        </w:rPr>
        <w:t xml:space="preserve">. </w:t>
      </w:r>
      <w:proofErr w:type="spellStart"/>
      <w:r w:rsidRPr="00A07F29">
        <w:rPr>
          <w:rFonts w:ascii="Times New Roman" w:eastAsia="Times New Roman" w:hAnsi="Times New Roman" w:cs="Times New Roman"/>
          <w:sz w:val="24"/>
          <w:szCs w:val="24"/>
        </w:rPr>
        <w:t>Varnaviču</w:t>
      </w:r>
      <w:proofErr w:type="spellEnd"/>
      <w:r w:rsidRPr="00A07F29">
        <w:rPr>
          <w:rFonts w:ascii="Times New Roman" w:eastAsia="Times New Roman" w:hAnsi="Times New Roman" w:cs="Times New Roman"/>
          <w:sz w:val="24"/>
          <w:szCs w:val="24"/>
        </w:rPr>
        <w:t xml:space="preserve"> ezera dzelmē ir izveidojusies </w:t>
      </w:r>
      <w:proofErr w:type="spellStart"/>
      <w:r w:rsidRPr="00A07F29">
        <w:rPr>
          <w:rFonts w:ascii="Times New Roman" w:eastAsia="Times New Roman" w:hAnsi="Times New Roman" w:cs="Times New Roman"/>
          <w:sz w:val="24"/>
          <w:szCs w:val="24"/>
        </w:rPr>
        <w:t>mezotrofiem</w:t>
      </w:r>
      <w:proofErr w:type="spellEnd"/>
      <w:r w:rsidRPr="00A07F29">
        <w:rPr>
          <w:rFonts w:ascii="Times New Roman" w:eastAsia="Times New Roman" w:hAnsi="Times New Roman" w:cs="Times New Roman"/>
          <w:sz w:val="24"/>
          <w:szCs w:val="24"/>
        </w:rPr>
        <w:t xml:space="preserve"> ezeriem </w:t>
      </w:r>
      <w:r w:rsidR="002E7E91" w:rsidRPr="00A07F29">
        <w:rPr>
          <w:rFonts w:ascii="Times New Roman" w:eastAsia="Times New Roman" w:hAnsi="Times New Roman" w:cs="Times New Roman"/>
          <w:sz w:val="24"/>
          <w:szCs w:val="24"/>
        </w:rPr>
        <w:t xml:space="preserve">neraksturīga </w:t>
      </w:r>
      <w:proofErr w:type="spellStart"/>
      <w:r w:rsidRPr="00A07F29">
        <w:rPr>
          <w:rFonts w:ascii="Times New Roman" w:eastAsia="Times New Roman" w:hAnsi="Times New Roman" w:cs="Times New Roman"/>
          <w:sz w:val="24"/>
          <w:szCs w:val="24"/>
        </w:rPr>
        <w:t>bezskābekļa</w:t>
      </w:r>
      <w:proofErr w:type="spellEnd"/>
      <w:r w:rsidRPr="00A07F29">
        <w:rPr>
          <w:rFonts w:ascii="Times New Roman" w:eastAsia="Times New Roman" w:hAnsi="Times New Roman" w:cs="Times New Roman"/>
          <w:sz w:val="24"/>
          <w:szCs w:val="24"/>
        </w:rPr>
        <w:t xml:space="preserve"> zona, kas apdraud un ievērojami pasliktina šī ezera kā priori</w:t>
      </w:r>
      <w:r w:rsidR="002E7E91" w:rsidRPr="00A07F29">
        <w:rPr>
          <w:rFonts w:ascii="Times New Roman" w:eastAsia="Times New Roman" w:hAnsi="Times New Roman" w:cs="Times New Roman"/>
          <w:sz w:val="24"/>
          <w:szCs w:val="24"/>
        </w:rPr>
        <w:t>t</w:t>
      </w:r>
      <w:r w:rsidRPr="00A07F29">
        <w:rPr>
          <w:rFonts w:ascii="Times New Roman" w:eastAsia="Times New Roman" w:hAnsi="Times New Roman" w:cs="Times New Roman"/>
          <w:sz w:val="24"/>
          <w:szCs w:val="24"/>
        </w:rPr>
        <w:t xml:space="preserve">āras </w:t>
      </w:r>
      <w:proofErr w:type="spellStart"/>
      <w:r w:rsidRPr="00A07F29">
        <w:rPr>
          <w:rFonts w:ascii="Times New Roman" w:eastAsia="Times New Roman" w:hAnsi="Times New Roman" w:cs="Times New Roman"/>
          <w:sz w:val="24"/>
          <w:szCs w:val="24"/>
        </w:rPr>
        <w:t>lašveidīgo</w:t>
      </w:r>
      <w:proofErr w:type="spellEnd"/>
      <w:r w:rsidRPr="00A07F29">
        <w:rPr>
          <w:rFonts w:ascii="Times New Roman" w:eastAsia="Times New Roman" w:hAnsi="Times New Roman" w:cs="Times New Roman"/>
          <w:sz w:val="24"/>
          <w:szCs w:val="24"/>
        </w:rPr>
        <w:t xml:space="preserve"> ūdenstilpes dabas vērtību</w:t>
      </w:r>
      <w:r w:rsidR="002E7E91" w:rsidRPr="00A07F29">
        <w:rPr>
          <w:rFonts w:ascii="Times New Roman" w:eastAsia="Times New Roman" w:hAnsi="Times New Roman" w:cs="Times New Roman"/>
          <w:sz w:val="24"/>
          <w:szCs w:val="24"/>
        </w:rPr>
        <w:t>.</w:t>
      </w:r>
      <w:r w:rsidRPr="00A07F29">
        <w:rPr>
          <w:rFonts w:ascii="Times New Roman" w:eastAsia="Times New Roman" w:hAnsi="Times New Roman" w:cs="Times New Roman"/>
          <w:sz w:val="24"/>
          <w:szCs w:val="24"/>
        </w:rPr>
        <w:t xml:space="preserve"> </w:t>
      </w:r>
      <w:proofErr w:type="spellStart"/>
      <w:r w:rsidRPr="00A07F29">
        <w:rPr>
          <w:rFonts w:ascii="Times New Roman" w:eastAsia="Times New Roman" w:hAnsi="Times New Roman" w:cs="Times New Roman"/>
          <w:sz w:val="24"/>
          <w:szCs w:val="24"/>
        </w:rPr>
        <w:t>Varnaviču</w:t>
      </w:r>
      <w:proofErr w:type="spellEnd"/>
      <w:r w:rsidRPr="00A07F29">
        <w:rPr>
          <w:rFonts w:ascii="Times New Roman" w:eastAsia="Times New Roman" w:hAnsi="Times New Roman" w:cs="Times New Roman"/>
          <w:sz w:val="24"/>
          <w:szCs w:val="24"/>
        </w:rPr>
        <w:t xml:space="preserve"> ezerā ir izzudusi Latvijā ļoti retā un aizsargājamā mazā </w:t>
      </w:r>
      <w:proofErr w:type="spellStart"/>
      <w:r w:rsidRPr="00A07F29">
        <w:rPr>
          <w:rFonts w:ascii="Times New Roman" w:eastAsia="Times New Roman" w:hAnsi="Times New Roman" w:cs="Times New Roman"/>
          <w:sz w:val="24"/>
          <w:szCs w:val="24"/>
        </w:rPr>
        <w:t>najāda</w:t>
      </w:r>
      <w:proofErr w:type="spellEnd"/>
      <w:r w:rsidRPr="00A07F29">
        <w:rPr>
          <w:rFonts w:ascii="Times New Roman" w:eastAsia="Times New Roman" w:hAnsi="Times New Roman" w:cs="Times New Roman"/>
          <w:sz w:val="24"/>
          <w:szCs w:val="24"/>
        </w:rPr>
        <w:t xml:space="preserve"> </w:t>
      </w:r>
      <w:proofErr w:type="spellStart"/>
      <w:r w:rsidRPr="00A07F29">
        <w:rPr>
          <w:rFonts w:ascii="Times New Roman" w:eastAsia="Times New Roman" w:hAnsi="Times New Roman" w:cs="Times New Roman"/>
          <w:i/>
          <w:sz w:val="24"/>
          <w:szCs w:val="24"/>
        </w:rPr>
        <w:t>Najas</w:t>
      </w:r>
      <w:proofErr w:type="spellEnd"/>
      <w:r w:rsidRPr="00A07F29">
        <w:rPr>
          <w:rFonts w:ascii="Times New Roman" w:eastAsia="Times New Roman" w:hAnsi="Times New Roman" w:cs="Times New Roman"/>
          <w:i/>
          <w:sz w:val="24"/>
          <w:szCs w:val="24"/>
        </w:rPr>
        <w:t xml:space="preserve"> minor</w:t>
      </w:r>
      <w:r w:rsidRPr="00A07F29">
        <w:rPr>
          <w:rFonts w:ascii="Times New Roman" w:eastAsia="Times New Roman" w:hAnsi="Times New Roman" w:cs="Times New Roman"/>
          <w:sz w:val="24"/>
          <w:szCs w:val="24"/>
        </w:rPr>
        <w:t>.</w:t>
      </w:r>
      <w:r w:rsidR="002E7E91" w:rsidRPr="00A07F29">
        <w:rPr>
          <w:rFonts w:ascii="Times New Roman" w:eastAsia="Times New Roman" w:hAnsi="Times New Roman" w:cs="Times New Roman"/>
          <w:sz w:val="24"/>
          <w:szCs w:val="24"/>
        </w:rPr>
        <w:t xml:space="preserve"> Par ezerus ietekmējošajiem faktoriem ska</w:t>
      </w:r>
      <w:r w:rsidR="00DE50F5" w:rsidRPr="00A07F29">
        <w:rPr>
          <w:rFonts w:ascii="Times New Roman" w:eastAsia="Times New Roman" w:hAnsi="Times New Roman" w:cs="Times New Roman"/>
          <w:sz w:val="24"/>
          <w:szCs w:val="24"/>
        </w:rPr>
        <w:t>tīt</w:t>
      </w:r>
      <w:r w:rsidR="002E7E91" w:rsidRPr="00A07F29">
        <w:rPr>
          <w:rFonts w:ascii="Times New Roman" w:eastAsia="Times New Roman" w:hAnsi="Times New Roman" w:cs="Times New Roman"/>
          <w:sz w:val="24"/>
          <w:szCs w:val="24"/>
        </w:rPr>
        <w:t xml:space="preserve"> arī DA plāna 4.1.</w:t>
      </w:r>
      <w:r w:rsidR="00F01FE5" w:rsidRPr="00A07F29">
        <w:rPr>
          <w:rFonts w:ascii="Times New Roman" w:eastAsia="Times New Roman" w:hAnsi="Times New Roman" w:cs="Times New Roman"/>
          <w:sz w:val="24"/>
          <w:szCs w:val="24"/>
        </w:rPr>
        <w:t> </w:t>
      </w:r>
      <w:r w:rsidR="002E7E91" w:rsidRPr="00A07F29">
        <w:rPr>
          <w:rFonts w:ascii="Times New Roman" w:eastAsia="Times New Roman" w:hAnsi="Times New Roman" w:cs="Times New Roman"/>
          <w:sz w:val="24"/>
          <w:szCs w:val="24"/>
        </w:rPr>
        <w:t>nodaļā un 2.1.</w:t>
      </w:r>
      <w:r w:rsidR="00F01FE5" w:rsidRPr="00A07F29">
        <w:rPr>
          <w:rFonts w:ascii="Times New Roman" w:eastAsia="Times New Roman" w:hAnsi="Times New Roman" w:cs="Times New Roman"/>
          <w:sz w:val="24"/>
          <w:szCs w:val="24"/>
        </w:rPr>
        <w:t> </w:t>
      </w:r>
      <w:r w:rsidR="002E7E91" w:rsidRPr="00A07F29">
        <w:rPr>
          <w:rFonts w:ascii="Times New Roman" w:eastAsia="Times New Roman" w:hAnsi="Times New Roman" w:cs="Times New Roman"/>
          <w:sz w:val="24"/>
          <w:szCs w:val="24"/>
        </w:rPr>
        <w:t>pie</w:t>
      </w:r>
      <w:r w:rsidR="001D46C6" w:rsidRPr="00A07F29">
        <w:rPr>
          <w:rFonts w:ascii="Times New Roman" w:eastAsia="Times New Roman" w:hAnsi="Times New Roman" w:cs="Times New Roman"/>
          <w:sz w:val="24"/>
          <w:szCs w:val="24"/>
        </w:rPr>
        <w:t>l</w:t>
      </w:r>
      <w:r w:rsidR="002E7E91" w:rsidRPr="00A07F29">
        <w:rPr>
          <w:rFonts w:ascii="Times New Roman" w:eastAsia="Times New Roman" w:hAnsi="Times New Roman" w:cs="Times New Roman"/>
          <w:sz w:val="24"/>
          <w:szCs w:val="24"/>
        </w:rPr>
        <w:t>ikumā.</w:t>
      </w:r>
    </w:p>
    <w:p w14:paraId="545A9DED" w14:textId="27DC6544" w:rsidR="00340783" w:rsidRPr="00A07F29" w:rsidRDefault="00340783" w:rsidP="00EF3715">
      <w:pPr>
        <w:widowControl w:val="0"/>
        <w:autoSpaceDE w:val="0"/>
        <w:autoSpaceDN w:val="0"/>
        <w:adjustRightInd w:val="0"/>
        <w:spacing w:after="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Ņemot vērā nelielo ezeru skaitu, kas </w:t>
      </w:r>
      <w:r w:rsidRPr="00A65057">
        <w:rPr>
          <w:rFonts w:ascii="Times New Roman" w:eastAsia="Calibri" w:hAnsi="Times New Roman" w:cs="Times New Roman"/>
          <w:sz w:val="24"/>
          <w:szCs w:val="24"/>
        </w:rPr>
        <w:t>atbilst E</w:t>
      </w:r>
      <w:r w:rsidR="00A65057" w:rsidRPr="00A65057">
        <w:rPr>
          <w:rFonts w:ascii="Times New Roman" w:eastAsia="Calibri" w:hAnsi="Times New Roman" w:cs="Times New Roman"/>
          <w:sz w:val="24"/>
          <w:szCs w:val="24"/>
        </w:rPr>
        <w:t>S</w:t>
      </w:r>
      <w:r w:rsidRPr="00A07F29">
        <w:rPr>
          <w:rFonts w:ascii="Times New Roman" w:eastAsia="Calibri" w:hAnsi="Times New Roman" w:cs="Times New Roman"/>
          <w:sz w:val="24"/>
          <w:szCs w:val="24"/>
        </w:rPr>
        <w:t xml:space="preserve"> un Latvijas aizsargājamajam biotopam 3130/4.1.</w:t>
      </w:r>
      <w:r w:rsidR="00320FCE" w:rsidRPr="00A07F29">
        <w:rPr>
          <w:rFonts w:ascii="Times New Roman" w:eastAsia="Calibri" w:hAnsi="Times New Roman" w:cs="Times New Roman"/>
          <w:sz w:val="24"/>
          <w:szCs w:val="24"/>
        </w:rPr>
        <w:t> </w:t>
      </w:r>
      <w:r w:rsidRPr="00A07F29">
        <w:rPr>
          <w:rFonts w:ascii="Times New Roman" w:eastAsia="Calibri" w:hAnsi="Times New Roman" w:cs="Times New Roman"/>
          <w:i/>
          <w:iCs/>
          <w:sz w:val="24"/>
          <w:szCs w:val="24"/>
        </w:rPr>
        <w:t xml:space="preserve">Ezeri ar </w:t>
      </w:r>
      <w:proofErr w:type="spellStart"/>
      <w:r w:rsidRPr="00A07F29">
        <w:rPr>
          <w:rFonts w:ascii="Times New Roman" w:eastAsia="Calibri" w:hAnsi="Times New Roman" w:cs="Times New Roman"/>
          <w:i/>
          <w:iCs/>
          <w:sz w:val="24"/>
          <w:szCs w:val="24"/>
        </w:rPr>
        <w:t>oligotrofām</w:t>
      </w:r>
      <w:proofErr w:type="spellEnd"/>
      <w:r w:rsidRPr="00A07F29">
        <w:rPr>
          <w:rFonts w:ascii="Times New Roman" w:eastAsia="Calibri" w:hAnsi="Times New Roman" w:cs="Times New Roman"/>
          <w:i/>
          <w:iCs/>
          <w:sz w:val="24"/>
          <w:szCs w:val="24"/>
        </w:rPr>
        <w:t xml:space="preserve"> līdz </w:t>
      </w:r>
      <w:proofErr w:type="spellStart"/>
      <w:r w:rsidRPr="00A07F29">
        <w:rPr>
          <w:rFonts w:ascii="Times New Roman" w:eastAsia="Calibri" w:hAnsi="Times New Roman" w:cs="Times New Roman"/>
          <w:i/>
          <w:iCs/>
          <w:sz w:val="24"/>
          <w:szCs w:val="24"/>
        </w:rPr>
        <w:t>mezotrofām</w:t>
      </w:r>
      <w:proofErr w:type="spellEnd"/>
      <w:r w:rsidRPr="00A07F29">
        <w:rPr>
          <w:rFonts w:ascii="Times New Roman" w:eastAsia="Calibri" w:hAnsi="Times New Roman" w:cs="Times New Roman"/>
          <w:i/>
          <w:iCs/>
          <w:sz w:val="24"/>
          <w:szCs w:val="24"/>
        </w:rPr>
        <w:t xml:space="preserve"> augu sabiedrībām</w:t>
      </w:r>
      <w:r w:rsidRPr="00A07F29">
        <w:rPr>
          <w:rFonts w:ascii="Times New Roman" w:eastAsia="Calibri" w:hAnsi="Times New Roman" w:cs="Times New Roman"/>
          <w:sz w:val="24"/>
          <w:szCs w:val="24"/>
        </w:rPr>
        <w:t>, un to dabas vērtību lielo apdraudētību mūsdienās, lobēliju-</w:t>
      </w:r>
      <w:proofErr w:type="spellStart"/>
      <w:r w:rsidRPr="00A07F29">
        <w:rPr>
          <w:rFonts w:ascii="Times New Roman" w:eastAsia="Calibri" w:hAnsi="Times New Roman" w:cs="Times New Roman"/>
          <w:sz w:val="24"/>
          <w:szCs w:val="24"/>
        </w:rPr>
        <w:t>ezereņu</w:t>
      </w:r>
      <w:proofErr w:type="spellEnd"/>
      <w:r w:rsidRPr="00A07F29">
        <w:rPr>
          <w:rFonts w:ascii="Times New Roman" w:eastAsia="Calibri" w:hAnsi="Times New Roman" w:cs="Times New Roman"/>
          <w:sz w:val="24"/>
          <w:szCs w:val="24"/>
        </w:rPr>
        <w:t xml:space="preserve">, t.sk. arī </w:t>
      </w:r>
      <w:proofErr w:type="spellStart"/>
      <w:r w:rsidRPr="00A07F29">
        <w:rPr>
          <w:rFonts w:ascii="Times New Roman" w:eastAsia="Calibri" w:hAnsi="Times New Roman" w:cs="Times New Roman"/>
          <w:sz w:val="24"/>
          <w:szCs w:val="24"/>
        </w:rPr>
        <w:t>mezotrofo</w:t>
      </w:r>
      <w:proofErr w:type="spellEnd"/>
      <w:r w:rsidRPr="00A07F29">
        <w:rPr>
          <w:rFonts w:ascii="Times New Roman" w:eastAsia="Calibri" w:hAnsi="Times New Roman" w:cs="Times New Roman"/>
          <w:sz w:val="24"/>
          <w:szCs w:val="24"/>
        </w:rPr>
        <w:t xml:space="preserve"> ezeru un augstas kvalitātes prioritāro </w:t>
      </w:r>
      <w:proofErr w:type="spellStart"/>
      <w:r w:rsidRPr="00A07F29">
        <w:rPr>
          <w:rFonts w:ascii="Times New Roman" w:eastAsia="Calibri" w:hAnsi="Times New Roman" w:cs="Times New Roman"/>
          <w:sz w:val="24"/>
          <w:szCs w:val="24"/>
        </w:rPr>
        <w:t>lašveidīgo</w:t>
      </w:r>
      <w:proofErr w:type="spellEnd"/>
      <w:r w:rsidRPr="00A07F29">
        <w:rPr>
          <w:rFonts w:ascii="Times New Roman" w:eastAsia="Calibri" w:hAnsi="Times New Roman" w:cs="Times New Roman"/>
          <w:sz w:val="24"/>
          <w:szCs w:val="24"/>
        </w:rPr>
        <w:t xml:space="preserve"> ezeru aizsardzība ir viena no Latvijas ūdeņu biotopu aizsardzības prioritātēm (Urtāns</w:t>
      </w:r>
      <w:r w:rsidR="002E1244" w:rsidRPr="00A07F29">
        <w:rPr>
          <w:rFonts w:ascii="Times New Roman" w:eastAsia="Calibri" w:hAnsi="Times New Roman" w:cs="Times New Roman"/>
          <w:sz w:val="24"/>
          <w:szCs w:val="24"/>
        </w:rPr>
        <w:t xml:space="preserve"> A. V.</w:t>
      </w:r>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et</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al</w:t>
      </w:r>
      <w:proofErr w:type="spellEnd"/>
      <w:r w:rsidRPr="00A07F29">
        <w:rPr>
          <w:rFonts w:ascii="Times New Roman" w:eastAsia="Calibri" w:hAnsi="Times New Roman" w:cs="Times New Roman"/>
          <w:sz w:val="24"/>
          <w:szCs w:val="24"/>
        </w:rPr>
        <w:t xml:space="preserve">., 2017). Latvijā šobrīd ir saglabājies ļoti neliels </w:t>
      </w:r>
      <w:proofErr w:type="spellStart"/>
      <w:r w:rsidRPr="00A07F29">
        <w:rPr>
          <w:rFonts w:ascii="Times New Roman" w:eastAsia="Calibri" w:hAnsi="Times New Roman" w:cs="Times New Roman"/>
          <w:sz w:val="24"/>
          <w:szCs w:val="24"/>
        </w:rPr>
        <w:t>mezotrofo</w:t>
      </w:r>
      <w:proofErr w:type="spellEnd"/>
      <w:r w:rsidRPr="00A07F29">
        <w:rPr>
          <w:rFonts w:ascii="Times New Roman" w:eastAsia="Calibri" w:hAnsi="Times New Roman" w:cs="Times New Roman"/>
          <w:sz w:val="24"/>
          <w:szCs w:val="24"/>
        </w:rPr>
        <w:t xml:space="preserve"> ezeru skaits un tie ir mūsu tīrākie un dzidrākie ezeri ar vērtību. Turklāt jāpiezīmē, ka mūsdienu Latvijā pēdējā pusgadsimta laikā notikušās nesaudzīgas un nepārdomātas cilvēka darbības dēļ ir saglabājušies vien tikai daži </w:t>
      </w:r>
      <w:proofErr w:type="spellStart"/>
      <w:r w:rsidRPr="00A07F29">
        <w:rPr>
          <w:rFonts w:ascii="Times New Roman" w:eastAsia="Calibri" w:hAnsi="Times New Roman" w:cs="Times New Roman"/>
          <w:sz w:val="24"/>
          <w:szCs w:val="24"/>
        </w:rPr>
        <w:lastRenderedPageBreak/>
        <w:t>mezotrofie</w:t>
      </w:r>
      <w:proofErr w:type="spellEnd"/>
      <w:r w:rsidRPr="00A07F29">
        <w:rPr>
          <w:rFonts w:ascii="Times New Roman" w:eastAsia="Calibri" w:hAnsi="Times New Roman" w:cs="Times New Roman"/>
          <w:sz w:val="24"/>
          <w:szCs w:val="24"/>
        </w:rPr>
        <w:t xml:space="preserve"> ezeri, piemēram, </w:t>
      </w:r>
      <w:proofErr w:type="spellStart"/>
      <w:r w:rsidRPr="00A07F29">
        <w:rPr>
          <w:rFonts w:ascii="Times New Roman" w:eastAsia="Calibri" w:hAnsi="Times New Roman" w:cs="Times New Roman"/>
          <w:sz w:val="24"/>
          <w:szCs w:val="24"/>
        </w:rPr>
        <w:t>Dreidzs</w:t>
      </w:r>
      <w:proofErr w:type="spellEnd"/>
      <w:r w:rsidRPr="00A07F29">
        <w:rPr>
          <w:rFonts w:ascii="Times New Roman" w:eastAsia="Calibri" w:hAnsi="Times New Roman" w:cs="Times New Roman"/>
          <w:sz w:val="24"/>
          <w:szCs w:val="24"/>
        </w:rPr>
        <w:t xml:space="preserve"> (izcila kvalitāte), Riču ezers (izcila kvalitāte), Sitas ezers (laba kvalitāte), </w:t>
      </w:r>
      <w:proofErr w:type="spellStart"/>
      <w:r w:rsidRPr="00A07F29">
        <w:rPr>
          <w:rFonts w:ascii="Times New Roman" w:eastAsia="Calibri" w:hAnsi="Times New Roman" w:cs="Times New Roman"/>
          <w:sz w:val="24"/>
          <w:szCs w:val="24"/>
        </w:rPr>
        <w:t>Jazinks</w:t>
      </w:r>
      <w:proofErr w:type="spellEnd"/>
      <w:r w:rsidRPr="00A07F29">
        <w:rPr>
          <w:rFonts w:ascii="Times New Roman" w:eastAsia="Calibri" w:hAnsi="Times New Roman" w:cs="Times New Roman"/>
          <w:sz w:val="24"/>
          <w:szCs w:val="24"/>
        </w:rPr>
        <w:t xml:space="preserve"> (laba kvalitāte) un Laukezers (laba kvalitāte), kuru aizsardzībai, biotopu kvalitātes atjaunošanai un uzlabošanai, kā arī dabai draudzīgai apsaimniekošanai piešķirama prioritāra nozīme.</w:t>
      </w:r>
    </w:p>
    <w:p w14:paraId="33695D59" w14:textId="430ADED9" w:rsidR="00340783" w:rsidRPr="00A07F29" w:rsidRDefault="00340783" w:rsidP="00EF3715">
      <w:pPr>
        <w:widowControl w:val="0"/>
        <w:autoSpaceDE w:val="0"/>
        <w:autoSpaceDN w:val="0"/>
        <w:adjustRightInd w:val="0"/>
        <w:spacing w:after="0" w:line="240" w:lineRule="auto"/>
        <w:ind w:firstLine="851"/>
        <w:jc w:val="both"/>
        <w:rPr>
          <w:rFonts w:ascii="Times New Roman" w:eastAsia="Calibri" w:hAnsi="Times New Roman" w:cs="Times New Roman"/>
          <w:sz w:val="24"/>
          <w:szCs w:val="24"/>
        </w:rPr>
      </w:pPr>
      <w:proofErr w:type="spellStart"/>
      <w:r w:rsidRPr="00A07F29">
        <w:rPr>
          <w:rFonts w:ascii="Times New Roman" w:eastAsia="Calibri" w:hAnsi="Times New Roman" w:cs="Times New Roman"/>
          <w:sz w:val="24"/>
          <w:szCs w:val="24"/>
        </w:rPr>
        <w:t>Mezotrofo</w:t>
      </w:r>
      <w:proofErr w:type="spellEnd"/>
      <w:r w:rsidRPr="00A07F29">
        <w:rPr>
          <w:rFonts w:ascii="Times New Roman" w:eastAsia="Calibri" w:hAnsi="Times New Roman" w:cs="Times New Roman"/>
          <w:sz w:val="24"/>
          <w:szCs w:val="24"/>
        </w:rPr>
        <w:t xml:space="preserve"> ezeru biotopu aizsardzības un apsaimniekošanas mērķis ir saglabāt augstas ekoloģiskās kvalitātes ūdeņu resursu, tā nodrošinot piemērotu dzīves vidi tajos mītošajiem specifiskajiem organismiem un saglabājot tajos sastopamās </w:t>
      </w:r>
      <w:r w:rsidRPr="003127C6">
        <w:rPr>
          <w:rFonts w:ascii="Times New Roman" w:eastAsia="Calibri" w:hAnsi="Times New Roman" w:cs="Times New Roman"/>
          <w:sz w:val="24"/>
          <w:szCs w:val="24"/>
        </w:rPr>
        <w:t>īpaši aizsargājamo</w:t>
      </w:r>
      <w:r w:rsidRPr="00A07F29">
        <w:rPr>
          <w:rFonts w:ascii="Times New Roman" w:eastAsia="Calibri" w:hAnsi="Times New Roman" w:cs="Times New Roman"/>
          <w:sz w:val="24"/>
          <w:szCs w:val="24"/>
        </w:rPr>
        <w:t xml:space="preserve"> augu un dzīvnieku sugas (Urtāns</w:t>
      </w:r>
      <w:r w:rsidR="00AC15D9" w:rsidRPr="00A07F29">
        <w:rPr>
          <w:rFonts w:ascii="Times New Roman" w:eastAsia="Calibri" w:hAnsi="Times New Roman" w:cs="Times New Roman"/>
          <w:sz w:val="24"/>
          <w:szCs w:val="24"/>
        </w:rPr>
        <w:t xml:space="preserve"> A. V.</w:t>
      </w:r>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et</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al</w:t>
      </w:r>
      <w:proofErr w:type="spellEnd"/>
      <w:r w:rsidRPr="00A07F29">
        <w:rPr>
          <w:rFonts w:ascii="Times New Roman" w:eastAsia="Calibri" w:hAnsi="Times New Roman" w:cs="Times New Roman"/>
          <w:sz w:val="24"/>
          <w:szCs w:val="24"/>
        </w:rPr>
        <w:t xml:space="preserve">., 2017). Nepalielinoties </w:t>
      </w:r>
      <w:proofErr w:type="spellStart"/>
      <w:r w:rsidRPr="00A07F29">
        <w:rPr>
          <w:rFonts w:ascii="Times New Roman" w:eastAsia="Calibri" w:hAnsi="Times New Roman" w:cs="Times New Roman"/>
          <w:sz w:val="24"/>
          <w:szCs w:val="24"/>
        </w:rPr>
        <w:t>biogēnu</w:t>
      </w:r>
      <w:proofErr w:type="spellEnd"/>
      <w:r w:rsidRPr="00A07F29">
        <w:rPr>
          <w:rFonts w:ascii="Times New Roman" w:eastAsia="Calibri" w:hAnsi="Times New Roman" w:cs="Times New Roman"/>
          <w:sz w:val="24"/>
          <w:szCs w:val="24"/>
        </w:rPr>
        <w:t xml:space="preserve"> ienesei ezerā, tīrie </w:t>
      </w:r>
      <w:proofErr w:type="spellStart"/>
      <w:r w:rsidRPr="00A07F29">
        <w:rPr>
          <w:rFonts w:ascii="Times New Roman" w:eastAsia="Calibri" w:hAnsi="Times New Roman" w:cs="Times New Roman"/>
          <w:sz w:val="24"/>
          <w:szCs w:val="24"/>
        </w:rPr>
        <w:t>mezotrofie</w:t>
      </w:r>
      <w:proofErr w:type="spellEnd"/>
      <w:r w:rsidRPr="00A07F29">
        <w:rPr>
          <w:rFonts w:ascii="Times New Roman" w:eastAsia="Calibri" w:hAnsi="Times New Roman" w:cs="Times New Roman"/>
          <w:sz w:val="24"/>
          <w:szCs w:val="24"/>
        </w:rPr>
        <w:t xml:space="preserve"> ezeri var ilgstoši saglabāties esošajā stadijā. Bagātināšanās ar barības vielām izraisa strauju biotopam raksturīgo sugu nomaiņu un izzušanu. </w:t>
      </w:r>
      <w:proofErr w:type="spellStart"/>
      <w:r w:rsidRPr="00A07F29">
        <w:rPr>
          <w:rFonts w:ascii="Times New Roman" w:eastAsia="Calibri" w:hAnsi="Times New Roman" w:cs="Times New Roman"/>
          <w:sz w:val="24"/>
          <w:szCs w:val="24"/>
        </w:rPr>
        <w:t>Mezotrofaj</w:t>
      </w:r>
      <w:r w:rsidR="000B31EA" w:rsidRPr="00A07F29">
        <w:rPr>
          <w:rFonts w:ascii="Times New Roman" w:eastAsia="Calibri" w:hAnsi="Times New Roman" w:cs="Times New Roman"/>
          <w:sz w:val="24"/>
          <w:szCs w:val="24"/>
        </w:rPr>
        <w:t>a</w:t>
      </w:r>
      <w:r w:rsidRPr="00A07F29">
        <w:rPr>
          <w:rFonts w:ascii="Times New Roman" w:eastAsia="Calibri" w:hAnsi="Times New Roman" w:cs="Times New Roman"/>
          <w:sz w:val="24"/>
          <w:szCs w:val="24"/>
        </w:rPr>
        <w:t>m</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Varnaviču</w:t>
      </w:r>
      <w:proofErr w:type="spellEnd"/>
      <w:r w:rsidRPr="00A07F29">
        <w:rPr>
          <w:rFonts w:ascii="Times New Roman" w:eastAsia="Calibri" w:hAnsi="Times New Roman" w:cs="Times New Roman"/>
          <w:sz w:val="24"/>
          <w:szCs w:val="24"/>
        </w:rPr>
        <w:t xml:space="preserve"> ezeram ir raksturīga ļoti lēna ūdens apmaiņa, kas ilgst vidēji 3,23 gadi, kā rezultātā tas ir ļoti jūtīgs pret jebkādu piesārņojumu, kas rodas no </w:t>
      </w:r>
      <w:proofErr w:type="spellStart"/>
      <w:r w:rsidRPr="00A07F29">
        <w:rPr>
          <w:rFonts w:ascii="Times New Roman" w:eastAsia="Calibri" w:hAnsi="Times New Roman" w:cs="Times New Roman"/>
          <w:sz w:val="24"/>
          <w:szCs w:val="24"/>
        </w:rPr>
        <w:t>biogēnu</w:t>
      </w:r>
      <w:proofErr w:type="spellEnd"/>
      <w:r w:rsidRPr="00A07F29">
        <w:rPr>
          <w:rFonts w:ascii="Times New Roman" w:eastAsia="Calibri" w:hAnsi="Times New Roman" w:cs="Times New Roman"/>
          <w:sz w:val="24"/>
          <w:szCs w:val="24"/>
        </w:rPr>
        <w:t xml:space="preserve"> papildu ieneses. Tāpēc šī ezera apsaimniekošanas svarīgākais uzdevums ir novērst iespēju antropogēnās darbības rezultātā ezerā nonākt jebkādam šo elementu daudzumam. Tas panākams, atbilstoši apsaimniekojot šo ezeru sateces baseinus un aizsargjoslas, ierobežojot rekreācijas slodzes un apbūvi, ievērojot saudzīgas rekreācijas principus un veicot niedru pļaušanu eitrofikācijas rezultātā blīvi aizaugušajos ezeru </w:t>
      </w:r>
      <w:proofErr w:type="spellStart"/>
      <w:r w:rsidRPr="00A07F29">
        <w:rPr>
          <w:rFonts w:ascii="Times New Roman" w:eastAsia="Calibri" w:hAnsi="Times New Roman" w:cs="Times New Roman"/>
          <w:sz w:val="24"/>
          <w:szCs w:val="24"/>
        </w:rPr>
        <w:t>litorāla</w:t>
      </w:r>
      <w:proofErr w:type="spellEnd"/>
      <w:r w:rsidRPr="00A07F29">
        <w:rPr>
          <w:rFonts w:ascii="Times New Roman" w:eastAsia="Calibri" w:hAnsi="Times New Roman" w:cs="Times New Roman"/>
          <w:sz w:val="24"/>
          <w:szCs w:val="24"/>
        </w:rPr>
        <w:t xml:space="preserve"> posmos.</w:t>
      </w:r>
    </w:p>
    <w:p w14:paraId="6C2EE769" w14:textId="51341667" w:rsidR="00340783" w:rsidRPr="00A07F29" w:rsidRDefault="00340783" w:rsidP="00EF3715">
      <w:pPr>
        <w:widowControl w:val="0"/>
        <w:autoSpaceDE w:val="0"/>
        <w:autoSpaceDN w:val="0"/>
        <w:adjustRightInd w:val="0"/>
        <w:spacing w:after="0" w:line="240" w:lineRule="auto"/>
        <w:ind w:firstLine="851"/>
        <w:jc w:val="both"/>
        <w:rPr>
          <w:rFonts w:ascii="Times New Roman" w:eastAsia="Calibri" w:hAnsi="Times New Roman" w:cs="Times New Roman"/>
          <w:sz w:val="24"/>
          <w:szCs w:val="24"/>
        </w:rPr>
      </w:pPr>
      <w:proofErr w:type="spellStart"/>
      <w:r w:rsidRPr="00A07F29">
        <w:rPr>
          <w:rFonts w:ascii="Times New Roman" w:eastAsia="Calibri" w:hAnsi="Times New Roman" w:cs="Times New Roman"/>
          <w:sz w:val="24"/>
          <w:szCs w:val="24"/>
        </w:rPr>
        <w:t>Eitrofo</w:t>
      </w:r>
      <w:proofErr w:type="spellEnd"/>
      <w:r w:rsidRPr="00A07F29">
        <w:rPr>
          <w:rFonts w:ascii="Times New Roman" w:eastAsia="Calibri" w:hAnsi="Times New Roman" w:cs="Times New Roman"/>
          <w:sz w:val="24"/>
          <w:szCs w:val="24"/>
        </w:rPr>
        <w:t xml:space="preserve"> un </w:t>
      </w:r>
      <w:proofErr w:type="spellStart"/>
      <w:r w:rsidRPr="00A07F29">
        <w:rPr>
          <w:rFonts w:ascii="Times New Roman" w:eastAsia="Calibri" w:hAnsi="Times New Roman" w:cs="Times New Roman"/>
          <w:sz w:val="24"/>
          <w:szCs w:val="24"/>
        </w:rPr>
        <w:t>diseitrofo</w:t>
      </w:r>
      <w:proofErr w:type="spellEnd"/>
      <w:r w:rsidRPr="00A07F29">
        <w:rPr>
          <w:rFonts w:ascii="Times New Roman" w:eastAsia="Calibri" w:hAnsi="Times New Roman" w:cs="Times New Roman"/>
          <w:sz w:val="24"/>
          <w:szCs w:val="24"/>
        </w:rPr>
        <w:t xml:space="preserve"> ezeru, kas atbilst </w:t>
      </w:r>
      <w:r w:rsidRPr="00B72130">
        <w:rPr>
          <w:rFonts w:ascii="Times New Roman" w:eastAsia="Calibri" w:hAnsi="Times New Roman" w:cs="Times New Roman"/>
          <w:sz w:val="24"/>
          <w:szCs w:val="24"/>
        </w:rPr>
        <w:t>E</w:t>
      </w:r>
      <w:r w:rsidR="00B72130" w:rsidRPr="00B72130">
        <w:rPr>
          <w:rFonts w:ascii="Times New Roman" w:eastAsia="Calibri" w:hAnsi="Times New Roman" w:cs="Times New Roman"/>
          <w:sz w:val="24"/>
          <w:szCs w:val="24"/>
        </w:rPr>
        <w:t>S</w:t>
      </w:r>
      <w:r w:rsidRPr="00A07F29">
        <w:rPr>
          <w:rFonts w:ascii="Times New Roman" w:eastAsia="Calibri" w:hAnsi="Times New Roman" w:cs="Times New Roman"/>
          <w:sz w:val="24"/>
          <w:szCs w:val="24"/>
        </w:rPr>
        <w:t xml:space="preserve"> un Latvijas aizsargājamajam biotopam 3150/4.15.</w:t>
      </w:r>
      <w:r w:rsidR="00534B1F" w:rsidRPr="00A07F29">
        <w:rPr>
          <w:rFonts w:ascii="Times New Roman" w:eastAsia="Calibri" w:hAnsi="Times New Roman" w:cs="Times New Roman"/>
          <w:sz w:val="24"/>
          <w:szCs w:val="24"/>
        </w:rPr>
        <w:t> </w:t>
      </w:r>
      <w:proofErr w:type="spellStart"/>
      <w:r w:rsidRPr="00A07F29">
        <w:rPr>
          <w:rFonts w:ascii="Times New Roman" w:eastAsia="Calibri" w:hAnsi="Times New Roman" w:cs="Times New Roman"/>
          <w:i/>
          <w:iCs/>
          <w:sz w:val="24"/>
          <w:szCs w:val="24"/>
        </w:rPr>
        <w:t>Eitrofi</w:t>
      </w:r>
      <w:proofErr w:type="spellEnd"/>
      <w:r w:rsidRPr="00A07F29">
        <w:rPr>
          <w:rFonts w:ascii="Times New Roman" w:eastAsia="Calibri" w:hAnsi="Times New Roman" w:cs="Times New Roman"/>
          <w:i/>
          <w:iCs/>
          <w:sz w:val="24"/>
          <w:szCs w:val="24"/>
        </w:rPr>
        <w:t xml:space="preserve"> ezeri ar iegrimušu ūdensaugu un </w:t>
      </w:r>
      <w:proofErr w:type="spellStart"/>
      <w:r w:rsidRPr="00A07F29">
        <w:rPr>
          <w:rFonts w:ascii="Times New Roman" w:eastAsia="Calibri" w:hAnsi="Times New Roman" w:cs="Times New Roman"/>
          <w:i/>
          <w:iCs/>
          <w:sz w:val="24"/>
          <w:szCs w:val="24"/>
        </w:rPr>
        <w:t>peldaugu</w:t>
      </w:r>
      <w:proofErr w:type="spellEnd"/>
      <w:r w:rsidRPr="00A07F29">
        <w:rPr>
          <w:rFonts w:ascii="Times New Roman" w:eastAsia="Calibri" w:hAnsi="Times New Roman" w:cs="Times New Roman"/>
          <w:i/>
          <w:iCs/>
          <w:sz w:val="24"/>
          <w:szCs w:val="24"/>
        </w:rPr>
        <w:t xml:space="preserve"> augāju</w:t>
      </w:r>
      <w:r w:rsidRPr="00A07F29">
        <w:rPr>
          <w:rFonts w:ascii="Times New Roman" w:eastAsia="Calibri" w:hAnsi="Times New Roman" w:cs="Times New Roman"/>
          <w:sz w:val="24"/>
          <w:szCs w:val="24"/>
        </w:rPr>
        <w:t xml:space="preserve">, aizsardzības un apsaimniekošanas mērķis ir samazināt vai nepieļaut pastiprinātu (dabiskai notecei neatbilstošu) barības vielu daudzuma nokļūšanu ezerā no sateces baseina un skābekļa daudzuma samazināšanos, kas izraisa ezera gultnē esošo nešķīstošo fosfora savienojumu izšķīšanu un nokļūšanu atpakaļ ūdens vidē, lai tādā veidā palēninātu ezera novecošanos. Ezera novecošanās izpaužas kā barības vielu uzkrāšanās, </w:t>
      </w:r>
      <w:proofErr w:type="spellStart"/>
      <w:r w:rsidRPr="00A07F29">
        <w:rPr>
          <w:rFonts w:ascii="Times New Roman" w:eastAsia="Calibri" w:hAnsi="Times New Roman" w:cs="Times New Roman"/>
          <w:sz w:val="24"/>
          <w:szCs w:val="24"/>
        </w:rPr>
        <w:t>ezerdobes</w:t>
      </w:r>
      <w:proofErr w:type="spellEnd"/>
      <w:r w:rsidRPr="00A07F29">
        <w:rPr>
          <w:rFonts w:ascii="Times New Roman" w:eastAsia="Calibri" w:hAnsi="Times New Roman" w:cs="Times New Roman"/>
          <w:sz w:val="24"/>
          <w:szCs w:val="24"/>
        </w:rPr>
        <w:t xml:space="preserve"> tilpuma samazināšanās, ezera pakāpeniska aizaugšana un ezera galīga izzušana, pārvēršoties sākumā par zāļu, pēc tam pārejas un beigās par augsto purvu. </w:t>
      </w:r>
    </w:p>
    <w:p w14:paraId="5E709D4E" w14:textId="7FF444D9" w:rsidR="00340783" w:rsidRPr="00A07F29" w:rsidRDefault="00340783" w:rsidP="00EF3715">
      <w:pPr>
        <w:widowControl w:val="0"/>
        <w:autoSpaceDE w:val="0"/>
        <w:autoSpaceDN w:val="0"/>
        <w:adjustRightInd w:val="0"/>
        <w:spacing w:after="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Ezeru aizsardzības nolūkos Augšdaugavas AAA ezeros stingri jāievēro arī atbilstoši peldlīdzekļu izmantošanas nosacījumi (ierobežojum</w:t>
      </w:r>
      <w:r w:rsidR="000D284E" w:rsidRPr="00A07F29">
        <w:rPr>
          <w:rFonts w:ascii="Times New Roman" w:eastAsia="Calibri" w:hAnsi="Times New Roman" w:cs="Times New Roman"/>
          <w:sz w:val="24"/>
          <w:szCs w:val="24"/>
        </w:rPr>
        <w:t>i</w:t>
      </w:r>
      <w:r w:rsidRPr="00A07F29">
        <w:rPr>
          <w:rFonts w:ascii="Times New Roman" w:eastAsia="Calibri" w:hAnsi="Times New Roman" w:cs="Times New Roman"/>
          <w:sz w:val="24"/>
          <w:szCs w:val="24"/>
        </w:rPr>
        <w:t xml:space="preserve"> neattiecas uz glābšanas, robežsardzes, operatīvajiem un dabas aizsardzības dienestu peldošajiem transportlīdzekļiem). Visos ezeros</w:t>
      </w:r>
      <w:r w:rsidR="00D65BBA" w:rsidRPr="00A07F29">
        <w:rPr>
          <w:rFonts w:ascii="Times New Roman" w:eastAsia="Calibri" w:hAnsi="Times New Roman" w:cs="Times New Roman"/>
          <w:sz w:val="24"/>
          <w:szCs w:val="24"/>
        </w:rPr>
        <w:t xml:space="preserve"> </w:t>
      </w:r>
      <w:r w:rsidRPr="00A07F29">
        <w:rPr>
          <w:rFonts w:ascii="Times New Roman" w:eastAsia="Calibri" w:hAnsi="Times New Roman" w:cs="Times New Roman"/>
          <w:sz w:val="24"/>
          <w:szCs w:val="24"/>
        </w:rPr>
        <w:t xml:space="preserve">atļauta tikai airu laivu, ūdens velosipēdu, katamarānu un citu nemotorizētu peldlīdzekļu izmantošana. Visos ezeros ir atļauta makšķerēšana un lielākajos ezeros arī zveja no krasta un no laivas, kā arī zivju piebarošana nelielos apjomos, izņemot </w:t>
      </w:r>
      <w:proofErr w:type="spellStart"/>
      <w:r w:rsidRPr="00A07F29">
        <w:rPr>
          <w:rFonts w:ascii="Times New Roman" w:eastAsia="Calibri" w:hAnsi="Times New Roman" w:cs="Times New Roman"/>
          <w:sz w:val="24"/>
          <w:szCs w:val="24"/>
        </w:rPr>
        <w:t>Varnaviču</w:t>
      </w:r>
      <w:proofErr w:type="spellEnd"/>
      <w:r w:rsidRPr="00A07F29">
        <w:rPr>
          <w:rFonts w:ascii="Times New Roman" w:eastAsia="Calibri" w:hAnsi="Times New Roman" w:cs="Times New Roman"/>
          <w:sz w:val="24"/>
          <w:szCs w:val="24"/>
        </w:rPr>
        <w:t xml:space="preserve"> ezeru, kur zivju piebarošana ir aizliegta. Visos ezeros atļauta zemūdens niršana ar akvalangiem, bet tā nedrīkst tikt organizēta peldvietās, pludmales zonās, piestātņu teritorijās, izņemot, ja niršana saistīta ar speciālu darbu veikšanu vai zinātniski-pētnieciskiem darbiem. Airu laivu, ūdens velosipēdu, katamarānu un citu nemotorizētu peldlīdzekļu izmantošana rekreācijai atļauta, neapdraudot peldētāju drošību. Ezeros atļauti arī citi rekreācijas veidi izmantojot cita veida peldlīdzekļus, kā piemēram, SUP dēļus un citus aktīvās atpūtas veid</w:t>
      </w:r>
      <w:r w:rsidR="00B2300E" w:rsidRPr="00A07F29">
        <w:rPr>
          <w:rFonts w:ascii="Times New Roman" w:eastAsia="Calibri" w:hAnsi="Times New Roman" w:cs="Times New Roman"/>
          <w:sz w:val="24"/>
          <w:szCs w:val="24"/>
        </w:rPr>
        <w:t>us</w:t>
      </w:r>
      <w:r w:rsidRPr="00A07F29">
        <w:rPr>
          <w:rFonts w:ascii="Times New Roman" w:eastAsia="Calibri" w:hAnsi="Times New Roman" w:cs="Times New Roman"/>
          <w:sz w:val="24"/>
          <w:szCs w:val="24"/>
        </w:rPr>
        <w:t xml:space="preserve">. </w:t>
      </w:r>
    </w:p>
    <w:p w14:paraId="0C246394" w14:textId="23360935" w:rsidR="00340783" w:rsidRPr="00A07F29" w:rsidRDefault="0017530E" w:rsidP="007B731C">
      <w:pPr>
        <w:widowControl w:val="0"/>
        <w:spacing w:after="120" w:line="240" w:lineRule="auto"/>
        <w:ind w:right="26" w:firstLine="851"/>
        <w:jc w:val="both"/>
        <w:rPr>
          <w:rFonts w:ascii="Times New Roman" w:eastAsia="Times New Roman" w:hAnsi="Times New Roman" w:cs="Times New Roman"/>
          <w:sz w:val="24"/>
          <w:szCs w:val="24"/>
        </w:rPr>
      </w:pPr>
      <w:proofErr w:type="spellStart"/>
      <w:r w:rsidRPr="00A07F29">
        <w:rPr>
          <w:rFonts w:ascii="Times New Roman" w:eastAsia="Calibri" w:hAnsi="Times New Roman" w:cs="Times New Roman"/>
          <w:sz w:val="24"/>
          <w:szCs w:val="24"/>
        </w:rPr>
        <w:t>Butiš</w:t>
      </w:r>
      <w:r w:rsidR="00F4393E" w:rsidRPr="00A07F29">
        <w:rPr>
          <w:rFonts w:ascii="Times New Roman" w:eastAsia="Calibri" w:hAnsi="Times New Roman" w:cs="Times New Roman"/>
          <w:sz w:val="24"/>
          <w:szCs w:val="24"/>
        </w:rPr>
        <w:t>ķ</w:t>
      </w:r>
      <w:r w:rsidRPr="00A07F29">
        <w:rPr>
          <w:rFonts w:ascii="Times New Roman" w:eastAsia="Calibri" w:hAnsi="Times New Roman" w:cs="Times New Roman"/>
          <w:sz w:val="24"/>
          <w:szCs w:val="24"/>
        </w:rPr>
        <w:t>u</w:t>
      </w:r>
      <w:proofErr w:type="spellEnd"/>
      <w:r w:rsidRPr="00A07F29">
        <w:rPr>
          <w:rFonts w:ascii="Times New Roman" w:eastAsia="Calibri" w:hAnsi="Times New Roman" w:cs="Times New Roman"/>
          <w:sz w:val="24"/>
          <w:szCs w:val="24"/>
        </w:rPr>
        <w:t xml:space="preserve"> ezera dziļums piedūņošanās un meliorācijas ienesto </w:t>
      </w:r>
      <w:proofErr w:type="spellStart"/>
      <w:r w:rsidRPr="00A07F29">
        <w:rPr>
          <w:rFonts w:ascii="Times New Roman" w:eastAsia="Calibri" w:hAnsi="Times New Roman" w:cs="Times New Roman"/>
          <w:sz w:val="24"/>
          <w:szCs w:val="24"/>
        </w:rPr>
        <w:t>sedimentu</w:t>
      </w:r>
      <w:proofErr w:type="spellEnd"/>
      <w:r w:rsidRPr="00A07F29">
        <w:rPr>
          <w:rFonts w:ascii="Times New Roman" w:eastAsia="Calibri" w:hAnsi="Times New Roman" w:cs="Times New Roman"/>
          <w:sz w:val="24"/>
          <w:szCs w:val="24"/>
        </w:rPr>
        <w:t xml:space="preserve"> ietekmē ir samazinājies zem kritiskā līmeņa. Ja tiek uzskatīts par vajadzīgu objektu saglabāt kā ezeru, ir nepieciešams izņemt nogulumu slāni vismaz 1 m biezumā, vidusdaļā </w:t>
      </w:r>
      <w:r w:rsidR="00910235" w:rsidRPr="00A07F29">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pat 2 m biezumā. Ezera atjaunošanu vēlams darīt atsevišķi A daļai, bet arī tad ir jāizņem apmēram 15000 m</w:t>
      </w:r>
      <w:r w:rsidRPr="00A07F29">
        <w:rPr>
          <w:rFonts w:ascii="Times New Roman" w:eastAsia="Calibri" w:hAnsi="Times New Roman" w:cs="Times New Roman"/>
          <w:sz w:val="24"/>
          <w:szCs w:val="24"/>
          <w:vertAlign w:val="superscript"/>
        </w:rPr>
        <w:t>3</w:t>
      </w:r>
      <w:r w:rsidRPr="00A07F29">
        <w:rPr>
          <w:rFonts w:ascii="Times New Roman" w:eastAsia="Calibri" w:hAnsi="Times New Roman" w:cs="Times New Roman"/>
          <w:sz w:val="24"/>
          <w:szCs w:val="24"/>
        </w:rPr>
        <w:t xml:space="preserve"> nogulumu. Pirms nogulumu izņemšanas ieteicams izcirst krūmāju, kas saaudzis </w:t>
      </w:r>
      <w:proofErr w:type="spellStart"/>
      <w:r w:rsidRPr="00A07F29">
        <w:rPr>
          <w:rFonts w:ascii="Times New Roman" w:eastAsia="Calibri" w:hAnsi="Times New Roman" w:cs="Times New Roman"/>
          <w:sz w:val="24"/>
          <w:szCs w:val="24"/>
        </w:rPr>
        <w:t>ezerdobē</w:t>
      </w:r>
      <w:proofErr w:type="spellEnd"/>
      <w:r w:rsidRPr="00A07F29">
        <w:rPr>
          <w:rFonts w:ascii="Times New Roman" w:eastAsia="Calibri" w:hAnsi="Times New Roman" w:cs="Times New Roman"/>
          <w:sz w:val="24"/>
          <w:szCs w:val="24"/>
        </w:rPr>
        <w:t>. Izņemšanu sausā laikā var izdarīt ar ekskavatoru, bet problēma ir izmaksas un izņemto nogulumu izmantošana, un šobrīd nav redzamas vajadzības</w:t>
      </w:r>
      <w:r w:rsidR="000D319A" w:rsidRPr="00A07F29">
        <w:rPr>
          <w:rFonts w:ascii="Times New Roman" w:eastAsia="Calibri" w:hAnsi="Times New Roman" w:cs="Times New Roman"/>
          <w:sz w:val="24"/>
          <w:szCs w:val="24"/>
        </w:rPr>
        <w:t>.</w:t>
      </w:r>
    </w:p>
    <w:p w14:paraId="6098420A" w14:textId="5267E343" w:rsidR="002E7E91" w:rsidRPr="00A07F29" w:rsidRDefault="00FE03F0" w:rsidP="00EF3715">
      <w:pPr>
        <w:spacing w:after="0" w:line="240" w:lineRule="auto"/>
        <w:ind w:firstLine="851"/>
        <w:jc w:val="both"/>
        <w:rPr>
          <w:rFonts w:ascii="Times New Roman" w:eastAsia="Calibri" w:hAnsi="Times New Roman" w:cs="Times New Roman"/>
          <w:sz w:val="24"/>
          <w:szCs w:val="24"/>
        </w:rPr>
      </w:pPr>
      <w:proofErr w:type="spellStart"/>
      <w:r w:rsidRPr="00A07F29">
        <w:rPr>
          <w:rFonts w:ascii="Times New Roman" w:eastAsia="Calibri" w:hAnsi="Times New Roman" w:cs="Times New Roman"/>
          <w:sz w:val="24"/>
          <w:szCs w:val="24"/>
        </w:rPr>
        <w:t>But</w:t>
      </w:r>
      <w:r w:rsidR="005D1C24" w:rsidRPr="00A07F29">
        <w:rPr>
          <w:rFonts w:ascii="Times New Roman" w:eastAsia="Calibri" w:hAnsi="Times New Roman" w:cs="Times New Roman"/>
          <w:sz w:val="24"/>
          <w:szCs w:val="24"/>
        </w:rPr>
        <w:t>i</w:t>
      </w:r>
      <w:r w:rsidRPr="00A07F29">
        <w:rPr>
          <w:rFonts w:ascii="Times New Roman" w:eastAsia="Calibri" w:hAnsi="Times New Roman" w:cs="Times New Roman"/>
          <w:sz w:val="24"/>
          <w:szCs w:val="24"/>
        </w:rPr>
        <w:t>šķu</w:t>
      </w:r>
      <w:proofErr w:type="spellEnd"/>
      <w:r w:rsidRPr="00A07F29">
        <w:rPr>
          <w:rFonts w:ascii="Times New Roman" w:eastAsia="Calibri" w:hAnsi="Times New Roman" w:cs="Times New Roman"/>
          <w:sz w:val="24"/>
          <w:szCs w:val="24"/>
        </w:rPr>
        <w:t xml:space="preserve"> ezers nav dabisks ezers, bet ir 19.</w:t>
      </w:r>
      <w:r w:rsidR="000D319A" w:rsidRPr="00A07F29">
        <w:rPr>
          <w:rFonts w:ascii="Times New Roman" w:eastAsia="Calibri" w:hAnsi="Times New Roman" w:cs="Times New Roman"/>
          <w:sz w:val="24"/>
          <w:szCs w:val="24"/>
        </w:rPr>
        <w:t> </w:t>
      </w:r>
      <w:r w:rsidRPr="00A07F29">
        <w:rPr>
          <w:rFonts w:ascii="Times New Roman" w:eastAsia="Calibri" w:hAnsi="Times New Roman" w:cs="Times New Roman"/>
          <w:sz w:val="24"/>
          <w:szCs w:val="24"/>
        </w:rPr>
        <w:t>gadsimta otrajā pusē izveidots muižas dīķis. 1785.</w:t>
      </w:r>
      <w:r w:rsidR="000D319A" w:rsidRPr="00A07F29">
        <w:rPr>
          <w:rFonts w:ascii="Times New Roman" w:eastAsia="Calibri" w:hAnsi="Times New Roman" w:cs="Times New Roman"/>
          <w:sz w:val="24"/>
          <w:szCs w:val="24"/>
        </w:rPr>
        <w:t> </w:t>
      </w:r>
      <w:r w:rsidRPr="00A07F29">
        <w:rPr>
          <w:rFonts w:ascii="Times New Roman" w:eastAsia="Calibri" w:hAnsi="Times New Roman" w:cs="Times New Roman"/>
          <w:sz w:val="24"/>
          <w:szCs w:val="24"/>
        </w:rPr>
        <w:t>gada Latgales pirmās</w:t>
      </w:r>
      <w:r w:rsidR="00D65BBA"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Ģenerālmērīšanas</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divverstu</w:t>
      </w:r>
      <w:proofErr w:type="spellEnd"/>
      <w:r w:rsidRPr="00A07F29">
        <w:rPr>
          <w:rFonts w:ascii="Times New Roman" w:eastAsia="Calibri" w:hAnsi="Times New Roman" w:cs="Times New Roman"/>
          <w:sz w:val="24"/>
          <w:szCs w:val="24"/>
        </w:rPr>
        <w:t xml:space="preserve"> kartē neviens ezers pie </w:t>
      </w:r>
      <w:proofErr w:type="spellStart"/>
      <w:r w:rsidRPr="00A07F29">
        <w:rPr>
          <w:rFonts w:ascii="Times New Roman" w:eastAsia="Calibri" w:hAnsi="Times New Roman" w:cs="Times New Roman"/>
          <w:sz w:val="24"/>
          <w:szCs w:val="24"/>
        </w:rPr>
        <w:t>Butišku</w:t>
      </w:r>
      <w:proofErr w:type="spellEnd"/>
      <w:r w:rsidRPr="00A07F29">
        <w:rPr>
          <w:rFonts w:ascii="Times New Roman" w:eastAsia="Calibri" w:hAnsi="Times New Roman" w:cs="Times New Roman"/>
          <w:sz w:val="24"/>
          <w:szCs w:val="24"/>
        </w:rPr>
        <w:t xml:space="preserve"> muižas nav norādīts, kamēr aptuveni tāda paša lieluma </w:t>
      </w:r>
      <w:proofErr w:type="spellStart"/>
      <w:r w:rsidRPr="00A07F29">
        <w:rPr>
          <w:rFonts w:ascii="Times New Roman" w:eastAsia="Calibri" w:hAnsi="Times New Roman" w:cs="Times New Roman"/>
          <w:sz w:val="24"/>
          <w:szCs w:val="24"/>
        </w:rPr>
        <w:t>Gluhoje</w:t>
      </w:r>
      <w:proofErr w:type="spellEnd"/>
      <w:r w:rsidRPr="00A07F29">
        <w:rPr>
          <w:rFonts w:ascii="Times New Roman" w:eastAsia="Calibri" w:hAnsi="Times New Roman" w:cs="Times New Roman"/>
          <w:sz w:val="24"/>
          <w:szCs w:val="24"/>
        </w:rPr>
        <w:t xml:space="preserve"> ezer</w:t>
      </w:r>
      <w:r w:rsidR="00514E0D" w:rsidRPr="00A07F29">
        <w:rPr>
          <w:rFonts w:ascii="Times New Roman" w:eastAsia="Calibri" w:hAnsi="Times New Roman" w:cs="Times New Roman"/>
          <w:sz w:val="24"/>
          <w:szCs w:val="24"/>
        </w:rPr>
        <w:t>s</w:t>
      </w:r>
      <w:r w:rsidRPr="00A07F29">
        <w:rPr>
          <w:rFonts w:ascii="Times New Roman" w:eastAsia="Calibri" w:hAnsi="Times New Roman" w:cs="Times New Roman"/>
          <w:sz w:val="24"/>
          <w:szCs w:val="24"/>
        </w:rPr>
        <w:t xml:space="preserve"> pie Daugavpils - Krāslavas ceļa ir skaidri norādīts šajā un visās vēlākajās kartēs. Ezers pie </w:t>
      </w:r>
      <w:proofErr w:type="spellStart"/>
      <w:r w:rsidRPr="00A07F29">
        <w:rPr>
          <w:rFonts w:ascii="Times New Roman" w:eastAsia="Calibri" w:hAnsi="Times New Roman" w:cs="Times New Roman"/>
          <w:sz w:val="24"/>
          <w:szCs w:val="24"/>
        </w:rPr>
        <w:t>Butiškiem</w:t>
      </w:r>
      <w:proofErr w:type="spellEnd"/>
      <w:r w:rsidRPr="00A07F29">
        <w:rPr>
          <w:rFonts w:ascii="Times New Roman" w:eastAsia="Calibri" w:hAnsi="Times New Roman" w:cs="Times New Roman"/>
          <w:sz w:val="24"/>
          <w:szCs w:val="24"/>
        </w:rPr>
        <w:t xml:space="preserve"> nav norādīts arī ap 1850.</w:t>
      </w:r>
      <w:r w:rsidR="00156D19" w:rsidRPr="00A07F29">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gadu uzmērītajā cariskās Krievijas </w:t>
      </w:r>
      <w:proofErr w:type="spellStart"/>
      <w:r w:rsidRPr="00A07F29">
        <w:rPr>
          <w:rFonts w:ascii="Times New Roman" w:eastAsia="Calibri" w:hAnsi="Times New Roman" w:cs="Times New Roman"/>
          <w:sz w:val="24"/>
          <w:szCs w:val="24"/>
        </w:rPr>
        <w:t>trīsverstu</w:t>
      </w:r>
      <w:proofErr w:type="spellEnd"/>
      <w:r w:rsidRPr="00A07F29">
        <w:rPr>
          <w:rFonts w:ascii="Times New Roman" w:eastAsia="Calibri" w:hAnsi="Times New Roman" w:cs="Times New Roman"/>
          <w:sz w:val="24"/>
          <w:szCs w:val="24"/>
        </w:rPr>
        <w:t xml:space="preserve"> kartē, un pirmo reizi parādās tikai 1913.</w:t>
      </w:r>
      <w:r w:rsidR="00C55CDF" w:rsidRPr="00A07F29">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gadā uzmērītajā </w:t>
      </w:r>
      <w:proofErr w:type="spellStart"/>
      <w:r w:rsidRPr="00A07F29">
        <w:rPr>
          <w:rFonts w:ascii="Times New Roman" w:eastAsia="Calibri" w:hAnsi="Times New Roman" w:cs="Times New Roman"/>
          <w:sz w:val="24"/>
          <w:szCs w:val="24"/>
        </w:rPr>
        <w:t>vienverstu</w:t>
      </w:r>
      <w:proofErr w:type="spellEnd"/>
      <w:r w:rsidRPr="00A07F29">
        <w:rPr>
          <w:rFonts w:ascii="Times New Roman" w:eastAsia="Calibri" w:hAnsi="Times New Roman" w:cs="Times New Roman"/>
          <w:sz w:val="24"/>
          <w:szCs w:val="24"/>
        </w:rPr>
        <w:t xml:space="preserve"> kartē un 1916.</w:t>
      </w:r>
      <w:r w:rsidR="00C55CDF" w:rsidRPr="00A07F29">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gadā uzmērītajā </w:t>
      </w:r>
      <w:proofErr w:type="spellStart"/>
      <w:r w:rsidRPr="00A07F29">
        <w:rPr>
          <w:rFonts w:ascii="Times New Roman" w:eastAsia="Calibri" w:hAnsi="Times New Roman" w:cs="Times New Roman"/>
          <w:sz w:val="24"/>
          <w:szCs w:val="24"/>
        </w:rPr>
        <w:t>divverstu</w:t>
      </w:r>
      <w:proofErr w:type="spellEnd"/>
      <w:r w:rsidRPr="00A07F29">
        <w:rPr>
          <w:rFonts w:ascii="Times New Roman" w:eastAsia="Calibri" w:hAnsi="Times New Roman" w:cs="Times New Roman"/>
          <w:sz w:val="24"/>
          <w:szCs w:val="24"/>
        </w:rPr>
        <w:t xml:space="preserve"> kartē</w:t>
      </w:r>
      <w:r w:rsidR="00C55CDF" w:rsidRPr="00A07F29">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un 1928.</w:t>
      </w:r>
      <w:r w:rsidR="00C55CDF" w:rsidRPr="00A07F29">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gadā uzmērītajā Latvijas laika 1:25000 mēroga topogrāfiskajā kartē. ES aizsargājamo biotopu metodika neparedz šādu mākslīgu </w:t>
      </w:r>
      <w:r w:rsidRPr="00A07F29">
        <w:rPr>
          <w:rFonts w:ascii="Times New Roman" w:eastAsia="Calibri" w:hAnsi="Times New Roman" w:cs="Times New Roman"/>
          <w:sz w:val="24"/>
          <w:szCs w:val="24"/>
        </w:rPr>
        <w:lastRenderedPageBreak/>
        <w:t>ezeru atzīšanu par ES nozīmes aizsargājamo biotopu, līdz ar to nekādi cilvēka veikti uzlabojumi nevar to padarīt par ES nozīm</w:t>
      </w:r>
      <w:r w:rsidR="00615396" w:rsidRPr="00A07F29">
        <w:rPr>
          <w:rFonts w:ascii="Times New Roman" w:eastAsia="Calibri" w:hAnsi="Times New Roman" w:cs="Times New Roman"/>
          <w:sz w:val="24"/>
          <w:szCs w:val="24"/>
        </w:rPr>
        <w:t>e</w:t>
      </w:r>
      <w:r w:rsidRPr="00A07F29">
        <w:rPr>
          <w:rFonts w:ascii="Times New Roman" w:eastAsia="Calibri" w:hAnsi="Times New Roman" w:cs="Times New Roman"/>
          <w:sz w:val="24"/>
          <w:szCs w:val="24"/>
        </w:rPr>
        <w:t xml:space="preserve">s aizsargājamo biotopu. Šāds pasākums var būt privāta iniciatīva ārpus </w:t>
      </w:r>
      <w:r w:rsidR="00E4307F">
        <w:rPr>
          <w:rFonts w:ascii="Times New Roman" w:eastAsia="Calibri" w:hAnsi="Times New Roman" w:cs="Times New Roman"/>
          <w:sz w:val="24"/>
          <w:szCs w:val="24"/>
        </w:rPr>
        <w:t>ĪADT DAP</w:t>
      </w:r>
      <w:r w:rsidRPr="00A07F29">
        <w:rPr>
          <w:rFonts w:ascii="Times New Roman" w:eastAsia="Calibri" w:hAnsi="Times New Roman" w:cs="Times New Roman"/>
          <w:sz w:val="24"/>
          <w:szCs w:val="24"/>
        </w:rPr>
        <w:t>.</w:t>
      </w:r>
    </w:p>
    <w:p w14:paraId="309B9268" w14:textId="392E0BF5" w:rsidR="00FE03F0" w:rsidRPr="00A07F29" w:rsidRDefault="00FE03F0" w:rsidP="00865EB4">
      <w:pPr>
        <w:spacing w:after="0" w:line="240" w:lineRule="auto"/>
        <w:jc w:val="both"/>
        <w:rPr>
          <w:rFonts w:ascii="Liberation Serif" w:eastAsia="Noto Sans CJK SC" w:hAnsi="Liberation Serif" w:cs="Lohit Devanagari"/>
          <w:kern w:val="2"/>
          <w:sz w:val="24"/>
          <w:szCs w:val="24"/>
          <w:lang w:eastAsia="zh-CN" w:bidi="hi-IN"/>
        </w:rPr>
      </w:pPr>
    </w:p>
    <w:p w14:paraId="679E8175" w14:textId="7A2C17C2" w:rsidR="002B1603" w:rsidRPr="00A07F29" w:rsidRDefault="002B1603" w:rsidP="002E7E91">
      <w:pPr>
        <w:pStyle w:val="Heading3"/>
        <w:spacing w:before="120" w:after="120" w:line="240" w:lineRule="auto"/>
        <w:jc w:val="center"/>
        <w:rPr>
          <w:b w:val="0"/>
          <w:lang w:eastAsia="ja-JP"/>
        </w:rPr>
      </w:pPr>
      <w:bookmarkStart w:id="59" w:name="_Toc183434002"/>
      <w:r w:rsidRPr="00A07F29">
        <w:rPr>
          <w:lang w:eastAsia="ja-JP"/>
        </w:rPr>
        <w:t>4.3.2. Tekošu saldūdeņu biotopi</w:t>
      </w:r>
      <w:bookmarkEnd w:id="59"/>
    </w:p>
    <w:p w14:paraId="487B8E4B" w14:textId="7AE82181" w:rsidR="00A354FB" w:rsidRPr="00A07F29" w:rsidRDefault="00EE3417" w:rsidP="00EE3417">
      <w:pPr>
        <w:suppressAutoHyphens/>
        <w:autoSpaceDN w:val="0"/>
        <w:spacing w:before="120" w:after="120" w:line="240" w:lineRule="auto"/>
        <w:textAlignment w:val="baseline"/>
        <w:rPr>
          <w:rFonts w:ascii="Times New Roman" w:eastAsia="Calibri" w:hAnsi="Times New Roman" w:cs="Calibri"/>
          <w:b/>
          <w:bCs/>
          <w:i/>
          <w:sz w:val="24"/>
          <w:lang w:eastAsia="lv-LV"/>
        </w:rPr>
      </w:pPr>
      <w:r w:rsidRPr="00A07F29">
        <w:rPr>
          <w:rFonts w:ascii="Times New Roman" w:eastAsia="Calibri" w:hAnsi="Times New Roman" w:cs="Calibri"/>
          <w:b/>
          <w:bCs/>
          <w:i/>
          <w:sz w:val="24"/>
          <w:lang w:eastAsia="lv-LV"/>
        </w:rPr>
        <w:t xml:space="preserve">Upju </w:t>
      </w:r>
      <w:r w:rsidR="00A354FB" w:rsidRPr="00A07F29">
        <w:rPr>
          <w:rFonts w:ascii="Times New Roman" w:eastAsia="Calibri" w:hAnsi="Times New Roman" w:cs="Calibri"/>
          <w:b/>
          <w:bCs/>
          <w:i/>
          <w:sz w:val="24"/>
          <w:lang w:eastAsia="lv-LV"/>
        </w:rPr>
        <w:t xml:space="preserve">izpētes </w:t>
      </w:r>
      <w:r w:rsidRPr="00A07F29">
        <w:rPr>
          <w:rFonts w:ascii="Times New Roman" w:eastAsia="Calibri" w:hAnsi="Times New Roman" w:cs="Calibri"/>
          <w:b/>
          <w:bCs/>
          <w:i/>
          <w:sz w:val="24"/>
          <w:lang w:eastAsia="lv-LV"/>
        </w:rPr>
        <w:t>vēsture</w:t>
      </w:r>
    </w:p>
    <w:p w14:paraId="470EA5BE" w14:textId="54989D25" w:rsidR="00A354FB" w:rsidRPr="00A07F29" w:rsidRDefault="00A354FB" w:rsidP="00EE3417">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Pirmie akadēmiskie pētījumi uzsākti Daugavas vidustecē 1961.</w:t>
      </w:r>
      <w:r w:rsidR="00714873" w:rsidRPr="00A07F29">
        <w:rPr>
          <w:rFonts w:ascii="Times New Roman" w:eastAsia="Calibri" w:hAnsi="Times New Roman" w:cs="Times New Roman"/>
          <w:sz w:val="24"/>
          <w:szCs w:val="24"/>
        </w:rPr>
        <w:t> – </w:t>
      </w:r>
      <w:r w:rsidRPr="00A07F29">
        <w:rPr>
          <w:rFonts w:ascii="Times New Roman" w:eastAsia="Calibri" w:hAnsi="Times New Roman" w:cs="Times New Roman"/>
          <w:sz w:val="24"/>
          <w:szCs w:val="24"/>
        </w:rPr>
        <w:t>1963.</w:t>
      </w:r>
      <w:r w:rsidR="00714873" w:rsidRPr="00A07F29">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gados un rezultāti publicēti A. </w:t>
      </w:r>
      <w:proofErr w:type="spellStart"/>
      <w:r w:rsidRPr="00A07F29">
        <w:rPr>
          <w:rFonts w:ascii="Times New Roman" w:eastAsia="Calibri" w:hAnsi="Times New Roman" w:cs="Times New Roman"/>
          <w:sz w:val="24"/>
          <w:szCs w:val="24"/>
        </w:rPr>
        <w:t>Kumsāres</w:t>
      </w:r>
      <w:proofErr w:type="spellEnd"/>
      <w:r w:rsidRPr="00A07F29">
        <w:rPr>
          <w:rFonts w:ascii="Times New Roman" w:eastAsia="Calibri" w:hAnsi="Times New Roman" w:cs="Times New Roman"/>
          <w:sz w:val="24"/>
          <w:szCs w:val="24"/>
        </w:rPr>
        <w:t xml:space="preserve"> darbos (</w:t>
      </w:r>
      <w:proofErr w:type="spellStart"/>
      <w:r w:rsidRPr="00A07F29">
        <w:rPr>
          <w:rFonts w:ascii="Times New Roman" w:eastAsia="Calibri" w:hAnsi="Times New Roman" w:cs="Times New Roman"/>
          <w:sz w:val="24"/>
          <w:szCs w:val="24"/>
        </w:rPr>
        <w:t>Кумсаре</w:t>
      </w:r>
      <w:proofErr w:type="spellEnd"/>
      <w:r w:rsidR="00A65617" w:rsidRPr="00A07F29">
        <w:rPr>
          <w:rFonts w:ascii="Times New Roman" w:eastAsia="Calibri" w:hAnsi="Times New Roman" w:cs="Times New Roman"/>
          <w:sz w:val="24"/>
          <w:szCs w:val="24"/>
        </w:rPr>
        <w:t xml:space="preserve"> A.</w:t>
      </w:r>
      <w:r w:rsidR="0046298F" w:rsidRPr="00A07F29">
        <w:rPr>
          <w:rFonts w:ascii="Times New Roman" w:eastAsia="Times New Roman" w:hAnsi="Times New Roman" w:cs="Times New Roman"/>
          <w:kern w:val="2"/>
          <w:sz w:val="24"/>
          <w:szCs w:val="24"/>
          <w:lang w:eastAsia="zh-CN" w:bidi="hi-IN"/>
        </w:rPr>
        <w:t xml:space="preserve"> </w:t>
      </w:r>
      <w:r w:rsidR="0046298F" w:rsidRPr="00A07F29">
        <w:rPr>
          <w:rFonts w:ascii="Times New Roman" w:eastAsia="Calibri" w:hAnsi="Times New Roman" w:cs="Times New Roman"/>
          <w:sz w:val="24"/>
          <w:szCs w:val="24"/>
        </w:rPr>
        <w:t>Я.</w:t>
      </w:r>
      <w:r w:rsidRPr="00A07F29">
        <w:rPr>
          <w:rFonts w:ascii="Times New Roman" w:eastAsia="Calibri" w:hAnsi="Times New Roman" w:cs="Times New Roman"/>
          <w:sz w:val="24"/>
          <w:szCs w:val="24"/>
        </w:rPr>
        <w:t xml:space="preserve">, 1967; </w:t>
      </w:r>
      <w:proofErr w:type="spellStart"/>
      <w:r w:rsidRPr="00A07F29">
        <w:rPr>
          <w:rFonts w:ascii="Times New Roman" w:eastAsia="Calibri" w:hAnsi="Times New Roman" w:cs="Times New Roman"/>
          <w:sz w:val="24"/>
          <w:szCs w:val="24"/>
        </w:rPr>
        <w:t>Kumsare</w:t>
      </w:r>
      <w:proofErr w:type="spellEnd"/>
      <w:r w:rsidR="00A65617" w:rsidRPr="00A07F29">
        <w:rPr>
          <w:rFonts w:ascii="Times New Roman" w:eastAsia="Calibri" w:hAnsi="Times New Roman" w:cs="Times New Roman"/>
          <w:sz w:val="24"/>
          <w:szCs w:val="24"/>
        </w:rPr>
        <w:t xml:space="preserve"> A.</w:t>
      </w:r>
      <w:r w:rsidRPr="00A07F29">
        <w:rPr>
          <w:rFonts w:ascii="Times New Roman" w:eastAsia="Calibri" w:hAnsi="Times New Roman" w:cs="Times New Roman"/>
          <w:sz w:val="24"/>
          <w:szCs w:val="24"/>
        </w:rPr>
        <w:t>, 1972). Latvijas teritorijā pētījumi turpināti LU (LZA) Bioloģijas institūta Hidrobioloģijas laboratorijas ekspedīcijās (</w:t>
      </w:r>
      <w:proofErr w:type="spellStart"/>
      <w:r w:rsidRPr="00A07F29">
        <w:rPr>
          <w:rFonts w:ascii="Times New Roman" w:eastAsia="Calibri" w:hAnsi="Times New Roman" w:cs="Times New Roman"/>
          <w:sz w:val="24"/>
          <w:szCs w:val="24"/>
        </w:rPr>
        <w:t>Рудзрога</w:t>
      </w:r>
      <w:proofErr w:type="spellEnd"/>
      <w:r w:rsidR="00743E2F" w:rsidRPr="00A07F29">
        <w:rPr>
          <w:rFonts w:ascii="Times New Roman" w:eastAsia="Times New Roman" w:hAnsi="Times New Roman" w:cs="Times New Roman"/>
          <w:kern w:val="2"/>
          <w:sz w:val="24"/>
          <w:szCs w:val="24"/>
          <w:lang w:eastAsia="zh-CN" w:bidi="hi-IN"/>
        </w:rPr>
        <w:t xml:space="preserve"> </w:t>
      </w:r>
      <w:r w:rsidR="00743E2F" w:rsidRPr="00A07F29">
        <w:rPr>
          <w:rFonts w:ascii="Times New Roman" w:eastAsia="Calibri" w:hAnsi="Times New Roman" w:cs="Times New Roman"/>
          <w:sz w:val="24"/>
          <w:szCs w:val="24"/>
        </w:rPr>
        <w:t>А. И.</w:t>
      </w:r>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Друвиетис</w:t>
      </w:r>
      <w:proofErr w:type="spellEnd"/>
      <w:r w:rsidR="007A7ECE" w:rsidRPr="00A07F29">
        <w:rPr>
          <w:rFonts w:ascii="Times New Roman" w:eastAsia="Times New Roman" w:hAnsi="Times New Roman" w:cs="Times New Roman"/>
          <w:kern w:val="2"/>
          <w:sz w:val="24"/>
          <w:szCs w:val="24"/>
          <w:lang w:eastAsia="zh-CN" w:bidi="hi-IN"/>
        </w:rPr>
        <w:t xml:space="preserve"> </w:t>
      </w:r>
      <w:r w:rsidR="007A7ECE" w:rsidRPr="00A07F29">
        <w:rPr>
          <w:rFonts w:ascii="Times New Roman" w:eastAsia="Calibri" w:hAnsi="Times New Roman" w:cs="Times New Roman"/>
          <w:sz w:val="24"/>
          <w:szCs w:val="24"/>
        </w:rPr>
        <w:t>И. Ю.</w:t>
      </w:r>
      <w:r w:rsidRPr="00A07F29">
        <w:rPr>
          <w:rFonts w:ascii="Times New Roman" w:eastAsia="Calibri" w:hAnsi="Times New Roman" w:cs="Times New Roman"/>
          <w:sz w:val="24"/>
          <w:szCs w:val="24"/>
        </w:rPr>
        <w:t>, 1984; Druvietis</w:t>
      </w:r>
      <w:r w:rsidR="00DD03C6" w:rsidRPr="00A07F29">
        <w:rPr>
          <w:rFonts w:ascii="Times New Roman" w:eastAsia="Calibri" w:hAnsi="Times New Roman" w:cs="Times New Roman"/>
          <w:sz w:val="24"/>
          <w:szCs w:val="24"/>
        </w:rPr>
        <w:t xml:space="preserve"> I.</w:t>
      </w:r>
      <w:r w:rsidRPr="00A07F29">
        <w:rPr>
          <w:rFonts w:ascii="Times New Roman" w:eastAsia="Calibri" w:hAnsi="Times New Roman" w:cs="Times New Roman"/>
          <w:sz w:val="24"/>
          <w:szCs w:val="24"/>
        </w:rPr>
        <w:t>, 1997, 2000). Kompleksi pētījumi no Piedrujas līdz Daugavas grīvai tika veikti 2007./2008.</w:t>
      </w:r>
      <w:r w:rsidR="006E330A" w:rsidRPr="00A07F29">
        <w:rPr>
          <w:rFonts w:ascii="Times New Roman" w:eastAsia="Calibri" w:hAnsi="Times New Roman" w:cs="Times New Roman"/>
          <w:sz w:val="24"/>
          <w:szCs w:val="24"/>
        </w:rPr>
        <w:t> </w:t>
      </w:r>
      <w:r w:rsidRPr="00A07F29">
        <w:rPr>
          <w:rFonts w:ascii="Times New Roman" w:eastAsia="Calibri" w:hAnsi="Times New Roman" w:cs="Times New Roman"/>
          <w:sz w:val="24"/>
          <w:szCs w:val="24"/>
        </w:rPr>
        <w:t>gada vasaras periodā (Daugavas ekolo</w:t>
      </w:r>
      <w:r w:rsidR="702D169F" w:rsidRPr="00A07F29">
        <w:rPr>
          <w:rFonts w:ascii="Times New Roman" w:eastAsia="Calibri" w:hAnsi="Times New Roman" w:cs="Times New Roman"/>
          <w:sz w:val="24"/>
          <w:szCs w:val="24"/>
        </w:rPr>
        <w:t>ģ</w:t>
      </w:r>
      <w:r w:rsidRPr="00A07F29">
        <w:rPr>
          <w:rFonts w:ascii="Times New Roman" w:eastAsia="Calibri" w:hAnsi="Times New Roman" w:cs="Times New Roman"/>
          <w:sz w:val="24"/>
          <w:szCs w:val="24"/>
        </w:rPr>
        <w:t>iskā stāvokļa no</w:t>
      </w:r>
      <w:r w:rsidR="00883139">
        <w:rPr>
          <w:rFonts w:ascii="Times New Roman" w:eastAsia="Calibri" w:hAnsi="Times New Roman" w:cs="Times New Roman"/>
          <w:sz w:val="24"/>
          <w:szCs w:val="24"/>
        </w:rPr>
        <w:t>vērtējums</w:t>
      </w:r>
      <w:r w:rsidR="00AE593D" w:rsidRPr="00A07F29">
        <w:rPr>
          <w:rFonts w:ascii="Times New Roman" w:eastAsia="Calibri" w:hAnsi="Times New Roman" w:cs="Times New Roman"/>
          <w:sz w:val="24"/>
          <w:szCs w:val="24"/>
        </w:rPr>
        <w:t>, 2007</w:t>
      </w:r>
      <w:r w:rsidRPr="00A07F29">
        <w:rPr>
          <w:rFonts w:ascii="Times New Roman" w:eastAsia="Calibri" w:hAnsi="Times New Roman" w:cs="Times New Roman"/>
          <w:sz w:val="24"/>
          <w:szCs w:val="24"/>
        </w:rPr>
        <w:t>) ar mērķi noskaidrot kādas izmaiņas notikušas biocenozēs salīdzinot ar pirmo Daugavas izpēti 60</w:t>
      </w:r>
      <w:r w:rsidR="009F5294" w:rsidRPr="00A07F29">
        <w:rPr>
          <w:rFonts w:ascii="Times New Roman" w:eastAsia="Calibri" w:hAnsi="Times New Roman" w:cs="Times New Roman"/>
          <w:sz w:val="24"/>
          <w:szCs w:val="24"/>
        </w:rPr>
        <w:t>. </w:t>
      </w:r>
      <w:r w:rsidRPr="00A07F29">
        <w:rPr>
          <w:rFonts w:ascii="Times New Roman" w:eastAsia="Calibri" w:hAnsi="Times New Roman" w:cs="Times New Roman"/>
          <w:sz w:val="24"/>
          <w:szCs w:val="24"/>
        </w:rPr>
        <w:t>gados.</w:t>
      </w:r>
    </w:p>
    <w:p w14:paraId="613C4454" w14:textId="11434713" w:rsidR="00EE3417" w:rsidRPr="00A07F29" w:rsidRDefault="00A354FB" w:rsidP="00EE3417">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Kopš 2005.</w:t>
      </w:r>
      <w:r w:rsidR="009C6B4D" w:rsidRPr="00A07F29">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gada līdz pašreizējam laikam Daugavas posmā Naujene-Jēkabpils tiek veikta regulāra fitoplanktona un </w:t>
      </w:r>
      <w:proofErr w:type="spellStart"/>
      <w:r w:rsidRPr="00A07F29">
        <w:rPr>
          <w:rFonts w:ascii="Times New Roman" w:eastAsia="Calibri" w:hAnsi="Times New Roman" w:cs="Times New Roman"/>
          <w:sz w:val="24"/>
          <w:szCs w:val="24"/>
        </w:rPr>
        <w:t>zooplanktona</w:t>
      </w:r>
      <w:proofErr w:type="spellEnd"/>
      <w:r w:rsidRPr="00A07F29">
        <w:rPr>
          <w:rFonts w:ascii="Times New Roman" w:eastAsia="Calibri" w:hAnsi="Times New Roman" w:cs="Times New Roman"/>
          <w:sz w:val="24"/>
          <w:szCs w:val="24"/>
        </w:rPr>
        <w:t xml:space="preserve"> izpēte (</w:t>
      </w:r>
      <w:proofErr w:type="spellStart"/>
      <w:r w:rsidRPr="00A07F29">
        <w:rPr>
          <w:rFonts w:ascii="Times New Roman" w:eastAsia="Calibri" w:hAnsi="Times New Roman" w:cs="Times New Roman"/>
          <w:sz w:val="24"/>
          <w:szCs w:val="24"/>
        </w:rPr>
        <w:t>Gruberts</w:t>
      </w:r>
      <w:proofErr w:type="spellEnd"/>
      <w:r w:rsidR="002D21F9" w:rsidRPr="00A07F29">
        <w:rPr>
          <w:rFonts w:ascii="Times New Roman" w:eastAsia="Calibri" w:hAnsi="Times New Roman" w:cs="Times New Roman"/>
          <w:sz w:val="24"/>
          <w:szCs w:val="24"/>
        </w:rPr>
        <w:t xml:space="preserve"> D.</w:t>
      </w:r>
      <w:r w:rsidRPr="00A07F29">
        <w:rPr>
          <w:rFonts w:ascii="Times New Roman" w:eastAsia="Calibri" w:hAnsi="Times New Roman" w:cs="Times New Roman"/>
          <w:sz w:val="24"/>
          <w:szCs w:val="24"/>
        </w:rPr>
        <w:t xml:space="preserve">, 2006, 2008; </w:t>
      </w:r>
      <w:proofErr w:type="spellStart"/>
      <w:r w:rsidRPr="00A07F29">
        <w:rPr>
          <w:rFonts w:ascii="Times New Roman" w:eastAsia="Calibri" w:hAnsi="Times New Roman" w:cs="Times New Roman"/>
          <w:sz w:val="24"/>
          <w:szCs w:val="24"/>
        </w:rPr>
        <w:t>Gruberts</w:t>
      </w:r>
      <w:proofErr w:type="spellEnd"/>
      <w:r w:rsidR="002D21F9" w:rsidRPr="00A07F29">
        <w:rPr>
          <w:rFonts w:ascii="Times New Roman" w:eastAsia="Calibri" w:hAnsi="Times New Roman" w:cs="Times New Roman"/>
          <w:sz w:val="24"/>
          <w:szCs w:val="24"/>
        </w:rPr>
        <w:t xml:space="preserve"> D.</w:t>
      </w:r>
      <w:r w:rsidRPr="00A07F29">
        <w:rPr>
          <w:rFonts w:ascii="Times New Roman" w:eastAsia="Calibri" w:hAnsi="Times New Roman" w:cs="Times New Roman"/>
          <w:sz w:val="24"/>
          <w:szCs w:val="24"/>
        </w:rPr>
        <w:t>, Druvietis</w:t>
      </w:r>
      <w:r w:rsidR="002D21F9" w:rsidRPr="00A07F29">
        <w:rPr>
          <w:rFonts w:ascii="Times New Roman" w:eastAsia="Calibri" w:hAnsi="Times New Roman" w:cs="Times New Roman"/>
          <w:sz w:val="24"/>
          <w:szCs w:val="24"/>
        </w:rPr>
        <w:t xml:space="preserve"> I.</w:t>
      </w:r>
      <w:r w:rsidRPr="00A07F29">
        <w:rPr>
          <w:rFonts w:ascii="Times New Roman" w:eastAsia="Calibri" w:hAnsi="Times New Roman" w:cs="Times New Roman"/>
          <w:sz w:val="24"/>
          <w:szCs w:val="24"/>
        </w:rPr>
        <w:t>, 2006),</w:t>
      </w:r>
      <w:r w:rsidR="00EE3417" w:rsidRPr="00A07F29">
        <w:rPr>
          <w:rFonts w:ascii="Times New Roman" w:eastAsia="Calibri" w:hAnsi="Times New Roman" w:cs="Times New Roman"/>
          <w:sz w:val="24"/>
          <w:szCs w:val="24"/>
        </w:rPr>
        <w:t xml:space="preserve"> </w:t>
      </w:r>
      <w:r w:rsidRPr="00A07F29">
        <w:rPr>
          <w:rFonts w:ascii="Times New Roman" w:eastAsia="Calibri" w:hAnsi="Times New Roman" w:cs="Times New Roman"/>
          <w:sz w:val="24"/>
          <w:szCs w:val="24"/>
        </w:rPr>
        <w:t>bet 2019.</w:t>
      </w:r>
      <w:r w:rsidR="009C6B4D" w:rsidRPr="00A07F29">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gada vasarā saistībā ar zivju barības bāzes </w:t>
      </w:r>
      <w:proofErr w:type="spellStart"/>
      <w:r w:rsidRPr="00A07F29">
        <w:rPr>
          <w:rFonts w:ascii="Times New Roman" w:eastAsia="Calibri" w:hAnsi="Times New Roman" w:cs="Times New Roman"/>
          <w:sz w:val="24"/>
          <w:szCs w:val="24"/>
        </w:rPr>
        <w:t>izvērtējumu</w:t>
      </w:r>
      <w:proofErr w:type="spellEnd"/>
      <w:r w:rsidRPr="00A07F29">
        <w:rPr>
          <w:rFonts w:ascii="Times New Roman" w:eastAsia="Calibri" w:hAnsi="Times New Roman" w:cs="Times New Roman"/>
          <w:sz w:val="24"/>
          <w:szCs w:val="24"/>
        </w:rPr>
        <w:t xml:space="preserve"> </w:t>
      </w:r>
      <w:r w:rsidR="00EE3417" w:rsidRPr="00A07F29">
        <w:rPr>
          <w:rFonts w:ascii="Times New Roman" w:eastAsia="Calibri" w:hAnsi="Times New Roman" w:cs="Times New Roman"/>
          <w:sz w:val="24"/>
          <w:szCs w:val="24"/>
        </w:rPr>
        <w:t xml:space="preserve">Daugavpils novada robežās </w:t>
      </w:r>
      <w:r w:rsidRPr="00A07F29">
        <w:rPr>
          <w:rFonts w:ascii="Times New Roman" w:eastAsia="Calibri" w:hAnsi="Times New Roman" w:cs="Times New Roman"/>
          <w:sz w:val="24"/>
          <w:szCs w:val="24"/>
        </w:rPr>
        <w:t xml:space="preserve">pētījumu veica Vides </w:t>
      </w:r>
      <w:r w:rsidR="001B277D" w:rsidRPr="00A07F29">
        <w:rPr>
          <w:rFonts w:ascii="Times New Roman" w:eastAsia="Calibri" w:hAnsi="Times New Roman" w:cs="Times New Roman"/>
          <w:sz w:val="24"/>
          <w:szCs w:val="24"/>
        </w:rPr>
        <w:t>risinājumu</w:t>
      </w:r>
      <w:r w:rsidRPr="00A07F29">
        <w:rPr>
          <w:rFonts w:ascii="Times New Roman" w:eastAsia="Calibri" w:hAnsi="Times New Roman" w:cs="Times New Roman"/>
          <w:sz w:val="24"/>
          <w:szCs w:val="24"/>
        </w:rPr>
        <w:t xml:space="preserve"> institūts (Zivsaimnieciskās ekspluatācijas noteikumi Daugavai</w:t>
      </w:r>
      <w:r w:rsidR="00EE3417" w:rsidRPr="00A07F29">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2020).</w:t>
      </w:r>
      <w:r w:rsidR="00287A00" w:rsidRPr="00A07F29">
        <w:rPr>
          <w:rFonts w:ascii="Times New Roman" w:eastAsia="Calibri" w:hAnsi="Times New Roman" w:cs="Times New Roman"/>
          <w:sz w:val="24"/>
          <w:szCs w:val="24"/>
        </w:rPr>
        <w:t xml:space="preserve"> Daugavā </w:t>
      </w:r>
      <w:r w:rsidR="00FD2B73" w:rsidRPr="00A07F29">
        <w:rPr>
          <w:rFonts w:ascii="Times New Roman" w:eastAsia="Calibri" w:hAnsi="Times New Roman" w:cs="Times New Roman"/>
          <w:sz w:val="24"/>
          <w:szCs w:val="24"/>
        </w:rPr>
        <w:t>LVĢMC veic virszemes ūdeņu monitor</w:t>
      </w:r>
      <w:r w:rsidR="00F90AE2" w:rsidRPr="00A07F29">
        <w:rPr>
          <w:rFonts w:ascii="Times New Roman" w:eastAsia="Calibri" w:hAnsi="Times New Roman" w:cs="Times New Roman"/>
          <w:sz w:val="24"/>
          <w:szCs w:val="24"/>
        </w:rPr>
        <w:t>i</w:t>
      </w:r>
      <w:r w:rsidR="00FD2B73" w:rsidRPr="00A07F29">
        <w:rPr>
          <w:rFonts w:ascii="Times New Roman" w:eastAsia="Calibri" w:hAnsi="Times New Roman" w:cs="Times New Roman"/>
          <w:sz w:val="24"/>
          <w:szCs w:val="24"/>
        </w:rPr>
        <w:t>ngu.</w:t>
      </w:r>
    </w:p>
    <w:p w14:paraId="6565369E" w14:textId="59DEC432" w:rsidR="00EE3417" w:rsidRPr="00A07F29" w:rsidRDefault="00EE3417" w:rsidP="00EE3417">
      <w:pPr>
        <w:spacing w:after="120" w:line="240" w:lineRule="auto"/>
        <w:ind w:firstLine="851"/>
        <w:jc w:val="both"/>
        <w:rPr>
          <w:rFonts w:ascii="Times New Roman" w:eastAsia="Calibri" w:hAnsi="Times New Roman" w:cs="Times New Roman"/>
          <w:sz w:val="24"/>
          <w:szCs w:val="24"/>
        </w:rPr>
      </w:pPr>
      <w:proofErr w:type="spellStart"/>
      <w:r w:rsidRPr="00A07F29">
        <w:rPr>
          <w:rFonts w:ascii="Times New Roman" w:eastAsia="Calibri" w:hAnsi="Times New Roman" w:cs="Times New Roman"/>
          <w:i/>
          <w:sz w:val="24"/>
          <w:szCs w:val="24"/>
        </w:rPr>
        <w:t>Natura</w:t>
      </w:r>
      <w:proofErr w:type="spellEnd"/>
      <w:r w:rsidRPr="00A07F29">
        <w:rPr>
          <w:rFonts w:ascii="Times New Roman" w:eastAsia="Calibri" w:hAnsi="Times New Roman" w:cs="Times New Roman"/>
          <w:i/>
          <w:sz w:val="24"/>
          <w:szCs w:val="24"/>
        </w:rPr>
        <w:t xml:space="preserve"> 2000</w:t>
      </w:r>
      <w:r w:rsidRPr="00A07F29">
        <w:rPr>
          <w:rFonts w:ascii="Times New Roman" w:eastAsia="Calibri" w:hAnsi="Times New Roman" w:cs="Times New Roman"/>
          <w:sz w:val="24"/>
          <w:szCs w:val="24"/>
        </w:rPr>
        <w:t xml:space="preserve"> monitoringa ietvaros 2011.</w:t>
      </w:r>
      <w:r w:rsidR="002D21F9" w:rsidRPr="00A07F29">
        <w:rPr>
          <w:rFonts w:ascii="Times New Roman" w:eastAsia="Calibri" w:hAnsi="Times New Roman" w:cs="Times New Roman"/>
          <w:sz w:val="24"/>
          <w:szCs w:val="24"/>
        </w:rPr>
        <w:t> </w:t>
      </w:r>
      <w:r w:rsidRPr="00A07F29">
        <w:rPr>
          <w:rFonts w:ascii="Times New Roman" w:eastAsia="Calibri" w:hAnsi="Times New Roman" w:cs="Times New Roman"/>
          <w:sz w:val="24"/>
          <w:szCs w:val="24"/>
        </w:rPr>
        <w:t>gada septembrī veikta ES nozīmes biotopa 3270</w:t>
      </w:r>
      <w:r w:rsidR="00F009ED" w:rsidRPr="00A07F29">
        <w:rPr>
          <w:rFonts w:ascii="Times New Roman" w:eastAsia="Calibri" w:hAnsi="Times New Roman" w:cs="Times New Roman"/>
          <w:sz w:val="24"/>
          <w:szCs w:val="24"/>
        </w:rPr>
        <w:t> </w:t>
      </w:r>
      <w:r w:rsidRPr="00A07F29">
        <w:rPr>
          <w:rFonts w:ascii="Times New Roman" w:eastAsia="Calibri" w:hAnsi="Times New Roman" w:cs="Times New Roman"/>
          <w:i/>
          <w:sz w:val="24"/>
          <w:szCs w:val="24"/>
        </w:rPr>
        <w:t xml:space="preserve">Dūņaini upju krasti ar slāpekli mīlošu viengadīgu </w:t>
      </w:r>
      <w:proofErr w:type="spellStart"/>
      <w:r w:rsidRPr="00A07F29">
        <w:rPr>
          <w:rFonts w:ascii="Times New Roman" w:eastAsia="Calibri" w:hAnsi="Times New Roman" w:cs="Times New Roman"/>
          <w:i/>
          <w:sz w:val="24"/>
          <w:szCs w:val="24"/>
        </w:rPr>
        <w:t>pioniersugu</w:t>
      </w:r>
      <w:proofErr w:type="spellEnd"/>
      <w:r w:rsidRPr="00A07F29">
        <w:rPr>
          <w:rFonts w:ascii="Times New Roman" w:eastAsia="Calibri" w:hAnsi="Times New Roman" w:cs="Times New Roman"/>
          <w:i/>
          <w:sz w:val="24"/>
          <w:szCs w:val="24"/>
        </w:rPr>
        <w:t xml:space="preserve"> augāju</w:t>
      </w:r>
      <w:r w:rsidRPr="00A07F29">
        <w:rPr>
          <w:rFonts w:ascii="Times New Roman" w:eastAsia="Calibri" w:hAnsi="Times New Roman" w:cs="Times New Roman"/>
          <w:sz w:val="24"/>
          <w:szCs w:val="24"/>
        </w:rPr>
        <w:t xml:space="preserve"> kartēšana</w:t>
      </w:r>
      <w:r w:rsidR="00967455" w:rsidRPr="00A07F29">
        <w:rPr>
          <w:rFonts w:ascii="Times New Roman" w:eastAsia="Calibri" w:hAnsi="Times New Roman" w:cs="Times New Roman"/>
          <w:sz w:val="24"/>
          <w:szCs w:val="24"/>
        </w:rPr>
        <w:t xml:space="preserve"> un novērtēšana.</w:t>
      </w:r>
    </w:p>
    <w:p w14:paraId="17F94357" w14:textId="0CEA1AFA" w:rsidR="00A354FB" w:rsidRPr="00A07F29" w:rsidRDefault="00EE3417" w:rsidP="00FD2B73">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ES nozīmes biotopu kartēšana Daugavā un tās pietekās veikta </w:t>
      </w:r>
      <w:r w:rsidR="001F2842" w:rsidRPr="00A07F29">
        <w:rPr>
          <w:rFonts w:ascii="Times New Roman" w:eastAsia="Calibri" w:hAnsi="Times New Roman" w:cs="Times New Roman"/>
          <w:sz w:val="24"/>
          <w:szCs w:val="24"/>
        </w:rPr>
        <w:t>2017.</w:t>
      </w:r>
      <w:r w:rsidR="00F009ED" w:rsidRPr="00A07F29">
        <w:rPr>
          <w:rFonts w:ascii="Times New Roman" w:eastAsia="Calibri" w:hAnsi="Times New Roman" w:cs="Times New Roman"/>
          <w:sz w:val="24"/>
          <w:szCs w:val="24"/>
        </w:rPr>
        <w:t> – </w:t>
      </w:r>
      <w:r w:rsidR="00446023" w:rsidRPr="00A07F29">
        <w:rPr>
          <w:rFonts w:ascii="Times New Roman" w:eastAsia="Calibri" w:hAnsi="Times New Roman" w:cs="Times New Roman"/>
          <w:sz w:val="24"/>
          <w:szCs w:val="24"/>
        </w:rPr>
        <w:t>2018</w:t>
      </w:r>
      <w:r w:rsidRPr="00A07F29">
        <w:rPr>
          <w:rFonts w:ascii="Times New Roman" w:eastAsia="Calibri" w:hAnsi="Times New Roman" w:cs="Times New Roman"/>
          <w:sz w:val="24"/>
          <w:szCs w:val="24"/>
        </w:rPr>
        <w:t>.</w:t>
      </w:r>
      <w:r w:rsidR="00F009ED" w:rsidRPr="00A07F29">
        <w:rPr>
          <w:rFonts w:ascii="Times New Roman" w:eastAsia="Calibri" w:hAnsi="Times New Roman" w:cs="Times New Roman"/>
          <w:sz w:val="24"/>
          <w:szCs w:val="24"/>
        </w:rPr>
        <w:t> </w:t>
      </w:r>
      <w:r w:rsidRPr="00A07F29">
        <w:rPr>
          <w:rFonts w:ascii="Times New Roman" w:eastAsia="Calibri" w:hAnsi="Times New Roman" w:cs="Times New Roman"/>
          <w:sz w:val="24"/>
          <w:szCs w:val="24"/>
        </w:rPr>
        <w:t>gadā projekta Dabas skaitīšana ietvaros</w:t>
      </w:r>
      <w:r w:rsidR="00A93FAB" w:rsidRPr="00A07F29">
        <w:rPr>
          <w:rFonts w:ascii="Times New Roman" w:eastAsia="Calibri" w:hAnsi="Times New Roman" w:cs="Times New Roman"/>
          <w:color w:val="000000"/>
          <w:sz w:val="24"/>
          <w:szCs w:val="24"/>
          <w:lang w:eastAsia="ar-SA"/>
        </w:rPr>
        <w:t>.</w:t>
      </w:r>
    </w:p>
    <w:p w14:paraId="48B16521" w14:textId="1414EF71" w:rsidR="00EE3417" w:rsidRPr="00A07F29" w:rsidRDefault="00EE3417" w:rsidP="00EE3417">
      <w:pPr>
        <w:suppressAutoHyphens/>
        <w:autoSpaceDN w:val="0"/>
        <w:spacing w:before="240" w:after="120" w:line="240" w:lineRule="auto"/>
        <w:textAlignment w:val="baseline"/>
        <w:rPr>
          <w:rFonts w:ascii="Times New Roman" w:eastAsia="Calibri" w:hAnsi="Times New Roman" w:cs="Calibri"/>
          <w:b/>
          <w:bCs/>
          <w:i/>
          <w:sz w:val="24"/>
          <w:lang w:eastAsia="lv-LV"/>
        </w:rPr>
      </w:pPr>
      <w:r w:rsidRPr="00A07F29">
        <w:rPr>
          <w:rFonts w:ascii="Times New Roman" w:eastAsia="Calibri" w:hAnsi="Times New Roman" w:cs="Calibri"/>
          <w:b/>
          <w:bCs/>
          <w:i/>
          <w:sz w:val="24"/>
          <w:lang w:eastAsia="lv-LV"/>
        </w:rPr>
        <w:t>Upju biotopu raksturojums</w:t>
      </w:r>
    </w:p>
    <w:p w14:paraId="3FFD1FE8" w14:textId="4930A630" w:rsidR="00A27FB3" w:rsidRPr="00A07F29" w:rsidRDefault="00EE3417" w:rsidP="006827EA">
      <w:pPr>
        <w:autoSpaceDE w:val="0"/>
        <w:spacing w:before="120" w:after="120" w:line="240" w:lineRule="auto"/>
        <w:ind w:firstLine="851"/>
        <w:contextualSpacing/>
        <w:jc w:val="both"/>
        <w:rPr>
          <w:rFonts w:ascii="Times New Roman" w:eastAsia="Calibri" w:hAnsi="Times New Roman" w:cs="Times New Roman"/>
          <w:sz w:val="24"/>
          <w:szCs w:val="24"/>
        </w:rPr>
      </w:pPr>
      <w:r w:rsidRPr="00A07F29">
        <w:rPr>
          <w:rFonts w:ascii="Times New Roman" w:eastAsia="Calibri" w:hAnsi="Times New Roman" w:cs="Times New Roman"/>
          <w:b/>
          <w:sz w:val="24"/>
          <w:szCs w:val="24"/>
        </w:rPr>
        <w:t>Daugava</w:t>
      </w:r>
      <w:r w:rsidRPr="00A07F29">
        <w:rPr>
          <w:rFonts w:ascii="Times New Roman" w:eastAsia="Calibri" w:hAnsi="Times New Roman" w:cs="Times New Roman"/>
          <w:sz w:val="24"/>
          <w:szCs w:val="24"/>
        </w:rPr>
        <w:t xml:space="preserve"> ir AAA “Augšdaugava” nozīmīgākais upju biotopu komplekss, ko veido</w:t>
      </w:r>
      <w:r w:rsidR="00A27FB3" w:rsidRPr="00A07F29">
        <w:rPr>
          <w:rFonts w:ascii="Times New Roman" w:eastAsia="Calibri" w:hAnsi="Times New Roman" w:cs="Times New Roman"/>
          <w:sz w:val="24"/>
          <w:szCs w:val="24"/>
        </w:rPr>
        <w:t>:</w:t>
      </w:r>
    </w:p>
    <w:p w14:paraId="749E04D4" w14:textId="23B0861F" w:rsidR="00A27FB3" w:rsidRPr="00A07F29" w:rsidRDefault="00A27FB3" w:rsidP="00F87589">
      <w:pPr>
        <w:pStyle w:val="ListParagraph"/>
        <w:numPr>
          <w:ilvl w:val="0"/>
          <w:numId w:val="46"/>
        </w:numPr>
        <w:autoSpaceDE w:val="0"/>
        <w:spacing w:line="240" w:lineRule="auto"/>
        <w:ind w:left="1570" w:hanging="357"/>
        <w:contextualSpacing w:val="0"/>
        <w:rPr>
          <w:rFonts w:eastAsia="Times New Roman" w:cs="Times New Roman"/>
          <w:szCs w:val="24"/>
        </w:rPr>
      </w:pPr>
      <w:r w:rsidRPr="00A07F29">
        <w:rPr>
          <w:rFonts w:cs="Times New Roman"/>
          <w:szCs w:val="24"/>
        </w:rPr>
        <w:t>upes posmi ar atšķirīgu straumes ātrumu, grunti, augu sabiedrībām (</w:t>
      </w:r>
      <w:r w:rsidR="00BC562E" w:rsidRPr="00A07F29">
        <w:rPr>
          <w:rFonts w:cs="Times New Roman"/>
          <w:szCs w:val="24"/>
        </w:rPr>
        <w:t xml:space="preserve">ES nozīmes un Latvijā </w:t>
      </w:r>
      <w:r w:rsidR="00BC562E" w:rsidRPr="00173666">
        <w:rPr>
          <w:rFonts w:cs="Times New Roman"/>
          <w:szCs w:val="24"/>
        </w:rPr>
        <w:t>īpaši aizsargājam</w:t>
      </w:r>
      <w:r w:rsidRPr="00173666">
        <w:rPr>
          <w:rFonts w:cs="Times New Roman"/>
          <w:szCs w:val="24"/>
        </w:rPr>
        <w:t>ais</w:t>
      </w:r>
      <w:r w:rsidR="00BC562E" w:rsidRPr="00A07F29">
        <w:rPr>
          <w:rFonts w:cs="Times New Roman"/>
          <w:szCs w:val="24"/>
        </w:rPr>
        <w:t xml:space="preserve"> biotop</w:t>
      </w:r>
      <w:r w:rsidRPr="00A07F29">
        <w:rPr>
          <w:rFonts w:cs="Times New Roman"/>
          <w:szCs w:val="24"/>
        </w:rPr>
        <w:t>s</w:t>
      </w:r>
      <w:r w:rsidR="00BC562E" w:rsidRPr="00A07F29">
        <w:rPr>
          <w:rFonts w:cs="Times New Roman"/>
          <w:szCs w:val="24"/>
        </w:rPr>
        <w:t xml:space="preserve"> </w:t>
      </w:r>
      <w:r w:rsidR="00BC562E" w:rsidRPr="00A07F29">
        <w:rPr>
          <w:rFonts w:eastAsia="Times New Roman" w:cs="Times New Roman"/>
          <w:szCs w:val="24"/>
        </w:rPr>
        <w:t>3260</w:t>
      </w:r>
      <w:r w:rsidR="00F61D19" w:rsidRPr="00A07F29">
        <w:rPr>
          <w:rFonts w:eastAsia="Times New Roman" w:cs="Times New Roman"/>
          <w:szCs w:val="24"/>
        </w:rPr>
        <w:t> </w:t>
      </w:r>
      <w:r w:rsidR="00BC562E" w:rsidRPr="00A07F29">
        <w:rPr>
          <w:rFonts w:eastAsia="Times New Roman" w:cs="Times New Roman"/>
          <w:i/>
          <w:szCs w:val="24"/>
        </w:rPr>
        <w:t>Upju straujteces un dabiski upju posmi</w:t>
      </w:r>
      <w:r w:rsidRPr="00A07F29">
        <w:rPr>
          <w:rFonts w:eastAsia="Times New Roman" w:cs="Times New Roman"/>
          <w:szCs w:val="24"/>
        </w:rPr>
        <w:t>,</w:t>
      </w:r>
    </w:p>
    <w:p w14:paraId="7ED48088" w14:textId="5B2DE49E" w:rsidR="00BC562E" w:rsidRPr="00A07F29" w:rsidRDefault="00A27FB3" w:rsidP="00F87589">
      <w:pPr>
        <w:pStyle w:val="ListParagraph"/>
        <w:numPr>
          <w:ilvl w:val="0"/>
          <w:numId w:val="46"/>
        </w:numPr>
        <w:autoSpaceDE w:val="0"/>
        <w:spacing w:line="240" w:lineRule="auto"/>
        <w:ind w:left="1570" w:hanging="357"/>
        <w:contextualSpacing w:val="0"/>
        <w:rPr>
          <w:rFonts w:cs="Times New Roman"/>
          <w:szCs w:val="24"/>
        </w:rPr>
      </w:pPr>
      <w:r w:rsidRPr="00A07F29">
        <w:rPr>
          <w:rFonts w:cs="Times New Roman"/>
          <w:szCs w:val="24"/>
        </w:rPr>
        <w:t xml:space="preserve">smilšainas, nereti arī </w:t>
      </w:r>
      <w:proofErr w:type="spellStart"/>
      <w:r w:rsidRPr="00A07F29">
        <w:rPr>
          <w:rFonts w:cs="Times New Roman"/>
          <w:szCs w:val="24"/>
        </w:rPr>
        <w:t>avoksnainas</w:t>
      </w:r>
      <w:proofErr w:type="spellEnd"/>
      <w:r w:rsidRPr="00A07F29">
        <w:rPr>
          <w:rFonts w:cs="Times New Roman"/>
          <w:szCs w:val="24"/>
        </w:rPr>
        <w:t xml:space="preserve"> un dūņainas vai oļainas un akmeņainas sēres gar krastiem un salām, kas atsedzas, pazeminoties ūdens līmenim (ES nozīmes un </w:t>
      </w:r>
      <w:r w:rsidRPr="00173666">
        <w:rPr>
          <w:rFonts w:cs="Times New Roman"/>
          <w:szCs w:val="24"/>
        </w:rPr>
        <w:t>Latvijā īpaši aizsargājamais biotops</w:t>
      </w:r>
      <w:r w:rsidRPr="00A07F29">
        <w:rPr>
          <w:rFonts w:cs="Times New Roman"/>
          <w:szCs w:val="24"/>
        </w:rPr>
        <w:t xml:space="preserve"> 3270</w:t>
      </w:r>
      <w:r w:rsidR="000C68AF" w:rsidRPr="00A07F29">
        <w:rPr>
          <w:rFonts w:cs="Times New Roman"/>
          <w:szCs w:val="24"/>
        </w:rPr>
        <w:t> </w:t>
      </w:r>
      <w:r w:rsidRPr="00A07F29">
        <w:rPr>
          <w:rFonts w:cs="Times New Roman"/>
          <w:i/>
          <w:szCs w:val="24"/>
        </w:rPr>
        <w:t xml:space="preserve">Dūņaini upju krasti ar slāpekli mīlošu viengadīgu </w:t>
      </w:r>
      <w:proofErr w:type="spellStart"/>
      <w:r w:rsidRPr="00A07F29">
        <w:rPr>
          <w:rFonts w:cs="Times New Roman"/>
          <w:i/>
          <w:szCs w:val="24"/>
        </w:rPr>
        <w:t>pioniersugu</w:t>
      </w:r>
      <w:proofErr w:type="spellEnd"/>
      <w:r w:rsidRPr="00A07F29">
        <w:rPr>
          <w:rFonts w:cs="Times New Roman"/>
          <w:i/>
          <w:szCs w:val="24"/>
        </w:rPr>
        <w:t xml:space="preserve"> augāju</w:t>
      </w:r>
      <w:r w:rsidRPr="00A07F29">
        <w:rPr>
          <w:rFonts w:cs="Times New Roman"/>
          <w:szCs w:val="24"/>
        </w:rPr>
        <w:t>),</w:t>
      </w:r>
    </w:p>
    <w:p w14:paraId="6A5E546D" w14:textId="785C3DD8" w:rsidR="00A27FB3" w:rsidRPr="00A07F29" w:rsidRDefault="00A27FB3" w:rsidP="00F87589">
      <w:pPr>
        <w:pStyle w:val="ListParagraph"/>
        <w:numPr>
          <w:ilvl w:val="0"/>
          <w:numId w:val="46"/>
        </w:numPr>
        <w:autoSpaceDE w:val="0"/>
        <w:spacing w:line="240" w:lineRule="auto"/>
        <w:ind w:left="1570" w:hanging="357"/>
        <w:contextualSpacing w:val="0"/>
        <w:rPr>
          <w:rFonts w:cs="Times New Roman"/>
          <w:szCs w:val="24"/>
        </w:rPr>
      </w:pPr>
      <w:r w:rsidRPr="00A07F29">
        <w:rPr>
          <w:rFonts w:cs="Times New Roman"/>
          <w:szCs w:val="24"/>
        </w:rPr>
        <w:t xml:space="preserve">krastmalās augāja josla, kas atbilst ES nozīmes un Latvijā </w:t>
      </w:r>
      <w:r w:rsidRPr="00173666">
        <w:rPr>
          <w:rFonts w:cs="Times New Roman"/>
          <w:szCs w:val="24"/>
        </w:rPr>
        <w:t>īpaši aizsargājamam</w:t>
      </w:r>
      <w:r w:rsidRPr="00A07F29">
        <w:rPr>
          <w:rFonts w:cs="Times New Roman"/>
          <w:szCs w:val="24"/>
        </w:rPr>
        <w:t xml:space="preserve"> biotopam 6430</w:t>
      </w:r>
      <w:r w:rsidR="000C68AF" w:rsidRPr="00A07F29">
        <w:rPr>
          <w:rFonts w:cs="Times New Roman"/>
          <w:szCs w:val="24"/>
        </w:rPr>
        <w:t> </w:t>
      </w:r>
      <w:proofErr w:type="spellStart"/>
      <w:r w:rsidRPr="00A07F29">
        <w:rPr>
          <w:rFonts w:cs="Times New Roman"/>
          <w:i/>
          <w:szCs w:val="24"/>
        </w:rPr>
        <w:t>Eitrofas</w:t>
      </w:r>
      <w:proofErr w:type="spellEnd"/>
      <w:r w:rsidRPr="00A07F29">
        <w:rPr>
          <w:rFonts w:cs="Times New Roman"/>
          <w:i/>
          <w:szCs w:val="24"/>
        </w:rPr>
        <w:t xml:space="preserve"> augsto lakstaugu audzes</w:t>
      </w:r>
      <w:r w:rsidRPr="00A07F29">
        <w:rPr>
          <w:rFonts w:cs="Times New Roman"/>
          <w:szCs w:val="24"/>
        </w:rPr>
        <w:t>.</w:t>
      </w:r>
    </w:p>
    <w:p w14:paraId="25B52514" w14:textId="541E96D1" w:rsidR="006827EA" w:rsidRPr="00A07F29" w:rsidRDefault="00A93FAB" w:rsidP="006827EA">
      <w:pPr>
        <w:suppressAutoHyphens/>
        <w:spacing w:after="120" w:line="240" w:lineRule="auto"/>
        <w:ind w:firstLine="851"/>
        <w:jc w:val="both"/>
        <w:textAlignment w:val="baseline"/>
        <w:rPr>
          <w:rFonts w:ascii="Times New Roman" w:eastAsia="Times New Roman" w:hAnsi="Times New Roman" w:cs="Times New Roman"/>
          <w:b/>
          <w:i/>
          <w:sz w:val="24"/>
          <w:szCs w:val="24"/>
        </w:rPr>
      </w:pPr>
      <w:r w:rsidRPr="00A07F29">
        <w:rPr>
          <w:rFonts w:ascii="Times New Roman" w:eastAsia="Times New Roman" w:hAnsi="Times New Roman" w:cs="Times New Roman"/>
          <w:color w:val="000000" w:themeColor="text1"/>
          <w:sz w:val="24"/>
          <w:szCs w:val="24"/>
        </w:rPr>
        <w:t xml:space="preserve">Daugava visā AAA “Augšdaugava” teritorijā atbilst </w:t>
      </w:r>
      <w:r w:rsidR="00A1162E" w:rsidRPr="00A07F29">
        <w:rPr>
          <w:rFonts w:ascii="Times New Roman" w:eastAsia="Times New Roman" w:hAnsi="Times New Roman" w:cs="Times New Roman"/>
          <w:color w:val="000000" w:themeColor="text1"/>
          <w:sz w:val="24"/>
          <w:szCs w:val="24"/>
        </w:rPr>
        <w:t xml:space="preserve">biotopam </w:t>
      </w:r>
      <w:r w:rsidRPr="00A07F29">
        <w:rPr>
          <w:rFonts w:ascii="Times New Roman" w:eastAsia="Times New Roman" w:hAnsi="Times New Roman" w:cs="Times New Roman"/>
          <w:b/>
          <w:sz w:val="24"/>
          <w:szCs w:val="24"/>
        </w:rPr>
        <w:t>3260</w:t>
      </w:r>
      <w:r w:rsidR="000C68AF" w:rsidRPr="00A07F29">
        <w:rPr>
          <w:rFonts w:ascii="Times New Roman" w:eastAsia="Times New Roman" w:hAnsi="Times New Roman" w:cs="Times New Roman"/>
          <w:b/>
          <w:sz w:val="24"/>
          <w:szCs w:val="24"/>
        </w:rPr>
        <w:t> </w:t>
      </w:r>
      <w:r w:rsidRPr="00A07F29">
        <w:rPr>
          <w:rFonts w:ascii="Times New Roman" w:eastAsia="Times New Roman" w:hAnsi="Times New Roman" w:cs="Times New Roman"/>
          <w:b/>
          <w:i/>
          <w:sz w:val="24"/>
          <w:szCs w:val="24"/>
        </w:rPr>
        <w:t>Upju straujteces un dabiski upju posmi</w:t>
      </w:r>
      <w:r w:rsidR="006827EA" w:rsidRPr="00A07F29">
        <w:rPr>
          <w:rFonts w:ascii="Times New Roman" w:eastAsia="Times New Roman" w:hAnsi="Times New Roman" w:cs="Times New Roman"/>
          <w:sz w:val="24"/>
          <w:szCs w:val="24"/>
        </w:rPr>
        <w:t>.</w:t>
      </w:r>
      <w:r w:rsidR="00233A5D" w:rsidRPr="00A07F29">
        <w:rPr>
          <w:rFonts w:ascii="Times New Roman" w:eastAsia="Times New Roman" w:hAnsi="Times New Roman" w:cs="Times New Roman"/>
          <w:sz w:val="24"/>
          <w:szCs w:val="24"/>
        </w:rPr>
        <w:t xml:space="preserve"> Biotopa kvalitāte novērtēta kā vidēja.</w:t>
      </w:r>
    </w:p>
    <w:p w14:paraId="2DC519C2" w14:textId="5AF5CC7B" w:rsidR="0081150B" w:rsidRPr="00A07F29" w:rsidRDefault="00BE26B5" w:rsidP="006827EA">
      <w:pPr>
        <w:suppressAutoHyphens/>
        <w:spacing w:after="120" w:line="240" w:lineRule="auto"/>
        <w:ind w:firstLine="851"/>
        <w:jc w:val="both"/>
        <w:textAlignment w:val="baseline"/>
        <w:rPr>
          <w:rFonts w:ascii="Times New Roman" w:eastAsia="Times New Roman" w:hAnsi="Times New Roman" w:cs="Times New Roman"/>
          <w:sz w:val="24"/>
          <w:szCs w:val="24"/>
          <w:lang w:eastAsia="en-GB"/>
        </w:rPr>
      </w:pPr>
      <w:r w:rsidRPr="00A07F29">
        <w:rPr>
          <w:rFonts w:ascii="Times New Roman" w:eastAsia="Times New Roman" w:hAnsi="Times New Roman" w:cs="Times New Roman"/>
          <w:sz w:val="24"/>
          <w:szCs w:val="24"/>
          <w:lang w:eastAsia="en-GB"/>
        </w:rPr>
        <w:t xml:space="preserve">Daugavai raksturīgs salīdzinoši neliels </w:t>
      </w:r>
      <w:proofErr w:type="spellStart"/>
      <w:r w:rsidRPr="00A07F29">
        <w:rPr>
          <w:rFonts w:ascii="Times New Roman" w:eastAsia="Times New Roman" w:hAnsi="Times New Roman" w:cs="Times New Roman"/>
          <w:sz w:val="24"/>
          <w:szCs w:val="24"/>
          <w:lang w:eastAsia="en-GB"/>
        </w:rPr>
        <w:t>aizaugums</w:t>
      </w:r>
      <w:proofErr w:type="spellEnd"/>
      <w:r w:rsidRPr="00A07F29">
        <w:rPr>
          <w:rFonts w:ascii="Times New Roman" w:eastAsia="Times New Roman" w:hAnsi="Times New Roman" w:cs="Times New Roman"/>
          <w:sz w:val="24"/>
          <w:szCs w:val="24"/>
          <w:lang w:eastAsia="en-GB"/>
        </w:rPr>
        <w:t xml:space="preserve"> ar ūdensaugiem. LVĢMC monitoringa novērojumu stacijās konstatētas 18</w:t>
      </w:r>
      <w:r w:rsidR="005D766F" w:rsidRPr="00A07F29">
        <w:rPr>
          <w:rFonts w:ascii="Times New Roman" w:eastAsia="Times New Roman" w:hAnsi="Times New Roman" w:cs="Times New Roman"/>
          <w:sz w:val="24"/>
          <w:szCs w:val="24"/>
          <w:lang w:eastAsia="en-GB"/>
        </w:rPr>
        <w:t> – </w:t>
      </w:r>
      <w:r w:rsidRPr="00A07F29">
        <w:rPr>
          <w:rFonts w:ascii="Times New Roman" w:eastAsia="Times New Roman" w:hAnsi="Times New Roman" w:cs="Times New Roman"/>
          <w:sz w:val="24"/>
          <w:szCs w:val="24"/>
          <w:lang w:eastAsia="en-GB"/>
        </w:rPr>
        <w:t>22 ūdensaugu sugas (LVĢMC monitoringa pārskati</w:t>
      </w:r>
      <w:r w:rsidR="005D766F" w:rsidRPr="00A07F29">
        <w:rPr>
          <w:rFonts w:ascii="Times New Roman" w:eastAsia="Times New Roman" w:hAnsi="Times New Roman" w:cs="Times New Roman"/>
          <w:sz w:val="24"/>
          <w:szCs w:val="24"/>
          <w:lang w:eastAsia="en-GB"/>
        </w:rPr>
        <w:t xml:space="preserve">, </w:t>
      </w:r>
      <w:r w:rsidRPr="00A07F29">
        <w:rPr>
          <w:rFonts w:ascii="Times New Roman" w:eastAsia="Times New Roman" w:hAnsi="Times New Roman" w:cs="Times New Roman"/>
          <w:sz w:val="24"/>
          <w:szCs w:val="24"/>
          <w:lang w:eastAsia="en-GB"/>
        </w:rPr>
        <w:t>2014.,</w:t>
      </w:r>
      <w:r w:rsidR="005D766F" w:rsidRPr="00A07F29">
        <w:rPr>
          <w:rFonts w:ascii="Times New Roman" w:eastAsia="Times New Roman" w:hAnsi="Times New Roman" w:cs="Times New Roman"/>
          <w:sz w:val="24"/>
          <w:szCs w:val="24"/>
          <w:lang w:eastAsia="en-GB"/>
        </w:rPr>
        <w:t xml:space="preserve"> </w:t>
      </w:r>
      <w:r w:rsidRPr="00A07F29">
        <w:rPr>
          <w:rFonts w:ascii="Times New Roman" w:eastAsia="Times New Roman" w:hAnsi="Times New Roman" w:cs="Times New Roman"/>
          <w:sz w:val="24"/>
          <w:szCs w:val="24"/>
          <w:lang w:eastAsia="en-GB"/>
        </w:rPr>
        <w:t xml:space="preserve">2015., 2017., 2018.). Lielākā sugu daudzveidība ir </w:t>
      </w:r>
      <w:proofErr w:type="spellStart"/>
      <w:r w:rsidRPr="00A07F29">
        <w:rPr>
          <w:rFonts w:ascii="Times New Roman" w:eastAsia="Times New Roman" w:hAnsi="Times New Roman" w:cs="Times New Roman"/>
          <w:sz w:val="24"/>
          <w:szCs w:val="24"/>
          <w:lang w:eastAsia="en-GB"/>
        </w:rPr>
        <w:t>virsūdens</w:t>
      </w:r>
      <w:proofErr w:type="spellEnd"/>
      <w:r w:rsidRPr="00A07F29">
        <w:rPr>
          <w:rFonts w:ascii="Times New Roman" w:eastAsia="Times New Roman" w:hAnsi="Times New Roman" w:cs="Times New Roman"/>
          <w:sz w:val="24"/>
          <w:szCs w:val="24"/>
          <w:lang w:eastAsia="en-GB"/>
        </w:rPr>
        <w:t xml:space="preserve"> augu joslā, kur konstatētas līdz 15 sugām, no kurām raksturīgākās ir grīšļi </w:t>
      </w:r>
      <w:proofErr w:type="spellStart"/>
      <w:r w:rsidRPr="00A07F29">
        <w:rPr>
          <w:rFonts w:ascii="Times New Roman" w:eastAsia="Times New Roman" w:hAnsi="Times New Roman" w:cs="Times New Roman"/>
          <w:i/>
          <w:sz w:val="24"/>
          <w:szCs w:val="24"/>
          <w:lang w:eastAsia="en-GB"/>
        </w:rPr>
        <w:t>Carex</w:t>
      </w:r>
      <w:proofErr w:type="spellEnd"/>
      <w:r w:rsidRPr="00A07F29">
        <w:rPr>
          <w:rFonts w:ascii="Times New Roman" w:eastAsia="Times New Roman" w:hAnsi="Times New Roman" w:cs="Times New Roman"/>
          <w:i/>
          <w:sz w:val="24"/>
          <w:szCs w:val="24"/>
          <w:lang w:eastAsia="en-GB"/>
        </w:rPr>
        <w:t xml:space="preserve"> </w:t>
      </w:r>
      <w:proofErr w:type="spellStart"/>
      <w:r w:rsidRPr="00A07F29">
        <w:rPr>
          <w:rFonts w:ascii="Times New Roman" w:eastAsia="Times New Roman" w:hAnsi="Times New Roman" w:cs="Times New Roman"/>
          <w:i/>
          <w:sz w:val="24"/>
          <w:szCs w:val="24"/>
          <w:lang w:eastAsia="en-GB"/>
        </w:rPr>
        <w:t>sp</w:t>
      </w:r>
      <w:proofErr w:type="spellEnd"/>
      <w:r w:rsidRPr="00A07F29">
        <w:rPr>
          <w:rFonts w:ascii="Times New Roman" w:eastAsia="Times New Roman" w:hAnsi="Times New Roman" w:cs="Times New Roman"/>
          <w:i/>
          <w:sz w:val="24"/>
          <w:szCs w:val="24"/>
          <w:lang w:eastAsia="en-GB"/>
        </w:rPr>
        <w:t>.</w:t>
      </w:r>
      <w:r w:rsidRPr="00A07F29">
        <w:rPr>
          <w:rFonts w:ascii="Times New Roman" w:eastAsia="Times New Roman" w:hAnsi="Times New Roman" w:cs="Times New Roman"/>
          <w:sz w:val="24"/>
          <w:szCs w:val="24"/>
          <w:lang w:eastAsia="en-GB"/>
        </w:rPr>
        <w:t xml:space="preserve">, ezera meldrs </w:t>
      </w:r>
      <w:proofErr w:type="spellStart"/>
      <w:r w:rsidRPr="00A07F29">
        <w:rPr>
          <w:rFonts w:ascii="Times New Roman" w:eastAsia="Times New Roman" w:hAnsi="Times New Roman" w:cs="Times New Roman"/>
          <w:i/>
          <w:sz w:val="24"/>
          <w:szCs w:val="24"/>
          <w:lang w:eastAsia="en-GB"/>
        </w:rPr>
        <w:t>Scirpus</w:t>
      </w:r>
      <w:proofErr w:type="spellEnd"/>
      <w:r w:rsidRPr="00A07F29">
        <w:rPr>
          <w:rFonts w:ascii="Times New Roman" w:eastAsia="Times New Roman" w:hAnsi="Times New Roman" w:cs="Times New Roman"/>
          <w:i/>
          <w:sz w:val="24"/>
          <w:szCs w:val="24"/>
          <w:lang w:eastAsia="en-GB"/>
        </w:rPr>
        <w:t xml:space="preserve"> </w:t>
      </w:r>
      <w:proofErr w:type="spellStart"/>
      <w:r w:rsidRPr="00A07F29">
        <w:rPr>
          <w:rFonts w:ascii="Times New Roman" w:eastAsia="Times New Roman" w:hAnsi="Times New Roman" w:cs="Times New Roman"/>
          <w:i/>
          <w:sz w:val="24"/>
          <w:szCs w:val="24"/>
          <w:lang w:eastAsia="en-GB"/>
        </w:rPr>
        <w:t>lacustris</w:t>
      </w:r>
      <w:proofErr w:type="spellEnd"/>
      <w:r w:rsidRPr="00A07F29">
        <w:rPr>
          <w:rFonts w:ascii="Times New Roman" w:eastAsia="Times New Roman" w:hAnsi="Times New Roman" w:cs="Times New Roman"/>
          <w:sz w:val="24"/>
          <w:szCs w:val="24"/>
          <w:lang w:eastAsia="en-GB"/>
        </w:rPr>
        <w:t xml:space="preserve">, čemurainais </w:t>
      </w:r>
      <w:proofErr w:type="spellStart"/>
      <w:r w:rsidRPr="00A07F29">
        <w:rPr>
          <w:rFonts w:ascii="Times New Roman" w:eastAsia="Times New Roman" w:hAnsi="Times New Roman" w:cs="Times New Roman"/>
          <w:sz w:val="24"/>
          <w:szCs w:val="24"/>
          <w:lang w:eastAsia="en-GB"/>
        </w:rPr>
        <w:t>puķumeldrs</w:t>
      </w:r>
      <w:proofErr w:type="spellEnd"/>
      <w:r w:rsidRPr="00A07F29">
        <w:rPr>
          <w:rFonts w:ascii="Times New Roman" w:eastAsia="Times New Roman" w:hAnsi="Times New Roman" w:cs="Times New Roman"/>
          <w:sz w:val="24"/>
          <w:szCs w:val="24"/>
          <w:lang w:eastAsia="en-GB"/>
        </w:rPr>
        <w:t xml:space="preserve"> </w:t>
      </w:r>
      <w:proofErr w:type="spellStart"/>
      <w:r w:rsidRPr="00A07F29">
        <w:rPr>
          <w:rFonts w:ascii="Times New Roman" w:eastAsia="Times New Roman" w:hAnsi="Times New Roman" w:cs="Times New Roman"/>
          <w:i/>
          <w:sz w:val="24"/>
          <w:szCs w:val="24"/>
          <w:lang w:eastAsia="en-GB"/>
        </w:rPr>
        <w:t>Butomus</w:t>
      </w:r>
      <w:proofErr w:type="spellEnd"/>
      <w:r w:rsidRPr="00A07F29">
        <w:rPr>
          <w:rFonts w:ascii="Times New Roman" w:eastAsia="Times New Roman" w:hAnsi="Times New Roman" w:cs="Times New Roman"/>
          <w:i/>
          <w:sz w:val="24"/>
          <w:szCs w:val="24"/>
          <w:lang w:eastAsia="en-GB"/>
        </w:rPr>
        <w:t xml:space="preserve"> </w:t>
      </w:r>
      <w:proofErr w:type="spellStart"/>
      <w:r w:rsidRPr="00A07F29">
        <w:rPr>
          <w:rFonts w:ascii="Times New Roman" w:eastAsia="Times New Roman" w:hAnsi="Times New Roman" w:cs="Times New Roman"/>
          <w:i/>
          <w:sz w:val="24"/>
          <w:szCs w:val="24"/>
          <w:lang w:eastAsia="en-GB"/>
        </w:rPr>
        <w:t>umbellatus</w:t>
      </w:r>
      <w:proofErr w:type="spellEnd"/>
      <w:r w:rsidRPr="00A07F29">
        <w:rPr>
          <w:rFonts w:ascii="Times New Roman" w:eastAsia="Times New Roman" w:hAnsi="Times New Roman" w:cs="Times New Roman"/>
          <w:sz w:val="24"/>
          <w:szCs w:val="24"/>
          <w:lang w:eastAsia="en-GB"/>
        </w:rPr>
        <w:t xml:space="preserve">, parastais </w:t>
      </w:r>
      <w:proofErr w:type="spellStart"/>
      <w:r w:rsidRPr="00A07F29">
        <w:rPr>
          <w:rFonts w:ascii="Times New Roman" w:eastAsia="Times New Roman" w:hAnsi="Times New Roman" w:cs="Times New Roman"/>
          <w:sz w:val="24"/>
          <w:szCs w:val="24"/>
          <w:lang w:eastAsia="en-GB"/>
        </w:rPr>
        <w:t>miežubrālis</w:t>
      </w:r>
      <w:proofErr w:type="spellEnd"/>
      <w:r w:rsidRPr="00A07F29">
        <w:rPr>
          <w:rFonts w:ascii="Times New Roman" w:eastAsia="Times New Roman" w:hAnsi="Times New Roman" w:cs="Times New Roman"/>
          <w:sz w:val="24"/>
          <w:szCs w:val="24"/>
          <w:lang w:eastAsia="en-GB"/>
        </w:rPr>
        <w:t xml:space="preserve"> </w:t>
      </w:r>
      <w:proofErr w:type="spellStart"/>
      <w:r w:rsidRPr="00A07F29">
        <w:rPr>
          <w:rFonts w:ascii="Times New Roman" w:eastAsia="Times New Roman" w:hAnsi="Times New Roman" w:cs="Times New Roman"/>
          <w:i/>
          <w:sz w:val="24"/>
          <w:szCs w:val="24"/>
          <w:lang w:eastAsia="en-GB"/>
        </w:rPr>
        <w:t>Phalaroides</w:t>
      </w:r>
      <w:proofErr w:type="spellEnd"/>
      <w:r w:rsidRPr="00A07F29">
        <w:rPr>
          <w:rFonts w:ascii="Times New Roman" w:eastAsia="Times New Roman" w:hAnsi="Times New Roman" w:cs="Times New Roman"/>
          <w:i/>
          <w:sz w:val="24"/>
          <w:szCs w:val="24"/>
          <w:lang w:eastAsia="en-GB"/>
        </w:rPr>
        <w:t xml:space="preserve"> </w:t>
      </w:r>
      <w:proofErr w:type="spellStart"/>
      <w:r w:rsidRPr="00A07F29">
        <w:rPr>
          <w:rFonts w:ascii="Times New Roman" w:eastAsia="Times New Roman" w:hAnsi="Times New Roman" w:cs="Times New Roman"/>
          <w:i/>
          <w:sz w:val="24"/>
          <w:szCs w:val="24"/>
          <w:lang w:eastAsia="en-GB"/>
        </w:rPr>
        <w:t>arundinacea</w:t>
      </w:r>
      <w:proofErr w:type="spellEnd"/>
      <w:r w:rsidRPr="00A07F29">
        <w:rPr>
          <w:rFonts w:ascii="Times New Roman" w:eastAsia="Times New Roman" w:hAnsi="Times New Roman" w:cs="Times New Roman"/>
          <w:sz w:val="24"/>
          <w:szCs w:val="24"/>
          <w:lang w:eastAsia="en-GB"/>
        </w:rPr>
        <w:t xml:space="preserve">, meža meldrs </w:t>
      </w:r>
      <w:proofErr w:type="spellStart"/>
      <w:r w:rsidRPr="00A07F29">
        <w:rPr>
          <w:rFonts w:ascii="Times New Roman" w:eastAsia="Times New Roman" w:hAnsi="Times New Roman" w:cs="Times New Roman"/>
          <w:i/>
          <w:sz w:val="24"/>
          <w:szCs w:val="24"/>
          <w:lang w:eastAsia="en-GB"/>
        </w:rPr>
        <w:t>S</w:t>
      </w:r>
      <w:r w:rsidR="0081150B" w:rsidRPr="00A07F29">
        <w:rPr>
          <w:rFonts w:ascii="Times New Roman" w:eastAsia="Times New Roman" w:hAnsi="Times New Roman" w:cs="Times New Roman"/>
          <w:i/>
          <w:sz w:val="24"/>
          <w:szCs w:val="24"/>
          <w:lang w:eastAsia="en-GB"/>
        </w:rPr>
        <w:t>cirpus</w:t>
      </w:r>
      <w:proofErr w:type="spellEnd"/>
      <w:r w:rsidR="0081150B" w:rsidRPr="00A07F29">
        <w:rPr>
          <w:rFonts w:ascii="Times New Roman" w:eastAsia="Times New Roman" w:hAnsi="Times New Roman" w:cs="Times New Roman"/>
          <w:i/>
          <w:sz w:val="24"/>
          <w:szCs w:val="24"/>
          <w:lang w:eastAsia="en-GB"/>
        </w:rPr>
        <w:t xml:space="preserve"> </w:t>
      </w:r>
      <w:proofErr w:type="spellStart"/>
      <w:r w:rsidR="0081150B" w:rsidRPr="00A07F29">
        <w:rPr>
          <w:rFonts w:ascii="Times New Roman" w:eastAsia="Times New Roman" w:hAnsi="Times New Roman" w:cs="Times New Roman"/>
          <w:i/>
          <w:sz w:val="24"/>
          <w:szCs w:val="24"/>
          <w:lang w:eastAsia="en-GB"/>
        </w:rPr>
        <w:t>sylvat</w:t>
      </w:r>
      <w:r w:rsidRPr="00A07F29">
        <w:rPr>
          <w:rFonts w:ascii="Times New Roman" w:eastAsia="Times New Roman" w:hAnsi="Times New Roman" w:cs="Times New Roman"/>
          <w:i/>
          <w:sz w:val="24"/>
          <w:szCs w:val="24"/>
          <w:lang w:eastAsia="en-GB"/>
        </w:rPr>
        <w:t>ic</w:t>
      </w:r>
      <w:r w:rsidR="0099255B" w:rsidRPr="00A07F29">
        <w:rPr>
          <w:rFonts w:ascii="Times New Roman" w:eastAsia="Times New Roman" w:hAnsi="Times New Roman" w:cs="Times New Roman"/>
          <w:i/>
          <w:sz w:val="24"/>
          <w:szCs w:val="24"/>
          <w:lang w:eastAsia="en-GB"/>
        </w:rPr>
        <w:t>us</w:t>
      </w:r>
      <w:proofErr w:type="spellEnd"/>
      <w:r w:rsidRPr="00A07F29">
        <w:rPr>
          <w:rFonts w:ascii="Times New Roman" w:eastAsia="Times New Roman" w:hAnsi="Times New Roman" w:cs="Times New Roman"/>
          <w:sz w:val="24"/>
          <w:szCs w:val="24"/>
          <w:lang w:eastAsia="en-GB"/>
        </w:rPr>
        <w:t xml:space="preserve">. </w:t>
      </w:r>
      <w:proofErr w:type="spellStart"/>
      <w:r w:rsidRPr="00A07F29">
        <w:rPr>
          <w:rFonts w:ascii="Times New Roman" w:eastAsia="Times New Roman" w:hAnsi="Times New Roman" w:cs="Times New Roman"/>
          <w:sz w:val="24"/>
          <w:szCs w:val="24"/>
          <w:lang w:eastAsia="en-GB"/>
        </w:rPr>
        <w:t>Peldlapu</w:t>
      </w:r>
      <w:proofErr w:type="spellEnd"/>
      <w:r w:rsidRPr="00A07F29">
        <w:rPr>
          <w:rFonts w:ascii="Times New Roman" w:eastAsia="Times New Roman" w:hAnsi="Times New Roman" w:cs="Times New Roman"/>
          <w:sz w:val="24"/>
          <w:szCs w:val="24"/>
          <w:lang w:eastAsia="en-GB"/>
        </w:rPr>
        <w:t xml:space="preserve"> augu josla neizteikta, tajā parasti sastopama dzeltenā lēpe </w:t>
      </w:r>
      <w:proofErr w:type="spellStart"/>
      <w:r w:rsidRPr="00A07F29">
        <w:rPr>
          <w:rFonts w:ascii="Times New Roman" w:eastAsia="Times New Roman" w:hAnsi="Times New Roman" w:cs="Times New Roman"/>
          <w:i/>
          <w:sz w:val="24"/>
          <w:szCs w:val="24"/>
          <w:lang w:eastAsia="en-GB"/>
        </w:rPr>
        <w:t>Nuphar</w:t>
      </w:r>
      <w:proofErr w:type="spellEnd"/>
      <w:r w:rsidRPr="00A07F29">
        <w:rPr>
          <w:rFonts w:ascii="Times New Roman" w:eastAsia="Times New Roman" w:hAnsi="Times New Roman" w:cs="Times New Roman"/>
          <w:i/>
          <w:sz w:val="24"/>
          <w:szCs w:val="24"/>
          <w:lang w:eastAsia="en-GB"/>
        </w:rPr>
        <w:t xml:space="preserve"> </w:t>
      </w:r>
      <w:proofErr w:type="spellStart"/>
      <w:r w:rsidRPr="00A07F29">
        <w:rPr>
          <w:rFonts w:ascii="Times New Roman" w:eastAsia="Times New Roman" w:hAnsi="Times New Roman" w:cs="Times New Roman"/>
          <w:i/>
          <w:sz w:val="24"/>
          <w:szCs w:val="24"/>
          <w:lang w:eastAsia="en-GB"/>
        </w:rPr>
        <w:t>lutea</w:t>
      </w:r>
      <w:proofErr w:type="spellEnd"/>
      <w:r w:rsidRPr="00A07F29">
        <w:rPr>
          <w:rFonts w:ascii="Times New Roman" w:eastAsia="Times New Roman" w:hAnsi="Times New Roman" w:cs="Times New Roman"/>
          <w:sz w:val="24"/>
          <w:szCs w:val="24"/>
          <w:lang w:eastAsia="en-GB"/>
        </w:rPr>
        <w:t xml:space="preserve">. Lielāko </w:t>
      </w:r>
      <w:proofErr w:type="spellStart"/>
      <w:r w:rsidRPr="00A07F29">
        <w:rPr>
          <w:rFonts w:ascii="Times New Roman" w:eastAsia="Times New Roman" w:hAnsi="Times New Roman" w:cs="Times New Roman"/>
          <w:sz w:val="24"/>
          <w:szCs w:val="24"/>
          <w:lang w:eastAsia="en-GB"/>
        </w:rPr>
        <w:t>aizauguma</w:t>
      </w:r>
      <w:proofErr w:type="spellEnd"/>
      <w:r w:rsidRPr="00A07F29">
        <w:rPr>
          <w:rFonts w:ascii="Times New Roman" w:eastAsia="Times New Roman" w:hAnsi="Times New Roman" w:cs="Times New Roman"/>
          <w:sz w:val="24"/>
          <w:szCs w:val="24"/>
          <w:lang w:eastAsia="en-GB"/>
        </w:rPr>
        <w:t xml:space="preserve"> daļu veido iegrimušie ūdensaugi: skaujošā glīvene </w:t>
      </w:r>
      <w:proofErr w:type="spellStart"/>
      <w:r w:rsidRPr="00A07F29">
        <w:rPr>
          <w:rFonts w:ascii="Times New Roman" w:eastAsia="Times New Roman" w:hAnsi="Times New Roman" w:cs="Times New Roman"/>
          <w:i/>
          <w:sz w:val="24"/>
          <w:szCs w:val="24"/>
          <w:lang w:eastAsia="en-GB"/>
        </w:rPr>
        <w:t>Potamogeton</w:t>
      </w:r>
      <w:proofErr w:type="spellEnd"/>
      <w:r w:rsidRPr="00A07F29">
        <w:rPr>
          <w:rFonts w:ascii="Times New Roman" w:eastAsia="Times New Roman" w:hAnsi="Times New Roman" w:cs="Times New Roman"/>
          <w:i/>
          <w:sz w:val="24"/>
          <w:szCs w:val="24"/>
          <w:lang w:eastAsia="en-GB"/>
        </w:rPr>
        <w:t xml:space="preserve"> </w:t>
      </w:r>
      <w:proofErr w:type="spellStart"/>
      <w:r w:rsidRPr="00A07F29">
        <w:rPr>
          <w:rFonts w:ascii="Times New Roman" w:eastAsia="Times New Roman" w:hAnsi="Times New Roman" w:cs="Times New Roman"/>
          <w:i/>
          <w:sz w:val="24"/>
          <w:szCs w:val="24"/>
          <w:lang w:eastAsia="en-GB"/>
        </w:rPr>
        <w:t>perfoliatus</w:t>
      </w:r>
      <w:proofErr w:type="spellEnd"/>
      <w:r w:rsidRPr="00A07F29">
        <w:rPr>
          <w:rFonts w:ascii="Times New Roman" w:eastAsia="Times New Roman" w:hAnsi="Times New Roman" w:cs="Times New Roman"/>
          <w:sz w:val="24"/>
          <w:szCs w:val="24"/>
          <w:lang w:eastAsia="en-GB"/>
        </w:rPr>
        <w:t xml:space="preserve">, </w:t>
      </w:r>
      <w:proofErr w:type="spellStart"/>
      <w:r w:rsidRPr="00A07F29">
        <w:rPr>
          <w:rFonts w:ascii="Times New Roman" w:eastAsia="Times New Roman" w:hAnsi="Times New Roman" w:cs="Times New Roman"/>
          <w:sz w:val="24"/>
          <w:szCs w:val="24"/>
          <w:lang w:eastAsia="en-GB"/>
        </w:rPr>
        <w:t>ķemmveida</w:t>
      </w:r>
      <w:proofErr w:type="spellEnd"/>
      <w:r w:rsidRPr="00A07F29">
        <w:rPr>
          <w:rFonts w:ascii="Times New Roman" w:eastAsia="Times New Roman" w:hAnsi="Times New Roman" w:cs="Times New Roman"/>
          <w:sz w:val="24"/>
          <w:szCs w:val="24"/>
          <w:lang w:eastAsia="en-GB"/>
        </w:rPr>
        <w:t xml:space="preserve"> glīvene </w:t>
      </w:r>
      <w:r w:rsidRPr="00A07F29">
        <w:rPr>
          <w:rFonts w:ascii="Times New Roman" w:eastAsia="Times New Roman" w:hAnsi="Times New Roman" w:cs="Times New Roman"/>
          <w:i/>
          <w:sz w:val="24"/>
          <w:szCs w:val="24"/>
          <w:lang w:eastAsia="en-GB"/>
        </w:rPr>
        <w:t>P. </w:t>
      </w:r>
      <w:proofErr w:type="spellStart"/>
      <w:r w:rsidRPr="00A07F29">
        <w:rPr>
          <w:rFonts w:ascii="Times New Roman" w:eastAsia="Times New Roman" w:hAnsi="Times New Roman" w:cs="Times New Roman"/>
          <w:i/>
          <w:sz w:val="24"/>
          <w:szCs w:val="24"/>
          <w:lang w:eastAsia="en-GB"/>
        </w:rPr>
        <w:t>pectinatus</w:t>
      </w:r>
      <w:proofErr w:type="spellEnd"/>
      <w:r w:rsidRPr="00A07F29">
        <w:rPr>
          <w:rFonts w:ascii="Times New Roman" w:eastAsia="Times New Roman" w:hAnsi="Times New Roman" w:cs="Times New Roman"/>
          <w:sz w:val="24"/>
          <w:szCs w:val="24"/>
          <w:lang w:eastAsia="en-GB"/>
        </w:rPr>
        <w:t xml:space="preserve">, zālainā glīvene </w:t>
      </w:r>
      <w:r w:rsidRPr="00A07F29">
        <w:rPr>
          <w:rFonts w:ascii="Times New Roman" w:eastAsia="Times New Roman" w:hAnsi="Times New Roman" w:cs="Times New Roman"/>
          <w:i/>
          <w:sz w:val="24"/>
          <w:szCs w:val="24"/>
          <w:lang w:eastAsia="en-GB"/>
        </w:rPr>
        <w:t>P. </w:t>
      </w:r>
      <w:proofErr w:type="spellStart"/>
      <w:r w:rsidRPr="00A07F29">
        <w:rPr>
          <w:rFonts w:ascii="Times New Roman" w:eastAsia="Times New Roman" w:hAnsi="Times New Roman" w:cs="Times New Roman"/>
          <w:i/>
          <w:sz w:val="24"/>
          <w:szCs w:val="24"/>
          <w:lang w:eastAsia="en-GB"/>
        </w:rPr>
        <w:t>graminea</w:t>
      </w:r>
      <w:proofErr w:type="spellEnd"/>
      <w:r w:rsidRPr="00A07F29">
        <w:rPr>
          <w:rFonts w:ascii="Times New Roman" w:eastAsia="Times New Roman" w:hAnsi="Times New Roman" w:cs="Times New Roman"/>
          <w:sz w:val="24"/>
          <w:szCs w:val="24"/>
          <w:lang w:eastAsia="en-GB"/>
        </w:rPr>
        <w:t xml:space="preserve">, iegrimusī </w:t>
      </w:r>
      <w:proofErr w:type="spellStart"/>
      <w:r w:rsidRPr="00A07F29">
        <w:rPr>
          <w:rFonts w:ascii="Times New Roman" w:eastAsia="Times New Roman" w:hAnsi="Times New Roman" w:cs="Times New Roman"/>
          <w:sz w:val="24"/>
          <w:szCs w:val="24"/>
          <w:lang w:eastAsia="en-GB"/>
        </w:rPr>
        <w:t>raglape</w:t>
      </w:r>
      <w:proofErr w:type="spellEnd"/>
      <w:r w:rsidRPr="00A07F29">
        <w:rPr>
          <w:rFonts w:ascii="Times New Roman" w:eastAsia="Times New Roman" w:hAnsi="Times New Roman" w:cs="Times New Roman"/>
          <w:sz w:val="24"/>
          <w:szCs w:val="24"/>
          <w:lang w:eastAsia="en-GB"/>
        </w:rPr>
        <w:t xml:space="preserve"> </w:t>
      </w:r>
      <w:proofErr w:type="spellStart"/>
      <w:r w:rsidRPr="00A07F29">
        <w:rPr>
          <w:rFonts w:ascii="Times New Roman" w:eastAsia="Times New Roman" w:hAnsi="Times New Roman" w:cs="Times New Roman"/>
          <w:i/>
          <w:sz w:val="24"/>
          <w:szCs w:val="24"/>
          <w:lang w:eastAsia="en-GB"/>
        </w:rPr>
        <w:lastRenderedPageBreak/>
        <w:t>Ceratophyllum</w:t>
      </w:r>
      <w:proofErr w:type="spellEnd"/>
      <w:r w:rsidRPr="00A07F29">
        <w:rPr>
          <w:rFonts w:ascii="Times New Roman" w:eastAsia="Times New Roman" w:hAnsi="Times New Roman" w:cs="Times New Roman"/>
          <w:i/>
          <w:sz w:val="24"/>
          <w:szCs w:val="24"/>
          <w:lang w:eastAsia="en-GB"/>
        </w:rPr>
        <w:t xml:space="preserve"> </w:t>
      </w:r>
      <w:proofErr w:type="spellStart"/>
      <w:r w:rsidRPr="00A07F29">
        <w:rPr>
          <w:rFonts w:ascii="Times New Roman" w:eastAsia="Times New Roman" w:hAnsi="Times New Roman" w:cs="Times New Roman"/>
          <w:i/>
          <w:sz w:val="24"/>
          <w:szCs w:val="24"/>
          <w:lang w:eastAsia="en-GB"/>
        </w:rPr>
        <w:t>demersum</w:t>
      </w:r>
      <w:proofErr w:type="spellEnd"/>
      <w:r w:rsidRPr="00A07F29">
        <w:rPr>
          <w:rFonts w:ascii="Times New Roman" w:eastAsia="Times New Roman" w:hAnsi="Times New Roman" w:cs="Times New Roman"/>
          <w:sz w:val="24"/>
          <w:szCs w:val="24"/>
          <w:lang w:eastAsia="en-GB"/>
        </w:rPr>
        <w:t xml:space="preserve">, Kanādas </w:t>
      </w:r>
      <w:proofErr w:type="spellStart"/>
      <w:r w:rsidRPr="00A07F29">
        <w:rPr>
          <w:rFonts w:ascii="Times New Roman" w:eastAsia="Times New Roman" w:hAnsi="Times New Roman" w:cs="Times New Roman"/>
          <w:sz w:val="24"/>
          <w:szCs w:val="24"/>
          <w:lang w:eastAsia="en-GB"/>
        </w:rPr>
        <w:t>elodeja</w:t>
      </w:r>
      <w:proofErr w:type="spellEnd"/>
      <w:r w:rsidRPr="00A07F29">
        <w:rPr>
          <w:rFonts w:ascii="Times New Roman" w:eastAsia="Times New Roman" w:hAnsi="Times New Roman" w:cs="Times New Roman"/>
          <w:sz w:val="24"/>
          <w:szCs w:val="24"/>
          <w:lang w:eastAsia="en-GB"/>
        </w:rPr>
        <w:t xml:space="preserve"> </w:t>
      </w:r>
      <w:proofErr w:type="spellStart"/>
      <w:r w:rsidRPr="00A07F29">
        <w:rPr>
          <w:rFonts w:ascii="Times New Roman" w:eastAsia="Times New Roman" w:hAnsi="Times New Roman" w:cs="Times New Roman"/>
          <w:i/>
          <w:sz w:val="24"/>
          <w:szCs w:val="24"/>
          <w:lang w:eastAsia="en-GB"/>
        </w:rPr>
        <w:t>Elodea</w:t>
      </w:r>
      <w:proofErr w:type="spellEnd"/>
      <w:r w:rsidRPr="00A07F29">
        <w:rPr>
          <w:rFonts w:ascii="Times New Roman" w:eastAsia="Times New Roman" w:hAnsi="Times New Roman" w:cs="Times New Roman"/>
          <w:i/>
          <w:sz w:val="24"/>
          <w:szCs w:val="24"/>
          <w:lang w:eastAsia="en-GB"/>
        </w:rPr>
        <w:t xml:space="preserve"> </w:t>
      </w:r>
      <w:proofErr w:type="spellStart"/>
      <w:r w:rsidRPr="00A07F29">
        <w:rPr>
          <w:rFonts w:ascii="Times New Roman" w:eastAsia="Times New Roman" w:hAnsi="Times New Roman" w:cs="Times New Roman"/>
          <w:i/>
          <w:sz w:val="24"/>
          <w:szCs w:val="24"/>
          <w:lang w:eastAsia="en-GB"/>
        </w:rPr>
        <w:t>canadensis</w:t>
      </w:r>
      <w:proofErr w:type="spellEnd"/>
      <w:r w:rsidRPr="00A07F29">
        <w:rPr>
          <w:rFonts w:ascii="Times New Roman" w:eastAsia="Times New Roman" w:hAnsi="Times New Roman" w:cs="Times New Roman"/>
          <w:sz w:val="24"/>
          <w:szCs w:val="24"/>
          <w:lang w:eastAsia="en-GB"/>
        </w:rPr>
        <w:t xml:space="preserve">, </w:t>
      </w:r>
      <w:proofErr w:type="spellStart"/>
      <w:r w:rsidRPr="00A07F29">
        <w:rPr>
          <w:rFonts w:ascii="Times New Roman" w:eastAsia="Times New Roman" w:hAnsi="Times New Roman" w:cs="Times New Roman"/>
          <w:sz w:val="24"/>
          <w:szCs w:val="24"/>
          <w:lang w:eastAsia="en-GB"/>
        </w:rPr>
        <w:t>avotsūna</w:t>
      </w:r>
      <w:proofErr w:type="spellEnd"/>
      <w:r w:rsidRPr="00A07F29">
        <w:rPr>
          <w:rFonts w:ascii="Times New Roman" w:eastAsia="Times New Roman" w:hAnsi="Times New Roman" w:cs="Times New Roman"/>
          <w:sz w:val="24"/>
          <w:szCs w:val="24"/>
          <w:lang w:eastAsia="en-GB"/>
        </w:rPr>
        <w:t xml:space="preserve"> </w:t>
      </w:r>
      <w:proofErr w:type="spellStart"/>
      <w:r w:rsidRPr="00A07F29">
        <w:rPr>
          <w:rFonts w:ascii="Times New Roman" w:eastAsia="Times New Roman" w:hAnsi="Times New Roman" w:cs="Times New Roman"/>
          <w:i/>
          <w:sz w:val="24"/>
          <w:szCs w:val="24"/>
          <w:lang w:eastAsia="en-GB"/>
        </w:rPr>
        <w:t>Fontinalis</w:t>
      </w:r>
      <w:proofErr w:type="spellEnd"/>
      <w:r w:rsidRPr="00A07F29">
        <w:rPr>
          <w:rFonts w:ascii="Times New Roman" w:eastAsia="Times New Roman" w:hAnsi="Times New Roman" w:cs="Times New Roman"/>
          <w:i/>
          <w:sz w:val="24"/>
          <w:szCs w:val="24"/>
          <w:lang w:eastAsia="en-GB"/>
        </w:rPr>
        <w:t xml:space="preserve"> </w:t>
      </w:r>
      <w:proofErr w:type="spellStart"/>
      <w:r w:rsidRPr="00A07F29">
        <w:rPr>
          <w:rFonts w:ascii="Times New Roman" w:eastAsia="Times New Roman" w:hAnsi="Times New Roman" w:cs="Times New Roman"/>
          <w:i/>
          <w:sz w:val="24"/>
          <w:szCs w:val="24"/>
          <w:lang w:eastAsia="en-GB"/>
        </w:rPr>
        <w:t>antipyretica</w:t>
      </w:r>
      <w:proofErr w:type="spellEnd"/>
      <w:r w:rsidRPr="00A07F29">
        <w:rPr>
          <w:rFonts w:ascii="Times New Roman" w:eastAsia="Times New Roman" w:hAnsi="Times New Roman" w:cs="Times New Roman"/>
          <w:sz w:val="24"/>
          <w:szCs w:val="24"/>
          <w:lang w:eastAsia="en-GB"/>
        </w:rPr>
        <w:t xml:space="preserve">, </w:t>
      </w:r>
      <w:proofErr w:type="spellStart"/>
      <w:r w:rsidRPr="00A07F29">
        <w:rPr>
          <w:rFonts w:ascii="Times New Roman" w:eastAsia="Times New Roman" w:hAnsi="Times New Roman" w:cs="Times New Roman"/>
          <w:sz w:val="24"/>
          <w:szCs w:val="24"/>
          <w:lang w:eastAsia="en-GB"/>
        </w:rPr>
        <w:t>ūdensgundega</w:t>
      </w:r>
      <w:proofErr w:type="spellEnd"/>
      <w:r w:rsidRPr="00A07F29">
        <w:rPr>
          <w:rFonts w:ascii="Times New Roman" w:eastAsia="Times New Roman" w:hAnsi="Times New Roman" w:cs="Times New Roman"/>
          <w:sz w:val="24"/>
          <w:szCs w:val="24"/>
          <w:lang w:eastAsia="en-GB"/>
        </w:rPr>
        <w:t xml:space="preserve"> </w:t>
      </w:r>
      <w:proofErr w:type="spellStart"/>
      <w:r w:rsidRPr="00A07F29">
        <w:rPr>
          <w:rFonts w:ascii="Times New Roman" w:eastAsia="Times New Roman" w:hAnsi="Times New Roman" w:cs="Times New Roman"/>
          <w:i/>
          <w:sz w:val="24"/>
          <w:szCs w:val="24"/>
          <w:lang w:eastAsia="en-GB"/>
        </w:rPr>
        <w:t>Batracium</w:t>
      </w:r>
      <w:proofErr w:type="spellEnd"/>
      <w:r w:rsidRPr="00A07F29">
        <w:rPr>
          <w:rFonts w:ascii="Times New Roman" w:eastAsia="Times New Roman" w:hAnsi="Times New Roman" w:cs="Times New Roman"/>
          <w:i/>
          <w:sz w:val="24"/>
          <w:szCs w:val="24"/>
          <w:lang w:eastAsia="en-GB"/>
        </w:rPr>
        <w:t xml:space="preserve"> </w:t>
      </w:r>
      <w:proofErr w:type="spellStart"/>
      <w:r w:rsidRPr="00A07F29">
        <w:rPr>
          <w:rFonts w:ascii="Times New Roman" w:eastAsia="Times New Roman" w:hAnsi="Times New Roman" w:cs="Times New Roman"/>
          <w:i/>
          <w:sz w:val="24"/>
          <w:szCs w:val="24"/>
          <w:lang w:eastAsia="en-GB"/>
        </w:rPr>
        <w:t>sp</w:t>
      </w:r>
      <w:proofErr w:type="spellEnd"/>
      <w:r w:rsidRPr="00A07F29">
        <w:rPr>
          <w:rFonts w:ascii="Times New Roman" w:eastAsia="Times New Roman" w:hAnsi="Times New Roman" w:cs="Times New Roman"/>
          <w:i/>
          <w:sz w:val="24"/>
          <w:szCs w:val="24"/>
          <w:lang w:eastAsia="en-GB"/>
        </w:rPr>
        <w:t>.</w:t>
      </w:r>
      <w:r w:rsidRPr="00A07F29">
        <w:rPr>
          <w:rFonts w:ascii="Times New Roman" w:eastAsia="Times New Roman" w:hAnsi="Times New Roman" w:cs="Times New Roman"/>
          <w:sz w:val="24"/>
          <w:szCs w:val="24"/>
          <w:lang w:eastAsia="en-GB"/>
        </w:rPr>
        <w:t xml:space="preserve">, kā arī </w:t>
      </w:r>
      <w:proofErr w:type="spellStart"/>
      <w:r w:rsidRPr="00A07F29">
        <w:rPr>
          <w:rFonts w:ascii="Times New Roman" w:eastAsia="Times New Roman" w:hAnsi="Times New Roman" w:cs="Times New Roman"/>
          <w:sz w:val="24"/>
          <w:szCs w:val="24"/>
          <w:lang w:eastAsia="en-GB"/>
        </w:rPr>
        <w:t>pavedienveida</w:t>
      </w:r>
      <w:proofErr w:type="spellEnd"/>
      <w:r w:rsidRPr="00A07F29">
        <w:rPr>
          <w:rFonts w:ascii="Times New Roman" w:eastAsia="Times New Roman" w:hAnsi="Times New Roman" w:cs="Times New Roman"/>
          <w:sz w:val="24"/>
          <w:szCs w:val="24"/>
          <w:lang w:eastAsia="en-GB"/>
        </w:rPr>
        <w:t xml:space="preserve"> </w:t>
      </w:r>
      <w:proofErr w:type="spellStart"/>
      <w:r w:rsidRPr="00A07F29">
        <w:rPr>
          <w:rFonts w:ascii="Times New Roman" w:eastAsia="Times New Roman" w:hAnsi="Times New Roman" w:cs="Times New Roman"/>
          <w:sz w:val="24"/>
          <w:szCs w:val="24"/>
          <w:lang w:eastAsia="en-GB"/>
        </w:rPr>
        <w:t>zaļaļģes</w:t>
      </w:r>
      <w:proofErr w:type="spellEnd"/>
      <w:r w:rsidRPr="00A07F29">
        <w:rPr>
          <w:rFonts w:ascii="Times New Roman" w:eastAsia="Times New Roman" w:hAnsi="Times New Roman" w:cs="Times New Roman"/>
          <w:sz w:val="24"/>
          <w:szCs w:val="24"/>
          <w:lang w:eastAsia="en-GB"/>
        </w:rPr>
        <w:t xml:space="preserve"> u.c.</w:t>
      </w:r>
    </w:p>
    <w:p w14:paraId="6B1AA784" w14:textId="23CBA782" w:rsidR="006827EA" w:rsidRPr="00A07F29" w:rsidRDefault="006827EA" w:rsidP="006827EA">
      <w:pPr>
        <w:suppressAutoHyphens/>
        <w:spacing w:after="120" w:line="240" w:lineRule="auto"/>
        <w:ind w:firstLine="851"/>
        <w:jc w:val="both"/>
        <w:textAlignment w:val="baseline"/>
        <w:rPr>
          <w:rFonts w:ascii="Times New Roman" w:eastAsia="Times New Roman" w:hAnsi="Times New Roman" w:cs="Times New Roman"/>
          <w:sz w:val="24"/>
          <w:szCs w:val="24"/>
        </w:rPr>
      </w:pPr>
      <w:r w:rsidRPr="00A07F29">
        <w:rPr>
          <w:rFonts w:ascii="Times New Roman" w:eastAsia="Times New Roman" w:hAnsi="Times New Roman" w:cs="Times New Roman"/>
          <w:bCs/>
          <w:sz w:val="24"/>
          <w:szCs w:val="24"/>
        </w:rPr>
        <w:t xml:space="preserve">Ūdens līmenis upēs ir stipri mainīgs, jo atkarīgs no klimatiskajiem un meteoroloģiskajiem apstākļiem, kā arī no gruntsūdeņu pieplūdes, sateces baseina lieluma un dabiskuma. </w:t>
      </w:r>
      <w:r w:rsidRPr="00A07F29">
        <w:rPr>
          <w:rFonts w:ascii="Times New Roman" w:eastAsia="Times New Roman" w:hAnsi="Times New Roman" w:cs="Times New Roman"/>
          <w:sz w:val="24"/>
          <w:szCs w:val="24"/>
        </w:rPr>
        <w:t xml:space="preserve">Būtiskākie faktori, no kuriem atkarīga biotopa izveidošanās, sugu sastopamība un daudzveidība, ir straumes ātrums un ar to cieši saistītie grunts apstākļi, kā arī apgaismojums. Upju ekosistēmas funkcionēšanai vispiemērotākais ir daļējs (mozaīkveida) apgaismojums, kas ir saistīts arī ar upes platumu un augu attīstībai piemērotās joslas platumu. Būtiska nozīme ir arī </w:t>
      </w:r>
      <w:proofErr w:type="spellStart"/>
      <w:r w:rsidRPr="00A07F29">
        <w:rPr>
          <w:rFonts w:ascii="Times New Roman" w:eastAsia="Times New Roman" w:hAnsi="Times New Roman" w:cs="Times New Roman"/>
          <w:sz w:val="24"/>
          <w:szCs w:val="24"/>
        </w:rPr>
        <w:t>biogēnu</w:t>
      </w:r>
      <w:proofErr w:type="spellEnd"/>
      <w:r w:rsidRPr="00A07F29">
        <w:rPr>
          <w:rFonts w:ascii="Times New Roman" w:eastAsia="Times New Roman" w:hAnsi="Times New Roman" w:cs="Times New Roman"/>
          <w:sz w:val="24"/>
          <w:szCs w:val="24"/>
        </w:rPr>
        <w:t xml:space="preserve"> (fosfora un slāpekļa savienojumu) saturam ūdenī, kas lielā mērā ir atkarīgs no zemes lietojuma veidiem.</w:t>
      </w:r>
    </w:p>
    <w:p w14:paraId="71770852" w14:textId="2EB50604" w:rsidR="008708A9" w:rsidRPr="00A07F29" w:rsidRDefault="008708A9" w:rsidP="008708A9">
      <w:pPr>
        <w:suppressAutoHyphens/>
        <w:spacing w:after="120" w:line="240" w:lineRule="auto"/>
        <w:ind w:firstLine="851"/>
        <w:jc w:val="both"/>
        <w:textAlignment w:val="baseline"/>
        <w:rPr>
          <w:rFonts w:ascii="Times New Roman" w:eastAsia="Times New Roman" w:hAnsi="Times New Roman" w:cs="Times New Roman"/>
          <w:color w:val="000000" w:themeColor="text1"/>
          <w:sz w:val="24"/>
          <w:szCs w:val="24"/>
        </w:rPr>
      </w:pPr>
      <w:r w:rsidRPr="00A07F29">
        <w:rPr>
          <w:rFonts w:ascii="Times New Roman" w:eastAsia="Times New Roman" w:hAnsi="Times New Roman" w:cs="Times New Roman"/>
          <w:b/>
          <w:bCs/>
          <w:sz w:val="24"/>
          <w:szCs w:val="24"/>
        </w:rPr>
        <w:t>3260</w:t>
      </w:r>
      <w:r w:rsidR="002D365F" w:rsidRPr="00A07F29">
        <w:rPr>
          <w:rFonts w:ascii="Times New Roman" w:eastAsia="Times New Roman" w:hAnsi="Times New Roman" w:cs="Times New Roman"/>
          <w:b/>
          <w:bCs/>
          <w:sz w:val="24"/>
          <w:szCs w:val="24"/>
        </w:rPr>
        <w:t> </w:t>
      </w:r>
      <w:r w:rsidRPr="00A07F29">
        <w:rPr>
          <w:rFonts w:ascii="Times New Roman" w:eastAsia="Times New Roman" w:hAnsi="Times New Roman" w:cs="Times New Roman"/>
          <w:b/>
          <w:bCs/>
          <w:i/>
          <w:sz w:val="24"/>
          <w:szCs w:val="24"/>
        </w:rPr>
        <w:t>Upju straujteces un dabiski upju posmi</w:t>
      </w:r>
      <w:r w:rsidRPr="00A07F29">
        <w:rPr>
          <w:rFonts w:ascii="Times New Roman" w:eastAsia="Times New Roman" w:hAnsi="Times New Roman" w:cs="Times New Roman"/>
          <w:sz w:val="24"/>
          <w:szCs w:val="24"/>
        </w:rPr>
        <w:t xml:space="preserve"> </w:t>
      </w:r>
      <w:r w:rsidR="00A354FB" w:rsidRPr="00A07F29">
        <w:rPr>
          <w:rFonts w:ascii="Times New Roman" w:eastAsia="Times New Roman" w:hAnsi="Times New Roman" w:cs="Times New Roman"/>
          <w:color w:val="000000" w:themeColor="text1"/>
          <w:sz w:val="24"/>
          <w:szCs w:val="24"/>
        </w:rPr>
        <w:t xml:space="preserve">ir </w:t>
      </w:r>
      <w:r w:rsidRPr="00A07F29">
        <w:rPr>
          <w:rFonts w:ascii="Times New Roman" w:eastAsia="Times New Roman" w:hAnsi="Times New Roman" w:cs="Times New Roman"/>
          <w:color w:val="000000" w:themeColor="text1"/>
          <w:sz w:val="24"/>
          <w:szCs w:val="24"/>
        </w:rPr>
        <w:t xml:space="preserve">Latvijā </w:t>
      </w:r>
      <w:r w:rsidR="00A354FB" w:rsidRPr="00A07F29">
        <w:rPr>
          <w:rFonts w:ascii="Times New Roman" w:eastAsia="Times New Roman" w:hAnsi="Times New Roman" w:cs="Times New Roman"/>
          <w:color w:val="000000" w:themeColor="text1"/>
          <w:sz w:val="24"/>
          <w:szCs w:val="24"/>
        </w:rPr>
        <w:t xml:space="preserve">samērā reti </w:t>
      </w:r>
      <w:r w:rsidR="0081150B" w:rsidRPr="00A07F29">
        <w:rPr>
          <w:rFonts w:ascii="Times New Roman" w:eastAsia="Times New Roman" w:hAnsi="Times New Roman" w:cs="Times New Roman"/>
          <w:color w:val="000000" w:themeColor="text1"/>
          <w:sz w:val="24"/>
          <w:szCs w:val="24"/>
        </w:rPr>
        <w:t xml:space="preserve">sastopams </w:t>
      </w:r>
      <w:r w:rsidRPr="00A07F29">
        <w:rPr>
          <w:rFonts w:ascii="Times New Roman" w:eastAsia="Times New Roman" w:hAnsi="Times New Roman" w:cs="Times New Roman"/>
          <w:color w:val="000000" w:themeColor="text1"/>
          <w:sz w:val="24"/>
          <w:szCs w:val="24"/>
        </w:rPr>
        <w:t xml:space="preserve">biotops </w:t>
      </w:r>
      <w:r w:rsidR="0081150B" w:rsidRPr="00A07F29">
        <w:rPr>
          <w:rFonts w:ascii="Times New Roman" w:eastAsia="Times New Roman" w:hAnsi="Times New Roman" w:cs="Times New Roman"/>
          <w:color w:val="000000" w:themeColor="text1"/>
          <w:sz w:val="24"/>
          <w:szCs w:val="24"/>
        </w:rPr>
        <w:t>un Daugava</w:t>
      </w:r>
      <w:r w:rsidRPr="00A07F29">
        <w:rPr>
          <w:rFonts w:ascii="Times New Roman" w:eastAsia="Times New Roman" w:hAnsi="Times New Roman" w:cs="Times New Roman"/>
          <w:color w:val="000000" w:themeColor="text1"/>
          <w:sz w:val="24"/>
          <w:szCs w:val="24"/>
        </w:rPr>
        <w:t>s nepārveidotie posmi ir viena no nozīmīgāk</w:t>
      </w:r>
      <w:r w:rsidR="006827EA" w:rsidRPr="00A07F29">
        <w:rPr>
          <w:rFonts w:ascii="Times New Roman" w:eastAsia="Times New Roman" w:hAnsi="Times New Roman" w:cs="Times New Roman"/>
          <w:color w:val="000000" w:themeColor="text1"/>
          <w:sz w:val="24"/>
          <w:szCs w:val="24"/>
        </w:rPr>
        <w:t xml:space="preserve">ajām </w:t>
      </w:r>
      <w:r w:rsidRPr="00A07F29">
        <w:rPr>
          <w:rFonts w:ascii="Times New Roman" w:eastAsia="Times New Roman" w:hAnsi="Times New Roman" w:cs="Times New Roman"/>
          <w:color w:val="000000" w:themeColor="text1"/>
          <w:sz w:val="24"/>
          <w:szCs w:val="24"/>
        </w:rPr>
        <w:t>šī biotopa atradnēm</w:t>
      </w:r>
      <w:r w:rsidR="006827EA" w:rsidRPr="00A07F29">
        <w:rPr>
          <w:rFonts w:ascii="Times New Roman" w:eastAsia="Times New Roman" w:hAnsi="Times New Roman" w:cs="Times New Roman"/>
          <w:color w:val="000000" w:themeColor="text1"/>
          <w:sz w:val="24"/>
          <w:szCs w:val="24"/>
        </w:rPr>
        <w:t xml:space="preserve">, kur </w:t>
      </w:r>
      <w:r w:rsidRPr="00A07F29">
        <w:rPr>
          <w:rFonts w:ascii="Times New Roman" w:eastAsia="Times New Roman" w:hAnsi="Times New Roman" w:cs="Times New Roman"/>
          <w:color w:val="000000" w:themeColor="text1"/>
          <w:sz w:val="24"/>
          <w:szCs w:val="24"/>
        </w:rPr>
        <w:t xml:space="preserve">sastopama </w:t>
      </w:r>
      <w:r w:rsidR="006827EA" w:rsidRPr="00A07F29">
        <w:rPr>
          <w:rFonts w:ascii="Times New Roman" w:eastAsia="Times New Roman" w:hAnsi="Times New Roman" w:cs="Times New Roman"/>
          <w:color w:val="000000" w:themeColor="text1"/>
          <w:sz w:val="24"/>
          <w:szCs w:val="24"/>
        </w:rPr>
        <w:t xml:space="preserve">arī </w:t>
      </w:r>
      <w:r w:rsidRPr="002A3C2B">
        <w:rPr>
          <w:rFonts w:ascii="Times New Roman" w:eastAsia="Times New Roman" w:hAnsi="Times New Roman" w:cs="Times New Roman"/>
          <w:color w:val="000000" w:themeColor="text1"/>
          <w:sz w:val="24"/>
          <w:szCs w:val="24"/>
        </w:rPr>
        <w:t>vitāla īpaši aizsargājamās</w:t>
      </w:r>
      <w:r w:rsidRPr="00A07F29">
        <w:rPr>
          <w:rFonts w:ascii="Times New Roman" w:eastAsia="Times New Roman" w:hAnsi="Times New Roman" w:cs="Times New Roman"/>
          <w:color w:val="000000" w:themeColor="text1"/>
          <w:sz w:val="24"/>
          <w:szCs w:val="24"/>
        </w:rPr>
        <w:t xml:space="preserve"> biezās </w:t>
      </w:r>
      <w:proofErr w:type="spellStart"/>
      <w:r w:rsidRPr="00A07F29">
        <w:rPr>
          <w:rFonts w:ascii="Times New Roman" w:eastAsia="Times New Roman" w:hAnsi="Times New Roman" w:cs="Times New Roman"/>
          <w:color w:val="000000" w:themeColor="text1"/>
          <w:sz w:val="24"/>
          <w:szCs w:val="24"/>
        </w:rPr>
        <w:t>perlamutrenes</w:t>
      </w:r>
      <w:proofErr w:type="spellEnd"/>
      <w:r w:rsidRPr="00A07F29">
        <w:rPr>
          <w:rFonts w:ascii="Times New Roman" w:eastAsia="Times New Roman" w:hAnsi="Times New Roman" w:cs="Times New Roman"/>
          <w:color w:val="000000" w:themeColor="text1"/>
          <w:sz w:val="24"/>
          <w:szCs w:val="24"/>
        </w:rPr>
        <w:t xml:space="preserve"> </w:t>
      </w:r>
      <w:proofErr w:type="spellStart"/>
      <w:r w:rsidRPr="00A07F29">
        <w:rPr>
          <w:rFonts w:ascii="Times New Roman" w:eastAsia="Times New Roman" w:hAnsi="Times New Roman" w:cs="Times New Roman"/>
          <w:i/>
          <w:color w:val="000000" w:themeColor="text1"/>
          <w:sz w:val="24"/>
          <w:szCs w:val="24"/>
        </w:rPr>
        <w:t>Unio</w:t>
      </w:r>
      <w:proofErr w:type="spellEnd"/>
      <w:r w:rsidRPr="00A07F29">
        <w:rPr>
          <w:rFonts w:ascii="Times New Roman" w:eastAsia="Times New Roman" w:hAnsi="Times New Roman" w:cs="Times New Roman"/>
          <w:i/>
          <w:color w:val="000000" w:themeColor="text1"/>
          <w:sz w:val="24"/>
          <w:szCs w:val="24"/>
        </w:rPr>
        <w:t xml:space="preserve"> </w:t>
      </w:r>
      <w:proofErr w:type="spellStart"/>
      <w:r w:rsidRPr="00A07F29">
        <w:rPr>
          <w:rFonts w:ascii="Times New Roman" w:eastAsia="Times New Roman" w:hAnsi="Times New Roman" w:cs="Times New Roman"/>
          <w:i/>
          <w:color w:val="000000" w:themeColor="text1"/>
          <w:sz w:val="24"/>
          <w:szCs w:val="24"/>
        </w:rPr>
        <w:t>crassus</w:t>
      </w:r>
      <w:proofErr w:type="spellEnd"/>
      <w:r w:rsidRPr="00A07F29">
        <w:rPr>
          <w:rFonts w:ascii="Times New Roman" w:eastAsia="Times New Roman" w:hAnsi="Times New Roman" w:cs="Times New Roman"/>
          <w:color w:val="000000" w:themeColor="text1"/>
          <w:sz w:val="24"/>
          <w:szCs w:val="24"/>
        </w:rPr>
        <w:t xml:space="preserve"> populācija.</w:t>
      </w:r>
    </w:p>
    <w:p w14:paraId="1E9B1929" w14:textId="1154DD01" w:rsidR="00A354FB" w:rsidRPr="00A07F29" w:rsidRDefault="008708A9" w:rsidP="008708A9">
      <w:pPr>
        <w:suppressAutoHyphens/>
        <w:spacing w:after="120" w:line="240" w:lineRule="auto"/>
        <w:ind w:firstLine="851"/>
        <w:jc w:val="both"/>
        <w:textAlignment w:val="baseline"/>
        <w:rPr>
          <w:rFonts w:ascii="Times New Roman" w:eastAsia="TimesNewRoman" w:hAnsi="Times New Roman" w:cs="Times New Roman"/>
          <w:sz w:val="24"/>
          <w:szCs w:val="24"/>
        </w:rPr>
      </w:pPr>
      <w:r w:rsidRPr="00A07F29">
        <w:rPr>
          <w:rFonts w:ascii="Times New Roman" w:eastAsia="Times New Roman" w:hAnsi="Times New Roman" w:cs="Times New Roman"/>
          <w:color w:val="000000" w:themeColor="text1"/>
          <w:sz w:val="24"/>
          <w:szCs w:val="24"/>
        </w:rPr>
        <w:t>Upju biotopi</w:t>
      </w:r>
      <w:r w:rsidR="00A354FB" w:rsidRPr="00A07F29">
        <w:rPr>
          <w:rFonts w:ascii="Times New Roman" w:eastAsia="Times New Roman" w:hAnsi="Times New Roman" w:cs="Times New Roman"/>
          <w:color w:val="000000" w:themeColor="text1"/>
          <w:sz w:val="24"/>
          <w:szCs w:val="24"/>
        </w:rPr>
        <w:t xml:space="preserve"> </w:t>
      </w:r>
      <w:r w:rsidR="00A354FB" w:rsidRPr="00A07F29">
        <w:rPr>
          <w:rFonts w:ascii="Times New Roman" w:eastAsia="Times New Roman" w:hAnsi="Times New Roman" w:cs="Times New Roman"/>
          <w:sz w:val="24"/>
          <w:szCs w:val="24"/>
        </w:rPr>
        <w:t>ir ļoti nozīmīga dzīvotne daudzām augu un dzīvnieku sugām, tās kalpo kā dabisks sugu migrācijas ceļš</w:t>
      </w:r>
      <w:r w:rsidRPr="00A07F29">
        <w:rPr>
          <w:rFonts w:ascii="Times New Roman" w:eastAsia="Times New Roman" w:hAnsi="Times New Roman" w:cs="Times New Roman"/>
          <w:sz w:val="24"/>
          <w:szCs w:val="24"/>
        </w:rPr>
        <w:t xml:space="preserve">, kā arī nodrošina no palu režīma atkarīgo palieņu zālāju un mežu biotopu pastāvēšanu. </w:t>
      </w:r>
      <w:r w:rsidR="00A354FB" w:rsidRPr="00A07F29">
        <w:rPr>
          <w:rFonts w:ascii="Times New Roman" w:eastAsia="Times New Roman" w:hAnsi="Times New Roman" w:cs="Times New Roman"/>
          <w:sz w:val="24"/>
          <w:szCs w:val="24"/>
        </w:rPr>
        <w:t xml:space="preserve">Sevišķi vērtīgas ir upju straujteces ar akmeņainu vai oļainu grunti, kas ir vienīgā dzīvotne sugām, kuras pielāgojušās dzīvei strauji tekošos, ar skābekli bagātos ūdeņos. Ar skābekli bagātais ūdens straujtecēs būtiski paātrina organisko vielu sadalīšanos un līdz ar to arī ūdens </w:t>
      </w:r>
      <w:proofErr w:type="spellStart"/>
      <w:r w:rsidR="00A354FB" w:rsidRPr="00A07F29">
        <w:rPr>
          <w:rFonts w:ascii="Times New Roman" w:eastAsia="Times New Roman" w:hAnsi="Times New Roman" w:cs="Times New Roman"/>
          <w:sz w:val="24"/>
          <w:szCs w:val="24"/>
        </w:rPr>
        <w:t>pašattīrīšanos</w:t>
      </w:r>
      <w:proofErr w:type="spellEnd"/>
      <w:r w:rsidR="00A354FB" w:rsidRPr="00A07F29">
        <w:rPr>
          <w:rFonts w:ascii="Times New Roman" w:eastAsia="Times New Roman" w:hAnsi="Times New Roman" w:cs="Times New Roman"/>
          <w:sz w:val="24"/>
          <w:szCs w:val="24"/>
        </w:rPr>
        <w:t>.</w:t>
      </w:r>
      <w:r w:rsidR="00A13FAD" w:rsidRPr="00A07F29">
        <w:rPr>
          <w:rFonts w:ascii="Times New Roman" w:eastAsia="Times New Roman" w:hAnsi="Times New Roman" w:cs="Times New Roman"/>
          <w:color w:val="000000" w:themeColor="text1"/>
          <w:sz w:val="24"/>
          <w:szCs w:val="24"/>
        </w:rPr>
        <w:t xml:space="preserve"> (</w:t>
      </w:r>
      <w:proofErr w:type="spellStart"/>
      <w:r w:rsidR="00A13FAD" w:rsidRPr="00A07F29">
        <w:rPr>
          <w:rFonts w:ascii="Times New Roman" w:eastAsia="Calibri" w:hAnsi="Times New Roman" w:cs="Times New Roman"/>
          <w:sz w:val="24"/>
          <w:szCs w:val="24"/>
        </w:rPr>
        <w:t>Interpreta</w:t>
      </w:r>
      <w:r w:rsidR="00DE5F3A" w:rsidRPr="00A07F29">
        <w:rPr>
          <w:rFonts w:ascii="Times New Roman" w:eastAsia="Calibri" w:hAnsi="Times New Roman" w:cs="Times New Roman"/>
          <w:sz w:val="24"/>
          <w:szCs w:val="24"/>
        </w:rPr>
        <w:t>t</w:t>
      </w:r>
      <w:r w:rsidR="00A13FAD" w:rsidRPr="00A07F29">
        <w:rPr>
          <w:rFonts w:ascii="Times New Roman" w:eastAsia="Calibri" w:hAnsi="Times New Roman" w:cs="Times New Roman"/>
          <w:sz w:val="24"/>
          <w:szCs w:val="24"/>
        </w:rPr>
        <w:t>ion</w:t>
      </w:r>
      <w:proofErr w:type="spellEnd"/>
      <w:r w:rsidR="00A13FAD" w:rsidRPr="00A07F29">
        <w:rPr>
          <w:rFonts w:ascii="Times New Roman" w:eastAsia="Calibri" w:hAnsi="Times New Roman" w:cs="Times New Roman"/>
          <w:sz w:val="24"/>
          <w:szCs w:val="24"/>
        </w:rPr>
        <w:t xml:space="preserve"> </w:t>
      </w:r>
      <w:proofErr w:type="spellStart"/>
      <w:r w:rsidR="00A13FAD" w:rsidRPr="00A07F29">
        <w:rPr>
          <w:rFonts w:ascii="Times New Roman" w:eastAsia="Calibri" w:hAnsi="Times New Roman" w:cs="Times New Roman"/>
          <w:sz w:val="24"/>
          <w:szCs w:val="24"/>
        </w:rPr>
        <w:t>Manual</w:t>
      </w:r>
      <w:proofErr w:type="spellEnd"/>
      <w:r w:rsidR="00A13FAD" w:rsidRPr="00A07F29">
        <w:rPr>
          <w:rFonts w:ascii="Times New Roman" w:eastAsia="Calibri" w:hAnsi="Times New Roman" w:cs="Times New Roman"/>
          <w:sz w:val="24"/>
          <w:szCs w:val="24"/>
        </w:rPr>
        <w:t xml:space="preserve"> </w:t>
      </w:r>
      <w:proofErr w:type="spellStart"/>
      <w:r w:rsidR="00A13FAD" w:rsidRPr="00A07F29">
        <w:rPr>
          <w:rFonts w:ascii="Times New Roman" w:eastAsia="Calibri" w:hAnsi="Times New Roman" w:cs="Times New Roman"/>
          <w:sz w:val="24"/>
          <w:szCs w:val="24"/>
        </w:rPr>
        <w:t>of</w:t>
      </w:r>
      <w:proofErr w:type="spellEnd"/>
      <w:r w:rsidR="00A13FAD" w:rsidRPr="00A07F29">
        <w:rPr>
          <w:rFonts w:ascii="Times New Roman" w:eastAsia="Calibri" w:hAnsi="Times New Roman" w:cs="Times New Roman"/>
          <w:sz w:val="24"/>
          <w:szCs w:val="24"/>
        </w:rPr>
        <w:t xml:space="preserve"> </w:t>
      </w:r>
      <w:proofErr w:type="spellStart"/>
      <w:r w:rsidR="00A13FAD" w:rsidRPr="00A07F29">
        <w:rPr>
          <w:rFonts w:ascii="Times New Roman" w:eastAsia="Calibri" w:hAnsi="Times New Roman" w:cs="Times New Roman"/>
          <w:sz w:val="24"/>
          <w:szCs w:val="24"/>
        </w:rPr>
        <w:t>European</w:t>
      </w:r>
      <w:proofErr w:type="spellEnd"/>
      <w:r w:rsidR="00A13FAD" w:rsidRPr="00A07F29">
        <w:rPr>
          <w:rFonts w:ascii="Times New Roman" w:eastAsia="Calibri" w:hAnsi="Times New Roman" w:cs="Times New Roman"/>
          <w:sz w:val="24"/>
          <w:szCs w:val="24"/>
        </w:rPr>
        <w:t xml:space="preserve"> </w:t>
      </w:r>
      <w:proofErr w:type="spellStart"/>
      <w:r w:rsidR="00A13FAD" w:rsidRPr="00A07F29">
        <w:rPr>
          <w:rFonts w:ascii="Times New Roman" w:eastAsia="Calibri" w:hAnsi="Times New Roman" w:cs="Times New Roman"/>
          <w:sz w:val="24"/>
          <w:szCs w:val="24"/>
        </w:rPr>
        <w:t>Union</w:t>
      </w:r>
      <w:proofErr w:type="spellEnd"/>
      <w:r w:rsidR="00A13FAD" w:rsidRPr="00A07F29">
        <w:rPr>
          <w:rFonts w:ascii="Times New Roman" w:eastAsia="Calibri" w:hAnsi="Times New Roman" w:cs="Times New Roman"/>
          <w:sz w:val="24"/>
          <w:szCs w:val="24"/>
        </w:rPr>
        <w:t xml:space="preserve"> </w:t>
      </w:r>
      <w:proofErr w:type="spellStart"/>
      <w:r w:rsidR="00A13FAD" w:rsidRPr="00A07F29">
        <w:rPr>
          <w:rFonts w:ascii="Times New Roman" w:eastAsia="Calibri" w:hAnsi="Times New Roman" w:cs="Times New Roman"/>
          <w:sz w:val="24"/>
          <w:szCs w:val="24"/>
        </w:rPr>
        <w:t>Habitats</w:t>
      </w:r>
      <w:proofErr w:type="spellEnd"/>
      <w:r w:rsidR="00A13FAD" w:rsidRPr="00A07F29">
        <w:rPr>
          <w:rFonts w:ascii="Times New Roman" w:eastAsia="Calibri" w:hAnsi="Times New Roman" w:cs="Times New Roman"/>
          <w:sz w:val="24"/>
          <w:szCs w:val="24"/>
        </w:rPr>
        <w:t xml:space="preserve"> EUR28, 2013</w:t>
      </w:r>
      <w:r w:rsidR="00981BD2" w:rsidRPr="00A07F29">
        <w:rPr>
          <w:rFonts w:ascii="Times New Roman" w:eastAsia="Calibri" w:hAnsi="Times New Roman" w:cs="Times New Roman"/>
          <w:sz w:val="24"/>
          <w:szCs w:val="24"/>
        </w:rPr>
        <w:t>,</w:t>
      </w:r>
      <w:r w:rsidR="00D65BBA" w:rsidRPr="00A07F29">
        <w:rPr>
          <w:rFonts w:ascii="Times New Roman" w:eastAsia="Calibri" w:hAnsi="Times New Roman" w:cs="Times New Roman"/>
          <w:sz w:val="24"/>
          <w:szCs w:val="24"/>
        </w:rPr>
        <w:t xml:space="preserve"> </w:t>
      </w:r>
      <w:proofErr w:type="spellStart"/>
      <w:r w:rsidR="00981BD2" w:rsidRPr="00A07F29">
        <w:rPr>
          <w:rFonts w:ascii="Times New Roman" w:eastAsia="Calibri" w:hAnsi="Times New Roman" w:cs="Times New Roman"/>
          <w:sz w:val="24"/>
          <w:szCs w:val="24"/>
        </w:rPr>
        <w:t>European</w:t>
      </w:r>
      <w:proofErr w:type="spellEnd"/>
      <w:r w:rsidR="00981BD2" w:rsidRPr="00A07F29">
        <w:rPr>
          <w:rFonts w:ascii="Times New Roman" w:eastAsia="Calibri" w:hAnsi="Times New Roman" w:cs="Times New Roman"/>
          <w:sz w:val="24"/>
          <w:szCs w:val="24"/>
        </w:rPr>
        <w:t xml:space="preserve"> </w:t>
      </w:r>
      <w:proofErr w:type="spellStart"/>
      <w:r w:rsidR="00981BD2" w:rsidRPr="00A07F29">
        <w:rPr>
          <w:rFonts w:ascii="Times New Roman" w:eastAsia="Calibri" w:hAnsi="Times New Roman" w:cs="Times New Roman"/>
          <w:sz w:val="24"/>
          <w:szCs w:val="24"/>
        </w:rPr>
        <w:t>union</w:t>
      </w:r>
      <w:proofErr w:type="spellEnd"/>
      <w:r w:rsidR="00981BD2" w:rsidRPr="00A07F29">
        <w:rPr>
          <w:rFonts w:ascii="Times New Roman" w:eastAsia="Calibri" w:hAnsi="Times New Roman" w:cs="Times New Roman"/>
          <w:sz w:val="24"/>
          <w:szCs w:val="24"/>
        </w:rPr>
        <w:t xml:space="preserve"> </w:t>
      </w:r>
      <w:proofErr w:type="spellStart"/>
      <w:r w:rsidR="00981BD2" w:rsidRPr="00A07F29">
        <w:rPr>
          <w:rFonts w:ascii="Times New Roman" w:eastAsia="Calibri" w:hAnsi="Times New Roman" w:cs="Times New Roman"/>
          <w:sz w:val="24"/>
          <w:szCs w:val="24"/>
        </w:rPr>
        <w:t>protected</w:t>
      </w:r>
      <w:proofErr w:type="spellEnd"/>
      <w:r w:rsidR="00981BD2" w:rsidRPr="00A07F29">
        <w:rPr>
          <w:rFonts w:ascii="Times New Roman" w:eastAsia="Calibri" w:hAnsi="Times New Roman" w:cs="Times New Roman"/>
          <w:sz w:val="24"/>
          <w:szCs w:val="24"/>
        </w:rPr>
        <w:t xml:space="preserve"> </w:t>
      </w:r>
      <w:proofErr w:type="spellStart"/>
      <w:r w:rsidR="00981BD2" w:rsidRPr="00A07F29">
        <w:rPr>
          <w:rFonts w:ascii="Times New Roman" w:eastAsia="Calibri" w:hAnsi="Times New Roman" w:cs="Times New Roman"/>
          <w:sz w:val="24"/>
          <w:szCs w:val="24"/>
        </w:rPr>
        <w:t>habitats</w:t>
      </w:r>
      <w:proofErr w:type="spellEnd"/>
      <w:r w:rsidR="007E3BA0">
        <w:rPr>
          <w:rFonts w:ascii="Times New Roman" w:eastAsia="Calibri" w:hAnsi="Times New Roman" w:cs="Times New Roman"/>
          <w:sz w:val="24"/>
          <w:szCs w:val="24"/>
        </w:rPr>
        <w:t xml:space="preserve"> </w:t>
      </w:r>
      <w:proofErr w:type="spellStart"/>
      <w:r w:rsidR="007E3BA0">
        <w:rPr>
          <w:rFonts w:ascii="Times New Roman" w:eastAsia="Calibri" w:hAnsi="Times New Roman" w:cs="Times New Roman"/>
          <w:sz w:val="24"/>
          <w:szCs w:val="24"/>
        </w:rPr>
        <w:t>in</w:t>
      </w:r>
      <w:proofErr w:type="spellEnd"/>
      <w:r w:rsidR="007E3BA0">
        <w:rPr>
          <w:rFonts w:ascii="Times New Roman" w:eastAsia="Calibri" w:hAnsi="Times New Roman" w:cs="Times New Roman"/>
          <w:sz w:val="24"/>
          <w:szCs w:val="24"/>
        </w:rPr>
        <w:t xml:space="preserve"> Latvia</w:t>
      </w:r>
      <w:r w:rsidR="00981BD2" w:rsidRPr="00A07F29">
        <w:rPr>
          <w:rFonts w:ascii="Times New Roman" w:eastAsia="Calibri" w:hAnsi="Times New Roman" w:cs="Times New Roman"/>
          <w:sz w:val="24"/>
          <w:szCs w:val="24"/>
        </w:rPr>
        <w:t>, 2013</w:t>
      </w:r>
      <w:r w:rsidR="00A13FAD" w:rsidRPr="00A07F29">
        <w:rPr>
          <w:rFonts w:ascii="Times New Roman" w:eastAsia="Calibri" w:hAnsi="Times New Roman" w:cs="Times New Roman"/>
          <w:sz w:val="24"/>
          <w:szCs w:val="24"/>
        </w:rPr>
        <w:t>)</w:t>
      </w:r>
    </w:p>
    <w:p w14:paraId="282E9F7F" w14:textId="65557243" w:rsidR="007959DD" w:rsidRPr="00A07F29" w:rsidRDefault="00E73F6F" w:rsidP="007959DD">
      <w:pPr>
        <w:suppressAutoHyphens/>
        <w:spacing w:after="120" w:line="240" w:lineRule="auto"/>
        <w:ind w:firstLine="720"/>
        <w:jc w:val="both"/>
        <w:textAlignment w:val="baseline"/>
        <w:rPr>
          <w:rFonts w:ascii="Times New Roman" w:hAnsi="Times New Roman" w:cs="Times New Roman"/>
          <w:sz w:val="24"/>
          <w:szCs w:val="24"/>
        </w:rPr>
      </w:pPr>
      <w:r w:rsidRPr="00A07F29">
        <w:rPr>
          <w:rFonts w:ascii="Times New Roman" w:eastAsia="Times New Roman" w:hAnsi="Times New Roman" w:cs="Times New Roman"/>
          <w:b/>
          <w:color w:val="000000"/>
          <w:sz w:val="24"/>
          <w:szCs w:val="24"/>
          <w:lang w:eastAsia="ja-JP"/>
        </w:rPr>
        <w:t>3270</w:t>
      </w:r>
      <w:r w:rsidR="00A879BD" w:rsidRPr="00A07F29">
        <w:rPr>
          <w:rFonts w:ascii="Times New Roman" w:eastAsia="Calibri" w:hAnsi="Times New Roman" w:cs="Times New Roman"/>
          <w:b/>
          <w:color w:val="000000"/>
          <w:sz w:val="24"/>
          <w:szCs w:val="24"/>
          <w:lang w:eastAsia="ar-SA"/>
        </w:rPr>
        <w:t> </w:t>
      </w:r>
      <w:r w:rsidRPr="00A07F29">
        <w:rPr>
          <w:rFonts w:ascii="Times New Roman" w:eastAsia="Calibri" w:hAnsi="Times New Roman" w:cs="Times New Roman"/>
          <w:b/>
          <w:bCs/>
          <w:i/>
          <w:iCs/>
          <w:color w:val="000000"/>
          <w:sz w:val="24"/>
          <w:szCs w:val="24"/>
          <w:lang w:eastAsia="ar-SA"/>
        </w:rPr>
        <w:t xml:space="preserve">Dūņaini upju krasti ar slāpekli mīlošu viengadīgu </w:t>
      </w:r>
      <w:proofErr w:type="spellStart"/>
      <w:r w:rsidRPr="00A07F29">
        <w:rPr>
          <w:rFonts w:ascii="Times New Roman" w:eastAsia="Calibri" w:hAnsi="Times New Roman" w:cs="Times New Roman"/>
          <w:b/>
          <w:bCs/>
          <w:i/>
          <w:iCs/>
          <w:color w:val="000000"/>
          <w:sz w:val="24"/>
          <w:szCs w:val="24"/>
          <w:lang w:eastAsia="ar-SA"/>
        </w:rPr>
        <w:t>pioniersugu</w:t>
      </w:r>
      <w:proofErr w:type="spellEnd"/>
      <w:r w:rsidRPr="00A07F29">
        <w:rPr>
          <w:rFonts w:ascii="Times New Roman" w:eastAsia="Calibri" w:hAnsi="Times New Roman" w:cs="Times New Roman"/>
          <w:b/>
          <w:bCs/>
          <w:i/>
          <w:iCs/>
          <w:color w:val="000000"/>
          <w:sz w:val="24"/>
          <w:szCs w:val="24"/>
          <w:lang w:eastAsia="ar-SA"/>
        </w:rPr>
        <w:t xml:space="preserve"> augāju</w:t>
      </w:r>
      <w:r w:rsidRPr="00A07F29">
        <w:rPr>
          <w:rFonts w:ascii="Times New Roman" w:eastAsia="Calibri" w:hAnsi="Times New Roman" w:cs="Times New Roman"/>
          <w:bCs/>
          <w:color w:val="000000"/>
          <w:sz w:val="24"/>
          <w:szCs w:val="24"/>
          <w:lang w:eastAsia="ar-SA"/>
        </w:rPr>
        <w:t xml:space="preserve"> ir specifisks </w:t>
      </w:r>
      <w:r w:rsidRPr="00A07F29">
        <w:rPr>
          <w:rFonts w:ascii="Times New Roman" w:eastAsia="Times New Roman" w:hAnsi="Times New Roman" w:cs="Times New Roman"/>
          <w:color w:val="000000"/>
          <w:sz w:val="24"/>
          <w:szCs w:val="24"/>
          <w:lang w:eastAsia="ja-JP"/>
        </w:rPr>
        <w:t>biotops</w:t>
      </w:r>
      <w:r w:rsidRPr="00A07F29">
        <w:rPr>
          <w:rFonts w:ascii="Times New Roman" w:eastAsia="Calibri" w:hAnsi="Times New Roman" w:cs="Times New Roman"/>
          <w:bCs/>
          <w:color w:val="000000"/>
          <w:sz w:val="24"/>
          <w:szCs w:val="24"/>
          <w:lang w:eastAsia="ar-SA"/>
        </w:rPr>
        <w:t xml:space="preserve">, kura izplatība saistīta tikai ar lielajām upēm. Biotops ir konstatējams tikai zema ūdens līmeņa apstākļos, atsedzoties </w:t>
      </w:r>
      <w:r w:rsidR="00CF5125" w:rsidRPr="00A07F29">
        <w:rPr>
          <w:rFonts w:ascii="Times New Roman" w:eastAsia="Calibri" w:hAnsi="Times New Roman" w:cs="Times New Roman"/>
          <w:bCs/>
          <w:color w:val="000000"/>
          <w:sz w:val="24"/>
          <w:szCs w:val="24"/>
          <w:lang w:eastAsia="ar-SA"/>
        </w:rPr>
        <w:t xml:space="preserve">upes </w:t>
      </w:r>
      <w:proofErr w:type="spellStart"/>
      <w:r w:rsidR="00CF5125" w:rsidRPr="00A07F29">
        <w:rPr>
          <w:rFonts w:ascii="Times New Roman" w:eastAsia="Calibri" w:hAnsi="Times New Roman" w:cs="Times New Roman"/>
          <w:bCs/>
          <w:color w:val="000000"/>
          <w:sz w:val="24"/>
          <w:szCs w:val="24"/>
          <w:lang w:eastAsia="ar-SA"/>
        </w:rPr>
        <w:t>gultei</w:t>
      </w:r>
      <w:proofErr w:type="spellEnd"/>
      <w:r w:rsidRPr="00A07F29">
        <w:rPr>
          <w:rFonts w:ascii="Times New Roman" w:eastAsia="Calibri" w:hAnsi="Times New Roman" w:cs="Times New Roman"/>
          <w:bCs/>
          <w:color w:val="000000"/>
          <w:sz w:val="24"/>
          <w:szCs w:val="24"/>
          <w:lang w:eastAsia="ar-SA"/>
        </w:rPr>
        <w:t>, kur veidojas biotopam raksturīgais augājs.</w:t>
      </w:r>
    </w:p>
    <w:p w14:paraId="5D687227" w14:textId="6DF9A818" w:rsidR="007959DD" w:rsidRPr="00A07F29" w:rsidRDefault="2CA9826F" w:rsidP="007959DD">
      <w:pPr>
        <w:suppressAutoHyphens/>
        <w:spacing w:after="120" w:line="240" w:lineRule="auto"/>
        <w:ind w:firstLine="720"/>
        <w:jc w:val="both"/>
        <w:textAlignment w:val="baseline"/>
        <w:rPr>
          <w:rFonts w:ascii="Times New Roman" w:eastAsia="Times New Roman" w:hAnsi="Times New Roman" w:cs="Times New Roman"/>
          <w:color w:val="000000"/>
          <w:sz w:val="24"/>
          <w:szCs w:val="24"/>
          <w:lang w:eastAsia="en-GB"/>
        </w:rPr>
      </w:pPr>
      <w:r w:rsidRPr="75F9BD02">
        <w:rPr>
          <w:rFonts w:ascii="Times New Roman" w:hAnsi="Times New Roman" w:cs="Times New Roman"/>
          <w:sz w:val="24"/>
          <w:szCs w:val="24"/>
        </w:rPr>
        <w:t>AAA</w:t>
      </w:r>
      <w:r w:rsidR="53A3ED64" w:rsidRPr="75F9BD02">
        <w:rPr>
          <w:rFonts w:ascii="Times New Roman" w:hAnsi="Times New Roman" w:cs="Times New Roman"/>
          <w:sz w:val="24"/>
          <w:szCs w:val="24"/>
        </w:rPr>
        <w:t xml:space="preserve"> “</w:t>
      </w:r>
      <w:r w:rsidRPr="75F9BD02">
        <w:rPr>
          <w:rFonts w:ascii="Times New Roman" w:hAnsi="Times New Roman" w:cs="Times New Roman"/>
          <w:sz w:val="24"/>
          <w:szCs w:val="24"/>
        </w:rPr>
        <w:t>Augšdaugava</w:t>
      </w:r>
      <w:r w:rsidR="53A3ED64" w:rsidRPr="75F9BD02">
        <w:rPr>
          <w:rFonts w:ascii="Times New Roman" w:hAnsi="Times New Roman" w:cs="Times New Roman"/>
          <w:sz w:val="24"/>
          <w:szCs w:val="24"/>
        </w:rPr>
        <w:t>”</w:t>
      </w:r>
      <w:r w:rsidRPr="75F9BD02">
        <w:rPr>
          <w:rFonts w:ascii="Times New Roman" w:hAnsi="Times New Roman" w:cs="Times New Roman"/>
          <w:sz w:val="24"/>
          <w:szCs w:val="24"/>
        </w:rPr>
        <w:t xml:space="preserve"> teritorij</w:t>
      </w:r>
      <w:r w:rsidR="53A3ED64" w:rsidRPr="75F9BD02">
        <w:rPr>
          <w:rFonts w:ascii="Times New Roman" w:hAnsi="Times New Roman" w:cs="Times New Roman"/>
          <w:sz w:val="24"/>
          <w:szCs w:val="24"/>
        </w:rPr>
        <w:t>ā šis biotops nokartēts 2011.</w:t>
      </w:r>
      <w:r w:rsidR="4FA71D09" w:rsidRPr="75F9BD02">
        <w:rPr>
          <w:rFonts w:ascii="Times New Roman" w:hAnsi="Times New Roman" w:cs="Times New Roman"/>
          <w:sz w:val="24"/>
          <w:szCs w:val="24"/>
        </w:rPr>
        <w:t> </w:t>
      </w:r>
      <w:r w:rsidR="53A3ED64" w:rsidRPr="75F9BD02">
        <w:rPr>
          <w:rFonts w:ascii="Times New Roman" w:hAnsi="Times New Roman" w:cs="Times New Roman"/>
          <w:sz w:val="24"/>
          <w:szCs w:val="24"/>
        </w:rPr>
        <w:t xml:space="preserve">gada septembrī (eksperts Ansis Opmanis) </w:t>
      </w:r>
      <w:r w:rsidR="1D24566B" w:rsidRPr="75F9BD02">
        <w:rPr>
          <w:rFonts w:ascii="Times New Roman" w:hAnsi="Times New Roman" w:cs="Times New Roman"/>
          <w:sz w:val="24"/>
          <w:szCs w:val="24"/>
        </w:rPr>
        <w:t xml:space="preserve">gar Daugavas krastiem </w:t>
      </w:r>
      <w:r w:rsidR="568DBAF7" w:rsidRPr="75F9BD02">
        <w:rPr>
          <w:rFonts w:ascii="Times New Roman" w:hAnsi="Times New Roman" w:cs="Times New Roman"/>
          <w:sz w:val="24"/>
          <w:szCs w:val="24"/>
        </w:rPr>
        <w:t xml:space="preserve">un salām </w:t>
      </w:r>
      <w:r w:rsidR="1D24566B" w:rsidRPr="75F9BD02">
        <w:rPr>
          <w:rFonts w:ascii="Times New Roman" w:hAnsi="Times New Roman" w:cs="Times New Roman"/>
          <w:sz w:val="24"/>
          <w:szCs w:val="24"/>
        </w:rPr>
        <w:t xml:space="preserve">19 vietās </w:t>
      </w:r>
      <w:r w:rsidR="309A99BB" w:rsidRPr="75F9BD02">
        <w:rPr>
          <w:rFonts w:ascii="Times New Roman" w:hAnsi="Times New Roman" w:cs="Times New Roman"/>
          <w:sz w:val="24"/>
          <w:szCs w:val="24"/>
        </w:rPr>
        <w:t>ar kopējo platību 20</w:t>
      </w:r>
      <w:r w:rsidR="700A4B62" w:rsidRPr="75F9BD02">
        <w:rPr>
          <w:rFonts w:ascii="Times New Roman" w:hAnsi="Times New Roman" w:cs="Times New Roman"/>
          <w:sz w:val="24"/>
          <w:szCs w:val="24"/>
        </w:rPr>
        <w:t> </w:t>
      </w:r>
      <w:r w:rsidR="309A99BB" w:rsidRPr="75F9BD02">
        <w:rPr>
          <w:rFonts w:ascii="Times New Roman" w:hAnsi="Times New Roman" w:cs="Times New Roman"/>
          <w:sz w:val="24"/>
          <w:szCs w:val="24"/>
        </w:rPr>
        <w:t>ha</w:t>
      </w:r>
      <w:r w:rsidR="53A3ED64" w:rsidRPr="75F9BD02">
        <w:rPr>
          <w:rFonts w:ascii="Times New Roman" w:hAnsi="Times New Roman" w:cs="Times New Roman"/>
          <w:sz w:val="24"/>
          <w:szCs w:val="24"/>
        </w:rPr>
        <w:t>.</w:t>
      </w:r>
      <w:r w:rsidR="194E7B23" w:rsidRPr="75F9BD02">
        <w:rPr>
          <w:rFonts w:ascii="Times New Roman" w:hAnsi="Times New Roman" w:cs="Times New Roman"/>
          <w:sz w:val="24"/>
          <w:szCs w:val="24"/>
        </w:rPr>
        <w:t xml:space="preserve"> Apsekošanas laikā biotop</w:t>
      </w:r>
      <w:r w:rsidR="3EBF89E6" w:rsidRPr="75F9BD02">
        <w:rPr>
          <w:rFonts w:ascii="Times New Roman" w:hAnsi="Times New Roman" w:cs="Times New Roman"/>
          <w:sz w:val="24"/>
          <w:szCs w:val="24"/>
        </w:rPr>
        <w:t>a</w:t>
      </w:r>
      <w:r w:rsidR="194E7B23" w:rsidRPr="75F9BD02">
        <w:rPr>
          <w:rFonts w:ascii="Times New Roman" w:hAnsi="Times New Roman" w:cs="Times New Roman"/>
          <w:sz w:val="24"/>
          <w:szCs w:val="24"/>
        </w:rPr>
        <w:t xml:space="preserve"> atradnēs </w:t>
      </w:r>
      <w:r w:rsidR="194E7B23" w:rsidRPr="75F9BD02">
        <w:rPr>
          <w:rFonts w:ascii="Times New Roman" w:eastAsia="Times New Roman" w:hAnsi="Times New Roman" w:cs="Times New Roman"/>
          <w:color w:val="000000" w:themeColor="text1"/>
          <w:sz w:val="24"/>
          <w:szCs w:val="24"/>
          <w:lang w:eastAsia="en-GB"/>
        </w:rPr>
        <w:t xml:space="preserve">atsegtās gultnes platums bija lielāks par </w:t>
      </w:r>
      <w:r w:rsidR="78A77357" w:rsidRPr="75F9BD02">
        <w:rPr>
          <w:rFonts w:ascii="Times New Roman" w:eastAsia="Times New Roman" w:hAnsi="Times New Roman" w:cs="Times New Roman"/>
          <w:color w:val="000000" w:themeColor="text1"/>
          <w:sz w:val="24"/>
          <w:szCs w:val="24"/>
          <w:lang w:eastAsia="en-GB"/>
        </w:rPr>
        <w:t>pieciem</w:t>
      </w:r>
      <w:r w:rsidR="194E7B23" w:rsidRPr="75F9BD02">
        <w:rPr>
          <w:rFonts w:ascii="Times New Roman" w:eastAsia="Times New Roman" w:hAnsi="Times New Roman" w:cs="Times New Roman"/>
          <w:color w:val="000000" w:themeColor="text1"/>
          <w:sz w:val="24"/>
          <w:szCs w:val="24"/>
          <w:lang w:eastAsia="en-GB"/>
        </w:rPr>
        <w:t xml:space="preserve"> metriem un konstatētas </w:t>
      </w:r>
      <w:r w:rsidR="194E7B23" w:rsidRPr="75F9BD02">
        <w:rPr>
          <w:rFonts w:ascii="Times New Roman" w:hAnsi="Times New Roman" w:cs="Times New Roman"/>
          <w:sz w:val="24"/>
          <w:szCs w:val="24"/>
        </w:rPr>
        <w:t>šī biotopa raksturīgās sugas</w:t>
      </w:r>
      <w:r w:rsidR="1BF42331" w:rsidRPr="75F9BD02">
        <w:rPr>
          <w:rFonts w:ascii="Times New Roman" w:hAnsi="Times New Roman" w:cs="Times New Roman"/>
          <w:sz w:val="24"/>
          <w:szCs w:val="24"/>
        </w:rPr>
        <w:t>:</w:t>
      </w:r>
      <w:r w:rsidR="194E7B23" w:rsidRPr="75F9BD02">
        <w:rPr>
          <w:rFonts w:ascii="Times New Roman" w:hAnsi="Times New Roman" w:cs="Times New Roman"/>
          <w:sz w:val="24"/>
          <w:szCs w:val="24"/>
        </w:rPr>
        <w:t xml:space="preserve"> sarkanā balanda </w:t>
      </w:r>
      <w:proofErr w:type="spellStart"/>
      <w:r w:rsidR="194E7B23" w:rsidRPr="75F9BD02">
        <w:rPr>
          <w:rFonts w:ascii="Times New Roman" w:eastAsia="Times New Roman" w:hAnsi="Times New Roman" w:cs="Times New Roman"/>
          <w:i/>
          <w:iCs/>
          <w:color w:val="000000" w:themeColor="text1"/>
          <w:sz w:val="24"/>
          <w:szCs w:val="24"/>
          <w:lang w:eastAsia="en-GB"/>
        </w:rPr>
        <w:t>Chenopodium</w:t>
      </w:r>
      <w:proofErr w:type="spellEnd"/>
      <w:r w:rsidR="194E7B23" w:rsidRPr="75F9BD02">
        <w:rPr>
          <w:rFonts w:ascii="Times New Roman" w:eastAsia="Times New Roman" w:hAnsi="Times New Roman" w:cs="Times New Roman"/>
          <w:i/>
          <w:iCs/>
          <w:color w:val="000000" w:themeColor="text1"/>
          <w:sz w:val="24"/>
          <w:szCs w:val="24"/>
          <w:lang w:eastAsia="en-GB"/>
        </w:rPr>
        <w:t xml:space="preserve"> </w:t>
      </w:r>
      <w:proofErr w:type="spellStart"/>
      <w:r w:rsidR="194E7B23" w:rsidRPr="75F9BD02">
        <w:rPr>
          <w:rFonts w:ascii="Times New Roman" w:eastAsia="Times New Roman" w:hAnsi="Times New Roman" w:cs="Times New Roman"/>
          <w:i/>
          <w:iCs/>
          <w:color w:val="000000" w:themeColor="text1"/>
          <w:sz w:val="24"/>
          <w:szCs w:val="24"/>
          <w:lang w:eastAsia="en-GB"/>
        </w:rPr>
        <w:t>rubrum</w:t>
      </w:r>
      <w:proofErr w:type="spellEnd"/>
      <w:r w:rsidR="194E7B23" w:rsidRPr="75F9BD02">
        <w:rPr>
          <w:rFonts w:ascii="Times New Roman" w:eastAsia="Times New Roman" w:hAnsi="Times New Roman" w:cs="Times New Roman"/>
          <w:color w:val="000000" w:themeColor="text1"/>
          <w:sz w:val="24"/>
          <w:szCs w:val="24"/>
          <w:lang w:eastAsia="en-GB"/>
        </w:rPr>
        <w:t xml:space="preserve">, nokarenais sunītis </w:t>
      </w:r>
      <w:proofErr w:type="spellStart"/>
      <w:r w:rsidR="194E7B23" w:rsidRPr="75F9BD02">
        <w:rPr>
          <w:rFonts w:ascii="Times New Roman" w:eastAsia="Times New Roman" w:hAnsi="Times New Roman" w:cs="Times New Roman"/>
          <w:i/>
          <w:iCs/>
          <w:color w:val="000000" w:themeColor="text1"/>
          <w:sz w:val="24"/>
          <w:szCs w:val="24"/>
          <w:lang w:eastAsia="en-GB"/>
        </w:rPr>
        <w:t>Bidens</w:t>
      </w:r>
      <w:proofErr w:type="spellEnd"/>
      <w:r w:rsidR="194E7B23" w:rsidRPr="75F9BD02">
        <w:rPr>
          <w:rFonts w:ascii="Times New Roman" w:eastAsia="Times New Roman" w:hAnsi="Times New Roman" w:cs="Times New Roman"/>
          <w:i/>
          <w:iCs/>
          <w:color w:val="000000" w:themeColor="text1"/>
          <w:sz w:val="24"/>
          <w:szCs w:val="24"/>
          <w:lang w:eastAsia="en-GB"/>
        </w:rPr>
        <w:t xml:space="preserve"> </w:t>
      </w:r>
      <w:proofErr w:type="spellStart"/>
      <w:r w:rsidR="194E7B23" w:rsidRPr="75F9BD02">
        <w:rPr>
          <w:rFonts w:ascii="Times New Roman" w:eastAsia="Times New Roman" w:hAnsi="Times New Roman" w:cs="Times New Roman"/>
          <w:i/>
          <w:iCs/>
          <w:color w:val="000000" w:themeColor="text1"/>
          <w:sz w:val="24"/>
          <w:szCs w:val="24"/>
          <w:lang w:eastAsia="en-GB"/>
        </w:rPr>
        <w:t>cernus</w:t>
      </w:r>
      <w:proofErr w:type="spellEnd"/>
      <w:r w:rsidR="194E7B23" w:rsidRPr="75F9BD02">
        <w:rPr>
          <w:rFonts w:ascii="Times New Roman" w:eastAsia="Times New Roman" w:hAnsi="Times New Roman" w:cs="Times New Roman"/>
          <w:color w:val="000000" w:themeColor="text1"/>
          <w:sz w:val="24"/>
          <w:szCs w:val="24"/>
          <w:lang w:eastAsia="en-GB"/>
        </w:rPr>
        <w:t xml:space="preserve">, </w:t>
      </w:r>
      <w:proofErr w:type="spellStart"/>
      <w:r w:rsidR="194E7B23" w:rsidRPr="75F9BD02">
        <w:rPr>
          <w:rFonts w:ascii="Times New Roman" w:eastAsia="Times New Roman" w:hAnsi="Times New Roman" w:cs="Times New Roman"/>
          <w:color w:val="000000" w:themeColor="text1"/>
          <w:sz w:val="24"/>
          <w:szCs w:val="24"/>
          <w:lang w:eastAsia="en-GB"/>
        </w:rPr>
        <w:t>trejdaivu</w:t>
      </w:r>
      <w:proofErr w:type="spellEnd"/>
      <w:r w:rsidR="194E7B23" w:rsidRPr="75F9BD02">
        <w:rPr>
          <w:rFonts w:ascii="Times New Roman" w:eastAsia="Times New Roman" w:hAnsi="Times New Roman" w:cs="Times New Roman"/>
          <w:color w:val="000000" w:themeColor="text1"/>
          <w:sz w:val="24"/>
          <w:szCs w:val="24"/>
          <w:lang w:eastAsia="en-GB"/>
        </w:rPr>
        <w:t xml:space="preserve"> sunītis </w:t>
      </w:r>
      <w:r w:rsidR="194E7B23" w:rsidRPr="75F9BD02">
        <w:rPr>
          <w:rFonts w:ascii="Times New Roman" w:eastAsia="Times New Roman" w:hAnsi="Times New Roman" w:cs="Times New Roman"/>
          <w:i/>
          <w:iCs/>
          <w:color w:val="000000" w:themeColor="text1"/>
          <w:sz w:val="24"/>
          <w:szCs w:val="24"/>
          <w:lang w:eastAsia="en-GB"/>
        </w:rPr>
        <w:t>B.</w:t>
      </w:r>
      <w:r w:rsidR="1774C160" w:rsidRPr="75F9BD02">
        <w:rPr>
          <w:rFonts w:ascii="Times New Roman" w:eastAsia="Times New Roman" w:hAnsi="Times New Roman" w:cs="Times New Roman"/>
          <w:i/>
          <w:iCs/>
          <w:color w:val="000000" w:themeColor="text1"/>
          <w:sz w:val="24"/>
          <w:szCs w:val="24"/>
          <w:lang w:eastAsia="en-GB"/>
        </w:rPr>
        <w:t> </w:t>
      </w:r>
      <w:proofErr w:type="spellStart"/>
      <w:r w:rsidR="194E7B23" w:rsidRPr="75F9BD02">
        <w:rPr>
          <w:rFonts w:ascii="Times New Roman" w:eastAsia="Times New Roman" w:hAnsi="Times New Roman" w:cs="Times New Roman"/>
          <w:i/>
          <w:iCs/>
          <w:color w:val="000000" w:themeColor="text1"/>
          <w:sz w:val="24"/>
          <w:szCs w:val="24"/>
          <w:lang w:eastAsia="en-GB"/>
        </w:rPr>
        <w:t>tripartita</w:t>
      </w:r>
      <w:proofErr w:type="spellEnd"/>
      <w:r w:rsidR="194E7B23" w:rsidRPr="75F9BD02">
        <w:rPr>
          <w:rFonts w:ascii="Times New Roman" w:eastAsia="Times New Roman" w:hAnsi="Times New Roman" w:cs="Times New Roman"/>
          <w:color w:val="000000" w:themeColor="text1"/>
          <w:sz w:val="24"/>
          <w:szCs w:val="24"/>
          <w:lang w:eastAsia="en-GB"/>
        </w:rPr>
        <w:t xml:space="preserve">, ūdens dūņene </w:t>
      </w:r>
      <w:proofErr w:type="spellStart"/>
      <w:r w:rsidR="194E7B23" w:rsidRPr="75F9BD02">
        <w:rPr>
          <w:rFonts w:ascii="Times New Roman" w:eastAsia="Times New Roman" w:hAnsi="Times New Roman" w:cs="Times New Roman"/>
          <w:i/>
          <w:iCs/>
          <w:color w:val="000000" w:themeColor="text1"/>
          <w:sz w:val="24"/>
          <w:szCs w:val="24"/>
          <w:lang w:eastAsia="en-GB"/>
        </w:rPr>
        <w:t>Limosella</w:t>
      </w:r>
      <w:proofErr w:type="spellEnd"/>
      <w:r w:rsidR="194E7B23" w:rsidRPr="75F9BD02">
        <w:rPr>
          <w:rFonts w:ascii="Times New Roman" w:eastAsia="Times New Roman" w:hAnsi="Times New Roman" w:cs="Times New Roman"/>
          <w:i/>
          <w:iCs/>
          <w:color w:val="000000" w:themeColor="text1"/>
          <w:sz w:val="24"/>
          <w:szCs w:val="24"/>
          <w:lang w:eastAsia="en-GB"/>
        </w:rPr>
        <w:t xml:space="preserve"> </w:t>
      </w:r>
      <w:proofErr w:type="spellStart"/>
      <w:r w:rsidR="194E7B23" w:rsidRPr="75F9BD02">
        <w:rPr>
          <w:rFonts w:ascii="Times New Roman" w:eastAsia="Times New Roman" w:hAnsi="Times New Roman" w:cs="Times New Roman"/>
          <w:i/>
          <w:iCs/>
          <w:color w:val="000000" w:themeColor="text1"/>
          <w:sz w:val="24"/>
          <w:szCs w:val="24"/>
          <w:lang w:eastAsia="en-GB"/>
        </w:rPr>
        <w:t>aquatica</w:t>
      </w:r>
      <w:proofErr w:type="spellEnd"/>
      <w:r w:rsidR="194E7B23" w:rsidRPr="75F9BD02">
        <w:rPr>
          <w:rFonts w:ascii="Times New Roman" w:eastAsia="Times New Roman" w:hAnsi="Times New Roman" w:cs="Times New Roman"/>
          <w:color w:val="000000" w:themeColor="text1"/>
          <w:sz w:val="24"/>
          <w:szCs w:val="24"/>
          <w:lang w:eastAsia="en-GB"/>
        </w:rPr>
        <w:t xml:space="preserve">, </w:t>
      </w:r>
      <w:proofErr w:type="spellStart"/>
      <w:r w:rsidR="194E7B23" w:rsidRPr="75F9BD02">
        <w:rPr>
          <w:rFonts w:ascii="Times New Roman" w:eastAsia="Times New Roman" w:hAnsi="Times New Roman" w:cs="Times New Roman"/>
          <w:color w:val="000000" w:themeColor="text1"/>
          <w:sz w:val="24"/>
          <w:szCs w:val="24"/>
          <w:lang w:eastAsia="en-GB"/>
        </w:rPr>
        <w:t>dziedzerainais</w:t>
      </w:r>
      <w:proofErr w:type="spellEnd"/>
      <w:r w:rsidR="194E7B23" w:rsidRPr="75F9BD02">
        <w:rPr>
          <w:rFonts w:ascii="Times New Roman" w:eastAsia="Times New Roman" w:hAnsi="Times New Roman" w:cs="Times New Roman"/>
          <w:color w:val="000000" w:themeColor="text1"/>
          <w:sz w:val="24"/>
          <w:szCs w:val="24"/>
          <w:lang w:eastAsia="en-GB"/>
        </w:rPr>
        <w:t xml:space="preserve"> </w:t>
      </w:r>
      <w:proofErr w:type="spellStart"/>
      <w:r w:rsidR="194E7B23" w:rsidRPr="75F9BD02">
        <w:rPr>
          <w:rFonts w:ascii="Times New Roman" w:eastAsia="Times New Roman" w:hAnsi="Times New Roman" w:cs="Times New Roman"/>
          <w:color w:val="000000" w:themeColor="text1"/>
          <w:sz w:val="24"/>
          <w:szCs w:val="24"/>
          <w:lang w:eastAsia="en-GB"/>
        </w:rPr>
        <w:t>smaildadzis</w:t>
      </w:r>
      <w:proofErr w:type="spellEnd"/>
      <w:r w:rsidR="194E7B23" w:rsidRPr="75F9BD02">
        <w:rPr>
          <w:rFonts w:ascii="Times New Roman" w:eastAsia="Times New Roman" w:hAnsi="Times New Roman" w:cs="Times New Roman"/>
          <w:color w:val="000000" w:themeColor="text1"/>
          <w:sz w:val="24"/>
          <w:szCs w:val="24"/>
          <w:lang w:eastAsia="en-GB"/>
        </w:rPr>
        <w:t xml:space="preserve"> </w:t>
      </w:r>
      <w:proofErr w:type="spellStart"/>
      <w:r w:rsidR="194E7B23" w:rsidRPr="75F9BD02">
        <w:rPr>
          <w:rFonts w:ascii="Times New Roman" w:eastAsia="Times New Roman" w:hAnsi="Times New Roman" w:cs="Times New Roman"/>
          <w:i/>
          <w:iCs/>
          <w:color w:val="000000" w:themeColor="text1"/>
          <w:sz w:val="24"/>
          <w:szCs w:val="24"/>
          <w:lang w:eastAsia="en-GB"/>
        </w:rPr>
        <w:t>Xanthium</w:t>
      </w:r>
      <w:proofErr w:type="spellEnd"/>
      <w:r w:rsidR="194E7B23" w:rsidRPr="75F9BD02">
        <w:rPr>
          <w:rFonts w:ascii="Times New Roman" w:eastAsia="Times New Roman" w:hAnsi="Times New Roman" w:cs="Times New Roman"/>
          <w:i/>
          <w:iCs/>
          <w:color w:val="000000" w:themeColor="text1"/>
          <w:sz w:val="24"/>
          <w:szCs w:val="24"/>
          <w:lang w:eastAsia="en-GB"/>
        </w:rPr>
        <w:t xml:space="preserve"> </w:t>
      </w:r>
      <w:proofErr w:type="spellStart"/>
      <w:r w:rsidR="194E7B23" w:rsidRPr="75F9BD02">
        <w:rPr>
          <w:rFonts w:ascii="Times New Roman" w:eastAsia="Times New Roman" w:hAnsi="Times New Roman" w:cs="Times New Roman"/>
          <w:i/>
          <w:iCs/>
          <w:color w:val="000000" w:themeColor="text1"/>
          <w:sz w:val="24"/>
          <w:szCs w:val="24"/>
          <w:lang w:eastAsia="en-GB"/>
        </w:rPr>
        <w:t>strumarium</w:t>
      </w:r>
      <w:proofErr w:type="spellEnd"/>
      <w:r w:rsidR="194E7B23" w:rsidRPr="75F9BD02">
        <w:rPr>
          <w:rFonts w:ascii="Times New Roman" w:eastAsia="Times New Roman" w:hAnsi="Times New Roman" w:cs="Times New Roman"/>
          <w:color w:val="000000" w:themeColor="text1"/>
          <w:sz w:val="24"/>
          <w:szCs w:val="24"/>
          <w:lang w:eastAsia="en-GB"/>
        </w:rPr>
        <w:t xml:space="preserve">, mezglainā sūrene </w:t>
      </w:r>
      <w:proofErr w:type="spellStart"/>
      <w:r w:rsidR="194E7B23" w:rsidRPr="75F9BD02">
        <w:rPr>
          <w:rFonts w:ascii="Times New Roman" w:eastAsia="Times New Roman" w:hAnsi="Times New Roman" w:cs="Times New Roman"/>
          <w:i/>
          <w:iCs/>
          <w:color w:val="000000" w:themeColor="text1"/>
          <w:sz w:val="24"/>
          <w:szCs w:val="24"/>
          <w:lang w:eastAsia="en-GB"/>
        </w:rPr>
        <w:t>Poligonum</w:t>
      </w:r>
      <w:proofErr w:type="spellEnd"/>
      <w:r w:rsidR="194E7B23" w:rsidRPr="75F9BD02">
        <w:rPr>
          <w:rFonts w:ascii="Times New Roman" w:eastAsia="Times New Roman" w:hAnsi="Times New Roman" w:cs="Times New Roman"/>
          <w:i/>
          <w:iCs/>
          <w:color w:val="000000" w:themeColor="text1"/>
          <w:sz w:val="24"/>
          <w:szCs w:val="24"/>
          <w:lang w:eastAsia="en-GB"/>
        </w:rPr>
        <w:t xml:space="preserve"> </w:t>
      </w:r>
      <w:proofErr w:type="spellStart"/>
      <w:r w:rsidR="194E7B23" w:rsidRPr="75F9BD02">
        <w:rPr>
          <w:rFonts w:ascii="Times New Roman" w:eastAsia="Times New Roman" w:hAnsi="Times New Roman" w:cs="Times New Roman"/>
          <w:i/>
          <w:iCs/>
          <w:color w:val="000000" w:themeColor="text1"/>
          <w:sz w:val="24"/>
          <w:szCs w:val="24"/>
          <w:lang w:eastAsia="en-GB"/>
        </w:rPr>
        <w:t>nodusum</w:t>
      </w:r>
      <w:proofErr w:type="spellEnd"/>
      <w:r w:rsidR="194E7B23" w:rsidRPr="75F9BD02">
        <w:rPr>
          <w:rFonts w:ascii="Times New Roman" w:eastAsia="Times New Roman" w:hAnsi="Times New Roman" w:cs="Times New Roman"/>
          <w:color w:val="000000" w:themeColor="text1"/>
          <w:sz w:val="24"/>
          <w:szCs w:val="24"/>
          <w:lang w:eastAsia="en-GB"/>
        </w:rPr>
        <w:t xml:space="preserve">, kā arī upes tilbīte </w:t>
      </w:r>
      <w:proofErr w:type="spellStart"/>
      <w:r w:rsidR="194E7B23" w:rsidRPr="75F9BD02">
        <w:rPr>
          <w:rFonts w:ascii="Times New Roman" w:eastAsia="Times New Roman" w:hAnsi="Times New Roman" w:cs="Times New Roman"/>
          <w:i/>
          <w:iCs/>
          <w:color w:val="000000" w:themeColor="text1"/>
          <w:sz w:val="24"/>
          <w:szCs w:val="24"/>
          <w:lang w:eastAsia="en-GB"/>
        </w:rPr>
        <w:t>Actitis</w:t>
      </w:r>
      <w:proofErr w:type="spellEnd"/>
      <w:r w:rsidR="194E7B23" w:rsidRPr="75F9BD02">
        <w:rPr>
          <w:rFonts w:ascii="Times New Roman" w:eastAsia="Times New Roman" w:hAnsi="Times New Roman" w:cs="Times New Roman"/>
          <w:i/>
          <w:iCs/>
          <w:color w:val="000000" w:themeColor="text1"/>
          <w:sz w:val="24"/>
          <w:szCs w:val="24"/>
          <w:lang w:eastAsia="en-GB"/>
        </w:rPr>
        <w:t xml:space="preserve"> </w:t>
      </w:r>
      <w:proofErr w:type="spellStart"/>
      <w:r w:rsidR="194E7B23" w:rsidRPr="75F9BD02">
        <w:rPr>
          <w:rFonts w:ascii="Times New Roman" w:eastAsia="Times New Roman" w:hAnsi="Times New Roman" w:cs="Times New Roman"/>
          <w:i/>
          <w:iCs/>
          <w:color w:val="000000" w:themeColor="text1"/>
          <w:sz w:val="24"/>
          <w:szCs w:val="24"/>
          <w:lang w:eastAsia="en-GB"/>
        </w:rPr>
        <w:t>hypoleucos</w:t>
      </w:r>
      <w:proofErr w:type="spellEnd"/>
      <w:r w:rsidR="194E7B23" w:rsidRPr="75F9BD02">
        <w:rPr>
          <w:rFonts w:ascii="Times New Roman" w:eastAsia="Times New Roman" w:hAnsi="Times New Roman" w:cs="Times New Roman"/>
          <w:color w:val="000000" w:themeColor="text1"/>
          <w:sz w:val="24"/>
          <w:szCs w:val="24"/>
          <w:lang w:eastAsia="en-GB"/>
        </w:rPr>
        <w:t>.</w:t>
      </w:r>
      <w:r w:rsidR="5643E10E" w:rsidRPr="75F9BD02">
        <w:rPr>
          <w:rFonts w:ascii="Times New Roman" w:eastAsia="Times New Roman" w:hAnsi="Times New Roman" w:cs="Times New Roman"/>
          <w:color w:val="000000" w:themeColor="text1"/>
          <w:sz w:val="24"/>
          <w:szCs w:val="24"/>
          <w:lang w:eastAsia="en-GB"/>
        </w:rPr>
        <w:t xml:space="preserve"> </w:t>
      </w:r>
      <w:r w:rsidR="3EBF89E6" w:rsidRPr="75F9BD02">
        <w:rPr>
          <w:rFonts w:ascii="Times New Roman" w:eastAsia="Times New Roman" w:hAnsi="Times New Roman" w:cs="Times New Roman"/>
          <w:color w:val="000000" w:themeColor="text1"/>
          <w:sz w:val="24"/>
          <w:szCs w:val="24"/>
          <w:lang w:eastAsia="en-GB"/>
        </w:rPr>
        <w:t>N</w:t>
      </w:r>
      <w:r w:rsidR="5643E10E" w:rsidRPr="75F9BD02">
        <w:rPr>
          <w:rFonts w:ascii="Times New Roman" w:eastAsia="Times New Roman" w:hAnsi="Times New Roman" w:cs="Times New Roman"/>
          <w:color w:val="000000" w:themeColor="text1"/>
          <w:sz w:val="24"/>
          <w:szCs w:val="24"/>
          <w:lang w:eastAsia="en-GB"/>
        </w:rPr>
        <w:t>ovērtē</w:t>
      </w:r>
      <w:r w:rsidR="3EBF89E6" w:rsidRPr="75F9BD02">
        <w:rPr>
          <w:rFonts w:ascii="Times New Roman" w:eastAsia="Times New Roman" w:hAnsi="Times New Roman" w:cs="Times New Roman"/>
          <w:color w:val="000000" w:themeColor="text1"/>
          <w:sz w:val="24"/>
          <w:szCs w:val="24"/>
          <w:lang w:eastAsia="en-GB"/>
        </w:rPr>
        <w:t xml:space="preserve">tie </w:t>
      </w:r>
      <w:r w:rsidR="5643E10E" w:rsidRPr="75F9BD02">
        <w:rPr>
          <w:rFonts w:ascii="Times New Roman" w:eastAsia="Times New Roman" w:hAnsi="Times New Roman" w:cs="Times New Roman"/>
          <w:color w:val="000000" w:themeColor="text1"/>
          <w:sz w:val="24"/>
          <w:szCs w:val="24"/>
          <w:lang w:eastAsia="en-GB"/>
        </w:rPr>
        <w:t>r</w:t>
      </w:r>
      <w:r w:rsidR="3EBF89E6" w:rsidRPr="75F9BD02">
        <w:rPr>
          <w:rFonts w:ascii="Times New Roman" w:eastAsia="Times New Roman" w:hAnsi="Times New Roman" w:cs="Times New Roman"/>
          <w:color w:val="000000" w:themeColor="text1"/>
          <w:sz w:val="24"/>
          <w:szCs w:val="24"/>
          <w:lang w:eastAsia="en-GB"/>
        </w:rPr>
        <w:t>ādī</w:t>
      </w:r>
      <w:r w:rsidR="5643E10E" w:rsidRPr="75F9BD02">
        <w:rPr>
          <w:rFonts w:ascii="Times New Roman" w:eastAsia="Times New Roman" w:hAnsi="Times New Roman" w:cs="Times New Roman"/>
          <w:color w:val="000000" w:themeColor="text1"/>
          <w:sz w:val="24"/>
          <w:szCs w:val="24"/>
          <w:lang w:eastAsia="en-GB"/>
        </w:rPr>
        <w:t xml:space="preserve">tāji (biotopam nepieciešamās </w:t>
      </w:r>
      <w:proofErr w:type="spellStart"/>
      <w:r w:rsidR="5643E10E" w:rsidRPr="75F9BD02">
        <w:rPr>
          <w:rFonts w:ascii="Times New Roman" w:eastAsia="Times New Roman" w:hAnsi="Times New Roman" w:cs="Times New Roman"/>
          <w:color w:val="000000" w:themeColor="text1"/>
          <w:sz w:val="24"/>
          <w:szCs w:val="24"/>
          <w:lang w:eastAsia="en-GB"/>
        </w:rPr>
        <w:t>augtenes</w:t>
      </w:r>
      <w:proofErr w:type="spellEnd"/>
      <w:r w:rsidR="5643E10E" w:rsidRPr="75F9BD02">
        <w:rPr>
          <w:rFonts w:ascii="Times New Roman" w:eastAsia="Times New Roman" w:hAnsi="Times New Roman" w:cs="Times New Roman"/>
          <w:color w:val="000000" w:themeColor="text1"/>
          <w:sz w:val="24"/>
          <w:szCs w:val="24"/>
          <w:lang w:eastAsia="en-GB"/>
        </w:rPr>
        <w:t xml:space="preserve"> platums lielāks par 5</w:t>
      </w:r>
      <w:r w:rsidR="764EC055" w:rsidRPr="75F9BD02">
        <w:rPr>
          <w:rFonts w:ascii="Times New Roman" w:eastAsia="Times New Roman" w:hAnsi="Times New Roman" w:cs="Times New Roman"/>
          <w:color w:val="000000" w:themeColor="text1"/>
          <w:sz w:val="24"/>
          <w:szCs w:val="24"/>
          <w:lang w:eastAsia="en-GB"/>
        </w:rPr>
        <w:t> </w:t>
      </w:r>
      <w:r w:rsidR="5643E10E" w:rsidRPr="75F9BD02">
        <w:rPr>
          <w:rFonts w:ascii="Times New Roman" w:eastAsia="Times New Roman" w:hAnsi="Times New Roman" w:cs="Times New Roman"/>
          <w:color w:val="000000" w:themeColor="text1"/>
          <w:sz w:val="24"/>
          <w:szCs w:val="24"/>
          <w:lang w:eastAsia="en-GB"/>
        </w:rPr>
        <w:t xml:space="preserve">m, vairāk par </w:t>
      </w:r>
      <w:r w:rsidR="764EC055" w:rsidRPr="75F9BD02">
        <w:rPr>
          <w:rFonts w:ascii="Times New Roman" w:eastAsia="Times New Roman" w:hAnsi="Times New Roman" w:cs="Times New Roman"/>
          <w:color w:val="000000" w:themeColor="text1"/>
          <w:sz w:val="24"/>
          <w:szCs w:val="24"/>
          <w:lang w:eastAsia="en-GB"/>
        </w:rPr>
        <w:t>trīs</w:t>
      </w:r>
      <w:r w:rsidR="5643E10E" w:rsidRPr="75F9BD02">
        <w:rPr>
          <w:rFonts w:ascii="Times New Roman" w:eastAsia="Times New Roman" w:hAnsi="Times New Roman" w:cs="Times New Roman"/>
          <w:color w:val="000000" w:themeColor="text1"/>
          <w:sz w:val="24"/>
          <w:szCs w:val="24"/>
          <w:lang w:eastAsia="en-GB"/>
        </w:rPr>
        <w:t xml:space="preserve"> raksturojošām sugām, raksturojošo sugu audžu aizņemtās platības īpatsvars no posma platības </w:t>
      </w:r>
      <w:r w:rsidR="3EBF89E6" w:rsidRPr="75F9BD02">
        <w:rPr>
          <w:rFonts w:ascii="Times New Roman" w:eastAsia="Times New Roman" w:hAnsi="Times New Roman" w:cs="Times New Roman"/>
          <w:color w:val="000000" w:themeColor="text1"/>
          <w:sz w:val="24"/>
          <w:szCs w:val="24"/>
          <w:lang w:eastAsia="en-GB"/>
        </w:rPr>
        <w:t>5</w:t>
      </w:r>
      <w:r w:rsidR="764EC055" w:rsidRPr="75F9BD02">
        <w:rPr>
          <w:rFonts w:ascii="Times New Roman" w:eastAsia="Times New Roman" w:hAnsi="Times New Roman" w:cs="Times New Roman"/>
          <w:color w:val="000000" w:themeColor="text1"/>
          <w:sz w:val="24"/>
          <w:szCs w:val="24"/>
          <w:lang w:eastAsia="en-GB"/>
        </w:rPr>
        <w:t> – </w:t>
      </w:r>
      <w:r w:rsidR="3EBF89E6" w:rsidRPr="75F9BD02">
        <w:rPr>
          <w:rFonts w:ascii="Times New Roman" w:eastAsia="Times New Roman" w:hAnsi="Times New Roman" w:cs="Times New Roman"/>
          <w:color w:val="000000" w:themeColor="text1"/>
          <w:sz w:val="24"/>
          <w:szCs w:val="24"/>
          <w:lang w:eastAsia="en-GB"/>
        </w:rPr>
        <w:t>20 %, neizmainīts hidroloģiskais režīms, nav nepieciešama nevēlamo sugu izvākšana un raksturīgā augāja atjaunošana) liecina par labu biotopa kvalit</w:t>
      </w:r>
      <w:r w:rsidR="7AA8E06B" w:rsidRPr="75F9BD02">
        <w:rPr>
          <w:rFonts w:ascii="Times New Roman" w:eastAsia="Times New Roman" w:hAnsi="Times New Roman" w:cs="Times New Roman"/>
          <w:color w:val="000000" w:themeColor="text1"/>
          <w:sz w:val="24"/>
          <w:szCs w:val="24"/>
          <w:lang w:eastAsia="en-GB"/>
        </w:rPr>
        <w:t>ā</w:t>
      </w:r>
      <w:r w:rsidR="3EBF89E6" w:rsidRPr="75F9BD02">
        <w:rPr>
          <w:rFonts w:ascii="Times New Roman" w:eastAsia="Times New Roman" w:hAnsi="Times New Roman" w:cs="Times New Roman"/>
          <w:color w:val="000000" w:themeColor="text1"/>
          <w:sz w:val="24"/>
          <w:szCs w:val="24"/>
          <w:lang w:eastAsia="en-GB"/>
        </w:rPr>
        <w:t>ti.</w:t>
      </w:r>
    </w:p>
    <w:p w14:paraId="460B2A39" w14:textId="14E3A638" w:rsidR="00CF5125" w:rsidRPr="00A07F29" w:rsidRDefault="007959DD" w:rsidP="002F7254">
      <w:pPr>
        <w:suppressAutoHyphens/>
        <w:spacing w:after="120" w:line="240" w:lineRule="auto"/>
        <w:ind w:firstLine="720"/>
        <w:jc w:val="both"/>
        <w:textAlignment w:val="baseline"/>
        <w:rPr>
          <w:rFonts w:ascii="Times New Roman" w:eastAsia="Times New Roman" w:hAnsi="Times New Roman" w:cs="Times New Roman"/>
          <w:color w:val="000000"/>
          <w:sz w:val="24"/>
          <w:szCs w:val="24"/>
          <w:lang w:eastAsia="en-GB"/>
        </w:rPr>
      </w:pPr>
      <w:r w:rsidRPr="00A07F29">
        <w:rPr>
          <w:rFonts w:ascii="Times New Roman" w:eastAsia="Times New Roman" w:hAnsi="Times New Roman" w:cs="Times New Roman"/>
          <w:color w:val="000000"/>
          <w:sz w:val="24"/>
          <w:szCs w:val="24"/>
          <w:lang w:eastAsia="en-GB"/>
        </w:rPr>
        <w:t xml:space="preserve">Savukārt </w:t>
      </w:r>
      <w:r w:rsidR="00446023" w:rsidRPr="00A07F29">
        <w:rPr>
          <w:rFonts w:ascii="Times New Roman" w:eastAsia="Times New Roman" w:hAnsi="Times New Roman" w:cs="Times New Roman"/>
          <w:color w:val="000000"/>
          <w:sz w:val="24"/>
          <w:szCs w:val="24"/>
          <w:lang w:eastAsia="en-GB"/>
        </w:rPr>
        <w:t>2018</w:t>
      </w:r>
      <w:r w:rsidRPr="00A07F29">
        <w:rPr>
          <w:rFonts w:ascii="Times New Roman" w:eastAsia="Times New Roman" w:hAnsi="Times New Roman" w:cs="Times New Roman"/>
          <w:color w:val="000000"/>
          <w:sz w:val="24"/>
          <w:szCs w:val="24"/>
          <w:lang w:eastAsia="en-GB"/>
        </w:rPr>
        <w:t>.</w:t>
      </w:r>
      <w:r w:rsidR="00A27CC4" w:rsidRPr="00A07F29">
        <w:rPr>
          <w:rFonts w:ascii="Times New Roman" w:eastAsia="Times New Roman" w:hAnsi="Times New Roman" w:cs="Times New Roman"/>
          <w:color w:val="000000"/>
          <w:sz w:val="24"/>
          <w:szCs w:val="24"/>
          <w:lang w:eastAsia="en-GB"/>
        </w:rPr>
        <w:t> </w:t>
      </w:r>
      <w:r w:rsidR="00FD2B73" w:rsidRPr="00A07F29">
        <w:rPr>
          <w:rFonts w:ascii="Times New Roman" w:eastAsia="Times New Roman" w:hAnsi="Times New Roman" w:cs="Times New Roman"/>
          <w:color w:val="000000"/>
          <w:sz w:val="24"/>
          <w:szCs w:val="24"/>
          <w:lang w:eastAsia="en-GB"/>
        </w:rPr>
        <w:t xml:space="preserve">gadā </w:t>
      </w:r>
      <w:r w:rsidRPr="00A07F29">
        <w:rPr>
          <w:rFonts w:ascii="Times New Roman" w:eastAsia="Times New Roman" w:hAnsi="Times New Roman" w:cs="Times New Roman"/>
          <w:color w:val="000000"/>
          <w:sz w:val="24"/>
          <w:szCs w:val="24"/>
          <w:lang w:eastAsia="en-GB"/>
        </w:rPr>
        <w:t>projekta Dabas skaitīšana ietvaros augsta ūdens līmeņa apstākļos šis biotops netika konstat</w:t>
      </w:r>
      <w:r w:rsidR="00FD2B73" w:rsidRPr="00A07F29">
        <w:rPr>
          <w:rFonts w:ascii="Times New Roman" w:eastAsia="Times New Roman" w:hAnsi="Times New Roman" w:cs="Times New Roman"/>
          <w:color w:val="000000"/>
          <w:sz w:val="24"/>
          <w:szCs w:val="24"/>
          <w:lang w:eastAsia="en-GB"/>
        </w:rPr>
        <w:t>ē</w:t>
      </w:r>
      <w:r w:rsidRPr="00A07F29">
        <w:rPr>
          <w:rFonts w:ascii="Times New Roman" w:eastAsia="Times New Roman" w:hAnsi="Times New Roman" w:cs="Times New Roman"/>
          <w:color w:val="000000"/>
          <w:sz w:val="24"/>
          <w:szCs w:val="24"/>
          <w:lang w:eastAsia="en-GB"/>
        </w:rPr>
        <w:t xml:space="preserve">ts. Būtu vēlama atkārtota biotopa izvērtēšana </w:t>
      </w:r>
      <w:r w:rsidR="00FD2B73" w:rsidRPr="00A07F29">
        <w:rPr>
          <w:rFonts w:ascii="Times New Roman" w:eastAsia="Times New Roman" w:hAnsi="Times New Roman" w:cs="Times New Roman"/>
          <w:color w:val="000000"/>
          <w:sz w:val="24"/>
          <w:szCs w:val="24"/>
          <w:lang w:eastAsia="en-GB"/>
        </w:rPr>
        <w:t xml:space="preserve">zema ūdens līmeņa apstākļos </w:t>
      </w:r>
      <w:r w:rsidRPr="00A07F29">
        <w:rPr>
          <w:rFonts w:ascii="Times New Roman" w:eastAsia="Times New Roman" w:hAnsi="Times New Roman" w:cs="Times New Roman"/>
          <w:color w:val="000000"/>
          <w:sz w:val="24"/>
          <w:szCs w:val="24"/>
          <w:lang w:eastAsia="en-GB"/>
        </w:rPr>
        <w:t>pēc 10 gadu perioda</w:t>
      </w:r>
      <w:r w:rsidR="00FD2B73" w:rsidRPr="00A07F29">
        <w:rPr>
          <w:rFonts w:ascii="Times New Roman" w:eastAsia="Times New Roman" w:hAnsi="Times New Roman" w:cs="Times New Roman"/>
          <w:color w:val="000000"/>
          <w:sz w:val="24"/>
          <w:szCs w:val="24"/>
          <w:lang w:eastAsia="en-GB"/>
        </w:rPr>
        <w:t>, kas ļautu vērtēt arī Baltkrievijā darbojošos HES ietekmi.</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5"/>
        <w:gridCol w:w="4579"/>
      </w:tblGrid>
      <w:tr w:rsidR="007959DD" w:rsidRPr="00A07F29" w14:paraId="7A3697D9" w14:textId="77777777" w:rsidTr="63C42FA1">
        <w:trPr>
          <w:jc w:val="center"/>
        </w:trPr>
        <w:tc>
          <w:tcPr>
            <w:tcW w:w="4672" w:type="dxa"/>
          </w:tcPr>
          <w:p w14:paraId="26A0A7B7" w14:textId="233B433D" w:rsidR="002F7254" w:rsidRPr="00A07F29" w:rsidRDefault="007959DD" w:rsidP="002F7254">
            <w:pPr>
              <w:suppressAutoHyphens/>
              <w:spacing w:after="120"/>
              <w:jc w:val="both"/>
              <w:textAlignment w:val="baseline"/>
              <w:rPr>
                <w:rFonts w:ascii="Times New Roman" w:eastAsia="Times New Roman" w:hAnsi="Times New Roman" w:cs="Times New Roman"/>
                <w:color w:val="000000"/>
                <w:sz w:val="24"/>
                <w:szCs w:val="24"/>
                <w:lang w:eastAsia="en-GB"/>
              </w:rPr>
            </w:pPr>
            <w:r w:rsidRPr="00A07F29">
              <w:rPr>
                <w:noProof/>
                <w:lang w:eastAsia="lv-LV"/>
              </w:rPr>
              <w:drawing>
                <wp:inline distT="0" distB="0" distL="0" distR="0" wp14:anchorId="338F4903" wp14:editId="5AA37B03">
                  <wp:extent cx="2886518" cy="2091936"/>
                  <wp:effectExtent l="0" t="0" r="9525" b="3810"/>
                  <wp:docPr id="918145537" name="Picture 918145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8145537"/>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886518" cy="2091936"/>
                          </a:xfrm>
                          <a:prstGeom prst="rect">
                            <a:avLst/>
                          </a:prstGeom>
                        </pic:spPr>
                      </pic:pic>
                    </a:graphicData>
                  </a:graphic>
                </wp:inline>
              </w:drawing>
            </w:r>
          </w:p>
        </w:tc>
        <w:tc>
          <w:tcPr>
            <w:tcW w:w="4672" w:type="dxa"/>
          </w:tcPr>
          <w:p w14:paraId="7C4EE866" w14:textId="13AD9B5C" w:rsidR="002F7254" w:rsidRPr="00A07F29" w:rsidRDefault="007959DD" w:rsidP="002F7254">
            <w:pPr>
              <w:suppressAutoHyphens/>
              <w:spacing w:after="120"/>
              <w:jc w:val="both"/>
              <w:textAlignment w:val="baseline"/>
              <w:rPr>
                <w:rFonts w:ascii="Times New Roman" w:eastAsia="Times New Roman" w:hAnsi="Times New Roman" w:cs="Times New Roman"/>
                <w:color w:val="000000"/>
                <w:sz w:val="24"/>
                <w:szCs w:val="24"/>
                <w:lang w:eastAsia="en-GB"/>
              </w:rPr>
            </w:pPr>
            <w:r w:rsidRPr="00A07F29">
              <w:rPr>
                <w:noProof/>
                <w:lang w:eastAsia="lv-LV"/>
              </w:rPr>
              <w:drawing>
                <wp:inline distT="0" distB="0" distL="0" distR="0" wp14:anchorId="062DD33F" wp14:editId="162D6A78">
                  <wp:extent cx="2770570" cy="2091690"/>
                  <wp:effectExtent l="0" t="0" r="0" b="381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pic:nvPicPr>
                        <pic:blipFill>
                          <a:blip r:embed="rId43" cstate="print">
                            <a:extLst>
                              <a:ext uri="{28A0092B-C50C-407E-A947-70E740481C1C}">
                                <a14:useLocalDpi xmlns:a14="http://schemas.microsoft.com/office/drawing/2010/main" val="0"/>
                              </a:ext>
                            </a:extLst>
                          </a:blip>
                          <a:stretch>
                            <a:fillRect/>
                          </a:stretch>
                        </pic:blipFill>
                        <pic:spPr>
                          <a:xfrm flipH="1">
                            <a:off x="0" y="0"/>
                            <a:ext cx="2770570" cy="2091690"/>
                          </a:xfrm>
                          <a:prstGeom prst="rect">
                            <a:avLst/>
                          </a:prstGeom>
                        </pic:spPr>
                      </pic:pic>
                    </a:graphicData>
                  </a:graphic>
                </wp:inline>
              </w:drawing>
            </w:r>
          </w:p>
        </w:tc>
      </w:tr>
      <w:tr w:rsidR="007959DD" w:rsidRPr="00A07F29" w14:paraId="3CA47D7F" w14:textId="77777777" w:rsidTr="63C42FA1">
        <w:trPr>
          <w:jc w:val="center"/>
        </w:trPr>
        <w:tc>
          <w:tcPr>
            <w:tcW w:w="4672" w:type="dxa"/>
          </w:tcPr>
          <w:p w14:paraId="1B6C5758" w14:textId="429D85CA" w:rsidR="002F7254" w:rsidRPr="00303BEF" w:rsidRDefault="007959DD" w:rsidP="007959DD">
            <w:pPr>
              <w:suppressAutoHyphens/>
              <w:spacing w:after="120"/>
              <w:jc w:val="both"/>
              <w:textAlignment w:val="baseline"/>
              <w:rPr>
                <w:rFonts w:ascii="Times New Roman" w:eastAsia="Times New Roman" w:hAnsi="Times New Roman" w:cs="Times New Roman"/>
                <w:color w:val="000000"/>
                <w:sz w:val="20"/>
                <w:szCs w:val="20"/>
                <w:lang w:eastAsia="en-GB"/>
              </w:rPr>
            </w:pPr>
            <w:r w:rsidRPr="00303BEF">
              <w:rPr>
                <w:rFonts w:ascii="Times New Roman" w:eastAsia="Times New Roman" w:hAnsi="Times New Roman" w:cs="Times New Roman"/>
                <w:color w:val="000000"/>
                <w:sz w:val="20"/>
                <w:szCs w:val="20"/>
                <w:lang w:eastAsia="en-GB"/>
              </w:rPr>
              <w:lastRenderedPageBreak/>
              <w:t>4.3.2.1.</w:t>
            </w:r>
            <w:r w:rsidR="00692AEE" w:rsidRPr="00303BEF">
              <w:rPr>
                <w:rFonts w:ascii="Times New Roman" w:eastAsia="Times New Roman" w:hAnsi="Times New Roman" w:cs="Times New Roman"/>
                <w:color w:val="000000"/>
                <w:sz w:val="20"/>
                <w:szCs w:val="20"/>
                <w:lang w:eastAsia="en-GB"/>
              </w:rPr>
              <w:t> </w:t>
            </w:r>
            <w:r w:rsidRPr="00303BEF">
              <w:rPr>
                <w:rFonts w:ascii="Times New Roman" w:eastAsia="Times New Roman" w:hAnsi="Times New Roman" w:cs="Times New Roman"/>
                <w:color w:val="000000"/>
                <w:sz w:val="20"/>
                <w:szCs w:val="20"/>
                <w:lang w:eastAsia="en-GB"/>
              </w:rPr>
              <w:t xml:space="preserve">attēls. </w:t>
            </w:r>
            <w:proofErr w:type="spellStart"/>
            <w:r w:rsidRPr="00303BEF">
              <w:rPr>
                <w:rFonts w:ascii="Times New Roman" w:eastAsia="Times New Roman" w:hAnsi="Times New Roman" w:cs="Times New Roman"/>
                <w:color w:val="000000"/>
                <w:sz w:val="20"/>
                <w:szCs w:val="20"/>
                <w:lang w:eastAsia="en-GB"/>
              </w:rPr>
              <w:t>Makrofītu</w:t>
            </w:r>
            <w:proofErr w:type="spellEnd"/>
            <w:r w:rsidRPr="00303BEF">
              <w:rPr>
                <w:rFonts w:ascii="Times New Roman" w:eastAsia="Times New Roman" w:hAnsi="Times New Roman" w:cs="Times New Roman"/>
                <w:color w:val="000000"/>
                <w:sz w:val="20"/>
                <w:szCs w:val="20"/>
                <w:lang w:eastAsia="en-GB"/>
              </w:rPr>
              <w:t xml:space="preserve"> josla Daugavas piekrastē augšpus Daugavpils (I.</w:t>
            </w:r>
            <w:r w:rsidR="00303BEF" w:rsidRPr="00303BEF">
              <w:rPr>
                <w:rFonts w:ascii="Times New Roman" w:eastAsia="Times New Roman" w:hAnsi="Times New Roman" w:cs="Times New Roman"/>
                <w:color w:val="000000"/>
                <w:sz w:val="20"/>
                <w:szCs w:val="20"/>
                <w:lang w:eastAsia="en-GB"/>
              </w:rPr>
              <w:t> </w:t>
            </w:r>
            <w:r w:rsidRPr="00303BEF">
              <w:rPr>
                <w:rFonts w:ascii="Times New Roman" w:eastAsia="Times New Roman" w:hAnsi="Times New Roman" w:cs="Times New Roman"/>
                <w:color w:val="000000"/>
                <w:sz w:val="20"/>
                <w:szCs w:val="20"/>
                <w:lang w:eastAsia="en-GB"/>
              </w:rPr>
              <w:t>Druvietis,</w:t>
            </w:r>
            <w:r w:rsidR="00303BEF" w:rsidRPr="00303BEF">
              <w:rPr>
                <w:rFonts w:ascii="Times New Roman" w:eastAsia="Times New Roman" w:hAnsi="Times New Roman" w:cs="Times New Roman"/>
                <w:color w:val="000000"/>
                <w:sz w:val="20"/>
                <w:szCs w:val="20"/>
                <w:lang w:eastAsia="en-GB"/>
              </w:rPr>
              <w:t xml:space="preserve"> </w:t>
            </w:r>
            <w:r w:rsidRPr="00303BEF">
              <w:rPr>
                <w:rFonts w:ascii="Times New Roman" w:eastAsia="Times New Roman" w:hAnsi="Times New Roman" w:cs="Times New Roman"/>
                <w:color w:val="000000"/>
                <w:sz w:val="20"/>
                <w:szCs w:val="20"/>
                <w:lang w:eastAsia="en-GB"/>
              </w:rPr>
              <w:t>2000)</w:t>
            </w:r>
          </w:p>
        </w:tc>
        <w:tc>
          <w:tcPr>
            <w:tcW w:w="4672" w:type="dxa"/>
          </w:tcPr>
          <w:p w14:paraId="265F9A05" w14:textId="78D655E8" w:rsidR="002F7254" w:rsidRPr="00E17388" w:rsidRDefault="007959DD" w:rsidP="002F7254">
            <w:pPr>
              <w:suppressAutoHyphens/>
              <w:spacing w:after="120"/>
              <w:jc w:val="both"/>
              <w:textAlignment w:val="baseline"/>
              <w:rPr>
                <w:rFonts w:ascii="Times New Roman" w:eastAsia="Times New Roman" w:hAnsi="Times New Roman" w:cs="Times New Roman"/>
                <w:color w:val="000000"/>
                <w:sz w:val="20"/>
                <w:szCs w:val="20"/>
                <w:lang w:eastAsia="en-GB"/>
              </w:rPr>
            </w:pPr>
            <w:r w:rsidRPr="00E17388">
              <w:rPr>
                <w:rFonts w:ascii="Times New Roman" w:eastAsia="Times New Roman" w:hAnsi="Times New Roman" w:cs="Times New Roman"/>
                <w:color w:val="000000"/>
                <w:sz w:val="20"/>
                <w:szCs w:val="20"/>
                <w:lang w:eastAsia="en-GB"/>
              </w:rPr>
              <w:t>4.3.2.2.</w:t>
            </w:r>
            <w:r w:rsidR="00303BEF" w:rsidRPr="00E17388">
              <w:rPr>
                <w:rFonts w:ascii="Times New Roman" w:eastAsia="Times New Roman" w:hAnsi="Times New Roman" w:cs="Times New Roman"/>
                <w:color w:val="000000"/>
                <w:sz w:val="20"/>
                <w:szCs w:val="20"/>
                <w:lang w:eastAsia="en-GB"/>
              </w:rPr>
              <w:t> </w:t>
            </w:r>
            <w:r w:rsidRPr="00E17388">
              <w:rPr>
                <w:rFonts w:ascii="Times New Roman" w:eastAsia="Times New Roman" w:hAnsi="Times New Roman" w:cs="Times New Roman"/>
                <w:color w:val="000000"/>
                <w:sz w:val="20"/>
                <w:szCs w:val="20"/>
                <w:lang w:eastAsia="en-GB"/>
              </w:rPr>
              <w:t xml:space="preserve">attēls. </w:t>
            </w:r>
            <w:r w:rsidRPr="00E17388">
              <w:rPr>
                <w:rFonts w:ascii="Times New Roman" w:eastAsia="Times New Roman" w:hAnsi="Times New Roman" w:cs="Times New Roman"/>
                <w:iCs/>
                <w:color w:val="000000"/>
                <w:sz w:val="20"/>
                <w:szCs w:val="20"/>
                <w:lang w:eastAsia="en-GB"/>
              </w:rPr>
              <w:t>Biotops</w:t>
            </w:r>
            <w:r w:rsidRPr="00E17388">
              <w:rPr>
                <w:rFonts w:ascii="Times New Roman" w:eastAsia="Times New Roman" w:hAnsi="Times New Roman" w:cs="Times New Roman"/>
                <w:i/>
                <w:color w:val="000000"/>
                <w:sz w:val="20"/>
                <w:szCs w:val="20"/>
                <w:lang w:eastAsia="en-GB"/>
              </w:rPr>
              <w:t xml:space="preserve"> </w:t>
            </w:r>
            <w:r w:rsidRPr="00E17388">
              <w:rPr>
                <w:rFonts w:ascii="Times New Roman" w:eastAsia="Times New Roman" w:hAnsi="Times New Roman" w:cs="Times New Roman"/>
                <w:iCs/>
                <w:color w:val="000000"/>
                <w:sz w:val="20"/>
                <w:szCs w:val="20"/>
                <w:lang w:eastAsia="en-GB"/>
              </w:rPr>
              <w:t>3270</w:t>
            </w:r>
            <w:r w:rsidR="00E17388" w:rsidRPr="00E17388">
              <w:rPr>
                <w:rFonts w:ascii="Times New Roman" w:eastAsia="Times New Roman" w:hAnsi="Times New Roman" w:cs="Times New Roman"/>
                <w:i/>
                <w:color w:val="000000"/>
                <w:sz w:val="20"/>
                <w:szCs w:val="20"/>
                <w:lang w:eastAsia="en-GB"/>
              </w:rPr>
              <w:t> </w:t>
            </w:r>
            <w:r w:rsidRPr="00E17388">
              <w:rPr>
                <w:rFonts w:ascii="Times New Roman" w:eastAsia="Times New Roman" w:hAnsi="Times New Roman" w:cs="Times New Roman"/>
                <w:i/>
                <w:color w:val="000000"/>
                <w:sz w:val="20"/>
                <w:szCs w:val="20"/>
                <w:lang w:eastAsia="en-GB"/>
              </w:rPr>
              <w:t xml:space="preserve">Dūņaini upju krasti ar slāpekli mīlošu viengadīgu </w:t>
            </w:r>
            <w:proofErr w:type="spellStart"/>
            <w:r w:rsidRPr="00E17388">
              <w:rPr>
                <w:rFonts w:ascii="Times New Roman" w:eastAsia="Times New Roman" w:hAnsi="Times New Roman" w:cs="Times New Roman"/>
                <w:i/>
                <w:color w:val="000000"/>
                <w:sz w:val="20"/>
                <w:szCs w:val="20"/>
                <w:lang w:eastAsia="en-GB"/>
              </w:rPr>
              <w:t>pioniersugu</w:t>
            </w:r>
            <w:proofErr w:type="spellEnd"/>
            <w:r w:rsidRPr="00E17388">
              <w:rPr>
                <w:rFonts w:ascii="Times New Roman" w:eastAsia="Times New Roman" w:hAnsi="Times New Roman" w:cs="Times New Roman"/>
                <w:i/>
                <w:color w:val="000000"/>
                <w:sz w:val="20"/>
                <w:szCs w:val="20"/>
                <w:lang w:eastAsia="en-GB"/>
              </w:rPr>
              <w:t xml:space="preserve"> augāju</w:t>
            </w:r>
            <w:r w:rsidRPr="00E17388">
              <w:rPr>
                <w:rFonts w:ascii="Times New Roman" w:eastAsia="Times New Roman" w:hAnsi="Times New Roman" w:cs="Times New Roman"/>
                <w:color w:val="000000"/>
                <w:sz w:val="20"/>
                <w:szCs w:val="20"/>
                <w:lang w:eastAsia="en-GB"/>
              </w:rPr>
              <w:t xml:space="preserve"> salā pie </w:t>
            </w:r>
            <w:proofErr w:type="spellStart"/>
            <w:r w:rsidRPr="00E17388">
              <w:rPr>
                <w:rFonts w:ascii="Times New Roman" w:eastAsia="Times New Roman" w:hAnsi="Times New Roman" w:cs="Times New Roman"/>
                <w:color w:val="000000"/>
                <w:sz w:val="20"/>
                <w:szCs w:val="20"/>
                <w:lang w:eastAsia="en-GB"/>
              </w:rPr>
              <w:t>Dorbačovas</w:t>
            </w:r>
            <w:proofErr w:type="spellEnd"/>
            <w:r w:rsidRPr="00E17388">
              <w:rPr>
                <w:rFonts w:ascii="Times New Roman" w:eastAsia="Times New Roman" w:hAnsi="Times New Roman" w:cs="Times New Roman"/>
                <w:color w:val="000000"/>
                <w:sz w:val="20"/>
                <w:szCs w:val="20"/>
                <w:lang w:eastAsia="en-GB"/>
              </w:rPr>
              <w:t xml:space="preserve"> (A. Opmanis, 2011)</w:t>
            </w:r>
          </w:p>
        </w:tc>
      </w:tr>
    </w:tbl>
    <w:p w14:paraId="67234C54" w14:textId="31F08F30" w:rsidR="00A354FB" w:rsidRPr="00A07F29" w:rsidRDefault="006827EA" w:rsidP="006827EA">
      <w:pPr>
        <w:keepNext/>
        <w:suppressAutoHyphens/>
        <w:autoSpaceDN w:val="0"/>
        <w:spacing w:before="240" w:after="120" w:line="240" w:lineRule="auto"/>
        <w:textAlignment w:val="baseline"/>
        <w:rPr>
          <w:rFonts w:ascii="Times New Roman" w:eastAsia="Calibri" w:hAnsi="Times New Roman" w:cs="Calibri"/>
          <w:b/>
          <w:bCs/>
          <w:i/>
          <w:sz w:val="24"/>
          <w:lang w:eastAsia="lv-LV"/>
        </w:rPr>
      </w:pPr>
      <w:bookmarkStart w:id="60" w:name="_Hlk51100083"/>
      <w:bookmarkEnd w:id="60"/>
      <w:proofErr w:type="spellStart"/>
      <w:r w:rsidRPr="00A07F29">
        <w:rPr>
          <w:rFonts w:ascii="Times New Roman" w:eastAsia="Calibri" w:hAnsi="Times New Roman" w:cs="Calibri"/>
          <w:b/>
          <w:bCs/>
          <w:i/>
          <w:sz w:val="24"/>
          <w:lang w:eastAsia="lv-LV"/>
        </w:rPr>
        <w:t>Aizsargj</w:t>
      </w:r>
      <w:r w:rsidR="007C058C">
        <w:rPr>
          <w:rFonts w:ascii="Times New Roman" w:eastAsia="Calibri" w:hAnsi="Times New Roman" w:cs="Calibri"/>
          <w:b/>
          <w:bCs/>
          <w:i/>
          <w:sz w:val="24"/>
          <w:lang w:eastAsia="lv-LV"/>
        </w:rPr>
        <w:t>ā</w:t>
      </w:r>
      <w:r w:rsidRPr="00A07F29">
        <w:rPr>
          <w:rFonts w:ascii="Times New Roman" w:eastAsia="Calibri" w:hAnsi="Times New Roman" w:cs="Calibri"/>
          <w:b/>
          <w:bCs/>
          <w:i/>
          <w:sz w:val="24"/>
          <w:lang w:eastAsia="lv-LV"/>
        </w:rPr>
        <w:t>mo</w:t>
      </w:r>
      <w:proofErr w:type="spellEnd"/>
      <w:r w:rsidRPr="00A07F29">
        <w:rPr>
          <w:rFonts w:ascii="Times New Roman" w:eastAsia="Calibri" w:hAnsi="Times New Roman" w:cs="Calibri"/>
          <w:b/>
          <w:bCs/>
          <w:i/>
          <w:sz w:val="24"/>
          <w:lang w:eastAsia="lv-LV"/>
        </w:rPr>
        <w:t xml:space="preserve"> biotopu sastopamība </w:t>
      </w:r>
      <w:r w:rsidR="00A354FB" w:rsidRPr="00A07F29">
        <w:rPr>
          <w:rFonts w:ascii="Times New Roman" w:eastAsia="Calibri" w:hAnsi="Times New Roman" w:cs="Calibri"/>
          <w:b/>
          <w:bCs/>
          <w:i/>
          <w:sz w:val="24"/>
          <w:lang w:eastAsia="lv-LV"/>
        </w:rPr>
        <w:t>Daugavas labā krasta pietek</w:t>
      </w:r>
      <w:r w:rsidRPr="00A07F29">
        <w:rPr>
          <w:rFonts w:ascii="Times New Roman" w:eastAsia="Calibri" w:hAnsi="Times New Roman" w:cs="Calibri"/>
          <w:b/>
          <w:bCs/>
          <w:i/>
          <w:sz w:val="24"/>
          <w:lang w:eastAsia="lv-LV"/>
        </w:rPr>
        <w:t>ās</w:t>
      </w:r>
    </w:p>
    <w:p w14:paraId="1C21168B" w14:textId="00F3977C" w:rsidR="00EF082F" w:rsidRPr="00A07F29" w:rsidRDefault="00A354FB" w:rsidP="006827EA">
      <w:pPr>
        <w:spacing w:after="120" w:line="240" w:lineRule="auto"/>
        <w:ind w:firstLine="851"/>
        <w:jc w:val="both"/>
        <w:rPr>
          <w:rFonts w:ascii="Times New Roman" w:eastAsia="Calibri" w:hAnsi="Times New Roman" w:cs="Times New Roman"/>
          <w:sz w:val="24"/>
          <w:szCs w:val="24"/>
        </w:rPr>
      </w:pPr>
      <w:proofErr w:type="spellStart"/>
      <w:r w:rsidRPr="00A07F29">
        <w:rPr>
          <w:rFonts w:ascii="Times New Roman" w:eastAsia="Calibri" w:hAnsi="Times New Roman" w:cs="Times New Roman"/>
          <w:b/>
          <w:sz w:val="24"/>
          <w:szCs w:val="24"/>
        </w:rPr>
        <w:t>Rosica</w:t>
      </w:r>
      <w:proofErr w:type="spellEnd"/>
      <w:r w:rsidRPr="00A07F29">
        <w:rPr>
          <w:rFonts w:ascii="Times New Roman" w:eastAsia="Calibri" w:hAnsi="Times New Roman" w:cs="Times New Roman"/>
          <w:sz w:val="24"/>
          <w:szCs w:val="24"/>
        </w:rPr>
        <w:t xml:space="preserve"> ietek Daugavā pie </w:t>
      </w:r>
      <w:proofErr w:type="spellStart"/>
      <w:r w:rsidRPr="00A07F29">
        <w:rPr>
          <w:rFonts w:ascii="Times New Roman" w:eastAsia="Calibri" w:hAnsi="Times New Roman" w:cs="Times New Roman"/>
          <w:sz w:val="24"/>
          <w:szCs w:val="24"/>
        </w:rPr>
        <w:t>Koškovciem</w:t>
      </w:r>
      <w:r w:rsidR="00322B80">
        <w:rPr>
          <w:rFonts w:ascii="Times New Roman" w:eastAsia="Calibri" w:hAnsi="Times New Roman" w:cs="Times New Roman"/>
          <w:sz w:val="24"/>
          <w:szCs w:val="24"/>
        </w:rPr>
        <w:t>a</w:t>
      </w:r>
      <w:proofErr w:type="spellEnd"/>
      <w:r w:rsidRPr="00A07F29">
        <w:rPr>
          <w:rFonts w:ascii="Times New Roman" w:eastAsia="Calibri" w:hAnsi="Times New Roman" w:cs="Times New Roman"/>
          <w:sz w:val="24"/>
          <w:szCs w:val="24"/>
        </w:rPr>
        <w:t xml:space="preserve">, </w:t>
      </w:r>
      <w:r w:rsidR="0099255B" w:rsidRPr="00A07F29">
        <w:rPr>
          <w:rFonts w:ascii="Times New Roman" w:eastAsia="Calibri" w:hAnsi="Times New Roman" w:cs="Times New Roman"/>
          <w:sz w:val="24"/>
          <w:szCs w:val="24"/>
        </w:rPr>
        <w:t>k</w:t>
      </w:r>
      <w:r w:rsidRPr="00A07F29">
        <w:rPr>
          <w:rFonts w:ascii="Times New Roman" w:eastAsia="Calibri" w:hAnsi="Times New Roman" w:cs="Times New Roman"/>
          <w:sz w:val="24"/>
          <w:szCs w:val="24"/>
        </w:rPr>
        <w:t>ur tek pa gleznainu, dziļu, kokiem apaugušu ieleju. Pirms pašas ietekas 1</w:t>
      </w:r>
      <w:r w:rsidR="00CC7996">
        <w:rPr>
          <w:rFonts w:ascii="Times New Roman" w:eastAsia="Calibri" w:hAnsi="Times New Roman" w:cs="Times New Roman"/>
          <w:sz w:val="24"/>
          <w:szCs w:val="24"/>
        </w:rPr>
        <w:t> </w:t>
      </w:r>
      <w:r w:rsidRPr="00A07F29">
        <w:rPr>
          <w:rFonts w:ascii="Times New Roman" w:eastAsia="Calibri" w:hAnsi="Times New Roman" w:cs="Times New Roman"/>
          <w:sz w:val="24"/>
          <w:szCs w:val="24"/>
        </w:rPr>
        <w:t>km garumā tā ir Latvijas un Baltkrievijas robežupe. Latvijā tās krastos lielākā apdzīvotā vieta ir Skuķi</w:t>
      </w:r>
      <w:r w:rsidR="20B11638" w:rsidRPr="00A07F29">
        <w:rPr>
          <w:rFonts w:ascii="Times New Roman" w:eastAsia="Calibri" w:hAnsi="Times New Roman" w:cs="Times New Roman"/>
          <w:sz w:val="24"/>
          <w:szCs w:val="24"/>
        </w:rPr>
        <w:t xml:space="preserve"> </w:t>
      </w:r>
      <w:r w:rsidRPr="00A07F29">
        <w:rPr>
          <w:rFonts w:ascii="Times New Roman" w:eastAsia="Calibri" w:hAnsi="Times New Roman" w:cs="Times New Roman"/>
          <w:sz w:val="24"/>
          <w:szCs w:val="24"/>
        </w:rPr>
        <w:t>(Latvijas daba, 1993)</w:t>
      </w:r>
      <w:r w:rsidR="00F71BD1" w:rsidRPr="00A07F29">
        <w:rPr>
          <w:rFonts w:ascii="Times New Roman" w:eastAsia="Calibri" w:hAnsi="Times New Roman" w:cs="Times New Roman"/>
          <w:sz w:val="24"/>
          <w:szCs w:val="24"/>
        </w:rPr>
        <w:t>.</w:t>
      </w:r>
      <w:r w:rsidR="00875929" w:rsidRPr="00A07F29">
        <w:rPr>
          <w:rFonts w:ascii="Times New Roman" w:eastAsia="Calibri" w:hAnsi="Times New Roman" w:cs="Times New Roman"/>
          <w:sz w:val="24"/>
          <w:szCs w:val="24"/>
        </w:rPr>
        <w:t xml:space="preserve"> </w:t>
      </w:r>
      <w:r w:rsidRPr="00A07F29">
        <w:rPr>
          <w:rFonts w:ascii="Times New Roman" w:eastAsia="Calibri" w:hAnsi="Times New Roman" w:cs="Times New Roman"/>
          <w:sz w:val="24"/>
          <w:szCs w:val="24"/>
        </w:rPr>
        <w:t>Upes gultnes substrāts ir daudzveidīgs, dominē grants, smilts ar atsevi</w:t>
      </w:r>
      <w:r w:rsidR="00CF44AE">
        <w:rPr>
          <w:rFonts w:ascii="Times New Roman" w:eastAsia="Calibri" w:hAnsi="Times New Roman" w:cs="Times New Roman"/>
          <w:sz w:val="24"/>
          <w:szCs w:val="24"/>
        </w:rPr>
        <w:t>š</w:t>
      </w:r>
      <w:r w:rsidRPr="00A07F29">
        <w:rPr>
          <w:rFonts w:ascii="Times New Roman" w:eastAsia="Calibri" w:hAnsi="Times New Roman" w:cs="Times New Roman"/>
          <w:sz w:val="24"/>
          <w:szCs w:val="24"/>
        </w:rPr>
        <w:t>ķiem laukakmeņiem un oļiem. Upe</w:t>
      </w:r>
      <w:r w:rsidR="00001FF2" w:rsidRPr="00A07F29">
        <w:rPr>
          <w:rFonts w:ascii="Times New Roman" w:eastAsia="Calibri" w:hAnsi="Times New Roman" w:cs="Times New Roman"/>
          <w:sz w:val="24"/>
          <w:szCs w:val="24"/>
        </w:rPr>
        <w:t>s tek caur meža masīvu</w:t>
      </w:r>
      <w:r w:rsidRPr="00A07F29">
        <w:rPr>
          <w:rFonts w:ascii="Times New Roman" w:eastAsia="Calibri" w:hAnsi="Times New Roman" w:cs="Times New Roman"/>
          <w:sz w:val="24"/>
          <w:szCs w:val="24"/>
        </w:rPr>
        <w:t xml:space="preserve">. Apsekotajā upes posmā straujtece </w:t>
      </w:r>
      <w:r w:rsidR="00A1162E" w:rsidRPr="00A07F29">
        <w:rPr>
          <w:rFonts w:ascii="Times New Roman" w:eastAsia="Calibri" w:hAnsi="Times New Roman" w:cs="Times New Roman"/>
          <w:sz w:val="24"/>
          <w:szCs w:val="24"/>
        </w:rPr>
        <w:t xml:space="preserve">aizņem </w:t>
      </w:r>
      <w:r w:rsidRPr="00A07F29">
        <w:rPr>
          <w:rFonts w:ascii="Times New Roman" w:eastAsia="Calibri" w:hAnsi="Times New Roman" w:cs="Times New Roman"/>
          <w:sz w:val="24"/>
          <w:szCs w:val="24"/>
        </w:rPr>
        <w:t>tikai 10</w:t>
      </w:r>
      <w:r w:rsidR="00D70CDE">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 bet </w:t>
      </w:r>
      <w:r w:rsidR="00A1162E" w:rsidRPr="00A07F29">
        <w:rPr>
          <w:rFonts w:ascii="Times New Roman" w:eastAsia="Calibri" w:hAnsi="Times New Roman" w:cs="Times New Roman"/>
          <w:sz w:val="24"/>
          <w:szCs w:val="24"/>
        </w:rPr>
        <w:t>pārējā posmā straumes ātrums mazāks par 0,2</w:t>
      </w:r>
      <w:r w:rsidR="00D70CDE">
        <w:rPr>
          <w:rFonts w:ascii="Times New Roman" w:eastAsia="Calibri" w:hAnsi="Times New Roman" w:cs="Times New Roman"/>
          <w:sz w:val="24"/>
          <w:szCs w:val="24"/>
        </w:rPr>
        <w:t> </w:t>
      </w:r>
      <w:r w:rsidR="00A1162E" w:rsidRPr="00A07F29">
        <w:rPr>
          <w:rFonts w:ascii="Times New Roman" w:eastAsia="Calibri" w:hAnsi="Times New Roman" w:cs="Times New Roman"/>
          <w:sz w:val="24"/>
          <w:szCs w:val="24"/>
        </w:rPr>
        <w:t xml:space="preserve">m/s. </w:t>
      </w:r>
      <w:r w:rsidRPr="00A07F29">
        <w:rPr>
          <w:rFonts w:ascii="Times New Roman" w:eastAsia="Calibri" w:hAnsi="Times New Roman" w:cs="Times New Roman"/>
          <w:sz w:val="24"/>
          <w:szCs w:val="24"/>
        </w:rPr>
        <w:t xml:space="preserve">Konstatēta bebru darbība – atsevišķi grauzti koki un alas. Sūna </w:t>
      </w:r>
      <w:proofErr w:type="spellStart"/>
      <w:r w:rsidRPr="00A07F29">
        <w:rPr>
          <w:rFonts w:ascii="Times New Roman" w:eastAsia="Calibri" w:hAnsi="Times New Roman" w:cs="Times New Roman"/>
          <w:i/>
          <w:iCs/>
          <w:sz w:val="24"/>
          <w:szCs w:val="24"/>
        </w:rPr>
        <w:t>Fontinalis</w:t>
      </w:r>
      <w:proofErr w:type="spellEnd"/>
      <w:r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antipiretica</w:t>
      </w:r>
      <w:proofErr w:type="spellEnd"/>
      <w:r w:rsidR="00D65BBA" w:rsidRPr="00A07F29">
        <w:rPr>
          <w:rFonts w:ascii="Times New Roman" w:eastAsia="Calibri" w:hAnsi="Times New Roman" w:cs="Times New Roman"/>
          <w:i/>
          <w:iCs/>
          <w:sz w:val="24"/>
          <w:szCs w:val="24"/>
        </w:rPr>
        <w:t xml:space="preserve"> </w:t>
      </w:r>
      <w:r w:rsidRPr="00A07F29">
        <w:rPr>
          <w:rFonts w:ascii="Times New Roman" w:eastAsia="Calibri" w:hAnsi="Times New Roman" w:cs="Times New Roman"/>
          <w:sz w:val="24"/>
          <w:szCs w:val="24"/>
        </w:rPr>
        <w:t>veido apaugumu līdz 2</w:t>
      </w:r>
      <w:r w:rsidR="009442F8">
        <w:rPr>
          <w:rFonts w:ascii="Times New Roman" w:eastAsia="Calibri" w:hAnsi="Times New Roman" w:cs="Times New Roman"/>
          <w:sz w:val="24"/>
          <w:szCs w:val="24"/>
        </w:rPr>
        <w:t>,</w:t>
      </w:r>
      <w:r w:rsidRPr="00A07F29">
        <w:rPr>
          <w:rFonts w:ascii="Times New Roman" w:eastAsia="Calibri" w:hAnsi="Times New Roman" w:cs="Times New Roman"/>
          <w:sz w:val="24"/>
          <w:szCs w:val="24"/>
        </w:rPr>
        <w:t>5</w:t>
      </w:r>
      <w:r w:rsidR="009442F8">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 no apsekotās </w:t>
      </w:r>
      <w:proofErr w:type="spellStart"/>
      <w:r w:rsidRPr="00A07F29">
        <w:rPr>
          <w:rFonts w:ascii="Times New Roman" w:eastAsia="Calibri" w:hAnsi="Times New Roman" w:cs="Times New Roman"/>
          <w:sz w:val="24"/>
          <w:szCs w:val="24"/>
        </w:rPr>
        <w:t>spoguļvirsmas</w:t>
      </w:r>
      <w:proofErr w:type="spellEnd"/>
      <w:r w:rsidRPr="00A07F29">
        <w:rPr>
          <w:rFonts w:ascii="Times New Roman" w:eastAsia="Calibri" w:hAnsi="Times New Roman" w:cs="Times New Roman"/>
          <w:sz w:val="24"/>
          <w:szCs w:val="24"/>
        </w:rPr>
        <w:t xml:space="preserve">. </w:t>
      </w:r>
      <w:r w:rsidR="00A1162E" w:rsidRPr="00A07F29">
        <w:rPr>
          <w:rFonts w:ascii="Times New Roman" w:eastAsia="Calibri" w:hAnsi="Times New Roman" w:cs="Times New Roman"/>
          <w:sz w:val="24"/>
          <w:szCs w:val="24"/>
        </w:rPr>
        <w:t xml:space="preserve">Konstatētas </w:t>
      </w:r>
      <w:r w:rsidR="007203DD">
        <w:rPr>
          <w:rFonts w:ascii="Times New Roman" w:eastAsia="Calibri" w:hAnsi="Times New Roman" w:cs="Times New Roman"/>
          <w:sz w:val="24"/>
          <w:szCs w:val="24"/>
        </w:rPr>
        <w:t>deviņas</w:t>
      </w:r>
      <w:r w:rsidR="00A1162E" w:rsidRPr="00A07F29">
        <w:rPr>
          <w:rFonts w:ascii="Times New Roman" w:eastAsia="Calibri" w:hAnsi="Times New Roman" w:cs="Times New Roman"/>
          <w:sz w:val="24"/>
          <w:szCs w:val="24"/>
        </w:rPr>
        <w:t xml:space="preserve"> </w:t>
      </w:r>
      <w:proofErr w:type="spellStart"/>
      <w:r w:rsidR="00A1162E" w:rsidRPr="00A07F29">
        <w:rPr>
          <w:rFonts w:ascii="Times New Roman" w:eastAsia="Calibri" w:hAnsi="Times New Roman" w:cs="Times New Roman"/>
          <w:sz w:val="24"/>
          <w:szCs w:val="24"/>
        </w:rPr>
        <w:t>vaskulāro</w:t>
      </w:r>
      <w:proofErr w:type="spellEnd"/>
      <w:r w:rsidR="00A1162E" w:rsidRPr="00A07F29">
        <w:rPr>
          <w:rFonts w:ascii="Times New Roman" w:eastAsia="Calibri" w:hAnsi="Times New Roman" w:cs="Times New Roman"/>
          <w:sz w:val="24"/>
          <w:szCs w:val="24"/>
        </w:rPr>
        <w:t xml:space="preserve"> augu sugas, </w:t>
      </w:r>
      <w:r w:rsidRPr="00A07F29">
        <w:rPr>
          <w:rFonts w:ascii="Times New Roman" w:eastAsia="Calibri" w:hAnsi="Times New Roman" w:cs="Times New Roman"/>
          <w:sz w:val="24"/>
          <w:szCs w:val="24"/>
        </w:rPr>
        <w:t xml:space="preserve">no kurām </w:t>
      </w:r>
      <w:r w:rsidR="00A1162E" w:rsidRPr="00A07F29">
        <w:rPr>
          <w:rFonts w:ascii="Times New Roman" w:eastAsia="Calibri" w:hAnsi="Times New Roman" w:cs="Times New Roman"/>
          <w:sz w:val="24"/>
          <w:szCs w:val="24"/>
        </w:rPr>
        <w:t>bieži sastopam</w:t>
      </w:r>
      <w:r w:rsidR="0099255B" w:rsidRPr="00A07F29">
        <w:rPr>
          <w:rFonts w:ascii="Times New Roman" w:eastAsia="Calibri" w:hAnsi="Times New Roman" w:cs="Times New Roman"/>
          <w:sz w:val="24"/>
          <w:szCs w:val="24"/>
        </w:rPr>
        <w:t>i</w:t>
      </w:r>
      <w:r w:rsidR="00A1162E" w:rsidRPr="00A07F29">
        <w:rPr>
          <w:rFonts w:ascii="Times New Roman" w:eastAsia="Calibri" w:hAnsi="Times New Roman" w:cs="Times New Roman"/>
          <w:sz w:val="24"/>
          <w:szCs w:val="24"/>
        </w:rPr>
        <w:t xml:space="preserve"> un audzes veido</w:t>
      </w:r>
      <w:r w:rsidRPr="00A07F29">
        <w:rPr>
          <w:rFonts w:ascii="Times New Roman" w:eastAsia="Calibri" w:hAnsi="Times New Roman" w:cs="Times New Roman"/>
          <w:sz w:val="24"/>
          <w:szCs w:val="24"/>
        </w:rPr>
        <w:t xml:space="preserve"> </w:t>
      </w:r>
      <w:r w:rsidR="0099255B" w:rsidRPr="00A07F29">
        <w:rPr>
          <w:rFonts w:ascii="Times New Roman" w:eastAsia="Calibri" w:hAnsi="Times New Roman" w:cs="Times New Roman"/>
          <w:iCs/>
          <w:sz w:val="24"/>
          <w:szCs w:val="24"/>
        </w:rPr>
        <w:t xml:space="preserve">meža meldrs </w:t>
      </w:r>
      <w:proofErr w:type="spellStart"/>
      <w:r w:rsidR="0099255B" w:rsidRPr="00A07F29">
        <w:rPr>
          <w:rFonts w:ascii="Times New Roman" w:eastAsia="Calibri" w:hAnsi="Times New Roman" w:cs="Times New Roman"/>
          <w:i/>
          <w:iCs/>
          <w:sz w:val="24"/>
          <w:szCs w:val="24"/>
        </w:rPr>
        <w:t>Scirpus</w:t>
      </w:r>
      <w:proofErr w:type="spellEnd"/>
      <w:r w:rsidR="0099255B" w:rsidRPr="00A07F29">
        <w:rPr>
          <w:rFonts w:ascii="Times New Roman" w:eastAsia="Calibri" w:hAnsi="Times New Roman" w:cs="Times New Roman"/>
          <w:i/>
          <w:iCs/>
          <w:sz w:val="24"/>
          <w:szCs w:val="24"/>
        </w:rPr>
        <w:t xml:space="preserve"> </w:t>
      </w:r>
      <w:proofErr w:type="spellStart"/>
      <w:r w:rsidR="0099255B" w:rsidRPr="00A07F29">
        <w:rPr>
          <w:rFonts w:ascii="Times New Roman" w:eastAsia="Calibri" w:hAnsi="Times New Roman" w:cs="Times New Roman"/>
          <w:i/>
          <w:iCs/>
          <w:sz w:val="24"/>
          <w:szCs w:val="24"/>
        </w:rPr>
        <w:t>sylvaticus</w:t>
      </w:r>
      <w:proofErr w:type="spellEnd"/>
      <w:r w:rsidR="0099255B" w:rsidRPr="00A07F29">
        <w:rPr>
          <w:rFonts w:ascii="Times New Roman" w:eastAsia="Calibri" w:hAnsi="Times New Roman" w:cs="Times New Roman"/>
          <w:sz w:val="24"/>
          <w:szCs w:val="24"/>
        </w:rPr>
        <w:t xml:space="preserve">, </w:t>
      </w:r>
      <w:r w:rsidR="00A1162E" w:rsidRPr="00A07F29">
        <w:rPr>
          <w:rFonts w:ascii="Times New Roman" w:eastAsia="Calibri" w:hAnsi="Times New Roman" w:cs="Times New Roman"/>
          <w:sz w:val="24"/>
          <w:szCs w:val="24"/>
        </w:rPr>
        <w:t>mazais ūdenszieds</w:t>
      </w:r>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i/>
          <w:iCs/>
          <w:sz w:val="24"/>
          <w:szCs w:val="24"/>
        </w:rPr>
        <w:t>Lemna</w:t>
      </w:r>
      <w:proofErr w:type="spellEnd"/>
      <w:r w:rsidRPr="00A07F29">
        <w:rPr>
          <w:rFonts w:ascii="Times New Roman" w:eastAsia="Calibri" w:hAnsi="Times New Roman" w:cs="Times New Roman"/>
          <w:i/>
          <w:iCs/>
          <w:sz w:val="24"/>
          <w:szCs w:val="24"/>
        </w:rPr>
        <w:t xml:space="preserve"> minor </w:t>
      </w:r>
      <w:r w:rsidRPr="00A07F29">
        <w:rPr>
          <w:rFonts w:ascii="Times New Roman" w:eastAsia="Calibri" w:hAnsi="Times New Roman" w:cs="Times New Roman"/>
          <w:sz w:val="24"/>
          <w:szCs w:val="24"/>
        </w:rPr>
        <w:t xml:space="preserve">un </w:t>
      </w:r>
      <w:r w:rsidR="00A1162E" w:rsidRPr="00A07F29">
        <w:rPr>
          <w:rFonts w:ascii="Times New Roman" w:eastAsia="Calibri" w:hAnsi="Times New Roman" w:cs="Times New Roman"/>
          <w:sz w:val="24"/>
          <w:szCs w:val="24"/>
        </w:rPr>
        <w:t xml:space="preserve">parastā </w:t>
      </w:r>
      <w:proofErr w:type="spellStart"/>
      <w:r w:rsidR="00A1162E" w:rsidRPr="00A07F29">
        <w:rPr>
          <w:rFonts w:ascii="Times New Roman" w:eastAsia="Calibri" w:hAnsi="Times New Roman" w:cs="Times New Roman"/>
          <w:sz w:val="24"/>
          <w:szCs w:val="24"/>
        </w:rPr>
        <w:t>spirodela</w:t>
      </w:r>
      <w:proofErr w:type="spellEnd"/>
      <w:r w:rsidR="00A1162E"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i/>
          <w:iCs/>
          <w:sz w:val="24"/>
          <w:szCs w:val="24"/>
        </w:rPr>
        <w:t>Spirodela</w:t>
      </w:r>
      <w:proofErr w:type="spellEnd"/>
      <w:r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polyhirza</w:t>
      </w:r>
      <w:proofErr w:type="spellEnd"/>
      <w:r w:rsidR="0099255B" w:rsidRPr="00A07F29">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w:t>
      </w:r>
      <w:r w:rsidR="0099255B" w:rsidRPr="00A07F29">
        <w:rPr>
          <w:rFonts w:ascii="Times New Roman" w:eastAsia="Calibri" w:hAnsi="Times New Roman" w:cs="Times New Roman"/>
          <w:sz w:val="24"/>
          <w:szCs w:val="24"/>
        </w:rPr>
        <w:t xml:space="preserve">Apsekotais posms </w:t>
      </w:r>
      <w:r w:rsidR="00A1162E" w:rsidRPr="00A07F29">
        <w:rPr>
          <w:rFonts w:ascii="Times New Roman" w:eastAsia="Times New Roman" w:hAnsi="Times New Roman" w:cs="Times New Roman"/>
          <w:color w:val="000000" w:themeColor="text1"/>
          <w:sz w:val="24"/>
          <w:szCs w:val="24"/>
        </w:rPr>
        <w:t xml:space="preserve">atbilst biotopa </w:t>
      </w:r>
      <w:r w:rsidR="00A1162E" w:rsidRPr="00A07F29">
        <w:rPr>
          <w:rFonts w:ascii="Times New Roman" w:eastAsia="Times New Roman" w:hAnsi="Times New Roman" w:cs="Times New Roman"/>
          <w:sz w:val="24"/>
          <w:szCs w:val="24"/>
        </w:rPr>
        <w:t>3260</w:t>
      </w:r>
      <w:r w:rsidR="007203DD">
        <w:rPr>
          <w:rFonts w:ascii="Times New Roman" w:eastAsia="Times New Roman" w:hAnsi="Times New Roman" w:cs="Times New Roman"/>
          <w:sz w:val="24"/>
          <w:szCs w:val="24"/>
        </w:rPr>
        <w:t> </w:t>
      </w:r>
      <w:r w:rsidR="00A1162E" w:rsidRPr="00A07F29">
        <w:rPr>
          <w:rFonts w:ascii="Times New Roman" w:eastAsia="Times New Roman" w:hAnsi="Times New Roman" w:cs="Times New Roman"/>
          <w:i/>
          <w:sz w:val="24"/>
          <w:szCs w:val="24"/>
        </w:rPr>
        <w:t>Upju straujteces un dabiski upju posmi</w:t>
      </w:r>
      <w:r w:rsidR="00A1162E" w:rsidRPr="00A07F29">
        <w:rPr>
          <w:rFonts w:ascii="Times New Roman" w:eastAsia="Times New Roman" w:hAnsi="Times New Roman" w:cs="Times New Roman"/>
          <w:sz w:val="24"/>
          <w:szCs w:val="24"/>
        </w:rPr>
        <w:t xml:space="preserve"> 2. variantam</w:t>
      </w:r>
      <w:r w:rsidR="0099255B" w:rsidRPr="00A07F29">
        <w:rPr>
          <w:rFonts w:ascii="Times New Roman" w:eastAsia="Times New Roman" w:hAnsi="Times New Roman" w:cs="Times New Roman"/>
          <w:sz w:val="24"/>
          <w:szCs w:val="24"/>
        </w:rPr>
        <w:t xml:space="preserve"> </w:t>
      </w:r>
      <w:r w:rsidR="001F2842" w:rsidRPr="00A07F29">
        <w:rPr>
          <w:rFonts w:ascii="Times New Roman" w:eastAsia="Calibri" w:hAnsi="Times New Roman" w:cs="Times New Roman"/>
          <w:bCs/>
          <w:sz w:val="24"/>
          <w:szCs w:val="24"/>
        </w:rPr>
        <w:t xml:space="preserve">(lēni tekošās upes) </w:t>
      </w:r>
      <w:r w:rsidR="0099255B" w:rsidRPr="00A07F29">
        <w:rPr>
          <w:rFonts w:ascii="Times New Roman" w:eastAsia="Times New Roman" w:hAnsi="Times New Roman" w:cs="Times New Roman"/>
          <w:sz w:val="24"/>
          <w:szCs w:val="24"/>
        </w:rPr>
        <w:t>ar labu kvalitāti.</w:t>
      </w:r>
    </w:p>
    <w:p w14:paraId="4722C197" w14:textId="2A85D713" w:rsidR="00A354FB" w:rsidRPr="00A07F29" w:rsidRDefault="00EF082F" w:rsidP="0064097F">
      <w:pPr>
        <w:spacing w:after="120" w:line="240" w:lineRule="auto"/>
        <w:ind w:firstLine="851"/>
        <w:jc w:val="both"/>
        <w:rPr>
          <w:rFonts w:ascii="Times New Roman" w:eastAsia="Calibri" w:hAnsi="Times New Roman" w:cs="Times New Roman"/>
          <w:sz w:val="24"/>
          <w:szCs w:val="24"/>
        </w:rPr>
      </w:pPr>
      <w:proofErr w:type="spellStart"/>
      <w:r w:rsidRPr="00A07F29">
        <w:rPr>
          <w:rFonts w:ascii="Times New Roman" w:eastAsia="Calibri" w:hAnsi="Times New Roman" w:cs="Times New Roman"/>
          <w:b/>
          <w:bCs/>
          <w:sz w:val="24"/>
          <w:szCs w:val="24"/>
        </w:rPr>
        <w:t>Markupīte</w:t>
      </w:r>
      <w:proofErr w:type="spellEnd"/>
      <w:r w:rsidRPr="00A07F29">
        <w:rPr>
          <w:rFonts w:ascii="Times New Roman" w:eastAsia="Calibri" w:hAnsi="Times New Roman" w:cs="Times New Roman"/>
          <w:bCs/>
          <w:sz w:val="24"/>
          <w:szCs w:val="24"/>
        </w:rPr>
        <w:t xml:space="preserve"> </w:t>
      </w:r>
      <w:r w:rsidR="0099255B" w:rsidRPr="00A07F29">
        <w:rPr>
          <w:rFonts w:ascii="Times New Roman" w:eastAsia="Calibri" w:hAnsi="Times New Roman" w:cs="Times New Roman"/>
          <w:bCs/>
          <w:sz w:val="24"/>
          <w:szCs w:val="24"/>
        </w:rPr>
        <w:t xml:space="preserve">ir sekla, strauji tekoša </w:t>
      </w:r>
      <w:r w:rsidR="00875929" w:rsidRPr="00A07F29">
        <w:rPr>
          <w:rFonts w:ascii="Times New Roman" w:eastAsia="Calibri" w:hAnsi="Times New Roman" w:cs="Times New Roman"/>
          <w:bCs/>
          <w:sz w:val="24"/>
          <w:szCs w:val="24"/>
        </w:rPr>
        <w:t xml:space="preserve">upe </w:t>
      </w:r>
      <w:r w:rsidR="0099255B" w:rsidRPr="00A07F29">
        <w:rPr>
          <w:rFonts w:ascii="Times New Roman" w:eastAsia="Calibri" w:hAnsi="Times New Roman" w:cs="Times New Roman"/>
          <w:bCs/>
          <w:sz w:val="24"/>
          <w:szCs w:val="24"/>
        </w:rPr>
        <w:t>un atbilst biotopa 3260</w:t>
      </w:r>
      <w:r w:rsidR="00916716">
        <w:rPr>
          <w:rFonts w:ascii="Times New Roman" w:eastAsia="Calibri" w:hAnsi="Times New Roman" w:cs="Times New Roman"/>
          <w:bCs/>
          <w:sz w:val="24"/>
          <w:szCs w:val="24"/>
        </w:rPr>
        <w:t> </w:t>
      </w:r>
      <w:r w:rsidR="0099255B" w:rsidRPr="00A07F29">
        <w:rPr>
          <w:rFonts w:ascii="Times New Roman" w:eastAsia="Calibri" w:hAnsi="Times New Roman" w:cs="Times New Roman"/>
          <w:bCs/>
          <w:i/>
          <w:sz w:val="24"/>
          <w:szCs w:val="24"/>
        </w:rPr>
        <w:t>Upju straujteces un dabiski upju posmi</w:t>
      </w:r>
      <w:r w:rsidR="0099255B" w:rsidRPr="00A07F29">
        <w:rPr>
          <w:rFonts w:ascii="Times New Roman" w:eastAsia="Calibri" w:hAnsi="Times New Roman" w:cs="Times New Roman"/>
          <w:bCs/>
          <w:sz w:val="24"/>
          <w:szCs w:val="24"/>
        </w:rPr>
        <w:t xml:space="preserve"> 1.</w:t>
      </w:r>
      <w:r w:rsidR="00916716">
        <w:rPr>
          <w:rFonts w:ascii="Times New Roman" w:eastAsia="Calibri" w:hAnsi="Times New Roman" w:cs="Times New Roman"/>
          <w:bCs/>
          <w:sz w:val="24"/>
          <w:szCs w:val="24"/>
        </w:rPr>
        <w:t> </w:t>
      </w:r>
      <w:r w:rsidR="0099255B" w:rsidRPr="00A07F29">
        <w:rPr>
          <w:rFonts w:ascii="Times New Roman" w:eastAsia="Calibri" w:hAnsi="Times New Roman" w:cs="Times New Roman"/>
          <w:bCs/>
          <w:sz w:val="24"/>
          <w:szCs w:val="24"/>
        </w:rPr>
        <w:t xml:space="preserve">variantam. </w:t>
      </w:r>
      <w:r w:rsidR="0064097F" w:rsidRPr="00A07F29">
        <w:rPr>
          <w:rFonts w:ascii="Times New Roman" w:eastAsia="Calibri" w:hAnsi="Times New Roman" w:cs="Times New Roman"/>
          <w:bCs/>
          <w:sz w:val="24"/>
          <w:szCs w:val="24"/>
        </w:rPr>
        <w:t>Apsekotā posma krastos dominē apaugums ar kokiem</w:t>
      </w:r>
      <w:r w:rsidR="00875929" w:rsidRPr="00A07F29">
        <w:rPr>
          <w:rFonts w:ascii="Times New Roman" w:eastAsia="Calibri" w:hAnsi="Times New Roman" w:cs="Times New Roman"/>
          <w:bCs/>
          <w:sz w:val="24"/>
          <w:szCs w:val="24"/>
        </w:rPr>
        <w:t xml:space="preserve">, </w:t>
      </w:r>
      <w:r w:rsidR="0064097F" w:rsidRPr="00A07F29">
        <w:rPr>
          <w:rFonts w:ascii="Times New Roman" w:eastAsia="Calibri" w:hAnsi="Times New Roman" w:cs="Times New Roman"/>
          <w:bCs/>
          <w:sz w:val="24"/>
          <w:szCs w:val="24"/>
        </w:rPr>
        <w:t>k</w:t>
      </w:r>
      <w:r w:rsidR="00A354FB" w:rsidRPr="00A07F29">
        <w:rPr>
          <w:rFonts w:ascii="Times New Roman" w:eastAsia="Calibri" w:hAnsi="Times New Roman" w:cs="Times New Roman"/>
          <w:sz w:val="24"/>
          <w:szCs w:val="24"/>
        </w:rPr>
        <w:t>oku lapotne 400</w:t>
      </w:r>
      <w:r w:rsidR="00001FF2" w:rsidRPr="00A07F29">
        <w:rPr>
          <w:rFonts w:ascii="Times New Roman" w:eastAsia="Calibri" w:hAnsi="Times New Roman" w:cs="Times New Roman"/>
          <w:sz w:val="24"/>
          <w:szCs w:val="24"/>
        </w:rPr>
        <w:t> </w:t>
      </w:r>
      <w:r w:rsidR="00A354FB" w:rsidRPr="00A07F29">
        <w:rPr>
          <w:rFonts w:ascii="Times New Roman" w:eastAsia="Calibri" w:hAnsi="Times New Roman" w:cs="Times New Roman"/>
          <w:sz w:val="24"/>
          <w:szCs w:val="24"/>
        </w:rPr>
        <w:t>m posmā saslēgusies</w:t>
      </w:r>
      <w:r w:rsidR="00875929" w:rsidRPr="00A07F29">
        <w:rPr>
          <w:rFonts w:ascii="Times New Roman" w:eastAsia="Calibri" w:hAnsi="Times New Roman" w:cs="Times New Roman"/>
          <w:sz w:val="24"/>
          <w:szCs w:val="24"/>
        </w:rPr>
        <w:t xml:space="preserve"> un vēlama </w:t>
      </w:r>
      <w:r w:rsidR="00A354FB" w:rsidRPr="00A07F29">
        <w:rPr>
          <w:rFonts w:ascii="Times New Roman" w:eastAsia="Calibri" w:hAnsi="Times New Roman" w:cs="Times New Roman"/>
          <w:sz w:val="24"/>
          <w:szCs w:val="24"/>
        </w:rPr>
        <w:t>noēnojuma samazināšana.</w:t>
      </w:r>
      <w:r w:rsidR="45CF753A" w:rsidRPr="00A07F29">
        <w:rPr>
          <w:rFonts w:ascii="Times New Roman" w:eastAsia="Calibri" w:hAnsi="Times New Roman" w:cs="Times New Roman"/>
          <w:sz w:val="24"/>
          <w:szCs w:val="24"/>
        </w:rPr>
        <w:t xml:space="preserve"> </w:t>
      </w:r>
      <w:r w:rsidR="0099255B" w:rsidRPr="00A07F29">
        <w:rPr>
          <w:rFonts w:ascii="Times New Roman" w:eastAsia="Calibri" w:hAnsi="Times New Roman" w:cs="Times New Roman"/>
          <w:sz w:val="24"/>
          <w:szCs w:val="24"/>
        </w:rPr>
        <w:t xml:space="preserve">Konstatētas </w:t>
      </w:r>
      <w:r w:rsidR="004E4BE6">
        <w:rPr>
          <w:rFonts w:ascii="Times New Roman" w:eastAsia="Calibri" w:hAnsi="Times New Roman" w:cs="Times New Roman"/>
          <w:sz w:val="24"/>
          <w:szCs w:val="24"/>
        </w:rPr>
        <w:t>septiņas</w:t>
      </w:r>
      <w:r w:rsidR="0099255B" w:rsidRPr="00A07F29">
        <w:rPr>
          <w:rFonts w:ascii="Times New Roman" w:eastAsia="Calibri" w:hAnsi="Times New Roman" w:cs="Times New Roman"/>
          <w:sz w:val="24"/>
          <w:szCs w:val="24"/>
        </w:rPr>
        <w:t xml:space="preserve"> iegrimušo </w:t>
      </w:r>
      <w:r w:rsidR="00A354FB" w:rsidRPr="00A07F29">
        <w:rPr>
          <w:rFonts w:ascii="Times New Roman" w:eastAsia="Calibri" w:hAnsi="Times New Roman" w:cs="Times New Roman"/>
          <w:sz w:val="24"/>
          <w:szCs w:val="24"/>
        </w:rPr>
        <w:t xml:space="preserve">un </w:t>
      </w:r>
      <w:proofErr w:type="spellStart"/>
      <w:r w:rsidR="00A354FB" w:rsidRPr="00A07F29">
        <w:rPr>
          <w:rFonts w:ascii="Times New Roman" w:eastAsia="Calibri" w:hAnsi="Times New Roman" w:cs="Times New Roman"/>
          <w:sz w:val="24"/>
          <w:szCs w:val="24"/>
        </w:rPr>
        <w:t>virsūdens</w:t>
      </w:r>
      <w:proofErr w:type="spellEnd"/>
      <w:r w:rsidR="00A354FB" w:rsidRPr="00A07F29">
        <w:rPr>
          <w:rFonts w:ascii="Times New Roman" w:eastAsia="Calibri" w:hAnsi="Times New Roman" w:cs="Times New Roman"/>
          <w:sz w:val="24"/>
          <w:szCs w:val="24"/>
        </w:rPr>
        <w:t xml:space="preserve"> aug</w:t>
      </w:r>
      <w:r w:rsidR="0099255B" w:rsidRPr="00A07F29">
        <w:rPr>
          <w:rFonts w:ascii="Times New Roman" w:eastAsia="Calibri" w:hAnsi="Times New Roman" w:cs="Times New Roman"/>
          <w:sz w:val="24"/>
          <w:szCs w:val="24"/>
        </w:rPr>
        <w:t>u sugas</w:t>
      </w:r>
      <w:r w:rsidR="00A354FB" w:rsidRPr="00A07F29">
        <w:rPr>
          <w:rFonts w:ascii="Times New Roman" w:eastAsia="Calibri" w:hAnsi="Times New Roman" w:cs="Times New Roman"/>
          <w:sz w:val="24"/>
          <w:szCs w:val="24"/>
        </w:rPr>
        <w:t xml:space="preserve">, no kurām </w:t>
      </w:r>
      <w:r w:rsidR="0099255B" w:rsidRPr="00A07F29">
        <w:rPr>
          <w:rFonts w:ascii="Times New Roman" w:eastAsia="Calibri" w:hAnsi="Times New Roman" w:cs="Times New Roman"/>
          <w:sz w:val="24"/>
          <w:szCs w:val="24"/>
        </w:rPr>
        <w:t xml:space="preserve">visbiežāk sastopams parastais </w:t>
      </w:r>
      <w:proofErr w:type="spellStart"/>
      <w:r w:rsidR="0099255B" w:rsidRPr="00A07F29">
        <w:rPr>
          <w:rFonts w:ascii="Times New Roman" w:eastAsia="Calibri" w:hAnsi="Times New Roman" w:cs="Times New Roman"/>
          <w:sz w:val="24"/>
          <w:szCs w:val="24"/>
        </w:rPr>
        <w:t>miežubrālis</w:t>
      </w:r>
      <w:proofErr w:type="spellEnd"/>
      <w:r w:rsidR="0099255B" w:rsidRPr="00A07F29">
        <w:rPr>
          <w:rFonts w:ascii="Times New Roman" w:eastAsia="Calibri" w:hAnsi="Times New Roman" w:cs="Times New Roman"/>
          <w:sz w:val="24"/>
          <w:szCs w:val="24"/>
        </w:rPr>
        <w:t xml:space="preserve"> </w:t>
      </w:r>
      <w:proofErr w:type="spellStart"/>
      <w:r w:rsidR="00A354FB" w:rsidRPr="00A07F29">
        <w:rPr>
          <w:rFonts w:ascii="Times New Roman" w:eastAsia="Times New Roman" w:hAnsi="Times New Roman" w:cs="Times New Roman"/>
          <w:i/>
          <w:iCs/>
          <w:color w:val="000000" w:themeColor="text1"/>
          <w:sz w:val="24"/>
          <w:szCs w:val="24"/>
        </w:rPr>
        <w:t>Phalaroides</w:t>
      </w:r>
      <w:proofErr w:type="spellEnd"/>
      <w:r w:rsidR="00A354FB" w:rsidRPr="00A07F29">
        <w:rPr>
          <w:rFonts w:ascii="Times New Roman" w:eastAsia="Times New Roman" w:hAnsi="Times New Roman" w:cs="Times New Roman"/>
          <w:i/>
          <w:iCs/>
          <w:color w:val="000000" w:themeColor="text1"/>
          <w:sz w:val="24"/>
          <w:szCs w:val="24"/>
        </w:rPr>
        <w:t xml:space="preserve"> </w:t>
      </w:r>
      <w:proofErr w:type="spellStart"/>
      <w:r w:rsidR="00A354FB" w:rsidRPr="00A07F29">
        <w:rPr>
          <w:rFonts w:ascii="Times New Roman" w:eastAsia="Times New Roman" w:hAnsi="Times New Roman" w:cs="Times New Roman"/>
          <w:i/>
          <w:iCs/>
          <w:color w:val="000000" w:themeColor="text1"/>
          <w:sz w:val="24"/>
          <w:szCs w:val="24"/>
        </w:rPr>
        <w:t>arundinacea</w:t>
      </w:r>
      <w:proofErr w:type="spellEnd"/>
      <w:r w:rsidR="00A354FB" w:rsidRPr="00A07F29">
        <w:rPr>
          <w:rFonts w:ascii="Times New Roman" w:eastAsia="Times New Roman" w:hAnsi="Times New Roman" w:cs="Times New Roman"/>
          <w:i/>
          <w:iCs/>
          <w:color w:val="000000" w:themeColor="text1"/>
          <w:sz w:val="24"/>
          <w:szCs w:val="24"/>
        </w:rPr>
        <w:t xml:space="preserve">, </w:t>
      </w:r>
      <w:r w:rsidR="0099255B" w:rsidRPr="00A07F29">
        <w:rPr>
          <w:rFonts w:ascii="Times New Roman" w:eastAsia="Times New Roman" w:hAnsi="Times New Roman" w:cs="Times New Roman"/>
          <w:iCs/>
          <w:color w:val="000000" w:themeColor="text1"/>
          <w:sz w:val="24"/>
          <w:szCs w:val="24"/>
        </w:rPr>
        <w:t xml:space="preserve">meža meldrs </w:t>
      </w:r>
      <w:proofErr w:type="spellStart"/>
      <w:r w:rsidR="00A354FB" w:rsidRPr="00A07F29">
        <w:rPr>
          <w:rFonts w:ascii="Times New Roman" w:eastAsia="Times New Roman" w:hAnsi="Times New Roman" w:cs="Times New Roman"/>
          <w:i/>
          <w:iCs/>
          <w:color w:val="000000" w:themeColor="text1"/>
          <w:sz w:val="24"/>
          <w:szCs w:val="24"/>
        </w:rPr>
        <w:t>Scirpus</w:t>
      </w:r>
      <w:proofErr w:type="spellEnd"/>
      <w:r w:rsidR="00A354FB" w:rsidRPr="00A07F29">
        <w:rPr>
          <w:rFonts w:ascii="Times New Roman" w:eastAsia="Times New Roman" w:hAnsi="Times New Roman" w:cs="Times New Roman"/>
          <w:i/>
          <w:iCs/>
          <w:color w:val="000000" w:themeColor="text1"/>
          <w:sz w:val="24"/>
          <w:szCs w:val="24"/>
        </w:rPr>
        <w:t xml:space="preserve"> </w:t>
      </w:r>
      <w:proofErr w:type="spellStart"/>
      <w:r w:rsidR="00A354FB" w:rsidRPr="00A07F29">
        <w:rPr>
          <w:rFonts w:ascii="Times New Roman" w:eastAsia="Times New Roman" w:hAnsi="Times New Roman" w:cs="Times New Roman"/>
          <w:i/>
          <w:iCs/>
          <w:color w:val="000000" w:themeColor="text1"/>
          <w:sz w:val="24"/>
          <w:szCs w:val="24"/>
        </w:rPr>
        <w:t>silvaticus</w:t>
      </w:r>
      <w:proofErr w:type="spellEnd"/>
      <w:r w:rsidR="00A354FB" w:rsidRPr="00A07F29">
        <w:rPr>
          <w:rFonts w:ascii="Times New Roman" w:eastAsia="Times New Roman" w:hAnsi="Times New Roman" w:cs="Times New Roman"/>
          <w:iCs/>
          <w:color w:val="000000" w:themeColor="text1"/>
          <w:sz w:val="24"/>
          <w:szCs w:val="24"/>
        </w:rPr>
        <w:t xml:space="preserve"> un</w:t>
      </w:r>
      <w:r w:rsidR="00875929" w:rsidRPr="00A07F29">
        <w:rPr>
          <w:rFonts w:ascii="Times New Roman" w:eastAsia="Times New Roman" w:hAnsi="Times New Roman" w:cs="Times New Roman"/>
          <w:iCs/>
          <w:color w:val="000000" w:themeColor="text1"/>
          <w:sz w:val="24"/>
          <w:szCs w:val="24"/>
        </w:rPr>
        <w:t xml:space="preserve"> ežgalvītes</w:t>
      </w:r>
      <w:r w:rsidR="00A354FB" w:rsidRPr="00A07F29">
        <w:rPr>
          <w:rFonts w:ascii="Times New Roman" w:eastAsia="Times New Roman" w:hAnsi="Times New Roman" w:cs="Times New Roman"/>
          <w:i/>
          <w:iCs/>
          <w:color w:val="000000" w:themeColor="text1"/>
          <w:sz w:val="24"/>
          <w:szCs w:val="24"/>
        </w:rPr>
        <w:t xml:space="preserve"> </w:t>
      </w:r>
      <w:proofErr w:type="spellStart"/>
      <w:r w:rsidR="00A354FB" w:rsidRPr="00A07F29">
        <w:rPr>
          <w:rFonts w:ascii="Times New Roman" w:eastAsia="Times New Roman" w:hAnsi="Times New Roman" w:cs="Times New Roman"/>
          <w:i/>
          <w:iCs/>
          <w:color w:val="000000" w:themeColor="text1"/>
          <w:sz w:val="24"/>
          <w:szCs w:val="24"/>
        </w:rPr>
        <w:t>Sparganium</w:t>
      </w:r>
      <w:proofErr w:type="spellEnd"/>
      <w:r w:rsidR="00A354FB" w:rsidRPr="00A07F29">
        <w:rPr>
          <w:rFonts w:ascii="Times New Roman" w:eastAsia="Times New Roman" w:hAnsi="Times New Roman" w:cs="Times New Roman"/>
          <w:i/>
          <w:iCs/>
          <w:color w:val="000000" w:themeColor="text1"/>
          <w:sz w:val="24"/>
          <w:szCs w:val="24"/>
        </w:rPr>
        <w:t xml:space="preserve"> </w:t>
      </w:r>
      <w:proofErr w:type="spellStart"/>
      <w:r w:rsidR="00A354FB" w:rsidRPr="00A07F29">
        <w:rPr>
          <w:rFonts w:ascii="Times New Roman" w:eastAsia="Times New Roman" w:hAnsi="Times New Roman" w:cs="Times New Roman"/>
          <w:i/>
          <w:iCs/>
          <w:color w:val="000000" w:themeColor="text1"/>
          <w:sz w:val="24"/>
          <w:szCs w:val="24"/>
        </w:rPr>
        <w:t>sp</w:t>
      </w:r>
      <w:proofErr w:type="spellEnd"/>
      <w:r w:rsidR="00A354FB" w:rsidRPr="00A07F29">
        <w:rPr>
          <w:rFonts w:ascii="Times New Roman" w:eastAsia="Times New Roman" w:hAnsi="Times New Roman" w:cs="Times New Roman"/>
          <w:color w:val="000000" w:themeColor="text1"/>
          <w:sz w:val="24"/>
          <w:szCs w:val="24"/>
        </w:rPr>
        <w:t xml:space="preserve">. </w:t>
      </w:r>
      <w:r w:rsidR="00875929" w:rsidRPr="00A07F29">
        <w:rPr>
          <w:rFonts w:ascii="Times New Roman" w:eastAsia="Calibri" w:hAnsi="Times New Roman" w:cs="Times New Roman"/>
          <w:sz w:val="24"/>
          <w:szCs w:val="24"/>
        </w:rPr>
        <w:t xml:space="preserve">Konstatēti arī nelieli zaru sanesumi. </w:t>
      </w:r>
      <w:r w:rsidR="00A354FB" w:rsidRPr="00A07F29">
        <w:rPr>
          <w:rFonts w:ascii="Times New Roman" w:eastAsia="Times New Roman" w:hAnsi="Times New Roman" w:cs="Times New Roman"/>
          <w:color w:val="000000" w:themeColor="text1"/>
          <w:sz w:val="24"/>
          <w:szCs w:val="24"/>
        </w:rPr>
        <w:t>Upes biotopa kopējā kvalitāte vērtēta kā vidēja.</w:t>
      </w:r>
    </w:p>
    <w:p w14:paraId="6D78CF8D" w14:textId="26A6D6F9" w:rsidR="002B69C3" w:rsidRPr="00A07F29" w:rsidRDefault="009A2B82" w:rsidP="002B69C3">
      <w:pPr>
        <w:spacing w:after="120" w:line="240" w:lineRule="auto"/>
        <w:ind w:firstLine="851"/>
        <w:jc w:val="both"/>
        <w:rPr>
          <w:rFonts w:ascii="Times New Roman" w:eastAsia="Times New Roman" w:hAnsi="Times New Roman" w:cs="Times New Roman"/>
          <w:color w:val="000000" w:themeColor="text1"/>
          <w:sz w:val="24"/>
          <w:szCs w:val="24"/>
          <w:lang w:eastAsia="ja-JP"/>
        </w:rPr>
      </w:pPr>
      <w:proofErr w:type="spellStart"/>
      <w:r w:rsidRPr="00A07F29">
        <w:rPr>
          <w:rFonts w:ascii="Times New Roman" w:eastAsia="Calibri" w:hAnsi="Times New Roman" w:cs="Times New Roman"/>
          <w:b/>
          <w:bCs/>
          <w:sz w:val="24"/>
          <w:szCs w:val="24"/>
        </w:rPr>
        <w:t>Indrica</w:t>
      </w:r>
      <w:proofErr w:type="spellEnd"/>
      <w:r w:rsidRPr="00A07F29">
        <w:rPr>
          <w:rFonts w:ascii="Times New Roman" w:eastAsia="Calibri" w:hAnsi="Times New Roman" w:cs="Times New Roman"/>
          <w:sz w:val="24"/>
          <w:szCs w:val="24"/>
        </w:rPr>
        <w:t xml:space="preserve"> sākas kā vairāki novadgrāvji augšpus nolaistā </w:t>
      </w:r>
      <w:proofErr w:type="spellStart"/>
      <w:r w:rsidRPr="00A07F29">
        <w:rPr>
          <w:rFonts w:ascii="Times New Roman" w:eastAsia="Calibri" w:hAnsi="Times New Roman" w:cs="Times New Roman"/>
          <w:sz w:val="24"/>
          <w:szCs w:val="24"/>
        </w:rPr>
        <w:t>Zaguzes</w:t>
      </w:r>
      <w:proofErr w:type="spellEnd"/>
      <w:r w:rsidRPr="00A07F29">
        <w:rPr>
          <w:rFonts w:ascii="Times New Roman" w:eastAsia="Calibri" w:hAnsi="Times New Roman" w:cs="Times New Roman"/>
          <w:sz w:val="24"/>
          <w:szCs w:val="24"/>
        </w:rPr>
        <w:t xml:space="preserve"> ezera</w:t>
      </w:r>
      <w:r w:rsidR="00875929" w:rsidRPr="00A07F29">
        <w:rPr>
          <w:rFonts w:ascii="Times New Roman" w:eastAsia="Calibri" w:hAnsi="Times New Roman" w:cs="Times New Roman"/>
          <w:sz w:val="24"/>
          <w:szCs w:val="24"/>
        </w:rPr>
        <w:t xml:space="preserve"> un </w:t>
      </w:r>
      <w:r w:rsidRPr="00A07F29">
        <w:rPr>
          <w:rFonts w:ascii="Times New Roman" w:eastAsia="Calibri" w:hAnsi="Times New Roman" w:cs="Times New Roman"/>
          <w:sz w:val="24"/>
          <w:szCs w:val="24"/>
        </w:rPr>
        <w:t xml:space="preserve">tek cauri </w:t>
      </w:r>
      <w:proofErr w:type="spellStart"/>
      <w:r w:rsidRPr="00A07F29">
        <w:rPr>
          <w:rFonts w:ascii="Times New Roman" w:eastAsia="Calibri" w:hAnsi="Times New Roman" w:cs="Times New Roman"/>
          <w:sz w:val="24"/>
          <w:szCs w:val="24"/>
        </w:rPr>
        <w:t>Ižūna</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Ildža</w:t>
      </w:r>
      <w:proofErr w:type="spellEnd"/>
      <w:r w:rsidRPr="00A07F29">
        <w:rPr>
          <w:rFonts w:ascii="Times New Roman" w:eastAsia="Calibri" w:hAnsi="Times New Roman" w:cs="Times New Roman"/>
          <w:sz w:val="24"/>
          <w:szCs w:val="24"/>
        </w:rPr>
        <w:t xml:space="preserve"> un Indra ezeriem. Augšpus </w:t>
      </w:r>
      <w:proofErr w:type="spellStart"/>
      <w:r w:rsidRPr="00A07F29">
        <w:rPr>
          <w:rFonts w:ascii="Times New Roman" w:eastAsia="Calibri" w:hAnsi="Times New Roman" w:cs="Times New Roman"/>
          <w:sz w:val="24"/>
          <w:szCs w:val="24"/>
        </w:rPr>
        <w:t>Ildža</w:t>
      </w:r>
      <w:proofErr w:type="spellEnd"/>
      <w:r w:rsidRPr="00A07F29">
        <w:rPr>
          <w:rFonts w:ascii="Times New Roman" w:eastAsia="Calibri" w:hAnsi="Times New Roman" w:cs="Times New Roman"/>
          <w:sz w:val="24"/>
          <w:szCs w:val="24"/>
        </w:rPr>
        <w:t xml:space="preserve"> ezera upes gultne regulēta, lejpus tā – lielākoties dabīga, bet lejtecē ir izteikti līkumota ar kraujiem krastiem</w:t>
      </w:r>
      <w:r w:rsidR="00C3748D">
        <w:rPr>
          <w:rStyle w:val="FootnoteReference"/>
          <w:rFonts w:ascii="Times New Roman" w:eastAsia="Calibri" w:hAnsi="Times New Roman" w:cs="Times New Roman"/>
          <w:sz w:val="24"/>
          <w:szCs w:val="24"/>
        </w:rPr>
        <w:footnoteReference w:id="32"/>
      </w:r>
      <w:r w:rsidRPr="00A07F29">
        <w:rPr>
          <w:rFonts w:ascii="Times New Roman" w:eastAsia="Times New Roman" w:hAnsi="Times New Roman" w:cs="Times New Roman"/>
          <w:color w:val="000000" w:themeColor="text1"/>
          <w:sz w:val="24"/>
          <w:szCs w:val="24"/>
          <w:lang w:eastAsia="ja-JP"/>
        </w:rPr>
        <w:t>.</w:t>
      </w:r>
      <w:r w:rsidR="002B69C3" w:rsidRPr="00A07F29">
        <w:rPr>
          <w:rFonts w:ascii="Times New Roman" w:eastAsia="Times New Roman" w:hAnsi="Times New Roman" w:cs="Times New Roman"/>
          <w:color w:val="000000" w:themeColor="text1"/>
          <w:sz w:val="24"/>
          <w:szCs w:val="24"/>
          <w:lang w:eastAsia="ja-JP"/>
        </w:rPr>
        <w:t xml:space="preserve"> </w:t>
      </w:r>
      <w:r w:rsidRPr="00A07F29">
        <w:rPr>
          <w:rFonts w:ascii="Times New Roman" w:eastAsia="Times New Roman" w:hAnsi="Times New Roman" w:cs="Times New Roman"/>
          <w:color w:val="000000" w:themeColor="text1"/>
          <w:sz w:val="24"/>
          <w:szCs w:val="24"/>
          <w:lang w:eastAsia="ja-JP"/>
        </w:rPr>
        <w:t>Apsekot</w:t>
      </w:r>
      <w:r w:rsidR="00875929" w:rsidRPr="00A07F29">
        <w:rPr>
          <w:rFonts w:ascii="Times New Roman" w:eastAsia="Times New Roman" w:hAnsi="Times New Roman" w:cs="Times New Roman"/>
          <w:color w:val="000000" w:themeColor="text1"/>
          <w:sz w:val="24"/>
          <w:szCs w:val="24"/>
          <w:lang w:eastAsia="ja-JP"/>
        </w:rPr>
        <w:t>aj</w:t>
      </w:r>
      <w:r w:rsidRPr="00A07F29">
        <w:rPr>
          <w:rFonts w:ascii="Times New Roman" w:eastAsia="Times New Roman" w:hAnsi="Times New Roman" w:cs="Times New Roman"/>
          <w:color w:val="000000" w:themeColor="text1"/>
          <w:sz w:val="24"/>
          <w:szCs w:val="24"/>
          <w:lang w:eastAsia="ja-JP"/>
        </w:rPr>
        <w:t xml:space="preserve">ā </w:t>
      </w:r>
      <w:r w:rsidR="00875929" w:rsidRPr="00A07F29">
        <w:rPr>
          <w:rFonts w:ascii="Times New Roman" w:eastAsia="Times New Roman" w:hAnsi="Times New Roman" w:cs="Times New Roman"/>
          <w:color w:val="000000" w:themeColor="text1"/>
          <w:sz w:val="24"/>
          <w:szCs w:val="24"/>
          <w:lang w:eastAsia="ja-JP"/>
        </w:rPr>
        <w:t xml:space="preserve">posmā upes </w:t>
      </w:r>
      <w:r w:rsidRPr="00A07F29">
        <w:rPr>
          <w:rFonts w:ascii="Times New Roman" w:eastAsia="Times New Roman" w:hAnsi="Times New Roman" w:cs="Times New Roman"/>
          <w:color w:val="000000" w:themeColor="text1"/>
          <w:sz w:val="24"/>
          <w:szCs w:val="24"/>
          <w:lang w:eastAsia="ja-JP"/>
        </w:rPr>
        <w:t>platums</w:t>
      </w:r>
      <w:r w:rsidR="00875929" w:rsidRPr="00A07F29">
        <w:rPr>
          <w:rFonts w:ascii="Times New Roman" w:eastAsia="Times New Roman" w:hAnsi="Times New Roman" w:cs="Times New Roman"/>
          <w:color w:val="000000" w:themeColor="text1"/>
          <w:sz w:val="24"/>
          <w:szCs w:val="24"/>
          <w:lang w:eastAsia="ja-JP"/>
        </w:rPr>
        <w:t xml:space="preserve"> ir</w:t>
      </w:r>
      <w:r w:rsidRPr="00A07F29">
        <w:rPr>
          <w:rFonts w:ascii="Times New Roman" w:eastAsia="Times New Roman" w:hAnsi="Times New Roman" w:cs="Times New Roman"/>
          <w:color w:val="000000" w:themeColor="text1"/>
          <w:sz w:val="24"/>
          <w:szCs w:val="24"/>
          <w:lang w:eastAsia="ja-JP"/>
        </w:rPr>
        <w:t xml:space="preserve"> 5</w:t>
      </w:r>
      <w:r w:rsidR="00E8667C">
        <w:rPr>
          <w:rFonts w:ascii="Times New Roman" w:eastAsia="Times New Roman" w:hAnsi="Times New Roman" w:cs="Times New Roman"/>
          <w:color w:val="000000" w:themeColor="text1"/>
          <w:sz w:val="24"/>
          <w:szCs w:val="24"/>
          <w:lang w:eastAsia="ja-JP"/>
        </w:rPr>
        <w:t> – </w:t>
      </w:r>
      <w:r w:rsidRPr="00A07F29">
        <w:rPr>
          <w:rFonts w:ascii="Times New Roman" w:eastAsia="Times New Roman" w:hAnsi="Times New Roman" w:cs="Times New Roman"/>
          <w:color w:val="000000" w:themeColor="text1"/>
          <w:sz w:val="24"/>
          <w:szCs w:val="24"/>
          <w:lang w:eastAsia="ja-JP"/>
        </w:rPr>
        <w:t>10</w:t>
      </w:r>
      <w:r w:rsidR="00E8667C">
        <w:rPr>
          <w:rFonts w:ascii="Times New Roman" w:eastAsia="Times New Roman" w:hAnsi="Times New Roman" w:cs="Times New Roman"/>
          <w:color w:val="000000" w:themeColor="text1"/>
          <w:sz w:val="24"/>
          <w:szCs w:val="24"/>
          <w:lang w:eastAsia="ja-JP"/>
        </w:rPr>
        <w:t> </w:t>
      </w:r>
      <w:r w:rsidRPr="00A07F29">
        <w:rPr>
          <w:rFonts w:ascii="Times New Roman" w:eastAsia="Times New Roman" w:hAnsi="Times New Roman" w:cs="Times New Roman"/>
          <w:color w:val="000000" w:themeColor="text1"/>
          <w:sz w:val="24"/>
          <w:szCs w:val="24"/>
          <w:lang w:eastAsia="ja-JP"/>
        </w:rPr>
        <w:t>m</w:t>
      </w:r>
      <w:r w:rsidR="00D16648" w:rsidRPr="00A07F29">
        <w:rPr>
          <w:rFonts w:ascii="Times New Roman" w:eastAsia="Times New Roman" w:hAnsi="Times New Roman" w:cs="Times New Roman"/>
          <w:color w:val="000000" w:themeColor="text1"/>
          <w:sz w:val="24"/>
          <w:szCs w:val="24"/>
          <w:lang w:eastAsia="ja-JP"/>
        </w:rPr>
        <w:t xml:space="preserve">, upes gultne un krasti ir izteikti dabiski. Lai gan krastos visa posma garumā ir mežs un koku apaugums, </w:t>
      </w:r>
      <w:r w:rsidRPr="00A07F29">
        <w:rPr>
          <w:rFonts w:ascii="Times New Roman" w:eastAsia="Times New Roman" w:hAnsi="Times New Roman" w:cs="Times New Roman"/>
          <w:color w:val="000000" w:themeColor="text1"/>
          <w:sz w:val="24"/>
          <w:szCs w:val="24"/>
          <w:lang w:eastAsia="ja-JP"/>
        </w:rPr>
        <w:t xml:space="preserve">tomēr upes </w:t>
      </w:r>
      <w:r w:rsidR="00D16648" w:rsidRPr="00A07F29">
        <w:rPr>
          <w:rFonts w:ascii="Times New Roman" w:eastAsia="Times New Roman" w:hAnsi="Times New Roman" w:cs="Times New Roman"/>
          <w:color w:val="000000" w:themeColor="text1"/>
          <w:sz w:val="24"/>
          <w:szCs w:val="24"/>
          <w:lang w:eastAsia="ja-JP"/>
        </w:rPr>
        <w:t xml:space="preserve">noēnojums </w:t>
      </w:r>
      <w:r w:rsidRPr="00A07F29">
        <w:rPr>
          <w:rFonts w:ascii="Times New Roman" w:eastAsia="Times New Roman" w:hAnsi="Times New Roman" w:cs="Times New Roman"/>
          <w:color w:val="000000" w:themeColor="text1"/>
          <w:sz w:val="24"/>
          <w:szCs w:val="24"/>
          <w:lang w:eastAsia="ja-JP"/>
        </w:rPr>
        <w:t xml:space="preserve">ir ļoti neliels. Kopējais </w:t>
      </w:r>
      <w:proofErr w:type="spellStart"/>
      <w:r w:rsidRPr="00A07F29">
        <w:rPr>
          <w:rFonts w:ascii="Times New Roman" w:eastAsia="Times New Roman" w:hAnsi="Times New Roman" w:cs="Times New Roman"/>
          <w:color w:val="000000" w:themeColor="text1"/>
          <w:sz w:val="24"/>
          <w:szCs w:val="24"/>
          <w:lang w:eastAsia="ja-JP"/>
        </w:rPr>
        <w:t>aizaugums</w:t>
      </w:r>
      <w:proofErr w:type="spellEnd"/>
      <w:r w:rsidRPr="00A07F29">
        <w:rPr>
          <w:rFonts w:ascii="Times New Roman" w:eastAsia="Times New Roman" w:hAnsi="Times New Roman" w:cs="Times New Roman"/>
          <w:color w:val="000000" w:themeColor="text1"/>
          <w:sz w:val="24"/>
          <w:szCs w:val="24"/>
          <w:lang w:eastAsia="ja-JP"/>
        </w:rPr>
        <w:t xml:space="preserve"> ar </w:t>
      </w:r>
      <w:proofErr w:type="spellStart"/>
      <w:r w:rsidRPr="00A07F29">
        <w:rPr>
          <w:rFonts w:ascii="Times New Roman" w:eastAsia="Times New Roman" w:hAnsi="Times New Roman" w:cs="Times New Roman"/>
          <w:color w:val="000000" w:themeColor="text1"/>
          <w:sz w:val="24"/>
          <w:szCs w:val="24"/>
          <w:lang w:eastAsia="ja-JP"/>
        </w:rPr>
        <w:t>makrofītiem</w:t>
      </w:r>
      <w:proofErr w:type="spellEnd"/>
      <w:r w:rsidRPr="00A07F29">
        <w:rPr>
          <w:rFonts w:ascii="Times New Roman" w:eastAsia="Times New Roman" w:hAnsi="Times New Roman" w:cs="Times New Roman"/>
          <w:color w:val="000000" w:themeColor="text1"/>
          <w:sz w:val="24"/>
          <w:szCs w:val="24"/>
          <w:lang w:eastAsia="ja-JP"/>
        </w:rPr>
        <w:t xml:space="preserve"> </w:t>
      </w:r>
      <w:r w:rsidR="00D16648" w:rsidRPr="00A07F29">
        <w:rPr>
          <w:rFonts w:ascii="Times New Roman" w:eastAsia="Times New Roman" w:hAnsi="Times New Roman" w:cs="Times New Roman"/>
          <w:color w:val="000000" w:themeColor="text1"/>
          <w:sz w:val="24"/>
          <w:szCs w:val="24"/>
          <w:lang w:eastAsia="ja-JP"/>
        </w:rPr>
        <w:t xml:space="preserve">ir </w:t>
      </w:r>
      <w:r w:rsidRPr="00A07F29">
        <w:rPr>
          <w:rFonts w:ascii="Times New Roman" w:eastAsia="Times New Roman" w:hAnsi="Times New Roman" w:cs="Times New Roman"/>
          <w:color w:val="000000" w:themeColor="text1"/>
          <w:sz w:val="24"/>
          <w:szCs w:val="24"/>
          <w:lang w:eastAsia="ja-JP"/>
        </w:rPr>
        <w:t>40</w:t>
      </w:r>
      <w:r w:rsidR="004C0F9D">
        <w:rPr>
          <w:rFonts w:ascii="Times New Roman" w:eastAsia="Times New Roman" w:hAnsi="Times New Roman" w:cs="Times New Roman"/>
          <w:color w:val="000000" w:themeColor="text1"/>
          <w:sz w:val="24"/>
          <w:szCs w:val="24"/>
          <w:lang w:eastAsia="ja-JP"/>
        </w:rPr>
        <w:t> </w:t>
      </w:r>
      <w:r w:rsidRPr="00A07F29">
        <w:rPr>
          <w:rFonts w:ascii="Times New Roman" w:eastAsia="Times New Roman" w:hAnsi="Times New Roman" w:cs="Times New Roman"/>
          <w:color w:val="000000" w:themeColor="text1"/>
          <w:sz w:val="24"/>
          <w:szCs w:val="24"/>
          <w:lang w:eastAsia="ja-JP"/>
        </w:rPr>
        <w:t xml:space="preserve">%. </w:t>
      </w:r>
      <w:r w:rsidR="00BD2D85" w:rsidRPr="00A07F29">
        <w:rPr>
          <w:rFonts w:ascii="Times New Roman" w:eastAsia="Times New Roman" w:hAnsi="Times New Roman" w:cs="Times New Roman"/>
          <w:color w:val="000000" w:themeColor="text1"/>
          <w:sz w:val="24"/>
          <w:szCs w:val="24"/>
          <w:lang w:eastAsia="ja-JP"/>
        </w:rPr>
        <w:t>Raksturīgs</w:t>
      </w:r>
      <w:r w:rsidRPr="00A07F29">
        <w:rPr>
          <w:rFonts w:ascii="Times New Roman" w:eastAsia="Times New Roman" w:hAnsi="Times New Roman" w:cs="Times New Roman"/>
          <w:color w:val="000000" w:themeColor="text1"/>
          <w:sz w:val="24"/>
          <w:szCs w:val="24"/>
          <w:lang w:eastAsia="ja-JP"/>
        </w:rPr>
        <w:t xml:space="preserve"> </w:t>
      </w:r>
      <w:r w:rsidR="00BD2D85" w:rsidRPr="00A07F29">
        <w:rPr>
          <w:rFonts w:ascii="Times New Roman" w:eastAsia="Times New Roman" w:hAnsi="Times New Roman" w:cs="Times New Roman"/>
          <w:color w:val="000000" w:themeColor="text1"/>
          <w:sz w:val="24"/>
          <w:szCs w:val="24"/>
          <w:lang w:eastAsia="ja-JP"/>
        </w:rPr>
        <w:t xml:space="preserve">parastās </w:t>
      </w:r>
      <w:proofErr w:type="spellStart"/>
      <w:r w:rsidRPr="00A07F29">
        <w:rPr>
          <w:rFonts w:ascii="Times New Roman" w:eastAsia="Times New Roman" w:hAnsi="Times New Roman" w:cs="Times New Roman"/>
          <w:color w:val="000000" w:themeColor="text1"/>
          <w:sz w:val="24"/>
          <w:szCs w:val="24"/>
          <w:lang w:eastAsia="ja-JP"/>
        </w:rPr>
        <w:t>avotsūna</w:t>
      </w:r>
      <w:r w:rsidR="00BD2D85" w:rsidRPr="00A07F29">
        <w:rPr>
          <w:rFonts w:ascii="Times New Roman" w:eastAsia="Times New Roman" w:hAnsi="Times New Roman" w:cs="Times New Roman"/>
          <w:color w:val="000000" w:themeColor="text1"/>
          <w:sz w:val="24"/>
          <w:szCs w:val="24"/>
          <w:lang w:eastAsia="ja-JP"/>
        </w:rPr>
        <w:t>s</w:t>
      </w:r>
      <w:proofErr w:type="spellEnd"/>
      <w:r w:rsidRPr="00A07F29">
        <w:rPr>
          <w:rFonts w:ascii="Times New Roman" w:eastAsia="Times New Roman" w:hAnsi="Times New Roman" w:cs="Times New Roman"/>
          <w:color w:val="000000" w:themeColor="text1"/>
          <w:sz w:val="24"/>
          <w:szCs w:val="24"/>
          <w:lang w:eastAsia="ja-JP"/>
        </w:rPr>
        <w:t xml:space="preserve"> </w:t>
      </w:r>
      <w:proofErr w:type="spellStart"/>
      <w:r w:rsidRPr="00A07F29">
        <w:rPr>
          <w:rFonts w:ascii="Times New Roman" w:eastAsia="Times New Roman" w:hAnsi="Times New Roman" w:cs="Times New Roman"/>
          <w:i/>
          <w:iCs/>
          <w:color w:val="000000" w:themeColor="text1"/>
          <w:sz w:val="24"/>
          <w:szCs w:val="24"/>
          <w:lang w:eastAsia="ja-JP"/>
        </w:rPr>
        <w:t>Fontinalis</w:t>
      </w:r>
      <w:proofErr w:type="spellEnd"/>
      <w:r w:rsidRPr="00A07F29">
        <w:rPr>
          <w:rFonts w:ascii="Times New Roman" w:eastAsia="Times New Roman" w:hAnsi="Times New Roman" w:cs="Times New Roman"/>
          <w:i/>
          <w:iCs/>
          <w:color w:val="000000" w:themeColor="text1"/>
          <w:sz w:val="24"/>
          <w:szCs w:val="24"/>
          <w:lang w:eastAsia="ja-JP"/>
        </w:rPr>
        <w:t xml:space="preserve"> </w:t>
      </w:r>
      <w:proofErr w:type="spellStart"/>
      <w:r w:rsidRPr="00A07F29">
        <w:rPr>
          <w:rFonts w:ascii="Times New Roman" w:eastAsia="Times New Roman" w:hAnsi="Times New Roman" w:cs="Times New Roman"/>
          <w:i/>
          <w:iCs/>
          <w:color w:val="000000" w:themeColor="text1"/>
          <w:sz w:val="24"/>
          <w:szCs w:val="24"/>
          <w:lang w:eastAsia="ja-JP"/>
        </w:rPr>
        <w:t>antipyretica</w:t>
      </w:r>
      <w:proofErr w:type="spellEnd"/>
      <w:r w:rsidRPr="00A07F29">
        <w:rPr>
          <w:rFonts w:ascii="Times New Roman" w:eastAsia="Times New Roman" w:hAnsi="Times New Roman" w:cs="Times New Roman"/>
          <w:i/>
          <w:iCs/>
          <w:color w:val="000000" w:themeColor="text1"/>
          <w:sz w:val="24"/>
          <w:szCs w:val="24"/>
          <w:lang w:eastAsia="ja-JP"/>
        </w:rPr>
        <w:t xml:space="preserve"> </w:t>
      </w:r>
      <w:r w:rsidR="00BD2D85" w:rsidRPr="00A07F29">
        <w:rPr>
          <w:rFonts w:ascii="Times New Roman" w:eastAsia="Times New Roman" w:hAnsi="Times New Roman" w:cs="Times New Roman"/>
          <w:iCs/>
          <w:color w:val="000000" w:themeColor="text1"/>
          <w:sz w:val="24"/>
          <w:szCs w:val="24"/>
          <w:lang w:eastAsia="ja-JP"/>
        </w:rPr>
        <w:t xml:space="preserve">veidots apaugums. Konstatētas </w:t>
      </w:r>
      <w:r w:rsidR="002A329C">
        <w:rPr>
          <w:rFonts w:ascii="Times New Roman" w:eastAsia="Times New Roman" w:hAnsi="Times New Roman" w:cs="Times New Roman"/>
          <w:color w:val="000000" w:themeColor="text1"/>
          <w:sz w:val="24"/>
          <w:szCs w:val="24"/>
          <w:lang w:eastAsia="ja-JP"/>
        </w:rPr>
        <w:t>sešas</w:t>
      </w:r>
      <w:r w:rsidRPr="00A07F29">
        <w:rPr>
          <w:rFonts w:ascii="Times New Roman" w:eastAsia="Times New Roman" w:hAnsi="Times New Roman" w:cs="Times New Roman"/>
          <w:color w:val="000000" w:themeColor="text1"/>
          <w:sz w:val="24"/>
          <w:szCs w:val="24"/>
          <w:lang w:eastAsia="ja-JP"/>
        </w:rPr>
        <w:t xml:space="preserve"> </w:t>
      </w:r>
      <w:proofErr w:type="spellStart"/>
      <w:r w:rsidRPr="00A07F29">
        <w:rPr>
          <w:rFonts w:ascii="Times New Roman" w:eastAsia="Times New Roman" w:hAnsi="Times New Roman" w:cs="Times New Roman"/>
          <w:color w:val="000000" w:themeColor="text1"/>
          <w:sz w:val="24"/>
          <w:szCs w:val="24"/>
          <w:lang w:eastAsia="ja-JP"/>
        </w:rPr>
        <w:t>vaskulāro</w:t>
      </w:r>
      <w:proofErr w:type="spellEnd"/>
      <w:r w:rsidRPr="00A07F29">
        <w:rPr>
          <w:rFonts w:ascii="Times New Roman" w:eastAsia="Times New Roman" w:hAnsi="Times New Roman" w:cs="Times New Roman"/>
          <w:color w:val="000000" w:themeColor="text1"/>
          <w:sz w:val="24"/>
          <w:szCs w:val="24"/>
          <w:lang w:eastAsia="ja-JP"/>
        </w:rPr>
        <w:t xml:space="preserve"> augu </w:t>
      </w:r>
      <w:r w:rsidR="00BD2D85" w:rsidRPr="00A07F29">
        <w:rPr>
          <w:rFonts w:ascii="Times New Roman" w:eastAsia="Times New Roman" w:hAnsi="Times New Roman" w:cs="Times New Roman"/>
          <w:color w:val="000000" w:themeColor="text1"/>
          <w:sz w:val="24"/>
          <w:szCs w:val="24"/>
          <w:lang w:eastAsia="ja-JP"/>
        </w:rPr>
        <w:t xml:space="preserve">sugas, no kurām biežāk sastopama </w:t>
      </w:r>
      <w:r w:rsidRPr="00A07F29">
        <w:rPr>
          <w:rFonts w:ascii="Times New Roman" w:eastAsia="Times New Roman" w:hAnsi="Times New Roman" w:cs="Times New Roman"/>
          <w:color w:val="000000" w:themeColor="text1"/>
          <w:sz w:val="24"/>
          <w:szCs w:val="24"/>
          <w:lang w:eastAsia="ja-JP"/>
        </w:rPr>
        <w:t xml:space="preserve">krokainā glīvene </w:t>
      </w:r>
      <w:proofErr w:type="spellStart"/>
      <w:r w:rsidRPr="00A07F29">
        <w:rPr>
          <w:rFonts w:ascii="Times New Roman" w:eastAsia="Times New Roman" w:hAnsi="Times New Roman" w:cs="Times New Roman"/>
          <w:i/>
          <w:iCs/>
          <w:color w:val="000000" w:themeColor="text1"/>
          <w:sz w:val="24"/>
          <w:szCs w:val="24"/>
          <w:lang w:eastAsia="ja-JP"/>
        </w:rPr>
        <w:t>Potamogeton</w:t>
      </w:r>
      <w:proofErr w:type="spellEnd"/>
      <w:r w:rsidRPr="00A07F29">
        <w:rPr>
          <w:rFonts w:ascii="Times New Roman" w:eastAsia="Times New Roman" w:hAnsi="Times New Roman" w:cs="Times New Roman"/>
          <w:i/>
          <w:iCs/>
          <w:color w:val="000000" w:themeColor="text1"/>
          <w:sz w:val="24"/>
          <w:szCs w:val="24"/>
          <w:lang w:eastAsia="ja-JP"/>
        </w:rPr>
        <w:t xml:space="preserve"> </w:t>
      </w:r>
      <w:proofErr w:type="spellStart"/>
      <w:r w:rsidRPr="00A07F29">
        <w:rPr>
          <w:rFonts w:ascii="Times New Roman" w:eastAsia="Times New Roman" w:hAnsi="Times New Roman" w:cs="Times New Roman"/>
          <w:i/>
          <w:iCs/>
          <w:color w:val="000000" w:themeColor="text1"/>
          <w:sz w:val="24"/>
          <w:szCs w:val="24"/>
          <w:lang w:eastAsia="ja-JP"/>
        </w:rPr>
        <w:t>crispus</w:t>
      </w:r>
      <w:proofErr w:type="spellEnd"/>
      <w:r w:rsidR="00BD2D85" w:rsidRPr="00A07F29">
        <w:rPr>
          <w:rFonts w:ascii="Times New Roman" w:eastAsia="Times New Roman" w:hAnsi="Times New Roman" w:cs="Times New Roman"/>
          <w:color w:val="000000" w:themeColor="text1"/>
          <w:sz w:val="24"/>
          <w:szCs w:val="24"/>
          <w:lang w:eastAsia="ja-JP"/>
        </w:rPr>
        <w:t>, m</w:t>
      </w:r>
      <w:r w:rsidRPr="00A07F29">
        <w:rPr>
          <w:rFonts w:ascii="Times New Roman" w:eastAsia="Times New Roman" w:hAnsi="Times New Roman" w:cs="Times New Roman"/>
          <w:color w:val="000000" w:themeColor="text1"/>
          <w:sz w:val="24"/>
          <w:szCs w:val="24"/>
          <w:lang w:eastAsia="ja-JP"/>
        </w:rPr>
        <w:t xml:space="preserve">eža meldrs </w:t>
      </w:r>
      <w:proofErr w:type="spellStart"/>
      <w:r w:rsidRPr="00A07F29">
        <w:rPr>
          <w:rFonts w:ascii="Times New Roman" w:eastAsia="Times New Roman" w:hAnsi="Times New Roman" w:cs="Times New Roman"/>
          <w:i/>
          <w:iCs/>
          <w:color w:val="000000" w:themeColor="text1"/>
          <w:sz w:val="24"/>
          <w:szCs w:val="24"/>
          <w:lang w:eastAsia="ja-JP"/>
        </w:rPr>
        <w:t>Scirpus</w:t>
      </w:r>
      <w:proofErr w:type="spellEnd"/>
      <w:r w:rsidRPr="00A07F29">
        <w:rPr>
          <w:rFonts w:ascii="Times New Roman" w:eastAsia="Times New Roman" w:hAnsi="Times New Roman" w:cs="Times New Roman"/>
          <w:i/>
          <w:iCs/>
          <w:color w:val="000000" w:themeColor="text1"/>
          <w:sz w:val="24"/>
          <w:szCs w:val="24"/>
          <w:lang w:eastAsia="ja-JP"/>
        </w:rPr>
        <w:t xml:space="preserve"> </w:t>
      </w:r>
      <w:proofErr w:type="spellStart"/>
      <w:r w:rsidRPr="00A07F29">
        <w:rPr>
          <w:rFonts w:ascii="Times New Roman" w:eastAsia="Times New Roman" w:hAnsi="Times New Roman" w:cs="Times New Roman"/>
          <w:i/>
          <w:iCs/>
          <w:color w:val="000000" w:themeColor="text1"/>
          <w:sz w:val="24"/>
          <w:szCs w:val="24"/>
          <w:lang w:eastAsia="ja-JP"/>
        </w:rPr>
        <w:t>sylvaticus</w:t>
      </w:r>
      <w:proofErr w:type="spellEnd"/>
      <w:r w:rsidRPr="00A07F29">
        <w:rPr>
          <w:rFonts w:ascii="Times New Roman" w:eastAsia="Times New Roman" w:hAnsi="Times New Roman" w:cs="Times New Roman"/>
          <w:color w:val="000000" w:themeColor="text1"/>
          <w:sz w:val="24"/>
          <w:szCs w:val="24"/>
          <w:lang w:eastAsia="ja-JP"/>
        </w:rPr>
        <w:t xml:space="preserve"> un avotu veronika </w:t>
      </w:r>
      <w:proofErr w:type="spellStart"/>
      <w:r w:rsidRPr="00A07F29">
        <w:rPr>
          <w:rFonts w:ascii="Times New Roman" w:eastAsia="Times New Roman" w:hAnsi="Times New Roman" w:cs="Times New Roman"/>
          <w:i/>
          <w:iCs/>
          <w:color w:val="000000" w:themeColor="text1"/>
          <w:sz w:val="24"/>
          <w:szCs w:val="24"/>
          <w:lang w:eastAsia="ja-JP"/>
        </w:rPr>
        <w:t>Veronica</w:t>
      </w:r>
      <w:proofErr w:type="spellEnd"/>
      <w:r w:rsidRPr="00A07F29">
        <w:rPr>
          <w:rFonts w:ascii="Times New Roman" w:eastAsia="Times New Roman" w:hAnsi="Times New Roman" w:cs="Times New Roman"/>
          <w:i/>
          <w:iCs/>
          <w:color w:val="000000" w:themeColor="text1"/>
          <w:sz w:val="24"/>
          <w:szCs w:val="24"/>
          <w:lang w:eastAsia="ja-JP"/>
        </w:rPr>
        <w:t xml:space="preserve"> </w:t>
      </w:r>
      <w:proofErr w:type="spellStart"/>
      <w:r w:rsidRPr="00A07F29">
        <w:rPr>
          <w:rFonts w:ascii="Times New Roman" w:eastAsia="Times New Roman" w:hAnsi="Times New Roman" w:cs="Times New Roman"/>
          <w:i/>
          <w:iCs/>
          <w:color w:val="000000" w:themeColor="text1"/>
          <w:sz w:val="24"/>
          <w:szCs w:val="24"/>
          <w:lang w:eastAsia="ja-JP"/>
        </w:rPr>
        <w:t>beccabunga</w:t>
      </w:r>
      <w:proofErr w:type="spellEnd"/>
      <w:r w:rsidRPr="00A07F29">
        <w:rPr>
          <w:rFonts w:ascii="Times New Roman" w:eastAsia="Times New Roman" w:hAnsi="Times New Roman" w:cs="Times New Roman"/>
          <w:color w:val="000000" w:themeColor="text1"/>
          <w:sz w:val="24"/>
          <w:szCs w:val="24"/>
          <w:lang w:eastAsia="ja-JP"/>
        </w:rPr>
        <w:t xml:space="preserve">. </w:t>
      </w:r>
      <w:r w:rsidR="00BD2D85" w:rsidRPr="00A07F29">
        <w:rPr>
          <w:rFonts w:ascii="Times New Roman" w:eastAsia="Times New Roman" w:hAnsi="Times New Roman" w:cs="Times New Roman"/>
          <w:color w:val="000000" w:themeColor="text1"/>
          <w:sz w:val="24"/>
          <w:szCs w:val="24"/>
          <w:lang w:eastAsia="ja-JP"/>
        </w:rPr>
        <w:t>K</w:t>
      </w:r>
      <w:r w:rsidRPr="00A07F29">
        <w:rPr>
          <w:rFonts w:ascii="Times New Roman" w:eastAsia="Times New Roman" w:hAnsi="Times New Roman" w:cs="Times New Roman"/>
          <w:color w:val="000000" w:themeColor="text1"/>
          <w:sz w:val="24"/>
          <w:szCs w:val="24"/>
          <w:lang w:eastAsia="ja-JP"/>
        </w:rPr>
        <w:t xml:space="preserve">onstatēta </w:t>
      </w:r>
      <w:r w:rsidR="00BD2D85" w:rsidRPr="00A07F29">
        <w:rPr>
          <w:rFonts w:ascii="Times New Roman" w:eastAsia="Times New Roman" w:hAnsi="Times New Roman" w:cs="Times New Roman"/>
          <w:color w:val="000000" w:themeColor="text1"/>
          <w:sz w:val="24"/>
          <w:szCs w:val="24"/>
          <w:lang w:eastAsia="ja-JP"/>
        </w:rPr>
        <w:t xml:space="preserve">arī </w:t>
      </w:r>
      <w:r w:rsidR="00BD2D85" w:rsidRPr="00861949">
        <w:rPr>
          <w:rFonts w:ascii="Times New Roman" w:eastAsia="Times New Roman" w:hAnsi="Times New Roman" w:cs="Times New Roman"/>
          <w:color w:val="000000" w:themeColor="text1"/>
          <w:sz w:val="24"/>
          <w:szCs w:val="24"/>
          <w:lang w:eastAsia="ja-JP"/>
        </w:rPr>
        <w:t>īpaši aizsargājamā</w:t>
      </w:r>
      <w:r w:rsidR="00BD2D85" w:rsidRPr="00A07F29">
        <w:rPr>
          <w:rFonts w:ascii="Times New Roman" w:eastAsia="Times New Roman" w:hAnsi="Times New Roman" w:cs="Times New Roman"/>
          <w:color w:val="000000" w:themeColor="text1"/>
          <w:sz w:val="24"/>
          <w:szCs w:val="24"/>
          <w:lang w:eastAsia="ja-JP"/>
        </w:rPr>
        <w:t xml:space="preserve"> </w:t>
      </w:r>
      <w:r w:rsidRPr="00A07F29">
        <w:rPr>
          <w:rFonts w:ascii="Times New Roman" w:eastAsia="Times New Roman" w:hAnsi="Times New Roman" w:cs="Times New Roman"/>
          <w:color w:val="000000" w:themeColor="text1"/>
          <w:sz w:val="24"/>
          <w:szCs w:val="24"/>
          <w:lang w:eastAsia="ja-JP"/>
        </w:rPr>
        <w:t xml:space="preserve">biezā </w:t>
      </w:r>
      <w:proofErr w:type="spellStart"/>
      <w:r w:rsidRPr="00A07F29">
        <w:rPr>
          <w:rFonts w:ascii="Times New Roman" w:eastAsia="Times New Roman" w:hAnsi="Times New Roman" w:cs="Times New Roman"/>
          <w:color w:val="000000" w:themeColor="text1"/>
          <w:sz w:val="24"/>
          <w:szCs w:val="24"/>
          <w:lang w:eastAsia="ja-JP"/>
        </w:rPr>
        <w:t>perlamutrene</w:t>
      </w:r>
      <w:proofErr w:type="spellEnd"/>
      <w:r w:rsidRPr="00A07F29">
        <w:rPr>
          <w:rFonts w:ascii="Times New Roman" w:eastAsia="Times New Roman" w:hAnsi="Times New Roman" w:cs="Times New Roman"/>
          <w:color w:val="000000" w:themeColor="text1"/>
          <w:sz w:val="24"/>
          <w:szCs w:val="24"/>
          <w:lang w:eastAsia="ja-JP"/>
        </w:rPr>
        <w:t xml:space="preserve"> </w:t>
      </w:r>
      <w:proofErr w:type="spellStart"/>
      <w:r w:rsidRPr="00A07F29">
        <w:rPr>
          <w:rFonts w:ascii="Times New Roman" w:eastAsia="Times New Roman" w:hAnsi="Times New Roman" w:cs="Times New Roman"/>
          <w:i/>
          <w:iCs/>
          <w:color w:val="000000" w:themeColor="text1"/>
          <w:sz w:val="24"/>
          <w:szCs w:val="24"/>
          <w:lang w:eastAsia="ja-JP"/>
        </w:rPr>
        <w:t>Unio</w:t>
      </w:r>
      <w:proofErr w:type="spellEnd"/>
      <w:r w:rsidRPr="00A07F29">
        <w:rPr>
          <w:rFonts w:ascii="Times New Roman" w:eastAsia="Times New Roman" w:hAnsi="Times New Roman" w:cs="Times New Roman"/>
          <w:i/>
          <w:iCs/>
          <w:color w:val="000000" w:themeColor="text1"/>
          <w:sz w:val="24"/>
          <w:szCs w:val="24"/>
          <w:lang w:eastAsia="ja-JP"/>
        </w:rPr>
        <w:t xml:space="preserve"> </w:t>
      </w:r>
      <w:proofErr w:type="spellStart"/>
      <w:r w:rsidRPr="00A07F29">
        <w:rPr>
          <w:rFonts w:ascii="Times New Roman" w:eastAsia="Times New Roman" w:hAnsi="Times New Roman" w:cs="Times New Roman"/>
          <w:i/>
          <w:iCs/>
          <w:color w:val="000000" w:themeColor="text1"/>
          <w:sz w:val="24"/>
          <w:szCs w:val="24"/>
          <w:lang w:eastAsia="ja-JP"/>
        </w:rPr>
        <w:t>crassus</w:t>
      </w:r>
      <w:proofErr w:type="spellEnd"/>
      <w:r w:rsidRPr="00A07F29">
        <w:rPr>
          <w:rFonts w:ascii="Times New Roman" w:eastAsia="Times New Roman" w:hAnsi="Times New Roman" w:cs="Times New Roman"/>
          <w:i/>
          <w:iCs/>
          <w:color w:val="000000" w:themeColor="text1"/>
          <w:sz w:val="24"/>
          <w:szCs w:val="24"/>
          <w:lang w:eastAsia="ja-JP"/>
        </w:rPr>
        <w:t xml:space="preserve">. </w:t>
      </w:r>
      <w:r w:rsidR="00D16648" w:rsidRPr="00A07F29">
        <w:rPr>
          <w:rFonts w:ascii="Times New Roman" w:eastAsia="Times New Roman" w:hAnsi="Times New Roman" w:cs="Times New Roman"/>
          <w:iCs/>
          <w:color w:val="000000" w:themeColor="text1"/>
          <w:sz w:val="24"/>
          <w:szCs w:val="24"/>
          <w:lang w:eastAsia="ja-JP"/>
        </w:rPr>
        <w:t>Apsekotais posms atbilst biotopa 3260</w:t>
      </w:r>
      <w:r w:rsidR="00D16648" w:rsidRPr="00A07F29">
        <w:rPr>
          <w:rFonts w:ascii="Times New Roman" w:eastAsia="Times New Roman" w:hAnsi="Times New Roman" w:cs="Times New Roman"/>
          <w:i/>
          <w:iCs/>
          <w:color w:val="000000" w:themeColor="text1"/>
          <w:sz w:val="24"/>
          <w:szCs w:val="24"/>
          <w:lang w:eastAsia="ja-JP"/>
        </w:rPr>
        <w:t xml:space="preserve"> Upju straujteces un dabiski upju posmi </w:t>
      </w:r>
      <w:r w:rsidR="00D16648" w:rsidRPr="00A07F29">
        <w:rPr>
          <w:rFonts w:ascii="Times New Roman" w:eastAsia="Times New Roman" w:hAnsi="Times New Roman" w:cs="Times New Roman"/>
          <w:iCs/>
          <w:color w:val="000000" w:themeColor="text1"/>
          <w:sz w:val="24"/>
          <w:szCs w:val="24"/>
          <w:lang w:eastAsia="ja-JP"/>
        </w:rPr>
        <w:t>1.</w:t>
      </w:r>
      <w:r w:rsidR="00211713">
        <w:rPr>
          <w:rFonts w:ascii="Times New Roman" w:eastAsia="Times New Roman" w:hAnsi="Times New Roman" w:cs="Times New Roman"/>
          <w:iCs/>
          <w:color w:val="000000" w:themeColor="text1"/>
          <w:sz w:val="24"/>
          <w:szCs w:val="24"/>
          <w:lang w:eastAsia="ja-JP"/>
        </w:rPr>
        <w:t> </w:t>
      </w:r>
      <w:r w:rsidR="00D16648" w:rsidRPr="00A07F29">
        <w:rPr>
          <w:rFonts w:ascii="Times New Roman" w:eastAsia="Times New Roman" w:hAnsi="Times New Roman" w:cs="Times New Roman"/>
          <w:iCs/>
          <w:color w:val="000000" w:themeColor="text1"/>
          <w:sz w:val="24"/>
          <w:szCs w:val="24"/>
          <w:lang w:eastAsia="ja-JP"/>
        </w:rPr>
        <w:t>variantam</w:t>
      </w:r>
      <w:r w:rsidR="00BD2D85" w:rsidRPr="00A07F29">
        <w:rPr>
          <w:rFonts w:ascii="Times New Roman" w:eastAsia="Times New Roman" w:hAnsi="Times New Roman" w:cs="Times New Roman"/>
          <w:iCs/>
          <w:color w:val="000000" w:themeColor="text1"/>
          <w:sz w:val="24"/>
          <w:szCs w:val="24"/>
          <w:lang w:eastAsia="ja-JP"/>
        </w:rPr>
        <w:t xml:space="preserve"> un </w:t>
      </w:r>
      <w:r w:rsidR="00D16648" w:rsidRPr="00A07F29">
        <w:rPr>
          <w:rFonts w:ascii="Times New Roman" w:eastAsia="Times New Roman" w:hAnsi="Times New Roman" w:cs="Times New Roman"/>
          <w:color w:val="000000" w:themeColor="text1"/>
          <w:sz w:val="24"/>
          <w:szCs w:val="24"/>
          <w:lang w:eastAsia="ja-JP"/>
        </w:rPr>
        <w:t xml:space="preserve">tā kvalitāte ir novērtēta kā </w:t>
      </w:r>
      <w:r w:rsidR="00BD2D85" w:rsidRPr="00A07F29">
        <w:rPr>
          <w:rFonts w:ascii="Times New Roman" w:eastAsia="Times New Roman" w:hAnsi="Times New Roman" w:cs="Times New Roman"/>
          <w:color w:val="000000" w:themeColor="text1"/>
          <w:sz w:val="24"/>
          <w:szCs w:val="24"/>
          <w:lang w:eastAsia="ja-JP"/>
        </w:rPr>
        <w:t xml:space="preserve">izcila. Šis ir </w:t>
      </w:r>
      <w:r w:rsidR="00D16648" w:rsidRPr="00A07F29">
        <w:rPr>
          <w:rFonts w:ascii="Times New Roman" w:eastAsia="Times New Roman" w:hAnsi="Times New Roman" w:cs="Times New Roman"/>
          <w:color w:val="000000" w:themeColor="text1"/>
          <w:sz w:val="24"/>
          <w:szCs w:val="24"/>
          <w:lang w:eastAsia="ja-JP"/>
        </w:rPr>
        <w:t xml:space="preserve">vienīgais ar tik augstu kvalitāti novērtētais upju biotops AAA </w:t>
      </w:r>
      <w:r w:rsidR="00BD2D85" w:rsidRPr="00A07F29">
        <w:rPr>
          <w:rFonts w:ascii="Times New Roman" w:eastAsia="Times New Roman" w:hAnsi="Times New Roman" w:cs="Times New Roman"/>
          <w:color w:val="000000" w:themeColor="text1"/>
          <w:sz w:val="24"/>
          <w:szCs w:val="24"/>
          <w:lang w:eastAsia="ja-JP"/>
        </w:rPr>
        <w:t>“</w:t>
      </w:r>
      <w:r w:rsidR="00D16648" w:rsidRPr="00A07F29">
        <w:rPr>
          <w:rFonts w:ascii="Times New Roman" w:eastAsia="Times New Roman" w:hAnsi="Times New Roman" w:cs="Times New Roman"/>
          <w:color w:val="000000" w:themeColor="text1"/>
          <w:sz w:val="24"/>
          <w:szCs w:val="24"/>
          <w:lang w:eastAsia="ja-JP"/>
        </w:rPr>
        <w:t>Augšdaugava”</w:t>
      </w:r>
      <w:r w:rsidR="00BD2D85" w:rsidRPr="00A07F29">
        <w:rPr>
          <w:rFonts w:ascii="Times New Roman" w:eastAsia="Times New Roman" w:hAnsi="Times New Roman" w:cs="Times New Roman"/>
          <w:color w:val="000000" w:themeColor="text1"/>
          <w:sz w:val="24"/>
          <w:szCs w:val="24"/>
          <w:lang w:eastAsia="ja-JP"/>
        </w:rPr>
        <w:t xml:space="preserve"> teritorijā.</w:t>
      </w:r>
    </w:p>
    <w:p w14:paraId="55DF0A9D" w14:textId="44294DC1" w:rsidR="002B69C3" w:rsidRPr="00A07F29" w:rsidRDefault="00C24CE5" w:rsidP="002B69C3">
      <w:pPr>
        <w:spacing w:after="120" w:line="240" w:lineRule="auto"/>
        <w:ind w:firstLine="851"/>
        <w:jc w:val="both"/>
        <w:rPr>
          <w:rFonts w:ascii="Times New Roman" w:eastAsia="Calibri" w:hAnsi="Times New Roman" w:cs="Times New Roman"/>
          <w:bCs/>
          <w:sz w:val="24"/>
          <w:szCs w:val="24"/>
        </w:rPr>
      </w:pPr>
      <w:r w:rsidRPr="00A07F29">
        <w:rPr>
          <w:rFonts w:ascii="Times New Roman" w:eastAsia="Calibri" w:hAnsi="Times New Roman" w:cs="Times New Roman"/>
          <w:b/>
          <w:bCs/>
          <w:sz w:val="24"/>
          <w:szCs w:val="24"/>
        </w:rPr>
        <w:t xml:space="preserve">Stirna </w:t>
      </w:r>
      <w:r w:rsidRPr="00A07F29">
        <w:rPr>
          <w:rFonts w:ascii="Times New Roman" w:eastAsia="Calibri" w:hAnsi="Times New Roman" w:cs="Times New Roman"/>
          <w:bCs/>
          <w:sz w:val="24"/>
          <w:szCs w:val="24"/>
        </w:rPr>
        <w:t>ir dabiska vidēji sekla upe (1</w:t>
      </w:r>
      <w:r w:rsidR="00211713">
        <w:rPr>
          <w:rFonts w:ascii="Times New Roman" w:eastAsia="Calibri" w:hAnsi="Times New Roman" w:cs="Times New Roman"/>
          <w:bCs/>
          <w:sz w:val="24"/>
          <w:szCs w:val="24"/>
        </w:rPr>
        <w:t> – </w:t>
      </w:r>
      <w:r w:rsidRPr="00A07F29">
        <w:rPr>
          <w:rFonts w:ascii="Times New Roman" w:eastAsia="Calibri" w:hAnsi="Times New Roman" w:cs="Times New Roman"/>
          <w:bCs/>
          <w:sz w:val="24"/>
          <w:szCs w:val="24"/>
        </w:rPr>
        <w:t>5</w:t>
      </w:r>
      <w:r w:rsidR="00BD2D85" w:rsidRPr="00A07F29">
        <w:rPr>
          <w:rFonts w:ascii="Times New Roman" w:eastAsia="Calibri" w:hAnsi="Times New Roman" w:cs="Times New Roman"/>
          <w:bCs/>
          <w:sz w:val="24"/>
          <w:szCs w:val="24"/>
        </w:rPr>
        <w:t> </w:t>
      </w:r>
      <w:r w:rsidRPr="00A07F29">
        <w:rPr>
          <w:rFonts w:ascii="Times New Roman" w:eastAsia="Calibri" w:hAnsi="Times New Roman" w:cs="Times New Roman"/>
          <w:bCs/>
          <w:sz w:val="24"/>
          <w:szCs w:val="24"/>
        </w:rPr>
        <w:t xml:space="preserve">m) ar izteiktu </w:t>
      </w:r>
      <w:proofErr w:type="spellStart"/>
      <w:r w:rsidRPr="00A07F29">
        <w:rPr>
          <w:rFonts w:ascii="Times New Roman" w:eastAsia="Calibri" w:hAnsi="Times New Roman" w:cs="Times New Roman"/>
          <w:bCs/>
          <w:sz w:val="24"/>
          <w:szCs w:val="24"/>
        </w:rPr>
        <w:t>vecupju</w:t>
      </w:r>
      <w:proofErr w:type="spellEnd"/>
      <w:r w:rsidRPr="00A07F29">
        <w:rPr>
          <w:rFonts w:ascii="Times New Roman" w:eastAsia="Calibri" w:hAnsi="Times New Roman" w:cs="Times New Roman"/>
          <w:bCs/>
          <w:sz w:val="24"/>
          <w:szCs w:val="24"/>
        </w:rPr>
        <w:t xml:space="preserve"> kompleksu. </w:t>
      </w:r>
      <w:r w:rsidR="00E92C4D" w:rsidRPr="00A07F29">
        <w:rPr>
          <w:rFonts w:ascii="Times New Roman" w:eastAsia="Calibri" w:hAnsi="Times New Roman" w:cs="Times New Roman"/>
          <w:bCs/>
          <w:sz w:val="24"/>
          <w:szCs w:val="24"/>
        </w:rPr>
        <w:t xml:space="preserve">Tipiska </w:t>
      </w:r>
      <w:r w:rsidRPr="00A07F29">
        <w:rPr>
          <w:rFonts w:ascii="Times New Roman" w:eastAsia="Calibri" w:hAnsi="Times New Roman" w:cs="Times New Roman"/>
          <w:bCs/>
          <w:sz w:val="24"/>
          <w:szCs w:val="24"/>
        </w:rPr>
        <w:t>straujtece</w:t>
      </w:r>
      <w:r w:rsidR="00E92C4D" w:rsidRPr="00A07F29">
        <w:rPr>
          <w:rFonts w:ascii="Times New Roman" w:eastAsia="Calibri" w:hAnsi="Times New Roman" w:cs="Times New Roman"/>
          <w:bCs/>
          <w:sz w:val="24"/>
          <w:szCs w:val="24"/>
        </w:rPr>
        <w:t xml:space="preserve"> ir novērota </w:t>
      </w:r>
      <w:r w:rsidRPr="00A07F29">
        <w:rPr>
          <w:rFonts w:ascii="Times New Roman" w:eastAsia="Calibri" w:hAnsi="Times New Roman" w:cs="Times New Roman"/>
          <w:bCs/>
          <w:sz w:val="24"/>
          <w:szCs w:val="24"/>
        </w:rPr>
        <w:t>90</w:t>
      </w:r>
      <w:r w:rsidR="00211713">
        <w:rPr>
          <w:rFonts w:ascii="Times New Roman" w:eastAsia="Calibri" w:hAnsi="Times New Roman" w:cs="Times New Roman"/>
          <w:bCs/>
          <w:sz w:val="24"/>
          <w:szCs w:val="24"/>
        </w:rPr>
        <w:t> </w:t>
      </w:r>
      <w:r w:rsidRPr="00A07F29">
        <w:rPr>
          <w:rFonts w:ascii="Times New Roman" w:eastAsia="Calibri" w:hAnsi="Times New Roman" w:cs="Times New Roman"/>
          <w:bCs/>
          <w:sz w:val="24"/>
          <w:szCs w:val="24"/>
        </w:rPr>
        <w:t>%</w:t>
      </w:r>
      <w:r w:rsidR="00BD2D85" w:rsidRPr="00A07F29">
        <w:rPr>
          <w:rFonts w:ascii="Times New Roman" w:eastAsia="Calibri" w:hAnsi="Times New Roman" w:cs="Times New Roman"/>
          <w:bCs/>
          <w:sz w:val="24"/>
          <w:szCs w:val="24"/>
        </w:rPr>
        <w:t xml:space="preserve"> apsekotā posma augšpus Kalniešiem</w:t>
      </w:r>
      <w:r w:rsidRPr="00A07F29">
        <w:rPr>
          <w:rFonts w:ascii="Times New Roman" w:eastAsia="Calibri" w:hAnsi="Times New Roman" w:cs="Times New Roman"/>
          <w:bCs/>
          <w:sz w:val="24"/>
          <w:szCs w:val="24"/>
        </w:rPr>
        <w:t>. Apsekotajā posmā upes krastus veido koku josla</w:t>
      </w:r>
      <w:r w:rsidR="00BD2D85" w:rsidRPr="00A07F29">
        <w:rPr>
          <w:rFonts w:ascii="Times New Roman" w:eastAsia="Calibri" w:hAnsi="Times New Roman" w:cs="Times New Roman"/>
          <w:bCs/>
          <w:sz w:val="24"/>
          <w:szCs w:val="24"/>
        </w:rPr>
        <w:t xml:space="preserve"> un</w:t>
      </w:r>
      <w:r w:rsidRPr="00A07F29">
        <w:rPr>
          <w:rFonts w:ascii="Times New Roman" w:eastAsia="Calibri" w:hAnsi="Times New Roman" w:cs="Times New Roman"/>
          <w:bCs/>
          <w:sz w:val="24"/>
          <w:szCs w:val="24"/>
        </w:rPr>
        <w:t xml:space="preserve"> mežs. </w:t>
      </w:r>
      <w:r w:rsidR="00E92C4D" w:rsidRPr="00A07F29">
        <w:rPr>
          <w:rFonts w:ascii="Times New Roman" w:eastAsia="Calibri" w:hAnsi="Times New Roman" w:cs="Times New Roman"/>
          <w:bCs/>
          <w:sz w:val="24"/>
          <w:szCs w:val="24"/>
        </w:rPr>
        <w:t>Konsta</w:t>
      </w:r>
      <w:r w:rsidR="00E24D1B">
        <w:rPr>
          <w:rFonts w:ascii="Times New Roman" w:eastAsia="Calibri" w:hAnsi="Times New Roman" w:cs="Times New Roman"/>
          <w:bCs/>
          <w:sz w:val="24"/>
          <w:szCs w:val="24"/>
        </w:rPr>
        <w:t>t</w:t>
      </w:r>
      <w:r w:rsidR="00E92C4D" w:rsidRPr="00A07F29">
        <w:rPr>
          <w:rFonts w:ascii="Times New Roman" w:eastAsia="Calibri" w:hAnsi="Times New Roman" w:cs="Times New Roman"/>
          <w:bCs/>
          <w:sz w:val="24"/>
          <w:szCs w:val="24"/>
        </w:rPr>
        <w:t>ēta n</w:t>
      </w:r>
      <w:r w:rsidRPr="00A07F29">
        <w:rPr>
          <w:rFonts w:ascii="Times New Roman" w:eastAsia="Calibri" w:hAnsi="Times New Roman" w:cs="Times New Roman"/>
          <w:bCs/>
          <w:sz w:val="24"/>
          <w:szCs w:val="24"/>
        </w:rPr>
        <w:t>eliela bebru darbība</w:t>
      </w:r>
      <w:r w:rsidR="00E92C4D" w:rsidRPr="00A07F29">
        <w:rPr>
          <w:rFonts w:ascii="Times New Roman" w:eastAsia="Calibri" w:hAnsi="Times New Roman" w:cs="Times New Roman"/>
          <w:bCs/>
          <w:sz w:val="24"/>
          <w:szCs w:val="24"/>
        </w:rPr>
        <w:t xml:space="preserve"> – </w:t>
      </w:r>
      <w:r w:rsidR="00B42C6D">
        <w:rPr>
          <w:rFonts w:ascii="Times New Roman" w:eastAsia="Calibri" w:hAnsi="Times New Roman" w:cs="Times New Roman"/>
          <w:bCs/>
          <w:sz w:val="24"/>
          <w:szCs w:val="24"/>
        </w:rPr>
        <w:t>vietā</w:t>
      </w:r>
      <w:r w:rsidR="00E92C4D" w:rsidRPr="00A07F29">
        <w:rPr>
          <w:rFonts w:ascii="Times New Roman" w:eastAsia="Calibri" w:hAnsi="Times New Roman" w:cs="Times New Roman"/>
          <w:bCs/>
          <w:sz w:val="24"/>
          <w:szCs w:val="24"/>
        </w:rPr>
        <w:t xml:space="preserve">m </w:t>
      </w:r>
      <w:r w:rsidRPr="00A07F29">
        <w:rPr>
          <w:rFonts w:ascii="Times New Roman" w:eastAsia="Calibri" w:hAnsi="Times New Roman" w:cs="Times New Roman"/>
          <w:bCs/>
          <w:sz w:val="24"/>
          <w:szCs w:val="24"/>
        </w:rPr>
        <w:t xml:space="preserve">grauzti koki. </w:t>
      </w:r>
      <w:r w:rsidR="00E92C4D" w:rsidRPr="00A07F29">
        <w:rPr>
          <w:rFonts w:ascii="Times New Roman" w:eastAsia="Calibri" w:hAnsi="Times New Roman" w:cs="Times New Roman"/>
          <w:bCs/>
          <w:sz w:val="24"/>
          <w:szCs w:val="24"/>
        </w:rPr>
        <w:t xml:space="preserve">Konstatēta parastā </w:t>
      </w:r>
      <w:proofErr w:type="spellStart"/>
      <w:r w:rsidR="00E92C4D" w:rsidRPr="00A07F29">
        <w:rPr>
          <w:rFonts w:ascii="Times New Roman" w:eastAsia="Calibri" w:hAnsi="Times New Roman" w:cs="Times New Roman"/>
          <w:bCs/>
          <w:sz w:val="24"/>
          <w:szCs w:val="24"/>
        </w:rPr>
        <w:t>avotsūna</w:t>
      </w:r>
      <w:proofErr w:type="spellEnd"/>
      <w:r w:rsidR="00E92C4D" w:rsidRPr="00A07F29">
        <w:rPr>
          <w:rFonts w:ascii="Times New Roman" w:eastAsia="Calibri" w:hAnsi="Times New Roman" w:cs="Times New Roman"/>
          <w:bCs/>
          <w:sz w:val="24"/>
          <w:szCs w:val="24"/>
        </w:rPr>
        <w:t xml:space="preserve"> </w:t>
      </w:r>
      <w:proofErr w:type="spellStart"/>
      <w:r w:rsidRPr="00A07F29">
        <w:rPr>
          <w:rFonts w:ascii="Times New Roman" w:eastAsia="Calibri" w:hAnsi="Times New Roman" w:cs="Times New Roman"/>
          <w:bCs/>
          <w:i/>
          <w:sz w:val="24"/>
          <w:szCs w:val="24"/>
        </w:rPr>
        <w:t>Fontinalis</w:t>
      </w:r>
      <w:proofErr w:type="spellEnd"/>
      <w:r w:rsidRPr="00A07F29">
        <w:rPr>
          <w:rFonts w:ascii="Times New Roman" w:eastAsia="Calibri" w:hAnsi="Times New Roman" w:cs="Times New Roman"/>
          <w:bCs/>
          <w:i/>
          <w:sz w:val="24"/>
          <w:szCs w:val="24"/>
        </w:rPr>
        <w:t xml:space="preserve"> </w:t>
      </w:r>
      <w:proofErr w:type="spellStart"/>
      <w:r w:rsidRPr="00A07F29">
        <w:rPr>
          <w:rFonts w:ascii="Times New Roman" w:eastAsia="Calibri" w:hAnsi="Times New Roman" w:cs="Times New Roman"/>
          <w:bCs/>
          <w:i/>
          <w:sz w:val="24"/>
          <w:szCs w:val="24"/>
        </w:rPr>
        <w:t>antipyretica</w:t>
      </w:r>
      <w:proofErr w:type="spellEnd"/>
      <w:r w:rsidRPr="00A07F29">
        <w:rPr>
          <w:rFonts w:ascii="Times New Roman" w:eastAsia="Calibri" w:hAnsi="Times New Roman" w:cs="Times New Roman"/>
          <w:bCs/>
          <w:sz w:val="24"/>
          <w:szCs w:val="24"/>
        </w:rPr>
        <w:t xml:space="preserve"> un 11 </w:t>
      </w:r>
      <w:r w:rsidR="00E92C4D" w:rsidRPr="00A07F29">
        <w:rPr>
          <w:rFonts w:ascii="Times New Roman" w:eastAsia="Calibri" w:hAnsi="Times New Roman" w:cs="Times New Roman"/>
          <w:bCs/>
          <w:sz w:val="24"/>
          <w:szCs w:val="24"/>
        </w:rPr>
        <w:t xml:space="preserve">citas </w:t>
      </w:r>
      <w:r w:rsidRPr="00A07F29">
        <w:rPr>
          <w:rFonts w:ascii="Times New Roman" w:eastAsia="Calibri" w:hAnsi="Times New Roman" w:cs="Times New Roman"/>
          <w:bCs/>
          <w:sz w:val="24"/>
          <w:szCs w:val="24"/>
        </w:rPr>
        <w:t>ūdensaugu sugas, no kurām vis</w:t>
      </w:r>
      <w:r w:rsidR="00E92C4D" w:rsidRPr="00A07F29">
        <w:rPr>
          <w:rFonts w:ascii="Times New Roman" w:eastAsia="Calibri" w:hAnsi="Times New Roman" w:cs="Times New Roman"/>
          <w:bCs/>
          <w:sz w:val="24"/>
          <w:szCs w:val="24"/>
        </w:rPr>
        <w:t xml:space="preserve">izplatītākais </w:t>
      </w:r>
      <w:r w:rsidRPr="00A07F29">
        <w:rPr>
          <w:rFonts w:ascii="Times New Roman" w:eastAsia="Calibri" w:hAnsi="Times New Roman" w:cs="Times New Roman"/>
          <w:bCs/>
          <w:sz w:val="24"/>
          <w:szCs w:val="24"/>
        </w:rPr>
        <w:t xml:space="preserve">ir </w:t>
      </w:r>
      <w:r w:rsidR="00E92C4D" w:rsidRPr="00A07F29">
        <w:rPr>
          <w:rFonts w:ascii="Times New Roman" w:eastAsia="Calibri" w:hAnsi="Times New Roman" w:cs="Times New Roman"/>
          <w:bCs/>
          <w:sz w:val="24"/>
          <w:szCs w:val="24"/>
        </w:rPr>
        <w:t>m</w:t>
      </w:r>
      <w:r w:rsidRPr="00A07F29">
        <w:rPr>
          <w:rFonts w:ascii="Times New Roman" w:eastAsia="Calibri" w:hAnsi="Times New Roman" w:cs="Times New Roman"/>
          <w:bCs/>
          <w:sz w:val="24"/>
          <w:szCs w:val="24"/>
        </w:rPr>
        <w:t xml:space="preserve">eža meldrs </w:t>
      </w:r>
      <w:proofErr w:type="spellStart"/>
      <w:r w:rsidRPr="00A07F29">
        <w:rPr>
          <w:rFonts w:ascii="Times New Roman" w:eastAsia="Calibri" w:hAnsi="Times New Roman" w:cs="Times New Roman"/>
          <w:bCs/>
          <w:i/>
          <w:sz w:val="24"/>
          <w:szCs w:val="24"/>
        </w:rPr>
        <w:t>Scirpus</w:t>
      </w:r>
      <w:proofErr w:type="spellEnd"/>
      <w:r w:rsidRPr="00A07F29">
        <w:rPr>
          <w:rFonts w:ascii="Times New Roman" w:eastAsia="Calibri" w:hAnsi="Times New Roman" w:cs="Times New Roman"/>
          <w:bCs/>
          <w:i/>
          <w:sz w:val="24"/>
          <w:szCs w:val="24"/>
        </w:rPr>
        <w:t xml:space="preserve"> </w:t>
      </w:r>
      <w:proofErr w:type="spellStart"/>
      <w:r w:rsidRPr="00A07F29">
        <w:rPr>
          <w:rFonts w:ascii="Times New Roman" w:eastAsia="Calibri" w:hAnsi="Times New Roman" w:cs="Times New Roman"/>
          <w:bCs/>
          <w:i/>
          <w:sz w:val="24"/>
          <w:szCs w:val="24"/>
        </w:rPr>
        <w:t>silvaticus</w:t>
      </w:r>
      <w:proofErr w:type="spellEnd"/>
      <w:r w:rsidRPr="00A07F29">
        <w:rPr>
          <w:rFonts w:ascii="Times New Roman" w:eastAsia="Calibri" w:hAnsi="Times New Roman" w:cs="Times New Roman"/>
          <w:bCs/>
          <w:sz w:val="24"/>
          <w:szCs w:val="24"/>
        </w:rPr>
        <w:t xml:space="preserve">, parastā zeltene </w:t>
      </w:r>
      <w:proofErr w:type="spellStart"/>
      <w:r w:rsidRPr="00A07F29">
        <w:rPr>
          <w:rFonts w:ascii="Times New Roman" w:eastAsia="Calibri" w:hAnsi="Times New Roman" w:cs="Times New Roman"/>
          <w:bCs/>
          <w:i/>
          <w:sz w:val="24"/>
          <w:szCs w:val="24"/>
        </w:rPr>
        <w:t>Lysimachia</w:t>
      </w:r>
      <w:proofErr w:type="spellEnd"/>
      <w:r w:rsidRPr="00A07F29">
        <w:rPr>
          <w:rFonts w:ascii="Times New Roman" w:eastAsia="Calibri" w:hAnsi="Times New Roman" w:cs="Times New Roman"/>
          <w:bCs/>
          <w:i/>
          <w:sz w:val="24"/>
          <w:szCs w:val="24"/>
        </w:rPr>
        <w:t xml:space="preserve"> </w:t>
      </w:r>
      <w:proofErr w:type="spellStart"/>
      <w:r w:rsidRPr="00A07F29">
        <w:rPr>
          <w:rFonts w:ascii="Times New Roman" w:eastAsia="Calibri" w:hAnsi="Times New Roman" w:cs="Times New Roman"/>
          <w:bCs/>
          <w:i/>
          <w:sz w:val="24"/>
          <w:szCs w:val="24"/>
        </w:rPr>
        <w:t>vulgaris</w:t>
      </w:r>
      <w:proofErr w:type="spellEnd"/>
      <w:r w:rsidRPr="00A07F29">
        <w:rPr>
          <w:rFonts w:ascii="Times New Roman" w:eastAsia="Calibri" w:hAnsi="Times New Roman" w:cs="Times New Roman"/>
          <w:bCs/>
          <w:sz w:val="24"/>
          <w:szCs w:val="24"/>
        </w:rPr>
        <w:t xml:space="preserve">, </w:t>
      </w:r>
      <w:r w:rsidR="00E92C4D" w:rsidRPr="00A07F29">
        <w:rPr>
          <w:rFonts w:ascii="Times New Roman" w:eastAsia="Calibri" w:hAnsi="Times New Roman" w:cs="Times New Roman"/>
          <w:bCs/>
          <w:sz w:val="24"/>
          <w:szCs w:val="24"/>
        </w:rPr>
        <w:t xml:space="preserve">parastais </w:t>
      </w:r>
      <w:proofErr w:type="spellStart"/>
      <w:r w:rsidR="00E92C4D" w:rsidRPr="00A07F29">
        <w:rPr>
          <w:rFonts w:ascii="Times New Roman" w:eastAsia="Calibri" w:hAnsi="Times New Roman" w:cs="Times New Roman"/>
          <w:bCs/>
          <w:sz w:val="24"/>
          <w:szCs w:val="24"/>
        </w:rPr>
        <w:t>miežubrālis</w:t>
      </w:r>
      <w:proofErr w:type="spellEnd"/>
      <w:r w:rsidR="00E92C4D" w:rsidRPr="00A07F29">
        <w:rPr>
          <w:rFonts w:ascii="Times New Roman" w:eastAsia="Calibri" w:hAnsi="Times New Roman" w:cs="Times New Roman"/>
          <w:bCs/>
          <w:sz w:val="24"/>
          <w:szCs w:val="24"/>
        </w:rPr>
        <w:t xml:space="preserve"> </w:t>
      </w:r>
      <w:proofErr w:type="spellStart"/>
      <w:r w:rsidRPr="00A07F29">
        <w:rPr>
          <w:rFonts w:ascii="Times New Roman" w:eastAsia="Calibri" w:hAnsi="Times New Roman" w:cs="Times New Roman"/>
          <w:bCs/>
          <w:i/>
          <w:sz w:val="24"/>
          <w:szCs w:val="24"/>
        </w:rPr>
        <w:t>Phalaroides</w:t>
      </w:r>
      <w:proofErr w:type="spellEnd"/>
      <w:r w:rsidRPr="00A07F29">
        <w:rPr>
          <w:rFonts w:ascii="Times New Roman" w:eastAsia="Calibri" w:hAnsi="Times New Roman" w:cs="Times New Roman"/>
          <w:bCs/>
          <w:i/>
          <w:sz w:val="24"/>
          <w:szCs w:val="24"/>
        </w:rPr>
        <w:t xml:space="preserve"> </w:t>
      </w:r>
      <w:proofErr w:type="spellStart"/>
      <w:r w:rsidR="00E92C4D" w:rsidRPr="00A07F29">
        <w:rPr>
          <w:rFonts w:ascii="Times New Roman" w:eastAsia="Calibri" w:hAnsi="Times New Roman" w:cs="Times New Roman"/>
          <w:bCs/>
          <w:i/>
          <w:sz w:val="24"/>
          <w:szCs w:val="24"/>
        </w:rPr>
        <w:t>arundinacea</w:t>
      </w:r>
      <w:proofErr w:type="spellEnd"/>
      <w:r w:rsidRPr="00A07F29">
        <w:rPr>
          <w:rFonts w:ascii="Times New Roman" w:eastAsia="Calibri" w:hAnsi="Times New Roman" w:cs="Times New Roman"/>
          <w:bCs/>
          <w:sz w:val="24"/>
          <w:szCs w:val="24"/>
        </w:rPr>
        <w:t xml:space="preserve">, slaidais grīslis </w:t>
      </w:r>
      <w:proofErr w:type="spellStart"/>
      <w:r w:rsidRPr="00A07F29">
        <w:rPr>
          <w:rFonts w:ascii="Times New Roman" w:eastAsia="Calibri" w:hAnsi="Times New Roman" w:cs="Times New Roman"/>
          <w:bCs/>
          <w:i/>
          <w:sz w:val="24"/>
          <w:szCs w:val="24"/>
        </w:rPr>
        <w:t>Carex</w:t>
      </w:r>
      <w:proofErr w:type="spellEnd"/>
      <w:r w:rsidRPr="00A07F29">
        <w:rPr>
          <w:rFonts w:ascii="Times New Roman" w:eastAsia="Calibri" w:hAnsi="Times New Roman" w:cs="Times New Roman"/>
          <w:bCs/>
          <w:i/>
          <w:sz w:val="24"/>
          <w:szCs w:val="24"/>
        </w:rPr>
        <w:t xml:space="preserve"> </w:t>
      </w:r>
      <w:proofErr w:type="spellStart"/>
      <w:r w:rsidRPr="00A07F29">
        <w:rPr>
          <w:rFonts w:ascii="Times New Roman" w:eastAsia="Calibri" w:hAnsi="Times New Roman" w:cs="Times New Roman"/>
          <w:bCs/>
          <w:i/>
          <w:sz w:val="24"/>
          <w:szCs w:val="24"/>
        </w:rPr>
        <w:t>acuta</w:t>
      </w:r>
      <w:proofErr w:type="spellEnd"/>
      <w:r w:rsidRPr="00A07F29">
        <w:rPr>
          <w:rFonts w:ascii="Times New Roman" w:eastAsia="Calibri" w:hAnsi="Times New Roman" w:cs="Times New Roman"/>
          <w:bCs/>
          <w:sz w:val="24"/>
          <w:szCs w:val="24"/>
        </w:rPr>
        <w:t xml:space="preserve">. </w:t>
      </w:r>
      <w:r w:rsidR="00E92C4D" w:rsidRPr="00A07F29">
        <w:rPr>
          <w:rFonts w:ascii="Times New Roman" w:eastAsia="Calibri" w:hAnsi="Times New Roman" w:cs="Times New Roman"/>
          <w:bCs/>
          <w:sz w:val="24"/>
          <w:szCs w:val="24"/>
        </w:rPr>
        <w:t>U</w:t>
      </w:r>
      <w:r w:rsidRPr="00A07F29">
        <w:rPr>
          <w:rFonts w:ascii="Times New Roman" w:eastAsia="Calibri" w:hAnsi="Times New Roman" w:cs="Times New Roman"/>
          <w:bCs/>
          <w:sz w:val="24"/>
          <w:szCs w:val="24"/>
        </w:rPr>
        <w:t>pe</w:t>
      </w:r>
      <w:r w:rsidR="00E92C4D" w:rsidRPr="00A07F29">
        <w:rPr>
          <w:rFonts w:ascii="Times New Roman" w:eastAsia="Calibri" w:hAnsi="Times New Roman" w:cs="Times New Roman"/>
          <w:bCs/>
          <w:sz w:val="24"/>
          <w:szCs w:val="24"/>
        </w:rPr>
        <w:t xml:space="preserve"> atbilst biotopa 3260</w:t>
      </w:r>
      <w:r w:rsidR="006B331E">
        <w:rPr>
          <w:rFonts w:ascii="Times New Roman" w:eastAsia="Calibri" w:hAnsi="Times New Roman" w:cs="Times New Roman"/>
          <w:bCs/>
          <w:sz w:val="24"/>
          <w:szCs w:val="24"/>
        </w:rPr>
        <w:t> </w:t>
      </w:r>
      <w:r w:rsidR="00E92C4D" w:rsidRPr="00A07F29">
        <w:rPr>
          <w:rFonts w:ascii="Times New Roman" w:eastAsia="Calibri" w:hAnsi="Times New Roman" w:cs="Times New Roman"/>
          <w:bCs/>
          <w:i/>
          <w:sz w:val="24"/>
          <w:szCs w:val="24"/>
        </w:rPr>
        <w:t>Upju straujteces un dabiski upju posmi</w:t>
      </w:r>
      <w:r w:rsidR="00E92C4D" w:rsidRPr="00A07F29">
        <w:rPr>
          <w:rFonts w:ascii="Times New Roman" w:eastAsia="Calibri" w:hAnsi="Times New Roman" w:cs="Times New Roman"/>
          <w:bCs/>
          <w:sz w:val="24"/>
          <w:szCs w:val="24"/>
        </w:rPr>
        <w:t xml:space="preserve"> 1.</w:t>
      </w:r>
      <w:r w:rsidR="006B331E">
        <w:rPr>
          <w:rFonts w:ascii="Times New Roman" w:eastAsia="Calibri" w:hAnsi="Times New Roman" w:cs="Times New Roman"/>
          <w:bCs/>
          <w:sz w:val="24"/>
          <w:szCs w:val="24"/>
        </w:rPr>
        <w:t> </w:t>
      </w:r>
      <w:r w:rsidR="00E92C4D" w:rsidRPr="00A07F29">
        <w:rPr>
          <w:rFonts w:ascii="Times New Roman" w:eastAsia="Calibri" w:hAnsi="Times New Roman" w:cs="Times New Roman"/>
          <w:bCs/>
          <w:sz w:val="24"/>
          <w:szCs w:val="24"/>
        </w:rPr>
        <w:t xml:space="preserve">variantam un tā </w:t>
      </w:r>
      <w:r w:rsidRPr="00A07F29">
        <w:rPr>
          <w:rFonts w:ascii="Times New Roman" w:eastAsia="Calibri" w:hAnsi="Times New Roman" w:cs="Times New Roman"/>
          <w:bCs/>
          <w:sz w:val="24"/>
          <w:szCs w:val="24"/>
        </w:rPr>
        <w:t xml:space="preserve">kvalitāte </w:t>
      </w:r>
      <w:r w:rsidR="00E92C4D" w:rsidRPr="00A07F29">
        <w:rPr>
          <w:rFonts w:ascii="Times New Roman" w:eastAsia="Calibri" w:hAnsi="Times New Roman" w:cs="Times New Roman"/>
          <w:bCs/>
          <w:sz w:val="24"/>
          <w:szCs w:val="24"/>
        </w:rPr>
        <w:t>no</w:t>
      </w:r>
      <w:r w:rsidRPr="00A07F29">
        <w:rPr>
          <w:rFonts w:ascii="Times New Roman" w:eastAsia="Calibri" w:hAnsi="Times New Roman" w:cs="Times New Roman"/>
          <w:bCs/>
          <w:sz w:val="24"/>
          <w:szCs w:val="24"/>
        </w:rPr>
        <w:t>vērtēta kā vidēja</w:t>
      </w:r>
      <w:r w:rsidR="002B69C3" w:rsidRPr="00A07F29">
        <w:rPr>
          <w:rFonts w:ascii="Times New Roman" w:eastAsia="Calibri" w:hAnsi="Times New Roman" w:cs="Times New Roman"/>
          <w:bCs/>
          <w:sz w:val="24"/>
          <w:szCs w:val="24"/>
        </w:rPr>
        <w:t>.</w:t>
      </w:r>
    </w:p>
    <w:p w14:paraId="3DAFA2E9" w14:textId="6428372F" w:rsidR="009A2B82" w:rsidRPr="00A07F29" w:rsidRDefault="009A2B82" w:rsidP="002B69C3">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b/>
          <w:bCs/>
          <w:sz w:val="24"/>
          <w:szCs w:val="24"/>
        </w:rPr>
        <w:t xml:space="preserve">Zīmeļa </w:t>
      </w:r>
      <w:r w:rsidRPr="00A07F29">
        <w:rPr>
          <w:rFonts w:ascii="Times New Roman" w:eastAsia="Calibri" w:hAnsi="Times New Roman" w:cs="Times New Roman"/>
          <w:sz w:val="24"/>
          <w:szCs w:val="24"/>
        </w:rPr>
        <w:t>(</w:t>
      </w:r>
      <w:proofErr w:type="spellStart"/>
      <w:r w:rsidRPr="00A07F29">
        <w:rPr>
          <w:rFonts w:ascii="Times New Roman" w:eastAsia="Calibri" w:hAnsi="Times New Roman" w:cs="Times New Roman"/>
          <w:sz w:val="24"/>
          <w:szCs w:val="24"/>
        </w:rPr>
        <w:t>Peščanka</w:t>
      </w:r>
      <w:proofErr w:type="spellEnd"/>
      <w:r w:rsidRPr="00A07F29">
        <w:rPr>
          <w:rFonts w:ascii="Times New Roman" w:eastAsia="Calibri" w:hAnsi="Times New Roman" w:cs="Times New Roman"/>
          <w:sz w:val="24"/>
          <w:szCs w:val="24"/>
        </w:rPr>
        <w:t>)</w:t>
      </w:r>
      <w:r w:rsidR="002B69C3" w:rsidRPr="00A07F29">
        <w:rPr>
          <w:rFonts w:ascii="Times New Roman" w:eastAsia="Calibri" w:hAnsi="Times New Roman" w:cs="Times New Roman"/>
          <w:sz w:val="24"/>
          <w:szCs w:val="24"/>
        </w:rPr>
        <w:t xml:space="preserve"> ir i</w:t>
      </w:r>
      <w:r w:rsidRPr="00A07F29">
        <w:rPr>
          <w:rFonts w:ascii="Times New Roman" w:eastAsia="Calibri" w:hAnsi="Times New Roman" w:cs="Times New Roman"/>
          <w:sz w:val="24"/>
          <w:szCs w:val="24"/>
        </w:rPr>
        <w:t>zteikti sekla upīte, jo dziļums tikai līdz 0</w:t>
      </w:r>
      <w:r w:rsidR="002B69C3" w:rsidRPr="00A07F29">
        <w:rPr>
          <w:rFonts w:ascii="Times New Roman" w:eastAsia="Calibri" w:hAnsi="Times New Roman" w:cs="Times New Roman"/>
          <w:sz w:val="24"/>
          <w:szCs w:val="24"/>
        </w:rPr>
        <w:t>,</w:t>
      </w:r>
      <w:r w:rsidRPr="00A07F29">
        <w:rPr>
          <w:rFonts w:ascii="Times New Roman" w:eastAsia="Calibri" w:hAnsi="Times New Roman" w:cs="Times New Roman"/>
          <w:sz w:val="24"/>
          <w:szCs w:val="24"/>
        </w:rPr>
        <w:t>3</w:t>
      </w:r>
      <w:r w:rsidR="00E830AF">
        <w:rPr>
          <w:rFonts w:ascii="Times New Roman" w:eastAsia="Calibri" w:hAnsi="Times New Roman" w:cs="Times New Roman"/>
          <w:sz w:val="24"/>
          <w:szCs w:val="24"/>
        </w:rPr>
        <w:t> </w:t>
      </w:r>
      <w:r w:rsidRPr="00A07F29">
        <w:rPr>
          <w:rFonts w:ascii="Times New Roman" w:eastAsia="Calibri" w:hAnsi="Times New Roman" w:cs="Times New Roman"/>
          <w:sz w:val="24"/>
          <w:szCs w:val="24"/>
        </w:rPr>
        <w:t>m. Upes gultne tikusi pārveidota</w:t>
      </w:r>
      <w:r w:rsidR="002B69C3" w:rsidRPr="00A07F29">
        <w:rPr>
          <w:rFonts w:ascii="Times New Roman" w:eastAsia="Calibri" w:hAnsi="Times New Roman" w:cs="Times New Roman"/>
          <w:sz w:val="24"/>
          <w:szCs w:val="24"/>
        </w:rPr>
        <w:t xml:space="preserve"> un </w:t>
      </w:r>
      <w:r w:rsidRPr="00A07F29">
        <w:rPr>
          <w:rFonts w:ascii="Times New Roman" w:eastAsia="Calibri" w:hAnsi="Times New Roman" w:cs="Times New Roman"/>
          <w:sz w:val="24"/>
          <w:szCs w:val="24"/>
        </w:rPr>
        <w:t xml:space="preserve">iztaisnota, bet ar laiku </w:t>
      </w:r>
      <w:proofErr w:type="spellStart"/>
      <w:r w:rsidRPr="00A07F29">
        <w:rPr>
          <w:rFonts w:ascii="Times New Roman" w:eastAsia="Calibri" w:hAnsi="Times New Roman" w:cs="Times New Roman"/>
          <w:sz w:val="24"/>
          <w:szCs w:val="24"/>
        </w:rPr>
        <w:t>dabiskojusies</w:t>
      </w:r>
      <w:proofErr w:type="spellEnd"/>
      <w:r w:rsidRPr="00A07F29">
        <w:rPr>
          <w:rFonts w:ascii="Times New Roman" w:eastAsia="Calibri" w:hAnsi="Times New Roman" w:cs="Times New Roman"/>
          <w:sz w:val="24"/>
          <w:szCs w:val="24"/>
        </w:rPr>
        <w:t xml:space="preserve"> un patreiz aktīvi veido meandrus. Upes </w:t>
      </w:r>
      <w:r w:rsidR="002B69C3" w:rsidRPr="00A07F29">
        <w:rPr>
          <w:rFonts w:ascii="Times New Roman" w:eastAsia="Calibri" w:hAnsi="Times New Roman" w:cs="Times New Roman"/>
          <w:sz w:val="24"/>
          <w:szCs w:val="24"/>
        </w:rPr>
        <w:t xml:space="preserve">abos krastos ir </w:t>
      </w:r>
      <w:r w:rsidRPr="00A07F29">
        <w:rPr>
          <w:rFonts w:ascii="Times New Roman" w:eastAsia="Calibri" w:hAnsi="Times New Roman" w:cs="Times New Roman"/>
          <w:sz w:val="24"/>
          <w:szCs w:val="24"/>
        </w:rPr>
        <w:t>mež</w:t>
      </w:r>
      <w:r w:rsidR="002B69C3" w:rsidRPr="00A07F29">
        <w:rPr>
          <w:rFonts w:ascii="Times New Roman" w:eastAsia="Calibri" w:hAnsi="Times New Roman" w:cs="Times New Roman"/>
          <w:sz w:val="24"/>
          <w:szCs w:val="24"/>
        </w:rPr>
        <w:t xml:space="preserve">s un </w:t>
      </w:r>
      <w:r w:rsidRPr="00A07F29">
        <w:rPr>
          <w:rFonts w:ascii="Times New Roman" w:eastAsia="Calibri" w:hAnsi="Times New Roman" w:cs="Times New Roman"/>
          <w:sz w:val="24"/>
          <w:szCs w:val="24"/>
        </w:rPr>
        <w:t>koku audzes</w:t>
      </w:r>
      <w:r w:rsidR="002B69C3" w:rsidRPr="00A07F29">
        <w:rPr>
          <w:rFonts w:ascii="Times New Roman" w:eastAsia="Calibri" w:hAnsi="Times New Roman" w:cs="Times New Roman"/>
          <w:sz w:val="24"/>
          <w:szCs w:val="24"/>
        </w:rPr>
        <w:t xml:space="preserve">. </w:t>
      </w:r>
      <w:r w:rsidRPr="00A07F29">
        <w:rPr>
          <w:rFonts w:ascii="Times New Roman" w:eastAsia="Calibri" w:hAnsi="Times New Roman" w:cs="Times New Roman"/>
          <w:sz w:val="24"/>
          <w:szCs w:val="24"/>
        </w:rPr>
        <w:t xml:space="preserve">Straujtece </w:t>
      </w:r>
      <w:r w:rsidR="002B69C3" w:rsidRPr="00A07F29">
        <w:rPr>
          <w:rFonts w:ascii="Times New Roman" w:eastAsia="Calibri" w:hAnsi="Times New Roman" w:cs="Times New Roman"/>
          <w:sz w:val="24"/>
          <w:szCs w:val="24"/>
        </w:rPr>
        <w:t xml:space="preserve">sastopama </w:t>
      </w:r>
      <w:r w:rsidRPr="00A07F29">
        <w:rPr>
          <w:rFonts w:ascii="Times New Roman" w:eastAsia="Calibri" w:hAnsi="Times New Roman" w:cs="Times New Roman"/>
          <w:sz w:val="24"/>
          <w:szCs w:val="24"/>
        </w:rPr>
        <w:t>70</w:t>
      </w:r>
      <w:r w:rsidR="003B2FB8">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 no </w:t>
      </w:r>
      <w:r w:rsidR="002B69C3" w:rsidRPr="00A07F29">
        <w:rPr>
          <w:rFonts w:ascii="Times New Roman" w:eastAsia="Calibri" w:hAnsi="Times New Roman" w:cs="Times New Roman"/>
          <w:sz w:val="24"/>
          <w:szCs w:val="24"/>
        </w:rPr>
        <w:t xml:space="preserve">apsekotā </w:t>
      </w:r>
      <w:r w:rsidRPr="00A07F29">
        <w:rPr>
          <w:rFonts w:ascii="Times New Roman" w:eastAsia="Calibri" w:hAnsi="Times New Roman" w:cs="Times New Roman"/>
          <w:sz w:val="24"/>
          <w:szCs w:val="24"/>
        </w:rPr>
        <w:t>upes posma</w:t>
      </w:r>
      <w:r w:rsidR="002B69C3" w:rsidRPr="00A07F29">
        <w:rPr>
          <w:rFonts w:ascii="Times New Roman" w:eastAsia="Calibri" w:hAnsi="Times New Roman" w:cs="Times New Roman"/>
          <w:sz w:val="24"/>
          <w:szCs w:val="24"/>
        </w:rPr>
        <w:t xml:space="preserve"> un mijas ar </w:t>
      </w:r>
      <w:proofErr w:type="spellStart"/>
      <w:r w:rsidR="002B69C3" w:rsidRPr="00A07F29">
        <w:rPr>
          <w:rFonts w:ascii="Times New Roman" w:eastAsia="Calibri" w:hAnsi="Times New Roman" w:cs="Times New Roman"/>
          <w:sz w:val="24"/>
          <w:szCs w:val="24"/>
        </w:rPr>
        <w:t>lēnteci</w:t>
      </w:r>
      <w:proofErr w:type="spellEnd"/>
      <w:r w:rsidRPr="00A07F29">
        <w:rPr>
          <w:rFonts w:ascii="Times New Roman" w:eastAsia="Calibri" w:hAnsi="Times New Roman" w:cs="Times New Roman"/>
          <w:sz w:val="24"/>
          <w:szCs w:val="24"/>
        </w:rPr>
        <w:t>. Koku lapotne saslēgusies visā 500</w:t>
      </w:r>
      <w:r w:rsidR="0022270A">
        <w:rPr>
          <w:rFonts w:ascii="Times New Roman" w:eastAsia="Calibri" w:hAnsi="Times New Roman" w:cs="Times New Roman"/>
          <w:sz w:val="24"/>
          <w:szCs w:val="24"/>
        </w:rPr>
        <w:t> </w:t>
      </w:r>
      <w:r w:rsidRPr="00A07F29">
        <w:rPr>
          <w:rFonts w:ascii="Times New Roman" w:eastAsia="Calibri" w:hAnsi="Times New Roman" w:cs="Times New Roman"/>
          <w:sz w:val="24"/>
          <w:szCs w:val="24"/>
        </w:rPr>
        <w:t>m posmā, ir nedaudz lapu</w:t>
      </w:r>
      <w:r w:rsidR="002B69C3" w:rsidRPr="00A07F29">
        <w:rPr>
          <w:rFonts w:ascii="Times New Roman" w:eastAsia="Calibri" w:hAnsi="Times New Roman" w:cs="Times New Roman"/>
          <w:sz w:val="24"/>
          <w:szCs w:val="24"/>
        </w:rPr>
        <w:t xml:space="preserve"> un </w:t>
      </w:r>
      <w:r w:rsidRPr="00A07F29">
        <w:rPr>
          <w:rFonts w:ascii="Times New Roman" w:eastAsia="Calibri" w:hAnsi="Times New Roman" w:cs="Times New Roman"/>
          <w:sz w:val="24"/>
          <w:szCs w:val="24"/>
        </w:rPr>
        <w:t xml:space="preserve">zaru sanesumi, </w:t>
      </w:r>
      <w:r w:rsidR="002B69C3" w:rsidRPr="00A07F29">
        <w:rPr>
          <w:rFonts w:ascii="Times New Roman" w:eastAsia="Calibri" w:hAnsi="Times New Roman" w:cs="Times New Roman"/>
          <w:sz w:val="24"/>
          <w:szCs w:val="24"/>
        </w:rPr>
        <w:t xml:space="preserve">vērojams </w:t>
      </w:r>
      <w:proofErr w:type="spellStart"/>
      <w:r w:rsidRPr="00A07F29">
        <w:rPr>
          <w:rFonts w:ascii="Times New Roman" w:eastAsia="Calibri" w:hAnsi="Times New Roman" w:cs="Times New Roman"/>
          <w:sz w:val="24"/>
          <w:szCs w:val="24"/>
        </w:rPr>
        <w:t>sedimentācijas</w:t>
      </w:r>
      <w:proofErr w:type="spellEnd"/>
      <w:r w:rsidRPr="00A07F29">
        <w:rPr>
          <w:rFonts w:ascii="Times New Roman" w:eastAsia="Calibri" w:hAnsi="Times New Roman" w:cs="Times New Roman"/>
          <w:sz w:val="24"/>
          <w:szCs w:val="24"/>
        </w:rPr>
        <w:t xml:space="preserve"> process. Ir novērota bebru darbība</w:t>
      </w:r>
      <w:r w:rsidR="002B69C3" w:rsidRPr="00A07F29">
        <w:rPr>
          <w:rFonts w:ascii="Times New Roman" w:eastAsia="Calibri" w:hAnsi="Times New Roman" w:cs="Times New Roman"/>
          <w:sz w:val="24"/>
          <w:szCs w:val="24"/>
        </w:rPr>
        <w:t xml:space="preserve"> –</w:t>
      </w:r>
      <w:r w:rsidRPr="00A07F29">
        <w:rPr>
          <w:rFonts w:ascii="Times New Roman" w:eastAsia="Calibri" w:hAnsi="Times New Roman" w:cs="Times New Roman"/>
          <w:sz w:val="24"/>
          <w:szCs w:val="24"/>
        </w:rPr>
        <w:t xml:space="preserve"> alas un grauzti koki. </w:t>
      </w:r>
      <w:r w:rsidR="00081795" w:rsidRPr="00A07F29">
        <w:rPr>
          <w:rFonts w:ascii="Times New Roman" w:eastAsia="Calibri" w:hAnsi="Times New Roman" w:cs="Times New Roman"/>
          <w:sz w:val="24"/>
          <w:szCs w:val="24"/>
        </w:rPr>
        <w:t xml:space="preserve">Sastopami tikai </w:t>
      </w:r>
      <w:r w:rsidR="00516742">
        <w:rPr>
          <w:rFonts w:ascii="Times New Roman" w:eastAsia="Calibri" w:hAnsi="Times New Roman" w:cs="Times New Roman"/>
          <w:sz w:val="24"/>
          <w:szCs w:val="24"/>
        </w:rPr>
        <w:t>pieci</w:t>
      </w:r>
      <w:r w:rsidR="002B69C3" w:rsidRPr="00A07F29">
        <w:rPr>
          <w:rFonts w:ascii="Times New Roman" w:eastAsia="Calibri" w:hAnsi="Times New Roman" w:cs="Times New Roman"/>
          <w:sz w:val="24"/>
          <w:szCs w:val="24"/>
        </w:rPr>
        <w:t xml:space="preserve"> </w:t>
      </w:r>
      <w:proofErr w:type="spellStart"/>
      <w:r w:rsidR="002B69C3" w:rsidRPr="00A07F29">
        <w:rPr>
          <w:rFonts w:ascii="Times New Roman" w:eastAsia="Calibri" w:hAnsi="Times New Roman" w:cs="Times New Roman"/>
          <w:sz w:val="24"/>
          <w:szCs w:val="24"/>
        </w:rPr>
        <w:t>helofītu</w:t>
      </w:r>
      <w:proofErr w:type="spellEnd"/>
      <w:r w:rsidR="002B69C3" w:rsidRPr="00A07F29">
        <w:rPr>
          <w:rFonts w:ascii="Times New Roman" w:eastAsia="Calibri" w:hAnsi="Times New Roman" w:cs="Times New Roman"/>
          <w:sz w:val="24"/>
          <w:szCs w:val="24"/>
        </w:rPr>
        <w:t xml:space="preserve"> un </w:t>
      </w:r>
      <w:r w:rsidR="00516742">
        <w:rPr>
          <w:rFonts w:ascii="Times New Roman" w:eastAsia="Calibri" w:hAnsi="Times New Roman" w:cs="Times New Roman"/>
          <w:sz w:val="24"/>
          <w:szCs w:val="24"/>
        </w:rPr>
        <w:t>vien</w:t>
      </w:r>
      <w:r w:rsidR="00C61582">
        <w:rPr>
          <w:rFonts w:ascii="Times New Roman" w:eastAsia="Calibri" w:hAnsi="Times New Roman" w:cs="Times New Roman"/>
          <w:sz w:val="24"/>
          <w:szCs w:val="24"/>
        </w:rPr>
        <w:t>a</w:t>
      </w:r>
      <w:r w:rsidR="002B69C3" w:rsidRPr="00A07F29">
        <w:rPr>
          <w:rFonts w:ascii="Times New Roman" w:eastAsia="Calibri" w:hAnsi="Times New Roman" w:cs="Times New Roman"/>
          <w:sz w:val="24"/>
          <w:szCs w:val="24"/>
        </w:rPr>
        <w:t xml:space="preserve"> </w:t>
      </w:r>
      <w:proofErr w:type="spellStart"/>
      <w:r w:rsidR="002B69C3" w:rsidRPr="00A07F29">
        <w:rPr>
          <w:rFonts w:ascii="Times New Roman" w:eastAsia="Calibri" w:hAnsi="Times New Roman" w:cs="Times New Roman"/>
          <w:sz w:val="24"/>
          <w:szCs w:val="24"/>
        </w:rPr>
        <w:t>eloīdu</w:t>
      </w:r>
      <w:proofErr w:type="spellEnd"/>
      <w:r w:rsidR="002B69C3" w:rsidRPr="00A07F29">
        <w:rPr>
          <w:rFonts w:ascii="Times New Roman" w:eastAsia="Calibri" w:hAnsi="Times New Roman" w:cs="Times New Roman"/>
          <w:sz w:val="24"/>
          <w:szCs w:val="24"/>
        </w:rPr>
        <w:t xml:space="preserve"> sugu daži eksemplāri. Ieteicama </w:t>
      </w:r>
      <w:r w:rsidRPr="00A07F29">
        <w:rPr>
          <w:rFonts w:ascii="Times New Roman" w:eastAsia="Calibri" w:hAnsi="Times New Roman" w:cs="Times New Roman"/>
          <w:sz w:val="24"/>
          <w:szCs w:val="24"/>
        </w:rPr>
        <w:t>koku sanesumu izvākšana</w:t>
      </w:r>
      <w:r w:rsidR="002B69C3" w:rsidRPr="00A07F29">
        <w:rPr>
          <w:rFonts w:ascii="Times New Roman" w:eastAsia="Calibri" w:hAnsi="Times New Roman" w:cs="Times New Roman"/>
          <w:sz w:val="24"/>
          <w:szCs w:val="24"/>
        </w:rPr>
        <w:t xml:space="preserve"> un krastos </w:t>
      </w:r>
      <w:r w:rsidR="002B69C3" w:rsidRPr="00A07F29">
        <w:rPr>
          <w:rFonts w:ascii="Times New Roman" w:eastAsia="Calibri" w:hAnsi="Times New Roman" w:cs="Times New Roman"/>
          <w:sz w:val="24"/>
          <w:szCs w:val="24"/>
        </w:rPr>
        <w:lastRenderedPageBreak/>
        <w:t>augošo baltalkšņu retināšana</w:t>
      </w:r>
      <w:r w:rsidRPr="00A07F29">
        <w:rPr>
          <w:rFonts w:ascii="Times New Roman" w:eastAsia="Calibri" w:hAnsi="Times New Roman" w:cs="Times New Roman"/>
          <w:sz w:val="24"/>
          <w:szCs w:val="24"/>
        </w:rPr>
        <w:t>. Upe</w:t>
      </w:r>
      <w:r w:rsidR="00081795" w:rsidRPr="00A07F29">
        <w:rPr>
          <w:rFonts w:ascii="Times New Roman" w:eastAsia="Calibri" w:hAnsi="Times New Roman" w:cs="Times New Roman"/>
          <w:sz w:val="24"/>
          <w:szCs w:val="24"/>
        </w:rPr>
        <w:t xml:space="preserve"> </w:t>
      </w:r>
      <w:r w:rsidR="00081795" w:rsidRPr="00A07F29">
        <w:rPr>
          <w:rFonts w:ascii="Times New Roman" w:eastAsia="Calibri" w:hAnsi="Times New Roman" w:cs="Times New Roman"/>
          <w:bCs/>
          <w:sz w:val="24"/>
          <w:szCs w:val="24"/>
        </w:rPr>
        <w:t>atbilst biotopa 3260</w:t>
      </w:r>
      <w:r w:rsidR="00C61582">
        <w:rPr>
          <w:rFonts w:ascii="Times New Roman" w:eastAsia="Calibri" w:hAnsi="Times New Roman" w:cs="Times New Roman"/>
          <w:bCs/>
          <w:sz w:val="24"/>
          <w:szCs w:val="24"/>
        </w:rPr>
        <w:t> </w:t>
      </w:r>
      <w:r w:rsidR="00081795" w:rsidRPr="00A07F29">
        <w:rPr>
          <w:rFonts w:ascii="Times New Roman" w:eastAsia="Calibri" w:hAnsi="Times New Roman" w:cs="Times New Roman"/>
          <w:bCs/>
          <w:i/>
          <w:sz w:val="24"/>
          <w:szCs w:val="24"/>
        </w:rPr>
        <w:t>Upju straujteces un dabiski upju posmi</w:t>
      </w:r>
      <w:r w:rsidR="00081795" w:rsidRPr="00A07F29">
        <w:rPr>
          <w:rFonts w:ascii="Times New Roman" w:eastAsia="Calibri" w:hAnsi="Times New Roman" w:cs="Times New Roman"/>
          <w:bCs/>
          <w:sz w:val="24"/>
          <w:szCs w:val="24"/>
        </w:rPr>
        <w:t xml:space="preserve"> 1. variantam un tā </w:t>
      </w:r>
      <w:r w:rsidRPr="00A07F29">
        <w:rPr>
          <w:rFonts w:ascii="Times New Roman" w:eastAsia="Calibri" w:hAnsi="Times New Roman" w:cs="Times New Roman"/>
          <w:sz w:val="24"/>
          <w:szCs w:val="24"/>
        </w:rPr>
        <w:t>kvalitāte vērtēta kā zema.</w:t>
      </w:r>
    </w:p>
    <w:p w14:paraId="09654306" w14:textId="1ED2BE1A" w:rsidR="00A354FB" w:rsidRPr="00A07F29" w:rsidRDefault="00A354FB" w:rsidP="00F02EFD">
      <w:pPr>
        <w:spacing w:after="120" w:line="240" w:lineRule="auto"/>
        <w:ind w:firstLine="851"/>
        <w:jc w:val="both"/>
        <w:rPr>
          <w:rFonts w:ascii="Times New Roman" w:eastAsia="Calibri" w:hAnsi="Times New Roman" w:cs="Times New Roman"/>
          <w:sz w:val="24"/>
          <w:szCs w:val="24"/>
        </w:rPr>
      </w:pPr>
      <w:proofErr w:type="spellStart"/>
      <w:r w:rsidRPr="00A07F29">
        <w:rPr>
          <w:rFonts w:ascii="Times New Roman" w:eastAsia="Calibri" w:hAnsi="Times New Roman" w:cs="Times New Roman"/>
          <w:b/>
          <w:bCs/>
          <w:sz w:val="24"/>
          <w:szCs w:val="24"/>
        </w:rPr>
        <w:t>Jāņupīte</w:t>
      </w:r>
      <w:proofErr w:type="spellEnd"/>
      <w:r w:rsidRPr="00A07F29">
        <w:rPr>
          <w:rFonts w:ascii="Times New Roman" w:eastAsia="Calibri" w:hAnsi="Times New Roman" w:cs="Times New Roman"/>
          <w:b/>
          <w:bCs/>
          <w:sz w:val="24"/>
          <w:szCs w:val="24"/>
        </w:rPr>
        <w:t xml:space="preserve"> </w:t>
      </w:r>
      <w:r w:rsidRPr="00A07F29">
        <w:rPr>
          <w:rFonts w:ascii="Times New Roman" w:eastAsia="Calibri" w:hAnsi="Times New Roman" w:cs="Times New Roman"/>
          <w:sz w:val="24"/>
          <w:szCs w:val="24"/>
        </w:rPr>
        <w:t>(</w:t>
      </w:r>
      <w:proofErr w:type="spellStart"/>
      <w:r w:rsidRPr="00A07F29">
        <w:rPr>
          <w:rFonts w:ascii="Times New Roman" w:eastAsia="Calibri" w:hAnsi="Times New Roman" w:cs="Times New Roman"/>
          <w:sz w:val="24"/>
          <w:szCs w:val="24"/>
        </w:rPr>
        <w:t>Joņupeite</w:t>
      </w:r>
      <w:proofErr w:type="spellEnd"/>
      <w:r w:rsidRPr="00A07F29">
        <w:rPr>
          <w:rFonts w:ascii="Times New Roman" w:eastAsia="Calibri" w:hAnsi="Times New Roman" w:cs="Times New Roman"/>
          <w:sz w:val="24"/>
          <w:szCs w:val="24"/>
        </w:rPr>
        <w:t>, Krāslava)</w:t>
      </w:r>
      <w:r w:rsidR="00081795" w:rsidRPr="00A07F29">
        <w:rPr>
          <w:rFonts w:ascii="Times New Roman" w:eastAsia="Calibri" w:hAnsi="Times New Roman" w:cs="Times New Roman"/>
          <w:sz w:val="24"/>
          <w:szCs w:val="24"/>
        </w:rPr>
        <w:t xml:space="preserve"> </w:t>
      </w:r>
      <w:r w:rsidRPr="00A07F29">
        <w:rPr>
          <w:rFonts w:ascii="Times New Roman" w:eastAsia="Calibri" w:hAnsi="Times New Roman" w:cs="Times New Roman"/>
          <w:sz w:val="24"/>
          <w:szCs w:val="24"/>
        </w:rPr>
        <w:t xml:space="preserve">ietek Daugavā Krāslavas pilsētas teritorijā, tās aptuvenais garums </w:t>
      </w:r>
      <w:r w:rsidR="00081795" w:rsidRPr="00A07F29">
        <w:rPr>
          <w:rFonts w:ascii="Times New Roman" w:eastAsia="Calibri" w:hAnsi="Times New Roman" w:cs="Times New Roman"/>
          <w:sz w:val="24"/>
          <w:szCs w:val="24"/>
        </w:rPr>
        <w:t xml:space="preserve">ir tikai </w:t>
      </w:r>
      <w:r w:rsidRPr="00A07F29">
        <w:rPr>
          <w:rFonts w:ascii="Times New Roman" w:eastAsia="Calibri" w:hAnsi="Times New Roman" w:cs="Times New Roman"/>
          <w:sz w:val="24"/>
          <w:szCs w:val="24"/>
        </w:rPr>
        <w:t>6</w:t>
      </w:r>
      <w:r w:rsidR="00C61582">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km. Lai arī upītes krasti ir nedaudz pārveidoti, tā ir veiksmīgi </w:t>
      </w:r>
      <w:proofErr w:type="spellStart"/>
      <w:r w:rsidRPr="00A07F29">
        <w:rPr>
          <w:rFonts w:ascii="Times New Roman" w:eastAsia="Calibri" w:hAnsi="Times New Roman" w:cs="Times New Roman"/>
          <w:sz w:val="24"/>
          <w:szCs w:val="24"/>
        </w:rPr>
        <w:t>dabiskojusies</w:t>
      </w:r>
      <w:proofErr w:type="spellEnd"/>
      <w:r w:rsidRPr="00A07F29">
        <w:rPr>
          <w:rFonts w:ascii="Times New Roman" w:eastAsia="Calibri" w:hAnsi="Times New Roman" w:cs="Times New Roman"/>
          <w:sz w:val="24"/>
          <w:szCs w:val="24"/>
        </w:rPr>
        <w:t xml:space="preserve"> un ir straujtece visā </w:t>
      </w:r>
      <w:r w:rsidR="00081795" w:rsidRPr="00A07F29">
        <w:rPr>
          <w:rFonts w:ascii="Times New Roman" w:eastAsia="Calibri" w:hAnsi="Times New Roman" w:cs="Times New Roman"/>
          <w:sz w:val="24"/>
          <w:szCs w:val="24"/>
        </w:rPr>
        <w:t xml:space="preserve">apsekotajā </w:t>
      </w:r>
      <w:r w:rsidRPr="00A07F29">
        <w:rPr>
          <w:rFonts w:ascii="Times New Roman" w:eastAsia="Calibri" w:hAnsi="Times New Roman" w:cs="Times New Roman"/>
          <w:sz w:val="24"/>
          <w:szCs w:val="24"/>
        </w:rPr>
        <w:t>posmā. Upes gultne dabiska, bet tās krasti kā dabiski vērtēti 60</w:t>
      </w:r>
      <w:r w:rsidR="00081795" w:rsidRPr="00A07F29">
        <w:rPr>
          <w:rFonts w:ascii="Times New Roman" w:eastAsia="Calibri" w:hAnsi="Times New Roman" w:cs="Times New Roman"/>
          <w:sz w:val="24"/>
          <w:szCs w:val="24"/>
        </w:rPr>
        <w:t> </w:t>
      </w:r>
      <w:r w:rsidRPr="00A07F29">
        <w:rPr>
          <w:rFonts w:ascii="Times New Roman" w:eastAsia="Calibri" w:hAnsi="Times New Roman" w:cs="Times New Roman"/>
          <w:sz w:val="24"/>
          <w:szCs w:val="24"/>
        </w:rPr>
        <w:t>% un pārveidoti – 40</w:t>
      </w:r>
      <w:r w:rsidR="004421CF">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 Upes </w:t>
      </w:r>
      <w:r w:rsidR="00081795" w:rsidRPr="00A07F29">
        <w:rPr>
          <w:rFonts w:ascii="Times New Roman" w:eastAsia="Calibri" w:hAnsi="Times New Roman" w:cs="Times New Roman"/>
          <w:sz w:val="24"/>
          <w:szCs w:val="24"/>
        </w:rPr>
        <w:t>krastos dominē</w:t>
      </w:r>
      <w:r w:rsidRPr="00A07F29">
        <w:rPr>
          <w:rFonts w:ascii="Times New Roman" w:eastAsia="Calibri" w:hAnsi="Times New Roman" w:cs="Times New Roman"/>
          <w:sz w:val="24"/>
          <w:szCs w:val="24"/>
        </w:rPr>
        <w:t xml:space="preserve"> koku josla</w:t>
      </w:r>
      <w:r w:rsidR="00F02EFD" w:rsidRPr="00A07F29">
        <w:rPr>
          <w:rFonts w:ascii="Times New Roman" w:eastAsia="Calibri" w:hAnsi="Times New Roman" w:cs="Times New Roman"/>
          <w:sz w:val="24"/>
          <w:szCs w:val="24"/>
        </w:rPr>
        <w:t>, ieteicama koku retināšana</w:t>
      </w:r>
      <w:r w:rsidR="00081795" w:rsidRPr="00A07F29">
        <w:rPr>
          <w:rFonts w:ascii="Times New Roman" w:eastAsia="Calibri" w:hAnsi="Times New Roman" w:cs="Times New Roman"/>
          <w:sz w:val="24"/>
          <w:szCs w:val="24"/>
        </w:rPr>
        <w:t xml:space="preserve">. Konstatēti </w:t>
      </w:r>
      <w:r w:rsidRPr="00A07F29">
        <w:rPr>
          <w:rFonts w:ascii="Times New Roman" w:eastAsia="Calibri" w:hAnsi="Times New Roman" w:cs="Times New Roman"/>
          <w:sz w:val="24"/>
          <w:szCs w:val="24"/>
        </w:rPr>
        <w:t>sadzīves atkritumi un drenu izvadi.</w:t>
      </w:r>
      <w:r w:rsidR="00F02EFD" w:rsidRPr="00A07F29">
        <w:rPr>
          <w:rFonts w:ascii="Times New Roman" w:eastAsia="Calibri" w:hAnsi="Times New Roman" w:cs="Times New Roman"/>
          <w:sz w:val="24"/>
          <w:szCs w:val="24"/>
        </w:rPr>
        <w:t xml:space="preserve"> Sastopamas straujtecēm raksturīgās aļģes </w:t>
      </w:r>
      <w:proofErr w:type="spellStart"/>
      <w:r w:rsidR="00F02EFD" w:rsidRPr="00A07F29">
        <w:rPr>
          <w:rFonts w:ascii="Times New Roman" w:eastAsia="Calibri" w:hAnsi="Times New Roman" w:cs="Times New Roman"/>
          <w:sz w:val="24"/>
          <w:szCs w:val="24"/>
        </w:rPr>
        <w:t>hidebrandija</w:t>
      </w:r>
      <w:proofErr w:type="spellEnd"/>
      <w:r w:rsidR="00F02EFD"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i/>
          <w:iCs/>
          <w:sz w:val="24"/>
          <w:szCs w:val="24"/>
        </w:rPr>
        <w:t>Hildebrandia</w:t>
      </w:r>
      <w:proofErr w:type="spellEnd"/>
      <w:r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rivularis</w:t>
      </w:r>
      <w:proofErr w:type="spellEnd"/>
      <w:r w:rsidR="00F02EFD" w:rsidRPr="00A07F29">
        <w:rPr>
          <w:rFonts w:ascii="Times New Roman" w:eastAsia="Calibri" w:hAnsi="Times New Roman" w:cs="Times New Roman"/>
          <w:iCs/>
          <w:sz w:val="24"/>
          <w:szCs w:val="24"/>
        </w:rPr>
        <w:t xml:space="preserve"> un </w:t>
      </w:r>
      <w:proofErr w:type="spellStart"/>
      <w:r w:rsidR="00F02EFD" w:rsidRPr="00A07F29">
        <w:rPr>
          <w:rFonts w:ascii="Times New Roman" w:eastAsia="Calibri" w:hAnsi="Times New Roman" w:cs="Times New Roman"/>
          <w:iCs/>
          <w:sz w:val="24"/>
          <w:szCs w:val="24"/>
        </w:rPr>
        <w:t>kladoforas</w:t>
      </w:r>
      <w:proofErr w:type="spellEnd"/>
      <w:r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Cladophara</w:t>
      </w:r>
      <w:proofErr w:type="spellEnd"/>
      <w:r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sp</w:t>
      </w:r>
      <w:proofErr w:type="spellEnd"/>
      <w:r w:rsidRPr="00A07F29">
        <w:rPr>
          <w:rFonts w:ascii="Times New Roman" w:eastAsia="Calibri" w:hAnsi="Times New Roman" w:cs="Times New Roman"/>
          <w:i/>
          <w:iCs/>
          <w:sz w:val="24"/>
          <w:szCs w:val="24"/>
        </w:rPr>
        <w:t>.</w:t>
      </w:r>
      <w:r w:rsidRPr="00A07F29">
        <w:rPr>
          <w:rFonts w:ascii="Times New Roman" w:eastAsia="Calibri" w:hAnsi="Times New Roman" w:cs="Times New Roman"/>
          <w:iCs/>
          <w:sz w:val="24"/>
          <w:szCs w:val="24"/>
        </w:rPr>
        <w:t>,</w:t>
      </w:r>
      <w:r w:rsidR="00F02EFD" w:rsidRPr="00A07F29">
        <w:rPr>
          <w:rFonts w:ascii="Times New Roman" w:eastAsia="Calibri" w:hAnsi="Times New Roman" w:cs="Times New Roman"/>
          <w:i/>
          <w:iCs/>
          <w:sz w:val="24"/>
          <w:szCs w:val="24"/>
        </w:rPr>
        <w:t xml:space="preserve"> </w:t>
      </w:r>
      <w:r w:rsidR="00F02EFD" w:rsidRPr="00A07F29">
        <w:rPr>
          <w:rFonts w:ascii="Times New Roman" w:eastAsia="Calibri" w:hAnsi="Times New Roman" w:cs="Times New Roman"/>
          <w:sz w:val="24"/>
          <w:szCs w:val="24"/>
        </w:rPr>
        <w:t>kā arī sūnas</w:t>
      </w:r>
      <w:r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Fontinalis</w:t>
      </w:r>
      <w:proofErr w:type="spellEnd"/>
      <w:r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antipyretica</w:t>
      </w:r>
      <w:proofErr w:type="spellEnd"/>
      <w:r w:rsidR="00F02EFD" w:rsidRPr="00A07F29">
        <w:rPr>
          <w:rFonts w:ascii="Times New Roman" w:eastAsia="Calibri" w:hAnsi="Times New Roman" w:cs="Times New Roman"/>
          <w:iCs/>
          <w:sz w:val="24"/>
          <w:szCs w:val="24"/>
        </w:rPr>
        <w:t xml:space="preserve"> un </w:t>
      </w:r>
      <w:proofErr w:type="spellStart"/>
      <w:r w:rsidRPr="00A07F29">
        <w:rPr>
          <w:rFonts w:ascii="Times New Roman" w:eastAsia="Calibri" w:hAnsi="Times New Roman" w:cs="Times New Roman"/>
          <w:i/>
          <w:iCs/>
          <w:sz w:val="24"/>
          <w:szCs w:val="24"/>
        </w:rPr>
        <w:t>Platyhypnidium</w:t>
      </w:r>
      <w:proofErr w:type="spellEnd"/>
      <w:r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riparioides</w:t>
      </w:r>
      <w:proofErr w:type="spellEnd"/>
      <w:r w:rsidRPr="00A07F29">
        <w:rPr>
          <w:rFonts w:ascii="Times New Roman" w:eastAsia="Calibri" w:hAnsi="Times New Roman" w:cs="Times New Roman"/>
          <w:i/>
          <w:iCs/>
          <w:sz w:val="24"/>
          <w:szCs w:val="24"/>
        </w:rPr>
        <w:t xml:space="preserve">. </w:t>
      </w:r>
      <w:r w:rsidR="00F02EFD" w:rsidRPr="00A07F29">
        <w:rPr>
          <w:rFonts w:ascii="Times New Roman" w:eastAsia="Calibri" w:hAnsi="Times New Roman" w:cs="Times New Roman"/>
          <w:sz w:val="24"/>
          <w:szCs w:val="24"/>
        </w:rPr>
        <w:t xml:space="preserve">Konstatētas arī </w:t>
      </w:r>
      <w:r w:rsidR="004421CF">
        <w:rPr>
          <w:rFonts w:ascii="Times New Roman" w:eastAsia="Calibri" w:hAnsi="Times New Roman" w:cs="Times New Roman"/>
          <w:sz w:val="24"/>
          <w:szCs w:val="24"/>
        </w:rPr>
        <w:t>astoņas</w:t>
      </w:r>
      <w:r w:rsidRPr="00A07F29">
        <w:rPr>
          <w:rFonts w:ascii="Times New Roman" w:eastAsia="Calibri" w:hAnsi="Times New Roman" w:cs="Times New Roman"/>
          <w:sz w:val="24"/>
          <w:szCs w:val="24"/>
        </w:rPr>
        <w:t xml:space="preserve"> </w:t>
      </w:r>
      <w:proofErr w:type="spellStart"/>
      <w:r w:rsidR="00F02EFD" w:rsidRPr="00A07F29">
        <w:rPr>
          <w:rFonts w:ascii="Times New Roman" w:eastAsia="Calibri" w:hAnsi="Times New Roman" w:cs="Times New Roman"/>
          <w:sz w:val="24"/>
          <w:szCs w:val="24"/>
        </w:rPr>
        <w:t>virsūdens</w:t>
      </w:r>
      <w:proofErr w:type="spellEnd"/>
      <w:r w:rsidR="00F02EFD" w:rsidRPr="00A07F29">
        <w:rPr>
          <w:rFonts w:ascii="Times New Roman" w:eastAsia="Calibri" w:hAnsi="Times New Roman" w:cs="Times New Roman"/>
          <w:sz w:val="24"/>
          <w:szCs w:val="24"/>
        </w:rPr>
        <w:t xml:space="preserve"> augu </w:t>
      </w:r>
      <w:r w:rsidRPr="00A07F29">
        <w:rPr>
          <w:rFonts w:ascii="Times New Roman" w:eastAsia="Calibri" w:hAnsi="Times New Roman" w:cs="Times New Roman"/>
          <w:sz w:val="24"/>
          <w:szCs w:val="24"/>
        </w:rPr>
        <w:t xml:space="preserve">sugas, </w:t>
      </w:r>
      <w:r w:rsidR="00F02EFD" w:rsidRPr="00A07F29">
        <w:rPr>
          <w:rFonts w:ascii="Times New Roman" w:eastAsia="Calibri" w:hAnsi="Times New Roman" w:cs="Times New Roman"/>
          <w:sz w:val="24"/>
          <w:szCs w:val="24"/>
        </w:rPr>
        <w:t xml:space="preserve">no </w:t>
      </w:r>
      <w:r w:rsidRPr="00A07F29">
        <w:rPr>
          <w:rFonts w:ascii="Times New Roman" w:eastAsia="Calibri" w:hAnsi="Times New Roman" w:cs="Times New Roman"/>
          <w:sz w:val="24"/>
          <w:szCs w:val="24"/>
        </w:rPr>
        <w:t xml:space="preserve">kurām </w:t>
      </w:r>
      <w:r w:rsidR="00F02EFD" w:rsidRPr="00A07F29">
        <w:rPr>
          <w:rFonts w:ascii="Times New Roman" w:eastAsia="Calibri" w:hAnsi="Times New Roman" w:cs="Times New Roman"/>
          <w:sz w:val="24"/>
          <w:szCs w:val="24"/>
        </w:rPr>
        <w:t xml:space="preserve">biežāk sastopams </w:t>
      </w:r>
      <w:r w:rsidRPr="00A07F29">
        <w:rPr>
          <w:rFonts w:ascii="Times New Roman" w:eastAsia="Calibri" w:hAnsi="Times New Roman" w:cs="Times New Roman"/>
          <w:sz w:val="24"/>
          <w:szCs w:val="24"/>
        </w:rPr>
        <w:t xml:space="preserve">parastais </w:t>
      </w:r>
      <w:proofErr w:type="spellStart"/>
      <w:r w:rsidR="00F02EFD" w:rsidRPr="00A07F29">
        <w:rPr>
          <w:rFonts w:ascii="Times New Roman" w:eastAsia="Calibri" w:hAnsi="Times New Roman" w:cs="Times New Roman"/>
          <w:sz w:val="24"/>
          <w:szCs w:val="24"/>
        </w:rPr>
        <w:t>miežubrālis</w:t>
      </w:r>
      <w:proofErr w:type="spellEnd"/>
      <w:r w:rsidR="00F02EFD"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i/>
          <w:iCs/>
          <w:sz w:val="24"/>
          <w:szCs w:val="24"/>
        </w:rPr>
        <w:t>Phalaroides</w:t>
      </w:r>
      <w:proofErr w:type="spellEnd"/>
      <w:r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arundinacea</w:t>
      </w:r>
      <w:proofErr w:type="spellEnd"/>
      <w:r w:rsidRPr="00A07F29">
        <w:rPr>
          <w:rFonts w:ascii="Times New Roman" w:eastAsia="Calibri" w:hAnsi="Times New Roman" w:cs="Times New Roman"/>
          <w:sz w:val="24"/>
          <w:szCs w:val="24"/>
        </w:rPr>
        <w:t xml:space="preserve"> un dižā ūdenszāle </w:t>
      </w:r>
      <w:proofErr w:type="spellStart"/>
      <w:r w:rsidRPr="00A07F29">
        <w:rPr>
          <w:rFonts w:ascii="Times New Roman" w:eastAsia="Calibri" w:hAnsi="Times New Roman" w:cs="Times New Roman"/>
          <w:i/>
          <w:iCs/>
          <w:sz w:val="24"/>
          <w:szCs w:val="24"/>
        </w:rPr>
        <w:t>Gliceria</w:t>
      </w:r>
      <w:proofErr w:type="spellEnd"/>
      <w:r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maxima</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Jāņupīte</w:t>
      </w:r>
      <w:proofErr w:type="spellEnd"/>
      <w:r w:rsidR="00F02EFD" w:rsidRPr="00A07F29">
        <w:rPr>
          <w:rFonts w:ascii="Times New Roman" w:eastAsia="Calibri" w:hAnsi="Times New Roman" w:cs="Times New Roman"/>
          <w:sz w:val="24"/>
          <w:szCs w:val="24"/>
        </w:rPr>
        <w:t xml:space="preserve"> </w:t>
      </w:r>
      <w:r w:rsidR="00F02EFD" w:rsidRPr="00A07F29">
        <w:rPr>
          <w:rFonts w:ascii="Times New Roman" w:eastAsia="Calibri" w:hAnsi="Times New Roman" w:cs="Times New Roman"/>
          <w:bCs/>
          <w:sz w:val="24"/>
          <w:szCs w:val="24"/>
        </w:rPr>
        <w:t>atbilst biotopa 3260</w:t>
      </w:r>
      <w:r w:rsidR="004421CF">
        <w:rPr>
          <w:rFonts w:ascii="Times New Roman" w:eastAsia="Calibri" w:hAnsi="Times New Roman" w:cs="Times New Roman"/>
          <w:bCs/>
          <w:sz w:val="24"/>
          <w:szCs w:val="24"/>
        </w:rPr>
        <w:t> </w:t>
      </w:r>
      <w:r w:rsidR="00F02EFD" w:rsidRPr="00A07F29">
        <w:rPr>
          <w:rFonts w:ascii="Times New Roman" w:eastAsia="Calibri" w:hAnsi="Times New Roman" w:cs="Times New Roman"/>
          <w:bCs/>
          <w:i/>
          <w:sz w:val="24"/>
          <w:szCs w:val="24"/>
        </w:rPr>
        <w:t>Upju straujteces un dabiski upju posmi</w:t>
      </w:r>
      <w:r w:rsidR="00F02EFD" w:rsidRPr="00A07F29">
        <w:rPr>
          <w:rFonts w:ascii="Times New Roman" w:eastAsia="Calibri" w:hAnsi="Times New Roman" w:cs="Times New Roman"/>
          <w:bCs/>
          <w:sz w:val="24"/>
          <w:szCs w:val="24"/>
        </w:rPr>
        <w:t xml:space="preserve"> 1. variantam un </w:t>
      </w:r>
      <w:r w:rsidR="00F02EFD" w:rsidRPr="00A07F29">
        <w:rPr>
          <w:rFonts w:ascii="Times New Roman" w:eastAsia="Calibri" w:hAnsi="Times New Roman" w:cs="Times New Roman"/>
          <w:sz w:val="24"/>
          <w:szCs w:val="24"/>
        </w:rPr>
        <w:t>tā</w:t>
      </w:r>
      <w:r w:rsidRPr="00A07F29">
        <w:rPr>
          <w:rFonts w:ascii="Times New Roman" w:eastAsia="Calibri" w:hAnsi="Times New Roman" w:cs="Times New Roman"/>
          <w:sz w:val="24"/>
          <w:szCs w:val="24"/>
        </w:rPr>
        <w:t xml:space="preserve"> kvalitāte </w:t>
      </w:r>
      <w:r w:rsidR="00F02EFD" w:rsidRPr="00A07F29">
        <w:rPr>
          <w:rFonts w:ascii="Times New Roman" w:eastAsia="Calibri" w:hAnsi="Times New Roman" w:cs="Times New Roman"/>
          <w:sz w:val="24"/>
          <w:szCs w:val="24"/>
        </w:rPr>
        <w:t xml:space="preserve">novērtēta </w:t>
      </w:r>
      <w:r w:rsidRPr="00A07F29">
        <w:rPr>
          <w:rFonts w:ascii="Times New Roman" w:eastAsia="Calibri" w:hAnsi="Times New Roman" w:cs="Times New Roman"/>
          <w:sz w:val="24"/>
          <w:szCs w:val="24"/>
        </w:rPr>
        <w:t>kā laba.</w:t>
      </w:r>
    </w:p>
    <w:p w14:paraId="70528939" w14:textId="15311135" w:rsidR="00A354FB" w:rsidRPr="00A07F29" w:rsidRDefault="00A354FB" w:rsidP="008C6E9C">
      <w:pPr>
        <w:spacing w:after="120" w:line="240" w:lineRule="auto"/>
        <w:ind w:firstLine="851"/>
        <w:jc w:val="both"/>
        <w:rPr>
          <w:rFonts w:ascii="Times New Roman" w:eastAsia="Calibri" w:hAnsi="Times New Roman" w:cs="Times New Roman"/>
          <w:sz w:val="24"/>
          <w:szCs w:val="24"/>
        </w:rPr>
      </w:pPr>
      <w:proofErr w:type="spellStart"/>
      <w:r w:rsidRPr="00A07F29">
        <w:rPr>
          <w:rFonts w:ascii="Times New Roman" w:eastAsia="Calibri" w:hAnsi="Times New Roman" w:cs="Times New Roman"/>
          <w:b/>
          <w:bCs/>
          <w:sz w:val="24"/>
          <w:szCs w:val="24"/>
        </w:rPr>
        <w:t>Rudņa</w:t>
      </w:r>
      <w:proofErr w:type="spellEnd"/>
      <w:r w:rsidRPr="00A07F29">
        <w:rPr>
          <w:rFonts w:ascii="Times New Roman" w:eastAsia="Calibri" w:hAnsi="Times New Roman" w:cs="Times New Roman"/>
          <w:bCs/>
          <w:sz w:val="24"/>
          <w:szCs w:val="24"/>
        </w:rPr>
        <w:t xml:space="preserve"> </w:t>
      </w:r>
      <w:r w:rsidR="00F02EFD" w:rsidRPr="00A07F29">
        <w:rPr>
          <w:rFonts w:ascii="Times New Roman" w:eastAsia="Calibri" w:hAnsi="Times New Roman" w:cs="Times New Roman"/>
          <w:bCs/>
          <w:sz w:val="24"/>
          <w:szCs w:val="24"/>
        </w:rPr>
        <w:t>a</w:t>
      </w:r>
      <w:r w:rsidRPr="00A07F29">
        <w:rPr>
          <w:rFonts w:ascii="Times New Roman" w:eastAsia="Calibri" w:hAnsi="Times New Roman" w:cs="Times New Roman"/>
          <w:sz w:val="24"/>
          <w:szCs w:val="24"/>
        </w:rPr>
        <w:t xml:space="preserve">ugštecē līdz Izvaltas ezeram regulēta, bet lejtecē tek pa dziļu, kokiem </w:t>
      </w:r>
      <w:r w:rsidR="00F02EFD" w:rsidRPr="00A07F29">
        <w:rPr>
          <w:rFonts w:ascii="Times New Roman" w:eastAsia="Calibri" w:hAnsi="Times New Roman" w:cs="Times New Roman"/>
          <w:sz w:val="24"/>
          <w:szCs w:val="24"/>
        </w:rPr>
        <w:t xml:space="preserve">apaugušu </w:t>
      </w:r>
      <w:r w:rsidRPr="00A07F29">
        <w:rPr>
          <w:rFonts w:ascii="Times New Roman" w:eastAsia="Calibri" w:hAnsi="Times New Roman" w:cs="Times New Roman"/>
          <w:sz w:val="24"/>
          <w:szCs w:val="24"/>
        </w:rPr>
        <w:t xml:space="preserve">gravu. Upe ir </w:t>
      </w:r>
      <w:r w:rsidR="00F02EFD" w:rsidRPr="00A07F29">
        <w:rPr>
          <w:rFonts w:ascii="Times New Roman" w:eastAsia="Calibri" w:hAnsi="Times New Roman" w:cs="Times New Roman"/>
          <w:sz w:val="24"/>
          <w:szCs w:val="24"/>
        </w:rPr>
        <w:t>7</w:t>
      </w:r>
      <w:r w:rsidR="00552CD1">
        <w:rPr>
          <w:rFonts w:ascii="Times New Roman" w:eastAsia="Calibri" w:hAnsi="Times New Roman" w:cs="Times New Roman"/>
          <w:sz w:val="24"/>
          <w:szCs w:val="24"/>
        </w:rPr>
        <w:t> </w:t>
      </w:r>
      <w:r w:rsidR="00F02EFD" w:rsidRPr="00A07F29">
        <w:rPr>
          <w:rFonts w:ascii="Times New Roman" w:eastAsia="Calibri" w:hAnsi="Times New Roman" w:cs="Times New Roman"/>
          <w:sz w:val="24"/>
          <w:szCs w:val="24"/>
        </w:rPr>
        <w:t xml:space="preserve">m </w:t>
      </w:r>
      <w:r w:rsidRPr="00A07F29">
        <w:rPr>
          <w:rFonts w:ascii="Times New Roman" w:eastAsia="Calibri" w:hAnsi="Times New Roman" w:cs="Times New Roman"/>
          <w:sz w:val="24"/>
          <w:szCs w:val="24"/>
        </w:rPr>
        <w:t xml:space="preserve">samērā plata un vidēji dziļa, tās gultne un krasti ir dabiski. Gultnes substrāts ir daudzveidīgs </w:t>
      </w:r>
      <w:r w:rsidR="00F02EFD" w:rsidRPr="00A07F29">
        <w:rPr>
          <w:rFonts w:ascii="Times New Roman" w:eastAsia="Calibri" w:hAnsi="Times New Roman" w:cs="Times New Roman"/>
          <w:sz w:val="24"/>
          <w:szCs w:val="24"/>
        </w:rPr>
        <w:t xml:space="preserve">– </w:t>
      </w:r>
      <w:r w:rsidRPr="00A07F29">
        <w:rPr>
          <w:rFonts w:ascii="Times New Roman" w:eastAsia="Calibri" w:hAnsi="Times New Roman" w:cs="Times New Roman"/>
          <w:sz w:val="24"/>
          <w:szCs w:val="24"/>
        </w:rPr>
        <w:t xml:space="preserve">smilts, oļi, dūņas, detrīts, laukakmeņi. </w:t>
      </w:r>
      <w:r w:rsidR="008C6E9C" w:rsidRPr="00A07F29">
        <w:rPr>
          <w:rFonts w:ascii="Times New Roman" w:eastAsia="Calibri" w:hAnsi="Times New Roman" w:cs="Times New Roman"/>
          <w:sz w:val="24"/>
          <w:szCs w:val="24"/>
        </w:rPr>
        <w:t>Apsekotā u</w:t>
      </w:r>
      <w:r w:rsidRPr="00A07F29">
        <w:rPr>
          <w:rFonts w:ascii="Times New Roman" w:eastAsia="Calibri" w:hAnsi="Times New Roman" w:cs="Times New Roman"/>
          <w:sz w:val="24"/>
          <w:szCs w:val="24"/>
        </w:rPr>
        <w:t xml:space="preserve">pes </w:t>
      </w:r>
      <w:r w:rsidR="008C6E9C" w:rsidRPr="00A07F29">
        <w:rPr>
          <w:rFonts w:ascii="Times New Roman" w:eastAsia="Calibri" w:hAnsi="Times New Roman" w:cs="Times New Roman"/>
          <w:sz w:val="24"/>
          <w:szCs w:val="24"/>
        </w:rPr>
        <w:t xml:space="preserve">posma </w:t>
      </w:r>
      <w:r w:rsidRPr="00A07F29">
        <w:rPr>
          <w:rFonts w:ascii="Times New Roman" w:eastAsia="Calibri" w:hAnsi="Times New Roman" w:cs="Times New Roman"/>
          <w:sz w:val="24"/>
          <w:szCs w:val="24"/>
        </w:rPr>
        <w:t>kreis</w:t>
      </w:r>
      <w:r w:rsidR="008C6E9C" w:rsidRPr="00A07F29">
        <w:rPr>
          <w:rFonts w:ascii="Times New Roman" w:eastAsia="Calibri" w:hAnsi="Times New Roman" w:cs="Times New Roman"/>
          <w:sz w:val="24"/>
          <w:szCs w:val="24"/>
        </w:rPr>
        <w:t>aj</w:t>
      </w:r>
      <w:r w:rsidRPr="00A07F29">
        <w:rPr>
          <w:rFonts w:ascii="Times New Roman" w:eastAsia="Calibri" w:hAnsi="Times New Roman" w:cs="Times New Roman"/>
          <w:sz w:val="24"/>
          <w:szCs w:val="24"/>
        </w:rPr>
        <w:t xml:space="preserve">ā krastā ir </w:t>
      </w:r>
      <w:r w:rsidR="008C6E9C" w:rsidRPr="00A07F29">
        <w:rPr>
          <w:rFonts w:ascii="Times New Roman" w:eastAsia="Calibri" w:hAnsi="Times New Roman" w:cs="Times New Roman"/>
          <w:sz w:val="24"/>
          <w:szCs w:val="24"/>
        </w:rPr>
        <w:t>mežs</w:t>
      </w:r>
      <w:r w:rsidRPr="00A07F29">
        <w:rPr>
          <w:rFonts w:ascii="Times New Roman" w:eastAsia="Calibri" w:hAnsi="Times New Roman" w:cs="Times New Roman"/>
          <w:sz w:val="24"/>
          <w:szCs w:val="24"/>
        </w:rPr>
        <w:t>, bet labajā – krūmi</w:t>
      </w:r>
      <w:r w:rsidR="008C6E9C" w:rsidRPr="00A07F29">
        <w:rPr>
          <w:rFonts w:ascii="Times New Roman" w:eastAsia="Calibri" w:hAnsi="Times New Roman" w:cs="Times New Roman"/>
          <w:sz w:val="24"/>
          <w:szCs w:val="24"/>
        </w:rPr>
        <w:t>. Pie upes atrodas</w:t>
      </w:r>
      <w:r w:rsidRPr="00A07F29">
        <w:rPr>
          <w:rFonts w:ascii="Times New Roman" w:eastAsia="Calibri" w:hAnsi="Times New Roman" w:cs="Times New Roman"/>
          <w:sz w:val="24"/>
          <w:szCs w:val="24"/>
        </w:rPr>
        <w:t xml:space="preserve"> viensētas, </w:t>
      </w:r>
      <w:r w:rsidR="008C6E9C" w:rsidRPr="00A07F29">
        <w:rPr>
          <w:rFonts w:ascii="Times New Roman" w:eastAsia="Calibri" w:hAnsi="Times New Roman" w:cs="Times New Roman"/>
          <w:sz w:val="24"/>
          <w:szCs w:val="24"/>
        </w:rPr>
        <w:t xml:space="preserve">ierīkota </w:t>
      </w:r>
      <w:r w:rsidRPr="00A07F29">
        <w:rPr>
          <w:rFonts w:ascii="Times New Roman" w:eastAsia="Calibri" w:hAnsi="Times New Roman" w:cs="Times New Roman"/>
          <w:sz w:val="24"/>
          <w:szCs w:val="24"/>
        </w:rPr>
        <w:t>peldvieta</w:t>
      </w:r>
      <w:r w:rsidR="008C6E9C" w:rsidRPr="00A07F29">
        <w:rPr>
          <w:rFonts w:ascii="Times New Roman" w:eastAsia="Calibri" w:hAnsi="Times New Roman" w:cs="Times New Roman"/>
          <w:sz w:val="24"/>
          <w:szCs w:val="24"/>
        </w:rPr>
        <w:t>. Konst</w:t>
      </w:r>
      <w:r w:rsidR="00104538" w:rsidRPr="00A07F29">
        <w:rPr>
          <w:rFonts w:ascii="Times New Roman" w:eastAsia="Calibri" w:hAnsi="Times New Roman" w:cs="Times New Roman"/>
          <w:sz w:val="24"/>
          <w:szCs w:val="24"/>
        </w:rPr>
        <w:t>a</w:t>
      </w:r>
      <w:r w:rsidR="008C6E9C" w:rsidRPr="00A07F29">
        <w:rPr>
          <w:rFonts w:ascii="Times New Roman" w:eastAsia="Calibri" w:hAnsi="Times New Roman" w:cs="Times New Roman"/>
          <w:sz w:val="24"/>
          <w:szCs w:val="24"/>
        </w:rPr>
        <w:t>t</w:t>
      </w:r>
      <w:r w:rsidR="00104538" w:rsidRPr="00A07F29">
        <w:rPr>
          <w:rFonts w:ascii="Times New Roman" w:eastAsia="Calibri" w:hAnsi="Times New Roman" w:cs="Times New Roman"/>
          <w:sz w:val="24"/>
          <w:szCs w:val="24"/>
        </w:rPr>
        <w:t>ē</w:t>
      </w:r>
      <w:r w:rsidR="008C6E9C" w:rsidRPr="00A07F29">
        <w:rPr>
          <w:rFonts w:ascii="Times New Roman" w:eastAsia="Calibri" w:hAnsi="Times New Roman" w:cs="Times New Roman"/>
          <w:sz w:val="24"/>
          <w:szCs w:val="24"/>
        </w:rPr>
        <w:t xml:space="preserve">ti arī </w:t>
      </w:r>
      <w:r w:rsidRPr="00A07F29">
        <w:rPr>
          <w:rFonts w:ascii="Times New Roman" w:eastAsia="Calibri" w:hAnsi="Times New Roman" w:cs="Times New Roman"/>
          <w:sz w:val="24"/>
          <w:szCs w:val="24"/>
        </w:rPr>
        <w:t>sadzīves atkritumi</w:t>
      </w:r>
      <w:r w:rsidR="008C6E9C" w:rsidRPr="00A07F29">
        <w:rPr>
          <w:rFonts w:ascii="Times New Roman" w:eastAsia="Calibri" w:hAnsi="Times New Roman" w:cs="Times New Roman"/>
          <w:sz w:val="24"/>
          <w:szCs w:val="24"/>
        </w:rPr>
        <w:t xml:space="preserve"> un nelieli koku sagāzumi, ko nepieciešams izvākt upes stāvokļa uzlabošanai. Mijas straujteces (55</w:t>
      </w:r>
      <w:r w:rsidR="00F14524">
        <w:rPr>
          <w:rFonts w:ascii="Times New Roman" w:eastAsia="Calibri" w:hAnsi="Times New Roman" w:cs="Times New Roman"/>
          <w:sz w:val="24"/>
          <w:szCs w:val="24"/>
        </w:rPr>
        <w:t> </w:t>
      </w:r>
      <w:r w:rsidR="008C6E9C" w:rsidRPr="00A07F29">
        <w:rPr>
          <w:rFonts w:ascii="Times New Roman" w:eastAsia="Calibri" w:hAnsi="Times New Roman" w:cs="Times New Roman"/>
          <w:sz w:val="24"/>
          <w:szCs w:val="24"/>
        </w:rPr>
        <w:t xml:space="preserve">%) un lēni tekošie posmi </w:t>
      </w:r>
      <w:r w:rsidRPr="00A07F29">
        <w:rPr>
          <w:rFonts w:ascii="Times New Roman" w:eastAsia="Calibri" w:hAnsi="Times New Roman" w:cs="Times New Roman"/>
          <w:sz w:val="24"/>
          <w:szCs w:val="24"/>
        </w:rPr>
        <w:t>(45</w:t>
      </w:r>
      <w:r w:rsidR="00F14524">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 </w:t>
      </w:r>
      <w:r w:rsidR="008C6E9C" w:rsidRPr="00A07F29">
        <w:rPr>
          <w:rFonts w:ascii="Times New Roman" w:eastAsia="Calibri" w:hAnsi="Times New Roman" w:cs="Times New Roman"/>
          <w:sz w:val="24"/>
          <w:szCs w:val="24"/>
        </w:rPr>
        <w:t>S</w:t>
      </w:r>
      <w:r w:rsidRPr="00A07F29">
        <w:rPr>
          <w:rFonts w:ascii="Times New Roman" w:eastAsia="Calibri" w:hAnsi="Times New Roman" w:cs="Times New Roman"/>
          <w:sz w:val="24"/>
          <w:szCs w:val="24"/>
        </w:rPr>
        <w:t xml:space="preserve">astopama </w:t>
      </w:r>
      <w:r w:rsidR="008C6E9C" w:rsidRPr="00A07F29">
        <w:rPr>
          <w:rFonts w:ascii="Times New Roman" w:eastAsia="Calibri" w:hAnsi="Times New Roman" w:cs="Times New Roman"/>
          <w:sz w:val="24"/>
          <w:szCs w:val="24"/>
        </w:rPr>
        <w:t xml:space="preserve">parastā </w:t>
      </w:r>
      <w:proofErr w:type="spellStart"/>
      <w:r w:rsidRPr="00A07F29">
        <w:rPr>
          <w:rFonts w:ascii="Times New Roman" w:eastAsia="Calibri" w:hAnsi="Times New Roman" w:cs="Times New Roman"/>
          <w:sz w:val="24"/>
          <w:szCs w:val="24"/>
        </w:rPr>
        <w:t>avotsūna</w:t>
      </w:r>
      <w:proofErr w:type="spellEnd"/>
      <w:r w:rsidR="008C6E9C" w:rsidRPr="00A07F29">
        <w:rPr>
          <w:rFonts w:ascii="Times New Roman" w:eastAsia="Calibri" w:hAnsi="Times New Roman" w:cs="Times New Roman"/>
          <w:sz w:val="24"/>
          <w:szCs w:val="24"/>
        </w:rPr>
        <w:t xml:space="preserve"> </w:t>
      </w:r>
      <w:proofErr w:type="spellStart"/>
      <w:r w:rsidR="008C6E9C" w:rsidRPr="00A07F29">
        <w:rPr>
          <w:rFonts w:ascii="Times New Roman" w:eastAsia="Calibri" w:hAnsi="Times New Roman" w:cs="Times New Roman"/>
          <w:i/>
          <w:sz w:val="24"/>
          <w:szCs w:val="24"/>
        </w:rPr>
        <w:t>Fontinalis</w:t>
      </w:r>
      <w:proofErr w:type="spellEnd"/>
      <w:r w:rsidR="008C6E9C" w:rsidRPr="00A07F29">
        <w:rPr>
          <w:rFonts w:ascii="Times New Roman" w:eastAsia="Calibri" w:hAnsi="Times New Roman" w:cs="Times New Roman"/>
          <w:i/>
          <w:sz w:val="24"/>
          <w:szCs w:val="24"/>
        </w:rPr>
        <w:t xml:space="preserve"> </w:t>
      </w:r>
      <w:proofErr w:type="spellStart"/>
      <w:r w:rsidR="008C6E9C" w:rsidRPr="00A07F29">
        <w:rPr>
          <w:rFonts w:ascii="Times New Roman" w:eastAsia="Calibri" w:hAnsi="Times New Roman" w:cs="Times New Roman"/>
          <w:i/>
          <w:sz w:val="24"/>
          <w:szCs w:val="24"/>
        </w:rPr>
        <w:t>antipyretica</w:t>
      </w:r>
      <w:proofErr w:type="spellEnd"/>
      <w:r w:rsidRPr="00A07F29">
        <w:rPr>
          <w:rFonts w:ascii="Times New Roman" w:eastAsia="Calibri" w:hAnsi="Times New Roman" w:cs="Times New Roman"/>
          <w:sz w:val="24"/>
          <w:szCs w:val="24"/>
        </w:rPr>
        <w:t xml:space="preserve">, </w:t>
      </w:r>
      <w:r w:rsidR="008C6E9C" w:rsidRPr="00A07F29">
        <w:rPr>
          <w:rFonts w:ascii="Times New Roman" w:eastAsia="Calibri" w:hAnsi="Times New Roman" w:cs="Times New Roman"/>
          <w:sz w:val="24"/>
          <w:szCs w:val="24"/>
        </w:rPr>
        <w:t xml:space="preserve">kā arī </w:t>
      </w:r>
      <w:r w:rsidR="00F14524">
        <w:rPr>
          <w:rFonts w:ascii="Times New Roman" w:eastAsia="Calibri" w:hAnsi="Times New Roman" w:cs="Times New Roman"/>
          <w:sz w:val="24"/>
          <w:szCs w:val="24"/>
        </w:rPr>
        <w:t>piecas</w:t>
      </w:r>
      <w:r w:rsidRPr="00A07F29">
        <w:rPr>
          <w:rFonts w:ascii="Times New Roman" w:eastAsia="Calibri" w:hAnsi="Times New Roman" w:cs="Times New Roman"/>
          <w:sz w:val="24"/>
          <w:szCs w:val="24"/>
        </w:rPr>
        <w:t xml:space="preserve"> </w:t>
      </w:r>
      <w:proofErr w:type="spellStart"/>
      <w:r w:rsidR="008C6E9C" w:rsidRPr="00A07F29">
        <w:rPr>
          <w:rFonts w:ascii="Times New Roman" w:eastAsia="Calibri" w:hAnsi="Times New Roman" w:cs="Times New Roman"/>
          <w:sz w:val="24"/>
          <w:szCs w:val="24"/>
        </w:rPr>
        <w:t>vaskulāro</w:t>
      </w:r>
      <w:proofErr w:type="spellEnd"/>
      <w:r w:rsidR="008C6E9C" w:rsidRPr="00A07F29">
        <w:rPr>
          <w:rFonts w:ascii="Times New Roman" w:eastAsia="Calibri" w:hAnsi="Times New Roman" w:cs="Times New Roman"/>
          <w:sz w:val="24"/>
          <w:szCs w:val="24"/>
        </w:rPr>
        <w:t xml:space="preserve"> augu </w:t>
      </w:r>
      <w:r w:rsidRPr="00A07F29">
        <w:rPr>
          <w:rFonts w:ascii="Times New Roman" w:eastAsia="Calibri" w:hAnsi="Times New Roman" w:cs="Times New Roman"/>
          <w:sz w:val="24"/>
          <w:szCs w:val="24"/>
        </w:rPr>
        <w:t>sugas</w:t>
      </w:r>
      <w:r w:rsidR="008C6E9C" w:rsidRPr="00A07F29">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w:t>
      </w:r>
      <w:r w:rsidR="008C6E9C" w:rsidRPr="00A07F29">
        <w:rPr>
          <w:rFonts w:ascii="Times New Roman" w:eastAsia="Calibri" w:hAnsi="Times New Roman" w:cs="Times New Roman"/>
          <w:sz w:val="24"/>
          <w:szCs w:val="24"/>
        </w:rPr>
        <w:t>purva skalbe</w:t>
      </w:r>
      <w:r w:rsidR="008C6E9C" w:rsidRPr="00A07F29">
        <w:rPr>
          <w:rFonts w:ascii="Times New Roman" w:eastAsia="Calibri" w:hAnsi="Times New Roman" w:cs="Times New Roman"/>
          <w:i/>
          <w:iCs/>
          <w:sz w:val="24"/>
          <w:szCs w:val="24"/>
        </w:rPr>
        <w:t xml:space="preserve"> </w:t>
      </w:r>
      <w:r w:rsidRPr="00A07F29">
        <w:rPr>
          <w:rFonts w:ascii="Times New Roman" w:eastAsia="Calibri" w:hAnsi="Times New Roman" w:cs="Times New Roman"/>
          <w:i/>
          <w:iCs/>
          <w:sz w:val="24"/>
          <w:szCs w:val="24"/>
        </w:rPr>
        <w:t xml:space="preserve">Iris </w:t>
      </w:r>
      <w:proofErr w:type="spellStart"/>
      <w:r w:rsidR="008C6E9C" w:rsidRPr="00A07F29">
        <w:rPr>
          <w:rFonts w:ascii="Times New Roman" w:eastAsia="Calibri" w:hAnsi="Times New Roman" w:cs="Times New Roman"/>
          <w:i/>
          <w:iCs/>
          <w:sz w:val="24"/>
          <w:szCs w:val="24"/>
        </w:rPr>
        <w:t>pseudacorus</w:t>
      </w:r>
      <w:proofErr w:type="spellEnd"/>
      <w:r w:rsidRPr="00A07F29">
        <w:rPr>
          <w:rFonts w:ascii="Times New Roman" w:eastAsia="Calibri" w:hAnsi="Times New Roman" w:cs="Times New Roman"/>
          <w:sz w:val="24"/>
          <w:szCs w:val="24"/>
        </w:rPr>
        <w:t xml:space="preserve">, </w:t>
      </w:r>
      <w:r w:rsidR="008C6E9C" w:rsidRPr="00A07F29">
        <w:rPr>
          <w:rFonts w:ascii="Times New Roman" w:eastAsia="Calibri" w:hAnsi="Times New Roman" w:cs="Times New Roman"/>
          <w:sz w:val="24"/>
          <w:szCs w:val="24"/>
        </w:rPr>
        <w:t xml:space="preserve">parastā </w:t>
      </w:r>
      <w:proofErr w:type="spellStart"/>
      <w:r w:rsidR="008C6E9C" w:rsidRPr="00A07F29">
        <w:rPr>
          <w:rFonts w:ascii="Times New Roman" w:eastAsia="Calibri" w:hAnsi="Times New Roman" w:cs="Times New Roman"/>
          <w:sz w:val="24"/>
          <w:szCs w:val="24"/>
        </w:rPr>
        <w:t>ķekarzeltene</w:t>
      </w:r>
      <w:proofErr w:type="spellEnd"/>
      <w:r w:rsidR="008C6E9C"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i/>
          <w:iCs/>
          <w:sz w:val="24"/>
          <w:szCs w:val="24"/>
        </w:rPr>
        <w:t>Naumburgia</w:t>
      </w:r>
      <w:proofErr w:type="spellEnd"/>
      <w:r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thyrsiflora</w:t>
      </w:r>
      <w:proofErr w:type="spellEnd"/>
      <w:r w:rsidRPr="00A07F29">
        <w:rPr>
          <w:rFonts w:ascii="Times New Roman" w:eastAsia="Calibri" w:hAnsi="Times New Roman" w:cs="Times New Roman"/>
          <w:sz w:val="24"/>
          <w:szCs w:val="24"/>
        </w:rPr>
        <w:t xml:space="preserve">, </w:t>
      </w:r>
      <w:r w:rsidR="00BF4359" w:rsidRPr="00A07F29">
        <w:rPr>
          <w:rFonts w:ascii="Times New Roman" w:eastAsia="Calibri" w:hAnsi="Times New Roman" w:cs="Times New Roman"/>
          <w:sz w:val="24"/>
          <w:szCs w:val="24"/>
        </w:rPr>
        <w:t>dzeltenā lēpe</w:t>
      </w:r>
      <w:r w:rsidR="00BF4359"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Nuphar</w:t>
      </w:r>
      <w:proofErr w:type="spellEnd"/>
      <w:r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lutea</w:t>
      </w:r>
      <w:proofErr w:type="spellEnd"/>
      <w:r w:rsidRPr="00A07F29">
        <w:rPr>
          <w:rFonts w:ascii="Times New Roman" w:eastAsia="Calibri" w:hAnsi="Times New Roman" w:cs="Times New Roman"/>
          <w:sz w:val="24"/>
          <w:szCs w:val="24"/>
        </w:rPr>
        <w:t xml:space="preserve">, </w:t>
      </w:r>
      <w:r w:rsidR="00BF4359" w:rsidRPr="00A07F29">
        <w:rPr>
          <w:rFonts w:ascii="Times New Roman" w:eastAsia="Calibri" w:hAnsi="Times New Roman" w:cs="Times New Roman"/>
          <w:sz w:val="24"/>
          <w:szCs w:val="24"/>
        </w:rPr>
        <w:t>parastā bultene</w:t>
      </w:r>
      <w:r w:rsidR="00BF4359"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Sagitta</w:t>
      </w:r>
      <w:r w:rsidR="00BF4359" w:rsidRPr="00A07F29">
        <w:rPr>
          <w:rFonts w:ascii="Times New Roman" w:eastAsia="Calibri" w:hAnsi="Times New Roman" w:cs="Times New Roman"/>
          <w:i/>
          <w:iCs/>
          <w:sz w:val="24"/>
          <w:szCs w:val="24"/>
        </w:rPr>
        <w:t>r</w:t>
      </w:r>
      <w:r w:rsidRPr="00A07F29">
        <w:rPr>
          <w:rFonts w:ascii="Times New Roman" w:eastAsia="Calibri" w:hAnsi="Times New Roman" w:cs="Times New Roman"/>
          <w:i/>
          <w:iCs/>
          <w:sz w:val="24"/>
          <w:szCs w:val="24"/>
        </w:rPr>
        <w:t>ia</w:t>
      </w:r>
      <w:proofErr w:type="spellEnd"/>
      <w:r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sagittif</w:t>
      </w:r>
      <w:r w:rsidR="00BF4359" w:rsidRPr="00A07F29">
        <w:rPr>
          <w:rFonts w:ascii="Times New Roman" w:eastAsia="Calibri" w:hAnsi="Times New Roman" w:cs="Times New Roman"/>
          <w:i/>
          <w:iCs/>
          <w:sz w:val="24"/>
          <w:szCs w:val="24"/>
        </w:rPr>
        <w:t>oli</w:t>
      </w:r>
      <w:r w:rsidRPr="00A07F29">
        <w:rPr>
          <w:rFonts w:ascii="Times New Roman" w:eastAsia="Calibri" w:hAnsi="Times New Roman" w:cs="Times New Roman"/>
          <w:i/>
          <w:iCs/>
          <w:sz w:val="24"/>
          <w:szCs w:val="24"/>
        </w:rPr>
        <w:t>a</w:t>
      </w:r>
      <w:proofErr w:type="spellEnd"/>
      <w:r w:rsidRPr="00A07F29">
        <w:rPr>
          <w:rFonts w:ascii="Times New Roman" w:eastAsia="Calibri" w:hAnsi="Times New Roman" w:cs="Times New Roman"/>
          <w:sz w:val="24"/>
          <w:szCs w:val="24"/>
        </w:rPr>
        <w:t xml:space="preserve">, </w:t>
      </w:r>
      <w:r w:rsidR="00BF4359" w:rsidRPr="00A07F29">
        <w:rPr>
          <w:rFonts w:ascii="Times New Roman" w:eastAsia="Calibri" w:hAnsi="Times New Roman" w:cs="Times New Roman"/>
          <w:sz w:val="24"/>
          <w:szCs w:val="24"/>
        </w:rPr>
        <w:t>meža meldrs</w:t>
      </w:r>
      <w:r w:rsidR="00BF4359"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Scirpus</w:t>
      </w:r>
      <w:proofErr w:type="spellEnd"/>
      <w:r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sylvaticus</w:t>
      </w:r>
      <w:proofErr w:type="spellEnd"/>
      <w:r w:rsidRPr="00A07F29">
        <w:rPr>
          <w:rFonts w:ascii="Times New Roman" w:eastAsia="Calibri" w:hAnsi="Times New Roman" w:cs="Times New Roman"/>
          <w:sz w:val="24"/>
          <w:szCs w:val="24"/>
        </w:rPr>
        <w:t xml:space="preserve">. </w:t>
      </w:r>
      <w:r w:rsidR="00BF4359" w:rsidRPr="00A07F29">
        <w:rPr>
          <w:rFonts w:ascii="Times New Roman" w:eastAsia="Calibri" w:hAnsi="Times New Roman" w:cs="Times New Roman"/>
          <w:sz w:val="24"/>
          <w:szCs w:val="24"/>
        </w:rPr>
        <w:t xml:space="preserve">Upe </w:t>
      </w:r>
      <w:r w:rsidR="00BF4359" w:rsidRPr="00A07F29">
        <w:rPr>
          <w:rFonts w:ascii="Times New Roman" w:eastAsia="Calibri" w:hAnsi="Times New Roman" w:cs="Times New Roman"/>
          <w:bCs/>
          <w:sz w:val="24"/>
          <w:szCs w:val="24"/>
        </w:rPr>
        <w:t>atbilst biotopa 3260</w:t>
      </w:r>
      <w:r w:rsidR="00F14524">
        <w:rPr>
          <w:rFonts w:ascii="Times New Roman" w:eastAsia="Calibri" w:hAnsi="Times New Roman" w:cs="Times New Roman"/>
          <w:bCs/>
          <w:sz w:val="24"/>
          <w:szCs w:val="24"/>
        </w:rPr>
        <w:t> </w:t>
      </w:r>
      <w:r w:rsidR="00BF4359" w:rsidRPr="00A07F29">
        <w:rPr>
          <w:rFonts w:ascii="Times New Roman" w:eastAsia="Calibri" w:hAnsi="Times New Roman" w:cs="Times New Roman"/>
          <w:bCs/>
          <w:i/>
          <w:sz w:val="24"/>
          <w:szCs w:val="24"/>
        </w:rPr>
        <w:t>Upju straujteces un dabiski upju posmi</w:t>
      </w:r>
      <w:r w:rsidR="00BF4359" w:rsidRPr="00A07F29">
        <w:rPr>
          <w:rFonts w:ascii="Times New Roman" w:eastAsia="Calibri" w:hAnsi="Times New Roman" w:cs="Times New Roman"/>
          <w:bCs/>
          <w:sz w:val="24"/>
          <w:szCs w:val="24"/>
        </w:rPr>
        <w:t xml:space="preserve"> 1. variantam un </w:t>
      </w:r>
      <w:r w:rsidR="00BF4359" w:rsidRPr="00A07F29">
        <w:rPr>
          <w:rFonts w:ascii="Times New Roman" w:eastAsia="Calibri" w:hAnsi="Times New Roman" w:cs="Times New Roman"/>
          <w:sz w:val="24"/>
          <w:szCs w:val="24"/>
        </w:rPr>
        <w:t>tā kvalitāte novērtēta kā laba.</w:t>
      </w:r>
    </w:p>
    <w:p w14:paraId="44388079" w14:textId="692686F6" w:rsidR="00A354FB" w:rsidRPr="00A07F29" w:rsidRDefault="00A354FB" w:rsidP="00104538">
      <w:pPr>
        <w:spacing w:after="120" w:line="240" w:lineRule="auto"/>
        <w:ind w:firstLine="851"/>
        <w:jc w:val="both"/>
        <w:rPr>
          <w:rFonts w:ascii="Times New Roman" w:eastAsia="Calibri" w:hAnsi="Times New Roman" w:cs="Times New Roman"/>
          <w:sz w:val="24"/>
          <w:szCs w:val="24"/>
        </w:rPr>
      </w:pPr>
      <w:proofErr w:type="spellStart"/>
      <w:r w:rsidRPr="00A07F29">
        <w:rPr>
          <w:rFonts w:ascii="Times New Roman" w:eastAsia="Calibri" w:hAnsi="Times New Roman" w:cs="Times New Roman"/>
          <w:b/>
          <w:bCs/>
          <w:sz w:val="24"/>
          <w:szCs w:val="24"/>
        </w:rPr>
        <w:t>Malnupīte</w:t>
      </w:r>
      <w:proofErr w:type="spellEnd"/>
      <w:r w:rsidRPr="00A07F29">
        <w:rPr>
          <w:rFonts w:ascii="Times New Roman" w:eastAsia="Calibri" w:hAnsi="Times New Roman" w:cs="Times New Roman"/>
          <w:b/>
          <w:bCs/>
          <w:sz w:val="24"/>
          <w:szCs w:val="24"/>
        </w:rPr>
        <w:t xml:space="preserve"> </w:t>
      </w:r>
      <w:r w:rsidR="00104538" w:rsidRPr="00A07F29">
        <w:rPr>
          <w:rFonts w:ascii="Times New Roman" w:eastAsia="Calibri" w:hAnsi="Times New Roman" w:cs="Times New Roman"/>
          <w:sz w:val="24"/>
          <w:szCs w:val="24"/>
        </w:rPr>
        <w:t>(</w:t>
      </w:r>
      <w:proofErr w:type="spellStart"/>
      <w:r w:rsidR="00104538" w:rsidRPr="00A07F29">
        <w:rPr>
          <w:rFonts w:ascii="Times New Roman" w:eastAsia="Calibri" w:hAnsi="Times New Roman" w:cs="Times New Roman"/>
          <w:sz w:val="24"/>
          <w:szCs w:val="24"/>
        </w:rPr>
        <w:t>Melnupīte</w:t>
      </w:r>
      <w:proofErr w:type="spellEnd"/>
      <w:r w:rsidR="00104538" w:rsidRPr="00A07F29">
        <w:rPr>
          <w:rFonts w:ascii="Times New Roman" w:eastAsia="Calibri" w:hAnsi="Times New Roman" w:cs="Times New Roman"/>
          <w:sz w:val="24"/>
          <w:szCs w:val="24"/>
        </w:rPr>
        <w:t xml:space="preserve">) </w:t>
      </w:r>
      <w:r w:rsidRPr="00A07F29">
        <w:rPr>
          <w:rFonts w:ascii="Times New Roman" w:eastAsia="Calibri" w:hAnsi="Times New Roman" w:cs="Times New Roman"/>
          <w:sz w:val="24"/>
          <w:szCs w:val="24"/>
        </w:rPr>
        <w:t>ir līdz 2</w:t>
      </w:r>
      <w:r w:rsidR="00104538" w:rsidRPr="00A07F29">
        <w:rPr>
          <w:rFonts w:ascii="Times New Roman" w:eastAsia="Calibri" w:hAnsi="Times New Roman" w:cs="Times New Roman"/>
          <w:sz w:val="24"/>
          <w:szCs w:val="24"/>
        </w:rPr>
        <w:t> </w:t>
      </w:r>
      <w:r w:rsidRPr="00A07F29">
        <w:rPr>
          <w:rFonts w:ascii="Times New Roman" w:eastAsia="Calibri" w:hAnsi="Times New Roman" w:cs="Times New Roman"/>
          <w:sz w:val="24"/>
          <w:szCs w:val="24"/>
        </w:rPr>
        <w:t>m</w:t>
      </w:r>
      <w:r w:rsidR="00104538" w:rsidRPr="00A07F29">
        <w:rPr>
          <w:rFonts w:ascii="Times New Roman" w:eastAsia="Calibri" w:hAnsi="Times New Roman" w:cs="Times New Roman"/>
          <w:sz w:val="24"/>
          <w:szCs w:val="24"/>
        </w:rPr>
        <w:t xml:space="preserve"> plata</w:t>
      </w:r>
      <w:r w:rsidRPr="00A07F29">
        <w:rPr>
          <w:rFonts w:ascii="Times New Roman" w:eastAsia="Calibri" w:hAnsi="Times New Roman" w:cs="Times New Roman"/>
          <w:sz w:val="24"/>
          <w:szCs w:val="24"/>
        </w:rPr>
        <w:t xml:space="preserve"> un sekla. Grunti </w:t>
      </w:r>
      <w:r w:rsidR="00104538" w:rsidRPr="00A07F29">
        <w:rPr>
          <w:rFonts w:ascii="Times New Roman" w:eastAsia="Calibri" w:hAnsi="Times New Roman" w:cs="Times New Roman"/>
          <w:sz w:val="24"/>
          <w:szCs w:val="24"/>
        </w:rPr>
        <w:t xml:space="preserve">veido </w:t>
      </w:r>
      <w:r w:rsidRPr="00A07F29">
        <w:rPr>
          <w:rFonts w:ascii="Times New Roman" w:eastAsia="Calibri" w:hAnsi="Times New Roman" w:cs="Times New Roman"/>
          <w:sz w:val="24"/>
          <w:szCs w:val="24"/>
        </w:rPr>
        <w:t>tipisks straujteces substrāts – nedaudz smilts, vairāk grants, oļi, vietām rupjš detrīts, laukakmeņi. Abi upes krasti ir apauguši ar mežu</w:t>
      </w:r>
      <w:r w:rsidR="00104538" w:rsidRPr="00A07F29">
        <w:rPr>
          <w:rFonts w:ascii="Times New Roman" w:eastAsia="Calibri" w:hAnsi="Times New Roman" w:cs="Times New Roman"/>
          <w:sz w:val="24"/>
          <w:szCs w:val="24"/>
        </w:rPr>
        <w:t xml:space="preserve"> un </w:t>
      </w:r>
      <w:r w:rsidRPr="00A07F29">
        <w:rPr>
          <w:rFonts w:ascii="Times New Roman" w:eastAsia="Calibri" w:hAnsi="Times New Roman" w:cs="Times New Roman"/>
          <w:sz w:val="24"/>
          <w:szCs w:val="24"/>
        </w:rPr>
        <w:t xml:space="preserve">krūmājiem. </w:t>
      </w:r>
      <w:r w:rsidR="00A92E7C" w:rsidRPr="00A07F29">
        <w:rPr>
          <w:rFonts w:ascii="Times New Roman" w:eastAsia="Calibri" w:hAnsi="Times New Roman" w:cs="Times New Roman"/>
          <w:sz w:val="24"/>
          <w:szCs w:val="24"/>
        </w:rPr>
        <w:t xml:space="preserve">Konstatēts koku sagāzums un sadzīves atkritumi, ko ieteicams izvākt. Upei raksturīgas augu sugas ir parastā </w:t>
      </w:r>
      <w:proofErr w:type="spellStart"/>
      <w:r w:rsidR="00A92E7C" w:rsidRPr="00A07F29">
        <w:rPr>
          <w:rFonts w:ascii="Times New Roman" w:eastAsia="Calibri" w:hAnsi="Times New Roman" w:cs="Times New Roman"/>
          <w:sz w:val="24"/>
          <w:szCs w:val="24"/>
        </w:rPr>
        <w:t>avotsūna</w:t>
      </w:r>
      <w:proofErr w:type="spellEnd"/>
      <w:r w:rsidR="00A92E7C" w:rsidRPr="00A07F29">
        <w:rPr>
          <w:rFonts w:ascii="Times New Roman" w:eastAsia="Calibri" w:hAnsi="Times New Roman" w:cs="Times New Roman"/>
          <w:sz w:val="24"/>
          <w:szCs w:val="24"/>
        </w:rPr>
        <w:t xml:space="preserve"> </w:t>
      </w:r>
      <w:r w:rsidRPr="00A07F29">
        <w:rPr>
          <w:rFonts w:ascii="Times New Roman" w:eastAsia="Calibri" w:hAnsi="Times New Roman" w:cs="Times New Roman"/>
          <w:sz w:val="24"/>
          <w:szCs w:val="24"/>
        </w:rPr>
        <w:t>-</w:t>
      </w:r>
      <w:proofErr w:type="spellStart"/>
      <w:r w:rsidRPr="00A07F29">
        <w:rPr>
          <w:rFonts w:ascii="Times New Roman" w:eastAsia="Calibri" w:hAnsi="Times New Roman" w:cs="Times New Roman"/>
          <w:i/>
          <w:iCs/>
          <w:sz w:val="24"/>
          <w:szCs w:val="24"/>
        </w:rPr>
        <w:t>Fontinalis</w:t>
      </w:r>
      <w:proofErr w:type="spellEnd"/>
      <w:r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antipiretyca</w:t>
      </w:r>
      <w:proofErr w:type="spellEnd"/>
      <w:r w:rsidR="00A92E7C" w:rsidRPr="00A07F29">
        <w:rPr>
          <w:rFonts w:ascii="Times New Roman" w:eastAsia="Calibri" w:hAnsi="Times New Roman" w:cs="Times New Roman"/>
          <w:iCs/>
          <w:sz w:val="24"/>
          <w:szCs w:val="24"/>
        </w:rPr>
        <w:t>,</w:t>
      </w:r>
      <w:r w:rsidRPr="00A07F29">
        <w:rPr>
          <w:rFonts w:ascii="Times New Roman" w:eastAsia="Calibri" w:hAnsi="Times New Roman" w:cs="Times New Roman"/>
          <w:sz w:val="24"/>
          <w:szCs w:val="24"/>
        </w:rPr>
        <w:t xml:space="preserve"> </w:t>
      </w:r>
      <w:r w:rsidR="74A2BC2F" w:rsidRPr="00A07F29">
        <w:rPr>
          <w:rFonts w:ascii="Times New Roman" w:eastAsia="Calibri" w:hAnsi="Times New Roman" w:cs="Times New Roman"/>
          <w:sz w:val="24"/>
          <w:szCs w:val="24"/>
        </w:rPr>
        <w:t>slaidais grīslis</w:t>
      </w:r>
      <w:r w:rsidR="74A2BC2F"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Carex</w:t>
      </w:r>
      <w:proofErr w:type="spellEnd"/>
      <w:r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acuta</w:t>
      </w:r>
      <w:proofErr w:type="spellEnd"/>
      <w:r w:rsidRPr="00A07F29">
        <w:rPr>
          <w:rFonts w:ascii="Times New Roman" w:eastAsia="Calibri" w:hAnsi="Times New Roman" w:cs="Times New Roman"/>
          <w:sz w:val="24"/>
          <w:szCs w:val="24"/>
        </w:rPr>
        <w:t xml:space="preserve"> , </w:t>
      </w:r>
      <w:r w:rsidR="3A00E1E3" w:rsidRPr="00A07F29">
        <w:rPr>
          <w:rFonts w:ascii="Times New Roman" w:eastAsia="Calibri" w:hAnsi="Times New Roman" w:cs="Times New Roman"/>
          <w:sz w:val="24"/>
          <w:szCs w:val="24"/>
        </w:rPr>
        <w:t xml:space="preserve">dzeltenā </w:t>
      </w:r>
      <w:proofErr w:type="spellStart"/>
      <w:r w:rsidR="3A00E1E3" w:rsidRPr="00A07F29">
        <w:rPr>
          <w:rFonts w:ascii="Times New Roman" w:eastAsia="Calibri" w:hAnsi="Times New Roman" w:cs="Times New Roman"/>
          <w:sz w:val="24"/>
          <w:szCs w:val="24"/>
        </w:rPr>
        <w:t>ķekarzeltene</w:t>
      </w:r>
      <w:proofErr w:type="spellEnd"/>
      <w:r w:rsidR="3A00E1E3" w:rsidRPr="00A07F29">
        <w:rPr>
          <w:rFonts w:ascii="Times New Roman" w:eastAsia="Calibri" w:hAnsi="Times New Roman" w:cs="Times New Roman"/>
          <w:i/>
          <w:iCs/>
          <w:sz w:val="24"/>
          <w:szCs w:val="24"/>
        </w:rPr>
        <w:t xml:space="preserve"> </w:t>
      </w:r>
      <w:proofErr w:type="spellStart"/>
      <w:r w:rsidR="00A92E7C" w:rsidRPr="00A07F29">
        <w:rPr>
          <w:rFonts w:ascii="Times New Roman" w:eastAsia="Calibri" w:hAnsi="Times New Roman" w:cs="Times New Roman"/>
          <w:i/>
          <w:iCs/>
          <w:sz w:val="24"/>
          <w:szCs w:val="24"/>
        </w:rPr>
        <w:t>Naumburgia</w:t>
      </w:r>
      <w:proofErr w:type="spellEnd"/>
      <w:r w:rsidR="00A92E7C"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thyrsiflora</w:t>
      </w:r>
      <w:proofErr w:type="spellEnd"/>
      <w:r w:rsidRPr="00A07F29">
        <w:rPr>
          <w:rFonts w:ascii="Times New Roman" w:eastAsia="Calibri" w:hAnsi="Times New Roman" w:cs="Times New Roman"/>
          <w:sz w:val="24"/>
          <w:szCs w:val="24"/>
        </w:rPr>
        <w:t xml:space="preserve"> un</w:t>
      </w:r>
      <w:r w:rsidR="65C7C393" w:rsidRPr="00A07F29">
        <w:rPr>
          <w:rFonts w:ascii="Times New Roman" w:eastAsia="Calibri" w:hAnsi="Times New Roman" w:cs="Times New Roman"/>
          <w:sz w:val="24"/>
          <w:szCs w:val="24"/>
        </w:rPr>
        <w:t xml:space="preserve"> lielā ežgalvīte</w:t>
      </w:r>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i/>
          <w:iCs/>
          <w:sz w:val="24"/>
          <w:szCs w:val="24"/>
        </w:rPr>
        <w:t>Spargan</w:t>
      </w:r>
      <w:r w:rsidR="00A92E7C" w:rsidRPr="00A07F29">
        <w:rPr>
          <w:rFonts w:ascii="Times New Roman" w:eastAsia="Calibri" w:hAnsi="Times New Roman" w:cs="Times New Roman"/>
          <w:i/>
          <w:iCs/>
          <w:sz w:val="24"/>
          <w:szCs w:val="24"/>
        </w:rPr>
        <w:t>i</w:t>
      </w:r>
      <w:r w:rsidRPr="00A07F29">
        <w:rPr>
          <w:rFonts w:ascii="Times New Roman" w:eastAsia="Calibri" w:hAnsi="Times New Roman" w:cs="Times New Roman"/>
          <w:i/>
          <w:iCs/>
          <w:sz w:val="24"/>
          <w:szCs w:val="24"/>
        </w:rPr>
        <w:t>um</w:t>
      </w:r>
      <w:proofErr w:type="spellEnd"/>
      <w:r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erectum</w:t>
      </w:r>
      <w:proofErr w:type="spellEnd"/>
      <w:r w:rsidR="00B0784C" w:rsidRPr="00A07F29">
        <w:rPr>
          <w:rFonts w:ascii="Times New Roman" w:eastAsia="Calibri" w:hAnsi="Times New Roman" w:cs="Times New Roman"/>
          <w:i/>
          <w:iCs/>
          <w:sz w:val="24"/>
          <w:szCs w:val="24"/>
        </w:rPr>
        <w:t>.</w:t>
      </w:r>
      <w:r w:rsidRPr="00A07F29">
        <w:rPr>
          <w:rFonts w:ascii="Times New Roman" w:eastAsia="Calibri" w:hAnsi="Times New Roman" w:cs="Times New Roman"/>
          <w:sz w:val="24"/>
          <w:szCs w:val="24"/>
        </w:rPr>
        <w:t xml:space="preserve"> </w:t>
      </w:r>
      <w:r w:rsidR="00B0784C" w:rsidRPr="00A07F29">
        <w:rPr>
          <w:rFonts w:ascii="Times New Roman" w:eastAsia="Calibri" w:hAnsi="Times New Roman" w:cs="Times New Roman"/>
          <w:sz w:val="24"/>
          <w:szCs w:val="24"/>
        </w:rPr>
        <w:t>A</w:t>
      </w:r>
      <w:r w:rsidRPr="00A07F29">
        <w:rPr>
          <w:rFonts w:ascii="Times New Roman" w:eastAsia="Calibri" w:hAnsi="Times New Roman" w:cs="Times New Roman"/>
          <w:sz w:val="24"/>
          <w:szCs w:val="24"/>
        </w:rPr>
        <w:t xml:space="preserve">tsevišķi eksemplāri no </w:t>
      </w:r>
      <w:proofErr w:type="spellStart"/>
      <w:r w:rsidRPr="00A07F29">
        <w:rPr>
          <w:rFonts w:ascii="Times New Roman" w:eastAsia="Calibri" w:hAnsi="Times New Roman" w:cs="Times New Roman"/>
          <w:sz w:val="24"/>
          <w:szCs w:val="24"/>
        </w:rPr>
        <w:t>eloīdiem</w:t>
      </w:r>
      <w:proofErr w:type="spellEnd"/>
      <w:r w:rsidRPr="00A07F29">
        <w:rPr>
          <w:rFonts w:ascii="Times New Roman" w:eastAsia="Calibri" w:hAnsi="Times New Roman" w:cs="Times New Roman"/>
          <w:sz w:val="24"/>
          <w:szCs w:val="24"/>
        </w:rPr>
        <w:t xml:space="preserve"> jeb iegrimušiem ūdensaugiem – </w:t>
      </w:r>
      <w:proofErr w:type="spellStart"/>
      <w:r w:rsidRPr="00A07F29">
        <w:rPr>
          <w:rFonts w:ascii="Times New Roman" w:eastAsia="Calibri" w:hAnsi="Times New Roman" w:cs="Times New Roman"/>
          <w:i/>
          <w:iCs/>
          <w:sz w:val="24"/>
          <w:szCs w:val="24"/>
        </w:rPr>
        <w:t>Calla</w:t>
      </w:r>
      <w:proofErr w:type="spellEnd"/>
      <w:r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palustris</w:t>
      </w:r>
      <w:proofErr w:type="spellEnd"/>
      <w:r w:rsidRPr="00A07F29">
        <w:rPr>
          <w:rFonts w:ascii="Times New Roman" w:eastAsia="Calibri" w:hAnsi="Times New Roman" w:cs="Times New Roman"/>
          <w:i/>
          <w:iCs/>
          <w:sz w:val="24"/>
          <w:szCs w:val="24"/>
        </w:rPr>
        <w:t xml:space="preserve">. </w:t>
      </w:r>
      <w:r w:rsidR="00A92E7C" w:rsidRPr="00A07F29">
        <w:rPr>
          <w:rFonts w:ascii="Times New Roman" w:eastAsia="Calibri" w:hAnsi="Times New Roman" w:cs="Times New Roman"/>
          <w:sz w:val="24"/>
          <w:szCs w:val="24"/>
        </w:rPr>
        <w:t xml:space="preserve">Upe </w:t>
      </w:r>
      <w:r w:rsidR="00A92E7C" w:rsidRPr="00A07F29">
        <w:rPr>
          <w:rFonts w:ascii="Times New Roman" w:eastAsia="Calibri" w:hAnsi="Times New Roman" w:cs="Times New Roman"/>
          <w:bCs/>
          <w:sz w:val="24"/>
          <w:szCs w:val="24"/>
        </w:rPr>
        <w:t>atbilst biotopa 3260</w:t>
      </w:r>
      <w:r w:rsidR="008C5A60">
        <w:rPr>
          <w:rFonts w:ascii="Times New Roman" w:eastAsia="Calibri" w:hAnsi="Times New Roman" w:cs="Times New Roman"/>
          <w:bCs/>
          <w:sz w:val="24"/>
          <w:szCs w:val="24"/>
        </w:rPr>
        <w:t> </w:t>
      </w:r>
      <w:r w:rsidR="00A92E7C" w:rsidRPr="00A07F29">
        <w:rPr>
          <w:rFonts w:ascii="Times New Roman" w:eastAsia="Calibri" w:hAnsi="Times New Roman" w:cs="Times New Roman"/>
          <w:bCs/>
          <w:i/>
          <w:sz w:val="24"/>
          <w:szCs w:val="24"/>
        </w:rPr>
        <w:t>Upju straujteces un dabiski upju posmi</w:t>
      </w:r>
      <w:r w:rsidR="00A92E7C" w:rsidRPr="00A07F29">
        <w:rPr>
          <w:rFonts w:ascii="Times New Roman" w:eastAsia="Calibri" w:hAnsi="Times New Roman" w:cs="Times New Roman"/>
          <w:bCs/>
          <w:sz w:val="24"/>
          <w:szCs w:val="24"/>
        </w:rPr>
        <w:t xml:space="preserve"> 1. variantam un </w:t>
      </w:r>
      <w:r w:rsidR="00A92E7C" w:rsidRPr="00A07F29">
        <w:rPr>
          <w:rFonts w:ascii="Times New Roman" w:eastAsia="Calibri" w:hAnsi="Times New Roman" w:cs="Times New Roman"/>
          <w:sz w:val="24"/>
          <w:szCs w:val="24"/>
        </w:rPr>
        <w:t>tā kvalitāte novērtēta kā laba.</w:t>
      </w:r>
    </w:p>
    <w:p w14:paraId="06C1576C" w14:textId="5ADF8CDE" w:rsidR="00A354FB" w:rsidRPr="00A07F29" w:rsidRDefault="00A354FB" w:rsidP="00A4372A">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b/>
          <w:bCs/>
          <w:sz w:val="24"/>
          <w:szCs w:val="24"/>
        </w:rPr>
        <w:t xml:space="preserve">Balta </w:t>
      </w:r>
      <w:r w:rsidRPr="00A07F29">
        <w:rPr>
          <w:rFonts w:ascii="Times New Roman" w:eastAsia="Calibri" w:hAnsi="Times New Roman" w:cs="Times New Roman"/>
          <w:sz w:val="24"/>
          <w:szCs w:val="24"/>
        </w:rPr>
        <w:t xml:space="preserve">ir šaura un samērā sekla, grunts substrātu veido </w:t>
      </w:r>
      <w:r w:rsidR="00A4372A" w:rsidRPr="00A07F29">
        <w:rPr>
          <w:rFonts w:ascii="Times New Roman" w:eastAsia="Calibri" w:hAnsi="Times New Roman" w:cs="Times New Roman"/>
          <w:sz w:val="24"/>
          <w:szCs w:val="24"/>
        </w:rPr>
        <w:t xml:space="preserve">galvenokārt </w:t>
      </w:r>
      <w:r w:rsidRPr="00A07F29">
        <w:rPr>
          <w:rFonts w:ascii="Times New Roman" w:eastAsia="Calibri" w:hAnsi="Times New Roman" w:cs="Times New Roman"/>
          <w:sz w:val="24"/>
          <w:szCs w:val="24"/>
        </w:rPr>
        <w:t xml:space="preserve">smilts un </w:t>
      </w:r>
      <w:r w:rsidR="00A4372A" w:rsidRPr="00A07F29">
        <w:rPr>
          <w:rFonts w:ascii="Times New Roman" w:eastAsia="Calibri" w:hAnsi="Times New Roman" w:cs="Times New Roman"/>
          <w:sz w:val="24"/>
          <w:szCs w:val="24"/>
        </w:rPr>
        <w:t>dūņas, ir arī akmeņi</w:t>
      </w:r>
      <w:r w:rsidRPr="00A07F29">
        <w:rPr>
          <w:rFonts w:ascii="Times New Roman" w:eastAsia="Calibri" w:hAnsi="Times New Roman" w:cs="Times New Roman"/>
          <w:sz w:val="24"/>
          <w:szCs w:val="24"/>
        </w:rPr>
        <w:t xml:space="preserve">. </w:t>
      </w:r>
      <w:r w:rsidR="00A4372A" w:rsidRPr="00A07F29">
        <w:rPr>
          <w:rFonts w:ascii="Times New Roman" w:eastAsia="Calibri" w:hAnsi="Times New Roman" w:cs="Times New Roman"/>
          <w:sz w:val="24"/>
          <w:szCs w:val="24"/>
        </w:rPr>
        <w:t xml:space="preserve">Apsekoto posmu stipri ietekmējusi </w:t>
      </w:r>
      <w:r w:rsidRPr="00A07F29">
        <w:rPr>
          <w:rFonts w:ascii="Times New Roman" w:eastAsia="Calibri" w:hAnsi="Times New Roman" w:cs="Times New Roman"/>
          <w:sz w:val="24"/>
          <w:szCs w:val="24"/>
        </w:rPr>
        <w:t>bebru darbība</w:t>
      </w:r>
      <w:r w:rsidR="00446023" w:rsidRPr="00A07F29">
        <w:rPr>
          <w:rFonts w:ascii="Times New Roman" w:eastAsia="Calibri" w:hAnsi="Times New Roman" w:cs="Times New Roman"/>
          <w:sz w:val="24"/>
          <w:szCs w:val="24"/>
        </w:rPr>
        <w:t xml:space="preserve">: </w:t>
      </w:r>
      <w:r w:rsidR="00A4372A" w:rsidRPr="00A07F29">
        <w:rPr>
          <w:rFonts w:ascii="Times New Roman" w:eastAsia="Calibri" w:hAnsi="Times New Roman" w:cs="Times New Roman"/>
          <w:sz w:val="24"/>
          <w:szCs w:val="24"/>
        </w:rPr>
        <w:t xml:space="preserve">konstatēti </w:t>
      </w:r>
      <w:r w:rsidR="0058668E">
        <w:rPr>
          <w:rFonts w:ascii="Times New Roman" w:eastAsia="Calibri" w:hAnsi="Times New Roman" w:cs="Times New Roman"/>
          <w:sz w:val="24"/>
          <w:szCs w:val="24"/>
        </w:rPr>
        <w:t>divi</w:t>
      </w:r>
      <w:r w:rsidR="00A4372A" w:rsidRPr="00A07F29">
        <w:rPr>
          <w:rFonts w:ascii="Times New Roman" w:eastAsia="Calibri" w:hAnsi="Times New Roman" w:cs="Times New Roman"/>
          <w:sz w:val="24"/>
          <w:szCs w:val="24"/>
        </w:rPr>
        <w:t xml:space="preserve"> bebru dambji, upes krastos </w:t>
      </w:r>
      <w:proofErr w:type="spellStart"/>
      <w:r w:rsidRPr="00A07F29">
        <w:rPr>
          <w:rFonts w:ascii="Times New Roman" w:eastAsia="Calibri" w:hAnsi="Times New Roman" w:cs="Times New Roman"/>
          <w:sz w:val="24"/>
          <w:szCs w:val="24"/>
        </w:rPr>
        <w:t>bebraine</w:t>
      </w:r>
      <w:r w:rsidR="00A4372A" w:rsidRPr="00A07F29">
        <w:rPr>
          <w:rFonts w:ascii="Times New Roman" w:eastAsia="Calibri" w:hAnsi="Times New Roman" w:cs="Times New Roman"/>
          <w:sz w:val="24"/>
          <w:szCs w:val="24"/>
        </w:rPr>
        <w:t>s</w:t>
      </w:r>
      <w:proofErr w:type="spellEnd"/>
      <w:r w:rsidR="00A4372A" w:rsidRPr="00A07F29">
        <w:rPr>
          <w:rFonts w:ascii="Times New Roman" w:eastAsia="Calibri" w:hAnsi="Times New Roman" w:cs="Times New Roman"/>
          <w:sz w:val="24"/>
          <w:szCs w:val="24"/>
        </w:rPr>
        <w:t>, mijas bebru ietekmētie un straujteces posmi.</w:t>
      </w:r>
      <w:r w:rsidR="00446023" w:rsidRPr="00A07F29">
        <w:rPr>
          <w:rFonts w:ascii="Times New Roman" w:eastAsia="Calibri" w:hAnsi="Times New Roman" w:cs="Times New Roman"/>
          <w:sz w:val="24"/>
          <w:szCs w:val="24"/>
        </w:rPr>
        <w:t xml:space="preserve"> </w:t>
      </w:r>
      <w:proofErr w:type="spellStart"/>
      <w:r w:rsidR="00446023" w:rsidRPr="00A07F29">
        <w:rPr>
          <w:rFonts w:ascii="Times New Roman" w:eastAsia="Calibri" w:hAnsi="Times New Roman" w:cs="Times New Roman"/>
          <w:sz w:val="24"/>
          <w:szCs w:val="24"/>
        </w:rPr>
        <w:t>Konastatētas</w:t>
      </w:r>
      <w:proofErr w:type="spellEnd"/>
      <w:r w:rsidR="00446023" w:rsidRPr="00A07F29">
        <w:rPr>
          <w:rFonts w:ascii="Times New Roman" w:eastAsia="Calibri" w:hAnsi="Times New Roman" w:cs="Times New Roman"/>
          <w:sz w:val="24"/>
          <w:szCs w:val="24"/>
        </w:rPr>
        <w:t xml:space="preserve"> </w:t>
      </w:r>
      <w:r w:rsidR="0058668E">
        <w:rPr>
          <w:rFonts w:ascii="Times New Roman" w:eastAsia="Calibri" w:hAnsi="Times New Roman" w:cs="Times New Roman"/>
          <w:sz w:val="24"/>
          <w:szCs w:val="24"/>
        </w:rPr>
        <w:t>četras</w:t>
      </w:r>
      <w:r w:rsidR="00446023" w:rsidRPr="00A07F29">
        <w:rPr>
          <w:rFonts w:ascii="Times New Roman" w:eastAsia="Calibri" w:hAnsi="Times New Roman" w:cs="Times New Roman"/>
          <w:sz w:val="24"/>
          <w:szCs w:val="24"/>
        </w:rPr>
        <w:t xml:space="preserve"> ūdensaugu sugas, no kurām izplatīti galvenokārt grīšļi </w:t>
      </w:r>
      <w:proofErr w:type="spellStart"/>
      <w:r w:rsidR="00446023" w:rsidRPr="00A07F29">
        <w:rPr>
          <w:rFonts w:ascii="Times New Roman" w:eastAsia="Calibri" w:hAnsi="Times New Roman" w:cs="Times New Roman"/>
          <w:i/>
          <w:iCs/>
          <w:sz w:val="24"/>
          <w:szCs w:val="24"/>
        </w:rPr>
        <w:t>Carex.sp</w:t>
      </w:r>
      <w:proofErr w:type="spellEnd"/>
      <w:r w:rsidR="00446023" w:rsidRPr="00A07F29">
        <w:rPr>
          <w:rFonts w:ascii="Times New Roman" w:eastAsia="Calibri" w:hAnsi="Times New Roman" w:cs="Times New Roman"/>
          <w:i/>
          <w:iCs/>
          <w:sz w:val="24"/>
          <w:szCs w:val="24"/>
        </w:rPr>
        <w:t>.</w:t>
      </w:r>
      <w:r w:rsidR="0058668E">
        <w:rPr>
          <w:rFonts w:ascii="Times New Roman" w:eastAsia="Calibri" w:hAnsi="Times New Roman" w:cs="Times New Roman"/>
          <w:i/>
          <w:iCs/>
          <w:sz w:val="24"/>
          <w:szCs w:val="24"/>
        </w:rPr>
        <w:t xml:space="preserve"> </w:t>
      </w:r>
      <w:r w:rsidR="00446023" w:rsidRPr="00A07F29">
        <w:rPr>
          <w:rFonts w:ascii="Times New Roman" w:eastAsia="Calibri" w:hAnsi="Times New Roman" w:cs="Times New Roman"/>
          <w:sz w:val="24"/>
          <w:szCs w:val="24"/>
        </w:rPr>
        <w:t xml:space="preserve">un meža meldrs </w:t>
      </w:r>
      <w:proofErr w:type="spellStart"/>
      <w:r w:rsidR="00446023" w:rsidRPr="00A07F29">
        <w:rPr>
          <w:rFonts w:ascii="Times New Roman" w:eastAsia="Calibri" w:hAnsi="Times New Roman" w:cs="Times New Roman"/>
          <w:i/>
          <w:iCs/>
          <w:sz w:val="24"/>
          <w:szCs w:val="24"/>
        </w:rPr>
        <w:t>Scirpus</w:t>
      </w:r>
      <w:proofErr w:type="spellEnd"/>
      <w:r w:rsidR="00446023" w:rsidRPr="00A07F29">
        <w:rPr>
          <w:rFonts w:ascii="Times New Roman" w:eastAsia="Calibri" w:hAnsi="Times New Roman" w:cs="Times New Roman"/>
          <w:i/>
          <w:iCs/>
          <w:sz w:val="24"/>
          <w:szCs w:val="24"/>
        </w:rPr>
        <w:t xml:space="preserve"> </w:t>
      </w:r>
      <w:proofErr w:type="spellStart"/>
      <w:r w:rsidR="00446023" w:rsidRPr="00A07F29">
        <w:rPr>
          <w:rFonts w:ascii="Times New Roman" w:eastAsia="Calibri" w:hAnsi="Times New Roman" w:cs="Times New Roman"/>
          <w:i/>
          <w:iCs/>
          <w:sz w:val="24"/>
          <w:szCs w:val="24"/>
        </w:rPr>
        <w:t>silvestris</w:t>
      </w:r>
      <w:proofErr w:type="spellEnd"/>
      <w:r w:rsidR="00446023" w:rsidRPr="00A07F29">
        <w:rPr>
          <w:rFonts w:ascii="Times New Roman" w:eastAsia="Calibri" w:hAnsi="Times New Roman" w:cs="Times New Roman"/>
          <w:sz w:val="24"/>
          <w:szCs w:val="24"/>
        </w:rPr>
        <w:t xml:space="preserve">. </w:t>
      </w:r>
      <w:r w:rsidR="00A4372A" w:rsidRPr="00A07F29">
        <w:rPr>
          <w:rFonts w:ascii="Times New Roman" w:eastAsia="Calibri" w:hAnsi="Times New Roman" w:cs="Times New Roman"/>
          <w:sz w:val="24"/>
          <w:szCs w:val="24"/>
        </w:rPr>
        <w:t xml:space="preserve">Nepieciešama bebru darbības ierobežošana un </w:t>
      </w:r>
      <w:r w:rsidR="00446023" w:rsidRPr="00A07F29">
        <w:rPr>
          <w:rFonts w:ascii="Times New Roman" w:eastAsia="Calibri" w:hAnsi="Times New Roman" w:cs="Times New Roman"/>
          <w:sz w:val="24"/>
          <w:szCs w:val="24"/>
        </w:rPr>
        <w:t xml:space="preserve">koku sagāzumu izvākšana. </w:t>
      </w:r>
      <w:r w:rsidR="00A4372A" w:rsidRPr="00A07F29">
        <w:rPr>
          <w:rFonts w:ascii="Times New Roman" w:eastAsia="Calibri" w:hAnsi="Times New Roman" w:cs="Times New Roman"/>
          <w:sz w:val="24"/>
          <w:szCs w:val="24"/>
        </w:rPr>
        <w:t xml:space="preserve">Upe </w:t>
      </w:r>
      <w:r w:rsidR="00A4372A" w:rsidRPr="00A07F29">
        <w:rPr>
          <w:rFonts w:ascii="Times New Roman" w:eastAsia="Calibri" w:hAnsi="Times New Roman" w:cs="Times New Roman"/>
          <w:bCs/>
          <w:sz w:val="24"/>
          <w:szCs w:val="24"/>
        </w:rPr>
        <w:t>atbilst biotopa 3260</w:t>
      </w:r>
      <w:r w:rsidR="00A05B60">
        <w:rPr>
          <w:rFonts w:ascii="Times New Roman" w:eastAsia="Calibri" w:hAnsi="Times New Roman" w:cs="Times New Roman"/>
          <w:bCs/>
          <w:sz w:val="24"/>
          <w:szCs w:val="24"/>
        </w:rPr>
        <w:t> </w:t>
      </w:r>
      <w:r w:rsidR="00A4372A" w:rsidRPr="00A07F29">
        <w:rPr>
          <w:rFonts w:ascii="Times New Roman" w:eastAsia="Calibri" w:hAnsi="Times New Roman" w:cs="Times New Roman"/>
          <w:bCs/>
          <w:i/>
          <w:sz w:val="24"/>
          <w:szCs w:val="24"/>
        </w:rPr>
        <w:t>Upju straujteces un dabiski upju posmi</w:t>
      </w:r>
      <w:r w:rsidR="00A4372A" w:rsidRPr="00A07F29">
        <w:rPr>
          <w:rFonts w:ascii="Times New Roman" w:eastAsia="Calibri" w:hAnsi="Times New Roman" w:cs="Times New Roman"/>
          <w:bCs/>
          <w:sz w:val="24"/>
          <w:szCs w:val="24"/>
        </w:rPr>
        <w:t xml:space="preserve"> 1. variantam un </w:t>
      </w:r>
      <w:r w:rsidR="00A4372A" w:rsidRPr="00A07F29">
        <w:rPr>
          <w:rFonts w:ascii="Times New Roman" w:eastAsia="Calibri" w:hAnsi="Times New Roman" w:cs="Times New Roman"/>
          <w:sz w:val="24"/>
          <w:szCs w:val="24"/>
        </w:rPr>
        <w:t>tā kvalitāte novērtēta kā</w:t>
      </w:r>
      <w:r w:rsidR="00A4372A" w:rsidRPr="00A07F29" w:rsidDel="00A4372A">
        <w:rPr>
          <w:rFonts w:ascii="Times New Roman" w:eastAsia="Calibri" w:hAnsi="Times New Roman" w:cs="Times New Roman"/>
          <w:sz w:val="24"/>
          <w:szCs w:val="24"/>
        </w:rPr>
        <w:t xml:space="preserve"> </w:t>
      </w:r>
      <w:r w:rsidR="00A4372A" w:rsidRPr="00A07F29">
        <w:rPr>
          <w:rFonts w:ascii="Times New Roman" w:eastAsia="Calibri" w:hAnsi="Times New Roman" w:cs="Times New Roman"/>
          <w:sz w:val="24"/>
          <w:szCs w:val="24"/>
        </w:rPr>
        <w:t>vidēja</w:t>
      </w:r>
      <w:r w:rsidRPr="00A07F29">
        <w:rPr>
          <w:rFonts w:ascii="Times New Roman" w:eastAsia="Calibri" w:hAnsi="Times New Roman" w:cs="Times New Roman"/>
          <w:sz w:val="24"/>
          <w:szCs w:val="24"/>
        </w:rPr>
        <w:t>.</w:t>
      </w:r>
    </w:p>
    <w:p w14:paraId="3065F5DF" w14:textId="45BEE4AE" w:rsidR="00A354FB" w:rsidRPr="00A07F29" w:rsidRDefault="008B4FD0" w:rsidP="006827EA">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Apsekotajam </w:t>
      </w:r>
      <w:proofErr w:type="spellStart"/>
      <w:r w:rsidR="00A354FB" w:rsidRPr="00A07F29">
        <w:rPr>
          <w:rFonts w:ascii="Times New Roman" w:eastAsia="Calibri" w:hAnsi="Times New Roman" w:cs="Times New Roman"/>
          <w:b/>
          <w:bCs/>
          <w:sz w:val="24"/>
          <w:szCs w:val="24"/>
        </w:rPr>
        <w:t>Puniška</w:t>
      </w:r>
      <w:r w:rsidRPr="00A07F29">
        <w:rPr>
          <w:rFonts w:ascii="Times New Roman" w:eastAsia="Calibri" w:hAnsi="Times New Roman" w:cs="Times New Roman"/>
          <w:b/>
          <w:bCs/>
          <w:sz w:val="24"/>
          <w:szCs w:val="24"/>
        </w:rPr>
        <w:t>s</w:t>
      </w:r>
      <w:proofErr w:type="spellEnd"/>
      <w:r w:rsidR="00A354FB" w:rsidRPr="00A07F29">
        <w:rPr>
          <w:rFonts w:ascii="Times New Roman" w:eastAsia="Calibri" w:hAnsi="Times New Roman" w:cs="Times New Roman"/>
          <w:b/>
          <w:bCs/>
          <w:sz w:val="24"/>
          <w:szCs w:val="24"/>
        </w:rPr>
        <w:t xml:space="preserve"> </w:t>
      </w:r>
      <w:r w:rsidR="00446023" w:rsidRPr="00A07F29">
        <w:rPr>
          <w:rFonts w:ascii="Times New Roman" w:eastAsia="Calibri" w:hAnsi="Times New Roman" w:cs="Times New Roman"/>
          <w:sz w:val="24"/>
          <w:szCs w:val="24"/>
        </w:rPr>
        <w:t xml:space="preserve">posmam </w:t>
      </w:r>
      <w:r w:rsidRPr="00A07F29">
        <w:rPr>
          <w:rFonts w:ascii="Times New Roman" w:eastAsia="Calibri" w:hAnsi="Times New Roman" w:cs="Times New Roman"/>
          <w:sz w:val="24"/>
          <w:szCs w:val="24"/>
        </w:rPr>
        <w:t xml:space="preserve">pie Žīdiņiem </w:t>
      </w:r>
      <w:r w:rsidR="00446023" w:rsidRPr="00A07F29">
        <w:rPr>
          <w:rFonts w:ascii="Times New Roman" w:eastAsia="Calibri" w:hAnsi="Times New Roman" w:cs="Times New Roman"/>
          <w:sz w:val="24"/>
          <w:szCs w:val="24"/>
        </w:rPr>
        <w:t>raksturīgi</w:t>
      </w:r>
      <w:r w:rsidR="00A354FB" w:rsidRPr="00A07F29">
        <w:rPr>
          <w:rFonts w:ascii="Times New Roman" w:eastAsia="Calibri" w:hAnsi="Times New Roman" w:cs="Times New Roman"/>
          <w:sz w:val="24"/>
          <w:szCs w:val="24"/>
        </w:rPr>
        <w:t xml:space="preserve"> ļoti stāvi</w:t>
      </w:r>
      <w:r w:rsidR="00446023" w:rsidRPr="00A07F29">
        <w:rPr>
          <w:rFonts w:ascii="Times New Roman" w:eastAsia="Calibri" w:hAnsi="Times New Roman" w:cs="Times New Roman"/>
          <w:sz w:val="24"/>
          <w:szCs w:val="24"/>
        </w:rPr>
        <w:t xml:space="preserve"> </w:t>
      </w:r>
      <w:r w:rsidR="00A354FB" w:rsidRPr="00A07F29">
        <w:rPr>
          <w:rFonts w:ascii="Times New Roman" w:eastAsia="Calibri" w:hAnsi="Times New Roman" w:cs="Times New Roman"/>
          <w:sz w:val="24"/>
          <w:szCs w:val="24"/>
        </w:rPr>
        <w:t>krasti</w:t>
      </w:r>
      <w:r w:rsidR="00446023" w:rsidRPr="00A07F29">
        <w:rPr>
          <w:rFonts w:ascii="Times New Roman" w:eastAsia="Calibri" w:hAnsi="Times New Roman" w:cs="Times New Roman"/>
          <w:sz w:val="24"/>
          <w:szCs w:val="24"/>
        </w:rPr>
        <w:t xml:space="preserve"> </w:t>
      </w:r>
      <w:r w:rsidR="00A354FB" w:rsidRPr="00A07F29">
        <w:rPr>
          <w:rFonts w:ascii="Times New Roman" w:eastAsia="Calibri" w:hAnsi="Times New Roman" w:cs="Times New Roman"/>
          <w:sz w:val="24"/>
          <w:szCs w:val="24"/>
        </w:rPr>
        <w:t xml:space="preserve">un </w:t>
      </w:r>
      <w:r w:rsidRPr="00A07F29">
        <w:rPr>
          <w:rFonts w:ascii="Times New Roman" w:eastAsia="Calibri" w:hAnsi="Times New Roman" w:cs="Times New Roman"/>
          <w:sz w:val="24"/>
          <w:szCs w:val="24"/>
        </w:rPr>
        <w:t>spēcīga straume</w:t>
      </w:r>
      <w:r w:rsidR="00A354FB" w:rsidRPr="00A07F29">
        <w:rPr>
          <w:rFonts w:ascii="Times New Roman" w:eastAsia="Calibri" w:hAnsi="Times New Roman" w:cs="Times New Roman"/>
          <w:sz w:val="24"/>
          <w:szCs w:val="24"/>
        </w:rPr>
        <w:t xml:space="preserve">. Upe ir tipiska straujtece ar dabiskiem, </w:t>
      </w:r>
      <w:r w:rsidR="00446023" w:rsidRPr="00A07F29">
        <w:rPr>
          <w:rFonts w:ascii="Times New Roman" w:eastAsia="Calibri" w:hAnsi="Times New Roman" w:cs="Times New Roman"/>
          <w:sz w:val="24"/>
          <w:szCs w:val="24"/>
        </w:rPr>
        <w:t xml:space="preserve">ar mežu </w:t>
      </w:r>
      <w:r w:rsidR="00A354FB" w:rsidRPr="00A07F29">
        <w:rPr>
          <w:rFonts w:ascii="Times New Roman" w:eastAsia="Calibri" w:hAnsi="Times New Roman" w:cs="Times New Roman"/>
          <w:sz w:val="24"/>
          <w:szCs w:val="24"/>
        </w:rPr>
        <w:t>apauguši</w:t>
      </w:r>
      <w:r w:rsidR="00446023" w:rsidRPr="00A07F29">
        <w:rPr>
          <w:rFonts w:ascii="Times New Roman" w:eastAsia="Calibri" w:hAnsi="Times New Roman" w:cs="Times New Roman"/>
          <w:sz w:val="24"/>
          <w:szCs w:val="24"/>
        </w:rPr>
        <w:t>em</w:t>
      </w:r>
      <w:r w:rsidR="00A354FB" w:rsidRPr="00A07F29">
        <w:rPr>
          <w:rFonts w:ascii="Times New Roman" w:eastAsia="Calibri" w:hAnsi="Times New Roman" w:cs="Times New Roman"/>
          <w:sz w:val="24"/>
          <w:szCs w:val="24"/>
        </w:rPr>
        <w:t xml:space="preserve"> </w:t>
      </w:r>
      <w:r w:rsidR="00446023" w:rsidRPr="00A07F29">
        <w:rPr>
          <w:rFonts w:ascii="Times New Roman" w:eastAsia="Calibri" w:hAnsi="Times New Roman" w:cs="Times New Roman"/>
          <w:sz w:val="24"/>
          <w:szCs w:val="24"/>
        </w:rPr>
        <w:t>krastiem</w:t>
      </w:r>
      <w:r w:rsidR="00A354FB" w:rsidRPr="00A07F29">
        <w:rPr>
          <w:rFonts w:ascii="Times New Roman" w:eastAsia="Calibri" w:hAnsi="Times New Roman" w:cs="Times New Roman"/>
          <w:sz w:val="24"/>
          <w:szCs w:val="24"/>
        </w:rPr>
        <w:t xml:space="preserve">. </w:t>
      </w:r>
      <w:r w:rsidRPr="00A07F29">
        <w:rPr>
          <w:rFonts w:ascii="Times New Roman" w:eastAsia="Calibri" w:hAnsi="Times New Roman" w:cs="Times New Roman"/>
          <w:sz w:val="24"/>
          <w:szCs w:val="24"/>
        </w:rPr>
        <w:t>Ieteicama koku sanesumu izvākšana.</w:t>
      </w:r>
      <w:r w:rsidR="00A354FB" w:rsidRPr="00A07F29">
        <w:rPr>
          <w:rFonts w:ascii="Times New Roman" w:eastAsia="Calibri" w:hAnsi="Times New Roman" w:cs="Times New Roman"/>
          <w:sz w:val="24"/>
          <w:szCs w:val="24"/>
        </w:rPr>
        <w:t xml:space="preserve"> </w:t>
      </w:r>
      <w:r w:rsidRPr="00A07F29">
        <w:rPr>
          <w:rFonts w:ascii="Times New Roman" w:eastAsia="Calibri" w:hAnsi="Times New Roman" w:cs="Times New Roman"/>
          <w:sz w:val="24"/>
          <w:szCs w:val="24"/>
        </w:rPr>
        <w:t xml:space="preserve">Ūdensaugi netika konstatēti. </w:t>
      </w:r>
      <w:r w:rsidR="00446023" w:rsidRPr="00A07F29">
        <w:rPr>
          <w:rFonts w:ascii="Times New Roman" w:eastAsia="Calibri" w:hAnsi="Times New Roman" w:cs="Times New Roman"/>
          <w:sz w:val="24"/>
          <w:szCs w:val="24"/>
        </w:rPr>
        <w:t xml:space="preserve">Upe </w:t>
      </w:r>
      <w:r w:rsidR="00446023" w:rsidRPr="00A07F29">
        <w:rPr>
          <w:rFonts w:ascii="Times New Roman" w:eastAsia="Calibri" w:hAnsi="Times New Roman" w:cs="Times New Roman"/>
          <w:bCs/>
          <w:sz w:val="24"/>
          <w:szCs w:val="24"/>
        </w:rPr>
        <w:t>atbilst biotopa 3260</w:t>
      </w:r>
      <w:r w:rsidR="00C70D21">
        <w:rPr>
          <w:rFonts w:ascii="Times New Roman" w:eastAsia="Calibri" w:hAnsi="Times New Roman" w:cs="Times New Roman"/>
          <w:bCs/>
          <w:sz w:val="24"/>
          <w:szCs w:val="24"/>
        </w:rPr>
        <w:t> </w:t>
      </w:r>
      <w:r w:rsidR="00446023" w:rsidRPr="00A07F29">
        <w:rPr>
          <w:rFonts w:ascii="Times New Roman" w:eastAsia="Calibri" w:hAnsi="Times New Roman" w:cs="Times New Roman"/>
          <w:bCs/>
          <w:i/>
          <w:sz w:val="24"/>
          <w:szCs w:val="24"/>
        </w:rPr>
        <w:t>Upju straujteces un dabiski upju posmi</w:t>
      </w:r>
      <w:r w:rsidR="00446023" w:rsidRPr="00A07F29">
        <w:rPr>
          <w:rFonts w:ascii="Times New Roman" w:eastAsia="Calibri" w:hAnsi="Times New Roman" w:cs="Times New Roman"/>
          <w:bCs/>
          <w:sz w:val="24"/>
          <w:szCs w:val="24"/>
        </w:rPr>
        <w:t xml:space="preserve"> 1. variantam un </w:t>
      </w:r>
      <w:r w:rsidR="00446023" w:rsidRPr="00A07F29">
        <w:rPr>
          <w:rFonts w:ascii="Times New Roman" w:eastAsia="Calibri" w:hAnsi="Times New Roman" w:cs="Times New Roman"/>
          <w:sz w:val="24"/>
          <w:szCs w:val="24"/>
        </w:rPr>
        <w:t>tā kvalitāte novērtēta kā</w:t>
      </w:r>
      <w:r w:rsidR="00446023" w:rsidRPr="00A07F29" w:rsidDel="00A4372A">
        <w:rPr>
          <w:rFonts w:ascii="Times New Roman" w:eastAsia="Calibri" w:hAnsi="Times New Roman" w:cs="Times New Roman"/>
          <w:sz w:val="24"/>
          <w:szCs w:val="24"/>
        </w:rPr>
        <w:t xml:space="preserve"> </w:t>
      </w:r>
      <w:r w:rsidR="00A354FB" w:rsidRPr="00A07F29">
        <w:rPr>
          <w:rFonts w:ascii="Times New Roman" w:eastAsia="Calibri" w:hAnsi="Times New Roman" w:cs="Times New Roman"/>
          <w:sz w:val="24"/>
          <w:szCs w:val="24"/>
        </w:rPr>
        <w:t>laba.</w:t>
      </w:r>
    </w:p>
    <w:p w14:paraId="671FCF1A" w14:textId="29258019" w:rsidR="00A354FB" w:rsidRPr="00A07F29" w:rsidRDefault="00A354FB" w:rsidP="006827EA">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b/>
          <w:bCs/>
          <w:sz w:val="24"/>
          <w:szCs w:val="24"/>
        </w:rPr>
        <w:t xml:space="preserve">Putānu upīte </w:t>
      </w:r>
      <w:r w:rsidRPr="00A07F29">
        <w:rPr>
          <w:rFonts w:ascii="Times New Roman" w:eastAsia="Calibri" w:hAnsi="Times New Roman" w:cs="Times New Roman"/>
          <w:sz w:val="24"/>
          <w:szCs w:val="24"/>
        </w:rPr>
        <w:t xml:space="preserve">ir šaura un sekla, tai </w:t>
      </w:r>
      <w:r w:rsidR="00CA3FBC" w:rsidRPr="00A07F29">
        <w:rPr>
          <w:rFonts w:ascii="Times New Roman" w:eastAsia="Calibri" w:hAnsi="Times New Roman" w:cs="Times New Roman"/>
          <w:sz w:val="24"/>
          <w:szCs w:val="24"/>
        </w:rPr>
        <w:t xml:space="preserve">ir </w:t>
      </w:r>
      <w:r w:rsidRPr="00A07F29">
        <w:rPr>
          <w:rFonts w:ascii="Times New Roman" w:eastAsia="Calibri" w:hAnsi="Times New Roman" w:cs="Times New Roman"/>
          <w:sz w:val="24"/>
          <w:szCs w:val="24"/>
        </w:rPr>
        <w:t>dabiska gultne un krasti</w:t>
      </w:r>
      <w:r w:rsidR="00E96338" w:rsidRPr="00A07F29">
        <w:rPr>
          <w:rFonts w:ascii="Times New Roman" w:eastAsia="Calibri" w:hAnsi="Times New Roman" w:cs="Times New Roman"/>
          <w:sz w:val="24"/>
          <w:szCs w:val="24"/>
        </w:rPr>
        <w:t xml:space="preserve">, ko </w:t>
      </w:r>
      <w:r w:rsidRPr="00A07F29">
        <w:rPr>
          <w:rFonts w:ascii="Times New Roman" w:eastAsia="Calibri" w:hAnsi="Times New Roman" w:cs="Times New Roman"/>
          <w:sz w:val="24"/>
          <w:szCs w:val="24"/>
        </w:rPr>
        <w:t xml:space="preserve">ieskauj </w:t>
      </w:r>
      <w:r w:rsidR="00E96338" w:rsidRPr="00A07F29">
        <w:rPr>
          <w:rFonts w:ascii="Times New Roman" w:eastAsia="Calibri" w:hAnsi="Times New Roman" w:cs="Times New Roman"/>
          <w:sz w:val="24"/>
          <w:szCs w:val="24"/>
        </w:rPr>
        <w:t xml:space="preserve">krūmāji un mežs. </w:t>
      </w:r>
      <w:r w:rsidRPr="00A07F29">
        <w:rPr>
          <w:rFonts w:ascii="Times New Roman" w:eastAsia="Calibri" w:hAnsi="Times New Roman" w:cs="Times New Roman"/>
          <w:sz w:val="24"/>
          <w:szCs w:val="24"/>
        </w:rPr>
        <w:t xml:space="preserve">Grunts substrātu veido </w:t>
      </w:r>
      <w:r w:rsidR="00E96338" w:rsidRPr="00A07F29">
        <w:rPr>
          <w:rFonts w:ascii="Times New Roman" w:eastAsia="Calibri" w:hAnsi="Times New Roman" w:cs="Times New Roman"/>
          <w:sz w:val="24"/>
          <w:szCs w:val="24"/>
        </w:rPr>
        <w:t xml:space="preserve">galvenokārt </w:t>
      </w:r>
      <w:r w:rsidRPr="00A07F29">
        <w:rPr>
          <w:rFonts w:ascii="Times New Roman" w:eastAsia="Calibri" w:hAnsi="Times New Roman" w:cs="Times New Roman"/>
          <w:sz w:val="24"/>
          <w:szCs w:val="24"/>
        </w:rPr>
        <w:t xml:space="preserve">grants un oļi ar smilšu un rupja detrīta piejaukumu. </w:t>
      </w:r>
      <w:r w:rsidR="00E96338" w:rsidRPr="00A07F29">
        <w:rPr>
          <w:rFonts w:ascii="Times New Roman" w:eastAsia="Calibri" w:hAnsi="Times New Roman" w:cs="Times New Roman"/>
          <w:sz w:val="24"/>
          <w:szCs w:val="24"/>
        </w:rPr>
        <w:t xml:space="preserve">Ieteicama </w:t>
      </w:r>
      <w:r w:rsidRPr="00A07F29">
        <w:rPr>
          <w:rFonts w:ascii="Times New Roman" w:eastAsia="Calibri" w:hAnsi="Times New Roman" w:cs="Times New Roman"/>
          <w:sz w:val="24"/>
          <w:szCs w:val="24"/>
        </w:rPr>
        <w:t xml:space="preserve">koku un zaru sanesumu </w:t>
      </w:r>
      <w:r w:rsidR="00E96338" w:rsidRPr="00A07F29">
        <w:rPr>
          <w:rFonts w:ascii="Times New Roman" w:eastAsia="Calibri" w:hAnsi="Times New Roman" w:cs="Times New Roman"/>
          <w:sz w:val="24"/>
          <w:szCs w:val="24"/>
        </w:rPr>
        <w:t xml:space="preserve">izvākšana, kā arī nepieciešama </w:t>
      </w:r>
      <w:proofErr w:type="spellStart"/>
      <w:r w:rsidR="00E96338" w:rsidRPr="00A07F29">
        <w:rPr>
          <w:rFonts w:ascii="Times New Roman" w:eastAsia="Calibri" w:hAnsi="Times New Roman" w:cs="Times New Roman"/>
          <w:sz w:val="24"/>
          <w:szCs w:val="24"/>
        </w:rPr>
        <w:t>latvāņu</w:t>
      </w:r>
      <w:proofErr w:type="spellEnd"/>
      <w:r w:rsidR="00E96338" w:rsidRPr="00A07F29">
        <w:rPr>
          <w:rFonts w:ascii="Times New Roman" w:eastAsia="Calibri" w:hAnsi="Times New Roman" w:cs="Times New Roman"/>
          <w:sz w:val="24"/>
          <w:szCs w:val="24"/>
        </w:rPr>
        <w:t xml:space="preserve"> apkarošana.</w:t>
      </w:r>
      <w:r w:rsidR="0047537F" w:rsidRPr="00A07F29">
        <w:rPr>
          <w:rFonts w:ascii="Times New Roman" w:eastAsia="Calibri" w:hAnsi="Times New Roman" w:cs="Times New Roman"/>
          <w:sz w:val="24"/>
          <w:szCs w:val="24"/>
        </w:rPr>
        <w:t xml:space="preserve"> </w:t>
      </w:r>
      <w:r w:rsidR="00E96338" w:rsidRPr="00A07F29">
        <w:rPr>
          <w:rFonts w:ascii="Times New Roman" w:eastAsia="Calibri" w:hAnsi="Times New Roman" w:cs="Times New Roman"/>
          <w:sz w:val="24"/>
          <w:szCs w:val="24"/>
        </w:rPr>
        <w:t xml:space="preserve">Konstatētas </w:t>
      </w:r>
      <w:r w:rsidR="0039160E">
        <w:rPr>
          <w:rFonts w:ascii="Times New Roman" w:eastAsia="Calibri" w:hAnsi="Times New Roman" w:cs="Times New Roman"/>
          <w:sz w:val="24"/>
          <w:szCs w:val="24"/>
        </w:rPr>
        <w:t>astoņas</w:t>
      </w:r>
      <w:r w:rsidR="0047537F" w:rsidRPr="00A07F29">
        <w:rPr>
          <w:rFonts w:ascii="Times New Roman" w:eastAsia="Calibri" w:hAnsi="Times New Roman" w:cs="Times New Roman"/>
          <w:sz w:val="24"/>
          <w:szCs w:val="24"/>
        </w:rPr>
        <w:t xml:space="preserve"> </w:t>
      </w:r>
      <w:r w:rsidR="00E96338" w:rsidRPr="00A07F29">
        <w:rPr>
          <w:rFonts w:ascii="Times New Roman" w:eastAsia="Calibri" w:hAnsi="Times New Roman" w:cs="Times New Roman"/>
          <w:sz w:val="24"/>
          <w:szCs w:val="24"/>
        </w:rPr>
        <w:t xml:space="preserve">ūdensaugu sugas, no kurām biežāk sastopami meža meldrs </w:t>
      </w:r>
      <w:proofErr w:type="spellStart"/>
      <w:r w:rsidR="00E96338" w:rsidRPr="00A07F29">
        <w:rPr>
          <w:rFonts w:ascii="Times New Roman" w:eastAsia="Calibri" w:hAnsi="Times New Roman" w:cs="Times New Roman"/>
          <w:i/>
          <w:sz w:val="24"/>
          <w:szCs w:val="24"/>
        </w:rPr>
        <w:t>Scipus</w:t>
      </w:r>
      <w:proofErr w:type="spellEnd"/>
      <w:r w:rsidR="00E96338" w:rsidRPr="00A07F29">
        <w:rPr>
          <w:rFonts w:ascii="Times New Roman" w:eastAsia="Calibri" w:hAnsi="Times New Roman" w:cs="Times New Roman"/>
          <w:i/>
          <w:sz w:val="24"/>
          <w:szCs w:val="24"/>
        </w:rPr>
        <w:t xml:space="preserve"> </w:t>
      </w:r>
      <w:proofErr w:type="spellStart"/>
      <w:r w:rsidR="00E96338" w:rsidRPr="00A07F29">
        <w:rPr>
          <w:rFonts w:ascii="Times New Roman" w:eastAsia="Calibri" w:hAnsi="Times New Roman" w:cs="Times New Roman"/>
          <w:i/>
          <w:sz w:val="24"/>
          <w:szCs w:val="24"/>
        </w:rPr>
        <w:t>sylvaticus</w:t>
      </w:r>
      <w:proofErr w:type="spellEnd"/>
      <w:r w:rsidR="00E96338" w:rsidRPr="00A07F29">
        <w:rPr>
          <w:rFonts w:ascii="Times New Roman" w:eastAsia="Calibri" w:hAnsi="Times New Roman" w:cs="Times New Roman"/>
          <w:sz w:val="24"/>
          <w:szCs w:val="24"/>
        </w:rPr>
        <w:t xml:space="preserve">, purva skalbe </w:t>
      </w:r>
      <w:r w:rsidR="00E96338" w:rsidRPr="00A07F29">
        <w:rPr>
          <w:rFonts w:ascii="Times New Roman" w:eastAsia="Calibri" w:hAnsi="Times New Roman" w:cs="Times New Roman"/>
          <w:i/>
          <w:sz w:val="24"/>
          <w:szCs w:val="24"/>
        </w:rPr>
        <w:t xml:space="preserve">Iris </w:t>
      </w:r>
      <w:proofErr w:type="spellStart"/>
      <w:r w:rsidR="00E96338" w:rsidRPr="00A07F29">
        <w:rPr>
          <w:rFonts w:ascii="Times New Roman" w:eastAsia="Calibri" w:hAnsi="Times New Roman" w:cs="Times New Roman"/>
          <w:i/>
          <w:sz w:val="24"/>
          <w:szCs w:val="24"/>
        </w:rPr>
        <w:t>pseudacorus</w:t>
      </w:r>
      <w:proofErr w:type="spellEnd"/>
      <w:r w:rsidR="00E96338" w:rsidRPr="00A07F29">
        <w:rPr>
          <w:rFonts w:ascii="Times New Roman" w:eastAsia="Calibri" w:hAnsi="Times New Roman" w:cs="Times New Roman"/>
          <w:sz w:val="24"/>
          <w:szCs w:val="24"/>
        </w:rPr>
        <w:t xml:space="preserve"> un lielā ežgalvīte </w:t>
      </w:r>
      <w:proofErr w:type="spellStart"/>
      <w:r w:rsidR="00E96338" w:rsidRPr="00A07F29">
        <w:rPr>
          <w:rFonts w:ascii="Times New Roman" w:eastAsia="Calibri" w:hAnsi="Times New Roman" w:cs="Times New Roman"/>
          <w:i/>
          <w:sz w:val="24"/>
          <w:szCs w:val="24"/>
        </w:rPr>
        <w:t>Sparganium</w:t>
      </w:r>
      <w:proofErr w:type="spellEnd"/>
      <w:r w:rsidR="00E96338" w:rsidRPr="00A07F29">
        <w:rPr>
          <w:rFonts w:ascii="Times New Roman" w:eastAsia="Calibri" w:hAnsi="Times New Roman" w:cs="Times New Roman"/>
          <w:i/>
          <w:sz w:val="24"/>
          <w:szCs w:val="24"/>
        </w:rPr>
        <w:t xml:space="preserve"> </w:t>
      </w:r>
      <w:proofErr w:type="spellStart"/>
      <w:r w:rsidR="00E96338" w:rsidRPr="00A07F29">
        <w:rPr>
          <w:rFonts w:ascii="Times New Roman" w:eastAsia="Calibri" w:hAnsi="Times New Roman" w:cs="Times New Roman"/>
          <w:i/>
          <w:sz w:val="24"/>
          <w:szCs w:val="24"/>
        </w:rPr>
        <w:t>erectum</w:t>
      </w:r>
      <w:proofErr w:type="spellEnd"/>
      <w:r w:rsidR="00E96338" w:rsidRPr="00A07F29">
        <w:rPr>
          <w:rFonts w:ascii="Times New Roman" w:eastAsia="Calibri" w:hAnsi="Times New Roman" w:cs="Times New Roman"/>
          <w:sz w:val="24"/>
          <w:szCs w:val="24"/>
        </w:rPr>
        <w:t xml:space="preserve">. </w:t>
      </w:r>
      <w:r w:rsidR="00CA3FBC" w:rsidRPr="00A07F29">
        <w:rPr>
          <w:rFonts w:ascii="Times New Roman" w:eastAsia="Calibri" w:hAnsi="Times New Roman" w:cs="Times New Roman"/>
          <w:sz w:val="24"/>
          <w:szCs w:val="24"/>
        </w:rPr>
        <w:t xml:space="preserve">Konstatēta arī </w:t>
      </w:r>
      <w:proofErr w:type="spellStart"/>
      <w:r w:rsidR="00CA3FBC" w:rsidRPr="00A07F29">
        <w:rPr>
          <w:rFonts w:ascii="Times New Roman" w:eastAsia="Calibri" w:hAnsi="Times New Roman" w:cs="Times New Roman"/>
          <w:sz w:val="24"/>
          <w:szCs w:val="24"/>
        </w:rPr>
        <w:t>perlamutrene</w:t>
      </w:r>
      <w:proofErr w:type="spellEnd"/>
      <w:r w:rsidR="0047537F" w:rsidRPr="00A07F29">
        <w:rPr>
          <w:rFonts w:ascii="Times New Roman" w:eastAsia="Calibri" w:hAnsi="Times New Roman" w:cs="Times New Roman"/>
          <w:i/>
          <w:iCs/>
          <w:sz w:val="24"/>
          <w:szCs w:val="24"/>
        </w:rPr>
        <w:t xml:space="preserve"> </w:t>
      </w:r>
      <w:proofErr w:type="spellStart"/>
      <w:r w:rsidR="0047537F" w:rsidRPr="00A07F29">
        <w:rPr>
          <w:rFonts w:ascii="Times New Roman" w:eastAsia="Calibri" w:hAnsi="Times New Roman" w:cs="Times New Roman"/>
          <w:i/>
          <w:iCs/>
          <w:sz w:val="24"/>
          <w:szCs w:val="24"/>
        </w:rPr>
        <w:t>Unio</w:t>
      </w:r>
      <w:proofErr w:type="spellEnd"/>
      <w:r w:rsidR="0047537F" w:rsidRPr="00A07F29">
        <w:rPr>
          <w:rFonts w:ascii="Times New Roman" w:eastAsia="Calibri" w:hAnsi="Times New Roman" w:cs="Times New Roman"/>
          <w:i/>
          <w:iCs/>
          <w:sz w:val="24"/>
          <w:szCs w:val="24"/>
        </w:rPr>
        <w:t xml:space="preserve"> </w:t>
      </w:r>
      <w:proofErr w:type="spellStart"/>
      <w:r w:rsidR="0047537F" w:rsidRPr="00A07F29">
        <w:rPr>
          <w:rFonts w:ascii="Times New Roman" w:eastAsia="Calibri" w:hAnsi="Times New Roman" w:cs="Times New Roman"/>
          <w:i/>
          <w:iCs/>
          <w:sz w:val="24"/>
          <w:szCs w:val="24"/>
        </w:rPr>
        <w:t>sp</w:t>
      </w:r>
      <w:proofErr w:type="spellEnd"/>
      <w:r w:rsidR="0047537F" w:rsidRPr="00A07F29">
        <w:rPr>
          <w:rFonts w:ascii="Times New Roman" w:eastAsia="Calibri" w:hAnsi="Times New Roman" w:cs="Times New Roman"/>
          <w:i/>
          <w:iCs/>
          <w:sz w:val="24"/>
          <w:szCs w:val="24"/>
        </w:rPr>
        <w:t>.</w:t>
      </w:r>
      <w:r w:rsidRPr="00A07F29">
        <w:rPr>
          <w:rFonts w:ascii="Times New Roman" w:eastAsia="Calibri" w:hAnsi="Times New Roman" w:cs="Times New Roman"/>
          <w:i/>
          <w:iCs/>
          <w:sz w:val="24"/>
          <w:szCs w:val="24"/>
        </w:rPr>
        <w:t xml:space="preserve"> </w:t>
      </w:r>
      <w:r w:rsidR="00E96338" w:rsidRPr="00A07F29">
        <w:rPr>
          <w:rFonts w:ascii="Times New Roman" w:eastAsia="Calibri" w:hAnsi="Times New Roman" w:cs="Times New Roman"/>
          <w:sz w:val="24"/>
          <w:szCs w:val="24"/>
        </w:rPr>
        <w:t xml:space="preserve">Upe </w:t>
      </w:r>
      <w:r w:rsidR="00E96338" w:rsidRPr="00A07F29">
        <w:rPr>
          <w:rFonts w:ascii="Times New Roman" w:eastAsia="Calibri" w:hAnsi="Times New Roman" w:cs="Times New Roman"/>
          <w:bCs/>
          <w:sz w:val="24"/>
          <w:szCs w:val="24"/>
        </w:rPr>
        <w:t>atbilst biotopa 3260</w:t>
      </w:r>
      <w:r w:rsidR="00082E28">
        <w:rPr>
          <w:rFonts w:ascii="Times New Roman" w:eastAsia="Calibri" w:hAnsi="Times New Roman" w:cs="Times New Roman"/>
          <w:bCs/>
          <w:sz w:val="24"/>
          <w:szCs w:val="24"/>
        </w:rPr>
        <w:t> </w:t>
      </w:r>
      <w:r w:rsidR="00E96338" w:rsidRPr="00A07F29">
        <w:rPr>
          <w:rFonts w:ascii="Times New Roman" w:eastAsia="Calibri" w:hAnsi="Times New Roman" w:cs="Times New Roman"/>
          <w:bCs/>
          <w:i/>
          <w:sz w:val="24"/>
          <w:szCs w:val="24"/>
        </w:rPr>
        <w:t>Upju straujteces un dabiski upju posmi</w:t>
      </w:r>
      <w:r w:rsidR="00E96338" w:rsidRPr="00A07F29">
        <w:rPr>
          <w:rFonts w:ascii="Times New Roman" w:eastAsia="Calibri" w:hAnsi="Times New Roman" w:cs="Times New Roman"/>
          <w:bCs/>
          <w:sz w:val="24"/>
          <w:szCs w:val="24"/>
        </w:rPr>
        <w:t xml:space="preserve"> 1. variantam un </w:t>
      </w:r>
      <w:r w:rsidR="00E96338" w:rsidRPr="00A07F29">
        <w:rPr>
          <w:rFonts w:ascii="Times New Roman" w:eastAsia="Calibri" w:hAnsi="Times New Roman" w:cs="Times New Roman"/>
          <w:sz w:val="24"/>
          <w:szCs w:val="24"/>
        </w:rPr>
        <w:t>tā kvalitāte novērtēta kā</w:t>
      </w:r>
      <w:r w:rsidR="00E96338" w:rsidRPr="00A07F29" w:rsidDel="00A4372A">
        <w:rPr>
          <w:rFonts w:ascii="Times New Roman" w:eastAsia="Calibri" w:hAnsi="Times New Roman" w:cs="Times New Roman"/>
          <w:sz w:val="24"/>
          <w:szCs w:val="24"/>
        </w:rPr>
        <w:t xml:space="preserve"> </w:t>
      </w:r>
      <w:r w:rsidR="00E96338" w:rsidRPr="00A07F29">
        <w:rPr>
          <w:rFonts w:ascii="Times New Roman" w:eastAsia="Calibri" w:hAnsi="Times New Roman" w:cs="Times New Roman"/>
          <w:sz w:val="24"/>
          <w:szCs w:val="24"/>
        </w:rPr>
        <w:t>laba.</w:t>
      </w:r>
    </w:p>
    <w:p w14:paraId="1A1A1F0E" w14:textId="61E1A820" w:rsidR="00CA3FBC" w:rsidRPr="00A07F29" w:rsidRDefault="00CA3FBC" w:rsidP="00CA3FBC">
      <w:pPr>
        <w:spacing w:after="120" w:line="240" w:lineRule="auto"/>
        <w:jc w:val="both"/>
        <w:rPr>
          <w:rFonts w:ascii="Times New Roman" w:eastAsia="Calibri" w:hAnsi="Times New Roman" w:cs="Times New Roman"/>
          <w:b/>
          <w:bCs/>
          <w:sz w:val="24"/>
          <w:szCs w:val="24"/>
        </w:rPr>
      </w:pPr>
      <w:proofErr w:type="spellStart"/>
      <w:r w:rsidRPr="00A07F29">
        <w:rPr>
          <w:rFonts w:ascii="Times New Roman" w:eastAsia="Calibri" w:hAnsi="Times New Roman" w:cs="Calibri"/>
          <w:b/>
          <w:bCs/>
          <w:i/>
          <w:sz w:val="24"/>
          <w:lang w:eastAsia="lv-LV"/>
        </w:rPr>
        <w:t>Aizsargj</w:t>
      </w:r>
      <w:r w:rsidR="00082E28">
        <w:rPr>
          <w:rFonts w:ascii="Times New Roman" w:eastAsia="Calibri" w:hAnsi="Times New Roman" w:cs="Calibri"/>
          <w:b/>
          <w:bCs/>
          <w:i/>
          <w:sz w:val="24"/>
          <w:lang w:eastAsia="lv-LV"/>
        </w:rPr>
        <w:t>ā</w:t>
      </w:r>
      <w:r w:rsidRPr="00A07F29">
        <w:rPr>
          <w:rFonts w:ascii="Times New Roman" w:eastAsia="Calibri" w:hAnsi="Times New Roman" w:cs="Calibri"/>
          <w:b/>
          <w:bCs/>
          <w:i/>
          <w:sz w:val="24"/>
          <w:lang w:eastAsia="lv-LV"/>
        </w:rPr>
        <w:t>mo</w:t>
      </w:r>
      <w:proofErr w:type="spellEnd"/>
      <w:r w:rsidRPr="00A07F29">
        <w:rPr>
          <w:rFonts w:ascii="Times New Roman" w:eastAsia="Calibri" w:hAnsi="Times New Roman" w:cs="Calibri"/>
          <w:b/>
          <w:bCs/>
          <w:i/>
          <w:sz w:val="24"/>
          <w:lang w:eastAsia="lv-LV"/>
        </w:rPr>
        <w:t xml:space="preserve"> biotopu sastopamība Daugavas labā krasta pietekās</w:t>
      </w:r>
    </w:p>
    <w:p w14:paraId="73E5D5D7" w14:textId="7CAFA611" w:rsidR="00A354FB" w:rsidRPr="00A07F29" w:rsidRDefault="00A354FB" w:rsidP="00F81CBF">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b/>
          <w:bCs/>
          <w:sz w:val="24"/>
          <w:szCs w:val="24"/>
        </w:rPr>
        <w:lastRenderedPageBreak/>
        <w:t>Robežupe</w:t>
      </w:r>
      <w:r w:rsidR="00CA3FBC" w:rsidRPr="00A07F29">
        <w:rPr>
          <w:rFonts w:ascii="Times New Roman" w:eastAsia="Calibri" w:hAnsi="Times New Roman" w:cs="Times New Roman"/>
          <w:b/>
          <w:bCs/>
          <w:sz w:val="24"/>
          <w:szCs w:val="24"/>
        </w:rPr>
        <w:t>s</w:t>
      </w:r>
      <w:r w:rsidRPr="00A07F29">
        <w:rPr>
          <w:rFonts w:ascii="Times New Roman" w:eastAsia="Calibri" w:hAnsi="Times New Roman" w:cs="Times New Roman"/>
          <w:b/>
          <w:bCs/>
          <w:sz w:val="24"/>
          <w:szCs w:val="24"/>
        </w:rPr>
        <w:t xml:space="preserve"> </w:t>
      </w:r>
      <w:r w:rsidRPr="00A07F29">
        <w:rPr>
          <w:rFonts w:ascii="Times New Roman" w:eastAsia="Calibri" w:hAnsi="Times New Roman" w:cs="Times New Roman"/>
          <w:sz w:val="24"/>
          <w:szCs w:val="24"/>
        </w:rPr>
        <w:t xml:space="preserve">dabiskais tecējums ir </w:t>
      </w:r>
      <w:r w:rsidR="00CA3FBC" w:rsidRPr="00A07F29">
        <w:rPr>
          <w:rFonts w:ascii="Times New Roman" w:eastAsia="Calibri" w:hAnsi="Times New Roman" w:cs="Times New Roman"/>
          <w:sz w:val="24"/>
          <w:szCs w:val="24"/>
        </w:rPr>
        <w:t xml:space="preserve">pilnībā </w:t>
      </w:r>
      <w:r w:rsidRPr="00A07F29">
        <w:rPr>
          <w:rFonts w:ascii="Times New Roman" w:eastAsia="Calibri" w:hAnsi="Times New Roman" w:cs="Times New Roman"/>
          <w:sz w:val="24"/>
          <w:szCs w:val="24"/>
        </w:rPr>
        <w:t>traucēts bebru aizsprostu dēļ</w:t>
      </w:r>
      <w:r w:rsidR="00CA3FBC" w:rsidRPr="00A07F29">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ūdens ir </w:t>
      </w:r>
      <w:r w:rsidR="00CA3FBC" w:rsidRPr="00A07F29">
        <w:rPr>
          <w:rFonts w:ascii="Times New Roman" w:eastAsia="Calibri" w:hAnsi="Times New Roman" w:cs="Times New Roman"/>
          <w:sz w:val="24"/>
          <w:szCs w:val="24"/>
        </w:rPr>
        <w:t xml:space="preserve">tikpat kā </w:t>
      </w:r>
      <w:r w:rsidRPr="00A07F29">
        <w:rPr>
          <w:rFonts w:ascii="Times New Roman" w:eastAsia="Calibri" w:hAnsi="Times New Roman" w:cs="Times New Roman"/>
          <w:sz w:val="24"/>
          <w:szCs w:val="24"/>
        </w:rPr>
        <w:t xml:space="preserve">stāvošs. Upes gultne un krasti ir dabīgi, nepārveidoti, bet bebru darbības rezultātā gultne paplašinājusies. </w:t>
      </w:r>
      <w:r w:rsidR="00F81CBF" w:rsidRPr="00A07F29">
        <w:rPr>
          <w:rFonts w:ascii="Times New Roman" w:eastAsia="Calibri" w:hAnsi="Times New Roman" w:cs="Times New Roman"/>
          <w:sz w:val="24"/>
          <w:szCs w:val="24"/>
        </w:rPr>
        <w:t xml:space="preserve">Upes abos krastos ir zālāji un </w:t>
      </w:r>
      <w:proofErr w:type="spellStart"/>
      <w:r w:rsidR="00F81CBF" w:rsidRPr="00A07F29">
        <w:rPr>
          <w:rFonts w:ascii="Times New Roman" w:eastAsia="Calibri" w:hAnsi="Times New Roman" w:cs="Times New Roman"/>
          <w:sz w:val="24"/>
          <w:szCs w:val="24"/>
        </w:rPr>
        <w:t>bebraines</w:t>
      </w:r>
      <w:proofErr w:type="spellEnd"/>
      <w:r w:rsidR="00F81CBF" w:rsidRPr="00A07F29">
        <w:rPr>
          <w:rFonts w:ascii="Times New Roman" w:eastAsia="Calibri" w:hAnsi="Times New Roman" w:cs="Times New Roman"/>
          <w:sz w:val="24"/>
          <w:szCs w:val="24"/>
        </w:rPr>
        <w:t xml:space="preserve">. </w:t>
      </w:r>
      <w:r w:rsidRPr="00A07F29">
        <w:rPr>
          <w:rFonts w:ascii="Times New Roman" w:eastAsia="Calibri" w:hAnsi="Times New Roman" w:cs="Times New Roman"/>
          <w:sz w:val="24"/>
          <w:szCs w:val="24"/>
        </w:rPr>
        <w:t xml:space="preserve">Grunts substrāts </w:t>
      </w:r>
      <w:r w:rsidR="00CA3FBC" w:rsidRPr="00A07F29">
        <w:rPr>
          <w:rFonts w:ascii="Times New Roman" w:eastAsia="Calibri" w:hAnsi="Times New Roman" w:cs="Times New Roman"/>
          <w:sz w:val="24"/>
          <w:szCs w:val="24"/>
        </w:rPr>
        <w:t xml:space="preserve">ir </w:t>
      </w:r>
      <w:r w:rsidRPr="00A07F29">
        <w:rPr>
          <w:rFonts w:ascii="Times New Roman" w:eastAsia="Calibri" w:hAnsi="Times New Roman" w:cs="Times New Roman"/>
          <w:sz w:val="24"/>
          <w:szCs w:val="24"/>
        </w:rPr>
        <w:t xml:space="preserve">smilts un grants. </w:t>
      </w:r>
      <w:r w:rsidR="00F81CBF" w:rsidRPr="00A07F29">
        <w:rPr>
          <w:rFonts w:ascii="Times New Roman" w:eastAsia="Calibri" w:hAnsi="Times New Roman" w:cs="Times New Roman"/>
          <w:sz w:val="24"/>
          <w:szCs w:val="24"/>
        </w:rPr>
        <w:t xml:space="preserve">No ūdensaugiem konstatēta tikai parastā </w:t>
      </w:r>
      <w:proofErr w:type="spellStart"/>
      <w:r w:rsidR="00F81CBF" w:rsidRPr="00A07F29">
        <w:rPr>
          <w:rFonts w:ascii="Times New Roman" w:eastAsia="Calibri" w:hAnsi="Times New Roman" w:cs="Times New Roman"/>
          <w:sz w:val="24"/>
          <w:szCs w:val="24"/>
        </w:rPr>
        <w:t>mazlēpe</w:t>
      </w:r>
      <w:proofErr w:type="spellEnd"/>
      <w:r w:rsidR="00F81CBF" w:rsidRPr="00A07F29">
        <w:rPr>
          <w:rFonts w:ascii="Times New Roman" w:eastAsia="Calibri" w:hAnsi="Times New Roman" w:cs="Times New Roman"/>
          <w:sz w:val="24"/>
          <w:szCs w:val="24"/>
        </w:rPr>
        <w:t xml:space="preserve"> </w:t>
      </w:r>
      <w:proofErr w:type="spellStart"/>
      <w:r w:rsidR="00F81CBF" w:rsidRPr="00A07F29">
        <w:rPr>
          <w:rFonts w:ascii="Times New Roman" w:eastAsia="Calibri" w:hAnsi="Times New Roman" w:cs="Times New Roman"/>
          <w:i/>
          <w:iCs/>
          <w:sz w:val="24"/>
          <w:szCs w:val="24"/>
        </w:rPr>
        <w:t>Hydrocharis</w:t>
      </w:r>
      <w:proofErr w:type="spellEnd"/>
      <w:r w:rsidR="00F81CBF" w:rsidRPr="00A07F29">
        <w:rPr>
          <w:rFonts w:ascii="Times New Roman" w:eastAsia="Calibri" w:hAnsi="Times New Roman" w:cs="Times New Roman"/>
          <w:i/>
          <w:iCs/>
          <w:sz w:val="24"/>
          <w:szCs w:val="24"/>
        </w:rPr>
        <w:t xml:space="preserve"> morsus</w:t>
      </w:r>
      <w:r w:rsidR="00F81CBF" w:rsidRPr="00A07F29">
        <w:rPr>
          <w:rFonts w:ascii="Times New Roman" w:eastAsia="Calibri" w:hAnsi="Times New Roman" w:cs="Times New Roman"/>
          <w:sz w:val="24"/>
          <w:szCs w:val="24"/>
        </w:rPr>
        <w:t xml:space="preserve"> un ežgalvīte </w:t>
      </w:r>
      <w:proofErr w:type="spellStart"/>
      <w:r w:rsidR="00F81CBF" w:rsidRPr="00A07F29">
        <w:rPr>
          <w:rFonts w:ascii="Times New Roman" w:eastAsia="Calibri" w:hAnsi="Times New Roman" w:cs="Times New Roman"/>
          <w:i/>
          <w:iCs/>
          <w:sz w:val="24"/>
          <w:szCs w:val="24"/>
        </w:rPr>
        <w:t>Sparganium</w:t>
      </w:r>
      <w:proofErr w:type="spellEnd"/>
      <w:r w:rsidR="00F81CBF" w:rsidRPr="00A07F29">
        <w:rPr>
          <w:rFonts w:ascii="Times New Roman" w:eastAsia="Calibri" w:hAnsi="Times New Roman" w:cs="Times New Roman"/>
          <w:i/>
          <w:iCs/>
          <w:sz w:val="24"/>
          <w:szCs w:val="24"/>
        </w:rPr>
        <w:t xml:space="preserve"> </w:t>
      </w:r>
      <w:proofErr w:type="spellStart"/>
      <w:r w:rsidR="00F81CBF" w:rsidRPr="00A07F29">
        <w:rPr>
          <w:rFonts w:ascii="Times New Roman" w:eastAsia="Calibri" w:hAnsi="Times New Roman" w:cs="Times New Roman"/>
          <w:i/>
          <w:iCs/>
          <w:sz w:val="24"/>
          <w:szCs w:val="24"/>
        </w:rPr>
        <w:t>sp</w:t>
      </w:r>
      <w:proofErr w:type="spellEnd"/>
      <w:r w:rsidR="00F81CBF" w:rsidRPr="00A07F29">
        <w:rPr>
          <w:rFonts w:ascii="Times New Roman" w:eastAsia="Calibri" w:hAnsi="Times New Roman" w:cs="Times New Roman"/>
          <w:sz w:val="24"/>
          <w:szCs w:val="24"/>
        </w:rPr>
        <w:t xml:space="preserve">., kas sastopamas samērā bieži. </w:t>
      </w:r>
      <w:r w:rsidRPr="00A07F29">
        <w:rPr>
          <w:rFonts w:ascii="Times New Roman" w:eastAsia="Calibri" w:hAnsi="Times New Roman" w:cs="Times New Roman"/>
          <w:sz w:val="24"/>
          <w:szCs w:val="24"/>
        </w:rPr>
        <w:t>Upes atjaunošanai ieteikts likvidēt bebru aizsprostus</w:t>
      </w:r>
      <w:r w:rsidR="00F81CBF" w:rsidRPr="00A07F29">
        <w:rPr>
          <w:rFonts w:ascii="Times New Roman" w:eastAsia="Calibri" w:hAnsi="Times New Roman" w:cs="Times New Roman"/>
          <w:sz w:val="24"/>
          <w:szCs w:val="24"/>
        </w:rPr>
        <w:t>, taču, ņemot vērā dabisko situāciju un bebru darbības apjomu, kā arī upes atrašanos valsts robežas joslā, pieļaujama arī upes dabiska attīstība</w:t>
      </w:r>
      <w:r w:rsidRPr="00A07F29">
        <w:rPr>
          <w:rFonts w:ascii="Times New Roman" w:eastAsia="Calibri" w:hAnsi="Times New Roman" w:cs="Times New Roman"/>
          <w:sz w:val="24"/>
          <w:szCs w:val="24"/>
        </w:rPr>
        <w:t xml:space="preserve">. </w:t>
      </w:r>
      <w:r w:rsidR="00F81CBF" w:rsidRPr="00A07F29">
        <w:rPr>
          <w:rFonts w:ascii="Times New Roman" w:eastAsia="Calibri" w:hAnsi="Times New Roman" w:cs="Times New Roman"/>
          <w:sz w:val="24"/>
          <w:szCs w:val="24"/>
        </w:rPr>
        <w:t xml:space="preserve">Upe </w:t>
      </w:r>
      <w:r w:rsidR="00F81CBF" w:rsidRPr="00A07F29">
        <w:rPr>
          <w:rFonts w:ascii="Times New Roman" w:eastAsia="Calibri" w:hAnsi="Times New Roman" w:cs="Times New Roman"/>
          <w:bCs/>
          <w:sz w:val="24"/>
          <w:szCs w:val="24"/>
        </w:rPr>
        <w:t>atbilst biotopa 3260</w:t>
      </w:r>
      <w:r w:rsidR="006F1B23">
        <w:rPr>
          <w:rFonts w:ascii="Times New Roman" w:eastAsia="Calibri" w:hAnsi="Times New Roman" w:cs="Times New Roman"/>
          <w:bCs/>
          <w:sz w:val="24"/>
          <w:szCs w:val="24"/>
        </w:rPr>
        <w:t> </w:t>
      </w:r>
      <w:r w:rsidR="00F81CBF" w:rsidRPr="00A07F29">
        <w:rPr>
          <w:rFonts w:ascii="Times New Roman" w:eastAsia="Calibri" w:hAnsi="Times New Roman" w:cs="Times New Roman"/>
          <w:bCs/>
          <w:i/>
          <w:sz w:val="24"/>
          <w:szCs w:val="24"/>
        </w:rPr>
        <w:t>Upju straujteces un dabiski upju posmi</w:t>
      </w:r>
      <w:r w:rsidR="00F81CBF" w:rsidRPr="00A07F29">
        <w:rPr>
          <w:rFonts w:ascii="Times New Roman" w:eastAsia="Calibri" w:hAnsi="Times New Roman" w:cs="Times New Roman"/>
          <w:bCs/>
          <w:sz w:val="24"/>
          <w:szCs w:val="24"/>
        </w:rPr>
        <w:t xml:space="preserve"> 2. variantam (lēni tekošās upes) un </w:t>
      </w:r>
      <w:r w:rsidR="00F81CBF" w:rsidRPr="00A07F29">
        <w:rPr>
          <w:rFonts w:ascii="Times New Roman" w:eastAsia="Calibri" w:hAnsi="Times New Roman" w:cs="Times New Roman"/>
          <w:sz w:val="24"/>
          <w:szCs w:val="24"/>
        </w:rPr>
        <w:t>tā kvalitāte novērtēta kā</w:t>
      </w:r>
      <w:r w:rsidR="00F81CBF" w:rsidRPr="00A07F29" w:rsidDel="00A4372A">
        <w:rPr>
          <w:rFonts w:ascii="Times New Roman" w:eastAsia="Calibri" w:hAnsi="Times New Roman" w:cs="Times New Roman"/>
          <w:sz w:val="24"/>
          <w:szCs w:val="24"/>
        </w:rPr>
        <w:t xml:space="preserve"> </w:t>
      </w:r>
      <w:r w:rsidRPr="00A07F29">
        <w:rPr>
          <w:rFonts w:ascii="Times New Roman" w:eastAsia="Calibri" w:hAnsi="Times New Roman" w:cs="Times New Roman"/>
          <w:sz w:val="24"/>
          <w:szCs w:val="24"/>
        </w:rPr>
        <w:t>zema.</w:t>
      </w:r>
    </w:p>
    <w:p w14:paraId="7C1874EB" w14:textId="2A3B5B0B" w:rsidR="00A354FB" w:rsidRPr="00A07F29" w:rsidRDefault="00A354FB" w:rsidP="003A77C0">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b/>
          <w:bCs/>
          <w:sz w:val="24"/>
          <w:szCs w:val="24"/>
        </w:rPr>
        <w:t>Bruņinieku upe</w:t>
      </w:r>
      <w:r w:rsidRPr="00A07F29">
        <w:rPr>
          <w:rFonts w:ascii="Times New Roman" w:eastAsia="Calibri" w:hAnsi="Times New Roman" w:cs="Times New Roman"/>
          <w:bCs/>
          <w:sz w:val="24"/>
          <w:szCs w:val="24"/>
        </w:rPr>
        <w:t xml:space="preserve"> </w:t>
      </w:r>
      <w:r w:rsidR="00F81CBF" w:rsidRPr="00A07F29">
        <w:rPr>
          <w:rFonts w:ascii="Times New Roman" w:eastAsia="Calibri" w:hAnsi="Times New Roman" w:cs="Times New Roman"/>
          <w:bCs/>
          <w:sz w:val="24"/>
          <w:szCs w:val="24"/>
        </w:rPr>
        <w:t xml:space="preserve">ir </w:t>
      </w:r>
      <w:r w:rsidR="00F81CBF" w:rsidRPr="00A07F29">
        <w:rPr>
          <w:rFonts w:ascii="Times New Roman" w:eastAsia="Calibri" w:hAnsi="Times New Roman" w:cs="Times New Roman"/>
          <w:sz w:val="24"/>
          <w:szCs w:val="24"/>
        </w:rPr>
        <w:t>d</w:t>
      </w:r>
      <w:r w:rsidRPr="00A07F29">
        <w:rPr>
          <w:rFonts w:ascii="Times New Roman" w:eastAsia="Calibri" w:hAnsi="Times New Roman" w:cs="Times New Roman"/>
          <w:sz w:val="24"/>
          <w:szCs w:val="24"/>
        </w:rPr>
        <w:t>abiska, strauja un sekla</w:t>
      </w:r>
      <w:r w:rsidR="002E0694" w:rsidRPr="00A07F29">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ar </w:t>
      </w:r>
      <w:r w:rsidR="00F81CBF" w:rsidRPr="00A07F29">
        <w:rPr>
          <w:rFonts w:ascii="Times New Roman" w:eastAsia="Calibri" w:hAnsi="Times New Roman" w:cs="Times New Roman"/>
          <w:sz w:val="24"/>
          <w:szCs w:val="24"/>
        </w:rPr>
        <w:t xml:space="preserve">straujtecēm </w:t>
      </w:r>
      <w:r w:rsidRPr="00A07F29">
        <w:rPr>
          <w:rFonts w:ascii="Times New Roman" w:eastAsia="Calibri" w:hAnsi="Times New Roman" w:cs="Times New Roman"/>
          <w:sz w:val="24"/>
          <w:szCs w:val="24"/>
        </w:rPr>
        <w:t>t</w:t>
      </w:r>
      <w:r w:rsidR="5C811A44" w:rsidRPr="00A07F29">
        <w:rPr>
          <w:rFonts w:ascii="Times New Roman" w:eastAsia="Calibri" w:hAnsi="Times New Roman" w:cs="Times New Roman"/>
          <w:sz w:val="24"/>
          <w:szCs w:val="24"/>
        </w:rPr>
        <w:t>i</w:t>
      </w:r>
      <w:r w:rsidRPr="00A07F29">
        <w:rPr>
          <w:rFonts w:ascii="Times New Roman" w:eastAsia="Calibri" w:hAnsi="Times New Roman" w:cs="Times New Roman"/>
          <w:sz w:val="24"/>
          <w:szCs w:val="24"/>
        </w:rPr>
        <w:t xml:space="preserve">pisku gultnes substrātu (smilts, grants, oļi, nelieli laukakmeņi). </w:t>
      </w:r>
      <w:r w:rsidR="002E0694" w:rsidRPr="00A07F29">
        <w:rPr>
          <w:rFonts w:ascii="Times New Roman" w:eastAsia="Calibri" w:hAnsi="Times New Roman" w:cs="Times New Roman"/>
          <w:sz w:val="24"/>
          <w:szCs w:val="24"/>
        </w:rPr>
        <w:t xml:space="preserve">Konstatētas straujtecēm raksturīgās augu sugas: </w:t>
      </w:r>
      <w:proofErr w:type="spellStart"/>
      <w:r w:rsidR="002E0694" w:rsidRPr="00A07F29">
        <w:rPr>
          <w:rFonts w:ascii="Times New Roman" w:eastAsia="Calibri" w:hAnsi="Times New Roman" w:cs="Times New Roman"/>
          <w:sz w:val="24"/>
          <w:szCs w:val="24"/>
        </w:rPr>
        <w:t>hildebrandija</w:t>
      </w:r>
      <w:proofErr w:type="spellEnd"/>
      <w:r w:rsidR="002E0694" w:rsidRPr="00A07F29">
        <w:rPr>
          <w:rFonts w:ascii="Times New Roman" w:eastAsia="Calibri" w:hAnsi="Times New Roman" w:cs="Times New Roman"/>
          <w:sz w:val="24"/>
          <w:szCs w:val="24"/>
        </w:rPr>
        <w:t xml:space="preserve"> </w:t>
      </w:r>
      <w:proofErr w:type="spellStart"/>
      <w:r w:rsidR="002E0694" w:rsidRPr="00A07F29">
        <w:rPr>
          <w:rFonts w:ascii="Times New Roman" w:eastAsia="Calibri" w:hAnsi="Times New Roman" w:cs="Times New Roman"/>
          <w:i/>
          <w:iCs/>
          <w:sz w:val="24"/>
          <w:szCs w:val="24"/>
        </w:rPr>
        <w:t>Hildebrandia</w:t>
      </w:r>
      <w:proofErr w:type="spellEnd"/>
      <w:r w:rsidR="002E0694" w:rsidRPr="00A07F29">
        <w:rPr>
          <w:rFonts w:ascii="Times New Roman" w:eastAsia="Calibri" w:hAnsi="Times New Roman" w:cs="Times New Roman"/>
          <w:i/>
          <w:iCs/>
          <w:sz w:val="24"/>
          <w:szCs w:val="24"/>
        </w:rPr>
        <w:t xml:space="preserve"> </w:t>
      </w:r>
      <w:proofErr w:type="spellStart"/>
      <w:r w:rsidR="002E0694" w:rsidRPr="00A07F29">
        <w:rPr>
          <w:rFonts w:ascii="Times New Roman" w:eastAsia="Calibri" w:hAnsi="Times New Roman" w:cs="Times New Roman"/>
          <w:i/>
          <w:iCs/>
          <w:sz w:val="24"/>
          <w:szCs w:val="24"/>
        </w:rPr>
        <w:t>rivularis</w:t>
      </w:r>
      <w:proofErr w:type="spellEnd"/>
      <w:r w:rsidR="002E0694" w:rsidRPr="00A07F29">
        <w:rPr>
          <w:rFonts w:ascii="Times New Roman" w:eastAsia="Calibri" w:hAnsi="Times New Roman" w:cs="Times New Roman"/>
          <w:iCs/>
          <w:sz w:val="24"/>
          <w:szCs w:val="24"/>
        </w:rPr>
        <w:t xml:space="preserve">, </w:t>
      </w:r>
      <w:proofErr w:type="spellStart"/>
      <w:r w:rsidR="002E0694" w:rsidRPr="00A07F29">
        <w:rPr>
          <w:rFonts w:ascii="Times New Roman" w:eastAsia="Calibri" w:hAnsi="Times New Roman" w:cs="Times New Roman"/>
          <w:iCs/>
          <w:sz w:val="24"/>
          <w:szCs w:val="24"/>
        </w:rPr>
        <w:t>kladofora</w:t>
      </w:r>
      <w:proofErr w:type="spellEnd"/>
      <w:r w:rsidR="002E0694" w:rsidRPr="00A07F29">
        <w:rPr>
          <w:rFonts w:ascii="Times New Roman" w:eastAsia="Calibri" w:hAnsi="Times New Roman" w:cs="Times New Roman"/>
          <w:i/>
          <w:iCs/>
          <w:sz w:val="24"/>
          <w:szCs w:val="24"/>
        </w:rPr>
        <w:t xml:space="preserve"> </w:t>
      </w:r>
      <w:proofErr w:type="spellStart"/>
      <w:r w:rsidR="002E0694" w:rsidRPr="00A07F29">
        <w:rPr>
          <w:rFonts w:ascii="Times New Roman" w:eastAsia="Calibri" w:hAnsi="Times New Roman" w:cs="Times New Roman"/>
          <w:i/>
          <w:iCs/>
          <w:sz w:val="24"/>
          <w:szCs w:val="24"/>
        </w:rPr>
        <w:t>Cladophora</w:t>
      </w:r>
      <w:proofErr w:type="spellEnd"/>
      <w:r w:rsidR="002E0694" w:rsidRPr="00A07F29">
        <w:rPr>
          <w:rFonts w:ascii="Times New Roman" w:eastAsia="Calibri" w:hAnsi="Times New Roman" w:cs="Times New Roman"/>
          <w:sz w:val="24"/>
          <w:szCs w:val="24"/>
        </w:rPr>
        <w:t xml:space="preserve"> </w:t>
      </w:r>
      <w:proofErr w:type="spellStart"/>
      <w:r w:rsidR="002E0694" w:rsidRPr="00A07F29">
        <w:rPr>
          <w:rFonts w:ascii="Times New Roman" w:eastAsia="Calibri" w:hAnsi="Times New Roman" w:cs="Times New Roman"/>
          <w:sz w:val="24"/>
          <w:szCs w:val="24"/>
        </w:rPr>
        <w:t>spp</w:t>
      </w:r>
      <w:proofErr w:type="spellEnd"/>
      <w:r w:rsidR="002E0694" w:rsidRPr="00A07F29">
        <w:rPr>
          <w:rFonts w:ascii="Times New Roman" w:eastAsia="Calibri" w:hAnsi="Times New Roman" w:cs="Times New Roman"/>
          <w:sz w:val="24"/>
          <w:szCs w:val="24"/>
        </w:rPr>
        <w:t xml:space="preserve">., parastā </w:t>
      </w:r>
      <w:proofErr w:type="spellStart"/>
      <w:r w:rsidR="002E0694" w:rsidRPr="00A07F29">
        <w:rPr>
          <w:rFonts w:ascii="Times New Roman" w:eastAsia="Calibri" w:hAnsi="Times New Roman" w:cs="Times New Roman"/>
          <w:sz w:val="24"/>
          <w:szCs w:val="24"/>
        </w:rPr>
        <w:t>avotsūna</w:t>
      </w:r>
      <w:proofErr w:type="spellEnd"/>
      <w:r w:rsidR="002E0694" w:rsidRPr="00A07F29">
        <w:rPr>
          <w:rFonts w:ascii="Times New Roman" w:eastAsia="Calibri" w:hAnsi="Times New Roman" w:cs="Times New Roman"/>
          <w:sz w:val="24"/>
          <w:szCs w:val="24"/>
        </w:rPr>
        <w:t xml:space="preserve"> </w:t>
      </w:r>
      <w:proofErr w:type="spellStart"/>
      <w:r w:rsidR="002E0694" w:rsidRPr="00A07F29">
        <w:rPr>
          <w:rFonts w:ascii="Times New Roman" w:eastAsia="Calibri" w:hAnsi="Times New Roman" w:cs="Times New Roman"/>
          <w:i/>
          <w:iCs/>
          <w:sz w:val="24"/>
          <w:szCs w:val="24"/>
        </w:rPr>
        <w:t>Fontinalis</w:t>
      </w:r>
      <w:proofErr w:type="spellEnd"/>
      <w:r w:rsidR="002E0694" w:rsidRPr="00A07F29">
        <w:rPr>
          <w:rFonts w:ascii="Times New Roman" w:eastAsia="Calibri" w:hAnsi="Times New Roman" w:cs="Times New Roman"/>
          <w:i/>
          <w:iCs/>
          <w:sz w:val="24"/>
          <w:szCs w:val="24"/>
        </w:rPr>
        <w:t xml:space="preserve"> </w:t>
      </w:r>
      <w:proofErr w:type="spellStart"/>
      <w:r w:rsidR="002E0694" w:rsidRPr="00A07F29">
        <w:rPr>
          <w:rFonts w:ascii="Times New Roman" w:eastAsia="Calibri" w:hAnsi="Times New Roman" w:cs="Times New Roman"/>
          <w:i/>
          <w:iCs/>
          <w:sz w:val="24"/>
          <w:szCs w:val="24"/>
        </w:rPr>
        <w:t>antipyretica</w:t>
      </w:r>
      <w:proofErr w:type="spellEnd"/>
      <w:r w:rsidR="002E0694" w:rsidRPr="00A07F29">
        <w:rPr>
          <w:rFonts w:ascii="Times New Roman" w:eastAsia="Calibri" w:hAnsi="Times New Roman" w:cs="Times New Roman"/>
          <w:iCs/>
          <w:sz w:val="24"/>
          <w:szCs w:val="24"/>
        </w:rPr>
        <w:t xml:space="preserve">, krasta </w:t>
      </w:r>
      <w:proofErr w:type="spellStart"/>
      <w:r w:rsidR="002E0694" w:rsidRPr="00A07F29">
        <w:rPr>
          <w:rFonts w:ascii="Times New Roman" w:eastAsia="Calibri" w:hAnsi="Times New Roman" w:cs="Times New Roman"/>
          <w:iCs/>
          <w:sz w:val="24"/>
          <w:szCs w:val="24"/>
        </w:rPr>
        <w:t>garknābīte</w:t>
      </w:r>
      <w:proofErr w:type="spellEnd"/>
      <w:r w:rsidR="002E0694" w:rsidRPr="00A07F29">
        <w:rPr>
          <w:rFonts w:ascii="Times New Roman" w:eastAsia="Calibri" w:hAnsi="Times New Roman" w:cs="Times New Roman"/>
          <w:i/>
          <w:iCs/>
          <w:sz w:val="24"/>
          <w:szCs w:val="24"/>
        </w:rPr>
        <w:t xml:space="preserve"> </w:t>
      </w:r>
      <w:proofErr w:type="spellStart"/>
      <w:r w:rsidR="002E0694" w:rsidRPr="00A07F29">
        <w:rPr>
          <w:rFonts w:ascii="Times New Roman" w:eastAsia="Calibri" w:hAnsi="Times New Roman" w:cs="Times New Roman"/>
          <w:i/>
          <w:iCs/>
          <w:sz w:val="24"/>
          <w:szCs w:val="24"/>
        </w:rPr>
        <w:t>Platyhypnidium</w:t>
      </w:r>
      <w:proofErr w:type="spellEnd"/>
      <w:r w:rsidR="002E0694" w:rsidRPr="00A07F29">
        <w:rPr>
          <w:rFonts w:ascii="Times New Roman" w:eastAsia="Calibri" w:hAnsi="Times New Roman" w:cs="Times New Roman"/>
          <w:i/>
          <w:iCs/>
          <w:sz w:val="24"/>
          <w:szCs w:val="24"/>
        </w:rPr>
        <w:t xml:space="preserve"> </w:t>
      </w:r>
      <w:proofErr w:type="spellStart"/>
      <w:r w:rsidR="002E0694" w:rsidRPr="00A07F29">
        <w:rPr>
          <w:rFonts w:ascii="Times New Roman" w:eastAsia="Calibri" w:hAnsi="Times New Roman" w:cs="Times New Roman"/>
          <w:i/>
          <w:iCs/>
          <w:sz w:val="24"/>
          <w:szCs w:val="24"/>
        </w:rPr>
        <w:t>riparioides</w:t>
      </w:r>
      <w:proofErr w:type="spellEnd"/>
      <w:r w:rsidR="002E0694" w:rsidRPr="00A07F29">
        <w:rPr>
          <w:rFonts w:ascii="Times New Roman" w:eastAsia="Calibri" w:hAnsi="Times New Roman" w:cs="Times New Roman"/>
          <w:iCs/>
          <w:sz w:val="24"/>
          <w:szCs w:val="24"/>
        </w:rPr>
        <w:t xml:space="preserve">, kā arī citas </w:t>
      </w:r>
      <w:r w:rsidR="00734F96">
        <w:rPr>
          <w:rFonts w:ascii="Times New Roman" w:eastAsia="Calibri" w:hAnsi="Times New Roman" w:cs="Times New Roman"/>
          <w:iCs/>
          <w:sz w:val="24"/>
          <w:szCs w:val="24"/>
        </w:rPr>
        <w:t>septiņas</w:t>
      </w:r>
      <w:r w:rsidR="002E0694" w:rsidRPr="00A07F29">
        <w:rPr>
          <w:rFonts w:ascii="Times New Roman" w:eastAsia="Calibri" w:hAnsi="Times New Roman" w:cs="Times New Roman"/>
          <w:iCs/>
          <w:sz w:val="24"/>
          <w:szCs w:val="24"/>
        </w:rPr>
        <w:t xml:space="preserve"> ūdensaugu sugas, no kurām biežāk sastopama </w:t>
      </w:r>
      <w:proofErr w:type="spellStart"/>
      <w:r w:rsidR="002E0694" w:rsidRPr="00A07F29">
        <w:rPr>
          <w:rFonts w:ascii="Times New Roman" w:eastAsia="Calibri" w:hAnsi="Times New Roman" w:cs="Times New Roman"/>
          <w:iCs/>
          <w:sz w:val="24"/>
          <w:szCs w:val="24"/>
        </w:rPr>
        <w:t>ūdenīte</w:t>
      </w:r>
      <w:proofErr w:type="spellEnd"/>
      <w:r w:rsidR="002E0694" w:rsidRPr="00A07F29">
        <w:rPr>
          <w:rFonts w:ascii="Times New Roman" w:eastAsia="Calibri" w:hAnsi="Times New Roman" w:cs="Times New Roman"/>
          <w:iCs/>
          <w:sz w:val="24"/>
          <w:szCs w:val="24"/>
        </w:rPr>
        <w:t xml:space="preserve"> </w:t>
      </w:r>
      <w:proofErr w:type="spellStart"/>
      <w:r w:rsidR="002E0694" w:rsidRPr="00A07F29">
        <w:rPr>
          <w:rFonts w:ascii="Times New Roman" w:eastAsia="Calibri" w:hAnsi="Times New Roman" w:cs="Times New Roman"/>
          <w:i/>
          <w:iCs/>
          <w:sz w:val="24"/>
          <w:szCs w:val="24"/>
        </w:rPr>
        <w:t>Callitriche</w:t>
      </w:r>
      <w:proofErr w:type="spellEnd"/>
      <w:r w:rsidR="002E0694" w:rsidRPr="00A07F29">
        <w:rPr>
          <w:rFonts w:ascii="Times New Roman" w:eastAsia="Calibri" w:hAnsi="Times New Roman" w:cs="Times New Roman"/>
          <w:i/>
          <w:iCs/>
          <w:sz w:val="24"/>
          <w:szCs w:val="24"/>
        </w:rPr>
        <w:t xml:space="preserve"> </w:t>
      </w:r>
      <w:proofErr w:type="spellStart"/>
      <w:r w:rsidR="002E0694" w:rsidRPr="00A07F29">
        <w:rPr>
          <w:rFonts w:ascii="Times New Roman" w:eastAsia="Calibri" w:hAnsi="Times New Roman" w:cs="Times New Roman"/>
          <w:i/>
          <w:iCs/>
          <w:sz w:val="24"/>
          <w:szCs w:val="24"/>
        </w:rPr>
        <w:t>sp</w:t>
      </w:r>
      <w:proofErr w:type="spellEnd"/>
      <w:r w:rsidR="002E0694" w:rsidRPr="00A07F29">
        <w:rPr>
          <w:rFonts w:ascii="Times New Roman" w:eastAsia="Calibri" w:hAnsi="Times New Roman" w:cs="Times New Roman"/>
          <w:i/>
          <w:iCs/>
          <w:sz w:val="24"/>
          <w:szCs w:val="24"/>
        </w:rPr>
        <w:t>.</w:t>
      </w:r>
      <w:r w:rsidR="002E0694" w:rsidRPr="00A07F29">
        <w:rPr>
          <w:rFonts w:ascii="Times New Roman" w:eastAsia="Calibri" w:hAnsi="Times New Roman" w:cs="Times New Roman"/>
          <w:iCs/>
          <w:sz w:val="24"/>
          <w:szCs w:val="24"/>
        </w:rPr>
        <w:t xml:space="preserve"> un </w:t>
      </w:r>
      <w:r w:rsidR="002E0694" w:rsidRPr="00A07F29">
        <w:rPr>
          <w:rFonts w:ascii="Times New Roman" w:eastAsia="Calibri" w:hAnsi="Times New Roman" w:cs="Times New Roman"/>
          <w:sz w:val="24"/>
          <w:szCs w:val="24"/>
        </w:rPr>
        <w:t xml:space="preserve">parastais </w:t>
      </w:r>
      <w:proofErr w:type="spellStart"/>
      <w:r w:rsidR="002E0694" w:rsidRPr="00A07F29">
        <w:rPr>
          <w:rFonts w:ascii="Times New Roman" w:eastAsia="Calibri" w:hAnsi="Times New Roman" w:cs="Times New Roman"/>
          <w:sz w:val="24"/>
          <w:szCs w:val="24"/>
        </w:rPr>
        <w:t>miežubrālis</w:t>
      </w:r>
      <w:proofErr w:type="spellEnd"/>
      <w:r w:rsidR="002E0694" w:rsidRPr="00A07F29">
        <w:rPr>
          <w:rFonts w:ascii="Times New Roman" w:eastAsia="Calibri" w:hAnsi="Times New Roman" w:cs="Times New Roman"/>
          <w:sz w:val="24"/>
          <w:szCs w:val="24"/>
        </w:rPr>
        <w:t xml:space="preserve"> </w:t>
      </w:r>
      <w:proofErr w:type="spellStart"/>
      <w:r w:rsidR="002E0694" w:rsidRPr="00A07F29">
        <w:rPr>
          <w:rFonts w:ascii="Times New Roman" w:eastAsia="Calibri" w:hAnsi="Times New Roman" w:cs="Times New Roman"/>
          <w:i/>
          <w:iCs/>
          <w:sz w:val="24"/>
          <w:szCs w:val="24"/>
        </w:rPr>
        <w:t>Phalaroides</w:t>
      </w:r>
      <w:proofErr w:type="spellEnd"/>
      <w:r w:rsidR="002E0694" w:rsidRPr="00A07F29">
        <w:rPr>
          <w:rFonts w:ascii="Times New Roman" w:eastAsia="Calibri" w:hAnsi="Times New Roman" w:cs="Times New Roman"/>
          <w:i/>
          <w:iCs/>
          <w:sz w:val="24"/>
          <w:szCs w:val="24"/>
        </w:rPr>
        <w:t xml:space="preserve"> </w:t>
      </w:r>
      <w:proofErr w:type="spellStart"/>
      <w:r w:rsidR="002E0694" w:rsidRPr="00A07F29">
        <w:rPr>
          <w:rFonts w:ascii="Times New Roman" w:eastAsia="Calibri" w:hAnsi="Times New Roman" w:cs="Times New Roman"/>
          <w:i/>
          <w:iCs/>
          <w:sz w:val="24"/>
          <w:szCs w:val="24"/>
        </w:rPr>
        <w:t>arundinacea</w:t>
      </w:r>
      <w:proofErr w:type="spellEnd"/>
      <w:r w:rsidR="002E0694" w:rsidRPr="00A07F29">
        <w:rPr>
          <w:rFonts w:ascii="Times New Roman" w:eastAsia="Calibri" w:hAnsi="Times New Roman" w:cs="Times New Roman"/>
          <w:sz w:val="24"/>
          <w:szCs w:val="24"/>
        </w:rPr>
        <w:t xml:space="preserve">. </w:t>
      </w:r>
      <w:r w:rsidRPr="00A07F29">
        <w:rPr>
          <w:rFonts w:ascii="Times New Roman" w:eastAsia="Calibri" w:hAnsi="Times New Roman" w:cs="Times New Roman"/>
          <w:sz w:val="24"/>
          <w:szCs w:val="24"/>
        </w:rPr>
        <w:t xml:space="preserve">Upes </w:t>
      </w:r>
      <w:r w:rsidR="002E0694" w:rsidRPr="00A07F29">
        <w:rPr>
          <w:rFonts w:ascii="Times New Roman" w:eastAsia="Calibri" w:hAnsi="Times New Roman" w:cs="Times New Roman"/>
          <w:sz w:val="24"/>
          <w:szCs w:val="24"/>
        </w:rPr>
        <w:t xml:space="preserve">abos </w:t>
      </w:r>
      <w:r w:rsidR="00F81CBF" w:rsidRPr="00A07F29">
        <w:rPr>
          <w:rFonts w:ascii="Times New Roman" w:eastAsia="Calibri" w:hAnsi="Times New Roman" w:cs="Times New Roman"/>
          <w:sz w:val="24"/>
          <w:szCs w:val="24"/>
        </w:rPr>
        <w:t>krastos</w:t>
      </w:r>
      <w:r w:rsidR="002E0694" w:rsidRPr="00A07F29">
        <w:rPr>
          <w:rFonts w:ascii="Times New Roman" w:eastAsia="Calibri" w:hAnsi="Times New Roman" w:cs="Times New Roman"/>
          <w:sz w:val="24"/>
          <w:szCs w:val="24"/>
        </w:rPr>
        <w:t xml:space="preserve"> ir </w:t>
      </w:r>
      <w:r w:rsidR="00F81CBF" w:rsidRPr="00A07F29">
        <w:rPr>
          <w:rFonts w:ascii="Times New Roman" w:eastAsia="Calibri" w:hAnsi="Times New Roman" w:cs="Times New Roman"/>
          <w:sz w:val="24"/>
          <w:szCs w:val="24"/>
        </w:rPr>
        <w:t xml:space="preserve">galvenokārt </w:t>
      </w:r>
      <w:r w:rsidRPr="00A07F29">
        <w:rPr>
          <w:rFonts w:ascii="Times New Roman" w:eastAsia="Calibri" w:hAnsi="Times New Roman" w:cs="Times New Roman"/>
          <w:sz w:val="24"/>
          <w:szCs w:val="24"/>
        </w:rPr>
        <w:t>koku josla</w:t>
      </w:r>
      <w:r w:rsidR="00F81CBF" w:rsidRPr="00A07F29">
        <w:rPr>
          <w:rFonts w:ascii="Times New Roman" w:eastAsia="Calibri" w:hAnsi="Times New Roman" w:cs="Times New Roman"/>
          <w:sz w:val="24"/>
          <w:szCs w:val="24"/>
        </w:rPr>
        <w:t>, arī</w:t>
      </w:r>
      <w:r w:rsidRPr="00A07F29">
        <w:rPr>
          <w:rFonts w:ascii="Times New Roman" w:eastAsia="Calibri" w:hAnsi="Times New Roman" w:cs="Times New Roman"/>
          <w:sz w:val="24"/>
          <w:szCs w:val="24"/>
        </w:rPr>
        <w:t xml:space="preserve"> mež</w:t>
      </w:r>
      <w:r w:rsidR="00F81CBF" w:rsidRPr="00A07F29">
        <w:rPr>
          <w:rFonts w:ascii="Times New Roman" w:eastAsia="Calibri" w:hAnsi="Times New Roman" w:cs="Times New Roman"/>
          <w:sz w:val="24"/>
          <w:szCs w:val="24"/>
        </w:rPr>
        <w:t xml:space="preserve">s. Upes tuvumā ir arī </w:t>
      </w:r>
      <w:r w:rsidRPr="00A07F29">
        <w:rPr>
          <w:rFonts w:ascii="Times New Roman" w:eastAsia="Calibri" w:hAnsi="Times New Roman" w:cs="Times New Roman"/>
          <w:sz w:val="24"/>
          <w:szCs w:val="24"/>
        </w:rPr>
        <w:t xml:space="preserve">viensētas. </w:t>
      </w:r>
      <w:r w:rsidR="002E0694" w:rsidRPr="00A07F29">
        <w:rPr>
          <w:rFonts w:ascii="Times New Roman" w:eastAsia="Calibri" w:hAnsi="Times New Roman" w:cs="Times New Roman"/>
          <w:sz w:val="24"/>
          <w:szCs w:val="24"/>
        </w:rPr>
        <w:t xml:space="preserve">Novērotas </w:t>
      </w:r>
      <w:proofErr w:type="spellStart"/>
      <w:r w:rsidRPr="00A07F29">
        <w:rPr>
          <w:rFonts w:ascii="Times New Roman" w:eastAsia="Calibri" w:hAnsi="Times New Roman" w:cs="Times New Roman"/>
          <w:sz w:val="24"/>
          <w:szCs w:val="24"/>
        </w:rPr>
        <w:t>sedimentācijas</w:t>
      </w:r>
      <w:proofErr w:type="spellEnd"/>
      <w:r w:rsidRPr="00A07F29">
        <w:rPr>
          <w:rFonts w:ascii="Times New Roman" w:eastAsia="Calibri" w:hAnsi="Times New Roman" w:cs="Times New Roman"/>
          <w:sz w:val="24"/>
          <w:szCs w:val="24"/>
        </w:rPr>
        <w:t xml:space="preserve"> procesu pazīmes</w:t>
      </w:r>
      <w:r w:rsidR="002E0694" w:rsidRPr="00A07F29">
        <w:rPr>
          <w:rFonts w:ascii="Times New Roman" w:eastAsia="Calibri" w:hAnsi="Times New Roman" w:cs="Times New Roman"/>
          <w:sz w:val="24"/>
          <w:szCs w:val="24"/>
        </w:rPr>
        <w:t xml:space="preserve"> – </w:t>
      </w:r>
      <w:r w:rsidRPr="00A07F29">
        <w:rPr>
          <w:rFonts w:ascii="Times New Roman" w:eastAsia="Calibri" w:hAnsi="Times New Roman" w:cs="Times New Roman"/>
          <w:sz w:val="24"/>
          <w:szCs w:val="24"/>
        </w:rPr>
        <w:t xml:space="preserve">dūņaini nogulumi uz akmeņiem </w:t>
      </w:r>
      <w:r w:rsidR="003A77C0" w:rsidRPr="00A07F29">
        <w:rPr>
          <w:rFonts w:ascii="Times New Roman" w:eastAsia="Calibri" w:hAnsi="Times New Roman" w:cs="Times New Roman"/>
          <w:sz w:val="24"/>
          <w:szCs w:val="24"/>
        </w:rPr>
        <w:t>un</w:t>
      </w:r>
      <w:r w:rsidRPr="00A07F29">
        <w:rPr>
          <w:rFonts w:ascii="Times New Roman" w:eastAsia="Calibri" w:hAnsi="Times New Roman" w:cs="Times New Roman"/>
          <w:sz w:val="24"/>
          <w:szCs w:val="24"/>
        </w:rPr>
        <w:t xml:space="preserve"> lapu</w:t>
      </w:r>
      <w:r w:rsidR="003A77C0" w:rsidRPr="00A07F29">
        <w:rPr>
          <w:rFonts w:ascii="Times New Roman" w:eastAsia="Calibri" w:hAnsi="Times New Roman" w:cs="Times New Roman"/>
          <w:sz w:val="24"/>
          <w:szCs w:val="24"/>
        </w:rPr>
        <w:t xml:space="preserve"> un </w:t>
      </w:r>
      <w:r w:rsidRPr="00A07F29">
        <w:rPr>
          <w:rFonts w:ascii="Times New Roman" w:eastAsia="Calibri" w:hAnsi="Times New Roman" w:cs="Times New Roman"/>
          <w:sz w:val="24"/>
          <w:szCs w:val="24"/>
        </w:rPr>
        <w:t xml:space="preserve">zaru sanesumi. </w:t>
      </w:r>
      <w:r w:rsidR="003A77C0" w:rsidRPr="00A07F29">
        <w:rPr>
          <w:rFonts w:ascii="Times New Roman" w:eastAsia="Calibri" w:hAnsi="Times New Roman" w:cs="Times New Roman"/>
          <w:sz w:val="24"/>
          <w:szCs w:val="24"/>
        </w:rPr>
        <w:t xml:space="preserve">Konstatēti </w:t>
      </w:r>
      <w:r w:rsidRPr="00A07F29">
        <w:rPr>
          <w:rFonts w:ascii="Times New Roman" w:eastAsia="Calibri" w:hAnsi="Times New Roman" w:cs="Times New Roman"/>
          <w:sz w:val="24"/>
          <w:szCs w:val="24"/>
        </w:rPr>
        <w:t>sadzīves atkritumi</w:t>
      </w:r>
      <w:r w:rsidR="003A77C0" w:rsidRPr="00A07F29">
        <w:rPr>
          <w:rFonts w:ascii="Times New Roman" w:eastAsia="Calibri" w:hAnsi="Times New Roman" w:cs="Times New Roman"/>
          <w:sz w:val="24"/>
          <w:szCs w:val="24"/>
        </w:rPr>
        <w:t xml:space="preserve">. Par bebru darbību liecina </w:t>
      </w:r>
      <w:r w:rsidRPr="00A07F29">
        <w:rPr>
          <w:rFonts w:ascii="Times New Roman" w:eastAsia="Calibri" w:hAnsi="Times New Roman" w:cs="Times New Roman"/>
          <w:sz w:val="24"/>
          <w:szCs w:val="24"/>
        </w:rPr>
        <w:t xml:space="preserve">tikai grauzti koki. </w:t>
      </w:r>
      <w:r w:rsidR="003A77C0" w:rsidRPr="00A07F29">
        <w:rPr>
          <w:rFonts w:ascii="Times New Roman" w:eastAsia="Calibri" w:hAnsi="Times New Roman" w:cs="Times New Roman"/>
          <w:sz w:val="24"/>
          <w:szCs w:val="24"/>
        </w:rPr>
        <w:t>Ieteicama</w:t>
      </w:r>
      <w:r w:rsidRPr="00A07F29">
        <w:rPr>
          <w:rFonts w:ascii="Times New Roman" w:eastAsia="Calibri" w:hAnsi="Times New Roman" w:cs="Times New Roman"/>
          <w:sz w:val="24"/>
          <w:szCs w:val="24"/>
        </w:rPr>
        <w:t xml:space="preserve"> koku sanesumu izvākšana</w:t>
      </w:r>
      <w:r w:rsidR="003A77C0" w:rsidRPr="00A07F29">
        <w:rPr>
          <w:rFonts w:ascii="Times New Roman" w:eastAsia="Calibri" w:hAnsi="Times New Roman" w:cs="Times New Roman"/>
          <w:sz w:val="24"/>
          <w:szCs w:val="24"/>
        </w:rPr>
        <w:t xml:space="preserve"> un koku retināšana krastos</w:t>
      </w:r>
      <w:r w:rsidRPr="00A07F29">
        <w:rPr>
          <w:rFonts w:ascii="Times New Roman" w:eastAsia="Calibri" w:hAnsi="Times New Roman" w:cs="Times New Roman"/>
          <w:sz w:val="24"/>
          <w:szCs w:val="24"/>
        </w:rPr>
        <w:t xml:space="preserve">. </w:t>
      </w:r>
      <w:r w:rsidR="003A77C0" w:rsidRPr="00A07F29">
        <w:rPr>
          <w:rFonts w:ascii="Times New Roman" w:eastAsia="Calibri" w:hAnsi="Times New Roman" w:cs="Times New Roman"/>
          <w:sz w:val="24"/>
          <w:szCs w:val="24"/>
        </w:rPr>
        <w:t xml:space="preserve">Upe </w:t>
      </w:r>
      <w:r w:rsidR="003A77C0" w:rsidRPr="00A07F29">
        <w:rPr>
          <w:rFonts w:ascii="Times New Roman" w:eastAsia="Calibri" w:hAnsi="Times New Roman" w:cs="Times New Roman"/>
          <w:bCs/>
          <w:sz w:val="24"/>
          <w:szCs w:val="24"/>
        </w:rPr>
        <w:t>atbilst biotopa 3260</w:t>
      </w:r>
      <w:r w:rsidR="00E56D76">
        <w:rPr>
          <w:rFonts w:ascii="Times New Roman" w:eastAsia="Calibri" w:hAnsi="Times New Roman" w:cs="Times New Roman"/>
          <w:bCs/>
          <w:sz w:val="24"/>
          <w:szCs w:val="24"/>
        </w:rPr>
        <w:t> </w:t>
      </w:r>
      <w:r w:rsidR="003A77C0" w:rsidRPr="00A07F29">
        <w:rPr>
          <w:rFonts w:ascii="Times New Roman" w:eastAsia="Calibri" w:hAnsi="Times New Roman" w:cs="Times New Roman"/>
          <w:bCs/>
          <w:i/>
          <w:sz w:val="24"/>
          <w:szCs w:val="24"/>
        </w:rPr>
        <w:t>Upju straujteces un dabiski upju posmi</w:t>
      </w:r>
      <w:r w:rsidR="003A77C0" w:rsidRPr="00A07F29">
        <w:rPr>
          <w:rFonts w:ascii="Times New Roman" w:eastAsia="Calibri" w:hAnsi="Times New Roman" w:cs="Times New Roman"/>
          <w:bCs/>
          <w:sz w:val="24"/>
          <w:szCs w:val="24"/>
        </w:rPr>
        <w:t xml:space="preserve"> 1. variantam un </w:t>
      </w:r>
      <w:r w:rsidR="003A77C0" w:rsidRPr="00A07F29">
        <w:rPr>
          <w:rFonts w:ascii="Times New Roman" w:eastAsia="Calibri" w:hAnsi="Times New Roman" w:cs="Times New Roman"/>
          <w:sz w:val="24"/>
          <w:szCs w:val="24"/>
        </w:rPr>
        <w:t>tā kvalitāte novērtēta kā</w:t>
      </w:r>
      <w:r w:rsidRPr="00A07F29">
        <w:rPr>
          <w:rFonts w:ascii="Times New Roman" w:eastAsia="Calibri" w:hAnsi="Times New Roman" w:cs="Times New Roman"/>
          <w:sz w:val="24"/>
          <w:szCs w:val="24"/>
        </w:rPr>
        <w:t xml:space="preserve"> laba.</w:t>
      </w:r>
    </w:p>
    <w:p w14:paraId="5C1B3BE9" w14:textId="3D5E7388" w:rsidR="00A354FB" w:rsidRPr="00A07F29" w:rsidRDefault="00A354FB" w:rsidP="002E0694">
      <w:pPr>
        <w:spacing w:after="120" w:line="240" w:lineRule="auto"/>
        <w:ind w:firstLine="851"/>
        <w:jc w:val="both"/>
        <w:rPr>
          <w:rFonts w:ascii="Times New Roman" w:eastAsia="Calibri" w:hAnsi="Times New Roman" w:cs="Times New Roman"/>
          <w:sz w:val="24"/>
          <w:szCs w:val="24"/>
        </w:rPr>
      </w:pPr>
      <w:proofErr w:type="spellStart"/>
      <w:r w:rsidRPr="00A07F29">
        <w:rPr>
          <w:rFonts w:ascii="Times New Roman" w:eastAsia="Calibri" w:hAnsi="Times New Roman" w:cs="Times New Roman"/>
          <w:b/>
          <w:bCs/>
          <w:sz w:val="24"/>
          <w:szCs w:val="24"/>
        </w:rPr>
        <w:t>Viļeika</w:t>
      </w:r>
      <w:proofErr w:type="spellEnd"/>
      <w:r w:rsidRPr="00A07F29">
        <w:rPr>
          <w:rFonts w:ascii="Times New Roman" w:eastAsia="Calibri" w:hAnsi="Times New Roman" w:cs="Times New Roman"/>
          <w:b/>
          <w:bCs/>
          <w:sz w:val="24"/>
          <w:szCs w:val="24"/>
        </w:rPr>
        <w:t xml:space="preserve"> </w:t>
      </w:r>
      <w:r w:rsidR="002E0694" w:rsidRPr="00A07F29">
        <w:rPr>
          <w:rFonts w:ascii="Times New Roman" w:eastAsia="Calibri" w:hAnsi="Times New Roman" w:cs="Times New Roman"/>
          <w:sz w:val="24"/>
          <w:szCs w:val="24"/>
        </w:rPr>
        <w:t>ir</w:t>
      </w:r>
      <w:r w:rsidRPr="00A07F29">
        <w:rPr>
          <w:rFonts w:ascii="Times New Roman" w:eastAsia="Calibri" w:hAnsi="Times New Roman" w:cs="Times New Roman"/>
          <w:sz w:val="24"/>
          <w:szCs w:val="24"/>
        </w:rPr>
        <w:t xml:space="preserve"> agrāk taisnota, </w:t>
      </w:r>
      <w:r w:rsidR="002E0694" w:rsidRPr="00A07F29">
        <w:rPr>
          <w:rFonts w:ascii="Times New Roman" w:eastAsia="Calibri" w:hAnsi="Times New Roman" w:cs="Times New Roman"/>
          <w:sz w:val="24"/>
          <w:szCs w:val="24"/>
        </w:rPr>
        <w:t xml:space="preserve">bet </w:t>
      </w:r>
      <w:r w:rsidRPr="00A07F29">
        <w:rPr>
          <w:rFonts w:ascii="Times New Roman" w:eastAsia="Calibri" w:hAnsi="Times New Roman" w:cs="Times New Roman"/>
          <w:sz w:val="24"/>
          <w:szCs w:val="24"/>
        </w:rPr>
        <w:t xml:space="preserve">laika gaitā </w:t>
      </w:r>
      <w:proofErr w:type="spellStart"/>
      <w:r w:rsidRPr="00A07F29">
        <w:rPr>
          <w:rFonts w:ascii="Times New Roman" w:eastAsia="Calibri" w:hAnsi="Times New Roman" w:cs="Times New Roman"/>
          <w:sz w:val="24"/>
          <w:szCs w:val="24"/>
        </w:rPr>
        <w:t>dabiskojusies</w:t>
      </w:r>
      <w:proofErr w:type="spellEnd"/>
      <w:r w:rsidRPr="00A07F29">
        <w:rPr>
          <w:rFonts w:ascii="Times New Roman" w:eastAsia="Calibri" w:hAnsi="Times New Roman" w:cs="Times New Roman"/>
          <w:sz w:val="24"/>
          <w:szCs w:val="24"/>
        </w:rPr>
        <w:t xml:space="preserve"> un kopumā </w:t>
      </w:r>
      <w:r w:rsidR="002E0694" w:rsidRPr="00A07F29">
        <w:rPr>
          <w:rFonts w:ascii="Times New Roman" w:eastAsia="Calibri" w:hAnsi="Times New Roman" w:cs="Times New Roman"/>
          <w:sz w:val="24"/>
          <w:szCs w:val="24"/>
        </w:rPr>
        <w:t xml:space="preserve">vērtējama kā </w:t>
      </w:r>
      <w:r w:rsidRPr="00A07F29">
        <w:rPr>
          <w:rFonts w:ascii="Times New Roman" w:eastAsia="Calibri" w:hAnsi="Times New Roman" w:cs="Times New Roman"/>
          <w:sz w:val="24"/>
          <w:szCs w:val="24"/>
        </w:rPr>
        <w:t>maz</w:t>
      </w:r>
      <w:r w:rsidR="002E0694" w:rsidRPr="00A07F29">
        <w:rPr>
          <w:rFonts w:ascii="Times New Roman" w:eastAsia="Calibri" w:hAnsi="Times New Roman" w:cs="Times New Roman"/>
          <w:sz w:val="24"/>
          <w:szCs w:val="24"/>
        </w:rPr>
        <w:t xml:space="preserve"> </w:t>
      </w:r>
      <w:r w:rsidRPr="00A07F29">
        <w:rPr>
          <w:rFonts w:ascii="Times New Roman" w:eastAsia="Calibri" w:hAnsi="Times New Roman" w:cs="Times New Roman"/>
          <w:sz w:val="24"/>
          <w:szCs w:val="24"/>
        </w:rPr>
        <w:t>traucēta robežupe</w:t>
      </w:r>
      <w:r w:rsidR="002E0694" w:rsidRPr="00A07F29">
        <w:rPr>
          <w:rFonts w:ascii="Times New Roman" w:eastAsia="Calibri" w:hAnsi="Times New Roman" w:cs="Times New Roman"/>
          <w:sz w:val="24"/>
          <w:szCs w:val="24"/>
        </w:rPr>
        <w:t>, kas tek caur mežu masīvu</w:t>
      </w:r>
      <w:r w:rsidRPr="00A07F29">
        <w:rPr>
          <w:rFonts w:ascii="Times New Roman" w:eastAsia="Calibri" w:hAnsi="Times New Roman" w:cs="Times New Roman"/>
          <w:sz w:val="24"/>
          <w:szCs w:val="24"/>
        </w:rPr>
        <w:t xml:space="preserve">. Gultnes substrāts </w:t>
      </w:r>
      <w:r w:rsidR="002E0694" w:rsidRPr="00A07F29">
        <w:rPr>
          <w:rFonts w:ascii="Times New Roman" w:eastAsia="Calibri" w:hAnsi="Times New Roman" w:cs="Times New Roman"/>
          <w:sz w:val="24"/>
          <w:szCs w:val="24"/>
        </w:rPr>
        <w:t xml:space="preserve">ir </w:t>
      </w:r>
      <w:r w:rsidRPr="00A07F29">
        <w:rPr>
          <w:rFonts w:ascii="Times New Roman" w:eastAsia="Calibri" w:hAnsi="Times New Roman" w:cs="Times New Roman"/>
          <w:sz w:val="24"/>
          <w:szCs w:val="24"/>
        </w:rPr>
        <w:t xml:space="preserve">daudzveidīgs, dominē smilts un grants. Sastopama </w:t>
      </w:r>
      <w:r w:rsidR="002E0694" w:rsidRPr="00A07F29">
        <w:rPr>
          <w:rFonts w:ascii="Times New Roman" w:eastAsia="Calibri" w:hAnsi="Times New Roman" w:cs="Times New Roman"/>
          <w:sz w:val="24"/>
          <w:szCs w:val="24"/>
        </w:rPr>
        <w:t xml:space="preserve">parastā </w:t>
      </w:r>
      <w:proofErr w:type="spellStart"/>
      <w:r w:rsidR="002E0694" w:rsidRPr="00A07F29">
        <w:rPr>
          <w:rFonts w:ascii="Times New Roman" w:eastAsia="Calibri" w:hAnsi="Times New Roman" w:cs="Times New Roman"/>
          <w:sz w:val="24"/>
          <w:szCs w:val="24"/>
        </w:rPr>
        <w:t>avotsūna</w:t>
      </w:r>
      <w:proofErr w:type="spellEnd"/>
      <w:r w:rsidR="002E0694"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i/>
          <w:iCs/>
          <w:sz w:val="24"/>
          <w:szCs w:val="24"/>
        </w:rPr>
        <w:t>Fontinalis</w:t>
      </w:r>
      <w:proofErr w:type="spellEnd"/>
      <w:r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antipyretica</w:t>
      </w:r>
      <w:proofErr w:type="spellEnd"/>
      <w:r w:rsidRPr="00A07F29">
        <w:rPr>
          <w:rFonts w:ascii="Times New Roman" w:eastAsia="Calibri" w:hAnsi="Times New Roman" w:cs="Times New Roman"/>
          <w:sz w:val="24"/>
          <w:szCs w:val="24"/>
        </w:rPr>
        <w:t xml:space="preserve">, </w:t>
      </w:r>
      <w:r w:rsidR="002E0694" w:rsidRPr="00A07F29">
        <w:rPr>
          <w:rFonts w:ascii="Times New Roman" w:eastAsia="Calibri" w:hAnsi="Times New Roman" w:cs="Times New Roman"/>
          <w:sz w:val="24"/>
          <w:szCs w:val="24"/>
        </w:rPr>
        <w:t xml:space="preserve">kā arī </w:t>
      </w:r>
      <w:r w:rsidRPr="00A07F29">
        <w:rPr>
          <w:rFonts w:ascii="Times New Roman" w:eastAsia="Calibri" w:hAnsi="Times New Roman" w:cs="Times New Roman"/>
          <w:sz w:val="24"/>
          <w:szCs w:val="24"/>
        </w:rPr>
        <w:t xml:space="preserve">10 </w:t>
      </w:r>
      <w:proofErr w:type="spellStart"/>
      <w:r w:rsidRPr="00A07F29">
        <w:rPr>
          <w:rFonts w:ascii="Times New Roman" w:eastAsia="Calibri" w:hAnsi="Times New Roman" w:cs="Times New Roman"/>
          <w:sz w:val="24"/>
          <w:szCs w:val="24"/>
        </w:rPr>
        <w:t>vaskulāro</w:t>
      </w:r>
      <w:proofErr w:type="spellEnd"/>
      <w:r w:rsidRPr="00A07F29">
        <w:rPr>
          <w:rFonts w:ascii="Times New Roman" w:eastAsia="Calibri" w:hAnsi="Times New Roman" w:cs="Times New Roman"/>
          <w:sz w:val="24"/>
          <w:szCs w:val="24"/>
        </w:rPr>
        <w:t xml:space="preserve"> augu sugas no </w:t>
      </w:r>
      <w:proofErr w:type="spellStart"/>
      <w:r w:rsidRPr="00A07F29">
        <w:rPr>
          <w:rFonts w:ascii="Times New Roman" w:eastAsia="Calibri" w:hAnsi="Times New Roman" w:cs="Times New Roman"/>
          <w:sz w:val="24"/>
          <w:szCs w:val="24"/>
        </w:rPr>
        <w:t>eloīdu</w:t>
      </w:r>
      <w:proofErr w:type="spellEnd"/>
      <w:r w:rsidRPr="00A07F29">
        <w:rPr>
          <w:rFonts w:ascii="Times New Roman" w:eastAsia="Calibri" w:hAnsi="Times New Roman" w:cs="Times New Roman"/>
          <w:sz w:val="24"/>
          <w:szCs w:val="24"/>
        </w:rPr>
        <w:t xml:space="preserve">, </w:t>
      </w:r>
      <w:proofErr w:type="spellStart"/>
      <w:r w:rsidR="001C430C" w:rsidRPr="00A07F29">
        <w:rPr>
          <w:rFonts w:ascii="Times New Roman" w:eastAsia="Calibri" w:hAnsi="Times New Roman" w:cs="Times New Roman"/>
          <w:sz w:val="24"/>
          <w:szCs w:val="24"/>
        </w:rPr>
        <w:t>nimfoīdu</w:t>
      </w:r>
      <w:proofErr w:type="spellEnd"/>
      <w:r w:rsidR="001C430C" w:rsidRPr="00A07F29">
        <w:rPr>
          <w:rFonts w:ascii="Times New Roman" w:eastAsia="Calibri" w:hAnsi="Times New Roman" w:cs="Times New Roman"/>
          <w:sz w:val="24"/>
          <w:szCs w:val="24"/>
        </w:rPr>
        <w:t xml:space="preserve"> un </w:t>
      </w:r>
      <w:proofErr w:type="spellStart"/>
      <w:r w:rsidR="001C430C" w:rsidRPr="00A07F29">
        <w:rPr>
          <w:rFonts w:ascii="Times New Roman" w:eastAsia="Calibri" w:hAnsi="Times New Roman" w:cs="Times New Roman"/>
          <w:sz w:val="24"/>
          <w:szCs w:val="24"/>
        </w:rPr>
        <w:t>helofītu</w:t>
      </w:r>
      <w:proofErr w:type="spellEnd"/>
      <w:r w:rsidR="001C430C" w:rsidRPr="00A07F29">
        <w:rPr>
          <w:rFonts w:ascii="Times New Roman" w:eastAsia="Calibri" w:hAnsi="Times New Roman" w:cs="Times New Roman"/>
          <w:sz w:val="24"/>
          <w:szCs w:val="24"/>
        </w:rPr>
        <w:t xml:space="preserve"> grupas</w:t>
      </w:r>
      <w:r w:rsidR="001C430C">
        <w:rPr>
          <w:rFonts w:ascii="Times New Roman" w:eastAsia="Calibri" w:hAnsi="Times New Roman" w:cs="Times New Roman"/>
          <w:sz w:val="24"/>
          <w:szCs w:val="24"/>
        </w:rPr>
        <w:t xml:space="preserve">, </w:t>
      </w:r>
      <w:r w:rsidR="002E0694" w:rsidRPr="00A07F29">
        <w:rPr>
          <w:rFonts w:ascii="Times New Roman" w:eastAsia="Calibri" w:hAnsi="Times New Roman" w:cs="Times New Roman"/>
          <w:sz w:val="24"/>
          <w:szCs w:val="24"/>
        </w:rPr>
        <w:t xml:space="preserve">bet to veidotais </w:t>
      </w:r>
      <w:proofErr w:type="spellStart"/>
      <w:r w:rsidR="002E0694" w:rsidRPr="00A07F29">
        <w:rPr>
          <w:rFonts w:ascii="Times New Roman" w:eastAsia="Calibri" w:hAnsi="Times New Roman" w:cs="Times New Roman"/>
          <w:sz w:val="24"/>
          <w:szCs w:val="24"/>
        </w:rPr>
        <w:t>aizaug</w:t>
      </w:r>
      <w:r w:rsidR="001C430C">
        <w:rPr>
          <w:rFonts w:ascii="Times New Roman" w:eastAsia="Calibri" w:hAnsi="Times New Roman" w:cs="Times New Roman"/>
          <w:sz w:val="24"/>
          <w:szCs w:val="24"/>
        </w:rPr>
        <w:t>u</w:t>
      </w:r>
      <w:r w:rsidR="002E0694" w:rsidRPr="00A07F29">
        <w:rPr>
          <w:rFonts w:ascii="Times New Roman" w:eastAsia="Calibri" w:hAnsi="Times New Roman" w:cs="Times New Roman"/>
          <w:sz w:val="24"/>
          <w:szCs w:val="24"/>
        </w:rPr>
        <w:t>m</w:t>
      </w:r>
      <w:r w:rsidR="001C430C">
        <w:rPr>
          <w:rFonts w:ascii="Times New Roman" w:eastAsia="Calibri" w:hAnsi="Times New Roman" w:cs="Times New Roman"/>
          <w:sz w:val="24"/>
          <w:szCs w:val="24"/>
        </w:rPr>
        <w:t>s</w:t>
      </w:r>
      <w:proofErr w:type="spellEnd"/>
      <w:r w:rsidR="002E0694" w:rsidRPr="00A07F29">
        <w:rPr>
          <w:rFonts w:ascii="Times New Roman" w:eastAsia="Calibri" w:hAnsi="Times New Roman" w:cs="Times New Roman"/>
          <w:sz w:val="24"/>
          <w:szCs w:val="24"/>
        </w:rPr>
        <w:t xml:space="preserve"> ir niecīgs</w:t>
      </w:r>
      <w:r w:rsidRPr="00A07F29">
        <w:rPr>
          <w:rFonts w:ascii="Times New Roman" w:eastAsia="Calibri" w:hAnsi="Times New Roman" w:cs="Times New Roman"/>
          <w:sz w:val="24"/>
          <w:szCs w:val="24"/>
        </w:rPr>
        <w:t>, nepārsniedzot 2</w:t>
      </w:r>
      <w:r w:rsidR="001979F2">
        <w:rPr>
          <w:rFonts w:ascii="Times New Roman" w:eastAsia="Calibri" w:hAnsi="Times New Roman" w:cs="Times New Roman"/>
          <w:sz w:val="24"/>
          <w:szCs w:val="24"/>
        </w:rPr>
        <w:t>,</w:t>
      </w:r>
      <w:r w:rsidRPr="00A07F29">
        <w:rPr>
          <w:rFonts w:ascii="Times New Roman" w:eastAsia="Calibri" w:hAnsi="Times New Roman" w:cs="Times New Roman"/>
          <w:sz w:val="24"/>
          <w:szCs w:val="24"/>
        </w:rPr>
        <w:t>5</w:t>
      </w:r>
      <w:r w:rsidR="001979F2">
        <w:rPr>
          <w:rFonts w:ascii="Times New Roman" w:eastAsia="Calibri" w:hAnsi="Times New Roman" w:cs="Times New Roman"/>
          <w:sz w:val="24"/>
          <w:szCs w:val="24"/>
        </w:rPr>
        <w:t> </w:t>
      </w:r>
      <w:r w:rsidRPr="00A07F29">
        <w:rPr>
          <w:rFonts w:ascii="Times New Roman" w:eastAsia="Calibri" w:hAnsi="Times New Roman" w:cs="Times New Roman"/>
          <w:sz w:val="24"/>
          <w:szCs w:val="24"/>
        </w:rPr>
        <w:t>% no apsekotās</w:t>
      </w:r>
      <w:r w:rsidR="00D65BBA"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spoguļvirsmas</w:t>
      </w:r>
      <w:proofErr w:type="spellEnd"/>
      <w:r w:rsidRPr="00A07F29">
        <w:rPr>
          <w:rFonts w:ascii="Times New Roman" w:eastAsia="Calibri" w:hAnsi="Times New Roman" w:cs="Times New Roman"/>
          <w:sz w:val="24"/>
          <w:szCs w:val="24"/>
        </w:rPr>
        <w:t xml:space="preserve"> seguma. </w:t>
      </w:r>
      <w:r w:rsidR="002E0694" w:rsidRPr="00A07F29">
        <w:rPr>
          <w:rFonts w:ascii="Times New Roman" w:eastAsia="Calibri" w:hAnsi="Times New Roman" w:cs="Times New Roman"/>
          <w:sz w:val="24"/>
          <w:szCs w:val="24"/>
        </w:rPr>
        <w:t xml:space="preserve">Upe </w:t>
      </w:r>
      <w:r w:rsidR="002E0694" w:rsidRPr="00A07F29">
        <w:rPr>
          <w:rFonts w:ascii="Times New Roman" w:eastAsia="Calibri" w:hAnsi="Times New Roman" w:cs="Times New Roman"/>
          <w:bCs/>
          <w:sz w:val="24"/>
          <w:szCs w:val="24"/>
        </w:rPr>
        <w:t>atbilst biotopa 3260</w:t>
      </w:r>
      <w:r w:rsidR="000A6F24">
        <w:rPr>
          <w:rFonts w:ascii="Times New Roman" w:eastAsia="Calibri" w:hAnsi="Times New Roman" w:cs="Times New Roman"/>
          <w:bCs/>
          <w:sz w:val="24"/>
          <w:szCs w:val="24"/>
        </w:rPr>
        <w:t> </w:t>
      </w:r>
      <w:r w:rsidR="002E0694" w:rsidRPr="00A07F29">
        <w:rPr>
          <w:rFonts w:ascii="Times New Roman" w:eastAsia="Calibri" w:hAnsi="Times New Roman" w:cs="Times New Roman"/>
          <w:bCs/>
          <w:i/>
          <w:sz w:val="24"/>
          <w:szCs w:val="24"/>
        </w:rPr>
        <w:t>Upju straujteces un dabiski upju posmi</w:t>
      </w:r>
      <w:r w:rsidR="002E0694" w:rsidRPr="00A07F29">
        <w:rPr>
          <w:rFonts w:ascii="Times New Roman" w:eastAsia="Calibri" w:hAnsi="Times New Roman" w:cs="Times New Roman"/>
          <w:bCs/>
          <w:sz w:val="24"/>
          <w:szCs w:val="24"/>
        </w:rPr>
        <w:t xml:space="preserve"> 1. variantam un </w:t>
      </w:r>
      <w:r w:rsidR="002E0694" w:rsidRPr="00A07F29">
        <w:rPr>
          <w:rFonts w:ascii="Times New Roman" w:eastAsia="Calibri" w:hAnsi="Times New Roman" w:cs="Times New Roman"/>
          <w:sz w:val="24"/>
          <w:szCs w:val="24"/>
        </w:rPr>
        <w:t xml:space="preserve">tā kvalitāte novērtēta kā </w:t>
      </w:r>
      <w:r w:rsidRPr="00A07F29">
        <w:rPr>
          <w:rFonts w:ascii="Times New Roman" w:eastAsia="Calibri" w:hAnsi="Times New Roman" w:cs="Times New Roman"/>
          <w:sz w:val="24"/>
          <w:szCs w:val="24"/>
        </w:rPr>
        <w:t>vidēja.</w:t>
      </w:r>
    </w:p>
    <w:p w14:paraId="4B9958F6" w14:textId="137FE54B" w:rsidR="00A354FB" w:rsidRPr="00A07F29" w:rsidRDefault="00A354FB" w:rsidP="006827EA">
      <w:pPr>
        <w:spacing w:after="120" w:line="240" w:lineRule="auto"/>
        <w:ind w:firstLine="851"/>
        <w:jc w:val="both"/>
        <w:rPr>
          <w:rFonts w:ascii="Times New Roman" w:eastAsia="Calibri" w:hAnsi="Times New Roman" w:cs="Times New Roman"/>
          <w:sz w:val="24"/>
          <w:szCs w:val="24"/>
        </w:rPr>
      </w:pPr>
      <w:proofErr w:type="spellStart"/>
      <w:r w:rsidRPr="00A07F29">
        <w:rPr>
          <w:rFonts w:ascii="Times New Roman" w:eastAsia="Calibri" w:hAnsi="Times New Roman" w:cs="Times New Roman"/>
          <w:b/>
          <w:bCs/>
          <w:sz w:val="24"/>
          <w:szCs w:val="24"/>
        </w:rPr>
        <w:t>Poguļanka</w:t>
      </w:r>
      <w:proofErr w:type="spellEnd"/>
      <w:r w:rsidRPr="00A07F29">
        <w:rPr>
          <w:rFonts w:ascii="Times New Roman" w:eastAsia="Calibri" w:hAnsi="Times New Roman" w:cs="Times New Roman"/>
          <w:bCs/>
          <w:sz w:val="24"/>
          <w:szCs w:val="24"/>
        </w:rPr>
        <w:t xml:space="preserve"> (</w:t>
      </w:r>
      <w:proofErr w:type="spellStart"/>
      <w:r w:rsidRPr="00A07F29">
        <w:rPr>
          <w:rFonts w:ascii="Times New Roman" w:eastAsia="Calibri" w:hAnsi="Times New Roman" w:cs="Times New Roman"/>
          <w:bCs/>
          <w:sz w:val="24"/>
          <w:szCs w:val="24"/>
        </w:rPr>
        <w:t>Jaunborne</w:t>
      </w:r>
      <w:proofErr w:type="spellEnd"/>
      <w:r w:rsidRPr="00A07F29">
        <w:rPr>
          <w:rFonts w:ascii="Times New Roman" w:eastAsia="Calibri" w:hAnsi="Times New Roman" w:cs="Times New Roman"/>
          <w:bCs/>
          <w:sz w:val="24"/>
          <w:szCs w:val="24"/>
        </w:rPr>
        <w:t xml:space="preserve">, Saliena, </w:t>
      </w:r>
      <w:proofErr w:type="spellStart"/>
      <w:r w:rsidRPr="00A07F29">
        <w:rPr>
          <w:rFonts w:ascii="Times New Roman" w:eastAsia="Calibri" w:hAnsi="Times New Roman" w:cs="Times New Roman"/>
          <w:bCs/>
          <w:sz w:val="24"/>
          <w:szCs w:val="24"/>
        </w:rPr>
        <w:t>Olšanka</w:t>
      </w:r>
      <w:proofErr w:type="spellEnd"/>
      <w:r w:rsidRPr="00A07F29">
        <w:rPr>
          <w:rFonts w:ascii="Times New Roman" w:eastAsia="Calibri" w:hAnsi="Times New Roman" w:cs="Times New Roman"/>
          <w:bCs/>
          <w:sz w:val="24"/>
          <w:szCs w:val="24"/>
        </w:rPr>
        <w:t xml:space="preserve">) </w:t>
      </w:r>
      <w:r w:rsidRPr="00A07F29">
        <w:rPr>
          <w:rFonts w:ascii="Times New Roman" w:eastAsia="Calibri" w:hAnsi="Times New Roman" w:cs="Times New Roman"/>
          <w:sz w:val="24"/>
          <w:szCs w:val="24"/>
        </w:rPr>
        <w:t xml:space="preserve">sākas kā novadgrāvis </w:t>
      </w:r>
      <w:proofErr w:type="spellStart"/>
      <w:r w:rsidRPr="00A07F29">
        <w:rPr>
          <w:rFonts w:ascii="Times New Roman" w:eastAsia="Calibri" w:hAnsi="Times New Roman" w:cs="Times New Roman"/>
          <w:sz w:val="24"/>
          <w:szCs w:val="24"/>
        </w:rPr>
        <w:t>Kirlišku</w:t>
      </w:r>
      <w:proofErr w:type="spellEnd"/>
      <w:r w:rsidRPr="00A07F29">
        <w:rPr>
          <w:rFonts w:ascii="Times New Roman" w:eastAsia="Calibri" w:hAnsi="Times New Roman" w:cs="Times New Roman"/>
          <w:sz w:val="24"/>
          <w:szCs w:val="24"/>
        </w:rPr>
        <w:t xml:space="preserve"> mežā. Upes augštece pie </w:t>
      </w:r>
      <w:proofErr w:type="spellStart"/>
      <w:r w:rsidRPr="00A07F29">
        <w:rPr>
          <w:rFonts w:ascii="Times New Roman" w:eastAsia="Calibri" w:hAnsi="Times New Roman" w:cs="Times New Roman"/>
          <w:sz w:val="24"/>
          <w:szCs w:val="24"/>
        </w:rPr>
        <w:t>Šlapakiem</w:t>
      </w:r>
      <w:proofErr w:type="spellEnd"/>
      <w:r w:rsidRPr="00A07F29">
        <w:rPr>
          <w:rFonts w:ascii="Times New Roman" w:eastAsia="Calibri" w:hAnsi="Times New Roman" w:cs="Times New Roman"/>
          <w:sz w:val="24"/>
          <w:szCs w:val="24"/>
        </w:rPr>
        <w:t xml:space="preserve"> </w:t>
      </w:r>
      <w:r w:rsidR="002E0694" w:rsidRPr="00A07F29">
        <w:rPr>
          <w:rFonts w:ascii="Times New Roman" w:eastAsia="Calibri" w:hAnsi="Times New Roman" w:cs="Times New Roman"/>
          <w:sz w:val="24"/>
          <w:szCs w:val="24"/>
        </w:rPr>
        <w:t xml:space="preserve">ir </w:t>
      </w:r>
      <w:r w:rsidRPr="00A07F29">
        <w:rPr>
          <w:rFonts w:ascii="Times New Roman" w:eastAsia="Calibri" w:hAnsi="Times New Roman" w:cs="Times New Roman"/>
          <w:sz w:val="24"/>
          <w:szCs w:val="24"/>
        </w:rPr>
        <w:t xml:space="preserve">regulēta, bet tālāk tek pa dziļu ieleju. Apsekotajā upes posmā </w:t>
      </w:r>
      <w:r w:rsidR="002E0694" w:rsidRPr="00A07F29">
        <w:rPr>
          <w:rFonts w:ascii="Times New Roman" w:eastAsia="Calibri" w:hAnsi="Times New Roman" w:cs="Times New Roman"/>
          <w:sz w:val="24"/>
          <w:szCs w:val="24"/>
        </w:rPr>
        <w:t>AAA “Augšdaugava”</w:t>
      </w:r>
      <w:r w:rsidRPr="00A07F29">
        <w:rPr>
          <w:rFonts w:ascii="Times New Roman" w:eastAsia="Calibri" w:hAnsi="Times New Roman" w:cs="Times New Roman"/>
          <w:sz w:val="24"/>
          <w:szCs w:val="24"/>
        </w:rPr>
        <w:t xml:space="preserve"> teritorij</w:t>
      </w:r>
      <w:r w:rsidR="002E0694" w:rsidRPr="00A07F29">
        <w:rPr>
          <w:rFonts w:ascii="Times New Roman" w:eastAsia="Calibri" w:hAnsi="Times New Roman" w:cs="Times New Roman"/>
          <w:sz w:val="24"/>
          <w:szCs w:val="24"/>
        </w:rPr>
        <w:t xml:space="preserve">ā </w:t>
      </w:r>
      <w:r w:rsidRPr="00A07F29">
        <w:rPr>
          <w:rFonts w:ascii="Times New Roman" w:eastAsia="Calibri" w:hAnsi="Times New Roman" w:cs="Times New Roman"/>
          <w:sz w:val="24"/>
          <w:szCs w:val="24"/>
        </w:rPr>
        <w:t xml:space="preserve">tā ir tipiska </w:t>
      </w:r>
      <w:proofErr w:type="spellStart"/>
      <w:r w:rsidRPr="00A07F29">
        <w:rPr>
          <w:rFonts w:ascii="Times New Roman" w:eastAsia="Calibri" w:hAnsi="Times New Roman" w:cs="Times New Roman"/>
          <w:sz w:val="24"/>
          <w:szCs w:val="24"/>
        </w:rPr>
        <w:t>meandrējoša</w:t>
      </w:r>
      <w:proofErr w:type="spellEnd"/>
      <w:r w:rsidRPr="00A07F29">
        <w:rPr>
          <w:rFonts w:ascii="Times New Roman" w:eastAsia="Calibri" w:hAnsi="Times New Roman" w:cs="Times New Roman"/>
          <w:sz w:val="24"/>
          <w:szCs w:val="24"/>
        </w:rPr>
        <w:t xml:space="preserve"> straujtece. Upes abi krasti </w:t>
      </w:r>
      <w:r w:rsidR="002E0694" w:rsidRPr="00A07F29">
        <w:rPr>
          <w:rFonts w:ascii="Times New Roman" w:eastAsia="Calibri" w:hAnsi="Times New Roman" w:cs="Times New Roman"/>
          <w:sz w:val="24"/>
          <w:szCs w:val="24"/>
        </w:rPr>
        <w:t>ir apauguši ar mežu. Konstatētas</w:t>
      </w:r>
      <w:r w:rsidRPr="00A07F29">
        <w:rPr>
          <w:rFonts w:ascii="Times New Roman" w:eastAsia="Calibri" w:hAnsi="Times New Roman" w:cs="Times New Roman"/>
          <w:sz w:val="24"/>
          <w:szCs w:val="24"/>
        </w:rPr>
        <w:t xml:space="preserve"> bebru darbības pēdas. Sastopama sārtaļģe </w:t>
      </w:r>
      <w:proofErr w:type="spellStart"/>
      <w:r w:rsidRPr="00A07F29">
        <w:rPr>
          <w:rFonts w:ascii="Times New Roman" w:eastAsia="Calibri" w:hAnsi="Times New Roman" w:cs="Times New Roman"/>
          <w:i/>
          <w:iCs/>
          <w:sz w:val="24"/>
          <w:szCs w:val="24"/>
        </w:rPr>
        <w:t>Hildebrandia</w:t>
      </w:r>
      <w:proofErr w:type="spellEnd"/>
      <w:r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rivularis</w:t>
      </w:r>
      <w:proofErr w:type="spellEnd"/>
      <w:r w:rsidRPr="00A07F29">
        <w:rPr>
          <w:rFonts w:ascii="Times New Roman" w:eastAsia="Calibri" w:hAnsi="Times New Roman" w:cs="Times New Roman"/>
          <w:iCs/>
          <w:sz w:val="24"/>
          <w:szCs w:val="24"/>
        </w:rPr>
        <w:t>,</w:t>
      </w:r>
      <w:r w:rsidRPr="00A07F29">
        <w:rPr>
          <w:rFonts w:ascii="Times New Roman" w:eastAsia="Calibri" w:hAnsi="Times New Roman" w:cs="Times New Roman"/>
          <w:i/>
          <w:iCs/>
          <w:sz w:val="24"/>
          <w:szCs w:val="24"/>
        </w:rPr>
        <w:t xml:space="preserve"> </w:t>
      </w:r>
      <w:proofErr w:type="spellStart"/>
      <w:r w:rsidR="002E0694" w:rsidRPr="00A07F29">
        <w:rPr>
          <w:rFonts w:ascii="Times New Roman" w:eastAsia="Calibri" w:hAnsi="Times New Roman" w:cs="Times New Roman"/>
          <w:iCs/>
          <w:sz w:val="24"/>
          <w:szCs w:val="24"/>
        </w:rPr>
        <w:t>kladoforas</w:t>
      </w:r>
      <w:proofErr w:type="spellEnd"/>
      <w:r w:rsidR="002E0694" w:rsidRPr="00A07F29">
        <w:rPr>
          <w:rFonts w:ascii="Times New Roman" w:eastAsia="Calibri" w:hAnsi="Times New Roman" w:cs="Times New Roman"/>
          <w:iCs/>
          <w:sz w:val="24"/>
          <w:szCs w:val="24"/>
        </w:rPr>
        <w:t xml:space="preserve"> </w:t>
      </w:r>
      <w:proofErr w:type="spellStart"/>
      <w:r w:rsidRPr="00A07F29">
        <w:rPr>
          <w:rFonts w:ascii="Times New Roman" w:eastAsia="Calibri" w:hAnsi="Times New Roman" w:cs="Times New Roman"/>
          <w:i/>
          <w:iCs/>
          <w:sz w:val="24"/>
          <w:szCs w:val="24"/>
        </w:rPr>
        <w:t>Cladophora</w:t>
      </w:r>
      <w:proofErr w:type="spellEnd"/>
      <w:r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sp</w:t>
      </w:r>
      <w:proofErr w:type="spellEnd"/>
      <w:r w:rsidRPr="00A07F29">
        <w:rPr>
          <w:rFonts w:ascii="Times New Roman" w:eastAsia="Calibri" w:hAnsi="Times New Roman" w:cs="Times New Roman"/>
          <w:i/>
          <w:iCs/>
          <w:sz w:val="24"/>
          <w:szCs w:val="24"/>
        </w:rPr>
        <w:t>.</w:t>
      </w:r>
      <w:r w:rsidRPr="00A07F29">
        <w:rPr>
          <w:rFonts w:ascii="Times New Roman" w:eastAsia="Calibri" w:hAnsi="Times New Roman" w:cs="Times New Roman"/>
          <w:iCs/>
          <w:sz w:val="24"/>
          <w:szCs w:val="24"/>
        </w:rPr>
        <w:t xml:space="preserve">, </w:t>
      </w:r>
      <w:r w:rsidR="002E0694" w:rsidRPr="00A07F29">
        <w:rPr>
          <w:rFonts w:ascii="Times New Roman" w:eastAsia="Calibri" w:hAnsi="Times New Roman" w:cs="Times New Roman"/>
          <w:iCs/>
          <w:sz w:val="24"/>
          <w:szCs w:val="24"/>
        </w:rPr>
        <w:t xml:space="preserve">parastā </w:t>
      </w:r>
      <w:proofErr w:type="spellStart"/>
      <w:r w:rsidR="002E0694" w:rsidRPr="00A07F29">
        <w:rPr>
          <w:rFonts w:ascii="Times New Roman" w:eastAsia="Calibri" w:hAnsi="Times New Roman" w:cs="Times New Roman"/>
          <w:iCs/>
          <w:sz w:val="24"/>
          <w:szCs w:val="24"/>
        </w:rPr>
        <w:t>avotsūna</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i/>
          <w:iCs/>
          <w:sz w:val="24"/>
          <w:szCs w:val="24"/>
        </w:rPr>
        <w:t>Fontinalis</w:t>
      </w:r>
      <w:proofErr w:type="spellEnd"/>
      <w:r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antipyretica</w:t>
      </w:r>
      <w:proofErr w:type="spellEnd"/>
      <w:r w:rsidRPr="00A07F29">
        <w:rPr>
          <w:rFonts w:ascii="Times New Roman" w:eastAsia="Calibri" w:hAnsi="Times New Roman" w:cs="Times New Roman"/>
          <w:iCs/>
          <w:sz w:val="24"/>
          <w:szCs w:val="24"/>
        </w:rPr>
        <w:t xml:space="preserve">, </w:t>
      </w:r>
      <w:r w:rsidR="001E34FD" w:rsidRPr="00A07F29">
        <w:rPr>
          <w:rFonts w:ascii="Times New Roman" w:eastAsia="Calibri" w:hAnsi="Times New Roman" w:cs="Times New Roman"/>
          <w:iCs/>
          <w:sz w:val="24"/>
          <w:szCs w:val="24"/>
        </w:rPr>
        <w:t xml:space="preserve">krasta </w:t>
      </w:r>
      <w:proofErr w:type="spellStart"/>
      <w:r w:rsidR="001E34FD" w:rsidRPr="00A07F29">
        <w:rPr>
          <w:rFonts w:ascii="Times New Roman" w:eastAsia="Calibri" w:hAnsi="Times New Roman" w:cs="Times New Roman"/>
          <w:iCs/>
          <w:sz w:val="24"/>
          <w:szCs w:val="24"/>
        </w:rPr>
        <w:t>garknābīte</w:t>
      </w:r>
      <w:proofErr w:type="spellEnd"/>
      <w:r w:rsidR="001E34FD"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Platyhypnidium</w:t>
      </w:r>
      <w:proofErr w:type="spellEnd"/>
      <w:r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riparioides</w:t>
      </w:r>
      <w:proofErr w:type="spellEnd"/>
      <w:r w:rsidR="001E34FD" w:rsidRPr="00A07F29">
        <w:rPr>
          <w:rFonts w:ascii="Times New Roman" w:eastAsia="Calibri" w:hAnsi="Times New Roman" w:cs="Times New Roman"/>
          <w:sz w:val="24"/>
          <w:szCs w:val="24"/>
        </w:rPr>
        <w:t xml:space="preserve">, kā arī </w:t>
      </w:r>
      <w:r w:rsidR="00575EB2">
        <w:rPr>
          <w:rFonts w:ascii="Times New Roman" w:eastAsia="Calibri" w:hAnsi="Times New Roman" w:cs="Times New Roman"/>
          <w:sz w:val="24"/>
          <w:szCs w:val="24"/>
        </w:rPr>
        <w:t>astoņas</w:t>
      </w:r>
      <w:r w:rsidR="001E34FD" w:rsidRPr="00A07F29">
        <w:rPr>
          <w:rFonts w:ascii="Times New Roman" w:eastAsia="Calibri" w:hAnsi="Times New Roman" w:cs="Times New Roman"/>
          <w:sz w:val="24"/>
          <w:szCs w:val="24"/>
        </w:rPr>
        <w:t xml:space="preserve"> </w:t>
      </w:r>
      <w:proofErr w:type="spellStart"/>
      <w:r w:rsidR="001E34FD" w:rsidRPr="00A07F29">
        <w:rPr>
          <w:rFonts w:ascii="Times New Roman" w:eastAsia="Calibri" w:hAnsi="Times New Roman" w:cs="Times New Roman"/>
          <w:sz w:val="24"/>
          <w:szCs w:val="24"/>
        </w:rPr>
        <w:t>vaskulāro</w:t>
      </w:r>
      <w:proofErr w:type="spellEnd"/>
      <w:r w:rsidR="001E34FD" w:rsidRPr="00A07F29">
        <w:rPr>
          <w:rFonts w:ascii="Times New Roman" w:eastAsia="Calibri" w:hAnsi="Times New Roman" w:cs="Times New Roman"/>
          <w:sz w:val="24"/>
          <w:szCs w:val="24"/>
        </w:rPr>
        <w:t xml:space="preserve"> </w:t>
      </w:r>
      <w:r w:rsidRPr="00A07F29">
        <w:rPr>
          <w:rFonts w:ascii="Times New Roman" w:eastAsia="Calibri" w:hAnsi="Times New Roman" w:cs="Times New Roman"/>
          <w:sz w:val="24"/>
          <w:szCs w:val="24"/>
        </w:rPr>
        <w:t>augu sugas</w:t>
      </w:r>
      <w:r w:rsidR="001E34FD" w:rsidRPr="00A07F29">
        <w:rPr>
          <w:rFonts w:ascii="Times New Roman" w:eastAsia="Calibri" w:hAnsi="Times New Roman" w:cs="Times New Roman"/>
          <w:sz w:val="24"/>
          <w:szCs w:val="24"/>
        </w:rPr>
        <w:t>, no kurām biežāk sastopams</w:t>
      </w:r>
      <w:r w:rsidRPr="00A07F29">
        <w:rPr>
          <w:rFonts w:ascii="Times New Roman" w:eastAsia="Calibri" w:hAnsi="Times New Roman" w:cs="Times New Roman"/>
          <w:sz w:val="24"/>
          <w:szCs w:val="24"/>
        </w:rPr>
        <w:t xml:space="preserve"> </w:t>
      </w:r>
      <w:r w:rsidR="001E34FD" w:rsidRPr="00A07F29">
        <w:rPr>
          <w:rFonts w:ascii="Times New Roman" w:eastAsia="Calibri" w:hAnsi="Times New Roman" w:cs="Times New Roman"/>
          <w:sz w:val="24"/>
          <w:szCs w:val="24"/>
        </w:rPr>
        <w:t xml:space="preserve">meža meldrs </w:t>
      </w:r>
      <w:proofErr w:type="spellStart"/>
      <w:r w:rsidR="001E34FD" w:rsidRPr="00A07F29">
        <w:rPr>
          <w:rFonts w:ascii="Times New Roman" w:eastAsia="Calibri" w:hAnsi="Times New Roman" w:cs="Times New Roman"/>
          <w:i/>
          <w:iCs/>
          <w:sz w:val="24"/>
          <w:szCs w:val="24"/>
        </w:rPr>
        <w:t>Scirpus</w:t>
      </w:r>
      <w:proofErr w:type="spellEnd"/>
      <w:r w:rsidR="001E34FD" w:rsidRPr="00A07F29">
        <w:rPr>
          <w:rFonts w:ascii="Times New Roman" w:eastAsia="Calibri" w:hAnsi="Times New Roman" w:cs="Times New Roman"/>
          <w:i/>
          <w:iCs/>
          <w:sz w:val="24"/>
          <w:szCs w:val="24"/>
        </w:rPr>
        <w:t xml:space="preserve"> </w:t>
      </w:r>
      <w:proofErr w:type="spellStart"/>
      <w:r w:rsidR="001E34FD" w:rsidRPr="00A07F29">
        <w:rPr>
          <w:rFonts w:ascii="Times New Roman" w:eastAsia="Calibri" w:hAnsi="Times New Roman" w:cs="Times New Roman"/>
          <w:i/>
          <w:iCs/>
          <w:sz w:val="24"/>
          <w:szCs w:val="24"/>
        </w:rPr>
        <w:t>sylvaticus</w:t>
      </w:r>
      <w:proofErr w:type="spellEnd"/>
      <w:r w:rsidRPr="00A07F29">
        <w:rPr>
          <w:rFonts w:ascii="Times New Roman" w:eastAsia="Calibri" w:hAnsi="Times New Roman" w:cs="Times New Roman"/>
          <w:sz w:val="24"/>
          <w:szCs w:val="24"/>
        </w:rPr>
        <w:t xml:space="preserve">. </w:t>
      </w:r>
      <w:r w:rsidR="001E34FD" w:rsidRPr="00A07F29">
        <w:rPr>
          <w:rFonts w:ascii="Times New Roman" w:eastAsia="Calibri" w:hAnsi="Times New Roman" w:cs="Times New Roman"/>
          <w:sz w:val="24"/>
          <w:szCs w:val="24"/>
        </w:rPr>
        <w:t xml:space="preserve">Upe </w:t>
      </w:r>
      <w:r w:rsidR="001E34FD" w:rsidRPr="00A07F29">
        <w:rPr>
          <w:rFonts w:ascii="Times New Roman" w:eastAsia="Calibri" w:hAnsi="Times New Roman" w:cs="Times New Roman"/>
          <w:bCs/>
          <w:sz w:val="24"/>
          <w:szCs w:val="24"/>
        </w:rPr>
        <w:t>atbilst biotopa 3260</w:t>
      </w:r>
      <w:r w:rsidR="00575EB2">
        <w:rPr>
          <w:rFonts w:ascii="Times New Roman" w:eastAsia="Calibri" w:hAnsi="Times New Roman" w:cs="Times New Roman"/>
          <w:bCs/>
          <w:sz w:val="24"/>
          <w:szCs w:val="24"/>
        </w:rPr>
        <w:t> </w:t>
      </w:r>
      <w:r w:rsidR="001E34FD" w:rsidRPr="00A07F29">
        <w:rPr>
          <w:rFonts w:ascii="Times New Roman" w:eastAsia="Calibri" w:hAnsi="Times New Roman" w:cs="Times New Roman"/>
          <w:bCs/>
          <w:i/>
          <w:sz w:val="24"/>
          <w:szCs w:val="24"/>
        </w:rPr>
        <w:t>Upju straujteces un dabiski upju posmi</w:t>
      </w:r>
      <w:r w:rsidR="001E34FD" w:rsidRPr="00A07F29">
        <w:rPr>
          <w:rFonts w:ascii="Times New Roman" w:eastAsia="Calibri" w:hAnsi="Times New Roman" w:cs="Times New Roman"/>
          <w:bCs/>
          <w:sz w:val="24"/>
          <w:szCs w:val="24"/>
        </w:rPr>
        <w:t xml:space="preserve"> 1. variantam un </w:t>
      </w:r>
      <w:r w:rsidR="001E34FD" w:rsidRPr="00A07F29">
        <w:rPr>
          <w:rFonts w:ascii="Times New Roman" w:eastAsia="Calibri" w:hAnsi="Times New Roman" w:cs="Times New Roman"/>
          <w:sz w:val="24"/>
          <w:szCs w:val="24"/>
        </w:rPr>
        <w:t>tā kvalitāte novērtēta kā</w:t>
      </w:r>
      <w:r w:rsidRPr="00A07F29">
        <w:rPr>
          <w:rFonts w:ascii="Times New Roman" w:eastAsia="Calibri" w:hAnsi="Times New Roman" w:cs="Times New Roman"/>
          <w:sz w:val="24"/>
          <w:szCs w:val="24"/>
        </w:rPr>
        <w:t xml:space="preserve"> laba.</w:t>
      </w:r>
    </w:p>
    <w:p w14:paraId="336EB408" w14:textId="1018CEED" w:rsidR="00A354FB" w:rsidRPr="00A07F29" w:rsidRDefault="00A354FB" w:rsidP="001F2842">
      <w:pPr>
        <w:spacing w:after="120" w:line="240" w:lineRule="auto"/>
        <w:ind w:firstLine="851"/>
        <w:jc w:val="both"/>
        <w:rPr>
          <w:rFonts w:ascii="Times New Roman" w:eastAsia="Calibri" w:hAnsi="Times New Roman" w:cs="Times New Roman"/>
          <w:sz w:val="24"/>
          <w:szCs w:val="24"/>
        </w:rPr>
      </w:pPr>
      <w:proofErr w:type="spellStart"/>
      <w:r w:rsidRPr="00A07F29">
        <w:rPr>
          <w:rFonts w:ascii="Times New Roman" w:eastAsia="Times New Roman" w:hAnsi="Times New Roman" w:cs="Times New Roman"/>
          <w:b/>
          <w:bCs/>
          <w:color w:val="000000"/>
          <w:sz w:val="24"/>
          <w:szCs w:val="24"/>
        </w:rPr>
        <w:t>Marjanova</w:t>
      </w:r>
      <w:proofErr w:type="spellEnd"/>
      <w:r w:rsidRPr="00A07F29">
        <w:rPr>
          <w:rFonts w:ascii="Times New Roman" w:eastAsia="Times New Roman" w:hAnsi="Times New Roman" w:cs="Times New Roman"/>
          <w:b/>
          <w:bCs/>
          <w:color w:val="000000"/>
          <w:sz w:val="24"/>
          <w:szCs w:val="24"/>
        </w:rPr>
        <w:t xml:space="preserve"> </w:t>
      </w:r>
      <w:r w:rsidR="001F2842" w:rsidRPr="00A07F29">
        <w:rPr>
          <w:rFonts w:ascii="Times New Roman" w:eastAsia="Times New Roman" w:hAnsi="Times New Roman" w:cs="Times New Roman"/>
          <w:color w:val="000000"/>
          <w:sz w:val="24"/>
          <w:szCs w:val="24"/>
        </w:rPr>
        <w:t>(</w:t>
      </w:r>
      <w:proofErr w:type="spellStart"/>
      <w:r w:rsidR="001F2842" w:rsidRPr="00A07F29">
        <w:rPr>
          <w:rFonts w:ascii="Times New Roman" w:eastAsia="Times New Roman" w:hAnsi="Times New Roman" w:cs="Times New Roman"/>
          <w:color w:val="000000"/>
          <w:sz w:val="24"/>
          <w:szCs w:val="24"/>
        </w:rPr>
        <w:t>Marjanovka</w:t>
      </w:r>
      <w:proofErr w:type="spellEnd"/>
      <w:r w:rsidR="001F2842" w:rsidRPr="00A07F29">
        <w:rPr>
          <w:rFonts w:ascii="Times New Roman" w:eastAsia="Times New Roman" w:hAnsi="Times New Roman" w:cs="Times New Roman"/>
          <w:color w:val="000000"/>
          <w:sz w:val="24"/>
          <w:szCs w:val="24"/>
        </w:rPr>
        <w:t xml:space="preserve">) </w:t>
      </w:r>
      <w:r w:rsidRPr="00A07F29">
        <w:rPr>
          <w:rFonts w:ascii="Times New Roman" w:eastAsia="Calibri" w:hAnsi="Times New Roman" w:cs="Times New Roman"/>
          <w:sz w:val="24"/>
          <w:szCs w:val="24"/>
        </w:rPr>
        <w:t>ir 12</w:t>
      </w:r>
      <w:r w:rsidR="00575EB2">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km gara upe, ietek Daugavā pie </w:t>
      </w:r>
      <w:proofErr w:type="spellStart"/>
      <w:r w:rsidRPr="00A07F29">
        <w:rPr>
          <w:rFonts w:ascii="Times New Roman" w:eastAsia="Calibri" w:hAnsi="Times New Roman" w:cs="Times New Roman"/>
          <w:sz w:val="24"/>
          <w:szCs w:val="24"/>
        </w:rPr>
        <w:t>Elernes</w:t>
      </w:r>
      <w:proofErr w:type="spellEnd"/>
      <w:r w:rsidRPr="00A07F29">
        <w:rPr>
          <w:rFonts w:ascii="Times New Roman" w:eastAsia="Calibri" w:hAnsi="Times New Roman" w:cs="Times New Roman"/>
          <w:sz w:val="24"/>
          <w:szCs w:val="24"/>
        </w:rPr>
        <w:t xml:space="preserve"> loka. Lielākā upes daļa </w:t>
      </w:r>
      <w:r w:rsidR="001F2842" w:rsidRPr="00A07F29">
        <w:rPr>
          <w:rFonts w:ascii="Times New Roman" w:eastAsia="Calibri" w:hAnsi="Times New Roman" w:cs="Times New Roman"/>
          <w:sz w:val="24"/>
          <w:szCs w:val="24"/>
        </w:rPr>
        <w:t xml:space="preserve">ir </w:t>
      </w:r>
      <w:r w:rsidRPr="00A07F29">
        <w:rPr>
          <w:rFonts w:ascii="Times New Roman" w:eastAsia="Calibri" w:hAnsi="Times New Roman" w:cs="Times New Roman"/>
          <w:sz w:val="24"/>
          <w:szCs w:val="24"/>
        </w:rPr>
        <w:t>pārveidota meliorācijas pasākumu gaitā</w:t>
      </w:r>
      <w:r w:rsidR="001F2842" w:rsidRPr="00A07F29">
        <w:rPr>
          <w:rFonts w:ascii="Times New Roman" w:eastAsia="Calibri" w:hAnsi="Times New Roman" w:cs="Times New Roman"/>
          <w:sz w:val="24"/>
          <w:szCs w:val="24"/>
        </w:rPr>
        <w:t>, savukārt a</w:t>
      </w:r>
      <w:r w:rsidRPr="00A07F29">
        <w:rPr>
          <w:rFonts w:ascii="Times New Roman" w:eastAsia="Calibri" w:hAnsi="Times New Roman" w:cs="Times New Roman"/>
          <w:sz w:val="24"/>
          <w:szCs w:val="24"/>
        </w:rPr>
        <w:t xml:space="preserve">psekotais upes posms </w:t>
      </w:r>
      <w:r w:rsidR="001F2842" w:rsidRPr="00A07F29">
        <w:rPr>
          <w:rFonts w:ascii="Times New Roman" w:eastAsia="Calibri" w:hAnsi="Times New Roman" w:cs="Times New Roman"/>
          <w:sz w:val="24"/>
          <w:szCs w:val="24"/>
        </w:rPr>
        <w:t xml:space="preserve">ir dabisks ar </w:t>
      </w:r>
      <w:r w:rsidRPr="00A07F29">
        <w:rPr>
          <w:rFonts w:ascii="Times New Roman" w:eastAsia="Calibri" w:hAnsi="Times New Roman" w:cs="Times New Roman"/>
          <w:sz w:val="24"/>
          <w:szCs w:val="24"/>
        </w:rPr>
        <w:t>smilts, grants un oļu substrātu</w:t>
      </w:r>
      <w:r w:rsidR="001F2842" w:rsidRPr="00A07F29">
        <w:rPr>
          <w:rFonts w:ascii="Times New Roman" w:eastAsia="Calibri" w:hAnsi="Times New Roman" w:cs="Times New Roman"/>
          <w:sz w:val="24"/>
          <w:szCs w:val="24"/>
        </w:rPr>
        <w:t xml:space="preserve"> gultnē</w:t>
      </w:r>
      <w:r w:rsidRPr="00A07F29">
        <w:rPr>
          <w:rFonts w:ascii="Times New Roman" w:eastAsia="Calibri" w:hAnsi="Times New Roman" w:cs="Times New Roman"/>
          <w:sz w:val="24"/>
          <w:szCs w:val="24"/>
        </w:rPr>
        <w:t xml:space="preserve">. </w:t>
      </w:r>
      <w:r w:rsidR="001F2842" w:rsidRPr="00A07F29">
        <w:rPr>
          <w:rFonts w:ascii="Times New Roman" w:eastAsia="Calibri" w:hAnsi="Times New Roman" w:cs="Times New Roman"/>
          <w:sz w:val="24"/>
          <w:szCs w:val="24"/>
        </w:rPr>
        <w:t>Lai gan a</w:t>
      </w:r>
      <w:r w:rsidRPr="00A07F29">
        <w:rPr>
          <w:rFonts w:ascii="Times New Roman" w:eastAsia="Calibri" w:hAnsi="Times New Roman" w:cs="Times New Roman"/>
          <w:sz w:val="24"/>
          <w:szCs w:val="24"/>
        </w:rPr>
        <w:t xml:space="preserve">bi upes krasti </w:t>
      </w:r>
      <w:r w:rsidR="001F2842" w:rsidRPr="00A07F29">
        <w:rPr>
          <w:rFonts w:ascii="Times New Roman" w:eastAsia="Calibri" w:hAnsi="Times New Roman" w:cs="Times New Roman"/>
          <w:sz w:val="24"/>
          <w:szCs w:val="24"/>
        </w:rPr>
        <w:t xml:space="preserve">ir </w:t>
      </w:r>
      <w:r w:rsidRPr="00A07F29">
        <w:rPr>
          <w:rFonts w:ascii="Times New Roman" w:eastAsia="Calibri" w:hAnsi="Times New Roman" w:cs="Times New Roman"/>
          <w:sz w:val="24"/>
          <w:szCs w:val="24"/>
        </w:rPr>
        <w:t>apauguši ar mežu</w:t>
      </w:r>
      <w:r w:rsidR="001F2842" w:rsidRPr="00A07F29">
        <w:rPr>
          <w:rFonts w:ascii="Times New Roman" w:eastAsia="Calibri" w:hAnsi="Times New Roman" w:cs="Times New Roman"/>
          <w:sz w:val="24"/>
          <w:szCs w:val="24"/>
        </w:rPr>
        <w:t>, upē ir o</w:t>
      </w:r>
      <w:r w:rsidRPr="00A07F29">
        <w:rPr>
          <w:rFonts w:ascii="Times New Roman" w:eastAsia="Calibri" w:hAnsi="Times New Roman" w:cs="Times New Roman"/>
          <w:sz w:val="24"/>
          <w:szCs w:val="24"/>
        </w:rPr>
        <w:t xml:space="preserve">ptimāls gaismas režīms. Upes straumes ātrums visā apsekotajā posmā </w:t>
      </w:r>
      <w:r w:rsidR="001F2842" w:rsidRPr="00A07F29">
        <w:rPr>
          <w:rFonts w:ascii="Times New Roman" w:eastAsia="Calibri" w:hAnsi="Times New Roman" w:cs="Times New Roman"/>
          <w:sz w:val="24"/>
          <w:szCs w:val="24"/>
        </w:rPr>
        <w:t>ir mazāks kā</w:t>
      </w:r>
      <w:r w:rsidRPr="00A07F29">
        <w:rPr>
          <w:rFonts w:ascii="Times New Roman" w:eastAsia="Calibri" w:hAnsi="Times New Roman" w:cs="Times New Roman"/>
          <w:sz w:val="24"/>
          <w:szCs w:val="24"/>
        </w:rPr>
        <w:t xml:space="preserve"> 0,2</w:t>
      </w:r>
      <w:r w:rsidR="008517E1">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m/s. </w:t>
      </w:r>
      <w:r w:rsidR="001F2842" w:rsidRPr="00A07F29">
        <w:rPr>
          <w:rFonts w:ascii="Times New Roman" w:eastAsia="Calibri" w:hAnsi="Times New Roman" w:cs="Times New Roman"/>
          <w:sz w:val="24"/>
          <w:szCs w:val="24"/>
        </w:rPr>
        <w:t>Upē a</w:t>
      </w:r>
      <w:r w:rsidRPr="00A07F29">
        <w:rPr>
          <w:rFonts w:ascii="Times New Roman" w:eastAsia="Calibri" w:hAnsi="Times New Roman" w:cs="Times New Roman"/>
          <w:sz w:val="24"/>
          <w:szCs w:val="24"/>
        </w:rPr>
        <w:t xml:space="preserve">ugājs nav attīstīts, bet no bezmugurkaulniekiem </w:t>
      </w:r>
      <w:r w:rsidR="001F2842" w:rsidRPr="00A07F29">
        <w:rPr>
          <w:rFonts w:ascii="Times New Roman" w:eastAsia="Calibri" w:hAnsi="Times New Roman" w:cs="Times New Roman"/>
          <w:sz w:val="24"/>
          <w:szCs w:val="24"/>
        </w:rPr>
        <w:t xml:space="preserve">konstatētas </w:t>
      </w:r>
      <w:r w:rsidRPr="00A07F29">
        <w:rPr>
          <w:rFonts w:ascii="Times New Roman" w:eastAsia="Calibri" w:hAnsi="Times New Roman" w:cs="Times New Roman"/>
          <w:sz w:val="24"/>
          <w:szCs w:val="24"/>
        </w:rPr>
        <w:t xml:space="preserve">atsevišķas maksteņu </w:t>
      </w:r>
      <w:r w:rsidR="008517E1">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i/>
          <w:iCs/>
          <w:sz w:val="24"/>
          <w:szCs w:val="24"/>
        </w:rPr>
        <w:t>Tri</w:t>
      </w:r>
      <w:r w:rsidR="004E50A2">
        <w:rPr>
          <w:rFonts w:ascii="Times New Roman" w:eastAsia="Calibri" w:hAnsi="Times New Roman" w:cs="Times New Roman"/>
          <w:i/>
          <w:iCs/>
          <w:sz w:val="24"/>
          <w:szCs w:val="24"/>
        </w:rPr>
        <w:t>c</w:t>
      </w:r>
      <w:r w:rsidRPr="00A07F29">
        <w:rPr>
          <w:rFonts w:ascii="Times New Roman" w:eastAsia="Calibri" w:hAnsi="Times New Roman" w:cs="Times New Roman"/>
          <w:i/>
          <w:iCs/>
          <w:sz w:val="24"/>
          <w:szCs w:val="24"/>
        </w:rPr>
        <w:t>hoptera</w:t>
      </w:r>
      <w:proofErr w:type="spellEnd"/>
      <w:r w:rsidRPr="00A07F29">
        <w:rPr>
          <w:rFonts w:ascii="Times New Roman" w:eastAsia="Calibri" w:hAnsi="Times New Roman" w:cs="Times New Roman"/>
          <w:sz w:val="24"/>
          <w:szCs w:val="24"/>
        </w:rPr>
        <w:t xml:space="preserve"> sugas. </w:t>
      </w:r>
      <w:r w:rsidR="001F2842" w:rsidRPr="00A07F29">
        <w:rPr>
          <w:rFonts w:ascii="Times New Roman" w:eastAsia="Calibri" w:hAnsi="Times New Roman" w:cs="Times New Roman"/>
          <w:sz w:val="24"/>
          <w:szCs w:val="24"/>
        </w:rPr>
        <w:t xml:space="preserve">Upe </w:t>
      </w:r>
      <w:r w:rsidR="001F2842" w:rsidRPr="00A07F29">
        <w:rPr>
          <w:rFonts w:ascii="Times New Roman" w:eastAsia="Calibri" w:hAnsi="Times New Roman" w:cs="Times New Roman"/>
          <w:bCs/>
          <w:sz w:val="24"/>
          <w:szCs w:val="24"/>
        </w:rPr>
        <w:t>atbilst biotopa 3260</w:t>
      </w:r>
      <w:r w:rsidR="006D0D63">
        <w:rPr>
          <w:rFonts w:ascii="Times New Roman" w:eastAsia="Calibri" w:hAnsi="Times New Roman" w:cs="Times New Roman"/>
          <w:bCs/>
          <w:sz w:val="24"/>
          <w:szCs w:val="24"/>
        </w:rPr>
        <w:t> </w:t>
      </w:r>
      <w:r w:rsidR="001F2842" w:rsidRPr="00A07F29">
        <w:rPr>
          <w:rFonts w:ascii="Times New Roman" w:eastAsia="Calibri" w:hAnsi="Times New Roman" w:cs="Times New Roman"/>
          <w:bCs/>
          <w:i/>
          <w:sz w:val="24"/>
          <w:szCs w:val="24"/>
        </w:rPr>
        <w:t>Upju straujteces un dabiski upju posmi</w:t>
      </w:r>
      <w:r w:rsidR="001F2842" w:rsidRPr="00A07F29">
        <w:rPr>
          <w:rFonts w:ascii="Times New Roman" w:eastAsia="Calibri" w:hAnsi="Times New Roman" w:cs="Times New Roman"/>
          <w:bCs/>
          <w:sz w:val="24"/>
          <w:szCs w:val="24"/>
        </w:rPr>
        <w:t xml:space="preserve"> 2. variantam (lēni tekošās upes) un </w:t>
      </w:r>
      <w:r w:rsidR="001F2842" w:rsidRPr="00A07F29">
        <w:rPr>
          <w:rFonts w:ascii="Times New Roman" w:eastAsia="Calibri" w:hAnsi="Times New Roman" w:cs="Times New Roman"/>
          <w:sz w:val="24"/>
          <w:szCs w:val="24"/>
        </w:rPr>
        <w:t>tā kvalitāte novērtēta kā</w:t>
      </w:r>
      <w:r w:rsidRPr="00A07F29">
        <w:rPr>
          <w:rFonts w:ascii="Times New Roman" w:eastAsia="Calibri" w:hAnsi="Times New Roman" w:cs="Times New Roman"/>
          <w:sz w:val="24"/>
          <w:szCs w:val="24"/>
        </w:rPr>
        <w:t xml:space="preserve"> laba.</w:t>
      </w:r>
    </w:p>
    <w:p w14:paraId="5E270332" w14:textId="1DB5EA85" w:rsidR="006827EA" w:rsidRPr="00A07F29" w:rsidRDefault="006827EA" w:rsidP="006827EA">
      <w:pPr>
        <w:spacing w:after="0" w:line="240" w:lineRule="auto"/>
        <w:ind w:firstLine="851"/>
        <w:jc w:val="both"/>
        <w:rPr>
          <w:rFonts w:ascii="Times New Roman" w:eastAsia="Calibri" w:hAnsi="Times New Roman" w:cs="Times New Roman"/>
          <w:sz w:val="24"/>
          <w:szCs w:val="24"/>
        </w:rPr>
      </w:pPr>
    </w:p>
    <w:p w14:paraId="71A83769" w14:textId="3D18EFD2" w:rsidR="002B1603" w:rsidRPr="00A07F29" w:rsidRDefault="002B1603" w:rsidP="00C270C0">
      <w:pPr>
        <w:pStyle w:val="Heading3"/>
        <w:spacing w:before="120" w:after="120" w:line="240" w:lineRule="auto"/>
        <w:jc w:val="center"/>
        <w:rPr>
          <w:b w:val="0"/>
          <w:lang w:eastAsia="ja-JP"/>
        </w:rPr>
      </w:pPr>
      <w:bookmarkStart w:id="61" w:name="_Toc183434003"/>
      <w:r w:rsidRPr="00A07F29">
        <w:rPr>
          <w:lang w:eastAsia="ja-JP"/>
        </w:rPr>
        <w:t>4.3.3. Zālāju biotopi</w:t>
      </w:r>
      <w:bookmarkEnd w:id="61"/>
    </w:p>
    <w:p w14:paraId="15AD2910" w14:textId="57A2DBF4" w:rsidR="009E2391" w:rsidRPr="00A07F29" w:rsidRDefault="002B1603" w:rsidP="001E7CB8">
      <w:pPr>
        <w:spacing w:after="120" w:line="240" w:lineRule="auto"/>
        <w:ind w:firstLine="851"/>
        <w:jc w:val="both"/>
        <w:rPr>
          <w:rFonts w:ascii="Times New Roman" w:eastAsia="Times New Roman" w:hAnsi="Times New Roman" w:cs="Times New Roman"/>
          <w:color w:val="000000"/>
          <w:sz w:val="24"/>
          <w:szCs w:val="24"/>
          <w:lang w:eastAsia="lv-LV"/>
        </w:rPr>
      </w:pPr>
      <w:r w:rsidRPr="00A07F29">
        <w:rPr>
          <w:rFonts w:ascii="Times New Roman" w:eastAsia="Times New Roman" w:hAnsi="Times New Roman" w:cs="Times New Roman"/>
          <w:color w:val="000000"/>
          <w:sz w:val="24"/>
          <w:szCs w:val="24"/>
          <w:lang w:eastAsia="lv-LV"/>
        </w:rPr>
        <w:t>Nozīmīga dabas vērtība AAA “Augšdaugava” teritorijā ir aizsargājamie zālāju biotopi, kas sastopami galvenokārt uz terasēm un Daugavas ielejas stāvajās nogāzēs, k</w:t>
      </w:r>
      <w:r w:rsidR="00532177">
        <w:rPr>
          <w:rFonts w:ascii="Times New Roman" w:eastAsia="Times New Roman" w:hAnsi="Times New Roman" w:cs="Times New Roman"/>
          <w:color w:val="000000"/>
          <w:sz w:val="24"/>
          <w:szCs w:val="24"/>
          <w:lang w:eastAsia="lv-LV"/>
        </w:rPr>
        <w:t>ā</w:t>
      </w:r>
      <w:r w:rsidRPr="00A07F29">
        <w:rPr>
          <w:rFonts w:ascii="Times New Roman" w:eastAsia="Times New Roman" w:hAnsi="Times New Roman" w:cs="Times New Roman"/>
          <w:color w:val="000000"/>
          <w:sz w:val="24"/>
          <w:szCs w:val="24"/>
          <w:lang w:eastAsia="lv-LV"/>
        </w:rPr>
        <w:t xml:space="preserve"> arī veido palieņu zālāju kompleksus gar Daugavu un tās pietekām. </w:t>
      </w:r>
      <w:r w:rsidRPr="00A07F29">
        <w:rPr>
          <w:rFonts w:ascii="Times New Roman" w:eastAsia="Calibri" w:hAnsi="Times New Roman" w:cs="Times New Roman"/>
          <w:sz w:val="24"/>
          <w:szCs w:val="24"/>
          <w:lang w:eastAsia="lv-LV"/>
        </w:rPr>
        <w:t xml:space="preserve">Apkopojot </w:t>
      </w:r>
      <w:r w:rsidRPr="00A07F29">
        <w:rPr>
          <w:rFonts w:ascii="Times New Roman" w:eastAsia="Calibri" w:hAnsi="Times New Roman" w:cs="Times New Roman"/>
          <w:i/>
          <w:iCs/>
          <w:sz w:val="24"/>
          <w:szCs w:val="24"/>
          <w:lang w:eastAsia="lv-LV"/>
        </w:rPr>
        <w:t>Dabas skaitīšanas</w:t>
      </w:r>
      <w:r w:rsidRPr="00A07F29">
        <w:rPr>
          <w:rFonts w:ascii="Times New Roman" w:eastAsia="Calibri" w:hAnsi="Times New Roman" w:cs="Times New Roman"/>
          <w:sz w:val="24"/>
          <w:szCs w:val="24"/>
          <w:lang w:eastAsia="lv-LV"/>
        </w:rPr>
        <w:t xml:space="preserve"> projekta datus, kā arī pētījumus, kas veikti </w:t>
      </w:r>
      <w:r w:rsidR="00BF0E06" w:rsidRPr="00A07F29">
        <w:rPr>
          <w:rFonts w:ascii="Times New Roman" w:eastAsia="Calibri" w:hAnsi="Times New Roman" w:cs="Times New Roman"/>
          <w:sz w:val="24"/>
          <w:szCs w:val="24"/>
          <w:lang w:eastAsia="lv-LV"/>
        </w:rPr>
        <w:t>DA plāna</w:t>
      </w:r>
      <w:r w:rsidRPr="00A07F29">
        <w:rPr>
          <w:rFonts w:ascii="Times New Roman" w:eastAsia="Calibri" w:hAnsi="Times New Roman" w:cs="Times New Roman"/>
          <w:sz w:val="24"/>
          <w:szCs w:val="24"/>
          <w:lang w:eastAsia="lv-LV"/>
        </w:rPr>
        <w:t xml:space="preserve"> izstrādes laikā, konstatēti </w:t>
      </w:r>
      <w:r w:rsidR="004B756E">
        <w:rPr>
          <w:rFonts w:ascii="Times New Roman" w:eastAsia="Calibri" w:hAnsi="Times New Roman" w:cs="Times New Roman"/>
          <w:sz w:val="24"/>
          <w:szCs w:val="24"/>
          <w:lang w:eastAsia="lv-LV"/>
        </w:rPr>
        <w:t>astoņi</w:t>
      </w:r>
      <w:r w:rsidR="009C69F5" w:rsidRPr="00A07F29">
        <w:rPr>
          <w:rFonts w:ascii="Times New Roman" w:eastAsia="Calibri" w:hAnsi="Times New Roman" w:cs="Times New Roman"/>
          <w:sz w:val="24"/>
          <w:szCs w:val="24"/>
          <w:lang w:eastAsia="lv-LV"/>
        </w:rPr>
        <w:t xml:space="preserve"> </w:t>
      </w:r>
      <w:r w:rsidRPr="00A07F29">
        <w:rPr>
          <w:rFonts w:ascii="Times New Roman" w:eastAsia="Calibri" w:hAnsi="Times New Roman" w:cs="Times New Roman"/>
          <w:sz w:val="24"/>
          <w:szCs w:val="24"/>
          <w:lang w:eastAsia="lv-LV"/>
        </w:rPr>
        <w:t>ES nozīmes zālāju biotopi</w:t>
      </w:r>
      <w:r w:rsidR="002300A8" w:rsidRPr="00A07F29">
        <w:rPr>
          <w:rFonts w:ascii="Times New Roman" w:eastAsia="Calibri" w:hAnsi="Times New Roman" w:cs="Times New Roman"/>
          <w:sz w:val="24"/>
          <w:szCs w:val="24"/>
          <w:lang w:eastAsia="lv-LV"/>
        </w:rPr>
        <w:t xml:space="preserve">, kas vienlaikus ir arī Latvijas </w:t>
      </w:r>
      <w:r w:rsidR="00FB3F4C">
        <w:rPr>
          <w:rFonts w:ascii="Times New Roman" w:eastAsia="Calibri" w:hAnsi="Times New Roman" w:cs="Times New Roman"/>
          <w:sz w:val="24"/>
          <w:szCs w:val="24"/>
          <w:lang w:eastAsia="lv-LV"/>
        </w:rPr>
        <w:t>īpaši aizsargājami</w:t>
      </w:r>
      <w:r w:rsidR="002300A8" w:rsidRPr="00A07F29">
        <w:rPr>
          <w:rFonts w:ascii="Times New Roman" w:eastAsia="Calibri" w:hAnsi="Times New Roman" w:cs="Times New Roman"/>
          <w:sz w:val="24"/>
          <w:szCs w:val="24"/>
          <w:lang w:eastAsia="lv-LV"/>
        </w:rPr>
        <w:t xml:space="preserve"> biotopi</w:t>
      </w:r>
      <w:r w:rsidRPr="00A07F29">
        <w:rPr>
          <w:rFonts w:ascii="Times New Roman" w:eastAsia="Calibri" w:hAnsi="Times New Roman" w:cs="Times New Roman"/>
          <w:sz w:val="24"/>
          <w:szCs w:val="24"/>
          <w:lang w:eastAsia="lv-LV"/>
        </w:rPr>
        <w:t>:</w:t>
      </w:r>
      <w:r w:rsidR="009E2391" w:rsidRPr="00A07F29">
        <w:rPr>
          <w:rFonts w:ascii="Times New Roman" w:eastAsia="Calibri" w:hAnsi="Times New Roman" w:cs="Times New Roman"/>
          <w:sz w:val="24"/>
          <w:szCs w:val="24"/>
          <w:lang w:eastAsia="lv-LV"/>
        </w:rPr>
        <w:t xml:space="preserve"> </w:t>
      </w:r>
      <w:r w:rsidRPr="00A07F29">
        <w:rPr>
          <w:rFonts w:ascii="Times New Roman" w:eastAsia="Times New Roman" w:hAnsi="Times New Roman" w:cs="Times New Roman"/>
          <w:color w:val="000000"/>
          <w:sz w:val="24"/>
          <w:szCs w:val="24"/>
          <w:lang w:eastAsia="lv-LV"/>
        </w:rPr>
        <w:t>6120*</w:t>
      </w:r>
      <w:r w:rsidR="00F250F7">
        <w:rPr>
          <w:rFonts w:ascii="Times New Roman" w:eastAsia="Times New Roman" w:hAnsi="Times New Roman" w:cs="Times New Roman"/>
          <w:color w:val="000000"/>
          <w:sz w:val="24"/>
          <w:szCs w:val="24"/>
          <w:lang w:eastAsia="lv-LV"/>
        </w:rPr>
        <w:t> </w:t>
      </w:r>
      <w:r w:rsidRPr="00A07F29">
        <w:rPr>
          <w:rFonts w:ascii="Times New Roman" w:eastAsia="Times New Roman" w:hAnsi="Times New Roman" w:cs="Times New Roman"/>
          <w:i/>
          <w:iCs/>
          <w:color w:val="000000"/>
          <w:sz w:val="24"/>
          <w:szCs w:val="24"/>
          <w:lang w:eastAsia="lv-LV"/>
        </w:rPr>
        <w:t xml:space="preserve">Smiltāju </w:t>
      </w:r>
      <w:r w:rsidR="00ED11EF" w:rsidRPr="00A07F29">
        <w:rPr>
          <w:rFonts w:ascii="Times New Roman" w:eastAsia="Times New Roman" w:hAnsi="Times New Roman" w:cs="Times New Roman"/>
          <w:i/>
          <w:iCs/>
          <w:color w:val="000000"/>
          <w:sz w:val="24"/>
          <w:szCs w:val="24"/>
          <w:lang w:eastAsia="lv-LV"/>
        </w:rPr>
        <w:t>zālāji</w:t>
      </w:r>
      <w:r w:rsidRPr="00A07F29">
        <w:rPr>
          <w:rFonts w:ascii="Times New Roman" w:eastAsia="Times New Roman" w:hAnsi="Times New Roman" w:cs="Times New Roman"/>
          <w:i/>
          <w:iCs/>
          <w:color w:val="000000"/>
          <w:sz w:val="24"/>
          <w:szCs w:val="24"/>
          <w:lang w:eastAsia="lv-LV"/>
        </w:rPr>
        <w:t>,</w:t>
      </w:r>
      <w:r w:rsidRPr="00A07F29">
        <w:rPr>
          <w:rFonts w:ascii="Times New Roman" w:eastAsia="Times New Roman" w:hAnsi="Times New Roman" w:cs="Times New Roman"/>
          <w:color w:val="000000"/>
          <w:sz w:val="24"/>
          <w:szCs w:val="24"/>
          <w:lang w:eastAsia="lv-LV"/>
        </w:rPr>
        <w:t xml:space="preserve"> 6210</w:t>
      </w:r>
      <w:r w:rsidR="00F250F7">
        <w:rPr>
          <w:rFonts w:ascii="Times New Roman" w:eastAsia="Times New Roman" w:hAnsi="Times New Roman" w:cs="Times New Roman"/>
          <w:color w:val="000000"/>
          <w:sz w:val="24"/>
          <w:szCs w:val="24"/>
          <w:lang w:eastAsia="lv-LV"/>
        </w:rPr>
        <w:t> </w:t>
      </w:r>
      <w:r w:rsidRPr="00A07F29">
        <w:rPr>
          <w:rFonts w:ascii="Times New Roman" w:eastAsia="Times New Roman" w:hAnsi="Times New Roman" w:cs="Times New Roman"/>
          <w:i/>
          <w:iCs/>
          <w:color w:val="000000"/>
          <w:sz w:val="24"/>
          <w:szCs w:val="24"/>
          <w:lang w:eastAsia="lv-LV"/>
        </w:rPr>
        <w:t xml:space="preserve">Sausi zālāji kaļķainās augsnēs, </w:t>
      </w:r>
      <w:r w:rsidRPr="00A07F29">
        <w:rPr>
          <w:rFonts w:ascii="Times New Roman" w:eastAsia="Times New Roman" w:hAnsi="Times New Roman" w:cs="Times New Roman"/>
          <w:color w:val="000000"/>
          <w:sz w:val="24"/>
          <w:szCs w:val="24"/>
          <w:lang w:eastAsia="lv-LV"/>
        </w:rPr>
        <w:t>6230*</w:t>
      </w:r>
      <w:r w:rsidR="00F250F7">
        <w:rPr>
          <w:rFonts w:ascii="Times New Roman" w:eastAsia="Times New Roman" w:hAnsi="Times New Roman" w:cs="Times New Roman"/>
          <w:color w:val="000000"/>
          <w:sz w:val="24"/>
          <w:szCs w:val="24"/>
          <w:lang w:eastAsia="lv-LV"/>
        </w:rPr>
        <w:t> </w:t>
      </w:r>
      <w:r w:rsidRPr="00A07F29">
        <w:rPr>
          <w:rFonts w:ascii="Times New Roman" w:eastAsia="Times New Roman" w:hAnsi="Times New Roman" w:cs="Times New Roman"/>
          <w:i/>
          <w:iCs/>
          <w:color w:val="000000"/>
          <w:sz w:val="24"/>
          <w:szCs w:val="24"/>
          <w:lang w:eastAsia="lv-LV"/>
        </w:rPr>
        <w:t>Vilkakūlas zālāji</w:t>
      </w:r>
      <w:r w:rsidRPr="00A07F29">
        <w:rPr>
          <w:rFonts w:ascii="Times New Roman" w:eastAsia="Times New Roman" w:hAnsi="Times New Roman" w:cs="Times New Roman"/>
          <w:color w:val="000000"/>
          <w:sz w:val="24"/>
          <w:szCs w:val="24"/>
          <w:lang w:eastAsia="lv-LV"/>
        </w:rPr>
        <w:t>, 6270*</w:t>
      </w:r>
      <w:r w:rsidR="00F250F7">
        <w:rPr>
          <w:rFonts w:ascii="Times New Roman" w:eastAsia="Times New Roman" w:hAnsi="Times New Roman" w:cs="Times New Roman"/>
          <w:color w:val="000000"/>
          <w:sz w:val="24"/>
          <w:szCs w:val="24"/>
          <w:lang w:eastAsia="lv-LV"/>
        </w:rPr>
        <w:t> </w:t>
      </w:r>
      <w:r w:rsidRPr="00A07F29">
        <w:rPr>
          <w:rFonts w:ascii="Times New Roman" w:eastAsia="Times New Roman" w:hAnsi="Times New Roman" w:cs="Times New Roman"/>
          <w:i/>
          <w:iCs/>
          <w:color w:val="000000"/>
          <w:sz w:val="24"/>
          <w:szCs w:val="24"/>
          <w:lang w:eastAsia="lv-LV"/>
        </w:rPr>
        <w:t>Sugām bagātas ganības un ganītas pļava</w:t>
      </w:r>
      <w:r w:rsidR="00252126" w:rsidRPr="00A07F29">
        <w:rPr>
          <w:rFonts w:ascii="Times New Roman" w:eastAsia="Times New Roman" w:hAnsi="Times New Roman" w:cs="Times New Roman"/>
          <w:i/>
          <w:iCs/>
          <w:color w:val="000000"/>
          <w:sz w:val="24"/>
          <w:szCs w:val="24"/>
          <w:lang w:eastAsia="lv-LV"/>
        </w:rPr>
        <w:t>s</w:t>
      </w:r>
      <w:r w:rsidRPr="00A07F29">
        <w:rPr>
          <w:rFonts w:ascii="Times New Roman" w:eastAsia="Times New Roman" w:hAnsi="Times New Roman" w:cs="Times New Roman"/>
          <w:i/>
          <w:iCs/>
          <w:color w:val="000000"/>
          <w:sz w:val="24"/>
          <w:szCs w:val="24"/>
          <w:lang w:eastAsia="lv-LV"/>
        </w:rPr>
        <w:t xml:space="preserve">, </w:t>
      </w:r>
      <w:r w:rsidRPr="00A07F29">
        <w:rPr>
          <w:rFonts w:ascii="Times New Roman" w:eastAsia="Times New Roman" w:hAnsi="Times New Roman" w:cs="Times New Roman"/>
          <w:color w:val="000000"/>
          <w:sz w:val="24"/>
          <w:szCs w:val="24"/>
          <w:lang w:eastAsia="lv-LV"/>
        </w:rPr>
        <w:lastRenderedPageBreak/>
        <w:t>6410</w:t>
      </w:r>
      <w:r w:rsidR="00F250F7">
        <w:rPr>
          <w:rFonts w:ascii="Times New Roman" w:eastAsia="Times New Roman" w:hAnsi="Times New Roman" w:cs="Times New Roman"/>
          <w:color w:val="000000"/>
          <w:sz w:val="24"/>
          <w:szCs w:val="24"/>
          <w:lang w:eastAsia="lv-LV"/>
        </w:rPr>
        <w:t> </w:t>
      </w:r>
      <w:r w:rsidRPr="00A07F29">
        <w:rPr>
          <w:rFonts w:ascii="Times New Roman" w:eastAsia="Times New Roman" w:hAnsi="Times New Roman" w:cs="Times New Roman"/>
          <w:i/>
          <w:iCs/>
          <w:color w:val="000000"/>
          <w:sz w:val="24"/>
          <w:szCs w:val="24"/>
          <w:lang w:eastAsia="lv-LV"/>
        </w:rPr>
        <w:t xml:space="preserve">Mitri zālāji periodiski izžūstošās augsnēs, </w:t>
      </w:r>
      <w:r w:rsidRPr="00A07F29">
        <w:rPr>
          <w:rFonts w:ascii="Times New Roman" w:eastAsia="Times New Roman" w:hAnsi="Times New Roman" w:cs="Times New Roman"/>
          <w:color w:val="000000"/>
          <w:sz w:val="24"/>
          <w:szCs w:val="24"/>
          <w:lang w:eastAsia="lv-LV"/>
        </w:rPr>
        <w:t>6430</w:t>
      </w:r>
      <w:r w:rsidR="00F250F7">
        <w:rPr>
          <w:rFonts w:ascii="Times New Roman" w:eastAsia="Times New Roman" w:hAnsi="Times New Roman" w:cs="Times New Roman"/>
          <w:color w:val="000000"/>
          <w:sz w:val="24"/>
          <w:szCs w:val="24"/>
          <w:lang w:eastAsia="lv-LV"/>
        </w:rPr>
        <w:t> </w:t>
      </w:r>
      <w:proofErr w:type="spellStart"/>
      <w:r w:rsidRPr="00A07F29">
        <w:rPr>
          <w:rFonts w:ascii="Times New Roman" w:eastAsia="Times New Roman" w:hAnsi="Times New Roman" w:cs="Times New Roman"/>
          <w:i/>
          <w:iCs/>
          <w:color w:val="000000"/>
          <w:sz w:val="24"/>
          <w:szCs w:val="24"/>
          <w:lang w:eastAsia="lv-LV"/>
        </w:rPr>
        <w:t>Eitrofas</w:t>
      </w:r>
      <w:proofErr w:type="spellEnd"/>
      <w:r w:rsidRPr="00A07F29">
        <w:rPr>
          <w:rFonts w:ascii="Times New Roman" w:eastAsia="Times New Roman" w:hAnsi="Times New Roman" w:cs="Times New Roman"/>
          <w:i/>
          <w:iCs/>
          <w:color w:val="000000"/>
          <w:sz w:val="24"/>
          <w:szCs w:val="24"/>
          <w:lang w:eastAsia="lv-LV"/>
        </w:rPr>
        <w:t xml:space="preserve"> augsto lakstaugu audzes, </w:t>
      </w:r>
      <w:r w:rsidRPr="00A07F29">
        <w:rPr>
          <w:rFonts w:ascii="Times New Roman" w:eastAsia="Times New Roman" w:hAnsi="Times New Roman" w:cs="Times New Roman"/>
          <w:color w:val="000000"/>
          <w:sz w:val="24"/>
          <w:szCs w:val="24"/>
          <w:lang w:eastAsia="lv-LV"/>
        </w:rPr>
        <w:t>6450</w:t>
      </w:r>
      <w:r w:rsidR="00F250F7">
        <w:rPr>
          <w:rFonts w:ascii="Times New Roman" w:eastAsia="Times New Roman" w:hAnsi="Times New Roman" w:cs="Times New Roman"/>
          <w:color w:val="000000"/>
          <w:sz w:val="24"/>
          <w:szCs w:val="24"/>
          <w:lang w:eastAsia="lv-LV"/>
        </w:rPr>
        <w:t> </w:t>
      </w:r>
      <w:r w:rsidRPr="00A07F29">
        <w:rPr>
          <w:rFonts w:ascii="Times New Roman" w:eastAsia="Times New Roman" w:hAnsi="Times New Roman" w:cs="Times New Roman"/>
          <w:i/>
          <w:iCs/>
          <w:color w:val="000000"/>
          <w:sz w:val="24"/>
          <w:szCs w:val="24"/>
          <w:lang w:eastAsia="lv-LV"/>
        </w:rPr>
        <w:t xml:space="preserve">Palieņu zālāji, </w:t>
      </w:r>
      <w:r w:rsidRPr="00A07F29">
        <w:rPr>
          <w:rFonts w:ascii="Times New Roman" w:eastAsia="Times New Roman" w:hAnsi="Times New Roman" w:cs="Times New Roman"/>
          <w:color w:val="000000"/>
          <w:sz w:val="24"/>
          <w:szCs w:val="24"/>
          <w:lang w:eastAsia="lv-LV"/>
        </w:rPr>
        <w:t>6510</w:t>
      </w:r>
      <w:r w:rsidR="00F250F7">
        <w:rPr>
          <w:rFonts w:ascii="Times New Roman" w:eastAsia="Times New Roman" w:hAnsi="Times New Roman" w:cs="Times New Roman"/>
          <w:color w:val="000000"/>
          <w:sz w:val="24"/>
          <w:szCs w:val="24"/>
          <w:lang w:eastAsia="lv-LV"/>
        </w:rPr>
        <w:t> </w:t>
      </w:r>
      <w:r w:rsidRPr="00A07F29">
        <w:rPr>
          <w:rFonts w:ascii="Times New Roman" w:eastAsia="Times New Roman" w:hAnsi="Times New Roman" w:cs="Times New Roman"/>
          <w:i/>
          <w:iCs/>
          <w:color w:val="000000"/>
          <w:sz w:val="24"/>
          <w:szCs w:val="24"/>
          <w:lang w:eastAsia="lv-LV"/>
        </w:rPr>
        <w:t>Mēreni mitras pļavas</w:t>
      </w:r>
      <w:r w:rsidRPr="00A07F29">
        <w:rPr>
          <w:rFonts w:ascii="Times New Roman" w:eastAsia="Times New Roman" w:hAnsi="Times New Roman" w:cs="Times New Roman"/>
          <w:color w:val="000000"/>
          <w:sz w:val="24"/>
          <w:szCs w:val="24"/>
          <w:lang w:eastAsia="lv-LV"/>
        </w:rPr>
        <w:t xml:space="preserve"> </w:t>
      </w:r>
      <w:r w:rsidR="009E2391" w:rsidRPr="00A07F29">
        <w:rPr>
          <w:rFonts w:ascii="Times New Roman" w:eastAsia="Calibri" w:hAnsi="Times New Roman" w:cs="Times New Roman"/>
          <w:sz w:val="24"/>
          <w:szCs w:val="24"/>
          <w:lang w:eastAsia="lv-LV"/>
        </w:rPr>
        <w:t>(karti skat</w:t>
      </w:r>
      <w:r w:rsidR="00D8377F">
        <w:rPr>
          <w:rFonts w:ascii="Times New Roman" w:eastAsia="Calibri" w:hAnsi="Times New Roman" w:cs="Times New Roman"/>
          <w:sz w:val="24"/>
          <w:szCs w:val="24"/>
          <w:lang w:eastAsia="lv-LV"/>
        </w:rPr>
        <w:t>.</w:t>
      </w:r>
      <w:r w:rsidR="009E2391" w:rsidRPr="00A07F29">
        <w:rPr>
          <w:rFonts w:ascii="Times New Roman" w:eastAsia="Calibri" w:hAnsi="Times New Roman" w:cs="Times New Roman"/>
          <w:sz w:val="24"/>
          <w:szCs w:val="24"/>
          <w:lang w:eastAsia="lv-LV"/>
        </w:rPr>
        <w:t xml:space="preserve"> 4.4.</w:t>
      </w:r>
      <w:r w:rsidR="00214442">
        <w:rPr>
          <w:rFonts w:ascii="Times New Roman" w:eastAsia="Calibri" w:hAnsi="Times New Roman" w:cs="Times New Roman"/>
          <w:sz w:val="24"/>
          <w:szCs w:val="24"/>
          <w:lang w:eastAsia="lv-LV"/>
        </w:rPr>
        <w:t> </w:t>
      </w:r>
      <w:r w:rsidR="009E2391" w:rsidRPr="00A07F29">
        <w:rPr>
          <w:rFonts w:ascii="Times New Roman" w:eastAsia="Calibri" w:hAnsi="Times New Roman" w:cs="Times New Roman"/>
          <w:sz w:val="24"/>
          <w:szCs w:val="24"/>
          <w:lang w:eastAsia="lv-LV"/>
        </w:rPr>
        <w:t>pielikumā).</w:t>
      </w:r>
    </w:p>
    <w:p w14:paraId="616BDB00" w14:textId="4ECE1C47" w:rsidR="001E7CB8" w:rsidRPr="00A07F29" w:rsidRDefault="009C69F5" w:rsidP="001E7CB8">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lang w:eastAsia="lv-LV"/>
        </w:rPr>
        <w:t xml:space="preserve">AAA </w:t>
      </w:r>
      <w:r w:rsidR="00E57BBA">
        <w:rPr>
          <w:rFonts w:ascii="Times New Roman" w:eastAsia="Calibri" w:hAnsi="Times New Roman" w:cs="Times New Roman"/>
          <w:sz w:val="24"/>
          <w:szCs w:val="24"/>
          <w:lang w:eastAsia="lv-LV"/>
        </w:rPr>
        <w:t>“</w:t>
      </w:r>
      <w:r w:rsidRPr="00A07F29">
        <w:rPr>
          <w:rFonts w:ascii="Times New Roman" w:eastAsia="Calibri" w:hAnsi="Times New Roman" w:cs="Times New Roman"/>
          <w:sz w:val="24"/>
          <w:szCs w:val="24"/>
          <w:lang w:eastAsia="lv-LV"/>
        </w:rPr>
        <w:t xml:space="preserve">Augšdaugava” ES nozīmes zālāju biotopi kopumā aizņem </w:t>
      </w:r>
      <w:r w:rsidR="00D33C13" w:rsidRPr="00A07F29">
        <w:rPr>
          <w:rFonts w:ascii="Times New Roman" w:eastAsia="Calibri" w:hAnsi="Times New Roman" w:cs="Times New Roman"/>
          <w:sz w:val="24"/>
          <w:szCs w:val="24"/>
          <w:lang w:eastAsia="lv-LV"/>
        </w:rPr>
        <w:t>9</w:t>
      </w:r>
      <w:r w:rsidR="00C06D08" w:rsidRPr="00A07F29">
        <w:rPr>
          <w:rFonts w:ascii="Times New Roman" w:eastAsia="Calibri" w:hAnsi="Times New Roman" w:cs="Times New Roman"/>
          <w:sz w:val="24"/>
          <w:szCs w:val="24"/>
          <w:lang w:eastAsia="lv-LV"/>
        </w:rPr>
        <w:t>28</w:t>
      </w:r>
      <w:r w:rsidR="00D33C13" w:rsidRPr="00A07F29">
        <w:rPr>
          <w:rFonts w:ascii="Times New Roman" w:eastAsia="Calibri" w:hAnsi="Times New Roman" w:cs="Times New Roman"/>
          <w:sz w:val="24"/>
          <w:szCs w:val="24"/>
          <w:lang w:eastAsia="lv-LV"/>
        </w:rPr>
        <w:t>,1</w:t>
      </w:r>
      <w:r w:rsidR="00E57BBA">
        <w:rPr>
          <w:rFonts w:ascii="Times New Roman" w:eastAsia="Calibri" w:hAnsi="Times New Roman" w:cs="Times New Roman"/>
          <w:sz w:val="24"/>
          <w:szCs w:val="24"/>
          <w:lang w:eastAsia="lv-LV"/>
        </w:rPr>
        <w:t> </w:t>
      </w:r>
      <w:r w:rsidRPr="00A07F29">
        <w:rPr>
          <w:rFonts w:ascii="Times New Roman" w:eastAsia="Calibri" w:hAnsi="Times New Roman" w:cs="Times New Roman"/>
          <w:sz w:val="24"/>
          <w:szCs w:val="24"/>
          <w:lang w:eastAsia="lv-LV"/>
        </w:rPr>
        <w:t xml:space="preserve">ha, kas </w:t>
      </w:r>
      <w:r w:rsidRPr="00A07F29">
        <w:rPr>
          <w:rFonts w:ascii="Times New Roman" w:eastAsia="Calibri" w:hAnsi="Times New Roman" w:cs="Times New Roman"/>
          <w:sz w:val="24"/>
          <w:szCs w:val="24"/>
        </w:rPr>
        <w:t>veido 1,79 % no teritorijas kopējās platības</w:t>
      </w:r>
      <w:r w:rsidRPr="00A07F29">
        <w:rPr>
          <w:rFonts w:ascii="Times New Roman" w:eastAsia="Calibri" w:hAnsi="Times New Roman" w:cs="Times New Roman"/>
          <w:sz w:val="24"/>
          <w:szCs w:val="24"/>
          <w:lang w:eastAsia="lv-LV"/>
        </w:rPr>
        <w:t xml:space="preserve">, turklāt platības lielāko daļu veido četri biotopi – </w:t>
      </w:r>
      <w:r w:rsidRPr="00A07F29">
        <w:rPr>
          <w:rFonts w:ascii="Times New Roman" w:eastAsia="Times New Roman" w:hAnsi="Times New Roman" w:cs="Times New Roman"/>
          <w:color w:val="000000"/>
          <w:sz w:val="24"/>
          <w:szCs w:val="24"/>
          <w:lang w:eastAsia="lv-LV"/>
        </w:rPr>
        <w:t>6210</w:t>
      </w:r>
      <w:r w:rsidR="00E57BBA">
        <w:rPr>
          <w:rFonts w:ascii="Times New Roman" w:eastAsia="Times New Roman" w:hAnsi="Times New Roman" w:cs="Times New Roman"/>
          <w:color w:val="000000"/>
          <w:sz w:val="24"/>
          <w:szCs w:val="24"/>
          <w:lang w:eastAsia="lv-LV"/>
        </w:rPr>
        <w:t> </w:t>
      </w:r>
      <w:r w:rsidRPr="00A07F29">
        <w:rPr>
          <w:rFonts w:ascii="Times New Roman" w:eastAsia="Times New Roman" w:hAnsi="Times New Roman" w:cs="Times New Roman"/>
          <w:i/>
          <w:iCs/>
          <w:color w:val="000000"/>
          <w:sz w:val="24"/>
          <w:szCs w:val="24"/>
          <w:lang w:eastAsia="lv-LV"/>
        </w:rPr>
        <w:t xml:space="preserve">Sausi zālāji kaļķainās augsnēs </w:t>
      </w:r>
      <w:r w:rsidRPr="00A07F29">
        <w:rPr>
          <w:rFonts w:ascii="Times New Roman" w:eastAsia="Times New Roman" w:hAnsi="Times New Roman" w:cs="Times New Roman"/>
          <w:color w:val="000000"/>
          <w:sz w:val="24"/>
          <w:szCs w:val="24"/>
          <w:lang w:eastAsia="lv-LV"/>
        </w:rPr>
        <w:t>(</w:t>
      </w:r>
      <w:r w:rsidR="00C06D08" w:rsidRPr="00A07F29">
        <w:rPr>
          <w:rFonts w:ascii="Times New Roman" w:eastAsia="Times New Roman" w:hAnsi="Times New Roman" w:cs="Times New Roman"/>
          <w:color w:val="000000"/>
          <w:sz w:val="24"/>
          <w:szCs w:val="24"/>
          <w:lang w:eastAsia="lv-LV"/>
        </w:rPr>
        <w:t>382,5</w:t>
      </w:r>
      <w:r w:rsidR="00E57BBA">
        <w:rPr>
          <w:rFonts w:ascii="Times New Roman" w:eastAsia="Times New Roman" w:hAnsi="Times New Roman" w:cs="Times New Roman"/>
          <w:color w:val="000000"/>
          <w:sz w:val="24"/>
          <w:szCs w:val="24"/>
          <w:lang w:eastAsia="lv-LV"/>
        </w:rPr>
        <w:t> </w:t>
      </w:r>
      <w:r w:rsidRPr="00A07F29">
        <w:rPr>
          <w:rFonts w:ascii="Times New Roman" w:eastAsia="Times New Roman" w:hAnsi="Times New Roman" w:cs="Times New Roman"/>
          <w:color w:val="000000"/>
          <w:sz w:val="24"/>
          <w:szCs w:val="24"/>
          <w:lang w:eastAsia="lv-LV"/>
        </w:rPr>
        <w:t>ha jeb 41,</w:t>
      </w:r>
      <w:r w:rsidR="006B6BF0" w:rsidRPr="00A07F29">
        <w:rPr>
          <w:rFonts w:ascii="Times New Roman" w:eastAsia="Times New Roman" w:hAnsi="Times New Roman" w:cs="Times New Roman"/>
          <w:color w:val="000000"/>
          <w:sz w:val="24"/>
          <w:szCs w:val="24"/>
          <w:lang w:eastAsia="lv-LV"/>
        </w:rPr>
        <w:t>2</w:t>
      </w:r>
      <w:r w:rsidR="00E57BBA">
        <w:rPr>
          <w:rFonts w:ascii="Times New Roman" w:eastAsia="Times New Roman" w:hAnsi="Times New Roman" w:cs="Times New Roman"/>
          <w:color w:val="000000"/>
          <w:sz w:val="24"/>
          <w:szCs w:val="24"/>
          <w:lang w:eastAsia="lv-LV"/>
        </w:rPr>
        <w:t> </w:t>
      </w:r>
      <w:r w:rsidRPr="00A07F29">
        <w:rPr>
          <w:rFonts w:ascii="Times New Roman" w:eastAsia="Times New Roman" w:hAnsi="Times New Roman" w:cs="Times New Roman"/>
          <w:color w:val="000000"/>
          <w:sz w:val="24"/>
          <w:szCs w:val="24"/>
          <w:lang w:eastAsia="lv-LV"/>
        </w:rPr>
        <w:t>%)</w:t>
      </w:r>
      <w:r w:rsidRPr="00A07F29">
        <w:rPr>
          <w:rFonts w:ascii="Times New Roman" w:eastAsia="Times New Roman" w:hAnsi="Times New Roman" w:cs="Times New Roman"/>
          <w:i/>
          <w:iCs/>
          <w:color w:val="000000"/>
          <w:sz w:val="24"/>
          <w:szCs w:val="24"/>
          <w:lang w:eastAsia="lv-LV"/>
        </w:rPr>
        <w:t>,</w:t>
      </w:r>
      <w:r w:rsidRPr="00A07F29">
        <w:rPr>
          <w:rFonts w:ascii="Times New Roman" w:eastAsia="Times New Roman" w:hAnsi="Times New Roman" w:cs="Times New Roman"/>
          <w:color w:val="000000"/>
          <w:sz w:val="24"/>
          <w:szCs w:val="24"/>
          <w:lang w:eastAsia="lv-LV"/>
        </w:rPr>
        <w:t xml:space="preserve"> 6270*</w:t>
      </w:r>
      <w:r w:rsidR="00E57BBA">
        <w:rPr>
          <w:rFonts w:ascii="Times New Roman" w:eastAsia="Times New Roman" w:hAnsi="Times New Roman" w:cs="Times New Roman"/>
          <w:color w:val="000000"/>
          <w:sz w:val="24"/>
          <w:szCs w:val="24"/>
          <w:lang w:eastAsia="lv-LV"/>
        </w:rPr>
        <w:t> </w:t>
      </w:r>
      <w:r w:rsidRPr="00A07F29">
        <w:rPr>
          <w:rFonts w:ascii="Times New Roman" w:eastAsia="Times New Roman" w:hAnsi="Times New Roman" w:cs="Times New Roman"/>
          <w:i/>
          <w:iCs/>
          <w:color w:val="000000"/>
          <w:sz w:val="24"/>
          <w:szCs w:val="24"/>
          <w:lang w:eastAsia="lv-LV"/>
        </w:rPr>
        <w:t>Sugām bagātas ganības un ganītas pļava</w:t>
      </w:r>
      <w:r w:rsidR="006B6BF0" w:rsidRPr="00A07F29">
        <w:rPr>
          <w:rFonts w:ascii="Times New Roman" w:eastAsia="Times New Roman" w:hAnsi="Times New Roman" w:cs="Times New Roman"/>
          <w:i/>
          <w:iCs/>
          <w:color w:val="000000"/>
          <w:sz w:val="24"/>
          <w:szCs w:val="24"/>
          <w:lang w:eastAsia="lv-LV"/>
        </w:rPr>
        <w:t>s</w:t>
      </w:r>
      <w:r w:rsidRPr="00A07F29">
        <w:rPr>
          <w:rFonts w:ascii="Times New Roman" w:eastAsia="Times New Roman" w:hAnsi="Times New Roman" w:cs="Times New Roman"/>
          <w:i/>
          <w:iCs/>
          <w:color w:val="000000"/>
          <w:sz w:val="24"/>
          <w:szCs w:val="24"/>
          <w:lang w:eastAsia="lv-LV"/>
        </w:rPr>
        <w:t xml:space="preserve"> </w:t>
      </w:r>
      <w:r w:rsidRPr="00A07F29">
        <w:rPr>
          <w:rFonts w:ascii="Times New Roman" w:eastAsia="Times New Roman" w:hAnsi="Times New Roman" w:cs="Times New Roman"/>
          <w:color w:val="000000"/>
          <w:sz w:val="24"/>
          <w:szCs w:val="24"/>
          <w:lang w:eastAsia="lv-LV"/>
        </w:rPr>
        <w:t>(</w:t>
      </w:r>
      <w:r w:rsidR="006B6BF0" w:rsidRPr="00A07F29">
        <w:rPr>
          <w:rFonts w:ascii="Times New Roman" w:eastAsia="Times New Roman" w:hAnsi="Times New Roman" w:cs="Times New Roman"/>
          <w:color w:val="000000"/>
          <w:sz w:val="24"/>
          <w:szCs w:val="24"/>
          <w:lang w:eastAsia="lv-LV"/>
        </w:rPr>
        <w:t>245,78</w:t>
      </w:r>
      <w:r w:rsidR="009C1CD7">
        <w:rPr>
          <w:rFonts w:ascii="Times New Roman" w:eastAsia="Times New Roman" w:hAnsi="Times New Roman" w:cs="Times New Roman"/>
          <w:color w:val="000000"/>
          <w:sz w:val="24"/>
          <w:szCs w:val="24"/>
          <w:lang w:eastAsia="lv-LV"/>
        </w:rPr>
        <w:t> </w:t>
      </w:r>
      <w:r w:rsidRPr="00A07F29">
        <w:rPr>
          <w:rFonts w:ascii="Times New Roman" w:eastAsia="Times New Roman" w:hAnsi="Times New Roman" w:cs="Times New Roman"/>
          <w:color w:val="000000"/>
          <w:sz w:val="24"/>
          <w:szCs w:val="24"/>
          <w:lang w:eastAsia="lv-LV"/>
        </w:rPr>
        <w:t>ha jeb 2</w:t>
      </w:r>
      <w:r w:rsidR="006B6BF0" w:rsidRPr="00A07F29">
        <w:rPr>
          <w:rFonts w:ascii="Times New Roman" w:eastAsia="Times New Roman" w:hAnsi="Times New Roman" w:cs="Times New Roman"/>
          <w:color w:val="000000"/>
          <w:sz w:val="24"/>
          <w:szCs w:val="24"/>
          <w:lang w:eastAsia="lv-LV"/>
        </w:rPr>
        <w:t>6,5 </w:t>
      </w:r>
      <w:r w:rsidRPr="00A07F29">
        <w:rPr>
          <w:rFonts w:ascii="Times New Roman" w:eastAsia="Times New Roman" w:hAnsi="Times New Roman" w:cs="Times New Roman"/>
          <w:color w:val="000000"/>
          <w:sz w:val="24"/>
          <w:szCs w:val="24"/>
          <w:lang w:eastAsia="lv-LV"/>
        </w:rPr>
        <w:t>%)</w:t>
      </w:r>
      <w:r w:rsidRPr="00A07F29">
        <w:rPr>
          <w:rFonts w:ascii="Times New Roman" w:eastAsia="Times New Roman" w:hAnsi="Times New Roman" w:cs="Times New Roman"/>
          <w:i/>
          <w:iCs/>
          <w:color w:val="000000"/>
          <w:sz w:val="24"/>
          <w:szCs w:val="24"/>
          <w:lang w:eastAsia="lv-LV"/>
        </w:rPr>
        <w:t xml:space="preserve">, </w:t>
      </w:r>
      <w:r w:rsidRPr="00A07F29">
        <w:rPr>
          <w:rFonts w:ascii="Times New Roman" w:eastAsia="Times New Roman" w:hAnsi="Times New Roman" w:cs="Times New Roman"/>
          <w:color w:val="000000"/>
          <w:sz w:val="24"/>
          <w:szCs w:val="24"/>
          <w:lang w:eastAsia="lv-LV"/>
        </w:rPr>
        <w:t>6450</w:t>
      </w:r>
      <w:r w:rsidR="009C1CD7">
        <w:rPr>
          <w:rFonts w:ascii="Times New Roman" w:eastAsia="Times New Roman" w:hAnsi="Times New Roman" w:cs="Times New Roman"/>
          <w:color w:val="000000"/>
          <w:sz w:val="24"/>
          <w:szCs w:val="24"/>
          <w:lang w:eastAsia="lv-LV"/>
        </w:rPr>
        <w:t> </w:t>
      </w:r>
      <w:r w:rsidRPr="00A07F29">
        <w:rPr>
          <w:rFonts w:ascii="Times New Roman" w:eastAsia="Times New Roman" w:hAnsi="Times New Roman" w:cs="Times New Roman"/>
          <w:i/>
          <w:iCs/>
          <w:color w:val="000000"/>
          <w:sz w:val="24"/>
          <w:szCs w:val="24"/>
          <w:lang w:eastAsia="lv-LV"/>
        </w:rPr>
        <w:t xml:space="preserve">Palieņu zālāji </w:t>
      </w:r>
      <w:r w:rsidRPr="00A07F29">
        <w:rPr>
          <w:rFonts w:ascii="Times New Roman" w:eastAsia="Times New Roman" w:hAnsi="Times New Roman" w:cs="Times New Roman"/>
          <w:color w:val="000000"/>
          <w:sz w:val="24"/>
          <w:szCs w:val="24"/>
          <w:lang w:eastAsia="lv-LV"/>
        </w:rPr>
        <w:t>(</w:t>
      </w:r>
      <w:r w:rsidR="006B6BF0" w:rsidRPr="00A07F29">
        <w:rPr>
          <w:rFonts w:ascii="Times New Roman" w:eastAsia="Times New Roman" w:hAnsi="Times New Roman" w:cs="Times New Roman"/>
          <w:color w:val="000000"/>
          <w:sz w:val="24"/>
          <w:szCs w:val="24"/>
          <w:lang w:eastAsia="lv-LV"/>
        </w:rPr>
        <w:t>120,47</w:t>
      </w:r>
      <w:r w:rsidR="009C1CD7">
        <w:rPr>
          <w:rFonts w:ascii="Times New Roman" w:eastAsia="Times New Roman" w:hAnsi="Times New Roman" w:cs="Times New Roman"/>
          <w:color w:val="000000"/>
          <w:sz w:val="24"/>
          <w:szCs w:val="24"/>
          <w:lang w:eastAsia="lv-LV"/>
        </w:rPr>
        <w:t> </w:t>
      </w:r>
      <w:r w:rsidRPr="00A07F29">
        <w:rPr>
          <w:rFonts w:ascii="Times New Roman" w:eastAsia="Times New Roman" w:hAnsi="Times New Roman" w:cs="Times New Roman"/>
          <w:color w:val="000000"/>
          <w:sz w:val="24"/>
          <w:szCs w:val="24"/>
          <w:lang w:eastAsia="lv-LV"/>
        </w:rPr>
        <w:t>ha jeb 13</w:t>
      </w:r>
      <w:r w:rsidR="006B6BF0" w:rsidRPr="00A07F29">
        <w:rPr>
          <w:rFonts w:ascii="Times New Roman" w:eastAsia="Times New Roman" w:hAnsi="Times New Roman" w:cs="Times New Roman"/>
          <w:color w:val="000000"/>
          <w:sz w:val="24"/>
          <w:szCs w:val="24"/>
          <w:lang w:eastAsia="lv-LV"/>
        </w:rPr>
        <w:t> </w:t>
      </w:r>
      <w:r w:rsidRPr="00A07F29">
        <w:rPr>
          <w:rFonts w:ascii="Times New Roman" w:eastAsia="Times New Roman" w:hAnsi="Times New Roman" w:cs="Times New Roman"/>
          <w:color w:val="000000"/>
          <w:sz w:val="24"/>
          <w:szCs w:val="24"/>
          <w:lang w:eastAsia="lv-LV"/>
        </w:rPr>
        <w:t>%)</w:t>
      </w:r>
      <w:r w:rsidRPr="00A07F29">
        <w:rPr>
          <w:rFonts w:ascii="Times New Roman" w:eastAsia="Times New Roman" w:hAnsi="Times New Roman" w:cs="Times New Roman"/>
          <w:i/>
          <w:iCs/>
          <w:color w:val="000000"/>
          <w:sz w:val="24"/>
          <w:szCs w:val="24"/>
          <w:lang w:eastAsia="lv-LV"/>
        </w:rPr>
        <w:t xml:space="preserve">, </w:t>
      </w:r>
      <w:r w:rsidRPr="00A07F29">
        <w:rPr>
          <w:rFonts w:ascii="Times New Roman" w:eastAsia="Times New Roman" w:hAnsi="Times New Roman" w:cs="Times New Roman"/>
          <w:color w:val="000000"/>
          <w:sz w:val="24"/>
          <w:szCs w:val="24"/>
          <w:lang w:eastAsia="lv-LV"/>
        </w:rPr>
        <w:t>6430</w:t>
      </w:r>
      <w:r w:rsidR="009C1CD7">
        <w:rPr>
          <w:rFonts w:ascii="Times New Roman" w:eastAsia="Times New Roman" w:hAnsi="Times New Roman" w:cs="Times New Roman"/>
          <w:color w:val="000000"/>
          <w:sz w:val="24"/>
          <w:szCs w:val="24"/>
          <w:lang w:eastAsia="lv-LV"/>
        </w:rPr>
        <w:t> </w:t>
      </w:r>
      <w:proofErr w:type="spellStart"/>
      <w:r w:rsidRPr="00A07F29">
        <w:rPr>
          <w:rFonts w:ascii="Times New Roman" w:eastAsia="Times New Roman" w:hAnsi="Times New Roman" w:cs="Times New Roman"/>
          <w:i/>
          <w:iCs/>
          <w:color w:val="000000"/>
          <w:sz w:val="24"/>
          <w:szCs w:val="24"/>
          <w:lang w:eastAsia="lv-LV"/>
        </w:rPr>
        <w:t>Eitrofas</w:t>
      </w:r>
      <w:proofErr w:type="spellEnd"/>
      <w:r w:rsidRPr="00A07F29">
        <w:rPr>
          <w:rFonts w:ascii="Times New Roman" w:eastAsia="Times New Roman" w:hAnsi="Times New Roman" w:cs="Times New Roman"/>
          <w:i/>
          <w:iCs/>
          <w:color w:val="000000"/>
          <w:sz w:val="24"/>
          <w:szCs w:val="24"/>
          <w:lang w:eastAsia="lv-LV"/>
        </w:rPr>
        <w:t xml:space="preserve"> augsto lakstaugu audzes </w:t>
      </w:r>
      <w:r w:rsidRPr="00A07F29">
        <w:rPr>
          <w:rFonts w:ascii="Times New Roman" w:eastAsia="Times New Roman" w:hAnsi="Times New Roman" w:cs="Times New Roman"/>
          <w:color w:val="000000"/>
          <w:sz w:val="24"/>
          <w:szCs w:val="24"/>
          <w:lang w:eastAsia="lv-LV"/>
        </w:rPr>
        <w:t>(</w:t>
      </w:r>
      <w:r w:rsidR="006B6BF0" w:rsidRPr="00A07F29">
        <w:rPr>
          <w:rFonts w:ascii="Times New Roman" w:eastAsia="Times New Roman" w:hAnsi="Times New Roman" w:cs="Times New Roman"/>
          <w:color w:val="000000"/>
          <w:sz w:val="24"/>
          <w:szCs w:val="24"/>
          <w:lang w:eastAsia="lv-LV"/>
        </w:rPr>
        <w:t>126,67</w:t>
      </w:r>
      <w:r w:rsidR="009C1CD7">
        <w:rPr>
          <w:rFonts w:ascii="Times New Roman" w:eastAsia="Times New Roman" w:hAnsi="Times New Roman" w:cs="Times New Roman"/>
          <w:color w:val="000000"/>
          <w:sz w:val="24"/>
          <w:szCs w:val="24"/>
          <w:lang w:eastAsia="lv-LV"/>
        </w:rPr>
        <w:t> </w:t>
      </w:r>
      <w:r w:rsidRPr="00A07F29">
        <w:rPr>
          <w:rFonts w:ascii="Times New Roman" w:eastAsia="Times New Roman" w:hAnsi="Times New Roman" w:cs="Times New Roman"/>
          <w:color w:val="000000"/>
          <w:sz w:val="24"/>
          <w:szCs w:val="24"/>
          <w:lang w:eastAsia="lv-LV"/>
        </w:rPr>
        <w:t>ha jeb 1</w:t>
      </w:r>
      <w:r w:rsidR="006B6BF0" w:rsidRPr="00A07F29">
        <w:rPr>
          <w:rFonts w:ascii="Times New Roman" w:eastAsia="Times New Roman" w:hAnsi="Times New Roman" w:cs="Times New Roman"/>
          <w:color w:val="000000"/>
          <w:sz w:val="24"/>
          <w:szCs w:val="24"/>
          <w:lang w:eastAsia="lv-LV"/>
        </w:rPr>
        <w:t>3,6 </w:t>
      </w:r>
      <w:r w:rsidRPr="00A07F29">
        <w:rPr>
          <w:rFonts w:ascii="Times New Roman" w:eastAsia="Times New Roman" w:hAnsi="Times New Roman" w:cs="Times New Roman"/>
          <w:color w:val="000000"/>
          <w:sz w:val="24"/>
          <w:szCs w:val="24"/>
          <w:lang w:eastAsia="lv-LV"/>
        </w:rPr>
        <w:t>%)</w:t>
      </w:r>
      <w:r w:rsidRPr="00A07F29">
        <w:rPr>
          <w:rFonts w:ascii="Times New Roman" w:eastAsia="Calibri" w:hAnsi="Times New Roman" w:cs="Times New Roman"/>
          <w:i/>
          <w:iCs/>
          <w:sz w:val="24"/>
          <w:szCs w:val="24"/>
          <w:lang w:eastAsia="lv-LV"/>
        </w:rPr>
        <w:t xml:space="preserve">. </w:t>
      </w:r>
      <w:r w:rsidRPr="00A07F29">
        <w:rPr>
          <w:rFonts w:ascii="Times New Roman" w:eastAsia="Calibri" w:hAnsi="Times New Roman" w:cs="Times New Roman"/>
          <w:sz w:val="24"/>
          <w:szCs w:val="24"/>
          <w:lang w:eastAsia="lv-LV"/>
        </w:rPr>
        <w:t>Pārējie zālāju biotopi kopā aizņem 5,</w:t>
      </w:r>
      <w:r w:rsidR="006B6BF0" w:rsidRPr="00A07F29">
        <w:rPr>
          <w:rFonts w:ascii="Times New Roman" w:eastAsia="Calibri" w:hAnsi="Times New Roman" w:cs="Times New Roman"/>
          <w:sz w:val="24"/>
          <w:szCs w:val="24"/>
          <w:lang w:eastAsia="lv-LV"/>
        </w:rPr>
        <w:t>7 </w:t>
      </w:r>
      <w:r w:rsidRPr="00A07F29">
        <w:rPr>
          <w:rFonts w:ascii="Times New Roman" w:eastAsia="Calibri" w:hAnsi="Times New Roman" w:cs="Times New Roman"/>
          <w:sz w:val="24"/>
          <w:szCs w:val="24"/>
          <w:lang w:eastAsia="lv-LV"/>
        </w:rPr>
        <w:t>% no ES nozīmes zālāju biotopu platības (skat. 4.3.3.1.</w:t>
      </w:r>
      <w:r w:rsidR="009C1CD7">
        <w:rPr>
          <w:rFonts w:ascii="Times New Roman" w:eastAsia="Calibri" w:hAnsi="Times New Roman" w:cs="Times New Roman"/>
          <w:sz w:val="24"/>
          <w:szCs w:val="24"/>
          <w:lang w:eastAsia="lv-LV"/>
        </w:rPr>
        <w:t> </w:t>
      </w:r>
      <w:r w:rsidRPr="00A07F29">
        <w:rPr>
          <w:rFonts w:ascii="Times New Roman" w:eastAsia="Calibri" w:hAnsi="Times New Roman" w:cs="Times New Roman"/>
          <w:sz w:val="24"/>
          <w:szCs w:val="24"/>
          <w:lang w:eastAsia="lv-LV"/>
        </w:rPr>
        <w:t>att</w:t>
      </w:r>
      <w:r w:rsidR="009C1CD7">
        <w:rPr>
          <w:rFonts w:ascii="Times New Roman" w:eastAsia="Calibri" w:hAnsi="Times New Roman" w:cs="Times New Roman"/>
          <w:sz w:val="24"/>
          <w:szCs w:val="24"/>
          <w:lang w:eastAsia="lv-LV"/>
        </w:rPr>
        <w:t>ēls</w:t>
      </w:r>
      <w:r w:rsidRPr="00A07F29">
        <w:rPr>
          <w:rFonts w:ascii="Times New Roman" w:eastAsia="Calibri" w:hAnsi="Times New Roman" w:cs="Times New Roman"/>
          <w:sz w:val="24"/>
          <w:szCs w:val="24"/>
          <w:lang w:eastAsia="lv-LV"/>
        </w:rPr>
        <w:t>).</w:t>
      </w:r>
    </w:p>
    <w:p w14:paraId="5D62A955" w14:textId="320CE06C" w:rsidR="002B1603" w:rsidRPr="00A07F29" w:rsidRDefault="001E7CB8" w:rsidP="001E7CB8">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P</w:t>
      </w:r>
      <w:r w:rsidR="002B1603" w:rsidRPr="00A07F29">
        <w:rPr>
          <w:rFonts w:ascii="Times New Roman" w:eastAsia="Calibri" w:hAnsi="Times New Roman" w:cs="Times New Roman"/>
          <w:sz w:val="24"/>
          <w:szCs w:val="24"/>
        </w:rPr>
        <w:t xml:space="preserve">otenciālie </w:t>
      </w:r>
      <w:r w:rsidRPr="00A07F29">
        <w:rPr>
          <w:rFonts w:ascii="Times New Roman" w:eastAsia="Calibri" w:hAnsi="Times New Roman" w:cs="Times New Roman"/>
          <w:sz w:val="24"/>
          <w:szCs w:val="24"/>
        </w:rPr>
        <w:t xml:space="preserve">ES nozīmes </w:t>
      </w:r>
      <w:r w:rsidR="002B1603" w:rsidRPr="00A07F29">
        <w:rPr>
          <w:rFonts w:ascii="Times New Roman" w:eastAsia="Calibri" w:hAnsi="Times New Roman" w:cs="Times New Roman"/>
          <w:sz w:val="24"/>
          <w:szCs w:val="24"/>
        </w:rPr>
        <w:t>zālāju biotopi nokartēti 2</w:t>
      </w:r>
      <w:r w:rsidR="006B6BF0" w:rsidRPr="00A07F29">
        <w:rPr>
          <w:rFonts w:ascii="Times New Roman" w:eastAsia="Calibri" w:hAnsi="Times New Roman" w:cs="Times New Roman"/>
          <w:sz w:val="24"/>
          <w:szCs w:val="24"/>
        </w:rPr>
        <w:t>16</w:t>
      </w:r>
      <w:r w:rsidR="00B45B6E">
        <w:rPr>
          <w:rFonts w:ascii="Times New Roman" w:eastAsia="Calibri" w:hAnsi="Times New Roman" w:cs="Times New Roman"/>
          <w:sz w:val="24"/>
          <w:szCs w:val="24"/>
        </w:rPr>
        <w:t> </w:t>
      </w:r>
      <w:r w:rsidR="002B1603" w:rsidRPr="00A07F29">
        <w:rPr>
          <w:rFonts w:ascii="Times New Roman" w:eastAsia="Calibri" w:hAnsi="Times New Roman" w:cs="Times New Roman"/>
          <w:sz w:val="24"/>
          <w:szCs w:val="24"/>
        </w:rPr>
        <w:t xml:space="preserve">ha. Lai palielinātu aizsargājamo zālāju biotopu vai retām sugām nozīmīgu zālāju īpatsvaru AAA “Augšdaugava”, iespējams ekstensīvi un atbilstoši BVZ prasībām apsaimniekot </w:t>
      </w:r>
      <w:r w:rsidR="00647C52" w:rsidRPr="00A07F29">
        <w:rPr>
          <w:rFonts w:ascii="Times New Roman" w:eastAsia="Calibri" w:hAnsi="Times New Roman" w:cs="Times New Roman"/>
          <w:sz w:val="24"/>
          <w:szCs w:val="24"/>
        </w:rPr>
        <w:t>gan potenciālos ES nozīmes biotopu</w:t>
      </w:r>
      <w:r w:rsidR="00130616" w:rsidRPr="00A07F29">
        <w:rPr>
          <w:rFonts w:ascii="Times New Roman" w:eastAsia="Calibri" w:hAnsi="Times New Roman" w:cs="Times New Roman"/>
          <w:sz w:val="24"/>
          <w:szCs w:val="24"/>
        </w:rPr>
        <w:t>s</w:t>
      </w:r>
      <w:r w:rsidR="00647C52" w:rsidRPr="00A07F29">
        <w:rPr>
          <w:rFonts w:ascii="Times New Roman" w:eastAsia="Calibri" w:hAnsi="Times New Roman" w:cs="Times New Roman"/>
          <w:sz w:val="24"/>
          <w:szCs w:val="24"/>
        </w:rPr>
        <w:t xml:space="preserve">, gan </w:t>
      </w:r>
      <w:r w:rsidR="002B1603" w:rsidRPr="00A07F29">
        <w:rPr>
          <w:rFonts w:ascii="Times New Roman" w:eastAsia="Calibri" w:hAnsi="Times New Roman" w:cs="Times New Roman"/>
          <w:sz w:val="24"/>
          <w:szCs w:val="24"/>
        </w:rPr>
        <w:t>arī vēsturisko zālāju platības (</w:t>
      </w:r>
      <w:r w:rsidR="00B45B6E">
        <w:rPr>
          <w:rFonts w:ascii="Times New Roman" w:eastAsia="Calibri" w:hAnsi="Times New Roman" w:cs="Times New Roman"/>
          <w:sz w:val="24"/>
          <w:szCs w:val="24"/>
        </w:rPr>
        <w:t xml:space="preserve">skat. </w:t>
      </w:r>
      <w:r w:rsidR="00647C52" w:rsidRPr="00A07F29">
        <w:rPr>
          <w:rFonts w:ascii="Times New Roman" w:eastAsia="Calibri" w:hAnsi="Times New Roman" w:cs="Times New Roman"/>
          <w:sz w:val="24"/>
          <w:szCs w:val="24"/>
        </w:rPr>
        <w:t>5.1.1</w:t>
      </w:r>
      <w:r w:rsidR="002B1603" w:rsidRPr="00A07F29">
        <w:rPr>
          <w:rFonts w:ascii="Times New Roman" w:eastAsia="Calibri" w:hAnsi="Times New Roman" w:cs="Times New Roman"/>
          <w:sz w:val="24"/>
          <w:szCs w:val="24"/>
        </w:rPr>
        <w:t>.</w:t>
      </w:r>
      <w:r w:rsidR="00B45B6E">
        <w:rPr>
          <w:rFonts w:ascii="Times New Roman" w:eastAsia="Calibri" w:hAnsi="Times New Roman" w:cs="Times New Roman"/>
          <w:sz w:val="24"/>
          <w:szCs w:val="24"/>
        </w:rPr>
        <w:t> </w:t>
      </w:r>
      <w:r w:rsidRPr="00A07F29">
        <w:rPr>
          <w:rFonts w:ascii="Times New Roman" w:eastAsia="Calibri" w:hAnsi="Times New Roman" w:cs="Times New Roman"/>
          <w:sz w:val="24"/>
          <w:szCs w:val="24"/>
        </w:rPr>
        <w:t>pielikums</w:t>
      </w:r>
      <w:r w:rsidR="002B1603" w:rsidRPr="00A07F29">
        <w:rPr>
          <w:rFonts w:ascii="Times New Roman" w:eastAsia="Calibri" w:hAnsi="Times New Roman" w:cs="Times New Roman"/>
          <w:sz w:val="24"/>
          <w:szCs w:val="24"/>
        </w:rPr>
        <w:t>), lai uzlabotu augu biocenozes un zālāja struktūru.</w:t>
      </w:r>
    </w:p>
    <w:p w14:paraId="04AADD34" w14:textId="3ADA97D3" w:rsidR="002B1603" w:rsidRPr="00A07F29" w:rsidRDefault="009C69F5" w:rsidP="009C69F5">
      <w:pPr>
        <w:spacing w:after="120"/>
        <w:jc w:val="center"/>
        <w:rPr>
          <w:rFonts w:ascii="Times New Roman" w:eastAsia="Calibri" w:hAnsi="Times New Roman" w:cs="Times New Roman"/>
          <w:sz w:val="24"/>
          <w:szCs w:val="24"/>
        </w:rPr>
      </w:pPr>
      <w:r w:rsidRPr="00A07F29">
        <w:rPr>
          <w:noProof/>
          <w:lang w:eastAsia="lv-LV"/>
        </w:rPr>
        <w:drawing>
          <wp:inline distT="0" distB="0" distL="0" distR="0" wp14:anchorId="369CABA3" wp14:editId="479C7981">
            <wp:extent cx="4295375" cy="2779635"/>
            <wp:effectExtent l="0" t="0" r="10160" b="1905"/>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29F4C26C" w14:textId="4AF093AA" w:rsidR="002B1603" w:rsidRPr="0056348A" w:rsidRDefault="002B1603" w:rsidP="009C69F5">
      <w:pPr>
        <w:spacing w:before="120" w:after="240" w:line="240" w:lineRule="auto"/>
        <w:ind w:firstLine="1134"/>
        <w:jc w:val="both"/>
        <w:rPr>
          <w:rFonts w:ascii="Times New Roman" w:eastAsia="Calibri" w:hAnsi="Times New Roman" w:cs="Times New Roman"/>
          <w:sz w:val="20"/>
          <w:szCs w:val="20"/>
        </w:rPr>
      </w:pPr>
      <w:r w:rsidRPr="0056348A">
        <w:rPr>
          <w:rFonts w:ascii="Times New Roman" w:eastAsia="Calibri" w:hAnsi="Times New Roman" w:cs="Times New Roman"/>
          <w:sz w:val="20"/>
          <w:szCs w:val="20"/>
        </w:rPr>
        <w:t>4.3.3.</w:t>
      </w:r>
      <w:r w:rsidR="001E7CB8" w:rsidRPr="0056348A">
        <w:rPr>
          <w:rFonts w:ascii="Times New Roman" w:eastAsia="Calibri" w:hAnsi="Times New Roman" w:cs="Times New Roman"/>
          <w:sz w:val="20"/>
          <w:szCs w:val="20"/>
        </w:rPr>
        <w:t>1</w:t>
      </w:r>
      <w:r w:rsidRPr="0056348A">
        <w:rPr>
          <w:rFonts w:ascii="Times New Roman" w:eastAsia="Calibri" w:hAnsi="Times New Roman" w:cs="Times New Roman"/>
          <w:sz w:val="20"/>
          <w:szCs w:val="20"/>
        </w:rPr>
        <w:t>.</w:t>
      </w:r>
      <w:r w:rsidR="0056348A" w:rsidRPr="0056348A">
        <w:rPr>
          <w:rFonts w:ascii="Times New Roman" w:eastAsia="Calibri" w:hAnsi="Times New Roman" w:cs="Times New Roman"/>
          <w:sz w:val="20"/>
          <w:szCs w:val="20"/>
        </w:rPr>
        <w:t> </w:t>
      </w:r>
      <w:r w:rsidRPr="0056348A">
        <w:rPr>
          <w:rFonts w:ascii="Times New Roman" w:eastAsia="Calibri" w:hAnsi="Times New Roman" w:cs="Times New Roman"/>
          <w:sz w:val="20"/>
          <w:szCs w:val="20"/>
        </w:rPr>
        <w:t>att</w:t>
      </w:r>
      <w:r w:rsidR="0056348A" w:rsidRPr="0056348A">
        <w:rPr>
          <w:rFonts w:ascii="Times New Roman" w:eastAsia="Calibri" w:hAnsi="Times New Roman" w:cs="Times New Roman"/>
          <w:sz w:val="20"/>
          <w:szCs w:val="20"/>
        </w:rPr>
        <w:t>ēls.</w:t>
      </w:r>
      <w:r w:rsidRPr="0056348A">
        <w:rPr>
          <w:rFonts w:ascii="Times New Roman" w:eastAsia="Calibri" w:hAnsi="Times New Roman" w:cs="Times New Roman"/>
          <w:sz w:val="20"/>
          <w:szCs w:val="20"/>
        </w:rPr>
        <w:t xml:space="preserve"> ES aizsargājamo zālāju biotopu sastopamība AAA “Augšdaugava”</w:t>
      </w:r>
    </w:p>
    <w:p w14:paraId="4047EABE" w14:textId="72A4E586" w:rsidR="000E4A09" w:rsidRPr="00A07F29" w:rsidRDefault="002B1603" w:rsidP="0006237A">
      <w:pPr>
        <w:spacing w:after="120" w:line="240" w:lineRule="auto"/>
        <w:ind w:firstLine="851"/>
        <w:jc w:val="both"/>
        <w:rPr>
          <w:rFonts w:ascii="Times New Roman" w:eastAsia="Times New Roman" w:hAnsi="Times New Roman" w:cs="Times New Roman"/>
          <w:bCs/>
          <w:color w:val="000000"/>
          <w:sz w:val="24"/>
          <w:szCs w:val="24"/>
          <w:lang w:eastAsia="lv-LV"/>
        </w:rPr>
      </w:pPr>
      <w:r w:rsidRPr="00A07F29">
        <w:rPr>
          <w:rFonts w:ascii="Times New Roman" w:eastAsia="Calibri" w:hAnsi="Times New Roman" w:cs="Times New Roman"/>
          <w:iCs/>
          <w:sz w:val="24"/>
          <w:szCs w:val="24"/>
        </w:rPr>
        <w:t xml:space="preserve">Zālāji ir specifiskas dzīvotnes </w:t>
      </w:r>
      <w:r w:rsidR="001E7CB8" w:rsidRPr="00A07F29">
        <w:rPr>
          <w:rFonts w:ascii="Times New Roman" w:eastAsia="Calibri" w:hAnsi="Times New Roman" w:cs="Times New Roman"/>
          <w:iCs/>
          <w:sz w:val="24"/>
          <w:szCs w:val="24"/>
        </w:rPr>
        <w:t>aizsargājamo augu</w:t>
      </w:r>
      <w:r w:rsidRPr="00A07F29">
        <w:rPr>
          <w:rFonts w:ascii="Times New Roman" w:eastAsia="Calibri" w:hAnsi="Times New Roman" w:cs="Times New Roman"/>
          <w:iCs/>
          <w:sz w:val="24"/>
          <w:szCs w:val="24"/>
        </w:rPr>
        <w:t xml:space="preserve">, </w:t>
      </w:r>
      <w:r w:rsidR="001E7CB8" w:rsidRPr="00A07F29">
        <w:rPr>
          <w:rFonts w:ascii="Times New Roman" w:eastAsia="Calibri" w:hAnsi="Times New Roman" w:cs="Times New Roman"/>
          <w:iCs/>
          <w:sz w:val="24"/>
          <w:szCs w:val="24"/>
        </w:rPr>
        <w:t xml:space="preserve">putnu </w:t>
      </w:r>
      <w:r w:rsidRPr="00A07F29">
        <w:rPr>
          <w:rFonts w:ascii="Times New Roman" w:eastAsia="Calibri" w:hAnsi="Times New Roman" w:cs="Times New Roman"/>
          <w:iCs/>
          <w:sz w:val="24"/>
          <w:szCs w:val="24"/>
        </w:rPr>
        <w:t xml:space="preserve">un </w:t>
      </w:r>
      <w:r w:rsidR="001E7CB8" w:rsidRPr="00A07F29">
        <w:rPr>
          <w:rFonts w:ascii="Times New Roman" w:eastAsia="Calibri" w:hAnsi="Times New Roman" w:cs="Times New Roman"/>
          <w:iCs/>
          <w:sz w:val="24"/>
          <w:szCs w:val="24"/>
        </w:rPr>
        <w:t>bezmugurkaulnieku sugām</w:t>
      </w:r>
      <w:r w:rsidRPr="00A07F29">
        <w:rPr>
          <w:rFonts w:ascii="Times New Roman" w:eastAsia="Calibri" w:hAnsi="Times New Roman" w:cs="Times New Roman"/>
          <w:iCs/>
          <w:sz w:val="24"/>
          <w:szCs w:val="24"/>
        </w:rPr>
        <w:t>.</w:t>
      </w:r>
      <w:r w:rsidRPr="00A07F29">
        <w:rPr>
          <w:rFonts w:ascii="Times New Roman" w:eastAsia="Times New Roman" w:hAnsi="Times New Roman" w:cs="Times New Roman"/>
          <w:bCs/>
          <w:color w:val="000000"/>
          <w:sz w:val="24"/>
          <w:szCs w:val="24"/>
          <w:lang w:eastAsia="lv-LV"/>
        </w:rPr>
        <w:t xml:space="preserve"> Biotops 6120*</w:t>
      </w:r>
      <w:r w:rsidR="00F0296E">
        <w:rPr>
          <w:rFonts w:ascii="Times New Roman" w:eastAsia="Times New Roman" w:hAnsi="Times New Roman" w:cs="Times New Roman"/>
          <w:bCs/>
          <w:color w:val="000000"/>
          <w:sz w:val="24"/>
          <w:szCs w:val="24"/>
          <w:lang w:eastAsia="lv-LV"/>
        </w:rPr>
        <w:t> </w:t>
      </w:r>
      <w:r w:rsidRPr="00A07F29">
        <w:rPr>
          <w:rFonts w:ascii="Times New Roman" w:eastAsia="Times New Roman" w:hAnsi="Times New Roman" w:cs="Times New Roman"/>
          <w:bCs/>
          <w:i/>
          <w:color w:val="000000"/>
          <w:sz w:val="24"/>
          <w:szCs w:val="24"/>
          <w:lang w:eastAsia="lv-LV"/>
        </w:rPr>
        <w:t>Smiltāju zālāji</w:t>
      </w:r>
      <w:r w:rsidRPr="00A07F29">
        <w:rPr>
          <w:rFonts w:ascii="Times New Roman" w:eastAsia="Times New Roman" w:hAnsi="Times New Roman" w:cs="Times New Roman"/>
          <w:bCs/>
          <w:color w:val="000000"/>
          <w:sz w:val="24"/>
          <w:szCs w:val="24"/>
          <w:lang w:eastAsia="lv-LV"/>
        </w:rPr>
        <w:t xml:space="preserve"> ir dzīvotnes smiltāju neļķei </w:t>
      </w:r>
      <w:proofErr w:type="spellStart"/>
      <w:r w:rsidRPr="00A07F29">
        <w:rPr>
          <w:rFonts w:ascii="Times New Roman" w:eastAsia="Times New Roman" w:hAnsi="Times New Roman" w:cs="Times New Roman"/>
          <w:bCs/>
          <w:i/>
          <w:iCs/>
          <w:color w:val="000000"/>
          <w:sz w:val="24"/>
          <w:szCs w:val="24"/>
          <w:lang w:eastAsia="lv-LV"/>
        </w:rPr>
        <w:t>Dianthus</w:t>
      </w:r>
      <w:proofErr w:type="spellEnd"/>
      <w:r w:rsidRPr="00A07F29">
        <w:rPr>
          <w:rFonts w:ascii="Times New Roman" w:eastAsia="Times New Roman" w:hAnsi="Times New Roman" w:cs="Times New Roman"/>
          <w:b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arenarius</w:t>
      </w:r>
      <w:proofErr w:type="spellEnd"/>
      <w:r w:rsidRPr="00A07F29">
        <w:rPr>
          <w:rFonts w:ascii="Times New Roman" w:eastAsia="Times New Roman" w:hAnsi="Times New Roman" w:cs="Times New Roman"/>
          <w:bCs/>
          <w:color w:val="000000"/>
          <w:sz w:val="24"/>
          <w:szCs w:val="24"/>
          <w:lang w:eastAsia="lv-LV"/>
        </w:rPr>
        <w:t xml:space="preserve"> un sīpoliņu gundegai </w:t>
      </w:r>
      <w:proofErr w:type="spellStart"/>
      <w:r w:rsidRPr="00A07F29">
        <w:rPr>
          <w:rFonts w:ascii="Times New Roman" w:eastAsia="Times New Roman" w:hAnsi="Times New Roman" w:cs="Times New Roman"/>
          <w:bCs/>
          <w:i/>
          <w:iCs/>
          <w:color w:val="000000"/>
          <w:sz w:val="24"/>
          <w:szCs w:val="24"/>
          <w:lang w:eastAsia="lv-LV"/>
        </w:rPr>
        <w:t>Ranunculus</w:t>
      </w:r>
      <w:proofErr w:type="spellEnd"/>
      <w:r w:rsidRPr="00A07F29">
        <w:rPr>
          <w:rFonts w:ascii="Times New Roman" w:eastAsia="Times New Roman" w:hAnsi="Times New Roman" w:cs="Times New Roman"/>
          <w:bCs/>
          <w:i/>
          <w:i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bulbosus</w:t>
      </w:r>
      <w:proofErr w:type="spellEnd"/>
      <w:r w:rsidRPr="00A07F29">
        <w:rPr>
          <w:rFonts w:ascii="Times New Roman" w:eastAsia="Times New Roman" w:hAnsi="Times New Roman" w:cs="Times New Roman"/>
          <w:bCs/>
          <w:iCs/>
          <w:color w:val="000000"/>
          <w:sz w:val="24"/>
          <w:szCs w:val="24"/>
          <w:lang w:eastAsia="lv-LV"/>
        </w:rPr>
        <w:t>, bet biotops 6210</w:t>
      </w:r>
      <w:r w:rsidR="00DC1304">
        <w:rPr>
          <w:rFonts w:ascii="Times New Roman" w:eastAsia="Times New Roman" w:hAnsi="Times New Roman" w:cs="Times New Roman"/>
          <w:bCs/>
          <w:iCs/>
          <w:color w:val="000000"/>
          <w:sz w:val="24"/>
          <w:szCs w:val="24"/>
          <w:lang w:eastAsia="lv-LV"/>
        </w:rPr>
        <w:t> </w:t>
      </w:r>
      <w:r w:rsidRPr="00A07F29">
        <w:rPr>
          <w:rFonts w:ascii="Times New Roman" w:eastAsia="Times New Roman" w:hAnsi="Times New Roman" w:cs="Times New Roman"/>
          <w:bCs/>
          <w:i/>
          <w:iCs/>
          <w:color w:val="000000"/>
          <w:sz w:val="24"/>
          <w:szCs w:val="24"/>
          <w:lang w:eastAsia="lv-LV"/>
        </w:rPr>
        <w:t>Sausi zālāji kaļķainās augsnēs</w:t>
      </w:r>
      <w:r w:rsidRPr="00A07F29">
        <w:rPr>
          <w:rFonts w:ascii="Times New Roman" w:eastAsia="Times New Roman" w:hAnsi="Times New Roman" w:cs="Times New Roman"/>
          <w:bCs/>
          <w:color w:val="000000"/>
          <w:sz w:val="24"/>
          <w:szCs w:val="24"/>
          <w:lang w:eastAsia="lv-LV"/>
        </w:rPr>
        <w:t xml:space="preserve"> ir dzīvotnes</w:t>
      </w:r>
      <w:r w:rsidRPr="00A07F29" w:rsidDel="00622F7A">
        <w:rPr>
          <w:rFonts w:ascii="Times New Roman" w:eastAsia="Times New Roman" w:hAnsi="Times New Roman" w:cs="Times New Roman"/>
          <w:bCs/>
          <w:color w:val="000000"/>
          <w:sz w:val="24"/>
          <w:szCs w:val="24"/>
          <w:lang w:eastAsia="lv-LV"/>
        </w:rPr>
        <w:t xml:space="preserve"> </w:t>
      </w:r>
      <w:proofErr w:type="spellStart"/>
      <w:r w:rsidRPr="00A07F29">
        <w:rPr>
          <w:rFonts w:ascii="Times New Roman" w:eastAsia="Times New Roman" w:hAnsi="Times New Roman" w:cs="Times New Roman"/>
          <w:bCs/>
          <w:color w:val="000000"/>
          <w:sz w:val="24"/>
          <w:szCs w:val="24"/>
          <w:lang w:eastAsia="lv-LV"/>
        </w:rPr>
        <w:t>krustlapu</w:t>
      </w:r>
      <w:proofErr w:type="spellEnd"/>
      <w:r w:rsidRPr="00A07F29">
        <w:rPr>
          <w:rFonts w:ascii="Times New Roman" w:eastAsia="Times New Roman" w:hAnsi="Times New Roman" w:cs="Times New Roman"/>
          <w:bCs/>
          <w:color w:val="000000"/>
          <w:sz w:val="24"/>
          <w:szCs w:val="24"/>
          <w:lang w:eastAsia="lv-LV"/>
        </w:rPr>
        <w:t xml:space="preserve"> drudzenei</w:t>
      </w:r>
      <w:r w:rsidRPr="00A07F29">
        <w:rPr>
          <w:rFonts w:ascii="Times New Roman" w:eastAsia="Times New Roman" w:hAnsi="Times New Roman" w:cs="Times New Roman"/>
          <w:bCs/>
          <w:i/>
          <w:i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Gentiana</w:t>
      </w:r>
      <w:proofErr w:type="spellEnd"/>
      <w:r w:rsidRPr="00A07F29">
        <w:rPr>
          <w:rFonts w:ascii="Times New Roman" w:eastAsia="Times New Roman" w:hAnsi="Times New Roman" w:cs="Times New Roman"/>
          <w:bCs/>
          <w:i/>
          <w:i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cruciata</w:t>
      </w:r>
      <w:proofErr w:type="spellEnd"/>
      <w:r w:rsidRPr="00A07F29">
        <w:rPr>
          <w:rFonts w:ascii="Times New Roman" w:eastAsia="Times New Roman" w:hAnsi="Times New Roman" w:cs="Times New Roman"/>
          <w:bCs/>
          <w:i/>
          <w:iCs/>
          <w:color w:val="000000"/>
          <w:sz w:val="24"/>
          <w:szCs w:val="24"/>
          <w:lang w:eastAsia="lv-LV"/>
        </w:rPr>
        <w:t xml:space="preserve">. </w:t>
      </w:r>
      <w:r w:rsidRPr="00A07F29">
        <w:rPr>
          <w:rFonts w:ascii="Times New Roman" w:eastAsia="Times New Roman" w:hAnsi="Times New Roman" w:cs="Times New Roman"/>
          <w:bCs/>
          <w:iCs/>
          <w:color w:val="000000"/>
          <w:sz w:val="24"/>
          <w:szCs w:val="24"/>
          <w:lang w:eastAsia="lv-LV"/>
        </w:rPr>
        <w:t>6450</w:t>
      </w:r>
      <w:r w:rsidR="00DC1304">
        <w:rPr>
          <w:rFonts w:ascii="Times New Roman" w:eastAsia="Times New Roman" w:hAnsi="Times New Roman" w:cs="Times New Roman"/>
          <w:bCs/>
          <w:iCs/>
          <w:color w:val="000000"/>
          <w:sz w:val="24"/>
          <w:szCs w:val="24"/>
          <w:lang w:eastAsia="lv-LV"/>
        </w:rPr>
        <w:t> </w:t>
      </w:r>
      <w:r w:rsidRPr="00A07F29">
        <w:rPr>
          <w:rFonts w:ascii="Times New Roman" w:eastAsia="Calibri" w:hAnsi="Times New Roman" w:cs="Times New Roman"/>
          <w:i/>
          <w:sz w:val="24"/>
          <w:szCs w:val="24"/>
        </w:rPr>
        <w:t>Palieņu zālāji</w:t>
      </w:r>
      <w:r w:rsidRPr="00A07F29">
        <w:rPr>
          <w:rFonts w:ascii="Calibri" w:eastAsia="Calibri" w:hAnsi="Calibri" w:cs="Times New Roman"/>
        </w:rPr>
        <w:t xml:space="preserve"> </w:t>
      </w:r>
      <w:r w:rsidRPr="00A07F29">
        <w:rPr>
          <w:rFonts w:ascii="Times New Roman" w:eastAsia="Calibri" w:hAnsi="Times New Roman" w:cs="Times New Roman"/>
          <w:sz w:val="24"/>
          <w:szCs w:val="24"/>
        </w:rPr>
        <w:t>AAA teritorijā ir nozīmīga dzīvotne samērā bieži Daugavas palienē sastopamajam</w:t>
      </w:r>
      <w:r w:rsidRPr="00A07F29">
        <w:rPr>
          <w:rFonts w:ascii="Calibri" w:eastAsia="Calibri" w:hAnsi="Calibri" w:cs="Times New Roman"/>
        </w:rPr>
        <w:t xml:space="preserve"> </w:t>
      </w:r>
      <w:r w:rsidRPr="00A07F29">
        <w:rPr>
          <w:rFonts w:ascii="Times New Roman" w:eastAsia="Times New Roman" w:hAnsi="Times New Roman" w:cs="Times New Roman"/>
          <w:bCs/>
          <w:color w:val="000000"/>
          <w:sz w:val="24"/>
          <w:szCs w:val="24"/>
          <w:lang w:eastAsia="lv-LV"/>
        </w:rPr>
        <w:t xml:space="preserve">maurlokam </w:t>
      </w:r>
      <w:proofErr w:type="spellStart"/>
      <w:r w:rsidRPr="00A07F29">
        <w:rPr>
          <w:rFonts w:ascii="Times New Roman" w:eastAsia="Times New Roman" w:hAnsi="Times New Roman" w:cs="Times New Roman"/>
          <w:bCs/>
          <w:i/>
          <w:iCs/>
          <w:color w:val="000000"/>
          <w:sz w:val="24"/>
          <w:szCs w:val="24"/>
          <w:lang w:eastAsia="lv-LV"/>
        </w:rPr>
        <w:t>Allium</w:t>
      </w:r>
      <w:proofErr w:type="spellEnd"/>
      <w:r w:rsidRPr="00A07F29">
        <w:rPr>
          <w:rFonts w:ascii="Times New Roman" w:eastAsia="Times New Roman" w:hAnsi="Times New Roman" w:cs="Times New Roman"/>
          <w:bCs/>
          <w:i/>
          <w:i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schoenoprasum</w:t>
      </w:r>
      <w:proofErr w:type="spellEnd"/>
      <w:r w:rsidRPr="00A07F29">
        <w:rPr>
          <w:rFonts w:ascii="Times New Roman" w:eastAsia="Times New Roman" w:hAnsi="Times New Roman" w:cs="Times New Roman"/>
          <w:bCs/>
          <w:i/>
          <w:iCs/>
          <w:color w:val="000000"/>
          <w:sz w:val="24"/>
          <w:szCs w:val="24"/>
          <w:lang w:eastAsia="lv-LV"/>
        </w:rPr>
        <w:t xml:space="preserve">, </w:t>
      </w:r>
      <w:r w:rsidRPr="00A07F29">
        <w:rPr>
          <w:rFonts w:ascii="Times New Roman" w:eastAsia="Times New Roman" w:hAnsi="Times New Roman" w:cs="Times New Roman"/>
          <w:bCs/>
          <w:color w:val="000000"/>
          <w:sz w:val="24"/>
          <w:szCs w:val="24"/>
          <w:lang w:eastAsia="lv-LV"/>
        </w:rPr>
        <w:t xml:space="preserve">britu </w:t>
      </w:r>
      <w:proofErr w:type="spellStart"/>
      <w:r w:rsidRPr="00A07F29">
        <w:rPr>
          <w:rFonts w:ascii="Times New Roman" w:eastAsia="Times New Roman" w:hAnsi="Times New Roman" w:cs="Times New Roman"/>
          <w:bCs/>
          <w:color w:val="000000"/>
          <w:sz w:val="24"/>
          <w:szCs w:val="24"/>
          <w:lang w:eastAsia="lv-LV"/>
        </w:rPr>
        <w:t>staģei</w:t>
      </w:r>
      <w:proofErr w:type="spellEnd"/>
      <w:r w:rsidRPr="00A07F29">
        <w:rPr>
          <w:rFonts w:ascii="Times New Roman" w:eastAsia="Times New Roman" w:hAnsi="Times New Roman" w:cs="Times New Roman"/>
          <w:b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Inula</w:t>
      </w:r>
      <w:proofErr w:type="spellEnd"/>
      <w:r w:rsidRPr="00A07F29">
        <w:rPr>
          <w:rFonts w:ascii="Times New Roman" w:eastAsia="Times New Roman" w:hAnsi="Times New Roman" w:cs="Times New Roman"/>
          <w:bCs/>
          <w:i/>
          <w:i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britannica</w:t>
      </w:r>
      <w:proofErr w:type="spellEnd"/>
      <w:r w:rsidRPr="00A07F29">
        <w:rPr>
          <w:rFonts w:ascii="Times New Roman" w:eastAsia="Times New Roman" w:hAnsi="Times New Roman" w:cs="Times New Roman"/>
          <w:bCs/>
          <w:iCs/>
          <w:color w:val="000000"/>
          <w:sz w:val="24"/>
          <w:szCs w:val="24"/>
          <w:lang w:eastAsia="lv-LV"/>
        </w:rPr>
        <w:t xml:space="preserve">, </w:t>
      </w:r>
      <w:proofErr w:type="spellStart"/>
      <w:r w:rsidRPr="00A07F29">
        <w:rPr>
          <w:rFonts w:ascii="Times New Roman" w:eastAsia="Times New Roman" w:hAnsi="Times New Roman" w:cs="Times New Roman"/>
          <w:bCs/>
          <w:color w:val="000000"/>
          <w:sz w:val="24"/>
          <w:szCs w:val="24"/>
          <w:lang w:eastAsia="lv-LV"/>
        </w:rPr>
        <w:t>melnodzenei</w:t>
      </w:r>
      <w:proofErr w:type="spellEnd"/>
      <w:r w:rsidRPr="00A07F29">
        <w:rPr>
          <w:rFonts w:ascii="Times New Roman" w:eastAsia="Times New Roman" w:hAnsi="Times New Roman" w:cs="Times New Roman"/>
          <w:b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Cucubalus</w:t>
      </w:r>
      <w:proofErr w:type="spellEnd"/>
      <w:r w:rsidRPr="00A07F29">
        <w:rPr>
          <w:rFonts w:ascii="Times New Roman" w:eastAsia="Times New Roman" w:hAnsi="Times New Roman" w:cs="Times New Roman"/>
          <w:bCs/>
          <w:i/>
          <w:i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baccifer</w:t>
      </w:r>
      <w:proofErr w:type="spellEnd"/>
      <w:r w:rsidRPr="00A07F29">
        <w:rPr>
          <w:rFonts w:ascii="Times New Roman" w:eastAsia="Times New Roman" w:hAnsi="Times New Roman" w:cs="Times New Roman"/>
          <w:bCs/>
          <w:color w:val="000000"/>
          <w:sz w:val="24"/>
          <w:szCs w:val="24"/>
          <w:lang w:eastAsia="lv-LV"/>
        </w:rPr>
        <w:t>,</w:t>
      </w:r>
      <w:r w:rsidRPr="00A07F29">
        <w:rPr>
          <w:rFonts w:ascii="Times New Roman" w:eastAsia="Times New Roman" w:hAnsi="Times New Roman" w:cs="Times New Roman"/>
          <w:bCs/>
          <w:iCs/>
          <w:color w:val="000000"/>
          <w:sz w:val="24"/>
          <w:szCs w:val="24"/>
          <w:lang w:eastAsia="lv-LV"/>
        </w:rPr>
        <w:t xml:space="preserve"> visā Daugavas ielejā retajai sugai</w:t>
      </w:r>
      <w:r w:rsidR="00D65BBA" w:rsidRPr="00A07F29">
        <w:rPr>
          <w:rFonts w:ascii="Times New Roman" w:eastAsia="Times New Roman" w:hAnsi="Times New Roman" w:cs="Times New Roman"/>
          <w:bCs/>
          <w:iCs/>
          <w:color w:val="000000"/>
          <w:sz w:val="24"/>
          <w:szCs w:val="24"/>
          <w:lang w:eastAsia="lv-LV"/>
        </w:rPr>
        <w:t xml:space="preserve"> </w:t>
      </w:r>
      <w:r w:rsidRPr="00A07F29">
        <w:rPr>
          <w:rFonts w:ascii="Times New Roman" w:eastAsia="Times New Roman" w:hAnsi="Times New Roman" w:cs="Times New Roman"/>
          <w:bCs/>
          <w:color w:val="000000"/>
          <w:sz w:val="24"/>
          <w:szCs w:val="24"/>
          <w:lang w:eastAsia="lv-LV"/>
        </w:rPr>
        <w:t xml:space="preserve">ārstniecības </w:t>
      </w:r>
      <w:proofErr w:type="spellStart"/>
      <w:r w:rsidRPr="00A07F29">
        <w:rPr>
          <w:rFonts w:ascii="Times New Roman" w:eastAsia="Times New Roman" w:hAnsi="Times New Roman" w:cs="Times New Roman"/>
          <w:bCs/>
          <w:color w:val="000000"/>
          <w:sz w:val="24"/>
          <w:szCs w:val="24"/>
          <w:lang w:eastAsia="lv-LV"/>
        </w:rPr>
        <w:t>rūgtenei</w:t>
      </w:r>
      <w:proofErr w:type="spellEnd"/>
      <w:r w:rsidRPr="00A07F29">
        <w:rPr>
          <w:rFonts w:ascii="Times New Roman" w:eastAsia="Times New Roman" w:hAnsi="Times New Roman" w:cs="Times New Roman"/>
          <w:bCs/>
          <w:i/>
          <w:i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Gratiola</w:t>
      </w:r>
      <w:proofErr w:type="spellEnd"/>
      <w:r w:rsidRPr="00A07F29">
        <w:rPr>
          <w:rFonts w:ascii="Times New Roman" w:eastAsia="Times New Roman" w:hAnsi="Times New Roman" w:cs="Times New Roman"/>
          <w:bCs/>
          <w:i/>
          <w:i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officinalis</w:t>
      </w:r>
      <w:proofErr w:type="spellEnd"/>
      <w:r w:rsidRPr="00A07F29">
        <w:rPr>
          <w:rFonts w:ascii="Times New Roman" w:eastAsia="Times New Roman" w:hAnsi="Times New Roman" w:cs="Times New Roman"/>
          <w:bCs/>
          <w:color w:val="000000"/>
          <w:sz w:val="24"/>
          <w:szCs w:val="24"/>
          <w:lang w:eastAsia="lv-LV"/>
        </w:rPr>
        <w:t xml:space="preserve"> utt.</w:t>
      </w:r>
    </w:p>
    <w:p w14:paraId="096FAE65" w14:textId="77C01499" w:rsidR="009C69F5" w:rsidRPr="00A07F29" w:rsidRDefault="0024348A" w:rsidP="0006237A">
      <w:pPr>
        <w:spacing w:after="120" w:line="240" w:lineRule="auto"/>
        <w:ind w:firstLine="851"/>
        <w:jc w:val="both"/>
        <w:rPr>
          <w:rFonts w:ascii="Times New Roman" w:eastAsia="Times New Roman" w:hAnsi="Times New Roman" w:cs="Times New Roman"/>
          <w:bCs/>
          <w:color w:val="000000"/>
          <w:sz w:val="24"/>
          <w:szCs w:val="24"/>
          <w:lang w:eastAsia="lv-LV"/>
        </w:rPr>
      </w:pPr>
      <w:r w:rsidRPr="00A07F29">
        <w:rPr>
          <w:rFonts w:ascii="Times New Roman" w:eastAsia="Times New Roman" w:hAnsi="Times New Roman" w:cs="Times New Roman"/>
          <w:bCs/>
          <w:color w:val="000000"/>
          <w:sz w:val="24"/>
          <w:szCs w:val="24"/>
          <w:lang w:eastAsia="lv-LV"/>
        </w:rPr>
        <w:t>Teritorijā esošie zālāji ir nozīmīga putnu ligzdošanas vieta</w:t>
      </w:r>
      <w:r w:rsidR="00375036" w:rsidRPr="00A07F29">
        <w:rPr>
          <w:rFonts w:ascii="Times New Roman" w:eastAsia="Calibri" w:hAnsi="Times New Roman" w:cs="Times New Roman"/>
          <w:sz w:val="24"/>
          <w:szCs w:val="24"/>
        </w:rPr>
        <w:t xml:space="preserve"> un tos </w:t>
      </w:r>
      <w:proofErr w:type="spellStart"/>
      <w:r w:rsidR="00375036" w:rsidRPr="00A07F29">
        <w:rPr>
          <w:rFonts w:ascii="Times New Roman" w:eastAsia="Calibri" w:hAnsi="Times New Roman" w:cs="Times New Roman"/>
          <w:sz w:val="24"/>
          <w:szCs w:val="24"/>
        </w:rPr>
        <w:t>sagalabājot</w:t>
      </w:r>
      <w:proofErr w:type="spellEnd"/>
      <w:r w:rsidR="00375036" w:rsidRPr="00A07F29">
        <w:rPr>
          <w:rFonts w:ascii="Times New Roman" w:eastAsia="Calibri" w:hAnsi="Times New Roman" w:cs="Times New Roman"/>
          <w:sz w:val="24"/>
          <w:szCs w:val="24"/>
        </w:rPr>
        <w:t xml:space="preserve"> un pareizi apsaimniekojot, tiek uzlabotas un palielinātas arī ar zālāju biotopiem saistīto putnu sugu apdzīvojamās platības (</w:t>
      </w:r>
      <w:proofErr w:type="spellStart"/>
      <w:r w:rsidR="00375036" w:rsidRPr="00A07F29">
        <w:rPr>
          <w:rFonts w:ascii="Times New Roman" w:eastAsia="Calibri" w:hAnsi="Times New Roman" w:cs="Times New Roman"/>
          <w:sz w:val="24"/>
          <w:szCs w:val="24"/>
        </w:rPr>
        <w:t>Grandāns</w:t>
      </w:r>
      <w:proofErr w:type="spellEnd"/>
      <w:r w:rsidR="00BF20BB">
        <w:rPr>
          <w:rFonts w:ascii="Times New Roman" w:eastAsia="Calibri" w:hAnsi="Times New Roman" w:cs="Times New Roman"/>
          <w:sz w:val="24"/>
          <w:szCs w:val="24"/>
        </w:rPr>
        <w:t xml:space="preserve"> G.,</w:t>
      </w:r>
      <w:r w:rsidR="00375036" w:rsidRPr="00A07F29">
        <w:rPr>
          <w:rFonts w:ascii="Times New Roman" w:eastAsia="Calibri" w:hAnsi="Times New Roman" w:cs="Times New Roman"/>
          <w:sz w:val="24"/>
          <w:szCs w:val="24"/>
        </w:rPr>
        <w:t xml:space="preserve"> 2019)</w:t>
      </w:r>
      <w:r w:rsidRPr="00A07F29">
        <w:rPr>
          <w:rFonts w:ascii="Times New Roman" w:eastAsia="Times New Roman" w:hAnsi="Times New Roman" w:cs="Times New Roman"/>
          <w:bCs/>
          <w:color w:val="000000"/>
          <w:sz w:val="24"/>
          <w:szCs w:val="24"/>
          <w:lang w:eastAsia="lv-LV"/>
        </w:rPr>
        <w:t xml:space="preserve">. AAA “Augšdaugava” teritorijā kā potenciāli ligzdojošas konstatētas sekojošas putnu sugas, kas iekļautas putniem bioloģiski vērtīgu zālāju </w:t>
      </w:r>
      <w:proofErr w:type="spellStart"/>
      <w:r w:rsidRPr="00A07F29">
        <w:rPr>
          <w:rFonts w:ascii="Times New Roman" w:eastAsia="Times New Roman" w:hAnsi="Times New Roman" w:cs="Times New Roman"/>
          <w:bCs/>
          <w:color w:val="000000"/>
          <w:sz w:val="24"/>
          <w:szCs w:val="24"/>
          <w:lang w:eastAsia="lv-LV"/>
        </w:rPr>
        <w:t>indikatorsugu</w:t>
      </w:r>
      <w:proofErr w:type="spellEnd"/>
      <w:r w:rsidRPr="00A07F29">
        <w:rPr>
          <w:rFonts w:ascii="Times New Roman" w:eastAsia="Times New Roman" w:hAnsi="Times New Roman" w:cs="Times New Roman"/>
          <w:bCs/>
          <w:color w:val="000000"/>
          <w:sz w:val="24"/>
          <w:szCs w:val="24"/>
          <w:lang w:eastAsia="lv-LV"/>
        </w:rPr>
        <w:t xml:space="preserve"> sarakstā: baltais stārķis, mazais ērglis, rubenis, grieze, ormanītis, ķīvīte, mērkaziņa, pļavu </w:t>
      </w:r>
      <w:proofErr w:type="spellStart"/>
      <w:r w:rsidRPr="00A07F29">
        <w:rPr>
          <w:rFonts w:ascii="Times New Roman" w:eastAsia="Times New Roman" w:hAnsi="Times New Roman" w:cs="Times New Roman"/>
          <w:bCs/>
          <w:color w:val="000000"/>
          <w:sz w:val="24"/>
          <w:szCs w:val="24"/>
          <w:lang w:eastAsia="lv-LV"/>
        </w:rPr>
        <w:t>čipste</w:t>
      </w:r>
      <w:proofErr w:type="spellEnd"/>
      <w:r w:rsidRPr="00A07F29">
        <w:rPr>
          <w:rFonts w:ascii="Times New Roman" w:eastAsia="Times New Roman" w:hAnsi="Times New Roman" w:cs="Times New Roman"/>
          <w:bCs/>
          <w:color w:val="000000"/>
          <w:sz w:val="24"/>
          <w:szCs w:val="24"/>
          <w:lang w:eastAsia="lv-LV"/>
        </w:rPr>
        <w:t>, dzeltenā cielava, brūnā čakste, mazais svilpis.</w:t>
      </w:r>
      <w:r w:rsidR="00D04EC2" w:rsidRPr="00A07F29">
        <w:rPr>
          <w:rFonts w:ascii="Times New Roman" w:eastAsia="Times New Roman" w:hAnsi="Times New Roman" w:cs="Times New Roman"/>
          <w:bCs/>
          <w:color w:val="000000"/>
          <w:sz w:val="24"/>
          <w:szCs w:val="24"/>
          <w:lang w:eastAsia="lv-LV"/>
        </w:rPr>
        <w:t xml:space="preserve"> </w:t>
      </w:r>
      <w:r w:rsidR="009C69F5" w:rsidRPr="00A07F29">
        <w:rPr>
          <w:rFonts w:ascii="Times New Roman" w:eastAsia="Times New Roman" w:hAnsi="Times New Roman" w:cs="Times New Roman"/>
          <w:bCs/>
          <w:color w:val="000000"/>
          <w:sz w:val="24"/>
          <w:szCs w:val="24"/>
          <w:lang w:eastAsia="lv-LV"/>
        </w:rPr>
        <w:t>Putnu sugām vērtīgas dzīvotnes ir zālāju kompleksi vai zālāji, kas ir lielāki par 10</w:t>
      </w:r>
      <w:r w:rsidR="004F2747">
        <w:rPr>
          <w:rFonts w:ascii="Times New Roman" w:eastAsia="Times New Roman" w:hAnsi="Times New Roman" w:cs="Times New Roman"/>
          <w:bCs/>
          <w:color w:val="000000"/>
          <w:sz w:val="24"/>
          <w:szCs w:val="24"/>
          <w:lang w:eastAsia="lv-LV"/>
        </w:rPr>
        <w:t> </w:t>
      </w:r>
      <w:r w:rsidR="009C69F5" w:rsidRPr="00A07F29">
        <w:rPr>
          <w:rFonts w:ascii="Times New Roman" w:eastAsia="Times New Roman" w:hAnsi="Times New Roman" w:cs="Times New Roman"/>
          <w:bCs/>
          <w:color w:val="000000"/>
          <w:sz w:val="24"/>
          <w:szCs w:val="24"/>
          <w:lang w:eastAsia="lv-LV"/>
        </w:rPr>
        <w:t>ha</w:t>
      </w:r>
      <w:r w:rsidR="00D04EC2" w:rsidRPr="00A07F29">
        <w:rPr>
          <w:rFonts w:ascii="Times New Roman" w:eastAsia="Times New Roman" w:hAnsi="Times New Roman" w:cs="Times New Roman"/>
          <w:bCs/>
          <w:color w:val="000000"/>
          <w:sz w:val="24"/>
          <w:szCs w:val="24"/>
          <w:lang w:eastAsia="lv-LV"/>
        </w:rPr>
        <w:t xml:space="preserve"> un ir </w:t>
      </w:r>
      <w:r w:rsidR="009C69F5" w:rsidRPr="00A07F29">
        <w:rPr>
          <w:rFonts w:ascii="Times New Roman" w:eastAsia="Times New Roman" w:hAnsi="Times New Roman" w:cs="Times New Roman"/>
          <w:bCs/>
          <w:color w:val="000000"/>
          <w:sz w:val="24"/>
          <w:szCs w:val="24"/>
          <w:lang w:eastAsia="lv-LV"/>
        </w:rPr>
        <w:t>pareizi apsaimniekoti</w:t>
      </w:r>
      <w:r w:rsidR="00D04EC2" w:rsidRPr="00A07F29">
        <w:rPr>
          <w:rFonts w:ascii="Times New Roman" w:eastAsia="Times New Roman" w:hAnsi="Times New Roman" w:cs="Times New Roman"/>
          <w:bCs/>
          <w:color w:val="000000"/>
          <w:sz w:val="24"/>
          <w:szCs w:val="24"/>
          <w:lang w:eastAsia="lv-LV"/>
        </w:rPr>
        <w:t>, nav aizauguši</w:t>
      </w:r>
      <w:r w:rsidR="009C69F5" w:rsidRPr="00A07F29">
        <w:rPr>
          <w:rFonts w:ascii="Times New Roman" w:eastAsia="Times New Roman" w:hAnsi="Times New Roman" w:cs="Times New Roman"/>
          <w:bCs/>
          <w:color w:val="000000"/>
          <w:sz w:val="24"/>
          <w:szCs w:val="24"/>
          <w:lang w:eastAsia="lv-LV"/>
        </w:rPr>
        <w:t xml:space="preserve"> ar kokiem un krūmiem</w:t>
      </w:r>
      <w:r w:rsidR="00D04EC2" w:rsidRPr="00A07F29">
        <w:rPr>
          <w:rFonts w:ascii="Times New Roman" w:eastAsia="Times New Roman" w:hAnsi="Times New Roman" w:cs="Times New Roman"/>
          <w:bCs/>
          <w:color w:val="000000"/>
          <w:sz w:val="24"/>
          <w:szCs w:val="24"/>
          <w:lang w:eastAsia="lv-LV"/>
        </w:rPr>
        <w:t>.</w:t>
      </w:r>
      <w:r w:rsidR="009C69F5" w:rsidRPr="00A07F29">
        <w:rPr>
          <w:rFonts w:ascii="Times New Roman" w:eastAsia="Times New Roman" w:hAnsi="Times New Roman" w:cs="Times New Roman"/>
          <w:bCs/>
          <w:color w:val="000000"/>
          <w:sz w:val="24"/>
          <w:szCs w:val="24"/>
          <w:lang w:eastAsia="lv-LV"/>
        </w:rPr>
        <w:t xml:space="preserve"> </w:t>
      </w:r>
      <w:r w:rsidR="00AD02D6" w:rsidRPr="00A07F29">
        <w:rPr>
          <w:rFonts w:ascii="Times New Roman" w:eastAsia="Times New Roman" w:hAnsi="Times New Roman" w:cs="Times New Roman"/>
          <w:bCs/>
          <w:color w:val="000000"/>
          <w:sz w:val="24"/>
          <w:szCs w:val="24"/>
          <w:lang w:eastAsia="lv-LV"/>
        </w:rPr>
        <w:t xml:space="preserve">Putniem nozīmīgi ir arī visi zālāji, kas atbilst ES </w:t>
      </w:r>
      <w:r w:rsidR="00AD02D6" w:rsidRPr="00AE4996">
        <w:rPr>
          <w:rFonts w:ascii="Times New Roman" w:eastAsia="Times New Roman" w:hAnsi="Times New Roman" w:cs="Times New Roman"/>
          <w:bCs/>
          <w:color w:val="000000"/>
          <w:sz w:val="24"/>
          <w:szCs w:val="24"/>
          <w:lang w:eastAsia="lv-LV"/>
        </w:rPr>
        <w:t>īpaši aizsargājama</w:t>
      </w:r>
      <w:r w:rsidR="00AD02D6" w:rsidRPr="00A07F29">
        <w:rPr>
          <w:rFonts w:ascii="Times New Roman" w:eastAsia="Times New Roman" w:hAnsi="Times New Roman" w:cs="Times New Roman"/>
          <w:bCs/>
          <w:color w:val="000000"/>
          <w:sz w:val="24"/>
          <w:szCs w:val="24"/>
          <w:lang w:eastAsia="lv-LV"/>
        </w:rPr>
        <w:t xml:space="preserve"> biotopa statusam un konkrētā biotopa apsaimniekošana būs labvēlīga arī tur ligzdojošajām putnu sugām.</w:t>
      </w:r>
      <w:r w:rsidR="00D04EC2" w:rsidRPr="00A07F29">
        <w:rPr>
          <w:rFonts w:ascii="Times New Roman" w:eastAsia="Times New Roman" w:hAnsi="Times New Roman" w:cs="Times New Roman"/>
          <w:bCs/>
          <w:color w:val="000000"/>
          <w:sz w:val="24"/>
          <w:szCs w:val="24"/>
          <w:lang w:eastAsia="lv-LV"/>
        </w:rPr>
        <w:t xml:space="preserve"> </w:t>
      </w:r>
    </w:p>
    <w:p w14:paraId="2A99F83C" w14:textId="4F478C3A" w:rsidR="0024348A" w:rsidRPr="00A07F29" w:rsidRDefault="0024348A" w:rsidP="0006237A">
      <w:pPr>
        <w:spacing w:after="120" w:line="240" w:lineRule="auto"/>
        <w:ind w:firstLine="851"/>
        <w:jc w:val="both"/>
        <w:rPr>
          <w:rFonts w:ascii="Times New Roman" w:eastAsia="Times New Roman" w:hAnsi="Times New Roman" w:cs="Times New Roman"/>
          <w:bCs/>
          <w:color w:val="000000"/>
          <w:sz w:val="24"/>
          <w:szCs w:val="24"/>
          <w:lang w:eastAsia="lv-LV"/>
        </w:rPr>
      </w:pPr>
      <w:r w:rsidRPr="00A07F29">
        <w:rPr>
          <w:rFonts w:ascii="Times New Roman" w:eastAsia="Times New Roman" w:hAnsi="Times New Roman" w:cs="Times New Roman"/>
          <w:bCs/>
          <w:color w:val="000000"/>
          <w:sz w:val="24"/>
          <w:szCs w:val="24"/>
          <w:lang w:eastAsia="lv-LV"/>
        </w:rPr>
        <w:t>Ņemot vērā, ka zālāji ir nozīmīgi ne tikai botānisko vērtību saglabāšanas ziņā, bet arī reto putnu sugu aizsardzības nodrošināšanā, tad optimāl</w:t>
      </w:r>
      <w:r w:rsidR="00D04EC2" w:rsidRPr="00A07F29">
        <w:rPr>
          <w:rFonts w:ascii="Times New Roman" w:eastAsia="Times New Roman" w:hAnsi="Times New Roman" w:cs="Times New Roman"/>
          <w:bCs/>
          <w:color w:val="000000"/>
          <w:sz w:val="24"/>
          <w:szCs w:val="24"/>
          <w:lang w:eastAsia="lv-LV"/>
        </w:rPr>
        <w:t xml:space="preserve">ais laiks </w:t>
      </w:r>
      <w:r w:rsidRPr="00A07F29">
        <w:rPr>
          <w:rFonts w:ascii="Times New Roman" w:eastAsia="Times New Roman" w:hAnsi="Times New Roman" w:cs="Times New Roman"/>
          <w:bCs/>
          <w:color w:val="000000"/>
          <w:sz w:val="24"/>
          <w:szCs w:val="24"/>
          <w:lang w:eastAsia="lv-LV"/>
        </w:rPr>
        <w:t>zālāju pļaušana</w:t>
      </w:r>
      <w:r w:rsidR="00D04EC2" w:rsidRPr="00A07F29">
        <w:rPr>
          <w:rFonts w:ascii="Times New Roman" w:eastAsia="Times New Roman" w:hAnsi="Times New Roman" w:cs="Times New Roman"/>
          <w:bCs/>
          <w:color w:val="000000"/>
          <w:sz w:val="24"/>
          <w:szCs w:val="24"/>
          <w:lang w:eastAsia="lv-LV"/>
        </w:rPr>
        <w:t>i ir</w:t>
      </w:r>
      <w:r w:rsidR="00D65BBA" w:rsidRPr="00A07F29">
        <w:rPr>
          <w:rFonts w:ascii="Times New Roman" w:eastAsia="Times New Roman" w:hAnsi="Times New Roman" w:cs="Times New Roman"/>
          <w:bCs/>
          <w:color w:val="000000"/>
          <w:sz w:val="24"/>
          <w:szCs w:val="24"/>
          <w:lang w:eastAsia="lv-LV"/>
        </w:rPr>
        <w:t xml:space="preserve"> </w:t>
      </w:r>
      <w:r w:rsidR="00234F56" w:rsidRPr="00A07F29">
        <w:rPr>
          <w:rFonts w:ascii="Times New Roman" w:eastAsia="Times New Roman" w:hAnsi="Times New Roman" w:cs="Times New Roman"/>
          <w:bCs/>
          <w:color w:val="000000"/>
          <w:sz w:val="24"/>
          <w:szCs w:val="24"/>
          <w:lang w:eastAsia="lv-LV"/>
        </w:rPr>
        <w:t xml:space="preserve">jūnija beigās </w:t>
      </w:r>
      <w:r w:rsidR="00CE4EAD">
        <w:rPr>
          <w:rFonts w:ascii="Times New Roman" w:eastAsia="Times New Roman" w:hAnsi="Times New Roman" w:cs="Times New Roman"/>
          <w:bCs/>
          <w:color w:val="000000"/>
          <w:sz w:val="24"/>
          <w:szCs w:val="24"/>
          <w:lang w:eastAsia="lv-LV"/>
        </w:rPr>
        <w:t>–</w:t>
      </w:r>
      <w:r w:rsidRPr="00A07F29">
        <w:rPr>
          <w:rFonts w:ascii="Times New Roman" w:eastAsia="Times New Roman" w:hAnsi="Times New Roman" w:cs="Times New Roman"/>
          <w:bCs/>
          <w:color w:val="000000"/>
          <w:sz w:val="24"/>
          <w:szCs w:val="24"/>
          <w:lang w:eastAsia="lv-LV"/>
        </w:rPr>
        <w:t xml:space="preserve"> jūlija </w:t>
      </w:r>
      <w:r w:rsidRPr="00A07F29">
        <w:rPr>
          <w:rFonts w:ascii="Times New Roman" w:eastAsia="Times New Roman" w:hAnsi="Times New Roman" w:cs="Times New Roman"/>
          <w:bCs/>
          <w:color w:val="000000"/>
          <w:sz w:val="24"/>
          <w:szCs w:val="24"/>
          <w:lang w:eastAsia="lv-LV"/>
        </w:rPr>
        <w:lastRenderedPageBreak/>
        <w:t xml:space="preserve">sākumā, ideālā gadījumā to pļaujot vairākos paņēmienos (pa daļām). </w:t>
      </w:r>
      <w:r w:rsidR="00574B65" w:rsidRPr="00A07F29">
        <w:rPr>
          <w:rFonts w:ascii="Times New Roman" w:eastAsia="Times New Roman" w:hAnsi="Times New Roman" w:cs="Times New Roman"/>
          <w:bCs/>
          <w:color w:val="000000"/>
          <w:sz w:val="24"/>
          <w:szCs w:val="24"/>
          <w:lang w:eastAsia="lv-LV"/>
        </w:rPr>
        <w:t>Lai paaugstinātu zālājos sastopamo putnu sugu ligzdošanas sekmes, v</w:t>
      </w:r>
      <w:r w:rsidR="00D04EC2" w:rsidRPr="00A07F29">
        <w:rPr>
          <w:rFonts w:ascii="Times New Roman" w:eastAsia="Times New Roman" w:hAnsi="Times New Roman" w:cs="Times New Roman"/>
          <w:bCs/>
          <w:color w:val="000000"/>
          <w:sz w:val="24"/>
          <w:szCs w:val="24"/>
          <w:lang w:eastAsia="lv-LV"/>
        </w:rPr>
        <w:t>isos AAA “Augšdaugava” esošajos zālājos</w:t>
      </w:r>
      <w:r w:rsidR="00574B65" w:rsidRPr="00A07F29">
        <w:rPr>
          <w:rFonts w:ascii="Times New Roman" w:eastAsia="Times New Roman" w:hAnsi="Times New Roman" w:cs="Times New Roman"/>
          <w:bCs/>
          <w:color w:val="000000"/>
          <w:sz w:val="24"/>
          <w:szCs w:val="24"/>
          <w:lang w:eastAsia="lv-LV"/>
        </w:rPr>
        <w:t xml:space="preserve"> (t.sk. ar</w:t>
      </w:r>
      <w:r w:rsidR="00F224FC">
        <w:rPr>
          <w:rFonts w:ascii="Times New Roman" w:eastAsia="Times New Roman" w:hAnsi="Times New Roman" w:cs="Times New Roman"/>
          <w:bCs/>
          <w:color w:val="000000"/>
          <w:sz w:val="24"/>
          <w:szCs w:val="24"/>
          <w:lang w:eastAsia="lv-LV"/>
        </w:rPr>
        <w:t>ī</w:t>
      </w:r>
      <w:r w:rsidR="00574B65" w:rsidRPr="00A07F29">
        <w:rPr>
          <w:rFonts w:ascii="Times New Roman" w:eastAsia="Times New Roman" w:hAnsi="Times New Roman" w:cs="Times New Roman"/>
          <w:bCs/>
          <w:color w:val="000000"/>
          <w:sz w:val="24"/>
          <w:szCs w:val="24"/>
          <w:lang w:eastAsia="lv-LV"/>
        </w:rPr>
        <w:t xml:space="preserve"> tajos, kas nav atzīti par ES nozī</w:t>
      </w:r>
      <w:r w:rsidR="00ED11EF" w:rsidRPr="00A07F29">
        <w:rPr>
          <w:rFonts w:ascii="Times New Roman" w:eastAsia="Times New Roman" w:hAnsi="Times New Roman" w:cs="Times New Roman"/>
          <w:bCs/>
          <w:color w:val="000000"/>
          <w:sz w:val="24"/>
          <w:szCs w:val="24"/>
          <w:lang w:eastAsia="lv-LV"/>
        </w:rPr>
        <w:t>m</w:t>
      </w:r>
      <w:r w:rsidR="00574B65" w:rsidRPr="00A07F29">
        <w:rPr>
          <w:rFonts w:ascii="Times New Roman" w:eastAsia="Times New Roman" w:hAnsi="Times New Roman" w:cs="Times New Roman"/>
          <w:bCs/>
          <w:color w:val="000000"/>
          <w:sz w:val="24"/>
          <w:szCs w:val="24"/>
          <w:lang w:eastAsia="lv-LV"/>
        </w:rPr>
        <w:t>es zālāju bioto</w:t>
      </w:r>
      <w:r w:rsidR="00ED11EF" w:rsidRPr="00A07F29">
        <w:rPr>
          <w:rFonts w:ascii="Times New Roman" w:eastAsia="Times New Roman" w:hAnsi="Times New Roman" w:cs="Times New Roman"/>
          <w:bCs/>
          <w:color w:val="000000"/>
          <w:sz w:val="24"/>
          <w:szCs w:val="24"/>
          <w:lang w:eastAsia="lv-LV"/>
        </w:rPr>
        <w:t>p</w:t>
      </w:r>
      <w:r w:rsidR="00574B65" w:rsidRPr="00A07F29">
        <w:rPr>
          <w:rFonts w:ascii="Times New Roman" w:eastAsia="Times New Roman" w:hAnsi="Times New Roman" w:cs="Times New Roman"/>
          <w:bCs/>
          <w:color w:val="000000"/>
          <w:sz w:val="24"/>
          <w:szCs w:val="24"/>
          <w:lang w:eastAsia="lv-LV"/>
        </w:rPr>
        <w:t>iem)</w:t>
      </w:r>
      <w:r w:rsidR="00D04EC2" w:rsidRPr="00A07F29">
        <w:rPr>
          <w:rFonts w:ascii="Times New Roman" w:eastAsia="Times New Roman" w:hAnsi="Times New Roman" w:cs="Times New Roman"/>
          <w:bCs/>
          <w:color w:val="000000"/>
          <w:sz w:val="24"/>
          <w:szCs w:val="24"/>
          <w:lang w:eastAsia="lv-LV"/>
        </w:rPr>
        <w:t xml:space="preserve"> pļaušana nebūtu pieļaujama pirms 20.</w:t>
      </w:r>
      <w:r w:rsidR="00092E0E">
        <w:rPr>
          <w:rFonts w:ascii="Times New Roman" w:eastAsia="Times New Roman" w:hAnsi="Times New Roman" w:cs="Times New Roman"/>
          <w:bCs/>
          <w:color w:val="000000"/>
          <w:sz w:val="24"/>
          <w:szCs w:val="24"/>
          <w:lang w:eastAsia="lv-LV"/>
        </w:rPr>
        <w:t> </w:t>
      </w:r>
      <w:r w:rsidR="00D04EC2" w:rsidRPr="00A07F29">
        <w:rPr>
          <w:rFonts w:ascii="Times New Roman" w:eastAsia="Times New Roman" w:hAnsi="Times New Roman" w:cs="Times New Roman"/>
          <w:bCs/>
          <w:color w:val="000000"/>
          <w:sz w:val="24"/>
          <w:szCs w:val="24"/>
          <w:lang w:eastAsia="lv-LV"/>
        </w:rPr>
        <w:t>jūnija.</w:t>
      </w:r>
    </w:p>
    <w:p w14:paraId="116259EE" w14:textId="6C7709C6" w:rsidR="00B23E4F" w:rsidRPr="00A07F29" w:rsidRDefault="00574B65" w:rsidP="0006237A">
      <w:pPr>
        <w:spacing w:after="120" w:line="240" w:lineRule="auto"/>
        <w:ind w:firstLine="851"/>
        <w:jc w:val="both"/>
        <w:rPr>
          <w:rFonts w:ascii="Times New Roman" w:eastAsia="Times New Roman" w:hAnsi="Times New Roman" w:cs="Times New Roman"/>
          <w:bCs/>
          <w:color w:val="000000"/>
          <w:sz w:val="24"/>
          <w:szCs w:val="24"/>
          <w:lang w:eastAsia="lv-LV"/>
        </w:rPr>
      </w:pPr>
      <w:r w:rsidRPr="00A07F29">
        <w:rPr>
          <w:rFonts w:ascii="Times New Roman" w:eastAsia="Times New Roman" w:hAnsi="Times New Roman" w:cs="Times New Roman"/>
          <w:bCs/>
          <w:color w:val="000000"/>
          <w:sz w:val="24"/>
          <w:szCs w:val="24"/>
          <w:lang w:eastAsia="lv-LV"/>
        </w:rPr>
        <w:t xml:space="preserve">Dabiskie zālāji ir nozīmīga dzīvotne savvaļas apputeksnētāju sugām, tostarp ar noteiktām augu sugām saistītām retām un </w:t>
      </w:r>
      <w:r w:rsidRPr="00AE4996">
        <w:rPr>
          <w:rFonts w:ascii="Times New Roman" w:eastAsia="Times New Roman" w:hAnsi="Times New Roman" w:cs="Times New Roman"/>
          <w:bCs/>
          <w:color w:val="000000"/>
          <w:sz w:val="24"/>
          <w:szCs w:val="24"/>
          <w:lang w:eastAsia="lv-LV"/>
        </w:rPr>
        <w:t>īpaši aizsargājamām</w:t>
      </w:r>
      <w:r w:rsidRPr="00A07F29">
        <w:rPr>
          <w:rFonts w:ascii="Times New Roman" w:eastAsia="Times New Roman" w:hAnsi="Times New Roman" w:cs="Times New Roman"/>
          <w:bCs/>
          <w:color w:val="000000"/>
          <w:sz w:val="24"/>
          <w:szCs w:val="24"/>
          <w:lang w:eastAsia="lv-LV"/>
        </w:rPr>
        <w:t xml:space="preserve"> tauriņu sugām. </w:t>
      </w:r>
      <w:r w:rsidR="00B23E4F" w:rsidRPr="00A07F29">
        <w:rPr>
          <w:rFonts w:ascii="Times New Roman" w:eastAsia="Times New Roman" w:hAnsi="Times New Roman" w:cs="Times New Roman"/>
          <w:bCs/>
          <w:color w:val="000000"/>
          <w:sz w:val="24"/>
          <w:szCs w:val="24"/>
          <w:lang w:eastAsia="lv-LV"/>
        </w:rPr>
        <w:t>Lielākās zālāju platības teritorijā ir zālāju biotopam 6210</w:t>
      </w:r>
      <w:r w:rsidR="00092E0E">
        <w:rPr>
          <w:rFonts w:ascii="Times New Roman" w:eastAsia="Times New Roman" w:hAnsi="Times New Roman" w:cs="Times New Roman"/>
          <w:bCs/>
          <w:color w:val="000000"/>
          <w:sz w:val="24"/>
          <w:szCs w:val="24"/>
          <w:lang w:eastAsia="lv-LV"/>
        </w:rPr>
        <w:t> </w:t>
      </w:r>
      <w:r w:rsidR="00B23E4F" w:rsidRPr="00A07F29">
        <w:rPr>
          <w:rFonts w:ascii="Times New Roman" w:eastAsia="Times New Roman" w:hAnsi="Times New Roman" w:cs="Times New Roman"/>
          <w:bCs/>
          <w:i/>
          <w:iCs/>
          <w:color w:val="000000"/>
          <w:sz w:val="24"/>
          <w:szCs w:val="24"/>
          <w:lang w:eastAsia="lv-LV"/>
        </w:rPr>
        <w:t>Sausi zālāji kaļķainās augsnēs</w:t>
      </w:r>
      <w:r w:rsidR="00B23E4F" w:rsidRPr="00A07F29">
        <w:rPr>
          <w:rFonts w:ascii="Times New Roman" w:eastAsia="Times New Roman" w:hAnsi="Times New Roman" w:cs="Times New Roman"/>
          <w:bCs/>
          <w:color w:val="000000"/>
          <w:sz w:val="24"/>
          <w:szCs w:val="24"/>
          <w:lang w:eastAsia="lv-LV"/>
        </w:rPr>
        <w:t xml:space="preserve">. Šīs pļavas ir izcils aizsargājamo tauriņu barošanās biotops – it īpaši </w:t>
      </w:r>
      <w:proofErr w:type="spellStart"/>
      <w:r w:rsidR="00B23E4F" w:rsidRPr="00A07F29">
        <w:rPr>
          <w:rFonts w:ascii="Times New Roman" w:eastAsia="Times New Roman" w:hAnsi="Times New Roman" w:cs="Times New Roman"/>
          <w:bCs/>
          <w:color w:val="000000"/>
          <w:sz w:val="24"/>
          <w:szCs w:val="24"/>
          <w:lang w:eastAsia="lv-LV"/>
        </w:rPr>
        <w:t>skabiozu</w:t>
      </w:r>
      <w:proofErr w:type="spellEnd"/>
      <w:r w:rsidR="00B23E4F" w:rsidRPr="00A07F29">
        <w:rPr>
          <w:rFonts w:ascii="Times New Roman" w:eastAsia="Times New Roman" w:hAnsi="Times New Roman" w:cs="Times New Roman"/>
          <w:bCs/>
          <w:color w:val="000000"/>
          <w:sz w:val="24"/>
          <w:szCs w:val="24"/>
          <w:lang w:eastAsia="lv-LV"/>
        </w:rPr>
        <w:t xml:space="preserve"> </w:t>
      </w:r>
      <w:proofErr w:type="spellStart"/>
      <w:r w:rsidR="00B23E4F" w:rsidRPr="00A07F29">
        <w:rPr>
          <w:rFonts w:ascii="Times New Roman" w:eastAsia="Times New Roman" w:hAnsi="Times New Roman" w:cs="Times New Roman"/>
          <w:bCs/>
          <w:color w:val="000000"/>
          <w:sz w:val="24"/>
          <w:szCs w:val="24"/>
          <w:lang w:eastAsia="lv-LV"/>
        </w:rPr>
        <w:t>pļavraibeņa</w:t>
      </w:r>
      <w:proofErr w:type="spellEnd"/>
      <w:r w:rsidR="00B23E4F" w:rsidRPr="00A07F29">
        <w:rPr>
          <w:rFonts w:ascii="Times New Roman" w:eastAsia="Times New Roman" w:hAnsi="Times New Roman" w:cs="Times New Roman"/>
          <w:bCs/>
          <w:color w:val="000000"/>
          <w:sz w:val="24"/>
          <w:szCs w:val="24"/>
          <w:lang w:eastAsia="lv-LV"/>
        </w:rPr>
        <w:t xml:space="preserve"> un zirgskābeņu </w:t>
      </w:r>
      <w:proofErr w:type="spellStart"/>
      <w:r w:rsidR="00B23E4F" w:rsidRPr="00A07F29">
        <w:rPr>
          <w:rFonts w:ascii="Times New Roman" w:eastAsia="Times New Roman" w:hAnsi="Times New Roman" w:cs="Times New Roman"/>
          <w:bCs/>
          <w:color w:val="000000"/>
          <w:sz w:val="24"/>
          <w:szCs w:val="24"/>
          <w:lang w:eastAsia="lv-LV"/>
        </w:rPr>
        <w:t>zilenīša</w:t>
      </w:r>
      <w:proofErr w:type="spellEnd"/>
      <w:r w:rsidR="00B23E4F" w:rsidRPr="00A07F29">
        <w:rPr>
          <w:rFonts w:ascii="Times New Roman" w:eastAsia="Times New Roman" w:hAnsi="Times New Roman" w:cs="Times New Roman"/>
          <w:bCs/>
          <w:color w:val="000000"/>
          <w:sz w:val="24"/>
          <w:szCs w:val="24"/>
          <w:lang w:eastAsia="lv-LV"/>
        </w:rPr>
        <w:t>, tomēr nav optimāls šo sugu kāpuru attīstībai. Tam piemērotākie biotopi ir zālāji 6270</w:t>
      </w:r>
      <w:r w:rsidR="00533ADF" w:rsidRPr="00A07F29">
        <w:rPr>
          <w:rFonts w:ascii="Times New Roman" w:eastAsia="Times New Roman" w:hAnsi="Times New Roman" w:cs="Times New Roman"/>
          <w:bCs/>
          <w:color w:val="000000"/>
          <w:sz w:val="24"/>
          <w:szCs w:val="24"/>
          <w:lang w:eastAsia="lv-LV"/>
        </w:rPr>
        <w:t>*</w:t>
      </w:r>
      <w:r w:rsidR="00D10152">
        <w:rPr>
          <w:rFonts w:ascii="Times New Roman" w:eastAsia="Times New Roman" w:hAnsi="Times New Roman" w:cs="Times New Roman"/>
          <w:bCs/>
          <w:color w:val="000000"/>
          <w:sz w:val="24"/>
          <w:szCs w:val="24"/>
          <w:lang w:eastAsia="lv-LV"/>
        </w:rPr>
        <w:t> </w:t>
      </w:r>
      <w:r w:rsidR="00B23E4F" w:rsidRPr="00A07F29">
        <w:rPr>
          <w:rFonts w:ascii="Times New Roman" w:eastAsia="Times New Roman" w:hAnsi="Times New Roman" w:cs="Times New Roman"/>
          <w:bCs/>
          <w:i/>
          <w:iCs/>
          <w:color w:val="000000"/>
          <w:sz w:val="24"/>
          <w:szCs w:val="24"/>
          <w:lang w:eastAsia="lv-LV"/>
        </w:rPr>
        <w:t>Sugām bagātas ganības un ganītas pļavas</w:t>
      </w:r>
      <w:r w:rsidR="00B23E4F" w:rsidRPr="00A07F29">
        <w:rPr>
          <w:rFonts w:ascii="Times New Roman" w:eastAsia="Times New Roman" w:hAnsi="Times New Roman" w:cs="Times New Roman"/>
          <w:bCs/>
          <w:color w:val="000000"/>
          <w:sz w:val="24"/>
          <w:szCs w:val="24"/>
          <w:lang w:eastAsia="lv-LV"/>
        </w:rPr>
        <w:t xml:space="preserve"> un 6450</w:t>
      </w:r>
      <w:r w:rsidR="00D10152">
        <w:rPr>
          <w:rFonts w:ascii="Times New Roman" w:eastAsia="Times New Roman" w:hAnsi="Times New Roman" w:cs="Times New Roman"/>
          <w:bCs/>
          <w:color w:val="000000"/>
          <w:sz w:val="24"/>
          <w:szCs w:val="24"/>
          <w:lang w:eastAsia="lv-LV"/>
        </w:rPr>
        <w:t> </w:t>
      </w:r>
      <w:r w:rsidR="00B23E4F" w:rsidRPr="00A07F29">
        <w:rPr>
          <w:rFonts w:ascii="Times New Roman" w:eastAsia="Times New Roman" w:hAnsi="Times New Roman" w:cs="Times New Roman"/>
          <w:bCs/>
          <w:i/>
          <w:iCs/>
          <w:color w:val="000000"/>
          <w:sz w:val="24"/>
          <w:szCs w:val="24"/>
          <w:lang w:eastAsia="lv-LV"/>
        </w:rPr>
        <w:t>Palieņu zālāji</w:t>
      </w:r>
      <w:r w:rsidR="00B23E4F" w:rsidRPr="00A07F29">
        <w:rPr>
          <w:rFonts w:ascii="Times New Roman" w:eastAsia="Times New Roman" w:hAnsi="Times New Roman" w:cs="Times New Roman"/>
          <w:bCs/>
          <w:color w:val="000000"/>
          <w:sz w:val="24"/>
          <w:szCs w:val="24"/>
          <w:lang w:eastAsia="lv-LV"/>
        </w:rPr>
        <w:t xml:space="preserve">. Zālāju biotopu ilglaicīgai pastāvēšanai ir nepieciešami tiem atbilstošie apsaimniekošanas pasākumi, pļaušana vai ganīšana. Zirgskābeņu </w:t>
      </w:r>
      <w:proofErr w:type="spellStart"/>
      <w:r w:rsidR="00B23E4F" w:rsidRPr="00A07F29">
        <w:rPr>
          <w:rFonts w:ascii="Times New Roman" w:eastAsia="Times New Roman" w:hAnsi="Times New Roman" w:cs="Times New Roman"/>
          <w:bCs/>
          <w:color w:val="000000"/>
          <w:sz w:val="24"/>
          <w:szCs w:val="24"/>
          <w:lang w:eastAsia="lv-LV"/>
        </w:rPr>
        <w:t>zilenīša</w:t>
      </w:r>
      <w:proofErr w:type="spellEnd"/>
      <w:r w:rsidR="00B23E4F" w:rsidRPr="00A07F29">
        <w:rPr>
          <w:rFonts w:ascii="Times New Roman" w:eastAsia="Times New Roman" w:hAnsi="Times New Roman" w:cs="Times New Roman"/>
          <w:bCs/>
          <w:color w:val="000000"/>
          <w:sz w:val="24"/>
          <w:szCs w:val="24"/>
          <w:lang w:eastAsia="lv-LV"/>
        </w:rPr>
        <w:t xml:space="preserve"> atradnes galvenokārt ir reģistrētas visā Daugavas ielejā, kur ir bieži sastopami sugai nepieciešamie barības augi – skābenes. Ņemot vērā barības augu un tauriņu samērā plašu sastopamību, nav nepieciešami specifiskie zālāju apsaimniekošanas pasākumi, ja tiek veikti attiecīgo zālāju biotopu apsaimniekošanas pasākumi.</w:t>
      </w:r>
    </w:p>
    <w:p w14:paraId="5018FA1E" w14:textId="64E4ACC2" w:rsidR="00661744" w:rsidRPr="00A07F29" w:rsidRDefault="00661744" w:rsidP="0006237A">
      <w:pPr>
        <w:spacing w:after="120" w:line="240" w:lineRule="auto"/>
        <w:ind w:firstLine="851"/>
        <w:jc w:val="both"/>
        <w:rPr>
          <w:rFonts w:ascii="Times New Roman" w:eastAsia="Times New Roman" w:hAnsi="Times New Roman" w:cs="Times New Roman"/>
          <w:bCs/>
          <w:color w:val="000000"/>
          <w:sz w:val="24"/>
          <w:szCs w:val="24"/>
          <w:lang w:eastAsia="lv-LV"/>
        </w:rPr>
      </w:pPr>
      <w:r w:rsidRPr="00A07F29">
        <w:rPr>
          <w:rFonts w:ascii="Times New Roman" w:eastAsia="Times New Roman" w:hAnsi="Times New Roman" w:cs="Times New Roman"/>
          <w:bCs/>
          <w:color w:val="000000"/>
          <w:sz w:val="24"/>
          <w:szCs w:val="24"/>
          <w:lang w:eastAsia="lv-LV"/>
        </w:rPr>
        <w:t>Zālāju biotopi ir viena no retajām biotopu grupām, kuru aizsardzības nodrošināšana nozīmē regulāru, ilgstošu, ekstensīvu un pareizu apsaimniekošanu. Nereti šo nosacījumu izpilde zālāja īpašniekiem ir sarežģīta vai arī nav ekonomiski izdevīga, jo īpaši, ja netiek ievērots tradicionālais dzīvesveids ar lopu turēšanu, kas nozīmē gan zālāju ganīšanu, gan pļaušanu sienam. Dabiskos zālājus AAA “Augšdaugavā” apdraud visi bio</w:t>
      </w:r>
      <w:r w:rsidR="00375036" w:rsidRPr="00A07F29">
        <w:rPr>
          <w:rFonts w:ascii="Times New Roman" w:eastAsia="Times New Roman" w:hAnsi="Times New Roman" w:cs="Times New Roman"/>
          <w:bCs/>
          <w:color w:val="000000"/>
          <w:sz w:val="24"/>
          <w:szCs w:val="24"/>
          <w:lang w:eastAsia="lv-LV"/>
        </w:rPr>
        <w:t xml:space="preserve">loģisko </w:t>
      </w:r>
      <w:r w:rsidRPr="00A07F29">
        <w:rPr>
          <w:rFonts w:ascii="Times New Roman" w:eastAsia="Times New Roman" w:hAnsi="Times New Roman" w:cs="Times New Roman"/>
          <w:bCs/>
          <w:color w:val="000000"/>
          <w:sz w:val="24"/>
          <w:szCs w:val="24"/>
          <w:lang w:eastAsia="lv-LV"/>
        </w:rPr>
        <w:t>daudzveidību nelabvēlīgi ietekmējošie faktori, jo īpaši zemes lietojuma veida maiņa, apsaimniekošanas pārtraukšana (pamešana) un nepiemērota apsaimniekošana.</w:t>
      </w:r>
    </w:p>
    <w:p w14:paraId="69403021" w14:textId="547863F3" w:rsidR="00661744" w:rsidRPr="00A07F29" w:rsidRDefault="00661744" w:rsidP="0006237A">
      <w:pPr>
        <w:spacing w:after="120" w:line="240" w:lineRule="auto"/>
        <w:ind w:firstLine="851"/>
        <w:jc w:val="both"/>
        <w:rPr>
          <w:rFonts w:ascii="Times New Roman" w:eastAsia="Times New Roman" w:hAnsi="Times New Roman" w:cs="Times New Roman"/>
          <w:bCs/>
          <w:color w:val="000000"/>
          <w:sz w:val="24"/>
          <w:szCs w:val="24"/>
          <w:lang w:eastAsia="lv-LV"/>
        </w:rPr>
      </w:pPr>
      <w:r w:rsidRPr="00A07F29">
        <w:rPr>
          <w:rFonts w:ascii="Times New Roman" w:eastAsia="Times New Roman" w:hAnsi="Times New Roman" w:cs="Times New Roman"/>
          <w:bCs/>
          <w:color w:val="000000"/>
          <w:sz w:val="24"/>
          <w:szCs w:val="24"/>
          <w:lang w:eastAsia="lv-LV"/>
        </w:rPr>
        <w:t>AAA teritorijā daudzu zālāju biotopu apsaimniekošanas pārtraukšana acīmredzami notikusi pēdējo 25 gadu laikā, par ko liecina agrāko kaļķaino zālāju vietās augošās aptuveni 20</w:t>
      </w:r>
      <w:r w:rsidR="00FF7E40">
        <w:rPr>
          <w:rFonts w:ascii="Times New Roman" w:eastAsia="Times New Roman" w:hAnsi="Times New Roman" w:cs="Times New Roman"/>
          <w:bCs/>
          <w:color w:val="000000"/>
          <w:sz w:val="24"/>
          <w:szCs w:val="24"/>
          <w:lang w:eastAsia="lv-LV"/>
        </w:rPr>
        <w:t> </w:t>
      </w:r>
      <w:r w:rsidRPr="00A07F29">
        <w:rPr>
          <w:rFonts w:ascii="Times New Roman" w:eastAsia="Times New Roman" w:hAnsi="Times New Roman" w:cs="Times New Roman"/>
          <w:bCs/>
          <w:color w:val="000000"/>
          <w:sz w:val="24"/>
          <w:szCs w:val="24"/>
          <w:lang w:eastAsia="lv-LV"/>
        </w:rPr>
        <w:t xml:space="preserve">gadu vecās priežu audzes, kurās vēl vietām saglabājusies kāda </w:t>
      </w:r>
      <w:proofErr w:type="spellStart"/>
      <w:r w:rsidRPr="00A07F29">
        <w:rPr>
          <w:rFonts w:ascii="Times New Roman" w:eastAsia="Times New Roman" w:hAnsi="Times New Roman" w:cs="Times New Roman"/>
          <w:bCs/>
          <w:color w:val="000000"/>
          <w:sz w:val="24"/>
          <w:szCs w:val="24"/>
          <w:lang w:eastAsia="lv-LV"/>
        </w:rPr>
        <w:t>indikatorsuga</w:t>
      </w:r>
      <w:proofErr w:type="spellEnd"/>
      <w:r w:rsidRPr="00A07F29">
        <w:rPr>
          <w:rFonts w:ascii="Times New Roman" w:eastAsia="Times New Roman" w:hAnsi="Times New Roman" w:cs="Times New Roman"/>
          <w:bCs/>
          <w:color w:val="000000"/>
          <w:sz w:val="24"/>
          <w:szCs w:val="24"/>
          <w:lang w:eastAsia="lv-LV"/>
        </w:rPr>
        <w:t xml:space="preserve">. Daugavas palieņu zālājus pārtraukts apsaimniekot jau agrāk, un pašlaik notiek aizaugšana ar krūmiem, kā arī tajos sastopamas daudz </w:t>
      </w:r>
      <w:proofErr w:type="spellStart"/>
      <w:r w:rsidRPr="00A07F29">
        <w:rPr>
          <w:rFonts w:ascii="Times New Roman" w:eastAsia="Times New Roman" w:hAnsi="Times New Roman" w:cs="Times New Roman"/>
          <w:bCs/>
          <w:color w:val="000000"/>
          <w:sz w:val="24"/>
          <w:szCs w:val="24"/>
          <w:lang w:eastAsia="lv-LV"/>
        </w:rPr>
        <w:t>invazīvās</w:t>
      </w:r>
      <w:proofErr w:type="spellEnd"/>
      <w:r w:rsidRPr="00A07F29">
        <w:rPr>
          <w:rFonts w:ascii="Times New Roman" w:eastAsia="Times New Roman" w:hAnsi="Times New Roman" w:cs="Times New Roman"/>
          <w:bCs/>
          <w:color w:val="000000"/>
          <w:sz w:val="24"/>
          <w:szCs w:val="24"/>
          <w:lang w:eastAsia="lv-LV"/>
        </w:rPr>
        <w:t xml:space="preserve"> sugas – </w:t>
      </w:r>
      <w:proofErr w:type="spellStart"/>
      <w:r w:rsidRPr="00A07F29">
        <w:rPr>
          <w:rFonts w:ascii="Times New Roman" w:eastAsia="Times New Roman" w:hAnsi="Times New Roman" w:cs="Times New Roman"/>
          <w:bCs/>
          <w:color w:val="000000"/>
          <w:sz w:val="24"/>
          <w:szCs w:val="24"/>
          <w:lang w:eastAsia="lv-LV"/>
        </w:rPr>
        <w:t>ošlapu</w:t>
      </w:r>
      <w:proofErr w:type="spellEnd"/>
      <w:r w:rsidRPr="00A07F29">
        <w:rPr>
          <w:rFonts w:ascii="Times New Roman" w:eastAsia="Times New Roman" w:hAnsi="Times New Roman" w:cs="Times New Roman"/>
          <w:bCs/>
          <w:color w:val="000000"/>
          <w:sz w:val="24"/>
          <w:szCs w:val="24"/>
          <w:lang w:eastAsia="lv-LV"/>
        </w:rPr>
        <w:t xml:space="preserve"> kļava </w:t>
      </w:r>
      <w:r w:rsidRPr="00A07F29">
        <w:rPr>
          <w:rFonts w:ascii="Times New Roman" w:eastAsia="Times New Roman" w:hAnsi="Times New Roman" w:cs="Times New Roman"/>
          <w:bCs/>
          <w:i/>
          <w:iCs/>
          <w:color w:val="000000"/>
          <w:sz w:val="24"/>
          <w:szCs w:val="24"/>
          <w:lang w:eastAsia="lv-LV"/>
        </w:rPr>
        <w:t xml:space="preserve">Acer </w:t>
      </w:r>
      <w:proofErr w:type="spellStart"/>
      <w:r w:rsidRPr="00A07F29">
        <w:rPr>
          <w:rFonts w:ascii="Times New Roman" w:eastAsia="Times New Roman" w:hAnsi="Times New Roman" w:cs="Times New Roman"/>
          <w:bCs/>
          <w:i/>
          <w:iCs/>
          <w:color w:val="000000"/>
          <w:sz w:val="24"/>
          <w:szCs w:val="24"/>
          <w:lang w:eastAsia="lv-LV"/>
        </w:rPr>
        <w:t>negundo</w:t>
      </w:r>
      <w:proofErr w:type="spellEnd"/>
      <w:r w:rsidRPr="00A07F29">
        <w:rPr>
          <w:rFonts w:ascii="Times New Roman" w:eastAsia="Times New Roman" w:hAnsi="Times New Roman" w:cs="Times New Roman"/>
          <w:bCs/>
          <w:color w:val="000000"/>
          <w:sz w:val="24"/>
          <w:szCs w:val="24"/>
          <w:lang w:eastAsia="lv-LV"/>
        </w:rPr>
        <w:t xml:space="preserve">, adatainais </w:t>
      </w:r>
      <w:proofErr w:type="spellStart"/>
      <w:r w:rsidRPr="00A07F29">
        <w:rPr>
          <w:rFonts w:ascii="Times New Roman" w:eastAsia="Times New Roman" w:hAnsi="Times New Roman" w:cs="Times New Roman"/>
          <w:bCs/>
          <w:color w:val="000000"/>
          <w:sz w:val="24"/>
          <w:szCs w:val="24"/>
          <w:lang w:eastAsia="lv-LV"/>
        </w:rPr>
        <w:t>dzeloņgurķis</w:t>
      </w:r>
      <w:proofErr w:type="spellEnd"/>
      <w:r w:rsidRPr="00A07F29">
        <w:rPr>
          <w:rFonts w:ascii="Times New Roman" w:eastAsia="Times New Roman" w:hAnsi="Times New Roman" w:cs="Times New Roman"/>
          <w:b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Echinocystis</w:t>
      </w:r>
      <w:proofErr w:type="spellEnd"/>
      <w:r w:rsidRPr="00A07F29">
        <w:rPr>
          <w:rFonts w:ascii="Times New Roman" w:eastAsia="Times New Roman" w:hAnsi="Times New Roman" w:cs="Times New Roman"/>
          <w:bCs/>
          <w:i/>
          <w:i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lobata</w:t>
      </w:r>
      <w:proofErr w:type="spellEnd"/>
      <w:r w:rsidRPr="00A07F29">
        <w:rPr>
          <w:rFonts w:ascii="Times New Roman" w:eastAsia="Times New Roman" w:hAnsi="Times New Roman" w:cs="Times New Roman"/>
          <w:bCs/>
          <w:color w:val="000000"/>
          <w:sz w:val="24"/>
          <w:szCs w:val="24"/>
          <w:lang w:eastAsia="lv-LV"/>
        </w:rPr>
        <w:t xml:space="preserve">, puķu sprigane </w:t>
      </w:r>
      <w:proofErr w:type="spellStart"/>
      <w:r w:rsidRPr="00A07F29">
        <w:rPr>
          <w:rFonts w:ascii="Times New Roman" w:eastAsia="Times New Roman" w:hAnsi="Times New Roman" w:cs="Times New Roman"/>
          <w:bCs/>
          <w:i/>
          <w:iCs/>
          <w:color w:val="000000"/>
          <w:sz w:val="24"/>
          <w:szCs w:val="24"/>
          <w:lang w:eastAsia="lv-LV"/>
        </w:rPr>
        <w:t>Impatiens</w:t>
      </w:r>
      <w:proofErr w:type="spellEnd"/>
      <w:r w:rsidRPr="00A07F29">
        <w:rPr>
          <w:rFonts w:ascii="Times New Roman" w:eastAsia="Times New Roman" w:hAnsi="Times New Roman" w:cs="Times New Roman"/>
          <w:bCs/>
          <w:i/>
          <w:i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glandulifera</w:t>
      </w:r>
      <w:proofErr w:type="spellEnd"/>
      <w:r w:rsidRPr="00A07F29">
        <w:rPr>
          <w:rFonts w:ascii="Times New Roman" w:eastAsia="Times New Roman" w:hAnsi="Times New Roman" w:cs="Times New Roman"/>
          <w:bCs/>
          <w:color w:val="000000"/>
          <w:sz w:val="24"/>
          <w:szCs w:val="24"/>
          <w:lang w:eastAsia="lv-LV"/>
        </w:rPr>
        <w:t xml:space="preserve"> u.c., kas strauji izplatās un apdraud Daugavas palienē sastopamās retās un aizsargājamās </w:t>
      </w:r>
      <w:proofErr w:type="spellStart"/>
      <w:r w:rsidRPr="00A07F29">
        <w:rPr>
          <w:rFonts w:ascii="Times New Roman" w:eastAsia="Times New Roman" w:hAnsi="Times New Roman" w:cs="Times New Roman"/>
          <w:bCs/>
          <w:color w:val="000000"/>
          <w:sz w:val="24"/>
          <w:szCs w:val="24"/>
          <w:lang w:eastAsia="lv-LV"/>
        </w:rPr>
        <w:t>vaskulāro</w:t>
      </w:r>
      <w:proofErr w:type="spellEnd"/>
      <w:r w:rsidRPr="00A07F29">
        <w:rPr>
          <w:rFonts w:ascii="Times New Roman" w:eastAsia="Times New Roman" w:hAnsi="Times New Roman" w:cs="Times New Roman"/>
          <w:bCs/>
          <w:color w:val="000000"/>
          <w:sz w:val="24"/>
          <w:szCs w:val="24"/>
          <w:lang w:eastAsia="lv-LV"/>
        </w:rPr>
        <w:t xml:space="preserve"> augu sugas.</w:t>
      </w:r>
    </w:p>
    <w:p w14:paraId="5E835D05" w14:textId="6AACED16" w:rsidR="00661744" w:rsidRPr="00A07F29" w:rsidRDefault="00661744" w:rsidP="0006237A">
      <w:pPr>
        <w:spacing w:after="120" w:line="240" w:lineRule="auto"/>
        <w:ind w:firstLine="851"/>
        <w:jc w:val="both"/>
        <w:rPr>
          <w:rFonts w:ascii="Times New Roman" w:eastAsia="Times New Roman" w:hAnsi="Times New Roman" w:cs="Times New Roman"/>
          <w:bCs/>
          <w:color w:val="000000"/>
          <w:sz w:val="24"/>
          <w:szCs w:val="24"/>
          <w:lang w:eastAsia="lv-LV"/>
        </w:rPr>
      </w:pPr>
      <w:r w:rsidRPr="00A07F29">
        <w:rPr>
          <w:rFonts w:ascii="Times New Roman" w:eastAsia="Times New Roman" w:hAnsi="Times New Roman" w:cs="Times New Roman"/>
          <w:bCs/>
          <w:color w:val="000000"/>
          <w:sz w:val="24"/>
          <w:szCs w:val="24"/>
          <w:lang w:eastAsia="lv-LV"/>
        </w:rPr>
        <w:t xml:space="preserve">Lai saņemtu atbalsta maksājumus un iespējami ekonomiskākiem paņēmieniem apsaimniekotu zālājus, </w:t>
      </w:r>
      <w:r w:rsidR="00375036" w:rsidRPr="00A07F29">
        <w:rPr>
          <w:rFonts w:ascii="Times New Roman" w:eastAsia="Times New Roman" w:hAnsi="Times New Roman" w:cs="Times New Roman"/>
          <w:bCs/>
          <w:color w:val="000000"/>
          <w:sz w:val="24"/>
          <w:szCs w:val="24"/>
          <w:lang w:eastAsia="lv-LV"/>
        </w:rPr>
        <w:t>tikusi</w:t>
      </w:r>
      <w:r w:rsidRPr="00A07F29">
        <w:rPr>
          <w:rFonts w:ascii="Times New Roman" w:eastAsia="Times New Roman" w:hAnsi="Times New Roman" w:cs="Times New Roman"/>
          <w:bCs/>
          <w:color w:val="000000"/>
          <w:sz w:val="24"/>
          <w:szCs w:val="24"/>
          <w:lang w:eastAsia="lv-LV"/>
        </w:rPr>
        <w:t xml:space="preserve"> praktizēta nepareiza apsaimniekošana (vēlā pļauja un smalcināšana). Šāda veida apsaimniekošana paātrina dabas vērtību sarukumu zālājos, jo zem blīvā, sasmalcinātā zaļās masas slāņa ir samazināta iespēja izsēties un uzdīgt sēklām, īpaši pļavu platlapjiem. Līdzīgs nepareizas apsaimniekošanas paņēmiens ir zāli nopļaut un atstāt uz lauka, vālu vietās veidojas biezs kūlas slānis.</w:t>
      </w:r>
    </w:p>
    <w:p w14:paraId="5FF176BB" w14:textId="77777777" w:rsidR="001B3DD7" w:rsidRPr="00A07F29" w:rsidRDefault="001B3DD7" w:rsidP="0006237A">
      <w:pPr>
        <w:spacing w:after="120" w:line="240" w:lineRule="auto"/>
        <w:ind w:firstLine="851"/>
        <w:jc w:val="both"/>
        <w:rPr>
          <w:rFonts w:ascii="Times New Roman" w:eastAsia="Times New Roman" w:hAnsi="Times New Roman" w:cs="Times New Roman"/>
          <w:bCs/>
          <w:color w:val="000000"/>
          <w:sz w:val="24"/>
          <w:szCs w:val="24"/>
          <w:lang w:eastAsia="lv-LV"/>
        </w:rPr>
      </w:pPr>
      <w:r w:rsidRPr="00A07F29">
        <w:rPr>
          <w:rFonts w:ascii="Times New Roman" w:eastAsia="Times New Roman" w:hAnsi="Times New Roman" w:cs="Times New Roman"/>
          <w:bCs/>
          <w:color w:val="000000"/>
          <w:sz w:val="24"/>
          <w:szCs w:val="24"/>
          <w:lang w:eastAsia="lv-LV"/>
        </w:rPr>
        <w:t xml:space="preserve">Intensīvi mežacūku rakumi biežāk vērojami nomaļos, pamestos zālājos. Mežacūku darbība var apdraudēt arī reto </w:t>
      </w:r>
      <w:r w:rsidRPr="00AE4996">
        <w:rPr>
          <w:rFonts w:ascii="Times New Roman" w:eastAsia="Times New Roman" w:hAnsi="Times New Roman" w:cs="Times New Roman"/>
          <w:bCs/>
          <w:color w:val="000000"/>
          <w:sz w:val="24"/>
          <w:szCs w:val="24"/>
          <w:lang w:eastAsia="lv-LV"/>
        </w:rPr>
        <w:t>īpaši aizsargājamo</w:t>
      </w:r>
      <w:r w:rsidRPr="00A07F29">
        <w:rPr>
          <w:rFonts w:ascii="Times New Roman" w:eastAsia="Times New Roman" w:hAnsi="Times New Roman" w:cs="Times New Roman"/>
          <w:bCs/>
          <w:color w:val="000000"/>
          <w:sz w:val="24"/>
          <w:szCs w:val="24"/>
          <w:lang w:eastAsia="lv-LV"/>
        </w:rPr>
        <w:t xml:space="preserve"> augu sugu labvēlīgu stāvokli, tādēļ piebarošanas vietu ierīkošana zālāju tuvumā var radīt būtisku ietekmi uz zālāju kvalitāti vai pat tos iznīcināt. </w:t>
      </w:r>
    </w:p>
    <w:p w14:paraId="4483E30E" w14:textId="77777777" w:rsidR="002B1603" w:rsidRPr="00A07F29" w:rsidRDefault="002B1603" w:rsidP="0006237A">
      <w:pPr>
        <w:keepNext/>
        <w:spacing w:before="240" w:after="120" w:line="240" w:lineRule="auto"/>
        <w:jc w:val="both"/>
        <w:rPr>
          <w:rFonts w:ascii="Times New Roman" w:eastAsia="Calibri" w:hAnsi="Times New Roman" w:cs="Times New Roman"/>
          <w:b/>
          <w:i/>
          <w:iCs/>
          <w:sz w:val="24"/>
          <w:szCs w:val="24"/>
        </w:rPr>
      </w:pPr>
      <w:r w:rsidRPr="00A07F29">
        <w:rPr>
          <w:rFonts w:ascii="Times New Roman" w:eastAsia="Calibri" w:hAnsi="Times New Roman" w:cs="Times New Roman"/>
          <w:b/>
          <w:i/>
          <w:iCs/>
          <w:sz w:val="24"/>
          <w:szCs w:val="24"/>
        </w:rPr>
        <w:t>Zālājs kā ainaviskā vērtība</w:t>
      </w:r>
    </w:p>
    <w:p w14:paraId="12AA5E17" w14:textId="3671944F" w:rsidR="002B1603" w:rsidRPr="00A07F29" w:rsidRDefault="002B1603" w:rsidP="0006237A">
      <w:pPr>
        <w:spacing w:after="120" w:line="240" w:lineRule="auto"/>
        <w:ind w:firstLine="851"/>
        <w:jc w:val="both"/>
        <w:rPr>
          <w:rFonts w:ascii="Times New Roman" w:eastAsia="Calibri" w:hAnsi="Times New Roman" w:cs="Calibri"/>
          <w:sz w:val="24"/>
          <w:szCs w:val="24"/>
          <w:lang w:eastAsia="ja-JP"/>
        </w:rPr>
      </w:pPr>
      <w:r w:rsidRPr="00A07F29">
        <w:rPr>
          <w:rFonts w:ascii="Times New Roman" w:eastAsia="Calibri" w:hAnsi="Times New Roman" w:cs="Calibri"/>
          <w:sz w:val="24"/>
          <w:szCs w:val="24"/>
          <w:lang w:eastAsia="ja-JP"/>
        </w:rPr>
        <w:t xml:space="preserve">Sākotnēja zālāja </w:t>
      </w:r>
      <w:r w:rsidR="0006237A" w:rsidRPr="00A07F29">
        <w:rPr>
          <w:rFonts w:ascii="Times New Roman" w:eastAsia="Calibri" w:hAnsi="Times New Roman" w:cs="Calibri"/>
          <w:sz w:val="24"/>
          <w:szCs w:val="24"/>
          <w:lang w:eastAsia="ja-JP"/>
        </w:rPr>
        <w:t xml:space="preserve">ainaviskā </w:t>
      </w:r>
      <w:r w:rsidRPr="00A07F29">
        <w:rPr>
          <w:rFonts w:ascii="Times New Roman" w:eastAsia="Calibri" w:hAnsi="Times New Roman" w:cs="Calibri"/>
          <w:sz w:val="24"/>
          <w:szCs w:val="24"/>
          <w:lang w:eastAsia="ja-JP"/>
        </w:rPr>
        <w:t>vērtība šķiet līdzīga lauksaimniecības zemju vērtībai, spēja redzēt no skatu torņa vai no ceļa skaistu ainavu (panorāmu). Ainava ir apsaimniekotu lauksaimniecības</w:t>
      </w:r>
      <w:r w:rsidR="00827AA4">
        <w:rPr>
          <w:rFonts w:ascii="Times New Roman" w:eastAsia="Calibri" w:hAnsi="Times New Roman" w:cs="Calibri"/>
          <w:sz w:val="24"/>
          <w:szCs w:val="24"/>
          <w:lang w:eastAsia="ja-JP"/>
        </w:rPr>
        <w:t>,</w:t>
      </w:r>
      <w:r w:rsidRPr="00A07F29">
        <w:rPr>
          <w:rFonts w:ascii="Times New Roman" w:eastAsia="Calibri" w:hAnsi="Times New Roman" w:cs="Calibri"/>
          <w:sz w:val="24"/>
          <w:szCs w:val="24"/>
          <w:lang w:eastAsia="ja-JP"/>
        </w:rPr>
        <w:t xml:space="preserve"> mežu un zālāju mozaīka ar meža zemēm. Skaistu ainavu nepieciešams saglabāt, pareizi apsaimniekojot </w:t>
      </w:r>
      <w:proofErr w:type="spellStart"/>
      <w:r w:rsidRPr="00A07F29">
        <w:rPr>
          <w:rFonts w:ascii="Times New Roman" w:eastAsia="Calibri" w:hAnsi="Times New Roman" w:cs="Calibri"/>
          <w:sz w:val="24"/>
          <w:szCs w:val="24"/>
          <w:lang w:eastAsia="ja-JP"/>
        </w:rPr>
        <w:t>nemeža</w:t>
      </w:r>
      <w:proofErr w:type="spellEnd"/>
      <w:r w:rsidRPr="00A07F29">
        <w:rPr>
          <w:rFonts w:ascii="Times New Roman" w:eastAsia="Calibri" w:hAnsi="Times New Roman" w:cs="Calibri"/>
          <w:sz w:val="24"/>
          <w:szCs w:val="24"/>
          <w:lang w:eastAsia="ja-JP"/>
        </w:rPr>
        <w:t xml:space="preserve"> zemes, neļaujot tām aizaugt ar kokiem un krūmiem. Vizuāli un bioloģiski augstvērtīgākā ainava saistās ar Daugavas ieleju, kurai ainavisku vērtību piešķir vairāki plaši loki, vidēji tāli un tāli panorāmas skati ar 6450</w:t>
      </w:r>
      <w:r w:rsidR="00007254">
        <w:rPr>
          <w:rFonts w:ascii="Times New Roman" w:eastAsia="Calibri" w:hAnsi="Times New Roman" w:cs="Calibri"/>
          <w:sz w:val="24"/>
          <w:szCs w:val="24"/>
          <w:lang w:eastAsia="ja-JP"/>
        </w:rPr>
        <w:t> </w:t>
      </w:r>
      <w:r w:rsidRPr="00A07F29">
        <w:rPr>
          <w:rFonts w:ascii="Times New Roman" w:eastAsia="Calibri" w:hAnsi="Times New Roman" w:cs="Calibri"/>
          <w:i/>
          <w:iCs/>
          <w:sz w:val="24"/>
          <w:szCs w:val="24"/>
          <w:lang w:eastAsia="ja-JP"/>
        </w:rPr>
        <w:t>Palieņu zālājiem</w:t>
      </w:r>
      <w:r w:rsidRPr="00A07F29">
        <w:rPr>
          <w:rFonts w:ascii="Times New Roman" w:eastAsia="Calibri" w:hAnsi="Times New Roman" w:cs="Calibri"/>
          <w:sz w:val="24"/>
          <w:szCs w:val="24"/>
          <w:lang w:eastAsia="ja-JP"/>
        </w:rPr>
        <w:t xml:space="preserve">. Augsto bioloģisko vērtību nosaka esošais reljefs un ES aizsargājamie biotopi. </w:t>
      </w:r>
      <w:r w:rsidRPr="00A07F29">
        <w:rPr>
          <w:rFonts w:ascii="Times New Roman" w:eastAsia="Times New Roman" w:hAnsi="Times New Roman" w:cs="Times New Roman"/>
          <w:color w:val="000000" w:themeColor="text1"/>
          <w:sz w:val="24"/>
          <w:szCs w:val="24"/>
          <w:lang w:eastAsia="lv-LV"/>
        </w:rPr>
        <w:t xml:space="preserve">Ir vairāki zālāju masīvi – </w:t>
      </w:r>
      <w:proofErr w:type="spellStart"/>
      <w:r w:rsidRPr="00A07F29">
        <w:rPr>
          <w:rFonts w:ascii="Times New Roman" w:eastAsia="Times New Roman" w:hAnsi="Times New Roman" w:cs="Times New Roman"/>
          <w:color w:val="000000" w:themeColor="text1"/>
          <w:sz w:val="24"/>
          <w:szCs w:val="24"/>
          <w:lang w:eastAsia="lv-LV"/>
        </w:rPr>
        <w:t>Slutišķu</w:t>
      </w:r>
      <w:proofErr w:type="spellEnd"/>
      <w:r w:rsidRPr="00A07F29">
        <w:rPr>
          <w:rFonts w:ascii="Times New Roman" w:eastAsia="Times New Roman" w:hAnsi="Times New Roman" w:cs="Times New Roman"/>
          <w:color w:val="000000" w:themeColor="text1"/>
          <w:sz w:val="24"/>
          <w:szCs w:val="24"/>
          <w:lang w:eastAsia="lv-LV"/>
        </w:rPr>
        <w:t xml:space="preserve">, Lielo Muļķu, </w:t>
      </w:r>
      <w:proofErr w:type="spellStart"/>
      <w:r w:rsidRPr="00A07F29">
        <w:rPr>
          <w:rFonts w:ascii="Times New Roman" w:eastAsia="Times New Roman" w:hAnsi="Times New Roman" w:cs="Times New Roman"/>
          <w:color w:val="000000" w:themeColor="text1"/>
          <w:sz w:val="24"/>
          <w:szCs w:val="24"/>
          <w:lang w:eastAsia="lv-LV"/>
        </w:rPr>
        <w:t>Augustīnišķu</w:t>
      </w:r>
      <w:proofErr w:type="spellEnd"/>
      <w:r w:rsidRPr="00A07F29">
        <w:rPr>
          <w:rFonts w:ascii="Times New Roman" w:eastAsia="Times New Roman" w:hAnsi="Times New Roman" w:cs="Times New Roman"/>
          <w:color w:val="000000" w:themeColor="text1"/>
          <w:sz w:val="24"/>
          <w:szCs w:val="24"/>
          <w:lang w:eastAsia="lv-LV"/>
        </w:rPr>
        <w:t xml:space="preserve">, </w:t>
      </w:r>
      <w:proofErr w:type="spellStart"/>
      <w:r w:rsidRPr="00A07F29">
        <w:rPr>
          <w:rFonts w:ascii="Times New Roman" w:eastAsia="Times New Roman" w:hAnsi="Times New Roman" w:cs="Times New Roman"/>
          <w:color w:val="000000" w:themeColor="text1"/>
          <w:sz w:val="24"/>
          <w:szCs w:val="24"/>
          <w:lang w:eastAsia="lv-LV"/>
        </w:rPr>
        <w:t>Lielindricas</w:t>
      </w:r>
      <w:proofErr w:type="spellEnd"/>
      <w:r w:rsidRPr="00A07F29">
        <w:rPr>
          <w:rFonts w:ascii="Times New Roman" w:eastAsia="Times New Roman" w:hAnsi="Times New Roman" w:cs="Times New Roman"/>
          <w:color w:val="000000" w:themeColor="text1"/>
          <w:sz w:val="24"/>
          <w:szCs w:val="24"/>
          <w:lang w:eastAsia="lv-LV"/>
        </w:rPr>
        <w:t xml:space="preserve">, </w:t>
      </w:r>
      <w:proofErr w:type="spellStart"/>
      <w:r w:rsidRPr="00A07F29">
        <w:rPr>
          <w:rFonts w:ascii="Times New Roman" w:eastAsia="Times New Roman" w:hAnsi="Times New Roman" w:cs="Times New Roman"/>
          <w:color w:val="000000" w:themeColor="text1"/>
          <w:sz w:val="24"/>
          <w:szCs w:val="24"/>
          <w:lang w:eastAsia="lv-LV"/>
        </w:rPr>
        <w:t>Lukštānu</w:t>
      </w:r>
      <w:proofErr w:type="spellEnd"/>
      <w:r w:rsidRPr="00A07F29">
        <w:rPr>
          <w:rFonts w:ascii="Times New Roman" w:eastAsia="Times New Roman" w:hAnsi="Times New Roman" w:cs="Times New Roman"/>
          <w:color w:val="000000" w:themeColor="text1"/>
          <w:sz w:val="24"/>
          <w:szCs w:val="24"/>
          <w:lang w:eastAsia="lv-LV"/>
        </w:rPr>
        <w:t xml:space="preserve"> un </w:t>
      </w:r>
      <w:proofErr w:type="spellStart"/>
      <w:r w:rsidRPr="00A07F29">
        <w:rPr>
          <w:rFonts w:ascii="Times New Roman" w:eastAsia="Times New Roman" w:hAnsi="Times New Roman" w:cs="Times New Roman"/>
          <w:color w:val="000000" w:themeColor="text1"/>
          <w:sz w:val="24"/>
          <w:szCs w:val="24"/>
          <w:lang w:eastAsia="lv-LV"/>
        </w:rPr>
        <w:t>Stirbļu</w:t>
      </w:r>
      <w:proofErr w:type="spellEnd"/>
      <w:r w:rsidRPr="00A07F29">
        <w:rPr>
          <w:rFonts w:ascii="Times New Roman" w:eastAsia="Times New Roman" w:hAnsi="Times New Roman" w:cs="Times New Roman"/>
          <w:color w:val="000000" w:themeColor="text1"/>
          <w:sz w:val="24"/>
          <w:szCs w:val="24"/>
          <w:lang w:eastAsia="lv-LV"/>
        </w:rPr>
        <w:t xml:space="preserve"> u.c.</w:t>
      </w:r>
      <w:r w:rsidR="5A7195F3" w:rsidRPr="00A07F29">
        <w:rPr>
          <w:rFonts w:ascii="Times New Roman" w:eastAsia="Times New Roman" w:hAnsi="Times New Roman" w:cs="Times New Roman"/>
          <w:color w:val="000000" w:themeColor="text1"/>
          <w:sz w:val="24"/>
          <w:szCs w:val="24"/>
          <w:lang w:eastAsia="lv-LV"/>
        </w:rPr>
        <w:t>,</w:t>
      </w:r>
      <w:r w:rsidRPr="00A07F29">
        <w:rPr>
          <w:rFonts w:ascii="Times New Roman" w:eastAsia="Times New Roman" w:hAnsi="Times New Roman" w:cs="Times New Roman"/>
          <w:color w:val="000000" w:themeColor="text1"/>
          <w:sz w:val="24"/>
          <w:szCs w:val="24"/>
          <w:lang w:eastAsia="lv-LV"/>
        </w:rPr>
        <w:t xml:space="preserve"> kur apsaimniekoti bioloģiski vērtīgie zālāji</w:t>
      </w:r>
      <w:r w:rsidR="00B15FD1">
        <w:rPr>
          <w:rFonts w:ascii="Times New Roman" w:eastAsia="Times New Roman" w:hAnsi="Times New Roman" w:cs="Times New Roman"/>
          <w:color w:val="000000" w:themeColor="text1"/>
          <w:sz w:val="24"/>
          <w:szCs w:val="24"/>
          <w:lang w:eastAsia="lv-LV"/>
        </w:rPr>
        <w:t>,</w:t>
      </w:r>
      <w:r w:rsidRPr="00A07F29">
        <w:rPr>
          <w:rFonts w:ascii="Times New Roman" w:eastAsia="Times New Roman" w:hAnsi="Times New Roman" w:cs="Times New Roman"/>
          <w:color w:val="000000" w:themeColor="text1"/>
          <w:sz w:val="24"/>
          <w:szCs w:val="24"/>
          <w:lang w:eastAsia="lv-LV"/>
        </w:rPr>
        <w:t xml:space="preserve"> vietām arī nelieli ganāmpulki šajā ainavā ievieš dzīvību un kļūst ilgtspējīgāki. Katram </w:t>
      </w:r>
      <w:r w:rsidRPr="00A07F29">
        <w:rPr>
          <w:rFonts w:ascii="Times New Roman" w:eastAsia="Times New Roman" w:hAnsi="Times New Roman" w:cs="Times New Roman"/>
          <w:color w:val="000000" w:themeColor="text1"/>
          <w:sz w:val="24"/>
          <w:szCs w:val="24"/>
          <w:lang w:eastAsia="lv-LV"/>
        </w:rPr>
        <w:lastRenderedPageBreak/>
        <w:t>ziedošam zālājam ir sava neatņemama ainaviskā vērtība, ko iespējams apzināties, to izstaigājot visā pilnībā.</w:t>
      </w:r>
    </w:p>
    <w:p w14:paraId="2CE84F34" w14:textId="3BD64F3D" w:rsidR="002B1603" w:rsidRPr="00A07F29" w:rsidRDefault="002B1603" w:rsidP="002B1603">
      <w:pPr>
        <w:spacing w:after="120"/>
        <w:jc w:val="both"/>
        <w:rPr>
          <w:rFonts w:ascii="Times New Roman" w:eastAsia="Times New Roman" w:hAnsi="Times New Roman" w:cs="Times New Roman"/>
          <w:b/>
          <w:bCs/>
          <w:color w:val="000000"/>
          <w:sz w:val="24"/>
          <w:szCs w:val="24"/>
          <w:lang w:eastAsia="lv-LV"/>
        </w:rPr>
      </w:pPr>
      <w:r w:rsidRPr="00A07F29">
        <w:rPr>
          <w:rFonts w:ascii="Times New Roman" w:eastAsia="Times New Roman" w:hAnsi="Times New Roman" w:cs="Times New Roman"/>
          <w:b/>
          <w:bCs/>
          <w:color w:val="000000"/>
          <w:sz w:val="24"/>
          <w:szCs w:val="24"/>
          <w:lang w:eastAsia="lv-LV"/>
        </w:rPr>
        <w:t xml:space="preserve">6120* </w:t>
      </w:r>
      <w:r w:rsidRPr="00A07F29">
        <w:rPr>
          <w:rFonts w:ascii="Times New Roman" w:eastAsia="Times New Roman" w:hAnsi="Times New Roman" w:cs="Times New Roman"/>
          <w:b/>
          <w:bCs/>
          <w:i/>
          <w:iCs/>
          <w:color w:val="000000"/>
          <w:sz w:val="24"/>
          <w:szCs w:val="24"/>
          <w:lang w:eastAsia="lv-LV"/>
        </w:rPr>
        <w:t>Smiltāju zālāji</w:t>
      </w:r>
    </w:p>
    <w:p w14:paraId="6733563B" w14:textId="4D3D8D4C" w:rsidR="002B1603" w:rsidRPr="00A07F29" w:rsidRDefault="002B1603" w:rsidP="0006237A">
      <w:pPr>
        <w:spacing w:after="120" w:line="240" w:lineRule="auto"/>
        <w:ind w:firstLine="851"/>
        <w:jc w:val="both"/>
        <w:rPr>
          <w:rFonts w:ascii="Times New Roman" w:eastAsia="Times New Roman" w:hAnsi="Times New Roman" w:cs="Times New Roman"/>
          <w:color w:val="000000"/>
          <w:sz w:val="24"/>
          <w:szCs w:val="24"/>
          <w:lang w:eastAsia="lv-LV"/>
        </w:rPr>
      </w:pPr>
      <w:r w:rsidRPr="00A07F29">
        <w:rPr>
          <w:rFonts w:ascii="Times New Roman" w:eastAsia="Times New Roman" w:hAnsi="Times New Roman" w:cs="Times New Roman"/>
          <w:color w:val="000000" w:themeColor="text1"/>
          <w:sz w:val="24"/>
          <w:szCs w:val="24"/>
          <w:lang w:eastAsia="lv-LV"/>
        </w:rPr>
        <w:t xml:space="preserve">Biotops veidojas sausās, smilšainās Daugavas ielejas nogāzēs, </w:t>
      </w:r>
      <w:proofErr w:type="spellStart"/>
      <w:r w:rsidRPr="00A07F29">
        <w:rPr>
          <w:rFonts w:ascii="Times New Roman" w:eastAsia="Times New Roman" w:hAnsi="Times New Roman" w:cs="Times New Roman"/>
          <w:color w:val="000000" w:themeColor="text1"/>
          <w:sz w:val="24"/>
          <w:szCs w:val="24"/>
          <w:lang w:eastAsia="lv-LV"/>
        </w:rPr>
        <w:t>virspalu</w:t>
      </w:r>
      <w:proofErr w:type="spellEnd"/>
      <w:r w:rsidRPr="00A07F29">
        <w:rPr>
          <w:rFonts w:ascii="Times New Roman" w:eastAsia="Times New Roman" w:hAnsi="Times New Roman" w:cs="Times New Roman"/>
          <w:color w:val="000000" w:themeColor="text1"/>
          <w:sz w:val="24"/>
          <w:szCs w:val="24"/>
          <w:lang w:eastAsia="lv-LV"/>
        </w:rPr>
        <w:t xml:space="preserve"> terasēs, gravu un pauguru nogāzēs. </w:t>
      </w:r>
      <w:r w:rsidR="39C4088C" w:rsidRPr="00A07F29">
        <w:rPr>
          <w:rFonts w:ascii="Times New Roman" w:eastAsia="Times New Roman" w:hAnsi="Times New Roman" w:cs="Times New Roman"/>
          <w:color w:val="000000" w:themeColor="text1"/>
          <w:sz w:val="24"/>
          <w:szCs w:val="24"/>
          <w:lang w:eastAsia="lv-LV"/>
        </w:rPr>
        <w:t>AAA</w:t>
      </w:r>
      <w:r w:rsidRPr="00A07F29">
        <w:rPr>
          <w:rFonts w:ascii="Times New Roman" w:eastAsia="Times New Roman" w:hAnsi="Times New Roman" w:cs="Times New Roman"/>
          <w:color w:val="000000" w:themeColor="text1"/>
          <w:sz w:val="24"/>
          <w:szCs w:val="24"/>
          <w:lang w:eastAsia="lv-LV"/>
        </w:rPr>
        <w:t xml:space="preserve"> teritorijā biotops sastopams 15 vietās 18,</w:t>
      </w:r>
      <w:r w:rsidR="006B6BF0" w:rsidRPr="00A07F29">
        <w:rPr>
          <w:rFonts w:ascii="Times New Roman" w:eastAsia="Times New Roman" w:hAnsi="Times New Roman" w:cs="Times New Roman"/>
          <w:color w:val="000000" w:themeColor="text1"/>
          <w:sz w:val="24"/>
          <w:szCs w:val="24"/>
          <w:lang w:eastAsia="lv-LV"/>
        </w:rPr>
        <w:t>1</w:t>
      </w:r>
      <w:r w:rsidR="00DD2201">
        <w:rPr>
          <w:rFonts w:ascii="Times New Roman" w:eastAsia="Times New Roman" w:hAnsi="Times New Roman" w:cs="Times New Roman"/>
          <w:color w:val="000000" w:themeColor="text1"/>
          <w:sz w:val="24"/>
          <w:szCs w:val="24"/>
          <w:lang w:eastAsia="lv-LV"/>
        </w:rPr>
        <w:t> </w:t>
      </w:r>
      <w:r w:rsidRPr="00A07F29">
        <w:rPr>
          <w:rFonts w:ascii="Times New Roman" w:eastAsia="Times New Roman" w:hAnsi="Times New Roman" w:cs="Times New Roman"/>
          <w:color w:val="000000" w:themeColor="text1"/>
          <w:sz w:val="24"/>
          <w:szCs w:val="24"/>
          <w:lang w:eastAsia="lv-LV"/>
        </w:rPr>
        <w:t>ha platībā un</w:t>
      </w:r>
      <w:r w:rsidR="00C8111D" w:rsidRPr="00A07F29">
        <w:rPr>
          <w:rFonts w:ascii="Times New Roman" w:eastAsia="Times New Roman" w:hAnsi="Times New Roman" w:cs="Times New Roman"/>
          <w:color w:val="000000" w:themeColor="text1"/>
          <w:sz w:val="24"/>
          <w:szCs w:val="24"/>
          <w:lang w:eastAsia="lv-LV"/>
        </w:rPr>
        <w:t xml:space="preserve"> galvenokārt</w:t>
      </w:r>
      <w:r w:rsidRPr="00A07F29">
        <w:rPr>
          <w:rFonts w:ascii="Times New Roman" w:eastAsia="Times New Roman" w:hAnsi="Times New Roman" w:cs="Times New Roman"/>
          <w:color w:val="000000" w:themeColor="text1"/>
          <w:sz w:val="24"/>
          <w:szCs w:val="24"/>
          <w:lang w:eastAsia="lv-LV"/>
        </w:rPr>
        <w:t xml:space="preserve"> konstatēts 6120</w:t>
      </w:r>
      <w:r w:rsidR="00C8111D" w:rsidRPr="00A07F29">
        <w:rPr>
          <w:rFonts w:ascii="Times New Roman" w:eastAsia="Times New Roman" w:hAnsi="Times New Roman" w:cs="Times New Roman"/>
          <w:color w:val="000000" w:themeColor="text1"/>
          <w:sz w:val="24"/>
          <w:szCs w:val="24"/>
          <w:lang w:eastAsia="lv-LV"/>
        </w:rPr>
        <w:t>* </w:t>
      </w:r>
      <w:r w:rsidRPr="00A07F29">
        <w:rPr>
          <w:rFonts w:ascii="Times New Roman" w:eastAsia="Times New Roman" w:hAnsi="Times New Roman" w:cs="Times New Roman"/>
          <w:i/>
          <w:iCs/>
          <w:color w:val="000000" w:themeColor="text1"/>
          <w:sz w:val="24"/>
          <w:szCs w:val="24"/>
          <w:lang w:eastAsia="lv-LV"/>
        </w:rPr>
        <w:t>Smiltāju zālāj</w:t>
      </w:r>
      <w:r w:rsidR="00780A28">
        <w:rPr>
          <w:rFonts w:ascii="Times New Roman" w:eastAsia="Times New Roman" w:hAnsi="Times New Roman" w:cs="Times New Roman"/>
          <w:i/>
          <w:iCs/>
          <w:color w:val="000000" w:themeColor="text1"/>
          <w:sz w:val="24"/>
          <w:szCs w:val="24"/>
          <w:lang w:eastAsia="lv-LV"/>
        </w:rPr>
        <w:t>i</w:t>
      </w:r>
      <w:r w:rsidRPr="00A07F29">
        <w:rPr>
          <w:rFonts w:ascii="Times New Roman" w:eastAsia="Times New Roman" w:hAnsi="Times New Roman" w:cs="Times New Roman"/>
          <w:color w:val="000000" w:themeColor="text1"/>
          <w:sz w:val="24"/>
          <w:szCs w:val="24"/>
          <w:lang w:eastAsia="lv-LV"/>
        </w:rPr>
        <w:t xml:space="preserve"> 1.</w:t>
      </w:r>
      <w:r w:rsidR="00780A28">
        <w:rPr>
          <w:rFonts w:ascii="Times New Roman" w:eastAsia="Times New Roman" w:hAnsi="Times New Roman" w:cs="Times New Roman"/>
          <w:color w:val="000000" w:themeColor="text1"/>
          <w:sz w:val="24"/>
          <w:szCs w:val="24"/>
          <w:lang w:eastAsia="lv-LV"/>
        </w:rPr>
        <w:t> </w:t>
      </w:r>
      <w:r w:rsidRPr="00A07F29">
        <w:rPr>
          <w:rFonts w:ascii="Times New Roman" w:eastAsia="Times New Roman" w:hAnsi="Times New Roman" w:cs="Times New Roman"/>
          <w:color w:val="000000" w:themeColor="text1"/>
          <w:sz w:val="24"/>
          <w:szCs w:val="24"/>
          <w:lang w:eastAsia="lv-LV"/>
        </w:rPr>
        <w:t xml:space="preserve">variants (tipisks ar kontinentālu sugu klātbūtni). Šajos zālājos </w:t>
      </w:r>
      <w:proofErr w:type="spellStart"/>
      <w:r w:rsidRPr="00A07F29">
        <w:rPr>
          <w:rFonts w:ascii="Times New Roman" w:eastAsia="Times New Roman" w:hAnsi="Times New Roman" w:cs="Times New Roman"/>
          <w:color w:val="000000" w:themeColor="text1"/>
          <w:sz w:val="24"/>
          <w:szCs w:val="24"/>
          <w:lang w:eastAsia="lv-LV"/>
        </w:rPr>
        <w:t>indikatorsugu</w:t>
      </w:r>
      <w:proofErr w:type="spellEnd"/>
      <w:r w:rsidRPr="00A07F29">
        <w:rPr>
          <w:rFonts w:ascii="Times New Roman" w:eastAsia="Times New Roman" w:hAnsi="Times New Roman" w:cs="Times New Roman"/>
          <w:color w:val="000000" w:themeColor="text1"/>
          <w:sz w:val="24"/>
          <w:szCs w:val="24"/>
          <w:lang w:eastAsia="lv-LV"/>
        </w:rPr>
        <w:t xml:space="preserve"> skaits variē no 2 līdz 10. Sastopamas raksturojošās augu un ķērpju sugas. Zālājos konstatētās aizsargājamās</w:t>
      </w:r>
      <w:r w:rsidR="00D65BBA" w:rsidRPr="00A07F29">
        <w:rPr>
          <w:rFonts w:ascii="Times New Roman" w:eastAsia="Times New Roman" w:hAnsi="Times New Roman" w:cs="Times New Roman"/>
          <w:color w:val="000000" w:themeColor="text1"/>
          <w:sz w:val="24"/>
          <w:szCs w:val="24"/>
          <w:lang w:eastAsia="lv-LV"/>
        </w:rPr>
        <w:t xml:space="preserve"> </w:t>
      </w:r>
      <w:proofErr w:type="spellStart"/>
      <w:r w:rsidRPr="00A07F29">
        <w:rPr>
          <w:rFonts w:ascii="Times New Roman" w:eastAsia="Times New Roman" w:hAnsi="Times New Roman" w:cs="Times New Roman"/>
          <w:color w:val="000000" w:themeColor="text1"/>
          <w:sz w:val="24"/>
          <w:szCs w:val="24"/>
          <w:lang w:eastAsia="lv-LV"/>
        </w:rPr>
        <w:t>vaskulāro</w:t>
      </w:r>
      <w:proofErr w:type="spellEnd"/>
      <w:r w:rsidRPr="00A07F29">
        <w:rPr>
          <w:rFonts w:ascii="Times New Roman" w:eastAsia="Times New Roman" w:hAnsi="Times New Roman" w:cs="Times New Roman"/>
          <w:color w:val="000000" w:themeColor="text1"/>
          <w:sz w:val="24"/>
          <w:szCs w:val="24"/>
          <w:lang w:eastAsia="lv-LV"/>
        </w:rPr>
        <w:t xml:space="preserve"> augu sugas – smiltāja neļķe </w:t>
      </w:r>
      <w:proofErr w:type="spellStart"/>
      <w:r w:rsidRPr="00A07F29">
        <w:rPr>
          <w:rFonts w:ascii="Times New Roman" w:eastAsia="Times New Roman" w:hAnsi="Times New Roman" w:cs="Times New Roman"/>
          <w:i/>
          <w:iCs/>
          <w:color w:val="000000" w:themeColor="text1"/>
          <w:sz w:val="24"/>
          <w:szCs w:val="24"/>
          <w:lang w:eastAsia="lv-LV"/>
        </w:rPr>
        <w:t>Dianthus</w:t>
      </w:r>
      <w:proofErr w:type="spellEnd"/>
      <w:r w:rsidRPr="00A07F29">
        <w:rPr>
          <w:rFonts w:ascii="Times New Roman" w:eastAsia="Times New Roman" w:hAnsi="Times New Roman" w:cs="Times New Roman"/>
          <w:color w:val="000000" w:themeColor="text1"/>
          <w:sz w:val="24"/>
          <w:szCs w:val="24"/>
          <w:lang w:eastAsia="lv-LV"/>
        </w:rPr>
        <w:t xml:space="preserve"> </w:t>
      </w:r>
      <w:proofErr w:type="spellStart"/>
      <w:r w:rsidRPr="00A07F29">
        <w:rPr>
          <w:rFonts w:ascii="Times New Roman" w:eastAsia="Times New Roman" w:hAnsi="Times New Roman" w:cs="Times New Roman"/>
          <w:i/>
          <w:iCs/>
          <w:color w:val="000000" w:themeColor="text1"/>
          <w:sz w:val="24"/>
          <w:szCs w:val="24"/>
          <w:lang w:eastAsia="lv-LV"/>
        </w:rPr>
        <w:t>arenarius</w:t>
      </w:r>
      <w:proofErr w:type="spellEnd"/>
      <w:r w:rsidRPr="00A07F29">
        <w:rPr>
          <w:rFonts w:ascii="Times New Roman" w:eastAsia="Times New Roman" w:hAnsi="Times New Roman" w:cs="Times New Roman"/>
          <w:color w:val="000000" w:themeColor="text1"/>
          <w:sz w:val="24"/>
          <w:szCs w:val="24"/>
          <w:lang w:eastAsia="lv-LV"/>
        </w:rPr>
        <w:t xml:space="preserve"> un sīpoliņu gundega </w:t>
      </w:r>
      <w:proofErr w:type="spellStart"/>
      <w:r w:rsidRPr="00A07F29">
        <w:rPr>
          <w:rFonts w:ascii="Times New Roman" w:eastAsia="Times New Roman" w:hAnsi="Times New Roman" w:cs="Times New Roman"/>
          <w:i/>
          <w:iCs/>
          <w:color w:val="000000" w:themeColor="text1"/>
          <w:sz w:val="24"/>
          <w:szCs w:val="24"/>
          <w:lang w:eastAsia="lv-LV"/>
        </w:rPr>
        <w:t>Ranunculus</w:t>
      </w:r>
      <w:proofErr w:type="spellEnd"/>
      <w:r w:rsidRPr="00A07F29">
        <w:rPr>
          <w:rFonts w:ascii="Times New Roman" w:eastAsia="Times New Roman" w:hAnsi="Times New Roman" w:cs="Times New Roman"/>
          <w:i/>
          <w:iCs/>
          <w:color w:val="000000" w:themeColor="text1"/>
          <w:sz w:val="24"/>
          <w:szCs w:val="24"/>
          <w:lang w:eastAsia="lv-LV"/>
        </w:rPr>
        <w:t xml:space="preserve"> </w:t>
      </w:r>
      <w:proofErr w:type="spellStart"/>
      <w:r w:rsidRPr="00A07F29">
        <w:rPr>
          <w:rFonts w:ascii="Times New Roman" w:eastAsia="Times New Roman" w:hAnsi="Times New Roman" w:cs="Times New Roman"/>
          <w:i/>
          <w:iCs/>
          <w:color w:val="000000" w:themeColor="text1"/>
          <w:sz w:val="24"/>
          <w:szCs w:val="24"/>
          <w:lang w:eastAsia="lv-LV"/>
        </w:rPr>
        <w:t>bulbosus</w:t>
      </w:r>
      <w:proofErr w:type="spellEnd"/>
      <w:r w:rsidRPr="00A07F29">
        <w:rPr>
          <w:rFonts w:ascii="Times New Roman" w:eastAsia="Times New Roman" w:hAnsi="Times New Roman" w:cs="Times New Roman"/>
          <w:color w:val="000000" w:themeColor="text1"/>
          <w:sz w:val="24"/>
          <w:szCs w:val="24"/>
          <w:lang w:eastAsia="lv-LV"/>
        </w:rPr>
        <w:t>. Biotopam</w:t>
      </w:r>
      <w:r w:rsidR="00D65BBA" w:rsidRPr="00A07F29">
        <w:rPr>
          <w:rFonts w:ascii="Times New Roman" w:eastAsia="Times New Roman" w:hAnsi="Times New Roman" w:cs="Times New Roman"/>
          <w:color w:val="000000" w:themeColor="text1"/>
          <w:sz w:val="24"/>
          <w:szCs w:val="24"/>
          <w:lang w:eastAsia="lv-LV"/>
        </w:rPr>
        <w:t xml:space="preserve"> </w:t>
      </w:r>
      <w:r w:rsidRPr="00A07F29">
        <w:rPr>
          <w:rFonts w:ascii="Times New Roman" w:eastAsia="Times New Roman" w:hAnsi="Times New Roman" w:cs="Times New Roman"/>
          <w:color w:val="000000" w:themeColor="text1"/>
          <w:sz w:val="24"/>
          <w:szCs w:val="24"/>
          <w:lang w:eastAsia="lv-LV"/>
        </w:rPr>
        <w:t xml:space="preserve">raksturīgs skrajš un zems zelmenis, kurā dominē </w:t>
      </w:r>
      <w:proofErr w:type="spellStart"/>
      <w:r w:rsidRPr="00A07F29">
        <w:rPr>
          <w:rFonts w:ascii="Times New Roman" w:eastAsia="Times New Roman" w:hAnsi="Times New Roman" w:cs="Times New Roman"/>
          <w:color w:val="000000" w:themeColor="text1"/>
          <w:sz w:val="24"/>
          <w:szCs w:val="24"/>
          <w:lang w:eastAsia="lv-LV"/>
        </w:rPr>
        <w:t>šaurlapu</w:t>
      </w:r>
      <w:proofErr w:type="spellEnd"/>
      <w:r w:rsidRPr="00A07F29">
        <w:rPr>
          <w:rFonts w:ascii="Times New Roman" w:eastAsia="Times New Roman" w:hAnsi="Times New Roman" w:cs="Times New Roman"/>
          <w:color w:val="000000" w:themeColor="text1"/>
          <w:sz w:val="24"/>
          <w:szCs w:val="24"/>
          <w:lang w:eastAsia="lv-LV"/>
        </w:rPr>
        <w:t xml:space="preserve"> skarene </w:t>
      </w:r>
      <w:proofErr w:type="spellStart"/>
      <w:r w:rsidRPr="00A07F29">
        <w:rPr>
          <w:rFonts w:ascii="Times New Roman" w:eastAsia="Times New Roman" w:hAnsi="Times New Roman" w:cs="Times New Roman"/>
          <w:i/>
          <w:iCs/>
          <w:color w:val="000000" w:themeColor="text1"/>
          <w:sz w:val="24"/>
          <w:szCs w:val="24"/>
          <w:lang w:eastAsia="lv-LV"/>
        </w:rPr>
        <w:t>Poa</w:t>
      </w:r>
      <w:proofErr w:type="spellEnd"/>
      <w:r w:rsidRPr="00A07F29">
        <w:rPr>
          <w:rFonts w:ascii="Times New Roman" w:eastAsia="Times New Roman" w:hAnsi="Times New Roman" w:cs="Times New Roman"/>
          <w:i/>
          <w:iCs/>
          <w:color w:val="000000" w:themeColor="text1"/>
          <w:sz w:val="24"/>
          <w:szCs w:val="24"/>
          <w:lang w:eastAsia="lv-LV"/>
        </w:rPr>
        <w:t xml:space="preserve"> </w:t>
      </w:r>
      <w:proofErr w:type="spellStart"/>
      <w:r w:rsidRPr="00A07F29">
        <w:rPr>
          <w:rFonts w:ascii="Times New Roman" w:eastAsia="Times New Roman" w:hAnsi="Times New Roman" w:cs="Times New Roman"/>
          <w:i/>
          <w:iCs/>
          <w:color w:val="000000" w:themeColor="text1"/>
          <w:sz w:val="24"/>
          <w:szCs w:val="24"/>
          <w:lang w:eastAsia="lv-LV"/>
        </w:rPr>
        <w:t>angustifolia</w:t>
      </w:r>
      <w:proofErr w:type="spellEnd"/>
      <w:r w:rsidRPr="00A07F29">
        <w:rPr>
          <w:rFonts w:ascii="Times New Roman" w:eastAsia="Times New Roman" w:hAnsi="Times New Roman" w:cs="Times New Roman"/>
          <w:color w:val="000000" w:themeColor="text1"/>
          <w:sz w:val="24"/>
          <w:szCs w:val="24"/>
          <w:lang w:eastAsia="lv-LV"/>
        </w:rPr>
        <w:t>,</w:t>
      </w:r>
      <w:r w:rsidR="00D65BBA" w:rsidRPr="00A07F29">
        <w:rPr>
          <w:rFonts w:ascii="Times New Roman" w:eastAsia="Times New Roman" w:hAnsi="Times New Roman" w:cs="Times New Roman"/>
          <w:color w:val="000000" w:themeColor="text1"/>
          <w:sz w:val="24"/>
          <w:szCs w:val="24"/>
          <w:lang w:eastAsia="lv-LV"/>
        </w:rPr>
        <w:t xml:space="preserve"> </w:t>
      </w:r>
      <w:r w:rsidRPr="00A07F29">
        <w:rPr>
          <w:rFonts w:ascii="Times New Roman" w:eastAsia="Times New Roman" w:hAnsi="Times New Roman" w:cs="Times New Roman"/>
          <w:color w:val="000000" w:themeColor="text1"/>
          <w:sz w:val="24"/>
          <w:szCs w:val="24"/>
          <w:lang w:eastAsia="lv-LV"/>
        </w:rPr>
        <w:t xml:space="preserve">parastā smilga </w:t>
      </w:r>
      <w:proofErr w:type="spellStart"/>
      <w:r w:rsidRPr="00A07F29">
        <w:rPr>
          <w:rFonts w:ascii="Times New Roman" w:eastAsia="Times New Roman" w:hAnsi="Times New Roman" w:cs="Times New Roman"/>
          <w:i/>
          <w:iCs/>
          <w:color w:val="000000" w:themeColor="text1"/>
          <w:sz w:val="24"/>
          <w:szCs w:val="24"/>
          <w:lang w:eastAsia="lv-LV"/>
        </w:rPr>
        <w:t>Agrostis</w:t>
      </w:r>
      <w:proofErr w:type="spellEnd"/>
      <w:r w:rsidRPr="00A07F29">
        <w:rPr>
          <w:rFonts w:ascii="Times New Roman" w:eastAsia="Times New Roman" w:hAnsi="Times New Roman" w:cs="Times New Roman"/>
          <w:i/>
          <w:iCs/>
          <w:color w:val="000000" w:themeColor="text1"/>
          <w:sz w:val="24"/>
          <w:szCs w:val="24"/>
          <w:lang w:eastAsia="lv-LV"/>
        </w:rPr>
        <w:t xml:space="preserve"> </w:t>
      </w:r>
      <w:proofErr w:type="spellStart"/>
      <w:r w:rsidRPr="00A07F29">
        <w:rPr>
          <w:rFonts w:ascii="Times New Roman" w:eastAsia="Times New Roman" w:hAnsi="Times New Roman" w:cs="Times New Roman"/>
          <w:i/>
          <w:iCs/>
          <w:color w:val="000000" w:themeColor="text1"/>
          <w:sz w:val="24"/>
          <w:szCs w:val="24"/>
          <w:lang w:eastAsia="lv-LV"/>
        </w:rPr>
        <w:t>tenuis</w:t>
      </w:r>
      <w:proofErr w:type="spellEnd"/>
      <w:r w:rsidRPr="00A07F29">
        <w:rPr>
          <w:rFonts w:ascii="Times New Roman" w:eastAsia="Times New Roman" w:hAnsi="Times New Roman" w:cs="Times New Roman"/>
          <w:i/>
          <w:iCs/>
          <w:color w:val="000000" w:themeColor="text1"/>
          <w:sz w:val="24"/>
          <w:szCs w:val="24"/>
          <w:lang w:eastAsia="lv-LV"/>
        </w:rPr>
        <w:t xml:space="preserve">, </w:t>
      </w:r>
      <w:r w:rsidRPr="00A07F29">
        <w:rPr>
          <w:rFonts w:ascii="Times New Roman" w:eastAsia="Times New Roman" w:hAnsi="Times New Roman" w:cs="Times New Roman"/>
          <w:color w:val="000000" w:themeColor="text1"/>
          <w:sz w:val="24"/>
          <w:szCs w:val="24"/>
          <w:lang w:eastAsia="lv-LV"/>
        </w:rPr>
        <w:t>aitu auzene</w:t>
      </w:r>
      <w:r w:rsidRPr="00A07F29">
        <w:rPr>
          <w:rFonts w:ascii="Times New Roman" w:eastAsia="Times New Roman" w:hAnsi="Times New Roman" w:cs="Times New Roman"/>
          <w:i/>
          <w:iCs/>
          <w:color w:val="000000" w:themeColor="text1"/>
          <w:sz w:val="24"/>
          <w:szCs w:val="24"/>
          <w:lang w:eastAsia="lv-LV"/>
        </w:rPr>
        <w:t xml:space="preserve"> </w:t>
      </w:r>
      <w:proofErr w:type="spellStart"/>
      <w:r w:rsidRPr="00A07F29">
        <w:rPr>
          <w:rFonts w:ascii="Times New Roman" w:eastAsia="Times New Roman" w:hAnsi="Times New Roman" w:cs="Times New Roman"/>
          <w:i/>
          <w:iCs/>
          <w:color w:val="000000" w:themeColor="text1"/>
          <w:sz w:val="24"/>
          <w:szCs w:val="24"/>
          <w:lang w:eastAsia="lv-LV"/>
        </w:rPr>
        <w:t>Festuca</w:t>
      </w:r>
      <w:proofErr w:type="spellEnd"/>
      <w:r w:rsidRPr="00A07F29">
        <w:rPr>
          <w:rFonts w:ascii="Times New Roman" w:eastAsia="Times New Roman" w:hAnsi="Times New Roman" w:cs="Times New Roman"/>
          <w:i/>
          <w:iCs/>
          <w:color w:val="000000" w:themeColor="text1"/>
          <w:sz w:val="24"/>
          <w:szCs w:val="24"/>
          <w:lang w:eastAsia="lv-LV"/>
        </w:rPr>
        <w:t xml:space="preserve"> </w:t>
      </w:r>
      <w:proofErr w:type="spellStart"/>
      <w:r w:rsidRPr="00A07F29">
        <w:rPr>
          <w:rFonts w:ascii="Times New Roman" w:eastAsia="Times New Roman" w:hAnsi="Times New Roman" w:cs="Times New Roman"/>
          <w:i/>
          <w:iCs/>
          <w:color w:val="000000" w:themeColor="text1"/>
          <w:sz w:val="24"/>
          <w:szCs w:val="24"/>
          <w:lang w:eastAsia="lv-LV"/>
        </w:rPr>
        <w:t>ovina</w:t>
      </w:r>
      <w:proofErr w:type="spellEnd"/>
      <w:r w:rsidRPr="00A07F29">
        <w:rPr>
          <w:rFonts w:ascii="Times New Roman" w:eastAsia="Times New Roman" w:hAnsi="Times New Roman" w:cs="Times New Roman"/>
          <w:color w:val="000000" w:themeColor="text1"/>
          <w:sz w:val="24"/>
          <w:szCs w:val="24"/>
          <w:lang w:eastAsia="lv-LV"/>
        </w:rPr>
        <w:t xml:space="preserve">, mazā </w:t>
      </w:r>
      <w:proofErr w:type="spellStart"/>
      <w:r w:rsidRPr="00A07F29">
        <w:rPr>
          <w:rFonts w:ascii="Times New Roman" w:eastAsia="Times New Roman" w:hAnsi="Times New Roman" w:cs="Times New Roman"/>
          <w:color w:val="000000" w:themeColor="text1"/>
          <w:sz w:val="24"/>
          <w:szCs w:val="24"/>
          <w:lang w:eastAsia="lv-LV"/>
        </w:rPr>
        <w:t>mauraga</w:t>
      </w:r>
      <w:proofErr w:type="spellEnd"/>
      <w:r w:rsidRPr="00A07F29">
        <w:rPr>
          <w:rFonts w:ascii="Times New Roman" w:eastAsia="Times New Roman" w:hAnsi="Times New Roman" w:cs="Times New Roman"/>
          <w:color w:val="000000" w:themeColor="text1"/>
          <w:sz w:val="24"/>
          <w:szCs w:val="24"/>
          <w:lang w:eastAsia="lv-LV"/>
        </w:rPr>
        <w:t xml:space="preserve"> </w:t>
      </w:r>
      <w:proofErr w:type="spellStart"/>
      <w:r w:rsidRPr="00A07F29">
        <w:rPr>
          <w:rFonts w:ascii="Times New Roman" w:eastAsia="Times New Roman" w:hAnsi="Times New Roman" w:cs="Times New Roman"/>
          <w:i/>
          <w:iCs/>
          <w:color w:val="000000" w:themeColor="text1"/>
          <w:sz w:val="24"/>
          <w:szCs w:val="24"/>
          <w:lang w:eastAsia="lv-LV"/>
        </w:rPr>
        <w:t>Hieracium</w:t>
      </w:r>
      <w:proofErr w:type="spellEnd"/>
      <w:r w:rsidRPr="00A07F29">
        <w:rPr>
          <w:rFonts w:ascii="Times New Roman" w:eastAsia="Times New Roman" w:hAnsi="Times New Roman" w:cs="Times New Roman"/>
          <w:i/>
          <w:iCs/>
          <w:color w:val="000000" w:themeColor="text1"/>
          <w:sz w:val="24"/>
          <w:szCs w:val="24"/>
          <w:lang w:eastAsia="lv-LV"/>
        </w:rPr>
        <w:t xml:space="preserve"> </w:t>
      </w:r>
      <w:proofErr w:type="spellStart"/>
      <w:r w:rsidRPr="00A07F29">
        <w:rPr>
          <w:rFonts w:ascii="Times New Roman" w:eastAsia="Times New Roman" w:hAnsi="Times New Roman" w:cs="Times New Roman"/>
          <w:i/>
          <w:iCs/>
          <w:color w:val="000000" w:themeColor="text1"/>
          <w:sz w:val="24"/>
          <w:szCs w:val="24"/>
          <w:lang w:eastAsia="lv-LV"/>
        </w:rPr>
        <w:t>pilosella</w:t>
      </w:r>
      <w:proofErr w:type="spellEnd"/>
      <w:r w:rsidRPr="00A07F29">
        <w:rPr>
          <w:rFonts w:ascii="Times New Roman" w:eastAsia="Times New Roman" w:hAnsi="Times New Roman" w:cs="Times New Roman"/>
          <w:color w:val="000000" w:themeColor="text1"/>
          <w:sz w:val="24"/>
          <w:szCs w:val="24"/>
          <w:lang w:eastAsia="lv-LV"/>
        </w:rPr>
        <w:t xml:space="preserve">, īstā madara </w:t>
      </w:r>
      <w:proofErr w:type="spellStart"/>
      <w:r w:rsidRPr="00A07F29">
        <w:rPr>
          <w:rFonts w:ascii="Times New Roman" w:eastAsia="Times New Roman" w:hAnsi="Times New Roman" w:cs="Times New Roman"/>
          <w:i/>
          <w:iCs/>
          <w:color w:val="000000" w:themeColor="text1"/>
          <w:sz w:val="24"/>
          <w:szCs w:val="24"/>
          <w:lang w:eastAsia="lv-LV"/>
        </w:rPr>
        <w:t>Galium</w:t>
      </w:r>
      <w:proofErr w:type="spellEnd"/>
      <w:r w:rsidRPr="00A07F29">
        <w:rPr>
          <w:rFonts w:ascii="Times New Roman" w:eastAsia="Times New Roman" w:hAnsi="Times New Roman" w:cs="Times New Roman"/>
          <w:i/>
          <w:iCs/>
          <w:color w:val="000000" w:themeColor="text1"/>
          <w:sz w:val="24"/>
          <w:szCs w:val="24"/>
          <w:lang w:eastAsia="lv-LV"/>
        </w:rPr>
        <w:t xml:space="preserve"> </w:t>
      </w:r>
      <w:proofErr w:type="spellStart"/>
      <w:r w:rsidRPr="00A07F29">
        <w:rPr>
          <w:rFonts w:ascii="Times New Roman" w:eastAsia="Times New Roman" w:hAnsi="Times New Roman" w:cs="Times New Roman"/>
          <w:i/>
          <w:iCs/>
          <w:color w:val="000000" w:themeColor="text1"/>
          <w:sz w:val="24"/>
          <w:szCs w:val="24"/>
          <w:lang w:eastAsia="lv-LV"/>
        </w:rPr>
        <w:t>verum</w:t>
      </w:r>
      <w:proofErr w:type="spellEnd"/>
      <w:r w:rsidRPr="00A07F29">
        <w:rPr>
          <w:rFonts w:ascii="Times New Roman" w:eastAsia="Times New Roman" w:hAnsi="Times New Roman" w:cs="Times New Roman"/>
          <w:color w:val="000000" w:themeColor="text1"/>
          <w:sz w:val="24"/>
          <w:szCs w:val="24"/>
          <w:lang w:eastAsia="lv-LV"/>
        </w:rPr>
        <w:t xml:space="preserve">, tīruma āboliņš </w:t>
      </w:r>
      <w:proofErr w:type="spellStart"/>
      <w:r w:rsidRPr="00A07F29">
        <w:rPr>
          <w:rFonts w:ascii="Times New Roman" w:eastAsia="Times New Roman" w:hAnsi="Times New Roman" w:cs="Times New Roman"/>
          <w:i/>
          <w:iCs/>
          <w:color w:val="000000" w:themeColor="text1"/>
          <w:sz w:val="24"/>
          <w:szCs w:val="24"/>
          <w:lang w:eastAsia="lv-LV"/>
        </w:rPr>
        <w:t>Trifolium</w:t>
      </w:r>
      <w:proofErr w:type="spellEnd"/>
      <w:r w:rsidRPr="00A07F29">
        <w:rPr>
          <w:rFonts w:ascii="Times New Roman" w:eastAsia="Times New Roman" w:hAnsi="Times New Roman" w:cs="Times New Roman"/>
          <w:i/>
          <w:iCs/>
          <w:color w:val="000000" w:themeColor="text1"/>
          <w:sz w:val="24"/>
          <w:szCs w:val="24"/>
          <w:lang w:eastAsia="lv-LV"/>
        </w:rPr>
        <w:t xml:space="preserve"> </w:t>
      </w:r>
      <w:proofErr w:type="spellStart"/>
      <w:r w:rsidRPr="00A07F29">
        <w:rPr>
          <w:rFonts w:ascii="Times New Roman" w:eastAsia="Times New Roman" w:hAnsi="Times New Roman" w:cs="Times New Roman"/>
          <w:i/>
          <w:iCs/>
          <w:color w:val="000000" w:themeColor="text1"/>
          <w:sz w:val="24"/>
          <w:szCs w:val="24"/>
          <w:lang w:eastAsia="lv-LV"/>
        </w:rPr>
        <w:t>campestre</w:t>
      </w:r>
      <w:proofErr w:type="spellEnd"/>
      <w:r w:rsidRPr="00A07F29">
        <w:rPr>
          <w:rFonts w:ascii="Times New Roman" w:eastAsia="Times New Roman" w:hAnsi="Times New Roman" w:cs="Times New Roman"/>
          <w:color w:val="000000" w:themeColor="text1"/>
          <w:sz w:val="24"/>
          <w:szCs w:val="24"/>
          <w:lang w:eastAsia="lv-LV"/>
        </w:rPr>
        <w:t xml:space="preserve">, lauka vībotne </w:t>
      </w:r>
      <w:proofErr w:type="spellStart"/>
      <w:r w:rsidRPr="00A07F29">
        <w:rPr>
          <w:rFonts w:ascii="Times New Roman" w:eastAsia="Times New Roman" w:hAnsi="Times New Roman" w:cs="Times New Roman"/>
          <w:i/>
          <w:iCs/>
          <w:color w:val="000000" w:themeColor="text1"/>
          <w:sz w:val="24"/>
          <w:szCs w:val="24"/>
          <w:lang w:eastAsia="lv-LV"/>
        </w:rPr>
        <w:t>Artemisia</w:t>
      </w:r>
      <w:proofErr w:type="spellEnd"/>
      <w:r w:rsidRPr="00A07F29">
        <w:rPr>
          <w:rFonts w:ascii="Times New Roman" w:eastAsia="Times New Roman" w:hAnsi="Times New Roman" w:cs="Times New Roman"/>
          <w:i/>
          <w:iCs/>
          <w:color w:val="000000" w:themeColor="text1"/>
          <w:sz w:val="24"/>
          <w:szCs w:val="24"/>
          <w:lang w:eastAsia="lv-LV"/>
        </w:rPr>
        <w:t xml:space="preserve"> </w:t>
      </w:r>
      <w:proofErr w:type="spellStart"/>
      <w:r w:rsidRPr="00A07F29">
        <w:rPr>
          <w:rFonts w:ascii="Times New Roman" w:eastAsia="Times New Roman" w:hAnsi="Times New Roman" w:cs="Times New Roman"/>
          <w:i/>
          <w:iCs/>
          <w:color w:val="000000" w:themeColor="text1"/>
          <w:sz w:val="24"/>
          <w:szCs w:val="24"/>
          <w:lang w:eastAsia="lv-LV"/>
        </w:rPr>
        <w:t>campestris</w:t>
      </w:r>
      <w:proofErr w:type="spellEnd"/>
      <w:r w:rsidRPr="00A07F29">
        <w:rPr>
          <w:rFonts w:ascii="Times New Roman" w:eastAsia="Times New Roman" w:hAnsi="Times New Roman" w:cs="Times New Roman"/>
          <w:color w:val="000000" w:themeColor="text1"/>
          <w:sz w:val="24"/>
          <w:szCs w:val="24"/>
          <w:lang w:eastAsia="lv-LV"/>
        </w:rPr>
        <w:t xml:space="preserve">, vārpu veronika </w:t>
      </w:r>
      <w:proofErr w:type="spellStart"/>
      <w:r w:rsidRPr="00A07F29">
        <w:rPr>
          <w:rFonts w:ascii="Times New Roman" w:eastAsia="Times New Roman" w:hAnsi="Times New Roman" w:cs="Times New Roman"/>
          <w:i/>
          <w:iCs/>
          <w:color w:val="000000" w:themeColor="text1"/>
          <w:sz w:val="24"/>
          <w:szCs w:val="24"/>
          <w:lang w:eastAsia="lv-LV"/>
        </w:rPr>
        <w:t>Veronica</w:t>
      </w:r>
      <w:proofErr w:type="spellEnd"/>
      <w:r w:rsidRPr="00A07F29">
        <w:rPr>
          <w:rFonts w:ascii="Times New Roman" w:eastAsia="Times New Roman" w:hAnsi="Times New Roman" w:cs="Times New Roman"/>
          <w:i/>
          <w:iCs/>
          <w:color w:val="000000" w:themeColor="text1"/>
          <w:sz w:val="24"/>
          <w:szCs w:val="24"/>
          <w:lang w:eastAsia="lv-LV"/>
        </w:rPr>
        <w:t xml:space="preserve"> </w:t>
      </w:r>
      <w:proofErr w:type="spellStart"/>
      <w:r w:rsidRPr="00A07F29">
        <w:rPr>
          <w:rFonts w:ascii="Times New Roman" w:eastAsia="Times New Roman" w:hAnsi="Times New Roman" w:cs="Times New Roman"/>
          <w:i/>
          <w:iCs/>
          <w:color w:val="000000" w:themeColor="text1"/>
          <w:sz w:val="24"/>
          <w:szCs w:val="24"/>
          <w:lang w:eastAsia="lv-LV"/>
        </w:rPr>
        <w:t>spicata</w:t>
      </w:r>
      <w:proofErr w:type="spellEnd"/>
      <w:r w:rsidRPr="00A07F29">
        <w:rPr>
          <w:rFonts w:ascii="Times New Roman" w:eastAsia="Times New Roman" w:hAnsi="Times New Roman" w:cs="Times New Roman"/>
          <w:color w:val="000000" w:themeColor="text1"/>
          <w:sz w:val="24"/>
          <w:szCs w:val="24"/>
          <w:lang w:eastAsia="lv-LV"/>
        </w:rPr>
        <w:t xml:space="preserve">, mazais mārsils </w:t>
      </w:r>
      <w:proofErr w:type="spellStart"/>
      <w:r w:rsidRPr="00A07F29">
        <w:rPr>
          <w:rFonts w:ascii="Times New Roman" w:eastAsia="Times New Roman" w:hAnsi="Times New Roman" w:cs="Times New Roman"/>
          <w:i/>
          <w:iCs/>
          <w:color w:val="000000" w:themeColor="text1"/>
          <w:sz w:val="24"/>
          <w:szCs w:val="24"/>
          <w:lang w:eastAsia="lv-LV"/>
        </w:rPr>
        <w:t>Thymus</w:t>
      </w:r>
      <w:proofErr w:type="spellEnd"/>
      <w:r w:rsidRPr="00A07F29">
        <w:rPr>
          <w:rFonts w:ascii="Times New Roman" w:eastAsia="Times New Roman" w:hAnsi="Times New Roman" w:cs="Times New Roman"/>
          <w:i/>
          <w:iCs/>
          <w:color w:val="000000" w:themeColor="text1"/>
          <w:sz w:val="24"/>
          <w:szCs w:val="24"/>
          <w:lang w:eastAsia="lv-LV"/>
        </w:rPr>
        <w:t xml:space="preserve"> </w:t>
      </w:r>
      <w:proofErr w:type="spellStart"/>
      <w:r w:rsidRPr="00A07F29">
        <w:rPr>
          <w:rFonts w:ascii="Times New Roman" w:eastAsia="Times New Roman" w:hAnsi="Times New Roman" w:cs="Times New Roman"/>
          <w:i/>
          <w:iCs/>
          <w:color w:val="000000" w:themeColor="text1"/>
          <w:sz w:val="24"/>
          <w:szCs w:val="24"/>
          <w:lang w:eastAsia="lv-LV"/>
        </w:rPr>
        <w:t>serpyllum</w:t>
      </w:r>
      <w:proofErr w:type="spellEnd"/>
      <w:r w:rsidRPr="00A07F29">
        <w:rPr>
          <w:rFonts w:ascii="Times New Roman" w:eastAsia="Times New Roman" w:hAnsi="Times New Roman" w:cs="Times New Roman"/>
          <w:color w:val="000000" w:themeColor="text1"/>
          <w:sz w:val="24"/>
          <w:szCs w:val="24"/>
          <w:lang w:eastAsia="lv-LV"/>
        </w:rPr>
        <w:t xml:space="preserve"> un citas augu sugas. </w:t>
      </w:r>
    </w:p>
    <w:p w14:paraId="7905D57F" w14:textId="4CBECF83" w:rsidR="00C8111D" w:rsidRPr="00A07F29" w:rsidRDefault="002B1603" w:rsidP="0006237A">
      <w:pPr>
        <w:spacing w:after="120" w:line="240" w:lineRule="auto"/>
        <w:ind w:firstLine="851"/>
        <w:jc w:val="both"/>
        <w:rPr>
          <w:rFonts w:ascii="Times New Roman" w:eastAsia="Times New Roman" w:hAnsi="Times New Roman" w:cs="Times New Roman"/>
          <w:color w:val="000000"/>
          <w:sz w:val="24"/>
          <w:szCs w:val="24"/>
          <w:lang w:eastAsia="lv-LV"/>
        </w:rPr>
      </w:pPr>
      <w:r w:rsidRPr="00A07F29">
        <w:rPr>
          <w:rFonts w:ascii="Times New Roman" w:eastAsia="Times New Roman" w:hAnsi="Times New Roman" w:cs="Times New Roman"/>
          <w:color w:val="000000"/>
          <w:sz w:val="24"/>
          <w:szCs w:val="24"/>
          <w:lang w:eastAsia="lv-LV"/>
        </w:rPr>
        <w:t>Savdabīgs, sugām bagāts 6</w:t>
      </w:r>
      <w:r w:rsidR="00E4038B" w:rsidRPr="00A07F29">
        <w:rPr>
          <w:rFonts w:ascii="Times New Roman" w:eastAsia="Times New Roman" w:hAnsi="Times New Roman" w:cs="Times New Roman"/>
          <w:color w:val="000000"/>
          <w:sz w:val="24"/>
          <w:szCs w:val="24"/>
          <w:lang w:eastAsia="lv-LV"/>
        </w:rPr>
        <w:t>12</w:t>
      </w:r>
      <w:r w:rsidRPr="00A07F29">
        <w:rPr>
          <w:rFonts w:ascii="Times New Roman" w:eastAsia="Times New Roman" w:hAnsi="Times New Roman" w:cs="Times New Roman"/>
          <w:color w:val="000000"/>
          <w:sz w:val="24"/>
          <w:szCs w:val="24"/>
          <w:lang w:eastAsia="lv-LV"/>
        </w:rPr>
        <w:t>0*</w:t>
      </w:r>
      <w:r w:rsidR="00452002">
        <w:rPr>
          <w:rFonts w:ascii="Times New Roman" w:eastAsia="Times New Roman" w:hAnsi="Times New Roman" w:cs="Times New Roman"/>
          <w:color w:val="000000"/>
          <w:sz w:val="24"/>
          <w:szCs w:val="24"/>
          <w:lang w:eastAsia="lv-LV"/>
        </w:rPr>
        <w:t> </w:t>
      </w:r>
      <w:r w:rsidRPr="00A07F29">
        <w:rPr>
          <w:rFonts w:ascii="Times New Roman" w:eastAsia="Times New Roman" w:hAnsi="Times New Roman" w:cs="Times New Roman"/>
          <w:i/>
          <w:iCs/>
          <w:color w:val="000000"/>
          <w:sz w:val="24"/>
          <w:szCs w:val="24"/>
          <w:lang w:eastAsia="lv-LV"/>
        </w:rPr>
        <w:t>Smiltāju zālāja</w:t>
      </w:r>
      <w:r w:rsidRPr="00A07F29">
        <w:rPr>
          <w:rFonts w:ascii="Times New Roman" w:eastAsia="Times New Roman" w:hAnsi="Times New Roman" w:cs="Times New Roman"/>
          <w:color w:val="000000"/>
          <w:sz w:val="24"/>
          <w:szCs w:val="24"/>
          <w:lang w:eastAsia="lv-LV"/>
        </w:rPr>
        <w:t xml:space="preserve"> </w:t>
      </w:r>
      <w:proofErr w:type="spellStart"/>
      <w:r w:rsidRPr="00A07F29">
        <w:rPr>
          <w:rFonts w:ascii="Times New Roman" w:eastAsia="Times New Roman" w:hAnsi="Times New Roman" w:cs="Times New Roman"/>
          <w:color w:val="000000"/>
          <w:sz w:val="24"/>
          <w:szCs w:val="24"/>
          <w:lang w:eastAsia="lv-LV"/>
        </w:rPr>
        <w:t>skeletainu</w:t>
      </w:r>
      <w:proofErr w:type="spellEnd"/>
      <w:r w:rsidRPr="00A07F29">
        <w:rPr>
          <w:rFonts w:ascii="Times New Roman" w:eastAsia="Times New Roman" w:hAnsi="Times New Roman" w:cs="Times New Roman"/>
          <w:color w:val="000000"/>
          <w:sz w:val="24"/>
          <w:szCs w:val="24"/>
          <w:lang w:eastAsia="lv-LV"/>
        </w:rPr>
        <w:t xml:space="preserve"> augšņu 3.</w:t>
      </w:r>
      <w:r w:rsidR="007D6AB8">
        <w:rPr>
          <w:rFonts w:ascii="Times New Roman" w:eastAsia="Times New Roman" w:hAnsi="Times New Roman" w:cs="Times New Roman"/>
          <w:color w:val="000000"/>
          <w:sz w:val="24"/>
          <w:szCs w:val="24"/>
          <w:lang w:eastAsia="lv-LV"/>
        </w:rPr>
        <w:t> </w:t>
      </w:r>
      <w:r w:rsidRPr="00A07F29">
        <w:rPr>
          <w:rFonts w:ascii="Times New Roman" w:eastAsia="Times New Roman" w:hAnsi="Times New Roman" w:cs="Times New Roman"/>
          <w:color w:val="000000"/>
          <w:sz w:val="24"/>
          <w:szCs w:val="24"/>
          <w:lang w:eastAsia="lv-LV"/>
        </w:rPr>
        <w:t xml:space="preserve">variants sastopams Lielajos Muļķos, kur zālājā izteikta lipīgās sveķenes </w:t>
      </w:r>
      <w:proofErr w:type="spellStart"/>
      <w:r w:rsidRPr="00A07F29">
        <w:rPr>
          <w:rFonts w:ascii="Times New Roman" w:eastAsia="Times New Roman" w:hAnsi="Times New Roman" w:cs="Times New Roman"/>
          <w:i/>
          <w:iCs/>
          <w:color w:val="000000"/>
          <w:sz w:val="24"/>
          <w:szCs w:val="24"/>
          <w:lang w:eastAsia="lv-LV"/>
        </w:rPr>
        <w:t>Viscaria</w:t>
      </w:r>
      <w:proofErr w:type="spellEnd"/>
      <w:r w:rsidRPr="00A07F29">
        <w:rPr>
          <w:rFonts w:ascii="Times New Roman" w:eastAsia="Times New Roman" w:hAnsi="Times New Roman" w:cs="Times New Roman"/>
          <w:i/>
          <w:iCs/>
          <w:color w:val="000000"/>
          <w:sz w:val="24"/>
          <w:szCs w:val="24"/>
          <w:lang w:eastAsia="lv-LV"/>
        </w:rPr>
        <w:t xml:space="preserve"> </w:t>
      </w:r>
      <w:proofErr w:type="spellStart"/>
      <w:r w:rsidRPr="00A07F29">
        <w:rPr>
          <w:rFonts w:ascii="Times New Roman" w:eastAsia="Times New Roman" w:hAnsi="Times New Roman" w:cs="Times New Roman"/>
          <w:i/>
          <w:iCs/>
          <w:color w:val="000000"/>
          <w:sz w:val="24"/>
          <w:szCs w:val="24"/>
          <w:lang w:eastAsia="lv-LV"/>
        </w:rPr>
        <w:t>vulgaris</w:t>
      </w:r>
      <w:proofErr w:type="spellEnd"/>
      <w:r w:rsidRPr="00A07F29">
        <w:rPr>
          <w:rFonts w:ascii="Times New Roman" w:eastAsia="Times New Roman" w:hAnsi="Times New Roman" w:cs="Times New Roman"/>
          <w:i/>
          <w:iCs/>
          <w:color w:val="000000"/>
          <w:sz w:val="24"/>
          <w:szCs w:val="24"/>
          <w:lang w:eastAsia="lv-LV"/>
        </w:rPr>
        <w:t xml:space="preserve"> </w:t>
      </w:r>
      <w:r w:rsidRPr="00A07F29">
        <w:rPr>
          <w:rFonts w:ascii="Times New Roman" w:eastAsia="Times New Roman" w:hAnsi="Times New Roman" w:cs="Times New Roman"/>
          <w:color w:val="000000"/>
          <w:sz w:val="24"/>
          <w:szCs w:val="24"/>
          <w:lang w:eastAsia="lv-LV"/>
        </w:rPr>
        <w:t>dominance (4.3.3.3.</w:t>
      </w:r>
      <w:r w:rsidR="007D6AB8">
        <w:rPr>
          <w:rFonts w:ascii="Times New Roman" w:eastAsia="Times New Roman" w:hAnsi="Times New Roman" w:cs="Times New Roman"/>
          <w:color w:val="000000"/>
          <w:sz w:val="24"/>
          <w:szCs w:val="24"/>
          <w:lang w:eastAsia="lv-LV"/>
        </w:rPr>
        <w:t> </w:t>
      </w:r>
      <w:r w:rsidRPr="00A07F29">
        <w:rPr>
          <w:rFonts w:ascii="Times New Roman" w:eastAsia="Times New Roman" w:hAnsi="Times New Roman" w:cs="Times New Roman"/>
          <w:color w:val="000000"/>
          <w:sz w:val="24"/>
          <w:szCs w:val="24"/>
          <w:lang w:eastAsia="lv-LV"/>
        </w:rPr>
        <w:t>att</w:t>
      </w:r>
      <w:r w:rsidR="007D6AB8">
        <w:rPr>
          <w:rFonts w:ascii="Times New Roman" w:eastAsia="Times New Roman" w:hAnsi="Times New Roman" w:cs="Times New Roman"/>
          <w:color w:val="000000"/>
          <w:sz w:val="24"/>
          <w:szCs w:val="24"/>
          <w:lang w:eastAsia="lv-LV"/>
        </w:rPr>
        <w:t>ēls</w:t>
      </w:r>
      <w:r w:rsidRPr="00A07F29">
        <w:rPr>
          <w:rFonts w:ascii="Times New Roman" w:eastAsia="Times New Roman" w:hAnsi="Times New Roman" w:cs="Times New Roman"/>
          <w:color w:val="000000"/>
          <w:sz w:val="24"/>
          <w:szCs w:val="24"/>
          <w:lang w:eastAsia="lv-LV"/>
        </w:rPr>
        <w:t>).</w:t>
      </w:r>
      <w:r w:rsidRPr="00A07F29">
        <w:rPr>
          <w:rFonts w:ascii="Times New Roman" w:eastAsia="Times New Roman" w:hAnsi="Times New Roman" w:cs="Times New Roman"/>
          <w:i/>
          <w:iCs/>
          <w:color w:val="000000"/>
          <w:sz w:val="24"/>
          <w:szCs w:val="24"/>
          <w:lang w:eastAsia="lv-LV"/>
        </w:rPr>
        <w:t xml:space="preserve"> </w:t>
      </w:r>
      <w:r w:rsidRPr="00A07F29">
        <w:rPr>
          <w:rFonts w:ascii="Times New Roman" w:eastAsia="Times New Roman" w:hAnsi="Times New Roman" w:cs="Times New Roman"/>
          <w:color w:val="000000"/>
          <w:sz w:val="24"/>
          <w:szCs w:val="24"/>
          <w:lang w:eastAsia="lv-LV"/>
        </w:rPr>
        <w:t>AAA “Augšdaugava”</w:t>
      </w:r>
      <w:r w:rsidR="00D65BBA" w:rsidRPr="00A07F29">
        <w:rPr>
          <w:rFonts w:ascii="Times New Roman" w:eastAsia="Times New Roman" w:hAnsi="Times New Roman" w:cs="Times New Roman"/>
          <w:color w:val="000000"/>
          <w:sz w:val="24"/>
          <w:szCs w:val="24"/>
          <w:lang w:eastAsia="lv-LV"/>
        </w:rPr>
        <w:t xml:space="preserve"> </w:t>
      </w:r>
      <w:r w:rsidRPr="00A07F29">
        <w:rPr>
          <w:rFonts w:ascii="Times New Roman" w:eastAsia="Times New Roman" w:hAnsi="Times New Roman" w:cs="Times New Roman"/>
          <w:color w:val="000000"/>
          <w:sz w:val="24"/>
          <w:szCs w:val="24"/>
          <w:lang w:eastAsia="lv-LV"/>
        </w:rPr>
        <w:t xml:space="preserve">neapsaimniekotie smiltāju zālāji aizaug ar ekspansīvajām sugām un parasto priedi </w:t>
      </w:r>
      <w:proofErr w:type="spellStart"/>
      <w:r w:rsidRPr="00A07F29">
        <w:rPr>
          <w:rFonts w:ascii="Times New Roman" w:eastAsia="Times New Roman" w:hAnsi="Times New Roman" w:cs="Times New Roman"/>
          <w:i/>
          <w:iCs/>
          <w:color w:val="000000"/>
          <w:sz w:val="24"/>
          <w:szCs w:val="24"/>
          <w:lang w:eastAsia="lv-LV"/>
        </w:rPr>
        <w:t>Pinus</w:t>
      </w:r>
      <w:proofErr w:type="spellEnd"/>
      <w:r w:rsidRPr="00A07F29">
        <w:rPr>
          <w:rFonts w:ascii="Times New Roman" w:eastAsia="Times New Roman" w:hAnsi="Times New Roman" w:cs="Times New Roman"/>
          <w:i/>
          <w:iCs/>
          <w:color w:val="000000"/>
          <w:sz w:val="24"/>
          <w:szCs w:val="24"/>
          <w:lang w:eastAsia="lv-LV"/>
        </w:rPr>
        <w:t xml:space="preserve"> </w:t>
      </w:r>
      <w:proofErr w:type="spellStart"/>
      <w:r w:rsidRPr="00A07F29">
        <w:rPr>
          <w:rFonts w:ascii="Times New Roman" w:eastAsia="Times New Roman" w:hAnsi="Times New Roman" w:cs="Times New Roman"/>
          <w:i/>
          <w:iCs/>
          <w:color w:val="000000"/>
          <w:sz w:val="24"/>
          <w:szCs w:val="24"/>
          <w:lang w:eastAsia="lv-LV"/>
        </w:rPr>
        <w:t>sylvestris</w:t>
      </w:r>
      <w:proofErr w:type="spellEnd"/>
      <w:r w:rsidRPr="00A07F29">
        <w:rPr>
          <w:rFonts w:ascii="Times New Roman" w:eastAsia="Times New Roman" w:hAnsi="Times New Roman" w:cs="Times New Roman"/>
          <w:color w:val="000000"/>
          <w:sz w:val="24"/>
          <w:szCs w:val="24"/>
          <w:lang w:eastAsia="lv-LV"/>
        </w:rPr>
        <w:t xml:space="preserve">. </w:t>
      </w:r>
    </w:p>
    <w:p w14:paraId="377FF531" w14:textId="46B0F342" w:rsidR="002B1603" w:rsidRPr="00A07F29" w:rsidRDefault="0006237A" w:rsidP="0006237A">
      <w:pPr>
        <w:spacing w:after="120" w:line="240" w:lineRule="auto"/>
        <w:ind w:firstLine="851"/>
        <w:jc w:val="both"/>
        <w:rPr>
          <w:rFonts w:ascii="Times New Roman" w:eastAsia="Times New Roman" w:hAnsi="Times New Roman" w:cs="Times New Roman"/>
          <w:bCs/>
          <w:color w:val="000000"/>
          <w:sz w:val="24"/>
          <w:szCs w:val="24"/>
          <w:lang w:eastAsia="lv-LV"/>
        </w:rPr>
      </w:pPr>
      <w:r w:rsidRPr="00A07F29">
        <w:rPr>
          <w:rFonts w:ascii="Times New Roman" w:eastAsia="Times New Roman" w:hAnsi="Times New Roman" w:cs="Times New Roman"/>
          <w:color w:val="000000"/>
          <w:sz w:val="24"/>
          <w:szCs w:val="24"/>
          <w:lang w:eastAsia="lv-LV"/>
        </w:rPr>
        <w:t>AAA teritorijā lielākā daļa no 6120*</w:t>
      </w:r>
      <w:r w:rsidR="00123AA8">
        <w:rPr>
          <w:rFonts w:ascii="Times New Roman" w:eastAsia="Times New Roman" w:hAnsi="Times New Roman" w:cs="Times New Roman"/>
          <w:color w:val="000000"/>
          <w:sz w:val="24"/>
          <w:szCs w:val="24"/>
          <w:lang w:eastAsia="lv-LV"/>
        </w:rPr>
        <w:t> </w:t>
      </w:r>
      <w:r w:rsidRPr="00A07F29">
        <w:rPr>
          <w:rFonts w:ascii="Times New Roman" w:eastAsia="Times New Roman" w:hAnsi="Times New Roman" w:cs="Times New Roman"/>
          <w:i/>
          <w:iCs/>
          <w:color w:val="000000"/>
          <w:sz w:val="24"/>
          <w:szCs w:val="24"/>
          <w:lang w:eastAsia="lv-LV"/>
        </w:rPr>
        <w:t xml:space="preserve">Smiltāju zālājiem </w:t>
      </w:r>
      <w:r w:rsidRPr="00A07F29">
        <w:rPr>
          <w:rFonts w:ascii="Times New Roman" w:eastAsia="Times New Roman" w:hAnsi="Times New Roman" w:cs="Times New Roman"/>
          <w:color w:val="000000"/>
          <w:sz w:val="24"/>
          <w:szCs w:val="24"/>
          <w:lang w:eastAsia="lv-LV"/>
        </w:rPr>
        <w:t>ir labā stāvoklī un tie tiek apsaimniekoti. Biotops 6120*</w:t>
      </w:r>
      <w:r w:rsidR="00123AA8">
        <w:rPr>
          <w:rFonts w:ascii="Times New Roman" w:eastAsia="Times New Roman" w:hAnsi="Times New Roman" w:cs="Times New Roman"/>
          <w:color w:val="000000"/>
          <w:sz w:val="24"/>
          <w:szCs w:val="24"/>
          <w:lang w:eastAsia="lv-LV"/>
        </w:rPr>
        <w:t> </w:t>
      </w:r>
      <w:r w:rsidRPr="00A07F29">
        <w:rPr>
          <w:rFonts w:ascii="Times New Roman" w:eastAsia="Times New Roman" w:hAnsi="Times New Roman" w:cs="Times New Roman"/>
          <w:i/>
          <w:color w:val="000000"/>
          <w:sz w:val="24"/>
          <w:szCs w:val="24"/>
          <w:lang w:eastAsia="lv-LV"/>
        </w:rPr>
        <w:t>Smiltāju zālāji</w:t>
      </w:r>
      <w:r w:rsidRPr="00A07F29">
        <w:rPr>
          <w:rFonts w:ascii="Times New Roman" w:eastAsia="Times New Roman" w:hAnsi="Times New Roman" w:cs="Times New Roman"/>
          <w:color w:val="000000"/>
          <w:sz w:val="24"/>
          <w:szCs w:val="24"/>
          <w:lang w:eastAsia="lv-LV"/>
        </w:rPr>
        <w:t xml:space="preserve"> Latvijā vērtējams kā nelabvēlīgā aizsardzības stāvoklī esošs.</w:t>
      </w:r>
    </w:p>
    <w:p w14:paraId="42EE37E3" w14:textId="7BDFB9A1" w:rsidR="002B1603" w:rsidRPr="00A07F29" w:rsidRDefault="002B1603" w:rsidP="0006237A">
      <w:pPr>
        <w:spacing w:after="0" w:line="240" w:lineRule="auto"/>
        <w:jc w:val="both"/>
        <w:rPr>
          <w:rFonts w:ascii="Times New Roman" w:eastAsia="Times New Roman" w:hAnsi="Times New Roman" w:cs="Times New Roman"/>
          <w:bCs/>
          <w:color w:val="000000"/>
          <w:sz w:val="24"/>
          <w:szCs w:val="24"/>
          <w:lang w:eastAsia="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2"/>
        <w:gridCol w:w="2262"/>
      </w:tblGrid>
      <w:tr w:rsidR="00D33C13" w:rsidRPr="00A07F29" w14:paraId="6D0A5F1A" w14:textId="77777777" w:rsidTr="63C42FA1">
        <w:tc>
          <w:tcPr>
            <w:tcW w:w="4672" w:type="dxa"/>
          </w:tcPr>
          <w:p w14:paraId="222EAE42" w14:textId="51252D44" w:rsidR="00D33C13" w:rsidRPr="00A07F29" w:rsidRDefault="00D33C13" w:rsidP="0006237A">
            <w:pPr>
              <w:jc w:val="both"/>
              <w:rPr>
                <w:rFonts w:ascii="Times New Roman" w:eastAsia="Times New Roman" w:hAnsi="Times New Roman" w:cs="Times New Roman"/>
                <w:bCs/>
                <w:color w:val="000000"/>
                <w:sz w:val="24"/>
                <w:szCs w:val="24"/>
                <w:lang w:eastAsia="lv-LV"/>
              </w:rPr>
            </w:pPr>
            <w:r w:rsidRPr="00A07F29">
              <w:rPr>
                <w:noProof/>
                <w:lang w:eastAsia="lv-LV"/>
              </w:rPr>
              <w:drawing>
                <wp:inline distT="0" distB="0" distL="0" distR="0" wp14:anchorId="1A465B74" wp14:editId="177C4EE7">
                  <wp:extent cx="4366260" cy="2455330"/>
                  <wp:effectExtent l="0" t="0" r="0" b="2540"/>
                  <wp:docPr id="918145554"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pic:nvPicPr>
                        <pic:blipFill>
                          <a:blip r:embed="rId45">
                            <a:extLst>
                              <a:ext uri="{28A0092B-C50C-407E-A947-70E740481C1C}">
                                <a14:useLocalDpi xmlns:a14="http://schemas.microsoft.com/office/drawing/2010/main" val="0"/>
                              </a:ext>
                            </a:extLst>
                          </a:blip>
                          <a:stretch>
                            <a:fillRect/>
                          </a:stretch>
                        </pic:blipFill>
                        <pic:spPr>
                          <a:xfrm>
                            <a:off x="0" y="0"/>
                            <a:ext cx="4366260" cy="2455330"/>
                          </a:xfrm>
                          <a:prstGeom prst="rect">
                            <a:avLst/>
                          </a:prstGeom>
                        </pic:spPr>
                      </pic:pic>
                    </a:graphicData>
                  </a:graphic>
                </wp:inline>
              </w:drawing>
            </w:r>
          </w:p>
        </w:tc>
        <w:tc>
          <w:tcPr>
            <w:tcW w:w="4672" w:type="dxa"/>
            <w:vAlign w:val="bottom"/>
          </w:tcPr>
          <w:p w14:paraId="73DFD564" w14:textId="6A67C110" w:rsidR="00D33C13" w:rsidRPr="00123AA8" w:rsidRDefault="00D33C13" w:rsidP="0006237A">
            <w:pPr>
              <w:jc w:val="both"/>
              <w:rPr>
                <w:rFonts w:ascii="Times New Roman" w:eastAsia="Times New Roman" w:hAnsi="Times New Roman" w:cs="Times New Roman"/>
                <w:bCs/>
                <w:color w:val="000000"/>
                <w:sz w:val="20"/>
                <w:szCs w:val="20"/>
                <w:lang w:eastAsia="lv-LV"/>
              </w:rPr>
            </w:pPr>
            <w:r w:rsidRPr="00123AA8">
              <w:rPr>
                <w:rFonts w:ascii="Times New Roman" w:eastAsia="Times New Roman" w:hAnsi="Times New Roman" w:cs="Times New Roman"/>
                <w:bCs/>
                <w:color w:val="000000"/>
                <w:sz w:val="20"/>
                <w:szCs w:val="20"/>
                <w:lang w:eastAsia="lv-LV"/>
              </w:rPr>
              <w:t>4.3.3.3.</w:t>
            </w:r>
            <w:r w:rsidR="00123AA8" w:rsidRPr="00123AA8">
              <w:rPr>
                <w:rFonts w:ascii="Times New Roman" w:eastAsia="Times New Roman" w:hAnsi="Times New Roman" w:cs="Times New Roman"/>
                <w:bCs/>
                <w:color w:val="000000"/>
                <w:sz w:val="20"/>
                <w:szCs w:val="20"/>
                <w:lang w:eastAsia="lv-LV"/>
              </w:rPr>
              <w:t> </w:t>
            </w:r>
            <w:r w:rsidRPr="00123AA8">
              <w:rPr>
                <w:rFonts w:ascii="Times New Roman" w:eastAsia="Times New Roman" w:hAnsi="Times New Roman" w:cs="Times New Roman"/>
                <w:bCs/>
                <w:color w:val="000000"/>
                <w:sz w:val="20"/>
                <w:szCs w:val="20"/>
                <w:lang w:eastAsia="lv-LV"/>
              </w:rPr>
              <w:t>att</w:t>
            </w:r>
            <w:r w:rsidR="00123AA8" w:rsidRPr="00123AA8">
              <w:rPr>
                <w:rFonts w:ascii="Times New Roman" w:eastAsia="Times New Roman" w:hAnsi="Times New Roman" w:cs="Times New Roman"/>
                <w:bCs/>
                <w:color w:val="000000"/>
                <w:sz w:val="20"/>
                <w:szCs w:val="20"/>
                <w:lang w:eastAsia="lv-LV"/>
              </w:rPr>
              <w:t>ēls.</w:t>
            </w:r>
            <w:r w:rsidRPr="00123AA8">
              <w:rPr>
                <w:rFonts w:ascii="Times New Roman" w:eastAsia="Times New Roman" w:hAnsi="Times New Roman" w:cs="Times New Roman"/>
                <w:bCs/>
                <w:color w:val="000000"/>
                <w:sz w:val="20"/>
                <w:szCs w:val="20"/>
                <w:lang w:eastAsia="lv-LV"/>
              </w:rPr>
              <w:t xml:space="preserve"> Savdabīgs 6120*</w:t>
            </w:r>
            <w:r w:rsidR="00123AA8">
              <w:rPr>
                <w:rFonts w:ascii="Times New Roman" w:eastAsia="Times New Roman" w:hAnsi="Times New Roman" w:cs="Times New Roman"/>
                <w:bCs/>
                <w:color w:val="000000"/>
                <w:sz w:val="20"/>
                <w:szCs w:val="20"/>
                <w:lang w:eastAsia="lv-LV"/>
              </w:rPr>
              <w:t> </w:t>
            </w:r>
            <w:r w:rsidRPr="00123AA8">
              <w:rPr>
                <w:rFonts w:ascii="Times New Roman" w:eastAsia="Times New Roman" w:hAnsi="Times New Roman" w:cs="Times New Roman"/>
                <w:bCs/>
                <w:i/>
                <w:iCs/>
                <w:color w:val="000000"/>
                <w:sz w:val="20"/>
                <w:szCs w:val="20"/>
                <w:lang w:eastAsia="lv-LV"/>
              </w:rPr>
              <w:t xml:space="preserve">Smiltāju zālājs </w:t>
            </w:r>
            <w:r w:rsidRPr="00123AA8">
              <w:rPr>
                <w:rFonts w:ascii="Times New Roman" w:eastAsia="Times New Roman" w:hAnsi="Times New Roman" w:cs="Times New Roman"/>
                <w:bCs/>
                <w:color w:val="000000"/>
                <w:sz w:val="20"/>
                <w:szCs w:val="20"/>
                <w:lang w:eastAsia="lv-LV"/>
              </w:rPr>
              <w:t>ar lipīgās sveķenes dominanci Lielajos Muļķos (Foto: G</w:t>
            </w:r>
            <w:r w:rsidR="00763E9B">
              <w:rPr>
                <w:rFonts w:ascii="Times New Roman" w:eastAsia="Times New Roman" w:hAnsi="Times New Roman" w:cs="Times New Roman"/>
                <w:bCs/>
                <w:color w:val="000000"/>
                <w:sz w:val="20"/>
                <w:szCs w:val="20"/>
                <w:lang w:eastAsia="lv-LV"/>
              </w:rPr>
              <w:t>. </w:t>
            </w:r>
            <w:proofErr w:type="spellStart"/>
            <w:r w:rsidRPr="00123AA8">
              <w:rPr>
                <w:rFonts w:ascii="Times New Roman" w:eastAsia="Times New Roman" w:hAnsi="Times New Roman" w:cs="Times New Roman"/>
                <w:bCs/>
                <w:color w:val="000000"/>
                <w:sz w:val="20"/>
                <w:szCs w:val="20"/>
                <w:lang w:eastAsia="lv-LV"/>
              </w:rPr>
              <w:t>Evarte-Bundere</w:t>
            </w:r>
            <w:proofErr w:type="spellEnd"/>
            <w:r w:rsidRPr="00123AA8">
              <w:rPr>
                <w:rFonts w:ascii="Times New Roman" w:eastAsia="Times New Roman" w:hAnsi="Times New Roman" w:cs="Times New Roman"/>
                <w:bCs/>
                <w:color w:val="000000"/>
                <w:sz w:val="20"/>
                <w:szCs w:val="20"/>
                <w:lang w:eastAsia="lv-LV"/>
              </w:rPr>
              <w:t>)</w:t>
            </w:r>
          </w:p>
        </w:tc>
      </w:tr>
    </w:tbl>
    <w:p w14:paraId="47E2C632" w14:textId="44FA8DA3" w:rsidR="002B1603" w:rsidRPr="00A07F29" w:rsidRDefault="002B1603" w:rsidP="0021436F">
      <w:pPr>
        <w:keepNext/>
        <w:spacing w:before="240" w:after="120" w:line="240" w:lineRule="auto"/>
        <w:jc w:val="both"/>
        <w:rPr>
          <w:rFonts w:ascii="Times New Roman" w:eastAsia="Times New Roman" w:hAnsi="Times New Roman" w:cs="Times New Roman"/>
          <w:b/>
          <w:bCs/>
          <w:color w:val="000000"/>
          <w:sz w:val="24"/>
          <w:szCs w:val="24"/>
          <w:lang w:eastAsia="lv-LV"/>
        </w:rPr>
      </w:pPr>
      <w:r w:rsidRPr="00A07F29">
        <w:rPr>
          <w:rFonts w:ascii="Times New Roman" w:eastAsia="Times New Roman" w:hAnsi="Times New Roman" w:cs="Times New Roman"/>
          <w:b/>
          <w:bCs/>
          <w:color w:val="000000"/>
          <w:sz w:val="24"/>
          <w:szCs w:val="24"/>
          <w:lang w:eastAsia="lv-LV"/>
        </w:rPr>
        <w:t xml:space="preserve">6210 </w:t>
      </w:r>
      <w:r w:rsidRPr="00A07F29">
        <w:rPr>
          <w:rFonts w:ascii="Times New Roman" w:eastAsia="Times New Roman" w:hAnsi="Times New Roman" w:cs="Times New Roman"/>
          <w:b/>
          <w:bCs/>
          <w:i/>
          <w:iCs/>
          <w:color w:val="000000"/>
          <w:sz w:val="24"/>
          <w:szCs w:val="24"/>
          <w:lang w:eastAsia="lv-LV"/>
        </w:rPr>
        <w:t>Sausi zālāji kaļķainās augsnēs</w:t>
      </w:r>
    </w:p>
    <w:p w14:paraId="549BA6FC" w14:textId="2C7157AA" w:rsidR="00C8111D" w:rsidRPr="00A07F29" w:rsidRDefault="002B1603" w:rsidP="00857D09">
      <w:pPr>
        <w:spacing w:after="120" w:line="240" w:lineRule="auto"/>
        <w:ind w:firstLine="851"/>
        <w:jc w:val="both"/>
        <w:rPr>
          <w:rFonts w:ascii="Times New Roman" w:eastAsia="Times New Roman" w:hAnsi="Times New Roman" w:cs="Times New Roman"/>
          <w:bCs/>
          <w:color w:val="000000"/>
          <w:sz w:val="24"/>
          <w:szCs w:val="24"/>
          <w:lang w:eastAsia="lv-LV"/>
        </w:rPr>
      </w:pPr>
      <w:r w:rsidRPr="00A07F29">
        <w:rPr>
          <w:rFonts w:ascii="Times New Roman" w:eastAsia="Times New Roman" w:hAnsi="Times New Roman" w:cs="Times New Roman"/>
          <w:bCs/>
          <w:color w:val="000000"/>
          <w:sz w:val="24"/>
          <w:szCs w:val="24"/>
          <w:lang w:eastAsia="lv-LV"/>
        </w:rPr>
        <w:t>Neitrālās un bāziskās barības vielām nabadzīg</w:t>
      </w:r>
      <w:r w:rsidR="00FD5F89">
        <w:rPr>
          <w:rFonts w:ascii="Times New Roman" w:eastAsia="Times New Roman" w:hAnsi="Times New Roman" w:cs="Times New Roman"/>
          <w:bCs/>
          <w:color w:val="000000"/>
          <w:sz w:val="24"/>
          <w:szCs w:val="24"/>
          <w:lang w:eastAsia="lv-LV"/>
        </w:rPr>
        <w:t>ā</w:t>
      </w:r>
      <w:r w:rsidRPr="00A07F29">
        <w:rPr>
          <w:rFonts w:ascii="Times New Roman" w:eastAsia="Times New Roman" w:hAnsi="Times New Roman" w:cs="Times New Roman"/>
          <w:bCs/>
          <w:color w:val="000000"/>
          <w:sz w:val="24"/>
          <w:szCs w:val="24"/>
          <w:lang w:eastAsia="lv-LV"/>
        </w:rPr>
        <w:t xml:space="preserve">s augsnēs Daugavas ielejas nogāzēs, </w:t>
      </w:r>
      <w:proofErr w:type="spellStart"/>
      <w:r w:rsidRPr="00A07F29">
        <w:rPr>
          <w:rFonts w:ascii="Times New Roman" w:eastAsia="Times New Roman" w:hAnsi="Times New Roman" w:cs="Times New Roman"/>
          <w:bCs/>
          <w:color w:val="000000"/>
          <w:sz w:val="24"/>
          <w:szCs w:val="24"/>
          <w:lang w:eastAsia="lv-LV"/>
        </w:rPr>
        <w:t>virspalu</w:t>
      </w:r>
      <w:proofErr w:type="spellEnd"/>
      <w:r w:rsidRPr="00A07F29">
        <w:rPr>
          <w:rFonts w:ascii="Times New Roman" w:eastAsia="Times New Roman" w:hAnsi="Times New Roman" w:cs="Times New Roman"/>
          <w:bCs/>
          <w:color w:val="000000"/>
          <w:sz w:val="24"/>
          <w:szCs w:val="24"/>
          <w:lang w:eastAsia="lv-LV"/>
        </w:rPr>
        <w:t xml:space="preserve"> terasēs, gravu un pauguru nogāzēs sastopams biotops 6210</w:t>
      </w:r>
      <w:r w:rsidR="00FD5F89">
        <w:rPr>
          <w:rFonts w:ascii="Times New Roman" w:eastAsia="Times New Roman" w:hAnsi="Times New Roman" w:cs="Times New Roman"/>
          <w:bCs/>
          <w:color w:val="000000"/>
          <w:sz w:val="24"/>
          <w:szCs w:val="24"/>
          <w:lang w:eastAsia="lv-LV"/>
        </w:rPr>
        <w:t> </w:t>
      </w:r>
      <w:r w:rsidRPr="00A07F29">
        <w:rPr>
          <w:rFonts w:ascii="Times New Roman" w:eastAsia="Times New Roman" w:hAnsi="Times New Roman" w:cs="Times New Roman"/>
          <w:bCs/>
          <w:i/>
          <w:iCs/>
          <w:color w:val="000000"/>
          <w:sz w:val="24"/>
          <w:szCs w:val="24"/>
          <w:lang w:eastAsia="lv-LV"/>
        </w:rPr>
        <w:t>Sausi zālāji kaļķainās augsnēs.</w:t>
      </w:r>
      <w:r w:rsidRPr="00A07F29">
        <w:rPr>
          <w:rFonts w:ascii="Times New Roman" w:eastAsia="Times New Roman" w:hAnsi="Times New Roman" w:cs="Times New Roman"/>
          <w:bCs/>
          <w:color w:val="000000"/>
          <w:sz w:val="24"/>
          <w:szCs w:val="24"/>
          <w:lang w:eastAsia="lv-LV"/>
        </w:rPr>
        <w:t xml:space="preserve"> Šis AAA </w:t>
      </w:r>
      <w:r w:rsidR="00FD5F89">
        <w:rPr>
          <w:rFonts w:ascii="Times New Roman" w:eastAsia="Times New Roman" w:hAnsi="Times New Roman" w:cs="Times New Roman"/>
          <w:bCs/>
          <w:color w:val="000000"/>
          <w:sz w:val="24"/>
          <w:szCs w:val="24"/>
          <w:lang w:eastAsia="lv-LV"/>
        </w:rPr>
        <w:t>“</w:t>
      </w:r>
      <w:r w:rsidRPr="00A07F29">
        <w:rPr>
          <w:rFonts w:ascii="Times New Roman" w:eastAsia="Times New Roman" w:hAnsi="Times New Roman" w:cs="Times New Roman"/>
          <w:bCs/>
          <w:color w:val="000000"/>
          <w:sz w:val="24"/>
          <w:szCs w:val="24"/>
          <w:lang w:eastAsia="lv-LV"/>
        </w:rPr>
        <w:t xml:space="preserve">Augšdaugava” teritorijā ir biežāk izplatītais zālāju biotops, kuram konstatēti 190 poligoni ar kopējo platību </w:t>
      </w:r>
      <w:r w:rsidR="00E361D7" w:rsidRPr="00A07F29">
        <w:rPr>
          <w:rFonts w:ascii="Times New Roman" w:eastAsia="Times New Roman" w:hAnsi="Times New Roman" w:cs="Times New Roman"/>
          <w:bCs/>
          <w:color w:val="000000"/>
          <w:sz w:val="24"/>
          <w:szCs w:val="24"/>
          <w:lang w:eastAsia="lv-LV"/>
        </w:rPr>
        <w:t>382,52</w:t>
      </w:r>
      <w:r w:rsidR="00FD5F89">
        <w:rPr>
          <w:rFonts w:ascii="Times New Roman" w:eastAsia="Times New Roman" w:hAnsi="Times New Roman" w:cs="Times New Roman"/>
          <w:bCs/>
          <w:color w:val="000000"/>
          <w:sz w:val="24"/>
          <w:szCs w:val="24"/>
          <w:lang w:eastAsia="lv-LV"/>
        </w:rPr>
        <w:t> </w:t>
      </w:r>
      <w:r w:rsidRPr="00A07F29">
        <w:rPr>
          <w:rFonts w:ascii="Times New Roman" w:eastAsia="Times New Roman" w:hAnsi="Times New Roman" w:cs="Times New Roman"/>
          <w:bCs/>
          <w:color w:val="000000"/>
          <w:sz w:val="24"/>
          <w:szCs w:val="24"/>
          <w:lang w:eastAsia="lv-LV"/>
        </w:rPr>
        <w:t>ha (skat. 4.3.3.4.</w:t>
      </w:r>
      <w:r w:rsidR="00FD5F89">
        <w:rPr>
          <w:rFonts w:ascii="Times New Roman" w:eastAsia="Times New Roman" w:hAnsi="Times New Roman" w:cs="Times New Roman"/>
          <w:bCs/>
          <w:color w:val="000000"/>
          <w:sz w:val="24"/>
          <w:szCs w:val="24"/>
          <w:lang w:eastAsia="lv-LV"/>
        </w:rPr>
        <w:t> </w:t>
      </w:r>
      <w:r w:rsidRPr="00A07F29">
        <w:rPr>
          <w:rFonts w:ascii="Times New Roman" w:eastAsia="Times New Roman" w:hAnsi="Times New Roman" w:cs="Times New Roman"/>
          <w:bCs/>
          <w:color w:val="000000"/>
          <w:sz w:val="24"/>
          <w:szCs w:val="24"/>
          <w:lang w:eastAsia="lv-LV"/>
        </w:rPr>
        <w:t xml:space="preserve">attēlu). </w:t>
      </w:r>
      <w:r w:rsidR="00C8111D" w:rsidRPr="00A07F29">
        <w:rPr>
          <w:rFonts w:ascii="Times New Roman" w:hAnsi="Times New Roman" w:cs="Times New Roman"/>
          <w:sz w:val="24"/>
          <w:szCs w:val="24"/>
        </w:rPr>
        <w:t xml:space="preserve">AAA </w:t>
      </w:r>
      <w:r w:rsidR="00591850">
        <w:rPr>
          <w:rFonts w:ascii="Times New Roman" w:eastAsia="Times New Roman" w:hAnsi="Times New Roman" w:cs="Times New Roman"/>
          <w:bCs/>
          <w:color w:val="000000"/>
          <w:sz w:val="24"/>
          <w:szCs w:val="24"/>
          <w:lang w:eastAsia="lv-LV"/>
        </w:rPr>
        <w:t>“</w:t>
      </w:r>
      <w:r w:rsidR="00C8111D" w:rsidRPr="00A07F29">
        <w:rPr>
          <w:rFonts w:ascii="Times New Roman" w:eastAsia="Times New Roman" w:hAnsi="Times New Roman" w:cs="Times New Roman"/>
          <w:bCs/>
          <w:color w:val="000000"/>
          <w:sz w:val="24"/>
          <w:szCs w:val="24"/>
          <w:lang w:eastAsia="lv-LV"/>
        </w:rPr>
        <w:t xml:space="preserve">Augšdaugava” </w:t>
      </w:r>
      <w:r w:rsidR="00C8111D" w:rsidRPr="00A07F29">
        <w:rPr>
          <w:rFonts w:ascii="Times New Roman" w:hAnsi="Times New Roman" w:cs="Times New Roman"/>
          <w:sz w:val="24"/>
          <w:szCs w:val="24"/>
        </w:rPr>
        <w:t>ir nozīmīga teritorija biotopa 6210</w:t>
      </w:r>
      <w:r w:rsidR="00591850">
        <w:rPr>
          <w:rFonts w:ascii="Times New Roman" w:hAnsi="Times New Roman" w:cs="Times New Roman"/>
          <w:sz w:val="24"/>
          <w:szCs w:val="24"/>
        </w:rPr>
        <w:t> </w:t>
      </w:r>
      <w:r w:rsidR="00C8111D" w:rsidRPr="00A07F29">
        <w:rPr>
          <w:rFonts w:ascii="Times New Roman" w:hAnsi="Times New Roman" w:cs="Times New Roman"/>
          <w:i/>
          <w:sz w:val="24"/>
          <w:szCs w:val="24"/>
        </w:rPr>
        <w:t>Sausi zālāji kaļķainās augsnēs</w:t>
      </w:r>
      <w:r w:rsidR="00C8111D" w:rsidRPr="00A07F29">
        <w:rPr>
          <w:rFonts w:ascii="Times New Roman" w:hAnsi="Times New Roman" w:cs="Times New Roman"/>
          <w:sz w:val="24"/>
          <w:szCs w:val="24"/>
        </w:rPr>
        <w:t xml:space="preserve"> saglabāšanai valsts mērogā.</w:t>
      </w:r>
      <w:r w:rsidR="00C8111D" w:rsidRPr="00A07F29">
        <w:rPr>
          <w:rFonts w:ascii="Times New Roman" w:eastAsia="Times New Roman" w:hAnsi="Times New Roman" w:cs="Times New Roman"/>
          <w:bCs/>
          <w:color w:val="000000"/>
          <w:sz w:val="24"/>
          <w:szCs w:val="24"/>
          <w:lang w:eastAsia="lv-LV"/>
        </w:rPr>
        <w:t xml:space="preserve"> Šeit koncentrēti </w:t>
      </w:r>
      <w:r w:rsidR="00C8111D" w:rsidRPr="00A07F29">
        <w:rPr>
          <w:rFonts w:ascii="Times New Roman" w:eastAsia="Times New Roman" w:hAnsi="Times New Roman" w:cs="Times New Roman"/>
          <w:bCs/>
          <w:sz w:val="24"/>
          <w:szCs w:val="24"/>
          <w:lang w:eastAsia="lv-LV"/>
        </w:rPr>
        <w:t>16,43</w:t>
      </w:r>
      <w:r w:rsidR="00591850">
        <w:rPr>
          <w:rFonts w:ascii="Times New Roman" w:eastAsia="Times New Roman" w:hAnsi="Times New Roman" w:cs="Times New Roman"/>
          <w:bCs/>
          <w:sz w:val="24"/>
          <w:szCs w:val="24"/>
          <w:lang w:eastAsia="lv-LV"/>
        </w:rPr>
        <w:t> </w:t>
      </w:r>
      <w:r w:rsidR="00C8111D" w:rsidRPr="00A07F29">
        <w:rPr>
          <w:rFonts w:ascii="Times New Roman" w:eastAsia="Times New Roman" w:hAnsi="Times New Roman" w:cs="Times New Roman"/>
          <w:bCs/>
          <w:sz w:val="24"/>
          <w:szCs w:val="24"/>
          <w:lang w:eastAsia="lv-LV"/>
        </w:rPr>
        <w:t xml:space="preserve">% no </w:t>
      </w:r>
      <w:proofErr w:type="spellStart"/>
      <w:r w:rsidR="00C8111D" w:rsidRPr="00A07F29">
        <w:rPr>
          <w:rFonts w:ascii="Times New Roman" w:eastAsia="Times New Roman" w:hAnsi="Times New Roman" w:cs="Times New Roman"/>
          <w:bCs/>
          <w:i/>
          <w:sz w:val="24"/>
          <w:szCs w:val="24"/>
          <w:lang w:eastAsia="lv-LV"/>
        </w:rPr>
        <w:t>Natura</w:t>
      </w:r>
      <w:proofErr w:type="spellEnd"/>
      <w:r w:rsidR="00C8111D" w:rsidRPr="00A07F29">
        <w:rPr>
          <w:rFonts w:ascii="Times New Roman" w:eastAsia="Times New Roman" w:hAnsi="Times New Roman" w:cs="Times New Roman"/>
          <w:bCs/>
          <w:i/>
          <w:sz w:val="24"/>
          <w:szCs w:val="24"/>
          <w:lang w:eastAsia="lv-LV"/>
        </w:rPr>
        <w:t xml:space="preserve"> 2000</w:t>
      </w:r>
      <w:r w:rsidR="00C8111D" w:rsidRPr="00A07F29">
        <w:rPr>
          <w:rFonts w:ascii="Times New Roman" w:eastAsia="Times New Roman" w:hAnsi="Times New Roman" w:cs="Times New Roman"/>
          <w:bCs/>
          <w:sz w:val="24"/>
          <w:szCs w:val="24"/>
          <w:lang w:eastAsia="lv-LV"/>
        </w:rPr>
        <w:t xml:space="preserve"> teritorijās esoš</w:t>
      </w:r>
      <w:r w:rsidR="00692CBD">
        <w:rPr>
          <w:rFonts w:ascii="Times New Roman" w:eastAsia="Times New Roman" w:hAnsi="Times New Roman" w:cs="Times New Roman"/>
          <w:bCs/>
          <w:sz w:val="24"/>
          <w:szCs w:val="24"/>
          <w:lang w:eastAsia="lv-LV"/>
        </w:rPr>
        <w:t>o</w:t>
      </w:r>
      <w:r w:rsidR="00C8111D" w:rsidRPr="00A07F29">
        <w:rPr>
          <w:rFonts w:ascii="Times New Roman" w:eastAsia="Times New Roman" w:hAnsi="Times New Roman" w:cs="Times New Roman"/>
          <w:bCs/>
          <w:sz w:val="24"/>
          <w:szCs w:val="24"/>
          <w:lang w:eastAsia="lv-LV"/>
        </w:rPr>
        <w:t xml:space="preserve"> biotopu 6210</w:t>
      </w:r>
      <w:r w:rsidR="00C66E46">
        <w:rPr>
          <w:rFonts w:ascii="Times New Roman" w:eastAsia="Times New Roman" w:hAnsi="Times New Roman" w:cs="Times New Roman"/>
          <w:bCs/>
          <w:sz w:val="24"/>
          <w:szCs w:val="24"/>
          <w:lang w:eastAsia="lv-LV"/>
        </w:rPr>
        <w:t> </w:t>
      </w:r>
      <w:r w:rsidR="00C8111D" w:rsidRPr="00A07F29">
        <w:rPr>
          <w:rFonts w:ascii="Times New Roman" w:eastAsia="Times New Roman" w:hAnsi="Times New Roman" w:cs="Times New Roman"/>
          <w:bCs/>
          <w:i/>
          <w:sz w:val="24"/>
          <w:szCs w:val="24"/>
          <w:lang w:eastAsia="lv-LV"/>
        </w:rPr>
        <w:t xml:space="preserve">Sausi zālāji kaļķainās augsnēs </w:t>
      </w:r>
      <w:r w:rsidR="00C8111D" w:rsidRPr="00A07F29">
        <w:rPr>
          <w:rFonts w:ascii="Times New Roman" w:eastAsia="Times New Roman" w:hAnsi="Times New Roman" w:cs="Times New Roman"/>
          <w:bCs/>
          <w:sz w:val="24"/>
          <w:szCs w:val="24"/>
          <w:lang w:eastAsia="lv-LV"/>
        </w:rPr>
        <w:t>platības un 6,44</w:t>
      </w:r>
      <w:r w:rsidR="00B513EC">
        <w:rPr>
          <w:rFonts w:ascii="Times New Roman" w:eastAsia="Times New Roman" w:hAnsi="Times New Roman" w:cs="Times New Roman"/>
          <w:bCs/>
          <w:sz w:val="24"/>
          <w:szCs w:val="24"/>
          <w:lang w:eastAsia="lv-LV"/>
        </w:rPr>
        <w:t> </w:t>
      </w:r>
      <w:r w:rsidR="00C8111D" w:rsidRPr="00A07F29">
        <w:rPr>
          <w:rFonts w:ascii="Times New Roman" w:eastAsia="Times New Roman" w:hAnsi="Times New Roman" w:cs="Times New Roman"/>
          <w:bCs/>
          <w:sz w:val="24"/>
          <w:szCs w:val="24"/>
          <w:lang w:eastAsia="lv-LV"/>
        </w:rPr>
        <w:t>–</w:t>
      </w:r>
      <w:r w:rsidR="00B513EC">
        <w:rPr>
          <w:rFonts w:ascii="Times New Roman" w:eastAsia="Times New Roman" w:hAnsi="Times New Roman" w:cs="Times New Roman"/>
          <w:bCs/>
          <w:sz w:val="24"/>
          <w:szCs w:val="24"/>
          <w:lang w:eastAsia="lv-LV"/>
        </w:rPr>
        <w:t> </w:t>
      </w:r>
      <w:r w:rsidR="00C8111D" w:rsidRPr="00A07F29">
        <w:rPr>
          <w:rFonts w:ascii="Times New Roman" w:eastAsia="Times New Roman" w:hAnsi="Times New Roman" w:cs="Times New Roman"/>
          <w:bCs/>
          <w:sz w:val="24"/>
          <w:szCs w:val="24"/>
          <w:lang w:eastAsia="lv-LV"/>
        </w:rPr>
        <w:t xml:space="preserve">8,39% </w:t>
      </w:r>
      <w:r w:rsidR="00C8111D" w:rsidRPr="00A07F29">
        <w:rPr>
          <w:rFonts w:ascii="Times New Roman" w:eastAsia="Times New Roman" w:hAnsi="Times New Roman" w:cs="Times New Roman"/>
          <w:bCs/>
          <w:color w:val="000000"/>
          <w:sz w:val="24"/>
          <w:szCs w:val="24"/>
          <w:lang w:eastAsia="lv-LV"/>
        </w:rPr>
        <w:t>no Latvijā konstatētās biotopu platības.</w:t>
      </w:r>
    </w:p>
    <w:p w14:paraId="61DA57FC" w14:textId="657563EB" w:rsidR="002B1603" w:rsidRPr="00A07F29" w:rsidRDefault="002B1603" w:rsidP="00857D09">
      <w:pPr>
        <w:spacing w:after="120" w:line="240" w:lineRule="auto"/>
        <w:ind w:firstLine="851"/>
        <w:jc w:val="both"/>
        <w:rPr>
          <w:rFonts w:ascii="Times New Roman" w:eastAsia="Times New Roman" w:hAnsi="Times New Roman" w:cs="Times New Roman"/>
          <w:bCs/>
          <w:color w:val="000000"/>
          <w:sz w:val="24"/>
          <w:szCs w:val="24"/>
          <w:lang w:eastAsia="lv-LV"/>
        </w:rPr>
      </w:pPr>
      <w:r w:rsidRPr="00A07F29">
        <w:rPr>
          <w:rFonts w:ascii="Times New Roman" w:eastAsia="Times New Roman" w:hAnsi="Times New Roman" w:cs="Times New Roman"/>
          <w:bCs/>
          <w:color w:val="000000"/>
          <w:sz w:val="24"/>
          <w:szCs w:val="24"/>
          <w:lang w:eastAsia="lv-LV"/>
        </w:rPr>
        <w:t xml:space="preserve">AAA </w:t>
      </w:r>
      <w:r w:rsidR="00692CBD">
        <w:rPr>
          <w:rFonts w:ascii="Times New Roman" w:eastAsia="Times New Roman" w:hAnsi="Times New Roman" w:cs="Times New Roman"/>
          <w:bCs/>
          <w:color w:val="000000"/>
          <w:sz w:val="24"/>
          <w:szCs w:val="24"/>
          <w:lang w:eastAsia="lv-LV"/>
        </w:rPr>
        <w:t>“</w:t>
      </w:r>
      <w:r w:rsidRPr="00A07F29">
        <w:rPr>
          <w:rFonts w:ascii="Times New Roman" w:eastAsia="Times New Roman" w:hAnsi="Times New Roman" w:cs="Times New Roman"/>
          <w:bCs/>
          <w:color w:val="000000"/>
          <w:sz w:val="24"/>
          <w:szCs w:val="24"/>
          <w:lang w:eastAsia="lv-LV"/>
        </w:rPr>
        <w:t>Augšdaugava”</w:t>
      </w:r>
      <w:r w:rsidR="00D65BBA" w:rsidRPr="00A07F29">
        <w:rPr>
          <w:rFonts w:ascii="Times New Roman" w:eastAsia="Times New Roman" w:hAnsi="Times New Roman" w:cs="Times New Roman"/>
          <w:bCs/>
          <w:color w:val="000000"/>
          <w:sz w:val="24"/>
          <w:szCs w:val="24"/>
          <w:lang w:eastAsia="lv-LV"/>
        </w:rPr>
        <w:t xml:space="preserve"> </w:t>
      </w:r>
      <w:r w:rsidRPr="00A07F29">
        <w:rPr>
          <w:rFonts w:ascii="Times New Roman" w:eastAsia="Times New Roman" w:hAnsi="Times New Roman" w:cs="Times New Roman"/>
          <w:bCs/>
          <w:color w:val="000000"/>
          <w:sz w:val="24"/>
          <w:szCs w:val="24"/>
          <w:lang w:eastAsia="lv-LV"/>
        </w:rPr>
        <w:t xml:space="preserve">teritorijā ir raksturīgs biotopa </w:t>
      </w:r>
      <w:r w:rsidRPr="00BE557B">
        <w:rPr>
          <w:rFonts w:ascii="Times New Roman" w:eastAsia="Times New Roman" w:hAnsi="Times New Roman" w:cs="Times New Roman"/>
          <w:bCs/>
          <w:color w:val="000000"/>
          <w:sz w:val="24"/>
          <w:szCs w:val="24"/>
          <w:lang w:eastAsia="lv-LV"/>
        </w:rPr>
        <w:t>austrumu</w:t>
      </w:r>
      <w:r w:rsidRPr="00A07F29">
        <w:rPr>
          <w:rFonts w:ascii="Times New Roman" w:eastAsia="Times New Roman" w:hAnsi="Times New Roman" w:cs="Times New Roman"/>
          <w:bCs/>
          <w:color w:val="000000"/>
          <w:sz w:val="24"/>
          <w:szCs w:val="24"/>
          <w:lang w:eastAsia="lv-LV"/>
        </w:rPr>
        <w:t xml:space="preserve"> variants (2.</w:t>
      </w:r>
      <w:r w:rsidR="00692CBD">
        <w:rPr>
          <w:rFonts w:ascii="Times New Roman" w:eastAsia="Times New Roman" w:hAnsi="Times New Roman" w:cs="Times New Roman"/>
          <w:bCs/>
          <w:color w:val="000000"/>
          <w:sz w:val="24"/>
          <w:szCs w:val="24"/>
          <w:lang w:eastAsia="lv-LV"/>
        </w:rPr>
        <w:t> </w:t>
      </w:r>
      <w:r w:rsidRPr="00A07F29">
        <w:rPr>
          <w:rFonts w:ascii="Times New Roman" w:eastAsia="Times New Roman" w:hAnsi="Times New Roman" w:cs="Times New Roman"/>
          <w:bCs/>
          <w:color w:val="000000"/>
          <w:sz w:val="24"/>
          <w:szCs w:val="24"/>
          <w:lang w:eastAsia="lv-LV"/>
        </w:rPr>
        <w:t xml:space="preserve">variants) ar sugām bagātu augāju, ko veido </w:t>
      </w:r>
      <w:proofErr w:type="spellStart"/>
      <w:r w:rsidRPr="00A07F29">
        <w:rPr>
          <w:rFonts w:ascii="Times New Roman" w:eastAsia="Times New Roman" w:hAnsi="Times New Roman" w:cs="Times New Roman"/>
          <w:bCs/>
          <w:color w:val="000000"/>
          <w:sz w:val="24"/>
          <w:szCs w:val="24"/>
          <w:lang w:eastAsia="lv-LV"/>
        </w:rPr>
        <w:t>sirpjveida</w:t>
      </w:r>
      <w:proofErr w:type="spellEnd"/>
      <w:r w:rsidRPr="00A07F29">
        <w:rPr>
          <w:rFonts w:ascii="Times New Roman" w:eastAsia="Times New Roman" w:hAnsi="Times New Roman" w:cs="Times New Roman"/>
          <w:bCs/>
          <w:color w:val="000000"/>
          <w:sz w:val="24"/>
          <w:szCs w:val="24"/>
          <w:lang w:eastAsia="lv-LV"/>
        </w:rPr>
        <w:t xml:space="preserve"> lucerna </w:t>
      </w:r>
      <w:proofErr w:type="spellStart"/>
      <w:r w:rsidRPr="00A07F29">
        <w:rPr>
          <w:rFonts w:ascii="Times New Roman" w:eastAsia="Times New Roman" w:hAnsi="Times New Roman" w:cs="Times New Roman"/>
          <w:bCs/>
          <w:i/>
          <w:iCs/>
          <w:color w:val="000000"/>
          <w:sz w:val="24"/>
          <w:szCs w:val="24"/>
          <w:lang w:eastAsia="lv-LV"/>
        </w:rPr>
        <w:t>Medicago</w:t>
      </w:r>
      <w:proofErr w:type="spellEnd"/>
      <w:r w:rsidRPr="00A07F29">
        <w:rPr>
          <w:rFonts w:ascii="Times New Roman" w:eastAsia="Times New Roman" w:hAnsi="Times New Roman" w:cs="Times New Roman"/>
          <w:bCs/>
          <w:i/>
          <w:i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falcata</w:t>
      </w:r>
      <w:proofErr w:type="spellEnd"/>
      <w:r w:rsidRPr="00A07F29">
        <w:rPr>
          <w:rFonts w:ascii="Times New Roman" w:eastAsia="Times New Roman" w:hAnsi="Times New Roman" w:cs="Times New Roman"/>
          <w:bCs/>
          <w:color w:val="000000"/>
          <w:sz w:val="24"/>
          <w:szCs w:val="24"/>
          <w:lang w:eastAsia="lv-LV"/>
        </w:rPr>
        <w:t xml:space="preserve">, meža zemene </w:t>
      </w:r>
      <w:proofErr w:type="spellStart"/>
      <w:r w:rsidRPr="00A07F29">
        <w:rPr>
          <w:rFonts w:ascii="Times New Roman" w:eastAsia="Times New Roman" w:hAnsi="Times New Roman" w:cs="Times New Roman"/>
          <w:bCs/>
          <w:i/>
          <w:iCs/>
          <w:color w:val="000000"/>
          <w:sz w:val="24"/>
          <w:szCs w:val="24"/>
          <w:lang w:eastAsia="lv-LV"/>
        </w:rPr>
        <w:t>Fragaria</w:t>
      </w:r>
      <w:proofErr w:type="spellEnd"/>
      <w:r w:rsidRPr="00A07F29">
        <w:rPr>
          <w:rFonts w:ascii="Times New Roman" w:eastAsia="Times New Roman" w:hAnsi="Times New Roman" w:cs="Times New Roman"/>
          <w:bCs/>
          <w:i/>
          <w:i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vesca</w:t>
      </w:r>
      <w:proofErr w:type="spellEnd"/>
      <w:r w:rsidRPr="00A07F29">
        <w:rPr>
          <w:rFonts w:ascii="Times New Roman" w:eastAsia="Times New Roman" w:hAnsi="Times New Roman" w:cs="Times New Roman"/>
          <w:bCs/>
          <w:color w:val="000000"/>
          <w:sz w:val="24"/>
          <w:szCs w:val="24"/>
          <w:lang w:eastAsia="lv-LV"/>
        </w:rPr>
        <w:t xml:space="preserve">, </w:t>
      </w:r>
      <w:proofErr w:type="spellStart"/>
      <w:r w:rsidRPr="00A07F29">
        <w:rPr>
          <w:rFonts w:ascii="Times New Roman" w:eastAsia="Times New Roman" w:hAnsi="Times New Roman" w:cs="Times New Roman"/>
          <w:bCs/>
          <w:color w:val="000000"/>
          <w:sz w:val="24"/>
          <w:szCs w:val="24"/>
          <w:lang w:eastAsia="lv-LV"/>
        </w:rPr>
        <w:t>šaurlapu</w:t>
      </w:r>
      <w:proofErr w:type="spellEnd"/>
      <w:r w:rsidRPr="00A07F29">
        <w:rPr>
          <w:rFonts w:ascii="Times New Roman" w:eastAsia="Times New Roman" w:hAnsi="Times New Roman" w:cs="Times New Roman"/>
          <w:bCs/>
          <w:color w:val="000000"/>
          <w:sz w:val="24"/>
          <w:szCs w:val="24"/>
          <w:lang w:eastAsia="lv-LV"/>
        </w:rPr>
        <w:t xml:space="preserve"> skarene </w:t>
      </w:r>
      <w:proofErr w:type="spellStart"/>
      <w:r w:rsidRPr="00A07F29">
        <w:rPr>
          <w:rFonts w:ascii="Times New Roman" w:eastAsia="Times New Roman" w:hAnsi="Times New Roman" w:cs="Times New Roman"/>
          <w:bCs/>
          <w:i/>
          <w:iCs/>
          <w:color w:val="000000"/>
          <w:sz w:val="24"/>
          <w:szCs w:val="24"/>
          <w:lang w:eastAsia="lv-LV"/>
        </w:rPr>
        <w:t>Poa</w:t>
      </w:r>
      <w:proofErr w:type="spellEnd"/>
      <w:r w:rsidRPr="00A07F29">
        <w:rPr>
          <w:rFonts w:ascii="Times New Roman" w:eastAsia="Times New Roman" w:hAnsi="Times New Roman" w:cs="Times New Roman"/>
          <w:bCs/>
          <w:i/>
          <w:i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angustifolia</w:t>
      </w:r>
      <w:proofErr w:type="spellEnd"/>
      <w:r w:rsidRPr="00A07F29">
        <w:rPr>
          <w:rFonts w:ascii="Times New Roman" w:eastAsia="Times New Roman" w:hAnsi="Times New Roman" w:cs="Times New Roman"/>
          <w:bCs/>
          <w:color w:val="000000"/>
          <w:sz w:val="24"/>
          <w:szCs w:val="24"/>
          <w:lang w:eastAsia="lv-LV"/>
        </w:rPr>
        <w:t xml:space="preserve">, lielā dzelzene </w:t>
      </w:r>
      <w:proofErr w:type="spellStart"/>
      <w:r w:rsidRPr="00A07F29">
        <w:rPr>
          <w:rFonts w:ascii="Times New Roman" w:eastAsia="Times New Roman" w:hAnsi="Times New Roman" w:cs="Times New Roman"/>
          <w:bCs/>
          <w:i/>
          <w:iCs/>
          <w:color w:val="000000"/>
          <w:sz w:val="24"/>
          <w:szCs w:val="24"/>
          <w:lang w:eastAsia="lv-LV"/>
        </w:rPr>
        <w:t>Centaurea</w:t>
      </w:r>
      <w:proofErr w:type="spellEnd"/>
      <w:r w:rsidRPr="00A07F29">
        <w:rPr>
          <w:rFonts w:ascii="Times New Roman" w:eastAsia="Times New Roman" w:hAnsi="Times New Roman" w:cs="Times New Roman"/>
          <w:bCs/>
          <w:i/>
          <w:i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scabiosa</w:t>
      </w:r>
      <w:proofErr w:type="spellEnd"/>
      <w:r w:rsidRPr="00A07F29">
        <w:rPr>
          <w:rFonts w:ascii="Times New Roman" w:eastAsia="Times New Roman" w:hAnsi="Times New Roman" w:cs="Times New Roman"/>
          <w:bCs/>
          <w:color w:val="000000"/>
          <w:sz w:val="24"/>
          <w:szCs w:val="24"/>
          <w:lang w:eastAsia="lv-LV"/>
        </w:rPr>
        <w:t xml:space="preserve">, vidējā ceļteka </w:t>
      </w:r>
      <w:proofErr w:type="spellStart"/>
      <w:r w:rsidRPr="00A07F29">
        <w:rPr>
          <w:rFonts w:ascii="Times New Roman" w:eastAsia="Times New Roman" w:hAnsi="Times New Roman" w:cs="Times New Roman"/>
          <w:bCs/>
          <w:i/>
          <w:iCs/>
          <w:color w:val="000000"/>
          <w:sz w:val="24"/>
          <w:szCs w:val="24"/>
          <w:lang w:eastAsia="lv-LV"/>
        </w:rPr>
        <w:t>Plantago</w:t>
      </w:r>
      <w:proofErr w:type="spellEnd"/>
      <w:r w:rsidRPr="00A07F29">
        <w:rPr>
          <w:rFonts w:ascii="Times New Roman" w:eastAsia="Times New Roman" w:hAnsi="Times New Roman" w:cs="Times New Roman"/>
          <w:bCs/>
          <w:i/>
          <w:i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lastRenderedPageBreak/>
        <w:t>media</w:t>
      </w:r>
      <w:proofErr w:type="spellEnd"/>
      <w:r w:rsidRPr="00A07F29">
        <w:rPr>
          <w:rFonts w:ascii="Times New Roman" w:eastAsia="Times New Roman" w:hAnsi="Times New Roman" w:cs="Times New Roman"/>
          <w:bCs/>
          <w:color w:val="000000"/>
          <w:sz w:val="24"/>
          <w:szCs w:val="24"/>
          <w:lang w:eastAsia="lv-LV"/>
        </w:rPr>
        <w:t xml:space="preserve">, klinšu </w:t>
      </w:r>
      <w:proofErr w:type="spellStart"/>
      <w:r w:rsidRPr="00A07F29">
        <w:rPr>
          <w:rFonts w:ascii="Times New Roman" w:eastAsia="Times New Roman" w:hAnsi="Times New Roman" w:cs="Times New Roman"/>
          <w:bCs/>
          <w:color w:val="000000"/>
          <w:sz w:val="24"/>
          <w:szCs w:val="24"/>
          <w:lang w:eastAsia="lv-LV"/>
        </w:rPr>
        <w:t>noraga</w:t>
      </w:r>
      <w:proofErr w:type="spellEnd"/>
      <w:r w:rsidRPr="00A07F29">
        <w:rPr>
          <w:rFonts w:ascii="Times New Roman" w:eastAsia="Times New Roman" w:hAnsi="Times New Roman" w:cs="Times New Roman"/>
          <w:b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Pimpinella</w:t>
      </w:r>
      <w:proofErr w:type="spellEnd"/>
      <w:r w:rsidRPr="00A07F29">
        <w:rPr>
          <w:rFonts w:ascii="Times New Roman" w:eastAsia="Times New Roman" w:hAnsi="Times New Roman" w:cs="Times New Roman"/>
          <w:bCs/>
          <w:i/>
          <w:i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saxifraga</w:t>
      </w:r>
      <w:proofErr w:type="spellEnd"/>
      <w:r w:rsidRPr="00A07F29">
        <w:rPr>
          <w:rFonts w:ascii="Times New Roman" w:eastAsia="Times New Roman" w:hAnsi="Times New Roman" w:cs="Times New Roman"/>
          <w:bCs/>
          <w:color w:val="000000"/>
          <w:sz w:val="24"/>
          <w:szCs w:val="24"/>
          <w:lang w:eastAsia="lv-LV"/>
        </w:rPr>
        <w:t xml:space="preserve">, ārstniecības </w:t>
      </w:r>
      <w:proofErr w:type="spellStart"/>
      <w:r w:rsidRPr="00A07F29">
        <w:rPr>
          <w:rFonts w:ascii="Times New Roman" w:eastAsia="Times New Roman" w:hAnsi="Times New Roman" w:cs="Times New Roman"/>
          <w:bCs/>
          <w:color w:val="000000"/>
          <w:sz w:val="24"/>
          <w:szCs w:val="24"/>
          <w:lang w:eastAsia="lv-LV"/>
        </w:rPr>
        <w:t>ancītis</w:t>
      </w:r>
      <w:proofErr w:type="spellEnd"/>
      <w:r w:rsidRPr="00A07F29">
        <w:rPr>
          <w:rFonts w:ascii="Times New Roman" w:eastAsia="Times New Roman" w:hAnsi="Times New Roman" w:cs="Times New Roman"/>
          <w:b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Agrimonia</w:t>
      </w:r>
      <w:proofErr w:type="spellEnd"/>
      <w:r w:rsidRPr="00A07F29">
        <w:rPr>
          <w:rFonts w:ascii="Times New Roman" w:eastAsia="Times New Roman" w:hAnsi="Times New Roman" w:cs="Times New Roman"/>
          <w:bCs/>
          <w:i/>
          <w:i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eupatoria</w:t>
      </w:r>
      <w:proofErr w:type="spellEnd"/>
      <w:r w:rsidRPr="00A07F29">
        <w:rPr>
          <w:rFonts w:ascii="Times New Roman" w:eastAsia="Times New Roman" w:hAnsi="Times New Roman" w:cs="Times New Roman"/>
          <w:bCs/>
          <w:color w:val="000000"/>
          <w:sz w:val="24"/>
          <w:szCs w:val="24"/>
          <w:lang w:eastAsia="lv-LV"/>
        </w:rPr>
        <w:t xml:space="preserve">, parastais vizulis </w:t>
      </w:r>
      <w:proofErr w:type="spellStart"/>
      <w:r w:rsidRPr="00A07F29">
        <w:rPr>
          <w:rFonts w:ascii="Times New Roman" w:eastAsia="Times New Roman" w:hAnsi="Times New Roman" w:cs="Times New Roman"/>
          <w:bCs/>
          <w:i/>
          <w:iCs/>
          <w:color w:val="000000"/>
          <w:sz w:val="24"/>
          <w:szCs w:val="24"/>
          <w:lang w:eastAsia="lv-LV"/>
        </w:rPr>
        <w:t>Briza</w:t>
      </w:r>
      <w:proofErr w:type="spellEnd"/>
      <w:r w:rsidRPr="00A07F29">
        <w:rPr>
          <w:rFonts w:ascii="Times New Roman" w:eastAsia="Times New Roman" w:hAnsi="Times New Roman" w:cs="Times New Roman"/>
          <w:bCs/>
          <w:i/>
          <w:i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media</w:t>
      </w:r>
      <w:proofErr w:type="spellEnd"/>
      <w:r w:rsidRPr="00A07F29">
        <w:rPr>
          <w:rFonts w:ascii="Times New Roman" w:eastAsia="Times New Roman" w:hAnsi="Times New Roman" w:cs="Times New Roman"/>
          <w:bCs/>
          <w:iCs/>
          <w:color w:val="000000"/>
          <w:sz w:val="24"/>
          <w:szCs w:val="24"/>
          <w:lang w:eastAsia="lv-LV"/>
        </w:rPr>
        <w:t xml:space="preserve"> </w:t>
      </w:r>
      <w:r w:rsidRPr="00A07F29">
        <w:rPr>
          <w:rFonts w:ascii="Times New Roman" w:eastAsia="Times New Roman" w:hAnsi="Times New Roman" w:cs="Times New Roman"/>
          <w:bCs/>
          <w:color w:val="000000"/>
          <w:sz w:val="24"/>
          <w:szCs w:val="24"/>
          <w:lang w:eastAsia="lv-LV"/>
        </w:rPr>
        <w:t>u.c. augu sugas. Šajos zālājos konstatētas 4</w:t>
      </w:r>
      <w:r w:rsidR="0009124F">
        <w:rPr>
          <w:rFonts w:ascii="Times New Roman" w:eastAsia="Times New Roman" w:hAnsi="Times New Roman" w:cs="Times New Roman"/>
          <w:bCs/>
          <w:color w:val="000000"/>
          <w:sz w:val="24"/>
          <w:szCs w:val="24"/>
          <w:lang w:eastAsia="lv-LV"/>
        </w:rPr>
        <w:t> – </w:t>
      </w:r>
      <w:r w:rsidRPr="00A07F29">
        <w:rPr>
          <w:rFonts w:ascii="Times New Roman" w:eastAsia="Times New Roman" w:hAnsi="Times New Roman" w:cs="Times New Roman"/>
          <w:bCs/>
          <w:color w:val="000000"/>
          <w:sz w:val="24"/>
          <w:szCs w:val="24"/>
          <w:lang w:eastAsia="lv-LV"/>
        </w:rPr>
        <w:t xml:space="preserve">18 dabisku zālāju </w:t>
      </w:r>
      <w:proofErr w:type="spellStart"/>
      <w:r w:rsidRPr="00A07F29">
        <w:rPr>
          <w:rFonts w:ascii="Times New Roman" w:eastAsia="Times New Roman" w:hAnsi="Times New Roman" w:cs="Times New Roman"/>
          <w:bCs/>
          <w:color w:val="000000"/>
          <w:sz w:val="24"/>
          <w:szCs w:val="24"/>
          <w:lang w:eastAsia="lv-LV"/>
        </w:rPr>
        <w:t>indikatorsugas</w:t>
      </w:r>
      <w:proofErr w:type="spellEnd"/>
      <w:r w:rsidRPr="00A07F29">
        <w:rPr>
          <w:rFonts w:ascii="Times New Roman" w:eastAsia="Times New Roman" w:hAnsi="Times New Roman" w:cs="Times New Roman"/>
          <w:bCs/>
          <w:color w:val="000000"/>
          <w:sz w:val="24"/>
          <w:szCs w:val="24"/>
          <w:lang w:eastAsia="lv-LV"/>
        </w:rPr>
        <w:t>. Vērtīgākajos zālāju poligonos</w:t>
      </w:r>
      <w:r w:rsidR="00D65BBA" w:rsidRPr="00A07F29">
        <w:rPr>
          <w:rFonts w:ascii="Times New Roman" w:eastAsia="Times New Roman" w:hAnsi="Times New Roman" w:cs="Times New Roman"/>
          <w:bCs/>
          <w:color w:val="000000"/>
          <w:sz w:val="24"/>
          <w:szCs w:val="24"/>
          <w:lang w:eastAsia="lv-LV"/>
        </w:rPr>
        <w:t xml:space="preserve"> </w:t>
      </w:r>
      <w:r w:rsidRPr="00A07F29">
        <w:rPr>
          <w:rFonts w:ascii="Times New Roman" w:eastAsia="Times New Roman" w:hAnsi="Times New Roman" w:cs="Times New Roman"/>
          <w:bCs/>
          <w:color w:val="000000"/>
          <w:sz w:val="24"/>
          <w:szCs w:val="24"/>
          <w:lang w:eastAsia="lv-LV"/>
        </w:rPr>
        <w:t>1</w:t>
      </w:r>
      <w:r w:rsidR="00525DEE">
        <w:rPr>
          <w:rFonts w:ascii="Times New Roman" w:eastAsia="Times New Roman" w:hAnsi="Times New Roman" w:cs="Times New Roman"/>
          <w:bCs/>
          <w:color w:val="000000"/>
          <w:sz w:val="24"/>
          <w:szCs w:val="24"/>
          <w:lang w:eastAsia="lv-LV"/>
        </w:rPr>
        <w:t> </w:t>
      </w:r>
      <w:r w:rsidRPr="00A07F29">
        <w:rPr>
          <w:rFonts w:ascii="Times New Roman" w:eastAsia="Times New Roman" w:hAnsi="Times New Roman" w:cs="Times New Roman"/>
          <w:bCs/>
          <w:color w:val="000000"/>
          <w:sz w:val="24"/>
          <w:szCs w:val="24"/>
          <w:lang w:eastAsia="lv-LV"/>
        </w:rPr>
        <w:t>m</w:t>
      </w:r>
      <w:r w:rsidRPr="00A07F29">
        <w:rPr>
          <w:rFonts w:ascii="Times New Roman" w:eastAsia="Times New Roman" w:hAnsi="Times New Roman" w:cs="Times New Roman"/>
          <w:bCs/>
          <w:color w:val="000000"/>
          <w:sz w:val="24"/>
          <w:szCs w:val="24"/>
          <w:vertAlign w:val="superscript"/>
          <w:lang w:eastAsia="lv-LV"/>
        </w:rPr>
        <w:t>2</w:t>
      </w:r>
      <w:r w:rsidRPr="00A07F29">
        <w:rPr>
          <w:rFonts w:ascii="Times New Roman" w:eastAsia="Times New Roman" w:hAnsi="Times New Roman" w:cs="Times New Roman"/>
          <w:bCs/>
          <w:color w:val="000000"/>
          <w:sz w:val="24"/>
          <w:szCs w:val="24"/>
          <w:lang w:eastAsia="lv-LV"/>
        </w:rPr>
        <w:t xml:space="preserve"> konstatētas vairāk kā 30 </w:t>
      </w:r>
      <w:proofErr w:type="spellStart"/>
      <w:r w:rsidRPr="00A07F29">
        <w:rPr>
          <w:rFonts w:ascii="Times New Roman" w:eastAsia="Times New Roman" w:hAnsi="Times New Roman" w:cs="Times New Roman"/>
          <w:bCs/>
          <w:color w:val="000000"/>
          <w:sz w:val="24"/>
          <w:szCs w:val="24"/>
          <w:lang w:eastAsia="lv-LV"/>
        </w:rPr>
        <w:t>vaskulāro</w:t>
      </w:r>
      <w:proofErr w:type="spellEnd"/>
      <w:r w:rsidRPr="00A07F29">
        <w:rPr>
          <w:rFonts w:ascii="Times New Roman" w:eastAsia="Times New Roman" w:hAnsi="Times New Roman" w:cs="Times New Roman"/>
          <w:bCs/>
          <w:color w:val="000000"/>
          <w:sz w:val="24"/>
          <w:szCs w:val="24"/>
          <w:lang w:eastAsia="lv-LV"/>
        </w:rPr>
        <w:t xml:space="preserve"> augu sugas. Vairākos zālājos konstatētas</w:t>
      </w:r>
      <w:r w:rsidR="00D65BBA" w:rsidRPr="00A07F29">
        <w:rPr>
          <w:rFonts w:ascii="Times New Roman" w:eastAsia="Times New Roman" w:hAnsi="Times New Roman" w:cs="Times New Roman"/>
          <w:bCs/>
          <w:color w:val="000000"/>
          <w:sz w:val="24"/>
          <w:szCs w:val="24"/>
          <w:lang w:eastAsia="lv-LV"/>
        </w:rPr>
        <w:t xml:space="preserve"> </w:t>
      </w:r>
      <w:r w:rsidRPr="00A07F29">
        <w:rPr>
          <w:rFonts w:ascii="Times New Roman" w:eastAsia="Times New Roman" w:hAnsi="Times New Roman" w:cs="Times New Roman"/>
          <w:bCs/>
          <w:color w:val="000000"/>
          <w:sz w:val="24"/>
          <w:szCs w:val="24"/>
          <w:lang w:eastAsia="lv-LV"/>
        </w:rPr>
        <w:t xml:space="preserve">aizsargājamās </w:t>
      </w:r>
      <w:proofErr w:type="spellStart"/>
      <w:r w:rsidRPr="00A07F29">
        <w:rPr>
          <w:rFonts w:ascii="Times New Roman" w:eastAsia="Times New Roman" w:hAnsi="Times New Roman" w:cs="Times New Roman"/>
          <w:bCs/>
          <w:color w:val="000000"/>
          <w:sz w:val="24"/>
          <w:szCs w:val="24"/>
          <w:lang w:eastAsia="lv-LV"/>
        </w:rPr>
        <w:t>vaskulāro</w:t>
      </w:r>
      <w:proofErr w:type="spellEnd"/>
      <w:r w:rsidRPr="00A07F29">
        <w:rPr>
          <w:rFonts w:ascii="Times New Roman" w:eastAsia="Times New Roman" w:hAnsi="Times New Roman" w:cs="Times New Roman"/>
          <w:bCs/>
          <w:color w:val="000000"/>
          <w:sz w:val="24"/>
          <w:szCs w:val="24"/>
          <w:lang w:eastAsia="lv-LV"/>
        </w:rPr>
        <w:t xml:space="preserve"> augu sugas – </w:t>
      </w:r>
      <w:proofErr w:type="spellStart"/>
      <w:r w:rsidRPr="00A07F29">
        <w:rPr>
          <w:rFonts w:ascii="Times New Roman" w:eastAsia="Times New Roman" w:hAnsi="Times New Roman" w:cs="Times New Roman"/>
          <w:bCs/>
          <w:color w:val="000000"/>
          <w:sz w:val="24"/>
          <w:szCs w:val="24"/>
          <w:lang w:eastAsia="lv-LV"/>
        </w:rPr>
        <w:t>krustlapu</w:t>
      </w:r>
      <w:proofErr w:type="spellEnd"/>
      <w:r w:rsidRPr="00A07F29">
        <w:rPr>
          <w:rFonts w:ascii="Times New Roman" w:eastAsia="Times New Roman" w:hAnsi="Times New Roman" w:cs="Times New Roman"/>
          <w:bCs/>
          <w:color w:val="000000"/>
          <w:sz w:val="24"/>
          <w:szCs w:val="24"/>
          <w:lang w:eastAsia="lv-LV"/>
        </w:rPr>
        <w:t xml:space="preserve"> drudzene </w:t>
      </w:r>
      <w:proofErr w:type="spellStart"/>
      <w:r w:rsidRPr="00A07F29">
        <w:rPr>
          <w:rFonts w:ascii="Times New Roman" w:eastAsia="Times New Roman" w:hAnsi="Times New Roman" w:cs="Times New Roman"/>
          <w:bCs/>
          <w:i/>
          <w:iCs/>
          <w:color w:val="000000"/>
          <w:sz w:val="24"/>
          <w:szCs w:val="24"/>
          <w:lang w:eastAsia="lv-LV"/>
        </w:rPr>
        <w:t>Gentiana</w:t>
      </w:r>
      <w:proofErr w:type="spellEnd"/>
      <w:r w:rsidRPr="00A07F29">
        <w:rPr>
          <w:rFonts w:ascii="Times New Roman" w:eastAsia="Times New Roman" w:hAnsi="Times New Roman" w:cs="Times New Roman"/>
          <w:bCs/>
          <w:i/>
          <w:i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cruciata</w:t>
      </w:r>
      <w:proofErr w:type="spellEnd"/>
      <w:r w:rsidRPr="00A07F29">
        <w:rPr>
          <w:rFonts w:ascii="Times New Roman" w:eastAsia="Times New Roman" w:hAnsi="Times New Roman" w:cs="Times New Roman"/>
          <w:bCs/>
          <w:color w:val="000000"/>
          <w:sz w:val="24"/>
          <w:szCs w:val="24"/>
          <w:lang w:eastAsia="lv-LV"/>
        </w:rPr>
        <w:t xml:space="preserve">, kas ir </w:t>
      </w:r>
      <w:proofErr w:type="spellStart"/>
      <w:r w:rsidRPr="00A07F29">
        <w:rPr>
          <w:rFonts w:ascii="Times New Roman" w:eastAsia="Times New Roman" w:hAnsi="Times New Roman" w:cs="Times New Roman"/>
          <w:bCs/>
          <w:color w:val="000000"/>
          <w:sz w:val="24"/>
          <w:szCs w:val="24"/>
          <w:lang w:eastAsia="lv-LV"/>
        </w:rPr>
        <w:t>Vasargelišķu</w:t>
      </w:r>
      <w:proofErr w:type="spellEnd"/>
      <w:r w:rsidRPr="00A07F29">
        <w:rPr>
          <w:rFonts w:ascii="Times New Roman" w:eastAsia="Times New Roman" w:hAnsi="Times New Roman" w:cs="Times New Roman"/>
          <w:bCs/>
          <w:color w:val="000000"/>
          <w:sz w:val="24"/>
          <w:szCs w:val="24"/>
          <w:lang w:eastAsia="lv-LV"/>
        </w:rPr>
        <w:t xml:space="preserve">, </w:t>
      </w:r>
      <w:proofErr w:type="spellStart"/>
      <w:r w:rsidRPr="00A07F29">
        <w:rPr>
          <w:rFonts w:ascii="Times New Roman" w:eastAsia="Times New Roman" w:hAnsi="Times New Roman" w:cs="Times New Roman"/>
          <w:bCs/>
          <w:color w:val="000000"/>
          <w:sz w:val="24"/>
          <w:szCs w:val="24"/>
          <w:lang w:eastAsia="lv-LV"/>
        </w:rPr>
        <w:t>Vecračinas</w:t>
      </w:r>
      <w:proofErr w:type="spellEnd"/>
      <w:r w:rsidRPr="00A07F29">
        <w:rPr>
          <w:rFonts w:ascii="Times New Roman" w:eastAsia="Times New Roman" w:hAnsi="Times New Roman" w:cs="Times New Roman"/>
          <w:bCs/>
          <w:color w:val="000000"/>
          <w:sz w:val="24"/>
          <w:szCs w:val="24"/>
          <w:lang w:eastAsia="lv-LV"/>
        </w:rPr>
        <w:t xml:space="preserve">, Maču ezera apkārtnē un kalnu </w:t>
      </w:r>
      <w:proofErr w:type="spellStart"/>
      <w:r w:rsidRPr="00A07F29">
        <w:rPr>
          <w:rFonts w:ascii="Times New Roman" w:eastAsia="Times New Roman" w:hAnsi="Times New Roman" w:cs="Times New Roman"/>
          <w:bCs/>
          <w:color w:val="000000"/>
          <w:sz w:val="24"/>
          <w:szCs w:val="24"/>
          <w:lang w:eastAsia="lv-LV"/>
        </w:rPr>
        <w:t>briežsakne</w:t>
      </w:r>
      <w:proofErr w:type="spellEnd"/>
      <w:r w:rsidRPr="00A07F29">
        <w:rPr>
          <w:rFonts w:ascii="Times New Roman" w:eastAsia="Times New Roman" w:hAnsi="Times New Roman" w:cs="Times New Roman"/>
          <w:b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Seseli</w:t>
      </w:r>
      <w:proofErr w:type="spellEnd"/>
      <w:r w:rsidRPr="00A07F29">
        <w:rPr>
          <w:rFonts w:ascii="Times New Roman" w:eastAsia="Times New Roman" w:hAnsi="Times New Roman" w:cs="Times New Roman"/>
          <w:bCs/>
          <w:i/>
          <w:i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libanotis</w:t>
      </w:r>
      <w:proofErr w:type="spellEnd"/>
      <w:r w:rsidRPr="00A07F29">
        <w:rPr>
          <w:rFonts w:ascii="Times New Roman" w:eastAsia="Times New Roman" w:hAnsi="Times New Roman" w:cs="Times New Roman"/>
          <w:bCs/>
          <w:color w:val="000000"/>
          <w:sz w:val="24"/>
          <w:szCs w:val="24"/>
          <w:lang w:eastAsia="lv-LV"/>
        </w:rPr>
        <w:t xml:space="preserve">, kas atrasta zālājā Lielo Muļķu apkārtnē. </w:t>
      </w:r>
    </w:p>
    <w:p w14:paraId="106E4700" w14:textId="2ABAEDEE" w:rsidR="002B1603" w:rsidRPr="00A07F29" w:rsidRDefault="00857D09" w:rsidP="00857D09">
      <w:pPr>
        <w:spacing w:after="120" w:line="240" w:lineRule="auto"/>
        <w:ind w:firstLine="851"/>
        <w:jc w:val="both"/>
        <w:rPr>
          <w:rFonts w:ascii="Times New Roman" w:eastAsia="Times New Roman" w:hAnsi="Times New Roman" w:cs="Times New Roman"/>
          <w:bCs/>
          <w:color w:val="000000"/>
          <w:sz w:val="24"/>
          <w:szCs w:val="24"/>
          <w:lang w:eastAsia="lv-LV"/>
        </w:rPr>
      </w:pPr>
      <w:r w:rsidRPr="00A07F29">
        <w:rPr>
          <w:rFonts w:ascii="Times New Roman" w:eastAsia="Times New Roman" w:hAnsi="Times New Roman" w:cs="Times New Roman"/>
          <w:bCs/>
          <w:color w:val="000000"/>
          <w:sz w:val="24"/>
          <w:szCs w:val="24"/>
          <w:lang w:eastAsia="lv-LV"/>
        </w:rPr>
        <w:t xml:space="preserve">Vietām </w:t>
      </w:r>
      <w:r w:rsidR="002B1603" w:rsidRPr="00A07F29">
        <w:rPr>
          <w:rFonts w:ascii="Times New Roman" w:eastAsia="Times New Roman" w:hAnsi="Times New Roman" w:cs="Times New Roman"/>
          <w:bCs/>
          <w:color w:val="000000"/>
          <w:sz w:val="24"/>
          <w:szCs w:val="24"/>
          <w:lang w:eastAsia="lv-LV"/>
        </w:rPr>
        <w:t>6210</w:t>
      </w:r>
      <w:r w:rsidR="009428B5">
        <w:rPr>
          <w:rFonts w:ascii="Times New Roman" w:eastAsia="Times New Roman" w:hAnsi="Times New Roman" w:cs="Times New Roman"/>
          <w:bCs/>
          <w:color w:val="000000"/>
          <w:sz w:val="24"/>
          <w:szCs w:val="24"/>
          <w:lang w:eastAsia="lv-LV"/>
        </w:rPr>
        <w:t> </w:t>
      </w:r>
      <w:r w:rsidR="002B1603" w:rsidRPr="00A07F29">
        <w:rPr>
          <w:rFonts w:ascii="Times New Roman" w:eastAsia="Times New Roman" w:hAnsi="Times New Roman" w:cs="Times New Roman"/>
          <w:bCs/>
          <w:i/>
          <w:iCs/>
          <w:color w:val="000000"/>
          <w:sz w:val="24"/>
          <w:szCs w:val="24"/>
          <w:lang w:eastAsia="lv-LV"/>
        </w:rPr>
        <w:t>Sausie zālāji kaļķainās augsnēs</w:t>
      </w:r>
      <w:r w:rsidR="002B1603" w:rsidRPr="00A07F29">
        <w:rPr>
          <w:rFonts w:ascii="Times New Roman" w:eastAsia="Times New Roman" w:hAnsi="Times New Roman" w:cs="Times New Roman"/>
          <w:bCs/>
          <w:color w:val="000000"/>
          <w:sz w:val="24"/>
          <w:szCs w:val="24"/>
          <w:lang w:eastAsia="lv-LV"/>
        </w:rPr>
        <w:t xml:space="preserve"> netiek apsaimniekoti un aizaug ar parasto priedi </w:t>
      </w:r>
      <w:proofErr w:type="spellStart"/>
      <w:r w:rsidR="002B1603" w:rsidRPr="00A07F29">
        <w:rPr>
          <w:rFonts w:ascii="Times New Roman" w:eastAsia="Times New Roman" w:hAnsi="Times New Roman" w:cs="Times New Roman"/>
          <w:bCs/>
          <w:i/>
          <w:iCs/>
          <w:color w:val="000000"/>
          <w:sz w:val="24"/>
          <w:szCs w:val="24"/>
          <w:lang w:eastAsia="lv-LV"/>
        </w:rPr>
        <w:t>Pinus</w:t>
      </w:r>
      <w:proofErr w:type="spellEnd"/>
      <w:r w:rsidR="002B1603" w:rsidRPr="00A07F29">
        <w:rPr>
          <w:rFonts w:ascii="Times New Roman" w:eastAsia="Times New Roman" w:hAnsi="Times New Roman" w:cs="Times New Roman"/>
          <w:bCs/>
          <w:i/>
          <w:iCs/>
          <w:color w:val="000000"/>
          <w:sz w:val="24"/>
          <w:szCs w:val="24"/>
          <w:lang w:eastAsia="lv-LV"/>
        </w:rPr>
        <w:t xml:space="preserve"> </w:t>
      </w:r>
      <w:proofErr w:type="spellStart"/>
      <w:r w:rsidR="002B1603" w:rsidRPr="00A07F29">
        <w:rPr>
          <w:rFonts w:ascii="Times New Roman" w:eastAsia="Times New Roman" w:hAnsi="Times New Roman" w:cs="Times New Roman"/>
          <w:bCs/>
          <w:i/>
          <w:iCs/>
          <w:color w:val="000000"/>
          <w:sz w:val="24"/>
          <w:szCs w:val="24"/>
          <w:lang w:eastAsia="lv-LV"/>
        </w:rPr>
        <w:t>sylvestris</w:t>
      </w:r>
      <w:proofErr w:type="spellEnd"/>
      <w:r w:rsidR="002B1603" w:rsidRPr="00A07F29">
        <w:rPr>
          <w:rFonts w:ascii="Times New Roman" w:eastAsia="Times New Roman" w:hAnsi="Times New Roman" w:cs="Times New Roman"/>
          <w:bCs/>
          <w:iCs/>
          <w:color w:val="000000"/>
          <w:sz w:val="24"/>
          <w:szCs w:val="24"/>
          <w:lang w:eastAsia="lv-LV"/>
        </w:rPr>
        <w:t xml:space="preserve"> </w:t>
      </w:r>
      <w:r w:rsidR="002B1603" w:rsidRPr="00A07F29">
        <w:rPr>
          <w:rFonts w:ascii="Times New Roman" w:eastAsia="Times New Roman" w:hAnsi="Times New Roman" w:cs="Times New Roman"/>
          <w:bCs/>
          <w:color w:val="000000"/>
          <w:sz w:val="24"/>
          <w:szCs w:val="24"/>
          <w:lang w:eastAsia="lv-LV"/>
        </w:rPr>
        <w:t xml:space="preserve">vai retāk ar baltalksni </w:t>
      </w:r>
      <w:proofErr w:type="spellStart"/>
      <w:r w:rsidR="002B1603" w:rsidRPr="00A07F29">
        <w:rPr>
          <w:rFonts w:ascii="Times New Roman" w:eastAsia="Times New Roman" w:hAnsi="Times New Roman" w:cs="Times New Roman"/>
          <w:bCs/>
          <w:i/>
          <w:iCs/>
          <w:color w:val="000000"/>
          <w:sz w:val="24"/>
          <w:szCs w:val="24"/>
          <w:lang w:eastAsia="lv-LV"/>
        </w:rPr>
        <w:t>Alnus</w:t>
      </w:r>
      <w:proofErr w:type="spellEnd"/>
      <w:r w:rsidR="002B1603" w:rsidRPr="00A07F29">
        <w:rPr>
          <w:rFonts w:ascii="Times New Roman" w:eastAsia="Times New Roman" w:hAnsi="Times New Roman" w:cs="Times New Roman"/>
          <w:bCs/>
          <w:i/>
          <w:iCs/>
          <w:color w:val="000000"/>
          <w:sz w:val="24"/>
          <w:szCs w:val="24"/>
          <w:lang w:eastAsia="lv-LV"/>
        </w:rPr>
        <w:t xml:space="preserve"> </w:t>
      </w:r>
      <w:proofErr w:type="spellStart"/>
      <w:r w:rsidR="002B1603" w:rsidRPr="00A07F29">
        <w:rPr>
          <w:rFonts w:ascii="Times New Roman" w:eastAsia="Times New Roman" w:hAnsi="Times New Roman" w:cs="Times New Roman"/>
          <w:bCs/>
          <w:i/>
          <w:iCs/>
          <w:color w:val="000000"/>
          <w:sz w:val="24"/>
          <w:szCs w:val="24"/>
          <w:lang w:eastAsia="lv-LV"/>
        </w:rPr>
        <w:t>incana</w:t>
      </w:r>
      <w:proofErr w:type="spellEnd"/>
      <w:r w:rsidR="002B1603" w:rsidRPr="00A07F29">
        <w:rPr>
          <w:rFonts w:ascii="Times New Roman" w:eastAsia="Times New Roman" w:hAnsi="Times New Roman" w:cs="Times New Roman"/>
          <w:bCs/>
          <w:iCs/>
          <w:color w:val="000000"/>
          <w:sz w:val="24"/>
          <w:szCs w:val="24"/>
          <w:lang w:eastAsia="lv-LV"/>
        </w:rPr>
        <w:t xml:space="preserve">. </w:t>
      </w:r>
      <w:r w:rsidR="002B1603" w:rsidRPr="00A07F29">
        <w:rPr>
          <w:rFonts w:ascii="Times New Roman" w:eastAsia="Times New Roman" w:hAnsi="Times New Roman" w:cs="Times New Roman"/>
          <w:bCs/>
          <w:color w:val="000000"/>
          <w:sz w:val="24"/>
          <w:szCs w:val="24"/>
          <w:lang w:eastAsia="lv-LV"/>
        </w:rPr>
        <w:t xml:space="preserve">Daļa zālāju, saistībā ar nelielo iedzīvotāju blīvumu un mājlopu skaitu, teritorijā tiek nepareizi apsaimniekoti, tos pļaujot un sienu atstājot uz lauka, retāk smalcinot. </w:t>
      </w:r>
      <w:r w:rsidRPr="00A07F29">
        <w:rPr>
          <w:rFonts w:ascii="Times New Roman" w:eastAsia="Times New Roman" w:hAnsi="Times New Roman" w:cs="Times New Roman"/>
          <w:bCs/>
          <w:color w:val="000000"/>
          <w:sz w:val="24"/>
          <w:szCs w:val="24"/>
          <w:lang w:eastAsia="lv-LV"/>
        </w:rPr>
        <w:t>Ievērojama daļa zālāju ir apsaimniekoti un to stāvoklis pēdējo desmit gadu laikā ir uzlabojies</w:t>
      </w:r>
      <w:r w:rsidR="00E95826">
        <w:rPr>
          <w:rFonts w:ascii="Times New Roman" w:eastAsia="Times New Roman" w:hAnsi="Times New Roman" w:cs="Times New Roman"/>
          <w:bCs/>
          <w:color w:val="000000"/>
          <w:sz w:val="24"/>
          <w:szCs w:val="24"/>
          <w:lang w:eastAsia="lv-LV"/>
        </w:rPr>
        <w:t>,</w:t>
      </w:r>
      <w:r w:rsidRPr="00A07F29">
        <w:rPr>
          <w:rFonts w:ascii="Times New Roman" w:eastAsia="Times New Roman" w:hAnsi="Times New Roman" w:cs="Times New Roman"/>
          <w:bCs/>
          <w:color w:val="000000"/>
          <w:sz w:val="24"/>
          <w:szCs w:val="24"/>
          <w:lang w:eastAsia="lv-LV"/>
        </w:rPr>
        <w:t xml:space="preserve"> ieviešot atbalsta pasākumus zemniekiem. </w:t>
      </w:r>
      <w:r w:rsidR="00120CDE" w:rsidRPr="00A07F29">
        <w:rPr>
          <w:rFonts w:ascii="Times New Roman" w:eastAsia="Times New Roman" w:hAnsi="Times New Roman" w:cs="Times New Roman"/>
          <w:bCs/>
          <w:color w:val="000000"/>
          <w:sz w:val="24"/>
          <w:szCs w:val="24"/>
          <w:lang w:eastAsia="lv-LV"/>
        </w:rPr>
        <w:t>Augšdaugavas</w:t>
      </w:r>
      <w:r w:rsidRPr="00A07F29">
        <w:rPr>
          <w:rFonts w:ascii="Times New Roman" w:eastAsia="Times New Roman" w:hAnsi="Times New Roman" w:cs="Times New Roman"/>
          <w:bCs/>
          <w:color w:val="000000"/>
          <w:sz w:val="24"/>
          <w:szCs w:val="24"/>
          <w:lang w:eastAsia="lv-LV"/>
        </w:rPr>
        <w:t xml:space="preserve"> novada Naujenes pagasta </w:t>
      </w:r>
      <w:proofErr w:type="spellStart"/>
      <w:r w:rsidRPr="00A07F29">
        <w:rPr>
          <w:rFonts w:ascii="Times New Roman" w:eastAsia="Times New Roman" w:hAnsi="Times New Roman" w:cs="Times New Roman"/>
          <w:bCs/>
          <w:color w:val="000000"/>
          <w:sz w:val="24"/>
          <w:szCs w:val="24"/>
          <w:lang w:eastAsia="lv-LV"/>
        </w:rPr>
        <w:t>Slutišķos</w:t>
      </w:r>
      <w:proofErr w:type="spellEnd"/>
      <w:r w:rsidRPr="00A07F29">
        <w:rPr>
          <w:rFonts w:ascii="Times New Roman" w:eastAsia="Times New Roman" w:hAnsi="Times New Roman" w:cs="Times New Roman"/>
          <w:bCs/>
          <w:color w:val="000000"/>
          <w:sz w:val="24"/>
          <w:szCs w:val="24"/>
          <w:lang w:eastAsia="lv-LV"/>
        </w:rPr>
        <w:t xml:space="preserve"> projekta ietvaros Solvitas Rūsiņas vadībā veikta zālāju atjaunošana. Biotops </w:t>
      </w:r>
      <w:r w:rsidR="002B1603" w:rsidRPr="00A07F29">
        <w:rPr>
          <w:rFonts w:ascii="Times New Roman" w:eastAsia="Times New Roman" w:hAnsi="Times New Roman" w:cs="Times New Roman"/>
          <w:bCs/>
          <w:color w:val="000000"/>
          <w:sz w:val="24"/>
          <w:szCs w:val="24"/>
          <w:lang w:eastAsia="lv-LV"/>
        </w:rPr>
        <w:t>6210</w:t>
      </w:r>
      <w:r w:rsidR="00180C23">
        <w:rPr>
          <w:rFonts w:ascii="Times New Roman" w:eastAsia="Times New Roman" w:hAnsi="Times New Roman" w:cs="Times New Roman"/>
          <w:bCs/>
          <w:color w:val="000000"/>
          <w:sz w:val="24"/>
          <w:szCs w:val="24"/>
          <w:lang w:eastAsia="lv-LV"/>
        </w:rPr>
        <w:t> </w:t>
      </w:r>
      <w:r w:rsidR="002B1603" w:rsidRPr="00A07F29">
        <w:rPr>
          <w:rFonts w:ascii="Times New Roman" w:eastAsia="Times New Roman" w:hAnsi="Times New Roman" w:cs="Times New Roman"/>
          <w:bCs/>
          <w:i/>
          <w:iCs/>
          <w:color w:val="000000"/>
          <w:sz w:val="24"/>
          <w:szCs w:val="24"/>
          <w:lang w:eastAsia="lv-LV"/>
        </w:rPr>
        <w:t>Sausie zālāji kaļķainās augsnēs</w:t>
      </w:r>
      <w:r w:rsidR="002B1603" w:rsidRPr="00A07F29">
        <w:rPr>
          <w:rFonts w:ascii="Times New Roman" w:eastAsia="Times New Roman" w:hAnsi="Times New Roman" w:cs="Times New Roman"/>
          <w:bCs/>
          <w:color w:val="000000"/>
          <w:sz w:val="24"/>
          <w:szCs w:val="24"/>
          <w:lang w:eastAsia="lv-LV"/>
        </w:rPr>
        <w:t xml:space="preserve"> </w:t>
      </w:r>
      <w:r w:rsidRPr="00A07F29">
        <w:rPr>
          <w:rFonts w:ascii="Times New Roman" w:eastAsia="Times New Roman" w:hAnsi="Times New Roman" w:cs="Times New Roman"/>
          <w:bCs/>
          <w:color w:val="000000"/>
          <w:sz w:val="24"/>
          <w:szCs w:val="24"/>
          <w:lang w:eastAsia="lv-LV"/>
        </w:rPr>
        <w:t xml:space="preserve">Latvijā vērtēts </w:t>
      </w:r>
      <w:r w:rsidR="002B1603" w:rsidRPr="00A07F29">
        <w:rPr>
          <w:rFonts w:ascii="Times New Roman" w:eastAsia="Times New Roman" w:hAnsi="Times New Roman" w:cs="Times New Roman"/>
          <w:bCs/>
          <w:color w:val="000000"/>
          <w:sz w:val="24"/>
          <w:szCs w:val="24"/>
          <w:lang w:eastAsia="lv-LV"/>
        </w:rPr>
        <w:t xml:space="preserve">kā nelabvēlīgā aizsardzības stāvoklī </w:t>
      </w:r>
      <w:r w:rsidRPr="00A07F29">
        <w:rPr>
          <w:rFonts w:ascii="Times New Roman" w:eastAsia="Times New Roman" w:hAnsi="Times New Roman" w:cs="Times New Roman"/>
          <w:bCs/>
          <w:color w:val="000000"/>
          <w:sz w:val="24"/>
          <w:szCs w:val="24"/>
          <w:lang w:eastAsia="lv-LV"/>
        </w:rPr>
        <w:t>esošs</w:t>
      </w:r>
      <w:r w:rsidR="002B1603" w:rsidRPr="00A07F29">
        <w:rPr>
          <w:rFonts w:ascii="Times New Roman" w:eastAsia="Times New Roman" w:hAnsi="Times New Roman" w:cs="Times New Roman"/>
          <w:bCs/>
          <w:color w:val="000000"/>
          <w:sz w:val="24"/>
          <w:szCs w:val="24"/>
          <w:lang w:eastAsia="lv-LV"/>
        </w:rPr>
        <w:t>.</w:t>
      </w:r>
    </w:p>
    <w:tbl>
      <w:tblPr>
        <w:tblStyle w:val="TableGrid"/>
        <w:tblW w:w="0" w:type="auto"/>
        <w:jc w:val="center"/>
        <w:tblLook w:val="04A0" w:firstRow="1" w:lastRow="0" w:firstColumn="1" w:lastColumn="0" w:noHBand="0" w:noVBand="1"/>
      </w:tblPr>
      <w:tblGrid>
        <w:gridCol w:w="4688"/>
        <w:gridCol w:w="4666"/>
      </w:tblGrid>
      <w:tr w:rsidR="00857D09" w:rsidRPr="00A07F29" w14:paraId="2E25523D" w14:textId="77777777" w:rsidTr="63C42FA1">
        <w:trPr>
          <w:jc w:val="center"/>
        </w:trPr>
        <w:tc>
          <w:tcPr>
            <w:tcW w:w="4672" w:type="dxa"/>
            <w:tcBorders>
              <w:top w:val="nil"/>
              <w:left w:val="nil"/>
              <w:bottom w:val="nil"/>
              <w:right w:val="nil"/>
            </w:tcBorders>
          </w:tcPr>
          <w:p w14:paraId="21CA5787" w14:textId="0FE9AFF3" w:rsidR="00857D09" w:rsidRPr="00A07F29" w:rsidRDefault="00857D09" w:rsidP="0021436F">
            <w:pPr>
              <w:spacing w:after="120"/>
              <w:jc w:val="center"/>
              <w:rPr>
                <w:rFonts w:ascii="Times New Roman" w:eastAsia="Times New Roman" w:hAnsi="Times New Roman" w:cs="Times New Roman"/>
                <w:bCs/>
                <w:color w:val="000000"/>
                <w:sz w:val="24"/>
                <w:szCs w:val="24"/>
                <w:lang w:eastAsia="lv-LV"/>
              </w:rPr>
            </w:pPr>
            <w:r w:rsidRPr="00A07F29">
              <w:rPr>
                <w:noProof/>
                <w:lang w:eastAsia="lv-LV"/>
              </w:rPr>
              <w:drawing>
                <wp:inline distT="0" distB="0" distL="0" distR="0" wp14:anchorId="15A60E92" wp14:editId="5933B3B4">
                  <wp:extent cx="2858826" cy="2164080"/>
                  <wp:effectExtent l="0" t="0" r="0" b="7620"/>
                  <wp:docPr id="6336901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46">
                            <a:extLst>
                              <a:ext uri="{28A0092B-C50C-407E-A947-70E740481C1C}">
                                <a14:useLocalDpi xmlns:a14="http://schemas.microsoft.com/office/drawing/2010/main" val="0"/>
                              </a:ext>
                            </a:extLst>
                          </a:blip>
                          <a:stretch>
                            <a:fillRect/>
                          </a:stretch>
                        </pic:blipFill>
                        <pic:spPr>
                          <a:xfrm>
                            <a:off x="0" y="0"/>
                            <a:ext cx="2858826" cy="2164080"/>
                          </a:xfrm>
                          <a:prstGeom prst="rect">
                            <a:avLst/>
                          </a:prstGeom>
                        </pic:spPr>
                      </pic:pic>
                    </a:graphicData>
                  </a:graphic>
                </wp:inline>
              </w:drawing>
            </w:r>
          </w:p>
        </w:tc>
        <w:tc>
          <w:tcPr>
            <w:tcW w:w="4672" w:type="dxa"/>
            <w:tcBorders>
              <w:top w:val="nil"/>
              <w:left w:val="nil"/>
              <w:bottom w:val="nil"/>
              <w:right w:val="nil"/>
            </w:tcBorders>
          </w:tcPr>
          <w:p w14:paraId="6A8C9462" w14:textId="76639630" w:rsidR="00857D09" w:rsidRPr="00A07F29" w:rsidRDefault="00857D09" w:rsidP="0021436F">
            <w:pPr>
              <w:spacing w:after="120"/>
              <w:jc w:val="center"/>
              <w:rPr>
                <w:rFonts w:ascii="Times New Roman" w:eastAsia="Times New Roman" w:hAnsi="Times New Roman" w:cs="Times New Roman"/>
                <w:bCs/>
                <w:color w:val="000000"/>
                <w:sz w:val="24"/>
                <w:szCs w:val="24"/>
                <w:lang w:eastAsia="lv-LV"/>
              </w:rPr>
            </w:pPr>
            <w:r w:rsidRPr="00A07F29">
              <w:rPr>
                <w:noProof/>
                <w:lang w:eastAsia="lv-LV"/>
              </w:rPr>
              <w:drawing>
                <wp:inline distT="0" distB="0" distL="0" distR="0" wp14:anchorId="1A516F42" wp14:editId="67724199">
                  <wp:extent cx="2844800" cy="2133600"/>
                  <wp:effectExtent l="0" t="0" r="0" b="0"/>
                  <wp:docPr id="918145547" name="Attēls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2"/>
                          <pic:cNvPicPr/>
                        </pic:nvPicPr>
                        <pic:blipFill>
                          <a:blip r:embed="rId47">
                            <a:extLst>
                              <a:ext uri="{28A0092B-C50C-407E-A947-70E740481C1C}">
                                <a14:useLocalDpi xmlns:a14="http://schemas.microsoft.com/office/drawing/2010/main"/>
                              </a:ext>
                            </a:extLst>
                          </a:blip>
                          <a:stretch>
                            <a:fillRect/>
                          </a:stretch>
                        </pic:blipFill>
                        <pic:spPr>
                          <a:xfrm>
                            <a:off x="0" y="0"/>
                            <a:ext cx="2844800" cy="2133600"/>
                          </a:xfrm>
                          <a:prstGeom prst="rect">
                            <a:avLst/>
                          </a:prstGeom>
                        </pic:spPr>
                      </pic:pic>
                    </a:graphicData>
                  </a:graphic>
                </wp:inline>
              </w:drawing>
            </w:r>
          </w:p>
        </w:tc>
      </w:tr>
      <w:tr w:rsidR="00857D09" w:rsidRPr="00A07F29" w14:paraId="549F13C9" w14:textId="77777777" w:rsidTr="63C42FA1">
        <w:trPr>
          <w:jc w:val="center"/>
        </w:trPr>
        <w:tc>
          <w:tcPr>
            <w:tcW w:w="4672" w:type="dxa"/>
            <w:tcBorders>
              <w:top w:val="nil"/>
              <w:left w:val="nil"/>
              <w:bottom w:val="nil"/>
              <w:right w:val="nil"/>
            </w:tcBorders>
          </w:tcPr>
          <w:p w14:paraId="68D0B172" w14:textId="54F64EAF" w:rsidR="00857D09" w:rsidRPr="002E3F9F" w:rsidRDefault="00857D09" w:rsidP="0021436F">
            <w:pPr>
              <w:spacing w:after="120"/>
              <w:jc w:val="both"/>
              <w:rPr>
                <w:rFonts w:ascii="Times New Roman" w:eastAsia="Times New Roman" w:hAnsi="Times New Roman" w:cs="Times New Roman"/>
                <w:bCs/>
                <w:color w:val="000000"/>
                <w:sz w:val="20"/>
                <w:szCs w:val="20"/>
                <w:lang w:eastAsia="lv-LV"/>
              </w:rPr>
            </w:pPr>
            <w:r w:rsidRPr="002E3F9F">
              <w:rPr>
                <w:rFonts w:ascii="Times New Roman" w:eastAsia="Times New Roman" w:hAnsi="Times New Roman" w:cs="Times New Roman"/>
                <w:bCs/>
                <w:color w:val="000000"/>
                <w:sz w:val="20"/>
                <w:szCs w:val="20"/>
                <w:lang w:eastAsia="lv-LV"/>
              </w:rPr>
              <w:t>4.3.3.4.</w:t>
            </w:r>
            <w:r w:rsidR="002E3F9F" w:rsidRPr="002E3F9F">
              <w:rPr>
                <w:rFonts w:ascii="Times New Roman" w:eastAsia="Times New Roman" w:hAnsi="Times New Roman" w:cs="Times New Roman"/>
                <w:bCs/>
                <w:color w:val="000000"/>
                <w:sz w:val="20"/>
                <w:szCs w:val="20"/>
                <w:lang w:eastAsia="lv-LV"/>
              </w:rPr>
              <w:t> </w:t>
            </w:r>
            <w:r w:rsidRPr="002E3F9F">
              <w:rPr>
                <w:rFonts w:ascii="Times New Roman" w:eastAsia="Times New Roman" w:hAnsi="Times New Roman" w:cs="Times New Roman"/>
                <w:bCs/>
                <w:color w:val="000000"/>
                <w:sz w:val="20"/>
                <w:szCs w:val="20"/>
                <w:lang w:eastAsia="lv-LV"/>
              </w:rPr>
              <w:t>att</w:t>
            </w:r>
            <w:r w:rsidR="002E3F9F" w:rsidRPr="002E3F9F">
              <w:rPr>
                <w:rFonts w:ascii="Times New Roman" w:eastAsia="Times New Roman" w:hAnsi="Times New Roman" w:cs="Times New Roman"/>
                <w:bCs/>
                <w:color w:val="000000"/>
                <w:sz w:val="20"/>
                <w:szCs w:val="20"/>
                <w:lang w:eastAsia="lv-LV"/>
              </w:rPr>
              <w:t>ēls.</w:t>
            </w:r>
            <w:r w:rsidRPr="002E3F9F">
              <w:rPr>
                <w:rFonts w:ascii="Times New Roman" w:eastAsia="Times New Roman" w:hAnsi="Times New Roman" w:cs="Times New Roman"/>
                <w:bCs/>
                <w:color w:val="000000"/>
                <w:sz w:val="20"/>
                <w:szCs w:val="20"/>
                <w:lang w:eastAsia="lv-LV"/>
              </w:rPr>
              <w:t xml:space="preserve"> Biotops 6210</w:t>
            </w:r>
            <w:r w:rsidR="002E3F9F" w:rsidRPr="002E3F9F">
              <w:rPr>
                <w:rFonts w:ascii="Times New Roman" w:eastAsia="Times New Roman" w:hAnsi="Times New Roman" w:cs="Times New Roman"/>
                <w:bCs/>
                <w:color w:val="000000"/>
                <w:sz w:val="20"/>
                <w:szCs w:val="20"/>
                <w:lang w:eastAsia="lv-LV"/>
              </w:rPr>
              <w:t> </w:t>
            </w:r>
            <w:r w:rsidRPr="002E3F9F">
              <w:rPr>
                <w:rFonts w:ascii="Times New Roman" w:eastAsia="Times New Roman" w:hAnsi="Times New Roman" w:cs="Times New Roman"/>
                <w:bCs/>
                <w:i/>
                <w:iCs/>
                <w:color w:val="000000"/>
                <w:sz w:val="20"/>
                <w:szCs w:val="20"/>
                <w:lang w:eastAsia="lv-LV"/>
              </w:rPr>
              <w:t>Sausi zālāji kaļķainās augsnēs</w:t>
            </w:r>
            <w:r w:rsidRPr="002E3F9F">
              <w:rPr>
                <w:rFonts w:ascii="Times New Roman" w:eastAsia="Times New Roman" w:hAnsi="Times New Roman" w:cs="Times New Roman"/>
                <w:bCs/>
                <w:color w:val="000000"/>
                <w:sz w:val="20"/>
                <w:szCs w:val="20"/>
                <w:lang w:eastAsia="lv-LV"/>
              </w:rPr>
              <w:t xml:space="preserve"> pie </w:t>
            </w:r>
            <w:proofErr w:type="spellStart"/>
            <w:r w:rsidRPr="002E3F9F">
              <w:rPr>
                <w:rFonts w:ascii="Times New Roman" w:eastAsia="Times New Roman" w:hAnsi="Times New Roman" w:cs="Times New Roman"/>
                <w:bCs/>
                <w:color w:val="000000"/>
                <w:sz w:val="20"/>
                <w:szCs w:val="20"/>
                <w:lang w:eastAsia="lv-LV"/>
              </w:rPr>
              <w:t>Slutišķu</w:t>
            </w:r>
            <w:proofErr w:type="spellEnd"/>
            <w:r w:rsidRPr="002E3F9F">
              <w:rPr>
                <w:rFonts w:ascii="Times New Roman" w:eastAsia="Times New Roman" w:hAnsi="Times New Roman" w:cs="Times New Roman"/>
                <w:bCs/>
                <w:color w:val="000000"/>
                <w:sz w:val="20"/>
                <w:szCs w:val="20"/>
                <w:lang w:eastAsia="lv-LV"/>
              </w:rPr>
              <w:t xml:space="preserve"> sādžas (Foto: P</w:t>
            </w:r>
            <w:r w:rsidR="0021436F" w:rsidRPr="002E3F9F">
              <w:rPr>
                <w:rFonts w:ascii="Times New Roman" w:eastAsia="Times New Roman" w:hAnsi="Times New Roman" w:cs="Times New Roman"/>
                <w:bCs/>
                <w:color w:val="000000"/>
                <w:sz w:val="20"/>
                <w:szCs w:val="20"/>
                <w:lang w:eastAsia="lv-LV"/>
              </w:rPr>
              <w:t>.</w:t>
            </w:r>
            <w:r w:rsidR="002E3F9F" w:rsidRPr="002E3F9F">
              <w:rPr>
                <w:rFonts w:ascii="Times New Roman" w:eastAsia="Times New Roman" w:hAnsi="Times New Roman" w:cs="Times New Roman"/>
                <w:bCs/>
                <w:color w:val="000000"/>
                <w:sz w:val="20"/>
                <w:szCs w:val="20"/>
                <w:lang w:eastAsia="lv-LV"/>
              </w:rPr>
              <w:t> </w:t>
            </w:r>
            <w:proofErr w:type="spellStart"/>
            <w:r w:rsidRPr="002E3F9F">
              <w:rPr>
                <w:rFonts w:ascii="Times New Roman" w:eastAsia="Times New Roman" w:hAnsi="Times New Roman" w:cs="Times New Roman"/>
                <w:bCs/>
                <w:color w:val="000000"/>
                <w:sz w:val="20"/>
                <w:szCs w:val="20"/>
                <w:lang w:eastAsia="lv-LV"/>
              </w:rPr>
              <w:t>Evarts-Bunders</w:t>
            </w:r>
            <w:proofErr w:type="spellEnd"/>
            <w:r w:rsidRPr="002E3F9F">
              <w:rPr>
                <w:rFonts w:ascii="Times New Roman" w:eastAsia="Times New Roman" w:hAnsi="Times New Roman" w:cs="Times New Roman"/>
                <w:bCs/>
                <w:color w:val="000000"/>
                <w:sz w:val="20"/>
                <w:szCs w:val="20"/>
                <w:lang w:eastAsia="lv-LV"/>
              </w:rPr>
              <w:t>).</w:t>
            </w:r>
          </w:p>
        </w:tc>
        <w:tc>
          <w:tcPr>
            <w:tcW w:w="4672" w:type="dxa"/>
            <w:tcBorders>
              <w:top w:val="nil"/>
              <w:left w:val="nil"/>
              <w:bottom w:val="nil"/>
              <w:right w:val="nil"/>
            </w:tcBorders>
          </w:tcPr>
          <w:p w14:paraId="2934409A" w14:textId="3D442609" w:rsidR="00857D09" w:rsidRPr="008D1146" w:rsidRDefault="007E3BA0" w:rsidP="0021436F">
            <w:pPr>
              <w:spacing w:after="120"/>
              <w:jc w:val="both"/>
              <w:rPr>
                <w:rFonts w:ascii="Times New Roman" w:eastAsia="Times New Roman" w:hAnsi="Times New Roman" w:cs="Times New Roman"/>
                <w:bCs/>
                <w:color w:val="000000"/>
                <w:sz w:val="20"/>
                <w:szCs w:val="20"/>
                <w:lang w:eastAsia="lv-LV"/>
              </w:rPr>
            </w:pPr>
            <w:r>
              <w:rPr>
                <w:rFonts w:ascii="Times New Roman" w:eastAsia="Calibri" w:hAnsi="Times New Roman" w:cs="Times New Roman"/>
                <w:sz w:val="20"/>
                <w:szCs w:val="20"/>
              </w:rPr>
              <w:t>4</w:t>
            </w:r>
            <w:r w:rsidR="00857D09" w:rsidRPr="008D1146">
              <w:rPr>
                <w:rFonts w:ascii="Times New Roman" w:eastAsia="Calibri" w:hAnsi="Times New Roman" w:cs="Times New Roman"/>
                <w:sz w:val="20"/>
                <w:szCs w:val="20"/>
              </w:rPr>
              <w:t>.3.</w:t>
            </w:r>
            <w:r>
              <w:rPr>
                <w:rFonts w:ascii="Times New Roman" w:eastAsia="Calibri" w:hAnsi="Times New Roman" w:cs="Times New Roman"/>
                <w:sz w:val="20"/>
                <w:szCs w:val="20"/>
              </w:rPr>
              <w:t>3.5</w:t>
            </w:r>
            <w:r w:rsidR="00857D09" w:rsidRPr="008D1146">
              <w:rPr>
                <w:rFonts w:ascii="Times New Roman" w:eastAsia="Calibri" w:hAnsi="Times New Roman" w:cs="Times New Roman"/>
                <w:sz w:val="20"/>
                <w:szCs w:val="20"/>
              </w:rPr>
              <w:t>.</w:t>
            </w:r>
            <w:r w:rsidR="008D1146" w:rsidRPr="008D1146">
              <w:rPr>
                <w:rFonts w:ascii="Times New Roman" w:eastAsia="Calibri" w:hAnsi="Times New Roman" w:cs="Times New Roman"/>
                <w:sz w:val="20"/>
                <w:szCs w:val="20"/>
              </w:rPr>
              <w:t> </w:t>
            </w:r>
            <w:r w:rsidR="00857D09" w:rsidRPr="008D1146">
              <w:rPr>
                <w:rFonts w:ascii="Times New Roman" w:eastAsia="Calibri" w:hAnsi="Times New Roman" w:cs="Times New Roman"/>
                <w:sz w:val="20"/>
                <w:szCs w:val="20"/>
              </w:rPr>
              <w:t>attēls. Neapsaimniekots ES aizsargājamais biotops 6210</w:t>
            </w:r>
            <w:r w:rsidR="008D1146" w:rsidRPr="008D1146">
              <w:rPr>
                <w:rFonts w:ascii="Times New Roman" w:eastAsia="Calibri" w:hAnsi="Times New Roman" w:cs="Times New Roman"/>
                <w:sz w:val="20"/>
                <w:szCs w:val="20"/>
              </w:rPr>
              <w:t> </w:t>
            </w:r>
            <w:r w:rsidR="00857D09" w:rsidRPr="008D1146">
              <w:rPr>
                <w:rFonts w:ascii="Times New Roman" w:eastAsia="Calibri" w:hAnsi="Times New Roman" w:cs="Times New Roman"/>
                <w:i/>
                <w:sz w:val="20"/>
                <w:szCs w:val="20"/>
              </w:rPr>
              <w:t xml:space="preserve">Sausi zālāji kaļķainās augsnēs </w:t>
            </w:r>
            <w:r w:rsidR="00857D09" w:rsidRPr="008D1146">
              <w:rPr>
                <w:rFonts w:ascii="Times New Roman" w:eastAsia="Calibri" w:hAnsi="Times New Roman" w:cs="Times New Roman"/>
                <w:sz w:val="20"/>
                <w:szCs w:val="20"/>
              </w:rPr>
              <w:t>Tartaka lokā (Foto: G</w:t>
            </w:r>
            <w:r w:rsidR="008D1146" w:rsidRPr="008D1146">
              <w:rPr>
                <w:rFonts w:ascii="Times New Roman" w:eastAsia="Calibri" w:hAnsi="Times New Roman" w:cs="Times New Roman"/>
                <w:sz w:val="20"/>
                <w:szCs w:val="20"/>
              </w:rPr>
              <w:t>. </w:t>
            </w:r>
            <w:proofErr w:type="spellStart"/>
            <w:r w:rsidR="00857D09" w:rsidRPr="008D1146">
              <w:rPr>
                <w:rFonts w:ascii="Times New Roman" w:eastAsia="Calibri" w:hAnsi="Times New Roman" w:cs="Times New Roman"/>
                <w:sz w:val="20"/>
                <w:szCs w:val="20"/>
              </w:rPr>
              <w:t>Evarte-Bundere</w:t>
            </w:r>
            <w:proofErr w:type="spellEnd"/>
            <w:r w:rsidR="00857D09" w:rsidRPr="008D1146">
              <w:rPr>
                <w:rFonts w:ascii="Times New Roman" w:eastAsia="Calibri" w:hAnsi="Times New Roman" w:cs="Times New Roman"/>
                <w:sz w:val="20"/>
                <w:szCs w:val="20"/>
              </w:rPr>
              <w:t>).</w:t>
            </w:r>
          </w:p>
        </w:tc>
      </w:tr>
    </w:tbl>
    <w:p w14:paraId="75643979" w14:textId="69BF51B5" w:rsidR="002B1603" w:rsidRPr="00A07F29" w:rsidRDefault="002B1603" w:rsidP="0021436F">
      <w:pPr>
        <w:keepNext/>
        <w:spacing w:before="240" w:after="120" w:line="240" w:lineRule="auto"/>
        <w:jc w:val="both"/>
        <w:rPr>
          <w:rFonts w:ascii="Times New Roman" w:eastAsia="Times New Roman" w:hAnsi="Times New Roman" w:cs="Times New Roman"/>
          <w:b/>
          <w:bCs/>
          <w:color w:val="000000"/>
          <w:sz w:val="24"/>
          <w:szCs w:val="24"/>
          <w:lang w:eastAsia="lv-LV"/>
        </w:rPr>
      </w:pPr>
      <w:r w:rsidRPr="00A07F29">
        <w:rPr>
          <w:rFonts w:ascii="Times New Roman" w:eastAsia="Times New Roman" w:hAnsi="Times New Roman" w:cs="Times New Roman"/>
          <w:b/>
          <w:bCs/>
          <w:color w:val="000000"/>
          <w:sz w:val="24"/>
          <w:szCs w:val="24"/>
          <w:lang w:eastAsia="lv-LV"/>
        </w:rPr>
        <w:t xml:space="preserve">6230* </w:t>
      </w:r>
      <w:r w:rsidRPr="00A07F29">
        <w:rPr>
          <w:rFonts w:ascii="Times New Roman" w:eastAsia="Times New Roman" w:hAnsi="Times New Roman" w:cs="Times New Roman"/>
          <w:b/>
          <w:bCs/>
          <w:i/>
          <w:iCs/>
          <w:color w:val="000000"/>
          <w:sz w:val="24"/>
          <w:szCs w:val="24"/>
          <w:lang w:eastAsia="lv-LV"/>
        </w:rPr>
        <w:t>Vilkakūlas zālāji</w:t>
      </w:r>
    </w:p>
    <w:p w14:paraId="470E2DF6" w14:textId="19C77C7F" w:rsidR="0021436F" w:rsidRPr="00A07F29" w:rsidRDefault="002B1603" w:rsidP="00B34309">
      <w:pPr>
        <w:spacing w:after="120" w:line="240" w:lineRule="auto"/>
        <w:ind w:firstLine="851"/>
        <w:jc w:val="both"/>
        <w:rPr>
          <w:rFonts w:ascii="Times New Roman" w:eastAsia="Times New Roman" w:hAnsi="Times New Roman" w:cs="Times New Roman"/>
          <w:bCs/>
          <w:color w:val="000000"/>
          <w:sz w:val="24"/>
          <w:szCs w:val="24"/>
          <w:lang w:eastAsia="lv-LV"/>
        </w:rPr>
      </w:pPr>
      <w:r w:rsidRPr="00A07F29">
        <w:rPr>
          <w:rFonts w:ascii="Times New Roman" w:eastAsia="Times New Roman" w:hAnsi="Times New Roman" w:cs="Times New Roman"/>
          <w:bCs/>
          <w:color w:val="000000"/>
          <w:sz w:val="24"/>
          <w:szCs w:val="24"/>
          <w:lang w:eastAsia="lv-LV"/>
        </w:rPr>
        <w:t>AAA “Augšdaugava” 1,</w:t>
      </w:r>
      <w:r w:rsidR="00130616" w:rsidRPr="00A07F29">
        <w:rPr>
          <w:rFonts w:ascii="Times New Roman" w:eastAsia="Times New Roman" w:hAnsi="Times New Roman" w:cs="Times New Roman"/>
          <w:bCs/>
          <w:color w:val="000000"/>
          <w:sz w:val="24"/>
          <w:szCs w:val="24"/>
          <w:lang w:eastAsia="lv-LV"/>
        </w:rPr>
        <w:t>36</w:t>
      </w:r>
      <w:r w:rsidR="0059615C">
        <w:rPr>
          <w:rFonts w:ascii="Times New Roman" w:eastAsia="Times New Roman" w:hAnsi="Times New Roman" w:cs="Times New Roman"/>
          <w:bCs/>
          <w:color w:val="000000"/>
          <w:sz w:val="24"/>
          <w:szCs w:val="24"/>
          <w:lang w:eastAsia="lv-LV"/>
        </w:rPr>
        <w:t> </w:t>
      </w:r>
      <w:r w:rsidRPr="00A07F29">
        <w:rPr>
          <w:rFonts w:ascii="Times New Roman" w:eastAsia="Times New Roman" w:hAnsi="Times New Roman" w:cs="Times New Roman"/>
          <w:bCs/>
          <w:color w:val="000000"/>
          <w:sz w:val="24"/>
          <w:szCs w:val="24"/>
          <w:lang w:eastAsia="lv-LV"/>
        </w:rPr>
        <w:t>ha platībā (3 poligoni) konstatēts biotopa 6230*</w:t>
      </w:r>
      <w:r w:rsidR="009873FE">
        <w:rPr>
          <w:rFonts w:ascii="Times New Roman" w:eastAsia="Times New Roman" w:hAnsi="Times New Roman" w:cs="Times New Roman"/>
          <w:bCs/>
          <w:color w:val="000000"/>
          <w:sz w:val="24"/>
          <w:szCs w:val="24"/>
          <w:lang w:eastAsia="lv-LV"/>
        </w:rPr>
        <w:t> </w:t>
      </w:r>
      <w:r w:rsidRPr="00A07F29">
        <w:rPr>
          <w:rFonts w:ascii="Times New Roman" w:eastAsia="Times New Roman" w:hAnsi="Times New Roman" w:cs="Times New Roman"/>
          <w:bCs/>
          <w:i/>
          <w:iCs/>
          <w:color w:val="000000"/>
          <w:sz w:val="24"/>
          <w:szCs w:val="24"/>
          <w:lang w:eastAsia="lv-LV"/>
        </w:rPr>
        <w:t>Vilkakūlas zālāji</w:t>
      </w:r>
      <w:r w:rsidRPr="00A07F29">
        <w:rPr>
          <w:rFonts w:ascii="Times New Roman" w:eastAsia="Times New Roman" w:hAnsi="Times New Roman" w:cs="Times New Roman"/>
          <w:bCs/>
          <w:color w:val="000000"/>
          <w:sz w:val="24"/>
          <w:szCs w:val="24"/>
          <w:lang w:eastAsia="lv-LV"/>
        </w:rPr>
        <w:t xml:space="preserve"> 1.</w:t>
      </w:r>
      <w:r w:rsidR="009873FE">
        <w:rPr>
          <w:rFonts w:ascii="Times New Roman" w:eastAsia="Times New Roman" w:hAnsi="Times New Roman" w:cs="Times New Roman"/>
          <w:bCs/>
          <w:color w:val="000000"/>
          <w:sz w:val="24"/>
          <w:szCs w:val="24"/>
          <w:lang w:eastAsia="lv-LV"/>
        </w:rPr>
        <w:t> </w:t>
      </w:r>
      <w:r w:rsidRPr="00A07F29">
        <w:rPr>
          <w:rFonts w:ascii="Times New Roman" w:eastAsia="Times New Roman" w:hAnsi="Times New Roman" w:cs="Times New Roman"/>
          <w:bCs/>
          <w:color w:val="000000"/>
          <w:sz w:val="24"/>
          <w:szCs w:val="24"/>
          <w:lang w:eastAsia="lv-LV"/>
        </w:rPr>
        <w:t xml:space="preserve">variants (sausais). Zālājos konstatētas ne vairāk kā septiņas dabisko zālāju </w:t>
      </w:r>
      <w:proofErr w:type="spellStart"/>
      <w:r w:rsidRPr="00A07F29">
        <w:rPr>
          <w:rFonts w:ascii="Times New Roman" w:eastAsia="Times New Roman" w:hAnsi="Times New Roman" w:cs="Times New Roman"/>
          <w:bCs/>
          <w:color w:val="000000"/>
          <w:sz w:val="24"/>
          <w:szCs w:val="24"/>
          <w:lang w:eastAsia="lv-LV"/>
        </w:rPr>
        <w:t>indikatorsugas</w:t>
      </w:r>
      <w:proofErr w:type="spellEnd"/>
      <w:r w:rsidRPr="00A07F29">
        <w:rPr>
          <w:rFonts w:ascii="Times New Roman" w:eastAsia="Times New Roman" w:hAnsi="Times New Roman" w:cs="Times New Roman"/>
          <w:bCs/>
          <w:color w:val="000000"/>
          <w:sz w:val="24"/>
          <w:szCs w:val="24"/>
          <w:lang w:eastAsia="lv-LV"/>
        </w:rPr>
        <w:t xml:space="preserve">, daļa no tām arī kaļķainu vietu indikatori, piemēram, spradzene </w:t>
      </w:r>
      <w:proofErr w:type="spellStart"/>
      <w:r w:rsidRPr="00A07F29">
        <w:rPr>
          <w:rFonts w:ascii="Times New Roman" w:eastAsia="Times New Roman" w:hAnsi="Times New Roman" w:cs="Times New Roman"/>
          <w:bCs/>
          <w:i/>
          <w:iCs/>
          <w:color w:val="000000"/>
          <w:sz w:val="24"/>
          <w:szCs w:val="24"/>
          <w:lang w:eastAsia="lv-LV"/>
        </w:rPr>
        <w:t>Fragaria</w:t>
      </w:r>
      <w:proofErr w:type="spellEnd"/>
      <w:r w:rsidRPr="00A07F29">
        <w:rPr>
          <w:rFonts w:ascii="Times New Roman" w:eastAsia="Times New Roman" w:hAnsi="Times New Roman" w:cs="Times New Roman"/>
          <w:bCs/>
          <w:i/>
          <w:i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viridis</w:t>
      </w:r>
      <w:proofErr w:type="spellEnd"/>
      <w:r w:rsidRPr="00A07F29">
        <w:rPr>
          <w:rFonts w:ascii="Times New Roman" w:eastAsia="Times New Roman" w:hAnsi="Times New Roman" w:cs="Times New Roman"/>
          <w:bCs/>
          <w:color w:val="000000"/>
          <w:sz w:val="24"/>
          <w:szCs w:val="24"/>
          <w:lang w:eastAsia="lv-LV"/>
        </w:rPr>
        <w:t xml:space="preserve">, </w:t>
      </w:r>
      <w:proofErr w:type="spellStart"/>
      <w:r w:rsidRPr="00A07F29">
        <w:rPr>
          <w:rFonts w:ascii="Times New Roman" w:eastAsia="Times New Roman" w:hAnsi="Times New Roman" w:cs="Times New Roman"/>
          <w:bCs/>
          <w:color w:val="000000"/>
          <w:sz w:val="24"/>
          <w:szCs w:val="24"/>
          <w:lang w:eastAsia="lv-LV"/>
        </w:rPr>
        <w:t>pazvilā</w:t>
      </w:r>
      <w:proofErr w:type="spellEnd"/>
      <w:r w:rsidRPr="00A07F29">
        <w:rPr>
          <w:rFonts w:ascii="Times New Roman" w:eastAsia="Times New Roman" w:hAnsi="Times New Roman" w:cs="Times New Roman"/>
          <w:bCs/>
          <w:color w:val="000000"/>
          <w:sz w:val="24"/>
          <w:szCs w:val="24"/>
          <w:lang w:eastAsia="lv-LV"/>
        </w:rPr>
        <w:t xml:space="preserve"> </w:t>
      </w:r>
      <w:proofErr w:type="spellStart"/>
      <w:r w:rsidRPr="00A07F29">
        <w:rPr>
          <w:rFonts w:ascii="Times New Roman" w:eastAsia="Times New Roman" w:hAnsi="Times New Roman" w:cs="Times New Roman"/>
          <w:bCs/>
          <w:color w:val="000000"/>
          <w:sz w:val="24"/>
          <w:szCs w:val="24"/>
          <w:lang w:eastAsia="lv-LV"/>
        </w:rPr>
        <w:t>misiņsmilga</w:t>
      </w:r>
      <w:proofErr w:type="spellEnd"/>
      <w:r w:rsidRPr="00A07F29">
        <w:rPr>
          <w:rFonts w:ascii="Times New Roman" w:eastAsia="Times New Roman" w:hAnsi="Times New Roman" w:cs="Times New Roman"/>
          <w:b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Sieglingia</w:t>
      </w:r>
      <w:proofErr w:type="spellEnd"/>
      <w:r w:rsidRPr="00A07F29">
        <w:rPr>
          <w:rFonts w:ascii="Times New Roman" w:eastAsia="Times New Roman" w:hAnsi="Times New Roman" w:cs="Times New Roman"/>
          <w:bCs/>
          <w:i/>
          <w:i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decumbens</w:t>
      </w:r>
      <w:proofErr w:type="spellEnd"/>
      <w:r w:rsidRPr="00A07F29">
        <w:rPr>
          <w:rFonts w:ascii="Times New Roman" w:eastAsia="Times New Roman" w:hAnsi="Times New Roman" w:cs="Times New Roman"/>
          <w:bCs/>
          <w:color w:val="000000"/>
          <w:sz w:val="24"/>
          <w:szCs w:val="24"/>
          <w:lang w:eastAsia="lv-LV"/>
        </w:rPr>
        <w:t xml:space="preserve">, īstā madara </w:t>
      </w:r>
      <w:proofErr w:type="spellStart"/>
      <w:r w:rsidRPr="00A07F29">
        <w:rPr>
          <w:rFonts w:ascii="Times New Roman" w:eastAsia="Times New Roman" w:hAnsi="Times New Roman" w:cs="Times New Roman"/>
          <w:bCs/>
          <w:i/>
          <w:iCs/>
          <w:color w:val="000000"/>
          <w:sz w:val="24"/>
          <w:szCs w:val="24"/>
          <w:lang w:eastAsia="lv-LV"/>
        </w:rPr>
        <w:t>Galium</w:t>
      </w:r>
      <w:proofErr w:type="spellEnd"/>
      <w:r w:rsidRPr="00A07F29">
        <w:rPr>
          <w:rFonts w:ascii="Times New Roman" w:eastAsia="Times New Roman" w:hAnsi="Times New Roman" w:cs="Times New Roman"/>
          <w:bCs/>
          <w:i/>
          <w:i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verum</w:t>
      </w:r>
      <w:proofErr w:type="spellEnd"/>
      <w:r w:rsidRPr="00A07F29">
        <w:rPr>
          <w:rFonts w:ascii="Times New Roman" w:eastAsia="Times New Roman" w:hAnsi="Times New Roman" w:cs="Times New Roman"/>
          <w:bCs/>
          <w:color w:val="000000"/>
          <w:sz w:val="24"/>
          <w:szCs w:val="24"/>
          <w:lang w:eastAsia="lv-LV"/>
        </w:rPr>
        <w:t xml:space="preserve">, dzirkstelīte </w:t>
      </w:r>
      <w:proofErr w:type="spellStart"/>
      <w:r w:rsidRPr="00A07F29">
        <w:rPr>
          <w:rFonts w:ascii="Times New Roman" w:eastAsia="Times New Roman" w:hAnsi="Times New Roman" w:cs="Times New Roman"/>
          <w:bCs/>
          <w:i/>
          <w:iCs/>
          <w:color w:val="000000"/>
          <w:sz w:val="24"/>
          <w:szCs w:val="24"/>
          <w:lang w:eastAsia="lv-LV"/>
        </w:rPr>
        <w:t>Dianthus</w:t>
      </w:r>
      <w:proofErr w:type="spellEnd"/>
      <w:r w:rsidRPr="00A07F29">
        <w:rPr>
          <w:rFonts w:ascii="Times New Roman" w:eastAsia="Times New Roman" w:hAnsi="Times New Roman" w:cs="Times New Roman"/>
          <w:bCs/>
          <w:i/>
          <w:i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deltoides</w:t>
      </w:r>
      <w:proofErr w:type="spellEnd"/>
      <w:r w:rsidRPr="00A07F29">
        <w:rPr>
          <w:rFonts w:ascii="Times New Roman" w:eastAsia="Times New Roman" w:hAnsi="Times New Roman" w:cs="Times New Roman"/>
          <w:bCs/>
          <w:color w:val="000000"/>
          <w:sz w:val="24"/>
          <w:szCs w:val="24"/>
          <w:lang w:eastAsia="lv-LV"/>
        </w:rPr>
        <w:t>. 6230*</w:t>
      </w:r>
      <w:r w:rsidR="00935CC8">
        <w:rPr>
          <w:rFonts w:ascii="Times New Roman" w:eastAsia="Times New Roman" w:hAnsi="Times New Roman" w:cs="Times New Roman"/>
          <w:bCs/>
          <w:color w:val="000000"/>
          <w:sz w:val="24"/>
          <w:szCs w:val="24"/>
          <w:lang w:eastAsia="lv-LV"/>
        </w:rPr>
        <w:t> </w:t>
      </w:r>
      <w:r w:rsidRPr="00A07F29">
        <w:rPr>
          <w:rFonts w:ascii="Times New Roman" w:eastAsia="Times New Roman" w:hAnsi="Times New Roman" w:cs="Times New Roman"/>
          <w:bCs/>
          <w:i/>
          <w:iCs/>
          <w:color w:val="000000"/>
          <w:sz w:val="24"/>
          <w:szCs w:val="24"/>
          <w:lang w:eastAsia="lv-LV"/>
        </w:rPr>
        <w:t>Vilkakūlas zālājs</w:t>
      </w:r>
      <w:r w:rsidRPr="00A07F29">
        <w:rPr>
          <w:rFonts w:ascii="Times New Roman" w:eastAsia="Times New Roman" w:hAnsi="Times New Roman" w:cs="Times New Roman"/>
          <w:bCs/>
          <w:color w:val="000000"/>
          <w:sz w:val="24"/>
          <w:szCs w:val="24"/>
          <w:lang w:eastAsia="lv-LV"/>
        </w:rPr>
        <w:t xml:space="preserve"> pie Ceplīšiem tiek apsaimniekots ganot. Pārējie divi poligoni Kalniešu apkārtnē – pļaujot. Stāvā vilkakūla </w:t>
      </w:r>
      <w:proofErr w:type="spellStart"/>
      <w:r w:rsidRPr="00A07F29">
        <w:rPr>
          <w:rFonts w:ascii="Times New Roman" w:eastAsia="Times New Roman" w:hAnsi="Times New Roman" w:cs="Times New Roman"/>
          <w:bCs/>
          <w:i/>
          <w:iCs/>
          <w:color w:val="000000"/>
          <w:sz w:val="24"/>
          <w:szCs w:val="24"/>
          <w:lang w:eastAsia="lv-LV"/>
        </w:rPr>
        <w:t>Nardus</w:t>
      </w:r>
      <w:proofErr w:type="spellEnd"/>
      <w:r w:rsidRPr="00A07F29">
        <w:rPr>
          <w:rFonts w:ascii="Times New Roman" w:eastAsia="Times New Roman" w:hAnsi="Times New Roman" w:cs="Times New Roman"/>
          <w:bCs/>
          <w:i/>
          <w:i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stricta</w:t>
      </w:r>
      <w:proofErr w:type="spellEnd"/>
      <w:r w:rsidRPr="00A07F29">
        <w:rPr>
          <w:rFonts w:ascii="Times New Roman" w:eastAsia="Times New Roman" w:hAnsi="Times New Roman" w:cs="Times New Roman"/>
          <w:bCs/>
          <w:iCs/>
          <w:color w:val="000000"/>
          <w:sz w:val="24"/>
          <w:szCs w:val="24"/>
          <w:lang w:eastAsia="lv-LV"/>
        </w:rPr>
        <w:t xml:space="preserve"> </w:t>
      </w:r>
      <w:r w:rsidRPr="00A07F29">
        <w:rPr>
          <w:rFonts w:ascii="Times New Roman" w:eastAsia="Times New Roman" w:hAnsi="Times New Roman" w:cs="Times New Roman"/>
          <w:bCs/>
          <w:color w:val="000000"/>
          <w:sz w:val="24"/>
          <w:szCs w:val="24"/>
          <w:lang w:eastAsia="lv-LV"/>
        </w:rPr>
        <w:t xml:space="preserve">poligonos sastopama izklaidus un neveido blīvas audzes. </w:t>
      </w:r>
      <w:r w:rsidR="0021436F" w:rsidRPr="00A07F29">
        <w:rPr>
          <w:rFonts w:ascii="Times New Roman" w:eastAsia="Times New Roman" w:hAnsi="Times New Roman" w:cs="Times New Roman"/>
          <w:bCs/>
          <w:color w:val="000000"/>
          <w:sz w:val="24"/>
          <w:szCs w:val="24"/>
          <w:lang w:eastAsia="lv-LV"/>
        </w:rPr>
        <w:t>AAA “Augšdaugava” konstatētie vilkakūlas zālāji tiek apsaimniekoti un ir labvēlīgā stāvoklī. Biotops 6230*</w:t>
      </w:r>
      <w:r w:rsidR="009D4327">
        <w:rPr>
          <w:rFonts w:ascii="Times New Roman" w:eastAsia="Times New Roman" w:hAnsi="Times New Roman" w:cs="Times New Roman"/>
          <w:bCs/>
          <w:color w:val="000000"/>
          <w:sz w:val="24"/>
          <w:szCs w:val="24"/>
          <w:lang w:eastAsia="lv-LV"/>
        </w:rPr>
        <w:t> </w:t>
      </w:r>
      <w:r w:rsidR="0021436F" w:rsidRPr="00A07F29">
        <w:rPr>
          <w:rFonts w:ascii="Times New Roman" w:eastAsia="Times New Roman" w:hAnsi="Times New Roman" w:cs="Times New Roman"/>
          <w:bCs/>
          <w:i/>
          <w:iCs/>
          <w:color w:val="000000"/>
          <w:sz w:val="24"/>
          <w:szCs w:val="24"/>
          <w:lang w:eastAsia="lv-LV"/>
        </w:rPr>
        <w:t>Vilkakūlas zālāji</w:t>
      </w:r>
      <w:r w:rsidR="0021436F" w:rsidRPr="00A07F29">
        <w:rPr>
          <w:rFonts w:ascii="Times New Roman" w:eastAsia="Times New Roman" w:hAnsi="Times New Roman" w:cs="Times New Roman"/>
          <w:bCs/>
          <w:color w:val="000000"/>
          <w:sz w:val="24"/>
          <w:szCs w:val="24"/>
          <w:lang w:eastAsia="lv-LV"/>
        </w:rPr>
        <w:t xml:space="preserve"> Latvijā vērtējams kā nelabvēlīgā aizsardzības stāvoklī esošs.</w:t>
      </w:r>
    </w:p>
    <w:p w14:paraId="6FFCB81D" w14:textId="77777777" w:rsidR="003A5237" w:rsidRPr="00A07F29" w:rsidRDefault="002B1603" w:rsidP="003A5237">
      <w:pPr>
        <w:spacing w:before="240" w:after="120" w:line="240" w:lineRule="auto"/>
        <w:jc w:val="both"/>
        <w:rPr>
          <w:rFonts w:ascii="Times New Roman" w:eastAsia="Times New Roman" w:hAnsi="Times New Roman" w:cs="Times New Roman"/>
          <w:color w:val="000000"/>
          <w:sz w:val="24"/>
          <w:szCs w:val="24"/>
          <w:lang w:eastAsia="lv-LV"/>
        </w:rPr>
      </w:pPr>
      <w:r w:rsidRPr="00A07F29">
        <w:rPr>
          <w:rFonts w:ascii="Times New Roman" w:eastAsia="Times New Roman" w:hAnsi="Times New Roman" w:cs="Times New Roman"/>
          <w:b/>
          <w:bCs/>
          <w:color w:val="000000"/>
          <w:sz w:val="24"/>
          <w:szCs w:val="24"/>
          <w:lang w:eastAsia="lv-LV"/>
        </w:rPr>
        <w:t xml:space="preserve">6270* </w:t>
      </w:r>
      <w:r w:rsidRPr="00A07F29">
        <w:rPr>
          <w:rFonts w:ascii="Times New Roman" w:eastAsia="Times New Roman" w:hAnsi="Times New Roman" w:cs="Times New Roman"/>
          <w:b/>
          <w:bCs/>
          <w:i/>
          <w:iCs/>
          <w:color w:val="000000"/>
          <w:sz w:val="24"/>
          <w:szCs w:val="24"/>
          <w:lang w:eastAsia="lv-LV"/>
        </w:rPr>
        <w:t>Sugām bagātas ganības un ganītas pļavas</w:t>
      </w:r>
      <w:r w:rsidRPr="00A07F29">
        <w:rPr>
          <w:rFonts w:ascii="Times New Roman" w:eastAsia="Times New Roman" w:hAnsi="Times New Roman" w:cs="Times New Roman"/>
          <w:b/>
          <w:bCs/>
          <w:color w:val="000000"/>
          <w:sz w:val="24"/>
          <w:szCs w:val="24"/>
          <w:lang w:eastAsia="lv-LV"/>
        </w:rPr>
        <w:t xml:space="preserve"> </w:t>
      </w:r>
    </w:p>
    <w:p w14:paraId="50C1EDEA" w14:textId="33C3CF32" w:rsidR="003A5237" w:rsidRPr="00A07F29" w:rsidRDefault="002B1603" w:rsidP="003A5237">
      <w:pPr>
        <w:spacing w:after="120" w:line="240" w:lineRule="auto"/>
        <w:ind w:firstLine="851"/>
        <w:jc w:val="both"/>
        <w:rPr>
          <w:rFonts w:ascii="Times New Roman" w:eastAsia="Times New Roman" w:hAnsi="Times New Roman" w:cs="Times New Roman"/>
          <w:color w:val="000000"/>
          <w:sz w:val="24"/>
          <w:szCs w:val="24"/>
          <w:lang w:eastAsia="lv-LV"/>
        </w:rPr>
      </w:pPr>
      <w:r w:rsidRPr="00A07F29">
        <w:rPr>
          <w:rFonts w:ascii="Times New Roman" w:eastAsia="Times New Roman" w:hAnsi="Times New Roman" w:cs="Times New Roman"/>
          <w:color w:val="000000"/>
          <w:sz w:val="24"/>
          <w:szCs w:val="24"/>
          <w:lang w:eastAsia="lv-LV"/>
        </w:rPr>
        <w:t xml:space="preserve">Sausās vidēji auglīgās un nabadzīgās </w:t>
      </w:r>
      <w:proofErr w:type="spellStart"/>
      <w:r w:rsidRPr="00A07F29">
        <w:rPr>
          <w:rFonts w:ascii="Times New Roman" w:eastAsia="Times New Roman" w:hAnsi="Times New Roman" w:cs="Times New Roman"/>
          <w:color w:val="000000"/>
          <w:sz w:val="24"/>
          <w:szCs w:val="24"/>
          <w:lang w:eastAsia="lv-LV"/>
        </w:rPr>
        <w:t>augtenēs</w:t>
      </w:r>
      <w:proofErr w:type="spellEnd"/>
      <w:r w:rsidRPr="00A07F29">
        <w:rPr>
          <w:rFonts w:ascii="Times New Roman" w:eastAsia="Times New Roman" w:hAnsi="Times New Roman" w:cs="Times New Roman"/>
          <w:color w:val="000000"/>
          <w:sz w:val="24"/>
          <w:szCs w:val="24"/>
          <w:lang w:eastAsia="lv-LV"/>
        </w:rPr>
        <w:t xml:space="preserve"> Daugavas ielejas </w:t>
      </w:r>
      <w:proofErr w:type="spellStart"/>
      <w:r w:rsidRPr="00A07F29">
        <w:rPr>
          <w:rFonts w:ascii="Times New Roman" w:eastAsia="Times New Roman" w:hAnsi="Times New Roman" w:cs="Times New Roman"/>
          <w:color w:val="000000"/>
          <w:sz w:val="24"/>
          <w:szCs w:val="24"/>
          <w:lang w:eastAsia="lv-LV"/>
        </w:rPr>
        <w:t>virspalu</w:t>
      </w:r>
      <w:proofErr w:type="spellEnd"/>
      <w:r w:rsidRPr="00A07F29">
        <w:rPr>
          <w:rFonts w:ascii="Times New Roman" w:eastAsia="Times New Roman" w:hAnsi="Times New Roman" w:cs="Times New Roman"/>
          <w:color w:val="000000"/>
          <w:sz w:val="24"/>
          <w:szCs w:val="24"/>
          <w:lang w:eastAsia="lv-LV"/>
        </w:rPr>
        <w:t xml:space="preserve"> terasēs, palienēs un citu ilglaicīgu pļavu un ganību platībās konstatēts biotops 6270*</w:t>
      </w:r>
      <w:r w:rsidR="00391C88">
        <w:rPr>
          <w:rFonts w:ascii="Times New Roman" w:eastAsia="Times New Roman" w:hAnsi="Times New Roman" w:cs="Times New Roman"/>
          <w:color w:val="000000"/>
          <w:sz w:val="24"/>
          <w:szCs w:val="24"/>
          <w:lang w:eastAsia="lv-LV"/>
        </w:rPr>
        <w:t> </w:t>
      </w:r>
      <w:r w:rsidRPr="00A07F29">
        <w:rPr>
          <w:rFonts w:ascii="Times New Roman" w:eastAsia="Times New Roman" w:hAnsi="Times New Roman" w:cs="Times New Roman"/>
          <w:i/>
          <w:iCs/>
          <w:color w:val="000000"/>
          <w:sz w:val="24"/>
          <w:szCs w:val="24"/>
          <w:lang w:eastAsia="lv-LV"/>
        </w:rPr>
        <w:t>Sugām bagātas ganības un ganītas pļavas</w:t>
      </w:r>
      <w:r w:rsidRPr="00A07F29">
        <w:rPr>
          <w:rFonts w:ascii="Times New Roman" w:eastAsia="Times New Roman" w:hAnsi="Times New Roman" w:cs="Times New Roman"/>
          <w:color w:val="000000"/>
          <w:sz w:val="24"/>
          <w:szCs w:val="24"/>
          <w:lang w:eastAsia="lv-LV"/>
        </w:rPr>
        <w:t xml:space="preserve"> </w:t>
      </w:r>
      <w:r w:rsidR="00E361D7" w:rsidRPr="00A07F29">
        <w:rPr>
          <w:rFonts w:ascii="Times New Roman" w:eastAsia="Times New Roman" w:hAnsi="Times New Roman" w:cs="Times New Roman"/>
          <w:color w:val="000000"/>
          <w:sz w:val="24"/>
          <w:szCs w:val="24"/>
          <w:lang w:eastAsia="lv-LV"/>
        </w:rPr>
        <w:t>245,78</w:t>
      </w:r>
      <w:r w:rsidR="00391C88">
        <w:rPr>
          <w:rFonts w:ascii="Times New Roman" w:eastAsia="Times New Roman" w:hAnsi="Times New Roman" w:cs="Times New Roman"/>
          <w:color w:val="000000"/>
          <w:sz w:val="24"/>
          <w:szCs w:val="24"/>
          <w:lang w:eastAsia="lv-LV"/>
        </w:rPr>
        <w:t> </w:t>
      </w:r>
      <w:r w:rsidRPr="00A07F29">
        <w:rPr>
          <w:rFonts w:ascii="Times New Roman" w:eastAsia="Times New Roman" w:hAnsi="Times New Roman" w:cs="Times New Roman"/>
          <w:color w:val="000000"/>
          <w:sz w:val="24"/>
          <w:szCs w:val="24"/>
          <w:lang w:eastAsia="lv-LV"/>
        </w:rPr>
        <w:t>ha platībā</w:t>
      </w:r>
      <w:r w:rsidR="7CBF1ED8" w:rsidRPr="00A07F29">
        <w:rPr>
          <w:rFonts w:ascii="Times New Roman" w:eastAsia="Times New Roman" w:hAnsi="Times New Roman" w:cs="Times New Roman"/>
          <w:color w:val="000000" w:themeColor="text1"/>
          <w:sz w:val="24"/>
          <w:szCs w:val="24"/>
          <w:lang w:eastAsia="lv-LV"/>
        </w:rPr>
        <w:t>.</w:t>
      </w:r>
      <w:r w:rsidRPr="00A07F29">
        <w:rPr>
          <w:rFonts w:ascii="Times New Roman" w:eastAsia="Times New Roman" w:hAnsi="Times New Roman" w:cs="Times New Roman"/>
          <w:color w:val="000000"/>
          <w:sz w:val="24"/>
          <w:szCs w:val="24"/>
          <w:lang w:eastAsia="lv-LV"/>
        </w:rPr>
        <w:t xml:space="preserve"> </w:t>
      </w:r>
      <w:r w:rsidR="66BEEF07" w:rsidRPr="00A07F29">
        <w:rPr>
          <w:rFonts w:ascii="Times New Roman" w:eastAsia="Times New Roman" w:hAnsi="Times New Roman" w:cs="Times New Roman"/>
          <w:color w:val="000000" w:themeColor="text1"/>
          <w:sz w:val="24"/>
          <w:szCs w:val="24"/>
          <w:lang w:eastAsia="lv-LV"/>
        </w:rPr>
        <w:t>K</w:t>
      </w:r>
      <w:r w:rsidRPr="00A07F29">
        <w:rPr>
          <w:rFonts w:ascii="Times New Roman" w:eastAsia="Times New Roman" w:hAnsi="Times New Roman" w:cs="Times New Roman"/>
          <w:color w:val="000000"/>
          <w:sz w:val="24"/>
          <w:szCs w:val="24"/>
          <w:lang w:eastAsia="lv-LV"/>
        </w:rPr>
        <w:t>onstatēti biotopa 6270*</w:t>
      </w:r>
      <w:r w:rsidR="00391C88">
        <w:rPr>
          <w:rFonts w:ascii="Times New Roman" w:eastAsia="Times New Roman" w:hAnsi="Times New Roman" w:cs="Times New Roman"/>
          <w:color w:val="000000"/>
          <w:sz w:val="24"/>
          <w:szCs w:val="24"/>
          <w:lang w:eastAsia="lv-LV"/>
        </w:rPr>
        <w:t> </w:t>
      </w:r>
      <w:r w:rsidRPr="00A07F29">
        <w:rPr>
          <w:rFonts w:ascii="Times New Roman" w:eastAsia="Times New Roman" w:hAnsi="Times New Roman" w:cs="Times New Roman"/>
          <w:i/>
          <w:iCs/>
          <w:color w:val="000000"/>
          <w:sz w:val="24"/>
          <w:szCs w:val="24"/>
          <w:lang w:eastAsia="lv-LV"/>
        </w:rPr>
        <w:t>Sugām bagātas ganības un ganību pļavas</w:t>
      </w:r>
      <w:r w:rsidRPr="00A07F29">
        <w:rPr>
          <w:rFonts w:ascii="Times New Roman" w:eastAsia="Times New Roman" w:hAnsi="Times New Roman" w:cs="Times New Roman"/>
          <w:color w:val="000000"/>
          <w:sz w:val="24"/>
          <w:szCs w:val="24"/>
          <w:lang w:eastAsia="lv-LV"/>
        </w:rPr>
        <w:t xml:space="preserve"> visi varianti: 1.</w:t>
      </w:r>
      <w:r w:rsidR="00391C88">
        <w:rPr>
          <w:rFonts w:ascii="Times New Roman" w:eastAsia="Times New Roman" w:hAnsi="Times New Roman" w:cs="Times New Roman"/>
          <w:color w:val="000000"/>
          <w:sz w:val="24"/>
          <w:szCs w:val="24"/>
          <w:lang w:eastAsia="lv-LV"/>
        </w:rPr>
        <w:t> </w:t>
      </w:r>
      <w:r w:rsidRPr="00A07F29">
        <w:rPr>
          <w:rFonts w:ascii="Times New Roman" w:eastAsia="Times New Roman" w:hAnsi="Times New Roman" w:cs="Times New Roman"/>
          <w:color w:val="000000"/>
          <w:sz w:val="24"/>
          <w:szCs w:val="24"/>
          <w:lang w:eastAsia="lv-LV"/>
        </w:rPr>
        <w:t>variants (tipiskais); 2.</w:t>
      </w:r>
      <w:r w:rsidR="00391C88">
        <w:rPr>
          <w:rFonts w:ascii="Times New Roman" w:eastAsia="Times New Roman" w:hAnsi="Times New Roman" w:cs="Times New Roman"/>
          <w:color w:val="000000"/>
          <w:sz w:val="24"/>
          <w:szCs w:val="24"/>
          <w:lang w:eastAsia="lv-LV"/>
        </w:rPr>
        <w:t> </w:t>
      </w:r>
      <w:r w:rsidRPr="00A07F29">
        <w:rPr>
          <w:rFonts w:ascii="Times New Roman" w:eastAsia="Times New Roman" w:hAnsi="Times New Roman" w:cs="Times New Roman"/>
          <w:color w:val="000000"/>
          <w:sz w:val="24"/>
          <w:szCs w:val="24"/>
          <w:lang w:eastAsia="lv-LV"/>
        </w:rPr>
        <w:t>variants (nabadzīgu augšņu) un 3.</w:t>
      </w:r>
      <w:r w:rsidR="00391C88">
        <w:rPr>
          <w:rFonts w:ascii="Times New Roman" w:eastAsia="Times New Roman" w:hAnsi="Times New Roman" w:cs="Times New Roman"/>
          <w:color w:val="000000"/>
          <w:sz w:val="24"/>
          <w:szCs w:val="24"/>
          <w:lang w:eastAsia="lv-LV"/>
        </w:rPr>
        <w:t> </w:t>
      </w:r>
      <w:r w:rsidRPr="00A07F29">
        <w:rPr>
          <w:rFonts w:ascii="Times New Roman" w:eastAsia="Times New Roman" w:hAnsi="Times New Roman" w:cs="Times New Roman"/>
          <w:color w:val="000000"/>
          <w:sz w:val="24"/>
          <w:szCs w:val="24"/>
          <w:lang w:eastAsia="lv-LV"/>
        </w:rPr>
        <w:t xml:space="preserve">variants (mitrais). Biotopam raksturīgs vidēji augsts un sugām bagāts zelmenis. Raksturīgās sugas ir parastā </w:t>
      </w:r>
      <w:proofErr w:type="spellStart"/>
      <w:r w:rsidRPr="00A07F29">
        <w:rPr>
          <w:rFonts w:ascii="Times New Roman" w:eastAsia="Times New Roman" w:hAnsi="Times New Roman" w:cs="Times New Roman"/>
          <w:color w:val="000000"/>
          <w:sz w:val="24"/>
          <w:szCs w:val="24"/>
          <w:lang w:eastAsia="lv-LV"/>
        </w:rPr>
        <w:t>smaržzāle</w:t>
      </w:r>
      <w:proofErr w:type="spellEnd"/>
      <w:r w:rsidRPr="00A07F29">
        <w:rPr>
          <w:rFonts w:ascii="Times New Roman" w:eastAsia="Times New Roman" w:hAnsi="Times New Roman" w:cs="Times New Roman"/>
          <w:color w:val="000000"/>
          <w:sz w:val="24"/>
          <w:szCs w:val="24"/>
          <w:lang w:eastAsia="lv-LV"/>
        </w:rPr>
        <w:t xml:space="preserve"> </w:t>
      </w:r>
      <w:proofErr w:type="spellStart"/>
      <w:r w:rsidRPr="00A07F29">
        <w:rPr>
          <w:rFonts w:ascii="Times New Roman" w:eastAsia="Times New Roman" w:hAnsi="Times New Roman" w:cs="Times New Roman"/>
          <w:i/>
          <w:iCs/>
          <w:color w:val="000000"/>
          <w:sz w:val="24"/>
          <w:szCs w:val="24"/>
          <w:lang w:eastAsia="lv-LV"/>
        </w:rPr>
        <w:t>Anthoxanthum</w:t>
      </w:r>
      <w:proofErr w:type="spellEnd"/>
      <w:r w:rsidRPr="00A07F29">
        <w:rPr>
          <w:rFonts w:ascii="Times New Roman" w:eastAsia="Times New Roman" w:hAnsi="Times New Roman" w:cs="Times New Roman"/>
          <w:i/>
          <w:iCs/>
          <w:color w:val="000000"/>
          <w:sz w:val="24"/>
          <w:szCs w:val="24"/>
          <w:lang w:eastAsia="lv-LV"/>
        </w:rPr>
        <w:t xml:space="preserve"> </w:t>
      </w:r>
      <w:proofErr w:type="spellStart"/>
      <w:r w:rsidRPr="00A07F29">
        <w:rPr>
          <w:rFonts w:ascii="Times New Roman" w:eastAsia="Times New Roman" w:hAnsi="Times New Roman" w:cs="Times New Roman"/>
          <w:i/>
          <w:iCs/>
          <w:color w:val="000000"/>
          <w:sz w:val="24"/>
          <w:szCs w:val="24"/>
          <w:lang w:eastAsia="lv-LV"/>
        </w:rPr>
        <w:t>odoratum</w:t>
      </w:r>
      <w:proofErr w:type="spellEnd"/>
      <w:r w:rsidRPr="00A07F29">
        <w:rPr>
          <w:rFonts w:ascii="Times New Roman" w:eastAsia="Times New Roman" w:hAnsi="Times New Roman" w:cs="Times New Roman"/>
          <w:color w:val="000000"/>
          <w:sz w:val="24"/>
          <w:szCs w:val="24"/>
          <w:lang w:eastAsia="lv-LV"/>
        </w:rPr>
        <w:t xml:space="preserve">, parastais vizulis </w:t>
      </w:r>
      <w:proofErr w:type="spellStart"/>
      <w:r w:rsidRPr="00A07F29">
        <w:rPr>
          <w:rFonts w:ascii="Times New Roman" w:eastAsia="Times New Roman" w:hAnsi="Times New Roman" w:cs="Times New Roman"/>
          <w:i/>
          <w:iCs/>
          <w:color w:val="000000"/>
          <w:sz w:val="24"/>
          <w:szCs w:val="24"/>
          <w:lang w:eastAsia="lv-LV"/>
        </w:rPr>
        <w:t>Briza</w:t>
      </w:r>
      <w:proofErr w:type="spellEnd"/>
      <w:r w:rsidRPr="00A07F29">
        <w:rPr>
          <w:rFonts w:ascii="Times New Roman" w:eastAsia="Times New Roman" w:hAnsi="Times New Roman" w:cs="Times New Roman"/>
          <w:i/>
          <w:iCs/>
          <w:color w:val="000000"/>
          <w:sz w:val="24"/>
          <w:szCs w:val="24"/>
          <w:lang w:eastAsia="lv-LV"/>
        </w:rPr>
        <w:t xml:space="preserve"> </w:t>
      </w:r>
      <w:proofErr w:type="spellStart"/>
      <w:r w:rsidRPr="00A07F29">
        <w:rPr>
          <w:rFonts w:ascii="Times New Roman" w:eastAsia="Times New Roman" w:hAnsi="Times New Roman" w:cs="Times New Roman"/>
          <w:i/>
          <w:iCs/>
          <w:color w:val="000000"/>
          <w:sz w:val="24"/>
          <w:szCs w:val="24"/>
          <w:lang w:eastAsia="lv-LV"/>
        </w:rPr>
        <w:t>media</w:t>
      </w:r>
      <w:proofErr w:type="spellEnd"/>
      <w:r w:rsidRPr="00A07F29">
        <w:rPr>
          <w:rFonts w:ascii="Times New Roman" w:eastAsia="Times New Roman" w:hAnsi="Times New Roman" w:cs="Times New Roman"/>
          <w:color w:val="000000"/>
          <w:sz w:val="24"/>
          <w:szCs w:val="24"/>
          <w:lang w:eastAsia="lv-LV"/>
        </w:rPr>
        <w:t xml:space="preserve">, dzirkstelīte </w:t>
      </w:r>
      <w:proofErr w:type="spellStart"/>
      <w:r w:rsidRPr="00A07F29">
        <w:rPr>
          <w:rFonts w:ascii="Times New Roman" w:eastAsia="Times New Roman" w:hAnsi="Times New Roman" w:cs="Times New Roman"/>
          <w:i/>
          <w:iCs/>
          <w:color w:val="000000"/>
          <w:sz w:val="24"/>
          <w:szCs w:val="24"/>
          <w:lang w:eastAsia="lv-LV"/>
        </w:rPr>
        <w:t>Diantus</w:t>
      </w:r>
      <w:proofErr w:type="spellEnd"/>
      <w:r w:rsidRPr="00A07F29">
        <w:rPr>
          <w:rFonts w:ascii="Times New Roman" w:eastAsia="Times New Roman" w:hAnsi="Times New Roman" w:cs="Times New Roman"/>
          <w:i/>
          <w:iCs/>
          <w:color w:val="000000"/>
          <w:sz w:val="24"/>
          <w:szCs w:val="24"/>
          <w:lang w:eastAsia="lv-LV"/>
        </w:rPr>
        <w:t xml:space="preserve"> </w:t>
      </w:r>
      <w:proofErr w:type="spellStart"/>
      <w:r w:rsidRPr="00A07F29">
        <w:rPr>
          <w:rFonts w:ascii="Times New Roman" w:eastAsia="Times New Roman" w:hAnsi="Times New Roman" w:cs="Times New Roman"/>
          <w:i/>
          <w:iCs/>
          <w:color w:val="000000"/>
          <w:sz w:val="24"/>
          <w:szCs w:val="24"/>
          <w:lang w:eastAsia="lv-LV"/>
        </w:rPr>
        <w:t>deltoides</w:t>
      </w:r>
      <w:proofErr w:type="spellEnd"/>
      <w:r w:rsidRPr="00A07F29">
        <w:rPr>
          <w:rFonts w:ascii="Times New Roman" w:eastAsia="Times New Roman" w:hAnsi="Times New Roman" w:cs="Times New Roman"/>
          <w:color w:val="000000"/>
          <w:sz w:val="24"/>
          <w:szCs w:val="24"/>
          <w:lang w:eastAsia="lv-LV"/>
        </w:rPr>
        <w:t xml:space="preserve">, </w:t>
      </w:r>
      <w:r w:rsidRPr="00A07F29">
        <w:rPr>
          <w:rFonts w:ascii="Times New Roman" w:eastAsia="Times New Roman" w:hAnsi="Times New Roman" w:cs="Times New Roman"/>
          <w:color w:val="000000"/>
          <w:sz w:val="24"/>
          <w:szCs w:val="24"/>
          <w:lang w:eastAsia="lv-LV"/>
        </w:rPr>
        <w:lastRenderedPageBreak/>
        <w:t xml:space="preserve">sarkanā auzene </w:t>
      </w:r>
      <w:proofErr w:type="spellStart"/>
      <w:r w:rsidRPr="00A07F29">
        <w:rPr>
          <w:rFonts w:ascii="Times New Roman" w:eastAsia="Times New Roman" w:hAnsi="Times New Roman" w:cs="Times New Roman"/>
          <w:i/>
          <w:iCs/>
          <w:color w:val="000000"/>
          <w:sz w:val="24"/>
          <w:szCs w:val="24"/>
          <w:lang w:eastAsia="lv-LV"/>
        </w:rPr>
        <w:t>Festuca</w:t>
      </w:r>
      <w:proofErr w:type="spellEnd"/>
      <w:r w:rsidRPr="00A07F29">
        <w:rPr>
          <w:rFonts w:ascii="Times New Roman" w:eastAsia="Times New Roman" w:hAnsi="Times New Roman" w:cs="Times New Roman"/>
          <w:i/>
          <w:iCs/>
          <w:color w:val="000000"/>
          <w:sz w:val="24"/>
          <w:szCs w:val="24"/>
          <w:lang w:eastAsia="lv-LV"/>
        </w:rPr>
        <w:t xml:space="preserve"> </w:t>
      </w:r>
      <w:proofErr w:type="spellStart"/>
      <w:r w:rsidRPr="00A07F29">
        <w:rPr>
          <w:rFonts w:ascii="Times New Roman" w:eastAsia="Times New Roman" w:hAnsi="Times New Roman" w:cs="Times New Roman"/>
          <w:i/>
          <w:iCs/>
          <w:color w:val="000000"/>
          <w:sz w:val="24"/>
          <w:szCs w:val="24"/>
          <w:lang w:eastAsia="lv-LV"/>
        </w:rPr>
        <w:t>rubra</w:t>
      </w:r>
      <w:proofErr w:type="spellEnd"/>
      <w:r w:rsidRPr="00A07F29">
        <w:rPr>
          <w:rFonts w:ascii="Times New Roman" w:eastAsia="Times New Roman" w:hAnsi="Times New Roman" w:cs="Times New Roman"/>
          <w:color w:val="000000"/>
          <w:sz w:val="24"/>
          <w:szCs w:val="24"/>
          <w:lang w:eastAsia="lv-LV"/>
        </w:rPr>
        <w:t xml:space="preserve">, parastā smilga </w:t>
      </w:r>
      <w:proofErr w:type="spellStart"/>
      <w:r w:rsidRPr="00A07F29">
        <w:rPr>
          <w:rFonts w:ascii="Times New Roman" w:eastAsia="Times New Roman" w:hAnsi="Times New Roman" w:cs="Times New Roman"/>
          <w:i/>
          <w:iCs/>
          <w:color w:val="000000"/>
          <w:sz w:val="24"/>
          <w:szCs w:val="24"/>
          <w:lang w:eastAsia="lv-LV"/>
        </w:rPr>
        <w:t>Agrostis</w:t>
      </w:r>
      <w:proofErr w:type="spellEnd"/>
      <w:r w:rsidRPr="00A07F29">
        <w:rPr>
          <w:rFonts w:ascii="Times New Roman" w:eastAsia="Times New Roman" w:hAnsi="Times New Roman" w:cs="Times New Roman"/>
          <w:i/>
          <w:iCs/>
          <w:color w:val="000000"/>
          <w:sz w:val="24"/>
          <w:szCs w:val="24"/>
          <w:lang w:eastAsia="lv-LV"/>
        </w:rPr>
        <w:t xml:space="preserve"> </w:t>
      </w:r>
      <w:proofErr w:type="spellStart"/>
      <w:r w:rsidRPr="00A07F29">
        <w:rPr>
          <w:rFonts w:ascii="Times New Roman" w:eastAsia="Times New Roman" w:hAnsi="Times New Roman" w:cs="Times New Roman"/>
          <w:i/>
          <w:iCs/>
          <w:color w:val="000000"/>
          <w:sz w:val="24"/>
          <w:szCs w:val="24"/>
          <w:lang w:eastAsia="lv-LV"/>
        </w:rPr>
        <w:t>tenuis</w:t>
      </w:r>
      <w:proofErr w:type="spellEnd"/>
      <w:r w:rsidRPr="00A07F29">
        <w:rPr>
          <w:rFonts w:ascii="Times New Roman" w:eastAsia="Times New Roman" w:hAnsi="Times New Roman" w:cs="Times New Roman"/>
          <w:color w:val="000000"/>
          <w:sz w:val="24"/>
          <w:szCs w:val="24"/>
          <w:lang w:eastAsia="lv-LV"/>
        </w:rPr>
        <w:t xml:space="preserve">, spradzene </w:t>
      </w:r>
      <w:proofErr w:type="spellStart"/>
      <w:r w:rsidRPr="00A07F29">
        <w:rPr>
          <w:rFonts w:ascii="Times New Roman" w:eastAsia="Times New Roman" w:hAnsi="Times New Roman" w:cs="Times New Roman"/>
          <w:i/>
          <w:iCs/>
          <w:color w:val="000000"/>
          <w:sz w:val="24"/>
          <w:szCs w:val="24"/>
          <w:lang w:eastAsia="lv-LV"/>
        </w:rPr>
        <w:t>Fragaria</w:t>
      </w:r>
      <w:proofErr w:type="spellEnd"/>
      <w:r w:rsidRPr="00A07F29">
        <w:rPr>
          <w:rFonts w:ascii="Times New Roman" w:eastAsia="Times New Roman" w:hAnsi="Times New Roman" w:cs="Times New Roman"/>
          <w:i/>
          <w:iCs/>
          <w:color w:val="000000"/>
          <w:sz w:val="24"/>
          <w:szCs w:val="24"/>
          <w:lang w:eastAsia="lv-LV"/>
        </w:rPr>
        <w:t xml:space="preserve"> </w:t>
      </w:r>
      <w:proofErr w:type="spellStart"/>
      <w:r w:rsidRPr="00A07F29">
        <w:rPr>
          <w:rFonts w:ascii="Times New Roman" w:eastAsia="Times New Roman" w:hAnsi="Times New Roman" w:cs="Times New Roman"/>
          <w:i/>
          <w:iCs/>
          <w:color w:val="000000"/>
          <w:sz w:val="24"/>
          <w:szCs w:val="24"/>
          <w:lang w:eastAsia="lv-LV"/>
        </w:rPr>
        <w:t>viridis</w:t>
      </w:r>
      <w:proofErr w:type="spellEnd"/>
      <w:r w:rsidRPr="00A07F29">
        <w:rPr>
          <w:rFonts w:ascii="Times New Roman" w:eastAsia="Times New Roman" w:hAnsi="Times New Roman" w:cs="Times New Roman"/>
          <w:i/>
          <w:iCs/>
          <w:color w:val="000000"/>
          <w:sz w:val="24"/>
          <w:szCs w:val="24"/>
          <w:lang w:eastAsia="lv-LV"/>
        </w:rPr>
        <w:t>,</w:t>
      </w:r>
      <w:r w:rsidRPr="00A07F29">
        <w:rPr>
          <w:rFonts w:ascii="Times New Roman" w:eastAsia="Times New Roman" w:hAnsi="Times New Roman" w:cs="Times New Roman"/>
          <w:color w:val="000000"/>
          <w:sz w:val="24"/>
          <w:szCs w:val="24"/>
          <w:lang w:eastAsia="lv-LV"/>
        </w:rPr>
        <w:t xml:space="preserve"> gaiļbiksīte </w:t>
      </w:r>
      <w:proofErr w:type="spellStart"/>
      <w:r w:rsidRPr="00A07F29">
        <w:rPr>
          <w:rFonts w:ascii="Times New Roman" w:eastAsia="Times New Roman" w:hAnsi="Times New Roman" w:cs="Times New Roman"/>
          <w:i/>
          <w:iCs/>
          <w:color w:val="000000"/>
          <w:sz w:val="24"/>
          <w:szCs w:val="24"/>
          <w:lang w:eastAsia="lv-LV"/>
        </w:rPr>
        <w:t>Primula</w:t>
      </w:r>
      <w:proofErr w:type="spellEnd"/>
      <w:r w:rsidRPr="00A07F29">
        <w:rPr>
          <w:rFonts w:ascii="Times New Roman" w:eastAsia="Times New Roman" w:hAnsi="Times New Roman" w:cs="Times New Roman"/>
          <w:i/>
          <w:iCs/>
          <w:color w:val="000000"/>
          <w:sz w:val="24"/>
          <w:szCs w:val="24"/>
          <w:lang w:eastAsia="lv-LV"/>
        </w:rPr>
        <w:t xml:space="preserve"> </w:t>
      </w:r>
      <w:proofErr w:type="spellStart"/>
      <w:r w:rsidRPr="00A07F29">
        <w:rPr>
          <w:rFonts w:ascii="Times New Roman" w:eastAsia="Times New Roman" w:hAnsi="Times New Roman" w:cs="Times New Roman"/>
          <w:i/>
          <w:iCs/>
          <w:color w:val="000000"/>
          <w:sz w:val="24"/>
          <w:szCs w:val="24"/>
          <w:lang w:eastAsia="lv-LV"/>
        </w:rPr>
        <w:t>veris</w:t>
      </w:r>
      <w:proofErr w:type="spellEnd"/>
      <w:r w:rsidRPr="00A07F29">
        <w:rPr>
          <w:rFonts w:ascii="Times New Roman" w:eastAsia="Times New Roman" w:hAnsi="Times New Roman" w:cs="Times New Roman"/>
          <w:color w:val="000000"/>
          <w:sz w:val="24"/>
          <w:szCs w:val="24"/>
          <w:lang w:eastAsia="lv-LV"/>
        </w:rPr>
        <w:t xml:space="preserve">, ložņu āboliņš </w:t>
      </w:r>
      <w:proofErr w:type="spellStart"/>
      <w:r w:rsidRPr="00A07F29">
        <w:rPr>
          <w:rFonts w:ascii="Times New Roman" w:eastAsia="Times New Roman" w:hAnsi="Times New Roman" w:cs="Times New Roman"/>
          <w:i/>
          <w:iCs/>
          <w:color w:val="000000"/>
          <w:sz w:val="24"/>
          <w:szCs w:val="24"/>
          <w:lang w:eastAsia="lv-LV"/>
        </w:rPr>
        <w:t>Trifolium</w:t>
      </w:r>
      <w:proofErr w:type="spellEnd"/>
      <w:r w:rsidRPr="00A07F29">
        <w:rPr>
          <w:rFonts w:ascii="Times New Roman" w:eastAsia="Times New Roman" w:hAnsi="Times New Roman" w:cs="Times New Roman"/>
          <w:i/>
          <w:iCs/>
          <w:color w:val="000000"/>
          <w:sz w:val="24"/>
          <w:szCs w:val="24"/>
          <w:lang w:eastAsia="lv-LV"/>
        </w:rPr>
        <w:t xml:space="preserve"> </w:t>
      </w:r>
      <w:proofErr w:type="spellStart"/>
      <w:r w:rsidRPr="00A07F29">
        <w:rPr>
          <w:rFonts w:ascii="Times New Roman" w:eastAsia="Times New Roman" w:hAnsi="Times New Roman" w:cs="Times New Roman"/>
          <w:i/>
          <w:iCs/>
          <w:color w:val="000000"/>
          <w:sz w:val="24"/>
          <w:szCs w:val="24"/>
          <w:lang w:eastAsia="lv-LV"/>
        </w:rPr>
        <w:t>repens</w:t>
      </w:r>
      <w:proofErr w:type="spellEnd"/>
      <w:r w:rsidRPr="00A07F29">
        <w:rPr>
          <w:rFonts w:ascii="Times New Roman" w:eastAsia="Times New Roman" w:hAnsi="Times New Roman" w:cs="Times New Roman"/>
          <w:color w:val="000000"/>
          <w:sz w:val="24"/>
          <w:szCs w:val="24"/>
          <w:lang w:eastAsia="lv-LV"/>
        </w:rPr>
        <w:t xml:space="preserve">, vidējā ceļteka </w:t>
      </w:r>
      <w:proofErr w:type="spellStart"/>
      <w:r w:rsidRPr="00A07F29">
        <w:rPr>
          <w:rFonts w:ascii="Times New Roman" w:eastAsia="Times New Roman" w:hAnsi="Times New Roman" w:cs="Times New Roman"/>
          <w:i/>
          <w:iCs/>
          <w:color w:val="000000"/>
          <w:sz w:val="24"/>
          <w:szCs w:val="24"/>
          <w:lang w:eastAsia="lv-LV"/>
        </w:rPr>
        <w:t>Plantago</w:t>
      </w:r>
      <w:proofErr w:type="spellEnd"/>
      <w:r w:rsidRPr="00A07F29">
        <w:rPr>
          <w:rFonts w:ascii="Times New Roman" w:eastAsia="Times New Roman" w:hAnsi="Times New Roman" w:cs="Times New Roman"/>
          <w:i/>
          <w:iCs/>
          <w:color w:val="000000"/>
          <w:sz w:val="24"/>
          <w:szCs w:val="24"/>
          <w:lang w:eastAsia="lv-LV"/>
        </w:rPr>
        <w:t xml:space="preserve"> </w:t>
      </w:r>
      <w:proofErr w:type="spellStart"/>
      <w:r w:rsidRPr="00A07F29">
        <w:rPr>
          <w:rFonts w:ascii="Times New Roman" w:eastAsia="Times New Roman" w:hAnsi="Times New Roman" w:cs="Times New Roman"/>
          <w:i/>
          <w:iCs/>
          <w:color w:val="000000"/>
          <w:sz w:val="24"/>
          <w:szCs w:val="24"/>
          <w:lang w:eastAsia="lv-LV"/>
        </w:rPr>
        <w:t>media</w:t>
      </w:r>
      <w:proofErr w:type="spellEnd"/>
      <w:r w:rsidRPr="00A07F29">
        <w:rPr>
          <w:rFonts w:ascii="Times New Roman" w:eastAsia="Times New Roman" w:hAnsi="Times New Roman" w:cs="Times New Roman"/>
          <w:i/>
          <w:iCs/>
          <w:color w:val="000000"/>
          <w:sz w:val="24"/>
          <w:szCs w:val="24"/>
          <w:lang w:eastAsia="lv-LV"/>
        </w:rPr>
        <w:t xml:space="preserve"> </w:t>
      </w:r>
      <w:r w:rsidRPr="00A07F29">
        <w:rPr>
          <w:rFonts w:ascii="Times New Roman" w:eastAsia="Times New Roman" w:hAnsi="Times New Roman" w:cs="Times New Roman"/>
          <w:color w:val="000000"/>
          <w:sz w:val="24"/>
          <w:szCs w:val="24"/>
          <w:lang w:eastAsia="lv-LV"/>
        </w:rPr>
        <w:t xml:space="preserve">un </w:t>
      </w:r>
      <w:proofErr w:type="spellStart"/>
      <w:r w:rsidRPr="00A07F29">
        <w:rPr>
          <w:rFonts w:ascii="Times New Roman" w:eastAsia="Times New Roman" w:hAnsi="Times New Roman" w:cs="Times New Roman"/>
          <w:color w:val="000000"/>
          <w:sz w:val="24"/>
          <w:szCs w:val="24"/>
          <w:lang w:eastAsia="lv-LV"/>
        </w:rPr>
        <w:t>šaurlapu</w:t>
      </w:r>
      <w:proofErr w:type="spellEnd"/>
      <w:r w:rsidRPr="00A07F29">
        <w:rPr>
          <w:rFonts w:ascii="Times New Roman" w:eastAsia="Times New Roman" w:hAnsi="Times New Roman" w:cs="Times New Roman"/>
          <w:color w:val="000000"/>
          <w:sz w:val="24"/>
          <w:szCs w:val="24"/>
          <w:lang w:eastAsia="lv-LV"/>
        </w:rPr>
        <w:t xml:space="preserve"> ceļteka</w:t>
      </w:r>
      <w:r w:rsidRPr="00A07F29">
        <w:rPr>
          <w:rFonts w:ascii="Times New Roman" w:eastAsia="Times New Roman" w:hAnsi="Times New Roman" w:cs="Times New Roman"/>
          <w:i/>
          <w:iCs/>
          <w:color w:val="000000"/>
          <w:sz w:val="24"/>
          <w:szCs w:val="24"/>
          <w:lang w:eastAsia="lv-LV"/>
        </w:rPr>
        <w:t xml:space="preserve"> </w:t>
      </w:r>
      <w:proofErr w:type="spellStart"/>
      <w:r w:rsidRPr="00A07F29">
        <w:rPr>
          <w:rFonts w:ascii="Times New Roman" w:eastAsia="Times New Roman" w:hAnsi="Times New Roman" w:cs="Times New Roman"/>
          <w:i/>
          <w:iCs/>
          <w:color w:val="000000"/>
          <w:sz w:val="24"/>
          <w:szCs w:val="24"/>
          <w:lang w:eastAsia="lv-LV"/>
        </w:rPr>
        <w:t>Plantago</w:t>
      </w:r>
      <w:proofErr w:type="spellEnd"/>
      <w:r w:rsidRPr="00A07F29">
        <w:rPr>
          <w:rFonts w:ascii="Times New Roman" w:eastAsia="Times New Roman" w:hAnsi="Times New Roman" w:cs="Times New Roman"/>
          <w:i/>
          <w:iCs/>
          <w:color w:val="000000"/>
          <w:sz w:val="24"/>
          <w:szCs w:val="24"/>
          <w:lang w:eastAsia="lv-LV"/>
        </w:rPr>
        <w:t xml:space="preserve"> </w:t>
      </w:r>
      <w:proofErr w:type="spellStart"/>
      <w:r w:rsidRPr="00A07F29">
        <w:rPr>
          <w:rFonts w:ascii="Times New Roman" w:eastAsia="Times New Roman" w:hAnsi="Times New Roman" w:cs="Times New Roman"/>
          <w:i/>
          <w:iCs/>
          <w:color w:val="000000"/>
          <w:sz w:val="24"/>
          <w:szCs w:val="24"/>
          <w:lang w:eastAsia="lv-LV"/>
        </w:rPr>
        <w:t>lanceolata</w:t>
      </w:r>
      <w:proofErr w:type="spellEnd"/>
      <w:r w:rsidRPr="00A07F29">
        <w:rPr>
          <w:rFonts w:ascii="Times New Roman" w:eastAsia="Times New Roman" w:hAnsi="Times New Roman" w:cs="Times New Roman"/>
          <w:color w:val="000000"/>
          <w:sz w:val="24"/>
          <w:szCs w:val="24"/>
          <w:lang w:eastAsia="lv-LV"/>
        </w:rPr>
        <w:t xml:space="preserve">. Dabisko zālāju </w:t>
      </w:r>
      <w:proofErr w:type="spellStart"/>
      <w:r w:rsidRPr="00A07F29">
        <w:rPr>
          <w:rFonts w:ascii="Times New Roman" w:eastAsia="Times New Roman" w:hAnsi="Times New Roman" w:cs="Times New Roman"/>
          <w:color w:val="000000"/>
          <w:sz w:val="24"/>
          <w:szCs w:val="24"/>
          <w:lang w:eastAsia="lv-LV"/>
        </w:rPr>
        <w:t>indikatorsugu</w:t>
      </w:r>
      <w:proofErr w:type="spellEnd"/>
      <w:r w:rsidRPr="00A07F29">
        <w:rPr>
          <w:rFonts w:ascii="Times New Roman" w:eastAsia="Times New Roman" w:hAnsi="Times New Roman" w:cs="Times New Roman"/>
          <w:color w:val="000000"/>
          <w:sz w:val="24"/>
          <w:szCs w:val="24"/>
          <w:lang w:eastAsia="lv-LV"/>
        </w:rPr>
        <w:t xml:space="preserve"> skaits parasti </w:t>
      </w:r>
      <w:r w:rsidR="00766693">
        <w:rPr>
          <w:rFonts w:ascii="Times New Roman" w:eastAsia="Times New Roman" w:hAnsi="Times New Roman" w:cs="Times New Roman"/>
          <w:color w:val="000000"/>
          <w:sz w:val="24"/>
          <w:szCs w:val="24"/>
          <w:lang w:eastAsia="lv-LV"/>
        </w:rPr>
        <w:t>piecas</w:t>
      </w:r>
      <w:r w:rsidRPr="00A07F29">
        <w:rPr>
          <w:rFonts w:ascii="Times New Roman" w:eastAsia="Times New Roman" w:hAnsi="Times New Roman" w:cs="Times New Roman"/>
          <w:color w:val="000000"/>
          <w:sz w:val="24"/>
          <w:szCs w:val="24"/>
          <w:lang w:eastAsia="lv-LV"/>
        </w:rPr>
        <w:t xml:space="preserve"> vai </w:t>
      </w:r>
      <w:r w:rsidR="00766693">
        <w:rPr>
          <w:rFonts w:ascii="Times New Roman" w:eastAsia="Times New Roman" w:hAnsi="Times New Roman" w:cs="Times New Roman"/>
          <w:color w:val="000000"/>
          <w:sz w:val="24"/>
          <w:szCs w:val="24"/>
          <w:lang w:eastAsia="lv-LV"/>
        </w:rPr>
        <w:t>sešas</w:t>
      </w:r>
      <w:r w:rsidRPr="00A07F29">
        <w:rPr>
          <w:rFonts w:ascii="Times New Roman" w:eastAsia="Times New Roman" w:hAnsi="Times New Roman" w:cs="Times New Roman"/>
          <w:color w:val="000000"/>
          <w:sz w:val="24"/>
          <w:szCs w:val="24"/>
          <w:lang w:eastAsia="lv-LV"/>
        </w:rPr>
        <w:t xml:space="preserve">, mitrajā variantā pat tikai viena, kas liecina par zālāja slikto kvalitāti. Vērtīgākajos zālājos konstatētas līdz 15 </w:t>
      </w:r>
      <w:proofErr w:type="spellStart"/>
      <w:r w:rsidRPr="00A07F29">
        <w:rPr>
          <w:rFonts w:ascii="Times New Roman" w:eastAsia="Times New Roman" w:hAnsi="Times New Roman" w:cs="Times New Roman"/>
          <w:color w:val="000000"/>
          <w:sz w:val="24"/>
          <w:szCs w:val="24"/>
          <w:lang w:eastAsia="lv-LV"/>
        </w:rPr>
        <w:t>indikatorsugām</w:t>
      </w:r>
      <w:proofErr w:type="spellEnd"/>
      <w:r w:rsidRPr="00A07F29">
        <w:rPr>
          <w:rFonts w:ascii="Times New Roman" w:eastAsia="Times New Roman" w:hAnsi="Times New Roman" w:cs="Times New Roman"/>
          <w:color w:val="000000"/>
          <w:sz w:val="24"/>
          <w:szCs w:val="24"/>
          <w:lang w:eastAsia="lv-LV"/>
        </w:rPr>
        <w:t xml:space="preserve">. Daļa mitro ganību tikusi meliorēta. Sausajā variantā ir liels ekspansīvo sugu – parastās kamolzāles </w:t>
      </w:r>
      <w:proofErr w:type="spellStart"/>
      <w:r w:rsidRPr="00A07F29">
        <w:rPr>
          <w:rFonts w:ascii="Times New Roman" w:eastAsia="Times New Roman" w:hAnsi="Times New Roman" w:cs="Times New Roman"/>
          <w:i/>
          <w:iCs/>
          <w:color w:val="000000"/>
          <w:sz w:val="24"/>
          <w:szCs w:val="24"/>
          <w:lang w:eastAsia="lv-LV"/>
        </w:rPr>
        <w:t>Dactylis</w:t>
      </w:r>
      <w:proofErr w:type="spellEnd"/>
      <w:r w:rsidRPr="00A07F29">
        <w:rPr>
          <w:rFonts w:ascii="Times New Roman" w:eastAsia="Times New Roman" w:hAnsi="Times New Roman" w:cs="Times New Roman"/>
          <w:i/>
          <w:iCs/>
          <w:color w:val="000000"/>
          <w:sz w:val="24"/>
          <w:szCs w:val="24"/>
          <w:lang w:eastAsia="lv-LV"/>
        </w:rPr>
        <w:t xml:space="preserve"> </w:t>
      </w:r>
      <w:proofErr w:type="spellStart"/>
      <w:r w:rsidRPr="00A07F29">
        <w:rPr>
          <w:rFonts w:ascii="Times New Roman" w:eastAsia="Times New Roman" w:hAnsi="Times New Roman" w:cs="Times New Roman"/>
          <w:i/>
          <w:iCs/>
          <w:color w:val="000000"/>
          <w:sz w:val="24"/>
          <w:szCs w:val="24"/>
          <w:lang w:eastAsia="lv-LV"/>
        </w:rPr>
        <w:t>glomerata</w:t>
      </w:r>
      <w:proofErr w:type="spellEnd"/>
      <w:r w:rsidRPr="00A07F29">
        <w:rPr>
          <w:rFonts w:ascii="Times New Roman" w:eastAsia="Times New Roman" w:hAnsi="Times New Roman" w:cs="Times New Roman"/>
          <w:color w:val="000000"/>
          <w:sz w:val="24"/>
          <w:szCs w:val="24"/>
          <w:lang w:eastAsia="lv-LV"/>
        </w:rPr>
        <w:t xml:space="preserve"> un parastā timotiņa </w:t>
      </w:r>
      <w:proofErr w:type="spellStart"/>
      <w:r w:rsidRPr="00A07F29">
        <w:rPr>
          <w:rFonts w:ascii="Times New Roman" w:eastAsia="Times New Roman" w:hAnsi="Times New Roman" w:cs="Times New Roman"/>
          <w:i/>
          <w:iCs/>
          <w:color w:val="000000"/>
          <w:sz w:val="24"/>
          <w:szCs w:val="24"/>
          <w:lang w:eastAsia="lv-LV"/>
        </w:rPr>
        <w:t>Phleum</w:t>
      </w:r>
      <w:proofErr w:type="spellEnd"/>
      <w:r w:rsidRPr="00A07F29">
        <w:rPr>
          <w:rFonts w:ascii="Times New Roman" w:eastAsia="Times New Roman" w:hAnsi="Times New Roman" w:cs="Times New Roman"/>
          <w:i/>
          <w:iCs/>
          <w:color w:val="000000"/>
          <w:sz w:val="24"/>
          <w:szCs w:val="24"/>
          <w:lang w:eastAsia="lv-LV"/>
        </w:rPr>
        <w:t xml:space="preserve"> </w:t>
      </w:r>
      <w:proofErr w:type="spellStart"/>
      <w:r w:rsidRPr="00A07F29">
        <w:rPr>
          <w:rFonts w:ascii="Times New Roman" w:eastAsia="Times New Roman" w:hAnsi="Times New Roman" w:cs="Times New Roman"/>
          <w:i/>
          <w:iCs/>
          <w:color w:val="000000"/>
          <w:sz w:val="24"/>
          <w:szCs w:val="24"/>
          <w:lang w:eastAsia="lv-LV"/>
        </w:rPr>
        <w:t>pratense</w:t>
      </w:r>
      <w:proofErr w:type="spellEnd"/>
      <w:r w:rsidRPr="00A07F29">
        <w:rPr>
          <w:rFonts w:ascii="Times New Roman" w:eastAsia="Times New Roman" w:hAnsi="Times New Roman" w:cs="Times New Roman"/>
          <w:color w:val="000000"/>
          <w:sz w:val="24"/>
          <w:szCs w:val="24"/>
          <w:lang w:eastAsia="lv-LV"/>
        </w:rPr>
        <w:t xml:space="preserve"> blīvums, agrāk kultivētajos zālājos novērojamas arī pļavas auzenes </w:t>
      </w:r>
      <w:proofErr w:type="spellStart"/>
      <w:r w:rsidRPr="00A07F29">
        <w:rPr>
          <w:rFonts w:ascii="Times New Roman" w:eastAsia="Times New Roman" w:hAnsi="Times New Roman" w:cs="Times New Roman"/>
          <w:i/>
          <w:iCs/>
          <w:color w:val="000000"/>
          <w:sz w:val="24"/>
          <w:szCs w:val="24"/>
          <w:lang w:eastAsia="lv-LV"/>
        </w:rPr>
        <w:t>Festuca</w:t>
      </w:r>
      <w:proofErr w:type="spellEnd"/>
      <w:r w:rsidRPr="00A07F29">
        <w:rPr>
          <w:rFonts w:ascii="Times New Roman" w:eastAsia="Times New Roman" w:hAnsi="Times New Roman" w:cs="Times New Roman"/>
          <w:i/>
          <w:iCs/>
          <w:color w:val="000000"/>
          <w:sz w:val="24"/>
          <w:szCs w:val="24"/>
          <w:lang w:eastAsia="lv-LV"/>
        </w:rPr>
        <w:t xml:space="preserve"> </w:t>
      </w:r>
      <w:proofErr w:type="spellStart"/>
      <w:r w:rsidRPr="00A07F29">
        <w:rPr>
          <w:rFonts w:ascii="Times New Roman" w:eastAsia="Times New Roman" w:hAnsi="Times New Roman" w:cs="Times New Roman"/>
          <w:i/>
          <w:iCs/>
          <w:color w:val="000000"/>
          <w:sz w:val="24"/>
          <w:szCs w:val="24"/>
          <w:lang w:eastAsia="lv-LV"/>
        </w:rPr>
        <w:t>pratensis</w:t>
      </w:r>
      <w:proofErr w:type="spellEnd"/>
      <w:r w:rsidRPr="00A07F29">
        <w:rPr>
          <w:rFonts w:ascii="Times New Roman" w:eastAsia="Times New Roman" w:hAnsi="Times New Roman" w:cs="Times New Roman"/>
          <w:color w:val="000000"/>
          <w:sz w:val="24"/>
          <w:szCs w:val="24"/>
          <w:lang w:eastAsia="lv-LV"/>
        </w:rPr>
        <w:t xml:space="preserve"> ekspansijas.</w:t>
      </w:r>
    </w:p>
    <w:p w14:paraId="57643727" w14:textId="060F3661" w:rsidR="002B1603" w:rsidRPr="00A07F29" w:rsidRDefault="003A5237" w:rsidP="003A5237">
      <w:pPr>
        <w:spacing w:after="120" w:line="240" w:lineRule="auto"/>
        <w:ind w:firstLine="851"/>
        <w:jc w:val="both"/>
        <w:rPr>
          <w:rFonts w:ascii="Times New Roman" w:eastAsia="Times New Roman" w:hAnsi="Times New Roman" w:cs="Times New Roman"/>
          <w:color w:val="000000"/>
          <w:sz w:val="24"/>
          <w:szCs w:val="24"/>
          <w:lang w:eastAsia="lv-LV"/>
        </w:rPr>
      </w:pPr>
      <w:r w:rsidRPr="00A07F29">
        <w:rPr>
          <w:rFonts w:ascii="Times New Roman" w:eastAsia="Times New Roman" w:hAnsi="Times New Roman" w:cs="Times New Roman"/>
          <w:color w:val="000000"/>
          <w:sz w:val="24"/>
          <w:szCs w:val="24"/>
          <w:lang w:eastAsia="lv-LV"/>
        </w:rPr>
        <w:t>Lielākā daļa no AAA “Augšdaugava” teritorijā konst</w:t>
      </w:r>
      <w:r w:rsidR="003E5CB5">
        <w:rPr>
          <w:rFonts w:ascii="Times New Roman" w:eastAsia="Times New Roman" w:hAnsi="Times New Roman" w:cs="Times New Roman"/>
          <w:color w:val="000000"/>
          <w:sz w:val="24"/>
          <w:szCs w:val="24"/>
          <w:lang w:eastAsia="lv-LV"/>
        </w:rPr>
        <w:t>a</w:t>
      </w:r>
      <w:r w:rsidRPr="00A07F29">
        <w:rPr>
          <w:rFonts w:ascii="Times New Roman" w:eastAsia="Times New Roman" w:hAnsi="Times New Roman" w:cs="Times New Roman"/>
          <w:color w:val="000000"/>
          <w:sz w:val="24"/>
          <w:szCs w:val="24"/>
          <w:lang w:eastAsia="lv-LV"/>
        </w:rPr>
        <w:t>tētajiem zālājiem ir vidējas kvalitātes, agrāk bijuši ielaboti vai ganot atjaunojušies no vecām atmatām, seno zālāju (ganību) šeit samērā maz. Biotops 6270*</w:t>
      </w:r>
      <w:r w:rsidR="00E404C7">
        <w:rPr>
          <w:rFonts w:ascii="Times New Roman" w:eastAsia="Times New Roman" w:hAnsi="Times New Roman" w:cs="Times New Roman"/>
          <w:color w:val="000000"/>
          <w:sz w:val="24"/>
          <w:szCs w:val="24"/>
          <w:lang w:eastAsia="lv-LV"/>
        </w:rPr>
        <w:t> </w:t>
      </w:r>
      <w:r w:rsidRPr="00A07F29">
        <w:rPr>
          <w:rFonts w:ascii="Times New Roman" w:eastAsia="Times New Roman" w:hAnsi="Times New Roman" w:cs="Times New Roman"/>
          <w:i/>
          <w:iCs/>
          <w:color w:val="000000"/>
          <w:sz w:val="24"/>
          <w:szCs w:val="24"/>
          <w:lang w:eastAsia="lv-LV"/>
        </w:rPr>
        <w:t>Sugām bagātas ganības un ganītas pļavas</w:t>
      </w:r>
      <w:r w:rsidRPr="00A07F29">
        <w:rPr>
          <w:rFonts w:ascii="Times New Roman" w:eastAsia="Times New Roman" w:hAnsi="Times New Roman" w:cs="Times New Roman"/>
          <w:color w:val="000000"/>
          <w:sz w:val="24"/>
          <w:szCs w:val="24"/>
          <w:lang w:eastAsia="lv-LV"/>
        </w:rPr>
        <w:t xml:space="preserve"> Latvijā vērtējams kā nelabvēlīgā stāvoklī esošs.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66"/>
        <w:gridCol w:w="2288"/>
      </w:tblGrid>
      <w:tr w:rsidR="003A5237" w:rsidRPr="00A07F29" w14:paraId="3CA665F4" w14:textId="77777777" w:rsidTr="63C42FA1">
        <w:trPr>
          <w:jc w:val="center"/>
        </w:trPr>
        <w:tc>
          <w:tcPr>
            <w:tcW w:w="4672" w:type="dxa"/>
          </w:tcPr>
          <w:p w14:paraId="1300B9AF" w14:textId="7BA20081" w:rsidR="0021436F" w:rsidRPr="00A07F29" w:rsidRDefault="003A5237" w:rsidP="002B1603">
            <w:pPr>
              <w:spacing w:after="120"/>
              <w:jc w:val="both"/>
              <w:rPr>
                <w:rFonts w:ascii="Times New Roman" w:eastAsia="Times New Roman" w:hAnsi="Times New Roman" w:cs="Times New Roman"/>
                <w:bCs/>
                <w:color w:val="000000"/>
                <w:sz w:val="24"/>
                <w:szCs w:val="24"/>
                <w:lang w:eastAsia="lv-LV"/>
              </w:rPr>
            </w:pPr>
            <w:r w:rsidRPr="00A07F29">
              <w:rPr>
                <w:noProof/>
                <w:lang w:eastAsia="lv-LV"/>
              </w:rPr>
              <w:drawing>
                <wp:inline distT="0" distB="0" distL="0" distR="0" wp14:anchorId="10FA4615" wp14:editId="13899FFF">
                  <wp:extent cx="4350376" cy="2445522"/>
                  <wp:effectExtent l="0" t="0" r="0" b="4445"/>
                  <wp:docPr id="9181455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48">
                            <a:extLst>
                              <a:ext uri="{28A0092B-C50C-407E-A947-70E740481C1C}">
                                <a14:useLocalDpi xmlns:a14="http://schemas.microsoft.com/office/drawing/2010/main" val="0"/>
                              </a:ext>
                            </a:extLst>
                          </a:blip>
                          <a:stretch>
                            <a:fillRect/>
                          </a:stretch>
                        </pic:blipFill>
                        <pic:spPr>
                          <a:xfrm>
                            <a:off x="0" y="0"/>
                            <a:ext cx="4350376" cy="2445522"/>
                          </a:xfrm>
                          <a:prstGeom prst="rect">
                            <a:avLst/>
                          </a:prstGeom>
                        </pic:spPr>
                      </pic:pic>
                    </a:graphicData>
                  </a:graphic>
                </wp:inline>
              </w:drawing>
            </w:r>
          </w:p>
        </w:tc>
        <w:tc>
          <w:tcPr>
            <w:tcW w:w="4672" w:type="dxa"/>
            <w:vAlign w:val="bottom"/>
          </w:tcPr>
          <w:p w14:paraId="1DE03037" w14:textId="502A5788" w:rsidR="0021436F" w:rsidRPr="00A07F29" w:rsidRDefault="003A5237" w:rsidP="003A5237">
            <w:pPr>
              <w:jc w:val="both"/>
              <w:rPr>
                <w:rFonts w:ascii="Times New Roman" w:eastAsia="Times New Roman" w:hAnsi="Times New Roman" w:cs="Times New Roman"/>
                <w:bCs/>
                <w:color w:val="000000"/>
                <w:lang w:eastAsia="lv-LV"/>
              </w:rPr>
            </w:pPr>
            <w:r w:rsidRPr="00AA7BF3">
              <w:rPr>
                <w:rFonts w:ascii="Times New Roman" w:eastAsia="Times New Roman" w:hAnsi="Times New Roman" w:cs="Times New Roman"/>
                <w:color w:val="000000"/>
                <w:sz w:val="20"/>
                <w:szCs w:val="20"/>
                <w:lang w:eastAsia="lv-LV"/>
              </w:rPr>
              <w:t>4</w:t>
            </w:r>
            <w:r w:rsidR="007E3BA0">
              <w:rPr>
                <w:rFonts w:ascii="Times New Roman" w:eastAsia="Times New Roman" w:hAnsi="Times New Roman" w:cs="Times New Roman"/>
                <w:color w:val="000000"/>
                <w:sz w:val="20"/>
                <w:szCs w:val="20"/>
                <w:lang w:eastAsia="lv-LV"/>
              </w:rPr>
              <w:t>.3.3.6</w:t>
            </w:r>
            <w:r w:rsidRPr="00AA7BF3">
              <w:rPr>
                <w:rFonts w:ascii="Times New Roman" w:eastAsia="Times New Roman" w:hAnsi="Times New Roman" w:cs="Times New Roman"/>
                <w:color w:val="000000"/>
                <w:sz w:val="20"/>
                <w:szCs w:val="20"/>
                <w:lang w:eastAsia="lv-LV"/>
              </w:rPr>
              <w:t>.</w:t>
            </w:r>
            <w:r w:rsidR="00E404C7" w:rsidRPr="00AA7BF3">
              <w:rPr>
                <w:rFonts w:ascii="Times New Roman" w:eastAsia="Times New Roman" w:hAnsi="Times New Roman" w:cs="Times New Roman"/>
                <w:color w:val="000000"/>
                <w:sz w:val="20"/>
                <w:szCs w:val="20"/>
                <w:lang w:eastAsia="lv-LV"/>
              </w:rPr>
              <w:t> </w:t>
            </w:r>
            <w:r w:rsidRPr="00AA7BF3">
              <w:rPr>
                <w:rFonts w:ascii="Times New Roman" w:eastAsia="Times New Roman" w:hAnsi="Times New Roman" w:cs="Times New Roman"/>
                <w:color w:val="000000"/>
                <w:sz w:val="20"/>
                <w:szCs w:val="20"/>
                <w:lang w:eastAsia="lv-LV"/>
              </w:rPr>
              <w:t>att</w:t>
            </w:r>
            <w:r w:rsidR="00E404C7" w:rsidRPr="00AA7BF3">
              <w:rPr>
                <w:rFonts w:ascii="Times New Roman" w:eastAsia="Times New Roman" w:hAnsi="Times New Roman" w:cs="Times New Roman"/>
                <w:color w:val="000000"/>
                <w:sz w:val="20"/>
                <w:szCs w:val="20"/>
                <w:lang w:eastAsia="lv-LV"/>
              </w:rPr>
              <w:t>ēls</w:t>
            </w:r>
            <w:r w:rsidRPr="00AA7BF3">
              <w:rPr>
                <w:rFonts w:ascii="Times New Roman" w:eastAsia="Times New Roman" w:hAnsi="Times New Roman" w:cs="Times New Roman"/>
                <w:color w:val="000000"/>
                <w:sz w:val="20"/>
                <w:szCs w:val="20"/>
                <w:lang w:eastAsia="lv-LV"/>
              </w:rPr>
              <w:t>.</w:t>
            </w:r>
            <w:r w:rsidRPr="00AA7BF3">
              <w:rPr>
                <w:rFonts w:ascii="Times New Roman" w:eastAsia="Times New Roman" w:hAnsi="Times New Roman" w:cs="Times New Roman"/>
                <w:b/>
                <w:bCs/>
                <w:color w:val="000000"/>
                <w:sz w:val="20"/>
                <w:szCs w:val="20"/>
                <w:lang w:eastAsia="lv-LV"/>
              </w:rPr>
              <w:t xml:space="preserve"> </w:t>
            </w:r>
            <w:r w:rsidRPr="00AA7BF3">
              <w:rPr>
                <w:rFonts w:ascii="Times New Roman" w:eastAsia="Times New Roman" w:hAnsi="Times New Roman" w:cs="Times New Roman"/>
                <w:bCs/>
                <w:color w:val="000000"/>
                <w:sz w:val="20"/>
                <w:szCs w:val="20"/>
                <w:lang w:eastAsia="lv-LV"/>
              </w:rPr>
              <w:t>Biotops 6270*</w:t>
            </w:r>
            <w:r w:rsidR="00E404C7" w:rsidRPr="00AA7BF3">
              <w:rPr>
                <w:rFonts w:ascii="Times New Roman" w:eastAsia="Times New Roman" w:hAnsi="Times New Roman" w:cs="Times New Roman"/>
                <w:bCs/>
                <w:color w:val="000000"/>
                <w:sz w:val="20"/>
                <w:szCs w:val="20"/>
                <w:lang w:eastAsia="lv-LV"/>
              </w:rPr>
              <w:t> </w:t>
            </w:r>
            <w:r w:rsidRPr="00AA7BF3">
              <w:rPr>
                <w:rFonts w:ascii="Times New Roman" w:eastAsia="Times New Roman" w:hAnsi="Times New Roman" w:cs="Times New Roman"/>
                <w:bCs/>
                <w:i/>
                <w:iCs/>
                <w:color w:val="000000"/>
                <w:sz w:val="20"/>
                <w:szCs w:val="20"/>
                <w:lang w:eastAsia="lv-LV"/>
              </w:rPr>
              <w:t>Sugām bagātas ganības un ganītas pļavas</w:t>
            </w:r>
            <w:r w:rsidRPr="00AA7BF3">
              <w:rPr>
                <w:rFonts w:ascii="Times New Roman" w:eastAsia="Times New Roman" w:hAnsi="Times New Roman" w:cs="Times New Roman"/>
                <w:bCs/>
                <w:color w:val="000000"/>
                <w:sz w:val="20"/>
                <w:szCs w:val="20"/>
                <w:lang w:eastAsia="lv-LV"/>
              </w:rPr>
              <w:t xml:space="preserve"> </w:t>
            </w:r>
            <w:proofErr w:type="spellStart"/>
            <w:r w:rsidRPr="00AA7BF3">
              <w:rPr>
                <w:rFonts w:ascii="Times New Roman" w:eastAsia="Times New Roman" w:hAnsi="Times New Roman" w:cs="Times New Roman"/>
                <w:bCs/>
                <w:color w:val="000000"/>
                <w:sz w:val="20"/>
                <w:szCs w:val="20"/>
                <w:lang w:eastAsia="lv-LV"/>
              </w:rPr>
              <w:t>Stirbļu</w:t>
            </w:r>
            <w:proofErr w:type="spellEnd"/>
            <w:r w:rsidRPr="00AA7BF3">
              <w:rPr>
                <w:rFonts w:ascii="Times New Roman" w:eastAsia="Times New Roman" w:hAnsi="Times New Roman" w:cs="Times New Roman"/>
                <w:bCs/>
                <w:color w:val="000000"/>
                <w:sz w:val="20"/>
                <w:szCs w:val="20"/>
                <w:lang w:eastAsia="lv-LV"/>
              </w:rPr>
              <w:t xml:space="preserve"> zālāju masīvā (Foto: G</w:t>
            </w:r>
            <w:r w:rsidR="00AA7BF3" w:rsidRPr="00AA7BF3">
              <w:rPr>
                <w:rFonts w:ascii="Times New Roman" w:eastAsia="Times New Roman" w:hAnsi="Times New Roman" w:cs="Times New Roman"/>
                <w:bCs/>
                <w:color w:val="000000"/>
                <w:sz w:val="20"/>
                <w:szCs w:val="20"/>
                <w:lang w:eastAsia="lv-LV"/>
              </w:rPr>
              <w:t>. </w:t>
            </w:r>
            <w:proofErr w:type="spellStart"/>
            <w:r w:rsidRPr="00AA7BF3">
              <w:rPr>
                <w:rFonts w:ascii="Times New Roman" w:eastAsia="Times New Roman" w:hAnsi="Times New Roman" w:cs="Times New Roman"/>
                <w:bCs/>
                <w:color w:val="000000"/>
                <w:sz w:val="20"/>
                <w:szCs w:val="20"/>
                <w:lang w:eastAsia="lv-LV"/>
              </w:rPr>
              <w:t>Evarte-Bundere</w:t>
            </w:r>
            <w:proofErr w:type="spellEnd"/>
            <w:r w:rsidRPr="00AA7BF3">
              <w:rPr>
                <w:rFonts w:ascii="Times New Roman" w:eastAsia="Times New Roman" w:hAnsi="Times New Roman" w:cs="Times New Roman"/>
                <w:bCs/>
                <w:color w:val="000000"/>
                <w:sz w:val="20"/>
                <w:szCs w:val="20"/>
                <w:lang w:eastAsia="lv-LV"/>
              </w:rPr>
              <w:t>).</w:t>
            </w:r>
          </w:p>
        </w:tc>
      </w:tr>
    </w:tbl>
    <w:p w14:paraId="445A8053" w14:textId="40ED48B7" w:rsidR="002B1603" w:rsidRPr="00A07F29" w:rsidRDefault="002B1603" w:rsidP="009F6472">
      <w:pPr>
        <w:spacing w:before="240" w:after="120" w:line="240" w:lineRule="auto"/>
        <w:jc w:val="both"/>
        <w:rPr>
          <w:rFonts w:ascii="Times New Roman" w:eastAsia="Times New Roman" w:hAnsi="Times New Roman" w:cs="Times New Roman"/>
          <w:b/>
          <w:bCs/>
          <w:color w:val="000000"/>
          <w:sz w:val="24"/>
          <w:szCs w:val="24"/>
          <w:lang w:eastAsia="lv-LV"/>
        </w:rPr>
      </w:pPr>
      <w:r w:rsidRPr="00A07F29">
        <w:rPr>
          <w:rFonts w:ascii="Times New Roman" w:eastAsia="Times New Roman" w:hAnsi="Times New Roman" w:cs="Times New Roman"/>
          <w:b/>
          <w:bCs/>
          <w:color w:val="000000"/>
          <w:sz w:val="24"/>
          <w:szCs w:val="24"/>
          <w:lang w:eastAsia="lv-LV"/>
        </w:rPr>
        <w:t xml:space="preserve">6410 </w:t>
      </w:r>
      <w:r w:rsidRPr="00A07F29">
        <w:rPr>
          <w:rFonts w:ascii="Times New Roman" w:eastAsia="Times New Roman" w:hAnsi="Times New Roman" w:cs="Times New Roman"/>
          <w:b/>
          <w:bCs/>
          <w:i/>
          <w:iCs/>
          <w:color w:val="000000"/>
          <w:sz w:val="24"/>
          <w:szCs w:val="24"/>
          <w:lang w:eastAsia="lv-LV"/>
        </w:rPr>
        <w:t>Mitri zālāji periodiski izžūstošās augsnēs</w:t>
      </w:r>
    </w:p>
    <w:p w14:paraId="39EE104D" w14:textId="3013E25B" w:rsidR="009F6472" w:rsidRPr="00A07F29" w:rsidRDefault="002B1603" w:rsidP="009F6472">
      <w:pPr>
        <w:spacing w:after="120" w:line="240" w:lineRule="auto"/>
        <w:ind w:firstLine="851"/>
        <w:jc w:val="both"/>
        <w:rPr>
          <w:rFonts w:ascii="Times New Roman" w:eastAsia="Times New Roman" w:hAnsi="Times New Roman" w:cs="Times New Roman"/>
          <w:bCs/>
          <w:color w:val="000000"/>
          <w:sz w:val="24"/>
          <w:szCs w:val="24"/>
          <w:lang w:eastAsia="lv-LV"/>
        </w:rPr>
      </w:pPr>
      <w:r w:rsidRPr="00A07F29">
        <w:rPr>
          <w:rFonts w:ascii="Times New Roman" w:eastAsia="Times New Roman" w:hAnsi="Times New Roman" w:cs="Times New Roman"/>
          <w:bCs/>
          <w:color w:val="000000"/>
          <w:sz w:val="24"/>
          <w:szCs w:val="24"/>
          <w:lang w:eastAsia="lv-LV"/>
        </w:rPr>
        <w:t>Viens no zālāju 6410</w:t>
      </w:r>
      <w:r w:rsidR="002554EA">
        <w:rPr>
          <w:rFonts w:ascii="Times New Roman" w:eastAsia="Times New Roman" w:hAnsi="Times New Roman" w:cs="Times New Roman"/>
          <w:bCs/>
          <w:color w:val="000000"/>
          <w:sz w:val="24"/>
          <w:szCs w:val="24"/>
          <w:lang w:eastAsia="lv-LV"/>
        </w:rPr>
        <w:t> </w:t>
      </w:r>
      <w:r w:rsidRPr="00A07F29">
        <w:rPr>
          <w:rFonts w:ascii="Times New Roman" w:eastAsia="Times New Roman" w:hAnsi="Times New Roman" w:cs="Times New Roman"/>
          <w:bCs/>
          <w:i/>
          <w:color w:val="000000"/>
          <w:sz w:val="24"/>
          <w:szCs w:val="24"/>
          <w:lang w:eastAsia="lv-LV"/>
        </w:rPr>
        <w:t>Mitri zālāji periodiski izžūstošās augsnēs</w:t>
      </w:r>
      <w:r w:rsidRPr="00A07F29">
        <w:rPr>
          <w:rFonts w:ascii="Times New Roman" w:eastAsia="Times New Roman" w:hAnsi="Times New Roman" w:cs="Times New Roman"/>
          <w:bCs/>
          <w:color w:val="000000"/>
          <w:sz w:val="24"/>
          <w:szCs w:val="24"/>
          <w:lang w:eastAsia="lv-LV"/>
        </w:rPr>
        <w:t xml:space="preserve"> pastāvēšanas priekšnosacījumiem ir mitruma režīma mainība, ko rada izteikta gruntsūdens līmeņa svārstības, kuras parasti nosaka izmaiņas </w:t>
      </w:r>
      <w:proofErr w:type="spellStart"/>
      <w:r w:rsidRPr="00A07F29">
        <w:rPr>
          <w:rFonts w:ascii="Times New Roman" w:eastAsia="Times New Roman" w:hAnsi="Times New Roman" w:cs="Times New Roman"/>
          <w:bCs/>
          <w:color w:val="000000"/>
          <w:sz w:val="24"/>
          <w:szCs w:val="24"/>
          <w:lang w:eastAsia="lv-LV"/>
        </w:rPr>
        <w:t>virzemes</w:t>
      </w:r>
      <w:proofErr w:type="spellEnd"/>
      <w:r w:rsidRPr="00A07F29">
        <w:rPr>
          <w:rFonts w:ascii="Times New Roman" w:eastAsia="Times New Roman" w:hAnsi="Times New Roman" w:cs="Times New Roman"/>
          <w:bCs/>
          <w:color w:val="000000"/>
          <w:sz w:val="24"/>
          <w:szCs w:val="24"/>
          <w:lang w:eastAsia="lv-LV"/>
        </w:rPr>
        <w:t xml:space="preserve"> notecē. Šādi biotopi veidojas palienēs, kur gruntsūdens līmenis svārstās atkarībā no upes vai ezera hidroloģiskā režīma, un vietās, kur novērojams maldu gruntsūdens vai gruntsūdens atslodzes vietās</w:t>
      </w:r>
      <w:r w:rsidR="00D65BBA" w:rsidRPr="00A07F29">
        <w:rPr>
          <w:rFonts w:ascii="Times New Roman" w:eastAsia="Times New Roman" w:hAnsi="Times New Roman" w:cs="Times New Roman"/>
          <w:bCs/>
          <w:color w:val="000000"/>
          <w:sz w:val="24"/>
          <w:szCs w:val="24"/>
          <w:lang w:eastAsia="lv-LV"/>
        </w:rPr>
        <w:t xml:space="preserve"> </w:t>
      </w:r>
      <w:r w:rsidRPr="00A07F29">
        <w:rPr>
          <w:rFonts w:ascii="Times New Roman" w:eastAsia="Times New Roman" w:hAnsi="Times New Roman" w:cs="Times New Roman"/>
          <w:bCs/>
          <w:color w:val="000000"/>
          <w:sz w:val="24"/>
          <w:szCs w:val="24"/>
          <w:lang w:eastAsia="lv-LV"/>
        </w:rPr>
        <w:t>(Rūsiņa</w:t>
      </w:r>
      <w:r w:rsidR="007F3D93">
        <w:rPr>
          <w:rFonts w:ascii="Times New Roman" w:eastAsia="Times New Roman" w:hAnsi="Times New Roman" w:cs="Times New Roman"/>
          <w:bCs/>
          <w:color w:val="000000"/>
          <w:sz w:val="24"/>
          <w:szCs w:val="24"/>
          <w:lang w:eastAsia="lv-LV"/>
        </w:rPr>
        <w:t xml:space="preserve"> S.</w:t>
      </w:r>
      <w:r w:rsidRPr="00A07F29">
        <w:rPr>
          <w:rFonts w:ascii="Times New Roman" w:eastAsia="Times New Roman" w:hAnsi="Times New Roman" w:cs="Times New Roman"/>
          <w:bCs/>
          <w:color w:val="000000"/>
          <w:sz w:val="24"/>
          <w:szCs w:val="24"/>
          <w:lang w:eastAsia="lv-LV"/>
        </w:rPr>
        <w:t>, 2017). AAA “Augšdaugava” 6410</w:t>
      </w:r>
      <w:r w:rsidR="00C6584F">
        <w:rPr>
          <w:rFonts w:ascii="Times New Roman" w:eastAsia="Times New Roman" w:hAnsi="Times New Roman" w:cs="Times New Roman"/>
          <w:bCs/>
          <w:color w:val="000000"/>
          <w:sz w:val="24"/>
          <w:szCs w:val="24"/>
          <w:lang w:eastAsia="lv-LV"/>
        </w:rPr>
        <w:t> </w:t>
      </w:r>
      <w:r w:rsidRPr="00A07F29">
        <w:rPr>
          <w:rFonts w:ascii="Times New Roman" w:eastAsia="Times New Roman" w:hAnsi="Times New Roman" w:cs="Times New Roman"/>
          <w:bCs/>
          <w:i/>
          <w:iCs/>
          <w:color w:val="000000"/>
          <w:sz w:val="24"/>
          <w:szCs w:val="24"/>
          <w:lang w:eastAsia="lv-LV"/>
        </w:rPr>
        <w:t>Mitri zālāji periodiski izžūstošās augsnēs</w:t>
      </w:r>
      <w:r w:rsidRPr="00A07F29">
        <w:rPr>
          <w:rFonts w:ascii="Times New Roman" w:eastAsia="Times New Roman" w:hAnsi="Times New Roman" w:cs="Times New Roman"/>
          <w:bCs/>
          <w:color w:val="000000"/>
          <w:sz w:val="24"/>
          <w:szCs w:val="24"/>
          <w:lang w:eastAsia="lv-LV"/>
        </w:rPr>
        <w:t xml:space="preserve"> sastopami reti (konstatēti pieci poligoni </w:t>
      </w:r>
      <w:r w:rsidR="009F6472" w:rsidRPr="00A07F29">
        <w:rPr>
          <w:rFonts w:ascii="Times New Roman" w:eastAsia="Times New Roman" w:hAnsi="Times New Roman" w:cs="Times New Roman"/>
          <w:bCs/>
          <w:color w:val="000000"/>
          <w:sz w:val="24"/>
          <w:szCs w:val="24"/>
          <w:lang w:eastAsia="lv-LV"/>
        </w:rPr>
        <w:t>5,16</w:t>
      </w:r>
      <w:r w:rsidR="00C6584F">
        <w:rPr>
          <w:rFonts w:ascii="Times New Roman" w:eastAsia="Times New Roman" w:hAnsi="Times New Roman" w:cs="Times New Roman"/>
          <w:bCs/>
          <w:color w:val="000000"/>
          <w:sz w:val="24"/>
          <w:szCs w:val="24"/>
          <w:lang w:eastAsia="lv-LV"/>
        </w:rPr>
        <w:t> </w:t>
      </w:r>
      <w:r w:rsidRPr="00A07F29">
        <w:rPr>
          <w:rFonts w:ascii="Times New Roman" w:eastAsia="Times New Roman" w:hAnsi="Times New Roman" w:cs="Times New Roman"/>
          <w:bCs/>
          <w:color w:val="000000"/>
          <w:sz w:val="24"/>
          <w:szCs w:val="24"/>
          <w:lang w:eastAsia="lv-LV"/>
        </w:rPr>
        <w:t>ha platībā) un tie galvenokārt saistīti ar gruntsūdens atslodzes vietām. Zālāji pieder biotopa 6410</w:t>
      </w:r>
      <w:r w:rsidR="00622DDF">
        <w:rPr>
          <w:rFonts w:ascii="Times New Roman" w:eastAsia="Times New Roman" w:hAnsi="Times New Roman" w:cs="Times New Roman"/>
          <w:bCs/>
          <w:color w:val="000000"/>
          <w:sz w:val="24"/>
          <w:szCs w:val="24"/>
          <w:lang w:eastAsia="lv-LV"/>
        </w:rPr>
        <w:t> </w:t>
      </w:r>
      <w:r w:rsidRPr="00A07F29">
        <w:rPr>
          <w:rFonts w:ascii="Times New Roman" w:eastAsia="Times New Roman" w:hAnsi="Times New Roman" w:cs="Times New Roman"/>
          <w:bCs/>
          <w:i/>
          <w:iCs/>
          <w:color w:val="000000"/>
          <w:sz w:val="24"/>
          <w:szCs w:val="24"/>
          <w:lang w:eastAsia="lv-LV"/>
        </w:rPr>
        <w:t>Mitri zālāji periodiski izžūstošās augsnēs</w:t>
      </w:r>
      <w:r w:rsidRPr="00A07F29">
        <w:rPr>
          <w:rFonts w:ascii="Times New Roman" w:eastAsia="Times New Roman" w:hAnsi="Times New Roman" w:cs="Times New Roman"/>
          <w:bCs/>
          <w:color w:val="000000"/>
          <w:sz w:val="24"/>
          <w:szCs w:val="24"/>
          <w:lang w:eastAsia="lv-LV"/>
        </w:rPr>
        <w:t xml:space="preserve"> platlapju variantam (4.</w:t>
      </w:r>
      <w:r w:rsidR="00622DDF">
        <w:rPr>
          <w:rFonts w:ascii="Times New Roman" w:eastAsia="Times New Roman" w:hAnsi="Times New Roman" w:cs="Times New Roman"/>
          <w:bCs/>
          <w:color w:val="000000"/>
          <w:sz w:val="24"/>
          <w:szCs w:val="24"/>
          <w:lang w:eastAsia="lv-LV"/>
        </w:rPr>
        <w:t> </w:t>
      </w:r>
      <w:r w:rsidRPr="00A07F29">
        <w:rPr>
          <w:rFonts w:ascii="Times New Roman" w:eastAsia="Times New Roman" w:hAnsi="Times New Roman" w:cs="Times New Roman"/>
          <w:bCs/>
          <w:color w:val="000000"/>
          <w:sz w:val="24"/>
          <w:szCs w:val="24"/>
          <w:lang w:eastAsia="lv-LV"/>
        </w:rPr>
        <w:t xml:space="preserve">variants) bez izteiktas dominējošās sugas. Šajos zālājos konstatētās raksturīgās sugas ir parastais vizulis </w:t>
      </w:r>
      <w:proofErr w:type="spellStart"/>
      <w:r w:rsidRPr="00A07F29">
        <w:rPr>
          <w:rFonts w:ascii="Times New Roman" w:eastAsia="Times New Roman" w:hAnsi="Times New Roman" w:cs="Times New Roman"/>
          <w:bCs/>
          <w:i/>
          <w:iCs/>
          <w:color w:val="000000"/>
          <w:sz w:val="24"/>
          <w:szCs w:val="24"/>
          <w:lang w:eastAsia="lv-LV"/>
        </w:rPr>
        <w:t>Briza</w:t>
      </w:r>
      <w:proofErr w:type="spellEnd"/>
      <w:r w:rsidRPr="00A07F29">
        <w:rPr>
          <w:rFonts w:ascii="Times New Roman" w:eastAsia="Times New Roman" w:hAnsi="Times New Roman" w:cs="Times New Roman"/>
          <w:bCs/>
          <w:i/>
          <w:i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media</w:t>
      </w:r>
      <w:proofErr w:type="spellEnd"/>
      <w:r w:rsidRPr="00A07F29">
        <w:rPr>
          <w:rFonts w:ascii="Times New Roman" w:eastAsia="Times New Roman" w:hAnsi="Times New Roman" w:cs="Times New Roman"/>
          <w:bCs/>
          <w:color w:val="000000"/>
          <w:sz w:val="24"/>
          <w:szCs w:val="24"/>
          <w:lang w:eastAsia="lv-LV"/>
        </w:rPr>
        <w:t xml:space="preserve">, </w:t>
      </w:r>
      <w:proofErr w:type="spellStart"/>
      <w:r w:rsidRPr="00A07F29">
        <w:rPr>
          <w:rFonts w:ascii="Times New Roman" w:eastAsia="Times New Roman" w:hAnsi="Times New Roman" w:cs="Times New Roman"/>
          <w:bCs/>
          <w:color w:val="000000"/>
          <w:sz w:val="24"/>
          <w:szCs w:val="24"/>
          <w:lang w:eastAsia="lv-LV"/>
        </w:rPr>
        <w:t>sāres</w:t>
      </w:r>
      <w:proofErr w:type="spellEnd"/>
      <w:r w:rsidRPr="00A07F29">
        <w:rPr>
          <w:rFonts w:ascii="Times New Roman" w:eastAsia="Times New Roman" w:hAnsi="Times New Roman" w:cs="Times New Roman"/>
          <w:bCs/>
          <w:color w:val="000000"/>
          <w:sz w:val="24"/>
          <w:szCs w:val="24"/>
          <w:lang w:eastAsia="lv-LV"/>
        </w:rPr>
        <w:t xml:space="preserve"> grīslis </w:t>
      </w:r>
      <w:proofErr w:type="spellStart"/>
      <w:r w:rsidRPr="00A07F29">
        <w:rPr>
          <w:rFonts w:ascii="Times New Roman" w:eastAsia="Times New Roman" w:hAnsi="Times New Roman" w:cs="Times New Roman"/>
          <w:bCs/>
          <w:i/>
          <w:iCs/>
          <w:color w:val="000000"/>
          <w:sz w:val="24"/>
          <w:szCs w:val="24"/>
          <w:lang w:eastAsia="lv-LV"/>
        </w:rPr>
        <w:t>Carex</w:t>
      </w:r>
      <w:proofErr w:type="spellEnd"/>
      <w:r w:rsidRPr="00A07F29">
        <w:rPr>
          <w:rFonts w:ascii="Times New Roman" w:eastAsia="Times New Roman" w:hAnsi="Times New Roman" w:cs="Times New Roman"/>
          <w:bCs/>
          <w:i/>
          <w:i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panicea</w:t>
      </w:r>
      <w:proofErr w:type="spellEnd"/>
      <w:r w:rsidRPr="00A07F29">
        <w:rPr>
          <w:rFonts w:ascii="Times New Roman" w:eastAsia="Times New Roman" w:hAnsi="Times New Roman" w:cs="Times New Roman"/>
          <w:bCs/>
          <w:color w:val="000000"/>
          <w:sz w:val="24"/>
          <w:szCs w:val="24"/>
          <w:lang w:eastAsia="lv-LV"/>
        </w:rPr>
        <w:t xml:space="preserve">, ziemeļu madara </w:t>
      </w:r>
      <w:proofErr w:type="spellStart"/>
      <w:r w:rsidRPr="00A07F29">
        <w:rPr>
          <w:rFonts w:ascii="Times New Roman" w:eastAsia="Times New Roman" w:hAnsi="Times New Roman" w:cs="Times New Roman"/>
          <w:bCs/>
          <w:i/>
          <w:iCs/>
          <w:color w:val="000000"/>
          <w:sz w:val="24"/>
          <w:szCs w:val="24"/>
          <w:lang w:eastAsia="lv-LV"/>
        </w:rPr>
        <w:t>Galium</w:t>
      </w:r>
      <w:proofErr w:type="spellEnd"/>
      <w:r w:rsidRPr="00A07F29">
        <w:rPr>
          <w:rFonts w:ascii="Times New Roman" w:eastAsia="Times New Roman" w:hAnsi="Times New Roman" w:cs="Times New Roman"/>
          <w:bCs/>
          <w:i/>
          <w:i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boreale</w:t>
      </w:r>
      <w:proofErr w:type="spellEnd"/>
      <w:r w:rsidRPr="00A07F29">
        <w:rPr>
          <w:rFonts w:ascii="Times New Roman" w:eastAsia="Times New Roman" w:hAnsi="Times New Roman" w:cs="Times New Roman"/>
          <w:bCs/>
          <w:color w:val="000000"/>
          <w:sz w:val="24"/>
          <w:szCs w:val="24"/>
          <w:lang w:eastAsia="lv-LV"/>
        </w:rPr>
        <w:t xml:space="preserve">, parastā čūskmēlīte </w:t>
      </w:r>
      <w:proofErr w:type="spellStart"/>
      <w:r w:rsidRPr="00A07F29">
        <w:rPr>
          <w:rFonts w:ascii="Times New Roman" w:eastAsia="Times New Roman" w:hAnsi="Times New Roman" w:cs="Times New Roman"/>
          <w:bCs/>
          <w:i/>
          <w:iCs/>
          <w:color w:val="000000"/>
          <w:sz w:val="24"/>
          <w:szCs w:val="24"/>
          <w:lang w:eastAsia="lv-LV"/>
        </w:rPr>
        <w:t>Ophioglossum</w:t>
      </w:r>
      <w:proofErr w:type="spellEnd"/>
      <w:r w:rsidRPr="00A07F29">
        <w:rPr>
          <w:rFonts w:ascii="Times New Roman" w:eastAsia="Times New Roman" w:hAnsi="Times New Roman" w:cs="Times New Roman"/>
          <w:bCs/>
          <w:i/>
          <w:i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vulgatum</w:t>
      </w:r>
      <w:proofErr w:type="spellEnd"/>
      <w:r w:rsidRPr="00A07F29">
        <w:rPr>
          <w:rFonts w:ascii="Times New Roman" w:eastAsia="Times New Roman" w:hAnsi="Times New Roman" w:cs="Times New Roman"/>
          <w:bCs/>
          <w:color w:val="000000"/>
          <w:sz w:val="24"/>
          <w:szCs w:val="24"/>
          <w:lang w:eastAsia="lv-LV"/>
        </w:rPr>
        <w:t xml:space="preserve">, vidējā ceļteka </w:t>
      </w:r>
      <w:proofErr w:type="spellStart"/>
      <w:r w:rsidRPr="00A07F29">
        <w:rPr>
          <w:rFonts w:ascii="Times New Roman" w:eastAsia="Times New Roman" w:hAnsi="Times New Roman" w:cs="Times New Roman"/>
          <w:bCs/>
          <w:i/>
          <w:iCs/>
          <w:color w:val="000000"/>
          <w:sz w:val="24"/>
          <w:szCs w:val="24"/>
          <w:lang w:eastAsia="lv-LV"/>
        </w:rPr>
        <w:t>Plantago</w:t>
      </w:r>
      <w:proofErr w:type="spellEnd"/>
      <w:r w:rsidRPr="00A07F29">
        <w:rPr>
          <w:rFonts w:ascii="Times New Roman" w:eastAsia="Times New Roman" w:hAnsi="Times New Roman" w:cs="Times New Roman"/>
          <w:bCs/>
          <w:i/>
          <w:i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media</w:t>
      </w:r>
      <w:proofErr w:type="spellEnd"/>
      <w:r w:rsidRPr="00A07F29">
        <w:rPr>
          <w:rFonts w:ascii="Times New Roman" w:eastAsia="Times New Roman" w:hAnsi="Times New Roman" w:cs="Times New Roman"/>
          <w:bCs/>
          <w:color w:val="000000"/>
          <w:sz w:val="24"/>
          <w:szCs w:val="24"/>
          <w:lang w:eastAsia="lv-LV"/>
        </w:rPr>
        <w:t xml:space="preserve">, </w:t>
      </w:r>
      <w:proofErr w:type="spellStart"/>
      <w:r w:rsidRPr="00A07F29">
        <w:rPr>
          <w:rFonts w:ascii="Times New Roman" w:eastAsia="Times New Roman" w:hAnsi="Times New Roman" w:cs="Times New Roman"/>
          <w:bCs/>
          <w:color w:val="000000"/>
          <w:sz w:val="24"/>
          <w:szCs w:val="24"/>
          <w:lang w:eastAsia="lv-LV"/>
        </w:rPr>
        <w:t>pazvilā</w:t>
      </w:r>
      <w:proofErr w:type="spellEnd"/>
      <w:r w:rsidRPr="00A07F29">
        <w:rPr>
          <w:rFonts w:ascii="Times New Roman" w:eastAsia="Times New Roman" w:hAnsi="Times New Roman" w:cs="Times New Roman"/>
          <w:bCs/>
          <w:color w:val="000000"/>
          <w:sz w:val="24"/>
          <w:szCs w:val="24"/>
          <w:lang w:eastAsia="lv-LV"/>
        </w:rPr>
        <w:t xml:space="preserve"> </w:t>
      </w:r>
      <w:proofErr w:type="spellStart"/>
      <w:r w:rsidRPr="00A07F29">
        <w:rPr>
          <w:rFonts w:ascii="Times New Roman" w:eastAsia="Times New Roman" w:hAnsi="Times New Roman" w:cs="Times New Roman"/>
          <w:bCs/>
          <w:color w:val="000000"/>
          <w:sz w:val="24"/>
          <w:szCs w:val="24"/>
          <w:lang w:eastAsia="lv-LV"/>
        </w:rPr>
        <w:t>misiņsmilga</w:t>
      </w:r>
      <w:proofErr w:type="spellEnd"/>
      <w:r w:rsidRPr="00A07F29">
        <w:rPr>
          <w:rFonts w:ascii="Times New Roman" w:eastAsia="Times New Roman" w:hAnsi="Times New Roman" w:cs="Times New Roman"/>
          <w:b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Sieglingia</w:t>
      </w:r>
      <w:proofErr w:type="spellEnd"/>
      <w:r w:rsidRPr="00A07F29">
        <w:rPr>
          <w:rFonts w:ascii="Times New Roman" w:eastAsia="Times New Roman" w:hAnsi="Times New Roman" w:cs="Times New Roman"/>
          <w:bCs/>
          <w:i/>
          <w:i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decumbens</w:t>
      </w:r>
      <w:proofErr w:type="spellEnd"/>
      <w:r w:rsidRPr="00A07F29">
        <w:rPr>
          <w:rFonts w:ascii="Times New Roman" w:eastAsia="Times New Roman" w:hAnsi="Times New Roman" w:cs="Times New Roman"/>
          <w:bCs/>
          <w:color w:val="000000"/>
          <w:sz w:val="24"/>
          <w:szCs w:val="24"/>
          <w:lang w:eastAsia="lv-LV"/>
        </w:rPr>
        <w:t xml:space="preserve">, </w:t>
      </w:r>
      <w:proofErr w:type="spellStart"/>
      <w:r w:rsidRPr="00A07F29">
        <w:rPr>
          <w:rFonts w:ascii="Times New Roman" w:eastAsia="Times New Roman" w:hAnsi="Times New Roman" w:cs="Times New Roman"/>
          <w:bCs/>
          <w:color w:val="000000"/>
          <w:sz w:val="24"/>
          <w:szCs w:val="24"/>
          <w:lang w:eastAsia="lv-LV"/>
        </w:rPr>
        <w:t>ķimeņlapu</w:t>
      </w:r>
      <w:proofErr w:type="spellEnd"/>
      <w:r w:rsidRPr="00A07F29">
        <w:rPr>
          <w:rFonts w:ascii="Times New Roman" w:eastAsia="Times New Roman" w:hAnsi="Times New Roman" w:cs="Times New Roman"/>
          <w:bCs/>
          <w:color w:val="000000"/>
          <w:sz w:val="24"/>
          <w:szCs w:val="24"/>
          <w:lang w:eastAsia="lv-LV"/>
        </w:rPr>
        <w:t xml:space="preserve"> </w:t>
      </w:r>
      <w:proofErr w:type="spellStart"/>
      <w:r w:rsidRPr="00A07F29">
        <w:rPr>
          <w:rFonts w:ascii="Times New Roman" w:eastAsia="Times New Roman" w:hAnsi="Times New Roman" w:cs="Times New Roman"/>
          <w:bCs/>
          <w:color w:val="000000"/>
          <w:sz w:val="24"/>
          <w:szCs w:val="24"/>
          <w:lang w:eastAsia="lv-LV"/>
        </w:rPr>
        <w:t>selīne</w:t>
      </w:r>
      <w:proofErr w:type="spellEnd"/>
      <w:r w:rsidRPr="00A07F29">
        <w:rPr>
          <w:rFonts w:ascii="Times New Roman" w:eastAsia="Times New Roman" w:hAnsi="Times New Roman" w:cs="Times New Roman"/>
          <w:b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Selinum</w:t>
      </w:r>
      <w:proofErr w:type="spellEnd"/>
      <w:r w:rsidRPr="00A07F29">
        <w:rPr>
          <w:rFonts w:ascii="Times New Roman" w:eastAsia="Times New Roman" w:hAnsi="Times New Roman" w:cs="Times New Roman"/>
          <w:bCs/>
          <w:i/>
          <w:i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carvifolia</w:t>
      </w:r>
      <w:proofErr w:type="spellEnd"/>
      <w:r w:rsidRPr="00A07F29">
        <w:rPr>
          <w:rFonts w:ascii="Times New Roman" w:eastAsia="Times New Roman" w:hAnsi="Times New Roman" w:cs="Times New Roman"/>
          <w:bCs/>
          <w:color w:val="000000"/>
          <w:sz w:val="24"/>
          <w:szCs w:val="24"/>
          <w:lang w:eastAsia="lv-LV"/>
        </w:rPr>
        <w:t xml:space="preserve">, ārstniecības </w:t>
      </w:r>
      <w:proofErr w:type="spellStart"/>
      <w:r w:rsidRPr="00A07F29">
        <w:rPr>
          <w:rFonts w:ascii="Times New Roman" w:eastAsia="Times New Roman" w:hAnsi="Times New Roman" w:cs="Times New Roman"/>
          <w:bCs/>
          <w:color w:val="000000"/>
          <w:sz w:val="24"/>
          <w:szCs w:val="24"/>
          <w:lang w:eastAsia="lv-LV"/>
        </w:rPr>
        <w:t>pātaine</w:t>
      </w:r>
      <w:proofErr w:type="spellEnd"/>
      <w:r w:rsidRPr="00A07F29">
        <w:rPr>
          <w:rFonts w:ascii="Times New Roman" w:eastAsia="Times New Roman" w:hAnsi="Times New Roman" w:cs="Times New Roman"/>
          <w:b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Stachis</w:t>
      </w:r>
      <w:proofErr w:type="spellEnd"/>
      <w:r w:rsidRPr="00A07F29">
        <w:rPr>
          <w:rFonts w:ascii="Times New Roman" w:eastAsia="Times New Roman" w:hAnsi="Times New Roman" w:cs="Times New Roman"/>
          <w:bCs/>
          <w:i/>
          <w:i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officinalis</w:t>
      </w:r>
      <w:proofErr w:type="spellEnd"/>
      <w:r w:rsidRPr="00A07F29">
        <w:rPr>
          <w:rFonts w:ascii="Times New Roman" w:eastAsia="Times New Roman" w:hAnsi="Times New Roman" w:cs="Times New Roman"/>
          <w:bCs/>
          <w:color w:val="000000"/>
          <w:sz w:val="24"/>
          <w:szCs w:val="24"/>
          <w:lang w:eastAsia="lv-LV"/>
        </w:rPr>
        <w:t xml:space="preserve">, pļavas </w:t>
      </w:r>
      <w:proofErr w:type="spellStart"/>
      <w:r w:rsidRPr="00A07F29">
        <w:rPr>
          <w:rFonts w:ascii="Times New Roman" w:eastAsia="Times New Roman" w:hAnsi="Times New Roman" w:cs="Times New Roman"/>
          <w:bCs/>
          <w:color w:val="000000"/>
          <w:sz w:val="24"/>
          <w:szCs w:val="24"/>
          <w:lang w:eastAsia="lv-LV"/>
        </w:rPr>
        <w:t>vilkmēle</w:t>
      </w:r>
      <w:proofErr w:type="spellEnd"/>
      <w:r w:rsidRPr="00A07F29">
        <w:rPr>
          <w:rFonts w:ascii="Times New Roman" w:eastAsia="Times New Roman" w:hAnsi="Times New Roman" w:cs="Times New Roman"/>
          <w:b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Succisa</w:t>
      </w:r>
      <w:proofErr w:type="spellEnd"/>
      <w:r w:rsidRPr="00A07F29">
        <w:rPr>
          <w:rFonts w:ascii="Times New Roman" w:eastAsia="Times New Roman" w:hAnsi="Times New Roman" w:cs="Times New Roman"/>
          <w:bCs/>
          <w:i/>
          <w:i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pratensis</w:t>
      </w:r>
      <w:proofErr w:type="spellEnd"/>
      <w:r w:rsidRPr="00A07F29">
        <w:rPr>
          <w:rFonts w:ascii="Times New Roman" w:eastAsia="Times New Roman" w:hAnsi="Times New Roman" w:cs="Times New Roman"/>
          <w:bCs/>
          <w:iCs/>
          <w:color w:val="000000"/>
          <w:sz w:val="24"/>
          <w:szCs w:val="24"/>
          <w:lang w:eastAsia="lv-LV"/>
        </w:rPr>
        <w:t xml:space="preserve"> </w:t>
      </w:r>
      <w:r w:rsidRPr="00A07F29">
        <w:rPr>
          <w:rFonts w:ascii="Times New Roman" w:eastAsia="Times New Roman" w:hAnsi="Times New Roman" w:cs="Times New Roman"/>
          <w:bCs/>
          <w:color w:val="000000"/>
          <w:sz w:val="24"/>
          <w:szCs w:val="24"/>
          <w:lang w:eastAsia="lv-LV"/>
        </w:rPr>
        <w:t>u.c. Regulāri apsaimniekotos zālājos raksturīga liela sugu daudzveidība, kuros sastopamas 10</w:t>
      </w:r>
      <w:r w:rsidR="00751F33">
        <w:rPr>
          <w:rFonts w:ascii="Times New Roman" w:eastAsia="Times New Roman" w:hAnsi="Times New Roman" w:cs="Times New Roman"/>
          <w:bCs/>
          <w:color w:val="000000"/>
          <w:sz w:val="24"/>
          <w:szCs w:val="24"/>
          <w:lang w:eastAsia="lv-LV"/>
        </w:rPr>
        <w:t> – </w:t>
      </w:r>
      <w:r w:rsidRPr="00A07F29">
        <w:rPr>
          <w:rFonts w:ascii="Times New Roman" w:eastAsia="Times New Roman" w:hAnsi="Times New Roman" w:cs="Times New Roman"/>
          <w:bCs/>
          <w:color w:val="000000"/>
          <w:sz w:val="24"/>
          <w:szCs w:val="24"/>
          <w:lang w:eastAsia="lv-LV"/>
        </w:rPr>
        <w:t xml:space="preserve">16 </w:t>
      </w:r>
      <w:proofErr w:type="spellStart"/>
      <w:r w:rsidRPr="00A07F29">
        <w:rPr>
          <w:rFonts w:ascii="Times New Roman" w:eastAsia="Times New Roman" w:hAnsi="Times New Roman" w:cs="Times New Roman"/>
          <w:bCs/>
          <w:color w:val="000000"/>
          <w:sz w:val="24"/>
          <w:szCs w:val="24"/>
          <w:lang w:eastAsia="lv-LV"/>
        </w:rPr>
        <w:t>indikatorsugas</w:t>
      </w:r>
      <w:proofErr w:type="spellEnd"/>
      <w:r w:rsidRPr="00A07F29">
        <w:rPr>
          <w:rFonts w:ascii="Times New Roman" w:eastAsia="Times New Roman" w:hAnsi="Times New Roman" w:cs="Times New Roman"/>
          <w:bCs/>
          <w:color w:val="000000"/>
          <w:sz w:val="24"/>
          <w:szCs w:val="24"/>
          <w:lang w:eastAsia="lv-LV"/>
        </w:rPr>
        <w:t xml:space="preserve"> un 1</w:t>
      </w:r>
      <w:r w:rsidR="00751F33">
        <w:rPr>
          <w:rFonts w:ascii="Times New Roman" w:eastAsia="Times New Roman" w:hAnsi="Times New Roman" w:cs="Times New Roman"/>
          <w:bCs/>
          <w:color w:val="000000"/>
          <w:sz w:val="24"/>
          <w:szCs w:val="24"/>
          <w:lang w:eastAsia="lv-LV"/>
        </w:rPr>
        <w:t> </w:t>
      </w:r>
      <w:r w:rsidRPr="00A07F29">
        <w:rPr>
          <w:rFonts w:ascii="Times New Roman" w:eastAsia="Times New Roman" w:hAnsi="Times New Roman" w:cs="Times New Roman"/>
          <w:bCs/>
          <w:color w:val="000000"/>
          <w:sz w:val="24"/>
          <w:szCs w:val="24"/>
          <w:lang w:eastAsia="lv-LV"/>
        </w:rPr>
        <w:t>m</w:t>
      </w:r>
      <w:r w:rsidRPr="00A07F29">
        <w:rPr>
          <w:rFonts w:ascii="Times New Roman" w:eastAsia="Times New Roman" w:hAnsi="Times New Roman" w:cs="Times New Roman"/>
          <w:bCs/>
          <w:color w:val="000000"/>
          <w:sz w:val="24"/>
          <w:szCs w:val="24"/>
          <w:vertAlign w:val="superscript"/>
          <w:lang w:eastAsia="lv-LV"/>
        </w:rPr>
        <w:t>2</w:t>
      </w:r>
      <w:r w:rsidRPr="00A07F29">
        <w:rPr>
          <w:rFonts w:ascii="Times New Roman" w:eastAsia="Times New Roman" w:hAnsi="Times New Roman" w:cs="Times New Roman"/>
          <w:bCs/>
          <w:color w:val="000000"/>
          <w:sz w:val="24"/>
          <w:szCs w:val="24"/>
          <w:lang w:eastAsia="lv-LV"/>
        </w:rPr>
        <w:t xml:space="preserve"> saskaitītas 27</w:t>
      </w:r>
      <w:r w:rsidR="00751F33">
        <w:rPr>
          <w:rFonts w:ascii="Times New Roman" w:eastAsia="Times New Roman" w:hAnsi="Times New Roman" w:cs="Times New Roman"/>
          <w:bCs/>
          <w:color w:val="000000"/>
          <w:sz w:val="24"/>
          <w:szCs w:val="24"/>
          <w:lang w:eastAsia="lv-LV"/>
        </w:rPr>
        <w:t> – </w:t>
      </w:r>
      <w:r w:rsidRPr="00A07F29">
        <w:rPr>
          <w:rFonts w:ascii="Times New Roman" w:eastAsia="Times New Roman" w:hAnsi="Times New Roman" w:cs="Times New Roman"/>
          <w:bCs/>
          <w:color w:val="000000"/>
          <w:sz w:val="24"/>
          <w:szCs w:val="24"/>
          <w:lang w:eastAsia="lv-LV"/>
        </w:rPr>
        <w:t xml:space="preserve">32 </w:t>
      </w:r>
      <w:proofErr w:type="spellStart"/>
      <w:r w:rsidRPr="00A07F29">
        <w:rPr>
          <w:rFonts w:ascii="Times New Roman" w:eastAsia="Times New Roman" w:hAnsi="Times New Roman" w:cs="Times New Roman"/>
          <w:bCs/>
          <w:color w:val="000000"/>
          <w:sz w:val="24"/>
          <w:szCs w:val="24"/>
          <w:lang w:eastAsia="lv-LV"/>
        </w:rPr>
        <w:t>vaskulāro</w:t>
      </w:r>
      <w:proofErr w:type="spellEnd"/>
      <w:r w:rsidRPr="00A07F29">
        <w:rPr>
          <w:rFonts w:ascii="Times New Roman" w:eastAsia="Times New Roman" w:hAnsi="Times New Roman" w:cs="Times New Roman"/>
          <w:bCs/>
          <w:color w:val="000000"/>
          <w:sz w:val="24"/>
          <w:szCs w:val="24"/>
          <w:lang w:eastAsia="lv-LV"/>
        </w:rPr>
        <w:t xml:space="preserve"> augu sugas. Šajā biotopā atrastas vairākas aizsargājamas </w:t>
      </w:r>
      <w:proofErr w:type="spellStart"/>
      <w:r w:rsidRPr="00A07F29">
        <w:rPr>
          <w:rFonts w:ascii="Times New Roman" w:eastAsia="Times New Roman" w:hAnsi="Times New Roman" w:cs="Times New Roman"/>
          <w:bCs/>
          <w:color w:val="000000"/>
          <w:sz w:val="24"/>
          <w:szCs w:val="24"/>
          <w:lang w:eastAsia="lv-LV"/>
        </w:rPr>
        <w:t>vaskulāro</w:t>
      </w:r>
      <w:proofErr w:type="spellEnd"/>
      <w:r w:rsidRPr="00A07F29">
        <w:rPr>
          <w:rFonts w:ascii="Times New Roman" w:eastAsia="Times New Roman" w:hAnsi="Times New Roman" w:cs="Times New Roman"/>
          <w:bCs/>
          <w:color w:val="000000"/>
          <w:sz w:val="24"/>
          <w:szCs w:val="24"/>
          <w:lang w:eastAsia="lv-LV"/>
        </w:rPr>
        <w:t xml:space="preserve"> augu sugas –</w:t>
      </w:r>
      <w:r w:rsidR="00D65BBA" w:rsidRPr="00A07F29">
        <w:rPr>
          <w:rFonts w:ascii="Times New Roman" w:eastAsia="Times New Roman" w:hAnsi="Times New Roman" w:cs="Times New Roman"/>
          <w:bCs/>
          <w:color w:val="000000"/>
          <w:sz w:val="24"/>
          <w:szCs w:val="24"/>
          <w:lang w:eastAsia="lv-LV"/>
        </w:rPr>
        <w:t xml:space="preserve"> </w:t>
      </w:r>
      <w:r w:rsidRPr="00A07F29">
        <w:rPr>
          <w:rFonts w:ascii="Times New Roman" w:eastAsia="Times New Roman" w:hAnsi="Times New Roman" w:cs="Times New Roman"/>
          <w:bCs/>
          <w:color w:val="000000"/>
          <w:sz w:val="24"/>
          <w:szCs w:val="24"/>
          <w:lang w:eastAsia="lv-LV"/>
        </w:rPr>
        <w:t xml:space="preserve">plankumainā </w:t>
      </w:r>
      <w:proofErr w:type="spellStart"/>
      <w:r w:rsidRPr="00A07F29">
        <w:rPr>
          <w:rFonts w:ascii="Times New Roman" w:eastAsia="Times New Roman" w:hAnsi="Times New Roman" w:cs="Times New Roman"/>
          <w:bCs/>
          <w:color w:val="000000"/>
          <w:sz w:val="24"/>
          <w:szCs w:val="24"/>
          <w:lang w:eastAsia="lv-LV"/>
        </w:rPr>
        <w:t>dzegužpirkstīte</w:t>
      </w:r>
      <w:proofErr w:type="spellEnd"/>
      <w:r w:rsidRPr="00A07F29">
        <w:rPr>
          <w:rFonts w:ascii="Times New Roman" w:eastAsia="Times New Roman" w:hAnsi="Times New Roman" w:cs="Times New Roman"/>
          <w:b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Dactylorhiza</w:t>
      </w:r>
      <w:proofErr w:type="spellEnd"/>
      <w:r w:rsidRPr="00A07F29">
        <w:rPr>
          <w:rFonts w:ascii="Times New Roman" w:eastAsia="Times New Roman" w:hAnsi="Times New Roman" w:cs="Times New Roman"/>
          <w:bCs/>
          <w:i/>
          <w:i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maculata</w:t>
      </w:r>
      <w:proofErr w:type="spellEnd"/>
      <w:r w:rsidRPr="00A07F29">
        <w:rPr>
          <w:rFonts w:ascii="Times New Roman" w:eastAsia="Times New Roman" w:hAnsi="Times New Roman" w:cs="Times New Roman"/>
          <w:bCs/>
          <w:color w:val="000000"/>
          <w:sz w:val="24"/>
          <w:szCs w:val="24"/>
          <w:lang w:eastAsia="lv-LV"/>
        </w:rPr>
        <w:t xml:space="preserve">, jumstiņu gladiola </w:t>
      </w:r>
      <w:proofErr w:type="spellStart"/>
      <w:r w:rsidRPr="00A07F29">
        <w:rPr>
          <w:rFonts w:ascii="Times New Roman" w:eastAsia="Times New Roman" w:hAnsi="Times New Roman" w:cs="Times New Roman"/>
          <w:bCs/>
          <w:i/>
          <w:iCs/>
          <w:color w:val="000000"/>
          <w:sz w:val="24"/>
          <w:szCs w:val="24"/>
          <w:lang w:eastAsia="lv-LV"/>
        </w:rPr>
        <w:t>Gladiolus</w:t>
      </w:r>
      <w:proofErr w:type="spellEnd"/>
      <w:r w:rsidRPr="00A07F29">
        <w:rPr>
          <w:rFonts w:ascii="Times New Roman" w:eastAsia="Times New Roman" w:hAnsi="Times New Roman" w:cs="Times New Roman"/>
          <w:bCs/>
          <w:i/>
          <w:i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imbricatus</w:t>
      </w:r>
      <w:proofErr w:type="spellEnd"/>
      <w:r w:rsidRPr="00A07F29">
        <w:rPr>
          <w:rFonts w:ascii="Times New Roman" w:eastAsia="Times New Roman" w:hAnsi="Times New Roman" w:cs="Times New Roman"/>
          <w:bCs/>
          <w:color w:val="000000"/>
          <w:sz w:val="24"/>
          <w:szCs w:val="24"/>
          <w:lang w:eastAsia="lv-LV"/>
        </w:rPr>
        <w:t xml:space="preserve">, Sibīrijas skalbe </w:t>
      </w:r>
      <w:r w:rsidRPr="00A07F29">
        <w:rPr>
          <w:rFonts w:ascii="Times New Roman" w:eastAsia="Times New Roman" w:hAnsi="Times New Roman" w:cs="Times New Roman"/>
          <w:bCs/>
          <w:i/>
          <w:iCs/>
          <w:color w:val="000000"/>
          <w:sz w:val="24"/>
          <w:szCs w:val="24"/>
          <w:lang w:eastAsia="lv-LV"/>
        </w:rPr>
        <w:t xml:space="preserve">Iris </w:t>
      </w:r>
      <w:proofErr w:type="spellStart"/>
      <w:r w:rsidRPr="00A07F29">
        <w:rPr>
          <w:rFonts w:ascii="Times New Roman" w:eastAsia="Times New Roman" w:hAnsi="Times New Roman" w:cs="Times New Roman"/>
          <w:bCs/>
          <w:i/>
          <w:iCs/>
          <w:color w:val="000000"/>
          <w:sz w:val="24"/>
          <w:szCs w:val="24"/>
          <w:lang w:eastAsia="lv-LV"/>
        </w:rPr>
        <w:t>sibirica</w:t>
      </w:r>
      <w:proofErr w:type="spellEnd"/>
      <w:r w:rsidRPr="00A07F29">
        <w:rPr>
          <w:rFonts w:ascii="Times New Roman" w:eastAsia="Times New Roman" w:hAnsi="Times New Roman" w:cs="Times New Roman"/>
          <w:bCs/>
          <w:i/>
          <w:iCs/>
          <w:color w:val="000000"/>
          <w:sz w:val="24"/>
          <w:szCs w:val="24"/>
          <w:lang w:eastAsia="lv-LV"/>
        </w:rPr>
        <w:t xml:space="preserve"> </w:t>
      </w:r>
      <w:r w:rsidRPr="00A07F29">
        <w:rPr>
          <w:rFonts w:ascii="Times New Roman" w:eastAsia="Times New Roman" w:hAnsi="Times New Roman" w:cs="Times New Roman"/>
          <w:bCs/>
          <w:color w:val="000000"/>
          <w:sz w:val="24"/>
          <w:szCs w:val="24"/>
          <w:lang w:eastAsia="lv-LV"/>
        </w:rPr>
        <w:t xml:space="preserve">un </w:t>
      </w:r>
      <w:proofErr w:type="spellStart"/>
      <w:r w:rsidRPr="00A07F29">
        <w:rPr>
          <w:rFonts w:ascii="Times New Roman" w:eastAsia="Times New Roman" w:hAnsi="Times New Roman" w:cs="Times New Roman"/>
          <w:bCs/>
          <w:color w:val="000000"/>
          <w:sz w:val="24"/>
          <w:szCs w:val="24"/>
          <w:lang w:eastAsia="lv-LV"/>
        </w:rPr>
        <w:t>Austrumlatvijā</w:t>
      </w:r>
      <w:proofErr w:type="spellEnd"/>
      <w:r w:rsidRPr="00A07F29">
        <w:rPr>
          <w:rFonts w:ascii="Times New Roman" w:eastAsia="Times New Roman" w:hAnsi="Times New Roman" w:cs="Times New Roman"/>
          <w:bCs/>
          <w:color w:val="000000"/>
          <w:sz w:val="24"/>
          <w:szCs w:val="24"/>
          <w:lang w:eastAsia="lv-LV"/>
        </w:rPr>
        <w:t xml:space="preserve"> pirmoreiz konstatētais akotainais grīslis </w:t>
      </w:r>
      <w:proofErr w:type="spellStart"/>
      <w:r w:rsidRPr="00A07F29">
        <w:rPr>
          <w:rFonts w:ascii="Times New Roman" w:eastAsia="Times New Roman" w:hAnsi="Times New Roman" w:cs="Times New Roman"/>
          <w:bCs/>
          <w:i/>
          <w:iCs/>
          <w:color w:val="000000"/>
          <w:sz w:val="24"/>
          <w:szCs w:val="24"/>
          <w:lang w:eastAsia="lv-LV"/>
        </w:rPr>
        <w:t>Carex</w:t>
      </w:r>
      <w:proofErr w:type="spellEnd"/>
      <w:r w:rsidRPr="00A07F29">
        <w:rPr>
          <w:rFonts w:ascii="Times New Roman" w:eastAsia="Times New Roman" w:hAnsi="Times New Roman" w:cs="Times New Roman"/>
          <w:bCs/>
          <w:i/>
          <w:i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atherodes</w:t>
      </w:r>
      <w:proofErr w:type="spellEnd"/>
      <w:r w:rsidRPr="00A07F29">
        <w:rPr>
          <w:rFonts w:ascii="Times New Roman" w:eastAsia="Times New Roman" w:hAnsi="Times New Roman" w:cs="Times New Roman"/>
          <w:bCs/>
          <w:color w:val="000000"/>
          <w:sz w:val="24"/>
          <w:szCs w:val="24"/>
          <w:lang w:eastAsia="lv-LV"/>
        </w:rPr>
        <w:t>. 6410</w:t>
      </w:r>
      <w:r w:rsidR="000D369E">
        <w:rPr>
          <w:rFonts w:ascii="Times New Roman" w:eastAsia="Times New Roman" w:hAnsi="Times New Roman" w:cs="Times New Roman"/>
          <w:bCs/>
          <w:color w:val="000000"/>
          <w:sz w:val="24"/>
          <w:szCs w:val="24"/>
          <w:lang w:eastAsia="lv-LV"/>
        </w:rPr>
        <w:t> </w:t>
      </w:r>
      <w:r w:rsidRPr="00A07F29">
        <w:rPr>
          <w:rFonts w:ascii="Times New Roman" w:eastAsia="Times New Roman" w:hAnsi="Times New Roman" w:cs="Times New Roman"/>
          <w:bCs/>
          <w:i/>
          <w:iCs/>
          <w:color w:val="000000"/>
          <w:sz w:val="24"/>
          <w:szCs w:val="24"/>
          <w:lang w:eastAsia="lv-LV"/>
        </w:rPr>
        <w:t>Mitri zālāji periodiski izžūstošās augsnēs</w:t>
      </w:r>
      <w:r w:rsidRPr="00A07F29">
        <w:rPr>
          <w:rFonts w:ascii="Times New Roman" w:eastAsia="Times New Roman" w:hAnsi="Times New Roman" w:cs="Times New Roman"/>
          <w:bCs/>
          <w:color w:val="000000"/>
          <w:sz w:val="24"/>
          <w:szCs w:val="24"/>
          <w:lang w:eastAsia="lv-LV"/>
        </w:rPr>
        <w:t xml:space="preserve"> ir piemērota </w:t>
      </w:r>
      <w:proofErr w:type="spellStart"/>
      <w:r w:rsidRPr="00A07F29">
        <w:rPr>
          <w:rFonts w:ascii="Times New Roman" w:eastAsia="Times New Roman" w:hAnsi="Times New Roman" w:cs="Times New Roman"/>
          <w:bCs/>
          <w:color w:val="000000"/>
          <w:sz w:val="24"/>
          <w:szCs w:val="24"/>
          <w:lang w:eastAsia="lv-LV"/>
        </w:rPr>
        <w:t>augtene</w:t>
      </w:r>
      <w:proofErr w:type="spellEnd"/>
      <w:r w:rsidRPr="00A07F29">
        <w:rPr>
          <w:rFonts w:ascii="Times New Roman" w:eastAsia="Times New Roman" w:hAnsi="Times New Roman" w:cs="Times New Roman"/>
          <w:bCs/>
          <w:color w:val="000000"/>
          <w:sz w:val="24"/>
          <w:szCs w:val="24"/>
          <w:lang w:eastAsia="lv-LV"/>
        </w:rPr>
        <w:t xml:space="preserve"> retajām un apdraudētajām orhideju dzimtas sugām.</w:t>
      </w:r>
    </w:p>
    <w:p w14:paraId="5EF9C4F8" w14:textId="6A542DC3" w:rsidR="002B1603" w:rsidRPr="00A07F29" w:rsidRDefault="009F6472" w:rsidP="009F6472">
      <w:pPr>
        <w:spacing w:after="120" w:line="240" w:lineRule="auto"/>
        <w:ind w:firstLine="851"/>
        <w:jc w:val="both"/>
        <w:rPr>
          <w:rFonts w:ascii="Times New Roman" w:eastAsia="Times New Roman" w:hAnsi="Times New Roman" w:cs="Times New Roman"/>
          <w:bCs/>
          <w:color w:val="000000"/>
          <w:sz w:val="24"/>
          <w:szCs w:val="24"/>
          <w:lang w:eastAsia="lv-LV"/>
        </w:rPr>
      </w:pPr>
      <w:r w:rsidRPr="00A07F29">
        <w:rPr>
          <w:rFonts w:ascii="Times New Roman" w:eastAsia="Times New Roman" w:hAnsi="Times New Roman" w:cs="Times New Roman"/>
          <w:bCs/>
          <w:color w:val="000000"/>
          <w:sz w:val="24"/>
          <w:szCs w:val="24"/>
          <w:lang w:eastAsia="lv-LV"/>
        </w:rPr>
        <w:t>Biotops 6410</w:t>
      </w:r>
      <w:r w:rsidR="000D369E">
        <w:rPr>
          <w:rFonts w:ascii="Times New Roman" w:eastAsia="Times New Roman" w:hAnsi="Times New Roman" w:cs="Times New Roman"/>
          <w:bCs/>
          <w:color w:val="000000"/>
          <w:sz w:val="24"/>
          <w:szCs w:val="24"/>
          <w:lang w:eastAsia="lv-LV"/>
        </w:rPr>
        <w:t> </w:t>
      </w:r>
      <w:r w:rsidRPr="00A07F29">
        <w:rPr>
          <w:rFonts w:ascii="Times New Roman" w:eastAsia="Times New Roman" w:hAnsi="Times New Roman" w:cs="Times New Roman"/>
          <w:bCs/>
          <w:i/>
          <w:iCs/>
          <w:color w:val="000000"/>
          <w:sz w:val="24"/>
          <w:szCs w:val="24"/>
          <w:lang w:eastAsia="lv-LV"/>
        </w:rPr>
        <w:t>Mitri zālāji periodiski izžūstošās augsnēs</w:t>
      </w:r>
      <w:r w:rsidRPr="00A07F29">
        <w:rPr>
          <w:rFonts w:ascii="Times New Roman" w:eastAsia="Times New Roman" w:hAnsi="Times New Roman" w:cs="Times New Roman"/>
          <w:bCs/>
          <w:iCs/>
          <w:color w:val="000000"/>
          <w:sz w:val="24"/>
          <w:szCs w:val="24"/>
          <w:lang w:eastAsia="lv-LV"/>
        </w:rPr>
        <w:t xml:space="preserve"> AAA “Augšdaugava” sastopams ļoti reti nelielos poligonos, tā kvalitāte vērtējama kā laba.</w:t>
      </w:r>
    </w:p>
    <w:p w14:paraId="2F064F9D" w14:textId="577BC7FF" w:rsidR="002B1603" w:rsidRPr="00A07F29" w:rsidRDefault="002B1603" w:rsidP="00744FBA">
      <w:pPr>
        <w:spacing w:before="240" w:after="120" w:line="240" w:lineRule="auto"/>
        <w:jc w:val="both"/>
        <w:rPr>
          <w:rFonts w:ascii="Times New Roman" w:eastAsia="Times New Roman" w:hAnsi="Times New Roman" w:cs="Times New Roman"/>
          <w:b/>
          <w:bCs/>
          <w:color w:val="000000"/>
          <w:sz w:val="24"/>
          <w:szCs w:val="24"/>
          <w:lang w:eastAsia="lv-LV"/>
        </w:rPr>
      </w:pPr>
      <w:r w:rsidRPr="00A07F29">
        <w:rPr>
          <w:rFonts w:ascii="Times New Roman" w:eastAsia="Times New Roman" w:hAnsi="Times New Roman" w:cs="Times New Roman"/>
          <w:b/>
          <w:bCs/>
          <w:color w:val="000000"/>
          <w:sz w:val="24"/>
          <w:szCs w:val="24"/>
          <w:lang w:eastAsia="lv-LV"/>
        </w:rPr>
        <w:lastRenderedPageBreak/>
        <w:t xml:space="preserve">6430 </w:t>
      </w:r>
      <w:proofErr w:type="spellStart"/>
      <w:r w:rsidRPr="00A07F29">
        <w:rPr>
          <w:rFonts w:ascii="Times New Roman" w:eastAsia="Times New Roman" w:hAnsi="Times New Roman" w:cs="Times New Roman"/>
          <w:b/>
          <w:bCs/>
          <w:i/>
          <w:iCs/>
          <w:color w:val="000000"/>
          <w:sz w:val="24"/>
          <w:szCs w:val="24"/>
          <w:lang w:eastAsia="lv-LV"/>
        </w:rPr>
        <w:t>Eitrofas</w:t>
      </w:r>
      <w:proofErr w:type="spellEnd"/>
      <w:r w:rsidRPr="00A07F29">
        <w:rPr>
          <w:rFonts w:ascii="Times New Roman" w:eastAsia="Times New Roman" w:hAnsi="Times New Roman" w:cs="Times New Roman"/>
          <w:b/>
          <w:bCs/>
          <w:i/>
          <w:iCs/>
          <w:color w:val="000000"/>
          <w:sz w:val="24"/>
          <w:szCs w:val="24"/>
          <w:lang w:eastAsia="lv-LV"/>
        </w:rPr>
        <w:t xml:space="preserve"> augsto lakstaugu audzes</w:t>
      </w:r>
    </w:p>
    <w:p w14:paraId="0C1D24C0" w14:textId="01BD9723" w:rsidR="005D7239" w:rsidRPr="00A07F29" w:rsidRDefault="002B1603" w:rsidP="00744FBA">
      <w:pPr>
        <w:spacing w:after="120" w:line="240" w:lineRule="auto"/>
        <w:ind w:firstLine="851"/>
        <w:jc w:val="both"/>
        <w:rPr>
          <w:rFonts w:ascii="Times New Roman" w:eastAsia="Times New Roman" w:hAnsi="Times New Roman" w:cs="Times New Roman"/>
          <w:bCs/>
          <w:color w:val="000000"/>
          <w:sz w:val="24"/>
          <w:szCs w:val="24"/>
          <w:lang w:eastAsia="lv-LV"/>
        </w:rPr>
      </w:pPr>
      <w:r w:rsidRPr="00A07F29">
        <w:rPr>
          <w:rFonts w:ascii="Times New Roman" w:eastAsia="Times New Roman" w:hAnsi="Times New Roman" w:cs="Times New Roman"/>
          <w:bCs/>
          <w:color w:val="000000"/>
          <w:sz w:val="24"/>
          <w:szCs w:val="24"/>
          <w:lang w:eastAsia="lv-LV"/>
        </w:rPr>
        <w:t xml:space="preserve">Šis biotops šauras, dažus metrus platas joslas veidā stiepjas gar Daugavas abiem krastiem gandrīz visā AAA </w:t>
      </w:r>
      <w:r w:rsidR="009F6472" w:rsidRPr="00A07F29">
        <w:rPr>
          <w:rFonts w:ascii="Times New Roman" w:eastAsia="Times New Roman" w:hAnsi="Times New Roman" w:cs="Times New Roman"/>
          <w:bCs/>
          <w:sz w:val="24"/>
          <w:szCs w:val="24"/>
          <w:lang w:eastAsia="lv-LV"/>
        </w:rPr>
        <w:t xml:space="preserve">“Augšdaugava” </w:t>
      </w:r>
      <w:r w:rsidRPr="00A07F29">
        <w:rPr>
          <w:rFonts w:ascii="Times New Roman" w:eastAsia="Times New Roman" w:hAnsi="Times New Roman" w:cs="Times New Roman"/>
          <w:bCs/>
          <w:sz w:val="24"/>
          <w:szCs w:val="24"/>
          <w:lang w:eastAsia="lv-LV"/>
        </w:rPr>
        <w:t xml:space="preserve">teritorijā un turpinās arī ārpus </w:t>
      </w:r>
      <w:r w:rsidR="009F6472" w:rsidRPr="00A07F29">
        <w:rPr>
          <w:rFonts w:ascii="Times New Roman" w:eastAsia="Times New Roman" w:hAnsi="Times New Roman" w:cs="Times New Roman"/>
          <w:bCs/>
          <w:sz w:val="24"/>
          <w:szCs w:val="24"/>
          <w:lang w:eastAsia="lv-LV"/>
        </w:rPr>
        <w:t xml:space="preserve">tās. </w:t>
      </w:r>
      <w:r w:rsidR="009F6472" w:rsidRPr="00A07F29">
        <w:rPr>
          <w:rFonts w:ascii="Times New Roman" w:hAnsi="Times New Roman" w:cs="Times New Roman"/>
          <w:sz w:val="24"/>
          <w:szCs w:val="24"/>
        </w:rPr>
        <w:t xml:space="preserve">AAA </w:t>
      </w:r>
      <w:r w:rsidR="00F92056">
        <w:rPr>
          <w:rFonts w:ascii="Times New Roman" w:eastAsia="Times New Roman" w:hAnsi="Times New Roman" w:cs="Times New Roman"/>
          <w:bCs/>
          <w:sz w:val="24"/>
          <w:szCs w:val="24"/>
          <w:lang w:eastAsia="lv-LV"/>
        </w:rPr>
        <w:t>“</w:t>
      </w:r>
      <w:r w:rsidR="009F6472" w:rsidRPr="00A07F29">
        <w:rPr>
          <w:rFonts w:ascii="Times New Roman" w:eastAsia="Times New Roman" w:hAnsi="Times New Roman" w:cs="Times New Roman"/>
          <w:bCs/>
          <w:sz w:val="24"/>
          <w:szCs w:val="24"/>
          <w:lang w:eastAsia="lv-LV"/>
        </w:rPr>
        <w:t xml:space="preserve">Augšdaugava” </w:t>
      </w:r>
      <w:r w:rsidR="009F6472" w:rsidRPr="00A07F29">
        <w:rPr>
          <w:rFonts w:ascii="Times New Roman" w:hAnsi="Times New Roman" w:cs="Times New Roman"/>
          <w:sz w:val="24"/>
          <w:szCs w:val="24"/>
        </w:rPr>
        <w:t xml:space="preserve">ir nozīmīga teritorija biotopa </w:t>
      </w:r>
      <w:r w:rsidR="005D7239" w:rsidRPr="00A07F29">
        <w:rPr>
          <w:rFonts w:ascii="Times New Roman" w:eastAsia="Times New Roman" w:hAnsi="Times New Roman" w:cs="Times New Roman"/>
          <w:bCs/>
          <w:sz w:val="24"/>
          <w:szCs w:val="24"/>
          <w:lang w:eastAsia="lv-LV"/>
        </w:rPr>
        <w:t>6430</w:t>
      </w:r>
      <w:r w:rsidR="00F92056">
        <w:rPr>
          <w:rFonts w:ascii="Times New Roman" w:eastAsia="Times New Roman" w:hAnsi="Times New Roman" w:cs="Times New Roman"/>
          <w:bCs/>
          <w:sz w:val="24"/>
          <w:szCs w:val="24"/>
          <w:lang w:eastAsia="lv-LV"/>
        </w:rPr>
        <w:t> </w:t>
      </w:r>
      <w:proofErr w:type="spellStart"/>
      <w:r w:rsidR="005D7239" w:rsidRPr="00A07F29">
        <w:rPr>
          <w:rFonts w:ascii="Times New Roman" w:eastAsia="Times New Roman" w:hAnsi="Times New Roman" w:cs="Times New Roman"/>
          <w:bCs/>
          <w:i/>
          <w:iCs/>
          <w:sz w:val="24"/>
          <w:szCs w:val="24"/>
          <w:lang w:eastAsia="lv-LV"/>
        </w:rPr>
        <w:t>Eitrofas</w:t>
      </w:r>
      <w:proofErr w:type="spellEnd"/>
      <w:r w:rsidR="005D7239" w:rsidRPr="00A07F29">
        <w:rPr>
          <w:rFonts w:ascii="Times New Roman" w:eastAsia="Times New Roman" w:hAnsi="Times New Roman" w:cs="Times New Roman"/>
          <w:bCs/>
          <w:i/>
          <w:iCs/>
          <w:sz w:val="24"/>
          <w:szCs w:val="24"/>
          <w:lang w:eastAsia="lv-LV"/>
        </w:rPr>
        <w:t xml:space="preserve"> augsto lakstaugu audzes</w:t>
      </w:r>
      <w:r w:rsidR="005D7239" w:rsidRPr="00A07F29">
        <w:rPr>
          <w:rFonts w:ascii="Times New Roman" w:hAnsi="Times New Roman" w:cs="Times New Roman"/>
          <w:sz w:val="24"/>
          <w:szCs w:val="24"/>
        </w:rPr>
        <w:t xml:space="preserve"> </w:t>
      </w:r>
      <w:r w:rsidR="009F6472" w:rsidRPr="00A07F29">
        <w:rPr>
          <w:rFonts w:ascii="Times New Roman" w:hAnsi="Times New Roman" w:cs="Times New Roman"/>
          <w:sz w:val="24"/>
          <w:szCs w:val="24"/>
        </w:rPr>
        <w:t>saglabāšanai valsts mērogā.</w:t>
      </w:r>
      <w:r w:rsidR="009F6472" w:rsidRPr="00A07F29">
        <w:rPr>
          <w:rFonts w:ascii="Times New Roman" w:eastAsia="Times New Roman" w:hAnsi="Times New Roman" w:cs="Times New Roman"/>
          <w:bCs/>
          <w:sz w:val="24"/>
          <w:szCs w:val="24"/>
          <w:lang w:eastAsia="lv-LV"/>
        </w:rPr>
        <w:t xml:space="preserve"> Šeit </w:t>
      </w:r>
      <w:r w:rsidR="005D7239" w:rsidRPr="00A07F29">
        <w:rPr>
          <w:rFonts w:ascii="Times New Roman" w:eastAsia="Times New Roman" w:hAnsi="Times New Roman" w:cs="Times New Roman"/>
          <w:bCs/>
          <w:sz w:val="24"/>
          <w:szCs w:val="24"/>
          <w:lang w:eastAsia="lv-LV"/>
        </w:rPr>
        <w:t xml:space="preserve">tas aizņem </w:t>
      </w:r>
      <w:r w:rsidR="00E361D7" w:rsidRPr="00A07F29">
        <w:rPr>
          <w:rFonts w:ascii="Times New Roman" w:eastAsia="Times New Roman" w:hAnsi="Times New Roman" w:cs="Times New Roman"/>
          <w:bCs/>
          <w:sz w:val="24"/>
          <w:szCs w:val="24"/>
          <w:lang w:eastAsia="lv-LV"/>
        </w:rPr>
        <w:t>126,67</w:t>
      </w:r>
      <w:r w:rsidR="00FA64B4">
        <w:rPr>
          <w:rFonts w:ascii="Times New Roman" w:eastAsia="Times New Roman" w:hAnsi="Times New Roman" w:cs="Times New Roman"/>
          <w:bCs/>
          <w:sz w:val="24"/>
          <w:szCs w:val="24"/>
          <w:lang w:eastAsia="lv-LV"/>
        </w:rPr>
        <w:t> </w:t>
      </w:r>
      <w:r w:rsidR="005D7239" w:rsidRPr="00A07F29">
        <w:rPr>
          <w:rFonts w:ascii="Times New Roman" w:eastAsia="Times New Roman" w:hAnsi="Times New Roman" w:cs="Times New Roman"/>
          <w:bCs/>
          <w:sz w:val="24"/>
          <w:szCs w:val="24"/>
          <w:lang w:eastAsia="lv-LV"/>
        </w:rPr>
        <w:t xml:space="preserve">ha platību, kas ir </w:t>
      </w:r>
      <w:r w:rsidR="009F6472" w:rsidRPr="00A07F29">
        <w:rPr>
          <w:rFonts w:ascii="Times New Roman" w:eastAsia="Times New Roman" w:hAnsi="Times New Roman" w:cs="Times New Roman"/>
          <w:bCs/>
          <w:sz w:val="24"/>
          <w:szCs w:val="24"/>
          <w:lang w:eastAsia="lv-LV"/>
        </w:rPr>
        <w:t>31,29</w:t>
      </w:r>
      <w:r w:rsidR="00FA64B4">
        <w:rPr>
          <w:rFonts w:ascii="Times New Roman" w:eastAsia="Times New Roman" w:hAnsi="Times New Roman" w:cs="Times New Roman"/>
          <w:bCs/>
          <w:sz w:val="24"/>
          <w:szCs w:val="24"/>
          <w:lang w:eastAsia="lv-LV"/>
        </w:rPr>
        <w:t> </w:t>
      </w:r>
      <w:r w:rsidR="009F6472" w:rsidRPr="00A07F29">
        <w:rPr>
          <w:rFonts w:ascii="Times New Roman" w:eastAsia="Times New Roman" w:hAnsi="Times New Roman" w:cs="Times New Roman"/>
          <w:bCs/>
          <w:sz w:val="24"/>
          <w:szCs w:val="24"/>
          <w:lang w:eastAsia="lv-LV"/>
        </w:rPr>
        <w:t xml:space="preserve">% no </w:t>
      </w:r>
      <w:proofErr w:type="spellStart"/>
      <w:r w:rsidR="009F6472" w:rsidRPr="00A07F29">
        <w:rPr>
          <w:rFonts w:ascii="Times New Roman" w:eastAsia="Times New Roman" w:hAnsi="Times New Roman" w:cs="Times New Roman"/>
          <w:bCs/>
          <w:i/>
          <w:sz w:val="24"/>
          <w:szCs w:val="24"/>
          <w:lang w:eastAsia="lv-LV"/>
        </w:rPr>
        <w:t>Natura</w:t>
      </w:r>
      <w:proofErr w:type="spellEnd"/>
      <w:r w:rsidR="009F6472" w:rsidRPr="00A07F29">
        <w:rPr>
          <w:rFonts w:ascii="Times New Roman" w:eastAsia="Times New Roman" w:hAnsi="Times New Roman" w:cs="Times New Roman"/>
          <w:bCs/>
          <w:i/>
          <w:sz w:val="24"/>
          <w:szCs w:val="24"/>
          <w:lang w:eastAsia="lv-LV"/>
        </w:rPr>
        <w:t xml:space="preserve"> 2000</w:t>
      </w:r>
      <w:r w:rsidR="009F6472" w:rsidRPr="00A07F29">
        <w:rPr>
          <w:rFonts w:ascii="Times New Roman" w:eastAsia="Times New Roman" w:hAnsi="Times New Roman" w:cs="Times New Roman"/>
          <w:bCs/>
          <w:sz w:val="24"/>
          <w:szCs w:val="24"/>
          <w:lang w:eastAsia="lv-LV"/>
        </w:rPr>
        <w:t xml:space="preserve"> teritorijās esoš</w:t>
      </w:r>
      <w:r w:rsidR="005D7239" w:rsidRPr="00A07F29">
        <w:rPr>
          <w:rFonts w:ascii="Times New Roman" w:eastAsia="Times New Roman" w:hAnsi="Times New Roman" w:cs="Times New Roman"/>
          <w:bCs/>
          <w:sz w:val="24"/>
          <w:szCs w:val="24"/>
          <w:lang w:eastAsia="lv-LV"/>
        </w:rPr>
        <w:t xml:space="preserve">ās šī </w:t>
      </w:r>
      <w:r w:rsidR="009F6472" w:rsidRPr="00A07F29">
        <w:rPr>
          <w:rFonts w:ascii="Times New Roman" w:eastAsia="Times New Roman" w:hAnsi="Times New Roman" w:cs="Times New Roman"/>
          <w:bCs/>
          <w:sz w:val="24"/>
          <w:szCs w:val="24"/>
          <w:lang w:eastAsia="lv-LV"/>
        </w:rPr>
        <w:t>biotop</w:t>
      </w:r>
      <w:r w:rsidR="005D7239" w:rsidRPr="00A07F29">
        <w:rPr>
          <w:rFonts w:ascii="Times New Roman" w:eastAsia="Times New Roman" w:hAnsi="Times New Roman" w:cs="Times New Roman"/>
          <w:bCs/>
          <w:sz w:val="24"/>
          <w:szCs w:val="24"/>
          <w:lang w:eastAsia="lv-LV"/>
        </w:rPr>
        <w:t>a</w:t>
      </w:r>
      <w:r w:rsidR="009F6472" w:rsidRPr="00A07F29">
        <w:rPr>
          <w:rFonts w:ascii="Times New Roman" w:eastAsia="Times New Roman" w:hAnsi="Times New Roman" w:cs="Times New Roman"/>
          <w:bCs/>
          <w:sz w:val="24"/>
          <w:szCs w:val="24"/>
          <w:lang w:eastAsia="lv-LV"/>
        </w:rPr>
        <w:t xml:space="preserve"> platības un 17,96</w:t>
      </w:r>
      <w:r w:rsidR="00FA64B4">
        <w:rPr>
          <w:rFonts w:ascii="Times New Roman" w:eastAsia="Times New Roman" w:hAnsi="Times New Roman" w:cs="Times New Roman"/>
          <w:bCs/>
          <w:sz w:val="24"/>
          <w:szCs w:val="24"/>
          <w:lang w:eastAsia="lv-LV"/>
        </w:rPr>
        <w:t> </w:t>
      </w:r>
      <w:r w:rsidR="009F6472" w:rsidRPr="00A07F29">
        <w:rPr>
          <w:rFonts w:ascii="Times New Roman" w:eastAsia="Times New Roman" w:hAnsi="Times New Roman" w:cs="Times New Roman"/>
          <w:bCs/>
          <w:sz w:val="24"/>
          <w:szCs w:val="24"/>
          <w:lang w:eastAsia="lv-LV"/>
        </w:rPr>
        <w:t>–</w:t>
      </w:r>
      <w:r w:rsidR="00FA64B4">
        <w:rPr>
          <w:rFonts w:ascii="Times New Roman" w:eastAsia="Times New Roman" w:hAnsi="Times New Roman" w:cs="Times New Roman"/>
          <w:bCs/>
          <w:sz w:val="24"/>
          <w:szCs w:val="24"/>
          <w:lang w:eastAsia="lv-LV"/>
        </w:rPr>
        <w:t> </w:t>
      </w:r>
      <w:r w:rsidR="009F6472" w:rsidRPr="00A07F29">
        <w:rPr>
          <w:rFonts w:ascii="Times New Roman" w:eastAsia="Times New Roman" w:hAnsi="Times New Roman" w:cs="Times New Roman"/>
          <w:bCs/>
          <w:sz w:val="24"/>
          <w:szCs w:val="24"/>
          <w:lang w:eastAsia="lv-LV"/>
        </w:rPr>
        <w:t>22,95</w:t>
      </w:r>
      <w:r w:rsidR="00FA64B4">
        <w:rPr>
          <w:rFonts w:ascii="Times New Roman" w:eastAsia="Times New Roman" w:hAnsi="Times New Roman" w:cs="Times New Roman"/>
          <w:bCs/>
          <w:sz w:val="24"/>
          <w:szCs w:val="24"/>
          <w:lang w:eastAsia="lv-LV"/>
        </w:rPr>
        <w:t> </w:t>
      </w:r>
      <w:r w:rsidR="009F6472" w:rsidRPr="00A07F29">
        <w:rPr>
          <w:rFonts w:ascii="Times New Roman" w:eastAsia="Times New Roman" w:hAnsi="Times New Roman" w:cs="Times New Roman"/>
          <w:bCs/>
          <w:sz w:val="24"/>
          <w:szCs w:val="24"/>
          <w:lang w:eastAsia="lv-LV"/>
        </w:rPr>
        <w:t xml:space="preserve">% </w:t>
      </w:r>
      <w:r w:rsidR="005D7239" w:rsidRPr="00A07F29">
        <w:rPr>
          <w:rFonts w:ascii="Times New Roman" w:eastAsia="Times New Roman" w:hAnsi="Times New Roman" w:cs="Times New Roman"/>
          <w:bCs/>
          <w:sz w:val="24"/>
          <w:szCs w:val="24"/>
          <w:lang w:eastAsia="lv-LV"/>
        </w:rPr>
        <w:t xml:space="preserve">no Latvijā konstatētās </w:t>
      </w:r>
      <w:r w:rsidR="005D7239" w:rsidRPr="00A07F29">
        <w:rPr>
          <w:rFonts w:ascii="Times New Roman" w:eastAsia="Times New Roman" w:hAnsi="Times New Roman" w:cs="Times New Roman"/>
          <w:bCs/>
          <w:color w:val="000000"/>
          <w:sz w:val="24"/>
          <w:szCs w:val="24"/>
          <w:lang w:eastAsia="lv-LV"/>
        </w:rPr>
        <w:t xml:space="preserve">šī </w:t>
      </w:r>
      <w:r w:rsidR="009F6472" w:rsidRPr="00A07F29">
        <w:rPr>
          <w:rFonts w:ascii="Times New Roman" w:eastAsia="Times New Roman" w:hAnsi="Times New Roman" w:cs="Times New Roman"/>
          <w:bCs/>
          <w:color w:val="000000"/>
          <w:sz w:val="24"/>
          <w:szCs w:val="24"/>
          <w:lang w:eastAsia="lv-LV"/>
        </w:rPr>
        <w:t>biotop</w:t>
      </w:r>
      <w:r w:rsidR="005D7239" w:rsidRPr="00A07F29">
        <w:rPr>
          <w:rFonts w:ascii="Times New Roman" w:eastAsia="Times New Roman" w:hAnsi="Times New Roman" w:cs="Times New Roman"/>
          <w:bCs/>
          <w:color w:val="000000"/>
          <w:sz w:val="24"/>
          <w:szCs w:val="24"/>
          <w:lang w:eastAsia="lv-LV"/>
        </w:rPr>
        <w:t>a</w:t>
      </w:r>
      <w:r w:rsidR="009F6472" w:rsidRPr="00A07F29">
        <w:rPr>
          <w:rFonts w:ascii="Times New Roman" w:eastAsia="Times New Roman" w:hAnsi="Times New Roman" w:cs="Times New Roman"/>
          <w:bCs/>
          <w:color w:val="000000"/>
          <w:sz w:val="24"/>
          <w:szCs w:val="24"/>
          <w:lang w:eastAsia="lv-LV"/>
        </w:rPr>
        <w:t xml:space="preserve"> platības.</w:t>
      </w:r>
    </w:p>
    <w:p w14:paraId="2C3AE3C4" w14:textId="0F391C44" w:rsidR="00744FBA" w:rsidRPr="00A07F29" w:rsidRDefault="002B1603" w:rsidP="00744FBA">
      <w:pPr>
        <w:spacing w:after="120" w:line="240" w:lineRule="auto"/>
        <w:ind w:firstLine="851"/>
        <w:jc w:val="both"/>
        <w:rPr>
          <w:rFonts w:ascii="Times New Roman" w:eastAsia="Times New Roman" w:hAnsi="Times New Roman" w:cs="Times New Roman"/>
          <w:bCs/>
          <w:color w:val="000000"/>
          <w:sz w:val="24"/>
          <w:szCs w:val="24"/>
          <w:lang w:eastAsia="lv-LV"/>
        </w:rPr>
      </w:pPr>
      <w:r w:rsidRPr="00A07F29">
        <w:rPr>
          <w:rFonts w:ascii="Times New Roman" w:eastAsia="Times New Roman" w:hAnsi="Times New Roman" w:cs="Times New Roman"/>
          <w:bCs/>
          <w:color w:val="000000"/>
          <w:sz w:val="24"/>
          <w:szCs w:val="24"/>
          <w:lang w:eastAsia="lv-LV"/>
        </w:rPr>
        <w:t xml:space="preserve">Sugu sastāvs ir līdzīgs kā upju palieņu zālājos – slaidais grīslis </w:t>
      </w:r>
      <w:proofErr w:type="spellStart"/>
      <w:r w:rsidRPr="00A07F29">
        <w:rPr>
          <w:rFonts w:ascii="Times New Roman" w:eastAsia="Times New Roman" w:hAnsi="Times New Roman" w:cs="Times New Roman"/>
          <w:bCs/>
          <w:i/>
          <w:iCs/>
          <w:color w:val="000000"/>
          <w:sz w:val="24"/>
          <w:szCs w:val="24"/>
          <w:lang w:eastAsia="lv-LV"/>
        </w:rPr>
        <w:t>Carex</w:t>
      </w:r>
      <w:proofErr w:type="spellEnd"/>
      <w:r w:rsidRPr="00A07F29">
        <w:rPr>
          <w:rFonts w:ascii="Times New Roman" w:eastAsia="Times New Roman" w:hAnsi="Times New Roman" w:cs="Times New Roman"/>
          <w:bCs/>
          <w:i/>
          <w:i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acuta</w:t>
      </w:r>
      <w:proofErr w:type="spellEnd"/>
      <w:r w:rsidRPr="00A07F29">
        <w:rPr>
          <w:rFonts w:ascii="Times New Roman" w:eastAsia="Times New Roman" w:hAnsi="Times New Roman" w:cs="Times New Roman"/>
          <w:bCs/>
          <w:color w:val="000000"/>
          <w:sz w:val="24"/>
          <w:szCs w:val="24"/>
          <w:lang w:eastAsia="lv-LV"/>
        </w:rPr>
        <w:t xml:space="preserve">, parastais </w:t>
      </w:r>
      <w:proofErr w:type="spellStart"/>
      <w:r w:rsidRPr="00A07F29">
        <w:rPr>
          <w:rFonts w:ascii="Times New Roman" w:eastAsia="Times New Roman" w:hAnsi="Times New Roman" w:cs="Times New Roman"/>
          <w:bCs/>
          <w:color w:val="000000"/>
          <w:sz w:val="24"/>
          <w:szCs w:val="24"/>
          <w:lang w:eastAsia="lv-LV"/>
        </w:rPr>
        <w:t>miežubrālis</w:t>
      </w:r>
      <w:proofErr w:type="spellEnd"/>
      <w:r w:rsidRPr="00A07F29">
        <w:rPr>
          <w:rFonts w:ascii="Times New Roman" w:eastAsia="Times New Roman" w:hAnsi="Times New Roman" w:cs="Times New Roman"/>
          <w:b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Phalaroides</w:t>
      </w:r>
      <w:proofErr w:type="spellEnd"/>
      <w:r w:rsidRPr="00A07F29">
        <w:rPr>
          <w:rFonts w:ascii="Times New Roman" w:eastAsia="Times New Roman" w:hAnsi="Times New Roman" w:cs="Times New Roman"/>
          <w:bCs/>
          <w:i/>
          <w:i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arundinacea</w:t>
      </w:r>
      <w:proofErr w:type="spellEnd"/>
      <w:r w:rsidRPr="00A07F29">
        <w:rPr>
          <w:rFonts w:ascii="Times New Roman" w:eastAsia="Times New Roman" w:hAnsi="Times New Roman" w:cs="Times New Roman"/>
          <w:bCs/>
          <w:color w:val="000000"/>
          <w:sz w:val="24"/>
          <w:szCs w:val="24"/>
          <w:lang w:eastAsia="lv-LV"/>
        </w:rPr>
        <w:t xml:space="preserve">, vītolu </w:t>
      </w:r>
      <w:proofErr w:type="spellStart"/>
      <w:r w:rsidRPr="00A07F29">
        <w:rPr>
          <w:rFonts w:ascii="Times New Roman" w:eastAsia="Times New Roman" w:hAnsi="Times New Roman" w:cs="Times New Roman"/>
          <w:bCs/>
          <w:color w:val="000000"/>
          <w:sz w:val="24"/>
          <w:szCs w:val="24"/>
          <w:lang w:eastAsia="lv-LV"/>
        </w:rPr>
        <w:t>vējmietiņš</w:t>
      </w:r>
      <w:proofErr w:type="spellEnd"/>
      <w:r w:rsidRPr="00A07F29">
        <w:rPr>
          <w:rFonts w:ascii="Times New Roman" w:eastAsia="Times New Roman" w:hAnsi="Times New Roman" w:cs="Times New Roman"/>
          <w:b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Lythrum</w:t>
      </w:r>
      <w:proofErr w:type="spellEnd"/>
      <w:r w:rsidRPr="00A07F29">
        <w:rPr>
          <w:rFonts w:ascii="Times New Roman" w:eastAsia="Times New Roman" w:hAnsi="Times New Roman" w:cs="Times New Roman"/>
          <w:bCs/>
          <w:i/>
          <w:i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salicaria</w:t>
      </w:r>
      <w:proofErr w:type="spellEnd"/>
      <w:r w:rsidRPr="00A07F29">
        <w:rPr>
          <w:rFonts w:ascii="Times New Roman" w:eastAsia="Times New Roman" w:hAnsi="Times New Roman" w:cs="Times New Roman"/>
          <w:bCs/>
          <w:i/>
          <w:iCs/>
          <w:color w:val="000000"/>
          <w:sz w:val="24"/>
          <w:szCs w:val="24"/>
          <w:lang w:eastAsia="lv-LV"/>
        </w:rPr>
        <w:t xml:space="preserve"> </w:t>
      </w:r>
      <w:r w:rsidRPr="00A07F29">
        <w:rPr>
          <w:rFonts w:ascii="Times New Roman" w:eastAsia="Times New Roman" w:hAnsi="Times New Roman" w:cs="Times New Roman"/>
          <w:bCs/>
          <w:color w:val="000000"/>
          <w:sz w:val="24"/>
          <w:szCs w:val="24"/>
          <w:lang w:eastAsia="lv-LV"/>
        </w:rPr>
        <w:t xml:space="preserve">u.c., taču no tām atšķiras ar atrašanos mainīga mitruma apstākļos ūdenslīnijas tuvumā, nelielo platumu un biežāk sastopamām raksturīgām krastmalu sugām – upmalu madaru </w:t>
      </w:r>
      <w:proofErr w:type="spellStart"/>
      <w:r w:rsidRPr="00A07F29">
        <w:rPr>
          <w:rFonts w:ascii="Times New Roman" w:eastAsia="Times New Roman" w:hAnsi="Times New Roman" w:cs="Times New Roman"/>
          <w:bCs/>
          <w:i/>
          <w:iCs/>
          <w:color w:val="000000"/>
          <w:sz w:val="24"/>
          <w:szCs w:val="24"/>
          <w:lang w:eastAsia="lv-LV"/>
        </w:rPr>
        <w:t>Galium</w:t>
      </w:r>
      <w:proofErr w:type="spellEnd"/>
      <w:r w:rsidRPr="00A07F29">
        <w:rPr>
          <w:rFonts w:ascii="Times New Roman" w:eastAsia="Times New Roman" w:hAnsi="Times New Roman" w:cs="Times New Roman"/>
          <w:bCs/>
          <w:i/>
          <w:i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rivale</w:t>
      </w:r>
      <w:proofErr w:type="spellEnd"/>
      <w:r w:rsidRPr="00A07F29">
        <w:rPr>
          <w:rFonts w:ascii="Times New Roman" w:eastAsia="Times New Roman" w:hAnsi="Times New Roman" w:cs="Times New Roman"/>
          <w:bCs/>
          <w:color w:val="000000"/>
          <w:sz w:val="24"/>
          <w:szCs w:val="24"/>
          <w:lang w:eastAsia="lv-LV"/>
        </w:rPr>
        <w:t xml:space="preserve">, krastmalu </w:t>
      </w:r>
      <w:proofErr w:type="spellStart"/>
      <w:r w:rsidRPr="00A07F29">
        <w:rPr>
          <w:rFonts w:ascii="Times New Roman" w:eastAsia="Times New Roman" w:hAnsi="Times New Roman" w:cs="Times New Roman"/>
          <w:bCs/>
          <w:color w:val="000000"/>
          <w:sz w:val="24"/>
          <w:szCs w:val="24"/>
          <w:lang w:eastAsia="lv-LV"/>
        </w:rPr>
        <w:t>krustaini</w:t>
      </w:r>
      <w:proofErr w:type="spellEnd"/>
      <w:r w:rsidRPr="00A07F29">
        <w:rPr>
          <w:rFonts w:ascii="Times New Roman" w:eastAsia="Times New Roman" w:hAnsi="Times New Roman" w:cs="Times New Roman"/>
          <w:b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Senecio</w:t>
      </w:r>
      <w:proofErr w:type="spellEnd"/>
      <w:r w:rsidRPr="00A07F29">
        <w:rPr>
          <w:rFonts w:ascii="Times New Roman" w:eastAsia="Times New Roman" w:hAnsi="Times New Roman" w:cs="Times New Roman"/>
          <w:bCs/>
          <w:i/>
          <w:i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paludosus</w:t>
      </w:r>
      <w:proofErr w:type="spellEnd"/>
      <w:r w:rsidRPr="00A07F29">
        <w:rPr>
          <w:rFonts w:ascii="Times New Roman" w:eastAsia="Times New Roman" w:hAnsi="Times New Roman" w:cs="Times New Roman"/>
          <w:bCs/>
          <w:color w:val="000000"/>
          <w:sz w:val="24"/>
          <w:szCs w:val="24"/>
          <w:lang w:eastAsia="lv-LV"/>
        </w:rPr>
        <w:t xml:space="preserve">, </w:t>
      </w:r>
      <w:proofErr w:type="spellStart"/>
      <w:r w:rsidRPr="00A07F29">
        <w:rPr>
          <w:rFonts w:ascii="Times New Roman" w:eastAsia="Times New Roman" w:hAnsi="Times New Roman" w:cs="Times New Roman"/>
          <w:bCs/>
          <w:color w:val="000000"/>
          <w:sz w:val="24"/>
          <w:szCs w:val="24"/>
          <w:lang w:eastAsia="lv-LV"/>
        </w:rPr>
        <w:t>ūdensmētru</w:t>
      </w:r>
      <w:proofErr w:type="spellEnd"/>
      <w:r w:rsidRPr="00A07F29">
        <w:rPr>
          <w:rFonts w:ascii="Times New Roman" w:eastAsia="Times New Roman" w:hAnsi="Times New Roman" w:cs="Times New Roman"/>
          <w:b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Mentha</w:t>
      </w:r>
      <w:proofErr w:type="spellEnd"/>
      <w:r w:rsidRPr="00A07F29">
        <w:rPr>
          <w:rFonts w:ascii="Times New Roman" w:eastAsia="Times New Roman" w:hAnsi="Times New Roman" w:cs="Times New Roman"/>
          <w:bCs/>
          <w:i/>
          <w:i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aquatica</w:t>
      </w:r>
      <w:proofErr w:type="spellEnd"/>
      <w:r w:rsidRPr="00A07F29">
        <w:rPr>
          <w:rFonts w:ascii="Times New Roman" w:eastAsia="Times New Roman" w:hAnsi="Times New Roman" w:cs="Times New Roman"/>
          <w:bCs/>
          <w:color w:val="000000"/>
          <w:sz w:val="24"/>
          <w:szCs w:val="24"/>
          <w:lang w:eastAsia="lv-LV"/>
        </w:rPr>
        <w:t xml:space="preserve">, u.c. raksturīgajām sugām. No dabisku zālāju biotopu </w:t>
      </w:r>
      <w:proofErr w:type="spellStart"/>
      <w:r w:rsidRPr="00A07F29">
        <w:rPr>
          <w:rFonts w:ascii="Times New Roman" w:eastAsia="Times New Roman" w:hAnsi="Times New Roman" w:cs="Times New Roman"/>
          <w:bCs/>
          <w:color w:val="000000"/>
          <w:sz w:val="24"/>
          <w:szCs w:val="24"/>
          <w:lang w:eastAsia="lv-LV"/>
        </w:rPr>
        <w:t>indikatorsugām</w:t>
      </w:r>
      <w:proofErr w:type="spellEnd"/>
      <w:r w:rsidRPr="00A07F29">
        <w:rPr>
          <w:rFonts w:ascii="Times New Roman" w:eastAsia="Times New Roman" w:hAnsi="Times New Roman" w:cs="Times New Roman"/>
          <w:bCs/>
          <w:color w:val="000000"/>
          <w:sz w:val="24"/>
          <w:szCs w:val="24"/>
          <w:lang w:eastAsia="lv-LV"/>
        </w:rPr>
        <w:t xml:space="preserve"> šeit</w:t>
      </w:r>
      <w:r w:rsidR="00D65BBA" w:rsidRPr="00A07F29">
        <w:rPr>
          <w:rFonts w:ascii="Times New Roman" w:eastAsia="Times New Roman" w:hAnsi="Times New Roman" w:cs="Times New Roman"/>
          <w:bCs/>
          <w:color w:val="000000"/>
          <w:sz w:val="24"/>
          <w:szCs w:val="24"/>
          <w:lang w:eastAsia="lv-LV"/>
        </w:rPr>
        <w:t xml:space="preserve"> </w:t>
      </w:r>
      <w:r w:rsidRPr="00A07F29">
        <w:rPr>
          <w:rFonts w:ascii="Times New Roman" w:eastAsia="Times New Roman" w:hAnsi="Times New Roman" w:cs="Times New Roman"/>
          <w:bCs/>
          <w:color w:val="000000"/>
          <w:sz w:val="24"/>
          <w:szCs w:val="24"/>
          <w:lang w:eastAsia="lv-LV"/>
        </w:rPr>
        <w:t xml:space="preserve">konstatēta ziemeļu madara </w:t>
      </w:r>
      <w:proofErr w:type="spellStart"/>
      <w:r w:rsidRPr="00A07F29">
        <w:rPr>
          <w:rFonts w:ascii="Times New Roman" w:eastAsia="Times New Roman" w:hAnsi="Times New Roman" w:cs="Times New Roman"/>
          <w:bCs/>
          <w:i/>
          <w:iCs/>
          <w:color w:val="000000"/>
          <w:sz w:val="24"/>
          <w:szCs w:val="24"/>
          <w:lang w:eastAsia="lv-LV"/>
        </w:rPr>
        <w:t>Galium</w:t>
      </w:r>
      <w:proofErr w:type="spellEnd"/>
      <w:r w:rsidRPr="00A07F29">
        <w:rPr>
          <w:rFonts w:ascii="Times New Roman" w:eastAsia="Times New Roman" w:hAnsi="Times New Roman" w:cs="Times New Roman"/>
          <w:bCs/>
          <w:i/>
          <w:i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boreale</w:t>
      </w:r>
      <w:proofErr w:type="spellEnd"/>
      <w:r w:rsidR="00D65BBA" w:rsidRPr="00A07F29">
        <w:rPr>
          <w:rFonts w:ascii="Times New Roman" w:eastAsia="Times New Roman" w:hAnsi="Times New Roman" w:cs="Times New Roman"/>
          <w:bCs/>
          <w:i/>
          <w:iCs/>
          <w:color w:val="000000"/>
          <w:sz w:val="24"/>
          <w:szCs w:val="24"/>
          <w:lang w:eastAsia="lv-LV"/>
        </w:rPr>
        <w:t xml:space="preserve"> </w:t>
      </w:r>
      <w:r w:rsidRPr="00A07F29">
        <w:rPr>
          <w:rFonts w:ascii="Times New Roman" w:eastAsia="Times New Roman" w:hAnsi="Times New Roman" w:cs="Times New Roman"/>
          <w:bCs/>
          <w:color w:val="000000"/>
          <w:sz w:val="24"/>
          <w:szCs w:val="24"/>
          <w:lang w:eastAsia="lv-LV"/>
        </w:rPr>
        <w:t xml:space="preserve">un purva gandrene </w:t>
      </w:r>
      <w:proofErr w:type="spellStart"/>
      <w:r w:rsidRPr="00A07F29">
        <w:rPr>
          <w:rFonts w:ascii="Times New Roman" w:eastAsia="Times New Roman" w:hAnsi="Times New Roman" w:cs="Times New Roman"/>
          <w:bCs/>
          <w:i/>
          <w:iCs/>
          <w:color w:val="000000"/>
          <w:sz w:val="24"/>
          <w:szCs w:val="24"/>
          <w:lang w:eastAsia="lv-LV"/>
        </w:rPr>
        <w:t>Geranium</w:t>
      </w:r>
      <w:proofErr w:type="spellEnd"/>
      <w:r w:rsidRPr="00A07F29">
        <w:rPr>
          <w:rFonts w:ascii="Times New Roman" w:eastAsia="Times New Roman" w:hAnsi="Times New Roman" w:cs="Times New Roman"/>
          <w:bCs/>
          <w:i/>
          <w:i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palustre</w:t>
      </w:r>
      <w:proofErr w:type="spellEnd"/>
      <w:r w:rsidRPr="00A07F29">
        <w:rPr>
          <w:rFonts w:ascii="Times New Roman" w:eastAsia="Times New Roman" w:hAnsi="Times New Roman" w:cs="Times New Roman"/>
          <w:bCs/>
          <w:i/>
          <w:iCs/>
          <w:color w:val="000000"/>
          <w:sz w:val="24"/>
          <w:szCs w:val="24"/>
          <w:lang w:eastAsia="lv-LV"/>
        </w:rPr>
        <w:t>.</w:t>
      </w:r>
      <w:r w:rsidRPr="00A07F29">
        <w:rPr>
          <w:rFonts w:ascii="Times New Roman" w:eastAsia="Times New Roman" w:hAnsi="Times New Roman" w:cs="Times New Roman"/>
          <w:bCs/>
          <w:iCs/>
          <w:color w:val="000000"/>
          <w:sz w:val="24"/>
          <w:szCs w:val="24"/>
          <w:lang w:eastAsia="lv-LV"/>
        </w:rPr>
        <w:t xml:space="preserve"> </w:t>
      </w:r>
      <w:r w:rsidR="00744FBA" w:rsidRPr="00A07F29">
        <w:rPr>
          <w:rFonts w:ascii="Times New Roman" w:eastAsia="Times New Roman" w:hAnsi="Times New Roman" w:cs="Times New Roman"/>
          <w:bCs/>
          <w:color w:val="000000"/>
          <w:sz w:val="24"/>
          <w:szCs w:val="24"/>
          <w:lang w:eastAsia="lv-LV"/>
        </w:rPr>
        <w:t xml:space="preserve">Šeit </w:t>
      </w:r>
      <w:r w:rsidRPr="00A07F29">
        <w:rPr>
          <w:rFonts w:ascii="Times New Roman" w:eastAsia="Times New Roman" w:hAnsi="Times New Roman" w:cs="Times New Roman"/>
          <w:bCs/>
          <w:color w:val="000000"/>
          <w:sz w:val="24"/>
          <w:szCs w:val="24"/>
          <w:lang w:eastAsia="lv-LV"/>
        </w:rPr>
        <w:t>kartēts biotopa 6430</w:t>
      </w:r>
      <w:r w:rsidR="00DB5611">
        <w:rPr>
          <w:rFonts w:ascii="Times New Roman" w:eastAsia="Times New Roman" w:hAnsi="Times New Roman" w:cs="Times New Roman"/>
          <w:bCs/>
          <w:color w:val="000000"/>
          <w:sz w:val="24"/>
          <w:szCs w:val="24"/>
          <w:lang w:eastAsia="lv-LV"/>
        </w:rPr>
        <w:t> </w:t>
      </w:r>
      <w:proofErr w:type="spellStart"/>
      <w:r w:rsidRPr="00A07F29">
        <w:rPr>
          <w:rFonts w:ascii="Times New Roman" w:eastAsia="Times New Roman" w:hAnsi="Times New Roman" w:cs="Times New Roman"/>
          <w:bCs/>
          <w:i/>
          <w:iCs/>
          <w:color w:val="000000"/>
          <w:sz w:val="24"/>
          <w:szCs w:val="24"/>
          <w:lang w:eastAsia="lv-LV"/>
        </w:rPr>
        <w:t>Eitrofas</w:t>
      </w:r>
      <w:proofErr w:type="spellEnd"/>
      <w:r w:rsidRPr="00A07F29">
        <w:rPr>
          <w:rFonts w:ascii="Times New Roman" w:eastAsia="Times New Roman" w:hAnsi="Times New Roman" w:cs="Times New Roman"/>
          <w:bCs/>
          <w:i/>
          <w:iCs/>
          <w:color w:val="000000"/>
          <w:sz w:val="24"/>
          <w:szCs w:val="24"/>
          <w:lang w:eastAsia="lv-LV"/>
        </w:rPr>
        <w:t xml:space="preserve"> augsto lakstaugu audzes</w:t>
      </w:r>
      <w:r w:rsidR="00D65BBA" w:rsidRPr="00A07F29">
        <w:rPr>
          <w:rFonts w:ascii="Times New Roman" w:eastAsia="Times New Roman" w:hAnsi="Times New Roman" w:cs="Times New Roman"/>
          <w:bCs/>
          <w:color w:val="000000"/>
          <w:sz w:val="24"/>
          <w:szCs w:val="24"/>
          <w:lang w:eastAsia="lv-LV"/>
        </w:rPr>
        <w:t xml:space="preserve"> </w:t>
      </w:r>
      <w:r w:rsidRPr="00A07F29">
        <w:rPr>
          <w:rFonts w:ascii="Times New Roman" w:eastAsia="Times New Roman" w:hAnsi="Times New Roman" w:cs="Times New Roman"/>
          <w:bCs/>
          <w:color w:val="000000"/>
          <w:sz w:val="24"/>
          <w:szCs w:val="24"/>
          <w:lang w:eastAsia="lv-LV"/>
        </w:rPr>
        <w:t>krastmalu variants (1.</w:t>
      </w:r>
      <w:r w:rsidR="00362F8B">
        <w:rPr>
          <w:rFonts w:ascii="Times New Roman" w:eastAsia="Times New Roman" w:hAnsi="Times New Roman" w:cs="Times New Roman"/>
          <w:bCs/>
          <w:color w:val="000000"/>
          <w:sz w:val="24"/>
          <w:szCs w:val="24"/>
          <w:lang w:eastAsia="lv-LV"/>
        </w:rPr>
        <w:t> </w:t>
      </w:r>
      <w:r w:rsidRPr="00A07F29">
        <w:rPr>
          <w:rFonts w:ascii="Times New Roman" w:eastAsia="Times New Roman" w:hAnsi="Times New Roman" w:cs="Times New Roman"/>
          <w:bCs/>
          <w:color w:val="000000"/>
          <w:sz w:val="24"/>
          <w:szCs w:val="24"/>
          <w:lang w:eastAsia="lv-LV"/>
        </w:rPr>
        <w:t xml:space="preserve">variants), kuram īpaši raksturīgas </w:t>
      </w:r>
      <w:proofErr w:type="spellStart"/>
      <w:r w:rsidRPr="00A07F29">
        <w:rPr>
          <w:rFonts w:ascii="Times New Roman" w:eastAsia="Times New Roman" w:hAnsi="Times New Roman" w:cs="Times New Roman"/>
          <w:bCs/>
          <w:color w:val="000000"/>
          <w:sz w:val="24"/>
          <w:szCs w:val="24"/>
          <w:lang w:eastAsia="lv-LV"/>
        </w:rPr>
        <w:t>liānveida</w:t>
      </w:r>
      <w:proofErr w:type="spellEnd"/>
      <w:r w:rsidRPr="00A07F29">
        <w:rPr>
          <w:rFonts w:ascii="Times New Roman" w:eastAsia="Times New Roman" w:hAnsi="Times New Roman" w:cs="Times New Roman"/>
          <w:bCs/>
          <w:color w:val="000000"/>
          <w:sz w:val="24"/>
          <w:szCs w:val="24"/>
          <w:lang w:eastAsia="lv-LV"/>
        </w:rPr>
        <w:t xml:space="preserve"> sugas, piemēram, žogu dižtītenis </w:t>
      </w:r>
      <w:proofErr w:type="spellStart"/>
      <w:r w:rsidRPr="00A07F29">
        <w:rPr>
          <w:rFonts w:ascii="Times New Roman" w:eastAsia="Times New Roman" w:hAnsi="Times New Roman" w:cs="Times New Roman"/>
          <w:bCs/>
          <w:i/>
          <w:iCs/>
          <w:color w:val="000000"/>
          <w:sz w:val="24"/>
          <w:szCs w:val="24"/>
          <w:lang w:eastAsia="lv-LV"/>
        </w:rPr>
        <w:t>Calystegia</w:t>
      </w:r>
      <w:proofErr w:type="spellEnd"/>
      <w:r w:rsidRPr="00A07F29">
        <w:rPr>
          <w:rFonts w:ascii="Times New Roman" w:eastAsia="Times New Roman" w:hAnsi="Times New Roman" w:cs="Times New Roman"/>
          <w:bCs/>
          <w:i/>
          <w:i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sepium</w:t>
      </w:r>
      <w:proofErr w:type="spellEnd"/>
      <w:r w:rsidRPr="00A07F29">
        <w:rPr>
          <w:rFonts w:ascii="Times New Roman" w:eastAsia="Times New Roman" w:hAnsi="Times New Roman" w:cs="Times New Roman"/>
          <w:bCs/>
          <w:color w:val="000000"/>
          <w:sz w:val="24"/>
          <w:szCs w:val="24"/>
          <w:lang w:eastAsia="lv-LV"/>
        </w:rPr>
        <w:t xml:space="preserve">, Eiropas vija </w:t>
      </w:r>
      <w:proofErr w:type="spellStart"/>
      <w:r w:rsidRPr="00A07F29">
        <w:rPr>
          <w:rFonts w:ascii="Times New Roman" w:eastAsia="Times New Roman" w:hAnsi="Times New Roman" w:cs="Times New Roman"/>
          <w:bCs/>
          <w:i/>
          <w:iCs/>
          <w:color w:val="000000"/>
          <w:sz w:val="24"/>
          <w:szCs w:val="24"/>
          <w:lang w:eastAsia="lv-LV"/>
        </w:rPr>
        <w:t>Cuscuta</w:t>
      </w:r>
      <w:proofErr w:type="spellEnd"/>
      <w:r w:rsidRPr="00A07F29">
        <w:rPr>
          <w:rFonts w:ascii="Times New Roman" w:eastAsia="Times New Roman" w:hAnsi="Times New Roman" w:cs="Times New Roman"/>
          <w:bCs/>
          <w:i/>
          <w:i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europaea</w:t>
      </w:r>
      <w:proofErr w:type="spellEnd"/>
      <w:r w:rsidRPr="00A07F29">
        <w:rPr>
          <w:rFonts w:ascii="Times New Roman" w:eastAsia="Times New Roman" w:hAnsi="Times New Roman" w:cs="Times New Roman"/>
          <w:bCs/>
          <w:color w:val="000000"/>
          <w:sz w:val="24"/>
          <w:szCs w:val="24"/>
          <w:lang w:eastAsia="lv-LV"/>
        </w:rPr>
        <w:t xml:space="preserve">, kā arī parastais apinis </w:t>
      </w:r>
      <w:proofErr w:type="spellStart"/>
      <w:r w:rsidRPr="00A07F29">
        <w:rPr>
          <w:rFonts w:ascii="Times New Roman" w:eastAsia="Times New Roman" w:hAnsi="Times New Roman" w:cs="Times New Roman"/>
          <w:bCs/>
          <w:i/>
          <w:iCs/>
          <w:color w:val="000000"/>
          <w:sz w:val="24"/>
          <w:szCs w:val="24"/>
          <w:lang w:eastAsia="lv-LV"/>
        </w:rPr>
        <w:t>Humulus</w:t>
      </w:r>
      <w:proofErr w:type="spellEnd"/>
      <w:r w:rsidRPr="00A07F29">
        <w:rPr>
          <w:rFonts w:ascii="Times New Roman" w:eastAsia="Times New Roman" w:hAnsi="Times New Roman" w:cs="Times New Roman"/>
          <w:bCs/>
          <w:i/>
          <w:i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lupulus</w:t>
      </w:r>
      <w:proofErr w:type="spellEnd"/>
      <w:r w:rsidRPr="00A07F29">
        <w:rPr>
          <w:rFonts w:ascii="Times New Roman" w:eastAsia="Times New Roman" w:hAnsi="Times New Roman" w:cs="Times New Roman"/>
          <w:bCs/>
          <w:iCs/>
          <w:color w:val="000000"/>
          <w:sz w:val="24"/>
          <w:szCs w:val="24"/>
          <w:lang w:eastAsia="lv-LV"/>
        </w:rPr>
        <w:t>.</w:t>
      </w:r>
    </w:p>
    <w:p w14:paraId="2028F4A2" w14:textId="2B9A7327" w:rsidR="002B1603" w:rsidRPr="00A07F29" w:rsidRDefault="002B1603" w:rsidP="00744FBA">
      <w:pPr>
        <w:spacing w:after="120" w:line="240" w:lineRule="auto"/>
        <w:ind w:firstLine="851"/>
        <w:jc w:val="both"/>
        <w:rPr>
          <w:rFonts w:ascii="Times New Roman" w:eastAsia="Times New Roman" w:hAnsi="Times New Roman" w:cs="Times New Roman"/>
          <w:bCs/>
          <w:color w:val="000000"/>
          <w:sz w:val="24"/>
          <w:szCs w:val="24"/>
          <w:lang w:eastAsia="lv-LV"/>
        </w:rPr>
      </w:pPr>
      <w:r w:rsidRPr="00A07F29">
        <w:rPr>
          <w:rFonts w:ascii="Times New Roman" w:eastAsia="Times New Roman" w:hAnsi="Times New Roman" w:cs="Times New Roman"/>
          <w:bCs/>
          <w:color w:val="000000"/>
          <w:sz w:val="24"/>
          <w:szCs w:val="24"/>
          <w:lang w:eastAsia="lv-LV"/>
        </w:rPr>
        <w:t>Šis biotops ir īpaši nozīmīgs no ainavas un dabas aizsardzības vērtības, kā arī tam ir ļoti liela nozīme svešzemju sugu ieviešanās un tālākas izplatības ierobežošanā</w:t>
      </w:r>
      <w:r w:rsidR="005D7239" w:rsidRPr="00A07F29">
        <w:rPr>
          <w:rFonts w:ascii="Times New Roman" w:eastAsia="Times New Roman" w:hAnsi="Times New Roman" w:cs="Times New Roman"/>
          <w:bCs/>
          <w:color w:val="000000"/>
          <w:sz w:val="24"/>
          <w:szCs w:val="24"/>
          <w:lang w:eastAsia="lv-LV"/>
        </w:rPr>
        <w:t xml:space="preserve">, jo </w:t>
      </w:r>
      <w:r w:rsidRPr="00A07F29">
        <w:rPr>
          <w:rFonts w:ascii="Times New Roman" w:eastAsia="Times New Roman" w:hAnsi="Times New Roman" w:cs="Times New Roman"/>
          <w:bCs/>
          <w:color w:val="000000"/>
          <w:sz w:val="24"/>
          <w:szCs w:val="24"/>
          <w:lang w:eastAsia="lv-LV"/>
        </w:rPr>
        <w:t xml:space="preserve">dabiskie zālāju biotopi upju krastos kavē </w:t>
      </w:r>
      <w:proofErr w:type="spellStart"/>
      <w:r w:rsidRPr="00A07F29">
        <w:rPr>
          <w:rFonts w:ascii="Times New Roman" w:eastAsia="Times New Roman" w:hAnsi="Times New Roman" w:cs="Times New Roman"/>
          <w:bCs/>
          <w:color w:val="000000"/>
          <w:sz w:val="24"/>
          <w:szCs w:val="24"/>
          <w:lang w:eastAsia="lv-LV"/>
        </w:rPr>
        <w:t>invazīvo</w:t>
      </w:r>
      <w:proofErr w:type="spellEnd"/>
      <w:r w:rsidRPr="00A07F29">
        <w:rPr>
          <w:rFonts w:ascii="Times New Roman" w:eastAsia="Times New Roman" w:hAnsi="Times New Roman" w:cs="Times New Roman"/>
          <w:bCs/>
          <w:color w:val="000000"/>
          <w:sz w:val="24"/>
          <w:szCs w:val="24"/>
          <w:lang w:eastAsia="lv-LV"/>
        </w:rPr>
        <w:t xml:space="preserve"> sugu migrāciju (Auniņš</w:t>
      </w:r>
      <w:r w:rsidR="00362F8B">
        <w:rPr>
          <w:rFonts w:ascii="Times New Roman" w:eastAsia="Times New Roman" w:hAnsi="Times New Roman" w:cs="Times New Roman"/>
          <w:bCs/>
          <w:color w:val="000000"/>
          <w:sz w:val="24"/>
          <w:szCs w:val="24"/>
          <w:lang w:eastAsia="lv-LV"/>
        </w:rPr>
        <w:t xml:space="preserve"> A.</w:t>
      </w:r>
      <w:r w:rsidR="009A495C">
        <w:rPr>
          <w:rFonts w:ascii="Times New Roman" w:eastAsia="Times New Roman" w:hAnsi="Times New Roman" w:cs="Times New Roman"/>
          <w:bCs/>
          <w:color w:val="000000"/>
          <w:sz w:val="24"/>
          <w:szCs w:val="24"/>
          <w:lang w:eastAsia="lv-LV"/>
        </w:rPr>
        <w:t xml:space="preserve"> (</w:t>
      </w:r>
      <w:proofErr w:type="spellStart"/>
      <w:r w:rsidR="009A495C">
        <w:rPr>
          <w:rFonts w:ascii="Times New Roman" w:eastAsia="Times New Roman" w:hAnsi="Times New Roman" w:cs="Times New Roman"/>
          <w:bCs/>
          <w:color w:val="000000"/>
          <w:sz w:val="24"/>
          <w:szCs w:val="24"/>
          <w:lang w:eastAsia="lv-LV"/>
        </w:rPr>
        <w:t>red</w:t>
      </w:r>
      <w:proofErr w:type="spellEnd"/>
      <w:r w:rsidR="009A495C">
        <w:rPr>
          <w:rFonts w:ascii="Times New Roman" w:eastAsia="Times New Roman" w:hAnsi="Times New Roman" w:cs="Times New Roman"/>
          <w:bCs/>
          <w:color w:val="000000"/>
          <w:sz w:val="24"/>
          <w:szCs w:val="24"/>
          <w:lang w:eastAsia="lv-LV"/>
        </w:rPr>
        <w:t>.)</w:t>
      </w:r>
      <w:r w:rsidRPr="00A07F29">
        <w:rPr>
          <w:rFonts w:ascii="Times New Roman" w:eastAsia="Times New Roman" w:hAnsi="Times New Roman" w:cs="Times New Roman"/>
          <w:bCs/>
          <w:color w:val="000000"/>
          <w:sz w:val="24"/>
          <w:szCs w:val="24"/>
          <w:lang w:eastAsia="lv-LV"/>
        </w:rPr>
        <w:t xml:space="preserve">, 2013). </w:t>
      </w:r>
      <w:r w:rsidR="005D7239" w:rsidRPr="00A07F29">
        <w:rPr>
          <w:rFonts w:ascii="Times New Roman" w:eastAsia="Times New Roman" w:hAnsi="Times New Roman" w:cs="Times New Roman"/>
          <w:bCs/>
          <w:color w:val="000000"/>
          <w:sz w:val="24"/>
          <w:szCs w:val="24"/>
          <w:lang w:eastAsia="lv-LV"/>
        </w:rPr>
        <w:t xml:space="preserve">Tomēr </w:t>
      </w:r>
      <w:r w:rsidRPr="00A07F29">
        <w:rPr>
          <w:rFonts w:ascii="Times New Roman" w:eastAsia="Times New Roman" w:hAnsi="Times New Roman" w:cs="Times New Roman"/>
          <w:bCs/>
          <w:color w:val="000000"/>
          <w:sz w:val="24"/>
          <w:szCs w:val="24"/>
          <w:lang w:eastAsia="lv-LV"/>
        </w:rPr>
        <w:t xml:space="preserve">Daugavas ielejā </w:t>
      </w:r>
      <w:r w:rsidR="005D7239" w:rsidRPr="00A07F29">
        <w:rPr>
          <w:rFonts w:ascii="Times New Roman" w:eastAsia="Times New Roman" w:hAnsi="Times New Roman" w:cs="Times New Roman"/>
          <w:bCs/>
          <w:color w:val="000000"/>
          <w:sz w:val="24"/>
          <w:szCs w:val="24"/>
          <w:lang w:eastAsia="lv-LV"/>
        </w:rPr>
        <w:t xml:space="preserve">šajā biotopā </w:t>
      </w:r>
      <w:r w:rsidRPr="00A07F29">
        <w:rPr>
          <w:rFonts w:ascii="Times New Roman" w:eastAsia="Times New Roman" w:hAnsi="Times New Roman" w:cs="Times New Roman"/>
          <w:bCs/>
          <w:color w:val="000000"/>
          <w:sz w:val="24"/>
          <w:szCs w:val="24"/>
          <w:lang w:eastAsia="lv-LV"/>
        </w:rPr>
        <w:t xml:space="preserve">sastopamas </w:t>
      </w:r>
      <w:proofErr w:type="spellStart"/>
      <w:r w:rsidRPr="00A07F29">
        <w:rPr>
          <w:rFonts w:ascii="Times New Roman" w:eastAsia="Times New Roman" w:hAnsi="Times New Roman" w:cs="Times New Roman"/>
          <w:bCs/>
          <w:color w:val="000000"/>
          <w:sz w:val="24"/>
          <w:szCs w:val="24"/>
          <w:lang w:eastAsia="lv-LV"/>
        </w:rPr>
        <w:t>invazīvas</w:t>
      </w:r>
      <w:proofErr w:type="spellEnd"/>
      <w:r w:rsidRPr="00A07F29">
        <w:rPr>
          <w:rFonts w:ascii="Times New Roman" w:eastAsia="Times New Roman" w:hAnsi="Times New Roman" w:cs="Times New Roman"/>
          <w:bCs/>
          <w:color w:val="000000"/>
          <w:sz w:val="24"/>
          <w:szCs w:val="24"/>
          <w:lang w:eastAsia="lv-LV"/>
        </w:rPr>
        <w:t xml:space="preserve"> sugas – </w:t>
      </w:r>
      <w:proofErr w:type="spellStart"/>
      <w:r w:rsidRPr="00A07F29">
        <w:rPr>
          <w:rFonts w:ascii="Times New Roman" w:eastAsia="Times New Roman" w:hAnsi="Times New Roman" w:cs="Times New Roman"/>
          <w:bCs/>
          <w:color w:val="000000"/>
          <w:sz w:val="24"/>
          <w:szCs w:val="24"/>
          <w:lang w:eastAsia="lv-LV"/>
        </w:rPr>
        <w:t>ošlapu</w:t>
      </w:r>
      <w:proofErr w:type="spellEnd"/>
      <w:r w:rsidRPr="00A07F29">
        <w:rPr>
          <w:rFonts w:ascii="Times New Roman" w:eastAsia="Times New Roman" w:hAnsi="Times New Roman" w:cs="Times New Roman"/>
          <w:bCs/>
          <w:color w:val="000000"/>
          <w:sz w:val="24"/>
          <w:szCs w:val="24"/>
          <w:lang w:eastAsia="lv-LV"/>
        </w:rPr>
        <w:t xml:space="preserve"> kļava </w:t>
      </w:r>
      <w:r w:rsidRPr="00A07F29">
        <w:rPr>
          <w:rFonts w:ascii="Times New Roman" w:eastAsia="Times New Roman" w:hAnsi="Times New Roman" w:cs="Times New Roman"/>
          <w:bCs/>
          <w:i/>
          <w:iCs/>
          <w:color w:val="000000"/>
          <w:sz w:val="24"/>
          <w:szCs w:val="24"/>
          <w:lang w:eastAsia="lv-LV"/>
        </w:rPr>
        <w:t xml:space="preserve">Acer </w:t>
      </w:r>
      <w:proofErr w:type="spellStart"/>
      <w:r w:rsidRPr="00A07F29">
        <w:rPr>
          <w:rFonts w:ascii="Times New Roman" w:eastAsia="Times New Roman" w:hAnsi="Times New Roman" w:cs="Times New Roman"/>
          <w:bCs/>
          <w:i/>
          <w:iCs/>
          <w:color w:val="000000"/>
          <w:sz w:val="24"/>
          <w:szCs w:val="24"/>
          <w:lang w:eastAsia="lv-LV"/>
        </w:rPr>
        <w:t>negundo</w:t>
      </w:r>
      <w:proofErr w:type="spellEnd"/>
      <w:r w:rsidR="00D65BBA" w:rsidRPr="00A07F29">
        <w:rPr>
          <w:rFonts w:ascii="Times New Roman" w:eastAsia="Times New Roman" w:hAnsi="Times New Roman" w:cs="Times New Roman"/>
          <w:bCs/>
          <w:i/>
          <w:iCs/>
          <w:color w:val="000000"/>
          <w:sz w:val="24"/>
          <w:szCs w:val="24"/>
          <w:lang w:eastAsia="lv-LV"/>
        </w:rPr>
        <w:t xml:space="preserve"> </w:t>
      </w:r>
      <w:r w:rsidRPr="00A07F29">
        <w:rPr>
          <w:rFonts w:ascii="Times New Roman" w:eastAsia="Times New Roman" w:hAnsi="Times New Roman" w:cs="Times New Roman"/>
          <w:bCs/>
          <w:color w:val="000000"/>
          <w:sz w:val="24"/>
          <w:szCs w:val="24"/>
          <w:lang w:eastAsia="lv-LV"/>
        </w:rPr>
        <w:t xml:space="preserve">un adatainais </w:t>
      </w:r>
      <w:proofErr w:type="spellStart"/>
      <w:r w:rsidRPr="00A07F29">
        <w:rPr>
          <w:rFonts w:ascii="Times New Roman" w:eastAsia="Times New Roman" w:hAnsi="Times New Roman" w:cs="Times New Roman"/>
          <w:bCs/>
          <w:color w:val="000000"/>
          <w:sz w:val="24"/>
          <w:szCs w:val="24"/>
          <w:lang w:eastAsia="lv-LV"/>
        </w:rPr>
        <w:t>dzeloņgurķis</w:t>
      </w:r>
      <w:proofErr w:type="spellEnd"/>
      <w:r w:rsidRPr="00A07F29">
        <w:rPr>
          <w:rFonts w:ascii="Times New Roman" w:eastAsia="Times New Roman" w:hAnsi="Times New Roman" w:cs="Times New Roman"/>
          <w:b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Echinocystis</w:t>
      </w:r>
      <w:proofErr w:type="spellEnd"/>
      <w:r w:rsidRPr="00A07F29">
        <w:rPr>
          <w:rFonts w:ascii="Times New Roman" w:eastAsia="Times New Roman" w:hAnsi="Times New Roman" w:cs="Times New Roman"/>
          <w:bCs/>
          <w:i/>
          <w:i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lobata</w:t>
      </w:r>
      <w:proofErr w:type="spellEnd"/>
      <w:r w:rsidRPr="00A07F29">
        <w:rPr>
          <w:rFonts w:ascii="Times New Roman" w:eastAsia="Times New Roman" w:hAnsi="Times New Roman" w:cs="Times New Roman"/>
          <w:bCs/>
          <w:sz w:val="24"/>
          <w:szCs w:val="24"/>
          <w:lang w:eastAsia="lv-LV"/>
        </w:rPr>
        <w:t xml:space="preserve">. </w:t>
      </w:r>
      <w:r w:rsidRPr="00A07F29">
        <w:rPr>
          <w:rFonts w:ascii="Times New Roman" w:eastAsia="Times New Roman" w:hAnsi="Times New Roman" w:cs="Times New Roman"/>
          <w:bCs/>
          <w:color w:val="000000"/>
          <w:sz w:val="24"/>
          <w:szCs w:val="24"/>
          <w:lang w:eastAsia="lv-LV"/>
        </w:rPr>
        <w:t>Kopumā šī biot</w:t>
      </w:r>
      <w:r w:rsidR="005D7239" w:rsidRPr="00A07F29">
        <w:rPr>
          <w:rFonts w:ascii="Times New Roman" w:eastAsia="Times New Roman" w:hAnsi="Times New Roman" w:cs="Times New Roman"/>
          <w:bCs/>
          <w:color w:val="000000"/>
          <w:sz w:val="24"/>
          <w:szCs w:val="24"/>
          <w:lang w:eastAsia="lv-LV"/>
        </w:rPr>
        <w:t>o</w:t>
      </w:r>
      <w:r w:rsidRPr="00A07F29">
        <w:rPr>
          <w:rFonts w:ascii="Times New Roman" w:eastAsia="Times New Roman" w:hAnsi="Times New Roman" w:cs="Times New Roman"/>
          <w:bCs/>
          <w:color w:val="000000"/>
          <w:sz w:val="24"/>
          <w:szCs w:val="24"/>
          <w:lang w:eastAsia="lv-LV"/>
        </w:rPr>
        <w:t xml:space="preserve">pa vitalitāte un kvalitāte ir laba. Aizaugšanu ar krūmiem regulē ledus iešana Daugavā, kuras laikā bieži vien krūmi tiek nostumti. </w:t>
      </w:r>
      <w:r w:rsidR="005D7239" w:rsidRPr="00A07F29">
        <w:rPr>
          <w:rFonts w:ascii="Times New Roman" w:eastAsia="Times New Roman" w:hAnsi="Times New Roman" w:cs="Times New Roman"/>
          <w:bCs/>
          <w:color w:val="000000"/>
          <w:sz w:val="24"/>
          <w:szCs w:val="24"/>
          <w:lang w:eastAsia="lv-LV"/>
        </w:rPr>
        <w:t>Biotops 6430</w:t>
      </w:r>
      <w:r w:rsidR="00661ABF">
        <w:rPr>
          <w:rFonts w:ascii="Times New Roman" w:eastAsia="Times New Roman" w:hAnsi="Times New Roman" w:cs="Times New Roman"/>
          <w:bCs/>
          <w:color w:val="000000"/>
          <w:sz w:val="24"/>
          <w:szCs w:val="24"/>
          <w:lang w:eastAsia="lv-LV"/>
        </w:rPr>
        <w:t> </w:t>
      </w:r>
      <w:proofErr w:type="spellStart"/>
      <w:r w:rsidR="005D7239" w:rsidRPr="00A07F29">
        <w:rPr>
          <w:rFonts w:ascii="Times New Roman" w:eastAsia="Times New Roman" w:hAnsi="Times New Roman" w:cs="Times New Roman"/>
          <w:bCs/>
          <w:i/>
          <w:iCs/>
          <w:color w:val="000000"/>
          <w:sz w:val="24"/>
          <w:szCs w:val="24"/>
          <w:lang w:eastAsia="lv-LV"/>
        </w:rPr>
        <w:t>Eitrofas</w:t>
      </w:r>
      <w:proofErr w:type="spellEnd"/>
      <w:r w:rsidR="005D7239" w:rsidRPr="00A07F29">
        <w:rPr>
          <w:rFonts w:ascii="Times New Roman" w:eastAsia="Times New Roman" w:hAnsi="Times New Roman" w:cs="Times New Roman"/>
          <w:bCs/>
          <w:i/>
          <w:iCs/>
          <w:color w:val="000000"/>
          <w:sz w:val="24"/>
          <w:szCs w:val="24"/>
          <w:lang w:eastAsia="lv-LV"/>
        </w:rPr>
        <w:t xml:space="preserve"> augsto lakstaugu audzes</w:t>
      </w:r>
      <w:r w:rsidR="005D7239" w:rsidRPr="00A07F29">
        <w:rPr>
          <w:rFonts w:ascii="Times New Roman" w:eastAsia="Times New Roman" w:hAnsi="Times New Roman" w:cs="Times New Roman"/>
          <w:bCs/>
          <w:color w:val="000000"/>
          <w:sz w:val="24"/>
          <w:szCs w:val="24"/>
          <w:lang w:eastAsia="lv-LV"/>
        </w:rPr>
        <w:t xml:space="preserve"> gan Latvijā, gan AAA “Augšdaugava” vērtējams kā labvēlīgā aizsardzības stāvoklī esošs.</w:t>
      </w:r>
    </w:p>
    <w:p w14:paraId="5E3D9FF9" w14:textId="03FB1D03" w:rsidR="002B1603" w:rsidRPr="00A07F29" w:rsidRDefault="002B1603" w:rsidP="000B2304">
      <w:pPr>
        <w:spacing w:before="240" w:after="120" w:line="240" w:lineRule="auto"/>
        <w:jc w:val="both"/>
        <w:rPr>
          <w:rFonts w:ascii="Times New Roman" w:eastAsia="Times New Roman" w:hAnsi="Times New Roman" w:cs="Times New Roman"/>
          <w:b/>
          <w:bCs/>
          <w:i/>
          <w:iCs/>
          <w:color w:val="000000"/>
          <w:sz w:val="24"/>
          <w:szCs w:val="24"/>
          <w:lang w:eastAsia="lv-LV"/>
        </w:rPr>
      </w:pPr>
      <w:r w:rsidRPr="00A07F29">
        <w:rPr>
          <w:rFonts w:ascii="Times New Roman" w:eastAsia="Times New Roman" w:hAnsi="Times New Roman" w:cs="Times New Roman"/>
          <w:b/>
          <w:bCs/>
          <w:color w:val="000000"/>
          <w:sz w:val="24"/>
          <w:szCs w:val="24"/>
          <w:lang w:eastAsia="lv-LV"/>
        </w:rPr>
        <w:t xml:space="preserve">6450 </w:t>
      </w:r>
      <w:r w:rsidRPr="00A07F29">
        <w:rPr>
          <w:rFonts w:ascii="Times New Roman" w:eastAsia="Times New Roman" w:hAnsi="Times New Roman" w:cs="Times New Roman"/>
          <w:b/>
          <w:bCs/>
          <w:i/>
          <w:iCs/>
          <w:color w:val="000000"/>
          <w:sz w:val="24"/>
          <w:szCs w:val="24"/>
          <w:lang w:eastAsia="lv-LV"/>
        </w:rPr>
        <w:t>Palieņu zālāji</w:t>
      </w:r>
    </w:p>
    <w:p w14:paraId="59756DFA" w14:textId="74878D05" w:rsidR="000B2304" w:rsidRPr="00A07F29" w:rsidRDefault="002B1603" w:rsidP="00A2112C">
      <w:pPr>
        <w:spacing w:after="120" w:line="240" w:lineRule="auto"/>
        <w:ind w:firstLine="851"/>
        <w:jc w:val="both"/>
        <w:rPr>
          <w:rFonts w:ascii="Times New Roman" w:eastAsia="Times New Roman" w:hAnsi="Times New Roman" w:cs="Times New Roman"/>
          <w:bCs/>
          <w:color w:val="000000"/>
          <w:sz w:val="24"/>
          <w:szCs w:val="24"/>
          <w:lang w:eastAsia="lv-LV"/>
        </w:rPr>
      </w:pPr>
      <w:r w:rsidRPr="00A07F29">
        <w:rPr>
          <w:rFonts w:ascii="Times New Roman" w:eastAsia="Times New Roman" w:hAnsi="Times New Roman" w:cs="Times New Roman"/>
          <w:bCs/>
          <w:color w:val="000000"/>
          <w:sz w:val="24"/>
          <w:szCs w:val="24"/>
          <w:lang w:eastAsia="lv-LV"/>
        </w:rPr>
        <w:t xml:space="preserve">AAA “Augšdaugava” kopumā </w:t>
      </w:r>
      <w:r w:rsidR="00E361D7" w:rsidRPr="00A07F29">
        <w:rPr>
          <w:rFonts w:ascii="Times New Roman" w:eastAsia="Times New Roman" w:hAnsi="Times New Roman" w:cs="Times New Roman"/>
          <w:bCs/>
          <w:color w:val="000000"/>
          <w:sz w:val="24"/>
          <w:szCs w:val="24"/>
          <w:lang w:eastAsia="lv-LV"/>
        </w:rPr>
        <w:t>120,47</w:t>
      </w:r>
      <w:r w:rsidR="00371BEA">
        <w:rPr>
          <w:rFonts w:ascii="Times New Roman" w:eastAsia="Times New Roman" w:hAnsi="Times New Roman" w:cs="Times New Roman"/>
          <w:bCs/>
          <w:color w:val="000000"/>
          <w:sz w:val="24"/>
          <w:szCs w:val="24"/>
          <w:lang w:eastAsia="lv-LV"/>
        </w:rPr>
        <w:t> </w:t>
      </w:r>
      <w:r w:rsidRPr="00A07F29">
        <w:rPr>
          <w:rFonts w:ascii="Times New Roman" w:eastAsia="Times New Roman" w:hAnsi="Times New Roman" w:cs="Times New Roman"/>
          <w:bCs/>
          <w:color w:val="000000"/>
          <w:sz w:val="24"/>
          <w:szCs w:val="24"/>
          <w:lang w:eastAsia="lv-LV"/>
        </w:rPr>
        <w:t>ha platībā</w:t>
      </w:r>
      <w:r w:rsidR="00D65BBA" w:rsidRPr="00A07F29">
        <w:rPr>
          <w:rFonts w:ascii="Times New Roman" w:eastAsia="Times New Roman" w:hAnsi="Times New Roman" w:cs="Times New Roman"/>
          <w:bCs/>
          <w:color w:val="000000"/>
          <w:sz w:val="24"/>
          <w:szCs w:val="24"/>
          <w:lang w:eastAsia="lv-LV"/>
        </w:rPr>
        <w:t xml:space="preserve"> </w:t>
      </w:r>
      <w:r w:rsidRPr="00A07F29">
        <w:rPr>
          <w:rFonts w:ascii="Times New Roman" w:eastAsia="Times New Roman" w:hAnsi="Times New Roman" w:cs="Times New Roman"/>
          <w:bCs/>
          <w:color w:val="000000"/>
          <w:sz w:val="24"/>
          <w:szCs w:val="24"/>
          <w:lang w:eastAsia="lv-LV"/>
        </w:rPr>
        <w:t>konstatēts ES nozīmes aizsargājamais biotops 6450</w:t>
      </w:r>
      <w:r w:rsidR="00371BEA">
        <w:rPr>
          <w:rFonts w:ascii="Times New Roman" w:eastAsia="Times New Roman" w:hAnsi="Times New Roman" w:cs="Times New Roman"/>
          <w:bCs/>
          <w:color w:val="000000"/>
          <w:sz w:val="24"/>
          <w:szCs w:val="24"/>
          <w:lang w:eastAsia="lv-LV"/>
        </w:rPr>
        <w:t> </w:t>
      </w:r>
      <w:r w:rsidRPr="00A07F29">
        <w:rPr>
          <w:rFonts w:ascii="Times New Roman" w:eastAsia="Times New Roman" w:hAnsi="Times New Roman" w:cs="Times New Roman"/>
          <w:bCs/>
          <w:i/>
          <w:iCs/>
          <w:color w:val="000000"/>
          <w:sz w:val="24"/>
          <w:szCs w:val="24"/>
          <w:lang w:eastAsia="lv-LV"/>
        </w:rPr>
        <w:t>Palieņu zālāji</w:t>
      </w:r>
      <w:r w:rsidRPr="00A07F29">
        <w:rPr>
          <w:rFonts w:ascii="Times New Roman" w:eastAsia="Times New Roman" w:hAnsi="Times New Roman" w:cs="Times New Roman"/>
          <w:bCs/>
          <w:color w:val="000000"/>
          <w:sz w:val="24"/>
          <w:szCs w:val="24"/>
          <w:lang w:eastAsia="lv-LV"/>
        </w:rPr>
        <w:t xml:space="preserve">. Visplašāk pārstāvēts augsto grīšļu un </w:t>
      </w:r>
      <w:proofErr w:type="spellStart"/>
      <w:r w:rsidRPr="00A07F29">
        <w:rPr>
          <w:rFonts w:ascii="Times New Roman" w:eastAsia="Times New Roman" w:hAnsi="Times New Roman" w:cs="Times New Roman"/>
          <w:bCs/>
          <w:color w:val="000000"/>
          <w:sz w:val="24"/>
          <w:szCs w:val="24"/>
          <w:lang w:eastAsia="lv-LV"/>
        </w:rPr>
        <w:t>miežabrāļa</w:t>
      </w:r>
      <w:proofErr w:type="spellEnd"/>
      <w:r w:rsidRPr="00A07F29">
        <w:rPr>
          <w:rFonts w:ascii="Times New Roman" w:eastAsia="Times New Roman" w:hAnsi="Times New Roman" w:cs="Times New Roman"/>
          <w:bCs/>
          <w:color w:val="000000"/>
          <w:sz w:val="24"/>
          <w:szCs w:val="24"/>
          <w:lang w:eastAsia="lv-LV"/>
        </w:rPr>
        <w:t xml:space="preserve"> zālāju variants (1.</w:t>
      </w:r>
      <w:r w:rsidR="007A1445">
        <w:rPr>
          <w:rFonts w:ascii="Times New Roman" w:eastAsia="Times New Roman" w:hAnsi="Times New Roman" w:cs="Times New Roman"/>
          <w:bCs/>
          <w:color w:val="000000"/>
          <w:sz w:val="24"/>
          <w:szCs w:val="24"/>
          <w:lang w:eastAsia="lv-LV"/>
        </w:rPr>
        <w:t> </w:t>
      </w:r>
      <w:r w:rsidRPr="00A07F29">
        <w:rPr>
          <w:rFonts w:ascii="Times New Roman" w:eastAsia="Times New Roman" w:hAnsi="Times New Roman" w:cs="Times New Roman"/>
          <w:bCs/>
          <w:color w:val="000000"/>
          <w:sz w:val="24"/>
          <w:szCs w:val="24"/>
          <w:lang w:eastAsia="lv-LV"/>
        </w:rPr>
        <w:t xml:space="preserve">variants), kurā biežāk dominē parastais </w:t>
      </w:r>
      <w:proofErr w:type="spellStart"/>
      <w:r w:rsidRPr="00A07F29">
        <w:rPr>
          <w:rFonts w:ascii="Times New Roman" w:eastAsia="Times New Roman" w:hAnsi="Times New Roman" w:cs="Times New Roman"/>
          <w:bCs/>
          <w:color w:val="000000"/>
          <w:sz w:val="24"/>
          <w:szCs w:val="24"/>
          <w:lang w:eastAsia="lv-LV"/>
        </w:rPr>
        <w:t>miežubrālis</w:t>
      </w:r>
      <w:proofErr w:type="spellEnd"/>
      <w:r w:rsidRPr="00A07F29">
        <w:rPr>
          <w:rFonts w:ascii="Times New Roman" w:eastAsia="Times New Roman" w:hAnsi="Times New Roman" w:cs="Times New Roman"/>
          <w:b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Phalaroides</w:t>
      </w:r>
      <w:proofErr w:type="spellEnd"/>
      <w:r w:rsidRPr="00A07F29">
        <w:rPr>
          <w:rFonts w:ascii="Times New Roman" w:eastAsia="Times New Roman" w:hAnsi="Times New Roman" w:cs="Times New Roman"/>
          <w:bCs/>
          <w:i/>
          <w:i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arundinacea</w:t>
      </w:r>
      <w:proofErr w:type="spellEnd"/>
      <w:r w:rsidRPr="00A07F29">
        <w:rPr>
          <w:rFonts w:ascii="Times New Roman" w:eastAsia="Times New Roman" w:hAnsi="Times New Roman" w:cs="Times New Roman"/>
          <w:bCs/>
          <w:color w:val="000000"/>
          <w:sz w:val="24"/>
          <w:szCs w:val="24"/>
          <w:lang w:eastAsia="lv-LV"/>
        </w:rPr>
        <w:t xml:space="preserve">, bezakotu </w:t>
      </w:r>
      <w:proofErr w:type="spellStart"/>
      <w:r w:rsidRPr="00A07F29">
        <w:rPr>
          <w:rFonts w:ascii="Times New Roman" w:eastAsia="Times New Roman" w:hAnsi="Times New Roman" w:cs="Times New Roman"/>
          <w:bCs/>
          <w:color w:val="000000"/>
          <w:sz w:val="24"/>
          <w:szCs w:val="24"/>
          <w:lang w:eastAsia="lv-LV"/>
        </w:rPr>
        <w:t>zaķauza</w:t>
      </w:r>
      <w:proofErr w:type="spellEnd"/>
      <w:r w:rsidRPr="00A07F29">
        <w:rPr>
          <w:rFonts w:ascii="Times New Roman" w:eastAsia="Times New Roman" w:hAnsi="Times New Roman" w:cs="Times New Roman"/>
          <w:b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Bromopsis</w:t>
      </w:r>
      <w:proofErr w:type="spellEnd"/>
      <w:r w:rsidRPr="00A07F29">
        <w:rPr>
          <w:rFonts w:ascii="Times New Roman" w:eastAsia="Times New Roman" w:hAnsi="Times New Roman" w:cs="Times New Roman"/>
          <w:bCs/>
          <w:i/>
          <w:i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inermis</w:t>
      </w:r>
      <w:proofErr w:type="spellEnd"/>
      <w:r w:rsidRPr="00A07F29">
        <w:rPr>
          <w:rFonts w:ascii="Times New Roman" w:eastAsia="Times New Roman" w:hAnsi="Times New Roman" w:cs="Times New Roman"/>
          <w:bCs/>
          <w:color w:val="000000"/>
          <w:sz w:val="24"/>
          <w:szCs w:val="24"/>
          <w:lang w:eastAsia="lv-LV"/>
        </w:rPr>
        <w:t xml:space="preserve"> un slaidais grīslis </w:t>
      </w:r>
      <w:proofErr w:type="spellStart"/>
      <w:r w:rsidRPr="00A07F29">
        <w:rPr>
          <w:rFonts w:ascii="Times New Roman" w:eastAsia="Times New Roman" w:hAnsi="Times New Roman" w:cs="Times New Roman"/>
          <w:bCs/>
          <w:i/>
          <w:iCs/>
          <w:color w:val="000000"/>
          <w:sz w:val="24"/>
          <w:szCs w:val="24"/>
          <w:lang w:eastAsia="lv-LV"/>
        </w:rPr>
        <w:t>Carex</w:t>
      </w:r>
      <w:proofErr w:type="spellEnd"/>
      <w:r w:rsidRPr="00A07F29">
        <w:rPr>
          <w:rFonts w:ascii="Times New Roman" w:eastAsia="Times New Roman" w:hAnsi="Times New Roman" w:cs="Times New Roman"/>
          <w:bCs/>
          <w:i/>
          <w:i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acuta</w:t>
      </w:r>
      <w:proofErr w:type="spellEnd"/>
      <w:r w:rsidRPr="00A07F29">
        <w:rPr>
          <w:rFonts w:ascii="Times New Roman" w:eastAsia="Times New Roman" w:hAnsi="Times New Roman" w:cs="Times New Roman"/>
          <w:bCs/>
          <w:i/>
          <w:iCs/>
          <w:color w:val="000000"/>
          <w:sz w:val="24"/>
          <w:szCs w:val="24"/>
          <w:lang w:eastAsia="lv-LV"/>
        </w:rPr>
        <w:t>.</w:t>
      </w:r>
      <w:r w:rsidRPr="00A07F29">
        <w:rPr>
          <w:rFonts w:ascii="Times New Roman" w:eastAsia="Times New Roman" w:hAnsi="Times New Roman" w:cs="Times New Roman"/>
          <w:bCs/>
          <w:color w:val="000000"/>
          <w:sz w:val="24"/>
          <w:szCs w:val="24"/>
          <w:lang w:eastAsia="lv-LV"/>
        </w:rPr>
        <w:t xml:space="preserve"> Sastopams arī</w:t>
      </w:r>
      <w:r w:rsidR="00D65BBA" w:rsidRPr="00A07F29">
        <w:rPr>
          <w:rFonts w:ascii="Times New Roman" w:eastAsia="Times New Roman" w:hAnsi="Times New Roman" w:cs="Times New Roman"/>
          <w:bCs/>
          <w:color w:val="000000"/>
          <w:sz w:val="24"/>
          <w:szCs w:val="24"/>
          <w:lang w:eastAsia="lv-LV"/>
        </w:rPr>
        <w:t xml:space="preserve"> </w:t>
      </w:r>
      <w:r w:rsidRPr="00A07F29">
        <w:rPr>
          <w:rFonts w:ascii="Times New Roman" w:eastAsia="Times New Roman" w:hAnsi="Times New Roman" w:cs="Times New Roman"/>
          <w:bCs/>
          <w:color w:val="000000"/>
          <w:sz w:val="24"/>
          <w:szCs w:val="24"/>
          <w:lang w:eastAsia="lv-LV"/>
        </w:rPr>
        <w:t>2.</w:t>
      </w:r>
      <w:r w:rsidR="008B7168">
        <w:rPr>
          <w:rFonts w:ascii="Times New Roman" w:eastAsia="Times New Roman" w:hAnsi="Times New Roman" w:cs="Times New Roman"/>
          <w:bCs/>
          <w:color w:val="000000"/>
          <w:sz w:val="24"/>
          <w:szCs w:val="24"/>
          <w:lang w:eastAsia="lv-LV"/>
        </w:rPr>
        <w:t> </w:t>
      </w:r>
      <w:r w:rsidRPr="00A07F29">
        <w:rPr>
          <w:rFonts w:ascii="Times New Roman" w:eastAsia="Times New Roman" w:hAnsi="Times New Roman" w:cs="Times New Roman"/>
          <w:bCs/>
          <w:color w:val="000000"/>
          <w:sz w:val="24"/>
          <w:szCs w:val="24"/>
          <w:lang w:eastAsia="lv-LV"/>
        </w:rPr>
        <w:t xml:space="preserve">variants (pļavas </w:t>
      </w:r>
      <w:proofErr w:type="spellStart"/>
      <w:r w:rsidRPr="00A07F29">
        <w:rPr>
          <w:rFonts w:ascii="Times New Roman" w:eastAsia="Times New Roman" w:hAnsi="Times New Roman" w:cs="Times New Roman"/>
          <w:bCs/>
          <w:color w:val="000000"/>
          <w:sz w:val="24"/>
          <w:szCs w:val="24"/>
          <w:lang w:eastAsia="lv-LV"/>
        </w:rPr>
        <w:t>lapsastes</w:t>
      </w:r>
      <w:proofErr w:type="spellEnd"/>
      <w:r w:rsidRPr="00A07F29">
        <w:rPr>
          <w:rFonts w:ascii="Times New Roman" w:eastAsia="Times New Roman" w:hAnsi="Times New Roman" w:cs="Times New Roman"/>
          <w:bCs/>
          <w:color w:val="000000"/>
          <w:sz w:val="24"/>
          <w:szCs w:val="24"/>
          <w:lang w:eastAsia="lv-LV"/>
        </w:rPr>
        <w:t xml:space="preserve"> un skareņu zālāji ļoti auglīgās augsnēs). Pie 3.</w:t>
      </w:r>
      <w:r w:rsidR="008B7168">
        <w:rPr>
          <w:rFonts w:ascii="Times New Roman" w:eastAsia="Times New Roman" w:hAnsi="Times New Roman" w:cs="Times New Roman"/>
          <w:bCs/>
          <w:color w:val="000000"/>
          <w:sz w:val="24"/>
          <w:szCs w:val="24"/>
          <w:lang w:eastAsia="lv-LV"/>
        </w:rPr>
        <w:t> </w:t>
      </w:r>
      <w:r w:rsidRPr="00A07F29">
        <w:rPr>
          <w:rFonts w:ascii="Times New Roman" w:eastAsia="Times New Roman" w:hAnsi="Times New Roman" w:cs="Times New Roman"/>
          <w:bCs/>
          <w:color w:val="000000"/>
          <w:sz w:val="24"/>
          <w:szCs w:val="24"/>
          <w:lang w:eastAsia="lv-LV"/>
        </w:rPr>
        <w:t xml:space="preserve">varianta (mitri palieņu zālāji vidēji auglīgās augsnēs) pieskaitītas Daugavas palienei raksturīgās maurloku pļavas uz akmens bruģa. Šeit raksturīgās </w:t>
      </w:r>
      <w:proofErr w:type="spellStart"/>
      <w:r w:rsidRPr="00A07F29">
        <w:rPr>
          <w:rFonts w:ascii="Times New Roman" w:eastAsia="Times New Roman" w:hAnsi="Times New Roman" w:cs="Times New Roman"/>
          <w:bCs/>
          <w:color w:val="000000"/>
          <w:sz w:val="24"/>
          <w:szCs w:val="24"/>
          <w:lang w:eastAsia="lv-LV"/>
        </w:rPr>
        <w:t>vaskulāro</w:t>
      </w:r>
      <w:proofErr w:type="spellEnd"/>
      <w:r w:rsidRPr="00A07F29">
        <w:rPr>
          <w:rFonts w:ascii="Times New Roman" w:eastAsia="Times New Roman" w:hAnsi="Times New Roman" w:cs="Times New Roman"/>
          <w:bCs/>
          <w:color w:val="000000"/>
          <w:sz w:val="24"/>
          <w:szCs w:val="24"/>
          <w:lang w:eastAsia="lv-LV"/>
        </w:rPr>
        <w:t xml:space="preserve"> augu sugas ir maurloks </w:t>
      </w:r>
      <w:proofErr w:type="spellStart"/>
      <w:r w:rsidRPr="00A07F29">
        <w:rPr>
          <w:rFonts w:ascii="Times New Roman" w:eastAsia="Times New Roman" w:hAnsi="Times New Roman" w:cs="Times New Roman"/>
          <w:bCs/>
          <w:i/>
          <w:iCs/>
          <w:color w:val="000000"/>
          <w:sz w:val="24"/>
          <w:szCs w:val="24"/>
          <w:lang w:eastAsia="lv-LV"/>
        </w:rPr>
        <w:t>Allium</w:t>
      </w:r>
      <w:proofErr w:type="spellEnd"/>
      <w:r w:rsidRPr="00A07F29">
        <w:rPr>
          <w:rFonts w:ascii="Times New Roman" w:eastAsia="Times New Roman" w:hAnsi="Times New Roman" w:cs="Times New Roman"/>
          <w:bCs/>
          <w:i/>
          <w:i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schoenoprasum</w:t>
      </w:r>
      <w:proofErr w:type="spellEnd"/>
      <w:r w:rsidRPr="00A07F29">
        <w:rPr>
          <w:rFonts w:ascii="Times New Roman" w:eastAsia="Times New Roman" w:hAnsi="Times New Roman" w:cs="Times New Roman"/>
          <w:bCs/>
          <w:color w:val="000000"/>
          <w:sz w:val="24"/>
          <w:szCs w:val="24"/>
          <w:lang w:eastAsia="lv-LV"/>
        </w:rPr>
        <w:t xml:space="preserve">, ziemeļu madara </w:t>
      </w:r>
      <w:proofErr w:type="spellStart"/>
      <w:r w:rsidRPr="00A07F29">
        <w:rPr>
          <w:rFonts w:ascii="Times New Roman" w:eastAsia="Times New Roman" w:hAnsi="Times New Roman" w:cs="Times New Roman"/>
          <w:bCs/>
          <w:i/>
          <w:iCs/>
          <w:color w:val="000000"/>
          <w:sz w:val="24"/>
          <w:szCs w:val="24"/>
          <w:lang w:eastAsia="lv-LV"/>
        </w:rPr>
        <w:t>Galium</w:t>
      </w:r>
      <w:proofErr w:type="spellEnd"/>
      <w:r w:rsidRPr="00A07F29">
        <w:rPr>
          <w:rFonts w:ascii="Times New Roman" w:eastAsia="Times New Roman" w:hAnsi="Times New Roman" w:cs="Times New Roman"/>
          <w:bCs/>
          <w:i/>
          <w:i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boreale</w:t>
      </w:r>
      <w:proofErr w:type="spellEnd"/>
      <w:r w:rsidRPr="00A07F29">
        <w:rPr>
          <w:rFonts w:ascii="Times New Roman" w:eastAsia="Times New Roman" w:hAnsi="Times New Roman" w:cs="Times New Roman"/>
          <w:bCs/>
          <w:color w:val="000000"/>
          <w:sz w:val="24"/>
          <w:szCs w:val="24"/>
          <w:lang w:eastAsia="lv-LV"/>
        </w:rPr>
        <w:t xml:space="preserve">, pļavas auzene </w:t>
      </w:r>
      <w:proofErr w:type="spellStart"/>
      <w:r w:rsidRPr="00A07F29">
        <w:rPr>
          <w:rFonts w:ascii="Times New Roman" w:eastAsia="Times New Roman" w:hAnsi="Times New Roman" w:cs="Times New Roman"/>
          <w:bCs/>
          <w:i/>
          <w:iCs/>
          <w:color w:val="000000"/>
          <w:sz w:val="24"/>
          <w:szCs w:val="24"/>
          <w:lang w:eastAsia="lv-LV"/>
        </w:rPr>
        <w:t>Festuca</w:t>
      </w:r>
      <w:proofErr w:type="spellEnd"/>
      <w:r w:rsidRPr="00A07F29">
        <w:rPr>
          <w:rFonts w:ascii="Times New Roman" w:eastAsia="Times New Roman" w:hAnsi="Times New Roman" w:cs="Times New Roman"/>
          <w:bCs/>
          <w:i/>
          <w:i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pratensis</w:t>
      </w:r>
      <w:proofErr w:type="spellEnd"/>
      <w:r w:rsidRPr="00A07F29">
        <w:rPr>
          <w:rFonts w:ascii="Times New Roman" w:eastAsia="Times New Roman" w:hAnsi="Times New Roman" w:cs="Times New Roman"/>
          <w:bCs/>
          <w:color w:val="000000"/>
          <w:sz w:val="24"/>
          <w:szCs w:val="24"/>
          <w:lang w:eastAsia="lv-LV"/>
        </w:rPr>
        <w:t xml:space="preserve">, ložņu gundega </w:t>
      </w:r>
      <w:proofErr w:type="spellStart"/>
      <w:r w:rsidRPr="00A07F29">
        <w:rPr>
          <w:rFonts w:ascii="Times New Roman" w:eastAsia="Times New Roman" w:hAnsi="Times New Roman" w:cs="Times New Roman"/>
          <w:bCs/>
          <w:i/>
          <w:iCs/>
          <w:color w:val="000000"/>
          <w:sz w:val="24"/>
          <w:szCs w:val="24"/>
          <w:lang w:eastAsia="lv-LV"/>
        </w:rPr>
        <w:t>Ranunculus</w:t>
      </w:r>
      <w:proofErr w:type="spellEnd"/>
      <w:r w:rsidRPr="00A07F29">
        <w:rPr>
          <w:rFonts w:ascii="Times New Roman" w:eastAsia="Times New Roman" w:hAnsi="Times New Roman" w:cs="Times New Roman"/>
          <w:bCs/>
          <w:i/>
          <w:i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repens</w:t>
      </w:r>
      <w:proofErr w:type="spellEnd"/>
      <w:r w:rsidRPr="00A07F29">
        <w:rPr>
          <w:rFonts w:ascii="Times New Roman" w:eastAsia="Times New Roman" w:hAnsi="Times New Roman" w:cs="Times New Roman"/>
          <w:bCs/>
          <w:i/>
          <w:iCs/>
          <w:color w:val="000000"/>
          <w:sz w:val="24"/>
          <w:szCs w:val="24"/>
          <w:lang w:eastAsia="lv-LV"/>
        </w:rPr>
        <w:t>,</w:t>
      </w:r>
      <w:r w:rsidRPr="00A07F29">
        <w:rPr>
          <w:rFonts w:ascii="Times New Roman" w:eastAsia="Times New Roman" w:hAnsi="Times New Roman" w:cs="Times New Roman"/>
          <w:bCs/>
          <w:color w:val="000000"/>
          <w:sz w:val="24"/>
          <w:szCs w:val="24"/>
          <w:lang w:eastAsia="lv-LV"/>
        </w:rPr>
        <w:t xml:space="preserve"> </w:t>
      </w:r>
      <w:proofErr w:type="spellStart"/>
      <w:r w:rsidRPr="00A07F29">
        <w:rPr>
          <w:rFonts w:ascii="Times New Roman" w:eastAsia="Times New Roman" w:hAnsi="Times New Roman" w:cs="Times New Roman"/>
          <w:bCs/>
          <w:color w:val="000000"/>
          <w:sz w:val="24"/>
          <w:szCs w:val="24"/>
          <w:lang w:eastAsia="lv-LV"/>
        </w:rPr>
        <w:t>garlapu</w:t>
      </w:r>
      <w:proofErr w:type="spellEnd"/>
      <w:r w:rsidRPr="00A07F29">
        <w:rPr>
          <w:rFonts w:ascii="Times New Roman" w:eastAsia="Times New Roman" w:hAnsi="Times New Roman" w:cs="Times New Roman"/>
          <w:bCs/>
          <w:color w:val="000000"/>
          <w:sz w:val="24"/>
          <w:szCs w:val="24"/>
          <w:lang w:eastAsia="lv-LV"/>
        </w:rPr>
        <w:t xml:space="preserve"> veronika </w:t>
      </w:r>
      <w:proofErr w:type="spellStart"/>
      <w:r w:rsidRPr="00A07F29">
        <w:rPr>
          <w:rFonts w:ascii="Times New Roman" w:eastAsia="Times New Roman" w:hAnsi="Times New Roman" w:cs="Times New Roman"/>
          <w:bCs/>
          <w:i/>
          <w:iCs/>
          <w:color w:val="000000"/>
          <w:sz w:val="24"/>
          <w:szCs w:val="24"/>
          <w:lang w:eastAsia="lv-LV"/>
        </w:rPr>
        <w:t>Veronica</w:t>
      </w:r>
      <w:proofErr w:type="spellEnd"/>
      <w:r w:rsidRPr="00A07F29">
        <w:rPr>
          <w:rFonts w:ascii="Times New Roman" w:eastAsia="Times New Roman" w:hAnsi="Times New Roman" w:cs="Times New Roman"/>
          <w:bCs/>
          <w:i/>
          <w:i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longifolia</w:t>
      </w:r>
      <w:proofErr w:type="spellEnd"/>
      <w:r w:rsidRPr="00A07F29">
        <w:rPr>
          <w:rFonts w:ascii="Times New Roman" w:eastAsia="Times New Roman" w:hAnsi="Times New Roman" w:cs="Times New Roman"/>
          <w:bCs/>
          <w:color w:val="000000"/>
          <w:sz w:val="24"/>
          <w:szCs w:val="24"/>
          <w:lang w:eastAsia="lv-LV"/>
        </w:rPr>
        <w:t xml:space="preserve">, vanagu vīķis </w:t>
      </w:r>
      <w:proofErr w:type="spellStart"/>
      <w:r w:rsidRPr="00A07F29">
        <w:rPr>
          <w:rFonts w:ascii="Times New Roman" w:eastAsia="Times New Roman" w:hAnsi="Times New Roman" w:cs="Times New Roman"/>
          <w:bCs/>
          <w:i/>
          <w:iCs/>
          <w:color w:val="000000"/>
          <w:sz w:val="24"/>
          <w:szCs w:val="24"/>
          <w:lang w:eastAsia="lv-LV"/>
        </w:rPr>
        <w:t>Vicia</w:t>
      </w:r>
      <w:proofErr w:type="spellEnd"/>
      <w:r w:rsidRPr="00A07F29">
        <w:rPr>
          <w:rFonts w:ascii="Times New Roman" w:eastAsia="Times New Roman" w:hAnsi="Times New Roman" w:cs="Times New Roman"/>
          <w:bCs/>
          <w:i/>
          <w:i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cracca</w:t>
      </w:r>
      <w:proofErr w:type="spellEnd"/>
      <w:r w:rsidR="00D65BBA" w:rsidRPr="00A07F29">
        <w:rPr>
          <w:rFonts w:ascii="Times New Roman" w:eastAsia="Times New Roman" w:hAnsi="Times New Roman" w:cs="Times New Roman"/>
          <w:bCs/>
          <w:color w:val="000000"/>
          <w:sz w:val="24"/>
          <w:szCs w:val="24"/>
          <w:lang w:eastAsia="lv-LV"/>
        </w:rPr>
        <w:t xml:space="preserve"> </w:t>
      </w:r>
      <w:r w:rsidRPr="00A07F29">
        <w:rPr>
          <w:rFonts w:ascii="Times New Roman" w:eastAsia="Times New Roman" w:hAnsi="Times New Roman" w:cs="Times New Roman"/>
          <w:bCs/>
          <w:color w:val="000000"/>
          <w:sz w:val="24"/>
          <w:szCs w:val="24"/>
          <w:lang w:eastAsia="lv-LV"/>
        </w:rPr>
        <w:t xml:space="preserve">u.c. No aizsargājamām </w:t>
      </w:r>
      <w:proofErr w:type="spellStart"/>
      <w:r w:rsidRPr="00A07F29">
        <w:rPr>
          <w:rFonts w:ascii="Times New Roman" w:eastAsia="Times New Roman" w:hAnsi="Times New Roman" w:cs="Times New Roman"/>
          <w:bCs/>
          <w:color w:val="000000"/>
          <w:sz w:val="24"/>
          <w:szCs w:val="24"/>
          <w:lang w:eastAsia="lv-LV"/>
        </w:rPr>
        <w:t>vaskulāro</w:t>
      </w:r>
      <w:proofErr w:type="spellEnd"/>
      <w:r w:rsidRPr="00A07F29">
        <w:rPr>
          <w:rFonts w:ascii="Times New Roman" w:eastAsia="Times New Roman" w:hAnsi="Times New Roman" w:cs="Times New Roman"/>
          <w:bCs/>
          <w:color w:val="000000"/>
          <w:sz w:val="24"/>
          <w:szCs w:val="24"/>
          <w:lang w:eastAsia="lv-LV"/>
        </w:rPr>
        <w:t xml:space="preserve"> augu sugām Daugavas palienē konstatētas bagātīgas maurloka </w:t>
      </w:r>
      <w:proofErr w:type="spellStart"/>
      <w:r w:rsidRPr="00A07F29">
        <w:rPr>
          <w:rFonts w:ascii="Times New Roman" w:eastAsia="Times New Roman" w:hAnsi="Times New Roman" w:cs="Times New Roman"/>
          <w:bCs/>
          <w:i/>
          <w:iCs/>
          <w:color w:val="000000"/>
          <w:sz w:val="24"/>
          <w:szCs w:val="24"/>
          <w:lang w:eastAsia="lv-LV"/>
        </w:rPr>
        <w:t>Allium</w:t>
      </w:r>
      <w:proofErr w:type="spellEnd"/>
      <w:r w:rsidRPr="00A07F29">
        <w:rPr>
          <w:rFonts w:ascii="Times New Roman" w:eastAsia="Times New Roman" w:hAnsi="Times New Roman" w:cs="Times New Roman"/>
          <w:bCs/>
          <w:i/>
          <w:i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schoenoprasum</w:t>
      </w:r>
      <w:proofErr w:type="spellEnd"/>
      <w:r w:rsidRPr="00A07F29">
        <w:rPr>
          <w:rFonts w:ascii="Times New Roman" w:eastAsia="Times New Roman" w:hAnsi="Times New Roman" w:cs="Times New Roman"/>
          <w:bCs/>
          <w:color w:val="000000"/>
          <w:sz w:val="24"/>
          <w:szCs w:val="24"/>
          <w:lang w:eastAsia="lv-LV"/>
        </w:rPr>
        <w:t xml:space="preserve"> audzes, kā arī Britu </w:t>
      </w:r>
      <w:proofErr w:type="spellStart"/>
      <w:r w:rsidRPr="00A07F29">
        <w:rPr>
          <w:rFonts w:ascii="Times New Roman" w:eastAsia="Times New Roman" w:hAnsi="Times New Roman" w:cs="Times New Roman"/>
          <w:bCs/>
          <w:color w:val="000000"/>
          <w:sz w:val="24"/>
          <w:szCs w:val="24"/>
          <w:lang w:eastAsia="lv-LV"/>
        </w:rPr>
        <w:t>staģes</w:t>
      </w:r>
      <w:proofErr w:type="spellEnd"/>
      <w:r w:rsidRPr="00A07F29">
        <w:rPr>
          <w:rFonts w:ascii="Times New Roman" w:eastAsia="Times New Roman" w:hAnsi="Times New Roman" w:cs="Times New Roman"/>
          <w:b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Inula</w:t>
      </w:r>
      <w:proofErr w:type="spellEnd"/>
      <w:r w:rsidRPr="00A07F29">
        <w:rPr>
          <w:rFonts w:ascii="Times New Roman" w:eastAsia="Times New Roman" w:hAnsi="Times New Roman" w:cs="Times New Roman"/>
          <w:bCs/>
          <w:i/>
          <w:i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britannica</w:t>
      </w:r>
      <w:proofErr w:type="spellEnd"/>
      <w:r w:rsidRPr="00A07F29">
        <w:rPr>
          <w:rFonts w:ascii="Times New Roman" w:eastAsia="Times New Roman" w:hAnsi="Times New Roman" w:cs="Times New Roman"/>
          <w:bCs/>
          <w:i/>
          <w:iCs/>
          <w:color w:val="000000"/>
          <w:sz w:val="24"/>
          <w:szCs w:val="24"/>
          <w:lang w:eastAsia="lv-LV"/>
        </w:rPr>
        <w:t>,</w:t>
      </w:r>
      <w:r w:rsidRPr="00A07F29">
        <w:rPr>
          <w:rFonts w:ascii="Times New Roman" w:eastAsia="Times New Roman" w:hAnsi="Times New Roman" w:cs="Times New Roman"/>
          <w:bCs/>
          <w:color w:val="000000"/>
          <w:sz w:val="24"/>
          <w:szCs w:val="24"/>
          <w:lang w:eastAsia="lv-LV"/>
        </w:rPr>
        <w:t xml:space="preserve"> ārstniecības </w:t>
      </w:r>
      <w:proofErr w:type="spellStart"/>
      <w:r w:rsidRPr="00A07F29">
        <w:rPr>
          <w:rFonts w:ascii="Times New Roman" w:eastAsia="Times New Roman" w:hAnsi="Times New Roman" w:cs="Times New Roman"/>
          <w:bCs/>
          <w:color w:val="000000"/>
          <w:sz w:val="24"/>
          <w:szCs w:val="24"/>
          <w:lang w:eastAsia="lv-LV"/>
        </w:rPr>
        <w:t>rūgtenes</w:t>
      </w:r>
      <w:proofErr w:type="spellEnd"/>
      <w:r w:rsidRPr="00A07F29">
        <w:rPr>
          <w:rFonts w:ascii="Times New Roman" w:eastAsia="Times New Roman" w:hAnsi="Times New Roman" w:cs="Times New Roman"/>
          <w:bCs/>
          <w:i/>
          <w:i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Gratiola</w:t>
      </w:r>
      <w:proofErr w:type="spellEnd"/>
      <w:r w:rsidRPr="00A07F29">
        <w:rPr>
          <w:rFonts w:ascii="Times New Roman" w:eastAsia="Times New Roman" w:hAnsi="Times New Roman" w:cs="Times New Roman"/>
          <w:bCs/>
          <w:i/>
          <w:i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officinalis</w:t>
      </w:r>
      <w:proofErr w:type="spellEnd"/>
      <w:r w:rsidRPr="00A07F29">
        <w:rPr>
          <w:rFonts w:ascii="Times New Roman" w:eastAsia="Times New Roman" w:hAnsi="Times New Roman" w:cs="Times New Roman"/>
          <w:bCs/>
          <w:i/>
          <w:iCs/>
          <w:color w:val="000000"/>
          <w:sz w:val="24"/>
          <w:szCs w:val="24"/>
          <w:lang w:eastAsia="lv-LV"/>
        </w:rPr>
        <w:t xml:space="preserve"> </w:t>
      </w:r>
      <w:r w:rsidRPr="00A07F29">
        <w:rPr>
          <w:rFonts w:ascii="Times New Roman" w:eastAsia="Times New Roman" w:hAnsi="Times New Roman" w:cs="Times New Roman"/>
          <w:bCs/>
          <w:color w:val="000000"/>
          <w:sz w:val="24"/>
          <w:szCs w:val="24"/>
          <w:lang w:eastAsia="lv-LV"/>
        </w:rPr>
        <w:t xml:space="preserve">un </w:t>
      </w:r>
      <w:proofErr w:type="spellStart"/>
      <w:r w:rsidRPr="00A07F29">
        <w:rPr>
          <w:rFonts w:ascii="Times New Roman" w:eastAsia="Times New Roman" w:hAnsi="Times New Roman" w:cs="Times New Roman"/>
          <w:bCs/>
          <w:color w:val="000000"/>
          <w:sz w:val="24"/>
          <w:szCs w:val="24"/>
          <w:lang w:eastAsia="lv-LV"/>
        </w:rPr>
        <w:t>melnodzenes</w:t>
      </w:r>
      <w:proofErr w:type="spellEnd"/>
      <w:r w:rsidRPr="00A07F29">
        <w:rPr>
          <w:rFonts w:ascii="Times New Roman" w:eastAsia="Times New Roman" w:hAnsi="Times New Roman" w:cs="Times New Roman"/>
          <w:b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Cucubalus</w:t>
      </w:r>
      <w:proofErr w:type="spellEnd"/>
      <w:r w:rsidRPr="00A07F29">
        <w:rPr>
          <w:rFonts w:ascii="Times New Roman" w:eastAsia="Times New Roman" w:hAnsi="Times New Roman" w:cs="Times New Roman"/>
          <w:bCs/>
          <w:i/>
          <w:i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baccifer</w:t>
      </w:r>
      <w:proofErr w:type="spellEnd"/>
      <w:r w:rsidRPr="00A07F29">
        <w:rPr>
          <w:rFonts w:ascii="Times New Roman" w:eastAsia="Times New Roman" w:hAnsi="Times New Roman" w:cs="Times New Roman"/>
          <w:bCs/>
          <w:color w:val="000000"/>
          <w:sz w:val="24"/>
          <w:szCs w:val="24"/>
          <w:lang w:eastAsia="lv-LV"/>
        </w:rPr>
        <w:t xml:space="preserve"> atradnes.</w:t>
      </w:r>
    </w:p>
    <w:p w14:paraId="3A9F4475" w14:textId="2534CA9B" w:rsidR="000B2304" w:rsidRPr="00A07F29" w:rsidRDefault="002B1603" w:rsidP="00A24AE3">
      <w:pPr>
        <w:spacing w:after="120" w:line="240" w:lineRule="auto"/>
        <w:ind w:firstLine="851"/>
        <w:jc w:val="both"/>
        <w:rPr>
          <w:rFonts w:ascii="Times New Roman" w:eastAsia="Times New Roman" w:hAnsi="Times New Roman" w:cs="Times New Roman"/>
          <w:bCs/>
          <w:color w:val="000000"/>
          <w:sz w:val="24"/>
          <w:szCs w:val="24"/>
          <w:lang w:eastAsia="lv-LV"/>
        </w:rPr>
      </w:pPr>
      <w:r w:rsidRPr="00A07F29">
        <w:rPr>
          <w:rFonts w:ascii="Times New Roman" w:eastAsia="Times New Roman" w:hAnsi="Times New Roman" w:cs="Times New Roman"/>
          <w:bCs/>
          <w:color w:val="000000"/>
          <w:sz w:val="24"/>
          <w:szCs w:val="24"/>
          <w:lang w:eastAsia="lv-LV"/>
        </w:rPr>
        <w:t>Vairākums 6450</w:t>
      </w:r>
      <w:r w:rsidR="00A2112C">
        <w:rPr>
          <w:rFonts w:ascii="Times New Roman" w:eastAsia="Times New Roman" w:hAnsi="Times New Roman" w:cs="Times New Roman"/>
          <w:bCs/>
          <w:color w:val="000000"/>
          <w:sz w:val="24"/>
          <w:szCs w:val="24"/>
          <w:lang w:eastAsia="lv-LV"/>
        </w:rPr>
        <w:t> </w:t>
      </w:r>
      <w:r w:rsidRPr="00A07F29">
        <w:rPr>
          <w:rFonts w:ascii="Times New Roman" w:eastAsia="Times New Roman" w:hAnsi="Times New Roman" w:cs="Times New Roman"/>
          <w:bCs/>
          <w:i/>
          <w:iCs/>
          <w:color w:val="000000"/>
          <w:sz w:val="24"/>
          <w:szCs w:val="24"/>
          <w:lang w:eastAsia="lv-LV"/>
        </w:rPr>
        <w:t>Palieņu zālāju</w:t>
      </w:r>
      <w:r w:rsidRPr="00A07F29">
        <w:rPr>
          <w:rFonts w:ascii="Times New Roman" w:eastAsia="Times New Roman" w:hAnsi="Times New Roman" w:cs="Times New Roman"/>
          <w:bCs/>
          <w:color w:val="000000"/>
          <w:sz w:val="24"/>
          <w:szCs w:val="24"/>
          <w:lang w:eastAsia="lv-LV"/>
        </w:rPr>
        <w:t xml:space="preserve"> </w:t>
      </w:r>
      <w:r w:rsidR="000B2304" w:rsidRPr="00A07F29">
        <w:rPr>
          <w:rFonts w:ascii="Times New Roman" w:eastAsia="Times New Roman" w:hAnsi="Times New Roman" w:cs="Times New Roman"/>
          <w:bCs/>
          <w:color w:val="000000"/>
          <w:sz w:val="24"/>
          <w:szCs w:val="24"/>
          <w:lang w:eastAsia="lv-LV"/>
        </w:rPr>
        <w:t xml:space="preserve">AAA “Augšdaugava” </w:t>
      </w:r>
      <w:r w:rsidRPr="00A07F29">
        <w:rPr>
          <w:rFonts w:ascii="Times New Roman" w:eastAsia="Times New Roman" w:hAnsi="Times New Roman" w:cs="Times New Roman"/>
          <w:bCs/>
          <w:color w:val="000000"/>
          <w:sz w:val="24"/>
          <w:szCs w:val="24"/>
          <w:lang w:eastAsia="lv-LV"/>
        </w:rPr>
        <w:t>ilgstoši netiek apsaimniekoti, notiek aizaugšana ar kārkliem (</w:t>
      </w:r>
      <w:proofErr w:type="spellStart"/>
      <w:r w:rsidRPr="00A07F29">
        <w:rPr>
          <w:rFonts w:ascii="Times New Roman" w:eastAsia="Times New Roman" w:hAnsi="Times New Roman" w:cs="Times New Roman"/>
          <w:bCs/>
          <w:i/>
          <w:iCs/>
          <w:color w:val="000000"/>
          <w:sz w:val="24"/>
          <w:szCs w:val="24"/>
          <w:lang w:eastAsia="lv-LV"/>
        </w:rPr>
        <w:t>Salix</w:t>
      </w:r>
      <w:proofErr w:type="spellEnd"/>
      <w:r w:rsidRPr="00A07F29">
        <w:rPr>
          <w:rFonts w:ascii="Times New Roman" w:eastAsia="Times New Roman" w:hAnsi="Times New Roman" w:cs="Times New Roman"/>
          <w:bCs/>
          <w:i/>
          <w:i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sp</w:t>
      </w:r>
      <w:proofErr w:type="spellEnd"/>
      <w:r w:rsidRPr="00A07F29">
        <w:rPr>
          <w:rFonts w:ascii="Times New Roman" w:eastAsia="Times New Roman" w:hAnsi="Times New Roman" w:cs="Times New Roman"/>
          <w:bCs/>
          <w:i/>
          <w:iCs/>
          <w:color w:val="000000"/>
          <w:sz w:val="24"/>
          <w:szCs w:val="24"/>
          <w:lang w:eastAsia="lv-LV"/>
        </w:rPr>
        <w:t>.</w:t>
      </w:r>
      <w:r w:rsidRPr="00A07F29">
        <w:rPr>
          <w:rFonts w:ascii="Times New Roman" w:eastAsia="Times New Roman" w:hAnsi="Times New Roman" w:cs="Times New Roman"/>
          <w:bCs/>
          <w:color w:val="000000"/>
          <w:sz w:val="24"/>
          <w:szCs w:val="24"/>
          <w:lang w:eastAsia="lv-LV"/>
        </w:rPr>
        <w:t xml:space="preserve">) un </w:t>
      </w:r>
      <w:proofErr w:type="spellStart"/>
      <w:r w:rsidRPr="00A07F29">
        <w:rPr>
          <w:rFonts w:ascii="Times New Roman" w:eastAsia="Times New Roman" w:hAnsi="Times New Roman" w:cs="Times New Roman"/>
          <w:bCs/>
          <w:color w:val="000000"/>
          <w:sz w:val="24"/>
          <w:szCs w:val="24"/>
          <w:lang w:eastAsia="lv-LV"/>
        </w:rPr>
        <w:t>invazīvo</w:t>
      </w:r>
      <w:proofErr w:type="spellEnd"/>
      <w:r w:rsidRPr="00A07F29">
        <w:rPr>
          <w:rFonts w:ascii="Times New Roman" w:eastAsia="Times New Roman" w:hAnsi="Times New Roman" w:cs="Times New Roman"/>
          <w:bCs/>
          <w:color w:val="000000"/>
          <w:sz w:val="24"/>
          <w:szCs w:val="24"/>
          <w:lang w:eastAsia="lv-LV"/>
        </w:rPr>
        <w:t xml:space="preserve"> </w:t>
      </w:r>
      <w:proofErr w:type="spellStart"/>
      <w:r w:rsidRPr="00A07F29">
        <w:rPr>
          <w:rFonts w:ascii="Times New Roman" w:eastAsia="Times New Roman" w:hAnsi="Times New Roman" w:cs="Times New Roman"/>
          <w:bCs/>
          <w:color w:val="000000"/>
          <w:sz w:val="24"/>
          <w:szCs w:val="24"/>
          <w:lang w:eastAsia="lv-LV"/>
        </w:rPr>
        <w:t>ošlapu</w:t>
      </w:r>
      <w:proofErr w:type="spellEnd"/>
      <w:r w:rsidRPr="00A07F29">
        <w:rPr>
          <w:rFonts w:ascii="Times New Roman" w:eastAsia="Times New Roman" w:hAnsi="Times New Roman" w:cs="Times New Roman"/>
          <w:bCs/>
          <w:color w:val="000000"/>
          <w:sz w:val="24"/>
          <w:szCs w:val="24"/>
          <w:lang w:eastAsia="lv-LV"/>
        </w:rPr>
        <w:t xml:space="preserve"> kļavu </w:t>
      </w:r>
      <w:r w:rsidRPr="00A07F29">
        <w:rPr>
          <w:rFonts w:ascii="Times New Roman" w:eastAsia="Times New Roman" w:hAnsi="Times New Roman" w:cs="Times New Roman"/>
          <w:bCs/>
          <w:i/>
          <w:iCs/>
          <w:color w:val="000000"/>
          <w:sz w:val="24"/>
          <w:szCs w:val="24"/>
          <w:lang w:eastAsia="lv-LV"/>
        </w:rPr>
        <w:t xml:space="preserve">Acer </w:t>
      </w:r>
      <w:proofErr w:type="spellStart"/>
      <w:r w:rsidRPr="00A07F29">
        <w:rPr>
          <w:rFonts w:ascii="Times New Roman" w:eastAsia="Times New Roman" w:hAnsi="Times New Roman" w:cs="Times New Roman"/>
          <w:bCs/>
          <w:i/>
          <w:iCs/>
          <w:color w:val="000000"/>
          <w:sz w:val="24"/>
          <w:szCs w:val="24"/>
          <w:lang w:eastAsia="lv-LV"/>
        </w:rPr>
        <w:t>negundo</w:t>
      </w:r>
      <w:proofErr w:type="spellEnd"/>
      <w:r w:rsidRPr="00A07F29">
        <w:rPr>
          <w:rFonts w:ascii="Times New Roman" w:eastAsia="Times New Roman" w:hAnsi="Times New Roman" w:cs="Times New Roman"/>
          <w:bCs/>
          <w:i/>
          <w:iCs/>
          <w:color w:val="000000"/>
          <w:sz w:val="24"/>
          <w:szCs w:val="24"/>
          <w:lang w:eastAsia="lv-LV"/>
        </w:rPr>
        <w:t xml:space="preserve">. </w:t>
      </w:r>
      <w:r w:rsidRPr="00A07F29">
        <w:rPr>
          <w:rFonts w:ascii="Times New Roman" w:eastAsia="Times New Roman" w:hAnsi="Times New Roman" w:cs="Times New Roman"/>
          <w:bCs/>
          <w:color w:val="000000"/>
          <w:sz w:val="24"/>
          <w:szCs w:val="24"/>
          <w:lang w:eastAsia="lv-LV"/>
        </w:rPr>
        <w:t xml:space="preserve">No </w:t>
      </w:r>
      <w:proofErr w:type="spellStart"/>
      <w:r w:rsidRPr="00A07F29">
        <w:rPr>
          <w:rFonts w:ascii="Times New Roman" w:eastAsia="Times New Roman" w:hAnsi="Times New Roman" w:cs="Times New Roman"/>
          <w:bCs/>
          <w:color w:val="000000"/>
          <w:sz w:val="24"/>
          <w:szCs w:val="24"/>
          <w:lang w:eastAsia="lv-LV"/>
        </w:rPr>
        <w:t>invazīvajām</w:t>
      </w:r>
      <w:proofErr w:type="spellEnd"/>
      <w:r w:rsidRPr="00A07F29">
        <w:rPr>
          <w:rFonts w:ascii="Times New Roman" w:eastAsia="Times New Roman" w:hAnsi="Times New Roman" w:cs="Times New Roman"/>
          <w:bCs/>
          <w:color w:val="000000"/>
          <w:sz w:val="24"/>
          <w:szCs w:val="24"/>
          <w:lang w:eastAsia="lv-LV"/>
        </w:rPr>
        <w:t xml:space="preserve"> lakstaugu sugām šeit sastopams adatainais </w:t>
      </w:r>
      <w:proofErr w:type="spellStart"/>
      <w:r w:rsidRPr="00A07F29">
        <w:rPr>
          <w:rFonts w:ascii="Times New Roman" w:eastAsia="Times New Roman" w:hAnsi="Times New Roman" w:cs="Times New Roman"/>
          <w:bCs/>
          <w:color w:val="000000"/>
          <w:sz w:val="24"/>
          <w:szCs w:val="24"/>
          <w:lang w:eastAsia="lv-LV"/>
        </w:rPr>
        <w:t>dzeloņgurķis</w:t>
      </w:r>
      <w:proofErr w:type="spellEnd"/>
      <w:r w:rsidRPr="00A07F29">
        <w:rPr>
          <w:rFonts w:ascii="Times New Roman" w:eastAsia="Times New Roman" w:hAnsi="Times New Roman" w:cs="Times New Roman"/>
          <w:b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Echinocystis</w:t>
      </w:r>
      <w:proofErr w:type="spellEnd"/>
      <w:r w:rsidRPr="00A07F29">
        <w:rPr>
          <w:rFonts w:ascii="Times New Roman" w:eastAsia="Times New Roman" w:hAnsi="Times New Roman" w:cs="Times New Roman"/>
          <w:bCs/>
          <w:i/>
          <w:i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lobata</w:t>
      </w:r>
      <w:proofErr w:type="spellEnd"/>
      <w:r w:rsidRPr="00A07F29">
        <w:rPr>
          <w:rFonts w:ascii="Times New Roman" w:eastAsia="Times New Roman" w:hAnsi="Times New Roman" w:cs="Times New Roman"/>
          <w:bCs/>
          <w:color w:val="000000"/>
          <w:sz w:val="24"/>
          <w:szCs w:val="24"/>
          <w:lang w:eastAsia="lv-LV"/>
        </w:rPr>
        <w:t xml:space="preserve">, </w:t>
      </w:r>
      <w:proofErr w:type="spellStart"/>
      <w:r w:rsidRPr="00A07F29">
        <w:rPr>
          <w:rFonts w:ascii="Times New Roman" w:eastAsia="Times New Roman" w:hAnsi="Times New Roman" w:cs="Times New Roman"/>
          <w:bCs/>
          <w:color w:val="000000"/>
          <w:sz w:val="24"/>
          <w:szCs w:val="24"/>
          <w:lang w:eastAsia="lv-LV"/>
        </w:rPr>
        <w:t>daudzlapu</w:t>
      </w:r>
      <w:proofErr w:type="spellEnd"/>
      <w:r w:rsidRPr="00A07F29">
        <w:rPr>
          <w:rFonts w:ascii="Times New Roman" w:eastAsia="Times New Roman" w:hAnsi="Times New Roman" w:cs="Times New Roman"/>
          <w:bCs/>
          <w:color w:val="000000"/>
          <w:sz w:val="24"/>
          <w:szCs w:val="24"/>
          <w:lang w:eastAsia="lv-LV"/>
        </w:rPr>
        <w:t xml:space="preserve"> lupīna </w:t>
      </w:r>
      <w:proofErr w:type="spellStart"/>
      <w:r w:rsidRPr="00A07F29">
        <w:rPr>
          <w:rFonts w:ascii="Times New Roman" w:eastAsia="Times New Roman" w:hAnsi="Times New Roman" w:cs="Times New Roman"/>
          <w:bCs/>
          <w:i/>
          <w:iCs/>
          <w:color w:val="000000"/>
          <w:sz w:val="24"/>
          <w:szCs w:val="24"/>
          <w:lang w:eastAsia="lv-LV"/>
        </w:rPr>
        <w:t>Lupinus</w:t>
      </w:r>
      <w:proofErr w:type="spellEnd"/>
      <w:r w:rsidRPr="00A07F29">
        <w:rPr>
          <w:rFonts w:ascii="Times New Roman" w:eastAsia="Times New Roman" w:hAnsi="Times New Roman" w:cs="Times New Roman"/>
          <w:bCs/>
          <w:i/>
          <w:i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polyphyllus</w:t>
      </w:r>
      <w:proofErr w:type="spellEnd"/>
      <w:r w:rsidRPr="00A07F29">
        <w:rPr>
          <w:rFonts w:ascii="Times New Roman" w:eastAsia="Times New Roman" w:hAnsi="Times New Roman" w:cs="Times New Roman"/>
          <w:bCs/>
          <w:color w:val="000000"/>
          <w:sz w:val="24"/>
          <w:szCs w:val="24"/>
          <w:lang w:eastAsia="lv-LV"/>
        </w:rPr>
        <w:t xml:space="preserve"> un blīvā skābene </w:t>
      </w:r>
      <w:proofErr w:type="spellStart"/>
      <w:r w:rsidRPr="00A07F29">
        <w:rPr>
          <w:rFonts w:ascii="Times New Roman" w:eastAsia="Times New Roman" w:hAnsi="Times New Roman" w:cs="Times New Roman"/>
          <w:bCs/>
          <w:i/>
          <w:iCs/>
          <w:color w:val="000000"/>
          <w:sz w:val="24"/>
          <w:szCs w:val="24"/>
          <w:lang w:eastAsia="lv-LV"/>
        </w:rPr>
        <w:t>Rumex</w:t>
      </w:r>
      <w:proofErr w:type="spellEnd"/>
      <w:r w:rsidRPr="00A07F29">
        <w:rPr>
          <w:rFonts w:ascii="Times New Roman" w:eastAsia="Times New Roman" w:hAnsi="Times New Roman" w:cs="Times New Roman"/>
          <w:bCs/>
          <w:i/>
          <w:i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confertus</w:t>
      </w:r>
      <w:proofErr w:type="spellEnd"/>
      <w:r w:rsidRPr="00A07F29">
        <w:rPr>
          <w:rFonts w:ascii="Times New Roman" w:eastAsia="Times New Roman" w:hAnsi="Times New Roman" w:cs="Times New Roman"/>
          <w:bCs/>
          <w:color w:val="000000"/>
          <w:sz w:val="24"/>
          <w:szCs w:val="24"/>
          <w:lang w:eastAsia="lv-LV"/>
        </w:rPr>
        <w:t xml:space="preserve">. </w:t>
      </w:r>
      <w:r w:rsidR="000B2304" w:rsidRPr="00A07F29">
        <w:rPr>
          <w:rFonts w:ascii="Times New Roman" w:eastAsia="Times New Roman" w:hAnsi="Times New Roman" w:cs="Times New Roman"/>
          <w:bCs/>
          <w:color w:val="000000"/>
          <w:sz w:val="24"/>
          <w:szCs w:val="24"/>
          <w:lang w:eastAsia="lv-LV"/>
        </w:rPr>
        <w:t>Atsevišķi palieņu zālāji tiek apsaimniekoti, ganot lopus.</w:t>
      </w:r>
      <w:r w:rsidR="000B2304" w:rsidRPr="00A07F29">
        <w:rPr>
          <w:rFonts w:ascii="Times New Roman" w:eastAsia="Times New Roman" w:hAnsi="Times New Roman" w:cs="Times New Roman"/>
          <w:bCs/>
          <w:i/>
          <w:iCs/>
          <w:color w:val="000000"/>
          <w:sz w:val="24"/>
          <w:szCs w:val="24"/>
          <w:lang w:eastAsia="lv-LV"/>
        </w:rPr>
        <w:t xml:space="preserve"> </w:t>
      </w:r>
      <w:r w:rsidR="000B2304" w:rsidRPr="00A07F29">
        <w:rPr>
          <w:rFonts w:ascii="Times New Roman" w:eastAsia="Times New Roman" w:hAnsi="Times New Roman" w:cs="Times New Roman"/>
          <w:bCs/>
          <w:color w:val="000000"/>
          <w:sz w:val="24"/>
          <w:szCs w:val="24"/>
          <w:lang w:eastAsia="lv-LV"/>
        </w:rPr>
        <w:t>Biotopu 6450</w:t>
      </w:r>
      <w:r w:rsidR="00FF0757">
        <w:rPr>
          <w:rFonts w:ascii="Times New Roman" w:eastAsia="Times New Roman" w:hAnsi="Times New Roman" w:cs="Times New Roman"/>
          <w:bCs/>
          <w:color w:val="000000"/>
          <w:sz w:val="24"/>
          <w:szCs w:val="24"/>
          <w:lang w:eastAsia="lv-LV"/>
        </w:rPr>
        <w:t> </w:t>
      </w:r>
      <w:r w:rsidR="000B2304" w:rsidRPr="00A07F29">
        <w:rPr>
          <w:rFonts w:ascii="Times New Roman" w:eastAsia="Times New Roman" w:hAnsi="Times New Roman" w:cs="Times New Roman"/>
          <w:bCs/>
          <w:i/>
          <w:iCs/>
          <w:color w:val="000000"/>
          <w:sz w:val="24"/>
          <w:szCs w:val="24"/>
          <w:lang w:eastAsia="lv-LV"/>
        </w:rPr>
        <w:t>Palieņu zālāji</w:t>
      </w:r>
      <w:r w:rsidR="000B2304" w:rsidRPr="00A07F29">
        <w:rPr>
          <w:rFonts w:ascii="Times New Roman" w:eastAsia="Times New Roman" w:hAnsi="Times New Roman" w:cs="Times New Roman"/>
          <w:bCs/>
          <w:color w:val="000000"/>
          <w:sz w:val="24"/>
          <w:szCs w:val="24"/>
          <w:lang w:eastAsia="lv-LV"/>
        </w:rPr>
        <w:t xml:space="preserve"> kvalitāte pie Daugavas ir labāka nekā pie mazajām upēm, šeit palieņu aizaugšanu </w:t>
      </w:r>
      <w:proofErr w:type="spellStart"/>
      <w:r w:rsidR="000B2304" w:rsidRPr="00A07F29">
        <w:rPr>
          <w:rFonts w:ascii="Times New Roman" w:eastAsia="Times New Roman" w:hAnsi="Times New Roman" w:cs="Times New Roman"/>
          <w:bCs/>
          <w:color w:val="000000"/>
          <w:sz w:val="24"/>
          <w:szCs w:val="24"/>
          <w:lang w:eastAsia="lv-LV"/>
        </w:rPr>
        <w:t>palēlina</w:t>
      </w:r>
      <w:proofErr w:type="spellEnd"/>
      <w:r w:rsidR="000B2304" w:rsidRPr="00A07F29">
        <w:rPr>
          <w:rFonts w:ascii="Times New Roman" w:eastAsia="Times New Roman" w:hAnsi="Times New Roman" w:cs="Times New Roman"/>
          <w:bCs/>
          <w:color w:val="000000"/>
          <w:sz w:val="24"/>
          <w:szCs w:val="24"/>
          <w:lang w:eastAsia="lv-LV"/>
        </w:rPr>
        <w:t xml:space="preserve"> dabiskie procesi – ūdens līmeņa izmaiņas, pali, ledus iešana, līdz ar to paliene saglabājas ilgstoši. Daugavas palienē novēroti arī atsevišķi apsaimniekoti zālāji </w:t>
      </w:r>
      <w:proofErr w:type="spellStart"/>
      <w:r w:rsidR="000B2304" w:rsidRPr="00A07F29">
        <w:rPr>
          <w:rFonts w:ascii="Times New Roman" w:eastAsia="Times New Roman" w:hAnsi="Times New Roman" w:cs="Times New Roman"/>
          <w:bCs/>
          <w:color w:val="000000"/>
          <w:sz w:val="24"/>
          <w:szCs w:val="24"/>
          <w:lang w:eastAsia="lv-LV"/>
        </w:rPr>
        <w:t>Lielindricā</w:t>
      </w:r>
      <w:proofErr w:type="spellEnd"/>
      <w:r w:rsidR="000B2304" w:rsidRPr="00A07F29">
        <w:rPr>
          <w:rFonts w:ascii="Times New Roman" w:eastAsia="Times New Roman" w:hAnsi="Times New Roman" w:cs="Times New Roman"/>
          <w:bCs/>
          <w:color w:val="000000"/>
          <w:sz w:val="24"/>
          <w:szCs w:val="24"/>
          <w:lang w:eastAsia="lv-LV"/>
        </w:rPr>
        <w:t xml:space="preserve"> un </w:t>
      </w:r>
      <w:proofErr w:type="spellStart"/>
      <w:r w:rsidR="000B2304" w:rsidRPr="00A07F29">
        <w:rPr>
          <w:rFonts w:ascii="Times New Roman" w:eastAsia="Times New Roman" w:hAnsi="Times New Roman" w:cs="Times New Roman"/>
          <w:bCs/>
          <w:color w:val="000000"/>
          <w:sz w:val="24"/>
          <w:szCs w:val="24"/>
          <w:lang w:eastAsia="lv-LV"/>
        </w:rPr>
        <w:t>Augustīnišķos</w:t>
      </w:r>
      <w:proofErr w:type="spellEnd"/>
      <w:r w:rsidR="000B2304" w:rsidRPr="00A07F29">
        <w:rPr>
          <w:rFonts w:ascii="Times New Roman" w:eastAsia="Times New Roman" w:hAnsi="Times New Roman" w:cs="Times New Roman"/>
          <w:bCs/>
          <w:color w:val="000000"/>
          <w:sz w:val="24"/>
          <w:szCs w:val="24"/>
          <w:lang w:eastAsia="lv-LV"/>
        </w:rPr>
        <w:t xml:space="preserve">, kuriem ir laba kvalitāte. Zālāji pie Daugavas pietekām ir ar zemāku kvalitāti. </w:t>
      </w:r>
      <w:r w:rsidR="000B2304" w:rsidRPr="00A07F29">
        <w:rPr>
          <w:rFonts w:ascii="Times New Roman" w:eastAsia="Times New Roman" w:hAnsi="Times New Roman" w:cs="Times New Roman"/>
          <w:bCs/>
          <w:iCs/>
          <w:color w:val="000000"/>
          <w:sz w:val="24"/>
          <w:szCs w:val="24"/>
          <w:lang w:eastAsia="lv-LV"/>
        </w:rPr>
        <w:t>Biotops 6450</w:t>
      </w:r>
      <w:r w:rsidR="00A24AE3">
        <w:rPr>
          <w:rFonts w:ascii="Times New Roman" w:eastAsia="Times New Roman" w:hAnsi="Times New Roman" w:cs="Times New Roman"/>
          <w:bCs/>
          <w:i/>
          <w:iCs/>
          <w:color w:val="000000"/>
          <w:sz w:val="24"/>
          <w:szCs w:val="24"/>
          <w:lang w:eastAsia="lv-LV"/>
        </w:rPr>
        <w:t> </w:t>
      </w:r>
      <w:r w:rsidR="000B2304" w:rsidRPr="00A07F29">
        <w:rPr>
          <w:rFonts w:ascii="Times New Roman" w:eastAsia="Times New Roman" w:hAnsi="Times New Roman" w:cs="Times New Roman"/>
          <w:bCs/>
          <w:i/>
          <w:iCs/>
          <w:color w:val="000000"/>
          <w:sz w:val="24"/>
          <w:szCs w:val="24"/>
          <w:lang w:eastAsia="lv-LV"/>
        </w:rPr>
        <w:t>Palieņu zālāji</w:t>
      </w:r>
      <w:r w:rsidR="000B2304" w:rsidRPr="00A07F29">
        <w:rPr>
          <w:rFonts w:ascii="Times New Roman" w:eastAsia="Times New Roman" w:hAnsi="Times New Roman" w:cs="Times New Roman"/>
          <w:bCs/>
          <w:color w:val="000000"/>
          <w:sz w:val="24"/>
          <w:szCs w:val="24"/>
          <w:lang w:eastAsia="lv-LV"/>
        </w:rPr>
        <w:t xml:space="preserve"> Latvijā vērtējams kā nelabvēlīgā aizsardzības stāvoklī esošs.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2"/>
        <w:gridCol w:w="4482"/>
      </w:tblGrid>
      <w:tr w:rsidR="000B2304" w:rsidRPr="00A07F29" w14:paraId="250F6AE3" w14:textId="77777777" w:rsidTr="63C42FA1">
        <w:trPr>
          <w:jc w:val="center"/>
        </w:trPr>
        <w:tc>
          <w:tcPr>
            <w:tcW w:w="4672" w:type="dxa"/>
          </w:tcPr>
          <w:p w14:paraId="6220F680" w14:textId="71A16DDB" w:rsidR="000B2304" w:rsidRPr="00A07F29" w:rsidRDefault="000B2304" w:rsidP="000B2304">
            <w:pPr>
              <w:spacing w:after="120"/>
              <w:jc w:val="both"/>
              <w:rPr>
                <w:rFonts w:ascii="Times New Roman" w:eastAsia="Times New Roman" w:hAnsi="Times New Roman" w:cs="Times New Roman"/>
                <w:bCs/>
                <w:color w:val="000000"/>
                <w:sz w:val="24"/>
                <w:szCs w:val="24"/>
                <w:lang w:eastAsia="lv-LV"/>
              </w:rPr>
            </w:pPr>
            <w:r w:rsidRPr="00A07F29">
              <w:rPr>
                <w:noProof/>
                <w:lang w:eastAsia="lv-LV"/>
              </w:rPr>
              <w:lastRenderedPageBreak/>
              <w:drawing>
                <wp:inline distT="0" distB="0" distL="0" distR="0" wp14:anchorId="2C441318" wp14:editId="4EDDB4B8">
                  <wp:extent cx="2956560" cy="1661171"/>
                  <wp:effectExtent l="0" t="0" r="0" b="0"/>
                  <wp:docPr id="918145551"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pic:nvPicPr>
                        <pic:blipFill>
                          <a:blip r:embed="rId49">
                            <a:extLst>
                              <a:ext uri="{28A0092B-C50C-407E-A947-70E740481C1C}">
                                <a14:useLocalDpi xmlns:a14="http://schemas.microsoft.com/office/drawing/2010/main" val="0"/>
                              </a:ext>
                            </a:extLst>
                          </a:blip>
                          <a:stretch>
                            <a:fillRect/>
                          </a:stretch>
                        </pic:blipFill>
                        <pic:spPr>
                          <a:xfrm>
                            <a:off x="0" y="0"/>
                            <a:ext cx="2956560" cy="1661171"/>
                          </a:xfrm>
                          <a:prstGeom prst="rect">
                            <a:avLst/>
                          </a:prstGeom>
                        </pic:spPr>
                      </pic:pic>
                    </a:graphicData>
                  </a:graphic>
                </wp:inline>
              </w:drawing>
            </w:r>
          </w:p>
        </w:tc>
        <w:tc>
          <w:tcPr>
            <w:tcW w:w="4672" w:type="dxa"/>
          </w:tcPr>
          <w:p w14:paraId="259D77F3" w14:textId="2312F346" w:rsidR="000B2304" w:rsidRPr="00A07F29" w:rsidRDefault="000B2304" w:rsidP="000B2304">
            <w:pPr>
              <w:spacing w:after="120"/>
              <w:jc w:val="both"/>
              <w:rPr>
                <w:rFonts w:ascii="Times New Roman" w:eastAsia="Times New Roman" w:hAnsi="Times New Roman" w:cs="Times New Roman"/>
                <w:bCs/>
                <w:color w:val="000000"/>
                <w:sz w:val="24"/>
                <w:szCs w:val="24"/>
                <w:lang w:eastAsia="lv-LV"/>
              </w:rPr>
            </w:pPr>
            <w:r w:rsidRPr="00A07F29">
              <w:rPr>
                <w:noProof/>
                <w:lang w:eastAsia="lv-LV"/>
              </w:rPr>
              <w:drawing>
                <wp:inline distT="0" distB="0" distL="0" distR="0" wp14:anchorId="1B6E1976" wp14:editId="54BB5157">
                  <wp:extent cx="2194416" cy="1655735"/>
                  <wp:effectExtent l="0" t="0" r="0" b="1905"/>
                  <wp:docPr id="91814555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50">
                            <a:extLst>
                              <a:ext uri="{28A0092B-C50C-407E-A947-70E740481C1C}">
                                <a14:useLocalDpi xmlns:a14="http://schemas.microsoft.com/office/drawing/2010/main"/>
                              </a:ext>
                            </a:extLst>
                          </a:blip>
                          <a:stretch>
                            <a:fillRect/>
                          </a:stretch>
                        </pic:blipFill>
                        <pic:spPr>
                          <a:xfrm>
                            <a:off x="0" y="0"/>
                            <a:ext cx="2194416" cy="1655735"/>
                          </a:xfrm>
                          <a:prstGeom prst="rect">
                            <a:avLst/>
                          </a:prstGeom>
                        </pic:spPr>
                      </pic:pic>
                    </a:graphicData>
                  </a:graphic>
                </wp:inline>
              </w:drawing>
            </w:r>
          </w:p>
        </w:tc>
      </w:tr>
      <w:tr w:rsidR="000B2304" w:rsidRPr="00A07F29" w14:paraId="5E079070" w14:textId="77777777" w:rsidTr="63C42FA1">
        <w:trPr>
          <w:jc w:val="center"/>
        </w:trPr>
        <w:tc>
          <w:tcPr>
            <w:tcW w:w="4672" w:type="dxa"/>
          </w:tcPr>
          <w:p w14:paraId="5B84567D" w14:textId="6C738946" w:rsidR="000B2304" w:rsidRPr="00C47EBC" w:rsidRDefault="000B2304" w:rsidP="00D10B91">
            <w:pPr>
              <w:jc w:val="both"/>
              <w:rPr>
                <w:rFonts w:ascii="Times New Roman" w:eastAsia="Times New Roman" w:hAnsi="Times New Roman" w:cs="Times New Roman"/>
                <w:bCs/>
                <w:color w:val="000000"/>
                <w:sz w:val="20"/>
                <w:szCs w:val="20"/>
                <w:lang w:eastAsia="lv-LV"/>
              </w:rPr>
            </w:pPr>
            <w:r w:rsidRPr="00C47EBC">
              <w:rPr>
                <w:rFonts w:ascii="Times New Roman" w:eastAsia="Times New Roman" w:hAnsi="Times New Roman" w:cs="Times New Roman"/>
                <w:bCs/>
                <w:color w:val="000000"/>
                <w:sz w:val="20"/>
                <w:szCs w:val="20"/>
                <w:lang w:eastAsia="lv-LV"/>
              </w:rPr>
              <w:t>4</w:t>
            </w:r>
            <w:r w:rsidR="007E3BA0">
              <w:rPr>
                <w:rFonts w:ascii="Times New Roman" w:eastAsia="Times New Roman" w:hAnsi="Times New Roman" w:cs="Times New Roman"/>
                <w:bCs/>
                <w:color w:val="000000"/>
                <w:sz w:val="20"/>
                <w:szCs w:val="20"/>
                <w:lang w:eastAsia="lv-LV"/>
              </w:rPr>
              <w:t>.3.3.7</w:t>
            </w:r>
            <w:r w:rsidRPr="00C47EBC">
              <w:rPr>
                <w:rFonts w:ascii="Times New Roman" w:eastAsia="Times New Roman" w:hAnsi="Times New Roman" w:cs="Times New Roman"/>
                <w:bCs/>
                <w:color w:val="000000"/>
                <w:sz w:val="20"/>
                <w:szCs w:val="20"/>
                <w:lang w:eastAsia="lv-LV"/>
              </w:rPr>
              <w:t>.</w:t>
            </w:r>
            <w:r w:rsidR="004337AF" w:rsidRPr="00C47EBC">
              <w:rPr>
                <w:rFonts w:ascii="Times New Roman" w:eastAsia="Times New Roman" w:hAnsi="Times New Roman" w:cs="Times New Roman"/>
                <w:bCs/>
                <w:color w:val="000000"/>
                <w:sz w:val="20"/>
                <w:szCs w:val="20"/>
                <w:lang w:eastAsia="lv-LV"/>
              </w:rPr>
              <w:t> </w:t>
            </w:r>
            <w:r w:rsidRPr="00C47EBC">
              <w:rPr>
                <w:rFonts w:ascii="Times New Roman" w:eastAsia="Times New Roman" w:hAnsi="Times New Roman" w:cs="Times New Roman"/>
                <w:bCs/>
                <w:color w:val="000000"/>
                <w:sz w:val="20"/>
                <w:szCs w:val="20"/>
                <w:lang w:eastAsia="lv-LV"/>
              </w:rPr>
              <w:t>att</w:t>
            </w:r>
            <w:r w:rsidR="004337AF" w:rsidRPr="00C47EBC">
              <w:rPr>
                <w:rFonts w:ascii="Times New Roman" w:eastAsia="Times New Roman" w:hAnsi="Times New Roman" w:cs="Times New Roman"/>
                <w:bCs/>
                <w:color w:val="000000"/>
                <w:sz w:val="20"/>
                <w:szCs w:val="20"/>
                <w:lang w:eastAsia="lv-LV"/>
              </w:rPr>
              <w:t>ēls</w:t>
            </w:r>
            <w:r w:rsidRPr="00C47EBC">
              <w:rPr>
                <w:rFonts w:ascii="Times New Roman" w:eastAsia="Times New Roman" w:hAnsi="Times New Roman" w:cs="Times New Roman"/>
                <w:bCs/>
                <w:color w:val="000000"/>
                <w:sz w:val="20"/>
                <w:szCs w:val="20"/>
                <w:lang w:eastAsia="lv-LV"/>
              </w:rPr>
              <w:t>. 6450</w:t>
            </w:r>
            <w:r w:rsidR="004337AF" w:rsidRPr="00C47EBC">
              <w:rPr>
                <w:rFonts w:ascii="Times New Roman" w:eastAsia="Times New Roman" w:hAnsi="Times New Roman" w:cs="Times New Roman"/>
                <w:bCs/>
                <w:color w:val="000000"/>
                <w:sz w:val="20"/>
                <w:szCs w:val="20"/>
                <w:lang w:eastAsia="lv-LV"/>
              </w:rPr>
              <w:t> </w:t>
            </w:r>
            <w:r w:rsidRPr="00C47EBC">
              <w:rPr>
                <w:rFonts w:ascii="Times New Roman" w:eastAsia="Times New Roman" w:hAnsi="Times New Roman" w:cs="Times New Roman"/>
                <w:bCs/>
                <w:i/>
                <w:iCs/>
                <w:color w:val="000000"/>
                <w:sz w:val="20"/>
                <w:szCs w:val="20"/>
                <w:lang w:eastAsia="lv-LV"/>
              </w:rPr>
              <w:t>Palieņu zālāji</w:t>
            </w:r>
            <w:r w:rsidRPr="00C47EBC">
              <w:rPr>
                <w:rFonts w:ascii="Times New Roman" w:eastAsia="Times New Roman" w:hAnsi="Times New Roman" w:cs="Times New Roman"/>
                <w:bCs/>
                <w:color w:val="000000"/>
                <w:sz w:val="20"/>
                <w:szCs w:val="20"/>
                <w:lang w:eastAsia="lv-LV"/>
              </w:rPr>
              <w:t xml:space="preserve"> šaurā Daugavas palienē, kur dolomīti atrodas ļoti tuvu virspusē, tādēļ veidojas īpatnējas, Latvijā ļoti retas augu sabiedrības ar</w:t>
            </w:r>
            <w:r w:rsidR="0041641B">
              <w:rPr>
                <w:rFonts w:ascii="Times New Roman" w:eastAsia="Times New Roman" w:hAnsi="Times New Roman" w:cs="Times New Roman"/>
                <w:bCs/>
                <w:color w:val="000000"/>
                <w:sz w:val="20"/>
                <w:szCs w:val="20"/>
                <w:lang w:eastAsia="lv-LV"/>
              </w:rPr>
              <w:t xml:space="preserve"> </w:t>
            </w:r>
            <w:r w:rsidRPr="00C47EBC">
              <w:rPr>
                <w:rFonts w:ascii="Times New Roman" w:eastAsia="Times New Roman" w:hAnsi="Times New Roman" w:cs="Times New Roman"/>
                <w:bCs/>
                <w:color w:val="000000"/>
                <w:sz w:val="20"/>
                <w:szCs w:val="20"/>
                <w:lang w:eastAsia="lv-LV"/>
              </w:rPr>
              <w:t xml:space="preserve">maurloku </w:t>
            </w:r>
            <w:proofErr w:type="spellStart"/>
            <w:r w:rsidRPr="00C47EBC">
              <w:rPr>
                <w:rFonts w:ascii="Times New Roman" w:eastAsia="Times New Roman" w:hAnsi="Times New Roman" w:cs="Times New Roman"/>
                <w:bCs/>
                <w:i/>
                <w:iCs/>
                <w:color w:val="000000"/>
                <w:sz w:val="20"/>
                <w:szCs w:val="20"/>
                <w:lang w:eastAsia="lv-LV"/>
              </w:rPr>
              <w:t>Allium</w:t>
            </w:r>
            <w:proofErr w:type="spellEnd"/>
            <w:r w:rsidRPr="00C47EBC">
              <w:rPr>
                <w:rFonts w:ascii="Times New Roman" w:eastAsia="Times New Roman" w:hAnsi="Times New Roman" w:cs="Times New Roman"/>
                <w:bCs/>
                <w:i/>
                <w:iCs/>
                <w:color w:val="000000"/>
                <w:sz w:val="20"/>
                <w:szCs w:val="20"/>
                <w:lang w:eastAsia="lv-LV"/>
              </w:rPr>
              <w:t xml:space="preserve"> </w:t>
            </w:r>
            <w:proofErr w:type="spellStart"/>
            <w:r w:rsidRPr="00C47EBC">
              <w:rPr>
                <w:rFonts w:ascii="Times New Roman" w:eastAsia="Times New Roman" w:hAnsi="Times New Roman" w:cs="Times New Roman"/>
                <w:bCs/>
                <w:i/>
                <w:iCs/>
                <w:color w:val="000000"/>
                <w:sz w:val="20"/>
                <w:szCs w:val="20"/>
                <w:lang w:eastAsia="lv-LV"/>
              </w:rPr>
              <w:t>schoenoprasum</w:t>
            </w:r>
            <w:proofErr w:type="spellEnd"/>
            <w:r w:rsidRPr="00C47EBC">
              <w:rPr>
                <w:rFonts w:ascii="Times New Roman" w:eastAsia="Times New Roman" w:hAnsi="Times New Roman" w:cs="Times New Roman"/>
                <w:bCs/>
                <w:iCs/>
                <w:color w:val="000000"/>
                <w:sz w:val="20"/>
                <w:szCs w:val="20"/>
                <w:lang w:eastAsia="lv-LV"/>
              </w:rPr>
              <w:t xml:space="preserve">. </w:t>
            </w:r>
            <w:r w:rsidRPr="00C47EBC">
              <w:rPr>
                <w:rFonts w:ascii="Times New Roman" w:eastAsia="Times New Roman" w:hAnsi="Times New Roman" w:cs="Times New Roman"/>
                <w:bCs/>
                <w:color w:val="000000"/>
                <w:sz w:val="20"/>
                <w:szCs w:val="20"/>
                <w:lang w:eastAsia="lv-LV"/>
              </w:rPr>
              <w:t xml:space="preserve">(Foto: </w:t>
            </w:r>
            <w:r w:rsidR="00C47EBC" w:rsidRPr="00C47EBC">
              <w:rPr>
                <w:rFonts w:ascii="Times New Roman" w:eastAsia="Times New Roman" w:hAnsi="Times New Roman" w:cs="Times New Roman"/>
                <w:bCs/>
                <w:color w:val="000000"/>
                <w:sz w:val="20"/>
                <w:szCs w:val="20"/>
                <w:lang w:eastAsia="lv-LV"/>
              </w:rPr>
              <w:t>G. </w:t>
            </w:r>
            <w:proofErr w:type="spellStart"/>
            <w:r w:rsidRPr="00C47EBC">
              <w:rPr>
                <w:rFonts w:ascii="Times New Roman" w:eastAsia="Times New Roman" w:hAnsi="Times New Roman" w:cs="Times New Roman"/>
                <w:bCs/>
                <w:color w:val="000000"/>
                <w:sz w:val="20"/>
                <w:szCs w:val="20"/>
                <w:lang w:eastAsia="lv-LV"/>
              </w:rPr>
              <w:t>Evarte-Bundere</w:t>
            </w:r>
            <w:proofErr w:type="spellEnd"/>
            <w:r w:rsidRPr="00C47EBC">
              <w:rPr>
                <w:rFonts w:ascii="Times New Roman" w:eastAsia="Times New Roman" w:hAnsi="Times New Roman" w:cs="Times New Roman"/>
                <w:bCs/>
                <w:color w:val="000000"/>
                <w:sz w:val="20"/>
                <w:szCs w:val="20"/>
                <w:lang w:eastAsia="lv-LV"/>
              </w:rPr>
              <w:t>)</w:t>
            </w:r>
          </w:p>
        </w:tc>
        <w:tc>
          <w:tcPr>
            <w:tcW w:w="4672" w:type="dxa"/>
          </w:tcPr>
          <w:p w14:paraId="48F0959B" w14:textId="1717699F" w:rsidR="00B34309" w:rsidRPr="00C47EBC" w:rsidRDefault="000B2304" w:rsidP="00D10B91">
            <w:pPr>
              <w:jc w:val="both"/>
              <w:rPr>
                <w:rFonts w:ascii="Times New Roman" w:eastAsia="Times New Roman" w:hAnsi="Times New Roman" w:cs="Times New Roman"/>
                <w:bCs/>
                <w:color w:val="000000"/>
                <w:sz w:val="20"/>
                <w:szCs w:val="20"/>
                <w:lang w:eastAsia="lv-LV"/>
              </w:rPr>
            </w:pPr>
            <w:r w:rsidRPr="00C47EBC">
              <w:rPr>
                <w:rFonts w:ascii="Times New Roman" w:eastAsia="Times New Roman" w:hAnsi="Times New Roman" w:cs="Times New Roman"/>
                <w:bCs/>
                <w:color w:val="000000"/>
                <w:sz w:val="20"/>
                <w:szCs w:val="20"/>
                <w:lang w:eastAsia="lv-LV"/>
              </w:rPr>
              <w:t>4</w:t>
            </w:r>
            <w:r w:rsidR="007E3BA0">
              <w:rPr>
                <w:rFonts w:ascii="Times New Roman" w:eastAsia="Times New Roman" w:hAnsi="Times New Roman" w:cs="Times New Roman"/>
                <w:bCs/>
                <w:color w:val="000000"/>
                <w:sz w:val="20"/>
                <w:szCs w:val="20"/>
                <w:lang w:eastAsia="lv-LV"/>
              </w:rPr>
              <w:t>.3.3.8</w:t>
            </w:r>
            <w:r w:rsidRPr="00C47EBC">
              <w:rPr>
                <w:rFonts w:ascii="Times New Roman" w:eastAsia="Times New Roman" w:hAnsi="Times New Roman" w:cs="Times New Roman"/>
                <w:bCs/>
                <w:color w:val="000000"/>
                <w:sz w:val="20"/>
                <w:szCs w:val="20"/>
                <w:lang w:eastAsia="lv-LV"/>
              </w:rPr>
              <w:t>.</w:t>
            </w:r>
            <w:r w:rsidR="00C47EBC" w:rsidRPr="00C47EBC">
              <w:rPr>
                <w:rFonts w:ascii="Times New Roman" w:eastAsia="Times New Roman" w:hAnsi="Times New Roman" w:cs="Times New Roman"/>
                <w:bCs/>
                <w:color w:val="000000"/>
                <w:sz w:val="20"/>
                <w:szCs w:val="20"/>
                <w:lang w:eastAsia="lv-LV"/>
              </w:rPr>
              <w:t> </w:t>
            </w:r>
            <w:r w:rsidRPr="00C47EBC">
              <w:rPr>
                <w:rFonts w:ascii="Times New Roman" w:eastAsia="Times New Roman" w:hAnsi="Times New Roman" w:cs="Times New Roman"/>
                <w:bCs/>
                <w:color w:val="000000"/>
                <w:sz w:val="20"/>
                <w:szCs w:val="20"/>
                <w:lang w:eastAsia="lv-LV"/>
              </w:rPr>
              <w:t>att</w:t>
            </w:r>
            <w:r w:rsidR="00C47EBC" w:rsidRPr="00C47EBC">
              <w:rPr>
                <w:rFonts w:ascii="Times New Roman" w:eastAsia="Times New Roman" w:hAnsi="Times New Roman" w:cs="Times New Roman"/>
                <w:bCs/>
                <w:color w:val="000000"/>
                <w:sz w:val="20"/>
                <w:szCs w:val="20"/>
                <w:lang w:eastAsia="lv-LV"/>
              </w:rPr>
              <w:t>ēls</w:t>
            </w:r>
            <w:r w:rsidRPr="00C47EBC">
              <w:rPr>
                <w:rFonts w:ascii="Times New Roman" w:eastAsia="Times New Roman" w:hAnsi="Times New Roman" w:cs="Times New Roman"/>
                <w:bCs/>
                <w:color w:val="000000"/>
                <w:sz w:val="20"/>
                <w:szCs w:val="20"/>
                <w:lang w:eastAsia="lv-LV"/>
              </w:rPr>
              <w:t xml:space="preserve">. Daugavas paliene </w:t>
            </w:r>
          </w:p>
          <w:p w14:paraId="7EF6D2F2" w14:textId="668AE32A" w:rsidR="000B2304" w:rsidRPr="00A07F29" w:rsidRDefault="000B2304" w:rsidP="00D10B91">
            <w:pPr>
              <w:jc w:val="both"/>
              <w:rPr>
                <w:rFonts w:ascii="Times New Roman" w:eastAsia="Times New Roman" w:hAnsi="Times New Roman" w:cs="Times New Roman"/>
                <w:bCs/>
                <w:color w:val="000000"/>
                <w:lang w:eastAsia="lv-LV"/>
              </w:rPr>
            </w:pPr>
            <w:r w:rsidRPr="00C47EBC">
              <w:rPr>
                <w:rFonts w:ascii="Times New Roman" w:eastAsia="Times New Roman" w:hAnsi="Times New Roman" w:cs="Times New Roman"/>
                <w:bCs/>
                <w:color w:val="000000"/>
                <w:sz w:val="20"/>
                <w:szCs w:val="20"/>
                <w:lang w:eastAsia="lv-LV"/>
              </w:rPr>
              <w:t>(Foto: G</w:t>
            </w:r>
            <w:r w:rsidR="00C47EBC" w:rsidRPr="00C47EBC">
              <w:rPr>
                <w:rFonts w:ascii="Times New Roman" w:eastAsia="Times New Roman" w:hAnsi="Times New Roman" w:cs="Times New Roman"/>
                <w:bCs/>
                <w:color w:val="000000"/>
                <w:sz w:val="20"/>
                <w:szCs w:val="20"/>
                <w:lang w:eastAsia="lv-LV"/>
              </w:rPr>
              <w:t>. </w:t>
            </w:r>
            <w:proofErr w:type="spellStart"/>
            <w:r w:rsidRPr="00C47EBC">
              <w:rPr>
                <w:rFonts w:ascii="Times New Roman" w:eastAsia="Times New Roman" w:hAnsi="Times New Roman" w:cs="Times New Roman"/>
                <w:bCs/>
                <w:color w:val="000000"/>
                <w:sz w:val="20"/>
                <w:szCs w:val="20"/>
                <w:lang w:eastAsia="lv-LV"/>
              </w:rPr>
              <w:t>Evarte-Bundere</w:t>
            </w:r>
            <w:proofErr w:type="spellEnd"/>
            <w:r w:rsidRPr="00C47EBC">
              <w:rPr>
                <w:rFonts w:ascii="Times New Roman" w:eastAsia="Times New Roman" w:hAnsi="Times New Roman" w:cs="Times New Roman"/>
                <w:bCs/>
                <w:color w:val="000000"/>
                <w:sz w:val="20"/>
                <w:szCs w:val="20"/>
                <w:lang w:eastAsia="lv-LV"/>
              </w:rPr>
              <w:t>)</w:t>
            </w:r>
          </w:p>
        </w:tc>
      </w:tr>
    </w:tbl>
    <w:p w14:paraId="30D3C9FA" w14:textId="206219CD" w:rsidR="002B1603" w:rsidRPr="00A07F29" w:rsidRDefault="002B1603" w:rsidP="00D10B91">
      <w:pPr>
        <w:spacing w:before="240" w:after="120" w:line="240" w:lineRule="auto"/>
        <w:jc w:val="both"/>
        <w:rPr>
          <w:rFonts w:ascii="Times New Roman" w:eastAsia="Times New Roman" w:hAnsi="Times New Roman" w:cs="Times New Roman"/>
          <w:b/>
          <w:bCs/>
          <w:color w:val="000000"/>
          <w:sz w:val="24"/>
          <w:szCs w:val="24"/>
          <w:lang w:eastAsia="lv-LV"/>
        </w:rPr>
      </w:pPr>
      <w:r w:rsidRPr="00A07F29">
        <w:rPr>
          <w:rFonts w:ascii="Times New Roman" w:eastAsia="Times New Roman" w:hAnsi="Times New Roman" w:cs="Times New Roman"/>
          <w:b/>
          <w:bCs/>
          <w:color w:val="000000"/>
          <w:sz w:val="24"/>
          <w:szCs w:val="24"/>
          <w:lang w:eastAsia="lv-LV"/>
        </w:rPr>
        <w:t xml:space="preserve">6510 </w:t>
      </w:r>
      <w:r w:rsidRPr="00A07F29">
        <w:rPr>
          <w:rFonts w:ascii="Times New Roman" w:eastAsia="Times New Roman" w:hAnsi="Times New Roman" w:cs="Times New Roman"/>
          <w:b/>
          <w:bCs/>
          <w:i/>
          <w:iCs/>
          <w:color w:val="000000"/>
          <w:sz w:val="24"/>
          <w:szCs w:val="24"/>
          <w:lang w:eastAsia="lv-LV"/>
        </w:rPr>
        <w:t>Mēreni mitras pļavas</w:t>
      </w:r>
    </w:p>
    <w:p w14:paraId="71F54415" w14:textId="1269CD02" w:rsidR="00B77E27" w:rsidRPr="00A07F29" w:rsidRDefault="002B1603" w:rsidP="00D10B91">
      <w:pPr>
        <w:spacing w:after="120" w:line="240" w:lineRule="auto"/>
        <w:ind w:firstLine="851"/>
        <w:jc w:val="both"/>
        <w:rPr>
          <w:rFonts w:ascii="Times New Roman" w:eastAsia="Calibri" w:hAnsi="Times New Roman" w:cs="Calibri"/>
          <w:sz w:val="24"/>
          <w:szCs w:val="24"/>
          <w:highlight w:val="yellow"/>
        </w:rPr>
      </w:pPr>
      <w:r w:rsidRPr="00A07F29">
        <w:rPr>
          <w:rFonts w:ascii="Times New Roman" w:eastAsia="Times New Roman" w:hAnsi="Times New Roman" w:cs="Times New Roman"/>
          <w:bCs/>
          <w:color w:val="000000"/>
          <w:sz w:val="24"/>
          <w:szCs w:val="24"/>
          <w:lang w:eastAsia="lv-LV"/>
        </w:rPr>
        <w:t xml:space="preserve">Apsekotajā teritorijā </w:t>
      </w:r>
      <w:r w:rsidR="00D10B91" w:rsidRPr="00A07F29">
        <w:rPr>
          <w:rFonts w:ascii="Times New Roman" w:eastAsia="Times New Roman" w:hAnsi="Times New Roman" w:cs="Times New Roman"/>
          <w:bCs/>
          <w:color w:val="000000"/>
          <w:sz w:val="24"/>
          <w:szCs w:val="24"/>
          <w:lang w:eastAsia="lv-LV"/>
        </w:rPr>
        <w:t>13 poligonos 28,04</w:t>
      </w:r>
      <w:r w:rsidR="00A27CBC">
        <w:rPr>
          <w:rFonts w:ascii="Times New Roman" w:eastAsia="Times New Roman" w:hAnsi="Times New Roman" w:cs="Times New Roman"/>
          <w:bCs/>
          <w:color w:val="000000"/>
          <w:sz w:val="24"/>
          <w:szCs w:val="24"/>
          <w:lang w:eastAsia="lv-LV"/>
        </w:rPr>
        <w:t> </w:t>
      </w:r>
      <w:r w:rsidR="00D10B91" w:rsidRPr="00A07F29">
        <w:rPr>
          <w:rFonts w:ascii="Times New Roman" w:eastAsia="Times New Roman" w:hAnsi="Times New Roman" w:cs="Times New Roman"/>
          <w:bCs/>
          <w:color w:val="000000"/>
          <w:sz w:val="24"/>
          <w:szCs w:val="24"/>
          <w:lang w:eastAsia="lv-LV"/>
        </w:rPr>
        <w:t>ha</w:t>
      </w:r>
      <w:r w:rsidR="00D65BBA" w:rsidRPr="00A07F29">
        <w:rPr>
          <w:rFonts w:ascii="Times New Roman" w:eastAsia="Times New Roman" w:hAnsi="Times New Roman" w:cs="Times New Roman"/>
          <w:bCs/>
          <w:color w:val="000000"/>
          <w:sz w:val="24"/>
          <w:szCs w:val="24"/>
          <w:lang w:eastAsia="lv-LV"/>
        </w:rPr>
        <w:t xml:space="preserve"> </w:t>
      </w:r>
      <w:r w:rsidRPr="00A07F29">
        <w:rPr>
          <w:rFonts w:ascii="Times New Roman" w:eastAsia="Times New Roman" w:hAnsi="Times New Roman" w:cs="Times New Roman"/>
          <w:bCs/>
          <w:color w:val="000000"/>
          <w:sz w:val="24"/>
          <w:szCs w:val="24"/>
          <w:lang w:eastAsia="lv-LV"/>
        </w:rPr>
        <w:t>platībā konstatētas 6510</w:t>
      </w:r>
      <w:r w:rsidR="00A27CBC">
        <w:rPr>
          <w:rFonts w:ascii="Times New Roman" w:eastAsia="Times New Roman" w:hAnsi="Times New Roman" w:cs="Times New Roman"/>
          <w:bCs/>
          <w:color w:val="000000"/>
          <w:sz w:val="24"/>
          <w:szCs w:val="24"/>
          <w:lang w:eastAsia="lv-LV"/>
        </w:rPr>
        <w:t> </w:t>
      </w:r>
      <w:r w:rsidRPr="00A07F29">
        <w:rPr>
          <w:rFonts w:ascii="Times New Roman" w:eastAsia="Times New Roman" w:hAnsi="Times New Roman" w:cs="Times New Roman"/>
          <w:bCs/>
          <w:i/>
          <w:iCs/>
          <w:color w:val="000000"/>
          <w:sz w:val="24"/>
          <w:szCs w:val="24"/>
          <w:lang w:eastAsia="lv-LV"/>
        </w:rPr>
        <w:t>Mēreni mitras pļavas</w:t>
      </w:r>
      <w:r w:rsidRPr="00A07F29">
        <w:rPr>
          <w:rFonts w:ascii="Times New Roman" w:eastAsia="Times New Roman" w:hAnsi="Times New Roman" w:cs="Times New Roman"/>
          <w:bCs/>
          <w:color w:val="000000"/>
          <w:sz w:val="24"/>
          <w:szCs w:val="24"/>
          <w:lang w:eastAsia="lv-LV"/>
        </w:rPr>
        <w:t xml:space="preserve">. Biotopā konstatētas septiņas dabisko zālāju </w:t>
      </w:r>
      <w:proofErr w:type="spellStart"/>
      <w:r w:rsidRPr="00A07F29">
        <w:rPr>
          <w:rFonts w:ascii="Times New Roman" w:eastAsia="Times New Roman" w:hAnsi="Times New Roman" w:cs="Times New Roman"/>
          <w:bCs/>
          <w:color w:val="000000"/>
          <w:sz w:val="24"/>
          <w:szCs w:val="24"/>
          <w:lang w:eastAsia="lv-LV"/>
        </w:rPr>
        <w:t>indikatorsugas</w:t>
      </w:r>
      <w:proofErr w:type="spellEnd"/>
      <w:r w:rsidRPr="00A07F29">
        <w:rPr>
          <w:rFonts w:ascii="Times New Roman" w:eastAsia="Times New Roman" w:hAnsi="Times New Roman" w:cs="Times New Roman"/>
          <w:bCs/>
          <w:color w:val="000000"/>
          <w:sz w:val="24"/>
          <w:szCs w:val="24"/>
          <w:lang w:eastAsia="lv-LV"/>
        </w:rPr>
        <w:t>. Aptuveni 15</w:t>
      </w:r>
      <w:r w:rsidR="00303343">
        <w:rPr>
          <w:rFonts w:ascii="Times New Roman" w:eastAsia="Times New Roman" w:hAnsi="Times New Roman" w:cs="Times New Roman"/>
          <w:bCs/>
          <w:color w:val="000000"/>
          <w:sz w:val="24"/>
          <w:szCs w:val="24"/>
          <w:lang w:eastAsia="lv-LV"/>
        </w:rPr>
        <w:t> </w:t>
      </w:r>
      <w:r w:rsidRPr="00A07F29">
        <w:rPr>
          <w:rFonts w:ascii="Times New Roman" w:eastAsia="Times New Roman" w:hAnsi="Times New Roman" w:cs="Times New Roman"/>
          <w:bCs/>
          <w:color w:val="000000"/>
          <w:sz w:val="24"/>
          <w:szCs w:val="24"/>
          <w:lang w:eastAsia="lv-LV"/>
        </w:rPr>
        <w:t xml:space="preserve">% no zālājiem aug ziemeļu madara </w:t>
      </w:r>
      <w:proofErr w:type="spellStart"/>
      <w:r w:rsidRPr="00A07F29">
        <w:rPr>
          <w:rFonts w:ascii="Times New Roman" w:eastAsia="Times New Roman" w:hAnsi="Times New Roman" w:cs="Times New Roman"/>
          <w:bCs/>
          <w:i/>
          <w:iCs/>
          <w:color w:val="000000"/>
          <w:sz w:val="24"/>
          <w:szCs w:val="24"/>
          <w:lang w:eastAsia="lv-LV"/>
        </w:rPr>
        <w:t>Galium</w:t>
      </w:r>
      <w:proofErr w:type="spellEnd"/>
      <w:r w:rsidRPr="00A07F29">
        <w:rPr>
          <w:rFonts w:ascii="Times New Roman" w:eastAsia="Times New Roman" w:hAnsi="Times New Roman" w:cs="Times New Roman"/>
          <w:bCs/>
          <w:i/>
          <w:i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boreale</w:t>
      </w:r>
      <w:proofErr w:type="spellEnd"/>
      <w:r w:rsidRPr="00A07F29">
        <w:rPr>
          <w:rFonts w:ascii="Times New Roman" w:eastAsia="Times New Roman" w:hAnsi="Times New Roman" w:cs="Times New Roman"/>
          <w:bCs/>
          <w:i/>
          <w:iCs/>
          <w:color w:val="000000"/>
          <w:sz w:val="24"/>
          <w:szCs w:val="24"/>
          <w:lang w:eastAsia="lv-LV"/>
        </w:rPr>
        <w:t xml:space="preserve">, </w:t>
      </w:r>
      <w:r w:rsidRPr="00A07F29">
        <w:rPr>
          <w:rFonts w:ascii="Times New Roman" w:eastAsia="Times New Roman" w:hAnsi="Times New Roman" w:cs="Times New Roman"/>
          <w:bCs/>
          <w:color w:val="000000"/>
          <w:sz w:val="24"/>
          <w:szCs w:val="24"/>
          <w:lang w:eastAsia="lv-LV"/>
        </w:rPr>
        <w:t>purva gandrene</w:t>
      </w:r>
      <w:r w:rsidRPr="00A07F29">
        <w:rPr>
          <w:rFonts w:ascii="Times New Roman" w:eastAsia="Times New Roman" w:hAnsi="Times New Roman" w:cs="Times New Roman"/>
          <w:bCs/>
          <w:i/>
          <w:i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Geranium</w:t>
      </w:r>
      <w:proofErr w:type="spellEnd"/>
      <w:r w:rsidRPr="00A07F29">
        <w:rPr>
          <w:rFonts w:ascii="Times New Roman" w:eastAsia="Times New Roman" w:hAnsi="Times New Roman" w:cs="Times New Roman"/>
          <w:bCs/>
          <w:i/>
          <w:i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palustre</w:t>
      </w:r>
      <w:proofErr w:type="spellEnd"/>
      <w:r w:rsidR="00D65BBA" w:rsidRPr="00A07F29">
        <w:rPr>
          <w:rFonts w:ascii="Times New Roman" w:eastAsia="Times New Roman" w:hAnsi="Times New Roman" w:cs="Times New Roman"/>
          <w:bCs/>
          <w:iCs/>
          <w:color w:val="000000"/>
          <w:sz w:val="24"/>
          <w:szCs w:val="24"/>
          <w:lang w:eastAsia="lv-LV"/>
        </w:rPr>
        <w:t xml:space="preserve"> </w:t>
      </w:r>
      <w:r w:rsidRPr="00A07F29">
        <w:rPr>
          <w:rFonts w:ascii="Times New Roman" w:eastAsia="Times New Roman" w:hAnsi="Times New Roman" w:cs="Times New Roman"/>
          <w:bCs/>
          <w:color w:val="000000"/>
          <w:sz w:val="24"/>
          <w:szCs w:val="24"/>
          <w:lang w:eastAsia="lv-LV"/>
        </w:rPr>
        <w:t xml:space="preserve">u.c. dabisko zālāju </w:t>
      </w:r>
      <w:proofErr w:type="spellStart"/>
      <w:r w:rsidRPr="00A07F29">
        <w:rPr>
          <w:rFonts w:ascii="Times New Roman" w:eastAsia="Times New Roman" w:hAnsi="Times New Roman" w:cs="Times New Roman"/>
          <w:bCs/>
          <w:color w:val="000000"/>
          <w:sz w:val="24"/>
          <w:szCs w:val="24"/>
          <w:lang w:eastAsia="lv-LV"/>
        </w:rPr>
        <w:t>indikatorsugas</w:t>
      </w:r>
      <w:proofErr w:type="spellEnd"/>
      <w:r w:rsidRPr="00A07F29">
        <w:rPr>
          <w:rFonts w:ascii="Times New Roman" w:eastAsia="Times New Roman" w:hAnsi="Times New Roman" w:cs="Times New Roman"/>
          <w:bCs/>
          <w:color w:val="000000"/>
          <w:sz w:val="24"/>
          <w:szCs w:val="24"/>
          <w:lang w:eastAsia="lv-LV"/>
        </w:rPr>
        <w:t>. Zālāj</w:t>
      </w:r>
      <w:r w:rsidR="002C1503" w:rsidRPr="00A07F29">
        <w:rPr>
          <w:rFonts w:ascii="Times New Roman" w:eastAsia="Times New Roman" w:hAnsi="Times New Roman" w:cs="Times New Roman"/>
          <w:bCs/>
          <w:color w:val="000000"/>
          <w:sz w:val="24"/>
          <w:szCs w:val="24"/>
          <w:lang w:eastAsia="lv-LV"/>
        </w:rPr>
        <w:t>i</w:t>
      </w:r>
      <w:r w:rsidRPr="00A07F29">
        <w:rPr>
          <w:rFonts w:ascii="Times New Roman" w:eastAsia="Times New Roman" w:hAnsi="Times New Roman" w:cs="Times New Roman"/>
          <w:bCs/>
          <w:color w:val="000000"/>
          <w:sz w:val="24"/>
          <w:szCs w:val="24"/>
          <w:lang w:eastAsia="lv-LV"/>
        </w:rPr>
        <w:t xml:space="preserve"> tiek apsaimniekot</w:t>
      </w:r>
      <w:r w:rsidR="002C1503" w:rsidRPr="00A07F29">
        <w:rPr>
          <w:rFonts w:ascii="Times New Roman" w:eastAsia="Times New Roman" w:hAnsi="Times New Roman" w:cs="Times New Roman"/>
          <w:bCs/>
          <w:color w:val="000000"/>
          <w:sz w:val="24"/>
          <w:szCs w:val="24"/>
          <w:lang w:eastAsia="lv-LV"/>
        </w:rPr>
        <w:t>i,</w:t>
      </w:r>
      <w:r w:rsidRPr="00A07F29">
        <w:rPr>
          <w:rFonts w:ascii="Times New Roman" w:eastAsia="Times New Roman" w:hAnsi="Times New Roman" w:cs="Times New Roman"/>
          <w:bCs/>
          <w:color w:val="000000"/>
          <w:sz w:val="24"/>
          <w:szCs w:val="24"/>
          <w:lang w:eastAsia="lv-LV"/>
        </w:rPr>
        <w:t xml:space="preserve"> pļaujot un savācot sienu. Zālāj</w:t>
      </w:r>
      <w:r w:rsidR="002C1503" w:rsidRPr="00A07F29">
        <w:rPr>
          <w:rFonts w:ascii="Times New Roman" w:eastAsia="Times New Roman" w:hAnsi="Times New Roman" w:cs="Times New Roman"/>
          <w:bCs/>
          <w:color w:val="000000"/>
          <w:sz w:val="24"/>
          <w:szCs w:val="24"/>
          <w:lang w:eastAsia="lv-LV"/>
        </w:rPr>
        <w:t>u</w:t>
      </w:r>
      <w:r w:rsidRPr="00A07F29">
        <w:rPr>
          <w:rFonts w:ascii="Times New Roman" w:eastAsia="Times New Roman" w:hAnsi="Times New Roman" w:cs="Times New Roman"/>
          <w:bCs/>
          <w:color w:val="000000"/>
          <w:sz w:val="24"/>
          <w:szCs w:val="24"/>
          <w:lang w:eastAsia="lv-LV"/>
        </w:rPr>
        <w:t xml:space="preserve"> kvalitāte vērtējama kā vidēja, bet</w:t>
      </w:r>
      <w:r w:rsidR="002C1503" w:rsidRPr="00A07F29">
        <w:rPr>
          <w:rFonts w:ascii="Times New Roman" w:eastAsia="Times New Roman" w:hAnsi="Times New Roman" w:cs="Times New Roman"/>
          <w:bCs/>
          <w:color w:val="000000"/>
          <w:sz w:val="24"/>
          <w:szCs w:val="24"/>
          <w:lang w:eastAsia="lv-LV"/>
        </w:rPr>
        <w:t>,</w:t>
      </w:r>
      <w:r w:rsidRPr="00A07F29">
        <w:rPr>
          <w:rFonts w:ascii="Times New Roman" w:eastAsia="Times New Roman" w:hAnsi="Times New Roman" w:cs="Times New Roman"/>
          <w:bCs/>
          <w:color w:val="000000"/>
          <w:sz w:val="24"/>
          <w:szCs w:val="24"/>
          <w:lang w:eastAsia="lv-LV"/>
        </w:rPr>
        <w:t xml:space="preserve"> turpinot pareizi apsaimniekot</w:t>
      </w:r>
      <w:r w:rsidR="00D10B91" w:rsidRPr="00A07F29">
        <w:rPr>
          <w:rFonts w:ascii="Times New Roman" w:eastAsia="Times New Roman" w:hAnsi="Times New Roman" w:cs="Times New Roman"/>
          <w:bCs/>
          <w:color w:val="000000"/>
          <w:sz w:val="24"/>
          <w:szCs w:val="24"/>
          <w:lang w:eastAsia="lv-LV"/>
        </w:rPr>
        <w:t xml:space="preserve">, </w:t>
      </w:r>
      <w:r w:rsidRPr="00A07F29">
        <w:rPr>
          <w:rFonts w:ascii="Times New Roman" w:eastAsia="Times New Roman" w:hAnsi="Times New Roman" w:cs="Times New Roman"/>
          <w:bCs/>
          <w:color w:val="000000"/>
          <w:sz w:val="24"/>
          <w:szCs w:val="24"/>
          <w:lang w:eastAsia="lv-LV"/>
        </w:rPr>
        <w:t>tā var paaugstināties (pašlaik</w:t>
      </w:r>
      <w:r w:rsidR="002C1503" w:rsidRPr="00A07F29">
        <w:rPr>
          <w:rFonts w:ascii="Times New Roman" w:eastAsia="Times New Roman" w:hAnsi="Times New Roman" w:cs="Times New Roman"/>
          <w:bCs/>
          <w:color w:val="000000"/>
          <w:sz w:val="24"/>
          <w:szCs w:val="24"/>
          <w:lang w:eastAsia="lv-LV"/>
        </w:rPr>
        <w:t xml:space="preserve"> vidēji šī biotopa</w:t>
      </w:r>
      <w:r w:rsidRPr="00A07F29">
        <w:rPr>
          <w:rFonts w:ascii="Times New Roman" w:eastAsia="Times New Roman" w:hAnsi="Times New Roman" w:cs="Times New Roman"/>
          <w:bCs/>
          <w:color w:val="000000"/>
          <w:sz w:val="24"/>
          <w:szCs w:val="24"/>
          <w:lang w:eastAsia="lv-LV"/>
        </w:rPr>
        <w:t xml:space="preserve"> 1</w:t>
      </w:r>
      <w:r w:rsidR="0071361F">
        <w:rPr>
          <w:rFonts w:ascii="Times New Roman" w:eastAsia="Times New Roman" w:hAnsi="Times New Roman" w:cs="Times New Roman"/>
          <w:bCs/>
          <w:color w:val="000000"/>
          <w:sz w:val="24"/>
          <w:szCs w:val="24"/>
          <w:lang w:eastAsia="lv-LV"/>
        </w:rPr>
        <w:t> </w:t>
      </w:r>
      <w:r w:rsidRPr="00A07F29">
        <w:rPr>
          <w:rFonts w:ascii="Times New Roman" w:eastAsia="Times New Roman" w:hAnsi="Times New Roman" w:cs="Times New Roman"/>
          <w:bCs/>
          <w:color w:val="000000"/>
          <w:sz w:val="24"/>
          <w:szCs w:val="24"/>
          <w:lang w:eastAsia="lv-LV"/>
        </w:rPr>
        <w:t>m</w:t>
      </w:r>
      <w:r w:rsidRPr="00A07F29">
        <w:rPr>
          <w:rFonts w:ascii="Times New Roman" w:eastAsia="Times New Roman" w:hAnsi="Times New Roman" w:cs="Times New Roman"/>
          <w:bCs/>
          <w:color w:val="000000"/>
          <w:sz w:val="24"/>
          <w:szCs w:val="24"/>
          <w:vertAlign w:val="superscript"/>
          <w:lang w:eastAsia="lv-LV"/>
        </w:rPr>
        <w:t>2</w:t>
      </w:r>
      <w:r w:rsidR="00D65BBA" w:rsidRPr="00A07F29">
        <w:rPr>
          <w:rFonts w:ascii="Times New Roman" w:eastAsia="Times New Roman" w:hAnsi="Times New Roman" w:cs="Times New Roman"/>
          <w:bCs/>
          <w:color w:val="000000"/>
          <w:sz w:val="24"/>
          <w:szCs w:val="24"/>
          <w:vertAlign w:val="superscript"/>
          <w:lang w:eastAsia="lv-LV"/>
        </w:rPr>
        <w:t xml:space="preserve"> </w:t>
      </w:r>
      <w:r w:rsidRPr="00A07F29">
        <w:rPr>
          <w:rFonts w:ascii="Times New Roman" w:eastAsia="Times New Roman" w:hAnsi="Times New Roman" w:cs="Times New Roman"/>
          <w:bCs/>
          <w:color w:val="000000"/>
          <w:sz w:val="24"/>
          <w:szCs w:val="24"/>
          <w:lang w:eastAsia="lv-LV"/>
        </w:rPr>
        <w:t xml:space="preserve">konstatēti 19 </w:t>
      </w:r>
      <w:proofErr w:type="spellStart"/>
      <w:r w:rsidRPr="00A07F29">
        <w:rPr>
          <w:rFonts w:ascii="Times New Roman" w:eastAsia="Times New Roman" w:hAnsi="Times New Roman" w:cs="Times New Roman"/>
          <w:bCs/>
          <w:color w:val="000000"/>
          <w:sz w:val="24"/>
          <w:szCs w:val="24"/>
          <w:lang w:eastAsia="lv-LV"/>
        </w:rPr>
        <w:t>vaskulārie</w:t>
      </w:r>
      <w:proofErr w:type="spellEnd"/>
      <w:r w:rsidRPr="00A07F29">
        <w:rPr>
          <w:rFonts w:ascii="Times New Roman" w:eastAsia="Times New Roman" w:hAnsi="Times New Roman" w:cs="Times New Roman"/>
          <w:bCs/>
          <w:color w:val="000000"/>
          <w:sz w:val="24"/>
          <w:szCs w:val="24"/>
          <w:lang w:eastAsia="lv-LV"/>
        </w:rPr>
        <w:t xml:space="preserve"> augi). Biotops 6510</w:t>
      </w:r>
      <w:r w:rsidR="002146BB">
        <w:rPr>
          <w:rFonts w:ascii="Times New Roman" w:eastAsia="Times New Roman" w:hAnsi="Times New Roman" w:cs="Times New Roman"/>
          <w:bCs/>
          <w:color w:val="000000"/>
          <w:sz w:val="24"/>
          <w:szCs w:val="24"/>
          <w:lang w:eastAsia="lv-LV"/>
        </w:rPr>
        <w:t> </w:t>
      </w:r>
      <w:r w:rsidRPr="00A07F29">
        <w:rPr>
          <w:rFonts w:ascii="Times New Roman" w:eastAsia="Times New Roman" w:hAnsi="Times New Roman" w:cs="Times New Roman"/>
          <w:bCs/>
          <w:i/>
          <w:iCs/>
          <w:color w:val="000000"/>
          <w:sz w:val="24"/>
          <w:szCs w:val="24"/>
          <w:lang w:eastAsia="lv-LV"/>
        </w:rPr>
        <w:t>Mēreni mitras pļavas</w:t>
      </w:r>
      <w:r w:rsidRPr="00A07F29">
        <w:rPr>
          <w:rFonts w:ascii="Times New Roman" w:eastAsia="Times New Roman" w:hAnsi="Times New Roman" w:cs="Times New Roman"/>
          <w:bCs/>
          <w:color w:val="000000"/>
          <w:sz w:val="24"/>
          <w:szCs w:val="24"/>
          <w:lang w:eastAsia="lv-LV"/>
        </w:rPr>
        <w:t xml:space="preserve"> </w:t>
      </w:r>
      <w:r w:rsidR="00D10B91" w:rsidRPr="00A07F29">
        <w:rPr>
          <w:rFonts w:ascii="Times New Roman" w:eastAsia="Times New Roman" w:hAnsi="Times New Roman" w:cs="Times New Roman"/>
          <w:bCs/>
          <w:color w:val="000000"/>
          <w:sz w:val="24"/>
          <w:szCs w:val="24"/>
          <w:lang w:eastAsia="lv-LV"/>
        </w:rPr>
        <w:t xml:space="preserve">Latvijā </w:t>
      </w:r>
      <w:r w:rsidRPr="00A07F29">
        <w:rPr>
          <w:rFonts w:ascii="Times New Roman" w:eastAsia="Times New Roman" w:hAnsi="Times New Roman" w:cs="Times New Roman"/>
          <w:bCs/>
          <w:color w:val="000000"/>
          <w:sz w:val="24"/>
          <w:szCs w:val="24"/>
          <w:lang w:eastAsia="lv-LV"/>
        </w:rPr>
        <w:t>vērtējams kā nelabvēlīgā stāvoklī esošs.</w:t>
      </w:r>
    </w:p>
    <w:p w14:paraId="790D1444" w14:textId="3C23BB7B" w:rsidR="002B1603" w:rsidRPr="00A07F29" w:rsidRDefault="002B1603" w:rsidP="00CF06A0">
      <w:pPr>
        <w:pStyle w:val="Heading3"/>
        <w:spacing w:before="240" w:after="120" w:line="240" w:lineRule="auto"/>
        <w:jc w:val="center"/>
        <w:rPr>
          <w:b w:val="0"/>
          <w:lang w:eastAsia="ja-JP"/>
        </w:rPr>
      </w:pPr>
      <w:bookmarkStart w:id="62" w:name="_Toc183434004"/>
      <w:r w:rsidRPr="00A07F29">
        <w:rPr>
          <w:lang w:eastAsia="ja-JP"/>
        </w:rPr>
        <w:t>4.3.4. Mežu biotopi</w:t>
      </w:r>
      <w:bookmarkEnd w:id="62"/>
    </w:p>
    <w:p w14:paraId="373E06A0" w14:textId="2AB74452" w:rsidR="00C70562" w:rsidRPr="00A07F29" w:rsidRDefault="002B1603" w:rsidP="00CF06A0">
      <w:pPr>
        <w:spacing w:after="120" w:line="240" w:lineRule="auto"/>
        <w:ind w:firstLine="851"/>
        <w:jc w:val="both"/>
        <w:rPr>
          <w:rFonts w:ascii="Times New Roman" w:eastAsia="Calibri" w:hAnsi="Times New Roman" w:cs="Times New Roman"/>
          <w:sz w:val="24"/>
          <w:szCs w:val="24"/>
        </w:rPr>
      </w:pPr>
      <w:bookmarkStart w:id="63" w:name="_Toc22628289"/>
      <w:r w:rsidRPr="00A07F29">
        <w:rPr>
          <w:rFonts w:ascii="Times New Roman" w:eastAsia="Calibri" w:hAnsi="Times New Roman" w:cs="Times New Roman"/>
          <w:sz w:val="24"/>
          <w:szCs w:val="24"/>
        </w:rPr>
        <w:t xml:space="preserve">Meži no kopējās AAA </w:t>
      </w:r>
      <w:r w:rsidR="004C5214">
        <w:rPr>
          <w:rFonts w:ascii="Times New Roman" w:eastAsia="Calibri" w:hAnsi="Times New Roman" w:cs="Times New Roman"/>
          <w:sz w:val="24"/>
          <w:szCs w:val="24"/>
        </w:rPr>
        <w:t>“</w:t>
      </w:r>
      <w:r w:rsidRPr="00A07F29">
        <w:rPr>
          <w:rFonts w:ascii="Times New Roman" w:eastAsia="Calibri" w:hAnsi="Times New Roman" w:cs="Times New Roman"/>
          <w:sz w:val="24"/>
          <w:szCs w:val="24"/>
        </w:rPr>
        <w:t>Augšdaugava” teritorijas aizņem 21895,94</w:t>
      </w:r>
      <w:r w:rsidR="003B1B85">
        <w:rPr>
          <w:rFonts w:ascii="Times New Roman" w:eastAsia="Calibri" w:hAnsi="Times New Roman" w:cs="Times New Roman"/>
          <w:sz w:val="24"/>
          <w:szCs w:val="24"/>
        </w:rPr>
        <w:t> </w:t>
      </w:r>
      <w:r w:rsidRPr="00A07F29">
        <w:rPr>
          <w:rFonts w:ascii="Times New Roman" w:eastAsia="Calibri" w:hAnsi="Times New Roman" w:cs="Times New Roman"/>
          <w:sz w:val="24"/>
          <w:szCs w:val="24"/>
        </w:rPr>
        <w:t>ha jeb 42,02</w:t>
      </w:r>
      <w:r w:rsidR="003B1B85">
        <w:rPr>
          <w:rFonts w:ascii="Times New Roman" w:eastAsia="Calibri" w:hAnsi="Times New Roman" w:cs="Times New Roman"/>
          <w:sz w:val="24"/>
          <w:szCs w:val="24"/>
        </w:rPr>
        <w:t> </w:t>
      </w:r>
      <w:r w:rsidRPr="00A07F29">
        <w:rPr>
          <w:rFonts w:ascii="Times New Roman" w:eastAsia="Calibri" w:hAnsi="Times New Roman" w:cs="Times New Roman"/>
          <w:sz w:val="24"/>
          <w:szCs w:val="24"/>
        </w:rPr>
        <w:t>%. Teritorijā pārsvarā ir skuju koku meži, no kuriem priežu mežs aizņem 12426,05</w:t>
      </w:r>
      <w:r w:rsidR="003B1B85">
        <w:rPr>
          <w:rFonts w:ascii="Times New Roman" w:eastAsia="Calibri" w:hAnsi="Times New Roman" w:cs="Times New Roman"/>
          <w:sz w:val="24"/>
          <w:szCs w:val="24"/>
        </w:rPr>
        <w:t> </w:t>
      </w:r>
      <w:r w:rsidRPr="00A07F29">
        <w:rPr>
          <w:rFonts w:ascii="Times New Roman" w:eastAsia="Calibri" w:hAnsi="Times New Roman" w:cs="Times New Roman"/>
          <w:sz w:val="24"/>
          <w:szCs w:val="24"/>
        </w:rPr>
        <w:t>ha jeb 23,86</w:t>
      </w:r>
      <w:r w:rsidR="003B1B85">
        <w:rPr>
          <w:rFonts w:ascii="Times New Roman" w:eastAsia="Calibri" w:hAnsi="Times New Roman" w:cs="Times New Roman"/>
          <w:sz w:val="24"/>
          <w:szCs w:val="24"/>
        </w:rPr>
        <w:t> </w:t>
      </w:r>
      <w:r w:rsidRPr="00A07F29">
        <w:rPr>
          <w:rFonts w:ascii="Times New Roman" w:eastAsia="Calibri" w:hAnsi="Times New Roman" w:cs="Times New Roman"/>
          <w:sz w:val="24"/>
          <w:szCs w:val="24"/>
        </w:rPr>
        <w:t>%. Ievērojami retāk sastopami bērzu 4161,6</w:t>
      </w:r>
      <w:r w:rsidR="003B1B85">
        <w:rPr>
          <w:rFonts w:ascii="Times New Roman" w:eastAsia="Calibri" w:hAnsi="Times New Roman" w:cs="Times New Roman"/>
          <w:sz w:val="24"/>
          <w:szCs w:val="24"/>
        </w:rPr>
        <w:t> </w:t>
      </w:r>
      <w:r w:rsidRPr="00A07F29">
        <w:rPr>
          <w:rFonts w:ascii="Times New Roman" w:eastAsia="Calibri" w:hAnsi="Times New Roman" w:cs="Times New Roman"/>
          <w:sz w:val="24"/>
          <w:szCs w:val="24"/>
        </w:rPr>
        <w:t>ha jeb 7,99</w:t>
      </w:r>
      <w:r w:rsidR="003B1B85">
        <w:rPr>
          <w:rFonts w:ascii="Times New Roman" w:eastAsia="Calibri" w:hAnsi="Times New Roman" w:cs="Times New Roman"/>
          <w:sz w:val="24"/>
          <w:szCs w:val="24"/>
        </w:rPr>
        <w:t> </w:t>
      </w:r>
      <w:r w:rsidRPr="00A07F29">
        <w:rPr>
          <w:rFonts w:ascii="Times New Roman" w:eastAsia="Calibri" w:hAnsi="Times New Roman" w:cs="Times New Roman"/>
          <w:sz w:val="24"/>
          <w:szCs w:val="24"/>
        </w:rPr>
        <w:t>%, baltalkšņu 1995,57</w:t>
      </w:r>
      <w:r w:rsidR="003B1B85">
        <w:rPr>
          <w:rFonts w:ascii="Times New Roman" w:eastAsia="Calibri" w:hAnsi="Times New Roman" w:cs="Times New Roman"/>
          <w:sz w:val="24"/>
          <w:szCs w:val="24"/>
        </w:rPr>
        <w:t> </w:t>
      </w:r>
      <w:r w:rsidRPr="00A07F29">
        <w:rPr>
          <w:rFonts w:ascii="Times New Roman" w:eastAsia="Calibri" w:hAnsi="Times New Roman" w:cs="Times New Roman"/>
          <w:sz w:val="24"/>
          <w:szCs w:val="24"/>
        </w:rPr>
        <w:t>ha jeb 3,83</w:t>
      </w:r>
      <w:r w:rsidR="003B1B85">
        <w:rPr>
          <w:rFonts w:ascii="Times New Roman" w:eastAsia="Calibri" w:hAnsi="Times New Roman" w:cs="Times New Roman"/>
          <w:sz w:val="24"/>
          <w:szCs w:val="24"/>
        </w:rPr>
        <w:t> </w:t>
      </w:r>
      <w:r w:rsidRPr="00A07F29">
        <w:rPr>
          <w:rFonts w:ascii="Times New Roman" w:eastAsia="Calibri" w:hAnsi="Times New Roman" w:cs="Times New Roman"/>
          <w:sz w:val="24"/>
          <w:szCs w:val="24"/>
        </w:rPr>
        <w:t>% un egles 1824,24</w:t>
      </w:r>
      <w:r w:rsidR="005B503B">
        <w:rPr>
          <w:rFonts w:ascii="Times New Roman" w:eastAsia="Calibri" w:hAnsi="Times New Roman" w:cs="Times New Roman"/>
          <w:sz w:val="24"/>
          <w:szCs w:val="24"/>
        </w:rPr>
        <w:t> </w:t>
      </w:r>
      <w:r w:rsidRPr="00A07F29">
        <w:rPr>
          <w:rFonts w:ascii="Times New Roman" w:eastAsia="Calibri" w:hAnsi="Times New Roman" w:cs="Times New Roman"/>
          <w:sz w:val="24"/>
          <w:szCs w:val="24"/>
        </w:rPr>
        <w:t>ha jeb 3,5</w:t>
      </w:r>
      <w:r w:rsidR="005B503B">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5B503B">
        <w:rPr>
          <w:rFonts w:ascii="Times New Roman" w:eastAsia="Calibri" w:hAnsi="Times New Roman" w:cs="Times New Roman"/>
          <w:sz w:val="24"/>
          <w:szCs w:val="24"/>
        </w:rPr>
        <w:t xml:space="preserve"> meži</w:t>
      </w:r>
      <w:r w:rsidR="00130616" w:rsidRPr="00A07F29">
        <w:rPr>
          <w:rFonts w:ascii="Times New Roman" w:eastAsia="Calibri" w:hAnsi="Times New Roman" w:cs="Times New Roman"/>
          <w:sz w:val="24"/>
          <w:szCs w:val="24"/>
        </w:rPr>
        <w:t xml:space="preserve"> (</w:t>
      </w:r>
      <w:r w:rsidR="005B503B">
        <w:rPr>
          <w:rFonts w:ascii="Times New Roman" w:eastAsia="Calibri" w:hAnsi="Times New Roman" w:cs="Times New Roman"/>
          <w:sz w:val="24"/>
          <w:szCs w:val="24"/>
        </w:rPr>
        <w:t xml:space="preserve">skat. </w:t>
      </w:r>
      <w:r w:rsidR="00130616" w:rsidRPr="00A07F29">
        <w:rPr>
          <w:rFonts w:ascii="Times New Roman" w:eastAsia="Calibri" w:hAnsi="Times New Roman" w:cs="Times New Roman"/>
          <w:sz w:val="24"/>
          <w:szCs w:val="24"/>
        </w:rPr>
        <w:t>3.2.2.</w:t>
      </w:r>
      <w:r w:rsidR="005B503B">
        <w:rPr>
          <w:rFonts w:ascii="Times New Roman" w:eastAsia="Calibri" w:hAnsi="Times New Roman" w:cs="Times New Roman"/>
          <w:sz w:val="24"/>
          <w:szCs w:val="24"/>
        </w:rPr>
        <w:t> </w:t>
      </w:r>
      <w:r w:rsidR="00130616" w:rsidRPr="00A07F29">
        <w:rPr>
          <w:rFonts w:ascii="Times New Roman" w:eastAsia="Calibri" w:hAnsi="Times New Roman" w:cs="Times New Roman"/>
          <w:sz w:val="24"/>
          <w:szCs w:val="24"/>
        </w:rPr>
        <w:t>pielikums)</w:t>
      </w:r>
      <w:r w:rsidRPr="00A07F29">
        <w:rPr>
          <w:rFonts w:ascii="Times New Roman" w:eastAsia="Calibri" w:hAnsi="Times New Roman" w:cs="Times New Roman"/>
          <w:sz w:val="24"/>
          <w:szCs w:val="24"/>
        </w:rPr>
        <w:t xml:space="preserve">. </w:t>
      </w:r>
      <w:r w:rsidRPr="00A07F29">
        <w:rPr>
          <w:rFonts w:ascii="Times New Roman" w:eastAsia="Calibri" w:hAnsi="Times New Roman" w:cs="Times New Roman"/>
          <w:color w:val="000000"/>
          <w:sz w:val="24"/>
          <w:szCs w:val="24"/>
          <w:lang w:eastAsia="lv-LV"/>
        </w:rPr>
        <w:t xml:space="preserve">Lielākie vērtīgo </w:t>
      </w:r>
      <w:proofErr w:type="spellStart"/>
      <w:r w:rsidRPr="00A07F29">
        <w:rPr>
          <w:rFonts w:ascii="Times New Roman" w:eastAsia="Calibri" w:hAnsi="Times New Roman" w:cs="Times New Roman"/>
          <w:color w:val="000000"/>
          <w:sz w:val="24"/>
          <w:szCs w:val="24"/>
          <w:lang w:eastAsia="lv-LV"/>
        </w:rPr>
        <w:t>sausieņu</w:t>
      </w:r>
      <w:proofErr w:type="spellEnd"/>
      <w:r w:rsidRPr="00A07F29">
        <w:rPr>
          <w:rFonts w:ascii="Times New Roman" w:eastAsia="Calibri" w:hAnsi="Times New Roman" w:cs="Times New Roman"/>
          <w:color w:val="000000"/>
          <w:sz w:val="24"/>
          <w:szCs w:val="24"/>
          <w:lang w:eastAsia="lv-LV"/>
        </w:rPr>
        <w:t xml:space="preserve"> mežu masīvi, kas reizē ir arī galvenā dabas vērtība </w:t>
      </w:r>
      <w:r w:rsidR="00533ADF" w:rsidRPr="00A07F29">
        <w:rPr>
          <w:rFonts w:ascii="Times New Roman" w:eastAsia="Calibri" w:hAnsi="Times New Roman" w:cs="Times New Roman"/>
          <w:color w:val="000000"/>
          <w:sz w:val="24"/>
          <w:szCs w:val="24"/>
          <w:lang w:eastAsia="lv-LV"/>
        </w:rPr>
        <w:t>AAA</w:t>
      </w:r>
      <w:r w:rsidRPr="00A07F29">
        <w:rPr>
          <w:rFonts w:ascii="Times New Roman" w:eastAsia="Calibri" w:hAnsi="Times New Roman" w:cs="Times New Roman"/>
          <w:color w:val="000000"/>
          <w:sz w:val="24"/>
          <w:szCs w:val="24"/>
          <w:lang w:eastAsia="lv-LV"/>
        </w:rPr>
        <w:t xml:space="preserve"> teritorijā, atrodas galvenokārt Krāslavas un Kaplavas pagastu teritorijās. AAA </w:t>
      </w:r>
      <w:r w:rsidR="00AB23EB">
        <w:rPr>
          <w:rFonts w:ascii="Times New Roman" w:eastAsia="Calibri" w:hAnsi="Times New Roman" w:cs="Times New Roman"/>
          <w:color w:val="000000"/>
          <w:sz w:val="24"/>
          <w:szCs w:val="24"/>
          <w:lang w:eastAsia="lv-LV"/>
        </w:rPr>
        <w:t>“</w:t>
      </w:r>
      <w:r w:rsidRPr="00A07F29">
        <w:rPr>
          <w:rFonts w:ascii="Times New Roman" w:eastAsia="Calibri" w:hAnsi="Times New Roman" w:cs="Times New Roman"/>
          <w:color w:val="000000"/>
          <w:sz w:val="24"/>
          <w:szCs w:val="24"/>
          <w:lang w:eastAsia="lv-LV"/>
        </w:rPr>
        <w:t xml:space="preserve">Augšdaugava” mežu masīvi kopumā nav veci, </w:t>
      </w:r>
      <w:r w:rsidR="009F6ED1" w:rsidRPr="00A07F29">
        <w:rPr>
          <w:rFonts w:ascii="Times New Roman" w:eastAsia="Calibri" w:hAnsi="Times New Roman" w:cs="Times New Roman"/>
          <w:color w:val="000000"/>
          <w:sz w:val="24"/>
          <w:szCs w:val="24"/>
          <w:lang w:eastAsia="lv-LV"/>
        </w:rPr>
        <w:t xml:space="preserve">pāraugušas </w:t>
      </w:r>
      <w:r w:rsidRPr="00A07F29">
        <w:rPr>
          <w:rFonts w:ascii="Times New Roman" w:eastAsia="Calibri" w:hAnsi="Times New Roman" w:cs="Times New Roman"/>
          <w:color w:val="000000"/>
          <w:sz w:val="24"/>
          <w:szCs w:val="24"/>
          <w:lang w:eastAsia="lv-LV"/>
        </w:rPr>
        <w:t>audze</w:t>
      </w:r>
      <w:r w:rsidR="009F6ED1" w:rsidRPr="00A07F29">
        <w:rPr>
          <w:rFonts w:ascii="Times New Roman" w:eastAsia="Calibri" w:hAnsi="Times New Roman" w:cs="Times New Roman"/>
          <w:color w:val="000000"/>
          <w:sz w:val="24"/>
          <w:szCs w:val="24"/>
          <w:lang w:eastAsia="lv-LV"/>
        </w:rPr>
        <w:t>s</w:t>
      </w:r>
      <w:r w:rsidRPr="00A07F29">
        <w:rPr>
          <w:rFonts w:ascii="Times New Roman" w:eastAsia="Calibri" w:hAnsi="Times New Roman" w:cs="Times New Roman"/>
          <w:color w:val="000000"/>
          <w:sz w:val="24"/>
          <w:szCs w:val="24"/>
          <w:lang w:eastAsia="lv-LV"/>
        </w:rPr>
        <w:t xml:space="preserve"> aizņem 9,44</w:t>
      </w:r>
      <w:r w:rsidR="00D019A0">
        <w:rPr>
          <w:rFonts w:ascii="Times New Roman" w:eastAsia="Calibri" w:hAnsi="Times New Roman" w:cs="Times New Roman"/>
          <w:color w:val="000000"/>
          <w:sz w:val="24"/>
          <w:szCs w:val="24"/>
          <w:lang w:eastAsia="lv-LV"/>
        </w:rPr>
        <w:t> </w:t>
      </w:r>
      <w:r w:rsidRPr="00A07F29">
        <w:rPr>
          <w:rFonts w:ascii="Times New Roman" w:eastAsia="Calibri" w:hAnsi="Times New Roman" w:cs="Times New Roman"/>
          <w:color w:val="000000"/>
          <w:sz w:val="24"/>
          <w:szCs w:val="24"/>
          <w:lang w:eastAsia="lv-LV"/>
        </w:rPr>
        <w:t>%. Analizējot vēsturiskos datus, konstatēts, ka vēl 20</w:t>
      </w:r>
      <w:r w:rsidR="00D019A0">
        <w:rPr>
          <w:rFonts w:ascii="Times New Roman" w:eastAsia="Calibri" w:hAnsi="Times New Roman" w:cs="Times New Roman"/>
          <w:color w:val="000000"/>
          <w:sz w:val="24"/>
          <w:szCs w:val="24"/>
          <w:lang w:eastAsia="lv-LV"/>
        </w:rPr>
        <w:t>. </w:t>
      </w:r>
      <w:r w:rsidRPr="00A07F29">
        <w:rPr>
          <w:rFonts w:ascii="Times New Roman" w:eastAsia="Calibri" w:hAnsi="Times New Roman" w:cs="Times New Roman"/>
          <w:color w:val="000000"/>
          <w:sz w:val="24"/>
          <w:szCs w:val="24"/>
          <w:lang w:eastAsia="lv-LV"/>
        </w:rPr>
        <w:t>g</w:t>
      </w:r>
      <w:r w:rsidR="00D019A0">
        <w:rPr>
          <w:rFonts w:ascii="Times New Roman" w:eastAsia="Calibri" w:hAnsi="Times New Roman" w:cs="Times New Roman"/>
          <w:color w:val="000000"/>
          <w:sz w:val="24"/>
          <w:szCs w:val="24"/>
          <w:lang w:eastAsia="lv-LV"/>
        </w:rPr>
        <w:t>adsimta</w:t>
      </w:r>
      <w:r w:rsidRPr="00A07F29">
        <w:rPr>
          <w:rFonts w:ascii="Times New Roman" w:eastAsia="Calibri" w:hAnsi="Times New Roman" w:cs="Times New Roman"/>
          <w:color w:val="000000"/>
          <w:sz w:val="24"/>
          <w:szCs w:val="24"/>
          <w:lang w:eastAsia="lv-LV"/>
        </w:rPr>
        <w:t xml:space="preserve"> sākumā meža platības bijušas ievērojami mazākas, galvenokārt tuvāk Daugavai, gravu nogāzēs un gar valsts robežu. </w:t>
      </w:r>
      <w:r w:rsidRPr="00A07F29">
        <w:rPr>
          <w:rFonts w:ascii="Times New Roman" w:eastAsia="Calibri" w:hAnsi="Times New Roman" w:cs="Times New Roman"/>
          <w:sz w:val="24"/>
          <w:szCs w:val="24"/>
        </w:rPr>
        <w:t xml:space="preserve">AAA “Augšdaugava” teritorijā ir sastopami 22 no Latvijā nodalītajiem 23 meža augšanas apstākļu tipiem. </w:t>
      </w:r>
      <w:r w:rsidRPr="00A07F29">
        <w:rPr>
          <w:rFonts w:ascii="Times New Roman" w:eastAsia="Calibri" w:hAnsi="Times New Roman" w:cs="Times New Roman"/>
          <w:color w:val="000000"/>
          <w:sz w:val="24"/>
          <w:szCs w:val="24"/>
          <w:lang w:eastAsia="lv-LV"/>
        </w:rPr>
        <w:t xml:space="preserve">Teritorijā kopumā dominē </w:t>
      </w:r>
      <w:proofErr w:type="spellStart"/>
      <w:r w:rsidRPr="00A07F29">
        <w:rPr>
          <w:rFonts w:ascii="Times New Roman" w:eastAsia="Calibri" w:hAnsi="Times New Roman" w:cs="Times New Roman"/>
          <w:color w:val="000000"/>
          <w:sz w:val="24"/>
          <w:szCs w:val="24"/>
          <w:lang w:eastAsia="lv-LV"/>
        </w:rPr>
        <w:t>sausieņu</w:t>
      </w:r>
      <w:proofErr w:type="spellEnd"/>
      <w:r w:rsidRPr="00A07F29">
        <w:rPr>
          <w:rFonts w:ascii="Times New Roman" w:eastAsia="Calibri" w:hAnsi="Times New Roman" w:cs="Times New Roman"/>
          <w:color w:val="000000"/>
          <w:sz w:val="24"/>
          <w:szCs w:val="24"/>
          <w:lang w:eastAsia="lv-LV"/>
        </w:rPr>
        <w:t xml:space="preserve"> meža augšanas apstākļu tips </w:t>
      </w:r>
      <w:r w:rsidRPr="00A07F29">
        <w:rPr>
          <w:rFonts w:ascii="Times New Roman" w:eastAsia="Calibri" w:hAnsi="Times New Roman" w:cs="Times New Roman"/>
          <w:sz w:val="24"/>
          <w:szCs w:val="24"/>
        </w:rPr>
        <w:t>19531,44</w:t>
      </w:r>
      <w:r w:rsidR="00D375A7">
        <w:rPr>
          <w:rFonts w:ascii="Times New Roman" w:eastAsia="Calibri" w:hAnsi="Times New Roman" w:cs="Times New Roman"/>
          <w:sz w:val="24"/>
          <w:szCs w:val="24"/>
        </w:rPr>
        <w:t> </w:t>
      </w:r>
      <w:r w:rsidRPr="00A07F29">
        <w:rPr>
          <w:rFonts w:ascii="Times New Roman" w:eastAsia="Calibri" w:hAnsi="Times New Roman" w:cs="Times New Roman"/>
          <w:sz w:val="24"/>
          <w:szCs w:val="24"/>
        </w:rPr>
        <w:t>ha jeb 89,20</w:t>
      </w:r>
      <w:r w:rsidR="00D375A7">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 </w:t>
      </w:r>
      <w:r w:rsidRPr="00A07F29">
        <w:rPr>
          <w:rFonts w:ascii="Times New Roman" w:eastAsia="Calibri" w:hAnsi="Times New Roman" w:cs="Times New Roman"/>
          <w:color w:val="000000"/>
          <w:sz w:val="24"/>
          <w:szCs w:val="24"/>
          <w:lang w:eastAsia="lv-LV"/>
        </w:rPr>
        <w:t xml:space="preserve">un izplatītākie meža tipi ir </w:t>
      </w:r>
      <w:r w:rsidRPr="00A07F29">
        <w:rPr>
          <w:rFonts w:ascii="Times New Roman" w:eastAsia="Calibri" w:hAnsi="Times New Roman" w:cs="Times New Roman"/>
          <w:sz w:val="24"/>
          <w:szCs w:val="24"/>
        </w:rPr>
        <w:t>damaksnis (35,62</w:t>
      </w:r>
      <w:r w:rsidR="00D375A7">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Pr="00A07F29">
        <w:rPr>
          <w:rFonts w:ascii="Times New Roman" w:eastAsia="Calibri" w:hAnsi="Times New Roman" w:cs="Times New Roman"/>
          <w:color w:val="000000"/>
          <w:sz w:val="24"/>
          <w:szCs w:val="24"/>
          <w:lang w:eastAsia="lv-LV"/>
        </w:rPr>
        <w:t xml:space="preserve"> un</w:t>
      </w:r>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lāns</w:t>
      </w:r>
      <w:proofErr w:type="spellEnd"/>
      <w:r w:rsidRPr="00A07F29">
        <w:rPr>
          <w:rFonts w:ascii="Times New Roman" w:eastAsia="Calibri" w:hAnsi="Times New Roman" w:cs="Times New Roman"/>
          <w:sz w:val="24"/>
          <w:szCs w:val="24"/>
        </w:rPr>
        <w:t xml:space="preserve"> (27,03</w:t>
      </w:r>
      <w:r w:rsidR="00D375A7">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Pr="00A07F29">
        <w:rPr>
          <w:rFonts w:ascii="Times New Roman" w:eastAsia="Calibri" w:hAnsi="Times New Roman" w:cs="Times New Roman"/>
          <w:color w:val="000000"/>
          <w:sz w:val="24"/>
          <w:szCs w:val="24"/>
          <w:lang w:eastAsia="lv-LV"/>
        </w:rPr>
        <w:t xml:space="preserve"> vietām arī </w:t>
      </w:r>
      <w:proofErr w:type="spellStart"/>
      <w:r w:rsidRPr="00A07F29">
        <w:rPr>
          <w:rFonts w:ascii="Times New Roman" w:eastAsia="Calibri" w:hAnsi="Times New Roman" w:cs="Times New Roman"/>
          <w:color w:val="000000"/>
          <w:sz w:val="24"/>
          <w:szCs w:val="24"/>
          <w:lang w:eastAsia="lv-LV"/>
        </w:rPr>
        <w:t>mētrājs</w:t>
      </w:r>
      <w:proofErr w:type="spellEnd"/>
      <w:r w:rsidRPr="00A07F29">
        <w:rPr>
          <w:rFonts w:ascii="Times New Roman" w:eastAsia="Calibri" w:hAnsi="Times New Roman" w:cs="Times New Roman"/>
          <w:color w:val="000000"/>
          <w:sz w:val="24"/>
          <w:szCs w:val="24"/>
          <w:lang w:eastAsia="lv-LV"/>
        </w:rPr>
        <w:t xml:space="preserve"> (3,76</w:t>
      </w:r>
      <w:r w:rsidR="00D375A7">
        <w:rPr>
          <w:rFonts w:ascii="Times New Roman" w:eastAsia="Calibri" w:hAnsi="Times New Roman" w:cs="Times New Roman"/>
          <w:color w:val="000000"/>
          <w:sz w:val="24"/>
          <w:szCs w:val="24"/>
          <w:lang w:eastAsia="lv-LV"/>
        </w:rPr>
        <w:t> </w:t>
      </w:r>
      <w:r w:rsidRPr="00A07F29">
        <w:rPr>
          <w:rFonts w:ascii="Times New Roman" w:eastAsia="Calibri" w:hAnsi="Times New Roman" w:cs="Times New Roman"/>
          <w:color w:val="000000"/>
          <w:sz w:val="24"/>
          <w:szCs w:val="24"/>
          <w:lang w:eastAsia="lv-LV"/>
        </w:rPr>
        <w:t>%)</w:t>
      </w:r>
      <w:r w:rsidR="00130616" w:rsidRPr="00A07F29">
        <w:rPr>
          <w:rFonts w:ascii="Times New Roman" w:eastAsia="Calibri" w:hAnsi="Times New Roman" w:cs="Times New Roman"/>
          <w:sz w:val="24"/>
          <w:szCs w:val="24"/>
        </w:rPr>
        <w:t xml:space="preserve"> (</w:t>
      </w:r>
      <w:r w:rsidR="00CE7070">
        <w:rPr>
          <w:rFonts w:ascii="Times New Roman" w:eastAsia="Calibri" w:hAnsi="Times New Roman" w:cs="Times New Roman"/>
          <w:sz w:val="24"/>
          <w:szCs w:val="24"/>
        </w:rPr>
        <w:t xml:space="preserve">skat. </w:t>
      </w:r>
      <w:r w:rsidR="00130616" w:rsidRPr="00A07F29">
        <w:rPr>
          <w:rFonts w:ascii="Times New Roman" w:eastAsia="Calibri" w:hAnsi="Times New Roman" w:cs="Times New Roman"/>
          <w:sz w:val="24"/>
          <w:szCs w:val="24"/>
        </w:rPr>
        <w:t>3.2.1.</w:t>
      </w:r>
      <w:r w:rsidR="00CE7070">
        <w:rPr>
          <w:rFonts w:ascii="Times New Roman" w:eastAsia="Calibri" w:hAnsi="Times New Roman" w:cs="Times New Roman"/>
          <w:sz w:val="24"/>
          <w:szCs w:val="24"/>
        </w:rPr>
        <w:t> </w:t>
      </w:r>
      <w:r w:rsidR="00130616" w:rsidRPr="00A07F29">
        <w:rPr>
          <w:rFonts w:ascii="Times New Roman" w:eastAsia="Calibri" w:hAnsi="Times New Roman" w:cs="Times New Roman"/>
          <w:sz w:val="24"/>
          <w:szCs w:val="24"/>
        </w:rPr>
        <w:t>pielikums)</w:t>
      </w:r>
      <w:r w:rsidRPr="00A07F29">
        <w:rPr>
          <w:rFonts w:ascii="Times New Roman" w:eastAsia="Calibri" w:hAnsi="Times New Roman" w:cs="Times New Roman"/>
          <w:color w:val="000000"/>
          <w:sz w:val="24"/>
          <w:szCs w:val="24"/>
          <w:lang w:eastAsia="lv-LV"/>
        </w:rPr>
        <w:t>.</w:t>
      </w:r>
    </w:p>
    <w:p w14:paraId="0DCCC87B" w14:textId="2ECEF2C0" w:rsidR="00C70562" w:rsidRPr="00A07F29" w:rsidRDefault="002B1603" w:rsidP="00276086">
      <w:pPr>
        <w:spacing w:after="120" w:line="240" w:lineRule="auto"/>
        <w:ind w:firstLine="851"/>
        <w:jc w:val="both"/>
        <w:rPr>
          <w:rFonts w:ascii="Times New Roman" w:eastAsia="Calibri" w:hAnsi="Times New Roman" w:cs="Times New Roman"/>
          <w:color w:val="000000"/>
          <w:sz w:val="24"/>
          <w:szCs w:val="24"/>
          <w:lang w:eastAsia="lv-LV"/>
        </w:rPr>
      </w:pPr>
      <w:r w:rsidRPr="00A07F29">
        <w:rPr>
          <w:rFonts w:ascii="Times New Roman" w:eastAsia="Calibri" w:hAnsi="Times New Roman" w:cs="Times New Roman"/>
          <w:color w:val="000000"/>
          <w:sz w:val="24"/>
          <w:szCs w:val="24"/>
          <w:lang w:eastAsia="lv-LV"/>
        </w:rPr>
        <w:t xml:space="preserve">Nelielās platībās, galvenokārt gravās, sastopama gārša ar apsi, bērzu un liepu koku stāvā un vidēji biezu līdz biezu lazdu un parastā sausserža pamežu. Tomēr jāatzīmē, ka, salīdzinājumā ar līdzīgiem biotopiem </w:t>
      </w:r>
      <w:r w:rsidR="00BF0E06" w:rsidRPr="00A07F29">
        <w:rPr>
          <w:rFonts w:ascii="Times New Roman" w:eastAsia="Calibri" w:hAnsi="Times New Roman" w:cs="Times New Roman"/>
          <w:color w:val="000000"/>
          <w:sz w:val="24"/>
          <w:szCs w:val="24"/>
          <w:lang w:eastAsia="lv-LV"/>
        </w:rPr>
        <w:t>DP</w:t>
      </w:r>
      <w:r w:rsidRPr="00A07F29">
        <w:rPr>
          <w:rFonts w:ascii="Times New Roman" w:eastAsia="Calibri" w:hAnsi="Times New Roman" w:cs="Times New Roman"/>
          <w:color w:val="000000"/>
          <w:sz w:val="24"/>
          <w:szCs w:val="24"/>
          <w:lang w:eastAsia="lv-LV"/>
        </w:rPr>
        <w:t xml:space="preserve"> </w:t>
      </w:r>
      <w:r w:rsidR="00A53028">
        <w:rPr>
          <w:rFonts w:ascii="Times New Roman" w:eastAsia="Calibri" w:hAnsi="Times New Roman" w:cs="Times New Roman"/>
          <w:color w:val="000000"/>
          <w:sz w:val="24"/>
          <w:szCs w:val="24"/>
          <w:lang w:eastAsia="lv-LV"/>
        </w:rPr>
        <w:t>“</w:t>
      </w:r>
      <w:r w:rsidRPr="00A07F29">
        <w:rPr>
          <w:rFonts w:ascii="Times New Roman" w:eastAsia="Calibri" w:hAnsi="Times New Roman" w:cs="Times New Roman"/>
          <w:color w:val="000000"/>
          <w:sz w:val="24"/>
          <w:szCs w:val="24"/>
          <w:lang w:eastAsia="lv-LV"/>
        </w:rPr>
        <w:t xml:space="preserve">Daugavas loki” teritorijā, Augšdaugavas </w:t>
      </w:r>
      <w:r w:rsidR="00171AA5" w:rsidRPr="00A07F29">
        <w:rPr>
          <w:rFonts w:ascii="Times New Roman" w:eastAsia="Calibri" w:hAnsi="Times New Roman" w:cs="Times New Roman"/>
          <w:color w:val="000000"/>
          <w:sz w:val="24"/>
          <w:szCs w:val="24"/>
          <w:lang w:eastAsia="lv-LV"/>
        </w:rPr>
        <w:t>AAA</w:t>
      </w:r>
      <w:r w:rsidRPr="00A07F29">
        <w:rPr>
          <w:rFonts w:ascii="Times New Roman" w:eastAsia="Calibri" w:hAnsi="Times New Roman" w:cs="Times New Roman"/>
          <w:color w:val="000000"/>
          <w:sz w:val="24"/>
          <w:szCs w:val="24"/>
          <w:lang w:eastAsia="lv-LV"/>
        </w:rPr>
        <w:t xml:space="preserve"> teritorijā gravas ir daudz vairāk traucētas, bieži izcirstas (sevišķi Kaplavas pagasta teritorijā) un vismaz uz apsekošanas brīdi neatbilst biotopa 9180*</w:t>
      </w:r>
      <w:r w:rsidR="00A53028">
        <w:rPr>
          <w:rFonts w:ascii="Times New Roman" w:eastAsia="Calibri" w:hAnsi="Times New Roman" w:cs="Times New Roman"/>
          <w:color w:val="000000"/>
          <w:sz w:val="24"/>
          <w:szCs w:val="24"/>
          <w:lang w:eastAsia="lv-LV"/>
        </w:rPr>
        <w:t> </w:t>
      </w:r>
      <w:r w:rsidRPr="00A07F29">
        <w:rPr>
          <w:rFonts w:ascii="Times New Roman" w:eastAsia="Calibri" w:hAnsi="Times New Roman" w:cs="Times New Roman"/>
          <w:i/>
          <w:color w:val="000000"/>
          <w:sz w:val="24"/>
          <w:szCs w:val="24"/>
          <w:lang w:eastAsia="lv-LV"/>
        </w:rPr>
        <w:t>Nogāžu un gravu meži</w:t>
      </w:r>
      <w:r w:rsidR="00D65BBA" w:rsidRPr="00A07F29">
        <w:rPr>
          <w:rFonts w:ascii="Times New Roman" w:eastAsia="Calibri" w:hAnsi="Times New Roman" w:cs="Times New Roman"/>
          <w:color w:val="000000"/>
          <w:sz w:val="24"/>
          <w:szCs w:val="24"/>
          <w:lang w:eastAsia="lv-LV"/>
        </w:rPr>
        <w:t xml:space="preserve"> </w:t>
      </w:r>
      <w:r w:rsidRPr="00A07F29">
        <w:rPr>
          <w:rFonts w:ascii="Times New Roman" w:eastAsia="Calibri" w:hAnsi="Times New Roman" w:cs="Times New Roman"/>
          <w:color w:val="000000"/>
          <w:sz w:val="24"/>
          <w:szCs w:val="24"/>
          <w:lang w:eastAsia="lv-LV"/>
        </w:rPr>
        <w:t>minimālajām prasībām. Neraugoties uz to, mežiem šeit ir augsta rekreācijas vērtība – sausie, atklātie meža masīvi atrodas tuvu Krāslavas un Daugavpils pilsētām, līdz ar to ir viegli sasniedzami ogotājiem un sēņotājiem.</w:t>
      </w:r>
    </w:p>
    <w:p w14:paraId="25F55FE1" w14:textId="7E916E4D" w:rsidR="00276086" w:rsidRPr="00A07F29" w:rsidRDefault="00276086" w:rsidP="00276086">
      <w:pPr>
        <w:spacing w:after="120" w:line="240" w:lineRule="auto"/>
        <w:ind w:firstLine="851"/>
        <w:jc w:val="both"/>
        <w:rPr>
          <w:rFonts w:ascii="Times New Roman" w:eastAsia="Calibri" w:hAnsi="Times New Roman" w:cs="Times New Roman"/>
          <w:color w:val="000000"/>
          <w:sz w:val="24"/>
          <w:szCs w:val="24"/>
          <w:lang w:eastAsia="lv-LV"/>
        </w:rPr>
      </w:pPr>
      <w:r w:rsidRPr="00A07F29">
        <w:rPr>
          <w:rFonts w:ascii="Times New Roman" w:eastAsia="Calibri" w:hAnsi="Times New Roman" w:cs="Times New Roman"/>
          <w:color w:val="000000"/>
          <w:sz w:val="24"/>
          <w:szCs w:val="24"/>
          <w:lang w:eastAsia="lv-LV"/>
        </w:rPr>
        <w:t xml:space="preserve">Visa AAA teritorija ir bijusi blīvi apdzīvota, par ko liecina pamestās mājvietas mežos un vietām sastopamās dažādu priežu </w:t>
      </w:r>
      <w:proofErr w:type="spellStart"/>
      <w:r w:rsidRPr="00A07F29">
        <w:rPr>
          <w:rFonts w:ascii="Times New Roman" w:eastAsia="Calibri" w:hAnsi="Times New Roman" w:cs="Times New Roman"/>
          <w:color w:val="000000"/>
          <w:sz w:val="24"/>
          <w:szCs w:val="24"/>
          <w:lang w:eastAsia="lv-LV"/>
        </w:rPr>
        <w:t>lānam</w:t>
      </w:r>
      <w:proofErr w:type="spellEnd"/>
      <w:r w:rsidRPr="00A07F29">
        <w:rPr>
          <w:rFonts w:ascii="Times New Roman" w:eastAsia="Calibri" w:hAnsi="Times New Roman" w:cs="Times New Roman"/>
          <w:color w:val="000000"/>
          <w:sz w:val="24"/>
          <w:szCs w:val="24"/>
          <w:lang w:eastAsia="lv-LV"/>
        </w:rPr>
        <w:t xml:space="preserve"> un damaksnim neraksturīgas (</w:t>
      </w:r>
      <w:proofErr w:type="spellStart"/>
      <w:r w:rsidRPr="00A07F29">
        <w:rPr>
          <w:rFonts w:ascii="Times New Roman" w:eastAsia="Calibri" w:hAnsi="Times New Roman" w:cs="Times New Roman"/>
          <w:color w:val="000000"/>
          <w:sz w:val="24"/>
          <w:szCs w:val="24"/>
          <w:lang w:eastAsia="lv-LV"/>
        </w:rPr>
        <w:t>invazīvas</w:t>
      </w:r>
      <w:proofErr w:type="spellEnd"/>
      <w:r w:rsidRPr="00A07F29">
        <w:rPr>
          <w:rFonts w:ascii="Times New Roman" w:eastAsia="Calibri" w:hAnsi="Times New Roman" w:cs="Times New Roman"/>
          <w:color w:val="000000"/>
          <w:sz w:val="24"/>
          <w:szCs w:val="24"/>
          <w:lang w:eastAsia="lv-LV"/>
        </w:rPr>
        <w:t xml:space="preserve">) sugas (dažādas spireju sugas, </w:t>
      </w:r>
      <w:proofErr w:type="spellStart"/>
      <w:r w:rsidRPr="00A07F29">
        <w:rPr>
          <w:rFonts w:ascii="Times New Roman" w:eastAsia="Calibri" w:hAnsi="Times New Roman" w:cs="Times New Roman"/>
          <w:color w:val="000000"/>
          <w:sz w:val="24"/>
          <w:szCs w:val="24"/>
          <w:lang w:eastAsia="lv-LV"/>
        </w:rPr>
        <w:t>pīlādžlapu</w:t>
      </w:r>
      <w:proofErr w:type="spellEnd"/>
      <w:r w:rsidRPr="00A07F29">
        <w:rPr>
          <w:rFonts w:ascii="Times New Roman" w:eastAsia="Calibri" w:hAnsi="Times New Roman" w:cs="Times New Roman"/>
          <w:color w:val="000000"/>
          <w:sz w:val="24"/>
          <w:szCs w:val="24"/>
          <w:lang w:eastAsia="lv-LV"/>
        </w:rPr>
        <w:t xml:space="preserve"> </w:t>
      </w:r>
      <w:proofErr w:type="spellStart"/>
      <w:r w:rsidRPr="00A07F29">
        <w:rPr>
          <w:rFonts w:ascii="Times New Roman" w:eastAsia="Calibri" w:hAnsi="Times New Roman" w:cs="Times New Roman"/>
          <w:color w:val="000000"/>
          <w:sz w:val="24"/>
          <w:szCs w:val="24"/>
          <w:lang w:eastAsia="lv-LV"/>
        </w:rPr>
        <w:t>sorbārija</w:t>
      </w:r>
      <w:proofErr w:type="spellEnd"/>
      <w:r w:rsidRPr="00A07F29">
        <w:rPr>
          <w:rFonts w:ascii="Times New Roman" w:eastAsia="Calibri" w:hAnsi="Times New Roman" w:cs="Times New Roman"/>
          <w:color w:val="000000"/>
          <w:sz w:val="24"/>
          <w:szCs w:val="24"/>
          <w:lang w:eastAsia="lv-LV"/>
        </w:rPr>
        <w:t xml:space="preserve"> </w:t>
      </w:r>
      <w:proofErr w:type="spellStart"/>
      <w:r w:rsidRPr="00A07F29">
        <w:rPr>
          <w:rFonts w:ascii="Times New Roman" w:eastAsia="Calibri" w:hAnsi="Times New Roman" w:cs="Times New Roman"/>
          <w:i/>
          <w:color w:val="000000"/>
          <w:sz w:val="24"/>
          <w:szCs w:val="24"/>
          <w:lang w:eastAsia="lv-LV"/>
        </w:rPr>
        <w:t>Sorbaria</w:t>
      </w:r>
      <w:proofErr w:type="spellEnd"/>
      <w:r w:rsidRPr="00A07F29">
        <w:rPr>
          <w:rFonts w:ascii="Times New Roman" w:eastAsia="Calibri" w:hAnsi="Times New Roman" w:cs="Times New Roman"/>
          <w:i/>
          <w:color w:val="000000"/>
          <w:sz w:val="24"/>
          <w:szCs w:val="24"/>
          <w:lang w:eastAsia="lv-LV"/>
        </w:rPr>
        <w:t xml:space="preserve"> </w:t>
      </w:r>
      <w:proofErr w:type="spellStart"/>
      <w:r w:rsidRPr="00A07F29">
        <w:rPr>
          <w:rFonts w:ascii="Times New Roman" w:eastAsia="Calibri" w:hAnsi="Times New Roman" w:cs="Times New Roman"/>
          <w:i/>
          <w:color w:val="000000"/>
          <w:sz w:val="24"/>
          <w:szCs w:val="24"/>
          <w:lang w:eastAsia="lv-LV"/>
        </w:rPr>
        <w:t>sorbifolia</w:t>
      </w:r>
      <w:proofErr w:type="spellEnd"/>
      <w:r w:rsidRPr="00A07F29">
        <w:rPr>
          <w:rFonts w:ascii="Times New Roman" w:eastAsia="Calibri" w:hAnsi="Times New Roman" w:cs="Times New Roman"/>
          <w:color w:val="000000"/>
          <w:sz w:val="24"/>
          <w:szCs w:val="24"/>
          <w:lang w:eastAsia="lv-LV"/>
        </w:rPr>
        <w:t xml:space="preserve">, sarkanais plūškoks </w:t>
      </w:r>
      <w:proofErr w:type="spellStart"/>
      <w:r w:rsidRPr="00A07F29">
        <w:rPr>
          <w:rFonts w:ascii="Times New Roman" w:eastAsia="Calibri" w:hAnsi="Times New Roman" w:cs="Times New Roman"/>
          <w:i/>
          <w:color w:val="000000"/>
          <w:sz w:val="24"/>
          <w:szCs w:val="24"/>
          <w:lang w:eastAsia="lv-LV"/>
        </w:rPr>
        <w:t>Sambucus</w:t>
      </w:r>
      <w:proofErr w:type="spellEnd"/>
      <w:r w:rsidRPr="00A07F29">
        <w:rPr>
          <w:rFonts w:ascii="Times New Roman" w:eastAsia="Calibri" w:hAnsi="Times New Roman" w:cs="Times New Roman"/>
          <w:i/>
          <w:color w:val="000000"/>
          <w:sz w:val="24"/>
          <w:szCs w:val="24"/>
          <w:lang w:eastAsia="lv-LV"/>
        </w:rPr>
        <w:t xml:space="preserve"> </w:t>
      </w:r>
      <w:proofErr w:type="spellStart"/>
      <w:r w:rsidRPr="00A07F29">
        <w:rPr>
          <w:rFonts w:ascii="Times New Roman" w:eastAsia="Calibri" w:hAnsi="Times New Roman" w:cs="Times New Roman"/>
          <w:i/>
          <w:color w:val="000000"/>
          <w:sz w:val="24"/>
          <w:szCs w:val="24"/>
          <w:lang w:eastAsia="lv-LV"/>
        </w:rPr>
        <w:t>racemosa</w:t>
      </w:r>
      <w:proofErr w:type="spellEnd"/>
      <w:r w:rsidR="00D65BBA" w:rsidRPr="00A07F29">
        <w:rPr>
          <w:rFonts w:ascii="Times New Roman" w:eastAsia="Calibri" w:hAnsi="Times New Roman" w:cs="Times New Roman"/>
          <w:color w:val="000000"/>
          <w:sz w:val="24"/>
          <w:szCs w:val="24"/>
          <w:lang w:eastAsia="lv-LV"/>
        </w:rPr>
        <w:t xml:space="preserve"> </w:t>
      </w:r>
      <w:r w:rsidRPr="00A07F29">
        <w:rPr>
          <w:rFonts w:ascii="Times New Roman" w:eastAsia="Calibri" w:hAnsi="Times New Roman" w:cs="Times New Roman"/>
          <w:color w:val="000000"/>
          <w:sz w:val="24"/>
          <w:szCs w:val="24"/>
          <w:lang w:eastAsia="lv-LV"/>
        </w:rPr>
        <w:t xml:space="preserve">u.c.). </w:t>
      </w:r>
    </w:p>
    <w:p w14:paraId="0DD0C50B" w14:textId="06839309" w:rsidR="00276086" w:rsidRPr="00A07F29" w:rsidRDefault="26F09819" w:rsidP="00276086">
      <w:pPr>
        <w:spacing w:after="120" w:line="240" w:lineRule="auto"/>
        <w:ind w:firstLine="851"/>
        <w:jc w:val="both"/>
        <w:rPr>
          <w:rFonts w:ascii="Times New Roman" w:hAnsi="Times New Roman" w:cs="Times New Roman"/>
          <w:sz w:val="24"/>
          <w:szCs w:val="24"/>
        </w:rPr>
      </w:pPr>
      <w:r w:rsidRPr="00A07F29">
        <w:rPr>
          <w:rFonts w:ascii="Times New Roman" w:eastAsia="Calibri" w:hAnsi="Times New Roman" w:cs="Times New Roman"/>
          <w:sz w:val="24"/>
          <w:szCs w:val="24"/>
        </w:rPr>
        <w:lastRenderedPageBreak/>
        <w:t>AAA “Augšdaugava” teritorijā Priedaines lokā valsts mežā izveidota ģenētisko resursu mežaudze “Priedaines priede” 459,1</w:t>
      </w:r>
      <w:r w:rsidR="00CD5386">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ha platībā, kur mērķa suga ir priede. Ģenētisko resursu mežaudzes izveido un apsaimnieko saskaņā ar MK </w:t>
      </w:r>
      <w:r w:rsidR="00F7112A" w:rsidRPr="00A07F29">
        <w:rPr>
          <w:rFonts w:ascii="Times New Roman" w:eastAsia="Calibri" w:hAnsi="Times New Roman" w:cs="Times New Roman"/>
          <w:sz w:val="24"/>
          <w:szCs w:val="24"/>
        </w:rPr>
        <w:t>2013.</w:t>
      </w:r>
      <w:r w:rsidR="00CD5386">
        <w:rPr>
          <w:rFonts w:ascii="Times New Roman" w:eastAsia="Calibri" w:hAnsi="Times New Roman" w:cs="Times New Roman"/>
          <w:sz w:val="24"/>
          <w:szCs w:val="24"/>
        </w:rPr>
        <w:t> </w:t>
      </w:r>
      <w:r w:rsidR="00F7112A" w:rsidRPr="00A07F29">
        <w:rPr>
          <w:rFonts w:ascii="Times New Roman" w:eastAsia="Calibri" w:hAnsi="Times New Roman" w:cs="Times New Roman"/>
          <w:sz w:val="24"/>
          <w:szCs w:val="24"/>
        </w:rPr>
        <w:t xml:space="preserve">gada </w:t>
      </w:r>
      <w:r w:rsidR="002D6868" w:rsidRPr="00A07F29">
        <w:rPr>
          <w:rFonts w:ascii="Times New Roman" w:eastAsia="Calibri" w:hAnsi="Times New Roman" w:cs="Times New Roman"/>
          <w:sz w:val="24"/>
          <w:szCs w:val="24"/>
        </w:rPr>
        <w:t>2.</w:t>
      </w:r>
      <w:r w:rsidR="00CD5386">
        <w:rPr>
          <w:rFonts w:ascii="Times New Roman" w:eastAsia="Calibri" w:hAnsi="Times New Roman" w:cs="Times New Roman"/>
          <w:sz w:val="24"/>
          <w:szCs w:val="24"/>
        </w:rPr>
        <w:t> </w:t>
      </w:r>
      <w:r w:rsidR="002D6868" w:rsidRPr="00A07F29">
        <w:rPr>
          <w:rFonts w:ascii="Times New Roman" w:eastAsia="Calibri" w:hAnsi="Times New Roman" w:cs="Times New Roman"/>
          <w:sz w:val="24"/>
          <w:szCs w:val="24"/>
        </w:rPr>
        <w:t xml:space="preserve">aprīļa </w:t>
      </w:r>
      <w:r w:rsidRPr="00A07F29">
        <w:rPr>
          <w:rFonts w:ascii="Times New Roman" w:eastAsia="Calibri" w:hAnsi="Times New Roman" w:cs="Times New Roman"/>
          <w:sz w:val="24"/>
          <w:szCs w:val="24"/>
        </w:rPr>
        <w:t>noteikumiem Nr.</w:t>
      </w:r>
      <w:r w:rsidR="00CD5386">
        <w:rPr>
          <w:rFonts w:ascii="Times New Roman" w:eastAsia="Calibri" w:hAnsi="Times New Roman" w:cs="Times New Roman"/>
          <w:sz w:val="24"/>
          <w:szCs w:val="24"/>
        </w:rPr>
        <w:t> </w:t>
      </w:r>
      <w:r w:rsidRPr="00A07F29">
        <w:rPr>
          <w:rFonts w:ascii="Times New Roman" w:eastAsia="Calibri" w:hAnsi="Times New Roman" w:cs="Times New Roman"/>
          <w:sz w:val="24"/>
          <w:szCs w:val="24"/>
        </w:rPr>
        <w:t>177 “Ģenētisko resursu mežaudžu izveidošanas un apsaimniekošanas kārtība”.</w:t>
      </w:r>
      <w:r w:rsidRPr="00A07F29">
        <w:t xml:space="preserve"> </w:t>
      </w:r>
      <w:r w:rsidRPr="00A07F29">
        <w:rPr>
          <w:rFonts w:ascii="Times New Roman" w:hAnsi="Times New Roman" w:cs="Times New Roman"/>
          <w:sz w:val="24"/>
          <w:szCs w:val="24"/>
        </w:rPr>
        <w:t xml:space="preserve">Ģenētisko resursu mežaudžu mērķis ir saglabāt kokaugu ģenētisko daudzveidību un nodrošināt bāzi meža ģenētikas, selekcijas un sēklkopības pasākumiem, meža produktivitātes un kvalitātes paaugstināšanai. Lai to sasniegu, “Priedaines priedes” teritorijā jānodrošina priežu mežaudžu atjaunošana (atjaunošanās) no šajā teritorijā iegūtām priežu sēklām. Ģenētisko resursu mežaudžu apsaimniekošanai izstrādā apsaimniekošanas plānu, kur paredz nepieciešamos apsaimniekošanas pasākumus atbilstoši situācijai teritorijā. Ņemot vērā “Priedaines priedes” atrašanos </w:t>
      </w:r>
      <w:proofErr w:type="spellStart"/>
      <w:r w:rsidRPr="00A07F29">
        <w:rPr>
          <w:rFonts w:ascii="Times New Roman" w:hAnsi="Times New Roman" w:cs="Times New Roman"/>
          <w:i/>
          <w:sz w:val="24"/>
          <w:szCs w:val="24"/>
        </w:rPr>
        <w:t>Natura</w:t>
      </w:r>
      <w:proofErr w:type="spellEnd"/>
      <w:r w:rsidRPr="00A07F29">
        <w:rPr>
          <w:rFonts w:ascii="Times New Roman" w:hAnsi="Times New Roman" w:cs="Times New Roman"/>
          <w:i/>
          <w:sz w:val="24"/>
          <w:szCs w:val="24"/>
        </w:rPr>
        <w:t xml:space="preserve"> 2000</w:t>
      </w:r>
      <w:r w:rsidRPr="00A07F29">
        <w:rPr>
          <w:rFonts w:ascii="Times New Roman" w:hAnsi="Times New Roman" w:cs="Times New Roman"/>
          <w:sz w:val="24"/>
          <w:szCs w:val="24"/>
        </w:rPr>
        <w:t xml:space="preserve"> teritorijā, ģenētisko resursu mežaudzes apsaimniekošanas plānā pēc iespējas labāk jāsabalansē ģenētiskās daudzveidības un sugu un biotopu daudzveidības saglabāšanas intereses, izvēloties atbilstošākos mežaudžu apsaimniekošanas paņēmienus un intensitāti. Jāņem vērā arī “Priedaines priedes” atrašanās pie Krāslavas pilsētas, kas izceļ šo mežu ainavisko un rekreācijas vērtību.</w:t>
      </w:r>
    </w:p>
    <w:p w14:paraId="54A98918" w14:textId="1B0AB765" w:rsidR="00EC650D" w:rsidRPr="00A07F29" w:rsidRDefault="665FF0F1" w:rsidP="009572C8">
      <w:pPr>
        <w:spacing w:after="12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t>AAA “Augšdaugava” mežus būtiski ietekmē mežistrāde (</w:t>
      </w:r>
      <w:r w:rsidR="00D6485C">
        <w:rPr>
          <w:rFonts w:ascii="Times New Roman" w:hAnsi="Times New Roman" w:cs="Times New Roman"/>
          <w:sz w:val="24"/>
          <w:szCs w:val="24"/>
        </w:rPr>
        <w:t xml:space="preserve">skat. </w:t>
      </w:r>
      <w:r w:rsidRPr="00A07F29">
        <w:rPr>
          <w:rFonts w:ascii="Times New Roman" w:hAnsi="Times New Roman" w:cs="Times New Roman"/>
          <w:sz w:val="24"/>
          <w:szCs w:val="24"/>
        </w:rPr>
        <w:t>4.3.4.1.</w:t>
      </w:r>
      <w:r w:rsidR="00D6485C">
        <w:rPr>
          <w:rFonts w:ascii="Times New Roman" w:hAnsi="Times New Roman" w:cs="Times New Roman"/>
          <w:sz w:val="24"/>
          <w:szCs w:val="24"/>
        </w:rPr>
        <w:t> </w:t>
      </w:r>
      <w:r w:rsidRPr="00A07F29">
        <w:rPr>
          <w:rFonts w:ascii="Times New Roman" w:hAnsi="Times New Roman" w:cs="Times New Roman"/>
          <w:sz w:val="24"/>
          <w:szCs w:val="24"/>
        </w:rPr>
        <w:t>tabula). Kailciršu rezultātā meži tiek fragmentēti un samazinās vecu un pieaugušu mežu īpatsvars. Arī izlases cirtes DP “Daugavas loki” samazina iespēju veidoties dabiskam mežam raksturīgām struktūrām un veicina izretinātā meža aizzelšanu ar lazdām. Kopšanas un sanitārās cirtes samazina iespēju mežā veidoties mirušajai koksnei. Meža biotopus negatīvi ietekmē arī mirušās koksnes izvākšana apdzīvoto vietu tuvumā. ES nozīmes meža biotopu saglabāšanās AAA “Augšdaugava” teritorijā pašlaik ir atkarīga galvenokārt no zemes īpašnieku labās gribas un piekļuves un reljefa radītiem mežistrādes apgrūtinājumiem.</w:t>
      </w:r>
    </w:p>
    <w:p w14:paraId="17F7908E" w14:textId="783BB766" w:rsidR="00DE3224" w:rsidRPr="00A07F29" w:rsidRDefault="000228A7" w:rsidP="00EC650D">
      <w:pPr>
        <w:keepNext/>
        <w:spacing w:before="240" w:after="12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t>4.3.4.1.</w:t>
      </w:r>
      <w:r w:rsidR="002C33EC">
        <w:rPr>
          <w:rFonts w:ascii="Times New Roman" w:hAnsi="Times New Roman" w:cs="Times New Roman"/>
          <w:sz w:val="24"/>
          <w:szCs w:val="24"/>
        </w:rPr>
        <w:t> </w:t>
      </w:r>
      <w:r w:rsidRPr="00A07F29">
        <w:rPr>
          <w:rFonts w:ascii="Times New Roman" w:hAnsi="Times New Roman" w:cs="Times New Roman"/>
          <w:sz w:val="24"/>
          <w:szCs w:val="24"/>
        </w:rPr>
        <w:t>tabula. Platības, kurās izsniegti apliecinājumi koku ciršanai (VMD</w:t>
      </w:r>
      <w:r w:rsidR="007E3BA0">
        <w:rPr>
          <w:rFonts w:ascii="Times New Roman" w:hAnsi="Times New Roman" w:cs="Times New Roman"/>
          <w:sz w:val="24"/>
          <w:szCs w:val="24"/>
        </w:rPr>
        <w:t xml:space="preserve"> dati</w:t>
      </w:r>
      <w:r w:rsidRPr="00A07F29">
        <w:rPr>
          <w:rFonts w:ascii="Times New Roman" w:hAnsi="Times New Roman" w:cs="Times New Roman"/>
          <w:sz w:val="24"/>
          <w:szCs w:val="24"/>
        </w:rPr>
        <w:t>, 2020)</w:t>
      </w:r>
    </w:p>
    <w:tbl>
      <w:tblPr>
        <w:tblW w:w="70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1418"/>
        <w:gridCol w:w="1275"/>
        <w:gridCol w:w="1418"/>
      </w:tblGrid>
      <w:tr w:rsidR="000228A7" w:rsidRPr="00A07F29" w14:paraId="6277105F" w14:textId="77777777" w:rsidTr="009D1D58">
        <w:trPr>
          <w:trHeight w:val="288"/>
          <w:jc w:val="center"/>
        </w:trPr>
        <w:tc>
          <w:tcPr>
            <w:tcW w:w="2972" w:type="dxa"/>
            <w:vMerge w:val="restart"/>
            <w:shd w:val="clear" w:color="auto" w:fill="auto"/>
            <w:noWrap/>
            <w:vAlign w:val="center"/>
            <w:hideMark/>
          </w:tcPr>
          <w:p w14:paraId="590B393A" w14:textId="19725F0D" w:rsidR="000228A7" w:rsidRPr="00A07F29" w:rsidRDefault="000228A7" w:rsidP="00DE3224">
            <w:pPr>
              <w:spacing w:after="0" w:line="240" w:lineRule="auto"/>
              <w:rPr>
                <w:rFonts w:ascii="Times New Roman" w:eastAsia="Times New Roman" w:hAnsi="Times New Roman" w:cs="Times New Roman"/>
                <w:sz w:val="24"/>
                <w:szCs w:val="24"/>
              </w:rPr>
            </w:pPr>
            <w:r w:rsidRPr="00A07F29">
              <w:rPr>
                <w:rFonts w:ascii="Times New Roman" w:eastAsia="Times New Roman" w:hAnsi="Times New Roman" w:cs="Times New Roman"/>
                <w:color w:val="000000"/>
                <w:sz w:val="24"/>
                <w:szCs w:val="24"/>
              </w:rPr>
              <w:t>Cirtes veids</w:t>
            </w:r>
          </w:p>
        </w:tc>
        <w:tc>
          <w:tcPr>
            <w:tcW w:w="4111" w:type="dxa"/>
            <w:gridSpan w:val="3"/>
            <w:shd w:val="clear" w:color="auto" w:fill="auto"/>
            <w:noWrap/>
            <w:vAlign w:val="bottom"/>
            <w:hideMark/>
          </w:tcPr>
          <w:p w14:paraId="1E9F5B1C" w14:textId="77777777" w:rsidR="000228A7" w:rsidRPr="00A07F29" w:rsidRDefault="000228A7" w:rsidP="00EC650D">
            <w:pPr>
              <w:spacing w:after="0" w:line="240" w:lineRule="auto"/>
              <w:jc w:val="center"/>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Platība, ha</w:t>
            </w:r>
          </w:p>
        </w:tc>
      </w:tr>
      <w:tr w:rsidR="000228A7" w:rsidRPr="00A07F29" w14:paraId="73C70E11" w14:textId="77777777" w:rsidTr="009D1D58">
        <w:trPr>
          <w:trHeight w:val="288"/>
          <w:jc w:val="center"/>
        </w:trPr>
        <w:tc>
          <w:tcPr>
            <w:tcW w:w="2972" w:type="dxa"/>
            <w:vMerge/>
            <w:shd w:val="clear" w:color="auto" w:fill="auto"/>
            <w:noWrap/>
            <w:vAlign w:val="bottom"/>
            <w:hideMark/>
          </w:tcPr>
          <w:p w14:paraId="0CBBE621" w14:textId="12B3DEAD" w:rsidR="000228A7" w:rsidRPr="00A07F29" w:rsidRDefault="000228A7" w:rsidP="00DE3224">
            <w:pPr>
              <w:spacing w:after="0" w:line="240" w:lineRule="auto"/>
              <w:rPr>
                <w:rFonts w:ascii="Times New Roman" w:eastAsia="Times New Roman" w:hAnsi="Times New Roman" w:cs="Times New Roman"/>
                <w:color w:val="000000"/>
                <w:sz w:val="24"/>
                <w:szCs w:val="24"/>
              </w:rPr>
            </w:pPr>
          </w:p>
        </w:tc>
        <w:tc>
          <w:tcPr>
            <w:tcW w:w="1418" w:type="dxa"/>
            <w:shd w:val="clear" w:color="auto" w:fill="auto"/>
            <w:noWrap/>
            <w:vAlign w:val="bottom"/>
            <w:hideMark/>
          </w:tcPr>
          <w:p w14:paraId="1F783CC2" w14:textId="5C085980" w:rsidR="000228A7" w:rsidRPr="00A07F29" w:rsidRDefault="000228A7" w:rsidP="00EC650D">
            <w:pPr>
              <w:spacing w:after="0" w:line="240" w:lineRule="auto"/>
              <w:jc w:val="center"/>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2018. g</w:t>
            </w:r>
            <w:r w:rsidR="009D1D58">
              <w:rPr>
                <w:rFonts w:ascii="Times New Roman" w:eastAsia="Times New Roman" w:hAnsi="Times New Roman" w:cs="Times New Roman"/>
                <w:color w:val="000000"/>
                <w:sz w:val="24"/>
                <w:szCs w:val="24"/>
              </w:rPr>
              <w:t>adā</w:t>
            </w:r>
          </w:p>
        </w:tc>
        <w:tc>
          <w:tcPr>
            <w:tcW w:w="1275" w:type="dxa"/>
            <w:shd w:val="clear" w:color="auto" w:fill="auto"/>
            <w:noWrap/>
            <w:vAlign w:val="bottom"/>
            <w:hideMark/>
          </w:tcPr>
          <w:p w14:paraId="62BF9DDD" w14:textId="7EE65702" w:rsidR="000228A7" w:rsidRPr="00A07F29" w:rsidRDefault="000228A7" w:rsidP="00EC650D">
            <w:pPr>
              <w:spacing w:after="0" w:line="240" w:lineRule="auto"/>
              <w:jc w:val="center"/>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2019. g</w:t>
            </w:r>
            <w:r w:rsidR="009D1D58">
              <w:rPr>
                <w:rFonts w:ascii="Times New Roman" w:eastAsia="Times New Roman" w:hAnsi="Times New Roman" w:cs="Times New Roman"/>
                <w:color w:val="000000"/>
                <w:sz w:val="24"/>
                <w:szCs w:val="24"/>
              </w:rPr>
              <w:t>adā</w:t>
            </w:r>
          </w:p>
        </w:tc>
        <w:tc>
          <w:tcPr>
            <w:tcW w:w="1418" w:type="dxa"/>
            <w:shd w:val="clear" w:color="auto" w:fill="auto"/>
            <w:noWrap/>
            <w:vAlign w:val="bottom"/>
            <w:hideMark/>
          </w:tcPr>
          <w:p w14:paraId="6C181ABF" w14:textId="47E150AF" w:rsidR="000228A7" w:rsidRPr="00A07F29" w:rsidRDefault="000228A7" w:rsidP="00EC650D">
            <w:pPr>
              <w:spacing w:after="0" w:line="240" w:lineRule="auto"/>
              <w:jc w:val="center"/>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2020. g</w:t>
            </w:r>
            <w:r w:rsidR="009D1D58">
              <w:rPr>
                <w:rFonts w:ascii="Times New Roman" w:eastAsia="Times New Roman" w:hAnsi="Times New Roman" w:cs="Times New Roman"/>
                <w:color w:val="000000"/>
                <w:sz w:val="24"/>
                <w:szCs w:val="24"/>
              </w:rPr>
              <w:t>adā</w:t>
            </w:r>
          </w:p>
        </w:tc>
      </w:tr>
      <w:tr w:rsidR="000228A7" w:rsidRPr="00A07F29" w14:paraId="41BA2966" w14:textId="77777777" w:rsidTr="009D1D58">
        <w:trPr>
          <w:trHeight w:val="288"/>
          <w:jc w:val="center"/>
        </w:trPr>
        <w:tc>
          <w:tcPr>
            <w:tcW w:w="2972" w:type="dxa"/>
            <w:shd w:val="clear" w:color="auto" w:fill="auto"/>
            <w:noWrap/>
            <w:vAlign w:val="bottom"/>
            <w:hideMark/>
          </w:tcPr>
          <w:p w14:paraId="3673859B" w14:textId="77777777" w:rsidR="00DE3224" w:rsidRPr="00A07F29" w:rsidRDefault="00DE3224" w:rsidP="00DE3224">
            <w:pPr>
              <w:spacing w:after="0" w:line="240" w:lineRule="auto"/>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Atmežošanas</w:t>
            </w:r>
          </w:p>
        </w:tc>
        <w:tc>
          <w:tcPr>
            <w:tcW w:w="1418" w:type="dxa"/>
            <w:shd w:val="clear" w:color="auto" w:fill="auto"/>
            <w:noWrap/>
            <w:vAlign w:val="bottom"/>
            <w:hideMark/>
          </w:tcPr>
          <w:p w14:paraId="08D966A6" w14:textId="77777777" w:rsidR="00DE3224" w:rsidRPr="00A07F29" w:rsidRDefault="00DE3224" w:rsidP="00DE3224">
            <w:pPr>
              <w:spacing w:after="0" w:line="240" w:lineRule="auto"/>
              <w:rPr>
                <w:rFonts w:ascii="Times New Roman" w:eastAsia="Times New Roman" w:hAnsi="Times New Roman" w:cs="Times New Roman"/>
                <w:color w:val="000000"/>
                <w:sz w:val="24"/>
                <w:szCs w:val="24"/>
              </w:rPr>
            </w:pPr>
          </w:p>
        </w:tc>
        <w:tc>
          <w:tcPr>
            <w:tcW w:w="1275" w:type="dxa"/>
            <w:shd w:val="clear" w:color="auto" w:fill="auto"/>
            <w:noWrap/>
            <w:vAlign w:val="bottom"/>
            <w:hideMark/>
          </w:tcPr>
          <w:p w14:paraId="1743B1E5" w14:textId="77777777" w:rsidR="00DE3224" w:rsidRPr="00A07F29" w:rsidRDefault="00DE3224" w:rsidP="00DE3224">
            <w:pPr>
              <w:spacing w:after="0" w:line="240" w:lineRule="auto"/>
              <w:rPr>
                <w:rFonts w:ascii="Times New Roman" w:eastAsia="Times New Roman" w:hAnsi="Times New Roman" w:cs="Times New Roman"/>
                <w:sz w:val="24"/>
                <w:szCs w:val="24"/>
              </w:rPr>
            </w:pPr>
          </w:p>
        </w:tc>
        <w:tc>
          <w:tcPr>
            <w:tcW w:w="1418" w:type="dxa"/>
            <w:shd w:val="clear" w:color="auto" w:fill="auto"/>
            <w:noWrap/>
            <w:vAlign w:val="bottom"/>
            <w:hideMark/>
          </w:tcPr>
          <w:p w14:paraId="1B0C4B87" w14:textId="77777777" w:rsidR="00DE3224" w:rsidRPr="00A07F29" w:rsidRDefault="00DE3224" w:rsidP="00DE3224">
            <w:pPr>
              <w:spacing w:after="0" w:line="240" w:lineRule="auto"/>
              <w:jc w:val="right"/>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1.42</w:t>
            </w:r>
          </w:p>
        </w:tc>
      </w:tr>
      <w:tr w:rsidR="000228A7" w:rsidRPr="00A07F29" w14:paraId="17936548" w14:textId="77777777" w:rsidTr="009D1D58">
        <w:trPr>
          <w:trHeight w:val="288"/>
          <w:jc w:val="center"/>
        </w:trPr>
        <w:tc>
          <w:tcPr>
            <w:tcW w:w="2972" w:type="dxa"/>
            <w:shd w:val="clear" w:color="auto" w:fill="auto"/>
            <w:noWrap/>
            <w:vAlign w:val="bottom"/>
            <w:hideMark/>
          </w:tcPr>
          <w:p w14:paraId="1DD3001B" w14:textId="77777777" w:rsidR="00DE3224" w:rsidRPr="00A07F29" w:rsidRDefault="00DE3224" w:rsidP="00DE3224">
            <w:pPr>
              <w:spacing w:after="0" w:line="240" w:lineRule="auto"/>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Ceļi, meliorācijas sistēmas</w:t>
            </w:r>
          </w:p>
        </w:tc>
        <w:tc>
          <w:tcPr>
            <w:tcW w:w="1418" w:type="dxa"/>
            <w:shd w:val="clear" w:color="auto" w:fill="auto"/>
            <w:noWrap/>
            <w:vAlign w:val="bottom"/>
            <w:hideMark/>
          </w:tcPr>
          <w:p w14:paraId="42B7BB50" w14:textId="77777777" w:rsidR="00DE3224" w:rsidRPr="00A07F29" w:rsidRDefault="00DE3224" w:rsidP="00DE3224">
            <w:pPr>
              <w:spacing w:after="0" w:line="240" w:lineRule="auto"/>
              <w:jc w:val="right"/>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0.39</w:t>
            </w:r>
          </w:p>
        </w:tc>
        <w:tc>
          <w:tcPr>
            <w:tcW w:w="1275" w:type="dxa"/>
            <w:shd w:val="clear" w:color="auto" w:fill="auto"/>
            <w:noWrap/>
            <w:vAlign w:val="bottom"/>
            <w:hideMark/>
          </w:tcPr>
          <w:p w14:paraId="1D99CC0C" w14:textId="77777777" w:rsidR="00DE3224" w:rsidRPr="00A07F29" w:rsidRDefault="00DE3224" w:rsidP="00DE3224">
            <w:pPr>
              <w:spacing w:after="0" w:line="240" w:lineRule="auto"/>
              <w:jc w:val="right"/>
              <w:rPr>
                <w:rFonts w:ascii="Times New Roman" w:eastAsia="Times New Roman" w:hAnsi="Times New Roman" w:cs="Times New Roman"/>
                <w:color w:val="000000"/>
                <w:sz w:val="24"/>
                <w:szCs w:val="24"/>
              </w:rPr>
            </w:pPr>
          </w:p>
        </w:tc>
        <w:tc>
          <w:tcPr>
            <w:tcW w:w="1418" w:type="dxa"/>
            <w:shd w:val="clear" w:color="auto" w:fill="auto"/>
            <w:noWrap/>
            <w:vAlign w:val="bottom"/>
            <w:hideMark/>
          </w:tcPr>
          <w:p w14:paraId="3035B5FD" w14:textId="77777777" w:rsidR="00DE3224" w:rsidRPr="00A07F29" w:rsidRDefault="00DE3224" w:rsidP="00DE3224">
            <w:pPr>
              <w:spacing w:after="0" w:line="240" w:lineRule="auto"/>
              <w:jc w:val="right"/>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125.29</w:t>
            </w:r>
          </w:p>
        </w:tc>
      </w:tr>
      <w:tr w:rsidR="000228A7" w:rsidRPr="00A07F29" w14:paraId="3925160D" w14:textId="77777777" w:rsidTr="009D1D58">
        <w:trPr>
          <w:trHeight w:val="288"/>
          <w:jc w:val="center"/>
        </w:trPr>
        <w:tc>
          <w:tcPr>
            <w:tcW w:w="2972" w:type="dxa"/>
            <w:shd w:val="clear" w:color="auto" w:fill="auto"/>
            <w:noWrap/>
            <w:vAlign w:val="bottom"/>
            <w:hideMark/>
          </w:tcPr>
          <w:p w14:paraId="0CA141BE" w14:textId="77777777" w:rsidR="00DE3224" w:rsidRPr="00A07F29" w:rsidRDefault="00DE3224" w:rsidP="00DE3224">
            <w:pPr>
              <w:spacing w:after="0" w:line="240" w:lineRule="auto"/>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Cirte pēc VMD sanitārā atzinuma</w:t>
            </w:r>
          </w:p>
        </w:tc>
        <w:tc>
          <w:tcPr>
            <w:tcW w:w="1418" w:type="dxa"/>
            <w:shd w:val="clear" w:color="auto" w:fill="auto"/>
            <w:noWrap/>
            <w:vAlign w:val="bottom"/>
            <w:hideMark/>
          </w:tcPr>
          <w:p w14:paraId="2163CD8C" w14:textId="77777777" w:rsidR="00DE3224" w:rsidRPr="00A07F29" w:rsidRDefault="00DE3224" w:rsidP="00DE3224">
            <w:pPr>
              <w:spacing w:after="0" w:line="240" w:lineRule="auto"/>
              <w:jc w:val="right"/>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3.17</w:t>
            </w:r>
          </w:p>
        </w:tc>
        <w:tc>
          <w:tcPr>
            <w:tcW w:w="1275" w:type="dxa"/>
            <w:shd w:val="clear" w:color="auto" w:fill="auto"/>
            <w:noWrap/>
            <w:vAlign w:val="bottom"/>
            <w:hideMark/>
          </w:tcPr>
          <w:p w14:paraId="0CD13E31" w14:textId="77777777" w:rsidR="00DE3224" w:rsidRPr="00A07F29" w:rsidRDefault="00DE3224" w:rsidP="00DE3224">
            <w:pPr>
              <w:spacing w:after="0" w:line="240" w:lineRule="auto"/>
              <w:jc w:val="right"/>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1.85</w:t>
            </w:r>
          </w:p>
        </w:tc>
        <w:tc>
          <w:tcPr>
            <w:tcW w:w="1418" w:type="dxa"/>
            <w:shd w:val="clear" w:color="auto" w:fill="auto"/>
            <w:noWrap/>
            <w:vAlign w:val="bottom"/>
            <w:hideMark/>
          </w:tcPr>
          <w:p w14:paraId="524B9878" w14:textId="77777777" w:rsidR="00DE3224" w:rsidRPr="00A07F29" w:rsidRDefault="00DE3224" w:rsidP="00DE3224">
            <w:pPr>
              <w:spacing w:after="0" w:line="240" w:lineRule="auto"/>
              <w:jc w:val="right"/>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2.36</w:t>
            </w:r>
          </w:p>
        </w:tc>
      </w:tr>
      <w:tr w:rsidR="000228A7" w:rsidRPr="00A07F29" w14:paraId="50E8F702" w14:textId="77777777" w:rsidTr="009D1D58">
        <w:trPr>
          <w:trHeight w:val="288"/>
          <w:jc w:val="center"/>
        </w:trPr>
        <w:tc>
          <w:tcPr>
            <w:tcW w:w="2972" w:type="dxa"/>
            <w:shd w:val="clear" w:color="auto" w:fill="auto"/>
            <w:noWrap/>
            <w:vAlign w:val="bottom"/>
            <w:hideMark/>
          </w:tcPr>
          <w:p w14:paraId="5ECBBE1F" w14:textId="77777777" w:rsidR="00DE3224" w:rsidRPr="00A07F29" w:rsidRDefault="00DE3224" w:rsidP="00DE3224">
            <w:pPr>
              <w:spacing w:after="0" w:line="240" w:lineRule="auto"/>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Izlases cirte</w:t>
            </w:r>
          </w:p>
        </w:tc>
        <w:tc>
          <w:tcPr>
            <w:tcW w:w="1418" w:type="dxa"/>
            <w:shd w:val="clear" w:color="auto" w:fill="auto"/>
            <w:noWrap/>
            <w:vAlign w:val="bottom"/>
            <w:hideMark/>
          </w:tcPr>
          <w:p w14:paraId="49499D74" w14:textId="77777777" w:rsidR="00DE3224" w:rsidRPr="00A07F29" w:rsidRDefault="00DE3224" w:rsidP="00DE3224">
            <w:pPr>
              <w:spacing w:after="0" w:line="240" w:lineRule="auto"/>
              <w:jc w:val="right"/>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108.94</w:t>
            </w:r>
          </w:p>
        </w:tc>
        <w:tc>
          <w:tcPr>
            <w:tcW w:w="1275" w:type="dxa"/>
            <w:shd w:val="clear" w:color="auto" w:fill="auto"/>
            <w:noWrap/>
            <w:vAlign w:val="bottom"/>
            <w:hideMark/>
          </w:tcPr>
          <w:p w14:paraId="282A3E17" w14:textId="77777777" w:rsidR="00DE3224" w:rsidRPr="00A07F29" w:rsidRDefault="00DE3224" w:rsidP="00DE3224">
            <w:pPr>
              <w:spacing w:after="0" w:line="240" w:lineRule="auto"/>
              <w:jc w:val="right"/>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67.73</w:t>
            </w:r>
          </w:p>
        </w:tc>
        <w:tc>
          <w:tcPr>
            <w:tcW w:w="1418" w:type="dxa"/>
            <w:shd w:val="clear" w:color="auto" w:fill="auto"/>
            <w:noWrap/>
            <w:vAlign w:val="bottom"/>
            <w:hideMark/>
          </w:tcPr>
          <w:p w14:paraId="779CAEC0" w14:textId="77777777" w:rsidR="00DE3224" w:rsidRPr="00A07F29" w:rsidRDefault="00DE3224" w:rsidP="00DE3224">
            <w:pPr>
              <w:spacing w:after="0" w:line="240" w:lineRule="auto"/>
              <w:jc w:val="right"/>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74.49</w:t>
            </w:r>
          </w:p>
        </w:tc>
      </w:tr>
      <w:tr w:rsidR="000228A7" w:rsidRPr="00A07F29" w14:paraId="6E2FFD70" w14:textId="77777777" w:rsidTr="009D1D58">
        <w:trPr>
          <w:trHeight w:val="288"/>
          <w:jc w:val="center"/>
        </w:trPr>
        <w:tc>
          <w:tcPr>
            <w:tcW w:w="2972" w:type="dxa"/>
            <w:shd w:val="clear" w:color="auto" w:fill="auto"/>
            <w:noWrap/>
            <w:vAlign w:val="bottom"/>
            <w:hideMark/>
          </w:tcPr>
          <w:p w14:paraId="1458D9ED" w14:textId="77777777" w:rsidR="00DE3224" w:rsidRPr="00A07F29" w:rsidRDefault="00DE3224" w:rsidP="00DE3224">
            <w:pPr>
              <w:spacing w:after="0" w:line="240" w:lineRule="auto"/>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Izlases cirte (citas)</w:t>
            </w:r>
          </w:p>
        </w:tc>
        <w:tc>
          <w:tcPr>
            <w:tcW w:w="1418" w:type="dxa"/>
            <w:shd w:val="clear" w:color="auto" w:fill="auto"/>
            <w:noWrap/>
            <w:vAlign w:val="bottom"/>
            <w:hideMark/>
          </w:tcPr>
          <w:p w14:paraId="2FAD168A" w14:textId="77777777" w:rsidR="00DE3224" w:rsidRPr="00A07F29" w:rsidRDefault="00DE3224" w:rsidP="00DE3224">
            <w:pPr>
              <w:spacing w:after="0" w:line="240" w:lineRule="auto"/>
              <w:rPr>
                <w:rFonts w:ascii="Times New Roman" w:eastAsia="Times New Roman" w:hAnsi="Times New Roman" w:cs="Times New Roman"/>
                <w:color w:val="000000"/>
                <w:sz w:val="24"/>
                <w:szCs w:val="24"/>
              </w:rPr>
            </w:pPr>
          </w:p>
        </w:tc>
        <w:tc>
          <w:tcPr>
            <w:tcW w:w="1275" w:type="dxa"/>
            <w:shd w:val="clear" w:color="auto" w:fill="auto"/>
            <w:noWrap/>
            <w:vAlign w:val="bottom"/>
            <w:hideMark/>
          </w:tcPr>
          <w:p w14:paraId="1E4683E0" w14:textId="77777777" w:rsidR="00DE3224" w:rsidRPr="00A07F29" w:rsidRDefault="00DE3224" w:rsidP="00DE3224">
            <w:pPr>
              <w:spacing w:after="0" w:line="240" w:lineRule="auto"/>
              <w:jc w:val="right"/>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1.49</w:t>
            </w:r>
          </w:p>
        </w:tc>
        <w:tc>
          <w:tcPr>
            <w:tcW w:w="1418" w:type="dxa"/>
            <w:shd w:val="clear" w:color="auto" w:fill="auto"/>
            <w:noWrap/>
            <w:vAlign w:val="bottom"/>
            <w:hideMark/>
          </w:tcPr>
          <w:p w14:paraId="123DF6C1" w14:textId="77777777" w:rsidR="00DE3224" w:rsidRPr="00A07F29" w:rsidRDefault="00DE3224" w:rsidP="00DE3224">
            <w:pPr>
              <w:spacing w:after="0" w:line="240" w:lineRule="auto"/>
              <w:jc w:val="right"/>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117.35</w:t>
            </w:r>
          </w:p>
        </w:tc>
      </w:tr>
      <w:tr w:rsidR="000228A7" w:rsidRPr="00A07F29" w14:paraId="40DA17FC" w14:textId="77777777" w:rsidTr="009D1D58">
        <w:trPr>
          <w:trHeight w:val="288"/>
          <w:jc w:val="center"/>
        </w:trPr>
        <w:tc>
          <w:tcPr>
            <w:tcW w:w="2972" w:type="dxa"/>
            <w:shd w:val="clear" w:color="auto" w:fill="auto"/>
            <w:noWrap/>
            <w:vAlign w:val="bottom"/>
            <w:hideMark/>
          </w:tcPr>
          <w:p w14:paraId="421A9BC9" w14:textId="77777777" w:rsidR="00DE3224" w:rsidRPr="00A07F29" w:rsidRDefault="00DE3224" w:rsidP="00DE3224">
            <w:pPr>
              <w:spacing w:after="0" w:line="240" w:lineRule="auto"/>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Kailcirte</w:t>
            </w:r>
          </w:p>
        </w:tc>
        <w:tc>
          <w:tcPr>
            <w:tcW w:w="1418" w:type="dxa"/>
            <w:shd w:val="clear" w:color="auto" w:fill="auto"/>
            <w:noWrap/>
            <w:vAlign w:val="bottom"/>
            <w:hideMark/>
          </w:tcPr>
          <w:p w14:paraId="11D74FA7" w14:textId="77777777" w:rsidR="00DE3224" w:rsidRPr="00A07F29" w:rsidRDefault="00DE3224" w:rsidP="00DE3224">
            <w:pPr>
              <w:spacing w:after="0" w:line="240" w:lineRule="auto"/>
              <w:jc w:val="right"/>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142.77</w:t>
            </w:r>
          </w:p>
        </w:tc>
        <w:tc>
          <w:tcPr>
            <w:tcW w:w="1275" w:type="dxa"/>
            <w:shd w:val="clear" w:color="auto" w:fill="auto"/>
            <w:noWrap/>
            <w:vAlign w:val="bottom"/>
            <w:hideMark/>
          </w:tcPr>
          <w:p w14:paraId="0C178726" w14:textId="77777777" w:rsidR="00DE3224" w:rsidRPr="00A07F29" w:rsidRDefault="00DE3224" w:rsidP="00DE3224">
            <w:pPr>
              <w:spacing w:after="0" w:line="240" w:lineRule="auto"/>
              <w:jc w:val="right"/>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215.01</w:t>
            </w:r>
          </w:p>
        </w:tc>
        <w:tc>
          <w:tcPr>
            <w:tcW w:w="1418" w:type="dxa"/>
            <w:shd w:val="clear" w:color="auto" w:fill="auto"/>
            <w:noWrap/>
            <w:vAlign w:val="bottom"/>
            <w:hideMark/>
          </w:tcPr>
          <w:p w14:paraId="7DA8693C" w14:textId="77777777" w:rsidR="00DE3224" w:rsidRPr="00A07F29" w:rsidRDefault="00DE3224" w:rsidP="00DE3224">
            <w:pPr>
              <w:spacing w:after="0" w:line="240" w:lineRule="auto"/>
              <w:jc w:val="right"/>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302.49</w:t>
            </w:r>
          </w:p>
        </w:tc>
      </w:tr>
      <w:tr w:rsidR="000228A7" w:rsidRPr="00A07F29" w14:paraId="5049F0C2" w14:textId="77777777" w:rsidTr="009D1D58">
        <w:trPr>
          <w:trHeight w:val="288"/>
          <w:jc w:val="center"/>
        </w:trPr>
        <w:tc>
          <w:tcPr>
            <w:tcW w:w="2972" w:type="dxa"/>
            <w:shd w:val="clear" w:color="auto" w:fill="auto"/>
            <w:vAlign w:val="bottom"/>
            <w:hideMark/>
          </w:tcPr>
          <w:p w14:paraId="09D6FBB0" w14:textId="77777777" w:rsidR="00DE3224" w:rsidRPr="00A07F29" w:rsidRDefault="00DE3224" w:rsidP="00DE3224">
            <w:pPr>
              <w:spacing w:after="0" w:line="240" w:lineRule="auto"/>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Kokmateriālu krautuves, pievešanas ceļi</w:t>
            </w:r>
          </w:p>
        </w:tc>
        <w:tc>
          <w:tcPr>
            <w:tcW w:w="1418" w:type="dxa"/>
            <w:shd w:val="clear" w:color="auto" w:fill="auto"/>
            <w:noWrap/>
            <w:vAlign w:val="bottom"/>
            <w:hideMark/>
          </w:tcPr>
          <w:p w14:paraId="178239F3" w14:textId="77777777" w:rsidR="00DE3224" w:rsidRPr="00A07F29" w:rsidRDefault="00DE3224" w:rsidP="00DE3224">
            <w:pPr>
              <w:spacing w:after="0" w:line="240" w:lineRule="auto"/>
              <w:jc w:val="right"/>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10.60</w:t>
            </w:r>
          </w:p>
        </w:tc>
        <w:tc>
          <w:tcPr>
            <w:tcW w:w="1275" w:type="dxa"/>
            <w:shd w:val="clear" w:color="auto" w:fill="auto"/>
            <w:noWrap/>
            <w:vAlign w:val="bottom"/>
            <w:hideMark/>
          </w:tcPr>
          <w:p w14:paraId="79F5DCCA" w14:textId="77777777" w:rsidR="00DE3224" w:rsidRPr="00A07F29" w:rsidRDefault="00DE3224" w:rsidP="00DE3224">
            <w:pPr>
              <w:spacing w:after="0" w:line="240" w:lineRule="auto"/>
              <w:jc w:val="right"/>
              <w:rPr>
                <w:rFonts w:ascii="Times New Roman" w:eastAsia="Times New Roman" w:hAnsi="Times New Roman" w:cs="Times New Roman"/>
                <w:color w:val="000000"/>
                <w:sz w:val="24"/>
                <w:szCs w:val="24"/>
              </w:rPr>
            </w:pPr>
          </w:p>
        </w:tc>
        <w:tc>
          <w:tcPr>
            <w:tcW w:w="1418" w:type="dxa"/>
            <w:shd w:val="clear" w:color="auto" w:fill="auto"/>
            <w:noWrap/>
            <w:vAlign w:val="bottom"/>
            <w:hideMark/>
          </w:tcPr>
          <w:p w14:paraId="68243674" w14:textId="77777777" w:rsidR="00DE3224" w:rsidRPr="00A07F29" w:rsidRDefault="00DE3224" w:rsidP="00DE3224">
            <w:pPr>
              <w:spacing w:after="0" w:line="240" w:lineRule="auto"/>
              <w:jc w:val="right"/>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64.34</w:t>
            </w:r>
          </w:p>
        </w:tc>
      </w:tr>
      <w:tr w:rsidR="000228A7" w:rsidRPr="00A07F29" w14:paraId="4AD88A02" w14:textId="77777777" w:rsidTr="009D1D58">
        <w:trPr>
          <w:trHeight w:val="288"/>
          <w:jc w:val="center"/>
        </w:trPr>
        <w:tc>
          <w:tcPr>
            <w:tcW w:w="2972" w:type="dxa"/>
            <w:shd w:val="clear" w:color="auto" w:fill="auto"/>
            <w:noWrap/>
            <w:vAlign w:val="bottom"/>
            <w:hideMark/>
          </w:tcPr>
          <w:p w14:paraId="3FA61C8A" w14:textId="77777777" w:rsidR="00DE3224" w:rsidRPr="00A07F29" w:rsidRDefault="00DE3224" w:rsidP="00DE3224">
            <w:pPr>
              <w:spacing w:after="0" w:line="240" w:lineRule="auto"/>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Kopšanas cirte</w:t>
            </w:r>
          </w:p>
        </w:tc>
        <w:tc>
          <w:tcPr>
            <w:tcW w:w="1418" w:type="dxa"/>
            <w:shd w:val="clear" w:color="auto" w:fill="auto"/>
            <w:noWrap/>
            <w:vAlign w:val="bottom"/>
            <w:hideMark/>
          </w:tcPr>
          <w:p w14:paraId="62A1C0B5" w14:textId="77777777" w:rsidR="00DE3224" w:rsidRPr="00A07F29" w:rsidRDefault="00DE3224" w:rsidP="00DE3224">
            <w:pPr>
              <w:spacing w:after="0" w:line="240" w:lineRule="auto"/>
              <w:jc w:val="right"/>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391.15</w:t>
            </w:r>
          </w:p>
        </w:tc>
        <w:tc>
          <w:tcPr>
            <w:tcW w:w="1275" w:type="dxa"/>
            <w:shd w:val="clear" w:color="auto" w:fill="auto"/>
            <w:noWrap/>
            <w:vAlign w:val="bottom"/>
            <w:hideMark/>
          </w:tcPr>
          <w:p w14:paraId="726AD324" w14:textId="77777777" w:rsidR="00DE3224" w:rsidRPr="00A07F29" w:rsidRDefault="00DE3224" w:rsidP="00DE3224">
            <w:pPr>
              <w:spacing w:after="0" w:line="240" w:lineRule="auto"/>
              <w:jc w:val="right"/>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322.07</w:t>
            </w:r>
          </w:p>
        </w:tc>
        <w:tc>
          <w:tcPr>
            <w:tcW w:w="1418" w:type="dxa"/>
            <w:shd w:val="clear" w:color="auto" w:fill="auto"/>
            <w:noWrap/>
            <w:vAlign w:val="bottom"/>
            <w:hideMark/>
          </w:tcPr>
          <w:p w14:paraId="073301CB" w14:textId="77777777" w:rsidR="00DE3224" w:rsidRPr="00A07F29" w:rsidRDefault="00DE3224" w:rsidP="00DE3224">
            <w:pPr>
              <w:spacing w:after="0" w:line="240" w:lineRule="auto"/>
              <w:jc w:val="right"/>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494.46</w:t>
            </w:r>
          </w:p>
        </w:tc>
      </w:tr>
      <w:tr w:rsidR="000228A7" w:rsidRPr="00A07F29" w14:paraId="02883253" w14:textId="77777777" w:rsidTr="009D1D58">
        <w:trPr>
          <w:trHeight w:val="288"/>
          <w:jc w:val="center"/>
        </w:trPr>
        <w:tc>
          <w:tcPr>
            <w:tcW w:w="2972" w:type="dxa"/>
            <w:shd w:val="clear" w:color="auto" w:fill="auto"/>
            <w:noWrap/>
            <w:vAlign w:val="bottom"/>
            <w:hideMark/>
          </w:tcPr>
          <w:p w14:paraId="70335095" w14:textId="77777777" w:rsidR="00DE3224" w:rsidRPr="00A07F29" w:rsidRDefault="00DE3224" w:rsidP="00DE3224">
            <w:pPr>
              <w:spacing w:after="0" w:line="240" w:lineRule="auto"/>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Sanitārā cirte</w:t>
            </w:r>
          </w:p>
        </w:tc>
        <w:tc>
          <w:tcPr>
            <w:tcW w:w="1418" w:type="dxa"/>
            <w:shd w:val="clear" w:color="auto" w:fill="auto"/>
            <w:noWrap/>
            <w:vAlign w:val="bottom"/>
            <w:hideMark/>
          </w:tcPr>
          <w:p w14:paraId="7BA74682" w14:textId="77777777" w:rsidR="00DE3224" w:rsidRPr="00A07F29" w:rsidRDefault="00DE3224" w:rsidP="00DE3224">
            <w:pPr>
              <w:spacing w:after="0" w:line="240" w:lineRule="auto"/>
              <w:jc w:val="right"/>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230.23</w:t>
            </w:r>
          </w:p>
        </w:tc>
        <w:tc>
          <w:tcPr>
            <w:tcW w:w="1275" w:type="dxa"/>
            <w:shd w:val="clear" w:color="auto" w:fill="auto"/>
            <w:noWrap/>
            <w:vAlign w:val="bottom"/>
            <w:hideMark/>
          </w:tcPr>
          <w:p w14:paraId="5B48D619" w14:textId="77777777" w:rsidR="00DE3224" w:rsidRPr="00A07F29" w:rsidRDefault="00DE3224" w:rsidP="00DE3224">
            <w:pPr>
              <w:spacing w:after="0" w:line="240" w:lineRule="auto"/>
              <w:jc w:val="right"/>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191.50</w:t>
            </w:r>
          </w:p>
        </w:tc>
        <w:tc>
          <w:tcPr>
            <w:tcW w:w="1418" w:type="dxa"/>
            <w:shd w:val="clear" w:color="auto" w:fill="auto"/>
            <w:noWrap/>
            <w:vAlign w:val="bottom"/>
            <w:hideMark/>
          </w:tcPr>
          <w:p w14:paraId="144A5414" w14:textId="77777777" w:rsidR="00DE3224" w:rsidRPr="00A07F29" w:rsidRDefault="00DE3224" w:rsidP="00DE3224">
            <w:pPr>
              <w:spacing w:after="0" w:line="240" w:lineRule="auto"/>
              <w:jc w:val="right"/>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370.62</w:t>
            </w:r>
          </w:p>
        </w:tc>
      </w:tr>
    </w:tbl>
    <w:p w14:paraId="7F7E2086" w14:textId="2BFA01E6" w:rsidR="002B1603" w:rsidRPr="00A07F29" w:rsidRDefault="002B1603" w:rsidP="007714A0">
      <w:pPr>
        <w:keepNext/>
        <w:keepLines/>
        <w:spacing w:before="240" w:after="120" w:line="240" w:lineRule="auto"/>
        <w:jc w:val="both"/>
        <w:outlineLvl w:val="3"/>
        <w:rPr>
          <w:rFonts w:ascii="Times New Roman" w:eastAsia="Calibri" w:hAnsi="Times New Roman" w:cs="Times New Roman"/>
          <w:b/>
          <w:bCs/>
          <w:i/>
          <w:iCs/>
          <w:sz w:val="24"/>
          <w:szCs w:val="24"/>
          <w:lang w:eastAsia="lv-LV"/>
        </w:rPr>
      </w:pPr>
      <w:r w:rsidRPr="00A07F29">
        <w:rPr>
          <w:rFonts w:ascii="Times New Roman" w:eastAsia="Calibri" w:hAnsi="Times New Roman" w:cs="Times New Roman"/>
          <w:b/>
          <w:bCs/>
          <w:sz w:val="24"/>
          <w:szCs w:val="24"/>
          <w:lang w:eastAsia="lv-LV"/>
        </w:rPr>
        <w:t xml:space="preserve">9010* </w:t>
      </w:r>
      <w:r w:rsidRPr="00A07F29">
        <w:rPr>
          <w:rFonts w:ascii="Times New Roman" w:eastAsia="Calibri" w:hAnsi="Times New Roman" w:cs="Times New Roman"/>
          <w:b/>
          <w:bCs/>
          <w:i/>
          <w:iCs/>
          <w:sz w:val="24"/>
          <w:szCs w:val="24"/>
          <w:lang w:eastAsia="lv-LV"/>
        </w:rPr>
        <w:t xml:space="preserve">Veci vai dabiski </w:t>
      </w:r>
      <w:proofErr w:type="spellStart"/>
      <w:r w:rsidRPr="00A07F29">
        <w:rPr>
          <w:rFonts w:ascii="Times New Roman" w:eastAsia="Calibri" w:hAnsi="Times New Roman" w:cs="Times New Roman"/>
          <w:b/>
          <w:bCs/>
          <w:i/>
          <w:iCs/>
          <w:sz w:val="24"/>
          <w:szCs w:val="24"/>
          <w:lang w:eastAsia="lv-LV"/>
        </w:rPr>
        <w:t>boreāli</w:t>
      </w:r>
      <w:proofErr w:type="spellEnd"/>
      <w:r w:rsidRPr="00A07F29">
        <w:rPr>
          <w:rFonts w:ascii="Times New Roman" w:eastAsia="Calibri" w:hAnsi="Times New Roman" w:cs="Times New Roman"/>
          <w:b/>
          <w:bCs/>
          <w:i/>
          <w:iCs/>
          <w:sz w:val="24"/>
          <w:szCs w:val="24"/>
          <w:lang w:eastAsia="lv-LV"/>
        </w:rPr>
        <w:t xml:space="preserve"> meži </w:t>
      </w:r>
    </w:p>
    <w:p w14:paraId="773D17E4" w14:textId="1D3DF769" w:rsidR="006F6D8D" w:rsidRPr="00A07F29" w:rsidRDefault="00276086" w:rsidP="007714A0">
      <w:pPr>
        <w:autoSpaceDE w:val="0"/>
        <w:autoSpaceDN w:val="0"/>
        <w:adjustRightInd w:val="0"/>
        <w:spacing w:after="120" w:line="240" w:lineRule="auto"/>
        <w:ind w:firstLine="851"/>
        <w:jc w:val="both"/>
        <w:rPr>
          <w:rFonts w:ascii="Times New Roman" w:eastAsia="Calibri" w:hAnsi="Times New Roman" w:cs="Times New Roman"/>
          <w:color w:val="000000" w:themeColor="text1"/>
          <w:sz w:val="24"/>
          <w:szCs w:val="24"/>
        </w:rPr>
      </w:pPr>
      <w:r w:rsidRPr="00D6051F">
        <w:rPr>
          <w:rFonts w:ascii="Times New Roman" w:eastAsia="Calibri" w:hAnsi="Times New Roman" w:cs="Times New Roman"/>
          <w:sz w:val="24"/>
          <w:szCs w:val="24"/>
        </w:rPr>
        <w:t>Šis biotops</w:t>
      </w:r>
      <w:r w:rsidRPr="00A07F29">
        <w:rPr>
          <w:rFonts w:ascii="Times New Roman" w:eastAsia="Calibri" w:hAnsi="Times New Roman" w:cs="Times New Roman"/>
          <w:sz w:val="24"/>
          <w:szCs w:val="24"/>
        </w:rPr>
        <w:t xml:space="preserve"> AAA </w:t>
      </w:r>
      <w:r w:rsidR="00A92950">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Augšdaugava” </w:t>
      </w:r>
      <w:r w:rsidR="006F6D8D" w:rsidRPr="00A07F29">
        <w:rPr>
          <w:rFonts w:ascii="Times New Roman" w:eastAsia="Calibri" w:hAnsi="Times New Roman" w:cs="Times New Roman"/>
          <w:sz w:val="24"/>
          <w:szCs w:val="24"/>
        </w:rPr>
        <w:t>konstatēts</w:t>
      </w:r>
      <w:r w:rsidRPr="00A07F29">
        <w:rPr>
          <w:rFonts w:ascii="Times New Roman" w:eastAsia="Calibri" w:hAnsi="Times New Roman" w:cs="Times New Roman"/>
          <w:sz w:val="24"/>
          <w:szCs w:val="24"/>
        </w:rPr>
        <w:t xml:space="preserve"> </w:t>
      </w:r>
      <w:r w:rsidR="00983FDA" w:rsidRPr="00A07F29">
        <w:rPr>
          <w:rFonts w:ascii="Times New Roman" w:eastAsia="Calibri" w:hAnsi="Times New Roman" w:cs="Times New Roman"/>
          <w:sz w:val="24"/>
          <w:szCs w:val="24"/>
        </w:rPr>
        <w:t>1071,98</w:t>
      </w:r>
      <w:r w:rsidR="00A92950">
        <w:rPr>
          <w:rFonts w:ascii="Times New Roman" w:eastAsia="Calibri" w:hAnsi="Times New Roman" w:cs="Times New Roman"/>
          <w:sz w:val="24"/>
          <w:szCs w:val="24"/>
        </w:rPr>
        <w:t> </w:t>
      </w:r>
      <w:r w:rsidRPr="00A07F29">
        <w:rPr>
          <w:rFonts w:ascii="Times New Roman" w:eastAsia="Calibri" w:hAnsi="Times New Roman" w:cs="Times New Roman"/>
          <w:sz w:val="24"/>
          <w:szCs w:val="24"/>
        </w:rPr>
        <w:t>ha lielā platībā, kas veido 2,0</w:t>
      </w:r>
      <w:r w:rsidR="0064731D" w:rsidRPr="00A07F29">
        <w:rPr>
          <w:rFonts w:ascii="Times New Roman" w:eastAsia="Calibri" w:hAnsi="Times New Roman" w:cs="Times New Roman"/>
          <w:sz w:val="24"/>
          <w:szCs w:val="24"/>
        </w:rPr>
        <w:t>6</w:t>
      </w:r>
      <w:r w:rsidR="00A92950">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 no aizsargājamās teritorijas kopējās platības. </w:t>
      </w:r>
      <w:r w:rsidRPr="00A07F29">
        <w:rPr>
          <w:rFonts w:ascii="Times New Roman" w:eastAsia="Calibri" w:hAnsi="Times New Roman" w:cs="Times New Roman"/>
          <w:color w:val="000000" w:themeColor="text1"/>
          <w:sz w:val="24"/>
          <w:szCs w:val="24"/>
        </w:rPr>
        <w:t>Lielāk</w:t>
      </w:r>
      <w:r w:rsidR="006F6D8D" w:rsidRPr="00A07F29">
        <w:rPr>
          <w:rFonts w:ascii="Times New Roman" w:eastAsia="Calibri" w:hAnsi="Times New Roman" w:cs="Times New Roman"/>
          <w:color w:val="000000" w:themeColor="text1"/>
          <w:sz w:val="24"/>
          <w:szCs w:val="24"/>
        </w:rPr>
        <w:t>ajai</w:t>
      </w:r>
      <w:r w:rsidRPr="00A07F29">
        <w:rPr>
          <w:rFonts w:ascii="Times New Roman" w:eastAsia="Calibri" w:hAnsi="Times New Roman" w:cs="Times New Roman"/>
          <w:color w:val="000000" w:themeColor="text1"/>
          <w:sz w:val="24"/>
          <w:szCs w:val="24"/>
        </w:rPr>
        <w:t xml:space="preserve"> daļa</w:t>
      </w:r>
      <w:r w:rsidR="006F6D8D" w:rsidRPr="00A07F29">
        <w:rPr>
          <w:rFonts w:ascii="Times New Roman" w:eastAsia="Calibri" w:hAnsi="Times New Roman" w:cs="Times New Roman"/>
          <w:color w:val="000000" w:themeColor="text1"/>
          <w:sz w:val="24"/>
          <w:szCs w:val="24"/>
        </w:rPr>
        <w:t>i</w:t>
      </w:r>
      <w:r w:rsidRPr="00A07F29">
        <w:rPr>
          <w:rFonts w:ascii="Times New Roman" w:eastAsia="Calibri" w:hAnsi="Times New Roman" w:cs="Times New Roman"/>
          <w:color w:val="000000" w:themeColor="text1"/>
          <w:sz w:val="24"/>
          <w:szCs w:val="24"/>
        </w:rPr>
        <w:t xml:space="preserve"> no 9010*</w:t>
      </w:r>
      <w:r w:rsidR="004C3868">
        <w:rPr>
          <w:rFonts w:ascii="Times New Roman" w:eastAsia="Calibri" w:hAnsi="Times New Roman" w:cs="Times New Roman"/>
          <w:color w:val="000000" w:themeColor="text1"/>
          <w:sz w:val="24"/>
          <w:szCs w:val="24"/>
        </w:rPr>
        <w:t> </w:t>
      </w:r>
      <w:r w:rsidRPr="00A07F29">
        <w:rPr>
          <w:rFonts w:ascii="Times New Roman" w:eastAsia="Calibri" w:hAnsi="Times New Roman" w:cs="Times New Roman"/>
          <w:i/>
          <w:iCs/>
          <w:color w:val="000000" w:themeColor="text1"/>
          <w:sz w:val="24"/>
          <w:szCs w:val="24"/>
        </w:rPr>
        <w:t xml:space="preserve">Veci vai dabiski </w:t>
      </w:r>
      <w:proofErr w:type="spellStart"/>
      <w:r w:rsidRPr="00A07F29">
        <w:rPr>
          <w:rFonts w:ascii="Times New Roman" w:eastAsia="Calibri" w:hAnsi="Times New Roman" w:cs="Times New Roman"/>
          <w:i/>
          <w:iCs/>
          <w:color w:val="000000" w:themeColor="text1"/>
          <w:sz w:val="24"/>
          <w:szCs w:val="24"/>
        </w:rPr>
        <w:t>boreāli</w:t>
      </w:r>
      <w:proofErr w:type="spellEnd"/>
      <w:r w:rsidRPr="00A07F29">
        <w:rPr>
          <w:rFonts w:ascii="Times New Roman" w:eastAsia="Calibri" w:hAnsi="Times New Roman" w:cs="Times New Roman"/>
          <w:i/>
          <w:iCs/>
          <w:color w:val="000000" w:themeColor="text1"/>
          <w:sz w:val="24"/>
          <w:szCs w:val="24"/>
        </w:rPr>
        <w:t xml:space="preserve"> meži </w:t>
      </w:r>
      <w:r w:rsidR="006F6D8D" w:rsidRPr="00A07F29">
        <w:rPr>
          <w:rFonts w:ascii="Times New Roman" w:eastAsia="Calibri" w:hAnsi="Times New Roman" w:cs="Times New Roman"/>
          <w:color w:val="000000" w:themeColor="text1"/>
          <w:sz w:val="24"/>
          <w:szCs w:val="24"/>
        </w:rPr>
        <w:t xml:space="preserve">poligoniem </w:t>
      </w:r>
      <w:r w:rsidRPr="00A07F29">
        <w:rPr>
          <w:rFonts w:ascii="Times New Roman" w:eastAsia="Calibri" w:hAnsi="Times New Roman" w:cs="Times New Roman"/>
          <w:color w:val="000000" w:themeColor="text1"/>
          <w:sz w:val="24"/>
          <w:szCs w:val="24"/>
        </w:rPr>
        <w:t>konstatēta vidēja</w:t>
      </w:r>
      <w:r w:rsidR="006F6D8D" w:rsidRPr="00A07F29">
        <w:rPr>
          <w:rFonts w:ascii="Times New Roman" w:eastAsia="Calibri" w:hAnsi="Times New Roman" w:cs="Times New Roman"/>
          <w:color w:val="000000" w:themeColor="text1"/>
          <w:sz w:val="24"/>
          <w:szCs w:val="24"/>
        </w:rPr>
        <w:t xml:space="preserve"> kvalitāte</w:t>
      </w:r>
      <w:r w:rsidRPr="00A07F29">
        <w:rPr>
          <w:rFonts w:ascii="Times New Roman" w:eastAsia="Calibri" w:hAnsi="Times New Roman" w:cs="Times New Roman"/>
          <w:color w:val="000000" w:themeColor="text1"/>
          <w:sz w:val="24"/>
          <w:szCs w:val="24"/>
        </w:rPr>
        <w:t xml:space="preserve"> un tie atbilst PDMB. DMB ar labu kvalitāt</w:t>
      </w:r>
      <w:r w:rsidR="00B93E61">
        <w:rPr>
          <w:rFonts w:ascii="Times New Roman" w:eastAsia="Calibri" w:hAnsi="Times New Roman" w:cs="Times New Roman"/>
          <w:color w:val="000000" w:themeColor="text1"/>
          <w:sz w:val="24"/>
          <w:szCs w:val="24"/>
        </w:rPr>
        <w:t>i</w:t>
      </w:r>
      <w:r w:rsidRPr="00A07F29">
        <w:rPr>
          <w:rFonts w:ascii="Times New Roman" w:eastAsia="Calibri" w:hAnsi="Times New Roman" w:cs="Times New Roman"/>
          <w:color w:val="000000" w:themeColor="text1"/>
          <w:sz w:val="24"/>
          <w:szCs w:val="24"/>
        </w:rPr>
        <w:t xml:space="preserve"> konstatēti 322,60</w:t>
      </w:r>
      <w:r w:rsidR="00B93E61">
        <w:rPr>
          <w:rFonts w:ascii="Times New Roman" w:eastAsia="Calibri" w:hAnsi="Times New Roman" w:cs="Times New Roman"/>
          <w:color w:val="000000" w:themeColor="text1"/>
          <w:sz w:val="24"/>
          <w:szCs w:val="24"/>
        </w:rPr>
        <w:t> </w:t>
      </w:r>
      <w:r w:rsidRPr="00A07F29">
        <w:rPr>
          <w:rFonts w:ascii="Times New Roman" w:eastAsia="Calibri" w:hAnsi="Times New Roman" w:cs="Times New Roman"/>
          <w:color w:val="000000" w:themeColor="text1"/>
          <w:sz w:val="24"/>
          <w:szCs w:val="24"/>
        </w:rPr>
        <w:t xml:space="preserve">ha, bet </w:t>
      </w:r>
      <w:r w:rsidR="006F6D8D" w:rsidRPr="00A07F29">
        <w:rPr>
          <w:rFonts w:ascii="Times New Roman" w:eastAsia="Calibri" w:hAnsi="Times New Roman" w:cs="Times New Roman"/>
          <w:color w:val="000000" w:themeColor="text1"/>
          <w:sz w:val="24"/>
          <w:szCs w:val="24"/>
        </w:rPr>
        <w:t>ar izcilu kvalitāti – 16,20</w:t>
      </w:r>
      <w:r w:rsidR="00B93E61">
        <w:rPr>
          <w:rFonts w:ascii="Times New Roman" w:eastAsia="Calibri" w:hAnsi="Times New Roman" w:cs="Times New Roman"/>
          <w:color w:val="000000" w:themeColor="text1"/>
          <w:sz w:val="24"/>
          <w:szCs w:val="24"/>
        </w:rPr>
        <w:t> </w:t>
      </w:r>
      <w:r w:rsidR="006F6D8D" w:rsidRPr="00A07F29">
        <w:rPr>
          <w:rFonts w:ascii="Times New Roman" w:eastAsia="Calibri" w:hAnsi="Times New Roman" w:cs="Times New Roman"/>
          <w:color w:val="000000" w:themeColor="text1"/>
          <w:sz w:val="24"/>
          <w:szCs w:val="24"/>
        </w:rPr>
        <w:t xml:space="preserve">ha, kas atbilst Latvijas </w:t>
      </w:r>
      <w:r w:rsidR="004938A9">
        <w:rPr>
          <w:rFonts w:ascii="Times New Roman" w:eastAsia="Calibri" w:hAnsi="Times New Roman" w:cs="Times New Roman"/>
          <w:color w:val="000000" w:themeColor="text1"/>
          <w:sz w:val="24"/>
          <w:szCs w:val="24"/>
        </w:rPr>
        <w:t>īpaši aizsargājamam</w:t>
      </w:r>
      <w:r w:rsidR="006F6D8D" w:rsidRPr="00A07F29">
        <w:rPr>
          <w:rFonts w:ascii="Times New Roman" w:eastAsia="Calibri" w:hAnsi="Times New Roman" w:cs="Times New Roman"/>
          <w:color w:val="000000" w:themeColor="text1"/>
          <w:sz w:val="24"/>
          <w:szCs w:val="24"/>
        </w:rPr>
        <w:t xml:space="preserve"> biotopam </w:t>
      </w:r>
      <w:r w:rsidR="006F6D8D" w:rsidRPr="002F194B">
        <w:rPr>
          <w:rFonts w:ascii="Times New Roman" w:eastAsia="Calibri" w:hAnsi="Times New Roman" w:cs="Times New Roman"/>
          <w:i/>
          <w:color w:val="000000" w:themeColor="text1"/>
          <w:sz w:val="24"/>
          <w:szCs w:val="24"/>
        </w:rPr>
        <w:t>1.14.</w:t>
      </w:r>
      <w:r w:rsidR="00B93E61">
        <w:rPr>
          <w:rFonts w:ascii="Times New Roman" w:eastAsia="Calibri" w:hAnsi="Times New Roman" w:cs="Times New Roman"/>
          <w:i/>
          <w:iCs/>
          <w:color w:val="000000" w:themeColor="text1"/>
          <w:sz w:val="24"/>
          <w:szCs w:val="24"/>
        </w:rPr>
        <w:t> </w:t>
      </w:r>
      <w:r w:rsidR="006F6D8D" w:rsidRPr="00A07F29">
        <w:rPr>
          <w:rFonts w:ascii="Times New Roman" w:hAnsi="Times New Roman" w:cs="Times New Roman"/>
          <w:bCs/>
          <w:i/>
          <w:sz w:val="24"/>
          <w:szCs w:val="24"/>
          <w:shd w:val="clear" w:color="auto" w:fill="FFFFFF"/>
        </w:rPr>
        <w:t xml:space="preserve">Veci vai dabiski </w:t>
      </w:r>
      <w:proofErr w:type="spellStart"/>
      <w:r w:rsidR="006F6D8D" w:rsidRPr="00A07F29">
        <w:rPr>
          <w:rFonts w:ascii="Times New Roman" w:hAnsi="Times New Roman" w:cs="Times New Roman"/>
          <w:bCs/>
          <w:i/>
          <w:sz w:val="24"/>
          <w:szCs w:val="24"/>
          <w:shd w:val="clear" w:color="auto" w:fill="FFFFFF"/>
        </w:rPr>
        <w:t>boreālie</w:t>
      </w:r>
      <w:proofErr w:type="spellEnd"/>
      <w:r w:rsidR="006F6D8D" w:rsidRPr="00A07F29">
        <w:rPr>
          <w:rFonts w:ascii="Times New Roman" w:hAnsi="Times New Roman" w:cs="Times New Roman"/>
          <w:bCs/>
          <w:i/>
          <w:sz w:val="24"/>
          <w:szCs w:val="24"/>
          <w:shd w:val="clear" w:color="auto" w:fill="FFFFFF"/>
        </w:rPr>
        <w:t xml:space="preserve"> meži</w:t>
      </w:r>
      <w:r w:rsidR="006F6D8D" w:rsidRPr="00A07F29">
        <w:rPr>
          <w:rFonts w:ascii="Times New Roman" w:hAnsi="Times New Roman" w:cs="Times New Roman"/>
          <w:bCs/>
          <w:sz w:val="24"/>
          <w:szCs w:val="24"/>
          <w:shd w:val="clear" w:color="auto" w:fill="FFFFFF"/>
        </w:rPr>
        <w:t>.</w:t>
      </w:r>
    </w:p>
    <w:p w14:paraId="24B2B9E7" w14:textId="6190FCF2" w:rsidR="002B1603" w:rsidRPr="00A07F29" w:rsidRDefault="002B1603" w:rsidP="007714A0">
      <w:pPr>
        <w:autoSpaceDE w:val="0"/>
        <w:autoSpaceDN w:val="0"/>
        <w:adjustRightInd w:val="0"/>
        <w:spacing w:after="120" w:line="240" w:lineRule="auto"/>
        <w:ind w:firstLine="851"/>
        <w:jc w:val="both"/>
        <w:rPr>
          <w:rFonts w:ascii="Times New Roman" w:eastAsia="Calibri" w:hAnsi="Times New Roman" w:cs="Times New Roman"/>
          <w:color w:val="000000"/>
          <w:sz w:val="24"/>
          <w:szCs w:val="24"/>
        </w:rPr>
      </w:pPr>
      <w:r w:rsidRPr="00A07F29">
        <w:rPr>
          <w:rFonts w:ascii="Times New Roman" w:eastAsia="Calibri" w:hAnsi="Times New Roman" w:cs="Times New Roman"/>
          <w:color w:val="000000" w:themeColor="text1"/>
          <w:sz w:val="24"/>
          <w:szCs w:val="24"/>
        </w:rPr>
        <w:t xml:space="preserve">AAA </w:t>
      </w:r>
      <w:r w:rsidR="0014211A" w:rsidRPr="00A07F29">
        <w:rPr>
          <w:rFonts w:ascii="Times New Roman" w:eastAsia="Calibri" w:hAnsi="Times New Roman" w:cs="Times New Roman"/>
          <w:color w:val="000000" w:themeColor="text1"/>
          <w:sz w:val="24"/>
          <w:szCs w:val="24"/>
        </w:rPr>
        <w:t xml:space="preserve">“Augšdaugava” </w:t>
      </w:r>
      <w:r w:rsidRPr="00A07F29">
        <w:rPr>
          <w:rFonts w:ascii="Times New Roman" w:eastAsia="Calibri" w:hAnsi="Times New Roman" w:cs="Times New Roman"/>
          <w:color w:val="000000" w:themeColor="text1"/>
          <w:sz w:val="24"/>
          <w:szCs w:val="24"/>
        </w:rPr>
        <w:t>konstatēti visi četri</w:t>
      </w:r>
      <w:r w:rsidR="0014211A" w:rsidRPr="00A07F29">
        <w:rPr>
          <w:rFonts w:ascii="Times New Roman" w:eastAsia="Calibri" w:hAnsi="Times New Roman" w:cs="Times New Roman"/>
          <w:color w:val="000000" w:themeColor="text1"/>
          <w:sz w:val="24"/>
          <w:szCs w:val="24"/>
        </w:rPr>
        <w:t xml:space="preserve"> biotopa 9010*</w:t>
      </w:r>
      <w:r w:rsidR="00DE1862">
        <w:rPr>
          <w:rFonts w:ascii="Times New Roman" w:eastAsia="Calibri" w:hAnsi="Times New Roman" w:cs="Times New Roman"/>
          <w:color w:val="000000" w:themeColor="text1"/>
          <w:sz w:val="24"/>
          <w:szCs w:val="24"/>
        </w:rPr>
        <w:t> </w:t>
      </w:r>
      <w:r w:rsidR="0014211A" w:rsidRPr="00A07F29">
        <w:rPr>
          <w:rFonts w:ascii="Times New Roman" w:eastAsia="Calibri" w:hAnsi="Times New Roman" w:cs="Times New Roman"/>
          <w:i/>
          <w:color w:val="000000" w:themeColor="text1"/>
          <w:sz w:val="24"/>
          <w:szCs w:val="24"/>
        </w:rPr>
        <w:t>Veci vai dabiski meži</w:t>
      </w:r>
      <w:r w:rsidR="0014211A" w:rsidRPr="00A07F29">
        <w:rPr>
          <w:rFonts w:ascii="Times New Roman" w:eastAsia="Calibri" w:hAnsi="Times New Roman" w:cs="Times New Roman"/>
          <w:color w:val="000000" w:themeColor="text1"/>
          <w:sz w:val="24"/>
          <w:szCs w:val="24"/>
        </w:rPr>
        <w:t xml:space="preserve"> </w:t>
      </w:r>
      <w:r w:rsidRPr="00A07F29">
        <w:rPr>
          <w:rFonts w:ascii="Times New Roman" w:eastAsia="Calibri" w:hAnsi="Times New Roman" w:cs="Times New Roman"/>
          <w:color w:val="000000" w:themeColor="text1"/>
          <w:sz w:val="24"/>
          <w:szCs w:val="24"/>
        </w:rPr>
        <w:t>varianti</w:t>
      </w:r>
      <w:r w:rsidR="0014211A" w:rsidRPr="00A07F29">
        <w:rPr>
          <w:rFonts w:ascii="Times New Roman" w:eastAsia="Calibri" w:hAnsi="Times New Roman" w:cs="Times New Roman"/>
          <w:color w:val="000000" w:themeColor="text1"/>
          <w:sz w:val="24"/>
          <w:szCs w:val="24"/>
        </w:rPr>
        <w:t xml:space="preserve">. </w:t>
      </w:r>
      <w:r w:rsidRPr="00A07F29">
        <w:rPr>
          <w:rFonts w:ascii="Times New Roman" w:eastAsia="Calibri" w:hAnsi="Times New Roman" w:cs="Times New Roman"/>
          <w:color w:val="000000" w:themeColor="text1"/>
          <w:sz w:val="24"/>
          <w:szCs w:val="24"/>
          <w:lang w:eastAsia="lv-LV"/>
        </w:rPr>
        <w:t xml:space="preserve">Sevišķi vērtīgi </w:t>
      </w:r>
      <w:r w:rsidRPr="00A07F29">
        <w:rPr>
          <w:rFonts w:ascii="Times New Roman" w:eastAsia="Calibri" w:hAnsi="Times New Roman" w:cs="Times New Roman"/>
          <w:color w:val="000000" w:themeColor="text1"/>
          <w:sz w:val="24"/>
          <w:szCs w:val="24"/>
        </w:rPr>
        <w:t>9010*</w:t>
      </w:r>
      <w:r w:rsidR="00DE1862">
        <w:rPr>
          <w:rFonts w:ascii="Times New Roman" w:eastAsia="Calibri" w:hAnsi="Times New Roman" w:cs="Times New Roman"/>
          <w:color w:val="000000" w:themeColor="text1"/>
          <w:sz w:val="24"/>
          <w:szCs w:val="24"/>
        </w:rPr>
        <w:t> </w:t>
      </w:r>
      <w:r w:rsidRPr="00A07F29">
        <w:rPr>
          <w:rFonts w:ascii="Times New Roman" w:eastAsia="Calibri" w:hAnsi="Times New Roman" w:cs="Times New Roman"/>
          <w:i/>
          <w:iCs/>
          <w:color w:val="000000" w:themeColor="text1"/>
          <w:sz w:val="24"/>
          <w:szCs w:val="24"/>
        </w:rPr>
        <w:t xml:space="preserve">Veci vai dabiski </w:t>
      </w:r>
      <w:proofErr w:type="spellStart"/>
      <w:r w:rsidRPr="00A07F29">
        <w:rPr>
          <w:rFonts w:ascii="Times New Roman" w:eastAsia="Calibri" w:hAnsi="Times New Roman" w:cs="Times New Roman"/>
          <w:i/>
          <w:iCs/>
          <w:color w:val="000000" w:themeColor="text1"/>
          <w:sz w:val="24"/>
          <w:szCs w:val="24"/>
        </w:rPr>
        <w:t>boreālo</w:t>
      </w:r>
      <w:proofErr w:type="spellEnd"/>
      <w:r w:rsidRPr="00A07F29">
        <w:rPr>
          <w:rFonts w:ascii="Times New Roman" w:eastAsia="Calibri" w:hAnsi="Times New Roman" w:cs="Times New Roman"/>
          <w:i/>
          <w:iCs/>
          <w:color w:val="000000" w:themeColor="text1"/>
          <w:sz w:val="24"/>
          <w:szCs w:val="24"/>
        </w:rPr>
        <w:t xml:space="preserve"> mežu </w:t>
      </w:r>
      <w:r w:rsidRPr="00A07F29">
        <w:rPr>
          <w:rFonts w:ascii="Times New Roman" w:eastAsia="Calibri" w:hAnsi="Times New Roman" w:cs="Times New Roman"/>
          <w:color w:val="000000" w:themeColor="text1"/>
          <w:sz w:val="24"/>
          <w:szCs w:val="24"/>
          <w:lang w:eastAsia="lv-LV"/>
        </w:rPr>
        <w:t xml:space="preserve">nogabali sastopami Kaplavas pagastā gar </w:t>
      </w:r>
      <w:proofErr w:type="spellStart"/>
      <w:r w:rsidRPr="00A07F29">
        <w:rPr>
          <w:rFonts w:ascii="Times New Roman" w:eastAsia="Calibri" w:hAnsi="Times New Roman" w:cs="Times New Roman"/>
          <w:color w:val="000000" w:themeColor="text1"/>
          <w:sz w:val="24"/>
          <w:szCs w:val="24"/>
          <w:lang w:eastAsia="lv-LV"/>
        </w:rPr>
        <w:t>Šilovkas</w:t>
      </w:r>
      <w:proofErr w:type="spellEnd"/>
      <w:r w:rsidRPr="00A07F29">
        <w:rPr>
          <w:rFonts w:ascii="Times New Roman" w:eastAsia="Calibri" w:hAnsi="Times New Roman" w:cs="Times New Roman"/>
          <w:color w:val="000000" w:themeColor="text1"/>
          <w:sz w:val="24"/>
          <w:szCs w:val="24"/>
          <w:lang w:eastAsia="lv-LV"/>
        </w:rPr>
        <w:t xml:space="preserve">, </w:t>
      </w:r>
      <w:proofErr w:type="spellStart"/>
      <w:r w:rsidRPr="00A07F29">
        <w:rPr>
          <w:rFonts w:ascii="Times New Roman" w:eastAsia="Calibri" w:hAnsi="Times New Roman" w:cs="Times New Roman"/>
          <w:color w:val="000000" w:themeColor="text1"/>
          <w:sz w:val="24"/>
          <w:szCs w:val="24"/>
          <w:lang w:eastAsia="lv-LV"/>
        </w:rPr>
        <w:t>Varnaviču</w:t>
      </w:r>
      <w:proofErr w:type="spellEnd"/>
      <w:r w:rsidRPr="00A07F29">
        <w:rPr>
          <w:rFonts w:ascii="Times New Roman" w:eastAsia="Calibri" w:hAnsi="Times New Roman" w:cs="Times New Roman"/>
          <w:color w:val="000000" w:themeColor="text1"/>
          <w:sz w:val="24"/>
          <w:szCs w:val="24"/>
          <w:lang w:eastAsia="lv-LV"/>
        </w:rPr>
        <w:t xml:space="preserve"> un </w:t>
      </w:r>
      <w:proofErr w:type="spellStart"/>
      <w:r w:rsidRPr="00A07F29">
        <w:rPr>
          <w:rFonts w:ascii="Times New Roman" w:eastAsia="Calibri" w:hAnsi="Times New Roman" w:cs="Times New Roman"/>
          <w:color w:val="000000" w:themeColor="text1"/>
          <w:sz w:val="24"/>
          <w:szCs w:val="24"/>
          <w:lang w:eastAsia="lv-LV"/>
        </w:rPr>
        <w:t>Krivoje</w:t>
      </w:r>
      <w:proofErr w:type="spellEnd"/>
      <w:r w:rsidRPr="00A07F29">
        <w:rPr>
          <w:rFonts w:ascii="Times New Roman" w:eastAsia="Calibri" w:hAnsi="Times New Roman" w:cs="Times New Roman"/>
          <w:color w:val="000000" w:themeColor="text1"/>
          <w:sz w:val="24"/>
          <w:szCs w:val="24"/>
          <w:lang w:eastAsia="lv-LV"/>
        </w:rPr>
        <w:t xml:space="preserve"> ezeriem, kur mežu zemsedzē bagātīgi sastopami parastais </w:t>
      </w:r>
      <w:proofErr w:type="spellStart"/>
      <w:r w:rsidRPr="00A07F29">
        <w:rPr>
          <w:rFonts w:ascii="Times New Roman" w:eastAsia="Calibri" w:hAnsi="Times New Roman" w:cs="Times New Roman"/>
          <w:color w:val="000000" w:themeColor="text1"/>
          <w:sz w:val="24"/>
          <w:szCs w:val="24"/>
          <w:lang w:eastAsia="lv-LV"/>
        </w:rPr>
        <w:t>plakanstaipeknis</w:t>
      </w:r>
      <w:proofErr w:type="spellEnd"/>
      <w:r w:rsidRPr="00A07F29">
        <w:rPr>
          <w:rFonts w:ascii="Times New Roman" w:eastAsia="Calibri" w:hAnsi="Times New Roman" w:cs="Times New Roman"/>
          <w:color w:val="000000" w:themeColor="text1"/>
          <w:sz w:val="24"/>
          <w:szCs w:val="24"/>
          <w:lang w:eastAsia="lv-LV"/>
        </w:rPr>
        <w:t xml:space="preserve"> </w:t>
      </w:r>
      <w:proofErr w:type="spellStart"/>
      <w:r w:rsidRPr="00A07F29">
        <w:rPr>
          <w:rFonts w:ascii="Times New Roman" w:eastAsia="Calibri" w:hAnsi="Times New Roman" w:cs="Times New Roman"/>
          <w:i/>
          <w:iCs/>
          <w:color w:val="000000" w:themeColor="text1"/>
          <w:sz w:val="24"/>
          <w:szCs w:val="24"/>
          <w:lang w:eastAsia="lv-LV"/>
        </w:rPr>
        <w:t>Diphasiastrum</w:t>
      </w:r>
      <w:proofErr w:type="spellEnd"/>
      <w:r w:rsidRPr="00A07F29">
        <w:rPr>
          <w:rFonts w:ascii="Times New Roman" w:eastAsia="Calibri" w:hAnsi="Times New Roman" w:cs="Times New Roman"/>
          <w:i/>
          <w:iCs/>
          <w:color w:val="000000" w:themeColor="text1"/>
          <w:sz w:val="24"/>
          <w:szCs w:val="24"/>
          <w:lang w:eastAsia="lv-LV"/>
        </w:rPr>
        <w:t xml:space="preserve"> </w:t>
      </w:r>
      <w:proofErr w:type="spellStart"/>
      <w:r w:rsidRPr="00A07F29">
        <w:rPr>
          <w:rFonts w:ascii="Times New Roman" w:eastAsia="Calibri" w:hAnsi="Times New Roman" w:cs="Times New Roman"/>
          <w:i/>
          <w:iCs/>
          <w:color w:val="000000" w:themeColor="text1"/>
          <w:sz w:val="24"/>
          <w:szCs w:val="24"/>
          <w:lang w:eastAsia="lv-LV"/>
        </w:rPr>
        <w:t>complanatum</w:t>
      </w:r>
      <w:proofErr w:type="spellEnd"/>
      <w:r w:rsidRPr="00A07F29">
        <w:rPr>
          <w:rFonts w:ascii="Times New Roman" w:eastAsia="Calibri" w:hAnsi="Times New Roman" w:cs="Times New Roman"/>
          <w:i/>
          <w:iCs/>
          <w:color w:val="000000" w:themeColor="text1"/>
          <w:sz w:val="24"/>
          <w:szCs w:val="24"/>
          <w:lang w:eastAsia="lv-LV"/>
        </w:rPr>
        <w:t xml:space="preserve"> </w:t>
      </w:r>
      <w:r w:rsidRPr="00A07F29">
        <w:rPr>
          <w:rFonts w:ascii="Times New Roman" w:eastAsia="Calibri" w:hAnsi="Times New Roman" w:cs="Times New Roman"/>
          <w:color w:val="000000" w:themeColor="text1"/>
          <w:sz w:val="24"/>
          <w:szCs w:val="24"/>
          <w:lang w:eastAsia="lv-LV"/>
        </w:rPr>
        <w:t xml:space="preserve">un </w:t>
      </w:r>
      <w:proofErr w:type="spellStart"/>
      <w:r w:rsidRPr="00A07F29">
        <w:rPr>
          <w:rFonts w:ascii="Times New Roman" w:eastAsia="Calibri" w:hAnsi="Times New Roman" w:cs="Times New Roman"/>
          <w:color w:val="000000" w:themeColor="text1"/>
          <w:sz w:val="24"/>
          <w:szCs w:val="24"/>
          <w:lang w:eastAsia="lv-LV"/>
        </w:rPr>
        <w:t>trejvārpu</w:t>
      </w:r>
      <w:proofErr w:type="spellEnd"/>
      <w:r w:rsidRPr="00A07F29">
        <w:rPr>
          <w:rFonts w:ascii="Times New Roman" w:eastAsia="Calibri" w:hAnsi="Times New Roman" w:cs="Times New Roman"/>
          <w:color w:val="000000" w:themeColor="text1"/>
          <w:sz w:val="24"/>
          <w:szCs w:val="24"/>
          <w:lang w:eastAsia="lv-LV"/>
        </w:rPr>
        <w:t xml:space="preserve"> </w:t>
      </w:r>
      <w:proofErr w:type="spellStart"/>
      <w:r w:rsidRPr="00A07F29">
        <w:rPr>
          <w:rFonts w:ascii="Times New Roman" w:eastAsia="Calibri" w:hAnsi="Times New Roman" w:cs="Times New Roman"/>
          <w:color w:val="000000" w:themeColor="text1"/>
          <w:sz w:val="24"/>
          <w:szCs w:val="24"/>
          <w:lang w:eastAsia="lv-LV"/>
        </w:rPr>
        <w:t>plakanstaipeknis</w:t>
      </w:r>
      <w:proofErr w:type="spellEnd"/>
      <w:r w:rsidRPr="00A07F29">
        <w:rPr>
          <w:rFonts w:ascii="Times New Roman" w:eastAsia="Calibri" w:hAnsi="Times New Roman" w:cs="Times New Roman"/>
          <w:color w:val="000000" w:themeColor="text1"/>
          <w:sz w:val="24"/>
          <w:szCs w:val="24"/>
          <w:lang w:eastAsia="lv-LV"/>
        </w:rPr>
        <w:t xml:space="preserve"> </w:t>
      </w:r>
      <w:r w:rsidRPr="00A07F29">
        <w:rPr>
          <w:rFonts w:ascii="Times New Roman" w:eastAsia="Calibri" w:hAnsi="Times New Roman" w:cs="Times New Roman"/>
          <w:i/>
          <w:iCs/>
          <w:color w:val="000000" w:themeColor="text1"/>
          <w:sz w:val="24"/>
          <w:szCs w:val="24"/>
          <w:lang w:eastAsia="lv-LV"/>
        </w:rPr>
        <w:t xml:space="preserve">D. </w:t>
      </w:r>
      <w:proofErr w:type="spellStart"/>
      <w:r w:rsidRPr="00A07F29">
        <w:rPr>
          <w:rFonts w:ascii="Times New Roman" w:eastAsia="Calibri" w:hAnsi="Times New Roman" w:cs="Times New Roman"/>
          <w:i/>
          <w:iCs/>
          <w:color w:val="000000" w:themeColor="text1"/>
          <w:sz w:val="24"/>
          <w:szCs w:val="24"/>
          <w:lang w:eastAsia="lv-LV"/>
        </w:rPr>
        <w:t>tristachyum</w:t>
      </w:r>
      <w:proofErr w:type="spellEnd"/>
      <w:r w:rsidRPr="00A07F29">
        <w:rPr>
          <w:rFonts w:ascii="Times New Roman" w:eastAsia="Calibri" w:hAnsi="Times New Roman" w:cs="Times New Roman"/>
          <w:color w:val="000000" w:themeColor="text1"/>
          <w:sz w:val="24"/>
          <w:szCs w:val="24"/>
          <w:lang w:eastAsia="lv-LV"/>
        </w:rPr>
        <w:t xml:space="preserve"> u.c. </w:t>
      </w:r>
      <w:r w:rsidRPr="00A07F29">
        <w:rPr>
          <w:rFonts w:ascii="Times New Roman" w:eastAsia="Calibri" w:hAnsi="Times New Roman" w:cs="Times New Roman"/>
          <w:color w:val="000000" w:themeColor="text1"/>
          <w:sz w:val="24"/>
          <w:szCs w:val="24"/>
        </w:rPr>
        <w:lastRenderedPageBreak/>
        <w:t>9010*</w:t>
      </w:r>
      <w:r w:rsidR="00DE1862">
        <w:rPr>
          <w:rFonts w:ascii="Times New Roman" w:eastAsia="Calibri" w:hAnsi="Times New Roman" w:cs="Times New Roman"/>
          <w:color w:val="000000" w:themeColor="text1"/>
          <w:sz w:val="24"/>
          <w:szCs w:val="24"/>
        </w:rPr>
        <w:t> </w:t>
      </w:r>
      <w:r w:rsidRPr="00A07F29">
        <w:rPr>
          <w:rFonts w:ascii="Times New Roman" w:eastAsia="Calibri" w:hAnsi="Times New Roman" w:cs="Times New Roman"/>
          <w:i/>
          <w:iCs/>
          <w:color w:val="000000" w:themeColor="text1"/>
          <w:sz w:val="24"/>
          <w:szCs w:val="24"/>
        </w:rPr>
        <w:t xml:space="preserve">Veci vai dabiski </w:t>
      </w:r>
      <w:proofErr w:type="spellStart"/>
      <w:r w:rsidRPr="00A07F29">
        <w:rPr>
          <w:rFonts w:ascii="Times New Roman" w:eastAsia="Calibri" w:hAnsi="Times New Roman" w:cs="Times New Roman"/>
          <w:i/>
          <w:iCs/>
          <w:color w:val="000000" w:themeColor="text1"/>
          <w:sz w:val="24"/>
          <w:szCs w:val="24"/>
        </w:rPr>
        <w:t>boreāli</w:t>
      </w:r>
      <w:proofErr w:type="spellEnd"/>
      <w:r w:rsidRPr="00A07F29">
        <w:rPr>
          <w:rFonts w:ascii="Times New Roman" w:eastAsia="Calibri" w:hAnsi="Times New Roman" w:cs="Times New Roman"/>
          <w:i/>
          <w:iCs/>
          <w:color w:val="000000" w:themeColor="text1"/>
          <w:sz w:val="24"/>
          <w:szCs w:val="24"/>
        </w:rPr>
        <w:t xml:space="preserve"> meži </w:t>
      </w:r>
      <w:r w:rsidRPr="00A07F29">
        <w:rPr>
          <w:rFonts w:ascii="Times New Roman" w:eastAsia="Calibri" w:hAnsi="Times New Roman" w:cs="Times New Roman"/>
          <w:color w:val="000000" w:themeColor="text1"/>
          <w:sz w:val="24"/>
          <w:szCs w:val="24"/>
          <w:lang w:eastAsia="lv-LV"/>
        </w:rPr>
        <w:t xml:space="preserve">biotopa vērtību daudzviet pazemina samērā neliels kritalu, </w:t>
      </w:r>
      <w:proofErr w:type="spellStart"/>
      <w:r w:rsidRPr="00A07F29">
        <w:rPr>
          <w:rFonts w:ascii="Times New Roman" w:eastAsia="Calibri" w:hAnsi="Times New Roman" w:cs="Times New Roman"/>
          <w:color w:val="000000" w:themeColor="text1"/>
          <w:sz w:val="24"/>
          <w:szCs w:val="24"/>
          <w:lang w:eastAsia="lv-LV"/>
        </w:rPr>
        <w:t>sausokņu</w:t>
      </w:r>
      <w:proofErr w:type="spellEnd"/>
      <w:r w:rsidRPr="00A07F29">
        <w:rPr>
          <w:rFonts w:ascii="Times New Roman" w:eastAsia="Calibri" w:hAnsi="Times New Roman" w:cs="Times New Roman"/>
          <w:color w:val="000000" w:themeColor="text1"/>
          <w:sz w:val="24"/>
          <w:szCs w:val="24"/>
          <w:lang w:eastAsia="lv-LV"/>
        </w:rPr>
        <w:t xml:space="preserve"> un stumbeņu īpatsvars, tāpēc ļoti svarīgi saglabāt šīs struktūras. </w:t>
      </w:r>
      <w:r w:rsidRPr="00A07F29">
        <w:rPr>
          <w:rFonts w:ascii="Times New Roman" w:eastAsia="Calibri" w:hAnsi="Times New Roman" w:cs="Times New Roman"/>
          <w:color w:val="000000" w:themeColor="text1"/>
          <w:sz w:val="24"/>
          <w:szCs w:val="24"/>
        </w:rPr>
        <w:t>9010*</w:t>
      </w:r>
      <w:r w:rsidR="00190DA6">
        <w:rPr>
          <w:rFonts w:ascii="Times New Roman" w:eastAsia="Calibri" w:hAnsi="Times New Roman" w:cs="Times New Roman"/>
          <w:color w:val="000000" w:themeColor="text1"/>
          <w:sz w:val="24"/>
          <w:szCs w:val="24"/>
        </w:rPr>
        <w:t> </w:t>
      </w:r>
      <w:r w:rsidRPr="00A07F29">
        <w:rPr>
          <w:rFonts w:ascii="Times New Roman" w:eastAsia="Calibri" w:hAnsi="Times New Roman" w:cs="Times New Roman"/>
          <w:i/>
          <w:iCs/>
          <w:color w:val="000000" w:themeColor="text1"/>
          <w:sz w:val="24"/>
          <w:szCs w:val="24"/>
        </w:rPr>
        <w:t xml:space="preserve">Veci vai dabiski </w:t>
      </w:r>
      <w:proofErr w:type="spellStart"/>
      <w:r w:rsidRPr="00A07F29">
        <w:rPr>
          <w:rFonts w:ascii="Times New Roman" w:eastAsia="Calibri" w:hAnsi="Times New Roman" w:cs="Times New Roman"/>
          <w:i/>
          <w:iCs/>
          <w:color w:val="000000" w:themeColor="text1"/>
          <w:sz w:val="24"/>
          <w:szCs w:val="24"/>
        </w:rPr>
        <w:t>boreāli</w:t>
      </w:r>
      <w:proofErr w:type="spellEnd"/>
      <w:r w:rsidRPr="00A07F29">
        <w:rPr>
          <w:rFonts w:ascii="Times New Roman" w:eastAsia="Calibri" w:hAnsi="Times New Roman" w:cs="Times New Roman"/>
          <w:i/>
          <w:iCs/>
          <w:color w:val="000000" w:themeColor="text1"/>
          <w:sz w:val="24"/>
          <w:szCs w:val="24"/>
        </w:rPr>
        <w:t xml:space="preserve"> meži</w:t>
      </w:r>
      <w:r w:rsidRPr="00A07F29">
        <w:rPr>
          <w:rFonts w:ascii="Times New Roman" w:eastAsia="Calibri" w:hAnsi="Times New Roman" w:cs="Times New Roman"/>
          <w:color w:val="000000" w:themeColor="text1"/>
          <w:sz w:val="24"/>
          <w:szCs w:val="24"/>
          <w:lang w:eastAsia="lv-LV"/>
        </w:rPr>
        <w:t xml:space="preserve"> biotopa aizsardzības stāvoklis AAA vērtējams kā nelabvēlīgs – slikts (līdz šim iztrūkstošo aizsardzības pasākumu dēļ), taču stabils.</w:t>
      </w:r>
    </w:p>
    <w:p w14:paraId="7792AB41" w14:textId="17BE6320" w:rsidR="002B1603" w:rsidRPr="00A07F29" w:rsidRDefault="002B1603" w:rsidP="007714A0">
      <w:pPr>
        <w:autoSpaceDE w:val="0"/>
        <w:autoSpaceDN w:val="0"/>
        <w:adjustRightInd w:val="0"/>
        <w:spacing w:after="120" w:line="240" w:lineRule="auto"/>
        <w:ind w:firstLine="851"/>
        <w:jc w:val="both"/>
        <w:rPr>
          <w:rFonts w:ascii="Times New Roman" w:eastAsia="Calibri" w:hAnsi="Times New Roman" w:cs="Times New Roman"/>
          <w:color w:val="000000"/>
          <w:sz w:val="24"/>
          <w:szCs w:val="24"/>
        </w:rPr>
      </w:pPr>
      <w:r w:rsidRPr="00A07F29">
        <w:rPr>
          <w:rFonts w:ascii="Times New Roman" w:eastAsia="Calibri" w:hAnsi="Times New Roman" w:cs="Times New Roman"/>
          <w:color w:val="000000"/>
          <w:sz w:val="24"/>
          <w:szCs w:val="24"/>
        </w:rPr>
        <w:t xml:space="preserve">No aizsargājamām </w:t>
      </w:r>
      <w:proofErr w:type="spellStart"/>
      <w:r w:rsidRPr="00A07F29">
        <w:rPr>
          <w:rFonts w:ascii="Times New Roman" w:eastAsia="Calibri" w:hAnsi="Times New Roman" w:cs="Times New Roman"/>
          <w:color w:val="000000"/>
          <w:sz w:val="24"/>
          <w:szCs w:val="24"/>
        </w:rPr>
        <w:t>vaskulāro</w:t>
      </w:r>
      <w:proofErr w:type="spellEnd"/>
      <w:r w:rsidRPr="00A07F29">
        <w:rPr>
          <w:rFonts w:ascii="Times New Roman" w:eastAsia="Calibri" w:hAnsi="Times New Roman" w:cs="Times New Roman"/>
          <w:color w:val="000000"/>
          <w:sz w:val="24"/>
          <w:szCs w:val="24"/>
        </w:rPr>
        <w:t xml:space="preserve"> augu sugām </w:t>
      </w:r>
      <w:r w:rsidR="0014211A" w:rsidRPr="00A07F29">
        <w:rPr>
          <w:rFonts w:ascii="Times New Roman" w:eastAsia="Calibri" w:hAnsi="Times New Roman" w:cs="Times New Roman"/>
          <w:color w:val="000000"/>
          <w:sz w:val="24"/>
          <w:szCs w:val="24"/>
        </w:rPr>
        <w:t xml:space="preserve">biotopā </w:t>
      </w:r>
      <w:r w:rsidRPr="00A07F29">
        <w:rPr>
          <w:rFonts w:ascii="Times New Roman" w:eastAsia="Calibri" w:hAnsi="Times New Roman" w:cs="Times New Roman"/>
          <w:color w:val="000000"/>
          <w:sz w:val="24"/>
          <w:szCs w:val="24"/>
        </w:rPr>
        <w:t>9010*</w:t>
      </w:r>
      <w:r w:rsidR="00F672E0">
        <w:rPr>
          <w:rFonts w:ascii="Times New Roman" w:eastAsia="Calibri" w:hAnsi="Times New Roman" w:cs="Times New Roman"/>
          <w:color w:val="000000"/>
          <w:sz w:val="24"/>
          <w:szCs w:val="24"/>
        </w:rPr>
        <w:t> </w:t>
      </w:r>
      <w:r w:rsidRPr="00A07F29">
        <w:rPr>
          <w:rFonts w:ascii="Times New Roman" w:eastAsia="Calibri" w:hAnsi="Times New Roman" w:cs="Times New Roman"/>
          <w:i/>
          <w:color w:val="000000"/>
          <w:sz w:val="24"/>
          <w:szCs w:val="24"/>
        </w:rPr>
        <w:t xml:space="preserve">Veci vai dabiski </w:t>
      </w:r>
      <w:proofErr w:type="spellStart"/>
      <w:r w:rsidRPr="00A07F29">
        <w:rPr>
          <w:rFonts w:ascii="Times New Roman" w:eastAsia="Calibri" w:hAnsi="Times New Roman" w:cs="Times New Roman"/>
          <w:i/>
          <w:color w:val="000000"/>
          <w:sz w:val="24"/>
          <w:szCs w:val="24"/>
        </w:rPr>
        <w:t>boreāli</w:t>
      </w:r>
      <w:proofErr w:type="spellEnd"/>
      <w:r w:rsidRPr="00A07F29">
        <w:rPr>
          <w:rFonts w:ascii="Times New Roman" w:eastAsia="Calibri" w:hAnsi="Times New Roman" w:cs="Times New Roman"/>
          <w:i/>
          <w:color w:val="000000"/>
          <w:sz w:val="24"/>
          <w:szCs w:val="24"/>
        </w:rPr>
        <w:t xml:space="preserve"> meži</w:t>
      </w:r>
      <w:r w:rsidRPr="00A07F29" w:rsidDel="004B2F1A">
        <w:rPr>
          <w:rFonts w:ascii="Times New Roman" w:eastAsia="Calibri" w:hAnsi="Times New Roman" w:cs="Times New Roman"/>
          <w:color w:val="000000"/>
          <w:sz w:val="24"/>
          <w:szCs w:val="24"/>
        </w:rPr>
        <w:t xml:space="preserve"> </w:t>
      </w:r>
      <w:r w:rsidRPr="00A07F29">
        <w:rPr>
          <w:rFonts w:ascii="Times New Roman" w:eastAsia="Calibri" w:hAnsi="Times New Roman" w:cs="Times New Roman"/>
          <w:color w:val="000000"/>
          <w:sz w:val="24"/>
          <w:szCs w:val="24"/>
        </w:rPr>
        <w:t xml:space="preserve">konstatēti: gada staipeknis </w:t>
      </w:r>
      <w:proofErr w:type="spellStart"/>
      <w:r w:rsidRPr="00A07F29">
        <w:rPr>
          <w:rFonts w:ascii="Times New Roman" w:eastAsia="Calibri" w:hAnsi="Times New Roman" w:cs="Times New Roman"/>
          <w:i/>
          <w:iCs/>
          <w:color w:val="000000"/>
          <w:sz w:val="24"/>
          <w:szCs w:val="24"/>
        </w:rPr>
        <w:t>Lycopodium</w:t>
      </w:r>
      <w:proofErr w:type="spellEnd"/>
      <w:r w:rsidRPr="00A07F29">
        <w:rPr>
          <w:rFonts w:ascii="Times New Roman" w:eastAsia="Calibri" w:hAnsi="Times New Roman" w:cs="Times New Roman"/>
          <w:i/>
          <w:iCs/>
          <w:color w:val="000000"/>
          <w:sz w:val="24"/>
          <w:szCs w:val="24"/>
        </w:rPr>
        <w:t xml:space="preserve"> </w:t>
      </w:r>
      <w:proofErr w:type="spellStart"/>
      <w:r w:rsidRPr="00A07F29">
        <w:rPr>
          <w:rFonts w:ascii="Times New Roman" w:eastAsia="Calibri" w:hAnsi="Times New Roman" w:cs="Times New Roman"/>
          <w:i/>
          <w:iCs/>
          <w:color w:val="000000"/>
          <w:sz w:val="24"/>
          <w:szCs w:val="24"/>
        </w:rPr>
        <w:t>annotinum</w:t>
      </w:r>
      <w:proofErr w:type="spellEnd"/>
      <w:r w:rsidRPr="00A07F29">
        <w:rPr>
          <w:rFonts w:ascii="Times New Roman" w:eastAsia="Calibri" w:hAnsi="Times New Roman" w:cs="Times New Roman"/>
          <w:iCs/>
          <w:color w:val="000000"/>
          <w:sz w:val="24"/>
          <w:szCs w:val="24"/>
        </w:rPr>
        <w:t>,</w:t>
      </w:r>
      <w:r w:rsidRPr="00A07F29">
        <w:rPr>
          <w:rFonts w:ascii="Times New Roman" w:eastAsia="Calibri" w:hAnsi="Times New Roman" w:cs="Times New Roman"/>
          <w:color w:val="000000"/>
          <w:sz w:val="24"/>
          <w:szCs w:val="24"/>
        </w:rPr>
        <w:t xml:space="preserve"> vālīšu staipeknis </w:t>
      </w:r>
      <w:proofErr w:type="spellStart"/>
      <w:r w:rsidRPr="00A07F29">
        <w:rPr>
          <w:rFonts w:ascii="Times New Roman" w:eastAsia="Calibri" w:hAnsi="Times New Roman" w:cs="Times New Roman"/>
          <w:i/>
          <w:iCs/>
          <w:color w:val="000000"/>
          <w:sz w:val="24"/>
          <w:szCs w:val="24"/>
        </w:rPr>
        <w:t>Lycopodium</w:t>
      </w:r>
      <w:proofErr w:type="spellEnd"/>
      <w:r w:rsidRPr="00A07F29">
        <w:rPr>
          <w:rFonts w:ascii="Times New Roman" w:eastAsia="Calibri" w:hAnsi="Times New Roman" w:cs="Times New Roman"/>
          <w:i/>
          <w:iCs/>
          <w:color w:val="000000"/>
          <w:sz w:val="24"/>
          <w:szCs w:val="24"/>
        </w:rPr>
        <w:t xml:space="preserve"> </w:t>
      </w:r>
      <w:proofErr w:type="spellStart"/>
      <w:r w:rsidRPr="00A07F29">
        <w:rPr>
          <w:rFonts w:ascii="Times New Roman" w:eastAsia="Calibri" w:hAnsi="Times New Roman" w:cs="Times New Roman"/>
          <w:i/>
          <w:iCs/>
          <w:color w:val="000000"/>
          <w:sz w:val="24"/>
          <w:szCs w:val="24"/>
        </w:rPr>
        <w:t>clavatum</w:t>
      </w:r>
      <w:proofErr w:type="spellEnd"/>
      <w:r w:rsidRPr="00A07F29">
        <w:rPr>
          <w:rFonts w:ascii="Times New Roman" w:eastAsia="Calibri" w:hAnsi="Times New Roman" w:cs="Times New Roman"/>
          <w:i/>
          <w:iCs/>
          <w:color w:val="000000"/>
          <w:sz w:val="24"/>
          <w:szCs w:val="24"/>
        </w:rPr>
        <w:t xml:space="preserve">, </w:t>
      </w:r>
      <w:r w:rsidRPr="00A07F29">
        <w:rPr>
          <w:rFonts w:ascii="Times New Roman" w:eastAsia="Calibri" w:hAnsi="Times New Roman" w:cs="Times New Roman"/>
          <w:color w:val="000000"/>
          <w:sz w:val="24"/>
          <w:szCs w:val="24"/>
        </w:rPr>
        <w:t xml:space="preserve">smaržīgā naktsvijole </w:t>
      </w:r>
      <w:proofErr w:type="spellStart"/>
      <w:r w:rsidRPr="00A07F29">
        <w:rPr>
          <w:rFonts w:ascii="Times New Roman" w:eastAsia="Calibri" w:hAnsi="Times New Roman" w:cs="Times New Roman"/>
          <w:i/>
          <w:iCs/>
          <w:color w:val="000000"/>
          <w:sz w:val="24"/>
          <w:szCs w:val="24"/>
        </w:rPr>
        <w:t>Platanthera</w:t>
      </w:r>
      <w:proofErr w:type="spellEnd"/>
      <w:r w:rsidRPr="00A07F29">
        <w:rPr>
          <w:rFonts w:ascii="Times New Roman" w:eastAsia="Calibri" w:hAnsi="Times New Roman" w:cs="Times New Roman"/>
          <w:color w:val="000000"/>
          <w:sz w:val="24"/>
          <w:szCs w:val="24"/>
        </w:rPr>
        <w:t xml:space="preserve"> </w:t>
      </w:r>
      <w:proofErr w:type="spellStart"/>
      <w:r w:rsidRPr="00A07F29">
        <w:rPr>
          <w:rFonts w:ascii="Times New Roman" w:eastAsia="Calibri" w:hAnsi="Times New Roman" w:cs="Times New Roman"/>
          <w:i/>
          <w:iCs/>
          <w:color w:val="000000"/>
          <w:sz w:val="24"/>
          <w:szCs w:val="24"/>
        </w:rPr>
        <w:t>bifolia</w:t>
      </w:r>
      <w:proofErr w:type="spellEnd"/>
      <w:r w:rsidRPr="00A07F29">
        <w:rPr>
          <w:rFonts w:ascii="Times New Roman" w:eastAsia="Calibri" w:hAnsi="Times New Roman" w:cs="Times New Roman"/>
          <w:color w:val="000000"/>
          <w:sz w:val="24"/>
          <w:szCs w:val="24"/>
        </w:rPr>
        <w:t xml:space="preserve">, ārstniecības </w:t>
      </w:r>
      <w:proofErr w:type="spellStart"/>
      <w:r w:rsidRPr="00A07F29">
        <w:rPr>
          <w:rFonts w:ascii="Times New Roman" w:eastAsia="Calibri" w:hAnsi="Times New Roman" w:cs="Times New Roman"/>
          <w:color w:val="000000"/>
          <w:sz w:val="24"/>
          <w:szCs w:val="24"/>
        </w:rPr>
        <w:t>indaine</w:t>
      </w:r>
      <w:proofErr w:type="spellEnd"/>
      <w:r w:rsidRPr="00A07F29">
        <w:rPr>
          <w:rFonts w:ascii="Times New Roman" w:eastAsia="Calibri" w:hAnsi="Times New Roman" w:cs="Times New Roman"/>
          <w:color w:val="000000"/>
          <w:sz w:val="24"/>
          <w:szCs w:val="24"/>
        </w:rPr>
        <w:t xml:space="preserve"> </w:t>
      </w:r>
      <w:proofErr w:type="spellStart"/>
      <w:r w:rsidRPr="00A07F29">
        <w:rPr>
          <w:rFonts w:ascii="Times New Roman" w:eastAsia="Calibri" w:hAnsi="Times New Roman" w:cs="Times New Roman"/>
          <w:i/>
          <w:iCs/>
          <w:color w:val="000000"/>
          <w:sz w:val="24"/>
          <w:szCs w:val="24"/>
        </w:rPr>
        <w:t>Vincetoxicum</w:t>
      </w:r>
      <w:proofErr w:type="spellEnd"/>
      <w:r w:rsidRPr="00A07F29">
        <w:rPr>
          <w:rFonts w:ascii="Times New Roman" w:eastAsia="Calibri" w:hAnsi="Times New Roman" w:cs="Times New Roman"/>
          <w:i/>
          <w:iCs/>
          <w:color w:val="000000"/>
          <w:sz w:val="24"/>
          <w:szCs w:val="24"/>
        </w:rPr>
        <w:t xml:space="preserve"> </w:t>
      </w:r>
      <w:proofErr w:type="spellStart"/>
      <w:r w:rsidRPr="00A07F29">
        <w:rPr>
          <w:rFonts w:ascii="Times New Roman" w:eastAsia="Calibri" w:hAnsi="Times New Roman" w:cs="Times New Roman"/>
          <w:i/>
          <w:iCs/>
          <w:color w:val="000000"/>
          <w:sz w:val="24"/>
          <w:szCs w:val="24"/>
        </w:rPr>
        <w:t>hirundinaria</w:t>
      </w:r>
      <w:proofErr w:type="spellEnd"/>
      <w:r w:rsidRPr="00A07F29">
        <w:rPr>
          <w:rFonts w:ascii="Times New Roman" w:eastAsia="Calibri" w:hAnsi="Times New Roman" w:cs="Times New Roman"/>
          <w:iCs/>
          <w:color w:val="000000"/>
          <w:sz w:val="24"/>
          <w:szCs w:val="24"/>
        </w:rPr>
        <w:t>,</w:t>
      </w:r>
      <w:r w:rsidRPr="00A07F29">
        <w:rPr>
          <w:rFonts w:ascii="Times New Roman" w:eastAsia="Calibri" w:hAnsi="Times New Roman" w:cs="Times New Roman"/>
          <w:color w:val="000000"/>
          <w:sz w:val="24"/>
          <w:szCs w:val="24"/>
        </w:rPr>
        <w:t xml:space="preserve"> Alpu āboliņš </w:t>
      </w:r>
      <w:proofErr w:type="spellStart"/>
      <w:r w:rsidRPr="00A07F29">
        <w:rPr>
          <w:rFonts w:ascii="Times New Roman" w:eastAsia="Calibri" w:hAnsi="Times New Roman" w:cs="Times New Roman"/>
          <w:i/>
          <w:iCs/>
          <w:color w:val="000000"/>
          <w:sz w:val="24"/>
          <w:szCs w:val="24"/>
        </w:rPr>
        <w:t>Trifolium</w:t>
      </w:r>
      <w:proofErr w:type="spellEnd"/>
      <w:r w:rsidRPr="00A07F29">
        <w:rPr>
          <w:rFonts w:ascii="Times New Roman" w:eastAsia="Calibri" w:hAnsi="Times New Roman" w:cs="Times New Roman"/>
          <w:i/>
          <w:iCs/>
          <w:color w:val="000000"/>
          <w:sz w:val="24"/>
          <w:szCs w:val="24"/>
        </w:rPr>
        <w:t xml:space="preserve"> </w:t>
      </w:r>
      <w:proofErr w:type="spellStart"/>
      <w:r w:rsidRPr="00A07F29">
        <w:rPr>
          <w:rFonts w:ascii="Times New Roman" w:eastAsia="Calibri" w:hAnsi="Times New Roman" w:cs="Times New Roman"/>
          <w:i/>
          <w:iCs/>
          <w:color w:val="000000"/>
          <w:sz w:val="24"/>
          <w:szCs w:val="24"/>
        </w:rPr>
        <w:t>alpestre</w:t>
      </w:r>
      <w:proofErr w:type="spellEnd"/>
      <w:r w:rsidRPr="00A07F29">
        <w:rPr>
          <w:rFonts w:ascii="Times New Roman" w:eastAsia="Calibri" w:hAnsi="Times New Roman" w:cs="Times New Roman"/>
          <w:i/>
          <w:iCs/>
          <w:color w:val="000000"/>
          <w:sz w:val="24"/>
          <w:szCs w:val="24"/>
        </w:rPr>
        <w:t>.</w:t>
      </w:r>
      <w:r w:rsidRPr="00A07F29">
        <w:rPr>
          <w:rFonts w:ascii="Times New Roman" w:eastAsia="Calibri" w:hAnsi="Times New Roman" w:cs="Times New Roman"/>
          <w:color w:val="000000"/>
          <w:sz w:val="24"/>
          <w:szCs w:val="24"/>
        </w:rPr>
        <w:t xml:space="preserve"> </w:t>
      </w:r>
      <w:proofErr w:type="spellStart"/>
      <w:r w:rsidRPr="00A07F29">
        <w:rPr>
          <w:rFonts w:ascii="Times New Roman" w:eastAsia="Calibri" w:hAnsi="Times New Roman" w:cs="Times New Roman"/>
          <w:color w:val="000000"/>
          <w:sz w:val="24"/>
          <w:szCs w:val="24"/>
        </w:rPr>
        <w:t>Šultesa</w:t>
      </w:r>
      <w:proofErr w:type="spellEnd"/>
      <w:r w:rsidRPr="00A07F29">
        <w:rPr>
          <w:rFonts w:ascii="Times New Roman" w:eastAsia="Calibri" w:hAnsi="Times New Roman" w:cs="Times New Roman"/>
          <w:color w:val="000000"/>
          <w:sz w:val="24"/>
          <w:szCs w:val="24"/>
        </w:rPr>
        <w:t xml:space="preserve"> madara </w:t>
      </w:r>
      <w:proofErr w:type="spellStart"/>
      <w:r w:rsidRPr="00A07F29">
        <w:rPr>
          <w:rFonts w:ascii="Times New Roman" w:eastAsia="Calibri" w:hAnsi="Times New Roman" w:cs="Times New Roman"/>
          <w:i/>
          <w:iCs/>
          <w:color w:val="000000"/>
          <w:sz w:val="24"/>
          <w:szCs w:val="24"/>
        </w:rPr>
        <w:t>Galium</w:t>
      </w:r>
      <w:proofErr w:type="spellEnd"/>
      <w:r w:rsidRPr="00A07F29">
        <w:rPr>
          <w:rFonts w:ascii="Times New Roman" w:eastAsia="Calibri" w:hAnsi="Times New Roman" w:cs="Times New Roman"/>
          <w:i/>
          <w:iCs/>
          <w:color w:val="000000"/>
          <w:sz w:val="24"/>
          <w:szCs w:val="24"/>
        </w:rPr>
        <w:t xml:space="preserve"> </w:t>
      </w:r>
      <w:proofErr w:type="spellStart"/>
      <w:r w:rsidRPr="00A07F29">
        <w:rPr>
          <w:rFonts w:ascii="Times New Roman" w:eastAsia="Calibri" w:hAnsi="Times New Roman" w:cs="Times New Roman"/>
          <w:i/>
          <w:iCs/>
          <w:color w:val="000000"/>
          <w:sz w:val="24"/>
          <w:szCs w:val="24"/>
        </w:rPr>
        <w:t>schultesii</w:t>
      </w:r>
      <w:proofErr w:type="spellEnd"/>
      <w:r w:rsidRPr="00A07F29">
        <w:rPr>
          <w:rFonts w:ascii="Times New Roman" w:eastAsia="Calibri" w:hAnsi="Times New Roman" w:cs="Times New Roman"/>
          <w:color w:val="000000"/>
          <w:sz w:val="24"/>
          <w:szCs w:val="24"/>
        </w:rPr>
        <w:t xml:space="preserve">, smiltāju neļķe </w:t>
      </w:r>
      <w:proofErr w:type="spellStart"/>
      <w:r w:rsidRPr="00A07F29">
        <w:rPr>
          <w:rFonts w:ascii="Times New Roman" w:eastAsia="Calibri" w:hAnsi="Times New Roman" w:cs="Times New Roman"/>
          <w:i/>
          <w:iCs/>
          <w:color w:val="000000"/>
          <w:sz w:val="24"/>
          <w:szCs w:val="24"/>
        </w:rPr>
        <w:t>Dianthus</w:t>
      </w:r>
      <w:proofErr w:type="spellEnd"/>
      <w:r w:rsidRPr="00A07F29">
        <w:rPr>
          <w:rFonts w:ascii="Times New Roman" w:eastAsia="Calibri" w:hAnsi="Times New Roman" w:cs="Times New Roman"/>
          <w:i/>
          <w:iCs/>
          <w:color w:val="000000"/>
          <w:sz w:val="24"/>
          <w:szCs w:val="24"/>
        </w:rPr>
        <w:t xml:space="preserve"> </w:t>
      </w:r>
      <w:proofErr w:type="spellStart"/>
      <w:r w:rsidRPr="00A07F29">
        <w:rPr>
          <w:rFonts w:ascii="Times New Roman" w:eastAsia="Calibri" w:hAnsi="Times New Roman" w:cs="Times New Roman"/>
          <w:i/>
          <w:iCs/>
          <w:color w:val="000000"/>
          <w:sz w:val="24"/>
          <w:szCs w:val="24"/>
        </w:rPr>
        <w:t>arenarius</w:t>
      </w:r>
      <w:proofErr w:type="spellEnd"/>
      <w:r w:rsidRPr="00A07F29">
        <w:rPr>
          <w:rFonts w:ascii="Times New Roman" w:eastAsia="Calibri" w:hAnsi="Times New Roman" w:cs="Times New Roman"/>
          <w:iCs/>
          <w:color w:val="000000"/>
          <w:sz w:val="24"/>
          <w:szCs w:val="24"/>
        </w:rPr>
        <w:t>,</w:t>
      </w:r>
      <w:r w:rsidRPr="00A07F29">
        <w:rPr>
          <w:rFonts w:ascii="Times New Roman" w:eastAsia="Calibri" w:hAnsi="Times New Roman" w:cs="Times New Roman"/>
          <w:color w:val="000000"/>
          <w:sz w:val="24"/>
          <w:szCs w:val="24"/>
        </w:rPr>
        <w:t xml:space="preserve"> </w:t>
      </w:r>
      <w:proofErr w:type="spellStart"/>
      <w:r w:rsidRPr="00A07F29">
        <w:rPr>
          <w:rFonts w:ascii="Times New Roman" w:eastAsia="Calibri" w:hAnsi="Times New Roman" w:cs="Times New Roman"/>
          <w:color w:val="000000"/>
          <w:sz w:val="24"/>
          <w:szCs w:val="24"/>
        </w:rPr>
        <w:t>stāvlapu</w:t>
      </w:r>
      <w:proofErr w:type="spellEnd"/>
      <w:r w:rsidRPr="00A07F29">
        <w:rPr>
          <w:rFonts w:ascii="Times New Roman" w:eastAsia="Calibri" w:hAnsi="Times New Roman" w:cs="Times New Roman"/>
          <w:color w:val="000000"/>
          <w:sz w:val="24"/>
          <w:szCs w:val="24"/>
        </w:rPr>
        <w:t xml:space="preserve"> </w:t>
      </w:r>
      <w:proofErr w:type="spellStart"/>
      <w:r w:rsidRPr="00A07F29">
        <w:rPr>
          <w:rFonts w:ascii="Times New Roman" w:eastAsia="Calibri" w:hAnsi="Times New Roman" w:cs="Times New Roman"/>
          <w:color w:val="000000"/>
          <w:sz w:val="24"/>
          <w:szCs w:val="24"/>
        </w:rPr>
        <w:t>dzegužpirkstīte</w:t>
      </w:r>
      <w:proofErr w:type="spellEnd"/>
      <w:r w:rsidRPr="00A07F29">
        <w:rPr>
          <w:rFonts w:ascii="Times New Roman" w:eastAsia="Calibri" w:hAnsi="Times New Roman" w:cs="Times New Roman"/>
          <w:color w:val="000000"/>
          <w:sz w:val="24"/>
          <w:szCs w:val="24"/>
        </w:rPr>
        <w:t xml:space="preserve"> </w:t>
      </w:r>
      <w:proofErr w:type="spellStart"/>
      <w:r w:rsidRPr="00A07F29">
        <w:rPr>
          <w:rFonts w:ascii="Times New Roman" w:eastAsia="Calibri" w:hAnsi="Times New Roman" w:cs="Times New Roman"/>
          <w:i/>
          <w:iCs/>
          <w:color w:val="000000"/>
          <w:sz w:val="24"/>
          <w:szCs w:val="24"/>
        </w:rPr>
        <w:t>Dactylorhiza</w:t>
      </w:r>
      <w:proofErr w:type="spellEnd"/>
      <w:r w:rsidRPr="00A07F29">
        <w:rPr>
          <w:rFonts w:ascii="Times New Roman" w:eastAsia="Calibri" w:hAnsi="Times New Roman" w:cs="Times New Roman"/>
          <w:i/>
          <w:iCs/>
          <w:color w:val="000000"/>
          <w:sz w:val="24"/>
          <w:szCs w:val="24"/>
        </w:rPr>
        <w:t xml:space="preserve"> </w:t>
      </w:r>
      <w:proofErr w:type="spellStart"/>
      <w:r w:rsidRPr="00A07F29">
        <w:rPr>
          <w:rFonts w:ascii="Times New Roman" w:eastAsia="Calibri" w:hAnsi="Times New Roman" w:cs="Times New Roman"/>
          <w:i/>
          <w:iCs/>
          <w:color w:val="000000"/>
          <w:sz w:val="24"/>
          <w:szCs w:val="24"/>
        </w:rPr>
        <w:t>incarnata</w:t>
      </w:r>
      <w:proofErr w:type="spellEnd"/>
      <w:r w:rsidRPr="00A07F29">
        <w:rPr>
          <w:rFonts w:ascii="Times New Roman" w:eastAsia="Calibri" w:hAnsi="Times New Roman" w:cs="Times New Roman"/>
          <w:color w:val="000000"/>
          <w:sz w:val="24"/>
          <w:szCs w:val="24"/>
        </w:rPr>
        <w:t xml:space="preserve"> un kārpainais segliņš </w:t>
      </w:r>
      <w:proofErr w:type="spellStart"/>
      <w:r w:rsidRPr="00A07F29">
        <w:rPr>
          <w:rFonts w:ascii="Times New Roman" w:eastAsia="Calibri" w:hAnsi="Times New Roman" w:cs="Times New Roman"/>
          <w:i/>
          <w:iCs/>
          <w:color w:val="000000"/>
          <w:sz w:val="24"/>
          <w:szCs w:val="24"/>
        </w:rPr>
        <w:t>Euonymus</w:t>
      </w:r>
      <w:proofErr w:type="spellEnd"/>
      <w:r w:rsidRPr="00A07F29">
        <w:rPr>
          <w:rFonts w:ascii="Times New Roman" w:eastAsia="Calibri" w:hAnsi="Times New Roman" w:cs="Times New Roman"/>
          <w:i/>
          <w:iCs/>
          <w:color w:val="000000"/>
          <w:sz w:val="24"/>
          <w:szCs w:val="24"/>
        </w:rPr>
        <w:t xml:space="preserve"> </w:t>
      </w:r>
      <w:proofErr w:type="spellStart"/>
      <w:r w:rsidRPr="00A07F29">
        <w:rPr>
          <w:rFonts w:ascii="Times New Roman" w:eastAsia="Calibri" w:hAnsi="Times New Roman" w:cs="Times New Roman"/>
          <w:i/>
          <w:iCs/>
          <w:color w:val="000000"/>
          <w:sz w:val="24"/>
          <w:szCs w:val="24"/>
        </w:rPr>
        <w:t>verrucosa</w:t>
      </w:r>
      <w:proofErr w:type="spellEnd"/>
      <w:r w:rsidRPr="00A07F29">
        <w:rPr>
          <w:rFonts w:ascii="Times New Roman" w:eastAsia="Calibri" w:hAnsi="Times New Roman" w:cs="Times New Roman"/>
          <w:color w:val="000000"/>
          <w:sz w:val="24"/>
          <w:szCs w:val="24"/>
        </w:rPr>
        <w:t xml:space="preserve">. No DMB </w:t>
      </w:r>
      <w:proofErr w:type="spellStart"/>
      <w:r w:rsidRPr="00A07F29">
        <w:rPr>
          <w:rFonts w:ascii="Times New Roman" w:eastAsia="Calibri" w:hAnsi="Times New Roman" w:cs="Times New Roman"/>
          <w:color w:val="000000"/>
          <w:sz w:val="24"/>
          <w:szCs w:val="24"/>
        </w:rPr>
        <w:t>indikatorsugām</w:t>
      </w:r>
      <w:proofErr w:type="spellEnd"/>
      <w:r w:rsidRPr="00A07F29">
        <w:rPr>
          <w:rFonts w:ascii="Times New Roman" w:eastAsia="Calibri" w:hAnsi="Times New Roman" w:cs="Times New Roman"/>
          <w:color w:val="000000"/>
          <w:sz w:val="24"/>
          <w:szCs w:val="24"/>
        </w:rPr>
        <w:t xml:space="preserve"> šeit sastopamas sūnas – </w:t>
      </w:r>
      <w:proofErr w:type="spellStart"/>
      <w:r w:rsidRPr="00A07F29">
        <w:rPr>
          <w:rFonts w:ascii="Times New Roman" w:eastAsia="Calibri" w:hAnsi="Times New Roman" w:cs="Times New Roman"/>
          <w:color w:val="000000"/>
          <w:sz w:val="24"/>
          <w:szCs w:val="24"/>
        </w:rPr>
        <w:t>līklapu</w:t>
      </w:r>
      <w:proofErr w:type="spellEnd"/>
      <w:r w:rsidRPr="00A07F29">
        <w:rPr>
          <w:rFonts w:ascii="Times New Roman" w:eastAsia="Calibri" w:hAnsi="Times New Roman" w:cs="Times New Roman"/>
          <w:color w:val="000000"/>
          <w:sz w:val="24"/>
          <w:szCs w:val="24"/>
        </w:rPr>
        <w:t xml:space="preserve"> </w:t>
      </w:r>
      <w:proofErr w:type="spellStart"/>
      <w:r w:rsidRPr="00A07F29">
        <w:rPr>
          <w:rFonts w:ascii="Times New Roman" w:eastAsia="Calibri" w:hAnsi="Times New Roman" w:cs="Times New Roman"/>
          <w:color w:val="000000"/>
          <w:sz w:val="24"/>
          <w:szCs w:val="24"/>
        </w:rPr>
        <w:t>novela</w:t>
      </w:r>
      <w:proofErr w:type="spellEnd"/>
      <w:r w:rsidRPr="00A07F29">
        <w:rPr>
          <w:rFonts w:ascii="Times New Roman" w:eastAsia="Calibri" w:hAnsi="Times New Roman" w:cs="Times New Roman"/>
          <w:color w:val="000000"/>
          <w:sz w:val="24"/>
          <w:szCs w:val="24"/>
        </w:rPr>
        <w:t xml:space="preserve"> </w:t>
      </w:r>
      <w:proofErr w:type="spellStart"/>
      <w:r w:rsidRPr="00A07F29">
        <w:rPr>
          <w:rFonts w:ascii="Times New Roman" w:eastAsia="Calibri" w:hAnsi="Times New Roman" w:cs="Times New Roman"/>
          <w:i/>
          <w:iCs/>
          <w:color w:val="000000"/>
          <w:sz w:val="24"/>
          <w:szCs w:val="24"/>
        </w:rPr>
        <w:t>Nowellia</w:t>
      </w:r>
      <w:proofErr w:type="spellEnd"/>
      <w:r w:rsidRPr="00A07F29">
        <w:rPr>
          <w:rFonts w:ascii="Times New Roman" w:eastAsia="Calibri" w:hAnsi="Times New Roman" w:cs="Times New Roman"/>
          <w:i/>
          <w:iCs/>
          <w:color w:val="000000"/>
          <w:sz w:val="24"/>
          <w:szCs w:val="24"/>
        </w:rPr>
        <w:t xml:space="preserve"> </w:t>
      </w:r>
      <w:proofErr w:type="spellStart"/>
      <w:r w:rsidRPr="00A07F29">
        <w:rPr>
          <w:rFonts w:ascii="Times New Roman" w:eastAsia="Calibri" w:hAnsi="Times New Roman" w:cs="Times New Roman"/>
          <w:i/>
          <w:iCs/>
          <w:color w:val="000000"/>
          <w:sz w:val="24"/>
          <w:szCs w:val="24"/>
        </w:rPr>
        <w:t>curvifolia</w:t>
      </w:r>
      <w:proofErr w:type="spellEnd"/>
      <w:r w:rsidRPr="00A07F29">
        <w:rPr>
          <w:rFonts w:ascii="Times New Roman" w:eastAsia="Calibri" w:hAnsi="Times New Roman" w:cs="Times New Roman"/>
          <w:color w:val="000000"/>
          <w:sz w:val="24"/>
          <w:szCs w:val="24"/>
        </w:rPr>
        <w:t xml:space="preserve">, tievā </w:t>
      </w:r>
      <w:proofErr w:type="spellStart"/>
      <w:r w:rsidRPr="00A07F29">
        <w:rPr>
          <w:rFonts w:ascii="Times New Roman" w:eastAsia="Calibri" w:hAnsi="Times New Roman" w:cs="Times New Roman"/>
          <w:color w:val="000000"/>
          <w:sz w:val="24"/>
          <w:szCs w:val="24"/>
        </w:rPr>
        <w:t>gludlape</w:t>
      </w:r>
      <w:proofErr w:type="spellEnd"/>
      <w:r w:rsidRPr="00A07F29">
        <w:rPr>
          <w:rFonts w:ascii="Times New Roman" w:eastAsia="Calibri" w:hAnsi="Times New Roman" w:cs="Times New Roman"/>
          <w:i/>
          <w:iCs/>
          <w:color w:val="000000"/>
          <w:sz w:val="24"/>
          <w:szCs w:val="24"/>
        </w:rPr>
        <w:t xml:space="preserve"> </w:t>
      </w:r>
      <w:proofErr w:type="spellStart"/>
      <w:r w:rsidRPr="00A07F29">
        <w:rPr>
          <w:rFonts w:ascii="Times New Roman" w:eastAsia="Calibri" w:hAnsi="Times New Roman" w:cs="Times New Roman"/>
          <w:i/>
          <w:iCs/>
          <w:color w:val="000000"/>
          <w:sz w:val="24"/>
          <w:szCs w:val="24"/>
        </w:rPr>
        <w:t>Homalia</w:t>
      </w:r>
      <w:proofErr w:type="spellEnd"/>
      <w:r w:rsidRPr="00A07F29">
        <w:rPr>
          <w:rFonts w:ascii="Times New Roman" w:eastAsia="Calibri" w:hAnsi="Times New Roman" w:cs="Times New Roman"/>
          <w:i/>
          <w:iCs/>
          <w:color w:val="000000"/>
          <w:sz w:val="24"/>
          <w:szCs w:val="24"/>
        </w:rPr>
        <w:t xml:space="preserve"> </w:t>
      </w:r>
      <w:proofErr w:type="spellStart"/>
      <w:r w:rsidRPr="00A07F29">
        <w:rPr>
          <w:rFonts w:ascii="Times New Roman" w:eastAsia="Calibri" w:hAnsi="Times New Roman" w:cs="Times New Roman"/>
          <w:i/>
          <w:iCs/>
          <w:color w:val="000000"/>
          <w:sz w:val="24"/>
          <w:szCs w:val="24"/>
        </w:rPr>
        <w:t>trichomanoides</w:t>
      </w:r>
      <w:proofErr w:type="spellEnd"/>
      <w:r w:rsidRPr="00A07F29">
        <w:rPr>
          <w:rFonts w:ascii="Times New Roman" w:eastAsia="Calibri" w:hAnsi="Times New Roman" w:cs="Times New Roman"/>
          <w:i/>
          <w:iCs/>
          <w:color w:val="000000"/>
          <w:sz w:val="24"/>
          <w:szCs w:val="24"/>
        </w:rPr>
        <w:t xml:space="preserve">, </w:t>
      </w:r>
      <w:r w:rsidRPr="00A07F29">
        <w:rPr>
          <w:rFonts w:ascii="Times New Roman" w:eastAsia="Calibri" w:hAnsi="Times New Roman" w:cs="Times New Roman"/>
          <w:color w:val="000000"/>
          <w:sz w:val="24"/>
          <w:szCs w:val="24"/>
        </w:rPr>
        <w:t xml:space="preserve">parastā </w:t>
      </w:r>
      <w:proofErr w:type="spellStart"/>
      <w:r w:rsidRPr="00A07F29">
        <w:rPr>
          <w:rFonts w:ascii="Times New Roman" w:eastAsia="Calibri" w:hAnsi="Times New Roman" w:cs="Times New Roman"/>
          <w:color w:val="000000"/>
          <w:sz w:val="24"/>
          <w:szCs w:val="24"/>
        </w:rPr>
        <w:t>sprogaine</w:t>
      </w:r>
      <w:proofErr w:type="spellEnd"/>
      <w:r w:rsidRPr="00A07F29">
        <w:rPr>
          <w:rFonts w:ascii="Times New Roman" w:eastAsia="Calibri" w:hAnsi="Times New Roman" w:cs="Times New Roman"/>
          <w:i/>
          <w:iCs/>
          <w:color w:val="000000"/>
          <w:sz w:val="24"/>
          <w:szCs w:val="24"/>
        </w:rPr>
        <w:t xml:space="preserve"> </w:t>
      </w:r>
      <w:proofErr w:type="spellStart"/>
      <w:r w:rsidRPr="00A07F29">
        <w:rPr>
          <w:rFonts w:ascii="Times New Roman" w:eastAsia="Calibri" w:hAnsi="Times New Roman" w:cs="Times New Roman"/>
          <w:i/>
          <w:iCs/>
          <w:color w:val="000000"/>
          <w:sz w:val="24"/>
          <w:szCs w:val="24"/>
        </w:rPr>
        <w:t>Ulota</w:t>
      </w:r>
      <w:proofErr w:type="spellEnd"/>
      <w:r w:rsidRPr="00A07F29">
        <w:rPr>
          <w:rFonts w:ascii="Times New Roman" w:eastAsia="Calibri" w:hAnsi="Times New Roman" w:cs="Times New Roman"/>
          <w:i/>
          <w:iCs/>
          <w:color w:val="000000"/>
          <w:sz w:val="24"/>
          <w:szCs w:val="24"/>
        </w:rPr>
        <w:t xml:space="preserve"> </w:t>
      </w:r>
      <w:proofErr w:type="spellStart"/>
      <w:r w:rsidRPr="00A07F29">
        <w:rPr>
          <w:rFonts w:ascii="Times New Roman" w:eastAsia="Calibri" w:hAnsi="Times New Roman" w:cs="Times New Roman"/>
          <w:i/>
          <w:iCs/>
          <w:color w:val="000000"/>
          <w:sz w:val="24"/>
          <w:szCs w:val="24"/>
        </w:rPr>
        <w:t>crispa</w:t>
      </w:r>
      <w:proofErr w:type="spellEnd"/>
      <w:r w:rsidRPr="00A07F29">
        <w:rPr>
          <w:rFonts w:ascii="Times New Roman" w:eastAsia="Calibri" w:hAnsi="Times New Roman" w:cs="Times New Roman"/>
          <w:i/>
          <w:iCs/>
          <w:color w:val="000000"/>
          <w:sz w:val="24"/>
          <w:szCs w:val="24"/>
        </w:rPr>
        <w:t xml:space="preserve">, </w:t>
      </w:r>
      <w:r w:rsidRPr="00A07F29">
        <w:rPr>
          <w:rFonts w:ascii="Times New Roman" w:eastAsia="Calibri" w:hAnsi="Times New Roman" w:cs="Times New Roman"/>
          <w:color w:val="000000"/>
          <w:sz w:val="24"/>
          <w:szCs w:val="24"/>
        </w:rPr>
        <w:t>no ķērpjiem – rakstu ķērpis</w:t>
      </w:r>
      <w:r w:rsidRPr="00A07F29">
        <w:rPr>
          <w:rFonts w:ascii="Times New Roman" w:eastAsia="Calibri" w:hAnsi="Times New Roman" w:cs="Times New Roman"/>
          <w:i/>
          <w:iCs/>
          <w:color w:val="000000"/>
          <w:sz w:val="24"/>
          <w:szCs w:val="24"/>
        </w:rPr>
        <w:t xml:space="preserve"> </w:t>
      </w:r>
      <w:proofErr w:type="spellStart"/>
      <w:r w:rsidRPr="00A07F29">
        <w:rPr>
          <w:rFonts w:ascii="Times New Roman" w:eastAsia="Calibri" w:hAnsi="Times New Roman" w:cs="Times New Roman"/>
          <w:i/>
          <w:iCs/>
          <w:color w:val="000000"/>
          <w:sz w:val="24"/>
          <w:szCs w:val="24"/>
        </w:rPr>
        <w:t>Graphis</w:t>
      </w:r>
      <w:proofErr w:type="spellEnd"/>
      <w:r w:rsidRPr="00A07F29">
        <w:rPr>
          <w:rFonts w:ascii="Times New Roman" w:eastAsia="Calibri" w:hAnsi="Times New Roman" w:cs="Times New Roman"/>
          <w:i/>
          <w:iCs/>
          <w:color w:val="000000"/>
          <w:sz w:val="24"/>
          <w:szCs w:val="24"/>
        </w:rPr>
        <w:t xml:space="preserve"> </w:t>
      </w:r>
      <w:proofErr w:type="spellStart"/>
      <w:r w:rsidRPr="00A07F29">
        <w:rPr>
          <w:rFonts w:ascii="Times New Roman" w:eastAsia="Calibri" w:hAnsi="Times New Roman" w:cs="Times New Roman"/>
          <w:i/>
          <w:iCs/>
          <w:color w:val="000000"/>
          <w:sz w:val="24"/>
          <w:szCs w:val="24"/>
        </w:rPr>
        <w:t>scripta</w:t>
      </w:r>
      <w:proofErr w:type="spellEnd"/>
      <w:r w:rsidRPr="00A07F29">
        <w:rPr>
          <w:rFonts w:ascii="Times New Roman" w:eastAsia="Calibri" w:hAnsi="Times New Roman" w:cs="Times New Roman"/>
          <w:color w:val="000000"/>
          <w:sz w:val="24"/>
          <w:szCs w:val="24"/>
        </w:rPr>
        <w:t xml:space="preserve">, iesarkanā </w:t>
      </w:r>
      <w:proofErr w:type="spellStart"/>
      <w:r w:rsidRPr="00A07F29">
        <w:rPr>
          <w:rFonts w:ascii="Times New Roman" w:eastAsia="Calibri" w:hAnsi="Times New Roman" w:cs="Times New Roman"/>
          <w:color w:val="000000"/>
          <w:sz w:val="24"/>
          <w:szCs w:val="24"/>
        </w:rPr>
        <w:t>bacīdija</w:t>
      </w:r>
      <w:proofErr w:type="spellEnd"/>
      <w:r w:rsidRPr="00A07F29">
        <w:rPr>
          <w:rFonts w:ascii="Times New Roman" w:eastAsia="Calibri" w:hAnsi="Times New Roman" w:cs="Times New Roman"/>
          <w:color w:val="000000"/>
          <w:sz w:val="24"/>
          <w:szCs w:val="24"/>
        </w:rPr>
        <w:t xml:space="preserve"> </w:t>
      </w:r>
      <w:proofErr w:type="spellStart"/>
      <w:r w:rsidRPr="00A07F29">
        <w:rPr>
          <w:rFonts w:ascii="Times New Roman" w:eastAsia="Calibri" w:hAnsi="Times New Roman" w:cs="Times New Roman"/>
          <w:i/>
          <w:iCs/>
          <w:color w:val="000000"/>
          <w:sz w:val="24"/>
          <w:szCs w:val="24"/>
        </w:rPr>
        <w:t>Bacidia</w:t>
      </w:r>
      <w:proofErr w:type="spellEnd"/>
      <w:r w:rsidRPr="00A07F29">
        <w:rPr>
          <w:rFonts w:ascii="Times New Roman" w:eastAsia="Calibri" w:hAnsi="Times New Roman" w:cs="Times New Roman"/>
          <w:i/>
          <w:iCs/>
          <w:color w:val="000000"/>
          <w:sz w:val="24"/>
          <w:szCs w:val="24"/>
        </w:rPr>
        <w:t xml:space="preserve"> </w:t>
      </w:r>
      <w:proofErr w:type="spellStart"/>
      <w:r w:rsidRPr="00A07F29">
        <w:rPr>
          <w:rFonts w:ascii="Times New Roman" w:eastAsia="Calibri" w:hAnsi="Times New Roman" w:cs="Times New Roman"/>
          <w:i/>
          <w:iCs/>
          <w:color w:val="000000"/>
          <w:sz w:val="24"/>
          <w:szCs w:val="24"/>
        </w:rPr>
        <w:t>rubella</w:t>
      </w:r>
      <w:proofErr w:type="spellEnd"/>
      <w:r w:rsidRPr="00A07F29">
        <w:rPr>
          <w:rFonts w:ascii="Times New Roman" w:eastAsia="Calibri" w:hAnsi="Times New Roman" w:cs="Times New Roman"/>
          <w:color w:val="000000"/>
          <w:sz w:val="24"/>
          <w:szCs w:val="24"/>
        </w:rPr>
        <w:t xml:space="preserve">, pumpurainā </w:t>
      </w:r>
      <w:proofErr w:type="spellStart"/>
      <w:r w:rsidRPr="00A07F29">
        <w:rPr>
          <w:rFonts w:ascii="Times New Roman" w:eastAsia="Calibri" w:hAnsi="Times New Roman" w:cs="Times New Roman"/>
          <w:color w:val="000000"/>
          <w:sz w:val="24"/>
          <w:szCs w:val="24"/>
        </w:rPr>
        <w:t>akrokordija</w:t>
      </w:r>
      <w:proofErr w:type="spellEnd"/>
      <w:r w:rsidRPr="00A07F29">
        <w:rPr>
          <w:rFonts w:ascii="Times New Roman" w:eastAsia="Calibri" w:hAnsi="Times New Roman" w:cs="Times New Roman"/>
          <w:color w:val="000000"/>
          <w:sz w:val="24"/>
          <w:szCs w:val="24"/>
        </w:rPr>
        <w:t xml:space="preserve"> </w:t>
      </w:r>
      <w:proofErr w:type="spellStart"/>
      <w:r w:rsidRPr="00A07F29">
        <w:rPr>
          <w:rFonts w:ascii="Times New Roman" w:eastAsia="Calibri" w:hAnsi="Times New Roman" w:cs="Times New Roman"/>
          <w:i/>
          <w:iCs/>
          <w:color w:val="000000"/>
          <w:sz w:val="24"/>
          <w:szCs w:val="24"/>
        </w:rPr>
        <w:t>Acrocordia</w:t>
      </w:r>
      <w:proofErr w:type="spellEnd"/>
      <w:r w:rsidRPr="00A07F29">
        <w:rPr>
          <w:rFonts w:ascii="Times New Roman" w:eastAsia="Calibri" w:hAnsi="Times New Roman" w:cs="Times New Roman"/>
          <w:i/>
          <w:iCs/>
          <w:color w:val="000000"/>
          <w:sz w:val="24"/>
          <w:szCs w:val="24"/>
        </w:rPr>
        <w:t xml:space="preserve"> </w:t>
      </w:r>
      <w:proofErr w:type="spellStart"/>
      <w:r w:rsidRPr="00A07F29">
        <w:rPr>
          <w:rFonts w:ascii="Times New Roman" w:eastAsia="Calibri" w:hAnsi="Times New Roman" w:cs="Times New Roman"/>
          <w:i/>
          <w:iCs/>
          <w:color w:val="000000"/>
          <w:sz w:val="24"/>
          <w:szCs w:val="24"/>
        </w:rPr>
        <w:t>gemmata</w:t>
      </w:r>
      <w:proofErr w:type="spellEnd"/>
      <w:r w:rsidRPr="00A07F29">
        <w:rPr>
          <w:rFonts w:ascii="Times New Roman" w:eastAsia="Calibri" w:hAnsi="Times New Roman" w:cs="Times New Roman"/>
          <w:color w:val="000000"/>
          <w:sz w:val="24"/>
          <w:szCs w:val="24"/>
        </w:rPr>
        <w:t xml:space="preserve">, vienkrāsas </w:t>
      </w:r>
      <w:proofErr w:type="spellStart"/>
      <w:r w:rsidRPr="00A07F29">
        <w:rPr>
          <w:rFonts w:ascii="Times New Roman" w:eastAsia="Calibri" w:hAnsi="Times New Roman" w:cs="Times New Roman"/>
          <w:color w:val="000000"/>
          <w:sz w:val="24"/>
          <w:szCs w:val="24"/>
        </w:rPr>
        <w:t>artonija</w:t>
      </w:r>
      <w:proofErr w:type="spellEnd"/>
      <w:r w:rsidRPr="00A07F29">
        <w:rPr>
          <w:rFonts w:ascii="Times New Roman" w:eastAsia="Calibri" w:hAnsi="Times New Roman" w:cs="Times New Roman"/>
          <w:color w:val="000000"/>
          <w:sz w:val="24"/>
          <w:szCs w:val="24"/>
        </w:rPr>
        <w:t xml:space="preserve"> </w:t>
      </w:r>
      <w:proofErr w:type="spellStart"/>
      <w:r w:rsidRPr="00A07F29">
        <w:rPr>
          <w:rFonts w:ascii="Times New Roman" w:eastAsia="Calibri" w:hAnsi="Times New Roman" w:cs="Times New Roman"/>
          <w:i/>
          <w:iCs/>
          <w:color w:val="000000"/>
          <w:sz w:val="24"/>
          <w:szCs w:val="24"/>
        </w:rPr>
        <w:t>Arthonia</w:t>
      </w:r>
      <w:proofErr w:type="spellEnd"/>
      <w:r w:rsidRPr="00A07F29">
        <w:rPr>
          <w:rFonts w:ascii="Times New Roman" w:eastAsia="Calibri" w:hAnsi="Times New Roman" w:cs="Times New Roman"/>
          <w:i/>
          <w:iCs/>
          <w:color w:val="000000"/>
          <w:sz w:val="24"/>
          <w:szCs w:val="24"/>
        </w:rPr>
        <w:t xml:space="preserve"> </w:t>
      </w:r>
      <w:proofErr w:type="spellStart"/>
      <w:r w:rsidRPr="00A07F29">
        <w:rPr>
          <w:rFonts w:ascii="Times New Roman" w:eastAsia="Calibri" w:hAnsi="Times New Roman" w:cs="Times New Roman"/>
          <w:i/>
          <w:iCs/>
          <w:color w:val="000000"/>
          <w:sz w:val="24"/>
          <w:szCs w:val="24"/>
        </w:rPr>
        <w:t>vinosa</w:t>
      </w:r>
      <w:proofErr w:type="spellEnd"/>
      <w:r w:rsidRPr="00A07F29">
        <w:rPr>
          <w:rFonts w:ascii="Times New Roman" w:eastAsia="Calibri" w:hAnsi="Times New Roman" w:cs="Times New Roman"/>
          <w:color w:val="000000"/>
          <w:sz w:val="24"/>
          <w:szCs w:val="24"/>
        </w:rPr>
        <w:t xml:space="preserve">, kastaņbrūnā </w:t>
      </w:r>
      <w:proofErr w:type="spellStart"/>
      <w:r w:rsidRPr="00A07F29">
        <w:rPr>
          <w:rFonts w:ascii="Times New Roman" w:eastAsia="Calibri" w:hAnsi="Times New Roman" w:cs="Times New Roman"/>
          <w:color w:val="000000"/>
          <w:sz w:val="24"/>
          <w:szCs w:val="24"/>
        </w:rPr>
        <w:t>artonija</w:t>
      </w:r>
      <w:proofErr w:type="spellEnd"/>
      <w:r w:rsidRPr="00A07F29">
        <w:rPr>
          <w:rFonts w:ascii="Times New Roman" w:eastAsia="Calibri" w:hAnsi="Times New Roman" w:cs="Times New Roman"/>
          <w:color w:val="000000"/>
          <w:sz w:val="24"/>
          <w:szCs w:val="24"/>
        </w:rPr>
        <w:t xml:space="preserve"> </w:t>
      </w:r>
      <w:proofErr w:type="spellStart"/>
      <w:r w:rsidRPr="00A07F29">
        <w:rPr>
          <w:rFonts w:ascii="Times New Roman" w:eastAsia="Calibri" w:hAnsi="Times New Roman" w:cs="Times New Roman"/>
          <w:i/>
          <w:iCs/>
          <w:color w:val="000000"/>
          <w:sz w:val="24"/>
          <w:szCs w:val="24"/>
        </w:rPr>
        <w:t>Arthonia</w:t>
      </w:r>
      <w:proofErr w:type="spellEnd"/>
      <w:r w:rsidRPr="00A07F29">
        <w:rPr>
          <w:rFonts w:ascii="Times New Roman" w:eastAsia="Calibri" w:hAnsi="Times New Roman" w:cs="Times New Roman"/>
          <w:i/>
          <w:iCs/>
          <w:color w:val="000000"/>
          <w:sz w:val="24"/>
          <w:szCs w:val="24"/>
        </w:rPr>
        <w:t xml:space="preserve"> </w:t>
      </w:r>
      <w:proofErr w:type="spellStart"/>
      <w:r w:rsidRPr="00A07F29">
        <w:rPr>
          <w:rFonts w:ascii="Times New Roman" w:eastAsia="Calibri" w:hAnsi="Times New Roman" w:cs="Times New Roman"/>
          <w:i/>
          <w:iCs/>
          <w:color w:val="000000"/>
          <w:sz w:val="24"/>
          <w:szCs w:val="24"/>
        </w:rPr>
        <w:t>spadicea</w:t>
      </w:r>
      <w:proofErr w:type="spellEnd"/>
      <w:r w:rsidRPr="00A07F29">
        <w:rPr>
          <w:rFonts w:ascii="Times New Roman" w:eastAsia="Calibri" w:hAnsi="Times New Roman" w:cs="Times New Roman"/>
          <w:color w:val="000000"/>
          <w:sz w:val="24"/>
          <w:szCs w:val="24"/>
        </w:rPr>
        <w:t xml:space="preserve"> un </w:t>
      </w:r>
      <w:proofErr w:type="spellStart"/>
      <w:r w:rsidRPr="00A07F29">
        <w:rPr>
          <w:rFonts w:ascii="Times New Roman" w:eastAsia="Calibri" w:hAnsi="Times New Roman" w:cs="Times New Roman"/>
          <w:color w:val="000000"/>
          <w:sz w:val="24"/>
          <w:szCs w:val="24"/>
        </w:rPr>
        <w:t>īskājainā</w:t>
      </w:r>
      <w:proofErr w:type="spellEnd"/>
      <w:r w:rsidRPr="00A07F29">
        <w:rPr>
          <w:rFonts w:ascii="Times New Roman" w:eastAsia="Calibri" w:hAnsi="Times New Roman" w:cs="Times New Roman"/>
          <w:color w:val="000000"/>
          <w:sz w:val="24"/>
          <w:szCs w:val="24"/>
        </w:rPr>
        <w:t xml:space="preserve"> </w:t>
      </w:r>
      <w:proofErr w:type="spellStart"/>
      <w:r w:rsidRPr="00A07F29">
        <w:rPr>
          <w:rFonts w:ascii="Times New Roman" w:eastAsia="Calibri" w:hAnsi="Times New Roman" w:cs="Times New Roman"/>
          <w:color w:val="000000"/>
          <w:sz w:val="24"/>
          <w:szCs w:val="24"/>
        </w:rPr>
        <w:t>henotēka</w:t>
      </w:r>
      <w:proofErr w:type="spellEnd"/>
      <w:r w:rsidRPr="00A07F29">
        <w:rPr>
          <w:rFonts w:ascii="Times New Roman" w:eastAsia="Calibri" w:hAnsi="Times New Roman" w:cs="Times New Roman"/>
          <w:color w:val="000000"/>
          <w:sz w:val="24"/>
          <w:szCs w:val="24"/>
        </w:rPr>
        <w:t xml:space="preserve"> </w:t>
      </w:r>
      <w:proofErr w:type="spellStart"/>
      <w:r w:rsidRPr="00A07F29">
        <w:rPr>
          <w:rFonts w:ascii="Times New Roman" w:eastAsia="Calibri" w:hAnsi="Times New Roman" w:cs="Times New Roman"/>
          <w:i/>
          <w:iCs/>
          <w:color w:val="000000"/>
          <w:sz w:val="24"/>
          <w:szCs w:val="24"/>
        </w:rPr>
        <w:t>Chaenotheca</w:t>
      </w:r>
      <w:proofErr w:type="spellEnd"/>
      <w:r w:rsidRPr="00A07F29">
        <w:rPr>
          <w:rFonts w:ascii="Times New Roman" w:eastAsia="Calibri" w:hAnsi="Times New Roman" w:cs="Times New Roman"/>
          <w:i/>
          <w:iCs/>
          <w:color w:val="000000"/>
          <w:sz w:val="24"/>
          <w:szCs w:val="24"/>
        </w:rPr>
        <w:t xml:space="preserve"> </w:t>
      </w:r>
      <w:proofErr w:type="spellStart"/>
      <w:r w:rsidRPr="00A07F29">
        <w:rPr>
          <w:rFonts w:ascii="Times New Roman" w:eastAsia="Calibri" w:hAnsi="Times New Roman" w:cs="Times New Roman"/>
          <w:i/>
          <w:iCs/>
          <w:color w:val="000000"/>
          <w:sz w:val="24"/>
          <w:szCs w:val="24"/>
        </w:rPr>
        <w:t>brachypoda</w:t>
      </w:r>
      <w:proofErr w:type="spellEnd"/>
      <w:r w:rsidRPr="00A07F29">
        <w:rPr>
          <w:rFonts w:ascii="Times New Roman" w:eastAsia="Calibri" w:hAnsi="Times New Roman" w:cs="Times New Roman"/>
          <w:color w:val="000000"/>
          <w:sz w:val="24"/>
          <w:szCs w:val="24"/>
        </w:rPr>
        <w:t xml:space="preserve">, kā arī piepes – priežu </w:t>
      </w:r>
      <w:proofErr w:type="spellStart"/>
      <w:r w:rsidRPr="00A07F29">
        <w:rPr>
          <w:rFonts w:ascii="Times New Roman" w:eastAsia="Calibri" w:hAnsi="Times New Roman" w:cs="Times New Roman"/>
          <w:color w:val="000000"/>
          <w:sz w:val="24"/>
          <w:szCs w:val="24"/>
        </w:rPr>
        <w:t>cietpiepe</w:t>
      </w:r>
      <w:proofErr w:type="spellEnd"/>
      <w:r w:rsidRPr="00A07F29">
        <w:rPr>
          <w:rFonts w:ascii="Times New Roman" w:eastAsia="Calibri" w:hAnsi="Times New Roman" w:cs="Times New Roman"/>
          <w:color w:val="000000"/>
          <w:sz w:val="24"/>
          <w:szCs w:val="24"/>
        </w:rPr>
        <w:t xml:space="preserve"> </w:t>
      </w:r>
      <w:proofErr w:type="spellStart"/>
      <w:r w:rsidRPr="00A07F29">
        <w:rPr>
          <w:rFonts w:ascii="Times New Roman" w:eastAsia="Calibri" w:hAnsi="Times New Roman" w:cs="Times New Roman"/>
          <w:i/>
          <w:iCs/>
          <w:color w:val="000000"/>
          <w:sz w:val="24"/>
          <w:szCs w:val="24"/>
        </w:rPr>
        <w:t>Phellinus</w:t>
      </w:r>
      <w:proofErr w:type="spellEnd"/>
      <w:r w:rsidRPr="00A07F29">
        <w:rPr>
          <w:rFonts w:ascii="Times New Roman" w:eastAsia="Calibri" w:hAnsi="Times New Roman" w:cs="Times New Roman"/>
          <w:i/>
          <w:iCs/>
          <w:color w:val="000000"/>
          <w:sz w:val="24"/>
          <w:szCs w:val="24"/>
        </w:rPr>
        <w:t xml:space="preserve"> pini </w:t>
      </w:r>
      <w:r w:rsidRPr="00A07F29">
        <w:rPr>
          <w:rFonts w:ascii="Times New Roman" w:eastAsia="Calibri" w:hAnsi="Times New Roman" w:cs="Times New Roman"/>
          <w:color w:val="000000"/>
          <w:sz w:val="24"/>
          <w:szCs w:val="24"/>
        </w:rPr>
        <w:t xml:space="preserve">un liesmainā </w:t>
      </w:r>
      <w:proofErr w:type="spellStart"/>
      <w:r w:rsidRPr="00A07F29">
        <w:rPr>
          <w:rFonts w:ascii="Times New Roman" w:eastAsia="Calibri" w:hAnsi="Times New Roman" w:cs="Times New Roman"/>
          <w:color w:val="000000"/>
          <w:sz w:val="24"/>
          <w:szCs w:val="24"/>
        </w:rPr>
        <w:t>egļpiepe</w:t>
      </w:r>
      <w:proofErr w:type="spellEnd"/>
      <w:r w:rsidRPr="00A07F29">
        <w:rPr>
          <w:rFonts w:ascii="Times New Roman" w:eastAsia="Calibri" w:hAnsi="Times New Roman" w:cs="Times New Roman"/>
          <w:color w:val="000000"/>
          <w:sz w:val="24"/>
          <w:szCs w:val="24"/>
        </w:rPr>
        <w:t xml:space="preserve"> </w:t>
      </w:r>
      <w:proofErr w:type="spellStart"/>
      <w:r w:rsidRPr="00A07F29">
        <w:rPr>
          <w:rFonts w:ascii="Times New Roman" w:eastAsia="Calibri" w:hAnsi="Times New Roman" w:cs="Times New Roman"/>
          <w:i/>
          <w:iCs/>
          <w:color w:val="000000"/>
          <w:sz w:val="24"/>
          <w:szCs w:val="24"/>
        </w:rPr>
        <w:t>Pycnoporellus</w:t>
      </w:r>
      <w:proofErr w:type="spellEnd"/>
      <w:r w:rsidRPr="00A07F29">
        <w:rPr>
          <w:rFonts w:ascii="Times New Roman" w:eastAsia="Calibri" w:hAnsi="Times New Roman" w:cs="Times New Roman"/>
          <w:i/>
          <w:iCs/>
          <w:color w:val="000000"/>
          <w:sz w:val="24"/>
          <w:szCs w:val="24"/>
        </w:rPr>
        <w:t xml:space="preserve"> </w:t>
      </w:r>
      <w:proofErr w:type="spellStart"/>
      <w:r w:rsidRPr="00A07F29">
        <w:rPr>
          <w:rFonts w:ascii="Times New Roman" w:eastAsia="Calibri" w:hAnsi="Times New Roman" w:cs="Times New Roman"/>
          <w:i/>
          <w:iCs/>
          <w:color w:val="000000"/>
          <w:sz w:val="24"/>
          <w:szCs w:val="24"/>
        </w:rPr>
        <w:t>fulgens</w:t>
      </w:r>
      <w:proofErr w:type="spellEnd"/>
      <w:r w:rsidRPr="00A07F29">
        <w:rPr>
          <w:rFonts w:ascii="Times New Roman" w:eastAsia="Calibri" w:hAnsi="Times New Roman" w:cs="Times New Roman"/>
          <w:color w:val="000000"/>
          <w:sz w:val="24"/>
          <w:szCs w:val="24"/>
        </w:rPr>
        <w:t xml:space="preserve">. </w:t>
      </w:r>
    </w:p>
    <w:p w14:paraId="50C0E2BC" w14:textId="46BD1498" w:rsidR="002B1603" w:rsidRPr="00A07F29" w:rsidRDefault="002B1603" w:rsidP="007714A0">
      <w:pPr>
        <w:keepNext/>
        <w:keepLines/>
        <w:spacing w:before="240" w:after="120" w:line="240" w:lineRule="auto"/>
        <w:jc w:val="both"/>
        <w:outlineLvl w:val="3"/>
        <w:rPr>
          <w:rFonts w:ascii="Times New Roman" w:eastAsia="Calibri" w:hAnsi="Times New Roman" w:cs="Times New Roman"/>
          <w:b/>
          <w:bCs/>
          <w:i/>
          <w:iCs/>
          <w:sz w:val="24"/>
          <w:szCs w:val="24"/>
          <w:lang w:eastAsia="lv-LV"/>
        </w:rPr>
      </w:pPr>
      <w:r w:rsidRPr="00A07F29">
        <w:rPr>
          <w:rFonts w:ascii="Times New Roman" w:eastAsia="Calibri" w:hAnsi="Times New Roman" w:cs="Times New Roman"/>
          <w:b/>
          <w:bCs/>
          <w:sz w:val="24"/>
          <w:szCs w:val="24"/>
          <w:lang w:eastAsia="lv-LV"/>
        </w:rPr>
        <w:t xml:space="preserve">9020* </w:t>
      </w:r>
      <w:r w:rsidRPr="00A07F29">
        <w:rPr>
          <w:rFonts w:ascii="Times New Roman" w:eastAsia="Calibri" w:hAnsi="Times New Roman" w:cs="Times New Roman"/>
          <w:b/>
          <w:bCs/>
          <w:i/>
          <w:iCs/>
          <w:sz w:val="24"/>
          <w:szCs w:val="24"/>
          <w:lang w:eastAsia="lv-LV"/>
        </w:rPr>
        <w:t xml:space="preserve">Veci jaukti platlapju meži </w:t>
      </w:r>
    </w:p>
    <w:p w14:paraId="786E85E5" w14:textId="095ABA31" w:rsidR="007714A0" w:rsidRPr="00A07F29" w:rsidRDefault="0014211A" w:rsidP="007714A0">
      <w:pPr>
        <w:autoSpaceDE w:val="0"/>
        <w:autoSpaceDN w:val="0"/>
        <w:adjustRightInd w:val="0"/>
        <w:spacing w:after="120" w:line="240" w:lineRule="auto"/>
        <w:ind w:firstLine="851"/>
        <w:jc w:val="both"/>
        <w:rPr>
          <w:rFonts w:ascii="Times New Roman" w:eastAsia="Calibri" w:hAnsi="Times New Roman" w:cs="Times New Roman"/>
          <w:color w:val="000000" w:themeColor="text1"/>
          <w:sz w:val="24"/>
          <w:szCs w:val="24"/>
        </w:rPr>
      </w:pPr>
      <w:r w:rsidRPr="00A07F29">
        <w:rPr>
          <w:rFonts w:ascii="Times New Roman" w:eastAsia="Calibri" w:hAnsi="Times New Roman" w:cs="Times New Roman"/>
          <w:sz w:val="24"/>
          <w:szCs w:val="24"/>
        </w:rPr>
        <w:t xml:space="preserve">Biotops AAA “Augšdaugava” apzināts </w:t>
      </w:r>
      <w:r w:rsidR="00983FDA" w:rsidRPr="00A07F29">
        <w:rPr>
          <w:rFonts w:ascii="Times New Roman" w:eastAsia="Calibri" w:hAnsi="Times New Roman" w:cs="Times New Roman"/>
          <w:sz w:val="24"/>
          <w:szCs w:val="24"/>
        </w:rPr>
        <w:t>29,65</w:t>
      </w:r>
      <w:r w:rsidR="006B7672">
        <w:rPr>
          <w:rFonts w:ascii="Times New Roman" w:eastAsia="Calibri" w:hAnsi="Times New Roman" w:cs="Times New Roman"/>
          <w:sz w:val="24"/>
          <w:szCs w:val="24"/>
        </w:rPr>
        <w:t> </w:t>
      </w:r>
      <w:r w:rsidRPr="00A07F29">
        <w:rPr>
          <w:rFonts w:ascii="Times New Roman" w:eastAsia="Calibri" w:hAnsi="Times New Roman" w:cs="Times New Roman"/>
          <w:sz w:val="24"/>
          <w:szCs w:val="24"/>
        </w:rPr>
        <w:t>ha lielā platībā, kas veido 0,06</w:t>
      </w:r>
      <w:r w:rsidR="006B7672">
        <w:rPr>
          <w:rFonts w:ascii="Times New Roman" w:eastAsia="Calibri" w:hAnsi="Times New Roman" w:cs="Times New Roman"/>
          <w:sz w:val="24"/>
          <w:szCs w:val="24"/>
        </w:rPr>
        <w:t> </w:t>
      </w:r>
      <w:r w:rsidRPr="00A07F29">
        <w:rPr>
          <w:rFonts w:ascii="Times New Roman" w:eastAsia="Calibri" w:hAnsi="Times New Roman" w:cs="Times New Roman"/>
          <w:sz w:val="24"/>
          <w:szCs w:val="24"/>
        </w:rPr>
        <w:t>% no aizsargājamās teritorijas kopējās platības</w:t>
      </w:r>
      <w:r w:rsidR="00274E0C" w:rsidRPr="00A07F29">
        <w:rPr>
          <w:rFonts w:ascii="Times New Roman" w:eastAsia="Calibri" w:hAnsi="Times New Roman" w:cs="Times New Roman"/>
          <w:sz w:val="24"/>
          <w:szCs w:val="24"/>
        </w:rPr>
        <w:t>, konstatēts šī biotopa 1. un 2.</w:t>
      </w:r>
      <w:r w:rsidR="006B7672">
        <w:rPr>
          <w:rFonts w:ascii="Times New Roman" w:eastAsia="Calibri" w:hAnsi="Times New Roman" w:cs="Times New Roman"/>
          <w:sz w:val="24"/>
          <w:szCs w:val="24"/>
        </w:rPr>
        <w:t> </w:t>
      </w:r>
      <w:r w:rsidR="00274E0C" w:rsidRPr="00A07F29">
        <w:rPr>
          <w:rFonts w:ascii="Times New Roman" w:eastAsia="Calibri" w:hAnsi="Times New Roman" w:cs="Times New Roman"/>
          <w:sz w:val="24"/>
          <w:szCs w:val="24"/>
        </w:rPr>
        <w:t>variants</w:t>
      </w:r>
      <w:r w:rsidRPr="00A07F29">
        <w:rPr>
          <w:rFonts w:ascii="Times New Roman" w:eastAsia="Calibri" w:hAnsi="Times New Roman" w:cs="Times New Roman"/>
          <w:sz w:val="24"/>
          <w:szCs w:val="24"/>
        </w:rPr>
        <w:t>.</w:t>
      </w:r>
      <w:r w:rsidRPr="00A07F29">
        <w:rPr>
          <w:rFonts w:ascii="Times New Roman" w:eastAsia="Calibri" w:hAnsi="Times New Roman" w:cs="Times New Roman"/>
          <w:color w:val="000000" w:themeColor="text1"/>
          <w:sz w:val="24"/>
          <w:szCs w:val="24"/>
        </w:rPr>
        <w:t xml:space="preserve"> DMB ar labu kvalitāti konstatēti 5,34</w:t>
      </w:r>
      <w:r w:rsidR="008B7EFC">
        <w:rPr>
          <w:rFonts w:ascii="Times New Roman" w:eastAsia="Calibri" w:hAnsi="Times New Roman" w:cs="Times New Roman"/>
          <w:color w:val="000000" w:themeColor="text1"/>
          <w:sz w:val="24"/>
          <w:szCs w:val="24"/>
        </w:rPr>
        <w:t> </w:t>
      </w:r>
      <w:r w:rsidRPr="00A07F29">
        <w:rPr>
          <w:rFonts w:ascii="Times New Roman" w:eastAsia="Calibri" w:hAnsi="Times New Roman" w:cs="Times New Roman"/>
          <w:color w:val="000000" w:themeColor="text1"/>
          <w:sz w:val="24"/>
          <w:szCs w:val="24"/>
        </w:rPr>
        <w:t>ha, bet DMB ar izcilu kvalitāti 2,15</w:t>
      </w:r>
      <w:r w:rsidR="008B7EFC">
        <w:rPr>
          <w:rFonts w:ascii="Times New Roman" w:eastAsia="Calibri" w:hAnsi="Times New Roman" w:cs="Times New Roman"/>
          <w:color w:val="000000" w:themeColor="text1"/>
          <w:sz w:val="24"/>
          <w:szCs w:val="24"/>
        </w:rPr>
        <w:t> </w:t>
      </w:r>
      <w:r w:rsidRPr="00A07F29">
        <w:rPr>
          <w:rFonts w:ascii="Times New Roman" w:eastAsia="Calibri" w:hAnsi="Times New Roman" w:cs="Times New Roman"/>
          <w:color w:val="000000" w:themeColor="text1"/>
          <w:sz w:val="24"/>
          <w:szCs w:val="24"/>
        </w:rPr>
        <w:t xml:space="preserve">ha, kas atbilst </w:t>
      </w:r>
      <w:r w:rsidRPr="00A07F29">
        <w:rPr>
          <w:rFonts w:ascii="Times New Roman" w:eastAsia="Calibri" w:hAnsi="Times New Roman" w:cs="Times New Roman"/>
          <w:iCs/>
          <w:color w:val="000000" w:themeColor="text1"/>
          <w:sz w:val="24"/>
          <w:szCs w:val="24"/>
        </w:rPr>
        <w:t xml:space="preserve">Latvijas </w:t>
      </w:r>
      <w:r w:rsidR="008618E3">
        <w:rPr>
          <w:rFonts w:ascii="Times New Roman" w:eastAsia="Calibri" w:hAnsi="Times New Roman" w:cs="Times New Roman"/>
          <w:iCs/>
          <w:color w:val="000000" w:themeColor="text1"/>
          <w:sz w:val="24"/>
          <w:szCs w:val="24"/>
        </w:rPr>
        <w:t>īpaši aizsargājamam</w:t>
      </w:r>
      <w:r w:rsidRPr="00A07F29">
        <w:rPr>
          <w:rFonts w:ascii="Times New Roman" w:eastAsia="Calibri" w:hAnsi="Times New Roman" w:cs="Times New Roman"/>
          <w:iCs/>
          <w:color w:val="000000" w:themeColor="text1"/>
          <w:sz w:val="24"/>
          <w:szCs w:val="24"/>
        </w:rPr>
        <w:t xml:space="preserve"> biotopam</w:t>
      </w:r>
      <w:r w:rsidRPr="00A07F29">
        <w:rPr>
          <w:rFonts w:ascii="Times New Roman" w:eastAsia="Calibri" w:hAnsi="Times New Roman" w:cs="Times New Roman"/>
          <w:i/>
          <w:iCs/>
          <w:color w:val="000000" w:themeColor="text1"/>
          <w:sz w:val="24"/>
          <w:szCs w:val="24"/>
        </w:rPr>
        <w:t xml:space="preserve"> </w:t>
      </w:r>
      <w:r w:rsidRPr="00382721">
        <w:rPr>
          <w:rFonts w:ascii="Times New Roman" w:eastAsia="Calibri" w:hAnsi="Times New Roman" w:cs="Times New Roman"/>
          <w:i/>
          <w:iCs/>
          <w:color w:val="000000" w:themeColor="text1"/>
          <w:sz w:val="24"/>
          <w:szCs w:val="24"/>
        </w:rPr>
        <w:t>1.3.</w:t>
      </w:r>
      <w:r w:rsidR="00A52C0A">
        <w:rPr>
          <w:rFonts w:ascii="Times New Roman" w:eastAsia="Calibri" w:hAnsi="Times New Roman" w:cs="Times New Roman"/>
          <w:i/>
          <w:iCs/>
          <w:color w:val="000000" w:themeColor="text1"/>
          <w:sz w:val="24"/>
          <w:szCs w:val="24"/>
        </w:rPr>
        <w:t> </w:t>
      </w:r>
      <w:r w:rsidRPr="00A07F29">
        <w:rPr>
          <w:rFonts w:ascii="Times New Roman" w:hAnsi="Times New Roman" w:cs="Times New Roman"/>
          <w:bCs/>
          <w:i/>
          <w:sz w:val="24"/>
          <w:szCs w:val="24"/>
          <w:shd w:val="clear" w:color="auto" w:fill="FFFFFF"/>
        </w:rPr>
        <w:t>Veci jaukti platlapju meži</w:t>
      </w:r>
      <w:r w:rsidRPr="00A07F29">
        <w:rPr>
          <w:rFonts w:ascii="Times New Roman" w:eastAsia="Calibri" w:hAnsi="Times New Roman" w:cs="Times New Roman"/>
          <w:color w:val="000000" w:themeColor="text1"/>
          <w:sz w:val="24"/>
          <w:szCs w:val="24"/>
        </w:rPr>
        <w:t>.</w:t>
      </w:r>
    </w:p>
    <w:p w14:paraId="7CF7A712" w14:textId="388D4BFE" w:rsidR="002B1603" w:rsidRPr="00A07F29" w:rsidRDefault="002B1603" w:rsidP="007714A0">
      <w:pPr>
        <w:autoSpaceDE w:val="0"/>
        <w:autoSpaceDN w:val="0"/>
        <w:adjustRightInd w:val="0"/>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Biotops Latvijā kopumā sastopams reti, galvenokārt vēsturiskajos platlapju mežu izplatības reģionos Zemgalē, Lubānas zemienē, Kurzemes centrālajā daļā un Sēlijā. Citur, tai skaitā arī AAA “Augšdaugava”, biotops sastopams ļoti fragmentāri un nelielās platībās.</w:t>
      </w:r>
    </w:p>
    <w:p w14:paraId="43D1677B" w14:textId="49B565A7" w:rsidR="002B1603" w:rsidRPr="00A07F29" w:rsidRDefault="002B1603" w:rsidP="007714A0">
      <w:pPr>
        <w:autoSpaceDE w:val="0"/>
        <w:autoSpaceDN w:val="0"/>
        <w:adjustRightInd w:val="0"/>
        <w:spacing w:after="120" w:line="240" w:lineRule="auto"/>
        <w:ind w:firstLine="851"/>
        <w:jc w:val="both"/>
        <w:rPr>
          <w:rFonts w:ascii="Times New Roman" w:eastAsia="Calibri" w:hAnsi="Times New Roman" w:cs="Times New Roman"/>
          <w:color w:val="000000"/>
          <w:sz w:val="24"/>
          <w:szCs w:val="24"/>
        </w:rPr>
      </w:pPr>
      <w:r w:rsidRPr="00A07F29">
        <w:rPr>
          <w:rFonts w:ascii="Times New Roman" w:eastAsia="Calibri" w:hAnsi="Times New Roman" w:cs="Times New Roman"/>
          <w:color w:val="000000"/>
          <w:sz w:val="24"/>
          <w:szCs w:val="24"/>
        </w:rPr>
        <w:t xml:space="preserve">No aizsargājamām </w:t>
      </w:r>
      <w:proofErr w:type="spellStart"/>
      <w:r w:rsidRPr="00A07F29">
        <w:rPr>
          <w:rFonts w:ascii="Times New Roman" w:eastAsia="Calibri" w:hAnsi="Times New Roman" w:cs="Times New Roman"/>
          <w:color w:val="000000"/>
          <w:sz w:val="24"/>
          <w:szCs w:val="24"/>
        </w:rPr>
        <w:t>vaskulāro</w:t>
      </w:r>
      <w:proofErr w:type="spellEnd"/>
      <w:r w:rsidRPr="00A07F29">
        <w:rPr>
          <w:rFonts w:ascii="Times New Roman" w:eastAsia="Calibri" w:hAnsi="Times New Roman" w:cs="Times New Roman"/>
          <w:color w:val="000000"/>
          <w:sz w:val="24"/>
          <w:szCs w:val="24"/>
        </w:rPr>
        <w:t xml:space="preserve"> augu sugām biotopā 9020*</w:t>
      </w:r>
      <w:r w:rsidR="005130D3">
        <w:rPr>
          <w:rFonts w:ascii="Times New Roman" w:eastAsia="Calibri" w:hAnsi="Times New Roman" w:cs="Times New Roman"/>
          <w:color w:val="000000"/>
          <w:sz w:val="24"/>
          <w:szCs w:val="24"/>
        </w:rPr>
        <w:t> </w:t>
      </w:r>
      <w:r w:rsidRPr="00A07F29">
        <w:rPr>
          <w:rFonts w:ascii="Times New Roman" w:eastAsia="Calibri" w:hAnsi="Times New Roman" w:cs="Times New Roman"/>
          <w:i/>
          <w:color w:val="000000"/>
          <w:sz w:val="24"/>
          <w:szCs w:val="24"/>
        </w:rPr>
        <w:t>Veci jaukti platlapju meži</w:t>
      </w:r>
      <w:r w:rsidRPr="00A07F29">
        <w:rPr>
          <w:rFonts w:ascii="Times New Roman" w:eastAsia="Calibri" w:hAnsi="Times New Roman" w:cs="Times New Roman"/>
          <w:color w:val="000000"/>
          <w:sz w:val="24"/>
          <w:szCs w:val="24"/>
        </w:rPr>
        <w:t xml:space="preserve"> konstatēta </w:t>
      </w:r>
      <w:proofErr w:type="spellStart"/>
      <w:r w:rsidRPr="00A07F29">
        <w:rPr>
          <w:rFonts w:ascii="Times New Roman" w:eastAsia="Calibri" w:hAnsi="Times New Roman" w:cs="Times New Roman"/>
          <w:color w:val="000000"/>
          <w:sz w:val="24"/>
          <w:szCs w:val="24"/>
        </w:rPr>
        <w:t>villainā</w:t>
      </w:r>
      <w:proofErr w:type="spellEnd"/>
      <w:r w:rsidRPr="00A07F29">
        <w:rPr>
          <w:rFonts w:ascii="Times New Roman" w:eastAsia="Calibri" w:hAnsi="Times New Roman" w:cs="Times New Roman"/>
          <w:color w:val="000000"/>
          <w:sz w:val="24"/>
          <w:szCs w:val="24"/>
        </w:rPr>
        <w:t xml:space="preserve"> gundega </w:t>
      </w:r>
      <w:proofErr w:type="spellStart"/>
      <w:r w:rsidRPr="00A07F29">
        <w:rPr>
          <w:rFonts w:ascii="Times New Roman" w:eastAsia="Calibri" w:hAnsi="Times New Roman" w:cs="Times New Roman"/>
          <w:i/>
          <w:iCs/>
          <w:color w:val="000000"/>
          <w:sz w:val="24"/>
          <w:szCs w:val="24"/>
        </w:rPr>
        <w:t>Ranunculus</w:t>
      </w:r>
      <w:proofErr w:type="spellEnd"/>
      <w:r w:rsidRPr="00A07F29">
        <w:rPr>
          <w:rFonts w:ascii="Times New Roman" w:eastAsia="Calibri" w:hAnsi="Times New Roman" w:cs="Times New Roman"/>
          <w:i/>
          <w:iCs/>
          <w:color w:val="000000"/>
          <w:sz w:val="24"/>
          <w:szCs w:val="24"/>
        </w:rPr>
        <w:t xml:space="preserve"> </w:t>
      </w:r>
      <w:proofErr w:type="spellStart"/>
      <w:r w:rsidRPr="00A07F29">
        <w:rPr>
          <w:rFonts w:ascii="Times New Roman" w:eastAsia="Calibri" w:hAnsi="Times New Roman" w:cs="Times New Roman"/>
          <w:i/>
          <w:iCs/>
          <w:color w:val="000000"/>
          <w:sz w:val="24"/>
          <w:szCs w:val="24"/>
        </w:rPr>
        <w:t>lanuginosus</w:t>
      </w:r>
      <w:proofErr w:type="spellEnd"/>
      <w:r w:rsidRPr="00A07F29">
        <w:rPr>
          <w:rFonts w:ascii="Times New Roman" w:eastAsia="Calibri" w:hAnsi="Times New Roman" w:cs="Times New Roman"/>
          <w:iCs/>
          <w:color w:val="000000"/>
          <w:sz w:val="24"/>
          <w:szCs w:val="24"/>
        </w:rPr>
        <w:t>,</w:t>
      </w:r>
      <w:r w:rsidRPr="00A07F29">
        <w:rPr>
          <w:rFonts w:ascii="Times New Roman" w:eastAsia="Calibri" w:hAnsi="Times New Roman" w:cs="Times New Roman"/>
          <w:color w:val="000000"/>
          <w:sz w:val="24"/>
          <w:szCs w:val="24"/>
        </w:rPr>
        <w:t xml:space="preserve"> kas ir arī DMB speciālā suga, un kārpainais segliņš </w:t>
      </w:r>
      <w:proofErr w:type="spellStart"/>
      <w:r w:rsidRPr="00A07F29">
        <w:rPr>
          <w:rFonts w:ascii="Times New Roman" w:eastAsia="Calibri" w:hAnsi="Times New Roman" w:cs="Times New Roman"/>
          <w:i/>
          <w:iCs/>
          <w:color w:val="000000"/>
          <w:sz w:val="24"/>
          <w:szCs w:val="24"/>
        </w:rPr>
        <w:t>Euonymus</w:t>
      </w:r>
      <w:proofErr w:type="spellEnd"/>
      <w:r w:rsidRPr="00A07F29">
        <w:rPr>
          <w:rFonts w:ascii="Times New Roman" w:eastAsia="Calibri" w:hAnsi="Times New Roman" w:cs="Times New Roman"/>
          <w:i/>
          <w:iCs/>
          <w:color w:val="000000"/>
          <w:sz w:val="24"/>
          <w:szCs w:val="24"/>
        </w:rPr>
        <w:t xml:space="preserve"> </w:t>
      </w:r>
      <w:proofErr w:type="spellStart"/>
      <w:r w:rsidRPr="00A07F29">
        <w:rPr>
          <w:rFonts w:ascii="Times New Roman" w:eastAsia="Calibri" w:hAnsi="Times New Roman" w:cs="Times New Roman"/>
          <w:i/>
          <w:iCs/>
          <w:color w:val="000000"/>
          <w:sz w:val="24"/>
          <w:szCs w:val="24"/>
        </w:rPr>
        <w:t>verrucosa</w:t>
      </w:r>
      <w:proofErr w:type="spellEnd"/>
      <w:r w:rsidRPr="00A07F29">
        <w:rPr>
          <w:rFonts w:ascii="Times New Roman" w:eastAsia="Calibri" w:hAnsi="Times New Roman" w:cs="Times New Roman"/>
          <w:color w:val="000000"/>
          <w:sz w:val="24"/>
          <w:szCs w:val="24"/>
        </w:rPr>
        <w:t xml:space="preserve">, no sūnām – </w:t>
      </w:r>
      <w:proofErr w:type="spellStart"/>
      <w:r w:rsidRPr="00A07F29">
        <w:rPr>
          <w:rFonts w:ascii="Times New Roman" w:eastAsia="Calibri" w:hAnsi="Times New Roman" w:cs="Times New Roman"/>
          <w:color w:val="000000"/>
          <w:sz w:val="24"/>
          <w:szCs w:val="24"/>
        </w:rPr>
        <w:t>īssetas</w:t>
      </w:r>
      <w:proofErr w:type="spellEnd"/>
      <w:r w:rsidRPr="00A07F29">
        <w:rPr>
          <w:rFonts w:ascii="Times New Roman" w:eastAsia="Calibri" w:hAnsi="Times New Roman" w:cs="Times New Roman"/>
          <w:color w:val="000000"/>
          <w:sz w:val="24"/>
          <w:szCs w:val="24"/>
        </w:rPr>
        <w:t xml:space="preserve"> </w:t>
      </w:r>
      <w:proofErr w:type="spellStart"/>
      <w:r w:rsidRPr="00A07F29">
        <w:rPr>
          <w:rFonts w:ascii="Times New Roman" w:eastAsia="Calibri" w:hAnsi="Times New Roman" w:cs="Times New Roman"/>
          <w:color w:val="000000"/>
          <w:sz w:val="24"/>
          <w:szCs w:val="24"/>
        </w:rPr>
        <w:t>nekera</w:t>
      </w:r>
      <w:proofErr w:type="spellEnd"/>
      <w:r w:rsidRPr="00A07F29">
        <w:rPr>
          <w:rFonts w:ascii="Times New Roman" w:eastAsia="Calibri" w:hAnsi="Times New Roman" w:cs="Times New Roman"/>
          <w:color w:val="000000"/>
          <w:sz w:val="24"/>
          <w:szCs w:val="24"/>
        </w:rPr>
        <w:t xml:space="preserve"> </w:t>
      </w:r>
      <w:proofErr w:type="spellStart"/>
      <w:r w:rsidRPr="00A07F29">
        <w:rPr>
          <w:rFonts w:ascii="Times New Roman" w:eastAsia="Calibri" w:hAnsi="Times New Roman" w:cs="Times New Roman"/>
          <w:i/>
          <w:iCs/>
          <w:color w:val="000000"/>
          <w:sz w:val="24"/>
          <w:szCs w:val="24"/>
        </w:rPr>
        <w:t>Neckera</w:t>
      </w:r>
      <w:proofErr w:type="spellEnd"/>
      <w:r w:rsidRPr="00A07F29">
        <w:rPr>
          <w:rFonts w:ascii="Times New Roman" w:eastAsia="Calibri" w:hAnsi="Times New Roman" w:cs="Times New Roman"/>
          <w:i/>
          <w:iCs/>
          <w:color w:val="000000"/>
          <w:sz w:val="24"/>
          <w:szCs w:val="24"/>
        </w:rPr>
        <w:t xml:space="preserve"> </w:t>
      </w:r>
      <w:proofErr w:type="spellStart"/>
      <w:r w:rsidRPr="00A07F29">
        <w:rPr>
          <w:rFonts w:ascii="Times New Roman" w:eastAsia="Calibri" w:hAnsi="Times New Roman" w:cs="Times New Roman"/>
          <w:i/>
          <w:iCs/>
          <w:color w:val="000000"/>
          <w:sz w:val="24"/>
          <w:szCs w:val="24"/>
        </w:rPr>
        <w:t>pennata</w:t>
      </w:r>
      <w:proofErr w:type="spellEnd"/>
      <w:r w:rsidRPr="00A07F29">
        <w:rPr>
          <w:rFonts w:ascii="Times New Roman" w:eastAsia="Calibri" w:hAnsi="Times New Roman" w:cs="Times New Roman"/>
          <w:color w:val="000000"/>
          <w:sz w:val="24"/>
          <w:szCs w:val="24"/>
        </w:rPr>
        <w:t xml:space="preserve">, kas ir arī DMB </w:t>
      </w:r>
      <w:proofErr w:type="spellStart"/>
      <w:r w:rsidRPr="00A07F29">
        <w:rPr>
          <w:rFonts w:ascii="Times New Roman" w:eastAsia="Calibri" w:hAnsi="Times New Roman" w:cs="Times New Roman"/>
          <w:color w:val="000000"/>
          <w:sz w:val="24"/>
          <w:szCs w:val="24"/>
        </w:rPr>
        <w:t>indikatorsuga</w:t>
      </w:r>
      <w:proofErr w:type="spellEnd"/>
      <w:r w:rsidRPr="00A07F29">
        <w:rPr>
          <w:rFonts w:ascii="Times New Roman" w:eastAsia="Calibri" w:hAnsi="Times New Roman" w:cs="Times New Roman"/>
          <w:color w:val="000000"/>
          <w:sz w:val="24"/>
          <w:szCs w:val="24"/>
        </w:rPr>
        <w:t xml:space="preserve">. No citām DMB </w:t>
      </w:r>
      <w:proofErr w:type="spellStart"/>
      <w:r w:rsidRPr="00A07F29">
        <w:rPr>
          <w:rFonts w:ascii="Times New Roman" w:eastAsia="Calibri" w:hAnsi="Times New Roman" w:cs="Times New Roman"/>
          <w:color w:val="000000"/>
          <w:sz w:val="24"/>
          <w:szCs w:val="24"/>
        </w:rPr>
        <w:t>indikatorsugām</w:t>
      </w:r>
      <w:proofErr w:type="spellEnd"/>
      <w:r w:rsidRPr="00A07F29">
        <w:rPr>
          <w:rFonts w:ascii="Times New Roman" w:eastAsia="Calibri" w:hAnsi="Times New Roman" w:cs="Times New Roman"/>
          <w:color w:val="000000"/>
          <w:sz w:val="24"/>
          <w:szCs w:val="24"/>
        </w:rPr>
        <w:t xml:space="preserve"> biežāk sastopamas: sūnas – tievā </w:t>
      </w:r>
      <w:proofErr w:type="spellStart"/>
      <w:r w:rsidRPr="00A07F29">
        <w:rPr>
          <w:rFonts w:ascii="Times New Roman" w:eastAsia="Calibri" w:hAnsi="Times New Roman" w:cs="Times New Roman"/>
          <w:color w:val="000000"/>
          <w:sz w:val="24"/>
          <w:szCs w:val="24"/>
        </w:rPr>
        <w:t>gludlape</w:t>
      </w:r>
      <w:proofErr w:type="spellEnd"/>
      <w:r w:rsidRPr="00A07F29">
        <w:rPr>
          <w:rFonts w:ascii="Times New Roman" w:eastAsia="Calibri" w:hAnsi="Times New Roman" w:cs="Times New Roman"/>
          <w:i/>
          <w:iCs/>
          <w:color w:val="000000"/>
          <w:sz w:val="24"/>
          <w:szCs w:val="24"/>
        </w:rPr>
        <w:t xml:space="preserve"> </w:t>
      </w:r>
      <w:proofErr w:type="spellStart"/>
      <w:r w:rsidRPr="00A07F29">
        <w:rPr>
          <w:rFonts w:ascii="Times New Roman" w:eastAsia="Calibri" w:hAnsi="Times New Roman" w:cs="Times New Roman"/>
          <w:i/>
          <w:iCs/>
          <w:color w:val="000000"/>
          <w:sz w:val="24"/>
          <w:szCs w:val="24"/>
        </w:rPr>
        <w:t>Homalia</w:t>
      </w:r>
      <w:proofErr w:type="spellEnd"/>
      <w:r w:rsidRPr="00A07F29">
        <w:rPr>
          <w:rFonts w:ascii="Times New Roman" w:eastAsia="Calibri" w:hAnsi="Times New Roman" w:cs="Times New Roman"/>
          <w:i/>
          <w:iCs/>
          <w:color w:val="000000"/>
          <w:sz w:val="24"/>
          <w:szCs w:val="24"/>
        </w:rPr>
        <w:t xml:space="preserve"> </w:t>
      </w:r>
      <w:proofErr w:type="spellStart"/>
      <w:r w:rsidRPr="00A07F29">
        <w:rPr>
          <w:rFonts w:ascii="Times New Roman" w:eastAsia="Calibri" w:hAnsi="Times New Roman" w:cs="Times New Roman"/>
          <w:i/>
          <w:iCs/>
          <w:color w:val="000000"/>
          <w:sz w:val="24"/>
          <w:szCs w:val="24"/>
        </w:rPr>
        <w:t>trichomanoides</w:t>
      </w:r>
      <w:proofErr w:type="spellEnd"/>
      <w:r w:rsidRPr="00A07F29">
        <w:rPr>
          <w:rFonts w:ascii="Times New Roman" w:eastAsia="Calibri" w:hAnsi="Times New Roman" w:cs="Times New Roman"/>
          <w:i/>
          <w:iCs/>
          <w:color w:val="000000"/>
          <w:sz w:val="24"/>
          <w:szCs w:val="24"/>
        </w:rPr>
        <w:t xml:space="preserve">, </w:t>
      </w:r>
      <w:r w:rsidRPr="00A07F29">
        <w:rPr>
          <w:rFonts w:ascii="Times New Roman" w:eastAsia="Calibri" w:hAnsi="Times New Roman" w:cs="Times New Roman"/>
          <w:color w:val="000000"/>
          <w:sz w:val="24"/>
          <w:szCs w:val="24"/>
        </w:rPr>
        <w:t>no ķērpjiem – rakstu ķērpis</w:t>
      </w:r>
      <w:r w:rsidRPr="00A07F29">
        <w:rPr>
          <w:rFonts w:ascii="Times New Roman" w:eastAsia="Calibri" w:hAnsi="Times New Roman" w:cs="Times New Roman"/>
          <w:i/>
          <w:iCs/>
          <w:color w:val="000000"/>
          <w:sz w:val="24"/>
          <w:szCs w:val="24"/>
        </w:rPr>
        <w:t xml:space="preserve"> </w:t>
      </w:r>
      <w:proofErr w:type="spellStart"/>
      <w:r w:rsidRPr="00A07F29">
        <w:rPr>
          <w:rFonts w:ascii="Times New Roman" w:eastAsia="Calibri" w:hAnsi="Times New Roman" w:cs="Times New Roman"/>
          <w:i/>
          <w:iCs/>
          <w:color w:val="000000"/>
          <w:sz w:val="24"/>
          <w:szCs w:val="24"/>
        </w:rPr>
        <w:t>Graphis</w:t>
      </w:r>
      <w:proofErr w:type="spellEnd"/>
      <w:r w:rsidRPr="00A07F29">
        <w:rPr>
          <w:rFonts w:ascii="Times New Roman" w:eastAsia="Calibri" w:hAnsi="Times New Roman" w:cs="Times New Roman"/>
          <w:i/>
          <w:iCs/>
          <w:color w:val="000000"/>
          <w:sz w:val="24"/>
          <w:szCs w:val="24"/>
        </w:rPr>
        <w:t xml:space="preserve"> </w:t>
      </w:r>
      <w:proofErr w:type="spellStart"/>
      <w:r w:rsidRPr="00A07F29">
        <w:rPr>
          <w:rFonts w:ascii="Times New Roman" w:eastAsia="Calibri" w:hAnsi="Times New Roman" w:cs="Times New Roman"/>
          <w:i/>
          <w:iCs/>
          <w:color w:val="000000"/>
          <w:sz w:val="24"/>
          <w:szCs w:val="24"/>
        </w:rPr>
        <w:t>scripta</w:t>
      </w:r>
      <w:proofErr w:type="spellEnd"/>
      <w:r w:rsidRPr="00A07F29">
        <w:rPr>
          <w:rFonts w:ascii="Times New Roman" w:eastAsia="Calibri" w:hAnsi="Times New Roman" w:cs="Times New Roman"/>
          <w:color w:val="000000"/>
          <w:sz w:val="24"/>
          <w:szCs w:val="24"/>
        </w:rPr>
        <w:t xml:space="preserve">, iesarkanā </w:t>
      </w:r>
      <w:proofErr w:type="spellStart"/>
      <w:r w:rsidRPr="00A07F29">
        <w:rPr>
          <w:rFonts w:ascii="Times New Roman" w:eastAsia="Calibri" w:hAnsi="Times New Roman" w:cs="Times New Roman"/>
          <w:color w:val="000000"/>
          <w:sz w:val="24"/>
          <w:szCs w:val="24"/>
        </w:rPr>
        <w:t>bacīdija</w:t>
      </w:r>
      <w:proofErr w:type="spellEnd"/>
      <w:r w:rsidRPr="00A07F29">
        <w:rPr>
          <w:rFonts w:ascii="Times New Roman" w:eastAsia="Calibri" w:hAnsi="Times New Roman" w:cs="Times New Roman"/>
          <w:color w:val="000000"/>
          <w:sz w:val="24"/>
          <w:szCs w:val="24"/>
        </w:rPr>
        <w:t xml:space="preserve"> </w:t>
      </w:r>
      <w:proofErr w:type="spellStart"/>
      <w:r w:rsidRPr="00A07F29">
        <w:rPr>
          <w:rFonts w:ascii="Times New Roman" w:eastAsia="Calibri" w:hAnsi="Times New Roman" w:cs="Times New Roman"/>
          <w:i/>
          <w:iCs/>
          <w:color w:val="000000"/>
          <w:sz w:val="24"/>
          <w:szCs w:val="24"/>
        </w:rPr>
        <w:t>Bacidia</w:t>
      </w:r>
      <w:proofErr w:type="spellEnd"/>
      <w:r w:rsidRPr="00A07F29">
        <w:rPr>
          <w:rFonts w:ascii="Times New Roman" w:eastAsia="Calibri" w:hAnsi="Times New Roman" w:cs="Times New Roman"/>
          <w:i/>
          <w:iCs/>
          <w:color w:val="000000"/>
          <w:sz w:val="24"/>
          <w:szCs w:val="24"/>
        </w:rPr>
        <w:t xml:space="preserve"> </w:t>
      </w:r>
      <w:proofErr w:type="spellStart"/>
      <w:r w:rsidRPr="00A07F29">
        <w:rPr>
          <w:rFonts w:ascii="Times New Roman" w:eastAsia="Calibri" w:hAnsi="Times New Roman" w:cs="Times New Roman"/>
          <w:i/>
          <w:iCs/>
          <w:color w:val="000000"/>
          <w:sz w:val="24"/>
          <w:szCs w:val="24"/>
        </w:rPr>
        <w:t>rubella</w:t>
      </w:r>
      <w:proofErr w:type="spellEnd"/>
      <w:r w:rsidRPr="00A07F29">
        <w:rPr>
          <w:rFonts w:ascii="Times New Roman" w:eastAsia="Calibri" w:hAnsi="Times New Roman" w:cs="Times New Roman"/>
          <w:color w:val="000000"/>
          <w:sz w:val="24"/>
          <w:szCs w:val="24"/>
        </w:rPr>
        <w:t xml:space="preserve">, pumpurainā </w:t>
      </w:r>
      <w:proofErr w:type="spellStart"/>
      <w:r w:rsidRPr="00A07F29">
        <w:rPr>
          <w:rFonts w:ascii="Times New Roman" w:eastAsia="Calibri" w:hAnsi="Times New Roman" w:cs="Times New Roman"/>
          <w:color w:val="000000"/>
          <w:sz w:val="24"/>
          <w:szCs w:val="24"/>
        </w:rPr>
        <w:t>akrokordija</w:t>
      </w:r>
      <w:proofErr w:type="spellEnd"/>
      <w:r w:rsidRPr="00A07F29">
        <w:rPr>
          <w:rFonts w:ascii="Times New Roman" w:eastAsia="Calibri" w:hAnsi="Times New Roman" w:cs="Times New Roman"/>
          <w:color w:val="000000"/>
          <w:sz w:val="24"/>
          <w:szCs w:val="24"/>
        </w:rPr>
        <w:t xml:space="preserve"> </w:t>
      </w:r>
      <w:proofErr w:type="spellStart"/>
      <w:r w:rsidRPr="00A07F29">
        <w:rPr>
          <w:rFonts w:ascii="Times New Roman" w:eastAsia="Calibri" w:hAnsi="Times New Roman" w:cs="Times New Roman"/>
          <w:i/>
          <w:iCs/>
          <w:color w:val="000000"/>
          <w:sz w:val="24"/>
          <w:szCs w:val="24"/>
        </w:rPr>
        <w:t>Acrocordia</w:t>
      </w:r>
      <w:proofErr w:type="spellEnd"/>
      <w:r w:rsidRPr="00A07F29">
        <w:rPr>
          <w:rFonts w:ascii="Times New Roman" w:eastAsia="Calibri" w:hAnsi="Times New Roman" w:cs="Times New Roman"/>
          <w:i/>
          <w:iCs/>
          <w:color w:val="000000"/>
          <w:sz w:val="24"/>
          <w:szCs w:val="24"/>
        </w:rPr>
        <w:t xml:space="preserve"> </w:t>
      </w:r>
      <w:proofErr w:type="spellStart"/>
      <w:r w:rsidRPr="00A07F29">
        <w:rPr>
          <w:rFonts w:ascii="Times New Roman" w:eastAsia="Calibri" w:hAnsi="Times New Roman" w:cs="Times New Roman"/>
          <w:i/>
          <w:iCs/>
          <w:color w:val="000000"/>
          <w:sz w:val="24"/>
          <w:szCs w:val="24"/>
        </w:rPr>
        <w:t>gemmata</w:t>
      </w:r>
      <w:proofErr w:type="spellEnd"/>
      <w:r w:rsidRPr="00A07F29">
        <w:rPr>
          <w:rFonts w:ascii="Times New Roman" w:eastAsia="Calibri" w:hAnsi="Times New Roman" w:cs="Times New Roman"/>
          <w:color w:val="000000"/>
          <w:sz w:val="24"/>
          <w:szCs w:val="24"/>
        </w:rPr>
        <w:t xml:space="preserve"> u.c. </w:t>
      </w:r>
    </w:p>
    <w:p w14:paraId="537BC2F5" w14:textId="1B80DA44" w:rsidR="002B1603" w:rsidRPr="00A07F29" w:rsidRDefault="002B1603" w:rsidP="007714A0">
      <w:pPr>
        <w:keepNext/>
        <w:keepLines/>
        <w:spacing w:before="240" w:after="120" w:line="240" w:lineRule="auto"/>
        <w:jc w:val="both"/>
        <w:outlineLvl w:val="3"/>
        <w:rPr>
          <w:rFonts w:ascii="Times New Roman" w:eastAsia="Calibri" w:hAnsi="Times New Roman" w:cs="Times New Roman"/>
          <w:b/>
          <w:bCs/>
          <w:sz w:val="24"/>
          <w:szCs w:val="24"/>
          <w:lang w:eastAsia="lv-LV"/>
        </w:rPr>
      </w:pPr>
      <w:r w:rsidRPr="00A07F29">
        <w:rPr>
          <w:rFonts w:ascii="Times New Roman" w:eastAsia="Calibri" w:hAnsi="Times New Roman" w:cs="Times New Roman"/>
          <w:b/>
          <w:bCs/>
          <w:sz w:val="24"/>
          <w:szCs w:val="24"/>
          <w:lang w:eastAsia="lv-LV"/>
        </w:rPr>
        <w:t xml:space="preserve">9050 </w:t>
      </w:r>
      <w:r w:rsidRPr="00A07F29">
        <w:rPr>
          <w:rFonts w:ascii="Times New Roman" w:eastAsia="Calibri" w:hAnsi="Times New Roman" w:cs="Times New Roman"/>
          <w:b/>
          <w:bCs/>
          <w:i/>
          <w:sz w:val="24"/>
          <w:szCs w:val="24"/>
          <w:lang w:eastAsia="lv-LV"/>
        </w:rPr>
        <w:t>Lakstaugiem bagāti egļu meži</w:t>
      </w:r>
      <w:r w:rsidRPr="00A07F29">
        <w:rPr>
          <w:rFonts w:ascii="Times New Roman" w:eastAsia="Calibri" w:hAnsi="Times New Roman" w:cs="Times New Roman"/>
          <w:b/>
          <w:bCs/>
          <w:sz w:val="24"/>
          <w:szCs w:val="24"/>
          <w:lang w:eastAsia="lv-LV"/>
        </w:rPr>
        <w:t xml:space="preserve"> </w:t>
      </w:r>
    </w:p>
    <w:p w14:paraId="20009974" w14:textId="0258A680" w:rsidR="007714A0" w:rsidRPr="00A07F29" w:rsidRDefault="007714A0" w:rsidP="007714A0">
      <w:pPr>
        <w:autoSpaceDE w:val="0"/>
        <w:autoSpaceDN w:val="0"/>
        <w:adjustRightInd w:val="0"/>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Biotops AAA “Augšdaugava” apzināts </w:t>
      </w:r>
      <w:r w:rsidR="00983FDA" w:rsidRPr="00A07F29">
        <w:rPr>
          <w:rFonts w:ascii="Times New Roman" w:eastAsia="Calibri" w:hAnsi="Times New Roman" w:cs="Times New Roman"/>
          <w:sz w:val="24"/>
          <w:szCs w:val="24"/>
        </w:rPr>
        <w:t>110,7</w:t>
      </w:r>
      <w:r w:rsidR="000972AB" w:rsidRPr="00A07F29">
        <w:rPr>
          <w:rFonts w:ascii="Times New Roman" w:eastAsia="Calibri" w:hAnsi="Times New Roman" w:cs="Times New Roman"/>
          <w:sz w:val="24"/>
          <w:szCs w:val="24"/>
        </w:rPr>
        <w:t>7</w:t>
      </w:r>
      <w:r w:rsidR="00A70159">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ha lielā platībā un konstatēti visi </w:t>
      </w:r>
      <w:r w:rsidR="007E4553">
        <w:rPr>
          <w:rFonts w:ascii="Times New Roman" w:eastAsia="Calibri" w:hAnsi="Times New Roman" w:cs="Times New Roman"/>
          <w:sz w:val="24"/>
          <w:szCs w:val="24"/>
        </w:rPr>
        <w:t>trīs</w:t>
      </w:r>
      <w:r w:rsidRPr="00A07F29">
        <w:rPr>
          <w:rFonts w:ascii="Times New Roman" w:eastAsia="Calibri" w:hAnsi="Times New Roman" w:cs="Times New Roman"/>
          <w:sz w:val="24"/>
          <w:szCs w:val="24"/>
        </w:rPr>
        <w:t xml:space="preserve"> šī biotopa varianti. </w:t>
      </w:r>
      <w:r w:rsidRPr="00A07F29">
        <w:rPr>
          <w:rFonts w:ascii="Times New Roman" w:eastAsia="Calibri" w:hAnsi="Times New Roman" w:cs="Times New Roman"/>
          <w:color w:val="000000" w:themeColor="text1"/>
          <w:sz w:val="24"/>
          <w:szCs w:val="24"/>
        </w:rPr>
        <w:t>DMB ar labu kvalitāti konstatēti 38,36</w:t>
      </w:r>
      <w:r w:rsidR="007E4553">
        <w:rPr>
          <w:rFonts w:ascii="Times New Roman" w:eastAsia="Calibri" w:hAnsi="Times New Roman" w:cs="Times New Roman"/>
          <w:color w:val="000000" w:themeColor="text1"/>
          <w:sz w:val="24"/>
          <w:szCs w:val="24"/>
        </w:rPr>
        <w:t> </w:t>
      </w:r>
      <w:r w:rsidRPr="00A07F29">
        <w:rPr>
          <w:rFonts w:ascii="Times New Roman" w:eastAsia="Calibri" w:hAnsi="Times New Roman" w:cs="Times New Roman"/>
          <w:color w:val="000000" w:themeColor="text1"/>
          <w:sz w:val="24"/>
          <w:szCs w:val="24"/>
        </w:rPr>
        <w:t>ha</w:t>
      </w:r>
      <w:r w:rsidRPr="00A07F29">
        <w:rPr>
          <w:rFonts w:ascii="Times New Roman" w:eastAsia="Calibri" w:hAnsi="Times New Roman" w:cs="Times New Roman"/>
          <w:sz w:val="24"/>
          <w:szCs w:val="24"/>
        </w:rPr>
        <w:t xml:space="preserve"> jeb 34,62</w:t>
      </w:r>
      <w:r w:rsidR="007E4553">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 no biotopa kopējās platības. </w:t>
      </w:r>
      <w:r w:rsidRPr="00A07F29">
        <w:rPr>
          <w:rFonts w:ascii="Times New Roman" w:eastAsia="Calibri" w:hAnsi="Times New Roman" w:cs="Times New Roman"/>
          <w:bCs/>
          <w:sz w:val="24"/>
          <w:szCs w:val="24"/>
          <w:lang w:eastAsia="lv-LV"/>
        </w:rPr>
        <w:t>9050</w:t>
      </w:r>
      <w:r w:rsidR="007E4553">
        <w:rPr>
          <w:rFonts w:ascii="Times New Roman" w:eastAsia="Calibri" w:hAnsi="Times New Roman" w:cs="Times New Roman"/>
          <w:bCs/>
          <w:sz w:val="24"/>
          <w:szCs w:val="24"/>
          <w:lang w:eastAsia="lv-LV"/>
        </w:rPr>
        <w:t> </w:t>
      </w:r>
      <w:r w:rsidRPr="00A07F29">
        <w:rPr>
          <w:rFonts w:ascii="Times New Roman" w:eastAsia="Calibri" w:hAnsi="Times New Roman" w:cs="Times New Roman"/>
          <w:bCs/>
          <w:i/>
          <w:iCs/>
          <w:sz w:val="24"/>
          <w:szCs w:val="24"/>
          <w:lang w:eastAsia="lv-LV"/>
        </w:rPr>
        <w:t>Lakstaugiem bagāti egļu meži</w:t>
      </w:r>
      <w:r w:rsidRPr="00A07F29">
        <w:rPr>
          <w:rFonts w:ascii="Times New Roman" w:eastAsia="Calibri" w:hAnsi="Times New Roman" w:cs="Times New Roman"/>
          <w:iCs/>
          <w:color w:val="000000" w:themeColor="text1"/>
          <w:sz w:val="24"/>
          <w:szCs w:val="24"/>
        </w:rPr>
        <w:t>, kas atbilst DMB un ir ar izcilu kvalitāti</w:t>
      </w:r>
      <w:r w:rsidRPr="00A07F29">
        <w:rPr>
          <w:rFonts w:ascii="Times New Roman" w:eastAsia="Calibri" w:hAnsi="Times New Roman" w:cs="Times New Roman"/>
          <w:i/>
          <w:iCs/>
          <w:color w:val="000000" w:themeColor="text1"/>
          <w:sz w:val="24"/>
          <w:szCs w:val="24"/>
        </w:rPr>
        <w:t xml:space="preserve"> </w:t>
      </w:r>
      <w:r w:rsidRPr="00A07F29">
        <w:rPr>
          <w:rFonts w:ascii="Times New Roman" w:eastAsia="Calibri" w:hAnsi="Times New Roman" w:cs="Times New Roman"/>
          <w:iCs/>
          <w:color w:val="000000" w:themeColor="text1"/>
          <w:sz w:val="24"/>
          <w:szCs w:val="24"/>
        </w:rPr>
        <w:t xml:space="preserve">atbilst Latvijas </w:t>
      </w:r>
      <w:r w:rsidR="008618E3">
        <w:rPr>
          <w:rFonts w:ascii="Times New Roman" w:eastAsia="Calibri" w:hAnsi="Times New Roman" w:cs="Times New Roman"/>
          <w:iCs/>
          <w:color w:val="000000" w:themeColor="text1"/>
          <w:sz w:val="24"/>
          <w:szCs w:val="24"/>
        </w:rPr>
        <w:t>īpaši aizsargājamam</w:t>
      </w:r>
      <w:r w:rsidRPr="00A07F29">
        <w:rPr>
          <w:rFonts w:ascii="Times New Roman" w:eastAsia="Calibri" w:hAnsi="Times New Roman" w:cs="Times New Roman"/>
          <w:iCs/>
          <w:color w:val="000000" w:themeColor="text1"/>
          <w:sz w:val="24"/>
          <w:szCs w:val="24"/>
        </w:rPr>
        <w:t xml:space="preserve"> biotopam</w:t>
      </w:r>
      <w:r w:rsidRPr="00A07F29">
        <w:rPr>
          <w:rFonts w:ascii="Times New Roman" w:eastAsia="Calibri" w:hAnsi="Times New Roman" w:cs="Times New Roman"/>
          <w:i/>
          <w:iCs/>
          <w:color w:val="000000" w:themeColor="text1"/>
          <w:sz w:val="24"/>
          <w:szCs w:val="24"/>
        </w:rPr>
        <w:t xml:space="preserve"> 1.14.</w:t>
      </w:r>
      <w:r w:rsidR="00382721">
        <w:rPr>
          <w:rFonts w:ascii="Times New Roman" w:eastAsia="Calibri" w:hAnsi="Times New Roman" w:cs="Times New Roman"/>
          <w:i/>
          <w:iCs/>
          <w:color w:val="000000" w:themeColor="text1"/>
          <w:sz w:val="24"/>
          <w:szCs w:val="24"/>
        </w:rPr>
        <w:t> </w:t>
      </w:r>
      <w:r w:rsidRPr="00A07F29">
        <w:rPr>
          <w:rFonts w:ascii="Times New Roman" w:hAnsi="Times New Roman" w:cs="Times New Roman"/>
          <w:bCs/>
          <w:i/>
          <w:sz w:val="24"/>
          <w:szCs w:val="24"/>
          <w:shd w:val="clear" w:color="auto" w:fill="FFFFFF"/>
        </w:rPr>
        <w:t xml:space="preserve">Veci vai dabiski </w:t>
      </w:r>
      <w:proofErr w:type="spellStart"/>
      <w:r w:rsidRPr="00A07F29">
        <w:rPr>
          <w:rFonts w:ascii="Times New Roman" w:hAnsi="Times New Roman" w:cs="Times New Roman"/>
          <w:bCs/>
          <w:i/>
          <w:sz w:val="24"/>
          <w:szCs w:val="24"/>
          <w:shd w:val="clear" w:color="auto" w:fill="FFFFFF"/>
        </w:rPr>
        <w:t>boreālie</w:t>
      </w:r>
      <w:proofErr w:type="spellEnd"/>
      <w:r w:rsidRPr="00A07F29">
        <w:rPr>
          <w:rFonts w:ascii="Times New Roman" w:hAnsi="Times New Roman" w:cs="Times New Roman"/>
          <w:bCs/>
          <w:i/>
          <w:sz w:val="24"/>
          <w:szCs w:val="24"/>
          <w:shd w:val="clear" w:color="auto" w:fill="FFFFFF"/>
        </w:rPr>
        <w:t xml:space="preserve"> meži.</w:t>
      </w:r>
    </w:p>
    <w:p w14:paraId="0121A491" w14:textId="2C56738E" w:rsidR="002B1603" w:rsidRPr="00A07F29" w:rsidRDefault="002B1603" w:rsidP="007714A0">
      <w:pPr>
        <w:autoSpaceDE w:val="0"/>
        <w:autoSpaceDN w:val="0"/>
        <w:adjustRightInd w:val="0"/>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9050</w:t>
      </w:r>
      <w:r w:rsidR="00382721">
        <w:rPr>
          <w:rFonts w:ascii="Times New Roman" w:eastAsia="Calibri" w:hAnsi="Times New Roman" w:cs="Times New Roman"/>
          <w:sz w:val="24"/>
          <w:szCs w:val="24"/>
        </w:rPr>
        <w:t> </w:t>
      </w:r>
      <w:r w:rsidRPr="00A07F29">
        <w:rPr>
          <w:rFonts w:ascii="Times New Roman" w:eastAsia="Calibri" w:hAnsi="Times New Roman" w:cs="Times New Roman"/>
          <w:i/>
          <w:sz w:val="24"/>
          <w:szCs w:val="24"/>
        </w:rPr>
        <w:t>Lakstaugiem bagāti egļu meži</w:t>
      </w:r>
      <w:r w:rsidRPr="00A07F29">
        <w:rPr>
          <w:rFonts w:ascii="Times New Roman" w:eastAsia="Calibri" w:hAnsi="Times New Roman" w:cs="Times New Roman"/>
          <w:sz w:val="24"/>
          <w:szCs w:val="24"/>
        </w:rPr>
        <w:t xml:space="preserve"> ir samērā rets mežu biotopu veģetācijas veids Latvijā, kas </w:t>
      </w:r>
      <w:r w:rsidR="00446E51" w:rsidRPr="00A07F29">
        <w:rPr>
          <w:rFonts w:ascii="Times New Roman" w:eastAsia="Calibri" w:hAnsi="Times New Roman" w:cs="Times New Roman"/>
          <w:sz w:val="24"/>
          <w:szCs w:val="24"/>
        </w:rPr>
        <w:t xml:space="preserve">atspoguļo </w:t>
      </w:r>
      <w:proofErr w:type="spellStart"/>
      <w:r w:rsidRPr="00A07F29">
        <w:rPr>
          <w:rFonts w:ascii="Times New Roman" w:eastAsia="Calibri" w:hAnsi="Times New Roman" w:cs="Times New Roman"/>
          <w:sz w:val="24"/>
          <w:szCs w:val="24"/>
        </w:rPr>
        <w:t>boreonemorālās</w:t>
      </w:r>
      <w:proofErr w:type="spellEnd"/>
      <w:r w:rsidRPr="00A07F29">
        <w:rPr>
          <w:rFonts w:ascii="Times New Roman" w:eastAsia="Calibri" w:hAnsi="Times New Roman" w:cs="Times New Roman"/>
          <w:sz w:val="24"/>
          <w:szCs w:val="24"/>
        </w:rPr>
        <w:t xml:space="preserve"> zonas īpatnības – skujkoku mežaudzi kombinācijā ar platlapju mežiem raksturīgām zemsedzes sugām. Nozīmīgs biotops reto sugu populācijām, kas saistītas ar egļu mežiem un nemorālu veģetāciju (Ikauniece</w:t>
      </w:r>
      <w:r w:rsidR="007F0E2C">
        <w:rPr>
          <w:rFonts w:ascii="Times New Roman" w:eastAsia="Calibri" w:hAnsi="Times New Roman" w:cs="Times New Roman"/>
          <w:sz w:val="24"/>
          <w:szCs w:val="24"/>
        </w:rPr>
        <w:t xml:space="preserve"> S.,</w:t>
      </w:r>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et</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a</w:t>
      </w:r>
      <w:r w:rsidR="007F0E2C">
        <w:rPr>
          <w:rFonts w:ascii="Times New Roman" w:eastAsia="Calibri" w:hAnsi="Times New Roman" w:cs="Times New Roman"/>
          <w:sz w:val="24"/>
          <w:szCs w:val="24"/>
        </w:rPr>
        <w:t>l</w:t>
      </w:r>
      <w:proofErr w:type="spellEnd"/>
      <w:r w:rsidR="007F0E2C">
        <w:rPr>
          <w:rFonts w:ascii="Times New Roman" w:eastAsia="Calibri" w:hAnsi="Times New Roman" w:cs="Times New Roman"/>
          <w:sz w:val="24"/>
          <w:szCs w:val="24"/>
        </w:rPr>
        <w:t>,</w:t>
      </w:r>
      <w:r w:rsidR="007E3BA0">
        <w:rPr>
          <w:rFonts w:ascii="Times New Roman" w:eastAsia="Calibri" w:hAnsi="Times New Roman" w:cs="Times New Roman"/>
          <w:sz w:val="24"/>
          <w:szCs w:val="24"/>
        </w:rPr>
        <w:t xml:space="preserve"> 2016</w:t>
      </w:r>
      <w:r w:rsidRPr="00A07F29">
        <w:rPr>
          <w:rFonts w:ascii="Times New Roman" w:eastAsia="Calibri" w:hAnsi="Times New Roman" w:cs="Times New Roman"/>
          <w:sz w:val="24"/>
          <w:szCs w:val="24"/>
        </w:rPr>
        <w:t>).</w:t>
      </w:r>
    </w:p>
    <w:p w14:paraId="02B2F6FE" w14:textId="3E52FAFB" w:rsidR="002B1603" w:rsidRPr="00A07F29" w:rsidRDefault="002B1603" w:rsidP="007714A0">
      <w:pPr>
        <w:autoSpaceDE w:val="0"/>
        <w:autoSpaceDN w:val="0"/>
        <w:adjustRightInd w:val="0"/>
        <w:spacing w:after="120" w:line="240" w:lineRule="auto"/>
        <w:ind w:firstLine="851"/>
        <w:jc w:val="both"/>
        <w:rPr>
          <w:rFonts w:ascii="Times New Roman" w:eastAsia="Calibri" w:hAnsi="Times New Roman" w:cs="Times New Roman"/>
          <w:color w:val="000000"/>
          <w:sz w:val="24"/>
          <w:szCs w:val="24"/>
        </w:rPr>
      </w:pPr>
      <w:r w:rsidRPr="00A07F29">
        <w:rPr>
          <w:rFonts w:ascii="Times New Roman" w:eastAsia="Calibri" w:hAnsi="Times New Roman" w:cs="Times New Roman"/>
          <w:sz w:val="24"/>
          <w:szCs w:val="24"/>
        </w:rPr>
        <w:t>Lielākā daļa no biotopa 9050</w:t>
      </w:r>
      <w:r w:rsidR="00836CE2">
        <w:rPr>
          <w:rFonts w:ascii="Times New Roman" w:eastAsia="Calibri" w:hAnsi="Times New Roman" w:cs="Times New Roman"/>
          <w:sz w:val="24"/>
          <w:szCs w:val="24"/>
        </w:rPr>
        <w:t> </w:t>
      </w:r>
      <w:r w:rsidRPr="00A07F29">
        <w:rPr>
          <w:rFonts w:ascii="Times New Roman" w:eastAsia="Calibri" w:hAnsi="Times New Roman" w:cs="Times New Roman"/>
          <w:i/>
          <w:iCs/>
          <w:sz w:val="24"/>
          <w:szCs w:val="24"/>
        </w:rPr>
        <w:t>Lakstaugiem bagāti egļu meži</w:t>
      </w:r>
      <w:r w:rsidRPr="00A07F29">
        <w:rPr>
          <w:rFonts w:ascii="Times New Roman" w:eastAsia="Calibri" w:hAnsi="Times New Roman" w:cs="Times New Roman"/>
          <w:sz w:val="24"/>
          <w:szCs w:val="24"/>
        </w:rPr>
        <w:t xml:space="preserve"> ir labas vai vidējas kvalitātes un atbilst PDMB un DMB kvalitātei, izcilas kvalitātes biotopi teritorijā sastopami maz. No aizsargājamām </w:t>
      </w:r>
      <w:proofErr w:type="spellStart"/>
      <w:r w:rsidRPr="00A07F29">
        <w:rPr>
          <w:rFonts w:ascii="Times New Roman" w:eastAsia="Calibri" w:hAnsi="Times New Roman" w:cs="Times New Roman"/>
          <w:sz w:val="24"/>
          <w:szCs w:val="24"/>
        </w:rPr>
        <w:t>vaskulāro</w:t>
      </w:r>
      <w:proofErr w:type="spellEnd"/>
      <w:r w:rsidRPr="00A07F29">
        <w:rPr>
          <w:rFonts w:ascii="Times New Roman" w:eastAsia="Calibri" w:hAnsi="Times New Roman" w:cs="Times New Roman"/>
          <w:sz w:val="24"/>
          <w:szCs w:val="24"/>
        </w:rPr>
        <w:t xml:space="preserve"> augu sugām biotopā 9050</w:t>
      </w:r>
      <w:r w:rsidR="00C535B9">
        <w:rPr>
          <w:rFonts w:ascii="Times New Roman" w:eastAsia="Calibri" w:hAnsi="Times New Roman" w:cs="Times New Roman"/>
          <w:sz w:val="24"/>
          <w:szCs w:val="24"/>
        </w:rPr>
        <w:t> </w:t>
      </w:r>
      <w:r w:rsidRPr="00A07F29">
        <w:rPr>
          <w:rFonts w:ascii="Times New Roman" w:eastAsia="Calibri" w:hAnsi="Times New Roman" w:cs="Times New Roman"/>
          <w:i/>
          <w:iCs/>
          <w:sz w:val="24"/>
          <w:szCs w:val="24"/>
        </w:rPr>
        <w:t>Lakstaugiem bagāti egļu meži</w:t>
      </w:r>
      <w:r w:rsidRPr="00A07F29">
        <w:rPr>
          <w:rFonts w:ascii="Times New Roman" w:eastAsia="Calibri" w:hAnsi="Times New Roman" w:cs="Times New Roman"/>
          <w:sz w:val="24"/>
          <w:szCs w:val="24"/>
        </w:rPr>
        <w:t xml:space="preserve"> konstatēta Eiropas direktīvas suga spilvainais </w:t>
      </w:r>
      <w:proofErr w:type="spellStart"/>
      <w:r w:rsidRPr="00A07F29">
        <w:rPr>
          <w:rFonts w:ascii="Times New Roman" w:eastAsia="Calibri" w:hAnsi="Times New Roman" w:cs="Times New Roman"/>
          <w:sz w:val="24"/>
          <w:szCs w:val="24"/>
        </w:rPr>
        <w:t>ancītis</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i/>
          <w:iCs/>
          <w:sz w:val="24"/>
          <w:szCs w:val="24"/>
        </w:rPr>
        <w:t>Agrimonia</w:t>
      </w:r>
      <w:proofErr w:type="spellEnd"/>
      <w:r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pilosa</w:t>
      </w:r>
      <w:proofErr w:type="spellEnd"/>
      <w:r w:rsidRPr="00A07F29">
        <w:rPr>
          <w:rFonts w:ascii="Times New Roman" w:eastAsia="Calibri" w:hAnsi="Times New Roman" w:cs="Times New Roman"/>
          <w:sz w:val="24"/>
          <w:szCs w:val="24"/>
        </w:rPr>
        <w:t xml:space="preserve">, kā arī daudzas Latvijā aizsargājamās sugas – daudzgadīgā </w:t>
      </w:r>
      <w:proofErr w:type="spellStart"/>
      <w:r w:rsidRPr="00A07F29">
        <w:rPr>
          <w:rFonts w:ascii="Times New Roman" w:eastAsia="Calibri" w:hAnsi="Times New Roman" w:cs="Times New Roman"/>
          <w:sz w:val="24"/>
          <w:szCs w:val="24"/>
        </w:rPr>
        <w:t>mēnesene</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i/>
          <w:iCs/>
          <w:sz w:val="24"/>
          <w:szCs w:val="24"/>
        </w:rPr>
        <w:t>Lunaria</w:t>
      </w:r>
      <w:proofErr w:type="spellEnd"/>
      <w:r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rediviva</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skarbmatainā</w:t>
      </w:r>
      <w:proofErr w:type="spellEnd"/>
      <w:r w:rsidRPr="00A07F29">
        <w:rPr>
          <w:rFonts w:ascii="Times New Roman" w:eastAsia="Calibri" w:hAnsi="Times New Roman" w:cs="Times New Roman"/>
          <w:sz w:val="24"/>
          <w:szCs w:val="24"/>
        </w:rPr>
        <w:t xml:space="preserve"> kārvele </w:t>
      </w:r>
      <w:proofErr w:type="spellStart"/>
      <w:r w:rsidRPr="00A07F29">
        <w:rPr>
          <w:rFonts w:ascii="Times New Roman" w:eastAsia="Calibri" w:hAnsi="Times New Roman" w:cs="Times New Roman"/>
          <w:i/>
          <w:iCs/>
          <w:sz w:val="24"/>
          <w:szCs w:val="24"/>
        </w:rPr>
        <w:t>Chaerophyllum</w:t>
      </w:r>
      <w:proofErr w:type="spellEnd"/>
      <w:r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hirsutum</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Šultesa</w:t>
      </w:r>
      <w:proofErr w:type="spellEnd"/>
      <w:r w:rsidRPr="00A07F29">
        <w:rPr>
          <w:rFonts w:ascii="Times New Roman" w:eastAsia="Calibri" w:hAnsi="Times New Roman" w:cs="Times New Roman"/>
          <w:sz w:val="24"/>
          <w:szCs w:val="24"/>
        </w:rPr>
        <w:t xml:space="preserve"> madara </w:t>
      </w:r>
      <w:proofErr w:type="spellStart"/>
      <w:r w:rsidRPr="00A07F29">
        <w:rPr>
          <w:rFonts w:ascii="Times New Roman" w:eastAsia="Calibri" w:hAnsi="Times New Roman" w:cs="Times New Roman"/>
          <w:i/>
          <w:iCs/>
          <w:sz w:val="24"/>
          <w:szCs w:val="24"/>
        </w:rPr>
        <w:t>Galium</w:t>
      </w:r>
      <w:proofErr w:type="spellEnd"/>
      <w:r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schultesii</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pēdveida</w:t>
      </w:r>
      <w:proofErr w:type="spellEnd"/>
      <w:r w:rsidRPr="00A07F29">
        <w:rPr>
          <w:rFonts w:ascii="Times New Roman" w:eastAsia="Calibri" w:hAnsi="Times New Roman" w:cs="Times New Roman"/>
          <w:sz w:val="24"/>
          <w:szCs w:val="24"/>
        </w:rPr>
        <w:t xml:space="preserve"> grīslis </w:t>
      </w:r>
      <w:proofErr w:type="spellStart"/>
      <w:r w:rsidRPr="00A07F29">
        <w:rPr>
          <w:rFonts w:ascii="Times New Roman" w:eastAsia="Calibri" w:hAnsi="Times New Roman" w:cs="Times New Roman"/>
          <w:i/>
          <w:iCs/>
          <w:sz w:val="24"/>
          <w:szCs w:val="24"/>
        </w:rPr>
        <w:t>Carex</w:t>
      </w:r>
      <w:proofErr w:type="spellEnd"/>
      <w:r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rhizina</w:t>
      </w:r>
      <w:proofErr w:type="spellEnd"/>
      <w:r w:rsidRPr="00A07F29">
        <w:rPr>
          <w:rFonts w:ascii="Times New Roman" w:eastAsia="Calibri" w:hAnsi="Times New Roman" w:cs="Times New Roman"/>
          <w:sz w:val="24"/>
          <w:szCs w:val="24"/>
        </w:rPr>
        <w:t xml:space="preserve">, gada staipeknis </w:t>
      </w:r>
      <w:proofErr w:type="spellStart"/>
      <w:r w:rsidRPr="00A07F29">
        <w:rPr>
          <w:rFonts w:ascii="Times New Roman" w:eastAsia="Calibri" w:hAnsi="Times New Roman" w:cs="Times New Roman"/>
          <w:i/>
          <w:iCs/>
          <w:sz w:val="24"/>
          <w:szCs w:val="24"/>
        </w:rPr>
        <w:t>Lycopodium</w:t>
      </w:r>
      <w:proofErr w:type="spellEnd"/>
      <w:r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annotinum</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color w:val="000000"/>
          <w:sz w:val="24"/>
          <w:szCs w:val="24"/>
        </w:rPr>
        <w:t>villainā</w:t>
      </w:r>
      <w:proofErr w:type="spellEnd"/>
      <w:r w:rsidRPr="00A07F29">
        <w:rPr>
          <w:rFonts w:ascii="Times New Roman" w:eastAsia="Calibri" w:hAnsi="Times New Roman" w:cs="Times New Roman"/>
          <w:color w:val="000000"/>
          <w:sz w:val="24"/>
          <w:szCs w:val="24"/>
        </w:rPr>
        <w:t xml:space="preserve"> gundega </w:t>
      </w:r>
      <w:proofErr w:type="spellStart"/>
      <w:r w:rsidRPr="00A07F29">
        <w:rPr>
          <w:rFonts w:ascii="Times New Roman" w:eastAsia="Calibri" w:hAnsi="Times New Roman" w:cs="Times New Roman"/>
          <w:i/>
          <w:iCs/>
          <w:color w:val="000000"/>
          <w:sz w:val="24"/>
          <w:szCs w:val="24"/>
        </w:rPr>
        <w:t>Ranunculus</w:t>
      </w:r>
      <w:proofErr w:type="spellEnd"/>
      <w:r w:rsidRPr="00A07F29">
        <w:rPr>
          <w:rFonts w:ascii="Times New Roman" w:eastAsia="Calibri" w:hAnsi="Times New Roman" w:cs="Times New Roman"/>
          <w:i/>
          <w:iCs/>
          <w:color w:val="000000"/>
          <w:sz w:val="24"/>
          <w:szCs w:val="24"/>
        </w:rPr>
        <w:t xml:space="preserve"> </w:t>
      </w:r>
      <w:proofErr w:type="spellStart"/>
      <w:r w:rsidRPr="00A07F29">
        <w:rPr>
          <w:rFonts w:ascii="Times New Roman" w:eastAsia="Calibri" w:hAnsi="Times New Roman" w:cs="Times New Roman"/>
          <w:i/>
          <w:iCs/>
          <w:color w:val="000000"/>
          <w:sz w:val="24"/>
          <w:szCs w:val="24"/>
        </w:rPr>
        <w:t>lanuginosus</w:t>
      </w:r>
      <w:proofErr w:type="spellEnd"/>
      <w:r w:rsidR="00085964">
        <w:rPr>
          <w:rFonts w:ascii="Times New Roman" w:eastAsia="Calibri" w:hAnsi="Times New Roman" w:cs="Times New Roman"/>
          <w:i/>
          <w:iCs/>
          <w:color w:val="000000"/>
          <w:sz w:val="24"/>
          <w:szCs w:val="24"/>
        </w:rPr>
        <w:t>,</w:t>
      </w:r>
      <w:r w:rsidRPr="00A07F29">
        <w:rPr>
          <w:rFonts w:ascii="Times New Roman" w:eastAsia="Calibri" w:hAnsi="Times New Roman" w:cs="Times New Roman"/>
          <w:color w:val="000000"/>
          <w:sz w:val="24"/>
          <w:szCs w:val="24"/>
        </w:rPr>
        <w:t xml:space="preserve"> </w:t>
      </w:r>
      <w:proofErr w:type="spellStart"/>
      <w:r w:rsidRPr="00A07F29">
        <w:rPr>
          <w:rFonts w:ascii="Times New Roman" w:eastAsia="Calibri" w:hAnsi="Times New Roman" w:cs="Times New Roman"/>
          <w:color w:val="000000"/>
          <w:sz w:val="24"/>
          <w:szCs w:val="24"/>
        </w:rPr>
        <w:t>apdzira</w:t>
      </w:r>
      <w:proofErr w:type="spellEnd"/>
      <w:r w:rsidRPr="00A07F29">
        <w:rPr>
          <w:rFonts w:ascii="Times New Roman" w:eastAsia="Calibri" w:hAnsi="Times New Roman" w:cs="Times New Roman"/>
          <w:color w:val="000000"/>
          <w:sz w:val="24"/>
          <w:szCs w:val="24"/>
        </w:rPr>
        <w:t xml:space="preserve"> </w:t>
      </w:r>
      <w:proofErr w:type="spellStart"/>
      <w:r w:rsidRPr="00A07F29">
        <w:rPr>
          <w:rFonts w:ascii="Times New Roman" w:eastAsia="Calibri" w:hAnsi="Times New Roman" w:cs="Times New Roman"/>
          <w:i/>
          <w:iCs/>
          <w:color w:val="000000"/>
          <w:sz w:val="24"/>
          <w:szCs w:val="24"/>
        </w:rPr>
        <w:t>Huperzia</w:t>
      </w:r>
      <w:proofErr w:type="spellEnd"/>
      <w:r w:rsidRPr="00A07F29">
        <w:rPr>
          <w:rFonts w:ascii="Times New Roman" w:eastAsia="Calibri" w:hAnsi="Times New Roman" w:cs="Times New Roman"/>
          <w:i/>
          <w:iCs/>
          <w:color w:val="000000"/>
          <w:sz w:val="24"/>
          <w:szCs w:val="24"/>
        </w:rPr>
        <w:t xml:space="preserve"> </w:t>
      </w:r>
      <w:proofErr w:type="spellStart"/>
      <w:r w:rsidRPr="00A07F29">
        <w:rPr>
          <w:rFonts w:ascii="Times New Roman" w:eastAsia="Calibri" w:hAnsi="Times New Roman" w:cs="Times New Roman"/>
          <w:i/>
          <w:iCs/>
          <w:color w:val="000000"/>
          <w:sz w:val="24"/>
          <w:szCs w:val="24"/>
        </w:rPr>
        <w:t>selago</w:t>
      </w:r>
      <w:proofErr w:type="spellEnd"/>
      <w:r w:rsidRPr="00A07F29">
        <w:rPr>
          <w:rFonts w:ascii="Times New Roman" w:eastAsia="Calibri" w:hAnsi="Times New Roman" w:cs="Times New Roman"/>
          <w:i/>
          <w:iCs/>
          <w:color w:val="000000"/>
          <w:sz w:val="24"/>
          <w:szCs w:val="24"/>
        </w:rPr>
        <w:t xml:space="preserve"> </w:t>
      </w:r>
      <w:r w:rsidRPr="00A07F29">
        <w:rPr>
          <w:rFonts w:ascii="Times New Roman" w:eastAsia="Calibri" w:hAnsi="Times New Roman" w:cs="Times New Roman"/>
          <w:color w:val="000000"/>
          <w:sz w:val="24"/>
          <w:szCs w:val="24"/>
        </w:rPr>
        <w:t xml:space="preserve">un kārpainais </w:t>
      </w:r>
      <w:r w:rsidRPr="00A07F29">
        <w:rPr>
          <w:rFonts w:ascii="Times New Roman" w:eastAsia="Calibri" w:hAnsi="Times New Roman" w:cs="Times New Roman"/>
          <w:color w:val="000000"/>
          <w:sz w:val="24"/>
          <w:szCs w:val="24"/>
        </w:rPr>
        <w:lastRenderedPageBreak/>
        <w:t xml:space="preserve">segliņš </w:t>
      </w:r>
      <w:proofErr w:type="spellStart"/>
      <w:r w:rsidRPr="00A07F29">
        <w:rPr>
          <w:rFonts w:ascii="Times New Roman" w:eastAsia="Calibri" w:hAnsi="Times New Roman" w:cs="Times New Roman"/>
          <w:i/>
          <w:iCs/>
          <w:color w:val="000000"/>
          <w:sz w:val="24"/>
          <w:szCs w:val="24"/>
        </w:rPr>
        <w:t>Euonymus</w:t>
      </w:r>
      <w:proofErr w:type="spellEnd"/>
      <w:r w:rsidRPr="00A07F29">
        <w:rPr>
          <w:rFonts w:ascii="Times New Roman" w:eastAsia="Calibri" w:hAnsi="Times New Roman" w:cs="Times New Roman"/>
          <w:i/>
          <w:iCs/>
          <w:color w:val="000000"/>
          <w:sz w:val="24"/>
          <w:szCs w:val="24"/>
        </w:rPr>
        <w:t xml:space="preserve"> </w:t>
      </w:r>
      <w:proofErr w:type="spellStart"/>
      <w:r w:rsidRPr="00A07F29">
        <w:rPr>
          <w:rFonts w:ascii="Times New Roman" w:eastAsia="Calibri" w:hAnsi="Times New Roman" w:cs="Times New Roman"/>
          <w:i/>
          <w:iCs/>
          <w:color w:val="000000"/>
          <w:sz w:val="24"/>
          <w:szCs w:val="24"/>
        </w:rPr>
        <w:t>verrucosa</w:t>
      </w:r>
      <w:proofErr w:type="spellEnd"/>
      <w:r w:rsidRPr="00A07F29">
        <w:rPr>
          <w:rFonts w:ascii="Times New Roman" w:eastAsia="Calibri" w:hAnsi="Times New Roman" w:cs="Times New Roman"/>
          <w:color w:val="000000"/>
          <w:sz w:val="24"/>
          <w:szCs w:val="24"/>
        </w:rPr>
        <w:t xml:space="preserve">. No DMB </w:t>
      </w:r>
      <w:proofErr w:type="spellStart"/>
      <w:r w:rsidRPr="00A07F29">
        <w:rPr>
          <w:rFonts w:ascii="Times New Roman" w:eastAsia="Calibri" w:hAnsi="Times New Roman" w:cs="Times New Roman"/>
          <w:color w:val="000000"/>
          <w:sz w:val="24"/>
          <w:szCs w:val="24"/>
        </w:rPr>
        <w:t>indikatorsugām</w:t>
      </w:r>
      <w:proofErr w:type="spellEnd"/>
      <w:r w:rsidRPr="00A07F29">
        <w:rPr>
          <w:rFonts w:ascii="Times New Roman" w:eastAsia="Calibri" w:hAnsi="Times New Roman" w:cs="Times New Roman"/>
          <w:color w:val="000000"/>
          <w:sz w:val="24"/>
          <w:szCs w:val="24"/>
        </w:rPr>
        <w:t xml:space="preserve"> biežāk sastopamas: sūnas – </w:t>
      </w:r>
      <w:proofErr w:type="spellStart"/>
      <w:r w:rsidRPr="00A07F29">
        <w:rPr>
          <w:rFonts w:ascii="Times New Roman" w:eastAsia="Calibri" w:hAnsi="Times New Roman" w:cs="Times New Roman"/>
          <w:color w:val="000000"/>
          <w:sz w:val="24"/>
          <w:szCs w:val="24"/>
        </w:rPr>
        <w:t>līklapu</w:t>
      </w:r>
      <w:proofErr w:type="spellEnd"/>
      <w:r w:rsidRPr="00A07F29">
        <w:rPr>
          <w:rFonts w:ascii="Times New Roman" w:eastAsia="Calibri" w:hAnsi="Times New Roman" w:cs="Times New Roman"/>
          <w:color w:val="000000"/>
          <w:sz w:val="24"/>
          <w:szCs w:val="24"/>
        </w:rPr>
        <w:t xml:space="preserve"> </w:t>
      </w:r>
      <w:proofErr w:type="spellStart"/>
      <w:r w:rsidRPr="00A07F29">
        <w:rPr>
          <w:rFonts w:ascii="Times New Roman" w:eastAsia="Calibri" w:hAnsi="Times New Roman" w:cs="Times New Roman"/>
          <w:color w:val="000000"/>
          <w:sz w:val="24"/>
          <w:szCs w:val="24"/>
        </w:rPr>
        <w:t>novellija</w:t>
      </w:r>
      <w:proofErr w:type="spellEnd"/>
      <w:r w:rsidRPr="00A07F29">
        <w:rPr>
          <w:rFonts w:ascii="Times New Roman" w:eastAsia="Calibri" w:hAnsi="Times New Roman" w:cs="Times New Roman"/>
          <w:color w:val="000000"/>
          <w:sz w:val="24"/>
          <w:szCs w:val="24"/>
        </w:rPr>
        <w:t xml:space="preserve"> </w:t>
      </w:r>
      <w:proofErr w:type="spellStart"/>
      <w:r w:rsidRPr="00A07F29">
        <w:rPr>
          <w:rFonts w:ascii="Times New Roman" w:eastAsia="Calibri" w:hAnsi="Times New Roman" w:cs="Times New Roman"/>
          <w:i/>
          <w:iCs/>
          <w:color w:val="000000"/>
          <w:sz w:val="24"/>
          <w:szCs w:val="24"/>
        </w:rPr>
        <w:t>Nowellia</w:t>
      </w:r>
      <w:proofErr w:type="spellEnd"/>
      <w:r w:rsidRPr="00A07F29">
        <w:rPr>
          <w:rFonts w:ascii="Times New Roman" w:eastAsia="Calibri" w:hAnsi="Times New Roman" w:cs="Times New Roman"/>
          <w:i/>
          <w:iCs/>
          <w:color w:val="000000"/>
          <w:sz w:val="24"/>
          <w:szCs w:val="24"/>
        </w:rPr>
        <w:t xml:space="preserve"> </w:t>
      </w:r>
      <w:proofErr w:type="spellStart"/>
      <w:r w:rsidRPr="00A07F29">
        <w:rPr>
          <w:rFonts w:ascii="Times New Roman" w:eastAsia="Calibri" w:hAnsi="Times New Roman" w:cs="Times New Roman"/>
          <w:i/>
          <w:iCs/>
          <w:color w:val="000000"/>
          <w:sz w:val="24"/>
          <w:szCs w:val="24"/>
        </w:rPr>
        <w:t>curvifolia</w:t>
      </w:r>
      <w:proofErr w:type="spellEnd"/>
      <w:r w:rsidRPr="00A07F29">
        <w:rPr>
          <w:rFonts w:ascii="Times New Roman" w:eastAsia="Calibri" w:hAnsi="Times New Roman" w:cs="Times New Roman"/>
          <w:i/>
          <w:iCs/>
          <w:color w:val="000000"/>
          <w:sz w:val="24"/>
          <w:szCs w:val="24"/>
        </w:rPr>
        <w:t xml:space="preserve">, </w:t>
      </w:r>
      <w:r w:rsidRPr="00A07F29">
        <w:rPr>
          <w:rFonts w:ascii="Times New Roman" w:eastAsia="Calibri" w:hAnsi="Times New Roman" w:cs="Times New Roman"/>
          <w:color w:val="000000"/>
          <w:sz w:val="24"/>
          <w:szCs w:val="24"/>
        </w:rPr>
        <w:t>no ķērpjiem – rakstu ķērpis</w:t>
      </w:r>
      <w:r w:rsidRPr="00A07F29">
        <w:rPr>
          <w:rFonts w:ascii="Times New Roman" w:eastAsia="Calibri" w:hAnsi="Times New Roman" w:cs="Times New Roman"/>
          <w:i/>
          <w:iCs/>
          <w:color w:val="000000"/>
          <w:sz w:val="24"/>
          <w:szCs w:val="24"/>
        </w:rPr>
        <w:t xml:space="preserve"> </w:t>
      </w:r>
      <w:proofErr w:type="spellStart"/>
      <w:r w:rsidRPr="00A07F29">
        <w:rPr>
          <w:rFonts w:ascii="Times New Roman" w:eastAsia="Calibri" w:hAnsi="Times New Roman" w:cs="Times New Roman"/>
          <w:i/>
          <w:iCs/>
          <w:color w:val="000000"/>
          <w:sz w:val="24"/>
          <w:szCs w:val="24"/>
        </w:rPr>
        <w:t>Graphis</w:t>
      </w:r>
      <w:proofErr w:type="spellEnd"/>
      <w:r w:rsidRPr="00A07F29">
        <w:rPr>
          <w:rFonts w:ascii="Times New Roman" w:eastAsia="Calibri" w:hAnsi="Times New Roman" w:cs="Times New Roman"/>
          <w:i/>
          <w:iCs/>
          <w:color w:val="000000"/>
          <w:sz w:val="24"/>
          <w:szCs w:val="24"/>
        </w:rPr>
        <w:t xml:space="preserve"> </w:t>
      </w:r>
      <w:proofErr w:type="spellStart"/>
      <w:r w:rsidRPr="00A07F29">
        <w:rPr>
          <w:rFonts w:ascii="Times New Roman" w:eastAsia="Calibri" w:hAnsi="Times New Roman" w:cs="Times New Roman"/>
          <w:i/>
          <w:iCs/>
          <w:color w:val="000000"/>
          <w:sz w:val="24"/>
          <w:szCs w:val="24"/>
        </w:rPr>
        <w:t>scripta</w:t>
      </w:r>
      <w:proofErr w:type="spellEnd"/>
      <w:r w:rsidRPr="00A07F29">
        <w:rPr>
          <w:rFonts w:ascii="Times New Roman" w:eastAsia="Calibri" w:hAnsi="Times New Roman" w:cs="Times New Roman"/>
          <w:i/>
          <w:iCs/>
          <w:color w:val="000000"/>
          <w:sz w:val="24"/>
          <w:szCs w:val="24"/>
        </w:rPr>
        <w:t xml:space="preserve"> </w:t>
      </w:r>
      <w:r w:rsidRPr="00A07F29">
        <w:rPr>
          <w:rFonts w:ascii="Times New Roman" w:eastAsia="Calibri" w:hAnsi="Times New Roman" w:cs="Times New Roman"/>
          <w:color w:val="000000"/>
          <w:sz w:val="24"/>
          <w:szCs w:val="24"/>
        </w:rPr>
        <w:t xml:space="preserve">un pumpurainā </w:t>
      </w:r>
      <w:proofErr w:type="spellStart"/>
      <w:r w:rsidRPr="00A07F29">
        <w:rPr>
          <w:rFonts w:ascii="Times New Roman" w:eastAsia="Calibri" w:hAnsi="Times New Roman" w:cs="Times New Roman"/>
          <w:color w:val="000000"/>
          <w:sz w:val="24"/>
          <w:szCs w:val="24"/>
        </w:rPr>
        <w:t>akrokordija</w:t>
      </w:r>
      <w:proofErr w:type="spellEnd"/>
      <w:r w:rsidRPr="00A07F29">
        <w:rPr>
          <w:rFonts w:ascii="Times New Roman" w:eastAsia="Calibri" w:hAnsi="Times New Roman" w:cs="Times New Roman"/>
          <w:color w:val="000000"/>
          <w:sz w:val="24"/>
          <w:szCs w:val="24"/>
        </w:rPr>
        <w:t xml:space="preserve"> </w:t>
      </w:r>
      <w:proofErr w:type="spellStart"/>
      <w:r w:rsidRPr="00A07F29">
        <w:rPr>
          <w:rFonts w:ascii="Times New Roman" w:eastAsia="Calibri" w:hAnsi="Times New Roman" w:cs="Times New Roman"/>
          <w:i/>
          <w:iCs/>
          <w:color w:val="000000"/>
          <w:sz w:val="24"/>
          <w:szCs w:val="24"/>
        </w:rPr>
        <w:t>Acrocordia</w:t>
      </w:r>
      <w:proofErr w:type="spellEnd"/>
      <w:r w:rsidRPr="00A07F29">
        <w:rPr>
          <w:rFonts w:ascii="Times New Roman" w:eastAsia="Calibri" w:hAnsi="Times New Roman" w:cs="Times New Roman"/>
          <w:i/>
          <w:iCs/>
          <w:color w:val="000000"/>
          <w:sz w:val="24"/>
          <w:szCs w:val="24"/>
        </w:rPr>
        <w:t xml:space="preserve"> </w:t>
      </w:r>
      <w:proofErr w:type="spellStart"/>
      <w:r w:rsidRPr="00A07F29">
        <w:rPr>
          <w:rFonts w:ascii="Times New Roman" w:eastAsia="Calibri" w:hAnsi="Times New Roman" w:cs="Times New Roman"/>
          <w:i/>
          <w:iCs/>
          <w:color w:val="000000"/>
          <w:sz w:val="24"/>
          <w:szCs w:val="24"/>
        </w:rPr>
        <w:t>gemmata</w:t>
      </w:r>
      <w:proofErr w:type="spellEnd"/>
      <w:r w:rsidRPr="00A07F29">
        <w:rPr>
          <w:rFonts w:ascii="Times New Roman" w:eastAsia="Calibri" w:hAnsi="Times New Roman" w:cs="Times New Roman"/>
          <w:i/>
          <w:iCs/>
          <w:color w:val="000000"/>
          <w:sz w:val="24"/>
          <w:szCs w:val="24"/>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36"/>
        <w:gridCol w:w="1818"/>
      </w:tblGrid>
      <w:tr w:rsidR="00274E0C" w:rsidRPr="00A07F29" w14:paraId="25D60B1E" w14:textId="77777777" w:rsidTr="63C42FA1">
        <w:trPr>
          <w:jc w:val="center"/>
        </w:trPr>
        <w:tc>
          <w:tcPr>
            <w:tcW w:w="4672" w:type="dxa"/>
          </w:tcPr>
          <w:p w14:paraId="4C1B55C6" w14:textId="7CFB4AB9" w:rsidR="00274E0C" w:rsidRPr="00A07F29" w:rsidRDefault="00274E0C" w:rsidP="007714A0">
            <w:pPr>
              <w:autoSpaceDE w:val="0"/>
              <w:autoSpaceDN w:val="0"/>
              <w:adjustRightInd w:val="0"/>
              <w:spacing w:after="120"/>
              <w:jc w:val="both"/>
              <w:rPr>
                <w:rFonts w:ascii="Times New Roman" w:eastAsia="Calibri" w:hAnsi="Times New Roman" w:cs="Times New Roman"/>
                <w:sz w:val="24"/>
                <w:szCs w:val="24"/>
                <w:u w:val="single"/>
              </w:rPr>
            </w:pPr>
            <w:r w:rsidRPr="00A07F29">
              <w:rPr>
                <w:noProof/>
                <w:lang w:eastAsia="lv-LV"/>
              </w:rPr>
              <w:drawing>
                <wp:inline distT="0" distB="0" distL="0" distR="0" wp14:anchorId="4F6E8947" wp14:editId="64246537">
                  <wp:extent cx="4645660" cy="2613569"/>
                  <wp:effectExtent l="0" t="0" r="2540" b="0"/>
                  <wp:docPr id="91814555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pic:nvPicPr>
                        <pic:blipFill>
                          <a:blip r:embed="rId51">
                            <a:extLst>
                              <a:ext uri="{28A0092B-C50C-407E-A947-70E740481C1C}">
                                <a14:useLocalDpi xmlns:a14="http://schemas.microsoft.com/office/drawing/2010/main" val="0"/>
                              </a:ext>
                            </a:extLst>
                          </a:blip>
                          <a:stretch>
                            <a:fillRect/>
                          </a:stretch>
                        </pic:blipFill>
                        <pic:spPr>
                          <a:xfrm>
                            <a:off x="0" y="0"/>
                            <a:ext cx="4645660" cy="2613569"/>
                          </a:xfrm>
                          <a:prstGeom prst="rect">
                            <a:avLst/>
                          </a:prstGeom>
                        </pic:spPr>
                      </pic:pic>
                    </a:graphicData>
                  </a:graphic>
                </wp:inline>
              </w:drawing>
            </w:r>
          </w:p>
        </w:tc>
        <w:tc>
          <w:tcPr>
            <w:tcW w:w="4672" w:type="dxa"/>
            <w:vAlign w:val="bottom"/>
          </w:tcPr>
          <w:p w14:paraId="4FB675E7" w14:textId="47FBDEA3" w:rsidR="00274E0C" w:rsidRPr="00023E00" w:rsidRDefault="00274E0C" w:rsidP="007714A0">
            <w:pPr>
              <w:autoSpaceDE w:val="0"/>
              <w:autoSpaceDN w:val="0"/>
              <w:adjustRightInd w:val="0"/>
              <w:spacing w:after="120"/>
              <w:jc w:val="both"/>
              <w:rPr>
                <w:rFonts w:ascii="Times New Roman" w:eastAsia="Calibri" w:hAnsi="Times New Roman" w:cs="Times New Roman"/>
                <w:sz w:val="20"/>
                <w:szCs w:val="20"/>
                <w:u w:val="single"/>
              </w:rPr>
            </w:pPr>
            <w:r w:rsidRPr="00023E00">
              <w:rPr>
                <w:rFonts w:ascii="Times New Roman" w:eastAsia="Calibri" w:hAnsi="Times New Roman" w:cs="Times New Roman"/>
                <w:sz w:val="20"/>
                <w:szCs w:val="20"/>
              </w:rPr>
              <w:t>4.3.4.1.</w:t>
            </w:r>
            <w:r w:rsidR="00A92DBA" w:rsidRPr="00023E00">
              <w:rPr>
                <w:rFonts w:ascii="Times New Roman" w:eastAsia="Calibri" w:hAnsi="Times New Roman" w:cs="Times New Roman"/>
                <w:sz w:val="20"/>
                <w:szCs w:val="20"/>
              </w:rPr>
              <w:t> </w:t>
            </w:r>
            <w:r w:rsidRPr="00023E00">
              <w:rPr>
                <w:rFonts w:ascii="Times New Roman" w:eastAsia="Calibri" w:hAnsi="Times New Roman" w:cs="Times New Roman"/>
                <w:sz w:val="20"/>
                <w:szCs w:val="20"/>
              </w:rPr>
              <w:t>att</w:t>
            </w:r>
            <w:r w:rsidR="00A92DBA" w:rsidRPr="00023E00">
              <w:rPr>
                <w:rFonts w:ascii="Times New Roman" w:eastAsia="Calibri" w:hAnsi="Times New Roman" w:cs="Times New Roman"/>
                <w:sz w:val="20"/>
                <w:szCs w:val="20"/>
              </w:rPr>
              <w:t>ēls</w:t>
            </w:r>
            <w:r w:rsidRPr="00023E00">
              <w:rPr>
                <w:rFonts w:ascii="Times New Roman" w:eastAsia="Calibri" w:hAnsi="Times New Roman" w:cs="Times New Roman"/>
                <w:sz w:val="20"/>
                <w:szCs w:val="20"/>
              </w:rPr>
              <w:t>. 9050</w:t>
            </w:r>
            <w:r w:rsidR="00A92DBA" w:rsidRPr="00023E00">
              <w:rPr>
                <w:rFonts w:ascii="Times New Roman" w:eastAsia="Calibri" w:hAnsi="Times New Roman" w:cs="Times New Roman"/>
                <w:sz w:val="20"/>
                <w:szCs w:val="20"/>
              </w:rPr>
              <w:t> </w:t>
            </w:r>
            <w:r w:rsidRPr="00023E00">
              <w:rPr>
                <w:rFonts w:ascii="Times New Roman" w:eastAsia="Calibri" w:hAnsi="Times New Roman" w:cs="Times New Roman"/>
                <w:i/>
                <w:iCs/>
                <w:sz w:val="20"/>
                <w:szCs w:val="20"/>
              </w:rPr>
              <w:t>Lakstaugiem bagāts egļu mežs</w:t>
            </w:r>
            <w:r w:rsidRPr="00023E00">
              <w:rPr>
                <w:rFonts w:ascii="Times New Roman" w:eastAsia="Calibri" w:hAnsi="Times New Roman" w:cs="Times New Roman"/>
                <w:sz w:val="20"/>
                <w:szCs w:val="20"/>
              </w:rPr>
              <w:t xml:space="preserve"> ar </w:t>
            </w:r>
            <w:proofErr w:type="spellStart"/>
            <w:r w:rsidRPr="00023E00">
              <w:rPr>
                <w:rFonts w:ascii="Times New Roman" w:eastAsia="Calibri" w:hAnsi="Times New Roman" w:cs="Times New Roman"/>
                <w:sz w:val="20"/>
                <w:szCs w:val="20"/>
              </w:rPr>
              <w:t>Šultesa</w:t>
            </w:r>
            <w:proofErr w:type="spellEnd"/>
            <w:r w:rsidRPr="00023E00">
              <w:rPr>
                <w:rFonts w:ascii="Times New Roman" w:eastAsia="Calibri" w:hAnsi="Times New Roman" w:cs="Times New Roman"/>
                <w:sz w:val="20"/>
                <w:szCs w:val="20"/>
              </w:rPr>
              <w:t xml:space="preserve"> madaru </w:t>
            </w:r>
            <w:proofErr w:type="spellStart"/>
            <w:r w:rsidRPr="00023E00">
              <w:rPr>
                <w:rFonts w:ascii="Times New Roman" w:eastAsia="Calibri" w:hAnsi="Times New Roman" w:cs="Times New Roman"/>
                <w:i/>
                <w:iCs/>
                <w:sz w:val="20"/>
                <w:szCs w:val="20"/>
              </w:rPr>
              <w:t>Galium</w:t>
            </w:r>
            <w:proofErr w:type="spellEnd"/>
            <w:r w:rsidRPr="00023E00">
              <w:rPr>
                <w:rFonts w:ascii="Times New Roman" w:eastAsia="Calibri" w:hAnsi="Times New Roman" w:cs="Times New Roman"/>
                <w:i/>
                <w:iCs/>
                <w:sz w:val="20"/>
                <w:szCs w:val="20"/>
              </w:rPr>
              <w:t xml:space="preserve"> </w:t>
            </w:r>
            <w:proofErr w:type="spellStart"/>
            <w:r w:rsidRPr="00023E00">
              <w:rPr>
                <w:rFonts w:ascii="Times New Roman" w:eastAsia="Calibri" w:hAnsi="Times New Roman" w:cs="Times New Roman"/>
                <w:i/>
                <w:iCs/>
                <w:sz w:val="20"/>
                <w:szCs w:val="20"/>
              </w:rPr>
              <w:t>schultesii</w:t>
            </w:r>
            <w:proofErr w:type="spellEnd"/>
            <w:r w:rsidRPr="00023E00">
              <w:rPr>
                <w:rFonts w:ascii="Times New Roman" w:eastAsia="Calibri" w:hAnsi="Times New Roman" w:cs="Times New Roman"/>
                <w:i/>
                <w:iCs/>
                <w:sz w:val="20"/>
                <w:szCs w:val="20"/>
              </w:rPr>
              <w:t xml:space="preserve"> </w:t>
            </w:r>
            <w:r w:rsidRPr="00023E00">
              <w:rPr>
                <w:rFonts w:ascii="Times New Roman" w:eastAsia="Calibri" w:hAnsi="Times New Roman" w:cs="Times New Roman"/>
                <w:sz w:val="20"/>
                <w:szCs w:val="20"/>
              </w:rPr>
              <w:t>(Foto: A</w:t>
            </w:r>
            <w:r w:rsidR="00BE13ED" w:rsidRPr="00023E00">
              <w:rPr>
                <w:rFonts w:ascii="Times New Roman" w:eastAsia="Calibri" w:hAnsi="Times New Roman" w:cs="Times New Roman"/>
                <w:sz w:val="20"/>
                <w:szCs w:val="20"/>
              </w:rPr>
              <w:t>. </w:t>
            </w:r>
            <w:r w:rsidRPr="00023E00">
              <w:rPr>
                <w:rFonts w:ascii="Times New Roman" w:eastAsia="Calibri" w:hAnsi="Times New Roman" w:cs="Times New Roman"/>
                <w:sz w:val="20"/>
                <w:szCs w:val="20"/>
              </w:rPr>
              <w:t>Bojāre)</w:t>
            </w:r>
          </w:p>
        </w:tc>
      </w:tr>
    </w:tbl>
    <w:p w14:paraId="6DCE354B" w14:textId="45AD3191" w:rsidR="002B1603" w:rsidRPr="00A07F29" w:rsidRDefault="002B1603" w:rsidP="00446E51">
      <w:pPr>
        <w:keepNext/>
        <w:keepLines/>
        <w:spacing w:before="240" w:after="120" w:line="240" w:lineRule="auto"/>
        <w:jc w:val="both"/>
        <w:outlineLvl w:val="3"/>
        <w:rPr>
          <w:rFonts w:ascii="Times New Roman" w:eastAsia="Calibri" w:hAnsi="Times New Roman" w:cs="Times New Roman"/>
          <w:b/>
          <w:bCs/>
          <w:i/>
          <w:iCs/>
          <w:sz w:val="24"/>
          <w:szCs w:val="24"/>
          <w:lang w:eastAsia="lv-LV"/>
        </w:rPr>
      </w:pPr>
      <w:r w:rsidRPr="00A07F29">
        <w:rPr>
          <w:rFonts w:ascii="Times New Roman" w:eastAsia="Calibri" w:hAnsi="Times New Roman" w:cs="Times New Roman"/>
          <w:b/>
          <w:bCs/>
          <w:sz w:val="24"/>
          <w:szCs w:val="24"/>
          <w:lang w:eastAsia="lv-LV"/>
        </w:rPr>
        <w:t xml:space="preserve">9060 </w:t>
      </w:r>
      <w:r w:rsidRPr="00A07F29">
        <w:rPr>
          <w:rFonts w:ascii="Times New Roman" w:eastAsia="Calibri" w:hAnsi="Times New Roman" w:cs="Times New Roman"/>
          <w:b/>
          <w:bCs/>
          <w:i/>
          <w:iCs/>
          <w:sz w:val="24"/>
          <w:szCs w:val="24"/>
          <w:lang w:eastAsia="lv-LV"/>
        </w:rPr>
        <w:t xml:space="preserve">Skujkoku meži uz </w:t>
      </w:r>
      <w:proofErr w:type="spellStart"/>
      <w:r w:rsidRPr="00A07F29">
        <w:rPr>
          <w:rFonts w:ascii="Times New Roman" w:eastAsia="Calibri" w:hAnsi="Times New Roman" w:cs="Times New Roman"/>
          <w:b/>
          <w:bCs/>
          <w:i/>
          <w:iCs/>
          <w:sz w:val="24"/>
          <w:szCs w:val="24"/>
          <w:lang w:eastAsia="lv-LV"/>
        </w:rPr>
        <w:t>osveida</w:t>
      </w:r>
      <w:proofErr w:type="spellEnd"/>
      <w:r w:rsidRPr="00A07F29">
        <w:rPr>
          <w:rFonts w:ascii="Times New Roman" w:eastAsia="Calibri" w:hAnsi="Times New Roman" w:cs="Times New Roman"/>
          <w:b/>
          <w:bCs/>
          <w:i/>
          <w:iCs/>
          <w:sz w:val="24"/>
          <w:szCs w:val="24"/>
          <w:lang w:eastAsia="lv-LV"/>
        </w:rPr>
        <w:t xml:space="preserve"> reljefa formām</w:t>
      </w:r>
    </w:p>
    <w:p w14:paraId="4A8C406E" w14:textId="12829166" w:rsidR="00446E51" w:rsidRPr="00A07F29" w:rsidRDefault="00446E51" w:rsidP="00446E51">
      <w:pPr>
        <w:autoSpaceDE w:val="0"/>
        <w:autoSpaceDN w:val="0"/>
        <w:adjustRightInd w:val="0"/>
        <w:spacing w:after="120" w:line="240" w:lineRule="auto"/>
        <w:ind w:firstLine="851"/>
        <w:jc w:val="both"/>
        <w:rPr>
          <w:rFonts w:ascii="Times New Roman" w:hAnsi="Times New Roman" w:cs="Times New Roman"/>
          <w:bCs/>
          <w:i/>
          <w:sz w:val="24"/>
          <w:szCs w:val="24"/>
          <w:shd w:val="clear" w:color="auto" w:fill="FFFFFF"/>
        </w:rPr>
      </w:pPr>
      <w:r w:rsidRPr="00A07F29">
        <w:rPr>
          <w:rFonts w:ascii="Times New Roman" w:eastAsia="Calibri" w:hAnsi="Times New Roman" w:cs="Times New Roman"/>
          <w:sz w:val="24"/>
          <w:szCs w:val="24"/>
        </w:rPr>
        <w:t>Biotops AAA konstatēts tikai vienā poligonā 3,16</w:t>
      </w:r>
      <w:r w:rsidR="00023E00">
        <w:rPr>
          <w:rFonts w:ascii="Times New Roman" w:eastAsia="Calibri" w:hAnsi="Times New Roman" w:cs="Times New Roman"/>
          <w:sz w:val="24"/>
          <w:szCs w:val="24"/>
        </w:rPr>
        <w:t> </w:t>
      </w:r>
      <w:r w:rsidRPr="00A07F29">
        <w:rPr>
          <w:rFonts w:ascii="Times New Roman" w:eastAsia="Calibri" w:hAnsi="Times New Roman" w:cs="Times New Roman"/>
          <w:sz w:val="24"/>
          <w:szCs w:val="24"/>
        </w:rPr>
        <w:t>ha lielā platībā, kas veido 0,01</w:t>
      </w:r>
      <w:r w:rsidR="00023E00">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 no aizsargājamās teritorijas kopējās platības. Biotopam atzīmēta izcila kvalitāte. </w:t>
      </w:r>
      <w:r w:rsidRPr="00F12FCA">
        <w:rPr>
          <w:rFonts w:ascii="Times New Roman" w:eastAsia="Calibri" w:hAnsi="Times New Roman" w:cs="Times New Roman"/>
          <w:bCs/>
          <w:iCs/>
          <w:sz w:val="24"/>
          <w:szCs w:val="24"/>
          <w:lang w:eastAsia="lv-LV"/>
        </w:rPr>
        <w:t>9060</w:t>
      </w:r>
      <w:r w:rsidR="00F12FCA">
        <w:rPr>
          <w:rFonts w:ascii="Times New Roman" w:eastAsia="Calibri" w:hAnsi="Times New Roman" w:cs="Times New Roman"/>
          <w:bCs/>
          <w:i/>
          <w:sz w:val="24"/>
          <w:szCs w:val="24"/>
          <w:lang w:eastAsia="lv-LV"/>
        </w:rPr>
        <w:t> </w:t>
      </w:r>
      <w:r w:rsidRPr="00A07F29">
        <w:rPr>
          <w:rFonts w:ascii="Times New Roman" w:eastAsia="Calibri" w:hAnsi="Times New Roman" w:cs="Times New Roman"/>
          <w:bCs/>
          <w:i/>
          <w:iCs/>
          <w:sz w:val="24"/>
          <w:szCs w:val="24"/>
          <w:lang w:eastAsia="lv-LV"/>
        </w:rPr>
        <w:t xml:space="preserve">Skujkoku meži uz </w:t>
      </w:r>
      <w:proofErr w:type="spellStart"/>
      <w:r w:rsidRPr="00A07F29">
        <w:rPr>
          <w:rFonts w:ascii="Times New Roman" w:eastAsia="Calibri" w:hAnsi="Times New Roman" w:cs="Times New Roman"/>
          <w:bCs/>
          <w:i/>
          <w:iCs/>
          <w:sz w:val="24"/>
          <w:szCs w:val="24"/>
          <w:lang w:eastAsia="lv-LV"/>
        </w:rPr>
        <w:t>osveida</w:t>
      </w:r>
      <w:proofErr w:type="spellEnd"/>
      <w:r w:rsidRPr="00A07F29">
        <w:rPr>
          <w:rFonts w:ascii="Times New Roman" w:eastAsia="Calibri" w:hAnsi="Times New Roman" w:cs="Times New Roman"/>
          <w:bCs/>
          <w:i/>
          <w:iCs/>
          <w:sz w:val="24"/>
          <w:szCs w:val="24"/>
          <w:lang w:eastAsia="lv-LV"/>
        </w:rPr>
        <w:t xml:space="preserve"> reljefa formām</w:t>
      </w:r>
      <w:r w:rsidR="00BB073E" w:rsidRPr="00A07F29">
        <w:rPr>
          <w:rFonts w:ascii="Times New Roman" w:eastAsia="Calibri" w:hAnsi="Times New Roman" w:cs="Times New Roman"/>
          <w:bCs/>
          <w:iCs/>
          <w:sz w:val="24"/>
          <w:szCs w:val="24"/>
          <w:lang w:eastAsia="lv-LV"/>
        </w:rPr>
        <w:t xml:space="preserve">, </w:t>
      </w:r>
      <w:r w:rsidRPr="00A07F29">
        <w:rPr>
          <w:rFonts w:ascii="Times New Roman" w:eastAsia="Calibri" w:hAnsi="Times New Roman" w:cs="Times New Roman"/>
          <w:iCs/>
          <w:color w:val="000000" w:themeColor="text1"/>
          <w:sz w:val="24"/>
          <w:szCs w:val="24"/>
        </w:rPr>
        <w:t>kas atbilst DMB un ir ar izcilu kvalitāti</w:t>
      </w:r>
      <w:r w:rsidR="00BB073E" w:rsidRPr="00A07F29">
        <w:rPr>
          <w:rFonts w:ascii="Times New Roman" w:eastAsia="Calibri" w:hAnsi="Times New Roman" w:cs="Times New Roman"/>
          <w:iCs/>
          <w:color w:val="000000" w:themeColor="text1"/>
          <w:sz w:val="24"/>
          <w:szCs w:val="24"/>
        </w:rPr>
        <w:t>,</w:t>
      </w:r>
      <w:r w:rsidRPr="00A07F29">
        <w:rPr>
          <w:rFonts w:ascii="Times New Roman" w:eastAsia="Calibri" w:hAnsi="Times New Roman" w:cs="Times New Roman"/>
          <w:i/>
          <w:iCs/>
          <w:color w:val="000000" w:themeColor="text1"/>
          <w:sz w:val="24"/>
          <w:szCs w:val="24"/>
        </w:rPr>
        <w:t xml:space="preserve"> </w:t>
      </w:r>
      <w:r w:rsidRPr="00A07F29">
        <w:rPr>
          <w:rFonts w:ascii="Times New Roman" w:eastAsia="Calibri" w:hAnsi="Times New Roman" w:cs="Times New Roman"/>
          <w:iCs/>
          <w:color w:val="000000" w:themeColor="text1"/>
          <w:sz w:val="24"/>
          <w:szCs w:val="24"/>
        </w:rPr>
        <w:t xml:space="preserve">atbilst Latvijas </w:t>
      </w:r>
      <w:r w:rsidR="008618E3">
        <w:rPr>
          <w:rFonts w:ascii="Times New Roman" w:eastAsia="Calibri" w:hAnsi="Times New Roman" w:cs="Times New Roman"/>
          <w:iCs/>
          <w:color w:val="000000" w:themeColor="text1"/>
          <w:sz w:val="24"/>
          <w:szCs w:val="24"/>
        </w:rPr>
        <w:t>īpaši aizsargājamam</w:t>
      </w:r>
      <w:r w:rsidRPr="00A07F29">
        <w:rPr>
          <w:rFonts w:ascii="Times New Roman" w:eastAsia="Calibri" w:hAnsi="Times New Roman" w:cs="Times New Roman"/>
          <w:iCs/>
          <w:color w:val="000000" w:themeColor="text1"/>
          <w:sz w:val="24"/>
          <w:szCs w:val="24"/>
        </w:rPr>
        <w:t xml:space="preserve"> biotopam</w:t>
      </w:r>
      <w:r w:rsidRPr="00A07F29">
        <w:rPr>
          <w:rFonts w:ascii="Times New Roman" w:eastAsia="Calibri" w:hAnsi="Times New Roman" w:cs="Times New Roman"/>
          <w:i/>
          <w:iCs/>
          <w:color w:val="000000" w:themeColor="text1"/>
          <w:sz w:val="24"/>
          <w:szCs w:val="24"/>
        </w:rPr>
        <w:t xml:space="preserve"> 1.11</w:t>
      </w:r>
      <w:r w:rsidR="00573FE0">
        <w:rPr>
          <w:rFonts w:ascii="Times New Roman" w:eastAsia="Calibri" w:hAnsi="Times New Roman" w:cs="Times New Roman"/>
          <w:i/>
          <w:iCs/>
          <w:color w:val="000000" w:themeColor="text1"/>
          <w:sz w:val="24"/>
          <w:szCs w:val="24"/>
        </w:rPr>
        <w:t>.</w:t>
      </w:r>
      <w:r w:rsidR="00F12FCA">
        <w:rPr>
          <w:rFonts w:ascii="Times New Roman" w:eastAsia="Calibri" w:hAnsi="Times New Roman" w:cs="Times New Roman"/>
          <w:i/>
          <w:iCs/>
          <w:color w:val="000000" w:themeColor="text1"/>
          <w:sz w:val="24"/>
          <w:szCs w:val="24"/>
        </w:rPr>
        <w:t> </w:t>
      </w:r>
      <w:r w:rsidRPr="00A07F29">
        <w:rPr>
          <w:rFonts w:ascii="Times New Roman" w:hAnsi="Times New Roman" w:cs="Times New Roman"/>
          <w:bCs/>
          <w:i/>
          <w:sz w:val="24"/>
          <w:szCs w:val="24"/>
          <w:shd w:val="clear" w:color="auto" w:fill="FFFFFF"/>
        </w:rPr>
        <w:t xml:space="preserve">Skujkoku meži uz </w:t>
      </w:r>
      <w:proofErr w:type="spellStart"/>
      <w:r w:rsidRPr="00A07F29">
        <w:rPr>
          <w:rFonts w:ascii="Times New Roman" w:hAnsi="Times New Roman" w:cs="Times New Roman"/>
          <w:bCs/>
          <w:i/>
          <w:sz w:val="24"/>
          <w:szCs w:val="24"/>
          <w:shd w:val="clear" w:color="auto" w:fill="FFFFFF"/>
        </w:rPr>
        <w:t>osveida</w:t>
      </w:r>
      <w:proofErr w:type="spellEnd"/>
      <w:r w:rsidRPr="00A07F29">
        <w:rPr>
          <w:rFonts w:ascii="Times New Roman" w:hAnsi="Times New Roman" w:cs="Times New Roman"/>
          <w:bCs/>
          <w:i/>
          <w:sz w:val="24"/>
          <w:szCs w:val="24"/>
          <w:shd w:val="clear" w:color="auto" w:fill="FFFFFF"/>
        </w:rPr>
        <w:t xml:space="preserve"> reljefa formām.</w:t>
      </w:r>
    </w:p>
    <w:p w14:paraId="087650CF" w14:textId="092815D1" w:rsidR="002B1603" w:rsidRPr="00A07F29" w:rsidRDefault="002B1603" w:rsidP="00446E51">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9060</w:t>
      </w:r>
      <w:r w:rsidR="00573FE0">
        <w:rPr>
          <w:rFonts w:ascii="Times New Roman" w:eastAsia="Calibri" w:hAnsi="Times New Roman" w:cs="Times New Roman"/>
          <w:sz w:val="24"/>
          <w:szCs w:val="24"/>
        </w:rPr>
        <w:t> </w:t>
      </w:r>
      <w:r w:rsidRPr="00A07F29">
        <w:rPr>
          <w:rFonts w:ascii="Times New Roman" w:eastAsia="Calibri" w:hAnsi="Times New Roman" w:cs="Times New Roman"/>
          <w:i/>
          <w:sz w:val="24"/>
          <w:szCs w:val="24"/>
        </w:rPr>
        <w:t xml:space="preserve">Skujkoku meži uz </w:t>
      </w:r>
      <w:proofErr w:type="spellStart"/>
      <w:r w:rsidRPr="00A07F29">
        <w:rPr>
          <w:rFonts w:ascii="Times New Roman" w:eastAsia="Calibri" w:hAnsi="Times New Roman" w:cs="Times New Roman"/>
          <w:i/>
          <w:sz w:val="24"/>
          <w:szCs w:val="24"/>
        </w:rPr>
        <w:t>osveida</w:t>
      </w:r>
      <w:proofErr w:type="spellEnd"/>
      <w:r w:rsidRPr="00A07F29">
        <w:rPr>
          <w:rFonts w:ascii="Times New Roman" w:eastAsia="Calibri" w:hAnsi="Times New Roman" w:cs="Times New Roman"/>
          <w:i/>
          <w:sz w:val="24"/>
          <w:szCs w:val="24"/>
        </w:rPr>
        <w:t xml:space="preserve"> reljefa formām</w:t>
      </w:r>
      <w:r w:rsidRPr="00A07F29">
        <w:rPr>
          <w:rFonts w:ascii="Times New Roman" w:eastAsia="Calibri" w:hAnsi="Times New Roman" w:cs="Times New Roman"/>
          <w:sz w:val="24"/>
          <w:szCs w:val="24"/>
        </w:rPr>
        <w:t xml:space="preserve"> ir viens no retākajiem meža biotopiem Latvijā, aizņem aptuveni 16,26</w:t>
      </w:r>
      <w:r w:rsidR="00EF2D35">
        <w:rPr>
          <w:rFonts w:ascii="Times New Roman" w:eastAsia="Calibri" w:hAnsi="Times New Roman" w:cs="Times New Roman"/>
          <w:sz w:val="24"/>
          <w:szCs w:val="24"/>
        </w:rPr>
        <w:t> </w:t>
      </w:r>
      <w:r w:rsidRPr="00A07F29">
        <w:rPr>
          <w:rFonts w:ascii="Times New Roman" w:eastAsia="Calibri" w:hAnsi="Times New Roman" w:cs="Times New Roman"/>
          <w:sz w:val="24"/>
          <w:szCs w:val="24"/>
        </w:rPr>
        <w:t>km</w:t>
      </w:r>
      <w:r w:rsidRPr="00A07F29">
        <w:rPr>
          <w:rFonts w:ascii="Times New Roman" w:eastAsia="Calibri" w:hAnsi="Times New Roman" w:cs="Times New Roman"/>
          <w:sz w:val="24"/>
          <w:szCs w:val="24"/>
          <w:vertAlign w:val="superscript"/>
        </w:rPr>
        <w:t>2</w:t>
      </w:r>
      <w:r w:rsidRPr="00A07F29">
        <w:rPr>
          <w:rFonts w:ascii="Times New Roman" w:eastAsia="Calibri" w:hAnsi="Times New Roman" w:cs="Times New Roman"/>
          <w:sz w:val="24"/>
          <w:szCs w:val="24"/>
        </w:rPr>
        <w:t xml:space="preserve"> no Latvijas teritorijas (</w:t>
      </w:r>
      <w:proofErr w:type="spellStart"/>
      <w:r w:rsidRPr="00A07F29">
        <w:rPr>
          <w:rFonts w:ascii="Times New Roman" w:eastAsia="Calibri" w:hAnsi="Times New Roman" w:cs="Times New Roman"/>
          <w:sz w:val="24"/>
          <w:szCs w:val="24"/>
        </w:rPr>
        <w:t>Conservation</w:t>
      </w:r>
      <w:proofErr w:type="spellEnd"/>
      <w:r w:rsidRPr="00A07F29">
        <w:rPr>
          <w:rFonts w:ascii="Times New Roman" w:eastAsia="Calibri" w:hAnsi="Times New Roman" w:cs="Times New Roman"/>
          <w:sz w:val="24"/>
          <w:szCs w:val="24"/>
        </w:rPr>
        <w:t xml:space="preserve"> </w:t>
      </w:r>
      <w:r w:rsidR="00962DCF">
        <w:rPr>
          <w:rFonts w:ascii="Times New Roman" w:eastAsia="Calibri" w:hAnsi="Times New Roman" w:cs="Times New Roman"/>
          <w:sz w:val="24"/>
          <w:szCs w:val="24"/>
        </w:rPr>
        <w:t>S</w:t>
      </w:r>
      <w:r w:rsidRPr="00A07F29">
        <w:rPr>
          <w:rFonts w:ascii="Times New Roman" w:eastAsia="Calibri" w:hAnsi="Times New Roman" w:cs="Times New Roman"/>
          <w:sz w:val="24"/>
          <w:szCs w:val="24"/>
        </w:rPr>
        <w:t xml:space="preserve">tatus </w:t>
      </w:r>
      <w:proofErr w:type="spellStart"/>
      <w:r w:rsidRPr="00A07F29">
        <w:rPr>
          <w:rFonts w:ascii="Times New Roman" w:eastAsia="Calibri" w:hAnsi="Times New Roman" w:cs="Times New Roman"/>
          <w:sz w:val="24"/>
          <w:szCs w:val="24"/>
        </w:rPr>
        <w:t>of</w:t>
      </w:r>
      <w:proofErr w:type="spellEnd"/>
      <w:r w:rsidRPr="00A07F29">
        <w:rPr>
          <w:rFonts w:ascii="Times New Roman" w:eastAsia="Calibri" w:hAnsi="Times New Roman" w:cs="Times New Roman"/>
          <w:sz w:val="24"/>
          <w:szCs w:val="24"/>
        </w:rPr>
        <w:t xml:space="preserve">.., 2019) un sastopams tikai Latvijas centrālajā un </w:t>
      </w:r>
      <w:r w:rsidR="00533C8E">
        <w:rPr>
          <w:rFonts w:ascii="Times New Roman" w:eastAsia="Calibri" w:hAnsi="Times New Roman" w:cs="Times New Roman"/>
          <w:sz w:val="24"/>
          <w:szCs w:val="24"/>
        </w:rPr>
        <w:t>A</w:t>
      </w:r>
      <w:r w:rsidRPr="00A07F29">
        <w:rPr>
          <w:rFonts w:ascii="Times New Roman" w:eastAsia="Calibri" w:hAnsi="Times New Roman" w:cs="Times New Roman"/>
          <w:sz w:val="24"/>
          <w:szCs w:val="24"/>
        </w:rPr>
        <w:t xml:space="preserve"> daļā. Biotopu veido augu sabiedrību komplekss, kas ir atkarīgs no reljefa, no nogāžu ekspozīcijas un slīpuma, kas savukārt ietekmē apgaismojumu, kā arī gaisa un augsnes temperatūrām, līdz ar to augu sabiedrības ir mainīgas. </w:t>
      </w:r>
    </w:p>
    <w:p w14:paraId="3E06D6FD" w14:textId="60994825" w:rsidR="002B1603" w:rsidRPr="00A07F29" w:rsidRDefault="002B1603" w:rsidP="00446E51">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AAA “Augšdaugava” biotops atrodas stāvā </w:t>
      </w:r>
      <w:r w:rsidR="31BB295B" w:rsidRPr="00A07F29">
        <w:rPr>
          <w:rFonts w:ascii="Times New Roman" w:eastAsia="Calibri" w:hAnsi="Times New Roman" w:cs="Times New Roman"/>
          <w:sz w:val="24"/>
          <w:szCs w:val="24"/>
        </w:rPr>
        <w:t>R</w:t>
      </w:r>
      <w:r w:rsidRPr="00A07F29">
        <w:rPr>
          <w:rFonts w:ascii="Times New Roman" w:eastAsia="Calibri" w:hAnsi="Times New Roman" w:cs="Times New Roman"/>
          <w:sz w:val="24"/>
          <w:szCs w:val="24"/>
        </w:rPr>
        <w:t xml:space="preserve"> nogāzē. Mežaudze ir noēnota ar blīvu otro stāvu. </w:t>
      </w:r>
      <w:proofErr w:type="spellStart"/>
      <w:r w:rsidRPr="00A07F29">
        <w:rPr>
          <w:rFonts w:ascii="Times New Roman" w:eastAsia="Calibri" w:hAnsi="Times New Roman" w:cs="Times New Roman"/>
          <w:sz w:val="24"/>
          <w:szCs w:val="24"/>
        </w:rPr>
        <w:t>Kokaudzē</w:t>
      </w:r>
      <w:proofErr w:type="spellEnd"/>
      <w:r w:rsidRPr="00A07F29">
        <w:rPr>
          <w:rFonts w:ascii="Times New Roman" w:eastAsia="Calibri" w:hAnsi="Times New Roman" w:cs="Times New Roman"/>
          <w:sz w:val="24"/>
          <w:szCs w:val="24"/>
        </w:rPr>
        <w:t xml:space="preserve"> dominē parastā priede </w:t>
      </w:r>
      <w:proofErr w:type="spellStart"/>
      <w:r w:rsidRPr="00A07F29">
        <w:rPr>
          <w:rFonts w:ascii="Times New Roman" w:eastAsia="Calibri" w:hAnsi="Times New Roman" w:cs="Times New Roman"/>
          <w:i/>
          <w:iCs/>
          <w:sz w:val="24"/>
          <w:szCs w:val="24"/>
        </w:rPr>
        <w:t>Pinus</w:t>
      </w:r>
      <w:proofErr w:type="spellEnd"/>
      <w:r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sylvestris</w:t>
      </w:r>
      <w:proofErr w:type="spellEnd"/>
      <w:r w:rsidR="00D65BBA" w:rsidRPr="00A07F29">
        <w:rPr>
          <w:rFonts w:ascii="Times New Roman" w:eastAsia="Calibri" w:hAnsi="Times New Roman" w:cs="Times New Roman"/>
          <w:sz w:val="24"/>
          <w:szCs w:val="24"/>
        </w:rPr>
        <w:t xml:space="preserve"> </w:t>
      </w:r>
      <w:r w:rsidRPr="00A07F29">
        <w:rPr>
          <w:rFonts w:ascii="Times New Roman" w:eastAsia="Calibri" w:hAnsi="Times New Roman" w:cs="Times New Roman"/>
          <w:sz w:val="24"/>
          <w:szCs w:val="24"/>
        </w:rPr>
        <w:t xml:space="preserve">un parastā egle </w:t>
      </w:r>
      <w:proofErr w:type="spellStart"/>
      <w:r w:rsidRPr="00A07F29">
        <w:rPr>
          <w:rFonts w:ascii="Times New Roman" w:eastAsia="Calibri" w:hAnsi="Times New Roman" w:cs="Times New Roman"/>
          <w:i/>
          <w:iCs/>
          <w:sz w:val="24"/>
          <w:szCs w:val="24"/>
        </w:rPr>
        <w:t>Picea</w:t>
      </w:r>
      <w:proofErr w:type="spellEnd"/>
      <w:r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abies</w:t>
      </w:r>
      <w:proofErr w:type="spellEnd"/>
      <w:r w:rsidRPr="00A07F29">
        <w:rPr>
          <w:rFonts w:ascii="Times New Roman" w:eastAsia="Calibri" w:hAnsi="Times New Roman" w:cs="Times New Roman"/>
          <w:i/>
          <w:iCs/>
          <w:sz w:val="24"/>
          <w:szCs w:val="24"/>
        </w:rPr>
        <w:t xml:space="preserve"> </w:t>
      </w:r>
      <w:r w:rsidRPr="00A07F29">
        <w:rPr>
          <w:rFonts w:ascii="Times New Roman" w:eastAsia="Calibri" w:hAnsi="Times New Roman" w:cs="Times New Roman"/>
          <w:sz w:val="24"/>
          <w:szCs w:val="24"/>
        </w:rPr>
        <w:t xml:space="preserve">ar parasto apsi </w:t>
      </w:r>
      <w:proofErr w:type="spellStart"/>
      <w:r w:rsidRPr="00A07F29">
        <w:rPr>
          <w:rFonts w:ascii="Times New Roman" w:eastAsia="Calibri" w:hAnsi="Times New Roman" w:cs="Times New Roman"/>
          <w:i/>
          <w:iCs/>
          <w:sz w:val="24"/>
          <w:szCs w:val="24"/>
        </w:rPr>
        <w:t>Populus</w:t>
      </w:r>
      <w:proofErr w:type="spellEnd"/>
      <w:r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tremula</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piemistrojumā</w:t>
      </w:r>
      <w:proofErr w:type="spellEnd"/>
      <w:r w:rsidRPr="00A07F29">
        <w:rPr>
          <w:rFonts w:ascii="Times New Roman" w:eastAsia="Calibri" w:hAnsi="Times New Roman" w:cs="Times New Roman"/>
          <w:sz w:val="24"/>
          <w:szCs w:val="24"/>
        </w:rPr>
        <w:t xml:space="preserve">. Krūmu stāvā dominē parastā lazda </w:t>
      </w:r>
      <w:proofErr w:type="spellStart"/>
      <w:r w:rsidRPr="00A07F29">
        <w:rPr>
          <w:rFonts w:ascii="Times New Roman" w:eastAsia="Calibri" w:hAnsi="Times New Roman" w:cs="Times New Roman"/>
          <w:i/>
          <w:iCs/>
          <w:sz w:val="24"/>
          <w:szCs w:val="24"/>
        </w:rPr>
        <w:t>Corylus</w:t>
      </w:r>
      <w:proofErr w:type="spellEnd"/>
      <w:r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avellana</w:t>
      </w:r>
      <w:proofErr w:type="spellEnd"/>
      <w:r w:rsidRPr="00A07F29">
        <w:rPr>
          <w:rFonts w:ascii="Times New Roman" w:eastAsia="Calibri" w:hAnsi="Times New Roman" w:cs="Times New Roman"/>
          <w:sz w:val="24"/>
          <w:szCs w:val="24"/>
        </w:rPr>
        <w:t xml:space="preserve">, nelielā daudzumā sastopams parastais krūklis </w:t>
      </w:r>
      <w:proofErr w:type="spellStart"/>
      <w:r w:rsidRPr="00A07F29">
        <w:rPr>
          <w:rFonts w:ascii="Times New Roman" w:eastAsia="Calibri" w:hAnsi="Times New Roman" w:cs="Times New Roman"/>
          <w:i/>
          <w:iCs/>
          <w:sz w:val="24"/>
          <w:szCs w:val="24"/>
        </w:rPr>
        <w:t>Frangula</w:t>
      </w:r>
      <w:proofErr w:type="spellEnd"/>
      <w:r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alnus</w:t>
      </w:r>
      <w:proofErr w:type="spellEnd"/>
      <w:r w:rsidRPr="00A07F29">
        <w:rPr>
          <w:rFonts w:ascii="Times New Roman" w:eastAsia="Calibri" w:hAnsi="Times New Roman" w:cs="Times New Roman"/>
          <w:sz w:val="24"/>
          <w:szCs w:val="24"/>
        </w:rPr>
        <w:t xml:space="preserve">. Zemsedzē praktiski nav raksturīgo sugu, sastopamas tikai nedaudzas ēnainām nogāzēm raksturīgas sugas – niedru ciesa </w:t>
      </w:r>
      <w:proofErr w:type="spellStart"/>
      <w:r w:rsidRPr="00A07F29">
        <w:rPr>
          <w:rFonts w:ascii="Times New Roman" w:eastAsia="Calibri" w:hAnsi="Times New Roman" w:cs="Times New Roman"/>
          <w:i/>
          <w:iCs/>
          <w:sz w:val="24"/>
          <w:szCs w:val="24"/>
        </w:rPr>
        <w:t>Calamagrostis</w:t>
      </w:r>
      <w:proofErr w:type="spellEnd"/>
      <w:r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arundinacea</w:t>
      </w:r>
      <w:proofErr w:type="spellEnd"/>
      <w:r w:rsidRPr="00A07F29">
        <w:rPr>
          <w:rFonts w:ascii="Times New Roman" w:eastAsia="Calibri" w:hAnsi="Times New Roman" w:cs="Times New Roman"/>
          <w:sz w:val="24"/>
          <w:szCs w:val="24"/>
        </w:rPr>
        <w:t xml:space="preserve"> un klinšu kaulene </w:t>
      </w:r>
      <w:proofErr w:type="spellStart"/>
      <w:r w:rsidRPr="00A07F29">
        <w:rPr>
          <w:rFonts w:ascii="Times New Roman" w:eastAsia="Calibri" w:hAnsi="Times New Roman" w:cs="Times New Roman"/>
          <w:i/>
          <w:iCs/>
          <w:sz w:val="24"/>
          <w:szCs w:val="24"/>
        </w:rPr>
        <w:t>Rubus</w:t>
      </w:r>
      <w:proofErr w:type="spellEnd"/>
      <w:r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saxatilis</w:t>
      </w:r>
      <w:proofErr w:type="spellEnd"/>
      <w:r w:rsidRPr="00A07F29">
        <w:rPr>
          <w:rFonts w:ascii="Times New Roman" w:eastAsia="Calibri" w:hAnsi="Times New Roman" w:cs="Times New Roman"/>
          <w:sz w:val="24"/>
          <w:szCs w:val="24"/>
        </w:rPr>
        <w:t xml:space="preserve">, saulainās vietās sastopama meža zemene </w:t>
      </w:r>
      <w:proofErr w:type="spellStart"/>
      <w:r w:rsidRPr="00A07F29">
        <w:rPr>
          <w:rFonts w:ascii="Times New Roman" w:eastAsia="Calibri" w:hAnsi="Times New Roman" w:cs="Times New Roman"/>
          <w:i/>
          <w:iCs/>
          <w:sz w:val="24"/>
          <w:szCs w:val="24"/>
        </w:rPr>
        <w:t>Fragaria</w:t>
      </w:r>
      <w:proofErr w:type="spellEnd"/>
      <w:r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vesca</w:t>
      </w:r>
      <w:proofErr w:type="spellEnd"/>
      <w:r w:rsidRPr="00A07F29">
        <w:rPr>
          <w:rFonts w:ascii="Times New Roman" w:eastAsia="Calibri" w:hAnsi="Times New Roman" w:cs="Times New Roman"/>
          <w:sz w:val="24"/>
          <w:szCs w:val="24"/>
        </w:rPr>
        <w:t>.</w:t>
      </w:r>
      <w:r w:rsidR="00D65BBA" w:rsidRPr="00A07F29">
        <w:rPr>
          <w:rFonts w:ascii="Times New Roman" w:eastAsia="Calibri" w:hAnsi="Times New Roman" w:cs="Times New Roman"/>
          <w:sz w:val="24"/>
          <w:szCs w:val="24"/>
        </w:rPr>
        <w:t xml:space="preserve"> </w:t>
      </w:r>
      <w:r w:rsidRPr="00A07F29">
        <w:rPr>
          <w:rFonts w:ascii="Times New Roman" w:eastAsia="Calibri" w:hAnsi="Times New Roman" w:cs="Times New Roman"/>
          <w:sz w:val="24"/>
          <w:szCs w:val="24"/>
        </w:rPr>
        <w:t xml:space="preserve">Sūnu stāvā sastopamas spīdīgā </w:t>
      </w:r>
      <w:proofErr w:type="spellStart"/>
      <w:r w:rsidRPr="00A07F29">
        <w:rPr>
          <w:rFonts w:ascii="Times New Roman" w:eastAsia="Calibri" w:hAnsi="Times New Roman" w:cs="Times New Roman"/>
          <w:sz w:val="24"/>
          <w:szCs w:val="24"/>
        </w:rPr>
        <w:t>stāvaine</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i/>
          <w:iCs/>
          <w:sz w:val="24"/>
          <w:szCs w:val="24"/>
        </w:rPr>
        <w:t>Hylocomium</w:t>
      </w:r>
      <w:proofErr w:type="spellEnd"/>
      <w:r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splendens</w:t>
      </w:r>
      <w:proofErr w:type="spellEnd"/>
      <w:r w:rsidRPr="00A07F29">
        <w:rPr>
          <w:rFonts w:ascii="Times New Roman" w:eastAsia="Calibri" w:hAnsi="Times New Roman" w:cs="Times New Roman"/>
          <w:sz w:val="24"/>
          <w:szCs w:val="24"/>
        </w:rPr>
        <w:t xml:space="preserve"> un </w:t>
      </w:r>
      <w:proofErr w:type="spellStart"/>
      <w:r w:rsidRPr="00A07F29">
        <w:rPr>
          <w:rFonts w:ascii="Times New Roman" w:eastAsia="Calibri" w:hAnsi="Times New Roman" w:cs="Times New Roman"/>
          <w:sz w:val="24"/>
          <w:szCs w:val="24"/>
        </w:rPr>
        <w:t>Šrēbera</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rūsaine</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i/>
          <w:iCs/>
          <w:sz w:val="24"/>
          <w:szCs w:val="24"/>
        </w:rPr>
        <w:t>Pleurozium</w:t>
      </w:r>
      <w:proofErr w:type="spellEnd"/>
      <w:r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schreberi</w:t>
      </w:r>
      <w:proofErr w:type="spellEnd"/>
      <w:r w:rsidRPr="00A07F29">
        <w:rPr>
          <w:rFonts w:ascii="Times New Roman" w:eastAsia="Calibri" w:hAnsi="Times New Roman" w:cs="Times New Roman"/>
          <w:sz w:val="24"/>
          <w:szCs w:val="24"/>
        </w:rPr>
        <w:t xml:space="preserve">. No DMB </w:t>
      </w:r>
      <w:proofErr w:type="spellStart"/>
      <w:r w:rsidRPr="00A07F29">
        <w:rPr>
          <w:rFonts w:ascii="Times New Roman" w:eastAsia="Calibri" w:hAnsi="Times New Roman" w:cs="Times New Roman"/>
          <w:sz w:val="24"/>
          <w:szCs w:val="24"/>
        </w:rPr>
        <w:t>indikatorsugām</w:t>
      </w:r>
      <w:proofErr w:type="spellEnd"/>
      <w:r w:rsidRPr="00A07F29">
        <w:rPr>
          <w:rFonts w:ascii="Times New Roman" w:eastAsia="Calibri" w:hAnsi="Times New Roman" w:cs="Times New Roman"/>
          <w:sz w:val="24"/>
          <w:szCs w:val="24"/>
        </w:rPr>
        <w:t xml:space="preserve"> konstatēta </w:t>
      </w:r>
      <w:proofErr w:type="spellStart"/>
      <w:r w:rsidRPr="00A07F29">
        <w:rPr>
          <w:rFonts w:ascii="Times New Roman" w:eastAsia="Calibri" w:hAnsi="Times New Roman" w:cs="Times New Roman"/>
          <w:sz w:val="24"/>
          <w:szCs w:val="24"/>
        </w:rPr>
        <w:t>līklapu</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novellija</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i/>
          <w:iCs/>
          <w:sz w:val="24"/>
          <w:szCs w:val="24"/>
        </w:rPr>
        <w:t>Nowellia</w:t>
      </w:r>
      <w:proofErr w:type="spellEnd"/>
      <w:r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curvifolia</w:t>
      </w:r>
      <w:proofErr w:type="spellEnd"/>
      <w:r w:rsidRPr="00A07F29">
        <w:rPr>
          <w:rFonts w:ascii="Times New Roman" w:eastAsia="Calibri" w:hAnsi="Times New Roman" w:cs="Times New Roman"/>
          <w:sz w:val="24"/>
          <w:szCs w:val="24"/>
        </w:rPr>
        <w:t xml:space="preserve"> un pumpurainā </w:t>
      </w:r>
      <w:proofErr w:type="spellStart"/>
      <w:r w:rsidRPr="00A07F29">
        <w:rPr>
          <w:rFonts w:ascii="Times New Roman" w:eastAsia="Calibri" w:hAnsi="Times New Roman" w:cs="Times New Roman"/>
          <w:sz w:val="24"/>
          <w:szCs w:val="24"/>
        </w:rPr>
        <w:t>akrokordija</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i/>
          <w:iCs/>
          <w:sz w:val="24"/>
          <w:szCs w:val="24"/>
        </w:rPr>
        <w:t>Acrocordia</w:t>
      </w:r>
      <w:proofErr w:type="spellEnd"/>
      <w:r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gemmata</w:t>
      </w:r>
      <w:proofErr w:type="spellEnd"/>
      <w:r w:rsidRPr="00A07F29">
        <w:rPr>
          <w:rFonts w:ascii="Times New Roman" w:eastAsia="Calibri" w:hAnsi="Times New Roman" w:cs="Times New Roman"/>
          <w:i/>
          <w:iCs/>
          <w:sz w:val="24"/>
          <w:szCs w:val="24"/>
        </w:rPr>
        <w:t>.</w:t>
      </w:r>
    </w:p>
    <w:p w14:paraId="27726DD2" w14:textId="7D77AB11" w:rsidR="002B1603" w:rsidRPr="00A07F29" w:rsidRDefault="002B1603" w:rsidP="00446E51">
      <w:pPr>
        <w:keepNext/>
        <w:keepLines/>
        <w:spacing w:before="240" w:after="120" w:line="240" w:lineRule="auto"/>
        <w:jc w:val="both"/>
        <w:outlineLvl w:val="3"/>
        <w:rPr>
          <w:rFonts w:ascii="Times New Roman" w:eastAsia="Calibri" w:hAnsi="Times New Roman" w:cs="Times New Roman"/>
          <w:b/>
          <w:bCs/>
          <w:sz w:val="24"/>
          <w:szCs w:val="24"/>
          <w:lang w:eastAsia="lv-LV"/>
        </w:rPr>
      </w:pPr>
      <w:r w:rsidRPr="00A07F29">
        <w:rPr>
          <w:rFonts w:ascii="Times New Roman" w:eastAsia="Calibri" w:hAnsi="Times New Roman" w:cs="Times New Roman"/>
          <w:b/>
          <w:bCs/>
          <w:sz w:val="24"/>
          <w:szCs w:val="24"/>
          <w:lang w:eastAsia="lv-LV"/>
        </w:rPr>
        <w:t xml:space="preserve">9080* </w:t>
      </w:r>
      <w:r w:rsidRPr="00A07F29">
        <w:rPr>
          <w:rFonts w:ascii="Times New Roman" w:eastAsia="Calibri" w:hAnsi="Times New Roman" w:cs="Times New Roman"/>
          <w:b/>
          <w:bCs/>
          <w:i/>
          <w:sz w:val="24"/>
          <w:szCs w:val="24"/>
          <w:lang w:eastAsia="lv-LV"/>
        </w:rPr>
        <w:t>Staignāju meži</w:t>
      </w:r>
      <w:r w:rsidRPr="00A07F29">
        <w:rPr>
          <w:rFonts w:ascii="Times New Roman" w:eastAsia="Calibri" w:hAnsi="Times New Roman" w:cs="Times New Roman"/>
          <w:b/>
          <w:bCs/>
          <w:sz w:val="24"/>
          <w:szCs w:val="24"/>
          <w:lang w:eastAsia="lv-LV"/>
        </w:rPr>
        <w:t xml:space="preserve"> </w:t>
      </w:r>
    </w:p>
    <w:p w14:paraId="0451F229" w14:textId="2C39B4B7" w:rsidR="00BB073E" w:rsidRPr="00A07F29" w:rsidRDefault="00BB073E" w:rsidP="00BB073E">
      <w:pPr>
        <w:spacing w:after="120" w:line="240" w:lineRule="auto"/>
        <w:ind w:firstLine="851"/>
        <w:jc w:val="both"/>
        <w:rPr>
          <w:rFonts w:ascii="Times New Roman" w:eastAsia="Calibri" w:hAnsi="Times New Roman" w:cs="Times New Roman"/>
          <w:bCs/>
          <w:i/>
          <w:iCs/>
          <w:sz w:val="24"/>
          <w:szCs w:val="24"/>
          <w:lang w:eastAsia="lv-LV"/>
        </w:rPr>
      </w:pPr>
      <w:r w:rsidRPr="00A07F29">
        <w:rPr>
          <w:rFonts w:ascii="Times New Roman" w:eastAsia="Calibri" w:hAnsi="Times New Roman" w:cs="Times New Roman"/>
          <w:color w:val="000000" w:themeColor="text1"/>
          <w:sz w:val="24"/>
          <w:szCs w:val="24"/>
          <w:lang w:eastAsia="lv-LV"/>
        </w:rPr>
        <w:t>Šis ir s</w:t>
      </w:r>
      <w:r w:rsidR="00446E51" w:rsidRPr="00A07F29">
        <w:rPr>
          <w:rFonts w:ascii="Times New Roman" w:eastAsia="Calibri" w:hAnsi="Times New Roman" w:cs="Times New Roman"/>
          <w:color w:val="000000" w:themeColor="text1"/>
          <w:sz w:val="24"/>
          <w:szCs w:val="24"/>
          <w:lang w:eastAsia="lv-LV"/>
        </w:rPr>
        <w:t xml:space="preserve">amērā rets dabiskās mežu veģetācijas veids Latvijā, kurš aizņem </w:t>
      </w:r>
      <w:r w:rsidR="00446E51" w:rsidRPr="00A07F29">
        <w:rPr>
          <w:rFonts w:ascii="Times New Roman" w:hAnsi="Times New Roman" w:cs="Times New Roman"/>
          <w:sz w:val="24"/>
          <w:szCs w:val="24"/>
        </w:rPr>
        <w:t>223,22 </w:t>
      </w:r>
      <w:r w:rsidR="00446E51" w:rsidRPr="00A07F29">
        <w:rPr>
          <w:rFonts w:ascii="Cambria Math" w:hAnsi="Cambria Math" w:cs="Cambria Math"/>
          <w:sz w:val="24"/>
          <w:szCs w:val="24"/>
        </w:rPr>
        <w:t>‐</w:t>
      </w:r>
      <w:r w:rsidR="00446E51" w:rsidRPr="00A07F29">
        <w:rPr>
          <w:rFonts w:ascii="Times New Roman" w:hAnsi="Times New Roman" w:cs="Times New Roman"/>
          <w:sz w:val="24"/>
          <w:szCs w:val="24"/>
        </w:rPr>
        <w:t> 250,0</w:t>
      </w:r>
      <w:r w:rsidR="008769E3">
        <w:rPr>
          <w:rFonts w:ascii="Times New Roman" w:hAnsi="Times New Roman" w:cs="Times New Roman"/>
          <w:sz w:val="24"/>
          <w:szCs w:val="24"/>
        </w:rPr>
        <w:t> </w:t>
      </w:r>
      <w:r w:rsidR="00446E51" w:rsidRPr="00A07F29">
        <w:rPr>
          <w:rFonts w:ascii="Times New Roman" w:hAnsi="Times New Roman" w:cs="Times New Roman"/>
          <w:sz w:val="24"/>
          <w:szCs w:val="24"/>
        </w:rPr>
        <w:t>km</w:t>
      </w:r>
      <w:r w:rsidR="00446E51" w:rsidRPr="00A07F29">
        <w:rPr>
          <w:rFonts w:ascii="Times New Roman" w:hAnsi="Times New Roman" w:cs="Times New Roman"/>
          <w:sz w:val="24"/>
          <w:szCs w:val="24"/>
          <w:vertAlign w:val="superscript"/>
        </w:rPr>
        <w:t>2</w:t>
      </w:r>
      <w:r w:rsidR="00446E51" w:rsidRPr="00A07F29">
        <w:rPr>
          <w:vertAlign w:val="superscript"/>
        </w:rPr>
        <w:t xml:space="preserve"> </w:t>
      </w:r>
      <w:r w:rsidR="00446E51" w:rsidRPr="00A07F29">
        <w:rPr>
          <w:rFonts w:ascii="Times New Roman" w:eastAsia="Calibri" w:hAnsi="Times New Roman" w:cs="Times New Roman"/>
          <w:color w:val="000000" w:themeColor="text1"/>
          <w:sz w:val="24"/>
          <w:szCs w:val="24"/>
          <w:lang w:eastAsia="lv-LV"/>
        </w:rPr>
        <w:t>no Latvijas teritorijas (</w:t>
      </w:r>
      <w:proofErr w:type="spellStart"/>
      <w:r w:rsidR="00446E51" w:rsidRPr="00A07F29">
        <w:rPr>
          <w:rFonts w:ascii="Times New Roman" w:eastAsia="Calibri" w:hAnsi="Times New Roman" w:cs="Times New Roman"/>
          <w:color w:val="000000" w:themeColor="text1"/>
          <w:sz w:val="24"/>
          <w:szCs w:val="24"/>
          <w:lang w:eastAsia="lv-LV"/>
        </w:rPr>
        <w:t>Conservation</w:t>
      </w:r>
      <w:proofErr w:type="spellEnd"/>
      <w:r w:rsidR="00446E51" w:rsidRPr="00A07F29">
        <w:rPr>
          <w:rFonts w:ascii="Times New Roman" w:eastAsia="Calibri" w:hAnsi="Times New Roman" w:cs="Times New Roman"/>
          <w:color w:val="000000" w:themeColor="text1"/>
          <w:sz w:val="24"/>
          <w:szCs w:val="24"/>
          <w:lang w:eastAsia="lv-LV"/>
        </w:rPr>
        <w:t xml:space="preserve"> </w:t>
      </w:r>
      <w:r w:rsidR="008769E3">
        <w:rPr>
          <w:rFonts w:ascii="Times New Roman" w:eastAsia="Calibri" w:hAnsi="Times New Roman" w:cs="Times New Roman"/>
          <w:color w:val="000000" w:themeColor="text1"/>
          <w:sz w:val="24"/>
          <w:szCs w:val="24"/>
          <w:lang w:eastAsia="lv-LV"/>
        </w:rPr>
        <w:t>S</w:t>
      </w:r>
      <w:r w:rsidR="00446E51" w:rsidRPr="00A07F29">
        <w:rPr>
          <w:rFonts w:ascii="Times New Roman" w:eastAsia="Calibri" w:hAnsi="Times New Roman" w:cs="Times New Roman"/>
          <w:color w:val="000000" w:themeColor="text1"/>
          <w:sz w:val="24"/>
          <w:szCs w:val="24"/>
          <w:lang w:eastAsia="lv-LV"/>
        </w:rPr>
        <w:t xml:space="preserve">tatus </w:t>
      </w:r>
      <w:proofErr w:type="spellStart"/>
      <w:r w:rsidR="00446E51" w:rsidRPr="00A07F29">
        <w:rPr>
          <w:rFonts w:ascii="Times New Roman" w:eastAsia="Calibri" w:hAnsi="Times New Roman" w:cs="Times New Roman"/>
          <w:color w:val="000000" w:themeColor="text1"/>
          <w:sz w:val="24"/>
          <w:szCs w:val="24"/>
          <w:lang w:eastAsia="lv-LV"/>
        </w:rPr>
        <w:t>of</w:t>
      </w:r>
      <w:proofErr w:type="spellEnd"/>
      <w:r w:rsidR="00446E51" w:rsidRPr="00A07F29">
        <w:rPr>
          <w:rFonts w:ascii="Times New Roman" w:eastAsia="Calibri" w:hAnsi="Times New Roman" w:cs="Times New Roman"/>
          <w:color w:val="000000" w:themeColor="text1"/>
          <w:sz w:val="24"/>
          <w:szCs w:val="24"/>
          <w:lang w:eastAsia="lv-LV"/>
        </w:rPr>
        <w:t>.., 2019).</w:t>
      </w:r>
      <w:r w:rsidRPr="00A07F29">
        <w:rPr>
          <w:rFonts w:ascii="Times New Roman" w:eastAsia="Calibri" w:hAnsi="Times New Roman" w:cs="Times New Roman"/>
          <w:color w:val="000000" w:themeColor="text1"/>
          <w:sz w:val="24"/>
          <w:szCs w:val="24"/>
          <w:lang w:eastAsia="lv-LV"/>
        </w:rPr>
        <w:t xml:space="preserve"> </w:t>
      </w:r>
      <w:r w:rsidR="00446E51" w:rsidRPr="00A07F29">
        <w:rPr>
          <w:rFonts w:ascii="Times New Roman" w:eastAsia="Calibri" w:hAnsi="Times New Roman" w:cs="Times New Roman"/>
          <w:color w:val="000000" w:themeColor="text1"/>
          <w:sz w:val="24"/>
          <w:szCs w:val="24"/>
          <w:lang w:eastAsia="lv-LV"/>
        </w:rPr>
        <w:t xml:space="preserve">AAA “Augšdaugava” </w:t>
      </w:r>
      <w:r w:rsidRPr="00A07F29">
        <w:rPr>
          <w:rFonts w:ascii="Times New Roman" w:eastAsia="Calibri" w:hAnsi="Times New Roman" w:cs="Times New Roman"/>
          <w:color w:val="000000" w:themeColor="text1"/>
          <w:sz w:val="24"/>
          <w:szCs w:val="24"/>
          <w:lang w:eastAsia="lv-LV"/>
        </w:rPr>
        <w:t xml:space="preserve">šis biotops </w:t>
      </w:r>
      <w:r w:rsidR="00446E51" w:rsidRPr="00A07F29">
        <w:rPr>
          <w:rFonts w:ascii="Times New Roman" w:eastAsia="Calibri" w:hAnsi="Times New Roman" w:cs="Times New Roman"/>
          <w:sz w:val="24"/>
          <w:szCs w:val="24"/>
        </w:rPr>
        <w:t>apzināts 59,</w:t>
      </w:r>
      <w:r w:rsidR="00983FDA" w:rsidRPr="00A07F29">
        <w:rPr>
          <w:rFonts w:ascii="Times New Roman" w:eastAsia="Calibri" w:hAnsi="Times New Roman" w:cs="Times New Roman"/>
          <w:sz w:val="24"/>
          <w:szCs w:val="24"/>
        </w:rPr>
        <w:t>56</w:t>
      </w:r>
      <w:r w:rsidR="00E57793">
        <w:rPr>
          <w:rFonts w:ascii="Times New Roman" w:eastAsia="Calibri" w:hAnsi="Times New Roman" w:cs="Times New Roman"/>
          <w:sz w:val="24"/>
          <w:szCs w:val="24"/>
        </w:rPr>
        <w:t> </w:t>
      </w:r>
      <w:r w:rsidR="00446E51" w:rsidRPr="00A07F29">
        <w:rPr>
          <w:rFonts w:ascii="Times New Roman" w:eastAsia="Calibri" w:hAnsi="Times New Roman" w:cs="Times New Roman"/>
          <w:sz w:val="24"/>
          <w:szCs w:val="24"/>
        </w:rPr>
        <w:t xml:space="preserve">ha lielā platībā un </w:t>
      </w:r>
      <w:r w:rsidR="00446E51" w:rsidRPr="00A07F29">
        <w:rPr>
          <w:rFonts w:ascii="Times New Roman" w:eastAsia="Calibri" w:hAnsi="Times New Roman" w:cs="Times New Roman"/>
          <w:color w:val="000000"/>
          <w:sz w:val="24"/>
          <w:szCs w:val="24"/>
          <w:lang w:eastAsia="lv-LV"/>
        </w:rPr>
        <w:t xml:space="preserve">konstatēti visi </w:t>
      </w:r>
      <w:r w:rsidR="00E57793">
        <w:rPr>
          <w:rFonts w:ascii="Times New Roman" w:eastAsia="Calibri" w:hAnsi="Times New Roman" w:cs="Times New Roman"/>
          <w:color w:val="000000"/>
          <w:sz w:val="24"/>
          <w:szCs w:val="24"/>
          <w:lang w:eastAsia="lv-LV"/>
        </w:rPr>
        <w:t>trīs</w:t>
      </w:r>
      <w:r w:rsidR="00446E51" w:rsidRPr="00A07F29">
        <w:rPr>
          <w:rFonts w:ascii="Times New Roman" w:eastAsia="Calibri" w:hAnsi="Times New Roman" w:cs="Times New Roman"/>
          <w:color w:val="000000"/>
          <w:sz w:val="24"/>
          <w:szCs w:val="24"/>
          <w:lang w:eastAsia="lv-LV"/>
        </w:rPr>
        <w:t xml:space="preserve"> šī biotopa varianti</w:t>
      </w:r>
      <w:r w:rsidR="00446E51" w:rsidRPr="00A07F29">
        <w:rPr>
          <w:rFonts w:ascii="Times New Roman" w:eastAsia="Calibri" w:hAnsi="Times New Roman" w:cs="Times New Roman"/>
          <w:sz w:val="24"/>
          <w:szCs w:val="24"/>
        </w:rPr>
        <w:t xml:space="preserve">. </w:t>
      </w:r>
      <w:r w:rsidR="00446E51" w:rsidRPr="00A07F29">
        <w:rPr>
          <w:rFonts w:ascii="Times New Roman" w:eastAsia="Calibri" w:hAnsi="Times New Roman" w:cs="Times New Roman"/>
          <w:color w:val="000000" w:themeColor="text1"/>
          <w:sz w:val="24"/>
          <w:szCs w:val="24"/>
        </w:rPr>
        <w:t>DMB ar labu kvalitāti konstatēti 5,93</w:t>
      </w:r>
      <w:r w:rsidR="00E57793">
        <w:rPr>
          <w:rFonts w:ascii="Times New Roman" w:eastAsia="Calibri" w:hAnsi="Times New Roman" w:cs="Times New Roman"/>
          <w:color w:val="000000" w:themeColor="text1"/>
          <w:sz w:val="24"/>
          <w:szCs w:val="24"/>
        </w:rPr>
        <w:t> </w:t>
      </w:r>
      <w:r w:rsidR="00446E51" w:rsidRPr="00A07F29">
        <w:rPr>
          <w:rFonts w:ascii="Times New Roman" w:eastAsia="Calibri" w:hAnsi="Times New Roman" w:cs="Times New Roman"/>
          <w:color w:val="000000" w:themeColor="text1"/>
          <w:sz w:val="24"/>
          <w:szCs w:val="24"/>
        </w:rPr>
        <w:t>ha</w:t>
      </w:r>
      <w:r w:rsidR="00446E51" w:rsidRPr="00A07F29">
        <w:rPr>
          <w:rFonts w:ascii="Times New Roman" w:eastAsia="Calibri" w:hAnsi="Times New Roman" w:cs="Times New Roman"/>
          <w:sz w:val="24"/>
          <w:szCs w:val="24"/>
        </w:rPr>
        <w:t xml:space="preserve"> jeb 9,91</w:t>
      </w:r>
      <w:r w:rsidR="00E57793">
        <w:rPr>
          <w:rFonts w:ascii="Times New Roman" w:eastAsia="Calibri" w:hAnsi="Times New Roman" w:cs="Times New Roman"/>
          <w:sz w:val="24"/>
          <w:szCs w:val="24"/>
        </w:rPr>
        <w:t> </w:t>
      </w:r>
      <w:r w:rsidR="00446E51" w:rsidRPr="00A07F29">
        <w:rPr>
          <w:rFonts w:ascii="Times New Roman" w:eastAsia="Calibri" w:hAnsi="Times New Roman" w:cs="Times New Roman"/>
          <w:sz w:val="24"/>
          <w:szCs w:val="24"/>
        </w:rPr>
        <w:t xml:space="preserve">% no biotopa kopējās platības. </w:t>
      </w:r>
      <w:r w:rsidRPr="00A07F29">
        <w:rPr>
          <w:rFonts w:ascii="Times New Roman" w:eastAsia="Calibri" w:hAnsi="Times New Roman" w:cs="Times New Roman"/>
          <w:bCs/>
          <w:iCs/>
          <w:sz w:val="24"/>
          <w:szCs w:val="24"/>
          <w:lang w:eastAsia="lv-LV"/>
        </w:rPr>
        <w:t>9080*</w:t>
      </w:r>
      <w:r w:rsidR="00E57793">
        <w:rPr>
          <w:rFonts w:ascii="Times New Roman" w:eastAsia="Calibri" w:hAnsi="Times New Roman" w:cs="Times New Roman"/>
          <w:bCs/>
          <w:i/>
          <w:iCs/>
          <w:sz w:val="24"/>
          <w:szCs w:val="24"/>
          <w:lang w:eastAsia="lv-LV"/>
        </w:rPr>
        <w:t> </w:t>
      </w:r>
      <w:r w:rsidRPr="00A07F29">
        <w:rPr>
          <w:rFonts w:ascii="Times New Roman" w:eastAsia="Calibri" w:hAnsi="Times New Roman" w:cs="Times New Roman"/>
          <w:bCs/>
          <w:i/>
          <w:iCs/>
          <w:sz w:val="24"/>
          <w:szCs w:val="24"/>
          <w:lang w:eastAsia="lv-LV"/>
        </w:rPr>
        <w:t>Staignāju meži</w:t>
      </w:r>
      <w:r w:rsidRPr="00A07F29">
        <w:rPr>
          <w:rFonts w:ascii="Times New Roman" w:eastAsia="Calibri" w:hAnsi="Times New Roman" w:cs="Times New Roman"/>
          <w:bCs/>
          <w:iCs/>
          <w:sz w:val="24"/>
          <w:szCs w:val="24"/>
          <w:lang w:eastAsia="lv-LV"/>
        </w:rPr>
        <w:t xml:space="preserve">, </w:t>
      </w:r>
      <w:r w:rsidRPr="00A07F29">
        <w:rPr>
          <w:rFonts w:ascii="Times New Roman" w:eastAsia="Calibri" w:hAnsi="Times New Roman" w:cs="Times New Roman"/>
          <w:iCs/>
          <w:color w:val="000000" w:themeColor="text1"/>
          <w:sz w:val="24"/>
          <w:szCs w:val="24"/>
        </w:rPr>
        <w:t>kas atbilst DMB un ir ar izcilu kvalitāti,</w:t>
      </w:r>
      <w:r w:rsidRPr="00A07F29">
        <w:rPr>
          <w:rFonts w:ascii="Times New Roman" w:eastAsia="Calibri" w:hAnsi="Times New Roman" w:cs="Times New Roman"/>
          <w:i/>
          <w:iCs/>
          <w:color w:val="000000" w:themeColor="text1"/>
          <w:sz w:val="24"/>
          <w:szCs w:val="24"/>
        </w:rPr>
        <w:t xml:space="preserve"> </w:t>
      </w:r>
      <w:r w:rsidRPr="00A07F29">
        <w:rPr>
          <w:rFonts w:ascii="Times New Roman" w:eastAsia="Calibri" w:hAnsi="Times New Roman" w:cs="Times New Roman"/>
          <w:iCs/>
          <w:color w:val="000000" w:themeColor="text1"/>
          <w:sz w:val="24"/>
          <w:szCs w:val="24"/>
        </w:rPr>
        <w:t xml:space="preserve">atbilst Latvijas </w:t>
      </w:r>
      <w:r w:rsidR="00533C8E">
        <w:rPr>
          <w:rFonts w:ascii="Times New Roman" w:eastAsia="Calibri" w:hAnsi="Times New Roman" w:cs="Times New Roman"/>
          <w:iCs/>
          <w:color w:val="000000" w:themeColor="text1"/>
          <w:sz w:val="24"/>
          <w:szCs w:val="24"/>
        </w:rPr>
        <w:t>īpaši aizsargājamam</w:t>
      </w:r>
      <w:r w:rsidRPr="00A07F29">
        <w:rPr>
          <w:rFonts w:ascii="Times New Roman" w:eastAsia="Calibri" w:hAnsi="Times New Roman" w:cs="Times New Roman"/>
          <w:iCs/>
          <w:color w:val="000000" w:themeColor="text1"/>
          <w:sz w:val="24"/>
          <w:szCs w:val="24"/>
        </w:rPr>
        <w:t xml:space="preserve"> biotopam</w:t>
      </w:r>
      <w:r w:rsidRPr="00A07F29">
        <w:rPr>
          <w:rFonts w:ascii="Times New Roman" w:eastAsia="Calibri" w:hAnsi="Times New Roman" w:cs="Times New Roman"/>
          <w:i/>
          <w:iCs/>
          <w:color w:val="000000" w:themeColor="text1"/>
          <w:sz w:val="24"/>
          <w:szCs w:val="24"/>
        </w:rPr>
        <w:t xml:space="preserve"> 1.12.</w:t>
      </w:r>
      <w:r w:rsidR="00680C0B">
        <w:rPr>
          <w:rFonts w:ascii="Times New Roman" w:eastAsia="Calibri" w:hAnsi="Times New Roman" w:cs="Times New Roman"/>
          <w:i/>
          <w:iCs/>
          <w:color w:val="000000" w:themeColor="text1"/>
          <w:sz w:val="24"/>
          <w:szCs w:val="24"/>
        </w:rPr>
        <w:t> </w:t>
      </w:r>
      <w:r w:rsidRPr="00A07F29">
        <w:rPr>
          <w:rFonts w:ascii="Times New Roman" w:eastAsia="Calibri" w:hAnsi="Times New Roman" w:cs="Times New Roman"/>
          <w:i/>
          <w:iCs/>
          <w:color w:val="000000" w:themeColor="text1"/>
          <w:sz w:val="24"/>
          <w:szCs w:val="24"/>
        </w:rPr>
        <w:t>Staignāju meži.</w:t>
      </w:r>
    </w:p>
    <w:p w14:paraId="519D25B5" w14:textId="534D504D" w:rsidR="002B1603" w:rsidRPr="00A07F29" w:rsidRDefault="002B1603" w:rsidP="00446E51">
      <w:pPr>
        <w:spacing w:after="120" w:line="240" w:lineRule="auto"/>
        <w:ind w:firstLine="851"/>
        <w:jc w:val="both"/>
        <w:rPr>
          <w:rFonts w:ascii="Times New Roman" w:eastAsia="Calibri" w:hAnsi="Times New Roman" w:cs="Times New Roman"/>
          <w:color w:val="000000"/>
          <w:sz w:val="24"/>
          <w:szCs w:val="24"/>
          <w:lang w:eastAsia="lv-LV"/>
        </w:rPr>
      </w:pPr>
      <w:r w:rsidRPr="00A07F29">
        <w:rPr>
          <w:rFonts w:ascii="Times New Roman" w:eastAsia="Calibri" w:hAnsi="Times New Roman" w:cs="Times New Roman"/>
          <w:color w:val="000000"/>
          <w:sz w:val="24"/>
          <w:szCs w:val="24"/>
          <w:lang w:eastAsia="lv-LV"/>
        </w:rPr>
        <w:lastRenderedPageBreak/>
        <w:t xml:space="preserve">Staignāju meži </w:t>
      </w:r>
      <w:r w:rsidR="00BB073E" w:rsidRPr="00A07F29">
        <w:rPr>
          <w:rFonts w:ascii="Times New Roman" w:eastAsia="Calibri" w:hAnsi="Times New Roman" w:cs="Times New Roman"/>
          <w:color w:val="000000"/>
          <w:sz w:val="24"/>
          <w:szCs w:val="24"/>
          <w:lang w:eastAsia="lv-LV"/>
        </w:rPr>
        <w:t xml:space="preserve">AAA </w:t>
      </w:r>
      <w:r w:rsidR="00A97D2A" w:rsidRPr="00A07F29">
        <w:rPr>
          <w:rFonts w:ascii="Times New Roman" w:eastAsia="Calibri" w:hAnsi="Times New Roman" w:cs="Times New Roman"/>
          <w:color w:val="000000"/>
          <w:sz w:val="24"/>
          <w:szCs w:val="24"/>
          <w:lang w:eastAsia="lv-LV"/>
        </w:rPr>
        <w:t xml:space="preserve"> “Augšdaugava</w:t>
      </w:r>
      <w:r w:rsidR="00BB073E" w:rsidRPr="00A07F29">
        <w:rPr>
          <w:rFonts w:ascii="Times New Roman" w:eastAsia="Calibri" w:hAnsi="Times New Roman" w:cs="Times New Roman"/>
          <w:color w:val="000000"/>
          <w:sz w:val="24"/>
          <w:szCs w:val="24"/>
          <w:lang w:eastAsia="lv-LV"/>
        </w:rPr>
        <w:t xml:space="preserve">” </w:t>
      </w:r>
      <w:r w:rsidRPr="00A07F29">
        <w:rPr>
          <w:rFonts w:ascii="Times New Roman" w:eastAsia="Calibri" w:hAnsi="Times New Roman" w:cs="Times New Roman"/>
          <w:color w:val="000000"/>
          <w:sz w:val="24"/>
          <w:szCs w:val="24"/>
          <w:lang w:eastAsia="lv-LV"/>
        </w:rPr>
        <w:t xml:space="preserve">sastopami galvenokārt </w:t>
      </w:r>
      <w:proofErr w:type="spellStart"/>
      <w:r w:rsidRPr="00A07F29">
        <w:rPr>
          <w:rFonts w:ascii="Times New Roman" w:eastAsia="Calibri" w:hAnsi="Times New Roman" w:cs="Times New Roman"/>
          <w:color w:val="000000"/>
          <w:sz w:val="24"/>
          <w:szCs w:val="24"/>
          <w:lang w:eastAsia="lv-LV"/>
        </w:rPr>
        <w:t>starppauguru</w:t>
      </w:r>
      <w:proofErr w:type="spellEnd"/>
      <w:r w:rsidRPr="00A07F29">
        <w:rPr>
          <w:rFonts w:ascii="Times New Roman" w:eastAsia="Calibri" w:hAnsi="Times New Roman" w:cs="Times New Roman"/>
          <w:color w:val="000000"/>
          <w:sz w:val="24"/>
          <w:szCs w:val="24"/>
          <w:lang w:eastAsia="lv-LV"/>
        </w:rPr>
        <w:t xml:space="preserve"> ieplakās, nav veci un bieži neatbilst </w:t>
      </w:r>
      <w:r w:rsidR="00820999" w:rsidRPr="00A07F29">
        <w:rPr>
          <w:rFonts w:ascii="Times New Roman" w:eastAsia="Calibri" w:hAnsi="Times New Roman" w:cs="Times New Roman"/>
          <w:color w:val="000000"/>
          <w:sz w:val="24"/>
          <w:szCs w:val="24"/>
          <w:lang w:eastAsia="lv-LV"/>
        </w:rPr>
        <w:t xml:space="preserve">ES </w:t>
      </w:r>
      <w:r w:rsidRPr="00A07F29">
        <w:rPr>
          <w:rFonts w:ascii="Times New Roman" w:eastAsia="Calibri" w:hAnsi="Times New Roman" w:cs="Times New Roman"/>
          <w:color w:val="000000"/>
          <w:sz w:val="24"/>
          <w:szCs w:val="24"/>
          <w:lang w:eastAsia="lv-LV"/>
        </w:rPr>
        <w:t>aizsargājamā meža biotopa 9080*</w:t>
      </w:r>
      <w:r w:rsidR="002C6E9C">
        <w:rPr>
          <w:rFonts w:ascii="Times New Roman" w:eastAsia="Calibri" w:hAnsi="Times New Roman" w:cs="Times New Roman"/>
          <w:color w:val="000000"/>
          <w:sz w:val="24"/>
          <w:szCs w:val="24"/>
          <w:lang w:eastAsia="lv-LV"/>
        </w:rPr>
        <w:t> </w:t>
      </w:r>
      <w:r w:rsidRPr="00A07F29">
        <w:rPr>
          <w:rFonts w:ascii="Times New Roman" w:eastAsia="Calibri" w:hAnsi="Times New Roman" w:cs="Times New Roman"/>
          <w:i/>
          <w:color w:val="000000"/>
          <w:sz w:val="24"/>
          <w:szCs w:val="24"/>
          <w:lang w:eastAsia="lv-LV"/>
        </w:rPr>
        <w:t>Staignāju meži</w:t>
      </w:r>
      <w:r w:rsidRPr="00A07F29">
        <w:rPr>
          <w:rFonts w:ascii="Times New Roman" w:eastAsia="Calibri" w:hAnsi="Times New Roman" w:cs="Times New Roman"/>
          <w:color w:val="000000"/>
          <w:sz w:val="24"/>
          <w:szCs w:val="24"/>
          <w:lang w:eastAsia="lv-LV"/>
        </w:rPr>
        <w:t xml:space="preserve"> minimālaj</w:t>
      </w:r>
      <w:r w:rsidR="00BE1228">
        <w:rPr>
          <w:rFonts w:ascii="Times New Roman" w:eastAsia="Calibri" w:hAnsi="Times New Roman" w:cs="Times New Roman"/>
          <w:color w:val="000000"/>
          <w:sz w:val="24"/>
          <w:szCs w:val="24"/>
          <w:lang w:eastAsia="lv-LV"/>
        </w:rPr>
        <w:t>ā</w:t>
      </w:r>
      <w:r w:rsidRPr="00A07F29">
        <w:rPr>
          <w:rFonts w:ascii="Times New Roman" w:eastAsia="Calibri" w:hAnsi="Times New Roman" w:cs="Times New Roman"/>
          <w:color w:val="000000"/>
          <w:sz w:val="24"/>
          <w:szCs w:val="24"/>
          <w:lang w:eastAsia="lv-LV"/>
        </w:rPr>
        <w:t>m prasībām. 9080*</w:t>
      </w:r>
      <w:r w:rsidR="00BE1228">
        <w:rPr>
          <w:rFonts w:ascii="Times New Roman" w:eastAsia="Calibri" w:hAnsi="Times New Roman" w:cs="Times New Roman"/>
          <w:color w:val="000000"/>
          <w:sz w:val="24"/>
          <w:szCs w:val="24"/>
          <w:lang w:eastAsia="lv-LV"/>
        </w:rPr>
        <w:t> </w:t>
      </w:r>
      <w:r w:rsidRPr="00A07F29">
        <w:rPr>
          <w:rFonts w:ascii="Times New Roman" w:eastAsia="Calibri" w:hAnsi="Times New Roman" w:cs="Times New Roman"/>
          <w:i/>
          <w:color w:val="000000"/>
          <w:sz w:val="24"/>
          <w:szCs w:val="24"/>
          <w:lang w:eastAsia="lv-LV"/>
        </w:rPr>
        <w:t>Staignāju meži</w:t>
      </w:r>
      <w:r w:rsidRPr="00A07F29">
        <w:rPr>
          <w:rFonts w:ascii="Times New Roman" w:eastAsia="Calibri" w:hAnsi="Times New Roman" w:cs="Times New Roman"/>
          <w:color w:val="000000"/>
          <w:sz w:val="24"/>
          <w:szCs w:val="24"/>
          <w:lang w:eastAsia="lv-LV"/>
        </w:rPr>
        <w:t xml:space="preserve"> galvenā bioloģiskā vērtība ir saistīta ar atšķirīgām </w:t>
      </w:r>
      <w:proofErr w:type="spellStart"/>
      <w:r w:rsidRPr="00A07F29">
        <w:rPr>
          <w:rFonts w:ascii="Times New Roman" w:eastAsia="Calibri" w:hAnsi="Times New Roman" w:cs="Times New Roman"/>
          <w:color w:val="000000"/>
          <w:sz w:val="24"/>
          <w:szCs w:val="24"/>
          <w:lang w:eastAsia="lv-LV"/>
        </w:rPr>
        <w:t>augtenēm</w:t>
      </w:r>
      <w:proofErr w:type="spellEnd"/>
      <w:r w:rsidRPr="00A07F29">
        <w:rPr>
          <w:rFonts w:ascii="Times New Roman" w:eastAsia="Calibri" w:hAnsi="Times New Roman" w:cs="Times New Roman"/>
          <w:color w:val="000000"/>
          <w:sz w:val="24"/>
          <w:szCs w:val="24"/>
          <w:lang w:eastAsia="lv-LV"/>
        </w:rPr>
        <w:t xml:space="preserve">, kas palielina apkārtējās vides bioloģisko daudzveidību. Biotops ir nozīmīga dzīvotne specializētām sugām, kuras atkarīgas no pastāvīgiem un nemainīgiem </w:t>
      </w:r>
      <w:proofErr w:type="spellStart"/>
      <w:r w:rsidRPr="00A07F29">
        <w:rPr>
          <w:rFonts w:ascii="Times New Roman" w:eastAsia="Calibri" w:hAnsi="Times New Roman" w:cs="Times New Roman"/>
          <w:color w:val="000000"/>
          <w:sz w:val="24"/>
          <w:szCs w:val="24"/>
          <w:lang w:eastAsia="lv-LV"/>
        </w:rPr>
        <w:t>mikroklimatiskajiem</w:t>
      </w:r>
      <w:proofErr w:type="spellEnd"/>
      <w:r w:rsidRPr="00A07F29">
        <w:rPr>
          <w:rFonts w:ascii="Times New Roman" w:eastAsia="Calibri" w:hAnsi="Times New Roman" w:cs="Times New Roman"/>
          <w:color w:val="000000"/>
          <w:sz w:val="24"/>
          <w:szCs w:val="24"/>
          <w:lang w:eastAsia="lv-LV"/>
        </w:rPr>
        <w:t xml:space="preserve"> apstākļiem. Lielākā daļa no biotopa 9080*</w:t>
      </w:r>
      <w:r w:rsidR="00BE1228">
        <w:rPr>
          <w:rFonts w:ascii="Times New Roman" w:eastAsia="Calibri" w:hAnsi="Times New Roman" w:cs="Times New Roman"/>
          <w:color w:val="000000"/>
          <w:sz w:val="24"/>
          <w:szCs w:val="24"/>
          <w:lang w:eastAsia="lv-LV"/>
        </w:rPr>
        <w:t> </w:t>
      </w:r>
      <w:r w:rsidRPr="00A07F29">
        <w:rPr>
          <w:rFonts w:ascii="Times New Roman" w:eastAsia="Calibri" w:hAnsi="Times New Roman" w:cs="Times New Roman"/>
          <w:i/>
          <w:color w:val="000000"/>
          <w:sz w:val="24"/>
          <w:szCs w:val="24"/>
          <w:lang w:eastAsia="lv-LV"/>
        </w:rPr>
        <w:t>Staignāju meži</w:t>
      </w:r>
      <w:r w:rsidR="00D65BBA" w:rsidRPr="00A07F29">
        <w:rPr>
          <w:rFonts w:ascii="Times New Roman" w:eastAsia="Calibri" w:hAnsi="Times New Roman" w:cs="Times New Roman"/>
          <w:color w:val="000000"/>
          <w:sz w:val="24"/>
          <w:szCs w:val="24"/>
          <w:lang w:eastAsia="lv-LV"/>
        </w:rPr>
        <w:t xml:space="preserve"> </w:t>
      </w:r>
      <w:r w:rsidRPr="00A07F29">
        <w:rPr>
          <w:rFonts w:ascii="Times New Roman" w:eastAsia="Calibri" w:hAnsi="Times New Roman" w:cs="Times New Roman"/>
          <w:color w:val="000000"/>
          <w:sz w:val="24"/>
          <w:szCs w:val="24"/>
          <w:lang w:eastAsia="lv-LV"/>
        </w:rPr>
        <w:t>ir labas vai vidējas kvalitātes un atbilst PDMB un DMB kvalitātei. Biotopa 9080*</w:t>
      </w:r>
      <w:r w:rsidR="00BE1228">
        <w:rPr>
          <w:rFonts w:ascii="Times New Roman" w:eastAsia="Calibri" w:hAnsi="Times New Roman" w:cs="Times New Roman"/>
          <w:color w:val="000000"/>
          <w:sz w:val="24"/>
          <w:szCs w:val="24"/>
          <w:lang w:eastAsia="lv-LV"/>
        </w:rPr>
        <w:t> </w:t>
      </w:r>
      <w:r w:rsidRPr="00A07F29">
        <w:rPr>
          <w:rFonts w:ascii="Times New Roman" w:eastAsia="Calibri" w:hAnsi="Times New Roman" w:cs="Times New Roman"/>
          <w:i/>
          <w:color w:val="000000"/>
          <w:sz w:val="24"/>
          <w:szCs w:val="24"/>
          <w:lang w:eastAsia="lv-LV"/>
        </w:rPr>
        <w:t>Staignāju meži</w:t>
      </w:r>
      <w:r w:rsidRPr="00A07F29">
        <w:rPr>
          <w:rFonts w:ascii="Times New Roman" w:eastAsia="Calibri" w:hAnsi="Times New Roman" w:cs="Times New Roman"/>
          <w:color w:val="000000"/>
          <w:sz w:val="24"/>
          <w:szCs w:val="24"/>
          <w:lang w:eastAsia="lv-LV"/>
        </w:rPr>
        <w:t xml:space="preserve"> aizsardzības stāvoklis AAA </w:t>
      </w:r>
      <w:r w:rsidR="00BE1228">
        <w:rPr>
          <w:rFonts w:ascii="Times New Roman" w:eastAsia="Calibri" w:hAnsi="Times New Roman" w:cs="Times New Roman"/>
          <w:color w:val="000000"/>
          <w:sz w:val="24"/>
          <w:szCs w:val="24"/>
          <w:lang w:eastAsia="lv-LV"/>
        </w:rPr>
        <w:t>“</w:t>
      </w:r>
      <w:r w:rsidRPr="00A07F29">
        <w:rPr>
          <w:rFonts w:ascii="Times New Roman" w:eastAsia="Calibri" w:hAnsi="Times New Roman" w:cs="Times New Roman"/>
          <w:color w:val="000000"/>
          <w:sz w:val="24"/>
          <w:szCs w:val="24"/>
          <w:lang w:eastAsia="lv-LV"/>
        </w:rPr>
        <w:t>Augšdaugava” ir labvēlīgs, jo mitrajās ieplakās esošās mežaudzēs lielākoties nav veikti mežsaimnieciski pasākumi, arī hidroloģiskais režīms nav būtiski ietekmēts. Biotopa stāvoklim nākotnē būs tendence uzlaboties, pieaugot mežaudžu vidējam vecumam (ar nosacījumu, ka tiek īstenoti aizsardzības pasākumi).</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6"/>
        <w:gridCol w:w="1878"/>
      </w:tblGrid>
      <w:tr w:rsidR="00BB073E" w:rsidRPr="00A07F29" w14:paraId="4611FB7D" w14:textId="77777777" w:rsidTr="63C42FA1">
        <w:trPr>
          <w:jc w:val="center"/>
        </w:trPr>
        <w:tc>
          <w:tcPr>
            <w:tcW w:w="4672" w:type="dxa"/>
          </w:tcPr>
          <w:p w14:paraId="70BACD02" w14:textId="6A2BD80D" w:rsidR="00446E51" w:rsidRPr="00A07F29" w:rsidRDefault="00446E51" w:rsidP="002B1603">
            <w:pPr>
              <w:spacing w:before="120" w:after="120"/>
              <w:jc w:val="both"/>
              <w:rPr>
                <w:rFonts w:ascii="Times New Roman" w:eastAsia="Calibri" w:hAnsi="Times New Roman" w:cs="Times New Roman"/>
                <w:color w:val="000000"/>
                <w:sz w:val="24"/>
                <w:szCs w:val="24"/>
                <w:lang w:eastAsia="lv-LV"/>
              </w:rPr>
            </w:pPr>
            <w:r w:rsidRPr="00A07F29">
              <w:rPr>
                <w:noProof/>
                <w:lang w:eastAsia="lv-LV"/>
              </w:rPr>
              <w:drawing>
                <wp:inline distT="0" distB="0" distL="0" distR="0" wp14:anchorId="2F0C62FC" wp14:editId="74BD042E">
                  <wp:extent cx="4604566" cy="2590800"/>
                  <wp:effectExtent l="0" t="0" r="5715" b="0"/>
                  <wp:docPr id="918145557"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pic:nvPicPr>
                        <pic:blipFill>
                          <a:blip r:embed="rId52">
                            <a:extLst>
                              <a:ext uri="{28A0092B-C50C-407E-A947-70E740481C1C}">
                                <a14:useLocalDpi xmlns:a14="http://schemas.microsoft.com/office/drawing/2010/main" val="0"/>
                              </a:ext>
                            </a:extLst>
                          </a:blip>
                          <a:stretch>
                            <a:fillRect/>
                          </a:stretch>
                        </pic:blipFill>
                        <pic:spPr>
                          <a:xfrm>
                            <a:off x="0" y="0"/>
                            <a:ext cx="4604566" cy="2590800"/>
                          </a:xfrm>
                          <a:prstGeom prst="rect">
                            <a:avLst/>
                          </a:prstGeom>
                        </pic:spPr>
                      </pic:pic>
                    </a:graphicData>
                  </a:graphic>
                </wp:inline>
              </w:drawing>
            </w:r>
          </w:p>
        </w:tc>
        <w:tc>
          <w:tcPr>
            <w:tcW w:w="4672" w:type="dxa"/>
            <w:vAlign w:val="bottom"/>
          </w:tcPr>
          <w:p w14:paraId="4957BD9D" w14:textId="44E5AB00" w:rsidR="00446E51" w:rsidRPr="00DC73D2" w:rsidRDefault="00446E51" w:rsidP="002B1603">
            <w:pPr>
              <w:spacing w:before="120" w:after="120"/>
              <w:jc w:val="both"/>
              <w:rPr>
                <w:rFonts w:ascii="Times New Roman" w:eastAsia="Calibri" w:hAnsi="Times New Roman" w:cs="Times New Roman"/>
                <w:color w:val="000000"/>
                <w:sz w:val="20"/>
                <w:szCs w:val="20"/>
                <w:lang w:eastAsia="lv-LV"/>
              </w:rPr>
            </w:pPr>
            <w:r w:rsidRPr="00DC73D2">
              <w:rPr>
                <w:rFonts w:ascii="Times New Roman" w:eastAsia="Calibri" w:hAnsi="Times New Roman" w:cs="Times New Roman"/>
                <w:sz w:val="20"/>
                <w:szCs w:val="20"/>
                <w:lang w:eastAsia="lv-LV"/>
              </w:rPr>
              <w:t>4.3.4.2.</w:t>
            </w:r>
            <w:r w:rsidR="00DC73D2" w:rsidRPr="00DC73D2">
              <w:rPr>
                <w:rFonts w:ascii="Times New Roman" w:eastAsia="Calibri" w:hAnsi="Times New Roman" w:cs="Times New Roman"/>
                <w:sz w:val="20"/>
                <w:szCs w:val="20"/>
                <w:lang w:eastAsia="lv-LV"/>
              </w:rPr>
              <w:t> </w:t>
            </w:r>
            <w:r w:rsidRPr="00DC73D2">
              <w:rPr>
                <w:rFonts w:ascii="Times New Roman" w:eastAsia="Calibri" w:hAnsi="Times New Roman" w:cs="Times New Roman"/>
                <w:sz w:val="20"/>
                <w:szCs w:val="20"/>
                <w:lang w:eastAsia="lv-LV"/>
              </w:rPr>
              <w:t>att</w:t>
            </w:r>
            <w:r w:rsidR="00DC73D2" w:rsidRPr="00DC73D2">
              <w:rPr>
                <w:rFonts w:ascii="Times New Roman" w:eastAsia="Calibri" w:hAnsi="Times New Roman" w:cs="Times New Roman"/>
                <w:sz w:val="20"/>
                <w:szCs w:val="20"/>
                <w:lang w:eastAsia="lv-LV"/>
              </w:rPr>
              <w:t>ēls</w:t>
            </w:r>
            <w:r w:rsidRPr="00DC73D2">
              <w:rPr>
                <w:rFonts w:ascii="Times New Roman" w:eastAsia="Calibri" w:hAnsi="Times New Roman" w:cs="Times New Roman"/>
                <w:sz w:val="20"/>
                <w:szCs w:val="20"/>
                <w:lang w:eastAsia="lv-LV"/>
              </w:rPr>
              <w:t xml:space="preserve">. </w:t>
            </w:r>
            <w:r w:rsidRPr="00DC73D2">
              <w:rPr>
                <w:rFonts w:ascii="Times New Roman" w:eastAsia="Calibri" w:hAnsi="Times New Roman" w:cs="Times New Roman"/>
                <w:color w:val="000000"/>
                <w:sz w:val="20"/>
                <w:szCs w:val="20"/>
                <w:lang w:eastAsia="lv-LV"/>
              </w:rPr>
              <w:t>9080*</w:t>
            </w:r>
            <w:r w:rsidR="00DC73D2" w:rsidRPr="00DC73D2">
              <w:rPr>
                <w:rFonts w:ascii="Times New Roman" w:eastAsia="Calibri" w:hAnsi="Times New Roman" w:cs="Times New Roman"/>
                <w:color w:val="000000"/>
                <w:sz w:val="20"/>
                <w:szCs w:val="20"/>
                <w:lang w:eastAsia="lv-LV"/>
              </w:rPr>
              <w:t> </w:t>
            </w:r>
            <w:r w:rsidRPr="00DC73D2">
              <w:rPr>
                <w:rFonts w:ascii="Times New Roman" w:eastAsia="Calibri" w:hAnsi="Times New Roman" w:cs="Times New Roman"/>
                <w:i/>
                <w:iCs/>
                <w:color w:val="000000"/>
                <w:sz w:val="20"/>
                <w:szCs w:val="20"/>
                <w:lang w:eastAsia="lv-LV"/>
              </w:rPr>
              <w:t>Staignāju meži</w:t>
            </w:r>
            <w:r w:rsidRPr="00DC73D2">
              <w:rPr>
                <w:rFonts w:ascii="Times New Roman" w:eastAsia="Calibri" w:hAnsi="Times New Roman" w:cs="Times New Roman"/>
                <w:color w:val="000000"/>
                <w:sz w:val="20"/>
                <w:szCs w:val="20"/>
                <w:lang w:eastAsia="lv-LV"/>
              </w:rPr>
              <w:t xml:space="preserve"> AAA “Augšdaugava” teritorijā (Foto: G</w:t>
            </w:r>
            <w:r w:rsidR="00DC73D2" w:rsidRPr="00DC73D2">
              <w:rPr>
                <w:rFonts w:ascii="Times New Roman" w:eastAsia="Calibri" w:hAnsi="Times New Roman" w:cs="Times New Roman"/>
                <w:color w:val="000000"/>
                <w:sz w:val="20"/>
                <w:szCs w:val="20"/>
                <w:lang w:eastAsia="lv-LV"/>
              </w:rPr>
              <w:t>. </w:t>
            </w:r>
            <w:proofErr w:type="spellStart"/>
            <w:r w:rsidRPr="00DC73D2">
              <w:rPr>
                <w:rFonts w:ascii="Times New Roman" w:eastAsia="Calibri" w:hAnsi="Times New Roman" w:cs="Times New Roman"/>
                <w:color w:val="000000"/>
                <w:sz w:val="20"/>
                <w:szCs w:val="20"/>
                <w:lang w:eastAsia="lv-LV"/>
              </w:rPr>
              <w:t>Evarte-Bundere</w:t>
            </w:r>
            <w:proofErr w:type="spellEnd"/>
            <w:r w:rsidRPr="00DC73D2">
              <w:rPr>
                <w:rFonts w:ascii="Times New Roman" w:eastAsia="Calibri" w:hAnsi="Times New Roman" w:cs="Times New Roman"/>
                <w:color w:val="000000"/>
                <w:sz w:val="20"/>
                <w:szCs w:val="20"/>
                <w:lang w:eastAsia="lv-LV"/>
              </w:rPr>
              <w:t>)</w:t>
            </w:r>
          </w:p>
        </w:tc>
      </w:tr>
    </w:tbl>
    <w:p w14:paraId="1BE7942B" w14:textId="3F8805BA" w:rsidR="002B1603" w:rsidRPr="00A07F29" w:rsidRDefault="002B1603" w:rsidP="00D9289D">
      <w:pPr>
        <w:keepNext/>
        <w:keepLines/>
        <w:spacing w:before="240" w:after="120" w:line="240" w:lineRule="auto"/>
        <w:jc w:val="both"/>
        <w:outlineLvl w:val="3"/>
        <w:rPr>
          <w:rFonts w:ascii="Times New Roman" w:eastAsia="Calibri" w:hAnsi="Times New Roman" w:cs="Times New Roman"/>
          <w:b/>
          <w:bCs/>
          <w:sz w:val="24"/>
          <w:szCs w:val="24"/>
          <w:lang w:eastAsia="lv-LV"/>
        </w:rPr>
      </w:pPr>
      <w:r w:rsidRPr="00A07F29">
        <w:rPr>
          <w:rFonts w:ascii="Times New Roman" w:eastAsia="Calibri" w:hAnsi="Times New Roman" w:cs="Times New Roman"/>
          <w:b/>
          <w:bCs/>
          <w:sz w:val="24"/>
          <w:szCs w:val="24"/>
          <w:lang w:eastAsia="lv-LV"/>
        </w:rPr>
        <w:t>9160</w:t>
      </w:r>
      <w:r w:rsidRPr="00A07F29">
        <w:rPr>
          <w:rFonts w:ascii="Times New Roman" w:eastAsia="Calibri" w:hAnsi="Times New Roman" w:cs="Times New Roman"/>
          <w:b/>
          <w:bCs/>
          <w:i/>
          <w:iCs/>
          <w:sz w:val="24"/>
          <w:szCs w:val="24"/>
          <w:lang w:eastAsia="lv-LV"/>
        </w:rPr>
        <w:t xml:space="preserve"> Ozolu meži (ozolu, liepu un skābaržu meži)</w:t>
      </w:r>
    </w:p>
    <w:p w14:paraId="76FC6C6F" w14:textId="6EE0D07F" w:rsidR="006C78DE" w:rsidRPr="00A07F29" w:rsidRDefault="006C78DE" w:rsidP="00BD4F54">
      <w:pPr>
        <w:spacing w:after="120" w:line="240" w:lineRule="auto"/>
        <w:ind w:firstLine="851"/>
        <w:jc w:val="both"/>
        <w:outlineLvl w:val="3"/>
        <w:rPr>
          <w:rFonts w:ascii="Times New Roman" w:eastAsia="Calibri" w:hAnsi="Times New Roman" w:cs="Times New Roman"/>
          <w:color w:val="000000" w:themeColor="text1"/>
          <w:sz w:val="24"/>
          <w:szCs w:val="24"/>
          <w:lang w:eastAsia="lv-LV"/>
        </w:rPr>
      </w:pPr>
      <w:r w:rsidRPr="00A07F29">
        <w:rPr>
          <w:rFonts w:ascii="Times New Roman" w:eastAsia="Calibri" w:hAnsi="Times New Roman" w:cs="Times New Roman"/>
          <w:color w:val="000000" w:themeColor="text1"/>
          <w:sz w:val="24"/>
          <w:szCs w:val="24"/>
          <w:lang w:eastAsia="lv-LV"/>
        </w:rPr>
        <w:t xml:space="preserve">Šis ir viens no retākajiem dabiskajiem mežu veģetācijas veidiem Latvijā, kurš aizņem aptuveni </w:t>
      </w:r>
      <w:r w:rsidRPr="00A07F29">
        <w:rPr>
          <w:rFonts w:ascii="Times New Roman" w:hAnsi="Times New Roman" w:cs="Times New Roman"/>
          <w:sz w:val="24"/>
          <w:szCs w:val="24"/>
        </w:rPr>
        <w:t>20,02 </w:t>
      </w:r>
      <w:r w:rsidRPr="00A07F29">
        <w:rPr>
          <w:rFonts w:ascii="Cambria Math" w:hAnsi="Cambria Math" w:cs="Cambria Math"/>
          <w:sz w:val="24"/>
          <w:szCs w:val="24"/>
        </w:rPr>
        <w:t>‐</w:t>
      </w:r>
      <w:r w:rsidRPr="00A07F29">
        <w:rPr>
          <w:rFonts w:ascii="Times New Roman" w:hAnsi="Times New Roman" w:cs="Times New Roman"/>
          <w:sz w:val="24"/>
          <w:szCs w:val="24"/>
        </w:rPr>
        <w:t> 51,87</w:t>
      </w:r>
      <w:r w:rsidR="007F4478">
        <w:rPr>
          <w:rFonts w:ascii="Times New Roman" w:hAnsi="Times New Roman" w:cs="Times New Roman"/>
          <w:sz w:val="24"/>
          <w:szCs w:val="24"/>
        </w:rPr>
        <w:t> </w:t>
      </w:r>
      <w:r w:rsidRPr="00A07F29">
        <w:rPr>
          <w:rFonts w:ascii="Times New Roman" w:hAnsi="Times New Roman" w:cs="Times New Roman"/>
          <w:sz w:val="24"/>
          <w:szCs w:val="24"/>
        </w:rPr>
        <w:t>km</w:t>
      </w:r>
      <w:r w:rsidRPr="00A07F29">
        <w:rPr>
          <w:rFonts w:ascii="Times New Roman" w:hAnsi="Times New Roman" w:cs="Times New Roman"/>
          <w:sz w:val="24"/>
          <w:szCs w:val="24"/>
          <w:vertAlign w:val="superscript"/>
        </w:rPr>
        <w:t>2</w:t>
      </w:r>
      <w:r w:rsidRPr="00A07F29">
        <w:t xml:space="preserve"> </w:t>
      </w:r>
      <w:r w:rsidRPr="00A07F29">
        <w:rPr>
          <w:rFonts w:ascii="Times New Roman" w:eastAsia="Calibri" w:hAnsi="Times New Roman" w:cs="Times New Roman"/>
          <w:color w:val="000000" w:themeColor="text1"/>
          <w:sz w:val="24"/>
          <w:szCs w:val="24"/>
          <w:lang w:eastAsia="lv-LV"/>
        </w:rPr>
        <w:t>no valsts teritorijas (</w:t>
      </w:r>
      <w:proofErr w:type="spellStart"/>
      <w:r w:rsidRPr="00A07F29">
        <w:rPr>
          <w:rFonts w:ascii="Times New Roman" w:eastAsia="Calibri" w:hAnsi="Times New Roman" w:cs="Times New Roman"/>
          <w:color w:val="000000" w:themeColor="text1"/>
          <w:sz w:val="24"/>
          <w:szCs w:val="24"/>
          <w:lang w:eastAsia="lv-LV"/>
        </w:rPr>
        <w:t>Conservation</w:t>
      </w:r>
      <w:proofErr w:type="spellEnd"/>
      <w:r w:rsidRPr="00A07F29">
        <w:rPr>
          <w:rFonts w:ascii="Times New Roman" w:eastAsia="Calibri" w:hAnsi="Times New Roman" w:cs="Times New Roman"/>
          <w:color w:val="000000" w:themeColor="text1"/>
          <w:sz w:val="24"/>
          <w:szCs w:val="24"/>
          <w:lang w:eastAsia="lv-LV"/>
        </w:rPr>
        <w:t xml:space="preserve"> </w:t>
      </w:r>
      <w:r w:rsidR="007F4478">
        <w:rPr>
          <w:rFonts w:ascii="Times New Roman" w:eastAsia="Calibri" w:hAnsi="Times New Roman" w:cs="Times New Roman"/>
          <w:color w:val="000000" w:themeColor="text1"/>
          <w:sz w:val="24"/>
          <w:szCs w:val="24"/>
          <w:lang w:eastAsia="lv-LV"/>
        </w:rPr>
        <w:t>S</w:t>
      </w:r>
      <w:r w:rsidRPr="00A07F29">
        <w:rPr>
          <w:rFonts w:ascii="Times New Roman" w:eastAsia="Calibri" w:hAnsi="Times New Roman" w:cs="Times New Roman"/>
          <w:color w:val="000000" w:themeColor="text1"/>
          <w:sz w:val="24"/>
          <w:szCs w:val="24"/>
          <w:lang w:eastAsia="lv-LV"/>
        </w:rPr>
        <w:t xml:space="preserve">tatus </w:t>
      </w:r>
      <w:proofErr w:type="spellStart"/>
      <w:r w:rsidRPr="00A07F29">
        <w:rPr>
          <w:rFonts w:ascii="Times New Roman" w:eastAsia="Calibri" w:hAnsi="Times New Roman" w:cs="Times New Roman"/>
          <w:color w:val="000000" w:themeColor="text1"/>
          <w:sz w:val="24"/>
          <w:szCs w:val="24"/>
          <w:lang w:eastAsia="lv-LV"/>
        </w:rPr>
        <w:t>of</w:t>
      </w:r>
      <w:proofErr w:type="spellEnd"/>
      <w:r w:rsidRPr="00A07F29">
        <w:rPr>
          <w:rFonts w:ascii="Times New Roman" w:eastAsia="Calibri" w:hAnsi="Times New Roman" w:cs="Times New Roman"/>
          <w:color w:val="000000" w:themeColor="text1"/>
          <w:sz w:val="24"/>
          <w:szCs w:val="24"/>
          <w:lang w:eastAsia="lv-LV"/>
        </w:rPr>
        <w:t>..., 2019). Latvijas A daļā sastopams fragmentāri nelielās platībās. AAA “Augšdaugava” konstatēts 9160</w:t>
      </w:r>
      <w:r w:rsidR="007F4478">
        <w:rPr>
          <w:rFonts w:ascii="Times New Roman" w:eastAsia="Calibri" w:hAnsi="Times New Roman" w:cs="Times New Roman"/>
          <w:color w:val="000000" w:themeColor="text1"/>
          <w:sz w:val="24"/>
          <w:szCs w:val="24"/>
          <w:lang w:eastAsia="lv-LV"/>
        </w:rPr>
        <w:t> </w:t>
      </w:r>
      <w:r w:rsidRPr="00A07F29">
        <w:rPr>
          <w:rFonts w:ascii="Times New Roman" w:eastAsia="Calibri" w:hAnsi="Times New Roman" w:cs="Times New Roman"/>
          <w:i/>
          <w:iCs/>
          <w:color w:val="000000" w:themeColor="text1"/>
          <w:sz w:val="24"/>
          <w:szCs w:val="24"/>
          <w:lang w:eastAsia="lv-LV"/>
        </w:rPr>
        <w:t>Ozolu meži</w:t>
      </w:r>
      <w:r w:rsidRPr="00A07F29">
        <w:rPr>
          <w:rFonts w:ascii="Times New Roman" w:eastAsia="Calibri" w:hAnsi="Times New Roman" w:cs="Times New Roman"/>
          <w:color w:val="000000" w:themeColor="text1"/>
          <w:sz w:val="24"/>
          <w:szCs w:val="24"/>
          <w:lang w:eastAsia="lv-LV"/>
        </w:rPr>
        <w:t xml:space="preserve"> 2. variants 1,3</w:t>
      </w:r>
      <w:r w:rsidR="00983FDA" w:rsidRPr="00A07F29">
        <w:rPr>
          <w:rFonts w:ascii="Times New Roman" w:eastAsia="Calibri" w:hAnsi="Times New Roman" w:cs="Times New Roman"/>
          <w:color w:val="000000" w:themeColor="text1"/>
          <w:sz w:val="24"/>
          <w:szCs w:val="24"/>
          <w:lang w:eastAsia="lv-LV"/>
        </w:rPr>
        <w:t>0</w:t>
      </w:r>
      <w:r w:rsidR="007F4478">
        <w:rPr>
          <w:rFonts w:ascii="Times New Roman" w:eastAsia="Calibri" w:hAnsi="Times New Roman" w:cs="Times New Roman"/>
          <w:color w:val="000000" w:themeColor="text1"/>
          <w:sz w:val="24"/>
          <w:szCs w:val="24"/>
          <w:lang w:eastAsia="lv-LV"/>
        </w:rPr>
        <w:t> </w:t>
      </w:r>
      <w:r w:rsidRPr="00A07F29">
        <w:rPr>
          <w:rFonts w:ascii="Times New Roman" w:eastAsia="Calibri" w:hAnsi="Times New Roman" w:cs="Times New Roman"/>
          <w:color w:val="000000" w:themeColor="text1"/>
          <w:sz w:val="24"/>
          <w:szCs w:val="24"/>
          <w:lang w:eastAsia="lv-LV"/>
        </w:rPr>
        <w:t xml:space="preserve">ha platībā un </w:t>
      </w:r>
      <w:r w:rsidR="00D9289D" w:rsidRPr="00A07F29">
        <w:rPr>
          <w:rFonts w:ascii="Times New Roman" w:eastAsia="Calibri" w:hAnsi="Times New Roman" w:cs="Times New Roman"/>
          <w:color w:val="000000" w:themeColor="text1"/>
          <w:sz w:val="24"/>
          <w:szCs w:val="24"/>
          <w:lang w:eastAsia="lv-LV"/>
        </w:rPr>
        <w:t xml:space="preserve">tā </w:t>
      </w:r>
      <w:r w:rsidRPr="00A07F29">
        <w:rPr>
          <w:rFonts w:ascii="Times New Roman" w:eastAsia="Calibri" w:hAnsi="Times New Roman" w:cs="Times New Roman"/>
          <w:color w:val="000000" w:themeColor="text1"/>
          <w:sz w:val="24"/>
          <w:szCs w:val="24"/>
          <w:lang w:eastAsia="lv-LV"/>
        </w:rPr>
        <w:t>kvalitāte vērtēta kā vidēja. Nav konstatēti poligoni ar izcilu vai labu kvalitāti.</w:t>
      </w:r>
    </w:p>
    <w:p w14:paraId="16F0740C" w14:textId="6E50F982" w:rsidR="006C78DE" w:rsidRPr="00A07F29" w:rsidRDefault="006C78DE" w:rsidP="00D9289D">
      <w:pPr>
        <w:spacing w:after="120" w:line="240" w:lineRule="auto"/>
        <w:ind w:firstLine="851"/>
        <w:jc w:val="both"/>
        <w:rPr>
          <w:rFonts w:ascii="Times New Roman" w:eastAsia="Calibri" w:hAnsi="Times New Roman" w:cs="Times New Roman"/>
          <w:color w:val="000000"/>
          <w:sz w:val="24"/>
          <w:szCs w:val="24"/>
          <w:lang w:eastAsia="lv-LV"/>
        </w:rPr>
      </w:pPr>
      <w:proofErr w:type="spellStart"/>
      <w:r w:rsidRPr="00A07F29">
        <w:rPr>
          <w:rFonts w:ascii="Times New Roman" w:eastAsia="Calibri" w:hAnsi="Times New Roman" w:cs="Times New Roman"/>
          <w:color w:val="000000" w:themeColor="text1"/>
          <w:sz w:val="24"/>
          <w:szCs w:val="24"/>
          <w:lang w:eastAsia="lv-LV"/>
        </w:rPr>
        <w:t>K</w:t>
      </w:r>
      <w:r w:rsidRPr="00A07F29">
        <w:rPr>
          <w:rFonts w:ascii="Times New Roman" w:eastAsia="Calibri" w:hAnsi="Times New Roman" w:cs="Times New Roman"/>
          <w:color w:val="000000"/>
          <w:sz w:val="24"/>
          <w:szCs w:val="24"/>
          <w:lang w:eastAsia="lv-LV"/>
        </w:rPr>
        <w:t>okaudzē</w:t>
      </w:r>
      <w:proofErr w:type="spellEnd"/>
      <w:r w:rsidRPr="00A07F29">
        <w:rPr>
          <w:rFonts w:ascii="Times New Roman" w:eastAsia="Calibri" w:hAnsi="Times New Roman" w:cs="Times New Roman"/>
          <w:color w:val="000000"/>
          <w:sz w:val="24"/>
          <w:szCs w:val="24"/>
          <w:lang w:eastAsia="lv-LV"/>
        </w:rPr>
        <w:t xml:space="preserve"> vienā poligonā dominē parastais ozols </w:t>
      </w:r>
      <w:proofErr w:type="spellStart"/>
      <w:r w:rsidRPr="00A07F29">
        <w:rPr>
          <w:rFonts w:ascii="Times New Roman" w:eastAsia="Calibri" w:hAnsi="Times New Roman" w:cs="Times New Roman"/>
          <w:i/>
          <w:iCs/>
          <w:color w:val="000000"/>
          <w:sz w:val="24"/>
          <w:szCs w:val="24"/>
          <w:lang w:eastAsia="lv-LV"/>
        </w:rPr>
        <w:t>Quercus</w:t>
      </w:r>
      <w:proofErr w:type="spellEnd"/>
      <w:r w:rsidRPr="00A07F29">
        <w:rPr>
          <w:rFonts w:ascii="Times New Roman" w:eastAsia="Calibri" w:hAnsi="Times New Roman" w:cs="Times New Roman"/>
          <w:i/>
          <w:iCs/>
          <w:color w:val="000000"/>
          <w:sz w:val="24"/>
          <w:szCs w:val="24"/>
          <w:lang w:eastAsia="lv-LV"/>
        </w:rPr>
        <w:t xml:space="preserve"> </w:t>
      </w:r>
      <w:proofErr w:type="spellStart"/>
      <w:r w:rsidRPr="00A07F29">
        <w:rPr>
          <w:rFonts w:ascii="Times New Roman" w:eastAsia="Calibri" w:hAnsi="Times New Roman" w:cs="Times New Roman"/>
          <w:i/>
          <w:iCs/>
          <w:color w:val="000000"/>
          <w:sz w:val="24"/>
          <w:szCs w:val="24"/>
          <w:lang w:eastAsia="lv-LV"/>
        </w:rPr>
        <w:t>robur</w:t>
      </w:r>
      <w:proofErr w:type="spellEnd"/>
      <w:r w:rsidRPr="00A07F29">
        <w:rPr>
          <w:rFonts w:ascii="Times New Roman" w:eastAsia="Calibri" w:hAnsi="Times New Roman" w:cs="Times New Roman"/>
          <w:iCs/>
          <w:color w:val="000000"/>
          <w:sz w:val="24"/>
          <w:szCs w:val="24"/>
          <w:lang w:eastAsia="lv-LV"/>
        </w:rPr>
        <w:t xml:space="preserve"> </w:t>
      </w:r>
      <w:r w:rsidRPr="00A07F29">
        <w:rPr>
          <w:rFonts w:ascii="Times New Roman" w:eastAsia="Calibri" w:hAnsi="Times New Roman" w:cs="Times New Roman"/>
          <w:color w:val="000000"/>
          <w:sz w:val="24"/>
          <w:szCs w:val="24"/>
          <w:lang w:eastAsia="lv-LV"/>
        </w:rPr>
        <w:t xml:space="preserve">ar āra bērzu </w:t>
      </w:r>
      <w:proofErr w:type="spellStart"/>
      <w:r w:rsidRPr="00A07F29">
        <w:rPr>
          <w:rFonts w:ascii="Times New Roman" w:eastAsia="Calibri" w:hAnsi="Times New Roman" w:cs="Times New Roman"/>
          <w:i/>
          <w:iCs/>
          <w:color w:val="000000"/>
          <w:sz w:val="24"/>
          <w:szCs w:val="24"/>
          <w:lang w:eastAsia="lv-LV"/>
        </w:rPr>
        <w:t>Betula</w:t>
      </w:r>
      <w:proofErr w:type="spellEnd"/>
      <w:r w:rsidRPr="00A07F29">
        <w:rPr>
          <w:rFonts w:ascii="Times New Roman" w:eastAsia="Calibri" w:hAnsi="Times New Roman" w:cs="Times New Roman"/>
          <w:i/>
          <w:iCs/>
          <w:color w:val="000000"/>
          <w:sz w:val="24"/>
          <w:szCs w:val="24"/>
          <w:lang w:eastAsia="lv-LV"/>
        </w:rPr>
        <w:t xml:space="preserve"> </w:t>
      </w:r>
      <w:proofErr w:type="spellStart"/>
      <w:r w:rsidRPr="00A07F29">
        <w:rPr>
          <w:rFonts w:ascii="Times New Roman" w:eastAsia="Calibri" w:hAnsi="Times New Roman" w:cs="Times New Roman"/>
          <w:i/>
          <w:iCs/>
          <w:color w:val="000000"/>
          <w:sz w:val="24"/>
          <w:szCs w:val="24"/>
          <w:lang w:eastAsia="lv-LV"/>
        </w:rPr>
        <w:t>pendula</w:t>
      </w:r>
      <w:proofErr w:type="spellEnd"/>
      <w:r w:rsidRPr="00A07F29">
        <w:rPr>
          <w:rFonts w:ascii="Times New Roman" w:eastAsia="Calibri" w:hAnsi="Times New Roman" w:cs="Times New Roman"/>
          <w:color w:val="000000"/>
          <w:sz w:val="24"/>
          <w:szCs w:val="24"/>
          <w:lang w:eastAsia="lv-LV"/>
        </w:rPr>
        <w:t xml:space="preserve"> un parasto apsi </w:t>
      </w:r>
      <w:proofErr w:type="spellStart"/>
      <w:r w:rsidRPr="00A07F29">
        <w:rPr>
          <w:rFonts w:ascii="Times New Roman" w:eastAsia="Calibri" w:hAnsi="Times New Roman" w:cs="Times New Roman"/>
          <w:i/>
          <w:iCs/>
          <w:color w:val="000000"/>
          <w:sz w:val="24"/>
          <w:szCs w:val="24"/>
          <w:lang w:eastAsia="lv-LV"/>
        </w:rPr>
        <w:t>Populus</w:t>
      </w:r>
      <w:proofErr w:type="spellEnd"/>
      <w:r w:rsidRPr="00A07F29">
        <w:rPr>
          <w:rFonts w:ascii="Times New Roman" w:eastAsia="Calibri" w:hAnsi="Times New Roman" w:cs="Times New Roman"/>
          <w:i/>
          <w:iCs/>
          <w:color w:val="000000"/>
          <w:sz w:val="24"/>
          <w:szCs w:val="24"/>
          <w:lang w:eastAsia="lv-LV"/>
        </w:rPr>
        <w:t xml:space="preserve"> </w:t>
      </w:r>
      <w:proofErr w:type="spellStart"/>
      <w:r w:rsidRPr="00A07F29">
        <w:rPr>
          <w:rFonts w:ascii="Times New Roman" w:eastAsia="Calibri" w:hAnsi="Times New Roman" w:cs="Times New Roman"/>
          <w:i/>
          <w:iCs/>
          <w:color w:val="000000"/>
          <w:sz w:val="24"/>
          <w:szCs w:val="24"/>
          <w:lang w:eastAsia="lv-LV"/>
        </w:rPr>
        <w:t>tremula</w:t>
      </w:r>
      <w:proofErr w:type="spellEnd"/>
      <w:r w:rsidR="00D65BBA" w:rsidRPr="00A07F29">
        <w:rPr>
          <w:rFonts w:ascii="Times New Roman" w:eastAsia="Calibri" w:hAnsi="Times New Roman" w:cs="Times New Roman"/>
          <w:color w:val="000000"/>
          <w:sz w:val="24"/>
          <w:szCs w:val="24"/>
          <w:lang w:eastAsia="lv-LV"/>
        </w:rPr>
        <w:t xml:space="preserve"> </w:t>
      </w:r>
      <w:proofErr w:type="spellStart"/>
      <w:r w:rsidRPr="00A07F29">
        <w:rPr>
          <w:rFonts w:ascii="Times New Roman" w:eastAsia="Calibri" w:hAnsi="Times New Roman" w:cs="Times New Roman"/>
          <w:color w:val="000000"/>
          <w:sz w:val="24"/>
          <w:szCs w:val="24"/>
          <w:lang w:eastAsia="lv-LV"/>
        </w:rPr>
        <w:t>piemistrojumā</w:t>
      </w:r>
      <w:proofErr w:type="spellEnd"/>
      <w:r w:rsidRPr="00A07F29">
        <w:rPr>
          <w:rFonts w:ascii="Times New Roman" w:eastAsia="Calibri" w:hAnsi="Times New Roman" w:cs="Times New Roman"/>
          <w:color w:val="000000"/>
          <w:sz w:val="24"/>
          <w:szCs w:val="24"/>
          <w:lang w:eastAsia="lv-LV"/>
        </w:rPr>
        <w:t xml:space="preserve">. Otrajā poligonā dominē parastā liepa </w:t>
      </w:r>
      <w:r w:rsidRPr="00A07F29">
        <w:rPr>
          <w:rFonts w:ascii="Times New Roman" w:eastAsia="Calibri" w:hAnsi="Times New Roman" w:cs="Times New Roman"/>
          <w:i/>
          <w:iCs/>
          <w:color w:val="000000"/>
          <w:sz w:val="24"/>
          <w:szCs w:val="24"/>
          <w:lang w:eastAsia="lv-LV"/>
        </w:rPr>
        <w:t xml:space="preserve">Tilia </w:t>
      </w:r>
      <w:proofErr w:type="spellStart"/>
      <w:r w:rsidRPr="00A07F29">
        <w:rPr>
          <w:rFonts w:ascii="Times New Roman" w:eastAsia="Calibri" w:hAnsi="Times New Roman" w:cs="Times New Roman"/>
          <w:i/>
          <w:iCs/>
          <w:color w:val="000000"/>
          <w:sz w:val="24"/>
          <w:szCs w:val="24"/>
          <w:lang w:eastAsia="lv-LV"/>
        </w:rPr>
        <w:t>cordata</w:t>
      </w:r>
      <w:proofErr w:type="spellEnd"/>
      <w:r w:rsidRPr="00A07F29">
        <w:rPr>
          <w:rFonts w:ascii="Times New Roman" w:eastAsia="Calibri" w:hAnsi="Times New Roman" w:cs="Times New Roman"/>
          <w:color w:val="000000"/>
          <w:sz w:val="24"/>
          <w:szCs w:val="24"/>
          <w:lang w:eastAsia="lv-LV"/>
        </w:rPr>
        <w:t xml:space="preserve">. No retām un aizsargājamām sugām konstatēts kārpainais segliņš </w:t>
      </w:r>
      <w:proofErr w:type="spellStart"/>
      <w:r w:rsidRPr="00A07F29">
        <w:rPr>
          <w:rFonts w:ascii="Times New Roman" w:eastAsia="Calibri" w:hAnsi="Times New Roman" w:cs="Times New Roman"/>
          <w:i/>
          <w:iCs/>
          <w:color w:val="000000"/>
          <w:sz w:val="24"/>
          <w:szCs w:val="24"/>
          <w:lang w:eastAsia="lv-LV"/>
        </w:rPr>
        <w:t>Euonymus</w:t>
      </w:r>
      <w:proofErr w:type="spellEnd"/>
      <w:r w:rsidRPr="00A07F29">
        <w:rPr>
          <w:rFonts w:ascii="Times New Roman" w:eastAsia="Calibri" w:hAnsi="Times New Roman" w:cs="Times New Roman"/>
          <w:i/>
          <w:iCs/>
          <w:color w:val="000000"/>
          <w:sz w:val="24"/>
          <w:szCs w:val="24"/>
          <w:lang w:eastAsia="lv-LV"/>
        </w:rPr>
        <w:t xml:space="preserve"> </w:t>
      </w:r>
      <w:proofErr w:type="spellStart"/>
      <w:r w:rsidRPr="00A07F29">
        <w:rPr>
          <w:rFonts w:ascii="Times New Roman" w:eastAsia="Calibri" w:hAnsi="Times New Roman" w:cs="Times New Roman"/>
          <w:i/>
          <w:iCs/>
          <w:color w:val="000000"/>
          <w:sz w:val="24"/>
          <w:szCs w:val="24"/>
          <w:lang w:eastAsia="lv-LV"/>
        </w:rPr>
        <w:t>verrucosa</w:t>
      </w:r>
      <w:proofErr w:type="spellEnd"/>
      <w:r w:rsidRPr="00A07F29">
        <w:rPr>
          <w:rFonts w:ascii="Times New Roman" w:eastAsia="Calibri" w:hAnsi="Times New Roman" w:cs="Times New Roman"/>
          <w:color w:val="000000"/>
          <w:sz w:val="24"/>
          <w:szCs w:val="24"/>
          <w:lang w:eastAsia="lv-LV"/>
        </w:rPr>
        <w:t xml:space="preserve">. No DMB </w:t>
      </w:r>
      <w:proofErr w:type="spellStart"/>
      <w:r w:rsidRPr="00A07F29">
        <w:rPr>
          <w:rFonts w:ascii="Times New Roman" w:eastAsia="Calibri" w:hAnsi="Times New Roman" w:cs="Times New Roman"/>
          <w:color w:val="000000"/>
          <w:sz w:val="24"/>
          <w:szCs w:val="24"/>
          <w:lang w:eastAsia="lv-LV"/>
        </w:rPr>
        <w:t>indikatorsugām</w:t>
      </w:r>
      <w:proofErr w:type="spellEnd"/>
      <w:r w:rsidRPr="00A07F29">
        <w:rPr>
          <w:rFonts w:ascii="Times New Roman" w:eastAsia="Calibri" w:hAnsi="Times New Roman" w:cs="Times New Roman"/>
          <w:color w:val="000000"/>
          <w:sz w:val="24"/>
          <w:szCs w:val="24"/>
          <w:lang w:eastAsia="lv-LV"/>
        </w:rPr>
        <w:t xml:space="preserve"> biežāk sastopama parastā </w:t>
      </w:r>
      <w:proofErr w:type="spellStart"/>
      <w:r w:rsidRPr="00A07F29">
        <w:rPr>
          <w:rFonts w:ascii="Times New Roman" w:eastAsia="Calibri" w:hAnsi="Times New Roman" w:cs="Times New Roman"/>
          <w:color w:val="000000"/>
          <w:sz w:val="24"/>
          <w:szCs w:val="24"/>
          <w:lang w:eastAsia="lv-LV"/>
        </w:rPr>
        <w:t>sprogaine</w:t>
      </w:r>
      <w:proofErr w:type="spellEnd"/>
      <w:r w:rsidRPr="00A07F29">
        <w:rPr>
          <w:rFonts w:ascii="Times New Roman" w:eastAsia="Calibri" w:hAnsi="Times New Roman" w:cs="Times New Roman"/>
          <w:i/>
          <w:iCs/>
          <w:color w:val="000000"/>
          <w:sz w:val="24"/>
          <w:szCs w:val="24"/>
          <w:lang w:eastAsia="lv-LV"/>
        </w:rPr>
        <w:t xml:space="preserve"> </w:t>
      </w:r>
      <w:proofErr w:type="spellStart"/>
      <w:r w:rsidRPr="00A07F29">
        <w:rPr>
          <w:rFonts w:ascii="Times New Roman" w:eastAsia="Calibri" w:hAnsi="Times New Roman" w:cs="Times New Roman"/>
          <w:i/>
          <w:iCs/>
          <w:color w:val="000000"/>
          <w:sz w:val="24"/>
          <w:szCs w:val="24"/>
          <w:lang w:eastAsia="lv-LV"/>
        </w:rPr>
        <w:t>Ulota</w:t>
      </w:r>
      <w:proofErr w:type="spellEnd"/>
      <w:r w:rsidRPr="00A07F29">
        <w:rPr>
          <w:rFonts w:ascii="Times New Roman" w:eastAsia="Calibri" w:hAnsi="Times New Roman" w:cs="Times New Roman"/>
          <w:i/>
          <w:iCs/>
          <w:color w:val="000000"/>
          <w:sz w:val="24"/>
          <w:szCs w:val="24"/>
          <w:lang w:eastAsia="lv-LV"/>
        </w:rPr>
        <w:t xml:space="preserve"> </w:t>
      </w:r>
      <w:proofErr w:type="spellStart"/>
      <w:r w:rsidRPr="00A07F29">
        <w:rPr>
          <w:rFonts w:ascii="Times New Roman" w:eastAsia="Calibri" w:hAnsi="Times New Roman" w:cs="Times New Roman"/>
          <w:i/>
          <w:iCs/>
          <w:color w:val="000000"/>
          <w:sz w:val="24"/>
          <w:szCs w:val="24"/>
          <w:lang w:eastAsia="lv-LV"/>
        </w:rPr>
        <w:t>crispa</w:t>
      </w:r>
      <w:proofErr w:type="spellEnd"/>
      <w:r w:rsidRPr="00A07F29">
        <w:rPr>
          <w:rFonts w:ascii="Times New Roman" w:eastAsia="Calibri" w:hAnsi="Times New Roman" w:cs="Times New Roman"/>
          <w:color w:val="000000"/>
          <w:sz w:val="24"/>
          <w:szCs w:val="24"/>
          <w:lang w:eastAsia="lv-LV"/>
        </w:rPr>
        <w:t xml:space="preserve"> un rakstu ķērpis</w:t>
      </w:r>
      <w:r w:rsidRPr="00A07F29">
        <w:rPr>
          <w:rFonts w:ascii="Times New Roman" w:eastAsia="Calibri" w:hAnsi="Times New Roman" w:cs="Times New Roman"/>
          <w:i/>
          <w:iCs/>
          <w:color w:val="000000"/>
          <w:sz w:val="24"/>
          <w:szCs w:val="24"/>
          <w:lang w:eastAsia="lv-LV"/>
        </w:rPr>
        <w:t xml:space="preserve"> </w:t>
      </w:r>
      <w:proofErr w:type="spellStart"/>
      <w:r w:rsidRPr="00A07F29">
        <w:rPr>
          <w:rFonts w:ascii="Times New Roman" w:eastAsia="Calibri" w:hAnsi="Times New Roman" w:cs="Times New Roman"/>
          <w:i/>
          <w:iCs/>
          <w:color w:val="000000"/>
          <w:sz w:val="24"/>
          <w:szCs w:val="24"/>
          <w:lang w:eastAsia="lv-LV"/>
        </w:rPr>
        <w:t>Graphis</w:t>
      </w:r>
      <w:proofErr w:type="spellEnd"/>
      <w:r w:rsidRPr="00A07F29">
        <w:rPr>
          <w:rFonts w:ascii="Times New Roman" w:eastAsia="Calibri" w:hAnsi="Times New Roman" w:cs="Times New Roman"/>
          <w:i/>
          <w:iCs/>
          <w:color w:val="000000"/>
          <w:sz w:val="24"/>
          <w:szCs w:val="24"/>
          <w:lang w:eastAsia="lv-LV"/>
        </w:rPr>
        <w:t xml:space="preserve"> </w:t>
      </w:r>
      <w:proofErr w:type="spellStart"/>
      <w:r w:rsidRPr="00A07F29">
        <w:rPr>
          <w:rFonts w:ascii="Times New Roman" w:eastAsia="Calibri" w:hAnsi="Times New Roman" w:cs="Times New Roman"/>
          <w:i/>
          <w:iCs/>
          <w:color w:val="000000"/>
          <w:sz w:val="24"/>
          <w:szCs w:val="24"/>
          <w:lang w:eastAsia="lv-LV"/>
        </w:rPr>
        <w:t>scripta</w:t>
      </w:r>
      <w:proofErr w:type="spellEnd"/>
      <w:r w:rsidRPr="00A07F29">
        <w:rPr>
          <w:rFonts w:ascii="Times New Roman" w:eastAsia="Calibri" w:hAnsi="Times New Roman" w:cs="Times New Roman"/>
          <w:color w:val="000000"/>
          <w:sz w:val="24"/>
          <w:szCs w:val="24"/>
          <w:lang w:eastAsia="lv-LV"/>
        </w:rPr>
        <w:t>.</w:t>
      </w:r>
    </w:p>
    <w:p w14:paraId="17EA5B1E" w14:textId="03C97A1B" w:rsidR="002B1603" w:rsidRPr="00A07F29" w:rsidRDefault="002B1603" w:rsidP="00D9289D">
      <w:pPr>
        <w:spacing w:after="120" w:line="240" w:lineRule="auto"/>
        <w:ind w:firstLine="851"/>
        <w:jc w:val="both"/>
        <w:rPr>
          <w:rFonts w:ascii="Times New Roman" w:eastAsia="Calibri" w:hAnsi="Times New Roman" w:cs="Times New Roman"/>
          <w:color w:val="000000"/>
          <w:sz w:val="24"/>
          <w:szCs w:val="24"/>
          <w:lang w:eastAsia="lv-LV"/>
        </w:rPr>
      </w:pPr>
      <w:r w:rsidRPr="00A07F29">
        <w:rPr>
          <w:rFonts w:ascii="Times New Roman" w:eastAsia="Calibri" w:hAnsi="Times New Roman" w:cs="Times New Roman"/>
          <w:color w:val="000000" w:themeColor="text1"/>
          <w:sz w:val="24"/>
          <w:szCs w:val="24"/>
          <w:lang w:eastAsia="lv-LV"/>
        </w:rPr>
        <w:t xml:space="preserve">Biotopa vērtību pazemina samērā neliels kritalu, </w:t>
      </w:r>
      <w:proofErr w:type="spellStart"/>
      <w:r w:rsidRPr="00A07F29">
        <w:rPr>
          <w:rFonts w:ascii="Times New Roman" w:eastAsia="Calibri" w:hAnsi="Times New Roman" w:cs="Times New Roman"/>
          <w:color w:val="000000" w:themeColor="text1"/>
          <w:sz w:val="24"/>
          <w:szCs w:val="24"/>
          <w:lang w:eastAsia="lv-LV"/>
        </w:rPr>
        <w:t>sausokņu</w:t>
      </w:r>
      <w:proofErr w:type="spellEnd"/>
      <w:r w:rsidRPr="00A07F29">
        <w:rPr>
          <w:rFonts w:ascii="Times New Roman" w:eastAsia="Calibri" w:hAnsi="Times New Roman" w:cs="Times New Roman"/>
          <w:color w:val="000000" w:themeColor="text1"/>
          <w:sz w:val="24"/>
          <w:szCs w:val="24"/>
          <w:lang w:eastAsia="lv-LV"/>
        </w:rPr>
        <w:t xml:space="preserve"> un stumbeņu īpatsvars, tāpēc ļoti būtiski ir turpmāk saglabāt šīs struktūras. Biotopa aizsardzības stāvoklis AAA vērtējams kā nelabvēlīgs – slikts līdz šim iztrūkstošo aizsardzības pasākumu dēļ</w:t>
      </w:r>
      <w:r w:rsidR="006C78DE" w:rsidRPr="00A07F29">
        <w:rPr>
          <w:rFonts w:ascii="Times New Roman" w:eastAsia="Calibri" w:hAnsi="Times New Roman" w:cs="Times New Roman"/>
          <w:color w:val="000000" w:themeColor="text1"/>
          <w:sz w:val="24"/>
          <w:szCs w:val="24"/>
          <w:lang w:eastAsia="lv-LV"/>
        </w:rPr>
        <w:t>.</w:t>
      </w:r>
    </w:p>
    <w:p w14:paraId="2E27DADC" w14:textId="3389B108" w:rsidR="002B1603" w:rsidRPr="00A07F29" w:rsidRDefault="002B1603" w:rsidP="00BD4F54">
      <w:pPr>
        <w:keepNext/>
        <w:spacing w:before="240" w:after="120" w:line="240" w:lineRule="auto"/>
        <w:jc w:val="both"/>
        <w:outlineLvl w:val="3"/>
        <w:rPr>
          <w:rFonts w:ascii="Times New Roman" w:eastAsia="Calibri" w:hAnsi="Times New Roman" w:cs="Times New Roman"/>
          <w:b/>
          <w:bCs/>
          <w:i/>
          <w:iCs/>
          <w:sz w:val="24"/>
          <w:szCs w:val="24"/>
          <w:lang w:eastAsia="lv-LV"/>
        </w:rPr>
      </w:pPr>
      <w:r w:rsidRPr="00A07F29">
        <w:rPr>
          <w:rFonts w:ascii="Times New Roman" w:eastAsia="Calibri" w:hAnsi="Times New Roman" w:cs="Times New Roman"/>
          <w:b/>
          <w:bCs/>
          <w:sz w:val="24"/>
          <w:szCs w:val="24"/>
          <w:lang w:eastAsia="lv-LV"/>
        </w:rPr>
        <w:t>9180*</w:t>
      </w:r>
      <w:r w:rsidRPr="00A07F29">
        <w:rPr>
          <w:rFonts w:ascii="Times New Roman" w:eastAsia="Calibri" w:hAnsi="Times New Roman" w:cs="Times New Roman"/>
          <w:b/>
          <w:bCs/>
          <w:i/>
          <w:iCs/>
          <w:sz w:val="24"/>
          <w:szCs w:val="24"/>
          <w:lang w:eastAsia="lv-LV"/>
        </w:rPr>
        <w:t xml:space="preserve"> Nogāžu un gravu meži</w:t>
      </w:r>
    </w:p>
    <w:p w14:paraId="412FE530" w14:textId="56175146" w:rsidR="00D9289D" w:rsidRPr="00A07F29" w:rsidRDefault="00D9289D" w:rsidP="00BD4F54">
      <w:pPr>
        <w:spacing w:after="120" w:line="240" w:lineRule="auto"/>
        <w:ind w:firstLine="851"/>
        <w:jc w:val="both"/>
        <w:outlineLvl w:val="3"/>
        <w:rPr>
          <w:rFonts w:ascii="Times New Roman" w:eastAsia="Calibri" w:hAnsi="Times New Roman" w:cs="Times New Roman"/>
          <w:color w:val="000000" w:themeColor="text1"/>
          <w:sz w:val="24"/>
          <w:szCs w:val="24"/>
          <w:lang w:eastAsia="lv-LV"/>
        </w:rPr>
      </w:pPr>
      <w:r w:rsidRPr="008C1E41">
        <w:rPr>
          <w:rFonts w:ascii="Times New Roman" w:eastAsia="Calibri" w:hAnsi="Times New Roman" w:cs="Times New Roman"/>
          <w:color w:val="000000" w:themeColor="text1"/>
          <w:sz w:val="24"/>
          <w:szCs w:val="24"/>
          <w:lang w:eastAsia="lv-LV"/>
        </w:rPr>
        <w:t>Biotops</w:t>
      </w:r>
      <w:r w:rsidRPr="00A07F29">
        <w:rPr>
          <w:rFonts w:ascii="Times New Roman" w:eastAsia="Calibri" w:hAnsi="Times New Roman" w:cs="Times New Roman"/>
          <w:color w:val="000000" w:themeColor="text1"/>
          <w:sz w:val="24"/>
          <w:szCs w:val="24"/>
          <w:lang w:eastAsia="lv-LV"/>
        </w:rPr>
        <w:t xml:space="preserve"> 9180*</w:t>
      </w:r>
      <w:r w:rsidR="008C1E41">
        <w:rPr>
          <w:rFonts w:ascii="Times New Roman" w:eastAsia="Calibri" w:hAnsi="Times New Roman" w:cs="Times New Roman"/>
          <w:color w:val="000000" w:themeColor="text1"/>
          <w:sz w:val="24"/>
          <w:szCs w:val="24"/>
          <w:lang w:eastAsia="lv-LV"/>
        </w:rPr>
        <w:t> </w:t>
      </w:r>
      <w:r w:rsidRPr="00A07F29">
        <w:rPr>
          <w:rFonts w:ascii="Times New Roman" w:eastAsia="Calibri" w:hAnsi="Times New Roman" w:cs="Times New Roman"/>
          <w:i/>
          <w:color w:val="000000" w:themeColor="text1"/>
          <w:sz w:val="24"/>
          <w:szCs w:val="24"/>
          <w:lang w:eastAsia="lv-LV"/>
        </w:rPr>
        <w:t>Nogāžu un gravu meži</w:t>
      </w:r>
      <w:r w:rsidRPr="00A07F29">
        <w:rPr>
          <w:rFonts w:ascii="Times New Roman" w:eastAsia="Calibri" w:hAnsi="Times New Roman" w:cs="Times New Roman"/>
          <w:color w:val="000000" w:themeColor="text1"/>
          <w:sz w:val="24"/>
          <w:szCs w:val="24"/>
          <w:lang w:eastAsia="lv-LV"/>
        </w:rPr>
        <w:t xml:space="preserve"> aizņem </w:t>
      </w:r>
      <w:r w:rsidRPr="00A07F29">
        <w:rPr>
          <w:rFonts w:ascii="Times New Roman" w:hAnsi="Times New Roman" w:cs="Times New Roman"/>
          <w:sz w:val="24"/>
          <w:szCs w:val="24"/>
        </w:rPr>
        <w:t>56,05 </w:t>
      </w:r>
      <w:r w:rsidRPr="00A07F29">
        <w:rPr>
          <w:rFonts w:ascii="Cambria Math" w:hAnsi="Cambria Math" w:cs="Cambria Math"/>
          <w:sz w:val="24"/>
          <w:szCs w:val="24"/>
        </w:rPr>
        <w:t>‐</w:t>
      </w:r>
      <w:r w:rsidR="008E6AE6">
        <w:rPr>
          <w:rFonts w:ascii="Cambria Math" w:hAnsi="Cambria Math" w:cs="Cambria Math"/>
          <w:sz w:val="24"/>
          <w:szCs w:val="24"/>
        </w:rPr>
        <w:t> </w:t>
      </w:r>
      <w:r w:rsidRPr="00A07F29">
        <w:rPr>
          <w:rFonts w:ascii="Times New Roman" w:hAnsi="Times New Roman" w:cs="Times New Roman"/>
          <w:sz w:val="24"/>
          <w:szCs w:val="24"/>
        </w:rPr>
        <w:t>65,0</w:t>
      </w:r>
      <w:r w:rsidR="008C1E41">
        <w:rPr>
          <w:rFonts w:ascii="Times New Roman" w:eastAsia="Calibri" w:hAnsi="Times New Roman" w:cs="Times New Roman"/>
          <w:color w:val="000000" w:themeColor="text1"/>
          <w:sz w:val="24"/>
          <w:szCs w:val="24"/>
          <w:lang w:eastAsia="lv-LV"/>
        </w:rPr>
        <w:t> </w:t>
      </w:r>
      <w:r w:rsidRPr="00A07F29">
        <w:rPr>
          <w:rFonts w:ascii="Times New Roman" w:eastAsia="Calibri" w:hAnsi="Times New Roman" w:cs="Times New Roman"/>
          <w:color w:val="000000" w:themeColor="text1"/>
          <w:sz w:val="24"/>
          <w:szCs w:val="24"/>
          <w:lang w:eastAsia="lv-LV"/>
        </w:rPr>
        <w:t>km</w:t>
      </w:r>
      <w:r w:rsidRPr="00A07F29">
        <w:rPr>
          <w:rFonts w:ascii="Times New Roman" w:eastAsia="Calibri" w:hAnsi="Times New Roman" w:cs="Times New Roman"/>
          <w:color w:val="000000" w:themeColor="text1"/>
          <w:sz w:val="24"/>
          <w:szCs w:val="24"/>
          <w:vertAlign w:val="superscript"/>
          <w:lang w:eastAsia="lv-LV"/>
        </w:rPr>
        <w:t>2</w:t>
      </w:r>
      <w:r w:rsidRPr="00A07F29">
        <w:rPr>
          <w:rFonts w:ascii="Times New Roman" w:eastAsia="Calibri" w:hAnsi="Times New Roman" w:cs="Times New Roman"/>
          <w:color w:val="000000" w:themeColor="text1"/>
          <w:sz w:val="24"/>
          <w:szCs w:val="24"/>
          <w:lang w:eastAsia="lv-LV"/>
        </w:rPr>
        <w:t xml:space="preserve"> no Latvijas teritorijas (</w:t>
      </w:r>
      <w:proofErr w:type="spellStart"/>
      <w:r w:rsidRPr="00A07F29">
        <w:rPr>
          <w:rFonts w:ascii="Times New Roman" w:eastAsia="Calibri" w:hAnsi="Times New Roman" w:cs="Times New Roman"/>
          <w:color w:val="000000" w:themeColor="text1"/>
          <w:sz w:val="24"/>
          <w:szCs w:val="24"/>
          <w:lang w:eastAsia="lv-LV"/>
        </w:rPr>
        <w:t>Conservation</w:t>
      </w:r>
      <w:proofErr w:type="spellEnd"/>
      <w:r w:rsidRPr="00A07F29">
        <w:rPr>
          <w:rFonts w:ascii="Times New Roman" w:eastAsia="Calibri" w:hAnsi="Times New Roman" w:cs="Times New Roman"/>
          <w:color w:val="000000" w:themeColor="text1"/>
          <w:sz w:val="24"/>
          <w:szCs w:val="24"/>
          <w:lang w:eastAsia="lv-LV"/>
        </w:rPr>
        <w:t xml:space="preserve"> </w:t>
      </w:r>
      <w:r w:rsidR="008E6AE6">
        <w:rPr>
          <w:rFonts w:ascii="Times New Roman" w:eastAsia="Calibri" w:hAnsi="Times New Roman" w:cs="Times New Roman"/>
          <w:color w:val="000000" w:themeColor="text1"/>
          <w:sz w:val="24"/>
          <w:szCs w:val="24"/>
          <w:lang w:eastAsia="lv-LV"/>
        </w:rPr>
        <w:t>S</w:t>
      </w:r>
      <w:r w:rsidRPr="00A07F29">
        <w:rPr>
          <w:rFonts w:ascii="Times New Roman" w:eastAsia="Calibri" w:hAnsi="Times New Roman" w:cs="Times New Roman"/>
          <w:color w:val="000000" w:themeColor="text1"/>
          <w:sz w:val="24"/>
          <w:szCs w:val="24"/>
          <w:lang w:eastAsia="lv-LV"/>
        </w:rPr>
        <w:t xml:space="preserve">tatus </w:t>
      </w:r>
      <w:proofErr w:type="spellStart"/>
      <w:r w:rsidRPr="00A07F29">
        <w:rPr>
          <w:rFonts w:ascii="Times New Roman" w:eastAsia="Calibri" w:hAnsi="Times New Roman" w:cs="Times New Roman"/>
          <w:color w:val="000000" w:themeColor="text1"/>
          <w:sz w:val="24"/>
          <w:szCs w:val="24"/>
          <w:lang w:eastAsia="lv-LV"/>
        </w:rPr>
        <w:t>of</w:t>
      </w:r>
      <w:proofErr w:type="spellEnd"/>
      <w:r w:rsidRPr="00A07F29">
        <w:rPr>
          <w:rFonts w:ascii="Times New Roman" w:eastAsia="Calibri" w:hAnsi="Times New Roman" w:cs="Times New Roman"/>
          <w:color w:val="000000" w:themeColor="text1"/>
          <w:sz w:val="24"/>
          <w:szCs w:val="24"/>
          <w:lang w:eastAsia="lv-LV"/>
        </w:rPr>
        <w:t xml:space="preserve">..., 2019). Nozīmīgs biotops reto sugu populācijām, īpaši mitrumu un bagātas augsnes mīlošām augu sugām, kā arī </w:t>
      </w:r>
      <w:proofErr w:type="spellStart"/>
      <w:r w:rsidRPr="00A07F29">
        <w:rPr>
          <w:rFonts w:ascii="Times New Roman" w:eastAsia="Calibri" w:hAnsi="Times New Roman" w:cs="Times New Roman"/>
          <w:color w:val="000000" w:themeColor="text1"/>
          <w:sz w:val="24"/>
          <w:szCs w:val="24"/>
          <w:lang w:eastAsia="lv-LV"/>
        </w:rPr>
        <w:t>epifītiskām</w:t>
      </w:r>
      <w:proofErr w:type="spellEnd"/>
      <w:r w:rsidRPr="00A07F29">
        <w:rPr>
          <w:rFonts w:ascii="Times New Roman" w:eastAsia="Calibri" w:hAnsi="Times New Roman" w:cs="Times New Roman"/>
          <w:color w:val="000000" w:themeColor="text1"/>
          <w:sz w:val="24"/>
          <w:szCs w:val="24"/>
          <w:lang w:eastAsia="lv-LV"/>
        </w:rPr>
        <w:t xml:space="preserve"> sūnu, ķērpju sugām un gliemjiem (Lārmanis</w:t>
      </w:r>
      <w:r w:rsidR="001B46DC">
        <w:rPr>
          <w:rFonts w:ascii="Times New Roman" w:eastAsia="Calibri" w:hAnsi="Times New Roman" w:cs="Times New Roman"/>
          <w:color w:val="000000" w:themeColor="text1"/>
          <w:sz w:val="24"/>
          <w:szCs w:val="24"/>
          <w:lang w:eastAsia="lv-LV"/>
        </w:rPr>
        <w:t xml:space="preserve"> V.</w:t>
      </w:r>
      <w:r w:rsidRPr="00A07F29">
        <w:rPr>
          <w:rFonts w:ascii="Times New Roman" w:eastAsia="Calibri" w:hAnsi="Times New Roman" w:cs="Times New Roman"/>
          <w:color w:val="000000" w:themeColor="text1"/>
          <w:sz w:val="24"/>
          <w:szCs w:val="24"/>
          <w:lang w:eastAsia="lv-LV"/>
        </w:rPr>
        <w:t xml:space="preserve"> </w:t>
      </w:r>
      <w:proofErr w:type="spellStart"/>
      <w:r w:rsidRPr="00A07F29">
        <w:rPr>
          <w:rFonts w:ascii="Times New Roman" w:eastAsia="Calibri" w:hAnsi="Times New Roman" w:cs="Times New Roman"/>
          <w:color w:val="000000" w:themeColor="text1"/>
          <w:sz w:val="24"/>
          <w:szCs w:val="24"/>
          <w:lang w:eastAsia="lv-LV"/>
        </w:rPr>
        <w:t>et</w:t>
      </w:r>
      <w:proofErr w:type="spellEnd"/>
      <w:r w:rsidRPr="00A07F29">
        <w:rPr>
          <w:rFonts w:ascii="Times New Roman" w:eastAsia="Calibri" w:hAnsi="Times New Roman" w:cs="Times New Roman"/>
          <w:color w:val="000000" w:themeColor="text1"/>
          <w:sz w:val="24"/>
          <w:szCs w:val="24"/>
          <w:lang w:eastAsia="lv-LV"/>
        </w:rPr>
        <w:t xml:space="preserve"> </w:t>
      </w:r>
      <w:proofErr w:type="spellStart"/>
      <w:r w:rsidRPr="00A07F29">
        <w:rPr>
          <w:rFonts w:ascii="Times New Roman" w:eastAsia="Calibri" w:hAnsi="Times New Roman" w:cs="Times New Roman"/>
          <w:color w:val="000000" w:themeColor="text1"/>
          <w:sz w:val="24"/>
          <w:szCs w:val="24"/>
          <w:lang w:eastAsia="lv-LV"/>
        </w:rPr>
        <w:t>a</w:t>
      </w:r>
      <w:r w:rsidR="003E5A0C">
        <w:rPr>
          <w:rFonts w:ascii="Times New Roman" w:eastAsia="Calibri" w:hAnsi="Times New Roman" w:cs="Times New Roman"/>
          <w:color w:val="000000" w:themeColor="text1"/>
          <w:sz w:val="24"/>
          <w:szCs w:val="24"/>
          <w:lang w:eastAsia="lv-LV"/>
        </w:rPr>
        <w:t>l</w:t>
      </w:r>
      <w:proofErr w:type="spellEnd"/>
      <w:r w:rsidRPr="00A07F29">
        <w:rPr>
          <w:rFonts w:ascii="Times New Roman" w:eastAsia="Calibri" w:hAnsi="Times New Roman" w:cs="Times New Roman"/>
          <w:color w:val="000000" w:themeColor="text1"/>
          <w:sz w:val="24"/>
          <w:szCs w:val="24"/>
          <w:lang w:eastAsia="lv-LV"/>
        </w:rPr>
        <w:t xml:space="preserve">, 2000; Mežaka </w:t>
      </w:r>
      <w:r w:rsidR="0068792D">
        <w:rPr>
          <w:rFonts w:ascii="Times New Roman" w:eastAsia="Calibri" w:hAnsi="Times New Roman" w:cs="Times New Roman"/>
          <w:color w:val="000000" w:themeColor="text1"/>
          <w:sz w:val="24"/>
          <w:szCs w:val="24"/>
          <w:lang w:eastAsia="lv-LV"/>
        </w:rPr>
        <w:t xml:space="preserve">A., </w:t>
      </w:r>
      <w:proofErr w:type="spellStart"/>
      <w:r w:rsidRPr="00A07F29">
        <w:rPr>
          <w:rFonts w:ascii="Times New Roman" w:eastAsia="Calibri" w:hAnsi="Times New Roman" w:cs="Times New Roman"/>
          <w:color w:val="000000" w:themeColor="text1"/>
          <w:sz w:val="24"/>
          <w:szCs w:val="24"/>
          <w:lang w:eastAsia="lv-LV"/>
        </w:rPr>
        <w:t>et</w:t>
      </w:r>
      <w:proofErr w:type="spellEnd"/>
      <w:r w:rsidRPr="00A07F29">
        <w:rPr>
          <w:rFonts w:ascii="Times New Roman" w:eastAsia="Calibri" w:hAnsi="Times New Roman" w:cs="Times New Roman"/>
          <w:color w:val="000000" w:themeColor="text1"/>
          <w:sz w:val="24"/>
          <w:szCs w:val="24"/>
          <w:lang w:eastAsia="lv-LV"/>
        </w:rPr>
        <w:t xml:space="preserve"> </w:t>
      </w:r>
      <w:proofErr w:type="spellStart"/>
      <w:r w:rsidRPr="00A07F29">
        <w:rPr>
          <w:rFonts w:ascii="Times New Roman" w:eastAsia="Calibri" w:hAnsi="Times New Roman" w:cs="Times New Roman"/>
          <w:color w:val="000000" w:themeColor="text1"/>
          <w:sz w:val="24"/>
          <w:szCs w:val="24"/>
          <w:lang w:eastAsia="lv-LV"/>
        </w:rPr>
        <w:t>a</w:t>
      </w:r>
      <w:r w:rsidR="00A97D2A" w:rsidRPr="00A07F29">
        <w:rPr>
          <w:rFonts w:ascii="Times New Roman" w:eastAsia="Calibri" w:hAnsi="Times New Roman" w:cs="Times New Roman"/>
          <w:color w:val="000000" w:themeColor="text1"/>
          <w:sz w:val="24"/>
          <w:szCs w:val="24"/>
          <w:lang w:eastAsia="lv-LV"/>
        </w:rPr>
        <w:t>l</w:t>
      </w:r>
      <w:proofErr w:type="spellEnd"/>
      <w:r w:rsidRPr="00A07F29">
        <w:rPr>
          <w:rFonts w:ascii="Times New Roman" w:eastAsia="Calibri" w:hAnsi="Times New Roman" w:cs="Times New Roman"/>
          <w:color w:val="000000" w:themeColor="text1"/>
          <w:sz w:val="24"/>
          <w:szCs w:val="24"/>
          <w:lang w:eastAsia="lv-LV"/>
        </w:rPr>
        <w:t>, 2005; Mežaka</w:t>
      </w:r>
      <w:r w:rsidR="002D3061">
        <w:rPr>
          <w:rFonts w:ascii="Times New Roman" w:eastAsia="Calibri" w:hAnsi="Times New Roman" w:cs="Times New Roman"/>
          <w:color w:val="000000" w:themeColor="text1"/>
          <w:sz w:val="24"/>
          <w:szCs w:val="24"/>
          <w:lang w:eastAsia="lv-LV"/>
        </w:rPr>
        <w:t xml:space="preserve"> A.</w:t>
      </w:r>
      <w:r w:rsidRPr="00A07F29">
        <w:rPr>
          <w:rFonts w:ascii="Times New Roman" w:eastAsia="Calibri" w:hAnsi="Times New Roman" w:cs="Times New Roman"/>
          <w:color w:val="000000" w:themeColor="text1"/>
          <w:sz w:val="24"/>
          <w:szCs w:val="24"/>
          <w:lang w:eastAsia="lv-LV"/>
        </w:rPr>
        <w:t>, Znotiņa</w:t>
      </w:r>
      <w:r w:rsidR="002D3061">
        <w:rPr>
          <w:rFonts w:ascii="Times New Roman" w:eastAsia="Calibri" w:hAnsi="Times New Roman" w:cs="Times New Roman"/>
          <w:color w:val="000000" w:themeColor="text1"/>
          <w:sz w:val="24"/>
          <w:szCs w:val="24"/>
          <w:lang w:eastAsia="lv-LV"/>
        </w:rPr>
        <w:t xml:space="preserve"> V.</w:t>
      </w:r>
      <w:r w:rsidRPr="00A07F29">
        <w:rPr>
          <w:rFonts w:ascii="Times New Roman" w:eastAsia="Calibri" w:hAnsi="Times New Roman" w:cs="Times New Roman"/>
          <w:color w:val="000000" w:themeColor="text1"/>
          <w:sz w:val="24"/>
          <w:szCs w:val="24"/>
          <w:lang w:eastAsia="lv-LV"/>
        </w:rPr>
        <w:t>, 2006).</w:t>
      </w:r>
    </w:p>
    <w:p w14:paraId="36A93B9C" w14:textId="5FB4B3DA" w:rsidR="00D9289D" w:rsidRPr="00A07F29" w:rsidRDefault="00D9289D" w:rsidP="00BD4F54">
      <w:pPr>
        <w:spacing w:after="120" w:line="240" w:lineRule="auto"/>
        <w:ind w:firstLine="851"/>
        <w:jc w:val="both"/>
        <w:outlineLvl w:val="3"/>
        <w:rPr>
          <w:rFonts w:ascii="Times New Roman" w:eastAsia="Calibri" w:hAnsi="Times New Roman" w:cs="Times New Roman"/>
          <w:bCs/>
          <w:i/>
          <w:iCs/>
          <w:sz w:val="24"/>
          <w:szCs w:val="24"/>
          <w:lang w:eastAsia="lv-LV"/>
        </w:rPr>
      </w:pPr>
      <w:r w:rsidRPr="00A07F29">
        <w:rPr>
          <w:rFonts w:ascii="Times New Roman" w:eastAsia="Calibri" w:hAnsi="Times New Roman" w:cs="Times New Roman"/>
          <w:color w:val="000000" w:themeColor="text1"/>
          <w:sz w:val="24"/>
          <w:szCs w:val="24"/>
          <w:lang w:eastAsia="lv-LV"/>
        </w:rPr>
        <w:lastRenderedPageBreak/>
        <w:t xml:space="preserve">AAA “Augšdaugava” šis biotops apzināts </w:t>
      </w:r>
      <w:r w:rsidR="00983FDA" w:rsidRPr="00A07F29">
        <w:rPr>
          <w:rFonts w:ascii="Times New Roman" w:eastAsia="Calibri" w:hAnsi="Times New Roman" w:cs="Times New Roman"/>
          <w:color w:val="000000" w:themeColor="text1"/>
          <w:sz w:val="24"/>
          <w:szCs w:val="24"/>
          <w:lang w:eastAsia="lv-LV"/>
        </w:rPr>
        <w:t>239,60</w:t>
      </w:r>
      <w:r w:rsidR="00936528">
        <w:rPr>
          <w:rFonts w:ascii="Times New Roman" w:eastAsia="Calibri" w:hAnsi="Times New Roman" w:cs="Times New Roman"/>
          <w:color w:val="000000" w:themeColor="text1"/>
          <w:sz w:val="24"/>
          <w:szCs w:val="24"/>
          <w:lang w:eastAsia="lv-LV"/>
        </w:rPr>
        <w:t> </w:t>
      </w:r>
      <w:r w:rsidRPr="00A07F29">
        <w:rPr>
          <w:rFonts w:ascii="Times New Roman" w:eastAsia="Calibri" w:hAnsi="Times New Roman" w:cs="Times New Roman"/>
          <w:color w:val="000000" w:themeColor="text1"/>
          <w:sz w:val="24"/>
          <w:szCs w:val="24"/>
          <w:lang w:eastAsia="lv-LV"/>
        </w:rPr>
        <w:t xml:space="preserve">ha lielā platībā. </w:t>
      </w:r>
      <w:r w:rsidRPr="00A07F29">
        <w:rPr>
          <w:rFonts w:ascii="Times New Roman" w:eastAsia="Calibri" w:hAnsi="Times New Roman" w:cs="Times New Roman"/>
          <w:color w:val="000000" w:themeColor="text1"/>
          <w:sz w:val="24"/>
          <w:szCs w:val="24"/>
        </w:rPr>
        <w:t>DMB ar labu kvalitāti konstatēti 113,96</w:t>
      </w:r>
      <w:r w:rsidR="00936528">
        <w:rPr>
          <w:rFonts w:ascii="Times New Roman" w:eastAsia="Calibri" w:hAnsi="Times New Roman" w:cs="Times New Roman"/>
          <w:color w:val="000000" w:themeColor="text1"/>
          <w:sz w:val="24"/>
          <w:szCs w:val="24"/>
        </w:rPr>
        <w:t> </w:t>
      </w:r>
      <w:r w:rsidRPr="00A07F29">
        <w:rPr>
          <w:rFonts w:ascii="Times New Roman" w:eastAsia="Calibri" w:hAnsi="Times New Roman" w:cs="Times New Roman"/>
          <w:color w:val="000000" w:themeColor="text1"/>
          <w:sz w:val="24"/>
          <w:szCs w:val="24"/>
        </w:rPr>
        <w:t>ha, bet ar izcilu kvalitāti 29,97</w:t>
      </w:r>
      <w:r w:rsidR="00936528">
        <w:rPr>
          <w:rFonts w:ascii="Times New Roman" w:eastAsia="Calibri" w:hAnsi="Times New Roman" w:cs="Times New Roman"/>
          <w:color w:val="000000" w:themeColor="text1"/>
          <w:sz w:val="24"/>
          <w:szCs w:val="24"/>
        </w:rPr>
        <w:t> </w:t>
      </w:r>
      <w:r w:rsidRPr="00A07F29">
        <w:rPr>
          <w:rFonts w:ascii="Times New Roman" w:eastAsia="Calibri" w:hAnsi="Times New Roman" w:cs="Times New Roman"/>
          <w:color w:val="000000" w:themeColor="text1"/>
          <w:sz w:val="24"/>
          <w:szCs w:val="24"/>
        </w:rPr>
        <w:t xml:space="preserve">ha. No nokartētajiem biotopiem </w:t>
      </w:r>
      <w:r w:rsidRPr="00A07F29">
        <w:rPr>
          <w:rFonts w:ascii="Times New Roman" w:eastAsia="Calibri" w:hAnsi="Times New Roman" w:cs="Times New Roman"/>
          <w:bCs/>
          <w:sz w:val="24"/>
          <w:szCs w:val="24"/>
          <w:lang w:eastAsia="lv-LV"/>
        </w:rPr>
        <w:t>9180*</w:t>
      </w:r>
      <w:r w:rsidR="00936528">
        <w:rPr>
          <w:rFonts w:ascii="Times New Roman" w:eastAsia="Calibri" w:hAnsi="Times New Roman" w:cs="Times New Roman"/>
          <w:bCs/>
          <w:sz w:val="24"/>
          <w:szCs w:val="24"/>
          <w:lang w:eastAsia="lv-LV"/>
        </w:rPr>
        <w:t> </w:t>
      </w:r>
      <w:r w:rsidRPr="00A07F29">
        <w:rPr>
          <w:rFonts w:ascii="Times New Roman" w:eastAsia="Calibri" w:hAnsi="Times New Roman" w:cs="Times New Roman"/>
          <w:bCs/>
          <w:i/>
          <w:iCs/>
          <w:sz w:val="24"/>
          <w:szCs w:val="24"/>
          <w:lang w:eastAsia="lv-LV"/>
        </w:rPr>
        <w:t>Nogāžu un gravu meži</w:t>
      </w:r>
      <w:r w:rsidRPr="00A07F29">
        <w:rPr>
          <w:rFonts w:ascii="Times New Roman" w:eastAsia="Calibri" w:hAnsi="Times New Roman" w:cs="Times New Roman"/>
          <w:i/>
          <w:iCs/>
          <w:color w:val="000000" w:themeColor="text1"/>
          <w:sz w:val="24"/>
          <w:szCs w:val="24"/>
        </w:rPr>
        <w:t xml:space="preserve"> </w:t>
      </w:r>
      <w:r w:rsidRPr="00A07F29">
        <w:rPr>
          <w:rFonts w:ascii="Times New Roman" w:eastAsia="Calibri" w:hAnsi="Times New Roman" w:cs="Times New Roman"/>
          <w:iCs/>
          <w:color w:val="000000" w:themeColor="text1"/>
          <w:sz w:val="24"/>
          <w:szCs w:val="24"/>
        </w:rPr>
        <w:t>143,93</w:t>
      </w:r>
      <w:r w:rsidR="000D44AB">
        <w:rPr>
          <w:rFonts w:ascii="Times New Roman" w:eastAsia="Calibri" w:hAnsi="Times New Roman" w:cs="Times New Roman"/>
          <w:iCs/>
          <w:color w:val="000000" w:themeColor="text1"/>
          <w:sz w:val="24"/>
          <w:szCs w:val="24"/>
        </w:rPr>
        <w:t> </w:t>
      </w:r>
      <w:r w:rsidRPr="00A07F29">
        <w:rPr>
          <w:rFonts w:ascii="Times New Roman" w:eastAsia="Calibri" w:hAnsi="Times New Roman" w:cs="Times New Roman"/>
          <w:iCs/>
          <w:color w:val="000000" w:themeColor="text1"/>
          <w:sz w:val="24"/>
          <w:szCs w:val="24"/>
        </w:rPr>
        <w:t xml:space="preserve">ha jeb </w:t>
      </w:r>
      <w:r w:rsidRPr="00A07F29">
        <w:rPr>
          <w:rFonts w:ascii="Times New Roman" w:eastAsia="Calibri" w:hAnsi="Times New Roman" w:cs="Times New Roman"/>
          <w:color w:val="000000" w:themeColor="text1"/>
          <w:sz w:val="24"/>
          <w:szCs w:val="24"/>
        </w:rPr>
        <w:t>63,36</w:t>
      </w:r>
      <w:r w:rsidR="000D44AB">
        <w:rPr>
          <w:rFonts w:ascii="Times New Roman" w:eastAsia="Calibri" w:hAnsi="Times New Roman" w:cs="Times New Roman"/>
          <w:color w:val="000000" w:themeColor="text1"/>
          <w:sz w:val="24"/>
          <w:szCs w:val="24"/>
        </w:rPr>
        <w:t> </w:t>
      </w:r>
      <w:r w:rsidRPr="00A07F29">
        <w:rPr>
          <w:rFonts w:ascii="Times New Roman" w:eastAsia="Calibri" w:hAnsi="Times New Roman" w:cs="Times New Roman"/>
          <w:color w:val="000000" w:themeColor="text1"/>
          <w:sz w:val="24"/>
          <w:szCs w:val="24"/>
        </w:rPr>
        <w:t xml:space="preserve">% ir DMB. </w:t>
      </w:r>
      <w:r w:rsidRPr="00A07F29">
        <w:rPr>
          <w:rFonts w:ascii="Times New Roman" w:eastAsia="Calibri" w:hAnsi="Times New Roman" w:cs="Times New Roman"/>
          <w:bCs/>
          <w:sz w:val="24"/>
          <w:szCs w:val="24"/>
          <w:lang w:eastAsia="lv-LV"/>
        </w:rPr>
        <w:t>9180*</w:t>
      </w:r>
      <w:r w:rsidRPr="00A07F29">
        <w:rPr>
          <w:rFonts w:ascii="Times New Roman" w:eastAsia="Calibri" w:hAnsi="Times New Roman" w:cs="Times New Roman"/>
          <w:bCs/>
          <w:i/>
          <w:iCs/>
          <w:sz w:val="24"/>
          <w:szCs w:val="24"/>
          <w:lang w:eastAsia="lv-LV"/>
        </w:rPr>
        <w:t xml:space="preserve"> Nogāžu un gravu meži, </w:t>
      </w:r>
      <w:r w:rsidRPr="00A07F29">
        <w:rPr>
          <w:rFonts w:ascii="Times New Roman" w:eastAsia="Calibri" w:hAnsi="Times New Roman" w:cs="Times New Roman"/>
          <w:iCs/>
          <w:color w:val="000000" w:themeColor="text1"/>
          <w:sz w:val="24"/>
          <w:szCs w:val="24"/>
        </w:rPr>
        <w:t>kas atbilst DMB un ir ar izcilu kvalitāti</w:t>
      </w:r>
      <w:r w:rsidR="004C1A93" w:rsidRPr="00A07F29">
        <w:rPr>
          <w:rFonts w:ascii="Times New Roman" w:eastAsia="Calibri" w:hAnsi="Times New Roman" w:cs="Times New Roman"/>
          <w:iCs/>
          <w:color w:val="000000" w:themeColor="text1"/>
          <w:sz w:val="24"/>
          <w:szCs w:val="24"/>
        </w:rPr>
        <w:t>,</w:t>
      </w:r>
      <w:r w:rsidRPr="00A07F29">
        <w:rPr>
          <w:rFonts w:ascii="Times New Roman" w:eastAsia="Calibri" w:hAnsi="Times New Roman" w:cs="Times New Roman"/>
          <w:i/>
          <w:iCs/>
          <w:color w:val="000000" w:themeColor="text1"/>
          <w:sz w:val="24"/>
          <w:szCs w:val="24"/>
        </w:rPr>
        <w:t xml:space="preserve"> </w:t>
      </w:r>
      <w:r w:rsidRPr="00A07F29">
        <w:rPr>
          <w:rFonts w:ascii="Times New Roman" w:eastAsia="Calibri" w:hAnsi="Times New Roman" w:cs="Times New Roman"/>
          <w:iCs/>
          <w:color w:val="000000" w:themeColor="text1"/>
          <w:sz w:val="24"/>
          <w:szCs w:val="24"/>
        </w:rPr>
        <w:t xml:space="preserve">atbilst Latvijas </w:t>
      </w:r>
      <w:r w:rsidR="00533C8E">
        <w:rPr>
          <w:rFonts w:ascii="Times New Roman" w:eastAsia="Calibri" w:hAnsi="Times New Roman" w:cs="Times New Roman"/>
          <w:iCs/>
          <w:color w:val="000000" w:themeColor="text1"/>
          <w:sz w:val="24"/>
          <w:szCs w:val="24"/>
        </w:rPr>
        <w:t>īpaši aizsargājamam</w:t>
      </w:r>
      <w:r w:rsidRPr="00A07F29">
        <w:rPr>
          <w:rFonts w:ascii="Times New Roman" w:eastAsia="Calibri" w:hAnsi="Times New Roman" w:cs="Times New Roman"/>
          <w:iCs/>
          <w:color w:val="000000" w:themeColor="text1"/>
          <w:sz w:val="24"/>
          <w:szCs w:val="24"/>
        </w:rPr>
        <w:t xml:space="preserve"> biotopam</w:t>
      </w:r>
      <w:r w:rsidRPr="00A07F29">
        <w:rPr>
          <w:rFonts w:ascii="Times New Roman" w:eastAsia="Calibri" w:hAnsi="Times New Roman" w:cs="Times New Roman"/>
          <w:i/>
          <w:iCs/>
          <w:color w:val="000000" w:themeColor="text1"/>
          <w:sz w:val="24"/>
          <w:szCs w:val="24"/>
        </w:rPr>
        <w:t xml:space="preserve"> 1.6.</w:t>
      </w:r>
      <w:r w:rsidR="00090B30">
        <w:t> </w:t>
      </w:r>
      <w:r w:rsidRPr="00A07F29">
        <w:rPr>
          <w:rFonts w:ascii="Times New Roman" w:eastAsia="Calibri" w:hAnsi="Times New Roman" w:cs="Times New Roman"/>
          <w:i/>
          <w:iCs/>
          <w:color w:val="000000" w:themeColor="text1"/>
          <w:sz w:val="24"/>
          <w:szCs w:val="24"/>
        </w:rPr>
        <w:t>Nogāžu un gravu meži.</w:t>
      </w:r>
    </w:p>
    <w:p w14:paraId="1578F3E1" w14:textId="126D28C7" w:rsidR="002B1603" w:rsidRPr="00A07F29" w:rsidRDefault="002B1603" w:rsidP="00D9289D">
      <w:pPr>
        <w:spacing w:after="120" w:line="240" w:lineRule="auto"/>
        <w:ind w:firstLine="851"/>
        <w:jc w:val="both"/>
        <w:rPr>
          <w:rFonts w:ascii="Times New Roman" w:eastAsia="Calibri" w:hAnsi="Times New Roman" w:cs="Times New Roman"/>
          <w:color w:val="000000"/>
          <w:sz w:val="24"/>
          <w:szCs w:val="24"/>
          <w:lang w:eastAsia="lv-LV"/>
        </w:rPr>
      </w:pPr>
      <w:r w:rsidRPr="00A07F29">
        <w:rPr>
          <w:rFonts w:ascii="Times New Roman" w:eastAsia="Calibri" w:hAnsi="Times New Roman" w:cs="Times New Roman"/>
          <w:color w:val="000000"/>
          <w:sz w:val="24"/>
          <w:szCs w:val="24"/>
          <w:lang w:eastAsia="lv-LV"/>
        </w:rPr>
        <w:t xml:space="preserve">Šie meži izvietojušies stāvajās Daugavas ielejas </w:t>
      </w:r>
      <w:proofErr w:type="spellStart"/>
      <w:r w:rsidRPr="00A07F29">
        <w:rPr>
          <w:rFonts w:ascii="Times New Roman" w:eastAsia="Calibri" w:hAnsi="Times New Roman" w:cs="Times New Roman"/>
          <w:color w:val="000000"/>
          <w:sz w:val="24"/>
          <w:szCs w:val="24"/>
          <w:lang w:eastAsia="lv-LV"/>
        </w:rPr>
        <w:t>senkrasta</w:t>
      </w:r>
      <w:proofErr w:type="spellEnd"/>
      <w:r w:rsidRPr="00A07F29">
        <w:rPr>
          <w:rFonts w:ascii="Times New Roman" w:eastAsia="Calibri" w:hAnsi="Times New Roman" w:cs="Times New Roman"/>
          <w:color w:val="000000"/>
          <w:sz w:val="24"/>
          <w:szCs w:val="24"/>
          <w:lang w:eastAsia="lv-LV"/>
        </w:rPr>
        <w:t xml:space="preserve"> nogāzēs, Daugavas pieteku ielejās un to sānu gravu nogāzēs. </w:t>
      </w:r>
      <w:r w:rsidRPr="00A07F29">
        <w:rPr>
          <w:rFonts w:ascii="Times New Roman" w:eastAsia="Calibri" w:hAnsi="Times New Roman" w:cs="Times New Roman"/>
          <w:sz w:val="24"/>
          <w:szCs w:val="24"/>
        </w:rPr>
        <w:t xml:space="preserve">AAA “Augšdaugava” biotopa </w:t>
      </w:r>
      <w:r w:rsidRPr="00A07F29">
        <w:rPr>
          <w:rFonts w:ascii="Times New Roman" w:eastAsia="Calibri" w:hAnsi="Times New Roman" w:cs="Times New Roman"/>
          <w:color w:val="000000" w:themeColor="text1"/>
          <w:sz w:val="24"/>
          <w:szCs w:val="24"/>
          <w:lang w:eastAsia="lv-LV"/>
        </w:rPr>
        <w:t>9180*</w:t>
      </w:r>
      <w:r w:rsidR="008B0606">
        <w:rPr>
          <w:rFonts w:ascii="Times New Roman" w:eastAsia="Calibri" w:hAnsi="Times New Roman" w:cs="Times New Roman"/>
          <w:color w:val="000000" w:themeColor="text1"/>
          <w:sz w:val="24"/>
          <w:szCs w:val="24"/>
          <w:lang w:eastAsia="lv-LV"/>
        </w:rPr>
        <w:t> </w:t>
      </w:r>
      <w:r w:rsidRPr="00A07F29">
        <w:rPr>
          <w:rFonts w:ascii="Times New Roman" w:eastAsia="Calibri" w:hAnsi="Times New Roman" w:cs="Times New Roman"/>
          <w:i/>
          <w:color w:val="000000" w:themeColor="text1"/>
          <w:sz w:val="24"/>
          <w:szCs w:val="24"/>
          <w:lang w:eastAsia="lv-LV"/>
        </w:rPr>
        <w:t>Nogāžu un gravu meži</w:t>
      </w:r>
      <w:r w:rsidRPr="00A07F29">
        <w:rPr>
          <w:rFonts w:ascii="Times New Roman" w:eastAsia="Calibri" w:hAnsi="Times New Roman" w:cs="Times New Roman"/>
          <w:sz w:val="24"/>
          <w:szCs w:val="24"/>
        </w:rPr>
        <w:t xml:space="preserve"> kvalitāte galvenokārt vērtēta kā laba un vidēja un atbilst PDMB un DMB kvalitātei. </w:t>
      </w:r>
      <w:r w:rsidRPr="00A07F29">
        <w:rPr>
          <w:rFonts w:ascii="Times New Roman" w:eastAsia="Calibri" w:hAnsi="Times New Roman" w:cs="Times New Roman"/>
          <w:color w:val="000000"/>
          <w:sz w:val="24"/>
          <w:szCs w:val="24"/>
          <w:lang w:eastAsia="lv-LV"/>
        </w:rPr>
        <w:t xml:space="preserve">Daudzās vietās, sevišķi privāto mežu teritorijās ap </w:t>
      </w:r>
      <w:proofErr w:type="spellStart"/>
      <w:r w:rsidRPr="00A07F29">
        <w:rPr>
          <w:rFonts w:ascii="Times New Roman" w:eastAsia="Calibri" w:hAnsi="Times New Roman" w:cs="Times New Roman"/>
          <w:color w:val="000000"/>
          <w:sz w:val="24"/>
          <w:szCs w:val="24"/>
          <w:lang w:eastAsia="lv-LV"/>
        </w:rPr>
        <w:t>Varnavičiem</w:t>
      </w:r>
      <w:proofErr w:type="spellEnd"/>
      <w:r w:rsidRPr="00A07F29">
        <w:rPr>
          <w:rFonts w:ascii="Times New Roman" w:eastAsia="Calibri" w:hAnsi="Times New Roman" w:cs="Times New Roman"/>
          <w:color w:val="000000"/>
          <w:sz w:val="24"/>
          <w:szCs w:val="24"/>
          <w:lang w:eastAsia="lv-LV"/>
        </w:rPr>
        <w:t xml:space="preserve"> un Kalniešiem gravu meži ir izcirsti un uz apsekošanas brīdi vairs neatbilst </w:t>
      </w:r>
      <w:r w:rsidRPr="00A07F29">
        <w:rPr>
          <w:rFonts w:ascii="Times New Roman" w:eastAsia="Calibri" w:hAnsi="Times New Roman" w:cs="Times New Roman"/>
          <w:color w:val="000000" w:themeColor="text1"/>
          <w:sz w:val="24"/>
          <w:szCs w:val="24"/>
          <w:lang w:eastAsia="lv-LV"/>
        </w:rPr>
        <w:t>9180*</w:t>
      </w:r>
      <w:r w:rsidR="006E6647">
        <w:rPr>
          <w:rFonts w:ascii="Times New Roman" w:eastAsia="Calibri" w:hAnsi="Times New Roman" w:cs="Times New Roman"/>
          <w:color w:val="000000" w:themeColor="text1"/>
          <w:sz w:val="24"/>
          <w:szCs w:val="24"/>
          <w:lang w:eastAsia="lv-LV"/>
        </w:rPr>
        <w:t> </w:t>
      </w:r>
      <w:r w:rsidRPr="00A07F29">
        <w:rPr>
          <w:rFonts w:ascii="Times New Roman" w:eastAsia="Calibri" w:hAnsi="Times New Roman" w:cs="Times New Roman"/>
          <w:i/>
          <w:color w:val="000000" w:themeColor="text1"/>
          <w:sz w:val="24"/>
          <w:szCs w:val="24"/>
          <w:lang w:eastAsia="lv-LV"/>
        </w:rPr>
        <w:t>Nogāžu un gravu meži</w:t>
      </w:r>
      <w:r w:rsidRPr="00A07F29">
        <w:rPr>
          <w:rFonts w:ascii="Times New Roman" w:eastAsia="Calibri" w:hAnsi="Times New Roman" w:cs="Times New Roman"/>
          <w:color w:val="000000"/>
          <w:sz w:val="24"/>
          <w:szCs w:val="24"/>
          <w:lang w:eastAsia="lv-LV"/>
        </w:rPr>
        <w:t xml:space="preserve"> biotopa minimālaj</w:t>
      </w:r>
      <w:r w:rsidR="006E6647">
        <w:rPr>
          <w:rFonts w:ascii="Times New Roman" w:eastAsia="Calibri" w:hAnsi="Times New Roman" w:cs="Times New Roman"/>
          <w:color w:val="000000"/>
          <w:sz w:val="24"/>
          <w:szCs w:val="24"/>
          <w:lang w:eastAsia="lv-LV"/>
        </w:rPr>
        <w:t>ā</w:t>
      </w:r>
      <w:r w:rsidRPr="00A07F29">
        <w:rPr>
          <w:rFonts w:ascii="Times New Roman" w:eastAsia="Calibri" w:hAnsi="Times New Roman" w:cs="Times New Roman"/>
          <w:color w:val="000000"/>
          <w:sz w:val="24"/>
          <w:szCs w:val="24"/>
          <w:lang w:eastAsia="lv-LV"/>
        </w:rPr>
        <w:t xml:space="preserve">m prasībām. Biotopa </w:t>
      </w:r>
      <w:r w:rsidRPr="00A07F29">
        <w:rPr>
          <w:rFonts w:ascii="Times New Roman" w:eastAsia="Calibri" w:hAnsi="Times New Roman" w:cs="Times New Roman"/>
          <w:color w:val="000000" w:themeColor="text1"/>
          <w:sz w:val="24"/>
          <w:szCs w:val="24"/>
          <w:lang w:eastAsia="lv-LV"/>
        </w:rPr>
        <w:t>9180*</w:t>
      </w:r>
      <w:r w:rsidR="00AD00FC">
        <w:rPr>
          <w:rFonts w:ascii="Times New Roman" w:eastAsia="Calibri" w:hAnsi="Times New Roman" w:cs="Times New Roman"/>
          <w:color w:val="000000" w:themeColor="text1"/>
          <w:sz w:val="24"/>
          <w:szCs w:val="24"/>
          <w:lang w:eastAsia="lv-LV"/>
        </w:rPr>
        <w:t> </w:t>
      </w:r>
      <w:r w:rsidRPr="00A07F29">
        <w:rPr>
          <w:rFonts w:ascii="Times New Roman" w:eastAsia="Calibri" w:hAnsi="Times New Roman" w:cs="Times New Roman"/>
          <w:i/>
          <w:color w:val="000000" w:themeColor="text1"/>
          <w:sz w:val="24"/>
          <w:szCs w:val="24"/>
          <w:lang w:eastAsia="lv-LV"/>
        </w:rPr>
        <w:t>Nogāžu un gravu</w:t>
      </w:r>
      <w:r w:rsidRPr="00A07F29">
        <w:rPr>
          <w:rFonts w:ascii="Times New Roman" w:eastAsia="Calibri" w:hAnsi="Times New Roman" w:cs="Times New Roman"/>
          <w:color w:val="000000"/>
          <w:sz w:val="24"/>
          <w:szCs w:val="24"/>
          <w:lang w:eastAsia="lv-LV"/>
        </w:rPr>
        <w:t xml:space="preserve"> </w:t>
      </w:r>
      <w:r w:rsidRPr="00A07F29">
        <w:rPr>
          <w:rFonts w:ascii="Times New Roman" w:eastAsia="Calibri" w:hAnsi="Times New Roman" w:cs="Times New Roman"/>
          <w:i/>
          <w:color w:val="000000"/>
          <w:sz w:val="24"/>
          <w:szCs w:val="24"/>
          <w:lang w:eastAsia="lv-LV"/>
        </w:rPr>
        <w:t>meži</w:t>
      </w:r>
      <w:r w:rsidRPr="00A07F29">
        <w:rPr>
          <w:rFonts w:ascii="Times New Roman" w:eastAsia="Calibri" w:hAnsi="Times New Roman" w:cs="Times New Roman"/>
          <w:color w:val="000000"/>
          <w:sz w:val="24"/>
          <w:szCs w:val="24"/>
          <w:lang w:eastAsia="lv-LV"/>
        </w:rPr>
        <w:t xml:space="preserve"> aizsardzības stāvoklis AAA kopumā vērtējams kā nelabvēlīgs – slikts, līdz šim iztrūkstošo aizsardzības pasākumu dēļ. </w:t>
      </w:r>
    </w:p>
    <w:p w14:paraId="6BD319E8" w14:textId="5168B2F3" w:rsidR="004C1A93" w:rsidRPr="00A07F29" w:rsidRDefault="002B1603" w:rsidP="00D9289D">
      <w:pPr>
        <w:spacing w:after="120" w:line="240" w:lineRule="auto"/>
        <w:ind w:firstLine="851"/>
        <w:jc w:val="both"/>
        <w:rPr>
          <w:rFonts w:ascii="Times New Roman" w:eastAsia="Calibri" w:hAnsi="Times New Roman" w:cs="Times New Roman"/>
          <w:color w:val="000000"/>
          <w:sz w:val="24"/>
          <w:szCs w:val="24"/>
          <w:lang w:eastAsia="lv-LV"/>
        </w:rPr>
      </w:pPr>
      <w:r w:rsidRPr="00A07F29">
        <w:rPr>
          <w:rFonts w:ascii="Times New Roman" w:eastAsia="Calibri" w:hAnsi="Times New Roman" w:cs="Times New Roman"/>
          <w:color w:val="000000"/>
          <w:sz w:val="24"/>
          <w:szCs w:val="24"/>
          <w:lang w:eastAsia="lv-LV"/>
        </w:rPr>
        <w:t xml:space="preserve">No retajām un </w:t>
      </w:r>
      <w:r w:rsidRPr="00533C8E">
        <w:rPr>
          <w:rFonts w:ascii="Times New Roman" w:eastAsia="Calibri" w:hAnsi="Times New Roman" w:cs="Times New Roman"/>
          <w:color w:val="000000"/>
          <w:sz w:val="24"/>
          <w:szCs w:val="24"/>
          <w:lang w:eastAsia="lv-LV"/>
        </w:rPr>
        <w:t>īpaši aizsargājamām</w:t>
      </w:r>
      <w:r w:rsidRPr="00A07F29">
        <w:rPr>
          <w:rFonts w:ascii="Times New Roman" w:eastAsia="Calibri" w:hAnsi="Times New Roman" w:cs="Times New Roman"/>
          <w:color w:val="000000"/>
          <w:sz w:val="24"/>
          <w:szCs w:val="24"/>
          <w:lang w:eastAsia="lv-LV"/>
        </w:rPr>
        <w:t xml:space="preserve"> </w:t>
      </w:r>
      <w:proofErr w:type="spellStart"/>
      <w:r w:rsidRPr="00A07F29">
        <w:rPr>
          <w:rFonts w:ascii="Times New Roman" w:eastAsia="Calibri" w:hAnsi="Times New Roman" w:cs="Times New Roman"/>
          <w:color w:val="000000"/>
          <w:sz w:val="24"/>
          <w:szCs w:val="24"/>
          <w:lang w:eastAsia="lv-LV"/>
        </w:rPr>
        <w:t>vaskulāro</w:t>
      </w:r>
      <w:proofErr w:type="spellEnd"/>
      <w:r w:rsidRPr="00A07F29">
        <w:rPr>
          <w:rFonts w:ascii="Times New Roman" w:eastAsia="Calibri" w:hAnsi="Times New Roman" w:cs="Times New Roman"/>
          <w:color w:val="000000"/>
          <w:sz w:val="24"/>
          <w:szCs w:val="24"/>
          <w:lang w:eastAsia="lv-LV"/>
        </w:rPr>
        <w:t xml:space="preserve"> augu sugām biotopā </w:t>
      </w:r>
      <w:r w:rsidRPr="00A07F29">
        <w:rPr>
          <w:rFonts w:ascii="Times New Roman" w:eastAsia="Calibri" w:hAnsi="Times New Roman" w:cs="Times New Roman"/>
          <w:color w:val="000000" w:themeColor="text1"/>
          <w:sz w:val="24"/>
          <w:szCs w:val="24"/>
          <w:lang w:eastAsia="lv-LV"/>
        </w:rPr>
        <w:t>9180*</w:t>
      </w:r>
      <w:r w:rsidR="00EE6328">
        <w:rPr>
          <w:rFonts w:ascii="Times New Roman" w:eastAsia="Calibri" w:hAnsi="Times New Roman" w:cs="Times New Roman"/>
          <w:color w:val="000000" w:themeColor="text1"/>
          <w:sz w:val="24"/>
          <w:szCs w:val="24"/>
          <w:lang w:eastAsia="lv-LV"/>
        </w:rPr>
        <w:t> </w:t>
      </w:r>
      <w:r w:rsidRPr="00A07F29">
        <w:rPr>
          <w:rFonts w:ascii="Times New Roman" w:eastAsia="Calibri" w:hAnsi="Times New Roman" w:cs="Times New Roman"/>
          <w:i/>
          <w:color w:val="000000" w:themeColor="text1"/>
          <w:sz w:val="24"/>
          <w:szCs w:val="24"/>
          <w:lang w:eastAsia="lv-LV"/>
        </w:rPr>
        <w:t>Nogāžu un gravu</w:t>
      </w:r>
      <w:r w:rsidRPr="00A07F29">
        <w:rPr>
          <w:rFonts w:ascii="Times New Roman" w:eastAsia="Calibri" w:hAnsi="Times New Roman" w:cs="Times New Roman"/>
          <w:color w:val="000000"/>
          <w:sz w:val="24"/>
          <w:szCs w:val="24"/>
          <w:lang w:eastAsia="lv-LV"/>
        </w:rPr>
        <w:t xml:space="preserve"> </w:t>
      </w:r>
      <w:r w:rsidRPr="00A07F29">
        <w:rPr>
          <w:rFonts w:ascii="Times New Roman" w:eastAsia="Calibri" w:hAnsi="Times New Roman" w:cs="Times New Roman"/>
          <w:i/>
          <w:color w:val="000000"/>
          <w:sz w:val="24"/>
          <w:szCs w:val="24"/>
          <w:lang w:eastAsia="lv-LV"/>
        </w:rPr>
        <w:t>meži</w:t>
      </w:r>
      <w:r w:rsidRPr="00A07F29">
        <w:rPr>
          <w:rFonts w:ascii="Times New Roman" w:eastAsia="Calibri" w:hAnsi="Times New Roman" w:cs="Times New Roman"/>
          <w:color w:val="000000"/>
          <w:sz w:val="24"/>
          <w:szCs w:val="24"/>
          <w:lang w:eastAsia="lv-LV"/>
        </w:rPr>
        <w:t xml:space="preserve"> konstatēta kārpainais segliņš </w:t>
      </w:r>
      <w:proofErr w:type="spellStart"/>
      <w:r w:rsidRPr="00A07F29">
        <w:rPr>
          <w:rFonts w:ascii="Times New Roman" w:eastAsia="Calibri" w:hAnsi="Times New Roman" w:cs="Times New Roman"/>
          <w:i/>
          <w:iCs/>
          <w:color w:val="000000"/>
          <w:sz w:val="24"/>
          <w:szCs w:val="24"/>
          <w:lang w:eastAsia="lv-LV"/>
        </w:rPr>
        <w:t>Euonymus</w:t>
      </w:r>
      <w:proofErr w:type="spellEnd"/>
      <w:r w:rsidRPr="00A07F29">
        <w:rPr>
          <w:rFonts w:ascii="Times New Roman" w:eastAsia="Calibri" w:hAnsi="Times New Roman" w:cs="Times New Roman"/>
          <w:i/>
          <w:iCs/>
          <w:color w:val="000000"/>
          <w:sz w:val="24"/>
          <w:szCs w:val="24"/>
          <w:lang w:eastAsia="lv-LV"/>
        </w:rPr>
        <w:t xml:space="preserve"> </w:t>
      </w:r>
      <w:proofErr w:type="spellStart"/>
      <w:r w:rsidRPr="00A07F29">
        <w:rPr>
          <w:rFonts w:ascii="Times New Roman" w:eastAsia="Calibri" w:hAnsi="Times New Roman" w:cs="Times New Roman"/>
          <w:i/>
          <w:iCs/>
          <w:color w:val="000000"/>
          <w:sz w:val="24"/>
          <w:szCs w:val="24"/>
          <w:lang w:eastAsia="lv-LV"/>
        </w:rPr>
        <w:t>verrucosa</w:t>
      </w:r>
      <w:proofErr w:type="spellEnd"/>
      <w:r w:rsidRPr="00A07F29">
        <w:rPr>
          <w:rFonts w:ascii="Times New Roman" w:eastAsia="Calibri" w:hAnsi="Times New Roman" w:cs="Times New Roman"/>
          <w:color w:val="000000"/>
          <w:sz w:val="24"/>
          <w:szCs w:val="24"/>
          <w:lang w:eastAsia="lv-LV"/>
        </w:rPr>
        <w:t xml:space="preserve">, daudzgadīgā </w:t>
      </w:r>
      <w:proofErr w:type="spellStart"/>
      <w:r w:rsidRPr="00A07F29">
        <w:rPr>
          <w:rFonts w:ascii="Times New Roman" w:eastAsia="Calibri" w:hAnsi="Times New Roman" w:cs="Times New Roman"/>
          <w:color w:val="000000"/>
          <w:sz w:val="24"/>
          <w:szCs w:val="24"/>
          <w:lang w:eastAsia="lv-LV"/>
        </w:rPr>
        <w:t>mēnesene</w:t>
      </w:r>
      <w:proofErr w:type="spellEnd"/>
      <w:r w:rsidRPr="00A07F29">
        <w:rPr>
          <w:rFonts w:ascii="Times New Roman" w:eastAsia="Calibri" w:hAnsi="Times New Roman" w:cs="Times New Roman"/>
          <w:color w:val="000000"/>
          <w:sz w:val="24"/>
          <w:szCs w:val="24"/>
          <w:lang w:eastAsia="lv-LV"/>
        </w:rPr>
        <w:t xml:space="preserve"> </w:t>
      </w:r>
      <w:proofErr w:type="spellStart"/>
      <w:r w:rsidRPr="00A07F29">
        <w:rPr>
          <w:rFonts w:ascii="Times New Roman" w:eastAsia="Calibri" w:hAnsi="Times New Roman" w:cs="Times New Roman"/>
          <w:i/>
          <w:iCs/>
          <w:color w:val="000000"/>
          <w:sz w:val="24"/>
          <w:szCs w:val="24"/>
          <w:lang w:eastAsia="lv-LV"/>
        </w:rPr>
        <w:t>Lunaria</w:t>
      </w:r>
      <w:proofErr w:type="spellEnd"/>
      <w:r w:rsidRPr="00A07F29">
        <w:rPr>
          <w:rFonts w:ascii="Times New Roman" w:eastAsia="Calibri" w:hAnsi="Times New Roman" w:cs="Times New Roman"/>
          <w:i/>
          <w:iCs/>
          <w:color w:val="000000"/>
          <w:sz w:val="24"/>
          <w:szCs w:val="24"/>
          <w:lang w:eastAsia="lv-LV"/>
        </w:rPr>
        <w:t xml:space="preserve"> </w:t>
      </w:r>
      <w:proofErr w:type="spellStart"/>
      <w:r w:rsidRPr="00A07F29">
        <w:rPr>
          <w:rFonts w:ascii="Times New Roman" w:eastAsia="Calibri" w:hAnsi="Times New Roman" w:cs="Times New Roman"/>
          <w:i/>
          <w:iCs/>
          <w:color w:val="000000"/>
          <w:sz w:val="24"/>
          <w:szCs w:val="24"/>
          <w:lang w:eastAsia="lv-LV"/>
        </w:rPr>
        <w:t>rediviva</w:t>
      </w:r>
      <w:proofErr w:type="spellEnd"/>
      <w:r w:rsidRPr="00A07F29">
        <w:rPr>
          <w:rFonts w:ascii="Times New Roman" w:eastAsia="Calibri" w:hAnsi="Times New Roman" w:cs="Times New Roman"/>
          <w:iCs/>
          <w:color w:val="000000"/>
          <w:sz w:val="24"/>
          <w:szCs w:val="24"/>
          <w:lang w:eastAsia="lv-LV"/>
        </w:rPr>
        <w:t>,</w:t>
      </w:r>
      <w:r w:rsidRPr="00A07F29">
        <w:rPr>
          <w:rFonts w:ascii="Times New Roman" w:eastAsia="Calibri" w:hAnsi="Times New Roman" w:cs="Times New Roman"/>
          <w:color w:val="000000"/>
          <w:sz w:val="24"/>
          <w:szCs w:val="24"/>
          <w:lang w:eastAsia="lv-LV"/>
        </w:rPr>
        <w:t xml:space="preserve"> </w:t>
      </w:r>
      <w:proofErr w:type="spellStart"/>
      <w:r w:rsidRPr="00A07F29">
        <w:rPr>
          <w:rFonts w:ascii="Times New Roman" w:eastAsia="Calibri" w:hAnsi="Times New Roman" w:cs="Times New Roman"/>
          <w:color w:val="000000"/>
          <w:sz w:val="24"/>
          <w:szCs w:val="24"/>
          <w:lang w:eastAsia="lv-LV"/>
        </w:rPr>
        <w:t>pēdveida</w:t>
      </w:r>
      <w:proofErr w:type="spellEnd"/>
      <w:r w:rsidRPr="00A07F29">
        <w:rPr>
          <w:rFonts w:ascii="Times New Roman" w:eastAsia="Calibri" w:hAnsi="Times New Roman" w:cs="Times New Roman"/>
          <w:color w:val="000000"/>
          <w:sz w:val="24"/>
          <w:szCs w:val="24"/>
          <w:lang w:eastAsia="lv-LV"/>
        </w:rPr>
        <w:t xml:space="preserve"> grīslis </w:t>
      </w:r>
      <w:proofErr w:type="spellStart"/>
      <w:r w:rsidRPr="00A07F29">
        <w:rPr>
          <w:rFonts w:ascii="Times New Roman" w:eastAsia="Calibri" w:hAnsi="Times New Roman" w:cs="Times New Roman"/>
          <w:i/>
          <w:iCs/>
          <w:color w:val="000000"/>
          <w:sz w:val="24"/>
          <w:szCs w:val="24"/>
          <w:lang w:eastAsia="lv-LV"/>
        </w:rPr>
        <w:t>Carex</w:t>
      </w:r>
      <w:proofErr w:type="spellEnd"/>
      <w:r w:rsidRPr="00A07F29">
        <w:rPr>
          <w:rFonts w:ascii="Times New Roman" w:eastAsia="Calibri" w:hAnsi="Times New Roman" w:cs="Times New Roman"/>
          <w:i/>
          <w:iCs/>
          <w:color w:val="000000"/>
          <w:sz w:val="24"/>
          <w:szCs w:val="24"/>
          <w:lang w:eastAsia="lv-LV"/>
        </w:rPr>
        <w:t xml:space="preserve"> </w:t>
      </w:r>
      <w:proofErr w:type="spellStart"/>
      <w:r w:rsidRPr="00A07F29">
        <w:rPr>
          <w:rFonts w:ascii="Times New Roman" w:eastAsia="Calibri" w:hAnsi="Times New Roman" w:cs="Times New Roman"/>
          <w:i/>
          <w:iCs/>
          <w:color w:val="000000"/>
          <w:sz w:val="24"/>
          <w:szCs w:val="24"/>
          <w:lang w:eastAsia="lv-LV"/>
        </w:rPr>
        <w:t>rhizina</w:t>
      </w:r>
      <w:proofErr w:type="spellEnd"/>
      <w:r w:rsidRPr="00A07F29">
        <w:rPr>
          <w:rFonts w:ascii="Times New Roman" w:eastAsia="Calibri" w:hAnsi="Times New Roman" w:cs="Times New Roman"/>
          <w:color w:val="000000"/>
          <w:sz w:val="24"/>
          <w:szCs w:val="24"/>
          <w:lang w:eastAsia="lv-LV"/>
        </w:rPr>
        <w:t xml:space="preserve">, lielā </w:t>
      </w:r>
      <w:proofErr w:type="spellStart"/>
      <w:r w:rsidRPr="00A07F29">
        <w:rPr>
          <w:rFonts w:ascii="Times New Roman" w:eastAsia="Calibri" w:hAnsi="Times New Roman" w:cs="Times New Roman"/>
          <w:color w:val="000000"/>
          <w:sz w:val="24"/>
          <w:szCs w:val="24"/>
          <w:lang w:eastAsia="lv-LV"/>
        </w:rPr>
        <w:t>raganzālīte</w:t>
      </w:r>
      <w:proofErr w:type="spellEnd"/>
      <w:r w:rsidRPr="00A07F29">
        <w:rPr>
          <w:rFonts w:ascii="Times New Roman" w:eastAsia="Calibri" w:hAnsi="Times New Roman" w:cs="Times New Roman"/>
          <w:color w:val="000000"/>
          <w:sz w:val="24"/>
          <w:szCs w:val="24"/>
          <w:lang w:eastAsia="lv-LV"/>
        </w:rPr>
        <w:t xml:space="preserve"> </w:t>
      </w:r>
      <w:proofErr w:type="spellStart"/>
      <w:r w:rsidRPr="00A07F29">
        <w:rPr>
          <w:rFonts w:ascii="Times New Roman" w:eastAsia="Calibri" w:hAnsi="Times New Roman" w:cs="Times New Roman"/>
          <w:i/>
          <w:iCs/>
          <w:color w:val="000000"/>
          <w:sz w:val="24"/>
          <w:szCs w:val="24"/>
          <w:lang w:eastAsia="lv-LV"/>
        </w:rPr>
        <w:t>Circaea</w:t>
      </w:r>
      <w:proofErr w:type="spellEnd"/>
      <w:r w:rsidRPr="00A07F29">
        <w:rPr>
          <w:rFonts w:ascii="Times New Roman" w:eastAsia="Calibri" w:hAnsi="Times New Roman" w:cs="Times New Roman"/>
          <w:i/>
          <w:iCs/>
          <w:color w:val="000000"/>
          <w:sz w:val="24"/>
          <w:szCs w:val="24"/>
          <w:lang w:eastAsia="lv-LV"/>
        </w:rPr>
        <w:t xml:space="preserve"> </w:t>
      </w:r>
      <w:proofErr w:type="spellStart"/>
      <w:r w:rsidRPr="00A07F29">
        <w:rPr>
          <w:rFonts w:ascii="Times New Roman" w:eastAsia="Calibri" w:hAnsi="Times New Roman" w:cs="Times New Roman"/>
          <w:i/>
          <w:iCs/>
          <w:color w:val="000000"/>
          <w:sz w:val="24"/>
          <w:szCs w:val="24"/>
          <w:lang w:eastAsia="lv-LV"/>
        </w:rPr>
        <w:t>lutetiana</w:t>
      </w:r>
      <w:proofErr w:type="spellEnd"/>
      <w:r w:rsidRPr="00A07F29">
        <w:rPr>
          <w:rFonts w:ascii="Times New Roman" w:eastAsia="Calibri" w:hAnsi="Times New Roman" w:cs="Times New Roman"/>
          <w:iCs/>
          <w:color w:val="000000"/>
          <w:sz w:val="24"/>
          <w:szCs w:val="24"/>
          <w:lang w:eastAsia="lv-LV"/>
        </w:rPr>
        <w:t>,</w:t>
      </w:r>
      <w:r w:rsidRPr="00A07F29">
        <w:rPr>
          <w:rFonts w:ascii="Times New Roman" w:eastAsia="Calibri" w:hAnsi="Times New Roman" w:cs="Times New Roman"/>
          <w:color w:val="000000"/>
          <w:sz w:val="24"/>
          <w:szCs w:val="24"/>
          <w:lang w:eastAsia="lv-LV"/>
        </w:rPr>
        <w:t xml:space="preserve"> </w:t>
      </w:r>
      <w:proofErr w:type="spellStart"/>
      <w:r w:rsidRPr="00A07F29">
        <w:rPr>
          <w:rFonts w:ascii="Times New Roman" w:eastAsia="Calibri" w:hAnsi="Times New Roman" w:cs="Times New Roman"/>
          <w:color w:val="000000"/>
          <w:sz w:val="24"/>
          <w:szCs w:val="24"/>
          <w:lang w:eastAsia="lv-LV"/>
        </w:rPr>
        <w:t>skarbmatainā</w:t>
      </w:r>
      <w:proofErr w:type="spellEnd"/>
      <w:r w:rsidRPr="00A07F29">
        <w:rPr>
          <w:rFonts w:ascii="Times New Roman" w:eastAsia="Calibri" w:hAnsi="Times New Roman" w:cs="Times New Roman"/>
          <w:color w:val="000000"/>
          <w:sz w:val="24"/>
          <w:szCs w:val="24"/>
          <w:lang w:eastAsia="lv-LV"/>
        </w:rPr>
        <w:t xml:space="preserve"> kārvele </w:t>
      </w:r>
      <w:proofErr w:type="spellStart"/>
      <w:r w:rsidRPr="00A07F29">
        <w:rPr>
          <w:rFonts w:ascii="Times New Roman" w:eastAsia="Calibri" w:hAnsi="Times New Roman" w:cs="Times New Roman"/>
          <w:i/>
          <w:iCs/>
          <w:color w:val="000000"/>
          <w:sz w:val="24"/>
          <w:szCs w:val="24"/>
          <w:lang w:eastAsia="lv-LV"/>
        </w:rPr>
        <w:t>Chaerophyllum</w:t>
      </w:r>
      <w:proofErr w:type="spellEnd"/>
      <w:r w:rsidRPr="00A07F29">
        <w:rPr>
          <w:rFonts w:ascii="Times New Roman" w:eastAsia="Calibri" w:hAnsi="Times New Roman" w:cs="Times New Roman"/>
          <w:i/>
          <w:iCs/>
          <w:color w:val="000000"/>
          <w:sz w:val="24"/>
          <w:szCs w:val="24"/>
          <w:lang w:eastAsia="lv-LV"/>
        </w:rPr>
        <w:t xml:space="preserve"> </w:t>
      </w:r>
      <w:proofErr w:type="spellStart"/>
      <w:r w:rsidRPr="00A07F29">
        <w:rPr>
          <w:rFonts w:ascii="Times New Roman" w:eastAsia="Calibri" w:hAnsi="Times New Roman" w:cs="Times New Roman"/>
          <w:i/>
          <w:iCs/>
          <w:color w:val="000000"/>
          <w:sz w:val="24"/>
          <w:szCs w:val="24"/>
          <w:lang w:eastAsia="lv-LV"/>
        </w:rPr>
        <w:t>hirsutum</w:t>
      </w:r>
      <w:proofErr w:type="spellEnd"/>
      <w:r w:rsidRPr="00A07F29">
        <w:rPr>
          <w:rFonts w:ascii="Times New Roman" w:eastAsia="Calibri" w:hAnsi="Times New Roman" w:cs="Times New Roman"/>
          <w:i/>
          <w:iCs/>
          <w:color w:val="000000"/>
          <w:sz w:val="24"/>
          <w:szCs w:val="24"/>
          <w:lang w:eastAsia="lv-LV"/>
        </w:rPr>
        <w:t>,</w:t>
      </w:r>
      <w:r w:rsidRPr="00A07F29">
        <w:rPr>
          <w:rFonts w:ascii="Times New Roman" w:eastAsia="Calibri" w:hAnsi="Times New Roman" w:cs="Times New Roman"/>
          <w:color w:val="000000"/>
          <w:sz w:val="24"/>
          <w:szCs w:val="24"/>
          <w:lang w:eastAsia="lv-LV"/>
        </w:rPr>
        <w:t xml:space="preserve"> </w:t>
      </w:r>
      <w:proofErr w:type="spellStart"/>
      <w:r w:rsidRPr="00A07F29">
        <w:rPr>
          <w:rFonts w:ascii="Times New Roman" w:eastAsia="Calibri" w:hAnsi="Times New Roman" w:cs="Times New Roman"/>
          <w:color w:val="000000"/>
          <w:sz w:val="24"/>
          <w:szCs w:val="24"/>
          <w:lang w:eastAsia="lv-LV"/>
        </w:rPr>
        <w:t>Šultesa</w:t>
      </w:r>
      <w:proofErr w:type="spellEnd"/>
      <w:r w:rsidRPr="00A07F29">
        <w:rPr>
          <w:rFonts w:ascii="Times New Roman" w:eastAsia="Calibri" w:hAnsi="Times New Roman" w:cs="Times New Roman"/>
          <w:color w:val="000000"/>
          <w:sz w:val="24"/>
          <w:szCs w:val="24"/>
          <w:lang w:eastAsia="lv-LV"/>
        </w:rPr>
        <w:t xml:space="preserve"> madara </w:t>
      </w:r>
      <w:proofErr w:type="spellStart"/>
      <w:r w:rsidRPr="00A07F29">
        <w:rPr>
          <w:rFonts w:ascii="Times New Roman" w:eastAsia="Calibri" w:hAnsi="Times New Roman" w:cs="Times New Roman"/>
          <w:i/>
          <w:iCs/>
          <w:color w:val="000000"/>
          <w:sz w:val="24"/>
          <w:szCs w:val="24"/>
          <w:lang w:eastAsia="lv-LV"/>
        </w:rPr>
        <w:t>Galium</w:t>
      </w:r>
      <w:proofErr w:type="spellEnd"/>
      <w:r w:rsidRPr="00A07F29">
        <w:rPr>
          <w:rFonts w:ascii="Times New Roman" w:eastAsia="Calibri" w:hAnsi="Times New Roman" w:cs="Times New Roman"/>
          <w:i/>
          <w:iCs/>
          <w:color w:val="000000"/>
          <w:sz w:val="24"/>
          <w:szCs w:val="24"/>
          <w:lang w:eastAsia="lv-LV"/>
        </w:rPr>
        <w:t xml:space="preserve"> </w:t>
      </w:r>
      <w:proofErr w:type="spellStart"/>
      <w:r w:rsidRPr="00A07F29">
        <w:rPr>
          <w:rFonts w:ascii="Times New Roman" w:eastAsia="Calibri" w:hAnsi="Times New Roman" w:cs="Times New Roman"/>
          <w:i/>
          <w:iCs/>
          <w:color w:val="000000"/>
          <w:sz w:val="24"/>
          <w:szCs w:val="24"/>
          <w:lang w:eastAsia="lv-LV"/>
        </w:rPr>
        <w:t>schultesii</w:t>
      </w:r>
      <w:proofErr w:type="spellEnd"/>
      <w:r w:rsidRPr="00A07F29">
        <w:rPr>
          <w:rFonts w:ascii="Times New Roman" w:eastAsia="Calibri" w:hAnsi="Times New Roman" w:cs="Times New Roman"/>
          <w:color w:val="000000"/>
          <w:sz w:val="24"/>
          <w:szCs w:val="24"/>
          <w:lang w:eastAsia="lv-LV"/>
        </w:rPr>
        <w:t xml:space="preserve">, </w:t>
      </w:r>
      <w:proofErr w:type="spellStart"/>
      <w:r w:rsidRPr="00A07F29">
        <w:rPr>
          <w:rFonts w:ascii="Times New Roman" w:eastAsia="Calibri" w:hAnsi="Times New Roman" w:cs="Times New Roman"/>
          <w:color w:val="000000"/>
          <w:sz w:val="24"/>
          <w:szCs w:val="24"/>
          <w:lang w:eastAsia="lv-LV"/>
        </w:rPr>
        <w:t>villainā</w:t>
      </w:r>
      <w:proofErr w:type="spellEnd"/>
      <w:r w:rsidRPr="00A07F29">
        <w:rPr>
          <w:rFonts w:ascii="Times New Roman" w:eastAsia="Calibri" w:hAnsi="Times New Roman" w:cs="Times New Roman"/>
          <w:color w:val="000000"/>
          <w:sz w:val="24"/>
          <w:szCs w:val="24"/>
          <w:lang w:eastAsia="lv-LV"/>
        </w:rPr>
        <w:t xml:space="preserve"> gundega </w:t>
      </w:r>
      <w:proofErr w:type="spellStart"/>
      <w:r w:rsidRPr="00A07F29">
        <w:rPr>
          <w:rFonts w:ascii="Times New Roman" w:eastAsia="Calibri" w:hAnsi="Times New Roman" w:cs="Times New Roman"/>
          <w:i/>
          <w:iCs/>
          <w:color w:val="000000"/>
          <w:sz w:val="24"/>
          <w:szCs w:val="24"/>
          <w:lang w:eastAsia="lv-LV"/>
        </w:rPr>
        <w:t>Ranunculus</w:t>
      </w:r>
      <w:proofErr w:type="spellEnd"/>
      <w:r w:rsidRPr="00A07F29">
        <w:rPr>
          <w:rFonts w:ascii="Times New Roman" w:eastAsia="Calibri" w:hAnsi="Times New Roman" w:cs="Times New Roman"/>
          <w:i/>
          <w:iCs/>
          <w:color w:val="000000"/>
          <w:sz w:val="24"/>
          <w:szCs w:val="24"/>
          <w:lang w:eastAsia="lv-LV"/>
        </w:rPr>
        <w:t xml:space="preserve"> </w:t>
      </w:r>
      <w:proofErr w:type="spellStart"/>
      <w:r w:rsidRPr="00A07F29">
        <w:rPr>
          <w:rFonts w:ascii="Times New Roman" w:eastAsia="Calibri" w:hAnsi="Times New Roman" w:cs="Times New Roman"/>
          <w:i/>
          <w:iCs/>
          <w:color w:val="000000"/>
          <w:sz w:val="24"/>
          <w:szCs w:val="24"/>
          <w:lang w:eastAsia="lv-LV"/>
        </w:rPr>
        <w:t>lanuginosus</w:t>
      </w:r>
      <w:proofErr w:type="spellEnd"/>
      <w:r w:rsidRPr="00A07F29">
        <w:rPr>
          <w:rFonts w:ascii="Times New Roman" w:eastAsia="Calibri" w:hAnsi="Times New Roman" w:cs="Times New Roman"/>
          <w:i/>
          <w:iCs/>
          <w:color w:val="000000"/>
          <w:sz w:val="24"/>
          <w:szCs w:val="24"/>
          <w:lang w:eastAsia="lv-LV"/>
        </w:rPr>
        <w:t>,</w:t>
      </w:r>
      <w:r w:rsidRPr="00A07F29">
        <w:rPr>
          <w:rFonts w:ascii="Times New Roman" w:eastAsia="Calibri" w:hAnsi="Times New Roman" w:cs="Times New Roman"/>
          <w:color w:val="000000"/>
          <w:sz w:val="24"/>
          <w:szCs w:val="24"/>
          <w:lang w:eastAsia="lv-LV"/>
        </w:rPr>
        <w:t xml:space="preserve"> </w:t>
      </w:r>
      <w:proofErr w:type="spellStart"/>
      <w:r w:rsidRPr="00A07F29">
        <w:rPr>
          <w:rFonts w:ascii="Times New Roman" w:eastAsia="Calibri" w:hAnsi="Times New Roman" w:cs="Times New Roman"/>
          <w:color w:val="000000"/>
          <w:sz w:val="24"/>
          <w:szCs w:val="24"/>
          <w:lang w:eastAsia="lv-LV"/>
        </w:rPr>
        <w:t>Benekena</w:t>
      </w:r>
      <w:proofErr w:type="spellEnd"/>
      <w:r w:rsidRPr="00A07F29">
        <w:rPr>
          <w:rFonts w:ascii="Times New Roman" w:eastAsia="Calibri" w:hAnsi="Times New Roman" w:cs="Times New Roman"/>
          <w:color w:val="000000"/>
          <w:sz w:val="24"/>
          <w:szCs w:val="24"/>
          <w:lang w:eastAsia="lv-LV"/>
        </w:rPr>
        <w:t xml:space="preserve"> </w:t>
      </w:r>
      <w:proofErr w:type="spellStart"/>
      <w:r w:rsidRPr="00A07F29">
        <w:rPr>
          <w:rFonts w:ascii="Times New Roman" w:eastAsia="Calibri" w:hAnsi="Times New Roman" w:cs="Times New Roman"/>
          <w:color w:val="000000"/>
          <w:sz w:val="24"/>
          <w:szCs w:val="24"/>
          <w:lang w:eastAsia="lv-LV"/>
        </w:rPr>
        <w:t>zaķauza</w:t>
      </w:r>
      <w:proofErr w:type="spellEnd"/>
      <w:r w:rsidRPr="00A07F29">
        <w:rPr>
          <w:rFonts w:ascii="Times New Roman" w:eastAsia="Calibri" w:hAnsi="Times New Roman" w:cs="Times New Roman"/>
          <w:color w:val="000000"/>
          <w:sz w:val="24"/>
          <w:szCs w:val="24"/>
          <w:lang w:eastAsia="lv-LV"/>
        </w:rPr>
        <w:t xml:space="preserve"> </w:t>
      </w:r>
      <w:proofErr w:type="spellStart"/>
      <w:r w:rsidRPr="00A07F29">
        <w:rPr>
          <w:rFonts w:ascii="Times New Roman" w:eastAsia="Calibri" w:hAnsi="Times New Roman" w:cs="Times New Roman"/>
          <w:i/>
          <w:iCs/>
          <w:color w:val="000000"/>
          <w:sz w:val="24"/>
          <w:szCs w:val="24"/>
          <w:lang w:eastAsia="lv-LV"/>
        </w:rPr>
        <w:t>Bromopsis</w:t>
      </w:r>
      <w:proofErr w:type="spellEnd"/>
      <w:r w:rsidRPr="00A07F29">
        <w:rPr>
          <w:rFonts w:ascii="Times New Roman" w:eastAsia="Calibri" w:hAnsi="Times New Roman" w:cs="Times New Roman"/>
          <w:i/>
          <w:iCs/>
          <w:color w:val="000000"/>
          <w:sz w:val="24"/>
          <w:szCs w:val="24"/>
          <w:lang w:eastAsia="lv-LV"/>
        </w:rPr>
        <w:t xml:space="preserve"> </w:t>
      </w:r>
      <w:proofErr w:type="spellStart"/>
      <w:r w:rsidRPr="00A07F29">
        <w:rPr>
          <w:rFonts w:ascii="Times New Roman" w:eastAsia="Calibri" w:hAnsi="Times New Roman" w:cs="Times New Roman"/>
          <w:i/>
          <w:iCs/>
          <w:color w:val="000000"/>
          <w:sz w:val="24"/>
          <w:szCs w:val="24"/>
          <w:lang w:eastAsia="lv-LV"/>
        </w:rPr>
        <w:t>benekenii</w:t>
      </w:r>
      <w:proofErr w:type="spellEnd"/>
      <w:r w:rsidRPr="00A07F29">
        <w:rPr>
          <w:rFonts w:ascii="Times New Roman" w:eastAsia="Calibri" w:hAnsi="Times New Roman" w:cs="Times New Roman"/>
          <w:i/>
          <w:iCs/>
          <w:color w:val="000000"/>
          <w:sz w:val="24"/>
          <w:szCs w:val="24"/>
          <w:lang w:eastAsia="lv-LV"/>
        </w:rPr>
        <w:t xml:space="preserve"> </w:t>
      </w:r>
      <w:r w:rsidRPr="00A07F29">
        <w:rPr>
          <w:rFonts w:ascii="Times New Roman" w:eastAsia="Calibri" w:hAnsi="Times New Roman" w:cs="Times New Roman"/>
          <w:iCs/>
          <w:color w:val="000000"/>
          <w:sz w:val="24"/>
          <w:szCs w:val="24"/>
          <w:lang w:eastAsia="lv-LV"/>
        </w:rPr>
        <w:t xml:space="preserve">(Lange) </w:t>
      </w:r>
      <w:proofErr w:type="spellStart"/>
      <w:r w:rsidRPr="00A07F29">
        <w:rPr>
          <w:rFonts w:ascii="Times New Roman" w:eastAsia="Calibri" w:hAnsi="Times New Roman" w:cs="Times New Roman"/>
          <w:iCs/>
          <w:color w:val="000000"/>
          <w:sz w:val="24"/>
          <w:szCs w:val="24"/>
          <w:lang w:eastAsia="lv-LV"/>
        </w:rPr>
        <w:t>Holub</w:t>
      </w:r>
      <w:proofErr w:type="spellEnd"/>
      <w:r w:rsidRPr="00A07F29">
        <w:rPr>
          <w:rFonts w:ascii="Times New Roman" w:eastAsia="Calibri" w:hAnsi="Times New Roman" w:cs="Times New Roman"/>
          <w:color w:val="000000"/>
          <w:sz w:val="24"/>
          <w:szCs w:val="24"/>
          <w:lang w:eastAsia="lv-LV"/>
        </w:rPr>
        <w:t xml:space="preserve">, matainais grīslis </w:t>
      </w:r>
      <w:proofErr w:type="spellStart"/>
      <w:r w:rsidRPr="00A07F29">
        <w:rPr>
          <w:rFonts w:ascii="Times New Roman" w:eastAsia="Calibri" w:hAnsi="Times New Roman" w:cs="Times New Roman"/>
          <w:i/>
          <w:iCs/>
          <w:color w:val="000000"/>
          <w:sz w:val="24"/>
          <w:szCs w:val="24"/>
          <w:lang w:eastAsia="lv-LV"/>
        </w:rPr>
        <w:t>Carex</w:t>
      </w:r>
      <w:proofErr w:type="spellEnd"/>
      <w:r w:rsidRPr="00A07F29">
        <w:rPr>
          <w:rFonts w:ascii="Times New Roman" w:eastAsia="Calibri" w:hAnsi="Times New Roman" w:cs="Times New Roman"/>
          <w:i/>
          <w:iCs/>
          <w:color w:val="000000"/>
          <w:sz w:val="24"/>
          <w:szCs w:val="24"/>
          <w:lang w:eastAsia="lv-LV"/>
        </w:rPr>
        <w:t xml:space="preserve"> </w:t>
      </w:r>
      <w:proofErr w:type="spellStart"/>
      <w:r w:rsidRPr="00A07F29">
        <w:rPr>
          <w:rFonts w:ascii="Times New Roman" w:eastAsia="Calibri" w:hAnsi="Times New Roman" w:cs="Times New Roman"/>
          <w:i/>
          <w:iCs/>
          <w:color w:val="000000"/>
          <w:sz w:val="24"/>
          <w:szCs w:val="24"/>
          <w:lang w:eastAsia="lv-LV"/>
        </w:rPr>
        <w:t>pilosa</w:t>
      </w:r>
      <w:proofErr w:type="spellEnd"/>
      <w:r w:rsidRPr="00A07F29">
        <w:rPr>
          <w:rFonts w:ascii="Times New Roman" w:eastAsia="Calibri" w:hAnsi="Times New Roman" w:cs="Times New Roman"/>
          <w:color w:val="000000"/>
          <w:sz w:val="24"/>
          <w:szCs w:val="24"/>
          <w:lang w:eastAsia="lv-LV"/>
        </w:rPr>
        <w:t xml:space="preserve">, ārstniecības </w:t>
      </w:r>
      <w:proofErr w:type="spellStart"/>
      <w:r w:rsidRPr="00A07F29">
        <w:rPr>
          <w:rFonts w:ascii="Times New Roman" w:eastAsia="Calibri" w:hAnsi="Times New Roman" w:cs="Times New Roman"/>
          <w:color w:val="000000"/>
          <w:sz w:val="24"/>
          <w:szCs w:val="24"/>
          <w:lang w:eastAsia="lv-LV"/>
        </w:rPr>
        <w:t>indaine</w:t>
      </w:r>
      <w:proofErr w:type="spellEnd"/>
      <w:r w:rsidRPr="00A07F29">
        <w:rPr>
          <w:rFonts w:ascii="Times New Roman" w:eastAsia="Calibri" w:hAnsi="Times New Roman" w:cs="Times New Roman"/>
          <w:color w:val="000000"/>
          <w:sz w:val="24"/>
          <w:szCs w:val="24"/>
          <w:lang w:eastAsia="lv-LV"/>
        </w:rPr>
        <w:t xml:space="preserve"> </w:t>
      </w:r>
      <w:proofErr w:type="spellStart"/>
      <w:r w:rsidRPr="00A07F29">
        <w:rPr>
          <w:rFonts w:ascii="Times New Roman" w:eastAsia="Calibri" w:hAnsi="Times New Roman" w:cs="Times New Roman"/>
          <w:i/>
          <w:iCs/>
          <w:color w:val="000000"/>
          <w:sz w:val="24"/>
          <w:szCs w:val="24"/>
          <w:lang w:eastAsia="lv-LV"/>
        </w:rPr>
        <w:t>Vincetoxicum</w:t>
      </w:r>
      <w:proofErr w:type="spellEnd"/>
      <w:r w:rsidRPr="00A07F29">
        <w:rPr>
          <w:rFonts w:ascii="Times New Roman" w:eastAsia="Calibri" w:hAnsi="Times New Roman" w:cs="Times New Roman"/>
          <w:i/>
          <w:iCs/>
          <w:color w:val="000000"/>
          <w:sz w:val="24"/>
          <w:szCs w:val="24"/>
          <w:lang w:eastAsia="lv-LV"/>
        </w:rPr>
        <w:t xml:space="preserve"> </w:t>
      </w:r>
      <w:proofErr w:type="spellStart"/>
      <w:r w:rsidRPr="00A07F29">
        <w:rPr>
          <w:rFonts w:ascii="Times New Roman" w:eastAsia="Calibri" w:hAnsi="Times New Roman" w:cs="Times New Roman"/>
          <w:i/>
          <w:iCs/>
          <w:color w:val="000000"/>
          <w:sz w:val="24"/>
          <w:szCs w:val="24"/>
          <w:lang w:eastAsia="lv-LV"/>
        </w:rPr>
        <w:t>hirundinaria</w:t>
      </w:r>
      <w:proofErr w:type="spellEnd"/>
      <w:r w:rsidRPr="00A07F29">
        <w:rPr>
          <w:rFonts w:ascii="Times New Roman" w:eastAsia="Calibri" w:hAnsi="Times New Roman" w:cs="Times New Roman"/>
          <w:color w:val="000000"/>
          <w:sz w:val="24"/>
          <w:szCs w:val="24"/>
          <w:lang w:eastAsia="lv-LV"/>
        </w:rPr>
        <w:t xml:space="preserve">, nogāžu lejasdaļā gar </w:t>
      </w:r>
      <w:proofErr w:type="spellStart"/>
      <w:r w:rsidRPr="00A07F29">
        <w:rPr>
          <w:rFonts w:ascii="Times New Roman" w:eastAsia="Calibri" w:hAnsi="Times New Roman" w:cs="Times New Roman"/>
          <w:color w:val="000000"/>
          <w:sz w:val="24"/>
          <w:szCs w:val="24"/>
          <w:lang w:eastAsia="lv-LV"/>
        </w:rPr>
        <w:t>Rosicas</w:t>
      </w:r>
      <w:proofErr w:type="spellEnd"/>
      <w:r w:rsidRPr="00A07F29">
        <w:rPr>
          <w:rFonts w:ascii="Times New Roman" w:eastAsia="Calibri" w:hAnsi="Times New Roman" w:cs="Times New Roman"/>
          <w:color w:val="000000"/>
          <w:sz w:val="24"/>
          <w:szCs w:val="24"/>
          <w:lang w:eastAsia="lv-LV"/>
        </w:rPr>
        <w:t xml:space="preserve"> upi – augstais gaiļpiesis </w:t>
      </w:r>
      <w:proofErr w:type="spellStart"/>
      <w:r w:rsidRPr="00A07F29">
        <w:rPr>
          <w:rFonts w:ascii="Times New Roman" w:eastAsia="Calibri" w:hAnsi="Times New Roman" w:cs="Times New Roman"/>
          <w:i/>
          <w:iCs/>
          <w:color w:val="000000"/>
          <w:sz w:val="24"/>
          <w:szCs w:val="24"/>
          <w:lang w:eastAsia="lv-LV"/>
        </w:rPr>
        <w:t>Delphinium</w:t>
      </w:r>
      <w:proofErr w:type="spellEnd"/>
      <w:r w:rsidRPr="00A07F29">
        <w:rPr>
          <w:rFonts w:ascii="Times New Roman" w:eastAsia="Calibri" w:hAnsi="Times New Roman" w:cs="Times New Roman"/>
          <w:i/>
          <w:iCs/>
          <w:color w:val="000000"/>
          <w:sz w:val="24"/>
          <w:szCs w:val="24"/>
          <w:lang w:eastAsia="lv-LV"/>
        </w:rPr>
        <w:t xml:space="preserve"> </w:t>
      </w:r>
      <w:proofErr w:type="spellStart"/>
      <w:r w:rsidRPr="00A07F29">
        <w:rPr>
          <w:rFonts w:ascii="Times New Roman" w:eastAsia="Calibri" w:hAnsi="Times New Roman" w:cs="Times New Roman"/>
          <w:i/>
          <w:iCs/>
          <w:color w:val="000000"/>
          <w:sz w:val="24"/>
          <w:szCs w:val="24"/>
          <w:lang w:eastAsia="lv-LV"/>
        </w:rPr>
        <w:t>elatum</w:t>
      </w:r>
      <w:proofErr w:type="spellEnd"/>
      <w:r w:rsidRPr="00A07F29">
        <w:rPr>
          <w:rFonts w:ascii="Times New Roman" w:eastAsia="Calibri" w:hAnsi="Times New Roman" w:cs="Times New Roman"/>
          <w:i/>
          <w:iCs/>
          <w:color w:val="000000"/>
          <w:sz w:val="24"/>
          <w:szCs w:val="24"/>
          <w:lang w:eastAsia="lv-LV"/>
        </w:rPr>
        <w:t>.</w:t>
      </w:r>
    </w:p>
    <w:p w14:paraId="5C30BB81" w14:textId="3374DFAC" w:rsidR="002B1603" w:rsidRPr="00A07F29" w:rsidRDefault="002B1603" w:rsidP="00D9289D">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Biotopā </w:t>
      </w:r>
      <w:r w:rsidRPr="00A07F29">
        <w:rPr>
          <w:rFonts w:ascii="Times New Roman" w:eastAsia="Calibri" w:hAnsi="Times New Roman" w:cs="Times New Roman"/>
          <w:color w:val="000000" w:themeColor="text1"/>
          <w:sz w:val="24"/>
          <w:szCs w:val="24"/>
          <w:lang w:eastAsia="lv-LV"/>
        </w:rPr>
        <w:t>9180*</w:t>
      </w:r>
      <w:r w:rsidR="003A3461">
        <w:rPr>
          <w:rFonts w:ascii="Times New Roman" w:eastAsia="Calibri" w:hAnsi="Times New Roman" w:cs="Times New Roman"/>
          <w:color w:val="000000" w:themeColor="text1"/>
          <w:sz w:val="24"/>
          <w:szCs w:val="24"/>
          <w:lang w:eastAsia="lv-LV"/>
        </w:rPr>
        <w:t> </w:t>
      </w:r>
      <w:r w:rsidRPr="00A07F29">
        <w:rPr>
          <w:rFonts w:ascii="Times New Roman" w:eastAsia="Calibri" w:hAnsi="Times New Roman" w:cs="Times New Roman"/>
          <w:i/>
          <w:color w:val="000000" w:themeColor="text1"/>
          <w:sz w:val="24"/>
          <w:szCs w:val="24"/>
          <w:lang w:eastAsia="lv-LV"/>
        </w:rPr>
        <w:t>Nogāžu un gravu meži</w:t>
      </w:r>
      <w:r w:rsidRPr="00A07F29">
        <w:rPr>
          <w:rFonts w:ascii="Times New Roman" w:eastAsia="Calibri" w:hAnsi="Times New Roman" w:cs="Times New Roman"/>
          <w:sz w:val="24"/>
          <w:szCs w:val="24"/>
        </w:rPr>
        <w:t xml:space="preserve"> konstatēts liels skaits DMB </w:t>
      </w:r>
      <w:proofErr w:type="spellStart"/>
      <w:r w:rsidRPr="00A07F29">
        <w:rPr>
          <w:rFonts w:ascii="Times New Roman" w:eastAsia="Calibri" w:hAnsi="Times New Roman" w:cs="Times New Roman"/>
          <w:sz w:val="24"/>
          <w:szCs w:val="24"/>
        </w:rPr>
        <w:t>indikatorsugu</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vaskulārie</w:t>
      </w:r>
      <w:proofErr w:type="spellEnd"/>
      <w:r w:rsidRPr="00A07F29">
        <w:rPr>
          <w:rFonts w:ascii="Times New Roman" w:eastAsia="Calibri" w:hAnsi="Times New Roman" w:cs="Times New Roman"/>
          <w:sz w:val="24"/>
          <w:szCs w:val="24"/>
        </w:rPr>
        <w:t xml:space="preserve"> augi – parastā </w:t>
      </w:r>
      <w:proofErr w:type="spellStart"/>
      <w:r w:rsidRPr="00A07F29">
        <w:rPr>
          <w:rFonts w:ascii="Times New Roman" w:eastAsia="Calibri" w:hAnsi="Times New Roman" w:cs="Times New Roman"/>
          <w:sz w:val="24"/>
          <w:szCs w:val="24"/>
        </w:rPr>
        <w:t>strauspaparde</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i/>
          <w:iCs/>
          <w:sz w:val="24"/>
          <w:szCs w:val="24"/>
        </w:rPr>
        <w:t>Matteuccia</w:t>
      </w:r>
      <w:proofErr w:type="spellEnd"/>
      <w:r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struthiopteris</w:t>
      </w:r>
      <w:proofErr w:type="spellEnd"/>
      <w:r w:rsidRPr="00A07F29">
        <w:rPr>
          <w:rFonts w:ascii="Times New Roman" w:eastAsia="Calibri" w:hAnsi="Times New Roman" w:cs="Times New Roman"/>
          <w:sz w:val="24"/>
          <w:szCs w:val="24"/>
        </w:rPr>
        <w:t xml:space="preserve">, sūnas – tievā </w:t>
      </w:r>
      <w:proofErr w:type="spellStart"/>
      <w:r w:rsidRPr="00A07F29">
        <w:rPr>
          <w:rFonts w:ascii="Times New Roman" w:eastAsia="Calibri" w:hAnsi="Times New Roman" w:cs="Times New Roman"/>
          <w:sz w:val="24"/>
          <w:szCs w:val="24"/>
        </w:rPr>
        <w:t>gludlape</w:t>
      </w:r>
      <w:proofErr w:type="spellEnd"/>
      <w:r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Homalia</w:t>
      </w:r>
      <w:proofErr w:type="spellEnd"/>
      <w:r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trichomanoides</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īssetas</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nekera</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i/>
          <w:iCs/>
          <w:sz w:val="24"/>
          <w:szCs w:val="24"/>
        </w:rPr>
        <w:t>Neckera</w:t>
      </w:r>
      <w:proofErr w:type="spellEnd"/>
      <w:r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pennata</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kažocenes</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i/>
          <w:iCs/>
          <w:sz w:val="24"/>
          <w:szCs w:val="24"/>
        </w:rPr>
        <w:t>Anomodon</w:t>
      </w:r>
      <w:proofErr w:type="spellEnd"/>
      <w:r w:rsidRPr="00A07F29">
        <w:rPr>
          <w:rFonts w:ascii="Times New Roman" w:eastAsia="Calibri" w:hAnsi="Times New Roman" w:cs="Times New Roman"/>
          <w:sz w:val="24"/>
          <w:szCs w:val="24"/>
        </w:rPr>
        <w:t xml:space="preserve">, parastā </w:t>
      </w:r>
      <w:proofErr w:type="spellStart"/>
      <w:r w:rsidRPr="00A07F29">
        <w:rPr>
          <w:rFonts w:ascii="Times New Roman" w:eastAsia="Calibri" w:hAnsi="Times New Roman" w:cs="Times New Roman"/>
          <w:sz w:val="24"/>
          <w:szCs w:val="24"/>
        </w:rPr>
        <w:t>sprogaine</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i/>
          <w:iCs/>
          <w:sz w:val="24"/>
          <w:szCs w:val="24"/>
        </w:rPr>
        <w:t>Ulota</w:t>
      </w:r>
      <w:proofErr w:type="spellEnd"/>
      <w:r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crispa</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dakšveida</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mecgērija</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i/>
          <w:iCs/>
          <w:sz w:val="24"/>
          <w:szCs w:val="24"/>
        </w:rPr>
        <w:t>Metzgeria</w:t>
      </w:r>
      <w:proofErr w:type="spellEnd"/>
      <w:r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furcata</w:t>
      </w:r>
      <w:proofErr w:type="spellEnd"/>
      <w:r w:rsidRPr="00A07F29">
        <w:rPr>
          <w:rFonts w:ascii="Times New Roman" w:eastAsia="Calibri" w:hAnsi="Times New Roman" w:cs="Times New Roman"/>
          <w:sz w:val="24"/>
          <w:szCs w:val="24"/>
        </w:rPr>
        <w:t xml:space="preserve">, ķērpji – rakstu ķērpis </w:t>
      </w:r>
      <w:proofErr w:type="spellStart"/>
      <w:r w:rsidRPr="00A07F29">
        <w:rPr>
          <w:rFonts w:ascii="Times New Roman" w:eastAsia="Calibri" w:hAnsi="Times New Roman" w:cs="Times New Roman"/>
          <w:i/>
          <w:iCs/>
          <w:sz w:val="24"/>
          <w:szCs w:val="24"/>
        </w:rPr>
        <w:t>Graphis</w:t>
      </w:r>
      <w:proofErr w:type="spellEnd"/>
      <w:r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script</w:t>
      </w:r>
      <w:proofErr w:type="spellEnd"/>
      <w:r w:rsidRPr="00A07F29">
        <w:rPr>
          <w:rFonts w:ascii="Times New Roman" w:eastAsia="Calibri" w:hAnsi="Times New Roman" w:cs="Times New Roman"/>
          <w:iCs/>
          <w:color w:val="000000"/>
          <w:sz w:val="24"/>
          <w:szCs w:val="24"/>
        </w:rPr>
        <w:t>.</w:t>
      </w:r>
      <w:r w:rsidRPr="00A07F29">
        <w:rPr>
          <w:rFonts w:ascii="Times New Roman" w:eastAsia="Calibri" w:hAnsi="Times New Roman" w:cs="Times New Roman"/>
          <w:sz w:val="24"/>
          <w:szCs w:val="24"/>
        </w:rPr>
        <w:t xml:space="preserve">, pumpurainā </w:t>
      </w:r>
      <w:proofErr w:type="spellStart"/>
      <w:r w:rsidRPr="00A07F29">
        <w:rPr>
          <w:rFonts w:ascii="Times New Roman" w:eastAsia="Calibri" w:hAnsi="Times New Roman" w:cs="Times New Roman"/>
          <w:sz w:val="24"/>
          <w:szCs w:val="24"/>
        </w:rPr>
        <w:t>akrokordija</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i/>
          <w:iCs/>
          <w:sz w:val="24"/>
          <w:szCs w:val="24"/>
        </w:rPr>
        <w:t>Acrocordia</w:t>
      </w:r>
      <w:proofErr w:type="spellEnd"/>
      <w:r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gemmata</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vīnkrāsas</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artonija</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i/>
          <w:iCs/>
          <w:sz w:val="24"/>
          <w:szCs w:val="24"/>
        </w:rPr>
        <w:t>Arthonia</w:t>
      </w:r>
      <w:proofErr w:type="spellEnd"/>
      <w:r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vinosa</w:t>
      </w:r>
      <w:proofErr w:type="spellEnd"/>
      <w:r w:rsidRPr="00A07F29">
        <w:rPr>
          <w:rFonts w:ascii="Times New Roman" w:eastAsia="Calibri" w:hAnsi="Times New Roman" w:cs="Times New Roman"/>
          <w:sz w:val="24"/>
          <w:szCs w:val="24"/>
        </w:rPr>
        <w:t xml:space="preserve">, iesarkanā </w:t>
      </w:r>
      <w:proofErr w:type="spellStart"/>
      <w:r w:rsidRPr="00A07F29">
        <w:rPr>
          <w:rFonts w:ascii="Times New Roman" w:eastAsia="Calibri" w:hAnsi="Times New Roman" w:cs="Times New Roman"/>
          <w:sz w:val="24"/>
          <w:szCs w:val="24"/>
        </w:rPr>
        <w:t>bacīdija</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i/>
          <w:iCs/>
          <w:sz w:val="24"/>
          <w:szCs w:val="24"/>
        </w:rPr>
        <w:t>Bacidia</w:t>
      </w:r>
      <w:proofErr w:type="spellEnd"/>
      <w:r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rubella</w:t>
      </w:r>
      <w:proofErr w:type="spellEnd"/>
      <w:r w:rsidRPr="00A07F29">
        <w:rPr>
          <w:rFonts w:ascii="Times New Roman" w:eastAsia="Calibri" w:hAnsi="Times New Roman" w:cs="Times New Roman"/>
          <w:sz w:val="24"/>
          <w:szCs w:val="24"/>
        </w:rPr>
        <w:t xml:space="preserve">, sēnes (piepes) – lapkoku </w:t>
      </w:r>
      <w:proofErr w:type="spellStart"/>
      <w:r w:rsidRPr="00A07F29">
        <w:rPr>
          <w:rFonts w:ascii="Times New Roman" w:eastAsia="Calibri" w:hAnsi="Times New Roman" w:cs="Times New Roman"/>
          <w:sz w:val="24"/>
          <w:szCs w:val="24"/>
        </w:rPr>
        <w:t>svečtursēne</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i/>
          <w:iCs/>
          <w:sz w:val="24"/>
          <w:szCs w:val="24"/>
        </w:rPr>
        <w:t>Clavicorona</w:t>
      </w:r>
      <w:proofErr w:type="spellEnd"/>
      <w:r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pyxidata</w:t>
      </w:r>
      <w:proofErr w:type="spellEnd"/>
      <w:r w:rsidRPr="00A07F29">
        <w:rPr>
          <w:rFonts w:ascii="Times New Roman" w:eastAsia="Calibri" w:hAnsi="Times New Roman" w:cs="Times New Roman"/>
          <w:i/>
          <w:iCs/>
          <w:sz w:val="24"/>
          <w:szCs w:val="24"/>
        </w:rPr>
        <w:t xml:space="preserve"> </w:t>
      </w:r>
      <w:r w:rsidRPr="00A07F29">
        <w:rPr>
          <w:rFonts w:ascii="Times New Roman" w:eastAsia="Calibri" w:hAnsi="Times New Roman" w:cs="Times New Roman"/>
          <w:sz w:val="24"/>
          <w:szCs w:val="24"/>
        </w:rPr>
        <w:t xml:space="preserve">un DMB speciālā suga kastaņbrūnā </w:t>
      </w:r>
      <w:proofErr w:type="spellStart"/>
      <w:r w:rsidRPr="00A07F29">
        <w:rPr>
          <w:rFonts w:ascii="Times New Roman" w:eastAsia="Calibri" w:hAnsi="Times New Roman" w:cs="Times New Roman"/>
          <w:sz w:val="24"/>
          <w:szCs w:val="24"/>
        </w:rPr>
        <w:t>kātiņpiepe</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i/>
          <w:iCs/>
          <w:sz w:val="24"/>
          <w:szCs w:val="24"/>
        </w:rPr>
        <w:t>Polyporus</w:t>
      </w:r>
      <w:proofErr w:type="spellEnd"/>
      <w:r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badius</w:t>
      </w:r>
      <w:proofErr w:type="spellEnd"/>
      <w:r w:rsidRPr="00A07F29">
        <w:rPr>
          <w:rFonts w:ascii="Times New Roman" w:eastAsia="Calibri" w:hAnsi="Times New Roman" w:cs="Times New Roman"/>
          <w:sz w:val="24"/>
          <w:szCs w:val="24"/>
        </w:rPr>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81"/>
        <w:gridCol w:w="1873"/>
      </w:tblGrid>
      <w:tr w:rsidR="00BD4F54" w:rsidRPr="00A07F29" w14:paraId="439CA7BE" w14:textId="77777777" w:rsidTr="63C42FA1">
        <w:trPr>
          <w:jc w:val="center"/>
        </w:trPr>
        <w:tc>
          <w:tcPr>
            <w:tcW w:w="4672" w:type="dxa"/>
          </w:tcPr>
          <w:p w14:paraId="370114B3" w14:textId="33A6AE8E" w:rsidR="00BD4F54" w:rsidRPr="00A07F29" w:rsidRDefault="00BD4F54" w:rsidP="00BD4F54">
            <w:pPr>
              <w:spacing w:before="200" w:after="120"/>
              <w:jc w:val="both"/>
              <w:outlineLvl w:val="3"/>
              <w:rPr>
                <w:rFonts w:ascii="Times New Roman" w:eastAsia="Calibri" w:hAnsi="Times New Roman" w:cs="Times New Roman"/>
                <w:color w:val="000000"/>
                <w:sz w:val="24"/>
                <w:szCs w:val="24"/>
                <w:lang w:eastAsia="lv-LV"/>
              </w:rPr>
            </w:pPr>
            <w:r w:rsidRPr="00A07F29">
              <w:rPr>
                <w:noProof/>
                <w:lang w:eastAsia="lv-LV"/>
              </w:rPr>
              <w:drawing>
                <wp:inline distT="0" distB="0" distL="0" distR="0" wp14:anchorId="1C83576D" wp14:editId="541B8B6D">
                  <wp:extent cx="4613299" cy="3459480"/>
                  <wp:effectExtent l="0" t="0" r="0" b="7620"/>
                  <wp:docPr id="918145558"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pic:nvPicPr>
                        <pic:blipFill>
                          <a:blip r:embed="rId53">
                            <a:extLst>
                              <a:ext uri="{28A0092B-C50C-407E-A947-70E740481C1C}">
                                <a14:useLocalDpi xmlns:a14="http://schemas.microsoft.com/office/drawing/2010/main" val="0"/>
                              </a:ext>
                            </a:extLst>
                          </a:blip>
                          <a:stretch>
                            <a:fillRect/>
                          </a:stretch>
                        </pic:blipFill>
                        <pic:spPr>
                          <a:xfrm>
                            <a:off x="0" y="0"/>
                            <a:ext cx="4613299" cy="3459480"/>
                          </a:xfrm>
                          <a:prstGeom prst="rect">
                            <a:avLst/>
                          </a:prstGeom>
                        </pic:spPr>
                      </pic:pic>
                    </a:graphicData>
                  </a:graphic>
                </wp:inline>
              </w:drawing>
            </w:r>
          </w:p>
        </w:tc>
        <w:tc>
          <w:tcPr>
            <w:tcW w:w="4672" w:type="dxa"/>
            <w:vAlign w:val="bottom"/>
          </w:tcPr>
          <w:p w14:paraId="3F83F00B" w14:textId="654A40F2" w:rsidR="00BD4F54" w:rsidRPr="00AB3D27" w:rsidRDefault="00BD4F54" w:rsidP="00BD4F54">
            <w:pPr>
              <w:spacing w:before="200" w:after="120"/>
              <w:jc w:val="both"/>
              <w:outlineLvl w:val="3"/>
              <w:rPr>
                <w:rFonts w:ascii="Times New Roman" w:eastAsia="Calibri" w:hAnsi="Times New Roman" w:cs="Times New Roman"/>
                <w:color w:val="000000"/>
                <w:sz w:val="20"/>
                <w:szCs w:val="20"/>
                <w:lang w:eastAsia="lv-LV"/>
              </w:rPr>
            </w:pPr>
            <w:r w:rsidRPr="00AB3D27">
              <w:rPr>
                <w:rFonts w:ascii="Times New Roman" w:eastAsia="Calibri" w:hAnsi="Times New Roman" w:cs="Times New Roman"/>
                <w:color w:val="000000"/>
                <w:sz w:val="20"/>
                <w:szCs w:val="20"/>
                <w:lang w:eastAsia="lv-LV"/>
              </w:rPr>
              <w:t>4.3.4.3.</w:t>
            </w:r>
            <w:r w:rsidR="00AB3D27" w:rsidRPr="00AB3D27">
              <w:rPr>
                <w:rFonts w:ascii="Times New Roman" w:eastAsia="Calibri" w:hAnsi="Times New Roman" w:cs="Times New Roman"/>
                <w:color w:val="000000"/>
                <w:sz w:val="20"/>
                <w:szCs w:val="20"/>
                <w:lang w:eastAsia="lv-LV"/>
              </w:rPr>
              <w:t> </w:t>
            </w:r>
            <w:r w:rsidRPr="00AB3D27">
              <w:rPr>
                <w:rFonts w:ascii="Times New Roman" w:eastAsia="Calibri" w:hAnsi="Times New Roman" w:cs="Times New Roman"/>
                <w:color w:val="000000"/>
                <w:sz w:val="20"/>
                <w:szCs w:val="20"/>
                <w:lang w:eastAsia="lv-LV"/>
              </w:rPr>
              <w:t>att</w:t>
            </w:r>
            <w:r w:rsidR="00AB3D27" w:rsidRPr="00AB3D27">
              <w:rPr>
                <w:rFonts w:ascii="Times New Roman" w:eastAsia="Calibri" w:hAnsi="Times New Roman" w:cs="Times New Roman"/>
                <w:color w:val="000000"/>
                <w:sz w:val="20"/>
                <w:szCs w:val="20"/>
                <w:lang w:eastAsia="lv-LV"/>
              </w:rPr>
              <w:t>ēls</w:t>
            </w:r>
            <w:r w:rsidRPr="00AB3D27">
              <w:rPr>
                <w:rFonts w:ascii="Times New Roman" w:eastAsia="Calibri" w:hAnsi="Times New Roman" w:cs="Times New Roman"/>
                <w:color w:val="000000"/>
                <w:sz w:val="20"/>
                <w:szCs w:val="20"/>
                <w:lang w:eastAsia="lv-LV"/>
              </w:rPr>
              <w:t>. Sugām bagāti 9180*</w:t>
            </w:r>
            <w:r w:rsidR="00AB3D27" w:rsidRPr="00AB3D27">
              <w:rPr>
                <w:rFonts w:ascii="Times New Roman" w:eastAsia="Calibri" w:hAnsi="Times New Roman" w:cs="Times New Roman"/>
                <w:color w:val="000000"/>
                <w:sz w:val="20"/>
                <w:szCs w:val="20"/>
                <w:lang w:eastAsia="lv-LV"/>
              </w:rPr>
              <w:t> </w:t>
            </w:r>
            <w:r w:rsidRPr="00AB3D27">
              <w:rPr>
                <w:rFonts w:ascii="Times New Roman" w:eastAsia="Calibri" w:hAnsi="Times New Roman" w:cs="Times New Roman"/>
                <w:i/>
                <w:iCs/>
                <w:color w:val="000000"/>
                <w:sz w:val="20"/>
                <w:szCs w:val="20"/>
                <w:lang w:eastAsia="lv-LV"/>
              </w:rPr>
              <w:t>Nogāžu un gravu meži</w:t>
            </w:r>
            <w:r w:rsidRPr="00AB3D27">
              <w:rPr>
                <w:rFonts w:ascii="Times New Roman" w:eastAsia="Calibri" w:hAnsi="Times New Roman" w:cs="Times New Roman"/>
                <w:color w:val="000000"/>
                <w:sz w:val="20"/>
                <w:szCs w:val="20"/>
                <w:lang w:eastAsia="lv-LV"/>
              </w:rPr>
              <w:t xml:space="preserve"> Baznīcas gravā (Foto: P.</w:t>
            </w:r>
            <w:r w:rsidR="00AB3D27" w:rsidRPr="00AB3D27">
              <w:rPr>
                <w:rFonts w:ascii="Times New Roman" w:eastAsia="Calibri" w:hAnsi="Times New Roman" w:cs="Times New Roman"/>
                <w:color w:val="000000"/>
                <w:sz w:val="20"/>
                <w:szCs w:val="20"/>
                <w:lang w:eastAsia="lv-LV"/>
              </w:rPr>
              <w:t> </w:t>
            </w:r>
            <w:proofErr w:type="spellStart"/>
            <w:r w:rsidRPr="00AB3D27">
              <w:rPr>
                <w:rFonts w:ascii="Times New Roman" w:eastAsia="Calibri" w:hAnsi="Times New Roman" w:cs="Times New Roman"/>
                <w:color w:val="000000"/>
                <w:sz w:val="20"/>
                <w:szCs w:val="20"/>
                <w:lang w:eastAsia="lv-LV"/>
              </w:rPr>
              <w:t>Evarts-Bunders</w:t>
            </w:r>
            <w:proofErr w:type="spellEnd"/>
            <w:r w:rsidRPr="00AB3D27">
              <w:rPr>
                <w:rFonts w:ascii="Times New Roman" w:eastAsia="Calibri" w:hAnsi="Times New Roman" w:cs="Times New Roman"/>
                <w:color w:val="000000"/>
                <w:sz w:val="20"/>
                <w:szCs w:val="20"/>
                <w:lang w:eastAsia="lv-LV"/>
              </w:rPr>
              <w:t>).</w:t>
            </w:r>
          </w:p>
        </w:tc>
      </w:tr>
    </w:tbl>
    <w:p w14:paraId="3C12405B" w14:textId="2047312F" w:rsidR="002B1603" w:rsidRPr="00A07F29" w:rsidRDefault="002B1603" w:rsidP="00BD4F54">
      <w:pPr>
        <w:keepNext/>
        <w:spacing w:before="240" w:after="120" w:line="240" w:lineRule="auto"/>
        <w:jc w:val="both"/>
        <w:outlineLvl w:val="3"/>
        <w:rPr>
          <w:rFonts w:ascii="Times New Roman" w:eastAsia="Calibri" w:hAnsi="Times New Roman" w:cs="Times New Roman"/>
          <w:b/>
          <w:bCs/>
          <w:i/>
          <w:iCs/>
          <w:sz w:val="24"/>
          <w:szCs w:val="24"/>
          <w:lang w:eastAsia="lv-LV"/>
        </w:rPr>
      </w:pPr>
      <w:r w:rsidRPr="00A07F29">
        <w:rPr>
          <w:rFonts w:ascii="Times New Roman" w:eastAsia="Calibri" w:hAnsi="Times New Roman" w:cs="Times New Roman"/>
          <w:b/>
          <w:bCs/>
          <w:sz w:val="24"/>
          <w:szCs w:val="24"/>
          <w:lang w:eastAsia="lv-LV"/>
        </w:rPr>
        <w:lastRenderedPageBreak/>
        <w:t>91D0*</w:t>
      </w:r>
      <w:r w:rsidRPr="00A07F29">
        <w:rPr>
          <w:rFonts w:ascii="Times New Roman" w:eastAsia="Calibri" w:hAnsi="Times New Roman" w:cs="Times New Roman"/>
          <w:b/>
          <w:bCs/>
          <w:i/>
          <w:iCs/>
          <w:sz w:val="24"/>
          <w:szCs w:val="24"/>
          <w:lang w:eastAsia="lv-LV"/>
        </w:rPr>
        <w:t xml:space="preserve"> Purvaini meži</w:t>
      </w:r>
    </w:p>
    <w:p w14:paraId="40F5562F" w14:textId="7BB90CE8" w:rsidR="00CD1FBD" w:rsidRPr="00A07F29" w:rsidRDefault="00CD1FBD" w:rsidP="00CD1FBD">
      <w:pPr>
        <w:spacing w:after="120" w:line="240" w:lineRule="auto"/>
        <w:ind w:firstLine="851"/>
        <w:jc w:val="both"/>
        <w:outlineLvl w:val="3"/>
        <w:rPr>
          <w:rFonts w:ascii="Times New Roman" w:eastAsia="Calibri" w:hAnsi="Times New Roman" w:cs="Times New Roman"/>
          <w:bCs/>
          <w:i/>
          <w:iCs/>
          <w:sz w:val="24"/>
          <w:szCs w:val="24"/>
          <w:lang w:eastAsia="lv-LV"/>
        </w:rPr>
      </w:pPr>
      <w:r w:rsidRPr="00A07F29">
        <w:rPr>
          <w:rFonts w:ascii="Times New Roman" w:eastAsia="Calibri" w:hAnsi="Times New Roman" w:cs="Times New Roman"/>
          <w:color w:val="000000" w:themeColor="text1"/>
          <w:sz w:val="24"/>
          <w:szCs w:val="24"/>
          <w:lang w:eastAsia="lv-LV"/>
        </w:rPr>
        <w:t>91D0*</w:t>
      </w:r>
      <w:r w:rsidR="00CE3B7C">
        <w:rPr>
          <w:rFonts w:ascii="Times New Roman" w:eastAsia="Calibri" w:hAnsi="Times New Roman" w:cs="Times New Roman"/>
          <w:color w:val="000000" w:themeColor="text1"/>
          <w:sz w:val="24"/>
          <w:szCs w:val="24"/>
          <w:lang w:eastAsia="lv-LV"/>
        </w:rPr>
        <w:t> </w:t>
      </w:r>
      <w:r w:rsidRPr="00A07F29">
        <w:rPr>
          <w:rFonts w:ascii="Times New Roman" w:eastAsia="Calibri" w:hAnsi="Times New Roman" w:cs="Times New Roman"/>
          <w:i/>
          <w:color w:val="000000" w:themeColor="text1"/>
          <w:sz w:val="24"/>
          <w:szCs w:val="24"/>
          <w:lang w:eastAsia="lv-LV"/>
        </w:rPr>
        <w:t>Purvaini meži</w:t>
      </w:r>
      <w:r w:rsidRPr="00A07F29">
        <w:rPr>
          <w:rFonts w:ascii="Times New Roman" w:eastAsia="Calibri" w:hAnsi="Times New Roman" w:cs="Times New Roman"/>
          <w:color w:val="000000" w:themeColor="text1"/>
          <w:sz w:val="24"/>
          <w:szCs w:val="24"/>
          <w:lang w:eastAsia="lv-LV"/>
        </w:rPr>
        <w:t xml:space="preserve"> aizņem </w:t>
      </w:r>
      <w:r w:rsidRPr="00A07F29">
        <w:rPr>
          <w:rFonts w:ascii="Times New Roman" w:hAnsi="Times New Roman" w:cs="Times New Roman"/>
          <w:sz w:val="24"/>
          <w:szCs w:val="24"/>
        </w:rPr>
        <w:t>602,4</w:t>
      </w:r>
      <w:r w:rsidR="00CE3B7C">
        <w:rPr>
          <w:rFonts w:ascii="Times New Roman" w:hAnsi="Times New Roman" w:cs="Times New Roman"/>
          <w:sz w:val="24"/>
          <w:szCs w:val="24"/>
        </w:rPr>
        <w:t> – </w:t>
      </w:r>
      <w:r w:rsidRPr="00A07F29">
        <w:rPr>
          <w:rFonts w:ascii="Times New Roman" w:hAnsi="Times New Roman" w:cs="Times New Roman"/>
          <w:sz w:val="24"/>
          <w:szCs w:val="24"/>
        </w:rPr>
        <w:t>1200,0</w:t>
      </w:r>
      <w:r w:rsidR="00CE3B7C">
        <w:rPr>
          <w:rFonts w:ascii="Times New Roman" w:hAnsi="Times New Roman" w:cs="Times New Roman"/>
          <w:sz w:val="24"/>
          <w:szCs w:val="24"/>
        </w:rPr>
        <w:t> </w:t>
      </w:r>
      <w:r w:rsidRPr="00A07F29">
        <w:rPr>
          <w:rFonts w:ascii="Times New Roman" w:eastAsia="Calibri" w:hAnsi="Times New Roman" w:cs="Times New Roman"/>
          <w:color w:val="000000" w:themeColor="text1"/>
          <w:sz w:val="24"/>
          <w:szCs w:val="24"/>
          <w:lang w:eastAsia="lv-LV"/>
        </w:rPr>
        <w:t>km</w:t>
      </w:r>
      <w:r w:rsidRPr="00A07F29">
        <w:rPr>
          <w:rFonts w:ascii="Times New Roman" w:eastAsia="Calibri" w:hAnsi="Times New Roman" w:cs="Times New Roman"/>
          <w:color w:val="000000" w:themeColor="text1"/>
          <w:sz w:val="24"/>
          <w:szCs w:val="24"/>
          <w:vertAlign w:val="superscript"/>
          <w:lang w:eastAsia="lv-LV"/>
        </w:rPr>
        <w:t xml:space="preserve">2 </w:t>
      </w:r>
      <w:r w:rsidRPr="00A07F29">
        <w:rPr>
          <w:rFonts w:ascii="Times New Roman" w:eastAsia="Calibri" w:hAnsi="Times New Roman" w:cs="Times New Roman"/>
          <w:color w:val="000000" w:themeColor="text1"/>
          <w:sz w:val="24"/>
          <w:szCs w:val="24"/>
          <w:lang w:eastAsia="lv-LV"/>
        </w:rPr>
        <w:t>no Latvijas teritorijas (</w:t>
      </w:r>
      <w:proofErr w:type="spellStart"/>
      <w:r w:rsidRPr="00A07F29">
        <w:rPr>
          <w:rFonts w:ascii="Times New Roman" w:eastAsia="Calibri" w:hAnsi="Times New Roman" w:cs="Times New Roman"/>
          <w:color w:val="000000" w:themeColor="text1"/>
          <w:sz w:val="24"/>
          <w:szCs w:val="24"/>
          <w:lang w:eastAsia="lv-LV"/>
        </w:rPr>
        <w:t>Conservation</w:t>
      </w:r>
      <w:proofErr w:type="spellEnd"/>
      <w:r w:rsidRPr="00A07F29">
        <w:rPr>
          <w:rFonts w:ascii="Times New Roman" w:eastAsia="Calibri" w:hAnsi="Times New Roman" w:cs="Times New Roman"/>
          <w:color w:val="000000" w:themeColor="text1"/>
          <w:sz w:val="24"/>
          <w:szCs w:val="24"/>
          <w:lang w:eastAsia="lv-LV"/>
        </w:rPr>
        <w:t xml:space="preserve"> </w:t>
      </w:r>
      <w:r w:rsidR="00CE3B7C">
        <w:rPr>
          <w:rFonts w:ascii="Times New Roman" w:eastAsia="Calibri" w:hAnsi="Times New Roman" w:cs="Times New Roman"/>
          <w:color w:val="000000" w:themeColor="text1"/>
          <w:sz w:val="24"/>
          <w:szCs w:val="24"/>
          <w:lang w:eastAsia="lv-LV"/>
        </w:rPr>
        <w:t>S</w:t>
      </w:r>
      <w:r w:rsidRPr="00A07F29">
        <w:rPr>
          <w:rFonts w:ascii="Times New Roman" w:eastAsia="Calibri" w:hAnsi="Times New Roman" w:cs="Times New Roman"/>
          <w:color w:val="000000" w:themeColor="text1"/>
          <w:sz w:val="24"/>
          <w:szCs w:val="24"/>
          <w:lang w:eastAsia="lv-LV"/>
        </w:rPr>
        <w:t xml:space="preserve">tatus </w:t>
      </w:r>
      <w:proofErr w:type="spellStart"/>
      <w:r w:rsidRPr="00A07F29">
        <w:rPr>
          <w:rFonts w:ascii="Times New Roman" w:eastAsia="Calibri" w:hAnsi="Times New Roman" w:cs="Times New Roman"/>
          <w:color w:val="000000" w:themeColor="text1"/>
          <w:sz w:val="24"/>
          <w:szCs w:val="24"/>
          <w:lang w:eastAsia="lv-LV"/>
        </w:rPr>
        <w:t>of</w:t>
      </w:r>
      <w:proofErr w:type="spellEnd"/>
      <w:r w:rsidRPr="00A07F29">
        <w:rPr>
          <w:rFonts w:ascii="Times New Roman" w:eastAsia="Calibri" w:hAnsi="Times New Roman" w:cs="Times New Roman"/>
          <w:color w:val="000000" w:themeColor="text1"/>
          <w:sz w:val="24"/>
          <w:szCs w:val="24"/>
          <w:lang w:eastAsia="lv-LV"/>
        </w:rPr>
        <w:t>..., 2019). AAA “Augšdaugava” šis biotops apzināts 123,</w:t>
      </w:r>
      <w:r w:rsidR="00983FDA" w:rsidRPr="00A07F29">
        <w:rPr>
          <w:rFonts w:ascii="Times New Roman" w:eastAsia="Calibri" w:hAnsi="Times New Roman" w:cs="Times New Roman"/>
          <w:color w:val="000000" w:themeColor="text1"/>
          <w:sz w:val="24"/>
          <w:szCs w:val="24"/>
          <w:lang w:eastAsia="lv-LV"/>
        </w:rPr>
        <w:t>81</w:t>
      </w:r>
      <w:r w:rsidR="00147A93">
        <w:rPr>
          <w:rFonts w:ascii="Times New Roman" w:eastAsia="Calibri" w:hAnsi="Times New Roman" w:cs="Times New Roman"/>
          <w:color w:val="000000" w:themeColor="text1"/>
          <w:sz w:val="24"/>
          <w:szCs w:val="24"/>
          <w:lang w:eastAsia="lv-LV"/>
        </w:rPr>
        <w:t> </w:t>
      </w:r>
      <w:r w:rsidRPr="00A07F29">
        <w:rPr>
          <w:rFonts w:ascii="Times New Roman" w:eastAsia="Calibri" w:hAnsi="Times New Roman" w:cs="Times New Roman"/>
          <w:color w:val="000000" w:themeColor="text1"/>
          <w:sz w:val="24"/>
          <w:szCs w:val="24"/>
          <w:lang w:eastAsia="lv-LV"/>
        </w:rPr>
        <w:t>ha lielā platībā un</w:t>
      </w:r>
      <w:r w:rsidRPr="00A07F29">
        <w:rPr>
          <w:rFonts w:ascii="Times New Roman" w:eastAsia="Calibri" w:hAnsi="Times New Roman" w:cs="Times New Roman"/>
          <w:color w:val="000000"/>
          <w:sz w:val="24"/>
          <w:szCs w:val="24"/>
          <w:lang w:eastAsia="lv-LV"/>
        </w:rPr>
        <w:t xml:space="preserve"> konstatēti visi </w:t>
      </w:r>
      <w:r w:rsidR="00147A93">
        <w:rPr>
          <w:rFonts w:ascii="Times New Roman" w:eastAsia="Calibri" w:hAnsi="Times New Roman" w:cs="Times New Roman"/>
          <w:color w:val="000000"/>
          <w:sz w:val="24"/>
          <w:szCs w:val="24"/>
          <w:lang w:eastAsia="lv-LV"/>
        </w:rPr>
        <w:t>trīs</w:t>
      </w:r>
      <w:r w:rsidRPr="00A07F29">
        <w:rPr>
          <w:rFonts w:ascii="Times New Roman" w:eastAsia="Calibri" w:hAnsi="Times New Roman" w:cs="Times New Roman"/>
          <w:color w:val="000000"/>
          <w:sz w:val="24"/>
          <w:szCs w:val="24"/>
          <w:lang w:eastAsia="lv-LV"/>
        </w:rPr>
        <w:t xml:space="preserve"> šī biotopa varianti</w:t>
      </w:r>
      <w:r w:rsidRPr="00A07F29">
        <w:rPr>
          <w:rFonts w:ascii="Times New Roman" w:eastAsia="Calibri" w:hAnsi="Times New Roman" w:cs="Times New Roman"/>
          <w:color w:val="000000" w:themeColor="text1"/>
          <w:sz w:val="24"/>
          <w:szCs w:val="24"/>
          <w:lang w:eastAsia="lv-LV"/>
        </w:rPr>
        <w:t xml:space="preserve">. </w:t>
      </w:r>
      <w:r w:rsidRPr="00A07F29">
        <w:rPr>
          <w:rFonts w:ascii="Times New Roman" w:eastAsia="Calibri" w:hAnsi="Times New Roman" w:cs="Times New Roman"/>
          <w:color w:val="000000" w:themeColor="text1"/>
          <w:sz w:val="24"/>
          <w:szCs w:val="24"/>
        </w:rPr>
        <w:t>DMB ar labu kvalitāti konstatēti 27,14</w:t>
      </w:r>
      <w:r w:rsidR="00147A93">
        <w:rPr>
          <w:rFonts w:ascii="Times New Roman" w:eastAsia="Calibri" w:hAnsi="Times New Roman" w:cs="Times New Roman"/>
          <w:color w:val="000000" w:themeColor="text1"/>
          <w:sz w:val="24"/>
          <w:szCs w:val="24"/>
        </w:rPr>
        <w:t> </w:t>
      </w:r>
      <w:r w:rsidRPr="00A07F29">
        <w:rPr>
          <w:rFonts w:ascii="Times New Roman" w:eastAsia="Calibri" w:hAnsi="Times New Roman" w:cs="Times New Roman"/>
          <w:color w:val="000000" w:themeColor="text1"/>
          <w:sz w:val="24"/>
          <w:szCs w:val="24"/>
        </w:rPr>
        <w:t>ha</w:t>
      </w:r>
      <w:r w:rsidRPr="00A07F29">
        <w:rPr>
          <w:rFonts w:ascii="Times New Roman" w:eastAsia="Calibri" w:hAnsi="Times New Roman" w:cs="Times New Roman"/>
          <w:sz w:val="24"/>
          <w:szCs w:val="24"/>
        </w:rPr>
        <w:t xml:space="preserve"> jeb 21,94</w:t>
      </w:r>
      <w:r w:rsidR="00147A93">
        <w:rPr>
          <w:rFonts w:ascii="Times New Roman" w:eastAsia="Calibri" w:hAnsi="Times New Roman" w:cs="Times New Roman"/>
          <w:sz w:val="24"/>
          <w:szCs w:val="24"/>
        </w:rPr>
        <w:t> </w:t>
      </w:r>
      <w:r w:rsidRPr="00A07F29">
        <w:rPr>
          <w:rFonts w:ascii="Times New Roman" w:eastAsia="Calibri" w:hAnsi="Times New Roman" w:cs="Times New Roman"/>
          <w:sz w:val="24"/>
          <w:szCs w:val="24"/>
        </w:rPr>
        <w:t>% no biotopa kopējās platības.</w:t>
      </w:r>
      <w:r w:rsidRPr="00A07F29">
        <w:rPr>
          <w:rFonts w:ascii="Times New Roman" w:eastAsia="Calibri" w:hAnsi="Times New Roman" w:cs="Times New Roman"/>
          <w:bCs/>
          <w:sz w:val="24"/>
          <w:szCs w:val="24"/>
          <w:lang w:eastAsia="lv-LV"/>
        </w:rPr>
        <w:t xml:space="preserve"> 91D0*</w:t>
      </w:r>
      <w:r w:rsidR="00147A93">
        <w:rPr>
          <w:rFonts w:ascii="Times New Roman" w:eastAsia="Calibri" w:hAnsi="Times New Roman" w:cs="Times New Roman"/>
          <w:bCs/>
          <w:i/>
          <w:iCs/>
          <w:sz w:val="24"/>
          <w:szCs w:val="24"/>
          <w:lang w:eastAsia="lv-LV"/>
        </w:rPr>
        <w:t> </w:t>
      </w:r>
      <w:r w:rsidRPr="00A07F29">
        <w:rPr>
          <w:rFonts w:ascii="Times New Roman" w:eastAsia="Calibri" w:hAnsi="Times New Roman" w:cs="Times New Roman"/>
          <w:bCs/>
          <w:i/>
          <w:iCs/>
          <w:sz w:val="24"/>
          <w:szCs w:val="24"/>
          <w:lang w:eastAsia="lv-LV"/>
        </w:rPr>
        <w:t xml:space="preserve">Purvaini meži, </w:t>
      </w:r>
      <w:r w:rsidRPr="00A07F29">
        <w:rPr>
          <w:rFonts w:ascii="Times New Roman" w:eastAsia="Calibri" w:hAnsi="Times New Roman" w:cs="Times New Roman"/>
          <w:iCs/>
          <w:color w:val="000000" w:themeColor="text1"/>
          <w:sz w:val="24"/>
          <w:szCs w:val="24"/>
        </w:rPr>
        <w:t>kas atbilst DMB un ir ar izcilu kvalitāti</w:t>
      </w:r>
      <w:r w:rsidR="004C1A93" w:rsidRPr="00A07F29">
        <w:rPr>
          <w:rFonts w:ascii="Times New Roman" w:eastAsia="Calibri" w:hAnsi="Times New Roman" w:cs="Times New Roman"/>
          <w:iCs/>
          <w:color w:val="000000" w:themeColor="text1"/>
          <w:sz w:val="24"/>
          <w:szCs w:val="24"/>
        </w:rPr>
        <w:t>,</w:t>
      </w:r>
      <w:r w:rsidRPr="00A07F29">
        <w:rPr>
          <w:rFonts w:ascii="Times New Roman" w:eastAsia="Calibri" w:hAnsi="Times New Roman" w:cs="Times New Roman"/>
          <w:i/>
          <w:iCs/>
          <w:color w:val="000000" w:themeColor="text1"/>
          <w:sz w:val="24"/>
          <w:szCs w:val="24"/>
        </w:rPr>
        <w:t xml:space="preserve"> </w:t>
      </w:r>
      <w:r w:rsidRPr="00A07F29">
        <w:rPr>
          <w:rFonts w:ascii="Times New Roman" w:eastAsia="Calibri" w:hAnsi="Times New Roman" w:cs="Times New Roman"/>
          <w:iCs/>
          <w:color w:val="000000" w:themeColor="text1"/>
          <w:sz w:val="24"/>
          <w:szCs w:val="24"/>
        </w:rPr>
        <w:t xml:space="preserve">atbilst Latvijas </w:t>
      </w:r>
      <w:r w:rsidR="00CF018F">
        <w:rPr>
          <w:rFonts w:ascii="Times New Roman" w:eastAsia="Calibri" w:hAnsi="Times New Roman" w:cs="Times New Roman"/>
          <w:iCs/>
          <w:color w:val="000000" w:themeColor="text1"/>
          <w:sz w:val="24"/>
          <w:szCs w:val="24"/>
        </w:rPr>
        <w:t>īpaši aizsargājamam</w:t>
      </w:r>
      <w:r w:rsidRPr="00A07F29">
        <w:rPr>
          <w:rFonts w:ascii="Times New Roman" w:eastAsia="Calibri" w:hAnsi="Times New Roman" w:cs="Times New Roman"/>
          <w:iCs/>
          <w:color w:val="000000" w:themeColor="text1"/>
          <w:sz w:val="24"/>
          <w:szCs w:val="24"/>
        </w:rPr>
        <w:t xml:space="preserve"> biotopam</w:t>
      </w:r>
      <w:r w:rsidRPr="00A07F29">
        <w:rPr>
          <w:rFonts w:ascii="Times New Roman" w:eastAsia="Calibri" w:hAnsi="Times New Roman" w:cs="Times New Roman"/>
          <w:i/>
          <w:iCs/>
          <w:color w:val="000000" w:themeColor="text1"/>
          <w:sz w:val="24"/>
          <w:szCs w:val="24"/>
        </w:rPr>
        <w:t xml:space="preserve"> 1.15.</w:t>
      </w:r>
      <w:r w:rsidR="00147A93">
        <w:rPr>
          <w:rFonts w:ascii="Times New Roman" w:eastAsia="Calibri" w:hAnsi="Times New Roman" w:cs="Times New Roman"/>
          <w:i/>
          <w:iCs/>
          <w:color w:val="000000" w:themeColor="text1"/>
          <w:sz w:val="24"/>
          <w:szCs w:val="24"/>
        </w:rPr>
        <w:t> </w:t>
      </w:r>
      <w:r w:rsidRPr="00A07F29">
        <w:rPr>
          <w:rFonts w:ascii="Times New Roman" w:eastAsia="Calibri" w:hAnsi="Times New Roman" w:cs="Times New Roman"/>
          <w:i/>
          <w:iCs/>
          <w:color w:val="000000" w:themeColor="text1"/>
          <w:sz w:val="24"/>
          <w:szCs w:val="24"/>
        </w:rPr>
        <w:t>Veci un dabiski purvaini meži.</w:t>
      </w:r>
    </w:p>
    <w:p w14:paraId="460132C5" w14:textId="5F7D0FFA" w:rsidR="002B1603" w:rsidRPr="00A07F29" w:rsidRDefault="002B1603" w:rsidP="00CD1FBD">
      <w:pPr>
        <w:spacing w:after="120" w:line="240" w:lineRule="auto"/>
        <w:ind w:firstLine="851"/>
        <w:jc w:val="both"/>
        <w:rPr>
          <w:rFonts w:ascii="Times New Roman" w:eastAsia="Calibri" w:hAnsi="Times New Roman" w:cs="Times New Roman"/>
          <w:color w:val="000000"/>
          <w:sz w:val="24"/>
          <w:szCs w:val="24"/>
          <w:lang w:eastAsia="lv-LV"/>
        </w:rPr>
      </w:pPr>
      <w:r w:rsidRPr="00A07F29">
        <w:rPr>
          <w:rFonts w:ascii="Times New Roman" w:eastAsia="Calibri" w:hAnsi="Times New Roman" w:cs="Times New Roman"/>
          <w:color w:val="000000" w:themeColor="text1"/>
          <w:sz w:val="24"/>
          <w:szCs w:val="24"/>
          <w:lang w:eastAsia="lv-LV"/>
        </w:rPr>
        <w:t>91D0*</w:t>
      </w:r>
      <w:r w:rsidR="00493CB6">
        <w:rPr>
          <w:rFonts w:ascii="Times New Roman" w:eastAsia="Calibri" w:hAnsi="Times New Roman" w:cs="Times New Roman"/>
          <w:color w:val="000000" w:themeColor="text1"/>
          <w:sz w:val="24"/>
          <w:szCs w:val="24"/>
          <w:lang w:eastAsia="lv-LV"/>
        </w:rPr>
        <w:t> </w:t>
      </w:r>
      <w:r w:rsidRPr="00A07F29">
        <w:rPr>
          <w:rFonts w:ascii="Times New Roman" w:eastAsia="Calibri" w:hAnsi="Times New Roman" w:cs="Times New Roman"/>
          <w:i/>
          <w:color w:val="000000" w:themeColor="text1"/>
          <w:sz w:val="24"/>
          <w:szCs w:val="24"/>
          <w:lang w:eastAsia="lv-LV"/>
        </w:rPr>
        <w:t>Purvaini meži</w:t>
      </w:r>
      <w:r w:rsidRPr="00A07F29">
        <w:rPr>
          <w:rFonts w:ascii="Times New Roman" w:eastAsia="Calibri" w:hAnsi="Times New Roman" w:cs="Times New Roman"/>
          <w:color w:val="000000" w:themeColor="text1"/>
          <w:sz w:val="24"/>
          <w:szCs w:val="24"/>
          <w:lang w:eastAsia="lv-LV"/>
        </w:rPr>
        <w:t xml:space="preserve"> </w:t>
      </w:r>
      <w:r w:rsidRPr="00A07F29">
        <w:rPr>
          <w:rFonts w:ascii="Times New Roman" w:eastAsia="Calibri" w:hAnsi="Times New Roman" w:cs="Times New Roman"/>
          <w:color w:val="000000"/>
          <w:sz w:val="24"/>
          <w:szCs w:val="24"/>
          <w:lang w:eastAsia="ja-JP"/>
        </w:rPr>
        <w:t xml:space="preserve">ir skujkoku un lapkoku meži periodiski pārmitrās </w:t>
      </w:r>
      <w:proofErr w:type="spellStart"/>
      <w:r w:rsidRPr="00A07F29">
        <w:rPr>
          <w:rFonts w:ascii="Times New Roman" w:eastAsia="Calibri" w:hAnsi="Times New Roman" w:cs="Times New Roman"/>
          <w:color w:val="000000"/>
          <w:sz w:val="24"/>
          <w:szCs w:val="24"/>
          <w:lang w:eastAsia="ja-JP"/>
        </w:rPr>
        <w:t>minerālaugsnēs</w:t>
      </w:r>
      <w:proofErr w:type="spellEnd"/>
      <w:r w:rsidRPr="00A07F29">
        <w:rPr>
          <w:rFonts w:ascii="Times New Roman" w:eastAsia="Calibri" w:hAnsi="Times New Roman" w:cs="Times New Roman"/>
          <w:color w:val="000000"/>
          <w:sz w:val="24"/>
          <w:szCs w:val="24"/>
          <w:lang w:eastAsia="ja-JP"/>
        </w:rPr>
        <w:t xml:space="preserve"> līdz slapjās, barības vielām nabadzīgās kūdras augsnēs ar pastāvīgi augstu gruntsūdens līmeni. </w:t>
      </w:r>
      <w:r w:rsidRPr="00A07F29">
        <w:rPr>
          <w:rFonts w:ascii="Times New Roman" w:eastAsia="Calibri" w:hAnsi="Times New Roman" w:cs="Times New Roman"/>
          <w:color w:val="000000"/>
          <w:sz w:val="24"/>
          <w:szCs w:val="24"/>
          <w:lang w:eastAsia="lv-LV"/>
        </w:rPr>
        <w:t xml:space="preserve">AAA </w:t>
      </w:r>
      <w:r w:rsidR="004C1A93" w:rsidRPr="00A07F29">
        <w:rPr>
          <w:rFonts w:ascii="Times New Roman" w:eastAsia="Calibri" w:hAnsi="Times New Roman" w:cs="Times New Roman"/>
          <w:color w:val="000000"/>
          <w:sz w:val="24"/>
          <w:szCs w:val="24"/>
          <w:lang w:eastAsia="lv-LV"/>
        </w:rPr>
        <w:t xml:space="preserve">“Augšdaugava” </w:t>
      </w:r>
      <w:r w:rsidRPr="00A07F29">
        <w:rPr>
          <w:rFonts w:ascii="Times New Roman" w:eastAsia="Calibri" w:hAnsi="Times New Roman" w:cs="Times New Roman"/>
          <w:color w:val="000000"/>
          <w:sz w:val="24"/>
          <w:szCs w:val="24"/>
          <w:lang w:eastAsia="lv-LV"/>
        </w:rPr>
        <w:t xml:space="preserve">teritorijai purvaini meži nav tipisks biotops un izplatīts ļoti ierobežotās platībās galvenokārt </w:t>
      </w:r>
      <w:proofErr w:type="spellStart"/>
      <w:r w:rsidRPr="00A07F29">
        <w:rPr>
          <w:rFonts w:ascii="Times New Roman" w:eastAsia="Calibri" w:hAnsi="Times New Roman" w:cs="Times New Roman"/>
          <w:color w:val="000000"/>
          <w:sz w:val="24"/>
          <w:szCs w:val="24"/>
          <w:lang w:eastAsia="lv-LV"/>
        </w:rPr>
        <w:t>Varnaviču</w:t>
      </w:r>
      <w:proofErr w:type="spellEnd"/>
      <w:r w:rsidRPr="00A07F29">
        <w:rPr>
          <w:rFonts w:ascii="Times New Roman" w:eastAsia="Calibri" w:hAnsi="Times New Roman" w:cs="Times New Roman"/>
          <w:color w:val="000000"/>
          <w:sz w:val="24"/>
          <w:szCs w:val="24"/>
          <w:lang w:eastAsia="lv-LV"/>
        </w:rPr>
        <w:t xml:space="preserve"> apkārtnes mežos reljefa ieplakās. Šajās audzēs nav sastopami bioloģiski veci koki, liela izmēra atmirušās koksnes atliekas un citas struktūras, tie kopumā ir jauni, tomēr atbilst aizsargājamo mežu biotopu minimālajām prasībām. Biotopa </w:t>
      </w:r>
      <w:r w:rsidRPr="00A07F29">
        <w:rPr>
          <w:rFonts w:ascii="Times New Roman" w:eastAsia="Calibri" w:hAnsi="Times New Roman" w:cs="Times New Roman"/>
          <w:color w:val="000000" w:themeColor="text1"/>
          <w:sz w:val="24"/>
          <w:szCs w:val="24"/>
          <w:lang w:eastAsia="lv-LV"/>
        </w:rPr>
        <w:t>91D0*</w:t>
      </w:r>
      <w:r w:rsidR="00986A4B">
        <w:rPr>
          <w:rFonts w:ascii="Times New Roman" w:eastAsia="Calibri" w:hAnsi="Times New Roman" w:cs="Times New Roman"/>
          <w:color w:val="000000" w:themeColor="text1"/>
          <w:sz w:val="24"/>
          <w:szCs w:val="24"/>
          <w:lang w:eastAsia="lv-LV"/>
        </w:rPr>
        <w:t> </w:t>
      </w:r>
      <w:r w:rsidRPr="00A07F29">
        <w:rPr>
          <w:rFonts w:ascii="Times New Roman" w:eastAsia="Calibri" w:hAnsi="Times New Roman" w:cs="Times New Roman"/>
          <w:i/>
          <w:color w:val="000000" w:themeColor="text1"/>
          <w:sz w:val="24"/>
          <w:szCs w:val="24"/>
          <w:lang w:eastAsia="lv-LV"/>
        </w:rPr>
        <w:t>Purvaini meži</w:t>
      </w:r>
      <w:r w:rsidRPr="00A07F29">
        <w:rPr>
          <w:rFonts w:ascii="Times New Roman" w:eastAsia="Calibri" w:hAnsi="Times New Roman" w:cs="Times New Roman"/>
          <w:color w:val="000000" w:themeColor="text1"/>
          <w:sz w:val="24"/>
          <w:szCs w:val="24"/>
          <w:lang w:eastAsia="lv-LV"/>
        </w:rPr>
        <w:t xml:space="preserve"> </w:t>
      </w:r>
      <w:r w:rsidRPr="00A07F29">
        <w:rPr>
          <w:rFonts w:ascii="Times New Roman" w:eastAsia="Calibri" w:hAnsi="Times New Roman" w:cs="Times New Roman"/>
          <w:color w:val="000000"/>
          <w:sz w:val="24"/>
          <w:szCs w:val="24"/>
          <w:lang w:eastAsia="lv-LV"/>
        </w:rPr>
        <w:t xml:space="preserve">kvalitāte galvenokārt vērtēta kā laba un vidēja un atbilst PDMB un DMB kvalitātei. Biotopa </w:t>
      </w:r>
      <w:r w:rsidRPr="00A07F29">
        <w:rPr>
          <w:rFonts w:ascii="Times New Roman" w:eastAsia="Calibri" w:hAnsi="Times New Roman" w:cs="Times New Roman"/>
          <w:color w:val="000000" w:themeColor="text1"/>
          <w:sz w:val="24"/>
          <w:szCs w:val="24"/>
          <w:lang w:eastAsia="lv-LV"/>
        </w:rPr>
        <w:t>91D0*</w:t>
      </w:r>
      <w:r w:rsidR="00BE0796">
        <w:rPr>
          <w:rFonts w:ascii="Times New Roman" w:eastAsia="Calibri" w:hAnsi="Times New Roman" w:cs="Times New Roman"/>
          <w:color w:val="000000" w:themeColor="text1"/>
          <w:sz w:val="24"/>
          <w:szCs w:val="24"/>
          <w:lang w:eastAsia="lv-LV"/>
        </w:rPr>
        <w:t> </w:t>
      </w:r>
      <w:r w:rsidRPr="00A07F29">
        <w:rPr>
          <w:rFonts w:ascii="Times New Roman" w:eastAsia="Calibri" w:hAnsi="Times New Roman" w:cs="Times New Roman"/>
          <w:i/>
          <w:color w:val="000000" w:themeColor="text1"/>
          <w:sz w:val="24"/>
          <w:szCs w:val="24"/>
          <w:lang w:eastAsia="lv-LV"/>
        </w:rPr>
        <w:t>Purvaini meži</w:t>
      </w:r>
      <w:r w:rsidRPr="00A07F29">
        <w:rPr>
          <w:rFonts w:ascii="Times New Roman" w:eastAsia="Calibri" w:hAnsi="Times New Roman" w:cs="Times New Roman"/>
          <w:color w:val="000000" w:themeColor="text1"/>
          <w:sz w:val="24"/>
          <w:szCs w:val="24"/>
          <w:lang w:eastAsia="lv-LV"/>
        </w:rPr>
        <w:t xml:space="preserve"> </w:t>
      </w:r>
      <w:r w:rsidRPr="00A07F29">
        <w:rPr>
          <w:rFonts w:ascii="Times New Roman" w:eastAsia="Calibri" w:hAnsi="Times New Roman" w:cs="Times New Roman"/>
          <w:color w:val="000000"/>
          <w:sz w:val="24"/>
          <w:szCs w:val="24"/>
          <w:lang w:eastAsia="lv-LV"/>
        </w:rPr>
        <w:t>aizsardzības stāvoklis AAA ir labvēlīgs, jo mitrajās ieplakās esošajās mežaudzēs lielākoties nav veikti mežsaimnieciski pasākumi, arī hidroloģiskais režīms nav būtiski ietekmēts. Pieaugot mežaudžu vidējam vecumam, biotopa stāvoklim nākotnē būs tendence uzlaboties</w:t>
      </w:r>
      <w:r w:rsidR="004C1A93" w:rsidRPr="00A07F29">
        <w:rPr>
          <w:rFonts w:ascii="Times New Roman" w:eastAsia="Calibri" w:hAnsi="Times New Roman" w:cs="Times New Roman"/>
          <w:color w:val="000000"/>
          <w:sz w:val="24"/>
          <w:szCs w:val="24"/>
          <w:lang w:eastAsia="lv-LV"/>
        </w:rPr>
        <w:t xml:space="preserve"> (ar nosacījumu, ka tiek īstenoti aizsardzības pasākumi)</w:t>
      </w:r>
      <w:r w:rsidRPr="00A07F29">
        <w:rPr>
          <w:rFonts w:ascii="Times New Roman" w:eastAsia="Calibri" w:hAnsi="Times New Roman" w:cs="Times New Roman"/>
          <w:color w:val="000000"/>
          <w:sz w:val="24"/>
          <w:szCs w:val="24"/>
          <w:lang w:eastAsia="lv-LV"/>
        </w:rPr>
        <w:t>.</w:t>
      </w:r>
    </w:p>
    <w:p w14:paraId="6A278FF1" w14:textId="68F0C950" w:rsidR="002B1603" w:rsidRPr="00A07F29" w:rsidRDefault="002B1603" w:rsidP="004C1A93">
      <w:pPr>
        <w:spacing w:after="120" w:line="240" w:lineRule="auto"/>
        <w:ind w:firstLine="851"/>
        <w:jc w:val="both"/>
        <w:rPr>
          <w:rFonts w:ascii="Times New Roman" w:eastAsia="Calibri" w:hAnsi="Times New Roman" w:cs="Times New Roman"/>
          <w:color w:val="000000"/>
          <w:sz w:val="24"/>
          <w:szCs w:val="24"/>
          <w:lang w:eastAsia="ja-JP"/>
        </w:rPr>
      </w:pPr>
      <w:r w:rsidRPr="00A07F29">
        <w:rPr>
          <w:rFonts w:ascii="Times New Roman" w:eastAsia="Calibri" w:hAnsi="Times New Roman" w:cs="Times New Roman"/>
          <w:color w:val="000000"/>
          <w:sz w:val="24"/>
          <w:szCs w:val="24"/>
          <w:lang w:eastAsia="ja-JP"/>
        </w:rPr>
        <w:t xml:space="preserve">No aizsargājamām </w:t>
      </w:r>
      <w:proofErr w:type="spellStart"/>
      <w:r w:rsidRPr="00A07F29">
        <w:rPr>
          <w:rFonts w:ascii="Times New Roman" w:eastAsia="Calibri" w:hAnsi="Times New Roman" w:cs="Times New Roman"/>
          <w:color w:val="000000"/>
          <w:sz w:val="24"/>
          <w:szCs w:val="24"/>
          <w:lang w:eastAsia="ja-JP"/>
        </w:rPr>
        <w:t>vaskulāro</w:t>
      </w:r>
      <w:proofErr w:type="spellEnd"/>
      <w:r w:rsidRPr="00A07F29">
        <w:rPr>
          <w:rFonts w:ascii="Times New Roman" w:eastAsia="Calibri" w:hAnsi="Times New Roman" w:cs="Times New Roman"/>
          <w:color w:val="000000"/>
          <w:sz w:val="24"/>
          <w:szCs w:val="24"/>
          <w:lang w:eastAsia="ja-JP"/>
        </w:rPr>
        <w:t xml:space="preserve"> augu sugām biotopā </w:t>
      </w:r>
      <w:r w:rsidRPr="00A07F29">
        <w:rPr>
          <w:rFonts w:ascii="Times New Roman" w:eastAsia="Calibri" w:hAnsi="Times New Roman" w:cs="Times New Roman"/>
          <w:color w:val="000000" w:themeColor="text1"/>
          <w:sz w:val="24"/>
          <w:szCs w:val="24"/>
          <w:lang w:eastAsia="lv-LV"/>
        </w:rPr>
        <w:t>91D0*</w:t>
      </w:r>
      <w:r w:rsidR="004D03FC">
        <w:rPr>
          <w:rFonts w:ascii="Times New Roman" w:eastAsia="Calibri" w:hAnsi="Times New Roman" w:cs="Times New Roman"/>
          <w:color w:val="000000" w:themeColor="text1"/>
          <w:sz w:val="24"/>
          <w:szCs w:val="24"/>
          <w:lang w:eastAsia="lv-LV"/>
        </w:rPr>
        <w:t> </w:t>
      </w:r>
      <w:r w:rsidRPr="00A07F29">
        <w:rPr>
          <w:rFonts w:ascii="Times New Roman" w:eastAsia="Calibri" w:hAnsi="Times New Roman" w:cs="Times New Roman"/>
          <w:i/>
          <w:color w:val="000000" w:themeColor="text1"/>
          <w:sz w:val="24"/>
          <w:szCs w:val="24"/>
          <w:lang w:eastAsia="lv-LV"/>
        </w:rPr>
        <w:t>Purvaini meži</w:t>
      </w:r>
      <w:r w:rsidRPr="00A07F29">
        <w:rPr>
          <w:rFonts w:ascii="Times New Roman" w:eastAsia="Calibri" w:hAnsi="Times New Roman" w:cs="Times New Roman"/>
          <w:color w:val="000000"/>
          <w:sz w:val="24"/>
          <w:szCs w:val="24"/>
          <w:lang w:eastAsia="ja-JP"/>
        </w:rPr>
        <w:t xml:space="preserve"> konstatētas: gada staipeknis </w:t>
      </w:r>
      <w:proofErr w:type="spellStart"/>
      <w:r w:rsidRPr="00A07F29">
        <w:rPr>
          <w:rFonts w:ascii="Times New Roman" w:eastAsia="Calibri" w:hAnsi="Times New Roman" w:cs="Times New Roman"/>
          <w:i/>
          <w:iCs/>
          <w:color w:val="000000"/>
          <w:sz w:val="24"/>
          <w:szCs w:val="24"/>
          <w:lang w:eastAsia="ja-JP"/>
        </w:rPr>
        <w:t>Lycopodium</w:t>
      </w:r>
      <w:proofErr w:type="spellEnd"/>
      <w:r w:rsidRPr="00A07F29">
        <w:rPr>
          <w:rFonts w:ascii="Times New Roman" w:eastAsia="Calibri" w:hAnsi="Times New Roman" w:cs="Times New Roman"/>
          <w:i/>
          <w:iCs/>
          <w:color w:val="000000"/>
          <w:sz w:val="24"/>
          <w:szCs w:val="24"/>
          <w:lang w:eastAsia="ja-JP"/>
        </w:rPr>
        <w:t xml:space="preserve"> </w:t>
      </w:r>
      <w:proofErr w:type="spellStart"/>
      <w:r w:rsidRPr="00A07F29">
        <w:rPr>
          <w:rFonts w:ascii="Times New Roman" w:eastAsia="Calibri" w:hAnsi="Times New Roman" w:cs="Times New Roman"/>
          <w:i/>
          <w:iCs/>
          <w:color w:val="000000"/>
          <w:sz w:val="24"/>
          <w:szCs w:val="24"/>
          <w:lang w:eastAsia="ja-JP"/>
        </w:rPr>
        <w:t>annotinum</w:t>
      </w:r>
      <w:proofErr w:type="spellEnd"/>
      <w:r w:rsidRPr="00A07F29">
        <w:rPr>
          <w:rFonts w:ascii="Times New Roman" w:eastAsia="Calibri" w:hAnsi="Times New Roman" w:cs="Times New Roman"/>
          <w:i/>
          <w:iCs/>
          <w:color w:val="000000"/>
          <w:sz w:val="24"/>
          <w:szCs w:val="24"/>
          <w:lang w:eastAsia="ja-JP"/>
        </w:rPr>
        <w:t>,</w:t>
      </w:r>
      <w:r w:rsidRPr="00A07F29">
        <w:rPr>
          <w:rFonts w:ascii="Times New Roman" w:eastAsia="Calibri" w:hAnsi="Times New Roman" w:cs="Times New Roman"/>
          <w:color w:val="000000"/>
          <w:sz w:val="24"/>
          <w:szCs w:val="24"/>
          <w:lang w:eastAsia="ja-JP"/>
        </w:rPr>
        <w:t xml:space="preserve"> </w:t>
      </w:r>
      <w:proofErr w:type="spellStart"/>
      <w:r w:rsidRPr="00A07F29">
        <w:rPr>
          <w:rFonts w:ascii="Times New Roman" w:eastAsia="Calibri" w:hAnsi="Times New Roman" w:cs="Times New Roman"/>
          <w:color w:val="000000"/>
          <w:sz w:val="24"/>
          <w:szCs w:val="24"/>
          <w:lang w:eastAsia="ja-JP"/>
        </w:rPr>
        <w:t>apdzira</w:t>
      </w:r>
      <w:proofErr w:type="spellEnd"/>
      <w:r w:rsidRPr="00A07F29">
        <w:rPr>
          <w:rFonts w:ascii="Times New Roman" w:eastAsia="Calibri" w:hAnsi="Times New Roman" w:cs="Times New Roman"/>
          <w:color w:val="000000"/>
          <w:sz w:val="24"/>
          <w:szCs w:val="24"/>
          <w:lang w:eastAsia="ja-JP"/>
        </w:rPr>
        <w:t xml:space="preserve"> </w:t>
      </w:r>
      <w:proofErr w:type="spellStart"/>
      <w:r w:rsidRPr="00A07F29">
        <w:rPr>
          <w:rFonts w:ascii="Times New Roman" w:eastAsia="Calibri" w:hAnsi="Times New Roman" w:cs="Times New Roman"/>
          <w:i/>
          <w:iCs/>
          <w:color w:val="000000"/>
          <w:sz w:val="24"/>
          <w:szCs w:val="24"/>
          <w:lang w:eastAsia="ja-JP"/>
        </w:rPr>
        <w:t>Huperzia</w:t>
      </w:r>
      <w:proofErr w:type="spellEnd"/>
      <w:r w:rsidRPr="00A07F29">
        <w:rPr>
          <w:rFonts w:ascii="Times New Roman" w:eastAsia="Calibri" w:hAnsi="Times New Roman" w:cs="Times New Roman"/>
          <w:i/>
          <w:iCs/>
          <w:color w:val="000000"/>
          <w:sz w:val="24"/>
          <w:szCs w:val="24"/>
          <w:lang w:eastAsia="ja-JP"/>
        </w:rPr>
        <w:t xml:space="preserve"> </w:t>
      </w:r>
      <w:proofErr w:type="spellStart"/>
      <w:r w:rsidRPr="00A07F29">
        <w:rPr>
          <w:rFonts w:ascii="Times New Roman" w:eastAsia="Calibri" w:hAnsi="Times New Roman" w:cs="Times New Roman"/>
          <w:i/>
          <w:iCs/>
          <w:color w:val="000000"/>
          <w:sz w:val="24"/>
          <w:szCs w:val="24"/>
          <w:lang w:eastAsia="ja-JP"/>
        </w:rPr>
        <w:t>selago</w:t>
      </w:r>
      <w:proofErr w:type="spellEnd"/>
      <w:r w:rsidRPr="00A07F29">
        <w:rPr>
          <w:rFonts w:ascii="Times New Roman" w:eastAsia="Calibri" w:hAnsi="Times New Roman" w:cs="Times New Roman"/>
          <w:color w:val="000000"/>
          <w:sz w:val="24"/>
          <w:szCs w:val="24"/>
          <w:lang w:eastAsia="ja-JP"/>
        </w:rPr>
        <w:t xml:space="preserve">, plankumainā </w:t>
      </w:r>
      <w:proofErr w:type="spellStart"/>
      <w:r w:rsidRPr="00A07F29">
        <w:rPr>
          <w:rFonts w:ascii="Times New Roman" w:eastAsia="Calibri" w:hAnsi="Times New Roman" w:cs="Times New Roman"/>
          <w:color w:val="000000"/>
          <w:sz w:val="24"/>
          <w:szCs w:val="24"/>
          <w:lang w:eastAsia="ja-JP"/>
        </w:rPr>
        <w:t>dzegužpirkstīte</w:t>
      </w:r>
      <w:proofErr w:type="spellEnd"/>
      <w:r w:rsidRPr="00A07F29">
        <w:rPr>
          <w:rFonts w:ascii="Times New Roman" w:eastAsia="Calibri" w:hAnsi="Times New Roman" w:cs="Times New Roman"/>
          <w:color w:val="000000"/>
          <w:sz w:val="24"/>
          <w:szCs w:val="24"/>
          <w:lang w:eastAsia="ja-JP"/>
        </w:rPr>
        <w:t xml:space="preserve"> </w:t>
      </w:r>
      <w:proofErr w:type="spellStart"/>
      <w:r w:rsidRPr="00A07F29">
        <w:rPr>
          <w:rFonts w:ascii="Times New Roman" w:eastAsia="Calibri" w:hAnsi="Times New Roman" w:cs="Times New Roman"/>
          <w:i/>
          <w:iCs/>
          <w:color w:val="000000"/>
          <w:sz w:val="24"/>
          <w:szCs w:val="24"/>
          <w:lang w:eastAsia="ja-JP"/>
        </w:rPr>
        <w:t>Dactylorhiza</w:t>
      </w:r>
      <w:proofErr w:type="spellEnd"/>
      <w:r w:rsidRPr="00A07F29">
        <w:rPr>
          <w:rFonts w:ascii="Times New Roman" w:eastAsia="Calibri" w:hAnsi="Times New Roman" w:cs="Times New Roman"/>
          <w:i/>
          <w:iCs/>
          <w:color w:val="000000"/>
          <w:sz w:val="24"/>
          <w:szCs w:val="24"/>
          <w:lang w:eastAsia="ja-JP"/>
        </w:rPr>
        <w:t xml:space="preserve"> </w:t>
      </w:r>
      <w:proofErr w:type="spellStart"/>
      <w:r w:rsidRPr="00A07F29">
        <w:rPr>
          <w:rFonts w:ascii="Times New Roman" w:eastAsia="Calibri" w:hAnsi="Times New Roman" w:cs="Times New Roman"/>
          <w:i/>
          <w:iCs/>
          <w:color w:val="000000"/>
          <w:sz w:val="24"/>
          <w:szCs w:val="24"/>
          <w:lang w:eastAsia="ja-JP"/>
        </w:rPr>
        <w:t>maculata</w:t>
      </w:r>
      <w:proofErr w:type="spellEnd"/>
      <w:r w:rsidRPr="00A07F29">
        <w:rPr>
          <w:rFonts w:ascii="Times New Roman" w:eastAsia="Calibri" w:hAnsi="Times New Roman" w:cs="Times New Roman"/>
          <w:i/>
          <w:iCs/>
          <w:color w:val="000000"/>
          <w:sz w:val="24"/>
          <w:szCs w:val="24"/>
          <w:lang w:eastAsia="ja-JP"/>
        </w:rPr>
        <w:t xml:space="preserve"> </w:t>
      </w:r>
      <w:r w:rsidRPr="00A07F29">
        <w:rPr>
          <w:rFonts w:ascii="Times New Roman" w:eastAsia="Calibri" w:hAnsi="Times New Roman" w:cs="Times New Roman"/>
          <w:color w:val="000000"/>
          <w:sz w:val="24"/>
          <w:szCs w:val="24"/>
          <w:lang w:eastAsia="ja-JP"/>
        </w:rPr>
        <w:t xml:space="preserve">un </w:t>
      </w:r>
      <w:proofErr w:type="spellStart"/>
      <w:r w:rsidRPr="00A07F29">
        <w:rPr>
          <w:rFonts w:ascii="Times New Roman" w:eastAsia="Calibri" w:hAnsi="Times New Roman" w:cs="Times New Roman"/>
          <w:color w:val="000000"/>
          <w:sz w:val="24"/>
          <w:szCs w:val="24"/>
          <w:lang w:eastAsia="ja-JP"/>
        </w:rPr>
        <w:t>Fuksa</w:t>
      </w:r>
      <w:proofErr w:type="spellEnd"/>
      <w:r w:rsidRPr="00A07F29">
        <w:rPr>
          <w:rFonts w:ascii="Times New Roman" w:eastAsia="Calibri" w:hAnsi="Times New Roman" w:cs="Times New Roman"/>
          <w:color w:val="000000"/>
          <w:sz w:val="24"/>
          <w:szCs w:val="24"/>
          <w:lang w:eastAsia="ja-JP"/>
        </w:rPr>
        <w:t xml:space="preserve"> </w:t>
      </w:r>
      <w:proofErr w:type="spellStart"/>
      <w:r w:rsidRPr="00A07F29">
        <w:rPr>
          <w:rFonts w:ascii="Times New Roman" w:eastAsia="Calibri" w:hAnsi="Times New Roman" w:cs="Times New Roman"/>
          <w:color w:val="000000"/>
          <w:sz w:val="24"/>
          <w:szCs w:val="24"/>
          <w:lang w:eastAsia="ja-JP"/>
        </w:rPr>
        <w:t>dzegužpirkstīte</w:t>
      </w:r>
      <w:proofErr w:type="spellEnd"/>
      <w:r w:rsidRPr="00A07F29">
        <w:rPr>
          <w:rFonts w:ascii="Times New Roman" w:eastAsia="Calibri" w:hAnsi="Times New Roman" w:cs="Times New Roman"/>
          <w:color w:val="000000"/>
          <w:sz w:val="24"/>
          <w:szCs w:val="24"/>
          <w:lang w:eastAsia="ja-JP"/>
        </w:rPr>
        <w:t xml:space="preserve"> </w:t>
      </w:r>
      <w:proofErr w:type="spellStart"/>
      <w:r w:rsidRPr="00A07F29">
        <w:rPr>
          <w:rFonts w:ascii="Times New Roman" w:eastAsia="Calibri" w:hAnsi="Times New Roman" w:cs="Times New Roman"/>
          <w:i/>
          <w:iCs/>
          <w:color w:val="000000"/>
          <w:sz w:val="24"/>
          <w:szCs w:val="24"/>
          <w:lang w:eastAsia="ja-JP"/>
        </w:rPr>
        <w:t>Dactylorhiza</w:t>
      </w:r>
      <w:proofErr w:type="spellEnd"/>
      <w:r w:rsidRPr="00A07F29">
        <w:rPr>
          <w:rFonts w:ascii="Times New Roman" w:eastAsia="Calibri" w:hAnsi="Times New Roman" w:cs="Times New Roman"/>
          <w:i/>
          <w:iCs/>
          <w:color w:val="000000"/>
          <w:sz w:val="24"/>
          <w:szCs w:val="24"/>
          <w:lang w:eastAsia="ja-JP"/>
        </w:rPr>
        <w:t xml:space="preserve"> </w:t>
      </w:r>
      <w:proofErr w:type="spellStart"/>
      <w:r w:rsidRPr="00A07F29">
        <w:rPr>
          <w:rFonts w:ascii="Times New Roman" w:eastAsia="Calibri" w:hAnsi="Times New Roman" w:cs="Times New Roman"/>
          <w:i/>
          <w:iCs/>
          <w:color w:val="000000"/>
          <w:sz w:val="24"/>
          <w:szCs w:val="24"/>
          <w:lang w:eastAsia="ja-JP"/>
        </w:rPr>
        <w:t>fuchsii</w:t>
      </w:r>
      <w:proofErr w:type="spellEnd"/>
      <w:r w:rsidRPr="00A07F29">
        <w:rPr>
          <w:rFonts w:ascii="Times New Roman" w:eastAsia="Calibri" w:hAnsi="Times New Roman" w:cs="Times New Roman"/>
          <w:color w:val="000000"/>
          <w:sz w:val="24"/>
          <w:szCs w:val="24"/>
          <w:lang w:eastAsia="ja-JP"/>
        </w:rPr>
        <w:t xml:space="preserve">. No DMB </w:t>
      </w:r>
      <w:proofErr w:type="spellStart"/>
      <w:r w:rsidRPr="00A07F29">
        <w:rPr>
          <w:rFonts w:ascii="Times New Roman" w:eastAsia="Calibri" w:hAnsi="Times New Roman" w:cs="Times New Roman"/>
          <w:color w:val="000000"/>
          <w:sz w:val="24"/>
          <w:szCs w:val="24"/>
          <w:lang w:eastAsia="ja-JP"/>
        </w:rPr>
        <w:t>indikatorsugām</w:t>
      </w:r>
      <w:proofErr w:type="spellEnd"/>
      <w:r w:rsidRPr="00A07F29">
        <w:rPr>
          <w:rFonts w:ascii="Times New Roman" w:eastAsia="Calibri" w:hAnsi="Times New Roman" w:cs="Times New Roman"/>
          <w:color w:val="000000"/>
          <w:sz w:val="24"/>
          <w:szCs w:val="24"/>
          <w:lang w:eastAsia="ja-JP"/>
        </w:rPr>
        <w:t xml:space="preserve"> konstatēta </w:t>
      </w:r>
      <w:proofErr w:type="spellStart"/>
      <w:r w:rsidRPr="00A07F29">
        <w:rPr>
          <w:rFonts w:ascii="Times New Roman" w:eastAsia="Calibri" w:hAnsi="Times New Roman" w:cs="Times New Roman"/>
          <w:color w:val="000000"/>
          <w:sz w:val="24"/>
          <w:szCs w:val="24"/>
          <w:lang w:eastAsia="ja-JP"/>
        </w:rPr>
        <w:t>līklapu</w:t>
      </w:r>
      <w:proofErr w:type="spellEnd"/>
      <w:r w:rsidRPr="00A07F29">
        <w:rPr>
          <w:rFonts w:ascii="Times New Roman" w:eastAsia="Calibri" w:hAnsi="Times New Roman" w:cs="Times New Roman"/>
          <w:color w:val="000000"/>
          <w:sz w:val="24"/>
          <w:szCs w:val="24"/>
          <w:lang w:eastAsia="ja-JP"/>
        </w:rPr>
        <w:t xml:space="preserve"> </w:t>
      </w:r>
      <w:proofErr w:type="spellStart"/>
      <w:r w:rsidRPr="00A07F29">
        <w:rPr>
          <w:rFonts w:ascii="Times New Roman" w:eastAsia="Calibri" w:hAnsi="Times New Roman" w:cs="Times New Roman"/>
          <w:color w:val="000000"/>
          <w:sz w:val="24"/>
          <w:szCs w:val="24"/>
          <w:lang w:eastAsia="ja-JP"/>
        </w:rPr>
        <w:t>novellija</w:t>
      </w:r>
      <w:proofErr w:type="spellEnd"/>
      <w:r w:rsidRPr="00A07F29">
        <w:rPr>
          <w:rFonts w:ascii="Times New Roman" w:eastAsia="Calibri" w:hAnsi="Times New Roman" w:cs="Times New Roman"/>
          <w:color w:val="000000"/>
          <w:sz w:val="24"/>
          <w:szCs w:val="24"/>
          <w:lang w:eastAsia="ja-JP"/>
        </w:rPr>
        <w:t xml:space="preserve"> </w:t>
      </w:r>
      <w:proofErr w:type="spellStart"/>
      <w:r w:rsidRPr="00A07F29">
        <w:rPr>
          <w:rFonts w:ascii="Times New Roman" w:eastAsia="Calibri" w:hAnsi="Times New Roman" w:cs="Times New Roman"/>
          <w:i/>
          <w:iCs/>
          <w:color w:val="000000"/>
          <w:sz w:val="24"/>
          <w:szCs w:val="24"/>
          <w:lang w:eastAsia="ja-JP"/>
        </w:rPr>
        <w:t>Nowellia</w:t>
      </w:r>
      <w:proofErr w:type="spellEnd"/>
      <w:r w:rsidRPr="00A07F29">
        <w:rPr>
          <w:rFonts w:ascii="Times New Roman" w:eastAsia="Calibri" w:hAnsi="Times New Roman" w:cs="Times New Roman"/>
          <w:i/>
          <w:iCs/>
          <w:color w:val="000000"/>
          <w:sz w:val="24"/>
          <w:szCs w:val="24"/>
          <w:lang w:eastAsia="ja-JP"/>
        </w:rPr>
        <w:t xml:space="preserve"> </w:t>
      </w:r>
      <w:proofErr w:type="spellStart"/>
      <w:r w:rsidRPr="00A07F29">
        <w:rPr>
          <w:rFonts w:ascii="Times New Roman" w:eastAsia="Calibri" w:hAnsi="Times New Roman" w:cs="Times New Roman"/>
          <w:i/>
          <w:iCs/>
          <w:color w:val="000000"/>
          <w:sz w:val="24"/>
          <w:szCs w:val="24"/>
          <w:lang w:eastAsia="ja-JP"/>
        </w:rPr>
        <w:t>curvifolia</w:t>
      </w:r>
      <w:proofErr w:type="spellEnd"/>
      <w:r w:rsidRPr="00A07F29">
        <w:rPr>
          <w:rFonts w:ascii="Times New Roman" w:eastAsia="Calibri" w:hAnsi="Times New Roman" w:cs="Times New Roman"/>
          <w:i/>
          <w:iCs/>
          <w:color w:val="000000"/>
          <w:sz w:val="24"/>
          <w:szCs w:val="24"/>
          <w:lang w:eastAsia="ja-JP"/>
        </w:rPr>
        <w:t xml:space="preserve"> </w:t>
      </w:r>
      <w:r w:rsidRPr="00A07F29">
        <w:rPr>
          <w:rFonts w:ascii="Times New Roman" w:eastAsia="Calibri" w:hAnsi="Times New Roman" w:cs="Times New Roman"/>
          <w:color w:val="000000"/>
          <w:sz w:val="24"/>
          <w:szCs w:val="24"/>
          <w:lang w:eastAsia="ja-JP"/>
        </w:rPr>
        <w:t xml:space="preserve">un DMB specifiskā suga un arī aizsargājamā suga </w:t>
      </w:r>
      <w:proofErr w:type="spellStart"/>
      <w:r w:rsidRPr="00A07F29">
        <w:rPr>
          <w:rFonts w:ascii="Times New Roman" w:eastAsia="Calibri" w:hAnsi="Times New Roman" w:cs="Times New Roman"/>
          <w:color w:val="000000"/>
          <w:sz w:val="24"/>
          <w:szCs w:val="24"/>
          <w:lang w:eastAsia="ja-JP"/>
        </w:rPr>
        <w:t>Hellera</w:t>
      </w:r>
      <w:proofErr w:type="spellEnd"/>
      <w:r w:rsidRPr="00A07F29">
        <w:rPr>
          <w:rFonts w:ascii="Times New Roman" w:eastAsia="Calibri" w:hAnsi="Times New Roman" w:cs="Times New Roman"/>
          <w:color w:val="000000"/>
          <w:sz w:val="24"/>
          <w:szCs w:val="24"/>
          <w:lang w:eastAsia="ja-JP"/>
        </w:rPr>
        <w:t xml:space="preserve"> </w:t>
      </w:r>
      <w:proofErr w:type="spellStart"/>
      <w:r w:rsidRPr="00A07F29">
        <w:rPr>
          <w:rFonts w:ascii="Times New Roman" w:eastAsia="Calibri" w:hAnsi="Times New Roman" w:cs="Times New Roman"/>
          <w:color w:val="000000"/>
          <w:sz w:val="24"/>
          <w:szCs w:val="24"/>
          <w:lang w:eastAsia="ja-JP"/>
        </w:rPr>
        <w:t>ķīļlape</w:t>
      </w:r>
      <w:proofErr w:type="spellEnd"/>
      <w:r w:rsidRPr="00A07F29">
        <w:rPr>
          <w:rFonts w:ascii="Times New Roman" w:eastAsia="Calibri" w:hAnsi="Times New Roman" w:cs="Times New Roman"/>
          <w:color w:val="000000"/>
          <w:sz w:val="24"/>
          <w:szCs w:val="24"/>
          <w:lang w:eastAsia="ja-JP"/>
        </w:rPr>
        <w:t xml:space="preserve"> </w:t>
      </w:r>
      <w:proofErr w:type="spellStart"/>
      <w:r w:rsidRPr="00A07F29">
        <w:rPr>
          <w:rFonts w:ascii="Times New Roman" w:eastAsia="Calibri" w:hAnsi="Times New Roman" w:cs="Times New Roman"/>
          <w:i/>
          <w:iCs/>
          <w:color w:val="000000"/>
          <w:sz w:val="24"/>
          <w:szCs w:val="24"/>
          <w:lang w:eastAsia="ja-JP"/>
        </w:rPr>
        <w:t>Anastrophyllum</w:t>
      </w:r>
      <w:proofErr w:type="spellEnd"/>
      <w:r w:rsidRPr="00A07F29">
        <w:rPr>
          <w:rFonts w:ascii="Times New Roman" w:eastAsia="Calibri" w:hAnsi="Times New Roman" w:cs="Times New Roman"/>
          <w:i/>
          <w:iCs/>
          <w:color w:val="000000"/>
          <w:sz w:val="24"/>
          <w:szCs w:val="24"/>
          <w:lang w:eastAsia="ja-JP"/>
        </w:rPr>
        <w:t xml:space="preserve"> </w:t>
      </w:r>
      <w:proofErr w:type="spellStart"/>
      <w:r w:rsidRPr="00A07F29">
        <w:rPr>
          <w:rFonts w:ascii="Times New Roman" w:eastAsia="Calibri" w:hAnsi="Times New Roman" w:cs="Times New Roman"/>
          <w:i/>
          <w:iCs/>
          <w:color w:val="000000"/>
          <w:sz w:val="24"/>
          <w:szCs w:val="24"/>
          <w:lang w:eastAsia="ja-JP"/>
        </w:rPr>
        <w:t>hellerianum</w:t>
      </w:r>
      <w:proofErr w:type="spellEnd"/>
      <w:r w:rsidRPr="00A07F29">
        <w:rPr>
          <w:rFonts w:ascii="Times New Roman" w:eastAsia="Calibri" w:hAnsi="Times New Roman" w:cs="Times New Roman"/>
          <w:color w:val="000000"/>
          <w:sz w:val="24"/>
          <w:szCs w:val="24"/>
          <w:lang w:eastAsia="ja-JP"/>
        </w:rPr>
        <w:t>.</w:t>
      </w:r>
    </w:p>
    <w:p w14:paraId="0ACA0C7C" w14:textId="354637A2" w:rsidR="002B1603" w:rsidRPr="00A07F29" w:rsidRDefault="002B1603" w:rsidP="004C1A93">
      <w:pPr>
        <w:keepNext/>
        <w:keepLines/>
        <w:spacing w:before="240" w:after="120" w:line="240" w:lineRule="auto"/>
        <w:jc w:val="both"/>
        <w:outlineLvl w:val="3"/>
        <w:rPr>
          <w:rFonts w:ascii="Times New Roman" w:eastAsia="Calibri" w:hAnsi="Times New Roman" w:cs="Times New Roman"/>
          <w:b/>
          <w:bCs/>
          <w:i/>
          <w:iCs/>
          <w:sz w:val="24"/>
          <w:szCs w:val="24"/>
          <w:lang w:eastAsia="lv-LV"/>
        </w:rPr>
      </w:pPr>
      <w:r w:rsidRPr="00A07F29">
        <w:rPr>
          <w:rFonts w:ascii="Times New Roman" w:eastAsia="Calibri" w:hAnsi="Times New Roman" w:cs="Times New Roman"/>
          <w:b/>
          <w:bCs/>
          <w:sz w:val="24"/>
          <w:szCs w:val="24"/>
          <w:lang w:eastAsia="lv-LV"/>
        </w:rPr>
        <w:t>91E0*</w:t>
      </w:r>
      <w:r w:rsidRPr="00A07F29">
        <w:rPr>
          <w:rFonts w:ascii="Times New Roman" w:eastAsia="Calibri" w:hAnsi="Times New Roman" w:cs="Times New Roman"/>
          <w:b/>
          <w:bCs/>
          <w:i/>
          <w:iCs/>
          <w:sz w:val="24"/>
          <w:szCs w:val="24"/>
          <w:lang w:eastAsia="lv-LV"/>
        </w:rPr>
        <w:t xml:space="preserve"> Aluviāli meži (aluviāli krastmalu un palieņu meži)</w:t>
      </w:r>
    </w:p>
    <w:p w14:paraId="3DE864B5" w14:textId="58ECE5A2" w:rsidR="004C1A93" w:rsidRPr="00A07F29" w:rsidRDefault="004C1A93" w:rsidP="004C1A93">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Pilnīgāks priekšstats ir tikai par aluviālo mežu</w:t>
      </w:r>
      <w:r w:rsidRPr="00A07F29">
        <w:rPr>
          <w:rFonts w:ascii="Times New Roman" w:eastAsia="Calibri" w:hAnsi="Times New Roman" w:cs="Times New Roman"/>
          <w:b/>
          <w:bCs/>
          <w:sz w:val="24"/>
          <w:szCs w:val="24"/>
        </w:rPr>
        <w:t xml:space="preserve"> </w:t>
      </w:r>
      <w:r w:rsidRPr="00A07F29">
        <w:rPr>
          <w:rFonts w:ascii="Times New Roman" w:eastAsia="Calibri" w:hAnsi="Times New Roman" w:cs="Times New Roman"/>
          <w:sz w:val="24"/>
          <w:szCs w:val="24"/>
        </w:rPr>
        <w:t xml:space="preserve">asociācijām </w:t>
      </w:r>
      <w:proofErr w:type="spellStart"/>
      <w:r w:rsidRPr="00A07F29">
        <w:rPr>
          <w:rFonts w:ascii="Times New Roman" w:eastAsia="Calibri" w:hAnsi="Times New Roman" w:cs="Times New Roman"/>
          <w:i/>
          <w:iCs/>
          <w:sz w:val="24"/>
          <w:szCs w:val="24"/>
        </w:rPr>
        <w:t>Carici</w:t>
      </w:r>
      <w:proofErr w:type="spellEnd"/>
      <w:r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remotae-Fraxinetum</w:t>
      </w:r>
      <w:proofErr w:type="spellEnd"/>
      <w:r w:rsidRPr="00A07F29">
        <w:rPr>
          <w:rFonts w:ascii="Times New Roman" w:eastAsia="Calibri" w:hAnsi="Times New Roman" w:cs="Times New Roman"/>
          <w:i/>
          <w:iCs/>
          <w:sz w:val="24"/>
          <w:szCs w:val="24"/>
        </w:rPr>
        <w:t xml:space="preserve"> </w:t>
      </w:r>
      <w:r w:rsidRPr="00A07F29">
        <w:rPr>
          <w:rFonts w:ascii="Times New Roman" w:eastAsia="Calibri" w:hAnsi="Times New Roman" w:cs="Times New Roman"/>
          <w:sz w:val="24"/>
          <w:szCs w:val="24"/>
        </w:rPr>
        <w:t xml:space="preserve">un </w:t>
      </w:r>
      <w:proofErr w:type="spellStart"/>
      <w:r w:rsidRPr="00A07F29">
        <w:rPr>
          <w:rFonts w:ascii="Times New Roman" w:eastAsia="Calibri" w:hAnsi="Times New Roman" w:cs="Times New Roman"/>
          <w:i/>
          <w:iCs/>
          <w:sz w:val="24"/>
          <w:szCs w:val="24"/>
        </w:rPr>
        <w:t>Pruno-Fraxinetum</w:t>
      </w:r>
      <w:proofErr w:type="spellEnd"/>
      <w:r w:rsidRPr="00A07F29">
        <w:rPr>
          <w:rFonts w:ascii="Times New Roman" w:eastAsia="Calibri" w:hAnsi="Times New Roman" w:cs="Times New Roman"/>
          <w:sz w:val="24"/>
          <w:szCs w:val="24"/>
        </w:rPr>
        <w:t>. Tās ir mazā kopplatībā, bet fragmentāri izplatītas visā valstī (Priedītis</w:t>
      </w:r>
      <w:r w:rsidR="00384016">
        <w:rPr>
          <w:rFonts w:ascii="Times New Roman" w:eastAsia="Calibri" w:hAnsi="Times New Roman" w:cs="Times New Roman"/>
          <w:sz w:val="24"/>
          <w:szCs w:val="24"/>
        </w:rPr>
        <w:t xml:space="preserve"> N.</w:t>
      </w:r>
      <w:r w:rsidRPr="00A07F29">
        <w:rPr>
          <w:rFonts w:ascii="Times New Roman" w:eastAsia="Calibri" w:hAnsi="Times New Roman" w:cs="Times New Roman"/>
          <w:sz w:val="24"/>
          <w:szCs w:val="24"/>
        </w:rPr>
        <w:t>, 1993; Priedītis</w:t>
      </w:r>
      <w:r w:rsidR="00905ED1">
        <w:rPr>
          <w:rFonts w:ascii="Times New Roman" w:eastAsia="Calibri" w:hAnsi="Times New Roman" w:cs="Times New Roman"/>
          <w:sz w:val="24"/>
          <w:szCs w:val="24"/>
        </w:rPr>
        <w:t xml:space="preserve"> N.</w:t>
      </w:r>
      <w:r w:rsidR="00564096">
        <w:rPr>
          <w:rFonts w:ascii="Times New Roman" w:eastAsia="Calibri" w:hAnsi="Times New Roman" w:cs="Times New Roman"/>
          <w:sz w:val="24"/>
          <w:szCs w:val="24"/>
        </w:rPr>
        <w:t>, 1999</w:t>
      </w:r>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Mangale</w:t>
      </w:r>
      <w:proofErr w:type="spellEnd"/>
      <w:r w:rsidR="00CA7FCE">
        <w:rPr>
          <w:rFonts w:ascii="Times New Roman" w:eastAsia="Calibri" w:hAnsi="Times New Roman" w:cs="Times New Roman"/>
          <w:sz w:val="24"/>
          <w:szCs w:val="24"/>
        </w:rPr>
        <w:t xml:space="preserve"> D.</w:t>
      </w:r>
      <w:r w:rsidRPr="00A07F29">
        <w:rPr>
          <w:rFonts w:ascii="Times New Roman" w:eastAsia="Calibri" w:hAnsi="Times New Roman" w:cs="Times New Roman"/>
          <w:sz w:val="24"/>
          <w:szCs w:val="24"/>
        </w:rPr>
        <w:t xml:space="preserve">, 2005; </w:t>
      </w:r>
      <w:proofErr w:type="spellStart"/>
      <w:r w:rsidRPr="00A07F29">
        <w:rPr>
          <w:rFonts w:ascii="Times New Roman" w:eastAsia="Calibri" w:hAnsi="Times New Roman" w:cs="Times New Roman"/>
          <w:sz w:val="24"/>
          <w:szCs w:val="24"/>
        </w:rPr>
        <w:t>Bambe</w:t>
      </w:r>
      <w:proofErr w:type="spellEnd"/>
      <w:r w:rsidR="0031782B">
        <w:rPr>
          <w:rFonts w:ascii="Times New Roman" w:eastAsia="Calibri" w:hAnsi="Times New Roman" w:cs="Times New Roman"/>
          <w:sz w:val="24"/>
          <w:szCs w:val="24"/>
        </w:rPr>
        <w:t xml:space="preserve"> B.</w:t>
      </w:r>
      <w:r w:rsidRPr="00A07F29">
        <w:rPr>
          <w:rFonts w:ascii="Times New Roman" w:eastAsia="Calibri" w:hAnsi="Times New Roman" w:cs="Times New Roman"/>
          <w:sz w:val="24"/>
          <w:szCs w:val="24"/>
        </w:rPr>
        <w:t xml:space="preserve">, 2003). Biotops </w:t>
      </w:r>
      <w:r w:rsidRPr="00A07F29">
        <w:rPr>
          <w:rFonts w:ascii="Times New Roman" w:eastAsia="Calibri" w:hAnsi="Times New Roman" w:cs="Times New Roman"/>
          <w:color w:val="000000" w:themeColor="text1"/>
          <w:sz w:val="24"/>
          <w:szCs w:val="24"/>
          <w:lang w:eastAsia="ja-JP"/>
        </w:rPr>
        <w:t>91E0*</w:t>
      </w:r>
      <w:r w:rsidR="0031782B">
        <w:rPr>
          <w:rFonts w:ascii="Times New Roman" w:eastAsia="Calibri" w:hAnsi="Times New Roman" w:cs="Times New Roman"/>
          <w:color w:val="000000" w:themeColor="text1"/>
          <w:sz w:val="24"/>
          <w:szCs w:val="24"/>
          <w:lang w:eastAsia="ja-JP"/>
        </w:rPr>
        <w:t> </w:t>
      </w:r>
      <w:r w:rsidRPr="00A07F29">
        <w:rPr>
          <w:rFonts w:ascii="Times New Roman" w:eastAsia="Calibri" w:hAnsi="Times New Roman" w:cs="Times New Roman"/>
          <w:i/>
          <w:color w:val="000000" w:themeColor="text1"/>
          <w:sz w:val="24"/>
          <w:szCs w:val="24"/>
          <w:lang w:eastAsia="ja-JP"/>
        </w:rPr>
        <w:t>Aluviāli meži</w:t>
      </w:r>
      <w:r w:rsidRPr="00A07F29">
        <w:rPr>
          <w:rFonts w:ascii="Times New Roman" w:eastAsia="Calibri" w:hAnsi="Times New Roman" w:cs="Times New Roman"/>
          <w:color w:val="000000" w:themeColor="text1"/>
          <w:sz w:val="24"/>
          <w:szCs w:val="24"/>
          <w:lang w:eastAsia="ja-JP"/>
        </w:rPr>
        <w:t xml:space="preserve"> </w:t>
      </w:r>
      <w:r w:rsidRPr="00A07F29">
        <w:rPr>
          <w:rFonts w:ascii="Times New Roman" w:eastAsia="Calibri" w:hAnsi="Times New Roman" w:cs="Times New Roman"/>
          <w:sz w:val="24"/>
          <w:szCs w:val="24"/>
        </w:rPr>
        <w:t xml:space="preserve">kopumā aizņem </w:t>
      </w:r>
      <w:r w:rsidRPr="00A07F29">
        <w:rPr>
          <w:rFonts w:ascii="Times New Roman" w:hAnsi="Times New Roman" w:cs="Times New Roman"/>
          <w:sz w:val="24"/>
          <w:szCs w:val="24"/>
        </w:rPr>
        <w:t>87,31 </w:t>
      </w:r>
      <w:r w:rsidR="00C92ED5">
        <w:rPr>
          <w:rFonts w:ascii="Cambria Math" w:hAnsi="Cambria Math" w:cs="Cambria Math"/>
          <w:sz w:val="24"/>
          <w:szCs w:val="24"/>
        </w:rPr>
        <w:t>– </w:t>
      </w:r>
      <w:r w:rsidRPr="00A07F29">
        <w:rPr>
          <w:rFonts w:ascii="Times New Roman" w:hAnsi="Times New Roman" w:cs="Times New Roman"/>
          <w:sz w:val="24"/>
          <w:szCs w:val="24"/>
        </w:rPr>
        <w:t>121,89</w:t>
      </w:r>
      <w:r w:rsidR="00C92ED5">
        <w:rPr>
          <w:rFonts w:ascii="Times New Roman" w:hAnsi="Times New Roman" w:cs="Times New Roman"/>
          <w:sz w:val="24"/>
          <w:szCs w:val="24"/>
        </w:rPr>
        <w:t> </w:t>
      </w:r>
      <w:r w:rsidRPr="00A07F29">
        <w:rPr>
          <w:rFonts w:ascii="Times New Roman" w:hAnsi="Times New Roman" w:cs="Times New Roman"/>
          <w:sz w:val="24"/>
          <w:szCs w:val="24"/>
        </w:rPr>
        <w:t>km</w:t>
      </w:r>
      <w:r w:rsidRPr="00A07F29">
        <w:rPr>
          <w:rFonts w:ascii="Times New Roman" w:hAnsi="Times New Roman" w:cs="Times New Roman"/>
          <w:sz w:val="24"/>
          <w:szCs w:val="24"/>
          <w:vertAlign w:val="superscript"/>
        </w:rPr>
        <w:t>2</w:t>
      </w:r>
      <w:r w:rsidRPr="00A07F29" w:rsidDel="005C721D">
        <w:rPr>
          <w:rFonts w:ascii="Times New Roman" w:eastAsia="Calibri" w:hAnsi="Times New Roman" w:cs="Times New Roman"/>
          <w:sz w:val="24"/>
          <w:szCs w:val="24"/>
        </w:rPr>
        <w:t xml:space="preserve"> </w:t>
      </w:r>
      <w:r w:rsidRPr="00A07F29">
        <w:rPr>
          <w:rFonts w:ascii="Times New Roman" w:eastAsia="Calibri" w:hAnsi="Times New Roman" w:cs="Times New Roman"/>
          <w:sz w:val="24"/>
          <w:szCs w:val="24"/>
        </w:rPr>
        <w:t>no valsts teritorijas (</w:t>
      </w:r>
      <w:proofErr w:type="spellStart"/>
      <w:r w:rsidRPr="00A07F29">
        <w:rPr>
          <w:rFonts w:ascii="Times New Roman" w:eastAsia="Calibri" w:hAnsi="Times New Roman" w:cs="Times New Roman"/>
          <w:sz w:val="24"/>
          <w:szCs w:val="24"/>
        </w:rPr>
        <w:t>Conservation</w:t>
      </w:r>
      <w:proofErr w:type="spellEnd"/>
      <w:r w:rsidRPr="00A07F29">
        <w:rPr>
          <w:rFonts w:ascii="Times New Roman" w:eastAsia="Calibri" w:hAnsi="Times New Roman" w:cs="Times New Roman"/>
          <w:sz w:val="24"/>
          <w:szCs w:val="24"/>
        </w:rPr>
        <w:t xml:space="preserve"> </w:t>
      </w:r>
      <w:r w:rsidR="00C92ED5">
        <w:rPr>
          <w:rFonts w:ascii="Times New Roman" w:eastAsia="Calibri" w:hAnsi="Times New Roman" w:cs="Times New Roman"/>
          <w:sz w:val="24"/>
          <w:szCs w:val="24"/>
        </w:rPr>
        <w:t>S</w:t>
      </w:r>
      <w:r w:rsidRPr="00A07F29">
        <w:rPr>
          <w:rFonts w:ascii="Times New Roman" w:eastAsia="Calibri" w:hAnsi="Times New Roman" w:cs="Times New Roman"/>
          <w:sz w:val="24"/>
          <w:szCs w:val="24"/>
        </w:rPr>
        <w:t xml:space="preserve">tatus </w:t>
      </w:r>
      <w:proofErr w:type="spellStart"/>
      <w:r w:rsidRPr="00A07F29">
        <w:rPr>
          <w:rFonts w:ascii="Times New Roman" w:eastAsia="Calibri" w:hAnsi="Times New Roman" w:cs="Times New Roman"/>
          <w:sz w:val="24"/>
          <w:szCs w:val="24"/>
        </w:rPr>
        <w:t>of</w:t>
      </w:r>
      <w:proofErr w:type="spellEnd"/>
      <w:r w:rsidRPr="00A07F29">
        <w:rPr>
          <w:rFonts w:ascii="Times New Roman" w:eastAsia="Calibri" w:hAnsi="Times New Roman" w:cs="Times New Roman"/>
          <w:sz w:val="24"/>
          <w:szCs w:val="24"/>
        </w:rPr>
        <w:t>..., 2019).</w:t>
      </w:r>
    </w:p>
    <w:p w14:paraId="19EEB62A" w14:textId="186F6627" w:rsidR="004C1A93" w:rsidRPr="00CF018F" w:rsidRDefault="004C1A93" w:rsidP="004C1A93">
      <w:pPr>
        <w:spacing w:after="120" w:line="240" w:lineRule="auto"/>
        <w:ind w:firstLine="851"/>
        <w:jc w:val="both"/>
        <w:rPr>
          <w:rFonts w:ascii="Times New Roman" w:eastAsia="Calibri" w:hAnsi="Times New Roman" w:cs="Times New Roman"/>
          <w:bCs/>
          <w:i/>
          <w:iCs/>
          <w:sz w:val="24"/>
          <w:szCs w:val="24"/>
          <w:lang w:eastAsia="lv-LV"/>
        </w:rPr>
      </w:pPr>
      <w:r w:rsidRPr="00A07F29">
        <w:rPr>
          <w:rFonts w:ascii="Times New Roman" w:eastAsia="Calibri" w:hAnsi="Times New Roman" w:cs="Times New Roman"/>
          <w:color w:val="000000" w:themeColor="text1"/>
          <w:sz w:val="24"/>
          <w:szCs w:val="24"/>
          <w:lang w:eastAsia="ja-JP"/>
        </w:rPr>
        <w:t>AAA “Augšdaugava” biotops 91E0*</w:t>
      </w:r>
      <w:r w:rsidR="00C92ED5">
        <w:rPr>
          <w:rFonts w:ascii="Times New Roman" w:eastAsia="Calibri" w:hAnsi="Times New Roman" w:cs="Times New Roman"/>
          <w:color w:val="000000" w:themeColor="text1"/>
          <w:sz w:val="24"/>
          <w:szCs w:val="24"/>
          <w:lang w:eastAsia="ja-JP"/>
        </w:rPr>
        <w:t> </w:t>
      </w:r>
      <w:r w:rsidRPr="00A07F29">
        <w:rPr>
          <w:rFonts w:ascii="Times New Roman" w:eastAsia="Calibri" w:hAnsi="Times New Roman" w:cs="Times New Roman"/>
          <w:i/>
          <w:color w:val="000000" w:themeColor="text1"/>
          <w:sz w:val="24"/>
          <w:szCs w:val="24"/>
          <w:lang w:eastAsia="ja-JP"/>
        </w:rPr>
        <w:t>Aluviāli meži</w:t>
      </w:r>
      <w:r w:rsidRPr="00A07F29">
        <w:rPr>
          <w:rFonts w:ascii="Times New Roman" w:eastAsia="Calibri" w:hAnsi="Times New Roman" w:cs="Times New Roman"/>
          <w:color w:val="000000" w:themeColor="text1"/>
          <w:sz w:val="24"/>
          <w:szCs w:val="24"/>
          <w:lang w:eastAsia="ja-JP"/>
        </w:rPr>
        <w:t xml:space="preserve"> apzināts 32,81</w:t>
      </w:r>
      <w:r w:rsidR="00C92ED5">
        <w:rPr>
          <w:rFonts w:ascii="Times New Roman" w:eastAsia="Calibri" w:hAnsi="Times New Roman" w:cs="Times New Roman"/>
          <w:color w:val="000000" w:themeColor="text1"/>
          <w:sz w:val="24"/>
          <w:szCs w:val="24"/>
          <w:lang w:eastAsia="ja-JP"/>
        </w:rPr>
        <w:t> </w:t>
      </w:r>
      <w:r w:rsidRPr="00A07F29">
        <w:rPr>
          <w:rFonts w:ascii="Times New Roman" w:eastAsia="Calibri" w:hAnsi="Times New Roman" w:cs="Times New Roman"/>
          <w:color w:val="000000" w:themeColor="text1"/>
          <w:sz w:val="24"/>
          <w:szCs w:val="24"/>
          <w:lang w:eastAsia="ja-JP"/>
        </w:rPr>
        <w:t>ha lielā platībā</w:t>
      </w:r>
      <w:r w:rsidR="008E6F77" w:rsidRPr="00A07F29">
        <w:rPr>
          <w:rFonts w:ascii="Times New Roman" w:eastAsia="Calibri" w:hAnsi="Times New Roman" w:cs="Times New Roman"/>
          <w:color w:val="000000" w:themeColor="text1"/>
          <w:sz w:val="24"/>
          <w:szCs w:val="24"/>
          <w:lang w:eastAsia="ja-JP"/>
        </w:rPr>
        <w:t>, konstatēts šī biotopa 1. un 2.</w:t>
      </w:r>
      <w:r w:rsidR="0089308A">
        <w:rPr>
          <w:rFonts w:ascii="Times New Roman" w:eastAsia="Calibri" w:hAnsi="Times New Roman" w:cs="Times New Roman"/>
          <w:color w:val="000000" w:themeColor="text1"/>
          <w:sz w:val="24"/>
          <w:szCs w:val="24"/>
          <w:lang w:eastAsia="ja-JP"/>
        </w:rPr>
        <w:t> </w:t>
      </w:r>
      <w:r w:rsidR="008E6F77" w:rsidRPr="00A07F29">
        <w:rPr>
          <w:rFonts w:ascii="Times New Roman" w:eastAsia="Calibri" w:hAnsi="Times New Roman" w:cs="Times New Roman"/>
          <w:color w:val="000000" w:themeColor="text1"/>
          <w:sz w:val="24"/>
          <w:szCs w:val="24"/>
          <w:lang w:eastAsia="ja-JP"/>
        </w:rPr>
        <w:t>variants.</w:t>
      </w:r>
      <w:r w:rsidRPr="00A07F29">
        <w:rPr>
          <w:rFonts w:ascii="Times New Roman" w:eastAsia="Calibri" w:hAnsi="Times New Roman" w:cs="Times New Roman"/>
          <w:color w:val="000000" w:themeColor="text1"/>
          <w:sz w:val="24"/>
          <w:szCs w:val="24"/>
          <w:lang w:eastAsia="ja-JP"/>
        </w:rPr>
        <w:t xml:space="preserve"> </w:t>
      </w:r>
      <w:r w:rsidR="008E6F77" w:rsidRPr="00A07F29">
        <w:rPr>
          <w:rFonts w:ascii="Times New Roman" w:eastAsia="Calibri" w:hAnsi="Times New Roman" w:cs="Times New Roman"/>
          <w:color w:val="000000" w:themeColor="text1"/>
          <w:sz w:val="24"/>
          <w:szCs w:val="24"/>
          <w:lang w:eastAsia="ja-JP"/>
        </w:rPr>
        <w:t>Šo mežu</w:t>
      </w:r>
      <w:r w:rsidRPr="00A07F29">
        <w:rPr>
          <w:rFonts w:ascii="Times New Roman" w:eastAsia="Calibri" w:hAnsi="Times New Roman" w:cs="Times New Roman"/>
          <w:color w:val="000000" w:themeColor="text1"/>
          <w:sz w:val="24"/>
          <w:szCs w:val="24"/>
          <w:lang w:eastAsia="ja-JP"/>
        </w:rPr>
        <w:t xml:space="preserve"> </w:t>
      </w:r>
      <w:r w:rsidRPr="00A07F29">
        <w:rPr>
          <w:rFonts w:ascii="Times New Roman" w:eastAsia="Calibri" w:hAnsi="Times New Roman" w:cs="Times New Roman"/>
          <w:color w:val="000000"/>
          <w:sz w:val="24"/>
          <w:szCs w:val="24"/>
          <w:lang w:eastAsia="ja-JP"/>
        </w:rPr>
        <w:t>kvalitāte galvenokārt vērtēta kā laba un vidēja un atbilst PDMB un DMB.</w:t>
      </w:r>
      <w:r w:rsidR="008E6F77" w:rsidRPr="00A07F29">
        <w:rPr>
          <w:rFonts w:ascii="Times New Roman" w:eastAsia="Calibri" w:hAnsi="Times New Roman" w:cs="Times New Roman"/>
          <w:color w:val="000000"/>
          <w:sz w:val="24"/>
          <w:szCs w:val="24"/>
          <w:lang w:eastAsia="ja-JP"/>
        </w:rPr>
        <w:t xml:space="preserve"> </w:t>
      </w:r>
      <w:r w:rsidRPr="00A07F29">
        <w:rPr>
          <w:rFonts w:ascii="Times New Roman" w:eastAsia="Calibri" w:hAnsi="Times New Roman" w:cs="Times New Roman"/>
          <w:color w:val="000000" w:themeColor="text1"/>
          <w:sz w:val="24"/>
          <w:szCs w:val="24"/>
        </w:rPr>
        <w:t>DMB ar labu kvalitāti konstatēti 1,15</w:t>
      </w:r>
      <w:r w:rsidR="003A0C3C">
        <w:rPr>
          <w:rFonts w:ascii="Times New Roman" w:eastAsia="Calibri" w:hAnsi="Times New Roman" w:cs="Times New Roman"/>
          <w:color w:val="000000" w:themeColor="text1"/>
          <w:sz w:val="24"/>
          <w:szCs w:val="24"/>
        </w:rPr>
        <w:t> </w:t>
      </w:r>
      <w:r w:rsidRPr="00A07F29">
        <w:rPr>
          <w:rFonts w:ascii="Times New Roman" w:eastAsia="Calibri" w:hAnsi="Times New Roman" w:cs="Times New Roman"/>
          <w:color w:val="000000" w:themeColor="text1"/>
          <w:sz w:val="24"/>
          <w:szCs w:val="24"/>
        </w:rPr>
        <w:t>ha</w:t>
      </w:r>
      <w:r w:rsidRPr="00A07F29">
        <w:rPr>
          <w:rFonts w:ascii="Times New Roman" w:eastAsia="Calibri" w:hAnsi="Times New Roman" w:cs="Times New Roman"/>
          <w:sz w:val="24"/>
          <w:szCs w:val="24"/>
        </w:rPr>
        <w:t xml:space="preserve"> jeb 3,51</w:t>
      </w:r>
      <w:r w:rsidR="003A0C3C">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 no biotopa kopējās platības. </w:t>
      </w:r>
      <w:r w:rsidRPr="00A07F29">
        <w:rPr>
          <w:rFonts w:ascii="Times New Roman" w:eastAsia="Calibri" w:hAnsi="Times New Roman" w:cs="Times New Roman"/>
          <w:bCs/>
          <w:sz w:val="24"/>
          <w:szCs w:val="24"/>
          <w:lang w:eastAsia="lv-LV"/>
        </w:rPr>
        <w:t>91E0*</w:t>
      </w:r>
      <w:r w:rsidR="003A0C3C">
        <w:rPr>
          <w:rFonts w:ascii="Times New Roman" w:eastAsia="Calibri" w:hAnsi="Times New Roman" w:cs="Times New Roman"/>
          <w:bCs/>
          <w:i/>
          <w:iCs/>
          <w:sz w:val="24"/>
          <w:szCs w:val="24"/>
          <w:lang w:eastAsia="lv-LV"/>
        </w:rPr>
        <w:t> </w:t>
      </w:r>
      <w:r w:rsidRPr="00A07F29">
        <w:rPr>
          <w:rFonts w:ascii="Times New Roman" w:eastAsia="Calibri" w:hAnsi="Times New Roman" w:cs="Times New Roman"/>
          <w:bCs/>
          <w:i/>
          <w:iCs/>
          <w:sz w:val="24"/>
          <w:szCs w:val="24"/>
          <w:lang w:eastAsia="lv-LV"/>
        </w:rPr>
        <w:t xml:space="preserve">Aluviāli meži (aluviāli krastmalu un palieņu meži), </w:t>
      </w:r>
      <w:r w:rsidRPr="00A07F29">
        <w:rPr>
          <w:rFonts w:ascii="Times New Roman" w:eastAsia="Calibri" w:hAnsi="Times New Roman" w:cs="Times New Roman"/>
          <w:iCs/>
          <w:color w:val="000000" w:themeColor="text1"/>
          <w:sz w:val="24"/>
          <w:szCs w:val="24"/>
        </w:rPr>
        <w:t>kas atbilst DMB un ir ar izcilu kvalitāti</w:t>
      </w:r>
      <w:r w:rsidRPr="00A07F29">
        <w:rPr>
          <w:rFonts w:ascii="Times New Roman" w:eastAsia="Calibri" w:hAnsi="Times New Roman" w:cs="Times New Roman"/>
          <w:i/>
          <w:iCs/>
          <w:color w:val="000000" w:themeColor="text1"/>
          <w:sz w:val="24"/>
          <w:szCs w:val="24"/>
        </w:rPr>
        <w:t xml:space="preserve"> </w:t>
      </w:r>
      <w:r w:rsidRPr="00A07F29">
        <w:rPr>
          <w:rFonts w:ascii="Times New Roman" w:eastAsia="Calibri" w:hAnsi="Times New Roman" w:cs="Times New Roman"/>
          <w:iCs/>
          <w:color w:val="000000" w:themeColor="text1"/>
          <w:sz w:val="24"/>
          <w:szCs w:val="24"/>
        </w:rPr>
        <w:t xml:space="preserve">atbilst Latvijas </w:t>
      </w:r>
      <w:r w:rsidRPr="00CF018F">
        <w:rPr>
          <w:rFonts w:ascii="Times New Roman" w:eastAsia="Calibri" w:hAnsi="Times New Roman" w:cs="Times New Roman"/>
          <w:iCs/>
          <w:color w:val="000000" w:themeColor="text1"/>
          <w:sz w:val="24"/>
          <w:szCs w:val="24"/>
        </w:rPr>
        <w:t>īpaši aizsargājamajam biotopam</w:t>
      </w:r>
      <w:r w:rsidRPr="00CF018F">
        <w:rPr>
          <w:rFonts w:ascii="Times New Roman" w:eastAsia="Calibri" w:hAnsi="Times New Roman" w:cs="Times New Roman"/>
          <w:i/>
          <w:iCs/>
          <w:color w:val="000000" w:themeColor="text1"/>
          <w:sz w:val="24"/>
          <w:szCs w:val="24"/>
        </w:rPr>
        <w:t xml:space="preserve"> 1.8.</w:t>
      </w:r>
      <w:r w:rsidR="00980D69" w:rsidRPr="00CF018F">
        <w:rPr>
          <w:rFonts w:ascii="Times New Roman" w:eastAsia="Calibri" w:hAnsi="Times New Roman" w:cs="Times New Roman"/>
          <w:i/>
          <w:iCs/>
          <w:color w:val="000000" w:themeColor="text1"/>
          <w:sz w:val="24"/>
          <w:szCs w:val="24"/>
        </w:rPr>
        <w:t> </w:t>
      </w:r>
      <w:r w:rsidRPr="00CF018F">
        <w:rPr>
          <w:rFonts w:ascii="Times New Roman" w:eastAsia="Calibri" w:hAnsi="Times New Roman" w:cs="Times New Roman"/>
          <w:i/>
          <w:iCs/>
          <w:color w:val="000000" w:themeColor="text1"/>
          <w:sz w:val="24"/>
          <w:szCs w:val="24"/>
        </w:rPr>
        <w:t xml:space="preserve">Aluviālie krastmalu </w:t>
      </w:r>
      <w:r w:rsidR="00E15438" w:rsidRPr="00CF018F">
        <w:rPr>
          <w:rFonts w:ascii="Times New Roman" w:eastAsia="Calibri" w:hAnsi="Times New Roman" w:cs="Times New Roman"/>
          <w:i/>
          <w:iCs/>
          <w:color w:val="000000" w:themeColor="text1"/>
          <w:sz w:val="24"/>
          <w:szCs w:val="24"/>
        </w:rPr>
        <w:t xml:space="preserve">un </w:t>
      </w:r>
      <w:r w:rsidRPr="00CF018F">
        <w:rPr>
          <w:rFonts w:ascii="Times New Roman" w:eastAsia="Calibri" w:hAnsi="Times New Roman" w:cs="Times New Roman"/>
          <w:i/>
          <w:iCs/>
          <w:color w:val="000000" w:themeColor="text1"/>
          <w:sz w:val="24"/>
          <w:szCs w:val="24"/>
        </w:rPr>
        <w:t>palieņu meži.</w:t>
      </w:r>
    </w:p>
    <w:p w14:paraId="52D9AF3B" w14:textId="05E624CB" w:rsidR="002B1603" w:rsidRPr="00A07F29" w:rsidRDefault="002B1603" w:rsidP="004C1A93">
      <w:pPr>
        <w:spacing w:after="120" w:line="240" w:lineRule="auto"/>
        <w:ind w:firstLine="851"/>
        <w:jc w:val="both"/>
        <w:rPr>
          <w:rFonts w:ascii="Times New Roman" w:eastAsia="Calibri" w:hAnsi="Times New Roman" w:cs="Times New Roman"/>
          <w:i/>
          <w:iCs/>
          <w:color w:val="000000"/>
          <w:sz w:val="24"/>
          <w:szCs w:val="24"/>
          <w:lang w:eastAsia="ja-JP"/>
        </w:rPr>
      </w:pPr>
      <w:r w:rsidRPr="00CF018F">
        <w:rPr>
          <w:rFonts w:ascii="Times New Roman" w:eastAsia="Calibri" w:hAnsi="Times New Roman" w:cs="Times New Roman"/>
          <w:color w:val="000000"/>
          <w:sz w:val="24"/>
          <w:szCs w:val="24"/>
          <w:lang w:eastAsia="ja-JP"/>
        </w:rPr>
        <w:t>No retajām un īpaši aizsargājamām</w:t>
      </w:r>
      <w:r w:rsidRPr="00A07F29">
        <w:rPr>
          <w:rFonts w:ascii="Times New Roman" w:eastAsia="Calibri" w:hAnsi="Times New Roman" w:cs="Times New Roman"/>
          <w:color w:val="000000"/>
          <w:sz w:val="24"/>
          <w:szCs w:val="24"/>
          <w:lang w:eastAsia="ja-JP"/>
        </w:rPr>
        <w:t xml:space="preserve"> sugām konstatēta </w:t>
      </w:r>
      <w:proofErr w:type="spellStart"/>
      <w:r w:rsidRPr="00A07F29">
        <w:rPr>
          <w:rFonts w:ascii="Times New Roman" w:eastAsia="Calibri" w:hAnsi="Times New Roman" w:cs="Times New Roman"/>
          <w:color w:val="000000"/>
          <w:sz w:val="24"/>
          <w:szCs w:val="24"/>
          <w:lang w:eastAsia="ja-JP"/>
        </w:rPr>
        <w:t>skarbmatainā</w:t>
      </w:r>
      <w:proofErr w:type="spellEnd"/>
      <w:r w:rsidRPr="00A07F29">
        <w:rPr>
          <w:rFonts w:ascii="Times New Roman" w:eastAsia="Calibri" w:hAnsi="Times New Roman" w:cs="Times New Roman"/>
          <w:color w:val="000000"/>
          <w:sz w:val="24"/>
          <w:szCs w:val="24"/>
          <w:lang w:eastAsia="ja-JP"/>
        </w:rPr>
        <w:t xml:space="preserve"> kārvele </w:t>
      </w:r>
      <w:proofErr w:type="spellStart"/>
      <w:r w:rsidRPr="00A07F29">
        <w:rPr>
          <w:rFonts w:ascii="Times New Roman" w:eastAsia="Calibri" w:hAnsi="Times New Roman" w:cs="Times New Roman"/>
          <w:i/>
          <w:iCs/>
          <w:color w:val="000000"/>
          <w:sz w:val="24"/>
          <w:szCs w:val="24"/>
          <w:lang w:eastAsia="ja-JP"/>
        </w:rPr>
        <w:t>Chaerophyllum</w:t>
      </w:r>
      <w:proofErr w:type="spellEnd"/>
      <w:r w:rsidRPr="00A07F29">
        <w:rPr>
          <w:rFonts w:ascii="Times New Roman" w:eastAsia="Calibri" w:hAnsi="Times New Roman" w:cs="Times New Roman"/>
          <w:i/>
          <w:iCs/>
          <w:color w:val="000000"/>
          <w:sz w:val="24"/>
          <w:szCs w:val="24"/>
          <w:lang w:eastAsia="ja-JP"/>
        </w:rPr>
        <w:t xml:space="preserve"> </w:t>
      </w:r>
      <w:proofErr w:type="spellStart"/>
      <w:r w:rsidRPr="00A07F29">
        <w:rPr>
          <w:rFonts w:ascii="Times New Roman" w:eastAsia="Calibri" w:hAnsi="Times New Roman" w:cs="Times New Roman"/>
          <w:i/>
          <w:iCs/>
          <w:color w:val="000000"/>
          <w:sz w:val="24"/>
          <w:szCs w:val="24"/>
          <w:lang w:eastAsia="ja-JP"/>
        </w:rPr>
        <w:t>hirsutum</w:t>
      </w:r>
      <w:proofErr w:type="spellEnd"/>
      <w:r w:rsidRPr="00A07F29">
        <w:rPr>
          <w:rFonts w:ascii="Times New Roman" w:eastAsia="Calibri" w:hAnsi="Times New Roman" w:cs="Times New Roman"/>
          <w:color w:val="000000"/>
          <w:sz w:val="24"/>
          <w:szCs w:val="24"/>
          <w:lang w:eastAsia="ja-JP"/>
        </w:rPr>
        <w:t xml:space="preserve"> un </w:t>
      </w:r>
      <w:proofErr w:type="spellStart"/>
      <w:r w:rsidRPr="00A07F29">
        <w:rPr>
          <w:rFonts w:ascii="Times New Roman" w:eastAsia="Calibri" w:hAnsi="Times New Roman" w:cs="Times New Roman"/>
          <w:color w:val="000000"/>
          <w:sz w:val="24"/>
          <w:szCs w:val="24"/>
          <w:lang w:eastAsia="ja-JP"/>
        </w:rPr>
        <w:t>Šultesa</w:t>
      </w:r>
      <w:proofErr w:type="spellEnd"/>
      <w:r w:rsidRPr="00A07F29">
        <w:rPr>
          <w:rFonts w:ascii="Times New Roman" w:eastAsia="Calibri" w:hAnsi="Times New Roman" w:cs="Times New Roman"/>
          <w:color w:val="000000"/>
          <w:sz w:val="24"/>
          <w:szCs w:val="24"/>
          <w:lang w:eastAsia="ja-JP"/>
        </w:rPr>
        <w:t xml:space="preserve"> madara </w:t>
      </w:r>
      <w:proofErr w:type="spellStart"/>
      <w:r w:rsidRPr="00A07F29">
        <w:rPr>
          <w:rFonts w:ascii="Times New Roman" w:eastAsia="Calibri" w:hAnsi="Times New Roman" w:cs="Times New Roman"/>
          <w:i/>
          <w:iCs/>
          <w:color w:val="000000"/>
          <w:sz w:val="24"/>
          <w:szCs w:val="24"/>
          <w:lang w:eastAsia="ja-JP"/>
        </w:rPr>
        <w:t>Galium</w:t>
      </w:r>
      <w:proofErr w:type="spellEnd"/>
      <w:r w:rsidRPr="00A07F29">
        <w:rPr>
          <w:rFonts w:ascii="Times New Roman" w:eastAsia="Calibri" w:hAnsi="Times New Roman" w:cs="Times New Roman"/>
          <w:i/>
          <w:iCs/>
          <w:color w:val="000000"/>
          <w:sz w:val="24"/>
          <w:szCs w:val="24"/>
          <w:lang w:eastAsia="ja-JP"/>
        </w:rPr>
        <w:t xml:space="preserve"> </w:t>
      </w:r>
      <w:proofErr w:type="spellStart"/>
      <w:r w:rsidRPr="00A07F29">
        <w:rPr>
          <w:rFonts w:ascii="Times New Roman" w:eastAsia="Calibri" w:hAnsi="Times New Roman" w:cs="Times New Roman"/>
          <w:i/>
          <w:iCs/>
          <w:color w:val="000000"/>
          <w:sz w:val="24"/>
          <w:szCs w:val="24"/>
          <w:lang w:eastAsia="ja-JP"/>
        </w:rPr>
        <w:t>schultesii</w:t>
      </w:r>
      <w:proofErr w:type="spellEnd"/>
      <w:r w:rsidRPr="00A07F29">
        <w:rPr>
          <w:rFonts w:ascii="Times New Roman" w:eastAsia="Calibri" w:hAnsi="Times New Roman" w:cs="Times New Roman"/>
          <w:color w:val="000000"/>
          <w:sz w:val="24"/>
          <w:szCs w:val="24"/>
          <w:lang w:eastAsia="ja-JP"/>
        </w:rPr>
        <w:t xml:space="preserve">, </w:t>
      </w:r>
      <w:r w:rsidRPr="00A07F29">
        <w:rPr>
          <w:rFonts w:ascii="Times New Roman" w:eastAsia="Calibri" w:hAnsi="Times New Roman" w:cs="Times New Roman"/>
          <w:sz w:val="24"/>
          <w:szCs w:val="24"/>
        </w:rPr>
        <w:t xml:space="preserve">augstais gaiļpiesis </w:t>
      </w:r>
      <w:proofErr w:type="spellStart"/>
      <w:r w:rsidRPr="00A07F29">
        <w:rPr>
          <w:rFonts w:ascii="Times New Roman" w:eastAsia="Calibri" w:hAnsi="Times New Roman" w:cs="Times New Roman"/>
          <w:i/>
          <w:iCs/>
          <w:sz w:val="24"/>
          <w:szCs w:val="24"/>
        </w:rPr>
        <w:t>Delphinium</w:t>
      </w:r>
      <w:proofErr w:type="spellEnd"/>
      <w:r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elatum</w:t>
      </w:r>
      <w:proofErr w:type="spellEnd"/>
      <w:r w:rsidRPr="00A07F29">
        <w:rPr>
          <w:rFonts w:ascii="Times New Roman" w:eastAsia="Calibri" w:hAnsi="Times New Roman" w:cs="Times New Roman"/>
          <w:sz w:val="24"/>
          <w:szCs w:val="24"/>
        </w:rPr>
        <w:t xml:space="preserve"> un </w:t>
      </w:r>
      <w:proofErr w:type="spellStart"/>
      <w:r w:rsidRPr="00A07F29">
        <w:rPr>
          <w:rFonts w:ascii="Times New Roman" w:eastAsia="Calibri" w:hAnsi="Times New Roman" w:cs="Times New Roman"/>
          <w:sz w:val="24"/>
          <w:szCs w:val="24"/>
        </w:rPr>
        <w:t>Tatārijas</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stobulis</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i/>
          <w:iCs/>
          <w:sz w:val="24"/>
          <w:szCs w:val="24"/>
        </w:rPr>
        <w:t>Conioselinum</w:t>
      </w:r>
      <w:proofErr w:type="spellEnd"/>
      <w:r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tataricum</w:t>
      </w:r>
      <w:proofErr w:type="spellEnd"/>
      <w:r w:rsidRPr="00A07F29">
        <w:rPr>
          <w:rFonts w:ascii="Times New Roman" w:eastAsia="Calibri" w:hAnsi="Times New Roman" w:cs="Times New Roman"/>
          <w:color w:val="000000"/>
          <w:sz w:val="24"/>
          <w:szCs w:val="24"/>
          <w:lang w:eastAsia="ja-JP"/>
        </w:rPr>
        <w:t xml:space="preserve">. No DMB </w:t>
      </w:r>
      <w:proofErr w:type="spellStart"/>
      <w:r w:rsidRPr="00A07F29">
        <w:rPr>
          <w:rFonts w:ascii="Times New Roman" w:eastAsia="Calibri" w:hAnsi="Times New Roman" w:cs="Times New Roman"/>
          <w:color w:val="000000"/>
          <w:sz w:val="24"/>
          <w:szCs w:val="24"/>
          <w:lang w:eastAsia="ja-JP"/>
        </w:rPr>
        <w:t>indikatorsugām</w:t>
      </w:r>
      <w:proofErr w:type="spellEnd"/>
      <w:r w:rsidRPr="00A07F29">
        <w:rPr>
          <w:rFonts w:ascii="Times New Roman" w:eastAsia="Calibri" w:hAnsi="Times New Roman" w:cs="Times New Roman"/>
          <w:color w:val="000000"/>
          <w:sz w:val="24"/>
          <w:szCs w:val="24"/>
          <w:lang w:eastAsia="ja-JP"/>
        </w:rPr>
        <w:t xml:space="preserve"> konstatēta </w:t>
      </w:r>
      <w:proofErr w:type="spellStart"/>
      <w:r w:rsidRPr="00A07F29">
        <w:rPr>
          <w:rFonts w:ascii="Times New Roman" w:eastAsia="Calibri" w:hAnsi="Times New Roman" w:cs="Times New Roman"/>
          <w:color w:val="000000"/>
          <w:sz w:val="24"/>
          <w:szCs w:val="24"/>
          <w:lang w:eastAsia="ja-JP"/>
        </w:rPr>
        <w:t>līklapu</w:t>
      </w:r>
      <w:proofErr w:type="spellEnd"/>
      <w:r w:rsidRPr="00A07F29">
        <w:rPr>
          <w:rFonts w:ascii="Times New Roman" w:eastAsia="Calibri" w:hAnsi="Times New Roman" w:cs="Times New Roman"/>
          <w:color w:val="000000"/>
          <w:sz w:val="24"/>
          <w:szCs w:val="24"/>
          <w:lang w:eastAsia="ja-JP"/>
        </w:rPr>
        <w:t xml:space="preserve"> </w:t>
      </w:r>
      <w:proofErr w:type="spellStart"/>
      <w:r w:rsidRPr="00A07F29">
        <w:rPr>
          <w:rFonts w:ascii="Times New Roman" w:eastAsia="Calibri" w:hAnsi="Times New Roman" w:cs="Times New Roman"/>
          <w:color w:val="000000"/>
          <w:sz w:val="24"/>
          <w:szCs w:val="24"/>
          <w:lang w:eastAsia="ja-JP"/>
        </w:rPr>
        <w:t>novellija</w:t>
      </w:r>
      <w:proofErr w:type="spellEnd"/>
      <w:r w:rsidRPr="00A07F29">
        <w:rPr>
          <w:rFonts w:ascii="Times New Roman" w:eastAsia="Calibri" w:hAnsi="Times New Roman" w:cs="Times New Roman"/>
          <w:color w:val="000000"/>
          <w:sz w:val="24"/>
          <w:szCs w:val="24"/>
          <w:lang w:eastAsia="ja-JP"/>
        </w:rPr>
        <w:t xml:space="preserve"> </w:t>
      </w:r>
      <w:proofErr w:type="spellStart"/>
      <w:r w:rsidRPr="00A07F29">
        <w:rPr>
          <w:rFonts w:ascii="Times New Roman" w:eastAsia="Calibri" w:hAnsi="Times New Roman" w:cs="Times New Roman"/>
          <w:i/>
          <w:iCs/>
          <w:color w:val="000000"/>
          <w:sz w:val="24"/>
          <w:szCs w:val="24"/>
          <w:lang w:eastAsia="ja-JP"/>
        </w:rPr>
        <w:t>Nowellia</w:t>
      </w:r>
      <w:proofErr w:type="spellEnd"/>
      <w:r w:rsidRPr="00A07F29">
        <w:rPr>
          <w:rFonts w:ascii="Times New Roman" w:eastAsia="Calibri" w:hAnsi="Times New Roman" w:cs="Times New Roman"/>
          <w:i/>
          <w:iCs/>
          <w:color w:val="000000"/>
          <w:sz w:val="24"/>
          <w:szCs w:val="24"/>
          <w:lang w:eastAsia="ja-JP"/>
        </w:rPr>
        <w:t xml:space="preserve"> </w:t>
      </w:r>
      <w:proofErr w:type="spellStart"/>
      <w:r w:rsidRPr="00A07F29">
        <w:rPr>
          <w:rFonts w:ascii="Times New Roman" w:eastAsia="Calibri" w:hAnsi="Times New Roman" w:cs="Times New Roman"/>
          <w:i/>
          <w:iCs/>
          <w:color w:val="000000"/>
          <w:sz w:val="24"/>
          <w:szCs w:val="24"/>
          <w:lang w:eastAsia="ja-JP"/>
        </w:rPr>
        <w:t>curvifolia</w:t>
      </w:r>
      <w:proofErr w:type="spellEnd"/>
      <w:r w:rsidRPr="00A07F29">
        <w:rPr>
          <w:rFonts w:ascii="Times New Roman" w:eastAsia="Calibri" w:hAnsi="Times New Roman" w:cs="Times New Roman"/>
          <w:color w:val="000000"/>
          <w:sz w:val="24"/>
          <w:szCs w:val="24"/>
          <w:lang w:eastAsia="ja-JP"/>
        </w:rPr>
        <w:t xml:space="preserve">, tievā </w:t>
      </w:r>
      <w:proofErr w:type="spellStart"/>
      <w:r w:rsidRPr="00A07F29">
        <w:rPr>
          <w:rFonts w:ascii="Times New Roman" w:eastAsia="Calibri" w:hAnsi="Times New Roman" w:cs="Times New Roman"/>
          <w:color w:val="000000"/>
          <w:sz w:val="24"/>
          <w:szCs w:val="24"/>
          <w:lang w:eastAsia="ja-JP"/>
        </w:rPr>
        <w:t>gludlape</w:t>
      </w:r>
      <w:proofErr w:type="spellEnd"/>
      <w:r w:rsidRPr="00A07F29">
        <w:rPr>
          <w:rFonts w:ascii="Times New Roman" w:eastAsia="Calibri" w:hAnsi="Times New Roman" w:cs="Times New Roman"/>
          <w:i/>
          <w:iCs/>
          <w:color w:val="000000"/>
          <w:sz w:val="24"/>
          <w:szCs w:val="24"/>
          <w:lang w:eastAsia="ja-JP"/>
        </w:rPr>
        <w:t xml:space="preserve"> </w:t>
      </w:r>
      <w:proofErr w:type="spellStart"/>
      <w:r w:rsidRPr="00A07F29">
        <w:rPr>
          <w:rFonts w:ascii="Times New Roman" w:eastAsia="Calibri" w:hAnsi="Times New Roman" w:cs="Times New Roman"/>
          <w:i/>
          <w:iCs/>
          <w:color w:val="000000"/>
          <w:sz w:val="24"/>
          <w:szCs w:val="24"/>
          <w:lang w:eastAsia="ja-JP"/>
        </w:rPr>
        <w:t>Homalia</w:t>
      </w:r>
      <w:proofErr w:type="spellEnd"/>
      <w:r w:rsidRPr="00A07F29">
        <w:rPr>
          <w:rFonts w:ascii="Times New Roman" w:eastAsia="Calibri" w:hAnsi="Times New Roman" w:cs="Times New Roman"/>
          <w:i/>
          <w:iCs/>
          <w:color w:val="000000"/>
          <w:sz w:val="24"/>
          <w:szCs w:val="24"/>
          <w:lang w:eastAsia="ja-JP"/>
        </w:rPr>
        <w:t xml:space="preserve"> </w:t>
      </w:r>
      <w:proofErr w:type="spellStart"/>
      <w:r w:rsidRPr="00A07F29">
        <w:rPr>
          <w:rFonts w:ascii="Times New Roman" w:eastAsia="Calibri" w:hAnsi="Times New Roman" w:cs="Times New Roman"/>
          <w:i/>
          <w:iCs/>
          <w:color w:val="000000"/>
          <w:sz w:val="24"/>
          <w:szCs w:val="24"/>
          <w:lang w:eastAsia="ja-JP"/>
        </w:rPr>
        <w:t>trichomanoides</w:t>
      </w:r>
      <w:proofErr w:type="spellEnd"/>
      <w:r w:rsidRPr="00A07F29">
        <w:rPr>
          <w:rFonts w:ascii="Times New Roman" w:eastAsia="Calibri" w:hAnsi="Times New Roman" w:cs="Times New Roman"/>
          <w:color w:val="000000"/>
          <w:sz w:val="24"/>
          <w:szCs w:val="24"/>
          <w:lang w:eastAsia="ja-JP"/>
        </w:rPr>
        <w:t xml:space="preserve">, kastaņbrūnā </w:t>
      </w:r>
      <w:proofErr w:type="spellStart"/>
      <w:r w:rsidRPr="00A07F29">
        <w:rPr>
          <w:rFonts w:ascii="Times New Roman" w:eastAsia="Calibri" w:hAnsi="Times New Roman" w:cs="Times New Roman"/>
          <w:color w:val="000000"/>
          <w:sz w:val="24"/>
          <w:szCs w:val="24"/>
          <w:lang w:eastAsia="ja-JP"/>
        </w:rPr>
        <w:t>artonija</w:t>
      </w:r>
      <w:proofErr w:type="spellEnd"/>
      <w:r w:rsidRPr="00A07F29">
        <w:rPr>
          <w:rFonts w:ascii="Times New Roman" w:eastAsia="Calibri" w:hAnsi="Times New Roman" w:cs="Times New Roman"/>
          <w:color w:val="000000"/>
          <w:sz w:val="24"/>
          <w:szCs w:val="24"/>
          <w:lang w:eastAsia="ja-JP"/>
        </w:rPr>
        <w:t xml:space="preserve"> </w:t>
      </w:r>
      <w:proofErr w:type="spellStart"/>
      <w:r w:rsidRPr="00A07F29">
        <w:rPr>
          <w:rFonts w:ascii="Times New Roman" w:eastAsia="Calibri" w:hAnsi="Times New Roman" w:cs="Times New Roman"/>
          <w:i/>
          <w:iCs/>
          <w:color w:val="000000"/>
          <w:sz w:val="24"/>
          <w:szCs w:val="24"/>
          <w:lang w:eastAsia="ja-JP"/>
        </w:rPr>
        <w:t>Arthonia</w:t>
      </w:r>
      <w:proofErr w:type="spellEnd"/>
      <w:r w:rsidRPr="00A07F29">
        <w:rPr>
          <w:rFonts w:ascii="Times New Roman" w:eastAsia="Calibri" w:hAnsi="Times New Roman" w:cs="Times New Roman"/>
          <w:i/>
          <w:iCs/>
          <w:color w:val="000000"/>
          <w:sz w:val="24"/>
          <w:szCs w:val="24"/>
          <w:lang w:eastAsia="ja-JP"/>
        </w:rPr>
        <w:t xml:space="preserve"> </w:t>
      </w:r>
      <w:proofErr w:type="spellStart"/>
      <w:r w:rsidRPr="00A07F29">
        <w:rPr>
          <w:rFonts w:ascii="Times New Roman" w:eastAsia="Calibri" w:hAnsi="Times New Roman" w:cs="Times New Roman"/>
          <w:i/>
          <w:iCs/>
          <w:color w:val="000000"/>
          <w:sz w:val="24"/>
          <w:szCs w:val="24"/>
          <w:lang w:eastAsia="ja-JP"/>
        </w:rPr>
        <w:t>spadicea</w:t>
      </w:r>
      <w:proofErr w:type="spellEnd"/>
      <w:r w:rsidRPr="00A07F29">
        <w:rPr>
          <w:rFonts w:ascii="Times New Roman" w:eastAsia="Calibri" w:hAnsi="Times New Roman" w:cs="Times New Roman"/>
          <w:iCs/>
          <w:color w:val="000000"/>
          <w:sz w:val="24"/>
          <w:szCs w:val="24"/>
        </w:rPr>
        <w:t xml:space="preserve">. </w:t>
      </w:r>
      <w:r w:rsidRPr="00A07F29">
        <w:rPr>
          <w:rFonts w:ascii="Times New Roman" w:eastAsia="Calibri" w:hAnsi="Times New Roman" w:cs="Times New Roman"/>
          <w:color w:val="000000"/>
          <w:sz w:val="24"/>
          <w:szCs w:val="24"/>
          <w:lang w:eastAsia="ja-JP"/>
        </w:rPr>
        <w:t>un rakstu ķērpis</w:t>
      </w:r>
      <w:r w:rsidRPr="00A07F29">
        <w:rPr>
          <w:rFonts w:ascii="Times New Roman" w:eastAsia="Calibri" w:hAnsi="Times New Roman" w:cs="Times New Roman"/>
          <w:i/>
          <w:iCs/>
          <w:color w:val="000000"/>
          <w:sz w:val="24"/>
          <w:szCs w:val="24"/>
          <w:lang w:eastAsia="ja-JP"/>
        </w:rPr>
        <w:t xml:space="preserve"> </w:t>
      </w:r>
      <w:proofErr w:type="spellStart"/>
      <w:r w:rsidRPr="00A07F29">
        <w:rPr>
          <w:rFonts w:ascii="Times New Roman" w:eastAsia="Calibri" w:hAnsi="Times New Roman" w:cs="Times New Roman"/>
          <w:i/>
          <w:iCs/>
          <w:color w:val="000000"/>
          <w:sz w:val="24"/>
          <w:szCs w:val="24"/>
          <w:lang w:eastAsia="ja-JP"/>
        </w:rPr>
        <w:t>Graphis</w:t>
      </w:r>
      <w:proofErr w:type="spellEnd"/>
      <w:r w:rsidRPr="00A07F29">
        <w:rPr>
          <w:rFonts w:ascii="Times New Roman" w:eastAsia="Calibri" w:hAnsi="Times New Roman" w:cs="Times New Roman"/>
          <w:i/>
          <w:iCs/>
          <w:color w:val="000000"/>
          <w:sz w:val="24"/>
          <w:szCs w:val="24"/>
          <w:lang w:eastAsia="ja-JP"/>
        </w:rPr>
        <w:t xml:space="preserve"> </w:t>
      </w:r>
      <w:proofErr w:type="spellStart"/>
      <w:r w:rsidRPr="00A07F29">
        <w:rPr>
          <w:rFonts w:ascii="Times New Roman" w:eastAsia="Calibri" w:hAnsi="Times New Roman" w:cs="Times New Roman"/>
          <w:i/>
          <w:iCs/>
          <w:color w:val="000000"/>
          <w:sz w:val="24"/>
          <w:szCs w:val="24"/>
          <w:lang w:eastAsia="ja-JP"/>
        </w:rPr>
        <w:t>scripta</w:t>
      </w:r>
      <w:proofErr w:type="spellEnd"/>
      <w:r w:rsidRPr="00A07F29">
        <w:rPr>
          <w:rFonts w:ascii="Times New Roman" w:eastAsia="Calibri" w:hAnsi="Times New Roman" w:cs="Times New Roman"/>
          <w:color w:val="000000"/>
          <w:sz w:val="24"/>
          <w:szCs w:val="24"/>
          <w:lang w:eastAsia="ja-JP"/>
        </w:rPr>
        <w:t xml:space="preserve">, no </w:t>
      </w:r>
      <w:proofErr w:type="spellStart"/>
      <w:r w:rsidRPr="00A07F29">
        <w:rPr>
          <w:rFonts w:ascii="Times New Roman" w:eastAsia="Calibri" w:hAnsi="Times New Roman" w:cs="Times New Roman"/>
          <w:color w:val="000000"/>
          <w:sz w:val="24"/>
          <w:szCs w:val="24"/>
          <w:lang w:eastAsia="ja-JP"/>
        </w:rPr>
        <w:t>vaskulāro</w:t>
      </w:r>
      <w:proofErr w:type="spellEnd"/>
      <w:r w:rsidRPr="00A07F29">
        <w:rPr>
          <w:rFonts w:ascii="Times New Roman" w:eastAsia="Calibri" w:hAnsi="Times New Roman" w:cs="Times New Roman"/>
          <w:color w:val="000000"/>
          <w:sz w:val="24"/>
          <w:szCs w:val="24"/>
          <w:lang w:eastAsia="ja-JP"/>
        </w:rPr>
        <w:t xml:space="preserve"> augu sugām – </w:t>
      </w:r>
      <w:proofErr w:type="spellStart"/>
      <w:r w:rsidRPr="00A07F29">
        <w:rPr>
          <w:rFonts w:ascii="Times New Roman" w:eastAsia="Calibri" w:hAnsi="Times New Roman" w:cs="Times New Roman"/>
          <w:color w:val="000000"/>
          <w:sz w:val="24"/>
          <w:szCs w:val="24"/>
          <w:lang w:eastAsia="ja-JP"/>
        </w:rPr>
        <w:t>attālvārpu</w:t>
      </w:r>
      <w:proofErr w:type="spellEnd"/>
      <w:r w:rsidRPr="00A07F29">
        <w:rPr>
          <w:rFonts w:ascii="Times New Roman" w:eastAsia="Calibri" w:hAnsi="Times New Roman" w:cs="Times New Roman"/>
          <w:color w:val="000000"/>
          <w:sz w:val="24"/>
          <w:szCs w:val="24"/>
          <w:lang w:eastAsia="ja-JP"/>
        </w:rPr>
        <w:t xml:space="preserve"> grīslis </w:t>
      </w:r>
      <w:proofErr w:type="spellStart"/>
      <w:r w:rsidRPr="00A07F29">
        <w:rPr>
          <w:rFonts w:ascii="Times New Roman" w:eastAsia="Calibri" w:hAnsi="Times New Roman" w:cs="Times New Roman"/>
          <w:i/>
          <w:iCs/>
          <w:color w:val="000000"/>
          <w:sz w:val="24"/>
          <w:szCs w:val="24"/>
          <w:lang w:eastAsia="ja-JP"/>
        </w:rPr>
        <w:t>Carex</w:t>
      </w:r>
      <w:proofErr w:type="spellEnd"/>
      <w:r w:rsidRPr="00A07F29">
        <w:rPr>
          <w:rFonts w:ascii="Times New Roman" w:eastAsia="Calibri" w:hAnsi="Times New Roman" w:cs="Times New Roman"/>
          <w:i/>
          <w:iCs/>
          <w:color w:val="000000"/>
          <w:sz w:val="24"/>
          <w:szCs w:val="24"/>
          <w:lang w:eastAsia="ja-JP"/>
        </w:rPr>
        <w:t xml:space="preserve"> </w:t>
      </w:r>
      <w:proofErr w:type="spellStart"/>
      <w:r w:rsidRPr="00A07F29">
        <w:rPr>
          <w:rFonts w:ascii="Times New Roman" w:eastAsia="Calibri" w:hAnsi="Times New Roman" w:cs="Times New Roman"/>
          <w:i/>
          <w:iCs/>
          <w:color w:val="000000"/>
          <w:sz w:val="24"/>
          <w:szCs w:val="24"/>
          <w:lang w:eastAsia="ja-JP"/>
        </w:rPr>
        <w:t>remota</w:t>
      </w:r>
      <w:proofErr w:type="spellEnd"/>
      <w:r w:rsidRPr="00A07F29">
        <w:rPr>
          <w:rFonts w:ascii="Times New Roman" w:eastAsia="Calibri" w:hAnsi="Times New Roman" w:cs="Times New Roman"/>
          <w:i/>
          <w:iCs/>
          <w:color w:val="000000"/>
          <w:sz w:val="24"/>
          <w:szCs w:val="24"/>
          <w:lang w:eastAsia="ja-JP"/>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6"/>
        <w:gridCol w:w="1788"/>
      </w:tblGrid>
      <w:tr w:rsidR="008E6F77" w:rsidRPr="00A07F29" w14:paraId="0F0A9980" w14:textId="77777777" w:rsidTr="63C42FA1">
        <w:trPr>
          <w:jc w:val="center"/>
        </w:trPr>
        <w:tc>
          <w:tcPr>
            <w:tcW w:w="4672" w:type="dxa"/>
          </w:tcPr>
          <w:p w14:paraId="64A9977D" w14:textId="17F25383" w:rsidR="008E6F77" w:rsidRPr="00A07F29" w:rsidRDefault="008E6F77" w:rsidP="004C1A93">
            <w:pPr>
              <w:spacing w:after="120"/>
              <w:jc w:val="both"/>
              <w:rPr>
                <w:rFonts w:ascii="Times New Roman" w:eastAsia="Calibri" w:hAnsi="Times New Roman" w:cs="Times New Roman"/>
                <w:color w:val="000000"/>
                <w:sz w:val="24"/>
                <w:szCs w:val="24"/>
                <w:lang w:eastAsia="ja-JP"/>
              </w:rPr>
            </w:pPr>
            <w:r w:rsidRPr="00A07F29">
              <w:rPr>
                <w:noProof/>
                <w:lang w:eastAsia="lv-LV"/>
              </w:rPr>
              <w:lastRenderedPageBreak/>
              <w:drawing>
                <wp:inline distT="0" distB="0" distL="0" distR="0" wp14:anchorId="467A8CA0" wp14:editId="3B95C04B">
                  <wp:extent cx="4659170" cy="2621280"/>
                  <wp:effectExtent l="0" t="0" r="8255" b="7620"/>
                  <wp:docPr id="918145559"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pic:nvPicPr>
                        <pic:blipFill>
                          <a:blip r:embed="rId54">
                            <a:extLst>
                              <a:ext uri="{28A0092B-C50C-407E-A947-70E740481C1C}">
                                <a14:useLocalDpi xmlns:a14="http://schemas.microsoft.com/office/drawing/2010/main" val="0"/>
                              </a:ext>
                            </a:extLst>
                          </a:blip>
                          <a:stretch>
                            <a:fillRect/>
                          </a:stretch>
                        </pic:blipFill>
                        <pic:spPr>
                          <a:xfrm>
                            <a:off x="0" y="0"/>
                            <a:ext cx="4659170" cy="2621280"/>
                          </a:xfrm>
                          <a:prstGeom prst="rect">
                            <a:avLst/>
                          </a:prstGeom>
                        </pic:spPr>
                      </pic:pic>
                    </a:graphicData>
                  </a:graphic>
                </wp:inline>
              </w:drawing>
            </w:r>
          </w:p>
        </w:tc>
        <w:tc>
          <w:tcPr>
            <w:tcW w:w="4672" w:type="dxa"/>
            <w:vAlign w:val="bottom"/>
          </w:tcPr>
          <w:p w14:paraId="59258275" w14:textId="6714C456" w:rsidR="008E6F77" w:rsidRPr="008902F0" w:rsidRDefault="008E6F77" w:rsidP="004C1A93">
            <w:pPr>
              <w:spacing w:after="120"/>
              <w:jc w:val="both"/>
              <w:rPr>
                <w:rFonts w:ascii="Times New Roman" w:eastAsia="Calibri" w:hAnsi="Times New Roman" w:cs="Times New Roman"/>
                <w:color w:val="000000"/>
                <w:sz w:val="20"/>
                <w:szCs w:val="20"/>
                <w:lang w:eastAsia="ja-JP"/>
              </w:rPr>
            </w:pPr>
            <w:r w:rsidRPr="008902F0">
              <w:rPr>
                <w:rFonts w:ascii="Times New Roman" w:eastAsia="Calibri" w:hAnsi="Times New Roman" w:cs="Times New Roman"/>
                <w:sz w:val="20"/>
                <w:szCs w:val="20"/>
              </w:rPr>
              <w:t>4.3.4.4.</w:t>
            </w:r>
            <w:r w:rsidR="008902F0" w:rsidRPr="008902F0">
              <w:rPr>
                <w:rFonts w:ascii="Times New Roman" w:eastAsia="Calibri" w:hAnsi="Times New Roman" w:cs="Times New Roman"/>
                <w:sz w:val="20"/>
                <w:szCs w:val="20"/>
              </w:rPr>
              <w:t> </w:t>
            </w:r>
            <w:r w:rsidRPr="008902F0">
              <w:rPr>
                <w:rFonts w:ascii="Times New Roman" w:eastAsia="Calibri" w:hAnsi="Times New Roman" w:cs="Times New Roman"/>
                <w:sz w:val="20"/>
                <w:szCs w:val="20"/>
              </w:rPr>
              <w:t>att</w:t>
            </w:r>
            <w:r w:rsidR="008902F0" w:rsidRPr="008902F0">
              <w:rPr>
                <w:rFonts w:ascii="Times New Roman" w:eastAsia="Calibri" w:hAnsi="Times New Roman" w:cs="Times New Roman"/>
                <w:sz w:val="20"/>
                <w:szCs w:val="20"/>
              </w:rPr>
              <w:t>ēls</w:t>
            </w:r>
            <w:r w:rsidRPr="008902F0">
              <w:rPr>
                <w:rFonts w:ascii="Times New Roman" w:eastAsia="Calibri" w:hAnsi="Times New Roman" w:cs="Times New Roman"/>
                <w:sz w:val="20"/>
                <w:szCs w:val="20"/>
              </w:rPr>
              <w:t>. 91E0*</w:t>
            </w:r>
            <w:r w:rsidR="008902F0" w:rsidRPr="008902F0">
              <w:rPr>
                <w:rFonts w:ascii="Times New Roman" w:eastAsia="Calibri" w:hAnsi="Times New Roman" w:cs="Times New Roman"/>
                <w:sz w:val="20"/>
                <w:szCs w:val="20"/>
              </w:rPr>
              <w:t> </w:t>
            </w:r>
            <w:r w:rsidRPr="008902F0">
              <w:rPr>
                <w:rFonts w:ascii="Times New Roman" w:eastAsia="Calibri" w:hAnsi="Times New Roman" w:cs="Times New Roman"/>
                <w:i/>
                <w:iCs/>
                <w:sz w:val="20"/>
                <w:szCs w:val="20"/>
              </w:rPr>
              <w:t>Aluviāls mežs</w:t>
            </w:r>
            <w:r w:rsidRPr="008902F0">
              <w:rPr>
                <w:rFonts w:ascii="Times New Roman" w:eastAsia="Calibri" w:hAnsi="Times New Roman" w:cs="Times New Roman"/>
                <w:sz w:val="20"/>
                <w:szCs w:val="20"/>
              </w:rPr>
              <w:t xml:space="preserve"> ar augsto gaiļpiesi</w:t>
            </w:r>
            <w:r w:rsidRPr="008902F0">
              <w:rPr>
                <w:rFonts w:ascii="Times New Roman" w:eastAsia="Calibri" w:hAnsi="Times New Roman" w:cs="Times New Roman"/>
                <w:i/>
                <w:iCs/>
                <w:sz w:val="20"/>
                <w:szCs w:val="20"/>
              </w:rPr>
              <w:t xml:space="preserve"> </w:t>
            </w:r>
            <w:proofErr w:type="spellStart"/>
            <w:r w:rsidRPr="008902F0">
              <w:rPr>
                <w:rFonts w:ascii="Times New Roman" w:eastAsia="Calibri" w:hAnsi="Times New Roman" w:cs="Times New Roman"/>
                <w:i/>
                <w:iCs/>
                <w:sz w:val="20"/>
                <w:szCs w:val="20"/>
              </w:rPr>
              <w:t>Delphinium</w:t>
            </w:r>
            <w:proofErr w:type="spellEnd"/>
            <w:r w:rsidRPr="008902F0">
              <w:rPr>
                <w:rFonts w:ascii="Times New Roman" w:eastAsia="Calibri" w:hAnsi="Times New Roman" w:cs="Times New Roman"/>
                <w:i/>
                <w:iCs/>
                <w:sz w:val="20"/>
                <w:szCs w:val="20"/>
              </w:rPr>
              <w:t xml:space="preserve"> </w:t>
            </w:r>
            <w:proofErr w:type="spellStart"/>
            <w:r w:rsidRPr="008902F0">
              <w:rPr>
                <w:rFonts w:ascii="Times New Roman" w:eastAsia="Calibri" w:hAnsi="Times New Roman" w:cs="Times New Roman"/>
                <w:i/>
                <w:iCs/>
                <w:sz w:val="20"/>
                <w:szCs w:val="20"/>
              </w:rPr>
              <w:t>elatum</w:t>
            </w:r>
            <w:proofErr w:type="spellEnd"/>
            <w:r w:rsidRPr="008902F0">
              <w:rPr>
                <w:rFonts w:ascii="Times New Roman" w:eastAsia="Calibri" w:hAnsi="Times New Roman" w:cs="Times New Roman"/>
                <w:sz w:val="20"/>
                <w:szCs w:val="20"/>
              </w:rPr>
              <w:t xml:space="preserve"> un parasto </w:t>
            </w:r>
            <w:proofErr w:type="spellStart"/>
            <w:r w:rsidRPr="008902F0">
              <w:rPr>
                <w:rFonts w:ascii="Times New Roman" w:eastAsia="Calibri" w:hAnsi="Times New Roman" w:cs="Times New Roman"/>
                <w:sz w:val="20"/>
                <w:szCs w:val="20"/>
              </w:rPr>
              <w:t>strauspapardi</w:t>
            </w:r>
            <w:proofErr w:type="spellEnd"/>
            <w:r w:rsidRPr="008902F0">
              <w:rPr>
                <w:rFonts w:ascii="Times New Roman" w:eastAsia="Calibri" w:hAnsi="Times New Roman" w:cs="Times New Roman"/>
                <w:sz w:val="20"/>
                <w:szCs w:val="20"/>
              </w:rPr>
              <w:t xml:space="preserve"> </w:t>
            </w:r>
            <w:proofErr w:type="spellStart"/>
            <w:r w:rsidRPr="008902F0">
              <w:rPr>
                <w:rFonts w:ascii="Times New Roman" w:eastAsia="Calibri" w:hAnsi="Times New Roman" w:cs="Times New Roman"/>
                <w:i/>
                <w:iCs/>
                <w:sz w:val="20"/>
                <w:szCs w:val="20"/>
              </w:rPr>
              <w:t>Matteuccia</w:t>
            </w:r>
            <w:proofErr w:type="spellEnd"/>
            <w:r w:rsidRPr="008902F0">
              <w:rPr>
                <w:rFonts w:ascii="Times New Roman" w:eastAsia="Calibri" w:hAnsi="Times New Roman" w:cs="Times New Roman"/>
                <w:i/>
                <w:iCs/>
                <w:sz w:val="20"/>
                <w:szCs w:val="20"/>
              </w:rPr>
              <w:t xml:space="preserve"> </w:t>
            </w:r>
            <w:proofErr w:type="spellStart"/>
            <w:r w:rsidRPr="008902F0">
              <w:rPr>
                <w:rFonts w:ascii="Times New Roman" w:eastAsia="Calibri" w:hAnsi="Times New Roman" w:cs="Times New Roman"/>
                <w:i/>
                <w:iCs/>
                <w:sz w:val="20"/>
                <w:szCs w:val="20"/>
              </w:rPr>
              <w:t>struthiopteris</w:t>
            </w:r>
            <w:proofErr w:type="spellEnd"/>
            <w:r w:rsidRPr="008902F0">
              <w:rPr>
                <w:rFonts w:ascii="Times New Roman" w:eastAsia="Calibri" w:hAnsi="Times New Roman" w:cs="Times New Roman"/>
                <w:sz w:val="20"/>
                <w:szCs w:val="20"/>
              </w:rPr>
              <w:t xml:space="preserve"> (Foto: A</w:t>
            </w:r>
            <w:r w:rsidR="008902F0" w:rsidRPr="008902F0">
              <w:rPr>
                <w:rFonts w:ascii="Times New Roman" w:eastAsia="Calibri" w:hAnsi="Times New Roman" w:cs="Times New Roman"/>
                <w:sz w:val="20"/>
                <w:szCs w:val="20"/>
              </w:rPr>
              <w:t>. </w:t>
            </w:r>
            <w:r w:rsidRPr="008902F0">
              <w:rPr>
                <w:rFonts w:ascii="Times New Roman" w:eastAsia="Calibri" w:hAnsi="Times New Roman" w:cs="Times New Roman"/>
                <w:sz w:val="20"/>
                <w:szCs w:val="20"/>
              </w:rPr>
              <w:t>Bojāre)</w:t>
            </w:r>
          </w:p>
        </w:tc>
      </w:tr>
    </w:tbl>
    <w:p w14:paraId="2AB19B9F" w14:textId="318DA382" w:rsidR="002B1603" w:rsidRPr="00A07F29" w:rsidRDefault="002B1603" w:rsidP="008E6F77">
      <w:pPr>
        <w:keepNext/>
        <w:keepLines/>
        <w:spacing w:before="240" w:after="120" w:line="240" w:lineRule="auto"/>
        <w:jc w:val="both"/>
        <w:outlineLvl w:val="3"/>
        <w:rPr>
          <w:rFonts w:ascii="Times New Roman" w:eastAsia="Calibri" w:hAnsi="Times New Roman" w:cs="Times New Roman"/>
          <w:b/>
          <w:bCs/>
          <w:i/>
          <w:iCs/>
          <w:sz w:val="24"/>
          <w:szCs w:val="24"/>
          <w:lang w:eastAsia="lv-LV"/>
        </w:rPr>
      </w:pPr>
      <w:r w:rsidRPr="00A07F29">
        <w:rPr>
          <w:rFonts w:ascii="Times New Roman" w:eastAsia="Calibri" w:hAnsi="Times New Roman" w:cs="Times New Roman"/>
          <w:b/>
          <w:bCs/>
          <w:sz w:val="24"/>
          <w:szCs w:val="24"/>
          <w:lang w:eastAsia="lv-LV"/>
        </w:rPr>
        <w:t>91T0*</w:t>
      </w:r>
      <w:r w:rsidRPr="00A07F29">
        <w:rPr>
          <w:rFonts w:ascii="Times New Roman" w:eastAsia="Calibri" w:hAnsi="Times New Roman" w:cs="Times New Roman"/>
          <w:b/>
          <w:bCs/>
          <w:i/>
          <w:iCs/>
          <w:sz w:val="24"/>
          <w:szCs w:val="24"/>
          <w:lang w:eastAsia="lv-LV"/>
        </w:rPr>
        <w:t xml:space="preserve"> Ķērpjiem bagāti priežu meži</w:t>
      </w:r>
    </w:p>
    <w:p w14:paraId="49E7138F" w14:textId="512FA5C7" w:rsidR="00897962" w:rsidRPr="00A07F29" w:rsidRDefault="002B1603" w:rsidP="00897962">
      <w:pPr>
        <w:autoSpaceDE w:val="0"/>
        <w:autoSpaceDN w:val="0"/>
        <w:adjustRightInd w:val="0"/>
        <w:spacing w:after="120" w:line="240" w:lineRule="auto"/>
        <w:ind w:firstLine="720"/>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Latvijā izplatīti samērā reti un tikai iekšzemē, ārpus Piejūras zemienes, ko no iekšzemes norobežo dažos posmos dabā konstatējamā Baltijas ledus ezera </w:t>
      </w:r>
      <w:proofErr w:type="spellStart"/>
      <w:r w:rsidRPr="00A07F29">
        <w:rPr>
          <w:rFonts w:ascii="Times New Roman" w:eastAsia="Calibri" w:hAnsi="Times New Roman" w:cs="Times New Roman"/>
          <w:sz w:val="24"/>
          <w:szCs w:val="24"/>
        </w:rPr>
        <w:t>senkrasta</w:t>
      </w:r>
      <w:proofErr w:type="spellEnd"/>
      <w:r w:rsidRPr="00A07F29">
        <w:rPr>
          <w:rFonts w:ascii="Times New Roman" w:eastAsia="Calibri" w:hAnsi="Times New Roman" w:cs="Times New Roman"/>
          <w:sz w:val="24"/>
          <w:szCs w:val="24"/>
        </w:rPr>
        <w:t xml:space="preserve"> nogāze. Biotops aizņem </w:t>
      </w:r>
      <w:r w:rsidRPr="00A07F29">
        <w:rPr>
          <w:rFonts w:ascii="Times New Roman" w:hAnsi="Times New Roman" w:cs="Times New Roman"/>
          <w:sz w:val="24"/>
          <w:szCs w:val="24"/>
        </w:rPr>
        <w:t>24,81 </w:t>
      </w:r>
      <w:r w:rsidR="00930F9B">
        <w:rPr>
          <w:rFonts w:ascii="Cambria Math" w:hAnsi="Cambria Math" w:cs="Cambria Math"/>
          <w:sz w:val="24"/>
          <w:szCs w:val="24"/>
        </w:rPr>
        <w:t>– </w:t>
      </w:r>
      <w:r w:rsidRPr="00A07F29">
        <w:rPr>
          <w:rFonts w:ascii="Times New Roman" w:hAnsi="Times New Roman" w:cs="Times New Roman"/>
          <w:sz w:val="24"/>
          <w:szCs w:val="24"/>
        </w:rPr>
        <w:t>26,0 km</w:t>
      </w:r>
      <w:r w:rsidRPr="00A07F29">
        <w:rPr>
          <w:rFonts w:ascii="Times New Roman" w:hAnsi="Times New Roman" w:cs="Times New Roman"/>
          <w:sz w:val="24"/>
          <w:szCs w:val="24"/>
          <w:vertAlign w:val="superscript"/>
        </w:rPr>
        <w:t>2</w:t>
      </w:r>
      <w:r w:rsidRPr="00A07F29">
        <w:t xml:space="preserve"> </w:t>
      </w:r>
      <w:r w:rsidRPr="00A07F29">
        <w:rPr>
          <w:rFonts w:ascii="Times New Roman" w:eastAsia="Calibri" w:hAnsi="Times New Roman" w:cs="Times New Roman"/>
          <w:sz w:val="24"/>
          <w:szCs w:val="24"/>
        </w:rPr>
        <w:t xml:space="preserve">no Latvijas sauszemes platības. </w:t>
      </w:r>
      <w:r w:rsidR="00897962" w:rsidRPr="00A07F29">
        <w:rPr>
          <w:rFonts w:ascii="Times New Roman" w:eastAsia="Calibri" w:hAnsi="Times New Roman" w:cs="Times New Roman"/>
          <w:bCs/>
          <w:sz w:val="24"/>
          <w:szCs w:val="24"/>
          <w:lang w:eastAsia="lv-LV"/>
        </w:rPr>
        <w:t>91T0*</w:t>
      </w:r>
      <w:r w:rsidR="00930F9B">
        <w:rPr>
          <w:rFonts w:ascii="Times New Roman" w:eastAsia="Calibri" w:hAnsi="Times New Roman" w:cs="Times New Roman"/>
          <w:bCs/>
          <w:i/>
          <w:iCs/>
          <w:sz w:val="24"/>
          <w:szCs w:val="24"/>
          <w:lang w:eastAsia="lv-LV"/>
        </w:rPr>
        <w:t> </w:t>
      </w:r>
      <w:r w:rsidR="00897962" w:rsidRPr="00A07F29">
        <w:rPr>
          <w:rFonts w:ascii="Times New Roman" w:eastAsia="Calibri" w:hAnsi="Times New Roman" w:cs="Times New Roman"/>
          <w:bCs/>
          <w:i/>
          <w:iCs/>
          <w:sz w:val="24"/>
          <w:szCs w:val="24"/>
          <w:lang w:eastAsia="lv-LV"/>
        </w:rPr>
        <w:t xml:space="preserve">Ķērpjiem bagāti priežu meži, </w:t>
      </w:r>
      <w:r w:rsidR="00897962" w:rsidRPr="00A07F29">
        <w:rPr>
          <w:rFonts w:ascii="Times New Roman" w:eastAsia="Calibri" w:hAnsi="Times New Roman" w:cs="Times New Roman"/>
          <w:iCs/>
          <w:color w:val="000000" w:themeColor="text1"/>
          <w:sz w:val="24"/>
          <w:szCs w:val="24"/>
        </w:rPr>
        <w:t>kas atbilst DMB un ir ar izcilu kvalitāti</w:t>
      </w:r>
      <w:r w:rsidR="00930F9B">
        <w:rPr>
          <w:rFonts w:ascii="Times New Roman" w:eastAsia="Calibri" w:hAnsi="Times New Roman" w:cs="Times New Roman"/>
          <w:iCs/>
          <w:color w:val="000000" w:themeColor="text1"/>
          <w:sz w:val="24"/>
          <w:szCs w:val="24"/>
        </w:rPr>
        <w:t>,</w:t>
      </w:r>
      <w:r w:rsidR="00897962" w:rsidRPr="00A07F29">
        <w:rPr>
          <w:rFonts w:ascii="Times New Roman" w:eastAsia="Calibri" w:hAnsi="Times New Roman" w:cs="Times New Roman"/>
          <w:i/>
          <w:iCs/>
          <w:color w:val="000000" w:themeColor="text1"/>
          <w:sz w:val="24"/>
          <w:szCs w:val="24"/>
        </w:rPr>
        <w:t xml:space="preserve"> </w:t>
      </w:r>
      <w:r w:rsidR="00897962" w:rsidRPr="00A07F29">
        <w:rPr>
          <w:rFonts w:ascii="Times New Roman" w:eastAsia="Calibri" w:hAnsi="Times New Roman" w:cs="Times New Roman"/>
          <w:iCs/>
          <w:color w:val="000000" w:themeColor="text1"/>
          <w:sz w:val="24"/>
          <w:szCs w:val="24"/>
        </w:rPr>
        <w:t xml:space="preserve">atbilst Latvijas </w:t>
      </w:r>
      <w:r w:rsidR="00E05C1D">
        <w:rPr>
          <w:rFonts w:ascii="Times New Roman" w:eastAsia="Calibri" w:hAnsi="Times New Roman" w:cs="Times New Roman"/>
          <w:iCs/>
          <w:color w:val="000000" w:themeColor="text1"/>
          <w:sz w:val="24"/>
          <w:szCs w:val="24"/>
        </w:rPr>
        <w:t>īpaši aizsargājamam</w:t>
      </w:r>
      <w:r w:rsidR="00897962" w:rsidRPr="00A07F29">
        <w:rPr>
          <w:rFonts w:ascii="Times New Roman" w:eastAsia="Calibri" w:hAnsi="Times New Roman" w:cs="Times New Roman"/>
          <w:iCs/>
          <w:color w:val="000000" w:themeColor="text1"/>
          <w:sz w:val="24"/>
          <w:szCs w:val="24"/>
        </w:rPr>
        <w:t xml:space="preserve"> biotopam</w:t>
      </w:r>
      <w:r w:rsidR="00897962" w:rsidRPr="00A07F29">
        <w:rPr>
          <w:rFonts w:ascii="Times New Roman" w:eastAsia="Calibri" w:hAnsi="Times New Roman" w:cs="Times New Roman"/>
          <w:i/>
          <w:iCs/>
          <w:color w:val="000000" w:themeColor="text1"/>
          <w:sz w:val="24"/>
          <w:szCs w:val="24"/>
        </w:rPr>
        <w:t xml:space="preserve"> 1.14.</w:t>
      </w:r>
      <w:r w:rsidR="00930F9B">
        <w:rPr>
          <w:rFonts w:ascii="Times New Roman" w:eastAsia="Calibri" w:hAnsi="Times New Roman" w:cs="Times New Roman"/>
          <w:i/>
          <w:iCs/>
          <w:color w:val="000000" w:themeColor="text1"/>
          <w:sz w:val="24"/>
          <w:szCs w:val="24"/>
        </w:rPr>
        <w:t> </w:t>
      </w:r>
      <w:r w:rsidR="00897962" w:rsidRPr="00A07F29">
        <w:rPr>
          <w:rFonts w:ascii="Times New Roman" w:hAnsi="Times New Roman" w:cs="Times New Roman"/>
          <w:bCs/>
          <w:i/>
          <w:sz w:val="24"/>
          <w:szCs w:val="24"/>
          <w:shd w:val="clear" w:color="auto" w:fill="FFFFFF"/>
        </w:rPr>
        <w:t xml:space="preserve">Veci vai dabiski </w:t>
      </w:r>
      <w:proofErr w:type="spellStart"/>
      <w:r w:rsidR="00897962" w:rsidRPr="00A07F29">
        <w:rPr>
          <w:rFonts w:ascii="Times New Roman" w:hAnsi="Times New Roman" w:cs="Times New Roman"/>
          <w:bCs/>
          <w:i/>
          <w:sz w:val="24"/>
          <w:szCs w:val="24"/>
          <w:shd w:val="clear" w:color="auto" w:fill="FFFFFF"/>
        </w:rPr>
        <w:t>boreālie</w:t>
      </w:r>
      <w:proofErr w:type="spellEnd"/>
      <w:r w:rsidR="00897962" w:rsidRPr="00A07F29">
        <w:rPr>
          <w:rFonts w:ascii="Times New Roman" w:hAnsi="Times New Roman" w:cs="Times New Roman"/>
          <w:bCs/>
          <w:i/>
          <w:sz w:val="24"/>
          <w:szCs w:val="24"/>
          <w:shd w:val="clear" w:color="auto" w:fill="FFFFFF"/>
        </w:rPr>
        <w:t xml:space="preserve"> meži.</w:t>
      </w:r>
    </w:p>
    <w:p w14:paraId="7AABFB66" w14:textId="7A0539FE" w:rsidR="002B1603" w:rsidRPr="00A07F29" w:rsidRDefault="002B1603" w:rsidP="00897962">
      <w:pPr>
        <w:spacing w:after="120" w:line="240" w:lineRule="auto"/>
        <w:ind w:firstLine="851"/>
        <w:jc w:val="both"/>
        <w:rPr>
          <w:rFonts w:ascii="Times New Roman" w:eastAsia="Calibri" w:hAnsi="Times New Roman" w:cs="Times New Roman"/>
          <w:color w:val="000000"/>
          <w:sz w:val="24"/>
          <w:szCs w:val="24"/>
          <w:lang w:eastAsia="ja-JP"/>
        </w:rPr>
      </w:pPr>
      <w:r w:rsidRPr="00A07F29">
        <w:rPr>
          <w:rFonts w:ascii="Times New Roman" w:eastAsia="Calibri" w:hAnsi="Times New Roman" w:cs="Times New Roman"/>
          <w:sz w:val="24"/>
          <w:szCs w:val="24"/>
        </w:rPr>
        <w:t xml:space="preserve">AAA “Augšdaugava” </w:t>
      </w:r>
      <w:r w:rsidR="008E6F77" w:rsidRPr="00A07F29">
        <w:rPr>
          <w:rFonts w:ascii="Times New Roman" w:eastAsia="Calibri" w:hAnsi="Times New Roman" w:cs="Times New Roman"/>
          <w:sz w:val="24"/>
          <w:szCs w:val="24"/>
        </w:rPr>
        <w:t xml:space="preserve">šis </w:t>
      </w:r>
      <w:r w:rsidRPr="00A07F29">
        <w:rPr>
          <w:rFonts w:ascii="Times New Roman" w:eastAsia="Calibri" w:hAnsi="Times New Roman" w:cs="Times New Roman"/>
          <w:sz w:val="24"/>
          <w:szCs w:val="24"/>
        </w:rPr>
        <w:t>biotops apzināts tikai 5,15</w:t>
      </w:r>
      <w:r w:rsidR="00F4694C">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ha lielā platībā, </w:t>
      </w:r>
      <w:r w:rsidR="008E6F77" w:rsidRPr="00A07F29">
        <w:rPr>
          <w:rFonts w:ascii="Times New Roman" w:eastAsia="Calibri" w:hAnsi="Times New Roman" w:cs="Times New Roman"/>
          <w:color w:val="000000"/>
          <w:sz w:val="24"/>
          <w:szCs w:val="24"/>
          <w:lang w:eastAsia="ja-JP"/>
        </w:rPr>
        <w:t xml:space="preserve">konstatēts šī biotopa </w:t>
      </w:r>
      <w:r w:rsidR="00897962" w:rsidRPr="00A07F29">
        <w:rPr>
          <w:rFonts w:ascii="Times New Roman" w:eastAsia="Calibri" w:hAnsi="Times New Roman" w:cs="Times New Roman"/>
          <w:color w:val="000000"/>
          <w:sz w:val="24"/>
          <w:szCs w:val="24"/>
          <w:lang w:eastAsia="ja-JP"/>
        </w:rPr>
        <w:t xml:space="preserve">tipiskais </w:t>
      </w:r>
      <w:r w:rsidR="008E6F77" w:rsidRPr="00A07F29">
        <w:rPr>
          <w:rFonts w:ascii="Times New Roman" w:eastAsia="Calibri" w:hAnsi="Times New Roman" w:cs="Times New Roman"/>
          <w:color w:val="000000"/>
          <w:sz w:val="24"/>
          <w:szCs w:val="24"/>
          <w:lang w:eastAsia="ja-JP"/>
        </w:rPr>
        <w:t>variants</w:t>
      </w:r>
      <w:r w:rsidR="008E6F77" w:rsidRPr="00A07F29">
        <w:rPr>
          <w:rFonts w:ascii="Times New Roman" w:eastAsia="Calibri" w:hAnsi="Times New Roman" w:cs="Times New Roman"/>
          <w:sz w:val="24"/>
          <w:szCs w:val="24"/>
        </w:rPr>
        <w:t>.</w:t>
      </w:r>
      <w:r w:rsidR="00897962" w:rsidRPr="00A07F29">
        <w:rPr>
          <w:rFonts w:ascii="Times New Roman" w:eastAsia="Calibri" w:hAnsi="Times New Roman" w:cs="Times New Roman"/>
          <w:sz w:val="24"/>
          <w:szCs w:val="24"/>
        </w:rPr>
        <w:t xml:space="preserve"> Tie ir priežu </w:t>
      </w:r>
      <w:proofErr w:type="spellStart"/>
      <w:r w:rsidR="00897962" w:rsidRPr="00A07F29">
        <w:rPr>
          <w:rFonts w:ascii="Times New Roman" w:eastAsia="Calibri" w:hAnsi="Times New Roman" w:cs="Times New Roman"/>
          <w:sz w:val="24"/>
          <w:szCs w:val="24"/>
        </w:rPr>
        <w:t>sausieņu</w:t>
      </w:r>
      <w:proofErr w:type="spellEnd"/>
      <w:r w:rsidR="00897962" w:rsidRPr="00A07F29">
        <w:rPr>
          <w:rFonts w:ascii="Times New Roman" w:eastAsia="Calibri" w:hAnsi="Times New Roman" w:cs="Times New Roman"/>
          <w:sz w:val="24"/>
          <w:szCs w:val="24"/>
        </w:rPr>
        <w:t xml:space="preserve"> meži uz iekšzemes </w:t>
      </w:r>
      <w:proofErr w:type="spellStart"/>
      <w:r w:rsidR="00897962" w:rsidRPr="00A07F29">
        <w:rPr>
          <w:rFonts w:ascii="Times New Roman" w:eastAsia="Calibri" w:hAnsi="Times New Roman" w:cs="Times New Roman"/>
          <w:sz w:val="24"/>
          <w:szCs w:val="24"/>
        </w:rPr>
        <w:t>eolajiem</w:t>
      </w:r>
      <w:proofErr w:type="spellEnd"/>
      <w:r w:rsidR="00897962" w:rsidRPr="00A07F29">
        <w:rPr>
          <w:rFonts w:ascii="Times New Roman" w:eastAsia="Calibri" w:hAnsi="Times New Roman" w:cs="Times New Roman"/>
          <w:sz w:val="24"/>
          <w:szCs w:val="24"/>
        </w:rPr>
        <w:t xml:space="preserve"> nogulumiem – kāpām, ar tipisku zemsedzi, kur vismaz 25</w:t>
      </w:r>
      <w:r w:rsidR="00F4694C">
        <w:rPr>
          <w:rFonts w:ascii="Times New Roman" w:eastAsia="Calibri" w:hAnsi="Times New Roman" w:cs="Times New Roman"/>
          <w:sz w:val="24"/>
          <w:szCs w:val="24"/>
        </w:rPr>
        <w:t> </w:t>
      </w:r>
      <w:r w:rsidR="00897962" w:rsidRPr="00A07F29">
        <w:rPr>
          <w:rFonts w:ascii="Times New Roman" w:eastAsia="Calibri" w:hAnsi="Times New Roman" w:cs="Times New Roman"/>
          <w:sz w:val="24"/>
          <w:szCs w:val="24"/>
        </w:rPr>
        <w:t xml:space="preserve">% no zemsedzes </w:t>
      </w:r>
      <w:proofErr w:type="spellStart"/>
      <w:r w:rsidR="00897962" w:rsidRPr="00A07F29">
        <w:rPr>
          <w:rFonts w:ascii="Times New Roman" w:eastAsia="Calibri" w:hAnsi="Times New Roman" w:cs="Times New Roman"/>
          <w:sz w:val="24"/>
          <w:szCs w:val="24"/>
        </w:rPr>
        <w:t>projektīvā</w:t>
      </w:r>
      <w:proofErr w:type="spellEnd"/>
      <w:r w:rsidR="00897962" w:rsidRPr="00A07F29">
        <w:rPr>
          <w:rFonts w:ascii="Times New Roman" w:eastAsia="Calibri" w:hAnsi="Times New Roman" w:cs="Times New Roman"/>
          <w:sz w:val="24"/>
          <w:szCs w:val="24"/>
        </w:rPr>
        <w:t xml:space="preserve"> seguma veido </w:t>
      </w:r>
      <w:proofErr w:type="spellStart"/>
      <w:r w:rsidR="00897962" w:rsidRPr="00A07F29">
        <w:rPr>
          <w:rFonts w:ascii="Times New Roman" w:eastAsia="Calibri" w:hAnsi="Times New Roman" w:cs="Times New Roman"/>
          <w:sz w:val="24"/>
          <w:szCs w:val="24"/>
        </w:rPr>
        <w:t>kladonijas</w:t>
      </w:r>
      <w:proofErr w:type="spellEnd"/>
      <w:r w:rsidR="00897962" w:rsidRPr="00A07F29">
        <w:rPr>
          <w:rFonts w:ascii="Times New Roman" w:eastAsia="Calibri" w:hAnsi="Times New Roman" w:cs="Times New Roman"/>
          <w:sz w:val="24"/>
          <w:szCs w:val="24"/>
        </w:rPr>
        <w:t xml:space="preserve"> </w:t>
      </w:r>
      <w:proofErr w:type="spellStart"/>
      <w:r w:rsidR="00897962" w:rsidRPr="00A07F29">
        <w:rPr>
          <w:rFonts w:ascii="Times New Roman" w:eastAsia="Calibri" w:hAnsi="Times New Roman" w:cs="Times New Roman"/>
          <w:i/>
          <w:iCs/>
          <w:sz w:val="24"/>
          <w:szCs w:val="24"/>
        </w:rPr>
        <w:t>Cladonia</w:t>
      </w:r>
      <w:proofErr w:type="spellEnd"/>
      <w:r w:rsidR="00897962" w:rsidRPr="00A07F29">
        <w:rPr>
          <w:rFonts w:ascii="Times New Roman" w:eastAsia="Calibri" w:hAnsi="Times New Roman" w:cs="Times New Roman"/>
          <w:sz w:val="24"/>
          <w:szCs w:val="24"/>
        </w:rPr>
        <w:t xml:space="preserve"> </w:t>
      </w:r>
      <w:proofErr w:type="spellStart"/>
      <w:r w:rsidR="00897962" w:rsidRPr="00A07F29">
        <w:rPr>
          <w:rFonts w:ascii="Times New Roman" w:eastAsia="Calibri" w:hAnsi="Times New Roman" w:cs="Times New Roman"/>
          <w:sz w:val="24"/>
          <w:szCs w:val="24"/>
        </w:rPr>
        <w:t>spp</w:t>
      </w:r>
      <w:proofErr w:type="spellEnd"/>
      <w:r w:rsidR="00897962" w:rsidRPr="00A07F29">
        <w:rPr>
          <w:rFonts w:ascii="Times New Roman" w:eastAsia="Calibri" w:hAnsi="Times New Roman" w:cs="Times New Roman"/>
          <w:sz w:val="24"/>
          <w:szCs w:val="24"/>
        </w:rPr>
        <w:t xml:space="preserve">. un vai </w:t>
      </w:r>
      <w:proofErr w:type="spellStart"/>
      <w:r w:rsidR="00897962" w:rsidRPr="00A07F29">
        <w:rPr>
          <w:rFonts w:ascii="Times New Roman" w:eastAsia="Calibri" w:hAnsi="Times New Roman" w:cs="Times New Roman"/>
          <w:sz w:val="24"/>
          <w:szCs w:val="24"/>
        </w:rPr>
        <w:t>kladīnas</w:t>
      </w:r>
      <w:proofErr w:type="spellEnd"/>
      <w:r w:rsidR="00897962" w:rsidRPr="00A07F29">
        <w:rPr>
          <w:rFonts w:ascii="Times New Roman" w:eastAsia="Calibri" w:hAnsi="Times New Roman" w:cs="Times New Roman"/>
          <w:sz w:val="24"/>
          <w:szCs w:val="24"/>
        </w:rPr>
        <w:t xml:space="preserve"> </w:t>
      </w:r>
      <w:proofErr w:type="spellStart"/>
      <w:r w:rsidR="00897962" w:rsidRPr="00A07F29">
        <w:rPr>
          <w:rFonts w:ascii="Times New Roman" w:eastAsia="Calibri" w:hAnsi="Times New Roman" w:cs="Times New Roman"/>
          <w:i/>
          <w:iCs/>
          <w:sz w:val="24"/>
          <w:szCs w:val="24"/>
        </w:rPr>
        <w:t>Cladina</w:t>
      </w:r>
      <w:proofErr w:type="spellEnd"/>
      <w:r w:rsidR="00897962" w:rsidRPr="00A07F29">
        <w:rPr>
          <w:rFonts w:ascii="Times New Roman" w:eastAsia="Calibri" w:hAnsi="Times New Roman" w:cs="Times New Roman"/>
          <w:sz w:val="24"/>
          <w:szCs w:val="24"/>
        </w:rPr>
        <w:t xml:space="preserve"> </w:t>
      </w:r>
      <w:proofErr w:type="spellStart"/>
      <w:r w:rsidR="00897962" w:rsidRPr="00A07F29">
        <w:rPr>
          <w:rFonts w:ascii="Times New Roman" w:eastAsia="Calibri" w:hAnsi="Times New Roman" w:cs="Times New Roman"/>
          <w:sz w:val="24"/>
          <w:szCs w:val="24"/>
        </w:rPr>
        <w:t>spp</w:t>
      </w:r>
      <w:proofErr w:type="spellEnd"/>
      <w:r w:rsidR="00897962" w:rsidRPr="00A07F29">
        <w:rPr>
          <w:rFonts w:ascii="Times New Roman" w:eastAsia="Calibri" w:hAnsi="Times New Roman" w:cs="Times New Roman"/>
          <w:sz w:val="24"/>
          <w:szCs w:val="24"/>
        </w:rPr>
        <w:t xml:space="preserve">. No retajām </w:t>
      </w:r>
      <w:r w:rsidR="00897962" w:rsidRPr="00E05C1D">
        <w:rPr>
          <w:rFonts w:ascii="Times New Roman" w:eastAsia="Calibri" w:hAnsi="Times New Roman" w:cs="Times New Roman"/>
          <w:sz w:val="24"/>
          <w:szCs w:val="24"/>
        </w:rPr>
        <w:t>un īpaši aizsargājamām sugām</w:t>
      </w:r>
      <w:r w:rsidR="00897962" w:rsidRPr="00A07F29">
        <w:rPr>
          <w:rFonts w:ascii="Times New Roman" w:eastAsia="Calibri" w:hAnsi="Times New Roman" w:cs="Times New Roman"/>
          <w:sz w:val="24"/>
          <w:szCs w:val="24"/>
        </w:rPr>
        <w:t xml:space="preserve"> konstatēts </w:t>
      </w:r>
      <w:r w:rsidR="00897962" w:rsidRPr="00A07F29">
        <w:rPr>
          <w:rFonts w:ascii="Times New Roman" w:eastAsia="Calibri" w:hAnsi="Times New Roman" w:cs="Times New Roman"/>
          <w:color w:val="000000"/>
          <w:sz w:val="24"/>
          <w:szCs w:val="24"/>
          <w:lang w:eastAsia="lv-LV"/>
        </w:rPr>
        <w:t xml:space="preserve">parastais </w:t>
      </w:r>
      <w:proofErr w:type="spellStart"/>
      <w:r w:rsidR="00897962" w:rsidRPr="00A07F29">
        <w:rPr>
          <w:rFonts w:ascii="Times New Roman" w:eastAsia="Calibri" w:hAnsi="Times New Roman" w:cs="Times New Roman"/>
          <w:color w:val="000000"/>
          <w:sz w:val="24"/>
          <w:szCs w:val="24"/>
          <w:lang w:eastAsia="lv-LV"/>
        </w:rPr>
        <w:t>plakanstaipeknis</w:t>
      </w:r>
      <w:proofErr w:type="spellEnd"/>
      <w:r w:rsidR="00897962" w:rsidRPr="00A07F29">
        <w:rPr>
          <w:rFonts w:ascii="Times New Roman" w:eastAsia="Calibri" w:hAnsi="Times New Roman" w:cs="Times New Roman"/>
          <w:color w:val="000000"/>
          <w:sz w:val="24"/>
          <w:szCs w:val="24"/>
          <w:lang w:eastAsia="lv-LV"/>
        </w:rPr>
        <w:t xml:space="preserve"> </w:t>
      </w:r>
      <w:proofErr w:type="spellStart"/>
      <w:r w:rsidR="00897962" w:rsidRPr="00A07F29">
        <w:rPr>
          <w:rFonts w:ascii="Times New Roman" w:eastAsia="Calibri" w:hAnsi="Times New Roman" w:cs="Times New Roman"/>
          <w:i/>
          <w:iCs/>
          <w:color w:val="000000"/>
          <w:sz w:val="24"/>
          <w:szCs w:val="24"/>
          <w:lang w:eastAsia="lv-LV"/>
        </w:rPr>
        <w:t>Diphasiastrum</w:t>
      </w:r>
      <w:proofErr w:type="spellEnd"/>
      <w:r w:rsidR="00897962" w:rsidRPr="00A07F29">
        <w:rPr>
          <w:rFonts w:ascii="Times New Roman" w:eastAsia="Calibri" w:hAnsi="Times New Roman" w:cs="Times New Roman"/>
          <w:i/>
          <w:iCs/>
          <w:color w:val="000000"/>
          <w:sz w:val="24"/>
          <w:szCs w:val="24"/>
          <w:lang w:eastAsia="lv-LV"/>
        </w:rPr>
        <w:t xml:space="preserve"> </w:t>
      </w:r>
      <w:proofErr w:type="spellStart"/>
      <w:r w:rsidR="00897962" w:rsidRPr="00A07F29">
        <w:rPr>
          <w:rFonts w:ascii="Times New Roman" w:eastAsia="Calibri" w:hAnsi="Times New Roman" w:cs="Times New Roman"/>
          <w:i/>
          <w:iCs/>
          <w:color w:val="000000"/>
          <w:sz w:val="24"/>
          <w:szCs w:val="24"/>
          <w:lang w:eastAsia="lv-LV"/>
        </w:rPr>
        <w:t>complanatum</w:t>
      </w:r>
      <w:proofErr w:type="spellEnd"/>
      <w:r w:rsidR="00897962" w:rsidRPr="00A07F29">
        <w:rPr>
          <w:rFonts w:ascii="Times New Roman" w:eastAsia="Calibri" w:hAnsi="Times New Roman" w:cs="Times New Roman"/>
          <w:color w:val="000000"/>
          <w:sz w:val="24"/>
          <w:szCs w:val="24"/>
          <w:lang w:eastAsia="lv-LV"/>
        </w:rPr>
        <w:t xml:space="preserve">, gada staipeknis </w:t>
      </w:r>
      <w:proofErr w:type="spellStart"/>
      <w:r w:rsidR="00897962" w:rsidRPr="00A07F29">
        <w:rPr>
          <w:rFonts w:ascii="Times New Roman" w:eastAsia="Calibri" w:hAnsi="Times New Roman" w:cs="Times New Roman"/>
          <w:i/>
          <w:iCs/>
          <w:color w:val="000000"/>
          <w:sz w:val="24"/>
          <w:szCs w:val="24"/>
          <w:lang w:eastAsia="lv-LV"/>
        </w:rPr>
        <w:t>Lycopodium</w:t>
      </w:r>
      <w:proofErr w:type="spellEnd"/>
      <w:r w:rsidR="00897962" w:rsidRPr="00A07F29">
        <w:rPr>
          <w:rFonts w:ascii="Times New Roman" w:eastAsia="Calibri" w:hAnsi="Times New Roman" w:cs="Times New Roman"/>
          <w:i/>
          <w:iCs/>
          <w:color w:val="000000"/>
          <w:sz w:val="24"/>
          <w:szCs w:val="24"/>
          <w:lang w:eastAsia="lv-LV"/>
        </w:rPr>
        <w:t xml:space="preserve"> </w:t>
      </w:r>
      <w:proofErr w:type="spellStart"/>
      <w:r w:rsidR="00897962" w:rsidRPr="00A07F29">
        <w:rPr>
          <w:rFonts w:ascii="Times New Roman" w:eastAsia="Calibri" w:hAnsi="Times New Roman" w:cs="Times New Roman"/>
          <w:i/>
          <w:iCs/>
          <w:color w:val="000000"/>
          <w:sz w:val="24"/>
          <w:szCs w:val="24"/>
          <w:lang w:eastAsia="lv-LV"/>
        </w:rPr>
        <w:t>annotinum</w:t>
      </w:r>
      <w:proofErr w:type="spellEnd"/>
      <w:r w:rsidR="00D65BBA" w:rsidRPr="00A07F29">
        <w:rPr>
          <w:rFonts w:ascii="Times New Roman" w:eastAsia="Calibri" w:hAnsi="Times New Roman" w:cs="Times New Roman"/>
          <w:color w:val="000000"/>
          <w:sz w:val="24"/>
          <w:szCs w:val="24"/>
          <w:lang w:eastAsia="lv-LV"/>
        </w:rPr>
        <w:t xml:space="preserve"> </w:t>
      </w:r>
      <w:r w:rsidR="00897962" w:rsidRPr="00A07F29">
        <w:rPr>
          <w:rFonts w:ascii="Times New Roman" w:eastAsia="Calibri" w:hAnsi="Times New Roman" w:cs="Times New Roman"/>
          <w:color w:val="000000"/>
          <w:sz w:val="24"/>
          <w:szCs w:val="24"/>
          <w:lang w:eastAsia="lv-LV"/>
        </w:rPr>
        <w:t xml:space="preserve">un vālīšu staipeknis </w:t>
      </w:r>
      <w:proofErr w:type="spellStart"/>
      <w:r w:rsidR="00897962" w:rsidRPr="00A07F29">
        <w:rPr>
          <w:rFonts w:ascii="Times New Roman" w:eastAsia="Calibri" w:hAnsi="Times New Roman" w:cs="Times New Roman"/>
          <w:i/>
          <w:iCs/>
          <w:color w:val="000000"/>
          <w:sz w:val="24"/>
          <w:szCs w:val="24"/>
          <w:lang w:eastAsia="lv-LV"/>
        </w:rPr>
        <w:t>Lycopodium</w:t>
      </w:r>
      <w:proofErr w:type="spellEnd"/>
      <w:r w:rsidR="00897962" w:rsidRPr="00A07F29">
        <w:rPr>
          <w:rFonts w:ascii="Times New Roman" w:eastAsia="Calibri" w:hAnsi="Times New Roman" w:cs="Times New Roman"/>
          <w:i/>
          <w:iCs/>
          <w:color w:val="000000"/>
          <w:sz w:val="24"/>
          <w:szCs w:val="24"/>
          <w:lang w:eastAsia="lv-LV"/>
        </w:rPr>
        <w:t xml:space="preserve"> </w:t>
      </w:r>
      <w:proofErr w:type="spellStart"/>
      <w:r w:rsidR="00897962" w:rsidRPr="00A07F29">
        <w:rPr>
          <w:rFonts w:ascii="Times New Roman" w:eastAsia="Calibri" w:hAnsi="Times New Roman" w:cs="Times New Roman"/>
          <w:i/>
          <w:iCs/>
          <w:color w:val="000000"/>
          <w:sz w:val="24"/>
          <w:szCs w:val="24"/>
          <w:lang w:eastAsia="lv-LV"/>
        </w:rPr>
        <w:t>clavatum</w:t>
      </w:r>
      <w:proofErr w:type="spellEnd"/>
      <w:r w:rsidR="00897962" w:rsidRPr="00A07F29">
        <w:rPr>
          <w:rFonts w:ascii="Times New Roman" w:eastAsia="Calibri" w:hAnsi="Times New Roman" w:cs="Times New Roman"/>
          <w:i/>
          <w:iCs/>
          <w:color w:val="000000"/>
          <w:sz w:val="24"/>
          <w:szCs w:val="24"/>
          <w:lang w:eastAsia="lv-LV"/>
        </w:rPr>
        <w:t>.</w:t>
      </w:r>
      <w:r w:rsidR="00D65BBA" w:rsidRPr="00A07F29">
        <w:rPr>
          <w:rFonts w:ascii="Times New Roman" w:eastAsia="Calibri" w:hAnsi="Times New Roman" w:cs="Times New Roman"/>
          <w:iCs/>
          <w:color w:val="000000"/>
          <w:sz w:val="24"/>
          <w:szCs w:val="24"/>
          <w:lang w:eastAsia="lv-LV"/>
        </w:rPr>
        <w:t xml:space="preserve"> </w:t>
      </w:r>
      <w:r w:rsidR="00897962" w:rsidRPr="00A07F29">
        <w:rPr>
          <w:rFonts w:ascii="Times New Roman" w:eastAsia="Calibri" w:hAnsi="Times New Roman" w:cs="Times New Roman"/>
          <w:color w:val="000000"/>
          <w:sz w:val="24"/>
          <w:szCs w:val="24"/>
          <w:lang w:eastAsia="lv-LV"/>
        </w:rPr>
        <w:t xml:space="preserve">No DMB </w:t>
      </w:r>
      <w:proofErr w:type="spellStart"/>
      <w:r w:rsidR="00897962" w:rsidRPr="00A07F29">
        <w:rPr>
          <w:rFonts w:ascii="Times New Roman" w:eastAsia="Calibri" w:hAnsi="Times New Roman" w:cs="Times New Roman"/>
          <w:color w:val="000000"/>
          <w:sz w:val="24"/>
          <w:szCs w:val="24"/>
          <w:lang w:eastAsia="lv-LV"/>
        </w:rPr>
        <w:t>indikatorsugām</w:t>
      </w:r>
      <w:proofErr w:type="spellEnd"/>
      <w:r w:rsidR="00897962" w:rsidRPr="00A07F29">
        <w:rPr>
          <w:rFonts w:ascii="Times New Roman" w:eastAsia="Calibri" w:hAnsi="Times New Roman" w:cs="Times New Roman"/>
          <w:color w:val="000000"/>
          <w:sz w:val="24"/>
          <w:szCs w:val="24"/>
          <w:lang w:eastAsia="lv-LV"/>
        </w:rPr>
        <w:t xml:space="preserve"> konstatēta </w:t>
      </w:r>
      <w:proofErr w:type="spellStart"/>
      <w:r w:rsidR="00897962" w:rsidRPr="00A07F29">
        <w:rPr>
          <w:rFonts w:ascii="Times New Roman" w:eastAsia="Calibri" w:hAnsi="Times New Roman" w:cs="Times New Roman"/>
          <w:color w:val="000000"/>
          <w:sz w:val="24"/>
          <w:szCs w:val="24"/>
          <w:lang w:eastAsia="lv-LV"/>
        </w:rPr>
        <w:t>līklapu</w:t>
      </w:r>
      <w:proofErr w:type="spellEnd"/>
      <w:r w:rsidR="00897962" w:rsidRPr="00A07F29">
        <w:rPr>
          <w:rFonts w:ascii="Times New Roman" w:eastAsia="Calibri" w:hAnsi="Times New Roman" w:cs="Times New Roman"/>
          <w:color w:val="000000"/>
          <w:sz w:val="24"/>
          <w:szCs w:val="24"/>
          <w:lang w:eastAsia="lv-LV"/>
        </w:rPr>
        <w:t xml:space="preserve"> </w:t>
      </w:r>
      <w:proofErr w:type="spellStart"/>
      <w:r w:rsidR="00897962" w:rsidRPr="00A07F29">
        <w:rPr>
          <w:rFonts w:ascii="Times New Roman" w:eastAsia="Calibri" w:hAnsi="Times New Roman" w:cs="Times New Roman"/>
          <w:color w:val="000000"/>
          <w:sz w:val="24"/>
          <w:szCs w:val="24"/>
          <w:lang w:eastAsia="lv-LV"/>
        </w:rPr>
        <w:t>novellija</w:t>
      </w:r>
      <w:proofErr w:type="spellEnd"/>
      <w:r w:rsidR="00897962" w:rsidRPr="00A07F29">
        <w:rPr>
          <w:rFonts w:ascii="Times New Roman" w:eastAsia="Calibri" w:hAnsi="Times New Roman" w:cs="Times New Roman"/>
          <w:color w:val="000000"/>
          <w:sz w:val="24"/>
          <w:szCs w:val="24"/>
          <w:lang w:eastAsia="lv-LV"/>
        </w:rPr>
        <w:t xml:space="preserve"> </w:t>
      </w:r>
      <w:proofErr w:type="spellStart"/>
      <w:r w:rsidR="00897962" w:rsidRPr="00A07F29">
        <w:rPr>
          <w:rFonts w:ascii="Times New Roman" w:eastAsia="Calibri" w:hAnsi="Times New Roman" w:cs="Times New Roman"/>
          <w:i/>
          <w:iCs/>
          <w:color w:val="000000"/>
          <w:sz w:val="24"/>
          <w:szCs w:val="24"/>
          <w:lang w:eastAsia="lv-LV"/>
        </w:rPr>
        <w:t>Nowellia</w:t>
      </w:r>
      <w:proofErr w:type="spellEnd"/>
      <w:r w:rsidR="00897962" w:rsidRPr="00A07F29">
        <w:rPr>
          <w:rFonts w:ascii="Times New Roman" w:eastAsia="Calibri" w:hAnsi="Times New Roman" w:cs="Times New Roman"/>
          <w:i/>
          <w:iCs/>
          <w:color w:val="000000"/>
          <w:sz w:val="24"/>
          <w:szCs w:val="24"/>
          <w:lang w:eastAsia="lv-LV"/>
        </w:rPr>
        <w:t xml:space="preserve"> </w:t>
      </w:r>
      <w:proofErr w:type="spellStart"/>
      <w:r w:rsidR="00897962" w:rsidRPr="00A07F29">
        <w:rPr>
          <w:rFonts w:ascii="Times New Roman" w:eastAsia="Calibri" w:hAnsi="Times New Roman" w:cs="Times New Roman"/>
          <w:i/>
          <w:iCs/>
          <w:color w:val="000000"/>
          <w:sz w:val="24"/>
          <w:szCs w:val="24"/>
          <w:lang w:eastAsia="lv-LV"/>
        </w:rPr>
        <w:t>curvifolia</w:t>
      </w:r>
      <w:proofErr w:type="spellEnd"/>
      <w:r w:rsidR="00897962" w:rsidRPr="00A07F29">
        <w:rPr>
          <w:rFonts w:ascii="Times New Roman" w:eastAsia="Calibri" w:hAnsi="Times New Roman" w:cs="Times New Roman"/>
          <w:color w:val="000000"/>
          <w:sz w:val="24"/>
          <w:szCs w:val="24"/>
          <w:lang w:eastAsia="lv-LV"/>
        </w:rPr>
        <w:t>.</w:t>
      </w:r>
      <w:r w:rsidR="00897962" w:rsidRPr="00A07F29">
        <w:rPr>
          <w:rFonts w:ascii="Times New Roman" w:eastAsia="Calibri" w:hAnsi="Times New Roman" w:cs="Times New Roman"/>
          <w:sz w:val="24"/>
          <w:szCs w:val="24"/>
        </w:rPr>
        <w:t xml:space="preserve"> </w:t>
      </w:r>
      <w:r w:rsidR="00897962" w:rsidRPr="00A07F29">
        <w:rPr>
          <w:rFonts w:ascii="Times New Roman" w:eastAsia="Calibri" w:hAnsi="Times New Roman" w:cs="Times New Roman"/>
          <w:color w:val="000000"/>
          <w:sz w:val="24"/>
          <w:szCs w:val="24"/>
          <w:lang w:eastAsia="ja-JP"/>
        </w:rPr>
        <w:t>Biotopa kvalitāte galvenokārt vērtēta kā laba un atbilst PDMB.</w:t>
      </w:r>
    </w:p>
    <w:p w14:paraId="35863BE6" w14:textId="77777777" w:rsidR="00897962" w:rsidRPr="00A07F29" w:rsidRDefault="00897962" w:rsidP="00897962">
      <w:pPr>
        <w:spacing w:after="120" w:line="240" w:lineRule="auto"/>
        <w:ind w:firstLine="851"/>
        <w:jc w:val="both"/>
        <w:rPr>
          <w:rFonts w:ascii="Times New Roman" w:eastAsia="Calibri" w:hAnsi="Times New Roman" w:cs="Times New Roman"/>
          <w:sz w:val="24"/>
          <w:szCs w:val="24"/>
        </w:rPr>
      </w:pPr>
    </w:p>
    <w:p w14:paraId="33D37F8D" w14:textId="6B9D63AF" w:rsidR="002B1603" w:rsidRPr="00A07F29" w:rsidRDefault="002B1603" w:rsidP="00B77E27">
      <w:pPr>
        <w:pStyle w:val="Heading3"/>
        <w:spacing w:before="120" w:after="120" w:line="240" w:lineRule="auto"/>
        <w:jc w:val="center"/>
        <w:rPr>
          <w:b w:val="0"/>
          <w:lang w:eastAsia="ja-JP"/>
        </w:rPr>
      </w:pPr>
      <w:bookmarkStart w:id="64" w:name="_Toc183434005"/>
      <w:bookmarkEnd w:id="63"/>
      <w:r w:rsidRPr="00A07F29">
        <w:rPr>
          <w:lang w:eastAsia="ja-JP"/>
        </w:rPr>
        <w:t>4.3.5. Purvu biotopi</w:t>
      </w:r>
      <w:bookmarkEnd w:id="64"/>
    </w:p>
    <w:p w14:paraId="53D12315" w14:textId="6C6EF813" w:rsidR="002B1603" w:rsidRPr="00A07F29" w:rsidRDefault="002B1603" w:rsidP="00EE6FEB">
      <w:pPr>
        <w:spacing w:after="120" w:line="240" w:lineRule="auto"/>
        <w:ind w:firstLine="851"/>
        <w:jc w:val="both"/>
        <w:rPr>
          <w:rFonts w:ascii="Times New Roman" w:eastAsia="Calibri" w:hAnsi="Times New Roman" w:cs="Times New Roman"/>
          <w:bCs/>
          <w:sz w:val="24"/>
          <w:szCs w:val="24"/>
        </w:rPr>
      </w:pPr>
      <w:bookmarkStart w:id="65" w:name="_Toc22628290"/>
      <w:r w:rsidRPr="00A07F29">
        <w:rPr>
          <w:rFonts w:ascii="Times New Roman" w:eastAsia="Calibri" w:hAnsi="Times New Roman" w:cs="Times New Roman"/>
          <w:sz w:val="24"/>
          <w:szCs w:val="24"/>
          <w:lang w:eastAsia="lv-LV"/>
        </w:rPr>
        <w:t xml:space="preserve">Lieli purvu masīvi AAA </w:t>
      </w:r>
      <w:r w:rsidR="00F1348F">
        <w:rPr>
          <w:rFonts w:ascii="Times New Roman" w:eastAsia="Calibri" w:hAnsi="Times New Roman" w:cs="Times New Roman"/>
          <w:sz w:val="24"/>
          <w:szCs w:val="24"/>
          <w:lang w:eastAsia="lv-LV"/>
        </w:rPr>
        <w:t>“</w:t>
      </w:r>
      <w:r w:rsidRPr="00A07F29">
        <w:rPr>
          <w:rFonts w:ascii="Times New Roman" w:eastAsia="Calibri" w:hAnsi="Times New Roman" w:cs="Times New Roman"/>
          <w:sz w:val="24"/>
          <w:szCs w:val="24"/>
          <w:lang w:eastAsia="lv-LV"/>
        </w:rPr>
        <w:t xml:space="preserve">Augšdaugava” teritorijai nav raksturīgi. Apkopojot </w:t>
      </w:r>
      <w:r w:rsidRPr="00A07F29">
        <w:rPr>
          <w:rFonts w:ascii="Times New Roman" w:eastAsia="Calibri" w:hAnsi="Times New Roman" w:cs="Times New Roman"/>
          <w:i/>
          <w:iCs/>
          <w:sz w:val="24"/>
          <w:szCs w:val="24"/>
          <w:lang w:eastAsia="lv-LV"/>
        </w:rPr>
        <w:t>Dabas skaitīšanas</w:t>
      </w:r>
      <w:r w:rsidRPr="00A07F29">
        <w:rPr>
          <w:rFonts w:ascii="Times New Roman" w:eastAsia="Calibri" w:hAnsi="Times New Roman" w:cs="Times New Roman"/>
          <w:sz w:val="24"/>
          <w:szCs w:val="24"/>
          <w:lang w:eastAsia="lv-LV"/>
        </w:rPr>
        <w:t xml:space="preserve"> projekta datus, kā arī pētījumus, kas veikti </w:t>
      </w:r>
      <w:r w:rsidR="00BF0E06" w:rsidRPr="00A07F29">
        <w:rPr>
          <w:rFonts w:ascii="Times New Roman" w:eastAsia="Calibri" w:hAnsi="Times New Roman" w:cs="Times New Roman"/>
          <w:sz w:val="24"/>
          <w:szCs w:val="24"/>
          <w:lang w:eastAsia="lv-LV"/>
        </w:rPr>
        <w:t>DA plāna</w:t>
      </w:r>
      <w:r w:rsidRPr="00A07F29">
        <w:rPr>
          <w:rFonts w:ascii="Times New Roman" w:eastAsia="Calibri" w:hAnsi="Times New Roman" w:cs="Times New Roman"/>
          <w:sz w:val="24"/>
          <w:szCs w:val="24"/>
          <w:lang w:eastAsia="lv-LV"/>
        </w:rPr>
        <w:t xml:space="preserve"> izstrādes laikā, konstatēti pieci purvu biotopu veidi: 7110*</w:t>
      </w:r>
      <w:r w:rsidR="007B367D">
        <w:rPr>
          <w:rFonts w:ascii="Times New Roman" w:eastAsia="Calibri" w:hAnsi="Times New Roman" w:cs="Times New Roman"/>
          <w:sz w:val="24"/>
          <w:szCs w:val="24"/>
          <w:lang w:eastAsia="lv-LV"/>
        </w:rPr>
        <w:t> </w:t>
      </w:r>
      <w:r w:rsidRPr="00A07F29">
        <w:rPr>
          <w:rFonts w:ascii="Times New Roman" w:eastAsia="Calibri" w:hAnsi="Times New Roman" w:cs="Times New Roman"/>
          <w:i/>
          <w:sz w:val="24"/>
          <w:szCs w:val="24"/>
          <w:lang w:eastAsia="lv-LV"/>
        </w:rPr>
        <w:t>Aktīvi augstie purvi</w:t>
      </w:r>
      <w:r w:rsidRPr="00A07F29">
        <w:rPr>
          <w:rFonts w:ascii="Times New Roman" w:eastAsia="Calibri" w:hAnsi="Times New Roman" w:cs="Times New Roman"/>
          <w:sz w:val="24"/>
          <w:szCs w:val="24"/>
          <w:lang w:eastAsia="lv-LV"/>
        </w:rPr>
        <w:t xml:space="preserve">, </w:t>
      </w:r>
      <w:r w:rsidRPr="00A07F29">
        <w:rPr>
          <w:rFonts w:ascii="Times New Roman" w:eastAsia="Calibri" w:hAnsi="Times New Roman" w:cs="Times New Roman"/>
          <w:bCs/>
          <w:sz w:val="24"/>
          <w:szCs w:val="24"/>
        </w:rPr>
        <w:t>7120</w:t>
      </w:r>
      <w:r w:rsidR="007B367D">
        <w:rPr>
          <w:rFonts w:ascii="Times New Roman" w:eastAsia="Calibri" w:hAnsi="Times New Roman" w:cs="Times New Roman"/>
          <w:bCs/>
          <w:sz w:val="24"/>
          <w:szCs w:val="24"/>
        </w:rPr>
        <w:t> </w:t>
      </w:r>
      <w:r w:rsidRPr="00A07F29">
        <w:rPr>
          <w:rFonts w:ascii="Times New Roman" w:eastAsia="Calibri" w:hAnsi="Times New Roman" w:cs="Times New Roman"/>
          <w:bCs/>
          <w:i/>
          <w:iCs/>
          <w:sz w:val="24"/>
          <w:szCs w:val="24"/>
        </w:rPr>
        <w:t>Degradēti augstie purvi, kuros iespējama vai noris dabiskā atjaunošanās,</w:t>
      </w:r>
      <w:r w:rsidRPr="00A07F29">
        <w:rPr>
          <w:rFonts w:ascii="Times New Roman" w:eastAsia="Calibri" w:hAnsi="Times New Roman" w:cs="Times New Roman"/>
          <w:sz w:val="24"/>
          <w:szCs w:val="24"/>
          <w:lang w:eastAsia="lv-LV"/>
        </w:rPr>
        <w:t xml:space="preserve"> 7140</w:t>
      </w:r>
      <w:r w:rsidR="001F2A57">
        <w:rPr>
          <w:rFonts w:ascii="Times New Roman" w:eastAsia="Calibri" w:hAnsi="Times New Roman" w:cs="Times New Roman"/>
          <w:sz w:val="24"/>
          <w:szCs w:val="24"/>
          <w:lang w:eastAsia="lv-LV"/>
        </w:rPr>
        <w:t> </w:t>
      </w:r>
      <w:r w:rsidRPr="00A07F29">
        <w:rPr>
          <w:rFonts w:ascii="Times New Roman" w:eastAsia="Calibri" w:hAnsi="Times New Roman" w:cs="Times New Roman"/>
          <w:i/>
          <w:iCs/>
          <w:sz w:val="24"/>
          <w:szCs w:val="24"/>
          <w:lang w:eastAsia="lv-LV"/>
        </w:rPr>
        <w:t>Pārejas purvi un slīk</w:t>
      </w:r>
      <w:r w:rsidR="00AC3B7B">
        <w:rPr>
          <w:rFonts w:ascii="Times New Roman" w:eastAsia="Calibri" w:hAnsi="Times New Roman" w:cs="Times New Roman"/>
          <w:i/>
          <w:iCs/>
          <w:sz w:val="24"/>
          <w:szCs w:val="24"/>
          <w:lang w:eastAsia="lv-LV"/>
        </w:rPr>
        <w:t>š</w:t>
      </w:r>
      <w:r w:rsidRPr="00A07F29">
        <w:rPr>
          <w:rFonts w:ascii="Times New Roman" w:eastAsia="Calibri" w:hAnsi="Times New Roman" w:cs="Times New Roman"/>
          <w:i/>
          <w:iCs/>
          <w:sz w:val="24"/>
          <w:szCs w:val="24"/>
          <w:lang w:eastAsia="lv-LV"/>
        </w:rPr>
        <w:t>ņas</w:t>
      </w:r>
      <w:r w:rsidRPr="00A07F29">
        <w:rPr>
          <w:rFonts w:ascii="Times New Roman" w:eastAsia="Calibri" w:hAnsi="Times New Roman" w:cs="Times New Roman"/>
          <w:sz w:val="24"/>
          <w:szCs w:val="24"/>
          <w:lang w:eastAsia="lv-LV"/>
        </w:rPr>
        <w:t>,</w:t>
      </w:r>
      <w:r w:rsidRPr="00A07F29">
        <w:rPr>
          <w:rFonts w:ascii="Times New Roman" w:eastAsia="Calibri" w:hAnsi="Times New Roman" w:cs="Times New Roman"/>
          <w:bCs/>
          <w:sz w:val="24"/>
          <w:szCs w:val="24"/>
        </w:rPr>
        <w:t xml:space="preserve"> 7160</w:t>
      </w:r>
      <w:r w:rsidR="001F2A57">
        <w:rPr>
          <w:rFonts w:ascii="Times New Roman" w:eastAsia="Calibri" w:hAnsi="Times New Roman" w:cs="Times New Roman"/>
          <w:bCs/>
          <w:sz w:val="24"/>
          <w:szCs w:val="24"/>
        </w:rPr>
        <w:t> </w:t>
      </w:r>
      <w:r w:rsidRPr="00A07F29">
        <w:rPr>
          <w:rFonts w:ascii="Times New Roman" w:eastAsia="Calibri" w:hAnsi="Times New Roman" w:cs="Times New Roman"/>
          <w:bCs/>
          <w:i/>
          <w:iCs/>
          <w:sz w:val="24"/>
          <w:szCs w:val="24"/>
        </w:rPr>
        <w:t xml:space="preserve">Minerālvielām bagāti avoti un avotu purvi, </w:t>
      </w:r>
      <w:r w:rsidRPr="00A07F29">
        <w:rPr>
          <w:rFonts w:ascii="Times New Roman" w:eastAsia="Calibri" w:hAnsi="Times New Roman" w:cs="Times New Roman"/>
          <w:bCs/>
          <w:sz w:val="24"/>
          <w:szCs w:val="24"/>
        </w:rPr>
        <w:t>7220*</w:t>
      </w:r>
      <w:r w:rsidR="001F2A57">
        <w:rPr>
          <w:rFonts w:ascii="Times New Roman" w:eastAsia="Calibri" w:hAnsi="Times New Roman" w:cs="Times New Roman"/>
          <w:bCs/>
          <w:sz w:val="24"/>
          <w:szCs w:val="24"/>
        </w:rPr>
        <w:t> </w:t>
      </w:r>
      <w:r w:rsidRPr="00A07F29">
        <w:rPr>
          <w:rFonts w:ascii="Times New Roman" w:eastAsia="Calibri" w:hAnsi="Times New Roman" w:cs="Times New Roman"/>
          <w:bCs/>
          <w:i/>
          <w:iCs/>
          <w:sz w:val="24"/>
          <w:szCs w:val="24"/>
        </w:rPr>
        <w:t>Avoti, kuri izgulsnē avotkaļķus,</w:t>
      </w:r>
      <w:r w:rsidRPr="00A07F29">
        <w:rPr>
          <w:rFonts w:ascii="Times New Roman" w:eastAsia="Calibri" w:hAnsi="Times New Roman" w:cs="Times New Roman"/>
          <w:bCs/>
          <w:sz w:val="24"/>
          <w:szCs w:val="24"/>
        </w:rPr>
        <w:t xml:space="preserve"> </w:t>
      </w:r>
      <w:r w:rsidRPr="00A07F29">
        <w:rPr>
          <w:rFonts w:ascii="Times New Roman" w:eastAsia="Calibri" w:hAnsi="Times New Roman" w:cs="Times New Roman"/>
          <w:sz w:val="24"/>
          <w:szCs w:val="24"/>
          <w:lang w:eastAsia="lv-LV"/>
        </w:rPr>
        <w:t>kas nelielu fragmentu veidā sastopami reljefa padziļinājumos, ezeru krastos un gruntsūdeņu atslodzes vietās nogāžu un gravu lejasdaļā,</w:t>
      </w:r>
      <w:r w:rsidR="00D65BBA" w:rsidRPr="00A07F29">
        <w:rPr>
          <w:rFonts w:ascii="Times New Roman" w:eastAsia="Calibri" w:hAnsi="Times New Roman" w:cs="Times New Roman"/>
          <w:sz w:val="24"/>
          <w:szCs w:val="24"/>
          <w:lang w:eastAsia="lv-LV"/>
        </w:rPr>
        <w:t xml:space="preserve"> </w:t>
      </w:r>
      <w:r w:rsidRPr="00A07F29">
        <w:rPr>
          <w:rFonts w:ascii="Times New Roman" w:eastAsia="Calibri" w:hAnsi="Times New Roman" w:cs="Times New Roman"/>
          <w:sz w:val="24"/>
          <w:szCs w:val="24"/>
          <w:lang w:eastAsia="lv-LV"/>
        </w:rPr>
        <w:t>galvenokārt Krāslavas un Kaplavas pagastu teritorijās.</w:t>
      </w:r>
    </w:p>
    <w:p w14:paraId="2294AE1D" w14:textId="61BD3081" w:rsidR="002B1603" w:rsidRPr="00A07F29" w:rsidRDefault="002B1603" w:rsidP="00EE6FEB">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lang w:eastAsia="lv-LV"/>
        </w:rPr>
        <w:t xml:space="preserve">AAA </w:t>
      </w:r>
      <w:r w:rsidR="009932A5">
        <w:rPr>
          <w:rFonts w:ascii="Times New Roman" w:eastAsia="Calibri" w:hAnsi="Times New Roman" w:cs="Times New Roman"/>
          <w:sz w:val="24"/>
          <w:szCs w:val="24"/>
          <w:lang w:eastAsia="lv-LV"/>
        </w:rPr>
        <w:t>“</w:t>
      </w:r>
      <w:r w:rsidRPr="00A07F29">
        <w:rPr>
          <w:rFonts w:ascii="Times New Roman" w:eastAsia="Calibri" w:hAnsi="Times New Roman" w:cs="Times New Roman"/>
          <w:sz w:val="24"/>
          <w:szCs w:val="24"/>
          <w:lang w:eastAsia="lv-LV"/>
        </w:rPr>
        <w:t>Augšdaugava” purvu biotopi kopumā aizņem 7</w:t>
      </w:r>
      <w:r w:rsidR="00B44246" w:rsidRPr="00A07F29">
        <w:rPr>
          <w:rFonts w:ascii="Times New Roman" w:eastAsia="Calibri" w:hAnsi="Times New Roman" w:cs="Times New Roman"/>
          <w:sz w:val="24"/>
          <w:szCs w:val="24"/>
          <w:lang w:eastAsia="lv-LV"/>
        </w:rPr>
        <w:t>1</w:t>
      </w:r>
      <w:r w:rsidRPr="00A07F29">
        <w:rPr>
          <w:rFonts w:ascii="Times New Roman" w:eastAsia="Calibri" w:hAnsi="Times New Roman" w:cs="Times New Roman"/>
          <w:sz w:val="24"/>
          <w:szCs w:val="24"/>
          <w:lang w:eastAsia="lv-LV"/>
        </w:rPr>
        <w:t>,</w:t>
      </w:r>
      <w:r w:rsidR="00B44246" w:rsidRPr="00A07F29">
        <w:rPr>
          <w:rFonts w:ascii="Times New Roman" w:eastAsia="Calibri" w:hAnsi="Times New Roman" w:cs="Times New Roman"/>
          <w:sz w:val="24"/>
          <w:szCs w:val="24"/>
          <w:lang w:eastAsia="lv-LV"/>
        </w:rPr>
        <w:t>6</w:t>
      </w:r>
      <w:r w:rsidR="009932A5">
        <w:rPr>
          <w:rFonts w:ascii="Times New Roman" w:eastAsia="Calibri" w:hAnsi="Times New Roman" w:cs="Times New Roman"/>
          <w:sz w:val="24"/>
          <w:szCs w:val="24"/>
          <w:lang w:eastAsia="lv-LV"/>
        </w:rPr>
        <w:t> </w:t>
      </w:r>
      <w:r w:rsidRPr="00A07F29">
        <w:rPr>
          <w:rFonts w:ascii="Times New Roman" w:eastAsia="Calibri" w:hAnsi="Times New Roman" w:cs="Times New Roman"/>
          <w:sz w:val="24"/>
          <w:szCs w:val="24"/>
          <w:lang w:eastAsia="lv-LV"/>
        </w:rPr>
        <w:t xml:space="preserve">ha, kas </w:t>
      </w:r>
      <w:r w:rsidRPr="00A07F29">
        <w:rPr>
          <w:rFonts w:ascii="Times New Roman" w:eastAsia="Calibri" w:hAnsi="Times New Roman" w:cs="Times New Roman"/>
          <w:sz w:val="24"/>
          <w:szCs w:val="24"/>
        </w:rPr>
        <w:t>veido tikai 0,14</w:t>
      </w:r>
      <w:r w:rsidR="009932A5">
        <w:rPr>
          <w:rFonts w:ascii="Times New Roman" w:eastAsia="Calibri" w:hAnsi="Times New Roman" w:cs="Times New Roman"/>
          <w:sz w:val="24"/>
          <w:szCs w:val="24"/>
        </w:rPr>
        <w:t> </w:t>
      </w:r>
      <w:r w:rsidRPr="00A07F29">
        <w:rPr>
          <w:rFonts w:ascii="Times New Roman" w:eastAsia="Calibri" w:hAnsi="Times New Roman" w:cs="Times New Roman"/>
          <w:sz w:val="24"/>
          <w:szCs w:val="24"/>
        </w:rPr>
        <w:t>%, no teritorijas kopējās platības</w:t>
      </w:r>
      <w:r w:rsidRPr="00A07F29">
        <w:rPr>
          <w:rFonts w:ascii="Times New Roman" w:eastAsia="Calibri" w:hAnsi="Times New Roman" w:cs="Times New Roman"/>
          <w:sz w:val="24"/>
          <w:szCs w:val="24"/>
          <w:lang w:eastAsia="lv-LV"/>
        </w:rPr>
        <w:t>, turklāt platības lielāko daļu veido tikai viens biotops – 7140</w:t>
      </w:r>
      <w:r w:rsidR="00B07AF7">
        <w:rPr>
          <w:rFonts w:ascii="Times New Roman" w:eastAsia="Calibri" w:hAnsi="Times New Roman" w:cs="Times New Roman"/>
          <w:sz w:val="24"/>
          <w:szCs w:val="24"/>
          <w:lang w:eastAsia="lv-LV"/>
        </w:rPr>
        <w:t> </w:t>
      </w:r>
      <w:r w:rsidRPr="00A07F29">
        <w:rPr>
          <w:rFonts w:ascii="Times New Roman" w:eastAsia="Calibri" w:hAnsi="Times New Roman" w:cs="Times New Roman"/>
          <w:i/>
          <w:iCs/>
          <w:sz w:val="24"/>
          <w:szCs w:val="24"/>
          <w:lang w:eastAsia="lv-LV"/>
        </w:rPr>
        <w:t>Pārejas purvi un slīk</w:t>
      </w:r>
      <w:r w:rsidR="00AC3B7B">
        <w:rPr>
          <w:rFonts w:ascii="Times New Roman" w:eastAsia="Calibri" w:hAnsi="Times New Roman" w:cs="Times New Roman"/>
          <w:i/>
          <w:iCs/>
          <w:sz w:val="24"/>
          <w:szCs w:val="24"/>
          <w:lang w:eastAsia="lv-LV"/>
        </w:rPr>
        <w:t>š</w:t>
      </w:r>
      <w:r w:rsidRPr="00A07F29">
        <w:rPr>
          <w:rFonts w:ascii="Times New Roman" w:eastAsia="Calibri" w:hAnsi="Times New Roman" w:cs="Times New Roman"/>
          <w:i/>
          <w:iCs/>
          <w:sz w:val="24"/>
          <w:szCs w:val="24"/>
          <w:lang w:eastAsia="lv-LV"/>
        </w:rPr>
        <w:t xml:space="preserve">ņas </w:t>
      </w:r>
      <w:r w:rsidRPr="00A07F29">
        <w:rPr>
          <w:rFonts w:ascii="Times New Roman" w:eastAsia="Calibri" w:hAnsi="Times New Roman" w:cs="Times New Roman"/>
          <w:iCs/>
          <w:sz w:val="24"/>
          <w:szCs w:val="24"/>
          <w:lang w:eastAsia="lv-LV"/>
        </w:rPr>
        <w:t>(49,2</w:t>
      </w:r>
      <w:r w:rsidR="00B07AF7">
        <w:rPr>
          <w:rFonts w:ascii="Times New Roman" w:eastAsia="Calibri" w:hAnsi="Times New Roman" w:cs="Times New Roman"/>
          <w:iCs/>
          <w:sz w:val="24"/>
          <w:szCs w:val="24"/>
          <w:lang w:eastAsia="lv-LV"/>
        </w:rPr>
        <w:t> </w:t>
      </w:r>
      <w:r w:rsidRPr="00A07F29">
        <w:rPr>
          <w:rFonts w:ascii="Times New Roman" w:eastAsia="Calibri" w:hAnsi="Times New Roman" w:cs="Times New Roman"/>
          <w:iCs/>
          <w:sz w:val="24"/>
          <w:szCs w:val="24"/>
          <w:lang w:eastAsia="lv-LV"/>
        </w:rPr>
        <w:t>ha)</w:t>
      </w:r>
      <w:r w:rsidRPr="00A07F29">
        <w:rPr>
          <w:rFonts w:ascii="Times New Roman" w:eastAsia="Calibri" w:hAnsi="Times New Roman" w:cs="Times New Roman"/>
          <w:i/>
          <w:iCs/>
          <w:sz w:val="24"/>
          <w:szCs w:val="24"/>
          <w:lang w:eastAsia="lv-LV"/>
        </w:rPr>
        <w:t>.</w:t>
      </w:r>
      <w:r w:rsidRPr="00A07F29">
        <w:rPr>
          <w:rFonts w:ascii="Times New Roman" w:eastAsia="Calibri" w:hAnsi="Times New Roman" w:cs="Times New Roman"/>
          <w:sz w:val="24"/>
          <w:szCs w:val="24"/>
        </w:rPr>
        <w:t xml:space="preserve"> Lai arī purvu biotopi Augšdaugavas ainavai nav raksturīgākā biotopu grupa, tie uzskatāmi par vienu no retajām sugām bagātākajām un no dabas aizsardzības aspekta vērtīgākajām Augšdaugavas teritorijām, kurās koncentrējas vairāku retu orhideju – </w:t>
      </w:r>
      <w:proofErr w:type="spellStart"/>
      <w:r w:rsidRPr="00A07F29">
        <w:rPr>
          <w:rFonts w:ascii="Times New Roman" w:eastAsia="Calibri" w:hAnsi="Times New Roman" w:cs="Times New Roman"/>
          <w:sz w:val="24"/>
          <w:szCs w:val="24"/>
        </w:rPr>
        <w:t>Lēzeļa</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lipares</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i/>
          <w:iCs/>
          <w:sz w:val="24"/>
          <w:szCs w:val="24"/>
        </w:rPr>
        <w:t>Liparis</w:t>
      </w:r>
      <w:proofErr w:type="spellEnd"/>
      <w:r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loeselii</w:t>
      </w:r>
      <w:proofErr w:type="spellEnd"/>
      <w:r w:rsidRPr="00A07F29">
        <w:rPr>
          <w:rFonts w:ascii="Times New Roman" w:eastAsia="Calibri" w:hAnsi="Times New Roman" w:cs="Times New Roman"/>
          <w:sz w:val="24"/>
          <w:szCs w:val="24"/>
        </w:rPr>
        <w:t xml:space="preserve">, purvāju </w:t>
      </w:r>
      <w:proofErr w:type="spellStart"/>
      <w:r w:rsidRPr="00A07F29">
        <w:rPr>
          <w:rFonts w:ascii="Times New Roman" w:eastAsia="Calibri" w:hAnsi="Times New Roman" w:cs="Times New Roman"/>
          <w:sz w:val="24"/>
          <w:szCs w:val="24"/>
        </w:rPr>
        <w:t>vienlapes</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i/>
          <w:iCs/>
          <w:sz w:val="24"/>
          <w:szCs w:val="24"/>
        </w:rPr>
        <w:t>Malaxis</w:t>
      </w:r>
      <w:proofErr w:type="spellEnd"/>
      <w:r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monophyllos</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trejdaivu</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koraļļsaknes</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i/>
          <w:iCs/>
          <w:sz w:val="24"/>
          <w:szCs w:val="24"/>
        </w:rPr>
        <w:t>Corallorhiza</w:t>
      </w:r>
      <w:proofErr w:type="spellEnd"/>
      <w:r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trifida</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sirdsveida</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divlapes</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i/>
          <w:iCs/>
          <w:sz w:val="24"/>
          <w:szCs w:val="24"/>
        </w:rPr>
        <w:t>Listera</w:t>
      </w:r>
      <w:proofErr w:type="spellEnd"/>
      <w:r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cordata</w:t>
      </w:r>
      <w:proofErr w:type="spellEnd"/>
      <w:r w:rsidRPr="00A07F29">
        <w:rPr>
          <w:rFonts w:ascii="Times New Roman" w:eastAsia="Calibri" w:hAnsi="Times New Roman" w:cs="Times New Roman"/>
          <w:i/>
          <w:iCs/>
          <w:sz w:val="24"/>
          <w:szCs w:val="24"/>
        </w:rPr>
        <w:t xml:space="preserve"> </w:t>
      </w:r>
      <w:r w:rsidRPr="00A07F29">
        <w:rPr>
          <w:rFonts w:ascii="Times New Roman" w:eastAsia="Calibri" w:hAnsi="Times New Roman" w:cs="Times New Roman"/>
          <w:sz w:val="24"/>
          <w:szCs w:val="24"/>
        </w:rPr>
        <w:t xml:space="preserve">u.c., kā arī citu reto augu sugu – dzeltenās akmeņlauzītes </w:t>
      </w:r>
      <w:proofErr w:type="spellStart"/>
      <w:r w:rsidRPr="00A07F29">
        <w:rPr>
          <w:rFonts w:ascii="Times New Roman" w:eastAsia="Calibri" w:hAnsi="Times New Roman" w:cs="Times New Roman"/>
          <w:i/>
          <w:iCs/>
          <w:sz w:val="24"/>
          <w:szCs w:val="24"/>
        </w:rPr>
        <w:t>Saxifraga</w:t>
      </w:r>
      <w:proofErr w:type="spellEnd"/>
      <w:r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hirculus</w:t>
      </w:r>
      <w:proofErr w:type="spellEnd"/>
      <w:r w:rsidRPr="00A07F29">
        <w:rPr>
          <w:rFonts w:ascii="Times New Roman" w:eastAsia="Calibri" w:hAnsi="Times New Roman" w:cs="Times New Roman"/>
          <w:iCs/>
          <w:sz w:val="24"/>
          <w:szCs w:val="24"/>
        </w:rPr>
        <w:t>,</w:t>
      </w:r>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skarbmatainās</w:t>
      </w:r>
      <w:proofErr w:type="spellEnd"/>
      <w:r w:rsidRPr="00A07F29">
        <w:rPr>
          <w:rFonts w:ascii="Times New Roman" w:eastAsia="Calibri" w:hAnsi="Times New Roman" w:cs="Times New Roman"/>
          <w:sz w:val="24"/>
          <w:szCs w:val="24"/>
        </w:rPr>
        <w:t xml:space="preserve"> kārveles </w:t>
      </w:r>
      <w:proofErr w:type="spellStart"/>
      <w:r w:rsidRPr="00A07F29">
        <w:rPr>
          <w:rFonts w:ascii="Times New Roman" w:eastAsia="Calibri" w:hAnsi="Times New Roman" w:cs="Times New Roman"/>
          <w:i/>
          <w:iCs/>
          <w:sz w:val="24"/>
          <w:szCs w:val="24"/>
        </w:rPr>
        <w:t>Chaerophyllum</w:t>
      </w:r>
      <w:proofErr w:type="spellEnd"/>
      <w:r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hirsutum</w:t>
      </w:r>
      <w:proofErr w:type="spellEnd"/>
      <w:r w:rsidRPr="00A07F29">
        <w:rPr>
          <w:rFonts w:ascii="Times New Roman" w:eastAsia="Calibri" w:hAnsi="Times New Roman" w:cs="Times New Roman"/>
          <w:iCs/>
          <w:sz w:val="24"/>
          <w:szCs w:val="24"/>
        </w:rPr>
        <w:t xml:space="preserve"> </w:t>
      </w:r>
      <w:r w:rsidRPr="00A07F29">
        <w:rPr>
          <w:rFonts w:ascii="Times New Roman" w:eastAsia="Calibri" w:hAnsi="Times New Roman" w:cs="Times New Roman"/>
          <w:sz w:val="24"/>
          <w:szCs w:val="24"/>
        </w:rPr>
        <w:t>atradnes.</w:t>
      </w:r>
      <w:bookmarkEnd w:id="65"/>
    </w:p>
    <w:p w14:paraId="3CE84F80" w14:textId="7764D61F" w:rsidR="002B1603" w:rsidRPr="00A07F29" w:rsidRDefault="002B1603" w:rsidP="00FD3823">
      <w:pPr>
        <w:keepNext/>
        <w:spacing w:before="240" w:after="120" w:line="240" w:lineRule="auto"/>
        <w:jc w:val="both"/>
        <w:rPr>
          <w:rFonts w:ascii="Times New Roman" w:eastAsia="Calibri" w:hAnsi="Times New Roman" w:cs="Times New Roman"/>
          <w:b/>
          <w:sz w:val="24"/>
          <w:szCs w:val="24"/>
        </w:rPr>
      </w:pPr>
      <w:r w:rsidRPr="00A07F29">
        <w:rPr>
          <w:rFonts w:ascii="Times New Roman" w:eastAsia="Calibri" w:hAnsi="Times New Roman" w:cs="Times New Roman"/>
          <w:b/>
          <w:sz w:val="24"/>
          <w:szCs w:val="24"/>
        </w:rPr>
        <w:lastRenderedPageBreak/>
        <w:t xml:space="preserve">7110* </w:t>
      </w:r>
      <w:r w:rsidRPr="00A07F29">
        <w:rPr>
          <w:rFonts w:ascii="Times New Roman" w:eastAsia="Calibri" w:hAnsi="Times New Roman" w:cs="Times New Roman"/>
          <w:b/>
          <w:i/>
          <w:sz w:val="24"/>
          <w:szCs w:val="24"/>
        </w:rPr>
        <w:t>Aktīvi augstie purvi</w:t>
      </w:r>
    </w:p>
    <w:p w14:paraId="79AC0C8C" w14:textId="4354972A" w:rsidR="002B1603" w:rsidRPr="00A07F29" w:rsidRDefault="002B1603" w:rsidP="00EE6FEB">
      <w:pPr>
        <w:spacing w:after="120" w:line="240" w:lineRule="auto"/>
        <w:ind w:firstLine="851"/>
        <w:jc w:val="both"/>
        <w:rPr>
          <w:rFonts w:ascii="Times New Roman" w:eastAsia="Calibri" w:hAnsi="Times New Roman" w:cs="Times New Roman"/>
          <w:iCs/>
          <w:sz w:val="24"/>
          <w:szCs w:val="24"/>
        </w:rPr>
      </w:pPr>
      <w:r w:rsidRPr="00A07F29">
        <w:rPr>
          <w:rFonts w:ascii="Times New Roman" w:eastAsia="Calibri" w:hAnsi="Times New Roman" w:cs="Times New Roman"/>
          <w:sz w:val="24"/>
          <w:szCs w:val="24"/>
        </w:rPr>
        <w:t>Lai arī biotops kopumā Latvijā ir samērā bieži sastopams, augsto purvu izplatība nav vienmērīga, un Augšdaugavas teritorijai lieli augsto purvu masīvi nav raksturīgi. Biotops 7110*</w:t>
      </w:r>
      <w:r w:rsidR="003B686A">
        <w:rPr>
          <w:rFonts w:ascii="Times New Roman" w:eastAsia="Calibri" w:hAnsi="Times New Roman" w:cs="Times New Roman"/>
          <w:sz w:val="24"/>
          <w:szCs w:val="24"/>
        </w:rPr>
        <w:t> </w:t>
      </w:r>
      <w:r w:rsidRPr="00A07F29">
        <w:rPr>
          <w:rFonts w:ascii="Times New Roman" w:eastAsia="Calibri" w:hAnsi="Times New Roman" w:cs="Times New Roman"/>
          <w:i/>
          <w:sz w:val="24"/>
          <w:szCs w:val="24"/>
        </w:rPr>
        <w:t>Aktīvi augstie purvi</w:t>
      </w:r>
      <w:r w:rsidRPr="00A07F29">
        <w:rPr>
          <w:rFonts w:ascii="Times New Roman" w:eastAsia="Calibri" w:hAnsi="Times New Roman" w:cs="Times New Roman"/>
          <w:sz w:val="24"/>
          <w:szCs w:val="24"/>
        </w:rPr>
        <w:t xml:space="preserve"> konstatēts </w:t>
      </w:r>
      <w:r w:rsidR="00A82E5F" w:rsidRPr="00A07F29">
        <w:rPr>
          <w:rFonts w:ascii="Times New Roman" w:eastAsia="Calibri" w:hAnsi="Times New Roman" w:cs="Times New Roman"/>
          <w:sz w:val="24"/>
          <w:szCs w:val="24"/>
        </w:rPr>
        <w:t xml:space="preserve">reljefa pazeminājumos </w:t>
      </w:r>
      <w:r w:rsidRPr="00A07F29">
        <w:rPr>
          <w:rFonts w:ascii="Times New Roman" w:eastAsia="Calibri" w:hAnsi="Times New Roman" w:cs="Times New Roman"/>
          <w:sz w:val="24"/>
          <w:szCs w:val="24"/>
        </w:rPr>
        <w:t xml:space="preserve">niecīgās platībās trīs vietās AAA </w:t>
      </w:r>
      <w:r w:rsidR="003B686A">
        <w:rPr>
          <w:rFonts w:ascii="Times New Roman" w:eastAsia="Calibri" w:hAnsi="Times New Roman" w:cs="Times New Roman"/>
          <w:sz w:val="24"/>
          <w:szCs w:val="24"/>
        </w:rPr>
        <w:t>“</w:t>
      </w:r>
      <w:r w:rsidRPr="00A07F29">
        <w:rPr>
          <w:rFonts w:ascii="Times New Roman" w:eastAsia="Calibri" w:hAnsi="Times New Roman" w:cs="Times New Roman"/>
          <w:sz w:val="24"/>
          <w:szCs w:val="24"/>
        </w:rPr>
        <w:t>Augšdaugava” teritorijā 4,</w:t>
      </w:r>
      <w:r w:rsidR="00EB6EE6" w:rsidRPr="00A07F29">
        <w:rPr>
          <w:rFonts w:ascii="Times New Roman" w:eastAsia="Calibri" w:hAnsi="Times New Roman" w:cs="Times New Roman"/>
          <w:sz w:val="24"/>
          <w:szCs w:val="24"/>
        </w:rPr>
        <w:t>7</w:t>
      </w:r>
      <w:r w:rsidR="003B686A">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ha platībā. </w:t>
      </w:r>
      <w:r w:rsidR="00CF081E" w:rsidRPr="00A07F29">
        <w:rPr>
          <w:rFonts w:ascii="Times New Roman" w:eastAsia="Calibri" w:hAnsi="Times New Roman" w:cs="Times New Roman"/>
          <w:sz w:val="24"/>
          <w:szCs w:val="24"/>
        </w:rPr>
        <w:t xml:space="preserve">Biotopā dominē dažādas </w:t>
      </w:r>
      <w:r w:rsidRPr="00A07F29">
        <w:rPr>
          <w:rFonts w:ascii="Times New Roman" w:eastAsia="Calibri" w:hAnsi="Times New Roman" w:cs="Times New Roman"/>
          <w:sz w:val="24"/>
          <w:szCs w:val="24"/>
        </w:rPr>
        <w:t>tipisk</w:t>
      </w:r>
      <w:r w:rsidR="00CF081E" w:rsidRPr="00A07F29">
        <w:rPr>
          <w:rFonts w:ascii="Times New Roman" w:eastAsia="Calibri" w:hAnsi="Times New Roman" w:cs="Times New Roman"/>
          <w:sz w:val="24"/>
          <w:szCs w:val="24"/>
        </w:rPr>
        <w:t xml:space="preserve">as augsto purvu </w:t>
      </w:r>
      <w:r w:rsidRPr="00A07F29">
        <w:rPr>
          <w:rFonts w:ascii="Times New Roman" w:eastAsia="Calibri" w:hAnsi="Times New Roman" w:cs="Times New Roman"/>
          <w:sz w:val="24"/>
          <w:szCs w:val="24"/>
        </w:rPr>
        <w:t xml:space="preserve">sūnu, </w:t>
      </w:r>
      <w:proofErr w:type="spellStart"/>
      <w:r w:rsidRPr="00A07F29">
        <w:rPr>
          <w:rFonts w:ascii="Times New Roman" w:eastAsia="Calibri" w:hAnsi="Times New Roman" w:cs="Times New Roman"/>
          <w:sz w:val="24"/>
          <w:szCs w:val="24"/>
        </w:rPr>
        <w:t>sīkkrūmu</w:t>
      </w:r>
      <w:proofErr w:type="spellEnd"/>
      <w:r w:rsidRPr="00A07F29">
        <w:rPr>
          <w:rFonts w:ascii="Times New Roman" w:eastAsia="Calibri" w:hAnsi="Times New Roman" w:cs="Times New Roman"/>
          <w:sz w:val="24"/>
          <w:szCs w:val="24"/>
        </w:rPr>
        <w:t xml:space="preserve"> un lakstaugu </w:t>
      </w:r>
      <w:r w:rsidR="00CF081E" w:rsidRPr="00A07F29">
        <w:rPr>
          <w:rFonts w:ascii="Times New Roman" w:eastAsia="Calibri" w:hAnsi="Times New Roman" w:cs="Times New Roman"/>
          <w:sz w:val="24"/>
          <w:szCs w:val="24"/>
        </w:rPr>
        <w:t>sugas:</w:t>
      </w:r>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ārkausa</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kasandra</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i/>
          <w:iCs/>
          <w:sz w:val="24"/>
          <w:szCs w:val="24"/>
        </w:rPr>
        <w:t>Chamaedaphne</w:t>
      </w:r>
      <w:proofErr w:type="spellEnd"/>
      <w:r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calyculata</w:t>
      </w:r>
      <w:proofErr w:type="spellEnd"/>
      <w:r w:rsidRPr="00A07F29">
        <w:rPr>
          <w:rFonts w:ascii="Times New Roman" w:eastAsia="Calibri" w:hAnsi="Times New Roman" w:cs="Times New Roman"/>
          <w:sz w:val="24"/>
          <w:szCs w:val="24"/>
        </w:rPr>
        <w:t xml:space="preserve">, purva vaivariņš </w:t>
      </w:r>
      <w:r w:rsidRPr="00A07F29">
        <w:rPr>
          <w:rFonts w:ascii="Times New Roman" w:eastAsia="Calibri" w:hAnsi="Times New Roman" w:cs="Times New Roman"/>
          <w:i/>
          <w:iCs/>
          <w:sz w:val="24"/>
          <w:szCs w:val="24"/>
        </w:rPr>
        <w:t xml:space="preserve">Ledum </w:t>
      </w:r>
      <w:proofErr w:type="spellStart"/>
      <w:r w:rsidRPr="00A07F29">
        <w:rPr>
          <w:rFonts w:ascii="Times New Roman" w:eastAsia="Calibri" w:hAnsi="Times New Roman" w:cs="Times New Roman"/>
          <w:i/>
          <w:iCs/>
          <w:sz w:val="24"/>
          <w:szCs w:val="24"/>
        </w:rPr>
        <w:t>palustre</w:t>
      </w:r>
      <w:proofErr w:type="spellEnd"/>
      <w:r w:rsidRPr="00A07F29">
        <w:rPr>
          <w:rFonts w:ascii="Times New Roman" w:eastAsia="Calibri" w:hAnsi="Times New Roman" w:cs="Times New Roman"/>
          <w:i/>
          <w:iCs/>
          <w:sz w:val="24"/>
          <w:szCs w:val="24"/>
        </w:rPr>
        <w:t>,</w:t>
      </w:r>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makstainā</w:t>
      </w:r>
      <w:proofErr w:type="spellEnd"/>
      <w:r w:rsidRPr="00A07F29">
        <w:rPr>
          <w:rFonts w:ascii="Times New Roman" w:eastAsia="Calibri" w:hAnsi="Times New Roman" w:cs="Times New Roman"/>
          <w:sz w:val="24"/>
          <w:szCs w:val="24"/>
        </w:rPr>
        <w:t xml:space="preserve"> spilve </w:t>
      </w:r>
      <w:proofErr w:type="spellStart"/>
      <w:r w:rsidRPr="00A07F29">
        <w:rPr>
          <w:rFonts w:ascii="Times New Roman" w:eastAsia="Calibri" w:hAnsi="Times New Roman" w:cs="Times New Roman"/>
          <w:i/>
          <w:iCs/>
          <w:sz w:val="24"/>
          <w:szCs w:val="24"/>
        </w:rPr>
        <w:t>Eriophorum</w:t>
      </w:r>
      <w:proofErr w:type="spellEnd"/>
      <w:r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vaginatum</w:t>
      </w:r>
      <w:proofErr w:type="spellEnd"/>
      <w:r w:rsidRPr="00A07F29">
        <w:rPr>
          <w:rFonts w:ascii="Times New Roman" w:eastAsia="Calibri" w:hAnsi="Times New Roman" w:cs="Times New Roman"/>
          <w:i/>
          <w:iCs/>
          <w:sz w:val="24"/>
          <w:szCs w:val="24"/>
        </w:rPr>
        <w:t>,</w:t>
      </w:r>
      <w:r w:rsidRPr="00A07F29">
        <w:rPr>
          <w:rFonts w:ascii="Times New Roman" w:eastAsia="Calibri" w:hAnsi="Times New Roman" w:cs="Times New Roman"/>
          <w:sz w:val="24"/>
          <w:szCs w:val="24"/>
        </w:rPr>
        <w:t xml:space="preserve"> zilene </w:t>
      </w:r>
      <w:proofErr w:type="spellStart"/>
      <w:r w:rsidRPr="00A07F29">
        <w:rPr>
          <w:rFonts w:ascii="Times New Roman" w:eastAsia="Calibri" w:hAnsi="Times New Roman" w:cs="Times New Roman"/>
          <w:i/>
          <w:iCs/>
          <w:sz w:val="24"/>
          <w:szCs w:val="24"/>
        </w:rPr>
        <w:t>Vaccinium</w:t>
      </w:r>
      <w:proofErr w:type="spellEnd"/>
      <w:r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uliginosum</w:t>
      </w:r>
      <w:proofErr w:type="spellEnd"/>
      <w:r w:rsidRPr="00A07F29">
        <w:rPr>
          <w:rFonts w:ascii="Times New Roman" w:eastAsia="Calibri" w:hAnsi="Times New Roman" w:cs="Times New Roman"/>
          <w:iCs/>
          <w:sz w:val="24"/>
          <w:szCs w:val="24"/>
        </w:rPr>
        <w:t>,</w:t>
      </w:r>
      <w:r w:rsidRPr="00A07F29">
        <w:rPr>
          <w:rFonts w:ascii="Times New Roman" w:eastAsia="Calibri" w:hAnsi="Times New Roman" w:cs="Times New Roman"/>
          <w:sz w:val="24"/>
          <w:szCs w:val="24"/>
        </w:rPr>
        <w:t xml:space="preserve"> purva dzērvene </w:t>
      </w:r>
      <w:proofErr w:type="spellStart"/>
      <w:r w:rsidRPr="00A07F29">
        <w:rPr>
          <w:rFonts w:ascii="Times New Roman" w:eastAsia="Calibri" w:hAnsi="Times New Roman" w:cs="Times New Roman"/>
          <w:i/>
          <w:iCs/>
          <w:sz w:val="24"/>
          <w:szCs w:val="24"/>
        </w:rPr>
        <w:t>Oxycoccus</w:t>
      </w:r>
      <w:proofErr w:type="spellEnd"/>
      <w:r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palustris</w:t>
      </w:r>
      <w:proofErr w:type="spellEnd"/>
      <w:r w:rsidRPr="00A07F29">
        <w:rPr>
          <w:rFonts w:ascii="Times New Roman" w:eastAsia="Calibri" w:hAnsi="Times New Roman" w:cs="Times New Roman"/>
          <w:iCs/>
          <w:sz w:val="24"/>
          <w:szCs w:val="24"/>
        </w:rPr>
        <w:t>,</w:t>
      </w:r>
      <w:r w:rsidRPr="00A07F29">
        <w:rPr>
          <w:rFonts w:ascii="Times New Roman" w:eastAsia="Calibri" w:hAnsi="Times New Roman" w:cs="Times New Roman"/>
          <w:sz w:val="24"/>
          <w:szCs w:val="24"/>
        </w:rPr>
        <w:t xml:space="preserve"> kā arī dažādas sfagnu sugas – Magelāna sfagns </w:t>
      </w:r>
      <w:proofErr w:type="spellStart"/>
      <w:r w:rsidRPr="00A07F29">
        <w:rPr>
          <w:rFonts w:ascii="Times New Roman" w:eastAsia="Calibri" w:hAnsi="Times New Roman" w:cs="Times New Roman"/>
          <w:i/>
          <w:iCs/>
          <w:sz w:val="24"/>
          <w:szCs w:val="24"/>
        </w:rPr>
        <w:t>Sphagnum</w:t>
      </w:r>
      <w:proofErr w:type="spellEnd"/>
      <w:r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magellanicum</w:t>
      </w:r>
      <w:proofErr w:type="spellEnd"/>
      <w:r w:rsidRPr="00A07F29">
        <w:rPr>
          <w:rFonts w:ascii="Times New Roman" w:eastAsia="Calibri" w:hAnsi="Times New Roman" w:cs="Times New Roman"/>
          <w:sz w:val="24"/>
          <w:szCs w:val="24"/>
        </w:rPr>
        <w:t xml:space="preserve">, iesarkanais sfagns </w:t>
      </w:r>
      <w:proofErr w:type="spellStart"/>
      <w:r w:rsidRPr="00A07F29">
        <w:rPr>
          <w:rFonts w:ascii="Times New Roman" w:eastAsia="Calibri" w:hAnsi="Times New Roman" w:cs="Times New Roman"/>
          <w:i/>
          <w:iCs/>
          <w:sz w:val="24"/>
          <w:szCs w:val="24"/>
        </w:rPr>
        <w:t>Sphagnum</w:t>
      </w:r>
      <w:proofErr w:type="spellEnd"/>
      <w:r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rubellum</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šaurlapu</w:t>
      </w:r>
      <w:proofErr w:type="spellEnd"/>
      <w:r w:rsidRPr="00A07F29">
        <w:rPr>
          <w:rFonts w:ascii="Times New Roman" w:eastAsia="Calibri" w:hAnsi="Times New Roman" w:cs="Times New Roman"/>
          <w:sz w:val="24"/>
          <w:szCs w:val="24"/>
        </w:rPr>
        <w:t xml:space="preserve"> sfagns </w:t>
      </w:r>
      <w:proofErr w:type="spellStart"/>
      <w:r w:rsidRPr="00A07F29">
        <w:rPr>
          <w:rFonts w:ascii="Times New Roman" w:eastAsia="Calibri" w:hAnsi="Times New Roman" w:cs="Times New Roman"/>
          <w:i/>
          <w:iCs/>
          <w:sz w:val="24"/>
          <w:szCs w:val="24"/>
        </w:rPr>
        <w:t>Sphagnum</w:t>
      </w:r>
      <w:proofErr w:type="spellEnd"/>
      <w:r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angustifolium</w:t>
      </w:r>
      <w:proofErr w:type="spellEnd"/>
      <w:r w:rsidRPr="00A07F29">
        <w:rPr>
          <w:rFonts w:ascii="Times New Roman" w:eastAsia="Calibri" w:hAnsi="Times New Roman" w:cs="Times New Roman"/>
          <w:sz w:val="24"/>
          <w:szCs w:val="24"/>
        </w:rPr>
        <w:t xml:space="preserve"> u.c. 7110*</w:t>
      </w:r>
      <w:r w:rsidR="00800F7F">
        <w:rPr>
          <w:rFonts w:ascii="Times New Roman" w:eastAsia="Calibri" w:hAnsi="Times New Roman" w:cs="Times New Roman"/>
          <w:sz w:val="24"/>
          <w:szCs w:val="24"/>
        </w:rPr>
        <w:t> </w:t>
      </w:r>
      <w:r w:rsidRPr="00A07F29">
        <w:rPr>
          <w:rFonts w:ascii="Times New Roman" w:eastAsia="Calibri" w:hAnsi="Times New Roman" w:cs="Times New Roman"/>
          <w:i/>
          <w:sz w:val="24"/>
          <w:szCs w:val="24"/>
        </w:rPr>
        <w:t>Aktīvi augstie purvi</w:t>
      </w:r>
      <w:r w:rsidRPr="00A07F29">
        <w:rPr>
          <w:rFonts w:ascii="Times New Roman" w:eastAsia="Calibri" w:hAnsi="Times New Roman" w:cs="Times New Roman"/>
          <w:sz w:val="24"/>
          <w:szCs w:val="24"/>
        </w:rPr>
        <w:t xml:space="preserve"> kopumā ir vidējas kvalitātes, </w:t>
      </w:r>
      <w:r w:rsidR="00A82E5F" w:rsidRPr="00A07F29">
        <w:rPr>
          <w:rFonts w:ascii="Times New Roman" w:eastAsia="Calibri" w:hAnsi="Times New Roman" w:cs="Times New Roman"/>
          <w:sz w:val="24"/>
          <w:szCs w:val="24"/>
        </w:rPr>
        <w:t xml:space="preserve">dabiskas </w:t>
      </w:r>
      <w:proofErr w:type="spellStart"/>
      <w:r w:rsidR="00A82E5F" w:rsidRPr="00A07F29">
        <w:rPr>
          <w:rFonts w:ascii="Times New Roman" w:eastAsia="Calibri" w:hAnsi="Times New Roman" w:cs="Times New Roman"/>
          <w:sz w:val="24"/>
          <w:szCs w:val="24"/>
        </w:rPr>
        <w:t>sukcesija</w:t>
      </w:r>
      <w:proofErr w:type="spellEnd"/>
      <w:r w:rsidR="00A82E5F" w:rsidRPr="00A07F29">
        <w:rPr>
          <w:rFonts w:ascii="Times New Roman" w:eastAsia="Calibri" w:hAnsi="Times New Roman" w:cs="Times New Roman"/>
          <w:sz w:val="24"/>
          <w:szCs w:val="24"/>
        </w:rPr>
        <w:t xml:space="preserve"> gaitā </w:t>
      </w:r>
      <w:r w:rsidRPr="00A07F29">
        <w:rPr>
          <w:rFonts w:ascii="Times New Roman" w:eastAsia="Calibri" w:hAnsi="Times New Roman" w:cs="Times New Roman"/>
          <w:sz w:val="24"/>
          <w:szCs w:val="24"/>
        </w:rPr>
        <w:t>tie no malām aizaug ar priedi un pakāpeniski transformējas par 91D0*</w:t>
      </w:r>
      <w:r w:rsidR="00BB3EBD">
        <w:rPr>
          <w:rFonts w:ascii="Times New Roman" w:eastAsia="Calibri" w:hAnsi="Times New Roman" w:cs="Times New Roman"/>
          <w:sz w:val="24"/>
          <w:szCs w:val="24"/>
        </w:rPr>
        <w:t> </w:t>
      </w:r>
      <w:r w:rsidRPr="00A07F29">
        <w:rPr>
          <w:rFonts w:ascii="Times New Roman" w:eastAsia="Calibri" w:hAnsi="Times New Roman" w:cs="Times New Roman"/>
          <w:i/>
          <w:sz w:val="24"/>
          <w:szCs w:val="24"/>
        </w:rPr>
        <w:t>Purvaini meži</w:t>
      </w:r>
      <w:r w:rsidRPr="00A07F29">
        <w:rPr>
          <w:rFonts w:ascii="Times New Roman" w:eastAsia="Calibri" w:hAnsi="Times New Roman" w:cs="Times New Roman"/>
          <w:sz w:val="24"/>
          <w:szCs w:val="24"/>
        </w:rPr>
        <w:t xml:space="preserve"> biotopiem.</w:t>
      </w:r>
    </w:p>
    <w:p w14:paraId="586A4228" w14:textId="48E109BB" w:rsidR="002B1603" w:rsidRPr="00A07F29" w:rsidRDefault="002B1603" w:rsidP="00FD3823">
      <w:pPr>
        <w:keepNext/>
        <w:spacing w:before="240" w:after="120" w:line="240" w:lineRule="auto"/>
        <w:jc w:val="both"/>
        <w:rPr>
          <w:rFonts w:ascii="Times New Roman" w:eastAsia="Calibri" w:hAnsi="Times New Roman" w:cs="Times New Roman"/>
          <w:b/>
          <w:sz w:val="24"/>
          <w:szCs w:val="24"/>
        </w:rPr>
      </w:pPr>
      <w:r w:rsidRPr="00A07F29">
        <w:rPr>
          <w:rFonts w:ascii="Times New Roman" w:eastAsia="Calibri" w:hAnsi="Times New Roman" w:cs="Times New Roman"/>
          <w:b/>
          <w:sz w:val="24"/>
          <w:szCs w:val="24"/>
        </w:rPr>
        <w:t xml:space="preserve">7120 </w:t>
      </w:r>
      <w:r w:rsidRPr="00A07F29">
        <w:rPr>
          <w:rFonts w:ascii="Times New Roman" w:eastAsia="Calibri" w:hAnsi="Times New Roman" w:cs="Times New Roman"/>
          <w:b/>
          <w:i/>
          <w:sz w:val="24"/>
          <w:szCs w:val="24"/>
        </w:rPr>
        <w:t>Degradēti augstie purvi, kuros iespējama vai noris dabiskā atjaunošanās</w:t>
      </w:r>
    </w:p>
    <w:p w14:paraId="0CBAFED1" w14:textId="4A8E5D86" w:rsidR="00A42C4C" w:rsidRPr="00A07F29" w:rsidRDefault="002B1603" w:rsidP="00EE6FEB">
      <w:pPr>
        <w:spacing w:after="120" w:line="240" w:lineRule="auto"/>
        <w:ind w:firstLine="851"/>
        <w:jc w:val="both"/>
        <w:rPr>
          <w:rFonts w:ascii="Times New Roman" w:eastAsia="Calibri" w:hAnsi="Times New Roman" w:cs="Times New Roman"/>
          <w:iCs/>
          <w:sz w:val="24"/>
          <w:szCs w:val="24"/>
        </w:rPr>
      </w:pPr>
      <w:r w:rsidRPr="00A07F29">
        <w:rPr>
          <w:rFonts w:ascii="Times New Roman" w:eastAsia="Calibri" w:hAnsi="Times New Roman" w:cs="Times New Roman"/>
          <w:sz w:val="24"/>
          <w:szCs w:val="24"/>
        </w:rPr>
        <w:t>AAA “Augšdaugava” teritorijā ne neskartu, ne arī degradētu</w:t>
      </w:r>
      <w:r w:rsidR="00CF081E" w:rsidRPr="00A07F29">
        <w:rPr>
          <w:rFonts w:ascii="Times New Roman" w:eastAsia="Calibri" w:hAnsi="Times New Roman" w:cs="Times New Roman"/>
          <w:sz w:val="24"/>
          <w:szCs w:val="24"/>
        </w:rPr>
        <w:t xml:space="preserve"> augsto</w:t>
      </w:r>
      <w:r w:rsidRPr="00A07F29">
        <w:rPr>
          <w:rFonts w:ascii="Times New Roman" w:eastAsia="Calibri" w:hAnsi="Times New Roman" w:cs="Times New Roman"/>
          <w:sz w:val="24"/>
          <w:szCs w:val="24"/>
        </w:rPr>
        <w:t xml:space="preserve"> purvu biotopi nav raksturīgi, un </w:t>
      </w:r>
      <w:r w:rsidRPr="00A07F29">
        <w:rPr>
          <w:rFonts w:ascii="Times New Roman" w:eastAsia="Calibri" w:hAnsi="Times New Roman" w:cs="Times New Roman"/>
          <w:i/>
          <w:iCs/>
          <w:sz w:val="24"/>
          <w:szCs w:val="24"/>
        </w:rPr>
        <w:t>7120</w:t>
      </w:r>
      <w:r w:rsidR="00BB3EBD">
        <w:rPr>
          <w:rFonts w:ascii="Times New Roman" w:eastAsia="Calibri" w:hAnsi="Times New Roman" w:cs="Times New Roman"/>
          <w:sz w:val="24"/>
          <w:szCs w:val="24"/>
        </w:rPr>
        <w:t> </w:t>
      </w:r>
      <w:r w:rsidRPr="00A07F29">
        <w:rPr>
          <w:rFonts w:ascii="Times New Roman" w:eastAsia="Calibri" w:hAnsi="Times New Roman" w:cs="Times New Roman"/>
          <w:bCs/>
          <w:i/>
          <w:iCs/>
          <w:sz w:val="24"/>
          <w:szCs w:val="24"/>
        </w:rPr>
        <w:t>Degradēti augstie purvi, kuros iespējama vai noris dabiskā atjaunošanās</w:t>
      </w:r>
      <w:r w:rsidRPr="00A07F29">
        <w:rPr>
          <w:rFonts w:ascii="Times New Roman" w:eastAsia="Calibri" w:hAnsi="Times New Roman" w:cs="Times New Roman"/>
          <w:sz w:val="24"/>
          <w:szCs w:val="24"/>
        </w:rPr>
        <w:t xml:space="preserve"> biotops konstatēts tikai vienā vietā starp </w:t>
      </w:r>
      <w:proofErr w:type="spellStart"/>
      <w:r w:rsidRPr="00A07F29">
        <w:rPr>
          <w:rFonts w:ascii="Times New Roman" w:eastAsia="Calibri" w:hAnsi="Times New Roman" w:cs="Times New Roman"/>
          <w:sz w:val="24"/>
          <w:szCs w:val="24"/>
        </w:rPr>
        <w:t>Krivoje</w:t>
      </w:r>
      <w:proofErr w:type="spellEnd"/>
      <w:r w:rsidRPr="00A07F29">
        <w:rPr>
          <w:rFonts w:ascii="Times New Roman" w:eastAsia="Calibri" w:hAnsi="Times New Roman" w:cs="Times New Roman"/>
          <w:sz w:val="24"/>
          <w:szCs w:val="24"/>
        </w:rPr>
        <w:t xml:space="preserve"> ezeru un Baltkrievijas robežu 0,96</w:t>
      </w:r>
      <w:r w:rsidR="00BB3EBD">
        <w:rPr>
          <w:rFonts w:ascii="Times New Roman" w:eastAsia="Calibri" w:hAnsi="Times New Roman" w:cs="Times New Roman"/>
          <w:sz w:val="24"/>
          <w:szCs w:val="24"/>
        </w:rPr>
        <w:t> </w:t>
      </w:r>
      <w:r w:rsidRPr="00A07F29">
        <w:rPr>
          <w:rFonts w:ascii="Times New Roman" w:eastAsia="Calibri" w:hAnsi="Times New Roman" w:cs="Times New Roman"/>
          <w:sz w:val="24"/>
          <w:szCs w:val="24"/>
        </w:rPr>
        <w:t>ha platībā. AAA teritorijā konstatētais biotopa poligons atbilst biotopa 1.</w:t>
      </w:r>
      <w:r w:rsidR="00265998">
        <w:rPr>
          <w:rFonts w:ascii="Times New Roman" w:eastAsia="Calibri" w:hAnsi="Times New Roman" w:cs="Times New Roman"/>
          <w:sz w:val="24"/>
          <w:szCs w:val="24"/>
        </w:rPr>
        <w:t> </w:t>
      </w:r>
      <w:r w:rsidRPr="00A07F29">
        <w:rPr>
          <w:rFonts w:ascii="Times New Roman" w:eastAsia="Calibri" w:hAnsi="Times New Roman" w:cs="Times New Roman"/>
          <w:sz w:val="24"/>
          <w:szCs w:val="24"/>
        </w:rPr>
        <w:t>variantam</w:t>
      </w:r>
      <w:r w:rsidR="00B34885" w:rsidRPr="00A07F29">
        <w:rPr>
          <w:rFonts w:ascii="Times New Roman" w:eastAsia="Calibri" w:hAnsi="Times New Roman" w:cs="Times New Roman"/>
          <w:sz w:val="24"/>
          <w:szCs w:val="24"/>
        </w:rPr>
        <w:t xml:space="preserve"> </w:t>
      </w:r>
      <w:r w:rsidRPr="00A07F29">
        <w:rPr>
          <w:rFonts w:ascii="Times New Roman" w:eastAsia="Calibri" w:hAnsi="Times New Roman" w:cs="Times New Roman"/>
          <w:i/>
          <w:sz w:val="24"/>
          <w:szCs w:val="24"/>
        </w:rPr>
        <w:t>nosusināšanas stipri ietekmētiem augstajiem purviem</w:t>
      </w:r>
      <w:r w:rsidRPr="00A07F29">
        <w:rPr>
          <w:rFonts w:ascii="Times New Roman" w:eastAsia="Calibri" w:hAnsi="Times New Roman" w:cs="Times New Roman"/>
          <w:sz w:val="24"/>
          <w:szCs w:val="24"/>
        </w:rPr>
        <w:t xml:space="preserve">. </w:t>
      </w:r>
      <w:r w:rsidR="00B34885" w:rsidRPr="00A07F29">
        <w:rPr>
          <w:rFonts w:ascii="Times New Roman" w:eastAsia="Calibri" w:hAnsi="Times New Roman" w:cs="Times New Roman"/>
          <w:sz w:val="24"/>
          <w:szCs w:val="24"/>
        </w:rPr>
        <w:t>Lai gan</w:t>
      </w:r>
      <w:r w:rsidRPr="00A07F29">
        <w:rPr>
          <w:rFonts w:ascii="Times New Roman" w:eastAsia="Calibri" w:hAnsi="Times New Roman" w:cs="Times New Roman"/>
          <w:sz w:val="24"/>
          <w:szCs w:val="24"/>
        </w:rPr>
        <w:t xml:space="preserve"> </w:t>
      </w:r>
      <w:r w:rsidR="00A42C4C" w:rsidRPr="00A07F29">
        <w:rPr>
          <w:rFonts w:ascii="Times New Roman" w:eastAsia="Calibri" w:hAnsi="Times New Roman" w:cs="Times New Roman"/>
          <w:sz w:val="24"/>
          <w:szCs w:val="24"/>
        </w:rPr>
        <w:t xml:space="preserve">šajā biotopa poligonā </w:t>
      </w:r>
      <w:r w:rsidR="00B34885" w:rsidRPr="00A07F29">
        <w:rPr>
          <w:rFonts w:ascii="Times New Roman" w:eastAsia="Calibri" w:hAnsi="Times New Roman" w:cs="Times New Roman"/>
          <w:sz w:val="24"/>
          <w:szCs w:val="24"/>
        </w:rPr>
        <w:t xml:space="preserve">dominē dažādas augsto purvu </w:t>
      </w:r>
      <w:r w:rsidRPr="00A07F29">
        <w:rPr>
          <w:rFonts w:ascii="Times New Roman" w:eastAsia="Calibri" w:hAnsi="Times New Roman" w:cs="Times New Roman"/>
          <w:sz w:val="24"/>
          <w:szCs w:val="24"/>
        </w:rPr>
        <w:t xml:space="preserve">sūnu, </w:t>
      </w:r>
      <w:proofErr w:type="spellStart"/>
      <w:r w:rsidRPr="00A07F29">
        <w:rPr>
          <w:rFonts w:ascii="Times New Roman" w:eastAsia="Calibri" w:hAnsi="Times New Roman" w:cs="Times New Roman"/>
          <w:sz w:val="24"/>
          <w:szCs w:val="24"/>
        </w:rPr>
        <w:t>sīkkrūmu</w:t>
      </w:r>
      <w:proofErr w:type="spellEnd"/>
      <w:r w:rsidRPr="00A07F29">
        <w:rPr>
          <w:rFonts w:ascii="Times New Roman" w:eastAsia="Calibri" w:hAnsi="Times New Roman" w:cs="Times New Roman"/>
          <w:sz w:val="24"/>
          <w:szCs w:val="24"/>
        </w:rPr>
        <w:t xml:space="preserve"> un lakstaugu </w:t>
      </w:r>
      <w:r w:rsidR="00B34885" w:rsidRPr="00A07F29">
        <w:rPr>
          <w:rFonts w:ascii="Times New Roman" w:eastAsia="Calibri" w:hAnsi="Times New Roman" w:cs="Times New Roman"/>
          <w:sz w:val="24"/>
          <w:szCs w:val="24"/>
        </w:rPr>
        <w:t xml:space="preserve">sugas </w:t>
      </w:r>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ārkausa</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kasandra</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i/>
          <w:iCs/>
          <w:sz w:val="24"/>
          <w:szCs w:val="24"/>
        </w:rPr>
        <w:t>Chamaedaphne</w:t>
      </w:r>
      <w:proofErr w:type="spellEnd"/>
      <w:r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calyculata</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daudzlapu</w:t>
      </w:r>
      <w:proofErr w:type="spellEnd"/>
      <w:r w:rsidRPr="00A07F29">
        <w:rPr>
          <w:rFonts w:ascii="Times New Roman" w:eastAsia="Calibri" w:hAnsi="Times New Roman" w:cs="Times New Roman"/>
          <w:sz w:val="24"/>
          <w:szCs w:val="24"/>
        </w:rPr>
        <w:t xml:space="preserve"> andromeda </w:t>
      </w:r>
      <w:proofErr w:type="spellStart"/>
      <w:r w:rsidRPr="00A07F29">
        <w:rPr>
          <w:rFonts w:ascii="Times New Roman" w:eastAsia="Calibri" w:hAnsi="Times New Roman" w:cs="Times New Roman"/>
          <w:i/>
          <w:iCs/>
          <w:sz w:val="24"/>
          <w:szCs w:val="24"/>
        </w:rPr>
        <w:t>Andromeda</w:t>
      </w:r>
      <w:proofErr w:type="spellEnd"/>
      <w:r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polifolia</w:t>
      </w:r>
      <w:proofErr w:type="spellEnd"/>
      <w:r w:rsidRPr="00A07F29">
        <w:rPr>
          <w:rFonts w:ascii="Times New Roman" w:eastAsia="Calibri" w:hAnsi="Times New Roman" w:cs="Times New Roman"/>
          <w:sz w:val="24"/>
          <w:szCs w:val="24"/>
        </w:rPr>
        <w:t xml:space="preserve">, purva vaivariņš </w:t>
      </w:r>
      <w:r w:rsidRPr="00A07F29">
        <w:rPr>
          <w:rFonts w:ascii="Times New Roman" w:eastAsia="Calibri" w:hAnsi="Times New Roman" w:cs="Times New Roman"/>
          <w:i/>
          <w:iCs/>
          <w:sz w:val="24"/>
          <w:szCs w:val="24"/>
        </w:rPr>
        <w:t xml:space="preserve">Ledum </w:t>
      </w:r>
      <w:proofErr w:type="spellStart"/>
      <w:r w:rsidRPr="00A07F29">
        <w:rPr>
          <w:rFonts w:ascii="Times New Roman" w:eastAsia="Calibri" w:hAnsi="Times New Roman" w:cs="Times New Roman"/>
          <w:i/>
          <w:iCs/>
          <w:sz w:val="24"/>
          <w:szCs w:val="24"/>
        </w:rPr>
        <w:t>palustre</w:t>
      </w:r>
      <w:proofErr w:type="spellEnd"/>
      <w:r w:rsidRPr="00A07F29">
        <w:rPr>
          <w:rFonts w:ascii="Times New Roman" w:eastAsia="Calibri" w:hAnsi="Times New Roman" w:cs="Times New Roman"/>
          <w:i/>
          <w:iCs/>
          <w:sz w:val="24"/>
          <w:szCs w:val="24"/>
        </w:rPr>
        <w:t>,</w:t>
      </w:r>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makstainā</w:t>
      </w:r>
      <w:proofErr w:type="spellEnd"/>
      <w:r w:rsidRPr="00A07F29">
        <w:rPr>
          <w:rFonts w:ascii="Times New Roman" w:eastAsia="Calibri" w:hAnsi="Times New Roman" w:cs="Times New Roman"/>
          <w:sz w:val="24"/>
          <w:szCs w:val="24"/>
        </w:rPr>
        <w:t xml:space="preserve"> spilve </w:t>
      </w:r>
      <w:proofErr w:type="spellStart"/>
      <w:r w:rsidRPr="00A07F29">
        <w:rPr>
          <w:rFonts w:ascii="Times New Roman" w:eastAsia="Calibri" w:hAnsi="Times New Roman" w:cs="Times New Roman"/>
          <w:i/>
          <w:iCs/>
          <w:sz w:val="24"/>
          <w:szCs w:val="24"/>
        </w:rPr>
        <w:t>Eriophorum</w:t>
      </w:r>
      <w:proofErr w:type="spellEnd"/>
      <w:r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vaginatum</w:t>
      </w:r>
      <w:proofErr w:type="spellEnd"/>
      <w:r w:rsidRPr="00A07F29">
        <w:rPr>
          <w:rFonts w:ascii="Times New Roman" w:eastAsia="Calibri" w:hAnsi="Times New Roman" w:cs="Times New Roman"/>
          <w:i/>
          <w:iCs/>
          <w:sz w:val="24"/>
          <w:szCs w:val="24"/>
        </w:rPr>
        <w:t>,</w:t>
      </w:r>
      <w:r w:rsidRPr="00A07F29">
        <w:rPr>
          <w:rFonts w:ascii="Times New Roman" w:eastAsia="Calibri" w:hAnsi="Times New Roman" w:cs="Times New Roman"/>
          <w:sz w:val="24"/>
          <w:szCs w:val="24"/>
        </w:rPr>
        <w:t xml:space="preserve"> kā arī dažādas sfagnu sugas, tomēr tas negatīvu hidroloģiskā režīma izmaiņu rezultātā aizaug ar priedi un transformējas par biotopu</w:t>
      </w:r>
      <w:r w:rsidRPr="00A07F29" w:rsidDel="00C021B2">
        <w:rPr>
          <w:rFonts w:ascii="Times New Roman" w:eastAsia="Calibri" w:hAnsi="Times New Roman" w:cs="Times New Roman"/>
          <w:sz w:val="24"/>
          <w:szCs w:val="24"/>
        </w:rPr>
        <w:t xml:space="preserve"> </w:t>
      </w:r>
      <w:r w:rsidRPr="00A07F29">
        <w:rPr>
          <w:rFonts w:ascii="Times New Roman" w:eastAsia="Calibri" w:hAnsi="Times New Roman" w:cs="Times New Roman"/>
          <w:sz w:val="24"/>
          <w:szCs w:val="24"/>
        </w:rPr>
        <w:t>91D0*</w:t>
      </w:r>
      <w:r w:rsidR="00C2156B">
        <w:rPr>
          <w:rFonts w:ascii="Times New Roman" w:eastAsia="Calibri" w:hAnsi="Times New Roman" w:cs="Times New Roman"/>
          <w:i/>
          <w:sz w:val="24"/>
          <w:szCs w:val="24"/>
        </w:rPr>
        <w:t> </w:t>
      </w:r>
      <w:r w:rsidRPr="00A07F29">
        <w:rPr>
          <w:rFonts w:ascii="Times New Roman" w:eastAsia="Calibri" w:hAnsi="Times New Roman" w:cs="Times New Roman"/>
          <w:i/>
          <w:sz w:val="24"/>
          <w:szCs w:val="24"/>
        </w:rPr>
        <w:t>Purvaini meži</w:t>
      </w:r>
      <w:r w:rsidRPr="00A07F29">
        <w:rPr>
          <w:rFonts w:ascii="Times New Roman" w:eastAsia="Calibri" w:hAnsi="Times New Roman" w:cs="Times New Roman"/>
          <w:sz w:val="24"/>
          <w:szCs w:val="24"/>
        </w:rPr>
        <w:t>.</w:t>
      </w:r>
    </w:p>
    <w:p w14:paraId="59CC50F1" w14:textId="5E6AD07E" w:rsidR="002B1603" w:rsidRPr="00A07F29" w:rsidRDefault="002B1603" w:rsidP="00EE6FEB">
      <w:pPr>
        <w:keepNext/>
        <w:spacing w:before="240" w:after="120" w:line="240" w:lineRule="auto"/>
        <w:jc w:val="both"/>
        <w:rPr>
          <w:rFonts w:ascii="Times New Roman" w:eastAsia="Calibri" w:hAnsi="Times New Roman" w:cs="Times New Roman"/>
          <w:b/>
          <w:sz w:val="24"/>
          <w:szCs w:val="24"/>
        </w:rPr>
      </w:pPr>
      <w:r w:rsidRPr="00A07F29">
        <w:rPr>
          <w:rFonts w:ascii="Times New Roman" w:eastAsia="Calibri" w:hAnsi="Times New Roman" w:cs="Times New Roman"/>
          <w:b/>
          <w:sz w:val="24"/>
          <w:szCs w:val="24"/>
        </w:rPr>
        <w:t xml:space="preserve">7140 </w:t>
      </w:r>
      <w:r w:rsidRPr="00A07F29">
        <w:rPr>
          <w:rFonts w:ascii="Times New Roman" w:eastAsia="Calibri" w:hAnsi="Times New Roman" w:cs="Times New Roman"/>
          <w:b/>
          <w:i/>
          <w:sz w:val="24"/>
          <w:szCs w:val="24"/>
        </w:rPr>
        <w:t>Pārejas purvi un slīkšņas</w:t>
      </w:r>
    </w:p>
    <w:p w14:paraId="035CFDA7" w14:textId="13EFEEFA" w:rsidR="00EE6FEB" w:rsidRPr="00A07F29" w:rsidRDefault="002B1603" w:rsidP="00EE6FEB">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Pārejas purvu un slīkšņu biotopi Latvijā kopumā ir reti sastopami un parasti veido mazas platības. AAA </w:t>
      </w:r>
      <w:r w:rsidR="00DB4046">
        <w:rPr>
          <w:rFonts w:ascii="Times New Roman" w:eastAsia="Calibri" w:hAnsi="Times New Roman" w:cs="Times New Roman"/>
          <w:sz w:val="24"/>
          <w:szCs w:val="24"/>
        </w:rPr>
        <w:t>“</w:t>
      </w:r>
      <w:r w:rsidRPr="00A07F29">
        <w:rPr>
          <w:rFonts w:ascii="Times New Roman" w:eastAsia="Calibri" w:hAnsi="Times New Roman" w:cs="Times New Roman"/>
          <w:sz w:val="24"/>
          <w:szCs w:val="24"/>
        </w:rPr>
        <w:t>Augšdaugava” teritorijā biotops 7140</w:t>
      </w:r>
      <w:r w:rsidR="00DB4046">
        <w:rPr>
          <w:rFonts w:ascii="Times New Roman" w:eastAsia="Calibri" w:hAnsi="Times New Roman" w:cs="Times New Roman"/>
          <w:sz w:val="24"/>
          <w:szCs w:val="24"/>
        </w:rPr>
        <w:t> </w:t>
      </w:r>
      <w:r w:rsidRPr="00A07F29">
        <w:rPr>
          <w:rFonts w:ascii="Times New Roman" w:eastAsia="Calibri" w:hAnsi="Times New Roman" w:cs="Times New Roman"/>
          <w:i/>
          <w:iCs/>
          <w:sz w:val="24"/>
          <w:szCs w:val="24"/>
        </w:rPr>
        <w:t>Pārejas purvi un slīkšņas</w:t>
      </w:r>
      <w:r w:rsidRPr="00A07F29">
        <w:rPr>
          <w:rFonts w:ascii="Times New Roman" w:eastAsia="Calibri" w:hAnsi="Times New Roman" w:cs="Times New Roman"/>
          <w:b/>
          <w:bCs/>
          <w:i/>
          <w:iCs/>
          <w:sz w:val="24"/>
          <w:szCs w:val="24"/>
        </w:rPr>
        <w:t xml:space="preserve"> </w:t>
      </w:r>
      <w:r w:rsidRPr="00A07F29">
        <w:rPr>
          <w:rFonts w:ascii="Times New Roman" w:eastAsia="Calibri" w:hAnsi="Times New Roman" w:cs="Times New Roman"/>
          <w:sz w:val="24"/>
          <w:szCs w:val="24"/>
        </w:rPr>
        <w:t xml:space="preserve">sastopams atsevišķu fragmentu veidā gar ezeriem, aizaugušu ezeru vietās, </w:t>
      </w:r>
      <w:proofErr w:type="spellStart"/>
      <w:r w:rsidRPr="00A07F29">
        <w:rPr>
          <w:rFonts w:ascii="Times New Roman" w:eastAsia="Calibri" w:hAnsi="Times New Roman" w:cs="Times New Roman"/>
          <w:sz w:val="24"/>
          <w:szCs w:val="24"/>
        </w:rPr>
        <w:t>starppauguru</w:t>
      </w:r>
      <w:proofErr w:type="spellEnd"/>
      <w:r w:rsidRPr="00A07F29">
        <w:rPr>
          <w:rFonts w:ascii="Times New Roman" w:eastAsia="Calibri" w:hAnsi="Times New Roman" w:cs="Times New Roman"/>
          <w:sz w:val="24"/>
          <w:szCs w:val="24"/>
        </w:rPr>
        <w:t xml:space="preserve"> ieplakās un citās vietās ar piemērotu hidroloģisko režīmu un ir visizplatītākais purvu biotops šajā teritorijā. Visi Augšdaugavas teritorijā konstatētie pārejas purvu poligoni atbilst </w:t>
      </w:r>
      <w:r w:rsidR="001E391E" w:rsidRPr="00A07F29">
        <w:rPr>
          <w:rFonts w:ascii="Times New Roman" w:eastAsia="Calibri" w:hAnsi="Times New Roman" w:cs="Times New Roman"/>
          <w:sz w:val="24"/>
          <w:szCs w:val="24"/>
        </w:rPr>
        <w:t>ES</w:t>
      </w:r>
      <w:r w:rsidRPr="00A07F29">
        <w:rPr>
          <w:rFonts w:ascii="Times New Roman" w:eastAsia="Calibri" w:hAnsi="Times New Roman" w:cs="Times New Roman"/>
          <w:sz w:val="24"/>
          <w:szCs w:val="24"/>
        </w:rPr>
        <w:t xml:space="preserve"> un Latvijas aizsargājamā biotopa 2.</w:t>
      </w:r>
      <w:r w:rsidR="002E6BDA">
        <w:rPr>
          <w:rFonts w:ascii="Times New Roman" w:eastAsia="Calibri" w:hAnsi="Times New Roman" w:cs="Times New Roman"/>
          <w:sz w:val="24"/>
          <w:szCs w:val="24"/>
        </w:rPr>
        <w:t> </w:t>
      </w:r>
      <w:r w:rsidRPr="00A07F29">
        <w:rPr>
          <w:rFonts w:ascii="Times New Roman" w:eastAsia="Calibri" w:hAnsi="Times New Roman" w:cs="Times New Roman"/>
          <w:sz w:val="24"/>
          <w:szCs w:val="24"/>
        </w:rPr>
        <w:t>variantam (</w:t>
      </w:r>
      <w:proofErr w:type="spellStart"/>
      <w:r w:rsidRPr="00A07F29">
        <w:rPr>
          <w:rFonts w:ascii="Times New Roman" w:eastAsia="Calibri" w:hAnsi="Times New Roman" w:cs="Times New Roman"/>
          <w:sz w:val="24"/>
          <w:szCs w:val="24"/>
        </w:rPr>
        <w:t>limnogēnie</w:t>
      </w:r>
      <w:proofErr w:type="spellEnd"/>
      <w:r w:rsidRPr="00A07F29">
        <w:rPr>
          <w:rFonts w:ascii="Times New Roman" w:eastAsia="Calibri" w:hAnsi="Times New Roman" w:cs="Times New Roman"/>
          <w:sz w:val="24"/>
          <w:szCs w:val="24"/>
        </w:rPr>
        <w:t xml:space="preserve"> purvi). Konstatētie pārejas purvu un slīkšņu biotopi izceļas ar lielu </w:t>
      </w:r>
      <w:proofErr w:type="spellStart"/>
      <w:r w:rsidRPr="00A07F29">
        <w:rPr>
          <w:rFonts w:ascii="Times New Roman" w:eastAsia="Calibri" w:hAnsi="Times New Roman" w:cs="Times New Roman"/>
          <w:sz w:val="24"/>
          <w:szCs w:val="24"/>
        </w:rPr>
        <w:t>floristisko</w:t>
      </w:r>
      <w:proofErr w:type="spellEnd"/>
      <w:r w:rsidRPr="00A07F29">
        <w:rPr>
          <w:rFonts w:ascii="Times New Roman" w:eastAsia="Calibri" w:hAnsi="Times New Roman" w:cs="Times New Roman"/>
          <w:sz w:val="24"/>
          <w:szCs w:val="24"/>
        </w:rPr>
        <w:t xml:space="preserve"> daudzveidību un savstarpēji ir ļoti atšķirīgi, tajos var dominēt ļoti daudzveidīgas augu sugas – </w:t>
      </w:r>
      <w:proofErr w:type="spellStart"/>
      <w:r w:rsidRPr="00A07F29">
        <w:rPr>
          <w:rFonts w:ascii="Times New Roman" w:eastAsia="Calibri" w:hAnsi="Times New Roman" w:cs="Times New Roman"/>
          <w:sz w:val="24"/>
          <w:szCs w:val="24"/>
        </w:rPr>
        <w:t>trejlapu</w:t>
      </w:r>
      <w:proofErr w:type="spellEnd"/>
      <w:r w:rsidRPr="00A07F29">
        <w:rPr>
          <w:rFonts w:ascii="Times New Roman" w:eastAsia="Calibri" w:hAnsi="Times New Roman" w:cs="Times New Roman"/>
          <w:sz w:val="24"/>
          <w:szCs w:val="24"/>
        </w:rPr>
        <w:t xml:space="preserve"> puplaksis </w:t>
      </w:r>
      <w:proofErr w:type="spellStart"/>
      <w:r w:rsidRPr="00A07F29">
        <w:rPr>
          <w:rFonts w:ascii="Times New Roman" w:eastAsia="Calibri" w:hAnsi="Times New Roman" w:cs="Times New Roman"/>
          <w:i/>
          <w:iCs/>
          <w:sz w:val="24"/>
          <w:szCs w:val="24"/>
        </w:rPr>
        <w:t>Menyanthes</w:t>
      </w:r>
      <w:proofErr w:type="spellEnd"/>
      <w:r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trifoliata</w:t>
      </w:r>
      <w:proofErr w:type="spellEnd"/>
      <w:r w:rsidRPr="00A07F29">
        <w:rPr>
          <w:rFonts w:ascii="Times New Roman" w:eastAsia="Calibri" w:hAnsi="Times New Roman" w:cs="Times New Roman"/>
          <w:sz w:val="24"/>
          <w:szCs w:val="24"/>
        </w:rPr>
        <w:t xml:space="preserve">, parastā </w:t>
      </w:r>
      <w:proofErr w:type="spellStart"/>
      <w:r w:rsidRPr="00A07F29">
        <w:rPr>
          <w:rFonts w:ascii="Times New Roman" w:eastAsia="Calibri" w:hAnsi="Times New Roman" w:cs="Times New Roman"/>
          <w:sz w:val="24"/>
          <w:szCs w:val="24"/>
        </w:rPr>
        <w:t>purvpaparde</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i/>
          <w:iCs/>
          <w:sz w:val="24"/>
          <w:szCs w:val="24"/>
        </w:rPr>
        <w:t>Thelypteris</w:t>
      </w:r>
      <w:proofErr w:type="spellEnd"/>
      <w:r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palustris</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pūkaugļu</w:t>
      </w:r>
      <w:proofErr w:type="spellEnd"/>
      <w:r w:rsidRPr="00A07F29">
        <w:rPr>
          <w:rFonts w:ascii="Times New Roman" w:eastAsia="Calibri" w:hAnsi="Times New Roman" w:cs="Times New Roman"/>
          <w:sz w:val="24"/>
          <w:szCs w:val="24"/>
        </w:rPr>
        <w:t xml:space="preserve"> grīslis </w:t>
      </w:r>
      <w:proofErr w:type="spellStart"/>
      <w:r w:rsidRPr="00A07F29">
        <w:rPr>
          <w:rFonts w:ascii="Times New Roman" w:eastAsia="Calibri" w:hAnsi="Times New Roman" w:cs="Times New Roman"/>
          <w:i/>
          <w:iCs/>
          <w:sz w:val="24"/>
          <w:szCs w:val="24"/>
        </w:rPr>
        <w:t>Carex</w:t>
      </w:r>
      <w:proofErr w:type="spellEnd"/>
      <w:r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lasiocarpa</w:t>
      </w:r>
      <w:proofErr w:type="spellEnd"/>
      <w:r w:rsidRPr="00A07F29">
        <w:rPr>
          <w:rFonts w:ascii="Times New Roman" w:eastAsia="Calibri" w:hAnsi="Times New Roman" w:cs="Times New Roman"/>
          <w:sz w:val="24"/>
          <w:szCs w:val="24"/>
        </w:rPr>
        <w:t xml:space="preserve">, uzpūstais grīslis </w:t>
      </w:r>
      <w:proofErr w:type="spellStart"/>
      <w:r w:rsidRPr="00A07F29">
        <w:rPr>
          <w:rFonts w:ascii="Times New Roman" w:eastAsia="Calibri" w:hAnsi="Times New Roman" w:cs="Times New Roman"/>
          <w:i/>
          <w:iCs/>
          <w:sz w:val="24"/>
          <w:szCs w:val="24"/>
        </w:rPr>
        <w:t>Carex</w:t>
      </w:r>
      <w:proofErr w:type="spellEnd"/>
      <w:r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rostrata</w:t>
      </w:r>
      <w:proofErr w:type="spellEnd"/>
      <w:r w:rsidRPr="00A07F29">
        <w:rPr>
          <w:rFonts w:ascii="Times New Roman" w:eastAsia="Calibri" w:hAnsi="Times New Roman" w:cs="Times New Roman"/>
          <w:sz w:val="24"/>
          <w:szCs w:val="24"/>
        </w:rPr>
        <w:t xml:space="preserve">, vietām sugu daudzveidība ir ļoti liela un augājs ir </w:t>
      </w:r>
      <w:proofErr w:type="spellStart"/>
      <w:r w:rsidRPr="00A07F29">
        <w:rPr>
          <w:rFonts w:ascii="Times New Roman" w:eastAsia="Calibri" w:hAnsi="Times New Roman" w:cs="Times New Roman"/>
          <w:sz w:val="24"/>
          <w:szCs w:val="24"/>
        </w:rPr>
        <w:t>polidominants</w:t>
      </w:r>
      <w:proofErr w:type="spellEnd"/>
      <w:r w:rsidRPr="00A07F29">
        <w:rPr>
          <w:rFonts w:ascii="Times New Roman" w:eastAsia="Calibri" w:hAnsi="Times New Roman" w:cs="Times New Roman"/>
          <w:sz w:val="24"/>
          <w:szCs w:val="24"/>
        </w:rPr>
        <w:t>.</w:t>
      </w:r>
    </w:p>
    <w:p w14:paraId="0E4A067E" w14:textId="201D0FCE" w:rsidR="002B1603" w:rsidRPr="00A07F29" w:rsidRDefault="002B1603" w:rsidP="00EE6FEB">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Lai arī šis biotops AAA </w:t>
      </w:r>
      <w:r w:rsidR="00637235">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Augšdaugava” teritorijā konstatēts </w:t>
      </w:r>
      <w:r w:rsidR="00A82E5F" w:rsidRPr="00A07F29">
        <w:rPr>
          <w:rFonts w:ascii="Times New Roman" w:eastAsia="Calibri" w:hAnsi="Times New Roman" w:cs="Times New Roman"/>
          <w:sz w:val="24"/>
          <w:szCs w:val="24"/>
        </w:rPr>
        <w:t xml:space="preserve">tikai </w:t>
      </w:r>
      <w:r w:rsidRPr="00A07F29">
        <w:rPr>
          <w:rFonts w:ascii="Times New Roman" w:eastAsia="Calibri" w:hAnsi="Times New Roman" w:cs="Times New Roman"/>
          <w:sz w:val="24"/>
          <w:szCs w:val="24"/>
        </w:rPr>
        <w:t>49,</w:t>
      </w:r>
      <w:r w:rsidR="00D04A30" w:rsidRPr="00A07F29">
        <w:rPr>
          <w:rFonts w:ascii="Times New Roman" w:eastAsia="Calibri" w:hAnsi="Times New Roman" w:cs="Times New Roman"/>
          <w:sz w:val="24"/>
          <w:szCs w:val="24"/>
        </w:rPr>
        <w:t>35</w:t>
      </w:r>
      <w:r w:rsidR="00637235">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ha platībā, tajā koncentrējas daudzu aizsargājamo augu atradnes. Vairāku reto orhideju sugām – </w:t>
      </w:r>
      <w:proofErr w:type="spellStart"/>
      <w:r w:rsidRPr="00A07F29">
        <w:rPr>
          <w:rFonts w:ascii="Times New Roman" w:eastAsia="Calibri" w:hAnsi="Times New Roman" w:cs="Times New Roman"/>
          <w:sz w:val="24"/>
          <w:szCs w:val="24"/>
        </w:rPr>
        <w:t>Lēzeļa</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liparei</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i/>
          <w:iCs/>
          <w:sz w:val="24"/>
          <w:szCs w:val="24"/>
        </w:rPr>
        <w:t>Liparis</w:t>
      </w:r>
      <w:proofErr w:type="spellEnd"/>
      <w:r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loeselii</w:t>
      </w:r>
      <w:proofErr w:type="spellEnd"/>
      <w:r w:rsidRPr="00A07F29">
        <w:rPr>
          <w:rFonts w:ascii="Times New Roman" w:eastAsia="Calibri" w:hAnsi="Times New Roman" w:cs="Times New Roman"/>
          <w:sz w:val="24"/>
          <w:szCs w:val="24"/>
        </w:rPr>
        <w:t xml:space="preserve">, purva </w:t>
      </w:r>
      <w:proofErr w:type="spellStart"/>
      <w:r w:rsidRPr="00A07F29">
        <w:rPr>
          <w:rFonts w:ascii="Times New Roman" w:eastAsia="Calibri" w:hAnsi="Times New Roman" w:cs="Times New Roman"/>
          <w:sz w:val="24"/>
          <w:szCs w:val="24"/>
        </w:rPr>
        <w:t>sūnenei</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i/>
          <w:iCs/>
          <w:sz w:val="24"/>
          <w:szCs w:val="24"/>
        </w:rPr>
        <w:t>Hammarbya</w:t>
      </w:r>
      <w:proofErr w:type="spellEnd"/>
      <w:r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paludosa</w:t>
      </w:r>
      <w:proofErr w:type="spellEnd"/>
      <w:r w:rsidRPr="00A07F29">
        <w:rPr>
          <w:rFonts w:ascii="Times New Roman" w:eastAsia="Calibri" w:hAnsi="Times New Roman" w:cs="Times New Roman"/>
          <w:sz w:val="24"/>
          <w:szCs w:val="24"/>
        </w:rPr>
        <w:t xml:space="preserve">, purvāju </w:t>
      </w:r>
      <w:proofErr w:type="spellStart"/>
      <w:r w:rsidRPr="00A07F29">
        <w:rPr>
          <w:rFonts w:ascii="Times New Roman" w:eastAsia="Calibri" w:hAnsi="Times New Roman" w:cs="Times New Roman"/>
          <w:sz w:val="24"/>
          <w:szCs w:val="24"/>
        </w:rPr>
        <w:t>vienlapei</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i/>
          <w:iCs/>
          <w:sz w:val="24"/>
          <w:szCs w:val="24"/>
        </w:rPr>
        <w:t>Malaxis</w:t>
      </w:r>
      <w:proofErr w:type="spellEnd"/>
      <w:r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monophyllos</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trejdaivu</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koraļļsaknei</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i/>
          <w:iCs/>
          <w:sz w:val="24"/>
          <w:szCs w:val="24"/>
        </w:rPr>
        <w:t>Corallorhiza</w:t>
      </w:r>
      <w:proofErr w:type="spellEnd"/>
      <w:r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trifida</w:t>
      </w:r>
      <w:proofErr w:type="spellEnd"/>
      <w:r w:rsidRPr="00A07F29">
        <w:rPr>
          <w:rFonts w:ascii="Times New Roman" w:eastAsia="Calibri" w:hAnsi="Times New Roman" w:cs="Times New Roman"/>
          <w:sz w:val="24"/>
          <w:szCs w:val="24"/>
        </w:rPr>
        <w:t xml:space="preserve">, kā arī slaidajai spilvei </w:t>
      </w:r>
      <w:proofErr w:type="spellStart"/>
      <w:r w:rsidRPr="00A07F29">
        <w:rPr>
          <w:rFonts w:ascii="Times New Roman" w:eastAsia="Calibri" w:hAnsi="Times New Roman" w:cs="Times New Roman"/>
          <w:i/>
          <w:iCs/>
          <w:sz w:val="24"/>
          <w:szCs w:val="24"/>
        </w:rPr>
        <w:t>Eriophorum</w:t>
      </w:r>
      <w:proofErr w:type="spellEnd"/>
      <w:r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gracile</w:t>
      </w:r>
      <w:proofErr w:type="spellEnd"/>
      <w:r w:rsidRPr="00A07F29">
        <w:rPr>
          <w:rFonts w:ascii="Times New Roman" w:eastAsia="Calibri" w:hAnsi="Times New Roman" w:cs="Times New Roman"/>
          <w:sz w:val="24"/>
          <w:szCs w:val="24"/>
        </w:rPr>
        <w:t xml:space="preserve"> un </w:t>
      </w:r>
      <w:proofErr w:type="spellStart"/>
      <w:r w:rsidRPr="00A07F29">
        <w:rPr>
          <w:rFonts w:ascii="Times New Roman" w:eastAsia="Calibri" w:hAnsi="Times New Roman" w:cs="Times New Roman"/>
          <w:sz w:val="24"/>
          <w:szCs w:val="24"/>
        </w:rPr>
        <w:t>biezlapu</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virzai</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i/>
          <w:iCs/>
          <w:sz w:val="24"/>
          <w:szCs w:val="24"/>
        </w:rPr>
        <w:t>Stellaria</w:t>
      </w:r>
      <w:proofErr w:type="spellEnd"/>
      <w:r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crassifolia</w:t>
      </w:r>
      <w:proofErr w:type="spellEnd"/>
      <w:r w:rsidRPr="00A07F29">
        <w:rPr>
          <w:rFonts w:ascii="Times New Roman" w:eastAsia="Calibri" w:hAnsi="Times New Roman" w:cs="Times New Roman"/>
          <w:sz w:val="24"/>
          <w:szCs w:val="24"/>
        </w:rPr>
        <w:t xml:space="preserve"> tās ir galvenās dzīvotnes AAA “Augšdaugava”. Biotops 7140</w:t>
      </w:r>
      <w:r w:rsidR="002C7C29">
        <w:rPr>
          <w:rFonts w:ascii="Times New Roman" w:eastAsia="Calibri" w:hAnsi="Times New Roman" w:cs="Times New Roman"/>
          <w:sz w:val="24"/>
          <w:szCs w:val="24"/>
        </w:rPr>
        <w:t> </w:t>
      </w:r>
      <w:r w:rsidRPr="00A07F29">
        <w:rPr>
          <w:rFonts w:ascii="Times New Roman" w:eastAsia="Calibri" w:hAnsi="Times New Roman" w:cs="Times New Roman"/>
          <w:i/>
          <w:iCs/>
          <w:sz w:val="24"/>
          <w:szCs w:val="24"/>
        </w:rPr>
        <w:t>Pārejas purvi un slīkšņas</w:t>
      </w:r>
      <w:r w:rsidRPr="00A07F29">
        <w:rPr>
          <w:rFonts w:ascii="Times New Roman" w:eastAsia="Calibri" w:hAnsi="Times New Roman" w:cs="Times New Roman"/>
          <w:sz w:val="24"/>
          <w:szCs w:val="24"/>
        </w:rPr>
        <w:t xml:space="preserve"> ir vienīgā dzīvotne šajā teritorijā konstatētajām retajām sūnu sugām, piemēram, spurainajai </w:t>
      </w:r>
      <w:proofErr w:type="spellStart"/>
      <w:r w:rsidRPr="00A07F29">
        <w:rPr>
          <w:rFonts w:ascii="Times New Roman" w:eastAsia="Calibri" w:hAnsi="Times New Roman" w:cs="Times New Roman"/>
          <w:sz w:val="24"/>
          <w:szCs w:val="24"/>
        </w:rPr>
        <w:t>dzīparenei</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i/>
          <w:iCs/>
          <w:sz w:val="24"/>
          <w:szCs w:val="24"/>
        </w:rPr>
        <w:t>Paludella</w:t>
      </w:r>
      <w:proofErr w:type="spellEnd"/>
      <w:r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squarrosa</w:t>
      </w:r>
      <w:proofErr w:type="spellEnd"/>
      <w:r w:rsidRPr="00A07F29">
        <w:rPr>
          <w:rFonts w:ascii="Times New Roman" w:eastAsia="Calibri" w:hAnsi="Times New Roman" w:cs="Times New Roman"/>
          <w:sz w:val="24"/>
          <w:szCs w:val="24"/>
        </w:rPr>
        <w:t>,</w:t>
      </w:r>
      <w:r w:rsidR="00D65BBA" w:rsidRPr="00A07F29">
        <w:rPr>
          <w:rFonts w:ascii="Times New Roman" w:eastAsia="Calibri" w:hAnsi="Times New Roman" w:cs="Times New Roman"/>
          <w:sz w:val="24"/>
          <w:szCs w:val="24"/>
        </w:rPr>
        <w:t xml:space="preserve"> </w:t>
      </w:r>
      <w:r w:rsidRPr="00A07F29">
        <w:rPr>
          <w:rFonts w:ascii="Times New Roman" w:eastAsia="Calibri" w:hAnsi="Times New Roman" w:cs="Times New Roman"/>
          <w:sz w:val="24"/>
          <w:szCs w:val="24"/>
        </w:rPr>
        <w:t>kā arī</w:t>
      </w:r>
      <w:r w:rsidR="00D65BBA" w:rsidRPr="00A07F29">
        <w:rPr>
          <w:rFonts w:ascii="Times New Roman" w:eastAsia="Calibri" w:hAnsi="Times New Roman" w:cs="Times New Roman"/>
          <w:sz w:val="24"/>
          <w:szCs w:val="24"/>
        </w:rPr>
        <w:t xml:space="preserve"> </w:t>
      </w:r>
      <w:r w:rsidR="00013590" w:rsidRPr="00A07F29">
        <w:rPr>
          <w:rFonts w:ascii="Times New Roman" w:eastAsia="Calibri" w:hAnsi="Times New Roman" w:cs="Times New Roman"/>
          <w:sz w:val="24"/>
          <w:szCs w:val="24"/>
        </w:rPr>
        <w:t>Biotopu direktīva</w:t>
      </w:r>
      <w:r w:rsidRPr="00A07F29">
        <w:rPr>
          <w:rFonts w:ascii="Times New Roman" w:eastAsia="Calibri" w:hAnsi="Times New Roman" w:cs="Times New Roman"/>
          <w:sz w:val="24"/>
          <w:szCs w:val="24"/>
        </w:rPr>
        <w:t>s II un IV pielikuma sugai –</w:t>
      </w:r>
      <w:r w:rsidR="00D65BBA" w:rsidRPr="00A07F29">
        <w:rPr>
          <w:rFonts w:ascii="Times New Roman" w:eastAsia="Calibri" w:hAnsi="Times New Roman" w:cs="Times New Roman"/>
          <w:sz w:val="24"/>
          <w:szCs w:val="24"/>
        </w:rPr>
        <w:t xml:space="preserve"> </w:t>
      </w:r>
      <w:r w:rsidRPr="00A07F29">
        <w:rPr>
          <w:rFonts w:ascii="Times New Roman" w:eastAsia="Calibri" w:hAnsi="Times New Roman" w:cs="Times New Roman"/>
          <w:sz w:val="24"/>
          <w:szCs w:val="24"/>
        </w:rPr>
        <w:t xml:space="preserve">spīdīgajai </w:t>
      </w:r>
      <w:proofErr w:type="spellStart"/>
      <w:r w:rsidRPr="00A07F29">
        <w:rPr>
          <w:rFonts w:ascii="Times New Roman" w:eastAsia="Calibri" w:hAnsi="Times New Roman" w:cs="Times New Roman"/>
          <w:sz w:val="24"/>
          <w:szCs w:val="24"/>
        </w:rPr>
        <w:t>āķītei</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i/>
          <w:iCs/>
          <w:sz w:val="24"/>
          <w:szCs w:val="24"/>
        </w:rPr>
        <w:t>Hamatocaulis</w:t>
      </w:r>
      <w:proofErr w:type="spellEnd"/>
      <w:r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vernicosus</w:t>
      </w:r>
      <w:proofErr w:type="spellEnd"/>
      <w:r w:rsidRPr="00A07F29">
        <w:rPr>
          <w:rFonts w:ascii="Times New Roman" w:eastAsia="Calibri" w:hAnsi="Times New Roman" w:cs="Times New Roman"/>
          <w:sz w:val="24"/>
          <w:szCs w:val="24"/>
        </w:rPr>
        <w:t>. Biotopa 7140</w:t>
      </w:r>
      <w:r w:rsidR="00004BAB">
        <w:rPr>
          <w:rFonts w:ascii="Times New Roman" w:eastAsia="Calibri" w:hAnsi="Times New Roman" w:cs="Times New Roman"/>
          <w:sz w:val="24"/>
          <w:szCs w:val="24"/>
        </w:rPr>
        <w:t> </w:t>
      </w:r>
      <w:r w:rsidRPr="00A07F29">
        <w:rPr>
          <w:rFonts w:ascii="Times New Roman" w:eastAsia="Calibri" w:hAnsi="Times New Roman" w:cs="Times New Roman"/>
          <w:i/>
          <w:iCs/>
          <w:sz w:val="24"/>
          <w:szCs w:val="24"/>
        </w:rPr>
        <w:t>Pārejas purvi un slīkšņas</w:t>
      </w:r>
      <w:r w:rsidRPr="00A07F29">
        <w:rPr>
          <w:rFonts w:ascii="Times New Roman" w:eastAsia="Calibri" w:hAnsi="Times New Roman" w:cs="Times New Roman"/>
          <w:sz w:val="24"/>
          <w:szCs w:val="24"/>
        </w:rPr>
        <w:t xml:space="preserve"> vitalitāte teritorijā vērtējama kā laba, jo zināmie pārejas purvu un slīkšņu biotopi ir ar daudzveidīgu, sugām bagātu raksturojošo sugu sastāvu un struktūru, tomēr </w:t>
      </w:r>
      <w:r w:rsidR="00EE6FEB" w:rsidRPr="00A07F29">
        <w:rPr>
          <w:rFonts w:ascii="Times New Roman" w:eastAsia="Calibri" w:hAnsi="Times New Roman" w:cs="Times New Roman"/>
          <w:sz w:val="24"/>
          <w:szCs w:val="24"/>
        </w:rPr>
        <w:t>šo biotopu negatīvi ietekmē aizaugšana ar niedrēm, k</w:t>
      </w:r>
      <w:r w:rsidR="00004BAB">
        <w:rPr>
          <w:rFonts w:ascii="Times New Roman" w:eastAsia="Calibri" w:hAnsi="Times New Roman" w:cs="Times New Roman"/>
          <w:sz w:val="24"/>
          <w:szCs w:val="24"/>
        </w:rPr>
        <w:t>ā</w:t>
      </w:r>
      <w:r w:rsidR="00EE6FEB" w:rsidRPr="00A07F29">
        <w:rPr>
          <w:rFonts w:ascii="Times New Roman" w:eastAsia="Calibri" w:hAnsi="Times New Roman" w:cs="Times New Roman"/>
          <w:sz w:val="24"/>
          <w:szCs w:val="24"/>
        </w:rPr>
        <w:t xml:space="preserve"> arī ūde</w:t>
      </w:r>
      <w:r w:rsidR="00004BAB">
        <w:rPr>
          <w:rFonts w:ascii="Times New Roman" w:eastAsia="Calibri" w:hAnsi="Times New Roman" w:cs="Times New Roman"/>
          <w:sz w:val="24"/>
          <w:szCs w:val="24"/>
        </w:rPr>
        <w:t>ns</w:t>
      </w:r>
      <w:r w:rsidR="00EE6FEB" w:rsidRPr="00A07F29">
        <w:rPr>
          <w:rFonts w:ascii="Times New Roman" w:eastAsia="Calibri" w:hAnsi="Times New Roman" w:cs="Times New Roman"/>
          <w:sz w:val="24"/>
          <w:szCs w:val="24"/>
        </w:rPr>
        <w:t xml:space="preserve"> līmeņa paaugstināšan</w:t>
      </w:r>
      <w:r w:rsidR="0047660D">
        <w:rPr>
          <w:rFonts w:ascii="Times New Roman" w:eastAsia="Calibri" w:hAnsi="Times New Roman" w:cs="Times New Roman"/>
          <w:sz w:val="24"/>
          <w:szCs w:val="24"/>
        </w:rPr>
        <w:t>a</w:t>
      </w:r>
      <w:r w:rsidR="00EE6FEB" w:rsidRPr="00A07F29">
        <w:rPr>
          <w:rFonts w:ascii="Times New Roman" w:eastAsia="Calibri" w:hAnsi="Times New Roman" w:cs="Times New Roman"/>
          <w:sz w:val="24"/>
          <w:szCs w:val="24"/>
        </w:rPr>
        <w:t xml:space="preserve"> bebru darbības ietekmē. Bebru darbības</w:t>
      </w:r>
      <w:r w:rsidR="0047660D">
        <w:rPr>
          <w:rFonts w:ascii="Times New Roman" w:eastAsia="Calibri" w:hAnsi="Times New Roman" w:cs="Times New Roman"/>
          <w:sz w:val="24"/>
          <w:szCs w:val="24"/>
        </w:rPr>
        <w:t xml:space="preserve"> rezultātā</w:t>
      </w:r>
      <w:r w:rsidR="00EE6FEB" w:rsidRPr="00A07F29">
        <w:rPr>
          <w:rFonts w:ascii="Times New Roman" w:eastAsia="Calibri" w:hAnsi="Times New Roman" w:cs="Times New Roman"/>
          <w:sz w:val="24"/>
          <w:szCs w:val="24"/>
        </w:rPr>
        <w:t xml:space="preserve"> paaugstinātais līmenis negatīvi ietekmējis arī pārejas purvu ar dzeltenās akmeņlauzītes atradni</w:t>
      </w:r>
      <w:r w:rsidRPr="00A07F29">
        <w:rPr>
          <w:rFonts w:ascii="Times New Roman" w:eastAsia="Calibri" w:hAnsi="Times New Roman" w:cs="Times New Roman"/>
          <w:sz w:val="24"/>
          <w:szCs w:val="24"/>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9"/>
        <w:gridCol w:w="1985"/>
      </w:tblGrid>
      <w:tr w:rsidR="00EE6FEB" w:rsidRPr="00A07F29" w14:paraId="7CF52512" w14:textId="77777777" w:rsidTr="63C42FA1">
        <w:trPr>
          <w:jc w:val="center"/>
        </w:trPr>
        <w:tc>
          <w:tcPr>
            <w:tcW w:w="4672" w:type="dxa"/>
          </w:tcPr>
          <w:p w14:paraId="7D5811C9" w14:textId="754616A3" w:rsidR="00EE6FEB" w:rsidRPr="00A07F29" w:rsidRDefault="00EE6FEB" w:rsidP="00DA2AE3">
            <w:pPr>
              <w:spacing w:after="120"/>
              <w:jc w:val="both"/>
              <w:rPr>
                <w:rFonts w:ascii="Times New Roman" w:eastAsia="Calibri" w:hAnsi="Times New Roman" w:cs="Times New Roman"/>
                <w:sz w:val="24"/>
                <w:szCs w:val="24"/>
              </w:rPr>
            </w:pPr>
            <w:r w:rsidRPr="00A07F29">
              <w:rPr>
                <w:noProof/>
                <w:lang w:eastAsia="lv-LV"/>
              </w:rPr>
              <w:lastRenderedPageBreak/>
              <w:drawing>
                <wp:inline distT="0" distB="0" distL="0" distR="0" wp14:anchorId="1CDF655A" wp14:editId="173BD3E9">
                  <wp:extent cx="4542170" cy="3406140"/>
                  <wp:effectExtent l="0" t="0" r="0" b="3810"/>
                  <wp:docPr id="9181455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55">
                            <a:extLst>
                              <a:ext uri="{28A0092B-C50C-407E-A947-70E740481C1C}">
                                <a14:useLocalDpi xmlns:a14="http://schemas.microsoft.com/office/drawing/2010/main" val="0"/>
                              </a:ext>
                            </a:extLst>
                          </a:blip>
                          <a:stretch>
                            <a:fillRect/>
                          </a:stretch>
                        </pic:blipFill>
                        <pic:spPr>
                          <a:xfrm>
                            <a:off x="0" y="0"/>
                            <a:ext cx="4542170" cy="3406140"/>
                          </a:xfrm>
                          <a:prstGeom prst="rect">
                            <a:avLst/>
                          </a:prstGeom>
                        </pic:spPr>
                      </pic:pic>
                    </a:graphicData>
                  </a:graphic>
                </wp:inline>
              </w:drawing>
            </w:r>
          </w:p>
        </w:tc>
        <w:tc>
          <w:tcPr>
            <w:tcW w:w="4672" w:type="dxa"/>
            <w:vAlign w:val="bottom"/>
          </w:tcPr>
          <w:p w14:paraId="36AF44F4" w14:textId="2DBC12B2" w:rsidR="00EE6FEB" w:rsidRPr="00E4063B" w:rsidRDefault="00EE6FEB" w:rsidP="00DA2AE3">
            <w:pPr>
              <w:spacing w:after="120"/>
              <w:jc w:val="both"/>
              <w:rPr>
                <w:rFonts w:ascii="Times New Roman" w:eastAsia="Calibri" w:hAnsi="Times New Roman" w:cs="Times New Roman"/>
                <w:sz w:val="20"/>
                <w:szCs w:val="20"/>
              </w:rPr>
            </w:pPr>
            <w:r w:rsidRPr="00E4063B">
              <w:rPr>
                <w:rFonts w:ascii="Times New Roman" w:eastAsia="Calibri" w:hAnsi="Times New Roman" w:cs="Times New Roman"/>
                <w:sz w:val="20"/>
                <w:szCs w:val="20"/>
              </w:rPr>
              <w:t>4.3.5.1.</w:t>
            </w:r>
            <w:r w:rsidR="00E4063B" w:rsidRPr="00E4063B">
              <w:rPr>
                <w:rFonts w:ascii="Times New Roman" w:eastAsia="Calibri" w:hAnsi="Times New Roman" w:cs="Times New Roman"/>
                <w:sz w:val="20"/>
                <w:szCs w:val="20"/>
              </w:rPr>
              <w:t> </w:t>
            </w:r>
            <w:r w:rsidRPr="00E4063B">
              <w:rPr>
                <w:rFonts w:ascii="Times New Roman" w:eastAsia="Calibri" w:hAnsi="Times New Roman" w:cs="Times New Roman"/>
                <w:sz w:val="20"/>
                <w:szCs w:val="20"/>
              </w:rPr>
              <w:t>att</w:t>
            </w:r>
            <w:r w:rsidR="00E4063B" w:rsidRPr="00E4063B">
              <w:rPr>
                <w:rFonts w:ascii="Times New Roman" w:eastAsia="Calibri" w:hAnsi="Times New Roman" w:cs="Times New Roman"/>
                <w:sz w:val="20"/>
                <w:szCs w:val="20"/>
              </w:rPr>
              <w:t>ēls</w:t>
            </w:r>
            <w:r w:rsidRPr="00E4063B">
              <w:rPr>
                <w:rFonts w:ascii="Times New Roman" w:eastAsia="Calibri" w:hAnsi="Times New Roman" w:cs="Times New Roman"/>
                <w:sz w:val="20"/>
                <w:szCs w:val="20"/>
              </w:rPr>
              <w:t>. Sugām bagāti 7140</w:t>
            </w:r>
            <w:r w:rsidR="00E4063B" w:rsidRPr="00E4063B">
              <w:rPr>
                <w:rFonts w:ascii="Times New Roman" w:eastAsia="Calibri" w:hAnsi="Times New Roman" w:cs="Times New Roman"/>
                <w:sz w:val="20"/>
                <w:szCs w:val="20"/>
              </w:rPr>
              <w:t> </w:t>
            </w:r>
            <w:r w:rsidRPr="00E4063B">
              <w:rPr>
                <w:rFonts w:ascii="Times New Roman" w:eastAsia="Calibri" w:hAnsi="Times New Roman" w:cs="Times New Roman"/>
                <w:i/>
                <w:sz w:val="20"/>
                <w:szCs w:val="20"/>
              </w:rPr>
              <w:t>Pārejas purvi un slīkšņas</w:t>
            </w:r>
            <w:r w:rsidRPr="00E4063B">
              <w:rPr>
                <w:rFonts w:ascii="Times New Roman" w:eastAsia="Calibri" w:hAnsi="Times New Roman" w:cs="Times New Roman"/>
                <w:sz w:val="20"/>
                <w:szCs w:val="20"/>
              </w:rPr>
              <w:t xml:space="preserve"> pie Ceplīšiem (Foto: P</w:t>
            </w:r>
            <w:r w:rsidR="00E4063B" w:rsidRPr="00E4063B">
              <w:rPr>
                <w:rFonts w:ascii="Times New Roman" w:eastAsia="Calibri" w:hAnsi="Times New Roman" w:cs="Times New Roman"/>
                <w:sz w:val="20"/>
                <w:szCs w:val="20"/>
              </w:rPr>
              <w:t>. </w:t>
            </w:r>
            <w:proofErr w:type="spellStart"/>
            <w:r w:rsidRPr="00E4063B">
              <w:rPr>
                <w:rFonts w:ascii="Times New Roman" w:eastAsia="Calibri" w:hAnsi="Times New Roman" w:cs="Times New Roman"/>
                <w:sz w:val="20"/>
                <w:szCs w:val="20"/>
              </w:rPr>
              <w:t>Evarts-Bunders</w:t>
            </w:r>
            <w:proofErr w:type="spellEnd"/>
            <w:r w:rsidRPr="00E4063B">
              <w:rPr>
                <w:rFonts w:ascii="Times New Roman" w:eastAsia="Calibri" w:hAnsi="Times New Roman" w:cs="Times New Roman"/>
                <w:sz w:val="20"/>
                <w:szCs w:val="20"/>
              </w:rPr>
              <w:t>)</w:t>
            </w:r>
          </w:p>
        </w:tc>
      </w:tr>
    </w:tbl>
    <w:p w14:paraId="018AE0F5" w14:textId="5C848C29" w:rsidR="002B1603" w:rsidRPr="00A07F29" w:rsidRDefault="002B1603" w:rsidP="00EE6FEB">
      <w:pPr>
        <w:keepNext/>
        <w:spacing w:before="240" w:after="120" w:line="240" w:lineRule="auto"/>
        <w:jc w:val="both"/>
        <w:rPr>
          <w:rFonts w:ascii="Times New Roman" w:eastAsia="Calibri" w:hAnsi="Times New Roman" w:cs="Times New Roman"/>
          <w:b/>
          <w:sz w:val="24"/>
          <w:szCs w:val="24"/>
        </w:rPr>
      </w:pPr>
      <w:r w:rsidRPr="00A07F29">
        <w:rPr>
          <w:rFonts w:ascii="Times New Roman" w:eastAsia="Calibri" w:hAnsi="Times New Roman" w:cs="Times New Roman"/>
          <w:b/>
          <w:sz w:val="24"/>
          <w:szCs w:val="24"/>
        </w:rPr>
        <w:t xml:space="preserve">7160 </w:t>
      </w:r>
      <w:r w:rsidRPr="00A07F29">
        <w:rPr>
          <w:rFonts w:ascii="Times New Roman" w:eastAsia="Calibri" w:hAnsi="Times New Roman" w:cs="Times New Roman"/>
          <w:b/>
          <w:i/>
          <w:sz w:val="24"/>
          <w:szCs w:val="24"/>
        </w:rPr>
        <w:t>Minerālvielām bagāti avoti un avotu purvi</w:t>
      </w:r>
    </w:p>
    <w:p w14:paraId="2C98009F" w14:textId="1389E179" w:rsidR="002B1603" w:rsidRPr="00A07F29" w:rsidRDefault="002B1603" w:rsidP="00EE6FEB">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shd w:val="clear" w:color="auto" w:fill="FFFFFF"/>
        </w:rPr>
        <w:t xml:space="preserve">AAA </w:t>
      </w:r>
      <w:r w:rsidR="00DF4B22">
        <w:rPr>
          <w:rFonts w:ascii="Times New Roman" w:eastAsia="Calibri" w:hAnsi="Times New Roman" w:cs="Times New Roman"/>
          <w:sz w:val="24"/>
          <w:szCs w:val="24"/>
          <w:shd w:val="clear" w:color="auto" w:fill="FFFFFF"/>
        </w:rPr>
        <w:t>“</w:t>
      </w:r>
      <w:r w:rsidRPr="00A07F29">
        <w:rPr>
          <w:rFonts w:ascii="Times New Roman" w:eastAsia="Calibri" w:hAnsi="Times New Roman" w:cs="Times New Roman"/>
          <w:sz w:val="24"/>
          <w:szCs w:val="24"/>
          <w:shd w:val="clear" w:color="auto" w:fill="FFFFFF"/>
        </w:rPr>
        <w:t xml:space="preserve">Augšdaugava” teritorijā biotops </w:t>
      </w:r>
      <w:r w:rsidRPr="00A07F29">
        <w:rPr>
          <w:rFonts w:ascii="Times New Roman" w:eastAsia="Calibri" w:hAnsi="Times New Roman" w:cs="Times New Roman"/>
          <w:bCs/>
          <w:sz w:val="24"/>
          <w:szCs w:val="24"/>
        </w:rPr>
        <w:t>7160</w:t>
      </w:r>
      <w:r w:rsidR="00DF4B22">
        <w:rPr>
          <w:rFonts w:ascii="Times New Roman" w:eastAsia="Calibri" w:hAnsi="Times New Roman" w:cs="Times New Roman"/>
          <w:bCs/>
          <w:sz w:val="24"/>
          <w:szCs w:val="24"/>
        </w:rPr>
        <w:t> </w:t>
      </w:r>
      <w:r w:rsidRPr="00A07F29">
        <w:rPr>
          <w:rFonts w:ascii="Times New Roman" w:eastAsia="Calibri" w:hAnsi="Times New Roman" w:cs="Times New Roman"/>
          <w:bCs/>
          <w:i/>
          <w:iCs/>
          <w:sz w:val="24"/>
          <w:szCs w:val="24"/>
        </w:rPr>
        <w:t>Minerālvielām bagāti avoti un avotu purvi</w:t>
      </w:r>
      <w:r w:rsidRPr="00A07F29">
        <w:rPr>
          <w:rFonts w:ascii="Times New Roman" w:eastAsia="Calibri" w:hAnsi="Times New Roman" w:cs="Times New Roman"/>
          <w:sz w:val="24"/>
          <w:szCs w:val="24"/>
          <w:shd w:val="clear" w:color="auto" w:fill="FFFFFF"/>
        </w:rPr>
        <w:t xml:space="preserve"> </w:t>
      </w:r>
      <w:r w:rsidR="00DA2AE3" w:rsidRPr="00A07F29">
        <w:rPr>
          <w:rFonts w:ascii="Times New Roman" w:eastAsia="Calibri" w:hAnsi="Times New Roman" w:cs="Times New Roman"/>
          <w:sz w:val="24"/>
          <w:szCs w:val="24"/>
          <w:shd w:val="clear" w:color="auto" w:fill="FFFFFF"/>
        </w:rPr>
        <w:t xml:space="preserve">konstatēts </w:t>
      </w:r>
      <w:r w:rsidRPr="00A07F29">
        <w:rPr>
          <w:rFonts w:ascii="Times New Roman" w:eastAsia="Calibri" w:hAnsi="Times New Roman" w:cs="Times New Roman"/>
          <w:sz w:val="24"/>
          <w:szCs w:val="24"/>
          <w:shd w:val="clear" w:color="auto" w:fill="FFFFFF"/>
        </w:rPr>
        <w:t>35 vietās 16,</w:t>
      </w:r>
      <w:r w:rsidR="00D571D7" w:rsidRPr="00A07F29">
        <w:rPr>
          <w:rFonts w:ascii="Times New Roman" w:eastAsia="Calibri" w:hAnsi="Times New Roman" w:cs="Times New Roman"/>
          <w:sz w:val="24"/>
          <w:szCs w:val="24"/>
          <w:shd w:val="clear" w:color="auto" w:fill="FFFFFF"/>
        </w:rPr>
        <w:t>2</w:t>
      </w:r>
      <w:r w:rsidR="00DF4B22">
        <w:rPr>
          <w:rFonts w:ascii="Times New Roman" w:eastAsia="Calibri" w:hAnsi="Times New Roman" w:cs="Times New Roman"/>
          <w:sz w:val="24"/>
          <w:szCs w:val="24"/>
          <w:shd w:val="clear" w:color="auto" w:fill="FFFFFF"/>
        </w:rPr>
        <w:t> </w:t>
      </w:r>
      <w:r w:rsidRPr="00A07F29">
        <w:rPr>
          <w:rFonts w:ascii="Times New Roman" w:eastAsia="Calibri" w:hAnsi="Times New Roman" w:cs="Times New Roman"/>
          <w:sz w:val="24"/>
          <w:szCs w:val="24"/>
          <w:shd w:val="clear" w:color="auto" w:fill="FFFFFF"/>
        </w:rPr>
        <w:t>ha platībā</w:t>
      </w:r>
      <w:r w:rsidRPr="00A07F29">
        <w:rPr>
          <w:rFonts w:ascii="Times New Roman" w:eastAsia="Calibri" w:hAnsi="Times New Roman" w:cs="Times New Roman"/>
          <w:sz w:val="24"/>
          <w:szCs w:val="24"/>
        </w:rPr>
        <w:t xml:space="preserve">. </w:t>
      </w:r>
      <w:r w:rsidRPr="00A07F29">
        <w:rPr>
          <w:rFonts w:ascii="Times New Roman" w:eastAsia="Calibri" w:hAnsi="Times New Roman" w:cs="Times New Roman"/>
          <w:sz w:val="24"/>
          <w:szCs w:val="24"/>
          <w:shd w:val="clear" w:color="auto" w:fill="FFFFFF"/>
        </w:rPr>
        <w:t>Daugavas, tās pieteku (</w:t>
      </w:r>
      <w:proofErr w:type="spellStart"/>
      <w:r w:rsidRPr="00A07F29">
        <w:rPr>
          <w:rFonts w:ascii="Times New Roman" w:eastAsia="Calibri" w:hAnsi="Times New Roman" w:cs="Times New Roman"/>
          <w:sz w:val="24"/>
          <w:szCs w:val="24"/>
          <w:shd w:val="clear" w:color="auto" w:fill="FFFFFF"/>
        </w:rPr>
        <w:t>Mālkalne</w:t>
      </w:r>
      <w:proofErr w:type="spellEnd"/>
      <w:r w:rsidRPr="00A07F29">
        <w:rPr>
          <w:rFonts w:ascii="Times New Roman" w:eastAsia="Calibri" w:hAnsi="Times New Roman" w:cs="Times New Roman"/>
          <w:sz w:val="24"/>
          <w:szCs w:val="24"/>
          <w:shd w:val="clear" w:color="auto" w:fill="FFFFFF"/>
        </w:rPr>
        <w:t xml:space="preserve">, </w:t>
      </w:r>
      <w:proofErr w:type="spellStart"/>
      <w:r w:rsidRPr="00A07F29">
        <w:rPr>
          <w:rFonts w:ascii="Times New Roman" w:eastAsia="Calibri" w:hAnsi="Times New Roman" w:cs="Times New Roman"/>
          <w:sz w:val="24"/>
          <w:szCs w:val="24"/>
          <w:shd w:val="clear" w:color="auto" w:fill="FFFFFF"/>
        </w:rPr>
        <w:t>Borne</w:t>
      </w:r>
      <w:proofErr w:type="spellEnd"/>
      <w:r w:rsidRPr="00A07F29">
        <w:rPr>
          <w:rFonts w:ascii="Times New Roman" w:eastAsia="Calibri" w:hAnsi="Times New Roman" w:cs="Times New Roman"/>
          <w:sz w:val="24"/>
          <w:szCs w:val="24"/>
          <w:shd w:val="clear" w:color="auto" w:fill="FFFFFF"/>
        </w:rPr>
        <w:t xml:space="preserve">, </w:t>
      </w:r>
      <w:proofErr w:type="spellStart"/>
      <w:r w:rsidRPr="00A07F29">
        <w:rPr>
          <w:rFonts w:ascii="Times New Roman" w:eastAsia="Calibri" w:hAnsi="Times New Roman" w:cs="Times New Roman"/>
          <w:sz w:val="24"/>
          <w:szCs w:val="24"/>
          <w:shd w:val="clear" w:color="auto" w:fill="FFFFFF"/>
        </w:rPr>
        <w:t>Rudņa</w:t>
      </w:r>
      <w:proofErr w:type="spellEnd"/>
      <w:r w:rsidRPr="00A07F29">
        <w:rPr>
          <w:rFonts w:ascii="Times New Roman" w:eastAsia="Calibri" w:hAnsi="Times New Roman" w:cs="Times New Roman"/>
          <w:sz w:val="24"/>
          <w:szCs w:val="24"/>
          <w:shd w:val="clear" w:color="auto" w:fill="FFFFFF"/>
        </w:rPr>
        <w:t xml:space="preserve">, Skaista, Stirna u.c.) un </w:t>
      </w:r>
      <w:proofErr w:type="spellStart"/>
      <w:r w:rsidRPr="00A07F29">
        <w:rPr>
          <w:rFonts w:ascii="Times New Roman" w:eastAsia="Calibri" w:hAnsi="Times New Roman" w:cs="Times New Roman"/>
          <w:sz w:val="24"/>
          <w:szCs w:val="24"/>
          <w:shd w:val="clear" w:color="auto" w:fill="FFFFFF"/>
        </w:rPr>
        <w:t>sānugravu</w:t>
      </w:r>
      <w:proofErr w:type="spellEnd"/>
      <w:r w:rsidRPr="00A07F29">
        <w:rPr>
          <w:rFonts w:ascii="Times New Roman" w:eastAsia="Calibri" w:hAnsi="Times New Roman" w:cs="Times New Roman"/>
          <w:sz w:val="24"/>
          <w:szCs w:val="24"/>
          <w:shd w:val="clear" w:color="auto" w:fill="FFFFFF"/>
        </w:rPr>
        <w:t xml:space="preserve"> nogāzēs un pakājē konstatētajiem minerālvielām bagāto avotu poligoniem raksturīgs samērā nabadzīgs un vienveidīgs </w:t>
      </w:r>
      <w:proofErr w:type="spellStart"/>
      <w:r w:rsidRPr="00A07F29">
        <w:rPr>
          <w:rFonts w:ascii="Times New Roman" w:eastAsia="Calibri" w:hAnsi="Times New Roman" w:cs="Times New Roman"/>
          <w:sz w:val="24"/>
          <w:szCs w:val="24"/>
          <w:shd w:val="clear" w:color="auto" w:fill="FFFFFF"/>
        </w:rPr>
        <w:t>vaskulāro</w:t>
      </w:r>
      <w:proofErr w:type="spellEnd"/>
      <w:r w:rsidRPr="00A07F29">
        <w:rPr>
          <w:rFonts w:ascii="Times New Roman" w:eastAsia="Calibri" w:hAnsi="Times New Roman" w:cs="Times New Roman"/>
          <w:sz w:val="24"/>
          <w:szCs w:val="24"/>
          <w:shd w:val="clear" w:color="auto" w:fill="FFFFFF"/>
        </w:rPr>
        <w:t xml:space="preserve"> augu sugu sastāvs – </w:t>
      </w:r>
      <w:proofErr w:type="spellStart"/>
      <w:r w:rsidRPr="00A07F29">
        <w:rPr>
          <w:rFonts w:ascii="Times New Roman" w:eastAsia="Calibri" w:hAnsi="Times New Roman" w:cs="Times New Roman"/>
          <w:sz w:val="24"/>
          <w:szCs w:val="24"/>
          <w:shd w:val="clear" w:color="auto" w:fill="FFFFFF"/>
        </w:rPr>
        <w:t>lēdzerkste</w:t>
      </w:r>
      <w:proofErr w:type="spellEnd"/>
      <w:r w:rsidRPr="00A07F29">
        <w:rPr>
          <w:rFonts w:ascii="Times New Roman" w:eastAsia="Calibri" w:hAnsi="Times New Roman" w:cs="Times New Roman"/>
          <w:sz w:val="24"/>
          <w:szCs w:val="24"/>
          <w:shd w:val="clear" w:color="auto" w:fill="FFFFFF"/>
        </w:rPr>
        <w:t xml:space="preserve"> </w:t>
      </w:r>
      <w:proofErr w:type="spellStart"/>
      <w:r w:rsidRPr="00A07F29">
        <w:rPr>
          <w:rFonts w:ascii="Times New Roman" w:eastAsia="Calibri" w:hAnsi="Times New Roman" w:cs="Times New Roman"/>
          <w:i/>
          <w:iCs/>
          <w:sz w:val="24"/>
          <w:szCs w:val="24"/>
          <w:shd w:val="clear" w:color="auto" w:fill="FFFFFF"/>
        </w:rPr>
        <w:t>Cirsium</w:t>
      </w:r>
      <w:proofErr w:type="spellEnd"/>
      <w:r w:rsidRPr="00A07F29">
        <w:rPr>
          <w:rFonts w:ascii="Times New Roman" w:eastAsia="Calibri" w:hAnsi="Times New Roman" w:cs="Times New Roman"/>
          <w:i/>
          <w:iCs/>
          <w:sz w:val="24"/>
          <w:szCs w:val="24"/>
          <w:shd w:val="clear" w:color="auto" w:fill="FFFFFF"/>
        </w:rPr>
        <w:t xml:space="preserve"> </w:t>
      </w:r>
      <w:proofErr w:type="spellStart"/>
      <w:r w:rsidRPr="00A07F29">
        <w:rPr>
          <w:rFonts w:ascii="Times New Roman" w:eastAsia="Calibri" w:hAnsi="Times New Roman" w:cs="Times New Roman"/>
          <w:i/>
          <w:iCs/>
          <w:sz w:val="24"/>
          <w:szCs w:val="24"/>
          <w:shd w:val="clear" w:color="auto" w:fill="FFFFFF"/>
        </w:rPr>
        <w:t>oleraceum</w:t>
      </w:r>
      <w:proofErr w:type="spellEnd"/>
      <w:r w:rsidRPr="00A07F29">
        <w:rPr>
          <w:rFonts w:ascii="Times New Roman" w:eastAsia="Calibri" w:hAnsi="Times New Roman" w:cs="Times New Roman"/>
          <w:sz w:val="24"/>
          <w:szCs w:val="24"/>
          <w:shd w:val="clear" w:color="auto" w:fill="FFFFFF"/>
        </w:rPr>
        <w:t xml:space="preserve">, rūgtā ķērsa </w:t>
      </w:r>
      <w:proofErr w:type="spellStart"/>
      <w:r w:rsidRPr="00A07F29">
        <w:rPr>
          <w:rFonts w:ascii="Times New Roman" w:eastAsia="Calibri" w:hAnsi="Times New Roman" w:cs="Times New Roman"/>
          <w:i/>
          <w:iCs/>
          <w:sz w:val="24"/>
          <w:szCs w:val="24"/>
          <w:shd w:val="clear" w:color="auto" w:fill="FFFFFF"/>
        </w:rPr>
        <w:t>Cardamine</w:t>
      </w:r>
      <w:proofErr w:type="spellEnd"/>
      <w:r w:rsidRPr="00A07F29">
        <w:rPr>
          <w:rFonts w:ascii="Times New Roman" w:eastAsia="Calibri" w:hAnsi="Times New Roman" w:cs="Times New Roman"/>
          <w:i/>
          <w:iCs/>
          <w:sz w:val="24"/>
          <w:szCs w:val="24"/>
          <w:shd w:val="clear" w:color="auto" w:fill="FFFFFF"/>
        </w:rPr>
        <w:t xml:space="preserve"> </w:t>
      </w:r>
      <w:proofErr w:type="spellStart"/>
      <w:r w:rsidRPr="00A07F29">
        <w:rPr>
          <w:rFonts w:ascii="Times New Roman" w:eastAsia="Calibri" w:hAnsi="Times New Roman" w:cs="Times New Roman"/>
          <w:i/>
          <w:iCs/>
          <w:sz w:val="24"/>
          <w:szCs w:val="24"/>
          <w:shd w:val="clear" w:color="auto" w:fill="FFFFFF"/>
        </w:rPr>
        <w:t>amara</w:t>
      </w:r>
      <w:proofErr w:type="spellEnd"/>
      <w:r w:rsidRPr="00A07F29">
        <w:rPr>
          <w:rFonts w:ascii="Times New Roman" w:eastAsia="Calibri" w:hAnsi="Times New Roman" w:cs="Times New Roman"/>
          <w:iCs/>
          <w:sz w:val="24"/>
          <w:szCs w:val="24"/>
          <w:shd w:val="clear" w:color="auto" w:fill="FFFFFF"/>
        </w:rPr>
        <w:t>,</w:t>
      </w:r>
      <w:r w:rsidRPr="00A07F29">
        <w:rPr>
          <w:rFonts w:ascii="Times New Roman" w:eastAsia="Calibri" w:hAnsi="Times New Roman" w:cs="Times New Roman"/>
          <w:sz w:val="24"/>
          <w:szCs w:val="24"/>
          <w:shd w:val="clear" w:color="auto" w:fill="FFFFFF"/>
        </w:rPr>
        <w:t xml:space="preserve"> purva kosa </w:t>
      </w:r>
      <w:proofErr w:type="spellStart"/>
      <w:r w:rsidRPr="00A07F29">
        <w:rPr>
          <w:rFonts w:ascii="Times New Roman" w:eastAsia="Calibri" w:hAnsi="Times New Roman" w:cs="Times New Roman"/>
          <w:i/>
          <w:iCs/>
          <w:sz w:val="24"/>
          <w:szCs w:val="24"/>
          <w:shd w:val="clear" w:color="auto" w:fill="FFFFFF"/>
        </w:rPr>
        <w:t>Equisetum</w:t>
      </w:r>
      <w:proofErr w:type="spellEnd"/>
      <w:r w:rsidRPr="00A07F29">
        <w:rPr>
          <w:rFonts w:ascii="Times New Roman" w:eastAsia="Calibri" w:hAnsi="Times New Roman" w:cs="Times New Roman"/>
          <w:i/>
          <w:iCs/>
          <w:sz w:val="24"/>
          <w:szCs w:val="24"/>
          <w:shd w:val="clear" w:color="auto" w:fill="FFFFFF"/>
        </w:rPr>
        <w:t xml:space="preserve"> </w:t>
      </w:r>
      <w:proofErr w:type="spellStart"/>
      <w:r w:rsidRPr="00A07F29">
        <w:rPr>
          <w:rFonts w:ascii="Times New Roman" w:eastAsia="Calibri" w:hAnsi="Times New Roman" w:cs="Times New Roman"/>
          <w:i/>
          <w:iCs/>
          <w:sz w:val="24"/>
          <w:szCs w:val="24"/>
          <w:shd w:val="clear" w:color="auto" w:fill="FFFFFF"/>
        </w:rPr>
        <w:t>palustre</w:t>
      </w:r>
      <w:proofErr w:type="spellEnd"/>
      <w:r w:rsidRPr="00A07F29">
        <w:rPr>
          <w:rFonts w:ascii="Times New Roman" w:eastAsia="Calibri" w:hAnsi="Times New Roman" w:cs="Times New Roman"/>
          <w:sz w:val="24"/>
          <w:szCs w:val="24"/>
          <w:shd w:val="clear" w:color="auto" w:fill="FFFFFF"/>
        </w:rPr>
        <w:t xml:space="preserve"> un </w:t>
      </w:r>
      <w:proofErr w:type="spellStart"/>
      <w:r w:rsidRPr="00A07F29">
        <w:rPr>
          <w:rFonts w:ascii="Times New Roman" w:eastAsia="Calibri" w:hAnsi="Times New Roman" w:cs="Times New Roman"/>
          <w:sz w:val="24"/>
          <w:szCs w:val="24"/>
          <w:shd w:val="clear" w:color="auto" w:fill="FFFFFF"/>
        </w:rPr>
        <w:t>pamīšā</w:t>
      </w:r>
      <w:proofErr w:type="spellEnd"/>
      <w:r w:rsidRPr="00A07F29">
        <w:rPr>
          <w:rFonts w:ascii="Times New Roman" w:eastAsia="Calibri" w:hAnsi="Times New Roman" w:cs="Times New Roman"/>
          <w:sz w:val="24"/>
          <w:szCs w:val="24"/>
          <w:shd w:val="clear" w:color="auto" w:fill="FFFFFF"/>
        </w:rPr>
        <w:t xml:space="preserve"> </w:t>
      </w:r>
      <w:proofErr w:type="spellStart"/>
      <w:r w:rsidRPr="00A07F29">
        <w:rPr>
          <w:rFonts w:ascii="Times New Roman" w:eastAsia="Calibri" w:hAnsi="Times New Roman" w:cs="Times New Roman"/>
          <w:sz w:val="24"/>
          <w:szCs w:val="24"/>
          <w:shd w:val="clear" w:color="auto" w:fill="FFFFFF"/>
        </w:rPr>
        <w:t>pakrēslīte</w:t>
      </w:r>
      <w:proofErr w:type="spellEnd"/>
      <w:r w:rsidRPr="00A07F29">
        <w:rPr>
          <w:rFonts w:ascii="Times New Roman" w:eastAsia="Calibri" w:hAnsi="Times New Roman" w:cs="Times New Roman"/>
          <w:sz w:val="24"/>
          <w:szCs w:val="24"/>
          <w:shd w:val="clear" w:color="auto" w:fill="FFFFFF"/>
        </w:rPr>
        <w:t xml:space="preserve"> </w:t>
      </w:r>
      <w:proofErr w:type="spellStart"/>
      <w:r w:rsidRPr="00A07F29">
        <w:rPr>
          <w:rFonts w:ascii="Times New Roman" w:eastAsia="Calibri" w:hAnsi="Times New Roman" w:cs="Times New Roman"/>
          <w:i/>
          <w:iCs/>
          <w:sz w:val="24"/>
          <w:szCs w:val="24"/>
          <w:shd w:val="clear" w:color="auto" w:fill="FFFFFF"/>
        </w:rPr>
        <w:t>Chrysosplenium</w:t>
      </w:r>
      <w:proofErr w:type="spellEnd"/>
      <w:r w:rsidRPr="00A07F29">
        <w:rPr>
          <w:rFonts w:ascii="Times New Roman" w:eastAsia="Calibri" w:hAnsi="Times New Roman" w:cs="Times New Roman"/>
          <w:i/>
          <w:iCs/>
          <w:sz w:val="24"/>
          <w:szCs w:val="24"/>
          <w:shd w:val="clear" w:color="auto" w:fill="FFFFFF"/>
        </w:rPr>
        <w:t xml:space="preserve"> </w:t>
      </w:r>
      <w:proofErr w:type="spellStart"/>
      <w:r w:rsidRPr="00A07F29">
        <w:rPr>
          <w:rFonts w:ascii="Times New Roman" w:eastAsia="Calibri" w:hAnsi="Times New Roman" w:cs="Times New Roman"/>
          <w:i/>
          <w:iCs/>
          <w:sz w:val="24"/>
          <w:szCs w:val="24"/>
          <w:shd w:val="clear" w:color="auto" w:fill="FFFFFF"/>
        </w:rPr>
        <w:t>alternifolium</w:t>
      </w:r>
      <w:proofErr w:type="spellEnd"/>
      <w:r w:rsidRPr="00A07F29">
        <w:rPr>
          <w:rFonts w:ascii="Times New Roman" w:eastAsia="Calibri" w:hAnsi="Times New Roman" w:cs="Times New Roman"/>
          <w:iCs/>
          <w:sz w:val="24"/>
          <w:szCs w:val="24"/>
          <w:shd w:val="clear" w:color="auto" w:fill="FFFFFF"/>
        </w:rPr>
        <w:t>,</w:t>
      </w:r>
      <w:r w:rsidRPr="00A07F29">
        <w:rPr>
          <w:rFonts w:ascii="Times New Roman" w:eastAsia="Calibri" w:hAnsi="Times New Roman" w:cs="Times New Roman"/>
          <w:sz w:val="24"/>
          <w:szCs w:val="24"/>
          <w:shd w:val="clear" w:color="auto" w:fill="FFFFFF"/>
        </w:rPr>
        <w:t xml:space="preserve"> kā arī daudz tipisku </w:t>
      </w:r>
      <w:proofErr w:type="spellStart"/>
      <w:r w:rsidRPr="00A07F29">
        <w:rPr>
          <w:rFonts w:ascii="Times New Roman" w:eastAsia="Calibri" w:hAnsi="Times New Roman" w:cs="Times New Roman"/>
          <w:sz w:val="24"/>
          <w:szCs w:val="24"/>
          <w:shd w:val="clear" w:color="auto" w:fill="FFFFFF"/>
        </w:rPr>
        <w:t>avoksnāju</w:t>
      </w:r>
      <w:proofErr w:type="spellEnd"/>
      <w:r w:rsidRPr="00A07F29">
        <w:rPr>
          <w:rFonts w:ascii="Times New Roman" w:eastAsia="Calibri" w:hAnsi="Times New Roman" w:cs="Times New Roman"/>
          <w:sz w:val="24"/>
          <w:szCs w:val="24"/>
          <w:shd w:val="clear" w:color="auto" w:fill="FFFFFF"/>
        </w:rPr>
        <w:t xml:space="preserve"> sūnu – reti sastopamā </w:t>
      </w:r>
      <w:proofErr w:type="spellStart"/>
      <w:r w:rsidRPr="00A07F29">
        <w:rPr>
          <w:rFonts w:ascii="Times New Roman" w:eastAsia="Calibri" w:hAnsi="Times New Roman" w:cs="Times New Roman"/>
          <w:sz w:val="24"/>
          <w:szCs w:val="24"/>
          <w:shd w:val="clear" w:color="auto" w:fill="FFFFFF"/>
        </w:rPr>
        <w:t>tūbainā</w:t>
      </w:r>
      <w:proofErr w:type="spellEnd"/>
      <w:r w:rsidRPr="00A07F29">
        <w:rPr>
          <w:rFonts w:ascii="Times New Roman" w:eastAsia="Calibri" w:hAnsi="Times New Roman" w:cs="Times New Roman"/>
          <w:sz w:val="24"/>
          <w:szCs w:val="24"/>
          <w:shd w:val="clear" w:color="auto" w:fill="FFFFFF"/>
        </w:rPr>
        <w:t xml:space="preserve"> </w:t>
      </w:r>
      <w:proofErr w:type="spellStart"/>
      <w:r w:rsidRPr="00A07F29">
        <w:rPr>
          <w:rFonts w:ascii="Times New Roman" w:eastAsia="Calibri" w:hAnsi="Times New Roman" w:cs="Times New Roman"/>
          <w:sz w:val="24"/>
          <w:szCs w:val="24"/>
          <w:shd w:val="clear" w:color="auto" w:fill="FFFFFF"/>
        </w:rPr>
        <w:t>bārkstlape</w:t>
      </w:r>
      <w:proofErr w:type="spellEnd"/>
      <w:r w:rsidRPr="00A07F29">
        <w:rPr>
          <w:rFonts w:ascii="Times New Roman" w:eastAsia="Calibri" w:hAnsi="Times New Roman" w:cs="Times New Roman"/>
          <w:sz w:val="24"/>
          <w:szCs w:val="24"/>
          <w:shd w:val="clear" w:color="auto" w:fill="FFFFFF"/>
        </w:rPr>
        <w:t xml:space="preserve"> </w:t>
      </w:r>
      <w:proofErr w:type="spellStart"/>
      <w:r w:rsidRPr="00A07F29">
        <w:rPr>
          <w:rFonts w:ascii="Times New Roman" w:eastAsia="Calibri" w:hAnsi="Times New Roman" w:cs="Times New Roman"/>
          <w:i/>
          <w:iCs/>
          <w:sz w:val="24"/>
          <w:szCs w:val="24"/>
          <w:shd w:val="clear" w:color="auto" w:fill="FFFFFF"/>
        </w:rPr>
        <w:t>Trichocolea</w:t>
      </w:r>
      <w:proofErr w:type="spellEnd"/>
      <w:r w:rsidRPr="00A07F29">
        <w:rPr>
          <w:rFonts w:ascii="Times New Roman" w:eastAsia="Calibri" w:hAnsi="Times New Roman" w:cs="Times New Roman"/>
          <w:i/>
          <w:iCs/>
          <w:sz w:val="24"/>
          <w:szCs w:val="24"/>
          <w:shd w:val="clear" w:color="auto" w:fill="FFFFFF"/>
        </w:rPr>
        <w:t xml:space="preserve"> </w:t>
      </w:r>
      <w:proofErr w:type="spellStart"/>
      <w:r w:rsidRPr="00A07F29">
        <w:rPr>
          <w:rFonts w:ascii="Times New Roman" w:eastAsia="Calibri" w:hAnsi="Times New Roman" w:cs="Times New Roman"/>
          <w:i/>
          <w:iCs/>
          <w:sz w:val="24"/>
          <w:szCs w:val="24"/>
          <w:shd w:val="clear" w:color="auto" w:fill="FFFFFF"/>
        </w:rPr>
        <w:t>tomentella</w:t>
      </w:r>
      <w:proofErr w:type="spellEnd"/>
      <w:r w:rsidRPr="00A07F29">
        <w:rPr>
          <w:rFonts w:ascii="Times New Roman" w:eastAsia="Calibri" w:hAnsi="Times New Roman" w:cs="Times New Roman"/>
          <w:sz w:val="24"/>
          <w:szCs w:val="24"/>
          <w:shd w:val="clear" w:color="auto" w:fill="FFFFFF"/>
        </w:rPr>
        <w:t xml:space="preserve">, viļņainā </w:t>
      </w:r>
      <w:proofErr w:type="spellStart"/>
      <w:r w:rsidRPr="00A07F29">
        <w:rPr>
          <w:rFonts w:ascii="Times New Roman" w:eastAsia="Calibri" w:hAnsi="Times New Roman" w:cs="Times New Roman"/>
          <w:sz w:val="24"/>
          <w:szCs w:val="24"/>
          <w:shd w:val="clear" w:color="auto" w:fill="FFFFFF"/>
        </w:rPr>
        <w:t>skrajlape</w:t>
      </w:r>
      <w:proofErr w:type="spellEnd"/>
      <w:r w:rsidRPr="00A07F29">
        <w:rPr>
          <w:rFonts w:ascii="Times New Roman" w:eastAsia="Calibri" w:hAnsi="Times New Roman" w:cs="Times New Roman"/>
          <w:sz w:val="24"/>
          <w:szCs w:val="24"/>
          <w:shd w:val="clear" w:color="auto" w:fill="FFFFFF"/>
        </w:rPr>
        <w:t xml:space="preserve"> </w:t>
      </w:r>
      <w:proofErr w:type="spellStart"/>
      <w:r w:rsidRPr="00A07F29">
        <w:rPr>
          <w:rFonts w:ascii="Times New Roman" w:eastAsia="Calibri" w:hAnsi="Times New Roman" w:cs="Times New Roman"/>
          <w:i/>
          <w:iCs/>
          <w:sz w:val="24"/>
          <w:szCs w:val="24"/>
          <w:shd w:val="clear" w:color="auto" w:fill="FFFFFF"/>
        </w:rPr>
        <w:t>Plagiomnium</w:t>
      </w:r>
      <w:proofErr w:type="spellEnd"/>
      <w:r w:rsidRPr="00A07F29">
        <w:rPr>
          <w:rFonts w:ascii="Times New Roman" w:eastAsia="Calibri" w:hAnsi="Times New Roman" w:cs="Times New Roman"/>
          <w:i/>
          <w:iCs/>
          <w:sz w:val="24"/>
          <w:szCs w:val="24"/>
          <w:shd w:val="clear" w:color="auto" w:fill="FFFFFF"/>
        </w:rPr>
        <w:t xml:space="preserve"> </w:t>
      </w:r>
      <w:proofErr w:type="spellStart"/>
      <w:r w:rsidRPr="00A07F29">
        <w:rPr>
          <w:rFonts w:ascii="Times New Roman" w:eastAsia="Calibri" w:hAnsi="Times New Roman" w:cs="Times New Roman"/>
          <w:i/>
          <w:iCs/>
          <w:sz w:val="24"/>
          <w:szCs w:val="24"/>
          <w:shd w:val="clear" w:color="auto" w:fill="FFFFFF"/>
        </w:rPr>
        <w:t>undulatum</w:t>
      </w:r>
      <w:proofErr w:type="spellEnd"/>
      <w:r w:rsidRPr="00A07F29">
        <w:rPr>
          <w:rFonts w:ascii="Times New Roman" w:eastAsia="Calibri" w:hAnsi="Times New Roman" w:cs="Times New Roman"/>
          <w:sz w:val="24"/>
          <w:szCs w:val="24"/>
          <w:shd w:val="clear" w:color="auto" w:fill="FFFFFF"/>
        </w:rPr>
        <w:t xml:space="preserve">, augstā </w:t>
      </w:r>
      <w:proofErr w:type="spellStart"/>
      <w:r w:rsidRPr="00A07F29">
        <w:rPr>
          <w:rFonts w:ascii="Times New Roman" w:eastAsia="Calibri" w:hAnsi="Times New Roman" w:cs="Times New Roman"/>
          <w:sz w:val="24"/>
          <w:szCs w:val="24"/>
          <w:shd w:val="clear" w:color="auto" w:fill="FFFFFF"/>
        </w:rPr>
        <w:t>skrajlape</w:t>
      </w:r>
      <w:proofErr w:type="spellEnd"/>
      <w:r w:rsidRPr="00A07F29">
        <w:rPr>
          <w:rFonts w:ascii="Times New Roman" w:eastAsia="Calibri" w:hAnsi="Times New Roman" w:cs="Times New Roman"/>
          <w:sz w:val="24"/>
          <w:szCs w:val="24"/>
          <w:shd w:val="clear" w:color="auto" w:fill="FFFFFF"/>
        </w:rPr>
        <w:t xml:space="preserve"> </w:t>
      </w:r>
      <w:r w:rsidRPr="00A07F29">
        <w:rPr>
          <w:rFonts w:ascii="Times New Roman" w:eastAsia="Calibri" w:hAnsi="Times New Roman" w:cs="Times New Roman"/>
          <w:i/>
          <w:iCs/>
          <w:sz w:val="24"/>
          <w:szCs w:val="24"/>
          <w:shd w:val="clear" w:color="auto" w:fill="FFFFFF"/>
        </w:rPr>
        <w:t>P.</w:t>
      </w:r>
      <w:r w:rsidR="00FB2A33">
        <w:rPr>
          <w:rFonts w:ascii="Times New Roman" w:eastAsia="Calibri" w:hAnsi="Times New Roman" w:cs="Times New Roman"/>
          <w:i/>
          <w:iCs/>
          <w:sz w:val="24"/>
          <w:szCs w:val="24"/>
          <w:shd w:val="clear" w:color="auto" w:fill="FFFFFF"/>
        </w:rPr>
        <w:t> </w:t>
      </w:r>
      <w:proofErr w:type="spellStart"/>
      <w:r w:rsidRPr="00A07F29">
        <w:rPr>
          <w:rFonts w:ascii="Times New Roman" w:eastAsia="Calibri" w:hAnsi="Times New Roman" w:cs="Times New Roman"/>
          <w:i/>
          <w:iCs/>
          <w:sz w:val="24"/>
          <w:szCs w:val="24"/>
          <w:shd w:val="clear" w:color="auto" w:fill="FFFFFF"/>
        </w:rPr>
        <w:t>elatum</w:t>
      </w:r>
      <w:proofErr w:type="spellEnd"/>
      <w:r w:rsidRPr="00A07F29">
        <w:rPr>
          <w:rFonts w:ascii="Times New Roman" w:eastAsia="Calibri" w:hAnsi="Times New Roman" w:cs="Times New Roman"/>
          <w:sz w:val="24"/>
          <w:szCs w:val="24"/>
          <w:shd w:val="clear" w:color="auto" w:fill="FFFFFF"/>
        </w:rPr>
        <w:t xml:space="preserve">, </w:t>
      </w:r>
      <w:proofErr w:type="spellStart"/>
      <w:r w:rsidRPr="00A07F29">
        <w:rPr>
          <w:rFonts w:ascii="Times New Roman" w:eastAsia="Calibri" w:hAnsi="Times New Roman" w:cs="Times New Roman"/>
          <w:sz w:val="24"/>
          <w:szCs w:val="24"/>
          <w:shd w:val="clear" w:color="auto" w:fill="FFFFFF"/>
        </w:rPr>
        <w:t>strautmalas</w:t>
      </w:r>
      <w:proofErr w:type="spellEnd"/>
      <w:r w:rsidRPr="00A07F29">
        <w:rPr>
          <w:rFonts w:ascii="Times New Roman" w:eastAsia="Calibri" w:hAnsi="Times New Roman" w:cs="Times New Roman"/>
          <w:sz w:val="24"/>
          <w:szCs w:val="24"/>
          <w:shd w:val="clear" w:color="auto" w:fill="FFFFFF"/>
        </w:rPr>
        <w:t xml:space="preserve"> </w:t>
      </w:r>
      <w:proofErr w:type="spellStart"/>
      <w:r w:rsidRPr="00A07F29">
        <w:rPr>
          <w:rFonts w:ascii="Times New Roman" w:eastAsia="Calibri" w:hAnsi="Times New Roman" w:cs="Times New Roman"/>
          <w:sz w:val="24"/>
          <w:szCs w:val="24"/>
          <w:shd w:val="clear" w:color="auto" w:fill="FFFFFF"/>
        </w:rPr>
        <w:t>īsvācelīte</w:t>
      </w:r>
      <w:proofErr w:type="spellEnd"/>
      <w:r w:rsidRPr="00A07F29">
        <w:rPr>
          <w:rFonts w:ascii="Times New Roman" w:eastAsia="Calibri" w:hAnsi="Times New Roman" w:cs="Times New Roman"/>
          <w:sz w:val="24"/>
          <w:szCs w:val="24"/>
          <w:shd w:val="clear" w:color="auto" w:fill="FFFFFF"/>
        </w:rPr>
        <w:t xml:space="preserve"> </w:t>
      </w:r>
      <w:proofErr w:type="spellStart"/>
      <w:r w:rsidRPr="00A07F29">
        <w:rPr>
          <w:rFonts w:ascii="Times New Roman" w:eastAsia="Calibri" w:hAnsi="Times New Roman" w:cs="Times New Roman"/>
          <w:i/>
          <w:iCs/>
          <w:sz w:val="24"/>
          <w:szCs w:val="24"/>
          <w:shd w:val="clear" w:color="auto" w:fill="FFFFFF"/>
        </w:rPr>
        <w:t>Brachythecium</w:t>
      </w:r>
      <w:proofErr w:type="spellEnd"/>
      <w:r w:rsidRPr="00A07F29">
        <w:rPr>
          <w:rFonts w:ascii="Times New Roman" w:eastAsia="Calibri" w:hAnsi="Times New Roman" w:cs="Times New Roman"/>
          <w:i/>
          <w:iCs/>
          <w:sz w:val="24"/>
          <w:szCs w:val="24"/>
          <w:shd w:val="clear" w:color="auto" w:fill="FFFFFF"/>
        </w:rPr>
        <w:t xml:space="preserve"> </w:t>
      </w:r>
      <w:proofErr w:type="spellStart"/>
      <w:r w:rsidRPr="00A07F29">
        <w:rPr>
          <w:rFonts w:ascii="Times New Roman" w:eastAsia="Calibri" w:hAnsi="Times New Roman" w:cs="Times New Roman"/>
          <w:i/>
          <w:iCs/>
          <w:sz w:val="24"/>
          <w:szCs w:val="24"/>
          <w:shd w:val="clear" w:color="auto" w:fill="FFFFFF"/>
        </w:rPr>
        <w:t>rivulare</w:t>
      </w:r>
      <w:proofErr w:type="spellEnd"/>
      <w:r w:rsidRPr="00A07F29">
        <w:rPr>
          <w:rFonts w:ascii="Times New Roman" w:eastAsia="Calibri" w:hAnsi="Times New Roman" w:cs="Times New Roman"/>
          <w:sz w:val="24"/>
          <w:szCs w:val="24"/>
          <w:shd w:val="clear" w:color="auto" w:fill="FFFFFF"/>
        </w:rPr>
        <w:t xml:space="preserve"> </w:t>
      </w:r>
      <w:r w:rsidRPr="0073037F">
        <w:rPr>
          <w:rFonts w:ascii="Times New Roman" w:eastAsia="Calibri" w:hAnsi="Times New Roman" w:cs="Times New Roman"/>
          <w:sz w:val="24"/>
          <w:szCs w:val="24"/>
          <w:shd w:val="clear" w:color="auto" w:fill="FFFFFF"/>
        </w:rPr>
        <w:t>u.c.</w:t>
      </w:r>
      <w:r w:rsidRPr="00A07F29">
        <w:rPr>
          <w:rFonts w:ascii="Times New Roman" w:eastAsia="Calibri" w:hAnsi="Times New Roman" w:cs="Times New Roman"/>
          <w:sz w:val="24"/>
          <w:szCs w:val="24"/>
          <w:shd w:val="clear" w:color="auto" w:fill="FFFFFF"/>
        </w:rPr>
        <w:t xml:space="preserve"> šādiem biotopiem raksturīgas sugas. No retajām </w:t>
      </w:r>
      <w:r w:rsidRPr="0073037F">
        <w:rPr>
          <w:rFonts w:ascii="Times New Roman" w:eastAsia="Calibri" w:hAnsi="Times New Roman" w:cs="Times New Roman"/>
          <w:sz w:val="24"/>
          <w:szCs w:val="24"/>
          <w:shd w:val="clear" w:color="auto" w:fill="FFFFFF"/>
        </w:rPr>
        <w:t>un īpaši aizsargājamām</w:t>
      </w:r>
      <w:r w:rsidRPr="00A07F29">
        <w:rPr>
          <w:rFonts w:ascii="Times New Roman" w:eastAsia="Calibri" w:hAnsi="Times New Roman" w:cs="Times New Roman"/>
          <w:sz w:val="24"/>
          <w:szCs w:val="24"/>
          <w:shd w:val="clear" w:color="auto" w:fill="FFFFFF"/>
        </w:rPr>
        <w:t xml:space="preserve"> </w:t>
      </w:r>
      <w:proofErr w:type="spellStart"/>
      <w:r w:rsidRPr="00A07F29">
        <w:rPr>
          <w:rFonts w:ascii="Times New Roman" w:eastAsia="Calibri" w:hAnsi="Times New Roman" w:cs="Times New Roman"/>
          <w:sz w:val="24"/>
          <w:szCs w:val="24"/>
          <w:shd w:val="clear" w:color="auto" w:fill="FFFFFF"/>
        </w:rPr>
        <w:t>vaskulāro</w:t>
      </w:r>
      <w:proofErr w:type="spellEnd"/>
      <w:r w:rsidRPr="00A07F29">
        <w:rPr>
          <w:rFonts w:ascii="Times New Roman" w:eastAsia="Calibri" w:hAnsi="Times New Roman" w:cs="Times New Roman"/>
          <w:sz w:val="24"/>
          <w:szCs w:val="24"/>
          <w:shd w:val="clear" w:color="auto" w:fill="FFFFFF"/>
        </w:rPr>
        <w:t xml:space="preserve"> augu sugām vairākās vietās </w:t>
      </w:r>
      <w:proofErr w:type="spellStart"/>
      <w:r w:rsidRPr="00A07F29">
        <w:rPr>
          <w:rFonts w:ascii="Times New Roman" w:eastAsia="Calibri" w:hAnsi="Times New Roman" w:cs="Times New Roman"/>
          <w:sz w:val="24"/>
          <w:szCs w:val="24"/>
          <w:shd w:val="clear" w:color="auto" w:fill="FFFFFF"/>
        </w:rPr>
        <w:t>avoksnājos</w:t>
      </w:r>
      <w:proofErr w:type="spellEnd"/>
      <w:r w:rsidRPr="00A07F29">
        <w:rPr>
          <w:rFonts w:ascii="Times New Roman" w:eastAsia="Calibri" w:hAnsi="Times New Roman" w:cs="Times New Roman"/>
          <w:sz w:val="24"/>
          <w:szCs w:val="24"/>
          <w:shd w:val="clear" w:color="auto" w:fill="FFFFFF"/>
        </w:rPr>
        <w:t xml:space="preserve"> konstatēta </w:t>
      </w:r>
      <w:proofErr w:type="spellStart"/>
      <w:r w:rsidRPr="00A07F29">
        <w:rPr>
          <w:rFonts w:ascii="Times New Roman" w:eastAsia="Calibri" w:hAnsi="Times New Roman" w:cs="Times New Roman"/>
          <w:sz w:val="24"/>
          <w:szCs w:val="24"/>
          <w:shd w:val="clear" w:color="auto" w:fill="FFFFFF"/>
        </w:rPr>
        <w:t>skarbmatainā</w:t>
      </w:r>
      <w:proofErr w:type="spellEnd"/>
      <w:r w:rsidRPr="00A07F29">
        <w:rPr>
          <w:rFonts w:ascii="Times New Roman" w:eastAsia="Calibri" w:hAnsi="Times New Roman" w:cs="Times New Roman"/>
          <w:sz w:val="24"/>
          <w:szCs w:val="24"/>
          <w:shd w:val="clear" w:color="auto" w:fill="FFFFFF"/>
        </w:rPr>
        <w:t xml:space="preserve"> kārvele </w:t>
      </w:r>
      <w:proofErr w:type="spellStart"/>
      <w:r w:rsidRPr="00A07F29">
        <w:rPr>
          <w:rFonts w:ascii="Times New Roman" w:eastAsia="Calibri" w:hAnsi="Times New Roman" w:cs="Times New Roman"/>
          <w:i/>
          <w:iCs/>
          <w:sz w:val="24"/>
          <w:szCs w:val="24"/>
          <w:shd w:val="clear" w:color="auto" w:fill="FFFFFF"/>
        </w:rPr>
        <w:t>Chaerophyllum</w:t>
      </w:r>
      <w:proofErr w:type="spellEnd"/>
      <w:r w:rsidRPr="00A07F29">
        <w:rPr>
          <w:rFonts w:ascii="Times New Roman" w:eastAsia="Calibri" w:hAnsi="Times New Roman" w:cs="Times New Roman"/>
          <w:i/>
          <w:iCs/>
          <w:sz w:val="24"/>
          <w:szCs w:val="24"/>
          <w:shd w:val="clear" w:color="auto" w:fill="FFFFFF"/>
        </w:rPr>
        <w:t xml:space="preserve"> </w:t>
      </w:r>
      <w:proofErr w:type="spellStart"/>
      <w:r w:rsidRPr="00A07F29">
        <w:rPr>
          <w:rFonts w:ascii="Times New Roman" w:eastAsia="Calibri" w:hAnsi="Times New Roman" w:cs="Times New Roman"/>
          <w:i/>
          <w:iCs/>
          <w:sz w:val="24"/>
          <w:szCs w:val="24"/>
          <w:shd w:val="clear" w:color="auto" w:fill="FFFFFF"/>
        </w:rPr>
        <w:t>hirsutum</w:t>
      </w:r>
      <w:proofErr w:type="spellEnd"/>
      <w:r w:rsidR="00D65BBA" w:rsidRPr="00A07F29">
        <w:rPr>
          <w:rFonts w:ascii="Times New Roman" w:eastAsia="Calibri" w:hAnsi="Times New Roman" w:cs="Times New Roman"/>
          <w:iCs/>
          <w:sz w:val="24"/>
          <w:szCs w:val="24"/>
          <w:shd w:val="clear" w:color="auto" w:fill="FFFFFF"/>
        </w:rPr>
        <w:t xml:space="preserve"> </w:t>
      </w:r>
      <w:r w:rsidRPr="00A07F29">
        <w:rPr>
          <w:rFonts w:ascii="Times New Roman" w:eastAsia="Calibri" w:hAnsi="Times New Roman" w:cs="Times New Roman"/>
          <w:sz w:val="24"/>
          <w:szCs w:val="24"/>
          <w:shd w:val="clear" w:color="auto" w:fill="FFFFFF"/>
        </w:rPr>
        <w:t xml:space="preserve">un </w:t>
      </w:r>
      <w:proofErr w:type="spellStart"/>
      <w:r w:rsidRPr="00A07F29">
        <w:rPr>
          <w:rFonts w:ascii="Times New Roman" w:eastAsia="Calibri" w:hAnsi="Times New Roman" w:cs="Times New Roman"/>
          <w:sz w:val="24"/>
          <w:szCs w:val="24"/>
          <w:shd w:val="clear" w:color="auto" w:fill="FFFFFF"/>
        </w:rPr>
        <w:t>Fuksa</w:t>
      </w:r>
      <w:proofErr w:type="spellEnd"/>
      <w:r w:rsidRPr="00A07F29">
        <w:rPr>
          <w:rFonts w:ascii="Times New Roman" w:eastAsia="Calibri" w:hAnsi="Times New Roman" w:cs="Times New Roman"/>
          <w:sz w:val="24"/>
          <w:szCs w:val="24"/>
          <w:shd w:val="clear" w:color="auto" w:fill="FFFFFF"/>
        </w:rPr>
        <w:t xml:space="preserve"> </w:t>
      </w:r>
      <w:proofErr w:type="spellStart"/>
      <w:r w:rsidRPr="00A07F29">
        <w:rPr>
          <w:rFonts w:ascii="Times New Roman" w:eastAsia="Calibri" w:hAnsi="Times New Roman" w:cs="Times New Roman"/>
          <w:sz w:val="24"/>
          <w:szCs w:val="24"/>
          <w:shd w:val="clear" w:color="auto" w:fill="FFFFFF"/>
        </w:rPr>
        <w:t>dzegužpirkstīte</w:t>
      </w:r>
      <w:proofErr w:type="spellEnd"/>
      <w:r w:rsidRPr="00A07F29">
        <w:rPr>
          <w:rFonts w:ascii="Times New Roman" w:eastAsia="Calibri" w:hAnsi="Times New Roman" w:cs="Times New Roman"/>
          <w:sz w:val="24"/>
          <w:szCs w:val="24"/>
          <w:shd w:val="clear" w:color="auto" w:fill="FFFFFF"/>
        </w:rPr>
        <w:t xml:space="preserve"> </w:t>
      </w:r>
      <w:proofErr w:type="spellStart"/>
      <w:r w:rsidRPr="00A07F29">
        <w:rPr>
          <w:rFonts w:ascii="Times New Roman" w:eastAsia="Calibri" w:hAnsi="Times New Roman" w:cs="Times New Roman"/>
          <w:i/>
          <w:iCs/>
          <w:sz w:val="24"/>
          <w:szCs w:val="24"/>
          <w:shd w:val="clear" w:color="auto" w:fill="FFFFFF"/>
        </w:rPr>
        <w:t>Dactylorhiza</w:t>
      </w:r>
      <w:proofErr w:type="spellEnd"/>
      <w:r w:rsidRPr="00A07F29">
        <w:rPr>
          <w:rFonts w:ascii="Times New Roman" w:eastAsia="Calibri" w:hAnsi="Times New Roman" w:cs="Times New Roman"/>
          <w:i/>
          <w:iCs/>
          <w:sz w:val="24"/>
          <w:szCs w:val="24"/>
          <w:shd w:val="clear" w:color="auto" w:fill="FFFFFF"/>
        </w:rPr>
        <w:t xml:space="preserve"> </w:t>
      </w:r>
      <w:proofErr w:type="spellStart"/>
      <w:r w:rsidRPr="00A07F29">
        <w:rPr>
          <w:rFonts w:ascii="Times New Roman" w:eastAsia="Calibri" w:hAnsi="Times New Roman" w:cs="Times New Roman"/>
          <w:i/>
          <w:iCs/>
          <w:sz w:val="24"/>
          <w:szCs w:val="24"/>
          <w:shd w:val="clear" w:color="auto" w:fill="FFFFFF"/>
        </w:rPr>
        <w:t>fuchsii</w:t>
      </w:r>
      <w:proofErr w:type="spellEnd"/>
      <w:r w:rsidRPr="00A07F29">
        <w:rPr>
          <w:rFonts w:ascii="Times New Roman" w:eastAsia="Calibri" w:hAnsi="Times New Roman" w:cs="Times New Roman"/>
          <w:sz w:val="24"/>
          <w:szCs w:val="24"/>
          <w:shd w:val="clear" w:color="auto" w:fill="FFFFFF"/>
        </w:rPr>
        <w:t>. Atsevišķās vietās avotos ierīkotas ūdens ņemšanas vietas – grodi</w:t>
      </w:r>
      <w:r w:rsidR="008D1C01">
        <w:rPr>
          <w:rFonts w:ascii="Times New Roman" w:eastAsia="Calibri" w:hAnsi="Times New Roman" w:cs="Times New Roman"/>
          <w:sz w:val="24"/>
          <w:szCs w:val="24"/>
          <w:shd w:val="clear" w:color="auto" w:fill="FFFFFF"/>
        </w:rPr>
        <w:t xml:space="preserve"> </w:t>
      </w:r>
      <w:r w:rsidR="007F0B39">
        <w:rPr>
          <w:rFonts w:ascii="Times New Roman" w:eastAsia="Calibri" w:hAnsi="Times New Roman" w:cs="Times New Roman"/>
          <w:sz w:val="24"/>
          <w:szCs w:val="24"/>
          <w:shd w:val="clear" w:color="auto" w:fill="FFFFFF"/>
        </w:rPr>
        <w:t>–</w:t>
      </w:r>
      <w:r w:rsidRPr="00A07F29">
        <w:rPr>
          <w:rFonts w:ascii="Times New Roman" w:eastAsia="Calibri" w:hAnsi="Times New Roman" w:cs="Times New Roman"/>
          <w:sz w:val="24"/>
          <w:szCs w:val="24"/>
          <w:shd w:val="clear" w:color="auto" w:fill="FFFFFF"/>
        </w:rPr>
        <w:t xml:space="preserve"> </w:t>
      </w:r>
      <w:proofErr w:type="spellStart"/>
      <w:r w:rsidRPr="00A07F29">
        <w:rPr>
          <w:rFonts w:ascii="Times New Roman" w:eastAsia="Calibri" w:hAnsi="Times New Roman" w:cs="Times New Roman"/>
          <w:sz w:val="24"/>
          <w:szCs w:val="24"/>
          <w:shd w:val="clear" w:color="auto" w:fill="FFFFFF"/>
        </w:rPr>
        <w:t>Varnaviču</w:t>
      </w:r>
      <w:proofErr w:type="spellEnd"/>
      <w:r w:rsidRPr="00A07F29">
        <w:rPr>
          <w:rFonts w:ascii="Times New Roman" w:eastAsia="Calibri" w:hAnsi="Times New Roman" w:cs="Times New Roman"/>
          <w:sz w:val="24"/>
          <w:szCs w:val="24"/>
          <w:shd w:val="clear" w:color="auto" w:fill="FFFFFF"/>
        </w:rPr>
        <w:t xml:space="preserve">, </w:t>
      </w:r>
      <w:proofErr w:type="spellStart"/>
      <w:r w:rsidRPr="00A07F29">
        <w:rPr>
          <w:rFonts w:ascii="Times New Roman" w:eastAsia="Calibri" w:hAnsi="Times New Roman" w:cs="Times New Roman"/>
          <w:sz w:val="24"/>
          <w:szCs w:val="24"/>
          <w:shd w:val="clear" w:color="auto" w:fill="FFFFFF"/>
        </w:rPr>
        <w:t>Dvoriščes</w:t>
      </w:r>
      <w:proofErr w:type="spellEnd"/>
      <w:r w:rsidRPr="00A07F29">
        <w:rPr>
          <w:rFonts w:ascii="Times New Roman" w:eastAsia="Calibri" w:hAnsi="Times New Roman" w:cs="Times New Roman"/>
          <w:sz w:val="24"/>
          <w:szCs w:val="24"/>
          <w:shd w:val="clear" w:color="auto" w:fill="FFFFFF"/>
        </w:rPr>
        <w:t xml:space="preserve">, </w:t>
      </w:r>
      <w:proofErr w:type="spellStart"/>
      <w:r w:rsidRPr="00A07F29">
        <w:rPr>
          <w:rFonts w:ascii="Times New Roman" w:eastAsia="Calibri" w:hAnsi="Times New Roman" w:cs="Times New Roman"/>
          <w:sz w:val="24"/>
          <w:szCs w:val="24"/>
          <w:shd w:val="clear" w:color="auto" w:fill="FFFFFF"/>
        </w:rPr>
        <w:t>Slutišķu</w:t>
      </w:r>
      <w:proofErr w:type="spellEnd"/>
      <w:r w:rsidRPr="00A07F29">
        <w:rPr>
          <w:rFonts w:ascii="Times New Roman" w:eastAsia="Calibri" w:hAnsi="Times New Roman" w:cs="Times New Roman"/>
          <w:sz w:val="24"/>
          <w:szCs w:val="24"/>
          <w:shd w:val="clear" w:color="auto" w:fill="FFFFFF"/>
        </w:rPr>
        <w:t xml:space="preserve"> un citos ciematos avotus joprojām aktīvi izmanto dzeramā ūdens ņemšanai akas vietā. Biotopa </w:t>
      </w:r>
      <w:r w:rsidRPr="00A07F29">
        <w:rPr>
          <w:rFonts w:ascii="Times New Roman" w:eastAsia="Calibri" w:hAnsi="Times New Roman" w:cs="Times New Roman"/>
          <w:bCs/>
          <w:sz w:val="24"/>
          <w:szCs w:val="24"/>
        </w:rPr>
        <w:t>7160</w:t>
      </w:r>
      <w:r w:rsidR="007F0B39">
        <w:rPr>
          <w:rFonts w:ascii="Times New Roman" w:eastAsia="Calibri" w:hAnsi="Times New Roman" w:cs="Times New Roman"/>
          <w:bCs/>
          <w:sz w:val="24"/>
          <w:szCs w:val="24"/>
        </w:rPr>
        <w:t> </w:t>
      </w:r>
      <w:r w:rsidRPr="00A07F29">
        <w:rPr>
          <w:rFonts w:ascii="Times New Roman" w:eastAsia="Calibri" w:hAnsi="Times New Roman" w:cs="Times New Roman"/>
          <w:bCs/>
          <w:i/>
          <w:iCs/>
          <w:sz w:val="24"/>
          <w:szCs w:val="24"/>
        </w:rPr>
        <w:t>Minerālvielām bagāti avoti un avotu purvi</w:t>
      </w:r>
      <w:r w:rsidRPr="00A07F29">
        <w:rPr>
          <w:rFonts w:ascii="Times New Roman" w:eastAsia="Calibri" w:hAnsi="Times New Roman" w:cs="Times New Roman"/>
          <w:sz w:val="24"/>
          <w:szCs w:val="24"/>
          <w:shd w:val="clear" w:color="auto" w:fill="FFFFFF"/>
        </w:rPr>
        <w:t xml:space="preserve"> kvalitāte vērtējama kā izcila vai laba un </w:t>
      </w:r>
      <w:r w:rsidRPr="00A07F29">
        <w:rPr>
          <w:rFonts w:ascii="Times New Roman" w:eastAsia="Calibri" w:hAnsi="Times New Roman" w:cs="Times New Roman"/>
          <w:sz w:val="24"/>
          <w:szCs w:val="24"/>
        </w:rPr>
        <w:t>pašreizējais šī biotopa aizsardzības stāvoklis Augšdaugavā vērtējams kā labs.</w:t>
      </w:r>
    </w:p>
    <w:p w14:paraId="5E5C977F" w14:textId="4843AD23" w:rsidR="002B1603" w:rsidRPr="00A07F29" w:rsidRDefault="002B1603" w:rsidP="00D04A30">
      <w:pPr>
        <w:keepNext/>
        <w:spacing w:before="240" w:after="120" w:line="240" w:lineRule="auto"/>
        <w:jc w:val="both"/>
        <w:rPr>
          <w:rFonts w:ascii="Times New Roman" w:eastAsia="Calibri" w:hAnsi="Times New Roman" w:cs="Times New Roman"/>
          <w:b/>
          <w:bCs/>
          <w:sz w:val="24"/>
          <w:szCs w:val="24"/>
        </w:rPr>
      </w:pPr>
      <w:r w:rsidRPr="00A07F29">
        <w:rPr>
          <w:rFonts w:ascii="Times New Roman" w:eastAsia="Calibri" w:hAnsi="Times New Roman" w:cs="Times New Roman"/>
          <w:b/>
          <w:bCs/>
          <w:sz w:val="24"/>
          <w:szCs w:val="24"/>
        </w:rPr>
        <w:t xml:space="preserve">7220* </w:t>
      </w:r>
      <w:r w:rsidRPr="00A07F29">
        <w:rPr>
          <w:rFonts w:ascii="Times New Roman" w:eastAsia="Calibri" w:hAnsi="Times New Roman" w:cs="Times New Roman"/>
          <w:b/>
          <w:bCs/>
          <w:i/>
          <w:iCs/>
          <w:sz w:val="24"/>
          <w:szCs w:val="24"/>
        </w:rPr>
        <w:t>Avoti, kuri izgulsnē avotkaļķus</w:t>
      </w:r>
    </w:p>
    <w:p w14:paraId="4D85870B" w14:textId="7FC741B0" w:rsidR="002B1603" w:rsidRPr="00A07F29" w:rsidRDefault="00DA2AE3" w:rsidP="00D571D7">
      <w:pPr>
        <w:autoSpaceDE w:val="0"/>
        <w:autoSpaceDN w:val="0"/>
        <w:adjustRightInd w:val="0"/>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Šis biotops </w:t>
      </w:r>
      <w:r w:rsidR="002B1603" w:rsidRPr="00A07F29">
        <w:rPr>
          <w:rFonts w:ascii="Times New Roman" w:eastAsia="Calibri" w:hAnsi="Times New Roman" w:cs="Times New Roman"/>
          <w:sz w:val="24"/>
          <w:szCs w:val="24"/>
        </w:rPr>
        <w:t xml:space="preserve">AAA </w:t>
      </w:r>
      <w:r w:rsidR="007F0B39">
        <w:rPr>
          <w:rFonts w:ascii="Times New Roman" w:eastAsia="Calibri" w:hAnsi="Times New Roman" w:cs="Times New Roman"/>
          <w:sz w:val="24"/>
          <w:szCs w:val="24"/>
        </w:rPr>
        <w:t>“</w:t>
      </w:r>
      <w:r w:rsidR="002B1603" w:rsidRPr="00A07F29">
        <w:rPr>
          <w:rFonts w:ascii="Times New Roman" w:eastAsia="Calibri" w:hAnsi="Times New Roman" w:cs="Times New Roman"/>
          <w:sz w:val="24"/>
          <w:szCs w:val="24"/>
        </w:rPr>
        <w:t xml:space="preserve">Augšdaugavā” konstatēts tikai vienā vietā – </w:t>
      </w:r>
      <w:proofErr w:type="spellStart"/>
      <w:r w:rsidR="002B1603" w:rsidRPr="00A07F29">
        <w:rPr>
          <w:rFonts w:ascii="Times New Roman" w:eastAsia="Calibri" w:hAnsi="Times New Roman" w:cs="Times New Roman"/>
          <w:sz w:val="24"/>
          <w:szCs w:val="24"/>
        </w:rPr>
        <w:t>Viļeikas</w:t>
      </w:r>
      <w:proofErr w:type="spellEnd"/>
      <w:r w:rsidR="002B1603" w:rsidRPr="00A07F29">
        <w:rPr>
          <w:rFonts w:ascii="Times New Roman" w:eastAsia="Calibri" w:hAnsi="Times New Roman" w:cs="Times New Roman"/>
          <w:sz w:val="24"/>
          <w:szCs w:val="24"/>
        </w:rPr>
        <w:t xml:space="preserve"> upes krasta nogāzē pie Baltkrievijas robežas, kur aizņem šim biotopam diezgan ievērojamu platību – 0,559</w:t>
      </w:r>
      <w:r w:rsidR="002823AE">
        <w:rPr>
          <w:rFonts w:ascii="Times New Roman" w:eastAsia="Calibri" w:hAnsi="Times New Roman" w:cs="Times New Roman"/>
          <w:sz w:val="24"/>
          <w:szCs w:val="24"/>
        </w:rPr>
        <w:t> </w:t>
      </w:r>
      <w:r w:rsidR="002B1603" w:rsidRPr="00A07F29">
        <w:rPr>
          <w:rFonts w:ascii="Times New Roman" w:eastAsia="Calibri" w:hAnsi="Times New Roman" w:cs="Times New Roman"/>
          <w:sz w:val="24"/>
          <w:szCs w:val="24"/>
        </w:rPr>
        <w:t xml:space="preserve">ha. Avota ūdeņi veido nelielus </w:t>
      </w:r>
      <w:proofErr w:type="spellStart"/>
      <w:r w:rsidR="002B1603" w:rsidRPr="00A07F29">
        <w:rPr>
          <w:rFonts w:ascii="Times New Roman" w:eastAsia="Calibri" w:hAnsi="Times New Roman" w:cs="Times New Roman"/>
          <w:sz w:val="24"/>
          <w:szCs w:val="24"/>
        </w:rPr>
        <w:t>kaļķiežu</w:t>
      </w:r>
      <w:proofErr w:type="spellEnd"/>
      <w:r w:rsidR="002B1603" w:rsidRPr="00A07F29">
        <w:rPr>
          <w:rFonts w:ascii="Times New Roman" w:eastAsia="Calibri" w:hAnsi="Times New Roman" w:cs="Times New Roman"/>
          <w:sz w:val="24"/>
          <w:szCs w:val="24"/>
        </w:rPr>
        <w:t xml:space="preserve"> gabalus, savukārt no biotopam raksturīgajām sugām konstatētas atsevišķas </w:t>
      </w:r>
      <w:proofErr w:type="spellStart"/>
      <w:r w:rsidR="002B1603" w:rsidRPr="00A07F29">
        <w:rPr>
          <w:rFonts w:ascii="Times New Roman" w:eastAsia="Calibri" w:hAnsi="Times New Roman" w:cs="Times New Roman"/>
          <w:sz w:val="24"/>
          <w:szCs w:val="24"/>
        </w:rPr>
        <w:t>kalcifilās</w:t>
      </w:r>
      <w:proofErr w:type="spellEnd"/>
      <w:r w:rsidR="002B1603" w:rsidRPr="00A07F29">
        <w:rPr>
          <w:rFonts w:ascii="Times New Roman" w:eastAsia="Calibri" w:hAnsi="Times New Roman" w:cs="Times New Roman"/>
          <w:sz w:val="24"/>
          <w:szCs w:val="24"/>
        </w:rPr>
        <w:t xml:space="preserve"> sūnas un </w:t>
      </w:r>
      <w:proofErr w:type="spellStart"/>
      <w:r w:rsidR="002B1603" w:rsidRPr="00A07F29">
        <w:rPr>
          <w:rFonts w:ascii="Times New Roman" w:eastAsia="Calibri" w:hAnsi="Times New Roman" w:cs="Times New Roman"/>
          <w:sz w:val="24"/>
          <w:szCs w:val="24"/>
        </w:rPr>
        <w:t>vaskulāro</w:t>
      </w:r>
      <w:proofErr w:type="spellEnd"/>
      <w:r w:rsidR="002B1603" w:rsidRPr="00A07F29">
        <w:rPr>
          <w:rFonts w:ascii="Times New Roman" w:eastAsia="Calibri" w:hAnsi="Times New Roman" w:cs="Times New Roman"/>
          <w:sz w:val="24"/>
          <w:szCs w:val="24"/>
        </w:rPr>
        <w:t xml:space="preserve"> augu sugas – mainīgā </w:t>
      </w:r>
      <w:proofErr w:type="spellStart"/>
      <w:r w:rsidR="002B1603" w:rsidRPr="00A07F29">
        <w:rPr>
          <w:rFonts w:ascii="Times New Roman" w:eastAsia="Calibri" w:hAnsi="Times New Roman" w:cs="Times New Roman"/>
          <w:sz w:val="24"/>
          <w:szCs w:val="24"/>
        </w:rPr>
        <w:t>avotspalve</w:t>
      </w:r>
      <w:proofErr w:type="spellEnd"/>
      <w:r w:rsidR="002B1603" w:rsidRPr="00A07F29">
        <w:rPr>
          <w:rFonts w:ascii="Times New Roman" w:eastAsia="Calibri" w:hAnsi="Times New Roman" w:cs="Times New Roman"/>
          <w:sz w:val="24"/>
          <w:szCs w:val="24"/>
        </w:rPr>
        <w:t xml:space="preserve"> </w:t>
      </w:r>
      <w:proofErr w:type="spellStart"/>
      <w:r w:rsidR="002B1603" w:rsidRPr="00A07F29">
        <w:rPr>
          <w:rFonts w:ascii="Times New Roman" w:eastAsia="Calibri" w:hAnsi="Times New Roman" w:cs="Times New Roman"/>
          <w:i/>
          <w:iCs/>
          <w:sz w:val="24"/>
          <w:szCs w:val="24"/>
        </w:rPr>
        <w:t>Palustriella</w:t>
      </w:r>
      <w:proofErr w:type="spellEnd"/>
      <w:r w:rsidR="002B1603" w:rsidRPr="00A07F29">
        <w:rPr>
          <w:rFonts w:ascii="Times New Roman" w:eastAsia="Calibri" w:hAnsi="Times New Roman" w:cs="Times New Roman"/>
          <w:i/>
          <w:iCs/>
          <w:sz w:val="24"/>
          <w:szCs w:val="24"/>
        </w:rPr>
        <w:t xml:space="preserve"> </w:t>
      </w:r>
      <w:proofErr w:type="spellStart"/>
      <w:r w:rsidR="002B1603" w:rsidRPr="00A07F29">
        <w:rPr>
          <w:rFonts w:ascii="Times New Roman" w:eastAsia="Calibri" w:hAnsi="Times New Roman" w:cs="Times New Roman"/>
          <w:i/>
          <w:iCs/>
          <w:sz w:val="24"/>
          <w:szCs w:val="24"/>
        </w:rPr>
        <w:t>commutata</w:t>
      </w:r>
      <w:proofErr w:type="spellEnd"/>
      <w:r w:rsidR="002B1603" w:rsidRPr="00A07F29">
        <w:rPr>
          <w:rFonts w:ascii="Times New Roman" w:eastAsia="Calibri" w:hAnsi="Times New Roman" w:cs="Times New Roman"/>
          <w:sz w:val="24"/>
          <w:szCs w:val="24"/>
        </w:rPr>
        <w:t xml:space="preserve">, </w:t>
      </w:r>
      <w:proofErr w:type="spellStart"/>
      <w:r w:rsidR="002B1603" w:rsidRPr="00A07F29">
        <w:rPr>
          <w:rFonts w:ascii="Times New Roman" w:eastAsia="Calibri" w:hAnsi="Times New Roman" w:cs="Times New Roman"/>
          <w:sz w:val="24"/>
          <w:szCs w:val="24"/>
        </w:rPr>
        <w:t>sāres</w:t>
      </w:r>
      <w:proofErr w:type="spellEnd"/>
      <w:r w:rsidR="002B1603" w:rsidRPr="00A07F29">
        <w:rPr>
          <w:rFonts w:ascii="Times New Roman" w:eastAsia="Calibri" w:hAnsi="Times New Roman" w:cs="Times New Roman"/>
          <w:sz w:val="24"/>
          <w:szCs w:val="24"/>
        </w:rPr>
        <w:t xml:space="preserve"> grīslis </w:t>
      </w:r>
      <w:proofErr w:type="spellStart"/>
      <w:r w:rsidR="002B1603" w:rsidRPr="00A07F29">
        <w:rPr>
          <w:rFonts w:ascii="Times New Roman" w:eastAsia="Calibri" w:hAnsi="Times New Roman" w:cs="Times New Roman"/>
          <w:i/>
          <w:iCs/>
          <w:sz w:val="24"/>
          <w:szCs w:val="24"/>
        </w:rPr>
        <w:t>Carex</w:t>
      </w:r>
      <w:proofErr w:type="spellEnd"/>
      <w:r w:rsidR="002B1603" w:rsidRPr="00A07F29">
        <w:rPr>
          <w:rFonts w:ascii="Times New Roman" w:eastAsia="Calibri" w:hAnsi="Times New Roman" w:cs="Times New Roman"/>
          <w:i/>
          <w:iCs/>
          <w:sz w:val="24"/>
          <w:szCs w:val="24"/>
        </w:rPr>
        <w:t xml:space="preserve"> </w:t>
      </w:r>
      <w:proofErr w:type="spellStart"/>
      <w:r w:rsidR="002B1603" w:rsidRPr="00A07F29">
        <w:rPr>
          <w:rFonts w:ascii="Times New Roman" w:eastAsia="Calibri" w:hAnsi="Times New Roman" w:cs="Times New Roman"/>
          <w:i/>
          <w:iCs/>
          <w:sz w:val="24"/>
          <w:szCs w:val="24"/>
        </w:rPr>
        <w:t>panicea</w:t>
      </w:r>
      <w:proofErr w:type="spellEnd"/>
      <w:r w:rsidR="002B1603" w:rsidRPr="00A07F29">
        <w:rPr>
          <w:rFonts w:ascii="Times New Roman" w:eastAsia="Calibri" w:hAnsi="Times New Roman" w:cs="Times New Roman"/>
          <w:i/>
          <w:iCs/>
          <w:sz w:val="24"/>
          <w:szCs w:val="24"/>
        </w:rPr>
        <w:t>,</w:t>
      </w:r>
      <w:r w:rsidR="002B1603" w:rsidRPr="00A07F29">
        <w:rPr>
          <w:rFonts w:ascii="Times New Roman" w:eastAsia="Calibri" w:hAnsi="Times New Roman" w:cs="Times New Roman"/>
          <w:sz w:val="24"/>
          <w:szCs w:val="24"/>
        </w:rPr>
        <w:t xml:space="preserve"> </w:t>
      </w:r>
      <w:proofErr w:type="spellStart"/>
      <w:r w:rsidR="002B1603" w:rsidRPr="00A07F29">
        <w:rPr>
          <w:rFonts w:ascii="Times New Roman" w:eastAsia="Calibri" w:hAnsi="Times New Roman" w:cs="Times New Roman"/>
          <w:sz w:val="24"/>
          <w:szCs w:val="24"/>
        </w:rPr>
        <w:t>attālvārpu</w:t>
      </w:r>
      <w:proofErr w:type="spellEnd"/>
      <w:r w:rsidR="002B1603" w:rsidRPr="00A07F29">
        <w:rPr>
          <w:rFonts w:ascii="Times New Roman" w:eastAsia="Calibri" w:hAnsi="Times New Roman" w:cs="Times New Roman"/>
          <w:sz w:val="24"/>
          <w:szCs w:val="24"/>
        </w:rPr>
        <w:t xml:space="preserve"> grīslis </w:t>
      </w:r>
      <w:proofErr w:type="spellStart"/>
      <w:r w:rsidR="002B1603" w:rsidRPr="00A07F29">
        <w:rPr>
          <w:rFonts w:ascii="Times New Roman" w:eastAsia="Calibri" w:hAnsi="Times New Roman" w:cs="Times New Roman"/>
          <w:i/>
          <w:iCs/>
          <w:sz w:val="24"/>
          <w:szCs w:val="24"/>
        </w:rPr>
        <w:t>Carex</w:t>
      </w:r>
      <w:proofErr w:type="spellEnd"/>
      <w:r w:rsidR="002B1603" w:rsidRPr="00A07F29">
        <w:rPr>
          <w:rFonts w:ascii="Times New Roman" w:eastAsia="Calibri" w:hAnsi="Times New Roman" w:cs="Times New Roman"/>
          <w:i/>
          <w:iCs/>
          <w:sz w:val="24"/>
          <w:szCs w:val="24"/>
        </w:rPr>
        <w:t xml:space="preserve"> </w:t>
      </w:r>
      <w:proofErr w:type="spellStart"/>
      <w:r w:rsidR="002B1603" w:rsidRPr="00A07F29">
        <w:rPr>
          <w:rFonts w:ascii="Times New Roman" w:eastAsia="Calibri" w:hAnsi="Times New Roman" w:cs="Times New Roman"/>
          <w:i/>
          <w:iCs/>
          <w:sz w:val="24"/>
          <w:szCs w:val="24"/>
        </w:rPr>
        <w:t>remota</w:t>
      </w:r>
      <w:proofErr w:type="spellEnd"/>
      <w:r w:rsidR="002B1603" w:rsidRPr="00A07F29">
        <w:rPr>
          <w:rFonts w:ascii="Times New Roman" w:eastAsia="Calibri" w:hAnsi="Times New Roman" w:cs="Times New Roman"/>
          <w:sz w:val="24"/>
          <w:szCs w:val="24"/>
        </w:rPr>
        <w:t xml:space="preserve"> u.c. Biotopa vitalitāte teritorijā vērtējama kā laba, tomēr pašreizējais biotopa aizsardzības stāvoklis Augšdaugavā vērtējams kā nelabvēlīgs, jo tiešā avotu poligona tuvumā atrodas daļēji izstrādāts, tomēr vēl izmantots karjers, kura tālākā izstrāde var negatīvi ietekmēt šo avotu biotopu.</w:t>
      </w:r>
      <w:r w:rsidR="00D571D7" w:rsidRPr="00A07F29">
        <w:rPr>
          <w:rFonts w:ascii="Times New Roman" w:eastAsia="Calibri" w:hAnsi="Times New Roman" w:cs="Times New Roman"/>
          <w:sz w:val="24"/>
          <w:szCs w:val="24"/>
        </w:rPr>
        <w:t xml:space="preserve"> Pazemes ūdens plūsmas un līdz ar to arī avotu darbību var nelabvēlīgi ietekmēt gruntsūdens līmeņa pazemināšana un dažādi zemes rakšanas darbi. Gruntsūdens līmeni var pazemināt dažādas darbības, piemēram, grāvju un dīķu rakšana, bet derīgo izrakteņu, tostarp ūdens ieguve (karjeri, ūdens atsūknēšana) var </w:t>
      </w:r>
      <w:r w:rsidR="00D571D7" w:rsidRPr="00A07F29">
        <w:rPr>
          <w:rFonts w:ascii="Times New Roman" w:eastAsia="Calibri" w:hAnsi="Times New Roman" w:cs="Times New Roman"/>
          <w:sz w:val="24"/>
          <w:szCs w:val="24"/>
        </w:rPr>
        <w:lastRenderedPageBreak/>
        <w:t>skart gan gruntsūdeņu, gan artēzisko ūdeņu slāņus (Priede</w:t>
      </w:r>
      <w:r w:rsidR="00C77175">
        <w:rPr>
          <w:rFonts w:ascii="Times New Roman" w:eastAsia="Calibri" w:hAnsi="Times New Roman" w:cs="Times New Roman"/>
          <w:sz w:val="24"/>
          <w:szCs w:val="24"/>
        </w:rPr>
        <w:t xml:space="preserve"> A.,</w:t>
      </w:r>
      <w:r w:rsidR="00D571D7" w:rsidRPr="00A07F29">
        <w:rPr>
          <w:rFonts w:ascii="Times New Roman" w:eastAsia="Calibri" w:hAnsi="Times New Roman" w:cs="Times New Roman"/>
          <w:sz w:val="24"/>
          <w:szCs w:val="24"/>
        </w:rPr>
        <w:t xml:space="preserve"> 2017</w:t>
      </w:r>
      <w:r w:rsidR="00D53A14" w:rsidRPr="00A07F29">
        <w:rPr>
          <w:rFonts w:ascii="Times New Roman" w:eastAsia="Calibri" w:hAnsi="Times New Roman" w:cs="Times New Roman"/>
          <w:sz w:val="24"/>
          <w:szCs w:val="24"/>
        </w:rPr>
        <w:t>)</w:t>
      </w:r>
      <w:r w:rsidR="00D571D7" w:rsidRPr="00A07F29">
        <w:rPr>
          <w:rFonts w:ascii="Times New Roman" w:eastAsia="Calibri" w:hAnsi="Times New Roman" w:cs="Times New Roman"/>
          <w:sz w:val="24"/>
          <w:szCs w:val="24"/>
        </w:rPr>
        <w:t xml:space="preserve">. </w:t>
      </w:r>
      <w:r w:rsidR="00D53A14" w:rsidRPr="00A07F29">
        <w:rPr>
          <w:rFonts w:ascii="Times New Roman" w:eastAsia="Calibri" w:hAnsi="Times New Roman" w:cs="Times New Roman"/>
          <w:sz w:val="24"/>
          <w:szCs w:val="24"/>
        </w:rPr>
        <w:t>Līdz ar to a</w:t>
      </w:r>
      <w:r w:rsidR="00D571D7" w:rsidRPr="00A07F29">
        <w:rPr>
          <w:rFonts w:ascii="Times New Roman" w:eastAsia="Calibri" w:hAnsi="Times New Roman" w:cs="Times New Roman"/>
          <w:sz w:val="24"/>
          <w:szCs w:val="24"/>
        </w:rPr>
        <w:t>votam tuvākajā karjera daļā n</w:t>
      </w:r>
      <w:r w:rsidR="00D53A14" w:rsidRPr="00A07F29">
        <w:rPr>
          <w:rFonts w:ascii="Times New Roman" w:eastAsia="Calibri" w:hAnsi="Times New Roman" w:cs="Times New Roman"/>
          <w:sz w:val="24"/>
          <w:szCs w:val="24"/>
        </w:rPr>
        <w:t xml:space="preserve">av pieļaujama </w:t>
      </w:r>
      <w:r w:rsidR="00D571D7" w:rsidRPr="00A07F29">
        <w:rPr>
          <w:rFonts w:ascii="Times New Roman" w:eastAsia="Calibri" w:hAnsi="Times New Roman" w:cs="Times New Roman"/>
          <w:sz w:val="24"/>
          <w:szCs w:val="24"/>
        </w:rPr>
        <w:t>rakšanas darbu</w:t>
      </w:r>
      <w:r w:rsidR="00D53A14" w:rsidRPr="00A07F29">
        <w:rPr>
          <w:rFonts w:ascii="Times New Roman" w:eastAsia="Calibri" w:hAnsi="Times New Roman" w:cs="Times New Roman"/>
          <w:sz w:val="24"/>
          <w:szCs w:val="24"/>
        </w:rPr>
        <w:t xml:space="preserve"> atjaunošana</w:t>
      </w:r>
      <w:r w:rsidR="00D571D7" w:rsidRPr="00A07F29">
        <w:rPr>
          <w:rFonts w:ascii="Times New Roman" w:eastAsia="Calibri" w:hAnsi="Times New Roman" w:cs="Times New Roman"/>
          <w:sz w:val="24"/>
          <w:szCs w:val="24"/>
        </w:rPr>
        <w:t>.</w:t>
      </w:r>
    </w:p>
    <w:p w14:paraId="59F2A1EC" w14:textId="77777777" w:rsidR="00B77E27" w:rsidRPr="00A07F29" w:rsidRDefault="00B77E27" w:rsidP="002B1603">
      <w:pPr>
        <w:autoSpaceDE w:val="0"/>
        <w:autoSpaceDN w:val="0"/>
        <w:adjustRightInd w:val="0"/>
        <w:spacing w:after="120"/>
        <w:jc w:val="both"/>
        <w:rPr>
          <w:rFonts w:ascii="Times New Roman" w:eastAsia="Calibri" w:hAnsi="Times New Roman" w:cs="Times New Roman"/>
          <w:sz w:val="24"/>
          <w:szCs w:val="24"/>
        </w:rPr>
      </w:pPr>
    </w:p>
    <w:p w14:paraId="169A83CB" w14:textId="072A0761" w:rsidR="002B1603" w:rsidRPr="00A07F29" w:rsidRDefault="002B1603" w:rsidP="00B77E27">
      <w:pPr>
        <w:pStyle w:val="Heading2"/>
        <w:spacing w:before="120" w:after="120"/>
        <w:ind w:firstLine="0"/>
        <w:jc w:val="center"/>
        <w:rPr>
          <w:rFonts w:ascii="Times New Roman" w:hAnsi="Times New Roman"/>
          <w:b w:val="0"/>
          <w:iCs w:val="0"/>
        </w:rPr>
      </w:pPr>
      <w:bookmarkStart w:id="66" w:name="_Toc183434006"/>
      <w:r w:rsidRPr="00A07F29">
        <w:rPr>
          <w:rFonts w:ascii="Times New Roman" w:hAnsi="Times New Roman"/>
          <w:i w:val="0"/>
        </w:rPr>
        <w:t xml:space="preserve">4.4. </w:t>
      </w:r>
      <w:proofErr w:type="spellStart"/>
      <w:r w:rsidRPr="00A07F29">
        <w:rPr>
          <w:rFonts w:ascii="Times New Roman" w:hAnsi="Times New Roman"/>
          <w:i w:val="0"/>
        </w:rPr>
        <w:t>Vaskulāro</w:t>
      </w:r>
      <w:proofErr w:type="spellEnd"/>
      <w:r w:rsidRPr="00A07F29">
        <w:rPr>
          <w:rFonts w:ascii="Times New Roman" w:hAnsi="Times New Roman"/>
          <w:i w:val="0"/>
        </w:rPr>
        <w:t xml:space="preserve"> augu sugas</w:t>
      </w:r>
      <w:bookmarkEnd w:id="66"/>
    </w:p>
    <w:p w14:paraId="40BED192" w14:textId="49BB3AA5" w:rsidR="002B1603" w:rsidRPr="00A07F29" w:rsidRDefault="002B1603" w:rsidP="00B77E27">
      <w:pPr>
        <w:pStyle w:val="Heading3"/>
        <w:spacing w:before="120" w:after="120" w:line="240" w:lineRule="auto"/>
        <w:jc w:val="center"/>
        <w:rPr>
          <w:b w:val="0"/>
          <w:lang w:eastAsia="ja-JP"/>
        </w:rPr>
      </w:pPr>
      <w:bookmarkStart w:id="67" w:name="_Toc183434007"/>
      <w:r w:rsidRPr="00A07F29">
        <w:rPr>
          <w:lang w:eastAsia="ja-JP"/>
        </w:rPr>
        <w:t>4.4.1. Floras pētījumu vēsture</w:t>
      </w:r>
      <w:bookmarkEnd w:id="67"/>
    </w:p>
    <w:p w14:paraId="42F39C99" w14:textId="2D296189" w:rsidR="00723DB9" w:rsidRPr="00A07F29" w:rsidRDefault="002B1603" w:rsidP="00473E20">
      <w:pPr>
        <w:spacing w:after="120" w:line="240" w:lineRule="auto"/>
        <w:ind w:firstLine="851"/>
        <w:jc w:val="both"/>
        <w:rPr>
          <w:rFonts w:ascii="Times New Roman" w:eastAsia="Calibri" w:hAnsi="Times New Roman" w:cs="Calibri"/>
          <w:sz w:val="24"/>
          <w:szCs w:val="24"/>
        </w:rPr>
      </w:pPr>
      <w:r w:rsidRPr="00E26F90">
        <w:rPr>
          <w:rFonts w:ascii="Times New Roman" w:eastAsia="Calibri" w:hAnsi="Times New Roman" w:cs="Calibri"/>
          <w:sz w:val="24"/>
          <w:szCs w:val="24"/>
        </w:rPr>
        <w:t xml:space="preserve">Pirmie </w:t>
      </w:r>
      <w:proofErr w:type="spellStart"/>
      <w:r w:rsidRPr="00E26F90">
        <w:rPr>
          <w:rFonts w:ascii="Times New Roman" w:eastAsia="Calibri" w:hAnsi="Times New Roman" w:cs="Calibri"/>
          <w:sz w:val="24"/>
          <w:szCs w:val="24"/>
        </w:rPr>
        <w:t>floristiskie</w:t>
      </w:r>
      <w:proofErr w:type="spellEnd"/>
      <w:r w:rsidRPr="00E26F90">
        <w:rPr>
          <w:rFonts w:ascii="Times New Roman" w:eastAsia="Calibri" w:hAnsi="Times New Roman" w:cs="Calibri"/>
          <w:sz w:val="24"/>
          <w:szCs w:val="24"/>
        </w:rPr>
        <w:t xml:space="preserve"> dati</w:t>
      </w:r>
      <w:r w:rsidRPr="00A07F29">
        <w:rPr>
          <w:rFonts w:ascii="Times New Roman" w:eastAsia="Calibri" w:hAnsi="Times New Roman" w:cs="Calibri"/>
          <w:sz w:val="24"/>
          <w:szCs w:val="24"/>
        </w:rPr>
        <w:t xml:space="preserve"> Daugavas ielejā posmā no Piedrujas līdz Daugavpilij zināmi jau no 19</w:t>
      </w:r>
      <w:r w:rsidR="53617C68" w:rsidRPr="00A07F29">
        <w:rPr>
          <w:rFonts w:ascii="Times New Roman" w:eastAsia="Calibri" w:hAnsi="Times New Roman" w:cs="Calibri"/>
          <w:sz w:val="24"/>
          <w:szCs w:val="24"/>
        </w:rPr>
        <w:t>.</w:t>
      </w:r>
      <w:r w:rsidR="00AD508A">
        <w:rPr>
          <w:rFonts w:ascii="Times New Roman" w:eastAsia="Calibri" w:hAnsi="Times New Roman" w:cs="Calibri"/>
          <w:sz w:val="24"/>
          <w:szCs w:val="24"/>
        </w:rPr>
        <w:t> gadsimta</w:t>
      </w:r>
      <w:r w:rsidRPr="00A07F29">
        <w:rPr>
          <w:rFonts w:ascii="Times New Roman" w:eastAsia="Calibri" w:hAnsi="Times New Roman" w:cs="Calibri"/>
          <w:sz w:val="24"/>
          <w:szCs w:val="24"/>
        </w:rPr>
        <w:t xml:space="preserve"> otrās puses. Šeit, lai arī fragmentāri, strādājuši pazīstami Latgales un Sēlijas floras pētnieki T.</w:t>
      </w:r>
      <w:r w:rsidR="00DF4C78">
        <w:rPr>
          <w:rFonts w:ascii="Times New Roman" w:eastAsia="Calibri" w:hAnsi="Times New Roman" w:cs="Calibri"/>
          <w:sz w:val="24"/>
          <w:szCs w:val="24"/>
        </w:rPr>
        <w:t> </w:t>
      </w:r>
      <w:proofErr w:type="spellStart"/>
      <w:r w:rsidRPr="00A07F29">
        <w:rPr>
          <w:rFonts w:ascii="Times New Roman" w:eastAsia="Calibri" w:hAnsi="Times New Roman" w:cs="Calibri"/>
          <w:sz w:val="24"/>
          <w:szCs w:val="24"/>
        </w:rPr>
        <w:t>Bīnerts</w:t>
      </w:r>
      <w:proofErr w:type="spellEnd"/>
      <w:r w:rsidRPr="00A07F29">
        <w:rPr>
          <w:rFonts w:ascii="Times New Roman" w:eastAsia="Calibri" w:hAnsi="Times New Roman" w:cs="Calibri"/>
          <w:sz w:val="24"/>
          <w:szCs w:val="24"/>
        </w:rPr>
        <w:t xml:space="preserve"> (1861) un E.</w:t>
      </w:r>
      <w:r w:rsidR="00DF4C78">
        <w:rPr>
          <w:rFonts w:ascii="Times New Roman" w:eastAsia="Calibri" w:hAnsi="Times New Roman" w:cs="Calibri"/>
          <w:sz w:val="24"/>
          <w:szCs w:val="24"/>
        </w:rPr>
        <w:t> </w:t>
      </w:r>
      <w:proofErr w:type="spellStart"/>
      <w:r w:rsidRPr="00A07F29">
        <w:rPr>
          <w:rFonts w:ascii="Times New Roman" w:eastAsia="Calibri" w:hAnsi="Times New Roman" w:cs="Calibri"/>
          <w:sz w:val="24"/>
          <w:szCs w:val="24"/>
        </w:rPr>
        <w:t>Lēmanis</w:t>
      </w:r>
      <w:proofErr w:type="spellEnd"/>
      <w:r w:rsidRPr="00A07F29">
        <w:rPr>
          <w:rFonts w:ascii="Times New Roman" w:eastAsia="Calibri" w:hAnsi="Times New Roman" w:cs="Calibri"/>
          <w:sz w:val="24"/>
          <w:szCs w:val="24"/>
        </w:rPr>
        <w:t xml:space="preserve"> (1895). Ļoti nozīmīgas ekspedīcijas visā Ilūkstes </w:t>
      </w:r>
      <w:proofErr w:type="spellStart"/>
      <w:r w:rsidRPr="00A07F29">
        <w:rPr>
          <w:rFonts w:ascii="Times New Roman" w:eastAsia="Calibri" w:hAnsi="Times New Roman" w:cs="Calibri"/>
          <w:sz w:val="24"/>
          <w:szCs w:val="24"/>
        </w:rPr>
        <w:t>apriņķa</w:t>
      </w:r>
      <w:proofErr w:type="spellEnd"/>
      <w:r w:rsidRPr="00A07F29">
        <w:rPr>
          <w:rFonts w:ascii="Times New Roman" w:eastAsia="Calibri" w:hAnsi="Times New Roman" w:cs="Calibri"/>
          <w:sz w:val="24"/>
          <w:szCs w:val="24"/>
        </w:rPr>
        <w:t xml:space="preserve"> teritorijā, tai skaitā arī AAA </w:t>
      </w:r>
      <w:r w:rsidR="00DF4C78">
        <w:rPr>
          <w:rFonts w:ascii="Times New Roman" w:eastAsia="Calibri" w:hAnsi="Times New Roman" w:cs="Calibri"/>
          <w:sz w:val="24"/>
          <w:szCs w:val="24"/>
        </w:rPr>
        <w:t>“</w:t>
      </w:r>
      <w:r w:rsidRPr="00A07F29">
        <w:rPr>
          <w:rFonts w:ascii="Times New Roman" w:eastAsia="Calibri" w:hAnsi="Times New Roman" w:cs="Calibri"/>
          <w:sz w:val="24"/>
          <w:szCs w:val="24"/>
        </w:rPr>
        <w:t>Augšdaugava” teritorijā, veica K.</w:t>
      </w:r>
      <w:r w:rsidR="00DF4C78">
        <w:rPr>
          <w:rFonts w:ascii="Times New Roman" w:eastAsia="Calibri" w:hAnsi="Times New Roman" w:cs="Calibri"/>
          <w:sz w:val="24"/>
          <w:szCs w:val="24"/>
        </w:rPr>
        <w:t> </w:t>
      </w:r>
      <w:proofErr w:type="spellStart"/>
      <w:r w:rsidRPr="00A07F29">
        <w:rPr>
          <w:rFonts w:ascii="Times New Roman" w:eastAsia="Calibri" w:hAnsi="Times New Roman" w:cs="Calibri"/>
          <w:sz w:val="24"/>
          <w:szCs w:val="24"/>
        </w:rPr>
        <w:t>Kupfers</w:t>
      </w:r>
      <w:proofErr w:type="spellEnd"/>
      <w:r w:rsidRPr="00A07F29">
        <w:rPr>
          <w:rFonts w:ascii="Times New Roman" w:eastAsia="Calibri" w:hAnsi="Times New Roman" w:cs="Calibri"/>
          <w:sz w:val="24"/>
          <w:szCs w:val="24"/>
        </w:rPr>
        <w:t xml:space="preserve"> 1898. un 1899.</w:t>
      </w:r>
      <w:r w:rsidR="00DF4C78">
        <w:rPr>
          <w:rFonts w:ascii="Times New Roman" w:eastAsia="Calibri" w:hAnsi="Times New Roman" w:cs="Calibri"/>
          <w:sz w:val="24"/>
          <w:szCs w:val="24"/>
        </w:rPr>
        <w:t> </w:t>
      </w:r>
      <w:r w:rsidRPr="00A07F29">
        <w:rPr>
          <w:rFonts w:ascii="Times New Roman" w:eastAsia="Calibri" w:hAnsi="Times New Roman" w:cs="Calibri"/>
          <w:sz w:val="24"/>
          <w:szCs w:val="24"/>
        </w:rPr>
        <w:t>gada vasarās. 20</w:t>
      </w:r>
      <w:r w:rsidR="00DF4C78">
        <w:rPr>
          <w:rFonts w:ascii="Times New Roman" w:eastAsia="Calibri" w:hAnsi="Times New Roman" w:cs="Calibri"/>
          <w:sz w:val="24"/>
          <w:szCs w:val="24"/>
        </w:rPr>
        <w:t>. gadsimta</w:t>
      </w:r>
      <w:r w:rsidRPr="00A07F29">
        <w:rPr>
          <w:rFonts w:ascii="Times New Roman" w:eastAsia="Calibri" w:hAnsi="Times New Roman" w:cs="Calibri"/>
          <w:sz w:val="24"/>
          <w:szCs w:val="24"/>
        </w:rPr>
        <w:t xml:space="preserve"> pirmajā pusē pētījumi AAA </w:t>
      </w:r>
      <w:r w:rsidR="00980123">
        <w:rPr>
          <w:rFonts w:ascii="Times New Roman" w:eastAsia="Calibri" w:hAnsi="Times New Roman" w:cs="Calibri"/>
          <w:sz w:val="24"/>
          <w:szCs w:val="24"/>
        </w:rPr>
        <w:t>“</w:t>
      </w:r>
      <w:r w:rsidRPr="00A07F29">
        <w:rPr>
          <w:rFonts w:ascii="Times New Roman" w:eastAsia="Calibri" w:hAnsi="Times New Roman" w:cs="Calibri"/>
          <w:sz w:val="24"/>
          <w:szCs w:val="24"/>
        </w:rPr>
        <w:t>Augšdaugava” teritorijā noris ļoti epizodiski. 1939.</w:t>
      </w:r>
      <w:r w:rsidR="00980123">
        <w:rPr>
          <w:rFonts w:ascii="Times New Roman" w:eastAsia="Calibri" w:hAnsi="Times New Roman" w:cs="Calibri"/>
          <w:sz w:val="24"/>
          <w:szCs w:val="24"/>
        </w:rPr>
        <w:t> </w:t>
      </w:r>
      <w:r w:rsidRPr="00A07F29">
        <w:rPr>
          <w:rFonts w:ascii="Times New Roman" w:eastAsia="Calibri" w:hAnsi="Times New Roman" w:cs="Calibri"/>
          <w:sz w:val="24"/>
          <w:szCs w:val="24"/>
        </w:rPr>
        <w:t>gadā A.</w:t>
      </w:r>
      <w:r w:rsidR="00980123">
        <w:rPr>
          <w:rFonts w:ascii="Times New Roman" w:eastAsia="Calibri" w:hAnsi="Times New Roman" w:cs="Calibri"/>
          <w:sz w:val="24"/>
          <w:szCs w:val="24"/>
        </w:rPr>
        <w:t> </w:t>
      </w:r>
      <w:proofErr w:type="spellStart"/>
      <w:r w:rsidRPr="00A07F29">
        <w:rPr>
          <w:rFonts w:ascii="Times New Roman" w:eastAsia="Calibri" w:hAnsi="Times New Roman" w:cs="Calibri"/>
          <w:sz w:val="24"/>
          <w:szCs w:val="24"/>
        </w:rPr>
        <w:t>Villerts</w:t>
      </w:r>
      <w:proofErr w:type="spellEnd"/>
      <w:r w:rsidRPr="00A07F29">
        <w:rPr>
          <w:rFonts w:ascii="Times New Roman" w:eastAsia="Calibri" w:hAnsi="Times New Roman" w:cs="Calibri"/>
          <w:sz w:val="24"/>
          <w:szCs w:val="24"/>
        </w:rPr>
        <w:t xml:space="preserve"> savu botānisko ekskursiju laikā pirmoreiz Latvijā konstatē pūkaino grīsli </w:t>
      </w:r>
      <w:proofErr w:type="spellStart"/>
      <w:r w:rsidRPr="00A07F29">
        <w:rPr>
          <w:rFonts w:ascii="Times New Roman" w:eastAsia="Calibri" w:hAnsi="Times New Roman" w:cs="Calibri"/>
          <w:i/>
          <w:iCs/>
          <w:sz w:val="24"/>
          <w:szCs w:val="24"/>
        </w:rPr>
        <w:t>Carex</w:t>
      </w:r>
      <w:proofErr w:type="spellEnd"/>
      <w:r w:rsidRPr="00A07F29">
        <w:rPr>
          <w:rFonts w:ascii="Times New Roman" w:eastAsia="Calibri" w:hAnsi="Times New Roman" w:cs="Calibri"/>
          <w:i/>
          <w:iCs/>
          <w:sz w:val="24"/>
          <w:szCs w:val="24"/>
        </w:rPr>
        <w:t xml:space="preserve"> </w:t>
      </w:r>
      <w:proofErr w:type="spellStart"/>
      <w:r w:rsidRPr="00A07F29">
        <w:rPr>
          <w:rFonts w:ascii="Times New Roman" w:eastAsia="Calibri" w:hAnsi="Times New Roman" w:cs="Calibri"/>
          <w:i/>
          <w:iCs/>
          <w:sz w:val="24"/>
          <w:szCs w:val="24"/>
        </w:rPr>
        <w:t>pilosa</w:t>
      </w:r>
      <w:proofErr w:type="spellEnd"/>
      <w:r w:rsidRPr="00A07F29">
        <w:rPr>
          <w:rFonts w:ascii="Times New Roman" w:eastAsia="Calibri" w:hAnsi="Times New Roman" w:cs="Calibri"/>
          <w:sz w:val="24"/>
          <w:szCs w:val="24"/>
        </w:rPr>
        <w:t xml:space="preserve">. </w:t>
      </w:r>
    </w:p>
    <w:p w14:paraId="41EAB107" w14:textId="4BB77BDB" w:rsidR="00723DB9" w:rsidRPr="00A07F29" w:rsidRDefault="002B1603" w:rsidP="00473E20">
      <w:pPr>
        <w:spacing w:after="120" w:line="240" w:lineRule="auto"/>
        <w:ind w:firstLine="851"/>
        <w:jc w:val="both"/>
        <w:rPr>
          <w:rFonts w:ascii="Times New Roman" w:eastAsia="Calibri" w:hAnsi="Times New Roman" w:cs="Calibri"/>
          <w:sz w:val="24"/>
          <w:szCs w:val="24"/>
        </w:rPr>
      </w:pPr>
      <w:r w:rsidRPr="00A07F29">
        <w:rPr>
          <w:rFonts w:ascii="Times New Roman" w:eastAsia="Calibri" w:hAnsi="Times New Roman" w:cs="Calibri"/>
          <w:sz w:val="24"/>
          <w:szCs w:val="24"/>
        </w:rPr>
        <w:t>Detāli Daugavas ielejas pētījumi I.</w:t>
      </w:r>
      <w:r w:rsidR="00980123">
        <w:rPr>
          <w:rFonts w:ascii="Times New Roman" w:eastAsia="Calibri" w:hAnsi="Times New Roman" w:cs="Calibri"/>
          <w:sz w:val="24"/>
          <w:szCs w:val="24"/>
        </w:rPr>
        <w:t> </w:t>
      </w:r>
      <w:proofErr w:type="spellStart"/>
      <w:r w:rsidRPr="00A07F29">
        <w:rPr>
          <w:rFonts w:ascii="Times New Roman" w:eastAsia="Calibri" w:hAnsi="Times New Roman" w:cs="Calibri"/>
          <w:sz w:val="24"/>
          <w:szCs w:val="24"/>
        </w:rPr>
        <w:t>Fatares</w:t>
      </w:r>
      <w:proofErr w:type="spellEnd"/>
      <w:r w:rsidRPr="00A07F29">
        <w:rPr>
          <w:rFonts w:ascii="Times New Roman" w:eastAsia="Calibri" w:hAnsi="Times New Roman" w:cs="Calibri"/>
          <w:sz w:val="24"/>
          <w:szCs w:val="24"/>
        </w:rPr>
        <w:t xml:space="preserve"> vadībā tiek veikti no 1976. līdz 1983.</w:t>
      </w:r>
      <w:r w:rsidR="00980123">
        <w:rPr>
          <w:rFonts w:ascii="Times New Roman" w:eastAsia="Calibri" w:hAnsi="Times New Roman" w:cs="Calibri"/>
          <w:sz w:val="24"/>
          <w:szCs w:val="24"/>
        </w:rPr>
        <w:t> </w:t>
      </w:r>
      <w:r w:rsidRPr="00A07F29">
        <w:rPr>
          <w:rFonts w:ascii="Times New Roman" w:eastAsia="Calibri" w:hAnsi="Times New Roman" w:cs="Calibri"/>
          <w:sz w:val="24"/>
          <w:szCs w:val="24"/>
        </w:rPr>
        <w:t>gadam (</w:t>
      </w:r>
      <w:proofErr w:type="spellStart"/>
      <w:r w:rsidRPr="00A07F29">
        <w:rPr>
          <w:rFonts w:ascii="Times New Roman" w:eastAsia="Calibri" w:hAnsi="Times New Roman" w:cs="Calibri"/>
          <w:sz w:val="24"/>
          <w:szCs w:val="24"/>
        </w:rPr>
        <w:t>Fatare</w:t>
      </w:r>
      <w:proofErr w:type="spellEnd"/>
      <w:r w:rsidR="00B668CE">
        <w:rPr>
          <w:rFonts w:ascii="Times New Roman" w:eastAsia="Calibri" w:hAnsi="Times New Roman" w:cs="Calibri"/>
          <w:sz w:val="24"/>
          <w:szCs w:val="24"/>
        </w:rPr>
        <w:t xml:space="preserve"> I.,</w:t>
      </w:r>
      <w:r w:rsidRPr="00A07F29">
        <w:rPr>
          <w:rFonts w:ascii="Times New Roman" w:eastAsia="Calibri" w:hAnsi="Times New Roman" w:cs="Calibri"/>
          <w:sz w:val="24"/>
          <w:szCs w:val="24"/>
        </w:rPr>
        <w:t xml:space="preserve"> 1989), atkārtoti plaši pētījumi tiek veikti 1989. un 1990.</w:t>
      </w:r>
      <w:r w:rsidR="00B668CE">
        <w:rPr>
          <w:rFonts w:ascii="Times New Roman" w:eastAsia="Calibri" w:hAnsi="Times New Roman" w:cs="Calibri"/>
          <w:sz w:val="24"/>
          <w:szCs w:val="24"/>
        </w:rPr>
        <w:t> </w:t>
      </w:r>
      <w:r w:rsidRPr="00A07F29">
        <w:rPr>
          <w:rFonts w:ascii="Times New Roman" w:eastAsia="Calibri" w:hAnsi="Times New Roman" w:cs="Calibri"/>
          <w:sz w:val="24"/>
          <w:szCs w:val="24"/>
        </w:rPr>
        <w:t>gadā, ko veic LU Bioloģijas institūta Botānikas laboratorijas darbinieki. No 2006</w:t>
      </w:r>
      <w:r w:rsidR="00B668CE">
        <w:rPr>
          <w:rFonts w:ascii="Times New Roman" w:eastAsia="Calibri" w:hAnsi="Times New Roman" w:cs="Calibri"/>
          <w:sz w:val="24"/>
          <w:szCs w:val="24"/>
        </w:rPr>
        <w:t> – </w:t>
      </w:r>
      <w:r w:rsidRPr="00A07F29">
        <w:rPr>
          <w:rFonts w:ascii="Times New Roman" w:eastAsia="Calibri" w:hAnsi="Times New Roman" w:cs="Calibri"/>
          <w:sz w:val="24"/>
          <w:szCs w:val="24"/>
        </w:rPr>
        <w:t>2007.</w:t>
      </w:r>
      <w:r w:rsidR="00B668CE">
        <w:rPr>
          <w:rFonts w:ascii="Times New Roman" w:eastAsia="Calibri" w:hAnsi="Times New Roman" w:cs="Calibri"/>
          <w:sz w:val="24"/>
          <w:szCs w:val="24"/>
        </w:rPr>
        <w:t> </w:t>
      </w:r>
      <w:r w:rsidRPr="00A07F29">
        <w:rPr>
          <w:rFonts w:ascii="Times New Roman" w:eastAsia="Calibri" w:hAnsi="Times New Roman" w:cs="Calibri"/>
          <w:sz w:val="24"/>
          <w:szCs w:val="24"/>
        </w:rPr>
        <w:t xml:space="preserve">gadam Latvijas Botāniķu biedrības un </w:t>
      </w:r>
      <w:r w:rsidRPr="008E4ACF">
        <w:rPr>
          <w:rFonts w:ascii="Times New Roman" w:eastAsia="Calibri" w:hAnsi="Times New Roman" w:cs="Calibri"/>
          <w:sz w:val="24"/>
          <w:szCs w:val="24"/>
        </w:rPr>
        <w:t>D</w:t>
      </w:r>
      <w:r w:rsidR="008E4ACF" w:rsidRPr="008E4ACF">
        <w:rPr>
          <w:rFonts w:ascii="Times New Roman" w:eastAsia="Calibri" w:hAnsi="Times New Roman" w:cs="Calibri"/>
          <w:sz w:val="24"/>
          <w:szCs w:val="24"/>
        </w:rPr>
        <w:t>U</w:t>
      </w:r>
      <w:r w:rsidRPr="00A07F29">
        <w:rPr>
          <w:rFonts w:ascii="Times New Roman" w:eastAsia="Calibri" w:hAnsi="Times New Roman" w:cs="Calibri"/>
          <w:sz w:val="24"/>
          <w:szCs w:val="24"/>
        </w:rPr>
        <w:t xml:space="preserve"> Sistemātiskā bioloģijas institūta botāniķu veiktās </w:t>
      </w:r>
      <w:proofErr w:type="spellStart"/>
      <w:r w:rsidRPr="00A07F29">
        <w:rPr>
          <w:rFonts w:ascii="Times New Roman" w:eastAsia="Calibri" w:hAnsi="Times New Roman" w:cs="Calibri"/>
          <w:sz w:val="24"/>
          <w:szCs w:val="24"/>
        </w:rPr>
        <w:t>floristiskās</w:t>
      </w:r>
      <w:proofErr w:type="spellEnd"/>
      <w:r w:rsidRPr="00A07F29">
        <w:rPr>
          <w:rFonts w:ascii="Times New Roman" w:eastAsia="Calibri" w:hAnsi="Times New Roman" w:cs="Calibri"/>
          <w:sz w:val="24"/>
          <w:szCs w:val="24"/>
        </w:rPr>
        <w:t xml:space="preserve"> izpētes rezultāti apkopoti vairākos darbos</w:t>
      </w:r>
      <w:r w:rsidR="004B0AB3">
        <w:rPr>
          <w:rFonts w:ascii="Times New Roman" w:eastAsia="Calibri" w:hAnsi="Times New Roman" w:cs="Calibri"/>
          <w:sz w:val="24"/>
          <w:szCs w:val="24"/>
        </w:rPr>
        <w:t>:</w:t>
      </w:r>
      <w:r w:rsidRPr="00A07F29">
        <w:rPr>
          <w:rFonts w:ascii="Times New Roman" w:eastAsia="Calibri" w:hAnsi="Times New Roman" w:cs="Calibri"/>
          <w:sz w:val="24"/>
          <w:szCs w:val="24"/>
        </w:rPr>
        <w:t xml:space="preserve"> “Botāniskais ceļvedis pa </w:t>
      </w:r>
      <w:proofErr w:type="spellStart"/>
      <w:r w:rsidRPr="00A07F29">
        <w:rPr>
          <w:rFonts w:ascii="Times New Roman" w:eastAsia="Calibri" w:hAnsi="Times New Roman" w:cs="Calibri"/>
          <w:sz w:val="24"/>
          <w:szCs w:val="24"/>
        </w:rPr>
        <w:t>Dienvidaustrumlatviju</w:t>
      </w:r>
      <w:proofErr w:type="spellEnd"/>
      <w:r w:rsidRPr="00A07F29">
        <w:rPr>
          <w:rFonts w:ascii="Times New Roman" w:eastAsia="Calibri" w:hAnsi="Times New Roman" w:cs="Calibri"/>
          <w:sz w:val="24"/>
          <w:szCs w:val="24"/>
        </w:rPr>
        <w:t xml:space="preserve">” (2008) un “Botānisko pētījumu vēsture </w:t>
      </w:r>
      <w:proofErr w:type="spellStart"/>
      <w:r w:rsidRPr="00A07F29">
        <w:rPr>
          <w:rFonts w:ascii="Times New Roman" w:eastAsia="Calibri" w:hAnsi="Times New Roman" w:cs="Calibri"/>
          <w:sz w:val="24"/>
          <w:szCs w:val="24"/>
        </w:rPr>
        <w:t>Dienvidaustrumlatvijā</w:t>
      </w:r>
      <w:proofErr w:type="spellEnd"/>
      <w:r w:rsidRPr="00A07F29">
        <w:rPr>
          <w:rFonts w:ascii="Times New Roman" w:eastAsia="Calibri" w:hAnsi="Times New Roman" w:cs="Calibri"/>
          <w:sz w:val="24"/>
          <w:szCs w:val="24"/>
        </w:rPr>
        <w:t>” (</w:t>
      </w:r>
      <w:proofErr w:type="spellStart"/>
      <w:r w:rsidRPr="00A07F29">
        <w:rPr>
          <w:rFonts w:ascii="Times New Roman" w:eastAsia="Calibri" w:hAnsi="Times New Roman" w:cs="Calibri"/>
          <w:sz w:val="24"/>
          <w:szCs w:val="24"/>
        </w:rPr>
        <w:t>Suško</w:t>
      </w:r>
      <w:proofErr w:type="spellEnd"/>
      <w:r w:rsidR="004B0AB3">
        <w:rPr>
          <w:rFonts w:ascii="Times New Roman" w:eastAsia="Calibri" w:hAnsi="Times New Roman" w:cs="Calibri"/>
          <w:sz w:val="24"/>
          <w:szCs w:val="24"/>
        </w:rPr>
        <w:t xml:space="preserve"> U.</w:t>
      </w:r>
      <w:r w:rsidRPr="00A07F29">
        <w:rPr>
          <w:rFonts w:ascii="Times New Roman" w:eastAsia="Calibri" w:hAnsi="Times New Roman" w:cs="Calibri"/>
          <w:sz w:val="24"/>
          <w:szCs w:val="24"/>
        </w:rPr>
        <w:t xml:space="preserve">, </w:t>
      </w:r>
      <w:proofErr w:type="spellStart"/>
      <w:r w:rsidRPr="00A07F29">
        <w:rPr>
          <w:rFonts w:ascii="Times New Roman" w:eastAsia="Calibri" w:hAnsi="Times New Roman" w:cs="Calibri"/>
          <w:sz w:val="24"/>
          <w:szCs w:val="24"/>
        </w:rPr>
        <w:t>Evarts-Bunders</w:t>
      </w:r>
      <w:proofErr w:type="spellEnd"/>
      <w:r w:rsidR="004B0AB3">
        <w:rPr>
          <w:rFonts w:ascii="Times New Roman" w:eastAsia="Calibri" w:hAnsi="Times New Roman" w:cs="Calibri"/>
          <w:sz w:val="24"/>
          <w:szCs w:val="24"/>
        </w:rPr>
        <w:t xml:space="preserve"> P.,</w:t>
      </w:r>
      <w:r w:rsidRPr="00A07F29">
        <w:rPr>
          <w:rFonts w:ascii="Times New Roman" w:eastAsia="Calibri" w:hAnsi="Times New Roman" w:cs="Calibri"/>
          <w:sz w:val="24"/>
          <w:szCs w:val="24"/>
        </w:rPr>
        <w:t xml:space="preserve"> 2010).</w:t>
      </w:r>
    </w:p>
    <w:p w14:paraId="3FB21FCB" w14:textId="5BA77B9D" w:rsidR="006C594A" w:rsidRPr="00A07F29" w:rsidRDefault="002B1603" w:rsidP="006C594A">
      <w:pPr>
        <w:spacing w:after="120" w:line="240" w:lineRule="auto"/>
        <w:ind w:firstLine="851"/>
        <w:jc w:val="both"/>
        <w:rPr>
          <w:rFonts w:ascii="Times New Roman" w:eastAsia="Calibri" w:hAnsi="Times New Roman" w:cs="Calibri"/>
          <w:sz w:val="24"/>
          <w:szCs w:val="24"/>
        </w:rPr>
      </w:pPr>
      <w:r w:rsidRPr="00A07F29">
        <w:rPr>
          <w:rFonts w:ascii="Times New Roman" w:eastAsia="Calibri" w:hAnsi="Times New Roman" w:cs="Calibri"/>
          <w:sz w:val="24"/>
          <w:szCs w:val="24"/>
        </w:rPr>
        <w:t>2008.</w:t>
      </w:r>
      <w:r w:rsidR="00AD4239">
        <w:rPr>
          <w:rFonts w:ascii="Times New Roman" w:eastAsia="Calibri" w:hAnsi="Times New Roman" w:cs="Calibri"/>
          <w:sz w:val="24"/>
          <w:szCs w:val="24"/>
        </w:rPr>
        <w:t> </w:t>
      </w:r>
      <w:r w:rsidRPr="00A07F29">
        <w:rPr>
          <w:rFonts w:ascii="Times New Roman" w:eastAsia="Calibri" w:hAnsi="Times New Roman" w:cs="Calibri"/>
          <w:sz w:val="24"/>
          <w:szCs w:val="24"/>
        </w:rPr>
        <w:t xml:space="preserve">gadā pabeigts </w:t>
      </w:r>
      <w:r w:rsidR="00BF0E06" w:rsidRPr="00A07F29">
        <w:rPr>
          <w:rFonts w:ascii="Times New Roman" w:eastAsia="Calibri" w:hAnsi="Times New Roman" w:cs="Calibri"/>
          <w:sz w:val="24"/>
          <w:szCs w:val="24"/>
        </w:rPr>
        <w:t>DP</w:t>
      </w:r>
      <w:r w:rsidRPr="00A07F29">
        <w:rPr>
          <w:rFonts w:ascii="Times New Roman" w:eastAsia="Calibri" w:hAnsi="Times New Roman" w:cs="Calibri"/>
          <w:sz w:val="24"/>
          <w:szCs w:val="24"/>
        </w:rPr>
        <w:t xml:space="preserve"> “Daugavas loki” </w:t>
      </w:r>
      <w:r w:rsidR="00BF0E06" w:rsidRPr="00A07F29">
        <w:rPr>
          <w:rFonts w:ascii="Times New Roman" w:eastAsia="Calibri" w:hAnsi="Times New Roman" w:cs="Calibri"/>
          <w:sz w:val="24"/>
          <w:szCs w:val="24"/>
        </w:rPr>
        <w:t>DA plāns</w:t>
      </w:r>
      <w:r w:rsidRPr="00A07F29">
        <w:rPr>
          <w:rFonts w:ascii="Times New Roman" w:eastAsia="Calibri" w:hAnsi="Times New Roman" w:cs="Calibri"/>
          <w:sz w:val="24"/>
          <w:szCs w:val="24"/>
        </w:rPr>
        <w:t>, kur</w:t>
      </w:r>
      <w:r w:rsidR="00602200">
        <w:rPr>
          <w:rFonts w:ascii="Times New Roman" w:eastAsia="Calibri" w:hAnsi="Times New Roman" w:cs="Calibri"/>
          <w:sz w:val="24"/>
          <w:szCs w:val="24"/>
        </w:rPr>
        <w:t>ā</w:t>
      </w:r>
      <w:r w:rsidRPr="00A07F29">
        <w:rPr>
          <w:rFonts w:ascii="Times New Roman" w:eastAsia="Calibri" w:hAnsi="Times New Roman" w:cs="Calibri"/>
          <w:sz w:val="24"/>
          <w:szCs w:val="24"/>
        </w:rPr>
        <w:t xml:space="preserve"> minētas 55 aizsargājamas </w:t>
      </w:r>
      <w:proofErr w:type="spellStart"/>
      <w:r w:rsidRPr="00A07F29">
        <w:rPr>
          <w:rFonts w:ascii="Times New Roman" w:eastAsia="Calibri" w:hAnsi="Times New Roman" w:cs="Calibri"/>
          <w:sz w:val="24"/>
          <w:szCs w:val="24"/>
        </w:rPr>
        <w:t>vaskulāro</w:t>
      </w:r>
      <w:proofErr w:type="spellEnd"/>
      <w:r w:rsidRPr="00A07F29">
        <w:rPr>
          <w:rFonts w:ascii="Times New Roman" w:eastAsia="Calibri" w:hAnsi="Times New Roman" w:cs="Calibri"/>
          <w:sz w:val="24"/>
          <w:szCs w:val="24"/>
        </w:rPr>
        <w:t xml:space="preserve"> augu sugas. 2014.</w:t>
      </w:r>
      <w:r w:rsidR="00602200">
        <w:rPr>
          <w:rFonts w:ascii="Times New Roman" w:eastAsia="Calibri" w:hAnsi="Times New Roman" w:cs="Calibri"/>
          <w:sz w:val="24"/>
          <w:szCs w:val="24"/>
        </w:rPr>
        <w:t> </w:t>
      </w:r>
      <w:r w:rsidRPr="00A07F29">
        <w:rPr>
          <w:rFonts w:ascii="Times New Roman" w:eastAsia="Calibri" w:hAnsi="Times New Roman" w:cs="Calibri"/>
          <w:sz w:val="24"/>
          <w:szCs w:val="24"/>
        </w:rPr>
        <w:t>gadā projekta “</w:t>
      </w:r>
      <w:proofErr w:type="spellStart"/>
      <w:r w:rsidRPr="00A07F29">
        <w:rPr>
          <w:rFonts w:ascii="Times New Roman" w:eastAsia="Calibri" w:hAnsi="Times New Roman" w:cs="Calibri"/>
          <w:sz w:val="24"/>
          <w:szCs w:val="24"/>
        </w:rPr>
        <w:t>Cross-border</w:t>
      </w:r>
      <w:proofErr w:type="spellEnd"/>
      <w:r w:rsidRPr="00A07F29">
        <w:rPr>
          <w:rFonts w:ascii="Times New Roman" w:eastAsia="Calibri" w:hAnsi="Times New Roman" w:cs="Calibri"/>
          <w:sz w:val="24"/>
          <w:szCs w:val="24"/>
        </w:rPr>
        <w:t xml:space="preserve"> Nature” ietvaros P.</w:t>
      </w:r>
      <w:r w:rsidR="00602200">
        <w:rPr>
          <w:rFonts w:ascii="Times New Roman" w:eastAsia="Calibri" w:hAnsi="Times New Roman" w:cs="Calibri"/>
          <w:sz w:val="24"/>
          <w:szCs w:val="24"/>
        </w:rPr>
        <w:t> </w:t>
      </w:r>
      <w:proofErr w:type="spellStart"/>
      <w:r w:rsidRPr="00A07F29">
        <w:rPr>
          <w:rFonts w:ascii="Times New Roman" w:eastAsia="Calibri" w:hAnsi="Times New Roman" w:cs="Calibri"/>
          <w:sz w:val="24"/>
          <w:szCs w:val="24"/>
        </w:rPr>
        <w:t>Evarts-Bunders</w:t>
      </w:r>
      <w:proofErr w:type="spellEnd"/>
      <w:r w:rsidRPr="00A07F29">
        <w:rPr>
          <w:rFonts w:ascii="Times New Roman" w:eastAsia="Calibri" w:hAnsi="Times New Roman" w:cs="Calibri"/>
          <w:sz w:val="24"/>
          <w:szCs w:val="24"/>
        </w:rPr>
        <w:t xml:space="preserve"> pētījis </w:t>
      </w:r>
      <w:proofErr w:type="spellStart"/>
      <w:r w:rsidRPr="00A07F29">
        <w:rPr>
          <w:rFonts w:ascii="Times New Roman" w:eastAsia="Calibri" w:hAnsi="Times New Roman" w:cs="Calibri"/>
          <w:sz w:val="24"/>
          <w:szCs w:val="24"/>
        </w:rPr>
        <w:t>vaskulāros</w:t>
      </w:r>
      <w:proofErr w:type="spellEnd"/>
      <w:r w:rsidRPr="00A07F29">
        <w:rPr>
          <w:rFonts w:ascii="Times New Roman" w:eastAsia="Calibri" w:hAnsi="Times New Roman" w:cs="Calibri"/>
          <w:sz w:val="24"/>
          <w:szCs w:val="24"/>
        </w:rPr>
        <w:t xml:space="preserve"> augus AAA “Augšdaugavas” teritorijā. 2017.</w:t>
      </w:r>
      <w:r w:rsidR="0074604D">
        <w:rPr>
          <w:rFonts w:ascii="Times New Roman" w:eastAsia="Calibri" w:hAnsi="Times New Roman" w:cs="Calibri"/>
          <w:sz w:val="24"/>
          <w:szCs w:val="24"/>
        </w:rPr>
        <w:t> </w:t>
      </w:r>
      <w:r w:rsidRPr="00A07F29">
        <w:rPr>
          <w:rFonts w:ascii="Times New Roman" w:eastAsia="Calibri" w:hAnsi="Times New Roman" w:cs="Calibri"/>
          <w:sz w:val="24"/>
          <w:szCs w:val="24"/>
        </w:rPr>
        <w:t>gadā S.</w:t>
      </w:r>
      <w:r w:rsidR="0074604D">
        <w:rPr>
          <w:rFonts w:ascii="Times New Roman" w:eastAsia="Calibri" w:hAnsi="Times New Roman" w:cs="Calibri"/>
          <w:sz w:val="24"/>
          <w:szCs w:val="24"/>
        </w:rPr>
        <w:t> </w:t>
      </w:r>
      <w:proofErr w:type="spellStart"/>
      <w:r w:rsidRPr="00A07F29">
        <w:rPr>
          <w:rFonts w:ascii="Times New Roman" w:eastAsia="Calibri" w:hAnsi="Times New Roman" w:cs="Calibri"/>
          <w:sz w:val="24"/>
          <w:szCs w:val="24"/>
        </w:rPr>
        <w:t>Rutkovska</w:t>
      </w:r>
      <w:proofErr w:type="spellEnd"/>
      <w:r w:rsidRPr="00A07F29">
        <w:rPr>
          <w:rFonts w:ascii="Times New Roman" w:eastAsia="Calibri" w:hAnsi="Times New Roman" w:cs="Calibri"/>
          <w:sz w:val="24"/>
          <w:szCs w:val="24"/>
        </w:rPr>
        <w:t xml:space="preserve"> publicē rakstu par </w:t>
      </w:r>
      <w:proofErr w:type="spellStart"/>
      <w:r w:rsidRPr="00A07F29">
        <w:rPr>
          <w:rFonts w:ascii="Times New Roman" w:eastAsia="Calibri" w:hAnsi="Times New Roman" w:cs="Calibri"/>
          <w:sz w:val="24"/>
          <w:szCs w:val="24"/>
        </w:rPr>
        <w:t>invazīvajām</w:t>
      </w:r>
      <w:proofErr w:type="spellEnd"/>
      <w:r w:rsidRPr="00A07F29">
        <w:rPr>
          <w:rFonts w:ascii="Times New Roman" w:eastAsia="Calibri" w:hAnsi="Times New Roman" w:cs="Calibri"/>
          <w:sz w:val="24"/>
          <w:szCs w:val="24"/>
        </w:rPr>
        <w:t xml:space="preserve"> sugām DP “Daugavas loki” (</w:t>
      </w:r>
      <w:proofErr w:type="spellStart"/>
      <w:r w:rsidRPr="00A07F29">
        <w:rPr>
          <w:rFonts w:ascii="Times New Roman" w:eastAsia="Calibri" w:hAnsi="Times New Roman" w:cs="Calibri"/>
          <w:sz w:val="24"/>
          <w:szCs w:val="24"/>
        </w:rPr>
        <w:t>Rutkovska</w:t>
      </w:r>
      <w:proofErr w:type="spellEnd"/>
      <w:r w:rsidR="002639AE">
        <w:rPr>
          <w:rFonts w:ascii="Times New Roman" w:eastAsia="Calibri" w:hAnsi="Times New Roman" w:cs="Calibri"/>
          <w:sz w:val="24"/>
          <w:szCs w:val="24"/>
        </w:rPr>
        <w:t xml:space="preserve"> S.,</w:t>
      </w:r>
      <w:r w:rsidRPr="00A07F29">
        <w:rPr>
          <w:rFonts w:ascii="Times New Roman" w:eastAsia="Calibri" w:hAnsi="Times New Roman" w:cs="Calibri"/>
          <w:sz w:val="24"/>
          <w:szCs w:val="24"/>
        </w:rPr>
        <w:t xml:space="preserve"> </w:t>
      </w:r>
      <w:proofErr w:type="spellStart"/>
      <w:r w:rsidRPr="00A07F29">
        <w:rPr>
          <w:rFonts w:ascii="Times New Roman" w:eastAsia="Calibri" w:hAnsi="Times New Roman" w:cs="Calibri"/>
          <w:sz w:val="24"/>
          <w:szCs w:val="24"/>
        </w:rPr>
        <w:t>et</w:t>
      </w:r>
      <w:proofErr w:type="spellEnd"/>
      <w:r w:rsidRPr="00A07F29">
        <w:rPr>
          <w:rFonts w:ascii="Times New Roman" w:eastAsia="Calibri" w:hAnsi="Times New Roman" w:cs="Calibri"/>
          <w:sz w:val="24"/>
          <w:szCs w:val="24"/>
        </w:rPr>
        <w:t xml:space="preserve"> </w:t>
      </w:r>
      <w:proofErr w:type="spellStart"/>
      <w:r w:rsidRPr="00A07F29">
        <w:rPr>
          <w:rFonts w:ascii="Times New Roman" w:eastAsia="Calibri" w:hAnsi="Times New Roman" w:cs="Calibri"/>
          <w:sz w:val="24"/>
          <w:szCs w:val="24"/>
        </w:rPr>
        <w:t>a</w:t>
      </w:r>
      <w:r w:rsidR="006C594A" w:rsidRPr="00A07F29">
        <w:rPr>
          <w:rFonts w:ascii="Times New Roman" w:eastAsia="Calibri" w:hAnsi="Times New Roman" w:cs="Calibri"/>
          <w:sz w:val="24"/>
          <w:szCs w:val="24"/>
        </w:rPr>
        <w:t>l</w:t>
      </w:r>
      <w:proofErr w:type="spellEnd"/>
      <w:r w:rsidR="000609CE">
        <w:rPr>
          <w:rFonts w:ascii="Times New Roman" w:eastAsia="Calibri" w:hAnsi="Times New Roman" w:cs="Calibri"/>
          <w:sz w:val="24"/>
          <w:szCs w:val="24"/>
        </w:rPr>
        <w:t>,</w:t>
      </w:r>
      <w:r w:rsidRPr="00A07F29">
        <w:rPr>
          <w:rFonts w:ascii="Times New Roman" w:eastAsia="Calibri" w:hAnsi="Times New Roman" w:cs="Calibri"/>
          <w:sz w:val="24"/>
          <w:szCs w:val="24"/>
        </w:rPr>
        <w:t xml:space="preserve"> 2017). 2017. un 2018.</w:t>
      </w:r>
      <w:r w:rsidR="000609CE">
        <w:rPr>
          <w:rFonts w:ascii="Times New Roman" w:eastAsia="Calibri" w:hAnsi="Times New Roman" w:cs="Calibri"/>
          <w:sz w:val="24"/>
          <w:szCs w:val="24"/>
        </w:rPr>
        <w:t> </w:t>
      </w:r>
      <w:r w:rsidRPr="00A07F29">
        <w:rPr>
          <w:rFonts w:ascii="Times New Roman" w:eastAsia="Calibri" w:hAnsi="Times New Roman" w:cs="Calibri"/>
          <w:sz w:val="24"/>
          <w:szCs w:val="24"/>
        </w:rPr>
        <w:t xml:space="preserve">gadā teritorijā veikta </w:t>
      </w:r>
      <w:r w:rsidRPr="00A07F29">
        <w:rPr>
          <w:rFonts w:ascii="Times New Roman" w:eastAsia="Calibri" w:hAnsi="Times New Roman" w:cs="Calibri"/>
          <w:i/>
          <w:iCs/>
          <w:sz w:val="24"/>
          <w:szCs w:val="24"/>
        </w:rPr>
        <w:t>Dabas skaitīšana</w:t>
      </w:r>
      <w:r w:rsidRPr="00A07F29">
        <w:rPr>
          <w:rFonts w:ascii="Times New Roman" w:eastAsia="Calibri" w:hAnsi="Times New Roman" w:cs="Calibri"/>
          <w:sz w:val="24"/>
          <w:szCs w:val="24"/>
        </w:rPr>
        <w:t>. 2019. un 2020.</w:t>
      </w:r>
      <w:r w:rsidR="000609CE">
        <w:rPr>
          <w:rFonts w:ascii="Times New Roman" w:eastAsia="Calibri" w:hAnsi="Times New Roman" w:cs="Calibri"/>
          <w:sz w:val="24"/>
          <w:szCs w:val="24"/>
        </w:rPr>
        <w:t> </w:t>
      </w:r>
      <w:r w:rsidRPr="00A07F29">
        <w:rPr>
          <w:rFonts w:ascii="Times New Roman" w:eastAsia="Calibri" w:hAnsi="Times New Roman" w:cs="Calibri"/>
          <w:sz w:val="24"/>
          <w:szCs w:val="24"/>
        </w:rPr>
        <w:t xml:space="preserve">gada pavasarī </w:t>
      </w:r>
      <w:r w:rsidR="00BF0E06" w:rsidRPr="00A07F29">
        <w:rPr>
          <w:rFonts w:ascii="Times New Roman" w:eastAsia="Calibri" w:hAnsi="Times New Roman" w:cs="Calibri"/>
          <w:sz w:val="24"/>
          <w:szCs w:val="24"/>
        </w:rPr>
        <w:t>DA plāna</w:t>
      </w:r>
      <w:r w:rsidRPr="00A07F29">
        <w:rPr>
          <w:rFonts w:ascii="Times New Roman" w:eastAsia="Calibri" w:hAnsi="Times New Roman" w:cs="Calibri"/>
          <w:sz w:val="24"/>
          <w:szCs w:val="24"/>
        </w:rPr>
        <w:t xml:space="preserve"> ietvaros </w:t>
      </w:r>
      <w:proofErr w:type="spellStart"/>
      <w:r w:rsidRPr="00A07F29">
        <w:rPr>
          <w:rFonts w:ascii="Times New Roman" w:eastAsia="Calibri" w:hAnsi="Times New Roman" w:cs="Calibri"/>
          <w:sz w:val="24"/>
          <w:szCs w:val="24"/>
        </w:rPr>
        <w:t>vaskulāro</w:t>
      </w:r>
      <w:proofErr w:type="spellEnd"/>
      <w:r w:rsidRPr="00A07F29">
        <w:rPr>
          <w:rFonts w:ascii="Times New Roman" w:eastAsia="Calibri" w:hAnsi="Times New Roman" w:cs="Calibri"/>
          <w:sz w:val="24"/>
          <w:szCs w:val="24"/>
        </w:rPr>
        <w:t xml:space="preserve"> sugu eksperti pētījuši AAA “Augšdaugava” teritoriju.</w:t>
      </w:r>
    </w:p>
    <w:p w14:paraId="0257AACD" w14:textId="77777777" w:rsidR="00E25E3D" w:rsidRPr="00A07F29" w:rsidRDefault="00E25E3D" w:rsidP="461809C0">
      <w:pPr>
        <w:spacing w:after="120"/>
        <w:ind w:firstLine="851"/>
        <w:jc w:val="both"/>
        <w:rPr>
          <w:rFonts w:ascii="Times New Roman" w:eastAsia="Calibri" w:hAnsi="Times New Roman" w:cs="Calibri"/>
          <w:sz w:val="24"/>
          <w:szCs w:val="24"/>
        </w:rPr>
      </w:pPr>
    </w:p>
    <w:p w14:paraId="4405AEB8" w14:textId="6480E2A3" w:rsidR="002B1603" w:rsidRPr="00A07F29" w:rsidRDefault="002B1603" w:rsidP="00E25E3D">
      <w:pPr>
        <w:pStyle w:val="Heading3"/>
        <w:spacing w:before="120" w:after="120" w:line="240" w:lineRule="auto"/>
        <w:jc w:val="center"/>
        <w:rPr>
          <w:b w:val="0"/>
          <w:lang w:eastAsia="ja-JP"/>
        </w:rPr>
      </w:pPr>
      <w:bookmarkStart w:id="68" w:name="_Toc183434008"/>
      <w:r w:rsidRPr="00A07F29">
        <w:rPr>
          <w:lang w:eastAsia="ja-JP"/>
        </w:rPr>
        <w:t xml:space="preserve">4.4.2. AAA </w:t>
      </w:r>
      <w:r w:rsidR="000609CE">
        <w:rPr>
          <w:lang w:eastAsia="ja-JP"/>
        </w:rPr>
        <w:t>“</w:t>
      </w:r>
      <w:r w:rsidRPr="00A07F29">
        <w:rPr>
          <w:lang w:eastAsia="ja-JP"/>
        </w:rPr>
        <w:t>Augšdaugava”</w:t>
      </w:r>
      <w:r w:rsidR="00E25E3D" w:rsidRPr="00A07F29">
        <w:rPr>
          <w:lang w:eastAsia="ja-JP"/>
        </w:rPr>
        <w:t xml:space="preserve"> flora</w:t>
      </w:r>
      <w:bookmarkEnd w:id="68"/>
    </w:p>
    <w:p w14:paraId="290CACE0" w14:textId="1B101E72" w:rsidR="002B1603" w:rsidRPr="00A07F29" w:rsidRDefault="002B1603" w:rsidP="00473E20">
      <w:pPr>
        <w:spacing w:after="120" w:line="240" w:lineRule="auto"/>
        <w:ind w:firstLine="851"/>
        <w:jc w:val="both"/>
        <w:rPr>
          <w:rFonts w:ascii="Times New Roman" w:eastAsia="Calibri" w:hAnsi="Times New Roman" w:cs="Calibri"/>
          <w:sz w:val="24"/>
          <w:szCs w:val="24"/>
        </w:rPr>
      </w:pPr>
      <w:r w:rsidRPr="00A07F29">
        <w:rPr>
          <w:rFonts w:ascii="Times New Roman" w:eastAsia="Calibri" w:hAnsi="Times New Roman" w:cs="Calibri"/>
          <w:sz w:val="24"/>
          <w:szCs w:val="24"/>
        </w:rPr>
        <w:t>Visā Daugavas ielejā kopumā konstatētas 1113 augu sugas (</w:t>
      </w:r>
      <w:proofErr w:type="spellStart"/>
      <w:r w:rsidRPr="00A07F29">
        <w:rPr>
          <w:rFonts w:ascii="Times New Roman" w:eastAsia="Calibri" w:hAnsi="Times New Roman" w:cs="Calibri"/>
          <w:sz w:val="24"/>
          <w:szCs w:val="24"/>
        </w:rPr>
        <w:t>Fatare</w:t>
      </w:r>
      <w:proofErr w:type="spellEnd"/>
      <w:r w:rsidR="00470D85">
        <w:rPr>
          <w:rFonts w:ascii="Times New Roman" w:eastAsia="Calibri" w:hAnsi="Times New Roman" w:cs="Calibri"/>
          <w:sz w:val="24"/>
          <w:szCs w:val="24"/>
        </w:rPr>
        <w:t xml:space="preserve"> I.</w:t>
      </w:r>
      <w:r w:rsidRPr="00A07F29">
        <w:rPr>
          <w:rFonts w:ascii="Times New Roman" w:eastAsia="Calibri" w:hAnsi="Times New Roman" w:cs="Calibri"/>
          <w:sz w:val="24"/>
          <w:szCs w:val="24"/>
        </w:rPr>
        <w:t xml:space="preserve">, 1989), no tām </w:t>
      </w:r>
      <w:r w:rsidR="00BF0E06" w:rsidRPr="00A07F29">
        <w:rPr>
          <w:rFonts w:ascii="Times New Roman" w:eastAsia="Calibri" w:hAnsi="Times New Roman" w:cs="Calibri"/>
          <w:sz w:val="24"/>
          <w:szCs w:val="24"/>
        </w:rPr>
        <w:t>DP</w:t>
      </w:r>
      <w:r w:rsidRPr="00A07F29">
        <w:rPr>
          <w:rFonts w:ascii="Times New Roman" w:eastAsia="Calibri" w:hAnsi="Times New Roman" w:cs="Calibri"/>
          <w:sz w:val="24"/>
          <w:szCs w:val="24"/>
        </w:rPr>
        <w:t xml:space="preserve"> “Daugavas loki” teritorijā konstatētas vairāk nekā 800 </w:t>
      </w:r>
      <w:proofErr w:type="spellStart"/>
      <w:r w:rsidRPr="00A07F29">
        <w:rPr>
          <w:rFonts w:ascii="Times New Roman" w:eastAsia="Calibri" w:hAnsi="Times New Roman" w:cs="Calibri"/>
          <w:sz w:val="24"/>
          <w:szCs w:val="24"/>
        </w:rPr>
        <w:t>vaskulāro</w:t>
      </w:r>
      <w:proofErr w:type="spellEnd"/>
      <w:r w:rsidRPr="00A07F29">
        <w:rPr>
          <w:rFonts w:ascii="Times New Roman" w:eastAsia="Calibri" w:hAnsi="Times New Roman" w:cs="Calibri"/>
          <w:sz w:val="24"/>
          <w:szCs w:val="24"/>
        </w:rPr>
        <w:t xml:space="preserve"> augu sugas (Bāra</w:t>
      </w:r>
      <w:r w:rsidR="00470D85">
        <w:rPr>
          <w:rFonts w:ascii="Times New Roman" w:eastAsia="Calibri" w:hAnsi="Times New Roman" w:cs="Calibri"/>
          <w:sz w:val="24"/>
          <w:szCs w:val="24"/>
        </w:rPr>
        <w:t xml:space="preserve"> J.</w:t>
      </w:r>
      <w:r w:rsidRPr="00A07F29">
        <w:rPr>
          <w:rFonts w:ascii="Times New Roman" w:eastAsia="Calibri" w:hAnsi="Times New Roman" w:cs="Calibri"/>
          <w:sz w:val="24"/>
          <w:szCs w:val="24"/>
        </w:rPr>
        <w:t>, 20</w:t>
      </w:r>
      <w:r w:rsidR="00A612C8">
        <w:rPr>
          <w:rFonts w:ascii="Times New Roman" w:eastAsia="Calibri" w:hAnsi="Times New Roman" w:cs="Calibri"/>
          <w:sz w:val="24"/>
          <w:szCs w:val="24"/>
        </w:rPr>
        <w:t>10</w:t>
      </w:r>
      <w:r w:rsidRPr="00A07F29">
        <w:rPr>
          <w:rFonts w:ascii="Times New Roman" w:eastAsia="Calibri" w:hAnsi="Times New Roman" w:cs="Calibri"/>
          <w:sz w:val="24"/>
          <w:szCs w:val="24"/>
        </w:rPr>
        <w:t xml:space="preserve">). Teritorija </w:t>
      </w:r>
      <w:proofErr w:type="spellStart"/>
      <w:r w:rsidRPr="00A07F29">
        <w:rPr>
          <w:rFonts w:ascii="Times New Roman" w:eastAsia="Calibri" w:hAnsi="Times New Roman" w:cs="Calibri"/>
          <w:sz w:val="24"/>
          <w:szCs w:val="24"/>
        </w:rPr>
        <w:t>floristiskā</w:t>
      </w:r>
      <w:proofErr w:type="spellEnd"/>
      <w:r w:rsidRPr="00A07F29">
        <w:rPr>
          <w:rFonts w:ascii="Times New Roman" w:eastAsia="Calibri" w:hAnsi="Times New Roman" w:cs="Calibri"/>
          <w:sz w:val="24"/>
          <w:szCs w:val="24"/>
        </w:rPr>
        <w:t xml:space="preserve"> ziņā uzskatāma par vienu no savdabīgākajām un aizsargājamām augu sugām bagātākajām Latvijā. Daugavas ielejas mikroklimats, kaļķainās augsnes, kā arī Latvijā vislielākā pozitīvo temperatūru summa (Augšdaugavā 2100</w:t>
      </w:r>
      <w:r w:rsidR="002C0833">
        <w:rPr>
          <w:rFonts w:ascii="Times New Roman" w:eastAsia="Calibri" w:hAnsi="Times New Roman" w:cs="Calibri"/>
          <w:sz w:val="24"/>
          <w:szCs w:val="24"/>
        </w:rPr>
        <w:t> </w:t>
      </w:r>
      <w:r w:rsidRPr="00A07F29">
        <w:rPr>
          <w:rFonts w:ascii="Times New Roman" w:eastAsia="Calibri" w:hAnsi="Times New Roman" w:cs="Calibri"/>
          <w:sz w:val="24"/>
          <w:szCs w:val="24"/>
        </w:rPr>
        <w:t>–</w:t>
      </w:r>
      <w:r w:rsidR="002C0833">
        <w:rPr>
          <w:rFonts w:ascii="Times New Roman" w:eastAsia="Calibri" w:hAnsi="Times New Roman" w:cs="Calibri"/>
          <w:sz w:val="24"/>
          <w:szCs w:val="24"/>
        </w:rPr>
        <w:t> </w:t>
      </w:r>
      <w:r w:rsidRPr="00A07F29">
        <w:rPr>
          <w:rFonts w:ascii="Times New Roman" w:eastAsia="Calibri" w:hAnsi="Times New Roman" w:cs="Calibri"/>
          <w:sz w:val="24"/>
          <w:szCs w:val="24"/>
        </w:rPr>
        <w:t xml:space="preserve">2150) šeit veido ļoti savdabīgu floru. Augšdaugavā, kas sevī ietver arī </w:t>
      </w:r>
      <w:r w:rsidR="00BF0E06" w:rsidRPr="00A07F29">
        <w:rPr>
          <w:rFonts w:ascii="Times New Roman" w:eastAsia="Calibri" w:hAnsi="Times New Roman" w:cs="Calibri"/>
          <w:sz w:val="24"/>
          <w:szCs w:val="24"/>
        </w:rPr>
        <w:t>DP</w:t>
      </w:r>
      <w:r w:rsidRPr="00A07F29">
        <w:rPr>
          <w:rFonts w:ascii="Times New Roman" w:eastAsia="Calibri" w:hAnsi="Times New Roman" w:cs="Calibri"/>
          <w:sz w:val="24"/>
          <w:szCs w:val="24"/>
        </w:rPr>
        <w:t xml:space="preserve"> “Daugavas loki”</w:t>
      </w:r>
      <w:r w:rsidR="00265CEA">
        <w:rPr>
          <w:rFonts w:ascii="Times New Roman" w:eastAsia="Calibri" w:hAnsi="Times New Roman" w:cs="Calibri"/>
          <w:sz w:val="24"/>
          <w:szCs w:val="24"/>
        </w:rPr>
        <w:t>,</w:t>
      </w:r>
      <w:r w:rsidRPr="00A07F29">
        <w:rPr>
          <w:rFonts w:ascii="Times New Roman" w:eastAsia="Calibri" w:hAnsi="Times New Roman" w:cs="Calibri"/>
          <w:sz w:val="24"/>
          <w:szCs w:val="24"/>
        </w:rPr>
        <w:t xml:space="preserve"> sastopami augi, kas uzskatāmi par Latvijas floras stepju elementiem. </w:t>
      </w:r>
      <w:proofErr w:type="spellStart"/>
      <w:r w:rsidRPr="00A07F29">
        <w:rPr>
          <w:rFonts w:ascii="Times New Roman" w:eastAsia="Calibri" w:hAnsi="Times New Roman" w:cs="Calibri"/>
          <w:sz w:val="24"/>
          <w:szCs w:val="24"/>
        </w:rPr>
        <w:t>Dienvidaustrumlatvija</w:t>
      </w:r>
      <w:proofErr w:type="spellEnd"/>
      <w:r w:rsidRPr="00A07F29">
        <w:rPr>
          <w:rFonts w:ascii="Times New Roman" w:eastAsia="Calibri" w:hAnsi="Times New Roman" w:cs="Calibri"/>
          <w:sz w:val="24"/>
          <w:szCs w:val="24"/>
        </w:rPr>
        <w:t xml:space="preserve"> ir teritorija ar visaugstāko diennakts vidējo temperatūru vasaras mēnešos (</w:t>
      </w:r>
      <w:proofErr w:type="spellStart"/>
      <w:r w:rsidRPr="00A07F29">
        <w:rPr>
          <w:rFonts w:ascii="Times New Roman" w:eastAsia="Calibri" w:hAnsi="Times New Roman" w:cs="Calibri"/>
          <w:sz w:val="24"/>
          <w:szCs w:val="24"/>
        </w:rPr>
        <w:t>Rutkis</w:t>
      </w:r>
      <w:proofErr w:type="spellEnd"/>
      <w:r w:rsidR="00E26F90">
        <w:rPr>
          <w:rFonts w:ascii="Times New Roman" w:eastAsia="Calibri" w:hAnsi="Times New Roman" w:cs="Calibri"/>
          <w:sz w:val="24"/>
          <w:szCs w:val="24"/>
        </w:rPr>
        <w:t xml:space="preserve"> J.,</w:t>
      </w:r>
      <w:r w:rsidRPr="00A07F29">
        <w:rPr>
          <w:rFonts w:ascii="Times New Roman" w:eastAsia="Calibri" w:hAnsi="Times New Roman" w:cs="Calibri"/>
          <w:sz w:val="24"/>
          <w:szCs w:val="24"/>
        </w:rPr>
        <w:t xml:space="preserve"> 1960). Silto vasaru dēļ vairākām augu sugām, kurām </w:t>
      </w:r>
      <w:proofErr w:type="spellStart"/>
      <w:r w:rsidRPr="00A07F29">
        <w:rPr>
          <w:rFonts w:ascii="Times New Roman" w:eastAsia="Calibri" w:hAnsi="Times New Roman" w:cs="Calibri"/>
          <w:sz w:val="24"/>
          <w:szCs w:val="24"/>
        </w:rPr>
        <w:t>pamatareāls</w:t>
      </w:r>
      <w:proofErr w:type="spellEnd"/>
      <w:r w:rsidRPr="00A07F29">
        <w:rPr>
          <w:rFonts w:ascii="Times New Roman" w:eastAsia="Calibri" w:hAnsi="Times New Roman" w:cs="Calibri"/>
          <w:sz w:val="24"/>
          <w:szCs w:val="24"/>
        </w:rPr>
        <w:t xml:space="preserve"> atrodas Eiropas vidusdaļā, šeit atrodas izplatības </w:t>
      </w:r>
      <w:r w:rsidR="00D00F38" w:rsidRPr="00A07F29">
        <w:rPr>
          <w:rFonts w:ascii="Times New Roman" w:eastAsia="Calibri" w:hAnsi="Times New Roman" w:cs="Calibri"/>
          <w:sz w:val="24"/>
          <w:szCs w:val="24"/>
        </w:rPr>
        <w:t xml:space="preserve">Z un ZR </w:t>
      </w:r>
      <w:r w:rsidRPr="00A07F29">
        <w:rPr>
          <w:rFonts w:ascii="Times New Roman" w:eastAsia="Calibri" w:hAnsi="Times New Roman" w:cs="Calibri"/>
          <w:sz w:val="24"/>
          <w:szCs w:val="24"/>
        </w:rPr>
        <w:t xml:space="preserve">robeža. Arī Daugavas ieleja kalpo kā </w:t>
      </w:r>
      <w:r w:rsidR="00A42B23">
        <w:rPr>
          <w:rFonts w:ascii="Times New Roman" w:eastAsia="Calibri" w:hAnsi="Times New Roman" w:cs="Calibri"/>
          <w:sz w:val="24"/>
          <w:szCs w:val="24"/>
        </w:rPr>
        <w:t>“</w:t>
      </w:r>
      <w:r w:rsidRPr="00A07F29">
        <w:rPr>
          <w:rFonts w:ascii="Times New Roman" w:eastAsia="Calibri" w:hAnsi="Times New Roman" w:cs="Calibri"/>
          <w:sz w:val="24"/>
          <w:szCs w:val="24"/>
        </w:rPr>
        <w:t xml:space="preserve">vārti” jaunām augu sugām. Daudzas augu sugas izplatās tieši pa upju ielejām, piemēram, ārstniecības </w:t>
      </w:r>
      <w:proofErr w:type="spellStart"/>
      <w:r w:rsidRPr="00A07F29">
        <w:rPr>
          <w:rFonts w:ascii="Times New Roman" w:eastAsia="Calibri" w:hAnsi="Times New Roman" w:cs="Calibri"/>
          <w:sz w:val="24"/>
          <w:szCs w:val="24"/>
        </w:rPr>
        <w:t>rūgtene</w:t>
      </w:r>
      <w:proofErr w:type="spellEnd"/>
      <w:r w:rsidRPr="00A07F29">
        <w:rPr>
          <w:rFonts w:ascii="Times New Roman" w:eastAsia="Calibri" w:hAnsi="Times New Roman" w:cs="Calibri"/>
          <w:sz w:val="24"/>
          <w:szCs w:val="24"/>
        </w:rPr>
        <w:t xml:space="preserve"> </w:t>
      </w:r>
      <w:proofErr w:type="spellStart"/>
      <w:r w:rsidRPr="00A07F29">
        <w:rPr>
          <w:rFonts w:ascii="Times New Roman" w:eastAsia="Calibri" w:hAnsi="Times New Roman" w:cs="Calibri"/>
          <w:i/>
          <w:iCs/>
          <w:sz w:val="24"/>
          <w:szCs w:val="24"/>
        </w:rPr>
        <w:t>Gratiola</w:t>
      </w:r>
      <w:proofErr w:type="spellEnd"/>
      <w:r w:rsidRPr="00A07F29">
        <w:rPr>
          <w:rFonts w:ascii="Times New Roman" w:eastAsia="Calibri" w:hAnsi="Times New Roman" w:cs="Calibri"/>
          <w:i/>
          <w:iCs/>
          <w:sz w:val="24"/>
          <w:szCs w:val="24"/>
        </w:rPr>
        <w:t xml:space="preserve"> </w:t>
      </w:r>
      <w:proofErr w:type="spellStart"/>
      <w:r w:rsidRPr="00A07F29">
        <w:rPr>
          <w:rFonts w:ascii="Times New Roman" w:eastAsia="Calibri" w:hAnsi="Times New Roman" w:cs="Calibri"/>
          <w:i/>
          <w:iCs/>
          <w:sz w:val="24"/>
          <w:szCs w:val="24"/>
        </w:rPr>
        <w:t>officinalis</w:t>
      </w:r>
      <w:proofErr w:type="spellEnd"/>
      <w:r w:rsidRPr="00A07F29">
        <w:rPr>
          <w:rFonts w:ascii="Times New Roman" w:eastAsia="Calibri" w:hAnsi="Times New Roman" w:cs="Calibri"/>
          <w:sz w:val="24"/>
          <w:szCs w:val="24"/>
        </w:rPr>
        <w:t xml:space="preserve">, arī tādi kokaugi kā </w:t>
      </w:r>
      <w:proofErr w:type="spellStart"/>
      <w:r w:rsidRPr="00A07F29">
        <w:rPr>
          <w:rFonts w:ascii="Times New Roman" w:eastAsia="Calibri" w:hAnsi="Times New Roman" w:cs="Calibri"/>
          <w:sz w:val="24"/>
          <w:szCs w:val="24"/>
        </w:rPr>
        <w:t>smaillapu</w:t>
      </w:r>
      <w:proofErr w:type="spellEnd"/>
      <w:r w:rsidRPr="00A07F29">
        <w:rPr>
          <w:rFonts w:ascii="Times New Roman" w:eastAsia="Calibri" w:hAnsi="Times New Roman" w:cs="Calibri"/>
          <w:sz w:val="24"/>
          <w:szCs w:val="24"/>
        </w:rPr>
        <w:t xml:space="preserve"> kārkls </w:t>
      </w:r>
      <w:proofErr w:type="spellStart"/>
      <w:r w:rsidRPr="00A07F29">
        <w:rPr>
          <w:rFonts w:ascii="Times New Roman" w:eastAsia="Calibri" w:hAnsi="Times New Roman" w:cs="Calibri"/>
          <w:i/>
          <w:iCs/>
          <w:sz w:val="24"/>
          <w:szCs w:val="24"/>
        </w:rPr>
        <w:t>Salix</w:t>
      </w:r>
      <w:proofErr w:type="spellEnd"/>
      <w:r w:rsidRPr="00A07F29">
        <w:rPr>
          <w:rFonts w:ascii="Times New Roman" w:eastAsia="Calibri" w:hAnsi="Times New Roman" w:cs="Calibri"/>
          <w:i/>
          <w:iCs/>
          <w:sz w:val="24"/>
          <w:szCs w:val="24"/>
        </w:rPr>
        <w:t xml:space="preserve"> </w:t>
      </w:r>
      <w:proofErr w:type="spellStart"/>
      <w:r w:rsidRPr="00A07F29">
        <w:rPr>
          <w:rFonts w:ascii="Times New Roman" w:eastAsia="Calibri" w:hAnsi="Times New Roman" w:cs="Calibri"/>
          <w:i/>
          <w:iCs/>
          <w:sz w:val="24"/>
          <w:szCs w:val="24"/>
        </w:rPr>
        <w:t>acutifolia</w:t>
      </w:r>
      <w:proofErr w:type="spellEnd"/>
      <w:r w:rsidRPr="00A07F29">
        <w:rPr>
          <w:rFonts w:ascii="Times New Roman" w:eastAsia="Calibri" w:hAnsi="Times New Roman" w:cs="Calibri"/>
          <w:sz w:val="24"/>
          <w:szCs w:val="24"/>
        </w:rPr>
        <w:t xml:space="preserve"> un </w:t>
      </w:r>
      <w:proofErr w:type="spellStart"/>
      <w:r w:rsidRPr="00A07F29">
        <w:rPr>
          <w:rFonts w:ascii="Times New Roman" w:eastAsia="Calibri" w:hAnsi="Times New Roman" w:cs="Calibri"/>
          <w:sz w:val="24"/>
          <w:szCs w:val="24"/>
        </w:rPr>
        <w:t>invazīvā</w:t>
      </w:r>
      <w:proofErr w:type="spellEnd"/>
      <w:r w:rsidRPr="00A07F29">
        <w:rPr>
          <w:rFonts w:ascii="Times New Roman" w:eastAsia="Calibri" w:hAnsi="Times New Roman" w:cs="Calibri"/>
          <w:sz w:val="24"/>
          <w:szCs w:val="24"/>
        </w:rPr>
        <w:t xml:space="preserve"> baltā apse </w:t>
      </w:r>
      <w:proofErr w:type="spellStart"/>
      <w:r w:rsidRPr="00A07F29">
        <w:rPr>
          <w:rFonts w:ascii="Times New Roman" w:eastAsia="Calibri" w:hAnsi="Times New Roman" w:cs="Calibri"/>
          <w:i/>
          <w:iCs/>
          <w:sz w:val="24"/>
          <w:szCs w:val="24"/>
        </w:rPr>
        <w:t>Populus</w:t>
      </w:r>
      <w:proofErr w:type="spellEnd"/>
      <w:r w:rsidRPr="00A07F29">
        <w:rPr>
          <w:rFonts w:ascii="Times New Roman" w:eastAsia="Calibri" w:hAnsi="Times New Roman" w:cs="Calibri"/>
          <w:i/>
          <w:iCs/>
          <w:sz w:val="24"/>
          <w:szCs w:val="24"/>
        </w:rPr>
        <w:t xml:space="preserve"> </w:t>
      </w:r>
      <w:proofErr w:type="spellStart"/>
      <w:r w:rsidRPr="00A07F29">
        <w:rPr>
          <w:rFonts w:ascii="Times New Roman" w:eastAsia="Calibri" w:hAnsi="Times New Roman" w:cs="Calibri"/>
          <w:i/>
          <w:iCs/>
          <w:sz w:val="24"/>
          <w:szCs w:val="24"/>
        </w:rPr>
        <w:t>alba</w:t>
      </w:r>
      <w:proofErr w:type="spellEnd"/>
      <w:r w:rsidRPr="00A07F29">
        <w:rPr>
          <w:rFonts w:ascii="Times New Roman" w:eastAsia="Calibri" w:hAnsi="Times New Roman" w:cs="Calibri"/>
          <w:sz w:val="24"/>
          <w:szCs w:val="24"/>
        </w:rPr>
        <w:t xml:space="preserve"> utt. </w:t>
      </w:r>
    </w:p>
    <w:p w14:paraId="6650D3A8" w14:textId="77777777" w:rsidR="002B1603" w:rsidRPr="00A07F29" w:rsidRDefault="002B1603" w:rsidP="00473E20">
      <w:pPr>
        <w:spacing w:after="120" w:line="240" w:lineRule="auto"/>
        <w:ind w:firstLine="851"/>
        <w:jc w:val="both"/>
        <w:rPr>
          <w:rFonts w:ascii="Times New Roman" w:eastAsia="Calibri" w:hAnsi="Times New Roman" w:cs="Calibri"/>
          <w:sz w:val="24"/>
        </w:rPr>
      </w:pPr>
    </w:p>
    <w:p w14:paraId="45D4BC68" w14:textId="095DD596" w:rsidR="002B1603" w:rsidRPr="00A07F29" w:rsidRDefault="002B1603" w:rsidP="00B77E27">
      <w:pPr>
        <w:pStyle w:val="Heading3"/>
        <w:spacing w:before="120" w:after="120" w:line="240" w:lineRule="auto"/>
        <w:jc w:val="center"/>
        <w:rPr>
          <w:b w:val="0"/>
          <w:lang w:eastAsia="ja-JP"/>
        </w:rPr>
      </w:pPr>
      <w:bookmarkStart w:id="69" w:name="_Toc183434009"/>
      <w:r w:rsidRPr="00A07F29">
        <w:rPr>
          <w:lang w:eastAsia="ja-JP"/>
        </w:rPr>
        <w:t xml:space="preserve">4.4.3. </w:t>
      </w:r>
      <w:r w:rsidR="005D2355" w:rsidRPr="00A07F29">
        <w:rPr>
          <w:lang w:eastAsia="ja-JP"/>
        </w:rPr>
        <w:t>Retās un a</w:t>
      </w:r>
      <w:r w:rsidRPr="00A07F29">
        <w:rPr>
          <w:lang w:eastAsia="ja-JP"/>
        </w:rPr>
        <w:t xml:space="preserve">izsargājamās </w:t>
      </w:r>
      <w:proofErr w:type="spellStart"/>
      <w:r w:rsidRPr="00A07F29">
        <w:rPr>
          <w:lang w:eastAsia="ja-JP"/>
        </w:rPr>
        <w:t>vaskulāro</w:t>
      </w:r>
      <w:proofErr w:type="spellEnd"/>
      <w:r w:rsidRPr="00A07F29">
        <w:rPr>
          <w:lang w:eastAsia="ja-JP"/>
        </w:rPr>
        <w:t xml:space="preserve"> augu sugas AAA </w:t>
      </w:r>
      <w:r w:rsidR="00A42B23">
        <w:rPr>
          <w:lang w:eastAsia="ja-JP"/>
        </w:rPr>
        <w:t>“</w:t>
      </w:r>
      <w:r w:rsidRPr="00A07F29">
        <w:rPr>
          <w:lang w:eastAsia="ja-JP"/>
        </w:rPr>
        <w:t>Augšdaugava"</w:t>
      </w:r>
      <w:bookmarkEnd w:id="69"/>
    </w:p>
    <w:p w14:paraId="0D4CBC99" w14:textId="589B447B" w:rsidR="002B1603" w:rsidRPr="00A07F29" w:rsidRDefault="002B1603" w:rsidP="00473E20">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Informācija par AAA “Augšdaugava” teritorijā sastopamajām reto un aizsargājamo </w:t>
      </w:r>
      <w:proofErr w:type="spellStart"/>
      <w:r w:rsidRPr="00A07F29">
        <w:rPr>
          <w:rFonts w:ascii="Times New Roman" w:eastAsia="Calibri" w:hAnsi="Times New Roman" w:cs="Calibri"/>
          <w:sz w:val="24"/>
        </w:rPr>
        <w:t>vaskulāro</w:t>
      </w:r>
      <w:proofErr w:type="spellEnd"/>
      <w:r w:rsidRPr="00A07F29">
        <w:rPr>
          <w:rFonts w:ascii="Times New Roman" w:eastAsia="Calibri" w:hAnsi="Times New Roman" w:cs="Calibri"/>
          <w:sz w:val="24"/>
        </w:rPr>
        <w:t xml:space="preserve"> augu sugām iegūta</w:t>
      </w:r>
      <w:r w:rsidR="004E3F0B" w:rsidRPr="00A07F29">
        <w:rPr>
          <w:rFonts w:ascii="Times New Roman" w:eastAsia="Calibri" w:hAnsi="Times New Roman" w:cs="Calibri"/>
          <w:sz w:val="24"/>
        </w:rPr>
        <w:t>, apsekojot teritoriju DA plāna izstrādes laikā, kā arī</w:t>
      </w:r>
      <w:r w:rsidRPr="00A07F29">
        <w:rPr>
          <w:rFonts w:ascii="Times New Roman" w:eastAsia="Calibri" w:hAnsi="Times New Roman" w:cs="Calibri"/>
          <w:sz w:val="24"/>
        </w:rPr>
        <w:t xml:space="preserve"> no sekojošiem informācijas avotiem (norādīti </w:t>
      </w:r>
      <w:r w:rsidR="00D00F38" w:rsidRPr="00A07F29">
        <w:rPr>
          <w:rFonts w:ascii="Times New Roman" w:eastAsia="Calibri" w:hAnsi="Times New Roman" w:cs="Calibri"/>
          <w:sz w:val="24"/>
        </w:rPr>
        <w:t xml:space="preserve">arī </w:t>
      </w:r>
      <w:r w:rsidRPr="00A07F29">
        <w:rPr>
          <w:rFonts w:ascii="Times New Roman" w:eastAsia="Calibri" w:hAnsi="Times New Roman" w:cs="Calibri"/>
          <w:sz w:val="24"/>
        </w:rPr>
        <w:t>4.4.3.1.</w:t>
      </w:r>
      <w:r w:rsidR="00CE70EB">
        <w:rPr>
          <w:rFonts w:ascii="Times New Roman" w:eastAsia="Calibri" w:hAnsi="Times New Roman" w:cs="Calibri"/>
          <w:sz w:val="24"/>
        </w:rPr>
        <w:t> </w:t>
      </w:r>
      <w:r w:rsidRPr="00A07F29">
        <w:rPr>
          <w:rFonts w:ascii="Times New Roman" w:eastAsia="Calibri" w:hAnsi="Times New Roman" w:cs="Calibri"/>
          <w:sz w:val="24"/>
        </w:rPr>
        <w:t xml:space="preserve">tabulā pie </w:t>
      </w:r>
      <w:r w:rsidR="00CC229D" w:rsidRPr="00A07F29">
        <w:rPr>
          <w:rFonts w:ascii="Times New Roman" w:eastAsia="Calibri" w:hAnsi="Times New Roman" w:cs="Calibri"/>
          <w:sz w:val="24"/>
        </w:rPr>
        <w:t>sugas nosaukuma, ja tā</w:t>
      </w:r>
      <w:r w:rsidR="004E3F0B" w:rsidRPr="00A07F29">
        <w:rPr>
          <w:rFonts w:ascii="Times New Roman" w:eastAsia="Calibri" w:hAnsi="Times New Roman" w:cs="Calibri"/>
          <w:sz w:val="24"/>
        </w:rPr>
        <w:t xml:space="preserve"> netika konstatēta DA plāna izstrādes laikā</w:t>
      </w:r>
      <w:r w:rsidRPr="00A07F29">
        <w:rPr>
          <w:rFonts w:ascii="Times New Roman" w:eastAsia="Calibri" w:hAnsi="Times New Roman" w:cs="Calibri"/>
          <w:sz w:val="24"/>
        </w:rPr>
        <w:t>):</w:t>
      </w:r>
    </w:p>
    <w:p w14:paraId="53EBF2C0" w14:textId="54F8D5B7" w:rsidR="002B1603" w:rsidRPr="00A07F29" w:rsidRDefault="002B1603" w:rsidP="00473E20">
      <w:pPr>
        <w:spacing w:after="120" w:line="240" w:lineRule="auto"/>
        <w:ind w:firstLine="851"/>
        <w:jc w:val="both"/>
        <w:rPr>
          <w:rFonts w:ascii="Times New Roman" w:eastAsia="Calibri" w:hAnsi="Times New Roman" w:cs="Calibri"/>
          <w:sz w:val="24"/>
          <w:szCs w:val="24"/>
        </w:rPr>
      </w:pPr>
      <w:r w:rsidRPr="00A07F29">
        <w:rPr>
          <w:rFonts w:ascii="Times New Roman" w:eastAsia="Calibri" w:hAnsi="Times New Roman" w:cs="Calibri"/>
          <w:sz w:val="24"/>
          <w:szCs w:val="24"/>
        </w:rPr>
        <w:lastRenderedPageBreak/>
        <w:t>1.</w:t>
      </w:r>
      <w:r w:rsidRPr="00A07F29">
        <w:tab/>
      </w:r>
      <w:r w:rsidR="00BF0E06" w:rsidRPr="00A07F29">
        <w:rPr>
          <w:rFonts w:ascii="Times New Roman" w:eastAsia="Calibri" w:hAnsi="Times New Roman" w:cs="Calibri"/>
          <w:sz w:val="24"/>
          <w:szCs w:val="24"/>
        </w:rPr>
        <w:t>DA plāns</w:t>
      </w:r>
      <w:r w:rsidRPr="00A07F29">
        <w:rPr>
          <w:rFonts w:ascii="Times New Roman" w:eastAsia="Calibri" w:hAnsi="Times New Roman" w:cs="Calibri"/>
          <w:sz w:val="24"/>
          <w:szCs w:val="24"/>
        </w:rPr>
        <w:t xml:space="preserve"> </w:t>
      </w:r>
      <w:r w:rsidR="00BF0E06" w:rsidRPr="00A07F29">
        <w:rPr>
          <w:rFonts w:ascii="Times New Roman" w:eastAsia="Calibri" w:hAnsi="Times New Roman" w:cs="Calibri"/>
          <w:sz w:val="24"/>
          <w:szCs w:val="24"/>
        </w:rPr>
        <w:t>DP</w:t>
      </w:r>
      <w:r w:rsidRPr="00A07F29">
        <w:rPr>
          <w:rFonts w:ascii="Times New Roman" w:eastAsia="Calibri" w:hAnsi="Times New Roman" w:cs="Calibri"/>
          <w:sz w:val="24"/>
          <w:szCs w:val="24"/>
        </w:rPr>
        <w:t xml:space="preserve"> </w:t>
      </w:r>
      <w:r w:rsidR="008705C7">
        <w:rPr>
          <w:rFonts w:ascii="Times New Roman" w:eastAsia="Calibri" w:hAnsi="Times New Roman" w:cs="Calibri"/>
          <w:sz w:val="24"/>
          <w:szCs w:val="24"/>
        </w:rPr>
        <w:t>“</w:t>
      </w:r>
      <w:r w:rsidRPr="00A07F29">
        <w:rPr>
          <w:rFonts w:ascii="Times New Roman" w:eastAsia="Calibri" w:hAnsi="Times New Roman" w:cs="Calibri"/>
          <w:sz w:val="24"/>
          <w:szCs w:val="24"/>
        </w:rPr>
        <w:t>Daugavas loki”;</w:t>
      </w:r>
    </w:p>
    <w:p w14:paraId="1DCCA04B" w14:textId="18C1BD8C" w:rsidR="002B1603" w:rsidRPr="00A07F29" w:rsidRDefault="002B1603" w:rsidP="00473E20">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2.</w:t>
      </w:r>
      <w:r w:rsidRPr="00A07F29">
        <w:rPr>
          <w:rFonts w:ascii="Times New Roman" w:eastAsia="Calibri" w:hAnsi="Times New Roman" w:cs="Calibri"/>
          <w:sz w:val="24"/>
        </w:rPr>
        <w:tab/>
      </w:r>
      <w:r w:rsidRPr="008E4ACF">
        <w:rPr>
          <w:rFonts w:ascii="Times New Roman" w:eastAsia="Calibri" w:hAnsi="Times New Roman" w:cs="Calibri"/>
          <w:sz w:val="24"/>
        </w:rPr>
        <w:t>D</w:t>
      </w:r>
      <w:r w:rsidR="008E4ACF" w:rsidRPr="008E4ACF">
        <w:rPr>
          <w:rFonts w:ascii="Times New Roman" w:eastAsia="Calibri" w:hAnsi="Times New Roman" w:cs="Calibri"/>
          <w:sz w:val="24"/>
        </w:rPr>
        <w:t>DPS</w:t>
      </w:r>
      <w:r w:rsidRPr="008E4ACF">
        <w:rPr>
          <w:rFonts w:ascii="Times New Roman" w:eastAsia="Calibri" w:hAnsi="Times New Roman" w:cs="Calibri"/>
          <w:sz w:val="24"/>
        </w:rPr>
        <w:t xml:space="preserve"> “Ozols”</w:t>
      </w:r>
      <w:r w:rsidRPr="00A07F29">
        <w:rPr>
          <w:rFonts w:ascii="Times New Roman" w:eastAsia="Calibri" w:hAnsi="Times New Roman" w:cs="Calibri"/>
          <w:sz w:val="24"/>
        </w:rPr>
        <w:t xml:space="preserve"> esošie dati;</w:t>
      </w:r>
    </w:p>
    <w:p w14:paraId="4E2E3057" w14:textId="25E6976D" w:rsidR="002B1603" w:rsidRPr="00A07F29" w:rsidRDefault="002B1603" w:rsidP="00473E20">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3.</w:t>
      </w:r>
      <w:r w:rsidRPr="00A07F29">
        <w:rPr>
          <w:rFonts w:ascii="Times New Roman" w:eastAsia="Calibri" w:hAnsi="Times New Roman" w:cs="Calibri"/>
          <w:sz w:val="24"/>
        </w:rPr>
        <w:tab/>
      </w:r>
      <w:r w:rsidR="00E26F90" w:rsidRPr="00E26F90">
        <w:rPr>
          <w:rFonts w:ascii="Times New Roman" w:eastAsia="Calibri" w:hAnsi="Times New Roman" w:cs="Calibri"/>
          <w:sz w:val="24"/>
        </w:rPr>
        <w:t xml:space="preserve">Vides un </w:t>
      </w:r>
      <w:proofErr w:type="spellStart"/>
      <w:r w:rsidR="00E26F90" w:rsidRPr="00E26F90">
        <w:rPr>
          <w:rFonts w:ascii="Times New Roman" w:eastAsia="Calibri" w:hAnsi="Times New Roman" w:cs="Calibri"/>
          <w:sz w:val="24"/>
        </w:rPr>
        <w:t>meteroloģijas</w:t>
      </w:r>
      <w:proofErr w:type="spellEnd"/>
      <w:r w:rsidR="00E26F90" w:rsidRPr="00E26F90">
        <w:rPr>
          <w:rFonts w:ascii="Times New Roman" w:eastAsia="Calibri" w:hAnsi="Times New Roman" w:cs="Calibri"/>
          <w:sz w:val="24"/>
        </w:rPr>
        <w:t xml:space="preserve"> aģ</w:t>
      </w:r>
      <w:r w:rsidRPr="00E26F90">
        <w:rPr>
          <w:rFonts w:ascii="Times New Roman" w:eastAsia="Calibri" w:hAnsi="Times New Roman" w:cs="Calibri"/>
          <w:sz w:val="24"/>
        </w:rPr>
        <w:t>entūras</w:t>
      </w:r>
      <w:r w:rsidRPr="00A07F29">
        <w:rPr>
          <w:rFonts w:ascii="Times New Roman" w:eastAsia="Calibri" w:hAnsi="Times New Roman" w:cs="Calibri"/>
          <w:sz w:val="24"/>
        </w:rPr>
        <w:t xml:space="preserve"> datubāze, kurā integrēti arī V.</w:t>
      </w:r>
      <w:r w:rsidR="001C52BD">
        <w:rPr>
          <w:rFonts w:ascii="Times New Roman" w:eastAsia="Calibri" w:hAnsi="Times New Roman" w:cs="Calibri"/>
          <w:sz w:val="24"/>
        </w:rPr>
        <w:t> </w:t>
      </w:r>
      <w:proofErr w:type="spellStart"/>
      <w:r w:rsidRPr="00A07F29">
        <w:rPr>
          <w:rFonts w:ascii="Times New Roman" w:eastAsia="Calibri" w:hAnsi="Times New Roman" w:cs="Calibri"/>
          <w:sz w:val="24"/>
        </w:rPr>
        <w:t>Baroniņas</w:t>
      </w:r>
      <w:proofErr w:type="spellEnd"/>
      <w:r w:rsidRPr="00A07F29">
        <w:rPr>
          <w:rFonts w:ascii="Times New Roman" w:eastAsia="Calibri" w:hAnsi="Times New Roman" w:cs="Calibri"/>
          <w:sz w:val="24"/>
        </w:rPr>
        <w:t xml:space="preserve"> un U.</w:t>
      </w:r>
      <w:r w:rsidR="001C52BD">
        <w:rPr>
          <w:rFonts w:ascii="Times New Roman" w:eastAsia="Calibri" w:hAnsi="Times New Roman" w:cs="Calibri"/>
          <w:sz w:val="24"/>
        </w:rPr>
        <w:t> </w:t>
      </w:r>
      <w:proofErr w:type="spellStart"/>
      <w:r w:rsidRPr="00A07F29">
        <w:rPr>
          <w:rFonts w:ascii="Times New Roman" w:eastAsia="Calibri" w:hAnsi="Times New Roman" w:cs="Calibri"/>
          <w:sz w:val="24"/>
        </w:rPr>
        <w:t>Suško</w:t>
      </w:r>
      <w:proofErr w:type="spellEnd"/>
      <w:r w:rsidRPr="00A07F29">
        <w:rPr>
          <w:rFonts w:ascii="Times New Roman" w:eastAsia="Calibri" w:hAnsi="Times New Roman" w:cs="Calibri"/>
          <w:sz w:val="24"/>
        </w:rPr>
        <w:t xml:space="preserve"> pētījumi par Krāslavas un Daugavpils aizsargājamo augu atradņu inventarizāciju, kas veikta Latvijas botāniķu biedrības realizētā projekta ietvaros;</w:t>
      </w:r>
    </w:p>
    <w:p w14:paraId="5D01644D" w14:textId="3433A191" w:rsidR="002B1603" w:rsidRPr="00A07F29" w:rsidRDefault="002B1603" w:rsidP="00473E20">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4.</w:t>
      </w:r>
      <w:r w:rsidRPr="00A07F29">
        <w:rPr>
          <w:rFonts w:ascii="Times New Roman" w:eastAsia="Calibri" w:hAnsi="Times New Roman" w:cs="Calibri"/>
          <w:sz w:val="24"/>
        </w:rPr>
        <w:tab/>
      </w:r>
      <w:r w:rsidR="00E26F90" w:rsidRPr="00E26F90">
        <w:rPr>
          <w:rFonts w:ascii="Times New Roman" w:eastAsia="Calibri" w:hAnsi="Times New Roman" w:cs="Calibri"/>
          <w:sz w:val="24"/>
        </w:rPr>
        <w:t>DU</w:t>
      </w:r>
      <w:r w:rsidR="00E26F90">
        <w:rPr>
          <w:rFonts w:ascii="Times New Roman" w:eastAsia="Calibri" w:hAnsi="Times New Roman" w:cs="Calibri"/>
          <w:sz w:val="24"/>
        </w:rPr>
        <w:t xml:space="preserve"> herbārija;</w:t>
      </w:r>
    </w:p>
    <w:p w14:paraId="1971D0FE" w14:textId="21938A76" w:rsidR="002B1603" w:rsidRPr="00A07F29" w:rsidRDefault="002B1603" w:rsidP="00473E20">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5.</w:t>
      </w:r>
      <w:r w:rsidRPr="00A07F29">
        <w:rPr>
          <w:rFonts w:ascii="Times New Roman" w:eastAsia="Calibri" w:hAnsi="Times New Roman" w:cs="Calibri"/>
          <w:sz w:val="24"/>
        </w:rPr>
        <w:tab/>
      </w:r>
      <w:r w:rsidR="00E26F90" w:rsidRPr="00E26F90">
        <w:rPr>
          <w:rFonts w:ascii="Times New Roman" w:eastAsia="Calibri" w:hAnsi="Times New Roman" w:cs="Calibri"/>
          <w:sz w:val="24"/>
        </w:rPr>
        <w:t>LU</w:t>
      </w:r>
      <w:r w:rsidRPr="00A07F29">
        <w:rPr>
          <w:rFonts w:ascii="Times New Roman" w:eastAsia="Calibri" w:hAnsi="Times New Roman" w:cs="Calibri"/>
          <w:sz w:val="24"/>
        </w:rPr>
        <w:t xml:space="preserve"> Bio</w:t>
      </w:r>
      <w:r w:rsidR="00E26F90">
        <w:rPr>
          <w:rFonts w:ascii="Times New Roman" w:eastAsia="Calibri" w:hAnsi="Times New Roman" w:cs="Calibri"/>
          <w:sz w:val="24"/>
        </w:rPr>
        <w:t>loģijas Institūta herbārija;</w:t>
      </w:r>
    </w:p>
    <w:p w14:paraId="3E6B4CC8" w14:textId="7CE19C48" w:rsidR="002B1603" w:rsidRPr="00A07F29" w:rsidRDefault="002B1603" w:rsidP="00473E20">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6.</w:t>
      </w:r>
      <w:r w:rsidRPr="00A07F29">
        <w:rPr>
          <w:rFonts w:ascii="Times New Roman" w:eastAsia="Calibri" w:hAnsi="Times New Roman" w:cs="Calibri"/>
          <w:sz w:val="24"/>
        </w:rPr>
        <w:tab/>
        <w:t>I.</w:t>
      </w:r>
      <w:r w:rsidR="003316D1">
        <w:rPr>
          <w:rFonts w:ascii="Times New Roman" w:eastAsia="Calibri" w:hAnsi="Times New Roman" w:cs="Calibri"/>
          <w:sz w:val="24"/>
        </w:rPr>
        <w:t> </w:t>
      </w:r>
      <w:proofErr w:type="spellStart"/>
      <w:r w:rsidRPr="00A07F29">
        <w:rPr>
          <w:rFonts w:ascii="Times New Roman" w:eastAsia="Calibri" w:hAnsi="Times New Roman" w:cs="Calibri"/>
          <w:sz w:val="24"/>
        </w:rPr>
        <w:t>Enģeles</w:t>
      </w:r>
      <w:proofErr w:type="spellEnd"/>
      <w:r w:rsidRPr="00A07F29">
        <w:rPr>
          <w:rFonts w:ascii="Times New Roman" w:eastAsia="Calibri" w:hAnsi="Times New Roman" w:cs="Calibri"/>
          <w:sz w:val="24"/>
        </w:rPr>
        <w:t xml:space="preserve"> kursa darbs “Krāslavas rajona aizsargājamie augi”;</w:t>
      </w:r>
    </w:p>
    <w:p w14:paraId="356D6A73" w14:textId="7A866A8D" w:rsidR="002B1603" w:rsidRPr="00A07F29" w:rsidRDefault="002B1603" w:rsidP="00473E20">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7.</w:t>
      </w:r>
      <w:r w:rsidRPr="00A07F29">
        <w:rPr>
          <w:rFonts w:ascii="Times New Roman" w:eastAsia="Calibri" w:hAnsi="Times New Roman" w:cs="Calibri"/>
          <w:sz w:val="24"/>
        </w:rPr>
        <w:tab/>
        <w:t>A.</w:t>
      </w:r>
      <w:r w:rsidR="003316D1">
        <w:rPr>
          <w:rFonts w:ascii="Times New Roman" w:eastAsia="Calibri" w:hAnsi="Times New Roman" w:cs="Calibri"/>
          <w:sz w:val="24"/>
        </w:rPr>
        <w:t> </w:t>
      </w:r>
      <w:r w:rsidRPr="00A07F29">
        <w:rPr>
          <w:rFonts w:ascii="Times New Roman" w:eastAsia="Calibri" w:hAnsi="Times New Roman" w:cs="Calibri"/>
          <w:sz w:val="24"/>
        </w:rPr>
        <w:t xml:space="preserve">Ozoliņas maģistra darbs “Materiāli par reto un aizsargājamo augu sugu atradnēm </w:t>
      </w:r>
      <w:r w:rsidR="00BF0E06" w:rsidRPr="00A07F29">
        <w:rPr>
          <w:rFonts w:ascii="Times New Roman" w:eastAsia="Calibri" w:hAnsi="Times New Roman" w:cs="Calibri"/>
          <w:sz w:val="24"/>
        </w:rPr>
        <w:t>DP</w:t>
      </w:r>
      <w:r w:rsidRPr="00A07F29">
        <w:rPr>
          <w:rFonts w:ascii="Times New Roman" w:eastAsia="Calibri" w:hAnsi="Times New Roman" w:cs="Calibri"/>
          <w:sz w:val="24"/>
        </w:rPr>
        <w:t xml:space="preserve"> “Daugavas loki” teritorijā” (2009).</w:t>
      </w:r>
    </w:p>
    <w:p w14:paraId="419996CB" w14:textId="52EA77ED" w:rsidR="002B1603" w:rsidRPr="00A07F29" w:rsidRDefault="002B1603" w:rsidP="00473E20">
      <w:pPr>
        <w:spacing w:after="120" w:line="240" w:lineRule="auto"/>
        <w:ind w:firstLine="851"/>
        <w:jc w:val="both"/>
        <w:rPr>
          <w:rFonts w:ascii="Times New Roman" w:eastAsia="Calibri" w:hAnsi="Times New Roman" w:cs="Calibri"/>
          <w:b/>
          <w:bCs/>
          <w:sz w:val="24"/>
          <w:szCs w:val="24"/>
        </w:rPr>
      </w:pPr>
      <w:r w:rsidRPr="00A07F29">
        <w:rPr>
          <w:rFonts w:ascii="Times New Roman" w:eastAsia="Calibri" w:hAnsi="Times New Roman" w:cs="Calibri"/>
          <w:sz w:val="24"/>
          <w:szCs w:val="24"/>
        </w:rPr>
        <w:t xml:space="preserve">Pirmajā </w:t>
      </w:r>
      <w:r w:rsidR="00BF0E06" w:rsidRPr="00A07F29">
        <w:rPr>
          <w:rFonts w:ascii="Times New Roman" w:eastAsia="Calibri" w:hAnsi="Times New Roman" w:cs="Calibri"/>
          <w:sz w:val="24"/>
          <w:szCs w:val="24"/>
        </w:rPr>
        <w:t>DA plānā</w:t>
      </w:r>
      <w:r w:rsidRPr="00A07F29">
        <w:rPr>
          <w:rFonts w:ascii="Times New Roman" w:eastAsia="Calibri" w:hAnsi="Times New Roman" w:cs="Calibri"/>
          <w:sz w:val="24"/>
          <w:szCs w:val="24"/>
        </w:rPr>
        <w:t xml:space="preserve"> </w:t>
      </w:r>
      <w:r w:rsidR="00B649FD" w:rsidRPr="00A07F29">
        <w:rPr>
          <w:rFonts w:ascii="Times New Roman" w:eastAsia="Calibri" w:hAnsi="Times New Roman" w:cs="Calibri"/>
          <w:sz w:val="24"/>
          <w:szCs w:val="24"/>
        </w:rPr>
        <w:t xml:space="preserve">DP </w:t>
      </w:r>
      <w:r w:rsidRPr="00A07F29">
        <w:rPr>
          <w:rFonts w:ascii="Times New Roman" w:eastAsia="Calibri" w:hAnsi="Times New Roman" w:cs="Calibri"/>
          <w:sz w:val="24"/>
          <w:szCs w:val="24"/>
        </w:rPr>
        <w:t xml:space="preserve">“Daugavas loki” ir sniegtas ziņas par 26 </w:t>
      </w:r>
      <w:r w:rsidRPr="00A04581">
        <w:rPr>
          <w:rFonts w:ascii="Times New Roman" w:eastAsia="Calibri" w:hAnsi="Times New Roman" w:cs="Calibri"/>
          <w:sz w:val="24"/>
          <w:szCs w:val="24"/>
        </w:rPr>
        <w:t>īpaši aizsargājamām</w:t>
      </w:r>
      <w:r w:rsidRPr="00A07F29">
        <w:rPr>
          <w:rFonts w:ascii="Times New Roman" w:eastAsia="Calibri" w:hAnsi="Times New Roman" w:cs="Calibri"/>
          <w:sz w:val="24"/>
          <w:szCs w:val="24"/>
        </w:rPr>
        <w:t xml:space="preserve"> augu sugām. Otrajā, 2008.</w:t>
      </w:r>
      <w:r w:rsidR="00480FBF">
        <w:rPr>
          <w:rFonts w:ascii="Times New Roman" w:eastAsia="Calibri" w:hAnsi="Times New Roman" w:cs="Calibri"/>
          <w:sz w:val="24"/>
          <w:szCs w:val="24"/>
        </w:rPr>
        <w:t> </w:t>
      </w:r>
      <w:r w:rsidRPr="00A07F29">
        <w:rPr>
          <w:rFonts w:ascii="Times New Roman" w:eastAsia="Calibri" w:hAnsi="Times New Roman" w:cs="Calibri"/>
          <w:sz w:val="24"/>
          <w:szCs w:val="24"/>
        </w:rPr>
        <w:t xml:space="preserve">gadā, izstrādātajā </w:t>
      </w:r>
      <w:r w:rsidR="00BF0E06" w:rsidRPr="00A07F29">
        <w:rPr>
          <w:rFonts w:ascii="Times New Roman" w:eastAsia="Calibri" w:hAnsi="Times New Roman" w:cs="Calibri"/>
          <w:sz w:val="24"/>
          <w:szCs w:val="24"/>
        </w:rPr>
        <w:t>DA plānā</w:t>
      </w:r>
      <w:r w:rsidRPr="00A07F29">
        <w:rPr>
          <w:rFonts w:ascii="Times New Roman" w:eastAsia="Calibri" w:hAnsi="Times New Roman" w:cs="Calibri"/>
          <w:sz w:val="24"/>
          <w:szCs w:val="24"/>
        </w:rPr>
        <w:t xml:space="preserve"> DP “Daugavas loki”, kas ir tikai daļa no AAA “Augšdaugava”, ir dati par 55 retām vai </w:t>
      </w:r>
      <w:r w:rsidRPr="00A04581">
        <w:rPr>
          <w:rFonts w:ascii="Times New Roman" w:eastAsia="Calibri" w:hAnsi="Times New Roman" w:cs="Calibri"/>
          <w:sz w:val="24"/>
          <w:szCs w:val="24"/>
        </w:rPr>
        <w:t>īpaši aizsargājamām</w:t>
      </w:r>
      <w:r w:rsidRPr="00A07F29">
        <w:rPr>
          <w:rFonts w:ascii="Times New Roman" w:eastAsia="Calibri" w:hAnsi="Times New Roman" w:cs="Calibri"/>
          <w:sz w:val="24"/>
          <w:szCs w:val="24"/>
        </w:rPr>
        <w:t xml:space="preserve"> </w:t>
      </w:r>
      <w:proofErr w:type="spellStart"/>
      <w:r w:rsidRPr="00A07F29">
        <w:rPr>
          <w:rFonts w:ascii="Times New Roman" w:eastAsia="Calibri" w:hAnsi="Times New Roman" w:cs="Calibri"/>
          <w:sz w:val="24"/>
          <w:szCs w:val="24"/>
        </w:rPr>
        <w:t>vaskulāro</w:t>
      </w:r>
      <w:proofErr w:type="spellEnd"/>
      <w:r w:rsidRPr="00A07F29">
        <w:rPr>
          <w:rFonts w:ascii="Times New Roman" w:eastAsia="Calibri" w:hAnsi="Times New Roman" w:cs="Calibri"/>
          <w:sz w:val="24"/>
          <w:szCs w:val="24"/>
        </w:rPr>
        <w:t xml:space="preserve"> augu sugām. Apkopojot informāciju no visiem iepriekš minētajiem literatūras avotiem, teritorijā pirms </w:t>
      </w:r>
      <w:r w:rsidR="00101C46" w:rsidRPr="00A07F29">
        <w:rPr>
          <w:rFonts w:ascii="Times New Roman" w:eastAsia="Calibri" w:hAnsi="Times New Roman" w:cs="Calibri"/>
          <w:sz w:val="24"/>
          <w:szCs w:val="24"/>
        </w:rPr>
        <w:t xml:space="preserve">DA plāna </w:t>
      </w:r>
      <w:r w:rsidRPr="00A07F29">
        <w:rPr>
          <w:rFonts w:ascii="Times New Roman" w:eastAsia="Calibri" w:hAnsi="Times New Roman" w:cs="Calibri"/>
          <w:sz w:val="24"/>
          <w:szCs w:val="24"/>
        </w:rPr>
        <w:t xml:space="preserve">izstrādes zināmas bijušas 85 retas un aizsargājamas </w:t>
      </w:r>
      <w:proofErr w:type="spellStart"/>
      <w:r w:rsidRPr="00A07F29">
        <w:rPr>
          <w:rFonts w:ascii="Times New Roman" w:eastAsia="Calibri" w:hAnsi="Times New Roman" w:cs="Calibri"/>
          <w:sz w:val="24"/>
          <w:szCs w:val="24"/>
        </w:rPr>
        <w:t>vaskulāro</w:t>
      </w:r>
      <w:proofErr w:type="spellEnd"/>
      <w:r w:rsidRPr="00A07F29">
        <w:rPr>
          <w:rFonts w:ascii="Times New Roman" w:eastAsia="Calibri" w:hAnsi="Times New Roman" w:cs="Calibri"/>
          <w:sz w:val="24"/>
          <w:szCs w:val="24"/>
        </w:rPr>
        <w:t xml:space="preserve"> augu sugas. </w:t>
      </w:r>
      <w:r w:rsidR="006F5621" w:rsidRPr="00A07F29">
        <w:rPr>
          <w:rFonts w:ascii="Times New Roman" w:eastAsia="Calibri" w:hAnsi="Times New Roman" w:cs="Calibri"/>
          <w:sz w:val="24"/>
          <w:szCs w:val="24"/>
        </w:rPr>
        <w:t xml:space="preserve">Apkopojot iepriekšējos un jaunos pētījumus </w:t>
      </w:r>
      <w:r w:rsidR="00974178" w:rsidRPr="00A07F29">
        <w:rPr>
          <w:rFonts w:ascii="Times New Roman" w:eastAsia="Calibri" w:hAnsi="Times New Roman" w:cs="Calibri"/>
          <w:sz w:val="24"/>
          <w:szCs w:val="24"/>
        </w:rPr>
        <w:t>AAA “Augšdaugava”</w:t>
      </w:r>
      <w:r w:rsidRPr="00A07F29">
        <w:rPr>
          <w:rFonts w:ascii="Times New Roman" w:eastAsia="Calibri" w:hAnsi="Times New Roman" w:cs="Calibri"/>
          <w:sz w:val="24"/>
          <w:szCs w:val="24"/>
        </w:rPr>
        <w:t xml:space="preserve"> teritorijā, </w:t>
      </w:r>
      <w:r w:rsidR="008419DC" w:rsidRPr="00A07F29">
        <w:rPr>
          <w:rFonts w:ascii="Times New Roman" w:eastAsia="Calibri" w:hAnsi="Times New Roman" w:cs="Calibri"/>
          <w:sz w:val="24"/>
          <w:szCs w:val="24"/>
        </w:rPr>
        <w:t>apstiprināti</w:t>
      </w:r>
      <w:r w:rsidRPr="00A07F29">
        <w:rPr>
          <w:rFonts w:ascii="Times New Roman" w:eastAsia="Calibri" w:hAnsi="Times New Roman" w:cs="Calibri"/>
          <w:sz w:val="24"/>
          <w:szCs w:val="24"/>
        </w:rPr>
        <w:t xml:space="preserve"> </w:t>
      </w:r>
      <w:r w:rsidR="0041219A" w:rsidRPr="00A07F29">
        <w:rPr>
          <w:rFonts w:ascii="Times New Roman" w:eastAsia="Calibri" w:hAnsi="Times New Roman" w:cs="Calibri"/>
          <w:sz w:val="24"/>
          <w:szCs w:val="24"/>
        </w:rPr>
        <w:t xml:space="preserve">101 </w:t>
      </w:r>
      <w:r w:rsidRPr="00A07F29">
        <w:rPr>
          <w:rFonts w:ascii="Times New Roman" w:eastAsia="Calibri" w:hAnsi="Times New Roman" w:cs="Calibri"/>
          <w:sz w:val="24"/>
          <w:szCs w:val="24"/>
        </w:rPr>
        <w:t>ret</w:t>
      </w:r>
      <w:r w:rsidR="008419DC" w:rsidRPr="00A07F29">
        <w:rPr>
          <w:rFonts w:ascii="Times New Roman" w:eastAsia="Calibri" w:hAnsi="Times New Roman" w:cs="Calibri"/>
          <w:sz w:val="24"/>
          <w:szCs w:val="24"/>
        </w:rPr>
        <w:t>u</w:t>
      </w:r>
      <w:r w:rsidRPr="00A07F29">
        <w:rPr>
          <w:rFonts w:ascii="Times New Roman" w:eastAsia="Calibri" w:hAnsi="Times New Roman" w:cs="Calibri"/>
          <w:sz w:val="24"/>
          <w:szCs w:val="24"/>
        </w:rPr>
        <w:t xml:space="preserve"> un </w:t>
      </w:r>
      <w:r w:rsidR="008419DC" w:rsidRPr="00A07F29">
        <w:rPr>
          <w:rFonts w:ascii="Times New Roman" w:eastAsia="Calibri" w:hAnsi="Times New Roman" w:cs="Calibri"/>
          <w:sz w:val="24"/>
          <w:szCs w:val="24"/>
        </w:rPr>
        <w:t xml:space="preserve">aizsargājamu </w:t>
      </w:r>
      <w:r w:rsidRPr="00A07F29">
        <w:rPr>
          <w:rFonts w:ascii="Times New Roman" w:eastAsia="Calibri" w:hAnsi="Times New Roman" w:cs="Calibri"/>
          <w:sz w:val="24"/>
          <w:szCs w:val="24"/>
        </w:rPr>
        <w:t xml:space="preserve">ziedaugu un paparžaugu </w:t>
      </w:r>
      <w:r w:rsidR="008419DC" w:rsidRPr="00A07F29">
        <w:rPr>
          <w:rFonts w:ascii="Times New Roman" w:eastAsia="Calibri" w:hAnsi="Times New Roman" w:cs="Calibri"/>
          <w:sz w:val="24"/>
          <w:szCs w:val="24"/>
        </w:rPr>
        <w:t xml:space="preserve">sugu atradumi </w:t>
      </w:r>
      <w:r w:rsidRPr="00A07F29">
        <w:rPr>
          <w:rFonts w:ascii="Times New Roman" w:eastAsia="Calibri" w:hAnsi="Times New Roman" w:cs="Calibri"/>
          <w:sz w:val="24"/>
          <w:szCs w:val="24"/>
        </w:rPr>
        <w:t>(</w:t>
      </w:r>
      <w:r w:rsidR="00A12E23">
        <w:rPr>
          <w:rFonts w:ascii="Times New Roman" w:eastAsia="Calibri" w:hAnsi="Times New Roman" w:cs="Calibri"/>
          <w:sz w:val="24"/>
          <w:szCs w:val="24"/>
        </w:rPr>
        <w:t xml:space="preserve">skat. </w:t>
      </w:r>
      <w:r w:rsidR="008C3B8A" w:rsidRPr="00A07F29">
        <w:rPr>
          <w:rFonts w:ascii="Times New Roman" w:eastAsia="Calibri" w:hAnsi="Times New Roman" w:cs="Times New Roman"/>
          <w:sz w:val="24"/>
          <w:szCs w:val="24"/>
        </w:rPr>
        <w:t>4.4.3.1., 4.4.3.3.</w:t>
      </w:r>
      <w:r w:rsidR="004108C6">
        <w:rPr>
          <w:rFonts w:ascii="Times New Roman" w:eastAsia="Calibri" w:hAnsi="Times New Roman" w:cs="Times New Roman"/>
          <w:sz w:val="24"/>
          <w:szCs w:val="24"/>
        </w:rPr>
        <w:t> </w:t>
      </w:r>
      <w:r w:rsidR="008C3B8A" w:rsidRPr="00A07F29">
        <w:rPr>
          <w:rFonts w:ascii="Times New Roman" w:eastAsia="Calibri" w:hAnsi="Times New Roman" w:cs="Times New Roman"/>
          <w:sz w:val="24"/>
          <w:szCs w:val="24"/>
        </w:rPr>
        <w:t xml:space="preserve">tabula un </w:t>
      </w:r>
      <w:r w:rsidRPr="00A07F29">
        <w:rPr>
          <w:rFonts w:ascii="Times New Roman" w:eastAsia="Calibri" w:hAnsi="Times New Roman" w:cs="Calibri"/>
          <w:sz w:val="24"/>
          <w:szCs w:val="24"/>
        </w:rPr>
        <w:t>4.</w:t>
      </w:r>
      <w:r w:rsidR="0041219A" w:rsidRPr="00A07F29">
        <w:rPr>
          <w:rFonts w:ascii="Times New Roman" w:eastAsia="Calibri" w:hAnsi="Times New Roman" w:cs="Calibri"/>
          <w:sz w:val="24"/>
          <w:szCs w:val="24"/>
        </w:rPr>
        <w:t>5</w:t>
      </w:r>
      <w:r w:rsidRPr="00A07F29">
        <w:rPr>
          <w:rFonts w:ascii="Times New Roman" w:eastAsia="Calibri" w:hAnsi="Times New Roman" w:cs="Calibri"/>
          <w:sz w:val="24"/>
          <w:szCs w:val="24"/>
        </w:rPr>
        <w:t>.</w:t>
      </w:r>
      <w:r w:rsidR="004108C6">
        <w:rPr>
          <w:rFonts w:ascii="Times New Roman" w:eastAsia="Calibri" w:hAnsi="Times New Roman" w:cs="Calibri"/>
          <w:sz w:val="24"/>
          <w:szCs w:val="24"/>
        </w:rPr>
        <w:t> </w:t>
      </w:r>
      <w:r w:rsidR="008C3B8A" w:rsidRPr="00A07F29">
        <w:rPr>
          <w:rFonts w:ascii="Times New Roman" w:eastAsia="Calibri" w:hAnsi="Times New Roman" w:cs="Calibri"/>
          <w:sz w:val="24"/>
          <w:szCs w:val="24"/>
        </w:rPr>
        <w:t>pielikums</w:t>
      </w:r>
      <w:r w:rsidRPr="00A07F29">
        <w:rPr>
          <w:rFonts w:ascii="Times New Roman" w:eastAsia="Calibri" w:hAnsi="Times New Roman" w:cs="Calibri"/>
          <w:sz w:val="24"/>
          <w:szCs w:val="24"/>
        </w:rPr>
        <w:t xml:space="preserve">). Jāatzīmē, ka </w:t>
      </w:r>
      <w:r w:rsidR="00590F8F">
        <w:rPr>
          <w:rFonts w:ascii="Times New Roman" w:eastAsia="Calibri" w:hAnsi="Times New Roman" w:cs="Calibri"/>
          <w:sz w:val="24"/>
          <w:szCs w:val="24"/>
        </w:rPr>
        <w:t>trīs</w:t>
      </w:r>
      <w:r w:rsidR="007F28E6" w:rsidRPr="00A07F29">
        <w:rPr>
          <w:rFonts w:ascii="Times New Roman" w:eastAsia="Calibri" w:hAnsi="Times New Roman" w:cs="Calibri"/>
          <w:sz w:val="24"/>
          <w:szCs w:val="24"/>
        </w:rPr>
        <w:t xml:space="preserve"> </w:t>
      </w:r>
      <w:r w:rsidRPr="00A07F29">
        <w:rPr>
          <w:rFonts w:ascii="Times New Roman" w:eastAsia="Calibri" w:hAnsi="Times New Roman" w:cs="Calibri"/>
          <w:sz w:val="24"/>
          <w:szCs w:val="24"/>
        </w:rPr>
        <w:t xml:space="preserve">no šīm augu sugām </w:t>
      </w:r>
      <w:r w:rsidR="009D20B3" w:rsidRPr="00A07F29">
        <w:rPr>
          <w:rFonts w:ascii="Times New Roman" w:eastAsia="Calibri" w:hAnsi="Times New Roman" w:cs="Calibri"/>
          <w:sz w:val="24"/>
          <w:szCs w:val="24"/>
        </w:rPr>
        <w:t xml:space="preserve">(meža silpurene, </w:t>
      </w:r>
      <w:proofErr w:type="spellStart"/>
      <w:r w:rsidR="009D20B3" w:rsidRPr="00A07F29">
        <w:rPr>
          <w:rFonts w:ascii="Times New Roman" w:eastAsia="Calibri" w:hAnsi="Times New Roman" w:cs="Calibri"/>
          <w:sz w:val="24"/>
          <w:szCs w:val="24"/>
        </w:rPr>
        <w:t>Lēzeļa</w:t>
      </w:r>
      <w:proofErr w:type="spellEnd"/>
      <w:r w:rsidR="009D20B3" w:rsidRPr="00A07F29">
        <w:rPr>
          <w:rFonts w:ascii="Times New Roman" w:eastAsia="Calibri" w:hAnsi="Times New Roman" w:cs="Calibri"/>
          <w:sz w:val="24"/>
          <w:szCs w:val="24"/>
        </w:rPr>
        <w:t xml:space="preserve"> </w:t>
      </w:r>
      <w:proofErr w:type="spellStart"/>
      <w:r w:rsidR="009D20B3" w:rsidRPr="00A07F29">
        <w:rPr>
          <w:rFonts w:ascii="Times New Roman" w:eastAsia="Calibri" w:hAnsi="Times New Roman" w:cs="Calibri"/>
          <w:sz w:val="24"/>
          <w:szCs w:val="24"/>
        </w:rPr>
        <w:t>lipare</w:t>
      </w:r>
      <w:proofErr w:type="spellEnd"/>
      <w:r w:rsidR="009D20B3" w:rsidRPr="00A07F29">
        <w:rPr>
          <w:rFonts w:ascii="Times New Roman" w:eastAsia="Calibri" w:hAnsi="Times New Roman" w:cs="Calibri"/>
          <w:sz w:val="24"/>
          <w:szCs w:val="24"/>
        </w:rPr>
        <w:t xml:space="preserve">, dzeltenā akmeņlauzīte) </w:t>
      </w:r>
      <w:r w:rsidRPr="00A07F29">
        <w:rPr>
          <w:rFonts w:ascii="Times New Roman" w:eastAsia="Calibri" w:hAnsi="Times New Roman" w:cs="Calibri"/>
          <w:sz w:val="24"/>
          <w:szCs w:val="24"/>
        </w:rPr>
        <w:t>ir iekļautas Bernes konvencijas I pielikumā</w:t>
      </w:r>
      <w:r w:rsidR="007F28E6" w:rsidRPr="00A07F29">
        <w:rPr>
          <w:rFonts w:ascii="Times New Roman" w:eastAsia="Calibri" w:hAnsi="Times New Roman" w:cs="Calibri"/>
          <w:sz w:val="24"/>
          <w:szCs w:val="24"/>
        </w:rPr>
        <w:t xml:space="preserve">, </w:t>
      </w:r>
      <w:r w:rsidR="00AD4938">
        <w:rPr>
          <w:rFonts w:ascii="Times New Roman" w:eastAsia="Calibri" w:hAnsi="Times New Roman" w:cs="Calibri"/>
          <w:sz w:val="24"/>
          <w:szCs w:val="24"/>
        </w:rPr>
        <w:t>trīs</w:t>
      </w:r>
      <w:r w:rsidR="007F28E6" w:rsidRPr="00A07F29">
        <w:rPr>
          <w:rFonts w:ascii="Times New Roman" w:eastAsia="Calibri" w:hAnsi="Times New Roman" w:cs="Calibri"/>
          <w:sz w:val="24"/>
          <w:szCs w:val="24"/>
        </w:rPr>
        <w:t xml:space="preserve"> sugas (meža silpurene, </w:t>
      </w:r>
      <w:proofErr w:type="spellStart"/>
      <w:r w:rsidR="007F28E6" w:rsidRPr="00A07F29">
        <w:rPr>
          <w:rFonts w:ascii="Times New Roman" w:eastAsia="Calibri" w:hAnsi="Times New Roman" w:cs="Calibri"/>
          <w:sz w:val="24"/>
          <w:szCs w:val="24"/>
        </w:rPr>
        <w:t>Lēzeļa</w:t>
      </w:r>
      <w:proofErr w:type="spellEnd"/>
      <w:r w:rsidR="007F28E6" w:rsidRPr="00A07F29">
        <w:rPr>
          <w:rFonts w:ascii="Times New Roman" w:eastAsia="Calibri" w:hAnsi="Times New Roman" w:cs="Calibri"/>
          <w:sz w:val="24"/>
          <w:szCs w:val="24"/>
        </w:rPr>
        <w:t xml:space="preserve"> </w:t>
      </w:r>
      <w:proofErr w:type="spellStart"/>
      <w:r w:rsidR="007F28E6" w:rsidRPr="00A07F29">
        <w:rPr>
          <w:rFonts w:ascii="Times New Roman" w:eastAsia="Calibri" w:hAnsi="Times New Roman" w:cs="Calibri"/>
          <w:sz w:val="24"/>
          <w:szCs w:val="24"/>
        </w:rPr>
        <w:t>lipare</w:t>
      </w:r>
      <w:proofErr w:type="spellEnd"/>
      <w:r w:rsidR="007F28E6" w:rsidRPr="00A07F29">
        <w:rPr>
          <w:rFonts w:ascii="Times New Roman" w:eastAsia="Calibri" w:hAnsi="Times New Roman" w:cs="Calibri"/>
          <w:sz w:val="24"/>
          <w:szCs w:val="24"/>
        </w:rPr>
        <w:t xml:space="preserve">, spilvainais </w:t>
      </w:r>
      <w:proofErr w:type="spellStart"/>
      <w:r w:rsidR="007F28E6" w:rsidRPr="00A07F29">
        <w:rPr>
          <w:rFonts w:ascii="Times New Roman" w:eastAsia="Calibri" w:hAnsi="Times New Roman" w:cs="Calibri"/>
          <w:sz w:val="24"/>
          <w:szCs w:val="24"/>
        </w:rPr>
        <w:t>ancītis</w:t>
      </w:r>
      <w:proofErr w:type="spellEnd"/>
      <w:r w:rsidR="007F28E6" w:rsidRPr="00A07F29">
        <w:rPr>
          <w:rFonts w:ascii="Times New Roman" w:eastAsia="Calibri" w:hAnsi="Times New Roman" w:cs="Calibri"/>
          <w:sz w:val="24"/>
          <w:szCs w:val="24"/>
        </w:rPr>
        <w:t>)</w:t>
      </w:r>
      <w:r w:rsidR="008C3B8A" w:rsidRPr="00A07F29">
        <w:rPr>
          <w:rFonts w:ascii="Times New Roman" w:eastAsia="Calibri" w:hAnsi="Times New Roman" w:cs="Calibri"/>
          <w:sz w:val="24"/>
          <w:szCs w:val="24"/>
        </w:rPr>
        <w:t xml:space="preserve"> –</w:t>
      </w:r>
      <w:r w:rsidRPr="00A07F29">
        <w:rPr>
          <w:rFonts w:ascii="Times New Roman" w:eastAsia="Calibri" w:hAnsi="Times New Roman" w:cs="Calibri"/>
          <w:sz w:val="24"/>
          <w:szCs w:val="24"/>
        </w:rPr>
        <w:t xml:space="preserve"> </w:t>
      </w:r>
      <w:r w:rsidR="008419DC" w:rsidRPr="00A07F29">
        <w:rPr>
          <w:rFonts w:ascii="Times New Roman" w:eastAsia="Calibri" w:hAnsi="Times New Roman" w:cs="Calibri"/>
          <w:sz w:val="24"/>
          <w:szCs w:val="24"/>
        </w:rPr>
        <w:t>Biotopu direktīvas</w:t>
      </w:r>
      <w:r w:rsidRPr="00A07F29">
        <w:rPr>
          <w:rFonts w:ascii="Times New Roman" w:eastAsia="Calibri" w:hAnsi="Times New Roman" w:cs="Calibri"/>
          <w:sz w:val="24"/>
          <w:szCs w:val="24"/>
        </w:rPr>
        <w:t xml:space="preserve"> II pielikumā, </w:t>
      </w:r>
      <w:r w:rsidR="004A2308">
        <w:rPr>
          <w:rFonts w:ascii="Times New Roman" w:eastAsia="Calibri" w:hAnsi="Times New Roman" w:cs="Calibri"/>
          <w:sz w:val="24"/>
          <w:szCs w:val="24"/>
        </w:rPr>
        <w:t>piecas</w:t>
      </w:r>
      <w:r w:rsidR="007F28E6" w:rsidRPr="00A07F29">
        <w:rPr>
          <w:rFonts w:ascii="Times New Roman" w:eastAsia="Calibri" w:hAnsi="Times New Roman" w:cs="Calibri"/>
          <w:sz w:val="24"/>
          <w:szCs w:val="24"/>
        </w:rPr>
        <w:t xml:space="preserve"> </w:t>
      </w:r>
      <w:r w:rsidRPr="00A07F29">
        <w:rPr>
          <w:rFonts w:ascii="Times New Roman" w:eastAsia="Calibri" w:hAnsi="Times New Roman" w:cs="Calibri"/>
          <w:sz w:val="24"/>
          <w:szCs w:val="24"/>
        </w:rPr>
        <w:t>sugas – šīs direktīvas V pielikumā</w:t>
      </w:r>
      <w:r w:rsidR="008C3B8A" w:rsidRPr="00A07F29">
        <w:rPr>
          <w:rFonts w:ascii="Times New Roman" w:eastAsia="Calibri" w:hAnsi="Times New Roman" w:cs="Calibri"/>
          <w:sz w:val="24"/>
          <w:szCs w:val="24"/>
        </w:rPr>
        <w:t xml:space="preserve"> (</w:t>
      </w:r>
      <w:r w:rsidR="004A2308">
        <w:rPr>
          <w:rFonts w:ascii="Times New Roman" w:eastAsia="Calibri" w:hAnsi="Times New Roman" w:cs="Calibri"/>
          <w:sz w:val="24"/>
          <w:szCs w:val="24"/>
        </w:rPr>
        <w:t xml:space="preserve">skat. </w:t>
      </w:r>
      <w:r w:rsidR="008C3B8A" w:rsidRPr="00A07F29">
        <w:rPr>
          <w:rFonts w:ascii="Times New Roman" w:eastAsia="Calibri" w:hAnsi="Times New Roman" w:cs="Times New Roman"/>
          <w:sz w:val="24"/>
          <w:szCs w:val="24"/>
        </w:rPr>
        <w:t>4.4.3.1., 4.4.3.2.</w:t>
      </w:r>
      <w:r w:rsidR="004A2308">
        <w:rPr>
          <w:rFonts w:ascii="Times New Roman" w:eastAsia="Calibri" w:hAnsi="Times New Roman" w:cs="Times New Roman"/>
          <w:sz w:val="24"/>
          <w:szCs w:val="24"/>
        </w:rPr>
        <w:t> </w:t>
      </w:r>
      <w:r w:rsidR="008C3B8A" w:rsidRPr="00A07F29">
        <w:rPr>
          <w:rFonts w:ascii="Times New Roman" w:eastAsia="Calibri" w:hAnsi="Times New Roman" w:cs="Times New Roman"/>
          <w:sz w:val="24"/>
          <w:szCs w:val="24"/>
        </w:rPr>
        <w:t>tabula)</w:t>
      </w:r>
      <w:r w:rsidRPr="00A07F29">
        <w:rPr>
          <w:rFonts w:ascii="Times New Roman" w:eastAsia="Calibri" w:hAnsi="Times New Roman" w:cs="Calibri"/>
          <w:sz w:val="24"/>
          <w:szCs w:val="24"/>
        </w:rPr>
        <w:t>.</w:t>
      </w:r>
    </w:p>
    <w:p w14:paraId="3C3ABB7E" w14:textId="17057EE7" w:rsidR="002B1603" w:rsidRPr="00A07F29" w:rsidRDefault="002B1603" w:rsidP="00B649FD">
      <w:pPr>
        <w:pageBreakBefore/>
        <w:spacing w:after="120" w:line="240" w:lineRule="auto"/>
        <w:ind w:firstLine="851"/>
        <w:jc w:val="center"/>
        <w:rPr>
          <w:rFonts w:ascii="Times New Roman" w:eastAsia="Calibri" w:hAnsi="Times New Roman" w:cs="Times New Roman"/>
          <w:sz w:val="24"/>
          <w:szCs w:val="24"/>
        </w:rPr>
      </w:pPr>
      <w:r w:rsidRPr="00A07F29">
        <w:rPr>
          <w:rFonts w:ascii="Times New Roman" w:eastAsia="Calibri" w:hAnsi="Times New Roman" w:cs="Times New Roman"/>
          <w:sz w:val="24"/>
          <w:szCs w:val="24"/>
        </w:rPr>
        <w:lastRenderedPageBreak/>
        <w:t>4.4.3.1.</w:t>
      </w:r>
      <w:r w:rsidR="006C2AA1">
        <w:rPr>
          <w:rFonts w:ascii="Times New Roman" w:eastAsia="Calibri" w:hAnsi="Times New Roman" w:cs="Times New Roman"/>
          <w:sz w:val="24"/>
          <w:szCs w:val="24"/>
        </w:rPr>
        <w:t> </w:t>
      </w:r>
      <w:r w:rsidRPr="00A07F29">
        <w:rPr>
          <w:rFonts w:ascii="Times New Roman" w:eastAsia="Calibri" w:hAnsi="Times New Roman" w:cs="Times New Roman"/>
          <w:sz w:val="24"/>
          <w:szCs w:val="24"/>
        </w:rPr>
        <w:t>tabula.</w:t>
      </w:r>
      <w:r w:rsidRPr="00A07F29">
        <w:rPr>
          <w:rFonts w:ascii="Times New Roman" w:eastAsia="Calibri" w:hAnsi="Times New Roman" w:cs="Times New Roman"/>
          <w:b/>
          <w:sz w:val="24"/>
          <w:szCs w:val="24"/>
        </w:rPr>
        <w:t xml:space="preserve"> </w:t>
      </w:r>
      <w:r w:rsidRPr="00A07F29">
        <w:rPr>
          <w:rFonts w:ascii="Times New Roman" w:eastAsia="Calibri" w:hAnsi="Times New Roman" w:cs="Times New Roman"/>
          <w:sz w:val="24"/>
          <w:szCs w:val="24"/>
        </w:rPr>
        <w:t xml:space="preserve">AAA “Augšdaugava” konstatētās aizsargājamās </w:t>
      </w:r>
      <w:proofErr w:type="spellStart"/>
      <w:r w:rsidRPr="00A07F29">
        <w:rPr>
          <w:rFonts w:ascii="Times New Roman" w:eastAsia="Calibri" w:hAnsi="Times New Roman" w:cs="Times New Roman"/>
          <w:sz w:val="24"/>
          <w:szCs w:val="24"/>
        </w:rPr>
        <w:t>vaskulāro</w:t>
      </w:r>
      <w:proofErr w:type="spellEnd"/>
      <w:r w:rsidRPr="00A07F29">
        <w:rPr>
          <w:rFonts w:ascii="Times New Roman" w:eastAsia="Calibri" w:hAnsi="Times New Roman" w:cs="Times New Roman"/>
          <w:sz w:val="24"/>
          <w:szCs w:val="24"/>
        </w:rPr>
        <w:t xml:space="preserve"> augu sugas un to aizsardzības statuss</w:t>
      </w:r>
    </w:p>
    <w:tbl>
      <w:tblPr>
        <w:tblW w:w="9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7"/>
        <w:gridCol w:w="2410"/>
        <w:gridCol w:w="2840"/>
        <w:gridCol w:w="1134"/>
        <w:gridCol w:w="709"/>
        <w:gridCol w:w="1128"/>
        <w:gridCol w:w="1122"/>
      </w:tblGrid>
      <w:tr w:rsidR="002B1603" w:rsidRPr="00A07F29" w14:paraId="13864EC2" w14:textId="77777777" w:rsidTr="00B649FD">
        <w:trPr>
          <w:jc w:val="center"/>
        </w:trPr>
        <w:tc>
          <w:tcPr>
            <w:tcW w:w="557" w:type="dxa"/>
            <w:vMerge w:val="restart"/>
            <w:shd w:val="clear" w:color="auto" w:fill="E2EFD9"/>
            <w:vAlign w:val="center"/>
          </w:tcPr>
          <w:p w14:paraId="3437B122" w14:textId="77777777" w:rsidR="002B1603" w:rsidRPr="00A07F29" w:rsidRDefault="002B1603" w:rsidP="006425DD">
            <w:pPr>
              <w:spacing w:after="120"/>
              <w:rPr>
                <w:rFonts w:ascii="Times New Roman" w:eastAsia="Calibri" w:hAnsi="Times New Roman" w:cs="Times New Roman"/>
                <w:sz w:val="20"/>
                <w:szCs w:val="20"/>
              </w:rPr>
            </w:pPr>
            <w:proofErr w:type="spellStart"/>
            <w:r w:rsidRPr="00A07F29">
              <w:rPr>
                <w:rFonts w:ascii="Times New Roman" w:eastAsia="Calibri" w:hAnsi="Times New Roman" w:cs="Times New Roman"/>
                <w:sz w:val="20"/>
                <w:szCs w:val="20"/>
              </w:rPr>
              <w:t>Nr.p.k</w:t>
            </w:r>
            <w:proofErr w:type="spellEnd"/>
            <w:r w:rsidRPr="00A07F29">
              <w:rPr>
                <w:rFonts w:ascii="Times New Roman" w:eastAsia="Calibri" w:hAnsi="Times New Roman" w:cs="Times New Roman"/>
                <w:sz w:val="20"/>
                <w:szCs w:val="20"/>
              </w:rPr>
              <w:t>.</w:t>
            </w:r>
          </w:p>
        </w:tc>
        <w:tc>
          <w:tcPr>
            <w:tcW w:w="2410" w:type="dxa"/>
            <w:vMerge w:val="restart"/>
            <w:shd w:val="clear" w:color="auto" w:fill="E2EFD9"/>
            <w:vAlign w:val="center"/>
          </w:tcPr>
          <w:p w14:paraId="57932F74" w14:textId="77777777" w:rsidR="002B1603" w:rsidRPr="00A07F29" w:rsidRDefault="002B1603" w:rsidP="006425DD">
            <w:pPr>
              <w:spacing w:after="120"/>
              <w:rPr>
                <w:rFonts w:ascii="Times New Roman" w:eastAsia="Calibri" w:hAnsi="Times New Roman" w:cs="Times New Roman"/>
                <w:sz w:val="20"/>
                <w:szCs w:val="20"/>
              </w:rPr>
            </w:pPr>
            <w:r w:rsidRPr="00A07F29">
              <w:rPr>
                <w:rFonts w:ascii="Times New Roman" w:eastAsia="Calibri" w:hAnsi="Times New Roman" w:cs="Times New Roman"/>
                <w:sz w:val="20"/>
                <w:szCs w:val="20"/>
              </w:rPr>
              <w:t>Sugas nosaukums latviski</w:t>
            </w:r>
          </w:p>
        </w:tc>
        <w:tc>
          <w:tcPr>
            <w:tcW w:w="2840" w:type="dxa"/>
            <w:vMerge w:val="restart"/>
            <w:shd w:val="clear" w:color="auto" w:fill="E2EFD9"/>
            <w:vAlign w:val="center"/>
          </w:tcPr>
          <w:p w14:paraId="449067A2" w14:textId="77777777" w:rsidR="002B1603" w:rsidRPr="00A07F29" w:rsidRDefault="002B1603" w:rsidP="006425DD">
            <w:pPr>
              <w:spacing w:after="120"/>
              <w:rPr>
                <w:rFonts w:ascii="Times New Roman" w:eastAsia="Calibri" w:hAnsi="Times New Roman" w:cs="Times New Roman"/>
                <w:sz w:val="20"/>
                <w:szCs w:val="20"/>
              </w:rPr>
            </w:pPr>
            <w:r w:rsidRPr="00A07F29">
              <w:rPr>
                <w:rFonts w:ascii="Times New Roman" w:eastAsia="Calibri" w:hAnsi="Times New Roman" w:cs="Times New Roman"/>
                <w:sz w:val="20"/>
                <w:szCs w:val="20"/>
              </w:rPr>
              <w:t>Sugas nosaukums latīniski</w:t>
            </w:r>
          </w:p>
        </w:tc>
        <w:tc>
          <w:tcPr>
            <w:tcW w:w="1843" w:type="dxa"/>
            <w:gridSpan w:val="2"/>
            <w:shd w:val="clear" w:color="auto" w:fill="E2EFD9"/>
            <w:vAlign w:val="center"/>
          </w:tcPr>
          <w:p w14:paraId="72E47A4E" w14:textId="77777777" w:rsidR="002B1603" w:rsidRPr="00A07F29" w:rsidRDefault="002B1603" w:rsidP="00B649FD">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Sugas aizsardzības statuss valstī</w:t>
            </w:r>
          </w:p>
        </w:tc>
        <w:tc>
          <w:tcPr>
            <w:tcW w:w="1128" w:type="dxa"/>
            <w:vMerge w:val="restart"/>
            <w:shd w:val="clear" w:color="auto" w:fill="E2EFD9"/>
            <w:textDirection w:val="btLr"/>
            <w:vAlign w:val="center"/>
          </w:tcPr>
          <w:p w14:paraId="4234F4FA" w14:textId="77777777" w:rsidR="002B1603" w:rsidRPr="00A07F29" w:rsidRDefault="002B1603" w:rsidP="00B649FD">
            <w:pPr>
              <w:spacing w:after="0" w:line="240" w:lineRule="auto"/>
              <w:ind w:left="113" w:right="113"/>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Sugas labvēlīga aizsardzības stāvokļa novērtējums valstī kopumā (direktīvas pielikumos iekļautajām sugām informāciju norāda atbilstoši ETC datiem)</w:t>
            </w:r>
          </w:p>
        </w:tc>
        <w:tc>
          <w:tcPr>
            <w:tcW w:w="1122" w:type="dxa"/>
            <w:vMerge w:val="restart"/>
            <w:shd w:val="clear" w:color="auto" w:fill="E2EFD9"/>
            <w:textDirection w:val="btLr"/>
            <w:vAlign w:val="center"/>
          </w:tcPr>
          <w:p w14:paraId="04A6F15E" w14:textId="77777777" w:rsidR="002B1603" w:rsidRPr="00A07F29" w:rsidRDefault="002B1603" w:rsidP="00B649FD">
            <w:pPr>
              <w:spacing w:after="0" w:line="240" w:lineRule="auto"/>
              <w:ind w:left="113" w:right="113"/>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Sugas labvēlīga aizsardzības stāvokļa novērtējums konkrētajā ĪADT (direktīvas pielikumos iekļautajām sugām informāciju norāda atbilstoši ETC kategorijām)</w:t>
            </w:r>
          </w:p>
        </w:tc>
      </w:tr>
      <w:tr w:rsidR="00F200AD" w:rsidRPr="00A07F29" w14:paraId="0E23FE48" w14:textId="77777777" w:rsidTr="00B649FD">
        <w:trPr>
          <w:cantSplit/>
          <w:trHeight w:val="3309"/>
          <w:jc w:val="center"/>
        </w:trPr>
        <w:tc>
          <w:tcPr>
            <w:tcW w:w="557" w:type="dxa"/>
            <w:vMerge/>
            <w:vAlign w:val="center"/>
          </w:tcPr>
          <w:p w14:paraId="22883761" w14:textId="77777777" w:rsidR="002B1603" w:rsidRPr="00A07F29" w:rsidRDefault="002B1603" w:rsidP="0075395E">
            <w:pPr>
              <w:spacing w:after="120"/>
              <w:ind w:firstLine="851"/>
              <w:rPr>
                <w:rFonts w:ascii="Times New Roman" w:eastAsia="Calibri" w:hAnsi="Times New Roman" w:cs="Times New Roman"/>
                <w:sz w:val="20"/>
                <w:szCs w:val="20"/>
              </w:rPr>
            </w:pPr>
          </w:p>
        </w:tc>
        <w:tc>
          <w:tcPr>
            <w:tcW w:w="2410" w:type="dxa"/>
            <w:vMerge/>
            <w:vAlign w:val="center"/>
          </w:tcPr>
          <w:p w14:paraId="5EC141FA" w14:textId="77777777" w:rsidR="002B1603" w:rsidRPr="00A07F29" w:rsidRDefault="002B1603" w:rsidP="0075395E">
            <w:pPr>
              <w:spacing w:after="120"/>
              <w:ind w:firstLine="851"/>
              <w:rPr>
                <w:rFonts w:ascii="Times New Roman" w:eastAsia="Calibri" w:hAnsi="Times New Roman" w:cs="Times New Roman"/>
                <w:sz w:val="20"/>
                <w:szCs w:val="20"/>
              </w:rPr>
            </w:pPr>
          </w:p>
        </w:tc>
        <w:tc>
          <w:tcPr>
            <w:tcW w:w="2840" w:type="dxa"/>
            <w:vMerge/>
            <w:vAlign w:val="center"/>
          </w:tcPr>
          <w:p w14:paraId="370D076F" w14:textId="77777777" w:rsidR="002B1603" w:rsidRPr="00A07F29" w:rsidRDefault="002B1603" w:rsidP="0075395E">
            <w:pPr>
              <w:spacing w:after="120"/>
              <w:ind w:firstLine="851"/>
              <w:rPr>
                <w:rFonts w:ascii="Times New Roman" w:eastAsia="Calibri" w:hAnsi="Times New Roman" w:cs="Times New Roman"/>
                <w:sz w:val="20"/>
                <w:szCs w:val="20"/>
              </w:rPr>
            </w:pPr>
          </w:p>
        </w:tc>
        <w:tc>
          <w:tcPr>
            <w:tcW w:w="1134" w:type="dxa"/>
            <w:shd w:val="clear" w:color="auto" w:fill="E2EFD9"/>
            <w:textDirection w:val="btLr"/>
            <w:vAlign w:val="center"/>
          </w:tcPr>
          <w:p w14:paraId="09E31195" w14:textId="330AF7A3" w:rsidR="002B1603" w:rsidRPr="00A07F29" w:rsidRDefault="002B1603" w:rsidP="00B649FD">
            <w:pPr>
              <w:spacing w:after="0" w:line="240" w:lineRule="auto"/>
              <w:ind w:left="113" w:right="113"/>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 xml:space="preserve">Īpaši aizsargājama suga (ar </w:t>
            </w:r>
            <w:r w:rsidRPr="00A07F29">
              <w:rPr>
                <w:rFonts w:ascii="Times New Roman" w:eastAsia="Calibri" w:hAnsi="Times New Roman" w:cs="Times New Roman"/>
                <w:sz w:val="20"/>
                <w:szCs w:val="20"/>
                <w:vertAlign w:val="superscript"/>
              </w:rPr>
              <w:t>1</w:t>
            </w:r>
            <w:r w:rsidRPr="00A07F29">
              <w:rPr>
                <w:rFonts w:ascii="Times New Roman" w:eastAsia="Calibri" w:hAnsi="Times New Roman" w:cs="Times New Roman"/>
                <w:sz w:val="20"/>
                <w:szCs w:val="20"/>
              </w:rPr>
              <w:t xml:space="preserve"> atzīmētas</w:t>
            </w:r>
            <w:r w:rsidR="00D65BBA" w:rsidRPr="00A07F29">
              <w:rPr>
                <w:rFonts w:ascii="Times New Roman" w:eastAsia="Calibri" w:hAnsi="Times New Roman" w:cs="Times New Roman"/>
                <w:sz w:val="20"/>
                <w:szCs w:val="20"/>
              </w:rPr>
              <w:t xml:space="preserve"> </w:t>
            </w:r>
            <w:r w:rsidRPr="00A07F29">
              <w:rPr>
                <w:rFonts w:ascii="Times New Roman" w:eastAsia="Calibri" w:hAnsi="Times New Roman" w:cs="Times New Roman"/>
                <w:sz w:val="20"/>
                <w:szCs w:val="20"/>
              </w:rPr>
              <w:t xml:space="preserve">mikroliegumu sugas </w:t>
            </w:r>
          </w:p>
        </w:tc>
        <w:tc>
          <w:tcPr>
            <w:tcW w:w="709" w:type="dxa"/>
            <w:shd w:val="clear" w:color="auto" w:fill="E2EFD9"/>
            <w:textDirection w:val="btLr"/>
            <w:vAlign w:val="center"/>
          </w:tcPr>
          <w:p w14:paraId="672635F4" w14:textId="7769E425" w:rsidR="002B1603" w:rsidRPr="00A07F29" w:rsidRDefault="002B1603" w:rsidP="00B649FD">
            <w:pPr>
              <w:spacing w:after="0" w:line="240" w:lineRule="auto"/>
              <w:ind w:left="113" w:right="113"/>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Biotopu direktīv</w:t>
            </w:r>
            <w:r w:rsidR="1FB41260" w:rsidRPr="00A07F29">
              <w:rPr>
                <w:rFonts w:ascii="Times New Roman" w:eastAsia="Calibri" w:hAnsi="Times New Roman" w:cs="Times New Roman"/>
                <w:sz w:val="20"/>
                <w:szCs w:val="20"/>
              </w:rPr>
              <w:t>as</w:t>
            </w:r>
            <w:r w:rsidR="00582CA8">
              <w:rPr>
                <w:rFonts w:ascii="Times New Roman" w:eastAsia="Calibri" w:hAnsi="Times New Roman" w:cs="Times New Roman"/>
                <w:sz w:val="20"/>
                <w:szCs w:val="20"/>
              </w:rPr>
              <w:t xml:space="preserve"> (BD)</w:t>
            </w:r>
            <w:r w:rsidRPr="00A07F29">
              <w:rPr>
                <w:rFonts w:ascii="Times New Roman" w:eastAsia="Calibri" w:hAnsi="Times New Roman" w:cs="Times New Roman"/>
                <w:sz w:val="20"/>
                <w:szCs w:val="20"/>
              </w:rPr>
              <w:t xml:space="preserve"> pielikumos iekļauta suga</w:t>
            </w:r>
          </w:p>
        </w:tc>
        <w:tc>
          <w:tcPr>
            <w:tcW w:w="1128" w:type="dxa"/>
            <w:vMerge/>
            <w:vAlign w:val="center"/>
          </w:tcPr>
          <w:p w14:paraId="3FF0ADA7" w14:textId="77777777" w:rsidR="002B1603" w:rsidRPr="00A07F29" w:rsidRDefault="002B1603" w:rsidP="00B649FD">
            <w:pPr>
              <w:spacing w:after="0" w:line="240" w:lineRule="auto"/>
              <w:ind w:firstLine="851"/>
              <w:jc w:val="center"/>
              <w:rPr>
                <w:rFonts w:ascii="Times New Roman" w:eastAsia="Calibri" w:hAnsi="Times New Roman" w:cs="Times New Roman"/>
                <w:sz w:val="20"/>
                <w:szCs w:val="20"/>
              </w:rPr>
            </w:pPr>
          </w:p>
        </w:tc>
        <w:tc>
          <w:tcPr>
            <w:tcW w:w="1122" w:type="dxa"/>
            <w:vMerge/>
          </w:tcPr>
          <w:p w14:paraId="0F42BB9C" w14:textId="77777777" w:rsidR="002B1603" w:rsidRPr="00A07F29" w:rsidRDefault="002B1603" w:rsidP="00B649FD">
            <w:pPr>
              <w:spacing w:after="0" w:line="240" w:lineRule="auto"/>
              <w:ind w:firstLine="851"/>
              <w:jc w:val="center"/>
              <w:rPr>
                <w:rFonts w:ascii="Times New Roman" w:eastAsia="Calibri" w:hAnsi="Times New Roman" w:cs="Times New Roman"/>
                <w:sz w:val="20"/>
                <w:szCs w:val="20"/>
              </w:rPr>
            </w:pPr>
          </w:p>
        </w:tc>
      </w:tr>
      <w:tr w:rsidR="0075395E" w:rsidRPr="00A07F29" w14:paraId="3B6AEEE9" w14:textId="77777777" w:rsidTr="00B649FD">
        <w:trPr>
          <w:jc w:val="center"/>
        </w:trPr>
        <w:tc>
          <w:tcPr>
            <w:tcW w:w="557" w:type="dxa"/>
          </w:tcPr>
          <w:p w14:paraId="15DEC2E3" w14:textId="123245CB" w:rsidR="002B1603" w:rsidRPr="00A07F29" w:rsidRDefault="006319BB" w:rsidP="006319BB">
            <w:pPr>
              <w:spacing w:after="0"/>
              <w:contextualSpacing/>
              <w:rPr>
                <w:rFonts w:ascii="Times New Roman" w:eastAsia="Calibri" w:hAnsi="Times New Roman" w:cs="Times New Roman"/>
                <w:sz w:val="20"/>
                <w:szCs w:val="20"/>
              </w:rPr>
            </w:pPr>
            <w:r w:rsidRPr="00A07F29">
              <w:rPr>
                <w:rFonts w:ascii="Times New Roman" w:eastAsia="Calibri" w:hAnsi="Times New Roman" w:cs="Times New Roman"/>
                <w:sz w:val="20"/>
                <w:szCs w:val="20"/>
              </w:rPr>
              <w:t>1.</w:t>
            </w:r>
          </w:p>
        </w:tc>
        <w:tc>
          <w:tcPr>
            <w:tcW w:w="2410" w:type="dxa"/>
          </w:tcPr>
          <w:p w14:paraId="1DE730D2" w14:textId="77777777" w:rsidR="002B1603" w:rsidRPr="00A07F29" w:rsidRDefault="002B1603" w:rsidP="0075395E">
            <w:pPr>
              <w:spacing w:after="0"/>
              <w:rPr>
                <w:rFonts w:ascii="Times New Roman" w:eastAsia="Calibri" w:hAnsi="Times New Roman" w:cs="Times New Roman"/>
                <w:sz w:val="20"/>
                <w:szCs w:val="20"/>
              </w:rPr>
            </w:pPr>
            <w:r w:rsidRPr="00A07F29">
              <w:rPr>
                <w:rFonts w:ascii="Times New Roman" w:eastAsia="Calibri" w:hAnsi="Times New Roman" w:cs="Times New Roman"/>
                <w:sz w:val="20"/>
                <w:szCs w:val="20"/>
              </w:rPr>
              <w:t>Dzeltenā kurpīte</w:t>
            </w:r>
          </w:p>
        </w:tc>
        <w:tc>
          <w:tcPr>
            <w:tcW w:w="2840" w:type="dxa"/>
          </w:tcPr>
          <w:p w14:paraId="49489E2A" w14:textId="77777777" w:rsidR="002B1603" w:rsidRPr="00A07F29" w:rsidRDefault="002B1603" w:rsidP="0075395E">
            <w:pPr>
              <w:spacing w:after="0"/>
              <w:rPr>
                <w:rFonts w:ascii="Times New Roman" w:eastAsia="Calibri" w:hAnsi="Times New Roman" w:cs="Times New Roman"/>
                <w:i/>
                <w:sz w:val="20"/>
                <w:szCs w:val="20"/>
              </w:rPr>
            </w:pPr>
            <w:proofErr w:type="spellStart"/>
            <w:r w:rsidRPr="00A07F29">
              <w:rPr>
                <w:rFonts w:ascii="Times New Roman" w:eastAsia="Calibri" w:hAnsi="Times New Roman" w:cs="Times New Roman"/>
                <w:i/>
                <w:sz w:val="20"/>
                <w:szCs w:val="20"/>
              </w:rPr>
              <w:t>Aconitum</w:t>
            </w:r>
            <w:proofErr w:type="spellEnd"/>
            <w:r w:rsidRPr="00A07F29">
              <w:rPr>
                <w:rFonts w:ascii="Times New Roman" w:eastAsia="Calibri" w:hAnsi="Times New Roman" w:cs="Times New Roman"/>
                <w:i/>
                <w:sz w:val="20"/>
                <w:szCs w:val="20"/>
              </w:rPr>
              <w:t xml:space="preserve"> </w:t>
            </w:r>
            <w:proofErr w:type="spellStart"/>
            <w:r w:rsidRPr="00A07F29">
              <w:rPr>
                <w:rFonts w:ascii="Times New Roman" w:eastAsia="Calibri" w:hAnsi="Times New Roman" w:cs="Times New Roman"/>
                <w:i/>
                <w:sz w:val="20"/>
                <w:szCs w:val="20"/>
              </w:rPr>
              <w:t>lasiostomum</w:t>
            </w:r>
            <w:proofErr w:type="spellEnd"/>
          </w:p>
        </w:tc>
        <w:tc>
          <w:tcPr>
            <w:tcW w:w="1134" w:type="dxa"/>
          </w:tcPr>
          <w:p w14:paraId="01E87BBE"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ĪAS</w:t>
            </w:r>
            <w:r w:rsidRPr="00A07F29">
              <w:rPr>
                <w:rFonts w:ascii="Times New Roman" w:eastAsia="Calibri" w:hAnsi="Times New Roman" w:cs="Times New Roman"/>
                <w:sz w:val="20"/>
                <w:szCs w:val="20"/>
                <w:vertAlign w:val="superscript"/>
              </w:rPr>
              <w:t>1</w:t>
            </w:r>
          </w:p>
        </w:tc>
        <w:tc>
          <w:tcPr>
            <w:tcW w:w="709" w:type="dxa"/>
            <w:vAlign w:val="center"/>
          </w:tcPr>
          <w:p w14:paraId="4EDFCA44"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c>
          <w:tcPr>
            <w:tcW w:w="1128" w:type="dxa"/>
            <w:shd w:val="clear" w:color="auto" w:fill="auto"/>
            <w:vAlign w:val="center"/>
          </w:tcPr>
          <w:p w14:paraId="7A5F6CEA"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c>
          <w:tcPr>
            <w:tcW w:w="1122" w:type="dxa"/>
            <w:shd w:val="clear" w:color="auto" w:fill="auto"/>
            <w:vAlign w:val="center"/>
          </w:tcPr>
          <w:p w14:paraId="39E25886"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r>
      <w:tr w:rsidR="0075395E" w:rsidRPr="00A07F29" w14:paraId="66A78AF6" w14:textId="77777777" w:rsidTr="00B649FD">
        <w:trPr>
          <w:jc w:val="center"/>
        </w:trPr>
        <w:tc>
          <w:tcPr>
            <w:tcW w:w="557" w:type="dxa"/>
          </w:tcPr>
          <w:p w14:paraId="105C3F82" w14:textId="7EEB909D" w:rsidR="00E67E47" w:rsidRPr="00A07F29" w:rsidRDefault="00E67E47" w:rsidP="00E67E47">
            <w:pPr>
              <w:spacing w:after="0"/>
              <w:contextualSpacing/>
              <w:rPr>
                <w:rFonts w:ascii="Times New Roman" w:eastAsia="Calibri" w:hAnsi="Times New Roman" w:cs="Times New Roman"/>
                <w:sz w:val="20"/>
                <w:szCs w:val="20"/>
              </w:rPr>
            </w:pPr>
            <w:r w:rsidRPr="00A07F29">
              <w:rPr>
                <w:rFonts w:ascii="Times New Roman" w:eastAsia="Calibri" w:hAnsi="Times New Roman" w:cs="Times New Roman"/>
                <w:sz w:val="20"/>
                <w:szCs w:val="20"/>
              </w:rPr>
              <w:t>2.</w:t>
            </w:r>
          </w:p>
        </w:tc>
        <w:tc>
          <w:tcPr>
            <w:tcW w:w="2410" w:type="dxa"/>
          </w:tcPr>
          <w:p w14:paraId="3DFD100E" w14:textId="77777777" w:rsidR="002B1603" w:rsidRPr="00A07F29" w:rsidRDefault="002B1603" w:rsidP="0075395E">
            <w:pPr>
              <w:spacing w:after="0"/>
              <w:rPr>
                <w:rFonts w:ascii="Times New Roman" w:eastAsia="Calibri" w:hAnsi="Times New Roman" w:cs="Times New Roman"/>
                <w:sz w:val="20"/>
                <w:szCs w:val="20"/>
                <w:vertAlign w:val="superscript"/>
              </w:rPr>
            </w:pPr>
            <w:r w:rsidRPr="00A07F29">
              <w:rPr>
                <w:rFonts w:ascii="Times New Roman" w:eastAsia="Calibri" w:hAnsi="Times New Roman" w:cs="Times New Roman"/>
                <w:sz w:val="20"/>
                <w:szCs w:val="20"/>
              </w:rPr>
              <w:t xml:space="preserve">Spilvainais </w:t>
            </w:r>
            <w:proofErr w:type="spellStart"/>
            <w:r w:rsidRPr="00A07F29">
              <w:rPr>
                <w:rFonts w:ascii="Times New Roman" w:eastAsia="Calibri" w:hAnsi="Times New Roman" w:cs="Times New Roman"/>
                <w:sz w:val="20"/>
                <w:szCs w:val="20"/>
              </w:rPr>
              <w:t>ancītis</w:t>
            </w:r>
            <w:proofErr w:type="spellEnd"/>
          </w:p>
        </w:tc>
        <w:tc>
          <w:tcPr>
            <w:tcW w:w="2840" w:type="dxa"/>
          </w:tcPr>
          <w:p w14:paraId="305DBAE9" w14:textId="77777777" w:rsidR="002B1603" w:rsidRPr="00A07F29" w:rsidRDefault="002B1603" w:rsidP="0075395E">
            <w:pPr>
              <w:spacing w:after="0"/>
              <w:rPr>
                <w:rFonts w:ascii="Times New Roman" w:eastAsia="Calibri" w:hAnsi="Times New Roman" w:cs="Times New Roman"/>
                <w:i/>
                <w:sz w:val="20"/>
                <w:szCs w:val="20"/>
              </w:rPr>
            </w:pPr>
            <w:proofErr w:type="spellStart"/>
            <w:r w:rsidRPr="00A07F29">
              <w:rPr>
                <w:rFonts w:ascii="Times New Roman" w:eastAsia="Calibri" w:hAnsi="Times New Roman" w:cs="Times New Roman"/>
                <w:i/>
                <w:sz w:val="20"/>
                <w:szCs w:val="20"/>
              </w:rPr>
              <w:t>Agrimonia</w:t>
            </w:r>
            <w:proofErr w:type="spellEnd"/>
            <w:r w:rsidRPr="00A07F29">
              <w:rPr>
                <w:rFonts w:ascii="Times New Roman" w:eastAsia="Calibri" w:hAnsi="Times New Roman" w:cs="Times New Roman"/>
                <w:i/>
                <w:sz w:val="20"/>
                <w:szCs w:val="20"/>
              </w:rPr>
              <w:t xml:space="preserve"> </w:t>
            </w:r>
            <w:proofErr w:type="spellStart"/>
            <w:r w:rsidRPr="00A07F29">
              <w:rPr>
                <w:rFonts w:ascii="Times New Roman" w:eastAsia="Calibri" w:hAnsi="Times New Roman" w:cs="Times New Roman"/>
                <w:i/>
                <w:sz w:val="20"/>
                <w:szCs w:val="20"/>
              </w:rPr>
              <w:t>pilosa</w:t>
            </w:r>
            <w:proofErr w:type="spellEnd"/>
          </w:p>
        </w:tc>
        <w:tc>
          <w:tcPr>
            <w:tcW w:w="1134" w:type="dxa"/>
          </w:tcPr>
          <w:p w14:paraId="16D83D9C" w14:textId="77777777" w:rsidR="002B1603" w:rsidRPr="00A07F29" w:rsidRDefault="002B1603" w:rsidP="002B1603">
            <w:pPr>
              <w:spacing w:after="0"/>
              <w:jc w:val="center"/>
              <w:rPr>
                <w:rFonts w:ascii="Times New Roman" w:eastAsia="Calibri" w:hAnsi="Times New Roman" w:cs="Times New Roman"/>
                <w:sz w:val="20"/>
                <w:szCs w:val="20"/>
                <w:vertAlign w:val="superscript"/>
              </w:rPr>
            </w:pPr>
            <w:r w:rsidRPr="00A07F29">
              <w:rPr>
                <w:rFonts w:ascii="Times New Roman" w:eastAsia="Calibri" w:hAnsi="Times New Roman" w:cs="Times New Roman"/>
                <w:sz w:val="20"/>
                <w:szCs w:val="20"/>
              </w:rPr>
              <w:t>-</w:t>
            </w:r>
          </w:p>
        </w:tc>
        <w:tc>
          <w:tcPr>
            <w:tcW w:w="709" w:type="dxa"/>
            <w:vAlign w:val="center"/>
          </w:tcPr>
          <w:p w14:paraId="00C04FA9" w14:textId="6419434B" w:rsidR="002B1603" w:rsidRPr="00A07F29" w:rsidRDefault="002B1603" w:rsidP="00F200AD">
            <w:pPr>
              <w:spacing w:after="0"/>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BD II</w:t>
            </w:r>
            <w:r w:rsidR="00F200AD" w:rsidRPr="00A07F29">
              <w:rPr>
                <w:rFonts w:ascii="Times New Roman" w:eastAsia="Calibri" w:hAnsi="Times New Roman" w:cs="Times New Roman"/>
                <w:sz w:val="20"/>
                <w:szCs w:val="20"/>
              </w:rPr>
              <w:t>,</w:t>
            </w:r>
            <w:r w:rsidRPr="00A07F29">
              <w:rPr>
                <w:rFonts w:ascii="Times New Roman" w:eastAsia="Calibri" w:hAnsi="Times New Roman" w:cs="Times New Roman"/>
                <w:sz w:val="20"/>
                <w:szCs w:val="20"/>
              </w:rPr>
              <w:t>IV</w:t>
            </w:r>
          </w:p>
        </w:tc>
        <w:tc>
          <w:tcPr>
            <w:tcW w:w="1128" w:type="dxa"/>
            <w:shd w:val="clear" w:color="auto" w:fill="92D050"/>
          </w:tcPr>
          <w:p w14:paraId="6CBCAC88"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color w:val="000000"/>
                <w:sz w:val="20"/>
                <w:szCs w:val="20"/>
              </w:rPr>
              <w:t>FV</w:t>
            </w:r>
          </w:p>
        </w:tc>
        <w:tc>
          <w:tcPr>
            <w:tcW w:w="1122" w:type="dxa"/>
            <w:shd w:val="clear" w:color="auto" w:fill="92D050"/>
          </w:tcPr>
          <w:p w14:paraId="1D33C8B5"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FV</w:t>
            </w:r>
          </w:p>
        </w:tc>
      </w:tr>
      <w:tr w:rsidR="0075395E" w:rsidRPr="00A07F29" w14:paraId="46108E13" w14:textId="77777777" w:rsidTr="00B649FD">
        <w:trPr>
          <w:jc w:val="center"/>
        </w:trPr>
        <w:tc>
          <w:tcPr>
            <w:tcW w:w="557" w:type="dxa"/>
          </w:tcPr>
          <w:p w14:paraId="448AFCF2" w14:textId="2E762A5E" w:rsidR="002B1603" w:rsidRPr="00A07F29" w:rsidRDefault="00E67E47" w:rsidP="00E67E47">
            <w:pPr>
              <w:tabs>
                <w:tab w:val="left" w:pos="339"/>
              </w:tabs>
              <w:spacing w:after="0"/>
              <w:contextualSpacing/>
              <w:rPr>
                <w:rFonts w:ascii="Times New Roman" w:eastAsia="Calibri" w:hAnsi="Times New Roman" w:cs="Times New Roman"/>
                <w:sz w:val="20"/>
                <w:szCs w:val="20"/>
              </w:rPr>
            </w:pPr>
            <w:r w:rsidRPr="00A07F29">
              <w:rPr>
                <w:rFonts w:ascii="Times New Roman" w:eastAsia="Calibri" w:hAnsi="Times New Roman" w:cs="Times New Roman"/>
                <w:sz w:val="20"/>
                <w:szCs w:val="20"/>
              </w:rPr>
              <w:t>3.</w:t>
            </w:r>
          </w:p>
        </w:tc>
        <w:tc>
          <w:tcPr>
            <w:tcW w:w="2410" w:type="dxa"/>
          </w:tcPr>
          <w:p w14:paraId="2316BA3D" w14:textId="77777777" w:rsidR="002B1603" w:rsidRPr="00A07F29" w:rsidRDefault="002B1603" w:rsidP="0075395E">
            <w:pPr>
              <w:spacing w:after="0"/>
              <w:rPr>
                <w:rFonts w:ascii="Times New Roman" w:eastAsia="Calibri" w:hAnsi="Times New Roman" w:cs="Times New Roman"/>
                <w:sz w:val="20"/>
                <w:szCs w:val="20"/>
              </w:rPr>
            </w:pPr>
            <w:r w:rsidRPr="00A07F29">
              <w:rPr>
                <w:rFonts w:ascii="Times New Roman" w:eastAsia="Calibri" w:hAnsi="Times New Roman" w:cs="Times New Roman"/>
                <w:sz w:val="20"/>
                <w:szCs w:val="20"/>
              </w:rPr>
              <w:t>Piramidālais cekuliņš</w:t>
            </w:r>
          </w:p>
        </w:tc>
        <w:tc>
          <w:tcPr>
            <w:tcW w:w="2840" w:type="dxa"/>
          </w:tcPr>
          <w:p w14:paraId="39F38656" w14:textId="77777777" w:rsidR="002B1603" w:rsidRPr="00A07F29" w:rsidRDefault="002B1603" w:rsidP="0075395E">
            <w:pPr>
              <w:spacing w:after="0"/>
              <w:rPr>
                <w:rFonts w:ascii="Times New Roman" w:eastAsia="Calibri" w:hAnsi="Times New Roman" w:cs="Times New Roman"/>
                <w:i/>
                <w:sz w:val="20"/>
                <w:szCs w:val="20"/>
              </w:rPr>
            </w:pPr>
            <w:proofErr w:type="spellStart"/>
            <w:r w:rsidRPr="00A07F29">
              <w:rPr>
                <w:rFonts w:ascii="Times New Roman" w:eastAsia="Calibri" w:hAnsi="Times New Roman" w:cs="Times New Roman"/>
                <w:i/>
                <w:sz w:val="20"/>
                <w:szCs w:val="20"/>
              </w:rPr>
              <w:t>Ajuga</w:t>
            </w:r>
            <w:proofErr w:type="spellEnd"/>
            <w:r w:rsidRPr="00A07F29">
              <w:rPr>
                <w:rFonts w:ascii="Times New Roman" w:eastAsia="Calibri" w:hAnsi="Times New Roman" w:cs="Times New Roman"/>
                <w:i/>
                <w:sz w:val="20"/>
                <w:szCs w:val="20"/>
              </w:rPr>
              <w:t xml:space="preserve"> </w:t>
            </w:r>
            <w:proofErr w:type="spellStart"/>
            <w:r w:rsidRPr="00A07F29">
              <w:rPr>
                <w:rFonts w:ascii="Times New Roman" w:eastAsia="Calibri" w:hAnsi="Times New Roman" w:cs="Times New Roman"/>
                <w:i/>
                <w:sz w:val="20"/>
                <w:szCs w:val="20"/>
              </w:rPr>
              <w:t>pyramidalis</w:t>
            </w:r>
            <w:proofErr w:type="spellEnd"/>
          </w:p>
        </w:tc>
        <w:tc>
          <w:tcPr>
            <w:tcW w:w="1134" w:type="dxa"/>
          </w:tcPr>
          <w:p w14:paraId="4E75525B"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ĪAS</w:t>
            </w:r>
            <w:r w:rsidRPr="00A07F29">
              <w:rPr>
                <w:rFonts w:ascii="Times New Roman" w:eastAsia="Calibri" w:hAnsi="Times New Roman" w:cs="Times New Roman"/>
                <w:sz w:val="20"/>
                <w:szCs w:val="20"/>
                <w:vertAlign w:val="superscript"/>
              </w:rPr>
              <w:t>1</w:t>
            </w:r>
          </w:p>
        </w:tc>
        <w:tc>
          <w:tcPr>
            <w:tcW w:w="709" w:type="dxa"/>
            <w:vAlign w:val="center"/>
          </w:tcPr>
          <w:p w14:paraId="05E540FB"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c>
          <w:tcPr>
            <w:tcW w:w="1128" w:type="dxa"/>
          </w:tcPr>
          <w:p w14:paraId="46FAA171" w14:textId="77777777" w:rsidR="002B1603" w:rsidRPr="00A07F29" w:rsidRDefault="002B1603" w:rsidP="002B1603">
            <w:pPr>
              <w:spacing w:after="0"/>
              <w:jc w:val="center"/>
              <w:rPr>
                <w:rFonts w:ascii="Times New Roman" w:eastAsia="Calibri" w:hAnsi="Times New Roman" w:cs="Times New Roman"/>
                <w:color w:val="000000"/>
                <w:sz w:val="20"/>
                <w:szCs w:val="20"/>
              </w:rPr>
            </w:pPr>
            <w:r w:rsidRPr="00A07F29">
              <w:rPr>
                <w:rFonts w:ascii="Times New Roman" w:eastAsia="Calibri" w:hAnsi="Times New Roman" w:cs="Times New Roman"/>
                <w:color w:val="000000"/>
                <w:sz w:val="20"/>
                <w:szCs w:val="20"/>
              </w:rPr>
              <w:t>-</w:t>
            </w:r>
          </w:p>
        </w:tc>
        <w:tc>
          <w:tcPr>
            <w:tcW w:w="1122" w:type="dxa"/>
          </w:tcPr>
          <w:p w14:paraId="1810581A"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r>
      <w:tr w:rsidR="0075395E" w:rsidRPr="00A07F29" w14:paraId="5E409B44" w14:textId="77777777" w:rsidTr="00B649FD">
        <w:trPr>
          <w:jc w:val="center"/>
        </w:trPr>
        <w:tc>
          <w:tcPr>
            <w:tcW w:w="557" w:type="dxa"/>
          </w:tcPr>
          <w:p w14:paraId="04274453" w14:textId="02D11E68" w:rsidR="002B1603" w:rsidRPr="00A07F29" w:rsidRDefault="00E67E47" w:rsidP="00E67E47">
            <w:pPr>
              <w:spacing w:after="0"/>
              <w:contextualSpacing/>
              <w:rPr>
                <w:rFonts w:ascii="Times New Roman" w:eastAsia="Calibri" w:hAnsi="Times New Roman" w:cs="Times New Roman"/>
                <w:sz w:val="20"/>
                <w:szCs w:val="20"/>
              </w:rPr>
            </w:pPr>
            <w:r w:rsidRPr="00A07F29">
              <w:rPr>
                <w:rFonts w:ascii="Times New Roman" w:eastAsia="Calibri" w:hAnsi="Times New Roman" w:cs="Times New Roman"/>
                <w:sz w:val="20"/>
                <w:szCs w:val="20"/>
              </w:rPr>
              <w:t>4.</w:t>
            </w:r>
          </w:p>
        </w:tc>
        <w:tc>
          <w:tcPr>
            <w:tcW w:w="2410" w:type="dxa"/>
          </w:tcPr>
          <w:p w14:paraId="7174DA53" w14:textId="77777777" w:rsidR="002B1603" w:rsidRPr="00A07F29" w:rsidRDefault="002B1603" w:rsidP="0075395E">
            <w:pPr>
              <w:spacing w:after="0"/>
              <w:rPr>
                <w:rFonts w:ascii="Times New Roman" w:eastAsia="Calibri" w:hAnsi="Times New Roman" w:cs="Times New Roman"/>
                <w:sz w:val="20"/>
                <w:szCs w:val="20"/>
              </w:rPr>
            </w:pPr>
            <w:proofErr w:type="spellStart"/>
            <w:r w:rsidRPr="00A07F29">
              <w:rPr>
                <w:rFonts w:ascii="Times New Roman" w:eastAsia="Calibri" w:hAnsi="Times New Roman" w:cs="Times New Roman"/>
                <w:sz w:val="20"/>
                <w:szCs w:val="20"/>
              </w:rPr>
              <w:t>Zāļlapu</w:t>
            </w:r>
            <w:proofErr w:type="spellEnd"/>
            <w:r w:rsidRPr="00A07F29">
              <w:rPr>
                <w:rFonts w:ascii="Times New Roman" w:eastAsia="Calibri" w:hAnsi="Times New Roman" w:cs="Times New Roman"/>
                <w:sz w:val="20"/>
                <w:szCs w:val="20"/>
              </w:rPr>
              <w:t xml:space="preserve"> smiltenīte</w:t>
            </w:r>
          </w:p>
        </w:tc>
        <w:tc>
          <w:tcPr>
            <w:tcW w:w="2840" w:type="dxa"/>
          </w:tcPr>
          <w:p w14:paraId="2AE88882" w14:textId="77777777" w:rsidR="002B1603" w:rsidRPr="00A07F29" w:rsidRDefault="002B1603" w:rsidP="0075395E">
            <w:pPr>
              <w:spacing w:after="0"/>
              <w:rPr>
                <w:rFonts w:ascii="Times New Roman" w:eastAsia="Calibri" w:hAnsi="Times New Roman" w:cs="Times New Roman"/>
                <w:i/>
                <w:sz w:val="20"/>
                <w:szCs w:val="20"/>
              </w:rPr>
            </w:pPr>
            <w:proofErr w:type="spellStart"/>
            <w:r w:rsidRPr="00A07F29">
              <w:rPr>
                <w:rFonts w:ascii="Times New Roman" w:eastAsia="Calibri" w:hAnsi="Times New Roman" w:cs="Times New Roman"/>
                <w:i/>
                <w:sz w:val="20"/>
                <w:szCs w:val="20"/>
              </w:rPr>
              <w:t>Arenaria</w:t>
            </w:r>
            <w:proofErr w:type="spellEnd"/>
            <w:r w:rsidRPr="00A07F29">
              <w:rPr>
                <w:rFonts w:ascii="Times New Roman" w:eastAsia="Calibri" w:hAnsi="Times New Roman" w:cs="Times New Roman"/>
                <w:i/>
                <w:sz w:val="20"/>
                <w:szCs w:val="20"/>
              </w:rPr>
              <w:t xml:space="preserve"> </w:t>
            </w:r>
            <w:proofErr w:type="spellStart"/>
            <w:r w:rsidRPr="00A07F29">
              <w:rPr>
                <w:rFonts w:ascii="Times New Roman" w:eastAsia="Calibri" w:hAnsi="Times New Roman" w:cs="Times New Roman"/>
                <w:i/>
                <w:sz w:val="20"/>
                <w:szCs w:val="20"/>
              </w:rPr>
              <w:t>procera</w:t>
            </w:r>
            <w:proofErr w:type="spellEnd"/>
          </w:p>
        </w:tc>
        <w:tc>
          <w:tcPr>
            <w:tcW w:w="1134" w:type="dxa"/>
          </w:tcPr>
          <w:p w14:paraId="35C99B80"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ĪAS</w:t>
            </w:r>
            <w:r w:rsidRPr="00A07F29">
              <w:rPr>
                <w:rFonts w:ascii="Times New Roman" w:eastAsia="Calibri" w:hAnsi="Times New Roman" w:cs="Times New Roman"/>
                <w:sz w:val="20"/>
                <w:szCs w:val="20"/>
                <w:vertAlign w:val="superscript"/>
              </w:rPr>
              <w:t>1</w:t>
            </w:r>
          </w:p>
        </w:tc>
        <w:tc>
          <w:tcPr>
            <w:tcW w:w="709" w:type="dxa"/>
          </w:tcPr>
          <w:p w14:paraId="125F40CA"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c>
          <w:tcPr>
            <w:tcW w:w="1128" w:type="dxa"/>
          </w:tcPr>
          <w:p w14:paraId="6B453D34" w14:textId="77777777" w:rsidR="002B1603" w:rsidRPr="00A07F29" w:rsidRDefault="002B1603" w:rsidP="002B1603">
            <w:pPr>
              <w:spacing w:after="0"/>
              <w:jc w:val="center"/>
              <w:rPr>
                <w:rFonts w:ascii="Times New Roman" w:eastAsia="Calibri" w:hAnsi="Times New Roman" w:cs="Times New Roman"/>
                <w:color w:val="000000"/>
                <w:sz w:val="20"/>
                <w:szCs w:val="20"/>
              </w:rPr>
            </w:pPr>
            <w:r w:rsidRPr="00A07F29">
              <w:rPr>
                <w:rFonts w:ascii="Times New Roman" w:eastAsia="Calibri" w:hAnsi="Times New Roman" w:cs="Times New Roman"/>
                <w:sz w:val="20"/>
                <w:szCs w:val="20"/>
              </w:rPr>
              <w:t>-</w:t>
            </w:r>
          </w:p>
        </w:tc>
        <w:tc>
          <w:tcPr>
            <w:tcW w:w="1122" w:type="dxa"/>
          </w:tcPr>
          <w:p w14:paraId="5A49DA17"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r>
      <w:tr w:rsidR="0075395E" w:rsidRPr="00A07F29" w14:paraId="41A8DE55" w14:textId="77777777" w:rsidTr="00B649FD">
        <w:trPr>
          <w:jc w:val="center"/>
        </w:trPr>
        <w:tc>
          <w:tcPr>
            <w:tcW w:w="557" w:type="dxa"/>
          </w:tcPr>
          <w:p w14:paraId="6F9163A8" w14:textId="622AE8EB" w:rsidR="002B1603" w:rsidRPr="00A07F29" w:rsidRDefault="00E67E47" w:rsidP="00E67E47">
            <w:pPr>
              <w:spacing w:after="0"/>
              <w:contextualSpacing/>
              <w:rPr>
                <w:rFonts w:ascii="Times New Roman" w:eastAsia="Calibri" w:hAnsi="Times New Roman" w:cs="Times New Roman"/>
                <w:sz w:val="20"/>
                <w:szCs w:val="20"/>
              </w:rPr>
            </w:pPr>
            <w:r w:rsidRPr="00A07F29">
              <w:rPr>
                <w:rFonts w:ascii="Times New Roman" w:eastAsia="Calibri" w:hAnsi="Times New Roman" w:cs="Times New Roman"/>
                <w:sz w:val="20"/>
                <w:szCs w:val="20"/>
              </w:rPr>
              <w:t>5.</w:t>
            </w:r>
          </w:p>
        </w:tc>
        <w:tc>
          <w:tcPr>
            <w:tcW w:w="2410" w:type="dxa"/>
          </w:tcPr>
          <w:p w14:paraId="37A909B6" w14:textId="77777777" w:rsidR="002B1603" w:rsidRPr="00A07F29" w:rsidRDefault="002B1603" w:rsidP="0075395E">
            <w:pPr>
              <w:spacing w:after="0"/>
              <w:rPr>
                <w:rFonts w:ascii="Times New Roman" w:eastAsia="Calibri" w:hAnsi="Times New Roman" w:cs="Times New Roman"/>
                <w:sz w:val="20"/>
                <w:szCs w:val="20"/>
              </w:rPr>
            </w:pPr>
            <w:r w:rsidRPr="00A07F29">
              <w:rPr>
                <w:rFonts w:ascii="Times New Roman" w:eastAsia="Calibri" w:hAnsi="Times New Roman" w:cs="Times New Roman"/>
                <w:sz w:val="20"/>
                <w:szCs w:val="20"/>
              </w:rPr>
              <w:t xml:space="preserve">Plūksnu </w:t>
            </w:r>
            <w:proofErr w:type="spellStart"/>
            <w:r w:rsidRPr="00A07F29">
              <w:rPr>
                <w:rFonts w:ascii="Times New Roman" w:eastAsia="Calibri" w:hAnsi="Times New Roman" w:cs="Times New Roman"/>
                <w:sz w:val="20"/>
                <w:szCs w:val="20"/>
              </w:rPr>
              <w:t>ķekarpaparde</w:t>
            </w:r>
            <w:proofErr w:type="spellEnd"/>
          </w:p>
        </w:tc>
        <w:tc>
          <w:tcPr>
            <w:tcW w:w="2840" w:type="dxa"/>
          </w:tcPr>
          <w:p w14:paraId="6AE65153" w14:textId="77777777" w:rsidR="002B1603" w:rsidRPr="00A07F29" w:rsidRDefault="002B1603" w:rsidP="0075395E">
            <w:pPr>
              <w:spacing w:after="0"/>
              <w:rPr>
                <w:rFonts w:ascii="Times New Roman" w:eastAsia="Calibri" w:hAnsi="Times New Roman" w:cs="Times New Roman"/>
                <w:i/>
                <w:sz w:val="20"/>
                <w:szCs w:val="20"/>
              </w:rPr>
            </w:pPr>
            <w:proofErr w:type="spellStart"/>
            <w:r w:rsidRPr="00A07F29">
              <w:rPr>
                <w:rFonts w:ascii="Times New Roman" w:eastAsia="Calibri" w:hAnsi="Times New Roman" w:cs="Times New Roman"/>
                <w:i/>
                <w:sz w:val="20"/>
                <w:szCs w:val="20"/>
                <w:shd w:val="clear" w:color="auto" w:fill="FFFFFF"/>
              </w:rPr>
              <w:t>Botrychium</w:t>
            </w:r>
            <w:proofErr w:type="spellEnd"/>
            <w:r w:rsidRPr="00A07F29">
              <w:rPr>
                <w:rFonts w:ascii="Times New Roman" w:eastAsia="Calibri" w:hAnsi="Times New Roman" w:cs="Times New Roman"/>
                <w:i/>
                <w:sz w:val="20"/>
                <w:szCs w:val="20"/>
                <w:shd w:val="clear" w:color="auto" w:fill="FFFFFF"/>
              </w:rPr>
              <w:t xml:space="preserve"> </w:t>
            </w:r>
            <w:proofErr w:type="spellStart"/>
            <w:r w:rsidRPr="00A07F29">
              <w:rPr>
                <w:rFonts w:ascii="Times New Roman" w:eastAsia="Calibri" w:hAnsi="Times New Roman" w:cs="Times New Roman"/>
                <w:i/>
                <w:sz w:val="20"/>
                <w:szCs w:val="20"/>
                <w:shd w:val="clear" w:color="auto" w:fill="FFFFFF"/>
              </w:rPr>
              <w:t>multifidum</w:t>
            </w:r>
            <w:proofErr w:type="spellEnd"/>
          </w:p>
        </w:tc>
        <w:tc>
          <w:tcPr>
            <w:tcW w:w="1134" w:type="dxa"/>
          </w:tcPr>
          <w:p w14:paraId="20CABE90"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ĪAS</w:t>
            </w:r>
            <w:r w:rsidRPr="00A07F29">
              <w:rPr>
                <w:rFonts w:ascii="Times New Roman" w:eastAsia="Calibri" w:hAnsi="Times New Roman" w:cs="Times New Roman"/>
                <w:sz w:val="20"/>
                <w:szCs w:val="20"/>
                <w:vertAlign w:val="superscript"/>
              </w:rPr>
              <w:t>1</w:t>
            </w:r>
          </w:p>
        </w:tc>
        <w:tc>
          <w:tcPr>
            <w:tcW w:w="709" w:type="dxa"/>
          </w:tcPr>
          <w:p w14:paraId="1CFD52E3"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c>
          <w:tcPr>
            <w:tcW w:w="1128" w:type="dxa"/>
          </w:tcPr>
          <w:p w14:paraId="3D618743" w14:textId="77777777" w:rsidR="002B1603" w:rsidRPr="00A07F29" w:rsidRDefault="002B1603" w:rsidP="002B1603">
            <w:pPr>
              <w:spacing w:after="0"/>
              <w:jc w:val="center"/>
              <w:rPr>
                <w:rFonts w:ascii="Times New Roman" w:eastAsia="Calibri" w:hAnsi="Times New Roman" w:cs="Times New Roman"/>
                <w:color w:val="000000"/>
                <w:sz w:val="20"/>
                <w:szCs w:val="20"/>
              </w:rPr>
            </w:pPr>
            <w:r w:rsidRPr="00A07F29">
              <w:rPr>
                <w:rFonts w:ascii="Times New Roman" w:eastAsia="Calibri" w:hAnsi="Times New Roman" w:cs="Times New Roman"/>
                <w:color w:val="000000"/>
                <w:sz w:val="20"/>
                <w:szCs w:val="20"/>
              </w:rPr>
              <w:t>-</w:t>
            </w:r>
          </w:p>
        </w:tc>
        <w:tc>
          <w:tcPr>
            <w:tcW w:w="1122" w:type="dxa"/>
          </w:tcPr>
          <w:p w14:paraId="618EE30A"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color w:val="000000"/>
                <w:sz w:val="20"/>
                <w:szCs w:val="20"/>
              </w:rPr>
              <w:t>-</w:t>
            </w:r>
          </w:p>
        </w:tc>
      </w:tr>
      <w:tr w:rsidR="0075395E" w:rsidRPr="00A07F29" w14:paraId="654F0931" w14:textId="77777777" w:rsidTr="00B649FD">
        <w:trPr>
          <w:jc w:val="center"/>
        </w:trPr>
        <w:tc>
          <w:tcPr>
            <w:tcW w:w="557" w:type="dxa"/>
          </w:tcPr>
          <w:p w14:paraId="06664BB5" w14:textId="7B24E476" w:rsidR="002B1603" w:rsidRPr="00A07F29" w:rsidRDefault="00E67E47" w:rsidP="00E67E47">
            <w:pPr>
              <w:spacing w:after="0"/>
              <w:contextualSpacing/>
              <w:rPr>
                <w:rFonts w:ascii="Times New Roman" w:eastAsia="Calibri" w:hAnsi="Times New Roman" w:cs="Times New Roman"/>
                <w:sz w:val="20"/>
                <w:szCs w:val="20"/>
              </w:rPr>
            </w:pPr>
            <w:r w:rsidRPr="00A07F29">
              <w:rPr>
                <w:rFonts w:ascii="Times New Roman" w:eastAsia="Calibri" w:hAnsi="Times New Roman" w:cs="Times New Roman"/>
                <w:sz w:val="20"/>
                <w:szCs w:val="20"/>
              </w:rPr>
              <w:t>6.</w:t>
            </w:r>
          </w:p>
        </w:tc>
        <w:tc>
          <w:tcPr>
            <w:tcW w:w="2410" w:type="dxa"/>
          </w:tcPr>
          <w:p w14:paraId="1D7316A7" w14:textId="77777777" w:rsidR="002B1603" w:rsidRPr="00A07F29" w:rsidRDefault="002B1603" w:rsidP="0075395E">
            <w:pPr>
              <w:spacing w:after="0"/>
              <w:rPr>
                <w:rFonts w:ascii="Times New Roman" w:eastAsia="Calibri" w:hAnsi="Times New Roman" w:cs="Times New Roman"/>
                <w:spacing w:val="1"/>
                <w:sz w:val="20"/>
                <w:szCs w:val="20"/>
                <w:vertAlign w:val="superscript"/>
              </w:rPr>
            </w:pPr>
            <w:proofErr w:type="spellStart"/>
            <w:r w:rsidRPr="00A07F29">
              <w:rPr>
                <w:rFonts w:ascii="Times New Roman" w:eastAsia="Calibri" w:hAnsi="Times New Roman" w:cs="Times New Roman"/>
                <w:sz w:val="20"/>
                <w:szCs w:val="20"/>
              </w:rPr>
              <w:t>Benekena</w:t>
            </w:r>
            <w:proofErr w:type="spellEnd"/>
            <w:r w:rsidRPr="00A07F29">
              <w:rPr>
                <w:rFonts w:ascii="Times New Roman" w:eastAsia="Calibri" w:hAnsi="Times New Roman" w:cs="Times New Roman"/>
                <w:sz w:val="20"/>
                <w:szCs w:val="20"/>
              </w:rPr>
              <w:t xml:space="preserve"> </w:t>
            </w:r>
            <w:proofErr w:type="spellStart"/>
            <w:r w:rsidRPr="00A07F29">
              <w:rPr>
                <w:rFonts w:ascii="Times New Roman" w:eastAsia="Calibri" w:hAnsi="Times New Roman" w:cs="Times New Roman"/>
                <w:sz w:val="20"/>
                <w:szCs w:val="20"/>
              </w:rPr>
              <w:t>zaķauza</w:t>
            </w:r>
            <w:proofErr w:type="spellEnd"/>
          </w:p>
        </w:tc>
        <w:tc>
          <w:tcPr>
            <w:tcW w:w="2840" w:type="dxa"/>
          </w:tcPr>
          <w:p w14:paraId="6338CB79" w14:textId="77777777" w:rsidR="002B1603" w:rsidRPr="00A07F29" w:rsidRDefault="002B1603" w:rsidP="0075395E">
            <w:pPr>
              <w:spacing w:after="0"/>
              <w:rPr>
                <w:rFonts w:ascii="Times New Roman" w:eastAsia="Calibri" w:hAnsi="Times New Roman" w:cs="Times New Roman"/>
                <w:i/>
                <w:sz w:val="20"/>
                <w:szCs w:val="20"/>
              </w:rPr>
            </w:pPr>
            <w:proofErr w:type="spellStart"/>
            <w:r w:rsidRPr="00A07F29">
              <w:rPr>
                <w:rFonts w:ascii="Times New Roman" w:eastAsia="Calibri" w:hAnsi="Times New Roman" w:cs="Times New Roman"/>
                <w:i/>
                <w:sz w:val="20"/>
                <w:szCs w:val="20"/>
              </w:rPr>
              <w:t>Bromopsis</w:t>
            </w:r>
            <w:proofErr w:type="spellEnd"/>
            <w:r w:rsidRPr="00A07F29">
              <w:rPr>
                <w:rFonts w:ascii="Times New Roman" w:eastAsia="Calibri" w:hAnsi="Times New Roman" w:cs="Times New Roman"/>
                <w:i/>
                <w:sz w:val="20"/>
                <w:szCs w:val="20"/>
              </w:rPr>
              <w:t xml:space="preserve"> </w:t>
            </w:r>
            <w:proofErr w:type="spellStart"/>
            <w:r w:rsidRPr="00A07F29">
              <w:rPr>
                <w:rFonts w:ascii="Times New Roman" w:eastAsia="Calibri" w:hAnsi="Times New Roman" w:cs="Times New Roman"/>
                <w:i/>
                <w:sz w:val="20"/>
                <w:szCs w:val="20"/>
              </w:rPr>
              <w:t>benekenii</w:t>
            </w:r>
            <w:proofErr w:type="spellEnd"/>
          </w:p>
        </w:tc>
        <w:tc>
          <w:tcPr>
            <w:tcW w:w="1134" w:type="dxa"/>
          </w:tcPr>
          <w:p w14:paraId="14E2D3C0"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ĪAS</w:t>
            </w:r>
            <w:r w:rsidRPr="00A07F29">
              <w:rPr>
                <w:rFonts w:ascii="Times New Roman" w:eastAsia="Calibri" w:hAnsi="Times New Roman" w:cs="Times New Roman"/>
                <w:sz w:val="20"/>
                <w:szCs w:val="20"/>
                <w:vertAlign w:val="superscript"/>
              </w:rPr>
              <w:t>1</w:t>
            </w:r>
          </w:p>
        </w:tc>
        <w:tc>
          <w:tcPr>
            <w:tcW w:w="709" w:type="dxa"/>
            <w:vAlign w:val="center"/>
          </w:tcPr>
          <w:p w14:paraId="5CE22AB7"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c>
          <w:tcPr>
            <w:tcW w:w="1128" w:type="dxa"/>
          </w:tcPr>
          <w:p w14:paraId="6B8D90A2" w14:textId="77777777" w:rsidR="002B1603" w:rsidRPr="00A07F29" w:rsidRDefault="002B1603" w:rsidP="002B1603">
            <w:pPr>
              <w:spacing w:after="0"/>
              <w:jc w:val="center"/>
              <w:rPr>
                <w:rFonts w:ascii="Times New Roman" w:eastAsia="Calibri" w:hAnsi="Times New Roman" w:cs="Times New Roman"/>
                <w:color w:val="000000"/>
                <w:sz w:val="20"/>
                <w:szCs w:val="20"/>
              </w:rPr>
            </w:pPr>
            <w:r w:rsidRPr="00A07F29">
              <w:rPr>
                <w:rFonts w:ascii="Times New Roman" w:eastAsia="Calibri" w:hAnsi="Times New Roman" w:cs="Times New Roman"/>
                <w:sz w:val="20"/>
                <w:szCs w:val="20"/>
              </w:rPr>
              <w:t>-</w:t>
            </w:r>
          </w:p>
        </w:tc>
        <w:tc>
          <w:tcPr>
            <w:tcW w:w="1122" w:type="dxa"/>
          </w:tcPr>
          <w:p w14:paraId="30F2951B"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r>
      <w:tr w:rsidR="0075395E" w:rsidRPr="00A07F29" w14:paraId="786967D1" w14:textId="77777777" w:rsidTr="00B649FD">
        <w:trPr>
          <w:jc w:val="center"/>
        </w:trPr>
        <w:tc>
          <w:tcPr>
            <w:tcW w:w="557" w:type="dxa"/>
          </w:tcPr>
          <w:p w14:paraId="24209B95" w14:textId="301BCC3A" w:rsidR="002B1603" w:rsidRPr="00A07F29" w:rsidRDefault="00E67E47" w:rsidP="00E67E47">
            <w:pPr>
              <w:spacing w:after="0"/>
              <w:contextualSpacing/>
              <w:rPr>
                <w:rFonts w:ascii="Times New Roman" w:eastAsia="Calibri" w:hAnsi="Times New Roman" w:cs="Times New Roman"/>
                <w:sz w:val="20"/>
                <w:szCs w:val="20"/>
              </w:rPr>
            </w:pPr>
            <w:r w:rsidRPr="00A07F29">
              <w:rPr>
                <w:rFonts w:ascii="Times New Roman" w:eastAsia="Calibri" w:hAnsi="Times New Roman" w:cs="Times New Roman"/>
                <w:sz w:val="20"/>
                <w:szCs w:val="20"/>
              </w:rPr>
              <w:t>7.</w:t>
            </w:r>
          </w:p>
        </w:tc>
        <w:tc>
          <w:tcPr>
            <w:tcW w:w="2410" w:type="dxa"/>
          </w:tcPr>
          <w:p w14:paraId="11FD637F" w14:textId="77777777" w:rsidR="002B1603" w:rsidRPr="00A07F29" w:rsidRDefault="002B1603" w:rsidP="0075395E">
            <w:pPr>
              <w:spacing w:after="0"/>
              <w:rPr>
                <w:rFonts w:ascii="Times New Roman" w:eastAsia="Calibri" w:hAnsi="Times New Roman" w:cs="Times New Roman"/>
                <w:sz w:val="20"/>
                <w:szCs w:val="20"/>
              </w:rPr>
            </w:pPr>
            <w:r w:rsidRPr="00A07F29">
              <w:rPr>
                <w:rFonts w:ascii="Times New Roman" w:eastAsia="Calibri" w:hAnsi="Times New Roman" w:cs="Times New Roman"/>
                <w:sz w:val="20"/>
                <w:szCs w:val="20"/>
              </w:rPr>
              <w:t>Akotainais grīslis</w:t>
            </w:r>
          </w:p>
        </w:tc>
        <w:tc>
          <w:tcPr>
            <w:tcW w:w="2840" w:type="dxa"/>
          </w:tcPr>
          <w:p w14:paraId="40DEB3BD" w14:textId="77777777" w:rsidR="002B1603" w:rsidRPr="00A07F29" w:rsidRDefault="002B1603" w:rsidP="0075395E">
            <w:pPr>
              <w:spacing w:after="0"/>
              <w:rPr>
                <w:rFonts w:ascii="Times New Roman" w:eastAsia="Calibri" w:hAnsi="Times New Roman" w:cs="Times New Roman"/>
                <w:i/>
                <w:sz w:val="20"/>
                <w:szCs w:val="20"/>
              </w:rPr>
            </w:pPr>
            <w:proofErr w:type="spellStart"/>
            <w:r w:rsidRPr="00A07F29">
              <w:rPr>
                <w:rFonts w:ascii="Times New Roman" w:eastAsia="Calibri" w:hAnsi="Times New Roman" w:cs="Times New Roman"/>
                <w:i/>
                <w:sz w:val="20"/>
                <w:szCs w:val="20"/>
              </w:rPr>
              <w:t>Carex</w:t>
            </w:r>
            <w:proofErr w:type="spellEnd"/>
            <w:r w:rsidRPr="00A07F29">
              <w:rPr>
                <w:rFonts w:ascii="Times New Roman" w:eastAsia="Calibri" w:hAnsi="Times New Roman" w:cs="Times New Roman"/>
                <w:i/>
                <w:sz w:val="20"/>
                <w:szCs w:val="20"/>
              </w:rPr>
              <w:t xml:space="preserve"> </w:t>
            </w:r>
            <w:proofErr w:type="spellStart"/>
            <w:r w:rsidRPr="00A07F29">
              <w:rPr>
                <w:rFonts w:ascii="Times New Roman" w:eastAsia="Calibri" w:hAnsi="Times New Roman" w:cs="Times New Roman"/>
                <w:i/>
                <w:sz w:val="20"/>
                <w:szCs w:val="20"/>
              </w:rPr>
              <w:t>atherodes</w:t>
            </w:r>
            <w:proofErr w:type="spellEnd"/>
          </w:p>
        </w:tc>
        <w:tc>
          <w:tcPr>
            <w:tcW w:w="1134" w:type="dxa"/>
          </w:tcPr>
          <w:p w14:paraId="3AA220C5"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ĪAS</w:t>
            </w:r>
            <w:r w:rsidRPr="00A07F29">
              <w:rPr>
                <w:rFonts w:ascii="Times New Roman" w:eastAsia="Calibri" w:hAnsi="Times New Roman" w:cs="Times New Roman"/>
                <w:sz w:val="20"/>
                <w:szCs w:val="20"/>
                <w:vertAlign w:val="superscript"/>
              </w:rPr>
              <w:t>1</w:t>
            </w:r>
          </w:p>
        </w:tc>
        <w:tc>
          <w:tcPr>
            <w:tcW w:w="709" w:type="dxa"/>
            <w:vAlign w:val="center"/>
          </w:tcPr>
          <w:p w14:paraId="78CFE780"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c>
          <w:tcPr>
            <w:tcW w:w="1128" w:type="dxa"/>
          </w:tcPr>
          <w:p w14:paraId="5AF113B5" w14:textId="77777777" w:rsidR="002B1603" w:rsidRPr="00A07F29" w:rsidRDefault="002B1603" w:rsidP="002B1603">
            <w:pPr>
              <w:spacing w:after="0"/>
              <w:jc w:val="center"/>
              <w:rPr>
                <w:rFonts w:ascii="Times New Roman" w:eastAsia="Calibri" w:hAnsi="Times New Roman" w:cs="Times New Roman"/>
                <w:color w:val="000000"/>
                <w:sz w:val="20"/>
                <w:szCs w:val="20"/>
              </w:rPr>
            </w:pPr>
            <w:r w:rsidRPr="00A07F29">
              <w:rPr>
                <w:rFonts w:ascii="Times New Roman" w:eastAsia="Calibri" w:hAnsi="Times New Roman" w:cs="Times New Roman"/>
                <w:sz w:val="20"/>
                <w:szCs w:val="20"/>
              </w:rPr>
              <w:t>-</w:t>
            </w:r>
          </w:p>
        </w:tc>
        <w:tc>
          <w:tcPr>
            <w:tcW w:w="1122" w:type="dxa"/>
          </w:tcPr>
          <w:p w14:paraId="6D8DEA7B"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r>
      <w:tr w:rsidR="0075395E" w:rsidRPr="00A07F29" w14:paraId="31370A8F" w14:textId="77777777" w:rsidTr="00B649FD">
        <w:trPr>
          <w:jc w:val="center"/>
        </w:trPr>
        <w:tc>
          <w:tcPr>
            <w:tcW w:w="557" w:type="dxa"/>
          </w:tcPr>
          <w:p w14:paraId="7EC0B5EE" w14:textId="0D54DBBE" w:rsidR="002B1603" w:rsidRPr="00A07F29" w:rsidRDefault="00E67E47" w:rsidP="00E67E47">
            <w:pPr>
              <w:spacing w:after="0"/>
              <w:contextualSpacing/>
              <w:rPr>
                <w:rFonts w:ascii="Times New Roman" w:eastAsia="Calibri" w:hAnsi="Times New Roman" w:cs="Times New Roman"/>
                <w:sz w:val="20"/>
                <w:szCs w:val="20"/>
              </w:rPr>
            </w:pPr>
            <w:r w:rsidRPr="00A07F29">
              <w:rPr>
                <w:rFonts w:ascii="Times New Roman" w:eastAsia="Calibri" w:hAnsi="Times New Roman" w:cs="Times New Roman"/>
                <w:sz w:val="20"/>
                <w:szCs w:val="20"/>
              </w:rPr>
              <w:t>8.</w:t>
            </w:r>
          </w:p>
        </w:tc>
        <w:tc>
          <w:tcPr>
            <w:tcW w:w="2410" w:type="dxa"/>
          </w:tcPr>
          <w:p w14:paraId="42107927" w14:textId="77777777" w:rsidR="002B1603" w:rsidRPr="00A07F29" w:rsidRDefault="002B1603" w:rsidP="0075395E">
            <w:pPr>
              <w:spacing w:after="0"/>
              <w:rPr>
                <w:rFonts w:ascii="Times New Roman" w:eastAsia="Calibri" w:hAnsi="Times New Roman" w:cs="Times New Roman"/>
                <w:sz w:val="20"/>
                <w:szCs w:val="20"/>
              </w:rPr>
            </w:pPr>
            <w:r w:rsidRPr="00A07F29">
              <w:rPr>
                <w:rFonts w:ascii="Times New Roman" w:eastAsia="Calibri" w:hAnsi="Times New Roman" w:cs="Times New Roman"/>
                <w:sz w:val="20"/>
                <w:szCs w:val="20"/>
              </w:rPr>
              <w:t>Kūdrāju grīslis</w:t>
            </w:r>
            <w:r w:rsidRPr="00A07F29">
              <w:rPr>
                <w:rFonts w:ascii="Times New Roman" w:eastAsia="Calibri" w:hAnsi="Times New Roman" w:cs="Times New Roman"/>
                <w:sz w:val="20"/>
                <w:szCs w:val="20"/>
                <w:vertAlign w:val="superscript"/>
              </w:rPr>
              <w:t>5</w:t>
            </w:r>
          </w:p>
        </w:tc>
        <w:tc>
          <w:tcPr>
            <w:tcW w:w="2840" w:type="dxa"/>
          </w:tcPr>
          <w:p w14:paraId="0D04933B" w14:textId="77777777" w:rsidR="002B1603" w:rsidRPr="00A07F29" w:rsidRDefault="002B1603" w:rsidP="0075395E">
            <w:pPr>
              <w:spacing w:after="0"/>
              <w:rPr>
                <w:rFonts w:ascii="Times New Roman" w:eastAsia="Calibri" w:hAnsi="Times New Roman" w:cs="Times New Roman"/>
                <w:i/>
                <w:sz w:val="20"/>
                <w:szCs w:val="20"/>
              </w:rPr>
            </w:pPr>
            <w:proofErr w:type="spellStart"/>
            <w:r w:rsidRPr="00A07F29">
              <w:rPr>
                <w:rFonts w:ascii="Times New Roman" w:eastAsia="Calibri" w:hAnsi="Times New Roman" w:cs="Times New Roman"/>
                <w:i/>
                <w:sz w:val="20"/>
                <w:szCs w:val="20"/>
              </w:rPr>
              <w:t>Carex</w:t>
            </w:r>
            <w:proofErr w:type="spellEnd"/>
            <w:r w:rsidRPr="00A07F29">
              <w:rPr>
                <w:rFonts w:ascii="Times New Roman" w:eastAsia="Calibri" w:hAnsi="Times New Roman" w:cs="Times New Roman"/>
                <w:i/>
                <w:sz w:val="20"/>
                <w:szCs w:val="20"/>
              </w:rPr>
              <w:t xml:space="preserve"> </w:t>
            </w:r>
            <w:proofErr w:type="spellStart"/>
            <w:r w:rsidRPr="00A07F29">
              <w:rPr>
                <w:rFonts w:ascii="Times New Roman" w:eastAsia="Calibri" w:hAnsi="Times New Roman" w:cs="Times New Roman"/>
                <w:i/>
                <w:sz w:val="20"/>
                <w:szCs w:val="20"/>
              </w:rPr>
              <w:t>heleonastes</w:t>
            </w:r>
            <w:proofErr w:type="spellEnd"/>
          </w:p>
        </w:tc>
        <w:tc>
          <w:tcPr>
            <w:tcW w:w="1134" w:type="dxa"/>
          </w:tcPr>
          <w:p w14:paraId="0390EB8B"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ĪAS</w:t>
            </w:r>
            <w:r w:rsidRPr="00A07F29">
              <w:rPr>
                <w:rFonts w:ascii="Times New Roman" w:eastAsia="Calibri" w:hAnsi="Times New Roman" w:cs="Times New Roman"/>
                <w:sz w:val="20"/>
                <w:szCs w:val="20"/>
                <w:vertAlign w:val="superscript"/>
              </w:rPr>
              <w:t>1</w:t>
            </w:r>
          </w:p>
        </w:tc>
        <w:tc>
          <w:tcPr>
            <w:tcW w:w="709" w:type="dxa"/>
          </w:tcPr>
          <w:p w14:paraId="69A8F44F"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c>
          <w:tcPr>
            <w:tcW w:w="1128" w:type="dxa"/>
          </w:tcPr>
          <w:p w14:paraId="11B1591D" w14:textId="77777777" w:rsidR="002B1603" w:rsidRPr="00A07F29" w:rsidRDefault="002B1603" w:rsidP="002B1603">
            <w:pPr>
              <w:spacing w:after="0"/>
              <w:jc w:val="center"/>
              <w:rPr>
                <w:rFonts w:ascii="Times New Roman" w:eastAsia="Calibri" w:hAnsi="Times New Roman" w:cs="Times New Roman"/>
                <w:color w:val="000000"/>
                <w:sz w:val="20"/>
                <w:szCs w:val="20"/>
              </w:rPr>
            </w:pPr>
            <w:r w:rsidRPr="00A07F29">
              <w:rPr>
                <w:rFonts w:ascii="Times New Roman" w:eastAsia="Calibri" w:hAnsi="Times New Roman" w:cs="Times New Roman"/>
                <w:sz w:val="20"/>
                <w:szCs w:val="20"/>
              </w:rPr>
              <w:t>-</w:t>
            </w:r>
          </w:p>
        </w:tc>
        <w:tc>
          <w:tcPr>
            <w:tcW w:w="1122" w:type="dxa"/>
          </w:tcPr>
          <w:p w14:paraId="5BB45BEA"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r>
      <w:tr w:rsidR="0075395E" w:rsidRPr="00A07F29" w14:paraId="20CA2AD1" w14:textId="77777777" w:rsidTr="00B649FD">
        <w:trPr>
          <w:jc w:val="center"/>
        </w:trPr>
        <w:tc>
          <w:tcPr>
            <w:tcW w:w="557" w:type="dxa"/>
          </w:tcPr>
          <w:p w14:paraId="279CCEAB" w14:textId="75CD59C7" w:rsidR="002B1603" w:rsidRPr="00A07F29" w:rsidRDefault="00E67E47" w:rsidP="00E67E47">
            <w:pPr>
              <w:spacing w:after="0"/>
              <w:contextualSpacing/>
              <w:rPr>
                <w:rFonts w:ascii="Times New Roman" w:eastAsia="Calibri" w:hAnsi="Times New Roman" w:cs="Times New Roman"/>
                <w:sz w:val="20"/>
                <w:szCs w:val="20"/>
              </w:rPr>
            </w:pPr>
            <w:r w:rsidRPr="00A07F29">
              <w:rPr>
                <w:rFonts w:ascii="Times New Roman" w:eastAsia="Calibri" w:hAnsi="Times New Roman" w:cs="Times New Roman"/>
                <w:sz w:val="20"/>
                <w:szCs w:val="20"/>
              </w:rPr>
              <w:t>9.</w:t>
            </w:r>
          </w:p>
        </w:tc>
        <w:tc>
          <w:tcPr>
            <w:tcW w:w="2410" w:type="dxa"/>
          </w:tcPr>
          <w:p w14:paraId="45B12ADF" w14:textId="77777777" w:rsidR="002B1603" w:rsidRPr="00A07F29" w:rsidRDefault="002B1603" w:rsidP="0075395E">
            <w:pPr>
              <w:spacing w:after="0"/>
              <w:rPr>
                <w:rFonts w:ascii="Times New Roman" w:eastAsia="Calibri" w:hAnsi="Times New Roman" w:cs="Times New Roman"/>
                <w:sz w:val="20"/>
                <w:szCs w:val="20"/>
              </w:rPr>
            </w:pPr>
            <w:proofErr w:type="spellStart"/>
            <w:r w:rsidRPr="00A07F29">
              <w:rPr>
                <w:rFonts w:ascii="Times New Roman" w:eastAsia="Calibri" w:hAnsi="Times New Roman" w:cs="Times New Roman"/>
                <w:sz w:val="20"/>
                <w:szCs w:val="20"/>
              </w:rPr>
              <w:t>Pleznveida</w:t>
            </w:r>
            <w:proofErr w:type="spellEnd"/>
            <w:r w:rsidRPr="00A07F29">
              <w:rPr>
                <w:rFonts w:ascii="Times New Roman" w:eastAsia="Calibri" w:hAnsi="Times New Roman" w:cs="Times New Roman"/>
                <w:sz w:val="20"/>
                <w:szCs w:val="20"/>
              </w:rPr>
              <w:t xml:space="preserve"> grīslis</w:t>
            </w:r>
            <w:r w:rsidRPr="00A07F29">
              <w:rPr>
                <w:rFonts w:ascii="Times New Roman" w:eastAsia="Calibri" w:hAnsi="Times New Roman" w:cs="Times New Roman"/>
                <w:sz w:val="20"/>
                <w:szCs w:val="20"/>
                <w:vertAlign w:val="superscript"/>
              </w:rPr>
              <w:t>3</w:t>
            </w:r>
          </w:p>
        </w:tc>
        <w:tc>
          <w:tcPr>
            <w:tcW w:w="2840" w:type="dxa"/>
          </w:tcPr>
          <w:p w14:paraId="38C6820E" w14:textId="77777777" w:rsidR="002B1603" w:rsidRPr="00A07F29" w:rsidRDefault="002B1603" w:rsidP="0075395E">
            <w:pPr>
              <w:spacing w:after="0"/>
              <w:rPr>
                <w:rFonts w:ascii="Times New Roman" w:eastAsia="Calibri" w:hAnsi="Times New Roman" w:cs="Times New Roman"/>
                <w:i/>
                <w:sz w:val="20"/>
                <w:szCs w:val="20"/>
              </w:rPr>
            </w:pPr>
            <w:proofErr w:type="spellStart"/>
            <w:r w:rsidRPr="00A07F29">
              <w:rPr>
                <w:rFonts w:ascii="Times New Roman" w:eastAsia="Calibri" w:hAnsi="Times New Roman" w:cs="Times New Roman"/>
                <w:i/>
                <w:sz w:val="20"/>
                <w:szCs w:val="20"/>
                <w:shd w:val="clear" w:color="auto" w:fill="FFFFFF"/>
              </w:rPr>
              <w:t>Carex</w:t>
            </w:r>
            <w:proofErr w:type="spellEnd"/>
            <w:r w:rsidRPr="00A07F29">
              <w:rPr>
                <w:rFonts w:ascii="Times New Roman" w:eastAsia="Calibri" w:hAnsi="Times New Roman" w:cs="Times New Roman"/>
                <w:i/>
                <w:sz w:val="20"/>
                <w:szCs w:val="20"/>
                <w:shd w:val="clear" w:color="auto" w:fill="FFFFFF"/>
              </w:rPr>
              <w:t xml:space="preserve"> </w:t>
            </w:r>
            <w:proofErr w:type="spellStart"/>
            <w:r w:rsidRPr="00A07F29">
              <w:rPr>
                <w:rFonts w:ascii="Times New Roman" w:eastAsia="Calibri" w:hAnsi="Times New Roman" w:cs="Times New Roman"/>
                <w:i/>
                <w:sz w:val="20"/>
                <w:szCs w:val="20"/>
                <w:shd w:val="clear" w:color="auto" w:fill="FFFFFF"/>
              </w:rPr>
              <w:t>ornithopoda</w:t>
            </w:r>
            <w:proofErr w:type="spellEnd"/>
          </w:p>
        </w:tc>
        <w:tc>
          <w:tcPr>
            <w:tcW w:w="1134" w:type="dxa"/>
          </w:tcPr>
          <w:p w14:paraId="32783325"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ĪAS</w:t>
            </w:r>
            <w:r w:rsidRPr="00A07F29">
              <w:rPr>
                <w:rFonts w:ascii="Times New Roman" w:eastAsia="Calibri" w:hAnsi="Times New Roman" w:cs="Times New Roman"/>
                <w:sz w:val="20"/>
                <w:szCs w:val="20"/>
                <w:vertAlign w:val="superscript"/>
              </w:rPr>
              <w:t>1</w:t>
            </w:r>
          </w:p>
        </w:tc>
        <w:tc>
          <w:tcPr>
            <w:tcW w:w="709" w:type="dxa"/>
          </w:tcPr>
          <w:p w14:paraId="484EE709"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c>
          <w:tcPr>
            <w:tcW w:w="1128" w:type="dxa"/>
          </w:tcPr>
          <w:p w14:paraId="160220E2" w14:textId="77777777" w:rsidR="002B1603" w:rsidRPr="00A07F29" w:rsidRDefault="002B1603" w:rsidP="002B1603">
            <w:pPr>
              <w:spacing w:after="0"/>
              <w:jc w:val="center"/>
              <w:rPr>
                <w:rFonts w:ascii="Times New Roman" w:eastAsia="Calibri" w:hAnsi="Times New Roman" w:cs="Times New Roman"/>
                <w:color w:val="000000"/>
                <w:sz w:val="20"/>
                <w:szCs w:val="20"/>
              </w:rPr>
            </w:pPr>
            <w:r w:rsidRPr="00A07F29">
              <w:rPr>
                <w:rFonts w:ascii="Times New Roman" w:eastAsia="Calibri" w:hAnsi="Times New Roman" w:cs="Times New Roman"/>
                <w:sz w:val="20"/>
                <w:szCs w:val="20"/>
              </w:rPr>
              <w:t>-</w:t>
            </w:r>
          </w:p>
        </w:tc>
        <w:tc>
          <w:tcPr>
            <w:tcW w:w="1122" w:type="dxa"/>
          </w:tcPr>
          <w:p w14:paraId="6AB4450E"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r>
      <w:tr w:rsidR="0075395E" w:rsidRPr="00A07F29" w14:paraId="7522159F" w14:textId="77777777" w:rsidTr="00B649FD">
        <w:trPr>
          <w:jc w:val="center"/>
        </w:trPr>
        <w:tc>
          <w:tcPr>
            <w:tcW w:w="557" w:type="dxa"/>
          </w:tcPr>
          <w:p w14:paraId="06D949A7" w14:textId="3D478C0B" w:rsidR="002B1603" w:rsidRPr="00A07F29" w:rsidRDefault="00E67E47" w:rsidP="00E67E47">
            <w:pPr>
              <w:spacing w:after="0"/>
              <w:contextualSpacing/>
              <w:rPr>
                <w:rFonts w:ascii="Times New Roman" w:eastAsia="Calibri" w:hAnsi="Times New Roman" w:cs="Times New Roman"/>
                <w:sz w:val="20"/>
                <w:szCs w:val="20"/>
              </w:rPr>
            </w:pPr>
            <w:r w:rsidRPr="00A07F29">
              <w:rPr>
                <w:rFonts w:ascii="Times New Roman" w:eastAsia="Calibri" w:hAnsi="Times New Roman" w:cs="Times New Roman"/>
                <w:sz w:val="20"/>
                <w:szCs w:val="20"/>
              </w:rPr>
              <w:t>10.</w:t>
            </w:r>
          </w:p>
        </w:tc>
        <w:tc>
          <w:tcPr>
            <w:tcW w:w="2410" w:type="dxa"/>
          </w:tcPr>
          <w:p w14:paraId="58EB4835" w14:textId="77777777" w:rsidR="002B1603" w:rsidRPr="00A07F29" w:rsidRDefault="002B1603" w:rsidP="0075395E">
            <w:pPr>
              <w:spacing w:after="0"/>
              <w:rPr>
                <w:rFonts w:ascii="Times New Roman" w:eastAsia="Calibri" w:hAnsi="Times New Roman" w:cs="Times New Roman"/>
                <w:spacing w:val="1"/>
                <w:sz w:val="20"/>
                <w:szCs w:val="20"/>
                <w:vertAlign w:val="superscript"/>
              </w:rPr>
            </w:pPr>
            <w:r w:rsidRPr="00A07F29">
              <w:rPr>
                <w:rFonts w:ascii="Times New Roman" w:eastAsia="Calibri" w:hAnsi="Times New Roman" w:cs="Times New Roman"/>
                <w:sz w:val="20"/>
                <w:szCs w:val="20"/>
              </w:rPr>
              <w:t>Matainais grīslis</w:t>
            </w:r>
          </w:p>
        </w:tc>
        <w:tc>
          <w:tcPr>
            <w:tcW w:w="2840" w:type="dxa"/>
          </w:tcPr>
          <w:p w14:paraId="553E1077" w14:textId="77777777" w:rsidR="002B1603" w:rsidRPr="00A07F29" w:rsidRDefault="002B1603" w:rsidP="0075395E">
            <w:pPr>
              <w:spacing w:after="0"/>
              <w:rPr>
                <w:rFonts w:ascii="Times New Roman" w:eastAsia="Calibri" w:hAnsi="Times New Roman" w:cs="Times New Roman"/>
                <w:i/>
                <w:sz w:val="20"/>
                <w:szCs w:val="20"/>
              </w:rPr>
            </w:pPr>
            <w:proofErr w:type="spellStart"/>
            <w:r w:rsidRPr="00A07F29">
              <w:rPr>
                <w:rFonts w:ascii="Times New Roman" w:eastAsia="Calibri" w:hAnsi="Times New Roman" w:cs="Times New Roman"/>
                <w:i/>
                <w:sz w:val="20"/>
                <w:szCs w:val="20"/>
              </w:rPr>
              <w:t>Carex</w:t>
            </w:r>
            <w:proofErr w:type="spellEnd"/>
            <w:r w:rsidRPr="00A07F29">
              <w:rPr>
                <w:rFonts w:ascii="Times New Roman" w:eastAsia="Calibri" w:hAnsi="Times New Roman" w:cs="Times New Roman"/>
                <w:i/>
                <w:sz w:val="20"/>
                <w:szCs w:val="20"/>
              </w:rPr>
              <w:t xml:space="preserve"> </w:t>
            </w:r>
            <w:proofErr w:type="spellStart"/>
            <w:r w:rsidRPr="00A07F29">
              <w:rPr>
                <w:rFonts w:ascii="Times New Roman" w:eastAsia="Calibri" w:hAnsi="Times New Roman" w:cs="Times New Roman"/>
                <w:i/>
                <w:sz w:val="20"/>
                <w:szCs w:val="20"/>
              </w:rPr>
              <w:t>pilosa</w:t>
            </w:r>
            <w:proofErr w:type="spellEnd"/>
          </w:p>
        </w:tc>
        <w:tc>
          <w:tcPr>
            <w:tcW w:w="1134" w:type="dxa"/>
          </w:tcPr>
          <w:p w14:paraId="490A7EB2"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ĪAS</w:t>
            </w:r>
            <w:r w:rsidRPr="00A07F29">
              <w:rPr>
                <w:rFonts w:ascii="Times New Roman" w:eastAsia="Calibri" w:hAnsi="Times New Roman" w:cs="Times New Roman"/>
                <w:sz w:val="20"/>
                <w:szCs w:val="20"/>
                <w:vertAlign w:val="superscript"/>
              </w:rPr>
              <w:t>1</w:t>
            </w:r>
          </w:p>
        </w:tc>
        <w:tc>
          <w:tcPr>
            <w:tcW w:w="709" w:type="dxa"/>
            <w:vAlign w:val="center"/>
          </w:tcPr>
          <w:p w14:paraId="32AB47DC"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c>
          <w:tcPr>
            <w:tcW w:w="1128" w:type="dxa"/>
          </w:tcPr>
          <w:p w14:paraId="6FF08A8D" w14:textId="77777777" w:rsidR="002B1603" w:rsidRPr="00A07F29" w:rsidRDefault="002B1603" w:rsidP="002B1603">
            <w:pPr>
              <w:spacing w:after="0"/>
              <w:jc w:val="center"/>
              <w:rPr>
                <w:rFonts w:ascii="Times New Roman" w:eastAsia="Calibri" w:hAnsi="Times New Roman" w:cs="Times New Roman"/>
                <w:color w:val="000000"/>
                <w:sz w:val="20"/>
                <w:szCs w:val="20"/>
              </w:rPr>
            </w:pPr>
            <w:r w:rsidRPr="00A07F29">
              <w:rPr>
                <w:rFonts w:ascii="Times New Roman" w:eastAsia="Calibri" w:hAnsi="Times New Roman" w:cs="Times New Roman"/>
                <w:sz w:val="20"/>
                <w:szCs w:val="20"/>
              </w:rPr>
              <w:t>-</w:t>
            </w:r>
          </w:p>
        </w:tc>
        <w:tc>
          <w:tcPr>
            <w:tcW w:w="1122" w:type="dxa"/>
          </w:tcPr>
          <w:p w14:paraId="7A0035EF"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r>
      <w:tr w:rsidR="0075395E" w:rsidRPr="00A07F29" w14:paraId="4FF8D667" w14:textId="77777777" w:rsidTr="00B649FD">
        <w:trPr>
          <w:jc w:val="center"/>
        </w:trPr>
        <w:tc>
          <w:tcPr>
            <w:tcW w:w="557" w:type="dxa"/>
          </w:tcPr>
          <w:p w14:paraId="37A46215" w14:textId="3ED7CA35" w:rsidR="002B1603" w:rsidRPr="00A07F29" w:rsidRDefault="00E67E47" w:rsidP="00E67E47">
            <w:pPr>
              <w:spacing w:after="0"/>
              <w:contextualSpacing/>
              <w:rPr>
                <w:rFonts w:ascii="Times New Roman" w:eastAsia="Calibri" w:hAnsi="Times New Roman" w:cs="Times New Roman"/>
                <w:sz w:val="20"/>
                <w:szCs w:val="20"/>
              </w:rPr>
            </w:pPr>
            <w:r w:rsidRPr="00A07F29">
              <w:rPr>
                <w:rFonts w:ascii="Times New Roman" w:eastAsia="Calibri" w:hAnsi="Times New Roman" w:cs="Times New Roman"/>
                <w:sz w:val="20"/>
                <w:szCs w:val="20"/>
              </w:rPr>
              <w:t>11.</w:t>
            </w:r>
          </w:p>
        </w:tc>
        <w:tc>
          <w:tcPr>
            <w:tcW w:w="2410" w:type="dxa"/>
          </w:tcPr>
          <w:p w14:paraId="38539A11" w14:textId="77777777" w:rsidR="002B1603" w:rsidRPr="00A07F29" w:rsidRDefault="002B1603" w:rsidP="0075395E">
            <w:pPr>
              <w:spacing w:after="0"/>
              <w:rPr>
                <w:rFonts w:ascii="Times New Roman" w:eastAsia="Calibri" w:hAnsi="Times New Roman" w:cs="Times New Roman"/>
                <w:spacing w:val="1"/>
                <w:sz w:val="20"/>
                <w:szCs w:val="20"/>
                <w:vertAlign w:val="superscript"/>
              </w:rPr>
            </w:pPr>
            <w:proofErr w:type="spellStart"/>
            <w:r w:rsidRPr="00A07F29">
              <w:rPr>
                <w:rFonts w:ascii="Times New Roman" w:eastAsia="Calibri" w:hAnsi="Times New Roman" w:cs="Times New Roman"/>
                <w:sz w:val="20"/>
                <w:szCs w:val="20"/>
              </w:rPr>
              <w:t>Pēdveida</w:t>
            </w:r>
            <w:proofErr w:type="spellEnd"/>
            <w:r w:rsidRPr="00A07F29">
              <w:rPr>
                <w:rFonts w:ascii="Times New Roman" w:eastAsia="Calibri" w:hAnsi="Times New Roman" w:cs="Times New Roman"/>
                <w:sz w:val="20"/>
                <w:szCs w:val="20"/>
              </w:rPr>
              <w:t xml:space="preserve"> grīslis</w:t>
            </w:r>
          </w:p>
        </w:tc>
        <w:tc>
          <w:tcPr>
            <w:tcW w:w="2840" w:type="dxa"/>
          </w:tcPr>
          <w:p w14:paraId="7A4A613A" w14:textId="77777777" w:rsidR="002B1603" w:rsidRPr="00A07F29" w:rsidRDefault="002B1603" w:rsidP="0075395E">
            <w:pPr>
              <w:spacing w:after="0"/>
              <w:rPr>
                <w:rFonts w:ascii="Times New Roman" w:eastAsia="Calibri" w:hAnsi="Times New Roman" w:cs="Times New Roman"/>
                <w:i/>
                <w:sz w:val="20"/>
                <w:szCs w:val="20"/>
              </w:rPr>
            </w:pPr>
            <w:proofErr w:type="spellStart"/>
            <w:r w:rsidRPr="00A07F29">
              <w:rPr>
                <w:rFonts w:ascii="Times New Roman" w:eastAsia="Calibri" w:hAnsi="Times New Roman" w:cs="Times New Roman"/>
                <w:i/>
                <w:sz w:val="20"/>
                <w:szCs w:val="20"/>
              </w:rPr>
              <w:t>Carex</w:t>
            </w:r>
            <w:proofErr w:type="spellEnd"/>
            <w:r w:rsidRPr="00A07F29">
              <w:rPr>
                <w:rFonts w:ascii="Times New Roman" w:eastAsia="Calibri" w:hAnsi="Times New Roman" w:cs="Times New Roman"/>
                <w:i/>
                <w:sz w:val="20"/>
                <w:szCs w:val="20"/>
              </w:rPr>
              <w:t xml:space="preserve"> </w:t>
            </w:r>
            <w:proofErr w:type="spellStart"/>
            <w:r w:rsidRPr="00A07F29">
              <w:rPr>
                <w:rFonts w:ascii="Times New Roman" w:eastAsia="Calibri" w:hAnsi="Times New Roman" w:cs="Times New Roman"/>
                <w:i/>
                <w:sz w:val="20"/>
                <w:szCs w:val="20"/>
              </w:rPr>
              <w:t>rhizina</w:t>
            </w:r>
            <w:proofErr w:type="spellEnd"/>
          </w:p>
        </w:tc>
        <w:tc>
          <w:tcPr>
            <w:tcW w:w="1134" w:type="dxa"/>
          </w:tcPr>
          <w:p w14:paraId="1280F339"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ĪAS</w:t>
            </w:r>
            <w:r w:rsidRPr="00A07F29">
              <w:rPr>
                <w:rFonts w:ascii="Times New Roman" w:eastAsia="Calibri" w:hAnsi="Times New Roman" w:cs="Times New Roman"/>
                <w:sz w:val="20"/>
                <w:szCs w:val="20"/>
                <w:vertAlign w:val="superscript"/>
              </w:rPr>
              <w:t>1</w:t>
            </w:r>
          </w:p>
        </w:tc>
        <w:tc>
          <w:tcPr>
            <w:tcW w:w="709" w:type="dxa"/>
            <w:vAlign w:val="center"/>
          </w:tcPr>
          <w:p w14:paraId="77FF7CA3"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c>
          <w:tcPr>
            <w:tcW w:w="1128" w:type="dxa"/>
          </w:tcPr>
          <w:p w14:paraId="1F5D7C7E" w14:textId="77777777" w:rsidR="002B1603" w:rsidRPr="00A07F29" w:rsidRDefault="002B1603" w:rsidP="002B1603">
            <w:pPr>
              <w:spacing w:after="0"/>
              <w:jc w:val="center"/>
              <w:rPr>
                <w:rFonts w:ascii="Times New Roman" w:eastAsia="Calibri" w:hAnsi="Times New Roman" w:cs="Times New Roman"/>
                <w:color w:val="000000"/>
                <w:sz w:val="20"/>
                <w:szCs w:val="20"/>
              </w:rPr>
            </w:pPr>
            <w:r w:rsidRPr="00A07F29">
              <w:rPr>
                <w:rFonts w:ascii="Times New Roman" w:eastAsia="Calibri" w:hAnsi="Times New Roman" w:cs="Times New Roman"/>
                <w:sz w:val="20"/>
                <w:szCs w:val="20"/>
              </w:rPr>
              <w:t>-</w:t>
            </w:r>
          </w:p>
        </w:tc>
        <w:tc>
          <w:tcPr>
            <w:tcW w:w="1122" w:type="dxa"/>
          </w:tcPr>
          <w:p w14:paraId="607DAA3D"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r>
      <w:tr w:rsidR="0075395E" w:rsidRPr="00A07F29" w14:paraId="4FFBE9F9" w14:textId="77777777" w:rsidTr="00B649FD">
        <w:trPr>
          <w:jc w:val="center"/>
        </w:trPr>
        <w:tc>
          <w:tcPr>
            <w:tcW w:w="557" w:type="dxa"/>
          </w:tcPr>
          <w:p w14:paraId="18460B02" w14:textId="40CA4DB2" w:rsidR="002B1603" w:rsidRPr="00A07F29" w:rsidRDefault="00E67E47" w:rsidP="00E67E47">
            <w:pPr>
              <w:spacing w:after="0"/>
              <w:contextualSpacing/>
              <w:rPr>
                <w:rFonts w:ascii="Times New Roman" w:eastAsia="Calibri" w:hAnsi="Times New Roman" w:cs="Times New Roman"/>
                <w:sz w:val="20"/>
                <w:szCs w:val="20"/>
              </w:rPr>
            </w:pPr>
            <w:r w:rsidRPr="00A07F29">
              <w:rPr>
                <w:rFonts w:ascii="Times New Roman" w:eastAsia="Calibri" w:hAnsi="Times New Roman" w:cs="Times New Roman"/>
                <w:sz w:val="20"/>
                <w:szCs w:val="20"/>
              </w:rPr>
              <w:t>12.</w:t>
            </w:r>
          </w:p>
        </w:tc>
        <w:tc>
          <w:tcPr>
            <w:tcW w:w="2410" w:type="dxa"/>
          </w:tcPr>
          <w:p w14:paraId="5220FA2E" w14:textId="77777777" w:rsidR="002B1603" w:rsidRPr="00A07F29" w:rsidRDefault="002B1603" w:rsidP="0075395E">
            <w:pPr>
              <w:spacing w:after="0"/>
              <w:rPr>
                <w:rFonts w:ascii="Times New Roman" w:eastAsia="Calibri" w:hAnsi="Times New Roman" w:cs="Times New Roman"/>
                <w:sz w:val="20"/>
                <w:szCs w:val="20"/>
              </w:rPr>
            </w:pPr>
            <w:r w:rsidRPr="00A07F29">
              <w:rPr>
                <w:rFonts w:ascii="Times New Roman" w:eastAsia="Calibri" w:hAnsi="Times New Roman" w:cs="Times New Roman"/>
                <w:sz w:val="20"/>
                <w:szCs w:val="20"/>
              </w:rPr>
              <w:t>Skaistais augstiņš</w:t>
            </w:r>
            <w:r w:rsidRPr="00A07F29">
              <w:rPr>
                <w:rFonts w:ascii="Times New Roman" w:eastAsia="Calibri" w:hAnsi="Times New Roman" w:cs="Times New Roman"/>
                <w:sz w:val="20"/>
                <w:szCs w:val="20"/>
                <w:vertAlign w:val="superscript"/>
              </w:rPr>
              <w:t>2</w:t>
            </w:r>
          </w:p>
        </w:tc>
        <w:tc>
          <w:tcPr>
            <w:tcW w:w="2840" w:type="dxa"/>
          </w:tcPr>
          <w:p w14:paraId="562AA83A" w14:textId="77777777" w:rsidR="002B1603" w:rsidRPr="00A07F29" w:rsidRDefault="002B1603" w:rsidP="0075395E">
            <w:pPr>
              <w:spacing w:after="0"/>
              <w:rPr>
                <w:rFonts w:ascii="Times New Roman" w:eastAsia="Calibri" w:hAnsi="Times New Roman" w:cs="Times New Roman"/>
                <w:i/>
                <w:sz w:val="20"/>
                <w:szCs w:val="20"/>
              </w:rPr>
            </w:pPr>
            <w:proofErr w:type="spellStart"/>
            <w:r w:rsidRPr="00A07F29">
              <w:rPr>
                <w:rFonts w:ascii="Times New Roman" w:eastAsia="Calibri" w:hAnsi="Times New Roman" w:cs="Times New Roman"/>
                <w:i/>
                <w:sz w:val="20"/>
                <w:szCs w:val="20"/>
              </w:rPr>
              <w:t>Centaurium</w:t>
            </w:r>
            <w:proofErr w:type="spellEnd"/>
            <w:r w:rsidRPr="00A07F29">
              <w:rPr>
                <w:rFonts w:ascii="Times New Roman" w:eastAsia="Calibri" w:hAnsi="Times New Roman" w:cs="Times New Roman"/>
                <w:i/>
                <w:sz w:val="20"/>
                <w:szCs w:val="20"/>
              </w:rPr>
              <w:t xml:space="preserve"> </w:t>
            </w:r>
            <w:proofErr w:type="spellStart"/>
            <w:r w:rsidRPr="00A07F29">
              <w:rPr>
                <w:rFonts w:ascii="Times New Roman" w:eastAsia="Calibri" w:hAnsi="Times New Roman" w:cs="Times New Roman"/>
                <w:i/>
                <w:sz w:val="20"/>
                <w:szCs w:val="20"/>
              </w:rPr>
              <w:t>pulchellum</w:t>
            </w:r>
            <w:proofErr w:type="spellEnd"/>
          </w:p>
        </w:tc>
        <w:tc>
          <w:tcPr>
            <w:tcW w:w="1134" w:type="dxa"/>
          </w:tcPr>
          <w:p w14:paraId="3D849A07"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ĪAS</w:t>
            </w:r>
          </w:p>
        </w:tc>
        <w:tc>
          <w:tcPr>
            <w:tcW w:w="709" w:type="dxa"/>
            <w:vAlign w:val="center"/>
          </w:tcPr>
          <w:p w14:paraId="2315DA08"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c>
          <w:tcPr>
            <w:tcW w:w="1128" w:type="dxa"/>
          </w:tcPr>
          <w:p w14:paraId="185A366E" w14:textId="77777777" w:rsidR="002B1603" w:rsidRPr="00A07F29" w:rsidRDefault="002B1603" w:rsidP="002B1603">
            <w:pPr>
              <w:spacing w:after="0"/>
              <w:jc w:val="center"/>
              <w:rPr>
                <w:rFonts w:ascii="Times New Roman" w:eastAsia="Calibri" w:hAnsi="Times New Roman" w:cs="Times New Roman"/>
                <w:color w:val="000000"/>
                <w:sz w:val="20"/>
                <w:szCs w:val="20"/>
              </w:rPr>
            </w:pPr>
            <w:r w:rsidRPr="00A07F29">
              <w:rPr>
                <w:rFonts w:ascii="Times New Roman" w:eastAsia="Calibri" w:hAnsi="Times New Roman" w:cs="Times New Roman"/>
                <w:color w:val="000000"/>
                <w:sz w:val="20"/>
                <w:szCs w:val="20"/>
              </w:rPr>
              <w:t>-</w:t>
            </w:r>
          </w:p>
        </w:tc>
        <w:tc>
          <w:tcPr>
            <w:tcW w:w="1122" w:type="dxa"/>
          </w:tcPr>
          <w:p w14:paraId="57E6E56A"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r>
      <w:tr w:rsidR="0075395E" w:rsidRPr="00A07F29" w14:paraId="54F35CE6" w14:textId="77777777" w:rsidTr="00B649FD">
        <w:trPr>
          <w:jc w:val="center"/>
        </w:trPr>
        <w:tc>
          <w:tcPr>
            <w:tcW w:w="557" w:type="dxa"/>
          </w:tcPr>
          <w:p w14:paraId="0E4BE6D4" w14:textId="3301E774" w:rsidR="002B1603" w:rsidRPr="00A07F29" w:rsidRDefault="00E67E47" w:rsidP="00E67E47">
            <w:pPr>
              <w:spacing w:after="0"/>
              <w:contextualSpacing/>
              <w:rPr>
                <w:rFonts w:ascii="Times New Roman" w:eastAsia="Calibri" w:hAnsi="Times New Roman" w:cs="Times New Roman"/>
                <w:sz w:val="20"/>
                <w:szCs w:val="20"/>
              </w:rPr>
            </w:pPr>
            <w:r w:rsidRPr="00A07F29">
              <w:rPr>
                <w:rFonts w:ascii="Times New Roman" w:eastAsia="Calibri" w:hAnsi="Times New Roman" w:cs="Times New Roman"/>
                <w:sz w:val="20"/>
                <w:szCs w:val="20"/>
              </w:rPr>
              <w:t>13.</w:t>
            </w:r>
          </w:p>
        </w:tc>
        <w:tc>
          <w:tcPr>
            <w:tcW w:w="2410" w:type="dxa"/>
          </w:tcPr>
          <w:p w14:paraId="10E2FFAD" w14:textId="77777777" w:rsidR="002B1603" w:rsidRPr="00A07F29" w:rsidRDefault="002B1603" w:rsidP="0075395E">
            <w:pPr>
              <w:spacing w:after="0"/>
              <w:rPr>
                <w:rFonts w:ascii="Times New Roman" w:eastAsia="Calibri" w:hAnsi="Times New Roman" w:cs="Times New Roman"/>
                <w:sz w:val="20"/>
                <w:szCs w:val="20"/>
              </w:rPr>
            </w:pPr>
            <w:proofErr w:type="spellStart"/>
            <w:r w:rsidRPr="00A07F29">
              <w:rPr>
                <w:rFonts w:ascii="Times New Roman" w:eastAsia="Calibri" w:hAnsi="Times New Roman" w:cs="Times New Roman"/>
                <w:sz w:val="20"/>
                <w:szCs w:val="20"/>
              </w:rPr>
              <w:t>Skarbmatainā</w:t>
            </w:r>
            <w:proofErr w:type="spellEnd"/>
            <w:r w:rsidRPr="00A07F29">
              <w:rPr>
                <w:rFonts w:ascii="Times New Roman" w:eastAsia="Calibri" w:hAnsi="Times New Roman" w:cs="Times New Roman"/>
                <w:sz w:val="20"/>
                <w:szCs w:val="20"/>
              </w:rPr>
              <w:t xml:space="preserve"> kārvele</w:t>
            </w:r>
          </w:p>
        </w:tc>
        <w:tc>
          <w:tcPr>
            <w:tcW w:w="2840" w:type="dxa"/>
          </w:tcPr>
          <w:p w14:paraId="6F774D36" w14:textId="77777777" w:rsidR="002B1603" w:rsidRPr="00A07F29" w:rsidRDefault="002B1603" w:rsidP="0075395E">
            <w:pPr>
              <w:spacing w:after="0"/>
              <w:rPr>
                <w:rFonts w:ascii="Times New Roman" w:eastAsia="Calibri" w:hAnsi="Times New Roman" w:cs="Times New Roman"/>
                <w:i/>
                <w:sz w:val="20"/>
                <w:szCs w:val="20"/>
              </w:rPr>
            </w:pPr>
            <w:proofErr w:type="spellStart"/>
            <w:r w:rsidRPr="00A07F29">
              <w:rPr>
                <w:rFonts w:ascii="Times New Roman" w:eastAsia="Calibri" w:hAnsi="Times New Roman" w:cs="Times New Roman"/>
                <w:i/>
                <w:sz w:val="20"/>
                <w:szCs w:val="20"/>
              </w:rPr>
              <w:t>Chaerophilum</w:t>
            </w:r>
            <w:proofErr w:type="spellEnd"/>
            <w:r w:rsidRPr="00A07F29">
              <w:rPr>
                <w:rFonts w:ascii="Times New Roman" w:eastAsia="Calibri" w:hAnsi="Times New Roman" w:cs="Times New Roman"/>
                <w:i/>
                <w:sz w:val="20"/>
                <w:szCs w:val="20"/>
              </w:rPr>
              <w:t xml:space="preserve"> </w:t>
            </w:r>
            <w:proofErr w:type="spellStart"/>
            <w:r w:rsidRPr="00A07F29">
              <w:rPr>
                <w:rFonts w:ascii="Times New Roman" w:eastAsia="Calibri" w:hAnsi="Times New Roman" w:cs="Times New Roman"/>
                <w:i/>
                <w:sz w:val="20"/>
                <w:szCs w:val="20"/>
              </w:rPr>
              <w:t>hirsutum</w:t>
            </w:r>
            <w:proofErr w:type="spellEnd"/>
          </w:p>
        </w:tc>
        <w:tc>
          <w:tcPr>
            <w:tcW w:w="1134" w:type="dxa"/>
          </w:tcPr>
          <w:p w14:paraId="4EDA07C1"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ĪAS</w:t>
            </w:r>
            <w:r w:rsidRPr="00A07F29">
              <w:rPr>
                <w:rFonts w:ascii="Times New Roman" w:eastAsia="Calibri" w:hAnsi="Times New Roman" w:cs="Times New Roman"/>
                <w:sz w:val="20"/>
                <w:szCs w:val="20"/>
                <w:vertAlign w:val="superscript"/>
              </w:rPr>
              <w:t>1</w:t>
            </w:r>
          </w:p>
        </w:tc>
        <w:tc>
          <w:tcPr>
            <w:tcW w:w="709" w:type="dxa"/>
            <w:vAlign w:val="center"/>
          </w:tcPr>
          <w:p w14:paraId="1D6849C3"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c>
          <w:tcPr>
            <w:tcW w:w="1128" w:type="dxa"/>
          </w:tcPr>
          <w:p w14:paraId="44E27EBA" w14:textId="77777777" w:rsidR="002B1603" w:rsidRPr="00A07F29" w:rsidRDefault="002B1603" w:rsidP="002B1603">
            <w:pPr>
              <w:spacing w:after="0"/>
              <w:jc w:val="center"/>
              <w:rPr>
                <w:rFonts w:ascii="Times New Roman" w:eastAsia="Calibri" w:hAnsi="Times New Roman" w:cs="Times New Roman"/>
                <w:color w:val="000000"/>
                <w:sz w:val="20"/>
                <w:szCs w:val="20"/>
              </w:rPr>
            </w:pPr>
            <w:r w:rsidRPr="00A07F29">
              <w:rPr>
                <w:rFonts w:ascii="Times New Roman" w:eastAsia="Calibri" w:hAnsi="Times New Roman" w:cs="Times New Roman"/>
                <w:sz w:val="20"/>
                <w:szCs w:val="20"/>
              </w:rPr>
              <w:t>-</w:t>
            </w:r>
          </w:p>
        </w:tc>
        <w:tc>
          <w:tcPr>
            <w:tcW w:w="1122" w:type="dxa"/>
          </w:tcPr>
          <w:p w14:paraId="40248AF3"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r>
      <w:tr w:rsidR="0075395E" w:rsidRPr="00A07F29" w14:paraId="2718A3E7" w14:textId="77777777" w:rsidTr="00B649FD">
        <w:trPr>
          <w:jc w:val="center"/>
        </w:trPr>
        <w:tc>
          <w:tcPr>
            <w:tcW w:w="557" w:type="dxa"/>
          </w:tcPr>
          <w:p w14:paraId="173FCE7B" w14:textId="1760DA77" w:rsidR="002B1603" w:rsidRPr="00A07F29" w:rsidRDefault="006E5D43" w:rsidP="00E67E47">
            <w:pPr>
              <w:spacing w:after="0"/>
              <w:contextualSpacing/>
              <w:rPr>
                <w:rFonts w:ascii="Times New Roman" w:eastAsia="Calibri" w:hAnsi="Times New Roman" w:cs="Times New Roman"/>
                <w:sz w:val="20"/>
                <w:szCs w:val="20"/>
              </w:rPr>
            </w:pPr>
            <w:r w:rsidRPr="00A07F29">
              <w:rPr>
                <w:rFonts w:ascii="Times New Roman" w:eastAsia="Calibri" w:hAnsi="Times New Roman" w:cs="Times New Roman"/>
                <w:sz w:val="20"/>
                <w:szCs w:val="20"/>
              </w:rPr>
              <w:t>14.</w:t>
            </w:r>
          </w:p>
        </w:tc>
        <w:tc>
          <w:tcPr>
            <w:tcW w:w="2410" w:type="dxa"/>
          </w:tcPr>
          <w:p w14:paraId="05E0FFE1" w14:textId="77777777" w:rsidR="002B1603" w:rsidRPr="00A07F29" w:rsidRDefault="002B1603" w:rsidP="0075395E">
            <w:pPr>
              <w:spacing w:after="0"/>
              <w:rPr>
                <w:rFonts w:ascii="Times New Roman" w:eastAsia="Calibri" w:hAnsi="Times New Roman" w:cs="Times New Roman"/>
                <w:spacing w:val="1"/>
                <w:sz w:val="20"/>
                <w:szCs w:val="20"/>
                <w:vertAlign w:val="superscript"/>
              </w:rPr>
            </w:pPr>
            <w:r w:rsidRPr="00A07F29">
              <w:rPr>
                <w:rFonts w:ascii="Times New Roman" w:eastAsia="Calibri" w:hAnsi="Times New Roman" w:cs="Times New Roman"/>
                <w:sz w:val="20"/>
                <w:szCs w:val="20"/>
              </w:rPr>
              <w:t xml:space="preserve">Lielā </w:t>
            </w:r>
            <w:proofErr w:type="spellStart"/>
            <w:r w:rsidRPr="00A07F29">
              <w:rPr>
                <w:rFonts w:ascii="Times New Roman" w:eastAsia="Calibri" w:hAnsi="Times New Roman" w:cs="Times New Roman"/>
                <w:sz w:val="20"/>
                <w:szCs w:val="20"/>
              </w:rPr>
              <w:t>raganzālīte</w:t>
            </w:r>
            <w:proofErr w:type="spellEnd"/>
          </w:p>
        </w:tc>
        <w:tc>
          <w:tcPr>
            <w:tcW w:w="2840" w:type="dxa"/>
          </w:tcPr>
          <w:p w14:paraId="23C5213F" w14:textId="77777777" w:rsidR="002B1603" w:rsidRPr="00A07F29" w:rsidRDefault="002B1603" w:rsidP="0075395E">
            <w:pPr>
              <w:spacing w:after="0"/>
              <w:rPr>
                <w:rFonts w:ascii="Times New Roman" w:eastAsia="Calibri" w:hAnsi="Times New Roman" w:cs="Times New Roman"/>
                <w:i/>
                <w:sz w:val="20"/>
                <w:szCs w:val="20"/>
              </w:rPr>
            </w:pPr>
            <w:proofErr w:type="spellStart"/>
            <w:r w:rsidRPr="00A07F29">
              <w:rPr>
                <w:rFonts w:ascii="Times New Roman" w:eastAsia="Calibri" w:hAnsi="Times New Roman" w:cs="Times New Roman"/>
                <w:i/>
                <w:sz w:val="20"/>
                <w:szCs w:val="20"/>
              </w:rPr>
              <w:t>Circaea</w:t>
            </w:r>
            <w:proofErr w:type="spellEnd"/>
            <w:r w:rsidRPr="00A07F29">
              <w:rPr>
                <w:rFonts w:ascii="Times New Roman" w:eastAsia="Calibri" w:hAnsi="Times New Roman" w:cs="Times New Roman"/>
                <w:i/>
                <w:sz w:val="20"/>
                <w:szCs w:val="20"/>
              </w:rPr>
              <w:t xml:space="preserve"> </w:t>
            </w:r>
            <w:proofErr w:type="spellStart"/>
            <w:r w:rsidRPr="00A07F29">
              <w:rPr>
                <w:rFonts w:ascii="Times New Roman" w:eastAsia="Calibri" w:hAnsi="Times New Roman" w:cs="Times New Roman"/>
                <w:i/>
                <w:sz w:val="20"/>
                <w:szCs w:val="20"/>
              </w:rPr>
              <w:t>lutetiana</w:t>
            </w:r>
            <w:proofErr w:type="spellEnd"/>
          </w:p>
        </w:tc>
        <w:tc>
          <w:tcPr>
            <w:tcW w:w="1134" w:type="dxa"/>
          </w:tcPr>
          <w:p w14:paraId="5C9944CD"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ĪAS</w:t>
            </w:r>
            <w:r w:rsidRPr="00A07F29">
              <w:rPr>
                <w:rFonts w:ascii="Times New Roman" w:eastAsia="Calibri" w:hAnsi="Times New Roman" w:cs="Times New Roman"/>
                <w:sz w:val="20"/>
                <w:szCs w:val="20"/>
                <w:vertAlign w:val="superscript"/>
              </w:rPr>
              <w:t>1</w:t>
            </w:r>
          </w:p>
        </w:tc>
        <w:tc>
          <w:tcPr>
            <w:tcW w:w="709" w:type="dxa"/>
            <w:vAlign w:val="center"/>
          </w:tcPr>
          <w:p w14:paraId="7EF16148"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c>
          <w:tcPr>
            <w:tcW w:w="1128" w:type="dxa"/>
          </w:tcPr>
          <w:p w14:paraId="0D2E0E2E" w14:textId="77777777" w:rsidR="002B1603" w:rsidRPr="00A07F29" w:rsidRDefault="002B1603" w:rsidP="002B1603">
            <w:pPr>
              <w:spacing w:after="0"/>
              <w:jc w:val="center"/>
              <w:rPr>
                <w:rFonts w:ascii="Times New Roman" w:eastAsia="Calibri" w:hAnsi="Times New Roman" w:cs="Times New Roman"/>
                <w:color w:val="000000"/>
                <w:sz w:val="20"/>
                <w:szCs w:val="20"/>
              </w:rPr>
            </w:pPr>
            <w:r w:rsidRPr="00A07F29">
              <w:rPr>
                <w:rFonts w:ascii="Times New Roman" w:eastAsia="Calibri" w:hAnsi="Times New Roman" w:cs="Times New Roman"/>
                <w:sz w:val="20"/>
                <w:szCs w:val="20"/>
              </w:rPr>
              <w:t>-</w:t>
            </w:r>
          </w:p>
        </w:tc>
        <w:tc>
          <w:tcPr>
            <w:tcW w:w="1122" w:type="dxa"/>
          </w:tcPr>
          <w:p w14:paraId="3AE2BA7A"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r>
      <w:tr w:rsidR="0075395E" w:rsidRPr="00A07F29" w14:paraId="49D91C98" w14:textId="77777777" w:rsidTr="00B649FD">
        <w:trPr>
          <w:jc w:val="center"/>
        </w:trPr>
        <w:tc>
          <w:tcPr>
            <w:tcW w:w="557" w:type="dxa"/>
          </w:tcPr>
          <w:p w14:paraId="775496A1" w14:textId="509B7D5D" w:rsidR="002B1603" w:rsidRPr="00A07F29" w:rsidRDefault="006E5D43" w:rsidP="00E67E47">
            <w:pPr>
              <w:spacing w:after="0"/>
              <w:contextualSpacing/>
              <w:rPr>
                <w:rFonts w:ascii="Times New Roman" w:eastAsia="Calibri" w:hAnsi="Times New Roman" w:cs="Times New Roman"/>
                <w:sz w:val="20"/>
                <w:szCs w:val="20"/>
              </w:rPr>
            </w:pPr>
            <w:r w:rsidRPr="00A07F29">
              <w:rPr>
                <w:rFonts w:ascii="Times New Roman" w:eastAsia="Calibri" w:hAnsi="Times New Roman" w:cs="Times New Roman"/>
                <w:sz w:val="20"/>
                <w:szCs w:val="20"/>
              </w:rPr>
              <w:t>15.</w:t>
            </w:r>
          </w:p>
        </w:tc>
        <w:tc>
          <w:tcPr>
            <w:tcW w:w="2410" w:type="dxa"/>
          </w:tcPr>
          <w:p w14:paraId="032383CC" w14:textId="263637DE" w:rsidR="002B1603" w:rsidRPr="00A07F29" w:rsidRDefault="00CF3603" w:rsidP="00CF3603">
            <w:pPr>
              <w:spacing w:after="0"/>
              <w:rPr>
                <w:rFonts w:ascii="Times New Roman" w:eastAsia="Calibri" w:hAnsi="Times New Roman" w:cs="Times New Roman"/>
                <w:sz w:val="20"/>
                <w:szCs w:val="20"/>
              </w:rPr>
            </w:pPr>
            <w:r w:rsidRPr="00A07F29">
              <w:rPr>
                <w:rFonts w:ascii="Times New Roman" w:eastAsia="Calibri" w:hAnsi="Times New Roman" w:cs="Times New Roman"/>
                <w:sz w:val="20"/>
                <w:szCs w:val="20"/>
              </w:rPr>
              <w:t xml:space="preserve">Mānīgā </w:t>
            </w:r>
            <w:r w:rsidR="002B1603" w:rsidRPr="00A07F29">
              <w:rPr>
                <w:rFonts w:ascii="Times New Roman" w:eastAsia="Calibri" w:hAnsi="Times New Roman" w:cs="Times New Roman"/>
                <w:sz w:val="20"/>
                <w:szCs w:val="20"/>
              </w:rPr>
              <w:t>knīdija</w:t>
            </w:r>
            <w:r w:rsidR="002B1603" w:rsidRPr="00A07F29">
              <w:rPr>
                <w:rFonts w:ascii="Times New Roman" w:eastAsia="Calibri" w:hAnsi="Times New Roman" w:cs="Times New Roman"/>
                <w:sz w:val="20"/>
                <w:szCs w:val="20"/>
                <w:vertAlign w:val="superscript"/>
              </w:rPr>
              <w:t>3</w:t>
            </w:r>
          </w:p>
        </w:tc>
        <w:tc>
          <w:tcPr>
            <w:tcW w:w="2840" w:type="dxa"/>
          </w:tcPr>
          <w:p w14:paraId="0483CC68" w14:textId="77777777" w:rsidR="002B1603" w:rsidRPr="00A07F29" w:rsidRDefault="002B1603" w:rsidP="0075395E">
            <w:pPr>
              <w:spacing w:after="0"/>
              <w:rPr>
                <w:rFonts w:ascii="Times New Roman" w:eastAsia="Calibri" w:hAnsi="Times New Roman" w:cs="Times New Roman"/>
                <w:i/>
                <w:sz w:val="20"/>
                <w:szCs w:val="20"/>
              </w:rPr>
            </w:pPr>
            <w:proofErr w:type="spellStart"/>
            <w:r w:rsidRPr="00A07F29">
              <w:rPr>
                <w:rFonts w:ascii="Times New Roman" w:eastAsia="Calibri" w:hAnsi="Times New Roman" w:cs="Times New Roman"/>
                <w:i/>
                <w:sz w:val="20"/>
                <w:szCs w:val="20"/>
              </w:rPr>
              <w:t>Cnidium</w:t>
            </w:r>
            <w:proofErr w:type="spellEnd"/>
            <w:r w:rsidRPr="00A07F29">
              <w:rPr>
                <w:rFonts w:ascii="Times New Roman" w:eastAsia="Calibri" w:hAnsi="Times New Roman" w:cs="Times New Roman"/>
                <w:i/>
                <w:sz w:val="20"/>
                <w:szCs w:val="20"/>
              </w:rPr>
              <w:t xml:space="preserve"> </w:t>
            </w:r>
            <w:proofErr w:type="spellStart"/>
            <w:r w:rsidRPr="00A07F29">
              <w:rPr>
                <w:rFonts w:ascii="Times New Roman" w:eastAsia="Calibri" w:hAnsi="Times New Roman" w:cs="Times New Roman"/>
                <w:i/>
                <w:sz w:val="20"/>
                <w:szCs w:val="20"/>
              </w:rPr>
              <w:t>dubium</w:t>
            </w:r>
            <w:proofErr w:type="spellEnd"/>
          </w:p>
        </w:tc>
        <w:tc>
          <w:tcPr>
            <w:tcW w:w="1134" w:type="dxa"/>
          </w:tcPr>
          <w:p w14:paraId="4F45541A"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ĪAS</w:t>
            </w:r>
            <w:r w:rsidRPr="00A07F29">
              <w:rPr>
                <w:rFonts w:ascii="Times New Roman" w:eastAsia="Calibri" w:hAnsi="Times New Roman" w:cs="Times New Roman"/>
                <w:sz w:val="20"/>
                <w:szCs w:val="20"/>
                <w:vertAlign w:val="superscript"/>
              </w:rPr>
              <w:t>1</w:t>
            </w:r>
          </w:p>
        </w:tc>
        <w:tc>
          <w:tcPr>
            <w:tcW w:w="709" w:type="dxa"/>
            <w:vAlign w:val="center"/>
          </w:tcPr>
          <w:p w14:paraId="31B83B42"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c>
          <w:tcPr>
            <w:tcW w:w="1128" w:type="dxa"/>
          </w:tcPr>
          <w:p w14:paraId="03C62B05" w14:textId="77777777" w:rsidR="002B1603" w:rsidRPr="00A07F29" w:rsidRDefault="002B1603" w:rsidP="002B1603">
            <w:pPr>
              <w:spacing w:after="0"/>
              <w:jc w:val="center"/>
              <w:rPr>
                <w:rFonts w:ascii="Times New Roman" w:eastAsia="Calibri" w:hAnsi="Times New Roman" w:cs="Times New Roman"/>
                <w:color w:val="000000"/>
                <w:sz w:val="20"/>
                <w:szCs w:val="20"/>
              </w:rPr>
            </w:pPr>
            <w:r w:rsidRPr="00A07F29">
              <w:rPr>
                <w:rFonts w:ascii="Times New Roman" w:eastAsia="Calibri" w:hAnsi="Times New Roman" w:cs="Times New Roman"/>
                <w:sz w:val="20"/>
                <w:szCs w:val="20"/>
              </w:rPr>
              <w:t>-</w:t>
            </w:r>
          </w:p>
        </w:tc>
        <w:tc>
          <w:tcPr>
            <w:tcW w:w="1122" w:type="dxa"/>
          </w:tcPr>
          <w:p w14:paraId="646D22B3"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r>
      <w:tr w:rsidR="0075395E" w:rsidRPr="00A07F29" w14:paraId="68FF6626" w14:textId="77777777" w:rsidTr="00B649FD">
        <w:trPr>
          <w:jc w:val="center"/>
        </w:trPr>
        <w:tc>
          <w:tcPr>
            <w:tcW w:w="557" w:type="dxa"/>
          </w:tcPr>
          <w:p w14:paraId="292ADED1" w14:textId="2FE0719A" w:rsidR="002B1603" w:rsidRPr="00A07F29" w:rsidRDefault="006E5D43" w:rsidP="00E67E47">
            <w:pPr>
              <w:spacing w:after="0"/>
              <w:contextualSpacing/>
              <w:rPr>
                <w:rFonts w:ascii="Times New Roman" w:eastAsia="Calibri" w:hAnsi="Times New Roman" w:cs="Times New Roman"/>
                <w:sz w:val="20"/>
                <w:szCs w:val="20"/>
              </w:rPr>
            </w:pPr>
            <w:r w:rsidRPr="00A07F29">
              <w:rPr>
                <w:rFonts w:ascii="Times New Roman" w:eastAsia="Calibri" w:hAnsi="Times New Roman" w:cs="Times New Roman"/>
                <w:sz w:val="20"/>
                <w:szCs w:val="20"/>
              </w:rPr>
              <w:t>16.</w:t>
            </w:r>
          </w:p>
        </w:tc>
        <w:tc>
          <w:tcPr>
            <w:tcW w:w="2410" w:type="dxa"/>
          </w:tcPr>
          <w:p w14:paraId="6CB2CB78" w14:textId="77777777" w:rsidR="002B1603" w:rsidRPr="00A07F29" w:rsidRDefault="002B1603" w:rsidP="0075395E">
            <w:pPr>
              <w:spacing w:after="0"/>
              <w:rPr>
                <w:rFonts w:ascii="Times New Roman" w:eastAsia="Calibri" w:hAnsi="Times New Roman" w:cs="Times New Roman"/>
                <w:sz w:val="20"/>
                <w:szCs w:val="20"/>
              </w:rPr>
            </w:pPr>
            <w:proofErr w:type="spellStart"/>
            <w:r w:rsidRPr="00A07F29">
              <w:rPr>
                <w:rFonts w:ascii="Times New Roman" w:eastAsia="Calibri" w:hAnsi="Times New Roman" w:cs="Times New Roman"/>
                <w:sz w:val="20"/>
                <w:szCs w:val="20"/>
              </w:rPr>
              <w:t>Trejdaivu</w:t>
            </w:r>
            <w:proofErr w:type="spellEnd"/>
            <w:r w:rsidRPr="00A07F29">
              <w:rPr>
                <w:rFonts w:ascii="Times New Roman" w:eastAsia="Calibri" w:hAnsi="Times New Roman" w:cs="Times New Roman"/>
                <w:sz w:val="20"/>
                <w:szCs w:val="20"/>
              </w:rPr>
              <w:t xml:space="preserve"> </w:t>
            </w:r>
            <w:proofErr w:type="spellStart"/>
            <w:r w:rsidRPr="00A07F29">
              <w:rPr>
                <w:rFonts w:ascii="Times New Roman" w:eastAsia="Calibri" w:hAnsi="Times New Roman" w:cs="Times New Roman"/>
                <w:sz w:val="20"/>
                <w:szCs w:val="20"/>
              </w:rPr>
              <w:t>koraļļsakne</w:t>
            </w:r>
            <w:proofErr w:type="spellEnd"/>
          </w:p>
        </w:tc>
        <w:tc>
          <w:tcPr>
            <w:tcW w:w="2840" w:type="dxa"/>
          </w:tcPr>
          <w:p w14:paraId="2234A8BE" w14:textId="77777777" w:rsidR="002B1603" w:rsidRPr="00A07F29" w:rsidRDefault="002B1603" w:rsidP="0075395E">
            <w:pPr>
              <w:spacing w:after="0"/>
              <w:rPr>
                <w:rFonts w:ascii="Times New Roman" w:eastAsia="Calibri" w:hAnsi="Times New Roman" w:cs="Times New Roman"/>
                <w:i/>
                <w:sz w:val="20"/>
                <w:szCs w:val="20"/>
              </w:rPr>
            </w:pPr>
            <w:proofErr w:type="spellStart"/>
            <w:r w:rsidRPr="00A07F29">
              <w:rPr>
                <w:rFonts w:ascii="Times New Roman" w:eastAsia="Calibri" w:hAnsi="Times New Roman" w:cs="Times New Roman"/>
                <w:i/>
                <w:sz w:val="20"/>
                <w:szCs w:val="20"/>
              </w:rPr>
              <w:t>Corallorhiza</w:t>
            </w:r>
            <w:proofErr w:type="spellEnd"/>
            <w:r w:rsidRPr="00A07F29">
              <w:rPr>
                <w:rFonts w:ascii="Times New Roman" w:eastAsia="Calibri" w:hAnsi="Times New Roman" w:cs="Times New Roman"/>
                <w:i/>
                <w:sz w:val="20"/>
                <w:szCs w:val="20"/>
              </w:rPr>
              <w:t xml:space="preserve"> </w:t>
            </w:r>
            <w:proofErr w:type="spellStart"/>
            <w:r w:rsidRPr="00A07F29">
              <w:rPr>
                <w:rFonts w:ascii="Times New Roman" w:eastAsia="Calibri" w:hAnsi="Times New Roman" w:cs="Times New Roman"/>
                <w:i/>
                <w:sz w:val="20"/>
                <w:szCs w:val="20"/>
              </w:rPr>
              <w:t>trifida</w:t>
            </w:r>
            <w:proofErr w:type="spellEnd"/>
          </w:p>
        </w:tc>
        <w:tc>
          <w:tcPr>
            <w:tcW w:w="1134" w:type="dxa"/>
          </w:tcPr>
          <w:p w14:paraId="593A3519"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ĪAS</w:t>
            </w:r>
            <w:r w:rsidRPr="00A07F29">
              <w:rPr>
                <w:rFonts w:ascii="Times New Roman" w:eastAsia="Calibri" w:hAnsi="Times New Roman" w:cs="Times New Roman"/>
                <w:sz w:val="20"/>
                <w:szCs w:val="20"/>
                <w:vertAlign w:val="superscript"/>
              </w:rPr>
              <w:t>1</w:t>
            </w:r>
          </w:p>
        </w:tc>
        <w:tc>
          <w:tcPr>
            <w:tcW w:w="709" w:type="dxa"/>
            <w:vAlign w:val="center"/>
          </w:tcPr>
          <w:p w14:paraId="2913E324"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c>
          <w:tcPr>
            <w:tcW w:w="1128" w:type="dxa"/>
          </w:tcPr>
          <w:p w14:paraId="7AFD947F" w14:textId="77777777" w:rsidR="002B1603" w:rsidRPr="00A07F29" w:rsidRDefault="002B1603" w:rsidP="002B1603">
            <w:pPr>
              <w:spacing w:after="0"/>
              <w:jc w:val="center"/>
              <w:rPr>
                <w:rFonts w:ascii="Times New Roman" w:eastAsia="Calibri" w:hAnsi="Times New Roman" w:cs="Times New Roman"/>
                <w:color w:val="000000"/>
                <w:sz w:val="20"/>
                <w:szCs w:val="20"/>
              </w:rPr>
            </w:pPr>
            <w:r w:rsidRPr="00A07F29">
              <w:rPr>
                <w:rFonts w:ascii="Times New Roman" w:eastAsia="Calibri" w:hAnsi="Times New Roman" w:cs="Times New Roman"/>
                <w:color w:val="000000"/>
                <w:sz w:val="20"/>
                <w:szCs w:val="20"/>
              </w:rPr>
              <w:t>-</w:t>
            </w:r>
          </w:p>
        </w:tc>
        <w:tc>
          <w:tcPr>
            <w:tcW w:w="1122" w:type="dxa"/>
          </w:tcPr>
          <w:p w14:paraId="6D36C3B8"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r>
      <w:tr w:rsidR="0075395E" w:rsidRPr="00A07F29" w14:paraId="22839569" w14:textId="77777777" w:rsidTr="00B649FD">
        <w:trPr>
          <w:jc w:val="center"/>
        </w:trPr>
        <w:tc>
          <w:tcPr>
            <w:tcW w:w="557" w:type="dxa"/>
          </w:tcPr>
          <w:p w14:paraId="28FEA6D5" w14:textId="3043F56D" w:rsidR="002B1603" w:rsidRPr="00A07F29" w:rsidRDefault="006E5D43" w:rsidP="00E67E47">
            <w:pPr>
              <w:spacing w:after="0"/>
              <w:contextualSpacing/>
              <w:rPr>
                <w:rFonts w:ascii="Times New Roman" w:eastAsia="Calibri" w:hAnsi="Times New Roman" w:cs="Times New Roman"/>
                <w:sz w:val="20"/>
                <w:szCs w:val="20"/>
              </w:rPr>
            </w:pPr>
            <w:r w:rsidRPr="00A07F29">
              <w:rPr>
                <w:rFonts w:ascii="Times New Roman" w:eastAsia="Calibri" w:hAnsi="Times New Roman" w:cs="Times New Roman"/>
                <w:sz w:val="20"/>
                <w:szCs w:val="20"/>
              </w:rPr>
              <w:t>17.</w:t>
            </w:r>
          </w:p>
        </w:tc>
        <w:tc>
          <w:tcPr>
            <w:tcW w:w="2410" w:type="dxa"/>
          </w:tcPr>
          <w:p w14:paraId="4C5309DA" w14:textId="77777777" w:rsidR="002B1603" w:rsidRPr="00A07F29" w:rsidRDefault="002B1603" w:rsidP="0075395E">
            <w:pPr>
              <w:spacing w:after="0"/>
              <w:rPr>
                <w:rFonts w:ascii="Times New Roman" w:eastAsia="Calibri" w:hAnsi="Times New Roman" w:cs="Times New Roman"/>
                <w:spacing w:val="1"/>
                <w:sz w:val="20"/>
                <w:szCs w:val="20"/>
              </w:rPr>
            </w:pPr>
            <w:r w:rsidRPr="00A07F29">
              <w:rPr>
                <w:rFonts w:ascii="Times New Roman" w:eastAsia="Calibri" w:hAnsi="Times New Roman" w:cs="Times New Roman"/>
                <w:sz w:val="20"/>
                <w:szCs w:val="20"/>
              </w:rPr>
              <w:t>Krūmu cietpiene</w:t>
            </w:r>
            <w:r w:rsidRPr="00A07F29">
              <w:rPr>
                <w:rFonts w:ascii="Times New Roman" w:eastAsia="Calibri" w:hAnsi="Times New Roman" w:cs="Times New Roman"/>
                <w:sz w:val="20"/>
                <w:szCs w:val="20"/>
                <w:vertAlign w:val="superscript"/>
              </w:rPr>
              <w:t>1</w:t>
            </w:r>
          </w:p>
        </w:tc>
        <w:tc>
          <w:tcPr>
            <w:tcW w:w="2840" w:type="dxa"/>
          </w:tcPr>
          <w:p w14:paraId="28ADCD2F" w14:textId="77777777" w:rsidR="002B1603" w:rsidRPr="00A07F29" w:rsidRDefault="002B1603" w:rsidP="0075395E">
            <w:pPr>
              <w:spacing w:after="0"/>
              <w:rPr>
                <w:rFonts w:ascii="Times New Roman" w:eastAsia="Calibri" w:hAnsi="Times New Roman" w:cs="Times New Roman"/>
                <w:i/>
                <w:sz w:val="20"/>
                <w:szCs w:val="20"/>
              </w:rPr>
            </w:pPr>
            <w:proofErr w:type="spellStart"/>
            <w:r w:rsidRPr="00A07F29">
              <w:rPr>
                <w:rFonts w:ascii="Times New Roman" w:eastAsia="Calibri" w:hAnsi="Times New Roman" w:cs="Times New Roman"/>
                <w:i/>
                <w:sz w:val="20"/>
                <w:szCs w:val="20"/>
              </w:rPr>
              <w:t>Crepis</w:t>
            </w:r>
            <w:proofErr w:type="spellEnd"/>
            <w:r w:rsidRPr="00A07F29">
              <w:rPr>
                <w:rFonts w:ascii="Times New Roman" w:eastAsia="Calibri" w:hAnsi="Times New Roman" w:cs="Times New Roman"/>
                <w:i/>
                <w:sz w:val="20"/>
                <w:szCs w:val="20"/>
              </w:rPr>
              <w:t xml:space="preserve"> </w:t>
            </w:r>
            <w:proofErr w:type="spellStart"/>
            <w:r w:rsidRPr="00A07F29">
              <w:rPr>
                <w:rFonts w:ascii="Times New Roman" w:eastAsia="Calibri" w:hAnsi="Times New Roman" w:cs="Times New Roman"/>
                <w:i/>
                <w:sz w:val="20"/>
                <w:szCs w:val="20"/>
              </w:rPr>
              <w:t>praemorsa</w:t>
            </w:r>
            <w:proofErr w:type="spellEnd"/>
          </w:p>
        </w:tc>
        <w:tc>
          <w:tcPr>
            <w:tcW w:w="1134" w:type="dxa"/>
          </w:tcPr>
          <w:p w14:paraId="2EA54783"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ĪAS</w:t>
            </w:r>
            <w:r w:rsidRPr="00A07F29">
              <w:rPr>
                <w:rFonts w:ascii="Times New Roman" w:eastAsia="Calibri" w:hAnsi="Times New Roman" w:cs="Times New Roman"/>
                <w:sz w:val="20"/>
                <w:szCs w:val="20"/>
                <w:vertAlign w:val="superscript"/>
              </w:rPr>
              <w:t>1</w:t>
            </w:r>
          </w:p>
        </w:tc>
        <w:tc>
          <w:tcPr>
            <w:tcW w:w="709" w:type="dxa"/>
            <w:vAlign w:val="center"/>
          </w:tcPr>
          <w:p w14:paraId="15B5325A"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c>
          <w:tcPr>
            <w:tcW w:w="1128" w:type="dxa"/>
          </w:tcPr>
          <w:p w14:paraId="63595E4A" w14:textId="77777777" w:rsidR="002B1603" w:rsidRPr="00A07F29" w:rsidRDefault="002B1603" w:rsidP="002B1603">
            <w:pPr>
              <w:spacing w:after="0"/>
              <w:jc w:val="center"/>
              <w:rPr>
                <w:rFonts w:ascii="Times New Roman" w:eastAsia="Calibri" w:hAnsi="Times New Roman" w:cs="Times New Roman"/>
                <w:color w:val="000000"/>
                <w:sz w:val="20"/>
                <w:szCs w:val="20"/>
              </w:rPr>
            </w:pPr>
            <w:r w:rsidRPr="00A07F29">
              <w:rPr>
                <w:rFonts w:ascii="Times New Roman" w:eastAsia="Calibri" w:hAnsi="Times New Roman" w:cs="Times New Roman"/>
                <w:sz w:val="20"/>
                <w:szCs w:val="20"/>
              </w:rPr>
              <w:t>-</w:t>
            </w:r>
          </w:p>
        </w:tc>
        <w:tc>
          <w:tcPr>
            <w:tcW w:w="1122" w:type="dxa"/>
          </w:tcPr>
          <w:p w14:paraId="7683348A"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r>
      <w:tr w:rsidR="0075395E" w:rsidRPr="00A07F29" w14:paraId="57092A38" w14:textId="77777777" w:rsidTr="00B649FD">
        <w:trPr>
          <w:jc w:val="center"/>
        </w:trPr>
        <w:tc>
          <w:tcPr>
            <w:tcW w:w="557" w:type="dxa"/>
          </w:tcPr>
          <w:p w14:paraId="2D07999D" w14:textId="05FD3B7B" w:rsidR="002B1603" w:rsidRPr="00A07F29" w:rsidRDefault="006E5D43" w:rsidP="00E67E47">
            <w:pPr>
              <w:spacing w:after="0"/>
              <w:contextualSpacing/>
              <w:rPr>
                <w:rFonts w:ascii="Times New Roman" w:eastAsia="Calibri" w:hAnsi="Times New Roman" w:cs="Times New Roman"/>
                <w:sz w:val="20"/>
                <w:szCs w:val="20"/>
              </w:rPr>
            </w:pPr>
            <w:r w:rsidRPr="00A07F29">
              <w:rPr>
                <w:rFonts w:ascii="Times New Roman" w:eastAsia="Calibri" w:hAnsi="Times New Roman" w:cs="Times New Roman"/>
                <w:sz w:val="20"/>
                <w:szCs w:val="20"/>
              </w:rPr>
              <w:t>18.</w:t>
            </w:r>
          </w:p>
        </w:tc>
        <w:tc>
          <w:tcPr>
            <w:tcW w:w="2410" w:type="dxa"/>
          </w:tcPr>
          <w:p w14:paraId="179CE5EB" w14:textId="77777777" w:rsidR="002B1603" w:rsidRPr="00A07F29" w:rsidRDefault="002B1603" w:rsidP="0075395E">
            <w:pPr>
              <w:spacing w:after="0"/>
              <w:rPr>
                <w:rFonts w:ascii="Times New Roman" w:eastAsia="Calibri" w:hAnsi="Times New Roman" w:cs="Times New Roman"/>
                <w:sz w:val="20"/>
                <w:szCs w:val="20"/>
              </w:rPr>
            </w:pPr>
            <w:r w:rsidRPr="00A07F29">
              <w:rPr>
                <w:rFonts w:ascii="Times New Roman" w:eastAsia="Calibri" w:hAnsi="Times New Roman" w:cs="Times New Roman"/>
                <w:sz w:val="20"/>
                <w:szCs w:val="20"/>
              </w:rPr>
              <w:t xml:space="preserve">Brūnais </w:t>
            </w:r>
            <w:proofErr w:type="spellStart"/>
            <w:r w:rsidRPr="00A07F29">
              <w:rPr>
                <w:rFonts w:ascii="Times New Roman" w:eastAsia="Calibri" w:hAnsi="Times New Roman" w:cs="Times New Roman"/>
                <w:sz w:val="20"/>
                <w:szCs w:val="20"/>
              </w:rPr>
              <w:t>dižmeldrs</w:t>
            </w:r>
            <w:proofErr w:type="spellEnd"/>
          </w:p>
        </w:tc>
        <w:tc>
          <w:tcPr>
            <w:tcW w:w="2840" w:type="dxa"/>
          </w:tcPr>
          <w:p w14:paraId="792D1F97" w14:textId="77777777" w:rsidR="002B1603" w:rsidRPr="00A07F29" w:rsidRDefault="002B1603" w:rsidP="0075395E">
            <w:pPr>
              <w:spacing w:after="0"/>
              <w:rPr>
                <w:rFonts w:ascii="Times New Roman" w:eastAsia="Calibri" w:hAnsi="Times New Roman" w:cs="Times New Roman"/>
                <w:i/>
                <w:sz w:val="20"/>
                <w:szCs w:val="20"/>
              </w:rPr>
            </w:pPr>
            <w:proofErr w:type="spellStart"/>
            <w:r w:rsidRPr="00A07F29">
              <w:rPr>
                <w:rFonts w:ascii="Times New Roman" w:eastAsia="Calibri" w:hAnsi="Times New Roman" w:cs="Times New Roman"/>
                <w:i/>
                <w:sz w:val="20"/>
                <w:szCs w:val="20"/>
              </w:rPr>
              <w:t>Cyperus</w:t>
            </w:r>
            <w:proofErr w:type="spellEnd"/>
            <w:r w:rsidRPr="00A07F29">
              <w:rPr>
                <w:rFonts w:ascii="Times New Roman" w:eastAsia="Calibri" w:hAnsi="Times New Roman" w:cs="Times New Roman"/>
                <w:i/>
                <w:sz w:val="20"/>
                <w:szCs w:val="20"/>
              </w:rPr>
              <w:t xml:space="preserve"> </w:t>
            </w:r>
            <w:proofErr w:type="spellStart"/>
            <w:r w:rsidRPr="00A07F29">
              <w:rPr>
                <w:rFonts w:ascii="Times New Roman" w:eastAsia="Calibri" w:hAnsi="Times New Roman" w:cs="Times New Roman"/>
                <w:i/>
                <w:sz w:val="20"/>
                <w:szCs w:val="20"/>
              </w:rPr>
              <w:t>fuscus</w:t>
            </w:r>
            <w:proofErr w:type="spellEnd"/>
          </w:p>
        </w:tc>
        <w:tc>
          <w:tcPr>
            <w:tcW w:w="1134" w:type="dxa"/>
          </w:tcPr>
          <w:p w14:paraId="5321DF09"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ĪAS</w:t>
            </w:r>
            <w:r w:rsidRPr="00A07F29">
              <w:rPr>
                <w:rFonts w:ascii="Times New Roman" w:eastAsia="Calibri" w:hAnsi="Times New Roman" w:cs="Times New Roman"/>
                <w:sz w:val="20"/>
                <w:szCs w:val="20"/>
                <w:vertAlign w:val="superscript"/>
              </w:rPr>
              <w:t>1</w:t>
            </w:r>
          </w:p>
        </w:tc>
        <w:tc>
          <w:tcPr>
            <w:tcW w:w="709" w:type="dxa"/>
            <w:vAlign w:val="center"/>
          </w:tcPr>
          <w:p w14:paraId="55764DC9"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c>
          <w:tcPr>
            <w:tcW w:w="1128" w:type="dxa"/>
          </w:tcPr>
          <w:p w14:paraId="3692F8FA" w14:textId="77777777" w:rsidR="002B1603" w:rsidRPr="00A07F29" w:rsidRDefault="002B1603" w:rsidP="002B1603">
            <w:pPr>
              <w:spacing w:after="0"/>
              <w:jc w:val="center"/>
              <w:rPr>
                <w:rFonts w:ascii="Times New Roman" w:eastAsia="Calibri" w:hAnsi="Times New Roman" w:cs="Times New Roman"/>
                <w:color w:val="000000"/>
                <w:sz w:val="20"/>
                <w:szCs w:val="20"/>
              </w:rPr>
            </w:pPr>
            <w:r w:rsidRPr="00A07F29">
              <w:rPr>
                <w:rFonts w:ascii="Times New Roman" w:eastAsia="Calibri" w:hAnsi="Times New Roman" w:cs="Times New Roman"/>
                <w:color w:val="000000"/>
                <w:sz w:val="20"/>
                <w:szCs w:val="20"/>
              </w:rPr>
              <w:t>-</w:t>
            </w:r>
          </w:p>
        </w:tc>
        <w:tc>
          <w:tcPr>
            <w:tcW w:w="1122" w:type="dxa"/>
          </w:tcPr>
          <w:p w14:paraId="3F666A4F"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r>
      <w:tr w:rsidR="0075395E" w:rsidRPr="00A07F29" w14:paraId="64BE54CA" w14:textId="77777777" w:rsidTr="00B649FD">
        <w:trPr>
          <w:jc w:val="center"/>
        </w:trPr>
        <w:tc>
          <w:tcPr>
            <w:tcW w:w="557" w:type="dxa"/>
          </w:tcPr>
          <w:p w14:paraId="15A5982A" w14:textId="76833DE7" w:rsidR="002B1603" w:rsidRPr="00A07F29" w:rsidRDefault="006E5D43" w:rsidP="00E67E47">
            <w:pPr>
              <w:spacing w:after="0"/>
              <w:contextualSpacing/>
              <w:rPr>
                <w:rFonts w:ascii="Times New Roman" w:eastAsia="Calibri" w:hAnsi="Times New Roman" w:cs="Times New Roman"/>
                <w:sz w:val="20"/>
                <w:szCs w:val="20"/>
              </w:rPr>
            </w:pPr>
            <w:r w:rsidRPr="00A07F29">
              <w:rPr>
                <w:rFonts w:ascii="Times New Roman" w:eastAsia="Calibri" w:hAnsi="Times New Roman" w:cs="Times New Roman"/>
                <w:sz w:val="20"/>
                <w:szCs w:val="20"/>
              </w:rPr>
              <w:t>19.</w:t>
            </w:r>
          </w:p>
        </w:tc>
        <w:tc>
          <w:tcPr>
            <w:tcW w:w="2410" w:type="dxa"/>
          </w:tcPr>
          <w:p w14:paraId="0CCB335D" w14:textId="77777777" w:rsidR="002B1603" w:rsidRPr="00A07F29" w:rsidRDefault="002B1603" w:rsidP="0075395E">
            <w:pPr>
              <w:spacing w:after="0"/>
              <w:rPr>
                <w:rFonts w:ascii="Times New Roman" w:eastAsia="Calibri" w:hAnsi="Times New Roman" w:cs="Times New Roman"/>
                <w:sz w:val="20"/>
                <w:szCs w:val="20"/>
              </w:rPr>
            </w:pPr>
            <w:r w:rsidRPr="00A07F29">
              <w:rPr>
                <w:rFonts w:ascii="Times New Roman" w:eastAsia="Calibri" w:hAnsi="Times New Roman" w:cs="Times New Roman"/>
                <w:sz w:val="20"/>
                <w:szCs w:val="20"/>
              </w:rPr>
              <w:t xml:space="preserve">Baltijas </w:t>
            </w:r>
            <w:proofErr w:type="spellStart"/>
            <w:r w:rsidRPr="00A07F29">
              <w:rPr>
                <w:rFonts w:ascii="Times New Roman" w:eastAsia="Calibri" w:hAnsi="Times New Roman" w:cs="Times New Roman"/>
                <w:sz w:val="20"/>
                <w:szCs w:val="20"/>
              </w:rPr>
              <w:t>dzegužpirkstīte</w:t>
            </w:r>
            <w:proofErr w:type="spellEnd"/>
          </w:p>
        </w:tc>
        <w:tc>
          <w:tcPr>
            <w:tcW w:w="2840" w:type="dxa"/>
          </w:tcPr>
          <w:p w14:paraId="08AEB568" w14:textId="53A27764" w:rsidR="002B1603" w:rsidRPr="00A07F29" w:rsidRDefault="002B1603" w:rsidP="0075395E">
            <w:pPr>
              <w:spacing w:after="0"/>
              <w:rPr>
                <w:rFonts w:ascii="Times New Roman" w:eastAsia="Calibri" w:hAnsi="Times New Roman" w:cs="Times New Roman"/>
                <w:i/>
                <w:sz w:val="20"/>
                <w:szCs w:val="20"/>
              </w:rPr>
            </w:pPr>
            <w:proofErr w:type="spellStart"/>
            <w:r w:rsidRPr="00A07F29">
              <w:rPr>
                <w:rFonts w:ascii="Times New Roman" w:eastAsia="Calibri" w:hAnsi="Times New Roman" w:cs="Times New Roman"/>
                <w:i/>
                <w:sz w:val="20"/>
                <w:szCs w:val="20"/>
              </w:rPr>
              <w:t>Dactylorhiza</w:t>
            </w:r>
            <w:proofErr w:type="spellEnd"/>
            <w:r w:rsidR="00F200AD" w:rsidRPr="00A07F29">
              <w:rPr>
                <w:rFonts w:ascii="Times New Roman" w:eastAsia="Calibri" w:hAnsi="Times New Roman" w:cs="Times New Roman"/>
                <w:i/>
                <w:sz w:val="20"/>
                <w:szCs w:val="20"/>
              </w:rPr>
              <w:t xml:space="preserve"> </w:t>
            </w:r>
            <w:proofErr w:type="spellStart"/>
            <w:r w:rsidRPr="00A07F29">
              <w:rPr>
                <w:rFonts w:ascii="Times New Roman" w:eastAsia="Calibri" w:hAnsi="Times New Roman" w:cs="Times New Roman"/>
                <w:i/>
                <w:sz w:val="20"/>
                <w:szCs w:val="20"/>
              </w:rPr>
              <w:t>baltica</w:t>
            </w:r>
            <w:proofErr w:type="spellEnd"/>
          </w:p>
        </w:tc>
        <w:tc>
          <w:tcPr>
            <w:tcW w:w="1134" w:type="dxa"/>
          </w:tcPr>
          <w:p w14:paraId="31721426"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ĪAS</w:t>
            </w:r>
          </w:p>
        </w:tc>
        <w:tc>
          <w:tcPr>
            <w:tcW w:w="709" w:type="dxa"/>
            <w:vAlign w:val="center"/>
          </w:tcPr>
          <w:p w14:paraId="007BC695"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c>
          <w:tcPr>
            <w:tcW w:w="1128" w:type="dxa"/>
          </w:tcPr>
          <w:p w14:paraId="277DEE43" w14:textId="77777777" w:rsidR="002B1603" w:rsidRPr="00A07F29" w:rsidRDefault="002B1603" w:rsidP="002B1603">
            <w:pPr>
              <w:spacing w:after="0"/>
              <w:jc w:val="center"/>
              <w:rPr>
                <w:rFonts w:ascii="Times New Roman" w:eastAsia="Calibri" w:hAnsi="Times New Roman" w:cs="Times New Roman"/>
                <w:color w:val="000000"/>
                <w:sz w:val="20"/>
                <w:szCs w:val="20"/>
              </w:rPr>
            </w:pPr>
            <w:r w:rsidRPr="00A07F29">
              <w:rPr>
                <w:rFonts w:ascii="Times New Roman" w:eastAsia="Calibri" w:hAnsi="Times New Roman" w:cs="Times New Roman"/>
                <w:sz w:val="20"/>
                <w:szCs w:val="20"/>
              </w:rPr>
              <w:t>-</w:t>
            </w:r>
          </w:p>
        </w:tc>
        <w:tc>
          <w:tcPr>
            <w:tcW w:w="1122" w:type="dxa"/>
          </w:tcPr>
          <w:p w14:paraId="252A59A8"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r>
      <w:tr w:rsidR="0075395E" w:rsidRPr="00A07F29" w14:paraId="2DC50583" w14:textId="77777777" w:rsidTr="00B649FD">
        <w:trPr>
          <w:jc w:val="center"/>
        </w:trPr>
        <w:tc>
          <w:tcPr>
            <w:tcW w:w="557" w:type="dxa"/>
          </w:tcPr>
          <w:p w14:paraId="74C7A7E7" w14:textId="39E34337" w:rsidR="002B1603" w:rsidRPr="00A07F29" w:rsidRDefault="006E5D43" w:rsidP="00E67E47">
            <w:pPr>
              <w:spacing w:after="0"/>
              <w:contextualSpacing/>
              <w:rPr>
                <w:rFonts w:ascii="Times New Roman" w:eastAsia="Calibri" w:hAnsi="Times New Roman" w:cs="Times New Roman"/>
                <w:sz w:val="20"/>
                <w:szCs w:val="20"/>
              </w:rPr>
            </w:pPr>
            <w:r w:rsidRPr="00A07F29">
              <w:rPr>
                <w:rFonts w:ascii="Times New Roman" w:eastAsia="Calibri" w:hAnsi="Times New Roman" w:cs="Times New Roman"/>
                <w:sz w:val="20"/>
                <w:szCs w:val="20"/>
              </w:rPr>
              <w:t>20.</w:t>
            </w:r>
          </w:p>
        </w:tc>
        <w:tc>
          <w:tcPr>
            <w:tcW w:w="2410" w:type="dxa"/>
          </w:tcPr>
          <w:p w14:paraId="2A813B43" w14:textId="77777777" w:rsidR="002B1603" w:rsidRPr="00A07F29" w:rsidRDefault="002B1603" w:rsidP="0075395E">
            <w:pPr>
              <w:spacing w:after="0"/>
              <w:rPr>
                <w:rFonts w:ascii="Times New Roman" w:eastAsia="Calibri" w:hAnsi="Times New Roman" w:cs="Times New Roman"/>
                <w:sz w:val="20"/>
                <w:szCs w:val="20"/>
              </w:rPr>
            </w:pPr>
            <w:proofErr w:type="spellStart"/>
            <w:r w:rsidRPr="00A07F29">
              <w:rPr>
                <w:rFonts w:ascii="Times New Roman" w:eastAsia="Calibri" w:hAnsi="Times New Roman" w:cs="Times New Roman"/>
                <w:sz w:val="20"/>
                <w:szCs w:val="20"/>
              </w:rPr>
              <w:t>Fuksa</w:t>
            </w:r>
            <w:proofErr w:type="spellEnd"/>
            <w:r w:rsidRPr="00A07F29">
              <w:rPr>
                <w:rFonts w:ascii="Times New Roman" w:eastAsia="Calibri" w:hAnsi="Times New Roman" w:cs="Times New Roman"/>
                <w:sz w:val="20"/>
                <w:szCs w:val="20"/>
              </w:rPr>
              <w:t xml:space="preserve"> </w:t>
            </w:r>
            <w:proofErr w:type="spellStart"/>
            <w:r w:rsidRPr="00A07F29">
              <w:rPr>
                <w:rFonts w:ascii="Times New Roman" w:eastAsia="Calibri" w:hAnsi="Times New Roman" w:cs="Times New Roman"/>
                <w:sz w:val="20"/>
                <w:szCs w:val="20"/>
              </w:rPr>
              <w:t>dzegužpirkstīte</w:t>
            </w:r>
            <w:proofErr w:type="spellEnd"/>
          </w:p>
        </w:tc>
        <w:tc>
          <w:tcPr>
            <w:tcW w:w="2840" w:type="dxa"/>
          </w:tcPr>
          <w:p w14:paraId="3ACB3402" w14:textId="77777777" w:rsidR="002B1603" w:rsidRPr="00A07F29" w:rsidRDefault="002B1603" w:rsidP="0075395E">
            <w:pPr>
              <w:spacing w:after="0"/>
              <w:rPr>
                <w:rFonts w:ascii="Times New Roman" w:eastAsia="Calibri" w:hAnsi="Times New Roman" w:cs="Times New Roman"/>
                <w:i/>
                <w:sz w:val="20"/>
                <w:szCs w:val="20"/>
              </w:rPr>
            </w:pPr>
            <w:proofErr w:type="spellStart"/>
            <w:r w:rsidRPr="00A07F29">
              <w:rPr>
                <w:rFonts w:ascii="Times New Roman" w:eastAsia="Calibri" w:hAnsi="Times New Roman" w:cs="Times New Roman"/>
                <w:i/>
                <w:sz w:val="20"/>
                <w:szCs w:val="20"/>
              </w:rPr>
              <w:t>Dactylorhiza</w:t>
            </w:r>
            <w:proofErr w:type="spellEnd"/>
            <w:r w:rsidRPr="00A07F29">
              <w:rPr>
                <w:rFonts w:ascii="Times New Roman" w:eastAsia="Calibri" w:hAnsi="Times New Roman" w:cs="Times New Roman"/>
                <w:i/>
                <w:sz w:val="20"/>
                <w:szCs w:val="20"/>
              </w:rPr>
              <w:t xml:space="preserve"> </w:t>
            </w:r>
            <w:proofErr w:type="spellStart"/>
            <w:r w:rsidRPr="00A07F29">
              <w:rPr>
                <w:rFonts w:ascii="Times New Roman" w:eastAsia="Calibri" w:hAnsi="Times New Roman" w:cs="Times New Roman"/>
                <w:i/>
                <w:sz w:val="20"/>
                <w:szCs w:val="20"/>
              </w:rPr>
              <w:t>fuchsii</w:t>
            </w:r>
            <w:proofErr w:type="spellEnd"/>
          </w:p>
        </w:tc>
        <w:tc>
          <w:tcPr>
            <w:tcW w:w="1134" w:type="dxa"/>
          </w:tcPr>
          <w:p w14:paraId="2097132F"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ĪAS</w:t>
            </w:r>
          </w:p>
        </w:tc>
        <w:tc>
          <w:tcPr>
            <w:tcW w:w="709" w:type="dxa"/>
            <w:vAlign w:val="center"/>
          </w:tcPr>
          <w:p w14:paraId="5EC7BF79"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Arial" w:eastAsia="Calibri" w:hAnsi="Arial" w:cs="Arial"/>
                <w:color w:val="000000"/>
                <w:sz w:val="24"/>
                <w:szCs w:val="24"/>
              </w:rPr>
              <w:t>-</w:t>
            </w:r>
          </w:p>
        </w:tc>
        <w:tc>
          <w:tcPr>
            <w:tcW w:w="1128" w:type="dxa"/>
            <w:vAlign w:val="center"/>
          </w:tcPr>
          <w:p w14:paraId="30097726"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color w:val="000000"/>
                <w:sz w:val="20"/>
                <w:szCs w:val="20"/>
              </w:rPr>
              <w:t>-</w:t>
            </w:r>
          </w:p>
        </w:tc>
        <w:tc>
          <w:tcPr>
            <w:tcW w:w="1122" w:type="dxa"/>
            <w:vAlign w:val="center"/>
          </w:tcPr>
          <w:p w14:paraId="762CBFBF"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color w:val="000000"/>
                <w:sz w:val="20"/>
                <w:szCs w:val="20"/>
              </w:rPr>
              <w:t>-</w:t>
            </w:r>
          </w:p>
        </w:tc>
      </w:tr>
      <w:tr w:rsidR="0075395E" w:rsidRPr="00A07F29" w14:paraId="7DB2AF29" w14:textId="77777777" w:rsidTr="00B649FD">
        <w:trPr>
          <w:jc w:val="center"/>
        </w:trPr>
        <w:tc>
          <w:tcPr>
            <w:tcW w:w="557" w:type="dxa"/>
          </w:tcPr>
          <w:p w14:paraId="7A7147A1" w14:textId="34C4E096" w:rsidR="002B1603" w:rsidRPr="00A07F29" w:rsidRDefault="00170C65" w:rsidP="00E67E47">
            <w:pPr>
              <w:spacing w:after="0"/>
              <w:contextualSpacing/>
              <w:rPr>
                <w:rFonts w:ascii="Times New Roman" w:eastAsia="Calibri" w:hAnsi="Times New Roman" w:cs="Times New Roman"/>
                <w:sz w:val="20"/>
                <w:szCs w:val="20"/>
              </w:rPr>
            </w:pPr>
            <w:r w:rsidRPr="00A07F29">
              <w:rPr>
                <w:rFonts w:ascii="Times New Roman" w:eastAsia="Calibri" w:hAnsi="Times New Roman" w:cs="Times New Roman"/>
                <w:sz w:val="20"/>
                <w:szCs w:val="20"/>
              </w:rPr>
              <w:t>21.</w:t>
            </w:r>
          </w:p>
        </w:tc>
        <w:tc>
          <w:tcPr>
            <w:tcW w:w="2410" w:type="dxa"/>
          </w:tcPr>
          <w:p w14:paraId="66D5F1E8" w14:textId="77777777" w:rsidR="002B1603" w:rsidRPr="00A07F29" w:rsidRDefault="002B1603" w:rsidP="0075395E">
            <w:pPr>
              <w:spacing w:after="0"/>
              <w:rPr>
                <w:rFonts w:ascii="Times New Roman" w:eastAsia="Calibri" w:hAnsi="Times New Roman" w:cs="Times New Roman"/>
                <w:sz w:val="20"/>
                <w:szCs w:val="20"/>
                <w:vertAlign w:val="superscript"/>
              </w:rPr>
            </w:pPr>
            <w:proofErr w:type="spellStart"/>
            <w:r w:rsidRPr="00A07F29">
              <w:rPr>
                <w:rFonts w:ascii="Times New Roman" w:eastAsia="Calibri" w:hAnsi="Times New Roman" w:cs="Times New Roman"/>
                <w:sz w:val="20"/>
                <w:szCs w:val="20"/>
              </w:rPr>
              <w:t>Stāvlapu</w:t>
            </w:r>
            <w:proofErr w:type="spellEnd"/>
            <w:r w:rsidRPr="00A07F29">
              <w:rPr>
                <w:rFonts w:ascii="Times New Roman" w:eastAsia="Calibri" w:hAnsi="Times New Roman" w:cs="Times New Roman"/>
                <w:sz w:val="20"/>
                <w:szCs w:val="20"/>
              </w:rPr>
              <w:t xml:space="preserve"> </w:t>
            </w:r>
            <w:proofErr w:type="spellStart"/>
            <w:r w:rsidRPr="00A07F29">
              <w:rPr>
                <w:rFonts w:ascii="Times New Roman" w:eastAsia="Calibri" w:hAnsi="Times New Roman" w:cs="Times New Roman"/>
                <w:sz w:val="20"/>
                <w:szCs w:val="20"/>
              </w:rPr>
              <w:t>dzegužpirkstīte</w:t>
            </w:r>
            <w:proofErr w:type="spellEnd"/>
          </w:p>
        </w:tc>
        <w:tc>
          <w:tcPr>
            <w:tcW w:w="2840" w:type="dxa"/>
          </w:tcPr>
          <w:p w14:paraId="38AE4C64" w14:textId="77777777" w:rsidR="002B1603" w:rsidRPr="00A07F29" w:rsidRDefault="002B1603" w:rsidP="0075395E">
            <w:pPr>
              <w:spacing w:after="0"/>
              <w:rPr>
                <w:rFonts w:ascii="Times New Roman" w:eastAsia="Calibri" w:hAnsi="Times New Roman" w:cs="Times New Roman"/>
                <w:i/>
                <w:sz w:val="20"/>
                <w:szCs w:val="20"/>
              </w:rPr>
            </w:pPr>
            <w:proofErr w:type="spellStart"/>
            <w:r w:rsidRPr="00A07F29">
              <w:rPr>
                <w:rFonts w:ascii="Times New Roman" w:eastAsia="Calibri" w:hAnsi="Times New Roman" w:cs="Times New Roman"/>
                <w:i/>
                <w:sz w:val="20"/>
                <w:szCs w:val="20"/>
              </w:rPr>
              <w:t>Dactylorhiza</w:t>
            </w:r>
            <w:proofErr w:type="spellEnd"/>
            <w:r w:rsidRPr="00A07F29">
              <w:rPr>
                <w:rFonts w:ascii="Times New Roman" w:eastAsia="Calibri" w:hAnsi="Times New Roman" w:cs="Times New Roman"/>
                <w:i/>
                <w:sz w:val="20"/>
                <w:szCs w:val="20"/>
              </w:rPr>
              <w:t xml:space="preserve"> </w:t>
            </w:r>
            <w:proofErr w:type="spellStart"/>
            <w:r w:rsidRPr="00A07F29">
              <w:rPr>
                <w:rFonts w:ascii="Times New Roman" w:eastAsia="Calibri" w:hAnsi="Times New Roman" w:cs="Times New Roman"/>
                <w:i/>
                <w:sz w:val="20"/>
                <w:szCs w:val="20"/>
              </w:rPr>
              <w:t>incarnata</w:t>
            </w:r>
            <w:proofErr w:type="spellEnd"/>
          </w:p>
        </w:tc>
        <w:tc>
          <w:tcPr>
            <w:tcW w:w="1134" w:type="dxa"/>
          </w:tcPr>
          <w:p w14:paraId="11B55C84"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ĪAS</w:t>
            </w:r>
          </w:p>
        </w:tc>
        <w:tc>
          <w:tcPr>
            <w:tcW w:w="709" w:type="dxa"/>
            <w:vAlign w:val="center"/>
          </w:tcPr>
          <w:p w14:paraId="75AAF2AA"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c>
          <w:tcPr>
            <w:tcW w:w="1128" w:type="dxa"/>
          </w:tcPr>
          <w:p w14:paraId="3A2C653C" w14:textId="77777777" w:rsidR="002B1603" w:rsidRPr="00A07F29" w:rsidRDefault="002B1603" w:rsidP="002B1603">
            <w:pPr>
              <w:spacing w:after="0"/>
              <w:jc w:val="center"/>
              <w:rPr>
                <w:rFonts w:ascii="Times New Roman" w:eastAsia="Calibri" w:hAnsi="Times New Roman" w:cs="Times New Roman"/>
                <w:color w:val="000000"/>
                <w:sz w:val="20"/>
                <w:szCs w:val="20"/>
              </w:rPr>
            </w:pPr>
            <w:r w:rsidRPr="00A07F29">
              <w:rPr>
                <w:rFonts w:ascii="Times New Roman" w:eastAsia="Calibri" w:hAnsi="Times New Roman" w:cs="Times New Roman"/>
                <w:sz w:val="20"/>
                <w:szCs w:val="20"/>
              </w:rPr>
              <w:t>-</w:t>
            </w:r>
          </w:p>
        </w:tc>
        <w:tc>
          <w:tcPr>
            <w:tcW w:w="1122" w:type="dxa"/>
          </w:tcPr>
          <w:p w14:paraId="543483D7"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r>
      <w:tr w:rsidR="0075395E" w:rsidRPr="00A07F29" w14:paraId="01D549C7" w14:textId="77777777" w:rsidTr="00B649FD">
        <w:trPr>
          <w:jc w:val="center"/>
        </w:trPr>
        <w:tc>
          <w:tcPr>
            <w:tcW w:w="557" w:type="dxa"/>
          </w:tcPr>
          <w:p w14:paraId="4AF6B2DA" w14:textId="79E05FEE" w:rsidR="002B1603" w:rsidRPr="00A07F29" w:rsidRDefault="00170C65" w:rsidP="00E67E47">
            <w:pPr>
              <w:spacing w:after="0"/>
              <w:contextualSpacing/>
              <w:rPr>
                <w:rFonts w:ascii="Times New Roman" w:eastAsia="Calibri" w:hAnsi="Times New Roman" w:cs="Times New Roman"/>
                <w:sz w:val="20"/>
                <w:szCs w:val="20"/>
              </w:rPr>
            </w:pPr>
            <w:r w:rsidRPr="00A07F29">
              <w:rPr>
                <w:rFonts w:ascii="Times New Roman" w:eastAsia="Calibri" w:hAnsi="Times New Roman" w:cs="Times New Roman"/>
                <w:sz w:val="20"/>
                <w:szCs w:val="20"/>
              </w:rPr>
              <w:t>22.</w:t>
            </w:r>
          </w:p>
        </w:tc>
        <w:tc>
          <w:tcPr>
            <w:tcW w:w="2410" w:type="dxa"/>
          </w:tcPr>
          <w:p w14:paraId="753831E1" w14:textId="77777777" w:rsidR="002B1603" w:rsidRPr="00A07F29" w:rsidRDefault="002B1603" w:rsidP="0075395E">
            <w:pPr>
              <w:spacing w:after="0"/>
              <w:rPr>
                <w:rFonts w:ascii="Times New Roman" w:eastAsia="Calibri" w:hAnsi="Times New Roman" w:cs="Times New Roman"/>
                <w:spacing w:val="1"/>
                <w:sz w:val="20"/>
                <w:szCs w:val="20"/>
              </w:rPr>
            </w:pPr>
            <w:r w:rsidRPr="00A07F29">
              <w:rPr>
                <w:rFonts w:ascii="Times New Roman" w:eastAsia="Calibri" w:hAnsi="Times New Roman" w:cs="Times New Roman"/>
                <w:sz w:val="20"/>
                <w:szCs w:val="20"/>
              </w:rPr>
              <w:t xml:space="preserve">Plankumainā </w:t>
            </w:r>
            <w:proofErr w:type="spellStart"/>
            <w:r w:rsidRPr="00A07F29">
              <w:rPr>
                <w:rFonts w:ascii="Times New Roman" w:eastAsia="Calibri" w:hAnsi="Times New Roman" w:cs="Times New Roman"/>
                <w:sz w:val="20"/>
                <w:szCs w:val="20"/>
              </w:rPr>
              <w:t>dzegužpirkstīte</w:t>
            </w:r>
            <w:proofErr w:type="spellEnd"/>
          </w:p>
        </w:tc>
        <w:tc>
          <w:tcPr>
            <w:tcW w:w="2840" w:type="dxa"/>
          </w:tcPr>
          <w:p w14:paraId="07DE7908" w14:textId="77777777" w:rsidR="002B1603" w:rsidRPr="00A07F29" w:rsidRDefault="002B1603" w:rsidP="0075395E">
            <w:pPr>
              <w:spacing w:after="0"/>
              <w:rPr>
                <w:rFonts w:ascii="Times New Roman" w:eastAsia="Calibri" w:hAnsi="Times New Roman" w:cs="Times New Roman"/>
                <w:i/>
                <w:sz w:val="20"/>
                <w:szCs w:val="20"/>
              </w:rPr>
            </w:pPr>
            <w:proofErr w:type="spellStart"/>
            <w:r w:rsidRPr="00A07F29">
              <w:rPr>
                <w:rFonts w:ascii="Times New Roman" w:eastAsia="Calibri" w:hAnsi="Times New Roman" w:cs="Times New Roman"/>
                <w:i/>
                <w:sz w:val="20"/>
                <w:szCs w:val="20"/>
              </w:rPr>
              <w:t>Dactylorhiza</w:t>
            </w:r>
            <w:proofErr w:type="spellEnd"/>
            <w:r w:rsidRPr="00A07F29">
              <w:rPr>
                <w:rFonts w:ascii="Times New Roman" w:eastAsia="Calibri" w:hAnsi="Times New Roman" w:cs="Times New Roman"/>
                <w:i/>
                <w:sz w:val="20"/>
                <w:szCs w:val="20"/>
              </w:rPr>
              <w:t xml:space="preserve"> </w:t>
            </w:r>
            <w:proofErr w:type="spellStart"/>
            <w:r w:rsidRPr="00A07F29">
              <w:rPr>
                <w:rFonts w:ascii="Times New Roman" w:eastAsia="Calibri" w:hAnsi="Times New Roman" w:cs="Times New Roman"/>
                <w:i/>
                <w:sz w:val="20"/>
                <w:szCs w:val="20"/>
              </w:rPr>
              <w:t>maculata</w:t>
            </w:r>
            <w:proofErr w:type="spellEnd"/>
          </w:p>
        </w:tc>
        <w:tc>
          <w:tcPr>
            <w:tcW w:w="1134" w:type="dxa"/>
          </w:tcPr>
          <w:p w14:paraId="7CD5D7C8"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ĪAS</w:t>
            </w:r>
          </w:p>
        </w:tc>
        <w:tc>
          <w:tcPr>
            <w:tcW w:w="709" w:type="dxa"/>
          </w:tcPr>
          <w:p w14:paraId="32C4167B"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c>
          <w:tcPr>
            <w:tcW w:w="1128" w:type="dxa"/>
          </w:tcPr>
          <w:p w14:paraId="279F4C38" w14:textId="77777777" w:rsidR="002B1603" w:rsidRPr="00A07F29" w:rsidRDefault="002B1603" w:rsidP="002B1603">
            <w:pPr>
              <w:spacing w:after="0"/>
              <w:jc w:val="center"/>
              <w:rPr>
                <w:rFonts w:ascii="Times New Roman" w:eastAsia="Calibri" w:hAnsi="Times New Roman" w:cs="Times New Roman"/>
                <w:b/>
                <w:bCs/>
                <w:color w:val="2E74B5"/>
                <w:sz w:val="20"/>
                <w:szCs w:val="20"/>
              </w:rPr>
            </w:pPr>
            <w:r w:rsidRPr="00A07F29">
              <w:rPr>
                <w:rFonts w:ascii="Times New Roman" w:eastAsia="Calibri" w:hAnsi="Times New Roman" w:cs="Times New Roman"/>
                <w:sz w:val="20"/>
                <w:szCs w:val="20"/>
              </w:rPr>
              <w:t>-</w:t>
            </w:r>
          </w:p>
        </w:tc>
        <w:tc>
          <w:tcPr>
            <w:tcW w:w="1122" w:type="dxa"/>
            <w:vAlign w:val="center"/>
          </w:tcPr>
          <w:p w14:paraId="253BCA86"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r>
      <w:tr w:rsidR="0075395E" w:rsidRPr="00A07F29" w14:paraId="352EB6B7" w14:textId="77777777" w:rsidTr="00B649FD">
        <w:trPr>
          <w:jc w:val="center"/>
        </w:trPr>
        <w:tc>
          <w:tcPr>
            <w:tcW w:w="557" w:type="dxa"/>
          </w:tcPr>
          <w:p w14:paraId="6E7C1BA0" w14:textId="79F6BEE8" w:rsidR="002B1603" w:rsidRPr="00A07F29" w:rsidRDefault="00170C65" w:rsidP="00E67E47">
            <w:pPr>
              <w:spacing w:after="0"/>
              <w:contextualSpacing/>
              <w:rPr>
                <w:rFonts w:ascii="Times New Roman" w:eastAsia="Calibri" w:hAnsi="Times New Roman" w:cs="Times New Roman"/>
                <w:sz w:val="20"/>
                <w:szCs w:val="20"/>
              </w:rPr>
            </w:pPr>
            <w:r w:rsidRPr="00A07F29">
              <w:rPr>
                <w:rFonts w:ascii="Times New Roman" w:eastAsia="Calibri" w:hAnsi="Times New Roman" w:cs="Times New Roman"/>
                <w:sz w:val="20"/>
                <w:szCs w:val="20"/>
              </w:rPr>
              <w:t>23.</w:t>
            </w:r>
          </w:p>
        </w:tc>
        <w:tc>
          <w:tcPr>
            <w:tcW w:w="2410" w:type="dxa"/>
          </w:tcPr>
          <w:p w14:paraId="2A3CBC25" w14:textId="77777777" w:rsidR="002B1603" w:rsidRPr="00A07F29" w:rsidRDefault="002B1603" w:rsidP="0075395E">
            <w:pPr>
              <w:spacing w:after="0"/>
              <w:rPr>
                <w:rFonts w:ascii="Times New Roman" w:eastAsia="Calibri" w:hAnsi="Times New Roman" w:cs="Times New Roman"/>
                <w:sz w:val="20"/>
                <w:szCs w:val="20"/>
              </w:rPr>
            </w:pPr>
            <w:r w:rsidRPr="00A07F29">
              <w:rPr>
                <w:rFonts w:ascii="Times New Roman" w:eastAsia="Calibri" w:hAnsi="Times New Roman" w:cs="Times New Roman"/>
                <w:sz w:val="20"/>
                <w:szCs w:val="20"/>
              </w:rPr>
              <w:t>Augstais gaiļpiesis</w:t>
            </w:r>
          </w:p>
        </w:tc>
        <w:tc>
          <w:tcPr>
            <w:tcW w:w="2840" w:type="dxa"/>
          </w:tcPr>
          <w:p w14:paraId="6CE74F5D" w14:textId="08D96494" w:rsidR="002B1603" w:rsidRPr="00A07F29" w:rsidRDefault="002B1603" w:rsidP="0075395E">
            <w:pPr>
              <w:spacing w:after="0"/>
              <w:ind w:left="576" w:hanging="576"/>
              <w:rPr>
                <w:rFonts w:ascii="Times New Roman" w:eastAsia="Calibri" w:hAnsi="Times New Roman" w:cs="Times New Roman"/>
                <w:i/>
                <w:sz w:val="20"/>
                <w:szCs w:val="20"/>
              </w:rPr>
            </w:pPr>
            <w:proofErr w:type="spellStart"/>
            <w:r w:rsidRPr="00A07F29">
              <w:rPr>
                <w:rFonts w:ascii="Times New Roman" w:eastAsia="Calibri" w:hAnsi="Times New Roman" w:cs="Times New Roman"/>
                <w:i/>
                <w:sz w:val="20"/>
                <w:szCs w:val="20"/>
              </w:rPr>
              <w:t>Delphinim</w:t>
            </w:r>
            <w:proofErr w:type="spellEnd"/>
            <w:r w:rsidR="00F200AD" w:rsidRPr="00A07F29">
              <w:rPr>
                <w:rFonts w:ascii="Times New Roman" w:eastAsia="Calibri" w:hAnsi="Times New Roman" w:cs="Times New Roman"/>
                <w:i/>
                <w:sz w:val="20"/>
                <w:szCs w:val="20"/>
              </w:rPr>
              <w:t xml:space="preserve"> </w:t>
            </w:r>
            <w:proofErr w:type="spellStart"/>
            <w:r w:rsidRPr="00A07F29">
              <w:rPr>
                <w:rFonts w:ascii="Times New Roman" w:eastAsia="Calibri" w:hAnsi="Times New Roman" w:cs="Times New Roman"/>
                <w:i/>
                <w:sz w:val="20"/>
                <w:szCs w:val="20"/>
              </w:rPr>
              <w:t>elatum</w:t>
            </w:r>
            <w:proofErr w:type="spellEnd"/>
          </w:p>
        </w:tc>
        <w:tc>
          <w:tcPr>
            <w:tcW w:w="1134" w:type="dxa"/>
          </w:tcPr>
          <w:p w14:paraId="00DCA2FE"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ĪAS</w:t>
            </w:r>
            <w:r w:rsidRPr="00A07F29">
              <w:rPr>
                <w:rFonts w:ascii="Times New Roman" w:eastAsia="Calibri" w:hAnsi="Times New Roman" w:cs="Times New Roman"/>
                <w:sz w:val="20"/>
                <w:szCs w:val="20"/>
                <w:vertAlign w:val="superscript"/>
              </w:rPr>
              <w:t>1</w:t>
            </w:r>
          </w:p>
        </w:tc>
        <w:tc>
          <w:tcPr>
            <w:tcW w:w="709" w:type="dxa"/>
          </w:tcPr>
          <w:p w14:paraId="2B6595A9"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c>
          <w:tcPr>
            <w:tcW w:w="1128" w:type="dxa"/>
          </w:tcPr>
          <w:p w14:paraId="732B2E63" w14:textId="77777777" w:rsidR="002B1603" w:rsidRPr="00A07F29" w:rsidRDefault="002B1603" w:rsidP="002B1603">
            <w:pPr>
              <w:spacing w:after="0"/>
              <w:jc w:val="center"/>
              <w:rPr>
                <w:rFonts w:ascii="Times New Roman" w:eastAsia="Calibri" w:hAnsi="Times New Roman" w:cs="Times New Roman"/>
                <w:b/>
                <w:bCs/>
                <w:color w:val="2E74B5"/>
                <w:sz w:val="20"/>
                <w:szCs w:val="20"/>
              </w:rPr>
            </w:pPr>
            <w:r w:rsidRPr="00A07F29">
              <w:rPr>
                <w:rFonts w:ascii="Times New Roman" w:eastAsia="Calibri" w:hAnsi="Times New Roman" w:cs="Times New Roman"/>
                <w:color w:val="2E74B5"/>
                <w:sz w:val="20"/>
                <w:szCs w:val="20"/>
              </w:rPr>
              <w:t>-</w:t>
            </w:r>
          </w:p>
        </w:tc>
        <w:tc>
          <w:tcPr>
            <w:tcW w:w="1122" w:type="dxa"/>
            <w:vAlign w:val="center"/>
          </w:tcPr>
          <w:p w14:paraId="5A9F87EF"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r>
      <w:tr w:rsidR="00016E8A" w:rsidRPr="00A07F29" w14:paraId="1F40AE9F" w14:textId="77777777" w:rsidTr="00B649FD">
        <w:trPr>
          <w:jc w:val="center"/>
        </w:trPr>
        <w:tc>
          <w:tcPr>
            <w:tcW w:w="557" w:type="dxa"/>
          </w:tcPr>
          <w:p w14:paraId="70E3F583" w14:textId="6ACB5C9D" w:rsidR="00016E8A" w:rsidRPr="00A07F29" w:rsidRDefault="00170C65" w:rsidP="00E67E47">
            <w:pPr>
              <w:spacing w:after="0"/>
              <w:contextualSpacing/>
              <w:rPr>
                <w:rFonts w:ascii="Times New Roman" w:eastAsia="Calibri" w:hAnsi="Times New Roman" w:cs="Times New Roman"/>
                <w:sz w:val="20"/>
                <w:szCs w:val="20"/>
              </w:rPr>
            </w:pPr>
            <w:r w:rsidRPr="00A07F29">
              <w:rPr>
                <w:rFonts w:ascii="Times New Roman" w:eastAsia="Calibri" w:hAnsi="Times New Roman" w:cs="Times New Roman"/>
                <w:sz w:val="20"/>
                <w:szCs w:val="20"/>
              </w:rPr>
              <w:t>24.</w:t>
            </w:r>
          </w:p>
        </w:tc>
        <w:tc>
          <w:tcPr>
            <w:tcW w:w="2410" w:type="dxa"/>
          </w:tcPr>
          <w:p w14:paraId="744E9467" w14:textId="33BC3156" w:rsidR="00016E8A" w:rsidRPr="00A07F29" w:rsidRDefault="00016E8A" w:rsidP="0075395E">
            <w:pPr>
              <w:spacing w:after="0"/>
              <w:rPr>
                <w:rFonts w:ascii="Times New Roman" w:eastAsia="Calibri" w:hAnsi="Times New Roman" w:cs="Times New Roman"/>
                <w:sz w:val="20"/>
                <w:szCs w:val="20"/>
              </w:rPr>
            </w:pPr>
            <w:r w:rsidRPr="00A07F29">
              <w:rPr>
                <w:rFonts w:ascii="Times New Roman" w:eastAsia="Calibri" w:hAnsi="Times New Roman" w:cs="Times New Roman"/>
                <w:sz w:val="20"/>
                <w:szCs w:val="20"/>
              </w:rPr>
              <w:t>Smiltāju neļķe</w:t>
            </w:r>
          </w:p>
        </w:tc>
        <w:tc>
          <w:tcPr>
            <w:tcW w:w="2840" w:type="dxa"/>
          </w:tcPr>
          <w:p w14:paraId="05A03054" w14:textId="4A089581" w:rsidR="00016E8A" w:rsidRPr="00A07F29" w:rsidRDefault="00016E8A" w:rsidP="00473E20">
            <w:pPr>
              <w:spacing w:after="0"/>
              <w:rPr>
                <w:rFonts w:ascii="Times New Roman" w:eastAsia="Calibri" w:hAnsi="Times New Roman" w:cs="Times New Roman"/>
                <w:i/>
                <w:sz w:val="20"/>
                <w:szCs w:val="20"/>
              </w:rPr>
            </w:pPr>
            <w:proofErr w:type="spellStart"/>
            <w:r w:rsidRPr="00A07F29">
              <w:rPr>
                <w:rFonts w:ascii="Times New Roman" w:eastAsia="Calibri" w:hAnsi="Times New Roman" w:cs="Times New Roman"/>
                <w:i/>
                <w:sz w:val="20"/>
                <w:szCs w:val="20"/>
              </w:rPr>
              <w:t>Dianthus</w:t>
            </w:r>
            <w:proofErr w:type="spellEnd"/>
            <w:r w:rsidRPr="00A07F29">
              <w:rPr>
                <w:rFonts w:ascii="Times New Roman" w:eastAsia="Calibri" w:hAnsi="Times New Roman" w:cs="Times New Roman"/>
                <w:i/>
                <w:sz w:val="20"/>
                <w:szCs w:val="20"/>
              </w:rPr>
              <w:t xml:space="preserve"> </w:t>
            </w:r>
            <w:proofErr w:type="spellStart"/>
            <w:r w:rsidRPr="00A07F29">
              <w:rPr>
                <w:rFonts w:ascii="Times New Roman" w:eastAsia="Calibri" w:hAnsi="Times New Roman" w:cs="Times New Roman"/>
                <w:i/>
                <w:sz w:val="20"/>
                <w:szCs w:val="20"/>
              </w:rPr>
              <w:t>arenarius</w:t>
            </w:r>
            <w:proofErr w:type="spellEnd"/>
            <w:r w:rsidRPr="00A07F29">
              <w:rPr>
                <w:rFonts w:ascii="Times New Roman" w:eastAsia="Calibri" w:hAnsi="Times New Roman" w:cs="Times New Roman"/>
                <w:i/>
                <w:sz w:val="20"/>
                <w:szCs w:val="20"/>
              </w:rPr>
              <w:t xml:space="preserve"> </w:t>
            </w:r>
            <w:proofErr w:type="spellStart"/>
            <w:r w:rsidRPr="00A07F29">
              <w:rPr>
                <w:rFonts w:ascii="Times New Roman" w:eastAsia="Calibri" w:hAnsi="Times New Roman" w:cs="Times New Roman"/>
                <w:i/>
                <w:sz w:val="20"/>
                <w:szCs w:val="20"/>
              </w:rPr>
              <w:t>subsp</w:t>
            </w:r>
            <w:proofErr w:type="spellEnd"/>
            <w:r w:rsidRPr="00A07F29">
              <w:rPr>
                <w:rFonts w:ascii="Times New Roman" w:eastAsia="Calibri" w:hAnsi="Times New Roman" w:cs="Times New Roman"/>
                <w:i/>
                <w:sz w:val="20"/>
                <w:szCs w:val="20"/>
              </w:rPr>
              <w:t xml:space="preserve">. </w:t>
            </w:r>
            <w:proofErr w:type="spellStart"/>
            <w:r w:rsidRPr="00A07F29">
              <w:rPr>
                <w:rFonts w:ascii="Times New Roman" w:eastAsia="Calibri" w:hAnsi="Times New Roman" w:cs="Times New Roman"/>
                <w:i/>
                <w:sz w:val="20"/>
                <w:szCs w:val="20"/>
              </w:rPr>
              <w:t>borussicus</w:t>
            </w:r>
            <w:proofErr w:type="spellEnd"/>
          </w:p>
        </w:tc>
        <w:tc>
          <w:tcPr>
            <w:tcW w:w="1134" w:type="dxa"/>
          </w:tcPr>
          <w:p w14:paraId="6D6AB232" w14:textId="76243984" w:rsidR="00016E8A" w:rsidRPr="00A07F29" w:rsidRDefault="00016E8A"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ĪAS</w:t>
            </w:r>
          </w:p>
        </w:tc>
        <w:tc>
          <w:tcPr>
            <w:tcW w:w="709" w:type="dxa"/>
          </w:tcPr>
          <w:p w14:paraId="31432465" w14:textId="1D2C5AC6" w:rsidR="00016E8A" w:rsidRPr="00A07F29" w:rsidRDefault="00016E8A"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c>
          <w:tcPr>
            <w:tcW w:w="1128" w:type="dxa"/>
          </w:tcPr>
          <w:p w14:paraId="77D816D2" w14:textId="7C8E0AAD" w:rsidR="00016E8A" w:rsidRPr="00A07F29" w:rsidRDefault="00016E8A" w:rsidP="002B1603">
            <w:pPr>
              <w:spacing w:after="0"/>
              <w:jc w:val="center"/>
              <w:rPr>
                <w:rFonts w:ascii="Times New Roman" w:eastAsia="Calibri" w:hAnsi="Times New Roman" w:cs="Times New Roman"/>
                <w:color w:val="2E74B5"/>
                <w:sz w:val="20"/>
                <w:szCs w:val="20"/>
              </w:rPr>
            </w:pPr>
            <w:r w:rsidRPr="00A07F29">
              <w:rPr>
                <w:rFonts w:ascii="Times New Roman" w:eastAsia="Calibri" w:hAnsi="Times New Roman" w:cs="Times New Roman"/>
                <w:color w:val="2E74B5"/>
                <w:sz w:val="20"/>
                <w:szCs w:val="20"/>
              </w:rPr>
              <w:t>-</w:t>
            </w:r>
          </w:p>
        </w:tc>
        <w:tc>
          <w:tcPr>
            <w:tcW w:w="1122" w:type="dxa"/>
          </w:tcPr>
          <w:p w14:paraId="37F07837" w14:textId="2E5FB2D1" w:rsidR="00016E8A" w:rsidRPr="00A07F29" w:rsidRDefault="00016E8A" w:rsidP="002B1603">
            <w:pPr>
              <w:spacing w:after="0"/>
              <w:jc w:val="center"/>
              <w:rPr>
                <w:rFonts w:ascii="Times New Roman" w:eastAsia="Calibri" w:hAnsi="Times New Roman" w:cs="Times New Roman"/>
                <w:color w:val="2E74B5"/>
                <w:sz w:val="20"/>
                <w:szCs w:val="20"/>
              </w:rPr>
            </w:pPr>
            <w:r w:rsidRPr="00A07F29">
              <w:rPr>
                <w:rFonts w:ascii="Times New Roman" w:eastAsia="Calibri" w:hAnsi="Times New Roman" w:cs="Times New Roman"/>
                <w:color w:val="2E74B5"/>
                <w:sz w:val="20"/>
                <w:szCs w:val="20"/>
              </w:rPr>
              <w:t>-</w:t>
            </w:r>
          </w:p>
        </w:tc>
      </w:tr>
      <w:tr w:rsidR="007F28E6" w:rsidRPr="00A07F29" w14:paraId="6A22C2A1" w14:textId="77777777" w:rsidTr="00B649FD">
        <w:trPr>
          <w:jc w:val="center"/>
        </w:trPr>
        <w:tc>
          <w:tcPr>
            <w:tcW w:w="557" w:type="dxa"/>
          </w:tcPr>
          <w:p w14:paraId="5C244A9E" w14:textId="55ECDCFF" w:rsidR="007F28E6" w:rsidRPr="00A07F29" w:rsidRDefault="00170C65" w:rsidP="00E67E47">
            <w:pPr>
              <w:spacing w:after="0"/>
              <w:contextualSpacing/>
              <w:rPr>
                <w:rFonts w:ascii="Times New Roman" w:eastAsia="Calibri" w:hAnsi="Times New Roman" w:cs="Times New Roman"/>
                <w:sz w:val="20"/>
                <w:szCs w:val="20"/>
              </w:rPr>
            </w:pPr>
            <w:r w:rsidRPr="00A07F29">
              <w:rPr>
                <w:rFonts w:ascii="Times New Roman" w:eastAsia="Calibri" w:hAnsi="Times New Roman" w:cs="Times New Roman"/>
                <w:sz w:val="20"/>
                <w:szCs w:val="20"/>
              </w:rPr>
              <w:t>25.</w:t>
            </w:r>
          </w:p>
        </w:tc>
        <w:tc>
          <w:tcPr>
            <w:tcW w:w="2410" w:type="dxa"/>
          </w:tcPr>
          <w:p w14:paraId="774F7BD1" w14:textId="77777777" w:rsidR="007F28E6" w:rsidRPr="00A07F29" w:rsidRDefault="007F28E6" w:rsidP="007F28E6">
            <w:pPr>
              <w:spacing w:after="0"/>
              <w:rPr>
                <w:rFonts w:ascii="Times New Roman" w:eastAsia="Calibri" w:hAnsi="Times New Roman" w:cs="Times New Roman"/>
                <w:sz w:val="20"/>
                <w:szCs w:val="20"/>
              </w:rPr>
            </w:pPr>
            <w:r w:rsidRPr="00A07F29">
              <w:rPr>
                <w:rFonts w:ascii="Times New Roman" w:eastAsia="Calibri" w:hAnsi="Times New Roman" w:cs="Times New Roman"/>
                <w:sz w:val="20"/>
                <w:szCs w:val="20"/>
              </w:rPr>
              <w:t xml:space="preserve">Parastais </w:t>
            </w:r>
            <w:proofErr w:type="spellStart"/>
            <w:r w:rsidRPr="00A07F29">
              <w:rPr>
                <w:rFonts w:ascii="Times New Roman" w:eastAsia="Calibri" w:hAnsi="Times New Roman" w:cs="Times New Roman"/>
                <w:sz w:val="20"/>
                <w:szCs w:val="20"/>
              </w:rPr>
              <w:t>plakanstaipeknis</w:t>
            </w:r>
            <w:proofErr w:type="spellEnd"/>
          </w:p>
        </w:tc>
        <w:tc>
          <w:tcPr>
            <w:tcW w:w="2840" w:type="dxa"/>
          </w:tcPr>
          <w:p w14:paraId="3F4DFAC2" w14:textId="77777777" w:rsidR="007F28E6" w:rsidRPr="00A07F29" w:rsidRDefault="007F28E6" w:rsidP="007F28E6">
            <w:pPr>
              <w:spacing w:after="0"/>
              <w:rPr>
                <w:rFonts w:ascii="Times New Roman" w:eastAsia="Calibri" w:hAnsi="Times New Roman" w:cs="Times New Roman"/>
                <w:i/>
                <w:sz w:val="20"/>
                <w:szCs w:val="20"/>
              </w:rPr>
            </w:pPr>
            <w:proofErr w:type="spellStart"/>
            <w:r w:rsidRPr="00A07F29">
              <w:rPr>
                <w:rFonts w:ascii="Times New Roman" w:eastAsia="Calibri" w:hAnsi="Times New Roman" w:cs="Times New Roman"/>
                <w:i/>
                <w:sz w:val="20"/>
                <w:szCs w:val="20"/>
              </w:rPr>
              <w:t>Diphasiastrum</w:t>
            </w:r>
            <w:proofErr w:type="spellEnd"/>
            <w:r w:rsidRPr="00A07F29">
              <w:rPr>
                <w:rFonts w:ascii="Times New Roman" w:eastAsia="Calibri" w:hAnsi="Times New Roman" w:cs="Times New Roman"/>
                <w:i/>
                <w:sz w:val="20"/>
                <w:szCs w:val="20"/>
              </w:rPr>
              <w:t xml:space="preserve"> </w:t>
            </w:r>
            <w:proofErr w:type="spellStart"/>
            <w:r w:rsidRPr="00A07F29">
              <w:rPr>
                <w:rFonts w:ascii="Times New Roman" w:eastAsia="Calibri" w:hAnsi="Times New Roman" w:cs="Times New Roman"/>
                <w:i/>
                <w:sz w:val="20"/>
                <w:szCs w:val="20"/>
              </w:rPr>
              <w:t>complanatum</w:t>
            </w:r>
            <w:proofErr w:type="spellEnd"/>
          </w:p>
        </w:tc>
        <w:tc>
          <w:tcPr>
            <w:tcW w:w="1134" w:type="dxa"/>
          </w:tcPr>
          <w:p w14:paraId="2D99CBCE" w14:textId="77777777" w:rsidR="007F28E6" w:rsidRPr="00A07F29" w:rsidRDefault="007F28E6" w:rsidP="007F28E6">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ĪAS</w:t>
            </w:r>
            <w:r w:rsidRPr="00A07F29">
              <w:rPr>
                <w:rFonts w:ascii="Times New Roman" w:eastAsia="Calibri" w:hAnsi="Times New Roman" w:cs="Times New Roman"/>
                <w:sz w:val="20"/>
                <w:szCs w:val="20"/>
                <w:vertAlign w:val="superscript"/>
              </w:rPr>
              <w:t>1</w:t>
            </w:r>
          </w:p>
        </w:tc>
        <w:tc>
          <w:tcPr>
            <w:tcW w:w="709" w:type="dxa"/>
          </w:tcPr>
          <w:p w14:paraId="002C63D3" w14:textId="77777777" w:rsidR="007F28E6" w:rsidRPr="00A07F29" w:rsidRDefault="007F28E6" w:rsidP="007F28E6">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BD V</w:t>
            </w:r>
          </w:p>
        </w:tc>
        <w:tc>
          <w:tcPr>
            <w:tcW w:w="1128" w:type="dxa"/>
            <w:shd w:val="clear" w:color="auto" w:fill="FFC000"/>
          </w:tcPr>
          <w:p w14:paraId="41FE3BCB" w14:textId="134CEEF0" w:rsidR="007F28E6" w:rsidRPr="00A07F29" w:rsidRDefault="007F28E6" w:rsidP="007F28E6">
            <w:pPr>
              <w:spacing w:after="0"/>
              <w:jc w:val="center"/>
              <w:rPr>
                <w:rFonts w:ascii="Times New Roman" w:eastAsia="Calibri" w:hAnsi="Times New Roman" w:cs="Times New Roman"/>
                <w:b/>
                <w:bCs/>
                <w:color w:val="2E74B5"/>
                <w:sz w:val="20"/>
                <w:szCs w:val="20"/>
              </w:rPr>
            </w:pPr>
            <w:r w:rsidRPr="00A07F29">
              <w:rPr>
                <w:rFonts w:ascii="Times New Roman" w:eastAsia="Calibri" w:hAnsi="Times New Roman" w:cs="Times New Roman"/>
                <w:sz w:val="20"/>
                <w:szCs w:val="20"/>
              </w:rPr>
              <w:t>U1S</w:t>
            </w:r>
          </w:p>
        </w:tc>
        <w:tc>
          <w:tcPr>
            <w:tcW w:w="1122" w:type="dxa"/>
            <w:shd w:val="clear" w:color="auto" w:fill="FFC000"/>
          </w:tcPr>
          <w:p w14:paraId="51489FAE" w14:textId="09772B75" w:rsidR="007F28E6" w:rsidRPr="00A07F29" w:rsidRDefault="007F28E6" w:rsidP="007F28E6">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U1S</w:t>
            </w:r>
          </w:p>
        </w:tc>
      </w:tr>
      <w:tr w:rsidR="007F28E6" w:rsidRPr="00A07F29" w14:paraId="573662AA" w14:textId="77777777" w:rsidTr="00B649FD">
        <w:trPr>
          <w:jc w:val="center"/>
        </w:trPr>
        <w:tc>
          <w:tcPr>
            <w:tcW w:w="557" w:type="dxa"/>
          </w:tcPr>
          <w:p w14:paraId="52919452" w14:textId="1E6ADFDC" w:rsidR="007F28E6" w:rsidRPr="00A07F29" w:rsidRDefault="00170C65" w:rsidP="00E67E47">
            <w:pPr>
              <w:spacing w:after="0"/>
              <w:contextualSpacing/>
              <w:rPr>
                <w:rFonts w:ascii="Times New Roman" w:eastAsia="Calibri" w:hAnsi="Times New Roman" w:cs="Times New Roman"/>
                <w:sz w:val="20"/>
                <w:szCs w:val="20"/>
              </w:rPr>
            </w:pPr>
            <w:r w:rsidRPr="00A07F29">
              <w:rPr>
                <w:rFonts w:ascii="Times New Roman" w:eastAsia="Calibri" w:hAnsi="Times New Roman" w:cs="Times New Roman"/>
                <w:sz w:val="20"/>
                <w:szCs w:val="20"/>
              </w:rPr>
              <w:t>26.</w:t>
            </w:r>
          </w:p>
        </w:tc>
        <w:tc>
          <w:tcPr>
            <w:tcW w:w="2410" w:type="dxa"/>
          </w:tcPr>
          <w:p w14:paraId="35F3F4F7" w14:textId="77777777" w:rsidR="007F28E6" w:rsidRPr="00A07F29" w:rsidRDefault="007F28E6" w:rsidP="007F28E6">
            <w:pPr>
              <w:spacing w:after="0"/>
              <w:rPr>
                <w:rFonts w:ascii="Times New Roman" w:eastAsia="Calibri" w:hAnsi="Times New Roman" w:cs="Times New Roman"/>
                <w:sz w:val="20"/>
                <w:szCs w:val="20"/>
              </w:rPr>
            </w:pPr>
            <w:proofErr w:type="spellStart"/>
            <w:r w:rsidRPr="00A07F29">
              <w:rPr>
                <w:rFonts w:ascii="Times New Roman" w:eastAsia="Calibri" w:hAnsi="Times New Roman" w:cs="Times New Roman"/>
                <w:sz w:val="20"/>
                <w:szCs w:val="20"/>
              </w:rPr>
              <w:t>Trejvārpu</w:t>
            </w:r>
            <w:proofErr w:type="spellEnd"/>
            <w:r w:rsidRPr="00A07F29">
              <w:rPr>
                <w:rFonts w:ascii="Times New Roman" w:eastAsia="Calibri" w:hAnsi="Times New Roman" w:cs="Times New Roman"/>
                <w:sz w:val="20"/>
                <w:szCs w:val="20"/>
              </w:rPr>
              <w:t xml:space="preserve"> </w:t>
            </w:r>
            <w:proofErr w:type="spellStart"/>
            <w:r w:rsidRPr="00A07F29">
              <w:rPr>
                <w:rFonts w:ascii="Times New Roman" w:eastAsia="Calibri" w:hAnsi="Times New Roman" w:cs="Times New Roman"/>
                <w:sz w:val="20"/>
                <w:szCs w:val="20"/>
              </w:rPr>
              <w:t>plakanstaipeknis</w:t>
            </w:r>
            <w:proofErr w:type="spellEnd"/>
          </w:p>
        </w:tc>
        <w:tc>
          <w:tcPr>
            <w:tcW w:w="2840" w:type="dxa"/>
          </w:tcPr>
          <w:p w14:paraId="6B098623" w14:textId="77777777" w:rsidR="007F28E6" w:rsidRPr="00A07F29" w:rsidRDefault="007F28E6" w:rsidP="007F28E6">
            <w:pPr>
              <w:spacing w:after="0"/>
              <w:rPr>
                <w:rFonts w:ascii="Times New Roman" w:eastAsia="Calibri" w:hAnsi="Times New Roman" w:cs="Times New Roman"/>
                <w:i/>
                <w:sz w:val="20"/>
                <w:szCs w:val="20"/>
              </w:rPr>
            </w:pPr>
            <w:proofErr w:type="spellStart"/>
            <w:r w:rsidRPr="00A07F29">
              <w:rPr>
                <w:rFonts w:ascii="Times New Roman" w:eastAsia="Calibri" w:hAnsi="Times New Roman" w:cs="Times New Roman"/>
                <w:i/>
                <w:sz w:val="20"/>
                <w:szCs w:val="20"/>
                <w:shd w:val="clear" w:color="auto" w:fill="FFFFFF"/>
              </w:rPr>
              <w:t>Diphasiastrum</w:t>
            </w:r>
            <w:proofErr w:type="spellEnd"/>
            <w:r w:rsidRPr="00A07F29">
              <w:rPr>
                <w:rFonts w:ascii="Times New Roman" w:eastAsia="Calibri" w:hAnsi="Times New Roman" w:cs="Times New Roman"/>
                <w:i/>
                <w:sz w:val="20"/>
                <w:szCs w:val="20"/>
                <w:shd w:val="clear" w:color="auto" w:fill="FFFFFF"/>
              </w:rPr>
              <w:t xml:space="preserve"> </w:t>
            </w:r>
            <w:proofErr w:type="spellStart"/>
            <w:r w:rsidRPr="00A07F29">
              <w:rPr>
                <w:rFonts w:ascii="Times New Roman" w:eastAsia="Calibri" w:hAnsi="Times New Roman" w:cs="Times New Roman"/>
                <w:i/>
                <w:sz w:val="20"/>
                <w:szCs w:val="20"/>
                <w:shd w:val="clear" w:color="auto" w:fill="FFFFFF"/>
              </w:rPr>
              <w:t>tristachyum</w:t>
            </w:r>
            <w:proofErr w:type="spellEnd"/>
          </w:p>
        </w:tc>
        <w:tc>
          <w:tcPr>
            <w:tcW w:w="1134" w:type="dxa"/>
          </w:tcPr>
          <w:p w14:paraId="676BE7D2" w14:textId="77777777" w:rsidR="007F28E6" w:rsidRPr="00A07F29" w:rsidRDefault="007F28E6" w:rsidP="007F28E6">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ĪAS</w:t>
            </w:r>
            <w:r w:rsidRPr="00A07F29">
              <w:rPr>
                <w:rFonts w:ascii="Times New Roman" w:eastAsia="Calibri" w:hAnsi="Times New Roman" w:cs="Times New Roman"/>
                <w:sz w:val="20"/>
                <w:szCs w:val="20"/>
                <w:vertAlign w:val="superscript"/>
              </w:rPr>
              <w:t>1</w:t>
            </w:r>
          </w:p>
        </w:tc>
        <w:tc>
          <w:tcPr>
            <w:tcW w:w="709" w:type="dxa"/>
          </w:tcPr>
          <w:p w14:paraId="31A94DEA" w14:textId="77777777" w:rsidR="007F28E6" w:rsidRPr="00A07F29" w:rsidRDefault="007F28E6" w:rsidP="007F28E6">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BD V</w:t>
            </w:r>
          </w:p>
        </w:tc>
        <w:tc>
          <w:tcPr>
            <w:tcW w:w="1128" w:type="dxa"/>
            <w:shd w:val="clear" w:color="auto" w:fill="FFC000"/>
          </w:tcPr>
          <w:p w14:paraId="471ECFB1" w14:textId="3BCAD8CF" w:rsidR="007F28E6" w:rsidRPr="00A07F29" w:rsidRDefault="007F28E6" w:rsidP="007F28E6">
            <w:pPr>
              <w:spacing w:after="0"/>
              <w:jc w:val="center"/>
              <w:rPr>
                <w:rFonts w:ascii="Times New Roman" w:eastAsia="Calibri" w:hAnsi="Times New Roman" w:cs="Times New Roman"/>
                <w:b/>
                <w:bCs/>
                <w:color w:val="2E74B5"/>
                <w:sz w:val="20"/>
                <w:szCs w:val="20"/>
              </w:rPr>
            </w:pPr>
            <w:r w:rsidRPr="00A07F29">
              <w:rPr>
                <w:rFonts w:ascii="Times New Roman" w:eastAsia="Calibri" w:hAnsi="Times New Roman" w:cs="Times New Roman"/>
                <w:sz w:val="20"/>
                <w:szCs w:val="20"/>
              </w:rPr>
              <w:t>U1S</w:t>
            </w:r>
          </w:p>
        </w:tc>
        <w:tc>
          <w:tcPr>
            <w:tcW w:w="1122" w:type="dxa"/>
            <w:shd w:val="clear" w:color="auto" w:fill="FFC000"/>
          </w:tcPr>
          <w:p w14:paraId="0412904C" w14:textId="6FEC449A" w:rsidR="007F28E6" w:rsidRPr="00A07F29" w:rsidRDefault="007F28E6" w:rsidP="007F28E6">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U1S</w:t>
            </w:r>
          </w:p>
        </w:tc>
      </w:tr>
      <w:tr w:rsidR="0075395E" w:rsidRPr="00A07F29" w14:paraId="11793331" w14:textId="77777777" w:rsidTr="00B649FD">
        <w:trPr>
          <w:jc w:val="center"/>
        </w:trPr>
        <w:tc>
          <w:tcPr>
            <w:tcW w:w="557" w:type="dxa"/>
          </w:tcPr>
          <w:p w14:paraId="5C73F04B" w14:textId="365987C0" w:rsidR="002B1603" w:rsidRPr="00A07F29" w:rsidRDefault="00170C65" w:rsidP="00E67E47">
            <w:pPr>
              <w:spacing w:after="0"/>
              <w:contextualSpacing/>
              <w:rPr>
                <w:rFonts w:ascii="Times New Roman" w:eastAsia="Calibri" w:hAnsi="Times New Roman" w:cs="Times New Roman"/>
                <w:sz w:val="20"/>
                <w:szCs w:val="20"/>
              </w:rPr>
            </w:pPr>
            <w:r w:rsidRPr="00A07F29">
              <w:rPr>
                <w:rFonts w:ascii="Times New Roman" w:eastAsia="Calibri" w:hAnsi="Times New Roman" w:cs="Times New Roman"/>
                <w:sz w:val="20"/>
                <w:szCs w:val="20"/>
              </w:rPr>
              <w:t>27.</w:t>
            </w:r>
          </w:p>
        </w:tc>
        <w:tc>
          <w:tcPr>
            <w:tcW w:w="2410" w:type="dxa"/>
          </w:tcPr>
          <w:p w14:paraId="66D65399" w14:textId="77777777" w:rsidR="002B1603" w:rsidRPr="00A07F29" w:rsidRDefault="002B1603" w:rsidP="0075395E">
            <w:pPr>
              <w:spacing w:after="0"/>
              <w:rPr>
                <w:rFonts w:ascii="Times New Roman" w:eastAsia="Calibri" w:hAnsi="Times New Roman" w:cs="Times New Roman"/>
                <w:spacing w:val="1"/>
                <w:sz w:val="20"/>
                <w:szCs w:val="20"/>
                <w:vertAlign w:val="superscript"/>
              </w:rPr>
            </w:pPr>
            <w:proofErr w:type="spellStart"/>
            <w:r w:rsidRPr="00A07F29">
              <w:rPr>
                <w:rFonts w:ascii="Times New Roman" w:eastAsia="Calibri" w:hAnsi="Times New Roman" w:cs="Times New Roman"/>
                <w:sz w:val="20"/>
                <w:szCs w:val="20"/>
              </w:rPr>
              <w:t>Ruiša</w:t>
            </w:r>
            <w:proofErr w:type="spellEnd"/>
            <w:r w:rsidRPr="00A07F29">
              <w:rPr>
                <w:rFonts w:ascii="Times New Roman" w:eastAsia="Calibri" w:hAnsi="Times New Roman" w:cs="Times New Roman"/>
                <w:sz w:val="20"/>
                <w:szCs w:val="20"/>
              </w:rPr>
              <w:t xml:space="preserve"> </w:t>
            </w:r>
            <w:proofErr w:type="spellStart"/>
            <w:r w:rsidRPr="00A07F29">
              <w:rPr>
                <w:rFonts w:ascii="Times New Roman" w:eastAsia="Calibri" w:hAnsi="Times New Roman" w:cs="Times New Roman"/>
                <w:sz w:val="20"/>
                <w:szCs w:val="20"/>
              </w:rPr>
              <w:t>pūķgalve</w:t>
            </w:r>
            <w:proofErr w:type="spellEnd"/>
          </w:p>
        </w:tc>
        <w:tc>
          <w:tcPr>
            <w:tcW w:w="2840" w:type="dxa"/>
          </w:tcPr>
          <w:p w14:paraId="4751F311" w14:textId="77777777" w:rsidR="002B1603" w:rsidRPr="00A07F29" w:rsidRDefault="002B1603" w:rsidP="0075395E">
            <w:pPr>
              <w:spacing w:after="0"/>
              <w:rPr>
                <w:rFonts w:ascii="Times New Roman" w:eastAsia="Calibri" w:hAnsi="Times New Roman" w:cs="Times New Roman"/>
                <w:i/>
                <w:sz w:val="20"/>
                <w:szCs w:val="20"/>
              </w:rPr>
            </w:pPr>
            <w:proofErr w:type="spellStart"/>
            <w:r w:rsidRPr="00A07F29">
              <w:rPr>
                <w:rFonts w:ascii="Times New Roman" w:eastAsia="Calibri" w:hAnsi="Times New Roman" w:cs="Times New Roman"/>
                <w:i/>
                <w:sz w:val="20"/>
                <w:szCs w:val="20"/>
              </w:rPr>
              <w:t>Dracocephalum</w:t>
            </w:r>
            <w:proofErr w:type="spellEnd"/>
            <w:r w:rsidRPr="00A07F29">
              <w:rPr>
                <w:rFonts w:ascii="Times New Roman" w:eastAsia="Calibri" w:hAnsi="Times New Roman" w:cs="Times New Roman"/>
                <w:i/>
                <w:sz w:val="20"/>
                <w:szCs w:val="20"/>
              </w:rPr>
              <w:t xml:space="preserve"> </w:t>
            </w:r>
            <w:proofErr w:type="spellStart"/>
            <w:r w:rsidRPr="00A07F29">
              <w:rPr>
                <w:rFonts w:ascii="Times New Roman" w:eastAsia="Calibri" w:hAnsi="Times New Roman" w:cs="Times New Roman"/>
                <w:i/>
                <w:sz w:val="20"/>
                <w:szCs w:val="20"/>
              </w:rPr>
              <w:t>ruyschiana</w:t>
            </w:r>
            <w:proofErr w:type="spellEnd"/>
          </w:p>
        </w:tc>
        <w:tc>
          <w:tcPr>
            <w:tcW w:w="1134" w:type="dxa"/>
          </w:tcPr>
          <w:p w14:paraId="2DE6AEE4"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ĪAS</w:t>
            </w:r>
            <w:r w:rsidRPr="00A07F29">
              <w:rPr>
                <w:rFonts w:ascii="Times New Roman" w:eastAsia="Calibri" w:hAnsi="Times New Roman" w:cs="Times New Roman"/>
                <w:sz w:val="20"/>
                <w:szCs w:val="20"/>
                <w:vertAlign w:val="superscript"/>
              </w:rPr>
              <w:t>1</w:t>
            </w:r>
          </w:p>
        </w:tc>
        <w:tc>
          <w:tcPr>
            <w:tcW w:w="709" w:type="dxa"/>
          </w:tcPr>
          <w:p w14:paraId="05D020E5"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c>
          <w:tcPr>
            <w:tcW w:w="1128" w:type="dxa"/>
          </w:tcPr>
          <w:p w14:paraId="1C8AB049" w14:textId="77777777" w:rsidR="002B1603" w:rsidRPr="00A07F29" w:rsidRDefault="002B1603" w:rsidP="002B1603">
            <w:pPr>
              <w:spacing w:after="0"/>
              <w:jc w:val="center"/>
              <w:rPr>
                <w:rFonts w:ascii="Times New Roman" w:eastAsia="Calibri" w:hAnsi="Times New Roman" w:cs="Times New Roman"/>
                <w:b/>
                <w:bCs/>
                <w:color w:val="2E74B5"/>
                <w:sz w:val="20"/>
                <w:szCs w:val="20"/>
              </w:rPr>
            </w:pPr>
            <w:r w:rsidRPr="00A07F29">
              <w:rPr>
                <w:rFonts w:ascii="Times New Roman" w:eastAsia="Calibri" w:hAnsi="Times New Roman" w:cs="Calibri"/>
                <w:sz w:val="24"/>
              </w:rPr>
              <w:t>-</w:t>
            </w:r>
          </w:p>
        </w:tc>
        <w:tc>
          <w:tcPr>
            <w:tcW w:w="1122" w:type="dxa"/>
            <w:vAlign w:val="center"/>
          </w:tcPr>
          <w:p w14:paraId="0F9991C0"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r>
      <w:tr w:rsidR="0075395E" w:rsidRPr="00A07F29" w14:paraId="698110A1" w14:textId="77777777" w:rsidTr="00B649FD">
        <w:trPr>
          <w:jc w:val="center"/>
        </w:trPr>
        <w:tc>
          <w:tcPr>
            <w:tcW w:w="557" w:type="dxa"/>
          </w:tcPr>
          <w:p w14:paraId="71AD9A5E" w14:textId="1DC5821F" w:rsidR="002B1603" w:rsidRPr="00A07F29" w:rsidRDefault="00170C65" w:rsidP="00E67E47">
            <w:pPr>
              <w:spacing w:after="0"/>
              <w:contextualSpacing/>
              <w:rPr>
                <w:rFonts w:ascii="Times New Roman" w:eastAsia="Calibri" w:hAnsi="Times New Roman" w:cs="Times New Roman"/>
                <w:sz w:val="20"/>
                <w:szCs w:val="20"/>
              </w:rPr>
            </w:pPr>
            <w:r w:rsidRPr="00A07F29">
              <w:rPr>
                <w:rFonts w:ascii="Times New Roman" w:eastAsia="Calibri" w:hAnsi="Times New Roman" w:cs="Times New Roman"/>
                <w:sz w:val="20"/>
                <w:szCs w:val="20"/>
              </w:rPr>
              <w:t>28.</w:t>
            </w:r>
          </w:p>
        </w:tc>
        <w:tc>
          <w:tcPr>
            <w:tcW w:w="2410" w:type="dxa"/>
          </w:tcPr>
          <w:p w14:paraId="2C07F180" w14:textId="77777777" w:rsidR="002B1603" w:rsidRPr="00A07F29" w:rsidRDefault="002B1603" w:rsidP="0075395E">
            <w:pPr>
              <w:spacing w:after="0"/>
              <w:rPr>
                <w:rFonts w:ascii="Times New Roman" w:eastAsia="Calibri" w:hAnsi="Times New Roman" w:cs="Times New Roman"/>
                <w:sz w:val="20"/>
                <w:szCs w:val="20"/>
              </w:rPr>
            </w:pPr>
            <w:r w:rsidRPr="00A07F29">
              <w:rPr>
                <w:rFonts w:ascii="Times New Roman" w:eastAsia="Calibri" w:hAnsi="Times New Roman" w:cs="Times New Roman"/>
                <w:sz w:val="20"/>
                <w:szCs w:val="20"/>
              </w:rPr>
              <w:t>Pakalnu kazroze</w:t>
            </w:r>
            <w:r w:rsidRPr="00A07F29">
              <w:rPr>
                <w:rFonts w:ascii="Times New Roman" w:eastAsia="Calibri" w:hAnsi="Times New Roman" w:cs="Times New Roman"/>
                <w:sz w:val="20"/>
                <w:szCs w:val="20"/>
                <w:vertAlign w:val="superscript"/>
              </w:rPr>
              <w:t>3</w:t>
            </w:r>
          </w:p>
        </w:tc>
        <w:tc>
          <w:tcPr>
            <w:tcW w:w="2840" w:type="dxa"/>
          </w:tcPr>
          <w:p w14:paraId="47C87DF6" w14:textId="77777777" w:rsidR="002B1603" w:rsidRPr="00A07F29" w:rsidRDefault="002B1603" w:rsidP="0075395E">
            <w:pPr>
              <w:spacing w:after="0"/>
              <w:rPr>
                <w:rFonts w:ascii="Times New Roman" w:eastAsia="Calibri" w:hAnsi="Times New Roman" w:cs="Times New Roman"/>
                <w:i/>
                <w:sz w:val="20"/>
                <w:szCs w:val="20"/>
              </w:rPr>
            </w:pPr>
            <w:proofErr w:type="spellStart"/>
            <w:r w:rsidRPr="00A07F29">
              <w:rPr>
                <w:rFonts w:ascii="Times New Roman" w:eastAsia="Calibri" w:hAnsi="Times New Roman" w:cs="Times New Roman"/>
                <w:i/>
                <w:sz w:val="20"/>
                <w:szCs w:val="20"/>
              </w:rPr>
              <w:t>Epilobium</w:t>
            </w:r>
            <w:proofErr w:type="spellEnd"/>
            <w:r w:rsidRPr="00A07F29">
              <w:rPr>
                <w:rFonts w:ascii="Times New Roman" w:eastAsia="Calibri" w:hAnsi="Times New Roman" w:cs="Times New Roman"/>
                <w:i/>
                <w:sz w:val="20"/>
                <w:szCs w:val="20"/>
              </w:rPr>
              <w:t xml:space="preserve"> </w:t>
            </w:r>
            <w:proofErr w:type="spellStart"/>
            <w:r w:rsidRPr="00A07F29">
              <w:rPr>
                <w:rFonts w:ascii="Times New Roman" w:eastAsia="Calibri" w:hAnsi="Times New Roman" w:cs="Times New Roman"/>
                <w:i/>
                <w:sz w:val="20"/>
                <w:szCs w:val="20"/>
              </w:rPr>
              <w:t>collinum</w:t>
            </w:r>
            <w:proofErr w:type="spellEnd"/>
          </w:p>
        </w:tc>
        <w:tc>
          <w:tcPr>
            <w:tcW w:w="1134" w:type="dxa"/>
          </w:tcPr>
          <w:p w14:paraId="719524A0"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ĪAS</w:t>
            </w:r>
          </w:p>
        </w:tc>
        <w:tc>
          <w:tcPr>
            <w:tcW w:w="709" w:type="dxa"/>
          </w:tcPr>
          <w:p w14:paraId="01AAFB4D"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c>
          <w:tcPr>
            <w:tcW w:w="1128" w:type="dxa"/>
          </w:tcPr>
          <w:p w14:paraId="17775F1D" w14:textId="77777777" w:rsidR="002B1603" w:rsidRPr="00A07F29" w:rsidRDefault="002B1603" w:rsidP="002B1603">
            <w:pPr>
              <w:spacing w:after="0"/>
              <w:jc w:val="center"/>
              <w:rPr>
                <w:rFonts w:ascii="Times New Roman" w:eastAsia="Calibri" w:hAnsi="Times New Roman" w:cs="Times New Roman"/>
                <w:b/>
                <w:bCs/>
                <w:color w:val="2E74B5"/>
                <w:sz w:val="20"/>
                <w:szCs w:val="20"/>
              </w:rPr>
            </w:pPr>
            <w:r w:rsidRPr="00A07F29">
              <w:rPr>
                <w:rFonts w:ascii="Times New Roman" w:eastAsia="Calibri" w:hAnsi="Times New Roman" w:cs="Calibri"/>
                <w:sz w:val="24"/>
              </w:rPr>
              <w:t>-</w:t>
            </w:r>
          </w:p>
        </w:tc>
        <w:tc>
          <w:tcPr>
            <w:tcW w:w="1122" w:type="dxa"/>
            <w:vAlign w:val="center"/>
          </w:tcPr>
          <w:p w14:paraId="5988A078"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r>
      <w:tr w:rsidR="0075395E" w:rsidRPr="00A07F29" w14:paraId="678B9FD8" w14:textId="77777777" w:rsidTr="00B649FD">
        <w:trPr>
          <w:jc w:val="center"/>
        </w:trPr>
        <w:tc>
          <w:tcPr>
            <w:tcW w:w="557" w:type="dxa"/>
          </w:tcPr>
          <w:p w14:paraId="1767E60E" w14:textId="5A70B234" w:rsidR="002B1603" w:rsidRPr="00A07F29" w:rsidRDefault="00170C65" w:rsidP="00E67E47">
            <w:pPr>
              <w:spacing w:after="0"/>
              <w:contextualSpacing/>
              <w:rPr>
                <w:rFonts w:ascii="Times New Roman" w:eastAsia="Calibri" w:hAnsi="Times New Roman" w:cs="Times New Roman"/>
                <w:sz w:val="20"/>
                <w:szCs w:val="20"/>
              </w:rPr>
            </w:pPr>
            <w:r w:rsidRPr="00A07F29">
              <w:rPr>
                <w:rFonts w:ascii="Times New Roman" w:eastAsia="Calibri" w:hAnsi="Times New Roman" w:cs="Times New Roman"/>
                <w:sz w:val="20"/>
                <w:szCs w:val="20"/>
              </w:rPr>
              <w:t>29.</w:t>
            </w:r>
          </w:p>
        </w:tc>
        <w:tc>
          <w:tcPr>
            <w:tcW w:w="2410" w:type="dxa"/>
          </w:tcPr>
          <w:p w14:paraId="07F15A57" w14:textId="77777777" w:rsidR="002B1603" w:rsidRPr="00A07F29" w:rsidRDefault="002B1603" w:rsidP="0075395E">
            <w:pPr>
              <w:spacing w:after="0"/>
              <w:rPr>
                <w:rFonts w:ascii="Times New Roman" w:eastAsia="Calibri" w:hAnsi="Times New Roman" w:cs="Times New Roman"/>
                <w:sz w:val="20"/>
                <w:szCs w:val="20"/>
              </w:rPr>
            </w:pPr>
            <w:r w:rsidRPr="00A07F29">
              <w:rPr>
                <w:rFonts w:ascii="Times New Roman" w:eastAsia="Calibri" w:hAnsi="Times New Roman" w:cs="Times New Roman"/>
                <w:sz w:val="20"/>
                <w:szCs w:val="20"/>
              </w:rPr>
              <w:t>Kārpainais segliņš</w:t>
            </w:r>
          </w:p>
        </w:tc>
        <w:tc>
          <w:tcPr>
            <w:tcW w:w="2840" w:type="dxa"/>
          </w:tcPr>
          <w:p w14:paraId="5123785F" w14:textId="14E4F2FB" w:rsidR="002B1603" w:rsidRPr="00A07F29" w:rsidRDefault="002B1603" w:rsidP="0075395E">
            <w:pPr>
              <w:spacing w:after="0"/>
              <w:rPr>
                <w:rFonts w:ascii="Times New Roman" w:eastAsia="Calibri" w:hAnsi="Times New Roman" w:cs="Times New Roman"/>
                <w:i/>
                <w:sz w:val="20"/>
                <w:szCs w:val="20"/>
              </w:rPr>
            </w:pPr>
            <w:proofErr w:type="spellStart"/>
            <w:r w:rsidRPr="00A07F29">
              <w:rPr>
                <w:rFonts w:ascii="Times New Roman" w:eastAsia="Calibri" w:hAnsi="Times New Roman" w:cs="Times New Roman"/>
                <w:i/>
                <w:sz w:val="20"/>
                <w:szCs w:val="20"/>
              </w:rPr>
              <w:t>Euonymus</w:t>
            </w:r>
            <w:proofErr w:type="spellEnd"/>
            <w:r w:rsidRPr="00A07F29">
              <w:rPr>
                <w:rFonts w:ascii="Times New Roman" w:eastAsia="Calibri" w:hAnsi="Times New Roman" w:cs="Times New Roman"/>
                <w:i/>
                <w:sz w:val="20"/>
                <w:szCs w:val="20"/>
              </w:rPr>
              <w:t xml:space="preserve"> </w:t>
            </w:r>
            <w:proofErr w:type="spellStart"/>
            <w:r w:rsidRPr="00A07F29">
              <w:rPr>
                <w:rFonts w:ascii="Times New Roman" w:eastAsia="Calibri" w:hAnsi="Times New Roman" w:cs="Times New Roman"/>
                <w:i/>
                <w:sz w:val="20"/>
                <w:szCs w:val="20"/>
              </w:rPr>
              <w:t>verrucosa</w:t>
            </w:r>
            <w:proofErr w:type="spellEnd"/>
          </w:p>
        </w:tc>
        <w:tc>
          <w:tcPr>
            <w:tcW w:w="1134" w:type="dxa"/>
          </w:tcPr>
          <w:p w14:paraId="58CDBA43"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ĪAS</w:t>
            </w:r>
          </w:p>
        </w:tc>
        <w:tc>
          <w:tcPr>
            <w:tcW w:w="709" w:type="dxa"/>
          </w:tcPr>
          <w:p w14:paraId="676F8FCD"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c>
          <w:tcPr>
            <w:tcW w:w="1128" w:type="dxa"/>
          </w:tcPr>
          <w:p w14:paraId="3DECA827" w14:textId="77777777" w:rsidR="002B1603" w:rsidRPr="00A07F29" w:rsidRDefault="002B1603" w:rsidP="002B1603">
            <w:pPr>
              <w:spacing w:after="0"/>
              <w:jc w:val="center"/>
              <w:rPr>
                <w:rFonts w:ascii="Times New Roman" w:eastAsia="Calibri" w:hAnsi="Times New Roman" w:cs="Times New Roman"/>
                <w:b/>
                <w:bCs/>
                <w:color w:val="2E74B5"/>
                <w:sz w:val="20"/>
                <w:szCs w:val="20"/>
              </w:rPr>
            </w:pPr>
            <w:r w:rsidRPr="00A07F29">
              <w:rPr>
                <w:rFonts w:ascii="Times New Roman" w:eastAsia="Calibri" w:hAnsi="Times New Roman" w:cs="Calibri"/>
                <w:sz w:val="24"/>
              </w:rPr>
              <w:t>-</w:t>
            </w:r>
          </w:p>
        </w:tc>
        <w:tc>
          <w:tcPr>
            <w:tcW w:w="1122" w:type="dxa"/>
            <w:vAlign w:val="center"/>
          </w:tcPr>
          <w:p w14:paraId="3AFBC399"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r>
      <w:tr w:rsidR="0075395E" w:rsidRPr="00A07F29" w14:paraId="3F3BFE65" w14:textId="77777777" w:rsidTr="00B649FD">
        <w:trPr>
          <w:jc w:val="center"/>
        </w:trPr>
        <w:tc>
          <w:tcPr>
            <w:tcW w:w="557" w:type="dxa"/>
          </w:tcPr>
          <w:p w14:paraId="72800472" w14:textId="2FA6F70B" w:rsidR="002B1603" w:rsidRPr="00A07F29" w:rsidRDefault="00170C65" w:rsidP="00E67E47">
            <w:pPr>
              <w:spacing w:after="0"/>
              <w:contextualSpacing/>
              <w:rPr>
                <w:rFonts w:ascii="Times New Roman" w:eastAsia="Calibri" w:hAnsi="Times New Roman" w:cs="Times New Roman"/>
                <w:sz w:val="20"/>
                <w:szCs w:val="20"/>
              </w:rPr>
            </w:pPr>
            <w:r w:rsidRPr="00A07F29">
              <w:rPr>
                <w:rFonts w:ascii="Times New Roman" w:eastAsia="Calibri" w:hAnsi="Times New Roman" w:cs="Times New Roman"/>
                <w:sz w:val="20"/>
                <w:szCs w:val="20"/>
              </w:rPr>
              <w:t>30.</w:t>
            </w:r>
          </w:p>
        </w:tc>
        <w:tc>
          <w:tcPr>
            <w:tcW w:w="2410" w:type="dxa"/>
          </w:tcPr>
          <w:p w14:paraId="34378798" w14:textId="77777777" w:rsidR="002B1603" w:rsidRPr="00A07F29" w:rsidRDefault="002B1603" w:rsidP="0075395E">
            <w:pPr>
              <w:spacing w:after="0"/>
              <w:rPr>
                <w:rFonts w:ascii="Times New Roman" w:eastAsia="Calibri" w:hAnsi="Times New Roman" w:cs="Times New Roman"/>
                <w:sz w:val="20"/>
                <w:szCs w:val="20"/>
              </w:rPr>
            </w:pPr>
            <w:proofErr w:type="spellStart"/>
            <w:r w:rsidRPr="00A07F29">
              <w:rPr>
                <w:rFonts w:ascii="Times New Roman" w:eastAsia="Calibri" w:hAnsi="Times New Roman" w:cs="Times New Roman"/>
                <w:sz w:val="20"/>
                <w:szCs w:val="20"/>
              </w:rPr>
              <w:t>Šultesa</w:t>
            </w:r>
            <w:proofErr w:type="spellEnd"/>
            <w:r w:rsidRPr="00A07F29">
              <w:rPr>
                <w:rFonts w:ascii="Times New Roman" w:eastAsia="Calibri" w:hAnsi="Times New Roman" w:cs="Times New Roman"/>
                <w:sz w:val="20"/>
                <w:szCs w:val="20"/>
              </w:rPr>
              <w:t xml:space="preserve"> madara</w:t>
            </w:r>
          </w:p>
        </w:tc>
        <w:tc>
          <w:tcPr>
            <w:tcW w:w="2840" w:type="dxa"/>
          </w:tcPr>
          <w:p w14:paraId="5159A790" w14:textId="77777777" w:rsidR="002B1603" w:rsidRPr="00A07F29" w:rsidRDefault="002B1603" w:rsidP="0075395E">
            <w:pPr>
              <w:spacing w:after="0"/>
              <w:rPr>
                <w:rFonts w:ascii="Times New Roman" w:eastAsia="Calibri" w:hAnsi="Times New Roman" w:cs="Times New Roman"/>
                <w:i/>
                <w:sz w:val="20"/>
                <w:szCs w:val="20"/>
              </w:rPr>
            </w:pPr>
            <w:proofErr w:type="spellStart"/>
            <w:r w:rsidRPr="00A07F29">
              <w:rPr>
                <w:rFonts w:ascii="Times New Roman" w:eastAsia="Calibri" w:hAnsi="Times New Roman" w:cs="Times New Roman"/>
                <w:i/>
                <w:sz w:val="20"/>
                <w:szCs w:val="20"/>
              </w:rPr>
              <w:t>Galium</w:t>
            </w:r>
            <w:proofErr w:type="spellEnd"/>
            <w:r w:rsidRPr="00A07F29">
              <w:rPr>
                <w:rFonts w:ascii="Times New Roman" w:eastAsia="Calibri" w:hAnsi="Times New Roman" w:cs="Times New Roman"/>
                <w:i/>
                <w:sz w:val="20"/>
                <w:szCs w:val="20"/>
              </w:rPr>
              <w:t xml:space="preserve"> </w:t>
            </w:r>
            <w:proofErr w:type="spellStart"/>
            <w:r w:rsidRPr="00A07F29">
              <w:rPr>
                <w:rFonts w:ascii="Times New Roman" w:eastAsia="Calibri" w:hAnsi="Times New Roman" w:cs="Times New Roman"/>
                <w:i/>
                <w:sz w:val="20"/>
                <w:szCs w:val="20"/>
              </w:rPr>
              <w:t>schultesii</w:t>
            </w:r>
            <w:proofErr w:type="spellEnd"/>
          </w:p>
        </w:tc>
        <w:tc>
          <w:tcPr>
            <w:tcW w:w="1134" w:type="dxa"/>
          </w:tcPr>
          <w:p w14:paraId="777E14E1"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ĪAS</w:t>
            </w:r>
            <w:r w:rsidRPr="00A07F29">
              <w:rPr>
                <w:rFonts w:ascii="Times New Roman" w:eastAsia="Calibri" w:hAnsi="Times New Roman" w:cs="Times New Roman"/>
                <w:sz w:val="20"/>
                <w:szCs w:val="20"/>
                <w:vertAlign w:val="superscript"/>
              </w:rPr>
              <w:t>1</w:t>
            </w:r>
          </w:p>
        </w:tc>
        <w:tc>
          <w:tcPr>
            <w:tcW w:w="709" w:type="dxa"/>
          </w:tcPr>
          <w:p w14:paraId="3AF3E636"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c>
          <w:tcPr>
            <w:tcW w:w="1128" w:type="dxa"/>
          </w:tcPr>
          <w:p w14:paraId="39D383CE" w14:textId="77777777" w:rsidR="002B1603" w:rsidRPr="00A07F29" w:rsidRDefault="002B1603" w:rsidP="002B1603">
            <w:pPr>
              <w:spacing w:after="0"/>
              <w:jc w:val="center"/>
              <w:rPr>
                <w:rFonts w:ascii="Times New Roman" w:eastAsia="Calibri" w:hAnsi="Times New Roman" w:cs="Times New Roman"/>
                <w:b/>
                <w:bCs/>
                <w:color w:val="2E74B5"/>
                <w:sz w:val="20"/>
                <w:szCs w:val="20"/>
              </w:rPr>
            </w:pPr>
            <w:r w:rsidRPr="00A07F29">
              <w:rPr>
                <w:rFonts w:ascii="Times New Roman" w:eastAsia="Calibri" w:hAnsi="Times New Roman" w:cs="Calibri"/>
                <w:sz w:val="24"/>
              </w:rPr>
              <w:t>-</w:t>
            </w:r>
          </w:p>
        </w:tc>
        <w:tc>
          <w:tcPr>
            <w:tcW w:w="1122" w:type="dxa"/>
            <w:vAlign w:val="center"/>
          </w:tcPr>
          <w:p w14:paraId="027435AE"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r>
      <w:tr w:rsidR="0075395E" w:rsidRPr="00A07F29" w14:paraId="28F3DB02" w14:textId="77777777" w:rsidTr="00B649FD">
        <w:trPr>
          <w:jc w:val="center"/>
        </w:trPr>
        <w:tc>
          <w:tcPr>
            <w:tcW w:w="557" w:type="dxa"/>
          </w:tcPr>
          <w:p w14:paraId="7B9B4CA5" w14:textId="69990450" w:rsidR="002B1603" w:rsidRPr="00A07F29" w:rsidRDefault="00170C65" w:rsidP="00E67E47">
            <w:pPr>
              <w:spacing w:after="0"/>
              <w:contextualSpacing/>
              <w:rPr>
                <w:rFonts w:ascii="Times New Roman" w:eastAsia="Calibri" w:hAnsi="Times New Roman" w:cs="Times New Roman"/>
                <w:sz w:val="20"/>
                <w:szCs w:val="20"/>
              </w:rPr>
            </w:pPr>
            <w:r w:rsidRPr="00A07F29">
              <w:rPr>
                <w:rFonts w:ascii="Times New Roman" w:eastAsia="Calibri" w:hAnsi="Times New Roman" w:cs="Times New Roman"/>
                <w:sz w:val="20"/>
                <w:szCs w:val="20"/>
              </w:rPr>
              <w:lastRenderedPageBreak/>
              <w:t>31.</w:t>
            </w:r>
          </w:p>
        </w:tc>
        <w:tc>
          <w:tcPr>
            <w:tcW w:w="2410" w:type="dxa"/>
          </w:tcPr>
          <w:p w14:paraId="0FD852A0" w14:textId="77777777" w:rsidR="002B1603" w:rsidRPr="00A07F29" w:rsidRDefault="002B1603" w:rsidP="0075395E">
            <w:pPr>
              <w:spacing w:after="0"/>
              <w:rPr>
                <w:rFonts w:ascii="Times New Roman" w:eastAsia="Calibri" w:hAnsi="Times New Roman" w:cs="Times New Roman"/>
                <w:sz w:val="20"/>
                <w:szCs w:val="20"/>
              </w:rPr>
            </w:pPr>
            <w:proofErr w:type="spellStart"/>
            <w:r w:rsidRPr="00A07F29">
              <w:rPr>
                <w:rFonts w:ascii="Times New Roman" w:eastAsia="Calibri" w:hAnsi="Times New Roman" w:cs="Times New Roman"/>
                <w:sz w:val="20"/>
                <w:szCs w:val="20"/>
              </w:rPr>
              <w:t>Trīsdaivu</w:t>
            </w:r>
            <w:proofErr w:type="spellEnd"/>
            <w:r w:rsidRPr="00A07F29">
              <w:rPr>
                <w:rFonts w:ascii="Times New Roman" w:eastAsia="Calibri" w:hAnsi="Times New Roman" w:cs="Times New Roman"/>
                <w:sz w:val="20"/>
                <w:szCs w:val="20"/>
              </w:rPr>
              <w:t xml:space="preserve"> madara</w:t>
            </w:r>
          </w:p>
        </w:tc>
        <w:tc>
          <w:tcPr>
            <w:tcW w:w="2840" w:type="dxa"/>
          </w:tcPr>
          <w:p w14:paraId="78E68130" w14:textId="77777777" w:rsidR="002B1603" w:rsidRPr="00A07F29" w:rsidRDefault="002B1603" w:rsidP="0075395E">
            <w:pPr>
              <w:spacing w:after="0"/>
              <w:rPr>
                <w:rFonts w:ascii="Times New Roman" w:eastAsia="Calibri" w:hAnsi="Times New Roman" w:cs="Times New Roman"/>
                <w:i/>
                <w:sz w:val="20"/>
                <w:szCs w:val="20"/>
              </w:rPr>
            </w:pPr>
            <w:proofErr w:type="spellStart"/>
            <w:r w:rsidRPr="00A07F29">
              <w:rPr>
                <w:rFonts w:ascii="Times New Roman" w:eastAsia="Calibri" w:hAnsi="Times New Roman" w:cs="Times New Roman"/>
                <w:i/>
                <w:sz w:val="20"/>
                <w:szCs w:val="20"/>
              </w:rPr>
              <w:t>Galium</w:t>
            </w:r>
            <w:proofErr w:type="spellEnd"/>
            <w:r w:rsidRPr="00A07F29">
              <w:rPr>
                <w:rFonts w:ascii="Times New Roman" w:eastAsia="Calibri" w:hAnsi="Times New Roman" w:cs="Times New Roman"/>
                <w:i/>
                <w:sz w:val="20"/>
                <w:szCs w:val="20"/>
              </w:rPr>
              <w:t xml:space="preserve"> </w:t>
            </w:r>
            <w:proofErr w:type="spellStart"/>
            <w:r w:rsidRPr="00A07F29">
              <w:rPr>
                <w:rFonts w:ascii="Times New Roman" w:eastAsia="Calibri" w:hAnsi="Times New Roman" w:cs="Times New Roman"/>
                <w:i/>
                <w:sz w:val="20"/>
                <w:szCs w:val="20"/>
              </w:rPr>
              <w:t>trifidum</w:t>
            </w:r>
            <w:proofErr w:type="spellEnd"/>
          </w:p>
        </w:tc>
        <w:tc>
          <w:tcPr>
            <w:tcW w:w="1134" w:type="dxa"/>
          </w:tcPr>
          <w:p w14:paraId="3DF71010"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ĪAS</w:t>
            </w:r>
            <w:r w:rsidRPr="00A07F29">
              <w:rPr>
                <w:rFonts w:ascii="Times New Roman" w:eastAsia="Calibri" w:hAnsi="Times New Roman" w:cs="Times New Roman"/>
                <w:sz w:val="20"/>
                <w:szCs w:val="20"/>
                <w:vertAlign w:val="superscript"/>
              </w:rPr>
              <w:t>1</w:t>
            </w:r>
          </w:p>
        </w:tc>
        <w:tc>
          <w:tcPr>
            <w:tcW w:w="709" w:type="dxa"/>
          </w:tcPr>
          <w:p w14:paraId="4A3018F1"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c>
          <w:tcPr>
            <w:tcW w:w="1128" w:type="dxa"/>
          </w:tcPr>
          <w:p w14:paraId="3239BB4E" w14:textId="77777777" w:rsidR="002B1603" w:rsidRPr="00A07F29" w:rsidRDefault="002B1603" w:rsidP="002B1603">
            <w:pPr>
              <w:spacing w:after="0"/>
              <w:jc w:val="center"/>
              <w:rPr>
                <w:rFonts w:ascii="Times New Roman" w:eastAsia="Calibri" w:hAnsi="Times New Roman" w:cs="Times New Roman"/>
                <w:b/>
                <w:bCs/>
                <w:color w:val="2E74B5"/>
                <w:sz w:val="20"/>
                <w:szCs w:val="20"/>
              </w:rPr>
            </w:pPr>
            <w:r w:rsidRPr="00A07F29">
              <w:rPr>
                <w:rFonts w:ascii="Times New Roman" w:eastAsia="Calibri" w:hAnsi="Times New Roman" w:cs="Times New Roman"/>
                <w:color w:val="2E74B5"/>
                <w:sz w:val="20"/>
                <w:szCs w:val="20"/>
              </w:rPr>
              <w:t>-</w:t>
            </w:r>
          </w:p>
        </w:tc>
        <w:tc>
          <w:tcPr>
            <w:tcW w:w="1122" w:type="dxa"/>
            <w:vAlign w:val="center"/>
          </w:tcPr>
          <w:p w14:paraId="6BD36C6F"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r>
      <w:tr w:rsidR="0075395E" w:rsidRPr="00A07F29" w14:paraId="36AD4633" w14:textId="77777777" w:rsidTr="00B649FD">
        <w:trPr>
          <w:jc w:val="center"/>
        </w:trPr>
        <w:tc>
          <w:tcPr>
            <w:tcW w:w="557" w:type="dxa"/>
          </w:tcPr>
          <w:p w14:paraId="2E2598CB" w14:textId="5421842F" w:rsidR="002B1603" w:rsidRPr="00A07F29" w:rsidRDefault="00170C65" w:rsidP="00E67E47">
            <w:pPr>
              <w:spacing w:after="0"/>
              <w:contextualSpacing/>
              <w:rPr>
                <w:rFonts w:ascii="Times New Roman" w:eastAsia="Calibri" w:hAnsi="Times New Roman" w:cs="Times New Roman"/>
                <w:sz w:val="20"/>
                <w:szCs w:val="20"/>
              </w:rPr>
            </w:pPr>
            <w:r w:rsidRPr="00A07F29">
              <w:rPr>
                <w:rFonts w:ascii="Times New Roman" w:eastAsia="Calibri" w:hAnsi="Times New Roman" w:cs="Times New Roman"/>
                <w:sz w:val="20"/>
                <w:szCs w:val="20"/>
              </w:rPr>
              <w:t>32.</w:t>
            </w:r>
          </w:p>
        </w:tc>
        <w:tc>
          <w:tcPr>
            <w:tcW w:w="2410" w:type="dxa"/>
          </w:tcPr>
          <w:p w14:paraId="73637F02" w14:textId="77777777" w:rsidR="002B1603" w:rsidRPr="00A07F29" w:rsidRDefault="002B1603" w:rsidP="0075395E">
            <w:pPr>
              <w:spacing w:after="0"/>
              <w:rPr>
                <w:rFonts w:ascii="Times New Roman" w:eastAsia="Calibri" w:hAnsi="Times New Roman" w:cs="Times New Roman"/>
                <w:sz w:val="20"/>
                <w:szCs w:val="20"/>
              </w:rPr>
            </w:pPr>
            <w:proofErr w:type="spellStart"/>
            <w:r w:rsidRPr="00A07F29">
              <w:rPr>
                <w:rFonts w:ascii="Times New Roman" w:eastAsia="Calibri" w:hAnsi="Times New Roman" w:cs="Times New Roman"/>
                <w:sz w:val="20"/>
                <w:szCs w:val="20"/>
              </w:rPr>
              <w:t>Krustlapu</w:t>
            </w:r>
            <w:proofErr w:type="spellEnd"/>
            <w:r w:rsidRPr="00A07F29">
              <w:rPr>
                <w:rFonts w:ascii="Times New Roman" w:eastAsia="Calibri" w:hAnsi="Times New Roman" w:cs="Times New Roman"/>
                <w:sz w:val="20"/>
                <w:szCs w:val="20"/>
              </w:rPr>
              <w:t xml:space="preserve"> drudzene</w:t>
            </w:r>
          </w:p>
        </w:tc>
        <w:tc>
          <w:tcPr>
            <w:tcW w:w="2840" w:type="dxa"/>
          </w:tcPr>
          <w:p w14:paraId="4B0C52B5" w14:textId="77777777" w:rsidR="002B1603" w:rsidRPr="00A07F29" w:rsidRDefault="002B1603" w:rsidP="0075395E">
            <w:pPr>
              <w:spacing w:after="0"/>
              <w:rPr>
                <w:rFonts w:ascii="Times New Roman" w:eastAsia="Calibri" w:hAnsi="Times New Roman" w:cs="Times New Roman"/>
                <w:i/>
                <w:sz w:val="20"/>
                <w:szCs w:val="20"/>
              </w:rPr>
            </w:pPr>
            <w:proofErr w:type="spellStart"/>
            <w:r w:rsidRPr="00A07F29">
              <w:rPr>
                <w:rFonts w:ascii="Times New Roman" w:eastAsia="Calibri" w:hAnsi="Times New Roman" w:cs="Times New Roman"/>
                <w:i/>
                <w:sz w:val="20"/>
                <w:szCs w:val="20"/>
              </w:rPr>
              <w:t>Gentiana</w:t>
            </w:r>
            <w:proofErr w:type="spellEnd"/>
            <w:r w:rsidRPr="00A07F29">
              <w:rPr>
                <w:rFonts w:ascii="Times New Roman" w:eastAsia="Calibri" w:hAnsi="Times New Roman" w:cs="Times New Roman"/>
                <w:i/>
                <w:sz w:val="20"/>
                <w:szCs w:val="20"/>
              </w:rPr>
              <w:t xml:space="preserve"> </w:t>
            </w:r>
            <w:proofErr w:type="spellStart"/>
            <w:r w:rsidRPr="00A07F29">
              <w:rPr>
                <w:rFonts w:ascii="Times New Roman" w:eastAsia="Calibri" w:hAnsi="Times New Roman" w:cs="Times New Roman"/>
                <w:i/>
                <w:sz w:val="20"/>
                <w:szCs w:val="20"/>
              </w:rPr>
              <w:t>cruciata</w:t>
            </w:r>
            <w:proofErr w:type="spellEnd"/>
          </w:p>
        </w:tc>
        <w:tc>
          <w:tcPr>
            <w:tcW w:w="1134" w:type="dxa"/>
          </w:tcPr>
          <w:p w14:paraId="32CDC1A5"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ĪAS</w:t>
            </w:r>
            <w:r w:rsidRPr="00A07F29">
              <w:rPr>
                <w:rFonts w:ascii="Times New Roman" w:eastAsia="Calibri" w:hAnsi="Times New Roman" w:cs="Times New Roman"/>
                <w:sz w:val="20"/>
                <w:szCs w:val="20"/>
                <w:vertAlign w:val="superscript"/>
              </w:rPr>
              <w:t>1</w:t>
            </w:r>
          </w:p>
        </w:tc>
        <w:tc>
          <w:tcPr>
            <w:tcW w:w="709" w:type="dxa"/>
          </w:tcPr>
          <w:p w14:paraId="1A8AB341"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c>
          <w:tcPr>
            <w:tcW w:w="1128" w:type="dxa"/>
          </w:tcPr>
          <w:p w14:paraId="560B960F" w14:textId="77777777" w:rsidR="002B1603" w:rsidRPr="00A07F29" w:rsidRDefault="002B1603" w:rsidP="002B1603">
            <w:pPr>
              <w:spacing w:after="0"/>
              <w:jc w:val="center"/>
              <w:rPr>
                <w:rFonts w:ascii="Times New Roman" w:eastAsia="Calibri" w:hAnsi="Times New Roman" w:cs="Times New Roman"/>
                <w:b/>
                <w:bCs/>
                <w:color w:val="2E74B5"/>
                <w:sz w:val="20"/>
                <w:szCs w:val="20"/>
              </w:rPr>
            </w:pPr>
            <w:r w:rsidRPr="00A07F29">
              <w:rPr>
                <w:rFonts w:ascii="Times New Roman" w:eastAsia="Calibri" w:hAnsi="Times New Roman" w:cs="Times New Roman"/>
                <w:sz w:val="20"/>
                <w:szCs w:val="20"/>
              </w:rPr>
              <w:t>-</w:t>
            </w:r>
          </w:p>
        </w:tc>
        <w:tc>
          <w:tcPr>
            <w:tcW w:w="1122" w:type="dxa"/>
            <w:vAlign w:val="center"/>
          </w:tcPr>
          <w:p w14:paraId="1588A84D"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r>
      <w:tr w:rsidR="0075395E" w:rsidRPr="00A07F29" w14:paraId="093B539A" w14:textId="77777777" w:rsidTr="00B649FD">
        <w:trPr>
          <w:jc w:val="center"/>
        </w:trPr>
        <w:tc>
          <w:tcPr>
            <w:tcW w:w="557" w:type="dxa"/>
          </w:tcPr>
          <w:p w14:paraId="306ADD28" w14:textId="70D46A0A" w:rsidR="002B1603" w:rsidRPr="00A07F29" w:rsidRDefault="00170C65" w:rsidP="00E67E47">
            <w:pPr>
              <w:spacing w:after="0"/>
              <w:contextualSpacing/>
              <w:rPr>
                <w:rFonts w:ascii="Times New Roman" w:eastAsia="Calibri" w:hAnsi="Times New Roman" w:cs="Times New Roman"/>
                <w:sz w:val="20"/>
                <w:szCs w:val="20"/>
              </w:rPr>
            </w:pPr>
            <w:r w:rsidRPr="00A07F29">
              <w:rPr>
                <w:rFonts w:ascii="Times New Roman" w:eastAsia="Calibri" w:hAnsi="Times New Roman" w:cs="Times New Roman"/>
                <w:sz w:val="20"/>
                <w:szCs w:val="20"/>
              </w:rPr>
              <w:t>33.</w:t>
            </w:r>
          </w:p>
        </w:tc>
        <w:tc>
          <w:tcPr>
            <w:tcW w:w="2410" w:type="dxa"/>
          </w:tcPr>
          <w:p w14:paraId="0EB31E14" w14:textId="77777777" w:rsidR="002B1603" w:rsidRPr="00A07F29" w:rsidRDefault="002B1603" w:rsidP="0075395E">
            <w:pPr>
              <w:spacing w:after="0"/>
              <w:rPr>
                <w:rFonts w:ascii="Times New Roman" w:eastAsia="Calibri" w:hAnsi="Times New Roman" w:cs="Times New Roman"/>
                <w:sz w:val="20"/>
                <w:szCs w:val="20"/>
              </w:rPr>
            </w:pPr>
            <w:r w:rsidRPr="00A07F29">
              <w:rPr>
                <w:rFonts w:ascii="Times New Roman" w:eastAsia="Calibri" w:hAnsi="Times New Roman" w:cs="Times New Roman"/>
                <w:sz w:val="20"/>
                <w:szCs w:val="20"/>
              </w:rPr>
              <w:t>Tumšzilā drudzene</w:t>
            </w:r>
            <w:r w:rsidRPr="00A07F29">
              <w:rPr>
                <w:rFonts w:ascii="Times New Roman" w:eastAsia="Calibri" w:hAnsi="Times New Roman" w:cs="Times New Roman"/>
                <w:sz w:val="20"/>
                <w:szCs w:val="20"/>
                <w:vertAlign w:val="superscript"/>
              </w:rPr>
              <w:t>3</w:t>
            </w:r>
          </w:p>
        </w:tc>
        <w:tc>
          <w:tcPr>
            <w:tcW w:w="2840" w:type="dxa"/>
          </w:tcPr>
          <w:p w14:paraId="089590E1" w14:textId="77777777" w:rsidR="002B1603" w:rsidRPr="00A07F29" w:rsidRDefault="002B1603" w:rsidP="0075395E">
            <w:pPr>
              <w:spacing w:after="0"/>
              <w:rPr>
                <w:rFonts w:ascii="Times New Roman" w:eastAsia="Calibri" w:hAnsi="Times New Roman" w:cs="Times New Roman"/>
                <w:i/>
                <w:sz w:val="20"/>
                <w:szCs w:val="20"/>
              </w:rPr>
            </w:pPr>
            <w:proofErr w:type="spellStart"/>
            <w:r w:rsidRPr="00A07F29">
              <w:rPr>
                <w:rFonts w:ascii="Times New Roman" w:eastAsia="Calibri" w:hAnsi="Times New Roman" w:cs="Times New Roman"/>
                <w:i/>
                <w:sz w:val="20"/>
                <w:szCs w:val="20"/>
                <w:shd w:val="clear" w:color="auto" w:fill="FFFFFF"/>
              </w:rPr>
              <w:t>Gentiana</w:t>
            </w:r>
            <w:proofErr w:type="spellEnd"/>
            <w:r w:rsidRPr="00A07F29">
              <w:rPr>
                <w:rFonts w:ascii="Times New Roman" w:eastAsia="Calibri" w:hAnsi="Times New Roman" w:cs="Times New Roman"/>
                <w:i/>
                <w:sz w:val="20"/>
                <w:szCs w:val="20"/>
                <w:shd w:val="clear" w:color="auto" w:fill="FFFFFF"/>
              </w:rPr>
              <w:t xml:space="preserve"> </w:t>
            </w:r>
            <w:proofErr w:type="spellStart"/>
            <w:r w:rsidRPr="00A07F29">
              <w:rPr>
                <w:rFonts w:ascii="Times New Roman" w:eastAsia="Calibri" w:hAnsi="Times New Roman" w:cs="Times New Roman"/>
                <w:i/>
                <w:sz w:val="20"/>
                <w:szCs w:val="20"/>
                <w:shd w:val="clear" w:color="auto" w:fill="FFFFFF"/>
              </w:rPr>
              <w:t>pneumonanthe</w:t>
            </w:r>
            <w:proofErr w:type="spellEnd"/>
          </w:p>
        </w:tc>
        <w:tc>
          <w:tcPr>
            <w:tcW w:w="1134" w:type="dxa"/>
          </w:tcPr>
          <w:p w14:paraId="6CE3B046"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ĪAS</w:t>
            </w:r>
            <w:r w:rsidRPr="00A07F29">
              <w:rPr>
                <w:rFonts w:ascii="Times New Roman" w:eastAsia="Calibri" w:hAnsi="Times New Roman" w:cs="Times New Roman"/>
                <w:sz w:val="20"/>
                <w:szCs w:val="20"/>
                <w:vertAlign w:val="superscript"/>
              </w:rPr>
              <w:t>1</w:t>
            </w:r>
          </w:p>
        </w:tc>
        <w:tc>
          <w:tcPr>
            <w:tcW w:w="709" w:type="dxa"/>
          </w:tcPr>
          <w:p w14:paraId="75EE5188"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c>
          <w:tcPr>
            <w:tcW w:w="1128" w:type="dxa"/>
          </w:tcPr>
          <w:p w14:paraId="52BAC205" w14:textId="77777777" w:rsidR="002B1603" w:rsidRPr="00A07F29" w:rsidRDefault="002B1603" w:rsidP="002B1603">
            <w:pPr>
              <w:spacing w:after="0"/>
              <w:jc w:val="center"/>
              <w:rPr>
                <w:rFonts w:ascii="Times New Roman" w:eastAsia="Calibri" w:hAnsi="Times New Roman" w:cs="Times New Roman"/>
                <w:b/>
                <w:bCs/>
                <w:color w:val="2E74B5"/>
                <w:sz w:val="20"/>
                <w:szCs w:val="20"/>
              </w:rPr>
            </w:pPr>
            <w:r w:rsidRPr="00A07F29">
              <w:rPr>
                <w:rFonts w:ascii="Times New Roman" w:eastAsia="Calibri" w:hAnsi="Times New Roman" w:cs="Times New Roman"/>
                <w:sz w:val="20"/>
                <w:szCs w:val="20"/>
              </w:rPr>
              <w:t>-</w:t>
            </w:r>
          </w:p>
        </w:tc>
        <w:tc>
          <w:tcPr>
            <w:tcW w:w="1122" w:type="dxa"/>
            <w:vAlign w:val="center"/>
          </w:tcPr>
          <w:p w14:paraId="61B21E25"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r>
      <w:tr w:rsidR="0075395E" w:rsidRPr="00A07F29" w14:paraId="38298044" w14:textId="77777777" w:rsidTr="00B649FD">
        <w:trPr>
          <w:jc w:val="center"/>
        </w:trPr>
        <w:tc>
          <w:tcPr>
            <w:tcW w:w="557" w:type="dxa"/>
          </w:tcPr>
          <w:p w14:paraId="4402EC79" w14:textId="78FF971C" w:rsidR="002B1603" w:rsidRPr="00A07F29" w:rsidRDefault="00170C65" w:rsidP="00E67E47">
            <w:pPr>
              <w:spacing w:after="0"/>
              <w:contextualSpacing/>
              <w:rPr>
                <w:rFonts w:ascii="Times New Roman" w:eastAsia="Calibri" w:hAnsi="Times New Roman" w:cs="Times New Roman"/>
                <w:sz w:val="20"/>
                <w:szCs w:val="20"/>
              </w:rPr>
            </w:pPr>
            <w:r w:rsidRPr="00A07F29">
              <w:rPr>
                <w:rFonts w:ascii="Times New Roman" w:eastAsia="Calibri" w:hAnsi="Times New Roman" w:cs="Times New Roman"/>
                <w:sz w:val="20"/>
                <w:szCs w:val="20"/>
              </w:rPr>
              <w:t>34.</w:t>
            </w:r>
          </w:p>
        </w:tc>
        <w:tc>
          <w:tcPr>
            <w:tcW w:w="2410" w:type="dxa"/>
          </w:tcPr>
          <w:p w14:paraId="3F36BA45" w14:textId="77777777" w:rsidR="002B1603" w:rsidRPr="00A07F29" w:rsidRDefault="002B1603" w:rsidP="0075395E">
            <w:pPr>
              <w:spacing w:after="0"/>
              <w:rPr>
                <w:rFonts w:ascii="Times New Roman" w:eastAsia="Calibri" w:hAnsi="Times New Roman" w:cs="Times New Roman"/>
                <w:sz w:val="20"/>
                <w:szCs w:val="20"/>
              </w:rPr>
            </w:pPr>
            <w:r w:rsidRPr="00A07F29">
              <w:rPr>
                <w:rFonts w:ascii="Times New Roman" w:eastAsia="Calibri" w:hAnsi="Times New Roman" w:cs="Times New Roman"/>
                <w:sz w:val="20"/>
                <w:szCs w:val="20"/>
              </w:rPr>
              <w:t>Jumstiņu gladiola</w:t>
            </w:r>
          </w:p>
        </w:tc>
        <w:tc>
          <w:tcPr>
            <w:tcW w:w="2840" w:type="dxa"/>
          </w:tcPr>
          <w:p w14:paraId="3194BA84" w14:textId="77777777" w:rsidR="002B1603" w:rsidRPr="00A07F29" w:rsidRDefault="002B1603" w:rsidP="0075395E">
            <w:pPr>
              <w:spacing w:after="0"/>
              <w:rPr>
                <w:rFonts w:ascii="Times New Roman" w:eastAsia="Calibri" w:hAnsi="Times New Roman" w:cs="Times New Roman"/>
                <w:i/>
                <w:sz w:val="20"/>
                <w:szCs w:val="20"/>
                <w:shd w:val="clear" w:color="auto" w:fill="FFFFFF"/>
              </w:rPr>
            </w:pPr>
            <w:proofErr w:type="spellStart"/>
            <w:r w:rsidRPr="00A07F29">
              <w:rPr>
                <w:rFonts w:ascii="Times New Roman" w:eastAsia="Calibri" w:hAnsi="Times New Roman" w:cs="Times New Roman"/>
                <w:i/>
                <w:sz w:val="20"/>
                <w:szCs w:val="20"/>
                <w:shd w:val="clear" w:color="auto" w:fill="FFFFFF"/>
              </w:rPr>
              <w:t>Gladiolus</w:t>
            </w:r>
            <w:proofErr w:type="spellEnd"/>
            <w:r w:rsidRPr="00A07F29">
              <w:rPr>
                <w:rFonts w:ascii="Times New Roman" w:eastAsia="Calibri" w:hAnsi="Times New Roman" w:cs="Times New Roman"/>
                <w:i/>
                <w:sz w:val="20"/>
                <w:szCs w:val="20"/>
                <w:shd w:val="clear" w:color="auto" w:fill="FFFFFF"/>
              </w:rPr>
              <w:t xml:space="preserve"> </w:t>
            </w:r>
            <w:proofErr w:type="spellStart"/>
            <w:r w:rsidRPr="00A07F29">
              <w:rPr>
                <w:rFonts w:ascii="Times New Roman" w:eastAsia="Calibri" w:hAnsi="Times New Roman" w:cs="Times New Roman"/>
                <w:i/>
                <w:sz w:val="20"/>
                <w:szCs w:val="20"/>
                <w:shd w:val="clear" w:color="auto" w:fill="FFFFFF"/>
              </w:rPr>
              <w:t>imbricatus</w:t>
            </w:r>
            <w:proofErr w:type="spellEnd"/>
          </w:p>
        </w:tc>
        <w:tc>
          <w:tcPr>
            <w:tcW w:w="1134" w:type="dxa"/>
          </w:tcPr>
          <w:p w14:paraId="31C41E70"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ĪAS</w:t>
            </w:r>
            <w:r w:rsidRPr="00A07F29">
              <w:rPr>
                <w:rFonts w:ascii="Times New Roman" w:eastAsia="Calibri" w:hAnsi="Times New Roman" w:cs="Times New Roman"/>
                <w:sz w:val="20"/>
                <w:szCs w:val="20"/>
                <w:vertAlign w:val="superscript"/>
              </w:rPr>
              <w:t>1</w:t>
            </w:r>
          </w:p>
        </w:tc>
        <w:tc>
          <w:tcPr>
            <w:tcW w:w="709" w:type="dxa"/>
          </w:tcPr>
          <w:p w14:paraId="4BD08947"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c>
          <w:tcPr>
            <w:tcW w:w="1128" w:type="dxa"/>
          </w:tcPr>
          <w:p w14:paraId="1A2F336D" w14:textId="77777777" w:rsidR="002B1603" w:rsidRPr="00A07F29" w:rsidRDefault="002B1603" w:rsidP="002B1603">
            <w:pPr>
              <w:spacing w:after="0"/>
              <w:jc w:val="center"/>
              <w:rPr>
                <w:rFonts w:ascii="Times New Roman" w:eastAsia="Calibri" w:hAnsi="Times New Roman" w:cs="Times New Roman"/>
                <w:b/>
                <w:bCs/>
                <w:color w:val="2E74B5"/>
                <w:sz w:val="20"/>
                <w:szCs w:val="20"/>
              </w:rPr>
            </w:pPr>
            <w:r w:rsidRPr="00A07F29">
              <w:rPr>
                <w:rFonts w:ascii="Times New Roman" w:eastAsia="Calibri" w:hAnsi="Times New Roman" w:cs="Times New Roman"/>
                <w:sz w:val="20"/>
                <w:szCs w:val="20"/>
              </w:rPr>
              <w:t>-</w:t>
            </w:r>
          </w:p>
        </w:tc>
        <w:tc>
          <w:tcPr>
            <w:tcW w:w="1122" w:type="dxa"/>
            <w:vAlign w:val="center"/>
          </w:tcPr>
          <w:p w14:paraId="1FD48CC7"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r>
      <w:tr w:rsidR="0075395E" w:rsidRPr="00A07F29" w14:paraId="3EBDD109" w14:textId="77777777" w:rsidTr="00B649FD">
        <w:trPr>
          <w:jc w:val="center"/>
        </w:trPr>
        <w:tc>
          <w:tcPr>
            <w:tcW w:w="557" w:type="dxa"/>
          </w:tcPr>
          <w:p w14:paraId="2B2A7F9B" w14:textId="5A664A13" w:rsidR="002B1603" w:rsidRPr="00A07F29" w:rsidRDefault="00170C65" w:rsidP="00E67E47">
            <w:pPr>
              <w:spacing w:after="0"/>
              <w:contextualSpacing/>
              <w:rPr>
                <w:rFonts w:ascii="Times New Roman" w:eastAsia="Calibri" w:hAnsi="Times New Roman" w:cs="Times New Roman"/>
                <w:sz w:val="20"/>
                <w:szCs w:val="20"/>
              </w:rPr>
            </w:pPr>
            <w:r w:rsidRPr="00A07F29">
              <w:rPr>
                <w:rFonts w:ascii="Times New Roman" w:eastAsia="Calibri" w:hAnsi="Times New Roman" w:cs="Times New Roman"/>
                <w:sz w:val="20"/>
                <w:szCs w:val="20"/>
              </w:rPr>
              <w:t>35.</w:t>
            </w:r>
          </w:p>
        </w:tc>
        <w:tc>
          <w:tcPr>
            <w:tcW w:w="2410" w:type="dxa"/>
          </w:tcPr>
          <w:p w14:paraId="186E1B0D" w14:textId="77777777" w:rsidR="002B1603" w:rsidRPr="00A07F29" w:rsidRDefault="002B1603" w:rsidP="0075395E">
            <w:pPr>
              <w:spacing w:after="0"/>
              <w:rPr>
                <w:rFonts w:ascii="Times New Roman" w:eastAsia="Calibri" w:hAnsi="Times New Roman" w:cs="Times New Roman"/>
                <w:sz w:val="20"/>
                <w:szCs w:val="20"/>
              </w:rPr>
            </w:pPr>
            <w:r w:rsidRPr="00A07F29">
              <w:rPr>
                <w:rFonts w:ascii="Times New Roman" w:eastAsia="Calibri" w:hAnsi="Times New Roman" w:cs="Times New Roman"/>
                <w:sz w:val="20"/>
                <w:szCs w:val="20"/>
              </w:rPr>
              <w:t xml:space="preserve">Ārstniecības </w:t>
            </w:r>
            <w:proofErr w:type="spellStart"/>
            <w:r w:rsidRPr="00A07F29">
              <w:rPr>
                <w:rFonts w:ascii="Times New Roman" w:eastAsia="Calibri" w:hAnsi="Times New Roman" w:cs="Times New Roman"/>
                <w:sz w:val="20"/>
                <w:szCs w:val="20"/>
              </w:rPr>
              <w:t>rūgtene</w:t>
            </w:r>
            <w:proofErr w:type="spellEnd"/>
          </w:p>
        </w:tc>
        <w:tc>
          <w:tcPr>
            <w:tcW w:w="2840" w:type="dxa"/>
          </w:tcPr>
          <w:p w14:paraId="53108EF9" w14:textId="77777777" w:rsidR="002B1603" w:rsidRPr="00A07F29" w:rsidRDefault="002B1603" w:rsidP="0075395E">
            <w:pPr>
              <w:spacing w:after="0"/>
              <w:rPr>
                <w:rFonts w:ascii="Times New Roman" w:eastAsia="Calibri" w:hAnsi="Times New Roman" w:cs="Times New Roman"/>
                <w:i/>
                <w:sz w:val="20"/>
                <w:szCs w:val="20"/>
              </w:rPr>
            </w:pPr>
            <w:proofErr w:type="spellStart"/>
            <w:r w:rsidRPr="00A07F29">
              <w:rPr>
                <w:rFonts w:ascii="Times New Roman" w:eastAsia="Calibri" w:hAnsi="Times New Roman" w:cs="Times New Roman"/>
                <w:i/>
                <w:sz w:val="20"/>
                <w:szCs w:val="20"/>
              </w:rPr>
              <w:t>Gratiola</w:t>
            </w:r>
            <w:proofErr w:type="spellEnd"/>
            <w:r w:rsidRPr="00A07F29">
              <w:rPr>
                <w:rFonts w:ascii="Times New Roman" w:eastAsia="Calibri" w:hAnsi="Times New Roman" w:cs="Times New Roman"/>
                <w:i/>
                <w:sz w:val="20"/>
                <w:szCs w:val="20"/>
              </w:rPr>
              <w:t xml:space="preserve"> </w:t>
            </w:r>
            <w:proofErr w:type="spellStart"/>
            <w:r w:rsidRPr="00A07F29">
              <w:rPr>
                <w:rFonts w:ascii="Times New Roman" w:eastAsia="Calibri" w:hAnsi="Times New Roman" w:cs="Times New Roman"/>
                <w:i/>
                <w:sz w:val="20"/>
                <w:szCs w:val="20"/>
              </w:rPr>
              <w:t>officinalis</w:t>
            </w:r>
            <w:proofErr w:type="spellEnd"/>
          </w:p>
        </w:tc>
        <w:tc>
          <w:tcPr>
            <w:tcW w:w="1134" w:type="dxa"/>
          </w:tcPr>
          <w:p w14:paraId="3D49CAB6"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ĪAS</w:t>
            </w:r>
            <w:r w:rsidRPr="00A07F29">
              <w:rPr>
                <w:rFonts w:ascii="Times New Roman" w:eastAsia="Calibri" w:hAnsi="Times New Roman" w:cs="Times New Roman"/>
                <w:sz w:val="20"/>
                <w:szCs w:val="20"/>
                <w:vertAlign w:val="superscript"/>
              </w:rPr>
              <w:t>1</w:t>
            </w:r>
          </w:p>
        </w:tc>
        <w:tc>
          <w:tcPr>
            <w:tcW w:w="709" w:type="dxa"/>
          </w:tcPr>
          <w:p w14:paraId="52F2834E"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c>
          <w:tcPr>
            <w:tcW w:w="1128" w:type="dxa"/>
          </w:tcPr>
          <w:p w14:paraId="3CA42359" w14:textId="77777777" w:rsidR="002B1603" w:rsidRPr="00A07F29" w:rsidRDefault="002B1603" w:rsidP="002B1603">
            <w:pPr>
              <w:spacing w:after="0"/>
              <w:jc w:val="center"/>
              <w:rPr>
                <w:rFonts w:ascii="Times New Roman" w:eastAsia="Calibri" w:hAnsi="Times New Roman" w:cs="Times New Roman"/>
                <w:b/>
                <w:bCs/>
                <w:color w:val="2E74B5"/>
                <w:sz w:val="20"/>
                <w:szCs w:val="20"/>
              </w:rPr>
            </w:pPr>
            <w:r w:rsidRPr="00A07F29">
              <w:rPr>
                <w:rFonts w:ascii="Times New Roman" w:eastAsia="Calibri" w:hAnsi="Times New Roman" w:cs="Times New Roman"/>
                <w:sz w:val="20"/>
                <w:szCs w:val="20"/>
              </w:rPr>
              <w:t>-</w:t>
            </w:r>
          </w:p>
        </w:tc>
        <w:tc>
          <w:tcPr>
            <w:tcW w:w="1122" w:type="dxa"/>
            <w:vAlign w:val="center"/>
          </w:tcPr>
          <w:p w14:paraId="7FECE944"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r>
      <w:tr w:rsidR="0075395E" w:rsidRPr="00A07F29" w14:paraId="6F8D849D" w14:textId="77777777" w:rsidTr="00B649FD">
        <w:trPr>
          <w:jc w:val="center"/>
        </w:trPr>
        <w:tc>
          <w:tcPr>
            <w:tcW w:w="557" w:type="dxa"/>
          </w:tcPr>
          <w:p w14:paraId="13091F83" w14:textId="5745E17E" w:rsidR="002B1603" w:rsidRPr="00A07F29" w:rsidRDefault="00170C65" w:rsidP="00E67E47">
            <w:pPr>
              <w:spacing w:after="0"/>
              <w:contextualSpacing/>
              <w:rPr>
                <w:rFonts w:ascii="Times New Roman" w:eastAsia="Calibri" w:hAnsi="Times New Roman" w:cs="Times New Roman"/>
                <w:sz w:val="20"/>
                <w:szCs w:val="20"/>
              </w:rPr>
            </w:pPr>
            <w:r w:rsidRPr="00A07F29">
              <w:rPr>
                <w:rFonts w:ascii="Times New Roman" w:eastAsia="Calibri" w:hAnsi="Times New Roman" w:cs="Times New Roman"/>
                <w:sz w:val="20"/>
                <w:szCs w:val="20"/>
              </w:rPr>
              <w:t>36.</w:t>
            </w:r>
          </w:p>
        </w:tc>
        <w:tc>
          <w:tcPr>
            <w:tcW w:w="2410" w:type="dxa"/>
          </w:tcPr>
          <w:p w14:paraId="600AA4E0" w14:textId="77777777" w:rsidR="002B1603" w:rsidRPr="00A07F29" w:rsidRDefault="002B1603" w:rsidP="0075395E">
            <w:pPr>
              <w:spacing w:after="0"/>
              <w:rPr>
                <w:rFonts w:ascii="Times New Roman" w:eastAsia="Calibri" w:hAnsi="Times New Roman" w:cs="Times New Roman"/>
                <w:sz w:val="20"/>
                <w:szCs w:val="20"/>
              </w:rPr>
            </w:pPr>
            <w:r w:rsidRPr="00A07F29">
              <w:rPr>
                <w:rFonts w:ascii="Times New Roman" w:eastAsia="Calibri" w:hAnsi="Times New Roman" w:cs="Times New Roman"/>
                <w:sz w:val="20"/>
                <w:szCs w:val="20"/>
              </w:rPr>
              <w:t xml:space="preserve">Odu </w:t>
            </w:r>
            <w:proofErr w:type="spellStart"/>
            <w:r w:rsidRPr="00A07F29">
              <w:rPr>
                <w:rFonts w:ascii="Times New Roman" w:eastAsia="Calibri" w:hAnsi="Times New Roman" w:cs="Times New Roman"/>
                <w:sz w:val="20"/>
                <w:szCs w:val="20"/>
              </w:rPr>
              <w:t>gimnadēnija</w:t>
            </w:r>
            <w:proofErr w:type="spellEnd"/>
          </w:p>
        </w:tc>
        <w:tc>
          <w:tcPr>
            <w:tcW w:w="2840" w:type="dxa"/>
          </w:tcPr>
          <w:p w14:paraId="13641FBC" w14:textId="77777777" w:rsidR="002B1603" w:rsidRPr="00A07F29" w:rsidRDefault="002B1603" w:rsidP="0075395E">
            <w:pPr>
              <w:spacing w:after="0"/>
              <w:rPr>
                <w:rFonts w:ascii="Times New Roman" w:eastAsia="Calibri" w:hAnsi="Times New Roman" w:cs="Times New Roman"/>
                <w:i/>
                <w:sz w:val="20"/>
                <w:szCs w:val="20"/>
              </w:rPr>
            </w:pPr>
            <w:proofErr w:type="spellStart"/>
            <w:r w:rsidRPr="00A07F29">
              <w:rPr>
                <w:rFonts w:ascii="Times New Roman" w:eastAsia="Calibri" w:hAnsi="Times New Roman" w:cs="Times New Roman"/>
                <w:i/>
                <w:sz w:val="20"/>
                <w:szCs w:val="20"/>
                <w:shd w:val="clear" w:color="auto" w:fill="FFFFFF"/>
              </w:rPr>
              <w:t>Gymnadenia</w:t>
            </w:r>
            <w:proofErr w:type="spellEnd"/>
            <w:r w:rsidRPr="00A07F29">
              <w:rPr>
                <w:rFonts w:ascii="Times New Roman" w:eastAsia="Calibri" w:hAnsi="Times New Roman" w:cs="Times New Roman"/>
                <w:i/>
                <w:sz w:val="20"/>
                <w:szCs w:val="20"/>
                <w:shd w:val="clear" w:color="auto" w:fill="FFFFFF"/>
              </w:rPr>
              <w:t xml:space="preserve"> </w:t>
            </w:r>
            <w:proofErr w:type="spellStart"/>
            <w:r w:rsidRPr="00A07F29">
              <w:rPr>
                <w:rFonts w:ascii="Times New Roman" w:eastAsia="Calibri" w:hAnsi="Times New Roman" w:cs="Times New Roman"/>
                <w:i/>
                <w:sz w:val="20"/>
                <w:szCs w:val="20"/>
                <w:shd w:val="clear" w:color="auto" w:fill="FFFFFF"/>
              </w:rPr>
              <w:t>conopsea</w:t>
            </w:r>
            <w:proofErr w:type="spellEnd"/>
          </w:p>
        </w:tc>
        <w:tc>
          <w:tcPr>
            <w:tcW w:w="1134" w:type="dxa"/>
          </w:tcPr>
          <w:p w14:paraId="03223A87"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ĪAS</w:t>
            </w:r>
          </w:p>
        </w:tc>
        <w:tc>
          <w:tcPr>
            <w:tcW w:w="709" w:type="dxa"/>
          </w:tcPr>
          <w:p w14:paraId="532C0E9B"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c>
          <w:tcPr>
            <w:tcW w:w="1128" w:type="dxa"/>
          </w:tcPr>
          <w:p w14:paraId="5C3927AD" w14:textId="77777777" w:rsidR="002B1603" w:rsidRPr="00A07F29" w:rsidRDefault="002B1603" w:rsidP="002B1603">
            <w:pPr>
              <w:spacing w:after="0"/>
              <w:jc w:val="center"/>
              <w:rPr>
                <w:rFonts w:ascii="Times New Roman" w:eastAsia="Calibri" w:hAnsi="Times New Roman" w:cs="Times New Roman"/>
                <w:b/>
                <w:bCs/>
                <w:color w:val="2E74B5"/>
                <w:sz w:val="20"/>
                <w:szCs w:val="20"/>
              </w:rPr>
            </w:pPr>
            <w:r w:rsidRPr="00A07F29">
              <w:rPr>
                <w:rFonts w:ascii="Times New Roman" w:eastAsia="Calibri" w:hAnsi="Times New Roman" w:cs="Times New Roman"/>
                <w:sz w:val="20"/>
                <w:szCs w:val="20"/>
              </w:rPr>
              <w:t>-</w:t>
            </w:r>
          </w:p>
        </w:tc>
        <w:tc>
          <w:tcPr>
            <w:tcW w:w="1122" w:type="dxa"/>
            <w:vAlign w:val="center"/>
          </w:tcPr>
          <w:p w14:paraId="17B400C0"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r>
      <w:tr w:rsidR="0075395E" w:rsidRPr="00A07F29" w14:paraId="22983DEB" w14:textId="77777777" w:rsidTr="00B649FD">
        <w:trPr>
          <w:jc w:val="center"/>
        </w:trPr>
        <w:tc>
          <w:tcPr>
            <w:tcW w:w="557" w:type="dxa"/>
          </w:tcPr>
          <w:p w14:paraId="23256416" w14:textId="15F451F6" w:rsidR="002B1603" w:rsidRPr="00A07F29" w:rsidRDefault="00170C65" w:rsidP="00E67E47">
            <w:pPr>
              <w:spacing w:after="0"/>
              <w:contextualSpacing/>
              <w:rPr>
                <w:rFonts w:ascii="Times New Roman" w:eastAsia="Calibri" w:hAnsi="Times New Roman" w:cs="Times New Roman"/>
                <w:sz w:val="20"/>
                <w:szCs w:val="20"/>
              </w:rPr>
            </w:pPr>
            <w:r w:rsidRPr="00A07F29">
              <w:rPr>
                <w:rFonts w:ascii="Times New Roman" w:eastAsia="Calibri" w:hAnsi="Times New Roman" w:cs="Times New Roman"/>
                <w:sz w:val="20"/>
                <w:szCs w:val="20"/>
              </w:rPr>
              <w:t>37.</w:t>
            </w:r>
          </w:p>
        </w:tc>
        <w:tc>
          <w:tcPr>
            <w:tcW w:w="2410" w:type="dxa"/>
          </w:tcPr>
          <w:p w14:paraId="22C9484C" w14:textId="655213B3" w:rsidR="002B1603" w:rsidRPr="00A07F29" w:rsidRDefault="002B1603" w:rsidP="00473E20">
            <w:pPr>
              <w:spacing w:after="0"/>
              <w:rPr>
                <w:rFonts w:ascii="Times New Roman" w:eastAsia="Calibri" w:hAnsi="Times New Roman" w:cs="Times New Roman"/>
                <w:sz w:val="20"/>
                <w:szCs w:val="20"/>
              </w:rPr>
            </w:pPr>
            <w:proofErr w:type="spellStart"/>
            <w:r w:rsidRPr="00A07F29">
              <w:rPr>
                <w:rFonts w:ascii="Times New Roman" w:eastAsia="Calibri" w:hAnsi="Times New Roman" w:cs="Times New Roman"/>
                <w:sz w:val="20"/>
                <w:szCs w:val="20"/>
              </w:rPr>
              <w:t>Garkāta</w:t>
            </w:r>
            <w:proofErr w:type="spellEnd"/>
            <w:r w:rsidRPr="00A07F29">
              <w:rPr>
                <w:rFonts w:ascii="Times New Roman" w:eastAsia="Calibri" w:hAnsi="Times New Roman" w:cs="Times New Roman"/>
                <w:sz w:val="20"/>
                <w:szCs w:val="20"/>
              </w:rPr>
              <w:t xml:space="preserve"> ģipsene</w:t>
            </w:r>
          </w:p>
        </w:tc>
        <w:tc>
          <w:tcPr>
            <w:tcW w:w="2840" w:type="dxa"/>
          </w:tcPr>
          <w:p w14:paraId="1EE75112" w14:textId="77777777" w:rsidR="002B1603" w:rsidRPr="00A07F29" w:rsidRDefault="002B1603" w:rsidP="0075395E">
            <w:pPr>
              <w:spacing w:after="0"/>
              <w:rPr>
                <w:rFonts w:ascii="Times New Roman" w:eastAsia="Calibri" w:hAnsi="Times New Roman" w:cs="Times New Roman"/>
                <w:i/>
                <w:sz w:val="20"/>
                <w:szCs w:val="20"/>
              </w:rPr>
            </w:pPr>
            <w:proofErr w:type="spellStart"/>
            <w:r w:rsidRPr="00A07F29">
              <w:rPr>
                <w:rFonts w:ascii="Times New Roman" w:eastAsia="Calibri" w:hAnsi="Times New Roman" w:cs="Times New Roman"/>
                <w:i/>
                <w:sz w:val="20"/>
                <w:szCs w:val="20"/>
              </w:rPr>
              <w:t>Gypsophila</w:t>
            </w:r>
            <w:proofErr w:type="spellEnd"/>
            <w:r w:rsidRPr="00A07F29">
              <w:rPr>
                <w:rFonts w:ascii="Times New Roman" w:eastAsia="Calibri" w:hAnsi="Times New Roman" w:cs="Times New Roman"/>
                <w:i/>
                <w:sz w:val="20"/>
                <w:szCs w:val="20"/>
              </w:rPr>
              <w:t xml:space="preserve"> </w:t>
            </w:r>
            <w:proofErr w:type="spellStart"/>
            <w:r w:rsidRPr="00A07F29">
              <w:rPr>
                <w:rFonts w:ascii="Times New Roman" w:eastAsia="Calibri" w:hAnsi="Times New Roman" w:cs="Times New Roman"/>
                <w:i/>
                <w:sz w:val="20"/>
                <w:szCs w:val="20"/>
              </w:rPr>
              <w:t>fastigiata</w:t>
            </w:r>
            <w:proofErr w:type="spellEnd"/>
          </w:p>
        </w:tc>
        <w:tc>
          <w:tcPr>
            <w:tcW w:w="1134" w:type="dxa"/>
          </w:tcPr>
          <w:p w14:paraId="2B1DE1A1"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ĪAS</w:t>
            </w:r>
            <w:r w:rsidRPr="00A07F29">
              <w:rPr>
                <w:rFonts w:ascii="Times New Roman" w:eastAsia="Calibri" w:hAnsi="Times New Roman" w:cs="Times New Roman"/>
                <w:sz w:val="20"/>
                <w:szCs w:val="20"/>
                <w:vertAlign w:val="superscript"/>
              </w:rPr>
              <w:t>1</w:t>
            </w:r>
          </w:p>
        </w:tc>
        <w:tc>
          <w:tcPr>
            <w:tcW w:w="709" w:type="dxa"/>
          </w:tcPr>
          <w:p w14:paraId="346598E8"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c>
          <w:tcPr>
            <w:tcW w:w="1128" w:type="dxa"/>
          </w:tcPr>
          <w:p w14:paraId="38A7D7B2" w14:textId="77777777" w:rsidR="002B1603" w:rsidRPr="00A07F29" w:rsidRDefault="002B1603" w:rsidP="002B1603">
            <w:pPr>
              <w:spacing w:after="0"/>
              <w:jc w:val="center"/>
              <w:rPr>
                <w:rFonts w:ascii="Times New Roman" w:eastAsia="Calibri" w:hAnsi="Times New Roman" w:cs="Times New Roman"/>
                <w:b/>
                <w:bCs/>
                <w:color w:val="2E74B5"/>
                <w:sz w:val="20"/>
                <w:szCs w:val="20"/>
              </w:rPr>
            </w:pPr>
            <w:r w:rsidRPr="00A07F29">
              <w:rPr>
                <w:rFonts w:ascii="Times New Roman" w:eastAsia="Calibri" w:hAnsi="Times New Roman" w:cs="Calibri"/>
                <w:sz w:val="24"/>
              </w:rPr>
              <w:t>-</w:t>
            </w:r>
          </w:p>
        </w:tc>
        <w:tc>
          <w:tcPr>
            <w:tcW w:w="1122" w:type="dxa"/>
            <w:vAlign w:val="center"/>
          </w:tcPr>
          <w:p w14:paraId="1A0A9238"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r>
      <w:tr w:rsidR="0075395E" w:rsidRPr="00A07F29" w14:paraId="6C57D7AE" w14:textId="77777777" w:rsidTr="00B649FD">
        <w:trPr>
          <w:jc w:val="center"/>
        </w:trPr>
        <w:tc>
          <w:tcPr>
            <w:tcW w:w="557" w:type="dxa"/>
          </w:tcPr>
          <w:p w14:paraId="458C3677" w14:textId="5BA612C5" w:rsidR="002B1603" w:rsidRPr="00A07F29" w:rsidRDefault="00170C65" w:rsidP="00E67E47">
            <w:pPr>
              <w:spacing w:after="0"/>
              <w:contextualSpacing/>
              <w:rPr>
                <w:rFonts w:ascii="Times New Roman" w:eastAsia="Calibri" w:hAnsi="Times New Roman" w:cs="Times New Roman"/>
                <w:sz w:val="20"/>
                <w:szCs w:val="20"/>
              </w:rPr>
            </w:pPr>
            <w:r w:rsidRPr="00A07F29">
              <w:rPr>
                <w:rFonts w:ascii="Times New Roman" w:eastAsia="Calibri" w:hAnsi="Times New Roman" w:cs="Times New Roman"/>
                <w:sz w:val="20"/>
                <w:szCs w:val="20"/>
              </w:rPr>
              <w:t>38.</w:t>
            </w:r>
          </w:p>
        </w:tc>
        <w:tc>
          <w:tcPr>
            <w:tcW w:w="2410" w:type="dxa"/>
          </w:tcPr>
          <w:p w14:paraId="2F1241C2" w14:textId="77777777" w:rsidR="002B1603" w:rsidRPr="00A07F29" w:rsidRDefault="002B1603" w:rsidP="0075395E">
            <w:pPr>
              <w:spacing w:after="0"/>
              <w:rPr>
                <w:rFonts w:ascii="Times New Roman" w:eastAsia="Calibri" w:hAnsi="Times New Roman" w:cs="Times New Roman"/>
                <w:sz w:val="20"/>
                <w:szCs w:val="20"/>
              </w:rPr>
            </w:pPr>
            <w:r w:rsidRPr="00A07F29">
              <w:rPr>
                <w:rFonts w:ascii="Times New Roman" w:eastAsia="Calibri" w:hAnsi="Times New Roman" w:cs="Times New Roman"/>
                <w:sz w:val="20"/>
                <w:szCs w:val="20"/>
              </w:rPr>
              <w:t xml:space="preserve">Purva </w:t>
            </w:r>
            <w:proofErr w:type="spellStart"/>
            <w:r w:rsidRPr="00A07F29">
              <w:rPr>
                <w:rFonts w:ascii="Times New Roman" w:eastAsia="Calibri" w:hAnsi="Times New Roman" w:cs="Times New Roman"/>
                <w:sz w:val="20"/>
                <w:szCs w:val="20"/>
              </w:rPr>
              <w:t>hamarbija</w:t>
            </w:r>
            <w:proofErr w:type="spellEnd"/>
          </w:p>
        </w:tc>
        <w:tc>
          <w:tcPr>
            <w:tcW w:w="2840" w:type="dxa"/>
          </w:tcPr>
          <w:p w14:paraId="6A7170BD" w14:textId="77777777" w:rsidR="002B1603" w:rsidRPr="00A07F29" w:rsidRDefault="002B1603" w:rsidP="0075395E">
            <w:pPr>
              <w:spacing w:after="0"/>
              <w:rPr>
                <w:rFonts w:ascii="Times New Roman" w:eastAsia="Calibri" w:hAnsi="Times New Roman" w:cs="Times New Roman"/>
                <w:i/>
                <w:sz w:val="20"/>
                <w:szCs w:val="20"/>
              </w:rPr>
            </w:pPr>
            <w:proofErr w:type="spellStart"/>
            <w:r w:rsidRPr="00A07F29">
              <w:rPr>
                <w:rFonts w:ascii="Times New Roman" w:eastAsia="Calibri" w:hAnsi="Times New Roman" w:cs="Times New Roman"/>
                <w:i/>
                <w:sz w:val="20"/>
                <w:szCs w:val="20"/>
              </w:rPr>
              <w:t>Hammarbya</w:t>
            </w:r>
            <w:proofErr w:type="spellEnd"/>
            <w:r w:rsidRPr="00A07F29">
              <w:rPr>
                <w:rFonts w:ascii="Times New Roman" w:eastAsia="Calibri" w:hAnsi="Times New Roman" w:cs="Times New Roman"/>
                <w:i/>
                <w:sz w:val="20"/>
                <w:szCs w:val="20"/>
              </w:rPr>
              <w:t xml:space="preserve"> </w:t>
            </w:r>
            <w:proofErr w:type="spellStart"/>
            <w:r w:rsidRPr="00A07F29">
              <w:rPr>
                <w:rFonts w:ascii="Times New Roman" w:eastAsia="Calibri" w:hAnsi="Times New Roman" w:cs="Times New Roman"/>
                <w:i/>
                <w:sz w:val="20"/>
                <w:szCs w:val="20"/>
              </w:rPr>
              <w:t>paludosa</w:t>
            </w:r>
            <w:proofErr w:type="spellEnd"/>
          </w:p>
        </w:tc>
        <w:tc>
          <w:tcPr>
            <w:tcW w:w="1134" w:type="dxa"/>
          </w:tcPr>
          <w:p w14:paraId="1CFEE485"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ĪAS</w:t>
            </w:r>
            <w:r w:rsidRPr="00A07F29">
              <w:rPr>
                <w:rFonts w:ascii="Times New Roman" w:eastAsia="Calibri" w:hAnsi="Times New Roman" w:cs="Times New Roman"/>
                <w:sz w:val="20"/>
                <w:szCs w:val="20"/>
                <w:vertAlign w:val="superscript"/>
              </w:rPr>
              <w:t>1</w:t>
            </w:r>
          </w:p>
        </w:tc>
        <w:tc>
          <w:tcPr>
            <w:tcW w:w="709" w:type="dxa"/>
          </w:tcPr>
          <w:p w14:paraId="79917E55"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c>
          <w:tcPr>
            <w:tcW w:w="1128" w:type="dxa"/>
          </w:tcPr>
          <w:p w14:paraId="5DA86FAC" w14:textId="77777777" w:rsidR="002B1603" w:rsidRPr="00A07F29" w:rsidRDefault="002B1603" w:rsidP="002B1603">
            <w:pPr>
              <w:spacing w:after="0"/>
              <w:jc w:val="center"/>
              <w:rPr>
                <w:rFonts w:ascii="Times New Roman" w:eastAsia="Calibri" w:hAnsi="Times New Roman" w:cs="Times New Roman"/>
                <w:b/>
                <w:bCs/>
                <w:color w:val="2E74B5"/>
                <w:sz w:val="20"/>
                <w:szCs w:val="20"/>
              </w:rPr>
            </w:pPr>
            <w:r w:rsidRPr="00A07F29">
              <w:rPr>
                <w:rFonts w:ascii="Times New Roman" w:eastAsia="Calibri" w:hAnsi="Times New Roman" w:cs="Times New Roman"/>
                <w:color w:val="2E74B5"/>
                <w:sz w:val="20"/>
                <w:szCs w:val="20"/>
              </w:rPr>
              <w:t>-</w:t>
            </w:r>
          </w:p>
        </w:tc>
        <w:tc>
          <w:tcPr>
            <w:tcW w:w="1122" w:type="dxa"/>
            <w:vAlign w:val="center"/>
          </w:tcPr>
          <w:p w14:paraId="21D10FCC"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r>
      <w:tr w:rsidR="0075395E" w:rsidRPr="00A07F29" w14:paraId="6BB7BC42" w14:textId="77777777" w:rsidTr="00B649FD">
        <w:trPr>
          <w:jc w:val="center"/>
        </w:trPr>
        <w:tc>
          <w:tcPr>
            <w:tcW w:w="557" w:type="dxa"/>
          </w:tcPr>
          <w:p w14:paraId="00FA0E7F" w14:textId="564714D4" w:rsidR="002B1603" w:rsidRPr="00A07F29" w:rsidRDefault="00170C65" w:rsidP="00E67E47">
            <w:pPr>
              <w:spacing w:after="0"/>
              <w:contextualSpacing/>
              <w:rPr>
                <w:rFonts w:ascii="Times New Roman" w:eastAsia="Calibri" w:hAnsi="Times New Roman" w:cs="Times New Roman"/>
                <w:sz w:val="20"/>
                <w:szCs w:val="20"/>
              </w:rPr>
            </w:pPr>
            <w:r w:rsidRPr="00A07F29">
              <w:rPr>
                <w:rFonts w:ascii="Times New Roman" w:eastAsia="Calibri" w:hAnsi="Times New Roman" w:cs="Times New Roman"/>
                <w:sz w:val="20"/>
                <w:szCs w:val="20"/>
              </w:rPr>
              <w:t>39.</w:t>
            </w:r>
          </w:p>
        </w:tc>
        <w:tc>
          <w:tcPr>
            <w:tcW w:w="2410" w:type="dxa"/>
          </w:tcPr>
          <w:p w14:paraId="140AE15A" w14:textId="77777777" w:rsidR="002B1603" w:rsidRPr="00A07F29" w:rsidRDefault="002B1603" w:rsidP="0075395E">
            <w:pPr>
              <w:spacing w:after="0"/>
              <w:rPr>
                <w:rFonts w:ascii="Times New Roman" w:eastAsia="Calibri" w:hAnsi="Times New Roman" w:cs="Times New Roman"/>
                <w:sz w:val="20"/>
                <w:szCs w:val="20"/>
              </w:rPr>
            </w:pPr>
            <w:r w:rsidRPr="00A07F29">
              <w:rPr>
                <w:rFonts w:ascii="Times New Roman" w:eastAsia="Calibri" w:hAnsi="Times New Roman" w:cs="Times New Roman"/>
                <w:sz w:val="20"/>
                <w:szCs w:val="20"/>
              </w:rPr>
              <w:t xml:space="preserve">Naudiņu </w:t>
            </w:r>
            <w:proofErr w:type="spellStart"/>
            <w:r w:rsidRPr="00A07F29">
              <w:rPr>
                <w:rFonts w:ascii="Times New Roman" w:eastAsia="Calibri" w:hAnsi="Times New Roman" w:cs="Times New Roman"/>
                <w:sz w:val="20"/>
                <w:szCs w:val="20"/>
              </w:rPr>
              <w:t>saulrozīte</w:t>
            </w:r>
            <w:proofErr w:type="spellEnd"/>
          </w:p>
        </w:tc>
        <w:tc>
          <w:tcPr>
            <w:tcW w:w="2840" w:type="dxa"/>
          </w:tcPr>
          <w:p w14:paraId="0073EA8E" w14:textId="77777777" w:rsidR="002B1603" w:rsidRPr="00A07F29" w:rsidRDefault="002B1603" w:rsidP="0075395E">
            <w:pPr>
              <w:spacing w:after="0"/>
              <w:rPr>
                <w:rFonts w:ascii="Times New Roman" w:eastAsia="Calibri" w:hAnsi="Times New Roman" w:cs="Times New Roman"/>
                <w:i/>
                <w:sz w:val="20"/>
                <w:szCs w:val="20"/>
              </w:rPr>
            </w:pPr>
            <w:proofErr w:type="spellStart"/>
            <w:r w:rsidRPr="00A07F29">
              <w:rPr>
                <w:rFonts w:ascii="Times New Roman" w:eastAsia="Calibri" w:hAnsi="Times New Roman" w:cs="Times New Roman"/>
                <w:i/>
                <w:sz w:val="20"/>
                <w:szCs w:val="20"/>
              </w:rPr>
              <w:t>Helianthemum</w:t>
            </w:r>
            <w:proofErr w:type="spellEnd"/>
            <w:r w:rsidRPr="00A07F29">
              <w:rPr>
                <w:rFonts w:ascii="Times New Roman" w:eastAsia="Calibri" w:hAnsi="Times New Roman" w:cs="Times New Roman"/>
                <w:i/>
                <w:sz w:val="20"/>
                <w:szCs w:val="20"/>
              </w:rPr>
              <w:t xml:space="preserve"> </w:t>
            </w:r>
            <w:proofErr w:type="spellStart"/>
            <w:r w:rsidRPr="00A07F29">
              <w:rPr>
                <w:rFonts w:ascii="Times New Roman" w:eastAsia="Calibri" w:hAnsi="Times New Roman" w:cs="Times New Roman"/>
                <w:i/>
                <w:sz w:val="20"/>
                <w:szCs w:val="20"/>
              </w:rPr>
              <w:t>nummularium</w:t>
            </w:r>
            <w:proofErr w:type="spellEnd"/>
          </w:p>
        </w:tc>
        <w:tc>
          <w:tcPr>
            <w:tcW w:w="1134" w:type="dxa"/>
          </w:tcPr>
          <w:p w14:paraId="79F9F2AE"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ĪAS</w:t>
            </w:r>
          </w:p>
        </w:tc>
        <w:tc>
          <w:tcPr>
            <w:tcW w:w="709" w:type="dxa"/>
          </w:tcPr>
          <w:p w14:paraId="04E00267"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c>
          <w:tcPr>
            <w:tcW w:w="1128" w:type="dxa"/>
          </w:tcPr>
          <w:p w14:paraId="20C8D028" w14:textId="77777777" w:rsidR="002B1603" w:rsidRPr="00A07F29" w:rsidRDefault="002B1603" w:rsidP="002B1603">
            <w:pPr>
              <w:spacing w:after="0"/>
              <w:jc w:val="center"/>
              <w:rPr>
                <w:rFonts w:ascii="Times New Roman" w:eastAsia="Calibri" w:hAnsi="Times New Roman" w:cs="Times New Roman"/>
                <w:b/>
                <w:bCs/>
                <w:color w:val="2E74B5"/>
                <w:sz w:val="20"/>
                <w:szCs w:val="20"/>
              </w:rPr>
            </w:pPr>
            <w:r w:rsidRPr="00A07F29">
              <w:rPr>
                <w:rFonts w:ascii="Times New Roman" w:eastAsia="Calibri" w:hAnsi="Times New Roman" w:cs="Times New Roman"/>
                <w:color w:val="2E74B5"/>
                <w:sz w:val="20"/>
                <w:szCs w:val="20"/>
              </w:rPr>
              <w:t>-</w:t>
            </w:r>
          </w:p>
        </w:tc>
        <w:tc>
          <w:tcPr>
            <w:tcW w:w="1122" w:type="dxa"/>
            <w:vAlign w:val="center"/>
          </w:tcPr>
          <w:p w14:paraId="52E664D9"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r>
      <w:tr w:rsidR="0075395E" w:rsidRPr="00A07F29" w14:paraId="22E45934" w14:textId="77777777" w:rsidTr="00B649FD">
        <w:trPr>
          <w:jc w:val="center"/>
        </w:trPr>
        <w:tc>
          <w:tcPr>
            <w:tcW w:w="557" w:type="dxa"/>
          </w:tcPr>
          <w:p w14:paraId="02BE319B" w14:textId="0A165A43" w:rsidR="002B1603" w:rsidRPr="00A07F29" w:rsidRDefault="00170C65" w:rsidP="00E67E47">
            <w:pPr>
              <w:spacing w:after="0"/>
              <w:contextualSpacing/>
              <w:rPr>
                <w:rFonts w:ascii="Times New Roman" w:eastAsia="Calibri" w:hAnsi="Times New Roman" w:cs="Times New Roman"/>
                <w:sz w:val="20"/>
                <w:szCs w:val="20"/>
              </w:rPr>
            </w:pPr>
            <w:r w:rsidRPr="00A07F29">
              <w:rPr>
                <w:rFonts w:ascii="Times New Roman" w:eastAsia="Calibri" w:hAnsi="Times New Roman" w:cs="Times New Roman"/>
                <w:sz w:val="20"/>
                <w:szCs w:val="20"/>
              </w:rPr>
              <w:t>40.</w:t>
            </w:r>
          </w:p>
        </w:tc>
        <w:tc>
          <w:tcPr>
            <w:tcW w:w="2410" w:type="dxa"/>
          </w:tcPr>
          <w:p w14:paraId="5581C413" w14:textId="77777777" w:rsidR="002B1603" w:rsidRPr="00A07F29" w:rsidRDefault="002B1603" w:rsidP="0075395E">
            <w:pPr>
              <w:spacing w:after="0"/>
              <w:rPr>
                <w:rFonts w:ascii="Times New Roman" w:eastAsia="Calibri" w:hAnsi="Times New Roman" w:cs="Times New Roman"/>
                <w:sz w:val="20"/>
                <w:szCs w:val="20"/>
              </w:rPr>
            </w:pPr>
            <w:r w:rsidRPr="00A07F29">
              <w:rPr>
                <w:rFonts w:ascii="Times New Roman" w:eastAsia="Calibri" w:hAnsi="Times New Roman" w:cs="Times New Roman"/>
                <w:sz w:val="20"/>
                <w:szCs w:val="20"/>
              </w:rPr>
              <w:t xml:space="preserve">Mieturu </w:t>
            </w:r>
            <w:proofErr w:type="spellStart"/>
            <w:r w:rsidRPr="00A07F29">
              <w:rPr>
                <w:rFonts w:ascii="Times New Roman" w:eastAsia="Calibri" w:hAnsi="Times New Roman" w:cs="Times New Roman"/>
                <w:sz w:val="20"/>
                <w:szCs w:val="20"/>
              </w:rPr>
              <w:t>hidrilla</w:t>
            </w:r>
            <w:proofErr w:type="spellEnd"/>
          </w:p>
        </w:tc>
        <w:tc>
          <w:tcPr>
            <w:tcW w:w="2840" w:type="dxa"/>
          </w:tcPr>
          <w:p w14:paraId="6E4BF2A8" w14:textId="77777777" w:rsidR="002B1603" w:rsidRPr="00A07F29" w:rsidRDefault="002B1603" w:rsidP="0075395E">
            <w:pPr>
              <w:spacing w:after="0"/>
              <w:rPr>
                <w:rFonts w:ascii="Times New Roman" w:eastAsia="Calibri" w:hAnsi="Times New Roman" w:cs="Times New Roman"/>
                <w:i/>
                <w:sz w:val="20"/>
                <w:szCs w:val="20"/>
              </w:rPr>
            </w:pPr>
            <w:proofErr w:type="spellStart"/>
            <w:r w:rsidRPr="00A07F29">
              <w:rPr>
                <w:rFonts w:ascii="Times New Roman" w:eastAsia="Calibri" w:hAnsi="Times New Roman" w:cs="Times New Roman"/>
                <w:i/>
                <w:sz w:val="20"/>
                <w:szCs w:val="20"/>
              </w:rPr>
              <w:t>Hydrilla</w:t>
            </w:r>
            <w:proofErr w:type="spellEnd"/>
            <w:r w:rsidRPr="00A07F29">
              <w:rPr>
                <w:rFonts w:ascii="Times New Roman" w:eastAsia="Calibri" w:hAnsi="Times New Roman" w:cs="Times New Roman"/>
                <w:i/>
                <w:sz w:val="20"/>
                <w:szCs w:val="20"/>
              </w:rPr>
              <w:t xml:space="preserve"> </w:t>
            </w:r>
            <w:proofErr w:type="spellStart"/>
            <w:r w:rsidRPr="00A07F29">
              <w:rPr>
                <w:rFonts w:ascii="Times New Roman" w:eastAsia="Calibri" w:hAnsi="Times New Roman" w:cs="Times New Roman"/>
                <w:i/>
                <w:sz w:val="20"/>
                <w:szCs w:val="20"/>
              </w:rPr>
              <w:t>verticillata</w:t>
            </w:r>
            <w:proofErr w:type="spellEnd"/>
          </w:p>
        </w:tc>
        <w:tc>
          <w:tcPr>
            <w:tcW w:w="1134" w:type="dxa"/>
          </w:tcPr>
          <w:p w14:paraId="72A8FB22"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ĪAS</w:t>
            </w:r>
          </w:p>
        </w:tc>
        <w:tc>
          <w:tcPr>
            <w:tcW w:w="709" w:type="dxa"/>
          </w:tcPr>
          <w:p w14:paraId="57B73AF7"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c>
          <w:tcPr>
            <w:tcW w:w="1128" w:type="dxa"/>
          </w:tcPr>
          <w:p w14:paraId="2B5DFA10" w14:textId="77777777" w:rsidR="002B1603" w:rsidRPr="00A07F29" w:rsidRDefault="002B1603" w:rsidP="002B1603">
            <w:pPr>
              <w:spacing w:after="0"/>
              <w:jc w:val="center"/>
              <w:rPr>
                <w:rFonts w:ascii="Times New Roman" w:eastAsia="Calibri" w:hAnsi="Times New Roman" w:cs="Times New Roman"/>
                <w:b/>
                <w:bCs/>
                <w:color w:val="2E74B5"/>
                <w:sz w:val="20"/>
                <w:szCs w:val="20"/>
              </w:rPr>
            </w:pPr>
            <w:r w:rsidRPr="00A07F29">
              <w:rPr>
                <w:rFonts w:ascii="Times New Roman" w:eastAsia="Calibri" w:hAnsi="Times New Roman" w:cs="Calibri"/>
                <w:sz w:val="24"/>
              </w:rPr>
              <w:t>-</w:t>
            </w:r>
          </w:p>
        </w:tc>
        <w:tc>
          <w:tcPr>
            <w:tcW w:w="1122" w:type="dxa"/>
            <w:vAlign w:val="center"/>
          </w:tcPr>
          <w:p w14:paraId="4F4EF39B"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r>
      <w:tr w:rsidR="00016E8A" w:rsidRPr="00A07F29" w14:paraId="60A320C8" w14:textId="77777777" w:rsidTr="00B649FD">
        <w:trPr>
          <w:jc w:val="center"/>
        </w:trPr>
        <w:tc>
          <w:tcPr>
            <w:tcW w:w="557" w:type="dxa"/>
          </w:tcPr>
          <w:p w14:paraId="2D3ED5D7" w14:textId="20D29745" w:rsidR="00016E8A" w:rsidRPr="00A07F29" w:rsidRDefault="00170C65" w:rsidP="00E67E47">
            <w:pPr>
              <w:spacing w:after="0"/>
              <w:contextualSpacing/>
              <w:rPr>
                <w:rFonts w:ascii="Times New Roman" w:eastAsia="Calibri" w:hAnsi="Times New Roman" w:cs="Times New Roman"/>
                <w:sz w:val="20"/>
                <w:szCs w:val="20"/>
              </w:rPr>
            </w:pPr>
            <w:r w:rsidRPr="00A07F29">
              <w:rPr>
                <w:rFonts w:ascii="Times New Roman" w:eastAsia="Calibri" w:hAnsi="Times New Roman" w:cs="Times New Roman"/>
                <w:sz w:val="20"/>
                <w:szCs w:val="20"/>
              </w:rPr>
              <w:t>41.</w:t>
            </w:r>
          </w:p>
        </w:tc>
        <w:tc>
          <w:tcPr>
            <w:tcW w:w="2410" w:type="dxa"/>
          </w:tcPr>
          <w:p w14:paraId="5E9E6A8D" w14:textId="77777777" w:rsidR="00016E8A" w:rsidRPr="00A07F29" w:rsidRDefault="00016E8A" w:rsidP="00016E8A">
            <w:pPr>
              <w:tabs>
                <w:tab w:val="left" w:pos="1320"/>
              </w:tabs>
              <w:spacing w:after="0"/>
              <w:rPr>
                <w:rFonts w:ascii="Times New Roman" w:eastAsia="Calibri" w:hAnsi="Times New Roman" w:cs="Times New Roman"/>
                <w:spacing w:val="1"/>
                <w:sz w:val="20"/>
                <w:szCs w:val="20"/>
              </w:rPr>
            </w:pPr>
            <w:proofErr w:type="spellStart"/>
            <w:r w:rsidRPr="00A07F29">
              <w:rPr>
                <w:rFonts w:ascii="Times New Roman" w:eastAsia="Calibri" w:hAnsi="Times New Roman" w:cs="Times New Roman"/>
                <w:sz w:val="20"/>
                <w:szCs w:val="20"/>
              </w:rPr>
              <w:t>Apdzira</w:t>
            </w:r>
            <w:proofErr w:type="spellEnd"/>
          </w:p>
        </w:tc>
        <w:tc>
          <w:tcPr>
            <w:tcW w:w="2840" w:type="dxa"/>
          </w:tcPr>
          <w:p w14:paraId="7E6A8E11" w14:textId="77777777" w:rsidR="00016E8A" w:rsidRPr="00A07F29" w:rsidRDefault="00016E8A" w:rsidP="00016E8A">
            <w:pPr>
              <w:spacing w:after="0"/>
              <w:rPr>
                <w:rFonts w:ascii="Times New Roman" w:eastAsia="Calibri" w:hAnsi="Times New Roman" w:cs="Times New Roman"/>
                <w:i/>
                <w:sz w:val="20"/>
                <w:szCs w:val="20"/>
              </w:rPr>
            </w:pPr>
            <w:proofErr w:type="spellStart"/>
            <w:r w:rsidRPr="00A07F29">
              <w:rPr>
                <w:rFonts w:ascii="Times New Roman" w:eastAsia="Calibri" w:hAnsi="Times New Roman" w:cs="Times New Roman"/>
                <w:i/>
                <w:sz w:val="20"/>
                <w:szCs w:val="20"/>
              </w:rPr>
              <w:t>Huperzia</w:t>
            </w:r>
            <w:proofErr w:type="spellEnd"/>
            <w:r w:rsidRPr="00A07F29">
              <w:rPr>
                <w:rFonts w:ascii="Times New Roman" w:eastAsia="Calibri" w:hAnsi="Times New Roman" w:cs="Times New Roman"/>
                <w:i/>
                <w:sz w:val="20"/>
                <w:szCs w:val="20"/>
              </w:rPr>
              <w:t xml:space="preserve"> </w:t>
            </w:r>
            <w:proofErr w:type="spellStart"/>
            <w:r w:rsidRPr="00A07F29">
              <w:rPr>
                <w:rFonts w:ascii="Times New Roman" w:eastAsia="Calibri" w:hAnsi="Times New Roman" w:cs="Times New Roman"/>
                <w:i/>
                <w:sz w:val="20"/>
                <w:szCs w:val="20"/>
              </w:rPr>
              <w:t>selago</w:t>
            </w:r>
            <w:proofErr w:type="spellEnd"/>
          </w:p>
        </w:tc>
        <w:tc>
          <w:tcPr>
            <w:tcW w:w="1134" w:type="dxa"/>
          </w:tcPr>
          <w:p w14:paraId="58D92320" w14:textId="77777777" w:rsidR="00016E8A" w:rsidRPr="00A07F29" w:rsidRDefault="00016E8A" w:rsidP="00016E8A">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ĪAS</w:t>
            </w:r>
          </w:p>
        </w:tc>
        <w:tc>
          <w:tcPr>
            <w:tcW w:w="709" w:type="dxa"/>
          </w:tcPr>
          <w:p w14:paraId="1D2573B2" w14:textId="77777777" w:rsidR="00016E8A" w:rsidRPr="00A07F29" w:rsidRDefault="00016E8A" w:rsidP="00016E8A">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BD V</w:t>
            </w:r>
          </w:p>
        </w:tc>
        <w:tc>
          <w:tcPr>
            <w:tcW w:w="1128" w:type="dxa"/>
            <w:shd w:val="clear" w:color="auto" w:fill="FFC000"/>
          </w:tcPr>
          <w:p w14:paraId="40D42AD0" w14:textId="49BFC598" w:rsidR="00016E8A" w:rsidRPr="00A07F29" w:rsidRDefault="00016E8A" w:rsidP="00016E8A">
            <w:pPr>
              <w:spacing w:after="0"/>
              <w:jc w:val="center"/>
              <w:rPr>
                <w:rFonts w:ascii="Times New Roman" w:eastAsia="Calibri" w:hAnsi="Times New Roman" w:cs="Times New Roman"/>
                <w:b/>
                <w:bCs/>
                <w:color w:val="2E74B5"/>
                <w:sz w:val="20"/>
                <w:szCs w:val="20"/>
              </w:rPr>
            </w:pPr>
            <w:r w:rsidRPr="00A07F29">
              <w:rPr>
                <w:rFonts w:ascii="Times New Roman" w:eastAsia="Calibri" w:hAnsi="Times New Roman" w:cs="Times New Roman"/>
                <w:sz w:val="20"/>
                <w:szCs w:val="20"/>
              </w:rPr>
              <w:t>U1S</w:t>
            </w:r>
          </w:p>
        </w:tc>
        <w:tc>
          <w:tcPr>
            <w:tcW w:w="1122" w:type="dxa"/>
            <w:shd w:val="clear" w:color="auto" w:fill="FFC000"/>
          </w:tcPr>
          <w:p w14:paraId="267B3B6A" w14:textId="5D0C28C4" w:rsidR="00016E8A" w:rsidRPr="00A07F29" w:rsidRDefault="00016E8A" w:rsidP="00016E8A">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U1S</w:t>
            </w:r>
          </w:p>
        </w:tc>
      </w:tr>
      <w:tr w:rsidR="0075395E" w:rsidRPr="00A07F29" w14:paraId="3D48F7CB" w14:textId="77777777" w:rsidTr="00B649FD">
        <w:trPr>
          <w:jc w:val="center"/>
        </w:trPr>
        <w:tc>
          <w:tcPr>
            <w:tcW w:w="557" w:type="dxa"/>
          </w:tcPr>
          <w:p w14:paraId="6D2D793D" w14:textId="16465279" w:rsidR="002B1603" w:rsidRPr="00A07F29" w:rsidRDefault="00170C65" w:rsidP="00E67E47">
            <w:pPr>
              <w:spacing w:after="0"/>
              <w:contextualSpacing/>
              <w:rPr>
                <w:rFonts w:ascii="Times New Roman" w:eastAsia="Calibri" w:hAnsi="Times New Roman" w:cs="Times New Roman"/>
                <w:sz w:val="20"/>
                <w:szCs w:val="20"/>
              </w:rPr>
            </w:pPr>
            <w:r w:rsidRPr="00A07F29">
              <w:rPr>
                <w:rFonts w:ascii="Times New Roman" w:eastAsia="Calibri" w:hAnsi="Times New Roman" w:cs="Times New Roman"/>
                <w:sz w:val="20"/>
                <w:szCs w:val="20"/>
              </w:rPr>
              <w:t>42.</w:t>
            </w:r>
          </w:p>
        </w:tc>
        <w:tc>
          <w:tcPr>
            <w:tcW w:w="2410" w:type="dxa"/>
          </w:tcPr>
          <w:p w14:paraId="0490F82C" w14:textId="77777777" w:rsidR="002B1603" w:rsidRPr="00A07F29" w:rsidRDefault="002B1603" w:rsidP="0075395E">
            <w:pPr>
              <w:tabs>
                <w:tab w:val="left" w:pos="1320"/>
              </w:tabs>
              <w:spacing w:after="0"/>
              <w:rPr>
                <w:rFonts w:ascii="Times New Roman" w:eastAsia="Calibri" w:hAnsi="Times New Roman" w:cs="Times New Roman"/>
                <w:sz w:val="20"/>
                <w:szCs w:val="20"/>
              </w:rPr>
            </w:pPr>
            <w:r w:rsidRPr="00A07F29">
              <w:rPr>
                <w:rFonts w:ascii="Times New Roman" w:eastAsia="Calibri" w:hAnsi="Times New Roman" w:cs="Times New Roman"/>
                <w:sz w:val="20"/>
                <w:szCs w:val="20"/>
              </w:rPr>
              <w:t>Sibīrijas skalbe</w:t>
            </w:r>
          </w:p>
        </w:tc>
        <w:tc>
          <w:tcPr>
            <w:tcW w:w="2840" w:type="dxa"/>
          </w:tcPr>
          <w:p w14:paraId="488D6FC0" w14:textId="77777777" w:rsidR="002B1603" w:rsidRPr="00A07F29" w:rsidRDefault="002B1603" w:rsidP="0075395E">
            <w:pPr>
              <w:spacing w:after="0"/>
              <w:rPr>
                <w:rFonts w:ascii="Times New Roman" w:eastAsia="Calibri" w:hAnsi="Times New Roman" w:cs="Times New Roman"/>
                <w:i/>
                <w:sz w:val="20"/>
                <w:szCs w:val="20"/>
              </w:rPr>
            </w:pPr>
            <w:r w:rsidRPr="00A07F29">
              <w:rPr>
                <w:rFonts w:ascii="Times New Roman" w:eastAsia="Calibri" w:hAnsi="Times New Roman" w:cs="Times New Roman"/>
                <w:i/>
                <w:sz w:val="20"/>
                <w:szCs w:val="20"/>
              </w:rPr>
              <w:t xml:space="preserve">Iris </w:t>
            </w:r>
            <w:proofErr w:type="spellStart"/>
            <w:r w:rsidRPr="00A07F29">
              <w:rPr>
                <w:rFonts w:ascii="Times New Roman" w:eastAsia="Calibri" w:hAnsi="Times New Roman" w:cs="Times New Roman"/>
                <w:i/>
                <w:sz w:val="20"/>
                <w:szCs w:val="20"/>
              </w:rPr>
              <w:t>sibirica</w:t>
            </w:r>
            <w:proofErr w:type="spellEnd"/>
          </w:p>
        </w:tc>
        <w:tc>
          <w:tcPr>
            <w:tcW w:w="1134" w:type="dxa"/>
          </w:tcPr>
          <w:p w14:paraId="7504E254"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ĪAS</w:t>
            </w:r>
            <w:r w:rsidRPr="00A07F29">
              <w:rPr>
                <w:rFonts w:ascii="Times New Roman" w:eastAsia="Calibri" w:hAnsi="Times New Roman" w:cs="Times New Roman"/>
                <w:sz w:val="20"/>
                <w:szCs w:val="20"/>
                <w:vertAlign w:val="superscript"/>
              </w:rPr>
              <w:t>1</w:t>
            </w:r>
          </w:p>
        </w:tc>
        <w:tc>
          <w:tcPr>
            <w:tcW w:w="709" w:type="dxa"/>
          </w:tcPr>
          <w:p w14:paraId="576B9897"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c>
          <w:tcPr>
            <w:tcW w:w="1128" w:type="dxa"/>
          </w:tcPr>
          <w:p w14:paraId="55C9BE3C" w14:textId="77777777" w:rsidR="002B1603" w:rsidRPr="00A07F29" w:rsidRDefault="002B1603" w:rsidP="002B1603">
            <w:pPr>
              <w:spacing w:after="0"/>
              <w:jc w:val="center"/>
              <w:rPr>
                <w:rFonts w:ascii="Times New Roman" w:eastAsia="Calibri" w:hAnsi="Times New Roman" w:cs="Times New Roman"/>
                <w:b/>
                <w:bCs/>
                <w:color w:val="2E74B5"/>
                <w:sz w:val="20"/>
                <w:szCs w:val="20"/>
              </w:rPr>
            </w:pPr>
            <w:r w:rsidRPr="00A07F29">
              <w:rPr>
                <w:rFonts w:ascii="Times New Roman" w:eastAsia="Calibri" w:hAnsi="Times New Roman" w:cs="Times New Roman"/>
                <w:color w:val="2E74B5"/>
                <w:sz w:val="20"/>
                <w:szCs w:val="20"/>
              </w:rPr>
              <w:t>-</w:t>
            </w:r>
          </w:p>
        </w:tc>
        <w:tc>
          <w:tcPr>
            <w:tcW w:w="1122" w:type="dxa"/>
            <w:vAlign w:val="center"/>
          </w:tcPr>
          <w:p w14:paraId="3793D46C"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r>
      <w:tr w:rsidR="0075395E" w:rsidRPr="00A07F29" w14:paraId="4BC727F0" w14:textId="77777777" w:rsidTr="00B649FD">
        <w:trPr>
          <w:jc w:val="center"/>
        </w:trPr>
        <w:tc>
          <w:tcPr>
            <w:tcW w:w="557" w:type="dxa"/>
          </w:tcPr>
          <w:p w14:paraId="3357084E" w14:textId="4DDAC3F5" w:rsidR="002B1603" w:rsidRPr="00A07F29" w:rsidRDefault="00170C65" w:rsidP="00E67E47">
            <w:pPr>
              <w:spacing w:after="0"/>
              <w:contextualSpacing/>
              <w:rPr>
                <w:rFonts w:ascii="Times New Roman" w:eastAsia="Calibri" w:hAnsi="Times New Roman" w:cs="Times New Roman"/>
                <w:sz w:val="20"/>
                <w:szCs w:val="20"/>
              </w:rPr>
            </w:pPr>
            <w:r w:rsidRPr="00A07F29">
              <w:rPr>
                <w:rFonts w:ascii="Times New Roman" w:eastAsia="Calibri" w:hAnsi="Times New Roman" w:cs="Times New Roman"/>
                <w:sz w:val="20"/>
                <w:szCs w:val="20"/>
              </w:rPr>
              <w:t>43.</w:t>
            </w:r>
          </w:p>
        </w:tc>
        <w:tc>
          <w:tcPr>
            <w:tcW w:w="2410" w:type="dxa"/>
          </w:tcPr>
          <w:p w14:paraId="2CE65ED8" w14:textId="77777777" w:rsidR="002B1603" w:rsidRPr="00A07F29" w:rsidRDefault="002B1603" w:rsidP="0075395E">
            <w:pPr>
              <w:tabs>
                <w:tab w:val="left" w:pos="1320"/>
              </w:tabs>
              <w:spacing w:after="0"/>
              <w:rPr>
                <w:rFonts w:ascii="Times New Roman" w:eastAsia="Calibri" w:hAnsi="Times New Roman" w:cs="Times New Roman"/>
                <w:sz w:val="20"/>
                <w:szCs w:val="20"/>
              </w:rPr>
            </w:pPr>
            <w:proofErr w:type="spellStart"/>
            <w:r w:rsidRPr="00A07F29">
              <w:rPr>
                <w:rFonts w:ascii="Times New Roman" w:eastAsia="Calibri" w:hAnsi="Times New Roman" w:cs="Times New Roman"/>
                <w:sz w:val="20"/>
                <w:szCs w:val="20"/>
              </w:rPr>
              <w:t>Gludlapu</w:t>
            </w:r>
            <w:proofErr w:type="spellEnd"/>
            <w:r w:rsidRPr="00A07F29">
              <w:rPr>
                <w:rFonts w:ascii="Times New Roman" w:eastAsia="Calibri" w:hAnsi="Times New Roman" w:cs="Times New Roman"/>
                <w:sz w:val="20"/>
                <w:szCs w:val="20"/>
              </w:rPr>
              <w:t xml:space="preserve"> ezerene</w:t>
            </w:r>
            <w:r w:rsidRPr="00A07F29">
              <w:rPr>
                <w:rFonts w:ascii="Times New Roman" w:eastAsia="Calibri" w:hAnsi="Times New Roman" w:cs="Times New Roman"/>
                <w:sz w:val="20"/>
                <w:szCs w:val="20"/>
                <w:vertAlign w:val="superscript"/>
              </w:rPr>
              <w:t>6</w:t>
            </w:r>
          </w:p>
        </w:tc>
        <w:tc>
          <w:tcPr>
            <w:tcW w:w="2840" w:type="dxa"/>
          </w:tcPr>
          <w:p w14:paraId="26ABB36B" w14:textId="563A7125" w:rsidR="002B1603" w:rsidRPr="00A07F29" w:rsidRDefault="002B1603" w:rsidP="0075395E">
            <w:pPr>
              <w:spacing w:after="0"/>
              <w:rPr>
                <w:rFonts w:ascii="Times New Roman" w:eastAsia="Calibri" w:hAnsi="Times New Roman" w:cs="Times New Roman"/>
                <w:i/>
                <w:sz w:val="20"/>
                <w:szCs w:val="20"/>
              </w:rPr>
            </w:pPr>
            <w:proofErr w:type="spellStart"/>
            <w:r w:rsidRPr="00A07F29">
              <w:rPr>
                <w:rFonts w:ascii="Times New Roman" w:eastAsia="Calibri" w:hAnsi="Times New Roman" w:cs="Times New Roman"/>
                <w:i/>
                <w:sz w:val="20"/>
                <w:szCs w:val="20"/>
              </w:rPr>
              <w:t>Isoёtes</w:t>
            </w:r>
            <w:proofErr w:type="spellEnd"/>
            <w:r w:rsidRPr="00A07F29">
              <w:rPr>
                <w:rFonts w:ascii="Times New Roman" w:eastAsia="Calibri" w:hAnsi="Times New Roman" w:cs="Times New Roman"/>
                <w:i/>
                <w:sz w:val="20"/>
                <w:szCs w:val="20"/>
              </w:rPr>
              <w:t xml:space="preserve"> </w:t>
            </w:r>
            <w:proofErr w:type="spellStart"/>
            <w:r w:rsidRPr="00A07F29">
              <w:rPr>
                <w:rFonts w:ascii="Times New Roman" w:eastAsia="Calibri" w:hAnsi="Times New Roman" w:cs="Times New Roman"/>
                <w:i/>
                <w:sz w:val="20"/>
                <w:szCs w:val="20"/>
              </w:rPr>
              <w:t>lacustris</w:t>
            </w:r>
            <w:proofErr w:type="spellEnd"/>
          </w:p>
        </w:tc>
        <w:tc>
          <w:tcPr>
            <w:tcW w:w="1134" w:type="dxa"/>
          </w:tcPr>
          <w:p w14:paraId="240ECA2B"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ĪAS</w:t>
            </w:r>
          </w:p>
        </w:tc>
        <w:tc>
          <w:tcPr>
            <w:tcW w:w="709" w:type="dxa"/>
          </w:tcPr>
          <w:p w14:paraId="666E933C"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c>
          <w:tcPr>
            <w:tcW w:w="1128" w:type="dxa"/>
          </w:tcPr>
          <w:p w14:paraId="3B1346CE" w14:textId="77777777" w:rsidR="002B1603" w:rsidRPr="00A07F29" w:rsidRDefault="002B1603" w:rsidP="002B1603">
            <w:pPr>
              <w:spacing w:after="0"/>
              <w:jc w:val="center"/>
              <w:rPr>
                <w:rFonts w:ascii="Times New Roman" w:eastAsia="Calibri" w:hAnsi="Times New Roman" w:cs="Times New Roman"/>
                <w:b/>
                <w:bCs/>
                <w:color w:val="2E74B5"/>
                <w:sz w:val="20"/>
                <w:szCs w:val="20"/>
              </w:rPr>
            </w:pPr>
            <w:r w:rsidRPr="00A07F29">
              <w:rPr>
                <w:rFonts w:ascii="Times New Roman" w:eastAsia="Calibri" w:hAnsi="Times New Roman" w:cs="Times New Roman"/>
                <w:color w:val="2E74B5"/>
                <w:sz w:val="20"/>
                <w:szCs w:val="20"/>
              </w:rPr>
              <w:t>-</w:t>
            </w:r>
          </w:p>
        </w:tc>
        <w:tc>
          <w:tcPr>
            <w:tcW w:w="1122" w:type="dxa"/>
            <w:vAlign w:val="center"/>
          </w:tcPr>
          <w:p w14:paraId="6D9016CA"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r>
      <w:tr w:rsidR="0075395E" w:rsidRPr="00A07F29" w14:paraId="47075E19" w14:textId="77777777" w:rsidTr="00B649FD">
        <w:trPr>
          <w:jc w:val="center"/>
        </w:trPr>
        <w:tc>
          <w:tcPr>
            <w:tcW w:w="557" w:type="dxa"/>
          </w:tcPr>
          <w:p w14:paraId="3253F309" w14:textId="34A5AE03" w:rsidR="002B1603" w:rsidRPr="00A07F29" w:rsidRDefault="00170C65" w:rsidP="00E67E47">
            <w:pPr>
              <w:spacing w:after="0"/>
              <w:contextualSpacing/>
              <w:rPr>
                <w:rFonts w:ascii="Times New Roman" w:eastAsia="Calibri" w:hAnsi="Times New Roman" w:cs="Times New Roman"/>
                <w:sz w:val="20"/>
                <w:szCs w:val="20"/>
              </w:rPr>
            </w:pPr>
            <w:r w:rsidRPr="00A07F29">
              <w:rPr>
                <w:rFonts w:ascii="Times New Roman" w:eastAsia="Calibri" w:hAnsi="Times New Roman" w:cs="Times New Roman"/>
                <w:sz w:val="20"/>
                <w:szCs w:val="20"/>
              </w:rPr>
              <w:t>44,</w:t>
            </w:r>
          </w:p>
        </w:tc>
        <w:tc>
          <w:tcPr>
            <w:tcW w:w="2410" w:type="dxa"/>
          </w:tcPr>
          <w:p w14:paraId="599F79BC" w14:textId="77777777" w:rsidR="002B1603" w:rsidRPr="00A07F29" w:rsidRDefault="002B1603" w:rsidP="0075395E">
            <w:pPr>
              <w:spacing w:after="0"/>
              <w:rPr>
                <w:rFonts w:ascii="Times New Roman" w:eastAsia="Calibri" w:hAnsi="Times New Roman" w:cs="Times New Roman"/>
                <w:spacing w:val="1"/>
                <w:sz w:val="20"/>
                <w:szCs w:val="20"/>
                <w:vertAlign w:val="superscript"/>
              </w:rPr>
            </w:pPr>
            <w:r w:rsidRPr="00A07F29">
              <w:rPr>
                <w:rFonts w:ascii="Times New Roman" w:eastAsia="Calibri" w:hAnsi="Times New Roman" w:cs="Times New Roman"/>
                <w:sz w:val="20"/>
                <w:szCs w:val="20"/>
              </w:rPr>
              <w:t>Atvašu saulrietenis</w:t>
            </w:r>
          </w:p>
        </w:tc>
        <w:tc>
          <w:tcPr>
            <w:tcW w:w="2840" w:type="dxa"/>
          </w:tcPr>
          <w:p w14:paraId="560DF67D" w14:textId="77777777" w:rsidR="002B1603" w:rsidRPr="00A07F29" w:rsidRDefault="002B1603" w:rsidP="0075395E">
            <w:pPr>
              <w:spacing w:after="0"/>
              <w:rPr>
                <w:rFonts w:ascii="Times New Roman" w:eastAsia="Calibri" w:hAnsi="Times New Roman" w:cs="Times New Roman"/>
                <w:i/>
                <w:sz w:val="20"/>
                <w:szCs w:val="20"/>
              </w:rPr>
            </w:pPr>
            <w:proofErr w:type="spellStart"/>
            <w:r w:rsidRPr="00A07F29">
              <w:rPr>
                <w:rFonts w:ascii="Times New Roman" w:eastAsia="Calibri" w:hAnsi="Times New Roman" w:cs="Times New Roman"/>
                <w:i/>
                <w:sz w:val="20"/>
                <w:szCs w:val="20"/>
              </w:rPr>
              <w:t>Jovibarba</w:t>
            </w:r>
            <w:proofErr w:type="spellEnd"/>
            <w:r w:rsidRPr="00A07F29">
              <w:rPr>
                <w:rFonts w:ascii="Times New Roman" w:eastAsia="Calibri" w:hAnsi="Times New Roman" w:cs="Times New Roman"/>
                <w:i/>
                <w:sz w:val="20"/>
                <w:szCs w:val="20"/>
              </w:rPr>
              <w:t xml:space="preserve"> </w:t>
            </w:r>
            <w:proofErr w:type="spellStart"/>
            <w:r w:rsidRPr="00A07F29">
              <w:rPr>
                <w:rFonts w:ascii="Times New Roman" w:eastAsia="Calibri" w:hAnsi="Times New Roman" w:cs="Times New Roman"/>
                <w:i/>
                <w:sz w:val="20"/>
                <w:szCs w:val="20"/>
              </w:rPr>
              <w:t>sobolifera</w:t>
            </w:r>
            <w:proofErr w:type="spellEnd"/>
          </w:p>
        </w:tc>
        <w:tc>
          <w:tcPr>
            <w:tcW w:w="1134" w:type="dxa"/>
          </w:tcPr>
          <w:p w14:paraId="70B60767"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ĪAS</w:t>
            </w:r>
            <w:r w:rsidRPr="00A07F29">
              <w:rPr>
                <w:rFonts w:ascii="Times New Roman" w:eastAsia="Calibri" w:hAnsi="Times New Roman" w:cs="Times New Roman"/>
                <w:sz w:val="20"/>
                <w:szCs w:val="20"/>
                <w:vertAlign w:val="superscript"/>
              </w:rPr>
              <w:t>1</w:t>
            </w:r>
          </w:p>
        </w:tc>
        <w:tc>
          <w:tcPr>
            <w:tcW w:w="709" w:type="dxa"/>
          </w:tcPr>
          <w:p w14:paraId="1246ED23"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c>
          <w:tcPr>
            <w:tcW w:w="1128" w:type="dxa"/>
          </w:tcPr>
          <w:p w14:paraId="46040EC9" w14:textId="77777777" w:rsidR="002B1603" w:rsidRPr="00A07F29" w:rsidRDefault="002B1603" w:rsidP="002B1603">
            <w:pPr>
              <w:spacing w:after="0"/>
              <w:jc w:val="center"/>
              <w:rPr>
                <w:rFonts w:ascii="Times New Roman" w:eastAsia="Calibri" w:hAnsi="Times New Roman" w:cs="Times New Roman"/>
                <w:b/>
                <w:bCs/>
                <w:color w:val="2E74B5"/>
                <w:sz w:val="20"/>
                <w:szCs w:val="20"/>
              </w:rPr>
            </w:pPr>
            <w:r w:rsidRPr="00A07F29">
              <w:rPr>
                <w:rFonts w:ascii="Times New Roman" w:eastAsia="Calibri" w:hAnsi="Times New Roman" w:cs="Times New Roman"/>
                <w:color w:val="2E74B5"/>
                <w:sz w:val="20"/>
                <w:szCs w:val="20"/>
              </w:rPr>
              <w:t>-</w:t>
            </w:r>
          </w:p>
        </w:tc>
        <w:tc>
          <w:tcPr>
            <w:tcW w:w="1122" w:type="dxa"/>
            <w:vAlign w:val="center"/>
          </w:tcPr>
          <w:p w14:paraId="24B82244"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r>
      <w:tr w:rsidR="0075395E" w:rsidRPr="00A07F29" w14:paraId="66C4CCAF" w14:textId="77777777" w:rsidTr="00B649FD">
        <w:trPr>
          <w:jc w:val="center"/>
        </w:trPr>
        <w:tc>
          <w:tcPr>
            <w:tcW w:w="557" w:type="dxa"/>
          </w:tcPr>
          <w:p w14:paraId="00B1C54B" w14:textId="7727E68B" w:rsidR="002B1603" w:rsidRPr="00A07F29" w:rsidRDefault="00170C65" w:rsidP="00E67E47">
            <w:pPr>
              <w:spacing w:after="0"/>
              <w:contextualSpacing/>
              <w:rPr>
                <w:rFonts w:ascii="Times New Roman" w:eastAsia="Calibri" w:hAnsi="Times New Roman" w:cs="Times New Roman"/>
                <w:sz w:val="20"/>
                <w:szCs w:val="20"/>
              </w:rPr>
            </w:pPr>
            <w:r w:rsidRPr="00A07F29">
              <w:rPr>
                <w:rFonts w:ascii="Times New Roman" w:eastAsia="Calibri" w:hAnsi="Times New Roman" w:cs="Times New Roman"/>
                <w:sz w:val="20"/>
                <w:szCs w:val="20"/>
              </w:rPr>
              <w:t>45.</w:t>
            </w:r>
          </w:p>
        </w:tc>
        <w:tc>
          <w:tcPr>
            <w:tcW w:w="2410" w:type="dxa"/>
          </w:tcPr>
          <w:p w14:paraId="3EEA8A6A" w14:textId="77777777" w:rsidR="002B1603" w:rsidRPr="00A07F29" w:rsidRDefault="002B1603" w:rsidP="0075395E">
            <w:pPr>
              <w:spacing w:after="0"/>
              <w:rPr>
                <w:rFonts w:ascii="Times New Roman" w:eastAsia="Calibri" w:hAnsi="Times New Roman" w:cs="Times New Roman"/>
                <w:sz w:val="20"/>
                <w:szCs w:val="20"/>
              </w:rPr>
            </w:pPr>
            <w:r w:rsidRPr="00A07F29">
              <w:rPr>
                <w:rFonts w:ascii="Times New Roman" w:eastAsia="Calibri" w:hAnsi="Times New Roman" w:cs="Times New Roman"/>
                <w:sz w:val="20"/>
                <w:szCs w:val="20"/>
              </w:rPr>
              <w:t>Kalnu dedestiņa</w:t>
            </w:r>
            <w:r w:rsidRPr="00A07F29">
              <w:rPr>
                <w:rFonts w:ascii="Times New Roman" w:eastAsia="Calibri" w:hAnsi="Times New Roman" w:cs="Times New Roman"/>
                <w:sz w:val="20"/>
                <w:szCs w:val="20"/>
                <w:vertAlign w:val="superscript"/>
              </w:rPr>
              <w:t>3</w:t>
            </w:r>
          </w:p>
        </w:tc>
        <w:tc>
          <w:tcPr>
            <w:tcW w:w="2840" w:type="dxa"/>
          </w:tcPr>
          <w:p w14:paraId="46CCD8E1" w14:textId="77777777" w:rsidR="002B1603" w:rsidRPr="00A07F29" w:rsidRDefault="002B1603" w:rsidP="0075395E">
            <w:pPr>
              <w:spacing w:after="0"/>
              <w:rPr>
                <w:rFonts w:ascii="Times New Roman" w:eastAsia="Calibri" w:hAnsi="Times New Roman" w:cs="Times New Roman"/>
                <w:i/>
                <w:sz w:val="20"/>
                <w:szCs w:val="20"/>
              </w:rPr>
            </w:pPr>
            <w:proofErr w:type="spellStart"/>
            <w:r w:rsidRPr="00A07F29">
              <w:rPr>
                <w:rFonts w:ascii="Times New Roman" w:eastAsia="Calibri" w:hAnsi="Times New Roman" w:cs="Times New Roman"/>
                <w:i/>
                <w:sz w:val="20"/>
                <w:szCs w:val="20"/>
              </w:rPr>
              <w:t>Lathyrus</w:t>
            </w:r>
            <w:proofErr w:type="spellEnd"/>
            <w:r w:rsidRPr="00A07F29">
              <w:rPr>
                <w:rFonts w:ascii="Times New Roman" w:eastAsia="Calibri" w:hAnsi="Times New Roman" w:cs="Times New Roman"/>
                <w:i/>
                <w:sz w:val="20"/>
                <w:szCs w:val="20"/>
              </w:rPr>
              <w:t xml:space="preserve"> </w:t>
            </w:r>
            <w:proofErr w:type="spellStart"/>
            <w:r w:rsidRPr="00A07F29">
              <w:rPr>
                <w:rFonts w:ascii="Times New Roman" w:eastAsia="Calibri" w:hAnsi="Times New Roman" w:cs="Times New Roman"/>
                <w:i/>
                <w:sz w:val="20"/>
                <w:szCs w:val="20"/>
              </w:rPr>
              <w:t>linifolius</w:t>
            </w:r>
            <w:proofErr w:type="spellEnd"/>
          </w:p>
        </w:tc>
        <w:tc>
          <w:tcPr>
            <w:tcW w:w="1134" w:type="dxa"/>
          </w:tcPr>
          <w:p w14:paraId="3BA902E9"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ĪAS</w:t>
            </w:r>
            <w:r w:rsidRPr="00A07F29">
              <w:rPr>
                <w:rFonts w:ascii="Times New Roman" w:eastAsia="Calibri" w:hAnsi="Times New Roman" w:cs="Times New Roman"/>
                <w:sz w:val="20"/>
                <w:szCs w:val="20"/>
                <w:vertAlign w:val="superscript"/>
              </w:rPr>
              <w:t>1</w:t>
            </w:r>
          </w:p>
        </w:tc>
        <w:tc>
          <w:tcPr>
            <w:tcW w:w="709" w:type="dxa"/>
          </w:tcPr>
          <w:p w14:paraId="5DE16FF2"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c>
          <w:tcPr>
            <w:tcW w:w="1128" w:type="dxa"/>
          </w:tcPr>
          <w:p w14:paraId="2C9085CF" w14:textId="77777777" w:rsidR="002B1603" w:rsidRPr="00A07F29" w:rsidRDefault="002B1603" w:rsidP="002B1603">
            <w:pPr>
              <w:spacing w:after="0"/>
              <w:jc w:val="center"/>
              <w:rPr>
                <w:rFonts w:ascii="Times New Roman" w:eastAsia="Calibri" w:hAnsi="Times New Roman" w:cs="Times New Roman"/>
                <w:b/>
                <w:bCs/>
                <w:color w:val="2E74B5"/>
                <w:sz w:val="20"/>
                <w:szCs w:val="20"/>
              </w:rPr>
            </w:pPr>
            <w:r w:rsidRPr="00A07F29">
              <w:rPr>
                <w:rFonts w:ascii="Times New Roman" w:eastAsia="Calibri" w:hAnsi="Times New Roman" w:cs="Times New Roman"/>
                <w:color w:val="2E74B5"/>
                <w:sz w:val="20"/>
                <w:szCs w:val="20"/>
              </w:rPr>
              <w:t>-</w:t>
            </w:r>
          </w:p>
        </w:tc>
        <w:tc>
          <w:tcPr>
            <w:tcW w:w="1122" w:type="dxa"/>
            <w:vAlign w:val="center"/>
          </w:tcPr>
          <w:p w14:paraId="3F6A2972"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r>
      <w:tr w:rsidR="0075395E" w:rsidRPr="00A07F29" w14:paraId="367E4718" w14:textId="77777777" w:rsidTr="00B649FD">
        <w:trPr>
          <w:jc w:val="center"/>
        </w:trPr>
        <w:tc>
          <w:tcPr>
            <w:tcW w:w="557" w:type="dxa"/>
          </w:tcPr>
          <w:p w14:paraId="26ED4059" w14:textId="30D08C9E" w:rsidR="002B1603" w:rsidRPr="00A07F29" w:rsidRDefault="00170C65" w:rsidP="00E67E47">
            <w:pPr>
              <w:spacing w:after="0"/>
              <w:contextualSpacing/>
              <w:rPr>
                <w:rFonts w:ascii="Times New Roman" w:eastAsia="Calibri" w:hAnsi="Times New Roman" w:cs="Times New Roman"/>
                <w:sz w:val="20"/>
                <w:szCs w:val="20"/>
              </w:rPr>
            </w:pPr>
            <w:r w:rsidRPr="00A07F29">
              <w:rPr>
                <w:rFonts w:ascii="Times New Roman" w:eastAsia="Calibri" w:hAnsi="Times New Roman" w:cs="Times New Roman"/>
                <w:sz w:val="20"/>
                <w:szCs w:val="20"/>
              </w:rPr>
              <w:t>46.</w:t>
            </w:r>
          </w:p>
        </w:tc>
        <w:tc>
          <w:tcPr>
            <w:tcW w:w="2410" w:type="dxa"/>
          </w:tcPr>
          <w:p w14:paraId="76CA69F3" w14:textId="07CCAD97" w:rsidR="002B1603" w:rsidRPr="00A07F29" w:rsidRDefault="002B1603" w:rsidP="00CC229D">
            <w:pPr>
              <w:spacing w:after="0"/>
              <w:rPr>
                <w:rFonts w:ascii="Times New Roman" w:eastAsia="Calibri" w:hAnsi="Times New Roman" w:cs="Times New Roman"/>
                <w:sz w:val="20"/>
                <w:szCs w:val="20"/>
              </w:rPr>
            </w:pPr>
            <w:r w:rsidRPr="00A07F29">
              <w:rPr>
                <w:rFonts w:ascii="Times New Roman" w:eastAsia="Calibri" w:hAnsi="Times New Roman" w:cs="Times New Roman"/>
                <w:sz w:val="20"/>
                <w:szCs w:val="20"/>
              </w:rPr>
              <w:t>Melnējošā dedestiņa</w:t>
            </w:r>
            <w:r w:rsidRPr="00A07F29">
              <w:rPr>
                <w:rFonts w:ascii="Times New Roman" w:eastAsia="Calibri" w:hAnsi="Times New Roman" w:cs="Times New Roman"/>
                <w:sz w:val="20"/>
                <w:szCs w:val="20"/>
                <w:vertAlign w:val="superscript"/>
              </w:rPr>
              <w:t>3</w:t>
            </w:r>
          </w:p>
        </w:tc>
        <w:tc>
          <w:tcPr>
            <w:tcW w:w="2840" w:type="dxa"/>
          </w:tcPr>
          <w:p w14:paraId="4E4F8464" w14:textId="77777777" w:rsidR="002B1603" w:rsidRPr="00A07F29" w:rsidRDefault="002B1603" w:rsidP="0075395E">
            <w:pPr>
              <w:spacing w:after="0"/>
              <w:rPr>
                <w:rFonts w:ascii="Times New Roman" w:eastAsia="Calibri" w:hAnsi="Times New Roman" w:cs="Times New Roman"/>
                <w:i/>
                <w:sz w:val="20"/>
                <w:szCs w:val="20"/>
              </w:rPr>
            </w:pPr>
            <w:proofErr w:type="spellStart"/>
            <w:r w:rsidRPr="00A07F29">
              <w:rPr>
                <w:rFonts w:ascii="Times New Roman" w:eastAsia="Calibri" w:hAnsi="Times New Roman" w:cs="Times New Roman"/>
                <w:i/>
                <w:sz w:val="20"/>
                <w:szCs w:val="20"/>
              </w:rPr>
              <w:t>Lathyrus</w:t>
            </w:r>
            <w:proofErr w:type="spellEnd"/>
            <w:r w:rsidRPr="00A07F29">
              <w:rPr>
                <w:rFonts w:ascii="Times New Roman" w:eastAsia="Calibri" w:hAnsi="Times New Roman" w:cs="Times New Roman"/>
                <w:i/>
                <w:sz w:val="20"/>
                <w:szCs w:val="20"/>
              </w:rPr>
              <w:t xml:space="preserve"> niger</w:t>
            </w:r>
          </w:p>
        </w:tc>
        <w:tc>
          <w:tcPr>
            <w:tcW w:w="1134" w:type="dxa"/>
          </w:tcPr>
          <w:p w14:paraId="5B96C692"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ĪAS</w:t>
            </w:r>
            <w:r w:rsidRPr="00A07F29">
              <w:rPr>
                <w:rFonts w:ascii="Times New Roman" w:eastAsia="Calibri" w:hAnsi="Times New Roman" w:cs="Times New Roman"/>
                <w:sz w:val="20"/>
                <w:szCs w:val="20"/>
                <w:vertAlign w:val="superscript"/>
              </w:rPr>
              <w:t>1</w:t>
            </w:r>
          </w:p>
        </w:tc>
        <w:tc>
          <w:tcPr>
            <w:tcW w:w="709" w:type="dxa"/>
          </w:tcPr>
          <w:p w14:paraId="424CAB80"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c>
          <w:tcPr>
            <w:tcW w:w="1128" w:type="dxa"/>
          </w:tcPr>
          <w:p w14:paraId="125C2CE3" w14:textId="77777777" w:rsidR="002B1603" w:rsidRPr="00A07F29" w:rsidRDefault="002B1603" w:rsidP="002B1603">
            <w:pPr>
              <w:spacing w:after="0"/>
              <w:jc w:val="center"/>
              <w:rPr>
                <w:rFonts w:ascii="Times New Roman" w:eastAsia="Calibri" w:hAnsi="Times New Roman" w:cs="Times New Roman"/>
                <w:b/>
                <w:bCs/>
                <w:color w:val="2E74B5"/>
                <w:sz w:val="20"/>
                <w:szCs w:val="20"/>
              </w:rPr>
            </w:pPr>
            <w:r w:rsidRPr="00A07F29">
              <w:rPr>
                <w:rFonts w:ascii="Times New Roman" w:eastAsia="Calibri" w:hAnsi="Times New Roman" w:cs="Times New Roman"/>
                <w:color w:val="2E74B5"/>
                <w:sz w:val="20"/>
                <w:szCs w:val="20"/>
              </w:rPr>
              <w:t>-</w:t>
            </w:r>
          </w:p>
        </w:tc>
        <w:tc>
          <w:tcPr>
            <w:tcW w:w="1122" w:type="dxa"/>
            <w:vAlign w:val="center"/>
          </w:tcPr>
          <w:p w14:paraId="7532BCB4" w14:textId="2C1E2AF0" w:rsidR="002B1603" w:rsidRPr="00A07F29" w:rsidRDefault="002B1603" w:rsidP="002B1603">
            <w:pPr>
              <w:spacing w:after="0"/>
              <w:jc w:val="center"/>
              <w:rPr>
                <w:rFonts w:ascii="Times New Roman" w:eastAsia="Calibri" w:hAnsi="Times New Roman" w:cs="Times New Roman"/>
                <w:sz w:val="20"/>
                <w:szCs w:val="20"/>
              </w:rPr>
            </w:pPr>
          </w:p>
        </w:tc>
      </w:tr>
      <w:tr w:rsidR="0075395E" w:rsidRPr="00A07F29" w14:paraId="0A5669E7" w14:textId="77777777" w:rsidTr="00B649FD">
        <w:trPr>
          <w:jc w:val="center"/>
        </w:trPr>
        <w:tc>
          <w:tcPr>
            <w:tcW w:w="557" w:type="dxa"/>
          </w:tcPr>
          <w:p w14:paraId="257A2762" w14:textId="384FC091" w:rsidR="002B1603" w:rsidRPr="00A07F29" w:rsidRDefault="00170C65" w:rsidP="00E67E47">
            <w:pPr>
              <w:spacing w:after="0"/>
              <w:contextualSpacing/>
              <w:rPr>
                <w:rFonts w:ascii="Times New Roman" w:eastAsia="Calibri" w:hAnsi="Times New Roman" w:cs="Times New Roman"/>
                <w:sz w:val="20"/>
                <w:szCs w:val="20"/>
              </w:rPr>
            </w:pPr>
            <w:r w:rsidRPr="00A07F29">
              <w:rPr>
                <w:rFonts w:ascii="Times New Roman" w:eastAsia="Calibri" w:hAnsi="Times New Roman" w:cs="Times New Roman"/>
                <w:sz w:val="20"/>
                <w:szCs w:val="20"/>
              </w:rPr>
              <w:t>47.</w:t>
            </w:r>
          </w:p>
        </w:tc>
        <w:tc>
          <w:tcPr>
            <w:tcW w:w="2410" w:type="dxa"/>
          </w:tcPr>
          <w:p w14:paraId="5A458EE6" w14:textId="77777777" w:rsidR="002B1603" w:rsidRPr="00A07F29" w:rsidRDefault="002B1603" w:rsidP="0075395E">
            <w:pPr>
              <w:tabs>
                <w:tab w:val="left" w:pos="1320"/>
              </w:tabs>
              <w:spacing w:after="0"/>
              <w:rPr>
                <w:rFonts w:ascii="Times New Roman" w:eastAsia="Calibri" w:hAnsi="Times New Roman" w:cs="Times New Roman"/>
                <w:sz w:val="20"/>
                <w:szCs w:val="20"/>
              </w:rPr>
            </w:pPr>
            <w:proofErr w:type="spellStart"/>
            <w:r w:rsidRPr="00A07F29">
              <w:rPr>
                <w:rFonts w:ascii="Times New Roman" w:eastAsia="Calibri" w:hAnsi="Times New Roman" w:cs="Times New Roman"/>
                <w:sz w:val="20"/>
                <w:szCs w:val="20"/>
              </w:rPr>
              <w:t>Zirņveida</w:t>
            </w:r>
            <w:proofErr w:type="spellEnd"/>
            <w:r w:rsidRPr="00A07F29">
              <w:rPr>
                <w:rFonts w:ascii="Times New Roman" w:eastAsia="Calibri" w:hAnsi="Times New Roman" w:cs="Times New Roman"/>
                <w:sz w:val="20"/>
                <w:szCs w:val="20"/>
              </w:rPr>
              <w:t xml:space="preserve"> dedestiņa</w:t>
            </w:r>
          </w:p>
        </w:tc>
        <w:tc>
          <w:tcPr>
            <w:tcW w:w="2840" w:type="dxa"/>
          </w:tcPr>
          <w:p w14:paraId="39880584" w14:textId="77777777" w:rsidR="002B1603" w:rsidRPr="00A07F29" w:rsidRDefault="002B1603" w:rsidP="0075395E">
            <w:pPr>
              <w:spacing w:after="0"/>
              <w:rPr>
                <w:rFonts w:ascii="Times New Roman" w:eastAsia="Calibri" w:hAnsi="Times New Roman" w:cs="Times New Roman"/>
                <w:i/>
                <w:sz w:val="20"/>
                <w:szCs w:val="20"/>
              </w:rPr>
            </w:pPr>
            <w:proofErr w:type="spellStart"/>
            <w:r w:rsidRPr="00A07F29">
              <w:rPr>
                <w:rFonts w:ascii="Times New Roman" w:eastAsia="Calibri" w:hAnsi="Times New Roman" w:cs="Times New Roman"/>
                <w:i/>
                <w:sz w:val="20"/>
                <w:szCs w:val="20"/>
              </w:rPr>
              <w:t>Lathyrus</w:t>
            </w:r>
            <w:proofErr w:type="spellEnd"/>
            <w:r w:rsidRPr="00A07F29">
              <w:rPr>
                <w:rFonts w:ascii="Times New Roman" w:eastAsia="Calibri" w:hAnsi="Times New Roman" w:cs="Times New Roman"/>
                <w:i/>
                <w:sz w:val="20"/>
                <w:szCs w:val="20"/>
              </w:rPr>
              <w:t xml:space="preserve"> </w:t>
            </w:r>
            <w:proofErr w:type="spellStart"/>
            <w:r w:rsidRPr="00A07F29">
              <w:rPr>
                <w:rFonts w:ascii="Times New Roman" w:eastAsia="Calibri" w:hAnsi="Times New Roman" w:cs="Times New Roman"/>
                <w:i/>
                <w:sz w:val="20"/>
                <w:szCs w:val="20"/>
              </w:rPr>
              <w:t>pisiformis</w:t>
            </w:r>
            <w:proofErr w:type="spellEnd"/>
          </w:p>
        </w:tc>
        <w:tc>
          <w:tcPr>
            <w:tcW w:w="1134" w:type="dxa"/>
          </w:tcPr>
          <w:p w14:paraId="32486B60"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ĪAS</w:t>
            </w:r>
            <w:r w:rsidRPr="00A07F29">
              <w:rPr>
                <w:rFonts w:ascii="Times New Roman" w:eastAsia="Calibri" w:hAnsi="Times New Roman" w:cs="Times New Roman"/>
                <w:sz w:val="20"/>
                <w:szCs w:val="20"/>
                <w:vertAlign w:val="superscript"/>
              </w:rPr>
              <w:t>1</w:t>
            </w:r>
          </w:p>
        </w:tc>
        <w:tc>
          <w:tcPr>
            <w:tcW w:w="709" w:type="dxa"/>
          </w:tcPr>
          <w:p w14:paraId="1F4C1439"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c>
          <w:tcPr>
            <w:tcW w:w="1128" w:type="dxa"/>
          </w:tcPr>
          <w:p w14:paraId="44B09A16" w14:textId="77777777" w:rsidR="002B1603" w:rsidRPr="00A07F29" w:rsidRDefault="002B1603" w:rsidP="002B1603">
            <w:pPr>
              <w:spacing w:after="0"/>
              <w:jc w:val="center"/>
              <w:rPr>
                <w:rFonts w:ascii="Times New Roman" w:eastAsia="Calibri" w:hAnsi="Times New Roman" w:cs="Times New Roman"/>
                <w:b/>
                <w:bCs/>
                <w:color w:val="2E74B5"/>
                <w:sz w:val="20"/>
                <w:szCs w:val="20"/>
              </w:rPr>
            </w:pPr>
            <w:r w:rsidRPr="00A07F29">
              <w:rPr>
                <w:rFonts w:ascii="Times New Roman" w:eastAsia="Calibri" w:hAnsi="Times New Roman" w:cs="Times New Roman"/>
                <w:sz w:val="20"/>
                <w:szCs w:val="20"/>
              </w:rPr>
              <w:t>-</w:t>
            </w:r>
          </w:p>
        </w:tc>
        <w:tc>
          <w:tcPr>
            <w:tcW w:w="1122" w:type="dxa"/>
            <w:vAlign w:val="center"/>
          </w:tcPr>
          <w:p w14:paraId="46140D7E"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r>
      <w:tr w:rsidR="0075395E" w:rsidRPr="00A07F29" w14:paraId="527F3613" w14:textId="77777777" w:rsidTr="00B649FD">
        <w:trPr>
          <w:jc w:val="center"/>
        </w:trPr>
        <w:tc>
          <w:tcPr>
            <w:tcW w:w="557" w:type="dxa"/>
          </w:tcPr>
          <w:p w14:paraId="30296F34" w14:textId="0E25319D" w:rsidR="002B1603" w:rsidRPr="00A07F29" w:rsidRDefault="00170C65" w:rsidP="00E67E47">
            <w:pPr>
              <w:spacing w:after="0"/>
              <w:contextualSpacing/>
              <w:rPr>
                <w:rFonts w:ascii="Times New Roman" w:eastAsia="Calibri" w:hAnsi="Times New Roman" w:cs="Times New Roman"/>
                <w:sz w:val="20"/>
                <w:szCs w:val="20"/>
              </w:rPr>
            </w:pPr>
            <w:r w:rsidRPr="00A07F29">
              <w:rPr>
                <w:rFonts w:ascii="Times New Roman" w:eastAsia="Calibri" w:hAnsi="Times New Roman" w:cs="Times New Roman"/>
                <w:sz w:val="20"/>
                <w:szCs w:val="20"/>
              </w:rPr>
              <w:t>48.</w:t>
            </w:r>
          </w:p>
        </w:tc>
        <w:tc>
          <w:tcPr>
            <w:tcW w:w="2410" w:type="dxa"/>
          </w:tcPr>
          <w:p w14:paraId="409BDEC7" w14:textId="77777777" w:rsidR="002B1603" w:rsidRPr="00A07F29" w:rsidRDefault="002B1603" w:rsidP="0075395E">
            <w:pPr>
              <w:tabs>
                <w:tab w:val="left" w:pos="1320"/>
              </w:tabs>
              <w:spacing w:after="0"/>
              <w:rPr>
                <w:rFonts w:ascii="Times New Roman" w:eastAsia="Calibri" w:hAnsi="Times New Roman" w:cs="Times New Roman"/>
                <w:sz w:val="20"/>
                <w:szCs w:val="20"/>
              </w:rPr>
            </w:pPr>
            <w:proofErr w:type="spellStart"/>
            <w:r w:rsidRPr="00A07F29">
              <w:rPr>
                <w:rFonts w:ascii="Times New Roman" w:eastAsia="Calibri" w:hAnsi="Times New Roman" w:cs="Times New Roman"/>
                <w:sz w:val="20"/>
                <w:szCs w:val="20"/>
              </w:rPr>
              <w:t>Lēzeļa</w:t>
            </w:r>
            <w:proofErr w:type="spellEnd"/>
            <w:r w:rsidRPr="00A07F29">
              <w:rPr>
                <w:rFonts w:ascii="Times New Roman" w:eastAsia="Calibri" w:hAnsi="Times New Roman" w:cs="Times New Roman"/>
                <w:sz w:val="20"/>
                <w:szCs w:val="20"/>
              </w:rPr>
              <w:t xml:space="preserve"> </w:t>
            </w:r>
            <w:proofErr w:type="spellStart"/>
            <w:r w:rsidRPr="00A07F29">
              <w:rPr>
                <w:rFonts w:ascii="Times New Roman" w:eastAsia="Calibri" w:hAnsi="Times New Roman" w:cs="Times New Roman"/>
                <w:sz w:val="20"/>
                <w:szCs w:val="20"/>
              </w:rPr>
              <w:t>lipare</w:t>
            </w:r>
            <w:proofErr w:type="spellEnd"/>
          </w:p>
        </w:tc>
        <w:tc>
          <w:tcPr>
            <w:tcW w:w="2840" w:type="dxa"/>
          </w:tcPr>
          <w:p w14:paraId="36BE5DAC" w14:textId="77777777" w:rsidR="002B1603" w:rsidRPr="00A07F29" w:rsidRDefault="002B1603" w:rsidP="0075395E">
            <w:pPr>
              <w:spacing w:after="0"/>
              <w:rPr>
                <w:rFonts w:ascii="Times New Roman" w:eastAsia="Calibri" w:hAnsi="Times New Roman" w:cs="Times New Roman"/>
                <w:i/>
                <w:sz w:val="20"/>
                <w:szCs w:val="20"/>
              </w:rPr>
            </w:pPr>
            <w:proofErr w:type="spellStart"/>
            <w:r w:rsidRPr="00A07F29">
              <w:rPr>
                <w:rFonts w:ascii="Times New Roman" w:eastAsia="Calibri" w:hAnsi="Times New Roman" w:cs="Times New Roman"/>
                <w:i/>
                <w:sz w:val="20"/>
                <w:szCs w:val="20"/>
              </w:rPr>
              <w:t>Liparis</w:t>
            </w:r>
            <w:proofErr w:type="spellEnd"/>
            <w:r w:rsidRPr="00A07F29">
              <w:rPr>
                <w:rFonts w:ascii="Times New Roman" w:eastAsia="Calibri" w:hAnsi="Times New Roman" w:cs="Times New Roman"/>
                <w:i/>
                <w:sz w:val="20"/>
                <w:szCs w:val="20"/>
              </w:rPr>
              <w:t xml:space="preserve"> </w:t>
            </w:r>
            <w:proofErr w:type="spellStart"/>
            <w:r w:rsidRPr="00A07F29">
              <w:rPr>
                <w:rFonts w:ascii="Times New Roman" w:eastAsia="Calibri" w:hAnsi="Times New Roman" w:cs="Times New Roman"/>
                <w:i/>
                <w:sz w:val="20"/>
                <w:szCs w:val="20"/>
              </w:rPr>
              <w:t>loeselii</w:t>
            </w:r>
            <w:proofErr w:type="spellEnd"/>
          </w:p>
        </w:tc>
        <w:tc>
          <w:tcPr>
            <w:tcW w:w="1134" w:type="dxa"/>
          </w:tcPr>
          <w:p w14:paraId="401C601C"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ĪAS</w:t>
            </w:r>
            <w:r w:rsidRPr="00A07F29">
              <w:rPr>
                <w:rFonts w:ascii="Times New Roman" w:eastAsia="Calibri" w:hAnsi="Times New Roman" w:cs="Times New Roman"/>
                <w:sz w:val="20"/>
                <w:szCs w:val="20"/>
                <w:vertAlign w:val="superscript"/>
              </w:rPr>
              <w:t>1</w:t>
            </w:r>
          </w:p>
        </w:tc>
        <w:tc>
          <w:tcPr>
            <w:tcW w:w="709" w:type="dxa"/>
          </w:tcPr>
          <w:p w14:paraId="1B9FD6BC" w14:textId="199F856C" w:rsidR="002B1603" w:rsidRPr="00A07F29" w:rsidRDefault="002B1603" w:rsidP="009D20B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BD II</w:t>
            </w:r>
            <w:r w:rsidR="009D20B3" w:rsidRPr="00A07F29">
              <w:rPr>
                <w:rFonts w:ascii="Times New Roman" w:eastAsia="Calibri" w:hAnsi="Times New Roman" w:cs="Times New Roman"/>
                <w:sz w:val="20"/>
                <w:szCs w:val="20"/>
              </w:rPr>
              <w:t xml:space="preserve">, </w:t>
            </w:r>
            <w:r w:rsidRPr="00A07F29">
              <w:rPr>
                <w:rFonts w:ascii="Times New Roman" w:eastAsia="Calibri" w:hAnsi="Times New Roman" w:cs="Times New Roman"/>
                <w:sz w:val="20"/>
                <w:szCs w:val="20"/>
              </w:rPr>
              <w:t>IV</w:t>
            </w:r>
          </w:p>
        </w:tc>
        <w:tc>
          <w:tcPr>
            <w:tcW w:w="1128" w:type="dxa"/>
            <w:shd w:val="clear" w:color="auto" w:fill="FFC000"/>
          </w:tcPr>
          <w:p w14:paraId="5DFDA57D" w14:textId="77777777" w:rsidR="002B1603" w:rsidRPr="00A07F29" w:rsidRDefault="002B1603" w:rsidP="002B1603">
            <w:pPr>
              <w:spacing w:after="0"/>
              <w:jc w:val="center"/>
              <w:rPr>
                <w:rFonts w:ascii="Times New Roman" w:eastAsia="Calibri" w:hAnsi="Times New Roman" w:cs="Times New Roman"/>
                <w:b/>
                <w:bCs/>
                <w:color w:val="2E74B5"/>
                <w:sz w:val="20"/>
                <w:szCs w:val="20"/>
              </w:rPr>
            </w:pPr>
            <w:r w:rsidRPr="00A07F29">
              <w:t>U1D</w:t>
            </w:r>
          </w:p>
        </w:tc>
        <w:tc>
          <w:tcPr>
            <w:tcW w:w="1122" w:type="dxa"/>
            <w:shd w:val="clear" w:color="auto" w:fill="FFC000"/>
          </w:tcPr>
          <w:p w14:paraId="66C29947" w14:textId="77777777" w:rsidR="002B1603" w:rsidRPr="00A07F29" w:rsidRDefault="002B1603" w:rsidP="002B1603">
            <w:pPr>
              <w:spacing w:after="0"/>
              <w:jc w:val="center"/>
              <w:rPr>
                <w:rFonts w:ascii="Times New Roman" w:eastAsia="Calibri" w:hAnsi="Times New Roman" w:cs="Times New Roman"/>
                <w:sz w:val="20"/>
                <w:szCs w:val="20"/>
              </w:rPr>
            </w:pPr>
            <w:r w:rsidRPr="00A07F29">
              <w:t>U1D</w:t>
            </w:r>
          </w:p>
        </w:tc>
      </w:tr>
      <w:tr w:rsidR="0075395E" w:rsidRPr="00A07F29" w14:paraId="3471487E" w14:textId="77777777" w:rsidTr="00B649FD">
        <w:trPr>
          <w:jc w:val="center"/>
        </w:trPr>
        <w:tc>
          <w:tcPr>
            <w:tcW w:w="557" w:type="dxa"/>
          </w:tcPr>
          <w:p w14:paraId="754A4559" w14:textId="120B3870" w:rsidR="002B1603" w:rsidRPr="00A07F29" w:rsidRDefault="00170C65" w:rsidP="00E67E47">
            <w:pPr>
              <w:spacing w:after="0"/>
              <w:contextualSpacing/>
              <w:rPr>
                <w:rFonts w:ascii="Times New Roman" w:eastAsia="Calibri" w:hAnsi="Times New Roman" w:cs="Times New Roman"/>
                <w:sz w:val="20"/>
                <w:szCs w:val="20"/>
              </w:rPr>
            </w:pPr>
            <w:r w:rsidRPr="00A07F29">
              <w:rPr>
                <w:rFonts w:ascii="Times New Roman" w:eastAsia="Calibri" w:hAnsi="Times New Roman" w:cs="Times New Roman"/>
                <w:sz w:val="20"/>
                <w:szCs w:val="20"/>
              </w:rPr>
              <w:t>49.</w:t>
            </w:r>
          </w:p>
        </w:tc>
        <w:tc>
          <w:tcPr>
            <w:tcW w:w="2410" w:type="dxa"/>
          </w:tcPr>
          <w:p w14:paraId="3D536E5A" w14:textId="77777777" w:rsidR="002B1603" w:rsidRPr="00A07F29" w:rsidRDefault="002B1603" w:rsidP="0075395E">
            <w:pPr>
              <w:tabs>
                <w:tab w:val="left" w:pos="1320"/>
              </w:tabs>
              <w:spacing w:after="0"/>
              <w:rPr>
                <w:rFonts w:ascii="Times New Roman" w:eastAsia="Calibri" w:hAnsi="Times New Roman" w:cs="Times New Roman"/>
                <w:sz w:val="20"/>
                <w:szCs w:val="20"/>
              </w:rPr>
            </w:pPr>
            <w:proofErr w:type="spellStart"/>
            <w:r w:rsidRPr="00A07F29">
              <w:rPr>
                <w:rFonts w:ascii="Times New Roman" w:eastAsia="Calibri" w:hAnsi="Times New Roman" w:cs="Times New Roman"/>
                <w:sz w:val="20"/>
                <w:szCs w:val="20"/>
              </w:rPr>
              <w:t>Sirdsveida</w:t>
            </w:r>
            <w:proofErr w:type="spellEnd"/>
            <w:r w:rsidRPr="00A07F29">
              <w:rPr>
                <w:rFonts w:ascii="Times New Roman" w:eastAsia="Calibri" w:hAnsi="Times New Roman" w:cs="Times New Roman"/>
                <w:sz w:val="20"/>
                <w:szCs w:val="20"/>
              </w:rPr>
              <w:t xml:space="preserve"> </w:t>
            </w:r>
            <w:proofErr w:type="spellStart"/>
            <w:r w:rsidRPr="00A07F29">
              <w:rPr>
                <w:rFonts w:ascii="Times New Roman" w:eastAsia="Calibri" w:hAnsi="Times New Roman" w:cs="Times New Roman"/>
                <w:sz w:val="20"/>
                <w:szCs w:val="20"/>
              </w:rPr>
              <w:t>divlape</w:t>
            </w:r>
            <w:proofErr w:type="spellEnd"/>
          </w:p>
        </w:tc>
        <w:tc>
          <w:tcPr>
            <w:tcW w:w="2840" w:type="dxa"/>
          </w:tcPr>
          <w:p w14:paraId="44BD58D3" w14:textId="77777777" w:rsidR="002B1603" w:rsidRPr="00A07F29" w:rsidRDefault="002B1603" w:rsidP="0075395E">
            <w:pPr>
              <w:spacing w:after="0"/>
              <w:rPr>
                <w:rFonts w:ascii="Times New Roman" w:eastAsia="Calibri" w:hAnsi="Times New Roman" w:cs="Times New Roman"/>
                <w:i/>
                <w:sz w:val="20"/>
                <w:szCs w:val="20"/>
              </w:rPr>
            </w:pPr>
            <w:proofErr w:type="spellStart"/>
            <w:r w:rsidRPr="00A07F29">
              <w:rPr>
                <w:rFonts w:ascii="Times New Roman" w:eastAsia="Calibri" w:hAnsi="Times New Roman" w:cs="Times New Roman"/>
                <w:i/>
                <w:sz w:val="20"/>
                <w:szCs w:val="20"/>
              </w:rPr>
              <w:t>Listera</w:t>
            </w:r>
            <w:proofErr w:type="spellEnd"/>
            <w:r w:rsidRPr="00A07F29">
              <w:rPr>
                <w:rFonts w:ascii="Times New Roman" w:eastAsia="Calibri" w:hAnsi="Times New Roman" w:cs="Times New Roman"/>
                <w:i/>
                <w:sz w:val="20"/>
                <w:szCs w:val="20"/>
              </w:rPr>
              <w:t xml:space="preserve"> </w:t>
            </w:r>
            <w:proofErr w:type="spellStart"/>
            <w:r w:rsidRPr="00A07F29">
              <w:rPr>
                <w:rFonts w:ascii="Times New Roman" w:eastAsia="Calibri" w:hAnsi="Times New Roman" w:cs="Times New Roman"/>
                <w:i/>
                <w:sz w:val="20"/>
                <w:szCs w:val="20"/>
              </w:rPr>
              <w:t>cordata</w:t>
            </w:r>
            <w:proofErr w:type="spellEnd"/>
          </w:p>
        </w:tc>
        <w:tc>
          <w:tcPr>
            <w:tcW w:w="1134" w:type="dxa"/>
          </w:tcPr>
          <w:p w14:paraId="2F05603C"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ĪAS</w:t>
            </w:r>
          </w:p>
        </w:tc>
        <w:tc>
          <w:tcPr>
            <w:tcW w:w="709" w:type="dxa"/>
          </w:tcPr>
          <w:p w14:paraId="7C499F81"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c>
          <w:tcPr>
            <w:tcW w:w="1128" w:type="dxa"/>
          </w:tcPr>
          <w:p w14:paraId="2F792388" w14:textId="77777777" w:rsidR="002B1603" w:rsidRPr="00A07F29" w:rsidRDefault="002B1603" w:rsidP="002B1603">
            <w:pPr>
              <w:spacing w:after="0"/>
              <w:jc w:val="center"/>
              <w:rPr>
                <w:rFonts w:ascii="Times New Roman" w:eastAsia="Calibri" w:hAnsi="Times New Roman" w:cs="Times New Roman"/>
                <w:b/>
                <w:bCs/>
                <w:color w:val="2E74B5"/>
                <w:sz w:val="20"/>
                <w:szCs w:val="20"/>
              </w:rPr>
            </w:pPr>
            <w:r w:rsidRPr="00A07F29">
              <w:rPr>
                <w:rFonts w:ascii="Times New Roman" w:eastAsia="Calibri" w:hAnsi="Times New Roman" w:cs="Times New Roman"/>
                <w:color w:val="2E74B5"/>
                <w:sz w:val="20"/>
                <w:szCs w:val="20"/>
              </w:rPr>
              <w:t>-</w:t>
            </w:r>
          </w:p>
        </w:tc>
        <w:tc>
          <w:tcPr>
            <w:tcW w:w="1122" w:type="dxa"/>
            <w:vAlign w:val="center"/>
          </w:tcPr>
          <w:p w14:paraId="5554E20F"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r>
      <w:tr w:rsidR="0075395E" w:rsidRPr="00A07F29" w14:paraId="25EE7ED3" w14:textId="77777777" w:rsidTr="00B649FD">
        <w:trPr>
          <w:jc w:val="center"/>
        </w:trPr>
        <w:tc>
          <w:tcPr>
            <w:tcW w:w="557" w:type="dxa"/>
          </w:tcPr>
          <w:p w14:paraId="78F6EAF4" w14:textId="33E4BBF8" w:rsidR="002B1603" w:rsidRPr="00A07F29" w:rsidRDefault="00170C65" w:rsidP="00E67E47">
            <w:pPr>
              <w:spacing w:after="0"/>
              <w:contextualSpacing/>
              <w:rPr>
                <w:rFonts w:ascii="Times New Roman" w:eastAsia="Calibri" w:hAnsi="Times New Roman" w:cs="Times New Roman"/>
                <w:sz w:val="20"/>
                <w:szCs w:val="20"/>
              </w:rPr>
            </w:pPr>
            <w:r w:rsidRPr="00A07F29">
              <w:rPr>
                <w:rFonts w:ascii="Times New Roman" w:eastAsia="Calibri" w:hAnsi="Times New Roman" w:cs="Times New Roman"/>
                <w:sz w:val="20"/>
                <w:szCs w:val="20"/>
              </w:rPr>
              <w:t>50.</w:t>
            </w:r>
          </w:p>
        </w:tc>
        <w:tc>
          <w:tcPr>
            <w:tcW w:w="2410" w:type="dxa"/>
          </w:tcPr>
          <w:p w14:paraId="33A08309" w14:textId="77777777" w:rsidR="002B1603" w:rsidRPr="00A07F29" w:rsidRDefault="002B1603" w:rsidP="0075395E">
            <w:pPr>
              <w:spacing w:after="0"/>
              <w:rPr>
                <w:rFonts w:ascii="Times New Roman" w:eastAsia="Calibri" w:hAnsi="Times New Roman" w:cs="Times New Roman"/>
                <w:sz w:val="20"/>
                <w:szCs w:val="20"/>
                <w:vertAlign w:val="superscript"/>
              </w:rPr>
            </w:pPr>
            <w:r w:rsidRPr="00A07F29">
              <w:rPr>
                <w:rFonts w:ascii="Times New Roman" w:eastAsia="Calibri" w:hAnsi="Times New Roman" w:cs="Times New Roman"/>
                <w:sz w:val="20"/>
                <w:szCs w:val="20"/>
              </w:rPr>
              <w:t xml:space="preserve">Daudzgadīgā </w:t>
            </w:r>
            <w:proofErr w:type="spellStart"/>
            <w:r w:rsidRPr="00A07F29">
              <w:rPr>
                <w:rFonts w:ascii="Times New Roman" w:eastAsia="Calibri" w:hAnsi="Times New Roman" w:cs="Times New Roman"/>
                <w:sz w:val="20"/>
                <w:szCs w:val="20"/>
              </w:rPr>
              <w:t>mēnesene</w:t>
            </w:r>
            <w:proofErr w:type="spellEnd"/>
          </w:p>
        </w:tc>
        <w:tc>
          <w:tcPr>
            <w:tcW w:w="2840" w:type="dxa"/>
          </w:tcPr>
          <w:p w14:paraId="2FCFB56E" w14:textId="77777777" w:rsidR="002B1603" w:rsidRPr="00A07F29" w:rsidRDefault="002B1603" w:rsidP="0075395E">
            <w:pPr>
              <w:spacing w:after="0"/>
              <w:rPr>
                <w:rFonts w:ascii="Times New Roman" w:eastAsia="Calibri" w:hAnsi="Times New Roman" w:cs="Times New Roman"/>
                <w:i/>
                <w:sz w:val="20"/>
                <w:szCs w:val="20"/>
              </w:rPr>
            </w:pPr>
            <w:proofErr w:type="spellStart"/>
            <w:r w:rsidRPr="00A07F29">
              <w:rPr>
                <w:rFonts w:ascii="Times New Roman" w:eastAsia="Calibri" w:hAnsi="Times New Roman" w:cs="Times New Roman"/>
                <w:i/>
                <w:sz w:val="20"/>
                <w:szCs w:val="20"/>
              </w:rPr>
              <w:t>Lunaria</w:t>
            </w:r>
            <w:proofErr w:type="spellEnd"/>
            <w:r w:rsidRPr="00A07F29">
              <w:rPr>
                <w:rFonts w:ascii="Times New Roman" w:eastAsia="Calibri" w:hAnsi="Times New Roman" w:cs="Times New Roman"/>
                <w:i/>
                <w:sz w:val="20"/>
                <w:szCs w:val="20"/>
              </w:rPr>
              <w:t xml:space="preserve"> </w:t>
            </w:r>
            <w:proofErr w:type="spellStart"/>
            <w:r w:rsidRPr="00A07F29">
              <w:rPr>
                <w:rFonts w:ascii="Times New Roman" w:eastAsia="Calibri" w:hAnsi="Times New Roman" w:cs="Times New Roman"/>
                <w:i/>
                <w:sz w:val="20"/>
                <w:szCs w:val="20"/>
              </w:rPr>
              <w:t>rediviva</w:t>
            </w:r>
            <w:proofErr w:type="spellEnd"/>
          </w:p>
        </w:tc>
        <w:tc>
          <w:tcPr>
            <w:tcW w:w="1134" w:type="dxa"/>
          </w:tcPr>
          <w:p w14:paraId="4E700989"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ĪAS</w:t>
            </w:r>
            <w:r w:rsidRPr="00A07F29">
              <w:rPr>
                <w:rFonts w:ascii="Times New Roman" w:eastAsia="Calibri" w:hAnsi="Times New Roman" w:cs="Times New Roman"/>
                <w:sz w:val="20"/>
                <w:szCs w:val="20"/>
                <w:vertAlign w:val="superscript"/>
              </w:rPr>
              <w:t>1</w:t>
            </w:r>
          </w:p>
        </w:tc>
        <w:tc>
          <w:tcPr>
            <w:tcW w:w="709" w:type="dxa"/>
          </w:tcPr>
          <w:p w14:paraId="3B2ABF09"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c>
          <w:tcPr>
            <w:tcW w:w="1128" w:type="dxa"/>
          </w:tcPr>
          <w:p w14:paraId="71EF962E" w14:textId="77777777" w:rsidR="002B1603" w:rsidRPr="00A07F29" w:rsidRDefault="002B1603" w:rsidP="002B1603">
            <w:pPr>
              <w:spacing w:after="0"/>
              <w:jc w:val="center"/>
              <w:rPr>
                <w:rFonts w:ascii="Times New Roman" w:eastAsia="Calibri" w:hAnsi="Times New Roman" w:cs="Times New Roman"/>
                <w:b/>
                <w:bCs/>
                <w:color w:val="2E74B5"/>
                <w:sz w:val="20"/>
                <w:szCs w:val="20"/>
              </w:rPr>
            </w:pPr>
            <w:r w:rsidRPr="00A07F29">
              <w:rPr>
                <w:rFonts w:ascii="Times New Roman" w:eastAsia="Calibri" w:hAnsi="Times New Roman" w:cs="Times New Roman"/>
                <w:color w:val="2E74B5"/>
                <w:sz w:val="20"/>
                <w:szCs w:val="20"/>
              </w:rPr>
              <w:t>-</w:t>
            </w:r>
          </w:p>
        </w:tc>
        <w:tc>
          <w:tcPr>
            <w:tcW w:w="1122" w:type="dxa"/>
            <w:vAlign w:val="center"/>
          </w:tcPr>
          <w:p w14:paraId="0F6161B8"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r>
      <w:tr w:rsidR="0075395E" w:rsidRPr="00A07F29" w14:paraId="6794AF1F" w14:textId="77777777" w:rsidTr="00B649FD">
        <w:trPr>
          <w:jc w:val="center"/>
        </w:trPr>
        <w:tc>
          <w:tcPr>
            <w:tcW w:w="557" w:type="dxa"/>
          </w:tcPr>
          <w:p w14:paraId="49843A38" w14:textId="35497873" w:rsidR="002B1603" w:rsidRPr="00A07F29" w:rsidRDefault="00170C65" w:rsidP="00E67E47">
            <w:pPr>
              <w:spacing w:after="0"/>
              <w:contextualSpacing/>
              <w:rPr>
                <w:rFonts w:ascii="Times New Roman" w:eastAsia="Calibri" w:hAnsi="Times New Roman" w:cs="Times New Roman"/>
                <w:sz w:val="20"/>
                <w:szCs w:val="20"/>
              </w:rPr>
            </w:pPr>
            <w:r w:rsidRPr="00A07F29">
              <w:rPr>
                <w:rFonts w:ascii="Times New Roman" w:eastAsia="Calibri" w:hAnsi="Times New Roman" w:cs="Times New Roman"/>
                <w:sz w:val="20"/>
                <w:szCs w:val="20"/>
              </w:rPr>
              <w:t>51.</w:t>
            </w:r>
          </w:p>
        </w:tc>
        <w:tc>
          <w:tcPr>
            <w:tcW w:w="2410" w:type="dxa"/>
          </w:tcPr>
          <w:p w14:paraId="70BA60D0" w14:textId="77777777" w:rsidR="002B1603" w:rsidRPr="00A07F29" w:rsidRDefault="002B1603" w:rsidP="0075395E">
            <w:pPr>
              <w:spacing w:after="0"/>
              <w:rPr>
                <w:rFonts w:ascii="Times New Roman" w:eastAsia="Calibri" w:hAnsi="Times New Roman" w:cs="Times New Roman"/>
                <w:spacing w:val="1"/>
                <w:sz w:val="20"/>
                <w:szCs w:val="20"/>
                <w:vertAlign w:val="superscript"/>
              </w:rPr>
            </w:pPr>
            <w:r w:rsidRPr="00A07F29">
              <w:rPr>
                <w:rFonts w:ascii="Times New Roman" w:eastAsia="Calibri" w:hAnsi="Times New Roman" w:cs="Times New Roman"/>
                <w:sz w:val="20"/>
                <w:szCs w:val="20"/>
              </w:rPr>
              <w:t>Gada staipeknis</w:t>
            </w:r>
          </w:p>
        </w:tc>
        <w:tc>
          <w:tcPr>
            <w:tcW w:w="2840" w:type="dxa"/>
          </w:tcPr>
          <w:p w14:paraId="39211009" w14:textId="77777777" w:rsidR="002B1603" w:rsidRPr="00A07F29" w:rsidRDefault="002B1603" w:rsidP="0075395E">
            <w:pPr>
              <w:spacing w:after="0"/>
              <w:rPr>
                <w:rFonts w:ascii="Times New Roman" w:eastAsia="Calibri" w:hAnsi="Times New Roman" w:cs="Times New Roman"/>
                <w:i/>
                <w:sz w:val="20"/>
                <w:szCs w:val="20"/>
              </w:rPr>
            </w:pPr>
            <w:proofErr w:type="spellStart"/>
            <w:r w:rsidRPr="00A07F29">
              <w:rPr>
                <w:rFonts w:ascii="Times New Roman" w:eastAsia="Calibri" w:hAnsi="Times New Roman" w:cs="Times New Roman"/>
                <w:i/>
                <w:sz w:val="20"/>
                <w:szCs w:val="20"/>
              </w:rPr>
              <w:t>Lycopodium</w:t>
            </w:r>
            <w:proofErr w:type="spellEnd"/>
            <w:r w:rsidRPr="00A07F29">
              <w:rPr>
                <w:rFonts w:ascii="Times New Roman" w:eastAsia="Calibri" w:hAnsi="Times New Roman" w:cs="Times New Roman"/>
                <w:i/>
                <w:sz w:val="20"/>
                <w:szCs w:val="20"/>
              </w:rPr>
              <w:t xml:space="preserve"> </w:t>
            </w:r>
            <w:proofErr w:type="spellStart"/>
            <w:r w:rsidRPr="00A07F29">
              <w:rPr>
                <w:rFonts w:ascii="Times New Roman" w:eastAsia="Calibri" w:hAnsi="Times New Roman" w:cs="Times New Roman"/>
                <w:i/>
                <w:sz w:val="20"/>
                <w:szCs w:val="20"/>
              </w:rPr>
              <w:t>annotinum</w:t>
            </w:r>
            <w:proofErr w:type="spellEnd"/>
          </w:p>
        </w:tc>
        <w:tc>
          <w:tcPr>
            <w:tcW w:w="1134" w:type="dxa"/>
          </w:tcPr>
          <w:p w14:paraId="44710881"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ĪAS</w:t>
            </w:r>
          </w:p>
        </w:tc>
        <w:tc>
          <w:tcPr>
            <w:tcW w:w="709" w:type="dxa"/>
          </w:tcPr>
          <w:p w14:paraId="3F601188"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BD V</w:t>
            </w:r>
          </w:p>
        </w:tc>
        <w:tc>
          <w:tcPr>
            <w:tcW w:w="1128" w:type="dxa"/>
            <w:shd w:val="clear" w:color="auto" w:fill="FFC000"/>
          </w:tcPr>
          <w:p w14:paraId="638D71FC" w14:textId="77777777" w:rsidR="002B1603" w:rsidRPr="00A07F29" w:rsidRDefault="002B1603" w:rsidP="002B1603">
            <w:pPr>
              <w:spacing w:after="0"/>
              <w:jc w:val="center"/>
              <w:rPr>
                <w:rFonts w:ascii="Times New Roman" w:eastAsia="Calibri" w:hAnsi="Times New Roman" w:cs="Times New Roman"/>
                <w:b/>
                <w:bCs/>
                <w:color w:val="2E74B5"/>
                <w:sz w:val="20"/>
                <w:szCs w:val="20"/>
              </w:rPr>
            </w:pPr>
            <w:r w:rsidRPr="00A07F29">
              <w:t>U1S</w:t>
            </w:r>
          </w:p>
        </w:tc>
        <w:tc>
          <w:tcPr>
            <w:tcW w:w="1122" w:type="dxa"/>
            <w:shd w:val="clear" w:color="auto" w:fill="FFC000"/>
          </w:tcPr>
          <w:p w14:paraId="445AB9BF" w14:textId="77777777" w:rsidR="002B1603" w:rsidRPr="00A07F29" w:rsidRDefault="002B1603" w:rsidP="002B1603">
            <w:pPr>
              <w:spacing w:after="0"/>
              <w:jc w:val="center"/>
              <w:rPr>
                <w:rFonts w:ascii="Times New Roman" w:eastAsia="Calibri" w:hAnsi="Times New Roman" w:cs="Times New Roman"/>
                <w:sz w:val="20"/>
                <w:szCs w:val="20"/>
              </w:rPr>
            </w:pPr>
            <w:r w:rsidRPr="00A07F29">
              <w:t>U1S</w:t>
            </w:r>
          </w:p>
        </w:tc>
      </w:tr>
      <w:tr w:rsidR="0075395E" w:rsidRPr="00A07F29" w14:paraId="45641C6B" w14:textId="77777777" w:rsidTr="00B649FD">
        <w:trPr>
          <w:jc w:val="center"/>
        </w:trPr>
        <w:tc>
          <w:tcPr>
            <w:tcW w:w="557" w:type="dxa"/>
          </w:tcPr>
          <w:p w14:paraId="4E0F3731" w14:textId="5F27ED03" w:rsidR="002B1603" w:rsidRPr="00A07F29" w:rsidRDefault="00170C65" w:rsidP="00E67E47">
            <w:pPr>
              <w:spacing w:after="0"/>
              <w:contextualSpacing/>
              <w:rPr>
                <w:rFonts w:ascii="Times New Roman" w:eastAsia="Calibri" w:hAnsi="Times New Roman" w:cs="Times New Roman"/>
                <w:sz w:val="20"/>
                <w:szCs w:val="20"/>
              </w:rPr>
            </w:pPr>
            <w:r w:rsidRPr="00A07F29">
              <w:rPr>
                <w:rFonts w:ascii="Times New Roman" w:eastAsia="Calibri" w:hAnsi="Times New Roman" w:cs="Times New Roman"/>
                <w:sz w:val="20"/>
                <w:szCs w:val="20"/>
              </w:rPr>
              <w:t>52.</w:t>
            </w:r>
          </w:p>
        </w:tc>
        <w:tc>
          <w:tcPr>
            <w:tcW w:w="2410" w:type="dxa"/>
          </w:tcPr>
          <w:p w14:paraId="38C5211A" w14:textId="77777777" w:rsidR="002B1603" w:rsidRPr="00A07F29" w:rsidRDefault="002B1603" w:rsidP="0075395E">
            <w:pPr>
              <w:spacing w:after="0"/>
              <w:rPr>
                <w:rFonts w:ascii="Times New Roman" w:eastAsia="Calibri" w:hAnsi="Times New Roman" w:cs="Times New Roman"/>
                <w:sz w:val="20"/>
                <w:szCs w:val="20"/>
                <w:vertAlign w:val="superscript"/>
              </w:rPr>
            </w:pPr>
            <w:r w:rsidRPr="00A07F29">
              <w:rPr>
                <w:rFonts w:ascii="Times New Roman" w:eastAsia="Calibri" w:hAnsi="Times New Roman" w:cs="Times New Roman"/>
                <w:sz w:val="20"/>
                <w:szCs w:val="20"/>
              </w:rPr>
              <w:t>Vālīšu staipeknis</w:t>
            </w:r>
          </w:p>
        </w:tc>
        <w:tc>
          <w:tcPr>
            <w:tcW w:w="2840" w:type="dxa"/>
          </w:tcPr>
          <w:p w14:paraId="7D93B52A" w14:textId="77777777" w:rsidR="002B1603" w:rsidRPr="00A07F29" w:rsidRDefault="002B1603" w:rsidP="0075395E">
            <w:pPr>
              <w:spacing w:after="0"/>
              <w:rPr>
                <w:rFonts w:ascii="Times New Roman" w:eastAsia="Calibri" w:hAnsi="Times New Roman" w:cs="Times New Roman"/>
                <w:i/>
                <w:sz w:val="20"/>
                <w:szCs w:val="20"/>
              </w:rPr>
            </w:pPr>
            <w:proofErr w:type="spellStart"/>
            <w:r w:rsidRPr="00A07F29">
              <w:rPr>
                <w:rFonts w:ascii="Times New Roman" w:eastAsia="Calibri" w:hAnsi="Times New Roman" w:cs="Times New Roman"/>
                <w:i/>
                <w:sz w:val="20"/>
                <w:szCs w:val="20"/>
              </w:rPr>
              <w:t>Lycopodium</w:t>
            </w:r>
            <w:proofErr w:type="spellEnd"/>
            <w:r w:rsidRPr="00A07F29">
              <w:rPr>
                <w:rFonts w:ascii="Times New Roman" w:eastAsia="Calibri" w:hAnsi="Times New Roman" w:cs="Times New Roman"/>
                <w:i/>
                <w:sz w:val="20"/>
                <w:szCs w:val="20"/>
              </w:rPr>
              <w:t xml:space="preserve"> </w:t>
            </w:r>
            <w:proofErr w:type="spellStart"/>
            <w:r w:rsidRPr="00A07F29">
              <w:rPr>
                <w:rFonts w:ascii="Times New Roman" w:eastAsia="Calibri" w:hAnsi="Times New Roman" w:cs="Times New Roman"/>
                <w:i/>
                <w:sz w:val="20"/>
                <w:szCs w:val="20"/>
              </w:rPr>
              <w:t>clavatum</w:t>
            </w:r>
            <w:proofErr w:type="spellEnd"/>
          </w:p>
        </w:tc>
        <w:tc>
          <w:tcPr>
            <w:tcW w:w="1134" w:type="dxa"/>
          </w:tcPr>
          <w:p w14:paraId="2699FA7B"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ĪAS</w:t>
            </w:r>
          </w:p>
        </w:tc>
        <w:tc>
          <w:tcPr>
            <w:tcW w:w="709" w:type="dxa"/>
          </w:tcPr>
          <w:p w14:paraId="7C2AFBA6"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BD V</w:t>
            </w:r>
          </w:p>
        </w:tc>
        <w:tc>
          <w:tcPr>
            <w:tcW w:w="1128" w:type="dxa"/>
            <w:shd w:val="clear" w:color="auto" w:fill="FFC000"/>
          </w:tcPr>
          <w:p w14:paraId="18050DA3" w14:textId="77777777" w:rsidR="002B1603" w:rsidRPr="00A07F29" w:rsidRDefault="002B1603" w:rsidP="002B1603">
            <w:pPr>
              <w:spacing w:after="0"/>
              <w:jc w:val="center"/>
              <w:rPr>
                <w:rFonts w:ascii="Times New Roman" w:eastAsia="Calibri" w:hAnsi="Times New Roman" w:cs="Times New Roman"/>
                <w:b/>
                <w:bCs/>
                <w:color w:val="2E74B5"/>
                <w:sz w:val="20"/>
                <w:szCs w:val="20"/>
              </w:rPr>
            </w:pPr>
            <w:r w:rsidRPr="00A07F29">
              <w:t>U1S</w:t>
            </w:r>
          </w:p>
        </w:tc>
        <w:tc>
          <w:tcPr>
            <w:tcW w:w="1122" w:type="dxa"/>
            <w:shd w:val="clear" w:color="auto" w:fill="FFC000"/>
          </w:tcPr>
          <w:p w14:paraId="14E8E349" w14:textId="77777777" w:rsidR="002B1603" w:rsidRPr="00A07F29" w:rsidRDefault="002B1603" w:rsidP="002B1603">
            <w:pPr>
              <w:spacing w:after="0"/>
              <w:jc w:val="center"/>
              <w:rPr>
                <w:rFonts w:ascii="Times New Roman" w:eastAsia="Calibri" w:hAnsi="Times New Roman" w:cs="Times New Roman"/>
                <w:sz w:val="20"/>
                <w:szCs w:val="20"/>
              </w:rPr>
            </w:pPr>
            <w:r w:rsidRPr="00A07F29">
              <w:t>U1S</w:t>
            </w:r>
          </w:p>
        </w:tc>
      </w:tr>
      <w:tr w:rsidR="0075395E" w:rsidRPr="00A07F29" w14:paraId="1B52F4F5" w14:textId="77777777" w:rsidTr="00B649FD">
        <w:trPr>
          <w:jc w:val="center"/>
        </w:trPr>
        <w:tc>
          <w:tcPr>
            <w:tcW w:w="557" w:type="dxa"/>
          </w:tcPr>
          <w:p w14:paraId="2CA317DA" w14:textId="1DB0D263" w:rsidR="002B1603" w:rsidRPr="00A07F29" w:rsidRDefault="00170C65" w:rsidP="00E67E47">
            <w:pPr>
              <w:spacing w:after="0"/>
              <w:contextualSpacing/>
              <w:rPr>
                <w:rFonts w:ascii="Times New Roman" w:eastAsia="Calibri" w:hAnsi="Times New Roman" w:cs="Times New Roman"/>
                <w:sz w:val="20"/>
                <w:szCs w:val="20"/>
              </w:rPr>
            </w:pPr>
            <w:r w:rsidRPr="00A07F29">
              <w:rPr>
                <w:rFonts w:ascii="Times New Roman" w:eastAsia="Calibri" w:hAnsi="Times New Roman" w:cs="Times New Roman"/>
                <w:sz w:val="20"/>
                <w:szCs w:val="20"/>
              </w:rPr>
              <w:t>53.</w:t>
            </w:r>
          </w:p>
        </w:tc>
        <w:tc>
          <w:tcPr>
            <w:tcW w:w="2410" w:type="dxa"/>
          </w:tcPr>
          <w:p w14:paraId="07D6DE04" w14:textId="77777777" w:rsidR="002B1603" w:rsidRPr="00A07F29" w:rsidRDefault="002B1603" w:rsidP="0075395E">
            <w:pPr>
              <w:spacing w:after="0"/>
              <w:rPr>
                <w:rFonts w:ascii="Times New Roman" w:eastAsia="Calibri" w:hAnsi="Times New Roman" w:cs="Times New Roman"/>
                <w:sz w:val="20"/>
                <w:szCs w:val="20"/>
              </w:rPr>
            </w:pPr>
            <w:r w:rsidRPr="00A07F29">
              <w:rPr>
                <w:rFonts w:ascii="Times New Roman" w:eastAsia="Calibri" w:hAnsi="Times New Roman" w:cs="Times New Roman"/>
                <w:sz w:val="20"/>
                <w:szCs w:val="20"/>
              </w:rPr>
              <w:t>Purvāja vienlape</w:t>
            </w:r>
            <w:r w:rsidRPr="00A07F29">
              <w:rPr>
                <w:rFonts w:ascii="Times New Roman" w:eastAsia="Calibri" w:hAnsi="Times New Roman" w:cs="Times New Roman"/>
                <w:sz w:val="20"/>
                <w:szCs w:val="20"/>
                <w:vertAlign w:val="superscript"/>
              </w:rPr>
              <w:t>5</w:t>
            </w:r>
          </w:p>
        </w:tc>
        <w:tc>
          <w:tcPr>
            <w:tcW w:w="2840" w:type="dxa"/>
          </w:tcPr>
          <w:p w14:paraId="590FEE6F" w14:textId="77777777" w:rsidR="002B1603" w:rsidRPr="00A07F29" w:rsidRDefault="002B1603" w:rsidP="0075395E">
            <w:pPr>
              <w:spacing w:after="0"/>
              <w:rPr>
                <w:rFonts w:ascii="Times New Roman" w:eastAsia="Calibri" w:hAnsi="Times New Roman" w:cs="Times New Roman"/>
                <w:i/>
                <w:sz w:val="20"/>
                <w:szCs w:val="20"/>
              </w:rPr>
            </w:pPr>
            <w:proofErr w:type="spellStart"/>
            <w:r w:rsidRPr="00A07F29">
              <w:rPr>
                <w:rFonts w:ascii="Times New Roman" w:eastAsia="Calibri" w:hAnsi="Times New Roman" w:cs="Times New Roman"/>
                <w:i/>
                <w:sz w:val="20"/>
                <w:szCs w:val="20"/>
              </w:rPr>
              <w:t>Malaxis</w:t>
            </w:r>
            <w:proofErr w:type="spellEnd"/>
            <w:r w:rsidRPr="00A07F29">
              <w:rPr>
                <w:rFonts w:ascii="Times New Roman" w:eastAsia="Calibri" w:hAnsi="Times New Roman" w:cs="Times New Roman"/>
                <w:i/>
                <w:sz w:val="20"/>
                <w:szCs w:val="20"/>
              </w:rPr>
              <w:t xml:space="preserve"> </w:t>
            </w:r>
            <w:proofErr w:type="spellStart"/>
            <w:r w:rsidRPr="00A07F29">
              <w:rPr>
                <w:rFonts w:ascii="Times New Roman" w:eastAsia="Calibri" w:hAnsi="Times New Roman" w:cs="Times New Roman"/>
                <w:i/>
                <w:sz w:val="20"/>
                <w:szCs w:val="20"/>
              </w:rPr>
              <w:t>monophyllos</w:t>
            </w:r>
            <w:proofErr w:type="spellEnd"/>
          </w:p>
        </w:tc>
        <w:tc>
          <w:tcPr>
            <w:tcW w:w="1134" w:type="dxa"/>
          </w:tcPr>
          <w:p w14:paraId="533AEDE4"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ĪAS</w:t>
            </w:r>
          </w:p>
        </w:tc>
        <w:tc>
          <w:tcPr>
            <w:tcW w:w="709" w:type="dxa"/>
          </w:tcPr>
          <w:p w14:paraId="16C52E4E"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c>
          <w:tcPr>
            <w:tcW w:w="1128" w:type="dxa"/>
          </w:tcPr>
          <w:p w14:paraId="258E1E16" w14:textId="77777777" w:rsidR="002B1603" w:rsidRPr="00A07F29" w:rsidRDefault="002B1603" w:rsidP="002B1603">
            <w:pPr>
              <w:spacing w:after="0"/>
              <w:jc w:val="center"/>
              <w:rPr>
                <w:rFonts w:ascii="Times New Roman" w:eastAsia="Calibri" w:hAnsi="Times New Roman" w:cs="Times New Roman"/>
                <w:b/>
                <w:bCs/>
                <w:color w:val="2E74B5"/>
                <w:sz w:val="20"/>
                <w:szCs w:val="20"/>
              </w:rPr>
            </w:pPr>
            <w:r w:rsidRPr="00A07F29">
              <w:rPr>
                <w:rFonts w:ascii="Times New Roman" w:eastAsia="Calibri" w:hAnsi="Times New Roman" w:cs="Times New Roman"/>
                <w:sz w:val="20"/>
                <w:szCs w:val="20"/>
              </w:rPr>
              <w:t>-</w:t>
            </w:r>
          </w:p>
        </w:tc>
        <w:tc>
          <w:tcPr>
            <w:tcW w:w="1122" w:type="dxa"/>
            <w:vAlign w:val="center"/>
          </w:tcPr>
          <w:p w14:paraId="5824EADD"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r>
      <w:tr w:rsidR="005F3ACE" w:rsidRPr="00A07F29" w14:paraId="4AAA6DBB" w14:textId="77777777" w:rsidTr="00B649FD">
        <w:trPr>
          <w:jc w:val="center"/>
        </w:trPr>
        <w:tc>
          <w:tcPr>
            <w:tcW w:w="557" w:type="dxa"/>
          </w:tcPr>
          <w:p w14:paraId="1E95E7A7" w14:textId="27B76F7B" w:rsidR="005F3ACE" w:rsidRPr="00A07F29" w:rsidRDefault="00170C65" w:rsidP="00E67E47">
            <w:pPr>
              <w:spacing w:after="0"/>
              <w:contextualSpacing/>
              <w:rPr>
                <w:rFonts w:ascii="Times New Roman" w:eastAsia="Calibri" w:hAnsi="Times New Roman" w:cs="Times New Roman"/>
                <w:sz w:val="20"/>
                <w:szCs w:val="20"/>
              </w:rPr>
            </w:pPr>
            <w:r w:rsidRPr="00A07F29">
              <w:rPr>
                <w:rFonts w:ascii="Times New Roman" w:eastAsia="Calibri" w:hAnsi="Times New Roman" w:cs="Times New Roman"/>
                <w:sz w:val="20"/>
                <w:szCs w:val="20"/>
              </w:rPr>
              <w:t>54.</w:t>
            </w:r>
          </w:p>
        </w:tc>
        <w:tc>
          <w:tcPr>
            <w:tcW w:w="2410" w:type="dxa"/>
          </w:tcPr>
          <w:p w14:paraId="77E4B374" w14:textId="5619F39F" w:rsidR="005F3ACE" w:rsidRPr="00A07F29" w:rsidRDefault="005F3ACE" w:rsidP="005F3ACE">
            <w:pPr>
              <w:spacing w:after="0"/>
              <w:rPr>
                <w:rFonts w:ascii="Times New Roman" w:eastAsia="Calibri" w:hAnsi="Times New Roman" w:cs="Times New Roman"/>
                <w:sz w:val="20"/>
                <w:szCs w:val="20"/>
              </w:rPr>
            </w:pPr>
            <w:r w:rsidRPr="00A07F29">
              <w:rPr>
                <w:rFonts w:ascii="Times New Roman" w:eastAsia="Calibri" w:hAnsi="Times New Roman" w:cs="Times New Roman"/>
                <w:sz w:val="20"/>
                <w:szCs w:val="20"/>
              </w:rPr>
              <w:t xml:space="preserve">Lielā (jūras) </w:t>
            </w:r>
            <w:proofErr w:type="spellStart"/>
            <w:r w:rsidRPr="00A07F29">
              <w:rPr>
                <w:rFonts w:ascii="Times New Roman" w:eastAsia="Calibri" w:hAnsi="Times New Roman" w:cs="Times New Roman"/>
                <w:sz w:val="20"/>
                <w:szCs w:val="20"/>
              </w:rPr>
              <w:t>najāda</w:t>
            </w:r>
            <w:proofErr w:type="spellEnd"/>
          </w:p>
        </w:tc>
        <w:tc>
          <w:tcPr>
            <w:tcW w:w="2840" w:type="dxa"/>
          </w:tcPr>
          <w:p w14:paraId="20B03C97" w14:textId="572EFB89" w:rsidR="005F3ACE" w:rsidRPr="00A07F29" w:rsidRDefault="005F3ACE" w:rsidP="005F3ACE">
            <w:pPr>
              <w:spacing w:after="0"/>
              <w:rPr>
                <w:rFonts w:ascii="Times New Roman" w:eastAsia="Calibri" w:hAnsi="Times New Roman" w:cs="Times New Roman"/>
                <w:i/>
                <w:sz w:val="20"/>
                <w:szCs w:val="20"/>
              </w:rPr>
            </w:pPr>
            <w:proofErr w:type="spellStart"/>
            <w:r w:rsidRPr="00A07F29">
              <w:rPr>
                <w:rFonts w:ascii="Times New Roman" w:eastAsia="Calibri" w:hAnsi="Times New Roman" w:cs="Times New Roman"/>
                <w:i/>
                <w:sz w:val="20"/>
                <w:szCs w:val="20"/>
              </w:rPr>
              <w:t>Najas</w:t>
            </w:r>
            <w:proofErr w:type="spellEnd"/>
            <w:r w:rsidRPr="00A07F29">
              <w:rPr>
                <w:rFonts w:ascii="Times New Roman" w:eastAsia="Calibri" w:hAnsi="Times New Roman" w:cs="Times New Roman"/>
                <w:i/>
                <w:sz w:val="20"/>
                <w:szCs w:val="20"/>
              </w:rPr>
              <w:t xml:space="preserve"> major</w:t>
            </w:r>
          </w:p>
          <w:p w14:paraId="1BC5556A" w14:textId="241124FB" w:rsidR="005F3ACE" w:rsidRPr="00A07F29" w:rsidRDefault="005F3ACE" w:rsidP="005F3ACE">
            <w:pPr>
              <w:spacing w:after="0"/>
              <w:rPr>
                <w:rFonts w:ascii="Times New Roman" w:eastAsia="Calibri" w:hAnsi="Times New Roman" w:cs="Times New Roman"/>
                <w:i/>
                <w:sz w:val="20"/>
                <w:szCs w:val="20"/>
              </w:rPr>
            </w:pPr>
            <w:r w:rsidRPr="00A07F29">
              <w:rPr>
                <w:rFonts w:ascii="Times New Roman" w:eastAsia="Calibri" w:hAnsi="Times New Roman" w:cs="Times New Roman"/>
                <w:sz w:val="20"/>
                <w:szCs w:val="20"/>
              </w:rPr>
              <w:t>(</w:t>
            </w:r>
            <w:r w:rsidRPr="00A07F29">
              <w:rPr>
                <w:rFonts w:ascii="Times New Roman" w:eastAsia="Calibri" w:hAnsi="Times New Roman" w:cs="Times New Roman"/>
                <w:i/>
                <w:sz w:val="20"/>
                <w:szCs w:val="20"/>
              </w:rPr>
              <w:t xml:space="preserve">N. </w:t>
            </w:r>
            <w:proofErr w:type="spellStart"/>
            <w:r w:rsidRPr="00A07F29">
              <w:rPr>
                <w:rFonts w:ascii="Times New Roman" w:eastAsia="Calibri" w:hAnsi="Times New Roman" w:cs="Times New Roman"/>
                <w:i/>
                <w:sz w:val="20"/>
                <w:szCs w:val="20"/>
              </w:rPr>
              <w:t>marina</w:t>
            </w:r>
            <w:proofErr w:type="spellEnd"/>
            <w:r w:rsidRPr="00A07F29">
              <w:rPr>
                <w:rFonts w:ascii="Times New Roman" w:eastAsia="Calibri" w:hAnsi="Times New Roman" w:cs="Times New Roman"/>
                <w:i/>
                <w:sz w:val="20"/>
                <w:szCs w:val="20"/>
              </w:rPr>
              <w:t xml:space="preserve"> </w:t>
            </w:r>
            <w:proofErr w:type="spellStart"/>
            <w:r w:rsidRPr="00A07F29">
              <w:rPr>
                <w:rFonts w:ascii="Times New Roman" w:eastAsia="Calibri" w:hAnsi="Times New Roman" w:cs="Times New Roman"/>
                <w:i/>
                <w:sz w:val="20"/>
                <w:szCs w:val="20"/>
              </w:rPr>
              <w:t>subsp</w:t>
            </w:r>
            <w:proofErr w:type="spellEnd"/>
            <w:r w:rsidRPr="00A07F29">
              <w:rPr>
                <w:rFonts w:ascii="Times New Roman" w:eastAsia="Calibri" w:hAnsi="Times New Roman" w:cs="Times New Roman"/>
                <w:i/>
                <w:sz w:val="20"/>
                <w:szCs w:val="20"/>
              </w:rPr>
              <w:t>. major</w:t>
            </w:r>
            <w:r w:rsidRPr="00A07F29">
              <w:rPr>
                <w:rFonts w:ascii="Times New Roman" w:eastAsia="Calibri" w:hAnsi="Times New Roman" w:cs="Times New Roman"/>
                <w:sz w:val="20"/>
                <w:szCs w:val="20"/>
              </w:rPr>
              <w:t>)</w:t>
            </w:r>
          </w:p>
        </w:tc>
        <w:tc>
          <w:tcPr>
            <w:tcW w:w="1134" w:type="dxa"/>
          </w:tcPr>
          <w:p w14:paraId="7C6A891D" w14:textId="7E0183E0" w:rsidR="005F3ACE" w:rsidRPr="00A07F29" w:rsidRDefault="005F3ACE"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ĪAS</w:t>
            </w:r>
          </w:p>
        </w:tc>
        <w:tc>
          <w:tcPr>
            <w:tcW w:w="709" w:type="dxa"/>
          </w:tcPr>
          <w:p w14:paraId="1E1B13ED" w14:textId="5D7E5D86" w:rsidR="005F3ACE" w:rsidRPr="00A07F29" w:rsidRDefault="005F3ACE"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c>
          <w:tcPr>
            <w:tcW w:w="1128" w:type="dxa"/>
          </w:tcPr>
          <w:p w14:paraId="0FD81E47" w14:textId="0C2181A7" w:rsidR="005F3ACE" w:rsidRPr="00A07F29" w:rsidRDefault="005F3ACE" w:rsidP="002B1603">
            <w:pPr>
              <w:spacing w:after="0"/>
              <w:jc w:val="center"/>
              <w:rPr>
                <w:rFonts w:ascii="Times New Roman" w:eastAsia="Calibri" w:hAnsi="Times New Roman" w:cs="Times New Roman"/>
                <w:color w:val="2E74B5"/>
                <w:sz w:val="20"/>
                <w:szCs w:val="20"/>
              </w:rPr>
            </w:pPr>
            <w:r w:rsidRPr="00A07F29">
              <w:rPr>
                <w:rFonts w:ascii="Times New Roman" w:eastAsia="Calibri" w:hAnsi="Times New Roman" w:cs="Times New Roman"/>
                <w:color w:val="2E74B5"/>
                <w:sz w:val="20"/>
                <w:szCs w:val="20"/>
              </w:rPr>
              <w:t>-</w:t>
            </w:r>
          </w:p>
        </w:tc>
        <w:tc>
          <w:tcPr>
            <w:tcW w:w="1122" w:type="dxa"/>
          </w:tcPr>
          <w:p w14:paraId="710E3F97" w14:textId="6195979A" w:rsidR="005F3ACE" w:rsidRPr="00A07F29" w:rsidRDefault="005F3ACE"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r>
      <w:tr w:rsidR="0075395E" w:rsidRPr="00A07F29" w14:paraId="6AF3C2E7" w14:textId="77777777" w:rsidTr="00B649FD">
        <w:trPr>
          <w:jc w:val="center"/>
        </w:trPr>
        <w:tc>
          <w:tcPr>
            <w:tcW w:w="557" w:type="dxa"/>
          </w:tcPr>
          <w:p w14:paraId="588C1838" w14:textId="0AD02B3C" w:rsidR="002B1603" w:rsidRPr="00A07F29" w:rsidRDefault="00170C65" w:rsidP="00E67E47">
            <w:pPr>
              <w:spacing w:after="0"/>
              <w:contextualSpacing/>
              <w:rPr>
                <w:rFonts w:ascii="Times New Roman" w:eastAsia="Calibri" w:hAnsi="Times New Roman" w:cs="Times New Roman"/>
                <w:sz w:val="20"/>
                <w:szCs w:val="20"/>
              </w:rPr>
            </w:pPr>
            <w:r w:rsidRPr="00A07F29">
              <w:rPr>
                <w:rFonts w:ascii="Times New Roman" w:eastAsia="Calibri" w:hAnsi="Times New Roman" w:cs="Times New Roman"/>
                <w:sz w:val="20"/>
                <w:szCs w:val="20"/>
              </w:rPr>
              <w:t>55.</w:t>
            </w:r>
          </w:p>
        </w:tc>
        <w:tc>
          <w:tcPr>
            <w:tcW w:w="2410" w:type="dxa"/>
          </w:tcPr>
          <w:p w14:paraId="118A058C" w14:textId="77777777" w:rsidR="002B1603" w:rsidRPr="00A07F29" w:rsidRDefault="002B1603" w:rsidP="0075395E">
            <w:pPr>
              <w:spacing w:after="0"/>
              <w:rPr>
                <w:rFonts w:ascii="Times New Roman" w:eastAsia="Calibri" w:hAnsi="Times New Roman" w:cs="Times New Roman"/>
                <w:sz w:val="20"/>
                <w:szCs w:val="20"/>
              </w:rPr>
            </w:pPr>
            <w:r w:rsidRPr="00A07F29">
              <w:rPr>
                <w:rFonts w:ascii="Times New Roman" w:eastAsia="Calibri" w:hAnsi="Times New Roman" w:cs="Times New Roman"/>
                <w:sz w:val="20"/>
                <w:szCs w:val="20"/>
              </w:rPr>
              <w:t xml:space="preserve">Mazā </w:t>
            </w:r>
            <w:proofErr w:type="spellStart"/>
            <w:r w:rsidRPr="00A07F29">
              <w:rPr>
                <w:rFonts w:ascii="Times New Roman" w:eastAsia="Calibri" w:hAnsi="Times New Roman" w:cs="Times New Roman"/>
                <w:sz w:val="20"/>
                <w:szCs w:val="20"/>
              </w:rPr>
              <w:t>najāda</w:t>
            </w:r>
            <w:proofErr w:type="spellEnd"/>
          </w:p>
        </w:tc>
        <w:tc>
          <w:tcPr>
            <w:tcW w:w="2840" w:type="dxa"/>
          </w:tcPr>
          <w:p w14:paraId="7703803B" w14:textId="77777777" w:rsidR="002B1603" w:rsidRPr="00A07F29" w:rsidRDefault="002B1603" w:rsidP="0075395E">
            <w:pPr>
              <w:spacing w:after="0"/>
              <w:rPr>
                <w:rFonts w:ascii="Times New Roman" w:eastAsia="Calibri" w:hAnsi="Times New Roman" w:cs="Times New Roman"/>
                <w:i/>
                <w:sz w:val="20"/>
                <w:szCs w:val="20"/>
              </w:rPr>
            </w:pPr>
            <w:proofErr w:type="spellStart"/>
            <w:r w:rsidRPr="00A07F29">
              <w:rPr>
                <w:rFonts w:ascii="Times New Roman" w:eastAsia="Calibri" w:hAnsi="Times New Roman" w:cs="Times New Roman"/>
                <w:i/>
                <w:sz w:val="20"/>
                <w:szCs w:val="20"/>
              </w:rPr>
              <w:t>Najas</w:t>
            </w:r>
            <w:proofErr w:type="spellEnd"/>
            <w:r w:rsidRPr="00A07F29">
              <w:rPr>
                <w:rFonts w:ascii="Times New Roman" w:eastAsia="Calibri" w:hAnsi="Times New Roman" w:cs="Times New Roman"/>
                <w:i/>
                <w:sz w:val="20"/>
                <w:szCs w:val="20"/>
              </w:rPr>
              <w:t xml:space="preserve"> minor</w:t>
            </w:r>
          </w:p>
        </w:tc>
        <w:tc>
          <w:tcPr>
            <w:tcW w:w="1134" w:type="dxa"/>
          </w:tcPr>
          <w:p w14:paraId="5C5B565C"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ĪAS</w:t>
            </w:r>
          </w:p>
        </w:tc>
        <w:tc>
          <w:tcPr>
            <w:tcW w:w="709" w:type="dxa"/>
          </w:tcPr>
          <w:p w14:paraId="370CFC3C"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c>
          <w:tcPr>
            <w:tcW w:w="1128" w:type="dxa"/>
          </w:tcPr>
          <w:p w14:paraId="08356A75" w14:textId="77777777" w:rsidR="002B1603" w:rsidRPr="00A07F29" w:rsidRDefault="002B1603" w:rsidP="002B1603">
            <w:pPr>
              <w:spacing w:after="0"/>
              <w:jc w:val="center"/>
              <w:rPr>
                <w:rFonts w:ascii="Times New Roman" w:eastAsia="Calibri" w:hAnsi="Times New Roman" w:cs="Times New Roman"/>
                <w:b/>
                <w:bCs/>
                <w:color w:val="2E74B5"/>
                <w:sz w:val="20"/>
                <w:szCs w:val="20"/>
              </w:rPr>
            </w:pPr>
            <w:r w:rsidRPr="00A07F29">
              <w:rPr>
                <w:rFonts w:ascii="Times New Roman" w:eastAsia="Calibri" w:hAnsi="Times New Roman" w:cs="Times New Roman"/>
                <w:color w:val="2E74B5"/>
                <w:sz w:val="20"/>
                <w:szCs w:val="20"/>
              </w:rPr>
              <w:t>-</w:t>
            </w:r>
          </w:p>
        </w:tc>
        <w:tc>
          <w:tcPr>
            <w:tcW w:w="1122" w:type="dxa"/>
            <w:vAlign w:val="center"/>
          </w:tcPr>
          <w:p w14:paraId="0441CA1F"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r>
      <w:tr w:rsidR="0075395E" w:rsidRPr="00A07F29" w14:paraId="003A4569" w14:textId="77777777" w:rsidTr="00B649FD">
        <w:trPr>
          <w:jc w:val="center"/>
        </w:trPr>
        <w:tc>
          <w:tcPr>
            <w:tcW w:w="557" w:type="dxa"/>
          </w:tcPr>
          <w:p w14:paraId="2489083D" w14:textId="37684E66" w:rsidR="002B1603" w:rsidRPr="00A07F29" w:rsidRDefault="00170C65" w:rsidP="00E67E47">
            <w:pPr>
              <w:spacing w:after="0"/>
              <w:contextualSpacing/>
              <w:rPr>
                <w:rFonts w:ascii="Times New Roman" w:eastAsia="Calibri" w:hAnsi="Times New Roman" w:cs="Times New Roman"/>
                <w:sz w:val="20"/>
                <w:szCs w:val="20"/>
              </w:rPr>
            </w:pPr>
            <w:r w:rsidRPr="00A07F29">
              <w:rPr>
                <w:rFonts w:ascii="Times New Roman" w:eastAsia="Calibri" w:hAnsi="Times New Roman" w:cs="Times New Roman"/>
                <w:sz w:val="20"/>
                <w:szCs w:val="20"/>
              </w:rPr>
              <w:t>56.</w:t>
            </w:r>
          </w:p>
        </w:tc>
        <w:tc>
          <w:tcPr>
            <w:tcW w:w="2410" w:type="dxa"/>
          </w:tcPr>
          <w:p w14:paraId="380DCA6D" w14:textId="77777777" w:rsidR="002B1603" w:rsidRPr="00A07F29" w:rsidRDefault="002B1603" w:rsidP="0075395E">
            <w:pPr>
              <w:spacing w:after="0"/>
              <w:rPr>
                <w:rFonts w:ascii="Times New Roman" w:eastAsia="Calibri" w:hAnsi="Times New Roman" w:cs="Times New Roman"/>
                <w:sz w:val="20"/>
                <w:szCs w:val="20"/>
              </w:rPr>
            </w:pPr>
            <w:proofErr w:type="spellStart"/>
            <w:r w:rsidRPr="00A07F29">
              <w:rPr>
                <w:rFonts w:ascii="Times New Roman" w:eastAsia="Calibri" w:hAnsi="Times New Roman" w:cs="Times New Roman"/>
                <w:sz w:val="20"/>
                <w:szCs w:val="20"/>
              </w:rPr>
              <w:t>Cepurainā</w:t>
            </w:r>
            <w:proofErr w:type="spellEnd"/>
            <w:r w:rsidRPr="00A07F29">
              <w:rPr>
                <w:rFonts w:ascii="Times New Roman" w:eastAsia="Calibri" w:hAnsi="Times New Roman" w:cs="Times New Roman"/>
                <w:sz w:val="20"/>
                <w:szCs w:val="20"/>
              </w:rPr>
              <w:t xml:space="preserve"> </w:t>
            </w:r>
            <w:proofErr w:type="spellStart"/>
            <w:r w:rsidRPr="00A07F29">
              <w:rPr>
                <w:rFonts w:ascii="Times New Roman" w:eastAsia="Calibri" w:hAnsi="Times New Roman" w:cs="Times New Roman"/>
                <w:sz w:val="20"/>
                <w:szCs w:val="20"/>
              </w:rPr>
              <w:t>neotiante</w:t>
            </w:r>
            <w:proofErr w:type="spellEnd"/>
          </w:p>
        </w:tc>
        <w:tc>
          <w:tcPr>
            <w:tcW w:w="2840" w:type="dxa"/>
          </w:tcPr>
          <w:p w14:paraId="041B8F45" w14:textId="77777777" w:rsidR="002B1603" w:rsidRPr="00A07F29" w:rsidRDefault="002B1603" w:rsidP="0075395E">
            <w:pPr>
              <w:spacing w:after="0"/>
              <w:rPr>
                <w:rFonts w:ascii="Times New Roman" w:eastAsia="Calibri" w:hAnsi="Times New Roman" w:cs="Times New Roman"/>
                <w:i/>
                <w:sz w:val="20"/>
                <w:szCs w:val="20"/>
              </w:rPr>
            </w:pPr>
            <w:proofErr w:type="spellStart"/>
            <w:r w:rsidRPr="00A07F29">
              <w:rPr>
                <w:rFonts w:ascii="Times New Roman" w:eastAsia="Calibri" w:hAnsi="Times New Roman" w:cs="Times New Roman"/>
                <w:i/>
                <w:sz w:val="20"/>
                <w:szCs w:val="20"/>
              </w:rPr>
              <w:t>Neottianthe</w:t>
            </w:r>
            <w:proofErr w:type="spellEnd"/>
            <w:r w:rsidRPr="00A07F29">
              <w:rPr>
                <w:rFonts w:ascii="Times New Roman" w:eastAsia="Calibri" w:hAnsi="Times New Roman" w:cs="Times New Roman"/>
                <w:i/>
                <w:sz w:val="20"/>
                <w:szCs w:val="20"/>
              </w:rPr>
              <w:t xml:space="preserve"> </w:t>
            </w:r>
            <w:proofErr w:type="spellStart"/>
            <w:r w:rsidRPr="00A07F29">
              <w:rPr>
                <w:rFonts w:ascii="Times New Roman" w:eastAsia="Calibri" w:hAnsi="Times New Roman" w:cs="Times New Roman"/>
                <w:i/>
                <w:sz w:val="20"/>
                <w:szCs w:val="20"/>
              </w:rPr>
              <w:t>cucullata</w:t>
            </w:r>
            <w:proofErr w:type="spellEnd"/>
          </w:p>
        </w:tc>
        <w:tc>
          <w:tcPr>
            <w:tcW w:w="1134" w:type="dxa"/>
          </w:tcPr>
          <w:p w14:paraId="3053EB1C"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ĪAS</w:t>
            </w:r>
            <w:r w:rsidRPr="00A07F29">
              <w:rPr>
                <w:rFonts w:ascii="Times New Roman" w:eastAsia="Calibri" w:hAnsi="Times New Roman" w:cs="Times New Roman"/>
                <w:sz w:val="20"/>
                <w:szCs w:val="20"/>
                <w:vertAlign w:val="superscript"/>
              </w:rPr>
              <w:t>1</w:t>
            </w:r>
          </w:p>
        </w:tc>
        <w:tc>
          <w:tcPr>
            <w:tcW w:w="709" w:type="dxa"/>
          </w:tcPr>
          <w:p w14:paraId="1E6F6EFC"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c>
          <w:tcPr>
            <w:tcW w:w="1128" w:type="dxa"/>
          </w:tcPr>
          <w:p w14:paraId="34017CE9" w14:textId="77777777" w:rsidR="002B1603" w:rsidRPr="00A07F29" w:rsidRDefault="002B1603" w:rsidP="002B1603">
            <w:pPr>
              <w:spacing w:after="0"/>
              <w:jc w:val="center"/>
              <w:rPr>
                <w:rFonts w:ascii="Times New Roman" w:eastAsia="Calibri" w:hAnsi="Times New Roman" w:cs="Times New Roman"/>
                <w:b/>
                <w:bCs/>
                <w:color w:val="2E74B5"/>
                <w:sz w:val="20"/>
                <w:szCs w:val="20"/>
              </w:rPr>
            </w:pPr>
            <w:r w:rsidRPr="00A07F29">
              <w:rPr>
                <w:rFonts w:ascii="Times New Roman" w:eastAsia="Calibri" w:hAnsi="Times New Roman" w:cs="Times New Roman"/>
                <w:sz w:val="20"/>
                <w:szCs w:val="20"/>
              </w:rPr>
              <w:t>-</w:t>
            </w:r>
          </w:p>
        </w:tc>
        <w:tc>
          <w:tcPr>
            <w:tcW w:w="1122" w:type="dxa"/>
            <w:vAlign w:val="center"/>
          </w:tcPr>
          <w:p w14:paraId="3821B56F"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r>
      <w:tr w:rsidR="0075395E" w:rsidRPr="00A07F29" w14:paraId="547D97A3" w14:textId="77777777" w:rsidTr="00B649FD">
        <w:trPr>
          <w:jc w:val="center"/>
        </w:trPr>
        <w:tc>
          <w:tcPr>
            <w:tcW w:w="557" w:type="dxa"/>
          </w:tcPr>
          <w:p w14:paraId="568577B4" w14:textId="09EFA211" w:rsidR="002B1603" w:rsidRPr="00A07F29" w:rsidRDefault="00170C65" w:rsidP="00E67E47">
            <w:pPr>
              <w:spacing w:after="0"/>
              <w:contextualSpacing/>
              <w:rPr>
                <w:rFonts w:ascii="Times New Roman" w:eastAsia="Calibri" w:hAnsi="Times New Roman" w:cs="Times New Roman"/>
                <w:sz w:val="20"/>
                <w:szCs w:val="20"/>
              </w:rPr>
            </w:pPr>
            <w:r w:rsidRPr="00A07F29">
              <w:rPr>
                <w:rFonts w:ascii="Times New Roman" w:eastAsia="Calibri" w:hAnsi="Times New Roman" w:cs="Times New Roman"/>
                <w:sz w:val="20"/>
                <w:szCs w:val="20"/>
              </w:rPr>
              <w:t>57.</w:t>
            </w:r>
          </w:p>
        </w:tc>
        <w:tc>
          <w:tcPr>
            <w:tcW w:w="2410" w:type="dxa"/>
          </w:tcPr>
          <w:p w14:paraId="594E14D3" w14:textId="7419F819" w:rsidR="002B1603" w:rsidRPr="00A07F29" w:rsidRDefault="002B1603" w:rsidP="0075395E">
            <w:pPr>
              <w:spacing w:after="0"/>
              <w:rPr>
                <w:rFonts w:ascii="Times New Roman" w:eastAsia="Calibri" w:hAnsi="Times New Roman" w:cs="Times New Roman"/>
                <w:sz w:val="20"/>
                <w:szCs w:val="20"/>
                <w:vertAlign w:val="superscript"/>
              </w:rPr>
            </w:pPr>
            <w:r w:rsidRPr="00A07F29">
              <w:rPr>
                <w:rFonts w:ascii="Times New Roman" w:eastAsia="Calibri" w:hAnsi="Times New Roman" w:cs="Times New Roman"/>
                <w:sz w:val="20"/>
                <w:szCs w:val="20"/>
              </w:rPr>
              <w:t>Smiltāju esp</w:t>
            </w:r>
            <w:r w:rsidR="00905AE1" w:rsidRPr="00A07F29">
              <w:rPr>
                <w:rFonts w:ascii="Times New Roman" w:eastAsia="Calibri" w:hAnsi="Times New Roman" w:cs="Times New Roman"/>
                <w:sz w:val="20"/>
                <w:szCs w:val="20"/>
              </w:rPr>
              <w:t>a</w:t>
            </w:r>
            <w:r w:rsidRPr="00A07F29">
              <w:rPr>
                <w:rFonts w:ascii="Times New Roman" w:eastAsia="Calibri" w:hAnsi="Times New Roman" w:cs="Times New Roman"/>
                <w:sz w:val="20"/>
                <w:szCs w:val="20"/>
              </w:rPr>
              <w:t>rsete</w:t>
            </w:r>
            <w:r w:rsidRPr="00A07F29">
              <w:rPr>
                <w:rFonts w:ascii="Times New Roman" w:eastAsia="Calibri" w:hAnsi="Times New Roman" w:cs="Times New Roman"/>
                <w:sz w:val="20"/>
                <w:szCs w:val="20"/>
                <w:vertAlign w:val="superscript"/>
              </w:rPr>
              <w:t xml:space="preserve"> 1</w:t>
            </w:r>
          </w:p>
        </w:tc>
        <w:tc>
          <w:tcPr>
            <w:tcW w:w="2840" w:type="dxa"/>
          </w:tcPr>
          <w:p w14:paraId="2381C21D" w14:textId="77777777" w:rsidR="002B1603" w:rsidRPr="00A07F29" w:rsidRDefault="002B1603" w:rsidP="0075395E">
            <w:pPr>
              <w:spacing w:after="0"/>
              <w:rPr>
                <w:rFonts w:ascii="Times New Roman" w:eastAsia="Calibri" w:hAnsi="Times New Roman" w:cs="Times New Roman"/>
                <w:i/>
                <w:sz w:val="20"/>
                <w:szCs w:val="20"/>
              </w:rPr>
            </w:pPr>
            <w:proofErr w:type="spellStart"/>
            <w:r w:rsidRPr="00A07F29">
              <w:rPr>
                <w:rFonts w:ascii="Times New Roman" w:eastAsia="Calibri" w:hAnsi="Times New Roman" w:cs="Times New Roman"/>
                <w:i/>
                <w:sz w:val="20"/>
                <w:szCs w:val="20"/>
              </w:rPr>
              <w:t>Onobrychis</w:t>
            </w:r>
            <w:proofErr w:type="spellEnd"/>
            <w:r w:rsidRPr="00A07F29">
              <w:rPr>
                <w:rFonts w:ascii="Times New Roman" w:eastAsia="Calibri" w:hAnsi="Times New Roman" w:cs="Times New Roman"/>
                <w:i/>
                <w:sz w:val="20"/>
                <w:szCs w:val="20"/>
              </w:rPr>
              <w:t xml:space="preserve"> </w:t>
            </w:r>
            <w:proofErr w:type="spellStart"/>
            <w:r w:rsidRPr="00A07F29">
              <w:rPr>
                <w:rFonts w:ascii="Times New Roman" w:eastAsia="Calibri" w:hAnsi="Times New Roman" w:cs="Times New Roman"/>
                <w:i/>
                <w:sz w:val="20"/>
                <w:szCs w:val="20"/>
              </w:rPr>
              <w:t>arenaria</w:t>
            </w:r>
            <w:proofErr w:type="spellEnd"/>
          </w:p>
        </w:tc>
        <w:tc>
          <w:tcPr>
            <w:tcW w:w="1134" w:type="dxa"/>
          </w:tcPr>
          <w:p w14:paraId="440095BF"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ĪAS</w:t>
            </w:r>
            <w:r w:rsidRPr="00A07F29">
              <w:rPr>
                <w:rFonts w:ascii="Times New Roman" w:eastAsia="Calibri" w:hAnsi="Times New Roman" w:cs="Times New Roman"/>
                <w:sz w:val="20"/>
                <w:szCs w:val="20"/>
                <w:vertAlign w:val="superscript"/>
              </w:rPr>
              <w:t>1</w:t>
            </w:r>
          </w:p>
        </w:tc>
        <w:tc>
          <w:tcPr>
            <w:tcW w:w="709" w:type="dxa"/>
          </w:tcPr>
          <w:p w14:paraId="657D979A"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c>
          <w:tcPr>
            <w:tcW w:w="1128" w:type="dxa"/>
          </w:tcPr>
          <w:p w14:paraId="1E2DD945" w14:textId="77777777" w:rsidR="002B1603" w:rsidRPr="00A07F29" w:rsidRDefault="002B1603" w:rsidP="002B1603">
            <w:pPr>
              <w:spacing w:after="0"/>
              <w:jc w:val="center"/>
              <w:rPr>
                <w:rFonts w:ascii="Times New Roman" w:eastAsia="Calibri" w:hAnsi="Times New Roman" w:cs="Times New Roman"/>
                <w:b/>
                <w:bCs/>
                <w:color w:val="2E74B5"/>
                <w:sz w:val="20"/>
                <w:szCs w:val="20"/>
              </w:rPr>
            </w:pPr>
            <w:r w:rsidRPr="00A07F29">
              <w:rPr>
                <w:rFonts w:ascii="Times New Roman" w:eastAsia="Calibri" w:hAnsi="Times New Roman" w:cs="Calibri"/>
                <w:sz w:val="24"/>
              </w:rPr>
              <w:t>-</w:t>
            </w:r>
          </w:p>
        </w:tc>
        <w:tc>
          <w:tcPr>
            <w:tcW w:w="1122" w:type="dxa"/>
            <w:vAlign w:val="center"/>
          </w:tcPr>
          <w:p w14:paraId="5FF4FC3D"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r>
      <w:tr w:rsidR="0075395E" w:rsidRPr="00A07F29" w14:paraId="11E0308A" w14:textId="77777777" w:rsidTr="00B649FD">
        <w:trPr>
          <w:jc w:val="center"/>
        </w:trPr>
        <w:tc>
          <w:tcPr>
            <w:tcW w:w="557" w:type="dxa"/>
          </w:tcPr>
          <w:p w14:paraId="712F1C22" w14:textId="0B0744A3" w:rsidR="002B1603" w:rsidRPr="00A07F29" w:rsidRDefault="00170C65" w:rsidP="00E67E47">
            <w:pPr>
              <w:spacing w:after="0"/>
              <w:contextualSpacing/>
              <w:rPr>
                <w:rFonts w:ascii="Times New Roman" w:eastAsia="Calibri" w:hAnsi="Times New Roman" w:cs="Times New Roman"/>
                <w:sz w:val="20"/>
                <w:szCs w:val="20"/>
              </w:rPr>
            </w:pPr>
            <w:r w:rsidRPr="00A07F29">
              <w:rPr>
                <w:rFonts w:ascii="Times New Roman" w:eastAsia="Calibri" w:hAnsi="Times New Roman" w:cs="Times New Roman"/>
                <w:sz w:val="20"/>
                <w:szCs w:val="20"/>
              </w:rPr>
              <w:t>58.</w:t>
            </w:r>
          </w:p>
        </w:tc>
        <w:tc>
          <w:tcPr>
            <w:tcW w:w="2410" w:type="dxa"/>
          </w:tcPr>
          <w:p w14:paraId="37572EFA" w14:textId="77777777" w:rsidR="002B1603" w:rsidRPr="00A07F29" w:rsidRDefault="002B1603" w:rsidP="0075395E">
            <w:pPr>
              <w:spacing w:after="0"/>
              <w:rPr>
                <w:rFonts w:ascii="Times New Roman" w:eastAsia="Calibri" w:hAnsi="Times New Roman" w:cs="Times New Roman"/>
                <w:sz w:val="20"/>
                <w:szCs w:val="20"/>
                <w:vertAlign w:val="superscript"/>
              </w:rPr>
            </w:pPr>
            <w:r w:rsidRPr="00A07F29">
              <w:rPr>
                <w:rFonts w:ascii="Times New Roman" w:eastAsia="Calibri" w:hAnsi="Times New Roman" w:cs="Times New Roman"/>
                <w:sz w:val="20"/>
                <w:szCs w:val="20"/>
              </w:rPr>
              <w:t xml:space="preserve">Zilganā </w:t>
            </w:r>
            <w:proofErr w:type="spellStart"/>
            <w:r w:rsidRPr="00A07F29">
              <w:rPr>
                <w:rFonts w:ascii="Times New Roman" w:eastAsia="Calibri" w:hAnsi="Times New Roman" w:cs="Times New Roman"/>
                <w:sz w:val="20"/>
                <w:szCs w:val="20"/>
              </w:rPr>
              <w:t>brūnkāte</w:t>
            </w:r>
            <w:proofErr w:type="spellEnd"/>
          </w:p>
        </w:tc>
        <w:tc>
          <w:tcPr>
            <w:tcW w:w="2840" w:type="dxa"/>
          </w:tcPr>
          <w:p w14:paraId="26B1F295" w14:textId="77777777" w:rsidR="002B1603" w:rsidRPr="00A07F29" w:rsidRDefault="002B1603" w:rsidP="0075395E">
            <w:pPr>
              <w:spacing w:after="0"/>
              <w:rPr>
                <w:rFonts w:ascii="Times New Roman" w:eastAsia="Calibri" w:hAnsi="Times New Roman" w:cs="Times New Roman"/>
                <w:i/>
                <w:sz w:val="20"/>
                <w:szCs w:val="20"/>
              </w:rPr>
            </w:pPr>
            <w:proofErr w:type="spellStart"/>
            <w:r w:rsidRPr="00A07F29">
              <w:rPr>
                <w:rFonts w:ascii="Times New Roman" w:eastAsia="Calibri" w:hAnsi="Times New Roman" w:cs="Times New Roman"/>
                <w:i/>
                <w:sz w:val="20"/>
                <w:szCs w:val="20"/>
              </w:rPr>
              <w:t>Orobanche</w:t>
            </w:r>
            <w:proofErr w:type="spellEnd"/>
            <w:r w:rsidRPr="00A07F29">
              <w:rPr>
                <w:rFonts w:ascii="Times New Roman" w:eastAsia="Calibri" w:hAnsi="Times New Roman" w:cs="Times New Roman"/>
                <w:i/>
                <w:sz w:val="20"/>
                <w:szCs w:val="20"/>
              </w:rPr>
              <w:t xml:space="preserve"> </w:t>
            </w:r>
            <w:proofErr w:type="spellStart"/>
            <w:r w:rsidRPr="00A07F29">
              <w:rPr>
                <w:rFonts w:ascii="Times New Roman" w:eastAsia="Calibri" w:hAnsi="Times New Roman" w:cs="Times New Roman"/>
                <w:i/>
                <w:sz w:val="20"/>
                <w:szCs w:val="20"/>
              </w:rPr>
              <w:t>coerulescens</w:t>
            </w:r>
            <w:proofErr w:type="spellEnd"/>
          </w:p>
        </w:tc>
        <w:tc>
          <w:tcPr>
            <w:tcW w:w="1134" w:type="dxa"/>
          </w:tcPr>
          <w:p w14:paraId="13B3F5BB"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ĪAS</w:t>
            </w:r>
            <w:r w:rsidRPr="00A07F29">
              <w:rPr>
                <w:rFonts w:ascii="Times New Roman" w:eastAsia="Calibri" w:hAnsi="Times New Roman" w:cs="Times New Roman"/>
                <w:sz w:val="20"/>
                <w:szCs w:val="20"/>
                <w:vertAlign w:val="superscript"/>
              </w:rPr>
              <w:t>1</w:t>
            </w:r>
          </w:p>
        </w:tc>
        <w:tc>
          <w:tcPr>
            <w:tcW w:w="709" w:type="dxa"/>
          </w:tcPr>
          <w:p w14:paraId="79E6B1DD"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c>
          <w:tcPr>
            <w:tcW w:w="1128" w:type="dxa"/>
          </w:tcPr>
          <w:p w14:paraId="22426E90" w14:textId="77777777" w:rsidR="002B1603" w:rsidRPr="00A07F29" w:rsidRDefault="002B1603" w:rsidP="002B1603">
            <w:pPr>
              <w:spacing w:after="0"/>
              <w:jc w:val="center"/>
              <w:rPr>
                <w:rFonts w:ascii="Times New Roman" w:eastAsia="Calibri" w:hAnsi="Times New Roman" w:cs="Times New Roman"/>
                <w:b/>
                <w:bCs/>
                <w:color w:val="2E74B5"/>
                <w:sz w:val="20"/>
                <w:szCs w:val="20"/>
              </w:rPr>
            </w:pPr>
            <w:r w:rsidRPr="00A07F29">
              <w:rPr>
                <w:rFonts w:ascii="Times New Roman" w:eastAsia="Calibri" w:hAnsi="Times New Roman" w:cs="Times New Roman"/>
                <w:sz w:val="20"/>
                <w:szCs w:val="20"/>
              </w:rPr>
              <w:t>-</w:t>
            </w:r>
          </w:p>
        </w:tc>
        <w:tc>
          <w:tcPr>
            <w:tcW w:w="1122" w:type="dxa"/>
            <w:vAlign w:val="center"/>
          </w:tcPr>
          <w:p w14:paraId="699846C7"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r>
      <w:tr w:rsidR="0075395E" w:rsidRPr="00A07F29" w14:paraId="6A5A496E" w14:textId="77777777" w:rsidTr="00B649FD">
        <w:trPr>
          <w:jc w:val="center"/>
        </w:trPr>
        <w:tc>
          <w:tcPr>
            <w:tcW w:w="557" w:type="dxa"/>
          </w:tcPr>
          <w:p w14:paraId="60B2D55A" w14:textId="6ADA04C7" w:rsidR="002B1603" w:rsidRPr="00A07F29" w:rsidRDefault="00170C65" w:rsidP="00E67E47">
            <w:pPr>
              <w:spacing w:after="0"/>
              <w:contextualSpacing/>
              <w:rPr>
                <w:rFonts w:ascii="Times New Roman" w:eastAsia="Calibri" w:hAnsi="Times New Roman" w:cs="Times New Roman"/>
                <w:sz w:val="20"/>
                <w:szCs w:val="20"/>
              </w:rPr>
            </w:pPr>
            <w:r w:rsidRPr="00A07F29">
              <w:rPr>
                <w:rFonts w:ascii="Times New Roman" w:eastAsia="Calibri" w:hAnsi="Times New Roman" w:cs="Times New Roman"/>
                <w:sz w:val="20"/>
                <w:szCs w:val="20"/>
              </w:rPr>
              <w:t>59.</w:t>
            </w:r>
          </w:p>
        </w:tc>
        <w:tc>
          <w:tcPr>
            <w:tcW w:w="2410" w:type="dxa"/>
          </w:tcPr>
          <w:p w14:paraId="47AFD8E1" w14:textId="77777777" w:rsidR="002B1603" w:rsidRPr="00A07F29" w:rsidRDefault="002B1603" w:rsidP="0075395E">
            <w:pPr>
              <w:spacing w:after="0"/>
              <w:rPr>
                <w:rFonts w:ascii="Times New Roman" w:eastAsia="Calibri" w:hAnsi="Times New Roman" w:cs="Times New Roman"/>
                <w:sz w:val="20"/>
                <w:szCs w:val="20"/>
              </w:rPr>
            </w:pPr>
            <w:proofErr w:type="spellStart"/>
            <w:r w:rsidRPr="00A07F29">
              <w:rPr>
                <w:rFonts w:ascii="Times New Roman" w:eastAsia="Calibri" w:hAnsi="Times New Roman" w:cs="Times New Roman"/>
                <w:sz w:val="20"/>
                <w:szCs w:val="20"/>
              </w:rPr>
              <w:t>Bālziedu</w:t>
            </w:r>
            <w:proofErr w:type="spellEnd"/>
            <w:r w:rsidRPr="00A07F29">
              <w:rPr>
                <w:rFonts w:ascii="Times New Roman" w:eastAsia="Calibri" w:hAnsi="Times New Roman" w:cs="Times New Roman"/>
                <w:sz w:val="20"/>
                <w:szCs w:val="20"/>
              </w:rPr>
              <w:t xml:space="preserve"> </w:t>
            </w:r>
            <w:proofErr w:type="spellStart"/>
            <w:r w:rsidRPr="00A07F29">
              <w:rPr>
                <w:rFonts w:ascii="Times New Roman" w:eastAsia="Calibri" w:hAnsi="Times New Roman" w:cs="Times New Roman"/>
                <w:sz w:val="20"/>
                <w:szCs w:val="20"/>
              </w:rPr>
              <w:t>brūnkāte</w:t>
            </w:r>
            <w:proofErr w:type="spellEnd"/>
          </w:p>
        </w:tc>
        <w:tc>
          <w:tcPr>
            <w:tcW w:w="2840" w:type="dxa"/>
          </w:tcPr>
          <w:p w14:paraId="401FFAE4" w14:textId="77777777" w:rsidR="002B1603" w:rsidRPr="00A07F29" w:rsidRDefault="002B1603" w:rsidP="0075395E">
            <w:pPr>
              <w:spacing w:after="0"/>
              <w:rPr>
                <w:rFonts w:ascii="Times New Roman" w:eastAsia="Calibri" w:hAnsi="Times New Roman" w:cs="Times New Roman"/>
                <w:i/>
                <w:sz w:val="20"/>
                <w:szCs w:val="20"/>
              </w:rPr>
            </w:pPr>
            <w:proofErr w:type="spellStart"/>
            <w:r w:rsidRPr="00A07F29">
              <w:rPr>
                <w:rFonts w:ascii="Times New Roman" w:eastAsia="Calibri" w:hAnsi="Times New Roman" w:cs="Times New Roman"/>
                <w:i/>
                <w:sz w:val="20"/>
                <w:szCs w:val="20"/>
              </w:rPr>
              <w:t>Orobanche</w:t>
            </w:r>
            <w:proofErr w:type="spellEnd"/>
            <w:r w:rsidRPr="00A07F29">
              <w:rPr>
                <w:rFonts w:ascii="Times New Roman" w:eastAsia="Calibri" w:hAnsi="Times New Roman" w:cs="Times New Roman"/>
                <w:i/>
                <w:sz w:val="20"/>
                <w:szCs w:val="20"/>
              </w:rPr>
              <w:t xml:space="preserve"> </w:t>
            </w:r>
            <w:proofErr w:type="spellStart"/>
            <w:r w:rsidRPr="00A07F29">
              <w:rPr>
                <w:rFonts w:ascii="Times New Roman" w:eastAsia="Calibri" w:hAnsi="Times New Roman" w:cs="Times New Roman"/>
                <w:i/>
                <w:sz w:val="20"/>
                <w:szCs w:val="20"/>
              </w:rPr>
              <w:t>pallidiflora</w:t>
            </w:r>
            <w:proofErr w:type="spellEnd"/>
          </w:p>
        </w:tc>
        <w:tc>
          <w:tcPr>
            <w:tcW w:w="1134" w:type="dxa"/>
          </w:tcPr>
          <w:p w14:paraId="25E8DDCA"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ĪAS</w:t>
            </w:r>
            <w:r w:rsidRPr="00A07F29">
              <w:rPr>
                <w:rFonts w:ascii="Times New Roman" w:eastAsia="Calibri" w:hAnsi="Times New Roman" w:cs="Times New Roman"/>
                <w:sz w:val="20"/>
                <w:szCs w:val="20"/>
                <w:vertAlign w:val="superscript"/>
              </w:rPr>
              <w:t>1</w:t>
            </w:r>
          </w:p>
        </w:tc>
        <w:tc>
          <w:tcPr>
            <w:tcW w:w="709" w:type="dxa"/>
          </w:tcPr>
          <w:p w14:paraId="71914381"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c>
          <w:tcPr>
            <w:tcW w:w="1128" w:type="dxa"/>
          </w:tcPr>
          <w:p w14:paraId="6CD7A3BF" w14:textId="77777777" w:rsidR="002B1603" w:rsidRPr="00A07F29" w:rsidRDefault="002B1603" w:rsidP="002B1603">
            <w:pPr>
              <w:spacing w:after="0"/>
              <w:jc w:val="center"/>
              <w:rPr>
                <w:rFonts w:ascii="Times New Roman" w:eastAsia="Calibri" w:hAnsi="Times New Roman" w:cs="Times New Roman"/>
                <w:b/>
                <w:bCs/>
                <w:color w:val="2E74B5"/>
                <w:sz w:val="20"/>
                <w:szCs w:val="20"/>
              </w:rPr>
            </w:pPr>
            <w:r w:rsidRPr="00A07F29">
              <w:rPr>
                <w:rFonts w:ascii="Times New Roman" w:eastAsia="Calibri" w:hAnsi="Times New Roman" w:cs="Calibri"/>
                <w:sz w:val="24"/>
              </w:rPr>
              <w:t>-</w:t>
            </w:r>
          </w:p>
        </w:tc>
        <w:tc>
          <w:tcPr>
            <w:tcW w:w="1122" w:type="dxa"/>
            <w:vAlign w:val="center"/>
          </w:tcPr>
          <w:p w14:paraId="27B1C834"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r>
      <w:tr w:rsidR="0075395E" w:rsidRPr="00A07F29" w14:paraId="239E4EED" w14:textId="77777777" w:rsidTr="00B649FD">
        <w:trPr>
          <w:jc w:val="center"/>
        </w:trPr>
        <w:tc>
          <w:tcPr>
            <w:tcW w:w="557" w:type="dxa"/>
          </w:tcPr>
          <w:p w14:paraId="24BFF94C" w14:textId="3340466D" w:rsidR="002B1603" w:rsidRPr="00A07F29" w:rsidRDefault="00170C65" w:rsidP="00E67E47">
            <w:pPr>
              <w:spacing w:after="0"/>
              <w:contextualSpacing/>
              <w:rPr>
                <w:rFonts w:ascii="Times New Roman" w:eastAsia="Calibri" w:hAnsi="Times New Roman" w:cs="Times New Roman"/>
                <w:sz w:val="20"/>
                <w:szCs w:val="20"/>
              </w:rPr>
            </w:pPr>
            <w:r w:rsidRPr="00A07F29">
              <w:rPr>
                <w:rFonts w:ascii="Times New Roman" w:eastAsia="Calibri" w:hAnsi="Times New Roman" w:cs="Times New Roman"/>
                <w:sz w:val="20"/>
                <w:szCs w:val="20"/>
              </w:rPr>
              <w:t>60.</w:t>
            </w:r>
          </w:p>
        </w:tc>
        <w:tc>
          <w:tcPr>
            <w:tcW w:w="2410" w:type="dxa"/>
          </w:tcPr>
          <w:p w14:paraId="73CBA782" w14:textId="77777777" w:rsidR="002B1603" w:rsidRPr="00A07F29" w:rsidRDefault="002B1603" w:rsidP="0075395E">
            <w:pPr>
              <w:spacing w:after="0"/>
              <w:rPr>
                <w:rFonts w:ascii="Times New Roman" w:eastAsia="Calibri" w:hAnsi="Times New Roman" w:cs="Times New Roman"/>
                <w:spacing w:val="1"/>
                <w:sz w:val="20"/>
                <w:szCs w:val="20"/>
              </w:rPr>
            </w:pPr>
            <w:r w:rsidRPr="00A07F29">
              <w:rPr>
                <w:rFonts w:ascii="Times New Roman" w:eastAsia="Calibri" w:hAnsi="Times New Roman" w:cs="Times New Roman"/>
                <w:sz w:val="20"/>
                <w:szCs w:val="20"/>
              </w:rPr>
              <w:t>Smaržīgā naktsvijole</w:t>
            </w:r>
          </w:p>
        </w:tc>
        <w:tc>
          <w:tcPr>
            <w:tcW w:w="2840" w:type="dxa"/>
          </w:tcPr>
          <w:p w14:paraId="66E60A54" w14:textId="77777777" w:rsidR="002B1603" w:rsidRPr="00A07F29" w:rsidRDefault="002B1603" w:rsidP="0075395E">
            <w:pPr>
              <w:spacing w:after="0"/>
              <w:rPr>
                <w:rFonts w:ascii="Times New Roman" w:eastAsia="Calibri" w:hAnsi="Times New Roman" w:cs="Times New Roman"/>
                <w:i/>
                <w:sz w:val="20"/>
                <w:szCs w:val="20"/>
              </w:rPr>
            </w:pPr>
            <w:proofErr w:type="spellStart"/>
            <w:r w:rsidRPr="00A07F29">
              <w:rPr>
                <w:rFonts w:ascii="Times New Roman" w:eastAsia="Calibri" w:hAnsi="Times New Roman" w:cs="Times New Roman"/>
                <w:i/>
                <w:sz w:val="20"/>
                <w:szCs w:val="20"/>
              </w:rPr>
              <w:t>Platanthera</w:t>
            </w:r>
            <w:proofErr w:type="spellEnd"/>
            <w:r w:rsidRPr="00A07F29">
              <w:rPr>
                <w:rFonts w:ascii="Times New Roman" w:eastAsia="Calibri" w:hAnsi="Times New Roman" w:cs="Times New Roman"/>
                <w:i/>
                <w:sz w:val="20"/>
                <w:szCs w:val="20"/>
              </w:rPr>
              <w:t xml:space="preserve"> </w:t>
            </w:r>
            <w:proofErr w:type="spellStart"/>
            <w:r w:rsidRPr="00A07F29">
              <w:rPr>
                <w:rFonts w:ascii="Times New Roman" w:eastAsia="Calibri" w:hAnsi="Times New Roman" w:cs="Times New Roman"/>
                <w:i/>
                <w:sz w:val="20"/>
                <w:szCs w:val="20"/>
              </w:rPr>
              <w:t>bifolia</w:t>
            </w:r>
            <w:proofErr w:type="spellEnd"/>
          </w:p>
        </w:tc>
        <w:tc>
          <w:tcPr>
            <w:tcW w:w="1134" w:type="dxa"/>
          </w:tcPr>
          <w:p w14:paraId="22272C22"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ĪAS</w:t>
            </w:r>
          </w:p>
        </w:tc>
        <w:tc>
          <w:tcPr>
            <w:tcW w:w="709" w:type="dxa"/>
          </w:tcPr>
          <w:p w14:paraId="53D4D23E"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c>
          <w:tcPr>
            <w:tcW w:w="1128" w:type="dxa"/>
          </w:tcPr>
          <w:p w14:paraId="26926FB7" w14:textId="77777777" w:rsidR="002B1603" w:rsidRPr="00A07F29" w:rsidRDefault="002B1603" w:rsidP="002B1603">
            <w:pPr>
              <w:spacing w:after="0"/>
              <w:jc w:val="center"/>
              <w:rPr>
                <w:rFonts w:ascii="Times New Roman" w:eastAsia="Calibri" w:hAnsi="Times New Roman" w:cs="Times New Roman"/>
                <w:b/>
                <w:bCs/>
                <w:color w:val="2E74B5"/>
                <w:sz w:val="20"/>
                <w:szCs w:val="20"/>
              </w:rPr>
            </w:pPr>
            <w:r w:rsidRPr="00A07F29">
              <w:rPr>
                <w:rFonts w:ascii="Times New Roman" w:eastAsia="Calibri" w:hAnsi="Times New Roman" w:cs="Calibri"/>
                <w:sz w:val="24"/>
              </w:rPr>
              <w:t>-</w:t>
            </w:r>
          </w:p>
        </w:tc>
        <w:tc>
          <w:tcPr>
            <w:tcW w:w="1122" w:type="dxa"/>
            <w:vAlign w:val="center"/>
          </w:tcPr>
          <w:p w14:paraId="5AD47521"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r>
      <w:tr w:rsidR="0075395E" w:rsidRPr="00A07F29" w14:paraId="71491817" w14:textId="77777777" w:rsidTr="00B649FD">
        <w:trPr>
          <w:jc w:val="center"/>
        </w:trPr>
        <w:tc>
          <w:tcPr>
            <w:tcW w:w="557" w:type="dxa"/>
          </w:tcPr>
          <w:p w14:paraId="0B46AF12" w14:textId="242E795E" w:rsidR="002B1603" w:rsidRPr="00A07F29" w:rsidRDefault="00170C65" w:rsidP="00E67E47">
            <w:pPr>
              <w:spacing w:after="0"/>
              <w:contextualSpacing/>
              <w:rPr>
                <w:rFonts w:ascii="Times New Roman" w:eastAsia="Calibri" w:hAnsi="Times New Roman" w:cs="Times New Roman"/>
                <w:sz w:val="20"/>
                <w:szCs w:val="20"/>
              </w:rPr>
            </w:pPr>
            <w:r w:rsidRPr="00A07F29">
              <w:rPr>
                <w:rFonts w:ascii="Times New Roman" w:eastAsia="Calibri" w:hAnsi="Times New Roman" w:cs="Times New Roman"/>
                <w:sz w:val="20"/>
                <w:szCs w:val="20"/>
              </w:rPr>
              <w:t>61.</w:t>
            </w:r>
          </w:p>
        </w:tc>
        <w:tc>
          <w:tcPr>
            <w:tcW w:w="2410" w:type="dxa"/>
          </w:tcPr>
          <w:p w14:paraId="31B6F844" w14:textId="77777777" w:rsidR="002B1603" w:rsidRPr="00A07F29" w:rsidRDefault="002B1603" w:rsidP="0075395E">
            <w:pPr>
              <w:spacing w:after="0"/>
              <w:rPr>
                <w:rFonts w:ascii="Times New Roman" w:eastAsia="Calibri" w:hAnsi="Times New Roman" w:cs="Times New Roman"/>
                <w:sz w:val="20"/>
                <w:szCs w:val="20"/>
              </w:rPr>
            </w:pPr>
            <w:proofErr w:type="spellStart"/>
            <w:r w:rsidRPr="00A07F29">
              <w:rPr>
                <w:rFonts w:ascii="Times New Roman" w:eastAsia="Calibri" w:hAnsi="Times New Roman" w:cs="Times New Roman"/>
                <w:sz w:val="20"/>
                <w:szCs w:val="20"/>
              </w:rPr>
              <w:t>Smaillapu</w:t>
            </w:r>
            <w:proofErr w:type="spellEnd"/>
            <w:r w:rsidRPr="00A07F29">
              <w:rPr>
                <w:rFonts w:ascii="Times New Roman" w:eastAsia="Calibri" w:hAnsi="Times New Roman" w:cs="Times New Roman"/>
                <w:sz w:val="20"/>
                <w:szCs w:val="20"/>
              </w:rPr>
              <w:t xml:space="preserve"> glīvene</w:t>
            </w:r>
          </w:p>
        </w:tc>
        <w:tc>
          <w:tcPr>
            <w:tcW w:w="2840" w:type="dxa"/>
          </w:tcPr>
          <w:p w14:paraId="535F216B" w14:textId="77777777" w:rsidR="002B1603" w:rsidRPr="00A07F29" w:rsidRDefault="002B1603" w:rsidP="0075395E">
            <w:pPr>
              <w:spacing w:after="0"/>
              <w:rPr>
                <w:rFonts w:ascii="Times New Roman" w:eastAsia="Calibri" w:hAnsi="Times New Roman" w:cs="Times New Roman"/>
                <w:i/>
                <w:sz w:val="20"/>
                <w:szCs w:val="20"/>
              </w:rPr>
            </w:pPr>
            <w:proofErr w:type="spellStart"/>
            <w:r w:rsidRPr="00A07F29">
              <w:rPr>
                <w:rFonts w:ascii="Times New Roman" w:eastAsia="Calibri" w:hAnsi="Times New Roman" w:cs="Times New Roman"/>
                <w:i/>
                <w:sz w:val="20"/>
                <w:szCs w:val="20"/>
              </w:rPr>
              <w:t>Potamogeton</w:t>
            </w:r>
            <w:proofErr w:type="spellEnd"/>
            <w:r w:rsidRPr="00A07F29">
              <w:rPr>
                <w:rFonts w:ascii="Times New Roman" w:eastAsia="Calibri" w:hAnsi="Times New Roman" w:cs="Times New Roman"/>
                <w:i/>
                <w:sz w:val="20"/>
                <w:szCs w:val="20"/>
              </w:rPr>
              <w:t xml:space="preserve"> </w:t>
            </w:r>
            <w:proofErr w:type="spellStart"/>
            <w:r w:rsidRPr="00A07F29">
              <w:rPr>
                <w:rFonts w:ascii="Times New Roman" w:eastAsia="Calibri" w:hAnsi="Times New Roman" w:cs="Times New Roman"/>
                <w:i/>
                <w:sz w:val="20"/>
                <w:szCs w:val="20"/>
              </w:rPr>
              <w:t>acutifolius</w:t>
            </w:r>
            <w:proofErr w:type="spellEnd"/>
          </w:p>
        </w:tc>
        <w:tc>
          <w:tcPr>
            <w:tcW w:w="1134" w:type="dxa"/>
          </w:tcPr>
          <w:p w14:paraId="0391E21D"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ĪAS</w:t>
            </w:r>
          </w:p>
        </w:tc>
        <w:tc>
          <w:tcPr>
            <w:tcW w:w="709" w:type="dxa"/>
          </w:tcPr>
          <w:p w14:paraId="0E9C16A7"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c>
          <w:tcPr>
            <w:tcW w:w="1128" w:type="dxa"/>
          </w:tcPr>
          <w:p w14:paraId="151DCD47" w14:textId="77777777" w:rsidR="002B1603" w:rsidRPr="00A07F29" w:rsidRDefault="002B1603" w:rsidP="002B1603">
            <w:pPr>
              <w:spacing w:after="0"/>
              <w:jc w:val="center"/>
              <w:rPr>
                <w:rFonts w:ascii="Times New Roman" w:eastAsia="Calibri" w:hAnsi="Times New Roman" w:cs="Times New Roman"/>
                <w:b/>
                <w:bCs/>
                <w:color w:val="2E74B5"/>
                <w:sz w:val="20"/>
                <w:szCs w:val="20"/>
              </w:rPr>
            </w:pPr>
            <w:r w:rsidRPr="00A07F29">
              <w:rPr>
                <w:rFonts w:ascii="Times New Roman" w:eastAsia="Calibri" w:hAnsi="Times New Roman" w:cs="Calibri"/>
                <w:sz w:val="24"/>
              </w:rPr>
              <w:t>-</w:t>
            </w:r>
          </w:p>
        </w:tc>
        <w:tc>
          <w:tcPr>
            <w:tcW w:w="1122" w:type="dxa"/>
            <w:vAlign w:val="center"/>
          </w:tcPr>
          <w:p w14:paraId="3358D0A5"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r>
      <w:tr w:rsidR="0075395E" w:rsidRPr="00A07F29" w14:paraId="29535CED" w14:textId="77777777" w:rsidTr="00B649FD">
        <w:trPr>
          <w:jc w:val="center"/>
        </w:trPr>
        <w:tc>
          <w:tcPr>
            <w:tcW w:w="557" w:type="dxa"/>
          </w:tcPr>
          <w:p w14:paraId="1C2E1581" w14:textId="2D132481" w:rsidR="002B1603" w:rsidRPr="00A07F29" w:rsidRDefault="00170C65" w:rsidP="00E67E47">
            <w:pPr>
              <w:spacing w:after="0"/>
              <w:contextualSpacing/>
              <w:rPr>
                <w:rFonts w:ascii="Times New Roman" w:eastAsia="Calibri" w:hAnsi="Times New Roman" w:cs="Times New Roman"/>
                <w:sz w:val="20"/>
                <w:szCs w:val="20"/>
              </w:rPr>
            </w:pPr>
            <w:r w:rsidRPr="00A07F29">
              <w:rPr>
                <w:rFonts w:ascii="Times New Roman" w:eastAsia="Calibri" w:hAnsi="Times New Roman" w:cs="Times New Roman"/>
                <w:sz w:val="20"/>
                <w:szCs w:val="20"/>
              </w:rPr>
              <w:t>62.</w:t>
            </w:r>
          </w:p>
        </w:tc>
        <w:tc>
          <w:tcPr>
            <w:tcW w:w="2410" w:type="dxa"/>
          </w:tcPr>
          <w:p w14:paraId="2EFBC61D" w14:textId="77777777" w:rsidR="002B1603" w:rsidRPr="00A07F29" w:rsidRDefault="002B1603" w:rsidP="0075395E">
            <w:pPr>
              <w:spacing w:after="0"/>
              <w:rPr>
                <w:rFonts w:ascii="Times New Roman" w:eastAsia="Calibri" w:hAnsi="Times New Roman" w:cs="Times New Roman"/>
                <w:sz w:val="20"/>
                <w:szCs w:val="20"/>
                <w:vertAlign w:val="superscript"/>
              </w:rPr>
            </w:pPr>
            <w:proofErr w:type="spellStart"/>
            <w:r w:rsidRPr="00A07F29">
              <w:rPr>
                <w:rFonts w:ascii="Times New Roman" w:eastAsia="Calibri" w:hAnsi="Times New Roman" w:cs="Times New Roman"/>
                <w:sz w:val="20"/>
                <w:szCs w:val="20"/>
              </w:rPr>
              <w:t>Matveida</w:t>
            </w:r>
            <w:proofErr w:type="spellEnd"/>
            <w:r w:rsidRPr="00A07F29">
              <w:rPr>
                <w:rFonts w:ascii="Times New Roman" w:eastAsia="Calibri" w:hAnsi="Times New Roman" w:cs="Times New Roman"/>
                <w:sz w:val="20"/>
                <w:szCs w:val="20"/>
              </w:rPr>
              <w:t xml:space="preserve"> glīvene</w:t>
            </w:r>
            <w:r w:rsidRPr="00A07F29">
              <w:rPr>
                <w:rFonts w:ascii="Times New Roman" w:eastAsia="Calibri" w:hAnsi="Times New Roman" w:cs="Times New Roman"/>
                <w:sz w:val="20"/>
                <w:szCs w:val="20"/>
                <w:vertAlign w:val="superscript"/>
              </w:rPr>
              <w:t>3</w:t>
            </w:r>
          </w:p>
        </w:tc>
        <w:tc>
          <w:tcPr>
            <w:tcW w:w="2840" w:type="dxa"/>
          </w:tcPr>
          <w:p w14:paraId="0BEC0E9F" w14:textId="77777777" w:rsidR="002B1603" w:rsidRPr="00A07F29" w:rsidRDefault="002B1603" w:rsidP="0075395E">
            <w:pPr>
              <w:spacing w:after="0"/>
              <w:rPr>
                <w:rFonts w:ascii="Times New Roman" w:eastAsia="Calibri" w:hAnsi="Times New Roman" w:cs="Times New Roman"/>
                <w:i/>
                <w:sz w:val="20"/>
                <w:szCs w:val="20"/>
              </w:rPr>
            </w:pPr>
            <w:proofErr w:type="spellStart"/>
            <w:r w:rsidRPr="00A07F29">
              <w:rPr>
                <w:rFonts w:ascii="Times New Roman" w:eastAsia="Calibri" w:hAnsi="Times New Roman" w:cs="Times New Roman"/>
                <w:i/>
                <w:sz w:val="20"/>
                <w:szCs w:val="20"/>
              </w:rPr>
              <w:t>Potamogeton</w:t>
            </w:r>
            <w:proofErr w:type="spellEnd"/>
            <w:r w:rsidRPr="00A07F29">
              <w:rPr>
                <w:rFonts w:ascii="Times New Roman" w:eastAsia="Calibri" w:hAnsi="Times New Roman" w:cs="Times New Roman"/>
                <w:i/>
                <w:sz w:val="20"/>
                <w:szCs w:val="20"/>
              </w:rPr>
              <w:t xml:space="preserve"> </w:t>
            </w:r>
            <w:proofErr w:type="spellStart"/>
            <w:r w:rsidRPr="00A07F29">
              <w:rPr>
                <w:rFonts w:ascii="Times New Roman" w:eastAsia="Calibri" w:hAnsi="Times New Roman" w:cs="Times New Roman"/>
                <w:i/>
                <w:sz w:val="20"/>
                <w:szCs w:val="20"/>
              </w:rPr>
              <w:t>trichoides</w:t>
            </w:r>
            <w:proofErr w:type="spellEnd"/>
          </w:p>
        </w:tc>
        <w:tc>
          <w:tcPr>
            <w:tcW w:w="1134" w:type="dxa"/>
          </w:tcPr>
          <w:p w14:paraId="79F99332"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ĪAS</w:t>
            </w:r>
          </w:p>
        </w:tc>
        <w:tc>
          <w:tcPr>
            <w:tcW w:w="709" w:type="dxa"/>
          </w:tcPr>
          <w:p w14:paraId="7690D029"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c>
          <w:tcPr>
            <w:tcW w:w="1128" w:type="dxa"/>
          </w:tcPr>
          <w:p w14:paraId="2C8E9D6C" w14:textId="77777777" w:rsidR="002B1603" w:rsidRPr="00A07F29" w:rsidRDefault="002B1603" w:rsidP="002B1603">
            <w:pPr>
              <w:spacing w:after="0"/>
              <w:jc w:val="center"/>
              <w:rPr>
                <w:rFonts w:ascii="Times New Roman" w:eastAsia="Calibri" w:hAnsi="Times New Roman" w:cs="Times New Roman"/>
                <w:b/>
                <w:bCs/>
                <w:color w:val="2E74B5"/>
                <w:sz w:val="20"/>
                <w:szCs w:val="20"/>
              </w:rPr>
            </w:pPr>
            <w:r w:rsidRPr="00A07F29">
              <w:rPr>
                <w:rFonts w:ascii="Times New Roman" w:eastAsia="Calibri" w:hAnsi="Times New Roman" w:cs="Calibri"/>
                <w:sz w:val="24"/>
              </w:rPr>
              <w:t>-</w:t>
            </w:r>
          </w:p>
        </w:tc>
        <w:tc>
          <w:tcPr>
            <w:tcW w:w="1122" w:type="dxa"/>
            <w:vAlign w:val="center"/>
          </w:tcPr>
          <w:p w14:paraId="7639FAB1"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r>
      <w:tr w:rsidR="0075395E" w:rsidRPr="00A07F29" w14:paraId="66501B48" w14:textId="77777777" w:rsidTr="00B649FD">
        <w:trPr>
          <w:jc w:val="center"/>
        </w:trPr>
        <w:tc>
          <w:tcPr>
            <w:tcW w:w="557" w:type="dxa"/>
          </w:tcPr>
          <w:p w14:paraId="7E20B70D" w14:textId="0903831E" w:rsidR="002B1603" w:rsidRPr="00A07F29" w:rsidRDefault="00170C65" w:rsidP="00E67E47">
            <w:pPr>
              <w:spacing w:after="0"/>
              <w:contextualSpacing/>
              <w:rPr>
                <w:rFonts w:ascii="Times New Roman" w:eastAsia="Calibri" w:hAnsi="Times New Roman" w:cs="Times New Roman"/>
                <w:sz w:val="20"/>
                <w:szCs w:val="20"/>
              </w:rPr>
            </w:pPr>
            <w:r w:rsidRPr="00A07F29">
              <w:rPr>
                <w:rFonts w:ascii="Times New Roman" w:eastAsia="Calibri" w:hAnsi="Times New Roman" w:cs="Times New Roman"/>
                <w:sz w:val="20"/>
                <w:szCs w:val="20"/>
              </w:rPr>
              <w:t>63.</w:t>
            </w:r>
          </w:p>
        </w:tc>
        <w:tc>
          <w:tcPr>
            <w:tcW w:w="2410" w:type="dxa"/>
          </w:tcPr>
          <w:p w14:paraId="481B6E73" w14:textId="77777777" w:rsidR="002B1603" w:rsidRPr="00A07F29" w:rsidRDefault="002B1603" w:rsidP="0075395E">
            <w:pPr>
              <w:spacing w:after="0"/>
              <w:rPr>
                <w:rFonts w:ascii="Times New Roman" w:eastAsia="Calibri" w:hAnsi="Times New Roman" w:cs="Times New Roman"/>
                <w:sz w:val="20"/>
                <w:szCs w:val="20"/>
              </w:rPr>
            </w:pPr>
            <w:proofErr w:type="spellStart"/>
            <w:r w:rsidRPr="00A07F29">
              <w:rPr>
                <w:rFonts w:ascii="Times New Roman" w:eastAsia="Calibri" w:hAnsi="Times New Roman" w:cs="Times New Roman"/>
                <w:sz w:val="20"/>
                <w:szCs w:val="20"/>
              </w:rPr>
              <w:t>Šaurlapu</w:t>
            </w:r>
            <w:proofErr w:type="spellEnd"/>
            <w:r w:rsidRPr="00A07F29">
              <w:rPr>
                <w:rFonts w:ascii="Times New Roman" w:eastAsia="Calibri" w:hAnsi="Times New Roman" w:cs="Times New Roman"/>
                <w:sz w:val="20"/>
                <w:szCs w:val="20"/>
              </w:rPr>
              <w:t xml:space="preserve"> lakacis</w:t>
            </w:r>
          </w:p>
        </w:tc>
        <w:tc>
          <w:tcPr>
            <w:tcW w:w="2840" w:type="dxa"/>
          </w:tcPr>
          <w:p w14:paraId="5F690E03" w14:textId="77777777" w:rsidR="002B1603" w:rsidRPr="00A07F29" w:rsidRDefault="002B1603" w:rsidP="0075395E">
            <w:pPr>
              <w:spacing w:after="0"/>
              <w:rPr>
                <w:rFonts w:ascii="Times New Roman" w:eastAsia="Calibri" w:hAnsi="Times New Roman" w:cs="Times New Roman"/>
                <w:i/>
                <w:sz w:val="20"/>
                <w:szCs w:val="20"/>
              </w:rPr>
            </w:pPr>
            <w:proofErr w:type="spellStart"/>
            <w:r w:rsidRPr="00A07F29">
              <w:rPr>
                <w:rFonts w:ascii="Times New Roman" w:eastAsia="Calibri" w:hAnsi="Times New Roman" w:cs="Times New Roman"/>
                <w:i/>
                <w:sz w:val="20"/>
                <w:szCs w:val="20"/>
              </w:rPr>
              <w:t>Pulmonaria</w:t>
            </w:r>
            <w:proofErr w:type="spellEnd"/>
            <w:r w:rsidRPr="00A07F29">
              <w:rPr>
                <w:rFonts w:ascii="Times New Roman" w:eastAsia="Calibri" w:hAnsi="Times New Roman" w:cs="Times New Roman"/>
                <w:i/>
                <w:sz w:val="20"/>
                <w:szCs w:val="20"/>
              </w:rPr>
              <w:t xml:space="preserve"> </w:t>
            </w:r>
            <w:proofErr w:type="spellStart"/>
            <w:r w:rsidRPr="00A07F29">
              <w:rPr>
                <w:rFonts w:ascii="Times New Roman" w:eastAsia="Calibri" w:hAnsi="Times New Roman" w:cs="Times New Roman"/>
                <w:i/>
                <w:sz w:val="20"/>
                <w:szCs w:val="20"/>
              </w:rPr>
              <w:t>angustifolia</w:t>
            </w:r>
            <w:proofErr w:type="spellEnd"/>
          </w:p>
        </w:tc>
        <w:tc>
          <w:tcPr>
            <w:tcW w:w="1134" w:type="dxa"/>
          </w:tcPr>
          <w:p w14:paraId="5C4B79EE"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ĪAS</w:t>
            </w:r>
            <w:r w:rsidRPr="00A07F29">
              <w:rPr>
                <w:rFonts w:ascii="Times New Roman" w:eastAsia="Calibri" w:hAnsi="Times New Roman" w:cs="Times New Roman"/>
                <w:sz w:val="20"/>
                <w:szCs w:val="20"/>
                <w:vertAlign w:val="superscript"/>
              </w:rPr>
              <w:t>1</w:t>
            </w:r>
          </w:p>
        </w:tc>
        <w:tc>
          <w:tcPr>
            <w:tcW w:w="709" w:type="dxa"/>
          </w:tcPr>
          <w:p w14:paraId="56918E6E"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c>
          <w:tcPr>
            <w:tcW w:w="1128" w:type="dxa"/>
          </w:tcPr>
          <w:p w14:paraId="2911EC2D" w14:textId="77777777" w:rsidR="002B1603" w:rsidRPr="00A07F29" w:rsidRDefault="002B1603" w:rsidP="002B1603">
            <w:pPr>
              <w:spacing w:after="0"/>
              <w:jc w:val="center"/>
              <w:rPr>
                <w:rFonts w:ascii="Times New Roman" w:eastAsia="Calibri" w:hAnsi="Times New Roman" w:cs="Times New Roman"/>
                <w:b/>
                <w:bCs/>
                <w:color w:val="2E74B5"/>
                <w:sz w:val="20"/>
                <w:szCs w:val="20"/>
              </w:rPr>
            </w:pPr>
            <w:r w:rsidRPr="00A07F29">
              <w:rPr>
                <w:rFonts w:ascii="Times New Roman" w:eastAsia="Calibri" w:hAnsi="Times New Roman" w:cs="Calibri"/>
                <w:sz w:val="24"/>
              </w:rPr>
              <w:t>-</w:t>
            </w:r>
          </w:p>
        </w:tc>
        <w:tc>
          <w:tcPr>
            <w:tcW w:w="1122" w:type="dxa"/>
            <w:vAlign w:val="center"/>
          </w:tcPr>
          <w:p w14:paraId="2F9E4880"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r>
      <w:tr w:rsidR="0075395E" w:rsidRPr="00A07F29" w14:paraId="0BFEAE1F" w14:textId="77777777" w:rsidTr="00B649FD">
        <w:trPr>
          <w:jc w:val="center"/>
        </w:trPr>
        <w:tc>
          <w:tcPr>
            <w:tcW w:w="557" w:type="dxa"/>
          </w:tcPr>
          <w:p w14:paraId="2A338F9F" w14:textId="73217A22" w:rsidR="002B1603" w:rsidRPr="00A07F29" w:rsidRDefault="00170C65" w:rsidP="00E67E47">
            <w:pPr>
              <w:spacing w:after="0"/>
              <w:contextualSpacing/>
              <w:rPr>
                <w:rFonts w:ascii="Times New Roman" w:eastAsia="Calibri" w:hAnsi="Times New Roman" w:cs="Times New Roman"/>
                <w:sz w:val="20"/>
                <w:szCs w:val="20"/>
              </w:rPr>
            </w:pPr>
            <w:r w:rsidRPr="00A07F29">
              <w:rPr>
                <w:rFonts w:ascii="Times New Roman" w:eastAsia="Calibri" w:hAnsi="Times New Roman" w:cs="Times New Roman"/>
                <w:sz w:val="20"/>
                <w:szCs w:val="20"/>
              </w:rPr>
              <w:t>64.</w:t>
            </w:r>
          </w:p>
        </w:tc>
        <w:tc>
          <w:tcPr>
            <w:tcW w:w="2410" w:type="dxa"/>
          </w:tcPr>
          <w:p w14:paraId="171980E9" w14:textId="77777777" w:rsidR="002B1603" w:rsidRPr="00A07F29" w:rsidRDefault="002B1603" w:rsidP="0075395E">
            <w:pPr>
              <w:spacing w:after="0"/>
              <w:rPr>
                <w:rFonts w:ascii="Times New Roman" w:eastAsia="Calibri" w:hAnsi="Times New Roman" w:cs="Times New Roman"/>
                <w:spacing w:val="1"/>
                <w:sz w:val="20"/>
                <w:szCs w:val="20"/>
                <w:vertAlign w:val="superscript"/>
              </w:rPr>
            </w:pPr>
            <w:r w:rsidRPr="00A07F29">
              <w:rPr>
                <w:rFonts w:ascii="Times New Roman" w:eastAsia="Calibri" w:hAnsi="Times New Roman" w:cs="Times New Roman"/>
                <w:sz w:val="20"/>
                <w:szCs w:val="20"/>
              </w:rPr>
              <w:t>Meža silpurene</w:t>
            </w:r>
          </w:p>
        </w:tc>
        <w:tc>
          <w:tcPr>
            <w:tcW w:w="2840" w:type="dxa"/>
          </w:tcPr>
          <w:p w14:paraId="48731C52" w14:textId="77777777" w:rsidR="002B1603" w:rsidRPr="00A07F29" w:rsidRDefault="002B1603" w:rsidP="0075395E">
            <w:pPr>
              <w:spacing w:after="0"/>
              <w:rPr>
                <w:rFonts w:ascii="Times New Roman" w:eastAsia="Calibri" w:hAnsi="Times New Roman" w:cs="Times New Roman"/>
                <w:i/>
                <w:sz w:val="20"/>
                <w:szCs w:val="20"/>
              </w:rPr>
            </w:pPr>
            <w:proofErr w:type="spellStart"/>
            <w:r w:rsidRPr="00A07F29">
              <w:rPr>
                <w:rFonts w:ascii="Times New Roman" w:eastAsia="Calibri" w:hAnsi="Times New Roman" w:cs="Times New Roman"/>
                <w:i/>
                <w:sz w:val="20"/>
                <w:szCs w:val="20"/>
              </w:rPr>
              <w:t>Pulsatilla</w:t>
            </w:r>
            <w:proofErr w:type="spellEnd"/>
            <w:r w:rsidRPr="00A07F29">
              <w:rPr>
                <w:rFonts w:ascii="Times New Roman" w:eastAsia="Calibri" w:hAnsi="Times New Roman" w:cs="Times New Roman"/>
                <w:i/>
                <w:sz w:val="20"/>
                <w:szCs w:val="20"/>
              </w:rPr>
              <w:t xml:space="preserve"> </w:t>
            </w:r>
            <w:proofErr w:type="spellStart"/>
            <w:r w:rsidRPr="00A07F29">
              <w:rPr>
                <w:rFonts w:ascii="Times New Roman" w:eastAsia="Calibri" w:hAnsi="Times New Roman" w:cs="Times New Roman"/>
                <w:i/>
                <w:sz w:val="20"/>
                <w:szCs w:val="20"/>
              </w:rPr>
              <w:t>patens</w:t>
            </w:r>
            <w:proofErr w:type="spellEnd"/>
          </w:p>
        </w:tc>
        <w:tc>
          <w:tcPr>
            <w:tcW w:w="1134" w:type="dxa"/>
          </w:tcPr>
          <w:p w14:paraId="0312600B"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ĪAS</w:t>
            </w:r>
            <w:r w:rsidRPr="00A07F29">
              <w:rPr>
                <w:rFonts w:ascii="Times New Roman" w:eastAsia="Calibri" w:hAnsi="Times New Roman" w:cs="Times New Roman"/>
                <w:sz w:val="20"/>
                <w:szCs w:val="20"/>
                <w:vertAlign w:val="superscript"/>
              </w:rPr>
              <w:t>1</w:t>
            </w:r>
          </w:p>
        </w:tc>
        <w:tc>
          <w:tcPr>
            <w:tcW w:w="709" w:type="dxa"/>
          </w:tcPr>
          <w:p w14:paraId="72FB28D6" w14:textId="7E2F5981" w:rsidR="002B1603" w:rsidRPr="00A07F29" w:rsidRDefault="002B1603" w:rsidP="002B1603">
            <w:pPr>
              <w:spacing w:after="0"/>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BD II</w:t>
            </w:r>
            <w:r w:rsidR="0075395E" w:rsidRPr="00A07F29">
              <w:rPr>
                <w:rFonts w:ascii="Times New Roman" w:eastAsia="Calibri" w:hAnsi="Times New Roman" w:cs="Times New Roman"/>
                <w:sz w:val="20"/>
                <w:szCs w:val="20"/>
              </w:rPr>
              <w:t>,</w:t>
            </w:r>
            <w:r w:rsidRPr="00A07F29">
              <w:rPr>
                <w:rFonts w:ascii="Times New Roman" w:eastAsia="Calibri" w:hAnsi="Times New Roman" w:cs="Times New Roman"/>
                <w:sz w:val="20"/>
                <w:szCs w:val="20"/>
              </w:rPr>
              <w:t xml:space="preserve"> IV</w:t>
            </w:r>
          </w:p>
        </w:tc>
        <w:tc>
          <w:tcPr>
            <w:tcW w:w="1128" w:type="dxa"/>
            <w:shd w:val="clear" w:color="auto" w:fill="FFC000"/>
          </w:tcPr>
          <w:p w14:paraId="285A8558" w14:textId="77777777" w:rsidR="002B1603" w:rsidRPr="00A07F29" w:rsidRDefault="002B1603" w:rsidP="002B1603">
            <w:pPr>
              <w:spacing w:after="0"/>
              <w:jc w:val="center"/>
              <w:rPr>
                <w:rFonts w:ascii="Times New Roman" w:eastAsia="Calibri" w:hAnsi="Times New Roman" w:cs="Times New Roman"/>
                <w:b/>
                <w:bCs/>
                <w:color w:val="2E74B5"/>
                <w:sz w:val="20"/>
                <w:szCs w:val="20"/>
              </w:rPr>
            </w:pPr>
            <w:r w:rsidRPr="00A07F29">
              <w:t>U1D</w:t>
            </w:r>
          </w:p>
        </w:tc>
        <w:tc>
          <w:tcPr>
            <w:tcW w:w="1122" w:type="dxa"/>
            <w:shd w:val="clear" w:color="auto" w:fill="FFC000"/>
          </w:tcPr>
          <w:p w14:paraId="33BA453B" w14:textId="77777777" w:rsidR="002B1603" w:rsidRPr="00A07F29" w:rsidRDefault="002B1603" w:rsidP="002B1603">
            <w:pPr>
              <w:spacing w:after="0"/>
              <w:jc w:val="center"/>
              <w:rPr>
                <w:rFonts w:ascii="Times New Roman" w:eastAsia="Calibri" w:hAnsi="Times New Roman" w:cs="Times New Roman"/>
                <w:sz w:val="20"/>
                <w:szCs w:val="20"/>
              </w:rPr>
            </w:pPr>
            <w:r w:rsidRPr="00A07F29">
              <w:t>U1D</w:t>
            </w:r>
          </w:p>
        </w:tc>
      </w:tr>
      <w:tr w:rsidR="0075395E" w:rsidRPr="00A07F29" w14:paraId="462CF4B9" w14:textId="77777777" w:rsidTr="00B649FD">
        <w:trPr>
          <w:jc w:val="center"/>
        </w:trPr>
        <w:tc>
          <w:tcPr>
            <w:tcW w:w="557" w:type="dxa"/>
          </w:tcPr>
          <w:p w14:paraId="446A8BE4" w14:textId="3874B9AF" w:rsidR="002B1603" w:rsidRPr="00A07F29" w:rsidRDefault="00170C65" w:rsidP="00E67E47">
            <w:pPr>
              <w:spacing w:after="0"/>
              <w:contextualSpacing/>
              <w:rPr>
                <w:rFonts w:ascii="Times New Roman" w:eastAsia="Calibri" w:hAnsi="Times New Roman" w:cs="Times New Roman"/>
                <w:sz w:val="20"/>
                <w:szCs w:val="20"/>
              </w:rPr>
            </w:pPr>
            <w:r w:rsidRPr="00A07F29">
              <w:rPr>
                <w:rFonts w:ascii="Times New Roman" w:eastAsia="Calibri" w:hAnsi="Times New Roman" w:cs="Times New Roman"/>
                <w:sz w:val="20"/>
                <w:szCs w:val="20"/>
              </w:rPr>
              <w:t>65.</w:t>
            </w:r>
          </w:p>
        </w:tc>
        <w:tc>
          <w:tcPr>
            <w:tcW w:w="2410" w:type="dxa"/>
          </w:tcPr>
          <w:p w14:paraId="46857F3F" w14:textId="77777777" w:rsidR="002B1603" w:rsidRPr="00A07F29" w:rsidRDefault="002B1603" w:rsidP="0075395E">
            <w:pPr>
              <w:spacing w:after="0"/>
              <w:rPr>
                <w:rFonts w:ascii="Times New Roman" w:eastAsia="Calibri" w:hAnsi="Times New Roman" w:cs="Times New Roman"/>
                <w:sz w:val="20"/>
                <w:szCs w:val="20"/>
              </w:rPr>
            </w:pPr>
            <w:r w:rsidRPr="00A07F29">
              <w:rPr>
                <w:rFonts w:ascii="Times New Roman" w:eastAsia="Calibri" w:hAnsi="Times New Roman" w:cs="Times New Roman"/>
                <w:sz w:val="20"/>
                <w:szCs w:val="20"/>
              </w:rPr>
              <w:t>Pļavas silpurene</w:t>
            </w:r>
          </w:p>
        </w:tc>
        <w:tc>
          <w:tcPr>
            <w:tcW w:w="2840" w:type="dxa"/>
          </w:tcPr>
          <w:p w14:paraId="0A6F706D" w14:textId="77777777" w:rsidR="002B1603" w:rsidRPr="00A07F29" w:rsidRDefault="002B1603" w:rsidP="0075395E">
            <w:pPr>
              <w:spacing w:after="0"/>
              <w:rPr>
                <w:rFonts w:ascii="Times New Roman" w:eastAsia="Calibri" w:hAnsi="Times New Roman" w:cs="Times New Roman"/>
                <w:i/>
                <w:sz w:val="20"/>
                <w:szCs w:val="20"/>
              </w:rPr>
            </w:pPr>
            <w:proofErr w:type="spellStart"/>
            <w:r w:rsidRPr="00A07F29">
              <w:rPr>
                <w:rFonts w:ascii="Times New Roman" w:eastAsia="Calibri" w:hAnsi="Times New Roman" w:cs="Times New Roman"/>
                <w:i/>
                <w:sz w:val="20"/>
                <w:szCs w:val="20"/>
              </w:rPr>
              <w:t>Pulsatilla</w:t>
            </w:r>
            <w:proofErr w:type="spellEnd"/>
            <w:r w:rsidRPr="00A07F29">
              <w:rPr>
                <w:rFonts w:ascii="Times New Roman" w:eastAsia="Calibri" w:hAnsi="Times New Roman" w:cs="Times New Roman"/>
                <w:i/>
                <w:sz w:val="20"/>
                <w:szCs w:val="20"/>
              </w:rPr>
              <w:t xml:space="preserve"> </w:t>
            </w:r>
            <w:proofErr w:type="spellStart"/>
            <w:r w:rsidRPr="00A07F29">
              <w:rPr>
                <w:rFonts w:ascii="Times New Roman" w:eastAsia="Calibri" w:hAnsi="Times New Roman" w:cs="Times New Roman"/>
                <w:i/>
                <w:sz w:val="20"/>
                <w:szCs w:val="20"/>
              </w:rPr>
              <w:t>pratensis</w:t>
            </w:r>
            <w:proofErr w:type="spellEnd"/>
          </w:p>
        </w:tc>
        <w:tc>
          <w:tcPr>
            <w:tcW w:w="1134" w:type="dxa"/>
          </w:tcPr>
          <w:p w14:paraId="7038C595"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ĪAS</w:t>
            </w:r>
          </w:p>
        </w:tc>
        <w:tc>
          <w:tcPr>
            <w:tcW w:w="709" w:type="dxa"/>
          </w:tcPr>
          <w:p w14:paraId="4D00E9FA"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c>
          <w:tcPr>
            <w:tcW w:w="1128" w:type="dxa"/>
          </w:tcPr>
          <w:p w14:paraId="371CF79C" w14:textId="77777777" w:rsidR="002B1603" w:rsidRPr="00A07F29" w:rsidRDefault="002B1603" w:rsidP="002B1603">
            <w:pPr>
              <w:spacing w:after="0"/>
              <w:jc w:val="center"/>
              <w:rPr>
                <w:rFonts w:ascii="Times New Roman" w:eastAsia="Calibri" w:hAnsi="Times New Roman" w:cs="Times New Roman"/>
                <w:b/>
                <w:bCs/>
                <w:color w:val="2E74B5"/>
                <w:sz w:val="20"/>
                <w:szCs w:val="20"/>
              </w:rPr>
            </w:pPr>
            <w:r w:rsidRPr="00A07F29">
              <w:rPr>
                <w:rFonts w:ascii="Times New Roman" w:eastAsia="Calibri" w:hAnsi="Times New Roman" w:cs="Calibri"/>
                <w:sz w:val="24"/>
              </w:rPr>
              <w:t>-</w:t>
            </w:r>
          </w:p>
        </w:tc>
        <w:tc>
          <w:tcPr>
            <w:tcW w:w="1122" w:type="dxa"/>
            <w:vAlign w:val="center"/>
          </w:tcPr>
          <w:p w14:paraId="6D53E2B4"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r>
      <w:tr w:rsidR="0075395E" w:rsidRPr="00A07F29" w14:paraId="66522F3C" w14:textId="77777777" w:rsidTr="00B649FD">
        <w:trPr>
          <w:jc w:val="center"/>
        </w:trPr>
        <w:tc>
          <w:tcPr>
            <w:tcW w:w="557" w:type="dxa"/>
          </w:tcPr>
          <w:p w14:paraId="45B5353F" w14:textId="42CEB3C8" w:rsidR="002B1603" w:rsidRPr="00A07F29" w:rsidRDefault="00170C65" w:rsidP="00E67E47">
            <w:pPr>
              <w:spacing w:after="0"/>
              <w:contextualSpacing/>
              <w:rPr>
                <w:rFonts w:ascii="Times New Roman" w:eastAsia="Calibri" w:hAnsi="Times New Roman" w:cs="Times New Roman"/>
                <w:sz w:val="20"/>
                <w:szCs w:val="20"/>
              </w:rPr>
            </w:pPr>
            <w:r w:rsidRPr="00A07F29">
              <w:rPr>
                <w:rFonts w:ascii="Times New Roman" w:eastAsia="Calibri" w:hAnsi="Times New Roman" w:cs="Times New Roman"/>
                <w:sz w:val="20"/>
                <w:szCs w:val="20"/>
              </w:rPr>
              <w:t>66.</w:t>
            </w:r>
          </w:p>
        </w:tc>
        <w:tc>
          <w:tcPr>
            <w:tcW w:w="2410" w:type="dxa"/>
          </w:tcPr>
          <w:p w14:paraId="53C89C22" w14:textId="77777777" w:rsidR="002B1603" w:rsidRPr="00A07F29" w:rsidRDefault="002B1603" w:rsidP="0075395E">
            <w:pPr>
              <w:spacing w:after="0"/>
              <w:rPr>
                <w:rFonts w:ascii="Times New Roman" w:eastAsia="Calibri" w:hAnsi="Times New Roman" w:cs="Times New Roman"/>
                <w:sz w:val="20"/>
                <w:szCs w:val="20"/>
                <w:vertAlign w:val="superscript"/>
              </w:rPr>
            </w:pPr>
            <w:r w:rsidRPr="00A07F29">
              <w:rPr>
                <w:rFonts w:ascii="Times New Roman" w:eastAsia="Calibri" w:hAnsi="Times New Roman" w:cs="Times New Roman"/>
                <w:sz w:val="20"/>
                <w:szCs w:val="20"/>
              </w:rPr>
              <w:t>Vidējā ziemciete</w:t>
            </w:r>
            <w:r w:rsidRPr="00A07F29">
              <w:rPr>
                <w:rFonts w:ascii="Times New Roman" w:eastAsia="Calibri" w:hAnsi="Times New Roman" w:cs="Times New Roman"/>
                <w:sz w:val="20"/>
                <w:szCs w:val="20"/>
                <w:vertAlign w:val="superscript"/>
              </w:rPr>
              <w:t xml:space="preserve"> 1</w:t>
            </w:r>
          </w:p>
        </w:tc>
        <w:tc>
          <w:tcPr>
            <w:tcW w:w="2840" w:type="dxa"/>
          </w:tcPr>
          <w:p w14:paraId="521AB3EB" w14:textId="77777777" w:rsidR="002B1603" w:rsidRPr="00A07F29" w:rsidRDefault="002B1603" w:rsidP="0075395E">
            <w:pPr>
              <w:spacing w:after="0"/>
              <w:rPr>
                <w:rFonts w:ascii="Times New Roman" w:eastAsia="Calibri" w:hAnsi="Times New Roman" w:cs="Times New Roman"/>
                <w:i/>
                <w:sz w:val="20"/>
                <w:szCs w:val="20"/>
              </w:rPr>
            </w:pPr>
            <w:proofErr w:type="spellStart"/>
            <w:r w:rsidRPr="00A07F29">
              <w:rPr>
                <w:rFonts w:ascii="Times New Roman" w:eastAsia="Calibri" w:hAnsi="Times New Roman" w:cs="Times New Roman"/>
                <w:i/>
                <w:sz w:val="20"/>
                <w:szCs w:val="20"/>
              </w:rPr>
              <w:t>Pyrola</w:t>
            </w:r>
            <w:proofErr w:type="spellEnd"/>
            <w:r w:rsidRPr="00A07F29">
              <w:rPr>
                <w:rFonts w:ascii="Times New Roman" w:eastAsia="Calibri" w:hAnsi="Times New Roman" w:cs="Times New Roman"/>
                <w:i/>
                <w:sz w:val="20"/>
                <w:szCs w:val="20"/>
              </w:rPr>
              <w:t xml:space="preserve"> </w:t>
            </w:r>
            <w:proofErr w:type="spellStart"/>
            <w:r w:rsidRPr="00A07F29">
              <w:rPr>
                <w:rFonts w:ascii="Times New Roman" w:eastAsia="Calibri" w:hAnsi="Times New Roman" w:cs="Times New Roman"/>
                <w:i/>
                <w:sz w:val="20"/>
                <w:szCs w:val="20"/>
              </w:rPr>
              <w:t>media</w:t>
            </w:r>
            <w:proofErr w:type="spellEnd"/>
          </w:p>
        </w:tc>
        <w:tc>
          <w:tcPr>
            <w:tcW w:w="1134" w:type="dxa"/>
          </w:tcPr>
          <w:p w14:paraId="657529F7"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ĪAS</w:t>
            </w:r>
            <w:r w:rsidRPr="00A07F29">
              <w:rPr>
                <w:rFonts w:ascii="Times New Roman" w:eastAsia="Calibri" w:hAnsi="Times New Roman" w:cs="Times New Roman"/>
                <w:sz w:val="20"/>
                <w:szCs w:val="20"/>
                <w:vertAlign w:val="superscript"/>
              </w:rPr>
              <w:t>1</w:t>
            </w:r>
          </w:p>
        </w:tc>
        <w:tc>
          <w:tcPr>
            <w:tcW w:w="709" w:type="dxa"/>
          </w:tcPr>
          <w:p w14:paraId="5AD7E2A3"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c>
          <w:tcPr>
            <w:tcW w:w="1128" w:type="dxa"/>
          </w:tcPr>
          <w:p w14:paraId="271E755C" w14:textId="77777777" w:rsidR="002B1603" w:rsidRPr="00A07F29" w:rsidRDefault="002B1603" w:rsidP="002B1603">
            <w:pPr>
              <w:spacing w:after="0"/>
              <w:jc w:val="center"/>
              <w:rPr>
                <w:rFonts w:ascii="Times New Roman" w:eastAsia="Calibri" w:hAnsi="Times New Roman" w:cs="Times New Roman"/>
                <w:b/>
                <w:bCs/>
                <w:color w:val="2E74B5"/>
                <w:sz w:val="20"/>
                <w:szCs w:val="20"/>
              </w:rPr>
            </w:pPr>
            <w:r w:rsidRPr="00A07F29">
              <w:rPr>
                <w:rFonts w:ascii="Times New Roman" w:eastAsia="Calibri" w:hAnsi="Times New Roman" w:cs="Calibri"/>
                <w:sz w:val="24"/>
              </w:rPr>
              <w:t>-</w:t>
            </w:r>
          </w:p>
        </w:tc>
        <w:tc>
          <w:tcPr>
            <w:tcW w:w="1122" w:type="dxa"/>
            <w:vAlign w:val="center"/>
          </w:tcPr>
          <w:p w14:paraId="568924B6"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r>
      <w:tr w:rsidR="0075395E" w:rsidRPr="00A07F29" w14:paraId="70B12221" w14:textId="77777777" w:rsidTr="00B649FD">
        <w:trPr>
          <w:jc w:val="center"/>
        </w:trPr>
        <w:tc>
          <w:tcPr>
            <w:tcW w:w="557" w:type="dxa"/>
          </w:tcPr>
          <w:p w14:paraId="79EAF7D2" w14:textId="129FF866" w:rsidR="002B1603" w:rsidRPr="00A07F29" w:rsidRDefault="00170C65" w:rsidP="00E67E47">
            <w:pPr>
              <w:spacing w:after="0"/>
              <w:contextualSpacing/>
              <w:rPr>
                <w:rFonts w:ascii="Times New Roman" w:eastAsia="Calibri" w:hAnsi="Times New Roman" w:cs="Times New Roman"/>
                <w:sz w:val="20"/>
                <w:szCs w:val="20"/>
              </w:rPr>
            </w:pPr>
            <w:r w:rsidRPr="00A07F29">
              <w:rPr>
                <w:rFonts w:ascii="Times New Roman" w:eastAsia="Calibri" w:hAnsi="Times New Roman" w:cs="Times New Roman"/>
                <w:sz w:val="20"/>
                <w:szCs w:val="20"/>
              </w:rPr>
              <w:t>67.</w:t>
            </w:r>
          </w:p>
        </w:tc>
        <w:tc>
          <w:tcPr>
            <w:tcW w:w="2410" w:type="dxa"/>
          </w:tcPr>
          <w:p w14:paraId="46322A20" w14:textId="77777777" w:rsidR="002B1603" w:rsidRPr="00A07F29" w:rsidRDefault="002B1603" w:rsidP="0075395E">
            <w:pPr>
              <w:spacing w:after="0"/>
              <w:rPr>
                <w:rFonts w:ascii="Times New Roman" w:eastAsia="Calibri" w:hAnsi="Times New Roman" w:cs="Times New Roman"/>
                <w:spacing w:val="1"/>
                <w:sz w:val="20"/>
                <w:szCs w:val="20"/>
                <w:vertAlign w:val="superscript"/>
              </w:rPr>
            </w:pPr>
            <w:r w:rsidRPr="00A07F29">
              <w:rPr>
                <w:rFonts w:ascii="Times New Roman" w:eastAsia="Calibri" w:hAnsi="Times New Roman" w:cs="Times New Roman"/>
                <w:sz w:val="20"/>
                <w:szCs w:val="20"/>
              </w:rPr>
              <w:t>Sīpoliņu gundega</w:t>
            </w:r>
          </w:p>
        </w:tc>
        <w:tc>
          <w:tcPr>
            <w:tcW w:w="2840" w:type="dxa"/>
          </w:tcPr>
          <w:p w14:paraId="0D86EAC4" w14:textId="77777777" w:rsidR="002B1603" w:rsidRPr="00A07F29" w:rsidRDefault="002B1603" w:rsidP="0075395E">
            <w:pPr>
              <w:spacing w:after="0"/>
              <w:rPr>
                <w:rFonts w:ascii="Times New Roman" w:eastAsia="Calibri" w:hAnsi="Times New Roman" w:cs="Times New Roman"/>
                <w:i/>
                <w:sz w:val="20"/>
                <w:szCs w:val="20"/>
              </w:rPr>
            </w:pPr>
            <w:proofErr w:type="spellStart"/>
            <w:r w:rsidRPr="00A07F29">
              <w:rPr>
                <w:rFonts w:ascii="Times New Roman" w:eastAsia="Calibri" w:hAnsi="Times New Roman" w:cs="Times New Roman"/>
                <w:i/>
                <w:sz w:val="20"/>
                <w:szCs w:val="20"/>
              </w:rPr>
              <w:t>Ranunculus</w:t>
            </w:r>
            <w:proofErr w:type="spellEnd"/>
            <w:r w:rsidRPr="00A07F29">
              <w:rPr>
                <w:rFonts w:ascii="Times New Roman" w:eastAsia="Calibri" w:hAnsi="Times New Roman" w:cs="Times New Roman"/>
                <w:i/>
                <w:sz w:val="20"/>
                <w:szCs w:val="20"/>
              </w:rPr>
              <w:t xml:space="preserve"> </w:t>
            </w:r>
            <w:proofErr w:type="spellStart"/>
            <w:r w:rsidRPr="00A07F29">
              <w:rPr>
                <w:rFonts w:ascii="Times New Roman" w:eastAsia="Calibri" w:hAnsi="Times New Roman" w:cs="Times New Roman"/>
                <w:i/>
                <w:sz w:val="20"/>
                <w:szCs w:val="20"/>
              </w:rPr>
              <w:t>bulbosus</w:t>
            </w:r>
            <w:proofErr w:type="spellEnd"/>
          </w:p>
        </w:tc>
        <w:tc>
          <w:tcPr>
            <w:tcW w:w="1134" w:type="dxa"/>
          </w:tcPr>
          <w:p w14:paraId="0BE90C37"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ĪAS</w:t>
            </w:r>
            <w:r w:rsidRPr="00A07F29">
              <w:rPr>
                <w:rFonts w:ascii="Times New Roman" w:eastAsia="Calibri" w:hAnsi="Times New Roman" w:cs="Times New Roman"/>
                <w:sz w:val="20"/>
                <w:szCs w:val="20"/>
                <w:vertAlign w:val="superscript"/>
              </w:rPr>
              <w:t>1</w:t>
            </w:r>
          </w:p>
        </w:tc>
        <w:tc>
          <w:tcPr>
            <w:tcW w:w="709" w:type="dxa"/>
          </w:tcPr>
          <w:p w14:paraId="06865780"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c>
          <w:tcPr>
            <w:tcW w:w="1128" w:type="dxa"/>
          </w:tcPr>
          <w:p w14:paraId="6AD781D8" w14:textId="77777777" w:rsidR="002B1603" w:rsidRPr="00A07F29" w:rsidRDefault="002B1603" w:rsidP="002B1603">
            <w:pPr>
              <w:spacing w:after="0"/>
              <w:jc w:val="center"/>
              <w:rPr>
                <w:rFonts w:ascii="Times New Roman" w:eastAsia="Calibri" w:hAnsi="Times New Roman" w:cs="Times New Roman"/>
                <w:b/>
                <w:bCs/>
                <w:color w:val="2E74B5"/>
                <w:sz w:val="20"/>
                <w:szCs w:val="20"/>
              </w:rPr>
            </w:pPr>
            <w:r w:rsidRPr="00A07F29">
              <w:rPr>
                <w:rFonts w:ascii="Times New Roman" w:eastAsia="Calibri" w:hAnsi="Times New Roman" w:cs="Calibri"/>
                <w:sz w:val="24"/>
              </w:rPr>
              <w:t>-</w:t>
            </w:r>
          </w:p>
        </w:tc>
        <w:tc>
          <w:tcPr>
            <w:tcW w:w="1122" w:type="dxa"/>
            <w:vAlign w:val="center"/>
          </w:tcPr>
          <w:p w14:paraId="689D2C15"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r>
      <w:tr w:rsidR="0075395E" w:rsidRPr="00A07F29" w14:paraId="27A6F1E3" w14:textId="77777777" w:rsidTr="00B649FD">
        <w:trPr>
          <w:jc w:val="center"/>
        </w:trPr>
        <w:tc>
          <w:tcPr>
            <w:tcW w:w="557" w:type="dxa"/>
          </w:tcPr>
          <w:p w14:paraId="56773988" w14:textId="38F672CB" w:rsidR="002B1603" w:rsidRPr="00A07F29" w:rsidRDefault="00170C65" w:rsidP="00E67E47">
            <w:pPr>
              <w:spacing w:after="0"/>
              <w:contextualSpacing/>
              <w:rPr>
                <w:rFonts w:ascii="Times New Roman" w:eastAsia="Calibri" w:hAnsi="Times New Roman" w:cs="Times New Roman"/>
                <w:sz w:val="20"/>
                <w:szCs w:val="20"/>
              </w:rPr>
            </w:pPr>
            <w:r w:rsidRPr="00A07F29">
              <w:rPr>
                <w:rFonts w:ascii="Times New Roman" w:eastAsia="Calibri" w:hAnsi="Times New Roman" w:cs="Times New Roman"/>
                <w:sz w:val="20"/>
                <w:szCs w:val="20"/>
              </w:rPr>
              <w:t>68.</w:t>
            </w:r>
          </w:p>
        </w:tc>
        <w:tc>
          <w:tcPr>
            <w:tcW w:w="2410" w:type="dxa"/>
          </w:tcPr>
          <w:p w14:paraId="36E705D3" w14:textId="77777777" w:rsidR="002B1603" w:rsidRPr="00A07F29" w:rsidRDefault="002B1603" w:rsidP="0075395E">
            <w:pPr>
              <w:spacing w:after="0"/>
              <w:rPr>
                <w:rFonts w:ascii="Times New Roman" w:eastAsia="Calibri" w:hAnsi="Times New Roman" w:cs="Times New Roman"/>
                <w:sz w:val="20"/>
                <w:szCs w:val="20"/>
              </w:rPr>
            </w:pPr>
            <w:proofErr w:type="spellStart"/>
            <w:r w:rsidRPr="00A07F29">
              <w:rPr>
                <w:rFonts w:ascii="Times New Roman" w:eastAsia="Calibri" w:hAnsi="Times New Roman" w:cs="Times New Roman"/>
                <w:sz w:val="20"/>
                <w:szCs w:val="20"/>
              </w:rPr>
              <w:t>Villainā</w:t>
            </w:r>
            <w:proofErr w:type="spellEnd"/>
            <w:r w:rsidRPr="00A07F29">
              <w:rPr>
                <w:rFonts w:ascii="Times New Roman" w:eastAsia="Calibri" w:hAnsi="Times New Roman" w:cs="Times New Roman"/>
                <w:sz w:val="20"/>
                <w:szCs w:val="20"/>
              </w:rPr>
              <w:t xml:space="preserve"> gundega</w:t>
            </w:r>
          </w:p>
        </w:tc>
        <w:tc>
          <w:tcPr>
            <w:tcW w:w="2840" w:type="dxa"/>
          </w:tcPr>
          <w:p w14:paraId="57D74D50" w14:textId="77777777" w:rsidR="002B1603" w:rsidRPr="00A07F29" w:rsidRDefault="002B1603" w:rsidP="0075395E">
            <w:pPr>
              <w:spacing w:after="0"/>
              <w:rPr>
                <w:rFonts w:ascii="Times New Roman" w:eastAsia="Calibri" w:hAnsi="Times New Roman" w:cs="Times New Roman"/>
                <w:i/>
                <w:sz w:val="20"/>
                <w:szCs w:val="20"/>
              </w:rPr>
            </w:pPr>
            <w:proofErr w:type="spellStart"/>
            <w:r w:rsidRPr="00A07F29">
              <w:rPr>
                <w:rFonts w:ascii="Times New Roman" w:eastAsia="Calibri" w:hAnsi="Times New Roman" w:cs="Times New Roman"/>
                <w:i/>
                <w:sz w:val="20"/>
                <w:szCs w:val="20"/>
              </w:rPr>
              <w:t>Ranunculus</w:t>
            </w:r>
            <w:proofErr w:type="spellEnd"/>
            <w:r w:rsidRPr="00A07F29">
              <w:rPr>
                <w:rFonts w:ascii="Times New Roman" w:eastAsia="Calibri" w:hAnsi="Times New Roman" w:cs="Times New Roman"/>
                <w:i/>
                <w:sz w:val="20"/>
                <w:szCs w:val="20"/>
              </w:rPr>
              <w:t xml:space="preserve"> </w:t>
            </w:r>
            <w:proofErr w:type="spellStart"/>
            <w:r w:rsidRPr="00A07F29">
              <w:rPr>
                <w:rFonts w:ascii="Times New Roman" w:eastAsia="Calibri" w:hAnsi="Times New Roman" w:cs="Times New Roman"/>
                <w:i/>
                <w:sz w:val="20"/>
                <w:szCs w:val="20"/>
              </w:rPr>
              <w:t>lanuginosus</w:t>
            </w:r>
            <w:proofErr w:type="spellEnd"/>
          </w:p>
        </w:tc>
        <w:tc>
          <w:tcPr>
            <w:tcW w:w="1134" w:type="dxa"/>
          </w:tcPr>
          <w:p w14:paraId="79BDD1D9"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ĪAS</w:t>
            </w:r>
            <w:r w:rsidRPr="00A07F29">
              <w:rPr>
                <w:rFonts w:ascii="Times New Roman" w:eastAsia="Calibri" w:hAnsi="Times New Roman" w:cs="Times New Roman"/>
                <w:sz w:val="20"/>
                <w:szCs w:val="20"/>
                <w:vertAlign w:val="superscript"/>
              </w:rPr>
              <w:t>1</w:t>
            </w:r>
          </w:p>
        </w:tc>
        <w:tc>
          <w:tcPr>
            <w:tcW w:w="709" w:type="dxa"/>
          </w:tcPr>
          <w:p w14:paraId="02285F3B"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c>
          <w:tcPr>
            <w:tcW w:w="1128" w:type="dxa"/>
          </w:tcPr>
          <w:p w14:paraId="61DA1567" w14:textId="77777777" w:rsidR="002B1603" w:rsidRPr="00A07F29" w:rsidRDefault="002B1603" w:rsidP="002B1603">
            <w:pPr>
              <w:spacing w:after="0"/>
              <w:jc w:val="center"/>
              <w:rPr>
                <w:rFonts w:ascii="Times New Roman" w:eastAsia="Calibri" w:hAnsi="Times New Roman" w:cs="Times New Roman"/>
                <w:b/>
                <w:bCs/>
                <w:color w:val="2E74B5"/>
                <w:sz w:val="20"/>
                <w:szCs w:val="20"/>
              </w:rPr>
            </w:pPr>
          </w:p>
        </w:tc>
        <w:tc>
          <w:tcPr>
            <w:tcW w:w="1122" w:type="dxa"/>
            <w:vAlign w:val="center"/>
          </w:tcPr>
          <w:p w14:paraId="0673E864"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r>
      <w:tr w:rsidR="0075395E" w:rsidRPr="00A07F29" w14:paraId="531582F3" w14:textId="77777777" w:rsidTr="00B649FD">
        <w:trPr>
          <w:jc w:val="center"/>
        </w:trPr>
        <w:tc>
          <w:tcPr>
            <w:tcW w:w="557" w:type="dxa"/>
            <w:shd w:val="clear" w:color="auto" w:fill="auto"/>
          </w:tcPr>
          <w:p w14:paraId="4A9A55B9" w14:textId="2BA316E0" w:rsidR="002B1603" w:rsidRPr="00A07F29" w:rsidRDefault="00170C65" w:rsidP="00E67E47">
            <w:pPr>
              <w:spacing w:after="0"/>
              <w:contextualSpacing/>
              <w:rPr>
                <w:rFonts w:ascii="Times New Roman" w:eastAsia="Calibri" w:hAnsi="Times New Roman" w:cs="Times New Roman"/>
                <w:sz w:val="20"/>
                <w:szCs w:val="20"/>
              </w:rPr>
            </w:pPr>
            <w:r w:rsidRPr="00A07F29">
              <w:rPr>
                <w:rFonts w:ascii="Times New Roman" w:eastAsia="Calibri" w:hAnsi="Times New Roman" w:cs="Times New Roman"/>
                <w:sz w:val="20"/>
                <w:szCs w:val="20"/>
              </w:rPr>
              <w:t>69.</w:t>
            </w:r>
          </w:p>
        </w:tc>
        <w:tc>
          <w:tcPr>
            <w:tcW w:w="2410" w:type="dxa"/>
            <w:shd w:val="clear" w:color="auto" w:fill="auto"/>
          </w:tcPr>
          <w:p w14:paraId="1DD78642" w14:textId="77777777" w:rsidR="002B1603" w:rsidRPr="00A07F29" w:rsidRDefault="002B1603" w:rsidP="0075395E">
            <w:pPr>
              <w:spacing w:after="0"/>
              <w:rPr>
                <w:rFonts w:ascii="Times New Roman" w:eastAsia="Calibri" w:hAnsi="Times New Roman" w:cs="Times New Roman"/>
                <w:sz w:val="20"/>
                <w:szCs w:val="20"/>
              </w:rPr>
            </w:pPr>
            <w:proofErr w:type="spellStart"/>
            <w:r w:rsidRPr="00A07F29">
              <w:rPr>
                <w:rFonts w:ascii="Times New Roman" w:eastAsia="Calibri" w:hAnsi="Times New Roman" w:cs="Times New Roman"/>
                <w:sz w:val="20"/>
                <w:szCs w:val="20"/>
              </w:rPr>
              <w:t>Smaržlapu</w:t>
            </w:r>
            <w:proofErr w:type="spellEnd"/>
            <w:r w:rsidRPr="00A07F29">
              <w:rPr>
                <w:rFonts w:ascii="Times New Roman" w:eastAsia="Calibri" w:hAnsi="Times New Roman" w:cs="Times New Roman"/>
                <w:sz w:val="20"/>
                <w:szCs w:val="20"/>
              </w:rPr>
              <w:t xml:space="preserve"> roze</w:t>
            </w:r>
            <w:r w:rsidRPr="00A07F29">
              <w:rPr>
                <w:rFonts w:ascii="Times New Roman" w:eastAsia="Calibri" w:hAnsi="Times New Roman" w:cs="Times New Roman"/>
                <w:sz w:val="20"/>
                <w:szCs w:val="20"/>
                <w:vertAlign w:val="superscript"/>
              </w:rPr>
              <w:t>3</w:t>
            </w:r>
          </w:p>
        </w:tc>
        <w:tc>
          <w:tcPr>
            <w:tcW w:w="2840" w:type="dxa"/>
            <w:shd w:val="clear" w:color="auto" w:fill="auto"/>
          </w:tcPr>
          <w:p w14:paraId="7046429A" w14:textId="77777777" w:rsidR="002B1603" w:rsidRPr="00A07F29" w:rsidRDefault="002B1603" w:rsidP="0075395E">
            <w:pPr>
              <w:spacing w:after="0"/>
              <w:rPr>
                <w:rFonts w:ascii="Times New Roman" w:eastAsia="Calibri" w:hAnsi="Times New Roman" w:cs="Times New Roman"/>
                <w:i/>
                <w:sz w:val="20"/>
                <w:szCs w:val="20"/>
              </w:rPr>
            </w:pPr>
            <w:r w:rsidRPr="00A07F29">
              <w:rPr>
                <w:rFonts w:ascii="Times New Roman" w:eastAsia="Calibri" w:hAnsi="Times New Roman" w:cs="Times New Roman"/>
                <w:i/>
                <w:sz w:val="20"/>
                <w:szCs w:val="20"/>
              </w:rPr>
              <w:t xml:space="preserve">Rosa </w:t>
            </w:r>
            <w:proofErr w:type="spellStart"/>
            <w:r w:rsidRPr="00A07F29">
              <w:rPr>
                <w:rFonts w:ascii="Times New Roman" w:eastAsia="Calibri" w:hAnsi="Times New Roman" w:cs="Times New Roman"/>
                <w:i/>
                <w:sz w:val="20"/>
                <w:szCs w:val="20"/>
              </w:rPr>
              <w:t>rubiginosa</w:t>
            </w:r>
            <w:proofErr w:type="spellEnd"/>
          </w:p>
        </w:tc>
        <w:tc>
          <w:tcPr>
            <w:tcW w:w="1134" w:type="dxa"/>
            <w:shd w:val="clear" w:color="auto" w:fill="auto"/>
          </w:tcPr>
          <w:p w14:paraId="527609BA"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ĪAS</w:t>
            </w:r>
          </w:p>
        </w:tc>
        <w:tc>
          <w:tcPr>
            <w:tcW w:w="709" w:type="dxa"/>
            <w:shd w:val="clear" w:color="auto" w:fill="auto"/>
          </w:tcPr>
          <w:p w14:paraId="1560011C"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c>
          <w:tcPr>
            <w:tcW w:w="1128" w:type="dxa"/>
            <w:shd w:val="clear" w:color="auto" w:fill="auto"/>
          </w:tcPr>
          <w:p w14:paraId="1F174F2A" w14:textId="77777777" w:rsidR="002B1603" w:rsidRPr="00A07F29" w:rsidRDefault="002B1603" w:rsidP="002B1603">
            <w:pPr>
              <w:spacing w:after="0"/>
              <w:jc w:val="center"/>
              <w:rPr>
                <w:rFonts w:ascii="Times New Roman" w:eastAsia="Calibri" w:hAnsi="Times New Roman" w:cs="Times New Roman"/>
                <w:b/>
                <w:bCs/>
                <w:color w:val="2E74B5"/>
                <w:sz w:val="20"/>
                <w:szCs w:val="20"/>
              </w:rPr>
            </w:pPr>
            <w:r w:rsidRPr="00A07F29">
              <w:rPr>
                <w:rFonts w:ascii="Times New Roman" w:eastAsia="Calibri" w:hAnsi="Times New Roman" w:cs="Calibri"/>
                <w:sz w:val="24"/>
              </w:rPr>
              <w:t>-</w:t>
            </w:r>
          </w:p>
        </w:tc>
        <w:tc>
          <w:tcPr>
            <w:tcW w:w="1122" w:type="dxa"/>
            <w:shd w:val="clear" w:color="auto" w:fill="auto"/>
            <w:vAlign w:val="center"/>
          </w:tcPr>
          <w:p w14:paraId="5C44B661"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r>
      <w:tr w:rsidR="0075395E" w:rsidRPr="00A07F29" w14:paraId="114CC8C4" w14:textId="77777777" w:rsidTr="00B649FD">
        <w:trPr>
          <w:jc w:val="center"/>
        </w:trPr>
        <w:tc>
          <w:tcPr>
            <w:tcW w:w="557" w:type="dxa"/>
          </w:tcPr>
          <w:p w14:paraId="7B4D8AB3" w14:textId="6C6C1869" w:rsidR="002B1603" w:rsidRPr="00A07F29" w:rsidRDefault="00170C65" w:rsidP="00170C65">
            <w:pPr>
              <w:spacing w:before="240" w:after="0"/>
              <w:contextualSpacing/>
              <w:rPr>
                <w:rFonts w:ascii="Times New Roman" w:eastAsia="Calibri" w:hAnsi="Times New Roman" w:cs="Times New Roman"/>
                <w:sz w:val="20"/>
                <w:szCs w:val="20"/>
              </w:rPr>
            </w:pPr>
            <w:r w:rsidRPr="00A07F29">
              <w:rPr>
                <w:rFonts w:ascii="Times New Roman" w:eastAsia="Calibri" w:hAnsi="Times New Roman" w:cs="Times New Roman"/>
                <w:sz w:val="20"/>
                <w:szCs w:val="20"/>
              </w:rPr>
              <w:t>70.</w:t>
            </w:r>
          </w:p>
        </w:tc>
        <w:tc>
          <w:tcPr>
            <w:tcW w:w="2410" w:type="dxa"/>
          </w:tcPr>
          <w:p w14:paraId="68CF00D7" w14:textId="77777777" w:rsidR="002B1603" w:rsidRPr="00A07F29" w:rsidRDefault="002B1603" w:rsidP="0075395E">
            <w:pPr>
              <w:spacing w:after="0"/>
              <w:rPr>
                <w:rFonts w:ascii="Times New Roman" w:eastAsia="Calibri" w:hAnsi="Times New Roman" w:cs="Times New Roman"/>
                <w:sz w:val="20"/>
                <w:szCs w:val="20"/>
                <w:vertAlign w:val="superscript"/>
              </w:rPr>
            </w:pPr>
            <w:r w:rsidRPr="00A07F29">
              <w:rPr>
                <w:rFonts w:ascii="Times New Roman" w:eastAsia="Calibri" w:hAnsi="Times New Roman" w:cs="Times New Roman"/>
                <w:sz w:val="20"/>
                <w:szCs w:val="20"/>
              </w:rPr>
              <w:t>Ārstniecības brūnvālīte</w:t>
            </w:r>
          </w:p>
        </w:tc>
        <w:tc>
          <w:tcPr>
            <w:tcW w:w="2840" w:type="dxa"/>
          </w:tcPr>
          <w:p w14:paraId="68603635" w14:textId="77777777" w:rsidR="002B1603" w:rsidRPr="00A07F29" w:rsidRDefault="002B1603" w:rsidP="0075395E">
            <w:pPr>
              <w:spacing w:after="0"/>
              <w:rPr>
                <w:rFonts w:ascii="Times New Roman" w:eastAsia="Calibri" w:hAnsi="Times New Roman" w:cs="Times New Roman"/>
                <w:i/>
                <w:sz w:val="20"/>
                <w:szCs w:val="20"/>
              </w:rPr>
            </w:pPr>
            <w:proofErr w:type="spellStart"/>
            <w:r w:rsidRPr="00A07F29">
              <w:rPr>
                <w:rFonts w:ascii="Times New Roman" w:eastAsia="Calibri" w:hAnsi="Times New Roman" w:cs="Times New Roman"/>
                <w:i/>
                <w:sz w:val="20"/>
                <w:szCs w:val="20"/>
              </w:rPr>
              <w:t>Sanguisorba</w:t>
            </w:r>
            <w:proofErr w:type="spellEnd"/>
            <w:r w:rsidRPr="00A07F29">
              <w:rPr>
                <w:rFonts w:ascii="Times New Roman" w:eastAsia="Calibri" w:hAnsi="Times New Roman" w:cs="Times New Roman"/>
                <w:i/>
                <w:sz w:val="20"/>
                <w:szCs w:val="20"/>
              </w:rPr>
              <w:t xml:space="preserve"> </w:t>
            </w:r>
            <w:proofErr w:type="spellStart"/>
            <w:r w:rsidRPr="00A07F29">
              <w:rPr>
                <w:rFonts w:ascii="Times New Roman" w:eastAsia="Calibri" w:hAnsi="Times New Roman" w:cs="Times New Roman"/>
                <w:i/>
                <w:sz w:val="20"/>
                <w:szCs w:val="20"/>
              </w:rPr>
              <w:t>officinalis</w:t>
            </w:r>
            <w:proofErr w:type="spellEnd"/>
          </w:p>
        </w:tc>
        <w:tc>
          <w:tcPr>
            <w:tcW w:w="1134" w:type="dxa"/>
          </w:tcPr>
          <w:p w14:paraId="4E0C83FE"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ĪAS</w:t>
            </w:r>
            <w:r w:rsidRPr="00A07F29">
              <w:rPr>
                <w:rFonts w:ascii="Times New Roman" w:eastAsia="Calibri" w:hAnsi="Times New Roman" w:cs="Times New Roman"/>
                <w:sz w:val="20"/>
                <w:szCs w:val="20"/>
                <w:vertAlign w:val="superscript"/>
              </w:rPr>
              <w:t>1</w:t>
            </w:r>
          </w:p>
        </w:tc>
        <w:tc>
          <w:tcPr>
            <w:tcW w:w="709" w:type="dxa"/>
          </w:tcPr>
          <w:p w14:paraId="513080F6"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c>
          <w:tcPr>
            <w:tcW w:w="1128" w:type="dxa"/>
          </w:tcPr>
          <w:p w14:paraId="4CD04777" w14:textId="77777777" w:rsidR="002B1603" w:rsidRPr="00A07F29" w:rsidRDefault="002B1603" w:rsidP="002B1603">
            <w:pPr>
              <w:spacing w:after="0"/>
              <w:jc w:val="center"/>
              <w:rPr>
                <w:rFonts w:ascii="Times New Roman" w:eastAsia="Calibri" w:hAnsi="Times New Roman" w:cs="Times New Roman"/>
                <w:b/>
                <w:bCs/>
                <w:color w:val="2E74B5"/>
                <w:sz w:val="20"/>
                <w:szCs w:val="20"/>
              </w:rPr>
            </w:pPr>
            <w:r w:rsidRPr="00A07F29">
              <w:rPr>
                <w:rFonts w:ascii="Times New Roman" w:eastAsia="Calibri" w:hAnsi="Times New Roman" w:cs="Calibri"/>
                <w:sz w:val="24"/>
              </w:rPr>
              <w:t>-</w:t>
            </w:r>
          </w:p>
        </w:tc>
        <w:tc>
          <w:tcPr>
            <w:tcW w:w="1122" w:type="dxa"/>
            <w:vAlign w:val="center"/>
          </w:tcPr>
          <w:p w14:paraId="6D5281DC"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r>
      <w:tr w:rsidR="0075395E" w:rsidRPr="00A07F29" w14:paraId="7D8F0AC0" w14:textId="77777777" w:rsidTr="00B649FD">
        <w:trPr>
          <w:jc w:val="center"/>
        </w:trPr>
        <w:tc>
          <w:tcPr>
            <w:tcW w:w="557" w:type="dxa"/>
          </w:tcPr>
          <w:p w14:paraId="49BEB3C9" w14:textId="76243A35" w:rsidR="002B1603" w:rsidRPr="00A07F29" w:rsidRDefault="00170C65" w:rsidP="00E67E47">
            <w:pPr>
              <w:spacing w:after="0"/>
              <w:contextualSpacing/>
              <w:rPr>
                <w:rFonts w:ascii="Times New Roman" w:eastAsia="Calibri" w:hAnsi="Times New Roman" w:cs="Times New Roman"/>
                <w:sz w:val="20"/>
                <w:szCs w:val="20"/>
              </w:rPr>
            </w:pPr>
            <w:r w:rsidRPr="00A07F29">
              <w:rPr>
                <w:rFonts w:ascii="Times New Roman" w:eastAsia="Calibri" w:hAnsi="Times New Roman" w:cs="Times New Roman"/>
                <w:sz w:val="20"/>
                <w:szCs w:val="20"/>
              </w:rPr>
              <w:t>71.</w:t>
            </w:r>
          </w:p>
        </w:tc>
        <w:tc>
          <w:tcPr>
            <w:tcW w:w="2410" w:type="dxa"/>
          </w:tcPr>
          <w:p w14:paraId="340402C8" w14:textId="77777777" w:rsidR="002B1603" w:rsidRPr="00A07F29" w:rsidRDefault="002B1603" w:rsidP="0075395E">
            <w:pPr>
              <w:spacing w:after="0"/>
              <w:rPr>
                <w:rFonts w:ascii="Times New Roman" w:eastAsia="Calibri" w:hAnsi="Times New Roman" w:cs="Times New Roman"/>
                <w:sz w:val="20"/>
                <w:szCs w:val="20"/>
              </w:rPr>
            </w:pPr>
            <w:r w:rsidRPr="00A07F29">
              <w:rPr>
                <w:rFonts w:ascii="Times New Roman" w:eastAsia="Calibri" w:hAnsi="Times New Roman" w:cs="Times New Roman"/>
                <w:sz w:val="20"/>
                <w:szCs w:val="20"/>
              </w:rPr>
              <w:t>Dzeltenā akmeņlauzīte</w:t>
            </w:r>
          </w:p>
        </w:tc>
        <w:tc>
          <w:tcPr>
            <w:tcW w:w="2840" w:type="dxa"/>
          </w:tcPr>
          <w:p w14:paraId="18EB878D" w14:textId="77777777" w:rsidR="002B1603" w:rsidRPr="00A07F29" w:rsidRDefault="002B1603" w:rsidP="0075395E">
            <w:pPr>
              <w:spacing w:after="0"/>
              <w:rPr>
                <w:rFonts w:ascii="Times New Roman" w:eastAsia="Calibri" w:hAnsi="Times New Roman" w:cs="Times New Roman"/>
                <w:i/>
                <w:sz w:val="20"/>
                <w:szCs w:val="20"/>
              </w:rPr>
            </w:pPr>
            <w:proofErr w:type="spellStart"/>
            <w:r w:rsidRPr="00A07F29">
              <w:rPr>
                <w:rFonts w:ascii="Times New Roman" w:eastAsia="Calibri" w:hAnsi="Times New Roman" w:cs="Times New Roman"/>
                <w:i/>
                <w:sz w:val="20"/>
                <w:szCs w:val="20"/>
              </w:rPr>
              <w:t>Saxifraga</w:t>
            </w:r>
            <w:proofErr w:type="spellEnd"/>
            <w:r w:rsidRPr="00A07F29">
              <w:rPr>
                <w:rFonts w:ascii="Times New Roman" w:eastAsia="Calibri" w:hAnsi="Times New Roman" w:cs="Times New Roman"/>
                <w:i/>
                <w:sz w:val="20"/>
                <w:szCs w:val="20"/>
              </w:rPr>
              <w:t xml:space="preserve"> </w:t>
            </w:r>
            <w:proofErr w:type="spellStart"/>
            <w:r w:rsidRPr="00A07F29">
              <w:rPr>
                <w:rFonts w:ascii="Times New Roman" w:eastAsia="Calibri" w:hAnsi="Times New Roman" w:cs="Times New Roman"/>
                <w:i/>
                <w:sz w:val="20"/>
                <w:szCs w:val="20"/>
              </w:rPr>
              <w:t>hirculus</w:t>
            </w:r>
            <w:proofErr w:type="spellEnd"/>
          </w:p>
        </w:tc>
        <w:tc>
          <w:tcPr>
            <w:tcW w:w="1134" w:type="dxa"/>
          </w:tcPr>
          <w:p w14:paraId="1EBBFE59"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ĪAS</w:t>
            </w:r>
            <w:r w:rsidRPr="00A07F29">
              <w:rPr>
                <w:rFonts w:ascii="Times New Roman" w:eastAsia="Calibri" w:hAnsi="Times New Roman" w:cs="Times New Roman"/>
                <w:sz w:val="20"/>
                <w:szCs w:val="20"/>
                <w:vertAlign w:val="superscript"/>
              </w:rPr>
              <w:t>1</w:t>
            </w:r>
          </w:p>
        </w:tc>
        <w:tc>
          <w:tcPr>
            <w:tcW w:w="709" w:type="dxa"/>
          </w:tcPr>
          <w:p w14:paraId="2D1952CE"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c>
          <w:tcPr>
            <w:tcW w:w="1128" w:type="dxa"/>
            <w:shd w:val="clear" w:color="auto" w:fill="FFC000"/>
          </w:tcPr>
          <w:p w14:paraId="3F8A84B3" w14:textId="77777777" w:rsidR="002B1603" w:rsidRPr="00A07F29" w:rsidRDefault="002B1603" w:rsidP="002B1603">
            <w:pPr>
              <w:spacing w:after="0"/>
              <w:jc w:val="center"/>
            </w:pPr>
            <w:r w:rsidRPr="00A07F29">
              <w:t>U1S</w:t>
            </w:r>
          </w:p>
        </w:tc>
        <w:tc>
          <w:tcPr>
            <w:tcW w:w="1122" w:type="dxa"/>
            <w:shd w:val="clear" w:color="auto" w:fill="FFC000"/>
            <w:vAlign w:val="center"/>
          </w:tcPr>
          <w:p w14:paraId="40119507" w14:textId="77777777" w:rsidR="002B1603" w:rsidRPr="00A07F29" w:rsidRDefault="002B1603" w:rsidP="002B1603">
            <w:pPr>
              <w:spacing w:after="0"/>
              <w:jc w:val="center"/>
            </w:pPr>
            <w:r w:rsidRPr="00A07F29">
              <w:t>U1S</w:t>
            </w:r>
          </w:p>
        </w:tc>
      </w:tr>
      <w:tr w:rsidR="0075395E" w:rsidRPr="00A07F29" w14:paraId="0E1A8106" w14:textId="77777777" w:rsidTr="00B649FD">
        <w:trPr>
          <w:jc w:val="center"/>
        </w:trPr>
        <w:tc>
          <w:tcPr>
            <w:tcW w:w="557" w:type="dxa"/>
          </w:tcPr>
          <w:p w14:paraId="739C6673" w14:textId="2F1327D4" w:rsidR="002B1603" w:rsidRPr="00A07F29" w:rsidRDefault="00170C65" w:rsidP="00E67E47">
            <w:pPr>
              <w:spacing w:after="0"/>
              <w:contextualSpacing/>
              <w:rPr>
                <w:rFonts w:ascii="Times New Roman" w:eastAsia="Calibri" w:hAnsi="Times New Roman" w:cs="Times New Roman"/>
                <w:sz w:val="20"/>
                <w:szCs w:val="20"/>
              </w:rPr>
            </w:pPr>
            <w:r w:rsidRPr="00A07F29">
              <w:rPr>
                <w:rFonts w:ascii="Times New Roman" w:eastAsia="Calibri" w:hAnsi="Times New Roman" w:cs="Times New Roman"/>
                <w:sz w:val="20"/>
                <w:szCs w:val="20"/>
              </w:rPr>
              <w:t>72.</w:t>
            </w:r>
          </w:p>
        </w:tc>
        <w:tc>
          <w:tcPr>
            <w:tcW w:w="2410" w:type="dxa"/>
          </w:tcPr>
          <w:p w14:paraId="52134FF9" w14:textId="77777777" w:rsidR="002B1603" w:rsidRPr="00A07F29" w:rsidRDefault="002B1603" w:rsidP="0075395E">
            <w:pPr>
              <w:spacing w:after="0"/>
              <w:rPr>
                <w:rFonts w:ascii="Times New Roman" w:eastAsia="Calibri" w:hAnsi="Times New Roman" w:cs="Times New Roman"/>
                <w:sz w:val="20"/>
                <w:szCs w:val="20"/>
              </w:rPr>
            </w:pPr>
            <w:proofErr w:type="spellStart"/>
            <w:r w:rsidRPr="00A07F29">
              <w:rPr>
                <w:rFonts w:ascii="Times New Roman" w:eastAsia="Calibri" w:hAnsi="Times New Roman" w:cs="Times New Roman"/>
                <w:sz w:val="20"/>
                <w:szCs w:val="20"/>
              </w:rPr>
              <w:t>Zaļziedu</w:t>
            </w:r>
            <w:proofErr w:type="spellEnd"/>
            <w:r w:rsidRPr="00A07F29">
              <w:rPr>
                <w:rFonts w:ascii="Times New Roman" w:eastAsia="Calibri" w:hAnsi="Times New Roman" w:cs="Times New Roman"/>
                <w:sz w:val="20"/>
                <w:szCs w:val="20"/>
              </w:rPr>
              <w:t xml:space="preserve"> plaukšķene</w:t>
            </w:r>
          </w:p>
        </w:tc>
        <w:tc>
          <w:tcPr>
            <w:tcW w:w="2840" w:type="dxa"/>
          </w:tcPr>
          <w:p w14:paraId="49EFE996" w14:textId="77777777" w:rsidR="002B1603" w:rsidRPr="00A07F29" w:rsidRDefault="002B1603" w:rsidP="0075395E">
            <w:pPr>
              <w:spacing w:after="0"/>
              <w:rPr>
                <w:rFonts w:ascii="Times New Roman" w:eastAsia="Calibri" w:hAnsi="Times New Roman" w:cs="Times New Roman"/>
                <w:i/>
                <w:sz w:val="20"/>
                <w:szCs w:val="20"/>
              </w:rPr>
            </w:pPr>
            <w:r w:rsidRPr="00A07F29">
              <w:rPr>
                <w:rFonts w:ascii="Times New Roman" w:eastAsia="Calibri" w:hAnsi="Times New Roman" w:cs="Times New Roman"/>
                <w:i/>
                <w:sz w:val="20"/>
                <w:szCs w:val="20"/>
              </w:rPr>
              <w:t xml:space="preserve">Silene </w:t>
            </w:r>
            <w:proofErr w:type="spellStart"/>
            <w:r w:rsidRPr="00A07F29">
              <w:rPr>
                <w:rFonts w:ascii="Times New Roman" w:eastAsia="Calibri" w:hAnsi="Times New Roman" w:cs="Times New Roman"/>
                <w:i/>
                <w:sz w:val="20"/>
                <w:szCs w:val="20"/>
              </w:rPr>
              <w:t>chlorantha</w:t>
            </w:r>
            <w:proofErr w:type="spellEnd"/>
          </w:p>
        </w:tc>
        <w:tc>
          <w:tcPr>
            <w:tcW w:w="1134" w:type="dxa"/>
          </w:tcPr>
          <w:p w14:paraId="13E0E913"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ĪAS</w:t>
            </w:r>
          </w:p>
        </w:tc>
        <w:tc>
          <w:tcPr>
            <w:tcW w:w="709" w:type="dxa"/>
          </w:tcPr>
          <w:p w14:paraId="365A3F9E"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c>
          <w:tcPr>
            <w:tcW w:w="1128" w:type="dxa"/>
          </w:tcPr>
          <w:p w14:paraId="3F474F57" w14:textId="77777777" w:rsidR="002B1603" w:rsidRPr="00A07F29" w:rsidRDefault="002B1603" w:rsidP="002B1603">
            <w:pPr>
              <w:spacing w:after="0"/>
              <w:ind w:firstLine="851"/>
              <w:jc w:val="center"/>
              <w:rPr>
                <w:rFonts w:ascii="Times New Roman" w:eastAsia="Calibri" w:hAnsi="Times New Roman" w:cs="Times New Roman"/>
                <w:b/>
                <w:bCs/>
                <w:color w:val="2E74B5"/>
                <w:sz w:val="20"/>
                <w:szCs w:val="20"/>
              </w:rPr>
            </w:pPr>
            <w:r w:rsidRPr="00A07F29">
              <w:rPr>
                <w:rFonts w:ascii="Times New Roman" w:eastAsia="Calibri" w:hAnsi="Times New Roman" w:cs="Calibri"/>
                <w:sz w:val="24"/>
              </w:rPr>
              <w:t>-</w:t>
            </w:r>
          </w:p>
        </w:tc>
        <w:tc>
          <w:tcPr>
            <w:tcW w:w="1122" w:type="dxa"/>
            <w:vAlign w:val="center"/>
          </w:tcPr>
          <w:p w14:paraId="2DBB8643" w14:textId="77777777" w:rsidR="002B1603" w:rsidRPr="00A07F29" w:rsidRDefault="002B1603" w:rsidP="002B1603">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r>
    </w:tbl>
    <w:p w14:paraId="0F8C4811" w14:textId="221BCD5F" w:rsidR="002B1603" w:rsidRPr="00A07F29" w:rsidRDefault="002B1603" w:rsidP="00E970EB">
      <w:pPr>
        <w:keepNext/>
        <w:spacing w:before="120" w:after="120"/>
        <w:jc w:val="both"/>
        <w:rPr>
          <w:rFonts w:ascii="Times New Roman" w:eastAsia="Calibri" w:hAnsi="Times New Roman" w:cs="Times New Roman"/>
          <w:b/>
          <w:sz w:val="20"/>
          <w:szCs w:val="20"/>
        </w:rPr>
      </w:pPr>
      <w:bookmarkStart w:id="70" w:name="_Hlk58933809"/>
      <w:r w:rsidRPr="00A07F29">
        <w:rPr>
          <w:rFonts w:ascii="Times New Roman" w:eastAsia="Calibri" w:hAnsi="Times New Roman" w:cs="Times New Roman"/>
          <w:b/>
          <w:sz w:val="20"/>
          <w:szCs w:val="20"/>
        </w:rPr>
        <w:lastRenderedPageBreak/>
        <w:t>Paskaidrojumi un apzīmējumi</w:t>
      </w:r>
    </w:p>
    <w:p w14:paraId="13B580C1" w14:textId="4B598C9A" w:rsidR="002B1603" w:rsidRPr="00202A3D" w:rsidRDefault="002B1603" w:rsidP="00387855">
      <w:pPr>
        <w:spacing w:after="120" w:line="240" w:lineRule="auto"/>
        <w:jc w:val="both"/>
        <w:rPr>
          <w:rFonts w:ascii="Times New Roman" w:eastAsia="Calibri" w:hAnsi="Times New Roman" w:cs="Times New Roman"/>
          <w:b/>
          <w:bCs/>
          <w:iCs/>
          <w:sz w:val="16"/>
          <w:szCs w:val="16"/>
        </w:rPr>
      </w:pPr>
      <w:r w:rsidRPr="00A07F29">
        <w:rPr>
          <w:rFonts w:ascii="Times New Roman" w:eastAsia="Calibri" w:hAnsi="Times New Roman" w:cs="Times New Roman"/>
          <w:b/>
          <w:sz w:val="16"/>
          <w:szCs w:val="16"/>
        </w:rPr>
        <w:t xml:space="preserve">*Aizsardzības stāvokļa novērtējums atbilstoši ziņojumā Eiropas Komisijai </w:t>
      </w:r>
      <w:r w:rsidR="00EA0979" w:rsidRPr="00EA0979">
        <w:rPr>
          <w:rFonts w:ascii="Times New Roman" w:eastAsia="Calibri" w:hAnsi="Times New Roman" w:cs="Times New Roman"/>
          <w:b/>
          <w:bCs/>
          <w:iCs/>
          <w:sz w:val="16"/>
          <w:szCs w:val="16"/>
        </w:rPr>
        <w:t>par ES nozīmes biotopu (dzīvotņu) un sugu aizsardzības stāvokli Latvijā, novērtējums par 20</w:t>
      </w:r>
      <w:r w:rsidR="00E96238">
        <w:rPr>
          <w:rFonts w:ascii="Times New Roman" w:eastAsia="Calibri" w:hAnsi="Times New Roman" w:cs="Times New Roman"/>
          <w:b/>
          <w:bCs/>
          <w:iCs/>
          <w:sz w:val="16"/>
          <w:szCs w:val="16"/>
        </w:rPr>
        <w:t>1</w:t>
      </w:r>
      <w:r w:rsidR="00EA0979" w:rsidRPr="00EA0979">
        <w:rPr>
          <w:rFonts w:ascii="Times New Roman" w:eastAsia="Calibri" w:hAnsi="Times New Roman" w:cs="Times New Roman"/>
          <w:b/>
          <w:bCs/>
          <w:iCs/>
          <w:sz w:val="16"/>
          <w:szCs w:val="16"/>
        </w:rPr>
        <w:t>3. – 2018. gada periodu (ES ziņojums, 2019) lietotajiem apzīmējumiem</w:t>
      </w:r>
      <w:r w:rsidRPr="00A07F29">
        <w:rPr>
          <w:rFonts w:ascii="Times New Roman" w:eastAsia="Calibri" w:hAnsi="Times New Roman" w:cs="Times New Roman"/>
          <w:b/>
          <w:sz w:val="16"/>
          <w:szCs w:val="16"/>
        </w:rPr>
        <w:t xml:space="preserve"> (tikai direktīvu pielikumos iekļautajām sugām):</w:t>
      </w:r>
    </w:p>
    <w:tbl>
      <w:tblPr>
        <w:tblStyle w:val="TableGrid"/>
        <w:tblW w:w="0" w:type="auto"/>
        <w:tblLook w:val="04A0" w:firstRow="1" w:lastRow="0" w:firstColumn="1" w:lastColumn="0" w:noHBand="0" w:noVBand="1"/>
      </w:tblPr>
      <w:tblGrid>
        <w:gridCol w:w="704"/>
        <w:gridCol w:w="8645"/>
      </w:tblGrid>
      <w:tr w:rsidR="002B1603" w:rsidRPr="00A07F29" w14:paraId="0534ADCB" w14:textId="77777777" w:rsidTr="00F42B9F">
        <w:tc>
          <w:tcPr>
            <w:tcW w:w="704" w:type="dxa"/>
            <w:tcBorders>
              <w:top w:val="single" w:sz="4" w:space="0" w:color="auto"/>
              <w:left w:val="single" w:sz="4" w:space="0" w:color="auto"/>
              <w:bottom w:val="single" w:sz="4" w:space="0" w:color="auto"/>
              <w:right w:val="single" w:sz="4" w:space="0" w:color="auto"/>
            </w:tcBorders>
            <w:shd w:val="clear" w:color="auto" w:fill="92D050"/>
          </w:tcPr>
          <w:p w14:paraId="35193804" w14:textId="77777777" w:rsidR="002B1603" w:rsidRPr="00A07F29" w:rsidRDefault="002B1603" w:rsidP="002B1603">
            <w:pPr>
              <w:spacing w:after="120"/>
              <w:jc w:val="both"/>
              <w:rPr>
                <w:rFonts w:ascii="Times New Roman" w:eastAsia="Calibri" w:hAnsi="Times New Roman" w:cs="Times New Roman"/>
                <w:sz w:val="16"/>
                <w:szCs w:val="16"/>
                <w:shd w:val="clear" w:color="auto" w:fill="FFC000"/>
              </w:rPr>
            </w:pPr>
          </w:p>
        </w:tc>
        <w:tc>
          <w:tcPr>
            <w:tcW w:w="8646" w:type="dxa"/>
            <w:tcBorders>
              <w:top w:val="nil"/>
              <w:left w:val="single" w:sz="4" w:space="0" w:color="auto"/>
              <w:bottom w:val="nil"/>
              <w:right w:val="nil"/>
            </w:tcBorders>
            <w:hideMark/>
          </w:tcPr>
          <w:p w14:paraId="2386CB5E" w14:textId="77777777" w:rsidR="002B1603" w:rsidRPr="00A07F29" w:rsidRDefault="002B1603" w:rsidP="002B1603">
            <w:pPr>
              <w:spacing w:after="120"/>
              <w:jc w:val="both"/>
              <w:rPr>
                <w:rFonts w:ascii="Times New Roman" w:eastAsia="Calibri" w:hAnsi="Times New Roman" w:cs="Times New Roman"/>
                <w:sz w:val="16"/>
                <w:szCs w:val="16"/>
                <w:shd w:val="clear" w:color="auto" w:fill="FFC000"/>
              </w:rPr>
            </w:pPr>
            <w:r w:rsidRPr="00A07F29">
              <w:rPr>
                <w:rFonts w:ascii="Times New Roman" w:eastAsia="Calibri" w:hAnsi="Times New Roman" w:cs="Times New Roman"/>
                <w:sz w:val="16"/>
                <w:szCs w:val="16"/>
                <w:shd w:val="clear" w:color="auto" w:fill="FFFFFF"/>
              </w:rPr>
              <w:t>FV</w:t>
            </w:r>
            <w:r w:rsidRPr="00A07F29">
              <w:rPr>
                <w:rFonts w:ascii="Times New Roman" w:eastAsia="Calibri" w:hAnsi="Times New Roman" w:cs="Times New Roman"/>
                <w:sz w:val="16"/>
                <w:szCs w:val="16"/>
              </w:rPr>
              <w:t>: Aizsardzības stāvoklis labvēlīgs (</w:t>
            </w:r>
            <w:proofErr w:type="spellStart"/>
            <w:r w:rsidRPr="00A07F29">
              <w:rPr>
                <w:rFonts w:ascii="Times New Roman" w:eastAsia="Calibri" w:hAnsi="Times New Roman" w:cs="Times New Roman"/>
                <w:sz w:val="16"/>
                <w:szCs w:val="16"/>
              </w:rPr>
              <w:t>Favourable</w:t>
            </w:r>
            <w:proofErr w:type="spellEnd"/>
            <w:r w:rsidRPr="00A07F29">
              <w:rPr>
                <w:rFonts w:ascii="Times New Roman" w:eastAsia="Calibri" w:hAnsi="Times New Roman" w:cs="Times New Roman"/>
                <w:sz w:val="16"/>
                <w:szCs w:val="16"/>
              </w:rPr>
              <w:t>);</w:t>
            </w:r>
          </w:p>
        </w:tc>
      </w:tr>
      <w:tr w:rsidR="002B1603" w:rsidRPr="00A07F29" w14:paraId="7AAC4B4B" w14:textId="77777777" w:rsidTr="00F42B9F">
        <w:tc>
          <w:tcPr>
            <w:tcW w:w="704" w:type="dxa"/>
            <w:tcBorders>
              <w:top w:val="single" w:sz="4" w:space="0" w:color="auto"/>
              <w:left w:val="single" w:sz="4" w:space="0" w:color="auto"/>
              <w:bottom w:val="single" w:sz="4" w:space="0" w:color="auto"/>
              <w:right w:val="single" w:sz="4" w:space="0" w:color="auto"/>
            </w:tcBorders>
            <w:shd w:val="clear" w:color="auto" w:fill="FFC000"/>
          </w:tcPr>
          <w:p w14:paraId="50FBF3A7" w14:textId="77777777" w:rsidR="002B1603" w:rsidRPr="00A07F29" w:rsidRDefault="002B1603" w:rsidP="002B1603">
            <w:pPr>
              <w:spacing w:after="120"/>
              <w:jc w:val="both"/>
              <w:rPr>
                <w:rFonts w:ascii="Times New Roman" w:eastAsia="Calibri" w:hAnsi="Times New Roman" w:cs="Times New Roman"/>
                <w:sz w:val="16"/>
                <w:szCs w:val="16"/>
                <w:shd w:val="clear" w:color="auto" w:fill="FFC000"/>
              </w:rPr>
            </w:pPr>
          </w:p>
        </w:tc>
        <w:tc>
          <w:tcPr>
            <w:tcW w:w="8646" w:type="dxa"/>
            <w:tcBorders>
              <w:top w:val="nil"/>
              <w:left w:val="single" w:sz="4" w:space="0" w:color="auto"/>
              <w:bottom w:val="nil"/>
              <w:right w:val="nil"/>
            </w:tcBorders>
            <w:hideMark/>
          </w:tcPr>
          <w:p w14:paraId="6CBF1C44" w14:textId="77777777" w:rsidR="002B1603" w:rsidRPr="00A07F29" w:rsidRDefault="002B1603" w:rsidP="002B1603">
            <w:pPr>
              <w:spacing w:after="120"/>
              <w:jc w:val="both"/>
              <w:rPr>
                <w:rFonts w:ascii="Times New Roman" w:eastAsia="Calibri" w:hAnsi="Times New Roman" w:cs="Times New Roman"/>
                <w:sz w:val="16"/>
                <w:szCs w:val="16"/>
              </w:rPr>
            </w:pPr>
            <w:r w:rsidRPr="00A07F29">
              <w:rPr>
                <w:rFonts w:ascii="Times New Roman" w:eastAsia="Calibri" w:hAnsi="Times New Roman" w:cs="Times New Roman"/>
                <w:sz w:val="16"/>
                <w:szCs w:val="16"/>
              </w:rPr>
              <w:t>U1: Aizsardzības stāvoklis nelabvēlīgs-nepietiekams (</w:t>
            </w:r>
            <w:proofErr w:type="spellStart"/>
            <w:r w:rsidRPr="00A07F29">
              <w:rPr>
                <w:rFonts w:ascii="Times New Roman" w:eastAsia="Calibri" w:hAnsi="Times New Roman" w:cs="Times New Roman"/>
                <w:sz w:val="16"/>
                <w:szCs w:val="16"/>
              </w:rPr>
              <w:t>Unfavourable-Inadequate</w:t>
            </w:r>
            <w:proofErr w:type="spellEnd"/>
            <w:r w:rsidRPr="00A07F29">
              <w:rPr>
                <w:rFonts w:ascii="Times New Roman" w:eastAsia="Calibri" w:hAnsi="Times New Roman" w:cs="Times New Roman"/>
                <w:sz w:val="16"/>
                <w:szCs w:val="16"/>
              </w:rPr>
              <w:t xml:space="preserve">); </w:t>
            </w:r>
          </w:p>
        </w:tc>
      </w:tr>
      <w:tr w:rsidR="002B1603" w:rsidRPr="00A07F29" w14:paraId="504D8C5A" w14:textId="77777777" w:rsidTr="00F42B9F">
        <w:tc>
          <w:tcPr>
            <w:tcW w:w="704" w:type="dxa"/>
            <w:tcBorders>
              <w:top w:val="single" w:sz="4" w:space="0" w:color="auto"/>
              <w:left w:val="single" w:sz="4" w:space="0" w:color="auto"/>
              <w:bottom w:val="single" w:sz="4" w:space="0" w:color="auto"/>
              <w:right w:val="single" w:sz="4" w:space="0" w:color="auto"/>
            </w:tcBorders>
            <w:shd w:val="clear" w:color="auto" w:fill="FF0000"/>
          </w:tcPr>
          <w:p w14:paraId="3ED18058" w14:textId="77777777" w:rsidR="002B1603" w:rsidRPr="00A07F29" w:rsidRDefault="002B1603" w:rsidP="002B1603">
            <w:pPr>
              <w:spacing w:after="120"/>
              <w:jc w:val="both"/>
              <w:rPr>
                <w:rFonts w:ascii="Times New Roman" w:eastAsia="Calibri" w:hAnsi="Times New Roman" w:cs="Times New Roman"/>
                <w:sz w:val="16"/>
                <w:szCs w:val="16"/>
                <w:shd w:val="clear" w:color="auto" w:fill="FFC000"/>
              </w:rPr>
            </w:pPr>
          </w:p>
        </w:tc>
        <w:tc>
          <w:tcPr>
            <w:tcW w:w="8646" w:type="dxa"/>
            <w:tcBorders>
              <w:top w:val="nil"/>
              <w:left w:val="single" w:sz="4" w:space="0" w:color="auto"/>
              <w:bottom w:val="nil"/>
              <w:right w:val="nil"/>
            </w:tcBorders>
            <w:hideMark/>
          </w:tcPr>
          <w:p w14:paraId="063592CE" w14:textId="77777777" w:rsidR="002B1603" w:rsidRPr="00A07F29" w:rsidRDefault="002B1603" w:rsidP="002B1603">
            <w:pPr>
              <w:spacing w:after="120"/>
              <w:jc w:val="both"/>
              <w:rPr>
                <w:rFonts w:ascii="Times New Roman" w:eastAsia="Calibri" w:hAnsi="Times New Roman" w:cs="Times New Roman"/>
                <w:sz w:val="16"/>
                <w:szCs w:val="16"/>
              </w:rPr>
            </w:pPr>
            <w:r w:rsidRPr="00A07F29">
              <w:rPr>
                <w:rFonts w:ascii="Times New Roman" w:eastAsia="Calibri" w:hAnsi="Times New Roman" w:cs="Times New Roman"/>
                <w:sz w:val="16"/>
                <w:szCs w:val="16"/>
              </w:rPr>
              <w:t>U2: Aizsardzības stāvoklis nelabvēlīgs-slikts (</w:t>
            </w:r>
            <w:proofErr w:type="spellStart"/>
            <w:r w:rsidRPr="00A07F29">
              <w:rPr>
                <w:rFonts w:ascii="Times New Roman" w:eastAsia="Calibri" w:hAnsi="Times New Roman" w:cs="Times New Roman"/>
                <w:sz w:val="16"/>
                <w:szCs w:val="16"/>
              </w:rPr>
              <w:t>Unfavourable</w:t>
            </w:r>
            <w:proofErr w:type="spellEnd"/>
            <w:r w:rsidRPr="00A07F29">
              <w:rPr>
                <w:rFonts w:ascii="Times New Roman" w:eastAsia="Calibri" w:hAnsi="Times New Roman" w:cs="Times New Roman"/>
                <w:sz w:val="16"/>
                <w:szCs w:val="16"/>
              </w:rPr>
              <w:t>-Bad);</w:t>
            </w:r>
          </w:p>
        </w:tc>
      </w:tr>
      <w:tr w:rsidR="002B1603" w:rsidRPr="00A07F29" w14:paraId="61410DF9" w14:textId="77777777" w:rsidTr="00F42B9F">
        <w:tc>
          <w:tcPr>
            <w:tcW w:w="70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4A0E3648" w14:textId="77777777" w:rsidR="002B1603" w:rsidRPr="00A07F29" w:rsidRDefault="002B1603" w:rsidP="002B1603">
            <w:pPr>
              <w:spacing w:after="120"/>
              <w:jc w:val="both"/>
              <w:rPr>
                <w:rFonts w:ascii="Times New Roman" w:eastAsia="Calibri" w:hAnsi="Times New Roman" w:cs="Times New Roman"/>
                <w:sz w:val="16"/>
                <w:szCs w:val="16"/>
                <w:shd w:val="clear" w:color="auto" w:fill="FFC000"/>
              </w:rPr>
            </w:pPr>
          </w:p>
        </w:tc>
        <w:tc>
          <w:tcPr>
            <w:tcW w:w="8646" w:type="dxa"/>
            <w:tcBorders>
              <w:top w:val="nil"/>
              <w:left w:val="single" w:sz="4" w:space="0" w:color="auto"/>
              <w:bottom w:val="nil"/>
              <w:right w:val="nil"/>
            </w:tcBorders>
            <w:hideMark/>
          </w:tcPr>
          <w:p w14:paraId="1E453CFA" w14:textId="77777777" w:rsidR="002B1603" w:rsidRPr="00A07F29" w:rsidRDefault="002B1603" w:rsidP="002B1603">
            <w:pPr>
              <w:spacing w:after="120"/>
              <w:jc w:val="both"/>
              <w:rPr>
                <w:rFonts w:ascii="Times New Roman" w:eastAsia="Calibri" w:hAnsi="Times New Roman" w:cs="Times New Roman"/>
                <w:sz w:val="16"/>
                <w:szCs w:val="16"/>
              </w:rPr>
            </w:pPr>
            <w:r w:rsidRPr="00A07F29">
              <w:rPr>
                <w:rFonts w:ascii="Times New Roman" w:eastAsia="Calibri" w:hAnsi="Times New Roman" w:cs="Times New Roman"/>
                <w:sz w:val="16"/>
                <w:szCs w:val="16"/>
              </w:rPr>
              <w:t>XX: Aizsardzības stāvoklis nezināms (</w:t>
            </w:r>
            <w:proofErr w:type="spellStart"/>
            <w:r w:rsidRPr="00A07F29">
              <w:rPr>
                <w:rFonts w:ascii="Times New Roman" w:eastAsia="Calibri" w:hAnsi="Times New Roman" w:cs="Times New Roman"/>
                <w:sz w:val="16"/>
                <w:szCs w:val="16"/>
              </w:rPr>
              <w:t>Unknown</w:t>
            </w:r>
            <w:proofErr w:type="spellEnd"/>
            <w:r w:rsidRPr="00A07F29">
              <w:rPr>
                <w:rFonts w:ascii="Times New Roman" w:eastAsia="Calibri" w:hAnsi="Times New Roman" w:cs="Times New Roman"/>
                <w:sz w:val="16"/>
                <w:szCs w:val="16"/>
              </w:rPr>
              <w:t>)</w:t>
            </w:r>
          </w:p>
        </w:tc>
      </w:tr>
    </w:tbl>
    <w:p w14:paraId="054AC000" w14:textId="50BF3005" w:rsidR="002B1603" w:rsidRPr="00A07F29" w:rsidRDefault="002B1603" w:rsidP="00E970EB">
      <w:pPr>
        <w:spacing w:before="120" w:after="120"/>
        <w:jc w:val="both"/>
        <w:rPr>
          <w:rFonts w:ascii="Times New Roman" w:eastAsia="Calibri" w:hAnsi="Times New Roman" w:cs="Times New Roman"/>
          <w:sz w:val="16"/>
          <w:szCs w:val="16"/>
        </w:rPr>
      </w:pPr>
      <w:r w:rsidRPr="00A07F29">
        <w:rPr>
          <w:rFonts w:ascii="Times New Roman" w:eastAsia="Calibri" w:hAnsi="Times New Roman" w:cs="Times New Roman"/>
          <w:b/>
          <w:sz w:val="16"/>
          <w:szCs w:val="16"/>
        </w:rPr>
        <w:t>Apzīmējumi aizsardzības stāvokļa tendencei:</w:t>
      </w:r>
      <w:r w:rsidRPr="00A07F29">
        <w:rPr>
          <w:rFonts w:ascii="Times New Roman" w:eastAsia="Calibri" w:hAnsi="Times New Roman" w:cs="Times New Roman"/>
          <w:sz w:val="16"/>
          <w:szCs w:val="16"/>
        </w:rPr>
        <w:t xml:space="preserve"> </w:t>
      </w:r>
      <w:r w:rsidR="002C1503" w:rsidRPr="00A07F29">
        <w:rPr>
          <w:rFonts w:ascii="Times New Roman" w:eastAsia="Calibri" w:hAnsi="Times New Roman" w:cs="Times New Roman"/>
          <w:sz w:val="16"/>
          <w:szCs w:val="16"/>
        </w:rPr>
        <w:t xml:space="preserve">I </w:t>
      </w:r>
      <w:r w:rsidR="002C1503" w:rsidRPr="00A07F29">
        <w:rPr>
          <w:rFonts w:ascii="Cambria Math" w:eastAsia="Calibri" w:hAnsi="Cambria Math" w:cs="Cambria Math"/>
          <w:sz w:val="16"/>
          <w:szCs w:val="16"/>
        </w:rPr>
        <w:t>‐</w:t>
      </w:r>
      <w:r w:rsidR="002C1503" w:rsidRPr="00A07F29">
        <w:rPr>
          <w:rFonts w:ascii="Times New Roman" w:eastAsia="Calibri" w:hAnsi="Times New Roman" w:cs="Times New Roman"/>
          <w:sz w:val="16"/>
          <w:szCs w:val="16"/>
        </w:rPr>
        <w:t xml:space="preserve"> uzlabojas</w:t>
      </w:r>
      <w:r w:rsidR="00D65BBA" w:rsidRPr="00A07F29">
        <w:rPr>
          <w:rFonts w:ascii="Times New Roman" w:eastAsia="Calibri" w:hAnsi="Times New Roman" w:cs="Times New Roman"/>
          <w:sz w:val="16"/>
          <w:szCs w:val="16"/>
        </w:rPr>
        <w:t xml:space="preserve"> </w:t>
      </w:r>
      <w:r w:rsidR="002C1503" w:rsidRPr="00A07F29">
        <w:rPr>
          <w:rFonts w:ascii="Times New Roman" w:eastAsia="Calibri" w:hAnsi="Times New Roman" w:cs="Times New Roman"/>
          <w:sz w:val="16"/>
          <w:szCs w:val="16"/>
        </w:rPr>
        <w:t xml:space="preserve">D </w:t>
      </w:r>
      <w:r w:rsidR="002C1503" w:rsidRPr="00A07F29">
        <w:rPr>
          <w:rFonts w:ascii="Cambria Math" w:eastAsia="Calibri" w:hAnsi="Cambria Math" w:cs="Cambria Math"/>
          <w:sz w:val="16"/>
          <w:szCs w:val="16"/>
        </w:rPr>
        <w:t>‐</w:t>
      </w:r>
      <w:r w:rsidR="002C1503" w:rsidRPr="00A07F29">
        <w:rPr>
          <w:rFonts w:ascii="Times New Roman" w:eastAsia="Calibri" w:hAnsi="Times New Roman" w:cs="Times New Roman"/>
          <w:sz w:val="16"/>
          <w:szCs w:val="16"/>
        </w:rPr>
        <w:t xml:space="preserve"> pasliktinās</w:t>
      </w:r>
      <w:r w:rsidR="00D65BBA" w:rsidRPr="00A07F29">
        <w:rPr>
          <w:rFonts w:ascii="Times New Roman" w:eastAsia="Calibri" w:hAnsi="Times New Roman" w:cs="Times New Roman"/>
          <w:sz w:val="16"/>
          <w:szCs w:val="16"/>
        </w:rPr>
        <w:t xml:space="preserve"> </w:t>
      </w:r>
      <w:r w:rsidR="002C1503" w:rsidRPr="00A07F29">
        <w:rPr>
          <w:rFonts w:ascii="Times New Roman" w:eastAsia="Calibri" w:hAnsi="Times New Roman" w:cs="Times New Roman"/>
          <w:sz w:val="16"/>
          <w:szCs w:val="16"/>
        </w:rPr>
        <w:t xml:space="preserve">S </w:t>
      </w:r>
      <w:r w:rsidR="002C1503" w:rsidRPr="00A07F29">
        <w:rPr>
          <w:rFonts w:ascii="Cambria Math" w:eastAsia="Calibri" w:hAnsi="Cambria Math" w:cs="Cambria Math"/>
          <w:sz w:val="16"/>
          <w:szCs w:val="16"/>
        </w:rPr>
        <w:t>‐</w:t>
      </w:r>
      <w:r w:rsidR="002C1503" w:rsidRPr="00A07F29">
        <w:rPr>
          <w:rFonts w:ascii="Times New Roman" w:eastAsia="Calibri" w:hAnsi="Times New Roman" w:cs="Times New Roman"/>
          <w:sz w:val="16"/>
          <w:szCs w:val="16"/>
        </w:rPr>
        <w:t xml:space="preserve"> stabils</w:t>
      </w:r>
      <w:r w:rsidR="00D65BBA" w:rsidRPr="00A07F29">
        <w:rPr>
          <w:rFonts w:ascii="Times New Roman" w:eastAsia="Calibri" w:hAnsi="Times New Roman" w:cs="Times New Roman"/>
          <w:sz w:val="16"/>
          <w:szCs w:val="16"/>
        </w:rPr>
        <w:t xml:space="preserve"> </w:t>
      </w:r>
      <w:r w:rsidR="002C1503" w:rsidRPr="00A07F29">
        <w:rPr>
          <w:rFonts w:ascii="Times New Roman" w:eastAsia="Calibri" w:hAnsi="Times New Roman" w:cs="Times New Roman"/>
          <w:sz w:val="16"/>
          <w:szCs w:val="16"/>
        </w:rPr>
        <w:t xml:space="preserve">x </w:t>
      </w:r>
      <w:r w:rsidR="00911397">
        <w:rPr>
          <w:rFonts w:ascii="Times New Roman" w:eastAsia="Calibri" w:hAnsi="Times New Roman" w:cs="Times New Roman"/>
          <w:sz w:val="16"/>
          <w:szCs w:val="16"/>
        </w:rPr>
        <w:t xml:space="preserve">- </w:t>
      </w:r>
      <w:r w:rsidR="002C1503" w:rsidRPr="00A07F29">
        <w:rPr>
          <w:rFonts w:ascii="Times New Roman" w:eastAsia="Calibri" w:hAnsi="Times New Roman" w:cs="Times New Roman"/>
          <w:sz w:val="16"/>
          <w:szCs w:val="16"/>
        </w:rPr>
        <w:t>nezināms</w:t>
      </w:r>
    </w:p>
    <w:p w14:paraId="2D425FCD" w14:textId="601A600A" w:rsidR="002B1603" w:rsidRPr="00A07F29" w:rsidRDefault="002B1603" w:rsidP="00387855">
      <w:pPr>
        <w:spacing w:after="120" w:line="240" w:lineRule="auto"/>
        <w:ind w:right="74"/>
        <w:jc w:val="both"/>
        <w:rPr>
          <w:rFonts w:ascii="Times New Roman" w:eastAsia="Calibri" w:hAnsi="Times New Roman" w:cs="Times New Roman"/>
          <w:sz w:val="16"/>
          <w:szCs w:val="16"/>
        </w:rPr>
      </w:pPr>
      <w:r w:rsidRPr="00A07F29">
        <w:rPr>
          <w:rFonts w:ascii="Times New Roman" w:eastAsia="Calibri" w:hAnsi="Times New Roman" w:cs="Times New Roman"/>
          <w:b/>
          <w:spacing w:val="-3"/>
          <w:sz w:val="16"/>
          <w:szCs w:val="16"/>
        </w:rPr>
        <w:t>B</w:t>
      </w:r>
      <w:r w:rsidRPr="00A07F29">
        <w:rPr>
          <w:rFonts w:ascii="Times New Roman" w:eastAsia="Calibri" w:hAnsi="Times New Roman" w:cs="Times New Roman"/>
          <w:b/>
          <w:sz w:val="16"/>
          <w:szCs w:val="16"/>
        </w:rPr>
        <w:t>D</w:t>
      </w:r>
      <w:r w:rsidRPr="00A07F29">
        <w:rPr>
          <w:rFonts w:ascii="Times New Roman" w:eastAsia="Calibri" w:hAnsi="Times New Roman" w:cs="Times New Roman"/>
          <w:b/>
          <w:spacing w:val="7"/>
          <w:sz w:val="16"/>
          <w:szCs w:val="16"/>
        </w:rPr>
        <w:t xml:space="preserve"> </w:t>
      </w:r>
      <w:r w:rsidR="00DB5EB1">
        <w:rPr>
          <w:rFonts w:ascii="Times New Roman" w:eastAsia="Calibri" w:hAnsi="Times New Roman" w:cs="Times New Roman"/>
          <w:sz w:val="16"/>
          <w:szCs w:val="16"/>
        </w:rPr>
        <w:t>–</w:t>
      </w:r>
      <w:r w:rsidRPr="00A07F29">
        <w:rPr>
          <w:rFonts w:ascii="Times New Roman" w:eastAsia="Calibri" w:hAnsi="Times New Roman" w:cs="Times New Roman"/>
          <w:spacing w:val="5"/>
          <w:sz w:val="16"/>
          <w:szCs w:val="16"/>
        </w:rPr>
        <w:t xml:space="preserve"> </w:t>
      </w:r>
      <w:r w:rsidR="00DB5EB1">
        <w:rPr>
          <w:rFonts w:ascii="Times New Roman" w:eastAsia="Calibri" w:hAnsi="Times New Roman" w:cs="Times New Roman"/>
          <w:spacing w:val="5"/>
          <w:sz w:val="16"/>
          <w:szCs w:val="16"/>
        </w:rPr>
        <w:t>Biotopu direktīva</w:t>
      </w:r>
      <w:r w:rsidRPr="00A07F29">
        <w:rPr>
          <w:rFonts w:ascii="Times New Roman" w:eastAsia="Calibri" w:hAnsi="Times New Roman" w:cs="Times New Roman"/>
          <w:spacing w:val="2"/>
          <w:sz w:val="16"/>
          <w:szCs w:val="16"/>
        </w:rPr>
        <w:t xml:space="preserve"> </w:t>
      </w:r>
      <w:r w:rsidRPr="00A07F29">
        <w:rPr>
          <w:rFonts w:ascii="Times New Roman" w:eastAsia="Calibri" w:hAnsi="Times New Roman" w:cs="Times New Roman"/>
          <w:b/>
          <w:sz w:val="16"/>
          <w:szCs w:val="16"/>
        </w:rPr>
        <w:t>II</w:t>
      </w:r>
      <w:r w:rsidR="00186997">
        <w:rPr>
          <w:rFonts w:ascii="Times New Roman" w:eastAsia="Calibri" w:hAnsi="Times New Roman" w:cs="Times New Roman"/>
          <w:b/>
          <w:spacing w:val="5"/>
          <w:sz w:val="16"/>
          <w:szCs w:val="16"/>
        </w:rPr>
        <w:t xml:space="preserve"> </w:t>
      </w:r>
      <w:r w:rsidRPr="00A07F29">
        <w:rPr>
          <w:rFonts w:ascii="Times New Roman" w:eastAsia="Calibri" w:hAnsi="Times New Roman" w:cs="Times New Roman"/>
          <w:sz w:val="16"/>
          <w:szCs w:val="16"/>
        </w:rPr>
        <w:t>p</w:t>
      </w:r>
      <w:r w:rsidRPr="00A07F29">
        <w:rPr>
          <w:rFonts w:ascii="Times New Roman" w:eastAsia="Calibri" w:hAnsi="Times New Roman" w:cs="Times New Roman"/>
          <w:spacing w:val="1"/>
          <w:sz w:val="16"/>
          <w:szCs w:val="16"/>
        </w:rPr>
        <w:t>i</w:t>
      </w:r>
      <w:r w:rsidRPr="00A07F29">
        <w:rPr>
          <w:rFonts w:ascii="Times New Roman" w:eastAsia="Calibri" w:hAnsi="Times New Roman" w:cs="Times New Roman"/>
          <w:spacing w:val="-1"/>
          <w:sz w:val="16"/>
          <w:szCs w:val="16"/>
        </w:rPr>
        <w:t>e</w:t>
      </w:r>
      <w:r w:rsidRPr="00A07F29">
        <w:rPr>
          <w:rFonts w:ascii="Times New Roman" w:eastAsia="Calibri" w:hAnsi="Times New Roman" w:cs="Times New Roman"/>
          <w:spacing w:val="1"/>
          <w:sz w:val="16"/>
          <w:szCs w:val="16"/>
        </w:rPr>
        <w:t>l</w:t>
      </w:r>
      <w:r w:rsidRPr="00A07F29">
        <w:rPr>
          <w:rFonts w:ascii="Times New Roman" w:eastAsia="Calibri" w:hAnsi="Times New Roman" w:cs="Times New Roman"/>
          <w:spacing w:val="3"/>
          <w:sz w:val="16"/>
          <w:szCs w:val="16"/>
        </w:rPr>
        <w:t>i</w:t>
      </w:r>
      <w:r w:rsidRPr="00A07F29">
        <w:rPr>
          <w:rFonts w:ascii="Times New Roman" w:eastAsia="Calibri" w:hAnsi="Times New Roman" w:cs="Times New Roman"/>
          <w:spacing w:val="-2"/>
          <w:sz w:val="16"/>
          <w:szCs w:val="16"/>
        </w:rPr>
        <w:t>k</w:t>
      </w:r>
      <w:r w:rsidRPr="00A07F29">
        <w:rPr>
          <w:rFonts w:ascii="Times New Roman" w:eastAsia="Calibri" w:hAnsi="Times New Roman" w:cs="Times New Roman"/>
          <w:spacing w:val="2"/>
          <w:sz w:val="16"/>
          <w:szCs w:val="16"/>
        </w:rPr>
        <w:t>u</w:t>
      </w:r>
      <w:r w:rsidRPr="00A07F29">
        <w:rPr>
          <w:rFonts w:ascii="Times New Roman" w:eastAsia="Calibri" w:hAnsi="Times New Roman" w:cs="Times New Roman"/>
          <w:spacing w:val="-2"/>
          <w:sz w:val="16"/>
          <w:szCs w:val="16"/>
        </w:rPr>
        <w:t>m</w:t>
      </w:r>
      <w:r w:rsidRPr="00A07F29">
        <w:rPr>
          <w:rFonts w:ascii="Times New Roman" w:eastAsia="Calibri" w:hAnsi="Times New Roman" w:cs="Times New Roman"/>
          <w:sz w:val="16"/>
          <w:szCs w:val="16"/>
        </w:rPr>
        <w:t>s.</w:t>
      </w:r>
      <w:r w:rsidRPr="00A07F29">
        <w:rPr>
          <w:rFonts w:ascii="Times New Roman" w:eastAsia="Calibri" w:hAnsi="Times New Roman" w:cs="Times New Roman"/>
          <w:spacing w:val="1"/>
          <w:sz w:val="16"/>
          <w:szCs w:val="16"/>
        </w:rPr>
        <w:t xml:space="preserve"> </w:t>
      </w:r>
      <w:r w:rsidRPr="00A07F29">
        <w:rPr>
          <w:rFonts w:ascii="Times New Roman" w:eastAsia="Calibri" w:hAnsi="Times New Roman" w:cs="Times New Roman"/>
          <w:sz w:val="16"/>
          <w:szCs w:val="16"/>
        </w:rPr>
        <w:t>D</w:t>
      </w:r>
      <w:r w:rsidRPr="00A07F29">
        <w:rPr>
          <w:rFonts w:ascii="Times New Roman" w:eastAsia="Calibri" w:hAnsi="Times New Roman" w:cs="Times New Roman"/>
          <w:spacing w:val="-1"/>
          <w:sz w:val="16"/>
          <w:szCs w:val="16"/>
        </w:rPr>
        <w:t>z</w:t>
      </w:r>
      <w:r w:rsidRPr="00A07F29">
        <w:rPr>
          <w:rFonts w:ascii="Times New Roman" w:eastAsia="Calibri" w:hAnsi="Times New Roman" w:cs="Times New Roman"/>
          <w:spacing w:val="1"/>
          <w:sz w:val="16"/>
          <w:szCs w:val="16"/>
        </w:rPr>
        <w:t>ī</w:t>
      </w:r>
      <w:r w:rsidRPr="00A07F29">
        <w:rPr>
          <w:rFonts w:ascii="Times New Roman" w:eastAsia="Calibri" w:hAnsi="Times New Roman" w:cs="Times New Roman"/>
          <w:sz w:val="16"/>
          <w:szCs w:val="16"/>
        </w:rPr>
        <w:t>vn</w:t>
      </w:r>
      <w:r w:rsidRPr="00A07F29">
        <w:rPr>
          <w:rFonts w:ascii="Times New Roman" w:eastAsia="Calibri" w:hAnsi="Times New Roman" w:cs="Times New Roman"/>
          <w:spacing w:val="1"/>
          <w:sz w:val="16"/>
          <w:szCs w:val="16"/>
        </w:rPr>
        <w:t>i</w:t>
      </w:r>
      <w:r w:rsidRPr="00A07F29">
        <w:rPr>
          <w:rFonts w:ascii="Times New Roman" w:eastAsia="Calibri" w:hAnsi="Times New Roman" w:cs="Times New Roman"/>
          <w:spacing w:val="2"/>
          <w:sz w:val="16"/>
          <w:szCs w:val="16"/>
        </w:rPr>
        <w:t>e</w:t>
      </w:r>
      <w:r w:rsidRPr="00A07F29">
        <w:rPr>
          <w:rFonts w:ascii="Times New Roman" w:eastAsia="Calibri" w:hAnsi="Times New Roman" w:cs="Times New Roman"/>
          <w:spacing w:val="-2"/>
          <w:sz w:val="16"/>
          <w:szCs w:val="16"/>
        </w:rPr>
        <w:t>k</w:t>
      </w:r>
      <w:r w:rsidRPr="00A07F29">
        <w:rPr>
          <w:rFonts w:ascii="Times New Roman" w:eastAsia="Calibri" w:hAnsi="Times New Roman" w:cs="Times New Roman"/>
          <w:sz w:val="16"/>
          <w:szCs w:val="16"/>
        </w:rPr>
        <w:t>u un</w:t>
      </w:r>
      <w:r w:rsidRPr="00A07F29">
        <w:rPr>
          <w:rFonts w:ascii="Times New Roman" w:eastAsia="Calibri" w:hAnsi="Times New Roman" w:cs="Times New Roman"/>
          <w:spacing w:val="6"/>
          <w:sz w:val="16"/>
          <w:szCs w:val="16"/>
        </w:rPr>
        <w:t xml:space="preserve"> </w:t>
      </w:r>
      <w:r w:rsidRPr="00A07F29">
        <w:rPr>
          <w:rFonts w:ascii="Times New Roman" w:eastAsia="Calibri" w:hAnsi="Times New Roman" w:cs="Times New Roman"/>
          <w:spacing w:val="-1"/>
          <w:sz w:val="16"/>
          <w:szCs w:val="16"/>
        </w:rPr>
        <w:t>a</w:t>
      </w:r>
      <w:r w:rsidRPr="00A07F29">
        <w:rPr>
          <w:rFonts w:ascii="Times New Roman" w:eastAsia="Calibri" w:hAnsi="Times New Roman" w:cs="Times New Roman"/>
          <w:spacing w:val="2"/>
          <w:sz w:val="16"/>
          <w:szCs w:val="16"/>
        </w:rPr>
        <w:t>u</w:t>
      </w:r>
      <w:r w:rsidRPr="00A07F29">
        <w:rPr>
          <w:rFonts w:ascii="Times New Roman" w:eastAsia="Calibri" w:hAnsi="Times New Roman" w:cs="Times New Roman"/>
          <w:sz w:val="16"/>
          <w:szCs w:val="16"/>
        </w:rPr>
        <w:t>gu</w:t>
      </w:r>
      <w:r w:rsidRPr="00A07F29">
        <w:rPr>
          <w:rFonts w:ascii="Times New Roman" w:eastAsia="Calibri" w:hAnsi="Times New Roman" w:cs="Times New Roman"/>
          <w:spacing w:val="3"/>
          <w:sz w:val="16"/>
          <w:szCs w:val="16"/>
        </w:rPr>
        <w:t xml:space="preserve"> </w:t>
      </w:r>
      <w:r w:rsidRPr="00A07F29">
        <w:rPr>
          <w:rFonts w:ascii="Times New Roman" w:eastAsia="Calibri" w:hAnsi="Times New Roman" w:cs="Times New Roman"/>
          <w:sz w:val="16"/>
          <w:szCs w:val="16"/>
        </w:rPr>
        <w:t>s</w:t>
      </w:r>
      <w:r w:rsidRPr="00A07F29">
        <w:rPr>
          <w:rFonts w:ascii="Times New Roman" w:eastAsia="Calibri" w:hAnsi="Times New Roman" w:cs="Times New Roman"/>
          <w:spacing w:val="2"/>
          <w:sz w:val="16"/>
          <w:szCs w:val="16"/>
        </w:rPr>
        <w:t>u</w:t>
      </w:r>
      <w:r w:rsidRPr="00A07F29">
        <w:rPr>
          <w:rFonts w:ascii="Times New Roman" w:eastAsia="Calibri" w:hAnsi="Times New Roman" w:cs="Times New Roman"/>
          <w:spacing w:val="-5"/>
          <w:sz w:val="16"/>
          <w:szCs w:val="16"/>
        </w:rPr>
        <w:t>g</w:t>
      </w:r>
      <w:r w:rsidRPr="00A07F29">
        <w:rPr>
          <w:rFonts w:ascii="Times New Roman" w:eastAsia="Calibri" w:hAnsi="Times New Roman" w:cs="Times New Roman"/>
          <w:spacing w:val="-1"/>
          <w:sz w:val="16"/>
          <w:szCs w:val="16"/>
        </w:rPr>
        <w:t>a</w:t>
      </w:r>
      <w:r w:rsidRPr="00A07F29">
        <w:rPr>
          <w:rFonts w:ascii="Times New Roman" w:eastAsia="Calibri" w:hAnsi="Times New Roman" w:cs="Times New Roman"/>
          <w:sz w:val="16"/>
          <w:szCs w:val="16"/>
        </w:rPr>
        <w:t>s,</w:t>
      </w:r>
      <w:r w:rsidRPr="00A07F29">
        <w:rPr>
          <w:rFonts w:ascii="Times New Roman" w:eastAsia="Calibri" w:hAnsi="Times New Roman" w:cs="Times New Roman"/>
          <w:spacing w:val="4"/>
          <w:sz w:val="16"/>
          <w:szCs w:val="16"/>
        </w:rPr>
        <w:t xml:space="preserve"> </w:t>
      </w:r>
      <w:r w:rsidRPr="00A07F29">
        <w:rPr>
          <w:rFonts w:ascii="Times New Roman" w:eastAsia="Calibri" w:hAnsi="Times New Roman" w:cs="Times New Roman"/>
          <w:sz w:val="16"/>
          <w:szCs w:val="16"/>
        </w:rPr>
        <w:t>k</w:t>
      </w:r>
      <w:r w:rsidRPr="00A07F29">
        <w:rPr>
          <w:rFonts w:ascii="Times New Roman" w:eastAsia="Calibri" w:hAnsi="Times New Roman" w:cs="Times New Roman"/>
          <w:spacing w:val="-1"/>
          <w:sz w:val="16"/>
          <w:szCs w:val="16"/>
        </w:rPr>
        <w:t>a</w:t>
      </w:r>
      <w:r w:rsidRPr="00A07F29">
        <w:rPr>
          <w:rFonts w:ascii="Times New Roman" w:eastAsia="Calibri" w:hAnsi="Times New Roman" w:cs="Times New Roman"/>
          <w:sz w:val="16"/>
          <w:szCs w:val="16"/>
        </w:rPr>
        <w:t>s</w:t>
      </w:r>
      <w:r w:rsidRPr="00A07F29">
        <w:rPr>
          <w:rFonts w:ascii="Times New Roman" w:eastAsia="Calibri" w:hAnsi="Times New Roman" w:cs="Times New Roman"/>
          <w:spacing w:val="4"/>
          <w:sz w:val="16"/>
          <w:szCs w:val="16"/>
        </w:rPr>
        <w:t xml:space="preserve"> </w:t>
      </w:r>
      <w:r w:rsidRPr="00A07F29">
        <w:rPr>
          <w:rFonts w:ascii="Times New Roman" w:eastAsia="Calibri" w:hAnsi="Times New Roman" w:cs="Times New Roman"/>
          <w:spacing w:val="1"/>
          <w:sz w:val="16"/>
          <w:szCs w:val="16"/>
        </w:rPr>
        <w:t>i</w:t>
      </w:r>
      <w:r w:rsidRPr="00A07F29">
        <w:rPr>
          <w:rFonts w:ascii="Times New Roman" w:eastAsia="Calibri" w:hAnsi="Times New Roman" w:cs="Times New Roman"/>
          <w:sz w:val="16"/>
          <w:szCs w:val="16"/>
        </w:rPr>
        <w:t>r</w:t>
      </w:r>
      <w:r w:rsidRPr="00A07F29">
        <w:rPr>
          <w:rFonts w:ascii="Times New Roman" w:eastAsia="Calibri" w:hAnsi="Times New Roman" w:cs="Times New Roman"/>
          <w:spacing w:val="8"/>
          <w:sz w:val="16"/>
          <w:szCs w:val="16"/>
        </w:rPr>
        <w:t xml:space="preserve"> </w:t>
      </w:r>
      <w:r w:rsidRPr="00A07F29">
        <w:rPr>
          <w:rFonts w:ascii="Times New Roman" w:eastAsia="Calibri" w:hAnsi="Times New Roman" w:cs="Times New Roman"/>
          <w:spacing w:val="-3"/>
          <w:sz w:val="16"/>
          <w:szCs w:val="16"/>
        </w:rPr>
        <w:t>K</w:t>
      </w:r>
      <w:r w:rsidRPr="00A07F29">
        <w:rPr>
          <w:rFonts w:ascii="Times New Roman" w:eastAsia="Calibri" w:hAnsi="Times New Roman" w:cs="Times New Roman"/>
          <w:sz w:val="16"/>
          <w:szCs w:val="16"/>
        </w:rPr>
        <w:t>op</w:t>
      </w:r>
      <w:r w:rsidRPr="00A07F29">
        <w:rPr>
          <w:rFonts w:ascii="Times New Roman" w:eastAsia="Calibri" w:hAnsi="Times New Roman" w:cs="Times New Roman"/>
          <w:spacing w:val="1"/>
          <w:sz w:val="16"/>
          <w:szCs w:val="16"/>
        </w:rPr>
        <w:t>i</w:t>
      </w:r>
      <w:r w:rsidRPr="00A07F29">
        <w:rPr>
          <w:rFonts w:ascii="Times New Roman" w:eastAsia="Calibri" w:hAnsi="Times New Roman" w:cs="Times New Roman"/>
          <w:spacing w:val="-1"/>
          <w:sz w:val="16"/>
          <w:szCs w:val="16"/>
        </w:rPr>
        <w:t>e</w:t>
      </w:r>
      <w:r w:rsidRPr="00A07F29">
        <w:rPr>
          <w:rFonts w:ascii="Times New Roman" w:eastAsia="Calibri" w:hAnsi="Times New Roman" w:cs="Times New Roman"/>
          <w:spacing w:val="2"/>
          <w:sz w:val="16"/>
          <w:szCs w:val="16"/>
        </w:rPr>
        <w:t>n</w:t>
      </w:r>
      <w:r w:rsidRPr="00A07F29">
        <w:rPr>
          <w:rFonts w:ascii="Times New Roman" w:eastAsia="Calibri" w:hAnsi="Times New Roman" w:cs="Times New Roman"/>
          <w:spacing w:val="-1"/>
          <w:sz w:val="16"/>
          <w:szCs w:val="16"/>
        </w:rPr>
        <w:t>a</w:t>
      </w:r>
      <w:r w:rsidRPr="00A07F29">
        <w:rPr>
          <w:rFonts w:ascii="Times New Roman" w:eastAsia="Calibri" w:hAnsi="Times New Roman" w:cs="Times New Roman"/>
          <w:sz w:val="16"/>
          <w:szCs w:val="16"/>
        </w:rPr>
        <w:t xml:space="preserve">s </w:t>
      </w:r>
      <w:r w:rsidRPr="00A07F29">
        <w:rPr>
          <w:rFonts w:ascii="Times New Roman" w:eastAsia="Calibri" w:hAnsi="Times New Roman" w:cs="Times New Roman"/>
          <w:spacing w:val="1"/>
          <w:sz w:val="16"/>
          <w:szCs w:val="16"/>
        </w:rPr>
        <w:t>i</w:t>
      </w:r>
      <w:r w:rsidRPr="00A07F29">
        <w:rPr>
          <w:rFonts w:ascii="Times New Roman" w:eastAsia="Calibri" w:hAnsi="Times New Roman" w:cs="Times New Roman"/>
          <w:sz w:val="16"/>
          <w:szCs w:val="16"/>
        </w:rPr>
        <w:t>n</w:t>
      </w:r>
      <w:r w:rsidRPr="00A07F29">
        <w:rPr>
          <w:rFonts w:ascii="Times New Roman" w:eastAsia="Calibri" w:hAnsi="Times New Roman" w:cs="Times New Roman"/>
          <w:spacing w:val="1"/>
          <w:sz w:val="16"/>
          <w:szCs w:val="16"/>
        </w:rPr>
        <w:t>t</w:t>
      </w:r>
      <w:r w:rsidRPr="00A07F29">
        <w:rPr>
          <w:rFonts w:ascii="Times New Roman" w:eastAsia="Calibri" w:hAnsi="Times New Roman" w:cs="Times New Roman"/>
          <w:spacing w:val="-1"/>
          <w:sz w:val="16"/>
          <w:szCs w:val="16"/>
        </w:rPr>
        <w:t>ere</w:t>
      </w:r>
      <w:r w:rsidRPr="00A07F29">
        <w:rPr>
          <w:rFonts w:ascii="Times New Roman" w:eastAsia="Calibri" w:hAnsi="Times New Roman" w:cs="Times New Roman"/>
          <w:sz w:val="16"/>
          <w:szCs w:val="16"/>
        </w:rPr>
        <w:t>šu</w:t>
      </w:r>
      <w:r w:rsidRPr="00A07F29">
        <w:rPr>
          <w:rFonts w:ascii="Times New Roman" w:eastAsia="Calibri" w:hAnsi="Times New Roman" w:cs="Times New Roman"/>
          <w:spacing w:val="2"/>
          <w:sz w:val="16"/>
          <w:szCs w:val="16"/>
        </w:rPr>
        <w:t xml:space="preserve"> </w:t>
      </w:r>
      <w:r w:rsidRPr="00A07F29">
        <w:rPr>
          <w:rFonts w:ascii="Times New Roman" w:eastAsia="Calibri" w:hAnsi="Times New Roman" w:cs="Times New Roman"/>
          <w:sz w:val="16"/>
          <w:szCs w:val="16"/>
        </w:rPr>
        <w:t>s</w:t>
      </w:r>
      <w:r w:rsidRPr="00A07F29">
        <w:rPr>
          <w:rFonts w:ascii="Times New Roman" w:eastAsia="Calibri" w:hAnsi="Times New Roman" w:cs="Times New Roman"/>
          <w:spacing w:val="-1"/>
          <w:sz w:val="16"/>
          <w:szCs w:val="16"/>
        </w:rPr>
        <w:t>fēr</w:t>
      </w:r>
      <w:r w:rsidRPr="00A07F29">
        <w:rPr>
          <w:rFonts w:ascii="Times New Roman" w:eastAsia="Calibri" w:hAnsi="Times New Roman" w:cs="Times New Roman"/>
          <w:sz w:val="16"/>
          <w:szCs w:val="16"/>
        </w:rPr>
        <w:t>ā</w:t>
      </w:r>
      <w:r w:rsidRPr="00A07F29">
        <w:rPr>
          <w:rFonts w:ascii="Times New Roman" w:eastAsia="Calibri" w:hAnsi="Times New Roman" w:cs="Times New Roman"/>
          <w:spacing w:val="3"/>
          <w:sz w:val="16"/>
          <w:szCs w:val="16"/>
        </w:rPr>
        <w:t xml:space="preserve"> </w:t>
      </w:r>
      <w:r w:rsidRPr="00A07F29">
        <w:rPr>
          <w:rFonts w:ascii="Times New Roman" w:eastAsia="Calibri" w:hAnsi="Times New Roman" w:cs="Times New Roman"/>
          <w:sz w:val="16"/>
          <w:szCs w:val="16"/>
        </w:rPr>
        <w:t>un</w:t>
      </w:r>
      <w:r w:rsidRPr="00A07F29">
        <w:rPr>
          <w:rFonts w:ascii="Times New Roman" w:eastAsia="Calibri" w:hAnsi="Times New Roman" w:cs="Times New Roman"/>
          <w:spacing w:val="6"/>
          <w:sz w:val="16"/>
          <w:szCs w:val="16"/>
        </w:rPr>
        <w:t xml:space="preserve"> </w:t>
      </w:r>
      <w:r w:rsidRPr="00A07F29">
        <w:rPr>
          <w:rFonts w:ascii="Times New Roman" w:eastAsia="Calibri" w:hAnsi="Times New Roman" w:cs="Times New Roman"/>
          <w:spacing w:val="-2"/>
          <w:sz w:val="16"/>
          <w:szCs w:val="16"/>
        </w:rPr>
        <w:t>k</w:t>
      </w:r>
      <w:r w:rsidRPr="00A07F29">
        <w:rPr>
          <w:rFonts w:ascii="Times New Roman" w:eastAsia="Calibri" w:hAnsi="Times New Roman" w:cs="Times New Roman"/>
          <w:sz w:val="16"/>
          <w:szCs w:val="16"/>
        </w:rPr>
        <w:t>u</w:t>
      </w:r>
      <w:r w:rsidRPr="00A07F29">
        <w:rPr>
          <w:rFonts w:ascii="Times New Roman" w:eastAsia="Calibri" w:hAnsi="Times New Roman" w:cs="Times New Roman"/>
          <w:spacing w:val="-1"/>
          <w:sz w:val="16"/>
          <w:szCs w:val="16"/>
        </w:rPr>
        <w:t>r</w:t>
      </w:r>
      <w:r w:rsidRPr="00A07F29">
        <w:rPr>
          <w:rFonts w:ascii="Times New Roman" w:eastAsia="Calibri" w:hAnsi="Times New Roman" w:cs="Times New Roman"/>
          <w:sz w:val="16"/>
          <w:szCs w:val="16"/>
        </w:rPr>
        <w:t>u</w:t>
      </w:r>
      <w:r w:rsidRPr="00A07F29">
        <w:rPr>
          <w:rFonts w:ascii="Times New Roman" w:eastAsia="Calibri" w:hAnsi="Times New Roman" w:cs="Times New Roman"/>
          <w:spacing w:val="4"/>
          <w:sz w:val="16"/>
          <w:szCs w:val="16"/>
        </w:rPr>
        <w:t xml:space="preserve"> </w:t>
      </w:r>
      <w:r w:rsidRPr="00A07F29">
        <w:rPr>
          <w:rFonts w:ascii="Times New Roman" w:eastAsia="Calibri" w:hAnsi="Times New Roman" w:cs="Times New Roman"/>
          <w:spacing w:val="-1"/>
          <w:sz w:val="16"/>
          <w:szCs w:val="16"/>
        </w:rPr>
        <w:t>a</w:t>
      </w:r>
      <w:r w:rsidRPr="00A07F29">
        <w:rPr>
          <w:rFonts w:ascii="Times New Roman" w:eastAsia="Calibri" w:hAnsi="Times New Roman" w:cs="Times New Roman"/>
          <w:spacing w:val="1"/>
          <w:sz w:val="16"/>
          <w:szCs w:val="16"/>
        </w:rPr>
        <w:t>i</w:t>
      </w:r>
      <w:r w:rsidRPr="00A07F29">
        <w:rPr>
          <w:rFonts w:ascii="Times New Roman" w:eastAsia="Calibri" w:hAnsi="Times New Roman" w:cs="Times New Roman"/>
          <w:spacing w:val="-1"/>
          <w:sz w:val="16"/>
          <w:szCs w:val="16"/>
        </w:rPr>
        <w:t>z</w:t>
      </w:r>
      <w:r w:rsidRPr="00A07F29">
        <w:rPr>
          <w:rFonts w:ascii="Times New Roman" w:eastAsia="Calibri" w:hAnsi="Times New Roman" w:cs="Times New Roman"/>
          <w:sz w:val="16"/>
          <w:szCs w:val="16"/>
        </w:rPr>
        <w:t>s</w:t>
      </w:r>
      <w:r w:rsidRPr="00A07F29">
        <w:rPr>
          <w:rFonts w:ascii="Times New Roman" w:eastAsia="Calibri" w:hAnsi="Times New Roman" w:cs="Times New Roman"/>
          <w:spacing w:val="-1"/>
          <w:sz w:val="16"/>
          <w:szCs w:val="16"/>
        </w:rPr>
        <w:t>ar</w:t>
      </w:r>
      <w:r w:rsidRPr="00A07F29">
        <w:rPr>
          <w:rFonts w:ascii="Times New Roman" w:eastAsia="Calibri" w:hAnsi="Times New Roman" w:cs="Times New Roman"/>
          <w:spacing w:val="2"/>
          <w:sz w:val="16"/>
          <w:szCs w:val="16"/>
        </w:rPr>
        <w:t>d</w:t>
      </w:r>
      <w:r w:rsidRPr="00A07F29">
        <w:rPr>
          <w:rFonts w:ascii="Times New Roman" w:eastAsia="Calibri" w:hAnsi="Times New Roman" w:cs="Times New Roman"/>
          <w:spacing w:val="-1"/>
          <w:sz w:val="16"/>
          <w:szCs w:val="16"/>
        </w:rPr>
        <w:t>z</w:t>
      </w:r>
      <w:r w:rsidRPr="00A07F29">
        <w:rPr>
          <w:rFonts w:ascii="Times New Roman" w:eastAsia="Calibri" w:hAnsi="Times New Roman" w:cs="Times New Roman"/>
          <w:spacing w:val="1"/>
          <w:sz w:val="16"/>
          <w:szCs w:val="16"/>
        </w:rPr>
        <w:t>ī</w:t>
      </w:r>
      <w:r w:rsidRPr="00A07F29">
        <w:rPr>
          <w:rFonts w:ascii="Times New Roman" w:eastAsia="Calibri" w:hAnsi="Times New Roman" w:cs="Times New Roman"/>
          <w:sz w:val="16"/>
          <w:szCs w:val="16"/>
        </w:rPr>
        <w:t>b</w:t>
      </w:r>
      <w:r w:rsidRPr="00A07F29">
        <w:rPr>
          <w:rFonts w:ascii="Times New Roman" w:eastAsia="Calibri" w:hAnsi="Times New Roman" w:cs="Times New Roman"/>
          <w:spacing w:val="-1"/>
          <w:sz w:val="16"/>
          <w:szCs w:val="16"/>
        </w:rPr>
        <w:t>a</w:t>
      </w:r>
      <w:r w:rsidRPr="00A07F29">
        <w:rPr>
          <w:rFonts w:ascii="Times New Roman" w:eastAsia="Calibri" w:hAnsi="Times New Roman" w:cs="Times New Roman"/>
          <w:sz w:val="16"/>
          <w:szCs w:val="16"/>
        </w:rPr>
        <w:t>i</w:t>
      </w:r>
      <w:r w:rsidRPr="00A07F29">
        <w:rPr>
          <w:rFonts w:ascii="Times New Roman" w:eastAsia="Calibri" w:hAnsi="Times New Roman" w:cs="Times New Roman"/>
          <w:spacing w:val="2"/>
          <w:sz w:val="16"/>
          <w:szCs w:val="16"/>
        </w:rPr>
        <w:t xml:space="preserve"> </w:t>
      </w:r>
      <w:r w:rsidRPr="00A07F29">
        <w:rPr>
          <w:rFonts w:ascii="Times New Roman" w:eastAsia="Calibri" w:hAnsi="Times New Roman" w:cs="Times New Roman"/>
          <w:sz w:val="16"/>
          <w:szCs w:val="16"/>
        </w:rPr>
        <w:t>n</w:t>
      </w:r>
      <w:r w:rsidRPr="00A07F29">
        <w:rPr>
          <w:rFonts w:ascii="Times New Roman" w:eastAsia="Calibri" w:hAnsi="Times New Roman" w:cs="Times New Roman"/>
          <w:spacing w:val="-1"/>
          <w:sz w:val="16"/>
          <w:szCs w:val="16"/>
        </w:rPr>
        <w:t>e</w:t>
      </w:r>
      <w:r w:rsidRPr="00A07F29">
        <w:rPr>
          <w:rFonts w:ascii="Times New Roman" w:eastAsia="Calibri" w:hAnsi="Times New Roman" w:cs="Times New Roman"/>
          <w:sz w:val="16"/>
          <w:szCs w:val="16"/>
        </w:rPr>
        <w:t>p</w:t>
      </w:r>
      <w:r w:rsidRPr="00A07F29">
        <w:rPr>
          <w:rFonts w:ascii="Times New Roman" w:eastAsia="Calibri" w:hAnsi="Times New Roman" w:cs="Times New Roman"/>
          <w:spacing w:val="1"/>
          <w:sz w:val="16"/>
          <w:szCs w:val="16"/>
        </w:rPr>
        <w:t>i</w:t>
      </w:r>
      <w:r w:rsidRPr="00A07F29">
        <w:rPr>
          <w:rFonts w:ascii="Times New Roman" w:eastAsia="Calibri" w:hAnsi="Times New Roman" w:cs="Times New Roman"/>
          <w:spacing w:val="-1"/>
          <w:sz w:val="16"/>
          <w:szCs w:val="16"/>
        </w:rPr>
        <w:t>ec</w:t>
      </w:r>
      <w:r w:rsidRPr="00A07F29">
        <w:rPr>
          <w:rFonts w:ascii="Times New Roman" w:eastAsia="Calibri" w:hAnsi="Times New Roman" w:cs="Times New Roman"/>
          <w:spacing w:val="1"/>
          <w:sz w:val="16"/>
          <w:szCs w:val="16"/>
        </w:rPr>
        <w:t>i</w:t>
      </w:r>
      <w:r w:rsidRPr="00A07F29">
        <w:rPr>
          <w:rFonts w:ascii="Times New Roman" w:eastAsia="Calibri" w:hAnsi="Times New Roman" w:cs="Times New Roman"/>
          <w:spacing w:val="-1"/>
          <w:sz w:val="16"/>
          <w:szCs w:val="16"/>
        </w:rPr>
        <w:t>e</w:t>
      </w:r>
      <w:r w:rsidRPr="00A07F29">
        <w:rPr>
          <w:rFonts w:ascii="Times New Roman" w:eastAsia="Calibri" w:hAnsi="Times New Roman" w:cs="Times New Roman"/>
          <w:spacing w:val="3"/>
          <w:sz w:val="16"/>
          <w:szCs w:val="16"/>
        </w:rPr>
        <w:t>š</w:t>
      </w:r>
      <w:r w:rsidRPr="00A07F29">
        <w:rPr>
          <w:rFonts w:ascii="Times New Roman" w:eastAsia="Calibri" w:hAnsi="Times New Roman" w:cs="Times New Roman"/>
          <w:spacing w:val="2"/>
          <w:sz w:val="16"/>
          <w:szCs w:val="16"/>
        </w:rPr>
        <w:t>a</w:t>
      </w:r>
      <w:r w:rsidRPr="00A07F29">
        <w:rPr>
          <w:rFonts w:ascii="Times New Roman" w:eastAsia="Calibri" w:hAnsi="Times New Roman" w:cs="Times New Roman"/>
          <w:spacing w:val="-2"/>
          <w:sz w:val="16"/>
          <w:szCs w:val="16"/>
        </w:rPr>
        <w:t>m</w:t>
      </w:r>
      <w:r w:rsidRPr="00A07F29">
        <w:rPr>
          <w:rFonts w:ascii="Times New Roman" w:eastAsia="Calibri" w:hAnsi="Times New Roman" w:cs="Times New Roman"/>
          <w:sz w:val="16"/>
          <w:szCs w:val="16"/>
        </w:rPr>
        <w:t>a</w:t>
      </w:r>
      <w:r w:rsidRPr="00A07F29">
        <w:rPr>
          <w:rFonts w:ascii="Times New Roman" w:eastAsia="Calibri" w:hAnsi="Times New Roman" w:cs="Times New Roman"/>
          <w:spacing w:val="2"/>
          <w:sz w:val="16"/>
          <w:szCs w:val="16"/>
        </w:rPr>
        <w:t xml:space="preserve"> </w:t>
      </w:r>
      <w:r w:rsidRPr="00A07F29">
        <w:rPr>
          <w:rFonts w:ascii="Times New Roman" w:eastAsia="Calibri" w:hAnsi="Times New Roman" w:cs="Times New Roman"/>
          <w:spacing w:val="1"/>
          <w:sz w:val="16"/>
          <w:szCs w:val="16"/>
        </w:rPr>
        <w:t>ī</w:t>
      </w:r>
      <w:r w:rsidRPr="00A07F29">
        <w:rPr>
          <w:rFonts w:ascii="Times New Roman" w:eastAsia="Calibri" w:hAnsi="Times New Roman" w:cs="Times New Roman"/>
          <w:sz w:val="16"/>
          <w:szCs w:val="16"/>
        </w:rPr>
        <w:t>p</w:t>
      </w:r>
      <w:r w:rsidRPr="00A07F29">
        <w:rPr>
          <w:rFonts w:ascii="Times New Roman" w:eastAsia="Calibri" w:hAnsi="Times New Roman" w:cs="Times New Roman"/>
          <w:spacing w:val="-1"/>
          <w:sz w:val="16"/>
          <w:szCs w:val="16"/>
        </w:rPr>
        <w:t>a</w:t>
      </w:r>
      <w:r w:rsidRPr="00A07F29">
        <w:rPr>
          <w:rFonts w:ascii="Times New Roman" w:eastAsia="Calibri" w:hAnsi="Times New Roman" w:cs="Times New Roman"/>
          <w:sz w:val="16"/>
          <w:szCs w:val="16"/>
        </w:rPr>
        <w:t>ši</w:t>
      </w:r>
      <w:r w:rsidRPr="00A07F29">
        <w:rPr>
          <w:rFonts w:ascii="Times New Roman" w:eastAsia="Calibri" w:hAnsi="Times New Roman" w:cs="Times New Roman"/>
          <w:spacing w:val="4"/>
          <w:sz w:val="16"/>
          <w:szCs w:val="16"/>
        </w:rPr>
        <w:t xml:space="preserve"> </w:t>
      </w:r>
      <w:r w:rsidRPr="00A07F29">
        <w:rPr>
          <w:rFonts w:ascii="Times New Roman" w:eastAsia="Calibri" w:hAnsi="Times New Roman" w:cs="Times New Roman"/>
          <w:spacing w:val="-1"/>
          <w:sz w:val="16"/>
          <w:szCs w:val="16"/>
        </w:rPr>
        <w:t>a</w:t>
      </w:r>
      <w:r w:rsidRPr="00A07F29">
        <w:rPr>
          <w:rFonts w:ascii="Times New Roman" w:eastAsia="Calibri" w:hAnsi="Times New Roman" w:cs="Times New Roman"/>
          <w:spacing w:val="1"/>
          <w:sz w:val="16"/>
          <w:szCs w:val="16"/>
        </w:rPr>
        <w:t>i</w:t>
      </w:r>
      <w:r w:rsidRPr="00A07F29">
        <w:rPr>
          <w:rFonts w:ascii="Times New Roman" w:eastAsia="Calibri" w:hAnsi="Times New Roman" w:cs="Times New Roman"/>
          <w:spacing w:val="-1"/>
          <w:sz w:val="16"/>
          <w:szCs w:val="16"/>
        </w:rPr>
        <w:t>z</w:t>
      </w:r>
      <w:r w:rsidRPr="00A07F29">
        <w:rPr>
          <w:rFonts w:ascii="Times New Roman" w:eastAsia="Calibri" w:hAnsi="Times New Roman" w:cs="Times New Roman"/>
          <w:sz w:val="16"/>
          <w:szCs w:val="16"/>
        </w:rPr>
        <w:t>s</w:t>
      </w:r>
      <w:r w:rsidRPr="00A07F29">
        <w:rPr>
          <w:rFonts w:ascii="Times New Roman" w:eastAsia="Calibri" w:hAnsi="Times New Roman" w:cs="Times New Roman"/>
          <w:spacing w:val="-1"/>
          <w:sz w:val="16"/>
          <w:szCs w:val="16"/>
        </w:rPr>
        <w:t>a</w:t>
      </w:r>
      <w:r w:rsidRPr="00A07F29">
        <w:rPr>
          <w:rFonts w:ascii="Times New Roman" w:eastAsia="Calibri" w:hAnsi="Times New Roman" w:cs="Times New Roman"/>
          <w:spacing w:val="2"/>
          <w:sz w:val="16"/>
          <w:szCs w:val="16"/>
        </w:rPr>
        <w:t>r</w:t>
      </w:r>
      <w:r w:rsidRPr="00A07F29">
        <w:rPr>
          <w:rFonts w:ascii="Times New Roman" w:eastAsia="Calibri" w:hAnsi="Times New Roman" w:cs="Times New Roman"/>
          <w:spacing w:val="-2"/>
          <w:sz w:val="16"/>
          <w:szCs w:val="16"/>
        </w:rPr>
        <w:t>g</w:t>
      </w:r>
      <w:r w:rsidRPr="00A07F29">
        <w:rPr>
          <w:rFonts w:ascii="Times New Roman" w:eastAsia="Calibri" w:hAnsi="Times New Roman" w:cs="Times New Roman"/>
          <w:spacing w:val="2"/>
          <w:sz w:val="16"/>
          <w:szCs w:val="16"/>
        </w:rPr>
        <w:t>ā</w:t>
      </w:r>
      <w:r w:rsidRPr="00A07F29">
        <w:rPr>
          <w:rFonts w:ascii="Times New Roman" w:eastAsia="Calibri" w:hAnsi="Times New Roman" w:cs="Times New Roman"/>
          <w:spacing w:val="1"/>
          <w:sz w:val="16"/>
          <w:szCs w:val="16"/>
        </w:rPr>
        <w:t>j</w:t>
      </w:r>
      <w:r w:rsidRPr="00A07F29">
        <w:rPr>
          <w:rFonts w:ascii="Times New Roman" w:eastAsia="Calibri" w:hAnsi="Times New Roman" w:cs="Times New Roman"/>
          <w:spacing w:val="2"/>
          <w:sz w:val="16"/>
          <w:szCs w:val="16"/>
        </w:rPr>
        <w:t>a</w:t>
      </w:r>
      <w:r w:rsidRPr="00A07F29">
        <w:rPr>
          <w:rFonts w:ascii="Times New Roman" w:eastAsia="Calibri" w:hAnsi="Times New Roman" w:cs="Times New Roman"/>
          <w:spacing w:val="-2"/>
          <w:sz w:val="16"/>
          <w:szCs w:val="16"/>
        </w:rPr>
        <w:t>m</w:t>
      </w:r>
      <w:r w:rsidRPr="00A07F29">
        <w:rPr>
          <w:rFonts w:ascii="Times New Roman" w:eastAsia="Calibri" w:hAnsi="Times New Roman" w:cs="Times New Roman"/>
          <w:sz w:val="16"/>
          <w:szCs w:val="16"/>
        </w:rPr>
        <w:t>o</w:t>
      </w:r>
      <w:r w:rsidRPr="00A07F29">
        <w:rPr>
          <w:rFonts w:ascii="Times New Roman" w:eastAsia="Calibri" w:hAnsi="Times New Roman" w:cs="Times New Roman"/>
          <w:spacing w:val="2"/>
          <w:sz w:val="16"/>
          <w:szCs w:val="16"/>
        </w:rPr>
        <w:t xml:space="preserve"> </w:t>
      </w:r>
      <w:r w:rsidRPr="00A07F29">
        <w:rPr>
          <w:rFonts w:ascii="Times New Roman" w:eastAsia="Calibri" w:hAnsi="Times New Roman" w:cs="Times New Roman"/>
          <w:spacing w:val="1"/>
          <w:sz w:val="16"/>
          <w:szCs w:val="16"/>
        </w:rPr>
        <w:t>t</w:t>
      </w:r>
      <w:r w:rsidRPr="00A07F29">
        <w:rPr>
          <w:rFonts w:ascii="Times New Roman" w:eastAsia="Calibri" w:hAnsi="Times New Roman" w:cs="Times New Roman"/>
          <w:spacing w:val="-1"/>
          <w:sz w:val="16"/>
          <w:szCs w:val="16"/>
        </w:rPr>
        <w:t>er</w:t>
      </w:r>
      <w:r w:rsidRPr="00A07F29">
        <w:rPr>
          <w:rFonts w:ascii="Times New Roman" w:eastAsia="Calibri" w:hAnsi="Times New Roman" w:cs="Times New Roman"/>
          <w:spacing w:val="1"/>
          <w:sz w:val="16"/>
          <w:szCs w:val="16"/>
        </w:rPr>
        <w:t>it</w:t>
      </w:r>
      <w:r w:rsidRPr="00A07F29">
        <w:rPr>
          <w:rFonts w:ascii="Times New Roman" w:eastAsia="Calibri" w:hAnsi="Times New Roman" w:cs="Times New Roman"/>
          <w:sz w:val="16"/>
          <w:szCs w:val="16"/>
        </w:rPr>
        <w:t>o</w:t>
      </w:r>
      <w:r w:rsidRPr="00A07F29">
        <w:rPr>
          <w:rFonts w:ascii="Times New Roman" w:eastAsia="Calibri" w:hAnsi="Times New Roman" w:cs="Times New Roman"/>
          <w:spacing w:val="-1"/>
          <w:sz w:val="16"/>
          <w:szCs w:val="16"/>
        </w:rPr>
        <w:t>r</w:t>
      </w:r>
      <w:r w:rsidRPr="00A07F29">
        <w:rPr>
          <w:rFonts w:ascii="Times New Roman" w:eastAsia="Calibri" w:hAnsi="Times New Roman" w:cs="Times New Roman"/>
          <w:spacing w:val="1"/>
          <w:sz w:val="16"/>
          <w:szCs w:val="16"/>
        </w:rPr>
        <w:t>ij</w:t>
      </w:r>
      <w:r w:rsidRPr="00A07F29">
        <w:rPr>
          <w:rFonts w:ascii="Times New Roman" w:eastAsia="Calibri" w:hAnsi="Times New Roman" w:cs="Times New Roman"/>
          <w:sz w:val="16"/>
          <w:szCs w:val="16"/>
        </w:rPr>
        <w:t>u</w:t>
      </w:r>
      <w:r w:rsidRPr="00A07F29">
        <w:rPr>
          <w:rFonts w:ascii="Times New Roman" w:eastAsia="Calibri" w:hAnsi="Times New Roman" w:cs="Times New Roman"/>
          <w:spacing w:val="2"/>
          <w:sz w:val="16"/>
          <w:szCs w:val="16"/>
        </w:rPr>
        <w:t xml:space="preserve"> </w:t>
      </w:r>
      <w:r w:rsidRPr="00A07F29">
        <w:rPr>
          <w:rFonts w:ascii="Times New Roman" w:eastAsia="Calibri" w:hAnsi="Times New Roman" w:cs="Times New Roman"/>
          <w:sz w:val="16"/>
          <w:szCs w:val="16"/>
        </w:rPr>
        <w:t>nod</w:t>
      </w:r>
      <w:r w:rsidRPr="00A07F29">
        <w:rPr>
          <w:rFonts w:ascii="Times New Roman" w:eastAsia="Calibri" w:hAnsi="Times New Roman" w:cs="Times New Roman"/>
          <w:spacing w:val="-1"/>
          <w:sz w:val="16"/>
          <w:szCs w:val="16"/>
        </w:rPr>
        <w:t>a</w:t>
      </w:r>
      <w:r w:rsidRPr="00A07F29">
        <w:rPr>
          <w:rFonts w:ascii="Times New Roman" w:eastAsia="Calibri" w:hAnsi="Times New Roman" w:cs="Times New Roman"/>
          <w:spacing w:val="1"/>
          <w:sz w:val="16"/>
          <w:szCs w:val="16"/>
        </w:rPr>
        <w:t>lī</w:t>
      </w:r>
      <w:r w:rsidRPr="00A07F29">
        <w:rPr>
          <w:rFonts w:ascii="Times New Roman" w:eastAsia="Calibri" w:hAnsi="Times New Roman" w:cs="Times New Roman"/>
          <w:sz w:val="16"/>
          <w:szCs w:val="16"/>
        </w:rPr>
        <w:t>š</w:t>
      </w:r>
      <w:r w:rsidRPr="00A07F29">
        <w:rPr>
          <w:rFonts w:ascii="Times New Roman" w:eastAsia="Calibri" w:hAnsi="Times New Roman" w:cs="Times New Roman"/>
          <w:spacing w:val="-1"/>
          <w:sz w:val="16"/>
          <w:szCs w:val="16"/>
        </w:rPr>
        <w:t>a</w:t>
      </w:r>
      <w:r w:rsidRPr="00A07F29">
        <w:rPr>
          <w:rFonts w:ascii="Times New Roman" w:eastAsia="Calibri" w:hAnsi="Times New Roman" w:cs="Times New Roman"/>
          <w:sz w:val="16"/>
          <w:szCs w:val="16"/>
        </w:rPr>
        <w:t>n</w:t>
      </w:r>
      <w:r w:rsidRPr="00A07F29">
        <w:rPr>
          <w:rFonts w:ascii="Times New Roman" w:eastAsia="Calibri" w:hAnsi="Times New Roman" w:cs="Times New Roman"/>
          <w:spacing w:val="-1"/>
          <w:sz w:val="16"/>
          <w:szCs w:val="16"/>
        </w:rPr>
        <w:t>a</w:t>
      </w:r>
      <w:r w:rsidRPr="00A07F29">
        <w:rPr>
          <w:rFonts w:ascii="Times New Roman" w:eastAsia="Calibri" w:hAnsi="Times New Roman" w:cs="Times New Roman"/>
          <w:sz w:val="16"/>
          <w:szCs w:val="16"/>
        </w:rPr>
        <w:t xml:space="preserve">. </w:t>
      </w:r>
      <w:r w:rsidRPr="00A07F29">
        <w:rPr>
          <w:rFonts w:ascii="Times New Roman" w:eastAsia="Calibri" w:hAnsi="Times New Roman" w:cs="Times New Roman"/>
          <w:b/>
          <w:sz w:val="16"/>
          <w:szCs w:val="16"/>
        </w:rPr>
        <w:t>*</w:t>
      </w:r>
      <w:r w:rsidRPr="00A07F29">
        <w:rPr>
          <w:rFonts w:ascii="Times New Roman" w:eastAsia="Calibri" w:hAnsi="Times New Roman" w:cs="Times New Roman"/>
          <w:b/>
          <w:spacing w:val="2"/>
          <w:sz w:val="16"/>
          <w:szCs w:val="16"/>
        </w:rPr>
        <w:t xml:space="preserve"> </w:t>
      </w:r>
      <w:r w:rsidRPr="00A07F29">
        <w:rPr>
          <w:rFonts w:ascii="Times New Roman" w:eastAsia="Calibri" w:hAnsi="Times New Roman" w:cs="Times New Roman"/>
          <w:sz w:val="16"/>
          <w:szCs w:val="16"/>
        </w:rPr>
        <w:t>- p</w:t>
      </w:r>
      <w:r w:rsidRPr="00A07F29">
        <w:rPr>
          <w:rFonts w:ascii="Times New Roman" w:eastAsia="Calibri" w:hAnsi="Times New Roman" w:cs="Times New Roman"/>
          <w:spacing w:val="-1"/>
          <w:sz w:val="16"/>
          <w:szCs w:val="16"/>
        </w:rPr>
        <w:t>r</w:t>
      </w:r>
      <w:r w:rsidRPr="00A07F29">
        <w:rPr>
          <w:rFonts w:ascii="Times New Roman" w:eastAsia="Calibri" w:hAnsi="Times New Roman" w:cs="Times New Roman"/>
          <w:spacing w:val="1"/>
          <w:sz w:val="16"/>
          <w:szCs w:val="16"/>
        </w:rPr>
        <w:t>i</w:t>
      </w:r>
      <w:r w:rsidRPr="00A07F29">
        <w:rPr>
          <w:rFonts w:ascii="Times New Roman" w:eastAsia="Calibri" w:hAnsi="Times New Roman" w:cs="Times New Roman"/>
          <w:sz w:val="16"/>
          <w:szCs w:val="16"/>
        </w:rPr>
        <w:t>o</w:t>
      </w:r>
      <w:r w:rsidRPr="00A07F29">
        <w:rPr>
          <w:rFonts w:ascii="Times New Roman" w:eastAsia="Calibri" w:hAnsi="Times New Roman" w:cs="Times New Roman"/>
          <w:spacing w:val="-1"/>
          <w:sz w:val="16"/>
          <w:szCs w:val="16"/>
        </w:rPr>
        <w:t>r</w:t>
      </w:r>
      <w:r w:rsidRPr="00A07F29">
        <w:rPr>
          <w:rFonts w:ascii="Times New Roman" w:eastAsia="Calibri" w:hAnsi="Times New Roman" w:cs="Times New Roman"/>
          <w:spacing w:val="1"/>
          <w:sz w:val="16"/>
          <w:szCs w:val="16"/>
        </w:rPr>
        <w:t>it</w:t>
      </w:r>
      <w:r w:rsidRPr="00A07F29">
        <w:rPr>
          <w:rFonts w:ascii="Times New Roman" w:eastAsia="Calibri" w:hAnsi="Times New Roman" w:cs="Times New Roman"/>
          <w:spacing w:val="-1"/>
          <w:sz w:val="16"/>
          <w:szCs w:val="16"/>
        </w:rPr>
        <w:t>ār</w:t>
      </w:r>
      <w:r w:rsidRPr="00A07F29">
        <w:rPr>
          <w:rFonts w:ascii="Times New Roman" w:eastAsia="Calibri" w:hAnsi="Times New Roman" w:cs="Times New Roman"/>
          <w:sz w:val="16"/>
          <w:szCs w:val="16"/>
        </w:rPr>
        <w:t>a</w:t>
      </w:r>
      <w:r w:rsidRPr="00A07F29">
        <w:rPr>
          <w:rFonts w:ascii="Times New Roman" w:eastAsia="Calibri" w:hAnsi="Times New Roman" w:cs="Times New Roman"/>
          <w:spacing w:val="-3"/>
          <w:sz w:val="16"/>
          <w:szCs w:val="16"/>
        </w:rPr>
        <w:t xml:space="preserve"> </w:t>
      </w:r>
      <w:r w:rsidRPr="00A07F29">
        <w:rPr>
          <w:rFonts w:ascii="Times New Roman" w:eastAsia="Calibri" w:hAnsi="Times New Roman" w:cs="Times New Roman"/>
          <w:sz w:val="16"/>
          <w:szCs w:val="16"/>
        </w:rPr>
        <w:t>s</w:t>
      </w:r>
      <w:r w:rsidRPr="00A07F29">
        <w:rPr>
          <w:rFonts w:ascii="Times New Roman" w:eastAsia="Calibri" w:hAnsi="Times New Roman" w:cs="Times New Roman"/>
          <w:spacing w:val="2"/>
          <w:sz w:val="16"/>
          <w:szCs w:val="16"/>
        </w:rPr>
        <w:t>u</w:t>
      </w:r>
      <w:r w:rsidRPr="00A07F29">
        <w:rPr>
          <w:rFonts w:ascii="Times New Roman" w:eastAsia="Calibri" w:hAnsi="Times New Roman" w:cs="Times New Roman"/>
          <w:spacing w:val="-2"/>
          <w:sz w:val="16"/>
          <w:szCs w:val="16"/>
        </w:rPr>
        <w:t>g</w:t>
      </w:r>
      <w:r w:rsidRPr="00A07F29">
        <w:rPr>
          <w:rFonts w:ascii="Times New Roman" w:eastAsia="Calibri" w:hAnsi="Times New Roman" w:cs="Times New Roman"/>
          <w:spacing w:val="-1"/>
          <w:sz w:val="16"/>
          <w:szCs w:val="16"/>
        </w:rPr>
        <w:t>a</w:t>
      </w:r>
      <w:r w:rsidRPr="00A07F29">
        <w:rPr>
          <w:rFonts w:ascii="Times New Roman" w:eastAsia="Calibri" w:hAnsi="Times New Roman" w:cs="Times New Roman"/>
          <w:sz w:val="16"/>
          <w:szCs w:val="16"/>
        </w:rPr>
        <w:t xml:space="preserve">; </w:t>
      </w:r>
      <w:r w:rsidRPr="00A07F29">
        <w:rPr>
          <w:rFonts w:ascii="Times New Roman" w:eastAsia="Calibri" w:hAnsi="Times New Roman" w:cs="Times New Roman"/>
          <w:b/>
          <w:sz w:val="16"/>
          <w:szCs w:val="16"/>
        </w:rPr>
        <w:t>IV</w:t>
      </w:r>
      <w:r w:rsidRPr="00A07F29">
        <w:rPr>
          <w:rFonts w:ascii="Times New Roman" w:eastAsia="Calibri" w:hAnsi="Times New Roman" w:cs="Times New Roman"/>
          <w:b/>
          <w:spacing w:val="-1"/>
          <w:sz w:val="16"/>
          <w:szCs w:val="16"/>
        </w:rPr>
        <w:t xml:space="preserve"> </w:t>
      </w:r>
      <w:r w:rsidRPr="00A07F29">
        <w:rPr>
          <w:rFonts w:ascii="Times New Roman" w:eastAsia="Calibri" w:hAnsi="Times New Roman" w:cs="Times New Roman"/>
          <w:sz w:val="16"/>
          <w:szCs w:val="16"/>
        </w:rPr>
        <w:t>p</w:t>
      </w:r>
      <w:r w:rsidRPr="00A07F29">
        <w:rPr>
          <w:rFonts w:ascii="Times New Roman" w:eastAsia="Calibri" w:hAnsi="Times New Roman" w:cs="Times New Roman"/>
          <w:spacing w:val="1"/>
          <w:sz w:val="16"/>
          <w:szCs w:val="16"/>
        </w:rPr>
        <w:t>i</w:t>
      </w:r>
      <w:r w:rsidRPr="00A07F29">
        <w:rPr>
          <w:rFonts w:ascii="Times New Roman" w:eastAsia="Calibri" w:hAnsi="Times New Roman" w:cs="Times New Roman"/>
          <w:spacing w:val="-1"/>
          <w:sz w:val="16"/>
          <w:szCs w:val="16"/>
        </w:rPr>
        <w:t>e</w:t>
      </w:r>
      <w:r w:rsidRPr="00A07F29">
        <w:rPr>
          <w:rFonts w:ascii="Times New Roman" w:eastAsia="Calibri" w:hAnsi="Times New Roman" w:cs="Times New Roman"/>
          <w:spacing w:val="1"/>
          <w:sz w:val="16"/>
          <w:szCs w:val="16"/>
        </w:rPr>
        <w:t>li</w:t>
      </w:r>
      <w:r w:rsidRPr="00A07F29">
        <w:rPr>
          <w:rFonts w:ascii="Times New Roman" w:eastAsia="Calibri" w:hAnsi="Times New Roman" w:cs="Times New Roman"/>
          <w:spacing w:val="-2"/>
          <w:sz w:val="16"/>
          <w:szCs w:val="16"/>
        </w:rPr>
        <w:t>k</w:t>
      </w:r>
      <w:r w:rsidRPr="00A07F29">
        <w:rPr>
          <w:rFonts w:ascii="Times New Roman" w:eastAsia="Calibri" w:hAnsi="Times New Roman" w:cs="Times New Roman"/>
          <w:spacing w:val="2"/>
          <w:sz w:val="16"/>
          <w:szCs w:val="16"/>
        </w:rPr>
        <w:t>u</w:t>
      </w:r>
      <w:r w:rsidRPr="00A07F29">
        <w:rPr>
          <w:rFonts w:ascii="Times New Roman" w:eastAsia="Calibri" w:hAnsi="Times New Roman" w:cs="Times New Roman"/>
          <w:spacing w:val="-2"/>
          <w:sz w:val="16"/>
          <w:szCs w:val="16"/>
        </w:rPr>
        <w:t>m</w:t>
      </w:r>
      <w:r w:rsidRPr="00A07F29">
        <w:rPr>
          <w:rFonts w:ascii="Times New Roman" w:eastAsia="Calibri" w:hAnsi="Times New Roman" w:cs="Times New Roman"/>
          <w:sz w:val="16"/>
          <w:szCs w:val="16"/>
        </w:rPr>
        <w:t>s.</w:t>
      </w:r>
      <w:r w:rsidRPr="00A07F29">
        <w:rPr>
          <w:rFonts w:ascii="Times New Roman" w:eastAsia="Calibri" w:hAnsi="Times New Roman" w:cs="Times New Roman"/>
          <w:spacing w:val="-3"/>
          <w:sz w:val="16"/>
          <w:szCs w:val="16"/>
        </w:rPr>
        <w:t xml:space="preserve"> </w:t>
      </w:r>
      <w:r w:rsidRPr="00A07F29">
        <w:rPr>
          <w:rFonts w:ascii="Times New Roman" w:eastAsia="Calibri" w:hAnsi="Times New Roman" w:cs="Times New Roman"/>
          <w:sz w:val="16"/>
          <w:szCs w:val="16"/>
        </w:rPr>
        <w:t>D</w:t>
      </w:r>
      <w:r w:rsidRPr="00A07F29">
        <w:rPr>
          <w:rFonts w:ascii="Times New Roman" w:eastAsia="Calibri" w:hAnsi="Times New Roman" w:cs="Times New Roman"/>
          <w:spacing w:val="-1"/>
          <w:sz w:val="16"/>
          <w:szCs w:val="16"/>
        </w:rPr>
        <w:t>z</w:t>
      </w:r>
      <w:r w:rsidRPr="00A07F29">
        <w:rPr>
          <w:rFonts w:ascii="Times New Roman" w:eastAsia="Calibri" w:hAnsi="Times New Roman" w:cs="Times New Roman"/>
          <w:spacing w:val="1"/>
          <w:sz w:val="16"/>
          <w:szCs w:val="16"/>
        </w:rPr>
        <w:t>ī</w:t>
      </w:r>
      <w:r w:rsidRPr="00A07F29">
        <w:rPr>
          <w:rFonts w:ascii="Times New Roman" w:eastAsia="Calibri" w:hAnsi="Times New Roman" w:cs="Times New Roman"/>
          <w:sz w:val="16"/>
          <w:szCs w:val="16"/>
        </w:rPr>
        <w:t>vn</w:t>
      </w:r>
      <w:r w:rsidRPr="00A07F29">
        <w:rPr>
          <w:rFonts w:ascii="Times New Roman" w:eastAsia="Calibri" w:hAnsi="Times New Roman" w:cs="Times New Roman"/>
          <w:spacing w:val="1"/>
          <w:sz w:val="16"/>
          <w:szCs w:val="16"/>
        </w:rPr>
        <w:t>i</w:t>
      </w:r>
      <w:r w:rsidRPr="00A07F29">
        <w:rPr>
          <w:rFonts w:ascii="Times New Roman" w:eastAsia="Calibri" w:hAnsi="Times New Roman" w:cs="Times New Roman"/>
          <w:spacing w:val="2"/>
          <w:sz w:val="16"/>
          <w:szCs w:val="16"/>
        </w:rPr>
        <w:t>e</w:t>
      </w:r>
      <w:r w:rsidRPr="00A07F29">
        <w:rPr>
          <w:rFonts w:ascii="Times New Roman" w:eastAsia="Calibri" w:hAnsi="Times New Roman" w:cs="Times New Roman"/>
          <w:spacing w:val="-2"/>
          <w:sz w:val="16"/>
          <w:szCs w:val="16"/>
        </w:rPr>
        <w:t>k</w:t>
      </w:r>
      <w:r w:rsidRPr="00A07F29">
        <w:rPr>
          <w:rFonts w:ascii="Times New Roman" w:eastAsia="Calibri" w:hAnsi="Times New Roman" w:cs="Times New Roman"/>
          <w:sz w:val="16"/>
          <w:szCs w:val="16"/>
        </w:rPr>
        <w:t>u</w:t>
      </w:r>
      <w:r w:rsidRPr="00A07F29">
        <w:rPr>
          <w:rFonts w:ascii="Times New Roman" w:eastAsia="Calibri" w:hAnsi="Times New Roman" w:cs="Times New Roman"/>
          <w:spacing w:val="-5"/>
          <w:sz w:val="16"/>
          <w:szCs w:val="16"/>
        </w:rPr>
        <w:t xml:space="preserve"> </w:t>
      </w:r>
      <w:r w:rsidRPr="00A07F29">
        <w:rPr>
          <w:rFonts w:ascii="Times New Roman" w:eastAsia="Calibri" w:hAnsi="Times New Roman" w:cs="Times New Roman"/>
          <w:sz w:val="16"/>
          <w:szCs w:val="16"/>
        </w:rPr>
        <w:t xml:space="preserve">un </w:t>
      </w:r>
      <w:r w:rsidRPr="00A07F29">
        <w:rPr>
          <w:rFonts w:ascii="Times New Roman" w:eastAsia="Calibri" w:hAnsi="Times New Roman" w:cs="Times New Roman"/>
          <w:spacing w:val="-1"/>
          <w:sz w:val="16"/>
          <w:szCs w:val="16"/>
        </w:rPr>
        <w:t>a</w:t>
      </w:r>
      <w:r w:rsidRPr="00A07F29">
        <w:rPr>
          <w:rFonts w:ascii="Times New Roman" w:eastAsia="Calibri" w:hAnsi="Times New Roman" w:cs="Times New Roman"/>
          <w:spacing w:val="2"/>
          <w:sz w:val="16"/>
          <w:szCs w:val="16"/>
        </w:rPr>
        <w:t>u</w:t>
      </w:r>
      <w:r w:rsidRPr="00A07F29">
        <w:rPr>
          <w:rFonts w:ascii="Times New Roman" w:eastAsia="Calibri" w:hAnsi="Times New Roman" w:cs="Times New Roman"/>
          <w:spacing w:val="-5"/>
          <w:sz w:val="16"/>
          <w:szCs w:val="16"/>
        </w:rPr>
        <w:t>g</w:t>
      </w:r>
      <w:r w:rsidRPr="00A07F29">
        <w:rPr>
          <w:rFonts w:ascii="Times New Roman" w:eastAsia="Calibri" w:hAnsi="Times New Roman" w:cs="Times New Roman"/>
          <w:sz w:val="16"/>
          <w:szCs w:val="16"/>
        </w:rPr>
        <w:t>u</w:t>
      </w:r>
      <w:r w:rsidRPr="00A07F29">
        <w:rPr>
          <w:rFonts w:ascii="Times New Roman" w:eastAsia="Calibri" w:hAnsi="Times New Roman" w:cs="Times New Roman"/>
          <w:spacing w:val="-2"/>
          <w:sz w:val="16"/>
          <w:szCs w:val="16"/>
        </w:rPr>
        <w:t xml:space="preserve"> </w:t>
      </w:r>
      <w:r w:rsidRPr="00A07F29">
        <w:rPr>
          <w:rFonts w:ascii="Times New Roman" w:eastAsia="Calibri" w:hAnsi="Times New Roman" w:cs="Times New Roman"/>
          <w:sz w:val="16"/>
          <w:szCs w:val="16"/>
        </w:rPr>
        <w:t>s</w:t>
      </w:r>
      <w:r w:rsidRPr="00A07F29">
        <w:rPr>
          <w:rFonts w:ascii="Times New Roman" w:eastAsia="Calibri" w:hAnsi="Times New Roman" w:cs="Times New Roman"/>
          <w:spacing w:val="2"/>
          <w:sz w:val="16"/>
          <w:szCs w:val="16"/>
        </w:rPr>
        <w:t>u</w:t>
      </w:r>
      <w:r w:rsidRPr="00A07F29">
        <w:rPr>
          <w:rFonts w:ascii="Times New Roman" w:eastAsia="Calibri" w:hAnsi="Times New Roman" w:cs="Times New Roman"/>
          <w:spacing w:val="-2"/>
          <w:sz w:val="16"/>
          <w:szCs w:val="16"/>
        </w:rPr>
        <w:t>g</w:t>
      </w:r>
      <w:r w:rsidRPr="00A07F29">
        <w:rPr>
          <w:rFonts w:ascii="Times New Roman" w:eastAsia="Calibri" w:hAnsi="Times New Roman" w:cs="Times New Roman"/>
          <w:spacing w:val="-1"/>
          <w:sz w:val="16"/>
          <w:szCs w:val="16"/>
        </w:rPr>
        <w:t>a</w:t>
      </w:r>
      <w:r w:rsidRPr="00A07F29">
        <w:rPr>
          <w:rFonts w:ascii="Times New Roman" w:eastAsia="Calibri" w:hAnsi="Times New Roman" w:cs="Times New Roman"/>
          <w:sz w:val="16"/>
          <w:szCs w:val="16"/>
        </w:rPr>
        <w:t xml:space="preserve">s, </w:t>
      </w:r>
      <w:r w:rsidRPr="00A07F29">
        <w:rPr>
          <w:rFonts w:ascii="Times New Roman" w:eastAsia="Calibri" w:hAnsi="Times New Roman" w:cs="Times New Roman"/>
          <w:spacing w:val="-2"/>
          <w:sz w:val="16"/>
          <w:szCs w:val="16"/>
        </w:rPr>
        <w:t>k</w:t>
      </w:r>
      <w:r w:rsidRPr="00A07F29">
        <w:rPr>
          <w:rFonts w:ascii="Times New Roman" w:eastAsia="Calibri" w:hAnsi="Times New Roman" w:cs="Times New Roman"/>
          <w:spacing w:val="-1"/>
          <w:sz w:val="16"/>
          <w:szCs w:val="16"/>
        </w:rPr>
        <w:t>a</w:t>
      </w:r>
      <w:r w:rsidRPr="00A07F29">
        <w:rPr>
          <w:rFonts w:ascii="Times New Roman" w:eastAsia="Calibri" w:hAnsi="Times New Roman" w:cs="Times New Roman"/>
          <w:sz w:val="16"/>
          <w:szCs w:val="16"/>
        </w:rPr>
        <w:t>s</w:t>
      </w:r>
      <w:r w:rsidRPr="00A07F29">
        <w:rPr>
          <w:rFonts w:ascii="Times New Roman" w:eastAsia="Calibri" w:hAnsi="Times New Roman" w:cs="Times New Roman"/>
          <w:spacing w:val="1"/>
          <w:sz w:val="16"/>
          <w:szCs w:val="16"/>
        </w:rPr>
        <w:t xml:space="preserve"> i</w:t>
      </w:r>
      <w:r w:rsidRPr="00A07F29">
        <w:rPr>
          <w:rFonts w:ascii="Times New Roman" w:eastAsia="Calibri" w:hAnsi="Times New Roman" w:cs="Times New Roman"/>
          <w:sz w:val="16"/>
          <w:szCs w:val="16"/>
        </w:rPr>
        <w:t>r</w:t>
      </w:r>
      <w:r w:rsidRPr="00A07F29">
        <w:rPr>
          <w:rFonts w:ascii="Times New Roman" w:eastAsia="Calibri" w:hAnsi="Times New Roman" w:cs="Times New Roman"/>
          <w:spacing w:val="1"/>
          <w:sz w:val="16"/>
          <w:szCs w:val="16"/>
        </w:rPr>
        <w:t xml:space="preserve"> </w:t>
      </w:r>
      <w:r w:rsidRPr="00A07F29">
        <w:rPr>
          <w:rFonts w:ascii="Times New Roman" w:eastAsia="Calibri" w:hAnsi="Times New Roman" w:cs="Times New Roman"/>
          <w:spacing w:val="-3"/>
          <w:sz w:val="16"/>
          <w:szCs w:val="16"/>
        </w:rPr>
        <w:t>K</w:t>
      </w:r>
      <w:r w:rsidRPr="00A07F29">
        <w:rPr>
          <w:rFonts w:ascii="Times New Roman" w:eastAsia="Calibri" w:hAnsi="Times New Roman" w:cs="Times New Roman"/>
          <w:sz w:val="16"/>
          <w:szCs w:val="16"/>
        </w:rPr>
        <w:t>op</w:t>
      </w:r>
      <w:r w:rsidRPr="00A07F29">
        <w:rPr>
          <w:rFonts w:ascii="Times New Roman" w:eastAsia="Calibri" w:hAnsi="Times New Roman" w:cs="Times New Roman"/>
          <w:spacing w:val="3"/>
          <w:sz w:val="16"/>
          <w:szCs w:val="16"/>
        </w:rPr>
        <w:t>i</w:t>
      </w:r>
      <w:r w:rsidRPr="00A07F29">
        <w:rPr>
          <w:rFonts w:ascii="Times New Roman" w:eastAsia="Calibri" w:hAnsi="Times New Roman" w:cs="Times New Roman"/>
          <w:spacing w:val="2"/>
          <w:sz w:val="16"/>
          <w:szCs w:val="16"/>
        </w:rPr>
        <w:t>e</w:t>
      </w:r>
      <w:r w:rsidRPr="00A07F29">
        <w:rPr>
          <w:rFonts w:ascii="Times New Roman" w:eastAsia="Calibri" w:hAnsi="Times New Roman" w:cs="Times New Roman"/>
          <w:sz w:val="16"/>
          <w:szCs w:val="16"/>
        </w:rPr>
        <w:t>n</w:t>
      </w:r>
      <w:r w:rsidRPr="00A07F29">
        <w:rPr>
          <w:rFonts w:ascii="Times New Roman" w:eastAsia="Calibri" w:hAnsi="Times New Roman" w:cs="Times New Roman"/>
          <w:spacing w:val="-1"/>
          <w:sz w:val="16"/>
          <w:szCs w:val="16"/>
        </w:rPr>
        <w:t>a</w:t>
      </w:r>
      <w:r w:rsidRPr="00A07F29">
        <w:rPr>
          <w:rFonts w:ascii="Times New Roman" w:eastAsia="Calibri" w:hAnsi="Times New Roman" w:cs="Times New Roman"/>
          <w:sz w:val="16"/>
          <w:szCs w:val="16"/>
        </w:rPr>
        <w:t>s</w:t>
      </w:r>
      <w:r w:rsidRPr="00A07F29">
        <w:rPr>
          <w:rFonts w:ascii="Times New Roman" w:eastAsia="Calibri" w:hAnsi="Times New Roman" w:cs="Times New Roman"/>
          <w:spacing w:val="-3"/>
          <w:sz w:val="16"/>
          <w:szCs w:val="16"/>
        </w:rPr>
        <w:t xml:space="preserve"> </w:t>
      </w:r>
      <w:r w:rsidRPr="00A07F29">
        <w:rPr>
          <w:rFonts w:ascii="Times New Roman" w:eastAsia="Calibri" w:hAnsi="Times New Roman" w:cs="Times New Roman"/>
          <w:spacing w:val="1"/>
          <w:sz w:val="16"/>
          <w:szCs w:val="16"/>
        </w:rPr>
        <w:t>i</w:t>
      </w:r>
      <w:r w:rsidRPr="00A07F29">
        <w:rPr>
          <w:rFonts w:ascii="Times New Roman" w:eastAsia="Calibri" w:hAnsi="Times New Roman" w:cs="Times New Roman"/>
          <w:sz w:val="16"/>
          <w:szCs w:val="16"/>
        </w:rPr>
        <w:t>n</w:t>
      </w:r>
      <w:r w:rsidRPr="00A07F29">
        <w:rPr>
          <w:rFonts w:ascii="Times New Roman" w:eastAsia="Calibri" w:hAnsi="Times New Roman" w:cs="Times New Roman"/>
          <w:spacing w:val="1"/>
          <w:sz w:val="16"/>
          <w:szCs w:val="16"/>
        </w:rPr>
        <w:t>t</w:t>
      </w:r>
      <w:r w:rsidRPr="00A07F29">
        <w:rPr>
          <w:rFonts w:ascii="Times New Roman" w:eastAsia="Calibri" w:hAnsi="Times New Roman" w:cs="Times New Roman"/>
          <w:spacing w:val="-1"/>
          <w:sz w:val="16"/>
          <w:szCs w:val="16"/>
        </w:rPr>
        <w:t>ere</w:t>
      </w:r>
      <w:r w:rsidRPr="00A07F29">
        <w:rPr>
          <w:rFonts w:ascii="Times New Roman" w:eastAsia="Calibri" w:hAnsi="Times New Roman" w:cs="Times New Roman"/>
          <w:sz w:val="16"/>
          <w:szCs w:val="16"/>
        </w:rPr>
        <w:t>šu</w:t>
      </w:r>
      <w:r w:rsidRPr="00A07F29">
        <w:rPr>
          <w:rFonts w:ascii="Times New Roman" w:eastAsia="Calibri" w:hAnsi="Times New Roman" w:cs="Times New Roman"/>
          <w:spacing w:val="-2"/>
          <w:sz w:val="16"/>
          <w:szCs w:val="16"/>
        </w:rPr>
        <w:t xml:space="preserve"> </w:t>
      </w:r>
      <w:r w:rsidRPr="00A07F29">
        <w:rPr>
          <w:rFonts w:ascii="Times New Roman" w:eastAsia="Calibri" w:hAnsi="Times New Roman" w:cs="Times New Roman"/>
          <w:sz w:val="16"/>
          <w:szCs w:val="16"/>
        </w:rPr>
        <w:t>s</w:t>
      </w:r>
      <w:r w:rsidRPr="00A07F29">
        <w:rPr>
          <w:rFonts w:ascii="Times New Roman" w:eastAsia="Calibri" w:hAnsi="Times New Roman" w:cs="Times New Roman"/>
          <w:spacing w:val="-1"/>
          <w:sz w:val="16"/>
          <w:szCs w:val="16"/>
        </w:rPr>
        <w:t>fēr</w:t>
      </w:r>
      <w:r w:rsidRPr="00A07F29">
        <w:rPr>
          <w:rFonts w:ascii="Times New Roman" w:eastAsia="Calibri" w:hAnsi="Times New Roman" w:cs="Times New Roman"/>
          <w:sz w:val="16"/>
          <w:szCs w:val="16"/>
        </w:rPr>
        <w:t>ā</w:t>
      </w:r>
      <w:r w:rsidRPr="00A07F29">
        <w:rPr>
          <w:rFonts w:ascii="Times New Roman" w:eastAsia="Calibri" w:hAnsi="Times New Roman" w:cs="Times New Roman"/>
          <w:spacing w:val="-1"/>
          <w:sz w:val="16"/>
          <w:szCs w:val="16"/>
        </w:rPr>
        <w:t xml:space="preserve"> </w:t>
      </w:r>
      <w:r w:rsidRPr="00A07F29">
        <w:rPr>
          <w:rFonts w:ascii="Times New Roman" w:eastAsia="Calibri" w:hAnsi="Times New Roman" w:cs="Times New Roman"/>
          <w:sz w:val="16"/>
          <w:szCs w:val="16"/>
        </w:rPr>
        <w:t xml:space="preserve">un </w:t>
      </w:r>
      <w:r w:rsidRPr="00A07F29">
        <w:rPr>
          <w:rFonts w:ascii="Times New Roman" w:eastAsia="Calibri" w:hAnsi="Times New Roman" w:cs="Times New Roman"/>
          <w:spacing w:val="-2"/>
          <w:sz w:val="16"/>
          <w:szCs w:val="16"/>
        </w:rPr>
        <w:t>k</w:t>
      </w:r>
      <w:r w:rsidRPr="00A07F29">
        <w:rPr>
          <w:rFonts w:ascii="Times New Roman" w:eastAsia="Calibri" w:hAnsi="Times New Roman" w:cs="Times New Roman"/>
          <w:spacing w:val="2"/>
          <w:sz w:val="16"/>
          <w:szCs w:val="16"/>
        </w:rPr>
        <w:t>ur</w:t>
      </w:r>
      <w:r w:rsidRPr="00A07F29">
        <w:rPr>
          <w:rFonts w:ascii="Times New Roman" w:eastAsia="Calibri" w:hAnsi="Times New Roman" w:cs="Times New Roman"/>
          <w:sz w:val="16"/>
          <w:szCs w:val="16"/>
        </w:rPr>
        <w:t xml:space="preserve">u </w:t>
      </w:r>
      <w:r w:rsidRPr="00A07F29">
        <w:rPr>
          <w:rFonts w:ascii="Times New Roman" w:eastAsia="Calibri" w:hAnsi="Times New Roman" w:cs="Times New Roman"/>
          <w:spacing w:val="-1"/>
          <w:sz w:val="16"/>
          <w:szCs w:val="16"/>
        </w:rPr>
        <w:t>a</w:t>
      </w:r>
      <w:r w:rsidRPr="00A07F29">
        <w:rPr>
          <w:rFonts w:ascii="Times New Roman" w:eastAsia="Calibri" w:hAnsi="Times New Roman" w:cs="Times New Roman"/>
          <w:spacing w:val="1"/>
          <w:sz w:val="16"/>
          <w:szCs w:val="16"/>
        </w:rPr>
        <w:t>i</w:t>
      </w:r>
      <w:r w:rsidRPr="00A07F29">
        <w:rPr>
          <w:rFonts w:ascii="Times New Roman" w:eastAsia="Calibri" w:hAnsi="Times New Roman" w:cs="Times New Roman"/>
          <w:spacing w:val="-1"/>
          <w:sz w:val="16"/>
          <w:szCs w:val="16"/>
        </w:rPr>
        <w:t>z</w:t>
      </w:r>
      <w:r w:rsidRPr="00A07F29">
        <w:rPr>
          <w:rFonts w:ascii="Times New Roman" w:eastAsia="Calibri" w:hAnsi="Times New Roman" w:cs="Times New Roman"/>
          <w:sz w:val="16"/>
          <w:szCs w:val="16"/>
        </w:rPr>
        <w:t>s</w:t>
      </w:r>
      <w:r w:rsidRPr="00A07F29">
        <w:rPr>
          <w:rFonts w:ascii="Times New Roman" w:eastAsia="Calibri" w:hAnsi="Times New Roman" w:cs="Times New Roman"/>
          <w:spacing w:val="-1"/>
          <w:sz w:val="16"/>
          <w:szCs w:val="16"/>
        </w:rPr>
        <w:t>ar</w:t>
      </w:r>
      <w:r w:rsidRPr="00A07F29">
        <w:rPr>
          <w:rFonts w:ascii="Times New Roman" w:eastAsia="Calibri" w:hAnsi="Times New Roman" w:cs="Times New Roman"/>
          <w:spacing w:val="2"/>
          <w:sz w:val="16"/>
          <w:szCs w:val="16"/>
        </w:rPr>
        <w:t>d</w:t>
      </w:r>
      <w:r w:rsidRPr="00A07F29">
        <w:rPr>
          <w:rFonts w:ascii="Times New Roman" w:eastAsia="Calibri" w:hAnsi="Times New Roman" w:cs="Times New Roman"/>
          <w:spacing w:val="-1"/>
          <w:sz w:val="16"/>
          <w:szCs w:val="16"/>
        </w:rPr>
        <w:t>z</w:t>
      </w:r>
      <w:r w:rsidRPr="00A07F29">
        <w:rPr>
          <w:rFonts w:ascii="Times New Roman" w:eastAsia="Calibri" w:hAnsi="Times New Roman" w:cs="Times New Roman"/>
          <w:spacing w:val="1"/>
          <w:sz w:val="16"/>
          <w:szCs w:val="16"/>
        </w:rPr>
        <w:t>ī</w:t>
      </w:r>
      <w:r w:rsidRPr="00A07F29">
        <w:rPr>
          <w:rFonts w:ascii="Times New Roman" w:eastAsia="Calibri" w:hAnsi="Times New Roman" w:cs="Times New Roman"/>
          <w:sz w:val="16"/>
          <w:szCs w:val="16"/>
        </w:rPr>
        <w:t>b</w:t>
      </w:r>
      <w:r w:rsidRPr="00A07F29">
        <w:rPr>
          <w:rFonts w:ascii="Times New Roman" w:eastAsia="Calibri" w:hAnsi="Times New Roman" w:cs="Times New Roman"/>
          <w:spacing w:val="-1"/>
          <w:sz w:val="16"/>
          <w:szCs w:val="16"/>
        </w:rPr>
        <w:t>a</w:t>
      </w:r>
      <w:r w:rsidRPr="00A07F29">
        <w:rPr>
          <w:rFonts w:ascii="Times New Roman" w:eastAsia="Calibri" w:hAnsi="Times New Roman" w:cs="Times New Roman"/>
          <w:sz w:val="16"/>
          <w:szCs w:val="16"/>
        </w:rPr>
        <w:t>i</w:t>
      </w:r>
      <w:r w:rsidRPr="00A07F29">
        <w:rPr>
          <w:rFonts w:ascii="Times New Roman" w:eastAsia="Calibri" w:hAnsi="Times New Roman" w:cs="Times New Roman"/>
          <w:spacing w:val="3"/>
          <w:sz w:val="16"/>
          <w:szCs w:val="16"/>
        </w:rPr>
        <w:t xml:space="preserve"> </w:t>
      </w:r>
      <w:r w:rsidRPr="00A07F29">
        <w:rPr>
          <w:rFonts w:ascii="Times New Roman" w:eastAsia="Calibri" w:hAnsi="Times New Roman" w:cs="Times New Roman"/>
          <w:sz w:val="16"/>
          <w:szCs w:val="16"/>
        </w:rPr>
        <w:t>n</w:t>
      </w:r>
      <w:r w:rsidRPr="00A07F29">
        <w:rPr>
          <w:rFonts w:ascii="Times New Roman" w:eastAsia="Calibri" w:hAnsi="Times New Roman" w:cs="Times New Roman"/>
          <w:spacing w:val="-1"/>
          <w:sz w:val="16"/>
          <w:szCs w:val="16"/>
        </w:rPr>
        <w:t>e</w:t>
      </w:r>
      <w:r w:rsidRPr="00A07F29">
        <w:rPr>
          <w:rFonts w:ascii="Times New Roman" w:eastAsia="Calibri" w:hAnsi="Times New Roman" w:cs="Times New Roman"/>
          <w:sz w:val="16"/>
          <w:szCs w:val="16"/>
        </w:rPr>
        <w:t>p</w:t>
      </w:r>
      <w:r w:rsidRPr="00A07F29">
        <w:rPr>
          <w:rFonts w:ascii="Times New Roman" w:eastAsia="Calibri" w:hAnsi="Times New Roman" w:cs="Times New Roman"/>
          <w:spacing w:val="1"/>
          <w:sz w:val="16"/>
          <w:szCs w:val="16"/>
        </w:rPr>
        <w:t>i</w:t>
      </w:r>
      <w:r w:rsidRPr="00A07F29">
        <w:rPr>
          <w:rFonts w:ascii="Times New Roman" w:eastAsia="Calibri" w:hAnsi="Times New Roman" w:cs="Times New Roman"/>
          <w:spacing w:val="-1"/>
          <w:sz w:val="16"/>
          <w:szCs w:val="16"/>
        </w:rPr>
        <w:t>ec</w:t>
      </w:r>
      <w:r w:rsidRPr="00A07F29">
        <w:rPr>
          <w:rFonts w:ascii="Times New Roman" w:eastAsia="Calibri" w:hAnsi="Times New Roman" w:cs="Times New Roman"/>
          <w:spacing w:val="1"/>
          <w:sz w:val="16"/>
          <w:szCs w:val="16"/>
        </w:rPr>
        <w:t>i</w:t>
      </w:r>
      <w:r w:rsidRPr="00A07F29">
        <w:rPr>
          <w:rFonts w:ascii="Times New Roman" w:eastAsia="Calibri" w:hAnsi="Times New Roman" w:cs="Times New Roman"/>
          <w:spacing w:val="-1"/>
          <w:sz w:val="16"/>
          <w:szCs w:val="16"/>
        </w:rPr>
        <w:t>e</w:t>
      </w:r>
      <w:r w:rsidRPr="00A07F29">
        <w:rPr>
          <w:rFonts w:ascii="Times New Roman" w:eastAsia="Calibri" w:hAnsi="Times New Roman" w:cs="Times New Roman"/>
          <w:spacing w:val="3"/>
          <w:sz w:val="16"/>
          <w:szCs w:val="16"/>
        </w:rPr>
        <w:t>š</w:t>
      </w:r>
      <w:r w:rsidRPr="00A07F29">
        <w:rPr>
          <w:rFonts w:ascii="Times New Roman" w:eastAsia="Calibri" w:hAnsi="Times New Roman" w:cs="Times New Roman"/>
          <w:spacing w:val="2"/>
          <w:sz w:val="16"/>
          <w:szCs w:val="16"/>
        </w:rPr>
        <w:t>a</w:t>
      </w:r>
      <w:r w:rsidRPr="00A07F29">
        <w:rPr>
          <w:rFonts w:ascii="Times New Roman" w:eastAsia="Calibri" w:hAnsi="Times New Roman" w:cs="Times New Roman"/>
          <w:spacing w:val="1"/>
          <w:sz w:val="16"/>
          <w:szCs w:val="16"/>
        </w:rPr>
        <w:t>m</w:t>
      </w:r>
      <w:r w:rsidRPr="00A07F29">
        <w:rPr>
          <w:rFonts w:ascii="Times New Roman" w:eastAsia="Calibri" w:hAnsi="Times New Roman" w:cs="Times New Roman"/>
          <w:sz w:val="16"/>
          <w:szCs w:val="16"/>
        </w:rPr>
        <w:t>s</w:t>
      </w:r>
      <w:r w:rsidRPr="00A07F29">
        <w:rPr>
          <w:rFonts w:ascii="Times New Roman" w:eastAsia="Calibri" w:hAnsi="Times New Roman" w:cs="Times New Roman"/>
          <w:spacing w:val="3"/>
          <w:sz w:val="16"/>
          <w:szCs w:val="16"/>
        </w:rPr>
        <w:t xml:space="preserve"> </w:t>
      </w:r>
      <w:r w:rsidRPr="00A07F29">
        <w:rPr>
          <w:rFonts w:ascii="Times New Roman" w:eastAsia="Calibri" w:hAnsi="Times New Roman" w:cs="Times New Roman"/>
          <w:sz w:val="16"/>
          <w:szCs w:val="16"/>
        </w:rPr>
        <w:t>s</w:t>
      </w:r>
      <w:r w:rsidRPr="00A07F29">
        <w:rPr>
          <w:rFonts w:ascii="Times New Roman" w:eastAsia="Calibri" w:hAnsi="Times New Roman" w:cs="Times New Roman"/>
          <w:spacing w:val="1"/>
          <w:sz w:val="16"/>
          <w:szCs w:val="16"/>
        </w:rPr>
        <w:t>ti</w:t>
      </w:r>
      <w:r w:rsidRPr="00A07F29">
        <w:rPr>
          <w:rFonts w:ascii="Times New Roman" w:eastAsia="Calibri" w:hAnsi="Times New Roman" w:cs="Times New Roman"/>
          <w:sz w:val="16"/>
          <w:szCs w:val="16"/>
        </w:rPr>
        <w:t>n</w:t>
      </w:r>
      <w:r w:rsidRPr="00A07F29">
        <w:rPr>
          <w:rFonts w:ascii="Times New Roman" w:eastAsia="Calibri" w:hAnsi="Times New Roman" w:cs="Times New Roman"/>
          <w:spacing w:val="-2"/>
          <w:sz w:val="16"/>
          <w:szCs w:val="16"/>
        </w:rPr>
        <w:t>g</w:t>
      </w:r>
      <w:r w:rsidRPr="00A07F29">
        <w:rPr>
          <w:rFonts w:ascii="Times New Roman" w:eastAsia="Calibri" w:hAnsi="Times New Roman" w:cs="Times New Roman"/>
          <w:spacing w:val="-1"/>
          <w:sz w:val="16"/>
          <w:szCs w:val="16"/>
        </w:rPr>
        <w:t>r</w:t>
      </w:r>
      <w:r w:rsidRPr="00A07F29">
        <w:rPr>
          <w:rFonts w:ascii="Times New Roman" w:eastAsia="Calibri" w:hAnsi="Times New Roman" w:cs="Times New Roman"/>
          <w:sz w:val="16"/>
          <w:szCs w:val="16"/>
        </w:rPr>
        <w:t>s</w:t>
      </w:r>
      <w:r w:rsidRPr="00A07F29">
        <w:rPr>
          <w:rFonts w:ascii="Times New Roman" w:eastAsia="Calibri" w:hAnsi="Times New Roman" w:cs="Times New Roman"/>
          <w:spacing w:val="2"/>
          <w:sz w:val="16"/>
          <w:szCs w:val="16"/>
        </w:rPr>
        <w:t xml:space="preserve"> </w:t>
      </w:r>
      <w:r w:rsidRPr="00A07F29">
        <w:rPr>
          <w:rFonts w:ascii="Times New Roman" w:eastAsia="Calibri" w:hAnsi="Times New Roman" w:cs="Times New Roman"/>
          <w:spacing w:val="-1"/>
          <w:sz w:val="16"/>
          <w:szCs w:val="16"/>
        </w:rPr>
        <w:t>a</w:t>
      </w:r>
      <w:r w:rsidRPr="00A07F29">
        <w:rPr>
          <w:rFonts w:ascii="Times New Roman" w:eastAsia="Calibri" w:hAnsi="Times New Roman" w:cs="Times New Roman"/>
          <w:spacing w:val="1"/>
          <w:sz w:val="16"/>
          <w:szCs w:val="16"/>
        </w:rPr>
        <w:t>i</w:t>
      </w:r>
      <w:r w:rsidRPr="00A07F29">
        <w:rPr>
          <w:rFonts w:ascii="Times New Roman" w:eastAsia="Calibri" w:hAnsi="Times New Roman" w:cs="Times New Roman"/>
          <w:spacing w:val="-1"/>
          <w:sz w:val="16"/>
          <w:szCs w:val="16"/>
        </w:rPr>
        <w:t>z</w:t>
      </w:r>
      <w:r w:rsidRPr="00A07F29">
        <w:rPr>
          <w:rFonts w:ascii="Times New Roman" w:eastAsia="Calibri" w:hAnsi="Times New Roman" w:cs="Times New Roman"/>
          <w:sz w:val="16"/>
          <w:szCs w:val="16"/>
        </w:rPr>
        <w:t>s</w:t>
      </w:r>
      <w:r w:rsidRPr="00A07F29">
        <w:rPr>
          <w:rFonts w:ascii="Times New Roman" w:eastAsia="Calibri" w:hAnsi="Times New Roman" w:cs="Times New Roman"/>
          <w:spacing w:val="-1"/>
          <w:sz w:val="16"/>
          <w:szCs w:val="16"/>
        </w:rPr>
        <w:t>ar</w:t>
      </w:r>
      <w:r w:rsidRPr="00A07F29">
        <w:rPr>
          <w:rFonts w:ascii="Times New Roman" w:eastAsia="Calibri" w:hAnsi="Times New Roman" w:cs="Times New Roman"/>
          <w:spacing w:val="2"/>
          <w:sz w:val="16"/>
          <w:szCs w:val="16"/>
        </w:rPr>
        <w:t>d</w:t>
      </w:r>
      <w:r w:rsidRPr="00A07F29">
        <w:rPr>
          <w:rFonts w:ascii="Times New Roman" w:eastAsia="Calibri" w:hAnsi="Times New Roman" w:cs="Times New Roman"/>
          <w:spacing w:val="-1"/>
          <w:sz w:val="16"/>
          <w:szCs w:val="16"/>
        </w:rPr>
        <w:t>z</w:t>
      </w:r>
      <w:r w:rsidRPr="00A07F29">
        <w:rPr>
          <w:rFonts w:ascii="Times New Roman" w:eastAsia="Calibri" w:hAnsi="Times New Roman" w:cs="Times New Roman"/>
          <w:spacing w:val="1"/>
          <w:sz w:val="16"/>
          <w:szCs w:val="16"/>
        </w:rPr>
        <w:t>ī</w:t>
      </w:r>
      <w:r w:rsidRPr="00A07F29">
        <w:rPr>
          <w:rFonts w:ascii="Times New Roman" w:eastAsia="Calibri" w:hAnsi="Times New Roman" w:cs="Times New Roman"/>
          <w:sz w:val="16"/>
          <w:szCs w:val="16"/>
        </w:rPr>
        <w:t>b</w:t>
      </w:r>
      <w:r w:rsidRPr="00A07F29">
        <w:rPr>
          <w:rFonts w:ascii="Times New Roman" w:eastAsia="Calibri" w:hAnsi="Times New Roman" w:cs="Times New Roman"/>
          <w:spacing w:val="-1"/>
          <w:sz w:val="16"/>
          <w:szCs w:val="16"/>
        </w:rPr>
        <w:t>a</w:t>
      </w:r>
      <w:r w:rsidRPr="00A07F29">
        <w:rPr>
          <w:rFonts w:ascii="Times New Roman" w:eastAsia="Calibri" w:hAnsi="Times New Roman" w:cs="Times New Roman"/>
          <w:sz w:val="16"/>
          <w:szCs w:val="16"/>
        </w:rPr>
        <w:t>s</w:t>
      </w:r>
      <w:r w:rsidRPr="00A07F29">
        <w:rPr>
          <w:rFonts w:ascii="Times New Roman" w:eastAsia="Calibri" w:hAnsi="Times New Roman" w:cs="Times New Roman"/>
          <w:spacing w:val="2"/>
          <w:sz w:val="16"/>
          <w:szCs w:val="16"/>
        </w:rPr>
        <w:t xml:space="preserve"> </w:t>
      </w:r>
      <w:r w:rsidRPr="00A07F29">
        <w:rPr>
          <w:rFonts w:ascii="Times New Roman" w:eastAsia="Calibri" w:hAnsi="Times New Roman" w:cs="Times New Roman"/>
          <w:spacing w:val="-1"/>
          <w:sz w:val="16"/>
          <w:szCs w:val="16"/>
        </w:rPr>
        <w:t>r</w:t>
      </w:r>
      <w:r w:rsidRPr="00A07F29">
        <w:rPr>
          <w:rFonts w:ascii="Times New Roman" w:eastAsia="Calibri" w:hAnsi="Times New Roman" w:cs="Times New Roman"/>
          <w:spacing w:val="2"/>
          <w:sz w:val="16"/>
          <w:szCs w:val="16"/>
        </w:rPr>
        <w:t>ež</w:t>
      </w:r>
      <w:r w:rsidRPr="00A07F29">
        <w:rPr>
          <w:rFonts w:ascii="Times New Roman" w:eastAsia="Calibri" w:hAnsi="Times New Roman" w:cs="Times New Roman"/>
          <w:spacing w:val="1"/>
          <w:sz w:val="16"/>
          <w:szCs w:val="16"/>
        </w:rPr>
        <w:t>ī</w:t>
      </w:r>
      <w:r w:rsidRPr="00A07F29">
        <w:rPr>
          <w:rFonts w:ascii="Times New Roman" w:eastAsia="Calibri" w:hAnsi="Times New Roman" w:cs="Times New Roman"/>
          <w:spacing w:val="-2"/>
          <w:sz w:val="16"/>
          <w:szCs w:val="16"/>
        </w:rPr>
        <w:t>m</w:t>
      </w:r>
      <w:r w:rsidRPr="00A07F29">
        <w:rPr>
          <w:rFonts w:ascii="Times New Roman" w:eastAsia="Calibri" w:hAnsi="Times New Roman" w:cs="Times New Roman"/>
          <w:sz w:val="16"/>
          <w:szCs w:val="16"/>
        </w:rPr>
        <w:t>s;</w:t>
      </w:r>
      <w:r w:rsidRPr="00A07F29">
        <w:rPr>
          <w:rFonts w:ascii="Times New Roman" w:eastAsia="Calibri" w:hAnsi="Times New Roman" w:cs="Times New Roman"/>
          <w:spacing w:val="6"/>
          <w:sz w:val="16"/>
          <w:szCs w:val="16"/>
        </w:rPr>
        <w:t xml:space="preserve"> </w:t>
      </w:r>
      <w:r w:rsidRPr="00A07F29">
        <w:rPr>
          <w:rFonts w:ascii="Times New Roman" w:eastAsia="Calibri" w:hAnsi="Times New Roman" w:cs="Times New Roman"/>
          <w:b/>
          <w:sz w:val="16"/>
          <w:szCs w:val="16"/>
        </w:rPr>
        <w:t>V</w:t>
      </w:r>
      <w:r w:rsidRPr="00A07F29">
        <w:rPr>
          <w:rFonts w:ascii="Times New Roman" w:eastAsia="Calibri" w:hAnsi="Times New Roman" w:cs="Times New Roman"/>
          <w:b/>
          <w:spacing w:val="5"/>
          <w:sz w:val="16"/>
          <w:szCs w:val="16"/>
        </w:rPr>
        <w:t xml:space="preserve"> </w:t>
      </w:r>
      <w:r w:rsidRPr="00A07F29">
        <w:rPr>
          <w:rFonts w:ascii="Times New Roman" w:eastAsia="Calibri" w:hAnsi="Times New Roman" w:cs="Times New Roman"/>
          <w:sz w:val="16"/>
          <w:szCs w:val="16"/>
        </w:rPr>
        <w:t>p</w:t>
      </w:r>
      <w:r w:rsidRPr="00A07F29">
        <w:rPr>
          <w:rFonts w:ascii="Times New Roman" w:eastAsia="Calibri" w:hAnsi="Times New Roman" w:cs="Times New Roman"/>
          <w:spacing w:val="1"/>
          <w:sz w:val="16"/>
          <w:szCs w:val="16"/>
        </w:rPr>
        <w:t>i</w:t>
      </w:r>
      <w:r w:rsidRPr="00A07F29">
        <w:rPr>
          <w:rFonts w:ascii="Times New Roman" w:eastAsia="Calibri" w:hAnsi="Times New Roman" w:cs="Times New Roman"/>
          <w:spacing w:val="-1"/>
          <w:sz w:val="16"/>
          <w:szCs w:val="16"/>
        </w:rPr>
        <w:t>e</w:t>
      </w:r>
      <w:r w:rsidRPr="00A07F29">
        <w:rPr>
          <w:rFonts w:ascii="Times New Roman" w:eastAsia="Calibri" w:hAnsi="Times New Roman" w:cs="Times New Roman"/>
          <w:spacing w:val="1"/>
          <w:sz w:val="16"/>
          <w:szCs w:val="16"/>
        </w:rPr>
        <w:t>li</w:t>
      </w:r>
      <w:r w:rsidRPr="00A07F29">
        <w:rPr>
          <w:rFonts w:ascii="Times New Roman" w:eastAsia="Calibri" w:hAnsi="Times New Roman" w:cs="Times New Roman"/>
          <w:spacing w:val="-2"/>
          <w:sz w:val="16"/>
          <w:szCs w:val="16"/>
        </w:rPr>
        <w:t>k</w:t>
      </w:r>
      <w:r w:rsidRPr="00A07F29">
        <w:rPr>
          <w:rFonts w:ascii="Times New Roman" w:eastAsia="Calibri" w:hAnsi="Times New Roman" w:cs="Times New Roman"/>
          <w:spacing w:val="2"/>
          <w:sz w:val="16"/>
          <w:szCs w:val="16"/>
        </w:rPr>
        <w:t>u</w:t>
      </w:r>
      <w:r w:rsidRPr="00A07F29">
        <w:rPr>
          <w:rFonts w:ascii="Times New Roman" w:eastAsia="Calibri" w:hAnsi="Times New Roman" w:cs="Times New Roman"/>
          <w:spacing w:val="-2"/>
          <w:sz w:val="16"/>
          <w:szCs w:val="16"/>
        </w:rPr>
        <w:t>m</w:t>
      </w:r>
      <w:r w:rsidRPr="00A07F29">
        <w:rPr>
          <w:rFonts w:ascii="Times New Roman" w:eastAsia="Calibri" w:hAnsi="Times New Roman" w:cs="Times New Roman"/>
          <w:sz w:val="16"/>
          <w:szCs w:val="16"/>
        </w:rPr>
        <w:t>s.</w:t>
      </w:r>
      <w:r w:rsidRPr="00A07F29">
        <w:rPr>
          <w:rFonts w:ascii="Times New Roman" w:eastAsia="Calibri" w:hAnsi="Times New Roman" w:cs="Times New Roman"/>
          <w:spacing w:val="1"/>
          <w:sz w:val="16"/>
          <w:szCs w:val="16"/>
        </w:rPr>
        <w:t xml:space="preserve"> </w:t>
      </w:r>
      <w:r w:rsidRPr="00A07F29">
        <w:rPr>
          <w:rFonts w:ascii="Times New Roman" w:eastAsia="Calibri" w:hAnsi="Times New Roman" w:cs="Times New Roman"/>
          <w:spacing w:val="2"/>
          <w:sz w:val="16"/>
          <w:szCs w:val="16"/>
        </w:rPr>
        <w:t>D</w:t>
      </w:r>
      <w:r w:rsidRPr="00A07F29">
        <w:rPr>
          <w:rFonts w:ascii="Times New Roman" w:eastAsia="Calibri" w:hAnsi="Times New Roman" w:cs="Times New Roman"/>
          <w:spacing w:val="-1"/>
          <w:sz w:val="16"/>
          <w:szCs w:val="16"/>
        </w:rPr>
        <w:t>z</w:t>
      </w:r>
      <w:r w:rsidRPr="00A07F29">
        <w:rPr>
          <w:rFonts w:ascii="Times New Roman" w:eastAsia="Calibri" w:hAnsi="Times New Roman" w:cs="Times New Roman"/>
          <w:spacing w:val="1"/>
          <w:sz w:val="16"/>
          <w:szCs w:val="16"/>
        </w:rPr>
        <w:t>ī</w:t>
      </w:r>
      <w:r w:rsidRPr="00A07F29">
        <w:rPr>
          <w:rFonts w:ascii="Times New Roman" w:eastAsia="Calibri" w:hAnsi="Times New Roman" w:cs="Times New Roman"/>
          <w:sz w:val="16"/>
          <w:szCs w:val="16"/>
        </w:rPr>
        <w:t>vn</w:t>
      </w:r>
      <w:r w:rsidRPr="00A07F29">
        <w:rPr>
          <w:rFonts w:ascii="Times New Roman" w:eastAsia="Calibri" w:hAnsi="Times New Roman" w:cs="Times New Roman"/>
          <w:spacing w:val="1"/>
          <w:sz w:val="16"/>
          <w:szCs w:val="16"/>
        </w:rPr>
        <w:t>i</w:t>
      </w:r>
      <w:r w:rsidRPr="00A07F29">
        <w:rPr>
          <w:rFonts w:ascii="Times New Roman" w:eastAsia="Calibri" w:hAnsi="Times New Roman" w:cs="Times New Roman"/>
          <w:spacing w:val="-1"/>
          <w:sz w:val="16"/>
          <w:szCs w:val="16"/>
        </w:rPr>
        <w:t>e</w:t>
      </w:r>
      <w:r w:rsidRPr="00A07F29">
        <w:rPr>
          <w:rFonts w:ascii="Times New Roman" w:eastAsia="Calibri" w:hAnsi="Times New Roman" w:cs="Times New Roman"/>
          <w:spacing w:val="-2"/>
          <w:sz w:val="16"/>
          <w:szCs w:val="16"/>
        </w:rPr>
        <w:t>k</w:t>
      </w:r>
      <w:r w:rsidRPr="00A07F29">
        <w:rPr>
          <w:rFonts w:ascii="Times New Roman" w:eastAsia="Calibri" w:hAnsi="Times New Roman" w:cs="Times New Roman"/>
          <w:sz w:val="16"/>
          <w:szCs w:val="16"/>
        </w:rPr>
        <w:t>u un</w:t>
      </w:r>
      <w:r w:rsidRPr="00A07F29">
        <w:rPr>
          <w:rFonts w:ascii="Times New Roman" w:eastAsia="Calibri" w:hAnsi="Times New Roman" w:cs="Times New Roman"/>
          <w:spacing w:val="4"/>
          <w:sz w:val="16"/>
          <w:szCs w:val="16"/>
        </w:rPr>
        <w:t xml:space="preserve"> </w:t>
      </w:r>
      <w:r w:rsidRPr="00A07F29">
        <w:rPr>
          <w:rFonts w:ascii="Times New Roman" w:eastAsia="Calibri" w:hAnsi="Times New Roman" w:cs="Times New Roman"/>
          <w:spacing w:val="-1"/>
          <w:sz w:val="16"/>
          <w:szCs w:val="16"/>
        </w:rPr>
        <w:t>a</w:t>
      </w:r>
      <w:r w:rsidRPr="00A07F29">
        <w:rPr>
          <w:rFonts w:ascii="Times New Roman" w:eastAsia="Calibri" w:hAnsi="Times New Roman" w:cs="Times New Roman"/>
          <w:spacing w:val="2"/>
          <w:sz w:val="16"/>
          <w:szCs w:val="16"/>
        </w:rPr>
        <w:t>u</w:t>
      </w:r>
      <w:r w:rsidRPr="00A07F29">
        <w:rPr>
          <w:rFonts w:ascii="Times New Roman" w:eastAsia="Calibri" w:hAnsi="Times New Roman" w:cs="Times New Roman"/>
          <w:spacing w:val="-2"/>
          <w:sz w:val="16"/>
          <w:szCs w:val="16"/>
        </w:rPr>
        <w:t>g</w:t>
      </w:r>
      <w:r w:rsidRPr="00A07F29">
        <w:rPr>
          <w:rFonts w:ascii="Times New Roman" w:eastAsia="Calibri" w:hAnsi="Times New Roman" w:cs="Times New Roman"/>
          <w:sz w:val="16"/>
          <w:szCs w:val="16"/>
        </w:rPr>
        <w:t>u</w:t>
      </w:r>
      <w:r w:rsidRPr="00A07F29">
        <w:rPr>
          <w:rFonts w:ascii="Times New Roman" w:eastAsia="Calibri" w:hAnsi="Times New Roman" w:cs="Times New Roman"/>
          <w:spacing w:val="3"/>
          <w:sz w:val="16"/>
          <w:szCs w:val="16"/>
        </w:rPr>
        <w:t xml:space="preserve"> </w:t>
      </w:r>
      <w:r w:rsidRPr="00A07F29">
        <w:rPr>
          <w:rFonts w:ascii="Times New Roman" w:eastAsia="Calibri" w:hAnsi="Times New Roman" w:cs="Times New Roman"/>
          <w:sz w:val="16"/>
          <w:szCs w:val="16"/>
        </w:rPr>
        <w:t>s</w:t>
      </w:r>
      <w:r w:rsidRPr="00A07F29">
        <w:rPr>
          <w:rFonts w:ascii="Times New Roman" w:eastAsia="Calibri" w:hAnsi="Times New Roman" w:cs="Times New Roman"/>
          <w:spacing w:val="2"/>
          <w:sz w:val="16"/>
          <w:szCs w:val="16"/>
        </w:rPr>
        <w:t>u</w:t>
      </w:r>
      <w:r w:rsidRPr="00A07F29">
        <w:rPr>
          <w:rFonts w:ascii="Times New Roman" w:eastAsia="Calibri" w:hAnsi="Times New Roman" w:cs="Times New Roman"/>
          <w:spacing w:val="-2"/>
          <w:sz w:val="16"/>
          <w:szCs w:val="16"/>
        </w:rPr>
        <w:t>g</w:t>
      </w:r>
      <w:r w:rsidRPr="00A07F29">
        <w:rPr>
          <w:rFonts w:ascii="Times New Roman" w:eastAsia="Calibri" w:hAnsi="Times New Roman" w:cs="Times New Roman"/>
          <w:spacing w:val="-1"/>
          <w:sz w:val="16"/>
          <w:szCs w:val="16"/>
        </w:rPr>
        <w:t>a</w:t>
      </w:r>
      <w:r w:rsidRPr="00A07F29">
        <w:rPr>
          <w:rFonts w:ascii="Times New Roman" w:eastAsia="Calibri" w:hAnsi="Times New Roman" w:cs="Times New Roman"/>
          <w:sz w:val="16"/>
          <w:szCs w:val="16"/>
        </w:rPr>
        <w:t xml:space="preserve">s, </w:t>
      </w:r>
      <w:r w:rsidRPr="00A07F29">
        <w:rPr>
          <w:rFonts w:ascii="Times New Roman" w:eastAsia="Calibri" w:hAnsi="Times New Roman" w:cs="Times New Roman"/>
          <w:spacing w:val="-2"/>
          <w:sz w:val="16"/>
          <w:szCs w:val="16"/>
        </w:rPr>
        <w:t>k</w:t>
      </w:r>
      <w:r w:rsidRPr="00A07F29">
        <w:rPr>
          <w:rFonts w:ascii="Times New Roman" w:eastAsia="Calibri" w:hAnsi="Times New Roman" w:cs="Times New Roman"/>
          <w:spacing w:val="-1"/>
          <w:sz w:val="16"/>
          <w:szCs w:val="16"/>
        </w:rPr>
        <w:t>a</w:t>
      </w:r>
      <w:r w:rsidRPr="00A07F29">
        <w:rPr>
          <w:rFonts w:ascii="Times New Roman" w:eastAsia="Calibri" w:hAnsi="Times New Roman" w:cs="Times New Roman"/>
          <w:sz w:val="16"/>
          <w:szCs w:val="16"/>
        </w:rPr>
        <w:t>s</w:t>
      </w:r>
      <w:r w:rsidRPr="00A07F29">
        <w:rPr>
          <w:rFonts w:ascii="Times New Roman" w:eastAsia="Calibri" w:hAnsi="Times New Roman" w:cs="Times New Roman"/>
          <w:spacing w:val="-2"/>
          <w:sz w:val="16"/>
          <w:szCs w:val="16"/>
        </w:rPr>
        <w:t xml:space="preserve"> </w:t>
      </w:r>
      <w:r w:rsidRPr="00A07F29">
        <w:rPr>
          <w:rFonts w:ascii="Times New Roman" w:eastAsia="Calibri" w:hAnsi="Times New Roman" w:cs="Times New Roman"/>
          <w:spacing w:val="1"/>
          <w:sz w:val="16"/>
          <w:szCs w:val="16"/>
        </w:rPr>
        <w:t>i</w:t>
      </w:r>
      <w:r w:rsidRPr="00A07F29">
        <w:rPr>
          <w:rFonts w:ascii="Times New Roman" w:eastAsia="Calibri" w:hAnsi="Times New Roman" w:cs="Times New Roman"/>
          <w:sz w:val="16"/>
          <w:szCs w:val="16"/>
        </w:rPr>
        <w:t>r</w:t>
      </w:r>
      <w:r w:rsidRPr="00A07F29">
        <w:rPr>
          <w:rFonts w:ascii="Times New Roman" w:eastAsia="Calibri" w:hAnsi="Times New Roman" w:cs="Times New Roman"/>
          <w:spacing w:val="1"/>
          <w:sz w:val="16"/>
          <w:szCs w:val="16"/>
        </w:rPr>
        <w:t xml:space="preserve"> </w:t>
      </w:r>
      <w:r w:rsidRPr="00A07F29">
        <w:rPr>
          <w:rFonts w:ascii="Times New Roman" w:eastAsia="Calibri" w:hAnsi="Times New Roman" w:cs="Times New Roman"/>
          <w:sz w:val="16"/>
          <w:szCs w:val="16"/>
        </w:rPr>
        <w:t>Kop</w:t>
      </w:r>
      <w:r w:rsidRPr="00A07F29">
        <w:rPr>
          <w:rFonts w:ascii="Times New Roman" w:eastAsia="Calibri" w:hAnsi="Times New Roman" w:cs="Times New Roman"/>
          <w:spacing w:val="1"/>
          <w:sz w:val="16"/>
          <w:szCs w:val="16"/>
        </w:rPr>
        <w:t>i</w:t>
      </w:r>
      <w:r w:rsidRPr="00A07F29">
        <w:rPr>
          <w:rFonts w:ascii="Times New Roman" w:eastAsia="Calibri" w:hAnsi="Times New Roman" w:cs="Times New Roman"/>
          <w:spacing w:val="-1"/>
          <w:sz w:val="16"/>
          <w:szCs w:val="16"/>
        </w:rPr>
        <w:t>e</w:t>
      </w:r>
      <w:r w:rsidRPr="00A07F29">
        <w:rPr>
          <w:rFonts w:ascii="Times New Roman" w:eastAsia="Calibri" w:hAnsi="Times New Roman" w:cs="Times New Roman"/>
          <w:sz w:val="16"/>
          <w:szCs w:val="16"/>
        </w:rPr>
        <w:t>n</w:t>
      </w:r>
      <w:r w:rsidRPr="00A07F29">
        <w:rPr>
          <w:rFonts w:ascii="Times New Roman" w:eastAsia="Calibri" w:hAnsi="Times New Roman" w:cs="Times New Roman"/>
          <w:spacing w:val="-1"/>
          <w:sz w:val="16"/>
          <w:szCs w:val="16"/>
        </w:rPr>
        <w:t>a</w:t>
      </w:r>
      <w:r w:rsidRPr="00A07F29">
        <w:rPr>
          <w:rFonts w:ascii="Times New Roman" w:eastAsia="Calibri" w:hAnsi="Times New Roman" w:cs="Times New Roman"/>
          <w:sz w:val="16"/>
          <w:szCs w:val="16"/>
        </w:rPr>
        <w:t>s</w:t>
      </w:r>
      <w:r w:rsidRPr="00A07F29">
        <w:rPr>
          <w:rFonts w:ascii="Times New Roman" w:eastAsia="Calibri" w:hAnsi="Times New Roman" w:cs="Times New Roman"/>
          <w:spacing w:val="-6"/>
          <w:sz w:val="16"/>
          <w:szCs w:val="16"/>
        </w:rPr>
        <w:t xml:space="preserve"> </w:t>
      </w:r>
      <w:r w:rsidRPr="00A07F29">
        <w:rPr>
          <w:rFonts w:ascii="Times New Roman" w:eastAsia="Calibri" w:hAnsi="Times New Roman" w:cs="Times New Roman"/>
          <w:spacing w:val="1"/>
          <w:sz w:val="16"/>
          <w:szCs w:val="16"/>
        </w:rPr>
        <w:t>i</w:t>
      </w:r>
      <w:r w:rsidRPr="00A07F29">
        <w:rPr>
          <w:rFonts w:ascii="Times New Roman" w:eastAsia="Calibri" w:hAnsi="Times New Roman" w:cs="Times New Roman"/>
          <w:sz w:val="16"/>
          <w:szCs w:val="16"/>
        </w:rPr>
        <w:t>n</w:t>
      </w:r>
      <w:r w:rsidRPr="00A07F29">
        <w:rPr>
          <w:rFonts w:ascii="Times New Roman" w:eastAsia="Calibri" w:hAnsi="Times New Roman" w:cs="Times New Roman"/>
          <w:spacing w:val="1"/>
          <w:sz w:val="16"/>
          <w:szCs w:val="16"/>
        </w:rPr>
        <w:t>t</w:t>
      </w:r>
      <w:r w:rsidRPr="00A07F29">
        <w:rPr>
          <w:rFonts w:ascii="Times New Roman" w:eastAsia="Calibri" w:hAnsi="Times New Roman" w:cs="Times New Roman"/>
          <w:spacing w:val="-1"/>
          <w:sz w:val="16"/>
          <w:szCs w:val="16"/>
        </w:rPr>
        <w:t>e</w:t>
      </w:r>
      <w:r w:rsidRPr="00A07F29">
        <w:rPr>
          <w:rFonts w:ascii="Times New Roman" w:eastAsia="Calibri" w:hAnsi="Times New Roman" w:cs="Times New Roman"/>
          <w:spacing w:val="2"/>
          <w:sz w:val="16"/>
          <w:szCs w:val="16"/>
        </w:rPr>
        <w:t>r</w:t>
      </w:r>
      <w:r w:rsidRPr="00A07F29">
        <w:rPr>
          <w:rFonts w:ascii="Times New Roman" w:eastAsia="Calibri" w:hAnsi="Times New Roman" w:cs="Times New Roman"/>
          <w:spacing w:val="-1"/>
          <w:sz w:val="16"/>
          <w:szCs w:val="16"/>
        </w:rPr>
        <w:t>e</w:t>
      </w:r>
      <w:r w:rsidRPr="00A07F29">
        <w:rPr>
          <w:rFonts w:ascii="Times New Roman" w:eastAsia="Calibri" w:hAnsi="Times New Roman" w:cs="Times New Roman"/>
          <w:sz w:val="16"/>
          <w:szCs w:val="16"/>
        </w:rPr>
        <w:t>šu</w:t>
      </w:r>
      <w:r w:rsidRPr="00A07F29">
        <w:rPr>
          <w:rFonts w:ascii="Times New Roman" w:eastAsia="Calibri" w:hAnsi="Times New Roman" w:cs="Times New Roman"/>
          <w:spacing w:val="-2"/>
          <w:sz w:val="16"/>
          <w:szCs w:val="16"/>
        </w:rPr>
        <w:t xml:space="preserve"> </w:t>
      </w:r>
      <w:r w:rsidRPr="00A07F29">
        <w:rPr>
          <w:rFonts w:ascii="Times New Roman" w:eastAsia="Calibri" w:hAnsi="Times New Roman" w:cs="Times New Roman"/>
          <w:sz w:val="16"/>
          <w:szCs w:val="16"/>
        </w:rPr>
        <w:t>s</w:t>
      </w:r>
      <w:r w:rsidRPr="00A07F29">
        <w:rPr>
          <w:rFonts w:ascii="Times New Roman" w:eastAsia="Calibri" w:hAnsi="Times New Roman" w:cs="Times New Roman"/>
          <w:spacing w:val="-1"/>
          <w:sz w:val="16"/>
          <w:szCs w:val="16"/>
        </w:rPr>
        <w:t>fēr</w:t>
      </w:r>
      <w:r w:rsidRPr="00A07F29">
        <w:rPr>
          <w:rFonts w:ascii="Times New Roman" w:eastAsia="Calibri" w:hAnsi="Times New Roman" w:cs="Times New Roman"/>
          <w:sz w:val="16"/>
          <w:szCs w:val="16"/>
        </w:rPr>
        <w:t>ā</w:t>
      </w:r>
      <w:r w:rsidRPr="00A07F29">
        <w:rPr>
          <w:rFonts w:ascii="Times New Roman" w:eastAsia="Calibri" w:hAnsi="Times New Roman" w:cs="Times New Roman"/>
          <w:spacing w:val="-4"/>
          <w:sz w:val="16"/>
          <w:szCs w:val="16"/>
        </w:rPr>
        <w:t xml:space="preserve"> </w:t>
      </w:r>
      <w:r w:rsidRPr="00A07F29">
        <w:rPr>
          <w:rFonts w:ascii="Times New Roman" w:eastAsia="Calibri" w:hAnsi="Times New Roman" w:cs="Times New Roman"/>
          <w:sz w:val="16"/>
          <w:szCs w:val="16"/>
        </w:rPr>
        <w:t xml:space="preserve">un </w:t>
      </w:r>
      <w:r w:rsidRPr="00A07F29">
        <w:rPr>
          <w:rFonts w:ascii="Times New Roman" w:eastAsia="Calibri" w:hAnsi="Times New Roman" w:cs="Times New Roman"/>
          <w:spacing w:val="-2"/>
          <w:sz w:val="16"/>
          <w:szCs w:val="16"/>
        </w:rPr>
        <w:t>k</w:t>
      </w:r>
      <w:r w:rsidRPr="00A07F29">
        <w:rPr>
          <w:rFonts w:ascii="Times New Roman" w:eastAsia="Calibri" w:hAnsi="Times New Roman" w:cs="Times New Roman"/>
          <w:spacing w:val="2"/>
          <w:sz w:val="16"/>
          <w:szCs w:val="16"/>
        </w:rPr>
        <w:t>u</w:t>
      </w:r>
      <w:r w:rsidRPr="00A07F29">
        <w:rPr>
          <w:rFonts w:ascii="Times New Roman" w:eastAsia="Calibri" w:hAnsi="Times New Roman" w:cs="Times New Roman"/>
          <w:spacing w:val="-1"/>
          <w:sz w:val="16"/>
          <w:szCs w:val="16"/>
        </w:rPr>
        <w:t>r</w:t>
      </w:r>
      <w:r w:rsidRPr="00A07F29">
        <w:rPr>
          <w:rFonts w:ascii="Times New Roman" w:eastAsia="Calibri" w:hAnsi="Times New Roman" w:cs="Times New Roman"/>
          <w:sz w:val="16"/>
          <w:szCs w:val="16"/>
        </w:rPr>
        <w:t>u</w:t>
      </w:r>
      <w:r w:rsidRPr="00A07F29">
        <w:rPr>
          <w:rFonts w:ascii="Times New Roman" w:eastAsia="Calibri" w:hAnsi="Times New Roman" w:cs="Times New Roman"/>
          <w:spacing w:val="-4"/>
          <w:sz w:val="16"/>
          <w:szCs w:val="16"/>
        </w:rPr>
        <w:t xml:space="preserve"> </w:t>
      </w:r>
      <w:r w:rsidRPr="00A07F29">
        <w:rPr>
          <w:rFonts w:ascii="Times New Roman" w:eastAsia="Calibri" w:hAnsi="Times New Roman" w:cs="Times New Roman"/>
          <w:spacing w:val="1"/>
          <w:sz w:val="16"/>
          <w:szCs w:val="16"/>
        </w:rPr>
        <w:t>i</w:t>
      </w:r>
      <w:r w:rsidRPr="00A07F29">
        <w:rPr>
          <w:rFonts w:ascii="Times New Roman" w:eastAsia="Calibri" w:hAnsi="Times New Roman" w:cs="Times New Roman"/>
          <w:spacing w:val="2"/>
          <w:sz w:val="16"/>
          <w:szCs w:val="16"/>
        </w:rPr>
        <w:t>e</w:t>
      </w:r>
      <w:r w:rsidRPr="00A07F29">
        <w:rPr>
          <w:rFonts w:ascii="Times New Roman" w:eastAsia="Calibri" w:hAnsi="Times New Roman" w:cs="Times New Roman"/>
          <w:spacing w:val="-2"/>
          <w:sz w:val="16"/>
          <w:szCs w:val="16"/>
        </w:rPr>
        <w:t>g</w:t>
      </w:r>
      <w:r w:rsidRPr="00A07F29">
        <w:rPr>
          <w:rFonts w:ascii="Times New Roman" w:eastAsia="Calibri" w:hAnsi="Times New Roman" w:cs="Times New Roman"/>
          <w:sz w:val="16"/>
          <w:szCs w:val="16"/>
        </w:rPr>
        <w:t>ūš</w:t>
      </w:r>
      <w:r w:rsidRPr="00A07F29">
        <w:rPr>
          <w:rFonts w:ascii="Times New Roman" w:eastAsia="Calibri" w:hAnsi="Times New Roman" w:cs="Times New Roman"/>
          <w:spacing w:val="-1"/>
          <w:sz w:val="16"/>
          <w:szCs w:val="16"/>
        </w:rPr>
        <w:t>a</w:t>
      </w:r>
      <w:r w:rsidRPr="00A07F29">
        <w:rPr>
          <w:rFonts w:ascii="Times New Roman" w:eastAsia="Calibri" w:hAnsi="Times New Roman" w:cs="Times New Roman"/>
          <w:spacing w:val="2"/>
          <w:sz w:val="16"/>
          <w:szCs w:val="16"/>
        </w:rPr>
        <w:t>n</w:t>
      </w:r>
      <w:r w:rsidRPr="00A07F29">
        <w:rPr>
          <w:rFonts w:ascii="Times New Roman" w:eastAsia="Calibri" w:hAnsi="Times New Roman" w:cs="Times New Roman"/>
          <w:sz w:val="16"/>
          <w:szCs w:val="16"/>
        </w:rPr>
        <w:t>a</w:t>
      </w:r>
      <w:r w:rsidRPr="00A07F29">
        <w:rPr>
          <w:rFonts w:ascii="Times New Roman" w:eastAsia="Calibri" w:hAnsi="Times New Roman" w:cs="Times New Roman"/>
          <w:spacing w:val="-6"/>
          <w:sz w:val="16"/>
          <w:szCs w:val="16"/>
        </w:rPr>
        <w:t xml:space="preserve"> </w:t>
      </w:r>
      <w:r w:rsidRPr="00A07F29">
        <w:rPr>
          <w:rFonts w:ascii="Times New Roman" w:eastAsia="Calibri" w:hAnsi="Times New Roman" w:cs="Times New Roman"/>
          <w:spacing w:val="2"/>
          <w:sz w:val="16"/>
          <w:szCs w:val="16"/>
        </w:rPr>
        <w:t>u</w:t>
      </w:r>
      <w:r w:rsidRPr="00A07F29">
        <w:rPr>
          <w:rFonts w:ascii="Times New Roman" w:eastAsia="Calibri" w:hAnsi="Times New Roman" w:cs="Times New Roman"/>
          <w:sz w:val="16"/>
          <w:szCs w:val="16"/>
        </w:rPr>
        <w:t>n</w:t>
      </w:r>
      <w:r w:rsidRPr="00A07F29">
        <w:rPr>
          <w:rFonts w:ascii="Times New Roman" w:eastAsia="Calibri" w:hAnsi="Times New Roman" w:cs="Times New Roman"/>
          <w:spacing w:val="-2"/>
          <w:sz w:val="16"/>
          <w:szCs w:val="16"/>
        </w:rPr>
        <w:t xml:space="preserve"> </w:t>
      </w:r>
      <w:r w:rsidRPr="00A07F29">
        <w:rPr>
          <w:rFonts w:ascii="Times New Roman" w:eastAsia="Calibri" w:hAnsi="Times New Roman" w:cs="Times New Roman"/>
          <w:spacing w:val="-1"/>
          <w:sz w:val="16"/>
          <w:szCs w:val="16"/>
        </w:rPr>
        <w:t>e</w:t>
      </w:r>
      <w:r w:rsidRPr="00A07F29">
        <w:rPr>
          <w:rFonts w:ascii="Times New Roman" w:eastAsia="Calibri" w:hAnsi="Times New Roman" w:cs="Times New Roman"/>
          <w:spacing w:val="-2"/>
          <w:sz w:val="16"/>
          <w:szCs w:val="16"/>
        </w:rPr>
        <w:t>k</w:t>
      </w:r>
      <w:r w:rsidRPr="00A07F29">
        <w:rPr>
          <w:rFonts w:ascii="Times New Roman" w:eastAsia="Calibri" w:hAnsi="Times New Roman" w:cs="Times New Roman"/>
          <w:sz w:val="16"/>
          <w:szCs w:val="16"/>
        </w:rPr>
        <w:t>sp</w:t>
      </w:r>
      <w:r w:rsidRPr="00A07F29">
        <w:rPr>
          <w:rFonts w:ascii="Times New Roman" w:eastAsia="Calibri" w:hAnsi="Times New Roman" w:cs="Times New Roman"/>
          <w:spacing w:val="1"/>
          <w:sz w:val="16"/>
          <w:szCs w:val="16"/>
        </w:rPr>
        <w:t>l</w:t>
      </w:r>
      <w:r w:rsidRPr="00A07F29">
        <w:rPr>
          <w:rFonts w:ascii="Times New Roman" w:eastAsia="Calibri" w:hAnsi="Times New Roman" w:cs="Times New Roman"/>
          <w:sz w:val="16"/>
          <w:szCs w:val="16"/>
        </w:rPr>
        <w:t>u</w:t>
      </w:r>
      <w:r w:rsidRPr="00A07F29">
        <w:rPr>
          <w:rFonts w:ascii="Times New Roman" w:eastAsia="Calibri" w:hAnsi="Times New Roman" w:cs="Times New Roman"/>
          <w:spacing w:val="-1"/>
          <w:sz w:val="16"/>
          <w:szCs w:val="16"/>
        </w:rPr>
        <w:t>a</w:t>
      </w:r>
      <w:r w:rsidRPr="00A07F29">
        <w:rPr>
          <w:rFonts w:ascii="Times New Roman" w:eastAsia="Calibri" w:hAnsi="Times New Roman" w:cs="Times New Roman"/>
          <w:spacing w:val="3"/>
          <w:sz w:val="16"/>
          <w:szCs w:val="16"/>
        </w:rPr>
        <w:t>t</w:t>
      </w:r>
      <w:r w:rsidRPr="00A07F29">
        <w:rPr>
          <w:rFonts w:ascii="Times New Roman" w:eastAsia="Calibri" w:hAnsi="Times New Roman" w:cs="Times New Roman"/>
          <w:spacing w:val="-1"/>
          <w:sz w:val="16"/>
          <w:szCs w:val="16"/>
        </w:rPr>
        <w:t>āc</w:t>
      </w:r>
      <w:r w:rsidRPr="00A07F29">
        <w:rPr>
          <w:rFonts w:ascii="Times New Roman" w:eastAsia="Calibri" w:hAnsi="Times New Roman" w:cs="Times New Roman"/>
          <w:spacing w:val="1"/>
          <w:sz w:val="16"/>
          <w:szCs w:val="16"/>
        </w:rPr>
        <w:t>ij</w:t>
      </w:r>
      <w:r w:rsidRPr="00A07F29">
        <w:rPr>
          <w:rFonts w:ascii="Times New Roman" w:eastAsia="Calibri" w:hAnsi="Times New Roman" w:cs="Times New Roman"/>
          <w:sz w:val="16"/>
          <w:szCs w:val="16"/>
        </w:rPr>
        <w:t>a</w:t>
      </w:r>
      <w:r w:rsidRPr="00A07F29">
        <w:rPr>
          <w:rFonts w:ascii="Times New Roman" w:eastAsia="Calibri" w:hAnsi="Times New Roman" w:cs="Times New Roman"/>
          <w:spacing w:val="-6"/>
          <w:sz w:val="16"/>
          <w:szCs w:val="16"/>
        </w:rPr>
        <w:t xml:space="preserve"> </w:t>
      </w:r>
      <w:r w:rsidRPr="00A07F29">
        <w:rPr>
          <w:rFonts w:ascii="Times New Roman" w:eastAsia="Calibri" w:hAnsi="Times New Roman" w:cs="Times New Roman"/>
          <w:sz w:val="16"/>
          <w:szCs w:val="16"/>
        </w:rPr>
        <w:t>d</w:t>
      </w:r>
      <w:r w:rsidRPr="00A07F29">
        <w:rPr>
          <w:rFonts w:ascii="Times New Roman" w:eastAsia="Calibri" w:hAnsi="Times New Roman" w:cs="Times New Roman"/>
          <w:spacing w:val="-1"/>
          <w:sz w:val="16"/>
          <w:szCs w:val="16"/>
        </w:rPr>
        <w:t>a</w:t>
      </w:r>
      <w:r w:rsidRPr="00A07F29">
        <w:rPr>
          <w:rFonts w:ascii="Times New Roman" w:eastAsia="Calibri" w:hAnsi="Times New Roman" w:cs="Times New Roman"/>
          <w:spacing w:val="2"/>
          <w:sz w:val="16"/>
          <w:szCs w:val="16"/>
        </w:rPr>
        <w:t>b</w:t>
      </w:r>
      <w:r w:rsidRPr="00A07F29">
        <w:rPr>
          <w:rFonts w:ascii="Times New Roman" w:eastAsia="Calibri" w:hAnsi="Times New Roman" w:cs="Times New Roman"/>
          <w:sz w:val="16"/>
          <w:szCs w:val="16"/>
        </w:rPr>
        <w:t>ā</w:t>
      </w:r>
      <w:r w:rsidRPr="00A07F29">
        <w:rPr>
          <w:rFonts w:ascii="Times New Roman" w:eastAsia="Calibri" w:hAnsi="Times New Roman" w:cs="Times New Roman"/>
          <w:spacing w:val="-3"/>
          <w:sz w:val="16"/>
          <w:szCs w:val="16"/>
        </w:rPr>
        <w:t xml:space="preserve"> </w:t>
      </w:r>
      <w:r w:rsidRPr="00A07F29">
        <w:rPr>
          <w:rFonts w:ascii="Times New Roman" w:eastAsia="Calibri" w:hAnsi="Times New Roman" w:cs="Times New Roman"/>
          <w:sz w:val="16"/>
          <w:szCs w:val="16"/>
        </w:rPr>
        <w:t>v</w:t>
      </w:r>
      <w:r w:rsidRPr="00A07F29">
        <w:rPr>
          <w:rFonts w:ascii="Times New Roman" w:eastAsia="Calibri" w:hAnsi="Times New Roman" w:cs="Times New Roman"/>
          <w:spacing w:val="2"/>
          <w:sz w:val="16"/>
          <w:szCs w:val="16"/>
        </w:rPr>
        <w:t>a</w:t>
      </w:r>
      <w:r w:rsidRPr="00A07F29">
        <w:rPr>
          <w:rFonts w:ascii="Times New Roman" w:eastAsia="Calibri" w:hAnsi="Times New Roman" w:cs="Times New Roman"/>
          <w:sz w:val="16"/>
          <w:szCs w:val="16"/>
        </w:rPr>
        <w:t>r būt</w:t>
      </w:r>
      <w:r w:rsidRPr="00A07F29">
        <w:rPr>
          <w:rFonts w:ascii="Times New Roman" w:eastAsia="Calibri" w:hAnsi="Times New Roman" w:cs="Times New Roman"/>
          <w:spacing w:val="-2"/>
          <w:sz w:val="16"/>
          <w:szCs w:val="16"/>
        </w:rPr>
        <w:t xml:space="preserve"> </w:t>
      </w:r>
      <w:r w:rsidRPr="00A07F29">
        <w:rPr>
          <w:rFonts w:ascii="Times New Roman" w:eastAsia="Calibri" w:hAnsi="Times New Roman" w:cs="Times New Roman"/>
          <w:w w:val="99"/>
          <w:sz w:val="16"/>
          <w:szCs w:val="16"/>
        </w:rPr>
        <w:t>p</w:t>
      </w:r>
      <w:r w:rsidRPr="00A07F29">
        <w:rPr>
          <w:rFonts w:ascii="Times New Roman" w:eastAsia="Calibri" w:hAnsi="Times New Roman" w:cs="Times New Roman"/>
          <w:spacing w:val="1"/>
          <w:sz w:val="16"/>
          <w:szCs w:val="16"/>
        </w:rPr>
        <w:t>i</w:t>
      </w:r>
      <w:r w:rsidRPr="00A07F29">
        <w:rPr>
          <w:rFonts w:ascii="Times New Roman" w:eastAsia="Calibri" w:hAnsi="Times New Roman" w:cs="Times New Roman"/>
          <w:spacing w:val="-1"/>
          <w:sz w:val="16"/>
          <w:szCs w:val="16"/>
        </w:rPr>
        <w:t>eļa</w:t>
      </w:r>
      <w:r w:rsidRPr="00A07F29">
        <w:rPr>
          <w:rFonts w:ascii="Times New Roman" w:eastAsia="Calibri" w:hAnsi="Times New Roman" w:cs="Times New Roman"/>
          <w:w w:val="99"/>
          <w:sz w:val="16"/>
          <w:szCs w:val="16"/>
        </w:rPr>
        <w:t>u</w:t>
      </w:r>
      <w:r w:rsidRPr="00A07F29">
        <w:rPr>
          <w:rFonts w:ascii="Times New Roman" w:eastAsia="Calibri" w:hAnsi="Times New Roman" w:cs="Times New Roman"/>
          <w:spacing w:val="1"/>
          <w:sz w:val="16"/>
          <w:szCs w:val="16"/>
        </w:rPr>
        <w:t>j</w:t>
      </w:r>
      <w:r w:rsidRPr="00A07F29">
        <w:rPr>
          <w:rFonts w:ascii="Times New Roman" w:eastAsia="Calibri" w:hAnsi="Times New Roman" w:cs="Times New Roman"/>
          <w:spacing w:val="-1"/>
          <w:sz w:val="16"/>
          <w:szCs w:val="16"/>
        </w:rPr>
        <w:t>a</w:t>
      </w:r>
      <w:r w:rsidRPr="00A07F29">
        <w:rPr>
          <w:rFonts w:ascii="Times New Roman" w:eastAsia="Calibri" w:hAnsi="Times New Roman" w:cs="Times New Roman"/>
          <w:spacing w:val="1"/>
          <w:sz w:val="16"/>
          <w:szCs w:val="16"/>
        </w:rPr>
        <w:t>m</w:t>
      </w:r>
      <w:r w:rsidRPr="00A07F29">
        <w:rPr>
          <w:rFonts w:ascii="Times New Roman" w:eastAsia="Calibri" w:hAnsi="Times New Roman" w:cs="Times New Roman"/>
          <w:spacing w:val="-1"/>
          <w:sz w:val="16"/>
          <w:szCs w:val="16"/>
        </w:rPr>
        <w:t>a</w:t>
      </w:r>
      <w:r w:rsidRPr="00A07F29">
        <w:rPr>
          <w:rFonts w:ascii="Times New Roman" w:eastAsia="Calibri" w:hAnsi="Times New Roman" w:cs="Times New Roman"/>
          <w:w w:val="99"/>
          <w:sz w:val="16"/>
          <w:szCs w:val="16"/>
        </w:rPr>
        <w:t>.</w:t>
      </w:r>
    </w:p>
    <w:p w14:paraId="64FA5BAF" w14:textId="5067FE4C" w:rsidR="00D0385F" w:rsidRPr="00FD0627" w:rsidRDefault="002B1603" w:rsidP="00387855">
      <w:pPr>
        <w:spacing w:after="120" w:line="240" w:lineRule="auto"/>
        <w:ind w:right="79"/>
        <w:jc w:val="both"/>
        <w:rPr>
          <w:rFonts w:ascii="Times New Roman" w:eastAsia="Calibri" w:hAnsi="Times New Roman" w:cs="Times New Roman"/>
          <w:sz w:val="16"/>
          <w:szCs w:val="16"/>
        </w:rPr>
      </w:pPr>
      <w:r w:rsidRPr="00A07F29">
        <w:rPr>
          <w:rFonts w:ascii="Times New Roman" w:eastAsia="Calibri" w:hAnsi="Times New Roman" w:cs="Times New Roman"/>
          <w:b/>
          <w:sz w:val="16"/>
          <w:szCs w:val="16"/>
        </w:rPr>
        <w:t xml:space="preserve">ĪAS </w:t>
      </w:r>
      <w:r w:rsidRPr="00A07F29">
        <w:rPr>
          <w:rFonts w:ascii="Times New Roman" w:eastAsia="Calibri" w:hAnsi="Times New Roman" w:cs="Times New Roman"/>
          <w:sz w:val="16"/>
          <w:szCs w:val="16"/>
        </w:rPr>
        <w:t>–</w:t>
      </w:r>
      <w:r w:rsidRPr="00A07F29">
        <w:rPr>
          <w:rFonts w:ascii="Times New Roman" w:eastAsia="Calibri" w:hAnsi="Times New Roman" w:cs="Times New Roman"/>
          <w:spacing w:val="-2"/>
          <w:sz w:val="16"/>
          <w:szCs w:val="16"/>
        </w:rPr>
        <w:t xml:space="preserve"> </w:t>
      </w:r>
      <w:r w:rsidR="0062724A">
        <w:rPr>
          <w:rFonts w:ascii="Times New Roman" w:eastAsia="Calibri" w:hAnsi="Times New Roman" w:cs="Times New Roman"/>
          <w:spacing w:val="-2"/>
          <w:sz w:val="16"/>
          <w:szCs w:val="16"/>
        </w:rPr>
        <w:t>īpaši aizsargājama suga</w:t>
      </w:r>
      <w:r w:rsidR="007A4939">
        <w:rPr>
          <w:rFonts w:ascii="Times New Roman" w:eastAsia="Calibri" w:hAnsi="Times New Roman" w:cs="Times New Roman"/>
          <w:spacing w:val="-2"/>
          <w:sz w:val="16"/>
          <w:szCs w:val="16"/>
        </w:rPr>
        <w:t xml:space="preserve"> </w:t>
      </w:r>
      <w:r w:rsidR="00F85AC6">
        <w:rPr>
          <w:rFonts w:ascii="Times New Roman" w:eastAsia="Calibri" w:hAnsi="Times New Roman" w:cs="Times New Roman"/>
          <w:spacing w:val="-2"/>
          <w:sz w:val="16"/>
          <w:szCs w:val="16"/>
        </w:rPr>
        <w:t>(</w:t>
      </w:r>
      <w:r w:rsidR="000D0652" w:rsidRPr="000D0652">
        <w:rPr>
          <w:rFonts w:ascii="Times New Roman" w:eastAsia="Calibri" w:hAnsi="Times New Roman" w:cs="Times New Roman"/>
          <w:spacing w:val="-2"/>
          <w:sz w:val="16"/>
          <w:szCs w:val="16"/>
        </w:rPr>
        <w:t>atbilstoši MK 2000. gada 14. novembra noteikumu Nr. 396. ”Noteikumi par īpaši aizsargājamo sugu un ierobežoti izmantojamo īpaši aizsargājamo sugu sarakstu” 1. un 2. pielikumam</w:t>
      </w:r>
      <w:r w:rsidR="00F85AC6">
        <w:rPr>
          <w:rFonts w:ascii="Times New Roman" w:eastAsia="Calibri" w:hAnsi="Times New Roman" w:cs="Times New Roman"/>
          <w:spacing w:val="-2"/>
          <w:sz w:val="16"/>
          <w:szCs w:val="16"/>
        </w:rPr>
        <w:t>)</w:t>
      </w:r>
      <w:r w:rsidR="000D0652">
        <w:rPr>
          <w:rFonts w:ascii="Times New Roman" w:eastAsia="Calibri" w:hAnsi="Times New Roman" w:cs="Times New Roman"/>
          <w:spacing w:val="-2"/>
          <w:sz w:val="16"/>
          <w:szCs w:val="16"/>
        </w:rPr>
        <w:t xml:space="preserve"> </w:t>
      </w:r>
      <w:r w:rsidR="00E04DFD" w:rsidRPr="00A07F29">
        <w:rPr>
          <w:rFonts w:ascii="Times New Roman" w:eastAsia="Calibri" w:hAnsi="Times New Roman" w:cs="Times New Roman"/>
          <w:spacing w:val="-2"/>
          <w:sz w:val="16"/>
          <w:szCs w:val="16"/>
        </w:rPr>
        <w:t xml:space="preserve">Ar </w:t>
      </w:r>
      <w:r w:rsidR="00E04DFD" w:rsidRPr="00124864">
        <w:rPr>
          <w:rFonts w:ascii="Times New Roman" w:eastAsia="Calibri" w:hAnsi="Times New Roman" w:cs="Times New Roman"/>
          <w:b/>
          <w:bCs/>
          <w:spacing w:val="-2"/>
          <w:sz w:val="16"/>
          <w:szCs w:val="16"/>
          <w:vertAlign w:val="superscript"/>
        </w:rPr>
        <w:t>1</w:t>
      </w:r>
      <w:r w:rsidR="00E04DFD" w:rsidRPr="00A07F29">
        <w:rPr>
          <w:rFonts w:ascii="Times New Roman" w:eastAsia="Calibri" w:hAnsi="Times New Roman" w:cs="Times New Roman"/>
          <w:spacing w:val="-2"/>
          <w:sz w:val="16"/>
          <w:szCs w:val="16"/>
        </w:rPr>
        <w:t xml:space="preserve"> atzīmētas sugas, kuru aizsardzībai var veidot mikroliegumus </w:t>
      </w:r>
      <w:r w:rsidR="00AA3825">
        <w:rPr>
          <w:rFonts w:ascii="Times New Roman" w:eastAsia="Calibri" w:hAnsi="Times New Roman" w:cs="Times New Roman"/>
          <w:spacing w:val="-2"/>
          <w:sz w:val="16"/>
          <w:szCs w:val="16"/>
        </w:rPr>
        <w:t>(</w:t>
      </w:r>
      <w:r w:rsidR="00AA3825" w:rsidRPr="00AA3825">
        <w:rPr>
          <w:rFonts w:ascii="Times New Roman" w:eastAsia="Calibri" w:hAnsi="Times New Roman" w:cs="Times New Roman"/>
          <w:spacing w:val="-2"/>
          <w:sz w:val="16"/>
          <w:szCs w:val="16"/>
        </w:rPr>
        <w:t>atbilstoši MK 2012. gada 18. decembra noteikumiem Nr. 940 „Noteikumi par mikroliegumu izveidošanas un apsaimniekošanas kārtību, to aizsardzību, kā arī mikroliegumu un to buferzonu noteikšanu”</w:t>
      </w:r>
      <w:r w:rsidRPr="00A07F29">
        <w:rPr>
          <w:rFonts w:ascii="Times New Roman" w:eastAsia="Calibri" w:hAnsi="Times New Roman" w:cs="Times New Roman"/>
          <w:sz w:val="16"/>
          <w:szCs w:val="16"/>
        </w:rPr>
        <w:t>).</w:t>
      </w:r>
      <w:bookmarkEnd w:id="70"/>
    </w:p>
    <w:p w14:paraId="210FD26B" w14:textId="77777777" w:rsidR="006319BB" w:rsidRPr="00A07F29" w:rsidRDefault="006319BB" w:rsidP="002B1603">
      <w:pPr>
        <w:spacing w:after="0" w:line="240" w:lineRule="auto"/>
        <w:ind w:firstLine="851"/>
        <w:jc w:val="both"/>
        <w:rPr>
          <w:rFonts w:ascii="Times New Roman" w:eastAsia="Calibri" w:hAnsi="Times New Roman" w:cs="Times New Roman"/>
          <w:b/>
          <w:sz w:val="24"/>
          <w:szCs w:val="24"/>
        </w:rPr>
      </w:pPr>
    </w:p>
    <w:p w14:paraId="7B18B097" w14:textId="5E1CFFE8" w:rsidR="002B1603" w:rsidRPr="00A07F29" w:rsidRDefault="002B1603" w:rsidP="00B649FD">
      <w:pPr>
        <w:spacing w:after="120" w:line="240" w:lineRule="auto"/>
        <w:jc w:val="center"/>
        <w:rPr>
          <w:rFonts w:ascii="Times New Roman" w:eastAsia="Calibri" w:hAnsi="Times New Roman" w:cs="Times New Roman"/>
          <w:bCs/>
          <w:sz w:val="24"/>
          <w:szCs w:val="24"/>
        </w:rPr>
      </w:pPr>
      <w:bookmarkStart w:id="71" w:name="_Hlk58891842"/>
      <w:r w:rsidRPr="00A07F29">
        <w:rPr>
          <w:rFonts w:ascii="Times New Roman" w:eastAsia="Calibri" w:hAnsi="Times New Roman" w:cs="Times New Roman"/>
          <w:sz w:val="24"/>
          <w:szCs w:val="24"/>
        </w:rPr>
        <w:t>4.4.3.</w:t>
      </w:r>
      <w:r w:rsidR="006A163B" w:rsidRPr="00A07F29">
        <w:rPr>
          <w:rFonts w:ascii="Times New Roman" w:eastAsia="Calibri" w:hAnsi="Times New Roman" w:cs="Times New Roman"/>
          <w:sz w:val="24"/>
          <w:szCs w:val="24"/>
        </w:rPr>
        <w:t>2</w:t>
      </w:r>
      <w:r w:rsidRPr="00A07F29">
        <w:rPr>
          <w:rFonts w:ascii="Times New Roman" w:eastAsia="Calibri" w:hAnsi="Times New Roman" w:cs="Times New Roman"/>
          <w:sz w:val="24"/>
          <w:szCs w:val="24"/>
        </w:rPr>
        <w:t>.</w:t>
      </w:r>
      <w:r w:rsidR="006A7998">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tabula. Direktīvu pielikumos iekļauto </w:t>
      </w:r>
      <w:proofErr w:type="spellStart"/>
      <w:r w:rsidRPr="00A07F29">
        <w:rPr>
          <w:rFonts w:ascii="Times New Roman" w:eastAsia="Calibri" w:hAnsi="Times New Roman" w:cs="Times New Roman"/>
          <w:sz w:val="24"/>
          <w:szCs w:val="24"/>
        </w:rPr>
        <w:t>vaskulāro</w:t>
      </w:r>
      <w:proofErr w:type="spellEnd"/>
      <w:r w:rsidRPr="00A07F29">
        <w:rPr>
          <w:rFonts w:ascii="Times New Roman" w:eastAsia="Calibri" w:hAnsi="Times New Roman" w:cs="Times New Roman"/>
          <w:sz w:val="24"/>
          <w:szCs w:val="24"/>
        </w:rPr>
        <w:t xml:space="preserve"> augu sugu populāciju lielums un sugu dzīvotņu platība</w:t>
      </w:r>
    </w:p>
    <w:tbl>
      <w:tblPr>
        <w:tblW w:w="96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3"/>
        <w:gridCol w:w="1690"/>
        <w:gridCol w:w="738"/>
        <w:gridCol w:w="851"/>
        <w:gridCol w:w="1559"/>
        <w:gridCol w:w="1418"/>
        <w:gridCol w:w="962"/>
        <w:gridCol w:w="1560"/>
      </w:tblGrid>
      <w:tr w:rsidR="002B1603" w:rsidRPr="00A07F29" w14:paraId="0305EA03" w14:textId="77777777" w:rsidTr="461809C0">
        <w:tc>
          <w:tcPr>
            <w:tcW w:w="833"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7D3B7E79" w14:textId="77777777" w:rsidR="002B1603" w:rsidRPr="00A07F29" w:rsidRDefault="002B1603" w:rsidP="002B1603">
            <w:pPr>
              <w:spacing w:after="120"/>
              <w:rPr>
                <w:rFonts w:ascii="Times New Roman" w:eastAsia="Calibri" w:hAnsi="Times New Roman" w:cs="Times New Roman"/>
                <w:sz w:val="20"/>
                <w:szCs w:val="20"/>
              </w:rPr>
            </w:pPr>
            <w:proofErr w:type="spellStart"/>
            <w:r w:rsidRPr="00A07F29">
              <w:rPr>
                <w:rFonts w:ascii="Times New Roman" w:eastAsia="Calibri" w:hAnsi="Times New Roman" w:cs="Times New Roman"/>
                <w:sz w:val="20"/>
                <w:szCs w:val="20"/>
              </w:rPr>
              <w:t>Nr.p.k</w:t>
            </w:r>
            <w:proofErr w:type="spellEnd"/>
            <w:r w:rsidRPr="00A07F29">
              <w:rPr>
                <w:rFonts w:ascii="Times New Roman" w:eastAsia="Calibri" w:hAnsi="Times New Roman" w:cs="Times New Roman"/>
                <w:sz w:val="20"/>
                <w:szCs w:val="20"/>
              </w:rPr>
              <w:t>.</w:t>
            </w:r>
          </w:p>
        </w:tc>
        <w:tc>
          <w:tcPr>
            <w:tcW w:w="1690"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6E6FDE44" w14:textId="77777777" w:rsidR="002B1603" w:rsidRPr="00A07F29" w:rsidRDefault="002B1603" w:rsidP="002B1603">
            <w:pPr>
              <w:spacing w:after="120"/>
              <w:rPr>
                <w:rFonts w:ascii="Times New Roman" w:eastAsia="Calibri" w:hAnsi="Times New Roman" w:cs="Times New Roman"/>
                <w:sz w:val="20"/>
                <w:szCs w:val="20"/>
              </w:rPr>
            </w:pPr>
            <w:r w:rsidRPr="00A07F29">
              <w:rPr>
                <w:rFonts w:ascii="Times New Roman" w:eastAsia="Calibri" w:hAnsi="Times New Roman" w:cs="Times New Roman"/>
                <w:sz w:val="20"/>
                <w:szCs w:val="20"/>
              </w:rPr>
              <w:t>Sugas nosaukums (latviski un latīniski)</w:t>
            </w:r>
          </w:p>
        </w:tc>
        <w:tc>
          <w:tcPr>
            <w:tcW w:w="1589"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54AECFB6" w14:textId="4065F462" w:rsidR="002B1603" w:rsidRPr="00A07F29" w:rsidRDefault="002B1603" w:rsidP="002B1603">
            <w:pPr>
              <w:spacing w:after="120"/>
              <w:rPr>
                <w:rFonts w:ascii="Times New Roman" w:eastAsia="Calibri" w:hAnsi="Times New Roman" w:cs="Times New Roman"/>
                <w:sz w:val="20"/>
                <w:szCs w:val="20"/>
              </w:rPr>
            </w:pPr>
            <w:r w:rsidRPr="00A07F29">
              <w:rPr>
                <w:rFonts w:ascii="Times New Roman" w:eastAsia="Calibri" w:hAnsi="Times New Roman" w:cs="Times New Roman"/>
                <w:sz w:val="20"/>
                <w:szCs w:val="20"/>
              </w:rPr>
              <w:t xml:space="preserve">Sugas populācijas lielums </w:t>
            </w:r>
            <w:r w:rsidR="002C1503" w:rsidRPr="00A07F29">
              <w:rPr>
                <w:rFonts w:ascii="Times New Roman" w:eastAsia="Calibri" w:hAnsi="Times New Roman" w:cs="Times New Roman"/>
                <w:sz w:val="20"/>
                <w:szCs w:val="20"/>
              </w:rPr>
              <w:t xml:space="preserve">visā AAA </w:t>
            </w:r>
            <w:r w:rsidRPr="00A07F29">
              <w:rPr>
                <w:rFonts w:ascii="Times New Roman" w:eastAsia="Calibri" w:hAnsi="Times New Roman" w:cs="Times New Roman"/>
                <w:sz w:val="20"/>
                <w:szCs w:val="20"/>
              </w:rPr>
              <w:t>teritorijā (eksemplāri)</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51636071" w14:textId="137A2A4F" w:rsidR="002B1603" w:rsidRPr="00A07F29" w:rsidRDefault="002B1603" w:rsidP="002B1603">
            <w:pPr>
              <w:spacing w:after="120"/>
              <w:rPr>
                <w:rFonts w:ascii="Times New Roman" w:eastAsia="Calibri" w:hAnsi="Times New Roman" w:cs="Times New Roman"/>
                <w:sz w:val="20"/>
                <w:szCs w:val="20"/>
              </w:rPr>
            </w:pPr>
            <w:r w:rsidRPr="00A07F29">
              <w:rPr>
                <w:rFonts w:ascii="Times New Roman" w:eastAsia="Calibri" w:hAnsi="Times New Roman" w:cs="Times New Roman"/>
                <w:sz w:val="20"/>
                <w:szCs w:val="20"/>
              </w:rPr>
              <w:t xml:space="preserve">Teritorijā esošās sugas populācijas attiecība (%) pret sugas populāciju </w:t>
            </w:r>
            <w:proofErr w:type="spellStart"/>
            <w:r w:rsidR="0092556E" w:rsidRPr="00A07F29">
              <w:rPr>
                <w:rFonts w:ascii="Times New Roman" w:eastAsia="Calibri" w:hAnsi="Times New Roman" w:cs="Times New Roman"/>
                <w:i/>
                <w:sz w:val="20"/>
                <w:szCs w:val="20"/>
              </w:rPr>
              <w:t>Natura</w:t>
            </w:r>
            <w:proofErr w:type="spellEnd"/>
            <w:r w:rsidRPr="00A07F29">
              <w:rPr>
                <w:rFonts w:ascii="Times New Roman" w:eastAsia="Calibri" w:hAnsi="Times New Roman" w:cs="Times New Roman"/>
                <w:i/>
                <w:sz w:val="20"/>
                <w:szCs w:val="20"/>
              </w:rPr>
              <w:t xml:space="preserve"> 2000</w:t>
            </w:r>
            <w:r w:rsidRPr="00A07F29">
              <w:rPr>
                <w:rFonts w:ascii="Times New Roman" w:eastAsia="Calibri" w:hAnsi="Times New Roman" w:cs="Times New Roman"/>
                <w:sz w:val="20"/>
                <w:szCs w:val="20"/>
              </w:rPr>
              <w:t xml:space="preserve"> teritorijās Latvijā kopumā</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6C77BB65" w14:textId="77777777" w:rsidR="002B1603" w:rsidRPr="00A07F29" w:rsidRDefault="002B1603" w:rsidP="002B1603">
            <w:pPr>
              <w:spacing w:after="120"/>
              <w:rPr>
                <w:rFonts w:ascii="Times New Roman" w:eastAsia="Calibri" w:hAnsi="Times New Roman" w:cs="Times New Roman"/>
                <w:sz w:val="20"/>
                <w:szCs w:val="20"/>
              </w:rPr>
            </w:pPr>
            <w:r w:rsidRPr="00A07F29">
              <w:rPr>
                <w:rFonts w:ascii="Times New Roman" w:eastAsia="Calibri" w:hAnsi="Times New Roman" w:cs="Times New Roman"/>
                <w:sz w:val="20"/>
                <w:szCs w:val="20"/>
              </w:rPr>
              <w:t>Teritorijā esošās sugas populācijas attiecība (%) pret sugas populāciju valstī</w:t>
            </w:r>
          </w:p>
        </w:tc>
        <w:tc>
          <w:tcPr>
            <w:tcW w:w="962"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485D048E" w14:textId="77777777" w:rsidR="002B1603" w:rsidRPr="00A07F29" w:rsidRDefault="002B1603" w:rsidP="002B1603">
            <w:pPr>
              <w:spacing w:after="120"/>
              <w:rPr>
                <w:rFonts w:ascii="Times New Roman" w:eastAsia="Calibri" w:hAnsi="Times New Roman" w:cs="Times New Roman"/>
                <w:sz w:val="20"/>
                <w:szCs w:val="20"/>
              </w:rPr>
            </w:pPr>
            <w:r w:rsidRPr="00A07F29">
              <w:rPr>
                <w:rFonts w:ascii="Times New Roman" w:eastAsia="Calibri" w:hAnsi="Times New Roman" w:cs="Times New Roman"/>
                <w:sz w:val="20"/>
                <w:szCs w:val="20"/>
              </w:rPr>
              <w:t>Sugas dzīvotnes platība (ha)</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3384A6F6" w14:textId="50B5C727" w:rsidR="002B1603" w:rsidRPr="00A07F29" w:rsidRDefault="002B1603" w:rsidP="002B1603">
            <w:pPr>
              <w:spacing w:after="120"/>
              <w:rPr>
                <w:rFonts w:ascii="Times New Roman" w:eastAsia="Calibri" w:hAnsi="Times New Roman" w:cs="Times New Roman"/>
                <w:sz w:val="20"/>
                <w:szCs w:val="20"/>
              </w:rPr>
            </w:pPr>
            <w:r w:rsidRPr="00A07F29">
              <w:rPr>
                <w:rFonts w:ascii="Times New Roman" w:eastAsia="Calibri" w:hAnsi="Times New Roman" w:cs="Times New Roman"/>
                <w:sz w:val="20"/>
                <w:szCs w:val="20"/>
              </w:rPr>
              <w:t xml:space="preserve">Sugas dzīvotnes platības attiecība (%) pret sugas dzīvotnes platību </w:t>
            </w:r>
            <w:proofErr w:type="spellStart"/>
            <w:r w:rsidR="0092556E" w:rsidRPr="00A07F29">
              <w:rPr>
                <w:rFonts w:ascii="Times New Roman" w:eastAsia="Calibri" w:hAnsi="Times New Roman" w:cs="Times New Roman"/>
                <w:i/>
                <w:sz w:val="20"/>
                <w:szCs w:val="20"/>
              </w:rPr>
              <w:t>Natura</w:t>
            </w:r>
            <w:proofErr w:type="spellEnd"/>
            <w:r w:rsidRPr="00A07F29">
              <w:rPr>
                <w:rFonts w:ascii="Times New Roman" w:eastAsia="Calibri" w:hAnsi="Times New Roman" w:cs="Times New Roman"/>
                <w:i/>
                <w:sz w:val="20"/>
                <w:szCs w:val="20"/>
              </w:rPr>
              <w:t xml:space="preserve"> 2000</w:t>
            </w:r>
            <w:r w:rsidRPr="00A07F29">
              <w:rPr>
                <w:rFonts w:ascii="Times New Roman" w:eastAsia="Calibri" w:hAnsi="Times New Roman" w:cs="Times New Roman"/>
                <w:sz w:val="20"/>
                <w:szCs w:val="20"/>
              </w:rPr>
              <w:t xml:space="preserve"> teritorijās Latvijā kopumā</w:t>
            </w:r>
          </w:p>
        </w:tc>
      </w:tr>
      <w:tr w:rsidR="002B1603" w:rsidRPr="00A07F29" w14:paraId="6A64D666" w14:textId="77777777" w:rsidTr="461809C0">
        <w:trPr>
          <w:trHeight w:val="1386"/>
        </w:trPr>
        <w:tc>
          <w:tcPr>
            <w:tcW w:w="833" w:type="dxa"/>
            <w:vMerge/>
            <w:vAlign w:val="center"/>
            <w:hideMark/>
          </w:tcPr>
          <w:p w14:paraId="14EF22E0" w14:textId="77777777" w:rsidR="002B1603" w:rsidRPr="00A07F29" w:rsidRDefault="002B1603" w:rsidP="002B1603">
            <w:pPr>
              <w:spacing w:after="0"/>
              <w:ind w:firstLine="851"/>
              <w:rPr>
                <w:rFonts w:ascii="Times New Roman" w:eastAsia="Calibri" w:hAnsi="Times New Roman" w:cs="Times New Roman"/>
                <w:sz w:val="20"/>
                <w:szCs w:val="20"/>
                <w:lang w:eastAsia="lv-LV"/>
              </w:rPr>
            </w:pPr>
          </w:p>
        </w:tc>
        <w:tc>
          <w:tcPr>
            <w:tcW w:w="1690" w:type="dxa"/>
            <w:vMerge/>
            <w:vAlign w:val="center"/>
            <w:hideMark/>
          </w:tcPr>
          <w:p w14:paraId="35199E2E" w14:textId="77777777" w:rsidR="002B1603" w:rsidRPr="00A07F29" w:rsidRDefault="002B1603" w:rsidP="002B1603">
            <w:pPr>
              <w:spacing w:after="0"/>
              <w:ind w:firstLine="851"/>
              <w:rPr>
                <w:rFonts w:ascii="Times New Roman" w:eastAsia="Calibri" w:hAnsi="Times New Roman" w:cs="Times New Roman"/>
                <w:sz w:val="20"/>
                <w:szCs w:val="20"/>
                <w:lang w:eastAsia="lv-LV"/>
              </w:rPr>
            </w:pPr>
          </w:p>
        </w:tc>
        <w:tc>
          <w:tcPr>
            <w:tcW w:w="738"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32D61B09" w14:textId="77777777" w:rsidR="002B1603" w:rsidRPr="00A07F29" w:rsidRDefault="002B1603" w:rsidP="002B1603">
            <w:pPr>
              <w:spacing w:after="120"/>
              <w:rPr>
                <w:rFonts w:ascii="Times New Roman" w:eastAsia="Calibri" w:hAnsi="Times New Roman" w:cs="Times New Roman"/>
                <w:sz w:val="20"/>
                <w:szCs w:val="20"/>
              </w:rPr>
            </w:pPr>
            <w:r w:rsidRPr="00A07F29">
              <w:rPr>
                <w:rFonts w:ascii="Times New Roman" w:eastAsia="Calibri" w:hAnsi="Times New Roman" w:cs="Times New Roman"/>
                <w:sz w:val="20"/>
                <w:szCs w:val="20"/>
              </w:rPr>
              <w:t>min.</w:t>
            </w:r>
          </w:p>
        </w:tc>
        <w:tc>
          <w:tcPr>
            <w:tcW w:w="851"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5AD7F751" w14:textId="77777777" w:rsidR="002B1603" w:rsidRPr="00A07F29" w:rsidRDefault="002B1603" w:rsidP="002B1603">
            <w:pPr>
              <w:spacing w:after="120"/>
              <w:rPr>
                <w:rFonts w:ascii="Times New Roman" w:eastAsia="Calibri" w:hAnsi="Times New Roman" w:cs="Times New Roman"/>
                <w:sz w:val="20"/>
                <w:szCs w:val="20"/>
              </w:rPr>
            </w:pPr>
            <w:r w:rsidRPr="00A07F29">
              <w:rPr>
                <w:rFonts w:ascii="Times New Roman" w:eastAsia="Calibri" w:hAnsi="Times New Roman" w:cs="Times New Roman"/>
                <w:sz w:val="20"/>
                <w:szCs w:val="20"/>
              </w:rPr>
              <w:t>maks.</w:t>
            </w:r>
          </w:p>
        </w:tc>
        <w:tc>
          <w:tcPr>
            <w:tcW w:w="1559" w:type="dxa"/>
            <w:vMerge/>
            <w:vAlign w:val="center"/>
            <w:hideMark/>
          </w:tcPr>
          <w:p w14:paraId="2A37D078" w14:textId="77777777" w:rsidR="002B1603" w:rsidRPr="00A07F29" w:rsidRDefault="002B1603" w:rsidP="002B1603">
            <w:pPr>
              <w:spacing w:after="0"/>
              <w:ind w:firstLine="851"/>
              <w:rPr>
                <w:rFonts w:ascii="Times New Roman" w:eastAsia="Calibri" w:hAnsi="Times New Roman" w:cs="Times New Roman"/>
                <w:sz w:val="20"/>
                <w:szCs w:val="20"/>
                <w:lang w:eastAsia="lv-LV"/>
              </w:rPr>
            </w:pPr>
          </w:p>
        </w:tc>
        <w:tc>
          <w:tcPr>
            <w:tcW w:w="1418" w:type="dxa"/>
            <w:vMerge/>
            <w:vAlign w:val="center"/>
            <w:hideMark/>
          </w:tcPr>
          <w:p w14:paraId="3A45509A" w14:textId="77777777" w:rsidR="002B1603" w:rsidRPr="00A07F29" w:rsidRDefault="002B1603" w:rsidP="002B1603">
            <w:pPr>
              <w:spacing w:after="0"/>
              <w:ind w:firstLine="851"/>
              <w:rPr>
                <w:rFonts w:ascii="Times New Roman" w:eastAsia="Calibri" w:hAnsi="Times New Roman" w:cs="Times New Roman"/>
                <w:sz w:val="20"/>
                <w:szCs w:val="20"/>
                <w:lang w:eastAsia="lv-LV"/>
              </w:rPr>
            </w:pPr>
          </w:p>
        </w:tc>
        <w:tc>
          <w:tcPr>
            <w:tcW w:w="962" w:type="dxa"/>
            <w:vMerge/>
            <w:vAlign w:val="center"/>
            <w:hideMark/>
          </w:tcPr>
          <w:p w14:paraId="103208F4" w14:textId="77777777" w:rsidR="002B1603" w:rsidRPr="00A07F29" w:rsidRDefault="002B1603" w:rsidP="002B1603">
            <w:pPr>
              <w:spacing w:after="0"/>
              <w:ind w:firstLine="851"/>
              <w:rPr>
                <w:rFonts w:ascii="Times New Roman" w:eastAsia="Calibri" w:hAnsi="Times New Roman" w:cs="Times New Roman"/>
                <w:sz w:val="20"/>
                <w:szCs w:val="20"/>
                <w:lang w:eastAsia="lv-LV"/>
              </w:rPr>
            </w:pPr>
          </w:p>
        </w:tc>
        <w:tc>
          <w:tcPr>
            <w:tcW w:w="1560" w:type="dxa"/>
            <w:vMerge/>
            <w:vAlign w:val="center"/>
            <w:hideMark/>
          </w:tcPr>
          <w:p w14:paraId="6A8E266B" w14:textId="77777777" w:rsidR="002B1603" w:rsidRPr="00A07F29" w:rsidRDefault="002B1603" w:rsidP="002B1603">
            <w:pPr>
              <w:spacing w:after="0"/>
              <w:ind w:firstLine="851"/>
              <w:rPr>
                <w:rFonts w:ascii="Times New Roman" w:eastAsia="Calibri" w:hAnsi="Times New Roman" w:cs="Times New Roman"/>
                <w:sz w:val="20"/>
                <w:szCs w:val="20"/>
                <w:lang w:eastAsia="lv-LV"/>
              </w:rPr>
            </w:pPr>
          </w:p>
        </w:tc>
      </w:tr>
      <w:tr w:rsidR="002B1603" w:rsidRPr="00A07F29" w14:paraId="67FF063D" w14:textId="77777777" w:rsidTr="461809C0">
        <w:tc>
          <w:tcPr>
            <w:tcW w:w="833" w:type="dxa"/>
            <w:tcBorders>
              <w:top w:val="single" w:sz="4" w:space="0" w:color="auto"/>
              <w:left w:val="single" w:sz="4" w:space="0" w:color="auto"/>
              <w:bottom w:val="single" w:sz="4" w:space="0" w:color="auto"/>
              <w:right w:val="single" w:sz="4" w:space="0" w:color="auto"/>
            </w:tcBorders>
            <w:hideMark/>
          </w:tcPr>
          <w:p w14:paraId="3981E6BD" w14:textId="77777777" w:rsidR="002B1603" w:rsidRPr="00A07F29" w:rsidRDefault="002B1603" w:rsidP="002B1603">
            <w:pPr>
              <w:spacing w:after="120"/>
              <w:rPr>
                <w:rFonts w:ascii="Times New Roman" w:eastAsia="Calibri" w:hAnsi="Times New Roman" w:cs="Times New Roman"/>
                <w:sz w:val="20"/>
                <w:szCs w:val="20"/>
              </w:rPr>
            </w:pPr>
            <w:r w:rsidRPr="00A07F29">
              <w:rPr>
                <w:rFonts w:ascii="Times New Roman" w:eastAsia="Calibri" w:hAnsi="Times New Roman" w:cs="Times New Roman"/>
                <w:sz w:val="20"/>
                <w:szCs w:val="20"/>
              </w:rPr>
              <w:t>1.</w:t>
            </w:r>
          </w:p>
        </w:tc>
        <w:tc>
          <w:tcPr>
            <w:tcW w:w="1690" w:type="dxa"/>
            <w:tcBorders>
              <w:top w:val="single" w:sz="4" w:space="0" w:color="auto"/>
              <w:left w:val="single" w:sz="4" w:space="0" w:color="auto"/>
              <w:bottom w:val="single" w:sz="4" w:space="0" w:color="auto"/>
              <w:right w:val="single" w:sz="4" w:space="0" w:color="auto"/>
            </w:tcBorders>
            <w:hideMark/>
          </w:tcPr>
          <w:p w14:paraId="477DB8C7" w14:textId="77777777" w:rsidR="002B1603" w:rsidRPr="00A07F29" w:rsidRDefault="002B1603" w:rsidP="002B1603">
            <w:pPr>
              <w:spacing w:after="0"/>
              <w:rPr>
                <w:rFonts w:ascii="Times New Roman" w:eastAsia="Calibri" w:hAnsi="Times New Roman" w:cs="Times New Roman"/>
                <w:sz w:val="20"/>
                <w:szCs w:val="20"/>
              </w:rPr>
            </w:pPr>
            <w:r w:rsidRPr="00A07F29">
              <w:rPr>
                <w:rFonts w:ascii="Times New Roman" w:eastAsia="Calibri" w:hAnsi="Times New Roman" w:cs="Times New Roman"/>
                <w:sz w:val="20"/>
                <w:szCs w:val="20"/>
              </w:rPr>
              <w:t xml:space="preserve">Spilvainais </w:t>
            </w:r>
            <w:proofErr w:type="spellStart"/>
            <w:r w:rsidRPr="00A07F29">
              <w:rPr>
                <w:rFonts w:ascii="Times New Roman" w:eastAsia="Calibri" w:hAnsi="Times New Roman" w:cs="Times New Roman"/>
                <w:sz w:val="20"/>
                <w:szCs w:val="20"/>
              </w:rPr>
              <w:t>ancītis</w:t>
            </w:r>
            <w:proofErr w:type="spellEnd"/>
          </w:p>
          <w:p w14:paraId="3D267526" w14:textId="77777777" w:rsidR="002B1603" w:rsidRPr="00A07F29" w:rsidRDefault="002B1603" w:rsidP="002B1603">
            <w:pPr>
              <w:spacing w:after="0"/>
              <w:rPr>
                <w:rFonts w:ascii="Times New Roman" w:eastAsia="Calibri" w:hAnsi="Times New Roman" w:cs="Times New Roman"/>
                <w:i/>
                <w:sz w:val="20"/>
                <w:szCs w:val="20"/>
              </w:rPr>
            </w:pPr>
            <w:proofErr w:type="spellStart"/>
            <w:r w:rsidRPr="00A07F29">
              <w:rPr>
                <w:rFonts w:ascii="Times New Roman" w:eastAsia="Calibri" w:hAnsi="Times New Roman" w:cs="Times New Roman"/>
                <w:i/>
                <w:sz w:val="20"/>
                <w:szCs w:val="20"/>
              </w:rPr>
              <w:t>Agrimonia</w:t>
            </w:r>
            <w:proofErr w:type="spellEnd"/>
          </w:p>
          <w:p w14:paraId="0768F7E4" w14:textId="77777777" w:rsidR="002B1603" w:rsidRPr="00A07F29" w:rsidRDefault="002B1603" w:rsidP="002B1603">
            <w:pPr>
              <w:spacing w:after="120"/>
              <w:rPr>
                <w:rFonts w:ascii="Times New Roman" w:eastAsia="Calibri" w:hAnsi="Times New Roman" w:cs="Times New Roman"/>
                <w:spacing w:val="1"/>
                <w:sz w:val="20"/>
                <w:szCs w:val="20"/>
              </w:rPr>
            </w:pPr>
            <w:proofErr w:type="spellStart"/>
            <w:r w:rsidRPr="00A07F29">
              <w:rPr>
                <w:rFonts w:ascii="Times New Roman" w:eastAsia="Calibri" w:hAnsi="Times New Roman" w:cs="Times New Roman"/>
                <w:i/>
                <w:sz w:val="20"/>
                <w:szCs w:val="20"/>
              </w:rPr>
              <w:t>pilosa</w:t>
            </w:r>
            <w:proofErr w:type="spellEnd"/>
            <w:r w:rsidRPr="00A07F29">
              <w:rPr>
                <w:rFonts w:ascii="Times New Roman" w:hAnsi="Times New Roman" w:cs="Times New Roman"/>
                <w:i/>
                <w:sz w:val="24"/>
                <w:szCs w:val="24"/>
                <w:vertAlign w:val="superscript"/>
              </w:rPr>
              <w:t>*</w:t>
            </w:r>
          </w:p>
        </w:tc>
        <w:tc>
          <w:tcPr>
            <w:tcW w:w="738" w:type="dxa"/>
            <w:tcBorders>
              <w:top w:val="single" w:sz="4" w:space="0" w:color="auto"/>
              <w:left w:val="single" w:sz="4" w:space="0" w:color="auto"/>
              <w:bottom w:val="single" w:sz="4" w:space="0" w:color="auto"/>
              <w:right w:val="single" w:sz="4" w:space="0" w:color="auto"/>
            </w:tcBorders>
            <w:vAlign w:val="center"/>
            <w:hideMark/>
          </w:tcPr>
          <w:p w14:paraId="60FAAB6F" w14:textId="5A1DD374" w:rsidR="002B1603" w:rsidRPr="00A07F29" w:rsidRDefault="002B1603" w:rsidP="002B1603">
            <w:pPr>
              <w:spacing w:after="120"/>
              <w:ind w:firstLine="851"/>
              <w:rPr>
                <w:rFonts w:ascii="Times New Roman" w:eastAsia="Calibri" w:hAnsi="Times New Roman" w:cs="Times New Roman"/>
                <w:sz w:val="20"/>
                <w:szCs w:val="20"/>
                <w:vertAlign w:val="superscript"/>
              </w:rPr>
            </w:pPr>
            <w:r w:rsidRPr="00A07F29">
              <w:rPr>
                <w:rFonts w:ascii="Times New Roman" w:eastAsia="Calibri" w:hAnsi="Times New Roman" w:cs="Times New Roman"/>
                <w:sz w:val="20"/>
                <w:szCs w:val="20"/>
              </w:rPr>
              <w:t>2</w:t>
            </w:r>
            <w:r w:rsidR="002C1503" w:rsidRPr="00A07F29">
              <w:rPr>
                <w:rFonts w:ascii="Times New Roman" w:eastAsia="Calibri" w:hAnsi="Times New Roman" w:cs="Times New Roman"/>
                <w:sz w:val="20"/>
                <w:szCs w:val="20"/>
              </w:rPr>
              <w:t>430</w:t>
            </w:r>
          </w:p>
        </w:tc>
        <w:tc>
          <w:tcPr>
            <w:tcW w:w="851" w:type="dxa"/>
            <w:tcBorders>
              <w:top w:val="single" w:sz="4" w:space="0" w:color="auto"/>
              <w:left w:val="single" w:sz="4" w:space="0" w:color="auto"/>
              <w:bottom w:val="single" w:sz="4" w:space="0" w:color="auto"/>
              <w:right w:val="single" w:sz="4" w:space="0" w:color="auto"/>
            </w:tcBorders>
            <w:vAlign w:val="center"/>
            <w:hideMark/>
          </w:tcPr>
          <w:p w14:paraId="0B8FB7B7" w14:textId="75D3CF7A" w:rsidR="002B1603" w:rsidRPr="00A07F29" w:rsidRDefault="002B1603" w:rsidP="002B1603">
            <w:pPr>
              <w:spacing w:after="120"/>
              <w:ind w:firstLine="851"/>
              <w:rPr>
                <w:rFonts w:ascii="Times New Roman" w:eastAsia="Calibri" w:hAnsi="Times New Roman" w:cs="Times New Roman"/>
                <w:sz w:val="20"/>
                <w:szCs w:val="20"/>
              </w:rPr>
            </w:pPr>
            <w:r w:rsidRPr="00A07F29">
              <w:rPr>
                <w:rFonts w:ascii="Times New Roman" w:eastAsia="Calibri" w:hAnsi="Times New Roman" w:cs="Times New Roman"/>
                <w:sz w:val="20"/>
                <w:szCs w:val="20"/>
              </w:rPr>
              <w:t>/</w:t>
            </w:r>
            <w:r w:rsidR="002C1503" w:rsidRPr="00A07F29">
              <w:rPr>
                <w:rFonts w:ascii="Times New Roman" w:eastAsia="Calibri" w:hAnsi="Times New Roman" w:cs="Times New Roman"/>
                <w:sz w:val="20"/>
                <w:szCs w:val="20"/>
              </w:rPr>
              <w:t>470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3879AA9" w14:textId="77777777" w:rsidR="002B1603" w:rsidRPr="00A07F29" w:rsidRDefault="002B1603" w:rsidP="002B1603">
            <w:pPr>
              <w:spacing w:after="120"/>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444FB32" w14:textId="77777777" w:rsidR="002B1603" w:rsidRPr="00A07F29" w:rsidRDefault="002B1603" w:rsidP="002B1603">
            <w:pPr>
              <w:spacing w:after="120"/>
              <w:rPr>
                <w:rFonts w:ascii="Times New Roman" w:eastAsia="Calibri" w:hAnsi="Times New Roman" w:cs="Times New Roman"/>
                <w:sz w:val="20"/>
                <w:szCs w:val="20"/>
              </w:rPr>
            </w:pPr>
            <w:r w:rsidRPr="00A07F29">
              <w:rPr>
                <w:rFonts w:ascii="Times New Roman" w:eastAsia="Calibri" w:hAnsi="Times New Roman" w:cs="Times New Roman"/>
                <w:sz w:val="20"/>
                <w:szCs w:val="20"/>
              </w:rPr>
              <w:t>1,57-2,37</w:t>
            </w:r>
          </w:p>
        </w:tc>
        <w:tc>
          <w:tcPr>
            <w:tcW w:w="962" w:type="dxa"/>
            <w:tcBorders>
              <w:top w:val="single" w:sz="4" w:space="0" w:color="auto"/>
              <w:left w:val="single" w:sz="4" w:space="0" w:color="auto"/>
              <w:bottom w:val="single" w:sz="4" w:space="0" w:color="auto"/>
              <w:right w:val="single" w:sz="4" w:space="0" w:color="auto"/>
            </w:tcBorders>
            <w:vAlign w:val="center"/>
            <w:hideMark/>
          </w:tcPr>
          <w:p w14:paraId="056570AE" w14:textId="77777777" w:rsidR="002B1603" w:rsidRPr="00A07F29" w:rsidRDefault="002B1603" w:rsidP="002B1603">
            <w:pPr>
              <w:spacing w:after="120"/>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FA06994" w14:textId="77777777" w:rsidR="002B1603" w:rsidRPr="00A07F29" w:rsidRDefault="002B1603" w:rsidP="002B1603">
            <w:pPr>
              <w:spacing w:after="120"/>
              <w:ind w:firstLine="851"/>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r>
      <w:tr w:rsidR="002B1603" w:rsidRPr="00A07F29" w14:paraId="228330F4" w14:textId="77777777" w:rsidTr="461809C0">
        <w:tc>
          <w:tcPr>
            <w:tcW w:w="833" w:type="dxa"/>
            <w:tcBorders>
              <w:top w:val="single" w:sz="4" w:space="0" w:color="auto"/>
              <w:left w:val="single" w:sz="4" w:space="0" w:color="auto"/>
              <w:bottom w:val="single" w:sz="4" w:space="0" w:color="auto"/>
              <w:right w:val="single" w:sz="4" w:space="0" w:color="auto"/>
            </w:tcBorders>
            <w:hideMark/>
          </w:tcPr>
          <w:p w14:paraId="3D9F4A32" w14:textId="5D9CC81C" w:rsidR="002B1603" w:rsidRPr="00A07F29" w:rsidRDefault="0002589A" w:rsidP="002B1603">
            <w:pPr>
              <w:spacing w:after="120"/>
              <w:rPr>
                <w:rFonts w:ascii="Times New Roman" w:eastAsia="Calibri" w:hAnsi="Times New Roman" w:cs="Times New Roman"/>
                <w:sz w:val="20"/>
                <w:szCs w:val="20"/>
              </w:rPr>
            </w:pPr>
            <w:r w:rsidRPr="00A07F29">
              <w:rPr>
                <w:rFonts w:ascii="Times New Roman" w:eastAsia="Calibri" w:hAnsi="Times New Roman" w:cs="Times New Roman"/>
                <w:sz w:val="20"/>
                <w:szCs w:val="20"/>
              </w:rPr>
              <w:t>2</w:t>
            </w:r>
            <w:r w:rsidR="002B1603" w:rsidRPr="00A07F29">
              <w:rPr>
                <w:rFonts w:ascii="Times New Roman" w:eastAsia="Calibri" w:hAnsi="Times New Roman" w:cs="Times New Roman"/>
                <w:sz w:val="20"/>
                <w:szCs w:val="20"/>
              </w:rPr>
              <w:t>.</w:t>
            </w:r>
          </w:p>
        </w:tc>
        <w:tc>
          <w:tcPr>
            <w:tcW w:w="1690" w:type="dxa"/>
            <w:tcBorders>
              <w:top w:val="single" w:sz="4" w:space="0" w:color="auto"/>
              <w:left w:val="single" w:sz="4" w:space="0" w:color="auto"/>
              <w:bottom w:val="single" w:sz="4" w:space="0" w:color="auto"/>
              <w:right w:val="single" w:sz="4" w:space="0" w:color="auto"/>
            </w:tcBorders>
            <w:hideMark/>
          </w:tcPr>
          <w:p w14:paraId="22EE398E" w14:textId="77777777" w:rsidR="002B1603" w:rsidRPr="00A07F29" w:rsidRDefault="002B1603" w:rsidP="002B1603">
            <w:pPr>
              <w:spacing w:after="120"/>
              <w:rPr>
                <w:rFonts w:ascii="Times New Roman" w:eastAsia="Calibri" w:hAnsi="Times New Roman" w:cs="Times New Roman"/>
                <w:sz w:val="20"/>
                <w:szCs w:val="20"/>
              </w:rPr>
            </w:pPr>
            <w:proofErr w:type="spellStart"/>
            <w:r w:rsidRPr="00A07F29">
              <w:rPr>
                <w:rFonts w:ascii="Times New Roman" w:eastAsia="Calibri" w:hAnsi="Times New Roman" w:cs="Times New Roman"/>
                <w:sz w:val="20"/>
                <w:szCs w:val="20"/>
              </w:rPr>
              <w:t>Lēzeļa</w:t>
            </w:r>
            <w:proofErr w:type="spellEnd"/>
            <w:r w:rsidRPr="00A07F29">
              <w:rPr>
                <w:rFonts w:ascii="Times New Roman" w:eastAsia="Calibri" w:hAnsi="Times New Roman" w:cs="Times New Roman"/>
                <w:sz w:val="20"/>
                <w:szCs w:val="20"/>
              </w:rPr>
              <w:t xml:space="preserve"> </w:t>
            </w:r>
            <w:proofErr w:type="spellStart"/>
            <w:r w:rsidRPr="00A07F29">
              <w:rPr>
                <w:rFonts w:ascii="Times New Roman" w:eastAsia="Calibri" w:hAnsi="Times New Roman" w:cs="Times New Roman"/>
                <w:sz w:val="20"/>
                <w:szCs w:val="20"/>
              </w:rPr>
              <w:t>lipare</w:t>
            </w:r>
            <w:proofErr w:type="spellEnd"/>
            <w:r w:rsidRPr="00A07F29">
              <w:rPr>
                <w:rFonts w:ascii="Times New Roman" w:eastAsia="Calibri" w:hAnsi="Times New Roman" w:cs="Times New Roman"/>
                <w:i/>
                <w:sz w:val="20"/>
                <w:szCs w:val="20"/>
              </w:rPr>
              <w:t xml:space="preserve"> </w:t>
            </w:r>
            <w:proofErr w:type="spellStart"/>
            <w:r w:rsidRPr="00A07F29">
              <w:rPr>
                <w:rFonts w:ascii="Times New Roman" w:eastAsia="Calibri" w:hAnsi="Times New Roman" w:cs="Times New Roman"/>
                <w:i/>
                <w:sz w:val="20"/>
                <w:szCs w:val="20"/>
              </w:rPr>
              <w:t>Liparis</w:t>
            </w:r>
            <w:proofErr w:type="spellEnd"/>
            <w:r w:rsidRPr="00A07F29">
              <w:rPr>
                <w:rFonts w:ascii="Times New Roman" w:eastAsia="Calibri" w:hAnsi="Times New Roman" w:cs="Times New Roman"/>
                <w:i/>
                <w:sz w:val="20"/>
                <w:szCs w:val="20"/>
              </w:rPr>
              <w:t xml:space="preserve"> </w:t>
            </w:r>
            <w:proofErr w:type="spellStart"/>
            <w:r w:rsidRPr="00A07F29">
              <w:rPr>
                <w:rFonts w:ascii="Times New Roman" w:eastAsia="Calibri" w:hAnsi="Times New Roman" w:cs="Times New Roman"/>
                <w:i/>
                <w:sz w:val="20"/>
                <w:szCs w:val="20"/>
              </w:rPr>
              <w:t>loeselii</w:t>
            </w:r>
            <w:proofErr w:type="spellEnd"/>
          </w:p>
        </w:tc>
        <w:tc>
          <w:tcPr>
            <w:tcW w:w="738" w:type="dxa"/>
            <w:tcBorders>
              <w:top w:val="single" w:sz="4" w:space="0" w:color="auto"/>
              <w:left w:val="single" w:sz="4" w:space="0" w:color="auto"/>
              <w:bottom w:val="single" w:sz="4" w:space="0" w:color="auto"/>
              <w:right w:val="single" w:sz="4" w:space="0" w:color="auto"/>
            </w:tcBorders>
            <w:vAlign w:val="center"/>
            <w:hideMark/>
          </w:tcPr>
          <w:p w14:paraId="2822CAD0" w14:textId="77777777" w:rsidR="002B1603" w:rsidRPr="00A07F29" w:rsidRDefault="002B1603" w:rsidP="002B1603">
            <w:pPr>
              <w:spacing w:after="120"/>
              <w:rPr>
                <w:rFonts w:ascii="Times New Roman" w:eastAsia="Calibri" w:hAnsi="Times New Roman" w:cs="Times New Roman"/>
                <w:sz w:val="20"/>
                <w:szCs w:val="20"/>
              </w:rPr>
            </w:pPr>
            <w:r w:rsidRPr="00A07F29">
              <w:rPr>
                <w:rFonts w:ascii="Times New Roman" w:eastAsia="Calibri" w:hAnsi="Times New Roman" w:cs="Times New Roman"/>
                <w:sz w:val="20"/>
                <w:szCs w:val="20"/>
              </w:rPr>
              <w:t>20</w:t>
            </w:r>
          </w:p>
        </w:tc>
        <w:tc>
          <w:tcPr>
            <w:tcW w:w="851" w:type="dxa"/>
            <w:tcBorders>
              <w:top w:val="single" w:sz="4" w:space="0" w:color="auto"/>
              <w:left w:val="single" w:sz="4" w:space="0" w:color="auto"/>
              <w:bottom w:val="single" w:sz="4" w:space="0" w:color="auto"/>
              <w:right w:val="single" w:sz="4" w:space="0" w:color="auto"/>
            </w:tcBorders>
            <w:vAlign w:val="center"/>
            <w:hideMark/>
          </w:tcPr>
          <w:p w14:paraId="59CB5950" w14:textId="77777777" w:rsidR="002B1603" w:rsidRPr="00A07F29" w:rsidRDefault="002B1603" w:rsidP="002B1603">
            <w:pPr>
              <w:spacing w:after="120"/>
              <w:rPr>
                <w:rFonts w:ascii="Times New Roman" w:eastAsia="Calibri" w:hAnsi="Times New Roman" w:cs="Times New Roman"/>
                <w:sz w:val="20"/>
                <w:szCs w:val="20"/>
              </w:rPr>
            </w:pPr>
            <w:r w:rsidRPr="00A07F29">
              <w:rPr>
                <w:rFonts w:ascii="Times New Roman" w:eastAsia="Calibri" w:hAnsi="Times New Roman" w:cs="Times New Roman"/>
                <w:sz w:val="20"/>
                <w:szCs w:val="20"/>
              </w:rPr>
              <w:t>100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92E4467" w14:textId="77777777" w:rsidR="002B1603" w:rsidRPr="00A07F29" w:rsidRDefault="002B1603" w:rsidP="002B1603">
            <w:pPr>
              <w:spacing w:after="120"/>
              <w:rPr>
                <w:rFonts w:ascii="Times New Roman" w:eastAsia="Calibri" w:hAnsi="Times New Roman" w:cs="Times New Roman"/>
                <w:sz w:val="20"/>
                <w:szCs w:val="20"/>
              </w:rPr>
            </w:pPr>
            <w:r w:rsidRPr="00A07F29">
              <w:rPr>
                <w:rFonts w:ascii="Times New Roman" w:eastAsia="Calibri" w:hAnsi="Times New Roman" w:cs="Times New Roman"/>
                <w:sz w:val="20"/>
                <w:szCs w:val="20"/>
              </w:rPr>
              <w:t>0,21-0,88</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F03044D" w14:textId="77777777" w:rsidR="002B1603" w:rsidRPr="00A07F29" w:rsidRDefault="002B1603" w:rsidP="002B1603">
            <w:pPr>
              <w:spacing w:after="120"/>
              <w:rPr>
                <w:rFonts w:ascii="Times New Roman" w:eastAsia="Calibri" w:hAnsi="Times New Roman" w:cs="Times New Roman"/>
                <w:sz w:val="20"/>
                <w:szCs w:val="20"/>
              </w:rPr>
            </w:pPr>
            <w:r w:rsidRPr="00A07F29">
              <w:rPr>
                <w:rFonts w:ascii="Times New Roman" w:eastAsia="Calibri" w:hAnsi="Times New Roman" w:cs="Times New Roman"/>
                <w:sz w:val="20"/>
                <w:szCs w:val="20"/>
              </w:rPr>
              <w:t>0,30-1,25</w:t>
            </w:r>
          </w:p>
        </w:tc>
        <w:tc>
          <w:tcPr>
            <w:tcW w:w="962" w:type="dxa"/>
            <w:tcBorders>
              <w:top w:val="single" w:sz="4" w:space="0" w:color="auto"/>
              <w:left w:val="single" w:sz="4" w:space="0" w:color="auto"/>
              <w:bottom w:val="single" w:sz="4" w:space="0" w:color="auto"/>
              <w:right w:val="single" w:sz="4" w:space="0" w:color="auto"/>
            </w:tcBorders>
            <w:vAlign w:val="center"/>
            <w:hideMark/>
          </w:tcPr>
          <w:p w14:paraId="21C8D27E" w14:textId="77777777" w:rsidR="002B1603" w:rsidRPr="00A07F29" w:rsidRDefault="002B1603" w:rsidP="002B1603">
            <w:pPr>
              <w:spacing w:after="120"/>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040016B" w14:textId="77777777" w:rsidR="002B1603" w:rsidRPr="00A07F29" w:rsidRDefault="002B1603" w:rsidP="002B1603">
            <w:pPr>
              <w:spacing w:after="120"/>
              <w:ind w:firstLine="851"/>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r>
      <w:tr w:rsidR="002B1603" w:rsidRPr="00A07F29" w14:paraId="6AEF6312" w14:textId="77777777" w:rsidTr="461809C0">
        <w:tc>
          <w:tcPr>
            <w:tcW w:w="833" w:type="dxa"/>
            <w:tcBorders>
              <w:top w:val="single" w:sz="4" w:space="0" w:color="auto"/>
              <w:left w:val="single" w:sz="4" w:space="0" w:color="auto"/>
              <w:bottom w:val="single" w:sz="4" w:space="0" w:color="auto"/>
              <w:right w:val="single" w:sz="4" w:space="0" w:color="auto"/>
            </w:tcBorders>
            <w:hideMark/>
          </w:tcPr>
          <w:p w14:paraId="1DF9B445" w14:textId="1FE4942E" w:rsidR="002B1603" w:rsidRPr="00A07F29" w:rsidRDefault="0002589A" w:rsidP="0002589A">
            <w:pPr>
              <w:spacing w:after="120"/>
              <w:ind w:firstLine="851"/>
              <w:rPr>
                <w:rFonts w:ascii="Times New Roman" w:eastAsia="Calibri" w:hAnsi="Times New Roman" w:cs="Times New Roman"/>
                <w:sz w:val="20"/>
                <w:szCs w:val="20"/>
              </w:rPr>
            </w:pPr>
            <w:r w:rsidRPr="00A07F29">
              <w:rPr>
                <w:rFonts w:ascii="Times New Roman" w:eastAsia="Calibri" w:hAnsi="Times New Roman" w:cs="Times New Roman"/>
                <w:sz w:val="20"/>
                <w:szCs w:val="20"/>
              </w:rPr>
              <w:t>33</w:t>
            </w:r>
            <w:r w:rsidR="002B1603" w:rsidRPr="00A07F29">
              <w:rPr>
                <w:rFonts w:ascii="Times New Roman" w:eastAsia="Calibri" w:hAnsi="Times New Roman" w:cs="Times New Roman"/>
                <w:sz w:val="20"/>
                <w:szCs w:val="20"/>
              </w:rPr>
              <w:t>.</w:t>
            </w:r>
          </w:p>
        </w:tc>
        <w:tc>
          <w:tcPr>
            <w:tcW w:w="1690" w:type="dxa"/>
            <w:tcBorders>
              <w:top w:val="single" w:sz="4" w:space="0" w:color="auto"/>
              <w:left w:val="single" w:sz="4" w:space="0" w:color="auto"/>
              <w:bottom w:val="single" w:sz="4" w:space="0" w:color="auto"/>
              <w:right w:val="single" w:sz="4" w:space="0" w:color="auto"/>
            </w:tcBorders>
            <w:hideMark/>
          </w:tcPr>
          <w:p w14:paraId="0F857451" w14:textId="77777777" w:rsidR="002B1603" w:rsidRPr="00A07F29" w:rsidRDefault="002B1603" w:rsidP="002B1603">
            <w:pPr>
              <w:spacing w:after="120"/>
              <w:rPr>
                <w:rFonts w:ascii="Times New Roman" w:eastAsia="Calibri" w:hAnsi="Times New Roman" w:cs="Times New Roman"/>
                <w:sz w:val="20"/>
                <w:szCs w:val="20"/>
              </w:rPr>
            </w:pPr>
            <w:r w:rsidRPr="00A07F29">
              <w:rPr>
                <w:rFonts w:ascii="Times New Roman" w:eastAsia="Calibri" w:hAnsi="Times New Roman" w:cs="Times New Roman"/>
                <w:sz w:val="20"/>
                <w:szCs w:val="20"/>
              </w:rPr>
              <w:t>Meža silpurene</w:t>
            </w:r>
            <w:r w:rsidRPr="00A07F29">
              <w:rPr>
                <w:rFonts w:ascii="Times New Roman" w:eastAsia="Calibri" w:hAnsi="Times New Roman" w:cs="Times New Roman"/>
                <w:i/>
                <w:sz w:val="20"/>
                <w:szCs w:val="20"/>
              </w:rPr>
              <w:t xml:space="preserve"> </w:t>
            </w:r>
            <w:proofErr w:type="spellStart"/>
            <w:r w:rsidRPr="00A07F29">
              <w:rPr>
                <w:rFonts w:ascii="Times New Roman" w:eastAsia="Calibri" w:hAnsi="Times New Roman" w:cs="Times New Roman"/>
                <w:i/>
                <w:sz w:val="20"/>
                <w:szCs w:val="20"/>
              </w:rPr>
              <w:t>Pulsatilla</w:t>
            </w:r>
            <w:proofErr w:type="spellEnd"/>
            <w:r w:rsidRPr="00A07F29">
              <w:rPr>
                <w:rFonts w:ascii="Times New Roman" w:eastAsia="Calibri" w:hAnsi="Times New Roman" w:cs="Times New Roman"/>
                <w:i/>
                <w:sz w:val="20"/>
                <w:szCs w:val="20"/>
              </w:rPr>
              <w:t xml:space="preserve"> </w:t>
            </w:r>
            <w:proofErr w:type="spellStart"/>
            <w:r w:rsidRPr="00A07F29">
              <w:rPr>
                <w:rFonts w:ascii="Times New Roman" w:eastAsia="Calibri" w:hAnsi="Times New Roman" w:cs="Times New Roman"/>
                <w:i/>
                <w:sz w:val="20"/>
                <w:szCs w:val="20"/>
              </w:rPr>
              <w:t>patens</w:t>
            </w:r>
            <w:proofErr w:type="spellEnd"/>
            <w:r w:rsidRPr="00A07F29">
              <w:rPr>
                <w:rFonts w:ascii="Times New Roman" w:eastAsia="Calibri" w:hAnsi="Times New Roman" w:cs="Times New Roman"/>
                <w:i/>
                <w:sz w:val="20"/>
                <w:szCs w:val="20"/>
                <w:vertAlign w:val="superscript"/>
              </w:rPr>
              <w:t>**</w:t>
            </w:r>
          </w:p>
        </w:tc>
        <w:tc>
          <w:tcPr>
            <w:tcW w:w="738" w:type="dxa"/>
            <w:tcBorders>
              <w:top w:val="single" w:sz="4" w:space="0" w:color="auto"/>
              <w:left w:val="single" w:sz="4" w:space="0" w:color="auto"/>
              <w:bottom w:val="single" w:sz="4" w:space="0" w:color="auto"/>
              <w:right w:val="single" w:sz="4" w:space="0" w:color="auto"/>
            </w:tcBorders>
            <w:vAlign w:val="center"/>
            <w:hideMark/>
          </w:tcPr>
          <w:p w14:paraId="0DCBF237" w14:textId="324A86E4" w:rsidR="002B1603" w:rsidRPr="00A07F29" w:rsidRDefault="000B4CC1" w:rsidP="002B1603">
            <w:pPr>
              <w:spacing w:after="120"/>
              <w:rPr>
                <w:rFonts w:ascii="Times New Roman" w:eastAsia="Calibri" w:hAnsi="Times New Roman" w:cs="Times New Roman"/>
                <w:sz w:val="20"/>
                <w:szCs w:val="20"/>
              </w:rPr>
            </w:pPr>
            <w:r w:rsidRPr="00A07F29">
              <w:rPr>
                <w:rFonts w:ascii="Times New Roman" w:eastAsia="Calibri" w:hAnsi="Times New Roman" w:cs="Times New Roman"/>
                <w:sz w:val="20"/>
                <w:szCs w:val="20"/>
              </w:rPr>
              <w:t>800</w:t>
            </w:r>
          </w:p>
        </w:tc>
        <w:tc>
          <w:tcPr>
            <w:tcW w:w="851" w:type="dxa"/>
            <w:tcBorders>
              <w:top w:val="single" w:sz="4" w:space="0" w:color="auto"/>
              <w:left w:val="single" w:sz="4" w:space="0" w:color="auto"/>
              <w:bottom w:val="single" w:sz="4" w:space="0" w:color="auto"/>
              <w:right w:val="single" w:sz="4" w:space="0" w:color="auto"/>
            </w:tcBorders>
            <w:vAlign w:val="center"/>
            <w:hideMark/>
          </w:tcPr>
          <w:p w14:paraId="6417D097" w14:textId="55A6254A" w:rsidR="002B1603" w:rsidRPr="00A07F29" w:rsidRDefault="000B4CC1" w:rsidP="002B1603">
            <w:pPr>
              <w:spacing w:after="120"/>
              <w:rPr>
                <w:rFonts w:ascii="Times New Roman" w:eastAsia="Calibri" w:hAnsi="Times New Roman" w:cs="Times New Roman"/>
                <w:sz w:val="20"/>
                <w:szCs w:val="20"/>
              </w:rPr>
            </w:pPr>
            <w:r w:rsidRPr="00A07F29">
              <w:rPr>
                <w:rFonts w:ascii="Times New Roman" w:eastAsia="Calibri" w:hAnsi="Times New Roman" w:cs="Times New Roman"/>
                <w:sz w:val="20"/>
                <w:szCs w:val="20"/>
              </w:rPr>
              <w:t>1000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0AA1BEF" w14:textId="77777777" w:rsidR="002B1603" w:rsidRPr="00A07F29" w:rsidRDefault="002B1603" w:rsidP="002B1603">
            <w:pPr>
              <w:spacing w:after="120"/>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8FE4298" w14:textId="77777777" w:rsidR="002B1603" w:rsidRPr="00A07F29" w:rsidRDefault="002B1603" w:rsidP="002B1603">
            <w:pPr>
              <w:spacing w:after="120"/>
              <w:rPr>
                <w:rFonts w:ascii="Times New Roman" w:eastAsia="Calibri" w:hAnsi="Times New Roman" w:cs="Times New Roman"/>
                <w:sz w:val="20"/>
                <w:szCs w:val="20"/>
              </w:rPr>
            </w:pPr>
            <w:r w:rsidRPr="00A07F29">
              <w:rPr>
                <w:rFonts w:ascii="Times New Roman" w:eastAsia="Calibri" w:hAnsi="Times New Roman" w:cs="Times New Roman"/>
                <w:sz w:val="20"/>
                <w:szCs w:val="20"/>
              </w:rPr>
              <w:t>17,19-18,14</w:t>
            </w:r>
          </w:p>
        </w:tc>
        <w:tc>
          <w:tcPr>
            <w:tcW w:w="962" w:type="dxa"/>
            <w:tcBorders>
              <w:top w:val="single" w:sz="4" w:space="0" w:color="auto"/>
              <w:left w:val="single" w:sz="4" w:space="0" w:color="auto"/>
              <w:bottom w:val="single" w:sz="4" w:space="0" w:color="auto"/>
              <w:right w:val="single" w:sz="4" w:space="0" w:color="auto"/>
            </w:tcBorders>
            <w:vAlign w:val="center"/>
            <w:hideMark/>
          </w:tcPr>
          <w:p w14:paraId="6D4D7F7C" w14:textId="77777777" w:rsidR="002B1603" w:rsidRPr="00A07F29" w:rsidRDefault="002B1603" w:rsidP="002B1603">
            <w:pPr>
              <w:spacing w:after="120"/>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1209B37" w14:textId="77777777" w:rsidR="002B1603" w:rsidRPr="00A07F29" w:rsidRDefault="002B1603" w:rsidP="002B1603">
            <w:pPr>
              <w:spacing w:after="120"/>
              <w:ind w:firstLine="851"/>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r>
      <w:tr w:rsidR="002B1603" w:rsidRPr="00A07F29" w14:paraId="4EBD0999" w14:textId="77777777" w:rsidTr="461809C0">
        <w:tc>
          <w:tcPr>
            <w:tcW w:w="833" w:type="dxa"/>
            <w:tcBorders>
              <w:top w:val="single" w:sz="4" w:space="0" w:color="auto"/>
              <w:left w:val="single" w:sz="4" w:space="0" w:color="auto"/>
              <w:bottom w:val="single" w:sz="4" w:space="0" w:color="auto"/>
              <w:right w:val="single" w:sz="4" w:space="0" w:color="auto"/>
            </w:tcBorders>
            <w:hideMark/>
          </w:tcPr>
          <w:p w14:paraId="7CB89E6C" w14:textId="5FDE066D" w:rsidR="002B1603" w:rsidRPr="00A07F29" w:rsidRDefault="006A163B" w:rsidP="002B1603">
            <w:pPr>
              <w:spacing w:after="120"/>
              <w:rPr>
                <w:rFonts w:ascii="Times New Roman" w:eastAsia="Calibri" w:hAnsi="Times New Roman" w:cs="Times New Roman"/>
                <w:sz w:val="20"/>
                <w:szCs w:val="20"/>
              </w:rPr>
            </w:pPr>
            <w:r w:rsidRPr="00A07F29">
              <w:rPr>
                <w:rFonts w:ascii="Times New Roman" w:eastAsia="Calibri" w:hAnsi="Times New Roman" w:cs="Times New Roman"/>
                <w:sz w:val="20"/>
                <w:szCs w:val="20"/>
              </w:rPr>
              <w:t>4</w:t>
            </w:r>
            <w:r w:rsidR="002B1603" w:rsidRPr="00A07F29">
              <w:rPr>
                <w:rFonts w:ascii="Times New Roman" w:eastAsia="Calibri" w:hAnsi="Times New Roman" w:cs="Times New Roman"/>
                <w:sz w:val="20"/>
                <w:szCs w:val="20"/>
              </w:rPr>
              <w:t xml:space="preserve">. </w:t>
            </w:r>
          </w:p>
        </w:tc>
        <w:tc>
          <w:tcPr>
            <w:tcW w:w="1690" w:type="dxa"/>
            <w:tcBorders>
              <w:top w:val="single" w:sz="4" w:space="0" w:color="auto"/>
              <w:left w:val="single" w:sz="4" w:space="0" w:color="auto"/>
              <w:bottom w:val="single" w:sz="4" w:space="0" w:color="auto"/>
              <w:right w:val="single" w:sz="4" w:space="0" w:color="auto"/>
            </w:tcBorders>
            <w:hideMark/>
          </w:tcPr>
          <w:p w14:paraId="51A2A339" w14:textId="77777777" w:rsidR="002B1603" w:rsidRPr="00A07F29" w:rsidRDefault="002B1603" w:rsidP="002B1603">
            <w:pPr>
              <w:spacing w:after="120"/>
              <w:rPr>
                <w:rFonts w:ascii="Times New Roman" w:eastAsia="Calibri" w:hAnsi="Times New Roman" w:cs="Times New Roman"/>
                <w:sz w:val="20"/>
                <w:szCs w:val="20"/>
              </w:rPr>
            </w:pPr>
            <w:r w:rsidRPr="00A07F29">
              <w:rPr>
                <w:rFonts w:ascii="Times New Roman" w:eastAsia="Calibri" w:hAnsi="Times New Roman" w:cs="Times New Roman"/>
                <w:sz w:val="20"/>
                <w:szCs w:val="20"/>
              </w:rPr>
              <w:t>Dzeltenā akmeņlauzīte</w:t>
            </w:r>
            <w:r w:rsidRPr="00A07F29">
              <w:rPr>
                <w:rFonts w:ascii="Times New Roman" w:eastAsia="Calibri" w:hAnsi="Times New Roman" w:cs="Times New Roman"/>
                <w:i/>
                <w:sz w:val="20"/>
                <w:szCs w:val="20"/>
              </w:rPr>
              <w:t xml:space="preserve"> </w:t>
            </w:r>
            <w:proofErr w:type="spellStart"/>
            <w:r w:rsidRPr="00A07F29">
              <w:rPr>
                <w:rFonts w:ascii="Times New Roman" w:eastAsia="Calibri" w:hAnsi="Times New Roman" w:cs="Times New Roman"/>
                <w:i/>
                <w:sz w:val="20"/>
                <w:szCs w:val="20"/>
              </w:rPr>
              <w:t>Saxifraga</w:t>
            </w:r>
            <w:proofErr w:type="spellEnd"/>
            <w:r w:rsidRPr="00A07F29">
              <w:rPr>
                <w:rFonts w:ascii="Times New Roman" w:eastAsia="Calibri" w:hAnsi="Times New Roman" w:cs="Times New Roman"/>
                <w:i/>
                <w:sz w:val="20"/>
                <w:szCs w:val="20"/>
              </w:rPr>
              <w:t xml:space="preserve"> </w:t>
            </w:r>
            <w:proofErr w:type="spellStart"/>
            <w:r w:rsidRPr="00A07F29">
              <w:rPr>
                <w:rFonts w:ascii="Times New Roman" w:eastAsia="Calibri" w:hAnsi="Times New Roman" w:cs="Times New Roman"/>
                <w:i/>
                <w:sz w:val="20"/>
                <w:szCs w:val="20"/>
              </w:rPr>
              <w:t>hirculus</w:t>
            </w:r>
            <w:proofErr w:type="spellEnd"/>
          </w:p>
        </w:tc>
        <w:tc>
          <w:tcPr>
            <w:tcW w:w="738" w:type="dxa"/>
            <w:tcBorders>
              <w:top w:val="single" w:sz="4" w:space="0" w:color="auto"/>
              <w:left w:val="single" w:sz="4" w:space="0" w:color="auto"/>
              <w:bottom w:val="single" w:sz="4" w:space="0" w:color="auto"/>
              <w:right w:val="single" w:sz="4" w:space="0" w:color="auto"/>
            </w:tcBorders>
            <w:vAlign w:val="center"/>
            <w:hideMark/>
          </w:tcPr>
          <w:p w14:paraId="675CA3A3" w14:textId="77777777" w:rsidR="002B1603" w:rsidRPr="00A07F29" w:rsidRDefault="002B1603" w:rsidP="002B1603">
            <w:pPr>
              <w:spacing w:after="120"/>
              <w:rPr>
                <w:rFonts w:ascii="Times New Roman" w:eastAsia="Calibri" w:hAnsi="Times New Roman" w:cs="Times New Roman"/>
                <w:sz w:val="20"/>
                <w:szCs w:val="20"/>
              </w:rPr>
            </w:pPr>
            <w:r w:rsidRPr="00A07F29">
              <w:rPr>
                <w:rFonts w:ascii="Times New Roman" w:eastAsia="Calibri" w:hAnsi="Times New Roman" w:cs="Times New Roman"/>
                <w:sz w:val="20"/>
                <w:szCs w:val="20"/>
              </w:rPr>
              <w:t>20</w:t>
            </w:r>
          </w:p>
        </w:tc>
        <w:tc>
          <w:tcPr>
            <w:tcW w:w="851" w:type="dxa"/>
            <w:tcBorders>
              <w:top w:val="single" w:sz="4" w:space="0" w:color="auto"/>
              <w:left w:val="single" w:sz="4" w:space="0" w:color="auto"/>
              <w:bottom w:val="single" w:sz="4" w:space="0" w:color="auto"/>
              <w:right w:val="single" w:sz="4" w:space="0" w:color="auto"/>
            </w:tcBorders>
            <w:vAlign w:val="center"/>
            <w:hideMark/>
          </w:tcPr>
          <w:p w14:paraId="67FE8D90" w14:textId="77777777" w:rsidR="002B1603" w:rsidRPr="00A07F29" w:rsidRDefault="002B1603" w:rsidP="002B1603">
            <w:pPr>
              <w:spacing w:after="120"/>
              <w:rPr>
                <w:rFonts w:ascii="Times New Roman" w:eastAsia="Calibri" w:hAnsi="Times New Roman" w:cs="Times New Roman"/>
                <w:sz w:val="20"/>
                <w:szCs w:val="20"/>
              </w:rPr>
            </w:pPr>
            <w:r w:rsidRPr="00A07F29">
              <w:rPr>
                <w:rFonts w:ascii="Times New Roman" w:eastAsia="Calibri" w:hAnsi="Times New Roman" w:cs="Times New Roman"/>
                <w:sz w:val="20"/>
                <w:szCs w:val="20"/>
              </w:rPr>
              <w:t>40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B89B5FD" w14:textId="77777777" w:rsidR="002B1603" w:rsidRPr="00A07F29" w:rsidRDefault="002B1603" w:rsidP="002B1603">
            <w:pPr>
              <w:spacing w:after="120"/>
              <w:rPr>
                <w:rFonts w:ascii="Times New Roman" w:eastAsia="Calibri" w:hAnsi="Times New Roman" w:cs="Times New Roman"/>
                <w:sz w:val="20"/>
                <w:szCs w:val="20"/>
              </w:rPr>
            </w:pPr>
            <w:r w:rsidRPr="00A07F29">
              <w:rPr>
                <w:rFonts w:ascii="Times New Roman" w:eastAsia="Calibri" w:hAnsi="Times New Roman" w:cs="Times New Roman"/>
                <w:sz w:val="20"/>
                <w:szCs w:val="20"/>
              </w:rPr>
              <w:t>2,29-4,44</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D177B3B" w14:textId="77777777" w:rsidR="002B1603" w:rsidRPr="00A07F29" w:rsidRDefault="002B1603" w:rsidP="002B1603">
            <w:pPr>
              <w:spacing w:after="120"/>
              <w:rPr>
                <w:rFonts w:ascii="Times New Roman" w:eastAsia="Calibri" w:hAnsi="Times New Roman" w:cs="Times New Roman"/>
                <w:sz w:val="20"/>
                <w:szCs w:val="20"/>
              </w:rPr>
            </w:pPr>
            <w:r w:rsidRPr="00A07F29">
              <w:rPr>
                <w:rFonts w:ascii="Times New Roman" w:eastAsia="Calibri" w:hAnsi="Times New Roman" w:cs="Times New Roman"/>
                <w:sz w:val="20"/>
                <w:szCs w:val="20"/>
              </w:rPr>
              <w:t>2,30-4,44</w:t>
            </w:r>
          </w:p>
        </w:tc>
        <w:tc>
          <w:tcPr>
            <w:tcW w:w="962" w:type="dxa"/>
            <w:tcBorders>
              <w:top w:val="single" w:sz="4" w:space="0" w:color="auto"/>
              <w:left w:val="single" w:sz="4" w:space="0" w:color="auto"/>
              <w:bottom w:val="single" w:sz="4" w:space="0" w:color="auto"/>
              <w:right w:val="single" w:sz="4" w:space="0" w:color="auto"/>
            </w:tcBorders>
            <w:vAlign w:val="center"/>
            <w:hideMark/>
          </w:tcPr>
          <w:p w14:paraId="68DF7BD8" w14:textId="77777777" w:rsidR="002B1603" w:rsidRPr="00A07F29" w:rsidRDefault="002B1603" w:rsidP="002B1603">
            <w:pPr>
              <w:spacing w:after="120"/>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09EFF82" w14:textId="77777777" w:rsidR="002B1603" w:rsidRPr="00A07F29" w:rsidRDefault="002B1603" w:rsidP="002B1603">
            <w:pPr>
              <w:spacing w:after="120"/>
              <w:ind w:firstLine="851"/>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r>
    </w:tbl>
    <w:p w14:paraId="45261796" w14:textId="1CFF85CA" w:rsidR="002B1603" w:rsidRPr="00A07F29" w:rsidRDefault="002B1603" w:rsidP="00E94290">
      <w:pPr>
        <w:spacing w:before="120" w:after="120" w:line="240" w:lineRule="auto"/>
        <w:jc w:val="both"/>
        <w:rPr>
          <w:rFonts w:ascii="Times New Roman" w:hAnsi="Times New Roman" w:cs="Times New Roman"/>
          <w:sz w:val="20"/>
          <w:szCs w:val="20"/>
        </w:rPr>
      </w:pPr>
      <w:r w:rsidRPr="00A07F29">
        <w:rPr>
          <w:rFonts w:ascii="Times New Roman" w:hAnsi="Times New Roman" w:cs="Times New Roman"/>
          <w:i/>
          <w:sz w:val="20"/>
          <w:szCs w:val="20"/>
          <w:vertAlign w:val="superscript"/>
        </w:rPr>
        <w:t xml:space="preserve">* </w:t>
      </w:r>
      <w:r w:rsidRPr="00A07F29">
        <w:rPr>
          <w:rFonts w:ascii="Times New Roman" w:hAnsi="Times New Roman" w:cs="Times New Roman"/>
          <w:sz w:val="20"/>
          <w:szCs w:val="20"/>
        </w:rPr>
        <w:t xml:space="preserve">Kopējais </w:t>
      </w:r>
      <w:r w:rsidR="00013590" w:rsidRPr="00A07F29">
        <w:rPr>
          <w:rFonts w:ascii="Times New Roman" w:hAnsi="Times New Roman" w:cs="Times New Roman"/>
          <w:sz w:val="20"/>
          <w:szCs w:val="20"/>
        </w:rPr>
        <w:t>Biotopu direktīva</w:t>
      </w:r>
      <w:r w:rsidRPr="00A07F29">
        <w:rPr>
          <w:rFonts w:ascii="Times New Roman" w:hAnsi="Times New Roman" w:cs="Times New Roman"/>
          <w:sz w:val="20"/>
          <w:szCs w:val="20"/>
        </w:rPr>
        <w:t xml:space="preserve">s sugas spilvainā </w:t>
      </w:r>
      <w:proofErr w:type="spellStart"/>
      <w:r w:rsidRPr="00A07F29">
        <w:rPr>
          <w:rFonts w:ascii="Times New Roman" w:hAnsi="Times New Roman" w:cs="Times New Roman"/>
          <w:sz w:val="20"/>
          <w:szCs w:val="20"/>
        </w:rPr>
        <w:t>ancīša</w:t>
      </w:r>
      <w:proofErr w:type="spellEnd"/>
      <w:r w:rsidRPr="00A07F29">
        <w:rPr>
          <w:rFonts w:ascii="Times New Roman" w:hAnsi="Times New Roman" w:cs="Times New Roman"/>
          <w:sz w:val="20"/>
          <w:szCs w:val="20"/>
        </w:rPr>
        <w:t xml:space="preserve"> populācijas lielums valstī ir aplēsts no 127</w:t>
      </w:r>
      <w:r w:rsidR="0057689A" w:rsidRPr="00A07F29">
        <w:rPr>
          <w:rFonts w:ascii="Times New Roman" w:hAnsi="Times New Roman" w:cs="Times New Roman"/>
          <w:sz w:val="20"/>
          <w:szCs w:val="20"/>
        </w:rPr>
        <w:t>965</w:t>
      </w:r>
      <w:r w:rsidRPr="00A07F29">
        <w:rPr>
          <w:rFonts w:ascii="Times New Roman" w:hAnsi="Times New Roman" w:cs="Times New Roman"/>
          <w:sz w:val="20"/>
          <w:szCs w:val="20"/>
        </w:rPr>
        <w:t xml:space="preserve"> līdz </w:t>
      </w:r>
      <w:r w:rsidR="00AB3ECF" w:rsidRPr="00A07F29">
        <w:rPr>
          <w:rFonts w:ascii="Times New Roman" w:hAnsi="Times New Roman" w:cs="Times New Roman"/>
          <w:sz w:val="20"/>
          <w:szCs w:val="20"/>
        </w:rPr>
        <w:t>128000</w:t>
      </w:r>
    </w:p>
    <w:bookmarkEnd w:id="71"/>
    <w:p w14:paraId="6163A9A3" w14:textId="79F8DBD0" w:rsidR="002B1603" w:rsidRPr="00A07F29" w:rsidRDefault="002B1603" w:rsidP="00E94290">
      <w:pPr>
        <w:spacing w:after="120" w:line="240" w:lineRule="auto"/>
        <w:jc w:val="both"/>
        <w:rPr>
          <w:rFonts w:ascii="Times New Roman" w:hAnsi="Times New Roman" w:cs="Times New Roman"/>
          <w:sz w:val="20"/>
          <w:szCs w:val="20"/>
        </w:rPr>
      </w:pPr>
      <w:r w:rsidRPr="00A07F29">
        <w:rPr>
          <w:rFonts w:ascii="Times New Roman" w:hAnsi="Times New Roman" w:cs="Times New Roman"/>
          <w:i/>
          <w:sz w:val="20"/>
          <w:szCs w:val="20"/>
          <w:vertAlign w:val="superscript"/>
        </w:rPr>
        <w:t xml:space="preserve">** </w:t>
      </w:r>
      <w:r w:rsidRPr="00A07F29">
        <w:rPr>
          <w:rFonts w:ascii="Times New Roman" w:hAnsi="Times New Roman" w:cs="Times New Roman"/>
          <w:sz w:val="20"/>
          <w:szCs w:val="20"/>
        </w:rPr>
        <w:t xml:space="preserve">Kopējais </w:t>
      </w:r>
      <w:r w:rsidR="00013590" w:rsidRPr="00A07F29">
        <w:rPr>
          <w:rFonts w:ascii="Times New Roman" w:hAnsi="Times New Roman" w:cs="Times New Roman"/>
          <w:sz w:val="20"/>
          <w:szCs w:val="20"/>
        </w:rPr>
        <w:t>Biotopu direktīvas</w:t>
      </w:r>
      <w:r w:rsidRPr="00A07F29">
        <w:rPr>
          <w:rFonts w:ascii="Times New Roman" w:hAnsi="Times New Roman" w:cs="Times New Roman"/>
          <w:sz w:val="20"/>
          <w:szCs w:val="20"/>
        </w:rPr>
        <w:t xml:space="preserve"> sugas meža silpurenes populācijas lielums valstī ir aplēsts no </w:t>
      </w:r>
      <w:r w:rsidR="00AB3ECF" w:rsidRPr="00A07F29">
        <w:rPr>
          <w:rFonts w:ascii="Times New Roman" w:hAnsi="Times New Roman" w:cs="Times New Roman"/>
          <w:sz w:val="20"/>
          <w:szCs w:val="20"/>
        </w:rPr>
        <w:t>14213</w:t>
      </w:r>
      <w:r w:rsidRPr="00A07F29">
        <w:rPr>
          <w:rFonts w:ascii="Times New Roman" w:hAnsi="Times New Roman" w:cs="Times New Roman"/>
          <w:sz w:val="20"/>
          <w:szCs w:val="20"/>
        </w:rPr>
        <w:t xml:space="preserve"> līdz </w:t>
      </w:r>
      <w:r w:rsidR="00AB3ECF" w:rsidRPr="00A07F29">
        <w:rPr>
          <w:rFonts w:ascii="Times New Roman" w:hAnsi="Times New Roman" w:cs="Times New Roman"/>
          <w:sz w:val="20"/>
          <w:szCs w:val="20"/>
        </w:rPr>
        <w:t>16859</w:t>
      </w:r>
    </w:p>
    <w:p w14:paraId="476FAB61" w14:textId="6AEDB849" w:rsidR="002B1603" w:rsidRPr="00A07F29" w:rsidRDefault="002B1603" w:rsidP="00E94290">
      <w:pPr>
        <w:spacing w:after="120" w:line="240" w:lineRule="auto"/>
        <w:jc w:val="both"/>
        <w:rPr>
          <w:rFonts w:ascii="Times New Roman" w:hAnsi="Times New Roman" w:cs="Times New Roman"/>
          <w:sz w:val="20"/>
          <w:szCs w:val="20"/>
        </w:rPr>
      </w:pPr>
      <w:r w:rsidRPr="00A07F29">
        <w:rPr>
          <w:rFonts w:ascii="Times New Roman" w:hAnsi="Times New Roman" w:cs="Times New Roman"/>
          <w:sz w:val="20"/>
          <w:szCs w:val="20"/>
        </w:rPr>
        <w:t xml:space="preserve">Sugu dzīvotņu platības visām tabulā iekļautajām sugām nav rēķinātas, tās nav rēķinātas arī </w:t>
      </w:r>
      <w:proofErr w:type="spellStart"/>
      <w:r w:rsidR="0092556E" w:rsidRPr="00A07F29">
        <w:rPr>
          <w:rFonts w:ascii="Times New Roman" w:hAnsi="Times New Roman" w:cs="Times New Roman"/>
          <w:i/>
          <w:sz w:val="20"/>
          <w:szCs w:val="20"/>
        </w:rPr>
        <w:t>Natura</w:t>
      </w:r>
      <w:proofErr w:type="spellEnd"/>
      <w:r w:rsidRPr="00A07F29">
        <w:rPr>
          <w:rFonts w:ascii="Times New Roman" w:hAnsi="Times New Roman" w:cs="Times New Roman"/>
          <w:i/>
          <w:sz w:val="20"/>
          <w:szCs w:val="20"/>
        </w:rPr>
        <w:t xml:space="preserve"> 2000</w:t>
      </w:r>
      <w:r w:rsidRPr="00A07F29">
        <w:rPr>
          <w:rFonts w:ascii="Times New Roman" w:hAnsi="Times New Roman" w:cs="Times New Roman"/>
          <w:sz w:val="20"/>
          <w:szCs w:val="20"/>
        </w:rPr>
        <w:t xml:space="preserve"> teritorijām Latvijā kopumā, tādēļ šādi dati tabulā nav ievietoti. </w:t>
      </w:r>
    </w:p>
    <w:p w14:paraId="7DD1D5CE" w14:textId="77777777" w:rsidR="002B1603" w:rsidRPr="00A07F29" w:rsidRDefault="002B1603" w:rsidP="002B1603">
      <w:pPr>
        <w:spacing w:after="0" w:line="240" w:lineRule="auto"/>
        <w:ind w:firstLine="851"/>
        <w:jc w:val="both"/>
        <w:rPr>
          <w:rFonts w:ascii="Times New Roman" w:eastAsia="Calibri" w:hAnsi="Times New Roman" w:cs="Times New Roman"/>
          <w:sz w:val="24"/>
          <w:szCs w:val="24"/>
        </w:rPr>
      </w:pPr>
    </w:p>
    <w:p w14:paraId="1911744D" w14:textId="225A63C7" w:rsidR="002B1603" w:rsidRPr="00A07F29" w:rsidRDefault="002B1603" w:rsidP="00092DEE">
      <w:pPr>
        <w:spacing w:after="120" w:line="240" w:lineRule="auto"/>
        <w:jc w:val="center"/>
        <w:rPr>
          <w:rFonts w:ascii="Times New Roman" w:eastAsia="Calibri" w:hAnsi="Times New Roman" w:cs="Times New Roman"/>
          <w:sz w:val="24"/>
          <w:szCs w:val="24"/>
        </w:rPr>
      </w:pPr>
      <w:r w:rsidRPr="00A07F29">
        <w:rPr>
          <w:rFonts w:ascii="Times New Roman" w:eastAsia="Calibri" w:hAnsi="Times New Roman" w:cs="Times New Roman"/>
          <w:sz w:val="24"/>
          <w:szCs w:val="24"/>
        </w:rPr>
        <w:lastRenderedPageBreak/>
        <w:t>4.4.3.3.</w:t>
      </w:r>
      <w:r w:rsidR="003A5338">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tabula. Citas no dabas aizsardzības viedokļa nozīmīgas </w:t>
      </w:r>
      <w:proofErr w:type="spellStart"/>
      <w:r w:rsidRPr="00A07F29">
        <w:rPr>
          <w:rFonts w:ascii="Times New Roman" w:eastAsia="Calibri" w:hAnsi="Times New Roman" w:cs="Times New Roman"/>
          <w:sz w:val="24"/>
          <w:szCs w:val="24"/>
        </w:rPr>
        <w:t>vaskulāro</w:t>
      </w:r>
      <w:proofErr w:type="spellEnd"/>
      <w:r w:rsidRPr="00A07F29">
        <w:rPr>
          <w:rFonts w:ascii="Times New Roman" w:eastAsia="Calibri" w:hAnsi="Times New Roman" w:cs="Times New Roman"/>
          <w:sz w:val="24"/>
          <w:szCs w:val="24"/>
        </w:rPr>
        <w:t xml:space="preserve"> augu sugas</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6"/>
        <w:gridCol w:w="2137"/>
        <w:gridCol w:w="992"/>
        <w:gridCol w:w="2740"/>
        <w:gridCol w:w="2771"/>
      </w:tblGrid>
      <w:tr w:rsidR="002B1603" w:rsidRPr="00A07F29" w14:paraId="0FFF2621" w14:textId="77777777" w:rsidTr="00244869">
        <w:trPr>
          <w:trHeight w:val="404"/>
          <w:tblHeader/>
          <w:jc w:val="center"/>
        </w:trPr>
        <w:tc>
          <w:tcPr>
            <w:tcW w:w="966" w:type="dxa"/>
            <w:vMerge w:val="restart"/>
            <w:shd w:val="clear" w:color="auto" w:fill="E2EFD9"/>
            <w:vAlign w:val="center"/>
          </w:tcPr>
          <w:p w14:paraId="4DA76831" w14:textId="77777777" w:rsidR="002B1603" w:rsidRPr="00A07F29" w:rsidRDefault="002B1603" w:rsidP="00B649FD">
            <w:pPr>
              <w:spacing w:after="120" w:line="240" w:lineRule="auto"/>
              <w:jc w:val="center"/>
              <w:rPr>
                <w:rFonts w:ascii="Times New Roman" w:eastAsia="Calibri" w:hAnsi="Times New Roman" w:cs="Times New Roman"/>
                <w:sz w:val="20"/>
                <w:szCs w:val="20"/>
              </w:rPr>
            </w:pPr>
            <w:proofErr w:type="spellStart"/>
            <w:r w:rsidRPr="00A07F29">
              <w:rPr>
                <w:rFonts w:ascii="Times New Roman" w:eastAsia="Calibri" w:hAnsi="Times New Roman" w:cs="Times New Roman"/>
                <w:sz w:val="20"/>
                <w:szCs w:val="20"/>
              </w:rPr>
              <w:t>Nr.p.k</w:t>
            </w:r>
            <w:proofErr w:type="spellEnd"/>
            <w:r w:rsidRPr="00A07F29">
              <w:rPr>
                <w:rFonts w:ascii="Times New Roman" w:eastAsia="Calibri" w:hAnsi="Times New Roman" w:cs="Times New Roman"/>
                <w:sz w:val="20"/>
                <w:szCs w:val="20"/>
              </w:rPr>
              <w:t>.</w:t>
            </w:r>
          </w:p>
        </w:tc>
        <w:tc>
          <w:tcPr>
            <w:tcW w:w="2137" w:type="dxa"/>
            <w:vMerge w:val="restart"/>
            <w:shd w:val="clear" w:color="auto" w:fill="E2EFD9"/>
            <w:vAlign w:val="center"/>
          </w:tcPr>
          <w:p w14:paraId="2A54FED0" w14:textId="77777777" w:rsidR="002B1603" w:rsidRPr="00A07F29" w:rsidRDefault="002B1603" w:rsidP="00B649FD">
            <w:pPr>
              <w:spacing w:after="12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Sugas nosaukums (latviski un latīniski)</w:t>
            </w:r>
          </w:p>
        </w:tc>
        <w:tc>
          <w:tcPr>
            <w:tcW w:w="992" w:type="dxa"/>
            <w:vMerge w:val="restart"/>
            <w:shd w:val="clear" w:color="auto" w:fill="E2EFD9"/>
            <w:vAlign w:val="center"/>
          </w:tcPr>
          <w:p w14:paraId="19C03154" w14:textId="77777777" w:rsidR="002B1603" w:rsidRPr="00A07F29" w:rsidRDefault="002B1603" w:rsidP="00B649FD">
            <w:pPr>
              <w:spacing w:after="12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Statuss*</w:t>
            </w:r>
          </w:p>
        </w:tc>
        <w:tc>
          <w:tcPr>
            <w:tcW w:w="2740" w:type="dxa"/>
            <w:vMerge w:val="restart"/>
            <w:shd w:val="clear" w:color="auto" w:fill="E2EFD9"/>
            <w:vAlign w:val="center"/>
          </w:tcPr>
          <w:p w14:paraId="7D312D18" w14:textId="77777777" w:rsidR="002B1603" w:rsidRPr="00A07F29" w:rsidRDefault="002B1603" w:rsidP="00B649FD">
            <w:pPr>
              <w:spacing w:after="12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Sugas stāvoklis Latvijā</w:t>
            </w:r>
          </w:p>
        </w:tc>
        <w:tc>
          <w:tcPr>
            <w:tcW w:w="2771" w:type="dxa"/>
            <w:vMerge w:val="restart"/>
            <w:shd w:val="clear" w:color="auto" w:fill="E2EFD9"/>
            <w:vAlign w:val="center"/>
          </w:tcPr>
          <w:p w14:paraId="629BD9CB" w14:textId="77777777" w:rsidR="002B1603" w:rsidRPr="00A07F29" w:rsidRDefault="002B1603" w:rsidP="00B649FD">
            <w:pPr>
              <w:spacing w:after="12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Sugas stāvoklis konkrētajā ĪADT</w:t>
            </w:r>
          </w:p>
        </w:tc>
      </w:tr>
      <w:tr w:rsidR="002B1603" w:rsidRPr="00A07F29" w14:paraId="63C018AE" w14:textId="77777777" w:rsidTr="00092DEE">
        <w:trPr>
          <w:trHeight w:val="404"/>
          <w:jc w:val="center"/>
        </w:trPr>
        <w:tc>
          <w:tcPr>
            <w:tcW w:w="966" w:type="dxa"/>
            <w:vMerge/>
          </w:tcPr>
          <w:p w14:paraId="4A666A3F" w14:textId="77777777" w:rsidR="002B1603" w:rsidRPr="00A07F29" w:rsidRDefault="002B1603" w:rsidP="00B649FD">
            <w:pPr>
              <w:spacing w:after="120" w:line="240" w:lineRule="auto"/>
              <w:ind w:firstLine="851"/>
              <w:jc w:val="center"/>
              <w:rPr>
                <w:rFonts w:ascii="Times New Roman" w:eastAsia="Calibri" w:hAnsi="Times New Roman" w:cs="Times New Roman"/>
                <w:sz w:val="20"/>
                <w:szCs w:val="20"/>
              </w:rPr>
            </w:pPr>
          </w:p>
        </w:tc>
        <w:tc>
          <w:tcPr>
            <w:tcW w:w="2137" w:type="dxa"/>
            <w:vMerge/>
          </w:tcPr>
          <w:p w14:paraId="5606DDCF" w14:textId="77777777" w:rsidR="002B1603" w:rsidRPr="00A07F29" w:rsidRDefault="002B1603" w:rsidP="00B649FD">
            <w:pPr>
              <w:spacing w:after="120" w:line="240" w:lineRule="auto"/>
              <w:ind w:firstLine="851"/>
              <w:rPr>
                <w:rFonts w:ascii="Times New Roman" w:eastAsia="Calibri" w:hAnsi="Times New Roman" w:cs="Times New Roman"/>
                <w:sz w:val="20"/>
                <w:szCs w:val="20"/>
              </w:rPr>
            </w:pPr>
          </w:p>
        </w:tc>
        <w:tc>
          <w:tcPr>
            <w:tcW w:w="992" w:type="dxa"/>
            <w:vMerge/>
          </w:tcPr>
          <w:p w14:paraId="60782FC1" w14:textId="77777777" w:rsidR="002B1603" w:rsidRPr="00A07F29" w:rsidRDefault="002B1603" w:rsidP="00B649FD">
            <w:pPr>
              <w:spacing w:after="120" w:line="240" w:lineRule="auto"/>
              <w:ind w:firstLine="851"/>
              <w:jc w:val="center"/>
              <w:rPr>
                <w:rFonts w:ascii="Times New Roman" w:eastAsia="Calibri" w:hAnsi="Times New Roman" w:cs="Times New Roman"/>
                <w:sz w:val="20"/>
                <w:szCs w:val="20"/>
              </w:rPr>
            </w:pPr>
          </w:p>
        </w:tc>
        <w:tc>
          <w:tcPr>
            <w:tcW w:w="2740" w:type="dxa"/>
            <w:vMerge/>
          </w:tcPr>
          <w:p w14:paraId="7DCCEBFB" w14:textId="77777777" w:rsidR="002B1603" w:rsidRPr="00A07F29" w:rsidRDefault="002B1603" w:rsidP="00B649FD">
            <w:pPr>
              <w:spacing w:after="120" w:line="240" w:lineRule="auto"/>
              <w:ind w:firstLine="851"/>
              <w:jc w:val="center"/>
              <w:rPr>
                <w:rFonts w:ascii="Times New Roman" w:eastAsia="Calibri" w:hAnsi="Times New Roman" w:cs="Times New Roman"/>
                <w:sz w:val="20"/>
                <w:szCs w:val="20"/>
              </w:rPr>
            </w:pPr>
          </w:p>
        </w:tc>
        <w:tc>
          <w:tcPr>
            <w:tcW w:w="2771" w:type="dxa"/>
            <w:vMerge/>
          </w:tcPr>
          <w:p w14:paraId="3985F977" w14:textId="77777777" w:rsidR="002B1603" w:rsidRPr="00A07F29" w:rsidRDefault="002B1603" w:rsidP="00B649FD">
            <w:pPr>
              <w:spacing w:after="120" w:line="240" w:lineRule="auto"/>
              <w:ind w:firstLine="851"/>
              <w:jc w:val="center"/>
              <w:rPr>
                <w:rFonts w:ascii="Times New Roman" w:eastAsia="Calibri" w:hAnsi="Times New Roman" w:cs="Times New Roman"/>
                <w:sz w:val="20"/>
                <w:szCs w:val="20"/>
              </w:rPr>
            </w:pPr>
          </w:p>
        </w:tc>
      </w:tr>
      <w:tr w:rsidR="002B1603" w:rsidRPr="00A07F29" w14:paraId="30F87CDE" w14:textId="77777777" w:rsidTr="00092DEE">
        <w:trPr>
          <w:jc w:val="center"/>
        </w:trPr>
        <w:tc>
          <w:tcPr>
            <w:tcW w:w="966" w:type="dxa"/>
          </w:tcPr>
          <w:p w14:paraId="5B7FABDE" w14:textId="77777777" w:rsidR="002B1603" w:rsidRPr="00A07F29" w:rsidRDefault="002B1603"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1.</w:t>
            </w:r>
          </w:p>
        </w:tc>
        <w:tc>
          <w:tcPr>
            <w:tcW w:w="2137" w:type="dxa"/>
          </w:tcPr>
          <w:p w14:paraId="4BF149A0" w14:textId="77777777" w:rsidR="002B1603" w:rsidRPr="00A07F29" w:rsidRDefault="002B1603" w:rsidP="00B649FD">
            <w:pPr>
              <w:spacing w:after="0" w:line="240" w:lineRule="auto"/>
              <w:rPr>
                <w:rFonts w:ascii="Times New Roman" w:eastAsia="Calibri" w:hAnsi="Times New Roman" w:cs="Times New Roman"/>
                <w:sz w:val="20"/>
                <w:szCs w:val="20"/>
              </w:rPr>
            </w:pPr>
            <w:r w:rsidRPr="00A07F29">
              <w:rPr>
                <w:rFonts w:ascii="Times New Roman" w:eastAsia="Calibri" w:hAnsi="Times New Roman" w:cs="Times New Roman"/>
                <w:sz w:val="20"/>
                <w:szCs w:val="20"/>
              </w:rPr>
              <w:t xml:space="preserve">Meža vizbulis, </w:t>
            </w:r>
          </w:p>
          <w:p w14:paraId="02A26123" w14:textId="77777777" w:rsidR="002B1603" w:rsidRPr="00A07F29" w:rsidRDefault="002B1603" w:rsidP="00B649FD">
            <w:pPr>
              <w:spacing w:after="0" w:line="240" w:lineRule="auto"/>
              <w:rPr>
                <w:rFonts w:ascii="Times New Roman" w:eastAsia="Calibri" w:hAnsi="Times New Roman" w:cs="Times New Roman"/>
                <w:i/>
                <w:spacing w:val="-1"/>
                <w:sz w:val="20"/>
                <w:szCs w:val="20"/>
              </w:rPr>
            </w:pPr>
            <w:r w:rsidRPr="00A07F29">
              <w:rPr>
                <w:rFonts w:ascii="Times New Roman" w:eastAsia="Calibri" w:hAnsi="Times New Roman" w:cs="Times New Roman"/>
                <w:i/>
                <w:sz w:val="20"/>
                <w:szCs w:val="20"/>
              </w:rPr>
              <w:t xml:space="preserve">Anemone </w:t>
            </w:r>
            <w:proofErr w:type="spellStart"/>
            <w:r w:rsidRPr="00A07F29">
              <w:rPr>
                <w:rFonts w:ascii="Times New Roman" w:eastAsia="Calibri" w:hAnsi="Times New Roman" w:cs="Times New Roman"/>
                <w:i/>
                <w:sz w:val="20"/>
                <w:szCs w:val="20"/>
              </w:rPr>
              <w:t>sylvestris</w:t>
            </w:r>
            <w:proofErr w:type="spellEnd"/>
          </w:p>
        </w:tc>
        <w:tc>
          <w:tcPr>
            <w:tcW w:w="992" w:type="dxa"/>
          </w:tcPr>
          <w:p w14:paraId="2A751F4F" w14:textId="77777777" w:rsidR="002B1603" w:rsidRPr="00A07F29" w:rsidRDefault="002B1603"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LSG (4)</w:t>
            </w:r>
          </w:p>
        </w:tc>
        <w:tc>
          <w:tcPr>
            <w:tcW w:w="2740" w:type="dxa"/>
          </w:tcPr>
          <w:p w14:paraId="6A3ED7E4" w14:textId="03808D26" w:rsidR="002B1603" w:rsidRPr="00A07F29" w:rsidRDefault="002B1603"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color w:val="394044"/>
                <w:sz w:val="20"/>
                <w:szCs w:val="20"/>
              </w:rPr>
              <w:t xml:space="preserve">Latvijā diezgan reti un nevienmērīgi izplatīta suga, biežāk valsts centrālajā un </w:t>
            </w:r>
            <w:r w:rsidR="00F00F50">
              <w:rPr>
                <w:rFonts w:ascii="Times New Roman" w:eastAsia="Calibri" w:hAnsi="Times New Roman" w:cs="Times New Roman"/>
                <w:color w:val="394044"/>
                <w:sz w:val="20"/>
                <w:szCs w:val="20"/>
              </w:rPr>
              <w:t>A</w:t>
            </w:r>
            <w:r w:rsidRPr="00A07F29">
              <w:rPr>
                <w:rFonts w:ascii="Times New Roman" w:eastAsia="Calibri" w:hAnsi="Times New Roman" w:cs="Times New Roman"/>
                <w:color w:val="394044"/>
                <w:sz w:val="20"/>
                <w:szCs w:val="20"/>
              </w:rPr>
              <w:t xml:space="preserve"> daļā, īpaši Daugavas ielejā.</w:t>
            </w:r>
          </w:p>
        </w:tc>
        <w:tc>
          <w:tcPr>
            <w:tcW w:w="2771" w:type="dxa"/>
          </w:tcPr>
          <w:p w14:paraId="07ED2D88" w14:textId="43331FDD" w:rsidR="002B1603" w:rsidRPr="00A07F29" w:rsidRDefault="002B1603" w:rsidP="00B649FD">
            <w:pPr>
              <w:spacing w:after="120" w:line="240" w:lineRule="auto"/>
              <w:jc w:val="both"/>
              <w:rPr>
                <w:rFonts w:ascii="Times New Roman" w:eastAsia="Calibri" w:hAnsi="Times New Roman" w:cs="Times New Roman"/>
                <w:b/>
                <w:color w:val="00B050"/>
                <w:sz w:val="20"/>
                <w:szCs w:val="20"/>
              </w:rPr>
            </w:pPr>
            <w:r w:rsidRPr="00A07F29">
              <w:rPr>
                <w:rFonts w:ascii="Times New Roman" w:eastAsia="Calibri" w:hAnsi="Times New Roman" w:cs="Times New Roman"/>
                <w:sz w:val="20"/>
                <w:szCs w:val="20"/>
              </w:rPr>
              <w:t>DA</w:t>
            </w:r>
            <w:r w:rsidR="00D878DE">
              <w:rPr>
                <w:rFonts w:ascii="Times New Roman" w:eastAsia="Calibri" w:hAnsi="Times New Roman" w:cs="Times New Roman"/>
                <w:sz w:val="20"/>
                <w:szCs w:val="20"/>
              </w:rPr>
              <w:t xml:space="preserve"> plāna</w:t>
            </w:r>
            <w:r w:rsidRPr="00A07F29">
              <w:rPr>
                <w:rFonts w:ascii="Times New Roman" w:eastAsia="Calibri" w:hAnsi="Times New Roman" w:cs="Times New Roman"/>
                <w:sz w:val="20"/>
                <w:szCs w:val="20"/>
              </w:rPr>
              <w:t xml:space="preserve"> izstrādes gaitā suga netika konstatēta, tomēr ir zināmas atradnes šajā teritorijā no 2007.</w:t>
            </w:r>
            <w:r w:rsidR="00585002">
              <w:rPr>
                <w:rFonts w:ascii="Times New Roman" w:eastAsia="Calibri" w:hAnsi="Times New Roman" w:cs="Times New Roman"/>
                <w:sz w:val="20"/>
                <w:szCs w:val="20"/>
              </w:rPr>
              <w:t> </w:t>
            </w:r>
            <w:r w:rsidRPr="00A07F29">
              <w:rPr>
                <w:rFonts w:ascii="Times New Roman" w:eastAsia="Calibri" w:hAnsi="Times New Roman" w:cs="Times New Roman"/>
                <w:sz w:val="20"/>
                <w:szCs w:val="20"/>
              </w:rPr>
              <w:t>gada pētījumiem.</w:t>
            </w:r>
          </w:p>
        </w:tc>
      </w:tr>
      <w:tr w:rsidR="002B1603" w:rsidRPr="00A07F29" w14:paraId="4F790791" w14:textId="77777777" w:rsidTr="00092DEE">
        <w:trPr>
          <w:jc w:val="center"/>
        </w:trPr>
        <w:tc>
          <w:tcPr>
            <w:tcW w:w="966" w:type="dxa"/>
          </w:tcPr>
          <w:p w14:paraId="47DB2EE8" w14:textId="77777777" w:rsidR="002B1603" w:rsidRPr="00A07F29" w:rsidRDefault="002B1603"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2.</w:t>
            </w:r>
          </w:p>
        </w:tc>
        <w:tc>
          <w:tcPr>
            <w:tcW w:w="2137" w:type="dxa"/>
          </w:tcPr>
          <w:p w14:paraId="3EA36774" w14:textId="77777777" w:rsidR="002B1603" w:rsidRPr="00A07F29" w:rsidRDefault="002B1603" w:rsidP="00B649FD">
            <w:pPr>
              <w:spacing w:after="0" w:line="240" w:lineRule="auto"/>
              <w:rPr>
                <w:rFonts w:ascii="Times New Roman" w:eastAsia="Calibri" w:hAnsi="Times New Roman" w:cs="Times New Roman"/>
                <w:spacing w:val="-1"/>
                <w:sz w:val="20"/>
                <w:szCs w:val="20"/>
              </w:rPr>
            </w:pPr>
            <w:r w:rsidRPr="00A07F29">
              <w:rPr>
                <w:rFonts w:ascii="Times New Roman" w:eastAsia="Calibri" w:hAnsi="Times New Roman" w:cs="Times New Roman"/>
                <w:spacing w:val="-1"/>
                <w:sz w:val="20"/>
                <w:szCs w:val="20"/>
              </w:rPr>
              <w:t xml:space="preserve">Maurloks, </w:t>
            </w:r>
          </w:p>
          <w:p w14:paraId="1DC49992" w14:textId="77777777" w:rsidR="002B1603" w:rsidRPr="00A07F29" w:rsidRDefault="002B1603" w:rsidP="00B649FD">
            <w:pPr>
              <w:spacing w:after="0" w:line="240" w:lineRule="auto"/>
              <w:rPr>
                <w:rFonts w:ascii="Times New Roman" w:eastAsia="Calibri" w:hAnsi="Times New Roman" w:cs="Times New Roman"/>
                <w:i/>
                <w:spacing w:val="-1"/>
                <w:sz w:val="20"/>
                <w:szCs w:val="20"/>
              </w:rPr>
            </w:pPr>
            <w:proofErr w:type="spellStart"/>
            <w:r w:rsidRPr="00A07F29">
              <w:rPr>
                <w:rFonts w:ascii="Times New Roman" w:eastAsia="Calibri" w:hAnsi="Times New Roman" w:cs="Times New Roman"/>
                <w:i/>
                <w:spacing w:val="-1"/>
                <w:sz w:val="20"/>
                <w:szCs w:val="20"/>
              </w:rPr>
              <w:t>Allium</w:t>
            </w:r>
            <w:proofErr w:type="spellEnd"/>
            <w:r w:rsidRPr="00A07F29">
              <w:rPr>
                <w:rFonts w:ascii="Times New Roman" w:eastAsia="Calibri" w:hAnsi="Times New Roman" w:cs="Times New Roman"/>
                <w:i/>
                <w:spacing w:val="-1"/>
                <w:sz w:val="20"/>
                <w:szCs w:val="20"/>
              </w:rPr>
              <w:t xml:space="preserve"> </w:t>
            </w:r>
            <w:proofErr w:type="spellStart"/>
            <w:r w:rsidRPr="00A07F29">
              <w:rPr>
                <w:rFonts w:ascii="Times New Roman" w:eastAsia="Calibri" w:hAnsi="Times New Roman" w:cs="Times New Roman"/>
                <w:i/>
                <w:spacing w:val="-1"/>
                <w:sz w:val="20"/>
                <w:szCs w:val="20"/>
              </w:rPr>
              <w:t>schoenoprasum</w:t>
            </w:r>
            <w:proofErr w:type="spellEnd"/>
          </w:p>
        </w:tc>
        <w:tc>
          <w:tcPr>
            <w:tcW w:w="992" w:type="dxa"/>
          </w:tcPr>
          <w:p w14:paraId="1A443402" w14:textId="77777777" w:rsidR="002B1603" w:rsidRPr="00A07F29" w:rsidRDefault="002B1603"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LSG (3)</w:t>
            </w:r>
          </w:p>
        </w:tc>
        <w:tc>
          <w:tcPr>
            <w:tcW w:w="2740" w:type="dxa"/>
          </w:tcPr>
          <w:p w14:paraId="458BEC85" w14:textId="77777777" w:rsidR="002B1603" w:rsidRPr="00A07F29" w:rsidRDefault="002B1603"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color w:val="394044"/>
                <w:sz w:val="20"/>
                <w:szCs w:val="20"/>
              </w:rPr>
              <w:t>Latvijā reti, galvenokārt upju (īpaši Daugavas) ielejās.</w:t>
            </w:r>
          </w:p>
        </w:tc>
        <w:tc>
          <w:tcPr>
            <w:tcW w:w="2771" w:type="dxa"/>
          </w:tcPr>
          <w:p w14:paraId="23FD8236" w14:textId="77777777" w:rsidR="002B1603" w:rsidRPr="00A07F29" w:rsidRDefault="002B1603"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Sugas stāvoklis AAA teritorijā ir labs. Suga veido audzes Daugavas ielejā esošajos palieņu zālājos.</w:t>
            </w:r>
          </w:p>
        </w:tc>
      </w:tr>
      <w:tr w:rsidR="002B1603" w:rsidRPr="00A07F29" w14:paraId="55B9D972" w14:textId="77777777" w:rsidTr="00092DEE">
        <w:trPr>
          <w:jc w:val="center"/>
        </w:trPr>
        <w:tc>
          <w:tcPr>
            <w:tcW w:w="966" w:type="dxa"/>
          </w:tcPr>
          <w:p w14:paraId="7124171F" w14:textId="77777777" w:rsidR="002B1603" w:rsidRPr="00A07F29" w:rsidRDefault="002B1603"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3.</w:t>
            </w:r>
          </w:p>
        </w:tc>
        <w:tc>
          <w:tcPr>
            <w:tcW w:w="2137" w:type="dxa"/>
          </w:tcPr>
          <w:p w14:paraId="1097EB1D" w14:textId="77777777" w:rsidR="002B1603" w:rsidRPr="00A07F29" w:rsidRDefault="002B1603" w:rsidP="00B649FD">
            <w:pPr>
              <w:spacing w:after="0" w:line="240" w:lineRule="auto"/>
              <w:rPr>
                <w:rFonts w:ascii="Times New Roman" w:eastAsia="Calibri" w:hAnsi="Times New Roman" w:cs="Times New Roman"/>
                <w:spacing w:val="-1"/>
                <w:sz w:val="20"/>
                <w:szCs w:val="20"/>
              </w:rPr>
            </w:pPr>
            <w:proofErr w:type="spellStart"/>
            <w:r w:rsidRPr="00A07F29">
              <w:rPr>
                <w:rFonts w:ascii="Times New Roman" w:eastAsia="Calibri" w:hAnsi="Times New Roman" w:cs="Times New Roman"/>
                <w:spacing w:val="-1"/>
                <w:sz w:val="20"/>
                <w:szCs w:val="20"/>
              </w:rPr>
              <w:t>Vīnkalnu</w:t>
            </w:r>
            <w:proofErr w:type="spellEnd"/>
            <w:r w:rsidRPr="00A07F29">
              <w:rPr>
                <w:rFonts w:ascii="Times New Roman" w:eastAsia="Calibri" w:hAnsi="Times New Roman" w:cs="Times New Roman"/>
                <w:spacing w:val="-1"/>
                <w:sz w:val="20"/>
                <w:szCs w:val="20"/>
              </w:rPr>
              <w:t xml:space="preserve"> sīpols, </w:t>
            </w:r>
          </w:p>
          <w:p w14:paraId="2F236BE9" w14:textId="77777777" w:rsidR="002B1603" w:rsidRPr="00A07F29" w:rsidRDefault="002B1603" w:rsidP="00B649FD">
            <w:pPr>
              <w:spacing w:after="0" w:line="240" w:lineRule="auto"/>
              <w:rPr>
                <w:rFonts w:ascii="Times New Roman" w:eastAsia="Calibri" w:hAnsi="Times New Roman" w:cs="Times New Roman"/>
                <w:i/>
                <w:spacing w:val="-1"/>
                <w:sz w:val="20"/>
                <w:szCs w:val="20"/>
              </w:rPr>
            </w:pPr>
            <w:proofErr w:type="spellStart"/>
            <w:r w:rsidRPr="00A07F29">
              <w:rPr>
                <w:rFonts w:ascii="Times New Roman" w:eastAsia="Calibri" w:hAnsi="Times New Roman" w:cs="Times New Roman"/>
                <w:i/>
                <w:spacing w:val="-1"/>
                <w:sz w:val="20"/>
                <w:szCs w:val="20"/>
              </w:rPr>
              <w:t>Allium</w:t>
            </w:r>
            <w:proofErr w:type="spellEnd"/>
            <w:r w:rsidRPr="00A07F29">
              <w:rPr>
                <w:rFonts w:ascii="Times New Roman" w:eastAsia="Calibri" w:hAnsi="Times New Roman" w:cs="Times New Roman"/>
                <w:i/>
                <w:spacing w:val="-1"/>
                <w:sz w:val="20"/>
                <w:szCs w:val="20"/>
              </w:rPr>
              <w:t xml:space="preserve"> </w:t>
            </w:r>
            <w:proofErr w:type="spellStart"/>
            <w:r w:rsidRPr="00A07F29">
              <w:rPr>
                <w:rFonts w:ascii="Times New Roman" w:eastAsia="Calibri" w:hAnsi="Times New Roman" w:cs="Times New Roman"/>
                <w:i/>
                <w:spacing w:val="-1"/>
                <w:sz w:val="20"/>
                <w:szCs w:val="20"/>
              </w:rPr>
              <w:t>vineale</w:t>
            </w:r>
            <w:proofErr w:type="spellEnd"/>
          </w:p>
        </w:tc>
        <w:tc>
          <w:tcPr>
            <w:tcW w:w="992" w:type="dxa"/>
          </w:tcPr>
          <w:p w14:paraId="7CEFA235" w14:textId="77777777" w:rsidR="002B1603" w:rsidRPr="00A07F29" w:rsidRDefault="002B1603"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LSG (3)</w:t>
            </w:r>
          </w:p>
        </w:tc>
        <w:tc>
          <w:tcPr>
            <w:tcW w:w="2740" w:type="dxa"/>
          </w:tcPr>
          <w:p w14:paraId="102EBFEC" w14:textId="77777777" w:rsidR="002B1603" w:rsidRPr="00A07F29" w:rsidRDefault="002B1603"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color w:val="394044"/>
                <w:sz w:val="20"/>
                <w:szCs w:val="20"/>
              </w:rPr>
              <w:t>Latvijā reti, pārsvarā Daugavas ielejā un Kurzemes piejūras daļā.</w:t>
            </w:r>
          </w:p>
        </w:tc>
        <w:tc>
          <w:tcPr>
            <w:tcW w:w="2771" w:type="dxa"/>
          </w:tcPr>
          <w:p w14:paraId="6C856D2A" w14:textId="6AEFE835" w:rsidR="002B1603" w:rsidRPr="00A07F29" w:rsidRDefault="002B1603"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2007.</w:t>
            </w:r>
            <w:r w:rsidR="00253924">
              <w:rPr>
                <w:rFonts w:ascii="Times New Roman" w:eastAsia="Calibri" w:hAnsi="Times New Roman" w:cs="Times New Roman"/>
                <w:sz w:val="20"/>
                <w:szCs w:val="20"/>
              </w:rPr>
              <w:t> </w:t>
            </w:r>
            <w:r w:rsidRPr="00A07F29">
              <w:rPr>
                <w:rFonts w:ascii="Times New Roman" w:eastAsia="Calibri" w:hAnsi="Times New Roman" w:cs="Times New Roman"/>
                <w:sz w:val="20"/>
                <w:szCs w:val="20"/>
              </w:rPr>
              <w:t xml:space="preserve">gadā konstatētas trīs atradnes. </w:t>
            </w:r>
          </w:p>
        </w:tc>
      </w:tr>
      <w:tr w:rsidR="002B1603" w:rsidRPr="00A07F29" w14:paraId="20FDE124" w14:textId="77777777" w:rsidTr="00092DEE">
        <w:trPr>
          <w:jc w:val="center"/>
        </w:trPr>
        <w:tc>
          <w:tcPr>
            <w:tcW w:w="966" w:type="dxa"/>
          </w:tcPr>
          <w:p w14:paraId="55D7C78D" w14:textId="77777777" w:rsidR="002B1603" w:rsidRPr="00A07F29" w:rsidRDefault="002B1603"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4.</w:t>
            </w:r>
          </w:p>
        </w:tc>
        <w:tc>
          <w:tcPr>
            <w:tcW w:w="2137" w:type="dxa"/>
          </w:tcPr>
          <w:p w14:paraId="520F3D98" w14:textId="77777777" w:rsidR="002B1603" w:rsidRPr="00A07F29" w:rsidRDefault="002B1603" w:rsidP="00B649FD">
            <w:pPr>
              <w:spacing w:after="0" w:line="240" w:lineRule="auto"/>
              <w:rPr>
                <w:rFonts w:ascii="Times New Roman" w:eastAsia="Calibri" w:hAnsi="Times New Roman" w:cs="Times New Roman"/>
                <w:spacing w:val="-1"/>
                <w:sz w:val="20"/>
                <w:szCs w:val="20"/>
              </w:rPr>
            </w:pPr>
            <w:r w:rsidRPr="00A07F29">
              <w:rPr>
                <w:rFonts w:ascii="Times New Roman" w:eastAsia="Calibri" w:hAnsi="Times New Roman" w:cs="Times New Roman"/>
                <w:spacing w:val="-1"/>
                <w:sz w:val="20"/>
                <w:szCs w:val="20"/>
              </w:rPr>
              <w:t xml:space="preserve">Jūrmalas </w:t>
            </w:r>
            <w:proofErr w:type="spellStart"/>
            <w:r w:rsidRPr="00A07F29">
              <w:rPr>
                <w:rFonts w:ascii="Times New Roman" w:eastAsia="Calibri" w:hAnsi="Times New Roman" w:cs="Times New Roman"/>
                <w:spacing w:val="-1"/>
                <w:sz w:val="20"/>
                <w:szCs w:val="20"/>
              </w:rPr>
              <w:t>pērkonamoliņš</w:t>
            </w:r>
            <w:proofErr w:type="spellEnd"/>
            <w:r w:rsidRPr="00A07F29">
              <w:rPr>
                <w:rFonts w:ascii="Times New Roman" w:eastAsia="Calibri" w:hAnsi="Times New Roman" w:cs="Times New Roman"/>
                <w:spacing w:val="-1"/>
                <w:sz w:val="20"/>
                <w:szCs w:val="20"/>
              </w:rPr>
              <w:t xml:space="preserve">, </w:t>
            </w:r>
            <w:proofErr w:type="spellStart"/>
            <w:r w:rsidRPr="00A07F29">
              <w:rPr>
                <w:rFonts w:ascii="Times New Roman" w:eastAsia="Calibri" w:hAnsi="Times New Roman" w:cs="Times New Roman"/>
                <w:i/>
                <w:spacing w:val="-1"/>
                <w:sz w:val="20"/>
                <w:szCs w:val="20"/>
              </w:rPr>
              <w:t>Anthyllis</w:t>
            </w:r>
            <w:proofErr w:type="spellEnd"/>
            <w:r w:rsidRPr="00A07F29">
              <w:rPr>
                <w:rFonts w:ascii="Times New Roman" w:eastAsia="Calibri" w:hAnsi="Times New Roman" w:cs="Times New Roman"/>
                <w:i/>
                <w:spacing w:val="-1"/>
                <w:sz w:val="20"/>
                <w:szCs w:val="20"/>
              </w:rPr>
              <w:t xml:space="preserve"> maritima</w:t>
            </w:r>
            <w:r w:rsidRPr="00A07F29">
              <w:rPr>
                <w:rFonts w:ascii="Times New Roman" w:eastAsia="Calibri" w:hAnsi="Times New Roman" w:cs="Times New Roman"/>
                <w:i/>
                <w:spacing w:val="-1"/>
                <w:sz w:val="20"/>
                <w:szCs w:val="20"/>
                <w:vertAlign w:val="superscript"/>
              </w:rPr>
              <w:t>3</w:t>
            </w:r>
          </w:p>
        </w:tc>
        <w:tc>
          <w:tcPr>
            <w:tcW w:w="992" w:type="dxa"/>
          </w:tcPr>
          <w:p w14:paraId="2DBAD419" w14:textId="77777777" w:rsidR="002B1603" w:rsidRPr="00A07F29" w:rsidRDefault="002B1603"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LSG (3)</w:t>
            </w:r>
          </w:p>
        </w:tc>
        <w:tc>
          <w:tcPr>
            <w:tcW w:w="2740" w:type="dxa"/>
          </w:tcPr>
          <w:p w14:paraId="7367A1CA" w14:textId="77777777" w:rsidR="002B1603" w:rsidRPr="00A07F29" w:rsidRDefault="002B1603"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color w:val="394044"/>
                <w:sz w:val="20"/>
                <w:szCs w:val="20"/>
              </w:rPr>
              <w:t>Latvijā reti, galvenokārt jūras piekrastē.</w:t>
            </w:r>
          </w:p>
        </w:tc>
        <w:tc>
          <w:tcPr>
            <w:tcW w:w="2771" w:type="dxa"/>
          </w:tcPr>
          <w:p w14:paraId="69B6B2FF" w14:textId="1EC13A52" w:rsidR="002B1603" w:rsidRPr="00A07F29" w:rsidRDefault="002B1603" w:rsidP="00B649FD">
            <w:pPr>
              <w:spacing w:after="0" w:line="240" w:lineRule="auto"/>
              <w:jc w:val="both"/>
              <w:rPr>
                <w:rFonts w:ascii="Times New Roman" w:eastAsia="Calibri" w:hAnsi="Times New Roman" w:cs="Times New Roman"/>
                <w:color w:val="00B050"/>
                <w:sz w:val="20"/>
                <w:szCs w:val="20"/>
              </w:rPr>
            </w:pPr>
            <w:r w:rsidRPr="00A07F29">
              <w:rPr>
                <w:rFonts w:ascii="Times New Roman" w:eastAsia="Calibri" w:hAnsi="Times New Roman" w:cs="Times New Roman"/>
                <w:sz w:val="20"/>
                <w:szCs w:val="20"/>
              </w:rPr>
              <w:t>DA</w:t>
            </w:r>
            <w:r w:rsidR="009B5810">
              <w:rPr>
                <w:rFonts w:ascii="Times New Roman" w:eastAsia="Calibri" w:hAnsi="Times New Roman" w:cs="Times New Roman"/>
                <w:sz w:val="20"/>
                <w:szCs w:val="20"/>
              </w:rPr>
              <w:t xml:space="preserve"> plāna</w:t>
            </w:r>
            <w:r w:rsidRPr="00A07F29">
              <w:rPr>
                <w:rFonts w:ascii="Times New Roman" w:eastAsia="Calibri" w:hAnsi="Times New Roman" w:cs="Times New Roman"/>
                <w:sz w:val="20"/>
                <w:szCs w:val="20"/>
              </w:rPr>
              <w:t xml:space="preserve"> izstrādes gaitā suga netika konstatēta. Arī herbārija kolekcijās trūkst informācijas par šīs sugas atrašanos pētītajā teritorijā, minēta literatūrā (Roze</w:t>
            </w:r>
            <w:r w:rsidR="00A11BFD">
              <w:rPr>
                <w:rFonts w:ascii="Times New Roman" w:eastAsia="Calibri" w:hAnsi="Times New Roman" w:cs="Times New Roman"/>
                <w:sz w:val="20"/>
                <w:szCs w:val="20"/>
              </w:rPr>
              <w:t xml:space="preserve"> </w:t>
            </w:r>
            <w:r w:rsidR="00E56301">
              <w:rPr>
                <w:rFonts w:ascii="Times New Roman" w:eastAsia="Calibri" w:hAnsi="Times New Roman" w:cs="Times New Roman"/>
                <w:sz w:val="20"/>
                <w:szCs w:val="20"/>
              </w:rPr>
              <w:t>I.,</w:t>
            </w:r>
            <w:r w:rsidRPr="00A07F29">
              <w:rPr>
                <w:rFonts w:ascii="Times New Roman" w:eastAsia="Calibri" w:hAnsi="Times New Roman" w:cs="Times New Roman"/>
                <w:sz w:val="20"/>
                <w:szCs w:val="20"/>
              </w:rPr>
              <w:t xml:space="preserve"> 2015). </w:t>
            </w:r>
          </w:p>
        </w:tc>
      </w:tr>
      <w:tr w:rsidR="008B4E3F" w:rsidRPr="00A07F29" w14:paraId="2E9B2351" w14:textId="77777777" w:rsidTr="00092DEE">
        <w:trPr>
          <w:jc w:val="center"/>
        </w:trPr>
        <w:tc>
          <w:tcPr>
            <w:tcW w:w="966" w:type="dxa"/>
          </w:tcPr>
          <w:p w14:paraId="1C3C2C5A" w14:textId="0BC39A16" w:rsidR="008B4E3F" w:rsidRPr="00A07F29" w:rsidRDefault="00E970EB"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5.</w:t>
            </w:r>
          </w:p>
        </w:tc>
        <w:tc>
          <w:tcPr>
            <w:tcW w:w="2137" w:type="dxa"/>
          </w:tcPr>
          <w:p w14:paraId="58D12CD6" w14:textId="1EFA5A53" w:rsidR="008B4E3F" w:rsidRPr="00A07F29" w:rsidRDefault="008B4E3F" w:rsidP="00B649FD">
            <w:pPr>
              <w:spacing w:after="0" w:line="240" w:lineRule="auto"/>
              <w:rPr>
                <w:rFonts w:ascii="Times New Roman" w:eastAsia="Calibri" w:hAnsi="Times New Roman" w:cs="Times New Roman"/>
                <w:spacing w:val="-1"/>
                <w:sz w:val="20"/>
                <w:szCs w:val="20"/>
              </w:rPr>
            </w:pPr>
            <w:r w:rsidRPr="00A07F29">
              <w:rPr>
                <w:rFonts w:ascii="Times New Roman" w:eastAsia="Calibri" w:hAnsi="Times New Roman" w:cs="Times New Roman"/>
                <w:spacing w:val="-1"/>
                <w:sz w:val="20"/>
                <w:szCs w:val="20"/>
              </w:rPr>
              <w:t xml:space="preserve">Stāvā </w:t>
            </w:r>
            <w:proofErr w:type="spellStart"/>
            <w:r w:rsidRPr="00A07F29">
              <w:rPr>
                <w:rFonts w:ascii="Times New Roman" w:eastAsia="Calibri" w:hAnsi="Times New Roman" w:cs="Times New Roman"/>
                <w:spacing w:val="-1"/>
                <w:sz w:val="20"/>
                <w:szCs w:val="20"/>
              </w:rPr>
              <w:t>berula</w:t>
            </w:r>
            <w:proofErr w:type="spellEnd"/>
            <w:r w:rsidRPr="00A07F29">
              <w:rPr>
                <w:rFonts w:ascii="Times New Roman" w:eastAsia="Calibri" w:hAnsi="Times New Roman" w:cs="Times New Roman"/>
                <w:spacing w:val="-1"/>
                <w:sz w:val="20"/>
                <w:szCs w:val="20"/>
              </w:rPr>
              <w:t>,</w:t>
            </w:r>
          </w:p>
          <w:p w14:paraId="4B7E34A3" w14:textId="3CBEE254" w:rsidR="008B4E3F" w:rsidRPr="00A07F29" w:rsidRDefault="008B4E3F" w:rsidP="00B649FD">
            <w:pPr>
              <w:spacing w:after="0" w:line="240" w:lineRule="auto"/>
              <w:rPr>
                <w:rFonts w:ascii="Times New Roman" w:eastAsia="Calibri" w:hAnsi="Times New Roman" w:cs="Times New Roman"/>
                <w:i/>
                <w:spacing w:val="-1"/>
                <w:sz w:val="20"/>
                <w:szCs w:val="20"/>
              </w:rPr>
            </w:pPr>
            <w:proofErr w:type="spellStart"/>
            <w:r w:rsidRPr="00A07F29">
              <w:rPr>
                <w:rFonts w:ascii="Times New Roman" w:eastAsia="Calibri" w:hAnsi="Times New Roman" w:cs="Times New Roman"/>
                <w:i/>
                <w:spacing w:val="-1"/>
                <w:sz w:val="20"/>
                <w:szCs w:val="20"/>
              </w:rPr>
              <w:t>Berula</w:t>
            </w:r>
            <w:proofErr w:type="spellEnd"/>
            <w:r w:rsidRPr="00A07F29">
              <w:rPr>
                <w:rFonts w:ascii="Times New Roman" w:eastAsia="Calibri" w:hAnsi="Times New Roman" w:cs="Times New Roman"/>
                <w:i/>
                <w:spacing w:val="-1"/>
                <w:sz w:val="20"/>
                <w:szCs w:val="20"/>
              </w:rPr>
              <w:t xml:space="preserve"> </w:t>
            </w:r>
            <w:proofErr w:type="spellStart"/>
            <w:r w:rsidRPr="00A07F29">
              <w:rPr>
                <w:rFonts w:ascii="Times New Roman" w:eastAsia="Calibri" w:hAnsi="Times New Roman" w:cs="Times New Roman"/>
                <w:i/>
                <w:spacing w:val="-1"/>
                <w:sz w:val="20"/>
                <w:szCs w:val="20"/>
              </w:rPr>
              <w:t>erecta</w:t>
            </w:r>
            <w:proofErr w:type="spellEnd"/>
          </w:p>
        </w:tc>
        <w:tc>
          <w:tcPr>
            <w:tcW w:w="992" w:type="dxa"/>
          </w:tcPr>
          <w:p w14:paraId="43B6370B" w14:textId="546299B3" w:rsidR="008B4E3F" w:rsidRPr="00A07F29" w:rsidRDefault="00CB6FB1"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c>
          <w:tcPr>
            <w:tcW w:w="2740" w:type="dxa"/>
          </w:tcPr>
          <w:p w14:paraId="406A7511" w14:textId="158FF6EC" w:rsidR="008B4E3F" w:rsidRPr="00A07F29" w:rsidRDefault="00CB6FB1" w:rsidP="00E26F90">
            <w:pPr>
              <w:spacing w:after="0" w:line="240" w:lineRule="auto"/>
              <w:jc w:val="both"/>
              <w:rPr>
                <w:rFonts w:ascii="Times New Roman" w:eastAsia="Calibri" w:hAnsi="Times New Roman" w:cs="Times New Roman"/>
                <w:color w:val="394044"/>
                <w:sz w:val="20"/>
                <w:szCs w:val="20"/>
              </w:rPr>
            </w:pPr>
            <w:r w:rsidRPr="00A07F29">
              <w:rPr>
                <w:rFonts w:ascii="Times New Roman" w:eastAsia="Calibri" w:hAnsi="Times New Roman" w:cs="Times New Roman"/>
                <w:color w:val="394044"/>
                <w:sz w:val="20"/>
                <w:szCs w:val="20"/>
              </w:rPr>
              <w:t xml:space="preserve">Latvijā </w:t>
            </w:r>
            <w:r w:rsidR="008B4E3F" w:rsidRPr="00A07F29">
              <w:rPr>
                <w:rFonts w:ascii="Times New Roman" w:eastAsia="Calibri" w:hAnsi="Times New Roman" w:cs="Times New Roman"/>
                <w:color w:val="394044"/>
                <w:sz w:val="20"/>
                <w:szCs w:val="20"/>
              </w:rPr>
              <w:t xml:space="preserve">sastopama reti mežainu apvidu </w:t>
            </w:r>
            <w:r w:rsidRPr="00A07F29">
              <w:rPr>
                <w:rFonts w:ascii="Times New Roman" w:eastAsia="Calibri" w:hAnsi="Times New Roman" w:cs="Times New Roman"/>
                <w:color w:val="394044"/>
                <w:sz w:val="20"/>
                <w:szCs w:val="20"/>
              </w:rPr>
              <w:t xml:space="preserve">straujtecēs ar avotu ūdeņu pieplūdi, </w:t>
            </w:r>
            <w:r w:rsidR="008B4E3F" w:rsidRPr="00A07F29">
              <w:rPr>
                <w:rFonts w:ascii="Times New Roman" w:eastAsia="Calibri" w:hAnsi="Times New Roman" w:cs="Times New Roman"/>
                <w:color w:val="394044"/>
                <w:sz w:val="20"/>
                <w:szCs w:val="20"/>
              </w:rPr>
              <w:t>ļoti reti arī ezeros pie šādu upju ietekām (Priedītis</w:t>
            </w:r>
            <w:r w:rsidR="00E26F90">
              <w:rPr>
                <w:rFonts w:ascii="Times New Roman" w:eastAsia="Calibri" w:hAnsi="Times New Roman" w:cs="Times New Roman"/>
                <w:color w:val="394044"/>
                <w:sz w:val="20"/>
                <w:szCs w:val="20"/>
              </w:rPr>
              <w:t xml:space="preserve"> N.,</w:t>
            </w:r>
            <w:r w:rsidR="008B4E3F" w:rsidRPr="00A07F29">
              <w:rPr>
                <w:rFonts w:ascii="Times New Roman" w:eastAsia="Calibri" w:hAnsi="Times New Roman" w:cs="Times New Roman"/>
                <w:color w:val="394044"/>
                <w:sz w:val="20"/>
                <w:szCs w:val="20"/>
              </w:rPr>
              <w:t xml:space="preserve"> 2014, </w:t>
            </w:r>
            <w:proofErr w:type="spellStart"/>
            <w:r w:rsidR="008B4E3F" w:rsidRPr="00A07F29">
              <w:rPr>
                <w:rFonts w:ascii="Times New Roman" w:eastAsia="Calibri" w:hAnsi="Times New Roman" w:cs="Times New Roman"/>
                <w:color w:val="394044"/>
                <w:sz w:val="20"/>
                <w:szCs w:val="20"/>
              </w:rPr>
              <w:t>Табака</w:t>
            </w:r>
            <w:proofErr w:type="spellEnd"/>
            <w:r w:rsidR="008B4E3F" w:rsidRPr="00A07F29">
              <w:rPr>
                <w:rFonts w:ascii="Times New Roman" w:eastAsia="Calibri" w:hAnsi="Times New Roman" w:cs="Times New Roman"/>
                <w:color w:val="394044"/>
                <w:sz w:val="20"/>
                <w:szCs w:val="20"/>
              </w:rPr>
              <w:t xml:space="preserve"> </w:t>
            </w:r>
            <w:r w:rsidR="00B62A91" w:rsidRPr="00B62A91">
              <w:rPr>
                <w:rFonts w:ascii="Times New Roman" w:eastAsia="Calibri" w:hAnsi="Times New Roman" w:cs="Times New Roman"/>
                <w:color w:val="394044"/>
                <w:sz w:val="20"/>
                <w:szCs w:val="20"/>
              </w:rPr>
              <w:t>Л.</w:t>
            </w:r>
            <w:r w:rsidR="00B62A91">
              <w:rPr>
                <w:rFonts w:ascii="Times New Roman" w:eastAsia="Calibri" w:hAnsi="Times New Roman" w:cs="Times New Roman"/>
                <w:color w:val="394044"/>
                <w:sz w:val="20"/>
                <w:szCs w:val="20"/>
              </w:rPr>
              <w:t xml:space="preserve"> </w:t>
            </w:r>
            <w:r w:rsidR="008B4E3F" w:rsidRPr="00A07F29">
              <w:rPr>
                <w:rFonts w:ascii="Times New Roman" w:eastAsia="Calibri" w:hAnsi="Times New Roman" w:cs="Times New Roman"/>
                <w:color w:val="394044"/>
                <w:sz w:val="20"/>
                <w:szCs w:val="20"/>
              </w:rPr>
              <w:t xml:space="preserve">и </w:t>
            </w:r>
            <w:proofErr w:type="spellStart"/>
            <w:r w:rsidR="008B4E3F" w:rsidRPr="00A07F29">
              <w:rPr>
                <w:rFonts w:ascii="Times New Roman" w:eastAsia="Calibri" w:hAnsi="Times New Roman" w:cs="Times New Roman"/>
                <w:color w:val="394044"/>
                <w:sz w:val="20"/>
                <w:szCs w:val="20"/>
              </w:rPr>
              <w:t>др</w:t>
            </w:r>
            <w:proofErr w:type="spellEnd"/>
            <w:r w:rsidR="008B4E3F" w:rsidRPr="00A07F29">
              <w:rPr>
                <w:rFonts w:ascii="Times New Roman" w:eastAsia="Calibri" w:hAnsi="Times New Roman" w:cs="Times New Roman"/>
                <w:color w:val="394044"/>
                <w:sz w:val="20"/>
                <w:szCs w:val="20"/>
              </w:rPr>
              <w:t>., 1988, U.</w:t>
            </w:r>
            <w:r w:rsidR="001C5C81">
              <w:rPr>
                <w:rFonts w:ascii="Times New Roman" w:eastAsia="Calibri" w:hAnsi="Times New Roman" w:cs="Times New Roman"/>
                <w:color w:val="394044"/>
                <w:sz w:val="20"/>
                <w:szCs w:val="20"/>
              </w:rPr>
              <w:t> </w:t>
            </w:r>
            <w:proofErr w:type="spellStart"/>
            <w:r w:rsidR="008B4E3F" w:rsidRPr="00A07F29">
              <w:rPr>
                <w:rFonts w:ascii="Times New Roman" w:eastAsia="Calibri" w:hAnsi="Times New Roman" w:cs="Times New Roman"/>
                <w:color w:val="394044"/>
                <w:sz w:val="20"/>
                <w:szCs w:val="20"/>
              </w:rPr>
              <w:t>Suško</w:t>
            </w:r>
            <w:proofErr w:type="spellEnd"/>
            <w:r w:rsidR="008B4E3F" w:rsidRPr="00A07F29">
              <w:rPr>
                <w:rFonts w:ascii="Times New Roman" w:eastAsia="Calibri" w:hAnsi="Times New Roman" w:cs="Times New Roman"/>
                <w:color w:val="394044"/>
                <w:sz w:val="20"/>
                <w:szCs w:val="20"/>
              </w:rPr>
              <w:t xml:space="preserve">, </w:t>
            </w:r>
            <w:proofErr w:type="spellStart"/>
            <w:r w:rsidR="008B4E3F" w:rsidRPr="00A07F29">
              <w:rPr>
                <w:rFonts w:ascii="Times New Roman" w:eastAsia="Calibri" w:hAnsi="Times New Roman" w:cs="Times New Roman"/>
                <w:color w:val="394044"/>
                <w:sz w:val="20"/>
                <w:szCs w:val="20"/>
              </w:rPr>
              <w:t>nepubl</w:t>
            </w:r>
            <w:proofErr w:type="spellEnd"/>
            <w:r w:rsidR="008B4E3F" w:rsidRPr="00A07F29">
              <w:rPr>
                <w:rFonts w:ascii="Times New Roman" w:eastAsia="Calibri" w:hAnsi="Times New Roman" w:cs="Times New Roman"/>
                <w:color w:val="394044"/>
                <w:sz w:val="20"/>
                <w:szCs w:val="20"/>
              </w:rPr>
              <w:t>. mat.). Sugu apdr</w:t>
            </w:r>
            <w:r w:rsidRPr="00A07F29">
              <w:rPr>
                <w:rFonts w:ascii="Times New Roman" w:eastAsia="Calibri" w:hAnsi="Times New Roman" w:cs="Times New Roman"/>
                <w:color w:val="394044"/>
                <w:sz w:val="20"/>
                <w:szCs w:val="20"/>
              </w:rPr>
              <w:t>aud upju un ezeru piesārņošana.</w:t>
            </w:r>
          </w:p>
        </w:tc>
        <w:tc>
          <w:tcPr>
            <w:tcW w:w="2771" w:type="dxa"/>
          </w:tcPr>
          <w:p w14:paraId="4F19DF5F" w14:textId="114BCC39" w:rsidR="008B4E3F" w:rsidRPr="00A07F29" w:rsidRDefault="008B4E3F"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 xml:space="preserve">Bagātīga atradne </w:t>
            </w:r>
            <w:proofErr w:type="spellStart"/>
            <w:r w:rsidRPr="00A07F29">
              <w:rPr>
                <w:rFonts w:ascii="Times New Roman" w:eastAsia="Calibri" w:hAnsi="Times New Roman" w:cs="Times New Roman"/>
                <w:sz w:val="20"/>
                <w:szCs w:val="20"/>
              </w:rPr>
              <w:t>Melnupītē</w:t>
            </w:r>
            <w:proofErr w:type="spellEnd"/>
            <w:r w:rsidRPr="00A07F29">
              <w:rPr>
                <w:rFonts w:ascii="Times New Roman" w:eastAsia="Calibri" w:hAnsi="Times New Roman" w:cs="Times New Roman"/>
                <w:sz w:val="20"/>
                <w:szCs w:val="20"/>
              </w:rPr>
              <w:t xml:space="preserve"> un </w:t>
            </w:r>
            <w:proofErr w:type="spellStart"/>
            <w:r w:rsidRPr="00A07F29">
              <w:rPr>
                <w:rFonts w:ascii="Times New Roman" w:eastAsia="Calibri" w:hAnsi="Times New Roman" w:cs="Times New Roman"/>
                <w:sz w:val="20"/>
                <w:szCs w:val="20"/>
              </w:rPr>
              <w:t>Šilovkas</w:t>
            </w:r>
            <w:proofErr w:type="spellEnd"/>
            <w:r w:rsidRPr="00A07F29">
              <w:rPr>
                <w:rFonts w:ascii="Times New Roman" w:eastAsia="Calibri" w:hAnsi="Times New Roman" w:cs="Times New Roman"/>
                <w:sz w:val="20"/>
                <w:szCs w:val="20"/>
              </w:rPr>
              <w:t xml:space="preserve"> ez</w:t>
            </w:r>
            <w:r w:rsidR="00EA183B">
              <w:rPr>
                <w:rFonts w:ascii="Times New Roman" w:eastAsia="Calibri" w:hAnsi="Times New Roman" w:cs="Times New Roman"/>
                <w:sz w:val="20"/>
                <w:szCs w:val="20"/>
              </w:rPr>
              <w:t>erā</w:t>
            </w:r>
            <w:r w:rsidRPr="00A07F29">
              <w:rPr>
                <w:rFonts w:ascii="Times New Roman" w:eastAsia="Calibri" w:hAnsi="Times New Roman" w:cs="Times New Roman"/>
                <w:sz w:val="20"/>
                <w:szCs w:val="20"/>
              </w:rPr>
              <w:t xml:space="preserve"> pie </w:t>
            </w:r>
            <w:proofErr w:type="spellStart"/>
            <w:r w:rsidRPr="00A07F29">
              <w:rPr>
                <w:rFonts w:ascii="Times New Roman" w:eastAsia="Calibri" w:hAnsi="Times New Roman" w:cs="Times New Roman"/>
                <w:sz w:val="20"/>
                <w:szCs w:val="20"/>
              </w:rPr>
              <w:t>Melnupītes</w:t>
            </w:r>
            <w:proofErr w:type="spellEnd"/>
            <w:r w:rsidRPr="00A07F29">
              <w:rPr>
                <w:rFonts w:ascii="Times New Roman" w:eastAsia="Calibri" w:hAnsi="Times New Roman" w:cs="Times New Roman"/>
                <w:sz w:val="20"/>
                <w:szCs w:val="20"/>
              </w:rPr>
              <w:t xml:space="preserve"> ietekas (</w:t>
            </w:r>
            <w:proofErr w:type="spellStart"/>
            <w:r w:rsidRPr="00A07F29">
              <w:rPr>
                <w:rFonts w:ascii="Times New Roman" w:eastAsia="Calibri" w:hAnsi="Times New Roman" w:cs="Times New Roman"/>
                <w:sz w:val="20"/>
                <w:szCs w:val="20"/>
              </w:rPr>
              <w:t>Suško</w:t>
            </w:r>
            <w:proofErr w:type="spellEnd"/>
            <w:r w:rsidR="0093637A">
              <w:rPr>
                <w:rFonts w:ascii="Times New Roman" w:eastAsia="Calibri" w:hAnsi="Times New Roman" w:cs="Times New Roman"/>
                <w:sz w:val="20"/>
                <w:szCs w:val="20"/>
              </w:rPr>
              <w:t xml:space="preserve"> U.</w:t>
            </w:r>
            <w:r w:rsidRPr="00A07F29">
              <w:rPr>
                <w:rFonts w:ascii="Times New Roman" w:eastAsia="Calibri" w:hAnsi="Times New Roman" w:cs="Times New Roman"/>
                <w:sz w:val="20"/>
                <w:szCs w:val="20"/>
              </w:rPr>
              <w:t>, 1992, 2017</w:t>
            </w:r>
            <w:r w:rsidR="00204B25">
              <w:rPr>
                <w:rFonts w:ascii="Times New Roman" w:eastAsia="Calibri" w:hAnsi="Times New Roman" w:cs="Times New Roman"/>
                <w:sz w:val="20"/>
                <w:szCs w:val="20"/>
              </w:rPr>
              <w:t xml:space="preserve"> ievāktie dati</w:t>
            </w:r>
            <w:r w:rsidRPr="00A07F29">
              <w:rPr>
                <w:rFonts w:ascii="Times New Roman" w:eastAsia="Calibri" w:hAnsi="Times New Roman" w:cs="Times New Roman"/>
                <w:sz w:val="20"/>
                <w:szCs w:val="20"/>
              </w:rPr>
              <w:t>).</w:t>
            </w:r>
          </w:p>
        </w:tc>
      </w:tr>
      <w:tr w:rsidR="002B1603" w:rsidRPr="00A07F29" w14:paraId="6DEA6B79" w14:textId="77777777" w:rsidTr="00092DEE">
        <w:trPr>
          <w:jc w:val="center"/>
        </w:trPr>
        <w:tc>
          <w:tcPr>
            <w:tcW w:w="966" w:type="dxa"/>
          </w:tcPr>
          <w:p w14:paraId="46B2E943" w14:textId="2B53AEEF" w:rsidR="002B1603" w:rsidRPr="00A07F29" w:rsidRDefault="00E970EB"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6</w:t>
            </w:r>
            <w:r w:rsidR="002B1603" w:rsidRPr="00A07F29">
              <w:rPr>
                <w:rFonts w:ascii="Times New Roman" w:eastAsia="Calibri" w:hAnsi="Times New Roman" w:cs="Times New Roman"/>
                <w:sz w:val="20"/>
                <w:szCs w:val="20"/>
              </w:rPr>
              <w:t>.</w:t>
            </w:r>
          </w:p>
        </w:tc>
        <w:tc>
          <w:tcPr>
            <w:tcW w:w="2137" w:type="dxa"/>
          </w:tcPr>
          <w:p w14:paraId="58AB783E" w14:textId="77777777" w:rsidR="002B1603" w:rsidRPr="00A07F29" w:rsidRDefault="002B1603" w:rsidP="00B649FD">
            <w:pPr>
              <w:spacing w:after="0" w:line="240" w:lineRule="auto"/>
              <w:rPr>
                <w:rFonts w:ascii="Times New Roman" w:eastAsia="Calibri" w:hAnsi="Times New Roman" w:cs="Times New Roman"/>
                <w:spacing w:val="-1"/>
                <w:sz w:val="20"/>
                <w:szCs w:val="20"/>
              </w:rPr>
            </w:pPr>
            <w:r w:rsidRPr="00A07F29">
              <w:rPr>
                <w:rFonts w:ascii="Times New Roman" w:eastAsia="Calibri" w:hAnsi="Times New Roman" w:cs="Times New Roman"/>
                <w:spacing w:val="-1"/>
                <w:sz w:val="20"/>
                <w:szCs w:val="20"/>
              </w:rPr>
              <w:t>Kalnu grīslis,</w:t>
            </w:r>
          </w:p>
          <w:p w14:paraId="4530D89C" w14:textId="77777777" w:rsidR="002B1603" w:rsidRPr="00A07F29" w:rsidRDefault="002B1603" w:rsidP="00B649FD">
            <w:pPr>
              <w:tabs>
                <w:tab w:val="left" w:pos="1920"/>
              </w:tabs>
              <w:spacing w:after="0" w:line="240" w:lineRule="auto"/>
              <w:rPr>
                <w:rFonts w:ascii="Times New Roman" w:eastAsia="Calibri" w:hAnsi="Times New Roman" w:cs="Times New Roman"/>
                <w:i/>
                <w:spacing w:val="-1"/>
                <w:sz w:val="20"/>
                <w:szCs w:val="20"/>
              </w:rPr>
            </w:pPr>
            <w:proofErr w:type="spellStart"/>
            <w:r w:rsidRPr="00A07F29">
              <w:rPr>
                <w:rFonts w:ascii="Times New Roman" w:eastAsia="Calibri" w:hAnsi="Times New Roman" w:cs="Times New Roman"/>
                <w:i/>
                <w:spacing w:val="-1"/>
                <w:sz w:val="20"/>
                <w:szCs w:val="20"/>
              </w:rPr>
              <w:t>Carex</w:t>
            </w:r>
            <w:proofErr w:type="spellEnd"/>
            <w:r w:rsidRPr="00A07F29">
              <w:rPr>
                <w:rFonts w:ascii="Times New Roman" w:eastAsia="Calibri" w:hAnsi="Times New Roman" w:cs="Times New Roman"/>
                <w:i/>
                <w:spacing w:val="-1"/>
                <w:sz w:val="20"/>
                <w:szCs w:val="20"/>
              </w:rPr>
              <w:t xml:space="preserve"> </w:t>
            </w:r>
            <w:proofErr w:type="spellStart"/>
            <w:r w:rsidRPr="00A07F29">
              <w:rPr>
                <w:rFonts w:ascii="Times New Roman" w:eastAsia="Calibri" w:hAnsi="Times New Roman" w:cs="Times New Roman"/>
                <w:i/>
                <w:spacing w:val="-1"/>
                <w:sz w:val="20"/>
                <w:szCs w:val="20"/>
              </w:rPr>
              <w:t>montana</w:t>
            </w:r>
            <w:proofErr w:type="spellEnd"/>
            <w:r w:rsidRPr="00A07F29">
              <w:rPr>
                <w:rFonts w:ascii="Times New Roman" w:eastAsia="Calibri" w:hAnsi="Times New Roman" w:cs="Times New Roman"/>
                <w:i/>
                <w:spacing w:val="-1"/>
                <w:sz w:val="20"/>
                <w:szCs w:val="20"/>
              </w:rPr>
              <w:tab/>
            </w:r>
          </w:p>
        </w:tc>
        <w:tc>
          <w:tcPr>
            <w:tcW w:w="992" w:type="dxa"/>
          </w:tcPr>
          <w:p w14:paraId="7DF2BCB3" w14:textId="77777777" w:rsidR="002B1603" w:rsidRPr="00A07F29" w:rsidRDefault="002B1603"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LSG (3)</w:t>
            </w:r>
          </w:p>
        </w:tc>
        <w:tc>
          <w:tcPr>
            <w:tcW w:w="2740" w:type="dxa"/>
          </w:tcPr>
          <w:p w14:paraId="643E0BAC" w14:textId="155E8D0E" w:rsidR="002B1603" w:rsidRPr="00A07F29" w:rsidRDefault="002B1603"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color w:val="394044"/>
                <w:sz w:val="20"/>
                <w:szCs w:val="20"/>
              </w:rPr>
              <w:t xml:space="preserve">Latvijā reti </w:t>
            </w:r>
            <w:r w:rsidR="00F00F50">
              <w:rPr>
                <w:rFonts w:ascii="Times New Roman" w:eastAsia="Calibri" w:hAnsi="Times New Roman" w:cs="Times New Roman"/>
                <w:color w:val="394044"/>
                <w:sz w:val="20"/>
                <w:szCs w:val="20"/>
              </w:rPr>
              <w:t>R</w:t>
            </w:r>
            <w:r w:rsidRPr="00A07F29">
              <w:rPr>
                <w:rFonts w:ascii="Times New Roman" w:eastAsia="Calibri" w:hAnsi="Times New Roman" w:cs="Times New Roman"/>
                <w:color w:val="394044"/>
                <w:sz w:val="20"/>
                <w:szCs w:val="20"/>
              </w:rPr>
              <w:t xml:space="preserve">, vidus un </w:t>
            </w:r>
            <w:r w:rsidR="00F00F50">
              <w:rPr>
                <w:rFonts w:ascii="Times New Roman" w:eastAsia="Calibri" w:hAnsi="Times New Roman" w:cs="Times New Roman"/>
                <w:color w:val="394044"/>
                <w:sz w:val="20"/>
                <w:szCs w:val="20"/>
              </w:rPr>
              <w:t>DA</w:t>
            </w:r>
            <w:r w:rsidRPr="00A07F29">
              <w:rPr>
                <w:rFonts w:ascii="Times New Roman" w:eastAsia="Calibri" w:hAnsi="Times New Roman" w:cs="Times New Roman"/>
                <w:color w:val="394044"/>
                <w:sz w:val="20"/>
                <w:szCs w:val="20"/>
              </w:rPr>
              <w:t xml:space="preserve"> daļā.</w:t>
            </w:r>
          </w:p>
        </w:tc>
        <w:tc>
          <w:tcPr>
            <w:tcW w:w="2771" w:type="dxa"/>
          </w:tcPr>
          <w:p w14:paraId="3B52AE03" w14:textId="09E54CC3" w:rsidR="002B1603" w:rsidRPr="00A07F29" w:rsidRDefault="002B1603"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Atradnes, kas zināmas kopš 2007.</w:t>
            </w:r>
            <w:r w:rsidR="00807C04">
              <w:rPr>
                <w:rFonts w:ascii="Times New Roman" w:eastAsia="Calibri" w:hAnsi="Times New Roman" w:cs="Times New Roman"/>
                <w:sz w:val="20"/>
                <w:szCs w:val="20"/>
              </w:rPr>
              <w:t> </w:t>
            </w:r>
            <w:r w:rsidRPr="00A07F29">
              <w:rPr>
                <w:rFonts w:ascii="Times New Roman" w:eastAsia="Calibri" w:hAnsi="Times New Roman" w:cs="Times New Roman"/>
                <w:sz w:val="20"/>
                <w:szCs w:val="20"/>
              </w:rPr>
              <w:t>gada</w:t>
            </w:r>
            <w:r w:rsidR="00C130C7" w:rsidRPr="00A07F29">
              <w:rPr>
                <w:rFonts w:ascii="Times New Roman" w:eastAsia="Calibri" w:hAnsi="Times New Roman" w:cs="Times New Roman"/>
                <w:sz w:val="20"/>
                <w:szCs w:val="20"/>
              </w:rPr>
              <w:t>,</w:t>
            </w:r>
            <w:r w:rsidRPr="00A07F29">
              <w:rPr>
                <w:rFonts w:ascii="Times New Roman" w:eastAsia="Calibri" w:hAnsi="Times New Roman" w:cs="Times New Roman"/>
                <w:sz w:val="20"/>
                <w:szCs w:val="20"/>
              </w:rPr>
              <w:t xml:space="preserve"> nav izzudušas un ir vitālas.</w:t>
            </w:r>
          </w:p>
        </w:tc>
      </w:tr>
      <w:tr w:rsidR="002B1603" w:rsidRPr="00A07F29" w14:paraId="53D032E7" w14:textId="77777777" w:rsidTr="00092DEE">
        <w:trPr>
          <w:jc w:val="center"/>
        </w:trPr>
        <w:tc>
          <w:tcPr>
            <w:tcW w:w="966" w:type="dxa"/>
          </w:tcPr>
          <w:p w14:paraId="5529FE9C" w14:textId="446ADF17" w:rsidR="002B1603" w:rsidRPr="00A07F29" w:rsidRDefault="00E970EB"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7</w:t>
            </w:r>
            <w:r w:rsidR="002B1603" w:rsidRPr="00A07F29">
              <w:rPr>
                <w:rFonts w:ascii="Times New Roman" w:eastAsia="Calibri" w:hAnsi="Times New Roman" w:cs="Times New Roman"/>
                <w:sz w:val="20"/>
                <w:szCs w:val="20"/>
              </w:rPr>
              <w:t>.</w:t>
            </w:r>
          </w:p>
        </w:tc>
        <w:tc>
          <w:tcPr>
            <w:tcW w:w="2137" w:type="dxa"/>
          </w:tcPr>
          <w:p w14:paraId="4719980A" w14:textId="77777777" w:rsidR="002B1603" w:rsidRPr="00A07F29" w:rsidRDefault="002B1603" w:rsidP="00B649FD">
            <w:pPr>
              <w:spacing w:after="0" w:line="240" w:lineRule="auto"/>
              <w:rPr>
                <w:rFonts w:ascii="Times New Roman" w:eastAsia="Calibri" w:hAnsi="Times New Roman" w:cs="Times New Roman"/>
                <w:spacing w:val="-1"/>
                <w:sz w:val="20"/>
                <w:szCs w:val="20"/>
              </w:rPr>
            </w:pPr>
            <w:r w:rsidRPr="00A07F29">
              <w:rPr>
                <w:rFonts w:ascii="Times New Roman" w:eastAsia="Calibri" w:hAnsi="Times New Roman" w:cs="Times New Roman"/>
                <w:spacing w:val="-1"/>
                <w:sz w:val="20"/>
                <w:szCs w:val="20"/>
              </w:rPr>
              <w:t xml:space="preserve">Kailā </w:t>
            </w:r>
            <w:proofErr w:type="spellStart"/>
            <w:r w:rsidRPr="00A07F29">
              <w:rPr>
                <w:rFonts w:ascii="Times New Roman" w:eastAsia="Calibri" w:hAnsi="Times New Roman" w:cs="Times New Roman"/>
                <w:spacing w:val="-1"/>
                <w:sz w:val="20"/>
                <w:szCs w:val="20"/>
              </w:rPr>
              <w:t>dobspārne</w:t>
            </w:r>
            <w:proofErr w:type="spellEnd"/>
            <w:r w:rsidRPr="00A07F29">
              <w:rPr>
                <w:rFonts w:ascii="Times New Roman" w:eastAsia="Calibri" w:hAnsi="Times New Roman" w:cs="Times New Roman"/>
                <w:spacing w:val="-1"/>
                <w:sz w:val="20"/>
                <w:szCs w:val="20"/>
              </w:rPr>
              <w:t xml:space="preserve">, </w:t>
            </w:r>
          </w:p>
          <w:p w14:paraId="3BEA8AA7" w14:textId="77777777" w:rsidR="002B1603" w:rsidRPr="00A07F29" w:rsidRDefault="002B1603" w:rsidP="00B649FD">
            <w:pPr>
              <w:spacing w:after="0" w:line="240" w:lineRule="auto"/>
              <w:rPr>
                <w:rFonts w:ascii="Times New Roman" w:eastAsia="Calibri" w:hAnsi="Times New Roman" w:cs="Times New Roman"/>
                <w:i/>
                <w:spacing w:val="-1"/>
                <w:sz w:val="20"/>
                <w:szCs w:val="20"/>
              </w:rPr>
            </w:pPr>
            <w:proofErr w:type="spellStart"/>
            <w:r w:rsidRPr="00A07F29">
              <w:rPr>
                <w:rFonts w:ascii="Times New Roman" w:eastAsia="Calibri" w:hAnsi="Times New Roman" w:cs="Times New Roman"/>
                <w:i/>
                <w:spacing w:val="-1"/>
                <w:sz w:val="20"/>
                <w:szCs w:val="20"/>
              </w:rPr>
              <w:t>Cenolophium</w:t>
            </w:r>
            <w:proofErr w:type="spellEnd"/>
            <w:r w:rsidRPr="00A07F29">
              <w:rPr>
                <w:rFonts w:ascii="Times New Roman" w:eastAsia="Calibri" w:hAnsi="Times New Roman" w:cs="Times New Roman"/>
                <w:i/>
                <w:spacing w:val="-1"/>
                <w:sz w:val="20"/>
                <w:szCs w:val="20"/>
              </w:rPr>
              <w:t xml:space="preserve"> </w:t>
            </w:r>
            <w:proofErr w:type="spellStart"/>
            <w:r w:rsidRPr="00A07F29">
              <w:rPr>
                <w:rFonts w:ascii="Times New Roman" w:eastAsia="Calibri" w:hAnsi="Times New Roman" w:cs="Times New Roman"/>
                <w:i/>
                <w:spacing w:val="-1"/>
                <w:sz w:val="20"/>
                <w:szCs w:val="20"/>
              </w:rPr>
              <w:t>denudatum</w:t>
            </w:r>
            <w:proofErr w:type="spellEnd"/>
          </w:p>
        </w:tc>
        <w:tc>
          <w:tcPr>
            <w:tcW w:w="992" w:type="dxa"/>
          </w:tcPr>
          <w:p w14:paraId="2FD60C66" w14:textId="77777777" w:rsidR="002B1603" w:rsidRPr="00A07F29" w:rsidRDefault="002B1603"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LSG (3)</w:t>
            </w:r>
          </w:p>
        </w:tc>
        <w:tc>
          <w:tcPr>
            <w:tcW w:w="2740" w:type="dxa"/>
          </w:tcPr>
          <w:p w14:paraId="41A675D4" w14:textId="77777777" w:rsidR="002B1603" w:rsidRPr="00A07F29" w:rsidRDefault="002B1603"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color w:val="394044"/>
                <w:sz w:val="20"/>
                <w:szCs w:val="20"/>
              </w:rPr>
              <w:t>Latvijā ļoti nevienmērīgi: retumis Gaujas ielejā, pārējā teritorijā ļoti reti. </w:t>
            </w:r>
          </w:p>
        </w:tc>
        <w:tc>
          <w:tcPr>
            <w:tcW w:w="2771" w:type="dxa"/>
          </w:tcPr>
          <w:p w14:paraId="2A031883" w14:textId="348C442D" w:rsidR="002B1603" w:rsidRPr="00A07F29" w:rsidRDefault="00BF0E06"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DA plāna</w:t>
            </w:r>
            <w:r w:rsidR="002B1603" w:rsidRPr="00A07F29">
              <w:rPr>
                <w:rFonts w:ascii="Times New Roman" w:eastAsia="Calibri" w:hAnsi="Times New Roman" w:cs="Times New Roman"/>
                <w:sz w:val="20"/>
                <w:szCs w:val="20"/>
              </w:rPr>
              <w:t xml:space="preserve"> izstrādes gaitā suga netika konstatēta. Sugai zināma atradne no 2008.</w:t>
            </w:r>
            <w:r w:rsidR="00954076">
              <w:rPr>
                <w:rFonts w:ascii="Times New Roman" w:eastAsia="Calibri" w:hAnsi="Times New Roman" w:cs="Times New Roman"/>
                <w:sz w:val="20"/>
                <w:szCs w:val="20"/>
              </w:rPr>
              <w:t> </w:t>
            </w:r>
            <w:r w:rsidR="002B1603" w:rsidRPr="00A07F29">
              <w:rPr>
                <w:rFonts w:ascii="Times New Roman" w:eastAsia="Calibri" w:hAnsi="Times New Roman" w:cs="Times New Roman"/>
                <w:sz w:val="20"/>
                <w:szCs w:val="20"/>
              </w:rPr>
              <w:t xml:space="preserve">gada. </w:t>
            </w:r>
          </w:p>
        </w:tc>
      </w:tr>
      <w:tr w:rsidR="002B1603" w:rsidRPr="00A07F29" w14:paraId="0E1ECD51" w14:textId="77777777" w:rsidTr="00092DEE">
        <w:trPr>
          <w:jc w:val="center"/>
        </w:trPr>
        <w:tc>
          <w:tcPr>
            <w:tcW w:w="966" w:type="dxa"/>
          </w:tcPr>
          <w:p w14:paraId="753DB589" w14:textId="52FD4E25" w:rsidR="002B1603" w:rsidRPr="00A07F29" w:rsidRDefault="00E970EB"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8</w:t>
            </w:r>
            <w:r w:rsidR="002B1603" w:rsidRPr="00A07F29">
              <w:rPr>
                <w:rFonts w:ascii="Times New Roman" w:eastAsia="Calibri" w:hAnsi="Times New Roman" w:cs="Times New Roman"/>
                <w:sz w:val="20"/>
                <w:szCs w:val="20"/>
              </w:rPr>
              <w:t>.</w:t>
            </w:r>
          </w:p>
        </w:tc>
        <w:tc>
          <w:tcPr>
            <w:tcW w:w="2137" w:type="dxa"/>
          </w:tcPr>
          <w:p w14:paraId="5B6A3F01" w14:textId="77777777" w:rsidR="002B1603" w:rsidRPr="00A07F29" w:rsidRDefault="002B1603" w:rsidP="00B649FD">
            <w:pPr>
              <w:spacing w:after="0" w:line="240" w:lineRule="auto"/>
              <w:rPr>
                <w:rFonts w:ascii="Times New Roman" w:eastAsia="Calibri" w:hAnsi="Times New Roman" w:cs="Times New Roman"/>
                <w:sz w:val="20"/>
                <w:szCs w:val="20"/>
              </w:rPr>
            </w:pPr>
            <w:proofErr w:type="spellStart"/>
            <w:r w:rsidRPr="00A07F29">
              <w:rPr>
                <w:rFonts w:ascii="Times New Roman" w:eastAsia="Calibri" w:hAnsi="Times New Roman" w:cs="Times New Roman"/>
                <w:sz w:val="20"/>
                <w:szCs w:val="20"/>
              </w:rPr>
              <w:t>Kļavlapu</w:t>
            </w:r>
            <w:proofErr w:type="spellEnd"/>
            <w:r w:rsidRPr="00A07F29">
              <w:rPr>
                <w:rFonts w:ascii="Times New Roman" w:eastAsia="Calibri" w:hAnsi="Times New Roman" w:cs="Times New Roman"/>
                <w:sz w:val="20"/>
                <w:szCs w:val="20"/>
              </w:rPr>
              <w:t xml:space="preserve"> balanda, </w:t>
            </w:r>
            <w:proofErr w:type="spellStart"/>
            <w:r w:rsidRPr="00A07F29">
              <w:rPr>
                <w:rFonts w:ascii="Times New Roman" w:eastAsia="Calibri" w:hAnsi="Times New Roman" w:cs="Times New Roman"/>
                <w:i/>
                <w:sz w:val="20"/>
                <w:szCs w:val="20"/>
              </w:rPr>
              <w:t>Chenopodium</w:t>
            </w:r>
            <w:proofErr w:type="spellEnd"/>
            <w:r w:rsidRPr="00A07F29">
              <w:rPr>
                <w:rFonts w:ascii="Times New Roman" w:eastAsia="Calibri" w:hAnsi="Times New Roman" w:cs="Times New Roman"/>
                <w:i/>
                <w:sz w:val="20"/>
                <w:szCs w:val="20"/>
              </w:rPr>
              <w:t xml:space="preserve"> </w:t>
            </w:r>
            <w:proofErr w:type="spellStart"/>
            <w:r w:rsidRPr="00A07F29">
              <w:rPr>
                <w:rFonts w:ascii="Times New Roman" w:eastAsia="Calibri" w:hAnsi="Times New Roman" w:cs="Times New Roman"/>
                <w:i/>
                <w:sz w:val="20"/>
                <w:szCs w:val="20"/>
              </w:rPr>
              <w:t>acerifolium</w:t>
            </w:r>
            <w:proofErr w:type="spellEnd"/>
          </w:p>
        </w:tc>
        <w:tc>
          <w:tcPr>
            <w:tcW w:w="992" w:type="dxa"/>
          </w:tcPr>
          <w:p w14:paraId="15FFFB7B" w14:textId="77777777" w:rsidR="002B1603" w:rsidRPr="00A07F29" w:rsidRDefault="002B1603"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LSG (3)</w:t>
            </w:r>
          </w:p>
        </w:tc>
        <w:tc>
          <w:tcPr>
            <w:tcW w:w="2740" w:type="dxa"/>
          </w:tcPr>
          <w:p w14:paraId="185F69AA" w14:textId="77777777" w:rsidR="002B1603" w:rsidRPr="00A07F29" w:rsidRDefault="002B1603"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color w:val="394044"/>
                <w:sz w:val="20"/>
                <w:szCs w:val="20"/>
              </w:rPr>
              <w:t>Latvijā ļoti nevienmērīgi; nereti Daugavas un Gaujas krastos, ļoti reti vai nav sastopama pārējā teritorijā.</w:t>
            </w:r>
          </w:p>
        </w:tc>
        <w:tc>
          <w:tcPr>
            <w:tcW w:w="2771" w:type="dxa"/>
          </w:tcPr>
          <w:p w14:paraId="1F655947" w14:textId="22FB0059" w:rsidR="002B1603" w:rsidRPr="00A07F29" w:rsidRDefault="00BF0E06"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DA plāna</w:t>
            </w:r>
            <w:r w:rsidR="002B1603" w:rsidRPr="00A07F29">
              <w:rPr>
                <w:rFonts w:ascii="Times New Roman" w:eastAsia="Calibri" w:hAnsi="Times New Roman" w:cs="Times New Roman"/>
                <w:sz w:val="20"/>
                <w:szCs w:val="20"/>
              </w:rPr>
              <w:t xml:space="preserve"> izstrādes gaitā suga netika konstatēta. Suga ilgstoši nav atrasta AAA teritorijā.</w:t>
            </w:r>
          </w:p>
        </w:tc>
      </w:tr>
      <w:tr w:rsidR="002B1603" w:rsidRPr="00A07F29" w14:paraId="771E7D27" w14:textId="77777777" w:rsidTr="00092DEE">
        <w:trPr>
          <w:jc w:val="center"/>
        </w:trPr>
        <w:tc>
          <w:tcPr>
            <w:tcW w:w="966" w:type="dxa"/>
          </w:tcPr>
          <w:p w14:paraId="4EB74BB4" w14:textId="77777777" w:rsidR="002B1603" w:rsidRPr="00A07F29" w:rsidRDefault="002B1603"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9.</w:t>
            </w:r>
          </w:p>
        </w:tc>
        <w:tc>
          <w:tcPr>
            <w:tcW w:w="2137" w:type="dxa"/>
          </w:tcPr>
          <w:p w14:paraId="68E029D4" w14:textId="77777777" w:rsidR="002B1603" w:rsidRPr="00A07F29" w:rsidRDefault="002B1603" w:rsidP="00B649FD">
            <w:pPr>
              <w:spacing w:after="0" w:line="240" w:lineRule="auto"/>
              <w:rPr>
                <w:rFonts w:ascii="Times New Roman" w:eastAsia="Calibri" w:hAnsi="Times New Roman" w:cs="Times New Roman"/>
                <w:sz w:val="20"/>
                <w:szCs w:val="20"/>
              </w:rPr>
            </w:pPr>
            <w:proofErr w:type="spellStart"/>
            <w:r w:rsidRPr="00A07F29">
              <w:rPr>
                <w:rFonts w:ascii="Times New Roman" w:eastAsia="Calibri" w:hAnsi="Times New Roman" w:cs="Times New Roman"/>
                <w:sz w:val="20"/>
                <w:szCs w:val="20"/>
              </w:rPr>
              <w:t>Tatārijas</w:t>
            </w:r>
            <w:proofErr w:type="spellEnd"/>
            <w:r w:rsidRPr="00A07F29">
              <w:rPr>
                <w:rFonts w:ascii="Times New Roman" w:eastAsia="Calibri" w:hAnsi="Times New Roman" w:cs="Times New Roman"/>
                <w:sz w:val="20"/>
                <w:szCs w:val="20"/>
              </w:rPr>
              <w:t xml:space="preserve"> </w:t>
            </w:r>
            <w:proofErr w:type="spellStart"/>
            <w:r w:rsidRPr="00A07F29">
              <w:rPr>
                <w:rFonts w:ascii="Times New Roman" w:eastAsia="Calibri" w:hAnsi="Times New Roman" w:cs="Times New Roman"/>
                <w:sz w:val="20"/>
                <w:szCs w:val="20"/>
              </w:rPr>
              <w:t>stobulis</w:t>
            </w:r>
            <w:proofErr w:type="spellEnd"/>
            <w:r w:rsidRPr="00A07F29">
              <w:rPr>
                <w:rFonts w:ascii="Times New Roman" w:eastAsia="Calibri" w:hAnsi="Times New Roman" w:cs="Times New Roman"/>
                <w:sz w:val="20"/>
                <w:szCs w:val="20"/>
              </w:rPr>
              <w:t>,</w:t>
            </w:r>
          </w:p>
          <w:p w14:paraId="7AB1AA5D" w14:textId="77777777" w:rsidR="002B1603" w:rsidRPr="00A07F29" w:rsidRDefault="002B1603" w:rsidP="00B649FD">
            <w:pPr>
              <w:spacing w:after="0" w:line="240" w:lineRule="auto"/>
              <w:rPr>
                <w:rFonts w:ascii="Times New Roman" w:eastAsia="Calibri" w:hAnsi="Times New Roman" w:cs="Times New Roman"/>
                <w:i/>
                <w:sz w:val="20"/>
                <w:szCs w:val="20"/>
                <w:vertAlign w:val="superscript"/>
              </w:rPr>
            </w:pPr>
            <w:proofErr w:type="spellStart"/>
            <w:r w:rsidRPr="00A07F29">
              <w:rPr>
                <w:rFonts w:ascii="Times New Roman" w:eastAsia="Calibri" w:hAnsi="Times New Roman" w:cs="Times New Roman"/>
                <w:i/>
                <w:sz w:val="20"/>
                <w:szCs w:val="20"/>
              </w:rPr>
              <w:t>Conioselinum</w:t>
            </w:r>
            <w:proofErr w:type="spellEnd"/>
            <w:r w:rsidRPr="00A07F29">
              <w:rPr>
                <w:rFonts w:ascii="Times New Roman" w:eastAsia="Calibri" w:hAnsi="Times New Roman" w:cs="Times New Roman"/>
                <w:i/>
                <w:sz w:val="20"/>
                <w:szCs w:val="20"/>
              </w:rPr>
              <w:t xml:space="preserve"> </w:t>
            </w:r>
            <w:proofErr w:type="spellStart"/>
            <w:r w:rsidRPr="00A07F29">
              <w:rPr>
                <w:rFonts w:ascii="Times New Roman" w:eastAsia="Calibri" w:hAnsi="Times New Roman" w:cs="Times New Roman"/>
                <w:i/>
                <w:sz w:val="20"/>
                <w:szCs w:val="20"/>
              </w:rPr>
              <w:t>tataricum</w:t>
            </w:r>
            <w:proofErr w:type="spellEnd"/>
          </w:p>
        </w:tc>
        <w:tc>
          <w:tcPr>
            <w:tcW w:w="992" w:type="dxa"/>
          </w:tcPr>
          <w:p w14:paraId="0CE1B7C3" w14:textId="77777777" w:rsidR="002B1603" w:rsidRPr="00A07F29" w:rsidRDefault="002B1603"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LSG (3)</w:t>
            </w:r>
          </w:p>
        </w:tc>
        <w:tc>
          <w:tcPr>
            <w:tcW w:w="2740" w:type="dxa"/>
          </w:tcPr>
          <w:p w14:paraId="4A535EA0" w14:textId="77777777" w:rsidR="002B1603" w:rsidRPr="00A07F29" w:rsidRDefault="002B1603"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color w:val="394044"/>
                <w:sz w:val="20"/>
                <w:szCs w:val="20"/>
              </w:rPr>
              <w:t>Latvijā retumis visā teritorijā.</w:t>
            </w:r>
          </w:p>
        </w:tc>
        <w:tc>
          <w:tcPr>
            <w:tcW w:w="2771" w:type="dxa"/>
          </w:tcPr>
          <w:p w14:paraId="7B61EF19" w14:textId="74C6D14D" w:rsidR="002B1603" w:rsidRPr="00A07F29" w:rsidRDefault="002B1603"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AAA teritorijā suga pirmoreiz konstatēta 2017.</w:t>
            </w:r>
            <w:r w:rsidR="00954076">
              <w:rPr>
                <w:rFonts w:ascii="Times New Roman" w:eastAsia="Calibri" w:hAnsi="Times New Roman" w:cs="Times New Roman"/>
                <w:sz w:val="20"/>
                <w:szCs w:val="20"/>
              </w:rPr>
              <w:t> </w:t>
            </w:r>
            <w:r w:rsidRPr="00A07F29">
              <w:rPr>
                <w:rFonts w:ascii="Times New Roman" w:eastAsia="Calibri" w:hAnsi="Times New Roman" w:cs="Times New Roman"/>
                <w:sz w:val="20"/>
                <w:szCs w:val="20"/>
              </w:rPr>
              <w:t>gadā, abas atradnes uzskatāmas par aktuālām DA</w:t>
            </w:r>
            <w:r w:rsidR="00954076">
              <w:rPr>
                <w:rFonts w:ascii="Times New Roman" w:eastAsia="Calibri" w:hAnsi="Times New Roman" w:cs="Times New Roman"/>
                <w:sz w:val="20"/>
                <w:szCs w:val="20"/>
              </w:rPr>
              <w:t xml:space="preserve"> plāna</w:t>
            </w:r>
            <w:r w:rsidRPr="00A07F29">
              <w:rPr>
                <w:rFonts w:ascii="Times New Roman" w:eastAsia="Calibri" w:hAnsi="Times New Roman" w:cs="Times New Roman"/>
                <w:sz w:val="20"/>
                <w:szCs w:val="20"/>
              </w:rPr>
              <w:t xml:space="preserve"> izstrādē.</w:t>
            </w:r>
          </w:p>
        </w:tc>
      </w:tr>
      <w:tr w:rsidR="002B1603" w:rsidRPr="00A07F29" w14:paraId="784D3B23" w14:textId="77777777" w:rsidTr="00092DEE">
        <w:trPr>
          <w:jc w:val="center"/>
        </w:trPr>
        <w:tc>
          <w:tcPr>
            <w:tcW w:w="966" w:type="dxa"/>
          </w:tcPr>
          <w:p w14:paraId="67B430BC" w14:textId="77777777" w:rsidR="002B1603" w:rsidRPr="00A07F29" w:rsidRDefault="002B1603"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10.</w:t>
            </w:r>
          </w:p>
        </w:tc>
        <w:tc>
          <w:tcPr>
            <w:tcW w:w="2137" w:type="dxa"/>
          </w:tcPr>
          <w:p w14:paraId="06BE87F9" w14:textId="77777777" w:rsidR="002B1603" w:rsidRPr="00A07F29" w:rsidRDefault="002B1603" w:rsidP="00B649FD">
            <w:pPr>
              <w:spacing w:after="0" w:line="240" w:lineRule="auto"/>
              <w:rPr>
                <w:rFonts w:ascii="Times New Roman" w:eastAsia="Calibri" w:hAnsi="Times New Roman" w:cs="Times New Roman"/>
                <w:spacing w:val="-1"/>
                <w:sz w:val="20"/>
                <w:szCs w:val="20"/>
              </w:rPr>
            </w:pPr>
            <w:proofErr w:type="spellStart"/>
            <w:r w:rsidRPr="00A07F29">
              <w:rPr>
                <w:rFonts w:ascii="Times New Roman" w:eastAsia="Calibri" w:hAnsi="Times New Roman" w:cs="Times New Roman"/>
                <w:spacing w:val="-1"/>
                <w:sz w:val="20"/>
                <w:szCs w:val="20"/>
              </w:rPr>
              <w:t>Melnodzene</w:t>
            </w:r>
            <w:proofErr w:type="spellEnd"/>
            <w:r w:rsidRPr="00A07F29">
              <w:rPr>
                <w:rFonts w:ascii="Times New Roman" w:eastAsia="Calibri" w:hAnsi="Times New Roman" w:cs="Times New Roman"/>
                <w:spacing w:val="-1"/>
                <w:sz w:val="20"/>
                <w:szCs w:val="20"/>
              </w:rPr>
              <w:t xml:space="preserve">, </w:t>
            </w:r>
          </w:p>
          <w:p w14:paraId="56730F9B" w14:textId="77777777" w:rsidR="002B1603" w:rsidRPr="00A07F29" w:rsidRDefault="002B1603" w:rsidP="00B649FD">
            <w:pPr>
              <w:spacing w:after="0" w:line="240" w:lineRule="auto"/>
              <w:rPr>
                <w:rFonts w:ascii="Times New Roman" w:eastAsia="Calibri" w:hAnsi="Times New Roman" w:cs="Times New Roman"/>
                <w:i/>
                <w:spacing w:val="-1"/>
                <w:sz w:val="20"/>
                <w:szCs w:val="20"/>
              </w:rPr>
            </w:pPr>
            <w:proofErr w:type="spellStart"/>
            <w:r w:rsidRPr="00A07F29">
              <w:rPr>
                <w:rFonts w:ascii="Times New Roman" w:eastAsia="Calibri" w:hAnsi="Times New Roman" w:cs="Times New Roman"/>
                <w:i/>
                <w:spacing w:val="-1"/>
                <w:sz w:val="20"/>
                <w:szCs w:val="20"/>
              </w:rPr>
              <w:t>Cucubalus</w:t>
            </w:r>
            <w:proofErr w:type="spellEnd"/>
            <w:r w:rsidRPr="00A07F29">
              <w:rPr>
                <w:rFonts w:ascii="Times New Roman" w:eastAsia="Calibri" w:hAnsi="Times New Roman" w:cs="Times New Roman"/>
                <w:i/>
                <w:spacing w:val="-1"/>
                <w:sz w:val="20"/>
                <w:szCs w:val="20"/>
              </w:rPr>
              <w:t xml:space="preserve"> </w:t>
            </w:r>
            <w:proofErr w:type="spellStart"/>
            <w:r w:rsidRPr="00A07F29">
              <w:rPr>
                <w:rFonts w:ascii="Times New Roman" w:eastAsia="Calibri" w:hAnsi="Times New Roman" w:cs="Times New Roman"/>
                <w:i/>
                <w:spacing w:val="-1"/>
                <w:sz w:val="20"/>
                <w:szCs w:val="20"/>
              </w:rPr>
              <w:t>baccifer</w:t>
            </w:r>
            <w:proofErr w:type="spellEnd"/>
          </w:p>
        </w:tc>
        <w:tc>
          <w:tcPr>
            <w:tcW w:w="992" w:type="dxa"/>
          </w:tcPr>
          <w:p w14:paraId="172A9756" w14:textId="77777777" w:rsidR="002B1603" w:rsidRPr="00A07F29" w:rsidRDefault="002B1603"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LSG (3)</w:t>
            </w:r>
          </w:p>
        </w:tc>
        <w:tc>
          <w:tcPr>
            <w:tcW w:w="2740" w:type="dxa"/>
          </w:tcPr>
          <w:p w14:paraId="57FC728A" w14:textId="77777777" w:rsidR="002B1603" w:rsidRPr="00A07F29" w:rsidRDefault="002B1603"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color w:val="394044"/>
                <w:sz w:val="20"/>
                <w:szCs w:val="20"/>
              </w:rPr>
              <w:t>Latvijā reti lielāko upju (Daugava, Gauja, Venta, Lielupe) ielejās.</w:t>
            </w:r>
          </w:p>
        </w:tc>
        <w:tc>
          <w:tcPr>
            <w:tcW w:w="2771" w:type="dxa"/>
          </w:tcPr>
          <w:p w14:paraId="0AC31019" w14:textId="77777777" w:rsidR="002B1603" w:rsidRPr="00A07F29" w:rsidRDefault="002B1603"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 xml:space="preserve">Sugas stāvoklis AAA teritorijā ir labs, tā izplatīta izklaidus visā Daugavas ielejā, sastopamas arī bagātīgas populācijas. </w:t>
            </w:r>
          </w:p>
        </w:tc>
      </w:tr>
      <w:tr w:rsidR="002B1603" w:rsidRPr="00A07F29" w14:paraId="7FA727A7" w14:textId="77777777" w:rsidTr="00092DEE">
        <w:trPr>
          <w:jc w:val="center"/>
        </w:trPr>
        <w:tc>
          <w:tcPr>
            <w:tcW w:w="966" w:type="dxa"/>
          </w:tcPr>
          <w:p w14:paraId="45E2A66D" w14:textId="77777777" w:rsidR="002B1603" w:rsidRPr="00A07F29" w:rsidRDefault="002B1603"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11.</w:t>
            </w:r>
          </w:p>
        </w:tc>
        <w:tc>
          <w:tcPr>
            <w:tcW w:w="2137" w:type="dxa"/>
          </w:tcPr>
          <w:p w14:paraId="23176F0D" w14:textId="77777777" w:rsidR="002B1603" w:rsidRPr="00A07F29" w:rsidRDefault="002B1603" w:rsidP="00B649FD">
            <w:pPr>
              <w:spacing w:after="0" w:line="240" w:lineRule="auto"/>
              <w:rPr>
                <w:rFonts w:ascii="Times New Roman" w:eastAsia="Calibri" w:hAnsi="Times New Roman" w:cs="Times New Roman"/>
                <w:spacing w:val="-1"/>
                <w:sz w:val="20"/>
                <w:szCs w:val="20"/>
              </w:rPr>
            </w:pPr>
            <w:r w:rsidRPr="00A07F29">
              <w:rPr>
                <w:rFonts w:ascii="Times New Roman" w:eastAsia="Calibri" w:hAnsi="Times New Roman" w:cs="Times New Roman"/>
                <w:spacing w:val="-1"/>
                <w:sz w:val="20"/>
                <w:szCs w:val="20"/>
              </w:rPr>
              <w:t>Birztalu drojene,</w:t>
            </w:r>
          </w:p>
          <w:p w14:paraId="550C1C30" w14:textId="77777777" w:rsidR="002B1603" w:rsidRPr="00A07F29" w:rsidRDefault="002B1603" w:rsidP="00B649FD">
            <w:pPr>
              <w:spacing w:after="0" w:line="240" w:lineRule="auto"/>
              <w:rPr>
                <w:rFonts w:ascii="Times New Roman" w:eastAsia="Calibri" w:hAnsi="Times New Roman" w:cs="Times New Roman"/>
                <w:i/>
                <w:spacing w:val="-1"/>
                <w:sz w:val="20"/>
                <w:szCs w:val="20"/>
              </w:rPr>
            </w:pPr>
            <w:proofErr w:type="spellStart"/>
            <w:r w:rsidRPr="00A07F29">
              <w:rPr>
                <w:rFonts w:ascii="Times New Roman" w:eastAsia="Calibri" w:hAnsi="Times New Roman" w:cs="Times New Roman"/>
                <w:i/>
                <w:spacing w:val="-1"/>
                <w:sz w:val="20"/>
                <w:szCs w:val="20"/>
              </w:rPr>
              <w:t>Draba</w:t>
            </w:r>
            <w:proofErr w:type="spellEnd"/>
            <w:r w:rsidRPr="00A07F29">
              <w:rPr>
                <w:rFonts w:ascii="Times New Roman" w:eastAsia="Calibri" w:hAnsi="Times New Roman" w:cs="Times New Roman"/>
                <w:i/>
                <w:spacing w:val="-1"/>
                <w:sz w:val="20"/>
                <w:szCs w:val="20"/>
              </w:rPr>
              <w:t xml:space="preserve"> </w:t>
            </w:r>
            <w:proofErr w:type="spellStart"/>
            <w:r w:rsidRPr="00A07F29">
              <w:rPr>
                <w:rFonts w:ascii="Times New Roman" w:eastAsia="Calibri" w:hAnsi="Times New Roman" w:cs="Times New Roman"/>
                <w:i/>
                <w:spacing w:val="-1"/>
                <w:sz w:val="20"/>
                <w:szCs w:val="20"/>
              </w:rPr>
              <w:t>nemorosa</w:t>
            </w:r>
            <w:proofErr w:type="spellEnd"/>
          </w:p>
        </w:tc>
        <w:tc>
          <w:tcPr>
            <w:tcW w:w="992" w:type="dxa"/>
          </w:tcPr>
          <w:p w14:paraId="4CA24ECE" w14:textId="77777777" w:rsidR="002B1603" w:rsidRPr="00A07F29" w:rsidRDefault="002B1603"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LSG (3)</w:t>
            </w:r>
          </w:p>
        </w:tc>
        <w:tc>
          <w:tcPr>
            <w:tcW w:w="2740" w:type="dxa"/>
          </w:tcPr>
          <w:p w14:paraId="09B607DC" w14:textId="77777777" w:rsidR="002B1603" w:rsidRPr="00A07F29" w:rsidRDefault="002B1603"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color w:val="394044"/>
                <w:sz w:val="20"/>
                <w:szCs w:val="20"/>
              </w:rPr>
              <w:t>Latvijā reti, pārsvarā Daugavas ielejā.</w:t>
            </w:r>
          </w:p>
        </w:tc>
        <w:tc>
          <w:tcPr>
            <w:tcW w:w="2771" w:type="dxa"/>
          </w:tcPr>
          <w:p w14:paraId="2758404A" w14:textId="15726752" w:rsidR="002B1603" w:rsidRPr="00A07F29" w:rsidRDefault="00BF0E06"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DA plāna</w:t>
            </w:r>
            <w:r w:rsidR="002B1603" w:rsidRPr="00A07F29">
              <w:rPr>
                <w:rFonts w:ascii="Times New Roman" w:eastAsia="Calibri" w:hAnsi="Times New Roman" w:cs="Times New Roman"/>
                <w:sz w:val="20"/>
                <w:szCs w:val="20"/>
              </w:rPr>
              <w:t xml:space="preserve"> izstrādes gaitā suga netika konstatēta, bet ir zināmas sugas atradnes šajā teritorijā no 2007.</w:t>
            </w:r>
            <w:r w:rsidR="00387667">
              <w:rPr>
                <w:rFonts w:ascii="Times New Roman" w:eastAsia="Calibri" w:hAnsi="Times New Roman" w:cs="Times New Roman"/>
                <w:sz w:val="20"/>
                <w:szCs w:val="20"/>
              </w:rPr>
              <w:t> </w:t>
            </w:r>
            <w:r w:rsidR="00C130C7" w:rsidRPr="00A07F29">
              <w:rPr>
                <w:rFonts w:ascii="Times New Roman" w:eastAsia="Calibri" w:hAnsi="Times New Roman" w:cs="Times New Roman"/>
                <w:sz w:val="20"/>
                <w:szCs w:val="20"/>
              </w:rPr>
              <w:t>gada</w:t>
            </w:r>
            <w:r w:rsidR="002B1603" w:rsidRPr="00A07F29">
              <w:rPr>
                <w:rFonts w:ascii="Times New Roman" w:eastAsia="Calibri" w:hAnsi="Times New Roman" w:cs="Times New Roman"/>
                <w:sz w:val="20"/>
                <w:szCs w:val="20"/>
              </w:rPr>
              <w:t xml:space="preserve">. </w:t>
            </w:r>
          </w:p>
        </w:tc>
      </w:tr>
      <w:tr w:rsidR="002B1603" w:rsidRPr="00A07F29" w14:paraId="362DCACB" w14:textId="77777777" w:rsidTr="00092DEE">
        <w:trPr>
          <w:jc w:val="center"/>
        </w:trPr>
        <w:tc>
          <w:tcPr>
            <w:tcW w:w="966" w:type="dxa"/>
          </w:tcPr>
          <w:p w14:paraId="4AA92A87" w14:textId="77777777" w:rsidR="002B1603" w:rsidRPr="00A07F29" w:rsidRDefault="002B1603"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12.</w:t>
            </w:r>
          </w:p>
        </w:tc>
        <w:tc>
          <w:tcPr>
            <w:tcW w:w="2137" w:type="dxa"/>
          </w:tcPr>
          <w:p w14:paraId="56D1566E" w14:textId="77777777" w:rsidR="002B1603" w:rsidRPr="00A07F29" w:rsidRDefault="002B1603" w:rsidP="00B649FD">
            <w:pPr>
              <w:spacing w:after="0" w:line="240" w:lineRule="auto"/>
              <w:rPr>
                <w:rFonts w:ascii="Times New Roman" w:eastAsia="Calibri" w:hAnsi="Times New Roman" w:cs="Times New Roman"/>
                <w:spacing w:val="-1"/>
                <w:sz w:val="20"/>
                <w:szCs w:val="20"/>
              </w:rPr>
            </w:pPr>
            <w:r w:rsidRPr="00A07F29">
              <w:rPr>
                <w:rFonts w:ascii="Times New Roman" w:eastAsia="Calibri" w:hAnsi="Times New Roman" w:cs="Times New Roman"/>
                <w:spacing w:val="-1"/>
                <w:sz w:val="20"/>
                <w:szCs w:val="20"/>
              </w:rPr>
              <w:t xml:space="preserve">Lielziedu </w:t>
            </w:r>
            <w:proofErr w:type="spellStart"/>
            <w:r w:rsidRPr="00A07F29">
              <w:rPr>
                <w:rFonts w:ascii="Times New Roman" w:eastAsia="Calibri" w:hAnsi="Times New Roman" w:cs="Times New Roman"/>
                <w:spacing w:val="-1"/>
                <w:sz w:val="20"/>
                <w:szCs w:val="20"/>
              </w:rPr>
              <w:t>uzpirkstīte</w:t>
            </w:r>
            <w:proofErr w:type="spellEnd"/>
            <w:r w:rsidRPr="00A07F29">
              <w:rPr>
                <w:rFonts w:ascii="Times New Roman" w:eastAsia="Calibri" w:hAnsi="Times New Roman" w:cs="Times New Roman"/>
                <w:spacing w:val="-1"/>
                <w:sz w:val="20"/>
                <w:szCs w:val="20"/>
              </w:rPr>
              <w:t>,</w:t>
            </w:r>
          </w:p>
          <w:p w14:paraId="37EDAE8D" w14:textId="77777777" w:rsidR="002B1603" w:rsidRPr="00A07F29" w:rsidRDefault="002B1603" w:rsidP="00B649FD">
            <w:pPr>
              <w:spacing w:after="0" w:line="240" w:lineRule="auto"/>
              <w:rPr>
                <w:rFonts w:ascii="Times New Roman" w:eastAsia="Calibri" w:hAnsi="Times New Roman" w:cs="Times New Roman"/>
                <w:i/>
                <w:spacing w:val="-1"/>
                <w:sz w:val="20"/>
                <w:szCs w:val="20"/>
              </w:rPr>
            </w:pPr>
            <w:proofErr w:type="spellStart"/>
            <w:r w:rsidRPr="00A07F29">
              <w:rPr>
                <w:rFonts w:ascii="Times New Roman" w:eastAsia="Calibri" w:hAnsi="Times New Roman" w:cs="Times New Roman"/>
                <w:i/>
                <w:spacing w:val="-1"/>
                <w:sz w:val="20"/>
                <w:szCs w:val="20"/>
              </w:rPr>
              <w:t>Digitalis</w:t>
            </w:r>
            <w:proofErr w:type="spellEnd"/>
            <w:r w:rsidRPr="00A07F29">
              <w:rPr>
                <w:rFonts w:ascii="Times New Roman" w:eastAsia="Calibri" w:hAnsi="Times New Roman" w:cs="Times New Roman"/>
                <w:i/>
                <w:spacing w:val="-1"/>
                <w:sz w:val="20"/>
                <w:szCs w:val="20"/>
              </w:rPr>
              <w:t xml:space="preserve"> </w:t>
            </w:r>
            <w:proofErr w:type="spellStart"/>
            <w:r w:rsidRPr="00A07F29">
              <w:rPr>
                <w:rFonts w:ascii="Times New Roman" w:eastAsia="Calibri" w:hAnsi="Times New Roman" w:cs="Times New Roman"/>
                <w:i/>
                <w:spacing w:val="-1"/>
                <w:sz w:val="20"/>
                <w:szCs w:val="20"/>
              </w:rPr>
              <w:t>grandiflora</w:t>
            </w:r>
            <w:proofErr w:type="spellEnd"/>
          </w:p>
        </w:tc>
        <w:tc>
          <w:tcPr>
            <w:tcW w:w="992" w:type="dxa"/>
          </w:tcPr>
          <w:p w14:paraId="344E22FA" w14:textId="77777777" w:rsidR="002B1603" w:rsidRPr="00A07F29" w:rsidRDefault="002B1603"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LSG (3)</w:t>
            </w:r>
          </w:p>
        </w:tc>
        <w:tc>
          <w:tcPr>
            <w:tcW w:w="2740" w:type="dxa"/>
          </w:tcPr>
          <w:p w14:paraId="34A09CCC" w14:textId="1EBFEB5F" w:rsidR="002B1603" w:rsidRPr="00A07F29" w:rsidRDefault="002B1603"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color w:val="394044"/>
                <w:sz w:val="20"/>
                <w:szCs w:val="20"/>
              </w:rPr>
              <w:t xml:space="preserve">Latvijā nevienmērīgi: reti valsts centrālajā un </w:t>
            </w:r>
            <w:r w:rsidR="006503AB">
              <w:rPr>
                <w:rFonts w:ascii="Times New Roman" w:eastAsia="Calibri" w:hAnsi="Times New Roman" w:cs="Times New Roman"/>
                <w:color w:val="394044"/>
                <w:sz w:val="20"/>
                <w:szCs w:val="20"/>
              </w:rPr>
              <w:t>DA</w:t>
            </w:r>
            <w:r w:rsidRPr="00A07F29">
              <w:rPr>
                <w:rFonts w:ascii="Times New Roman" w:eastAsia="Calibri" w:hAnsi="Times New Roman" w:cs="Times New Roman"/>
                <w:color w:val="394044"/>
                <w:sz w:val="20"/>
                <w:szCs w:val="20"/>
              </w:rPr>
              <w:t xml:space="preserve"> daļā, ļoti reti </w:t>
            </w:r>
            <w:r w:rsidR="006503AB">
              <w:rPr>
                <w:rFonts w:ascii="Times New Roman" w:eastAsia="Calibri" w:hAnsi="Times New Roman" w:cs="Times New Roman"/>
                <w:color w:val="394044"/>
                <w:sz w:val="20"/>
                <w:szCs w:val="20"/>
              </w:rPr>
              <w:t>R</w:t>
            </w:r>
            <w:r w:rsidRPr="00A07F29">
              <w:rPr>
                <w:rFonts w:ascii="Times New Roman" w:eastAsia="Calibri" w:hAnsi="Times New Roman" w:cs="Times New Roman"/>
                <w:color w:val="394044"/>
                <w:sz w:val="20"/>
                <w:szCs w:val="20"/>
              </w:rPr>
              <w:t xml:space="preserve"> daļā.</w:t>
            </w:r>
          </w:p>
        </w:tc>
        <w:tc>
          <w:tcPr>
            <w:tcW w:w="2771" w:type="dxa"/>
          </w:tcPr>
          <w:p w14:paraId="10AC1EFF" w14:textId="77777777" w:rsidR="002B1603" w:rsidRPr="00A07F29" w:rsidRDefault="002B1603"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 xml:space="preserve">Sugas stāvoklis AAA teritorijā ir apmierinošs. Plāna izstrādes gaitā konstatētas divas jaunas atradnes. Suga konstatēta izklaidus visā teritorijā. </w:t>
            </w:r>
          </w:p>
        </w:tc>
      </w:tr>
      <w:tr w:rsidR="00CB6FB1" w:rsidRPr="00A07F29" w14:paraId="7AE94F71" w14:textId="77777777" w:rsidTr="00092DEE">
        <w:trPr>
          <w:jc w:val="center"/>
        </w:trPr>
        <w:tc>
          <w:tcPr>
            <w:tcW w:w="966" w:type="dxa"/>
          </w:tcPr>
          <w:p w14:paraId="79E412D7" w14:textId="5F2BC22A" w:rsidR="00CB6FB1" w:rsidRPr="00A07F29" w:rsidRDefault="00E970EB"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13.</w:t>
            </w:r>
          </w:p>
        </w:tc>
        <w:tc>
          <w:tcPr>
            <w:tcW w:w="2137" w:type="dxa"/>
          </w:tcPr>
          <w:p w14:paraId="3D0F5348" w14:textId="77777777" w:rsidR="00CB6FB1" w:rsidRPr="00A07F29" w:rsidRDefault="00CB6FB1" w:rsidP="00B649FD">
            <w:pPr>
              <w:spacing w:after="0" w:line="240" w:lineRule="auto"/>
              <w:rPr>
                <w:rFonts w:ascii="Times New Roman" w:eastAsia="Calibri" w:hAnsi="Times New Roman" w:cs="Times New Roman"/>
                <w:spacing w:val="-1"/>
                <w:sz w:val="20"/>
                <w:szCs w:val="20"/>
              </w:rPr>
            </w:pPr>
            <w:r w:rsidRPr="00A07F29">
              <w:rPr>
                <w:rFonts w:ascii="Times New Roman" w:eastAsia="Calibri" w:hAnsi="Times New Roman" w:cs="Times New Roman"/>
                <w:spacing w:val="-1"/>
                <w:sz w:val="20"/>
                <w:szCs w:val="20"/>
              </w:rPr>
              <w:t>Slaidā spilve,</w:t>
            </w:r>
          </w:p>
          <w:p w14:paraId="3DB3C1B5" w14:textId="5F08577F" w:rsidR="00CB6FB1" w:rsidRPr="00A07F29" w:rsidRDefault="00CB6FB1" w:rsidP="00B649FD">
            <w:pPr>
              <w:spacing w:after="0" w:line="240" w:lineRule="auto"/>
              <w:rPr>
                <w:rFonts w:ascii="Times New Roman" w:eastAsia="Calibri" w:hAnsi="Times New Roman" w:cs="Times New Roman"/>
                <w:spacing w:val="-1"/>
                <w:sz w:val="20"/>
                <w:szCs w:val="20"/>
              </w:rPr>
            </w:pPr>
            <w:proofErr w:type="spellStart"/>
            <w:r w:rsidRPr="00A07F29">
              <w:rPr>
                <w:rFonts w:ascii="Times New Roman" w:eastAsia="Times New Roman" w:hAnsi="Times New Roman" w:cs="Times New Roman"/>
                <w:i/>
                <w:sz w:val="20"/>
                <w:szCs w:val="20"/>
              </w:rPr>
              <w:t>Eriophorum</w:t>
            </w:r>
            <w:proofErr w:type="spellEnd"/>
            <w:r w:rsidRPr="00A07F29">
              <w:rPr>
                <w:rFonts w:ascii="Times New Roman" w:eastAsia="Times New Roman" w:hAnsi="Times New Roman" w:cs="Times New Roman"/>
                <w:i/>
                <w:sz w:val="20"/>
                <w:szCs w:val="20"/>
              </w:rPr>
              <w:t xml:space="preserve"> </w:t>
            </w:r>
            <w:proofErr w:type="spellStart"/>
            <w:r w:rsidRPr="00A07F29">
              <w:rPr>
                <w:rFonts w:ascii="Times New Roman" w:eastAsia="Times New Roman" w:hAnsi="Times New Roman" w:cs="Times New Roman"/>
                <w:i/>
                <w:sz w:val="20"/>
                <w:szCs w:val="20"/>
              </w:rPr>
              <w:t>gracile</w:t>
            </w:r>
            <w:proofErr w:type="spellEnd"/>
          </w:p>
        </w:tc>
        <w:tc>
          <w:tcPr>
            <w:tcW w:w="992" w:type="dxa"/>
          </w:tcPr>
          <w:p w14:paraId="341B237B" w14:textId="117F93EF" w:rsidR="00CB6FB1" w:rsidRPr="00A07F29" w:rsidRDefault="00CB6FB1"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c>
          <w:tcPr>
            <w:tcW w:w="2740" w:type="dxa"/>
          </w:tcPr>
          <w:p w14:paraId="102D00A6" w14:textId="6C3039C2" w:rsidR="00CB6FB1" w:rsidRPr="00A07F29" w:rsidRDefault="00CB6FB1" w:rsidP="00B649FD">
            <w:pPr>
              <w:spacing w:after="0" w:line="240" w:lineRule="auto"/>
              <w:jc w:val="both"/>
              <w:rPr>
                <w:rFonts w:ascii="Times New Roman" w:eastAsia="Calibri" w:hAnsi="Times New Roman" w:cs="Times New Roman"/>
                <w:color w:val="394044"/>
                <w:sz w:val="20"/>
                <w:szCs w:val="20"/>
              </w:rPr>
            </w:pPr>
            <w:r w:rsidRPr="00A07F29">
              <w:rPr>
                <w:rFonts w:ascii="Times New Roman" w:eastAsia="Calibri" w:hAnsi="Times New Roman" w:cs="Times New Roman"/>
                <w:color w:val="394044"/>
                <w:sz w:val="20"/>
                <w:szCs w:val="20"/>
              </w:rPr>
              <w:t xml:space="preserve">Latvijā sastopama diezgan reti zāļu un pārejas purvos, kā arī </w:t>
            </w:r>
            <w:r w:rsidRPr="00A07F29">
              <w:rPr>
                <w:rFonts w:ascii="Times New Roman" w:eastAsia="Calibri" w:hAnsi="Times New Roman" w:cs="Times New Roman"/>
                <w:color w:val="394044"/>
                <w:sz w:val="20"/>
                <w:szCs w:val="20"/>
              </w:rPr>
              <w:lastRenderedPageBreak/>
              <w:t xml:space="preserve">purvainu ezeru </w:t>
            </w:r>
            <w:proofErr w:type="spellStart"/>
            <w:r w:rsidRPr="00A07F29">
              <w:rPr>
                <w:rFonts w:ascii="Times New Roman" w:eastAsia="Calibri" w:hAnsi="Times New Roman" w:cs="Times New Roman"/>
                <w:color w:val="394044"/>
                <w:sz w:val="20"/>
                <w:szCs w:val="20"/>
              </w:rPr>
              <w:t>nokrastu</w:t>
            </w:r>
            <w:proofErr w:type="spellEnd"/>
            <w:r w:rsidRPr="00A07F29">
              <w:rPr>
                <w:rFonts w:ascii="Times New Roman" w:eastAsia="Calibri" w:hAnsi="Times New Roman" w:cs="Times New Roman"/>
                <w:color w:val="394044"/>
                <w:sz w:val="20"/>
                <w:szCs w:val="20"/>
              </w:rPr>
              <w:t xml:space="preserve"> slīkšņās (Priedītis</w:t>
            </w:r>
            <w:r w:rsidR="00E26F90">
              <w:rPr>
                <w:rFonts w:ascii="Times New Roman" w:eastAsia="Calibri" w:hAnsi="Times New Roman" w:cs="Times New Roman"/>
                <w:color w:val="394044"/>
                <w:sz w:val="20"/>
                <w:szCs w:val="20"/>
              </w:rPr>
              <w:t xml:space="preserve"> N.</w:t>
            </w:r>
            <w:r w:rsidRPr="00A07F29">
              <w:rPr>
                <w:rFonts w:ascii="Times New Roman" w:eastAsia="Calibri" w:hAnsi="Times New Roman" w:cs="Times New Roman"/>
                <w:color w:val="394044"/>
                <w:sz w:val="20"/>
                <w:szCs w:val="20"/>
              </w:rPr>
              <w:t xml:space="preserve">, 2014, </w:t>
            </w:r>
            <w:proofErr w:type="spellStart"/>
            <w:r w:rsidRPr="00A07F29">
              <w:rPr>
                <w:rFonts w:ascii="Times New Roman" w:eastAsia="Calibri" w:hAnsi="Times New Roman" w:cs="Times New Roman"/>
                <w:color w:val="394044"/>
                <w:sz w:val="20"/>
                <w:szCs w:val="20"/>
              </w:rPr>
              <w:t>Табака</w:t>
            </w:r>
            <w:proofErr w:type="spellEnd"/>
            <w:r w:rsidRPr="00A07F29">
              <w:rPr>
                <w:rFonts w:ascii="Times New Roman" w:eastAsia="Calibri" w:hAnsi="Times New Roman" w:cs="Times New Roman"/>
                <w:color w:val="394044"/>
                <w:sz w:val="20"/>
                <w:szCs w:val="20"/>
              </w:rPr>
              <w:t xml:space="preserve"> </w:t>
            </w:r>
            <w:r w:rsidR="00B62A91" w:rsidRPr="00B62A91">
              <w:rPr>
                <w:rFonts w:ascii="Times New Roman" w:eastAsia="Calibri" w:hAnsi="Times New Roman" w:cs="Times New Roman"/>
                <w:color w:val="394044"/>
                <w:sz w:val="20"/>
                <w:szCs w:val="20"/>
              </w:rPr>
              <w:t>Л.</w:t>
            </w:r>
            <w:r w:rsidR="00B62A91">
              <w:rPr>
                <w:rFonts w:ascii="Times New Roman" w:eastAsia="Calibri" w:hAnsi="Times New Roman" w:cs="Times New Roman"/>
                <w:color w:val="394044"/>
                <w:sz w:val="20"/>
                <w:szCs w:val="20"/>
              </w:rPr>
              <w:t xml:space="preserve"> </w:t>
            </w:r>
            <w:r w:rsidRPr="00A07F29">
              <w:rPr>
                <w:rFonts w:ascii="Times New Roman" w:eastAsia="Calibri" w:hAnsi="Times New Roman" w:cs="Times New Roman"/>
                <w:color w:val="394044"/>
                <w:sz w:val="20"/>
                <w:szCs w:val="20"/>
              </w:rPr>
              <w:t xml:space="preserve">и </w:t>
            </w:r>
            <w:proofErr w:type="spellStart"/>
            <w:r w:rsidRPr="00A07F29">
              <w:rPr>
                <w:rFonts w:ascii="Times New Roman" w:eastAsia="Calibri" w:hAnsi="Times New Roman" w:cs="Times New Roman"/>
                <w:color w:val="394044"/>
                <w:sz w:val="20"/>
                <w:szCs w:val="20"/>
              </w:rPr>
              <w:t>др</w:t>
            </w:r>
            <w:proofErr w:type="spellEnd"/>
            <w:r w:rsidRPr="00A07F29">
              <w:rPr>
                <w:rFonts w:ascii="Times New Roman" w:eastAsia="Calibri" w:hAnsi="Times New Roman" w:cs="Times New Roman"/>
                <w:color w:val="394044"/>
                <w:sz w:val="20"/>
                <w:szCs w:val="20"/>
              </w:rPr>
              <w:t>., 1988). Sugu apdraud zāļu un pārejas purvu nosusināšana</w:t>
            </w:r>
            <w:r w:rsidR="004206E6" w:rsidRPr="00A07F29">
              <w:rPr>
                <w:rFonts w:ascii="Times New Roman" w:eastAsia="Calibri" w:hAnsi="Times New Roman" w:cs="Times New Roman"/>
                <w:color w:val="394044"/>
                <w:sz w:val="20"/>
                <w:szCs w:val="20"/>
              </w:rPr>
              <w:t>,</w:t>
            </w:r>
            <w:r w:rsidRPr="00A07F29">
              <w:rPr>
                <w:rFonts w:ascii="Times New Roman" w:eastAsia="Calibri" w:hAnsi="Times New Roman" w:cs="Times New Roman"/>
                <w:color w:val="394044"/>
                <w:sz w:val="20"/>
                <w:szCs w:val="20"/>
              </w:rPr>
              <w:t xml:space="preserve"> </w:t>
            </w:r>
            <w:r w:rsidR="004206E6" w:rsidRPr="00A07F29">
              <w:rPr>
                <w:rFonts w:ascii="Times New Roman" w:eastAsia="Calibri" w:hAnsi="Times New Roman" w:cs="Times New Roman"/>
                <w:color w:val="394044"/>
                <w:sz w:val="20"/>
                <w:szCs w:val="20"/>
              </w:rPr>
              <w:t xml:space="preserve">kā arī purvaino ezeru </w:t>
            </w:r>
            <w:r w:rsidRPr="00A07F29">
              <w:rPr>
                <w:rFonts w:ascii="Times New Roman" w:eastAsia="Calibri" w:hAnsi="Times New Roman" w:cs="Times New Roman"/>
                <w:color w:val="394044"/>
                <w:sz w:val="20"/>
                <w:szCs w:val="20"/>
              </w:rPr>
              <w:t xml:space="preserve">ūdens </w:t>
            </w:r>
            <w:r w:rsidR="004206E6" w:rsidRPr="00A07F29">
              <w:rPr>
                <w:rFonts w:ascii="Times New Roman" w:eastAsia="Calibri" w:hAnsi="Times New Roman" w:cs="Times New Roman"/>
                <w:color w:val="394044"/>
                <w:sz w:val="20"/>
                <w:szCs w:val="20"/>
              </w:rPr>
              <w:t xml:space="preserve">līmeņa </w:t>
            </w:r>
            <w:r w:rsidRPr="00A07F29">
              <w:rPr>
                <w:rFonts w:ascii="Times New Roman" w:eastAsia="Calibri" w:hAnsi="Times New Roman" w:cs="Times New Roman"/>
                <w:color w:val="394044"/>
                <w:sz w:val="20"/>
                <w:szCs w:val="20"/>
              </w:rPr>
              <w:t xml:space="preserve">izmainīšana. </w:t>
            </w:r>
          </w:p>
        </w:tc>
        <w:tc>
          <w:tcPr>
            <w:tcW w:w="2771" w:type="dxa"/>
          </w:tcPr>
          <w:p w14:paraId="297EA76A" w14:textId="73E9B8BC" w:rsidR="00CB6FB1" w:rsidRPr="00A07F29" w:rsidRDefault="00CB6FB1"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color w:val="394044"/>
                <w:sz w:val="20"/>
                <w:szCs w:val="20"/>
              </w:rPr>
              <w:lastRenderedPageBreak/>
              <w:t xml:space="preserve">Suga atrasta Maču ezera purvainajā </w:t>
            </w:r>
            <w:proofErr w:type="spellStart"/>
            <w:r w:rsidRPr="00A07F29">
              <w:rPr>
                <w:rFonts w:ascii="Times New Roman" w:eastAsia="Calibri" w:hAnsi="Times New Roman" w:cs="Times New Roman"/>
                <w:color w:val="394044"/>
                <w:sz w:val="20"/>
                <w:szCs w:val="20"/>
              </w:rPr>
              <w:t>nokrastes</w:t>
            </w:r>
            <w:proofErr w:type="spellEnd"/>
            <w:r w:rsidRPr="00A07F29">
              <w:rPr>
                <w:rFonts w:ascii="Times New Roman" w:eastAsia="Calibri" w:hAnsi="Times New Roman" w:cs="Times New Roman"/>
                <w:color w:val="394044"/>
                <w:sz w:val="20"/>
                <w:szCs w:val="20"/>
              </w:rPr>
              <w:t xml:space="preserve"> slīkšņā </w:t>
            </w:r>
            <w:r w:rsidRPr="00A07F29">
              <w:rPr>
                <w:rFonts w:ascii="Times New Roman" w:eastAsia="Calibri" w:hAnsi="Times New Roman" w:cs="Times New Roman"/>
                <w:color w:val="394044"/>
                <w:sz w:val="20"/>
                <w:szCs w:val="20"/>
              </w:rPr>
              <w:lastRenderedPageBreak/>
              <w:t>(</w:t>
            </w:r>
            <w:proofErr w:type="spellStart"/>
            <w:r w:rsidRPr="00A07F29">
              <w:rPr>
                <w:rFonts w:ascii="Times New Roman" w:eastAsia="Calibri" w:hAnsi="Times New Roman" w:cs="Times New Roman"/>
                <w:color w:val="394044"/>
                <w:sz w:val="20"/>
                <w:szCs w:val="20"/>
              </w:rPr>
              <w:t>Suško</w:t>
            </w:r>
            <w:proofErr w:type="spellEnd"/>
            <w:r w:rsidR="00C65D68">
              <w:rPr>
                <w:rFonts w:ascii="Times New Roman" w:eastAsia="Calibri" w:hAnsi="Times New Roman" w:cs="Times New Roman"/>
                <w:color w:val="394044"/>
                <w:sz w:val="20"/>
                <w:szCs w:val="20"/>
              </w:rPr>
              <w:t xml:space="preserve"> U.</w:t>
            </w:r>
            <w:r w:rsidRPr="00A07F29">
              <w:rPr>
                <w:rFonts w:ascii="Times New Roman" w:eastAsia="Calibri" w:hAnsi="Times New Roman" w:cs="Times New Roman"/>
                <w:color w:val="394044"/>
                <w:sz w:val="20"/>
                <w:szCs w:val="20"/>
              </w:rPr>
              <w:t xml:space="preserve">, 1997) un tās </w:t>
            </w:r>
            <w:r w:rsidR="005F3ACE" w:rsidRPr="00A07F29">
              <w:rPr>
                <w:rFonts w:ascii="Times New Roman" w:eastAsia="Calibri" w:hAnsi="Times New Roman" w:cs="Times New Roman"/>
                <w:color w:val="394044"/>
                <w:sz w:val="20"/>
                <w:szCs w:val="20"/>
              </w:rPr>
              <w:t>pašreizējais</w:t>
            </w:r>
            <w:r w:rsidRPr="00A07F29">
              <w:rPr>
                <w:rFonts w:ascii="Times New Roman" w:eastAsia="Calibri" w:hAnsi="Times New Roman" w:cs="Times New Roman"/>
                <w:color w:val="394044"/>
                <w:sz w:val="20"/>
                <w:szCs w:val="20"/>
              </w:rPr>
              <w:t xml:space="preserve"> stāvoklis nav zināms.</w:t>
            </w:r>
          </w:p>
        </w:tc>
      </w:tr>
      <w:tr w:rsidR="00CB6FB1" w:rsidRPr="00A07F29" w14:paraId="4D1F3A63" w14:textId="77777777" w:rsidTr="00092DEE">
        <w:trPr>
          <w:jc w:val="center"/>
        </w:trPr>
        <w:tc>
          <w:tcPr>
            <w:tcW w:w="966" w:type="dxa"/>
          </w:tcPr>
          <w:p w14:paraId="166EECDF" w14:textId="46A763D0" w:rsidR="00CB6FB1" w:rsidRPr="00A07F29" w:rsidRDefault="00E970EB"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lastRenderedPageBreak/>
              <w:t>14.</w:t>
            </w:r>
          </w:p>
        </w:tc>
        <w:tc>
          <w:tcPr>
            <w:tcW w:w="2137" w:type="dxa"/>
          </w:tcPr>
          <w:p w14:paraId="39AE751D" w14:textId="77777777" w:rsidR="00CB6FB1" w:rsidRPr="00A07F29" w:rsidRDefault="00CB6FB1" w:rsidP="00B649FD">
            <w:pPr>
              <w:spacing w:after="0" w:line="240" w:lineRule="auto"/>
              <w:rPr>
                <w:rFonts w:ascii="Times New Roman" w:eastAsia="Calibri" w:hAnsi="Times New Roman" w:cs="Times New Roman"/>
                <w:spacing w:val="-1"/>
                <w:sz w:val="20"/>
                <w:szCs w:val="20"/>
              </w:rPr>
            </w:pPr>
            <w:proofErr w:type="spellStart"/>
            <w:r w:rsidRPr="00A07F29">
              <w:rPr>
                <w:rFonts w:ascii="Times New Roman" w:eastAsia="Calibri" w:hAnsi="Times New Roman" w:cs="Times New Roman"/>
                <w:spacing w:val="-1"/>
                <w:sz w:val="20"/>
                <w:szCs w:val="20"/>
              </w:rPr>
              <w:t>Trejdaļu</w:t>
            </w:r>
            <w:proofErr w:type="spellEnd"/>
            <w:r w:rsidRPr="00A07F29">
              <w:rPr>
                <w:rFonts w:ascii="Times New Roman" w:eastAsia="Calibri" w:hAnsi="Times New Roman" w:cs="Times New Roman"/>
                <w:spacing w:val="-1"/>
                <w:sz w:val="20"/>
                <w:szCs w:val="20"/>
              </w:rPr>
              <w:t xml:space="preserve"> madara,</w:t>
            </w:r>
          </w:p>
          <w:p w14:paraId="3881D1DF" w14:textId="760185A5" w:rsidR="00CB6FB1" w:rsidRPr="00A07F29" w:rsidRDefault="00CB6FB1" w:rsidP="00B649FD">
            <w:pPr>
              <w:spacing w:after="0" w:line="240" w:lineRule="auto"/>
              <w:rPr>
                <w:rFonts w:ascii="Times New Roman" w:eastAsia="Calibri" w:hAnsi="Times New Roman" w:cs="Times New Roman"/>
                <w:i/>
                <w:spacing w:val="-1"/>
                <w:sz w:val="20"/>
                <w:szCs w:val="20"/>
              </w:rPr>
            </w:pPr>
            <w:proofErr w:type="spellStart"/>
            <w:r w:rsidRPr="00A07F29">
              <w:rPr>
                <w:rFonts w:ascii="Times New Roman" w:eastAsia="Calibri" w:hAnsi="Times New Roman" w:cs="Times New Roman"/>
                <w:i/>
                <w:spacing w:val="-1"/>
                <w:sz w:val="20"/>
                <w:szCs w:val="20"/>
              </w:rPr>
              <w:t>Galium</w:t>
            </w:r>
            <w:proofErr w:type="spellEnd"/>
            <w:r w:rsidRPr="00A07F29">
              <w:rPr>
                <w:rFonts w:ascii="Times New Roman" w:eastAsia="Calibri" w:hAnsi="Times New Roman" w:cs="Times New Roman"/>
                <w:i/>
                <w:spacing w:val="-1"/>
                <w:sz w:val="20"/>
                <w:szCs w:val="20"/>
              </w:rPr>
              <w:t xml:space="preserve"> </w:t>
            </w:r>
            <w:proofErr w:type="spellStart"/>
            <w:r w:rsidRPr="00A07F29">
              <w:rPr>
                <w:rFonts w:ascii="Times New Roman" w:eastAsia="Calibri" w:hAnsi="Times New Roman" w:cs="Times New Roman"/>
                <w:i/>
                <w:spacing w:val="-1"/>
                <w:sz w:val="20"/>
                <w:szCs w:val="20"/>
              </w:rPr>
              <w:t>trifidum</w:t>
            </w:r>
            <w:proofErr w:type="spellEnd"/>
          </w:p>
        </w:tc>
        <w:tc>
          <w:tcPr>
            <w:tcW w:w="992" w:type="dxa"/>
          </w:tcPr>
          <w:p w14:paraId="675D2DF4" w14:textId="0192F471" w:rsidR="00CB6FB1" w:rsidRPr="00A07F29" w:rsidRDefault="00CB6FB1"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LSG (3)</w:t>
            </w:r>
          </w:p>
        </w:tc>
        <w:tc>
          <w:tcPr>
            <w:tcW w:w="2740" w:type="dxa"/>
          </w:tcPr>
          <w:p w14:paraId="7CB8D097" w14:textId="28A8B3AD" w:rsidR="00CB6FB1" w:rsidRPr="00A07F29" w:rsidRDefault="00CB6FB1" w:rsidP="00B649FD">
            <w:pPr>
              <w:spacing w:after="0" w:line="240" w:lineRule="auto"/>
              <w:jc w:val="both"/>
              <w:rPr>
                <w:rFonts w:ascii="Times New Roman" w:eastAsia="Calibri" w:hAnsi="Times New Roman" w:cs="Times New Roman"/>
                <w:color w:val="394044"/>
                <w:sz w:val="20"/>
                <w:szCs w:val="20"/>
              </w:rPr>
            </w:pPr>
            <w:r w:rsidRPr="00A07F29">
              <w:rPr>
                <w:rFonts w:ascii="Times New Roman" w:eastAsia="Calibri" w:hAnsi="Times New Roman" w:cs="Times New Roman"/>
                <w:color w:val="394044"/>
                <w:sz w:val="20"/>
                <w:szCs w:val="20"/>
              </w:rPr>
              <w:t xml:space="preserve">Latvijā sastopama diezgan reti purvainu ezeru </w:t>
            </w:r>
            <w:proofErr w:type="spellStart"/>
            <w:r w:rsidRPr="00A07F29">
              <w:rPr>
                <w:rFonts w:ascii="Times New Roman" w:eastAsia="Calibri" w:hAnsi="Times New Roman" w:cs="Times New Roman"/>
                <w:color w:val="394044"/>
                <w:sz w:val="20"/>
                <w:szCs w:val="20"/>
              </w:rPr>
              <w:t>nokrastu</w:t>
            </w:r>
            <w:proofErr w:type="spellEnd"/>
            <w:r w:rsidRPr="00A07F29">
              <w:rPr>
                <w:rFonts w:ascii="Times New Roman" w:eastAsia="Calibri" w:hAnsi="Times New Roman" w:cs="Times New Roman"/>
                <w:color w:val="394044"/>
                <w:sz w:val="20"/>
                <w:szCs w:val="20"/>
              </w:rPr>
              <w:t xml:space="preserve"> slīkšņās (Andrušaitis</w:t>
            </w:r>
            <w:r w:rsidR="002A576B">
              <w:rPr>
                <w:rFonts w:ascii="Times New Roman" w:eastAsia="Calibri" w:hAnsi="Times New Roman" w:cs="Times New Roman"/>
                <w:color w:val="394044"/>
                <w:sz w:val="20"/>
                <w:szCs w:val="20"/>
              </w:rPr>
              <w:t xml:space="preserve"> G.</w:t>
            </w:r>
            <w:r w:rsidRPr="00A07F29">
              <w:rPr>
                <w:rFonts w:ascii="Times New Roman" w:eastAsia="Calibri" w:hAnsi="Times New Roman" w:cs="Times New Roman"/>
                <w:color w:val="394044"/>
                <w:sz w:val="20"/>
                <w:szCs w:val="20"/>
              </w:rPr>
              <w:t>, 2003, Priedītis</w:t>
            </w:r>
            <w:r w:rsidR="00E26F90">
              <w:rPr>
                <w:rFonts w:ascii="Times New Roman" w:eastAsia="Calibri" w:hAnsi="Times New Roman" w:cs="Times New Roman"/>
                <w:color w:val="394044"/>
                <w:sz w:val="20"/>
                <w:szCs w:val="20"/>
              </w:rPr>
              <w:t xml:space="preserve"> N.</w:t>
            </w:r>
            <w:r w:rsidRPr="00A07F29">
              <w:rPr>
                <w:rFonts w:ascii="Times New Roman" w:eastAsia="Calibri" w:hAnsi="Times New Roman" w:cs="Times New Roman"/>
                <w:color w:val="394044"/>
                <w:sz w:val="20"/>
                <w:szCs w:val="20"/>
              </w:rPr>
              <w:t xml:space="preserve">, 2014, </w:t>
            </w:r>
            <w:proofErr w:type="spellStart"/>
            <w:r w:rsidRPr="00A07F29">
              <w:rPr>
                <w:rFonts w:ascii="Times New Roman" w:eastAsia="Calibri" w:hAnsi="Times New Roman" w:cs="Times New Roman"/>
                <w:color w:val="394044"/>
                <w:sz w:val="20"/>
                <w:szCs w:val="20"/>
              </w:rPr>
              <w:t>Табака</w:t>
            </w:r>
            <w:proofErr w:type="spellEnd"/>
            <w:r w:rsidR="00B62A91" w:rsidRPr="00B62A91">
              <w:rPr>
                <w:rFonts w:ascii="TimesNewRoman" w:hAnsi="TimesNewRoman" w:cs="TimesNewRoman"/>
                <w:sz w:val="24"/>
                <w:szCs w:val="24"/>
              </w:rPr>
              <w:t xml:space="preserve"> </w:t>
            </w:r>
            <w:r w:rsidR="00B62A91" w:rsidRPr="00B62A91">
              <w:rPr>
                <w:rFonts w:ascii="Times New Roman" w:eastAsia="Calibri" w:hAnsi="Times New Roman" w:cs="Times New Roman"/>
                <w:color w:val="394044"/>
                <w:sz w:val="20"/>
                <w:szCs w:val="20"/>
              </w:rPr>
              <w:t>Л.</w:t>
            </w:r>
            <w:r w:rsidRPr="00A07F29">
              <w:rPr>
                <w:rFonts w:ascii="Times New Roman" w:eastAsia="Calibri" w:hAnsi="Times New Roman" w:cs="Times New Roman"/>
                <w:color w:val="394044"/>
                <w:sz w:val="20"/>
                <w:szCs w:val="20"/>
              </w:rPr>
              <w:t xml:space="preserve"> и </w:t>
            </w:r>
            <w:proofErr w:type="spellStart"/>
            <w:r w:rsidRPr="00A07F29">
              <w:rPr>
                <w:rFonts w:ascii="Times New Roman" w:eastAsia="Calibri" w:hAnsi="Times New Roman" w:cs="Times New Roman"/>
                <w:color w:val="394044"/>
                <w:sz w:val="20"/>
                <w:szCs w:val="20"/>
              </w:rPr>
              <w:t>др</w:t>
            </w:r>
            <w:proofErr w:type="spellEnd"/>
            <w:r w:rsidRPr="00A07F29">
              <w:rPr>
                <w:rFonts w:ascii="Times New Roman" w:eastAsia="Calibri" w:hAnsi="Times New Roman" w:cs="Times New Roman"/>
                <w:color w:val="394044"/>
                <w:sz w:val="20"/>
                <w:szCs w:val="20"/>
              </w:rPr>
              <w:t xml:space="preserve">., 1988). Sugu apdraud ezeru piesārņošana un eitrofikācijas pastiprināšanās AAA “Augšdaugava” </w:t>
            </w:r>
          </w:p>
        </w:tc>
        <w:tc>
          <w:tcPr>
            <w:tcW w:w="2771" w:type="dxa"/>
          </w:tcPr>
          <w:p w14:paraId="592720B9" w14:textId="3FF3B001" w:rsidR="00CB6FB1" w:rsidRPr="00A07F29" w:rsidRDefault="005F3ACE" w:rsidP="00B649FD">
            <w:pPr>
              <w:spacing w:after="0" w:line="240" w:lineRule="auto"/>
              <w:jc w:val="both"/>
              <w:rPr>
                <w:rFonts w:ascii="Times New Roman" w:eastAsia="Calibri" w:hAnsi="Times New Roman" w:cs="Times New Roman"/>
                <w:color w:val="394044"/>
                <w:sz w:val="20"/>
                <w:szCs w:val="20"/>
              </w:rPr>
            </w:pPr>
            <w:r w:rsidRPr="00A07F29">
              <w:rPr>
                <w:rFonts w:ascii="Times New Roman" w:eastAsia="Calibri" w:hAnsi="Times New Roman" w:cs="Times New Roman"/>
                <w:color w:val="394044"/>
                <w:sz w:val="20"/>
                <w:szCs w:val="20"/>
              </w:rPr>
              <w:t xml:space="preserve">Suga atrasta Maču, Vidus </w:t>
            </w:r>
            <w:proofErr w:type="spellStart"/>
            <w:r w:rsidRPr="00A07F29">
              <w:rPr>
                <w:rFonts w:ascii="Times New Roman" w:eastAsia="Calibri" w:hAnsi="Times New Roman" w:cs="Times New Roman"/>
                <w:color w:val="394044"/>
                <w:sz w:val="20"/>
                <w:szCs w:val="20"/>
              </w:rPr>
              <w:t>Dolgoje</w:t>
            </w:r>
            <w:proofErr w:type="spellEnd"/>
            <w:r w:rsidRPr="00A07F29">
              <w:rPr>
                <w:rFonts w:ascii="Times New Roman" w:eastAsia="Calibri" w:hAnsi="Times New Roman" w:cs="Times New Roman"/>
                <w:color w:val="394044"/>
                <w:sz w:val="20"/>
                <w:szCs w:val="20"/>
              </w:rPr>
              <w:t xml:space="preserve">, Dienvidu </w:t>
            </w:r>
            <w:proofErr w:type="spellStart"/>
            <w:r w:rsidRPr="00A07F29">
              <w:rPr>
                <w:rFonts w:ascii="Times New Roman" w:eastAsia="Calibri" w:hAnsi="Times New Roman" w:cs="Times New Roman"/>
                <w:color w:val="394044"/>
                <w:sz w:val="20"/>
                <w:szCs w:val="20"/>
              </w:rPr>
              <w:t>Dolgoje</w:t>
            </w:r>
            <w:proofErr w:type="spellEnd"/>
            <w:r w:rsidRPr="00A07F29">
              <w:rPr>
                <w:rFonts w:ascii="Times New Roman" w:eastAsia="Calibri" w:hAnsi="Times New Roman" w:cs="Times New Roman"/>
                <w:color w:val="394044"/>
                <w:sz w:val="20"/>
                <w:szCs w:val="20"/>
              </w:rPr>
              <w:t xml:space="preserve"> un </w:t>
            </w:r>
            <w:proofErr w:type="spellStart"/>
            <w:r w:rsidRPr="00A07F29">
              <w:rPr>
                <w:rFonts w:ascii="Times New Roman" w:eastAsia="Calibri" w:hAnsi="Times New Roman" w:cs="Times New Roman"/>
                <w:color w:val="394044"/>
                <w:sz w:val="20"/>
                <w:szCs w:val="20"/>
              </w:rPr>
              <w:t>Vaičuku</w:t>
            </w:r>
            <w:proofErr w:type="spellEnd"/>
            <w:r w:rsidRPr="00A07F29">
              <w:rPr>
                <w:rFonts w:ascii="Times New Roman" w:eastAsia="Calibri" w:hAnsi="Times New Roman" w:cs="Times New Roman"/>
                <w:color w:val="394044"/>
                <w:sz w:val="20"/>
                <w:szCs w:val="20"/>
              </w:rPr>
              <w:t xml:space="preserve"> ezera, kā arī </w:t>
            </w:r>
            <w:proofErr w:type="spellStart"/>
            <w:r w:rsidRPr="00A07F29">
              <w:rPr>
                <w:rFonts w:ascii="Times New Roman" w:eastAsia="Calibri" w:hAnsi="Times New Roman" w:cs="Times New Roman"/>
                <w:color w:val="394044"/>
                <w:sz w:val="20"/>
                <w:szCs w:val="20"/>
              </w:rPr>
              <w:t>Dūnekļa</w:t>
            </w:r>
            <w:proofErr w:type="spellEnd"/>
            <w:r w:rsidRPr="00A07F29">
              <w:rPr>
                <w:rFonts w:ascii="Times New Roman" w:eastAsia="Calibri" w:hAnsi="Times New Roman" w:cs="Times New Roman"/>
                <w:color w:val="394044"/>
                <w:sz w:val="20"/>
                <w:szCs w:val="20"/>
              </w:rPr>
              <w:t xml:space="preserve"> purvainajā </w:t>
            </w:r>
            <w:proofErr w:type="spellStart"/>
            <w:r w:rsidRPr="00A07F29">
              <w:rPr>
                <w:rFonts w:ascii="Times New Roman" w:eastAsia="Calibri" w:hAnsi="Times New Roman" w:cs="Times New Roman"/>
                <w:color w:val="394044"/>
                <w:sz w:val="20"/>
                <w:szCs w:val="20"/>
              </w:rPr>
              <w:t>nokrastes</w:t>
            </w:r>
            <w:proofErr w:type="spellEnd"/>
            <w:r w:rsidRPr="00A07F29">
              <w:rPr>
                <w:rFonts w:ascii="Times New Roman" w:eastAsia="Calibri" w:hAnsi="Times New Roman" w:cs="Times New Roman"/>
                <w:color w:val="394044"/>
                <w:sz w:val="20"/>
                <w:szCs w:val="20"/>
              </w:rPr>
              <w:t xml:space="preserve"> slīkšņā (</w:t>
            </w:r>
            <w:proofErr w:type="spellStart"/>
            <w:r w:rsidRPr="00A07F29">
              <w:rPr>
                <w:rFonts w:ascii="Times New Roman" w:eastAsia="Calibri" w:hAnsi="Times New Roman" w:cs="Times New Roman"/>
                <w:color w:val="394044"/>
                <w:sz w:val="20"/>
                <w:szCs w:val="20"/>
              </w:rPr>
              <w:t>Suško</w:t>
            </w:r>
            <w:proofErr w:type="spellEnd"/>
            <w:r w:rsidR="00B611FB">
              <w:rPr>
                <w:rFonts w:ascii="Times New Roman" w:eastAsia="Calibri" w:hAnsi="Times New Roman" w:cs="Times New Roman"/>
                <w:color w:val="394044"/>
                <w:sz w:val="20"/>
                <w:szCs w:val="20"/>
              </w:rPr>
              <w:t xml:space="preserve"> U.</w:t>
            </w:r>
            <w:r w:rsidRPr="00A07F29">
              <w:rPr>
                <w:rFonts w:ascii="Times New Roman" w:eastAsia="Calibri" w:hAnsi="Times New Roman" w:cs="Times New Roman"/>
                <w:color w:val="394044"/>
                <w:sz w:val="20"/>
                <w:szCs w:val="20"/>
              </w:rPr>
              <w:t>, 1997) un tās pašreizējais stāvoklis nav zināms.</w:t>
            </w:r>
          </w:p>
        </w:tc>
      </w:tr>
      <w:tr w:rsidR="002B1603" w:rsidRPr="00A07F29" w14:paraId="545E8D72" w14:textId="77777777" w:rsidTr="00092DEE">
        <w:trPr>
          <w:jc w:val="center"/>
        </w:trPr>
        <w:tc>
          <w:tcPr>
            <w:tcW w:w="966" w:type="dxa"/>
          </w:tcPr>
          <w:p w14:paraId="15C9A364" w14:textId="5AABC4A5" w:rsidR="002B1603" w:rsidRPr="00A07F29" w:rsidRDefault="00E970EB"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15</w:t>
            </w:r>
            <w:r w:rsidR="002B1603" w:rsidRPr="00A07F29">
              <w:rPr>
                <w:rFonts w:ascii="Times New Roman" w:eastAsia="Calibri" w:hAnsi="Times New Roman" w:cs="Times New Roman"/>
                <w:sz w:val="20"/>
                <w:szCs w:val="20"/>
              </w:rPr>
              <w:t>.</w:t>
            </w:r>
          </w:p>
        </w:tc>
        <w:tc>
          <w:tcPr>
            <w:tcW w:w="2137" w:type="dxa"/>
          </w:tcPr>
          <w:p w14:paraId="738DFE67" w14:textId="77777777" w:rsidR="002B1603" w:rsidRPr="00A07F29" w:rsidRDefault="002B1603" w:rsidP="00B649FD">
            <w:pPr>
              <w:spacing w:after="0" w:line="240" w:lineRule="auto"/>
              <w:rPr>
                <w:rFonts w:ascii="Times New Roman" w:eastAsia="Calibri" w:hAnsi="Times New Roman" w:cs="Times New Roman"/>
                <w:spacing w:val="-1"/>
                <w:sz w:val="20"/>
                <w:szCs w:val="20"/>
              </w:rPr>
            </w:pPr>
            <w:r w:rsidRPr="00A07F29">
              <w:rPr>
                <w:rFonts w:ascii="Times New Roman" w:eastAsia="Calibri" w:hAnsi="Times New Roman" w:cs="Times New Roman"/>
                <w:spacing w:val="-1"/>
                <w:sz w:val="20"/>
                <w:szCs w:val="20"/>
              </w:rPr>
              <w:t xml:space="preserve">Britu </w:t>
            </w:r>
            <w:proofErr w:type="spellStart"/>
            <w:r w:rsidRPr="00A07F29">
              <w:rPr>
                <w:rFonts w:ascii="Times New Roman" w:eastAsia="Calibri" w:hAnsi="Times New Roman" w:cs="Times New Roman"/>
                <w:spacing w:val="-1"/>
                <w:sz w:val="20"/>
                <w:szCs w:val="20"/>
              </w:rPr>
              <w:t>staģe</w:t>
            </w:r>
            <w:proofErr w:type="spellEnd"/>
            <w:r w:rsidRPr="00A07F29">
              <w:rPr>
                <w:rFonts w:ascii="Times New Roman" w:eastAsia="Calibri" w:hAnsi="Times New Roman" w:cs="Times New Roman"/>
                <w:spacing w:val="-1"/>
                <w:sz w:val="20"/>
                <w:szCs w:val="20"/>
              </w:rPr>
              <w:t xml:space="preserve">, </w:t>
            </w:r>
          </w:p>
          <w:p w14:paraId="2965B5C6" w14:textId="77777777" w:rsidR="002B1603" w:rsidRPr="00A07F29" w:rsidRDefault="002B1603" w:rsidP="00B649FD">
            <w:pPr>
              <w:spacing w:after="0" w:line="240" w:lineRule="auto"/>
              <w:rPr>
                <w:rFonts w:ascii="Times New Roman" w:eastAsia="Calibri" w:hAnsi="Times New Roman" w:cs="Times New Roman"/>
                <w:i/>
                <w:spacing w:val="-1"/>
                <w:sz w:val="20"/>
                <w:szCs w:val="20"/>
              </w:rPr>
            </w:pPr>
            <w:proofErr w:type="spellStart"/>
            <w:r w:rsidRPr="00A07F29">
              <w:rPr>
                <w:rFonts w:ascii="Times New Roman" w:eastAsia="Calibri" w:hAnsi="Times New Roman" w:cs="Times New Roman"/>
                <w:i/>
                <w:spacing w:val="-1"/>
                <w:sz w:val="20"/>
                <w:szCs w:val="20"/>
              </w:rPr>
              <w:t>Inula</w:t>
            </w:r>
            <w:proofErr w:type="spellEnd"/>
            <w:r w:rsidRPr="00A07F29">
              <w:rPr>
                <w:rFonts w:ascii="Times New Roman" w:eastAsia="Calibri" w:hAnsi="Times New Roman" w:cs="Times New Roman"/>
                <w:i/>
                <w:spacing w:val="-1"/>
                <w:sz w:val="20"/>
                <w:szCs w:val="20"/>
              </w:rPr>
              <w:t xml:space="preserve"> </w:t>
            </w:r>
            <w:proofErr w:type="spellStart"/>
            <w:r w:rsidRPr="00A07F29">
              <w:rPr>
                <w:rFonts w:ascii="Times New Roman" w:eastAsia="Calibri" w:hAnsi="Times New Roman" w:cs="Times New Roman"/>
                <w:i/>
                <w:spacing w:val="-1"/>
                <w:sz w:val="20"/>
                <w:szCs w:val="20"/>
              </w:rPr>
              <w:t>britannica</w:t>
            </w:r>
            <w:proofErr w:type="spellEnd"/>
          </w:p>
        </w:tc>
        <w:tc>
          <w:tcPr>
            <w:tcW w:w="992" w:type="dxa"/>
          </w:tcPr>
          <w:p w14:paraId="3DFB2640" w14:textId="77777777" w:rsidR="002B1603" w:rsidRPr="00A07F29" w:rsidRDefault="002B1603"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LSG (3)</w:t>
            </w:r>
          </w:p>
        </w:tc>
        <w:tc>
          <w:tcPr>
            <w:tcW w:w="2740" w:type="dxa"/>
          </w:tcPr>
          <w:p w14:paraId="66F73D5D" w14:textId="77777777" w:rsidR="002B1603" w:rsidRPr="00A07F29" w:rsidRDefault="002B1603"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color w:val="394044"/>
                <w:sz w:val="20"/>
                <w:szCs w:val="20"/>
              </w:rPr>
              <w:t>Latvijā retumis, galvenokārt upju ielejās.</w:t>
            </w:r>
          </w:p>
        </w:tc>
        <w:tc>
          <w:tcPr>
            <w:tcW w:w="2771" w:type="dxa"/>
          </w:tcPr>
          <w:p w14:paraId="35FA0A01" w14:textId="77777777" w:rsidR="002B1603" w:rsidRPr="00A07F29" w:rsidRDefault="002B1603"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 xml:space="preserve">Sugas stāvoklis AAA teritorijā ir labs. Plāna izstrādes gaitā konstatētas četras jaunas atradnēs. Suga nereti sastopama Daugavas ielejas palieņu zālājos. </w:t>
            </w:r>
          </w:p>
        </w:tc>
      </w:tr>
      <w:tr w:rsidR="002B1603" w:rsidRPr="00A07F29" w14:paraId="0C583FC2" w14:textId="77777777" w:rsidTr="00092DEE">
        <w:trPr>
          <w:jc w:val="center"/>
        </w:trPr>
        <w:tc>
          <w:tcPr>
            <w:tcW w:w="966" w:type="dxa"/>
          </w:tcPr>
          <w:p w14:paraId="4A653A63" w14:textId="0AA3DAAA" w:rsidR="002B1603" w:rsidRPr="00A07F29" w:rsidRDefault="00E970EB"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16</w:t>
            </w:r>
            <w:r w:rsidR="002B1603" w:rsidRPr="00A07F29">
              <w:rPr>
                <w:rFonts w:ascii="Times New Roman" w:eastAsia="Calibri" w:hAnsi="Times New Roman" w:cs="Times New Roman"/>
                <w:sz w:val="20"/>
                <w:szCs w:val="20"/>
              </w:rPr>
              <w:t>.</w:t>
            </w:r>
          </w:p>
        </w:tc>
        <w:tc>
          <w:tcPr>
            <w:tcW w:w="2137" w:type="dxa"/>
          </w:tcPr>
          <w:p w14:paraId="287DB7FD" w14:textId="77777777" w:rsidR="002B1603" w:rsidRPr="00A07F29" w:rsidRDefault="002B1603" w:rsidP="00B649FD">
            <w:pPr>
              <w:spacing w:after="0" w:line="240" w:lineRule="auto"/>
              <w:rPr>
                <w:rFonts w:ascii="Times New Roman" w:eastAsia="Calibri" w:hAnsi="Times New Roman" w:cs="Times New Roman"/>
                <w:spacing w:val="-1"/>
                <w:sz w:val="20"/>
                <w:szCs w:val="20"/>
              </w:rPr>
            </w:pPr>
            <w:proofErr w:type="spellStart"/>
            <w:r w:rsidRPr="00A07F29">
              <w:rPr>
                <w:rFonts w:ascii="Times New Roman" w:eastAsia="Calibri" w:hAnsi="Times New Roman" w:cs="Times New Roman"/>
                <w:spacing w:val="-1"/>
                <w:sz w:val="20"/>
                <w:szCs w:val="20"/>
              </w:rPr>
              <w:t>Sīkziedu</w:t>
            </w:r>
            <w:proofErr w:type="spellEnd"/>
            <w:r w:rsidRPr="00A07F29">
              <w:rPr>
                <w:rFonts w:ascii="Times New Roman" w:eastAsia="Calibri" w:hAnsi="Times New Roman" w:cs="Times New Roman"/>
                <w:spacing w:val="-1"/>
                <w:sz w:val="20"/>
                <w:szCs w:val="20"/>
              </w:rPr>
              <w:t xml:space="preserve"> </w:t>
            </w:r>
            <w:proofErr w:type="spellStart"/>
            <w:r w:rsidRPr="00A07F29">
              <w:rPr>
                <w:rFonts w:ascii="Times New Roman" w:eastAsia="Calibri" w:hAnsi="Times New Roman" w:cs="Times New Roman"/>
                <w:spacing w:val="-1"/>
                <w:sz w:val="20"/>
                <w:szCs w:val="20"/>
              </w:rPr>
              <w:t>neaizmirstule</w:t>
            </w:r>
            <w:proofErr w:type="spellEnd"/>
            <w:r w:rsidRPr="00A07F29">
              <w:rPr>
                <w:rFonts w:ascii="Times New Roman" w:eastAsia="Calibri" w:hAnsi="Times New Roman" w:cs="Times New Roman"/>
                <w:spacing w:val="-1"/>
                <w:sz w:val="20"/>
                <w:szCs w:val="20"/>
              </w:rPr>
              <w:t>,</w:t>
            </w:r>
          </w:p>
          <w:p w14:paraId="7A083E72" w14:textId="77777777" w:rsidR="002B1603" w:rsidRPr="00A07F29" w:rsidRDefault="002B1603" w:rsidP="00B649FD">
            <w:pPr>
              <w:spacing w:after="0" w:line="240" w:lineRule="auto"/>
              <w:rPr>
                <w:rFonts w:ascii="Times New Roman" w:eastAsia="Calibri" w:hAnsi="Times New Roman" w:cs="Times New Roman"/>
                <w:i/>
                <w:spacing w:val="-1"/>
                <w:sz w:val="20"/>
                <w:szCs w:val="20"/>
              </w:rPr>
            </w:pPr>
            <w:proofErr w:type="spellStart"/>
            <w:r w:rsidRPr="00A07F29">
              <w:rPr>
                <w:rFonts w:ascii="Times New Roman" w:eastAsia="Calibri" w:hAnsi="Times New Roman" w:cs="Times New Roman"/>
                <w:i/>
                <w:spacing w:val="-1"/>
                <w:sz w:val="20"/>
                <w:szCs w:val="20"/>
              </w:rPr>
              <w:t>Myosotis</w:t>
            </w:r>
            <w:proofErr w:type="spellEnd"/>
            <w:r w:rsidRPr="00A07F29">
              <w:rPr>
                <w:rFonts w:ascii="Times New Roman" w:eastAsia="Calibri" w:hAnsi="Times New Roman" w:cs="Times New Roman"/>
                <w:i/>
                <w:spacing w:val="-1"/>
                <w:sz w:val="20"/>
                <w:szCs w:val="20"/>
              </w:rPr>
              <w:t xml:space="preserve"> </w:t>
            </w:r>
            <w:proofErr w:type="spellStart"/>
            <w:r w:rsidRPr="00A07F29">
              <w:rPr>
                <w:rFonts w:ascii="Times New Roman" w:eastAsia="Calibri" w:hAnsi="Times New Roman" w:cs="Times New Roman"/>
                <w:i/>
                <w:spacing w:val="-1"/>
                <w:sz w:val="20"/>
                <w:szCs w:val="20"/>
              </w:rPr>
              <w:t>sparsiflora</w:t>
            </w:r>
            <w:proofErr w:type="spellEnd"/>
          </w:p>
        </w:tc>
        <w:tc>
          <w:tcPr>
            <w:tcW w:w="992" w:type="dxa"/>
          </w:tcPr>
          <w:p w14:paraId="29509DF1" w14:textId="77777777" w:rsidR="002B1603" w:rsidRPr="00A07F29" w:rsidRDefault="002B1603"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LSG (3)</w:t>
            </w:r>
          </w:p>
        </w:tc>
        <w:tc>
          <w:tcPr>
            <w:tcW w:w="2740" w:type="dxa"/>
          </w:tcPr>
          <w:p w14:paraId="14C7EA37" w14:textId="77777777" w:rsidR="002B1603" w:rsidRPr="00A07F29" w:rsidRDefault="002B1603"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color w:val="394044"/>
                <w:sz w:val="20"/>
                <w:szCs w:val="20"/>
              </w:rPr>
              <w:t>Latvijā reti, galvenokārt Daugavas ielejā.</w:t>
            </w:r>
          </w:p>
        </w:tc>
        <w:tc>
          <w:tcPr>
            <w:tcW w:w="2771" w:type="dxa"/>
          </w:tcPr>
          <w:p w14:paraId="5470F448" w14:textId="5D062A77" w:rsidR="002B1603" w:rsidRPr="00A07F29" w:rsidRDefault="00BF0E06"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DA plāna</w:t>
            </w:r>
            <w:r w:rsidR="002B1603" w:rsidRPr="00A07F29">
              <w:rPr>
                <w:rFonts w:ascii="Times New Roman" w:eastAsia="Calibri" w:hAnsi="Times New Roman" w:cs="Times New Roman"/>
                <w:sz w:val="20"/>
                <w:szCs w:val="20"/>
              </w:rPr>
              <w:t xml:space="preserve"> izstrādes gaitā suga netika konstatēta. Sugas atradnes šajā teritorijā ir zināmas no 1977. un 1990.</w:t>
            </w:r>
            <w:r w:rsidR="007737D6">
              <w:rPr>
                <w:rFonts w:ascii="Times New Roman" w:eastAsia="Calibri" w:hAnsi="Times New Roman" w:cs="Times New Roman"/>
                <w:sz w:val="20"/>
                <w:szCs w:val="20"/>
              </w:rPr>
              <w:t> </w:t>
            </w:r>
            <w:r w:rsidR="002B1603" w:rsidRPr="00A07F29">
              <w:rPr>
                <w:rFonts w:ascii="Times New Roman" w:eastAsia="Calibri" w:hAnsi="Times New Roman" w:cs="Times New Roman"/>
                <w:sz w:val="20"/>
                <w:szCs w:val="20"/>
              </w:rPr>
              <w:t>gada.</w:t>
            </w:r>
          </w:p>
        </w:tc>
      </w:tr>
      <w:tr w:rsidR="002B1603" w:rsidRPr="00A07F29" w14:paraId="1F6FE2AD" w14:textId="77777777" w:rsidTr="00092DEE">
        <w:trPr>
          <w:jc w:val="center"/>
        </w:trPr>
        <w:tc>
          <w:tcPr>
            <w:tcW w:w="966" w:type="dxa"/>
          </w:tcPr>
          <w:p w14:paraId="3092A189" w14:textId="4B0874BD" w:rsidR="002B1603" w:rsidRPr="00A07F29" w:rsidRDefault="00E970EB"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17</w:t>
            </w:r>
            <w:r w:rsidR="002B1603" w:rsidRPr="00A07F29">
              <w:rPr>
                <w:rFonts w:ascii="Times New Roman" w:eastAsia="Calibri" w:hAnsi="Times New Roman" w:cs="Times New Roman"/>
                <w:sz w:val="20"/>
                <w:szCs w:val="20"/>
              </w:rPr>
              <w:t>.</w:t>
            </w:r>
          </w:p>
        </w:tc>
        <w:tc>
          <w:tcPr>
            <w:tcW w:w="2137" w:type="dxa"/>
          </w:tcPr>
          <w:p w14:paraId="044BD71F" w14:textId="77777777" w:rsidR="002B1603" w:rsidRPr="00A07F29" w:rsidRDefault="002B1603" w:rsidP="00B649FD">
            <w:pPr>
              <w:spacing w:after="0" w:line="240" w:lineRule="auto"/>
              <w:rPr>
                <w:rFonts w:ascii="Times New Roman" w:eastAsia="Calibri" w:hAnsi="Times New Roman" w:cs="Times New Roman"/>
                <w:spacing w:val="-1"/>
                <w:sz w:val="20"/>
                <w:szCs w:val="20"/>
              </w:rPr>
            </w:pPr>
            <w:r w:rsidRPr="00A07F29">
              <w:rPr>
                <w:rFonts w:ascii="Times New Roman" w:eastAsia="Calibri" w:hAnsi="Times New Roman" w:cs="Times New Roman"/>
                <w:spacing w:val="-1"/>
                <w:sz w:val="20"/>
                <w:szCs w:val="20"/>
              </w:rPr>
              <w:t xml:space="preserve">Kalnu </w:t>
            </w:r>
            <w:proofErr w:type="spellStart"/>
            <w:r w:rsidRPr="00A07F29">
              <w:rPr>
                <w:rFonts w:ascii="Times New Roman" w:eastAsia="Calibri" w:hAnsi="Times New Roman" w:cs="Times New Roman"/>
                <w:spacing w:val="-1"/>
                <w:sz w:val="20"/>
                <w:szCs w:val="20"/>
              </w:rPr>
              <w:t>rūgtdille</w:t>
            </w:r>
            <w:proofErr w:type="spellEnd"/>
            <w:r w:rsidRPr="00A07F29">
              <w:rPr>
                <w:rFonts w:ascii="Times New Roman" w:eastAsia="Calibri" w:hAnsi="Times New Roman" w:cs="Times New Roman"/>
                <w:spacing w:val="-1"/>
                <w:sz w:val="20"/>
                <w:szCs w:val="20"/>
              </w:rPr>
              <w:t>,</w:t>
            </w:r>
          </w:p>
          <w:p w14:paraId="6C886546" w14:textId="77777777" w:rsidR="002B1603" w:rsidRPr="00A07F29" w:rsidRDefault="002B1603" w:rsidP="00B649FD">
            <w:pPr>
              <w:spacing w:after="0" w:line="240" w:lineRule="auto"/>
              <w:rPr>
                <w:rFonts w:ascii="Times New Roman" w:eastAsia="Calibri" w:hAnsi="Times New Roman" w:cs="Times New Roman"/>
                <w:i/>
                <w:spacing w:val="-1"/>
                <w:sz w:val="20"/>
                <w:szCs w:val="20"/>
              </w:rPr>
            </w:pPr>
            <w:proofErr w:type="spellStart"/>
            <w:r w:rsidRPr="00A07F29">
              <w:rPr>
                <w:rFonts w:ascii="Times New Roman" w:eastAsia="Calibri" w:hAnsi="Times New Roman" w:cs="Times New Roman"/>
                <w:i/>
                <w:spacing w:val="-1"/>
                <w:sz w:val="20"/>
                <w:szCs w:val="20"/>
              </w:rPr>
              <w:t>Peucedanum</w:t>
            </w:r>
            <w:proofErr w:type="spellEnd"/>
            <w:r w:rsidRPr="00A07F29">
              <w:rPr>
                <w:rFonts w:ascii="Times New Roman" w:eastAsia="Calibri" w:hAnsi="Times New Roman" w:cs="Times New Roman"/>
                <w:i/>
                <w:spacing w:val="-1"/>
                <w:sz w:val="20"/>
                <w:szCs w:val="20"/>
              </w:rPr>
              <w:t xml:space="preserve"> </w:t>
            </w:r>
            <w:proofErr w:type="spellStart"/>
            <w:r w:rsidRPr="00A07F29">
              <w:rPr>
                <w:rFonts w:ascii="Times New Roman" w:eastAsia="Calibri" w:hAnsi="Times New Roman" w:cs="Times New Roman"/>
                <w:i/>
                <w:spacing w:val="-1"/>
                <w:sz w:val="20"/>
                <w:szCs w:val="20"/>
              </w:rPr>
              <w:t>oreoselinum</w:t>
            </w:r>
            <w:proofErr w:type="spellEnd"/>
          </w:p>
        </w:tc>
        <w:tc>
          <w:tcPr>
            <w:tcW w:w="992" w:type="dxa"/>
          </w:tcPr>
          <w:p w14:paraId="47A2244B" w14:textId="77777777" w:rsidR="002B1603" w:rsidRPr="00A07F29" w:rsidRDefault="002B1603"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LSG (3)</w:t>
            </w:r>
          </w:p>
        </w:tc>
        <w:tc>
          <w:tcPr>
            <w:tcW w:w="2740" w:type="dxa"/>
          </w:tcPr>
          <w:p w14:paraId="32572072" w14:textId="7071248D" w:rsidR="002B1603" w:rsidRPr="00A07F29" w:rsidRDefault="002B1603"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color w:val="394044"/>
                <w:sz w:val="20"/>
                <w:szCs w:val="20"/>
              </w:rPr>
              <w:t xml:space="preserve">Latvijā retumis, galvenokārt vidus un </w:t>
            </w:r>
            <w:r w:rsidR="006503AB">
              <w:rPr>
                <w:rFonts w:ascii="Times New Roman" w:eastAsia="Calibri" w:hAnsi="Times New Roman" w:cs="Times New Roman"/>
                <w:color w:val="394044"/>
                <w:sz w:val="20"/>
                <w:szCs w:val="20"/>
              </w:rPr>
              <w:t>A</w:t>
            </w:r>
            <w:r w:rsidRPr="00A07F29">
              <w:rPr>
                <w:rFonts w:ascii="Times New Roman" w:eastAsia="Calibri" w:hAnsi="Times New Roman" w:cs="Times New Roman"/>
                <w:color w:val="394044"/>
                <w:sz w:val="20"/>
                <w:szCs w:val="20"/>
              </w:rPr>
              <w:t xml:space="preserve"> daļā, it īpaši Daugavas ielejā.</w:t>
            </w:r>
          </w:p>
        </w:tc>
        <w:tc>
          <w:tcPr>
            <w:tcW w:w="2771" w:type="dxa"/>
          </w:tcPr>
          <w:p w14:paraId="53848F07" w14:textId="6FBA74B3" w:rsidR="002B1603" w:rsidRPr="00A07F29" w:rsidRDefault="002B1603"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2007., 2014. un 2018.</w:t>
            </w:r>
            <w:r w:rsidR="007737D6">
              <w:rPr>
                <w:rFonts w:ascii="Times New Roman" w:eastAsia="Calibri" w:hAnsi="Times New Roman" w:cs="Times New Roman"/>
                <w:sz w:val="20"/>
                <w:szCs w:val="20"/>
              </w:rPr>
              <w:t> </w:t>
            </w:r>
            <w:r w:rsidRPr="00A07F29">
              <w:rPr>
                <w:rFonts w:ascii="Times New Roman" w:eastAsia="Calibri" w:hAnsi="Times New Roman" w:cs="Times New Roman"/>
                <w:sz w:val="20"/>
                <w:szCs w:val="20"/>
              </w:rPr>
              <w:t xml:space="preserve">gadā konstatētās sugas atradnes AAA ir aktuālas. Sugas stāvoklis teritorijā ir apmierinošs. </w:t>
            </w:r>
          </w:p>
        </w:tc>
      </w:tr>
      <w:tr w:rsidR="002B1603" w:rsidRPr="00A07F29" w14:paraId="30CA02E9" w14:textId="77777777" w:rsidTr="00092DEE">
        <w:trPr>
          <w:jc w:val="center"/>
        </w:trPr>
        <w:tc>
          <w:tcPr>
            <w:tcW w:w="966" w:type="dxa"/>
          </w:tcPr>
          <w:p w14:paraId="2257C63D" w14:textId="1E734D5B" w:rsidR="002B1603" w:rsidRPr="00A07F29" w:rsidRDefault="00E970EB"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18</w:t>
            </w:r>
            <w:r w:rsidR="002B1603" w:rsidRPr="00A07F29">
              <w:rPr>
                <w:rFonts w:ascii="Times New Roman" w:eastAsia="Calibri" w:hAnsi="Times New Roman" w:cs="Times New Roman"/>
                <w:sz w:val="20"/>
                <w:szCs w:val="20"/>
              </w:rPr>
              <w:t>.</w:t>
            </w:r>
          </w:p>
        </w:tc>
        <w:tc>
          <w:tcPr>
            <w:tcW w:w="2137" w:type="dxa"/>
          </w:tcPr>
          <w:p w14:paraId="1C5CDF44" w14:textId="77777777" w:rsidR="002B1603" w:rsidRPr="00A07F29" w:rsidRDefault="002B1603" w:rsidP="00B649FD">
            <w:pPr>
              <w:spacing w:after="0" w:line="240" w:lineRule="auto"/>
              <w:rPr>
                <w:rFonts w:ascii="Times New Roman" w:eastAsia="Calibri" w:hAnsi="Times New Roman" w:cs="Times New Roman"/>
                <w:spacing w:val="-1"/>
                <w:sz w:val="20"/>
                <w:szCs w:val="20"/>
              </w:rPr>
            </w:pPr>
            <w:r w:rsidRPr="00A07F29">
              <w:rPr>
                <w:rFonts w:ascii="Times New Roman" w:eastAsia="Calibri" w:hAnsi="Times New Roman" w:cs="Times New Roman"/>
                <w:spacing w:val="-1"/>
                <w:sz w:val="20"/>
                <w:szCs w:val="20"/>
              </w:rPr>
              <w:t xml:space="preserve">Lielā </w:t>
            </w:r>
            <w:proofErr w:type="spellStart"/>
            <w:r w:rsidRPr="00A07F29">
              <w:rPr>
                <w:rFonts w:ascii="Times New Roman" w:eastAsia="Calibri" w:hAnsi="Times New Roman" w:cs="Times New Roman"/>
                <w:spacing w:val="-1"/>
                <w:sz w:val="20"/>
                <w:szCs w:val="20"/>
              </w:rPr>
              <w:t>noraga</w:t>
            </w:r>
            <w:proofErr w:type="spellEnd"/>
            <w:r w:rsidRPr="00A07F29">
              <w:rPr>
                <w:rFonts w:ascii="Times New Roman" w:eastAsia="Calibri" w:hAnsi="Times New Roman" w:cs="Times New Roman"/>
                <w:spacing w:val="-1"/>
                <w:sz w:val="20"/>
                <w:szCs w:val="20"/>
              </w:rPr>
              <w:t>,</w:t>
            </w:r>
          </w:p>
          <w:p w14:paraId="31EDE3A9" w14:textId="77777777" w:rsidR="002B1603" w:rsidRPr="00A07F29" w:rsidRDefault="002B1603" w:rsidP="00B649FD">
            <w:pPr>
              <w:spacing w:after="0" w:line="240" w:lineRule="auto"/>
              <w:rPr>
                <w:rFonts w:ascii="Times New Roman" w:eastAsia="Calibri" w:hAnsi="Times New Roman" w:cs="Times New Roman"/>
                <w:i/>
                <w:spacing w:val="-1"/>
                <w:sz w:val="20"/>
                <w:szCs w:val="20"/>
              </w:rPr>
            </w:pPr>
            <w:proofErr w:type="spellStart"/>
            <w:r w:rsidRPr="00A07F29">
              <w:rPr>
                <w:rFonts w:ascii="Times New Roman" w:eastAsia="Calibri" w:hAnsi="Times New Roman" w:cs="Times New Roman"/>
                <w:i/>
                <w:spacing w:val="-1"/>
                <w:sz w:val="20"/>
                <w:szCs w:val="20"/>
              </w:rPr>
              <w:t>Pimpinella</w:t>
            </w:r>
            <w:proofErr w:type="spellEnd"/>
            <w:r w:rsidRPr="00A07F29">
              <w:rPr>
                <w:rFonts w:ascii="Times New Roman" w:eastAsia="Calibri" w:hAnsi="Times New Roman" w:cs="Times New Roman"/>
                <w:i/>
                <w:spacing w:val="-1"/>
                <w:sz w:val="20"/>
                <w:szCs w:val="20"/>
              </w:rPr>
              <w:t xml:space="preserve"> major</w:t>
            </w:r>
          </w:p>
        </w:tc>
        <w:tc>
          <w:tcPr>
            <w:tcW w:w="992" w:type="dxa"/>
          </w:tcPr>
          <w:p w14:paraId="0E438777" w14:textId="77777777" w:rsidR="002B1603" w:rsidRPr="00A07F29" w:rsidRDefault="002B1603"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LSG (3)</w:t>
            </w:r>
          </w:p>
        </w:tc>
        <w:tc>
          <w:tcPr>
            <w:tcW w:w="2740" w:type="dxa"/>
          </w:tcPr>
          <w:p w14:paraId="4FB09521" w14:textId="77777777" w:rsidR="002B1603" w:rsidRPr="00A07F29" w:rsidRDefault="002B1603"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color w:val="394044"/>
                <w:sz w:val="20"/>
                <w:szCs w:val="20"/>
              </w:rPr>
              <w:t>Latvijā retumis un nevienmērīgi, pārsvarā Kurzemē.</w:t>
            </w:r>
          </w:p>
        </w:tc>
        <w:tc>
          <w:tcPr>
            <w:tcW w:w="2771" w:type="dxa"/>
          </w:tcPr>
          <w:p w14:paraId="4455F5F8" w14:textId="149B75F7" w:rsidR="002B1603" w:rsidRPr="00A07F29" w:rsidRDefault="002B1603"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AAA teritorijā zināma atradne, kas konstatēta 2007.</w:t>
            </w:r>
            <w:r w:rsidR="00A24955">
              <w:rPr>
                <w:rFonts w:ascii="Times New Roman" w:eastAsia="Calibri" w:hAnsi="Times New Roman" w:cs="Times New Roman"/>
                <w:sz w:val="20"/>
                <w:szCs w:val="20"/>
              </w:rPr>
              <w:t> </w:t>
            </w:r>
            <w:r w:rsidRPr="00A07F29">
              <w:rPr>
                <w:rFonts w:ascii="Times New Roman" w:eastAsia="Calibri" w:hAnsi="Times New Roman" w:cs="Times New Roman"/>
                <w:sz w:val="20"/>
                <w:szCs w:val="20"/>
              </w:rPr>
              <w:t>gadā. Sugas stāvoklis teritorijā ir apmierinošs.</w:t>
            </w:r>
          </w:p>
        </w:tc>
      </w:tr>
      <w:tr w:rsidR="002B1603" w:rsidRPr="00A07F29" w14:paraId="3689484C" w14:textId="77777777" w:rsidTr="00092DEE">
        <w:trPr>
          <w:jc w:val="center"/>
        </w:trPr>
        <w:tc>
          <w:tcPr>
            <w:tcW w:w="966" w:type="dxa"/>
          </w:tcPr>
          <w:p w14:paraId="50DE79FD" w14:textId="486B559A" w:rsidR="002B1603" w:rsidRPr="00A07F29" w:rsidRDefault="00E970EB"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19</w:t>
            </w:r>
            <w:r w:rsidR="002B1603" w:rsidRPr="00A07F29">
              <w:rPr>
                <w:rFonts w:ascii="Times New Roman" w:eastAsia="Calibri" w:hAnsi="Times New Roman" w:cs="Times New Roman"/>
                <w:sz w:val="20"/>
                <w:szCs w:val="20"/>
              </w:rPr>
              <w:t>.</w:t>
            </w:r>
          </w:p>
        </w:tc>
        <w:tc>
          <w:tcPr>
            <w:tcW w:w="2137" w:type="dxa"/>
          </w:tcPr>
          <w:p w14:paraId="01FAB47B" w14:textId="77777777" w:rsidR="002B1603" w:rsidRPr="00A07F29" w:rsidRDefault="002B1603" w:rsidP="00B649FD">
            <w:pPr>
              <w:spacing w:after="0" w:line="240" w:lineRule="auto"/>
              <w:rPr>
                <w:rFonts w:ascii="Times New Roman" w:eastAsia="Calibri" w:hAnsi="Times New Roman" w:cs="Times New Roman"/>
                <w:spacing w:val="-1"/>
                <w:sz w:val="20"/>
                <w:szCs w:val="20"/>
              </w:rPr>
            </w:pPr>
            <w:r w:rsidRPr="00A07F29">
              <w:rPr>
                <w:rFonts w:ascii="Times New Roman" w:eastAsia="Calibri" w:hAnsi="Times New Roman" w:cs="Times New Roman"/>
                <w:spacing w:val="-1"/>
                <w:sz w:val="20"/>
                <w:szCs w:val="20"/>
              </w:rPr>
              <w:t>Maigā sūrene,</w:t>
            </w:r>
          </w:p>
          <w:p w14:paraId="09EA96CC" w14:textId="77777777" w:rsidR="002B1603" w:rsidRPr="00A07F29" w:rsidRDefault="002B1603" w:rsidP="00B649FD">
            <w:pPr>
              <w:spacing w:after="0" w:line="240" w:lineRule="auto"/>
              <w:rPr>
                <w:rFonts w:ascii="Times New Roman" w:eastAsia="Calibri" w:hAnsi="Times New Roman" w:cs="Times New Roman"/>
                <w:i/>
                <w:spacing w:val="-1"/>
                <w:sz w:val="20"/>
                <w:szCs w:val="20"/>
              </w:rPr>
            </w:pPr>
            <w:proofErr w:type="spellStart"/>
            <w:r w:rsidRPr="00A07F29">
              <w:rPr>
                <w:rFonts w:ascii="Times New Roman" w:eastAsia="Calibri" w:hAnsi="Times New Roman" w:cs="Times New Roman"/>
                <w:i/>
                <w:spacing w:val="-1"/>
                <w:sz w:val="20"/>
                <w:szCs w:val="20"/>
              </w:rPr>
              <w:t>Polygonum</w:t>
            </w:r>
            <w:proofErr w:type="spellEnd"/>
            <w:r w:rsidRPr="00A07F29">
              <w:rPr>
                <w:rFonts w:ascii="Times New Roman" w:eastAsia="Calibri" w:hAnsi="Times New Roman" w:cs="Times New Roman"/>
                <w:i/>
                <w:spacing w:val="-1"/>
                <w:sz w:val="20"/>
                <w:szCs w:val="20"/>
              </w:rPr>
              <w:t xml:space="preserve"> </w:t>
            </w:r>
            <w:proofErr w:type="spellStart"/>
            <w:r w:rsidRPr="00A07F29">
              <w:rPr>
                <w:rFonts w:ascii="Times New Roman" w:eastAsia="Calibri" w:hAnsi="Times New Roman" w:cs="Times New Roman"/>
                <w:i/>
                <w:spacing w:val="-1"/>
                <w:sz w:val="20"/>
                <w:szCs w:val="20"/>
              </w:rPr>
              <w:t>mite</w:t>
            </w:r>
            <w:proofErr w:type="spellEnd"/>
          </w:p>
        </w:tc>
        <w:tc>
          <w:tcPr>
            <w:tcW w:w="992" w:type="dxa"/>
          </w:tcPr>
          <w:p w14:paraId="07A7C7DD" w14:textId="77777777" w:rsidR="002B1603" w:rsidRPr="00A07F29" w:rsidRDefault="002B1603"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LSG (3)</w:t>
            </w:r>
          </w:p>
        </w:tc>
        <w:tc>
          <w:tcPr>
            <w:tcW w:w="2740" w:type="dxa"/>
          </w:tcPr>
          <w:p w14:paraId="4AAB12C9" w14:textId="77777777" w:rsidR="002B1603" w:rsidRPr="00A07F29" w:rsidRDefault="002B1603"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color w:val="394044"/>
                <w:sz w:val="20"/>
                <w:szCs w:val="20"/>
              </w:rPr>
              <w:t>Latvijā reti, galvenokārt Rīgas un Jūrmalas apkārtnē.</w:t>
            </w:r>
          </w:p>
        </w:tc>
        <w:tc>
          <w:tcPr>
            <w:tcW w:w="2771" w:type="dxa"/>
          </w:tcPr>
          <w:p w14:paraId="1FFC8BBB" w14:textId="4DA4E3B8" w:rsidR="002B1603" w:rsidRPr="00A07F29" w:rsidRDefault="00BF0E06"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DA plāna</w:t>
            </w:r>
            <w:r w:rsidR="002B1603" w:rsidRPr="00A07F29">
              <w:rPr>
                <w:rFonts w:ascii="Times New Roman" w:eastAsia="Calibri" w:hAnsi="Times New Roman" w:cs="Times New Roman"/>
                <w:sz w:val="20"/>
                <w:szCs w:val="20"/>
              </w:rPr>
              <w:t xml:space="preserve"> izstrādes gaitā suga netika konstatēta. Nav precīzākas informācijas par sugas iespējamo atrašanu šajā teritorijā. </w:t>
            </w:r>
          </w:p>
        </w:tc>
      </w:tr>
      <w:tr w:rsidR="002B1603" w:rsidRPr="00A07F29" w14:paraId="5A1B2875" w14:textId="77777777" w:rsidTr="00092DEE">
        <w:trPr>
          <w:jc w:val="center"/>
        </w:trPr>
        <w:tc>
          <w:tcPr>
            <w:tcW w:w="966" w:type="dxa"/>
          </w:tcPr>
          <w:p w14:paraId="4BA74A66" w14:textId="58BFE1F7" w:rsidR="002B1603" w:rsidRPr="00A07F29" w:rsidRDefault="00E970EB"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20</w:t>
            </w:r>
            <w:r w:rsidR="002B1603" w:rsidRPr="00A07F29">
              <w:rPr>
                <w:rFonts w:ascii="Times New Roman" w:eastAsia="Calibri" w:hAnsi="Times New Roman" w:cs="Times New Roman"/>
                <w:sz w:val="20"/>
                <w:szCs w:val="20"/>
              </w:rPr>
              <w:t>.</w:t>
            </w:r>
          </w:p>
        </w:tc>
        <w:tc>
          <w:tcPr>
            <w:tcW w:w="2137" w:type="dxa"/>
          </w:tcPr>
          <w:p w14:paraId="6BDE0D22" w14:textId="77777777" w:rsidR="002B1603" w:rsidRPr="00A07F29" w:rsidRDefault="002B1603" w:rsidP="00B649FD">
            <w:pPr>
              <w:spacing w:after="0" w:line="240" w:lineRule="auto"/>
              <w:rPr>
                <w:rFonts w:ascii="Times New Roman" w:eastAsia="Calibri" w:hAnsi="Times New Roman" w:cs="Times New Roman"/>
                <w:spacing w:val="-1"/>
                <w:sz w:val="20"/>
                <w:szCs w:val="20"/>
              </w:rPr>
            </w:pPr>
            <w:r w:rsidRPr="00A07F29">
              <w:rPr>
                <w:rFonts w:ascii="Times New Roman" w:eastAsia="Calibri" w:hAnsi="Times New Roman" w:cs="Times New Roman"/>
                <w:spacing w:val="-1"/>
                <w:sz w:val="20"/>
                <w:szCs w:val="20"/>
              </w:rPr>
              <w:t>Iesārtā glīvene,</w:t>
            </w:r>
          </w:p>
          <w:p w14:paraId="40AAC8A3" w14:textId="77777777" w:rsidR="002B1603" w:rsidRPr="00A07F29" w:rsidRDefault="002B1603" w:rsidP="00B649FD">
            <w:pPr>
              <w:spacing w:after="0" w:line="240" w:lineRule="auto"/>
              <w:rPr>
                <w:rFonts w:ascii="Times New Roman" w:eastAsia="Calibri" w:hAnsi="Times New Roman" w:cs="Times New Roman"/>
                <w:i/>
                <w:spacing w:val="-1"/>
                <w:sz w:val="20"/>
                <w:szCs w:val="20"/>
              </w:rPr>
            </w:pPr>
            <w:proofErr w:type="spellStart"/>
            <w:r w:rsidRPr="00A07F29">
              <w:rPr>
                <w:rFonts w:ascii="Times New Roman" w:eastAsia="Calibri" w:hAnsi="Times New Roman" w:cs="Times New Roman"/>
                <w:i/>
                <w:spacing w:val="-1"/>
                <w:sz w:val="20"/>
                <w:szCs w:val="20"/>
              </w:rPr>
              <w:t>Potamogeton</w:t>
            </w:r>
            <w:proofErr w:type="spellEnd"/>
            <w:r w:rsidRPr="00A07F29">
              <w:rPr>
                <w:rFonts w:ascii="Times New Roman" w:eastAsia="Calibri" w:hAnsi="Times New Roman" w:cs="Times New Roman"/>
                <w:i/>
                <w:spacing w:val="-1"/>
                <w:sz w:val="20"/>
                <w:szCs w:val="20"/>
              </w:rPr>
              <w:t xml:space="preserve"> </w:t>
            </w:r>
            <w:proofErr w:type="spellStart"/>
            <w:r w:rsidRPr="00A07F29">
              <w:rPr>
                <w:rFonts w:ascii="Times New Roman" w:eastAsia="Calibri" w:hAnsi="Times New Roman" w:cs="Times New Roman"/>
                <w:i/>
                <w:spacing w:val="-1"/>
                <w:sz w:val="20"/>
                <w:szCs w:val="20"/>
              </w:rPr>
              <w:t>rutilus</w:t>
            </w:r>
            <w:proofErr w:type="spellEnd"/>
          </w:p>
        </w:tc>
        <w:tc>
          <w:tcPr>
            <w:tcW w:w="992" w:type="dxa"/>
          </w:tcPr>
          <w:p w14:paraId="72DFF5A5" w14:textId="77777777" w:rsidR="002B1603" w:rsidRPr="00A07F29" w:rsidRDefault="002B1603"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LSG (3)</w:t>
            </w:r>
          </w:p>
        </w:tc>
        <w:tc>
          <w:tcPr>
            <w:tcW w:w="2740" w:type="dxa"/>
          </w:tcPr>
          <w:p w14:paraId="14DFB261" w14:textId="62AC74BA" w:rsidR="002B1603" w:rsidRPr="00A07F29" w:rsidRDefault="002B1603"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color w:val="394044"/>
                <w:sz w:val="20"/>
                <w:szCs w:val="20"/>
              </w:rPr>
              <w:t xml:space="preserve">Latvijā </w:t>
            </w:r>
            <w:r w:rsidR="005F3ACE" w:rsidRPr="00A07F29">
              <w:rPr>
                <w:rFonts w:ascii="Times New Roman" w:eastAsia="Calibri" w:hAnsi="Times New Roman" w:cs="Times New Roman"/>
                <w:color w:val="394044"/>
                <w:sz w:val="20"/>
                <w:szCs w:val="20"/>
              </w:rPr>
              <w:t xml:space="preserve">satopama diezgan </w:t>
            </w:r>
            <w:r w:rsidR="006319BB" w:rsidRPr="00A07F29">
              <w:rPr>
                <w:rFonts w:ascii="Times New Roman" w:eastAsia="Calibri" w:hAnsi="Times New Roman" w:cs="Times New Roman"/>
                <w:color w:val="394044"/>
                <w:sz w:val="20"/>
                <w:szCs w:val="20"/>
              </w:rPr>
              <w:t>reti tīros un dzidros ezeros (</w:t>
            </w:r>
            <w:proofErr w:type="spellStart"/>
            <w:r w:rsidR="006319BB" w:rsidRPr="00A07F29">
              <w:rPr>
                <w:rFonts w:ascii="Times New Roman" w:eastAsia="Calibri" w:hAnsi="Times New Roman" w:cs="Times New Roman"/>
                <w:color w:val="394044"/>
                <w:sz w:val="20"/>
                <w:szCs w:val="20"/>
              </w:rPr>
              <w:t>S</w:t>
            </w:r>
            <w:r w:rsidR="005F3ACE" w:rsidRPr="00A07F29">
              <w:rPr>
                <w:rFonts w:ascii="Times New Roman" w:eastAsia="Calibri" w:hAnsi="Times New Roman" w:cs="Times New Roman"/>
                <w:color w:val="394044"/>
                <w:sz w:val="20"/>
                <w:szCs w:val="20"/>
              </w:rPr>
              <w:t>uško</w:t>
            </w:r>
            <w:proofErr w:type="spellEnd"/>
            <w:r w:rsidR="004C0706">
              <w:rPr>
                <w:rFonts w:ascii="Times New Roman" w:eastAsia="Calibri" w:hAnsi="Times New Roman" w:cs="Times New Roman"/>
                <w:color w:val="394044"/>
                <w:sz w:val="20"/>
                <w:szCs w:val="20"/>
              </w:rPr>
              <w:t xml:space="preserve"> U.</w:t>
            </w:r>
            <w:r w:rsidR="005F3ACE" w:rsidRPr="00A07F29">
              <w:rPr>
                <w:rFonts w:ascii="Times New Roman" w:eastAsia="Calibri" w:hAnsi="Times New Roman" w:cs="Times New Roman"/>
                <w:color w:val="394044"/>
                <w:sz w:val="20"/>
                <w:szCs w:val="20"/>
              </w:rPr>
              <w:t xml:space="preserve">, 1995, </w:t>
            </w:r>
            <w:proofErr w:type="spellStart"/>
            <w:r w:rsidR="005F3ACE" w:rsidRPr="00A07F29">
              <w:rPr>
                <w:rFonts w:ascii="Times New Roman" w:eastAsia="Calibri" w:hAnsi="Times New Roman" w:cs="Times New Roman"/>
                <w:color w:val="394044"/>
                <w:sz w:val="20"/>
                <w:szCs w:val="20"/>
              </w:rPr>
              <w:t>Табака</w:t>
            </w:r>
            <w:proofErr w:type="spellEnd"/>
            <w:r w:rsidR="005F3ACE" w:rsidRPr="00A07F29">
              <w:rPr>
                <w:rFonts w:ascii="Times New Roman" w:eastAsia="Calibri" w:hAnsi="Times New Roman" w:cs="Times New Roman"/>
                <w:color w:val="394044"/>
                <w:sz w:val="20"/>
                <w:szCs w:val="20"/>
              </w:rPr>
              <w:t xml:space="preserve"> </w:t>
            </w:r>
            <w:r w:rsidR="00B62A91" w:rsidRPr="00B62A91">
              <w:rPr>
                <w:rFonts w:ascii="Times New Roman" w:eastAsia="Calibri" w:hAnsi="Times New Roman" w:cs="Times New Roman"/>
                <w:color w:val="394044"/>
                <w:sz w:val="20"/>
                <w:szCs w:val="20"/>
              </w:rPr>
              <w:t>Л.</w:t>
            </w:r>
            <w:r w:rsidR="00B62A91">
              <w:rPr>
                <w:rFonts w:ascii="Times New Roman" w:eastAsia="Calibri" w:hAnsi="Times New Roman" w:cs="Times New Roman"/>
                <w:color w:val="394044"/>
                <w:sz w:val="20"/>
                <w:szCs w:val="20"/>
              </w:rPr>
              <w:t xml:space="preserve"> </w:t>
            </w:r>
            <w:r w:rsidR="005F3ACE" w:rsidRPr="00A07F29">
              <w:rPr>
                <w:rFonts w:ascii="Times New Roman" w:eastAsia="Calibri" w:hAnsi="Times New Roman" w:cs="Times New Roman"/>
                <w:color w:val="394044"/>
                <w:sz w:val="20"/>
                <w:szCs w:val="20"/>
              </w:rPr>
              <w:t xml:space="preserve">и </w:t>
            </w:r>
            <w:proofErr w:type="spellStart"/>
            <w:r w:rsidR="005F3ACE" w:rsidRPr="00A07F29">
              <w:rPr>
                <w:rFonts w:ascii="Times New Roman" w:eastAsia="Calibri" w:hAnsi="Times New Roman" w:cs="Times New Roman"/>
                <w:color w:val="394044"/>
                <w:sz w:val="20"/>
                <w:szCs w:val="20"/>
              </w:rPr>
              <w:t>др</w:t>
            </w:r>
            <w:proofErr w:type="spellEnd"/>
            <w:r w:rsidR="005F3ACE" w:rsidRPr="00A07F29">
              <w:rPr>
                <w:rFonts w:ascii="Times New Roman" w:eastAsia="Calibri" w:hAnsi="Times New Roman" w:cs="Times New Roman"/>
                <w:color w:val="394044"/>
                <w:sz w:val="20"/>
                <w:szCs w:val="20"/>
              </w:rPr>
              <w:t>., 1988). Sugu apdraud ezeru piesārņošana un tās izraisītā eitrofikācija.</w:t>
            </w:r>
          </w:p>
        </w:tc>
        <w:tc>
          <w:tcPr>
            <w:tcW w:w="2771" w:type="dxa"/>
          </w:tcPr>
          <w:p w14:paraId="64CAFB64" w14:textId="1D5C084E" w:rsidR="002B1603" w:rsidRPr="00A07F29" w:rsidRDefault="002B1603"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AAA teritorijā 2017.</w:t>
            </w:r>
            <w:r w:rsidR="00A24955">
              <w:rPr>
                <w:rFonts w:ascii="Times New Roman" w:eastAsia="Calibri" w:hAnsi="Times New Roman" w:cs="Times New Roman"/>
                <w:sz w:val="20"/>
                <w:szCs w:val="20"/>
              </w:rPr>
              <w:t> </w:t>
            </w:r>
            <w:r w:rsidRPr="00A07F29">
              <w:rPr>
                <w:rFonts w:ascii="Times New Roman" w:eastAsia="Calibri" w:hAnsi="Times New Roman" w:cs="Times New Roman"/>
                <w:sz w:val="20"/>
                <w:szCs w:val="20"/>
              </w:rPr>
              <w:t xml:space="preserve">gadā suga konstatēta </w:t>
            </w:r>
            <w:proofErr w:type="spellStart"/>
            <w:r w:rsidR="005F3ACE" w:rsidRPr="00A07F29">
              <w:rPr>
                <w:rFonts w:ascii="Times New Roman" w:eastAsia="Calibri" w:hAnsi="Times New Roman" w:cs="Times New Roman"/>
                <w:sz w:val="20"/>
                <w:szCs w:val="20"/>
              </w:rPr>
              <w:t>Dubinka</w:t>
            </w:r>
            <w:proofErr w:type="spellEnd"/>
            <w:r w:rsidR="005F3ACE" w:rsidRPr="00A07F29">
              <w:rPr>
                <w:rFonts w:ascii="Times New Roman" w:eastAsia="Calibri" w:hAnsi="Times New Roman" w:cs="Times New Roman"/>
                <w:sz w:val="20"/>
                <w:szCs w:val="20"/>
              </w:rPr>
              <w:t xml:space="preserve">, </w:t>
            </w:r>
            <w:proofErr w:type="spellStart"/>
            <w:r w:rsidR="005F3ACE" w:rsidRPr="00A07F29">
              <w:rPr>
                <w:rFonts w:ascii="Times New Roman" w:eastAsia="Calibri" w:hAnsi="Times New Roman" w:cs="Times New Roman"/>
                <w:sz w:val="20"/>
                <w:szCs w:val="20"/>
              </w:rPr>
              <w:t>Saučenku</w:t>
            </w:r>
            <w:proofErr w:type="spellEnd"/>
            <w:r w:rsidR="005F3ACE" w:rsidRPr="00A07F29">
              <w:rPr>
                <w:rFonts w:ascii="Times New Roman" w:eastAsia="Calibri" w:hAnsi="Times New Roman" w:cs="Times New Roman"/>
                <w:sz w:val="20"/>
                <w:szCs w:val="20"/>
              </w:rPr>
              <w:t xml:space="preserve"> </w:t>
            </w:r>
            <w:proofErr w:type="spellStart"/>
            <w:r w:rsidR="005F3ACE" w:rsidRPr="00A07F29">
              <w:rPr>
                <w:rFonts w:ascii="Times New Roman" w:eastAsia="Calibri" w:hAnsi="Times New Roman" w:cs="Times New Roman"/>
                <w:sz w:val="20"/>
                <w:szCs w:val="20"/>
              </w:rPr>
              <w:t>Varnaviču</w:t>
            </w:r>
            <w:proofErr w:type="spellEnd"/>
            <w:r w:rsidR="00D65BBA" w:rsidRPr="00A07F29">
              <w:rPr>
                <w:rFonts w:ascii="Times New Roman" w:eastAsia="Calibri" w:hAnsi="Times New Roman" w:cs="Times New Roman"/>
                <w:sz w:val="20"/>
                <w:szCs w:val="20"/>
              </w:rPr>
              <w:t xml:space="preserve"> </w:t>
            </w:r>
            <w:r w:rsidRPr="00A07F29">
              <w:rPr>
                <w:rFonts w:ascii="Times New Roman" w:eastAsia="Calibri" w:hAnsi="Times New Roman" w:cs="Times New Roman"/>
                <w:sz w:val="20"/>
                <w:szCs w:val="20"/>
              </w:rPr>
              <w:t xml:space="preserve">ezeros. </w:t>
            </w:r>
          </w:p>
        </w:tc>
      </w:tr>
      <w:tr w:rsidR="002B1603" w:rsidRPr="00A07F29" w14:paraId="271705B7" w14:textId="77777777" w:rsidTr="00092DEE">
        <w:trPr>
          <w:jc w:val="center"/>
        </w:trPr>
        <w:tc>
          <w:tcPr>
            <w:tcW w:w="966" w:type="dxa"/>
          </w:tcPr>
          <w:p w14:paraId="5EEBF761" w14:textId="77965E41" w:rsidR="002B1603" w:rsidRPr="00A07F29" w:rsidRDefault="00E970EB"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21</w:t>
            </w:r>
            <w:r w:rsidR="002B1603" w:rsidRPr="00A07F29">
              <w:rPr>
                <w:rFonts w:ascii="Times New Roman" w:eastAsia="Calibri" w:hAnsi="Times New Roman" w:cs="Times New Roman"/>
                <w:sz w:val="20"/>
                <w:szCs w:val="20"/>
              </w:rPr>
              <w:t>.</w:t>
            </w:r>
          </w:p>
        </w:tc>
        <w:tc>
          <w:tcPr>
            <w:tcW w:w="2137" w:type="dxa"/>
          </w:tcPr>
          <w:p w14:paraId="1D7E2D24" w14:textId="77777777" w:rsidR="002B1603" w:rsidRPr="00A07F29" w:rsidRDefault="002B1603" w:rsidP="00B649FD">
            <w:pPr>
              <w:spacing w:after="0" w:line="240" w:lineRule="auto"/>
              <w:rPr>
                <w:rFonts w:ascii="Times New Roman" w:eastAsia="Calibri" w:hAnsi="Times New Roman" w:cs="Times New Roman"/>
                <w:spacing w:val="-1"/>
                <w:sz w:val="20"/>
                <w:szCs w:val="20"/>
              </w:rPr>
            </w:pPr>
            <w:proofErr w:type="spellStart"/>
            <w:r w:rsidRPr="00A07F29">
              <w:rPr>
                <w:rFonts w:ascii="Times New Roman" w:eastAsia="Calibri" w:hAnsi="Times New Roman" w:cs="Times New Roman"/>
                <w:spacing w:val="-1"/>
                <w:sz w:val="20"/>
                <w:szCs w:val="20"/>
              </w:rPr>
              <w:t>Šērarda</w:t>
            </w:r>
            <w:proofErr w:type="spellEnd"/>
            <w:r w:rsidRPr="00A07F29">
              <w:rPr>
                <w:rFonts w:ascii="Times New Roman" w:eastAsia="Calibri" w:hAnsi="Times New Roman" w:cs="Times New Roman"/>
                <w:spacing w:val="-1"/>
                <w:sz w:val="20"/>
                <w:szCs w:val="20"/>
              </w:rPr>
              <w:t xml:space="preserve"> roze,</w:t>
            </w:r>
          </w:p>
          <w:p w14:paraId="0C967CF2" w14:textId="77777777" w:rsidR="002B1603" w:rsidRPr="00A07F29" w:rsidRDefault="002B1603" w:rsidP="00B649FD">
            <w:pPr>
              <w:spacing w:after="0" w:line="240" w:lineRule="auto"/>
              <w:rPr>
                <w:rFonts w:ascii="Times New Roman" w:eastAsia="Calibri" w:hAnsi="Times New Roman" w:cs="Times New Roman"/>
                <w:i/>
                <w:spacing w:val="-1"/>
                <w:sz w:val="20"/>
                <w:szCs w:val="20"/>
              </w:rPr>
            </w:pPr>
            <w:r w:rsidRPr="00A07F29">
              <w:rPr>
                <w:rFonts w:ascii="Times New Roman" w:eastAsia="Calibri" w:hAnsi="Times New Roman" w:cs="Times New Roman"/>
                <w:i/>
                <w:spacing w:val="-1"/>
                <w:sz w:val="20"/>
                <w:szCs w:val="20"/>
              </w:rPr>
              <w:t xml:space="preserve">Rosa </w:t>
            </w:r>
            <w:proofErr w:type="spellStart"/>
            <w:r w:rsidRPr="00A07F29">
              <w:rPr>
                <w:rFonts w:ascii="Times New Roman" w:eastAsia="Calibri" w:hAnsi="Times New Roman" w:cs="Times New Roman"/>
                <w:i/>
                <w:spacing w:val="-1"/>
                <w:sz w:val="20"/>
                <w:szCs w:val="20"/>
              </w:rPr>
              <w:t>sherardii</w:t>
            </w:r>
            <w:proofErr w:type="spellEnd"/>
          </w:p>
        </w:tc>
        <w:tc>
          <w:tcPr>
            <w:tcW w:w="992" w:type="dxa"/>
          </w:tcPr>
          <w:p w14:paraId="0444129B" w14:textId="77777777" w:rsidR="002B1603" w:rsidRPr="00A07F29" w:rsidRDefault="002B1603"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LSG (3)</w:t>
            </w:r>
          </w:p>
        </w:tc>
        <w:tc>
          <w:tcPr>
            <w:tcW w:w="2740" w:type="dxa"/>
          </w:tcPr>
          <w:p w14:paraId="428A6ABF" w14:textId="77777777" w:rsidR="002B1603" w:rsidRPr="00A07F29" w:rsidRDefault="002B1603"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Latvijā reti un nevienmērīgi, galvenokārt valsts DA daļā.</w:t>
            </w:r>
          </w:p>
        </w:tc>
        <w:tc>
          <w:tcPr>
            <w:tcW w:w="2771" w:type="dxa"/>
          </w:tcPr>
          <w:p w14:paraId="532E0231" w14:textId="49C0DB97" w:rsidR="002B1603" w:rsidRPr="00A07F29" w:rsidRDefault="00BF0E06"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DA plāna</w:t>
            </w:r>
            <w:r w:rsidR="002B1603" w:rsidRPr="00A07F29">
              <w:rPr>
                <w:rFonts w:ascii="Times New Roman" w:eastAsia="Calibri" w:hAnsi="Times New Roman" w:cs="Times New Roman"/>
                <w:sz w:val="20"/>
                <w:szCs w:val="20"/>
              </w:rPr>
              <w:t xml:space="preserve"> izstrādes gaitā suga netika konstatēta. Teritorijā no zināmām atradnēm agrāk ievāktais herbārija materiāls neprecīzi noteikts (</w:t>
            </w:r>
            <w:r w:rsidR="002B1603" w:rsidRPr="00A07F29">
              <w:rPr>
                <w:rFonts w:ascii="Times New Roman" w:eastAsia="Calibri" w:hAnsi="Times New Roman" w:cs="Times New Roman"/>
                <w:i/>
                <w:sz w:val="20"/>
                <w:szCs w:val="20"/>
              </w:rPr>
              <w:t xml:space="preserve">Rosa </w:t>
            </w:r>
            <w:proofErr w:type="spellStart"/>
            <w:r w:rsidR="002B1603" w:rsidRPr="00A07F29">
              <w:rPr>
                <w:rFonts w:ascii="Times New Roman" w:eastAsia="Calibri" w:hAnsi="Times New Roman" w:cs="Times New Roman"/>
                <w:i/>
                <w:sz w:val="20"/>
                <w:szCs w:val="20"/>
              </w:rPr>
              <w:t>tomentosa</w:t>
            </w:r>
            <w:proofErr w:type="spellEnd"/>
            <w:r w:rsidR="002B1603" w:rsidRPr="00A07F29">
              <w:rPr>
                <w:rFonts w:ascii="Times New Roman" w:eastAsia="Calibri" w:hAnsi="Times New Roman" w:cs="Times New Roman"/>
                <w:sz w:val="20"/>
                <w:szCs w:val="20"/>
              </w:rPr>
              <w:t>).</w:t>
            </w:r>
          </w:p>
        </w:tc>
      </w:tr>
      <w:tr w:rsidR="006319BB" w:rsidRPr="00A07F29" w14:paraId="0D7F64DB" w14:textId="77777777" w:rsidTr="00092DEE">
        <w:trPr>
          <w:jc w:val="center"/>
        </w:trPr>
        <w:tc>
          <w:tcPr>
            <w:tcW w:w="966" w:type="dxa"/>
          </w:tcPr>
          <w:p w14:paraId="6466680D" w14:textId="20C15C51" w:rsidR="006319BB" w:rsidRPr="00A07F29" w:rsidRDefault="00E970EB"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22.</w:t>
            </w:r>
          </w:p>
        </w:tc>
        <w:tc>
          <w:tcPr>
            <w:tcW w:w="2137" w:type="dxa"/>
          </w:tcPr>
          <w:p w14:paraId="72BBE348" w14:textId="77777777" w:rsidR="006319BB" w:rsidRPr="00A07F29" w:rsidRDefault="006319BB" w:rsidP="00B649FD">
            <w:pPr>
              <w:spacing w:after="0" w:line="240" w:lineRule="auto"/>
              <w:rPr>
                <w:rFonts w:ascii="Times New Roman" w:eastAsia="Calibri" w:hAnsi="Times New Roman" w:cs="Times New Roman"/>
                <w:spacing w:val="-1"/>
                <w:sz w:val="20"/>
                <w:szCs w:val="20"/>
              </w:rPr>
            </w:pPr>
            <w:r w:rsidRPr="00A07F29">
              <w:rPr>
                <w:rFonts w:ascii="Times New Roman" w:eastAsia="Calibri" w:hAnsi="Times New Roman" w:cs="Times New Roman"/>
                <w:spacing w:val="-1"/>
                <w:sz w:val="20"/>
                <w:szCs w:val="20"/>
              </w:rPr>
              <w:t>Sakņojošais meldrs,</w:t>
            </w:r>
          </w:p>
          <w:p w14:paraId="47B2AAD1" w14:textId="0A3F87B0" w:rsidR="006319BB" w:rsidRPr="00A07F29" w:rsidRDefault="006319BB" w:rsidP="00B649FD">
            <w:pPr>
              <w:spacing w:after="0" w:line="240" w:lineRule="auto"/>
              <w:rPr>
                <w:rFonts w:ascii="Times New Roman" w:eastAsia="Calibri" w:hAnsi="Times New Roman" w:cs="Times New Roman"/>
                <w:spacing w:val="-1"/>
                <w:sz w:val="20"/>
                <w:szCs w:val="20"/>
              </w:rPr>
            </w:pPr>
            <w:proofErr w:type="spellStart"/>
            <w:r w:rsidRPr="00A07F29">
              <w:rPr>
                <w:rFonts w:ascii="Times New Roman" w:eastAsia="Calibri" w:hAnsi="Times New Roman" w:cs="Times New Roman"/>
                <w:i/>
                <w:spacing w:val="-1"/>
                <w:sz w:val="20"/>
                <w:szCs w:val="20"/>
              </w:rPr>
              <w:t>Scirpus</w:t>
            </w:r>
            <w:proofErr w:type="spellEnd"/>
            <w:r w:rsidRPr="00A07F29">
              <w:rPr>
                <w:rFonts w:ascii="Times New Roman" w:eastAsia="Calibri" w:hAnsi="Times New Roman" w:cs="Times New Roman"/>
                <w:i/>
                <w:spacing w:val="-1"/>
                <w:sz w:val="20"/>
                <w:szCs w:val="20"/>
              </w:rPr>
              <w:t xml:space="preserve"> </w:t>
            </w:r>
            <w:proofErr w:type="spellStart"/>
            <w:r w:rsidRPr="00A07F29">
              <w:rPr>
                <w:rFonts w:ascii="Times New Roman" w:eastAsia="Calibri" w:hAnsi="Times New Roman" w:cs="Times New Roman"/>
                <w:i/>
                <w:spacing w:val="-1"/>
                <w:sz w:val="20"/>
                <w:szCs w:val="20"/>
              </w:rPr>
              <w:t>radicans</w:t>
            </w:r>
            <w:proofErr w:type="spellEnd"/>
            <w:r w:rsidRPr="00A07F29">
              <w:rPr>
                <w:rFonts w:ascii="Times New Roman" w:eastAsia="Calibri" w:hAnsi="Times New Roman" w:cs="Times New Roman"/>
                <w:spacing w:val="-1"/>
                <w:sz w:val="20"/>
                <w:szCs w:val="20"/>
              </w:rPr>
              <w:t xml:space="preserve"> </w:t>
            </w:r>
          </w:p>
        </w:tc>
        <w:tc>
          <w:tcPr>
            <w:tcW w:w="992" w:type="dxa"/>
          </w:tcPr>
          <w:p w14:paraId="2C4FE393" w14:textId="26C911DB" w:rsidR="006319BB" w:rsidRPr="00A07F29" w:rsidRDefault="006319BB"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LSG (3)</w:t>
            </w:r>
          </w:p>
        </w:tc>
        <w:tc>
          <w:tcPr>
            <w:tcW w:w="2740" w:type="dxa"/>
          </w:tcPr>
          <w:p w14:paraId="0FDA5B77" w14:textId="2ED75A34" w:rsidR="006319BB" w:rsidRPr="00A07F29" w:rsidRDefault="006319BB"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pacing w:val="-1"/>
                <w:sz w:val="20"/>
                <w:szCs w:val="20"/>
              </w:rPr>
              <w:t xml:space="preserve">Latvijā sastopama diezgan reti aizaugošos </w:t>
            </w:r>
            <w:proofErr w:type="spellStart"/>
            <w:r w:rsidRPr="00A07F29">
              <w:rPr>
                <w:rFonts w:ascii="Times New Roman" w:eastAsia="Calibri" w:hAnsi="Times New Roman" w:cs="Times New Roman"/>
                <w:spacing w:val="-1"/>
                <w:sz w:val="20"/>
                <w:szCs w:val="20"/>
              </w:rPr>
              <w:t>diseitrofos</w:t>
            </w:r>
            <w:proofErr w:type="spellEnd"/>
            <w:r w:rsidRPr="00A07F29">
              <w:rPr>
                <w:rFonts w:ascii="Times New Roman" w:eastAsia="Calibri" w:hAnsi="Times New Roman" w:cs="Times New Roman"/>
                <w:spacing w:val="-1"/>
                <w:sz w:val="20"/>
                <w:szCs w:val="20"/>
              </w:rPr>
              <w:t xml:space="preserve"> ezeros un to </w:t>
            </w:r>
            <w:proofErr w:type="spellStart"/>
            <w:r w:rsidRPr="00A07F29">
              <w:rPr>
                <w:rFonts w:ascii="Times New Roman" w:eastAsia="Calibri" w:hAnsi="Times New Roman" w:cs="Times New Roman"/>
                <w:spacing w:val="-1"/>
                <w:sz w:val="20"/>
                <w:szCs w:val="20"/>
              </w:rPr>
              <w:t>nokrastu</w:t>
            </w:r>
            <w:proofErr w:type="spellEnd"/>
            <w:r w:rsidRPr="00A07F29">
              <w:rPr>
                <w:rFonts w:ascii="Times New Roman" w:eastAsia="Calibri" w:hAnsi="Times New Roman" w:cs="Times New Roman"/>
                <w:spacing w:val="-1"/>
                <w:sz w:val="20"/>
                <w:szCs w:val="20"/>
              </w:rPr>
              <w:t xml:space="preserve"> slīkšņās un krastmalās (Andrušaitis</w:t>
            </w:r>
            <w:r w:rsidR="00F85ABA">
              <w:rPr>
                <w:rFonts w:ascii="Times New Roman" w:eastAsia="Calibri" w:hAnsi="Times New Roman" w:cs="Times New Roman"/>
                <w:spacing w:val="-1"/>
                <w:sz w:val="20"/>
                <w:szCs w:val="20"/>
              </w:rPr>
              <w:t xml:space="preserve"> G.</w:t>
            </w:r>
            <w:r w:rsidRPr="00A07F29">
              <w:rPr>
                <w:rFonts w:ascii="Times New Roman" w:eastAsia="Calibri" w:hAnsi="Times New Roman" w:cs="Times New Roman"/>
                <w:spacing w:val="-1"/>
                <w:sz w:val="20"/>
                <w:szCs w:val="20"/>
              </w:rPr>
              <w:t>, 2003, Priedītis</w:t>
            </w:r>
            <w:r w:rsidR="00E26F90">
              <w:rPr>
                <w:rFonts w:ascii="Times New Roman" w:eastAsia="Calibri" w:hAnsi="Times New Roman" w:cs="Times New Roman"/>
                <w:spacing w:val="-1"/>
                <w:sz w:val="20"/>
                <w:szCs w:val="20"/>
              </w:rPr>
              <w:t xml:space="preserve"> N.</w:t>
            </w:r>
            <w:r w:rsidRPr="00A07F29">
              <w:rPr>
                <w:rFonts w:ascii="Times New Roman" w:eastAsia="Calibri" w:hAnsi="Times New Roman" w:cs="Times New Roman"/>
                <w:spacing w:val="-1"/>
                <w:sz w:val="20"/>
                <w:szCs w:val="20"/>
              </w:rPr>
              <w:t xml:space="preserve">, 2014, </w:t>
            </w:r>
            <w:proofErr w:type="spellStart"/>
            <w:r w:rsidRPr="00A07F29">
              <w:rPr>
                <w:rFonts w:ascii="Times New Roman" w:eastAsia="Calibri" w:hAnsi="Times New Roman" w:cs="Times New Roman"/>
                <w:spacing w:val="-1"/>
                <w:sz w:val="20"/>
                <w:szCs w:val="20"/>
              </w:rPr>
              <w:t>Табака</w:t>
            </w:r>
            <w:proofErr w:type="spellEnd"/>
            <w:r w:rsidRPr="00A07F29">
              <w:rPr>
                <w:rFonts w:ascii="Times New Roman" w:eastAsia="Calibri" w:hAnsi="Times New Roman" w:cs="Times New Roman"/>
                <w:spacing w:val="-1"/>
                <w:sz w:val="20"/>
                <w:szCs w:val="20"/>
              </w:rPr>
              <w:t xml:space="preserve"> </w:t>
            </w:r>
            <w:r w:rsidR="00B62A91" w:rsidRPr="00B62A91">
              <w:rPr>
                <w:rFonts w:ascii="Times New Roman" w:eastAsia="Calibri" w:hAnsi="Times New Roman" w:cs="Times New Roman"/>
                <w:spacing w:val="-1"/>
                <w:sz w:val="20"/>
                <w:szCs w:val="20"/>
              </w:rPr>
              <w:lastRenderedPageBreak/>
              <w:t>Л.</w:t>
            </w:r>
            <w:r w:rsidR="00B62A91">
              <w:rPr>
                <w:rFonts w:ascii="Times New Roman" w:eastAsia="Calibri" w:hAnsi="Times New Roman" w:cs="Times New Roman"/>
                <w:spacing w:val="-1"/>
                <w:sz w:val="20"/>
                <w:szCs w:val="20"/>
              </w:rPr>
              <w:t xml:space="preserve"> </w:t>
            </w:r>
            <w:r w:rsidRPr="00A07F29">
              <w:rPr>
                <w:rFonts w:ascii="Times New Roman" w:eastAsia="Calibri" w:hAnsi="Times New Roman" w:cs="Times New Roman"/>
                <w:spacing w:val="-1"/>
                <w:sz w:val="20"/>
                <w:szCs w:val="20"/>
              </w:rPr>
              <w:t xml:space="preserve">и </w:t>
            </w:r>
            <w:proofErr w:type="spellStart"/>
            <w:r w:rsidRPr="00A07F29">
              <w:rPr>
                <w:rFonts w:ascii="Times New Roman" w:eastAsia="Calibri" w:hAnsi="Times New Roman" w:cs="Times New Roman"/>
                <w:spacing w:val="-1"/>
                <w:sz w:val="20"/>
                <w:szCs w:val="20"/>
              </w:rPr>
              <w:t>др</w:t>
            </w:r>
            <w:proofErr w:type="spellEnd"/>
            <w:r w:rsidRPr="00A07F29">
              <w:rPr>
                <w:rFonts w:ascii="Times New Roman" w:eastAsia="Calibri" w:hAnsi="Times New Roman" w:cs="Times New Roman"/>
                <w:spacing w:val="-1"/>
                <w:sz w:val="20"/>
                <w:szCs w:val="20"/>
              </w:rPr>
              <w:t xml:space="preserve">., 1988, </w:t>
            </w:r>
            <w:proofErr w:type="spellStart"/>
            <w:r w:rsidRPr="00A07F29">
              <w:rPr>
                <w:rFonts w:ascii="Times New Roman" w:eastAsia="Calibri" w:hAnsi="Times New Roman" w:cs="Times New Roman"/>
                <w:spacing w:val="-1"/>
                <w:sz w:val="20"/>
                <w:szCs w:val="20"/>
              </w:rPr>
              <w:t>Suško</w:t>
            </w:r>
            <w:proofErr w:type="spellEnd"/>
            <w:r w:rsidRPr="00A07F29">
              <w:rPr>
                <w:rFonts w:ascii="Times New Roman" w:eastAsia="Calibri" w:hAnsi="Times New Roman" w:cs="Times New Roman"/>
                <w:spacing w:val="-1"/>
                <w:sz w:val="20"/>
                <w:szCs w:val="20"/>
              </w:rPr>
              <w:t xml:space="preserve">, </w:t>
            </w:r>
            <w:proofErr w:type="spellStart"/>
            <w:r w:rsidRPr="00A07F29">
              <w:rPr>
                <w:rFonts w:ascii="Times New Roman" w:eastAsia="Calibri" w:hAnsi="Times New Roman" w:cs="Times New Roman"/>
                <w:spacing w:val="-1"/>
                <w:sz w:val="20"/>
                <w:szCs w:val="20"/>
              </w:rPr>
              <w:t>nepubl</w:t>
            </w:r>
            <w:proofErr w:type="spellEnd"/>
            <w:r w:rsidRPr="00A07F29">
              <w:rPr>
                <w:rFonts w:ascii="Times New Roman" w:eastAsia="Calibri" w:hAnsi="Times New Roman" w:cs="Times New Roman"/>
                <w:spacing w:val="-1"/>
                <w:sz w:val="20"/>
                <w:szCs w:val="20"/>
              </w:rPr>
              <w:t>. mat.). Sugu apdraud ezeru piesārņošana un eitrofikācijas pastiprināšanās</w:t>
            </w:r>
          </w:p>
        </w:tc>
        <w:tc>
          <w:tcPr>
            <w:tcW w:w="2771" w:type="dxa"/>
          </w:tcPr>
          <w:p w14:paraId="46F3AEA2" w14:textId="1D85E323" w:rsidR="006319BB" w:rsidRPr="00A07F29" w:rsidRDefault="006319BB"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pacing w:val="-1"/>
                <w:sz w:val="20"/>
                <w:szCs w:val="20"/>
              </w:rPr>
              <w:lastRenderedPageBreak/>
              <w:t>Suga 2019.</w:t>
            </w:r>
            <w:r w:rsidR="00AA2A41">
              <w:rPr>
                <w:rFonts w:ascii="Times New Roman" w:eastAsia="Calibri" w:hAnsi="Times New Roman" w:cs="Times New Roman"/>
                <w:spacing w:val="-1"/>
                <w:sz w:val="20"/>
                <w:szCs w:val="20"/>
              </w:rPr>
              <w:t> </w:t>
            </w:r>
            <w:r w:rsidRPr="00A07F29">
              <w:rPr>
                <w:rFonts w:ascii="Times New Roman" w:eastAsia="Calibri" w:hAnsi="Times New Roman" w:cs="Times New Roman"/>
                <w:spacing w:val="-1"/>
                <w:sz w:val="20"/>
                <w:szCs w:val="20"/>
              </w:rPr>
              <w:t xml:space="preserve">gada rudenī pirmo reizi atrasta </w:t>
            </w:r>
            <w:proofErr w:type="spellStart"/>
            <w:r w:rsidRPr="00A07F29">
              <w:rPr>
                <w:rFonts w:ascii="Times New Roman" w:eastAsia="Calibri" w:hAnsi="Times New Roman" w:cs="Times New Roman"/>
                <w:spacing w:val="-1"/>
                <w:sz w:val="20"/>
                <w:szCs w:val="20"/>
              </w:rPr>
              <w:t>Zimašu</w:t>
            </w:r>
            <w:proofErr w:type="spellEnd"/>
            <w:r w:rsidRPr="00A07F29">
              <w:rPr>
                <w:rFonts w:ascii="Times New Roman" w:eastAsia="Calibri" w:hAnsi="Times New Roman" w:cs="Times New Roman"/>
                <w:spacing w:val="-1"/>
                <w:sz w:val="20"/>
                <w:szCs w:val="20"/>
              </w:rPr>
              <w:t xml:space="preserve"> ezera </w:t>
            </w:r>
            <w:r w:rsidR="006503AB">
              <w:rPr>
                <w:rFonts w:ascii="Times New Roman" w:eastAsia="Calibri" w:hAnsi="Times New Roman" w:cs="Times New Roman"/>
                <w:spacing w:val="-1"/>
                <w:sz w:val="20"/>
                <w:szCs w:val="20"/>
              </w:rPr>
              <w:t>D</w:t>
            </w:r>
            <w:r w:rsidRPr="00A07F29">
              <w:rPr>
                <w:rFonts w:ascii="Times New Roman" w:eastAsia="Calibri" w:hAnsi="Times New Roman" w:cs="Times New Roman"/>
                <w:spacing w:val="-1"/>
                <w:sz w:val="20"/>
                <w:szCs w:val="20"/>
              </w:rPr>
              <w:t xml:space="preserve"> </w:t>
            </w:r>
            <w:proofErr w:type="spellStart"/>
            <w:r w:rsidRPr="00A07F29">
              <w:rPr>
                <w:rFonts w:ascii="Times New Roman" w:eastAsia="Calibri" w:hAnsi="Times New Roman" w:cs="Times New Roman"/>
                <w:spacing w:val="-1"/>
                <w:sz w:val="20"/>
                <w:szCs w:val="20"/>
              </w:rPr>
              <w:t>pakrastē</w:t>
            </w:r>
            <w:proofErr w:type="spellEnd"/>
            <w:r w:rsidRPr="00A07F29">
              <w:rPr>
                <w:rFonts w:ascii="Times New Roman" w:eastAsia="Calibri" w:hAnsi="Times New Roman" w:cs="Times New Roman"/>
                <w:spacing w:val="-1"/>
                <w:sz w:val="20"/>
                <w:szCs w:val="20"/>
              </w:rPr>
              <w:t xml:space="preserve"> (5</w:t>
            </w:r>
            <w:r w:rsidR="00AA2A41">
              <w:rPr>
                <w:rFonts w:ascii="Times New Roman" w:eastAsia="Calibri" w:hAnsi="Times New Roman" w:cs="Times New Roman"/>
                <w:spacing w:val="-1"/>
                <w:sz w:val="20"/>
                <w:szCs w:val="20"/>
              </w:rPr>
              <w:t> </w:t>
            </w:r>
            <w:r w:rsidRPr="00A07F29">
              <w:rPr>
                <w:rFonts w:ascii="Times New Roman" w:eastAsia="Calibri" w:hAnsi="Times New Roman" w:cs="Times New Roman"/>
                <w:spacing w:val="-1"/>
                <w:sz w:val="20"/>
                <w:szCs w:val="20"/>
              </w:rPr>
              <w:t>m</w:t>
            </w:r>
            <w:r w:rsidRPr="00A07F29">
              <w:rPr>
                <w:rFonts w:ascii="Times New Roman" w:eastAsia="Calibri" w:hAnsi="Times New Roman" w:cs="Times New Roman"/>
                <w:spacing w:val="-1"/>
                <w:sz w:val="20"/>
                <w:szCs w:val="20"/>
                <w:vertAlign w:val="superscript"/>
              </w:rPr>
              <w:t>2</w:t>
            </w:r>
            <w:r w:rsidRPr="00A07F29">
              <w:rPr>
                <w:rFonts w:ascii="Times New Roman" w:eastAsia="Calibri" w:hAnsi="Times New Roman" w:cs="Times New Roman"/>
                <w:spacing w:val="-1"/>
                <w:sz w:val="20"/>
                <w:szCs w:val="20"/>
              </w:rPr>
              <w:t xml:space="preserve"> trijās vietās) un to šobrīd nekas neapdraud.</w:t>
            </w:r>
          </w:p>
        </w:tc>
      </w:tr>
      <w:tr w:rsidR="002B1603" w:rsidRPr="00A07F29" w14:paraId="40DDEED7" w14:textId="77777777" w:rsidTr="00092DEE">
        <w:trPr>
          <w:jc w:val="center"/>
        </w:trPr>
        <w:tc>
          <w:tcPr>
            <w:tcW w:w="966" w:type="dxa"/>
          </w:tcPr>
          <w:p w14:paraId="3943173F" w14:textId="5EAAE922" w:rsidR="002B1603" w:rsidRPr="00A07F29" w:rsidRDefault="00E970EB"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23</w:t>
            </w:r>
            <w:r w:rsidR="002B1603" w:rsidRPr="00A07F29">
              <w:rPr>
                <w:rFonts w:ascii="Times New Roman" w:eastAsia="Calibri" w:hAnsi="Times New Roman" w:cs="Times New Roman"/>
                <w:sz w:val="20"/>
                <w:szCs w:val="20"/>
              </w:rPr>
              <w:t>.</w:t>
            </w:r>
          </w:p>
        </w:tc>
        <w:tc>
          <w:tcPr>
            <w:tcW w:w="2137" w:type="dxa"/>
          </w:tcPr>
          <w:p w14:paraId="5DDF9697" w14:textId="77777777" w:rsidR="002B1603" w:rsidRPr="00A07F29" w:rsidRDefault="002B1603" w:rsidP="00B649FD">
            <w:pPr>
              <w:spacing w:after="0" w:line="240" w:lineRule="auto"/>
              <w:rPr>
                <w:rFonts w:ascii="Times New Roman" w:eastAsia="Calibri" w:hAnsi="Times New Roman" w:cs="Times New Roman"/>
                <w:spacing w:val="-1"/>
                <w:sz w:val="20"/>
                <w:szCs w:val="20"/>
              </w:rPr>
            </w:pPr>
            <w:r w:rsidRPr="00A07F29">
              <w:rPr>
                <w:rFonts w:ascii="Times New Roman" w:eastAsia="Calibri" w:hAnsi="Times New Roman" w:cs="Times New Roman"/>
                <w:spacing w:val="-1"/>
                <w:sz w:val="20"/>
                <w:szCs w:val="20"/>
              </w:rPr>
              <w:t xml:space="preserve">Kalnu </w:t>
            </w:r>
            <w:proofErr w:type="spellStart"/>
            <w:r w:rsidRPr="00A07F29">
              <w:rPr>
                <w:rFonts w:ascii="Times New Roman" w:eastAsia="Calibri" w:hAnsi="Times New Roman" w:cs="Times New Roman"/>
                <w:spacing w:val="-1"/>
                <w:sz w:val="20"/>
                <w:szCs w:val="20"/>
              </w:rPr>
              <w:t>briežsakne</w:t>
            </w:r>
            <w:proofErr w:type="spellEnd"/>
            <w:r w:rsidRPr="00A07F29">
              <w:rPr>
                <w:rFonts w:ascii="Times New Roman" w:eastAsia="Calibri" w:hAnsi="Times New Roman" w:cs="Times New Roman"/>
                <w:spacing w:val="-1"/>
                <w:sz w:val="20"/>
                <w:szCs w:val="20"/>
              </w:rPr>
              <w:t xml:space="preserve">, </w:t>
            </w:r>
          </w:p>
          <w:p w14:paraId="65A0FC5D" w14:textId="77777777" w:rsidR="002B1603" w:rsidRPr="00A07F29" w:rsidRDefault="002B1603" w:rsidP="00B649FD">
            <w:pPr>
              <w:spacing w:after="0" w:line="240" w:lineRule="auto"/>
              <w:rPr>
                <w:rFonts w:ascii="Times New Roman" w:eastAsia="Calibri" w:hAnsi="Times New Roman" w:cs="Times New Roman"/>
                <w:i/>
                <w:spacing w:val="-1"/>
                <w:sz w:val="20"/>
                <w:szCs w:val="20"/>
              </w:rPr>
            </w:pPr>
            <w:proofErr w:type="spellStart"/>
            <w:r w:rsidRPr="00A07F29">
              <w:rPr>
                <w:rFonts w:ascii="Times New Roman" w:eastAsia="Calibri" w:hAnsi="Times New Roman" w:cs="Times New Roman"/>
                <w:i/>
                <w:spacing w:val="-1"/>
                <w:sz w:val="20"/>
                <w:szCs w:val="20"/>
              </w:rPr>
              <w:t>Seseli</w:t>
            </w:r>
            <w:proofErr w:type="spellEnd"/>
            <w:r w:rsidRPr="00A07F29">
              <w:rPr>
                <w:rFonts w:ascii="Times New Roman" w:eastAsia="Calibri" w:hAnsi="Times New Roman" w:cs="Times New Roman"/>
                <w:i/>
                <w:spacing w:val="-1"/>
                <w:sz w:val="20"/>
                <w:szCs w:val="20"/>
              </w:rPr>
              <w:t xml:space="preserve"> </w:t>
            </w:r>
            <w:proofErr w:type="spellStart"/>
            <w:r w:rsidRPr="00A07F29">
              <w:rPr>
                <w:rFonts w:ascii="Times New Roman" w:eastAsia="Calibri" w:hAnsi="Times New Roman" w:cs="Times New Roman"/>
                <w:i/>
                <w:spacing w:val="-1"/>
                <w:sz w:val="20"/>
                <w:szCs w:val="20"/>
              </w:rPr>
              <w:t>libanotis</w:t>
            </w:r>
            <w:proofErr w:type="spellEnd"/>
          </w:p>
        </w:tc>
        <w:tc>
          <w:tcPr>
            <w:tcW w:w="992" w:type="dxa"/>
          </w:tcPr>
          <w:p w14:paraId="6BFE6FFF" w14:textId="77777777" w:rsidR="002B1603" w:rsidRPr="00A07F29" w:rsidRDefault="002B1603"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LSG (3)</w:t>
            </w:r>
          </w:p>
        </w:tc>
        <w:tc>
          <w:tcPr>
            <w:tcW w:w="2740" w:type="dxa"/>
          </w:tcPr>
          <w:p w14:paraId="1B1B7F47" w14:textId="77777777" w:rsidR="002B1603" w:rsidRPr="00A07F29" w:rsidRDefault="002B1603"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color w:val="394044"/>
                <w:sz w:val="20"/>
                <w:szCs w:val="20"/>
              </w:rPr>
              <w:t>Latvijā retumis un nevienmērīgi, galvenokārt Daugavas, Ventas un Abavas ielejā.</w:t>
            </w:r>
          </w:p>
        </w:tc>
        <w:tc>
          <w:tcPr>
            <w:tcW w:w="2771" w:type="dxa"/>
          </w:tcPr>
          <w:p w14:paraId="08EE812A" w14:textId="45872168" w:rsidR="002B1603" w:rsidRPr="00A07F29" w:rsidRDefault="002B1603"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AAA teritorijā 2018. un 2011.</w:t>
            </w:r>
            <w:r w:rsidR="00F85ABA">
              <w:t> </w:t>
            </w:r>
            <w:r w:rsidRPr="00A07F29">
              <w:rPr>
                <w:rFonts w:ascii="Times New Roman" w:eastAsia="Calibri" w:hAnsi="Times New Roman" w:cs="Times New Roman"/>
                <w:sz w:val="20"/>
                <w:szCs w:val="20"/>
              </w:rPr>
              <w:t>gadā konstatētas jaunas atradnes, kas uzskatāmas par aktuālām DA</w:t>
            </w:r>
            <w:r w:rsidR="00F85ABA">
              <w:rPr>
                <w:rFonts w:ascii="Times New Roman" w:eastAsia="Calibri" w:hAnsi="Times New Roman" w:cs="Times New Roman"/>
                <w:sz w:val="20"/>
                <w:szCs w:val="20"/>
              </w:rPr>
              <w:t xml:space="preserve"> plāna</w:t>
            </w:r>
            <w:r w:rsidRPr="00A07F29">
              <w:rPr>
                <w:rFonts w:ascii="Times New Roman" w:eastAsia="Calibri" w:hAnsi="Times New Roman" w:cs="Times New Roman"/>
                <w:sz w:val="20"/>
                <w:szCs w:val="20"/>
              </w:rPr>
              <w:t xml:space="preserve"> izstrādē. </w:t>
            </w:r>
          </w:p>
        </w:tc>
      </w:tr>
      <w:tr w:rsidR="002B1603" w:rsidRPr="00A07F29" w14:paraId="618F7738" w14:textId="77777777" w:rsidTr="00092DEE">
        <w:trPr>
          <w:jc w:val="center"/>
        </w:trPr>
        <w:tc>
          <w:tcPr>
            <w:tcW w:w="966" w:type="dxa"/>
          </w:tcPr>
          <w:p w14:paraId="1D208BFE" w14:textId="5DBEB190" w:rsidR="002B1603" w:rsidRPr="00A07F29" w:rsidRDefault="00E970EB"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24</w:t>
            </w:r>
            <w:r w:rsidR="002B1603" w:rsidRPr="00A07F29">
              <w:rPr>
                <w:rFonts w:ascii="Times New Roman" w:eastAsia="Calibri" w:hAnsi="Times New Roman" w:cs="Times New Roman"/>
                <w:sz w:val="20"/>
                <w:szCs w:val="20"/>
              </w:rPr>
              <w:t>.</w:t>
            </w:r>
          </w:p>
        </w:tc>
        <w:tc>
          <w:tcPr>
            <w:tcW w:w="2137" w:type="dxa"/>
          </w:tcPr>
          <w:p w14:paraId="04A7599B" w14:textId="77777777" w:rsidR="002B1603" w:rsidRPr="00A07F29" w:rsidRDefault="002B1603" w:rsidP="00B649FD">
            <w:pPr>
              <w:spacing w:after="0" w:line="240" w:lineRule="auto"/>
              <w:rPr>
                <w:rFonts w:ascii="Times New Roman" w:eastAsia="Calibri" w:hAnsi="Times New Roman" w:cs="Times New Roman"/>
                <w:spacing w:val="-1"/>
                <w:sz w:val="20"/>
                <w:szCs w:val="20"/>
              </w:rPr>
            </w:pPr>
            <w:proofErr w:type="spellStart"/>
            <w:r w:rsidRPr="00A07F29">
              <w:rPr>
                <w:rFonts w:ascii="Times New Roman" w:eastAsia="Calibri" w:hAnsi="Times New Roman" w:cs="Times New Roman"/>
                <w:spacing w:val="-1"/>
                <w:sz w:val="20"/>
                <w:szCs w:val="20"/>
              </w:rPr>
              <w:t>Tatārijas</w:t>
            </w:r>
            <w:proofErr w:type="spellEnd"/>
            <w:r w:rsidRPr="00A07F29">
              <w:rPr>
                <w:rFonts w:ascii="Times New Roman" w:eastAsia="Calibri" w:hAnsi="Times New Roman" w:cs="Times New Roman"/>
                <w:spacing w:val="-1"/>
                <w:sz w:val="20"/>
                <w:szCs w:val="20"/>
              </w:rPr>
              <w:t xml:space="preserve"> plaukšķene,</w:t>
            </w:r>
          </w:p>
          <w:p w14:paraId="232549FB" w14:textId="77777777" w:rsidR="002B1603" w:rsidRPr="00A07F29" w:rsidRDefault="002B1603" w:rsidP="00B649FD">
            <w:pPr>
              <w:spacing w:after="0" w:line="240" w:lineRule="auto"/>
              <w:rPr>
                <w:rFonts w:ascii="Times New Roman" w:eastAsia="Calibri" w:hAnsi="Times New Roman" w:cs="Times New Roman"/>
                <w:i/>
                <w:spacing w:val="-1"/>
                <w:sz w:val="20"/>
                <w:szCs w:val="20"/>
              </w:rPr>
            </w:pPr>
            <w:r w:rsidRPr="00A07F29">
              <w:rPr>
                <w:rFonts w:ascii="Times New Roman" w:eastAsia="Calibri" w:hAnsi="Times New Roman" w:cs="Times New Roman"/>
                <w:i/>
                <w:spacing w:val="-1"/>
                <w:sz w:val="20"/>
                <w:szCs w:val="20"/>
              </w:rPr>
              <w:t xml:space="preserve">Silene </w:t>
            </w:r>
            <w:proofErr w:type="spellStart"/>
            <w:r w:rsidRPr="00A07F29">
              <w:rPr>
                <w:rFonts w:ascii="Times New Roman" w:eastAsia="Calibri" w:hAnsi="Times New Roman" w:cs="Times New Roman"/>
                <w:i/>
                <w:spacing w:val="-1"/>
                <w:sz w:val="20"/>
                <w:szCs w:val="20"/>
              </w:rPr>
              <w:t>tatarica</w:t>
            </w:r>
            <w:proofErr w:type="spellEnd"/>
          </w:p>
        </w:tc>
        <w:tc>
          <w:tcPr>
            <w:tcW w:w="992" w:type="dxa"/>
          </w:tcPr>
          <w:p w14:paraId="6893DE46" w14:textId="77777777" w:rsidR="002B1603" w:rsidRPr="00A07F29" w:rsidRDefault="002B1603"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LSG (3)</w:t>
            </w:r>
          </w:p>
        </w:tc>
        <w:tc>
          <w:tcPr>
            <w:tcW w:w="2740" w:type="dxa"/>
          </w:tcPr>
          <w:p w14:paraId="0BC31733" w14:textId="77777777" w:rsidR="002B1603" w:rsidRPr="00A07F29" w:rsidRDefault="002B1603"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color w:val="394044"/>
                <w:sz w:val="20"/>
                <w:szCs w:val="20"/>
              </w:rPr>
              <w:t>Latvijā reti, galvenokārt Daugavas un Gaujas ielejā. </w:t>
            </w:r>
          </w:p>
        </w:tc>
        <w:tc>
          <w:tcPr>
            <w:tcW w:w="2771" w:type="dxa"/>
          </w:tcPr>
          <w:p w14:paraId="565DA4FE" w14:textId="77777777" w:rsidR="002B1603" w:rsidRPr="00A07F29" w:rsidRDefault="002B1603"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 xml:space="preserve">Zināmas vairākas atradnes gan Daugavas labajā, gan kreisajā krastā. </w:t>
            </w:r>
          </w:p>
        </w:tc>
      </w:tr>
      <w:tr w:rsidR="002B1603" w:rsidRPr="00A07F29" w14:paraId="4AC4BDC0" w14:textId="77777777" w:rsidTr="00092DEE">
        <w:trPr>
          <w:jc w:val="center"/>
        </w:trPr>
        <w:tc>
          <w:tcPr>
            <w:tcW w:w="966" w:type="dxa"/>
          </w:tcPr>
          <w:p w14:paraId="57DD7C1B" w14:textId="77AED6F2" w:rsidR="002B1603" w:rsidRPr="00A07F29" w:rsidRDefault="00E970EB"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25</w:t>
            </w:r>
            <w:r w:rsidR="002B1603" w:rsidRPr="00A07F29">
              <w:rPr>
                <w:rFonts w:ascii="Times New Roman" w:eastAsia="Calibri" w:hAnsi="Times New Roman" w:cs="Times New Roman"/>
                <w:sz w:val="20"/>
                <w:szCs w:val="20"/>
              </w:rPr>
              <w:t>.</w:t>
            </w:r>
          </w:p>
        </w:tc>
        <w:tc>
          <w:tcPr>
            <w:tcW w:w="2137" w:type="dxa"/>
          </w:tcPr>
          <w:p w14:paraId="66EEECB3" w14:textId="77777777" w:rsidR="002B1603" w:rsidRPr="00A07F29" w:rsidRDefault="002B1603" w:rsidP="00B649FD">
            <w:pPr>
              <w:spacing w:after="0" w:line="240" w:lineRule="auto"/>
              <w:rPr>
                <w:rFonts w:ascii="Times New Roman" w:eastAsia="Calibri" w:hAnsi="Times New Roman" w:cs="Times New Roman"/>
                <w:spacing w:val="-1"/>
                <w:sz w:val="20"/>
                <w:szCs w:val="20"/>
              </w:rPr>
            </w:pPr>
            <w:proofErr w:type="spellStart"/>
            <w:r w:rsidRPr="00A07F29">
              <w:rPr>
                <w:rFonts w:ascii="Times New Roman" w:eastAsia="Calibri" w:hAnsi="Times New Roman" w:cs="Times New Roman"/>
                <w:spacing w:val="-1"/>
                <w:sz w:val="20"/>
                <w:szCs w:val="20"/>
              </w:rPr>
              <w:t>Biezlapu</w:t>
            </w:r>
            <w:proofErr w:type="spellEnd"/>
            <w:r w:rsidRPr="00A07F29">
              <w:rPr>
                <w:rFonts w:ascii="Times New Roman" w:eastAsia="Calibri" w:hAnsi="Times New Roman" w:cs="Times New Roman"/>
                <w:spacing w:val="-1"/>
                <w:sz w:val="20"/>
                <w:szCs w:val="20"/>
              </w:rPr>
              <w:t xml:space="preserve"> virza, </w:t>
            </w:r>
          </w:p>
          <w:p w14:paraId="76FB8782" w14:textId="77777777" w:rsidR="002B1603" w:rsidRPr="00A07F29" w:rsidRDefault="002B1603" w:rsidP="00B649FD">
            <w:pPr>
              <w:spacing w:after="0" w:line="240" w:lineRule="auto"/>
              <w:rPr>
                <w:rFonts w:ascii="Times New Roman" w:eastAsia="Calibri" w:hAnsi="Times New Roman" w:cs="Times New Roman"/>
                <w:i/>
                <w:spacing w:val="-1"/>
                <w:sz w:val="20"/>
                <w:szCs w:val="20"/>
              </w:rPr>
            </w:pPr>
            <w:proofErr w:type="spellStart"/>
            <w:r w:rsidRPr="00A07F29">
              <w:rPr>
                <w:rFonts w:ascii="Times New Roman" w:eastAsia="Calibri" w:hAnsi="Times New Roman" w:cs="Times New Roman"/>
                <w:i/>
                <w:spacing w:val="-1"/>
                <w:sz w:val="20"/>
                <w:szCs w:val="20"/>
              </w:rPr>
              <w:t>Stellaria</w:t>
            </w:r>
            <w:proofErr w:type="spellEnd"/>
            <w:r w:rsidRPr="00A07F29">
              <w:rPr>
                <w:rFonts w:ascii="Times New Roman" w:eastAsia="Calibri" w:hAnsi="Times New Roman" w:cs="Times New Roman"/>
                <w:i/>
                <w:spacing w:val="-1"/>
                <w:sz w:val="20"/>
                <w:szCs w:val="20"/>
              </w:rPr>
              <w:t xml:space="preserve"> </w:t>
            </w:r>
            <w:proofErr w:type="spellStart"/>
            <w:r w:rsidRPr="00A07F29">
              <w:rPr>
                <w:rFonts w:ascii="Times New Roman" w:eastAsia="Calibri" w:hAnsi="Times New Roman" w:cs="Times New Roman"/>
                <w:i/>
                <w:spacing w:val="-1"/>
                <w:sz w:val="20"/>
                <w:szCs w:val="20"/>
              </w:rPr>
              <w:t>crassifolia</w:t>
            </w:r>
            <w:proofErr w:type="spellEnd"/>
          </w:p>
        </w:tc>
        <w:tc>
          <w:tcPr>
            <w:tcW w:w="992" w:type="dxa"/>
          </w:tcPr>
          <w:p w14:paraId="2A8A896D" w14:textId="77777777" w:rsidR="002B1603" w:rsidRPr="00A07F29" w:rsidRDefault="002B1603"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LSG (3)</w:t>
            </w:r>
          </w:p>
        </w:tc>
        <w:tc>
          <w:tcPr>
            <w:tcW w:w="2740" w:type="dxa"/>
          </w:tcPr>
          <w:p w14:paraId="1FC6F689" w14:textId="4C9AEF71" w:rsidR="002B1603" w:rsidRPr="00A07F29" w:rsidRDefault="006319BB"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color w:val="394044"/>
                <w:sz w:val="20"/>
                <w:szCs w:val="20"/>
              </w:rPr>
              <w:t xml:space="preserve">Latvijā sastopama diezgan reti, galvenokārt purvainu ezeru (arī upju) </w:t>
            </w:r>
            <w:proofErr w:type="spellStart"/>
            <w:r w:rsidRPr="00A07F29">
              <w:rPr>
                <w:rFonts w:ascii="Times New Roman" w:eastAsia="Calibri" w:hAnsi="Times New Roman" w:cs="Times New Roman"/>
                <w:color w:val="394044"/>
                <w:sz w:val="20"/>
                <w:szCs w:val="20"/>
              </w:rPr>
              <w:t>nokrastu</w:t>
            </w:r>
            <w:proofErr w:type="spellEnd"/>
            <w:r w:rsidRPr="00A07F29">
              <w:rPr>
                <w:rFonts w:ascii="Times New Roman" w:eastAsia="Calibri" w:hAnsi="Times New Roman" w:cs="Times New Roman"/>
                <w:color w:val="394044"/>
                <w:sz w:val="20"/>
                <w:szCs w:val="20"/>
              </w:rPr>
              <w:t xml:space="preserve"> slīkšņās (Andrušaitis</w:t>
            </w:r>
            <w:r w:rsidR="00F85ABA">
              <w:rPr>
                <w:rFonts w:ascii="Times New Roman" w:eastAsia="Calibri" w:hAnsi="Times New Roman" w:cs="Times New Roman"/>
                <w:color w:val="394044"/>
                <w:sz w:val="20"/>
                <w:szCs w:val="20"/>
              </w:rPr>
              <w:t xml:space="preserve"> G.</w:t>
            </w:r>
            <w:r w:rsidRPr="00A07F29">
              <w:rPr>
                <w:rFonts w:ascii="Times New Roman" w:eastAsia="Calibri" w:hAnsi="Times New Roman" w:cs="Times New Roman"/>
                <w:color w:val="394044"/>
                <w:sz w:val="20"/>
                <w:szCs w:val="20"/>
              </w:rPr>
              <w:t>, 2003, Priedītis</w:t>
            </w:r>
            <w:r w:rsidR="00E26F90">
              <w:rPr>
                <w:rFonts w:ascii="Times New Roman" w:eastAsia="Calibri" w:hAnsi="Times New Roman" w:cs="Times New Roman"/>
                <w:color w:val="394044"/>
                <w:sz w:val="20"/>
                <w:szCs w:val="20"/>
              </w:rPr>
              <w:t xml:space="preserve"> N.</w:t>
            </w:r>
            <w:r w:rsidRPr="00A07F29">
              <w:rPr>
                <w:rFonts w:ascii="Times New Roman" w:eastAsia="Calibri" w:hAnsi="Times New Roman" w:cs="Times New Roman"/>
                <w:color w:val="394044"/>
                <w:sz w:val="20"/>
                <w:szCs w:val="20"/>
              </w:rPr>
              <w:t xml:space="preserve">, 2014, </w:t>
            </w:r>
            <w:proofErr w:type="spellStart"/>
            <w:r w:rsidRPr="00A07F29">
              <w:rPr>
                <w:rFonts w:ascii="Times New Roman" w:eastAsia="Calibri" w:hAnsi="Times New Roman" w:cs="Times New Roman"/>
                <w:color w:val="394044"/>
                <w:sz w:val="20"/>
                <w:szCs w:val="20"/>
              </w:rPr>
              <w:t>Табака</w:t>
            </w:r>
            <w:proofErr w:type="spellEnd"/>
            <w:r w:rsidRPr="00A07F29">
              <w:rPr>
                <w:rFonts w:ascii="Times New Roman" w:eastAsia="Calibri" w:hAnsi="Times New Roman" w:cs="Times New Roman"/>
                <w:color w:val="394044"/>
                <w:sz w:val="20"/>
                <w:szCs w:val="20"/>
              </w:rPr>
              <w:t xml:space="preserve"> </w:t>
            </w:r>
            <w:r w:rsidR="00B62A91" w:rsidRPr="00B62A91">
              <w:rPr>
                <w:rFonts w:ascii="Times New Roman" w:eastAsia="Calibri" w:hAnsi="Times New Roman" w:cs="Times New Roman"/>
                <w:color w:val="394044"/>
                <w:sz w:val="20"/>
                <w:szCs w:val="20"/>
              </w:rPr>
              <w:t>Л.</w:t>
            </w:r>
            <w:r w:rsidR="00B62A91">
              <w:rPr>
                <w:rFonts w:ascii="Times New Roman" w:eastAsia="Calibri" w:hAnsi="Times New Roman" w:cs="Times New Roman"/>
                <w:color w:val="394044"/>
                <w:sz w:val="20"/>
                <w:szCs w:val="20"/>
              </w:rPr>
              <w:t xml:space="preserve"> </w:t>
            </w:r>
            <w:r w:rsidRPr="00A07F29">
              <w:rPr>
                <w:rFonts w:ascii="Times New Roman" w:eastAsia="Calibri" w:hAnsi="Times New Roman" w:cs="Times New Roman"/>
                <w:color w:val="394044"/>
                <w:sz w:val="20"/>
                <w:szCs w:val="20"/>
              </w:rPr>
              <w:t xml:space="preserve">и </w:t>
            </w:r>
            <w:proofErr w:type="spellStart"/>
            <w:r w:rsidRPr="00A07F29">
              <w:rPr>
                <w:rFonts w:ascii="Times New Roman" w:eastAsia="Calibri" w:hAnsi="Times New Roman" w:cs="Times New Roman"/>
                <w:color w:val="394044"/>
                <w:sz w:val="20"/>
                <w:szCs w:val="20"/>
              </w:rPr>
              <w:t>др</w:t>
            </w:r>
            <w:proofErr w:type="spellEnd"/>
            <w:r w:rsidRPr="00A07F29">
              <w:rPr>
                <w:rFonts w:ascii="Times New Roman" w:eastAsia="Calibri" w:hAnsi="Times New Roman" w:cs="Times New Roman"/>
                <w:color w:val="394044"/>
                <w:sz w:val="20"/>
                <w:szCs w:val="20"/>
              </w:rPr>
              <w:t xml:space="preserve">., 1988). Sugu apdraud ezeru piesārņošana un eitrofikācijas pastiprināšanās, kā arī ezeru ūdens līmeņu izmainīšana un nosusināšana. </w:t>
            </w:r>
          </w:p>
        </w:tc>
        <w:tc>
          <w:tcPr>
            <w:tcW w:w="2771" w:type="dxa"/>
          </w:tcPr>
          <w:p w14:paraId="2EECBABD" w14:textId="04DC1E1E" w:rsidR="002B1603" w:rsidRPr="00A07F29" w:rsidRDefault="002B1603"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Sugai zināmas sešas aktuālas atradnes ezeru piekrastes slīkšņās AAA teritorijā, pēdējās no tām konstatētas 2017.</w:t>
            </w:r>
            <w:r w:rsidR="00B5320B">
              <w:rPr>
                <w:rFonts w:ascii="Times New Roman" w:eastAsia="Calibri" w:hAnsi="Times New Roman" w:cs="Times New Roman"/>
                <w:sz w:val="20"/>
                <w:szCs w:val="20"/>
              </w:rPr>
              <w:t> </w:t>
            </w:r>
            <w:r w:rsidRPr="00A07F29">
              <w:rPr>
                <w:rFonts w:ascii="Times New Roman" w:eastAsia="Calibri" w:hAnsi="Times New Roman" w:cs="Times New Roman"/>
                <w:sz w:val="20"/>
                <w:szCs w:val="20"/>
              </w:rPr>
              <w:t>gadā.</w:t>
            </w:r>
          </w:p>
        </w:tc>
      </w:tr>
      <w:tr w:rsidR="002B1603" w:rsidRPr="00A07F29" w14:paraId="03C7DBDC" w14:textId="77777777" w:rsidTr="00092DEE">
        <w:trPr>
          <w:jc w:val="center"/>
        </w:trPr>
        <w:tc>
          <w:tcPr>
            <w:tcW w:w="966" w:type="dxa"/>
          </w:tcPr>
          <w:p w14:paraId="78B04776" w14:textId="0355BF03" w:rsidR="002B1603" w:rsidRPr="00A07F29" w:rsidRDefault="00E970EB"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26</w:t>
            </w:r>
            <w:r w:rsidR="002B1603" w:rsidRPr="00A07F29">
              <w:rPr>
                <w:rFonts w:ascii="Times New Roman" w:eastAsia="Calibri" w:hAnsi="Times New Roman" w:cs="Times New Roman"/>
                <w:sz w:val="20"/>
                <w:szCs w:val="20"/>
              </w:rPr>
              <w:t>.</w:t>
            </w:r>
          </w:p>
        </w:tc>
        <w:tc>
          <w:tcPr>
            <w:tcW w:w="2137" w:type="dxa"/>
          </w:tcPr>
          <w:p w14:paraId="1DB27C78" w14:textId="77777777" w:rsidR="002B1603" w:rsidRPr="00A07F29" w:rsidRDefault="002B1603" w:rsidP="00B649FD">
            <w:pPr>
              <w:spacing w:after="0" w:line="240" w:lineRule="auto"/>
              <w:rPr>
                <w:rFonts w:ascii="Times New Roman" w:eastAsia="Calibri" w:hAnsi="Times New Roman" w:cs="Times New Roman"/>
                <w:spacing w:val="-1"/>
                <w:sz w:val="20"/>
                <w:szCs w:val="20"/>
              </w:rPr>
            </w:pPr>
            <w:r w:rsidRPr="00A07F29">
              <w:rPr>
                <w:rFonts w:ascii="Times New Roman" w:eastAsia="Calibri" w:hAnsi="Times New Roman" w:cs="Times New Roman"/>
                <w:spacing w:val="-1"/>
                <w:sz w:val="20"/>
                <w:szCs w:val="20"/>
              </w:rPr>
              <w:t>Alpu āboliņš,</w:t>
            </w:r>
          </w:p>
          <w:p w14:paraId="635DD225" w14:textId="77777777" w:rsidR="002B1603" w:rsidRPr="00A07F29" w:rsidRDefault="002B1603" w:rsidP="00B649FD">
            <w:pPr>
              <w:spacing w:after="0" w:line="240" w:lineRule="auto"/>
              <w:rPr>
                <w:rFonts w:ascii="Times New Roman" w:eastAsia="Calibri" w:hAnsi="Times New Roman" w:cs="Times New Roman"/>
                <w:i/>
                <w:spacing w:val="-1"/>
                <w:sz w:val="20"/>
                <w:szCs w:val="20"/>
              </w:rPr>
            </w:pPr>
            <w:proofErr w:type="spellStart"/>
            <w:r w:rsidRPr="00A07F29">
              <w:rPr>
                <w:rFonts w:ascii="Times New Roman" w:eastAsia="Calibri" w:hAnsi="Times New Roman" w:cs="Times New Roman"/>
                <w:i/>
                <w:spacing w:val="-1"/>
                <w:sz w:val="20"/>
                <w:szCs w:val="20"/>
              </w:rPr>
              <w:t>Trifolium</w:t>
            </w:r>
            <w:proofErr w:type="spellEnd"/>
            <w:r w:rsidRPr="00A07F29">
              <w:rPr>
                <w:rFonts w:ascii="Times New Roman" w:eastAsia="Calibri" w:hAnsi="Times New Roman" w:cs="Times New Roman"/>
                <w:i/>
                <w:spacing w:val="-1"/>
                <w:sz w:val="20"/>
                <w:szCs w:val="20"/>
              </w:rPr>
              <w:t xml:space="preserve"> </w:t>
            </w:r>
            <w:proofErr w:type="spellStart"/>
            <w:r w:rsidRPr="00A07F29">
              <w:rPr>
                <w:rFonts w:ascii="Times New Roman" w:eastAsia="Calibri" w:hAnsi="Times New Roman" w:cs="Times New Roman"/>
                <w:i/>
                <w:spacing w:val="-1"/>
                <w:sz w:val="20"/>
                <w:szCs w:val="20"/>
              </w:rPr>
              <w:t>alpestre</w:t>
            </w:r>
            <w:proofErr w:type="spellEnd"/>
            <w:r w:rsidRPr="00A07F29">
              <w:rPr>
                <w:rFonts w:ascii="Times New Roman" w:eastAsia="Calibri" w:hAnsi="Times New Roman" w:cs="Times New Roman"/>
                <w:spacing w:val="-1"/>
                <w:sz w:val="20"/>
                <w:szCs w:val="20"/>
              </w:rPr>
              <w:t xml:space="preserve"> </w:t>
            </w:r>
          </w:p>
          <w:p w14:paraId="2153CB61" w14:textId="77777777" w:rsidR="002B1603" w:rsidRPr="00A07F29" w:rsidRDefault="002B1603" w:rsidP="00B649FD">
            <w:pPr>
              <w:spacing w:after="0" w:line="240" w:lineRule="auto"/>
              <w:rPr>
                <w:rFonts w:ascii="Times New Roman" w:eastAsia="Calibri" w:hAnsi="Times New Roman" w:cs="Times New Roman"/>
                <w:i/>
                <w:spacing w:val="-1"/>
                <w:sz w:val="20"/>
                <w:szCs w:val="20"/>
              </w:rPr>
            </w:pPr>
          </w:p>
        </w:tc>
        <w:tc>
          <w:tcPr>
            <w:tcW w:w="992" w:type="dxa"/>
          </w:tcPr>
          <w:p w14:paraId="26AE1E55" w14:textId="77777777" w:rsidR="002B1603" w:rsidRPr="00A07F29" w:rsidRDefault="002B1603"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LSG (2)</w:t>
            </w:r>
          </w:p>
        </w:tc>
        <w:tc>
          <w:tcPr>
            <w:tcW w:w="2740" w:type="dxa"/>
          </w:tcPr>
          <w:p w14:paraId="00CE7168" w14:textId="77777777" w:rsidR="002B1603" w:rsidRPr="00A07F29" w:rsidRDefault="002B1603"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color w:val="394044"/>
                <w:sz w:val="20"/>
                <w:szCs w:val="20"/>
              </w:rPr>
              <w:t>Latvijā reti, pārsvarā Daugavas ielejā.</w:t>
            </w:r>
          </w:p>
        </w:tc>
        <w:tc>
          <w:tcPr>
            <w:tcW w:w="2771" w:type="dxa"/>
          </w:tcPr>
          <w:p w14:paraId="0AE1640C" w14:textId="77777777" w:rsidR="002B1603" w:rsidRPr="00A07F29" w:rsidRDefault="002B1603"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 xml:space="preserve">Sugas stāvoklis AAA teritorijā vērtējams kā labs. Suga izplatīta izklaidus visā teritorijā. Sastopams gan izklaidus, gan plašās, </w:t>
            </w:r>
            <w:proofErr w:type="spellStart"/>
            <w:r w:rsidRPr="00A07F29">
              <w:rPr>
                <w:rFonts w:ascii="Times New Roman" w:eastAsia="Calibri" w:hAnsi="Times New Roman" w:cs="Times New Roman"/>
                <w:sz w:val="20"/>
                <w:szCs w:val="20"/>
              </w:rPr>
              <w:t>daudzskaitlīgās</w:t>
            </w:r>
            <w:proofErr w:type="spellEnd"/>
            <w:r w:rsidRPr="00A07F29">
              <w:rPr>
                <w:rFonts w:ascii="Times New Roman" w:eastAsia="Calibri" w:hAnsi="Times New Roman" w:cs="Times New Roman"/>
                <w:sz w:val="20"/>
                <w:szCs w:val="20"/>
              </w:rPr>
              <w:t xml:space="preserve"> populācijās.</w:t>
            </w:r>
          </w:p>
        </w:tc>
      </w:tr>
      <w:tr w:rsidR="002B1603" w:rsidRPr="00A07F29" w14:paraId="31321671" w14:textId="77777777" w:rsidTr="00092DEE">
        <w:trPr>
          <w:jc w:val="center"/>
        </w:trPr>
        <w:tc>
          <w:tcPr>
            <w:tcW w:w="966" w:type="dxa"/>
          </w:tcPr>
          <w:p w14:paraId="254A2814" w14:textId="0B8D7676" w:rsidR="002B1603" w:rsidRPr="00A07F29" w:rsidRDefault="00E970EB"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27</w:t>
            </w:r>
            <w:r w:rsidR="002B1603" w:rsidRPr="00A07F29">
              <w:rPr>
                <w:rFonts w:ascii="Times New Roman" w:eastAsia="Calibri" w:hAnsi="Times New Roman" w:cs="Times New Roman"/>
                <w:sz w:val="20"/>
                <w:szCs w:val="20"/>
              </w:rPr>
              <w:t>.</w:t>
            </w:r>
          </w:p>
        </w:tc>
        <w:tc>
          <w:tcPr>
            <w:tcW w:w="2137" w:type="dxa"/>
          </w:tcPr>
          <w:p w14:paraId="28F05C59" w14:textId="77777777" w:rsidR="002B1603" w:rsidRPr="00A07F29" w:rsidRDefault="002B1603" w:rsidP="00B649FD">
            <w:pPr>
              <w:spacing w:after="0" w:line="240" w:lineRule="auto"/>
              <w:rPr>
                <w:rFonts w:ascii="Times New Roman" w:eastAsia="Calibri" w:hAnsi="Times New Roman" w:cs="Times New Roman"/>
                <w:spacing w:val="-1"/>
                <w:sz w:val="20"/>
                <w:szCs w:val="20"/>
              </w:rPr>
            </w:pPr>
            <w:r w:rsidRPr="00A07F29">
              <w:rPr>
                <w:rFonts w:ascii="Times New Roman" w:eastAsia="Calibri" w:hAnsi="Times New Roman" w:cs="Times New Roman"/>
                <w:spacing w:val="-1"/>
                <w:sz w:val="20"/>
                <w:szCs w:val="20"/>
              </w:rPr>
              <w:t>Sīkais āboliņš,</w:t>
            </w:r>
          </w:p>
          <w:p w14:paraId="281392B2" w14:textId="77777777" w:rsidR="002B1603" w:rsidRPr="00A07F29" w:rsidRDefault="002B1603" w:rsidP="00B649FD">
            <w:pPr>
              <w:spacing w:after="0" w:line="240" w:lineRule="auto"/>
              <w:rPr>
                <w:rFonts w:ascii="Times New Roman" w:eastAsia="Calibri" w:hAnsi="Times New Roman" w:cs="Times New Roman"/>
                <w:i/>
                <w:spacing w:val="-1"/>
                <w:sz w:val="20"/>
                <w:szCs w:val="20"/>
              </w:rPr>
            </w:pPr>
            <w:proofErr w:type="spellStart"/>
            <w:r w:rsidRPr="00A07F29">
              <w:rPr>
                <w:rFonts w:ascii="Times New Roman" w:eastAsia="Calibri" w:hAnsi="Times New Roman" w:cs="Times New Roman"/>
                <w:i/>
                <w:spacing w:val="-1"/>
                <w:sz w:val="20"/>
                <w:szCs w:val="20"/>
              </w:rPr>
              <w:t>Trifolium</w:t>
            </w:r>
            <w:proofErr w:type="spellEnd"/>
            <w:r w:rsidRPr="00A07F29">
              <w:rPr>
                <w:rFonts w:ascii="Times New Roman" w:eastAsia="Calibri" w:hAnsi="Times New Roman" w:cs="Times New Roman"/>
                <w:i/>
                <w:spacing w:val="-1"/>
                <w:sz w:val="20"/>
                <w:szCs w:val="20"/>
              </w:rPr>
              <w:t xml:space="preserve"> </w:t>
            </w:r>
            <w:proofErr w:type="spellStart"/>
            <w:r w:rsidRPr="00A07F29">
              <w:rPr>
                <w:rFonts w:ascii="Times New Roman" w:eastAsia="Calibri" w:hAnsi="Times New Roman" w:cs="Times New Roman"/>
                <w:i/>
                <w:spacing w:val="-1"/>
                <w:sz w:val="20"/>
                <w:szCs w:val="20"/>
              </w:rPr>
              <w:t>dubium</w:t>
            </w:r>
            <w:proofErr w:type="spellEnd"/>
          </w:p>
        </w:tc>
        <w:tc>
          <w:tcPr>
            <w:tcW w:w="992" w:type="dxa"/>
          </w:tcPr>
          <w:p w14:paraId="11EF7605" w14:textId="77777777" w:rsidR="002B1603" w:rsidRPr="00A07F29" w:rsidRDefault="002B1603"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LSG (3)</w:t>
            </w:r>
          </w:p>
        </w:tc>
        <w:tc>
          <w:tcPr>
            <w:tcW w:w="2740" w:type="dxa"/>
          </w:tcPr>
          <w:p w14:paraId="2A8F5441" w14:textId="77777777" w:rsidR="002B1603" w:rsidRPr="00A07F29" w:rsidRDefault="002B1603"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color w:val="394044"/>
                <w:sz w:val="20"/>
                <w:szCs w:val="20"/>
              </w:rPr>
              <w:t>Latvijā reti.</w:t>
            </w:r>
          </w:p>
        </w:tc>
        <w:tc>
          <w:tcPr>
            <w:tcW w:w="2771" w:type="dxa"/>
          </w:tcPr>
          <w:p w14:paraId="57A006CF" w14:textId="35778D40" w:rsidR="002B1603" w:rsidRPr="00A07F29" w:rsidRDefault="002B1603"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2017.</w:t>
            </w:r>
            <w:r w:rsidR="00B5320B">
              <w:rPr>
                <w:rFonts w:ascii="Times New Roman" w:eastAsia="Calibri" w:hAnsi="Times New Roman" w:cs="Times New Roman"/>
                <w:sz w:val="20"/>
                <w:szCs w:val="20"/>
              </w:rPr>
              <w:t> </w:t>
            </w:r>
            <w:r w:rsidRPr="00A07F29">
              <w:rPr>
                <w:rFonts w:ascii="Times New Roman" w:eastAsia="Calibri" w:hAnsi="Times New Roman" w:cs="Times New Roman"/>
                <w:sz w:val="20"/>
                <w:szCs w:val="20"/>
              </w:rPr>
              <w:t>gadā sugai AAA teritorijā pirmoreiz konstatētas divas atradnes.</w:t>
            </w:r>
          </w:p>
        </w:tc>
      </w:tr>
      <w:tr w:rsidR="002B1603" w:rsidRPr="00A07F29" w14:paraId="3DCAFB27" w14:textId="77777777" w:rsidTr="00092DEE">
        <w:trPr>
          <w:jc w:val="center"/>
        </w:trPr>
        <w:tc>
          <w:tcPr>
            <w:tcW w:w="966" w:type="dxa"/>
          </w:tcPr>
          <w:p w14:paraId="6993CA1C" w14:textId="4D065253" w:rsidR="002B1603" w:rsidRPr="00A07F29" w:rsidRDefault="00E970EB"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28</w:t>
            </w:r>
            <w:r w:rsidR="002B1603" w:rsidRPr="00A07F29">
              <w:rPr>
                <w:rFonts w:ascii="Times New Roman" w:eastAsia="Calibri" w:hAnsi="Times New Roman" w:cs="Times New Roman"/>
                <w:sz w:val="20"/>
                <w:szCs w:val="20"/>
              </w:rPr>
              <w:t>.</w:t>
            </w:r>
          </w:p>
        </w:tc>
        <w:tc>
          <w:tcPr>
            <w:tcW w:w="2137" w:type="dxa"/>
          </w:tcPr>
          <w:p w14:paraId="65BD84F0" w14:textId="77777777" w:rsidR="002B1603" w:rsidRPr="00A07F29" w:rsidRDefault="002B1603" w:rsidP="00B649FD">
            <w:pPr>
              <w:spacing w:after="0" w:line="240" w:lineRule="auto"/>
              <w:rPr>
                <w:rFonts w:ascii="Times New Roman" w:eastAsia="Calibri" w:hAnsi="Times New Roman" w:cs="Times New Roman"/>
                <w:spacing w:val="-1"/>
                <w:sz w:val="20"/>
                <w:szCs w:val="20"/>
              </w:rPr>
            </w:pPr>
            <w:proofErr w:type="spellStart"/>
            <w:r w:rsidRPr="00A07F29">
              <w:rPr>
                <w:rFonts w:ascii="Times New Roman" w:eastAsia="Calibri" w:hAnsi="Times New Roman" w:cs="Times New Roman"/>
                <w:spacing w:val="-1"/>
                <w:sz w:val="20"/>
                <w:szCs w:val="20"/>
              </w:rPr>
              <w:t>Šaurlapu</w:t>
            </w:r>
            <w:proofErr w:type="spellEnd"/>
            <w:r w:rsidRPr="00A07F29">
              <w:rPr>
                <w:rFonts w:ascii="Times New Roman" w:eastAsia="Calibri" w:hAnsi="Times New Roman" w:cs="Times New Roman"/>
                <w:spacing w:val="-1"/>
                <w:sz w:val="20"/>
                <w:szCs w:val="20"/>
              </w:rPr>
              <w:t xml:space="preserve"> vīķis, </w:t>
            </w:r>
          </w:p>
          <w:p w14:paraId="32A1D330" w14:textId="77777777" w:rsidR="002B1603" w:rsidRPr="00A07F29" w:rsidRDefault="002B1603" w:rsidP="00B649FD">
            <w:pPr>
              <w:spacing w:after="0" w:line="240" w:lineRule="auto"/>
              <w:rPr>
                <w:rFonts w:ascii="Times New Roman" w:eastAsia="Calibri" w:hAnsi="Times New Roman" w:cs="Times New Roman"/>
                <w:i/>
                <w:spacing w:val="-1"/>
                <w:sz w:val="20"/>
                <w:szCs w:val="20"/>
              </w:rPr>
            </w:pPr>
            <w:proofErr w:type="spellStart"/>
            <w:r w:rsidRPr="00A07F29">
              <w:rPr>
                <w:rFonts w:ascii="Times New Roman" w:eastAsia="Calibri" w:hAnsi="Times New Roman" w:cs="Times New Roman"/>
                <w:i/>
                <w:spacing w:val="-1"/>
                <w:sz w:val="20"/>
                <w:szCs w:val="20"/>
              </w:rPr>
              <w:t>Vicia</w:t>
            </w:r>
            <w:proofErr w:type="spellEnd"/>
            <w:r w:rsidRPr="00A07F29">
              <w:rPr>
                <w:rFonts w:ascii="Times New Roman" w:eastAsia="Calibri" w:hAnsi="Times New Roman" w:cs="Times New Roman"/>
                <w:i/>
                <w:spacing w:val="-1"/>
                <w:sz w:val="20"/>
                <w:szCs w:val="20"/>
              </w:rPr>
              <w:t xml:space="preserve"> </w:t>
            </w:r>
            <w:proofErr w:type="spellStart"/>
            <w:r w:rsidRPr="00A07F29">
              <w:rPr>
                <w:rFonts w:ascii="Times New Roman" w:eastAsia="Calibri" w:hAnsi="Times New Roman" w:cs="Times New Roman"/>
                <w:i/>
                <w:spacing w:val="-1"/>
                <w:sz w:val="20"/>
                <w:szCs w:val="20"/>
              </w:rPr>
              <w:t>tenuifolia</w:t>
            </w:r>
            <w:proofErr w:type="spellEnd"/>
          </w:p>
        </w:tc>
        <w:tc>
          <w:tcPr>
            <w:tcW w:w="992" w:type="dxa"/>
          </w:tcPr>
          <w:p w14:paraId="052FB6C7" w14:textId="77777777" w:rsidR="002B1603" w:rsidRPr="00A07F29" w:rsidRDefault="002B1603"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LSG (2)</w:t>
            </w:r>
          </w:p>
        </w:tc>
        <w:tc>
          <w:tcPr>
            <w:tcW w:w="2740" w:type="dxa"/>
          </w:tcPr>
          <w:p w14:paraId="128397B5" w14:textId="2AC94255" w:rsidR="002B1603" w:rsidRPr="00A07F29" w:rsidRDefault="002B1603"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color w:val="394044"/>
                <w:sz w:val="20"/>
                <w:szCs w:val="20"/>
              </w:rPr>
              <w:t>Latvijā reti</w:t>
            </w:r>
            <w:r w:rsidR="00596B15">
              <w:rPr>
                <w:rFonts w:ascii="Times New Roman" w:eastAsia="Calibri" w:hAnsi="Times New Roman" w:cs="Times New Roman"/>
                <w:color w:val="394044"/>
                <w:sz w:val="20"/>
                <w:szCs w:val="20"/>
              </w:rPr>
              <w:t xml:space="preserve"> </w:t>
            </w:r>
            <w:r w:rsidRPr="00A07F29">
              <w:rPr>
                <w:rFonts w:ascii="Times New Roman" w:eastAsia="Calibri" w:hAnsi="Times New Roman" w:cs="Times New Roman"/>
                <w:color w:val="394044"/>
                <w:sz w:val="20"/>
                <w:szCs w:val="20"/>
              </w:rPr>
              <w:t xml:space="preserve">valsts DA un centrālajā daļā, ļoti reti vai nav sastopams </w:t>
            </w:r>
            <w:r w:rsidR="006503AB">
              <w:rPr>
                <w:rFonts w:ascii="Times New Roman" w:eastAsia="Calibri" w:hAnsi="Times New Roman" w:cs="Times New Roman"/>
                <w:color w:val="394044"/>
                <w:sz w:val="20"/>
                <w:szCs w:val="20"/>
              </w:rPr>
              <w:t>R</w:t>
            </w:r>
            <w:r w:rsidRPr="00A07F29">
              <w:rPr>
                <w:rFonts w:ascii="Times New Roman" w:eastAsia="Calibri" w:hAnsi="Times New Roman" w:cs="Times New Roman"/>
                <w:color w:val="394044"/>
                <w:sz w:val="20"/>
                <w:szCs w:val="20"/>
              </w:rPr>
              <w:t xml:space="preserve"> daļā.</w:t>
            </w:r>
          </w:p>
        </w:tc>
        <w:tc>
          <w:tcPr>
            <w:tcW w:w="2771" w:type="dxa"/>
          </w:tcPr>
          <w:p w14:paraId="5D5FC30F" w14:textId="77777777" w:rsidR="002B1603" w:rsidRPr="00A07F29" w:rsidRDefault="002B1603"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Sugas stāvoklis AAA teritorijā apmierinošs, zināmas vairākas atradnes.</w:t>
            </w:r>
          </w:p>
        </w:tc>
      </w:tr>
      <w:tr w:rsidR="002B1603" w:rsidRPr="00A07F29" w14:paraId="0E9DAB54" w14:textId="77777777" w:rsidTr="00092DEE">
        <w:trPr>
          <w:jc w:val="center"/>
        </w:trPr>
        <w:tc>
          <w:tcPr>
            <w:tcW w:w="966" w:type="dxa"/>
          </w:tcPr>
          <w:p w14:paraId="2F11E5CE" w14:textId="0691229B" w:rsidR="002B1603" w:rsidRPr="00A07F29" w:rsidRDefault="00E970EB"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29</w:t>
            </w:r>
            <w:r w:rsidR="002B1603" w:rsidRPr="00A07F29">
              <w:rPr>
                <w:rFonts w:ascii="Times New Roman" w:eastAsia="Calibri" w:hAnsi="Times New Roman" w:cs="Times New Roman"/>
                <w:sz w:val="20"/>
                <w:szCs w:val="20"/>
              </w:rPr>
              <w:t>.</w:t>
            </w:r>
          </w:p>
        </w:tc>
        <w:tc>
          <w:tcPr>
            <w:tcW w:w="2137" w:type="dxa"/>
          </w:tcPr>
          <w:p w14:paraId="5CA9D31F" w14:textId="77777777" w:rsidR="002B1603" w:rsidRPr="00A07F29" w:rsidRDefault="002B1603" w:rsidP="00B649FD">
            <w:pPr>
              <w:spacing w:after="0" w:line="240" w:lineRule="auto"/>
              <w:rPr>
                <w:rFonts w:ascii="Times New Roman" w:eastAsia="Calibri" w:hAnsi="Times New Roman" w:cs="Times New Roman"/>
                <w:spacing w:val="-1"/>
                <w:sz w:val="20"/>
                <w:szCs w:val="20"/>
              </w:rPr>
            </w:pPr>
            <w:r w:rsidRPr="00A07F29">
              <w:rPr>
                <w:rFonts w:ascii="Times New Roman" w:eastAsia="Calibri" w:hAnsi="Times New Roman" w:cs="Times New Roman"/>
                <w:spacing w:val="-1"/>
                <w:sz w:val="20"/>
                <w:szCs w:val="20"/>
              </w:rPr>
              <w:t xml:space="preserve">Ārstniecības </w:t>
            </w:r>
            <w:proofErr w:type="spellStart"/>
            <w:r w:rsidRPr="00A07F29">
              <w:rPr>
                <w:rFonts w:ascii="Times New Roman" w:eastAsia="Calibri" w:hAnsi="Times New Roman" w:cs="Times New Roman"/>
                <w:spacing w:val="-1"/>
                <w:sz w:val="20"/>
                <w:szCs w:val="20"/>
              </w:rPr>
              <w:t>indaine</w:t>
            </w:r>
            <w:proofErr w:type="spellEnd"/>
            <w:r w:rsidRPr="00A07F29">
              <w:rPr>
                <w:rFonts w:ascii="Times New Roman" w:eastAsia="Calibri" w:hAnsi="Times New Roman" w:cs="Times New Roman"/>
                <w:spacing w:val="-1"/>
                <w:sz w:val="20"/>
                <w:szCs w:val="20"/>
              </w:rPr>
              <w:t>,</w:t>
            </w:r>
          </w:p>
          <w:p w14:paraId="7A152A72" w14:textId="77777777" w:rsidR="002B1603" w:rsidRPr="00A07F29" w:rsidRDefault="002B1603" w:rsidP="00B649FD">
            <w:pPr>
              <w:spacing w:after="0" w:line="240" w:lineRule="auto"/>
              <w:rPr>
                <w:rFonts w:ascii="Times New Roman" w:eastAsia="Calibri" w:hAnsi="Times New Roman" w:cs="Times New Roman"/>
                <w:i/>
                <w:spacing w:val="-1"/>
                <w:sz w:val="20"/>
                <w:szCs w:val="20"/>
              </w:rPr>
            </w:pPr>
            <w:proofErr w:type="spellStart"/>
            <w:r w:rsidRPr="00A07F29">
              <w:rPr>
                <w:rFonts w:ascii="Times New Roman" w:eastAsia="Calibri" w:hAnsi="Times New Roman" w:cs="Times New Roman"/>
                <w:i/>
                <w:spacing w:val="-1"/>
                <w:sz w:val="20"/>
                <w:szCs w:val="20"/>
              </w:rPr>
              <w:t>Vincetoxicum</w:t>
            </w:r>
            <w:proofErr w:type="spellEnd"/>
            <w:r w:rsidRPr="00A07F29">
              <w:rPr>
                <w:rFonts w:ascii="Times New Roman" w:eastAsia="Calibri" w:hAnsi="Times New Roman" w:cs="Times New Roman"/>
                <w:i/>
                <w:spacing w:val="-1"/>
                <w:sz w:val="20"/>
                <w:szCs w:val="20"/>
              </w:rPr>
              <w:t xml:space="preserve"> </w:t>
            </w:r>
            <w:proofErr w:type="spellStart"/>
            <w:r w:rsidRPr="00A07F29">
              <w:rPr>
                <w:rFonts w:ascii="Times New Roman" w:eastAsia="Calibri" w:hAnsi="Times New Roman" w:cs="Times New Roman"/>
                <w:i/>
                <w:spacing w:val="-1"/>
                <w:sz w:val="20"/>
                <w:szCs w:val="20"/>
              </w:rPr>
              <w:t>hirundinaria</w:t>
            </w:r>
            <w:proofErr w:type="spellEnd"/>
          </w:p>
        </w:tc>
        <w:tc>
          <w:tcPr>
            <w:tcW w:w="992" w:type="dxa"/>
          </w:tcPr>
          <w:p w14:paraId="190A3D9E" w14:textId="77777777" w:rsidR="002B1603" w:rsidRPr="00A07F29" w:rsidRDefault="002B1603"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LSG (3)</w:t>
            </w:r>
          </w:p>
        </w:tc>
        <w:tc>
          <w:tcPr>
            <w:tcW w:w="2740" w:type="dxa"/>
          </w:tcPr>
          <w:p w14:paraId="38EAA6F2" w14:textId="70424D4A" w:rsidR="002B1603" w:rsidRPr="00A07F29" w:rsidRDefault="002B1603"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color w:val="394044"/>
                <w:sz w:val="20"/>
                <w:szCs w:val="20"/>
              </w:rPr>
              <w:t xml:space="preserve">Latvijā reti un nevienmērīgi: galvenokārt </w:t>
            </w:r>
            <w:r w:rsidR="006503AB">
              <w:rPr>
                <w:rFonts w:ascii="Times New Roman" w:eastAsia="Calibri" w:hAnsi="Times New Roman" w:cs="Times New Roman"/>
                <w:color w:val="394044"/>
                <w:sz w:val="20"/>
                <w:szCs w:val="20"/>
              </w:rPr>
              <w:t>R</w:t>
            </w:r>
            <w:r w:rsidRPr="00A07F29">
              <w:rPr>
                <w:rFonts w:ascii="Times New Roman" w:eastAsia="Calibri" w:hAnsi="Times New Roman" w:cs="Times New Roman"/>
                <w:color w:val="394044"/>
                <w:sz w:val="20"/>
                <w:szCs w:val="20"/>
              </w:rPr>
              <w:t xml:space="preserve">, centrālajā un </w:t>
            </w:r>
            <w:r w:rsidR="006503AB">
              <w:rPr>
                <w:rFonts w:ascii="Times New Roman" w:eastAsia="Calibri" w:hAnsi="Times New Roman" w:cs="Times New Roman"/>
                <w:color w:val="394044"/>
                <w:sz w:val="20"/>
                <w:szCs w:val="20"/>
              </w:rPr>
              <w:t>DA</w:t>
            </w:r>
            <w:r w:rsidRPr="00A07F29">
              <w:rPr>
                <w:rFonts w:ascii="Times New Roman" w:eastAsia="Calibri" w:hAnsi="Times New Roman" w:cs="Times New Roman"/>
                <w:color w:val="394044"/>
                <w:sz w:val="20"/>
                <w:szCs w:val="20"/>
              </w:rPr>
              <w:t xml:space="preserve"> daļā. </w:t>
            </w:r>
          </w:p>
        </w:tc>
        <w:tc>
          <w:tcPr>
            <w:tcW w:w="2771" w:type="dxa"/>
          </w:tcPr>
          <w:p w14:paraId="1D1375DF" w14:textId="1C799F86" w:rsidR="002B1603" w:rsidRPr="00A07F29" w:rsidRDefault="002B1603" w:rsidP="00B649FD">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Sugai AAA teritorijā stāvoklis apmierinošs, zināmas vairākas atradnes, 2018.</w:t>
            </w:r>
            <w:r w:rsidR="00596B15">
              <w:rPr>
                <w:rFonts w:ascii="Times New Roman" w:eastAsia="Calibri" w:hAnsi="Times New Roman" w:cs="Times New Roman"/>
                <w:sz w:val="20"/>
                <w:szCs w:val="20"/>
              </w:rPr>
              <w:t> </w:t>
            </w:r>
            <w:r w:rsidRPr="00A07F29">
              <w:rPr>
                <w:rFonts w:ascii="Times New Roman" w:eastAsia="Calibri" w:hAnsi="Times New Roman" w:cs="Times New Roman"/>
                <w:sz w:val="20"/>
                <w:szCs w:val="20"/>
              </w:rPr>
              <w:t>gadā viena arī jaunatklāta.</w:t>
            </w:r>
          </w:p>
        </w:tc>
      </w:tr>
    </w:tbl>
    <w:p w14:paraId="1CFB8115" w14:textId="2FA34A32" w:rsidR="002B1603" w:rsidRPr="00A07F29" w:rsidRDefault="002B1603" w:rsidP="004206E6">
      <w:pPr>
        <w:spacing w:before="120" w:after="0" w:line="259" w:lineRule="auto"/>
        <w:jc w:val="both"/>
        <w:rPr>
          <w:rFonts w:ascii="Times New Roman" w:eastAsia="Calibri" w:hAnsi="Times New Roman" w:cs="Times New Roman"/>
          <w:sz w:val="20"/>
          <w:szCs w:val="20"/>
        </w:rPr>
      </w:pPr>
      <w:r w:rsidRPr="00A07F29">
        <w:rPr>
          <w:rFonts w:ascii="Times New Roman" w:eastAsia="Calibri" w:hAnsi="Times New Roman" w:cs="Times New Roman"/>
          <w:sz w:val="16"/>
          <w:szCs w:val="16"/>
        </w:rPr>
        <w:t xml:space="preserve">* </w:t>
      </w:r>
      <w:r w:rsidRPr="00A07F29">
        <w:rPr>
          <w:rFonts w:ascii="Times New Roman" w:eastAsia="Calibri" w:hAnsi="Times New Roman" w:cs="Times New Roman"/>
          <w:b/>
          <w:spacing w:val="-1"/>
          <w:sz w:val="16"/>
          <w:szCs w:val="16"/>
        </w:rPr>
        <w:t>L</w:t>
      </w:r>
      <w:r w:rsidRPr="00A07F29">
        <w:rPr>
          <w:rFonts w:ascii="Times New Roman" w:eastAsia="Calibri" w:hAnsi="Times New Roman" w:cs="Times New Roman"/>
          <w:b/>
          <w:sz w:val="16"/>
          <w:szCs w:val="16"/>
        </w:rPr>
        <w:t>SG</w:t>
      </w:r>
      <w:r w:rsidRPr="00A07F29">
        <w:rPr>
          <w:rFonts w:ascii="Times New Roman" w:eastAsia="Calibri" w:hAnsi="Times New Roman" w:cs="Times New Roman"/>
          <w:b/>
          <w:spacing w:val="1"/>
          <w:sz w:val="16"/>
          <w:szCs w:val="16"/>
        </w:rPr>
        <w:t xml:space="preserve"> </w:t>
      </w:r>
      <w:r w:rsidRPr="00A07F29">
        <w:rPr>
          <w:rFonts w:ascii="Times New Roman" w:eastAsia="Calibri" w:hAnsi="Times New Roman" w:cs="Times New Roman"/>
          <w:sz w:val="16"/>
          <w:szCs w:val="16"/>
        </w:rPr>
        <w:t>–</w:t>
      </w:r>
      <w:r w:rsidRPr="00A07F29">
        <w:rPr>
          <w:rFonts w:ascii="Times New Roman" w:eastAsia="Calibri" w:hAnsi="Times New Roman" w:cs="Times New Roman"/>
          <w:spacing w:val="3"/>
          <w:sz w:val="16"/>
          <w:szCs w:val="16"/>
        </w:rPr>
        <w:t xml:space="preserve"> </w:t>
      </w:r>
      <w:r w:rsidRPr="00A07F29">
        <w:rPr>
          <w:rFonts w:ascii="Times New Roman" w:eastAsia="Calibri" w:hAnsi="Times New Roman" w:cs="Times New Roman"/>
          <w:sz w:val="16"/>
          <w:szCs w:val="16"/>
        </w:rPr>
        <w:t>La</w:t>
      </w:r>
      <w:r w:rsidRPr="00A07F29">
        <w:rPr>
          <w:rFonts w:ascii="Times New Roman" w:eastAsia="Calibri" w:hAnsi="Times New Roman" w:cs="Times New Roman"/>
          <w:spacing w:val="1"/>
          <w:sz w:val="16"/>
          <w:szCs w:val="16"/>
        </w:rPr>
        <w:t>t</w:t>
      </w:r>
      <w:r w:rsidRPr="00A07F29">
        <w:rPr>
          <w:rFonts w:ascii="Times New Roman" w:eastAsia="Calibri" w:hAnsi="Times New Roman" w:cs="Times New Roman"/>
          <w:spacing w:val="-2"/>
          <w:sz w:val="16"/>
          <w:szCs w:val="16"/>
        </w:rPr>
        <w:t>v</w:t>
      </w:r>
      <w:r w:rsidRPr="00A07F29">
        <w:rPr>
          <w:rFonts w:ascii="Times New Roman" w:eastAsia="Calibri" w:hAnsi="Times New Roman" w:cs="Times New Roman"/>
          <w:spacing w:val="-1"/>
          <w:sz w:val="16"/>
          <w:szCs w:val="16"/>
        </w:rPr>
        <w:t>i</w:t>
      </w:r>
      <w:r w:rsidRPr="00A07F29">
        <w:rPr>
          <w:rFonts w:ascii="Times New Roman" w:eastAsia="Calibri" w:hAnsi="Times New Roman" w:cs="Times New Roman"/>
          <w:spacing w:val="1"/>
          <w:sz w:val="16"/>
          <w:szCs w:val="16"/>
        </w:rPr>
        <w:t>j</w:t>
      </w:r>
      <w:r w:rsidRPr="00A07F29">
        <w:rPr>
          <w:rFonts w:ascii="Times New Roman" w:eastAsia="Calibri" w:hAnsi="Times New Roman" w:cs="Times New Roman"/>
          <w:sz w:val="16"/>
          <w:szCs w:val="16"/>
        </w:rPr>
        <w:t>as</w:t>
      </w:r>
      <w:r w:rsidRPr="00A07F29">
        <w:rPr>
          <w:rFonts w:ascii="Times New Roman" w:eastAsia="Calibri" w:hAnsi="Times New Roman" w:cs="Times New Roman"/>
          <w:spacing w:val="3"/>
          <w:sz w:val="16"/>
          <w:szCs w:val="16"/>
        </w:rPr>
        <w:t xml:space="preserve"> </w:t>
      </w:r>
      <w:r w:rsidRPr="00A07F29">
        <w:rPr>
          <w:rFonts w:ascii="Times New Roman" w:eastAsia="Calibri" w:hAnsi="Times New Roman" w:cs="Times New Roman"/>
          <w:spacing w:val="-3"/>
          <w:sz w:val="16"/>
          <w:szCs w:val="16"/>
        </w:rPr>
        <w:t>S</w:t>
      </w:r>
      <w:r w:rsidRPr="00A07F29">
        <w:rPr>
          <w:rFonts w:ascii="Times New Roman" w:eastAsia="Calibri" w:hAnsi="Times New Roman" w:cs="Times New Roman"/>
          <w:sz w:val="16"/>
          <w:szCs w:val="16"/>
        </w:rPr>
        <w:t>a</w:t>
      </w:r>
      <w:r w:rsidRPr="00A07F29">
        <w:rPr>
          <w:rFonts w:ascii="Times New Roman" w:eastAsia="Calibri" w:hAnsi="Times New Roman" w:cs="Times New Roman"/>
          <w:spacing w:val="1"/>
          <w:sz w:val="16"/>
          <w:szCs w:val="16"/>
        </w:rPr>
        <w:t>r</w:t>
      </w:r>
      <w:r w:rsidRPr="00A07F29">
        <w:rPr>
          <w:rFonts w:ascii="Times New Roman" w:eastAsia="Calibri" w:hAnsi="Times New Roman" w:cs="Times New Roman"/>
          <w:spacing w:val="-2"/>
          <w:sz w:val="16"/>
          <w:szCs w:val="16"/>
        </w:rPr>
        <w:t>k</w:t>
      </w:r>
      <w:r w:rsidRPr="00A07F29">
        <w:rPr>
          <w:rFonts w:ascii="Times New Roman" w:eastAsia="Calibri" w:hAnsi="Times New Roman" w:cs="Times New Roman"/>
          <w:sz w:val="16"/>
          <w:szCs w:val="16"/>
        </w:rPr>
        <w:t>anā</w:t>
      </w:r>
      <w:r w:rsidRPr="00A07F29">
        <w:rPr>
          <w:rFonts w:ascii="Times New Roman" w:eastAsia="Calibri" w:hAnsi="Times New Roman" w:cs="Times New Roman"/>
          <w:spacing w:val="1"/>
          <w:sz w:val="16"/>
          <w:szCs w:val="16"/>
        </w:rPr>
        <w:t xml:space="preserve"> </w:t>
      </w:r>
      <w:r w:rsidRPr="00A07F29">
        <w:rPr>
          <w:rFonts w:ascii="Times New Roman" w:eastAsia="Calibri" w:hAnsi="Times New Roman" w:cs="Times New Roman"/>
          <w:spacing w:val="-2"/>
          <w:sz w:val="16"/>
          <w:szCs w:val="16"/>
        </w:rPr>
        <w:t>g</w:t>
      </w:r>
      <w:r w:rsidRPr="00A07F29">
        <w:rPr>
          <w:rFonts w:ascii="Times New Roman" w:eastAsia="Calibri" w:hAnsi="Times New Roman" w:cs="Times New Roman"/>
          <w:spacing w:val="1"/>
          <w:sz w:val="16"/>
          <w:szCs w:val="16"/>
        </w:rPr>
        <w:t>r</w:t>
      </w:r>
      <w:r w:rsidRPr="00A07F29">
        <w:rPr>
          <w:rFonts w:ascii="Times New Roman" w:eastAsia="Calibri" w:hAnsi="Times New Roman" w:cs="Times New Roman"/>
          <w:sz w:val="16"/>
          <w:szCs w:val="16"/>
        </w:rPr>
        <w:t>ā</w:t>
      </w:r>
      <w:r w:rsidRPr="00A07F29">
        <w:rPr>
          <w:rFonts w:ascii="Times New Roman" w:eastAsia="Calibri" w:hAnsi="Times New Roman" w:cs="Times New Roman"/>
          <w:spacing w:val="-4"/>
          <w:sz w:val="16"/>
          <w:szCs w:val="16"/>
        </w:rPr>
        <w:t>m</w:t>
      </w:r>
      <w:r w:rsidRPr="00A07F29">
        <w:rPr>
          <w:rFonts w:ascii="Times New Roman" w:eastAsia="Calibri" w:hAnsi="Times New Roman" w:cs="Times New Roman"/>
          <w:sz w:val="16"/>
          <w:szCs w:val="16"/>
        </w:rPr>
        <w:t>a</w:t>
      </w:r>
      <w:r w:rsidRPr="00A07F29">
        <w:rPr>
          <w:rFonts w:ascii="Times New Roman" w:eastAsia="Calibri" w:hAnsi="Times New Roman" w:cs="Times New Roman"/>
          <w:spacing w:val="1"/>
          <w:sz w:val="16"/>
          <w:szCs w:val="16"/>
        </w:rPr>
        <w:t>t</w:t>
      </w:r>
      <w:r w:rsidRPr="00A07F29">
        <w:rPr>
          <w:rFonts w:ascii="Times New Roman" w:eastAsia="Calibri" w:hAnsi="Times New Roman" w:cs="Times New Roman"/>
          <w:sz w:val="16"/>
          <w:szCs w:val="16"/>
        </w:rPr>
        <w:t>a</w:t>
      </w:r>
      <w:r w:rsidRPr="00A07F29">
        <w:rPr>
          <w:rFonts w:ascii="Times New Roman" w:eastAsia="Calibri" w:hAnsi="Times New Roman" w:cs="Times New Roman"/>
          <w:spacing w:val="3"/>
          <w:sz w:val="16"/>
          <w:szCs w:val="16"/>
        </w:rPr>
        <w:t xml:space="preserve"> </w:t>
      </w:r>
      <w:r w:rsidRPr="00A07F29">
        <w:rPr>
          <w:rFonts w:ascii="Times New Roman" w:eastAsia="Calibri" w:hAnsi="Times New Roman" w:cs="Times New Roman"/>
          <w:spacing w:val="1"/>
          <w:sz w:val="16"/>
          <w:szCs w:val="16"/>
        </w:rPr>
        <w:t>(</w:t>
      </w:r>
      <w:proofErr w:type="spellStart"/>
      <w:r w:rsidRPr="00A07F29">
        <w:rPr>
          <w:rFonts w:ascii="Times New Roman" w:eastAsia="Calibri" w:hAnsi="Times New Roman" w:cs="Times New Roman"/>
          <w:sz w:val="16"/>
          <w:szCs w:val="16"/>
        </w:rPr>
        <w:t>Sp</w:t>
      </w:r>
      <w:r w:rsidRPr="00A07F29">
        <w:rPr>
          <w:rFonts w:ascii="Times New Roman" w:eastAsia="Calibri" w:hAnsi="Times New Roman" w:cs="Times New Roman"/>
          <w:spacing w:val="-2"/>
          <w:sz w:val="16"/>
          <w:szCs w:val="16"/>
        </w:rPr>
        <w:t>u</w:t>
      </w:r>
      <w:r w:rsidRPr="00A07F29">
        <w:rPr>
          <w:rFonts w:ascii="Times New Roman" w:eastAsia="Calibri" w:hAnsi="Times New Roman" w:cs="Times New Roman"/>
          <w:spacing w:val="1"/>
          <w:sz w:val="16"/>
          <w:szCs w:val="16"/>
        </w:rPr>
        <w:t>r</w:t>
      </w:r>
      <w:r w:rsidRPr="00A07F29">
        <w:rPr>
          <w:rFonts w:ascii="Times New Roman" w:eastAsia="Calibri" w:hAnsi="Times New Roman" w:cs="Times New Roman"/>
          <w:spacing w:val="-1"/>
          <w:sz w:val="16"/>
          <w:szCs w:val="16"/>
        </w:rPr>
        <w:t>i</w:t>
      </w:r>
      <w:r w:rsidRPr="00A07F29">
        <w:rPr>
          <w:rFonts w:ascii="Times New Roman" w:eastAsia="Calibri" w:hAnsi="Times New Roman" w:cs="Times New Roman"/>
          <w:sz w:val="16"/>
          <w:szCs w:val="16"/>
        </w:rPr>
        <w:t>s</w:t>
      </w:r>
      <w:proofErr w:type="spellEnd"/>
      <w:r w:rsidR="002A3D43">
        <w:rPr>
          <w:rFonts w:ascii="Times New Roman" w:eastAsia="Calibri" w:hAnsi="Times New Roman" w:cs="Times New Roman"/>
          <w:sz w:val="16"/>
          <w:szCs w:val="16"/>
        </w:rPr>
        <w:t xml:space="preserve"> Z.,</w:t>
      </w:r>
      <w:r w:rsidRPr="00A07F29">
        <w:rPr>
          <w:rFonts w:ascii="Times New Roman" w:eastAsia="Calibri" w:hAnsi="Times New Roman" w:cs="Times New Roman"/>
          <w:spacing w:val="3"/>
          <w:sz w:val="16"/>
          <w:szCs w:val="16"/>
        </w:rPr>
        <w:t xml:space="preserve"> </w:t>
      </w:r>
      <w:r w:rsidRPr="00A07F29">
        <w:rPr>
          <w:rFonts w:ascii="Times New Roman" w:eastAsia="Calibri" w:hAnsi="Times New Roman" w:cs="Times New Roman"/>
          <w:sz w:val="16"/>
          <w:szCs w:val="16"/>
        </w:rPr>
        <w:t>19</w:t>
      </w:r>
      <w:r w:rsidRPr="00A07F29">
        <w:rPr>
          <w:rFonts w:ascii="Times New Roman" w:eastAsia="Calibri" w:hAnsi="Times New Roman" w:cs="Times New Roman"/>
          <w:spacing w:val="-2"/>
          <w:sz w:val="16"/>
          <w:szCs w:val="16"/>
        </w:rPr>
        <w:t>9</w:t>
      </w:r>
      <w:r w:rsidRPr="00A07F29">
        <w:rPr>
          <w:rFonts w:ascii="Times New Roman" w:eastAsia="Calibri" w:hAnsi="Times New Roman" w:cs="Times New Roman"/>
          <w:sz w:val="16"/>
          <w:szCs w:val="16"/>
        </w:rPr>
        <w:t>8</w:t>
      </w:r>
      <w:r w:rsidRPr="00A07F29">
        <w:rPr>
          <w:rFonts w:ascii="Times New Roman" w:eastAsia="Calibri" w:hAnsi="Times New Roman" w:cs="Times New Roman"/>
          <w:spacing w:val="1"/>
          <w:sz w:val="16"/>
          <w:szCs w:val="16"/>
        </w:rPr>
        <w:t>)</w:t>
      </w:r>
      <w:r w:rsidRPr="00A07F29">
        <w:rPr>
          <w:rFonts w:ascii="Times New Roman" w:eastAsia="Calibri" w:hAnsi="Times New Roman" w:cs="Times New Roman"/>
          <w:sz w:val="16"/>
          <w:szCs w:val="16"/>
        </w:rPr>
        <w:t>. LSG</w:t>
      </w:r>
      <w:r w:rsidRPr="00A07F29">
        <w:rPr>
          <w:rFonts w:ascii="Times New Roman" w:eastAsia="Calibri" w:hAnsi="Times New Roman" w:cs="Times New Roman"/>
          <w:spacing w:val="2"/>
          <w:sz w:val="16"/>
          <w:szCs w:val="16"/>
        </w:rPr>
        <w:t xml:space="preserve"> </w:t>
      </w:r>
      <w:r w:rsidRPr="00A07F29">
        <w:rPr>
          <w:rFonts w:ascii="Times New Roman" w:eastAsia="Calibri" w:hAnsi="Times New Roman" w:cs="Times New Roman"/>
          <w:spacing w:val="-1"/>
          <w:sz w:val="16"/>
          <w:szCs w:val="16"/>
        </w:rPr>
        <w:t>t</w:t>
      </w:r>
      <w:r w:rsidRPr="00A07F29">
        <w:rPr>
          <w:rFonts w:ascii="Times New Roman" w:eastAsia="Calibri" w:hAnsi="Times New Roman" w:cs="Times New Roman"/>
          <w:spacing w:val="1"/>
          <w:sz w:val="16"/>
          <w:szCs w:val="16"/>
        </w:rPr>
        <w:t>i</w:t>
      </w:r>
      <w:r w:rsidRPr="00A07F29">
        <w:rPr>
          <w:rFonts w:ascii="Times New Roman" w:eastAsia="Calibri" w:hAnsi="Times New Roman" w:cs="Times New Roman"/>
          <w:sz w:val="16"/>
          <w:szCs w:val="16"/>
        </w:rPr>
        <w:t xml:space="preserve">ek </w:t>
      </w:r>
      <w:r w:rsidRPr="00A07F29">
        <w:rPr>
          <w:rFonts w:ascii="Times New Roman" w:eastAsia="Calibri" w:hAnsi="Times New Roman" w:cs="Times New Roman"/>
          <w:spacing w:val="1"/>
          <w:sz w:val="16"/>
          <w:szCs w:val="16"/>
        </w:rPr>
        <w:t>l</w:t>
      </w:r>
      <w:r w:rsidRPr="00A07F29">
        <w:rPr>
          <w:rFonts w:ascii="Times New Roman" w:eastAsia="Calibri" w:hAnsi="Times New Roman" w:cs="Times New Roman"/>
          <w:spacing w:val="-1"/>
          <w:sz w:val="16"/>
          <w:szCs w:val="16"/>
        </w:rPr>
        <w:t>i</w:t>
      </w:r>
      <w:r w:rsidRPr="00A07F29">
        <w:rPr>
          <w:rFonts w:ascii="Times New Roman" w:eastAsia="Calibri" w:hAnsi="Times New Roman" w:cs="Times New Roman"/>
          <w:sz w:val="16"/>
          <w:szCs w:val="16"/>
        </w:rPr>
        <w:t>e</w:t>
      </w:r>
      <w:r w:rsidRPr="00A07F29">
        <w:rPr>
          <w:rFonts w:ascii="Times New Roman" w:eastAsia="Calibri" w:hAnsi="Times New Roman" w:cs="Times New Roman"/>
          <w:spacing w:val="1"/>
          <w:sz w:val="16"/>
          <w:szCs w:val="16"/>
        </w:rPr>
        <w:t>t</w:t>
      </w:r>
      <w:r w:rsidRPr="00A07F29">
        <w:rPr>
          <w:rFonts w:ascii="Times New Roman" w:eastAsia="Calibri" w:hAnsi="Times New Roman" w:cs="Times New Roman"/>
          <w:spacing w:val="-2"/>
          <w:sz w:val="16"/>
          <w:szCs w:val="16"/>
        </w:rPr>
        <w:t>o</w:t>
      </w:r>
      <w:r w:rsidRPr="00A07F29">
        <w:rPr>
          <w:rFonts w:ascii="Times New Roman" w:eastAsia="Calibri" w:hAnsi="Times New Roman" w:cs="Times New Roman"/>
          <w:spacing w:val="1"/>
          <w:sz w:val="16"/>
          <w:szCs w:val="16"/>
        </w:rPr>
        <w:t>t</w:t>
      </w:r>
      <w:r w:rsidRPr="00A07F29">
        <w:rPr>
          <w:rFonts w:ascii="Times New Roman" w:eastAsia="Calibri" w:hAnsi="Times New Roman" w:cs="Times New Roman"/>
          <w:spacing w:val="-2"/>
          <w:sz w:val="16"/>
          <w:szCs w:val="16"/>
        </w:rPr>
        <w:t>a</w:t>
      </w:r>
      <w:r w:rsidRPr="00A07F29">
        <w:rPr>
          <w:rFonts w:ascii="Times New Roman" w:eastAsia="Calibri" w:hAnsi="Times New Roman" w:cs="Times New Roman"/>
          <w:sz w:val="16"/>
          <w:szCs w:val="16"/>
        </w:rPr>
        <w:t>s</w:t>
      </w:r>
      <w:r w:rsidRPr="00A07F29">
        <w:rPr>
          <w:rFonts w:ascii="Times New Roman" w:eastAsia="Calibri" w:hAnsi="Times New Roman" w:cs="Times New Roman"/>
          <w:spacing w:val="3"/>
          <w:sz w:val="16"/>
          <w:szCs w:val="16"/>
        </w:rPr>
        <w:t xml:space="preserve"> </w:t>
      </w:r>
      <w:r w:rsidRPr="00A07F29">
        <w:rPr>
          <w:rFonts w:ascii="Times New Roman" w:eastAsia="Calibri" w:hAnsi="Times New Roman" w:cs="Times New Roman"/>
          <w:spacing w:val="-2"/>
          <w:sz w:val="16"/>
          <w:szCs w:val="16"/>
        </w:rPr>
        <w:t>s</w:t>
      </w:r>
      <w:r w:rsidRPr="00A07F29">
        <w:rPr>
          <w:rFonts w:ascii="Times New Roman" w:eastAsia="Calibri" w:hAnsi="Times New Roman" w:cs="Times New Roman"/>
          <w:sz w:val="16"/>
          <w:szCs w:val="16"/>
        </w:rPr>
        <w:t>e</w:t>
      </w:r>
      <w:r w:rsidRPr="00A07F29">
        <w:rPr>
          <w:rFonts w:ascii="Times New Roman" w:eastAsia="Calibri" w:hAnsi="Times New Roman" w:cs="Times New Roman"/>
          <w:spacing w:val="-2"/>
          <w:sz w:val="16"/>
          <w:szCs w:val="16"/>
        </w:rPr>
        <w:t>k</w:t>
      </w:r>
      <w:r w:rsidRPr="00A07F29">
        <w:rPr>
          <w:rFonts w:ascii="Times New Roman" w:eastAsia="Calibri" w:hAnsi="Times New Roman" w:cs="Times New Roman"/>
          <w:sz w:val="16"/>
          <w:szCs w:val="16"/>
        </w:rPr>
        <w:t>o</w:t>
      </w:r>
      <w:r w:rsidRPr="00A07F29">
        <w:rPr>
          <w:rFonts w:ascii="Times New Roman" w:eastAsia="Calibri" w:hAnsi="Times New Roman" w:cs="Times New Roman"/>
          <w:spacing w:val="1"/>
          <w:sz w:val="16"/>
          <w:szCs w:val="16"/>
        </w:rPr>
        <w:t>j</w:t>
      </w:r>
      <w:r w:rsidRPr="00A07F29">
        <w:rPr>
          <w:rFonts w:ascii="Times New Roman" w:eastAsia="Calibri" w:hAnsi="Times New Roman" w:cs="Times New Roman"/>
          <w:sz w:val="16"/>
          <w:szCs w:val="16"/>
        </w:rPr>
        <w:t>o</w:t>
      </w:r>
      <w:r w:rsidRPr="00A07F29">
        <w:rPr>
          <w:rFonts w:ascii="Times New Roman" w:eastAsia="Calibri" w:hAnsi="Times New Roman" w:cs="Times New Roman"/>
          <w:spacing w:val="1"/>
          <w:sz w:val="16"/>
          <w:szCs w:val="16"/>
        </w:rPr>
        <w:t>š</w:t>
      </w:r>
      <w:r w:rsidRPr="00A07F29">
        <w:rPr>
          <w:rFonts w:ascii="Times New Roman" w:eastAsia="Calibri" w:hAnsi="Times New Roman" w:cs="Times New Roman"/>
          <w:spacing w:val="-2"/>
          <w:sz w:val="16"/>
          <w:szCs w:val="16"/>
        </w:rPr>
        <w:t>a</w:t>
      </w:r>
      <w:r w:rsidRPr="00A07F29">
        <w:rPr>
          <w:rFonts w:ascii="Times New Roman" w:eastAsia="Calibri" w:hAnsi="Times New Roman" w:cs="Times New Roman"/>
          <w:sz w:val="16"/>
          <w:szCs w:val="16"/>
        </w:rPr>
        <w:t>s</w:t>
      </w:r>
      <w:r w:rsidRPr="00A07F29">
        <w:rPr>
          <w:rFonts w:ascii="Times New Roman" w:eastAsia="Calibri" w:hAnsi="Times New Roman" w:cs="Times New Roman"/>
          <w:spacing w:val="3"/>
          <w:sz w:val="16"/>
          <w:szCs w:val="16"/>
        </w:rPr>
        <w:t xml:space="preserve"> </w:t>
      </w:r>
      <w:r w:rsidRPr="00A07F29">
        <w:rPr>
          <w:rFonts w:ascii="Times New Roman" w:eastAsia="Calibri" w:hAnsi="Times New Roman" w:cs="Times New Roman"/>
          <w:sz w:val="16"/>
          <w:szCs w:val="16"/>
        </w:rPr>
        <w:t>a</w:t>
      </w:r>
      <w:r w:rsidRPr="00A07F29">
        <w:rPr>
          <w:rFonts w:ascii="Times New Roman" w:eastAsia="Calibri" w:hAnsi="Times New Roman" w:cs="Times New Roman"/>
          <w:spacing w:val="-2"/>
          <w:sz w:val="16"/>
          <w:szCs w:val="16"/>
        </w:rPr>
        <w:t>p</w:t>
      </w:r>
      <w:r w:rsidRPr="00A07F29">
        <w:rPr>
          <w:rFonts w:ascii="Times New Roman" w:eastAsia="Calibri" w:hAnsi="Times New Roman" w:cs="Times New Roman"/>
          <w:sz w:val="16"/>
          <w:szCs w:val="16"/>
        </w:rPr>
        <w:t>d</w:t>
      </w:r>
      <w:r w:rsidRPr="00A07F29">
        <w:rPr>
          <w:rFonts w:ascii="Times New Roman" w:eastAsia="Calibri" w:hAnsi="Times New Roman" w:cs="Times New Roman"/>
          <w:spacing w:val="1"/>
          <w:sz w:val="16"/>
          <w:szCs w:val="16"/>
        </w:rPr>
        <w:t>r</w:t>
      </w:r>
      <w:r w:rsidRPr="00A07F29">
        <w:rPr>
          <w:rFonts w:ascii="Times New Roman" w:eastAsia="Calibri" w:hAnsi="Times New Roman" w:cs="Times New Roman"/>
          <w:spacing w:val="-2"/>
          <w:sz w:val="16"/>
          <w:szCs w:val="16"/>
        </w:rPr>
        <w:t>a</w:t>
      </w:r>
      <w:r w:rsidRPr="00A07F29">
        <w:rPr>
          <w:rFonts w:ascii="Times New Roman" w:eastAsia="Calibri" w:hAnsi="Times New Roman" w:cs="Times New Roman"/>
          <w:sz w:val="16"/>
          <w:szCs w:val="16"/>
        </w:rPr>
        <w:t>udē</w:t>
      </w:r>
      <w:r w:rsidRPr="00A07F29">
        <w:rPr>
          <w:rFonts w:ascii="Times New Roman" w:eastAsia="Calibri" w:hAnsi="Times New Roman" w:cs="Times New Roman"/>
          <w:spacing w:val="1"/>
          <w:sz w:val="16"/>
          <w:szCs w:val="16"/>
        </w:rPr>
        <w:t>t</w:t>
      </w:r>
      <w:r w:rsidRPr="00A07F29">
        <w:rPr>
          <w:rFonts w:ascii="Times New Roman" w:eastAsia="Calibri" w:hAnsi="Times New Roman" w:cs="Times New Roman"/>
          <w:sz w:val="16"/>
          <w:szCs w:val="16"/>
        </w:rPr>
        <w:t xml:space="preserve">o </w:t>
      </w:r>
      <w:r w:rsidRPr="00A07F29">
        <w:rPr>
          <w:rFonts w:ascii="Times New Roman" w:eastAsia="Calibri" w:hAnsi="Times New Roman" w:cs="Times New Roman"/>
          <w:spacing w:val="1"/>
          <w:sz w:val="16"/>
          <w:szCs w:val="16"/>
        </w:rPr>
        <w:t>s</w:t>
      </w:r>
      <w:r w:rsidRPr="00A07F29">
        <w:rPr>
          <w:rFonts w:ascii="Times New Roman" w:eastAsia="Calibri" w:hAnsi="Times New Roman" w:cs="Times New Roman"/>
          <w:sz w:val="16"/>
          <w:szCs w:val="16"/>
        </w:rPr>
        <w:t>u</w:t>
      </w:r>
      <w:r w:rsidRPr="00A07F29">
        <w:rPr>
          <w:rFonts w:ascii="Times New Roman" w:eastAsia="Calibri" w:hAnsi="Times New Roman" w:cs="Times New Roman"/>
          <w:spacing w:val="-2"/>
          <w:sz w:val="16"/>
          <w:szCs w:val="16"/>
        </w:rPr>
        <w:t>g</w:t>
      </w:r>
      <w:r w:rsidRPr="00A07F29">
        <w:rPr>
          <w:rFonts w:ascii="Times New Roman" w:eastAsia="Calibri" w:hAnsi="Times New Roman" w:cs="Times New Roman"/>
          <w:sz w:val="16"/>
          <w:szCs w:val="16"/>
        </w:rPr>
        <w:t>u</w:t>
      </w:r>
      <w:r w:rsidRPr="00A07F29">
        <w:rPr>
          <w:rFonts w:ascii="Times New Roman" w:eastAsia="Calibri" w:hAnsi="Times New Roman" w:cs="Times New Roman"/>
          <w:spacing w:val="3"/>
          <w:sz w:val="16"/>
          <w:szCs w:val="16"/>
        </w:rPr>
        <w:t xml:space="preserve"> </w:t>
      </w:r>
      <w:r w:rsidRPr="00A07F29">
        <w:rPr>
          <w:rFonts w:ascii="Times New Roman" w:eastAsia="Calibri" w:hAnsi="Times New Roman" w:cs="Times New Roman"/>
          <w:spacing w:val="-2"/>
          <w:sz w:val="16"/>
          <w:szCs w:val="16"/>
        </w:rPr>
        <w:t>k</w:t>
      </w:r>
      <w:r w:rsidRPr="00A07F29">
        <w:rPr>
          <w:rFonts w:ascii="Times New Roman" w:eastAsia="Calibri" w:hAnsi="Times New Roman" w:cs="Times New Roman"/>
          <w:sz w:val="16"/>
          <w:szCs w:val="16"/>
        </w:rPr>
        <w:t>a</w:t>
      </w:r>
      <w:r w:rsidRPr="00A07F29">
        <w:rPr>
          <w:rFonts w:ascii="Times New Roman" w:eastAsia="Calibri" w:hAnsi="Times New Roman" w:cs="Times New Roman"/>
          <w:spacing w:val="1"/>
          <w:sz w:val="16"/>
          <w:szCs w:val="16"/>
        </w:rPr>
        <w:t>t</w:t>
      </w:r>
      <w:r w:rsidRPr="00A07F29">
        <w:rPr>
          <w:rFonts w:ascii="Times New Roman" w:eastAsia="Calibri" w:hAnsi="Times New Roman" w:cs="Times New Roman"/>
          <w:sz w:val="16"/>
          <w:szCs w:val="16"/>
        </w:rPr>
        <w:t>e</w:t>
      </w:r>
      <w:r w:rsidRPr="00A07F29">
        <w:rPr>
          <w:rFonts w:ascii="Times New Roman" w:eastAsia="Calibri" w:hAnsi="Times New Roman" w:cs="Times New Roman"/>
          <w:spacing w:val="-2"/>
          <w:sz w:val="16"/>
          <w:szCs w:val="16"/>
        </w:rPr>
        <w:t>g</w:t>
      </w:r>
      <w:r w:rsidRPr="00A07F29">
        <w:rPr>
          <w:rFonts w:ascii="Times New Roman" w:eastAsia="Calibri" w:hAnsi="Times New Roman" w:cs="Times New Roman"/>
          <w:sz w:val="16"/>
          <w:szCs w:val="16"/>
        </w:rPr>
        <w:t>o</w:t>
      </w:r>
      <w:r w:rsidRPr="00A07F29">
        <w:rPr>
          <w:rFonts w:ascii="Times New Roman" w:eastAsia="Calibri" w:hAnsi="Times New Roman" w:cs="Times New Roman"/>
          <w:spacing w:val="1"/>
          <w:sz w:val="16"/>
          <w:szCs w:val="16"/>
        </w:rPr>
        <w:t>r</w:t>
      </w:r>
      <w:r w:rsidRPr="00A07F29">
        <w:rPr>
          <w:rFonts w:ascii="Times New Roman" w:eastAsia="Calibri" w:hAnsi="Times New Roman" w:cs="Times New Roman"/>
          <w:spacing w:val="-1"/>
          <w:sz w:val="16"/>
          <w:szCs w:val="16"/>
        </w:rPr>
        <w:t>i</w:t>
      </w:r>
      <w:r w:rsidRPr="00A07F29">
        <w:rPr>
          <w:rFonts w:ascii="Times New Roman" w:eastAsia="Calibri" w:hAnsi="Times New Roman" w:cs="Times New Roman"/>
          <w:spacing w:val="1"/>
          <w:sz w:val="16"/>
          <w:szCs w:val="16"/>
        </w:rPr>
        <w:t>j</w:t>
      </w:r>
      <w:r w:rsidRPr="00A07F29">
        <w:rPr>
          <w:rFonts w:ascii="Times New Roman" w:eastAsia="Calibri" w:hAnsi="Times New Roman" w:cs="Times New Roman"/>
          <w:spacing w:val="-2"/>
          <w:sz w:val="16"/>
          <w:szCs w:val="16"/>
        </w:rPr>
        <w:t>a</w:t>
      </w:r>
      <w:r w:rsidRPr="00A07F29">
        <w:rPr>
          <w:rFonts w:ascii="Times New Roman" w:eastAsia="Calibri" w:hAnsi="Times New Roman" w:cs="Times New Roman"/>
          <w:spacing w:val="1"/>
          <w:sz w:val="16"/>
          <w:szCs w:val="16"/>
        </w:rPr>
        <w:t>s</w:t>
      </w:r>
      <w:r w:rsidRPr="00A07F29">
        <w:rPr>
          <w:rFonts w:ascii="Times New Roman" w:eastAsia="Calibri" w:hAnsi="Times New Roman" w:cs="Times New Roman"/>
          <w:sz w:val="16"/>
          <w:szCs w:val="16"/>
        </w:rPr>
        <w:t>,</w:t>
      </w:r>
      <w:r w:rsidRPr="00A07F29">
        <w:rPr>
          <w:rFonts w:ascii="Times New Roman" w:eastAsia="Calibri" w:hAnsi="Times New Roman" w:cs="Times New Roman"/>
          <w:spacing w:val="3"/>
          <w:sz w:val="16"/>
          <w:szCs w:val="16"/>
        </w:rPr>
        <w:t xml:space="preserve"> </w:t>
      </w:r>
      <w:r w:rsidRPr="00A07F29">
        <w:rPr>
          <w:rFonts w:ascii="Times New Roman" w:eastAsia="Calibri" w:hAnsi="Times New Roman" w:cs="Times New Roman"/>
          <w:spacing w:val="-2"/>
          <w:sz w:val="16"/>
          <w:szCs w:val="16"/>
        </w:rPr>
        <w:t>ka</w:t>
      </w:r>
      <w:r w:rsidRPr="00A07F29">
        <w:rPr>
          <w:rFonts w:ascii="Times New Roman" w:eastAsia="Calibri" w:hAnsi="Times New Roman" w:cs="Times New Roman"/>
          <w:sz w:val="16"/>
          <w:szCs w:val="16"/>
        </w:rPr>
        <w:t>s a</w:t>
      </w:r>
      <w:r w:rsidRPr="00A07F29">
        <w:rPr>
          <w:rFonts w:ascii="Times New Roman" w:eastAsia="Calibri" w:hAnsi="Times New Roman" w:cs="Times New Roman"/>
          <w:spacing w:val="1"/>
          <w:sz w:val="16"/>
          <w:szCs w:val="16"/>
        </w:rPr>
        <w:t>t</w:t>
      </w:r>
      <w:r w:rsidRPr="00A07F29">
        <w:rPr>
          <w:rFonts w:ascii="Times New Roman" w:eastAsia="Calibri" w:hAnsi="Times New Roman" w:cs="Times New Roman"/>
          <w:spacing w:val="-2"/>
          <w:sz w:val="16"/>
          <w:szCs w:val="16"/>
        </w:rPr>
        <w:t>b</w:t>
      </w:r>
      <w:r w:rsidRPr="00A07F29">
        <w:rPr>
          <w:rFonts w:ascii="Times New Roman" w:eastAsia="Calibri" w:hAnsi="Times New Roman" w:cs="Times New Roman"/>
          <w:spacing w:val="1"/>
          <w:sz w:val="16"/>
          <w:szCs w:val="16"/>
        </w:rPr>
        <w:t>il</w:t>
      </w:r>
      <w:r w:rsidRPr="00A07F29">
        <w:rPr>
          <w:rFonts w:ascii="Times New Roman" w:eastAsia="Calibri" w:hAnsi="Times New Roman" w:cs="Times New Roman"/>
          <w:spacing w:val="-2"/>
          <w:sz w:val="16"/>
          <w:szCs w:val="16"/>
        </w:rPr>
        <w:t>s</w:t>
      </w:r>
      <w:r w:rsidRPr="00A07F29">
        <w:rPr>
          <w:rFonts w:ascii="Times New Roman" w:eastAsia="Calibri" w:hAnsi="Times New Roman" w:cs="Times New Roman"/>
          <w:sz w:val="16"/>
          <w:szCs w:val="16"/>
        </w:rPr>
        <w:t>t</w:t>
      </w:r>
      <w:r w:rsidRPr="00A07F29">
        <w:rPr>
          <w:rFonts w:ascii="Times New Roman" w:eastAsia="Calibri" w:hAnsi="Times New Roman" w:cs="Times New Roman"/>
          <w:spacing w:val="5"/>
          <w:sz w:val="16"/>
          <w:szCs w:val="16"/>
        </w:rPr>
        <w:t xml:space="preserve"> </w:t>
      </w:r>
      <w:r w:rsidRPr="00A07F29">
        <w:rPr>
          <w:rFonts w:ascii="Times New Roman" w:eastAsia="Calibri" w:hAnsi="Times New Roman" w:cs="Times New Roman"/>
          <w:spacing w:val="-2"/>
          <w:sz w:val="16"/>
          <w:szCs w:val="16"/>
        </w:rPr>
        <w:t>v</w:t>
      </w:r>
      <w:r w:rsidRPr="00A07F29">
        <w:rPr>
          <w:rFonts w:ascii="Times New Roman" w:eastAsia="Calibri" w:hAnsi="Times New Roman" w:cs="Times New Roman"/>
          <w:sz w:val="16"/>
          <w:szCs w:val="16"/>
        </w:rPr>
        <w:t>ec</w:t>
      </w:r>
      <w:r w:rsidRPr="00A07F29">
        <w:rPr>
          <w:rFonts w:ascii="Times New Roman" w:eastAsia="Calibri" w:hAnsi="Times New Roman" w:cs="Times New Roman"/>
          <w:spacing w:val="-2"/>
          <w:sz w:val="16"/>
          <w:szCs w:val="16"/>
        </w:rPr>
        <w:t>a</w:t>
      </w:r>
      <w:r w:rsidRPr="00A07F29">
        <w:rPr>
          <w:rFonts w:ascii="Times New Roman" w:eastAsia="Calibri" w:hAnsi="Times New Roman" w:cs="Times New Roman"/>
          <w:spacing w:val="1"/>
          <w:sz w:val="16"/>
          <w:szCs w:val="16"/>
        </w:rPr>
        <w:t>j</w:t>
      </w:r>
      <w:r w:rsidRPr="00A07F29">
        <w:rPr>
          <w:rFonts w:ascii="Times New Roman" w:eastAsia="Calibri" w:hAnsi="Times New Roman" w:cs="Times New Roman"/>
          <w:sz w:val="16"/>
          <w:szCs w:val="16"/>
        </w:rPr>
        <w:t>ām</w:t>
      </w:r>
      <w:r w:rsidRPr="00A07F29">
        <w:rPr>
          <w:rFonts w:ascii="Times New Roman" w:eastAsia="Calibri" w:hAnsi="Times New Roman" w:cs="Times New Roman"/>
          <w:spacing w:val="2"/>
          <w:sz w:val="16"/>
          <w:szCs w:val="16"/>
        </w:rPr>
        <w:t xml:space="preserve"> </w:t>
      </w:r>
      <w:r w:rsidRPr="00A07F29">
        <w:rPr>
          <w:rFonts w:ascii="Times New Roman" w:eastAsia="Calibri" w:hAnsi="Times New Roman" w:cs="Times New Roman"/>
          <w:spacing w:val="-4"/>
          <w:sz w:val="16"/>
          <w:szCs w:val="16"/>
        </w:rPr>
        <w:t>I</w:t>
      </w:r>
      <w:r w:rsidRPr="00A07F29">
        <w:rPr>
          <w:rFonts w:ascii="Times New Roman" w:eastAsia="Calibri" w:hAnsi="Times New Roman" w:cs="Times New Roman"/>
          <w:spacing w:val="-1"/>
          <w:sz w:val="16"/>
          <w:szCs w:val="16"/>
        </w:rPr>
        <w:t>UC</w:t>
      </w:r>
      <w:r w:rsidRPr="00A07F29">
        <w:rPr>
          <w:rFonts w:ascii="Times New Roman" w:eastAsia="Calibri" w:hAnsi="Times New Roman" w:cs="Times New Roman"/>
          <w:sz w:val="16"/>
          <w:szCs w:val="16"/>
        </w:rPr>
        <w:t>N</w:t>
      </w:r>
      <w:r w:rsidRPr="00A07F29">
        <w:rPr>
          <w:rFonts w:ascii="Times New Roman" w:eastAsia="Calibri" w:hAnsi="Times New Roman" w:cs="Times New Roman"/>
          <w:spacing w:val="5"/>
          <w:sz w:val="16"/>
          <w:szCs w:val="16"/>
        </w:rPr>
        <w:t xml:space="preserve"> </w:t>
      </w:r>
      <w:r w:rsidRPr="00A07F29">
        <w:rPr>
          <w:rFonts w:ascii="Times New Roman" w:eastAsia="Calibri" w:hAnsi="Times New Roman" w:cs="Times New Roman"/>
          <w:spacing w:val="-2"/>
          <w:sz w:val="16"/>
          <w:szCs w:val="16"/>
        </w:rPr>
        <w:t>k</w:t>
      </w:r>
      <w:r w:rsidRPr="00A07F29">
        <w:rPr>
          <w:rFonts w:ascii="Times New Roman" w:eastAsia="Calibri" w:hAnsi="Times New Roman" w:cs="Times New Roman"/>
          <w:sz w:val="16"/>
          <w:szCs w:val="16"/>
        </w:rPr>
        <w:t>a</w:t>
      </w:r>
      <w:r w:rsidRPr="00A07F29">
        <w:rPr>
          <w:rFonts w:ascii="Times New Roman" w:eastAsia="Calibri" w:hAnsi="Times New Roman" w:cs="Times New Roman"/>
          <w:spacing w:val="1"/>
          <w:sz w:val="16"/>
          <w:szCs w:val="16"/>
        </w:rPr>
        <w:t>t</w:t>
      </w:r>
      <w:r w:rsidRPr="00A07F29">
        <w:rPr>
          <w:rFonts w:ascii="Times New Roman" w:eastAsia="Calibri" w:hAnsi="Times New Roman" w:cs="Times New Roman"/>
          <w:sz w:val="16"/>
          <w:szCs w:val="16"/>
        </w:rPr>
        <w:t>e</w:t>
      </w:r>
      <w:r w:rsidRPr="00A07F29">
        <w:rPr>
          <w:rFonts w:ascii="Times New Roman" w:eastAsia="Calibri" w:hAnsi="Times New Roman" w:cs="Times New Roman"/>
          <w:spacing w:val="-2"/>
          <w:sz w:val="16"/>
          <w:szCs w:val="16"/>
        </w:rPr>
        <w:t>g</w:t>
      </w:r>
      <w:r w:rsidRPr="00A07F29">
        <w:rPr>
          <w:rFonts w:ascii="Times New Roman" w:eastAsia="Calibri" w:hAnsi="Times New Roman" w:cs="Times New Roman"/>
          <w:sz w:val="16"/>
          <w:szCs w:val="16"/>
        </w:rPr>
        <w:t>o</w:t>
      </w:r>
      <w:r w:rsidRPr="00A07F29">
        <w:rPr>
          <w:rFonts w:ascii="Times New Roman" w:eastAsia="Calibri" w:hAnsi="Times New Roman" w:cs="Times New Roman"/>
          <w:spacing w:val="1"/>
          <w:sz w:val="16"/>
          <w:szCs w:val="16"/>
        </w:rPr>
        <w:t>r</w:t>
      </w:r>
      <w:r w:rsidRPr="00A07F29">
        <w:rPr>
          <w:rFonts w:ascii="Times New Roman" w:eastAsia="Calibri" w:hAnsi="Times New Roman" w:cs="Times New Roman"/>
          <w:spacing w:val="-1"/>
          <w:sz w:val="16"/>
          <w:szCs w:val="16"/>
        </w:rPr>
        <w:t>i</w:t>
      </w:r>
      <w:r w:rsidRPr="00A07F29">
        <w:rPr>
          <w:rFonts w:ascii="Times New Roman" w:eastAsia="Calibri" w:hAnsi="Times New Roman" w:cs="Times New Roman"/>
          <w:spacing w:val="3"/>
          <w:sz w:val="16"/>
          <w:szCs w:val="16"/>
        </w:rPr>
        <w:t>j</w:t>
      </w:r>
      <w:r w:rsidRPr="00A07F29">
        <w:rPr>
          <w:rFonts w:ascii="Times New Roman" w:eastAsia="Calibri" w:hAnsi="Times New Roman" w:cs="Times New Roman"/>
          <w:sz w:val="16"/>
          <w:szCs w:val="16"/>
        </w:rPr>
        <w:t>ā</w:t>
      </w:r>
      <w:r w:rsidRPr="00A07F29">
        <w:rPr>
          <w:rFonts w:ascii="Times New Roman" w:eastAsia="Calibri" w:hAnsi="Times New Roman" w:cs="Times New Roman"/>
          <w:spacing w:val="-4"/>
          <w:sz w:val="16"/>
          <w:szCs w:val="16"/>
        </w:rPr>
        <w:t>m</w:t>
      </w:r>
      <w:r w:rsidRPr="00A07F29">
        <w:rPr>
          <w:rFonts w:ascii="Times New Roman" w:eastAsia="Calibri" w:hAnsi="Times New Roman" w:cs="Times New Roman"/>
          <w:sz w:val="16"/>
          <w:szCs w:val="16"/>
        </w:rPr>
        <w:t>:</w:t>
      </w:r>
      <w:r w:rsidRPr="00A07F29">
        <w:rPr>
          <w:rFonts w:ascii="Times New Roman" w:eastAsia="Calibri" w:hAnsi="Times New Roman" w:cs="Times New Roman"/>
          <w:spacing w:val="5"/>
          <w:sz w:val="16"/>
          <w:szCs w:val="16"/>
        </w:rPr>
        <w:t xml:space="preserve"> </w:t>
      </w:r>
      <w:r w:rsidRPr="00A07F29">
        <w:rPr>
          <w:rFonts w:ascii="Times New Roman" w:eastAsia="Calibri" w:hAnsi="Times New Roman" w:cs="Times New Roman"/>
          <w:b/>
          <w:sz w:val="16"/>
          <w:szCs w:val="16"/>
        </w:rPr>
        <w:t>0</w:t>
      </w:r>
      <w:r w:rsidRPr="00A07F29">
        <w:rPr>
          <w:rFonts w:ascii="Times New Roman" w:eastAsia="Calibri" w:hAnsi="Times New Roman" w:cs="Times New Roman"/>
          <w:sz w:val="16"/>
          <w:szCs w:val="16"/>
        </w:rPr>
        <w:t>.</w:t>
      </w:r>
      <w:r w:rsidRPr="00A07F29">
        <w:rPr>
          <w:rFonts w:ascii="Times New Roman" w:eastAsia="Calibri" w:hAnsi="Times New Roman" w:cs="Times New Roman"/>
          <w:spacing w:val="4"/>
          <w:sz w:val="16"/>
          <w:szCs w:val="16"/>
        </w:rPr>
        <w:t xml:space="preserve"> </w:t>
      </w:r>
      <w:r w:rsidRPr="00A07F29">
        <w:rPr>
          <w:rFonts w:ascii="Times New Roman" w:eastAsia="Calibri" w:hAnsi="Times New Roman" w:cs="Times New Roman"/>
          <w:spacing w:val="-2"/>
          <w:sz w:val="16"/>
          <w:szCs w:val="16"/>
        </w:rPr>
        <w:t>k</w:t>
      </w:r>
      <w:r w:rsidRPr="00A07F29">
        <w:rPr>
          <w:rFonts w:ascii="Times New Roman" w:eastAsia="Calibri" w:hAnsi="Times New Roman" w:cs="Times New Roman"/>
          <w:sz w:val="16"/>
          <w:szCs w:val="16"/>
        </w:rPr>
        <w:t>a</w:t>
      </w:r>
      <w:r w:rsidRPr="00A07F29">
        <w:rPr>
          <w:rFonts w:ascii="Times New Roman" w:eastAsia="Calibri" w:hAnsi="Times New Roman" w:cs="Times New Roman"/>
          <w:spacing w:val="-1"/>
          <w:sz w:val="16"/>
          <w:szCs w:val="16"/>
        </w:rPr>
        <w:t>t</w:t>
      </w:r>
      <w:r w:rsidRPr="00A07F29">
        <w:rPr>
          <w:rFonts w:ascii="Times New Roman" w:eastAsia="Calibri" w:hAnsi="Times New Roman" w:cs="Times New Roman"/>
          <w:sz w:val="16"/>
          <w:szCs w:val="16"/>
        </w:rPr>
        <w:t>e</w:t>
      </w:r>
      <w:r w:rsidRPr="00A07F29">
        <w:rPr>
          <w:rFonts w:ascii="Times New Roman" w:eastAsia="Calibri" w:hAnsi="Times New Roman" w:cs="Times New Roman"/>
          <w:spacing w:val="-2"/>
          <w:sz w:val="16"/>
          <w:szCs w:val="16"/>
        </w:rPr>
        <w:t>g</w:t>
      </w:r>
      <w:r w:rsidRPr="00A07F29">
        <w:rPr>
          <w:rFonts w:ascii="Times New Roman" w:eastAsia="Calibri" w:hAnsi="Times New Roman" w:cs="Times New Roman"/>
          <w:sz w:val="16"/>
          <w:szCs w:val="16"/>
        </w:rPr>
        <w:t>o</w:t>
      </w:r>
      <w:r w:rsidRPr="00A07F29">
        <w:rPr>
          <w:rFonts w:ascii="Times New Roman" w:eastAsia="Calibri" w:hAnsi="Times New Roman" w:cs="Times New Roman"/>
          <w:spacing w:val="1"/>
          <w:sz w:val="16"/>
          <w:szCs w:val="16"/>
        </w:rPr>
        <w:t>r</w:t>
      </w:r>
      <w:r w:rsidRPr="00A07F29">
        <w:rPr>
          <w:rFonts w:ascii="Times New Roman" w:eastAsia="Calibri" w:hAnsi="Times New Roman" w:cs="Times New Roman"/>
          <w:spacing w:val="-1"/>
          <w:sz w:val="16"/>
          <w:szCs w:val="16"/>
        </w:rPr>
        <w:t>i</w:t>
      </w:r>
      <w:r w:rsidRPr="00A07F29">
        <w:rPr>
          <w:rFonts w:ascii="Times New Roman" w:eastAsia="Calibri" w:hAnsi="Times New Roman" w:cs="Times New Roman"/>
          <w:spacing w:val="1"/>
          <w:sz w:val="16"/>
          <w:szCs w:val="16"/>
        </w:rPr>
        <w:t>j</w:t>
      </w:r>
      <w:r w:rsidRPr="00A07F29">
        <w:rPr>
          <w:rFonts w:ascii="Times New Roman" w:eastAsia="Calibri" w:hAnsi="Times New Roman" w:cs="Times New Roman"/>
          <w:sz w:val="16"/>
          <w:szCs w:val="16"/>
        </w:rPr>
        <w:t>a</w:t>
      </w:r>
      <w:r w:rsidRPr="00A07F29">
        <w:rPr>
          <w:rFonts w:ascii="Times New Roman" w:eastAsia="Calibri" w:hAnsi="Times New Roman" w:cs="Times New Roman"/>
          <w:spacing w:val="4"/>
          <w:sz w:val="16"/>
          <w:szCs w:val="16"/>
        </w:rPr>
        <w:t xml:space="preserve"> </w:t>
      </w:r>
      <w:r w:rsidRPr="00A07F29">
        <w:rPr>
          <w:rFonts w:ascii="Times New Roman" w:eastAsia="Calibri" w:hAnsi="Times New Roman" w:cs="Times New Roman"/>
          <w:sz w:val="16"/>
          <w:szCs w:val="16"/>
        </w:rPr>
        <w:t xml:space="preserve">- </w:t>
      </w:r>
      <w:r w:rsidRPr="00A07F29">
        <w:rPr>
          <w:rFonts w:ascii="Times New Roman" w:eastAsia="Calibri" w:hAnsi="Times New Roman" w:cs="Times New Roman"/>
          <w:spacing w:val="1"/>
          <w:sz w:val="16"/>
          <w:szCs w:val="16"/>
        </w:rPr>
        <w:t>i</w:t>
      </w:r>
      <w:r w:rsidRPr="00A07F29">
        <w:rPr>
          <w:rFonts w:ascii="Times New Roman" w:eastAsia="Calibri" w:hAnsi="Times New Roman" w:cs="Times New Roman"/>
          <w:spacing w:val="-2"/>
          <w:sz w:val="16"/>
          <w:szCs w:val="16"/>
        </w:rPr>
        <w:t>zz</w:t>
      </w:r>
      <w:r w:rsidRPr="00A07F29">
        <w:rPr>
          <w:rFonts w:ascii="Times New Roman" w:eastAsia="Calibri" w:hAnsi="Times New Roman" w:cs="Times New Roman"/>
          <w:sz w:val="16"/>
          <w:szCs w:val="16"/>
        </w:rPr>
        <w:t>udu</w:t>
      </w:r>
      <w:r w:rsidRPr="00A07F29">
        <w:rPr>
          <w:rFonts w:ascii="Times New Roman" w:eastAsia="Calibri" w:hAnsi="Times New Roman" w:cs="Times New Roman"/>
          <w:spacing w:val="1"/>
          <w:sz w:val="16"/>
          <w:szCs w:val="16"/>
        </w:rPr>
        <w:t>š</w:t>
      </w:r>
      <w:r w:rsidRPr="00A07F29">
        <w:rPr>
          <w:rFonts w:ascii="Times New Roman" w:eastAsia="Calibri" w:hAnsi="Times New Roman" w:cs="Times New Roman"/>
          <w:sz w:val="16"/>
          <w:szCs w:val="16"/>
        </w:rPr>
        <w:t>ās</w:t>
      </w:r>
      <w:r w:rsidRPr="00A07F29">
        <w:rPr>
          <w:rFonts w:ascii="Times New Roman" w:eastAsia="Calibri" w:hAnsi="Times New Roman" w:cs="Times New Roman"/>
          <w:spacing w:val="4"/>
          <w:sz w:val="16"/>
          <w:szCs w:val="16"/>
        </w:rPr>
        <w:t xml:space="preserve"> </w:t>
      </w:r>
      <w:r w:rsidRPr="00A07F29">
        <w:rPr>
          <w:rFonts w:ascii="Times New Roman" w:eastAsia="Calibri" w:hAnsi="Times New Roman" w:cs="Times New Roman"/>
          <w:spacing w:val="1"/>
          <w:sz w:val="16"/>
          <w:szCs w:val="16"/>
        </w:rPr>
        <w:t>s</w:t>
      </w:r>
      <w:r w:rsidRPr="00A07F29">
        <w:rPr>
          <w:rFonts w:ascii="Times New Roman" w:eastAsia="Calibri" w:hAnsi="Times New Roman" w:cs="Times New Roman"/>
          <w:sz w:val="16"/>
          <w:szCs w:val="16"/>
        </w:rPr>
        <w:t>u</w:t>
      </w:r>
      <w:r w:rsidRPr="00A07F29">
        <w:rPr>
          <w:rFonts w:ascii="Times New Roman" w:eastAsia="Calibri" w:hAnsi="Times New Roman" w:cs="Times New Roman"/>
          <w:spacing w:val="-2"/>
          <w:sz w:val="16"/>
          <w:szCs w:val="16"/>
        </w:rPr>
        <w:t>g</w:t>
      </w:r>
      <w:r w:rsidRPr="00A07F29">
        <w:rPr>
          <w:rFonts w:ascii="Times New Roman" w:eastAsia="Calibri" w:hAnsi="Times New Roman" w:cs="Times New Roman"/>
          <w:sz w:val="16"/>
          <w:szCs w:val="16"/>
        </w:rPr>
        <w:t>a</w:t>
      </w:r>
      <w:r w:rsidRPr="00A07F29">
        <w:rPr>
          <w:rFonts w:ascii="Times New Roman" w:eastAsia="Calibri" w:hAnsi="Times New Roman" w:cs="Times New Roman"/>
          <w:spacing w:val="1"/>
          <w:sz w:val="16"/>
          <w:szCs w:val="16"/>
        </w:rPr>
        <w:t>s</w:t>
      </w:r>
      <w:r w:rsidRPr="00A07F29">
        <w:rPr>
          <w:rFonts w:ascii="Times New Roman" w:eastAsia="Calibri" w:hAnsi="Times New Roman" w:cs="Times New Roman"/>
          <w:sz w:val="16"/>
          <w:szCs w:val="16"/>
        </w:rPr>
        <w:t>;</w:t>
      </w:r>
      <w:r w:rsidRPr="00A07F29">
        <w:rPr>
          <w:rFonts w:ascii="Times New Roman" w:eastAsia="Calibri" w:hAnsi="Times New Roman" w:cs="Times New Roman"/>
          <w:spacing w:val="5"/>
          <w:sz w:val="16"/>
          <w:szCs w:val="16"/>
        </w:rPr>
        <w:t xml:space="preserve"> </w:t>
      </w:r>
      <w:r w:rsidRPr="00A07F29">
        <w:rPr>
          <w:rFonts w:ascii="Times New Roman" w:eastAsia="Calibri" w:hAnsi="Times New Roman" w:cs="Times New Roman"/>
          <w:b/>
          <w:sz w:val="16"/>
          <w:szCs w:val="16"/>
        </w:rPr>
        <w:t>1</w:t>
      </w:r>
      <w:r w:rsidRPr="00A07F29">
        <w:rPr>
          <w:rFonts w:ascii="Times New Roman" w:eastAsia="Calibri" w:hAnsi="Times New Roman" w:cs="Times New Roman"/>
          <w:sz w:val="16"/>
          <w:szCs w:val="16"/>
        </w:rPr>
        <w:t>.</w:t>
      </w:r>
      <w:r w:rsidRPr="00A07F29">
        <w:rPr>
          <w:rFonts w:ascii="Times New Roman" w:eastAsia="Calibri" w:hAnsi="Times New Roman" w:cs="Times New Roman"/>
          <w:spacing w:val="1"/>
          <w:sz w:val="16"/>
          <w:szCs w:val="16"/>
        </w:rPr>
        <w:t xml:space="preserve"> </w:t>
      </w:r>
      <w:r w:rsidRPr="00A07F29">
        <w:rPr>
          <w:rFonts w:ascii="Times New Roman" w:eastAsia="Calibri" w:hAnsi="Times New Roman" w:cs="Times New Roman"/>
          <w:spacing w:val="-2"/>
          <w:sz w:val="16"/>
          <w:szCs w:val="16"/>
        </w:rPr>
        <w:t>k</w:t>
      </w:r>
      <w:r w:rsidRPr="00A07F29">
        <w:rPr>
          <w:rFonts w:ascii="Times New Roman" w:eastAsia="Calibri" w:hAnsi="Times New Roman" w:cs="Times New Roman"/>
          <w:sz w:val="16"/>
          <w:szCs w:val="16"/>
        </w:rPr>
        <w:t>a</w:t>
      </w:r>
      <w:r w:rsidRPr="00A07F29">
        <w:rPr>
          <w:rFonts w:ascii="Times New Roman" w:eastAsia="Calibri" w:hAnsi="Times New Roman" w:cs="Times New Roman"/>
          <w:spacing w:val="1"/>
          <w:sz w:val="16"/>
          <w:szCs w:val="16"/>
        </w:rPr>
        <w:t>t</w:t>
      </w:r>
      <w:r w:rsidRPr="00A07F29">
        <w:rPr>
          <w:rFonts w:ascii="Times New Roman" w:eastAsia="Calibri" w:hAnsi="Times New Roman" w:cs="Times New Roman"/>
          <w:sz w:val="16"/>
          <w:szCs w:val="16"/>
        </w:rPr>
        <w:t>e</w:t>
      </w:r>
      <w:r w:rsidRPr="00A07F29">
        <w:rPr>
          <w:rFonts w:ascii="Times New Roman" w:eastAsia="Calibri" w:hAnsi="Times New Roman" w:cs="Times New Roman"/>
          <w:spacing w:val="-2"/>
          <w:sz w:val="16"/>
          <w:szCs w:val="16"/>
        </w:rPr>
        <w:t>g</w:t>
      </w:r>
      <w:r w:rsidRPr="00A07F29">
        <w:rPr>
          <w:rFonts w:ascii="Times New Roman" w:eastAsia="Calibri" w:hAnsi="Times New Roman" w:cs="Times New Roman"/>
          <w:sz w:val="16"/>
          <w:szCs w:val="16"/>
        </w:rPr>
        <w:t>o</w:t>
      </w:r>
      <w:r w:rsidRPr="00A07F29">
        <w:rPr>
          <w:rFonts w:ascii="Times New Roman" w:eastAsia="Calibri" w:hAnsi="Times New Roman" w:cs="Times New Roman"/>
          <w:spacing w:val="1"/>
          <w:sz w:val="16"/>
          <w:szCs w:val="16"/>
        </w:rPr>
        <w:t>r</w:t>
      </w:r>
      <w:r w:rsidRPr="00A07F29">
        <w:rPr>
          <w:rFonts w:ascii="Times New Roman" w:eastAsia="Calibri" w:hAnsi="Times New Roman" w:cs="Times New Roman"/>
          <w:spacing w:val="-1"/>
          <w:sz w:val="16"/>
          <w:szCs w:val="16"/>
        </w:rPr>
        <w:t>i</w:t>
      </w:r>
      <w:r w:rsidRPr="00A07F29">
        <w:rPr>
          <w:rFonts w:ascii="Times New Roman" w:eastAsia="Calibri" w:hAnsi="Times New Roman" w:cs="Times New Roman"/>
          <w:spacing w:val="1"/>
          <w:sz w:val="16"/>
          <w:szCs w:val="16"/>
        </w:rPr>
        <w:t>j</w:t>
      </w:r>
      <w:r w:rsidRPr="00A07F29">
        <w:rPr>
          <w:rFonts w:ascii="Times New Roman" w:eastAsia="Calibri" w:hAnsi="Times New Roman" w:cs="Times New Roman"/>
          <w:sz w:val="16"/>
          <w:szCs w:val="16"/>
        </w:rPr>
        <w:t>a</w:t>
      </w:r>
      <w:r w:rsidRPr="00A07F29">
        <w:rPr>
          <w:rFonts w:ascii="Times New Roman" w:eastAsia="Calibri" w:hAnsi="Times New Roman" w:cs="Times New Roman"/>
          <w:spacing w:val="4"/>
          <w:sz w:val="16"/>
          <w:szCs w:val="16"/>
        </w:rPr>
        <w:t xml:space="preserve"> </w:t>
      </w:r>
      <w:r w:rsidRPr="00A07F29">
        <w:rPr>
          <w:rFonts w:ascii="Times New Roman" w:eastAsia="Calibri" w:hAnsi="Times New Roman" w:cs="Times New Roman"/>
          <w:sz w:val="16"/>
          <w:szCs w:val="16"/>
        </w:rPr>
        <w:t xml:space="preserve">- </w:t>
      </w:r>
      <w:r w:rsidRPr="00A07F29">
        <w:rPr>
          <w:rFonts w:ascii="Times New Roman" w:eastAsia="Calibri" w:hAnsi="Times New Roman" w:cs="Times New Roman"/>
          <w:spacing w:val="1"/>
          <w:sz w:val="16"/>
          <w:szCs w:val="16"/>
        </w:rPr>
        <w:t>i</w:t>
      </w:r>
      <w:r w:rsidRPr="00A07F29">
        <w:rPr>
          <w:rFonts w:ascii="Times New Roman" w:eastAsia="Calibri" w:hAnsi="Times New Roman" w:cs="Times New Roman"/>
          <w:spacing w:val="-2"/>
          <w:sz w:val="16"/>
          <w:szCs w:val="16"/>
        </w:rPr>
        <w:t>zz</w:t>
      </w:r>
      <w:r w:rsidRPr="00A07F29">
        <w:rPr>
          <w:rFonts w:ascii="Times New Roman" w:eastAsia="Calibri" w:hAnsi="Times New Roman" w:cs="Times New Roman"/>
          <w:sz w:val="16"/>
          <w:szCs w:val="16"/>
        </w:rPr>
        <w:t>ūdo</w:t>
      </w:r>
      <w:r w:rsidRPr="00A07F29">
        <w:rPr>
          <w:rFonts w:ascii="Times New Roman" w:eastAsia="Calibri" w:hAnsi="Times New Roman" w:cs="Times New Roman"/>
          <w:spacing w:val="1"/>
          <w:sz w:val="16"/>
          <w:szCs w:val="16"/>
        </w:rPr>
        <w:t>š</w:t>
      </w:r>
      <w:r w:rsidRPr="00A07F29">
        <w:rPr>
          <w:rFonts w:ascii="Times New Roman" w:eastAsia="Calibri" w:hAnsi="Times New Roman" w:cs="Times New Roman"/>
          <w:sz w:val="16"/>
          <w:szCs w:val="16"/>
        </w:rPr>
        <w:t>ās</w:t>
      </w:r>
      <w:r w:rsidRPr="00A07F29">
        <w:rPr>
          <w:rFonts w:ascii="Times New Roman" w:eastAsia="Calibri" w:hAnsi="Times New Roman" w:cs="Times New Roman"/>
          <w:spacing w:val="4"/>
          <w:sz w:val="16"/>
          <w:szCs w:val="16"/>
        </w:rPr>
        <w:t xml:space="preserve"> </w:t>
      </w:r>
      <w:r w:rsidRPr="00A07F29">
        <w:rPr>
          <w:rFonts w:ascii="Times New Roman" w:eastAsia="Calibri" w:hAnsi="Times New Roman" w:cs="Times New Roman"/>
          <w:spacing w:val="1"/>
          <w:sz w:val="16"/>
          <w:szCs w:val="16"/>
        </w:rPr>
        <w:t>s</w:t>
      </w:r>
      <w:r w:rsidRPr="00A07F29">
        <w:rPr>
          <w:rFonts w:ascii="Times New Roman" w:eastAsia="Calibri" w:hAnsi="Times New Roman" w:cs="Times New Roman"/>
          <w:sz w:val="16"/>
          <w:szCs w:val="16"/>
        </w:rPr>
        <w:t>u</w:t>
      </w:r>
      <w:r w:rsidRPr="00A07F29">
        <w:rPr>
          <w:rFonts w:ascii="Times New Roman" w:eastAsia="Calibri" w:hAnsi="Times New Roman" w:cs="Times New Roman"/>
          <w:spacing w:val="-2"/>
          <w:sz w:val="16"/>
          <w:szCs w:val="16"/>
        </w:rPr>
        <w:t>g</w:t>
      </w:r>
      <w:r w:rsidRPr="00A07F29">
        <w:rPr>
          <w:rFonts w:ascii="Times New Roman" w:eastAsia="Calibri" w:hAnsi="Times New Roman" w:cs="Times New Roman"/>
          <w:sz w:val="16"/>
          <w:szCs w:val="16"/>
        </w:rPr>
        <w:t>a</w:t>
      </w:r>
      <w:r w:rsidRPr="00A07F29">
        <w:rPr>
          <w:rFonts w:ascii="Times New Roman" w:eastAsia="Calibri" w:hAnsi="Times New Roman" w:cs="Times New Roman"/>
          <w:spacing w:val="1"/>
          <w:sz w:val="16"/>
          <w:szCs w:val="16"/>
        </w:rPr>
        <w:t>s</w:t>
      </w:r>
      <w:r w:rsidRPr="00A07F29">
        <w:rPr>
          <w:rFonts w:ascii="Times New Roman" w:eastAsia="Calibri" w:hAnsi="Times New Roman" w:cs="Times New Roman"/>
          <w:sz w:val="16"/>
          <w:szCs w:val="16"/>
        </w:rPr>
        <w:t>;</w:t>
      </w:r>
      <w:r w:rsidRPr="00A07F29">
        <w:rPr>
          <w:rFonts w:ascii="Times New Roman" w:eastAsia="Calibri" w:hAnsi="Times New Roman" w:cs="Times New Roman"/>
          <w:spacing w:val="5"/>
          <w:sz w:val="16"/>
          <w:szCs w:val="16"/>
        </w:rPr>
        <w:t xml:space="preserve"> </w:t>
      </w:r>
      <w:r w:rsidRPr="00A07F29">
        <w:rPr>
          <w:rFonts w:ascii="Times New Roman" w:eastAsia="Calibri" w:hAnsi="Times New Roman" w:cs="Times New Roman"/>
          <w:b/>
          <w:spacing w:val="-2"/>
          <w:sz w:val="16"/>
          <w:szCs w:val="16"/>
        </w:rPr>
        <w:t>2</w:t>
      </w:r>
      <w:r w:rsidRPr="00A07F29">
        <w:rPr>
          <w:rFonts w:ascii="Times New Roman" w:eastAsia="Calibri" w:hAnsi="Times New Roman" w:cs="Times New Roman"/>
          <w:sz w:val="16"/>
          <w:szCs w:val="16"/>
        </w:rPr>
        <w:t xml:space="preserve">. </w:t>
      </w:r>
      <w:r w:rsidRPr="00A07F29">
        <w:rPr>
          <w:rFonts w:ascii="Times New Roman" w:eastAsia="Calibri" w:hAnsi="Times New Roman" w:cs="Times New Roman"/>
          <w:spacing w:val="-2"/>
          <w:sz w:val="16"/>
          <w:szCs w:val="16"/>
        </w:rPr>
        <w:t>k</w:t>
      </w:r>
      <w:r w:rsidRPr="00A07F29">
        <w:rPr>
          <w:rFonts w:ascii="Times New Roman" w:eastAsia="Calibri" w:hAnsi="Times New Roman" w:cs="Times New Roman"/>
          <w:sz w:val="16"/>
          <w:szCs w:val="16"/>
        </w:rPr>
        <w:t>a</w:t>
      </w:r>
      <w:r w:rsidRPr="00A07F29">
        <w:rPr>
          <w:rFonts w:ascii="Times New Roman" w:eastAsia="Calibri" w:hAnsi="Times New Roman" w:cs="Times New Roman"/>
          <w:spacing w:val="1"/>
          <w:sz w:val="16"/>
          <w:szCs w:val="16"/>
        </w:rPr>
        <w:t>t</w:t>
      </w:r>
      <w:r w:rsidRPr="00A07F29">
        <w:rPr>
          <w:rFonts w:ascii="Times New Roman" w:eastAsia="Calibri" w:hAnsi="Times New Roman" w:cs="Times New Roman"/>
          <w:sz w:val="16"/>
          <w:szCs w:val="16"/>
        </w:rPr>
        <w:t>e</w:t>
      </w:r>
      <w:r w:rsidRPr="00A07F29">
        <w:rPr>
          <w:rFonts w:ascii="Times New Roman" w:eastAsia="Calibri" w:hAnsi="Times New Roman" w:cs="Times New Roman"/>
          <w:spacing w:val="-2"/>
          <w:sz w:val="16"/>
          <w:szCs w:val="16"/>
        </w:rPr>
        <w:t>g</w:t>
      </w:r>
      <w:r w:rsidRPr="00A07F29">
        <w:rPr>
          <w:rFonts w:ascii="Times New Roman" w:eastAsia="Calibri" w:hAnsi="Times New Roman" w:cs="Times New Roman"/>
          <w:sz w:val="16"/>
          <w:szCs w:val="16"/>
        </w:rPr>
        <w:t>o</w:t>
      </w:r>
      <w:r w:rsidRPr="00A07F29">
        <w:rPr>
          <w:rFonts w:ascii="Times New Roman" w:eastAsia="Calibri" w:hAnsi="Times New Roman" w:cs="Times New Roman"/>
          <w:spacing w:val="1"/>
          <w:sz w:val="16"/>
          <w:szCs w:val="16"/>
        </w:rPr>
        <w:t>r</w:t>
      </w:r>
      <w:r w:rsidRPr="00A07F29">
        <w:rPr>
          <w:rFonts w:ascii="Times New Roman" w:eastAsia="Calibri" w:hAnsi="Times New Roman" w:cs="Times New Roman"/>
          <w:spacing w:val="-1"/>
          <w:sz w:val="16"/>
          <w:szCs w:val="16"/>
        </w:rPr>
        <w:t>i</w:t>
      </w:r>
      <w:r w:rsidRPr="00A07F29">
        <w:rPr>
          <w:rFonts w:ascii="Times New Roman" w:eastAsia="Calibri" w:hAnsi="Times New Roman" w:cs="Times New Roman"/>
          <w:spacing w:val="3"/>
          <w:sz w:val="16"/>
          <w:szCs w:val="16"/>
        </w:rPr>
        <w:t>j</w:t>
      </w:r>
      <w:r w:rsidRPr="00A07F29">
        <w:rPr>
          <w:rFonts w:ascii="Times New Roman" w:eastAsia="Calibri" w:hAnsi="Times New Roman" w:cs="Times New Roman"/>
          <w:sz w:val="16"/>
          <w:szCs w:val="16"/>
        </w:rPr>
        <w:t>a</w:t>
      </w:r>
      <w:r w:rsidRPr="00A07F29">
        <w:rPr>
          <w:rFonts w:ascii="Times New Roman" w:eastAsia="Calibri" w:hAnsi="Times New Roman" w:cs="Times New Roman"/>
          <w:spacing w:val="2"/>
          <w:sz w:val="16"/>
          <w:szCs w:val="16"/>
        </w:rPr>
        <w:t xml:space="preserve"> </w:t>
      </w:r>
      <w:r w:rsidRPr="00A07F29">
        <w:rPr>
          <w:rFonts w:ascii="Times New Roman" w:eastAsia="Calibri" w:hAnsi="Times New Roman" w:cs="Times New Roman"/>
          <w:sz w:val="16"/>
          <w:szCs w:val="16"/>
        </w:rPr>
        <w:t xml:space="preserve">- </w:t>
      </w:r>
      <w:r w:rsidRPr="00A07F29">
        <w:rPr>
          <w:rFonts w:ascii="Times New Roman" w:eastAsia="Calibri" w:hAnsi="Times New Roman" w:cs="Times New Roman"/>
          <w:spacing w:val="1"/>
          <w:sz w:val="16"/>
          <w:szCs w:val="16"/>
        </w:rPr>
        <w:t>s</w:t>
      </w:r>
      <w:r w:rsidRPr="00A07F29">
        <w:rPr>
          <w:rFonts w:ascii="Times New Roman" w:eastAsia="Calibri" w:hAnsi="Times New Roman" w:cs="Times New Roman"/>
          <w:sz w:val="16"/>
          <w:szCs w:val="16"/>
        </w:rPr>
        <w:t>a</w:t>
      </w:r>
      <w:r w:rsidRPr="00A07F29">
        <w:rPr>
          <w:rFonts w:ascii="Times New Roman" w:eastAsia="Calibri" w:hAnsi="Times New Roman" w:cs="Times New Roman"/>
          <w:spacing w:val="1"/>
          <w:sz w:val="16"/>
          <w:szCs w:val="16"/>
        </w:rPr>
        <w:t>r</w:t>
      </w:r>
      <w:r w:rsidRPr="00A07F29">
        <w:rPr>
          <w:rFonts w:ascii="Times New Roman" w:eastAsia="Calibri" w:hAnsi="Times New Roman" w:cs="Times New Roman"/>
          <w:sz w:val="16"/>
          <w:szCs w:val="16"/>
        </w:rPr>
        <w:t>ū</w:t>
      </w:r>
      <w:r w:rsidRPr="00A07F29">
        <w:rPr>
          <w:rFonts w:ascii="Times New Roman" w:eastAsia="Calibri" w:hAnsi="Times New Roman" w:cs="Times New Roman"/>
          <w:spacing w:val="-2"/>
          <w:sz w:val="16"/>
          <w:szCs w:val="16"/>
        </w:rPr>
        <w:t>k</w:t>
      </w:r>
      <w:r w:rsidRPr="00A07F29">
        <w:rPr>
          <w:rFonts w:ascii="Times New Roman" w:eastAsia="Calibri" w:hAnsi="Times New Roman" w:cs="Times New Roman"/>
          <w:sz w:val="16"/>
          <w:szCs w:val="16"/>
        </w:rPr>
        <w:t>o</w:t>
      </w:r>
      <w:r w:rsidRPr="00A07F29">
        <w:rPr>
          <w:rFonts w:ascii="Times New Roman" w:eastAsia="Calibri" w:hAnsi="Times New Roman" w:cs="Times New Roman"/>
          <w:spacing w:val="1"/>
          <w:sz w:val="16"/>
          <w:szCs w:val="16"/>
        </w:rPr>
        <w:t>š</w:t>
      </w:r>
      <w:r w:rsidRPr="00A07F29">
        <w:rPr>
          <w:rFonts w:ascii="Times New Roman" w:eastAsia="Calibri" w:hAnsi="Times New Roman" w:cs="Times New Roman"/>
          <w:sz w:val="16"/>
          <w:szCs w:val="16"/>
        </w:rPr>
        <w:t>ās</w:t>
      </w:r>
      <w:r w:rsidRPr="00A07F29">
        <w:rPr>
          <w:rFonts w:ascii="Times New Roman" w:eastAsia="Calibri" w:hAnsi="Times New Roman" w:cs="Times New Roman"/>
          <w:spacing w:val="2"/>
          <w:sz w:val="16"/>
          <w:szCs w:val="16"/>
        </w:rPr>
        <w:t xml:space="preserve"> </w:t>
      </w:r>
      <w:r w:rsidRPr="00A07F29">
        <w:rPr>
          <w:rFonts w:ascii="Times New Roman" w:eastAsia="Calibri" w:hAnsi="Times New Roman" w:cs="Times New Roman"/>
          <w:spacing w:val="1"/>
          <w:sz w:val="16"/>
          <w:szCs w:val="16"/>
        </w:rPr>
        <w:t>s</w:t>
      </w:r>
      <w:r w:rsidRPr="00A07F29">
        <w:rPr>
          <w:rFonts w:ascii="Times New Roman" w:eastAsia="Calibri" w:hAnsi="Times New Roman" w:cs="Times New Roman"/>
          <w:sz w:val="16"/>
          <w:szCs w:val="16"/>
        </w:rPr>
        <w:t>u</w:t>
      </w:r>
      <w:r w:rsidRPr="00A07F29">
        <w:rPr>
          <w:rFonts w:ascii="Times New Roman" w:eastAsia="Calibri" w:hAnsi="Times New Roman" w:cs="Times New Roman"/>
          <w:spacing w:val="-2"/>
          <w:sz w:val="16"/>
          <w:szCs w:val="16"/>
        </w:rPr>
        <w:t>ga</w:t>
      </w:r>
      <w:r w:rsidRPr="00A07F29">
        <w:rPr>
          <w:rFonts w:ascii="Times New Roman" w:eastAsia="Calibri" w:hAnsi="Times New Roman" w:cs="Times New Roman"/>
          <w:spacing w:val="1"/>
          <w:sz w:val="16"/>
          <w:szCs w:val="16"/>
        </w:rPr>
        <w:t>s</w:t>
      </w:r>
      <w:r w:rsidRPr="00A07F29">
        <w:rPr>
          <w:rFonts w:ascii="Times New Roman" w:eastAsia="Calibri" w:hAnsi="Times New Roman" w:cs="Times New Roman"/>
          <w:sz w:val="16"/>
          <w:szCs w:val="16"/>
        </w:rPr>
        <w:t>;</w:t>
      </w:r>
      <w:r w:rsidRPr="00A07F29">
        <w:rPr>
          <w:rFonts w:ascii="Times New Roman" w:eastAsia="Calibri" w:hAnsi="Times New Roman" w:cs="Times New Roman"/>
          <w:spacing w:val="5"/>
          <w:sz w:val="16"/>
          <w:szCs w:val="16"/>
        </w:rPr>
        <w:t xml:space="preserve"> </w:t>
      </w:r>
      <w:r w:rsidRPr="00A07F29">
        <w:rPr>
          <w:rFonts w:ascii="Times New Roman" w:eastAsia="Calibri" w:hAnsi="Times New Roman" w:cs="Times New Roman"/>
          <w:b/>
          <w:spacing w:val="-2"/>
          <w:sz w:val="16"/>
          <w:szCs w:val="16"/>
        </w:rPr>
        <w:t>3</w:t>
      </w:r>
      <w:r w:rsidRPr="00A07F29">
        <w:rPr>
          <w:rFonts w:ascii="Times New Roman" w:eastAsia="Calibri" w:hAnsi="Times New Roman" w:cs="Times New Roman"/>
          <w:sz w:val="16"/>
          <w:szCs w:val="16"/>
        </w:rPr>
        <w:t>.</w:t>
      </w:r>
      <w:r w:rsidRPr="00A07F29">
        <w:rPr>
          <w:rFonts w:ascii="Times New Roman" w:eastAsia="Calibri" w:hAnsi="Times New Roman" w:cs="Times New Roman"/>
          <w:spacing w:val="4"/>
          <w:sz w:val="16"/>
          <w:szCs w:val="16"/>
        </w:rPr>
        <w:t xml:space="preserve"> </w:t>
      </w:r>
      <w:r w:rsidRPr="00A07F29">
        <w:rPr>
          <w:rFonts w:ascii="Times New Roman" w:eastAsia="Calibri" w:hAnsi="Times New Roman" w:cs="Times New Roman"/>
          <w:spacing w:val="-2"/>
          <w:sz w:val="16"/>
          <w:szCs w:val="16"/>
        </w:rPr>
        <w:t>k</w:t>
      </w:r>
      <w:r w:rsidRPr="00A07F29">
        <w:rPr>
          <w:rFonts w:ascii="Times New Roman" w:eastAsia="Calibri" w:hAnsi="Times New Roman" w:cs="Times New Roman"/>
          <w:sz w:val="16"/>
          <w:szCs w:val="16"/>
        </w:rPr>
        <w:t>a</w:t>
      </w:r>
      <w:r w:rsidRPr="00A07F29">
        <w:rPr>
          <w:rFonts w:ascii="Times New Roman" w:eastAsia="Calibri" w:hAnsi="Times New Roman" w:cs="Times New Roman"/>
          <w:spacing w:val="1"/>
          <w:sz w:val="16"/>
          <w:szCs w:val="16"/>
        </w:rPr>
        <w:t>t</w:t>
      </w:r>
      <w:r w:rsidRPr="00A07F29">
        <w:rPr>
          <w:rFonts w:ascii="Times New Roman" w:eastAsia="Calibri" w:hAnsi="Times New Roman" w:cs="Times New Roman"/>
          <w:sz w:val="16"/>
          <w:szCs w:val="16"/>
        </w:rPr>
        <w:t>e</w:t>
      </w:r>
      <w:r w:rsidRPr="00A07F29">
        <w:rPr>
          <w:rFonts w:ascii="Times New Roman" w:eastAsia="Calibri" w:hAnsi="Times New Roman" w:cs="Times New Roman"/>
          <w:spacing w:val="-2"/>
          <w:sz w:val="16"/>
          <w:szCs w:val="16"/>
        </w:rPr>
        <w:t>g</w:t>
      </w:r>
      <w:r w:rsidRPr="00A07F29">
        <w:rPr>
          <w:rFonts w:ascii="Times New Roman" w:eastAsia="Calibri" w:hAnsi="Times New Roman" w:cs="Times New Roman"/>
          <w:sz w:val="16"/>
          <w:szCs w:val="16"/>
        </w:rPr>
        <w:t>o</w:t>
      </w:r>
      <w:r w:rsidRPr="00A07F29">
        <w:rPr>
          <w:rFonts w:ascii="Times New Roman" w:eastAsia="Calibri" w:hAnsi="Times New Roman" w:cs="Times New Roman"/>
          <w:spacing w:val="-1"/>
          <w:sz w:val="16"/>
          <w:szCs w:val="16"/>
        </w:rPr>
        <w:t>ri</w:t>
      </w:r>
      <w:r w:rsidRPr="00A07F29">
        <w:rPr>
          <w:rFonts w:ascii="Times New Roman" w:eastAsia="Calibri" w:hAnsi="Times New Roman" w:cs="Times New Roman"/>
          <w:spacing w:val="3"/>
          <w:sz w:val="16"/>
          <w:szCs w:val="16"/>
        </w:rPr>
        <w:t>j</w:t>
      </w:r>
      <w:r w:rsidRPr="00A07F29">
        <w:rPr>
          <w:rFonts w:ascii="Times New Roman" w:eastAsia="Calibri" w:hAnsi="Times New Roman" w:cs="Times New Roman"/>
          <w:sz w:val="16"/>
          <w:szCs w:val="16"/>
        </w:rPr>
        <w:t>a</w:t>
      </w:r>
      <w:r w:rsidRPr="00A07F29">
        <w:rPr>
          <w:rFonts w:ascii="Times New Roman" w:eastAsia="Calibri" w:hAnsi="Times New Roman" w:cs="Times New Roman"/>
          <w:spacing w:val="2"/>
          <w:sz w:val="16"/>
          <w:szCs w:val="16"/>
        </w:rPr>
        <w:t xml:space="preserve"> </w:t>
      </w:r>
      <w:r w:rsidRPr="00A07F29">
        <w:rPr>
          <w:rFonts w:ascii="Times New Roman" w:eastAsia="Calibri" w:hAnsi="Times New Roman" w:cs="Times New Roman"/>
          <w:sz w:val="16"/>
          <w:szCs w:val="16"/>
        </w:rPr>
        <w:t xml:space="preserve">- </w:t>
      </w:r>
      <w:r w:rsidRPr="00A07F29">
        <w:rPr>
          <w:rFonts w:ascii="Times New Roman" w:eastAsia="Calibri" w:hAnsi="Times New Roman" w:cs="Times New Roman"/>
          <w:spacing w:val="1"/>
          <w:sz w:val="16"/>
          <w:szCs w:val="16"/>
        </w:rPr>
        <w:t>r</w:t>
      </w:r>
      <w:r w:rsidRPr="00A07F29">
        <w:rPr>
          <w:rFonts w:ascii="Times New Roman" w:eastAsia="Calibri" w:hAnsi="Times New Roman" w:cs="Times New Roman"/>
          <w:sz w:val="16"/>
          <w:szCs w:val="16"/>
        </w:rPr>
        <w:t>e</w:t>
      </w:r>
      <w:r w:rsidRPr="00A07F29">
        <w:rPr>
          <w:rFonts w:ascii="Times New Roman" w:eastAsia="Calibri" w:hAnsi="Times New Roman" w:cs="Times New Roman"/>
          <w:spacing w:val="1"/>
          <w:sz w:val="16"/>
          <w:szCs w:val="16"/>
        </w:rPr>
        <w:t>t</w:t>
      </w:r>
      <w:r w:rsidRPr="00A07F29">
        <w:rPr>
          <w:rFonts w:ascii="Times New Roman" w:eastAsia="Calibri" w:hAnsi="Times New Roman" w:cs="Times New Roman"/>
          <w:spacing w:val="-2"/>
          <w:sz w:val="16"/>
          <w:szCs w:val="16"/>
        </w:rPr>
        <w:t>ā</w:t>
      </w:r>
      <w:r w:rsidRPr="00A07F29">
        <w:rPr>
          <w:rFonts w:ascii="Times New Roman" w:eastAsia="Calibri" w:hAnsi="Times New Roman" w:cs="Times New Roman"/>
          <w:sz w:val="16"/>
          <w:szCs w:val="16"/>
        </w:rPr>
        <w:t>s</w:t>
      </w:r>
      <w:r w:rsidRPr="00A07F29">
        <w:rPr>
          <w:rFonts w:ascii="Times New Roman" w:eastAsia="Calibri" w:hAnsi="Times New Roman" w:cs="Times New Roman"/>
          <w:spacing w:val="5"/>
          <w:sz w:val="16"/>
          <w:szCs w:val="16"/>
        </w:rPr>
        <w:t xml:space="preserve"> </w:t>
      </w:r>
      <w:r w:rsidRPr="00A07F29">
        <w:rPr>
          <w:rFonts w:ascii="Times New Roman" w:eastAsia="Calibri" w:hAnsi="Times New Roman" w:cs="Times New Roman"/>
          <w:spacing w:val="-2"/>
          <w:sz w:val="16"/>
          <w:szCs w:val="16"/>
        </w:rPr>
        <w:t>s</w:t>
      </w:r>
      <w:r w:rsidRPr="00A07F29">
        <w:rPr>
          <w:rFonts w:ascii="Times New Roman" w:eastAsia="Calibri" w:hAnsi="Times New Roman" w:cs="Times New Roman"/>
          <w:sz w:val="16"/>
          <w:szCs w:val="16"/>
        </w:rPr>
        <w:t>u</w:t>
      </w:r>
      <w:r w:rsidRPr="00A07F29">
        <w:rPr>
          <w:rFonts w:ascii="Times New Roman" w:eastAsia="Calibri" w:hAnsi="Times New Roman" w:cs="Times New Roman"/>
          <w:spacing w:val="-2"/>
          <w:sz w:val="16"/>
          <w:szCs w:val="16"/>
        </w:rPr>
        <w:t>g</w:t>
      </w:r>
      <w:r w:rsidRPr="00A07F29">
        <w:rPr>
          <w:rFonts w:ascii="Times New Roman" w:eastAsia="Calibri" w:hAnsi="Times New Roman" w:cs="Times New Roman"/>
          <w:sz w:val="16"/>
          <w:szCs w:val="16"/>
        </w:rPr>
        <w:t>a</w:t>
      </w:r>
      <w:r w:rsidRPr="00A07F29">
        <w:rPr>
          <w:rFonts w:ascii="Times New Roman" w:eastAsia="Calibri" w:hAnsi="Times New Roman" w:cs="Times New Roman"/>
          <w:spacing w:val="1"/>
          <w:sz w:val="16"/>
          <w:szCs w:val="16"/>
        </w:rPr>
        <w:t>s</w:t>
      </w:r>
      <w:r w:rsidRPr="00A07F29">
        <w:rPr>
          <w:rFonts w:ascii="Times New Roman" w:eastAsia="Calibri" w:hAnsi="Times New Roman" w:cs="Times New Roman"/>
          <w:sz w:val="16"/>
          <w:szCs w:val="16"/>
        </w:rPr>
        <w:t>;</w:t>
      </w:r>
      <w:r w:rsidRPr="00A07F29">
        <w:rPr>
          <w:rFonts w:ascii="Times New Roman" w:eastAsia="Calibri" w:hAnsi="Times New Roman" w:cs="Times New Roman"/>
          <w:spacing w:val="5"/>
          <w:sz w:val="16"/>
          <w:szCs w:val="16"/>
        </w:rPr>
        <w:t xml:space="preserve"> </w:t>
      </w:r>
      <w:r w:rsidRPr="00A07F29">
        <w:rPr>
          <w:rFonts w:ascii="Times New Roman" w:eastAsia="Calibri" w:hAnsi="Times New Roman" w:cs="Times New Roman"/>
          <w:b/>
          <w:spacing w:val="-2"/>
          <w:sz w:val="16"/>
          <w:szCs w:val="16"/>
        </w:rPr>
        <w:t>4</w:t>
      </w:r>
      <w:r w:rsidRPr="00A07F29">
        <w:rPr>
          <w:rFonts w:ascii="Times New Roman" w:eastAsia="Calibri" w:hAnsi="Times New Roman" w:cs="Times New Roman"/>
          <w:sz w:val="16"/>
          <w:szCs w:val="16"/>
        </w:rPr>
        <w:t>.</w:t>
      </w:r>
      <w:r w:rsidRPr="00A07F29">
        <w:rPr>
          <w:rFonts w:ascii="Times New Roman" w:eastAsia="Calibri" w:hAnsi="Times New Roman" w:cs="Times New Roman"/>
          <w:spacing w:val="4"/>
          <w:sz w:val="16"/>
          <w:szCs w:val="16"/>
        </w:rPr>
        <w:t xml:space="preserve"> </w:t>
      </w:r>
      <w:r w:rsidRPr="00A07F29">
        <w:rPr>
          <w:rFonts w:ascii="Times New Roman" w:eastAsia="Calibri" w:hAnsi="Times New Roman" w:cs="Times New Roman"/>
          <w:spacing w:val="-2"/>
          <w:sz w:val="16"/>
          <w:szCs w:val="16"/>
        </w:rPr>
        <w:t>k</w:t>
      </w:r>
      <w:r w:rsidRPr="00A07F29">
        <w:rPr>
          <w:rFonts w:ascii="Times New Roman" w:eastAsia="Calibri" w:hAnsi="Times New Roman" w:cs="Times New Roman"/>
          <w:sz w:val="16"/>
          <w:szCs w:val="16"/>
        </w:rPr>
        <w:t>a</w:t>
      </w:r>
      <w:r w:rsidRPr="00A07F29">
        <w:rPr>
          <w:rFonts w:ascii="Times New Roman" w:eastAsia="Calibri" w:hAnsi="Times New Roman" w:cs="Times New Roman"/>
          <w:spacing w:val="1"/>
          <w:sz w:val="16"/>
          <w:szCs w:val="16"/>
        </w:rPr>
        <w:t>t</w:t>
      </w:r>
      <w:r w:rsidRPr="00A07F29">
        <w:rPr>
          <w:rFonts w:ascii="Times New Roman" w:eastAsia="Calibri" w:hAnsi="Times New Roman" w:cs="Times New Roman"/>
          <w:sz w:val="16"/>
          <w:szCs w:val="16"/>
        </w:rPr>
        <w:t>e</w:t>
      </w:r>
      <w:r w:rsidRPr="00A07F29">
        <w:rPr>
          <w:rFonts w:ascii="Times New Roman" w:eastAsia="Calibri" w:hAnsi="Times New Roman" w:cs="Times New Roman"/>
          <w:spacing w:val="-2"/>
          <w:sz w:val="16"/>
          <w:szCs w:val="16"/>
        </w:rPr>
        <w:t>g</w:t>
      </w:r>
      <w:r w:rsidRPr="00A07F29">
        <w:rPr>
          <w:rFonts w:ascii="Times New Roman" w:eastAsia="Calibri" w:hAnsi="Times New Roman" w:cs="Times New Roman"/>
          <w:sz w:val="16"/>
          <w:szCs w:val="16"/>
        </w:rPr>
        <w:t>o</w:t>
      </w:r>
      <w:r w:rsidRPr="00A07F29">
        <w:rPr>
          <w:rFonts w:ascii="Times New Roman" w:eastAsia="Calibri" w:hAnsi="Times New Roman" w:cs="Times New Roman"/>
          <w:spacing w:val="-1"/>
          <w:sz w:val="16"/>
          <w:szCs w:val="16"/>
        </w:rPr>
        <w:t>ri</w:t>
      </w:r>
      <w:r w:rsidRPr="00A07F29">
        <w:rPr>
          <w:rFonts w:ascii="Times New Roman" w:eastAsia="Calibri" w:hAnsi="Times New Roman" w:cs="Times New Roman"/>
          <w:spacing w:val="3"/>
          <w:sz w:val="16"/>
          <w:szCs w:val="16"/>
        </w:rPr>
        <w:t>j</w:t>
      </w:r>
      <w:r w:rsidRPr="00A07F29">
        <w:rPr>
          <w:rFonts w:ascii="Times New Roman" w:eastAsia="Calibri" w:hAnsi="Times New Roman" w:cs="Times New Roman"/>
          <w:sz w:val="16"/>
          <w:szCs w:val="16"/>
        </w:rPr>
        <w:t>a</w:t>
      </w:r>
      <w:r w:rsidRPr="00A07F29">
        <w:rPr>
          <w:rFonts w:ascii="Times New Roman" w:eastAsia="Calibri" w:hAnsi="Times New Roman" w:cs="Times New Roman"/>
          <w:spacing w:val="2"/>
          <w:sz w:val="16"/>
          <w:szCs w:val="16"/>
        </w:rPr>
        <w:t xml:space="preserve"> </w:t>
      </w:r>
      <w:r w:rsidRPr="00A07F29">
        <w:rPr>
          <w:rFonts w:ascii="Times New Roman" w:eastAsia="Calibri" w:hAnsi="Times New Roman" w:cs="Times New Roman"/>
          <w:sz w:val="16"/>
          <w:szCs w:val="16"/>
        </w:rPr>
        <w:t>-</w:t>
      </w:r>
      <w:r w:rsidRPr="00A07F29">
        <w:rPr>
          <w:rFonts w:ascii="Times New Roman" w:eastAsia="Calibri" w:hAnsi="Times New Roman" w:cs="Times New Roman"/>
          <w:spacing w:val="3"/>
          <w:sz w:val="16"/>
          <w:szCs w:val="16"/>
        </w:rPr>
        <w:t xml:space="preserve"> </w:t>
      </w:r>
      <w:r w:rsidRPr="00A07F29">
        <w:rPr>
          <w:rFonts w:ascii="Times New Roman" w:eastAsia="Calibri" w:hAnsi="Times New Roman" w:cs="Times New Roman"/>
          <w:spacing w:val="-4"/>
          <w:sz w:val="16"/>
          <w:szCs w:val="16"/>
        </w:rPr>
        <w:t>m</w:t>
      </w:r>
      <w:r w:rsidRPr="00A07F29">
        <w:rPr>
          <w:rFonts w:ascii="Times New Roman" w:eastAsia="Calibri" w:hAnsi="Times New Roman" w:cs="Times New Roman"/>
          <w:sz w:val="16"/>
          <w:szCs w:val="16"/>
        </w:rPr>
        <w:t>az</w:t>
      </w:r>
      <w:r w:rsidRPr="00A07F29">
        <w:rPr>
          <w:rFonts w:ascii="Times New Roman" w:eastAsia="Calibri" w:hAnsi="Times New Roman" w:cs="Times New Roman"/>
          <w:spacing w:val="2"/>
          <w:sz w:val="16"/>
          <w:szCs w:val="16"/>
        </w:rPr>
        <w:t xml:space="preserve"> </w:t>
      </w:r>
      <w:r w:rsidRPr="00A07F29">
        <w:rPr>
          <w:rFonts w:ascii="Times New Roman" w:eastAsia="Calibri" w:hAnsi="Times New Roman" w:cs="Times New Roman"/>
          <w:sz w:val="16"/>
          <w:szCs w:val="16"/>
        </w:rPr>
        <w:t>pa</w:t>
      </w:r>
      <w:r w:rsidRPr="00A07F29">
        <w:rPr>
          <w:rFonts w:ascii="Times New Roman" w:eastAsia="Calibri" w:hAnsi="Times New Roman" w:cs="Times New Roman"/>
          <w:spacing w:val="-2"/>
          <w:sz w:val="16"/>
          <w:szCs w:val="16"/>
        </w:rPr>
        <w:t>z</w:t>
      </w:r>
      <w:r w:rsidRPr="00A07F29">
        <w:rPr>
          <w:rFonts w:ascii="Times New Roman" w:eastAsia="Calibri" w:hAnsi="Times New Roman" w:cs="Times New Roman"/>
          <w:spacing w:val="1"/>
          <w:sz w:val="16"/>
          <w:szCs w:val="16"/>
        </w:rPr>
        <w:t>īst</w:t>
      </w:r>
      <w:r w:rsidRPr="00A07F29">
        <w:rPr>
          <w:rFonts w:ascii="Times New Roman" w:eastAsia="Calibri" w:hAnsi="Times New Roman" w:cs="Times New Roman"/>
          <w:sz w:val="16"/>
          <w:szCs w:val="16"/>
        </w:rPr>
        <w:t>a</w:t>
      </w:r>
      <w:r w:rsidRPr="00A07F29">
        <w:rPr>
          <w:rFonts w:ascii="Times New Roman" w:eastAsia="Calibri" w:hAnsi="Times New Roman" w:cs="Times New Roman"/>
          <w:spacing w:val="-4"/>
          <w:sz w:val="16"/>
          <w:szCs w:val="16"/>
        </w:rPr>
        <w:t>m</w:t>
      </w:r>
      <w:r w:rsidRPr="00A07F29">
        <w:rPr>
          <w:rFonts w:ascii="Times New Roman" w:eastAsia="Calibri" w:hAnsi="Times New Roman" w:cs="Times New Roman"/>
          <w:sz w:val="16"/>
          <w:szCs w:val="16"/>
        </w:rPr>
        <w:t>ās</w:t>
      </w:r>
      <w:r w:rsidRPr="00A07F29">
        <w:rPr>
          <w:rFonts w:ascii="Times New Roman" w:eastAsia="Calibri" w:hAnsi="Times New Roman" w:cs="Times New Roman"/>
          <w:spacing w:val="5"/>
          <w:sz w:val="16"/>
          <w:szCs w:val="16"/>
        </w:rPr>
        <w:t xml:space="preserve"> </w:t>
      </w:r>
      <w:r w:rsidRPr="00A07F29">
        <w:rPr>
          <w:rFonts w:ascii="Times New Roman" w:eastAsia="Calibri" w:hAnsi="Times New Roman" w:cs="Times New Roman"/>
          <w:spacing w:val="1"/>
          <w:sz w:val="16"/>
          <w:szCs w:val="16"/>
        </w:rPr>
        <w:t>s</w:t>
      </w:r>
      <w:r w:rsidRPr="00A07F29">
        <w:rPr>
          <w:rFonts w:ascii="Times New Roman" w:eastAsia="Calibri" w:hAnsi="Times New Roman" w:cs="Times New Roman"/>
          <w:sz w:val="16"/>
          <w:szCs w:val="16"/>
        </w:rPr>
        <w:t>u</w:t>
      </w:r>
      <w:r w:rsidRPr="00A07F29">
        <w:rPr>
          <w:rFonts w:ascii="Times New Roman" w:eastAsia="Calibri" w:hAnsi="Times New Roman" w:cs="Times New Roman"/>
          <w:spacing w:val="-2"/>
          <w:sz w:val="16"/>
          <w:szCs w:val="16"/>
        </w:rPr>
        <w:t>g</w:t>
      </w:r>
      <w:r w:rsidRPr="00A07F29">
        <w:rPr>
          <w:rFonts w:ascii="Times New Roman" w:eastAsia="Calibri" w:hAnsi="Times New Roman" w:cs="Times New Roman"/>
          <w:sz w:val="16"/>
          <w:szCs w:val="16"/>
        </w:rPr>
        <w:t>a</w:t>
      </w:r>
      <w:r w:rsidRPr="00A07F29">
        <w:rPr>
          <w:rFonts w:ascii="Times New Roman" w:eastAsia="Calibri" w:hAnsi="Times New Roman" w:cs="Times New Roman"/>
          <w:spacing w:val="1"/>
          <w:sz w:val="16"/>
          <w:szCs w:val="16"/>
        </w:rPr>
        <w:t>s</w:t>
      </w:r>
      <w:r w:rsidRPr="00A07F29">
        <w:rPr>
          <w:rFonts w:ascii="Times New Roman" w:eastAsia="Calibri" w:hAnsi="Times New Roman" w:cs="Times New Roman"/>
          <w:sz w:val="16"/>
          <w:szCs w:val="16"/>
        </w:rPr>
        <w:t>.</w:t>
      </w:r>
    </w:p>
    <w:p w14:paraId="7793BB0C" w14:textId="77777777" w:rsidR="002B1603" w:rsidRPr="00A07F29" w:rsidRDefault="002B1603" w:rsidP="002B1603">
      <w:pPr>
        <w:spacing w:after="0" w:line="240" w:lineRule="auto"/>
        <w:ind w:firstLine="851"/>
        <w:jc w:val="both"/>
        <w:rPr>
          <w:rFonts w:ascii="Times New Roman" w:eastAsia="Calibri" w:hAnsi="Times New Roman" w:cs="Times New Roman"/>
          <w:b/>
          <w:sz w:val="24"/>
          <w:szCs w:val="24"/>
        </w:rPr>
      </w:pPr>
    </w:p>
    <w:p w14:paraId="797BB2F1" w14:textId="032B5DC6" w:rsidR="002B1603" w:rsidRPr="00A07F29" w:rsidRDefault="002B1603" w:rsidP="004206E6">
      <w:pPr>
        <w:pStyle w:val="Heading3"/>
        <w:spacing w:before="120" w:after="120" w:line="240" w:lineRule="auto"/>
        <w:jc w:val="center"/>
        <w:rPr>
          <w:b w:val="0"/>
          <w:lang w:eastAsia="ja-JP"/>
        </w:rPr>
      </w:pPr>
      <w:bookmarkStart w:id="72" w:name="_Toc183434010"/>
      <w:r w:rsidRPr="00A07F29">
        <w:rPr>
          <w:lang w:eastAsia="ja-JP"/>
        </w:rPr>
        <w:t xml:space="preserve">4.4.4. </w:t>
      </w:r>
      <w:proofErr w:type="spellStart"/>
      <w:r w:rsidRPr="00A07F29">
        <w:rPr>
          <w:lang w:eastAsia="ja-JP"/>
        </w:rPr>
        <w:t>Vaskulāro</w:t>
      </w:r>
      <w:proofErr w:type="spellEnd"/>
      <w:r w:rsidRPr="00A07F29">
        <w:rPr>
          <w:lang w:eastAsia="ja-JP"/>
        </w:rPr>
        <w:t xml:space="preserve"> augu sugu dabas aizsardzības vērtība</w:t>
      </w:r>
      <w:bookmarkEnd w:id="72"/>
    </w:p>
    <w:p w14:paraId="48428F96" w14:textId="5F8CA445" w:rsidR="002B1603" w:rsidRPr="00A07F29" w:rsidRDefault="002B1603" w:rsidP="00B649FD">
      <w:pPr>
        <w:spacing w:after="120" w:line="240" w:lineRule="auto"/>
        <w:ind w:firstLine="851"/>
        <w:jc w:val="both"/>
        <w:rPr>
          <w:rFonts w:ascii="Times New Roman" w:eastAsia="Calibri" w:hAnsi="Times New Roman" w:cs="Times New Roman"/>
          <w:sz w:val="24"/>
          <w:szCs w:val="24"/>
        </w:rPr>
      </w:pPr>
      <w:r w:rsidRPr="0074787C">
        <w:rPr>
          <w:rFonts w:ascii="Times New Roman" w:eastAsia="Calibri" w:hAnsi="Times New Roman" w:cs="Times New Roman"/>
          <w:sz w:val="24"/>
          <w:szCs w:val="24"/>
        </w:rPr>
        <w:t>AAA “Augšdaugava”</w:t>
      </w:r>
      <w:r w:rsidRPr="00A07F29">
        <w:rPr>
          <w:rFonts w:ascii="Times New Roman" w:eastAsia="Calibri" w:hAnsi="Times New Roman" w:cs="Times New Roman"/>
          <w:sz w:val="24"/>
          <w:szCs w:val="24"/>
        </w:rPr>
        <w:t xml:space="preserve"> sausajos priežu mežos aug Latvijas florā ļoti retā </w:t>
      </w:r>
      <w:proofErr w:type="spellStart"/>
      <w:r w:rsidRPr="00A07F29">
        <w:rPr>
          <w:rFonts w:ascii="Times New Roman" w:eastAsia="Calibri" w:hAnsi="Times New Roman" w:cs="Times New Roman"/>
          <w:sz w:val="24"/>
          <w:szCs w:val="24"/>
        </w:rPr>
        <w:t>cepurainā</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neotiante</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i/>
          <w:sz w:val="24"/>
          <w:szCs w:val="24"/>
        </w:rPr>
        <w:t>Neottianthe</w:t>
      </w:r>
      <w:proofErr w:type="spellEnd"/>
      <w:r w:rsidRPr="00A07F29">
        <w:rPr>
          <w:rFonts w:ascii="Times New Roman" w:eastAsia="Calibri" w:hAnsi="Times New Roman" w:cs="Times New Roman"/>
          <w:i/>
          <w:sz w:val="24"/>
          <w:szCs w:val="24"/>
        </w:rPr>
        <w:t xml:space="preserve"> </w:t>
      </w:r>
      <w:proofErr w:type="spellStart"/>
      <w:r w:rsidRPr="00A07F29">
        <w:rPr>
          <w:rFonts w:ascii="Times New Roman" w:eastAsia="Calibri" w:hAnsi="Times New Roman" w:cs="Times New Roman"/>
          <w:i/>
          <w:sz w:val="24"/>
          <w:szCs w:val="24"/>
        </w:rPr>
        <w:t>cucullata</w:t>
      </w:r>
      <w:proofErr w:type="spellEnd"/>
      <w:r w:rsidRPr="00A07F29">
        <w:rPr>
          <w:rFonts w:ascii="Times New Roman" w:eastAsia="Calibri" w:hAnsi="Times New Roman" w:cs="Times New Roman"/>
          <w:sz w:val="24"/>
          <w:szCs w:val="24"/>
        </w:rPr>
        <w:t xml:space="preserve">, kurai Latvijā par aktuālām var uzskatīt divas atradnes </w:t>
      </w:r>
      <w:r w:rsidR="00CF3603" w:rsidRPr="00A07F29">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Tērveti un Daugavas lokus. Par ļoti retām un Daugavas ielejai raksturīgām sugām uzskatāmas: </w:t>
      </w:r>
      <w:proofErr w:type="spellStart"/>
      <w:r w:rsidRPr="00A07F29">
        <w:rPr>
          <w:rFonts w:ascii="Times New Roman" w:eastAsia="Calibri" w:hAnsi="Times New Roman" w:cs="Times New Roman"/>
          <w:sz w:val="24"/>
          <w:szCs w:val="24"/>
        </w:rPr>
        <w:t>zirņveida</w:t>
      </w:r>
      <w:proofErr w:type="spellEnd"/>
      <w:r w:rsidRPr="00A07F29">
        <w:rPr>
          <w:rFonts w:ascii="Times New Roman" w:eastAsia="Calibri" w:hAnsi="Times New Roman" w:cs="Times New Roman"/>
          <w:sz w:val="24"/>
          <w:szCs w:val="24"/>
        </w:rPr>
        <w:t xml:space="preserve"> dedestiņa </w:t>
      </w:r>
      <w:proofErr w:type="spellStart"/>
      <w:r w:rsidRPr="00A07F29">
        <w:rPr>
          <w:rFonts w:ascii="Times New Roman" w:eastAsia="Calibri" w:hAnsi="Times New Roman" w:cs="Times New Roman"/>
          <w:i/>
          <w:sz w:val="24"/>
          <w:szCs w:val="24"/>
        </w:rPr>
        <w:t>Lathyrys</w:t>
      </w:r>
      <w:proofErr w:type="spellEnd"/>
      <w:r w:rsidRPr="00A07F29">
        <w:rPr>
          <w:rFonts w:ascii="Times New Roman" w:eastAsia="Calibri" w:hAnsi="Times New Roman" w:cs="Times New Roman"/>
          <w:i/>
          <w:sz w:val="24"/>
          <w:szCs w:val="24"/>
        </w:rPr>
        <w:t xml:space="preserve"> </w:t>
      </w:r>
      <w:proofErr w:type="spellStart"/>
      <w:r w:rsidRPr="00A07F29">
        <w:rPr>
          <w:rFonts w:ascii="Times New Roman" w:eastAsia="Calibri" w:hAnsi="Times New Roman" w:cs="Times New Roman"/>
          <w:i/>
          <w:sz w:val="24"/>
          <w:szCs w:val="24"/>
        </w:rPr>
        <w:t>pisiformis</w:t>
      </w:r>
      <w:proofErr w:type="spellEnd"/>
      <w:r w:rsidRPr="00A07F29">
        <w:rPr>
          <w:rFonts w:ascii="Times New Roman" w:eastAsia="Calibri" w:hAnsi="Times New Roman" w:cs="Times New Roman"/>
          <w:sz w:val="24"/>
          <w:szCs w:val="24"/>
        </w:rPr>
        <w:t>, kas teritorijā pirmoreiz atrasta 1984.</w:t>
      </w:r>
      <w:r w:rsidR="002C2C9C">
        <w:rPr>
          <w:rFonts w:ascii="Times New Roman" w:eastAsia="Calibri" w:hAnsi="Times New Roman" w:cs="Times New Roman"/>
          <w:sz w:val="24"/>
          <w:szCs w:val="24"/>
        </w:rPr>
        <w:t> </w:t>
      </w:r>
      <w:r w:rsidRPr="00A07F29">
        <w:rPr>
          <w:rFonts w:ascii="Times New Roman" w:eastAsia="Calibri" w:hAnsi="Times New Roman" w:cs="Times New Roman"/>
          <w:sz w:val="24"/>
          <w:szCs w:val="24"/>
        </w:rPr>
        <w:t>gadā</w:t>
      </w:r>
      <w:r w:rsidR="00CF3603" w:rsidRPr="00A07F29">
        <w:rPr>
          <w:rFonts w:ascii="Times New Roman" w:eastAsia="Calibri" w:hAnsi="Times New Roman" w:cs="Times New Roman"/>
          <w:sz w:val="24"/>
          <w:szCs w:val="24"/>
        </w:rPr>
        <w:t>, un</w:t>
      </w:r>
      <w:r w:rsidRPr="00A07F29">
        <w:rPr>
          <w:rFonts w:ascii="Times New Roman" w:eastAsia="Calibri" w:hAnsi="Times New Roman" w:cs="Times New Roman"/>
          <w:sz w:val="24"/>
          <w:szCs w:val="24"/>
        </w:rPr>
        <w:t xml:space="preserve"> matainais grīslis </w:t>
      </w:r>
      <w:proofErr w:type="spellStart"/>
      <w:r w:rsidRPr="00A07F29">
        <w:rPr>
          <w:rFonts w:ascii="Times New Roman" w:eastAsia="Calibri" w:hAnsi="Times New Roman" w:cs="Times New Roman"/>
          <w:i/>
          <w:sz w:val="24"/>
          <w:szCs w:val="24"/>
        </w:rPr>
        <w:t>Carex</w:t>
      </w:r>
      <w:proofErr w:type="spellEnd"/>
      <w:r w:rsidRPr="00A07F29">
        <w:rPr>
          <w:rFonts w:ascii="Times New Roman" w:eastAsia="Calibri" w:hAnsi="Times New Roman" w:cs="Times New Roman"/>
          <w:i/>
          <w:sz w:val="24"/>
          <w:szCs w:val="24"/>
        </w:rPr>
        <w:t xml:space="preserve"> </w:t>
      </w:r>
      <w:proofErr w:type="spellStart"/>
      <w:r w:rsidRPr="00A07F29">
        <w:rPr>
          <w:rFonts w:ascii="Times New Roman" w:eastAsia="Calibri" w:hAnsi="Times New Roman" w:cs="Times New Roman"/>
          <w:i/>
          <w:sz w:val="24"/>
          <w:szCs w:val="24"/>
        </w:rPr>
        <w:t>pilosa</w:t>
      </w:r>
      <w:proofErr w:type="spellEnd"/>
      <w:r w:rsidRPr="00A07F29">
        <w:rPr>
          <w:rFonts w:ascii="Times New Roman" w:eastAsia="Calibri" w:hAnsi="Times New Roman" w:cs="Times New Roman"/>
          <w:sz w:val="24"/>
          <w:szCs w:val="24"/>
        </w:rPr>
        <w:t>, kam vairāk nekā četrdesmit gadus Latvijā bija zināma tikai atradne no Naujenes gravas. Vēl ļoti reta suga, kas pēc Pļaviņu HES izveides sastopama tikai dažos punktos pie Daugavas</w:t>
      </w:r>
      <w:r w:rsidR="00CF3603" w:rsidRPr="00A07F29">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ir ārstniecības </w:t>
      </w:r>
      <w:proofErr w:type="spellStart"/>
      <w:r w:rsidRPr="00A07F29">
        <w:rPr>
          <w:rFonts w:ascii="Times New Roman" w:eastAsia="Calibri" w:hAnsi="Times New Roman" w:cs="Times New Roman"/>
          <w:sz w:val="24"/>
          <w:szCs w:val="24"/>
        </w:rPr>
        <w:t>rūgtene</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i/>
          <w:sz w:val="24"/>
          <w:szCs w:val="24"/>
        </w:rPr>
        <w:t>Gratiola</w:t>
      </w:r>
      <w:proofErr w:type="spellEnd"/>
      <w:r w:rsidRPr="00A07F29">
        <w:rPr>
          <w:rFonts w:ascii="Times New Roman" w:eastAsia="Calibri" w:hAnsi="Times New Roman" w:cs="Times New Roman"/>
          <w:i/>
          <w:sz w:val="24"/>
          <w:szCs w:val="24"/>
        </w:rPr>
        <w:t xml:space="preserve"> </w:t>
      </w:r>
      <w:proofErr w:type="spellStart"/>
      <w:r w:rsidRPr="00A07F29">
        <w:rPr>
          <w:rFonts w:ascii="Times New Roman" w:eastAsia="Calibri" w:hAnsi="Times New Roman" w:cs="Times New Roman"/>
          <w:i/>
          <w:sz w:val="24"/>
          <w:szCs w:val="24"/>
        </w:rPr>
        <w:t>officinalis</w:t>
      </w:r>
      <w:proofErr w:type="spellEnd"/>
      <w:r w:rsidRPr="00A07F29">
        <w:rPr>
          <w:rFonts w:ascii="Times New Roman" w:eastAsia="Calibri" w:hAnsi="Times New Roman" w:cs="Times New Roman"/>
          <w:i/>
          <w:sz w:val="24"/>
          <w:szCs w:val="24"/>
        </w:rPr>
        <w:t>.</w:t>
      </w:r>
      <w:r w:rsidRPr="00A07F29">
        <w:rPr>
          <w:rFonts w:ascii="Times New Roman" w:eastAsia="Calibri" w:hAnsi="Times New Roman" w:cs="Times New Roman"/>
          <w:sz w:val="24"/>
          <w:szCs w:val="24"/>
        </w:rPr>
        <w:t xml:space="preserve"> </w:t>
      </w:r>
    </w:p>
    <w:p w14:paraId="3C8B3DF7" w14:textId="6A7F8849" w:rsidR="002B1603" w:rsidRPr="00A07F29" w:rsidRDefault="002B1603" w:rsidP="00B649FD">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Sugas ar retu sastopamību (11</w:t>
      </w:r>
      <w:r w:rsidR="006F6FEC">
        <w:rPr>
          <w:rFonts w:ascii="Times New Roman" w:eastAsia="Calibri" w:hAnsi="Times New Roman" w:cs="Times New Roman"/>
          <w:sz w:val="24"/>
          <w:szCs w:val="24"/>
        </w:rPr>
        <w:t> – 3</w:t>
      </w:r>
      <w:r w:rsidRPr="00A07F29">
        <w:rPr>
          <w:rFonts w:ascii="Times New Roman" w:eastAsia="Calibri" w:hAnsi="Times New Roman" w:cs="Times New Roman"/>
          <w:sz w:val="24"/>
          <w:szCs w:val="24"/>
        </w:rPr>
        <w:t xml:space="preserve">0 atradnes Latvijā), kas sastopamas AAA “Augšdaugava” raksturīgajos sausajos priežu mežos ir </w:t>
      </w:r>
      <w:proofErr w:type="spellStart"/>
      <w:r w:rsidRPr="00A07F29">
        <w:rPr>
          <w:rFonts w:ascii="Times New Roman" w:eastAsia="Calibri" w:hAnsi="Times New Roman" w:cs="Times New Roman"/>
          <w:sz w:val="24"/>
          <w:szCs w:val="24"/>
        </w:rPr>
        <w:t>zāļlapu</w:t>
      </w:r>
      <w:proofErr w:type="spellEnd"/>
      <w:r w:rsidRPr="00A07F29">
        <w:rPr>
          <w:rFonts w:ascii="Times New Roman" w:eastAsia="Calibri" w:hAnsi="Times New Roman" w:cs="Times New Roman"/>
          <w:sz w:val="24"/>
          <w:szCs w:val="24"/>
        </w:rPr>
        <w:t xml:space="preserve"> smiltenīte </w:t>
      </w:r>
      <w:proofErr w:type="spellStart"/>
      <w:r w:rsidRPr="00A07F29">
        <w:rPr>
          <w:rFonts w:ascii="Times New Roman" w:eastAsia="Calibri" w:hAnsi="Times New Roman" w:cs="Times New Roman"/>
          <w:i/>
          <w:sz w:val="24"/>
          <w:szCs w:val="24"/>
        </w:rPr>
        <w:t>Arenaria</w:t>
      </w:r>
      <w:proofErr w:type="spellEnd"/>
      <w:r w:rsidRPr="00A07F29">
        <w:rPr>
          <w:rFonts w:ascii="Times New Roman" w:eastAsia="Calibri" w:hAnsi="Times New Roman" w:cs="Times New Roman"/>
          <w:i/>
          <w:sz w:val="24"/>
          <w:szCs w:val="24"/>
        </w:rPr>
        <w:t xml:space="preserve"> </w:t>
      </w:r>
      <w:proofErr w:type="spellStart"/>
      <w:r w:rsidRPr="00A07F29">
        <w:rPr>
          <w:rFonts w:ascii="Times New Roman" w:eastAsia="Calibri" w:hAnsi="Times New Roman" w:cs="Times New Roman"/>
          <w:i/>
          <w:sz w:val="24"/>
          <w:szCs w:val="24"/>
        </w:rPr>
        <w:t>stenophylla</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Ruiša</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pūķgalve</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i/>
          <w:sz w:val="24"/>
          <w:szCs w:val="24"/>
        </w:rPr>
        <w:t>Dracocephalum</w:t>
      </w:r>
      <w:proofErr w:type="spellEnd"/>
      <w:r w:rsidRPr="00A07F29">
        <w:rPr>
          <w:rFonts w:ascii="Times New Roman" w:eastAsia="Calibri" w:hAnsi="Times New Roman" w:cs="Times New Roman"/>
          <w:i/>
          <w:sz w:val="24"/>
          <w:szCs w:val="24"/>
        </w:rPr>
        <w:t xml:space="preserve"> </w:t>
      </w:r>
      <w:proofErr w:type="spellStart"/>
      <w:r w:rsidRPr="00A07F29">
        <w:rPr>
          <w:rFonts w:ascii="Times New Roman" w:eastAsia="Calibri" w:hAnsi="Times New Roman" w:cs="Times New Roman"/>
          <w:i/>
          <w:sz w:val="24"/>
          <w:szCs w:val="24"/>
        </w:rPr>
        <w:t>ruyschiana</w:t>
      </w:r>
      <w:proofErr w:type="spellEnd"/>
      <w:r w:rsidRPr="00A07F29">
        <w:rPr>
          <w:rFonts w:ascii="Times New Roman" w:eastAsia="Calibri" w:hAnsi="Times New Roman" w:cs="Times New Roman"/>
          <w:sz w:val="24"/>
          <w:szCs w:val="24"/>
        </w:rPr>
        <w:t xml:space="preserve"> un smiltāja esparsete </w:t>
      </w:r>
      <w:proofErr w:type="spellStart"/>
      <w:r w:rsidRPr="00A07F29">
        <w:rPr>
          <w:rFonts w:ascii="Times New Roman" w:eastAsia="Calibri" w:hAnsi="Times New Roman" w:cs="Times New Roman"/>
          <w:i/>
          <w:sz w:val="24"/>
          <w:szCs w:val="24"/>
        </w:rPr>
        <w:t>Onobrychis</w:t>
      </w:r>
      <w:proofErr w:type="spellEnd"/>
      <w:r w:rsidRPr="00A07F29">
        <w:rPr>
          <w:rFonts w:ascii="Times New Roman" w:eastAsia="Calibri" w:hAnsi="Times New Roman" w:cs="Times New Roman"/>
          <w:i/>
          <w:sz w:val="24"/>
          <w:szCs w:val="24"/>
        </w:rPr>
        <w:t xml:space="preserve"> </w:t>
      </w:r>
      <w:proofErr w:type="spellStart"/>
      <w:r w:rsidRPr="00A07F29">
        <w:rPr>
          <w:rFonts w:ascii="Times New Roman" w:eastAsia="Calibri" w:hAnsi="Times New Roman" w:cs="Times New Roman"/>
          <w:i/>
          <w:sz w:val="24"/>
          <w:szCs w:val="24"/>
        </w:rPr>
        <w:t>arenaria</w:t>
      </w:r>
      <w:proofErr w:type="spellEnd"/>
      <w:r w:rsidRPr="00A07F29">
        <w:rPr>
          <w:rFonts w:ascii="Times New Roman" w:eastAsia="Calibri" w:hAnsi="Times New Roman" w:cs="Times New Roman"/>
          <w:sz w:val="24"/>
          <w:szCs w:val="24"/>
        </w:rPr>
        <w:t xml:space="preserve">, turklāt </w:t>
      </w:r>
      <w:r w:rsidRPr="00A07F29">
        <w:rPr>
          <w:rFonts w:ascii="Times New Roman" w:eastAsia="Calibri" w:hAnsi="Times New Roman" w:cs="Times New Roman"/>
          <w:sz w:val="24"/>
          <w:szCs w:val="24"/>
        </w:rPr>
        <w:lastRenderedPageBreak/>
        <w:t xml:space="preserve">smiltāja esparsetei un </w:t>
      </w:r>
      <w:proofErr w:type="spellStart"/>
      <w:r w:rsidRPr="00A07F29">
        <w:rPr>
          <w:rFonts w:ascii="Times New Roman" w:eastAsia="Calibri" w:hAnsi="Times New Roman" w:cs="Times New Roman"/>
          <w:sz w:val="24"/>
          <w:szCs w:val="24"/>
        </w:rPr>
        <w:t>Ruiša</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pūķgalvei</w:t>
      </w:r>
      <w:proofErr w:type="spellEnd"/>
      <w:r w:rsidRPr="00A07F29">
        <w:rPr>
          <w:rFonts w:ascii="Times New Roman" w:eastAsia="Calibri" w:hAnsi="Times New Roman" w:cs="Times New Roman"/>
          <w:sz w:val="24"/>
          <w:szCs w:val="24"/>
        </w:rPr>
        <w:t xml:space="preserve"> Latvijā ir izplatības </w:t>
      </w:r>
      <w:r w:rsidR="00E05166">
        <w:rPr>
          <w:rFonts w:ascii="Times New Roman" w:eastAsia="Calibri" w:hAnsi="Times New Roman" w:cs="Times New Roman"/>
          <w:sz w:val="24"/>
          <w:szCs w:val="24"/>
        </w:rPr>
        <w:t>R</w:t>
      </w:r>
      <w:r w:rsidRPr="00A07F29">
        <w:rPr>
          <w:rFonts w:ascii="Times New Roman" w:eastAsia="Calibri" w:hAnsi="Times New Roman" w:cs="Times New Roman"/>
          <w:sz w:val="24"/>
          <w:szCs w:val="24"/>
        </w:rPr>
        <w:t xml:space="preserve"> robeža. Tās galvenokārt ir sauso priežu mežu augu sabiedrībām raksturīgās gaismas prasīgas sugas, kas, lai arī var augt pusēnā, tomēr priekšroku dod labi izgaismotām vietām mežos. Noēnotās vietās tās slikti zied vai sastopamas tikai veģetatīvā stāvoklī, turklāt tās ir </w:t>
      </w:r>
      <w:r w:rsidR="001421A5" w:rsidRPr="00A07F29">
        <w:rPr>
          <w:rFonts w:ascii="Times New Roman" w:eastAsia="Calibri" w:hAnsi="Times New Roman" w:cs="Times New Roman"/>
          <w:sz w:val="24"/>
          <w:szCs w:val="24"/>
        </w:rPr>
        <w:t xml:space="preserve">jutīgas </w:t>
      </w:r>
      <w:r w:rsidRPr="00A07F29">
        <w:rPr>
          <w:rFonts w:ascii="Times New Roman" w:eastAsia="Calibri" w:hAnsi="Times New Roman" w:cs="Times New Roman"/>
          <w:sz w:val="24"/>
          <w:szCs w:val="24"/>
        </w:rPr>
        <w:t>gan pret koku un krūmu radīto noēnojumu, gan arī pret citu lakstaugu sugu konkurenci un izzūd vietās ar blīvu lakstaugu stāvu. Tajā pašā laikā sugas var augt mākslīgi atēnotās vietās, tādēļ to izplatības dinamikai un apsaimniekošanas pasākumiem, kas vērsti uz piemērotu biotopu saglabāšanu, jāpievērš pastiprināta uzmanība.</w:t>
      </w:r>
    </w:p>
    <w:p w14:paraId="44D509B7" w14:textId="1B607C67" w:rsidR="002B1603" w:rsidRPr="00A07F29" w:rsidRDefault="002B1603" w:rsidP="00B649FD">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Šeit sastopamas gravu kompleksu sugas, kam šī teritorija uzskatāma par </w:t>
      </w:r>
      <w:proofErr w:type="spellStart"/>
      <w:r w:rsidRPr="00A07F29">
        <w:rPr>
          <w:rFonts w:ascii="Times New Roman" w:eastAsia="Calibri" w:hAnsi="Times New Roman" w:cs="Times New Roman"/>
          <w:sz w:val="24"/>
          <w:szCs w:val="24"/>
        </w:rPr>
        <w:t>kodolteritoriju</w:t>
      </w:r>
      <w:proofErr w:type="spellEnd"/>
      <w:r w:rsidRPr="00A07F29">
        <w:rPr>
          <w:rFonts w:ascii="Times New Roman" w:eastAsia="Calibri" w:hAnsi="Times New Roman" w:cs="Times New Roman"/>
          <w:sz w:val="24"/>
          <w:szCs w:val="24"/>
        </w:rPr>
        <w:t xml:space="preserve"> – dzeltenā kurpīte </w:t>
      </w:r>
      <w:proofErr w:type="spellStart"/>
      <w:r w:rsidRPr="00A07F29">
        <w:rPr>
          <w:rFonts w:ascii="Times New Roman" w:eastAsia="Calibri" w:hAnsi="Times New Roman" w:cs="Times New Roman"/>
          <w:i/>
          <w:sz w:val="24"/>
          <w:szCs w:val="24"/>
        </w:rPr>
        <w:t>Aconitum</w:t>
      </w:r>
      <w:proofErr w:type="spellEnd"/>
      <w:r w:rsidRPr="00A07F29">
        <w:rPr>
          <w:rFonts w:ascii="Times New Roman" w:eastAsia="Calibri" w:hAnsi="Times New Roman" w:cs="Times New Roman"/>
          <w:i/>
          <w:sz w:val="24"/>
          <w:szCs w:val="24"/>
        </w:rPr>
        <w:t xml:space="preserve"> </w:t>
      </w:r>
      <w:proofErr w:type="spellStart"/>
      <w:r w:rsidRPr="00A07F29">
        <w:rPr>
          <w:rFonts w:ascii="Times New Roman" w:eastAsia="Calibri" w:hAnsi="Times New Roman" w:cs="Times New Roman"/>
          <w:i/>
          <w:sz w:val="24"/>
          <w:szCs w:val="24"/>
        </w:rPr>
        <w:t>lasiostomum</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pēdveida</w:t>
      </w:r>
      <w:proofErr w:type="spellEnd"/>
      <w:r w:rsidRPr="00A07F29">
        <w:rPr>
          <w:rFonts w:ascii="Times New Roman" w:eastAsia="Calibri" w:hAnsi="Times New Roman" w:cs="Times New Roman"/>
          <w:sz w:val="24"/>
          <w:szCs w:val="24"/>
        </w:rPr>
        <w:t xml:space="preserve"> grīslis </w:t>
      </w:r>
      <w:proofErr w:type="spellStart"/>
      <w:r w:rsidRPr="00A07F29">
        <w:rPr>
          <w:rFonts w:ascii="Times New Roman" w:eastAsia="Calibri" w:hAnsi="Times New Roman" w:cs="Times New Roman"/>
          <w:i/>
          <w:sz w:val="24"/>
          <w:szCs w:val="24"/>
        </w:rPr>
        <w:t>Carex</w:t>
      </w:r>
      <w:proofErr w:type="spellEnd"/>
      <w:r w:rsidRPr="00A07F29">
        <w:rPr>
          <w:rFonts w:ascii="Times New Roman" w:eastAsia="Calibri" w:hAnsi="Times New Roman" w:cs="Times New Roman"/>
          <w:i/>
          <w:sz w:val="24"/>
          <w:szCs w:val="24"/>
        </w:rPr>
        <w:t xml:space="preserve"> </w:t>
      </w:r>
      <w:proofErr w:type="spellStart"/>
      <w:r w:rsidRPr="00A07F29">
        <w:rPr>
          <w:rFonts w:ascii="Times New Roman" w:eastAsia="Calibri" w:hAnsi="Times New Roman" w:cs="Times New Roman"/>
          <w:i/>
          <w:sz w:val="24"/>
          <w:szCs w:val="24"/>
        </w:rPr>
        <w:t>rhizina</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skarbmatainā</w:t>
      </w:r>
      <w:proofErr w:type="spellEnd"/>
      <w:r w:rsidRPr="00A07F29">
        <w:rPr>
          <w:rFonts w:ascii="Times New Roman" w:eastAsia="Calibri" w:hAnsi="Times New Roman" w:cs="Times New Roman"/>
          <w:sz w:val="24"/>
          <w:szCs w:val="24"/>
        </w:rPr>
        <w:t xml:space="preserve"> kārvele </w:t>
      </w:r>
      <w:proofErr w:type="spellStart"/>
      <w:r w:rsidRPr="00A07F29">
        <w:rPr>
          <w:rFonts w:ascii="Times New Roman" w:eastAsia="Calibri" w:hAnsi="Times New Roman" w:cs="Times New Roman"/>
          <w:i/>
          <w:sz w:val="24"/>
          <w:szCs w:val="24"/>
        </w:rPr>
        <w:t>Chaerophyllum</w:t>
      </w:r>
      <w:proofErr w:type="spellEnd"/>
      <w:r w:rsidRPr="00A07F29">
        <w:rPr>
          <w:rFonts w:ascii="Times New Roman" w:eastAsia="Calibri" w:hAnsi="Times New Roman" w:cs="Times New Roman"/>
          <w:i/>
          <w:sz w:val="24"/>
          <w:szCs w:val="24"/>
        </w:rPr>
        <w:t xml:space="preserve"> </w:t>
      </w:r>
      <w:proofErr w:type="spellStart"/>
      <w:r w:rsidRPr="00A07F29">
        <w:rPr>
          <w:rFonts w:ascii="Times New Roman" w:eastAsia="Calibri" w:hAnsi="Times New Roman" w:cs="Times New Roman"/>
          <w:i/>
          <w:sz w:val="24"/>
          <w:szCs w:val="24"/>
        </w:rPr>
        <w:t>hirsutum</w:t>
      </w:r>
      <w:proofErr w:type="spellEnd"/>
      <w:r w:rsidRPr="00A07F29">
        <w:rPr>
          <w:rFonts w:ascii="Times New Roman" w:eastAsia="Calibri" w:hAnsi="Times New Roman" w:cs="Times New Roman"/>
          <w:i/>
          <w:sz w:val="24"/>
          <w:szCs w:val="24"/>
        </w:rPr>
        <w:t>,</w:t>
      </w:r>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Šultesa</w:t>
      </w:r>
      <w:proofErr w:type="spellEnd"/>
      <w:r w:rsidRPr="00A07F29">
        <w:rPr>
          <w:rFonts w:ascii="Times New Roman" w:eastAsia="Calibri" w:hAnsi="Times New Roman" w:cs="Times New Roman"/>
          <w:sz w:val="24"/>
          <w:szCs w:val="24"/>
        </w:rPr>
        <w:t xml:space="preserve"> madara </w:t>
      </w:r>
      <w:proofErr w:type="spellStart"/>
      <w:r w:rsidRPr="00A07F29">
        <w:rPr>
          <w:rFonts w:ascii="Times New Roman" w:eastAsia="Calibri" w:hAnsi="Times New Roman" w:cs="Times New Roman"/>
          <w:i/>
          <w:sz w:val="24"/>
          <w:szCs w:val="24"/>
        </w:rPr>
        <w:t>Galium</w:t>
      </w:r>
      <w:proofErr w:type="spellEnd"/>
      <w:r w:rsidRPr="00A07F29">
        <w:rPr>
          <w:rFonts w:ascii="Times New Roman" w:eastAsia="Calibri" w:hAnsi="Times New Roman" w:cs="Times New Roman"/>
          <w:i/>
          <w:sz w:val="24"/>
          <w:szCs w:val="24"/>
        </w:rPr>
        <w:t xml:space="preserve"> </w:t>
      </w:r>
      <w:proofErr w:type="spellStart"/>
      <w:r w:rsidRPr="00A07F29">
        <w:rPr>
          <w:rFonts w:ascii="Times New Roman" w:eastAsia="Calibri" w:hAnsi="Times New Roman" w:cs="Times New Roman"/>
          <w:i/>
          <w:sz w:val="24"/>
          <w:szCs w:val="24"/>
        </w:rPr>
        <w:t>schultesii</w:t>
      </w:r>
      <w:proofErr w:type="spellEnd"/>
      <w:r w:rsidRPr="00A07F29">
        <w:rPr>
          <w:rFonts w:ascii="Times New Roman" w:eastAsia="Calibri" w:hAnsi="Times New Roman" w:cs="Times New Roman"/>
          <w:sz w:val="24"/>
          <w:szCs w:val="24"/>
        </w:rPr>
        <w:t>. Šīm sugām labākie saglabāšanās priekšnosacījumi ir neiejaukšanās</w:t>
      </w:r>
      <w:r w:rsidR="001421A5" w:rsidRPr="00A07F29">
        <w:rPr>
          <w:rFonts w:ascii="Times New Roman" w:eastAsia="Calibri" w:hAnsi="Times New Roman" w:cs="Times New Roman"/>
          <w:sz w:val="24"/>
          <w:szCs w:val="24"/>
        </w:rPr>
        <w:t xml:space="preserve">. Gravās </w:t>
      </w:r>
      <w:r w:rsidRPr="00A07F29">
        <w:rPr>
          <w:rFonts w:ascii="Times New Roman" w:eastAsia="Calibri" w:hAnsi="Times New Roman" w:cs="Times New Roman"/>
          <w:sz w:val="24"/>
          <w:szCs w:val="24"/>
        </w:rPr>
        <w:t>veidojas īpaši labvēlīgs mikroklimats, apstākļi retu sugu populāciju pastāvēšanai.</w:t>
      </w:r>
    </w:p>
    <w:p w14:paraId="2A656702" w14:textId="694DFF62" w:rsidR="00462C1D" w:rsidRPr="00A07F29" w:rsidRDefault="002B1603" w:rsidP="00B649FD">
      <w:pPr>
        <w:spacing w:after="120" w:line="240" w:lineRule="auto"/>
        <w:ind w:firstLine="851"/>
        <w:jc w:val="both"/>
        <w:rPr>
          <w:rFonts w:ascii="Times New Roman" w:eastAsia="Calibri" w:hAnsi="Times New Roman" w:cs="Times New Roman"/>
          <w:sz w:val="24"/>
          <w:szCs w:val="24"/>
        </w:rPr>
      </w:pPr>
      <w:proofErr w:type="spellStart"/>
      <w:r w:rsidRPr="00A07F29">
        <w:rPr>
          <w:rFonts w:ascii="Times New Roman" w:eastAsia="Calibri" w:hAnsi="Times New Roman" w:cs="Times New Roman"/>
          <w:sz w:val="24"/>
          <w:szCs w:val="24"/>
        </w:rPr>
        <w:t>Floristiski</w:t>
      </w:r>
      <w:proofErr w:type="spellEnd"/>
      <w:r w:rsidRPr="00A07F29">
        <w:rPr>
          <w:rFonts w:ascii="Times New Roman" w:eastAsia="Calibri" w:hAnsi="Times New Roman" w:cs="Times New Roman"/>
          <w:sz w:val="24"/>
          <w:szCs w:val="24"/>
        </w:rPr>
        <w:t xml:space="preserve"> bagāti un daudzveidīgi ir AAA “Augšdaugava” zālāji, šeit retas un aizsargājamas </w:t>
      </w:r>
      <w:proofErr w:type="spellStart"/>
      <w:r w:rsidRPr="00A07F29">
        <w:rPr>
          <w:rFonts w:ascii="Times New Roman" w:eastAsia="Calibri" w:hAnsi="Times New Roman" w:cs="Times New Roman"/>
          <w:sz w:val="24"/>
          <w:szCs w:val="24"/>
        </w:rPr>
        <w:t>vaskulāro</w:t>
      </w:r>
      <w:proofErr w:type="spellEnd"/>
      <w:r w:rsidRPr="00A07F29">
        <w:rPr>
          <w:rFonts w:ascii="Times New Roman" w:eastAsia="Calibri" w:hAnsi="Times New Roman" w:cs="Times New Roman"/>
          <w:sz w:val="24"/>
          <w:szCs w:val="24"/>
        </w:rPr>
        <w:t xml:space="preserve"> augu sugas sastopamas no sausiem smiltāju zālājiem līdz Daugavas palienē sastopamajām 6430</w:t>
      </w:r>
      <w:r w:rsidR="00AA0477">
        <w:rPr>
          <w:rFonts w:ascii="Times New Roman" w:eastAsia="Calibri" w:hAnsi="Times New Roman" w:cs="Times New Roman"/>
          <w:sz w:val="24"/>
          <w:szCs w:val="24"/>
        </w:rPr>
        <w:t> </w:t>
      </w:r>
      <w:proofErr w:type="spellStart"/>
      <w:r w:rsidRPr="00A07F29">
        <w:rPr>
          <w:rFonts w:ascii="Times New Roman" w:eastAsia="Calibri" w:hAnsi="Times New Roman" w:cs="Times New Roman"/>
          <w:i/>
          <w:sz w:val="24"/>
          <w:szCs w:val="24"/>
        </w:rPr>
        <w:t>Eitrofo</w:t>
      </w:r>
      <w:proofErr w:type="spellEnd"/>
      <w:r w:rsidRPr="00A07F29">
        <w:rPr>
          <w:rFonts w:ascii="Times New Roman" w:eastAsia="Calibri" w:hAnsi="Times New Roman" w:cs="Times New Roman"/>
          <w:i/>
          <w:sz w:val="24"/>
          <w:szCs w:val="24"/>
        </w:rPr>
        <w:t xml:space="preserve"> augsto lakstaugu audzēm</w:t>
      </w:r>
      <w:r w:rsidRPr="00A07F29">
        <w:rPr>
          <w:rFonts w:ascii="Times New Roman" w:eastAsia="Calibri" w:hAnsi="Times New Roman" w:cs="Times New Roman"/>
          <w:sz w:val="24"/>
          <w:szCs w:val="24"/>
        </w:rPr>
        <w:t xml:space="preserve"> un 6450</w:t>
      </w:r>
      <w:r w:rsidR="00AA0477">
        <w:rPr>
          <w:rFonts w:ascii="Times New Roman" w:eastAsia="Calibri" w:hAnsi="Times New Roman" w:cs="Times New Roman"/>
          <w:sz w:val="24"/>
          <w:szCs w:val="24"/>
        </w:rPr>
        <w:t> </w:t>
      </w:r>
      <w:r w:rsidR="006673B2" w:rsidRPr="00A07F29">
        <w:rPr>
          <w:rFonts w:ascii="Times New Roman" w:eastAsia="Calibri" w:hAnsi="Times New Roman" w:cs="Times New Roman"/>
          <w:i/>
          <w:sz w:val="24"/>
          <w:szCs w:val="24"/>
        </w:rPr>
        <w:t xml:space="preserve">Palieņu </w:t>
      </w:r>
      <w:r w:rsidRPr="00A07F29">
        <w:rPr>
          <w:rFonts w:ascii="Times New Roman" w:eastAsia="Calibri" w:hAnsi="Times New Roman" w:cs="Times New Roman"/>
          <w:i/>
          <w:sz w:val="24"/>
          <w:szCs w:val="24"/>
        </w:rPr>
        <w:t>zālājiem</w:t>
      </w:r>
      <w:r w:rsidRPr="00A07F29">
        <w:rPr>
          <w:rFonts w:ascii="Times New Roman" w:eastAsia="Calibri" w:hAnsi="Times New Roman" w:cs="Times New Roman"/>
          <w:sz w:val="24"/>
          <w:szCs w:val="24"/>
        </w:rPr>
        <w:t xml:space="preserve">. Ar aizsargājamām un retajām </w:t>
      </w:r>
      <w:proofErr w:type="spellStart"/>
      <w:r w:rsidRPr="00A07F29">
        <w:rPr>
          <w:rFonts w:ascii="Times New Roman" w:eastAsia="Calibri" w:hAnsi="Times New Roman" w:cs="Times New Roman"/>
          <w:sz w:val="24"/>
          <w:szCs w:val="24"/>
        </w:rPr>
        <w:t>vaskulāro</w:t>
      </w:r>
      <w:proofErr w:type="spellEnd"/>
      <w:r w:rsidRPr="00A07F29">
        <w:rPr>
          <w:rFonts w:ascii="Times New Roman" w:eastAsia="Calibri" w:hAnsi="Times New Roman" w:cs="Times New Roman"/>
          <w:sz w:val="24"/>
          <w:szCs w:val="24"/>
        </w:rPr>
        <w:t xml:space="preserve"> augu sugām – </w:t>
      </w:r>
      <w:r w:rsidR="00865922" w:rsidRPr="00A07F29">
        <w:rPr>
          <w:rFonts w:ascii="Times New Roman" w:eastAsia="Calibri" w:hAnsi="Times New Roman" w:cs="Times New Roman"/>
          <w:sz w:val="24"/>
          <w:szCs w:val="24"/>
        </w:rPr>
        <w:t xml:space="preserve">maurloku </w:t>
      </w:r>
      <w:proofErr w:type="spellStart"/>
      <w:r w:rsidRPr="00A07F29">
        <w:rPr>
          <w:rFonts w:ascii="Times New Roman" w:eastAsia="Calibri" w:hAnsi="Times New Roman" w:cs="Times New Roman"/>
          <w:i/>
          <w:sz w:val="24"/>
          <w:szCs w:val="24"/>
        </w:rPr>
        <w:t>Allium</w:t>
      </w:r>
      <w:proofErr w:type="spellEnd"/>
      <w:r w:rsidRPr="00A07F29">
        <w:rPr>
          <w:rFonts w:ascii="Times New Roman" w:eastAsia="Calibri" w:hAnsi="Times New Roman" w:cs="Times New Roman"/>
          <w:i/>
          <w:sz w:val="24"/>
          <w:szCs w:val="24"/>
        </w:rPr>
        <w:t xml:space="preserve"> </w:t>
      </w:r>
      <w:proofErr w:type="spellStart"/>
      <w:r w:rsidRPr="00A07F29">
        <w:rPr>
          <w:rFonts w:ascii="Times New Roman" w:eastAsia="Calibri" w:hAnsi="Times New Roman" w:cs="Times New Roman"/>
          <w:i/>
          <w:sz w:val="24"/>
          <w:szCs w:val="24"/>
        </w:rPr>
        <w:t>schenoprosum</w:t>
      </w:r>
      <w:proofErr w:type="spellEnd"/>
      <w:r w:rsidRPr="00A07F29">
        <w:rPr>
          <w:rFonts w:ascii="Times New Roman" w:eastAsia="Calibri" w:hAnsi="Times New Roman" w:cs="Times New Roman"/>
          <w:i/>
          <w:sz w:val="24"/>
          <w:szCs w:val="24"/>
        </w:rPr>
        <w:t>,</w:t>
      </w:r>
      <w:r w:rsidRPr="00A07F29">
        <w:rPr>
          <w:rFonts w:ascii="Times New Roman" w:eastAsia="Calibri" w:hAnsi="Times New Roman" w:cs="Times New Roman"/>
          <w:sz w:val="24"/>
          <w:szCs w:val="24"/>
        </w:rPr>
        <w:t xml:space="preserve"> </w:t>
      </w:r>
      <w:r w:rsidR="00865922" w:rsidRPr="00A07F29">
        <w:rPr>
          <w:rFonts w:ascii="Times New Roman" w:eastAsia="Calibri" w:hAnsi="Times New Roman" w:cs="Calibri"/>
          <w:sz w:val="24"/>
          <w:szCs w:val="24"/>
        </w:rPr>
        <w:t xml:space="preserve">akotaino </w:t>
      </w:r>
      <w:r w:rsidRPr="00A07F29">
        <w:rPr>
          <w:rFonts w:ascii="Times New Roman" w:eastAsia="Calibri" w:hAnsi="Times New Roman" w:cs="Calibri"/>
          <w:sz w:val="24"/>
          <w:szCs w:val="24"/>
        </w:rPr>
        <w:t xml:space="preserve">grīsli </w:t>
      </w:r>
      <w:proofErr w:type="spellStart"/>
      <w:r w:rsidRPr="00A07F29">
        <w:rPr>
          <w:rFonts w:ascii="Times New Roman" w:eastAsia="Calibri" w:hAnsi="Times New Roman" w:cs="Calibri"/>
          <w:i/>
          <w:sz w:val="24"/>
          <w:szCs w:val="24"/>
        </w:rPr>
        <w:t>Carex</w:t>
      </w:r>
      <w:proofErr w:type="spellEnd"/>
      <w:r w:rsidRPr="00A07F29">
        <w:rPr>
          <w:rFonts w:ascii="Times New Roman" w:eastAsia="Calibri" w:hAnsi="Times New Roman" w:cs="Calibri"/>
          <w:i/>
          <w:sz w:val="24"/>
          <w:szCs w:val="24"/>
        </w:rPr>
        <w:t xml:space="preserve"> </w:t>
      </w:r>
      <w:proofErr w:type="spellStart"/>
      <w:r w:rsidRPr="00A07F29">
        <w:rPr>
          <w:rFonts w:ascii="Times New Roman" w:eastAsia="Calibri" w:hAnsi="Times New Roman" w:cs="Calibri"/>
          <w:i/>
          <w:sz w:val="24"/>
          <w:szCs w:val="24"/>
        </w:rPr>
        <w:t>atherodes</w:t>
      </w:r>
      <w:proofErr w:type="spellEnd"/>
      <w:r w:rsidRPr="00A07F29">
        <w:rPr>
          <w:rFonts w:ascii="Times New Roman" w:eastAsia="Calibri" w:hAnsi="Times New Roman" w:cs="Calibri"/>
          <w:sz w:val="24"/>
          <w:szCs w:val="24"/>
        </w:rPr>
        <w:t xml:space="preserve"> </w:t>
      </w:r>
      <w:proofErr w:type="spellStart"/>
      <w:r w:rsidRPr="00A07F29">
        <w:rPr>
          <w:rFonts w:ascii="Times New Roman" w:eastAsia="Calibri" w:hAnsi="Times New Roman" w:cs="Calibri"/>
          <w:sz w:val="24"/>
          <w:szCs w:val="24"/>
        </w:rPr>
        <w:t>Spreng</w:t>
      </w:r>
      <w:proofErr w:type="spellEnd"/>
      <w:r w:rsidRPr="00A07F29">
        <w:rPr>
          <w:rFonts w:ascii="Times New Roman" w:eastAsia="Calibri" w:hAnsi="Times New Roman" w:cs="Calibri"/>
          <w:sz w:val="24"/>
          <w:szCs w:val="24"/>
        </w:rPr>
        <w:t>.</w:t>
      </w:r>
      <w:r w:rsidRPr="00A07F29">
        <w:rPr>
          <w:rFonts w:ascii="Times New Roman" w:eastAsia="Calibri" w:hAnsi="Times New Roman" w:cs="Times New Roman"/>
          <w:sz w:val="24"/>
          <w:szCs w:val="24"/>
        </w:rPr>
        <w:t xml:space="preserve">, </w:t>
      </w:r>
      <w:proofErr w:type="spellStart"/>
      <w:r w:rsidR="00865922" w:rsidRPr="00A07F29">
        <w:rPr>
          <w:rFonts w:ascii="Times New Roman" w:eastAsia="Calibri" w:hAnsi="Times New Roman" w:cs="Times New Roman"/>
          <w:sz w:val="24"/>
          <w:szCs w:val="24"/>
        </w:rPr>
        <w:t>melnodzeni</w:t>
      </w:r>
      <w:proofErr w:type="spellEnd"/>
      <w:r w:rsidR="00865922"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i/>
          <w:sz w:val="24"/>
          <w:szCs w:val="24"/>
        </w:rPr>
        <w:t>Cucubalus</w:t>
      </w:r>
      <w:proofErr w:type="spellEnd"/>
      <w:r w:rsidRPr="00A07F29">
        <w:rPr>
          <w:rFonts w:ascii="Times New Roman" w:eastAsia="Calibri" w:hAnsi="Times New Roman" w:cs="Times New Roman"/>
          <w:i/>
          <w:sz w:val="24"/>
          <w:szCs w:val="24"/>
        </w:rPr>
        <w:t xml:space="preserve"> </w:t>
      </w:r>
      <w:proofErr w:type="spellStart"/>
      <w:r w:rsidRPr="00A07F29">
        <w:rPr>
          <w:rFonts w:ascii="Times New Roman" w:eastAsia="Calibri" w:hAnsi="Times New Roman" w:cs="Times New Roman"/>
          <w:i/>
          <w:sz w:val="24"/>
          <w:szCs w:val="24"/>
        </w:rPr>
        <w:t>baccifer</w:t>
      </w:r>
      <w:proofErr w:type="spellEnd"/>
      <w:r w:rsidRPr="00A07F29">
        <w:rPr>
          <w:rFonts w:ascii="Times New Roman" w:eastAsia="Calibri" w:hAnsi="Times New Roman" w:cs="Times New Roman"/>
          <w:sz w:val="24"/>
          <w:szCs w:val="24"/>
        </w:rPr>
        <w:t xml:space="preserve">, </w:t>
      </w:r>
      <w:r w:rsidR="00865922" w:rsidRPr="00A07F29">
        <w:rPr>
          <w:rFonts w:ascii="Times New Roman" w:eastAsia="Calibri" w:hAnsi="Times New Roman" w:cs="Times New Roman"/>
          <w:sz w:val="24"/>
          <w:szCs w:val="24"/>
        </w:rPr>
        <w:t xml:space="preserve">brūno </w:t>
      </w:r>
      <w:proofErr w:type="spellStart"/>
      <w:r w:rsidR="00865922" w:rsidRPr="00A07F29">
        <w:rPr>
          <w:rFonts w:ascii="Times New Roman" w:eastAsia="Calibri" w:hAnsi="Times New Roman" w:cs="Times New Roman"/>
          <w:sz w:val="24"/>
          <w:szCs w:val="24"/>
        </w:rPr>
        <w:t>dižmeldru</w:t>
      </w:r>
      <w:proofErr w:type="spellEnd"/>
      <w:r w:rsidR="00865922"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i/>
          <w:sz w:val="24"/>
          <w:szCs w:val="24"/>
        </w:rPr>
        <w:t>Cyperus</w:t>
      </w:r>
      <w:proofErr w:type="spellEnd"/>
      <w:r w:rsidRPr="00A07F29">
        <w:rPr>
          <w:rFonts w:ascii="Times New Roman" w:eastAsia="Calibri" w:hAnsi="Times New Roman" w:cs="Times New Roman"/>
          <w:i/>
          <w:sz w:val="24"/>
          <w:szCs w:val="24"/>
        </w:rPr>
        <w:t xml:space="preserve"> </w:t>
      </w:r>
      <w:proofErr w:type="spellStart"/>
      <w:r w:rsidRPr="00A07F29">
        <w:rPr>
          <w:rFonts w:ascii="Times New Roman" w:eastAsia="Calibri" w:hAnsi="Times New Roman" w:cs="Times New Roman"/>
          <w:i/>
          <w:sz w:val="24"/>
          <w:szCs w:val="24"/>
        </w:rPr>
        <w:t>fuscus</w:t>
      </w:r>
      <w:proofErr w:type="spellEnd"/>
      <w:r w:rsidRPr="00A07F29">
        <w:rPr>
          <w:rFonts w:ascii="Times New Roman" w:eastAsia="Calibri" w:hAnsi="Times New Roman" w:cs="Times New Roman"/>
          <w:i/>
          <w:sz w:val="24"/>
          <w:szCs w:val="24"/>
        </w:rPr>
        <w:t>,</w:t>
      </w:r>
      <w:r w:rsidRPr="00A07F29">
        <w:rPr>
          <w:rFonts w:ascii="Times New Roman" w:eastAsia="Calibri" w:hAnsi="Times New Roman" w:cs="Times New Roman"/>
          <w:sz w:val="24"/>
          <w:szCs w:val="24"/>
        </w:rPr>
        <w:t xml:space="preserve"> ārstniecības </w:t>
      </w:r>
      <w:r w:rsidR="00865922" w:rsidRPr="00A07F29">
        <w:rPr>
          <w:rFonts w:ascii="Times New Roman" w:eastAsia="Calibri" w:hAnsi="Times New Roman" w:cs="Times New Roman"/>
          <w:sz w:val="24"/>
          <w:szCs w:val="24"/>
        </w:rPr>
        <w:t xml:space="preserve">rūgteni </w:t>
      </w:r>
      <w:proofErr w:type="spellStart"/>
      <w:r w:rsidRPr="00A07F29">
        <w:rPr>
          <w:rFonts w:ascii="Times New Roman" w:eastAsia="Calibri" w:hAnsi="Times New Roman" w:cs="Times New Roman"/>
          <w:i/>
          <w:sz w:val="24"/>
          <w:szCs w:val="24"/>
        </w:rPr>
        <w:t>Gratiola</w:t>
      </w:r>
      <w:proofErr w:type="spellEnd"/>
      <w:r w:rsidRPr="00A07F29">
        <w:rPr>
          <w:rFonts w:ascii="Times New Roman" w:eastAsia="Calibri" w:hAnsi="Times New Roman" w:cs="Times New Roman"/>
          <w:i/>
          <w:sz w:val="24"/>
          <w:szCs w:val="24"/>
        </w:rPr>
        <w:t xml:space="preserve"> </w:t>
      </w:r>
      <w:proofErr w:type="spellStart"/>
      <w:r w:rsidRPr="00A07F29">
        <w:rPr>
          <w:rFonts w:ascii="Times New Roman" w:eastAsia="Calibri" w:hAnsi="Times New Roman" w:cs="Times New Roman"/>
          <w:i/>
          <w:sz w:val="24"/>
          <w:szCs w:val="24"/>
        </w:rPr>
        <w:t>officinalis</w:t>
      </w:r>
      <w:proofErr w:type="spellEnd"/>
      <w:r w:rsidRPr="00A07F29">
        <w:rPr>
          <w:rFonts w:ascii="Times New Roman" w:eastAsia="Calibri" w:hAnsi="Times New Roman" w:cs="Times New Roman"/>
          <w:i/>
          <w:sz w:val="24"/>
          <w:szCs w:val="24"/>
        </w:rPr>
        <w:t>,</w:t>
      </w:r>
      <w:r w:rsidRPr="00A07F29">
        <w:rPr>
          <w:rFonts w:ascii="Times New Roman" w:eastAsia="Calibri" w:hAnsi="Times New Roman" w:cs="Times New Roman"/>
          <w:sz w:val="24"/>
          <w:szCs w:val="24"/>
        </w:rPr>
        <w:t xml:space="preserve"> Britu </w:t>
      </w:r>
      <w:proofErr w:type="spellStart"/>
      <w:r w:rsidR="00865922" w:rsidRPr="00A07F29">
        <w:rPr>
          <w:rFonts w:ascii="Times New Roman" w:eastAsia="Calibri" w:hAnsi="Times New Roman" w:cs="Times New Roman"/>
          <w:sz w:val="24"/>
          <w:szCs w:val="24"/>
        </w:rPr>
        <w:t>staģi</w:t>
      </w:r>
      <w:proofErr w:type="spellEnd"/>
      <w:r w:rsidR="00865922"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i/>
          <w:sz w:val="24"/>
          <w:szCs w:val="24"/>
        </w:rPr>
        <w:t>Inula</w:t>
      </w:r>
      <w:proofErr w:type="spellEnd"/>
      <w:r w:rsidRPr="00A07F29">
        <w:rPr>
          <w:rFonts w:ascii="Times New Roman" w:eastAsia="Calibri" w:hAnsi="Times New Roman" w:cs="Times New Roman"/>
          <w:i/>
          <w:sz w:val="24"/>
          <w:szCs w:val="24"/>
        </w:rPr>
        <w:t xml:space="preserve"> </w:t>
      </w:r>
      <w:proofErr w:type="spellStart"/>
      <w:r w:rsidRPr="00A07F29">
        <w:rPr>
          <w:rFonts w:ascii="Times New Roman" w:eastAsia="Calibri" w:hAnsi="Times New Roman" w:cs="Times New Roman"/>
          <w:i/>
          <w:sz w:val="24"/>
          <w:szCs w:val="24"/>
        </w:rPr>
        <w:t>britannica</w:t>
      </w:r>
      <w:proofErr w:type="spellEnd"/>
      <w:r w:rsidR="00865922" w:rsidRPr="00A07F29">
        <w:rPr>
          <w:rFonts w:ascii="Times New Roman" w:eastAsia="Calibri" w:hAnsi="Times New Roman" w:cs="Times New Roman"/>
          <w:i/>
          <w:sz w:val="24"/>
          <w:szCs w:val="24"/>
        </w:rPr>
        <w:t xml:space="preserve"> </w:t>
      </w:r>
      <w:r w:rsidRPr="00A07F29">
        <w:rPr>
          <w:rFonts w:ascii="Times New Roman" w:eastAsia="Calibri" w:hAnsi="Times New Roman" w:cs="Times New Roman"/>
          <w:sz w:val="24"/>
          <w:szCs w:val="24"/>
        </w:rPr>
        <w:t>visbagātākie ir 6450</w:t>
      </w:r>
      <w:r w:rsidR="003C57A7">
        <w:rPr>
          <w:rFonts w:ascii="Times New Roman" w:eastAsia="Calibri" w:hAnsi="Times New Roman" w:cs="Times New Roman"/>
          <w:sz w:val="24"/>
          <w:szCs w:val="24"/>
        </w:rPr>
        <w:t> </w:t>
      </w:r>
      <w:r w:rsidRPr="00A07F29">
        <w:rPr>
          <w:rFonts w:ascii="Times New Roman" w:eastAsia="Calibri" w:hAnsi="Times New Roman" w:cs="Times New Roman"/>
          <w:i/>
          <w:sz w:val="24"/>
          <w:szCs w:val="24"/>
        </w:rPr>
        <w:t>Palieņu zālāji</w:t>
      </w:r>
      <w:r w:rsidRPr="00A07F29">
        <w:rPr>
          <w:rFonts w:ascii="Times New Roman" w:eastAsia="Calibri" w:hAnsi="Times New Roman" w:cs="Times New Roman"/>
          <w:sz w:val="24"/>
          <w:szCs w:val="24"/>
        </w:rPr>
        <w:t xml:space="preserve"> Daugavas krastos. Teritorijā reti sastopamajā biotopā 6410</w:t>
      </w:r>
      <w:r w:rsidR="003C57A7">
        <w:rPr>
          <w:rFonts w:ascii="Times New Roman" w:eastAsia="Calibri" w:hAnsi="Times New Roman" w:cs="Times New Roman"/>
          <w:sz w:val="24"/>
          <w:szCs w:val="24"/>
        </w:rPr>
        <w:t> </w:t>
      </w:r>
      <w:r w:rsidRPr="00A07F29">
        <w:rPr>
          <w:rFonts w:ascii="Times New Roman" w:eastAsia="Times New Roman" w:hAnsi="Times New Roman" w:cs="Times New Roman"/>
          <w:i/>
          <w:color w:val="000000"/>
          <w:sz w:val="24"/>
          <w:szCs w:val="24"/>
          <w:lang w:eastAsia="lv-LV"/>
        </w:rPr>
        <w:t xml:space="preserve">Mitri zālāji periodiski izžūstošās augsnēs </w:t>
      </w:r>
      <w:r w:rsidR="00865922" w:rsidRPr="00A07F29">
        <w:rPr>
          <w:rFonts w:ascii="Times New Roman" w:eastAsia="Times New Roman" w:hAnsi="Times New Roman" w:cs="Times New Roman"/>
          <w:color w:val="000000"/>
          <w:sz w:val="24"/>
          <w:szCs w:val="24"/>
          <w:lang w:eastAsia="lv-LV"/>
        </w:rPr>
        <w:t xml:space="preserve">ir </w:t>
      </w:r>
      <w:r w:rsidRPr="00A07F29">
        <w:rPr>
          <w:rFonts w:ascii="Times New Roman" w:eastAsia="Times New Roman" w:hAnsi="Times New Roman" w:cs="Times New Roman"/>
          <w:color w:val="000000"/>
          <w:sz w:val="24"/>
          <w:szCs w:val="24"/>
          <w:lang w:eastAsia="lv-LV"/>
        </w:rPr>
        <w:t xml:space="preserve">jumstiņu gladiolas </w:t>
      </w:r>
      <w:proofErr w:type="spellStart"/>
      <w:r w:rsidRPr="00A07F29">
        <w:rPr>
          <w:rFonts w:ascii="Times New Roman" w:eastAsia="Times New Roman" w:hAnsi="Times New Roman" w:cs="Times New Roman"/>
          <w:i/>
          <w:color w:val="000000"/>
          <w:sz w:val="24"/>
          <w:szCs w:val="24"/>
          <w:lang w:eastAsia="lv-LV"/>
        </w:rPr>
        <w:t>Gladiolus</w:t>
      </w:r>
      <w:proofErr w:type="spellEnd"/>
      <w:r w:rsidRPr="00A07F29">
        <w:rPr>
          <w:rFonts w:ascii="Times New Roman" w:eastAsia="Times New Roman" w:hAnsi="Times New Roman" w:cs="Times New Roman"/>
          <w:i/>
          <w:color w:val="000000"/>
          <w:sz w:val="24"/>
          <w:szCs w:val="24"/>
          <w:lang w:eastAsia="lv-LV"/>
        </w:rPr>
        <w:t xml:space="preserve"> </w:t>
      </w:r>
      <w:proofErr w:type="spellStart"/>
      <w:r w:rsidRPr="00A07F29">
        <w:rPr>
          <w:rFonts w:ascii="Times New Roman" w:eastAsia="Times New Roman" w:hAnsi="Times New Roman" w:cs="Times New Roman"/>
          <w:i/>
          <w:color w:val="000000"/>
          <w:sz w:val="24"/>
          <w:szCs w:val="24"/>
          <w:lang w:eastAsia="lv-LV"/>
        </w:rPr>
        <w:t>imbricatus</w:t>
      </w:r>
      <w:proofErr w:type="spellEnd"/>
      <w:r w:rsidRPr="00A07F29">
        <w:rPr>
          <w:rFonts w:ascii="Times New Roman" w:eastAsia="Times New Roman" w:hAnsi="Times New Roman" w:cs="Times New Roman"/>
          <w:i/>
          <w:color w:val="000000"/>
          <w:sz w:val="24"/>
          <w:szCs w:val="24"/>
          <w:lang w:eastAsia="lv-LV"/>
        </w:rPr>
        <w:t xml:space="preserve"> </w:t>
      </w:r>
      <w:r w:rsidRPr="00A07F29">
        <w:rPr>
          <w:rFonts w:ascii="Times New Roman" w:eastAsia="Times New Roman" w:hAnsi="Times New Roman" w:cs="Times New Roman"/>
          <w:color w:val="000000"/>
          <w:sz w:val="24"/>
          <w:szCs w:val="24"/>
          <w:lang w:eastAsia="lv-LV"/>
        </w:rPr>
        <w:t xml:space="preserve">un Sibīrijas skalbes </w:t>
      </w:r>
      <w:r w:rsidRPr="00A07F29">
        <w:rPr>
          <w:rFonts w:ascii="Times New Roman" w:eastAsia="Times New Roman" w:hAnsi="Times New Roman" w:cs="Times New Roman"/>
          <w:i/>
          <w:color w:val="000000"/>
          <w:sz w:val="24"/>
          <w:szCs w:val="24"/>
          <w:lang w:eastAsia="lv-LV"/>
        </w:rPr>
        <w:t xml:space="preserve">Iris </w:t>
      </w:r>
      <w:proofErr w:type="spellStart"/>
      <w:r w:rsidRPr="00A07F29">
        <w:rPr>
          <w:rFonts w:ascii="Times New Roman" w:eastAsia="Times New Roman" w:hAnsi="Times New Roman" w:cs="Times New Roman"/>
          <w:i/>
          <w:color w:val="000000"/>
          <w:sz w:val="24"/>
          <w:szCs w:val="24"/>
          <w:lang w:eastAsia="lv-LV"/>
        </w:rPr>
        <w:t>sibirica</w:t>
      </w:r>
      <w:proofErr w:type="spellEnd"/>
      <w:r w:rsidRPr="00A07F29">
        <w:rPr>
          <w:rFonts w:ascii="Times New Roman" w:eastAsia="Times New Roman" w:hAnsi="Times New Roman" w:cs="Times New Roman"/>
          <w:color w:val="000000"/>
          <w:sz w:val="24"/>
          <w:szCs w:val="24"/>
          <w:lang w:eastAsia="lv-LV"/>
        </w:rPr>
        <w:t xml:space="preserve"> atradnes. Savukārt biotopā 6210</w:t>
      </w:r>
      <w:r w:rsidR="003C57A7">
        <w:rPr>
          <w:rFonts w:ascii="Times New Roman" w:eastAsia="Times New Roman" w:hAnsi="Times New Roman" w:cs="Times New Roman"/>
          <w:color w:val="000000"/>
          <w:sz w:val="24"/>
          <w:szCs w:val="24"/>
          <w:lang w:eastAsia="lv-LV"/>
        </w:rPr>
        <w:t> </w:t>
      </w:r>
      <w:r w:rsidRPr="00A07F29">
        <w:rPr>
          <w:rFonts w:ascii="Times New Roman" w:eastAsia="Times New Roman" w:hAnsi="Times New Roman" w:cs="Times New Roman"/>
          <w:i/>
          <w:color w:val="000000"/>
          <w:sz w:val="24"/>
          <w:szCs w:val="24"/>
          <w:lang w:eastAsia="lv-LV"/>
        </w:rPr>
        <w:t>Sausi zālāji kaļķainās augsnēs</w:t>
      </w:r>
      <w:r w:rsidRPr="00A07F29">
        <w:rPr>
          <w:rFonts w:ascii="Times New Roman" w:eastAsia="Times New Roman" w:hAnsi="Times New Roman" w:cs="Times New Roman"/>
          <w:color w:val="000000"/>
          <w:sz w:val="24"/>
          <w:szCs w:val="24"/>
          <w:lang w:eastAsia="lv-LV"/>
        </w:rPr>
        <w:t xml:space="preserve"> atrastas bagātīgas </w:t>
      </w:r>
      <w:proofErr w:type="spellStart"/>
      <w:r w:rsidRPr="00A07F29">
        <w:rPr>
          <w:rFonts w:ascii="Times New Roman" w:eastAsia="Calibri" w:hAnsi="Times New Roman" w:cs="Times New Roman"/>
          <w:sz w:val="24"/>
          <w:szCs w:val="24"/>
        </w:rPr>
        <w:t>krustlapu</w:t>
      </w:r>
      <w:proofErr w:type="spellEnd"/>
      <w:r w:rsidRPr="00A07F29">
        <w:rPr>
          <w:rFonts w:ascii="Times New Roman" w:eastAsia="Calibri" w:hAnsi="Times New Roman" w:cs="Times New Roman"/>
          <w:sz w:val="24"/>
          <w:szCs w:val="24"/>
        </w:rPr>
        <w:t xml:space="preserve"> drudzenes </w:t>
      </w:r>
      <w:proofErr w:type="spellStart"/>
      <w:r w:rsidRPr="00A07F29">
        <w:rPr>
          <w:rFonts w:ascii="Times New Roman" w:eastAsia="Calibri" w:hAnsi="Times New Roman" w:cs="Times New Roman"/>
          <w:i/>
          <w:sz w:val="24"/>
          <w:szCs w:val="24"/>
        </w:rPr>
        <w:t>Gentiana</w:t>
      </w:r>
      <w:proofErr w:type="spellEnd"/>
      <w:r w:rsidRPr="00A07F29">
        <w:rPr>
          <w:rFonts w:ascii="Times New Roman" w:eastAsia="Calibri" w:hAnsi="Times New Roman" w:cs="Times New Roman"/>
          <w:i/>
          <w:sz w:val="24"/>
          <w:szCs w:val="24"/>
        </w:rPr>
        <w:t xml:space="preserve"> </w:t>
      </w:r>
      <w:proofErr w:type="spellStart"/>
      <w:r w:rsidRPr="00A07F29">
        <w:rPr>
          <w:rFonts w:ascii="Times New Roman" w:eastAsia="Calibri" w:hAnsi="Times New Roman" w:cs="Times New Roman"/>
          <w:i/>
          <w:sz w:val="24"/>
          <w:szCs w:val="24"/>
        </w:rPr>
        <w:t>cruciata</w:t>
      </w:r>
      <w:proofErr w:type="spellEnd"/>
      <w:r w:rsidRPr="00A07F29">
        <w:rPr>
          <w:rFonts w:ascii="Times New Roman" w:eastAsia="Calibri" w:hAnsi="Times New Roman" w:cs="Times New Roman"/>
          <w:i/>
          <w:sz w:val="24"/>
          <w:szCs w:val="24"/>
        </w:rPr>
        <w:t xml:space="preserve"> </w:t>
      </w:r>
      <w:r w:rsidRPr="00A07F29">
        <w:rPr>
          <w:rFonts w:ascii="Times New Roman" w:eastAsia="Calibri" w:hAnsi="Times New Roman" w:cs="Times New Roman"/>
          <w:sz w:val="24"/>
          <w:szCs w:val="24"/>
        </w:rPr>
        <w:t>un</w:t>
      </w:r>
      <w:r w:rsidRPr="00A07F29">
        <w:rPr>
          <w:rFonts w:ascii="Times New Roman" w:eastAsia="Calibri" w:hAnsi="Times New Roman" w:cs="Times New Roman"/>
          <w:i/>
          <w:sz w:val="24"/>
          <w:szCs w:val="24"/>
        </w:rPr>
        <w:t xml:space="preserve"> </w:t>
      </w:r>
      <w:r w:rsidRPr="00A07F29">
        <w:rPr>
          <w:rFonts w:ascii="Times New Roman" w:eastAsia="Calibri" w:hAnsi="Times New Roman" w:cs="Times New Roman"/>
          <w:sz w:val="24"/>
          <w:szCs w:val="24"/>
        </w:rPr>
        <w:t>atvašu saulrieteņa</w:t>
      </w:r>
      <w:r w:rsidRPr="00A07F29">
        <w:rPr>
          <w:rFonts w:ascii="Times New Roman" w:eastAsia="Calibri" w:hAnsi="Times New Roman" w:cs="Times New Roman"/>
          <w:i/>
          <w:sz w:val="24"/>
          <w:szCs w:val="24"/>
        </w:rPr>
        <w:t xml:space="preserve"> </w:t>
      </w:r>
      <w:proofErr w:type="spellStart"/>
      <w:r w:rsidRPr="00A07F29">
        <w:rPr>
          <w:rFonts w:ascii="Times New Roman" w:eastAsia="Calibri" w:hAnsi="Times New Roman" w:cs="Times New Roman"/>
          <w:i/>
          <w:sz w:val="24"/>
          <w:szCs w:val="24"/>
        </w:rPr>
        <w:t>Jovibarba</w:t>
      </w:r>
      <w:proofErr w:type="spellEnd"/>
      <w:r w:rsidRPr="00A07F29">
        <w:rPr>
          <w:rFonts w:ascii="Times New Roman" w:eastAsia="Calibri" w:hAnsi="Times New Roman" w:cs="Times New Roman"/>
          <w:i/>
          <w:sz w:val="24"/>
          <w:szCs w:val="24"/>
        </w:rPr>
        <w:t xml:space="preserve"> </w:t>
      </w:r>
      <w:proofErr w:type="spellStart"/>
      <w:r w:rsidRPr="00A07F29">
        <w:rPr>
          <w:rFonts w:ascii="Times New Roman" w:eastAsia="Calibri" w:hAnsi="Times New Roman" w:cs="Times New Roman"/>
          <w:i/>
          <w:sz w:val="24"/>
          <w:szCs w:val="24"/>
        </w:rPr>
        <w:t>sobolifera</w:t>
      </w:r>
      <w:proofErr w:type="spellEnd"/>
      <w:r w:rsidRPr="00A07F29">
        <w:rPr>
          <w:rFonts w:ascii="Times New Roman" w:eastAsia="Calibri" w:hAnsi="Times New Roman" w:cs="Times New Roman"/>
          <w:sz w:val="24"/>
          <w:szCs w:val="24"/>
        </w:rPr>
        <w:t xml:space="preserve"> atradnes, kā arī </w:t>
      </w:r>
      <w:r w:rsidRPr="00A07F29">
        <w:rPr>
          <w:rFonts w:ascii="Times New Roman" w:eastAsia="Calibri" w:hAnsi="Times New Roman" w:cs="Times New Roman"/>
          <w:i/>
          <w:sz w:val="24"/>
          <w:szCs w:val="24"/>
        </w:rPr>
        <w:t>Dabas skaitīšanas</w:t>
      </w:r>
      <w:r w:rsidRPr="00A07F29">
        <w:rPr>
          <w:rFonts w:ascii="Times New Roman" w:eastAsia="Calibri" w:hAnsi="Times New Roman" w:cs="Times New Roman"/>
          <w:sz w:val="24"/>
          <w:szCs w:val="24"/>
        </w:rPr>
        <w:t xml:space="preserve"> laikā konstatētā teritorijai jaunā suga sīkais āboliņš </w:t>
      </w:r>
      <w:proofErr w:type="spellStart"/>
      <w:r w:rsidRPr="00A07F29">
        <w:rPr>
          <w:rFonts w:ascii="Times New Roman" w:eastAsia="Calibri" w:hAnsi="Times New Roman" w:cs="Times New Roman"/>
          <w:i/>
          <w:sz w:val="24"/>
          <w:szCs w:val="24"/>
        </w:rPr>
        <w:t>Trifolium</w:t>
      </w:r>
      <w:proofErr w:type="spellEnd"/>
      <w:r w:rsidRPr="00A07F29">
        <w:rPr>
          <w:rFonts w:ascii="Times New Roman" w:eastAsia="Calibri" w:hAnsi="Times New Roman" w:cs="Times New Roman"/>
          <w:i/>
          <w:sz w:val="24"/>
          <w:szCs w:val="24"/>
        </w:rPr>
        <w:t xml:space="preserve"> </w:t>
      </w:r>
      <w:proofErr w:type="spellStart"/>
      <w:r w:rsidRPr="00A07F29">
        <w:rPr>
          <w:rFonts w:ascii="Times New Roman" w:eastAsia="Calibri" w:hAnsi="Times New Roman" w:cs="Times New Roman"/>
          <w:i/>
          <w:sz w:val="24"/>
          <w:szCs w:val="24"/>
        </w:rPr>
        <w:t>dubium</w:t>
      </w:r>
      <w:proofErr w:type="spellEnd"/>
      <w:r w:rsidRPr="00A07F29">
        <w:rPr>
          <w:rFonts w:ascii="Times New Roman" w:eastAsia="Calibri" w:hAnsi="Times New Roman" w:cs="Times New Roman"/>
          <w:i/>
          <w:sz w:val="24"/>
          <w:szCs w:val="24"/>
        </w:rPr>
        <w:t xml:space="preserve"> </w:t>
      </w:r>
      <w:proofErr w:type="spellStart"/>
      <w:r w:rsidRPr="00A07F29">
        <w:rPr>
          <w:rFonts w:ascii="Times New Roman" w:eastAsia="Calibri" w:hAnsi="Times New Roman" w:cs="Times New Roman"/>
          <w:sz w:val="24"/>
          <w:szCs w:val="24"/>
        </w:rPr>
        <w:t>Sibth</w:t>
      </w:r>
      <w:proofErr w:type="spellEnd"/>
      <w:r w:rsidRPr="00A07F29">
        <w:rPr>
          <w:rFonts w:ascii="Times New Roman" w:eastAsia="Calibri" w:hAnsi="Times New Roman" w:cs="Times New Roman"/>
          <w:sz w:val="24"/>
          <w:szCs w:val="24"/>
        </w:rPr>
        <w:t>.</w:t>
      </w:r>
    </w:p>
    <w:p w14:paraId="7F6BDEE9" w14:textId="10428136" w:rsidR="002B1603" w:rsidRPr="00A07F29" w:rsidRDefault="002B1603" w:rsidP="00B649FD">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Pastāv varbūtība, ka AAA sastopamas arī citas pēdējo gadu pētījumos neatrastās literatūrā minētās augu sugas, piemēram, jūrmalas </w:t>
      </w:r>
      <w:proofErr w:type="spellStart"/>
      <w:r w:rsidRPr="00A07F29">
        <w:rPr>
          <w:rFonts w:ascii="Times New Roman" w:eastAsia="Calibri" w:hAnsi="Times New Roman" w:cs="Times New Roman"/>
          <w:sz w:val="24"/>
          <w:szCs w:val="24"/>
        </w:rPr>
        <w:t>pērkonamoliņš</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i/>
          <w:sz w:val="24"/>
          <w:szCs w:val="24"/>
        </w:rPr>
        <w:t>Anthyllis</w:t>
      </w:r>
      <w:proofErr w:type="spellEnd"/>
      <w:r w:rsidRPr="00A07F29">
        <w:rPr>
          <w:rFonts w:ascii="Times New Roman" w:eastAsia="Calibri" w:hAnsi="Times New Roman" w:cs="Times New Roman"/>
          <w:i/>
          <w:sz w:val="24"/>
          <w:szCs w:val="24"/>
        </w:rPr>
        <w:t xml:space="preserve"> </w:t>
      </w:r>
      <w:proofErr w:type="spellStart"/>
      <w:r w:rsidRPr="00A07F29">
        <w:rPr>
          <w:rFonts w:ascii="Times New Roman" w:eastAsia="Calibri" w:hAnsi="Times New Roman" w:cs="Times New Roman"/>
          <w:i/>
          <w:sz w:val="24"/>
          <w:szCs w:val="24"/>
        </w:rPr>
        <w:t>maritima</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kļavlapu</w:t>
      </w:r>
      <w:proofErr w:type="spellEnd"/>
      <w:r w:rsidRPr="00A07F29">
        <w:rPr>
          <w:rFonts w:ascii="Times New Roman" w:eastAsia="Calibri" w:hAnsi="Times New Roman" w:cs="Times New Roman"/>
          <w:sz w:val="24"/>
          <w:szCs w:val="24"/>
        </w:rPr>
        <w:t xml:space="preserve"> balanda </w:t>
      </w:r>
      <w:proofErr w:type="spellStart"/>
      <w:r w:rsidRPr="00A07F29">
        <w:rPr>
          <w:rFonts w:ascii="Times New Roman" w:eastAsia="Calibri" w:hAnsi="Times New Roman" w:cs="Times New Roman"/>
          <w:i/>
          <w:sz w:val="24"/>
          <w:szCs w:val="24"/>
        </w:rPr>
        <w:t>Chenopodium</w:t>
      </w:r>
      <w:proofErr w:type="spellEnd"/>
      <w:r w:rsidRPr="00A07F29">
        <w:rPr>
          <w:rFonts w:ascii="Times New Roman" w:eastAsia="Calibri" w:hAnsi="Times New Roman" w:cs="Times New Roman"/>
          <w:i/>
          <w:sz w:val="24"/>
          <w:szCs w:val="24"/>
        </w:rPr>
        <w:t xml:space="preserve"> </w:t>
      </w:r>
      <w:proofErr w:type="spellStart"/>
      <w:r w:rsidRPr="00A07F29">
        <w:rPr>
          <w:rFonts w:ascii="Times New Roman" w:eastAsia="Calibri" w:hAnsi="Times New Roman" w:cs="Times New Roman"/>
          <w:i/>
          <w:sz w:val="24"/>
          <w:szCs w:val="24"/>
        </w:rPr>
        <w:t>acerfolium</w:t>
      </w:r>
      <w:proofErr w:type="spellEnd"/>
      <w:r w:rsidRPr="00A07F29">
        <w:rPr>
          <w:rFonts w:ascii="Times New Roman" w:eastAsia="Calibri" w:hAnsi="Times New Roman" w:cs="Times New Roman"/>
          <w:sz w:val="24"/>
          <w:szCs w:val="24"/>
        </w:rPr>
        <w:t xml:space="preserve">, pakalnu kazroze </w:t>
      </w:r>
      <w:proofErr w:type="spellStart"/>
      <w:r w:rsidRPr="00A07F29">
        <w:rPr>
          <w:rFonts w:ascii="Times New Roman" w:eastAsia="Calibri" w:hAnsi="Times New Roman" w:cs="Times New Roman"/>
          <w:i/>
          <w:sz w:val="24"/>
          <w:szCs w:val="24"/>
        </w:rPr>
        <w:t>Epilobium</w:t>
      </w:r>
      <w:proofErr w:type="spellEnd"/>
      <w:r w:rsidRPr="00A07F29">
        <w:rPr>
          <w:rFonts w:ascii="Times New Roman" w:eastAsia="Calibri" w:hAnsi="Times New Roman" w:cs="Times New Roman"/>
          <w:i/>
          <w:sz w:val="24"/>
          <w:szCs w:val="24"/>
        </w:rPr>
        <w:t xml:space="preserve"> </w:t>
      </w:r>
      <w:proofErr w:type="spellStart"/>
      <w:r w:rsidRPr="00A07F29">
        <w:rPr>
          <w:rFonts w:ascii="Times New Roman" w:eastAsia="Calibri" w:hAnsi="Times New Roman" w:cs="Times New Roman"/>
          <w:i/>
          <w:sz w:val="24"/>
          <w:szCs w:val="24"/>
        </w:rPr>
        <w:t>collinum</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gludlapu</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ezerene</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i/>
          <w:sz w:val="24"/>
          <w:szCs w:val="24"/>
        </w:rPr>
        <w:t>Isoëtes</w:t>
      </w:r>
      <w:proofErr w:type="spellEnd"/>
      <w:r w:rsidRPr="00A07F29">
        <w:rPr>
          <w:rFonts w:ascii="Times New Roman" w:eastAsia="Calibri" w:hAnsi="Times New Roman" w:cs="Times New Roman"/>
          <w:i/>
          <w:sz w:val="24"/>
          <w:szCs w:val="24"/>
        </w:rPr>
        <w:t xml:space="preserve"> </w:t>
      </w:r>
      <w:proofErr w:type="spellStart"/>
      <w:r w:rsidRPr="00A07F29">
        <w:rPr>
          <w:rFonts w:ascii="Times New Roman" w:eastAsia="Calibri" w:hAnsi="Times New Roman" w:cs="Times New Roman"/>
          <w:i/>
          <w:sz w:val="24"/>
          <w:szCs w:val="24"/>
        </w:rPr>
        <w:t>lacustris</w:t>
      </w:r>
      <w:proofErr w:type="spellEnd"/>
      <w:r w:rsidRPr="00A07F29">
        <w:rPr>
          <w:rFonts w:ascii="Times New Roman" w:eastAsia="Calibri" w:hAnsi="Times New Roman" w:cs="Times New Roman"/>
          <w:sz w:val="24"/>
          <w:szCs w:val="24"/>
        </w:rPr>
        <w:t xml:space="preserve"> u.c., kas šeit zināmas no iepriekšējiem pētījumiem, un kam </w:t>
      </w:r>
      <w:r w:rsidR="00273853" w:rsidRPr="00A07F29">
        <w:rPr>
          <w:rFonts w:ascii="Times New Roman" w:eastAsia="Calibri" w:hAnsi="Times New Roman" w:cs="Times New Roman"/>
          <w:sz w:val="24"/>
          <w:szCs w:val="24"/>
        </w:rPr>
        <w:t>AAA “Augšdaugava”</w:t>
      </w:r>
      <w:r w:rsidRPr="00A07F29">
        <w:rPr>
          <w:rFonts w:ascii="Times New Roman" w:eastAsia="Calibri" w:hAnsi="Times New Roman" w:cs="Times New Roman"/>
          <w:sz w:val="24"/>
          <w:szCs w:val="24"/>
        </w:rPr>
        <w:t xml:space="preserve"> teritorijā joprojām ir piemēroti biotopi. </w:t>
      </w:r>
      <w:r w:rsidR="00865922" w:rsidRPr="00A07F29">
        <w:rPr>
          <w:rFonts w:ascii="Times New Roman" w:eastAsia="Calibri" w:hAnsi="Times New Roman" w:cs="Times New Roman"/>
          <w:sz w:val="24"/>
          <w:szCs w:val="24"/>
        </w:rPr>
        <w:t xml:space="preserve">Savukārt </w:t>
      </w:r>
      <w:proofErr w:type="spellStart"/>
      <w:r w:rsidRPr="00A07F29">
        <w:rPr>
          <w:rFonts w:ascii="Times New Roman" w:eastAsia="Calibri" w:hAnsi="Times New Roman" w:cs="Times New Roman"/>
          <w:sz w:val="24"/>
          <w:szCs w:val="24"/>
        </w:rPr>
        <w:t>smaržlapu</w:t>
      </w:r>
      <w:proofErr w:type="spellEnd"/>
      <w:r w:rsidRPr="00A07F29">
        <w:rPr>
          <w:rFonts w:ascii="Times New Roman" w:eastAsia="Calibri" w:hAnsi="Times New Roman" w:cs="Times New Roman"/>
          <w:sz w:val="24"/>
          <w:szCs w:val="24"/>
        </w:rPr>
        <w:t xml:space="preserve"> roze </w:t>
      </w:r>
      <w:r w:rsidRPr="00A07F29">
        <w:rPr>
          <w:rFonts w:ascii="Times New Roman" w:eastAsia="Calibri" w:hAnsi="Times New Roman" w:cs="Times New Roman"/>
          <w:i/>
          <w:sz w:val="24"/>
          <w:szCs w:val="24"/>
        </w:rPr>
        <w:t xml:space="preserve">Rosa </w:t>
      </w:r>
      <w:proofErr w:type="spellStart"/>
      <w:r w:rsidRPr="00A07F29">
        <w:rPr>
          <w:rFonts w:ascii="Times New Roman" w:eastAsia="Calibri" w:hAnsi="Times New Roman" w:cs="Times New Roman"/>
          <w:i/>
          <w:sz w:val="24"/>
          <w:szCs w:val="24"/>
        </w:rPr>
        <w:t>rubiginosa</w:t>
      </w:r>
      <w:proofErr w:type="spellEnd"/>
      <w:r w:rsidRPr="00A07F29">
        <w:rPr>
          <w:rFonts w:ascii="Times New Roman" w:eastAsia="Calibri" w:hAnsi="Times New Roman" w:cs="Times New Roman"/>
          <w:sz w:val="24"/>
          <w:szCs w:val="24"/>
        </w:rPr>
        <w:t xml:space="preserve"> un </w:t>
      </w:r>
      <w:proofErr w:type="spellStart"/>
      <w:r w:rsidRPr="00A07F29">
        <w:rPr>
          <w:rFonts w:ascii="Times New Roman" w:eastAsia="Calibri" w:hAnsi="Times New Roman" w:cs="Times New Roman"/>
          <w:sz w:val="24"/>
          <w:szCs w:val="24"/>
        </w:rPr>
        <w:t>Šerarda</w:t>
      </w:r>
      <w:proofErr w:type="spellEnd"/>
      <w:r w:rsidRPr="00A07F29">
        <w:rPr>
          <w:rFonts w:ascii="Times New Roman" w:eastAsia="Calibri" w:hAnsi="Times New Roman" w:cs="Times New Roman"/>
          <w:sz w:val="24"/>
          <w:szCs w:val="24"/>
        </w:rPr>
        <w:t xml:space="preserve"> roze </w:t>
      </w:r>
      <w:r w:rsidRPr="00A07F29">
        <w:rPr>
          <w:rFonts w:ascii="Times New Roman" w:eastAsia="Calibri" w:hAnsi="Times New Roman" w:cs="Times New Roman"/>
          <w:i/>
          <w:sz w:val="24"/>
          <w:szCs w:val="24"/>
        </w:rPr>
        <w:t xml:space="preserve">Rosa </w:t>
      </w:r>
      <w:proofErr w:type="spellStart"/>
      <w:r w:rsidRPr="00A07F29">
        <w:rPr>
          <w:rFonts w:ascii="Times New Roman" w:eastAsia="Calibri" w:hAnsi="Times New Roman" w:cs="Times New Roman"/>
          <w:i/>
          <w:sz w:val="24"/>
          <w:szCs w:val="24"/>
        </w:rPr>
        <w:t>sherardii</w:t>
      </w:r>
      <w:proofErr w:type="spellEnd"/>
      <w:r w:rsidRPr="00A07F29">
        <w:rPr>
          <w:rFonts w:ascii="Times New Roman" w:eastAsia="Calibri" w:hAnsi="Times New Roman" w:cs="Times New Roman"/>
          <w:sz w:val="24"/>
          <w:szCs w:val="24"/>
        </w:rPr>
        <w:t xml:space="preserve"> visticamāk teritorijā netiks atrastas. Par šīm sugām </w:t>
      </w:r>
      <w:r w:rsidR="00E05166">
        <w:rPr>
          <w:rFonts w:ascii="Times New Roman" w:eastAsia="Calibri" w:hAnsi="Times New Roman" w:cs="Times New Roman"/>
          <w:sz w:val="24"/>
          <w:szCs w:val="24"/>
        </w:rPr>
        <w:t>DU</w:t>
      </w:r>
      <w:r w:rsidRPr="00A07F29">
        <w:rPr>
          <w:rFonts w:ascii="Times New Roman" w:eastAsia="Calibri" w:hAnsi="Times New Roman" w:cs="Times New Roman"/>
          <w:sz w:val="24"/>
          <w:szCs w:val="24"/>
        </w:rPr>
        <w:t xml:space="preserve"> Dzīvības zinātņu un tehnoloģiju institūta </w:t>
      </w:r>
      <w:proofErr w:type="spellStart"/>
      <w:r w:rsidRPr="00A07F29">
        <w:rPr>
          <w:rFonts w:ascii="Times New Roman" w:eastAsia="Calibri" w:hAnsi="Times New Roman" w:cs="Times New Roman"/>
          <w:sz w:val="24"/>
          <w:szCs w:val="24"/>
        </w:rPr>
        <w:t>Biosistemātikas</w:t>
      </w:r>
      <w:proofErr w:type="spellEnd"/>
      <w:r w:rsidRPr="00A07F29">
        <w:rPr>
          <w:rFonts w:ascii="Times New Roman" w:eastAsia="Calibri" w:hAnsi="Times New Roman" w:cs="Times New Roman"/>
          <w:sz w:val="24"/>
          <w:szCs w:val="24"/>
        </w:rPr>
        <w:t xml:space="preserve"> departamenta Botānikas laboratorijā tiek veikti pētījumi un apstrādāts plašs herbārija materiāla klāsts gan no </w:t>
      </w:r>
      <w:r w:rsidR="00E26F90" w:rsidRPr="00E26F90">
        <w:rPr>
          <w:rFonts w:ascii="Times New Roman" w:eastAsia="Calibri" w:hAnsi="Times New Roman" w:cs="Times New Roman"/>
          <w:sz w:val="24"/>
          <w:szCs w:val="24"/>
        </w:rPr>
        <w:t>DU</w:t>
      </w:r>
      <w:r w:rsidR="00E26F90">
        <w:rPr>
          <w:rFonts w:ascii="Times New Roman" w:eastAsia="Calibri" w:hAnsi="Times New Roman" w:cs="Times New Roman"/>
          <w:sz w:val="24"/>
          <w:szCs w:val="24"/>
        </w:rPr>
        <w:t xml:space="preserve"> herbārija,</w:t>
      </w:r>
      <w:r w:rsidRPr="00A07F29">
        <w:rPr>
          <w:rFonts w:ascii="Times New Roman" w:eastAsia="Calibri" w:hAnsi="Times New Roman" w:cs="Times New Roman"/>
          <w:sz w:val="24"/>
          <w:szCs w:val="24"/>
        </w:rPr>
        <w:t xml:space="preserve"> gan no Nacionālā Botāniskā dārza herbārija, kā arī veiktas konsultācijas ar Baltkrievijas vadošo rožu ģints speciālistu D.</w:t>
      </w:r>
      <w:r w:rsidR="00066211">
        <w:rPr>
          <w:rFonts w:ascii="Times New Roman" w:eastAsia="Calibri" w:hAnsi="Times New Roman" w:cs="Times New Roman"/>
          <w:sz w:val="24"/>
          <w:szCs w:val="24"/>
        </w:rPr>
        <w:t> </w:t>
      </w:r>
      <w:proofErr w:type="spellStart"/>
      <w:r w:rsidRPr="00A07F29">
        <w:rPr>
          <w:rFonts w:ascii="Times New Roman" w:eastAsia="Calibri" w:hAnsi="Times New Roman" w:cs="Times New Roman"/>
          <w:sz w:val="24"/>
          <w:szCs w:val="24"/>
        </w:rPr>
        <w:t>Duboviku</w:t>
      </w:r>
      <w:proofErr w:type="spellEnd"/>
      <w:r w:rsidRPr="00A07F29">
        <w:rPr>
          <w:rFonts w:ascii="Times New Roman" w:eastAsia="Calibri" w:hAnsi="Times New Roman" w:cs="Times New Roman"/>
          <w:sz w:val="24"/>
          <w:szCs w:val="24"/>
        </w:rPr>
        <w:t xml:space="preserve">. Viss iepriekš noteiktais materiāls </w:t>
      </w:r>
      <w:r w:rsidRPr="00A07F29">
        <w:rPr>
          <w:rFonts w:ascii="Times New Roman" w:eastAsia="Calibri" w:hAnsi="Times New Roman" w:cs="Times New Roman"/>
          <w:i/>
          <w:sz w:val="24"/>
          <w:szCs w:val="24"/>
        </w:rPr>
        <w:t xml:space="preserve">Rosa </w:t>
      </w:r>
      <w:proofErr w:type="spellStart"/>
      <w:r w:rsidRPr="00A07F29">
        <w:rPr>
          <w:rFonts w:ascii="Times New Roman" w:eastAsia="Calibri" w:hAnsi="Times New Roman" w:cs="Times New Roman"/>
          <w:i/>
          <w:sz w:val="24"/>
          <w:szCs w:val="24"/>
        </w:rPr>
        <w:t>sherardii</w:t>
      </w:r>
      <w:proofErr w:type="spellEnd"/>
      <w:r w:rsidRPr="00A07F29">
        <w:rPr>
          <w:rFonts w:ascii="Times New Roman" w:eastAsia="Calibri" w:hAnsi="Times New Roman" w:cs="Times New Roman"/>
          <w:sz w:val="24"/>
          <w:szCs w:val="24"/>
        </w:rPr>
        <w:t xml:space="preserve"> ir </w:t>
      </w:r>
      <w:proofErr w:type="spellStart"/>
      <w:r w:rsidRPr="00A07F29">
        <w:rPr>
          <w:rFonts w:ascii="Times New Roman" w:eastAsia="Calibri" w:hAnsi="Times New Roman" w:cs="Times New Roman"/>
          <w:sz w:val="24"/>
          <w:szCs w:val="24"/>
        </w:rPr>
        <w:t>tūbainā</w:t>
      </w:r>
      <w:proofErr w:type="spellEnd"/>
      <w:r w:rsidRPr="00A07F29">
        <w:rPr>
          <w:rFonts w:ascii="Times New Roman" w:eastAsia="Calibri" w:hAnsi="Times New Roman" w:cs="Times New Roman"/>
          <w:sz w:val="24"/>
          <w:szCs w:val="24"/>
        </w:rPr>
        <w:t xml:space="preserve"> roze </w:t>
      </w:r>
      <w:r w:rsidRPr="00A07F29">
        <w:rPr>
          <w:rFonts w:ascii="Times New Roman" w:eastAsia="Calibri" w:hAnsi="Times New Roman" w:cs="Times New Roman"/>
          <w:i/>
          <w:sz w:val="24"/>
          <w:szCs w:val="24"/>
        </w:rPr>
        <w:t xml:space="preserve">Rosa </w:t>
      </w:r>
      <w:proofErr w:type="spellStart"/>
      <w:r w:rsidRPr="00A07F29">
        <w:rPr>
          <w:rFonts w:ascii="Times New Roman" w:eastAsia="Calibri" w:hAnsi="Times New Roman" w:cs="Times New Roman"/>
          <w:i/>
          <w:sz w:val="24"/>
          <w:szCs w:val="24"/>
        </w:rPr>
        <w:t>tomentosa</w:t>
      </w:r>
      <w:proofErr w:type="spellEnd"/>
      <w:r w:rsidRPr="00A07F29">
        <w:rPr>
          <w:rFonts w:ascii="Times New Roman" w:eastAsia="Calibri" w:hAnsi="Times New Roman" w:cs="Times New Roman"/>
          <w:sz w:val="24"/>
          <w:szCs w:val="24"/>
        </w:rPr>
        <w:t xml:space="preserve">. </w:t>
      </w:r>
      <w:proofErr w:type="spellStart"/>
      <w:r w:rsidR="001E7C4E">
        <w:rPr>
          <w:rFonts w:ascii="Times New Roman" w:eastAsia="Calibri" w:hAnsi="Times New Roman" w:cs="Times New Roman"/>
          <w:sz w:val="24"/>
          <w:szCs w:val="24"/>
        </w:rPr>
        <w:t>Šerarda</w:t>
      </w:r>
      <w:proofErr w:type="spellEnd"/>
      <w:r w:rsidR="001E7C4E">
        <w:rPr>
          <w:rFonts w:ascii="Times New Roman" w:eastAsia="Calibri" w:hAnsi="Times New Roman" w:cs="Times New Roman"/>
          <w:sz w:val="24"/>
          <w:szCs w:val="24"/>
        </w:rPr>
        <w:t xml:space="preserve"> roze </w:t>
      </w:r>
      <w:r w:rsidRPr="00A07F29">
        <w:rPr>
          <w:rFonts w:ascii="Times New Roman" w:eastAsia="Calibri" w:hAnsi="Times New Roman" w:cs="Times New Roman"/>
          <w:i/>
          <w:sz w:val="24"/>
          <w:szCs w:val="24"/>
        </w:rPr>
        <w:t xml:space="preserve">Rosa </w:t>
      </w:r>
      <w:proofErr w:type="spellStart"/>
      <w:r w:rsidRPr="00A07F29">
        <w:rPr>
          <w:rFonts w:ascii="Times New Roman" w:eastAsia="Calibri" w:hAnsi="Times New Roman" w:cs="Times New Roman"/>
          <w:i/>
          <w:sz w:val="24"/>
          <w:szCs w:val="24"/>
        </w:rPr>
        <w:t>sherardii</w:t>
      </w:r>
      <w:proofErr w:type="spellEnd"/>
      <w:r w:rsidRPr="00A07F29">
        <w:rPr>
          <w:rFonts w:ascii="Times New Roman" w:eastAsia="Calibri" w:hAnsi="Times New Roman" w:cs="Times New Roman"/>
          <w:sz w:val="24"/>
          <w:szCs w:val="24"/>
        </w:rPr>
        <w:t xml:space="preserve"> Latvijā savvaļā nav sastopama. Savukārt </w:t>
      </w:r>
      <w:proofErr w:type="spellStart"/>
      <w:r w:rsidRPr="00A07F29">
        <w:rPr>
          <w:rFonts w:ascii="Times New Roman" w:eastAsia="Calibri" w:hAnsi="Times New Roman" w:cs="Times New Roman"/>
          <w:sz w:val="24"/>
          <w:szCs w:val="24"/>
        </w:rPr>
        <w:t>smaržlapu</w:t>
      </w:r>
      <w:proofErr w:type="spellEnd"/>
      <w:r w:rsidRPr="00A07F29">
        <w:rPr>
          <w:rFonts w:ascii="Times New Roman" w:eastAsia="Calibri" w:hAnsi="Times New Roman" w:cs="Times New Roman"/>
          <w:sz w:val="24"/>
          <w:szCs w:val="24"/>
        </w:rPr>
        <w:t xml:space="preserve"> roze</w:t>
      </w:r>
      <w:r w:rsidR="009F79FC" w:rsidRPr="009F79FC">
        <w:rPr>
          <w:rFonts w:ascii="Times New Roman" w:eastAsia="Calibri" w:hAnsi="Times New Roman" w:cs="Times New Roman"/>
          <w:i/>
          <w:sz w:val="24"/>
          <w:szCs w:val="24"/>
        </w:rPr>
        <w:t xml:space="preserve"> Rosa </w:t>
      </w:r>
      <w:proofErr w:type="spellStart"/>
      <w:r w:rsidR="009F79FC" w:rsidRPr="009F79FC">
        <w:rPr>
          <w:rFonts w:ascii="Times New Roman" w:eastAsia="Calibri" w:hAnsi="Times New Roman" w:cs="Times New Roman"/>
          <w:i/>
          <w:sz w:val="24"/>
          <w:szCs w:val="24"/>
        </w:rPr>
        <w:t>rubiginosa</w:t>
      </w:r>
      <w:proofErr w:type="spellEnd"/>
      <w:r w:rsidR="009F79FC">
        <w:rPr>
          <w:rFonts w:ascii="Times New Roman" w:eastAsia="Calibri" w:hAnsi="Times New Roman" w:cs="Times New Roman"/>
          <w:sz w:val="24"/>
          <w:szCs w:val="24"/>
        </w:rPr>
        <w:t xml:space="preserve"> </w:t>
      </w:r>
      <w:r w:rsidRPr="00A07F29">
        <w:rPr>
          <w:rFonts w:ascii="Times New Roman" w:eastAsia="Calibri" w:hAnsi="Times New Roman" w:cs="Times New Roman"/>
          <w:sz w:val="24"/>
          <w:szCs w:val="24"/>
        </w:rPr>
        <w:t>tiek uzskatīta par Kurzemes sugu.</w:t>
      </w:r>
    </w:p>
    <w:p w14:paraId="685394F7" w14:textId="7F1A020C" w:rsidR="002B1603" w:rsidRPr="00A07F29" w:rsidRDefault="002B1603" w:rsidP="00CF3603">
      <w:pPr>
        <w:spacing w:before="240" w:after="120"/>
        <w:jc w:val="both"/>
        <w:rPr>
          <w:rFonts w:ascii="Times New Roman" w:eastAsia="Calibri" w:hAnsi="Times New Roman" w:cs="Times New Roman"/>
          <w:b/>
          <w:i/>
          <w:sz w:val="24"/>
          <w:szCs w:val="24"/>
        </w:rPr>
      </w:pPr>
      <w:r w:rsidRPr="00A07F29">
        <w:rPr>
          <w:rFonts w:ascii="Times New Roman" w:eastAsia="Calibri" w:hAnsi="Times New Roman" w:cs="Times New Roman"/>
          <w:b/>
          <w:i/>
          <w:sz w:val="24"/>
          <w:szCs w:val="24"/>
        </w:rPr>
        <w:t>Sauso priežu mežu retās un aizsargājamās sugas</w:t>
      </w:r>
    </w:p>
    <w:p w14:paraId="6986BF8A" w14:textId="6D55FC02" w:rsidR="002B1603" w:rsidRPr="00A07F29" w:rsidRDefault="002B1603" w:rsidP="005124ED">
      <w:pPr>
        <w:spacing w:after="120" w:line="240" w:lineRule="auto"/>
        <w:ind w:firstLine="851"/>
        <w:jc w:val="both"/>
        <w:rPr>
          <w:rFonts w:ascii="Times New Roman" w:eastAsia="Calibri" w:hAnsi="Times New Roman" w:cs="Times New Roman"/>
          <w:sz w:val="24"/>
          <w:szCs w:val="24"/>
        </w:rPr>
      </w:pPr>
      <w:r w:rsidRPr="00D26588">
        <w:rPr>
          <w:rFonts w:ascii="Times New Roman" w:eastAsia="Calibri" w:hAnsi="Times New Roman" w:cs="Times New Roman"/>
          <w:b/>
          <w:sz w:val="24"/>
          <w:szCs w:val="24"/>
        </w:rPr>
        <w:t>Piramidālais</w:t>
      </w:r>
      <w:r w:rsidRPr="00A07F29">
        <w:rPr>
          <w:rFonts w:ascii="Times New Roman" w:eastAsia="Calibri" w:hAnsi="Times New Roman" w:cs="Times New Roman"/>
          <w:b/>
          <w:sz w:val="24"/>
          <w:szCs w:val="24"/>
        </w:rPr>
        <w:t xml:space="preserve"> cekuliņš </w:t>
      </w:r>
      <w:proofErr w:type="spellStart"/>
      <w:r w:rsidRPr="00A07F29">
        <w:rPr>
          <w:rFonts w:ascii="Times New Roman" w:eastAsia="Calibri" w:hAnsi="Times New Roman" w:cs="Times New Roman"/>
          <w:b/>
          <w:i/>
          <w:sz w:val="24"/>
          <w:szCs w:val="24"/>
        </w:rPr>
        <w:t>Ajuga</w:t>
      </w:r>
      <w:proofErr w:type="spellEnd"/>
      <w:r w:rsidRPr="00A07F29">
        <w:rPr>
          <w:rFonts w:ascii="Times New Roman" w:eastAsia="Calibri" w:hAnsi="Times New Roman" w:cs="Times New Roman"/>
          <w:b/>
          <w:i/>
          <w:sz w:val="24"/>
          <w:szCs w:val="24"/>
        </w:rPr>
        <w:t xml:space="preserve"> </w:t>
      </w:r>
      <w:proofErr w:type="spellStart"/>
      <w:r w:rsidRPr="00A07F29">
        <w:rPr>
          <w:rFonts w:ascii="Times New Roman" w:eastAsia="Calibri" w:hAnsi="Times New Roman" w:cs="Times New Roman"/>
          <w:b/>
          <w:i/>
          <w:sz w:val="24"/>
          <w:szCs w:val="24"/>
        </w:rPr>
        <w:t>pyramidalis</w:t>
      </w:r>
      <w:proofErr w:type="spellEnd"/>
      <w:r w:rsidRPr="00A07F29">
        <w:rPr>
          <w:rFonts w:ascii="Times New Roman" w:eastAsia="Calibri" w:hAnsi="Times New Roman" w:cs="Times New Roman"/>
          <w:sz w:val="24"/>
          <w:szCs w:val="24"/>
        </w:rPr>
        <w:t xml:space="preserve"> </w:t>
      </w:r>
      <w:r w:rsidR="00273853" w:rsidRPr="00A07F29">
        <w:rPr>
          <w:rFonts w:ascii="Times New Roman" w:eastAsia="Calibri" w:hAnsi="Times New Roman" w:cs="Times New Roman"/>
          <w:sz w:val="24"/>
          <w:szCs w:val="24"/>
        </w:rPr>
        <w:t>(</w:t>
      </w:r>
      <w:r w:rsidR="00D26588">
        <w:rPr>
          <w:rFonts w:ascii="Times New Roman" w:eastAsia="Calibri" w:hAnsi="Times New Roman" w:cs="Times New Roman"/>
          <w:sz w:val="24"/>
          <w:szCs w:val="24"/>
        </w:rPr>
        <w:t xml:space="preserve">skat. </w:t>
      </w:r>
      <w:r w:rsidR="00273853" w:rsidRPr="00A07F29">
        <w:rPr>
          <w:rFonts w:ascii="Times New Roman" w:hAnsi="Times New Roman" w:cs="Times New Roman"/>
          <w:szCs w:val="24"/>
        </w:rPr>
        <w:t>4.4.4.1.</w:t>
      </w:r>
      <w:r w:rsidR="00D26588">
        <w:rPr>
          <w:rFonts w:ascii="Times New Roman" w:hAnsi="Times New Roman" w:cs="Times New Roman"/>
          <w:szCs w:val="24"/>
        </w:rPr>
        <w:t> </w:t>
      </w:r>
      <w:r w:rsidR="00273853" w:rsidRPr="00A07F29">
        <w:rPr>
          <w:rFonts w:ascii="Times New Roman" w:hAnsi="Times New Roman" w:cs="Times New Roman"/>
          <w:szCs w:val="24"/>
        </w:rPr>
        <w:t>att</w:t>
      </w:r>
      <w:r w:rsidR="00D26588">
        <w:rPr>
          <w:rFonts w:ascii="Times New Roman" w:hAnsi="Times New Roman" w:cs="Times New Roman"/>
          <w:szCs w:val="24"/>
        </w:rPr>
        <w:t>ēls</w:t>
      </w:r>
      <w:r w:rsidR="00273853" w:rsidRPr="00A07F29">
        <w:rPr>
          <w:rFonts w:ascii="Times New Roman" w:hAnsi="Times New Roman" w:cs="Times New Roman"/>
          <w:szCs w:val="24"/>
        </w:rPr>
        <w:t xml:space="preserve">) </w:t>
      </w:r>
      <w:r w:rsidRPr="00A07F29">
        <w:rPr>
          <w:rFonts w:ascii="Times New Roman" w:eastAsia="Calibri" w:hAnsi="Times New Roman" w:cs="Times New Roman"/>
          <w:sz w:val="24"/>
          <w:szCs w:val="24"/>
        </w:rPr>
        <w:t xml:space="preserve">un </w:t>
      </w:r>
      <w:proofErr w:type="spellStart"/>
      <w:r w:rsidRPr="00A07F29">
        <w:rPr>
          <w:rFonts w:ascii="Times New Roman" w:eastAsia="Calibri" w:hAnsi="Times New Roman" w:cs="Times New Roman"/>
          <w:b/>
          <w:sz w:val="24"/>
          <w:szCs w:val="24"/>
        </w:rPr>
        <w:t>šaurlapu</w:t>
      </w:r>
      <w:proofErr w:type="spellEnd"/>
      <w:r w:rsidRPr="00A07F29">
        <w:rPr>
          <w:rFonts w:ascii="Times New Roman" w:eastAsia="Calibri" w:hAnsi="Times New Roman" w:cs="Times New Roman"/>
          <w:b/>
          <w:sz w:val="24"/>
          <w:szCs w:val="24"/>
        </w:rPr>
        <w:t xml:space="preserve"> lakacis</w:t>
      </w:r>
      <w:r w:rsidRPr="00A07F29">
        <w:rPr>
          <w:rFonts w:ascii="Times New Roman" w:eastAsia="Calibri" w:hAnsi="Times New Roman" w:cs="Times New Roman"/>
          <w:b/>
          <w:i/>
          <w:sz w:val="24"/>
          <w:szCs w:val="24"/>
        </w:rPr>
        <w:t xml:space="preserve"> </w:t>
      </w:r>
      <w:proofErr w:type="spellStart"/>
      <w:r w:rsidRPr="00A07F29">
        <w:rPr>
          <w:rFonts w:ascii="Times New Roman" w:eastAsia="Calibri" w:hAnsi="Times New Roman" w:cs="Times New Roman"/>
          <w:b/>
          <w:i/>
          <w:sz w:val="24"/>
          <w:szCs w:val="24"/>
        </w:rPr>
        <w:t>Pulmonaria</w:t>
      </w:r>
      <w:proofErr w:type="spellEnd"/>
      <w:r w:rsidRPr="00A07F29">
        <w:rPr>
          <w:rFonts w:ascii="Times New Roman" w:eastAsia="Calibri" w:hAnsi="Times New Roman" w:cs="Times New Roman"/>
          <w:b/>
          <w:i/>
          <w:sz w:val="24"/>
          <w:szCs w:val="24"/>
        </w:rPr>
        <w:t xml:space="preserve"> </w:t>
      </w:r>
      <w:proofErr w:type="spellStart"/>
      <w:r w:rsidRPr="00A07F29">
        <w:rPr>
          <w:rFonts w:ascii="Times New Roman" w:eastAsia="Calibri" w:hAnsi="Times New Roman" w:cs="Times New Roman"/>
          <w:b/>
          <w:i/>
          <w:sz w:val="24"/>
          <w:szCs w:val="24"/>
        </w:rPr>
        <w:t>angustifolia</w:t>
      </w:r>
      <w:proofErr w:type="spellEnd"/>
      <w:r w:rsidRPr="00A07F29">
        <w:rPr>
          <w:rFonts w:ascii="Times New Roman" w:eastAsia="Calibri" w:hAnsi="Times New Roman" w:cs="Times New Roman"/>
          <w:sz w:val="24"/>
          <w:szCs w:val="24"/>
        </w:rPr>
        <w:t xml:space="preserve"> </w:t>
      </w:r>
      <w:r w:rsidR="00273853" w:rsidRPr="00A07F29">
        <w:rPr>
          <w:rFonts w:ascii="Times New Roman" w:eastAsia="Calibri" w:hAnsi="Times New Roman" w:cs="Times New Roman"/>
          <w:sz w:val="24"/>
          <w:szCs w:val="24"/>
        </w:rPr>
        <w:t>(</w:t>
      </w:r>
      <w:r w:rsidR="00077BF2">
        <w:rPr>
          <w:rFonts w:ascii="Times New Roman" w:eastAsia="Calibri" w:hAnsi="Times New Roman" w:cs="Times New Roman"/>
          <w:sz w:val="24"/>
          <w:szCs w:val="24"/>
        </w:rPr>
        <w:t xml:space="preserve">skat. </w:t>
      </w:r>
      <w:r w:rsidR="00273853" w:rsidRPr="00A07F29">
        <w:rPr>
          <w:rFonts w:ascii="Times New Roman" w:hAnsi="Times New Roman" w:cs="Times New Roman"/>
          <w:szCs w:val="24"/>
        </w:rPr>
        <w:t>4.4.4.2.</w:t>
      </w:r>
      <w:r w:rsidR="00077BF2">
        <w:rPr>
          <w:rFonts w:ascii="Times New Roman" w:hAnsi="Times New Roman" w:cs="Times New Roman"/>
          <w:szCs w:val="24"/>
        </w:rPr>
        <w:t> </w:t>
      </w:r>
      <w:r w:rsidR="00273853" w:rsidRPr="00A07F29">
        <w:rPr>
          <w:rFonts w:ascii="Times New Roman" w:hAnsi="Times New Roman" w:cs="Times New Roman"/>
          <w:szCs w:val="24"/>
        </w:rPr>
        <w:t>att</w:t>
      </w:r>
      <w:r w:rsidR="00077BF2">
        <w:rPr>
          <w:rFonts w:ascii="Times New Roman" w:hAnsi="Times New Roman" w:cs="Times New Roman"/>
          <w:szCs w:val="24"/>
        </w:rPr>
        <w:t>ēls</w:t>
      </w:r>
      <w:r w:rsidR="00273853" w:rsidRPr="00A07F29">
        <w:rPr>
          <w:rFonts w:ascii="Times New Roman" w:hAnsi="Times New Roman" w:cs="Times New Roman"/>
          <w:szCs w:val="24"/>
        </w:rPr>
        <w:t>)</w:t>
      </w:r>
      <w:r w:rsidR="00273853" w:rsidRPr="00A07F29">
        <w:rPr>
          <w:rFonts w:ascii="Times New Roman" w:eastAsia="Calibri" w:hAnsi="Times New Roman" w:cs="Times New Roman"/>
          <w:sz w:val="24"/>
          <w:szCs w:val="24"/>
        </w:rPr>
        <w:t xml:space="preserve"> </w:t>
      </w:r>
      <w:r w:rsidRPr="00A07F29">
        <w:rPr>
          <w:rFonts w:ascii="Times New Roman" w:eastAsia="Calibri" w:hAnsi="Times New Roman" w:cs="Times New Roman"/>
          <w:sz w:val="24"/>
          <w:szCs w:val="24"/>
        </w:rPr>
        <w:t xml:space="preserve">sastopami sausos, skrajos priežu mežos. </w:t>
      </w:r>
      <w:r w:rsidR="00273853" w:rsidRPr="00A07F29">
        <w:rPr>
          <w:rFonts w:ascii="Times New Roman" w:eastAsia="Calibri" w:hAnsi="Times New Roman" w:cs="Times New Roman"/>
          <w:sz w:val="24"/>
          <w:szCs w:val="24"/>
        </w:rPr>
        <w:t>AAA “</w:t>
      </w:r>
      <w:r w:rsidRPr="00A07F29">
        <w:rPr>
          <w:rFonts w:ascii="Times New Roman" w:eastAsia="Calibri" w:hAnsi="Times New Roman" w:cs="Times New Roman"/>
          <w:sz w:val="24"/>
          <w:szCs w:val="24"/>
        </w:rPr>
        <w:t>Augšdaugava</w:t>
      </w:r>
      <w:r w:rsidR="00273853" w:rsidRPr="00A07F29">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teritorijā bagātīgas atradnes konstatētas </w:t>
      </w:r>
      <w:proofErr w:type="spellStart"/>
      <w:r w:rsidRPr="00A07F29">
        <w:rPr>
          <w:rFonts w:ascii="Times New Roman" w:eastAsia="Calibri" w:hAnsi="Times New Roman" w:cs="Times New Roman"/>
          <w:sz w:val="24"/>
          <w:szCs w:val="24"/>
        </w:rPr>
        <w:t>Ververu</w:t>
      </w:r>
      <w:proofErr w:type="spellEnd"/>
      <w:r w:rsidRPr="00A07F29">
        <w:rPr>
          <w:rFonts w:ascii="Times New Roman" w:eastAsia="Calibri" w:hAnsi="Times New Roman" w:cs="Times New Roman"/>
          <w:sz w:val="24"/>
          <w:szCs w:val="24"/>
        </w:rPr>
        <w:t xml:space="preserve"> un </w:t>
      </w:r>
      <w:proofErr w:type="spellStart"/>
      <w:r w:rsidRPr="00A07F29">
        <w:rPr>
          <w:rFonts w:ascii="Times New Roman" w:eastAsia="Calibri" w:hAnsi="Times New Roman" w:cs="Times New Roman"/>
          <w:sz w:val="24"/>
          <w:szCs w:val="24"/>
        </w:rPr>
        <w:t>Rozališķu</w:t>
      </w:r>
      <w:proofErr w:type="spellEnd"/>
      <w:r w:rsidRPr="00A07F29">
        <w:rPr>
          <w:rFonts w:ascii="Times New Roman" w:eastAsia="Calibri" w:hAnsi="Times New Roman" w:cs="Times New Roman"/>
          <w:sz w:val="24"/>
          <w:szCs w:val="24"/>
        </w:rPr>
        <w:t xml:space="preserve"> lokos. Abas sugas apdraud zemsedzes izbradāšana un mežizstrādes darbi, tomēr jāpiezīmē, ka šie augi biežāk sastopami nedaudz atēnotās vietās, kā arī meža ceļu malās. Augšdaugavas teritorijā </w:t>
      </w:r>
      <w:proofErr w:type="spellStart"/>
      <w:r w:rsidRPr="00A07F29">
        <w:rPr>
          <w:rFonts w:ascii="Times New Roman" w:eastAsia="Calibri" w:hAnsi="Times New Roman" w:cs="Times New Roman"/>
          <w:sz w:val="24"/>
          <w:szCs w:val="24"/>
        </w:rPr>
        <w:t>šaurlapu</w:t>
      </w:r>
      <w:proofErr w:type="spellEnd"/>
      <w:r w:rsidRPr="00A07F29">
        <w:rPr>
          <w:rFonts w:ascii="Times New Roman" w:eastAsia="Calibri" w:hAnsi="Times New Roman" w:cs="Times New Roman"/>
          <w:sz w:val="24"/>
          <w:szCs w:val="24"/>
        </w:rPr>
        <w:t xml:space="preserve"> lakacis zināms no 1940.</w:t>
      </w:r>
      <w:r w:rsidR="003E02AF">
        <w:rPr>
          <w:rFonts w:ascii="Times New Roman" w:eastAsia="Calibri" w:hAnsi="Times New Roman" w:cs="Times New Roman"/>
          <w:sz w:val="24"/>
          <w:szCs w:val="24"/>
        </w:rPr>
        <w:t> </w:t>
      </w:r>
      <w:r w:rsidRPr="00A07F29">
        <w:rPr>
          <w:rFonts w:ascii="Times New Roman" w:eastAsia="Calibri" w:hAnsi="Times New Roman" w:cs="Times New Roman"/>
          <w:sz w:val="24"/>
          <w:szCs w:val="24"/>
        </w:rPr>
        <w:t>gada (Naujenes apkārtne), savukārt piramidālais cekuliņš šeit konstatēts tikai 1989.</w:t>
      </w:r>
      <w:r w:rsidR="003E02AF">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gadā. Sugas sastopamas DP </w:t>
      </w:r>
      <w:r w:rsidR="00862C1B" w:rsidRPr="00A07F29">
        <w:rPr>
          <w:rFonts w:ascii="Times New Roman" w:eastAsia="Calibri" w:hAnsi="Times New Roman" w:cs="Times New Roman"/>
          <w:sz w:val="24"/>
          <w:szCs w:val="24"/>
        </w:rPr>
        <w:t>“</w:t>
      </w:r>
      <w:r w:rsidRPr="00A07F29">
        <w:rPr>
          <w:rFonts w:ascii="Times New Roman" w:eastAsia="Calibri" w:hAnsi="Times New Roman" w:cs="Times New Roman"/>
          <w:sz w:val="24"/>
          <w:szCs w:val="24"/>
        </w:rPr>
        <w:t>Daugavas loki</w:t>
      </w:r>
      <w:r w:rsidR="00862C1B" w:rsidRPr="00A07F29">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teritorijā, savukārt atradnes aiz Krāslavas nav konstatētas.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4206E6" w:rsidRPr="00A07F29" w14:paraId="4DC847F8" w14:textId="77777777" w:rsidTr="63C42FA1">
        <w:tc>
          <w:tcPr>
            <w:tcW w:w="4785" w:type="dxa"/>
          </w:tcPr>
          <w:p w14:paraId="3047FFFC" w14:textId="5064345F" w:rsidR="004206E6" w:rsidRPr="00A07F29" w:rsidRDefault="004206E6" w:rsidP="004206E6">
            <w:pPr>
              <w:spacing w:after="120"/>
              <w:jc w:val="center"/>
              <w:rPr>
                <w:rFonts w:ascii="Times New Roman" w:eastAsia="Calibri" w:hAnsi="Times New Roman" w:cs="Times New Roman"/>
                <w:sz w:val="24"/>
                <w:szCs w:val="24"/>
              </w:rPr>
            </w:pPr>
            <w:r w:rsidRPr="00A07F29">
              <w:rPr>
                <w:noProof/>
                <w:lang w:eastAsia="lv-LV"/>
              </w:rPr>
              <w:lastRenderedPageBreak/>
              <w:drawing>
                <wp:inline distT="0" distB="0" distL="0" distR="0" wp14:anchorId="2F3A0032" wp14:editId="169A126C">
                  <wp:extent cx="2453003" cy="3221182"/>
                  <wp:effectExtent l="0" t="0" r="5080" b="0"/>
                  <wp:docPr id="7" name="Picture 2" descr="IMGP8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56">
                            <a:extLst>
                              <a:ext uri="{28A0092B-C50C-407E-A947-70E740481C1C}">
                                <a14:useLocalDpi xmlns:a14="http://schemas.microsoft.com/office/drawing/2010/main"/>
                              </a:ext>
                            </a:extLst>
                          </a:blip>
                          <a:stretch>
                            <a:fillRect/>
                          </a:stretch>
                        </pic:blipFill>
                        <pic:spPr>
                          <a:xfrm>
                            <a:off x="0" y="0"/>
                            <a:ext cx="2453003" cy="3221182"/>
                          </a:xfrm>
                          <a:prstGeom prst="rect">
                            <a:avLst/>
                          </a:prstGeom>
                        </pic:spPr>
                      </pic:pic>
                    </a:graphicData>
                  </a:graphic>
                </wp:inline>
              </w:drawing>
            </w:r>
          </w:p>
        </w:tc>
        <w:tc>
          <w:tcPr>
            <w:tcW w:w="4785" w:type="dxa"/>
          </w:tcPr>
          <w:p w14:paraId="55342DA7" w14:textId="16C856FC" w:rsidR="004206E6" w:rsidRPr="00A07F29" w:rsidRDefault="004206E6" w:rsidP="004206E6">
            <w:pPr>
              <w:spacing w:after="120"/>
              <w:jc w:val="center"/>
              <w:rPr>
                <w:rFonts w:ascii="Times New Roman" w:eastAsia="Calibri" w:hAnsi="Times New Roman" w:cs="Times New Roman"/>
                <w:sz w:val="24"/>
                <w:szCs w:val="24"/>
              </w:rPr>
            </w:pPr>
            <w:r w:rsidRPr="00A07F29">
              <w:rPr>
                <w:noProof/>
                <w:lang w:eastAsia="lv-LV"/>
              </w:rPr>
              <w:drawing>
                <wp:inline distT="0" distB="0" distL="0" distR="0" wp14:anchorId="1EBDC343" wp14:editId="1E40DCCE">
                  <wp:extent cx="2452653" cy="3220720"/>
                  <wp:effectExtent l="0" t="0" r="5080" b="0"/>
                  <wp:docPr id="8" name="Picture 1" descr="IMGP8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57">
                            <a:extLst>
                              <a:ext uri="{28A0092B-C50C-407E-A947-70E740481C1C}">
                                <a14:useLocalDpi xmlns:a14="http://schemas.microsoft.com/office/drawing/2010/main"/>
                              </a:ext>
                            </a:extLst>
                          </a:blip>
                          <a:stretch>
                            <a:fillRect/>
                          </a:stretch>
                        </pic:blipFill>
                        <pic:spPr>
                          <a:xfrm>
                            <a:off x="0" y="0"/>
                            <a:ext cx="2452653" cy="3220720"/>
                          </a:xfrm>
                          <a:prstGeom prst="rect">
                            <a:avLst/>
                          </a:prstGeom>
                        </pic:spPr>
                      </pic:pic>
                    </a:graphicData>
                  </a:graphic>
                </wp:inline>
              </w:drawing>
            </w:r>
          </w:p>
        </w:tc>
      </w:tr>
      <w:tr w:rsidR="004206E6" w:rsidRPr="00A07F29" w14:paraId="42B26246" w14:textId="77777777" w:rsidTr="63C42FA1">
        <w:tc>
          <w:tcPr>
            <w:tcW w:w="4785" w:type="dxa"/>
          </w:tcPr>
          <w:p w14:paraId="177DC8F1" w14:textId="012D6ABB" w:rsidR="004206E6" w:rsidRPr="003E02AF" w:rsidRDefault="004206E6" w:rsidP="00B765C7">
            <w:pPr>
              <w:spacing w:after="120"/>
              <w:ind w:left="284"/>
              <w:jc w:val="both"/>
              <w:rPr>
                <w:rFonts w:ascii="Times New Roman" w:eastAsia="Calibri" w:hAnsi="Times New Roman" w:cs="Times New Roman"/>
                <w:sz w:val="20"/>
                <w:szCs w:val="20"/>
              </w:rPr>
            </w:pPr>
            <w:r w:rsidRPr="003E02AF">
              <w:rPr>
                <w:rFonts w:ascii="Times New Roman" w:hAnsi="Times New Roman" w:cs="Times New Roman"/>
                <w:sz w:val="20"/>
                <w:szCs w:val="20"/>
              </w:rPr>
              <w:t>4.4.4.1. att</w:t>
            </w:r>
            <w:r w:rsidR="003E02AF" w:rsidRPr="003E02AF">
              <w:rPr>
                <w:rFonts w:ascii="Times New Roman" w:hAnsi="Times New Roman" w:cs="Times New Roman"/>
                <w:sz w:val="20"/>
                <w:szCs w:val="20"/>
              </w:rPr>
              <w:t>ēls</w:t>
            </w:r>
            <w:r w:rsidRPr="003E02AF">
              <w:rPr>
                <w:rFonts w:ascii="Times New Roman" w:hAnsi="Times New Roman" w:cs="Times New Roman"/>
                <w:sz w:val="20"/>
                <w:szCs w:val="20"/>
              </w:rPr>
              <w:t xml:space="preserve">. Piramidālais cekuliņš </w:t>
            </w:r>
            <w:proofErr w:type="spellStart"/>
            <w:r w:rsidRPr="003E02AF">
              <w:rPr>
                <w:rFonts w:ascii="Times New Roman" w:hAnsi="Times New Roman" w:cs="Times New Roman"/>
                <w:i/>
                <w:sz w:val="20"/>
                <w:szCs w:val="20"/>
              </w:rPr>
              <w:t>Ajuga</w:t>
            </w:r>
            <w:proofErr w:type="spellEnd"/>
            <w:r w:rsidRPr="003E02AF">
              <w:rPr>
                <w:rFonts w:ascii="Times New Roman" w:hAnsi="Times New Roman" w:cs="Times New Roman"/>
                <w:i/>
                <w:sz w:val="20"/>
                <w:szCs w:val="20"/>
              </w:rPr>
              <w:t xml:space="preserve"> </w:t>
            </w:r>
            <w:proofErr w:type="spellStart"/>
            <w:r w:rsidRPr="003E02AF">
              <w:rPr>
                <w:rFonts w:ascii="Times New Roman" w:hAnsi="Times New Roman" w:cs="Times New Roman"/>
                <w:i/>
                <w:sz w:val="20"/>
                <w:szCs w:val="20"/>
              </w:rPr>
              <w:t>piramidalis</w:t>
            </w:r>
            <w:proofErr w:type="spellEnd"/>
            <w:r w:rsidRPr="003E02AF">
              <w:rPr>
                <w:rFonts w:ascii="Times New Roman" w:hAnsi="Times New Roman" w:cs="Times New Roman"/>
                <w:i/>
                <w:sz w:val="20"/>
                <w:szCs w:val="20"/>
              </w:rPr>
              <w:t xml:space="preserve"> </w:t>
            </w:r>
            <w:proofErr w:type="spellStart"/>
            <w:r w:rsidRPr="003E02AF">
              <w:rPr>
                <w:rFonts w:ascii="Times New Roman" w:hAnsi="Times New Roman" w:cs="Times New Roman"/>
                <w:sz w:val="20"/>
                <w:szCs w:val="20"/>
              </w:rPr>
              <w:t>Rozališķu</w:t>
            </w:r>
            <w:proofErr w:type="spellEnd"/>
            <w:r w:rsidRPr="003E02AF">
              <w:rPr>
                <w:rFonts w:ascii="Times New Roman" w:hAnsi="Times New Roman" w:cs="Times New Roman"/>
                <w:sz w:val="20"/>
                <w:szCs w:val="20"/>
              </w:rPr>
              <w:t xml:space="preserve"> lokā (</w:t>
            </w:r>
            <w:proofErr w:type="spellStart"/>
            <w:r w:rsidRPr="003E02AF">
              <w:rPr>
                <w:rFonts w:ascii="Times New Roman" w:hAnsi="Times New Roman" w:cs="Times New Roman"/>
                <w:sz w:val="20"/>
                <w:szCs w:val="20"/>
              </w:rPr>
              <w:t>foto:P</w:t>
            </w:r>
            <w:proofErr w:type="spellEnd"/>
            <w:r w:rsidR="003E02AF" w:rsidRPr="003E02AF">
              <w:rPr>
                <w:rFonts w:ascii="Times New Roman" w:hAnsi="Times New Roman" w:cs="Times New Roman"/>
                <w:sz w:val="20"/>
                <w:szCs w:val="20"/>
              </w:rPr>
              <w:t>. </w:t>
            </w:r>
            <w:proofErr w:type="spellStart"/>
            <w:r w:rsidRPr="003E02AF">
              <w:rPr>
                <w:rFonts w:ascii="Times New Roman" w:hAnsi="Times New Roman" w:cs="Times New Roman"/>
                <w:sz w:val="20"/>
                <w:szCs w:val="20"/>
              </w:rPr>
              <w:t>Evarts-Bunders</w:t>
            </w:r>
            <w:proofErr w:type="spellEnd"/>
            <w:r w:rsidRPr="003E02AF">
              <w:rPr>
                <w:rFonts w:ascii="Times New Roman" w:hAnsi="Times New Roman" w:cs="Times New Roman"/>
                <w:sz w:val="20"/>
                <w:szCs w:val="20"/>
              </w:rPr>
              <w:t>)</w:t>
            </w:r>
          </w:p>
        </w:tc>
        <w:tc>
          <w:tcPr>
            <w:tcW w:w="4785" w:type="dxa"/>
          </w:tcPr>
          <w:p w14:paraId="4F9282D7" w14:textId="18AA7473" w:rsidR="004206E6" w:rsidRPr="003E02AF" w:rsidRDefault="004206E6" w:rsidP="005124ED">
            <w:pPr>
              <w:spacing w:after="120"/>
              <w:ind w:left="325"/>
              <w:jc w:val="both"/>
              <w:rPr>
                <w:rFonts w:ascii="Times New Roman" w:eastAsia="Calibri" w:hAnsi="Times New Roman" w:cs="Times New Roman"/>
                <w:sz w:val="20"/>
                <w:szCs w:val="20"/>
              </w:rPr>
            </w:pPr>
            <w:r w:rsidRPr="003E02AF">
              <w:rPr>
                <w:rFonts w:ascii="Times New Roman" w:hAnsi="Times New Roman" w:cs="Times New Roman"/>
                <w:sz w:val="20"/>
                <w:szCs w:val="20"/>
              </w:rPr>
              <w:t>4.4.4.2. att</w:t>
            </w:r>
            <w:r w:rsidR="003E02AF" w:rsidRPr="003E02AF">
              <w:rPr>
                <w:rFonts w:ascii="Times New Roman" w:hAnsi="Times New Roman" w:cs="Times New Roman"/>
                <w:sz w:val="20"/>
                <w:szCs w:val="20"/>
              </w:rPr>
              <w:t>ēls</w:t>
            </w:r>
            <w:r w:rsidRPr="003E02AF">
              <w:rPr>
                <w:rFonts w:ascii="Times New Roman" w:hAnsi="Times New Roman" w:cs="Times New Roman"/>
                <w:sz w:val="20"/>
                <w:szCs w:val="20"/>
              </w:rPr>
              <w:t xml:space="preserve">. </w:t>
            </w:r>
            <w:proofErr w:type="spellStart"/>
            <w:r w:rsidRPr="003E02AF">
              <w:rPr>
                <w:rFonts w:ascii="Times New Roman" w:hAnsi="Times New Roman" w:cs="Times New Roman"/>
                <w:sz w:val="20"/>
                <w:szCs w:val="20"/>
              </w:rPr>
              <w:t>Šaurlapu</w:t>
            </w:r>
            <w:proofErr w:type="spellEnd"/>
            <w:r w:rsidRPr="003E02AF">
              <w:rPr>
                <w:rFonts w:ascii="Times New Roman" w:hAnsi="Times New Roman" w:cs="Times New Roman"/>
                <w:sz w:val="20"/>
                <w:szCs w:val="20"/>
              </w:rPr>
              <w:t xml:space="preserve"> lakacis </w:t>
            </w:r>
            <w:proofErr w:type="spellStart"/>
            <w:r w:rsidRPr="003E02AF">
              <w:rPr>
                <w:rFonts w:ascii="Times New Roman" w:hAnsi="Times New Roman" w:cs="Times New Roman"/>
                <w:i/>
                <w:sz w:val="20"/>
                <w:szCs w:val="20"/>
              </w:rPr>
              <w:t>Pulmonaria</w:t>
            </w:r>
            <w:proofErr w:type="spellEnd"/>
            <w:r w:rsidRPr="003E02AF">
              <w:rPr>
                <w:rFonts w:ascii="Times New Roman" w:hAnsi="Times New Roman" w:cs="Times New Roman"/>
                <w:i/>
                <w:sz w:val="20"/>
                <w:szCs w:val="20"/>
              </w:rPr>
              <w:t xml:space="preserve"> </w:t>
            </w:r>
            <w:proofErr w:type="spellStart"/>
            <w:r w:rsidRPr="003E02AF">
              <w:rPr>
                <w:rFonts w:ascii="Times New Roman" w:hAnsi="Times New Roman" w:cs="Times New Roman"/>
                <w:i/>
                <w:sz w:val="20"/>
                <w:szCs w:val="20"/>
              </w:rPr>
              <w:t>angustifolia</w:t>
            </w:r>
            <w:proofErr w:type="spellEnd"/>
            <w:r w:rsidRPr="003E02AF">
              <w:rPr>
                <w:rFonts w:ascii="Times New Roman" w:hAnsi="Times New Roman" w:cs="Times New Roman"/>
                <w:sz w:val="20"/>
                <w:szCs w:val="20"/>
              </w:rPr>
              <w:t xml:space="preserve"> </w:t>
            </w:r>
            <w:proofErr w:type="spellStart"/>
            <w:r w:rsidRPr="003E02AF">
              <w:rPr>
                <w:rFonts w:ascii="Times New Roman" w:hAnsi="Times New Roman" w:cs="Times New Roman"/>
                <w:sz w:val="20"/>
                <w:szCs w:val="20"/>
              </w:rPr>
              <w:t>Ververu</w:t>
            </w:r>
            <w:proofErr w:type="spellEnd"/>
            <w:r w:rsidRPr="003E02AF">
              <w:rPr>
                <w:rFonts w:ascii="Times New Roman" w:hAnsi="Times New Roman" w:cs="Times New Roman"/>
                <w:sz w:val="20"/>
                <w:szCs w:val="20"/>
              </w:rPr>
              <w:t xml:space="preserve"> lokā</w:t>
            </w:r>
            <w:r w:rsidRPr="003E02AF">
              <w:rPr>
                <w:rFonts w:ascii="Times New Roman" w:hAnsi="Times New Roman" w:cs="Times New Roman"/>
                <w:b/>
                <w:sz w:val="20"/>
                <w:szCs w:val="20"/>
              </w:rPr>
              <w:t xml:space="preserve"> </w:t>
            </w:r>
            <w:r w:rsidRPr="003E02AF">
              <w:rPr>
                <w:rFonts w:ascii="Times New Roman" w:hAnsi="Times New Roman" w:cs="Times New Roman"/>
                <w:sz w:val="20"/>
                <w:szCs w:val="20"/>
              </w:rPr>
              <w:t>(foto: P</w:t>
            </w:r>
            <w:r w:rsidR="003E02AF" w:rsidRPr="003E02AF">
              <w:rPr>
                <w:rFonts w:ascii="Times New Roman" w:hAnsi="Times New Roman" w:cs="Times New Roman"/>
                <w:sz w:val="20"/>
                <w:szCs w:val="20"/>
              </w:rPr>
              <w:t>. </w:t>
            </w:r>
            <w:proofErr w:type="spellStart"/>
            <w:r w:rsidRPr="003E02AF">
              <w:rPr>
                <w:rFonts w:ascii="Times New Roman" w:hAnsi="Times New Roman" w:cs="Times New Roman"/>
                <w:sz w:val="20"/>
                <w:szCs w:val="20"/>
              </w:rPr>
              <w:t>Evarts-Bunders</w:t>
            </w:r>
            <w:proofErr w:type="spellEnd"/>
            <w:r w:rsidRPr="003E02AF">
              <w:rPr>
                <w:rFonts w:ascii="Times New Roman" w:hAnsi="Times New Roman" w:cs="Times New Roman"/>
                <w:sz w:val="20"/>
                <w:szCs w:val="20"/>
              </w:rPr>
              <w:t>).</w:t>
            </w:r>
          </w:p>
        </w:tc>
      </w:tr>
    </w:tbl>
    <w:p w14:paraId="4B66373A" w14:textId="513E507A" w:rsidR="002B1603" w:rsidRPr="00A07F29" w:rsidRDefault="002B1603" w:rsidP="005124ED">
      <w:pPr>
        <w:spacing w:before="120" w:after="120" w:line="240" w:lineRule="auto"/>
        <w:ind w:firstLine="851"/>
        <w:jc w:val="both"/>
        <w:rPr>
          <w:rFonts w:ascii="Times New Roman" w:eastAsia="Calibri" w:hAnsi="Times New Roman" w:cs="Times New Roman"/>
          <w:sz w:val="24"/>
          <w:szCs w:val="24"/>
        </w:rPr>
      </w:pPr>
      <w:proofErr w:type="spellStart"/>
      <w:r w:rsidRPr="00A07F29">
        <w:rPr>
          <w:rFonts w:ascii="Times New Roman" w:eastAsia="Calibri" w:hAnsi="Times New Roman" w:cs="Times New Roman"/>
          <w:b/>
          <w:sz w:val="24"/>
          <w:szCs w:val="24"/>
        </w:rPr>
        <w:t>Cepurainā</w:t>
      </w:r>
      <w:proofErr w:type="spellEnd"/>
      <w:r w:rsidRPr="00A07F29">
        <w:rPr>
          <w:rFonts w:ascii="Times New Roman" w:eastAsia="Calibri" w:hAnsi="Times New Roman" w:cs="Times New Roman"/>
          <w:b/>
          <w:sz w:val="24"/>
          <w:szCs w:val="24"/>
        </w:rPr>
        <w:t xml:space="preserve"> </w:t>
      </w:r>
      <w:proofErr w:type="spellStart"/>
      <w:r w:rsidRPr="00A07F29">
        <w:rPr>
          <w:rFonts w:ascii="Times New Roman" w:eastAsia="Calibri" w:hAnsi="Times New Roman" w:cs="Times New Roman"/>
          <w:b/>
          <w:sz w:val="24"/>
          <w:szCs w:val="24"/>
        </w:rPr>
        <w:t>neotiante</w:t>
      </w:r>
      <w:proofErr w:type="spellEnd"/>
      <w:r w:rsidRPr="00A07F29">
        <w:rPr>
          <w:rFonts w:ascii="Times New Roman" w:eastAsia="Calibri" w:hAnsi="Times New Roman" w:cs="Times New Roman"/>
          <w:b/>
          <w:sz w:val="24"/>
          <w:szCs w:val="24"/>
        </w:rPr>
        <w:t xml:space="preserve"> </w:t>
      </w:r>
      <w:proofErr w:type="spellStart"/>
      <w:r w:rsidRPr="00A07F29">
        <w:rPr>
          <w:rFonts w:ascii="Times New Roman" w:eastAsia="Calibri" w:hAnsi="Times New Roman" w:cs="Times New Roman"/>
          <w:b/>
          <w:i/>
          <w:sz w:val="24"/>
          <w:szCs w:val="24"/>
        </w:rPr>
        <w:t>Neottiathe</w:t>
      </w:r>
      <w:proofErr w:type="spellEnd"/>
      <w:r w:rsidRPr="00A07F29">
        <w:rPr>
          <w:rFonts w:ascii="Times New Roman" w:eastAsia="Calibri" w:hAnsi="Times New Roman" w:cs="Times New Roman"/>
          <w:b/>
          <w:i/>
          <w:sz w:val="24"/>
          <w:szCs w:val="24"/>
        </w:rPr>
        <w:t xml:space="preserve"> </w:t>
      </w:r>
      <w:proofErr w:type="spellStart"/>
      <w:r w:rsidRPr="00A07F29">
        <w:rPr>
          <w:rFonts w:ascii="Times New Roman" w:eastAsia="Calibri" w:hAnsi="Times New Roman" w:cs="Times New Roman"/>
          <w:b/>
          <w:i/>
          <w:sz w:val="24"/>
          <w:szCs w:val="24"/>
        </w:rPr>
        <w:t>cucullata</w:t>
      </w:r>
      <w:proofErr w:type="spellEnd"/>
      <w:r w:rsidRPr="00A07F29">
        <w:rPr>
          <w:rFonts w:ascii="Times New Roman" w:eastAsia="Calibri" w:hAnsi="Times New Roman" w:cs="Times New Roman"/>
          <w:sz w:val="24"/>
          <w:szCs w:val="24"/>
        </w:rPr>
        <w:t xml:space="preserve"> </w:t>
      </w:r>
      <w:r w:rsidR="00862C1B" w:rsidRPr="00A07F29">
        <w:rPr>
          <w:rFonts w:ascii="Times New Roman" w:eastAsia="Calibri" w:hAnsi="Times New Roman" w:cs="Times New Roman"/>
          <w:sz w:val="24"/>
          <w:szCs w:val="24"/>
        </w:rPr>
        <w:t>(</w:t>
      </w:r>
      <w:r w:rsidR="003E02AF">
        <w:rPr>
          <w:rFonts w:ascii="Times New Roman" w:eastAsia="Calibri" w:hAnsi="Times New Roman" w:cs="Times New Roman"/>
          <w:sz w:val="24"/>
          <w:szCs w:val="24"/>
        </w:rPr>
        <w:t xml:space="preserve">skat. </w:t>
      </w:r>
      <w:r w:rsidR="00862C1B" w:rsidRPr="00A07F29">
        <w:rPr>
          <w:rFonts w:ascii="Times New Roman" w:eastAsia="Calibri" w:hAnsi="Times New Roman" w:cs="Times New Roman"/>
          <w:sz w:val="24"/>
          <w:szCs w:val="24"/>
        </w:rPr>
        <w:t>4.4.4.3.</w:t>
      </w:r>
      <w:r w:rsidR="003E02AF">
        <w:rPr>
          <w:rFonts w:ascii="Times New Roman" w:eastAsia="Calibri" w:hAnsi="Times New Roman" w:cs="Times New Roman"/>
          <w:sz w:val="24"/>
          <w:szCs w:val="24"/>
        </w:rPr>
        <w:t> </w:t>
      </w:r>
      <w:r w:rsidR="00862C1B" w:rsidRPr="00A07F29">
        <w:rPr>
          <w:rFonts w:ascii="Times New Roman" w:eastAsia="Calibri" w:hAnsi="Times New Roman" w:cs="Times New Roman"/>
          <w:sz w:val="24"/>
          <w:szCs w:val="24"/>
        </w:rPr>
        <w:t>att</w:t>
      </w:r>
      <w:r w:rsidR="003E02AF">
        <w:rPr>
          <w:rFonts w:ascii="Times New Roman" w:eastAsia="Calibri" w:hAnsi="Times New Roman" w:cs="Times New Roman"/>
          <w:sz w:val="24"/>
          <w:szCs w:val="24"/>
        </w:rPr>
        <w:t>ēls</w:t>
      </w:r>
      <w:r w:rsidR="00862C1B" w:rsidRPr="00A07F29">
        <w:rPr>
          <w:rFonts w:ascii="Times New Roman" w:eastAsia="Calibri" w:hAnsi="Times New Roman" w:cs="Times New Roman"/>
          <w:sz w:val="24"/>
          <w:szCs w:val="24"/>
        </w:rPr>
        <w:t xml:space="preserve">) </w:t>
      </w:r>
      <w:r w:rsidR="00E20F71" w:rsidRPr="00A07F29">
        <w:rPr>
          <w:rFonts w:ascii="Times New Roman" w:eastAsia="Calibri" w:hAnsi="Times New Roman" w:cs="Times New Roman"/>
          <w:sz w:val="24"/>
          <w:szCs w:val="24"/>
        </w:rPr>
        <w:t xml:space="preserve">Latvijā </w:t>
      </w:r>
      <w:r w:rsidRPr="00A07F29">
        <w:rPr>
          <w:rFonts w:ascii="Times New Roman" w:eastAsia="Calibri" w:hAnsi="Times New Roman" w:cs="Times New Roman"/>
          <w:sz w:val="24"/>
          <w:szCs w:val="24"/>
        </w:rPr>
        <w:t xml:space="preserve">līdz šim </w:t>
      </w:r>
      <w:r w:rsidR="00E20F71" w:rsidRPr="00A07F29">
        <w:rPr>
          <w:rFonts w:ascii="Times New Roman" w:eastAsia="Calibri" w:hAnsi="Times New Roman" w:cs="Times New Roman"/>
          <w:sz w:val="24"/>
          <w:szCs w:val="24"/>
        </w:rPr>
        <w:t xml:space="preserve">zināma </w:t>
      </w:r>
      <w:r w:rsidRPr="00A07F29">
        <w:rPr>
          <w:rFonts w:ascii="Times New Roman" w:eastAsia="Calibri" w:hAnsi="Times New Roman" w:cs="Times New Roman"/>
          <w:sz w:val="24"/>
          <w:szCs w:val="24"/>
        </w:rPr>
        <w:t xml:space="preserve">tikai no divām teritorijām </w:t>
      </w:r>
      <w:r w:rsidR="00E20F71" w:rsidRPr="00A07F29">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Tērvetes un Daugavas lokiem. Latvijā suga sasniedz areāla ZR robežu. </w:t>
      </w:r>
      <w:proofErr w:type="spellStart"/>
      <w:r w:rsidRPr="00A07F29">
        <w:rPr>
          <w:rFonts w:ascii="Times New Roman" w:eastAsia="Calibri" w:hAnsi="Times New Roman" w:cs="Times New Roman"/>
          <w:sz w:val="24"/>
          <w:szCs w:val="24"/>
        </w:rPr>
        <w:t>Rozališķu</w:t>
      </w:r>
      <w:proofErr w:type="spellEnd"/>
      <w:r w:rsidRPr="00A07F29">
        <w:rPr>
          <w:rFonts w:ascii="Times New Roman" w:eastAsia="Calibri" w:hAnsi="Times New Roman" w:cs="Times New Roman"/>
          <w:sz w:val="24"/>
          <w:szCs w:val="24"/>
        </w:rPr>
        <w:t xml:space="preserve"> lokā pirmoreiz </w:t>
      </w:r>
      <w:r w:rsidR="00E20F71" w:rsidRPr="00A07F29">
        <w:rPr>
          <w:rFonts w:ascii="Times New Roman" w:eastAsia="Calibri" w:hAnsi="Times New Roman" w:cs="Times New Roman"/>
          <w:sz w:val="24"/>
          <w:szCs w:val="24"/>
        </w:rPr>
        <w:t xml:space="preserve">konstatēta </w:t>
      </w:r>
      <w:r w:rsidRPr="00A07F29">
        <w:rPr>
          <w:rFonts w:ascii="Times New Roman" w:eastAsia="Calibri" w:hAnsi="Times New Roman" w:cs="Times New Roman"/>
          <w:sz w:val="24"/>
          <w:szCs w:val="24"/>
        </w:rPr>
        <w:t>1990.</w:t>
      </w:r>
      <w:r w:rsidR="00E64408">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gadā, </w:t>
      </w:r>
      <w:proofErr w:type="spellStart"/>
      <w:r w:rsidRPr="00A07F29">
        <w:rPr>
          <w:rFonts w:ascii="Times New Roman" w:eastAsia="Calibri" w:hAnsi="Times New Roman" w:cs="Times New Roman"/>
          <w:sz w:val="24"/>
          <w:szCs w:val="24"/>
        </w:rPr>
        <w:t>Ververu</w:t>
      </w:r>
      <w:proofErr w:type="spellEnd"/>
      <w:r w:rsidRPr="00A07F29">
        <w:rPr>
          <w:rFonts w:ascii="Times New Roman" w:eastAsia="Calibri" w:hAnsi="Times New Roman" w:cs="Times New Roman"/>
          <w:sz w:val="24"/>
          <w:szCs w:val="24"/>
        </w:rPr>
        <w:t xml:space="preserve"> lokā 2009.</w:t>
      </w:r>
      <w:r w:rsidR="00E64408">
        <w:rPr>
          <w:rFonts w:ascii="Times New Roman" w:eastAsia="Calibri" w:hAnsi="Times New Roman" w:cs="Times New Roman"/>
          <w:sz w:val="24"/>
          <w:szCs w:val="24"/>
        </w:rPr>
        <w:t> </w:t>
      </w:r>
      <w:r w:rsidRPr="00A07F29">
        <w:rPr>
          <w:rFonts w:ascii="Times New Roman" w:eastAsia="Calibri" w:hAnsi="Times New Roman" w:cs="Times New Roman"/>
          <w:sz w:val="24"/>
          <w:szCs w:val="24"/>
        </w:rPr>
        <w:t>gadā. 2019.</w:t>
      </w:r>
      <w:r w:rsidR="00E64408">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gadā apsekotas visas zināmās atradnes un konstatēta vēl viena jauna atradne </w:t>
      </w:r>
      <w:proofErr w:type="spellStart"/>
      <w:r w:rsidRPr="00A07F29">
        <w:rPr>
          <w:rFonts w:ascii="Times New Roman" w:eastAsia="Calibri" w:hAnsi="Times New Roman" w:cs="Times New Roman"/>
          <w:sz w:val="24"/>
          <w:szCs w:val="24"/>
        </w:rPr>
        <w:t>Ververu</w:t>
      </w:r>
      <w:proofErr w:type="spellEnd"/>
      <w:r w:rsidRPr="00A07F29">
        <w:rPr>
          <w:rFonts w:ascii="Times New Roman" w:eastAsia="Calibri" w:hAnsi="Times New Roman" w:cs="Times New Roman"/>
          <w:sz w:val="24"/>
          <w:szCs w:val="24"/>
        </w:rPr>
        <w:t xml:space="preserve"> lokā. AAA “Augšdaugava” </w:t>
      </w:r>
      <w:proofErr w:type="spellStart"/>
      <w:r w:rsidRPr="00A07F29">
        <w:rPr>
          <w:rFonts w:ascii="Times New Roman" w:eastAsia="Calibri" w:hAnsi="Times New Roman" w:cs="Times New Roman"/>
          <w:sz w:val="24"/>
          <w:szCs w:val="24"/>
        </w:rPr>
        <w:t>cepurainās</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neotiantes</w:t>
      </w:r>
      <w:proofErr w:type="spellEnd"/>
      <w:r w:rsidRPr="00A07F29">
        <w:rPr>
          <w:rFonts w:ascii="Times New Roman" w:eastAsia="Calibri" w:hAnsi="Times New Roman" w:cs="Times New Roman"/>
          <w:sz w:val="24"/>
          <w:szCs w:val="24"/>
        </w:rPr>
        <w:t xml:space="preserve"> populācijas lielums </w:t>
      </w:r>
      <w:r w:rsidR="00865922" w:rsidRPr="00A07F29">
        <w:rPr>
          <w:rFonts w:ascii="Times New Roman" w:eastAsia="Calibri" w:hAnsi="Times New Roman" w:cs="Times New Roman"/>
          <w:sz w:val="24"/>
          <w:szCs w:val="24"/>
        </w:rPr>
        <w:t xml:space="preserve">ir </w:t>
      </w:r>
      <w:r w:rsidRPr="00A07F29">
        <w:rPr>
          <w:rFonts w:ascii="Times New Roman" w:eastAsia="Calibri" w:hAnsi="Times New Roman" w:cs="Times New Roman"/>
          <w:sz w:val="24"/>
          <w:szCs w:val="24"/>
        </w:rPr>
        <w:t>1500</w:t>
      </w:r>
      <w:r w:rsidR="00791B30">
        <w:rPr>
          <w:rFonts w:ascii="Times New Roman" w:eastAsia="Calibri" w:hAnsi="Times New Roman" w:cs="Times New Roman"/>
          <w:sz w:val="24"/>
          <w:szCs w:val="24"/>
        </w:rPr>
        <w:t> – </w:t>
      </w:r>
      <w:r w:rsidRPr="00A07F29">
        <w:rPr>
          <w:rFonts w:ascii="Times New Roman" w:eastAsia="Calibri" w:hAnsi="Times New Roman" w:cs="Times New Roman"/>
          <w:sz w:val="24"/>
          <w:szCs w:val="24"/>
        </w:rPr>
        <w:t xml:space="preserve">2500 īpatņi. Suga veido noturīgu populāciju sausā priežu mežā </w:t>
      </w:r>
      <w:r w:rsidR="00865922" w:rsidRPr="00A07F29">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mētrājā</w:t>
      </w:r>
      <w:proofErr w:type="spellEnd"/>
      <w:r w:rsidRPr="00A07F29">
        <w:rPr>
          <w:rFonts w:ascii="Times New Roman" w:eastAsia="Calibri" w:hAnsi="Times New Roman" w:cs="Times New Roman"/>
          <w:sz w:val="24"/>
          <w:szCs w:val="24"/>
        </w:rPr>
        <w:t xml:space="preserve"> vai </w:t>
      </w:r>
      <w:proofErr w:type="spellStart"/>
      <w:r w:rsidRPr="00A07F29">
        <w:rPr>
          <w:rFonts w:ascii="Times New Roman" w:eastAsia="Calibri" w:hAnsi="Times New Roman" w:cs="Times New Roman"/>
          <w:sz w:val="24"/>
          <w:szCs w:val="24"/>
        </w:rPr>
        <w:t>lānā</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Cepuraino</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neotianti</w:t>
      </w:r>
      <w:proofErr w:type="spellEnd"/>
      <w:r w:rsidRPr="00A07F29">
        <w:rPr>
          <w:rFonts w:ascii="Times New Roman" w:eastAsia="Calibri" w:hAnsi="Times New Roman" w:cs="Times New Roman"/>
          <w:sz w:val="24"/>
          <w:szCs w:val="24"/>
        </w:rPr>
        <w:t xml:space="preserve"> apdraud mežizstrāde, sevišķi – galvenās cirtes veikšana šajā meža masīvā. Vienā no zināmajām </w:t>
      </w:r>
      <w:proofErr w:type="spellStart"/>
      <w:r w:rsidRPr="00A07F29">
        <w:rPr>
          <w:rFonts w:ascii="Times New Roman" w:eastAsia="Calibri" w:hAnsi="Times New Roman" w:cs="Times New Roman"/>
          <w:sz w:val="24"/>
          <w:szCs w:val="24"/>
        </w:rPr>
        <w:t>Rozališķu</w:t>
      </w:r>
      <w:proofErr w:type="spellEnd"/>
      <w:r w:rsidRPr="00A07F29">
        <w:rPr>
          <w:rFonts w:ascii="Times New Roman" w:eastAsia="Calibri" w:hAnsi="Times New Roman" w:cs="Times New Roman"/>
          <w:sz w:val="24"/>
          <w:szCs w:val="24"/>
        </w:rPr>
        <w:t xml:space="preserve"> loka atradnēm bijusi skrajcirte, kur vēlāk attīrot paaugu, krūmi atstāti izklaidus visā nogabalā. Rezultātā nogabals </w:t>
      </w:r>
      <w:proofErr w:type="spellStart"/>
      <w:r w:rsidRPr="00A07F29">
        <w:rPr>
          <w:rFonts w:ascii="Times New Roman" w:eastAsia="Calibri" w:hAnsi="Times New Roman" w:cs="Times New Roman"/>
          <w:sz w:val="24"/>
          <w:szCs w:val="24"/>
        </w:rPr>
        <w:t>eitroficējies</w:t>
      </w:r>
      <w:proofErr w:type="spellEnd"/>
      <w:r w:rsidRPr="00A07F29">
        <w:rPr>
          <w:rFonts w:ascii="Times New Roman" w:eastAsia="Calibri" w:hAnsi="Times New Roman" w:cs="Times New Roman"/>
          <w:sz w:val="24"/>
          <w:szCs w:val="24"/>
        </w:rPr>
        <w:t>, aizaudzis ar ciesu, avenēm u.c</w:t>
      </w:r>
      <w:r w:rsidR="00D1694B">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šeit zemsedze ir stipri noēnota, un agrāk bagātajā atradnē konstatēti tikai trīs nīkulīgi </w:t>
      </w:r>
      <w:proofErr w:type="spellStart"/>
      <w:r w:rsidRPr="00A07F29">
        <w:rPr>
          <w:rFonts w:ascii="Times New Roman" w:eastAsia="Calibri" w:hAnsi="Times New Roman" w:cs="Times New Roman"/>
          <w:sz w:val="24"/>
          <w:szCs w:val="24"/>
        </w:rPr>
        <w:t>cepurainās</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neotiantes</w:t>
      </w:r>
      <w:proofErr w:type="spellEnd"/>
      <w:r w:rsidRPr="00A07F29">
        <w:rPr>
          <w:rFonts w:ascii="Times New Roman" w:eastAsia="Calibri" w:hAnsi="Times New Roman" w:cs="Times New Roman"/>
          <w:sz w:val="24"/>
          <w:szCs w:val="24"/>
        </w:rPr>
        <w:t xml:space="preserve"> īpatņi.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76"/>
        <w:gridCol w:w="3078"/>
      </w:tblGrid>
      <w:tr w:rsidR="00A65984" w:rsidRPr="00A07F29" w14:paraId="35E3FCF4" w14:textId="77777777" w:rsidTr="63C42FA1">
        <w:tc>
          <w:tcPr>
            <w:tcW w:w="4785" w:type="dxa"/>
          </w:tcPr>
          <w:p w14:paraId="6CFB681A" w14:textId="5FB16B75" w:rsidR="00092DEE" w:rsidRPr="00A07F29" w:rsidRDefault="00092DEE" w:rsidP="002B1603">
            <w:pPr>
              <w:spacing w:after="120"/>
              <w:jc w:val="both"/>
              <w:rPr>
                <w:rFonts w:ascii="Times New Roman" w:eastAsia="Calibri" w:hAnsi="Times New Roman" w:cs="Times New Roman"/>
                <w:b/>
                <w:sz w:val="24"/>
                <w:szCs w:val="24"/>
              </w:rPr>
            </w:pPr>
            <w:r w:rsidRPr="00A07F29">
              <w:rPr>
                <w:noProof/>
                <w:lang w:eastAsia="lv-LV"/>
              </w:rPr>
              <w:drawing>
                <wp:inline distT="0" distB="0" distL="0" distR="0" wp14:anchorId="34744816" wp14:editId="32EE2113">
                  <wp:extent cx="3843638" cy="2894150"/>
                  <wp:effectExtent l="0" t="0" r="5080" b="1905"/>
                  <wp:docPr id="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58">
                            <a:extLst>
                              <a:ext uri="{28A0092B-C50C-407E-A947-70E740481C1C}">
                                <a14:useLocalDpi xmlns:a14="http://schemas.microsoft.com/office/drawing/2010/main"/>
                              </a:ext>
                            </a:extLst>
                          </a:blip>
                          <a:stretch>
                            <a:fillRect/>
                          </a:stretch>
                        </pic:blipFill>
                        <pic:spPr>
                          <a:xfrm>
                            <a:off x="0" y="0"/>
                            <a:ext cx="3843638" cy="2894150"/>
                          </a:xfrm>
                          <a:prstGeom prst="rect">
                            <a:avLst/>
                          </a:prstGeom>
                        </pic:spPr>
                      </pic:pic>
                    </a:graphicData>
                  </a:graphic>
                </wp:inline>
              </w:drawing>
            </w:r>
          </w:p>
        </w:tc>
        <w:tc>
          <w:tcPr>
            <w:tcW w:w="4785" w:type="dxa"/>
          </w:tcPr>
          <w:p w14:paraId="71EC8F03" w14:textId="77777777" w:rsidR="00A65984" w:rsidRPr="00A07F29" w:rsidRDefault="00A65984" w:rsidP="00A65984">
            <w:pPr>
              <w:spacing w:after="120"/>
              <w:jc w:val="both"/>
              <w:rPr>
                <w:rFonts w:ascii="Times New Roman" w:eastAsia="Calibri" w:hAnsi="Times New Roman" w:cs="Times New Roman"/>
                <w:sz w:val="24"/>
                <w:szCs w:val="24"/>
              </w:rPr>
            </w:pPr>
          </w:p>
          <w:p w14:paraId="42A4EA52" w14:textId="77777777" w:rsidR="00A65984" w:rsidRPr="00A07F29" w:rsidRDefault="00A65984" w:rsidP="00A65984">
            <w:pPr>
              <w:spacing w:after="120"/>
              <w:jc w:val="both"/>
              <w:rPr>
                <w:rFonts w:ascii="Times New Roman" w:eastAsia="Calibri" w:hAnsi="Times New Roman" w:cs="Times New Roman"/>
                <w:sz w:val="24"/>
                <w:szCs w:val="24"/>
              </w:rPr>
            </w:pPr>
          </w:p>
          <w:p w14:paraId="34AF570E" w14:textId="77777777" w:rsidR="00A65984" w:rsidRPr="00A07F29" w:rsidRDefault="00A65984" w:rsidP="00A65984">
            <w:pPr>
              <w:spacing w:after="120"/>
              <w:jc w:val="both"/>
              <w:rPr>
                <w:rFonts w:ascii="Times New Roman" w:eastAsia="Calibri" w:hAnsi="Times New Roman" w:cs="Times New Roman"/>
                <w:sz w:val="24"/>
                <w:szCs w:val="24"/>
              </w:rPr>
            </w:pPr>
          </w:p>
          <w:p w14:paraId="513DD799" w14:textId="77777777" w:rsidR="00A65984" w:rsidRPr="00A07F29" w:rsidRDefault="00A65984" w:rsidP="00A65984">
            <w:pPr>
              <w:spacing w:after="120"/>
              <w:jc w:val="both"/>
              <w:rPr>
                <w:rFonts w:ascii="Times New Roman" w:eastAsia="Calibri" w:hAnsi="Times New Roman" w:cs="Times New Roman"/>
                <w:sz w:val="24"/>
                <w:szCs w:val="24"/>
              </w:rPr>
            </w:pPr>
          </w:p>
          <w:p w14:paraId="6E65C739" w14:textId="77777777" w:rsidR="00A65984" w:rsidRPr="00A07F29" w:rsidRDefault="00A65984" w:rsidP="00A65984">
            <w:pPr>
              <w:spacing w:after="120"/>
              <w:jc w:val="both"/>
              <w:rPr>
                <w:rFonts w:ascii="Times New Roman" w:eastAsia="Calibri" w:hAnsi="Times New Roman" w:cs="Times New Roman"/>
                <w:sz w:val="24"/>
                <w:szCs w:val="24"/>
              </w:rPr>
            </w:pPr>
          </w:p>
          <w:p w14:paraId="26AEB5CA" w14:textId="77777777" w:rsidR="00A65984" w:rsidRPr="00A07F29" w:rsidRDefault="00A65984" w:rsidP="00A65984">
            <w:pPr>
              <w:spacing w:after="120"/>
              <w:jc w:val="both"/>
              <w:rPr>
                <w:rFonts w:ascii="Times New Roman" w:eastAsia="Calibri" w:hAnsi="Times New Roman" w:cs="Times New Roman"/>
                <w:sz w:val="24"/>
                <w:szCs w:val="24"/>
              </w:rPr>
            </w:pPr>
          </w:p>
          <w:p w14:paraId="350A1001" w14:textId="77777777" w:rsidR="00A65984" w:rsidRPr="00A07F29" w:rsidRDefault="00A65984" w:rsidP="00A65984">
            <w:pPr>
              <w:spacing w:after="120"/>
              <w:jc w:val="both"/>
              <w:rPr>
                <w:rFonts w:ascii="Times New Roman" w:eastAsia="Calibri" w:hAnsi="Times New Roman" w:cs="Times New Roman"/>
                <w:sz w:val="24"/>
                <w:szCs w:val="24"/>
              </w:rPr>
            </w:pPr>
          </w:p>
          <w:p w14:paraId="791B86BE" w14:textId="77777777" w:rsidR="00A65984" w:rsidRPr="00A07F29" w:rsidRDefault="00A65984" w:rsidP="00A65984">
            <w:pPr>
              <w:spacing w:after="120"/>
              <w:jc w:val="both"/>
              <w:rPr>
                <w:rFonts w:ascii="Times New Roman" w:eastAsia="Calibri" w:hAnsi="Times New Roman" w:cs="Times New Roman"/>
                <w:sz w:val="24"/>
                <w:szCs w:val="24"/>
              </w:rPr>
            </w:pPr>
          </w:p>
          <w:p w14:paraId="03D5A33D" w14:textId="67425636" w:rsidR="00092DEE" w:rsidRPr="00F10985" w:rsidRDefault="00092DEE" w:rsidP="00A65984">
            <w:pPr>
              <w:spacing w:after="120"/>
              <w:jc w:val="both"/>
              <w:rPr>
                <w:rFonts w:ascii="Times New Roman" w:eastAsia="Calibri" w:hAnsi="Times New Roman" w:cs="Times New Roman"/>
                <w:b/>
                <w:sz w:val="20"/>
                <w:szCs w:val="20"/>
              </w:rPr>
            </w:pPr>
            <w:r w:rsidRPr="00F10985">
              <w:rPr>
                <w:rFonts w:ascii="Times New Roman" w:eastAsia="Calibri" w:hAnsi="Times New Roman" w:cs="Times New Roman"/>
                <w:sz w:val="20"/>
                <w:szCs w:val="20"/>
              </w:rPr>
              <w:t>4.4.4.3.</w:t>
            </w:r>
            <w:r w:rsidR="00F10985" w:rsidRPr="00F10985">
              <w:rPr>
                <w:rFonts w:ascii="Times New Roman" w:eastAsia="Calibri" w:hAnsi="Times New Roman" w:cs="Times New Roman"/>
                <w:sz w:val="20"/>
                <w:szCs w:val="20"/>
              </w:rPr>
              <w:t> </w:t>
            </w:r>
            <w:r w:rsidRPr="00F10985">
              <w:rPr>
                <w:rFonts w:ascii="Times New Roman" w:eastAsia="Calibri" w:hAnsi="Times New Roman" w:cs="Times New Roman"/>
                <w:sz w:val="20"/>
                <w:szCs w:val="20"/>
              </w:rPr>
              <w:t>att</w:t>
            </w:r>
            <w:r w:rsidR="00F10985" w:rsidRPr="00F10985">
              <w:rPr>
                <w:rFonts w:ascii="Times New Roman" w:eastAsia="Calibri" w:hAnsi="Times New Roman" w:cs="Times New Roman"/>
                <w:sz w:val="20"/>
                <w:szCs w:val="20"/>
              </w:rPr>
              <w:t>ēls</w:t>
            </w:r>
            <w:r w:rsidRPr="00F10985">
              <w:rPr>
                <w:rFonts w:ascii="Times New Roman" w:eastAsia="Calibri" w:hAnsi="Times New Roman" w:cs="Times New Roman"/>
                <w:sz w:val="20"/>
                <w:szCs w:val="20"/>
              </w:rPr>
              <w:t xml:space="preserve">. </w:t>
            </w:r>
            <w:proofErr w:type="spellStart"/>
            <w:r w:rsidRPr="00F10985">
              <w:rPr>
                <w:rFonts w:ascii="Times New Roman" w:eastAsia="Calibri" w:hAnsi="Times New Roman" w:cs="Times New Roman"/>
                <w:sz w:val="20"/>
                <w:szCs w:val="20"/>
              </w:rPr>
              <w:t>Cepurainās</w:t>
            </w:r>
            <w:proofErr w:type="spellEnd"/>
            <w:r w:rsidRPr="00F10985">
              <w:rPr>
                <w:rFonts w:ascii="Times New Roman" w:eastAsia="Calibri" w:hAnsi="Times New Roman" w:cs="Times New Roman"/>
                <w:sz w:val="20"/>
                <w:szCs w:val="20"/>
              </w:rPr>
              <w:t xml:space="preserve"> </w:t>
            </w:r>
            <w:proofErr w:type="spellStart"/>
            <w:r w:rsidRPr="00F10985">
              <w:rPr>
                <w:rFonts w:ascii="Times New Roman" w:eastAsia="Calibri" w:hAnsi="Times New Roman" w:cs="Times New Roman"/>
                <w:sz w:val="20"/>
                <w:szCs w:val="20"/>
              </w:rPr>
              <w:t>neotiantes</w:t>
            </w:r>
            <w:proofErr w:type="spellEnd"/>
            <w:r w:rsidRPr="00F10985">
              <w:rPr>
                <w:rFonts w:ascii="Times New Roman" w:eastAsia="Calibri" w:hAnsi="Times New Roman" w:cs="Times New Roman"/>
                <w:sz w:val="20"/>
                <w:szCs w:val="20"/>
              </w:rPr>
              <w:t xml:space="preserve"> </w:t>
            </w:r>
            <w:proofErr w:type="spellStart"/>
            <w:r w:rsidRPr="00F10985">
              <w:rPr>
                <w:rFonts w:ascii="Times New Roman" w:eastAsia="Calibri" w:hAnsi="Times New Roman" w:cs="Times New Roman"/>
                <w:i/>
                <w:sz w:val="20"/>
                <w:szCs w:val="20"/>
              </w:rPr>
              <w:t>Neottiathe</w:t>
            </w:r>
            <w:proofErr w:type="spellEnd"/>
            <w:r w:rsidRPr="00F10985">
              <w:rPr>
                <w:rFonts w:ascii="Times New Roman" w:eastAsia="Calibri" w:hAnsi="Times New Roman" w:cs="Times New Roman"/>
                <w:i/>
                <w:sz w:val="20"/>
                <w:szCs w:val="20"/>
              </w:rPr>
              <w:t xml:space="preserve"> </w:t>
            </w:r>
            <w:proofErr w:type="spellStart"/>
            <w:r w:rsidRPr="00F10985">
              <w:rPr>
                <w:rFonts w:ascii="Times New Roman" w:eastAsia="Calibri" w:hAnsi="Times New Roman" w:cs="Times New Roman"/>
                <w:i/>
                <w:sz w:val="20"/>
                <w:szCs w:val="20"/>
              </w:rPr>
              <w:t>cucullata</w:t>
            </w:r>
            <w:proofErr w:type="spellEnd"/>
            <w:r w:rsidRPr="00F10985">
              <w:rPr>
                <w:rFonts w:ascii="Times New Roman" w:eastAsia="Calibri" w:hAnsi="Times New Roman" w:cs="Times New Roman"/>
                <w:i/>
                <w:sz w:val="20"/>
                <w:szCs w:val="20"/>
              </w:rPr>
              <w:t xml:space="preserve"> </w:t>
            </w:r>
            <w:r w:rsidRPr="00F10985">
              <w:rPr>
                <w:rFonts w:ascii="Times New Roman" w:eastAsia="Calibri" w:hAnsi="Times New Roman" w:cs="Times New Roman"/>
                <w:sz w:val="20"/>
                <w:szCs w:val="20"/>
              </w:rPr>
              <w:t>atradnes bagātīgi zied 2019.</w:t>
            </w:r>
            <w:r w:rsidR="00F10985" w:rsidRPr="00F10985">
              <w:rPr>
                <w:rFonts w:ascii="Times New Roman" w:eastAsia="Calibri" w:hAnsi="Times New Roman" w:cs="Times New Roman"/>
                <w:sz w:val="20"/>
                <w:szCs w:val="20"/>
              </w:rPr>
              <w:t> </w:t>
            </w:r>
            <w:r w:rsidRPr="00F10985">
              <w:rPr>
                <w:rFonts w:ascii="Times New Roman" w:eastAsia="Calibri" w:hAnsi="Times New Roman" w:cs="Times New Roman"/>
                <w:sz w:val="20"/>
                <w:szCs w:val="20"/>
              </w:rPr>
              <w:t>gada veģetācijas sezonā (Foto: G</w:t>
            </w:r>
            <w:r w:rsidR="00F10985" w:rsidRPr="00F10985">
              <w:rPr>
                <w:rFonts w:ascii="Times New Roman" w:eastAsia="Calibri" w:hAnsi="Times New Roman" w:cs="Times New Roman"/>
                <w:sz w:val="20"/>
                <w:szCs w:val="20"/>
              </w:rPr>
              <w:t>. </w:t>
            </w:r>
            <w:proofErr w:type="spellStart"/>
            <w:r w:rsidRPr="00F10985">
              <w:rPr>
                <w:rFonts w:ascii="Times New Roman" w:eastAsia="Calibri" w:hAnsi="Times New Roman" w:cs="Times New Roman"/>
                <w:sz w:val="20"/>
                <w:szCs w:val="20"/>
              </w:rPr>
              <w:t>Evarte-Bundere</w:t>
            </w:r>
            <w:proofErr w:type="spellEnd"/>
            <w:r w:rsidRPr="00F10985">
              <w:rPr>
                <w:rFonts w:ascii="Times New Roman" w:eastAsia="Calibri" w:hAnsi="Times New Roman" w:cs="Times New Roman"/>
                <w:sz w:val="20"/>
                <w:szCs w:val="20"/>
              </w:rPr>
              <w:t>)</w:t>
            </w:r>
          </w:p>
        </w:tc>
      </w:tr>
    </w:tbl>
    <w:p w14:paraId="2B619040" w14:textId="35AD1315" w:rsidR="002B1603" w:rsidRPr="00A07F29" w:rsidRDefault="002B1603" w:rsidP="002B1603">
      <w:pPr>
        <w:spacing w:after="120"/>
        <w:jc w:val="both"/>
        <w:rPr>
          <w:rFonts w:ascii="Times New Roman" w:eastAsia="Calibri" w:hAnsi="Times New Roman" w:cs="Times New Roman"/>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8"/>
        <w:gridCol w:w="4116"/>
      </w:tblGrid>
      <w:tr w:rsidR="00092DEE" w:rsidRPr="00A07F29" w14:paraId="22CBBF1B" w14:textId="77777777" w:rsidTr="63C42FA1">
        <w:tc>
          <w:tcPr>
            <w:tcW w:w="5778" w:type="dxa"/>
          </w:tcPr>
          <w:p w14:paraId="2CCD1FA4" w14:textId="4A6C16FC" w:rsidR="00092DEE" w:rsidRPr="00A07F29" w:rsidRDefault="00092DEE" w:rsidP="002B1603">
            <w:pPr>
              <w:spacing w:after="120"/>
              <w:jc w:val="both"/>
              <w:rPr>
                <w:rFonts w:ascii="Times New Roman" w:eastAsia="Calibri" w:hAnsi="Times New Roman" w:cs="Calibri"/>
                <w:sz w:val="24"/>
                <w:szCs w:val="24"/>
              </w:rPr>
            </w:pPr>
            <w:proofErr w:type="spellStart"/>
            <w:r w:rsidRPr="00A07F29">
              <w:rPr>
                <w:rFonts w:ascii="Times New Roman" w:eastAsia="Calibri" w:hAnsi="Times New Roman" w:cs="Calibri"/>
                <w:b/>
                <w:sz w:val="24"/>
                <w:szCs w:val="24"/>
              </w:rPr>
              <w:lastRenderedPageBreak/>
              <w:t>Ruiša</w:t>
            </w:r>
            <w:proofErr w:type="spellEnd"/>
            <w:r w:rsidRPr="00A07F29">
              <w:rPr>
                <w:rFonts w:ascii="Times New Roman" w:eastAsia="Calibri" w:hAnsi="Times New Roman" w:cs="Calibri"/>
                <w:b/>
                <w:sz w:val="24"/>
                <w:szCs w:val="24"/>
              </w:rPr>
              <w:t xml:space="preserve"> </w:t>
            </w:r>
            <w:proofErr w:type="spellStart"/>
            <w:r w:rsidRPr="00A07F29">
              <w:rPr>
                <w:rFonts w:ascii="Times New Roman" w:eastAsia="Calibri" w:hAnsi="Times New Roman" w:cs="Calibri"/>
                <w:b/>
                <w:sz w:val="24"/>
                <w:szCs w:val="24"/>
              </w:rPr>
              <w:t>pūķgalve</w:t>
            </w:r>
            <w:proofErr w:type="spellEnd"/>
            <w:r w:rsidRPr="00A07F29">
              <w:rPr>
                <w:rFonts w:ascii="Times New Roman" w:eastAsia="Calibri" w:hAnsi="Times New Roman" w:cs="Calibri"/>
                <w:b/>
                <w:sz w:val="24"/>
                <w:szCs w:val="24"/>
              </w:rPr>
              <w:t xml:space="preserve"> </w:t>
            </w:r>
            <w:proofErr w:type="spellStart"/>
            <w:r w:rsidRPr="00A07F29">
              <w:rPr>
                <w:rFonts w:ascii="Times New Roman" w:eastAsia="Calibri" w:hAnsi="Times New Roman" w:cs="Calibri"/>
                <w:b/>
                <w:i/>
                <w:sz w:val="24"/>
                <w:szCs w:val="24"/>
              </w:rPr>
              <w:t>Dracocephalum</w:t>
            </w:r>
            <w:proofErr w:type="spellEnd"/>
            <w:r w:rsidRPr="00A07F29">
              <w:rPr>
                <w:rFonts w:ascii="Times New Roman" w:eastAsia="Calibri" w:hAnsi="Times New Roman" w:cs="Calibri"/>
                <w:b/>
                <w:i/>
                <w:sz w:val="24"/>
                <w:szCs w:val="24"/>
              </w:rPr>
              <w:t xml:space="preserve"> </w:t>
            </w:r>
            <w:proofErr w:type="spellStart"/>
            <w:r w:rsidRPr="00A07F29">
              <w:rPr>
                <w:rFonts w:ascii="Times New Roman" w:eastAsia="Calibri" w:hAnsi="Times New Roman" w:cs="Calibri"/>
                <w:b/>
                <w:i/>
                <w:sz w:val="24"/>
                <w:szCs w:val="24"/>
              </w:rPr>
              <w:t>ruyschiana</w:t>
            </w:r>
            <w:proofErr w:type="spellEnd"/>
            <w:r w:rsidRPr="00A07F29">
              <w:rPr>
                <w:rFonts w:ascii="Times New Roman" w:eastAsia="Calibri" w:hAnsi="Times New Roman" w:cs="Calibri"/>
                <w:sz w:val="24"/>
                <w:szCs w:val="24"/>
              </w:rPr>
              <w:t xml:space="preserve"> (</w:t>
            </w:r>
            <w:r w:rsidRPr="00A07F29">
              <w:rPr>
                <w:rFonts w:ascii="Times New Roman" w:eastAsia="Calibri" w:hAnsi="Times New Roman" w:cs="Times New Roman"/>
                <w:sz w:val="24"/>
                <w:szCs w:val="24"/>
              </w:rPr>
              <w:t>4.4.4.4.</w:t>
            </w:r>
            <w:r w:rsidR="00446A0F">
              <w:rPr>
                <w:rFonts w:ascii="Times New Roman" w:eastAsia="Calibri" w:hAnsi="Times New Roman" w:cs="Times New Roman"/>
                <w:sz w:val="24"/>
                <w:szCs w:val="24"/>
              </w:rPr>
              <w:t> </w:t>
            </w:r>
            <w:r w:rsidRPr="00A07F29">
              <w:rPr>
                <w:rFonts w:ascii="Times New Roman" w:eastAsia="Calibri" w:hAnsi="Times New Roman" w:cs="Times New Roman"/>
                <w:sz w:val="24"/>
                <w:szCs w:val="24"/>
              </w:rPr>
              <w:t>att</w:t>
            </w:r>
            <w:r w:rsidR="00446A0F">
              <w:rPr>
                <w:rFonts w:ascii="Times New Roman" w:eastAsia="Calibri" w:hAnsi="Times New Roman" w:cs="Times New Roman"/>
                <w:sz w:val="24"/>
                <w:szCs w:val="24"/>
              </w:rPr>
              <w:t>ēls</w:t>
            </w:r>
            <w:r w:rsidRPr="00A07F29">
              <w:rPr>
                <w:rFonts w:ascii="Times New Roman" w:eastAsia="Calibri" w:hAnsi="Times New Roman" w:cs="Times New Roman"/>
                <w:sz w:val="24"/>
                <w:szCs w:val="24"/>
              </w:rPr>
              <w:t xml:space="preserve">) </w:t>
            </w:r>
            <w:r w:rsidRPr="00A07F29">
              <w:rPr>
                <w:rFonts w:ascii="Times New Roman" w:eastAsia="Calibri" w:hAnsi="Times New Roman" w:cs="Calibri"/>
                <w:sz w:val="24"/>
                <w:szCs w:val="24"/>
              </w:rPr>
              <w:t xml:space="preserve">sastopama reti, galvenokārt </w:t>
            </w:r>
            <w:proofErr w:type="spellStart"/>
            <w:r w:rsidRPr="00A07F29">
              <w:rPr>
                <w:rFonts w:ascii="Times New Roman" w:eastAsia="Calibri" w:hAnsi="Times New Roman" w:cs="Calibri"/>
                <w:sz w:val="24"/>
                <w:szCs w:val="24"/>
              </w:rPr>
              <w:t>Viduslatvijā</w:t>
            </w:r>
            <w:proofErr w:type="spellEnd"/>
            <w:r w:rsidRPr="00A07F29">
              <w:rPr>
                <w:rFonts w:ascii="Times New Roman" w:eastAsia="Calibri" w:hAnsi="Times New Roman" w:cs="Calibri"/>
                <w:sz w:val="24"/>
                <w:szCs w:val="24"/>
              </w:rPr>
              <w:t xml:space="preserve"> un </w:t>
            </w:r>
            <w:proofErr w:type="spellStart"/>
            <w:r w:rsidRPr="00A07F29">
              <w:rPr>
                <w:rFonts w:ascii="Times New Roman" w:eastAsia="Calibri" w:hAnsi="Times New Roman" w:cs="Calibri"/>
                <w:sz w:val="24"/>
                <w:szCs w:val="24"/>
              </w:rPr>
              <w:t>Austrumlatvijā</w:t>
            </w:r>
            <w:proofErr w:type="spellEnd"/>
            <w:r w:rsidRPr="00A07F29">
              <w:rPr>
                <w:rFonts w:ascii="Times New Roman" w:eastAsia="Calibri" w:hAnsi="Times New Roman" w:cs="Calibri"/>
                <w:sz w:val="24"/>
                <w:szCs w:val="24"/>
              </w:rPr>
              <w:t xml:space="preserve">. Latvijā aug tuvu areāla </w:t>
            </w:r>
            <w:r w:rsidR="00B24317" w:rsidRPr="00A07F29">
              <w:rPr>
                <w:rFonts w:ascii="Times New Roman" w:eastAsia="Calibri" w:hAnsi="Times New Roman" w:cs="Calibri"/>
                <w:sz w:val="24"/>
                <w:szCs w:val="24"/>
              </w:rPr>
              <w:t xml:space="preserve">Z </w:t>
            </w:r>
            <w:r w:rsidRPr="00A07F29">
              <w:rPr>
                <w:rFonts w:ascii="Times New Roman" w:eastAsia="Calibri" w:hAnsi="Times New Roman" w:cs="Calibri"/>
                <w:sz w:val="24"/>
                <w:szCs w:val="24"/>
              </w:rPr>
              <w:t xml:space="preserve">un </w:t>
            </w:r>
            <w:r w:rsidR="00B24317" w:rsidRPr="00A07F29">
              <w:rPr>
                <w:rFonts w:ascii="Times New Roman" w:eastAsia="Calibri" w:hAnsi="Times New Roman" w:cs="Calibri"/>
                <w:sz w:val="24"/>
                <w:szCs w:val="24"/>
              </w:rPr>
              <w:t xml:space="preserve">ZR </w:t>
            </w:r>
            <w:r w:rsidRPr="00A07F29">
              <w:rPr>
                <w:rFonts w:ascii="Times New Roman" w:eastAsia="Calibri" w:hAnsi="Times New Roman" w:cs="Calibri"/>
                <w:sz w:val="24"/>
                <w:szCs w:val="24"/>
              </w:rPr>
              <w:t xml:space="preserve">robežai. Sugai raksturīgie biotopi ir sausi priežu meži, ceļmalas. AAA “Augšdaugava” suga zināma tikai no </w:t>
            </w:r>
            <w:proofErr w:type="spellStart"/>
            <w:r w:rsidRPr="00A07F29">
              <w:rPr>
                <w:rFonts w:ascii="Times New Roman" w:eastAsia="Calibri" w:hAnsi="Times New Roman" w:cs="Calibri"/>
                <w:sz w:val="24"/>
                <w:szCs w:val="24"/>
              </w:rPr>
              <w:t>Rozališķu</w:t>
            </w:r>
            <w:proofErr w:type="spellEnd"/>
            <w:r w:rsidRPr="00A07F29">
              <w:rPr>
                <w:rFonts w:ascii="Times New Roman" w:eastAsia="Calibri" w:hAnsi="Times New Roman" w:cs="Calibri"/>
                <w:sz w:val="24"/>
                <w:szCs w:val="24"/>
              </w:rPr>
              <w:t xml:space="preserve"> loka. Salīdzinot ar 2008.</w:t>
            </w:r>
            <w:r w:rsidR="00186B68">
              <w:rPr>
                <w:rFonts w:ascii="Times New Roman" w:eastAsia="Calibri" w:hAnsi="Times New Roman" w:cs="Calibri"/>
                <w:sz w:val="24"/>
                <w:szCs w:val="24"/>
              </w:rPr>
              <w:t> </w:t>
            </w:r>
            <w:r w:rsidRPr="00A07F29">
              <w:rPr>
                <w:rFonts w:ascii="Times New Roman" w:eastAsia="Calibri" w:hAnsi="Times New Roman" w:cs="Calibri"/>
                <w:sz w:val="24"/>
                <w:szCs w:val="24"/>
              </w:rPr>
              <w:t xml:space="preserve">gada </w:t>
            </w:r>
            <w:proofErr w:type="spellStart"/>
            <w:r w:rsidRPr="00A07F29">
              <w:rPr>
                <w:rFonts w:ascii="Times New Roman" w:eastAsia="Calibri" w:hAnsi="Times New Roman" w:cs="Calibri"/>
                <w:sz w:val="24"/>
                <w:szCs w:val="24"/>
              </w:rPr>
              <w:t>apsekojumu</w:t>
            </w:r>
            <w:proofErr w:type="spellEnd"/>
            <w:r w:rsidRPr="00A07F29">
              <w:rPr>
                <w:rFonts w:ascii="Times New Roman" w:eastAsia="Calibri" w:hAnsi="Times New Roman" w:cs="Calibri"/>
                <w:sz w:val="24"/>
                <w:szCs w:val="24"/>
              </w:rPr>
              <w:t xml:space="preserve">, populācija kļuvusi </w:t>
            </w:r>
            <w:proofErr w:type="spellStart"/>
            <w:r w:rsidRPr="00A07F29">
              <w:rPr>
                <w:rFonts w:ascii="Times New Roman" w:eastAsia="Calibri" w:hAnsi="Times New Roman" w:cs="Calibri"/>
                <w:sz w:val="24"/>
                <w:szCs w:val="24"/>
              </w:rPr>
              <w:t>daudzskaitlīgāka</w:t>
            </w:r>
            <w:proofErr w:type="spellEnd"/>
            <w:r w:rsidRPr="00A07F29">
              <w:rPr>
                <w:rFonts w:ascii="Times New Roman" w:eastAsia="Calibri" w:hAnsi="Times New Roman" w:cs="Calibri"/>
                <w:sz w:val="24"/>
                <w:szCs w:val="24"/>
              </w:rPr>
              <w:t>. Populācijas lielums 2019.</w:t>
            </w:r>
            <w:r w:rsidR="00186B68">
              <w:rPr>
                <w:rFonts w:ascii="Times New Roman" w:eastAsia="Calibri" w:hAnsi="Times New Roman" w:cs="Calibri"/>
                <w:sz w:val="24"/>
                <w:szCs w:val="24"/>
              </w:rPr>
              <w:t> </w:t>
            </w:r>
            <w:r w:rsidRPr="00A07F29">
              <w:rPr>
                <w:rFonts w:ascii="Times New Roman" w:eastAsia="Calibri" w:hAnsi="Times New Roman" w:cs="Calibri"/>
                <w:sz w:val="24"/>
                <w:szCs w:val="24"/>
              </w:rPr>
              <w:t>gadā aptuveni 500</w:t>
            </w:r>
            <w:r w:rsidR="00186B68">
              <w:rPr>
                <w:rFonts w:ascii="Times New Roman" w:eastAsia="Calibri" w:hAnsi="Times New Roman" w:cs="Calibri"/>
                <w:sz w:val="24"/>
                <w:szCs w:val="24"/>
              </w:rPr>
              <w:t> – </w:t>
            </w:r>
            <w:r w:rsidRPr="00A07F29">
              <w:rPr>
                <w:rFonts w:ascii="Times New Roman" w:eastAsia="Calibri" w:hAnsi="Times New Roman" w:cs="Calibri"/>
                <w:sz w:val="24"/>
                <w:szCs w:val="24"/>
              </w:rPr>
              <w:t xml:space="preserve">700 īpatņu. </w:t>
            </w:r>
            <w:proofErr w:type="spellStart"/>
            <w:r w:rsidRPr="00A07F29">
              <w:rPr>
                <w:rFonts w:ascii="Times New Roman" w:eastAsia="Calibri" w:hAnsi="Times New Roman" w:cs="Calibri"/>
                <w:sz w:val="24"/>
                <w:szCs w:val="24"/>
              </w:rPr>
              <w:t>Ruiša</w:t>
            </w:r>
            <w:proofErr w:type="spellEnd"/>
            <w:r w:rsidRPr="00A07F29">
              <w:rPr>
                <w:rFonts w:ascii="Times New Roman" w:eastAsia="Calibri" w:hAnsi="Times New Roman" w:cs="Calibri"/>
                <w:sz w:val="24"/>
                <w:szCs w:val="24"/>
              </w:rPr>
              <w:t xml:space="preserve"> </w:t>
            </w:r>
            <w:proofErr w:type="spellStart"/>
            <w:r w:rsidRPr="00A07F29">
              <w:rPr>
                <w:rFonts w:ascii="Times New Roman" w:eastAsia="Calibri" w:hAnsi="Times New Roman" w:cs="Calibri"/>
                <w:sz w:val="24"/>
                <w:szCs w:val="24"/>
              </w:rPr>
              <w:t>pūķgalves</w:t>
            </w:r>
            <w:proofErr w:type="spellEnd"/>
            <w:r w:rsidRPr="00A07F29">
              <w:rPr>
                <w:rFonts w:ascii="Times New Roman" w:eastAsia="Calibri" w:hAnsi="Times New Roman" w:cs="Calibri"/>
                <w:sz w:val="24"/>
                <w:szCs w:val="24"/>
              </w:rPr>
              <w:t xml:space="preserve"> populāciju apdraud mežizstrāde tāpat kā </w:t>
            </w:r>
            <w:proofErr w:type="spellStart"/>
            <w:r w:rsidRPr="00A07F29">
              <w:rPr>
                <w:rFonts w:ascii="Times New Roman" w:eastAsia="Calibri" w:hAnsi="Times New Roman" w:cs="Calibri"/>
                <w:sz w:val="24"/>
                <w:szCs w:val="24"/>
              </w:rPr>
              <w:t>cepuraino</w:t>
            </w:r>
            <w:proofErr w:type="spellEnd"/>
            <w:r w:rsidRPr="00A07F29">
              <w:rPr>
                <w:rFonts w:ascii="Times New Roman" w:eastAsia="Calibri" w:hAnsi="Times New Roman" w:cs="Calibri"/>
                <w:sz w:val="24"/>
                <w:szCs w:val="24"/>
              </w:rPr>
              <w:t xml:space="preserve"> </w:t>
            </w:r>
            <w:proofErr w:type="spellStart"/>
            <w:r w:rsidRPr="00A07F29">
              <w:rPr>
                <w:rFonts w:ascii="Times New Roman" w:eastAsia="Calibri" w:hAnsi="Times New Roman" w:cs="Calibri"/>
                <w:sz w:val="24"/>
                <w:szCs w:val="24"/>
              </w:rPr>
              <w:t>neotianti</w:t>
            </w:r>
            <w:proofErr w:type="spellEnd"/>
            <w:r w:rsidRPr="00A07F29">
              <w:rPr>
                <w:rFonts w:ascii="Times New Roman" w:eastAsia="Calibri" w:hAnsi="Times New Roman" w:cs="Calibri"/>
                <w:sz w:val="24"/>
                <w:szCs w:val="24"/>
              </w:rPr>
              <w:t>.</w:t>
            </w:r>
          </w:p>
          <w:p w14:paraId="03CECA49" w14:textId="3A25A6DF" w:rsidR="00092DEE" w:rsidRPr="00A07F29" w:rsidRDefault="00092DEE" w:rsidP="002B1603">
            <w:pPr>
              <w:spacing w:after="120"/>
              <w:jc w:val="both"/>
              <w:rPr>
                <w:rFonts w:ascii="Times New Roman" w:eastAsia="Calibri" w:hAnsi="Times New Roman" w:cs="Calibri"/>
                <w:sz w:val="24"/>
                <w:szCs w:val="24"/>
              </w:rPr>
            </w:pPr>
          </w:p>
          <w:p w14:paraId="43906C4B" w14:textId="04E2F654" w:rsidR="00A65984" w:rsidRPr="00A07F29" w:rsidRDefault="00A65984" w:rsidP="002B1603">
            <w:pPr>
              <w:spacing w:after="120"/>
              <w:jc w:val="both"/>
              <w:rPr>
                <w:rFonts w:ascii="Times New Roman" w:eastAsia="Calibri" w:hAnsi="Times New Roman" w:cs="Calibri"/>
                <w:sz w:val="24"/>
                <w:szCs w:val="24"/>
              </w:rPr>
            </w:pPr>
          </w:p>
          <w:p w14:paraId="12109CFB" w14:textId="77777777" w:rsidR="005124ED" w:rsidRPr="00A07F29" w:rsidRDefault="005124ED" w:rsidP="002B1603">
            <w:pPr>
              <w:spacing w:after="120"/>
              <w:jc w:val="both"/>
              <w:rPr>
                <w:rFonts w:ascii="Times New Roman" w:eastAsia="Calibri" w:hAnsi="Times New Roman" w:cs="Calibri"/>
                <w:sz w:val="24"/>
                <w:szCs w:val="24"/>
              </w:rPr>
            </w:pPr>
          </w:p>
          <w:p w14:paraId="20D3C9CF" w14:textId="77777777" w:rsidR="00092DEE" w:rsidRPr="00A07F29" w:rsidRDefault="00092DEE" w:rsidP="002B1603">
            <w:pPr>
              <w:spacing w:after="120"/>
              <w:jc w:val="both"/>
              <w:rPr>
                <w:rFonts w:ascii="Times New Roman" w:eastAsia="Calibri" w:hAnsi="Times New Roman" w:cs="Calibri"/>
                <w:sz w:val="24"/>
                <w:szCs w:val="24"/>
              </w:rPr>
            </w:pPr>
          </w:p>
          <w:p w14:paraId="0D15CDDF" w14:textId="19FB12A0" w:rsidR="00092DEE" w:rsidRPr="00186B68" w:rsidRDefault="00092DEE" w:rsidP="002B1603">
            <w:pPr>
              <w:spacing w:after="120"/>
              <w:jc w:val="both"/>
              <w:rPr>
                <w:rFonts w:ascii="Times New Roman" w:eastAsia="Calibri" w:hAnsi="Times New Roman" w:cs="Times New Roman"/>
                <w:b/>
                <w:sz w:val="20"/>
                <w:szCs w:val="20"/>
              </w:rPr>
            </w:pPr>
            <w:r w:rsidRPr="00186B68">
              <w:rPr>
                <w:rFonts w:ascii="Times New Roman" w:eastAsia="Calibri" w:hAnsi="Times New Roman" w:cs="Times New Roman"/>
                <w:sz w:val="20"/>
                <w:szCs w:val="20"/>
              </w:rPr>
              <w:t>4.4.4.4.</w:t>
            </w:r>
            <w:r w:rsidR="00186B68" w:rsidRPr="00186B68">
              <w:rPr>
                <w:rFonts w:ascii="Times New Roman" w:eastAsia="Calibri" w:hAnsi="Times New Roman" w:cs="Times New Roman"/>
                <w:sz w:val="20"/>
                <w:szCs w:val="20"/>
              </w:rPr>
              <w:t> </w:t>
            </w:r>
            <w:r w:rsidRPr="00186B68">
              <w:rPr>
                <w:rFonts w:ascii="Times New Roman" w:eastAsia="Calibri" w:hAnsi="Times New Roman" w:cs="Times New Roman"/>
                <w:sz w:val="20"/>
                <w:szCs w:val="20"/>
              </w:rPr>
              <w:t>att</w:t>
            </w:r>
            <w:r w:rsidR="00186B68" w:rsidRPr="00186B68">
              <w:rPr>
                <w:rFonts w:ascii="Times New Roman" w:eastAsia="Calibri" w:hAnsi="Times New Roman" w:cs="Times New Roman"/>
                <w:sz w:val="20"/>
                <w:szCs w:val="20"/>
              </w:rPr>
              <w:t>ēls</w:t>
            </w:r>
            <w:r w:rsidRPr="00186B68">
              <w:rPr>
                <w:rFonts w:ascii="Times New Roman" w:eastAsia="Calibri" w:hAnsi="Times New Roman" w:cs="Times New Roman"/>
                <w:sz w:val="20"/>
                <w:szCs w:val="20"/>
              </w:rPr>
              <w:t xml:space="preserve">. </w:t>
            </w:r>
            <w:proofErr w:type="spellStart"/>
            <w:r w:rsidRPr="00186B68">
              <w:rPr>
                <w:rFonts w:ascii="Times New Roman" w:eastAsia="Calibri" w:hAnsi="Times New Roman" w:cs="Calibri"/>
                <w:sz w:val="20"/>
                <w:szCs w:val="20"/>
              </w:rPr>
              <w:t>Ruiša</w:t>
            </w:r>
            <w:proofErr w:type="spellEnd"/>
            <w:r w:rsidRPr="00186B68">
              <w:rPr>
                <w:rFonts w:ascii="Times New Roman" w:eastAsia="Calibri" w:hAnsi="Times New Roman" w:cs="Calibri"/>
                <w:sz w:val="20"/>
                <w:szCs w:val="20"/>
              </w:rPr>
              <w:t xml:space="preserve"> </w:t>
            </w:r>
            <w:proofErr w:type="spellStart"/>
            <w:r w:rsidRPr="00186B68">
              <w:rPr>
                <w:rFonts w:ascii="Times New Roman" w:eastAsia="Calibri" w:hAnsi="Times New Roman" w:cs="Calibri"/>
                <w:sz w:val="20"/>
                <w:szCs w:val="20"/>
              </w:rPr>
              <w:t>pūķgalves</w:t>
            </w:r>
            <w:proofErr w:type="spellEnd"/>
            <w:r w:rsidRPr="00186B68">
              <w:rPr>
                <w:rFonts w:ascii="Times New Roman" w:eastAsia="Calibri" w:hAnsi="Times New Roman" w:cs="Calibri"/>
                <w:sz w:val="20"/>
                <w:szCs w:val="20"/>
              </w:rPr>
              <w:t xml:space="preserve"> </w:t>
            </w:r>
            <w:proofErr w:type="spellStart"/>
            <w:r w:rsidRPr="00186B68">
              <w:rPr>
                <w:rFonts w:ascii="Times New Roman" w:eastAsia="Calibri" w:hAnsi="Times New Roman" w:cs="Calibri"/>
                <w:i/>
                <w:sz w:val="20"/>
                <w:szCs w:val="20"/>
              </w:rPr>
              <w:t>Dracocephalum</w:t>
            </w:r>
            <w:proofErr w:type="spellEnd"/>
            <w:r w:rsidRPr="00186B68">
              <w:rPr>
                <w:rFonts w:ascii="Times New Roman" w:eastAsia="Calibri" w:hAnsi="Times New Roman" w:cs="Calibri"/>
                <w:i/>
                <w:sz w:val="20"/>
                <w:szCs w:val="20"/>
              </w:rPr>
              <w:t xml:space="preserve"> </w:t>
            </w:r>
            <w:proofErr w:type="spellStart"/>
            <w:r w:rsidRPr="00186B68">
              <w:rPr>
                <w:rFonts w:ascii="Times New Roman" w:eastAsia="Calibri" w:hAnsi="Times New Roman" w:cs="Calibri"/>
                <w:i/>
                <w:sz w:val="20"/>
                <w:szCs w:val="20"/>
              </w:rPr>
              <w:t>ruyschiana</w:t>
            </w:r>
            <w:proofErr w:type="spellEnd"/>
            <w:r w:rsidRPr="00186B68">
              <w:rPr>
                <w:rFonts w:ascii="Times New Roman" w:eastAsia="Calibri" w:hAnsi="Times New Roman" w:cs="Calibri"/>
                <w:i/>
                <w:sz w:val="20"/>
                <w:szCs w:val="20"/>
              </w:rPr>
              <w:t xml:space="preserve"> </w:t>
            </w:r>
            <w:r w:rsidRPr="00186B68">
              <w:rPr>
                <w:rFonts w:ascii="Times New Roman" w:eastAsia="Calibri" w:hAnsi="Times New Roman" w:cs="Calibri"/>
                <w:sz w:val="20"/>
                <w:szCs w:val="20"/>
              </w:rPr>
              <w:t xml:space="preserve">atradne </w:t>
            </w:r>
            <w:proofErr w:type="spellStart"/>
            <w:r w:rsidRPr="00186B68">
              <w:rPr>
                <w:rFonts w:ascii="Times New Roman" w:eastAsia="Calibri" w:hAnsi="Times New Roman" w:cs="Calibri"/>
                <w:sz w:val="20"/>
                <w:szCs w:val="20"/>
              </w:rPr>
              <w:t>Rozališķu</w:t>
            </w:r>
            <w:proofErr w:type="spellEnd"/>
            <w:r w:rsidRPr="00186B68">
              <w:rPr>
                <w:rFonts w:ascii="Times New Roman" w:eastAsia="Calibri" w:hAnsi="Times New Roman" w:cs="Calibri"/>
                <w:sz w:val="20"/>
                <w:szCs w:val="20"/>
              </w:rPr>
              <w:t xml:space="preserve"> lokā (Foto: G</w:t>
            </w:r>
            <w:r w:rsidR="00186B68" w:rsidRPr="00186B68">
              <w:rPr>
                <w:rFonts w:ascii="Times New Roman" w:eastAsia="Calibri" w:hAnsi="Times New Roman" w:cs="Calibri"/>
                <w:sz w:val="20"/>
                <w:szCs w:val="20"/>
              </w:rPr>
              <w:t>. </w:t>
            </w:r>
            <w:proofErr w:type="spellStart"/>
            <w:r w:rsidRPr="00186B68">
              <w:rPr>
                <w:rFonts w:ascii="Times New Roman" w:eastAsia="Calibri" w:hAnsi="Times New Roman" w:cs="Calibri"/>
                <w:sz w:val="20"/>
                <w:szCs w:val="20"/>
              </w:rPr>
              <w:t>Evarte-Bundere</w:t>
            </w:r>
            <w:proofErr w:type="spellEnd"/>
            <w:r w:rsidRPr="00186B68">
              <w:rPr>
                <w:rFonts w:ascii="Times New Roman" w:eastAsia="Calibri" w:hAnsi="Times New Roman" w:cs="Calibri"/>
                <w:sz w:val="20"/>
                <w:szCs w:val="20"/>
              </w:rPr>
              <w:t>)</w:t>
            </w:r>
          </w:p>
        </w:tc>
        <w:tc>
          <w:tcPr>
            <w:tcW w:w="3792" w:type="dxa"/>
          </w:tcPr>
          <w:p w14:paraId="18878A27" w14:textId="2A33D949" w:rsidR="00092DEE" w:rsidRPr="00A07F29" w:rsidRDefault="00092DEE" w:rsidP="002B1603">
            <w:pPr>
              <w:spacing w:after="120"/>
              <w:jc w:val="both"/>
              <w:rPr>
                <w:rFonts w:ascii="Times New Roman" w:eastAsia="Calibri" w:hAnsi="Times New Roman" w:cs="Times New Roman"/>
                <w:b/>
                <w:sz w:val="24"/>
                <w:szCs w:val="24"/>
              </w:rPr>
            </w:pPr>
            <w:r w:rsidRPr="00A07F29">
              <w:rPr>
                <w:noProof/>
                <w:lang w:eastAsia="lv-LV"/>
              </w:rPr>
              <w:drawing>
                <wp:inline distT="0" distB="0" distL="0" distR="0" wp14:anchorId="3BB9F9E2" wp14:editId="215F792E">
                  <wp:extent cx="2470570" cy="3203883"/>
                  <wp:effectExtent l="0" t="0" r="635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pic:nvPicPr>
                        <pic:blipFill>
                          <a:blip r:embed="rId59">
                            <a:extLst>
                              <a:ext uri="{28A0092B-C50C-407E-A947-70E740481C1C}">
                                <a14:useLocalDpi xmlns:a14="http://schemas.microsoft.com/office/drawing/2010/main" val="0"/>
                              </a:ext>
                            </a:extLst>
                          </a:blip>
                          <a:stretch>
                            <a:fillRect/>
                          </a:stretch>
                        </pic:blipFill>
                        <pic:spPr>
                          <a:xfrm>
                            <a:off x="0" y="0"/>
                            <a:ext cx="2470570" cy="3203883"/>
                          </a:xfrm>
                          <a:prstGeom prst="rect">
                            <a:avLst/>
                          </a:prstGeom>
                        </pic:spPr>
                      </pic:pic>
                    </a:graphicData>
                  </a:graphic>
                </wp:inline>
              </w:drawing>
            </w:r>
          </w:p>
        </w:tc>
      </w:tr>
    </w:tbl>
    <w:p w14:paraId="0448E508" w14:textId="3333F1C7" w:rsidR="00A65984" w:rsidRPr="00A07F29" w:rsidRDefault="002B1603" w:rsidP="005124ED">
      <w:pPr>
        <w:spacing w:before="120" w:after="120" w:line="240" w:lineRule="auto"/>
        <w:ind w:firstLine="851"/>
        <w:jc w:val="both"/>
        <w:rPr>
          <w:rFonts w:ascii="Times New Roman" w:eastAsia="Calibri" w:hAnsi="Times New Roman" w:cs="Times New Roman"/>
          <w:sz w:val="24"/>
          <w:szCs w:val="24"/>
        </w:rPr>
      </w:pPr>
      <w:proofErr w:type="spellStart"/>
      <w:r w:rsidRPr="00A07F29">
        <w:rPr>
          <w:rFonts w:ascii="Times New Roman" w:eastAsia="Calibri" w:hAnsi="Times New Roman" w:cs="Times New Roman"/>
          <w:b/>
          <w:sz w:val="24"/>
          <w:szCs w:val="24"/>
        </w:rPr>
        <w:t>Zirņveida</w:t>
      </w:r>
      <w:proofErr w:type="spellEnd"/>
      <w:r w:rsidRPr="00A07F29">
        <w:rPr>
          <w:rFonts w:ascii="Times New Roman" w:eastAsia="Calibri" w:hAnsi="Times New Roman" w:cs="Times New Roman"/>
          <w:b/>
          <w:sz w:val="24"/>
          <w:szCs w:val="24"/>
        </w:rPr>
        <w:t xml:space="preserve"> dedestiņa </w:t>
      </w:r>
      <w:proofErr w:type="spellStart"/>
      <w:r w:rsidRPr="00A07F29">
        <w:rPr>
          <w:rFonts w:ascii="Times New Roman" w:eastAsia="Calibri" w:hAnsi="Times New Roman" w:cs="Times New Roman"/>
          <w:b/>
          <w:i/>
          <w:sz w:val="24"/>
          <w:szCs w:val="24"/>
        </w:rPr>
        <w:t>Lathyrus</w:t>
      </w:r>
      <w:proofErr w:type="spellEnd"/>
      <w:r w:rsidRPr="00A07F29">
        <w:rPr>
          <w:rFonts w:ascii="Times New Roman" w:eastAsia="Calibri" w:hAnsi="Times New Roman" w:cs="Times New Roman"/>
          <w:b/>
          <w:i/>
          <w:sz w:val="24"/>
          <w:szCs w:val="24"/>
        </w:rPr>
        <w:t xml:space="preserve"> </w:t>
      </w:r>
      <w:proofErr w:type="spellStart"/>
      <w:r w:rsidRPr="00A07F29">
        <w:rPr>
          <w:rFonts w:ascii="Times New Roman" w:eastAsia="Calibri" w:hAnsi="Times New Roman" w:cs="Times New Roman"/>
          <w:b/>
          <w:i/>
          <w:sz w:val="24"/>
          <w:szCs w:val="24"/>
        </w:rPr>
        <w:t>pisiformis</w:t>
      </w:r>
      <w:proofErr w:type="spellEnd"/>
      <w:r w:rsidRPr="00A07F29">
        <w:rPr>
          <w:rFonts w:ascii="Times New Roman" w:eastAsia="Calibri" w:hAnsi="Times New Roman" w:cs="Times New Roman"/>
          <w:sz w:val="24"/>
          <w:szCs w:val="24"/>
        </w:rPr>
        <w:t xml:space="preserve"> Latvijā sasniedz areāla </w:t>
      </w:r>
      <w:r w:rsidR="00396012" w:rsidRPr="00A07F29">
        <w:rPr>
          <w:rFonts w:ascii="Times New Roman" w:eastAsia="Calibri" w:hAnsi="Times New Roman" w:cs="Times New Roman"/>
          <w:sz w:val="24"/>
          <w:szCs w:val="24"/>
        </w:rPr>
        <w:t xml:space="preserve">R </w:t>
      </w:r>
      <w:r w:rsidRPr="00A07F29">
        <w:rPr>
          <w:rFonts w:ascii="Times New Roman" w:eastAsia="Calibri" w:hAnsi="Times New Roman" w:cs="Times New Roman"/>
          <w:sz w:val="24"/>
          <w:szCs w:val="24"/>
        </w:rPr>
        <w:t xml:space="preserve">robežu. Šai dedestiņu sugai raksturīgie biotopi </w:t>
      </w:r>
      <w:r w:rsidR="00E20F71" w:rsidRPr="00A07F29">
        <w:rPr>
          <w:rFonts w:ascii="Times New Roman" w:eastAsia="Calibri" w:hAnsi="Times New Roman" w:cs="Times New Roman"/>
          <w:sz w:val="24"/>
          <w:szCs w:val="24"/>
        </w:rPr>
        <w:t xml:space="preserve">ir </w:t>
      </w:r>
      <w:r w:rsidRPr="00A07F29">
        <w:rPr>
          <w:rFonts w:ascii="Times New Roman" w:eastAsia="Calibri" w:hAnsi="Times New Roman" w:cs="Times New Roman"/>
          <w:sz w:val="24"/>
          <w:szCs w:val="24"/>
        </w:rPr>
        <w:t xml:space="preserve">skujkoku meži uz </w:t>
      </w:r>
      <w:proofErr w:type="spellStart"/>
      <w:r w:rsidRPr="00A07F29">
        <w:rPr>
          <w:rFonts w:ascii="Times New Roman" w:eastAsia="Calibri" w:hAnsi="Times New Roman" w:cs="Times New Roman"/>
          <w:sz w:val="24"/>
          <w:szCs w:val="24"/>
        </w:rPr>
        <w:t>minerālaugsnēm</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lāns</w:t>
      </w:r>
      <w:proofErr w:type="spellEnd"/>
      <w:r w:rsidRPr="00A07F29">
        <w:rPr>
          <w:rFonts w:ascii="Times New Roman" w:eastAsia="Calibri" w:hAnsi="Times New Roman" w:cs="Times New Roman"/>
          <w:sz w:val="24"/>
          <w:szCs w:val="24"/>
        </w:rPr>
        <w:t xml:space="preserve">, damaksnis). Latvijā ļoti reti sastopamā </w:t>
      </w:r>
      <w:proofErr w:type="spellStart"/>
      <w:r w:rsidRPr="00A07F29">
        <w:rPr>
          <w:rFonts w:ascii="Times New Roman" w:eastAsia="Calibri" w:hAnsi="Times New Roman" w:cs="Times New Roman"/>
          <w:sz w:val="24"/>
          <w:szCs w:val="24"/>
        </w:rPr>
        <w:t>zirņveida</w:t>
      </w:r>
      <w:proofErr w:type="spellEnd"/>
      <w:r w:rsidRPr="00A07F29">
        <w:rPr>
          <w:rFonts w:ascii="Times New Roman" w:eastAsia="Calibri" w:hAnsi="Times New Roman" w:cs="Times New Roman"/>
          <w:sz w:val="24"/>
          <w:szCs w:val="24"/>
        </w:rPr>
        <w:t xml:space="preserve"> dedestiņa </w:t>
      </w:r>
      <w:r w:rsidR="00BF0E06" w:rsidRPr="00A07F29">
        <w:rPr>
          <w:rFonts w:ascii="Times New Roman" w:eastAsia="Calibri" w:hAnsi="Times New Roman" w:cs="Times New Roman"/>
          <w:sz w:val="24"/>
          <w:szCs w:val="24"/>
        </w:rPr>
        <w:t>DP</w:t>
      </w:r>
      <w:r w:rsidRPr="00A07F29">
        <w:rPr>
          <w:rFonts w:ascii="Times New Roman" w:eastAsia="Calibri" w:hAnsi="Times New Roman" w:cs="Times New Roman"/>
          <w:sz w:val="24"/>
          <w:szCs w:val="24"/>
        </w:rPr>
        <w:t xml:space="preserve"> </w:t>
      </w:r>
      <w:r w:rsidR="00F020F1">
        <w:rPr>
          <w:rFonts w:ascii="Times New Roman" w:eastAsia="Calibri" w:hAnsi="Times New Roman" w:cs="Times New Roman"/>
          <w:sz w:val="24"/>
          <w:szCs w:val="24"/>
        </w:rPr>
        <w:t>“</w:t>
      </w:r>
      <w:r w:rsidRPr="00A07F29">
        <w:rPr>
          <w:rFonts w:ascii="Times New Roman" w:eastAsia="Calibri" w:hAnsi="Times New Roman" w:cs="Times New Roman"/>
          <w:sz w:val="24"/>
          <w:szCs w:val="24"/>
        </w:rPr>
        <w:t>Daugavas loki” teritorijā pirmoreiz konstatēta 1984.</w:t>
      </w:r>
      <w:r w:rsidR="00F020F1">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gadā </w:t>
      </w:r>
      <w:proofErr w:type="spellStart"/>
      <w:r w:rsidRPr="00A07F29">
        <w:rPr>
          <w:rFonts w:ascii="Times New Roman" w:eastAsia="Calibri" w:hAnsi="Times New Roman" w:cs="Times New Roman"/>
          <w:sz w:val="24"/>
          <w:szCs w:val="24"/>
        </w:rPr>
        <w:t>Vecbornes</w:t>
      </w:r>
      <w:proofErr w:type="spellEnd"/>
      <w:r w:rsidRPr="00A07F29">
        <w:rPr>
          <w:rFonts w:ascii="Times New Roman" w:eastAsia="Calibri" w:hAnsi="Times New Roman" w:cs="Times New Roman"/>
          <w:sz w:val="24"/>
          <w:szCs w:val="24"/>
        </w:rPr>
        <w:t xml:space="preserve"> apkārtnē, 2007.</w:t>
      </w:r>
      <w:r w:rsidR="00F020F1">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gadā arī </w:t>
      </w:r>
      <w:proofErr w:type="spellStart"/>
      <w:r w:rsidRPr="00A07F29">
        <w:rPr>
          <w:rFonts w:ascii="Times New Roman" w:eastAsia="Calibri" w:hAnsi="Times New Roman" w:cs="Times New Roman"/>
          <w:sz w:val="24"/>
          <w:szCs w:val="24"/>
        </w:rPr>
        <w:t>Slutišķu</w:t>
      </w:r>
      <w:proofErr w:type="spellEnd"/>
      <w:r w:rsidRPr="00A07F29">
        <w:rPr>
          <w:rFonts w:ascii="Times New Roman" w:eastAsia="Calibri" w:hAnsi="Times New Roman" w:cs="Times New Roman"/>
          <w:sz w:val="24"/>
          <w:szCs w:val="24"/>
        </w:rPr>
        <w:t xml:space="preserve"> apkārtnē. 2019.</w:t>
      </w:r>
      <w:r w:rsidR="00F020F1">
        <w:rPr>
          <w:rFonts w:ascii="Times New Roman" w:eastAsia="Calibri" w:hAnsi="Times New Roman" w:cs="Times New Roman"/>
          <w:sz w:val="24"/>
          <w:szCs w:val="24"/>
        </w:rPr>
        <w:t> </w:t>
      </w:r>
      <w:r w:rsidRPr="00A07F29">
        <w:rPr>
          <w:rFonts w:ascii="Times New Roman" w:eastAsia="Calibri" w:hAnsi="Times New Roman" w:cs="Times New Roman"/>
          <w:sz w:val="24"/>
          <w:szCs w:val="24"/>
        </w:rPr>
        <w:t>gadā abas atradnes apsekotas atkārtoti. Sugas atradnes ir bagātīgas, apdraudējumi – mežizstrāde, galvenokārt galvenā cirte.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7"/>
        <w:gridCol w:w="5947"/>
      </w:tblGrid>
      <w:tr w:rsidR="00A65984" w:rsidRPr="00A07F29" w14:paraId="3A413282" w14:textId="77777777" w:rsidTr="63C42FA1">
        <w:tc>
          <w:tcPr>
            <w:tcW w:w="3623" w:type="dxa"/>
          </w:tcPr>
          <w:p w14:paraId="74AAD858" w14:textId="305CB0EE" w:rsidR="00A65984" w:rsidRPr="00A07F29" w:rsidRDefault="00A65984" w:rsidP="00396012">
            <w:pPr>
              <w:spacing w:after="120"/>
              <w:ind w:firstLine="851"/>
              <w:jc w:val="both"/>
              <w:rPr>
                <w:rFonts w:ascii="Times New Roman" w:eastAsia="Calibri" w:hAnsi="Times New Roman" w:cs="Times New Roman"/>
                <w:sz w:val="24"/>
                <w:szCs w:val="24"/>
              </w:rPr>
            </w:pPr>
            <w:r w:rsidRPr="00A07F29">
              <w:rPr>
                <w:rFonts w:ascii="Times New Roman" w:eastAsia="Calibri" w:hAnsi="Times New Roman" w:cs="Times New Roman"/>
                <w:b/>
                <w:sz w:val="24"/>
                <w:szCs w:val="24"/>
              </w:rPr>
              <w:t xml:space="preserve">Meža silpurene </w:t>
            </w:r>
            <w:proofErr w:type="spellStart"/>
            <w:r w:rsidRPr="00A07F29">
              <w:rPr>
                <w:rFonts w:ascii="Times New Roman" w:eastAsia="Calibri" w:hAnsi="Times New Roman" w:cs="Times New Roman"/>
                <w:b/>
                <w:i/>
                <w:sz w:val="24"/>
                <w:szCs w:val="24"/>
              </w:rPr>
              <w:t>Pulsatilla</w:t>
            </w:r>
            <w:proofErr w:type="spellEnd"/>
            <w:r w:rsidRPr="00A07F29">
              <w:rPr>
                <w:rFonts w:ascii="Times New Roman" w:eastAsia="Calibri" w:hAnsi="Times New Roman" w:cs="Times New Roman"/>
                <w:b/>
                <w:i/>
                <w:sz w:val="24"/>
                <w:szCs w:val="24"/>
              </w:rPr>
              <w:t xml:space="preserve"> </w:t>
            </w:r>
            <w:proofErr w:type="spellStart"/>
            <w:r w:rsidRPr="00A07F29">
              <w:rPr>
                <w:rFonts w:ascii="Times New Roman" w:eastAsia="Calibri" w:hAnsi="Times New Roman" w:cs="Times New Roman"/>
                <w:b/>
                <w:i/>
                <w:sz w:val="24"/>
                <w:szCs w:val="24"/>
              </w:rPr>
              <w:t>patens</w:t>
            </w:r>
            <w:proofErr w:type="spellEnd"/>
            <w:r w:rsidRPr="00A07F29">
              <w:rPr>
                <w:rFonts w:ascii="Times New Roman" w:eastAsia="Calibri" w:hAnsi="Times New Roman" w:cs="Times New Roman"/>
                <w:b/>
                <w:i/>
                <w:sz w:val="24"/>
                <w:szCs w:val="24"/>
              </w:rPr>
              <w:t xml:space="preserve"> </w:t>
            </w:r>
            <w:r w:rsidRPr="007A05EA">
              <w:rPr>
                <w:rFonts w:ascii="Times New Roman" w:eastAsia="Calibri" w:hAnsi="Times New Roman" w:cs="Times New Roman"/>
                <w:bCs/>
                <w:iCs/>
                <w:sz w:val="24"/>
                <w:szCs w:val="24"/>
              </w:rPr>
              <w:t>(</w:t>
            </w:r>
            <w:r w:rsidR="007A05EA" w:rsidRPr="007A05EA">
              <w:rPr>
                <w:rFonts w:ascii="Times New Roman" w:eastAsia="Calibri" w:hAnsi="Times New Roman" w:cs="Times New Roman"/>
                <w:bCs/>
                <w:iCs/>
                <w:sz w:val="24"/>
                <w:szCs w:val="24"/>
              </w:rPr>
              <w:t>skat.</w:t>
            </w:r>
            <w:r w:rsidR="007A05EA">
              <w:rPr>
                <w:rFonts w:ascii="Times New Roman" w:eastAsia="Calibri" w:hAnsi="Times New Roman" w:cs="Times New Roman"/>
                <w:b/>
                <w:i/>
                <w:sz w:val="24"/>
                <w:szCs w:val="24"/>
              </w:rPr>
              <w:t xml:space="preserve"> </w:t>
            </w:r>
            <w:r w:rsidRPr="00A07F29">
              <w:rPr>
                <w:rFonts w:ascii="Times New Roman" w:eastAsia="Calibri" w:hAnsi="Times New Roman" w:cs="Times New Roman"/>
                <w:sz w:val="24"/>
                <w:szCs w:val="24"/>
              </w:rPr>
              <w:t>4.4.4.5.</w:t>
            </w:r>
            <w:r w:rsidR="0027168B">
              <w:rPr>
                <w:rFonts w:ascii="Times New Roman" w:eastAsia="Calibri" w:hAnsi="Times New Roman" w:cs="Times New Roman"/>
                <w:sz w:val="24"/>
                <w:szCs w:val="24"/>
              </w:rPr>
              <w:t> </w:t>
            </w:r>
            <w:r w:rsidRPr="00A07F29">
              <w:rPr>
                <w:rFonts w:ascii="Times New Roman" w:eastAsia="Calibri" w:hAnsi="Times New Roman" w:cs="Times New Roman"/>
                <w:sz w:val="24"/>
                <w:szCs w:val="24"/>
              </w:rPr>
              <w:t>att</w:t>
            </w:r>
            <w:r w:rsidR="0027168B">
              <w:rPr>
                <w:rFonts w:ascii="Times New Roman" w:eastAsia="Calibri" w:hAnsi="Times New Roman" w:cs="Times New Roman"/>
                <w:sz w:val="24"/>
                <w:szCs w:val="24"/>
              </w:rPr>
              <w:t>ēls</w:t>
            </w:r>
            <w:r w:rsidRPr="00A07F29">
              <w:rPr>
                <w:rFonts w:ascii="Times New Roman" w:eastAsia="Calibri" w:hAnsi="Times New Roman" w:cs="Times New Roman"/>
                <w:sz w:val="24"/>
                <w:szCs w:val="24"/>
              </w:rPr>
              <w:t xml:space="preserve">) ir suga ar Austrumeiropas – Sibīrijas izplatības areālu, Latvijā sasniedz izplatības </w:t>
            </w:r>
            <w:r w:rsidR="00396012" w:rsidRPr="00A07F29">
              <w:rPr>
                <w:rFonts w:ascii="Times New Roman" w:eastAsia="Calibri" w:hAnsi="Times New Roman" w:cs="Times New Roman"/>
                <w:sz w:val="24"/>
                <w:szCs w:val="24"/>
              </w:rPr>
              <w:t xml:space="preserve">R </w:t>
            </w:r>
            <w:r w:rsidRPr="00A07F29">
              <w:rPr>
                <w:rFonts w:ascii="Times New Roman" w:eastAsia="Calibri" w:hAnsi="Times New Roman" w:cs="Times New Roman"/>
                <w:sz w:val="24"/>
                <w:szCs w:val="24"/>
              </w:rPr>
              <w:t xml:space="preserve">robežu. Samērā reti sastopama visā valsts teritorijā, tomēr relatīvi biežāk Latvijas centrālajā un </w:t>
            </w:r>
            <w:r w:rsidR="00604EB3">
              <w:rPr>
                <w:rFonts w:ascii="Times New Roman" w:eastAsia="Calibri" w:hAnsi="Times New Roman" w:cs="Times New Roman"/>
                <w:sz w:val="24"/>
                <w:szCs w:val="24"/>
              </w:rPr>
              <w:t>A</w:t>
            </w:r>
            <w:r w:rsidRPr="00A07F29">
              <w:rPr>
                <w:rFonts w:ascii="Times New Roman" w:eastAsia="Calibri" w:hAnsi="Times New Roman" w:cs="Times New Roman"/>
                <w:sz w:val="24"/>
                <w:szCs w:val="24"/>
              </w:rPr>
              <w:t xml:space="preserve"> daļā. Šai Biotopu direktīvas 2.</w:t>
            </w:r>
            <w:r w:rsidR="007A05EA">
              <w:rPr>
                <w:rFonts w:ascii="Times New Roman" w:eastAsia="Calibri" w:hAnsi="Times New Roman" w:cs="Times New Roman"/>
                <w:sz w:val="24"/>
                <w:szCs w:val="24"/>
              </w:rPr>
              <w:t> </w:t>
            </w:r>
            <w:r w:rsidRPr="00A07F29">
              <w:rPr>
                <w:rFonts w:ascii="Times New Roman" w:eastAsia="Calibri" w:hAnsi="Times New Roman" w:cs="Times New Roman"/>
                <w:sz w:val="24"/>
                <w:szCs w:val="24"/>
              </w:rPr>
              <w:t>pielikuma augu sugai Latvijā ir samērā daudz atradņu. Eksemplāru skaits šai sugai AAA “Augšdaugava” ir no 800 līdz 1000 īpatņiem. Arī meža silpurenes atradņu vitalitāti tiešā veidā ietekmē biotopu aizaugšana, noēnojums un blīvas sūnu zemsedzes izveidošanās.</w:t>
            </w:r>
          </w:p>
        </w:tc>
        <w:tc>
          <w:tcPr>
            <w:tcW w:w="5947" w:type="dxa"/>
          </w:tcPr>
          <w:p w14:paraId="593AA7B8" w14:textId="683ABB8D" w:rsidR="00A65984" w:rsidRPr="007A05EA" w:rsidRDefault="00A65984" w:rsidP="00B765C7">
            <w:pPr>
              <w:spacing w:after="120"/>
              <w:ind w:left="202"/>
              <w:jc w:val="both"/>
              <w:rPr>
                <w:rFonts w:ascii="Times New Roman" w:eastAsia="Calibri" w:hAnsi="Times New Roman" w:cs="Times New Roman"/>
                <w:sz w:val="20"/>
                <w:szCs w:val="20"/>
              </w:rPr>
            </w:pPr>
            <w:r w:rsidRPr="007A05EA">
              <w:rPr>
                <w:rFonts w:ascii="Times New Roman" w:eastAsia="Calibri" w:hAnsi="Times New Roman" w:cs="Times New Roman"/>
                <w:noProof/>
                <w:sz w:val="20"/>
                <w:szCs w:val="20"/>
                <w:lang w:eastAsia="lv-LV"/>
              </w:rPr>
              <w:drawing>
                <wp:anchor distT="0" distB="0" distL="114300" distR="114300" simplePos="0" relativeHeight="251658242" behindDoc="0" locked="0" layoutInCell="1" allowOverlap="1" wp14:anchorId="7159D156" wp14:editId="4992244C">
                  <wp:simplePos x="0" y="0"/>
                  <wp:positionH relativeFrom="column">
                    <wp:posOffset>-4445</wp:posOffset>
                  </wp:positionH>
                  <wp:positionV relativeFrom="paragraph">
                    <wp:posOffset>635</wp:posOffset>
                  </wp:positionV>
                  <wp:extent cx="3639185" cy="2732405"/>
                  <wp:effectExtent l="0" t="0" r="0" b="0"/>
                  <wp:wrapSquare wrapText="bothSides"/>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639185" cy="2732405"/>
                          </a:xfrm>
                          <a:prstGeom prst="rect">
                            <a:avLst/>
                          </a:prstGeom>
                          <a:noFill/>
                        </pic:spPr>
                      </pic:pic>
                    </a:graphicData>
                  </a:graphic>
                  <wp14:sizeRelH relativeFrom="margin">
                    <wp14:pctWidth>0</wp14:pctWidth>
                  </wp14:sizeRelH>
                  <wp14:sizeRelV relativeFrom="margin">
                    <wp14:pctHeight>0</wp14:pctHeight>
                  </wp14:sizeRelV>
                </wp:anchor>
              </w:drawing>
            </w:r>
            <w:r w:rsidRPr="007A05EA">
              <w:rPr>
                <w:rFonts w:ascii="Times New Roman" w:eastAsia="Calibri" w:hAnsi="Times New Roman" w:cs="Times New Roman"/>
                <w:sz w:val="20"/>
                <w:szCs w:val="20"/>
              </w:rPr>
              <w:t>4.4.4.5.</w:t>
            </w:r>
            <w:r w:rsidR="00D04A30" w:rsidRPr="007A05EA">
              <w:rPr>
                <w:rFonts w:ascii="Times New Roman" w:eastAsia="Calibri" w:hAnsi="Times New Roman" w:cs="Times New Roman"/>
                <w:sz w:val="20"/>
                <w:szCs w:val="20"/>
              </w:rPr>
              <w:t> </w:t>
            </w:r>
            <w:r w:rsidRPr="007A05EA">
              <w:rPr>
                <w:rFonts w:ascii="Times New Roman" w:eastAsia="Calibri" w:hAnsi="Times New Roman" w:cs="Times New Roman"/>
                <w:sz w:val="20"/>
                <w:szCs w:val="20"/>
              </w:rPr>
              <w:t xml:space="preserve">att. Meža silpurene </w:t>
            </w:r>
            <w:proofErr w:type="spellStart"/>
            <w:r w:rsidRPr="007A05EA">
              <w:rPr>
                <w:rFonts w:ascii="Times New Roman" w:eastAsia="Calibri" w:hAnsi="Times New Roman" w:cs="Times New Roman"/>
                <w:i/>
                <w:iCs/>
                <w:sz w:val="20"/>
                <w:szCs w:val="20"/>
              </w:rPr>
              <w:t>Pulsatilla</w:t>
            </w:r>
            <w:proofErr w:type="spellEnd"/>
            <w:r w:rsidRPr="007A05EA">
              <w:rPr>
                <w:rFonts w:ascii="Times New Roman" w:eastAsia="Calibri" w:hAnsi="Times New Roman" w:cs="Times New Roman"/>
                <w:i/>
                <w:iCs/>
                <w:sz w:val="20"/>
                <w:szCs w:val="20"/>
              </w:rPr>
              <w:t xml:space="preserve"> </w:t>
            </w:r>
            <w:proofErr w:type="spellStart"/>
            <w:r w:rsidRPr="007A05EA">
              <w:rPr>
                <w:rFonts w:ascii="Times New Roman" w:eastAsia="Calibri" w:hAnsi="Times New Roman" w:cs="Times New Roman"/>
                <w:i/>
                <w:iCs/>
                <w:sz w:val="20"/>
                <w:szCs w:val="20"/>
              </w:rPr>
              <w:t>patens</w:t>
            </w:r>
            <w:proofErr w:type="spellEnd"/>
            <w:r w:rsidRPr="007A05EA">
              <w:rPr>
                <w:rFonts w:ascii="Times New Roman" w:eastAsia="Calibri" w:hAnsi="Times New Roman" w:cs="Times New Roman"/>
                <w:sz w:val="20"/>
                <w:szCs w:val="20"/>
              </w:rPr>
              <w:t xml:space="preserve"> </w:t>
            </w:r>
            <w:proofErr w:type="spellStart"/>
            <w:r w:rsidRPr="007A05EA">
              <w:rPr>
                <w:rFonts w:ascii="Times New Roman" w:eastAsia="Calibri" w:hAnsi="Times New Roman" w:cs="Times New Roman"/>
                <w:sz w:val="20"/>
                <w:szCs w:val="20"/>
              </w:rPr>
              <w:t>Varnaviču</w:t>
            </w:r>
            <w:proofErr w:type="spellEnd"/>
            <w:r w:rsidRPr="007A05EA">
              <w:rPr>
                <w:rFonts w:ascii="Times New Roman" w:eastAsia="Calibri" w:hAnsi="Times New Roman" w:cs="Times New Roman"/>
                <w:sz w:val="20"/>
                <w:szCs w:val="20"/>
              </w:rPr>
              <w:t xml:space="preserve"> ezera apkārtnē (Foto: G</w:t>
            </w:r>
            <w:r w:rsidR="007A05EA" w:rsidRPr="007A05EA">
              <w:rPr>
                <w:rFonts w:ascii="Times New Roman" w:eastAsia="Calibri" w:hAnsi="Times New Roman" w:cs="Times New Roman"/>
                <w:sz w:val="20"/>
                <w:szCs w:val="20"/>
              </w:rPr>
              <w:t>. </w:t>
            </w:r>
            <w:proofErr w:type="spellStart"/>
            <w:r w:rsidRPr="007A05EA">
              <w:rPr>
                <w:rFonts w:ascii="Times New Roman" w:eastAsia="Calibri" w:hAnsi="Times New Roman" w:cs="Times New Roman"/>
                <w:sz w:val="20"/>
                <w:szCs w:val="20"/>
              </w:rPr>
              <w:t>Evarte-Bundere</w:t>
            </w:r>
            <w:proofErr w:type="spellEnd"/>
            <w:r w:rsidRPr="007A05EA">
              <w:rPr>
                <w:rFonts w:ascii="Times New Roman" w:eastAsia="Calibri" w:hAnsi="Times New Roman" w:cs="Times New Roman"/>
                <w:sz w:val="20"/>
                <w:szCs w:val="20"/>
              </w:rPr>
              <w:t>)</w:t>
            </w:r>
          </w:p>
        </w:tc>
      </w:tr>
    </w:tbl>
    <w:p w14:paraId="69BDC443" w14:textId="4529A172" w:rsidR="002B1603" w:rsidRPr="00A07F29" w:rsidRDefault="002B1603" w:rsidP="00312343">
      <w:pPr>
        <w:spacing w:after="120"/>
        <w:rPr>
          <w:rFonts w:ascii="Times New Roman" w:eastAsia="Calibri" w:hAnsi="Times New Roman" w:cs="Times New Roman"/>
          <w:b/>
          <w:sz w:val="24"/>
          <w:szCs w:val="24"/>
        </w:rPr>
      </w:pPr>
    </w:p>
    <w:p w14:paraId="301F206C" w14:textId="3ECBBB20" w:rsidR="002B1603" w:rsidRPr="00A07F29" w:rsidRDefault="002B1603" w:rsidP="00B649FD">
      <w:pPr>
        <w:spacing w:after="120" w:line="240" w:lineRule="auto"/>
        <w:rPr>
          <w:rFonts w:ascii="Times New Roman" w:eastAsia="Calibri" w:hAnsi="Times New Roman" w:cs="Times New Roman"/>
          <w:b/>
          <w:i/>
          <w:sz w:val="24"/>
          <w:szCs w:val="24"/>
        </w:rPr>
      </w:pPr>
      <w:r w:rsidRPr="00A07F29">
        <w:rPr>
          <w:rFonts w:ascii="Times New Roman" w:eastAsia="Calibri" w:hAnsi="Times New Roman" w:cs="Times New Roman"/>
          <w:b/>
          <w:i/>
          <w:sz w:val="24"/>
          <w:szCs w:val="24"/>
        </w:rPr>
        <w:t>Nogāžu, gravu mežu un avotu retās un aizsargājamās sugas</w:t>
      </w:r>
    </w:p>
    <w:p w14:paraId="352BA028" w14:textId="49F1EB42" w:rsidR="002B1603" w:rsidRPr="00A07F29" w:rsidRDefault="002B1603" w:rsidP="00B649FD">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b/>
          <w:sz w:val="24"/>
          <w:szCs w:val="24"/>
        </w:rPr>
        <w:t>Dzeltenā kurpīte</w:t>
      </w:r>
      <w:r w:rsidRPr="00A07F29">
        <w:rPr>
          <w:rFonts w:ascii="Times New Roman" w:eastAsia="Calibri" w:hAnsi="Times New Roman" w:cs="Times New Roman"/>
          <w:b/>
          <w:i/>
          <w:sz w:val="24"/>
          <w:szCs w:val="24"/>
        </w:rPr>
        <w:t xml:space="preserve"> </w:t>
      </w:r>
      <w:proofErr w:type="spellStart"/>
      <w:r w:rsidRPr="00A07F29">
        <w:rPr>
          <w:rFonts w:ascii="Times New Roman" w:eastAsia="Calibri" w:hAnsi="Times New Roman" w:cs="Times New Roman"/>
          <w:b/>
          <w:i/>
          <w:sz w:val="24"/>
          <w:szCs w:val="24"/>
        </w:rPr>
        <w:t>Aconitum</w:t>
      </w:r>
      <w:proofErr w:type="spellEnd"/>
      <w:r w:rsidRPr="00A07F29">
        <w:rPr>
          <w:rFonts w:ascii="Times New Roman" w:eastAsia="Calibri" w:hAnsi="Times New Roman" w:cs="Times New Roman"/>
          <w:b/>
          <w:i/>
          <w:sz w:val="24"/>
          <w:szCs w:val="24"/>
        </w:rPr>
        <w:t xml:space="preserve"> </w:t>
      </w:r>
      <w:proofErr w:type="spellStart"/>
      <w:r w:rsidRPr="00A07F29">
        <w:rPr>
          <w:rFonts w:ascii="Times New Roman" w:eastAsia="Calibri" w:hAnsi="Times New Roman" w:cs="Times New Roman"/>
          <w:b/>
          <w:i/>
          <w:sz w:val="24"/>
          <w:szCs w:val="24"/>
        </w:rPr>
        <w:t>lasiostomum</w:t>
      </w:r>
      <w:proofErr w:type="spellEnd"/>
      <w:r w:rsidRPr="00A07F29">
        <w:rPr>
          <w:rFonts w:ascii="Times New Roman" w:eastAsia="Calibri" w:hAnsi="Times New Roman" w:cs="Times New Roman"/>
          <w:sz w:val="24"/>
          <w:szCs w:val="24"/>
        </w:rPr>
        <w:t xml:space="preserve"> </w:t>
      </w:r>
      <w:r w:rsidR="00B24317" w:rsidRPr="00A07F29">
        <w:rPr>
          <w:rFonts w:ascii="Times New Roman" w:eastAsia="Calibri" w:hAnsi="Times New Roman" w:cs="Times New Roman"/>
          <w:sz w:val="24"/>
          <w:szCs w:val="24"/>
        </w:rPr>
        <w:t>ir</w:t>
      </w:r>
      <w:r w:rsidRPr="00A07F29">
        <w:rPr>
          <w:rFonts w:ascii="Times New Roman" w:eastAsia="Calibri" w:hAnsi="Times New Roman" w:cs="Times New Roman"/>
          <w:sz w:val="24"/>
          <w:szCs w:val="24"/>
        </w:rPr>
        <w:t xml:space="preserve"> </w:t>
      </w:r>
      <w:r w:rsidR="00B24317" w:rsidRPr="00A07F29">
        <w:rPr>
          <w:rFonts w:ascii="Times New Roman" w:eastAsia="Calibri" w:hAnsi="Times New Roman" w:cs="Times New Roman"/>
          <w:sz w:val="24"/>
          <w:szCs w:val="24"/>
        </w:rPr>
        <w:t xml:space="preserve">uzskatāma </w:t>
      </w:r>
      <w:r w:rsidRPr="00A07F29">
        <w:rPr>
          <w:rFonts w:ascii="Times New Roman" w:eastAsia="Calibri" w:hAnsi="Times New Roman" w:cs="Times New Roman"/>
          <w:sz w:val="24"/>
          <w:szCs w:val="24"/>
        </w:rPr>
        <w:t xml:space="preserve">par Austrumeiropas </w:t>
      </w:r>
      <w:proofErr w:type="spellStart"/>
      <w:r w:rsidRPr="00A07F29">
        <w:rPr>
          <w:rFonts w:ascii="Times New Roman" w:eastAsia="Calibri" w:hAnsi="Times New Roman" w:cs="Times New Roman"/>
          <w:sz w:val="24"/>
          <w:szCs w:val="24"/>
        </w:rPr>
        <w:t>endēmu</w:t>
      </w:r>
      <w:proofErr w:type="spellEnd"/>
      <w:r w:rsidRPr="00A07F29">
        <w:rPr>
          <w:rFonts w:ascii="Times New Roman" w:eastAsia="Calibri" w:hAnsi="Times New Roman" w:cs="Times New Roman"/>
          <w:sz w:val="24"/>
          <w:szCs w:val="24"/>
        </w:rPr>
        <w:t xml:space="preserve">. Suga Latvijā sasniedz savas izplatības </w:t>
      </w:r>
      <w:r w:rsidR="00B24317" w:rsidRPr="00A07F29">
        <w:rPr>
          <w:rFonts w:ascii="Times New Roman" w:eastAsia="Calibri" w:hAnsi="Times New Roman" w:cs="Times New Roman"/>
          <w:sz w:val="24"/>
          <w:szCs w:val="24"/>
        </w:rPr>
        <w:t xml:space="preserve">ZR </w:t>
      </w:r>
      <w:r w:rsidRPr="00A07F29">
        <w:rPr>
          <w:rFonts w:ascii="Times New Roman" w:eastAsia="Calibri" w:hAnsi="Times New Roman" w:cs="Times New Roman"/>
          <w:sz w:val="24"/>
          <w:szCs w:val="24"/>
        </w:rPr>
        <w:t xml:space="preserve">robežu, sastopama tikai </w:t>
      </w:r>
      <w:proofErr w:type="spellStart"/>
      <w:r w:rsidRPr="00A07F29">
        <w:rPr>
          <w:rFonts w:ascii="Times New Roman" w:eastAsia="Calibri" w:hAnsi="Times New Roman" w:cs="Times New Roman"/>
          <w:sz w:val="24"/>
          <w:szCs w:val="24"/>
        </w:rPr>
        <w:t>Austrumlatvijā</w:t>
      </w:r>
      <w:proofErr w:type="spellEnd"/>
      <w:r w:rsidRPr="00A07F29">
        <w:rPr>
          <w:rFonts w:ascii="Times New Roman" w:eastAsia="Calibri" w:hAnsi="Times New Roman" w:cs="Times New Roman"/>
          <w:sz w:val="24"/>
          <w:szCs w:val="24"/>
        </w:rPr>
        <w:t xml:space="preserve">. Veido audzes periodiski pārmitros, applūstošos baltalkšņu mežos, upīšu un strautu krastos. AAA “Augšdaugava” teritorijā bagātīgas atradnes </w:t>
      </w:r>
      <w:r w:rsidR="00396012" w:rsidRPr="00A07F29">
        <w:rPr>
          <w:rFonts w:ascii="Times New Roman" w:eastAsia="Calibri" w:hAnsi="Times New Roman" w:cs="Times New Roman"/>
          <w:sz w:val="24"/>
          <w:szCs w:val="24"/>
        </w:rPr>
        <w:t xml:space="preserve">ir </w:t>
      </w:r>
      <w:proofErr w:type="spellStart"/>
      <w:r w:rsidRPr="00A07F29">
        <w:rPr>
          <w:rFonts w:ascii="Times New Roman" w:eastAsia="Calibri" w:hAnsi="Times New Roman" w:cs="Times New Roman"/>
          <w:sz w:val="24"/>
          <w:szCs w:val="24"/>
        </w:rPr>
        <w:t>Indricas</w:t>
      </w:r>
      <w:proofErr w:type="spellEnd"/>
      <w:r w:rsidRPr="00A07F29">
        <w:rPr>
          <w:rFonts w:ascii="Times New Roman" w:eastAsia="Calibri" w:hAnsi="Times New Roman" w:cs="Times New Roman"/>
          <w:sz w:val="24"/>
          <w:szCs w:val="24"/>
        </w:rPr>
        <w:t xml:space="preserve"> upes krastos, sastop arī pie </w:t>
      </w:r>
      <w:proofErr w:type="spellStart"/>
      <w:r w:rsidRPr="00A07F29">
        <w:rPr>
          <w:rFonts w:ascii="Times New Roman" w:eastAsia="Calibri" w:hAnsi="Times New Roman" w:cs="Times New Roman"/>
          <w:sz w:val="24"/>
          <w:szCs w:val="24"/>
        </w:rPr>
        <w:t>Mālkalnes</w:t>
      </w:r>
      <w:proofErr w:type="spellEnd"/>
      <w:r w:rsidRPr="00A07F29">
        <w:rPr>
          <w:rFonts w:ascii="Times New Roman" w:eastAsia="Calibri" w:hAnsi="Times New Roman" w:cs="Times New Roman"/>
          <w:sz w:val="24"/>
          <w:szCs w:val="24"/>
        </w:rPr>
        <w:t xml:space="preserve"> </w:t>
      </w:r>
      <w:r w:rsidRPr="00A07F29">
        <w:rPr>
          <w:rFonts w:ascii="Times New Roman" w:eastAsia="Calibri" w:hAnsi="Times New Roman" w:cs="Times New Roman"/>
          <w:sz w:val="24"/>
          <w:szCs w:val="24"/>
        </w:rPr>
        <w:lastRenderedPageBreak/>
        <w:t xml:space="preserve">upītes. Šīs sugas eksistenci Augšdaugavā apdraud palienes </w:t>
      </w:r>
      <w:proofErr w:type="spellStart"/>
      <w:r w:rsidRPr="00A07F29">
        <w:rPr>
          <w:rFonts w:ascii="Times New Roman" w:eastAsia="Calibri" w:hAnsi="Times New Roman" w:cs="Times New Roman"/>
          <w:sz w:val="24"/>
          <w:szCs w:val="24"/>
        </w:rPr>
        <w:t>baltalksnāju</w:t>
      </w:r>
      <w:proofErr w:type="spellEnd"/>
      <w:r w:rsidRPr="00A07F29">
        <w:rPr>
          <w:rFonts w:ascii="Times New Roman" w:eastAsia="Calibri" w:hAnsi="Times New Roman" w:cs="Times New Roman"/>
          <w:sz w:val="24"/>
          <w:szCs w:val="24"/>
        </w:rPr>
        <w:t xml:space="preserve"> izciršana un zemes </w:t>
      </w:r>
      <w:proofErr w:type="spellStart"/>
      <w:r w:rsidR="00396012" w:rsidRPr="00A07F29">
        <w:rPr>
          <w:rFonts w:ascii="Times New Roman" w:eastAsia="Calibri" w:hAnsi="Times New Roman" w:cs="Times New Roman"/>
          <w:sz w:val="24"/>
          <w:szCs w:val="24"/>
        </w:rPr>
        <w:t>tranformācija</w:t>
      </w:r>
      <w:proofErr w:type="spellEnd"/>
      <w:r w:rsidRPr="00A07F29">
        <w:rPr>
          <w:rFonts w:ascii="Times New Roman" w:eastAsia="Calibri" w:hAnsi="Times New Roman" w:cs="Times New Roman"/>
          <w:sz w:val="24"/>
          <w:szCs w:val="24"/>
        </w:rPr>
        <w:t xml:space="preserve">, potenciāli </w:t>
      </w:r>
      <w:r w:rsidR="00396012" w:rsidRPr="00A07F29">
        <w:rPr>
          <w:rFonts w:ascii="Times New Roman" w:eastAsia="Calibri" w:hAnsi="Times New Roman" w:cs="Times New Roman"/>
          <w:sz w:val="24"/>
          <w:szCs w:val="24"/>
        </w:rPr>
        <w:t xml:space="preserve">– </w:t>
      </w:r>
      <w:r w:rsidRPr="00A07F29">
        <w:rPr>
          <w:rFonts w:ascii="Times New Roman" w:eastAsia="Calibri" w:hAnsi="Times New Roman" w:cs="Times New Roman"/>
          <w:sz w:val="24"/>
          <w:szCs w:val="24"/>
        </w:rPr>
        <w:t>upes līmeņa paaugstināšana.</w:t>
      </w:r>
    </w:p>
    <w:p w14:paraId="65ABFEF6" w14:textId="6DA6D105" w:rsidR="002B1603" w:rsidRPr="00A07F29" w:rsidRDefault="002B1603" w:rsidP="00B649FD">
      <w:pPr>
        <w:spacing w:after="120" w:line="240" w:lineRule="auto"/>
        <w:ind w:firstLine="851"/>
        <w:jc w:val="both"/>
        <w:rPr>
          <w:rFonts w:ascii="Times New Roman" w:eastAsia="Calibri" w:hAnsi="Times New Roman" w:cs="Times New Roman"/>
          <w:sz w:val="24"/>
          <w:szCs w:val="24"/>
        </w:rPr>
      </w:pPr>
      <w:proofErr w:type="spellStart"/>
      <w:r w:rsidRPr="00A07F29">
        <w:rPr>
          <w:rFonts w:ascii="Times New Roman" w:eastAsia="Calibri" w:hAnsi="Times New Roman" w:cs="Times New Roman"/>
          <w:b/>
          <w:sz w:val="24"/>
          <w:szCs w:val="24"/>
        </w:rPr>
        <w:t>Benekena</w:t>
      </w:r>
      <w:proofErr w:type="spellEnd"/>
      <w:r w:rsidRPr="00A07F29">
        <w:rPr>
          <w:rFonts w:ascii="Times New Roman" w:eastAsia="Calibri" w:hAnsi="Times New Roman" w:cs="Times New Roman"/>
          <w:b/>
          <w:sz w:val="24"/>
          <w:szCs w:val="24"/>
        </w:rPr>
        <w:t xml:space="preserve"> </w:t>
      </w:r>
      <w:proofErr w:type="spellStart"/>
      <w:r w:rsidRPr="00A07F29">
        <w:rPr>
          <w:rFonts w:ascii="Times New Roman" w:eastAsia="Calibri" w:hAnsi="Times New Roman" w:cs="Times New Roman"/>
          <w:b/>
          <w:sz w:val="24"/>
          <w:szCs w:val="24"/>
        </w:rPr>
        <w:t>zaķauza</w:t>
      </w:r>
      <w:proofErr w:type="spellEnd"/>
      <w:r w:rsidRPr="00A07F29">
        <w:rPr>
          <w:rFonts w:ascii="Times New Roman" w:eastAsia="Calibri" w:hAnsi="Times New Roman" w:cs="Times New Roman"/>
          <w:b/>
          <w:sz w:val="24"/>
          <w:szCs w:val="24"/>
        </w:rPr>
        <w:t xml:space="preserve"> </w:t>
      </w:r>
      <w:proofErr w:type="spellStart"/>
      <w:r w:rsidRPr="00A07F29">
        <w:rPr>
          <w:rFonts w:ascii="Times New Roman" w:eastAsia="Calibri" w:hAnsi="Times New Roman" w:cs="Times New Roman"/>
          <w:b/>
          <w:i/>
          <w:sz w:val="24"/>
          <w:szCs w:val="24"/>
        </w:rPr>
        <w:t>Bromopsis</w:t>
      </w:r>
      <w:proofErr w:type="spellEnd"/>
      <w:r w:rsidRPr="00A07F29">
        <w:rPr>
          <w:rFonts w:ascii="Times New Roman" w:eastAsia="Calibri" w:hAnsi="Times New Roman" w:cs="Times New Roman"/>
          <w:b/>
          <w:i/>
          <w:sz w:val="24"/>
          <w:szCs w:val="24"/>
        </w:rPr>
        <w:t xml:space="preserve"> </w:t>
      </w:r>
      <w:proofErr w:type="spellStart"/>
      <w:r w:rsidRPr="00A07F29">
        <w:rPr>
          <w:rFonts w:ascii="Times New Roman" w:eastAsia="Calibri" w:hAnsi="Times New Roman" w:cs="Times New Roman"/>
          <w:b/>
          <w:i/>
          <w:sz w:val="24"/>
          <w:szCs w:val="24"/>
        </w:rPr>
        <w:t>benekenii</w:t>
      </w:r>
      <w:proofErr w:type="spellEnd"/>
      <w:r w:rsidRPr="00A07F29">
        <w:rPr>
          <w:rFonts w:ascii="Times New Roman" w:eastAsia="Calibri" w:hAnsi="Times New Roman" w:cs="Times New Roman"/>
          <w:sz w:val="24"/>
          <w:szCs w:val="24"/>
        </w:rPr>
        <w:t xml:space="preserve"> nelielās grupās sastopama gāršas tipa mežos, mežmalās un upju gravās visā Latvijas teritorijā. Suga uzskatāma par apdraudētu, jo izciršanas dēļ izzūd sugai raksturīgās </w:t>
      </w:r>
      <w:proofErr w:type="spellStart"/>
      <w:r w:rsidRPr="00A07F29">
        <w:rPr>
          <w:rFonts w:ascii="Times New Roman" w:eastAsia="Calibri" w:hAnsi="Times New Roman" w:cs="Times New Roman"/>
          <w:sz w:val="24"/>
          <w:szCs w:val="24"/>
        </w:rPr>
        <w:t>augtenes</w:t>
      </w:r>
      <w:proofErr w:type="spellEnd"/>
      <w:r w:rsidRPr="00A07F29">
        <w:rPr>
          <w:rFonts w:ascii="Times New Roman" w:eastAsia="Calibri" w:hAnsi="Times New Roman" w:cs="Times New Roman"/>
          <w:sz w:val="24"/>
          <w:szCs w:val="24"/>
        </w:rPr>
        <w:t xml:space="preserve"> </w:t>
      </w:r>
      <w:r w:rsidR="00396012" w:rsidRPr="00A07F29">
        <w:rPr>
          <w:rFonts w:ascii="Times New Roman" w:eastAsia="Calibri" w:hAnsi="Times New Roman" w:cs="Times New Roman"/>
          <w:sz w:val="24"/>
          <w:szCs w:val="24"/>
        </w:rPr>
        <w:t xml:space="preserve">– </w:t>
      </w:r>
      <w:r w:rsidRPr="00A07F29">
        <w:rPr>
          <w:rFonts w:ascii="Times New Roman" w:eastAsia="Calibri" w:hAnsi="Times New Roman" w:cs="Times New Roman"/>
          <w:sz w:val="24"/>
          <w:szCs w:val="24"/>
        </w:rPr>
        <w:t xml:space="preserve">dabiski veci lapkoku meži. </w:t>
      </w:r>
      <w:r w:rsidR="00D17FE9" w:rsidRPr="00A07F29">
        <w:rPr>
          <w:rFonts w:ascii="Times New Roman" w:eastAsia="Calibri" w:hAnsi="Times New Roman" w:cs="Times New Roman"/>
          <w:sz w:val="24"/>
          <w:szCs w:val="24"/>
        </w:rPr>
        <w:t>AAA “</w:t>
      </w:r>
      <w:proofErr w:type="spellStart"/>
      <w:r w:rsidR="00D17FE9" w:rsidRPr="00A07F29">
        <w:rPr>
          <w:rFonts w:ascii="Times New Roman" w:eastAsia="Calibri" w:hAnsi="Times New Roman" w:cs="Times New Roman"/>
          <w:sz w:val="24"/>
          <w:szCs w:val="24"/>
        </w:rPr>
        <w:t>Augšduagava</w:t>
      </w:r>
      <w:proofErr w:type="spellEnd"/>
      <w:r w:rsidR="00D17FE9" w:rsidRPr="00A07F29">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teritorijā neliela</w:t>
      </w:r>
      <w:r w:rsidR="00D17FE9" w:rsidRPr="00A07F29">
        <w:rPr>
          <w:rFonts w:ascii="Times New Roman" w:eastAsia="Calibri" w:hAnsi="Times New Roman" w:cs="Times New Roman"/>
          <w:sz w:val="24"/>
          <w:szCs w:val="24"/>
        </w:rPr>
        <w:t>s</w:t>
      </w:r>
      <w:r w:rsidRPr="00A07F29">
        <w:rPr>
          <w:rFonts w:ascii="Times New Roman" w:eastAsia="Calibri" w:hAnsi="Times New Roman" w:cs="Times New Roman"/>
          <w:sz w:val="24"/>
          <w:szCs w:val="24"/>
        </w:rPr>
        <w:t xml:space="preserve"> </w:t>
      </w:r>
      <w:r w:rsidR="00396012" w:rsidRPr="00A07F29">
        <w:rPr>
          <w:rFonts w:ascii="Times New Roman" w:eastAsia="Calibri" w:hAnsi="Times New Roman" w:cs="Times New Roman"/>
          <w:sz w:val="24"/>
          <w:szCs w:val="24"/>
        </w:rPr>
        <w:t xml:space="preserve">šīs </w:t>
      </w:r>
      <w:r w:rsidRPr="00A07F29">
        <w:rPr>
          <w:rFonts w:ascii="Times New Roman" w:eastAsia="Calibri" w:hAnsi="Times New Roman" w:cs="Times New Roman"/>
          <w:sz w:val="24"/>
          <w:szCs w:val="24"/>
        </w:rPr>
        <w:t>sugas audze</w:t>
      </w:r>
      <w:r w:rsidR="00D17FE9" w:rsidRPr="00A07F29">
        <w:rPr>
          <w:rFonts w:ascii="Times New Roman" w:eastAsia="Calibri" w:hAnsi="Times New Roman" w:cs="Times New Roman"/>
          <w:sz w:val="24"/>
          <w:szCs w:val="24"/>
        </w:rPr>
        <w:t>s</w:t>
      </w:r>
      <w:r w:rsidRPr="00A07F29">
        <w:rPr>
          <w:rFonts w:ascii="Times New Roman" w:eastAsia="Calibri" w:hAnsi="Times New Roman" w:cs="Times New Roman"/>
          <w:sz w:val="24"/>
          <w:szCs w:val="24"/>
        </w:rPr>
        <w:t xml:space="preserve"> sastopamas Lazdukalna upītes gravā un nogāzē pie Stirnas upītes. Apsekojot atradnes 2017. un 2019.</w:t>
      </w:r>
      <w:r w:rsidR="00752D58">
        <w:rPr>
          <w:rFonts w:ascii="Times New Roman" w:eastAsia="Calibri" w:hAnsi="Times New Roman" w:cs="Times New Roman"/>
          <w:sz w:val="24"/>
          <w:szCs w:val="24"/>
        </w:rPr>
        <w:t> </w:t>
      </w:r>
      <w:r w:rsidRPr="00A07F29">
        <w:rPr>
          <w:rFonts w:ascii="Times New Roman" w:eastAsia="Calibri" w:hAnsi="Times New Roman" w:cs="Times New Roman"/>
          <w:sz w:val="24"/>
          <w:szCs w:val="24"/>
        </w:rPr>
        <w:t>gadā, tieši apdraudošie faktori nav konstatēti.</w:t>
      </w:r>
    </w:p>
    <w:p w14:paraId="12611ACE" w14:textId="03FF799D" w:rsidR="002B1603" w:rsidRPr="00A07F29" w:rsidRDefault="002B1603" w:rsidP="00B649FD">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b/>
          <w:sz w:val="24"/>
          <w:szCs w:val="24"/>
        </w:rPr>
        <w:t xml:space="preserve">Matainais grīslis </w:t>
      </w:r>
      <w:proofErr w:type="spellStart"/>
      <w:r w:rsidRPr="00A07F29">
        <w:rPr>
          <w:rFonts w:ascii="Times New Roman" w:eastAsia="Calibri" w:hAnsi="Times New Roman" w:cs="Times New Roman"/>
          <w:b/>
          <w:i/>
          <w:sz w:val="24"/>
          <w:szCs w:val="24"/>
        </w:rPr>
        <w:t>Carex</w:t>
      </w:r>
      <w:proofErr w:type="spellEnd"/>
      <w:r w:rsidRPr="00A07F29">
        <w:rPr>
          <w:rFonts w:ascii="Times New Roman" w:eastAsia="Calibri" w:hAnsi="Times New Roman" w:cs="Times New Roman"/>
          <w:b/>
          <w:i/>
          <w:sz w:val="24"/>
          <w:szCs w:val="24"/>
        </w:rPr>
        <w:t xml:space="preserve"> </w:t>
      </w:r>
      <w:proofErr w:type="spellStart"/>
      <w:r w:rsidRPr="00A07F29">
        <w:rPr>
          <w:rFonts w:ascii="Times New Roman" w:eastAsia="Calibri" w:hAnsi="Times New Roman" w:cs="Times New Roman"/>
          <w:b/>
          <w:i/>
          <w:sz w:val="24"/>
          <w:szCs w:val="24"/>
        </w:rPr>
        <w:t>pilosa</w:t>
      </w:r>
      <w:proofErr w:type="spellEnd"/>
      <w:r w:rsidRPr="00A07F29">
        <w:rPr>
          <w:rFonts w:ascii="Times New Roman" w:eastAsia="Calibri" w:hAnsi="Times New Roman" w:cs="Times New Roman"/>
          <w:sz w:val="24"/>
          <w:szCs w:val="24"/>
        </w:rPr>
        <w:t xml:space="preserve"> sastopams tikai Latvijas </w:t>
      </w:r>
      <w:r w:rsidR="00396012" w:rsidRPr="00A07F29">
        <w:rPr>
          <w:rFonts w:ascii="Times New Roman" w:eastAsia="Calibri" w:hAnsi="Times New Roman" w:cs="Times New Roman"/>
          <w:sz w:val="24"/>
          <w:szCs w:val="24"/>
        </w:rPr>
        <w:t xml:space="preserve">DA </w:t>
      </w:r>
      <w:r w:rsidRPr="00A07F29">
        <w:rPr>
          <w:rFonts w:ascii="Times New Roman" w:eastAsia="Calibri" w:hAnsi="Times New Roman" w:cs="Times New Roman"/>
          <w:sz w:val="24"/>
          <w:szCs w:val="24"/>
        </w:rPr>
        <w:t xml:space="preserve">daļā, sugas atradnes atrodas ārpus sugas vienlaidus areāla uz </w:t>
      </w:r>
      <w:r w:rsidR="00396012" w:rsidRPr="00A07F29">
        <w:rPr>
          <w:rFonts w:ascii="Times New Roman" w:eastAsia="Calibri" w:hAnsi="Times New Roman" w:cs="Times New Roman"/>
          <w:sz w:val="24"/>
          <w:szCs w:val="24"/>
        </w:rPr>
        <w:t>Z</w:t>
      </w:r>
      <w:r w:rsidRPr="00A07F29">
        <w:rPr>
          <w:rFonts w:ascii="Times New Roman" w:eastAsia="Calibri" w:hAnsi="Times New Roman" w:cs="Times New Roman"/>
          <w:sz w:val="24"/>
          <w:szCs w:val="24"/>
        </w:rPr>
        <w:t xml:space="preserve">, </w:t>
      </w:r>
      <w:r w:rsidR="00396012" w:rsidRPr="00A07F29">
        <w:rPr>
          <w:rFonts w:ascii="Times New Roman" w:eastAsia="Calibri" w:hAnsi="Times New Roman" w:cs="Times New Roman"/>
          <w:sz w:val="24"/>
          <w:szCs w:val="24"/>
        </w:rPr>
        <w:t>ZR</w:t>
      </w:r>
      <w:r w:rsidRPr="00A07F29">
        <w:rPr>
          <w:rFonts w:ascii="Times New Roman" w:eastAsia="Calibri" w:hAnsi="Times New Roman" w:cs="Times New Roman"/>
          <w:sz w:val="24"/>
          <w:szCs w:val="24"/>
        </w:rPr>
        <w:t>. Latvijā pirmo reizi konstatēts Naujenes gravā 1939.</w:t>
      </w:r>
      <w:r w:rsidR="003028AB">
        <w:rPr>
          <w:rFonts w:ascii="Times New Roman" w:eastAsia="Calibri" w:hAnsi="Times New Roman" w:cs="Times New Roman"/>
          <w:sz w:val="24"/>
          <w:szCs w:val="24"/>
        </w:rPr>
        <w:t> </w:t>
      </w:r>
      <w:r w:rsidRPr="00A07F29">
        <w:rPr>
          <w:rFonts w:ascii="Times New Roman" w:eastAsia="Calibri" w:hAnsi="Times New Roman" w:cs="Times New Roman"/>
          <w:sz w:val="24"/>
          <w:szCs w:val="24"/>
        </w:rPr>
        <w:t>gadā (</w:t>
      </w:r>
      <w:proofErr w:type="spellStart"/>
      <w:r w:rsidRPr="00A07F29">
        <w:rPr>
          <w:rFonts w:ascii="Times New Roman" w:eastAsia="Calibri" w:hAnsi="Times New Roman" w:cs="Times New Roman"/>
          <w:sz w:val="24"/>
          <w:szCs w:val="24"/>
        </w:rPr>
        <w:t>Villerts</w:t>
      </w:r>
      <w:proofErr w:type="spellEnd"/>
      <w:r w:rsidR="001510B5">
        <w:rPr>
          <w:rFonts w:ascii="Times New Roman" w:eastAsia="Calibri" w:hAnsi="Times New Roman" w:cs="Times New Roman"/>
          <w:sz w:val="24"/>
          <w:szCs w:val="24"/>
        </w:rPr>
        <w:t xml:space="preserve"> A.,</w:t>
      </w:r>
      <w:r w:rsidRPr="00A07F29">
        <w:rPr>
          <w:rFonts w:ascii="Times New Roman" w:eastAsia="Calibri" w:hAnsi="Times New Roman" w:cs="Times New Roman"/>
          <w:sz w:val="24"/>
          <w:szCs w:val="24"/>
        </w:rPr>
        <w:t xml:space="preserve"> 1940), atkārtoti 1977., 1990., 2007., 2008., 2012., 2017. un 2019.</w:t>
      </w:r>
      <w:r w:rsidR="001510B5">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gados. Sugu potenciāli apdraud gāršu izciršana un biotopu maiņa, tomēr, ņemot vērā sugai nepieciešamo biotopu aizsardzību Latvijā un aizvien jaunu atradņu konstatēšanu pēdējos gados, suga ir maz apdraudēta. </w:t>
      </w:r>
      <w:r w:rsidRPr="00A07F29">
        <w:rPr>
          <w:rFonts w:ascii="Times New Roman" w:eastAsia="Calibri" w:hAnsi="Times New Roman" w:cs="Calibri"/>
          <w:sz w:val="24"/>
        </w:rPr>
        <w:t xml:space="preserve">Vēl pirms 10 gadiem matainais grīslis </w:t>
      </w:r>
      <w:proofErr w:type="spellStart"/>
      <w:r w:rsidRPr="00A07F29">
        <w:rPr>
          <w:rFonts w:ascii="Times New Roman" w:eastAsia="Calibri" w:hAnsi="Times New Roman" w:cs="Calibri"/>
          <w:i/>
          <w:sz w:val="24"/>
        </w:rPr>
        <w:t>Carex</w:t>
      </w:r>
      <w:proofErr w:type="spellEnd"/>
      <w:r w:rsidRPr="00A07F29">
        <w:rPr>
          <w:rFonts w:ascii="Times New Roman" w:eastAsia="Calibri" w:hAnsi="Times New Roman" w:cs="Calibri"/>
          <w:i/>
          <w:sz w:val="24"/>
        </w:rPr>
        <w:t xml:space="preserve"> </w:t>
      </w:r>
      <w:proofErr w:type="spellStart"/>
      <w:r w:rsidRPr="00A07F29">
        <w:rPr>
          <w:rFonts w:ascii="Times New Roman" w:eastAsia="Calibri" w:hAnsi="Times New Roman" w:cs="Calibri"/>
          <w:i/>
          <w:sz w:val="24"/>
        </w:rPr>
        <w:t>pilosa</w:t>
      </w:r>
      <w:proofErr w:type="spellEnd"/>
      <w:r w:rsidRPr="00A07F29">
        <w:rPr>
          <w:rFonts w:ascii="Times New Roman" w:eastAsia="Calibri" w:hAnsi="Times New Roman" w:cs="Calibri"/>
          <w:sz w:val="24"/>
        </w:rPr>
        <w:t xml:space="preserve"> tika uzskatīts par ļoti retu sugu. Pašlaik </w:t>
      </w:r>
      <w:proofErr w:type="spellStart"/>
      <w:r w:rsidRPr="00A07F29">
        <w:rPr>
          <w:rFonts w:ascii="Times New Roman" w:eastAsia="Calibri" w:hAnsi="Times New Roman" w:cs="Calibri"/>
          <w:sz w:val="24"/>
        </w:rPr>
        <w:t>Austrumlatvijā</w:t>
      </w:r>
      <w:proofErr w:type="spellEnd"/>
      <w:r w:rsidRPr="00A07F29">
        <w:rPr>
          <w:rFonts w:ascii="Times New Roman" w:eastAsia="Calibri" w:hAnsi="Times New Roman" w:cs="Calibri"/>
          <w:sz w:val="24"/>
        </w:rPr>
        <w:t xml:space="preserve"> jau zināmas vairāk nekā 10 atradnes, galvenokārt gravās gar Daugavu, kā arī DL </w:t>
      </w:r>
      <w:r w:rsidR="00D449DB">
        <w:rPr>
          <w:rFonts w:ascii="Times New Roman" w:eastAsia="Calibri" w:hAnsi="Times New Roman" w:cs="Calibri"/>
          <w:sz w:val="24"/>
        </w:rPr>
        <w:t>“</w:t>
      </w:r>
      <w:r w:rsidRPr="00A07F29">
        <w:rPr>
          <w:rFonts w:ascii="Times New Roman" w:eastAsia="Calibri" w:hAnsi="Times New Roman" w:cs="Calibri"/>
          <w:sz w:val="24"/>
        </w:rPr>
        <w:t xml:space="preserve">Pilskalnes </w:t>
      </w:r>
      <w:proofErr w:type="spellStart"/>
      <w:r w:rsidRPr="00A07F29">
        <w:rPr>
          <w:rFonts w:ascii="Times New Roman" w:eastAsia="Calibri" w:hAnsi="Times New Roman" w:cs="Calibri"/>
          <w:sz w:val="24"/>
        </w:rPr>
        <w:t>Siguldiņa</w:t>
      </w:r>
      <w:proofErr w:type="spellEnd"/>
      <w:r w:rsidRPr="00A07F29">
        <w:rPr>
          <w:rFonts w:ascii="Times New Roman" w:eastAsia="Calibri" w:hAnsi="Times New Roman" w:cs="Calibri"/>
          <w:sz w:val="24"/>
        </w:rPr>
        <w:t xml:space="preserve">”, AAA </w:t>
      </w:r>
      <w:r w:rsidR="00D449DB">
        <w:rPr>
          <w:rFonts w:ascii="Times New Roman" w:eastAsia="Calibri" w:hAnsi="Times New Roman" w:cs="Calibri"/>
          <w:sz w:val="24"/>
        </w:rPr>
        <w:t>“</w:t>
      </w:r>
      <w:r w:rsidRPr="00A07F29">
        <w:rPr>
          <w:rFonts w:ascii="Times New Roman" w:eastAsia="Calibri" w:hAnsi="Times New Roman" w:cs="Calibri"/>
          <w:sz w:val="24"/>
        </w:rPr>
        <w:t xml:space="preserve">Augšzeme”, DL </w:t>
      </w:r>
      <w:r w:rsidR="00D449DB">
        <w:rPr>
          <w:rFonts w:ascii="Times New Roman" w:eastAsia="Calibri" w:hAnsi="Times New Roman" w:cs="Calibri"/>
          <w:sz w:val="24"/>
        </w:rPr>
        <w:t>“</w:t>
      </w:r>
      <w:r w:rsidRPr="00A07F29">
        <w:rPr>
          <w:rFonts w:ascii="Times New Roman" w:eastAsia="Calibri" w:hAnsi="Times New Roman" w:cs="Calibri"/>
          <w:sz w:val="24"/>
        </w:rPr>
        <w:t xml:space="preserve">Zvirgzdenes ezera salas”, DL </w:t>
      </w:r>
      <w:r w:rsidR="00D449DB">
        <w:rPr>
          <w:rFonts w:ascii="Times New Roman" w:eastAsia="Calibri" w:hAnsi="Times New Roman" w:cs="Calibri"/>
          <w:sz w:val="24"/>
        </w:rPr>
        <w:t>“</w:t>
      </w:r>
      <w:r w:rsidRPr="00A07F29">
        <w:rPr>
          <w:rFonts w:ascii="Times New Roman" w:eastAsia="Calibri" w:hAnsi="Times New Roman" w:cs="Calibri"/>
          <w:sz w:val="24"/>
        </w:rPr>
        <w:t>Raudas meži” u.c. (</w:t>
      </w:r>
      <w:proofErr w:type="spellStart"/>
      <w:r w:rsidRPr="00A07F29">
        <w:rPr>
          <w:rFonts w:ascii="Times New Roman" w:eastAsia="Calibri" w:hAnsi="Times New Roman" w:cs="Calibri"/>
          <w:sz w:val="24"/>
        </w:rPr>
        <w:t>Gudžinsk</w:t>
      </w:r>
      <w:r w:rsidR="005C5B3E">
        <w:rPr>
          <w:rFonts w:ascii="Times New Roman" w:eastAsia="Calibri" w:hAnsi="Times New Roman" w:cs="Calibri"/>
          <w:sz w:val="24"/>
        </w:rPr>
        <w:t>as</w:t>
      </w:r>
      <w:proofErr w:type="spellEnd"/>
      <w:r w:rsidR="005C5B3E">
        <w:rPr>
          <w:rFonts w:ascii="Times New Roman" w:eastAsia="Calibri" w:hAnsi="Times New Roman" w:cs="Calibri"/>
          <w:sz w:val="24"/>
        </w:rPr>
        <w:t xml:space="preserve"> Z.,</w:t>
      </w:r>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sz w:val="24"/>
        </w:rPr>
        <w:t>et</w:t>
      </w:r>
      <w:proofErr w:type="spellEnd"/>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sz w:val="24"/>
        </w:rPr>
        <w:t>a</w:t>
      </w:r>
      <w:r w:rsidR="005C5B3E">
        <w:rPr>
          <w:rFonts w:ascii="Times New Roman" w:eastAsia="Calibri" w:hAnsi="Times New Roman" w:cs="Calibri"/>
          <w:sz w:val="24"/>
        </w:rPr>
        <w:t>l</w:t>
      </w:r>
      <w:proofErr w:type="spellEnd"/>
      <w:r w:rsidR="005C5B3E">
        <w:rPr>
          <w:rFonts w:ascii="Times New Roman" w:eastAsia="Calibri" w:hAnsi="Times New Roman" w:cs="Calibri"/>
          <w:sz w:val="24"/>
        </w:rPr>
        <w:t>,</w:t>
      </w:r>
      <w:r w:rsidRPr="00A07F29">
        <w:rPr>
          <w:rFonts w:ascii="Times New Roman" w:eastAsia="Calibri" w:hAnsi="Times New Roman" w:cs="Calibri"/>
          <w:sz w:val="24"/>
        </w:rPr>
        <w:t xml:space="preserve"> 2010, </w:t>
      </w:r>
      <w:proofErr w:type="spellStart"/>
      <w:r w:rsidRPr="00A07F29">
        <w:rPr>
          <w:rFonts w:ascii="Times New Roman" w:eastAsia="Calibri" w:hAnsi="Times New Roman" w:cs="Calibri"/>
          <w:sz w:val="24"/>
        </w:rPr>
        <w:t>Iliško</w:t>
      </w:r>
      <w:proofErr w:type="spellEnd"/>
      <w:r w:rsidR="00AB3142">
        <w:rPr>
          <w:rFonts w:ascii="Times New Roman" w:eastAsia="Calibri" w:hAnsi="Times New Roman" w:cs="Calibri"/>
          <w:sz w:val="24"/>
        </w:rPr>
        <w:t xml:space="preserve"> E.,</w:t>
      </w:r>
      <w:r w:rsidRPr="00A07F29">
        <w:rPr>
          <w:rFonts w:ascii="Times New Roman" w:eastAsia="Calibri" w:hAnsi="Times New Roman" w:cs="Calibri"/>
          <w:sz w:val="24"/>
        </w:rPr>
        <w:t xml:space="preserve"> Soms</w:t>
      </w:r>
      <w:r w:rsidR="00AB3142">
        <w:rPr>
          <w:rFonts w:ascii="Times New Roman" w:eastAsia="Calibri" w:hAnsi="Times New Roman" w:cs="Calibri"/>
          <w:sz w:val="24"/>
        </w:rPr>
        <w:t xml:space="preserve"> J.</w:t>
      </w:r>
      <w:r w:rsidR="005C5B3E">
        <w:rPr>
          <w:rFonts w:ascii="Times New Roman" w:eastAsia="Calibri" w:hAnsi="Times New Roman" w:cs="Calibri"/>
          <w:sz w:val="24"/>
        </w:rPr>
        <w:t>,</w:t>
      </w:r>
      <w:r w:rsidRPr="00A07F29">
        <w:rPr>
          <w:rFonts w:ascii="Times New Roman" w:eastAsia="Calibri" w:hAnsi="Times New Roman" w:cs="Calibri"/>
          <w:sz w:val="24"/>
        </w:rPr>
        <w:t xml:space="preserve"> 2011).</w:t>
      </w:r>
    </w:p>
    <w:p w14:paraId="324E18D8" w14:textId="77777777" w:rsidR="002B1603" w:rsidRPr="00A07F29" w:rsidRDefault="002B1603" w:rsidP="00B649FD">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Arī citas aizsargājamās grīšļu sugas – </w:t>
      </w:r>
      <w:proofErr w:type="spellStart"/>
      <w:r w:rsidRPr="00A07F29">
        <w:rPr>
          <w:rFonts w:ascii="Times New Roman" w:eastAsia="Calibri" w:hAnsi="Times New Roman" w:cs="Times New Roman"/>
          <w:b/>
          <w:sz w:val="24"/>
          <w:szCs w:val="24"/>
        </w:rPr>
        <w:t>pēdveida</w:t>
      </w:r>
      <w:proofErr w:type="spellEnd"/>
      <w:r w:rsidRPr="00A07F29">
        <w:rPr>
          <w:rFonts w:ascii="Times New Roman" w:eastAsia="Calibri" w:hAnsi="Times New Roman" w:cs="Times New Roman"/>
          <w:b/>
          <w:sz w:val="24"/>
          <w:szCs w:val="24"/>
        </w:rPr>
        <w:t xml:space="preserve"> grīslis </w:t>
      </w:r>
      <w:proofErr w:type="spellStart"/>
      <w:r w:rsidRPr="00A07F29">
        <w:rPr>
          <w:rFonts w:ascii="Times New Roman" w:eastAsia="Calibri" w:hAnsi="Times New Roman" w:cs="Times New Roman"/>
          <w:b/>
          <w:i/>
          <w:sz w:val="24"/>
          <w:szCs w:val="24"/>
        </w:rPr>
        <w:t>Carex</w:t>
      </w:r>
      <w:proofErr w:type="spellEnd"/>
      <w:r w:rsidRPr="00A07F29">
        <w:rPr>
          <w:rFonts w:ascii="Times New Roman" w:eastAsia="Calibri" w:hAnsi="Times New Roman" w:cs="Times New Roman"/>
          <w:b/>
          <w:i/>
          <w:sz w:val="24"/>
          <w:szCs w:val="24"/>
        </w:rPr>
        <w:t xml:space="preserve"> </w:t>
      </w:r>
      <w:proofErr w:type="spellStart"/>
      <w:r w:rsidRPr="00A07F29">
        <w:rPr>
          <w:rFonts w:ascii="Times New Roman" w:eastAsia="Calibri" w:hAnsi="Times New Roman" w:cs="Times New Roman"/>
          <w:b/>
          <w:i/>
          <w:sz w:val="24"/>
          <w:szCs w:val="24"/>
        </w:rPr>
        <w:t>rhizina</w:t>
      </w:r>
      <w:proofErr w:type="spellEnd"/>
      <w:r w:rsidRPr="00A07F29">
        <w:rPr>
          <w:rFonts w:ascii="Times New Roman" w:eastAsia="Calibri" w:hAnsi="Times New Roman" w:cs="Times New Roman"/>
          <w:sz w:val="24"/>
          <w:szCs w:val="24"/>
        </w:rPr>
        <w:t xml:space="preserve"> un </w:t>
      </w:r>
      <w:r w:rsidRPr="00A07F29">
        <w:rPr>
          <w:rFonts w:ascii="Times New Roman" w:eastAsia="Calibri" w:hAnsi="Times New Roman" w:cs="Times New Roman"/>
          <w:b/>
          <w:sz w:val="24"/>
          <w:szCs w:val="24"/>
        </w:rPr>
        <w:t xml:space="preserve">kalnu grīslis </w:t>
      </w:r>
      <w:proofErr w:type="spellStart"/>
      <w:r w:rsidRPr="00A07F29">
        <w:rPr>
          <w:rFonts w:ascii="Times New Roman" w:eastAsia="Calibri" w:hAnsi="Times New Roman" w:cs="Times New Roman"/>
          <w:b/>
          <w:i/>
          <w:sz w:val="24"/>
          <w:szCs w:val="24"/>
        </w:rPr>
        <w:t>Carex</w:t>
      </w:r>
      <w:proofErr w:type="spellEnd"/>
      <w:r w:rsidRPr="00A07F29">
        <w:rPr>
          <w:rFonts w:ascii="Times New Roman" w:eastAsia="Calibri" w:hAnsi="Times New Roman" w:cs="Times New Roman"/>
          <w:b/>
          <w:i/>
          <w:sz w:val="24"/>
          <w:szCs w:val="24"/>
        </w:rPr>
        <w:t xml:space="preserve"> </w:t>
      </w:r>
      <w:proofErr w:type="spellStart"/>
      <w:r w:rsidRPr="00A07F29">
        <w:rPr>
          <w:rFonts w:ascii="Times New Roman" w:eastAsia="Calibri" w:hAnsi="Times New Roman" w:cs="Times New Roman"/>
          <w:b/>
          <w:i/>
          <w:sz w:val="24"/>
          <w:szCs w:val="24"/>
        </w:rPr>
        <w:t>montana</w:t>
      </w:r>
      <w:proofErr w:type="spellEnd"/>
      <w:r w:rsidRPr="00A07F29">
        <w:rPr>
          <w:rFonts w:ascii="Times New Roman" w:eastAsia="Calibri" w:hAnsi="Times New Roman" w:cs="Times New Roman"/>
          <w:sz w:val="24"/>
          <w:szCs w:val="24"/>
        </w:rPr>
        <w:t xml:space="preserve"> AAA teritorijā vairākās vietās veido noturīgas populācijas un tieši nav apdraudētas. </w:t>
      </w:r>
    </w:p>
    <w:p w14:paraId="791BDF4C" w14:textId="79AADDAA" w:rsidR="002B1603" w:rsidRPr="00A07F29" w:rsidRDefault="002B1603" w:rsidP="00B649FD">
      <w:pPr>
        <w:spacing w:after="120" w:line="240" w:lineRule="auto"/>
        <w:ind w:firstLine="851"/>
        <w:jc w:val="both"/>
        <w:rPr>
          <w:rFonts w:ascii="Times New Roman" w:eastAsia="Calibri" w:hAnsi="Times New Roman" w:cs="Times New Roman"/>
          <w:sz w:val="24"/>
          <w:szCs w:val="24"/>
        </w:rPr>
      </w:pPr>
      <w:proofErr w:type="spellStart"/>
      <w:r w:rsidRPr="00A07F29">
        <w:rPr>
          <w:rFonts w:ascii="Times New Roman" w:eastAsia="Calibri" w:hAnsi="Times New Roman" w:cs="Times New Roman"/>
          <w:b/>
          <w:sz w:val="24"/>
          <w:szCs w:val="24"/>
        </w:rPr>
        <w:t>Skarbmatainā</w:t>
      </w:r>
      <w:proofErr w:type="spellEnd"/>
      <w:r w:rsidRPr="00A07F29">
        <w:rPr>
          <w:rFonts w:ascii="Times New Roman" w:eastAsia="Calibri" w:hAnsi="Times New Roman" w:cs="Times New Roman"/>
          <w:b/>
          <w:sz w:val="24"/>
          <w:szCs w:val="24"/>
        </w:rPr>
        <w:t xml:space="preserve"> kārvele </w:t>
      </w:r>
      <w:proofErr w:type="spellStart"/>
      <w:r w:rsidRPr="00A07F29">
        <w:rPr>
          <w:rFonts w:ascii="Times New Roman" w:eastAsia="Calibri" w:hAnsi="Times New Roman" w:cs="Times New Roman"/>
          <w:b/>
          <w:i/>
          <w:sz w:val="24"/>
          <w:szCs w:val="24"/>
        </w:rPr>
        <w:t>Chaerophyllum</w:t>
      </w:r>
      <w:proofErr w:type="spellEnd"/>
      <w:r w:rsidRPr="00A07F29">
        <w:rPr>
          <w:rFonts w:ascii="Times New Roman" w:eastAsia="Calibri" w:hAnsi="Times New Roman" w:cs="Times New Roman"/>
          <w:b/>
          <w:i/>
          <w:sz w:val="24"/>
          <w:szCs w:val="24"/>
        </w:rPr>
        <w:t xml:space="preserve"> </w:t>
      </w:r>
      <w:proofErr w:type="spellStart"/>
      <w:r w:rsidRPr="00A07F29">
        <w:rPr>
          <w:rFonts w:ascii="Times New Roman" w:eastAsia="Calibri" w:hAnsi="Times New Roman" w:cs="Times New Roman"/>
          <w:b/>
          <w:i/>
          <w:sz w:val="24"/>
          <w:szCs w:val="24"/>
        </w:rPr>
        <w:t>hirsutum</w:t>
      </w:r>
      <w:proofErr w:type="spellEnd"/>
      <w:r w:rsidRPr="00A07F29">
        <w:rPr>
          <w:rFonts w:ascii="Times New Roman" w:eastAsia="Calibri" w:hAnsi="Times New Roman" w:cs="Calibri"/>
          <w:sz w:val="24"/>
        </w:rPr>
        <w:t xml:space="preserve"> </w:t>
      </w:r>
      <w:r w:rsidR="00AA23F4" w:rsidRPr="00A07F29">
        <w:rPr>
          <w:rFonts w:ascii="Times New Roman" w:eastAsia="Calibri" w:hAnsi="Times New Roman" w:cs="Calibri"/>
          <w:sz w:val="24"/>
        </w:rPr>
        <w:t>(</w:t>
      </w:r>
      <w:r w:rsidR="00186634">
        <w:rPr>
          <w:rFonts w:ascii="Times New Roman" w:eastAsia="Calibri" w:hAnsi="Times New Roman" w:cs="Calibri"/>
          <w:sz w:val="24"/>
        </w:rPr>
        <w:t xml:space="preserve">skat. </w:t>
      </w:r>
      <w:r w:rsidR="00BF5EAB" w:rsidRPr="00A07F29">
        <w:rPr>
          <w:rFonts w:ascii="Times New Roman" w:eastAsia="Calibri" w:hAnsi="Times New Roman" w:cs="Times New Roman"/>
          <w:sz w:val="24"/>
          <w:szCs w:val="24"/>
        </w:rPr>
        <w:t>4.4.4.6.</w:t>
      </w:r>
      <w:r w:rsidR="00186634">
        <w:rPr>
          <w:rFonts w:ascii="Times New Roman" w:eastAsia="Calibri" w:hAnsi="Times New Roman" w:cs="Times New Roman"/>
          <w:sz w:val="24"/>
          <w:szCs w:val="24"/>
        </w:rPr>
        <w:t> </w:t>
      </w:r>
      <w:r w:rsidR="00BF5EAB" w:rsidRPr="00A07F29">
        <w:rPr>
          <w:rFonts w:ascii="Times New Roman" w:eastAsia="Calibri" w:hAnsi="Times New Roman" w:cs="Times New Roman"/>
          <w:sz w:val="24"/>
          <w:szCs w:val="24"/>
        </w:rPr>
        <w:t>att</w:t>
      </w:r>
      <w:r w:rsidR="00186634">
        <w:rPr>
          <w:rFonts w:ascii="Times New Roman" w:eastAsia="Calibri" w:hAnsi="Times New Roman" w:cs="Times New Roman"/>
          <w:sz w:val="24"/>
          <w:szCs w:val="24"/>
        </w:rPr>
        <w:t>ēls</w:t>
      </w:r>
      <w:r w:rsidR="00AA23F4" w:rsidRPr="00A07F29">
        <w:rPr>
          <w:rFonts w:ascii="Times New Roman" w:eastAsia="Calibri" w:hAnsi="Times New Roman" w:cs="Times New Roman"/>
          <w:sz w:val="24"/>
          <w:szCs w:val="24"/>
        </w:rPr>
        <w:t>)</w:t>
      </w:r>
      <w:r w:rsidR="00BF5EAB" w:rsidRPr="00A07F29">
        <w:rPr>
          <w:rFonts w:ascii="Times New Roman" w:eastAsia="Calibri" w:hAnsi="Times New Roman" w:cs="Calibri"/>
          <w:sz w:val="24"/>
        </w:rPr>
        <w:t xml:space="preserve"> </w:t>
      </w:r>
      <w:r w:rsidRPr="00A07F29">
        <w:rPr>
          <w:rFonts w:ascii="Times New Roman" w:eastAsia="Calibri" w:hAnsi="Times New Roman" w:cs="Calibri"/>
          <w:sz w:val="24"/>
        </w:rPr>
        <w:t xml:space="preserve">agrāk </w:t>
      </w:r>
      <w:r w:rsidR="00273EDA" w:rsidRPr="00A07F29">
        <w:rPr>
          <w:rFonts w:ascii="Times New Roman" w:eastAsia="Calibri" w:hAnsi="Times New Roman" w:cs="Calibri"/>
          <w:sz w:val="24"/>
        </w:rPr>
        <w:t xml:space="preserve">tikusi </w:t>
      </w:r>
      <w:r w:rsidRPr="00A07F29">
        <w:rPr>
          <w:rFonts w:ascii="Times New Roman" w:eastAsia="Calibri" w:hAnsi="Times New Roman" w:cs="Calibri"/>
          <w:sz w:val="24"/>
        </w:rPr>
        <w:t xml:space="preserve">kļūdaini </w:t>
      </w:r>
      <w:r w:rsidR="00273EDA" w:rsidRPr="00A07F29">
        <w:rPr>
          <w:rFonts w:ascii="Times New Roman" w:eastAsia="Calibri" w:hAnsi="Times New Roman" w:cs="Calibri"/>
          <w:sz w:val="24"/>
        </w:rPr>
        <w:t xml:space="preserve">lietota kā </w:t>
      </w:r>
      <w:r w:rsidR="00273EDA" w:rsidRPr="00A07F29">
        <w:rPr>
          <w:rFonts w:ascii="Times New Roman" w:eastAsia="Calibri" w:hAnsi="Times New Roman" w:cs="Times New Roman"/>
          <w:sz w:val="24"/>
          <w:szCs w:val="24"/>
        </w:rPr>
        <w:t xml:space="preserve">spožais </w:t>
      </w:r>
      <w:r w:rsidRPr="00A07F29">
        <w:rPr>
          <w:rFonts w:ascii="Times New Roman" w:eastAsia="Calibri" w:hAnsi="Times New Roman" w:cs="Times New Roman"/>
          <w:sz w:val="24"/>
          <w:szCs w:val="24"/>
        </w:rPr>
        <w:t xml:space="preserve">suņburkšķis </w:t>
      </w:r>
      <w:proofErr w:type="spellStart"/>
      <w:r w:rsidRPr="00A07F29">
        <w:rPr>
          <w:rFonts w:ascii="Times New Roman" w:eastAsia="Calibri" w:hAnsi="Times New Roman" w:cs="Times New Roman"/>
          <w:i/>
          <w:sz w:val="24"/>
          <w:szCs w:val="24"/>
        </w:rPr>
        <w:t>Anthriscus</w:t>
      </w:r>
      <w:proofErr w:type="spellEnd"/>
      <w:r w:rsidRPr="00A07F29">
        <w:rPr>
          <w:rFonts w:ascii="Times New Roman" w:eastAsia="Calibri" w:hAnsi="Times New Roman" w:cs="Times New Roman"/>
          <w:i/>
          <w:sz w:val="24"/>
          <w:szCs w:val="24"/>
        </w:rPr>
        <w:t xml:space="preserve"> </w:t>
      </w:r>
      <w:proofErr w:type="spellStart"/>
      <w:r w:rsidRPr="00A07F29">
        <w:rPr>
          <w:rFonts w:ascii="Times New Roman" w:eastAsia="Calibri" w:hAnsi="Times New Roman" w:cs="Times New Roman"/>
          <w:i/>
          <w:sz w:val="24"/>
          <w:szCs w:val="24"/>
        </w:rPr>
        <w:t>nitida</w:t>
      </w:r>
      <w:proofErr w:type="spellEnd"/>
      <w:r w:rsidR="00273EDA" w:rsidRPr="00A07F29">
        <w:rPr>
          <w:rFonts w:ascii="Times New Roman" w:eastAsia="Calibri" w:hAnsi="Times New Roman" w:cs="Times New Roman"/>
          <w:sz w:val="24"/>
          <w:szCs w:val="24"/>
        </w:rPr>
        <w:t xml:space="preserve">. </w:t>
      </w:r>
      <w:r w:rsidRPr="00A07F29">
        <w:rPr>
          <w:rFonts w:ascii="Times New Roman" w:eastAsia="Calibri" w:hAnsi="Times New Roman" w:cs="Times New Roman"/>
          <w:sz w:val="24"/>
          <w:szCs w:val="24"/>
        </w:rPr>
        <w:t xml:space="preserve">Līdz šim Latvijā ievāktie un par spožo suņburkšķi </w:t>
      </w:r>
      <w:proofErr w:type="spellStart"/>
      <w:r w:rsidRPr="00A07F29">
        <w:rPr>
          <w:rFonts w:ascii="Times New Roman" w:eastAsia="Calibri" w:hAnsi="Times New Roman" w:cs="Times New Roman"/>
          <w:i/>
          <w:sz w:val="24"/>
          <w:szCs w:val="24"/>
        </w:rPr>
        <w:t>Anthriscus</w:t>
      </w:r>
      <w:proofErr w:type="spellEnd"/>
      <w:r w:rsidRPr="00A07F29">
        <w:rPr>
          <w:rFonts w:ascii="Times New Roman" w:eastAsia="Calibri" w:hAnsi="Times New Roman" w:cs="Times New Roman"/>
          <w:i/>
          <w:sz w:val="24"/>
          <w:szCs w:val="24"/>
        </w:rPr>
        <w:t xml:space="preserve"> </w:t>
      </w:r>
      <w:proofErr w:type="spellStart"/>
      <w:r w:rsidRPr="00A07F29">
        <w:rPr>
          <w:rFonts w:ascii="Times New Roman" w:eastAsia="Calibri" w:hAnsi="Times New Roman" w:cs="Times New Roman"/>
          <w:i/>
          <w:sz w:val="24"/>
          <w:szCs w:val="24"/>
        </w:rPr>
        <w:t>nitida</w:t>
      </w:r>
      <w:proofErr w:type="spellEnd"/>
      <w:r w:rsidRPr="00A07F29">
        <w:rPr>
          <w:rFonts w:ascii="Times New Roman" w:eastAsia="Calibri" w:hAnsi="Times New Roman" w:cs="Times New Roman"/>
          <w:sz w:val="24"/>
          <w:szCs w:val="24"/>
        </w:rPr>
        <w:t xml:space="preserve"> uzskatītie augi ir </w:t>
      </w:r>
      <w:proofErr w:type="spellStart"/>
      <w:r w:rsidRPr="00A07F29">
        <w:rPr>
          <w:rFonts w:ascii="Times New Roman" w:eastAsia="Calibri" w:hAnsi="Times New Roman" w:cs="Times New Roman"/>
          <w:sz w:val="24"/>
          <w:szCs w:val="24"/>
        </w:rPr>
        <w:t>skarbmatainā</w:t>
      </w:r>
      <w:proofErr w:type="spellEnd"/>
      <w:r w:rsidRPr="00A07F29">
        <w:rPr>
          <w:rFonts w:ascii="Times New Roman" w:eastAsia="Calibri" w:hAnsi="Times New Roman" w:cs="Times New Roman"/>
          <w:sz w:val="24"/>
          <w:szCs w:val="24"/>
        </w:rPr>
        <w:t xml:space="preserve"> kārvele </w:t>
      </w:r>
      <w:proofErr w:type="spellStart"/>
      <w:r w:rsidRPr="00A07F29">
        <w:rPr>
          <w:rFonts w:ascii="Times New Roman" w:eastAsia="Calibri" w:hAnsi="Times New Roman" w:cs="Times New Roman"/>
          <w:i/>
          <w:sz w:val="24"/>
          <w:szCs w:val="24"/>
        </w:rPr>
        <w:t>Chaerophyllum</w:t>
      </w:r>
      <w:proofErr w:type="spellEnd"/>
      <w:r w:rsidRPr="00A07F29">
        <w:rPr>
          <w:rFonts w:ascii="Times New Roman" w:eastAsia="Calibri" w:hAnsi="Times New Roman" w:cs="Times New Roman"/>
          <w:i/>
          <w:sz w:val="24"/>
          <w:szCs w:val="24"/>
        </w:rPr>
        <w:t xml:space="preserve"> </w:t>
      </w:r>
      <w:proofErr w:type="spellStart"/>
      <w:r w:rsidRPr="00A07F29">
        <w:rPr>
          <w:rFonts w:ascii="Times New Roman" w:eastAsia="Calibri" w:hAnsi="Times New Roman" w:cs="Times New Roman"/>
          <w:i/>
          <w:sz w:val="24"/>
          <w:szCs w:val="24"/>
        </w:rPr>
        <w:t>hirsutum</w:t>
      </w:r>
      <w:proofErr w:type="spellEnd"/>
      <w:r w:rsidRPr="00A07F29">
        <w:rPr>
          <w:rFonts w:ascii="Times New Roman" w:eastAsia="Calibri" w:hAnsi="Times New Roman" w:cs="Times New Roman"/>
          <w:sz w:val="24"/>
          <w:szCs w:val="24"/>
        </w:rPr>
        <w:t>. Pirmo herbāriju 1976.</w:t>
      </w:r>
      <w:r w:rsidR="00ED10AE">
        <w:rPr>
          <w:rFonts w:ascii="Times New Roman" w:eastAsia="Calibri" w:hAnsi="Times New Roman" w:cs="Times New Roman"/>
          <w:sz w:val="24"/>
          <w:szCs w:val="24"/>
        </w:rPr>
        <w:t> </w:t>
      </w:r>
      <w:r w:rsidRPr="00A07F29">
        <w:rPr>
          <w:rFonts w:ascii="Times New Roman" w:eastAsia="Calibri" w:hAnsi="Times New Roman" w:cs="Times New Roman"/>
          <w:sz w:val="24"/>
          <w:szCs w:val="24"/>
        </w:rPr>
        <w:t>gadā Daugavas ielejā starp Daugavpili un Krāslavu ievākusi Z.</w:t>
      </w:r>
      <w:r w:rsidR="00ED10AE">
        <w:rPr>
          <w:rFonts w:ascii="Times New Roman" w:eastAsia="Calibri" w:hAnsi="Times New Roman" w:cs="Times New Roman"/>
          <w:sz w:val="24"/>
          <w:szCs w:val="24"/>
        </w:rPr>
        <w:t> </w:t>
      </w:r>
      <w:proofErr w:type="spellStart"/>
      <w:r w:rsidR="00A16988">
        <w:rPr>
          <w:rFonts w:ascii="Times New Roman" w:eastAsia="Calibri" w:hAnsi="Times New Roman" w:cs="Times New Roman"/>
          <w:sz w:val="24"/>
          <w:szCs w:val="24"/>
        </w:rPr>
        <w:t>Šlangena</w:t>
      </w:r>
      <w:proofErr w:type="spellEnd"/>
      <w:r w:rsidR="00A16988">
        <w:rPr>
          <w:rFonts w:ascii="Times New Roman" w:eastAsia="Calibri" w:hAnsi="Times New Roman" w:cs="Times New Roman"/>
          <w:sz w:val="24"/>
          <w:szCs w:val="24"/>
        </w:rPr>
        <w:t xml:space="preserve"> (LU Bioloģijas Institūta herbārijs)</w:t>
      </w:r>
      <w:r w:rsidRPr="00A07F29">
        <w:rPr>
          <w:rFonts w:ascii="Times New Roman" w:eastAsia="Calibri" w:hAnsi="Times New Roman" w:cs="Times New Roman"/>
          <w:sz w:val="24"/>
          <w:szCs w:val="24"/>
        </w:rPr>
        <w:t xml:space="preserve"> un tos kļūdaini kā spožo suņburkšķi noteicis prof. Tihomirovs (Ļeņingradas Botānikas institūts). </w:t>
      </w:r>
      <w:r w:rsidR="00273EDA" w:rsidRPr="00A07F29">
        <w:rPr>
          <w:rFonts w:ascii="Times New Roman" w:eastAsia="Calibri" w:hAnsi="Times New Roman" w:cs="Times New Roman"/>
          <w:sz w:val="24"/>
          <w:szCs w:val="24"/>
        </w:rPr>
        <w:t>Kopš 1976.</w:t>
      </w:r>
      <w:r w:rsidR="004B6BBC">
        <w:rPr>
          <w:rFonts w:ascii="Times New Roman" w:eastAsia="Calibri" w:hAnsi="Times New Roman" w:cs="Times New Roman"/>
          <w:sz w:val="24"/>
          <w:szCs w:val="24"/>
        </w:rPr>
        <w:t> </w:t>
      </w:r>
      <w:r w:rsidR="00273EDA" w:rsidRPr="00A07F29">
        <w:rPr>
          <w:rFonts w:ascii="Times New Roman" w:eastAsia="Calibri" w:hAnsi="Times New Roman" w:cs="Times New Roman"/>
          <w:sz w:val="24"/>
          <w:szCs w:val="24"/>
        </w:rPr>
        <w:t>gada šī kļūda diemžēl parādās visos floras sarakstos un publikācijās, tostarp L</w:t>
      </w:r>
      <w:r w:rsidR="004B6BBC">
        <w:rPr>
          <w:rFonts w:ascii="Times New Roman" w:eastAsia="Calibri" w:hAnsi="Times New Roman" w:cs="Times New Roman"/>
          <w:sz w:val="24"/>
          <w:szCs w:val="24"/>
        </w:rPr>
        <w:t xml:space="preserve">atvijas </w:t>
      </w:r>
      <w:r w:rsidR="00273EDA" w:rsidRPr="00A07F29">
        <w:rPr>
          <w:rFonts w:ascii="Times New Roman" w:eastAsia="Calibri" w:hAnsi="Times New Roman" w:cs="Times New Roman"/>
          <w:sz w:val="24"/>
          <w:szCs w:val="24"/>
        </w:rPr>
        <w:t>S</w:t>
      </w:r>
      <w:r w:rsidR="004B6BBC">
        <w:rPr>
          <w:rFonts w:ascii="Times New Roman" w:eastAsia="Calibri" w:hAnsi="Times New Roman" w:cs="Times New Roman"/>
          <w:sz w:val="24"/>
          <w:szCs w:val="24"/>
        </w:rPr>
        <w:t>arkanajā grāmatā</w:t>
      </w:r>
      <w:r w:rsidR="00273EDA" w:rsidRPr="00A07F29">
        <w:rPr>
          <w:rFonts w:ascii="Times New Roman" w:eastAsia="Calibri" w:hAnsi="Times New Roman" w:cs="Times New Roman"/>
          <w:sz w:val="24"/>
          <w:szCs w:val="24"/>
        </w:rPr>
        <w:t xml:space="preserve"> (</w:t>
      </w:r>
      <w:r w:rsidR="006E7062">
        <w:rPr>
          <w:rFonts w:ascii="Times New Roman" w:eastAsia="Calibri" w:hAnsi="Times New Roman" w:cs="Times New Roman"/>
          <w:sz w:val="24"/>
          <w:szCs w:val="24"/>
        </w:rPr>
        <w:t>Baroniņa</w:t>
      </w:r>
      <w:r w:rsidR="00B17B37">
        <w:rPr>
          <w:rFonts w:ascii="Times New Roman" w:eastAsia="Calibri" w:hAnsi="Times New Roman" w:cs="Times New Roman"/>
          <w:sz w:val="24"/>
          <w:szCs w:val="24"/>
        </w:rPr>
        <w:t xml:space="preserve"> V.,</w:t>
      </w:r>
      <w:r w:rsidR="00965264">
        <w:rPr>
          <w:rFonts w:ascii="Times New Roman" w:eastAsia="Calibri" w:hAnsi="Times New Roman" w:cs="Times New Roman"/>
          <w:sz w:val="24"/>
          <w:szCs w:val="24"/>
        </w:rPr>
        <w:t xml:space="preserve"> </w:t>
      </w:r>
      <w:proofErr w:type="spellStart"/>
      <w:r w:rsidR="00965264">
        <w:rPr>
          <w:rFonts w:ascii="Times New Roman" w:eastAsia="Calibri" w:hAnsi="Times New Roman" w:cs="Times New Roman"/>
          <w:sz w:val="24"/>
          <w:szCs w:val="24"/>
        </w:rPr>
        <w:t>et</w:t>
      </w:r>
      <w:proofErr w:type="spellEnd"/>
      <w:r w:rsidR="00965264">
        <w:rPr>
          <w:rFonts w:ascii="Times New Roman" w:eastAsia="Calibri" w:hAnsi="Times New Roman" w:cs="Times New Roman"/>
          <w:sz w:val="24"/>
          <w:szCs w:val="24"/>
        </w:rPr>
        <w:t xml:space="preserve"> </w:t>
      </w:r>
      <w:proofErr w:type="spellStart"/>
      <w:r w:rsidR="00965264">
        <w:rPr>
          <w:rFonts w:ascii="Times New Roman" w:eastAsia="Calibri" w:hAnsi="Times New Roman" w:cs="Times New Roman"/>
          <w:sz w:val="24"/>
          <w:szCs w:val="24"/>
        </w:rPr>
        <w:t>al</w:t>
      </w:r>
      <w:proofErr w:type="spellEnd"/>
      <w:r w:rsidR="00965264">
        <w:rPr>
          <w:rFonts w:ascii="Times New Roman" w:eastAsia="Calibri" w:hAnsi="Times New Roman" w:cs="Times New Roman"/>
          <w:sz w:val="24"/>
          <w:szCs w:val="24"/>
        </w:rPr>
        <w:t>.</w:t>
      </w:r>
      <w:r w:rsidR="00273EDA" w:rsidRPr="00A07F29">
        <w:rPr>
          <w:rFonts w:ascii="Times New Roman" w:eastAsia="Calibri" w:hAnsi="Times New Roman" w:cs="Times New Roman"/>
          <w:sz w:val="24"/>
          <w:szCs w:val="24"/>
        </w:rPr>
        <w:t xml:space="preserve">, 2003), kā </w:t>
      </w:r>
      <w:r w:rsidR="00273EDA" w:rsidRPr="00604EB3">
        <w:rPr>
          <w:rFonts w:ascii="Times New Roman" w:eastAsia="Calibri" w:hAnsi="Times New Roman" w:cs="Times New Roman"/>
          <w:sz w:val="24"/>
          <w:szCs w:val="24"/>
        </w:rPr>
        <w:t>arī īpaši aizsargājamo</w:t>
      </w:r>
      <w:r w:rsidR="00273EDA" w:rsidRPr="00A07F29">
        <w:rPr>
          <w:rFonts w:ascii="Times New Roman" w:eastAsia="Calibri" w:hAnsi="Times New Roman" w:cs="Times New Roman"/>
          <w:sz w:val="24"/>
          <w:szCs w:val="24"/>
        </w:rPr>
        <w:t xml:space="preserve"> sugu sarakstos (Baroniņa</w:t>
      </w:r>
      <w:r w:rsidR="0041631A">
        <w:rPr>
          <w:rFonts w:ascii="Times New Roman" w:eastAsia="Calibri" w:hAnsi="Times New Roman" w:cs="Times New Roman"/>
          <w:sz w:val="24"/>
          <w:szCs w:val="24"/>
        </w:rPr>
        <w:t xml:space="preserve"> V.,</w:t>
      </w:r>
      <w:r w:rsidR="00273EDA" w:rsidRPr="00A07F29">
        <w:rPr>
          <w:rFonts w:ascii="Times New Roman" w:eastAsia="Calibri" w:hAnsi="Times New Roman" w:cs="Times New Roman"/>
          <w:sz w:val="24"/>
          <w:szCs w:val="24"/>
        </w:rPr>
        <w:t xml:space="preserve"> 2015). </w:t>
      </w:r>
      <w:r w:rsidRPr="00A07F29">
        <w:rPr>
          <w:rFonts w:ascii="Times New Roman" w:eastAsia="Calibri" w:hAnsi="Times New Roman" w:cs="Times New Roman"/>
          <w:sz w:val="24"/>
          <w:szCs w:val="24"/>
        </w:rPr>
        <w:t>2015.</w:t>
      </w:r>
      <w:r w:rsidR="0041631A">
        <w:rPr>
          <w:rFonts w:ascii="Times New Roman" w:eastAsia="Calibri" w:hAnsi="Times New Roman" w:cs="Times New Roman"/>
          <w:sz w:val="24"/>
          <w:szCs w:val="24"/>
        </w:rPr>
        <w:t> </w:t>
      </w:r>
      <w:r w:rsidRPr="00A07F29">
        <w:rPr>
          <w:rFonts w:ascii="Times New Roman" w:eastAsia="Calibri" w:hAnsi="Times New Roman" w:cs="Times New Roman"/>
          <w:sz w:val="24"/>
          <w:szCs w:val="24"/>
        </w:rPr>
        <w:t>gada sākumā P.</w:t>
      </w:r>
      <w:r w:rsidR="0041631A">
        <w:rPr>
          <w:rFonts w:ascii="Times New Roman" w:eastAsia="Calibri" w:hAnsi="Times New Roman" w:cs="Times New Roman"/>
          <w:sz w:val="24"/>
          <w:szCs w:val="24"/>
        </w:rPr>
        <w:t> </w:t>
      </w:r>
      <w:proofErr w:type="spellStart"/>
      <w:r w:rsidRPr="00A07F29">
        <w:rPr>
          <w:rFonts w:ascii="Times New Roman" w:eastAsia="Calibri" w:hAnsi="Times New Roman" w:cs="Times New Roman"/>
          <w:sz w:val="24"/>
          <w:szCs w:val="24"/>
        </w:rPr>
        <w:t>Evarts-Bunders</w:t>
      </w:r>
      <w:proofErr w:type="spellEnd"/>
      <w:r w:rsidRPr="00A07F29">
        <w:rPr>
          <w:rFonts w:ascii="Times New Roman" w:eastAsia="Calibri" w:hAnsi="Times New Roman" w:cs="Times New Roman"/>
          <w:sz w:val="24"/>
          <w:szCs w:val="24"/>
        </w:rPr>
        <w:t xml:space="preserve"> revidējis DU</w:t>
      </w:r>
      <w:r w:rsidR="00A16988">
        <w:rPr>
          <w:rFonts w:ascii="Times New Roman" w:eastAsia="Calibri" w:hAnsi="Times New Roman" w:cs="Times New Roman"/>
          <w:sz w:val="24"/>
          <w:szCs w:val="24"/>
        </w:rPr>
        <w:t xml:space="preserve"> herbāriju un LU Bioloģijas Institūta </w:t>
      </w:r>
      <w:r w:rsidRPr="00A07F29">
        <w:rPr>
          <w:rFonts w:ascii="Times New Roman" w:eastAsia="Calibri" w:hAnsi="Times New Roman" w:cs="Times New Roman"/>
          <w:sz w:val="24"/>
          <w:szCs w:val="24"/>
        </w:rPr>
        <w:t xml:space="preserve">herbāriju un konstatēts, ka arī tur visi par spožo suņburkšķi noteiktie eksemplāri atzīstami par </w:t>
      </w:r>
      <w:proofErr w:type="spellStart"/>
      <w:r w:rsidRPr="00A07F29">
        <w:rPr>
          <w:rFonts w:ascii="Times New Roman" w:eastAsia="Calibri" w:hAnsi="Times New Roman" w:cs="Times New Roman"/>
          <w:sz w:val="24"/>
          <w:szCs w:val="24"/>
        </w:rPr>
        <w:t>skarbmataino</w:t>
      </w:r>
      <w:proofErr w:type="spellEnd"/>
      <w:r w:rsidRPr="00A07F29">
        <w:rPr>
          <w:rFonts w:ascii="Times New Roman" w:eastAsia="Calibri" w:hAnsi="Times New Roman" w:cs="Times New Roman"/>
          <w:sz w:val="24"/>
          <w:szCs w:val="24"/>
        </w:rPr>
        <w:t xml:space="preserve"> kārveli</w:t>
      </w:r>
      <w:r w:rsidR="00273EDA" w:rsidRPr="00A07F29">
        <w:rPr>
          <w:rFonts w:ascii="Times New Roman" w:eastAsia="Calibri" w:hAnsi="Times New Roman" w:cs="Times New Roman"/>
          <w:sz w:val="24"/>
          <w:szCs w:val="24"/>
        </w:rPr>
        <w:t xml:space="preserve"> </w:t>
      </w:r>
      <w:r w:rsidRPr="00A07F29">
        <w:rPr>
          <w:rFonts w:ascii="Times New Roman" w:eastAsia="Calibri" w:hAnsi="Times New Roman" w:cs="Times New Roman"/>
          <w:sz w:val="24"/>
          <w:szCs w:val="24"/>
        </w:rPr>
        <w:t>(</w:t>
      </w:r>
      <w:proofErr w:type="spellStart"/>
      <w:r w:rsidRPr="00A07F29">
        <w:rPr>
          <w:rFonts w:ascii="Times New Roman" w:eastAsia="Calibri" w:hAnsi="Times New Roman" w:cs="Times New Roman"/>
          <w:sz w:val="24"/>
          <w:szCs w:val="24"/>
        </w:rPr>
        <w:t>Evarts-Bunders</w:t>
      </w:r>
      <w:proofErr w:type="spellEnd"/>
      <w:r w:rsidR="009E6678">
        <w:rPr>
          <w:rFonts w:ascii="Times New Roman" w:eastAsia="Calibri" w:hAnsi="Times New Roman" w:cs="Times New Roman"/>
          <w:sz w:val="24"/>
          <w:szCs w:val="24"/>
        </w:rPr>
        <w:t xml:space="preserve"> P.,</w:t>
      </w:r>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Evarte-Bundere</w:t>
      </w:r>
      <w:proofErr w:type="spellEnd"/>
      <w:r w:rsidR="009E6678">
        <w:rPr>
          <w:rFonts w:ascii="Times New Roman" w:eastAsia="Calibri" w:hAnsi="Times New Roman" w:cs="Times New Roman"/>
          <w:sz w:val="24"/>
          <w:szCs w:val="24"/>
        </w:rPr>
        <w:t xml:space="preserve"> G.,</w:t>
      </w:r>
      <w:r w:rsidRPr="00A07F29">
        <w:rPr>
          <w:rFonts w:ascii="Times New Roman" w:eastAsia="Calibri" w:hAnsi="Times New Roman" w:cs="Times New Roman"/>
          <w:sz w:val="24"/>
          <w:szCs w:val="24"/>
        </w:rPr>
        <w:t xml:space="preserve"> 2018). AAA “Augšdaugava” teritorijā pēc </w:t>
      </w:r>
      <w:r w:rsidRPr="00484DE9">
        <w:rPr>
          <w:rFonts w:ascii="Times New Roman" w:eastAsia="Calibri" w:hAnsi="Times New Roman" w:cs="Times New Roman"/>
          <w:sz w:val="24"/>
          <w:szCs w:val="24"/>
        </w:rPr>
        <w:t>D</w:t>
      </w:r>
      <w:r w:rsidR="00484DE9" w:rsidRPr="00484DE9">
        <w:rPr>
          <w:rFonts w:ascii="Times New Roman" w:eastAsia="Calibri" w:hAnsi="Times New Roman" w:cs="Times New Roman"/>
          <w:sz w:val="24"/>
          <w:szCs w:val="24"/>
        </w:rPr>
        <w:t>U</w:t>
      </w:r>
      <w:r w:rsidRPr="00A07F29">
        <w:rPr>
          <w:rFonts w:ascii="Times New Roman" w:eastAsia="Calibri" w:hAnsi="Times New Roman" w:cs="Times New Roman"/>
          <w:sz w:val="24"/>
          <w:szCs w:val="24"/>
        </w:rPr>
        <w:t xml:space="preserve"> Botānikas laboratorijas pētījumiem, </w:t>
      </w:r>
      <w:r w:rsidRPr="00A07F29">
        <w:rPr>
          <w:rFonts w:ascii="Times New Roman" w:eastAsia="Calibri" w:hAnsi="Times New Roman" w:cs="Times New Roman"/>
          <w:i/>
          <w:sz w:val="24"/>
          <w:szCs w:val="24"/>
        </w:rPr>
        <w:t>Dabas skaitīšanas</w:t>
      </w:r>
      <w:r w:rsidRPr="00A07F29">
        <w:rPr>
          <w:rFonts w:ascii="Times New Roman" w:eastAsia="Calibri" w:hAnsi="Times New Roman" w:cs="Times New Roman"/>
          <w:sz w:val="24"/>
          <w:szCs w:val="24"/>
        </w:rPr>
        <w:t xml:space="preserve"> un </w:t>
      </w:r>
      <w:r w:rsidR="00E209E3" w:rsidRPr="00A07F29">
        <w:rPr>
          <w:rFonts w:ascii="Times New Roman" w:eastAsia="Calibri" w:hAnsi="Times New Roman" w:cs="Times New Roman"/>
          <w:sz w:val="24"/>
          <w:szCs w:val="24"/>
        </w:rPr>
        <w:t xml:space="preserve">DA plāna </w:t>
      </w:r>
      <w:r w:rsidRPr="00A07F29">
        <w:rPr>
          <w:rFonts w:ascii="Times New Roman" w:eastAsia="Calibri" w:hAnsi="Times New Roman" w:cs="Times New Roman"/>
          <w:sz w:val="24"/>
          <w:szCs w:val="24"/>
        </w:rPr>
        <w:t xml:space="preserve">izstrādes gaitā atklātas daudzas jaunas, bagātīgas šīs sugas atradnes. </w:t>
      </w:r>
      <w:r w:rsidR="00AA23F4" w:rsidRPr="00A07F29">
        <w:rPr>
          <w:rFonts w:ascii="Times New Roman" w:eastAsia="Calibri" w:hAnsi="Times New Roman" w:cs="Times New Roman"/>
          <w:sz w:val="24"/>
          <w:szCs w:val="24"/>
        </w:rPr>
        <w:t>Šo sugu potenciāli apdraud p</w:t>
      </w:r>
      <w:r w:rsidRPr="00A07F29">
        <w:rPr>
          <w:rFonts w:ascii="Times New Roman" w:eastAsia="Calibri" w:hAnsi="Times New Roman" w:cs="Times New Roman"/>
          <w:sz w:val="24"/>
          <w:szCs w:val="24"/>
        </w:rPr>
        <w:t xml:space="preserve">alienes </w:t>
      </w:r>
      <w:proofErr w:type="spellStart"/>
      <w:r w:rsidRPr="00A07F29">
        <w:rPr>
          <w:rFonts w:ascii="Times New Roman" w:eastAsia="Calibri" w:hAnsi="Times New Roman" w:cs="Times New Roman"/>
          <w:sz w:val="24"/>
          <w:szCs w:val="24"/>
        </w:rPr>
        <w:t>baltalksnāju</w:t>
      </w:r>
      <w:proofErr w:type="spellEnd"/>
      <w:r w:rsidRPr="00A07F29">
        <w:rPr>
          <w:rFonts w:ascii="Times New Roman" w:eastAsia="Calibri" w:hAnsi="Times New Roman" w:cs="Times New Roman"/>
          <w:sz w:val="24"/>
          <w:szCs w:val="24"/>
        </w:rPr>
        <w:t xml:space="preserve"> izciršana un zemes </w:t>
      </w:r>
      <w:r w:rsidR="00AA23F4" w:rsidRPr="00A07F29">
        <w:rPr>
          <w:rFonts w:ascii="Times New Roman" w:eastAsia="Calibri" w:hAnsi="Times New Roman" w:cs="Times New Roman"/>
          <w:sz w:val="24"/>
          <w:szCs w:val="24"/>
        </w:rPr>
        <w:t>transformācija</w:t>
      </w:r>
      <w:r w:rsidRPr="00A07F29">
        <w:rPr>
          <w:rFonts w:ascii="Times New Roman" w:eastAsia="Calibri" w:hAnsi="Times New Roman" w:cs="Times New Roman"/>
          <w:sz w:val="24"/>
          <w:szCs w:val="24"/>
        </w:rPr>
        <w:t xml:space="preserve">, </w:t>
      </w:r>
      <w:r w:rsidR="00AA23F4" w:rsidRPr="00A07F29">
        <w:rPr>
          <w:rFonts w:ascii="Times New Roman" w:eastAsia="Calibri" w:hAnsi="Times New Roman" w:cs="Times New Roman"/>
          <w:sz w:val="24"/>
          <w:szCs w:val="24"/>
        </w:rPr>
        <w:t xml:space="preserve">kā arī </w:t>
      </w:r>
      <w:r w:rsidRPr="00A07F29">
        <w:rPr>
          <w:rFonts w:ascii="Times New Roman" w:eastAsia="Calibri" w:hAnsi="Times New Roman" w:cs="Times New Roman"/>
          <w:sz w:val="24"/>
          <w:szCs w:val="24"/>
        </w:rPr>
        <w:t>upes līmeņa paaugstināšana.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6"/>
        <w:gridCol w:w="2438"/>
      </w:tblGrid>
      <w:tr w:rsidR="00AA23F4" w:rsidRPr="00A07F29" w14:paraId="69130252" w14:textId="77777777" w:rsidTr="63C42FA1">
        <w:tc>
          <w:tcPr>
            <w:tcW w:w="4785" w:type="dxa"/>
          </w:tcPr>
          <w:p w14:paraId="3115A7C6" w14:textId="4EBDF888" w:rsidR="00AA23F4" w:rsidRPr="00A07F29" w:rsidRDefault="00AA23F4" w:rsidP="00B649FD">
            <w:pPr>
              <w:spacing w:after="120"/>
              <w:jc w:val="both"/>
              <w:rPr>
                <w:rFonts w:ascii="Times New Roman" w:eastAsia="Calibri" w:hAnsi="Times New Roman" w:cs="Times New Roman"/>
                <w:sz w:val="24"/>
                <w:szCs w:val="24"/>
              </w:rPr>
            </w:pPr>
            <w:r w:rsidRPr="00A07F29">
              <w:rPr>
                <w:noProof/>
                <w:lang w:eastAsia="lv-LV"/>
              </w:rPr>
              <w:drawing>
                <wp:inline distT="0" distB="0" distL="0" distR="0" wp14:anchorId="68F44741" wp14:editId="5534D3BE">
                  <wp:extent cx="4254666" cy="2394544"/>
                  <wp:effectExtent l="0" t="0" r="0" b="6350"/>
                  <wp:docPr id="5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61">
                            <a:extLst>
                              <a:ext uri="{28A0092B-C50C-407E-A947-70E740481C1C}">
                                <a14:useLocalDpi xmlns:a14="http://schemas.microsoft.com/office/drawing/2010/main"/>
                              </a:ext>
                            </a:extLst>
                          </a:blip>
                          <a:stretch>
                            <a:fillRect/>
                          </a:stretch>
                        </pic:blipFill>
                        <pic:spPr>
                          <a:xfrm>
                            <a:off x="0" y="0"/>
                            <a:ext cx="4254666" cy="2394544"/>
                          </a:xfrm>
                          <a:prstGeom prst="rect">
                            <a:avLst/>
                          </a:prstGeom>
                        </pic:spPr>
                      </pic:pic>
                    </a:graphicData>
                  </a:graphic>
                </wp:inline>
              </w:drawing>
            </w:r>
          </w:p>
        </w:tc>
        <w:tc>
          <w:tcPr>
            <w:tcW w:w="4785" w:type="dxa"/>
          </w:tcPr>
          <w:p w14:paraId="04306529" w14:textId="77777777" w:rsidR="00AA23F4" w:rsidRPr="00A07F29" w:rsidRDefault="00AA23F4" w:rsidP="008366E0">
            <w:pPr>
              <w:jc w:val="both"/>
              <w:rPr>
                <w:rFonts w:ascii="Times New Roman" w:eastAsia="Calibri" w:hAnsi="Times New Roman" w:cs="Times New Roman"/>
              </w:rPr>
            </w:pPr>
          </w:p>
          <w:p w14:paraId="633400F9" w14:textId="1DD61285" w:rsidR="00AA23F4" w:rsidRPr="00A07F29" w:rsidRDefault="00AA23F4" w:rsidP="008366E0">
            <w:pPr>
              <w:jc w:val="both"/>
              <w:rPr>
                <w:rFonts w:ascii="Times New Roman" w:eastAsia="Calibri" w:hAnsi="Times New Roman" w:cs="Times New Roman"/>
              </w:rPr>
            </w:pPr>
          </w:p>
          <w:p w14:paraId="389141E6" w14:textId="46736AD7" w:rsidR="008366E0" w:rsidRPr="00A07F29" w:rsidRDefault="008366E0" w:rsidP="008366E0">
            <w:pPr>
              <w:jc w:val="both"/>
              <w:rPr>
                <w:rFonts w:ascii="Times New Roman" w:eastAsia="Calibri" w:hAnsi="Times New Roman" w:cs="Times New Roman"/>
              </w:rPr>
            </w:pPr>
          </w:p>
          <w:p w14:paraId="54D6955E" w14:textId="4CBAD2B6" w:rsidR="008366E0" w:rsidRPr="00A07F29" w:rsidRDefault="008366E0" w:rsidP="008366E0">
            <w:pPr>
              <w:jc w:val="both"/>
              <w:rPr>
                <w:rFonts w:ascii="Times New Roman" w:eastAsia="Calibri" w:hAnsi="Times New Roman" w:cs="Times New Roman"/>
              </w:rPr>
            </w:pPr>
          </w:p>
          <w:p w14:paraId="36326589" w14:textId="6C8397E2" w:rsidR="008366E0" w:rsidRPr="00A07F29" w:rsidRDefault="008366E0" w:rsidP="008366E0">
            <w:pPr>
              <w:jc w:val="both"/>
              <w:rPr>
                <w:rFonts w:ascii="Times New Roman" w:eastAsia="Calibri" w:hAnsi="Times New Roman" w:cs="Times New Roman"/>
              </w:rPr>
            </w:pPr>
          </w:p>
          <w:p w14:paraId="0F6699C3" w14:textId="4FCC1064" w:rsidR="008366E0" w:rsidRPr="00A07F29" w:rsidRDefault="008366E0" w:rsidP="008366E0">
            <w:pPr>
              <w:jc w:val="both"/>
              <w:rPr>
                <w:rFonts w:ascii="Times New Roman" w:eastAsia="Calibri" w:hAnsi="Times New Roman" w:cs="Times New Roman"/>
              </w:rPr>
            </w:pPr>
          </w:p>
          <w:p w14:paraId="629DA0EC" w14:textId="77777777" w:rsidR="008366E0" w:rsidRPr="00A07F29" w:rsidRDefault="008366E0" w:rsidP="008366E0">
            <w:pPr>
              <w:jc w:val="both"/>
              <w:rPr>
                <w:rFonts w:ascii="Times New Roman" w:eastAsia="Calibri" w:hAnsi="Times New Roman" w:cs="Times New Roman"/>
              </w:rPr>
            </w:pPr>
          </w:p>
          <w:p w14:paraId="26D2339E" w14:textId="1B7B6AB5" w:rsidR="00AA23F4" w:rsidRPr="00B6695C" w:rsidRDefault="00AA23F4" w:rsidP="00D04A30">
            <w:pPr>
              <w:jc w:val="both"/>
              <w:rPr>
                <w:rFonts w:ascii="Times New Roman" w:eastAsia="Calibri" w:hAnsi="Times New Roman" w:cs="Times New Roman"/>
                <w:sz w:val="20"/>
                <w:szCs w:val="20"/>
              </w:rPr>
            </w:pPr>
            <w:r w:rsidRPr="00B6695C">
              <w:rPr>
                <w:rFonts w:ascii="Times New Roman" w:eastAsia="Calibri" w:hAnsi="Times New Roman" w:cs="Times New Roman"/>
                <w:sz w:val="20"/>
                <w:szCs w:val="20"/>
              </w:rPr>
              <w:t>4.4.4.6.</w:t>
            </w:r>
            <w:r w:rsidR="00D04A30" w:rsidRPr="00B6695C">
              <w:rPr>
                <w:rFonts w:ascii="Times New Roman" w:eastAsia="Calibri" w:hAnsi="Times New Roman" w:cs="Times New Roman"/>
                <w:sz w:val="20"/>
                <w:szCs w:val="20"/>
              </w:rPr>
              <w:t> </w:t>
            </w:r>
            <w:r w:rsidRPr="00B6695C">
              <w:rPr>
                <w:rFonts w:ascii="Times New Roman" w:eastAsia="Calibri" w:hAnsi="Times New Roman" w:cs="Times New Roman"/>
                <w:sz w:val="20"/>
                <w:szCs w:val="20"/>
              </w:rPr>
              <w:t>att</w:t>
            </w:r>
            <w:r w:rsidR="00040622" w:rsidRPr="00B6695C">
              <w:rPr>
                <w:rFonts w:ascii="Times New Roman" w:eastAsia="Calibri" w:hAnsi="Times New Roman" w:cs="Times New Roman"/>
                <w:sz w:val="20"/>
                <w:szCs w:val="20"/>
              </w:rPr>
              <w:t>ēls</w:t>
            </w:r>
            <w:r w:rsidRPr="00B6695C">
              <w:rPr>
                <w:rFonts w:ascii="Times New Roman" w:eastAsia="Calibri" w:hAnsi="Times New Roman" w:cs="Times New Roman"/>
                <w:sz w:val="20"/>
                <w:szCs w:val="20"/>
              </w:rPr>
              <w:t xml:space="preserve">. </w:t>
            </w:r>
            <w:proofErr w:type="spellStart"/>
            <w:r w:rsidRPr="00B6695C">
              <w:rPr>
                <w:rFonts w:ascii="Times New Roman" w:eastAsia="Calibri" w:hAnsi="Times New Roman" w:cs="Times New Roman"/>
                <w:sz w:val="20"/>
                <w:szCs w:val="20"/>
              </w:rPr>
              <w:t>Skarbmatainā</w:t>
            </w:r>
            <w:proofErr w:type="spellEnd"/>
            <w:r w:rsidRPr="00B6695C">
              <w:rPr>
                <w:rFonts w:ascii="Times New Roman" w:eastAsia="Calibri" w:hAnsi="Times New Roman" w:cs="Times New Roman"/>
                <w:sz w:val="20"/>
                <w:szCs w:val="20"/>
              </w:rPr>
              <w:t xml:space="preserve"> kārvele </w:t>
            </w:r>
            <w:proofErr w:type="spellStart"/>
            <w:r w:rsidRPr="00B6695C">
              <w:rPr>
                <w:rFonts w:ascii="Times New Roman" w:eastAsia="Calibri" w:hAnsi="Times New Roman" w:cs="Times New Roman"/>
                <w:i/>
                <w:sz w:val="20"/>
                <w:szCs w:val="20"/>
              </w:rPr>
              <w:t>Chaerophyllum</w:t>
            </w:r>
            <w:proofErr w:type="spellEnd"/>
            <w:r w:rsidRPr="00B6695C">
              <w:rPr>
                <w:rFonts w:ascii="Times New Roman" w:eastAsia="Calibri" w:hAnsi="Times New Roman" w:cs="Times New Roman"/>
                <w:i/>
                <w:sz w:val="20"/>
                <w:szCs w:val="20"/>
              </w:rPr>
              <w:t xml:space="preserve"> </w:t>
            </w:r>
            <w:proofErr w:type="spellStart"/>
            <w:r w:rsidRPr="00B6695C">
              <w:rPr>
                <w:rFonts w:ascii="Times New Roman" w:eastAsia="Calibri" w:hAnsi="Times New Roman" w:cs="Times New Roman"/>
                <w:i/>
                <w:sz w:val="20"/>
                <w:szCs w:val="20"/>
              </w:rPr>
              <w:t>hirsutum</w:t>
            </w:r>
            <w:proofErr w:type="spellEnd"/>
            <w:r w:rsidRPr="00B6695C">
              <w:rPr>
                <w:rFonts w:ascii="Times New Roman" w:eastAsia="Calibri" w:hAnsi="Times New Roman" w:cs="Times New Roman"/>
                <w:b/>
                <w:i/>
                <w:sz w:val="20"/>
                <w:szCs w:val="20"/>
              </w:rPr>
              <w:t xml:space="preserve"> </w:t>
            </w:r>
            <w:r w:rsidRPr="00B6695C">
              <w:rPr>
                <w:rFonts w:ascii="Times New Roman" w:eastAsia="Calibri" w:hAnsi="Times New Roman" w:cs="Times New Roman"/>
                <w:sz w:val="20"/>
                <w:szCs w:val="20"/>
              </w:rPr>
              <w:t xml:space="preserve">ap Krāslavu gar mazajām upītēm, avotiem un liekņās sastopama </w:t>
            </w:r>
            <w:proofErr w:type="spellStart"/>
            <w:r w:rsidRPr="00B6695C">
              <w:rPr>
                <w:rFonts w:ascii="Times New Roman" w:eastAsia="Calibri" w:hAnsi="Times New Roman" w:cs="Times New Roman"/>
                <w:sz w:val="20"/>
                <w:szCs w:val="20"/>
              </w:rPr>
              <w:t>daudzskaitlīgi</w:t>
            </w:r>
            <w:proofErr w:type="spellEnd"/>
            <w:r w:rsidRPr="00B6695C">
              <w:rPr>
                <w:rFonts w:ascii="Times New Roman" w:eastAsia="Calibri" w:hAnsi="Times New Roman" w:cs="Times New Roman"/>
                <w:sz w:val="20"/>
                <w:szCs w:val="20"/>
              </w:rPr>
              <w:t xml:space="preserve"> (Foto: G</w:t>
            </w:r>
            <w:r w:rsidR="00B6695C" w:rsidRPr="00B6695C">
              <w:rPr>
                <w:rFonts w:ascii="Times New Roman" w:eastAsia="Calibri" w:hAnsi="Times New Roman" w:cs="Times New Roman"/>
                <w:sz w:val="20"/>
                <w:szCs w:val="20"/>
              </w:rPr>
              <w:t>. </w:t>
            </w:r>
            <w:proofErr w:type="spellStart"/>
            <w:r w:rsidRPr="00B6695C">
              <w:rPr>
                <w:rFonts w:ascii="Times New Roman" w:eastAsia="Calibri" w:hAnsi="Times New Roman" w:cs="Times New Roman"/>
                <w:sz w:val="20"/>
                <w:szCs w:val="20"/>
              </w:rPr>
              <w:t>Evarte-Bundere</w:t>
            </w:r>
            <w:proofErr w:type="spellEnd"/>
            <w:r w:rsidRPr="00B6695C">
              <w:rPr>
                <w:rFonts w:ascii="Times New Roman" w:eastAsia="Calibri" w:hAnsi="Times New Roman" w:cs="Times New Roman"/>
                <w:sz w:val="20"/>
                <w:szCs w:val="20"/>
              </w:rPr>
              <w:t>).</w:t>
            </w:r>
          </w:p>
        </w:tc>
      </w:tr>
    </w:tbl>
    <w:p w14:paraId="64DAB952" w14:textId="25A19188" w:rsidR="002B1603" w:rsidRPr="00A07F29" w:rsidRDefault="002B1603" w:rsidP="008366E0">
      <w:pPr>
        <w:spacing w:before="240" w:after="120" w:line="240" w:lineRule="auto"/>
        <w:ind w:firstLine="851"/>
        <w:jc w:val="both"/>
        <w:rPr>
          <w:rFonts w:ascii="Times New Roman" w:eastAsia="Calibri" w:hAnsi="Times New Roman" w:cs="Times New Roman"/>
          <w:b/>
          <w:sz w:val="24"/>
          <w:szCs w:val="24"/>
        </w:rPr>
      </w:pPr>
      <w:r w:rsidRPr="00A07F29">
        <w:rPr>
          <w:rFonts w:ascii="Times New Roman" w:eastAsia="Calibri" w:hAnsi="Times New Roman" w:cs="Times New Roman"/>
          <w:b/>
          <w:sz w:val="24"/>
          <w:szCs w:val="24"/>
        </w:rPr>
        <w:lastRenderedPageBreak/>
        <w:t xml:space="preserve">Lielā </w:t>
      </w:r>
      <w:proofErr w:type="spellStart"/>
      <w:r w:rsidRPr="00A07F29">
        <w:rPr>
          <w:rFonts w:ascii="Times New Roman" w:eastAsia="Calibri" w:hAnsi="Times New Roman" w:cs="Times New Roman"/>
          <w:b/>
          <w:sz w:val="24"/>
          <w:szCs w:val="24"/>
        </w:rPr>
        <w:t>raganzālīte</w:t>
      </w:r>
      <w:proofErr w:type="spellEnd"/>
      <w:r w:rsidRPr="00A07F29">
        <w:rPr>
          <w:rFonts w:ascii="Times New Roman" w:eastAsia="Calibri" w:hAnsi="Times New Roman" w:cs="Times New Roman"/>
          <w:b/>
          <w:sz w:val="24"/>
          <w:szCs w:val="24"/>
        </w:rPr>
        <w:t xml:space="preserve"> </w:t>
      </w:r>
      <w:proofErr w:type="spellStart"/>
      <w:r w:rsidRPr="00A07F29">
        <w:rPr>
          <w:rFonts w:ascii="Times New Roman" w:eastAsia="Calibri" w:hAnsi="Times New Roman" w:cs="Times New Roman"/>
          <w:b/>
          <w:i/>
          <w:sz w:val="24"/>
          <w:szCs w:val="24"/>
        </w:rPr>
        <w:t>Circaea</w:t>
      </w:r>
      <w:proofErr w:type="spellEnd"/>
      <w:r w:rsidRPr="00A07F29">
        <w:rPr>
          <w:rFonts w:ascii="Times New Roman" w:eastAsia="Calibri" w:hAnsi="Times New Roman" w:cs="Times New Roman"/>
          <w:b/>
          <w:i/>
          <w:sz w:val="24"/>
          <w:szCs w:val="24"/>
        </w:rPr>
        <w:t xml:space="preserve"> </w:t>
      </w:r>
      <w:proofErr w:type="spellStart"/>
      <w:r w:rsidRPr="00A07F29">
        <w:rPr>
          <w:rFonts w:ascii="Times New Roman" w:eastAsia="Calibri" w:hAnsi="Times New Roman" w:cs="Times New Roman"/>
          <w:b/>
          <w:i/>
          <w:sz w:val="24"/>
          <w:szCs w:val="24"/>
        </w:rPr>
        <w:t>lutetiana</w:t>
      </w:r>
      <w:proofErr w:type="spellEnd"/>
      <w:r w:rsidRPr="00A07F29">
        <w:rPr>
          <w:rFonts w:ascii="Times New Roman" w:eastAsia="Calibri" w:hAnsi="Times New Roman" w:cs="Times New Roman"/>
          <w:sz w:val="24"/>
          <w:szCs w:val="24"/>
        </w:rPr>
        <w:t xml:space="preserve"> </w:t>
      </w:r>
      <w:r w:rsidR="00BF5EAB" w:rsidRPr="00A07F29">
        <w:rPr>
          <w:rFonts w:ascii="Times New Roman" w:eastAsia="Calibri" w:hAnsi="Times New Roman" w:cs="Times New Roman"/>
          <w:sz w:val="24"/>
          <w:szCs w:val="24"/>
        </w:rPr>
        <w:t>(</w:t>
      </w:r>
      <w:r w:rsidR="00565477">
        <w:rPr>
          <w:rFonts w:ascii="Times New Roman" w:eastAsia="Calibri" w:hAnsi="Times New Roman" w:cs="Times New Roman"/>
          <w:sz w:val="24"/>
          <w:szCs w:val="24"/>
        </w:rPr>
        <w:t xml:space="preserve">skat. </w:t>
      </w:r>
      <w:r w:rsidR="00BF5EAB" w:rsidRPr="00A07F29">
        <w:rPr>
          <w:rFonts w:ascii="Times New Roman" w:eastAsia="Calibri" w:hAnsi="Times New Roman" w:cs="Times New Roman"/>
          <w:sz w:val="24"/>
          <w:szCs w:val="24"/>
        </w:rPr>
        <w:t>4.4.4.7.</w:t>
      </w:r>
      <w:r w:rsidR="00565477">
        <w:rPr>
          <w:rFonts w:ascii="Times New Roman" w:eastAsia="Calibri" w:hAnsi="Times New Roman" w:cs="Times New Roman"/>
          <w:sz w:val="24"/>
          <w:szCs w:val="24"/>
        </w:rPr>
        <w:t> </w:t>
      </w:r>
      <w:r w:rsidR="00BF5EAB" w:rsidRPr="00A07F29">
        <w:rPr>
          <w:rFonts w:ascii="Times New Roman" w:eastAsia="Calibri" w:hAnsi="Times New Roman" w:cs="Times New Roman"/>
          <w:sz w:val="24"/>
          <w:szCs w:val="24"/>
        </w:rPr>
        <w:t>att</w:t>
      </w:r>
      <w:r w:rsidR="00565477">
        <w:rPr>
          <w:rFonts w:ascii="Times New Roman" w:eastAsia="Calibri" w:hAnsi="Times New Roman" w:cs="Times New Roman"/>
          <w:sz w:val="24"/>
          <w:szCs w:val="24"/>
        </w:rPr>
        <w:t>ēls</w:t>
      </w:r>
      <w:r w:rsidR="00BF5EAB" w:rsidRPr="00A07F29">
        <w:rPr>
          <w:rFonts w:ascii="Times New Roman" w:eastAsia="Calibri" w:hAnsi="Times New Roman" w:cs="Times New Roman"/>
          <w:sz w:val="24"/>
          <w:szCs w:val="24"/>
        </w:rPr>
        <w:t xml:space="preserve">) </w:t>
      </w:r>
      <w:r w:rsidRPr="00A07F29">
        <w:rPr>
          <w:rFonts w:ascii="Times New Roman" w:eastAsia="Calibri" w:hAnsi="Times New Roman" w:cs="Times New Roman"/>
          <w:sz w:val="24"/>
          <w:szCs w:val="24"/>
        </w:rPr>
        <w:t>Suga Latvijā sasniedz izplatības Z robežu, sastopama upju ielejās, galvenokārt vidēji mitros platlapju mežos – gāršās u.c. AAA “Augšdaugava” teritorijā pirmoreiz konstatēta 2007.</w:t>
      </w:r>
      <w:r w:rsidR="00565477">
        <w:rPr>
          <w:rFonts w:ascii="Times New Roman" w:eastAsia="Calibri" w:hAnsi="Times New Roman" w:cs="Times New Roman"/>
          <w:sz w:val="24"/>
          <w:szCs w:val="24"/>
        </w:rPr>
        <w:t> </w:t>
      </w:r>
      <w:r w:rsidRPr="00A07F29">
        <w:rPr>
          <w:rFonts w:ascii="Times New Roman" w:eastAsia="Calibri" w:hAnsi="Times New Roman" w:cs="Times New Roman"/>
          <w:sz w:val="24"/>
          <w:szCs w:val="24"/>
        </w:rPr>
        <w:t>gadā</w:t>
      </w:r>
      <w:r w:rsidR="00273EDA" w:rsidRPr="00A07F29">
        <w:rPr>
          <w:rFonts w:ascii="Times New Roman" w:eastAsia="Calibri" w:hAnsi="Times New Roman" w:cs="Times New Roman"/>
          <w:sz w:val="24"/>
          <w:szCs w:val="24"/>
        </w:rPr>
        <w:t xml:space="preserve"> un </w:t>
      </w:r>
      <w:r w:rsidRPr="00A07F29">
        <w:rPr>
          <w:rFonts w:ascii="Times New Roman" w:eastAsia="Calibri" w:hAnsi="Times New Roman" w:cs="Times New Roman"/>
          <w:sz w:val="24"/>
          <w:szCs w:val="24"/>
        </w:rPr>
        <w:t>2019.</w:t>
      </w:r>
      <w:r w:rsidR="00565477">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gadā atradne Baznīcas gravā apsekota atkārtoti. Pēdējos gados </w:t>
      </w:r>
      <w:r w:rsidRPr="00565477">
        <w:rPr>
          <w:rFonts w:ascii="Times New Roman" w:eastAsia="Calibri" w:hAnsi="Times New Roman" w:cs="Times New Roman"/>
          <w:i/>
          <w:iCs/>
          <w:sz w:val="24"/>
          <w:szCs w:val="24"/>
        </w:rPr>
        <w:t>Dabas skaitīšanas</w:t>
      </w:r>
      <w:r w:rsidRPr="00A07F29">
        <w:rPr>
          <w:rFonts w:ascii="Times New Roman" w:eastAsia="Calibri" w:hAnsi="Times New Roman" w:cs="Times New Roman"/>
          <w:sz w:val="24"/>
          <w:szCs w:val="24"/>
        </w:rPr>
        <w:t xml:space="preserve"> un </w:t>
      </w:r>
      <w:r w:rsidR="00E209E3" w:rsidRPr="00A07F29">
        <w:rPr>
          <w:rFonts w:ascii="Times New Roman" w:eastAsia="Calibri" w:hAnsi="Times New Roman" w:cs="Times New Roman"/>
          <w:sz w:val="24"/>
          <w:szCs w:val="24"/>
        </w:rPr>
        <w:t xml:space="preserve">DA plāna </w:t>
      </w:r>
      <w:r w:rsidRPr="00A07F29">
        <w:rPr>
          <w:rFonts w:ascii="Times New Roman" w:eastAsia="Calibri" w:hAnsi="Times New Roman" w:cs="Times New Roman"/>
          <w:sz w:val="24"/>
          <w:szCs w:val="24"/>
        </w:rPr>
        <w:t xml:space="preserve">izstrādes ietvaros atklātas jaunas atradnes Tartaka lokā un mazās Daugavas sānu gravās pie </w:t>
      </w:r>
      <w:proofErr w:type="spellStart"/>
      <w:r w:rsidRPr="00A07F29">
        <w:rPr>
          <w:rFonts w:ascii="Times New Roman" w:eastAsia="Calibri" w:hAnsi="Times New Roman" w:cs="Times New Roman"/>
          <w:sz w:val="24"/>
          <w:szCs w:val="24"/>
        </w:rPr>
        <w:t>Upmales</w:t>
      </w:r>
      <w:proofErr w:type="spellEnd"/>
      <w:r w:rsidRPr="00A07F29">
        <w:rPr>
          <w:rFonts w:ascii="Times New Roman" w:eastAsia="Calibri" w:hAnsi="Times New Roman" w:cs="Times New Roman"/>
          <w:sz w:val="24"/>
          <w:szCs w:val="24"/>
        </w:rPr>
        <w:t xml:space="preserve">. Atradne maz apdraudēta, jo apkārtējie biotopi </w:t>
      </w:r>
      <w:r w:rsidR="00273EDA" w:rsidRPr="00A07F29">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gravu meži Latvijā ir </w:t>
      </w:r>
      <w:r w:rsidR="00E209E3" w:rsidRPr="00A07F29">
        <w:rPr>
          <w:rFonts w:ascii="Times New Roman" w:eastAsia="Calibri" w:hAnsi="Times New Roman" w:cs="Times New Roman"/>
          <w:sz w:val="24"/>
          <w:szCs w:val="24"/>
        </w:rPr>
        <w:t>ĪA</w:t>
      </w:r>
      <w:r w:rsidRPr="00A07F29">
        <w:rPr>
          <w:rFonts w:ascii="Times New Roman" w:eastAsia="Calibri" w:hAnsi="Times New Roman" w:cs="Times New Roman"/>
          <w:sz w:val="24"/>
          <w:szCs w:val="24"/>
        </w:rPr>
        <w:t xml:space="preserve"> biotopi.</w:t>
      </w:r>
    </w:p>
    <w:p w14:paraId="36046E95" w14:textId="5BCF7AA9" w:rsidR="002B1603" w:rsidRPr="00A07F29" w:rsidRDefault="002B1603" w:rsidP="00B649FD">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b/>
          <w:sz w:val="24"/>
          <w:szCs w:val="24"/>
        </w:rPr>
        <w:t xml:space="preserve">Daudzgadīgā </w:t>
      </w:r>
      <w:proofErr w:type="spellStart"/>
      <w:r w:rsidRPr="00A07F29">
        <w:rPr>
          <w:rFonts w:ascii="Times New Roman" w:eastAsia="Calibri" w:hAnsi="Times New Roman" w:cs="Times New Roman"/>
          <w:b/>
          <w:sz w:val="24"/>
          <w:szCs w:val="24"/>
        </w:rPr>
        <w:t>mēnesene</w:t>
      </w:r>
      <w:proofErr w:type="spellEnd"/>
      <w:r w:rsidRPr="00A07F29">
        <w:rPr>
          <w:rFonts w:ascii="Times New Roman" w:eastAsia="Calibri" w:hAnsi="Times New Roman" w:cs="Times New Roman"/>
          <w:b/>
          <w:sz w:val="24"/>
          <w:szCs w:val="24"/>
        </w:rPr>
        <w:t xml:space="preserve"> </w:t>
      </w:r>
      <w:proofErr w:type="spellStart"/>
      <w:r w:rsidRPr="00A07F29">
        <w:rPr>
          <w:rFonts w:ascii="Times New Roman" w:eastAsia="Calibri" w:hAnsi="Times New Roman" w:cs="Times New Roman"/>
          <w:b/>
          <w:i/>
          <w:sz w:val="24"/>
          <w:szCs w:val="24"/>
        </w:rPr>
        <w:t>Lunaria</w:t>
      </w:r>
      <w:proofErr w:type="spellEnd"/>
      <w:r w:rsidRPr="00A07F29">
        <w:rPr>
          <w:rFonts w:ascii="Times New Roman" w:eastAsia="Calibri" w:hAnsi="Times New Roman" w:cs="Times New Roman"/>
          <w:b/>
          <w:i/>
          <w:sz w:val="24"/>
          <w:szCs w:val="24"/>
        </w:rPr>
        <w:t xml:space="preserve"> </w:t>
      </w:r>
      <w:proofErr w:type="spellStart"/>
      <w:r w:rsidRPr="00A07F29">
        <w:rPr>
          <w:rFonts w:ascii="Times New Roman" w:eastAsia="Calibri" w:hAnsi="Times New Roman" w:cs="Times New Roman"/>
          <w:b/>
          <w:i/>
          <w:sz w:val="24"/>
          <w:szCs w:val="24"/>
        </w:rPr>
        <w:t>rediviva</w:t>
      </w:r>
      <w:proofErr w:type="spellEnd"/>
      <w:r w:rsidRPr="00A07F29">
        <w:rPr>
          <w:rFonts w:ascii="Times New Roman" w:eastAsia="Calibri" w:hAnsi="Times New Roman" w:cs="Times New Roman"/>
          <w:sz w:val="24"/>
          <w:szCs w:val="24"/>
        </w:rPr>
        <w:t xml:space="preserve"> </w:t>
      </w:r>
      <w:r w:rsidR="00BF5EAB" w:rsidRPr="00A07F29">
        <w:rPr>
          <w:rFonts w:ascii="Times New Roman" w:eastAsia="Calibri" w:hAnsi="Times New Roman" w:cs="Times New Roman"/>
          <w:sz w:val="24"/>
          <w:szCs w:val="24"/>
        </w:rPr>
        <w:t>(</w:t>
      </w:r>
      <w:r w:rsidR="00705B91">
        <w:rPr>
          <w:rFonts w:ascii="Times New Roman" w:eastAsia="Calibri" w:hAnsi="Times New Roman" w:cs="Times New Roman"/>
          <w:sz w:val="24"/>
          <w:szCs w:val="24"/>
        </w:rPr>
        <w:t xml:space="preserve">skat </w:t>
      </w:r>
      <w:r w:rsidR="00BF5EAB" w:rsidRPr="00A07F29">
        <w:rPr>
          <w:rFonts w:ascii="Times New Roman" w:eastAsia="Calibri" w:hAnsi="Times New Roman" w:cs="Times New Roman"/>
          <w:sz w:val="24"/>
          <w:szCs w:val="24"/>
        </w:rPr>
        <w:t>4.4.4.8.</w:t>
      </w:r>
      <w:r w:rsidR="00705B91">
        <w:rPr>
          <w:rFonts w:ascii="Times New Roman" w:eastAsia="Calibri" w:hAnsi="Times New Roman" w:cs="Times New Roman"/>
          <w:sz w:val="24"/>
          <w:szCs w:val="24"/>
        </w:rPr>
        <w:t> </w:t>
      </w:r>
      <w:r w:rsidR="00BF5EAB" w:rsidRPr="00A07F29">
        <w:rPr>
          <w:rFonts w:ascii="Times New Roman" w:eastAsia="Calibri" w:hAnsi="Times New Roman" w:cs="Times New Roman"/>
          <w:sz w:val="24"/>
          <w:szCs w:val="24"/>
        </w:rPr>
        <w:t>att</w:t>
      </w:r>
      <w:r w:rsidR="00705B91">
        <w:rPr>
          <w:rFonts w:ascii="Times New Roman" w:eastAsia="Calibri" w:hAnsi="Times New Roman" w:cs="Times New Roman"/>
          <w:sz w:val="24"/>
          <w:szCs w:val="24"/>
        </w:rPr>
        <w:t>ēls</w:t>
      </w:r>
      <w:r w:rsidR="00BF5EAB" w:rsidRPr="00A07F29">
        <w:rPr>
          <w:rFonts w:ascii="Times New Roman" w:eastAsia="Calibri" w:hAnsi="Times New Roman" w:cs="Times New Roman"/>
          <w:sz w:val="24"/>
          <w:szCs w:val="24"/>
        </w:rPr>
        <w:t xml:space="preserve">) </w:t>
      </w:r>
      <w:r w:rsidR="00273EDA" w:rsidRPr="00A07F29">
        <w:rPr>
          <w:rFonts w:ascii="Times New Roman" w:eastAsia="Calibri" w:hAnsi="Times New Roman" w:cs="Times New Roman"/>
          <w:sz w:val="24"/>
          <w:szCs w:val="24"/>
        </w:rPr>
        <w:t xml:space="preserve">ir </w:t>
      </w:r>
      <w:r w:rsidRPr="00A07F29">
        <w:rPr>
          <w:rFonts w:ascii="Times New Roman" w:eastAsia="Calibri" w:hAnsi="Times New Roman" w:cs="Times New Roman"/>
          <w:sz w:val="24"/>
          <w:szCs w:val="24"/>
        </w:rPr>
        <w:t xml:space="preserve">nevienmērīgi </w:t>
      </w:r>
      <w:r w:rsidR="00273EDA" w:rsidRPr="00A07F29">
        <w:rPr>
          <w:rFonts w:ascii="Times New Roman" w:eastAsia="Calibri" w:hAnsi="Times New Roman" w:cs="Times New Roman"/>
          <w:sz w:val="24"/>
          <w:szCs w:val="24"/>
        </w:rPr>
        <w:t xml:space="preserve">izplatīta </w:t>
      </w:r>
      <w:r w:rsidRPr="00A07F29">
        <w:rPr>
          <w:rFonts w:ascii="Times New Roman" w:eastAsia="Calibri" w:hAnsi="Times New Roman" w:cs="Times New Roman"/>
          <w:sz w:val="24"/>
          <w:szCs w:val="24"/>
        </w:rPr>
        <w:t xml:space="preserve">visā </w:t>
      </w:r>
      <w:r w:rsidR="00273EDA" w:rsidRPr="00A07F29">
        <w:rPr>
          <w:rFonts w:ascii="Times New Roman" w:eastAsia="Calibri" w:hAnsi="Times New Roman" w:cs="Times New Roman"/>
          <w:sz w:val="24"/>
          <w:szCs w:val="24"/>
        </w:rPr>
        <w:t xml:space="preserve">Latvijas </w:t>
      </w:r>
      <w:r w:rsidRPr="00A07F29">
        <w:rPr>
          <w:rFonts w:ascii="Times New Roman" w:eastAsia="Calibri" w:hAnsi="Times New Roman" w:cs="Times New Roman"/>
          <w:sz w:val="24"/>
          <w:szCs w:val="24"/>
        </w:rPr>
        <w:t xml:space="preserve">teritorijā. Veido tīraudzes upju ieleju krūmājos un gāršas tipa mežos Abavas, Salacas </w:t>
      </w:r>
      <w:proofErr w:type="spellStart"/>
      <w:r w:rsidRPr="00A07F29">
        <w:rPr>
          <w:rFonts w:ascii="Times New Roman" w:eastAsia="Calibri" w:hAnsi="Times New Roman" w:cs="Times New Roman"/>
          <w:sz w:val="24"/>
          <w:szCs w:val="24"/>
        </w:rPr>
        <w:t>Ruņupes</w:t>
      </w:r>
      <w:proofErr w:type="spellEnd"/>
      <w:r w:rsidRPr="00A07F29">
        <w:rPr>
          <w:rFonts w:ascii="Times New Roman" w:eastAsia="Calibri" w:hAnsi="Times New Roman" w:cs="Times New Roman"/>
          <w:sz w:val="24"/>
          <w:szCs w:val="24"/>
        </w:rPr>
        <w:t xml:space="preserve"> </w:t>
      </w:r>
      <w:r w:rsidR="00273EDA" w:rsidRPr="00A07F29">
        <w:rPr>
          <w:rFonts w:ascii="Times New Roman" w:eastAsia="Calibri" w:hAnsi="Times New Roman" w:cs="Times New Roman"/>
          <w:sz w:val="24"/>
          <w:szCs w:val="24"/>
        </w:rPr>
        <w:t xml:space="preserve">u.c. upju </w:t>
      </w:r>
      <w:r w:rsidRPr="00A07F29">
        <w:rPr>
          <w:rFonts w:ascii="Times New Roman" w:eastAsia="Calibri" w:hAnsi="Times New Roman" w:cs="Times New Roman"/>
          <w:sz w:val="24"/>
          <w:szCs w:val="24"/>
        </w:rPr>
        <w:t xml:space="preserve">ielejās, </w:t>
      </w:r>
      <w:r w:rsidR="00273EDA" w:rsidRPr="00A07F29">
        <w:rPr>
          <w:rFonts w:ascii="Times New Roman" w:eastAsia="Calibri" w:hAnsi="Times New Roman" w:cs="Times New Roman"/>
          <w:sz w:val="24"/>
          <w:szCs w:val="24"/>
        </w:rPr>
        <w:t xml:space="preserve">kā </w:t>
      </w:r>
      <w:r w:rsidRPr="00A07F29">
        <w:rPr>
          <w:rFonts w:ascii="Times New Roman" w:eastAsia="Calibri" w:hAnsi="Times New Roman" w:cs="Times New Roman"/>
          <w:sz w:val="24"/>
          <w:szCs w:val="24"/>
        </w:rPr>
        <w:t>arī vairākās vietās Daugavas ielejā. AAA “Augšdaugava” teritorijā sastopama lielu audžu veidā Tartaka, Adamovas un Zvejnieku lokos. Sugu potenciāli apdraud gāršas tipa mežu un krūmāju izciršana. Daudz mazākā mērā sugu apdraud augu aplaušana tā dekoratīvo īpašību dēļ, jo visas atradnes atrodas ārpus apmeklētākajām teritorijām.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6"/>
        <w:gridCol w:w="4688"/>
      </w:tblGrid>
      <w:tr w:rsidR="0042778D" w:rsidRPr="00A07F29" w14:paraId="2DB8DAB0" w14:textId="77777777" w:rsidTr="63C42FA1">
        <w:tc>
          <w:tcPr>
            <w:tcW w:w="4785" w:type="dxa"/>
          </w:tcPr>
          <w:p w14:paraId="67D3317E" w14:textId="1AAD8FBF" w:rsidR="00273EDA" w:rsidRPr="00A07F29" w:rsidRDefault="00273EDA" w:rsidP="00B649FD">
            <w:pPr>
              <w:spacing w:after="120"/>
              <w:jc w:val="center"/>
              <w:rPr>
                <w:rFonts w:ascii="Times New Roman" w:eastAsia="Calibri" w:hAnsi="Times New Roman" w:cs="Times New Roman"/>
                <w:sz w:val="24"/>
                <w:szCs w:val="24"/>
              </w:rPr>
            </w:pPr>
            <w:r w:rsidRPr="00A07F29">
              <w:rPr>
                <w:noProof/>
                <w:lang w:eastAsia="lv-LV"/>
              </w:rPr>
              <w:drawing>
                <wp:inline distT="0" distB="0" distL="0" distR="0" wp14:anchorId="6D0097C1" wp14:editId="5430DF7E">
                  <wp:extent cx="2900655" cy="2177456"/>
                  <wp:effectExtent l="0" t="0" r="0" b="0"/>
                  <wp:docPr id="918145540" name="Picture 918145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8145540"/>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900655" cy="2177456"/>
                          </a:xfrm>
                          <a:prstGeom prst="rect">
                            <a:avLst/>
                          </a:prstGeom>
                        </pic:spPr>
                      </pic:pic>
                    </a:graphicData>
                  </a:graphic>
                </wp:inline>
              </w:drawing>
            </w:r>
          </w:p>
        </w:tc>
        <w:tc>
          <w:tcPr>
            <w:tcW w:w="4785" w:type="dxa"/>
          </w:tcPr>
          <w:p w14:paraId="2C1E9EA5" w14:textId="2E76C9F2" w:rsidR="00273EDA" w:rsidRPr="00A07F29" w:rsidRDefault="0042778D" w:rsidP="00B649FD">
            <w:pPr>
              <w:spacing w:after="120"/>
              <w:jc w:val="center"/>
              <w:rPr>
                <w:rFonts w:ascii="Times New Roman" w:eastAsia="Calibri" w:hAnsi="Times New Roman" w:cs="Times New Roman"/>
                <w:sz w:val="24"/>
                <w:szCs w:val="24"/>
              </w:rPr>
            </w:pPr>
            <w:r w:rsidRPr="00A07F29">
              <w:rPr>
                <w:noProof/>
                <w:lang w:eastAsia="lv-LV"/>
              </w:rPr>
              <w:drawing>
                <wp:inline distT="0" distB="0" distL="0" distR="0" wp14:anchorId="69ABE951" wp14:editId="201AB350">
                  <wp:extent cx="2907514" cy="2180636"/>
                  <wp:effectExtent l="0" t="0" r="7620" b="0"/>
                  <wp:docPr id="918145541" name="Picture 918145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8145541"/>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907514" cy="2180636"/>
                          </a:xfrm>
                          <a:prstGeom prst="rect">
                            <a:avLst/>
                          </a:prstGeom>
                        </pic:spPr>
                      </pic:pic>
                    </a:graphicData>
                  </a:graphic>
                </wp:inline>
              </w:drawing>
            </w:r>
          </w:p>
        </w:tc>
      </w:tr>
      <w:tr w:rsidR="0042778D" w:rsidRPr="00A07F29" w14:paraId="2510585C" w14:textId="77777777" w:rsidTr="63C42FA1">
        <w:tc>
          <w:tcPr>
            <w:tcW w:w="4785" w:type="dxa"/>
          </w:tcPr>
          <w:p w14:paraId="27AA5500" w14:textId="4C7C8830" w:rsidR="00273EDA" w:rsidRPr="000709B5" w:rsidRDefault="0042778D" w:rsidP="00B649FD">
            <w:pPr>
              <w:spacing w:after="120"/>
              <w:jc w:val="both"/>
              <w:rPr>
                <w:rFonts w:ascii="Times New Roman" w:eastAsia="Calibri" w:hAnsi="Times New Roman" w:cs="Times New Roman"/>
                <w:sz w:val="20"/>
                <w:szCs w:val="20"/>
              </w:rPr>
            </w:pPr>
            <w:r w:rsidRPr="000709B5">
              <w:rPr>
                <w:rFonts w:ascii="Times New Roman" w:eastAsia="Calibri" w:hAnsi="Times New Roman" w:cs="Times New Roman"/>
                <w:sz w:val="20"/>
                <w:szCs w:val="20"/>
              </w:rPr>
              <w:t>4.4.4.7.</w:t>
            </w:r>
            <w:r w:rsidR="000709B5" w:rsidRPr="000709B5">
              <w:rPr>
                <w:rFonts w:ascii="Times New Roman" w:eastAsia="Calibri" w:hAnsi="Times New Roman" w:cs="Times New Roman"/>
                <w:sz w:val="20"/>
                <w:szCs w:val="20"/>
              </w:rPr>
              <w:t> </w:t>
            </w:r>
            <w:r w:rsidRPr="000709B5">
              <w:rPr>
                <w:rFonts w:ascii="Times New Roman" w:eastAsia="Calibri" w:hAnsi="Times New Roman" w:cs="Times New Roman"/>
                <w:sz w:val="20"/>
                <w:szCs w:val="20"/>
              </w:rPr>
              <w:t>att</w:t>
            </w:r>
            <w:r w:rsidR="000709B5" w:rsidRPr="000709B5">
              <w:rPr>
                <w:rFonts w:ascii="Times New Roman" w:eastAsia="Calibri" w:hAnsi="Times New Roman" w:cs="Times New Roman"/>
                <w:sz w:val="20"/>
                <w:szCs w:val="20"/>
              </w:rPr>
              <w:t>ēls</w:t>
            </w:r>
            <w:r w:rsidRPr="000709B5">
              <w:rPr>
                <w:rFonts w:ascii="Times New Roman" w:eastAsia="Calibri" w:hAnsi="Times New Roman" w:cs="Times New Roman"/>
                <w:sz w:val="20"/>
                <w:szCs w:val="20"/>
              </w:rPr>
              <w:t xml:space="preserve">. Jaunatklāta lielā </w:t>
            </w:r>
            <w:proofErr w:type="spellStart"/>
            <w:r w:rsidRPr="000709B5">
              <w:rPr>
                <w:rFonts w:ascii="Times New Roman" w:eastAsia="Calibri" w:hAnsi="Times New Roman" w:cs="Times New Roman"/>
                <w:sz w:val="20"/>
                <w:szCs w:val="20"/>
              </w:rPr>
              <w:t>raganzālīte</w:t>
            </w:r>
            <w:proofErr w:type="spellEnd"/>
            <w:r w:rsidRPr="000709B5">
              <w:rPr>
                <w:rFonts w:ascii="Times New Roman" w:eastAsia="Calibri" w:hAnsi="Times New Roman" w:cs="Times New Roman"/>
                <w:sz w:val="20"/>
                <w:szCs w:val="20"/>
              </w:rPr>
              <w:t xml:space="preserve"> </w:t>
            </w:r>
            <w:proofErr w:type="spellStart"/>
            <w:r w:rsidRPr="000709B5">
              <w:rPr>
                <w:rFonts w:ascii="Times New Roman" w:eastAsia="Calibri" w:hAnsi="Times New Roman" w:cs="Times New Roman"/>
                <w:i/>
                <w:sz w:val="20"/>
                <w:szCs w:val="20"/>
              </w:rPr>
              <w:t>Circaea</w:t>
            </w:r>
            <w:proofErr w:type="spellEnd"/>
            <w:r w:rsidRPr="000709B5">
              <w:rPr>
                <w:rFonts w:ascii="Times New Roman" w:eastAsia="Calibri" w:hAnsi="Times New Roman" w:cs="Times New Roman"/>
                <w:i/>
                <w:sz w:val="20"/>
                <w:szCs w:val="20"/>
              </w:rPr>
              <w:t xml:space="preserve"> </w:t>
            </w:r>
            <w:proofErr w:type="spellStart"/>
            <w:r w:rsidRPr="000709B5">
              <w:rPr>
                <w:rFonts w:ascii="Times New Roman" w:eastAsia="Calibri" w:hAnsi="Times New Roman" w:cs="Times New Roman"/>
                <w:i/>
                <w:sz w:val="20"/>
                <w:szCs w:val="20"/>
              </w:rPr>
              <w:t>lutetiana</w:t>
            </w:r>
            <w:proofErr w:type="spellEnd"/>
            <w:r w:rsidRPr="000709B5">
              <w:rPr>
                <w:rFonts w:ascii="Times New Roman" w:eastAsia="Calibri" w:hAnsi="Times New Roman" w:cs="Times New Roman"/>
                <w:sz w:val="20"/>
                <w:szCs w:val="20"/>
              </w:rPr>
              <w:t xml:space="preserve"> atradnē </w:t>
            </w:r>
            <w:proofErr w:type="spellStart"/>
            <w:r w:rsidRPr="000709B5">
              <w:rPr>
                <w:rFonts w:ascii="Times New Roman" w:eastAsia="Calibri" w:hAnsi="Times New Roman" w:cs="Times New Roman"/>
                <w:sz w:val="20"/>
                <w:szCs w:val="20"/>
              </w:rPr>
              <w:t>Upmales</w:t>
            </w:r>
            <w:proofErr w:type="spellEnd"/>
            <w:r w:rsidRPr="000709B5">
              <w:rPr>
                <w:rFonts w:ascii="Times New Roman" w:eastAsia="Calibri" w:hAnsi="Times New Roman" w:cs="Times New Roman"/>
                <w:sz w:val="20"/>
                <w:szCs w:val="20"/>
              </w:rPr>
              <w:t xml:space="preserve"> apkārtnē (Foto: P</w:t>
            </w:r>
            <w:r w:rsidR="000709B5" w:rsidRPr="000709B5">
              <w:rPr>
                <w:rFonts w:ascii="Times New Roman" w:eastAsia="Calibri" w:hAnsi="Times New Roman" w:cs="Times New Roman"/>
                <w:sz w:val="20"/>
                <w:szCs w:val="20"/>
              </w:rPr>
              <w:t>. </w:t>
            </w:r>
            <w:proofErr w:type="spellStart"/>
            <w:r w:rsidRPr="000709B5">
              <w:rPr>
                <w:rFonts w:ascii="Times New Roman" w:eastAsia="Calibri" w:hAnsi="Times New Roman" w:cs="Times New Roman"/>
                <w:sz w:val="20"/>
                <w:szCs w:val="20"/>
              </w:rPr>
              <w:t>Evarts-Bunders</w:t>
            </w:r>
            <w:proofErr w:type="spellEnd"/>
            <w:r w:rsidRPr="000709B5">
              <w:rPr>
                <w:rFonts w:ascii="Times New Roman" w:eastAsia="Calibri" w:hAnsi="Times New Roman" w:cs="Times New Roman"/>
                <w:sz w:val="20"/>
                <w:szCs w:val="20"/>
              </w:rPr>
              <w:t>)</w:t>
            </w:r>
          </w:p>
        </w:tc>
        <w:tc>
          <w:tcPr>
            <w:tcW w:w="4785" w:type="dxa"/>
          </w:tcPr>
          <w:p w14:paraId="4C8BAA48" w14:textId="35ED6C5B" w:rsidR="00273EDA" w:rsidRPr="000709B5" w:rsidRDefault="0042778D" w:rsidP="00B649FD">
            <w:pPr>
              <w:spacing w:after="120"/>
              <w:jc w:val="both"/>
              <w:rPr>
                <w:rFonts w:ascii="Times New Roman" w:eastAsia="Calibri" w:hAnsi="Times New Roman" w:cs="Times New Roman"/>
                <w:sz w:val="20"/>
                <w:szCs w:val="20"/>
              </w:rPr>
            </w:pPr>
            <w:r w:rsidRPr="000709B5">
              <w:rPr>
                <w:rFonts w:ascii="Times New Roman" w:eastAsia="Calibri" w:hAnsi="Times New Roman" w:cs="Times New Roman"/>
                <w:sz w:val="20"/>
                <w:szCs w:val="20"/>
              </w:rPr>
              <w:t>4.4.4.8.</w:t>
            </w:r>
            <w:r w:rsidR="000709B5" w:rsidRPr="000709B5">
              <w:rPr>
                <w:rFonts w:ascii="Times New Roman" w:eastAsia="Calibri" w:hAnsi="Times New Roman" w:cs="Times New Roman"/>
                <w:sz w:val="20"/>
                <w:szCs w:val="20"/>
              </w:rPr>
              <w:t> </w:t>
            </w:r>
            <w:r w:rsidRPr="000709B5">
              <w:rPr>
                <w:rFonts w:ascii="Times New Roman" w:eastAsia="Calibri" w:hAnsi="Times New Roman" w:cs="Times New Roman"/>
                <w:sz w:val="20"/>
                <w:szCs w:val="20"/>
              </w:rPr>
              <w:t>att</w:t>
            </w:r>
            <w:r w:rsidR="000709B5" w:rsidRPr="000709B5">
              <w:rPr>
                <w:rFonts w:ascii="Times New Roman" w:eastAsia="Calibri" w:hAnsi="Times New Roman" w:cs="Times New Roman"/>
                <w:sz w:val="20"/>
                <w:szCs w:val="20"/>
              </w:rPr>
              <w:t>ēls</w:t>
            </w:r>
            <w:r w:rsidRPr="000709B5">
              <w:rPr>
                <w:rFonts w:ascii="Times New Roman" w:eastAsia="Calibri" w:hAnsi="Times New Roman" w:cs="Times New Roman"/>
                <w:sz w:val="20"/>
                <w:szCs w:val="20"/>
              </w:rPr>
              <w:t xml:space="preserve">. Bagātīgas daudzgadīgās </w:t>
            </w:r>
            <w:proofErr w:type="spellStart"/>
            <w:r w:rsidRPr="000709B5">
              <w:rPr>
                <w:rFonts w:ascii="Times New Roman" w:eastAsia="Calibri" w:hAnsi="Times New Roman" w:cs="Times New Roman"/>
                <w:sz w:val="20"/>
                <w:szCs w:val="20"/>
              </w:rPr>
              <w:t>mēnesenes</w:t>
            </w:r>
            <w:proofErr w:type="spellEnd"/>
            <w:r w:rsidRPr="000709B5">
              <w:rPr>
                <w:rFonts w:ascii="Times New Roman" w:eastAsia="Calibri" w:hAnsi="Times New Roman" w:cs="Times New Roman"/>
                <w:sz w:val="20"/>
                <w:szCs w:val="20"/>
              </w:rPr>
              <w:t xml:space="preserve"> </w:t>
            </w:r>
            <w:proofErr w:type="spellStart"/>
            <w:r w:rsidRPr="000709B5">
              <w:rPr>
                <w:rFonts w:ascii="Times New Roman" w:eastAsia="Calibri" w:hAnsi="Times New Roman" w:cs="Times New Roman"/>
                <w:i/>
                <w:sz w:val="20"/>
                <w:szCs w:val="20"/>
              </w:rPr>
              <w:t>Lunaria</w:t>
            </w:r>
            <w:proofErr w:type="spellEnd"/>
            <w:r w:rsidRPr="000709B5">
              <w:rPr>
                <w:rFonts w:ascii="Times New Roman" w:eastAsia="Calibri" w:hAnsi="Times New Roman" w:cs="Times New Roman"/>
                <w:i/>
                <w:sz w:val="20"/>
                <w:szCs w:val="20"/>
              </w:rPr>
              <w:t xml:space="preserve"> </w:t>
            </w:r>
            <w:proofErr w:type="spellStart"/>
            <w:r w:rsidRPr="000709B5">
              <w:rPr>
                <w:rFonts w:ascii="Times New Roman" w:eastAsia="Calibri" w:hAnsi="Times New Roman" w:cs="Times New Roman"/>
                <w:i/>
                <w:sz w:val="20"/>
                <w:szCs w:val="20"/>
              </w:rPr>
              <w:t>rediviva</w:t>
            </w:r>
            <w:proofErr w:type="spellEnd"/>
            <w:r w:rsidRPr="000709B5">
              <w:rPr>
                <w:rFonts w:ascii="Times New Roman" w:eastAsia="Calibri" w:hAnsi="Times New Roman" w:cs="Times New Roman"/>
                <w:sz w:val="20"/>
                <w:szCs w:val="20"/>
              </w:rPr>
              <w:t xml:space="preserve"> audzes Zvejnieku lokā (Foto: </w:t>
            </w:r>
            <w:r w:rsidR="000709B5" w:rsidRPr="000709B5">
              <w:rPr>
                <w:rFonts w:ascii="Times New Roman" w:eastAsia="Calibri" w:hAnsi="Times New Roman" w:cs="Times New Roman"/>
                <w:sz w:val="20"/>
                <w:szCs w:val="20"/>
              </w:rPr>
              <w:t>G. </w:t>
            </w:r>
            <w:proofErr w:type="spellStart"/>
            <w:r w:rsidRPr="000709B5">
              <w:rPr>
                <w:rFonts w:ascii="Times New Roman" w:eastAsia="Calibri" w:hAnsi="Times New Roman" w:cs="Times New Roman"/>
                <w:sz w:val="20"/>
                <w:szCs w:val="20"/>
              </w:rPr>
              <w:t>Evarte-Bundere</w:t>
            </w:r>
            <w:proofErr w:type="spellEnd"/>
            <w:r w:rsidRPr="000709B5">
              <w:rPr>
                <w:rFonts w:ascii="Times New Roman" w:eastAsia="Calibri" w:hAnsi="Times New Roman" w:cs="Times New Roman"/>
                <w:sz w:val="20"/>
                <w:szCs w:val="20"/>
              </w:rPr>
              <w:t>)</w:t>
            </w:r>
          </w:p>
        </w:tc>
      </w:tr>
    </w:tbl>
    <w:p w14:paraId="0BF3B184" w14:textId="0348FD99" w:rsidR="002B1603" w:rsidRPr="00A07F29" w:rsidRDefault="002B1603" w:rsidP="00B649FD">
      <w:pPr>
        <w:spacing w:after="0" w:line="240" w:lineRule="auto"/>
        <w:ind w:firstLine="851"/>
        <w:jc w:val="both"/>
        <w:rPr>
          <w:rFonts w:ascii="Times New Roman" w:eastAsia="Calibri" w:hAnsi="Times New Roman" w:cs="Calibr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57"/>
        <w:gridCol w:w="5597"/>
      </w:tblGrid>
      <w:tr w:rsidR="0042778D" w:rsidRPr="00A07F29" w14:paraId="417FEAAB" w14:textId="77777777" w:rsidTr="63C42FA1">
        <w:tc>
          <w:tcPr>
            <w:tcW w:w="3969" w:type="dxa"/>
          </w:tcPr>
          <w:p w14:paraId="49786637" w14:textId="69D54C2D" w:rsidR="001B5ACF" w:rsidRPr="00A07F29" w:rsidRDefault="0042778D" w:rsidP="00B649FD">
            <w:pPr>
              <w:ind w:firstLine="851"/>
              <w:jc w:val="both"/>
              <w:rPr>
                <w:rFonts w:ascii="Times New Roman" w:eastAsia="Calibri" w:hAnsi="Times New Roman" w:cs="Calibri"/>
                <w:sz w:val="24"/>
                <w:szCs w:val="24"/>
              </w:rPr>
            </w:pPr>
            <w:proofErr w:type="spellStart"/>
            <w:r w:rsidRPr="00A07F29">
              <w:rPr>
                <w:rFonts w:ascii="Times New Roman" w:eastAsia="Calibri" w:hAnsi="Times New Roman" w:cs="Calibri"/>
                <w:b/>
                <w:sz w:val="24"/>
                <w:szCs w:val="24"/>
              </w:rPr>
              <w:t>Šultesa</w:t>
            </w:r>
            <w:proofErr w:type="spellEnd"/>
            <w:r w:rsidRPr="00A07F29">
              <w:rPr>
                <w:rFonts w:ascii="Times New Roman" w:eastAsia="Calibri" w:hAnsi="Times New Roman" w:cs="Calibri"/>
                <w:b/>
                <w:sz w:val="24"/>
                <w:szCs w:val="24"/>
              </w:rPr>
              <w:t xml:space="preserve"> madara </w:t>
            </w:r>
            <w:proofErr w:type="spellStart"/>
            <w:r w:rsidRPr="00A07F29">
              <w:rPr>
                <w:rFonts w:ascii="Times New Roman" w:eastAsia="Calibri" w:hAnsi="Times New Roman" w:cs="Calibri"/>
                <w:b/>
                <w:i/>
                <w:sz w:val="24"/>
                <w:szCs w:val="24"/>
              </w:rPr>
              <w:t>Galium</w:t>
            </w:r>
            <w:proofErr w:type="spellEnd"/>
            <w:r w:rsidRPr="00A07F29">
              <w:rPr>
                <w:rFonts w:ascii="Times New Roman" w:eastAsia="Calibri" w:hAnsi="Times New Roman" w:cs="Calibri"/>
                <w:b/>
                <w:i/>
                <w:sz w:val="24"/>
                <w:szCs w:val="24"/>
              </w:rPr>
              <w:t xml:space="preserve"> </w:t>
            </w:r>
            <w:proofErr w:type="spellStart"/>
            <w:r w:rsidRPr="00A07F29">
              <w:rPr>
                <w:rFonts w:ascii="Times New Roman" w:eastAsia="Calibri" w:hAnsi="Times New Roman" w:cs="Calibri"/>
                <w:b/>
                <w:i/>
                <w:sz w:val="24"/>
                <w:szCs w:val="24"/>
              </w:rPr>
              <w:t>schultesii</w:t>
            </w:r>
            <w:proofErr w:type="spellEnd"/>
            <w:r w:rsidRPr="00A07F29">
              <w:rPr>
                <w:rFonts w:ascii="Times New Roman" w:eastAsia="Calibri" w:hAnsi="Times New Roman" w:cs="Calibri"/>
                <w:i/>
                <w:sz w:val="24"/>
                <w:szCs w:val="24"/>
              </w:rPr>
              <w:t xml:space="preserve"> </w:t>
            </w:r>
            <w:r w:rsidRPr="000709B5">
              <w:rPr>
                <w:rFonts w:ascii="Times New Roman" w:eastAsia="Calibri" w:hAnsi="Times New Roman" w:cs="Calibri"/>
                <w:iCs/>
                <w:sz w:val="24"/>
                <w:szCs w:val="24"/>
              </w:rPr>
              <w:t>(</w:t>
            </w:r>
            <w:r w:rsidR="000709B5" w:rsidRPr="000709B5">
              <w:rPr>
                <w:rFonts w:ascii="Times New Roman" w:eastAsia="Calibri" w:hAnsi="Times New Roman" w:cs="Calibri"/>
                <w:iCs/>
                <w:sz w:val="24"/>
                <w:szCs w:val="24"/>
              </w:rPr>
              <w:t>skat.</w:t>
            </w:r>
            <w:r w:rsidR="000709B5">
              <w:rPr>
                <w:rFonts w:ascii="Times New Roman" w:eastAsia="Calibri" w:hAnsi="Times New Roman" w:cs="Times New Roman"/>
                <w:sz w:val="24"/>
                <w:szCs w:val="24"/>
              </w:rPr>
              <w:t xml:space="preserve"> </w:t>
            </w:r>
            <w:r w:rsidRPr="00A07F29">
              <w:rPr>
                <w:rFonts w:ascii="Times New Roman" w:eastAsia="Calibri" w:hAnsi="Times New Roman" w:cs="Times New Roman"/>
                <w:sz w:val="24"/>
                <w:szCs w:val="24"/>
              </w:rPr>
              <w:t>4.4.4.9.</w:t>
            </w:r>
            <w:r w:rsidR="000709B5">
              <w:rPr>
                <w:rFonts w:ascii="Times New Roman" w:eastAsia="Calibri" w:hAnsi="Times New Roman" w:cs="Times New Roman"/>
                <w:sz w:val="24"/>
                <w:szCs w:val="24"/>
              </w:rPr>
              <w:t> </w:t>
            </w:r>
            <w:r w:rsidRPr="00A07F29">
              <w:rPr>
                <w:rFonts w:ascii="Times New Roman" w:eastAsia="Calibri" w:hAnsi="Times New Roman" w:cs="Times New Roman"/>
                <w:sz w:val="24"/>
                <w:szCs w:val="24"/>
              </w:rPr>
              <w:t>att</w:t>
            </w:r>
            <w:r w:rsidR="000709B5">
              <w:rPr>
                <w:rFonts w:ascii="Times New Roman" w:eastAsia="Calibri" w:hAnsi="Times New Roman" w:cs="Times New Roman"/>
                <w:sz w:val="24"/>
                <w:szCs w:val="24"/>
              </w:rPr>
              <w:t>ēls</w:t>
            </w:r>
            <w:r w:rsidRPr="00A07F29">
              <w:rPr>
                <w:rFonts w:ascii="Times New Roman" w:eastAsia="Calibri" w:hAnsi="Times New Roman" w:cs="Times New Roman"/>
                <w:sz w:val="24"/>
                <w:szCs w:val="24"/>
              </w:rPr>
              <w:t xml:space="preserve">) </w:t>
            </w:r>
            <w:r w:rsidRPr="00A07F29">
              <w:rPr>
                <w:rFonts w:ascii="Times New Roman" w:eastAsia="Calibri" w:hAnsi="Times New Roman" w:cs="Calibri"/>
                <w:sz w:val="24"/>
                <w:szCs w:val="24"/>
              </w:rPr>
              <w:t xml:space="preserve">Latvijas teritorijā sastopama ļoti reti, tikai </w:t>
            </w:r>
            <w:proofErr w:type="spellStart"/>
            <w:r w:rsidRPr="00A07F29">
              <w:rPr>
                <w:rFonts w:ascii="Times New Roman" w:eastAsia="Calibri" w:hAnsi="Times New Roman" w:cs="Calibri"/>
                <w:sz w:val="24"/>
                <w:szCs w:val="24"/>
              </w:rPr>
              <w:t>Austrumlatvijā</w:t>
            </w:r>
            <w:proofErr w:type="spellEnd"/>
            <w:r w:rsidRPr="00A07F29">
              <w:rPr>
                <w:rFonts w:ascii="Times New Roman" w:eastAsia="Calibri" w:hAnsi="Times New Roman" w:cs="Calibri"/>
                <w:sz w:val="24"/>
                <w:szCs w:val="24"/>
              </w:rPr>
              <w:t>. Sugai raksturīgie biotopi ir 9020*</w:t>
            </w:r>
            <w:r w:rsidR="002B6667">
              <w:rPr>
                <w:rFonts w:ascii="Times New Roman" w:eastAsia="Calibri" w:hAnsi="Times New Roman" w:cs="Calibri"/>
                <w:sz w:val="24"/>
                <w:szCs w:val="24"/>
              </w:rPr>
              <w:t> </w:t>
            </w:r>
            <w:r w:rsidRPr="00A07F29">
              <w:rPr>
                <w:rFonts w:ascii="Times New Roman" w:eastAsia="Calibri" w:hAnsi="Times New Roman" w:cs="Calibri"/>
                <w:i/>
                <w:iCs/>
                <w:sz w:val="24"/>
                <w:szCs w:val="24"/>
              </w:rPr>
              <w:t>Veci jaukti platlapju meži</w:t>
            </w:r>
            <w:r w:rsidRPr="00A07F29">
              <w:rPr>
                <w:rFonts w:ascii="Times New Roman" w:eastAsia="Calibri" w:hAnsi="Times New Roman" w:cs="Calibri"/>
                <w:sz w:val="24"/>
                <w:szCs w:val="24"/>
              </w:rPr>
              <w:t>, 9050</w:t>
            </w:r>
            <w:r w:rsidR="002B6667">
              <w:rPr>
                <w:rFonts w:ascii="Times New Roman" w:eastAsia="Calibri" w:hAnsi="Times New Roman" w:cs="Calibri"/>
                <w:sz w:val="24"/>
                <w:szCs w:val="24"/>
              </w:rPr>
              <w:t> </w:t>
            </w:r>
            <w:r w:rsidRPr="00A07F29">
              <w:rPr>
                <w:rFonts w:ascii="Times New Roman" w:eastAsia="Calibri" w:hAnsi="Times New Roman" w:cs="Calibri"/>
                <w:i/>
                <w:iCs/>
                <w:sz w:val="24"/>
                <w:szCs w:val="24"/>
              </w:rPr>
              <w:t>Lakstaugu bagāti egļu meži</w:t>
            </w:r>
            <w:r w:rsidRPr="00A07F29">
              <w:rPr>
                <w:rFonts w:ascii="Times New Roman" w:eastAsia="Calibri" w:hAnsi="Times New Roman" w:cs="Calibri"/>
                <w:sz w:val="24"/>
                <w:szCs w:val="24"/>
              </w:rPr>
              <w:t xml:space="preserve"> un krūmāji. Pirmoreiz AAA “Augšdaugava” teritorijā </w:t>
            </w:r>
            <w:proofErr w:type="spellStart"/>
            <w:r w:rsidRPr="00A07F29">
              <w:rPr>
                <w:rFonts w:ascii="Times New Roman" w:eastAsia="Calibri" w:hAnsi="Times New Roman" w:cs="Calibri"/>
                <w:sz w:val="24"/>
                <w:szCs w:val="24"/>
              </w:rPr>
              <w:t>Šultesa</w:t>
            </w:r>
            <w:proofErr w:type="spellEnd"/>
            <w:r w:rsidRPr="00A07F29">
              <w:rPr>
                <w:rFonts w:ascii="Times New Roman" w:eastAsia="Calibri" w:hAnsi="Times New Roman" w:cs="Calibri"/>
                <w:sz w:val="24"/>
                <w:szCs w:val="24"/>
              </w:rPr>
              <w:t xml:space="preserve"> madara atrasta 1965.</w:t>
            </w:r>
            <w:r w:rsidR="002B6667">
              <w:rPr>
                <w:rFonts w:ascii="Times New Roman" w:eastAsia="Calibri" w:hAnsi="Times New Roman" w:cs="Calibri"/>
                <w:sz w:val="24"/>
                <w:szCs w:val="24"/>
              </w:rPr>
              <w:t> </w:t>
            </w:r>
            <w:r w:rsidRPr="00A07F29">
              <w:rPr>
                <w:rFonts w:ascii="Times New Roman" w:eastAsia="Calibri" w:hAnsi="Times New Roman" w:cs="Calibri"/>
                <w:sz w:val="24"/>
                <w:szCs w:val="24"/>
              </w:rPr>
              <w:t xml:space="preserve">gadā Piedrujā, vēlāk Salienā (1978), Lazdukalnā (1990). </w:t>
            </w:r>
            <w:proofErr w:type="spellStart"/>
            <w:r w:rsidRPr="00A07F29">
              <w:rPr>
                <w:rFonts w:ascii="Times New Roman" w:eastAsia="Calibri" w:hAnsi="Times New Roman" w:cs="Calibri"/>
                <w:sz w:val="24"/>
                <w:szCs w:val="24"/>
              </w:rPr>
              <w:t>Kostatētas</w:t>
            </w:r>
            <w:proofErr w:type="spellEnd"/>
            <w:r w:rsidRPr="00A07F29">
              <w:rPr>
                <w:rFonts w:ascii="Times New Roman" w:eastAsia="Calibri" w:hAnsi="Times New Roman" w:cs="Calibri"/>
                <w:sz w:val="24"/>
                <w:szCs w:val="24"/>
              </w:rPr>
              <w:t xml:space="preserve"> aptuveni </w:t>
            </w:r>
            <w:r w:rsidR="002B6667">
              <w:rPr>
                <w:rFonts w:ascii="Times New Roman" w:eastAsia="Calibri" w:hAnsi="Times New Roman" w:cs="Calibri"/>
                <w:sz w:val="24"/>
                <w:szCs w:val="24"/>
              </w:rPr>
              <w:t>10</w:t>
            </w:r>
            <w:r w:rsidRPr="00A07F29">
              <w:rPr>
                <w:rFonts w:ascii="Times New Roman" w:eastAsia="Calibri" w:hAnsi="Times New Roman" w:cs="Calibri"/>
                <w:sz w:val="24"/>
                <w:szCs w:val="24"/>
              </w:rPr>
              <w:t xml:space="preserve"> jaunas </w:t>
            </w:r>
            <w:proofErr w:type="spellStart"/>
            <w:r w:rsidRPr="00A07F29">
              <w:rPr>
                <w:rFonts w:ascii="Times New Roman" w:eastAsia="Calibri" w:hAnsi="Times New Roman" w:cs="Calibri"/>
                <w:sz w:val="24"/>
                <w:szCs w:val="24"/>
              </w:rPr>
              <w:t>Šultesa</w:t>
            </w:r>
            <w:proofErr w:type="spellEnd"/>
            <w:r w:rsidRPr="00A07F29">
              <w:rPr>
                <w:rFonts w:ascii="Times New Roman" w:eastAsia="Calibri" w:hAnsi="Times New Roman" w:cs="Calibri"/>
                <w:sz w:val="24"/>
                <w:szCs w:val="24"/>
              </w:rPr>
              <w:t xml:space="preserve"> madaras </w:t>
            </w:r>
            <w:proofErr w:type="spellStart"/>
            <w:r w:rsidRPr="00A07F29">
              <w:rPr>
                <w:rFonts w:ascii="Times New Roman" w:eastAsia="Calibri" w:hAnsi="Times New Roman" w:cs="Calibri"/>
                <w:i/>
                <w:iCs/>
                <w:sz w:val="24"/>
                <w:szCs w:val="24"/>
              </w:rPr>
              <w:t>Galium</w:t>
            </w:r>
            <w:proofErr w:type="spellEnd"/>
            <w:r w:rsidRPr="00A07F29">
              <w:rPr>
                <w:rFonts w:ascii="Times New Roman" w:eastAsia="Calibri" w:hAnsi="Times New Roman" w:cs="Calibri"/>
                <w:i/>
                <w:iCs/>
                <w:sz w:val="24"/>
                <w:szCs w:val="24"/>
              </w:rPr>
              <w:t xml:space="preserve"> </w:t>
            </w:r>
            <w:proofErr w:type="spellStart"/>
            <w:r w:rsidRPr="00A07F29">
              <w:rPr>
                <w:rFonts w:ascii="Times New Roman" w:eastAsia="Calibri" w:hAnsi="Times New Roman" w:cs="Calibri"/>
                <w:i/>
                <w:iCs/>
                <w:sz w:val="24"/>
                <w:szCs w:val="24"/>
              </w:rPr>
              <w:t>schultesii</w:t>
            </w:r>
            <w:proofErr w:type="spellEnd"/>
            <w:r w:rsidR="00303AC9">
              <w:rPr>
                <w:rFonts w:ascii="Times New Roman" w:eastAsia="Calibri" w:hAnsi="Times New Roman" w:cs="Calibri"/>
                <w:i/>
                <w:iCs/>
                <w:sz w:val="24"/>
                <w:szCs w:val="24"/>
              </w:rPr>
              <w:t>,</w:t>
            </w:r>
            <w:r w:rsidRPr="00A07F29">
              <w:rPr>
                <w:rFonts w:ascii="Times New Roman" w:eastAsia="Calibri" w:hAnsi="Times New Roman" w:cs="Calibri"/>
                <w:i/>
                <w:iCs/>
                <w:sz w:val="24"/>
                <w:szCs w:val="24"/>
              </w:rPr>
              <w:t xml:space="preserve"> </w:t>
            </w:r>
            <w:r w:rsidRPr="00A07F29">
              <w:rPr>
                <w:rFonts w:ascii="Times New Roman" w:eastAsia="Calibri" w:hAnsi="Times New Roman" w:cs="Calibri"/>
                <w:sz w:val="24"/>
                <w:szCs w:val="24"/>
              </w:rPr>
              <w:t xml:space="preserve">atrastas AAA “Augšdaugava” iepriekš mazāk pētītajā teritorijā no Krāslavas līdz valsts robežai. Līdz ar to Augšdaugavu var uzskatīt par </w:t>
            </w:r>
            <w:proofErr w:type="spellStart"/>
            <w:r w:rsidRPr="00A07F29">
              <w:rPr>
                <w:rFonts w:ascii="Times New Roman" w:eastAsia="Calibri" w:hAnsi="Times New Roman" w:cs="Calibri"/>
                <w:sz w:val="24"/>
                <w:szCs w:val="24"/>
              </w:rPr>
              <w:t>Šultesa</w:t>
            </w:r>
            <w:proofErr w:type="spellEnd"/>
            <w:r w:rsidRPr="00A07F29">
              <w:rPr>
                <w:rFonts w:ascii="Times New Roman" w:eastAsia="Calibri" w:hAnsi="Times New Roman" w:cs="Calibri"/>
                <w:sz w:val="24"/>
                <w:szCs w:val="24"/>
              </w:rPr>
              <w:t xml:space="preserve"> madaras </w:t>
            </w:r>
            <w:proofErr w:type="spellStart"/>
            <w:r w:rsidRPr="00A07F29">
              <w:rPr>
                <w:rFonts w:ascii="Times New Roman" w:eastAsia="Calibri" w:hAnsi="Times New Roman" w:cs="Calibri"/>
                <w:sz w:val="24"/>
                <w:szCs w:val="24"/>
              </w:rPr>
              <w:t>kodolteritoriju</w:t>
            </w:r>
            <w:proofErr w:type="spellEnd"/>
            <w:r w:rsidRPr="00A07F29">
              <w:rPr>
                <w:rFonts w:ascii="Times New Roman" w:eastAsia="Calibri" w:hAnsi="Times New Roman" w:cs="Calibri"/>
                <w:sz w:val="24"/>
                <w:szCs w:val="24"/>
              </w:rPr>
              <w:t>.</w:t>
            </w:r>
          </w:p>
        </w:tc>
        <w:tc>
          <w:tcPr>
            <w:tcW w:w="5601" w:type="dxa"/>
          </w:tcPr>
          <w:p w14:paraId="5FF1403E" w14:textId="42951F26" w:rsidR="0042778D" w:rsidRPr="00A07F29" w:rsidRDefault="0042778D" w:rsidP="00B649FD">
            <w:pPr>
              <w:jc w:val="center"/>
              <w:rPr>
                <w:rFonts w:ascii="Times New Roman" w:eastAsia="Calibri" w:hAnsi="Times New Roman" w:cs="Calibri"/>
                <w:sz w:val="24"/>
                <w:szCs w:val="24"/>
              </w:rPr>
            </w:pPr>
            <w:r w:rsidRPr="00A07F29">
              <w:rPr>
                <w:noProof/>
                <w:lang w:eastAsia="lv-LV"/>
              </w:rPr>
              <w:drawing>
                <wp:inline distT="0" distB="0" distL="0" distR="0" wp14:anchorId="34B38823" wp14:editId="5D2E36B3">
                  <wp:extent cx="3384239" cy="2539064"/>
                  <wp:effectExtent l="0" t="0" r="6985" b="0"/>
                  <wp:docPr id="918145544" name="Picture 918145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8145544"/>
                          <pic:cNvPicPr/>
                        </pic:nvPicPr>
                        <pic:blipFill>
                          <a:blip r:embed="rId64">
                            <a:extLst>
                              <a:ext uri="{28A0092B-C50C-407E-A947-70E740481C1C}">
                                <a14:useLocalDpi xmlns:a14="http://schemas.microsoft.com/office/drawing/2010/main" val="0"/>
                              </a:ext>
                            </a:extLst>
                          </a:blip>
                          <a:stretch>
                            <a:fillRect/>
                          </a:stretch>
                        </pic:blipFill>
                        <pic:spPr>
                          <a:xfrm>
                            <a:off x="0" y="0"/>
                            <a:ext cx="3384239" cy="2539064"/>
                          </a:xfrm>
                          <a:prstGeom prst="rect">
                            <a:avLst/>
                          </a:prstGeom>
                        </pic:spPr>
                      </pic:pic>
                    </a:graphicData>
                  </a:graphic>
                </wp:inline>
              </w:drawing>
            </w:r>
          </w:p>
          <w:p w14:paraId="4547D063" w14:textId="70A20594" w:rsidR="0042778D" w:rsidRPr="00303AC9" w:rsidRDefault="0042778D" w:rsidP="00B649FD">
            <w:pPr>
              <w:ind w:left="143"/>
              <w:jc w:val="both"/>
              <w:rPr>
                <w:rFonts w:ascii="Times New Roman" w:eastAsia="Calibri" w:hAnsi="Times New Roman" w:cs="Calibri"/>
                <w:sz w:val="20"/>
                <w:szCs w:val="20"/>
              </w:rPr>
            </w:pPr>
            <w:r w:rsidRPr="00303AC9">
              <w:rPr>
                <w:rFonts w:ascii="Times New Roman" w:eastAsia="Calibri" w:hAnsi="Times New Roman" w:cs="Calibri"/>
                <w:sz w:val="20"/>
                <w:szCs w:val="20"/>
              </w:rPr>
              <w:t>4.4.4.9.</w:t>
            </w:r>
            <w:r w:rsidR="00D04A30" w:rsidRPr="00303AC9">
              <w:rPr>
                <w:rFonts w:ascii="Times New Roman" w:eastAsia="Calibri" w:hAnsi="Times New Roman" w:cs="Calibri"/>
                <w:sz w:val="20"/>
                <w:szCs w:val="20"/>
              </w:rPr>
              <w:t> </w:t>
            </w:r>
            <w:r w:rsidRPr="00303AC9">
              <w:rPr>
                <w:rFonts w:ascii="Times New Roman" w:eastAsia="Calibri" w:hAnsi="Times New Roman" w:cs="Calibri"/>
                <w:sz w:val="20"/>
                <w:szCs w:val="20"/>
              </w:rPr>
              <w:t>att</w:t>
            </w:r>
            <w:r w:rsidR="00303AC9" w:rsidRPr="00303AC9">
              <w:rPr>
                <w:rFonts w:ascii="Times New Roman" w:eastAsia="Calibri" w:hAnsi="Times New Roman" w:cs="Calibri"/>
                <w:sz w:val="20"/>
                <w:szCs w:val="20"/>
              </w:rPr>
              <w:t>ēls</w:t>
            </w:r>
            <w:r w:rsidRPr="00303AC9">
              <w:rPr>
                <w:rFonts w:ascii="Times New Roman" w:eastAsia="Calibri" w:hAnsi="Times New Roman" w:cs="Calibri"/>
                <w:sz w:val="20"/>
                <w:szCs w:val="20"/>
              </w:rPr>
              <w:t xml:space="preserve">. </w:t>
            </w:r>
            <w:proofErr w:type="spellStart"/>
            <w:r w:rsidRPr="00303AC9">
              <w:rPr>
                <w:rFonts w:ascii="Times New Roman" w:eastAsia="Calibri" w:hAnsi="Times New Roman" w:cs="Calibri"/>
                <w:sz w:val="20"/>
                <w:szCs w:val="20"/>
              </w:rPr>
              <w:t>Šultesa</w:t>
            </w:r>
            <w:proofErr w:type="spellEnd"/>
            <w:r w:rsidRPr="00303AC9">
              <w:rPr>
                <w:rFonts w:ascii="Times New Roman" w:eastAsia="Calibri" w:hAnsi="Times New Roman" w:cs="Calibri"/>
                <w:sz w:val="20"/>
                <w:szCs w:val="20"/>
              </w:rPr>
              <w:t xml:space="preserve"> madaras </w:t>
            </w:r>
            <w:proofErr w:type="spellStart"/>
            <w:r w:rsidRPr="00303AC9">
              <w:rPr>
                <w:rFonts w:ascii="Times New Roman" w:eastAsia="Calibri" w:hAnsi="Times New Roman" w:cs="Calibri"/>
                <w:i/>
                <w:sz w:val="20"/>
                <w:szCs w:val="20"/>
              </w:rPr>
              <w:t>Galium</w:t>
            </w:r>
            <w:proofErr w:type="spellEnd"/>
            <w:r w:rsidRPr="00303AC9">
              <w:rPr>
                <w:rFonts w:ascii="Times New Roman" w:eastAsia="Calibri" w:hAnsi="Times New Roman" w:cs="Calibri"/>
                <w:i/>
                <w:sz w:val="20"/>
                <w:szCs w:val="20"/>
              </w:rPr>
              <w:t xml:space="preserve"> </w:t>
            </w:r>
            <w:proofErr w:type="spellStart"/>
            <w:r w:rsidRPr="00303AC9">
              <w:rPr>
                <w:rFonts w:ascii="Times New Roman" w:eastAsia="Calibri" w:hAnsi="Times New Roman" w:cs="Calibri"/>
                <w:i/>
                <w:sz w:val="20"/>
                <w:szCs w:val="20"/>
              </w:rPr>
              <w:t>schultesii</w:t>
            </w:r>
            <w:proofErr w:type="spellEnd"/>
            <w:r w:rsidRPr="00303AC9">
              <w:rPr>
                <w:rFonts w:ascii="Times New Roman" w:eastAsia="Calibri" w:hAnsi="Times New Roman" w:cs="Calibri"/>
                <w:sz w:val="20"/>
                <w:szCs w:val="20"/>
              </w:rPr>
              <w:t xml:space="preserve"> atradne </w:t>
            </w:r>
            <w:proofErr w:type="spellStart"/>
            <w:r w:rsidRPr="00303AC9">
              <w:rPr>
                <w:rFonts w:ascii="Times New Roman" w:eastAsia="Calibri" w:hAnsi="Times New Roman" w:cs="Calibri"/>
                <w:sz w:val="20"/>
                <w:szCs w:val="20"/>
              </w:rPr>
              <w:t>Šilovkas</w:t>
            </w:r>
            <w:proofErr w:type="spellEnd"/>
            <w:r w:rsidRPr="00303AC9">
              <w:rPr>
                <w:rFonts w:ascii="Times New Roman" w:eastAsia="Calibri" w:hAnsi="Times New Roman" w:cs="Calibri"/>
                <w:sz w:val="20"/>
                <w:szCs w:val="20"/>
              </w:rPr>
              <w:t xml:space="preserve"> ezera apkārtnē (Foto: P</w:t>
            </w:r>
            <w:r w:rsidR="00303AC9" w:rsidRPr="00303AC9">
              <w:rPr>
                <w:rFonts w:ascii="Times New Roman" w:eastAsia="Calibri" w:hAnsi="Times New Roman" w:cs="Calibri"/>
                <w:sz w:val="20"/>
                <w:szCs w:val="20"/>
              </w:rPr>
              <w:t>. </w:t>
            </w:r>
            <w:proofErr w:type="spellStart"/>
            <w:r w:rsidRPr="00303AC9">
              <w:rPr>
                <w:rFonts w:ascii="Times New Roman" w:eastAsia="Calibri" w:hAnsi="Times New Roman" w:cs="Calibri"/>
                <w:sz w:val="20"/>
                <w:szCs w:val="20"/>
              </w:rPr>
              <w:t>Evarts-Bunders</w:t>
            </w:r>
            <w:proofErr w:type="spellEnd"/>
            <w:r w:rsidRPr="00303AC9">
              <w:rPr>
                <w:rFonts w:ascii="Times New Roman" w:eastAsia="Calibri" w:hAnsi="Times New Roman" w:cs="Calibri"/>
                <w:sz w:val="20"/>
                <w:szCs w:val="20"/>
              </w:rPr>
              <w:t>)</w:t>
            </w:r>
          </w:p>
          <w:p w14:paraId="2AF62F43" w14:textId="0A5286B5" w:rsidR="0042778D" w:rsidRPr="00A07F29" w:rsidRDefault="0042778D" w:rsidP="00B649FD">
            <w:pPr>
              <w:jc w:val="both"/>
              <w:rPr>
                <w:rFonts w:ascii="Times New Roman" w:eastAsia="Calibri" w:hAnsi="Times New Roman" w:cs="Calibri"/>
                <w:sz w:val="24"/>
                <w:szCs w:val="24"/>
              </w:rPr>
            </w:pPr>
          </w:p>
        </w:tc>
      </w:tr>
    </w:tbl>
    <w:p w14:paraId="2BBB1D7D" w14:textId="49CFF624" w:rsidR="00C229A1" w:rsidRPr="00A07F29" w:rsidRDefault="00C229A1" w:rsidP="00C229A1">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lastRenderedPageBreak/>
        <w:t xml:space="preserve">Suga aug tikai mežos un krūmājos, atklātās </w:t>
      </w:r>
      <w:proofErr w:type="spellStart"/>
      <w:r w:rsidRPr="00A07F29">
        <w:rPr>
          <w:rFonts w:ascii="Times New Roman" w:eastAsia="Calibri" w:hAnsi="Times New Roman" w:cs="Times New Roman"/>
          <w:sz w:val="24"/>
          <w:szCs w:val="24"/>
        </w:rPr>
        <w:t>augtenēs</w:t>
      </w:r>
      <w:proofErr w:type="spellEnd"/>
      <w:r w:rsidRPr="00A07F29">
        <w:rPr>
          <w:rFonts w:ascii="Times New Roman" w:eastAsia="Calibri" w:hAnsi="Times New Roman" w:cs="Times New Roman"/>
          <w:sz w:val="24"/>
          <w:szCs w:val="24"/>
        </w:rPr>
        <w:t xml:space="preserve"> nav sastopama, līdz ar to sugu apdraud intensīva meži</w:t>
      </w:r>
      <w:r w:rsidR="00903203">
        <w:rPr>
          <w:rFonts w:ascii="Times New Roman" w:eastAsia="Calibri" w:hAnsi="Times New Roman" w:cs="Times New Roman"/>
          <w:sz w:val="24"/>
          <w:szCs w:val="24"/>
        </w:rPr>
        <w:t>z</w:t>
      </w:r>
      <w:r w:rsidRPr="00A07F29">
        <w:rPr>
          <w:rFonts w:ascii="Times New Roman" w:eastAsia="Calibri" w:hAnsi="Times New Roman" w:cs="Times New Roman"/>
          <w:sz w:val="24"/>
          <w:szCs w:val="24"/>
        </w:rPr>
        <w:t>strāde: meža izciršana, vagu aršana meža stādīšanas laik</w:t>
      </w:r>
      <w:r w:rsidR="00903203">
        <w:rPr>
          <w:rFonts w:ascii="Times New Roman" w:eastAsia="Calibri" w:hAnsi="Times New Roman" w:cs="Times New Roman"/>
          <w:sz w:val="24"/>
          <w:szCs w:val="24"/>
        </w:rPr>
        <w:t>ā</w:t>
      </w:r>
      <w:r w:rsidRPr="00A07F29">
        <w:rPr>
          <w:rFonts w:ascii="Times New Roman" w:eastAsia="Calibri" w:hAnsi="Times New Roman" w:cs="Times New Roman"/>
          <w:sz w:val="24"/>
          <w:szCs w:val="24"/>
        </w:rPr>
        <w:t>.</w:t>
      </w:r>
    </w:p>
    <w:p w14:paraId="68EE1942" w14:textId="123319AD" w:rsidR="002B1603" w:rsidRPr="00A07F29" w:rsidRDefault="002B1603" w:rsidP="00B649FD">
      <w:pPr>
        <w:spacing w:after="120" w:line="240" w:lineRule="auto"/>
        <w:ind w:firstLine="851"/>
        <w:jc w:val="both"/>
        <w:rPr>
          <w:rFonts w:ascii="Times New Roman" w:eastAsia="Calibri" w:hAnsi="Times New Roman" w:cs="Times New Roman"/>
          <w:sz w:val="24"/>
          <w:szCs w:val="24"/>
        </w:rPr>
      </w:pPr>
      <w:proofErr w:type="spellStart"/>
      <w:r w:rsidRPr="00A07F29">
        <w:rPr>
          <w:rFonts w:ascii="Times New Roman" w:eastAsia="Calibri" w:hAnsi="Times New Roman" w:cs="Times New Roman"/>
          <w:b/>
          <w:sz w:val="24"/>
          <w:szCs w:val="24"/>
        </w:rPr>
        <w:t>Villainā</w:t>
      </w:r>
      <w:proofErr w:type="spellEnd"/>
      <w:r w:rsidRPr="00A07F29">
        <w:rPr>
          <w:rFonts w:ascii="Times New Roman" w:eastAsia="Calibri" w:hAnsi="Times New Roman" w:cs="Times New Roman"/>
          <w:b/>
          <w:sz w:val="24"/>
          <w:szCs w:val="24"/>
        </w:rPr>
        <w:t xml:space="preserve"> gundega </w:t>
      </w:r>
      <w:proofErr w:type="spellStart"/>
      <w:r w:rsidRPr="00A07F29">
        <w:rPr>
          <w:rFonts w:ascii="Times New Roman" w:eastAsia="Calibri" w:hAnsi="Times New Roman" w:cs="Times New Roman"/>
          <w:b/>
          <w:i/>
          <w:sz w:val="24"/>
          <w:szCs w:val="24"/>
        </w:rPr>
        <w:t>Ranunculus</w:t>
      </w:r>
      <w:proofErr w:type="spellEnd"/>
      <w:r w:rsidRPr="00A07F29">
        <w:rPr>
          <w:rFonts w:ascii="Times New Roman" w:eastAsia="Calibri" w:hAnsi="Times New Roman" w:cs="Times New Roman"/>
          <w:b/>
          <w:i/>
          <w:sz w:val="24"/>
          <w:szCs w:val="24"/>
        </w:rPr>
        <w:t xml:space="preserve"> </w:t>
      </w:r>
      <w:proofErr w:type="spellStart"/>
      <w:r w:rsidRPr="00A07F29">
        <w:rPr>
          <w:rFonts w:ascii="Times New Roman" w:eastAsia="Calibri" w:hAnsi="Times New Roman" w:cs="Times New Roman"/>
          <w:b/>
          <w:i/>
          <w:sz w:val="24"/>
          <w:szCs w:val="24"/>
        </w:rPr>
        <w:t>lanuginosus</w:t>
      </w:r>
      <w:proofErr w:type="spellEnd"/>
      <w:r w:rsidRPr="00A07F29">
        <w:rPr>
          <w:rFonts w:ascii="Times New Roman" w:eastAsia="Calibri" w:hAnsi="Times New Roman" w:cs="Times New Roman"/>
          <w:sz w:val="24"/>
          <w:szCs w:val="24"/>
        </w:rPr>
        <w:t xml:space="preserve"> Latvijā </w:t>
      </w:r>
      <w:r w:rsidR="00B91DF7" w:rsidRPr="00A07F29">
        <w:rPr>
          <w:rFonts w:ascii="Times New Roman" w:eastAsia="Calibri" w:hAnsi="Times New Roman" w:cs="Times New Roman"/>
          <w:sz w:val="24"/>
          <w:szCs w:val="24"/>
        </w:rPr>
        <w:t xml:space="preserve">izplatīta </w:t>
      </w:r>
      <w:r w:rsidRPr="00A07F29">
        <w:rPr>
          <w:rFonts w:ascii="Times New Roman" w:eastAsia="Calibri" w:hAnsi="Times New Roman" w:cs="Times New Roman"/>
          <w:sz w:val="24"/>
          <w:szCs w:val="24"/>
        </w:rPr>
        <w:t xml:space="preserve">nevienmērīgi – suga ir raksturīga Zemgales līdzenumam un </w:t>
      </w:r>
      <w:proofErr w:type="spellStart"/>
      <w:r w:rsidRPr="00A07F29">
        <w:rPr>
          <w:rFonts w:ascii="Times New Roman" w:eastAsia="Calibri" w:hAnsi="Times New Roman" w:cs="Times New Roman"/>
          <w:sz w:val="24"/>
          <w:szCs w:val="24"/>
        </w:rPr>
        <w:t>Rietumlatvijas</w:t>
      </w:r>
      <w:proofErr w:type="spellEnd"/>
      <w:r w:rsidRPr="00A07F29">
        <w:rPr>
          <w:rFonts w:ascii="Times New Roman" w:eastAsia="Calibri" w:hAnsi="Times New Roman" w:cs="Times New Roman"/>
          <w:sz w:val="24"/>
          <w:szCs w:val="24"/>
        </w:rPr>
        <w:t xml:space="preserve"> Piejūras zemienei, kur sastopama platlapju (gāršas tipa) un platlapju – skujkoku tipa mežos, bieži upju ielejās. Latvijā suga sasniedz savas izplatības </w:t>
      </w:r>
      <w:r w:rsidR="00B91DF7" w:rsidRPr="00A07F29">
        <w:rPr>
          <w:rFonts w:ascii="Times New Roman" w:eastAsia="Calibri" w:hAnsi="Times New Roman" w:cs="Times New Roman"/>
          <w:sz w:val="24"/>
          <w:szCs w:val="24"/>
        </w:rPr>
        <w:t xml:space="preserve">Z </w:t>
      </w:r>
      <w:r w:rsidRPr="00A07F29">
        <w:rPr>
          <w:rFonts w:ascii="Times New Roman" w:eastAsia="Calibri" w:hAnsi="Times New Roman" w:cs="Times New Roman"/>
          <w:sz w:val="24"/>
          <w:szCs w:val="24"/>
        </w:rPr>
        <w:t xml:space="preserve">robežu. </w:t>
      </w:r>
      <w:proofErr w:type="spellStart"/>
      <w:r w:rsidRPr="00A07F29">
        <w:rPr>
          <w:rFonts w:ascii="Times New Roman" w:eastAsia="Calibri" w:hAnsi="Times New Roman" w:cs="Times New Roman"/>
          <w:sz w:val="24"/>
          <w:szCs w:val="24"/>
        </w:rPr>
        <w:t>Austrumlatvijā</w:t>
      </w:r>
      <w:proofErr w:type="spellEnd"/>
      <w:r w:rsidRPr="00A07F29">
        <w:rPr>
          <w:rFonts w:ascii="Times New Roman" w:eastAsia="Calibri" w:hAnsi="Times New Roman" w:cs="Times New Roman"/>
          <w:sz w:val="24"/>
          <w:szCs w:val="24"/>
        </w:rPr>
        <w:t xml:space="preserve"> suga sastopama </w:t>
      </w:r>
      <w:r w:rsidR="00120CDE" w:rsidRPr="00A07F29">
        <w:rPr>
          <w:rFonts w:ascii="Times New Roman" w:eastAsia="Calibri" w:hAnsi="Times New Roman" w:cs="Times New Roman"/>
          <w:sz w:val="24"/>
          <w:szCs w:val="24"/>
        </w:rPr>
        <w:t>Augšdaugavas</w:t>
      </w:r>
      <w:r w:rsidRPr="00A07F29">
        <w:rPr>
          <w:rFonts w:ascii="Times New Roman" w:eastAsia="Calibri" w:hAnsi="Times New Roman" w:cs="Times New Roman"/>
          <w:sz w:val="24"/>
          <w:szCs w:val="24"/>
        </w:rPr>
        <w:t xml:space="preserve"> novadā – atsevišķu </w:t>
      </w:r>
      <w:proofErr w:type="spellStart"/>
      <w:r w:rsidRPr="00A07F29">
        <w:rPr>
          <w:rFonts w:ascii="Times New Roman" w:eastAsia="Calibri" w:hAnsi="Times New Roman" w:cs="Times New Roman"/>
          <w:sz w:val="24"/>
          <w:szCs w:val="24"/>
        </w:rPr>
        <w:t>salveidīgu</w:t>
      </w:r>
      <w:proofErr w:type="spellEnd"/>
      <w:r w:rsidRPr="00A07F29">
        <w:rPr>
          <w:rFonts w:ascii="Times New Roman" w:eastAsia="Calibri" w:hAnsi="Times New Roman" w:cs="Times New Roman"/>
          <w:sz w:val="24"/>
          <w:szCs w:val="24"/>
        </w:rPr>
        <w:t xml:space="preserve"> atradņu veidā, lielākoties tieši </w:t>
      </w:r>
      <w:r w:rsidR="00B91DF7" w:rsidRPr="00A07F29">
        <w:rPr>
          <w:rFonts w:ascii="Times New Roman" w:eastAsia="Calibri" w:hAnsi="Times New Roman" w:cs="Times New Roman"/>
          <w:sz w:val="24"/>
          <w:szCs w:val="24"/>
        </w:rPr>
        <w:t xml:space="preserve">DP </w:t>
      </w:r>
      <w:r w:rsidR="00033FCF">
        <w:rPr>
          <w:rFonts w:ascii="Times New Roman" w:eastAsia="Calibri" w:hAnsi="Times New Roman" w:cs="Times New Roman"/>
          <w:sz w:val="24"/>
          <w:szCs w:val="24"/>
        </w:rPr>
        <w:t>“</w:t>
      </w:r>
      <w:r w:rsidRPr="00A07F29">
        <w:rPr>
          <w:rFonts w:ascii="Times New Roman" w:eastAsia="Calibri" w:hAnsi="Times New Roman" w:cs="Times New Roman"/>
          <w:sz w:val="24"/>
          <w:szCs w:val="24"/>
        </w:rPr>
        <w:t>Daugavas loki”. AAA teritorijā pirmo reizi konstatēta pie Naujenes 1939.</w:t>
      </w:r>
      <w:r w:rsidR="00033FCF">
        <w:rPr>
          <w:rFonts w:ascii="Times New Roman" w:eastAsia="Calibri" w:hAnsi="Times New Roman" w:cs="Times New Roman"/>
          <w:sz w:val="24"/>
          <w:szCs w:val="24"/>
        </w:rPr>
        <w:t> </w:t>
      </w:r>
      <w:r w:rsidRPr="00A07F29">
        <w:rPr>
          <w:rFonts w:ascii="Times New Roman" w:eastAsia="Calibri" w:hAnsi="Times New Roman" w:cs="Times New Roman"/>
          <w:sz w:val="24"/>
          <w:szCs w:val="24"/>
        </w:rPr>
        <w:t>gadā (</w:t>
      </w:r>
      <w:proofErr w:type="spellStart"/>
      <w:r w:rsidRPr="00A07F29">
        <w:rPr>
          <w:rFonts w:ascii="Times New Roman" w:eastAsia="Calibri" w:hAnsi="Times New Roman" w:cs="Times New Roman"/>
          <w:sz w:val="24"/>
          <w:szCs w:val="24"/>
        </w:rPr>
        <w:t>Villerts</w:t>
      </w:r>
      <w:proofErr w:type="spellEnd"/>
      <w:r w:rsidR="00457DDC">
        <w:rPr>
          <w:rFonts w:ascii="Times New Roman" w:eastAsia="Calibri" w:hAnsi="Times New Roman" w:cs="Times New Roman"/>
          <w:sz w:val="24"/>
          <w:szCs w:val="24"/>
        </w:rPr>
        <w:t xml:space="preserve"> A.,</w:t>
      </w:r>
      <w:r w:rsidRPr="00A07F29">
        <w:rPr>
          <w:rFonts w:ascii="Times New Roman" w:eastAsia="Calibri" w:hAnsi="Times New Roman" w:cs="Times New Roman"/>
          <w:sz w:val="24"/>
          <w:szCs w:val="24"/>
        </w:rPr>
        <w:t xml:space="preserve"> 1940). Pašlaik sugai zināmas aptuveni </w:t>
      </w:r>
      <w:r w:rsidR="003D3B1E">
        <w:rPr>
          <w:rFonts w:ascii="Times New Roman" w:eastAsia="Calibri" w:hAnsi="Times New Roman" w:cs="Times New Roman"/>
          <w:sz w:val="24"/>
          <w:szCs w:val="24"/>
        </w:rPr>
        <w:t>10</w:t>
      </w:r>
      <w:r w:rsidRPr="00A07F29">
        <w:rPr>
          <w:rFonts w:ascii="Times New Roman" w:eastAsia="Calibri" w:hAnsi="Times New Roman" w:cs="Times New Roman"/>
          <w:sz w:val="24"/>
          <w:szCs w:val="24"/>
        </w:rPr>
        <w:t xml:space="preserve"> atradnes Daugavas loku teritorijā, </w:t>
      </w:r>
      <w:r w:rsidR="00B91DF7" w:rsidRPr="00A07F29">
        <w:rPr>
          <w:rFonts w:ascii="Times New Roman" w:eastAsia="Calibri" w:hAnsi="Times New Roman" w:cs="Times New Roman"/>
          <w:sz w:val="24"/>
          <w:szCs w:val="24"/>
        </w:rPr>
        <w:t xml:space="preserve">bet </w:t>
      </w:r>
      <w:r w:rsidRPr="00A07F29">
        <w:rPr>
          <w:rFonts w:ascii="Times New Roman" w:eastAsia="Calibri" w:hAnsi="Times New Roman" w:cs="Times New Roman"/>
          <w:sz w:val="24"/>
          <w:szCs w:val="24"/>
        </w:rPr>
        <w:t>no Krāslavas līdz valsts robežai suga nav atrasta. Sugu potenciāli apdraud gāršas tipa mežu izciršana un biotopu maiņa, tomēr, ņemot vērā sugai nepieciešamo biotopu aizsardzību Latvijā un aizvien jaunu atradņu konstatēšanu pēdējos gados, suga ir maz apdraudēta.</w:t>
      </w:r>
    </w:p>
    <w:p w14:paraId="114BF55C" w14:textId="77777777" w:rsidR="002B1603" w:rsidRPr="00A07F29" w:rsidRDefault="002B1603" w:rsidP="00B649FD">
      <w:pPr>
        <w:spacing w:after="0" w:line="240" w:lineRule="auto"/>
        <w:ind w:firstLine="851"/>
        <w:jc w:val="both"/>
        <w:rPr>
          <w:rFonts w:ascii="Times New Roman" w:eastAsia="Calibri" w:hAnsi="Times New Roman" w:cs="Calibri"/>
          <w:b/>
          <w:sz w:val="24"/>
          <w:szCs w:val="24"/>
        </w:rPr>
      </w:pPr>
    </w:p>
    <w:p w14:paraId="2A1091FB" w14:textId="7C8135AD" w:rsidR="002B1603" w:rsidRPr="00A07F29" w:rsidRDefault="002B1603" w:rsidP="00B649FD">
      <w:pPr>
        <w:keepNext/>
        <w:spacing w:after="120" w:line="240" w:lineRule="auto"/>
        <w:jc w:val="both"/>
        <w:rPr>
          <w:rFonts w:ascii="Times New Roman" w:eastAsia="Calibri" w:hAnsi="Times New Roman" w:cs="Calibri"/>
          <w:b/>
          <w:i/>
          <w:sz w:val="24"/>
          <w:szCs w:val="24"/>
        </w:rPr>
      </w:pPr>
      <w:r w:rsidRPr="00A07F29">
        <w:rPr>
          <w:rFonts w:ascii="Times New Roman" w:eastAsia="Calibri" w:hAnsi="Times New Roman" w:cs="Calibri"/>
          <w:b/>
          <w:i/>
          <w:sz w:val="24"/>
          <w:szCs w:val="24"/>
        </w:rPr>
        <w:t>Zālāju retās un aizsargājamās sugas</w:t>
      </w:r>
    </w:p>
    <w:p w14:paraId="58BD0F91" w14:textId="0118E510" w:rsidR="002B1603" w:rsidRPr="00A07F29" w:rsidRDefault="002B1603" w:rsidP="00B649FD">
      <w:pPr>
        <w:spacing w:after="0" w:line="240" w:lineRule="auto"/>
        <w:ind w:firstLine="851"/>
        <w:jc w:val="both"/>
        <w:rPr>
          <w:rFonts w:ascii="Times New Roman" w:eastAsia="Calibri" w:hAnsi="Times New Roman" w:cs="Calibri"/>
          <w:sz w:val="24"/>
          <w:szCs w:val="24"/>
        </w:rPr>
      </w:pPr>
      <w:r w:rsidRPr="00A07F29">
        <w:rPr>
          <w:rFonts w:ascii="Times New Roman" w:eastAsia="Calibri" w:hAnsi="Times New Roman" w:cs="Calibri"/>
          <w:b/>
          <w:sz w:val="24"/>
          <w:szCs w:val="24"/>
        </w:rPr>
        <w:t xml:space="preserve">Brūnais </w:t>
      </w:r>
      <w:proofErr w:type="spellStart"/>
      <w:r w:rsidRPr="00A07F29">
        <w:rPr>
          <w:rFonts w:ascii="Times New Roman" w:eastAsia="Calibri" w:hAnsi="Times New Roman" w:cs="Calibri"/>
          <w:b/>
          <w:sz w:val="24"/>
          <w:szCs w:val="24"/>
        </w:rPr>
        <w:t>dižmeldrs</w:t>
      </w:r>
      <w:proofErr w:type="spellEnd"/>
      <w:r w:rsidRPr="00A07F29">
        <w:rPr>
          <w:rFonts w:ascii="Times New Roman" w:eastAsia="Calibri" w:hAnsi="Times New Roman" w:cs="Calibri"/>
          <w:b/>
          <w:sz w:val="24"/>
          <w:szCs w:val="24"/>
        </w:rPr>
        <w:t xml:space="preserve"> </w:t>
      </w:r>
      <w:proofErr w:type="spellStart"/>
      <w:r w:rsidRPr="00A07F29">
        <w:rPr>
          <w:rFonts w:ascii="Times New Roman" w:eastAsia="Calibri" w:hAnsi="Times New Roman" w:cs="Calibri"/>
          <w:b/>
          <w:i/>
          <w:sz w:val="24"/>
          <w:szCs w:val="24"/>
        </w:rPr>
        <w:t>Cyperus</w:t>
      </w:r>
      <w:proofErr w:type="spellEnd"/>
      <w:r w:rsidRPr="00A07F29">
        <w:rPr>
          <w:rFonts w:ascii="Times New Roman" w:eastAsia="Calibri" w:hAnsi="Times New Roman" w:cs="Calibri"/>
          <w:b/>
          <w:i/>
          <w:sz w:val="24"/>
          <w:szCs w:val="24"/>
        </w:rPr>
        <w:t xml:space="preserve"> </w:t>
      </w:r>
      <w:proofErr w:type="spellStart"/>
      <w:r w:rsidRPr="00A07F29">
        <w:rPr>
          <w:rFonts w:ascii="Times New Roman" w:eastAsia="Calibri" w:hAnsi="Times New Roman" w:cs="Calibri"/>
          <w:b/>
          <w:i/>
          <w:sz w:val="24"/>
          <w:szCs w:val="24"/>
        </w:rPr>
        <w:t>fuscus</w:t>
      </w:r>
      <w:proofErr w:type="spellEnd"/>
      <w:r w:rsidRPr="00A07F29">
        <w:rPr>
          <w:rFonts w:ascii="Times New Roman" w:eastAsia="Calibri" w:hAnsi="Times New Roman" w:cs="Calibri"/>
          <w:b/>
          <w:sz w:val="24"/>
          <w:szCs w:val="24"/>
        </w:rPr>
        <w:t xml:space="preserve"> </w:t>
      </w:r>
      <w:r w:rsidR="00B91DF7" w:rsidRPr="00A07F29">
        <w:rPr>
          <w:rFonts w:ascii="Times New Roman" w:eastAsia="Calibri" w:hAnsi="Times New Roman" w:cs="Calibri"/>
          <w:sz w:val="24"/>
          <w:szCs w:val="24"/>
        </w:rPr>
        <w:t>ir</w:t>
      </w:r>
      <w:r w:rsidRPr="00A07F29">
        <w:rPr>
          <w:rFonts w:ascii="Times New Roman" w:eastAsia="Calibri" w:hAnsi="Times New Roman" w:cs="Calibri"/>
          <w:sz w:val="24"/>
          <w:szCs w:val="24"/>
        </w:rPr>
        <w:t xml:space="preserve"> sastopams Eirāzijā no siltās līdz mērenai joslai</w:t>
      </w:r>
      <w:r w:rsidR="00B91DF7" w:rsidRPr="00A07F29">
        <w:rPr>
          <w:rFonts w:ascii="Times New Roman" w:eastAsia="Calibri" w:hAnsi="Times New Roman" w:cs="Calibri"/>
          <w:sz w:val="24"/>
          <w:szCs w:val="24"/>
        </w:rPr>
        <w:t>, i</w:t>
      </w:r>
      <w:r w:rsidRPr="00A07F29">
        <w:rPr>
          <w:rFonts w:ascii="Times New Roman" w:eastAsia="Calibri" w:hAnsi="Times New Roman" w:cs="Calibri"/>
          <w:sz w:val="24"/>
          <w:szCs w:val="24"/>
        </w:rPr>
        <w:t xml:space="preserve">erakstīts Latvijas, Lietuvas, Baltijas reģiona un Ziemeļvalstu Sarkanajā grāmatā. Brūnais </w:t>
      </w:r>
      <w:proofErr w:type="spellStart"/>
      <w:r w:rsidRPr="00A07F29">
        <w:rPr>
          <w:rFonts w:ascii="Times New Roman" w:eastAsia="Calibri" w:hAnsi="Times New Roman" w:cs="Calibri"/>
          <w:sz w:val="24"/>
          <w:szCs w:val="24"/>
        </w:rPr>
        <w:t>dižmeldrs</w:t>
      </w:r>
      <w:proofErr w:type="spellEnd"/>
      <w:r w:rsidRPr="00A07F29">
        <w:rPr>
          <w:rFonts w:ascii="Times New Roman" w:eastAsia="Calibri" w:hAnsi="Times New Roman" w:cs="Calibri"/>
          <w:sz w:val="24"/>
          <w:szCs w:val="24"/>
        </w:rPr>
        <w:t xml:space="preserve"> sastopams ezeru un upju sērēs, palieņu pļavās. Suga AAA “Augšdaugava” teritorijā pirmoreiz konstatēta 2010.</w:t>
      </w:r>
      <w:r w:rsidR="002B2F2B">
        <w:rPr>
          <w:rFonts w:ascii="Times New Roman" w:eastAsia="Calibri" w:hAnsi="Times New Roman" w:cs="Calibri"/>
          <w:sz w:val="24"/>
          <w:szCs w:val="24"/>
        </w:rPr>
        <w:t> </w:t>
      </w:r>
      <w:r w:rsidRPr="00A07F29">
        <w:rPr>
          <w:rFonts w:ascii="Times New Roman" w:eastAsia="Calibri" w:hAnsi="Times New Roman" w:cs="Calibri"/>
          <w:sz w:val="24"/>
          <w:szCs w:val="24"/>
        </w:rPr>
        <w:t xml:space="preserve">gadā </w:t>
      </w:r>
      <w:proofErr w:type="spellStart"/>
      <w:r w:rsidRPr="00A07F29">
        <w:rPr>
          <w:rFonts w:ascii="Times New Roman" w:eastAsia="Calibri" w:hAnsi="Times New Roman" w:cs="Calibri"/>
          <w:sz w:val="24"/>
          <w:szCs w:val="24"/>
        </w:rPr>
        <w:t>Novoseļci</w:t>
      </w:r>
      <w:proofErr w:type="spellEnd"/>
      <w:r w:rsidRPr="00A07F29">
        <w:rPr>
          <w:rFonts w:ascii="Times New Roman" w:eastAsia="Calibri" w:hAnsi="Times New Roman" w:cs="Calibri"/>
          <w:sz w:val="24"/>
          <w:szCs w:val="24"/>
        </w:rPr>
        <w:t xml:space="preserve"> apkārtnē Daugavas palienē, šobrīd zināmas divas atradnes. Iespējams, ka sugai ir vēl vairākas </w:t>
      </w:r>
      <w:r w:rsidR="00386A67" w:rsidRPr="00A07F29">
        <w:rPr>
          <w:rFonts w:ascii="Times New Roman" w:eastAsia="Calibri" w:hAnsi="Times New Roman" w:cs="Calibri"/>
          <w:sz w:val="24"/>
          <w:szCs w:val="24"/>
        </w:rPr>
        <w:t>atradnes</w:t>
      </w:r>
      <w:r w:rsidRPr="00A07F29">
        <w:rPr>
          <w:rFonts w:ascii="Times New Roman" w:eastAsia="Calibri" w:hAnsi="Times New Roman" w:cs="Calibri"/>
          <w:sz w:val="24"/>
          <w:szCs w:val="24"/>
        </w:rPr>
        <w:t xml:space="preserve"> Daugavas palienē, jo 2010.</w:t>
      </w:r>
      <w:r w:rsidR="002B2F2B">
        <w:rPr>
          <w:rFonts w:ascii="Times New Roman" w:eastAsia="Calibri" w:hAnsi="Times New Roman" w:cs="Calibri"/>
          <w:sz w:val="24"/>
          <w:szCs w:val="24"/>
        </w:rPr>
        <w:t> </w:t>
      </w:r>
      <w:r w:rsidRPr="00A07F29">
        <w:rPr>
          <w:rFonts w:ascii="Times New Roman" w:eastAsia="Calibri" w:hAnsi="Times New Roman" w:cs="Calibri"/>
          <w:sz w:val="24"/>
          <w:szCs w:val="24"/>
        </w:rPr>
        <w:t>gadā konstatēta arī Daugavpilī pie Daugavas (</w:t>
      </w:r>
      <w:proofErr w:type="spellStart"/>
      <w:r w:rsidRPr="00A07F29">
        <w:rPr>
          <w:rFonts w:ascii="Times New Roman" w:eastAsia="Calibri" w:hAnsi="Times New Roman" w:cs="Calibri"/>
          <w:sz w:val="24"/>
          <w:szCs w:val="24"/>
        </w:rPr>
        <w:t>Evarts-Bunders</w:t>
      </w:r>
      <w:proofErr w:type="spellEnd"/>
      <w:r w:rsidR="002B2F2B">
        <w:rPr>
          <w:rFonts w:ascii="Times New Roman" w:eastAsia="Calibri" w:hAnsi="Times New Roman" w:cs="Calibri"/>
          <w:sz w:val="24"/>
          <w:szCs w:val="24"/>
        </w:rPr>
        <w:t xml:space="preserve"> P.,</w:t>
      </w:r>
      <w:r w:rsidRPr="00A07F29">
        <w:rPr>
          <w:rFonts w:ascii="Times New Roman" w:eastAsia="Calibri" w:hAnsi="Times New Roman" w:cs="Calibri"/>
          <w:sz w:val="24"/>
          <w:szCs w:val="24"/>
        </w:rPr>
        <w:t xml:space="preserve"> </w:t>
      </w:r>
      <w:proofErr w:type="spellStart"/>
      <w:r w:rsidRPr="00A07F29">
        <w:rPr>
          <w:rFonts w:ascii="Times New Roman" w:eastAsia="Calibri" w:hAnsi="Times New Roman" w:cs="Calibri"/>
          <w:sz w:val="24"/>
          <w:szCs w:val="24"/>
        </w:rPr>
        <w:t>et</w:t>
      </w:r>
      <w:proofErr w:type="spellEnd"/>
      <w:r w:rsidRPr="00A07F29">
        <w:rPr>
          <w:rFonts w:ascii="Times New Roman" w:eastAsia="Calibri" w:hAnsi="Times New Roman" w:cs="Calibri"/>
          <w:sz w:val="24"/>
          <w:szCs w:val="24"/>
        </w:rPr>
        <w:t xml:space="preserve"> </w:t>
      </w:r>
      <w:proofErr w:type="spellStart"/>
      <w:r w:rsidRPr="00A07F29">
        <w:rPr>
          <w:rFonts w:ascii="Times New Roman" w:eastAsia="Calibri" w:hAnsi="Times New Roman" w:cs="Calibri"/>
          <w:sz w:val="24"/>
          <w:szCs w:val="24"/>
        </w:rPr>
        <w:t>al</w:t>
      </w:r>
      <w:proofErr w:type="spellEnd"/>
      <w:r w:rsidRPr="00A07F29">
        <w:rPr>
          <w:rFonts w:ascii="Times New Roman" w:eastAsia="Calibri" w:hAnsi="Times New Roman" w:cs="Calibri"/>
          <w:sz w:val="24"/>
          <w:szCs w:val="24"/>
        </w:rPr>
        <w:t>.</w:t>
      </w:r>
      <w:r w:rsidR="002B2F2B">
        <w:rPr>
          <w:rFonts w:ascii="Times New Roman" w:eastAsia="Calibri" w:hAnsi="Times New Roman" w:cs="Calibri"/>
          <w:sz w:val="24"/>
          <w:szCs w:val="24"/>
        </w:rPr>
        <w:t>,</w:t>
      </w:r>
      <w:r w:rsidRPr="00A07F29">
        <w:rPr>
          <w:rFonts w:ascii="Times New Roman" w:eastAsia="Calibri" w:hAnsi="Times New Roman" w:cs="Calibri"/>
          <w:sz w:val="24"/>
          <w:szCs w:val="24"/>
        </w:rPr>
        <w:t xml:space="preserve"> 2015). Suga grūti pamanāma tās nelielo izmēru dēļ. Sugu potenciāli apdraud ūdens līmeņa celšana Daugavā.</w:t>
      </w:r>
    </w:p>
    <w:p w14:paraId="0B515770" w14:textId="13324736" w:rsidR="002B1603" w:rsidRPr="00A07F29" w:rsidRDefault="002B1603" w:rsidP="00B649FD">
      <w:pPr>
        <w:spacing w:before="120" w:after="0" w:line="240" w:lineRule="auto"/>
        <w:ind w:firstLine="851"/>
        <w:jc w:val="both"/>
        <w:rPr>
          <w:rFonts w:ascii="Times New Roman" w:eastAsia="Calibri" w:hAnsi="Times New Roman" w:cs="Calibri"/>
          <w:sz w:val="24"/>
          <w:szCs w:val="24"/>
        </w:rPr>
      </w:pPr>
      <w:r w:rsidRPr="00A07F29">
        <w:rPr>
          <w:rFonts w:ascii="Times New Roman" w:eastAsia="Calibri" w:hAnsi="Times New Roman" w:cs="Calibri"/>
          <w:b/>
          <w:sz w:val="24"/>
          <w:szCs w:val="24"/>
        </w:rPr>
        <w:t xml:space="preserve">Akotainais grīslis </w:t>
      </w:r>
      <w:proofErr w:type="spellStart"/>
      <w:r w:rsidRPr="00A07F29">
        <w:rPr>
          <w:rFonts w:ascii="Times New Roman" w:eastAsia="Calibri" w:hAnsi="Times New Roman" w:cs="Calibri"/>
          <w:b/>
          <w:i/>
          <w:sz w:val="24"/>
          <w:szCs w:val="24"/>
        </w:rPr>
        <w:t>Carex</w:t>
      </w:r>
      <w:proofErr w:type="spellEnd"/>
      <w:r w:rsidRPr="00A07F29">
        <w:rPr>
          <w:rFonts w:ascii="Times New Roman" w:eastAsia="Calibri" w:hAnsi="Times New Roman" w:cs="Calibri"/>
          <w:b/>
          <w:i/>
          <w:sz w:val="24"/>
          <w:szCs w:val="24"/>
        </w:rPr>
        <w:t xml:space="preserve"> </w:t>
      </w:r>
      <w:proofErr w:type="spellStart"/>
      <w:r w:rsidRPr="00A07F29">
        <w:rPr>
          <w:rFonts w:ascii="Times New Roman" w:eastAsia="Calibri" w:hAnsi="Times New Roman" w:cs="Calibri"/>
          <w:b/>
          <w:i/>
          <w:sz w:val="24"/>
          <w:szCs w:val="24"/>
        </w:rPr>
        <w:t>atherodes</w:t>
      </w:r>
      <w:proofErr w:type="spellEnd"/>
      <w:r w:rsidRPr="00A07F29">
        <w:rPr>
          <w:rFonts w:ascii="Times New Roman" w:eastAsia="Calibri" w:hAnsi="Times New Roman" w:cs="Calibri"/>
          <w:sz w:val="24"/>
          <w:szCs w:val="24"/>
        </w:rPr>
        <w:t xml:space="preserve"> </w:t>
      </w:r>
      <w:r w:rsidR="00BF5EAB" w:rsidRPr="00A07F29">
        <w:rPr>
          <w:rFonts w:ascii="Times New Roman" w:eastAsia="Calibri" w:hAnsi="Times New Roman" w:cs="Calibri"/>
          <w:sz w:val="24"/>
          <w:szCs w:val="24"/>
        </w:rPr>
        <w:t>(</w:t>
      </w:r>
      <w:r w:rsidR="000C3E80">
        <w:rPr>
          <w:rFonts w:ascii="Times New Roman" w:eastAsia="Calibri" w:hAnsi="Times New Roman" w:cs="Calibri"/>
          <w:sz w:val="24"/>
          <w:szCs w:val="24"/>
        </w:rPr>
        <w:t xml:space="preserve">skat. </w:t>
      </w:r>
      <w:r w:rsidR="00BF5EAB" w:rsidRPr="00A07F29">
        <w:rPr>
          <w:rFonts w:ascii="Times New Roman" w:eastAsia="Calibri" w:hAnsi="Times New Roman" w:cs="Calibri"/>
          <w:sz w:val="24"/>
          <w:szCs w:val="24"/>
        </w:rPr>
        <w:t>4.4.4.10.</w:t>
      </w:r>
      <w:r w:rsidR="000C3E80">
        <w:rPr>
          <w:rFonts w:ascii="Times New Roman" w:eastAsia="Calibri" w:hAnsi="Times New Roman" w:cs="Calibri"/>
          <w:sz w:val="24"/>
          <w:szCs w:val="24"/>
        </w:rPr>
        <w:t> </w:t>
      </w:r>
      <w:r w:rsidR="00BF5EAB" w:rsidRPr="00A07F29">
        <w:rPr>
          <w:rFonts w:ascii="Times New Roman" w:eastAsia="Calibri" w:hAnsi="Times New Roman" w:cs="Calibri"/>
          <w:sz w:val="24"/>
          <w:szCs w:val="24"/>
        </w:rPr>
        <w:t>att</w:t>
      </w:r>
      <w:r w:rsidR="000C3E80">
        <w:rPr>
          <w:rFonts w:ascii="Times New Roman" w:eastAsia="Calibri" w:hAnsi="Times New Roman" w:cs="Calibri"/>
          <w:sz w:val="24"/>
          <w:szCs w:val="24"/>
        </w:rPr>
        <w:t>ēls</w:t>
      </w:r>
      <w:r w:rsidR="00BF5EAB" w:rsidRPr="00A07F29">
        <w:rPr>
          <w:rFonts w:ascii="Times New Roman" w:eastAsia="Calibri" w:hAnsi="Times New Roman" w:cs="Calibri"/>
          <w:sz w:val="24"/>
          <w:szCs w:val="24"/>
        </w:rPr>
        <w:t xml:space="preserve">) </w:t>
      </w:r>
      <w:r w:rsidRPr="00A07F29">
        <w:rPr>
          <w:rFonts w:ascii="Times New Roman" w:eastAsia="Calibri" w:hAnsi="Times New Roman" w:cs="Calibri"/>
          <w:sz w:val="24"/>
          <w:szCs w:val="24"/>
        </w:rPr>
        <w:t xml:space="preserve">Latvijā sasniedz areāla rietumu robežu. Līdz šim uzskatīts, ka suga ļoti reti sastopama tikai </w:t>
      </w:r>
      <w:proofErr w:type="spellStart"/>
      <w:r w:rsidRPr="00A07F29">
        <w:rPr>
          <w:rFonts w:ascii="Times New Roman" w:eastAsia="Calibri" w:hAnsi="Times New Roman" w:cs="Calibri"/>
          <w:sz w:val="24"/>
          <w:szCs w:val="24"/>
        </w:rPr>
        <w:t>Viduslatvijā</w:t>
      </w:r>
      <w:proofErr w:type="spellEnd"/>
      <w:r w:rsidRPr="00A07F29">
        <w:rPr>
          <w:rFonts w:ascii="Times New Roman" w:eastAsia="Calibri" w:hAnsi="Times New Roman" w:cs="Calibri"/>
          <w:sz w:val="24"/>
          <w:szCs w:val="24"/>
        </w:rPr>
        <w:t xml:space="preserve">, taču sugai </w:t>
      </w:r>
      <w:r w:rsidRPr="00A07F29">
        <w:rPr>
          <w:rFonts w:ascii="Times New Roman" w:eastAsia="Calibri" w:hAnsi="Times New Roman" w:cs="Calibri"/>
          <w:i/>
          <w:sz w:val="24"/>
          <w:szCs w:val="24"/>
        </w:rPr>
        <w:t>Dabas skaitīšanas</w:t>
      </w:r>
      <w:r w:rsidRPr="00A07F29">
        <w:rPr>
          <w:rFonts w:ascii="Times New Roman" w:eastAsia="Calibri" w:hAnsi="Times New Roman" w:cs="Calibri"/>
          <w:sz w:val="24"/>
          <w:szCs w:val="24"/>
        </w:rPr>
        <w:t xml:space="preserve"> laikā atrastas samērā daudz </w:t>
      </w:r>
      <w:r w:rsidR="00B91DF7" w:rsidRPr="00A07F29">
        <w:rPr>
          <w:rFonts w:ascii="Times New Roman" w:eastAsia="Calibri" w:hAnsi="Times New Roman" w:cs="Calibri"/>
          <w:sz w:val="24"/>
          <w:szCs w:val="24"/>
        </w:rPr>
        <w:t>jaunu atradņu</w:t>
      </w:r>
      <w:r w:rsidRPr="00A07F29">
        <w:rPr>
          <w:rFonts w:ascii="Times New Roman" w:eastAsia="Calibri" w:hAnsi="Times New Roman" w:cs="Calibri"/>
          <w:sz w:val="24"/>
          <w:szCs w:val="24"/>
        </w:rPr>
        <w:t>. Viena no tām 2017.</w:t>
      </w:r>
      <w:r w:rsidR="005A3688">
        <w:rPr>
          <w:rFonts w:ascii="Times New Roman" w:eastAsia="Calibri" w:hAnsi="Times New Roman" w:cs="Calibri"/>
          <w:sz w:val="24"/>
          <w:szCs w:val="24"/>
        </w:rPr>
        <w:t> </w:t>
      </w:r>
      <w:r w:rsidRPr="00A07F29">
        <w:rPr>
          <w:rFonts w:ascii="Times New Roman" w:eastAsia="Calibri" w:hAnsi="Times New Roman" w:cs="Calibri"/>
          <w:sz w:val="24"/>
          <w:szCs w:val="24"/>
        </w:rPr>
        <w:t xml:space="preserve">gadā pirmoreiz atrasta AAA “Augšdaugava” teritorijā zālāju kompleksā starp </w:t>
      </w:r>
      <w:proofErr w:type="spellStart"/>
      <w:r w:rsidRPr="00A07F29">
        <w:rPr>
          <w:rFonts w:ascii="Times New Roman" w:eastAsia="Calibri" w:hAnsi="Times New Roman" w:cs="Calibri"/>
          <w:sz w:val="24"/>
          <w:szCs w:val="24"/>
        </w:rPr>
        <w:t>Ruģeļiem</w:t>
      </w:r>
      <w:proofErr w:type="spellEnd"/>
      <w:r w:rsidRPr="00A07F29">
        <w:rPr>
          <w:rFonts w:ascii="Times New Roman" w:eastAsia="Calibri" w:hAnsi="Times New Roman" w:cs="Calibri"/>
          <w:sz w:val="24"/>
          <w:szCs w:val="24"/>
        </w:rPr>
        <w:t xml:space="preserve"> un Krauju. Atradnē suga dominē un tās lielums ir aptuveni 1</w:t>
      </w:r>
      <w:r w:rsidR="005A3688">
        <w:rPr>
          <w:rFonts w:ascii="Times New Roman" w:eastAsia="Calibri" w:hAnsi="Times New Roman" w:cs="Calibri"/>
          <w:sz w:val="24"/>
          <w:szCs w:val="24"/>
        </w:rPr>
        <w:t> </w:t>
      </w:r>
      <w:r w:rsidRPr="00A07F29">
        <w:rPr>
          <w:rFonts w:ascii="Times New Roman" w:eastAsia="Calibri" w:hAnsi="Times New Roman" w:cs="Calibri"/>
          <w:sz w:val="24"/>
          <w:szCs w:val="24"/>
        </w:rPr>
        <w:t xml:space="preserve">ha. Nepieciešams turpināt zālāja apsaimniekošanu. Ņemot vērā pēdējos gados konstatētās arvien jaunas, masveidīgas atradnes Latvijā, suga ir vērtējama kā nepietiekami pētīta un, visticamāk, maz apdraudēta. </w:t>
      </w:r>
    </w:p>
    <w:p w14:paraId="2E7775DD" w14:textId="093F9CAE" w:rsidR="002B1603" w:rsidRPr="00A07F29" w:rsidRDefault="002B1603" w:rsidP="00B649FD">
      <w:pPr>
        <w:spacing w:before="120" w:after="120" w:line="240" w:lineRule="auto"/>
        <w:ind w:firstLine="851"/>
        <w:jc w:val="both"/>
        <w:rPr>
          <w:rFonts w:ascii="Times New Roman" w:eastAsia="Calibri" w:hAnsi="Times New Roman" w:cs="Times New Roman"/>
          <w:sz w:val="24"/>
          <w:szCs w:val="24"/>
        </w:rPr>
      </w:pPr>
      <w:proofErr w:type="spellStart"/>
      <w:r w:rsidRPr="00A07F29">
        <w:rPr>
          <w:rFonts w:ascii="Times New Roman" w:eastAsia="Calibri" w:hAnsi="Times New Roman" w:cs="Times New Roman"/>
          <w:b/>
          <w:sz w:val="24"/>
          <w:szCs w:val="24"/>
        </w:rPr>
        <w:t>Krustlapu</w:t>
      </w:r>
      <w:proofErr w:type="spellEnd"/>
      <w:r w:rsidRPr="00A07F29">
        <w:rPr>
          <w:rFonts w:ascii="Times New Roman" w:eastAsia="Calibri" w:hAnsi="Times New Roman" w:cs="Times New Roman"/>
          <w:b/>
          <w:sz w:val="24"/>
          <w:szCs w:val="24"/>
        </w:rPr>
        <w:t xml:space="preserve"> drudzene </w:t>
      </w:r>
      <w:proofErr w:type="spellStart"/>
      <w:r w:rsidRPr="00A07F29">
        <w:rPr>
          <w:rFonts w:ascii="Times New Roman" w:eastAsia="Calibri" w:hAnsi="Times New Roman" w:cs="Times New Roman"/>
          <w:b/>
          <w:i/>
          <w:sz w:val="24"/>
          <w:szCs w:val="24"/>
        </w:rPr>
        <w:t>Gentiana</w:t>
      </w:r>
      <w:proofErr w:type="spellEnd"/>
      <w:r w:rsidRPr="00A07F29">
        <w:rPr>
          <w:rFonts w:ascii="Times New Roman" w:eastAsia="Calibri" w:hAnsi="Times New Roman" w:cs="Times New Roman"/>
          <w:b/>
          <w:i/>
          <w:sz w:val="24"/>
          <w:szCs w:val="24"/>
        </w:rPr>
        <w:t xml:space="preserve"> </w:t>
      </w:r>
      <w:proofErr w:type="spellStart"/>
      <w:r w:rsidRPr="00A07F29">
        <w:rPr>
          <w:rFonts w:ascii="Times New Roman" w:eastAsia="Calibri" w:hAnsi="Times New Roman" w:cs="Times New Roman"/>
          <w:b/>
          <w:i/>
          <w:sz w:val="24"/>
          <w:szCs w:val="24"/>
        </w:rPr>
        <w:t>cruciata</w:t>
      </w:r>
      <w:proofErr w:type="spellEnd"/>
      <w:r w:rsidRPr="00A07F29">
        <w:rPr>
          <w:rFonts w:ascii="Times New Roman" w:eastAsia="Calibri" w:hAnsi="Times New Roman" w:cs="Times New Roman"/>
          <w:sz w:val="24"/>
          <w:szCs w:val="24"/>
        </w:rPr>
        <w:t xml:space="preserve"> </w:t>
      </w:r>
      <w:r w:rsidR="00BF5EAB" w:rsidRPr="00A07F29">
        <w:rPr>
          <w:rFonts w:ascii="Times New Roman" w:eastAsia="Calibri" w:hAnsi="Times New Roman" w:cs="Times New Roman"/>
          <w:sz w:val="24"/>
          <w:szCs w:val="24"/>
        </w:rPr>
        <w:t>(</w:t>
      </w:r>
      <w:r w:rsidR="00C6778E">
        <w:rPr>
          <w:rFonts w:ascii="Times New Roman" w:eastAsia="Calibri" w:hAnsi="Times New Roman" w:cs="Times New Roman"/>
          <w:sz w:val="24"/>
          <w:szCs w:val="24"/>
        </w:rPr>
        <w:t xml:space="preserve">skat. </w:t>
      </w:r>
      <w:r w:rsidR="00BF5EAB" w:rsidRPr="00A07F29">
        <w:rPr>
          <w:rFonts w:ascii="Times New Roman" w:eastAsia="Calibri" w:hAnsi="Times New Roman" w:cs="Calibri"/>
          <w:sz w:val="24"/>
          <w:szCs w:val="24"/>
        </w:rPr>
        <w:t>4.4.4.11.</w:t>
      </w:r>
      <w:r w:rsidR="00C6778E">
        <w:rPr>
          <w:rFonts w:ascii="Times New Roman" w:eastAsia="Calibri" w:hAnsi="Times New Roman" w:cs="Calibri"/>
          <w:sz w:val="24"/>
          <w:szCs w:val="24"/>
        </w:rPr>
        <w:t> </w:t>
      </w:r>
      <w:r w:rsidR="00BF5EAB" w:rsidRPr="00A07F29">
        <w:rPr>
          <w:rFonts w:ascii="Times New Roman" w:eastAsia="Calibri" w:hAnsi="Times New Roman" w:cs="Calibri"/>
          <w:sz w:val="24"/>
          <w:szCs w:val="24"/>
        </w:rPr>
        <w:t>att</w:t>
      </w:r>
      <w:r w:rsidR="00C6778E">
        <w:rPr>
          <w:rFonts w:ascii="Times New Roman" w:eastAsia="Calibri" w:hAnsi="Times New Roman" w:cs="Calibri"/>
          <w:sz w:val="24"/>
          <w:szCs w:val="24"/>
        </w:rPr>
        <w:t>ēls</w:t>
      </w:r>
      <w:r w:rsidR="00BF5EAB" w:rsidRPr="00A07F29">
        <w:rPr>
          <w:rFonts w:ascii="Times New Roman" w:eastAsia="Calibri" w:hAnsi="Times New Roman" w:cs="Calibri"/>
          <w:sz w:val="24"/>
          <w:szCs w:val="24"/>
        </w:rPr>
        <w:t xml:space="preserve">) </w:t>
      </w:r>
      <w:r w:rsidRPr="00A07F29">
        <w:rPr>
          <w:rFonts w:ascii="Times New Roman" w:eastAsia="Calibri" w:hAnsi="Times New Roman" w:cs="Times New Roman"/>
          <w:sz w:val="24"/>
          <w:szCs w:val="24"/>
        </w:rPr>
        <w:t xml:space="preserve">Latvijā aug uz izplatības </w:t>
      </w:r>
      <w:r w:rsidR="00B91DF7" w:rsidRPr="00A07F29">
        <w:rPr>
          <w:rFonts w:ascii="Times New Roman" w:eastAsia="Calibri" w:hAnsi="Times New Roman" w:cs="Times New Roman"/>
          <w:sz w:val="24"/>
          <w:szCs w:val="24"/>
        </w:rPr>
        <w:t xml:space="preserve">DR </w:t>
      </w:r>
      <w:r w:rsidRPr="00A07F29">
        <w:rPr>
          <w:rFonts w:ascii="Times New Roman" w:eastAsia="Calibri" w:hAnsi="Times New Roman" w:cs="Times New Roman"/>
          <w:sz w:val="24"/>
          <w:szCs w:val="24"/>
        </w:rPr>
        <w:t xml:space="preserve">robežas, sastopama </w:t>
      </w:r>
      <w:proofErr w:type="spellStart"/>
      <w:r w:rsidRPr="00A07F29">
        <w:rPr>
          <w:rFonts w:ascii="Times New Roman" w:eastAsia="Calibri" w:hAnsi="Times New Roman" w:cs="Times New Roman"/>
          <w:sz w:val="24"/>
          <w:szCs w:val="24"/>
        </w:rPr>
        <w:t>kalcifilās</w:t>
      </w:r>
      <w:proofErr w:type="spellEnd"/>
      <w:r w:rsidRPr="00A07F29">
        <w:rPr>
          <w:rFonts w:ascii="Times New Roman" w:eastAsia="Calibri" w:hAnsi="Times New Roman" w:cs="Times New Roman"/>
          <w:sz w:val="24"/>
          <w:szCs w:val="24"/>
        </w:rPr>
        <w:t xml:space="preserve"> pļavās un mežmalās upju ielejās. AAA “Augšdaugava” teritorijā suga zināma no 1990.</w:t>
      </w:r>
      <w:r w:rsidR="00927255">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gada </w:t>
      </w:r>
      <w:proofErr w:type="spellStart"/>
      <w:r w:rsidRPr="00A07F29">
        <w:rPr>
          <w:rFonts w:ascii="Times New Roman" w:eastAsia="Calibri" w:hAnsi="Times New Roman" w:cs="Times New Roman"/>
          <w:sz w:val="24"/>
          <w:szCs w:val="24"/>
        </w:rPr>
        <w:t>Markovas</w:t>
      </w:r>
      <w:proofErr w:type="spellEnd"/>
      <w:r w:rsidRPr="00A07F29">
        <w:rPr>
          <w:rFonts w:ascii="Times New Roman" w:eastAsia="Calibri" w:hAnsi="Times New Roman" w:cs="Times New Roman"/>
          <w:sz w:val="24"/>
          <w:szCs w:val="24"/>
        </w:rPr>
        <w:t xml:space="preserve"> pilskalnā pie </w:t>
      </w:r>
      <w:proofErr w:type="spellStart"/>
      <w:r w:rsidRPr="00A07F29">
        <w:rPr>
          <w:rFonts w:ascii="Times New Roman" w:eastAsia="Calibri" w:hAnsi="Times New Roman" w:cs="Times New Roman"/>
          <w:sz w:val="24"/>
          <w:szCs w:val="24"/>
        </w:rPr>
        <w:t>Slutišķiem</w:t>
      </w:r>
      <w:proofErr w:type="spellEnd"/>
      <w:r w:rsidRPr="00A07F29">
        <w:rPr>
          <w:rFonts w:ascii="Times New Roman" w:eastAsia="Calibri" w:hAnsi="Times New Roman" w:cs="Times New Roman"/>
          <w:sz w:val="24"/>
          <w:szCs w:val="24"/>
        </w:rPr>
        <w:t xml:space="preserve">. Pašlaik sugai zināmas aptuveni </w:t>
      </w:r>
      <w:r w:rsidR="00927255">
        <w:rPr>
          <w:rFonts w:ascii="Times New Roman" w:eastAsia="Calibri" w:hAnsi="Times New Roman" w:cs="Times New Roman"/>
          <w:sz w:val="24"/>
          <w:szCs w:val="24"/>
        </w:rPr>
        <w:t>10</w:t>
      </w:r>
      <w:r w:rsidRPr="00A07F29">
        <w:rPr>
          <w:rFonts w:ascii="Times New Roman" w:eastAsia="Calibri" w:hAnsi="Times New Roman" w:cs="Times New Roman"/>
          <w:sz w:val="24"/>
          <w:szCs w:val="24"/>
        </w:rPr>
        <w:t xml:space="preserve"> atradnes AAA “Augšdaugava” no </w:t>
      </w:r>
      <w:proofErr w:type="spellStart"/>
      <w:r w:rsidRPr="00A07F29">
        <w:rPr>
          <w:rFonts w:ascii="Times New Roman" w:eastAsia="Calibri" w:hAnsi="Times New Roman" w:cs="Times New Roman"/>
          <w:sz w:val="24"/>
          <w:szCs w:val="24"/>
        </w:rPr>
        <w:t>Slutišķiem</w:t>
      </w:r>
      <w:proofErr w:type="spellEnd"/>
      <w:r w:rsidRPr="00A07F29">
        <w:rPr>
          <w:rFonts w:ascii="Times New Roman" w:eastAsia="Calibri" w:hAnsi="Times New Roman" w:cs="Times New Roman"/>
          <w:sz w:val="24"/>
          <w:szCs w:val="24"/>
        </w:rPr>
        <w:t xml:space="preserve"> līdz </w:t>
      </w:r>
      <w:proofErr w:type="spellStart"/>
      <w:r w:rsidRPr="00A07F29">
        <w:rPr>
          <w:rFonts w:ascii="Times New Roman" w:eastAsia="Calibri" w:hAnsi="Times New Roman" w:cs="Times New Roman"/>
          <w:sz w:val="24"/>
          <w:szCs w:val="24"/>
        </w:rPr>
        <w:t>Lukštāniem</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kalcifīlos</w:t>
      </w:r>
      <w:proofErr w:type="spellEnd"/>
      <w:r w:rsidRPr="00A07F29">
        <w:rPr>
          <w:rFonts w:ascii="Times New Roman" w:eastAsia="Calibri" w:hAnsi="Times New Roman" w:cs="Times New Roman"/>
          <w:sz w:val="24"/>
          <w:szCs w:val="24"/>
        </w:rPr>
        <w:t xml:space="preserve"> zālājos. Atradni </w:t>
      </w:r>
      <w:proofErr w:type="spellStart"/>
      <w:r w:rsidRPr="00A07F29">
        <w:rPr>
          <w:rFonts w:ascii="Times New Roman" w:eastAsia="Calibri" w:hAnsi="Times New Roman" w:cs="Times New Roman"/>
          <w:sz w:val="24"/>
          <w:szCs w:val="24"/>
        </w:rPr>
        <w:t>Markovas</w:t>
      </w:r>
      <w:proofErr w:type="spellEnd"/>
      <w:r w:rsidRPr="00A07F29">
        <w:rPr>
          <w:rFonts w:ascii="Times New Roman" w:eastAsia="Calibri" w:hAnsi="Times New Roman" w:cs="Times New Roman"/>
          <w:sz w:val="24"/>
          <w:szCs w:val="24"/>
        </w:rPr>
        <w:t xml:space="preserve"> pilskalnā apdraud pārmērīga antropogēnā slodze, jo </w:t>
      </w:r>
      <w:r w:rsidR="00B91DF7" w:rsidRPr="00A07F29">
        <w:rPr>
          <w:rFonts w:ascii="Times New Roman" w:eastAsia="Calibri" w:hAnsi="Times New Roman" w:cs="Times New Roman"/>
          <w:sz w:val="24"/>
          <w:szCs w:val="24"/>
        </w:rPr>
        <w:t xml:space="preserve">tā </w:t>
      </w:r>
      <w:r w:rsidRPr="00A07F29">
        <w:rPr>
          <w:rFonts w:ascii="Times New Roman" w:eastAsia="Calibri" w:hAnsi="Times New Roman" w:cs="Times New Roman"/>
          <w:sz w:val="24"/>
          <w:szCs w:val="24"/>
        </w:rPr>
        <w:t xml:space="preserve">atrodas </w:t>
      </w:r>
      <w:proofErr w:type="spellStart"/>
      <w:r w:rsidRPr="00A07F29">
        <w:rPr>
          <w:rFonts w:ascii="Times New Roman" w:eastAsia="Calibri" w:hAnsi="Times New Roman" w:cs="Times New Roman"/>
          <w:sz w:val="24"/>
          <w:szCs w:val="24"/>
        </w:rPr>
        <w:t>Markovas</w:t>
      </w:r>
      <w:proofErr w:type="spellEnd"/>
      <w:r w:rsidRPr="00A07F29">
        <w:rPr>
          <w:rFonts w:ascii="Times New Roman" w:eastAsia="Calibri" w:hAnsi="Times New Roman" w:cs="Times New Roman"/>
          <w:sz w:val="24"/>
          <w:szCs w:val="24"/>
        </w:rPr>
        <w:t xml:space="preserve"> izziņu takas malā blakus atpūtas vietai, un, lai arī pēdējos gados eksemplāru skaits populācijā ir pat nedaudz pieaudzis, tomēr, atpūtas vietu būtu jāpārvieto tā, lai tā neatrastos tieši šī auga atradnē. Pārējās sugas atradnes atrodas apsaimniekotos vai neapsaimniekotos </w:t>
      </w:r>
      <w:proofErr w:type="spellStart"/>
      <w:r w:rsidRPr="00A07F29">
        <w:rPr>
          <w:rFonts w:ascii="Times New Roman" w:eastAsia="Calibri" w:hAnsi="Times New Roman" w:cs="Times New Roman"/>
          <w:sz w:val="24"/>
          <w:szCs w:val="24"/>
        </w:rPr>
        <w:t>kalcifīlos</w:t>
      </w:r>
      <w:proofErr w:type="spellEnd"/>
      <w:r w:rsidRPr="00A07F29">
        <w:rPr>
          <w:rFonts w:ascii="Times New Roman" w:eastAsia="Calibri" w:hAnsi="Times New Roman" w:cs="Times New Roman"/>
          <w:sz w:val="24"/>
          <w:szCs w:val="24"/>
        </w:rPr>
        <w:t xml:space="preserve"> zālājos. Sugas atradnēm lielākais apdraudējums ir zemes lietojuma veida maiņa.</w:t>
      </w:r>
    </w:p>
    <w:tbl>
      <w:tblPr>
        <w:tblStyle w:val="TableGrid"/>
        <w:tblW w:w="0" w:type="auto"/>
        <w:tblLook w:val="04A0" w:firstRow="1" w:lastRow="0" w:firstColumn="1" w:lastColumn="0" w:noHBand="0" w:noVBand="1"/>
      </w:tblPr>
      <w:tblGrid>
        <w:gridCol w:w="4668"/>
        <w:gridCol w:w="4686"/>
      </w:tblGrid>
      <w:tr w:rsidR="00B91DF7" w:rsidRPr="00A07F29" w14:paraId="2746103D" w14:textId="77777777" w:rsidTr="63C42FA1">
        <w:tc>
          <w:tcPr>
            <w:tcW w:w="4785" w:type="dxa"/>
            <w:tcBorders>
              <w:top w:val="nil"/>
              <w:left w:val="nil"/>
              <w:bottom w:val="nil"/>
              <w:right w:val="nil"/>
            </w:tcBorders>
          </w:tcPr>
          <w:p w14:paraId="0196F6F9" w14:textId="60D61733" w:rsidR="00B91DF7" w:rsidRPr="00A07F29" w:rsidRDefault="00B91DF7" w:rsidP="00AF66D2">
            <w:pPr>
              <w:keepNext/>
              <w:jc w:val="center"/>
              <w:rPr>
                <w:rFonts w:ascii="Times New Roman" w:eastAsia="Calibri" w:hAnsi="Times New Roman" w:cs="Times New Roman"/>
                <w:sz w:val="24"/>
                <w:szCs w:val="24"/>
              </w:rPr>
            </w:pPr>
            <w:r w:rsidRPr="00A07F29">
              <w:rPr>
                <w:noProof/>
                <w:lang w:eastAsia="lv-LV"/>
              </w:rPr>
              <w:lastRenderedPageBreak/>
              <w:drawing>
                <wp:inline distT="0" distB="0" distL="0" distR="0" wp14:anchorId="7A5BB189" wp14:editId="4055ED71">
                  <wp:extent cx="2881347" cy="2160267"/>
                  <wp:effectExtent l="0" t="0" r="7620" b="0"/>
                  <wp:docPr id="918145545" name="Picture 918145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8145545"/>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881347" cy="2160267"/>
                          </a:xfrm>
                          <a:prstGeom prst="rect">
                            <a:avLst/>
                          </a:prstGeom>
                        </pic:spPr>
                      </pic:pic>
                    </a:graphicData>
                  </a:graphic>
                </wp:inline>
              </w:drawing>
            </w:r>
          </w:p>
        </w:tc>
        <w:tc>
          <w:tcPr>
            <w:tcW w:w="4785" w:type="dxa"/>
            <w:tcBorders>
              <w:top w:val="nil"/>
              <w:left w:val="nil"/>
              <w:bottom w:val="nil"/>
              <w:right w:val="nil"/>
            </w:tcBorders>
          </w:tcPr>
          <w:p w14:paraId="178D6AC7" w14:textId="089DF703" w:rsidR="00B91DF7" w:rsidRPr="00A07F29" w:rsidRDefault="00B91DF7" w:rsidP="00AF66D2">
            <w:pPr>
              <w:keepNext/>
              <w:jc w:val="center"/>
              <w:rPr>
                <w:rFonts w:ascii="Times New Roman" w:eastAsia="Calibri" w:hAnsi="Times New Roman" w:cs="Times New Roman"/>
                <w:sz w:val="24"/>
                <w:szCs w:val="24"/>
              </w:rPr>
            </w:pPr>
            <w:r w:rsidRPr="00A07F29">
              <w:rPr>
                <w:noProof/>
                <w:lang w:eastAsia="lv-LV"/>
              </w:rPr>
              <w:drawing>
                <wp:inline distT="0" distB="0" distL="0" distR="0" wp14:anchorId="634FB5E1" wp14:editId="733720E6">
                  <wp:extent cx="2900537" cy="2174495"/>
                  <wp:effectExtent l="0" t="0" r="0" b="0"/>
                  <wp:docPr id="918145546" name="Picture 918145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8145546"/>
                          <pic:cNvPicPr/>
                        </pic:nvPicPr>
                        <pic:blipFill>
                          <a:blip r:embed="rId66" cstate="print">
                            <a:extLst>
                              <a:ext uri="{28A0092B-C50C-407E-A947-70E740481C1C}">
                                <a14:useLocalDpi xmlns:a14="http://schemas.microsoft.com/office/drawing/2010/main" val="0"/>
                              </a:ext>
                            </a:extLst>
                          </a:blip>
                          <a:stretch>
                            <a:fillRect/>
                          </a:stretch>
                        </pic:blipFill>
                        <pic:spPr>
                          <a:xfrm>
                            <a:off x="0" y="0"/>
                            <a:ext cx="2900537" cy="2174495"/>
                          </a:xfrm>
                          <a:prstGeom prst="rect">
                            <a:avLst/>
                          </a:prstGeom>
                        </pic:spPr>
                      </pic:pic>
                    </a:graphicData>
                  </a:graphic>
                </wp:inline>
              </w:drawing>
            </w:r>
          </w:p>
        </w:tc>
      </w:tr>
      <w:tr w:rsidR="00B91DF7" w:rsidRPr="00A07F29" w14:paraId="07E42F8B" w14:textId="77777777" w:rsidTr="63C42FA1">
        <w:tc>
          <w:tcPr>
            <w:tcW w:w="4785" w:type="dxa"/>
            <w:tcBorders>
              <w:top w:val="nil"/>
              <w:left w:val="nil"/>
              <w:bottom w:val="nil"/>
              <w:right w:val="nil"/>
            </w:tcBorders>
          </w:tcPr>
          <w:p w14:paraId="45E9BF20" w14:textId="77907ED3" w:rsidR="00B91DF7" w:rsidRPr="002C2FCF" w:rsidRDefault="00B91DF7" w:rsidP="00B649FD">
            <w:pPr>
              <w:jc w:val="both"/>
              <w:rPr>
                <w:rFonts w:ascii="Times New Roman" w:eastAsia="Calibri" w:hAnsi="Times New Roman" w:cs="Times New Roman"/>
                <w:sz w:val="20"/>
                <w:szCs w:val="20"/>
              </w:rPr>
            </w:pPr>
            <w:r w:rsidRPr="002C2FCF">
              <w:rPr>
                <w:rFonts w:ascii="Times New Roman" w:eastAsia="Calibri" w:hAnsi="Times New Roman" w:cs="Times New Roman"/>
                <w:sz w:val="20"/>
                <w:szCs w:val="20"/>
              </w:rPr>
              <w:t>4.4.4.10.</w:t>
            </w:r>
            <w:r w:rsidR="00E25C0D" w:rsidRPr="002C2FCF">
              <w:rPr>
                <w:rFonts w:ascii="Times New Roman" w:eastAsia="Calibri" w:hAnsi="Times New Roman" w:cs="Times New Roman"/>
                <w:sz w:val="20"/>
                <w:szCs w:val="20"/>
              </w:rPr>
              <w:t> </w:t>
            </w:r>
            <w:r w:rsidRPr="002C2FCF">
              <w:rPr>
                <w:rFonts w:ascii="Times New Roman" w:eastAsia="Calibri" w:hAnsi="Times New Roman" w:cs="Times New Roman"/>
                <w:sz w:val="20"/>
                <w:szCs w:val="20"/>
              </w:rPr>
              <w:t>att</w:t>
            </w:r>
            <w:r w:rsidR="00E25C0D" w:rsidRPr="002C2FCF">
              <w:rPr>
                <w:rFonts w:ascii="Times New Roman" w:eastAsia="Calibri" w:hAnsi="Times New Roman" w:cs="Times New Roman"/>
                <w:sz w:val="20"/>
                <w:szCs w:val="20"/>
              </w:rPr>
              <w:t>ēls</w:t>
            </w:r>
            <w:r w:rsidRPr="002C2FCF">
              <w:rPr>
                <w:rFonts w:ascii="Times New Roman" w:eastAsia="Calibri" w:hAnsi="Times New Roman" w:cs="Times New Roman"/>
                <w:sz w:val="20"/>
                <w:szCs w:val="20"/>
              </w:rPr>
              <w:t xml:space="preserve">. Akotainais grīslis </w:t>
            </w:r>
            <w:proofErr w:type="spellStart"/>
            <w:r w:rsidRPr="002C2FCF">
              <w:rPr>
                <w:rFonts w:ascii="Times New Roman" w:eastAsia="Calibri" w:hAnsi="Times New Roman" w:cs="Times New Roman"/>
                <w:i/>
                <w:sz w:val="20"/>
                <w:szCs w:val="20"/>
              </w:rPr>
              <w:t>Carex</w:t>
            </w:r>
            <w:proofErr w:type="spellEnd"/>
            <w:r w:rsidRPr="002C2FCF">
              <w:rPr>
                <w:rFonts w:ascii="Times New Roman" w:eastAsia="Calibri" w:hAnsi="Times New Roman" w:cs="Times New Roman"/>
                <w:i/>
                <w:sz w:val="20"/>
                <w:szCs w:val="20"/>
              </w:rPr>
              <w:t xml:space="preserve"> </w:t>
            </w:r>
            <w:proofErr w:type="spellStart"/>
            <w:r w:rsidRPr="002C2FCF">
              <w:rPr>
                <w:rFonts w:ascii="Times New Roman" w:eastAsia="Calibri" w:hAnsi="Times New Roman" w:cs="Times New Roman"/>
                <w:i/>
                <w:sz w:val="20"/>
                <w:szCs w:val="20"/>
              </w:rPr>
              <w:t>atheroides</w:t>
            </w:r>
            <w:proofErr w:type="spellEnd"/>
            <w:r w:rsidRPr="002C2FCF">
              <w:rPr>
                <w:rFonts w:ascii="Times New Roman" w:eastAsia="Calibri" w:hAnsi="Times New Roman" w:cs="Times New Roman"/>
                <w:sz w:val="20"/>
                <w:szCs w:val="20"/>
              </w:rPr>
              <w:t xml:space="preserve"> dominē 6450</w:t>
            </w:r>
            <w:r w:rsidR="00E25C0D" w:rsidRPr="002C2FCF">
              <w:rPr>
                <w:rFonts w:ascii="Times New Roman" w:eastAsia="Calibri" w:hAnsi="Times New Roman" w:cs="Times New Roman"/>
                <w:sz w:val="20"/>
                <w:szCs w:val="20"/>
              </w:rPr>
              <w:t> </w:t>
            </w:r>
            <w:r w:rsidR="00E25C0D" w:rsidRPr="002C2FCF">
              <w:rPr>
                <w:rFonts w:ascii="Times New Roman" w:eastAsia="Calibri" w:hAnsi="Times New Roman" w:cs="Times New Roman"/>
                <w:i/>
                <w:iCs/>
                <w:sz w:val="20"/>
                <w:szCs w:val="20"/>
              </w:rPr>
              <w:t>P</w:t>
            </w:r>
            <w:r w:rsidRPr="002C2FCF">
              <w:rPr>
                <w:rFonts w:ascii="Times New Roman" w:eastAsia="Calibri" w:hAnsi="Times New Roman" w:cs="Times New Roman"/>
                <w:i/>
                <w:iCs/>
                <w:sz w:val="20"/>
                <w:szCs w:val="20"/>
              </w:rPr>
              <w:t>alieņu zālājā</w:t>
            </w:r>
            <w:r w:rsidRPr="002C2FCF">
              <w:rPr>
                <w:rFonts w:ascii="Times New Roman" w:eastAsia="Calibri" w:hAnsi="Times New Roman" w:cs="Times New Roman"/>
                <w:sz w:val="20"/>
                <w:szCs w:val="20"/>
              </w:rPr>
              <w:t xml:space="preserve"> starp </w:t>
            </w:r>
            <w:proofErr w:type="spellStart"/>
            <w:r w:rsidRPr="002C2FCF">
              <w:rPr>
                <w:rFonts w:ascii="Times New Roman" w:eastAsia="Calibri" w:hAnsi="Times New Roman" w:cs="Times New Roman"/>
                <w:sz w:val="20"/>
                <w:szCs w:val="20"/>
              </w:rPr>
              <w:t>Ruģeļiem</w:t>
            </w:r>
            <w:proofErr w:type="spellEnd"/>
            <w:r w:rsidRPr="002C2FCF">
              <w:rPr>
                <w:rFonts w:ascii="Times New Roman" w:eastAsia="Calibri" w:hAnsi="Times New Roman" w:cs="Times New Roman"/>
                <w:sz w:val="20"/>
                <w:szCs w:val="20"/>
              </w:rPr>
              <w:t xml:space="preserve"> un Krauju (Foto: D</w:t>
            </w:r>
            <w:r w:rsidR="002C2FCF" w:rsidRPr="002C2FCF">
              <w:rPr>
                <w:rFonts w:ascii="Times New Roman" w:eastAsia="Calibri" w:hAnsi="Times New Roman" w:cs="Times New Roman"/>
                <w:sz w:val="20"/>
                <w:szCs w:val="20"/>
              </w:rPr>
              <w:t>. </w:t>
            </w:r>
            <w:proofErr w:type="spellStart"/>
            <w:r w:rsidRPr="002C2FCF">
              <w:rPr>
                <w:rFonts w:ascii="Times New Roman" w:eastAsia="Calibri" w:hAnsi="Times New Roman" w:cs="Times New Roman"/>
                <w:sz w:val="20"/>
                <w:szCs w:val="20"/>
              </w:rPr>
              <w:t>Krasnopoļska</w:t>
            </w:r>
            <w:proofErr w:type="spellEnd"/>
            <w:r w:rsidRPr="002C2FCF">
              <w:rPr>
                <w:rFonts w:ascii="Times New Roman" w:eastAsia="Calibri" w:hAnsi="Times New Roman" w:cs="Times New Roman"/>
                <w:sz w:val="20"/>
                <w:szCs w:val="20"/>
              </w:rPr>
              <w:t>).</w:t>
            </w:r>
          </w:p>
        </w:tc>
        <w:tc>
          <w:tcPr>
            <w:tcW w:w="4785" w:type="dxa"/>
            <w:tcBorders>
              <w:top w:val="nil"/>
              <w:left w:val="nil"/>
              <w:bottom w:val="nil"/>
              <w:right w:val="nil"/>
            </w:tcBorders>
          </w:tcPr>
          <w:p w14:paraId="33561158" w14:textId="20AB3701" w:rsidR="00B91DF7" w:rsidRPr="002C2FCF" w:rsidRDefault="00B91DF7" w:rsidP="00B649FD">
            <w:pPr>
              <w:jc w:val="both"/>
              <w:rPr>
                <w:rFonts w:ascii="Times New Roman" w:eastAsia="Calibri" w:hAnsi="Times New Roman" w:cs="Times New Roman"/>
                <w:sz w:val="20"/>
                <w:szCs w:val="20"/>
              </w:rPr>
            </w:pPr>
            <w:r w:rsidRPr="002C2FCF">
              <w:rPr>
                <w:rFonts w:ascii="Times New Roman" w:eastAsia="Calibri" w:hAnsi="Times New Roman" w:cs="Times New Roman"/>
                <w:sz w:val="20"/>
                <w:szCs w:val="20"/>
              </w:rPr>
              <w:t>4.4.4.11.</w:t>
            </w:r>
            <w:r w:rsidR="002C2FCF" w:rsidRPr="002C2FCF">
              <w:rPr>
                <w:rFonts w:ascii="Times New Roman" w:eastAsia="Calibri" w:hAnsi="Times New Roman" w:cs="Times New Roman"/>
                <w:sz w:val="20"/>
                <w:szCs w:val="20"/>
              </w:rPr>
              <w:t> </w:t>
            </w:r>
            <w:r w:rsidRPr="002C2FCF">
              <w:rPr>
                <w:rFonts w:ascii="Times New Roman" w:eastAsia="Calibri" w:hAnsi="Times New Roman" w:cs="Times New Roman"/>
                <w:sz w:val="20"/>
                <w:szCs w:val="20"/>
              </w:rPr>
              <w:t>att</w:t>
            </w:r>
            <w:r w:rsidR="002C2FCF" w:rsidRPr="002C2FCF">
              <w:rPr>
                <w:rFonts w:ascii="Times New Roman" w:eastAsia="Calibri" w:hAnsi="Times New Roman" w:cs="Times New Roman"/>
                <w:sz w:val="20"/>
                <w:szCs w:val="20"/>
              </w:rPr>
              <w:t>ēls</w:t>
            </w:r>
            <w:r w:rsidRPr="002C2FCF">
              <w:rPr>
                <w:rFonts w:ascii="Times New Roman" w:eastAsia="Calibri" w:hAnsi="Times New Roman" w:cs="Times New Roman"/>
                <w:sz w:val="20"/>
                <w:szCs w:val="20"/>
              </w:rPr>
              <w:t xml:space="preserve">. </w:t>
            </w:r>
            <w:proofErr w:type="spellStart"/>
            <w:r w:rsidRPr="002C2FCF">
              <w:rPr>
                <w:rFonts w:ascii="Times New Roman" w:eastAsia="Calibri" w:hAnsi="Times New Roman" w:cs="Times New Roman"/>
                <w:sz w:val="20"/>
                <w:szCs w:val="20"/>
              </w:rPr>
              <w:t>Krustlapu</w:t>
            </w:r>
            <w:proofErr w:type="spellEnd"/>
            <w:r w:rsidRPr="002C2FCF">
              <w:rPr>
                <w:rFonts w:ascii="Times New Roman" w:eastAsia="Calibri" w:hAnsi="Times New Roman" w:cs="Times New Roman"/>
                <w:sz w:val="20"/>
                <w:szCs w:val="20"/>
              </w:rPr>
              <w:t xml:space="preserve"> drudzene </w:t>
            </w:r>
            <w:proofErr w:type="spellStart"/>
            <w:r w:rsidRPr="002C2FCF">
              <w:rPr>
                <w:rFonts w:ascii="Times New Roman" w:eastAsia="Calibri" w:hAnsi="Times New Roman" w:cs="Times New Roman"/>
                <w:i/>
                <w:sz w:val="20"/>
                <w:szCs w:val="20"/>
              </w:rPr>
              <w:t>Gentiana</w:t>
            </w:r>
            <w:proofErr w:type="spellEnd"/>
            <w:r w:rsidRPr="002C2FCF">
              <w:rPr>
                <w:rFonts w:ascii="Times New Roman" w:eastAsia="Calibri" w:hAnsi="Times New Roman" w:cs="Times New Roman"/>
                <w:i/>
                <w:sz w:val="20"/>
                <w:szCs w:val="20"/>
              </w:rPr>
              <w:t xml:space="preserve"> </w:t>
            </w:r>
            <w:proofErr w:type="spellStart"/>
            <w:r w:rsidRPr="002C2FCF">
              <w:rPr>
                <w:rFonts w:ascii="Times New Roman" w:eastAsia="Calibri" w:hAnsi="Times New Roman" w:cs="Times New Roman"/>
                <w:i/>
                <w:sz w:val="20"/>
                <w:szCs w:val="20"/>
              </w:rPr>
              <w:t>cruciata</w:t>
            </w:r>
            <w:proofErr w:type="spellEnd"/>
            <w:r w:rsidRPr="002C2FCF">
              <w:rPr>
                <w:rFonts w:ascii="Times New Roman" w:eastAsia="Calibri" w:hAnsi="Times New Roman" w:cs="Times New Roman"/>
                <w:sz w:val="20"/>
                <w:szCs w:val="20"/>
              </w:rPr>
              <w:t xml:space="preserve"> zālāju biotopā 6210</w:t>
            </w:r>
            <w:r w:rsidR="002C2FCF" w:rsidRPr="002C2FCF">
              <w:rPr>
                <w:rFonts w:ascii="Times New Roman" w:eastAsia="Calibri" w:hAnsi="Times New Roman" w:cs="Times New Roman"/>
                <w:sz w:val="20"/>
                <w:szCs w:val="20"/>
              </w:rPr>
              <w:t> </w:t>
            </w:r>
            <w:r w:rsidRPr="002C2FCF">
              <w:rPr>
                <w:rFonts w:ascii="Times New Roman" w:eastAsia="Calibri" w:hAnsi="Times New Roman" w:cs="Times New Roman"/>
                <w:i/>
                <w:iCs/>
                <w:sz w:val="20"/>
                <w:szCs w:val="20"/>
              </w:rPr>
              <w:t>Sausi zālāji kaļķainās augsnēs</w:t>
            </w:r>
            <w:r w:rsidRPr="002C2FCF">
              <w:rPr>
                <w:rFonts w:ascii="Times New Roman" w:eastAsia="Calibri" w:hAnsi="Times New Roman" w:cs="Times New Roman"/>
                <w:sz w:val="20"/>
                <w:szCs w:val="20"/>
              </w:rPr>
              <w:t xml:space="preserve"> </w:t>
            </w:r>
            <w:proofErr w:type="spellStart"/>
            <w:r w:rsidRPr="002C2FCF">
              <w:rPr>
                <w:rFonts w:ascii="Times New Roman" w:eastAsia="Calibri" w:hAnsi="Times New Roman" w:cs="Times New Roman"/>
                <w:sz w:val="20"/>
                <w:szCs w:val="20"/>
              </w:rPr>
              <w:t>Vasargelišķu</w:t>
            </w:r>
            <w:proofErr w:type="spellEnd"/>
            <w:r w:rsidRPr="002C2FCF">
              <w:rPr>
                <w:rFonts w:ascii="Times New Roman" w:eastAsia="Calibri" w:hAnsi="Times New Roman" w:cs="Times New Roman"/>
                <w:sz w:val="20"/>
                <w:szCs w:val="20"/>
              </w:rPr>
              <w:t xml:space="preserve"> apkārtnē (Foto: P</w:t>
            </w:r>
            <w:r w:rsidR="002C2FCF" w:rsidRPr="002C2FCF">
              <w:rPr>
                <w:rFonts w:ascii="Times New Roman" w:eastAsia="Calibri" w:hAnsi="Times New Roman" w:cs="Times New Roman"/>
                <w:sz w:val="20"/>
                <w:szCs w:val="20"/>
              </w:rPr>
              <w:t>. </w:t>
            </w:r>
            <w:proofErr w:type="spellStart"/>
            <w:r w:rsidRPr="002C2FCF">
              <w:rPr>
                <w:rFonts w:ascii="Times New Roman" w:eastAsia="Calibri" w:hAnsi="Times New Roman" w:cs="Times New Roman"/>
                <w:sz w:val="20"/>
                <w:szCs w:val="20"/>
              </w:rPr>
              <w:t>Evarts-Bunders</w:t>
            </w:r>
            <w:proofErr w:type="spellEnd"/>
            <w:r w:rsidRPr="002C2FCF">
              <w:rPr>
                <w:rFonts w:ascii="Times New Roman" w:eastAsia="Calibri" w:hAnsi="Times New Roman" w:cs="Times New Roman"/>
                <w:sz w:val="20"/>
                <w:szCs w:val="20"/>
              </w:rPr>
              <w:t>)</w:t>
            </w:r>
            <w:r w:rsidR="002C2FCF">
              <w:rPr>
                <w:rFonts w:ascii="Times New Roman" w:eastAsia="Calibri" w:hAnsi="Times New Roman" w:cs="Times New Roman"/>
                <w:sz w:val="20"/>
                <w:szCs w:val="20"/>
              </w:rPr>
              <w:t>.</w:t>
            </w:r>
          </w:p>
        </w:tc>
      </w:tr>
    </w:tbl>
    <w:p w14:paraId="0FA5F3E8" w14:textId="77777777" w:rsidR="00764731" w:rsidRPr="00A07F29" w:rsidRDefault="00764731" w:rsidP="00B649FD">
      <w:pPr>
        <w:spacing w:after="0" w:line="240" w:lineRule="auto"/>
        <w:ind w:firstLine="851"/>
        <w:jc w:val="both"/>
        <w:rPr>
          <w:rFonts w:ascii="Times New Roman" w:eastAsia="Calibri" w:hAnsi="Times New Roman" w:cs="Times New Roman"/>
          <w:sz w:val="24"/>
          <w:szCs w:val="24"/>
        </w:rPr>
      </w:pPr>
    </w:p>
    <w:p w14:paraId="418D82AA" w14:textId="2CEFF06E" w:rsidR="002B1603" w:rsidRPr="00A07F29" w:rsidRDefault="002B1603" w:rsidP="00B649FD">
      <w:pPr>
        <w:spacing w:after="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b/>
          <w:sz w:val="24"/>
          <w:szCs w:val="24"/>
        </w:rPr>
        <w:t xml:space="preserve">Ārstniecības </w:t>
      </w:r>
      <w:proofErr w:type="spellStart"/>
      <w:r w:rsidRPr="00A07F29">
        <w:rPr>
          <w:rFonts w:ascii="Times New Roman" w:eastAsia="Calibri" w:hAnsi="Times New Roman" w:cs="Times New Roman"/>
          <w:b/>
          <w:sz w:val="24"/>
          <w:szCs w:val="24"/>
        </w:rPr>
        <w:t>rūgtene</w:t>
      </w:r>
      <w:proofErr w:type="spellEnd"/>
      <w:r w:rsidRPr="00A07F29">
        <w:rPr>
          <w:rFonts w:ascii="Times New Roman" w:eastAsia="Calibri" w:hAnsi="Times New Roman" w:cs="Times New Roman"/>
          <w:b/>
          <w:sz w:val="24"/>
          <w:szCs w:val="24"/>
        </w:rPr>
        <w:t xml:space="preserve"> </w:t>
      </w:r>
      <w:proofErr w:type="spellStart"/>
      <w:r w:rsidRPr="00A07F29">
        <w:rPr>
          <w:rFonts w:ascii="Times New Roman" w:eastAsia="Calibri" w:hAnsi="Times New Roman" w:cs="Times New Roman"/>
          <w:b/>
          <w:i/>
          <w:sz w:val="24"/>
          <w:szCs w:val="24"/>
        </w:rPr>
        <w:t>Gratiola</w:t>
      </w:r>
      <w:proofErr w:type="spellEnd"/>
      <w:r w:rsidRPr="00A07F29">
        <w:rPr>
          <w:rFonts w:ascii="Times New Roman" w:eastAsia="Calibri" w:hAnsi="Times New Roman" w:cs="Times New Roman"/>
          <w:b/>
          <w:i/>
          <w:sz w:val="24"/>
          <w:szCs w:val="24"/>
        </w:rPr>
        <w:t xml:space="preserve"> </w:t>
      </w:r>
      <w:proofErr w:type="spellStart"/>
      <w:r w:rsidRPr="00A07F29">
        <w:rPr>
          <w:rFonts w:ascii="Times New Roman" w:eastAsia="Calibri" w:hAnsi="Times New Roman" w:cs="Times New Roman"/>
          <w:b/>
          <w:i/>
          <w:sz w:val="24"/>
          <w:szCs w:val="24"/>
        </w:rPr>
        <w:t>officinalis</w:t>
      </w:r>
      <w:proofErr w:type="spellEnd"/>
      <w:r w:rsidRPr="00A07F29">
        <w:rPr>
          <w:rFonts w:ascii="Times New Roman" w:eastAsia="Calibri" w:hAnsi="Times New Roman" w:cs="Times New Roman"/>
          <w:sz w:val="24"/>
          <w:szCs w:val="24"/>
        </w:rPr>
        <w:t xml:space="preserve"> </w:t>
      </w:r>
      <w:r w:rsidR="00764731" w:rsidRPr="00A07F29">
        <w:rPr>
          <w:rFonts w:ascii="Times New Roman" w:eastAsia="Calibri" w:hAnsi="Times New Roman" w:cs="Times New Roman"/>
          <w:sz w:val="24"/>
          <w:szCs w:val="24"/>
        </w:rPr>
        <w:t>p</w:t>
      </w:r>
      <w:r w:rsidRPr="00A07F29">
        <w:rPr>
          <w:rFonts w:ascii="Times New Roman" w:eastAsia="Calibri" w:hAnsi="Times New Roman" w:cs="Times New Roman"/>
          <w:sz w:val="24"/>
          <w:szCs w:val="24"/>
        </w:rPr>
        <w:t xml:space="preserve">ēdējās desmitgadēs Latvijā </w:t>
      </w:r>
      <w:r w:rsidR="00764731" w:rsidRPr="00A07F29">
        <w:rPr>
          <w:rFonts w:ascii="Times New Roman" w:eastAsia="Calibri" w:hAnsi="Times New Roman" w:cs="Times New Roman"/>
          <w:sz w:val="24"/>
          <w:szCs w:val="24"/>
        </w:rPr>
        <w:t xml:space="preserve">konstatēta </w:t>
      </w:r>
      <w:r w:rsidRPr="00A07F29">
        <w:rPr>
          <w:rFonts w:ascii="Times New Roman" w:eastAsia="Calibri" w:hAnsi="Times New Roman" w:cs="Times New Roman"/>
          <w:sz w:val="24"/>
          <w:szCs w:val="24"/>
        </w:rPr>
        <w:t xml:space="preserve">tikai atsevišķu izolētu atradņu veidā Daugavas palienes posmā no Baltkrievijas robežas līdz Jēkabpilij. Augs sastopams atsevišķu grupu veidā akmeņainās, palos applūstošās terasēs tiešā ūdens tuvumā. Augšdaugavā konstatēta dažās vietās – Daugavas labā krasta palienē pie </w:t>
      </w:r>
      <w:proofErr w:type="spellStart"/>
      <w:r w:rsidRPr="00A07F29">
        <w:rPr>
          <w:rFonts w:ascii="Times New Roman" w:eastAsia="Calibri" w:hAnsi="Times New Roman" w:cs="Times New Roman"/>
          <w:sz w:val="24"/>
          <w:szCs w:val="24"/>
        </w:rPr>
        <w:t>Slutišķu</w:t>
      </w:r>
      <w:proofErr w:type="spellEnd"/>
      <w:r w:rsidRPr="00A07F29">
        <w:rPr>
          <w:rFonts w:ascii="Times New Roman" w:eastAsia="Calibri" w:hAnsi="Times New Roman" w:cs="Times New Roman"/>
          <w:sz w:val="24"/>
          <w:szCs w:val="24"/>
        </w:rPr>
        <w:t xml:space="preserve"> kraujas, pie Adamovas, kā arī pie </w:t>
      </w:r>
      <w:proofErr w:type="spellStart"/>
      <w:r w:rsidRPr="00A07F29">
        <w:rPr>
          <w:rFonts w:ascii="Times New Roman" w:eastAsia="Calibri" w:hAnsi="Times New Roman" w:cs="Times New Roman"/>
          <w:sz w:val="24"/>
          <w:szCs w:val="24"/>
        </w:rPr>
        <w:t>Lielindricas</w:t>
      </w:r>
      <w:proofErr w:type="spellEnd"/>
      <w:r w:rsidRPr="00A07F29">
        <w:rPr>
          <w:rFonts w:ascii="Times New Roman" w:eastAsia="Calibri" w:hAnsi="Times New Roman" w:cs="Times New Roman"/>
          <w:sz w:val="24"/>
          <w:szCs w:val="24"/>
        </w:rPr>
        <w:t>. Pirmie dati par sugas atradnēm AAA “Augšdaugava” teritorijā fiksēti 1989.</w:t>
      </w:r>
      <w:r w:rsidR="00167038">
        <w:rPr>
          <w:rFonts w:ascii="Times New Roman" w:eastAsia="Calibri" w:hAnsi="Times New Roman" w:cs="Times New Roman"/>
          <w:sz w:val="24"/>
          <w:szCs w:val="24"/>
        </w:rPr>
        <w:t> </w:t>
      </w:r>
      <w:r w:rsidRPr="00A07F29">
        <w:rPr>
          <w:rFonts w:ascii="Times New Roman" w:eastAsia="Calibri" w:hAnsi="Times New Roman" w:cs="Times New Roman"/>
          <w:sz w:val="24"/>
          <w:szCs w:val="24"/>
        </w:rPr>
        <w:t>gadā, vēlākos gados veiktas vairākkārtējas atradņu apsekošanas, tai skaitā arī 2017. un 2019.</w:t>
      </w:r>
      <w:r w:rsidR="00852BC1">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gadā. Atradnes visvairāk apdraud antropogēnā ietekme – </w:t>
      </w:r>
      <w:proofErr w:type="spellStart"/>
      <w:r w:rsidRPr="00A07F29">
        <w:rPr>
          <w:rFonts w:ascii="Times New Roman" w:eastAsia="Calibri" w:hAnsi="Times New Roman" w:cs="Times New Roman"/>
          <w:sz w:val="24"/>
          <w:szCs w:val="24"/>
        </w:rPr>
        <w:t>ūdenstūristi</w:t>
      </w:r>
      <w:proofErr w:type="spellEnd"/>
      <w:r w:rsidRPr="00A07F29">
        <w:rPr>
          <w:rFonts w:ascii="Times New Roman" w:eastAsia="Calibri" w:hAnsi="Times New Roman" w:cs="Times New Roman"/>
          <w:sz w:val="24"/>
          <w:szCs w:val="24"/>
        </w:rPr>
        <w:t xml:space="preserve"> un makšķernieki, kas</w:t>
      </w:r>
      <w:r w:rsidR="00764731" w:rsidRPr="00A07F29">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augu atradnes nobradājot</w:t>
      </w:r>
      <w:r w:rsidR="00764731" w:rsidRPr="00A07F29">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var izraisīt auga izzušanu. Potenciāli visas atradnes apdraud Daugavas ūdenslīmeņa mākslīga regulēšana, kas rezultātā noved pie auga izzušanas, kā tas ir noticis ar visām šīs sugas atradnēm lejpus Pļaviņām.</w:t>
      </w:r>
    </w:p>
    <w:p w14:paraId="2951BBAF" w14:textId="483F0699" w:rsidR="002B1603" w:rsidRPr="00A07F29" w:rsidRDefault="002B1603" w:rsidP="00B649FD">
      <w:pPr>
        <w:spacing w:before="120" w:after="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Daugavas ielejas </w:t>
      </w:r>
      <w:proofErr w:type="spellStart"/>
      <w:r w:rsidRPr="00A07F29">
        <w:rPr>
          <w:rFonts w:ascii="Times New Roman" w:eastAsia="Calibri" w:hAnsi="Times New Roman" w:cs="Times New Roman"/>
          <w:sz w:val="24"/>
          <w:szCs w:val="24"/>
        </w:rPr>
        <w:t>zālaju</w:t>
      </w:r>
      <w:proofErr w:type="spellEnd"/>
      <w:r w:rsidRPr="00A07F29">
        <w:rPr>
          <w:rFonts w:ascii="Times New Roman" w:eastAsia="Calibri" w:hAnsi="Times New Roman" w:cs="Times New Roman"/>
          <w:sz w:val="24"/>
          <w:szCs w:val="24"/>
        </w:rPr>
        <w:t xml:space="preserve"> biotopam 6450</w:t>
      </w:r>
      <w:r w:rsidR="00852BC1">
        <w:rPr>
          <w:rFonts w:ascii="Times New Roman" w:eastAsia="Calibri" w:hAnsi="Times New Roman" w:cs="Times New Roman"/>
          <w:sz w:val="24"/>
          <w:szCs w:val="24"/>
        </w:rPr>
        <w:t> </w:t>
      </w:r>
      <w:r w:rsidRPr="00A07F29">
        <w:rPr>
          <w:rFonts w:ascii="Times New Roman" w:eastAsia="Calibri" w:hAnsi="Times New Roman" w:cs="Times New Roman"/>
          <w:i/>
          <w:sz w:val="24"/>
          <w:szCs w:val="24"/>
        </w:rPr>
        <w:t>Palieņu zālāji</w:t>
      </w:r>
      <w:r w:rsidRPr="00A07F29">
        <w:rPr>
          <w:rFonts w:ascii="Times New Roman" w:eastAsia="Calibri" w:hAnsi="Times New Roman" w:cs="Times New Roman"/>
          <w:sz w:val="24"/>
          <w:szCs w:val="24"/>
        </w:rPr>
        <w:t xml:space="preserve"> raksturīgas sugas ir</w:t>
      </w:r>
      <w:r w:rsidRPr="00A07F29">
        <w:rPr>
          <w:rFonts w:ascii="Times New Roman" w:eastAsia="Calibri" w:hAnsi="Times New Roman" w:cs="Times New Roman"/>
          <w:b/>
          <w:sz w:val="24"/>
          <w:szCs w:val="24"/>
        </w:rPr>
        <w:t xml:space="preserve"> </w:t>
      </w:r>
      <w:r w:rsidR="00764731" w:rsidRPr="00A07F29">
        <w:rPr>
          <w:rFonts w:ascii="Times New Roman" w:eastAsia="Calibri" w:hAnsi="Times New Roman" w:cs="Times New Roman"/>
          <w:sz w:val="24"/>
          <w:szCs w:val="24"/>
        </w:rPr>
        <w:t xml:space="preserve">arī </w:t>
      </w:r>
      <w:r w:rsidRPr="00A07F29">
        <w:rPr>
          <w:rFonts w:ascii="Times New Roman" w:eastAsia="Calibri" w:hAnsi="Times New Roman" w:cs="Times New Roman"/>
          <w:b/>
          <w:sz w:val="24"/>
          <w:szCs w:val="24"/>
        </w:rPr>
        <w:t xml:space="preserve">Britu </w:t>
      </w:r>
      <w:proofErr w:type="spellStart"/>
      <w:r w:rsidRPr="00A07F29">
        <w:rPr>
          <w:rFonts w:ascii="Times New Roman" w:eastAsia="Calibri" w:hAnsi="Times New Roman" w:cs="Times New Roman"/>
          <w:b/>
          <w:sz w:val="24"/>
          <w:szCs w:val="24"/>
        </w:rPr>
        <w:t>staģe</w:t>
      </w:r>
      <w:proofErr w:type="spellEnd"/>
      <w:r w:rsidRPr="00A07F29">
        <w:rPr>
          <w:rFonts w:ascii="Times New Roman" w:eastAsia="Calibri" w:hAnsi="Times New Roman" w:cs="Times New Roman"/>
          <w:b/>
          <w:sz w:val="24"/>
          <w:szCs w:val="24"/>
        </w:rPr>
        <w:t xml:space="preserve"> </w:t>
      </w:r>
      <w:proofErr w:type="spellStart"/>
      <w:r w:rsidRPr="00A07F29">
        <w:rPr>
          <w:rFonts w:ascii="Times New Roman" w:eastAsia="Calibri" w:hAnsi="Times New Roman" w:cs="Times New Roman"/>
          <w:b/>
          <w:i/>
          <w:sz w:val="24"/>
          <w:szCs w:val="24"/>
        </w:rPr>
        <w:t>Inula</w:t>
      </w:r>
      <w:proofErr w:type="spellEnd"/>
      <w:r w:rsidRPr="00A07F29">
        <w:rPr>
          <w:rFonts w:ascii="Times New Roman" w:eastAsia="Calibri" w:hAnsi="Times New Roman" w:cs="Times New Roman"/>
          <w:b/>
          <w:i/>
          <w:sz w:val="24"/>
          <w:szCs w:val="24"/>
        </w:rPr>
        <w:t xml:space="preserve"> </w:t>
      </w:r>
      <w:proofErr w:type="spellStart"/>
      <w:r w:rsidRPr="00A07F29">
        <w:rPr>
          <w:rFonts w:ascii="Times New Roman" w:eastAsia="Calibri" w:hAnsi="Times New Roman" w:cs="Times New Roman"/>
          <w:b/>
          <w:i/>
          <w:sz w:val="24"/>
          <w:szCs w:val="24"/>
        </w:rPr>
        <w:t>britannica</w:t>
      </w:r>
      <w:proofErr w:type="spellEnd"/>
      <w:r w:rsidRPr="00A07F29">
        <w:rPr>
          <w:rFonts w:ascii="Times New Roman" w:eastAsia="Calibri" w:hAnsi="Times New Roman" w:cs="Times New Roman"/>
          <w:b/>
          <w:sz w:val="24"/>
          <w:szCs w:val="24"/>
        </w:rPr>
        <w:t>, maurloks</w:t>
      </w:r>
      <w:r w:rsidRPr="00A07F29">
        <w:rPr>
          <w:rFonts w:ascii="Times New Roman" w:eastAsia="Calibri" w:hAnsi="Times New Roman" w:cs="Times New Roman"/>
          <w:b/>
          <w:i/>
          <w:sz w:val="24"/>
          <w:szCs w:val="24"/>
        </w:rPr>
        <w:t xml:space="preserve"> </w:t>
      </w:r>
      <w:proofErr w:type="spellStart"/>
      <w:r w:rsidRPr="00A07F29">
        <w:rPr>
          <w:rFonts w:ascii="Times New Roman" w:eastAsia="Calibri" w:hAnsi="Times New Roman" w:cs="Times New Roman"/>
          <w:b/>
          <w:i/>
          <w:sz w:val="24"/>
          <w:szCs w:val="24"/>
        </w:rPr>
        <w:t>Allium</w:t>
      </w:r>
      <w:proofErr w:type="spellEnd"/>
      <w:r w:rsidRPr="00A07F29">
        <w:rPr>
          <w:rFonts w:ascii="Times New Roman" w:eastAsia="Calibri" w:hAnsi="Times New Roman" w:cs="Times New Roman"/>
          <w:b/>
          <w:i/>
          <w:sz w:val="24"/>
          <w:szCs w:val="24"/>
        </w:rPr>
        <w:t xml:space="preserve"> </w:t>
      </w:r>
      <w:proofErr w:type="spellStart"/>
      <w:r w:rsidRPr="00A07F29">
        <w:rPr>
          <w:rFonts w:ascii="Times New Roman" w:eastAsia="Calibri" w:hAnsi="Times New Roman" w:cs="Times New Roman"/>
          <w:b/>
          <w:i/>
          <w:sz w:val="24"/>
          <w:szCs w:val="24"/>
        </w:rPr>
        <w:t>schoenoprasum</w:t>
      </w:r>
      <w:proofErr w:type="spellEnd"/>
      <w:r w:rsidRPr="00A07F29">
        <w:rPr>
          <w:rFonts w:ascii="Times New Roman" w:eastAsia="Calibri" w:hAnsi="Times New Roman" w:cs="Times New Roman"/>
          <w:sz w:val="24"/>
          <w:szCs w:val="24"/>
        </w:rPr>
        <w:t xml:space="preserve"> un </w:t>
      </w:r>
      <w:proofErr w:type="spellStart"/>
      <w:r w:rsidRPr="00A07F29">
        <w:rPr>
          <w:rFonts w:ascii="Times New Roman" w:eastAsia="Calibri" w:hAnsi="Times New Roman" w:cs="Times New Roman"/>
          <w:b/>
          <w:sz w:val="24"/>
          <w:szCs w:val="24"/>
        </w:rPr>
        <w:t>melnodzene</w:t>
      </w:r>
      <w:proofErr w:type="spellEnd"/>
      <w:r w:rsidRPr="00A07F29">
        <w:rPr>
          <w:rFonts w:ascii="Times New Roman" w:eastAsia="Calibri" w:hAnsi="Times New Roman" w:cs="Times New Roman"/>
          <w:b/>
          <w:sz w:val="24"/>
          <w:szCs w:val="24"/>
        </w:rPr>
        <w:t xml:space="preserve"> </w:t>
      </w:r>
      <w:proofErr w:type="spellStart"/>
      <w:r w:rsidRPr="00A07F29">
        <w:rPr>
          <w:rFonts w:ascii="Times New Roman" w:eastAsia="Calibri" w:hAnsi="Times New Roman" w:cs="Times New Roman"/>
          <w:b/>
          <w:i/>
          <w:sz w:val="24"/>
          <w:szCs w:val="24"/>
        </w:rPr>
        <w:t>Cucubalus</w:t>
      </w:r>
      <w:proofErr w:type="spellEnd"/>
      <w:r w:rsidRPr="00A07F29">
        <w:rPr>
          <w:rFonts w:ascii="Times New Roman" w:eastAsia="Calibri" w:hAnsi="Times New Roman" w:cs="Times New Roman"/>
          <w:b/>
          <w:i/>
          <w:sz w:val="24"/>
          <w:szCs w:val="24"/>
        </w:rPr>
        <w:t xml:space="preserve"> </w:t>
      </w:r>
      <w:proofErr w:type="spellStart"/>
      <w:r w:rsidRPr="00A07F29">
        <w:rPr>
          <w:rFonts w:ascii="Times New Roman" w:eastAsia="Calibri" w:hAnsi="Times New Roman" w:cs="Times New Roman"/>
          <w:b/>
          <w:i/>
          <w:sz w:val="24"/>
          <w:szCs w:val="24"/>
        </w:rPr>
        <w:t>baccifer</w:t>
      </w:r>
      <w:proofErr w:type="spellEnd"/>
      <w:r w:rsidRPr="00A07F29">
        <w:rPr>
          <w:rFonts w:ascii="Times New Roman" w:eastAsia="Calibri" w:hAnsi="Times New Roman" w:cs="Times New Roman"/>
          <w:sz w:val="24"/>
          <w:szCs w:val="24"/>
        </w:rPr>
        <w:t>.</w:t>
      </w:r>
      <w:r w:rsidRPr="00A07F29">
        <w:rPr>
          <w:rFonts w:ascii="Times New Roman" w:eastAsia="Calibri" w:hAnsi="Times New Roman" w:cs="Times New Roman"/>
          <w:i/>
          <w:sz w:val="24"/>
          <w:szCs w:val="24"/>
        </w:rPr>
        <w:t xml:space="preserve"> </w:t>
      </w:r>
      <w:r w:rsidRPr="00A07F29">
        <w:rPr>
          <w:rFonts w:ascii="Times New Roman" w:eastAsia="Calibri" w:hAnsi="Times New Roman" w:cs="Times New Roman"/>
          <w:sz w:val="24"/>
          <w:szCs w:val="24"/>
        </w:rPr>
        <w:t>Šīm sugām AAA “Augšdaugava” sastopamas bagātīgas atradnes, ko apdraud palieņu aizaugšana. Visas palienē augošās augu sugas potenciāli apdraud ūdens līmeņa paaugstināšana Daugavā.</w:t>
      </w:r>
    </w:p>
    <w:p w14:paraId="3F99E5B8" w14:textId="77777777" w:rsidR="002B1603" w:rsidRPr="00A07F29" w:rsidRDefault="002B1603" w:rsidP="00B649FD">
      <w:pPr>
        <w:spacing w:after="0" w:line="240" w:lineRule="auto"/>
        <w:jc w:val="both"/>
        <w:rPr>
          <w:rFonts w:ascii="Times New Roman" w:eastAsia="Calibri" w:hAnsi="Times New Roman" w:cs="Times New Roman"/>
          <w:sz w:val="24"/>
          <w:szCs w:val="24"/>
        </w:rPr>
      </w:pPr>
    </w:p>
    <w:p w14:paraId="0E0E96B8" w14:textId="2BA0E512" w:rsidR="002B1603" w:rsidRPr="00A07F29" w:rsidRDefault="005D2355" w:rsidP="00B649FD">
      <w:pPr>
        <w:keepNext/>
        <w:spacing w:after="120" w:line="240" w:lineRule="auto"/>
        <w:jc w:val="both"/>
        <w:rPr>
          <w:rFonts w:ascii="Times New Roman" w:eastAsia="Calibri" w:hAnsi="Times New Roman" w:cs="Times New Roman"/>
          <w:b/>
          <w:sz w:val="24"/>
          <w:szCs w:val="24"/>
        </w:rPr>
      </w:pPr>
      <w:r w:rsidRPr="00A07F29">
        <w:rPr>
          <w:rFonts w:ascii="Times New Roman" w:eastAsia="Calibri" w:hAnsi="Times New Roman" w:cs="Times New Roman"/>
          <w:b/>
          <w:i/>
          <w:sz w:val="24"/>
          <w:szCs w:val="24"/>
        </w:rPr>
        <w:t xml:space="preserve">Purvu </w:t>
      </w:r>
      <w:r w:rsidR="002B1603" w:rsidRPr="00A07F29">
        <w:rPr>
          <w:rFonts w:ascii="Times New Roman" w:eastAsia="Calibri" w:hAnsi="Times New Roman" w:cs="Times New Roman"/>
          <w:b/>
          <w:i/>
          <w:sz w:val="24"/>
          <w:szCs w:val="24"/>
        </w:rPr>
        <w:t xml:space="preserve">un </w:t>
      </w:r>
      <w:r w:rsidRPr="00A07F29">
        <w:rPr>
          <w:rFonts w:ascii="Times New Roman" w:eastAsia="Calibri" w:hAnsi="Times New Roman" w:cs="Times New Roman"/>
          <w:b/>
          <w:i/>
          <w:sz w:val="24"/>
          <w:szCs w:val="24"/>
        </w:rPr>
        <w:t>ezeru retās un aizsargājamās sugas</w:t>
      </w:r>
    </w:p>
    <w:p w14:paraId="2AB51672" w14:textId="2A2CD8A1" w:rsidR="002B1603" w:rsidRPr="00A07F29" w:rsidRDefault="002B1603" w:rsidP="00B649FD">
      <w:pPr>
        <w:spacing w:after="0" w:line="240" w:lineRule="auto"/>
        <w:ind w:firstLine="720"/>
        <w:jc w:val="both"/>
        <w:rPr>
          <w:rFonts w:ascii="Times New Roman" w:eastAsia="Calibri" w:hAnsi="Times New Roman" w:cs="Calibri"/>
          <w:sz w:val="24"/>
          <w:szCs w:val="24"/>
        </w:rPr>
      </w:pPr>
      <w:r w:rsidRPr="00A07F29">
        <w:rPr>
          <w:rFonts w:ascii="Times New Roman" w:eastAsia="Calibri" w:hAnsi="Times New Roman" w:cs="Calibri"/>
          <w:b/>
          <w:sz w:val="24"/>
          <w:szCs w:val="24"/>
        </w:rPr>
        <w:t>Dzeltenā akmeņlauzīte</w:t>
      </w:r>
      <w:r w:rsidRPr="00A07F29">
        <w:rPr>
          <w:rFonts w:ascii="Times New Roman" w:eastAsia="Calibri" w:hAnsi="Times New Roman" w:cs="Calibri"/>
          <w:b/>
          <w:i/>
          <w:sz w:val="24"/>
          <w:szCs w:val="24"/>
        </w:rPr>
        <w:t xml:space="preserve"> </w:t>
      </w:r>
      <w:proofErr w:type="spellStart"/>
      <w:r w:rsidRPr="00A07F29">
        <w:rPr>
          <w:rFonts w:ascii="Times New Roman" w:eastAsia="Calibri" w:hAnsi="Times New Roman" w:cs="Calibri"/>
          <w:b/>
          <w:i/>
          <w:sz w:val="24"/>
          <w:szCs w:val="24"/>
        </w:rPr>
        <w:t>Saxifraga</w:t>
      </w:r>
      <w:proofErr w:type="spellEnd"/>
      <w:r w:rsidRPr="00A07F29">
        <w:rPr>
          <w:rFonts w:ascii="Times New Roman" w:eastAsia="Calibri" w:hAnsi="Times New Roman" w:cs="Calibri"/>
          <w:b/>
          <w:i/>
          <w:sz w:val="24"/>
          <w:szCs w:val="24"/>
        </w:rPr>
        <w:t xml:space="preserve"> </w:t>
      </w:r>
      <w:proofErr w:type="spellStart"/>
      <w:r w:rsidRPr="00A07F29">
        <w:rPr>
          <w:rFonts w:ascii="Times New Roman" w:eastAsia="Calibri" w:hAnsi="Times New Roman" w:cs="Calibri"/>
          <w:b/>
          <w:i/>
          <w:sz w:val="24"/>
          <w:szCs w:val="24"/>
        </w:rPr>
        <w:t>hirculus</w:t>
      </w:r>
      <w:proofErr w:type="spellEnd"/>
      <w:r w:rsidRPr="00A07F29">
        <w:rPr>
          <w:rFonts w:ascii="Times New Roman" w:eastAsia="Calibri" w:hAnsi="Times New Roman" w:cs="Calibri"/>
          <w:sz w:val="24"/>
          <w:szCs w:val="24"/>
        </w:rPr>
        <w:t xml:space="preserve"> ir izzūdošs daudzgadīgs akmeņlauzīšu dzimtas lakstaugs. Latvijā sastopama reti, visā teritorijā. Dzelten</w:t>
      </w:r>
      <w:r w:rsidR="00764731" w:rsidRPr="00A07F29">
        <w:rPr>
          <w:rFonts w:ascii="Times New Roman" w:eastAsia="Calibri" w:hAnsi="Times New Roman" w:cs="Calibri"/>
          <w:sz w:val="24"/>
          <w:szCs w:val="24"/>
        </w:rPr>
        <w:t>aj</w:t>
      </w:r>
      <w:r w:rsidRPr="00A07F29">
        <w:rPr>
          <w:rFonts w:ascii="Times New Roman" w:eastAsia="Calibri" w:hAnsi="Times New Roman" w:cs="Calibri"/>
          <w:sz w:val="24"/>
          <w:szCs w:val="24"/>
        </w:rPr>
        <w:t>ai akmeņlauzītei raksturīga augšanas vieta ir zemie un pārejas purvi, purvainas pļavas. AAA “Augšdaugava” teritorijā suga zināma no 2006.</w:t>
      </w:r>
      <w:r w:rsidR="00921F6C">
        <w:rPr>
          <w:rFonts w:ascii="Times New Roman" w:eastAsia="Calibri" w:hAnsi="Times New Roman" w:cs="Calibri"/>
          <w:sz w:val="24"/>
          <w:szCs w:val="24"/>
        </w:rPr>
        <w:t> </w:t>
      </w:r>
      <w:r w:rsidRPr="00A07F29">
        <w:rPr>
          <w:rFonts w:ascii="Times New Roman" w:eastAsia="Calibri" w:hAnsi="Times New Roman" w:cs="Calibri"/>
          <w:sz w:val="24"/>
          <w:szCs w:val="24"/>
        </w:rPr>
        <w:t>gada, kad tā tika atrasta Skaistas avotu purvā</w:t>
      </w:r>
      <w:r w:rsidR="00764731" w:rsidRPr="00A07F29">
        <w:rPr>
          <w:rFonts w:ascii="Times New Roman" w:eastAsia="Calibri" w:hAnsi="Times New Roman" w:cs="Calibri"/>
          <w:sz w:val="24"/>
          <w:szCs w:val="24"/>
        </w:rPr>
        <w:t>.</w:t>
      </w:r>
      <w:r w:rsidRPr="00A07F29">
        <w:rPr>
          <w:rFonts w:ascii="Times New Roman" w:eastAsia="Calibri" w:hAnsi="Times New Roman" w:cs="Calibri"/>
          <w:sz w:val="24"/>
          <w:szCs w:val="24"/>
        </w:rPr>
        <w:t xml:space="preserve"> </w:t>
      </w:r>
      <w:r w:rsidR="00764731" w:rsidRPr="00A07F29">
        <w:rPr>
          <w:rFonts w:ascii="Times New Roman" w:eastAsia="Calibri" w:hAnsi="Times New Roman" w:cs="Calibri"/>
          <w:sz w:val="24"/>
          <w:szCs w:val="24"/>
        </w:rPr>
        <w:t xml:space="preserve">Atradne </w:t>
      </w:r>
      <w:r w:rsidRPr="00A07F29">
        <w:rPr>
          <w:rFonts w:ascii="Times New Roman" w:eastAsia="Calibri" w:hAnsi="Times New Roman" w:cs="Calibri"/>
          <w:sz w:val="24"/>
          <w:szCs w:val="24"/>
        </w:rPr>
        <w:t>apsekota arī 2016.</w:t>
      </w:r>
      <w:r w:rsidR="00921F6C">
        <w:rPr>
          <w:rFonts w:ascii="Times New Roman" w:eastAsia="Calibri" w:hAnsi="Times New Roman" w:cs="Calibri"/>
          <w:sz w:val="24"/>
          <w:szCs w:val="24"/>
        </w:rPr>
        <w:t> </w:t>
      </w:r>
      <w:r w:rsidRPr="00A07F29">
        <w:rPr>
          <w:rFonts w:ascii="Times New Roman" w:eastAsia="Calibri" w:hAnsi="Times New Roman" w:cs="Calibri"/>
          <w:sz w:val="24"/>
          <w:szCs w:val="24"/>
        </w:rPr>
        <w:t xml:space="preserve">gadā, </w:t>
      </w:r>
      <w:r w:rsidR="00764731" w:rsidRPr="00A07F29">
        <w:rPr>
          <w:rFonts w:ascii="Times New Roman" w:eastAsia="Calibri" w:hAnsi="Times New Roman" w:cs="Calibri"/>
          <w:sz w:val="24"/>
          <w:szCs w:val="24"/>
        </w:rPr>
        <w:t xml:space="preserve">kad </w:t>
      </w:r>
      <w:r w:rsidRPr="00A07F29">
        <w:rPr>
          <w:rFonts w:ascii="Times New Roman" w:eastAsia="Calibri" w:hAnsi="Times New Roman" w:cs="Calibri"/>
          <w:sz w:val="24"/>
          <w:szCs w:val="24"/>
        </w:rPr>
        <w:t>vienā no divām atradnēm sugai uzskaitīti 20 eksemplāri. Sugas atradni apdraud purva aizaugšana ar parasto niedri, kā arī ūdens līmeņa paaugstināšanās. 2017.</w:t>
      </w:r>
      <w:r w:rsidR="00AD0648">
        <w:rPr>
          <w:rFonts w:ascii="Times New Roman" w:eastAsia="Calibri" w:hAnsi="Times New Roman" w:cs="Calibri"/>
          <w:sz w:val="24"/>
          <w:szCs w:val="24"/>
        </w:rPr>
        <w:t> </w:t>
      </w:r>
      <w:r w:rsidRPr="00A07F29">
        <w:rPr>
          <w:rFonts w:ascii="Times New Roman" w:eastAsia="Calibri" w:hAnsi="Times New Roman" w:cs="Calibri"/>
          <w:sz w:val="24"/>
          <w:szCs w:val="24"/>
        </w:rPr>
        <w:t>gadā bebru darbības rezultātā paaugstināta ūdens līmeņa dēļ suga netika konstatēta.</w:t>
      </w:r>
    </w:p>
    <w:p w14:paraId="249626AC" w14:textId="0CCF47AA" w:rsidR="00B04590" w:rsidRPr="00A07F29" w:rsidRDefault="00B04590" w:rsidP="00B649FD">
      <w:pPr>
        <w:spacing w:after="120" w:line="240" w:lineRule="auto"/>
        <w:ind w:firstLine="851"/>
        <w:jc w:val="both"/>
        <w:rPr>
          <w:rFonts w:ascii="Times New Roman" w:eastAsia="Times New Roman" w:hAnsi="Times New Roman" w:cs="Times New Roman"/>
          <w:sz w:val="24"/>
          <w:szCs w:val="24"/>
        </w:rPr>
      </w:pPr>
      <w:proofErr w:type="spellStart"/>
      <w:r w:rsidRPr="00A07F29">
        <w:rPr>
          <w:rFonts w:ascii="Times New Roman" w:eastAsia="Times New Roman" w:hAnsi="Times New Roman" w:cs="Times New Roman"/>
          <w:b/>
          <w:sz w:val="24"/>
          <w:szCs w:val="24"/>
        </w:rPr>
        <w:t>Lēzeļa</w:t>
      </w:r>
      <w:proofErr w:type="spellEnd"/>
      <w:r w:rsidRPr="00A07F29">
        <w:rPr>
          <w:rFonts w:ascii="Times New Roman" w:eastAsia="Times New Roman" w:hAnsi="Times New Roman" w:cs="Times New Roman"/>
          <w:b/>
          <w:sz w:val="24"/>
          <w:szCs w:val="24"/>
        </w:rPr>
        <w:t xml:space="preserve"> </w:t>
      </w:r>
      <w:proofErr w:type="spellStart"/>
      <w:r w:rsidRPr="00A07F29">
        <w:rPr>
          <w:rFonts w:ascii="Times New Roman" w:eastAsia="Times New Roman" w:hAnsi="Times New Roman" w:cs="Times New Roman"/>
          <w:b/>
          <w:sz w:val="24"/>
          <w:szCs w:val="24"/>
        </w:rPr>
        <w:t>lipare</w:t>
      </w:r>
      <w:proofErr w:type="spellEnd"/>
      <w:r w:rsidRPr="00A07F29">
        <w:rPr>
          <w:rFonts w:ascii="Times New Roman" w:eastAsia="Times New Roman" w:hAnsi="Times New Roman" w:cs="Times New Roman"/>
          <w:b/>
          <w:sz w:val="24"/>
          <w:szCs w:val="24"/>
        </w:rPr>
        <w:t xml:space="preserve"> </w:t>
      </w:r>
      <w:proofErr w:type="spellStart"/>
      <w:r w:rsidRPr="00A07F29">
        <w:rPr>
          <w:rFonts w:ascii="Times New Roman" w:eastAsia="Times New Roman" w:hAnsi="Times New Roman" w:cs="Times New Roman"/>
          <w:b/>
          <w:i/>
          <w:sz w:val="24"/>
          <w:szCs w:val="24"/>
        </w:rPr>
        <w:t>Liparis</w:t>
      </w:r>
      <w:proofErr w:type="spellEnd"/>
      <w:r w:rsidRPr="00A07F29">
        <w:rPr>
          <w:rFonts w:ascii="Times New Roman" w:eastAsia="Times New Roman" w:hAnsi="Times New Roman" w:cs="Times New Roman"/>
          <w:b/>
          <w:i/>
          <w:sz w:val="24"/>
          <w:szCs w:val="24"/>
        </w:rPr>
        <w:t xml:space="preserve"> </w:t>
      </w:r>
      <w:proofErr w:type="spellStart"/>
      <w:r w:rsidRPr="00A07F29">
        <w:rPr>
          <w:rFonts w:ascii="Times New Roman" w:eastAsia="Times New Roman" w:hAnsi="Times New Roman" w:cs="Times New Roman"/>
          <w:b/>
          <w:i/>
          <w:sz w:val="24"/>
          <w:szCs w:val="24"/>
        </w:rPr>
        <w:t>loeselii</w:t>
      </w:r>
      <w:proofErr w:type="spellEnd"/>
      <w:r w:rsidRPr="00A07F29">
        <w:rPr>
          <w:rFonts w:ascii="Times New Roman" w:eastAsia="Times New Roman" w:hAnsi="Times New Roman" w:cs="Times New Roman"/>
          <w:b/>
          <w:sz w:val="24"/>
          <w:szCs w:val="24"/>
        </w:rPr>
        <w:t xml:space="preserve"> </w:t>
      </w:r>
      <w:r w:rsidRPr="00A07F29">
        <w:rPr>
          <w:rFonts w:ascii="Times New Roman" w:eastAsia="Times New Roman" w:hAnsi="Times New Roman" w:cs="Times New Roman"/>
          <w:sz w:val="24"/>
          <w:szCs w:val="24"/>
        </w:rPr>
        <w:t xml:space="preserve">Latvijā sastopama diezgan reti – galvenokārt skraji aizaugušās ezeru </w:t>
      </w:r>
      <w:proofErr w:type="spellStart"/>
      <w:r w:rsidRPr="00A07F29">
        <w:rPr>
          <w:rFonts w:ascii="Times New Roman" w:eastAsia="Times New Roman" w:hAnsi="Times New Roman" w:cs="Times New Roman"/>
          <w:sz w:val="24"/>
          <w:szCs w:val="24"/>
        </w:rPr>
        <w:t>nokrastu</w:t>
      </w:r>
      <w:proofErr w:type="spellEnd"/>
      <w:r w:rsidRPr="00A07F29">
        <w:rPr>
          <w:rFonts w:ascii="Times New Roman" w:eastAsia="Times New Roman" w:hAnsi="Times New Roman" w:cs="Times New Roman"/>
          <w:sz w:val="24"/>
          <w:szCs w:val="24"/>
        </w:rPr>
        <w:t xml:space="preserve"> slīkšņās, retāk </w:t>
      </w:r>
      <w:proofErr w:type="spellStart"/>
      <w:r w:rsidRPr="00A07F29">
        <w:rPr>
          <w:rFonts w:ascii="Times New Roman" w:eastAsia="Times New Roman" w:hAnsi="Times New Roman" w:cs="Times New Roman"/>
          <w:sz w:val="24"/>
          <w:szCs w:val="24"/>
        </w:rPr>
        <w:t>avoksnainos</w:t>
      </w:r>
      <w:proofErr w:type="spellEnd"/>
      <w:r w:rsidRPr="00A07F29">
        <w:rPr>
          <w:rFonts w:ascii="Times New Roman" w:eastAsia="Times New Roman" w:hAnsi="Times New Roman" w:cs="Times New Roman"/>
          <w:sz w:val="24"/>
          <w:szCs w:val="24"/>
        </w:rPr>
        <w:t xml:space="preserve"> zāļu purvos un mitrās pļavās (Andrušaitis</w:t>
      </w:r>
      <w:r w:rsidR="00FA31E3">
        <w:rPr>
          <w:rFonts w:ascii="Times New Roman" w:eastAsia="Times New Roman" w:hAnsi="Times New Roman" w:cs="Times New Roman"/>
          <w:sz w:val="24"/>
          <w:szCs w:val="24"/>
        </w:rPr>
        <w:t xml:space="preserve"> G.</w:t>
      </w:r>
      <w:r w:rsidRPr="00A07F29">
        <w:rPr>
          <w:rFonts w:ascii="Times New Roman" w:eastAsia="Times New Roman" w:hAnsi="Times New Roman" w:cs="Times New Roman"/>
          <w:sz w:val="24"/>
          <w:szCs w:val="24"/>
        </w:rPr>
        <w:t>, 2003, Priedītis</w:t>
      </w:r>
      <w:r w:rsidR="00A16988">
        <w:rPr>
          <w:rFonts w:ascii="Times New Roman" w:eastAsia="Times New Roman" w:hAnsi="Times New Roman" w:cs="Times New Roman"/>
          <w:sz w:val="24"/>
          <w:szCs w:val="24"/>
        </w:rPr>
        <w:t xml:space="preserve"> N.</w:t>
      </w:r>
      <w:r w:rsidRPr="00A07F29">
        <w:rPr>
          <w:rFonts w:ascii="Times New Roman" w:eastAsia="Times New Roman" w:hAnsi="Times New Roman" w:cs="Times New Roman"/>
          <w:sz w:val="24"/>
          <w:szCs w:val="24"/>
        </w:rPr>
        <w:t xml:space="preserve">, 2014, </w:t>
      </w:r>
      <w:proofErr w:type="spellStart"/>
      <w:r w:rsidRPr="00A07F29">
        <w:rPr>
          <w:rFonts w:ascii="Times New Roman" w:eastAsia="Times New Roman" w:hAnsi="Times New Roman" w:cs="Times New Roman"/>
          <w:sz w:val="24"/>
          <w:szCs w:val="24"/>
        </w:rPr>
        <w:t>Suško</w:t>
      </w:r>
      <w:proofErr w:type="spellEnd"/>
      <w:r w:rsidRPr="00A07F29">
        <w:rPr>
          <w:rFonts w:ascii="Times New Roman" w:eastAsia="Times New Roman" w:hAnsi="Times New Roman" w:cs="Times New Roman"/>
          <w:sz w:val="24"/>
          <w:szCs w:val="24"/>
        </w:rPr>
        <w:t xml:space="preserve">, </w:t>
      </w:r>
      <w:proofErr w:type="spellStart"/>
      <w:r w:rsidRPr="00A07F29">
        <w:rPr>
          <w:rFonts w:ascii="Times New Roman" w:eastAsia="Times New Roman" w:hAnsi="Times New Roman" w:cs="Times New Roman"/>
          <w:sz w:val="24"/>
          <w:szCs w:val="24"/>
        </w:rPr>
        <w:t>nepubl</w:t>
      </w:r>
      <w:proofErr w:type="spellEnd"/>
      <w:r w:rsidRPr="00A07F29">
        <w:rPr>
          <w:rFonts w:ascii="Times New Roman" w:eastAsia="Times New Roman" w:hAnsi="Times New Roman" w:cs="Times New Roman"/>
          <w:sz w:val="24"/>
          <w:szCs w:val="24"/>
        </w:rPr>
        <w:t>. mat.). Sugu apdraud zāļu purvu aizaugšana un nosusināšana, kā arī ezeru piesārņošana un eitrofikācijas pastiprināšanās. AAA “Augšdaugava” suga 1997.</w:t>
      </w:r>
      <w:r w:rsidR="00560EFC">
        <w:rPr>
          <w:rFonts w:ascii="Times New Roman" w:eastAsia="Times New Roman" w:hAnsi="Times New Roman" w:cs="Times New Roman"/>
          <w:sz w:val="24"/>
          <w:szCs w:val="24"/>
        </w:rPr>
        <w:t> </w:t>
      </w:r>
      <w:r w:rsidRPr="00A07F29">
        <w:rPr>
          <w:rFonts w:ascii="Times New Roman" w:eastAsia="Times New Roman" w:hAnsi="Times New Roman" w:cs="Times New Roman"/>
          <w:sz w:val="24"/>
          <w:szCs w:val="24"/>
        </w:rPr>
        <w:t xml:space="preserve">gadā atrasta </w:t>
      </w:r>
      <w:proofErr w:type="spellStart"/>
      <w:r w:rsidRPr="00A07F29">
        <w:rPr>
          <w:rFonts w:ascii="Times New Roman" w:eastAsia="Times New Roman" w:hAnsi="Times New Roman" w:cs="Times New Roman"/>
          <w:sz w:val="24"/>
          <w:szCs w:val="24"/>
        </w:rPr>
        <w:t>Vaičuku</w:t>
      </w:r>
      <w:proofErr w:type="spellEnd"/>
      <w:r w:rsidRPr="00A07F29">
        <w:rPr>
          <w:rFonts w:ascii="Times New Roman" w:eastAsia="Times New Roman" w:hAnsi="Times New Roman" w:cs="Times New Roman"/>
          <w:sz w:val="24"/>
          <w:szCs w:val="24"/>
        </w:rPr>
        <w:t xml:space="preserve"> ezera purvainajā </w:t>
      </w:r>
      <w:proofErr w:type="spellStart"/>
      <w:r w:rsidRPr="00A07F29">
        <w:rPr>
          <w:rFonts w:ascii="Times New Roman" w:eastAsia="Times New Roman" w:hAnsi="Times New Roman" w:cs="Times New Roman"/>
          <w:sz w:val="24"/>
          <w:szCs w:val="24"/>
        </w:rPr>
        <w:t>nokrastes</w:t>
      </w:r>
      <w:proofErr w:type="spellEnd"/>
      <w:r w:rsidRPr="00A07F29">
        <w:rPr>
          <w:rFonts w:ascii="Times New Roman" w:eastAsia="Times New Roman" w:hAnsi="Times New Roman" w:cs="Times New Roman"/>
          <w:sz w:val="24"/>
          <w:szCs w:val="24"/>
        </w:rPr>
        <w:t xml:space="preserve"> slīkšņā, bet 2017.</w:t>
      </w:r>
      <w:r w:rsidR="00560EFC">
        <w:rPr>
          <w:rFonts w:ascii="Times New Roman" w:eastAsia="Times New Roman" w:hAnsi="Times New Roman" w:cs="Times New Roman"/>
          <w:sz w:val="24"/>
          <w:szCs w:val="24"/>
        </w:rPr>
        <w:t> </w:t>
      </w:r>
      <w:r w:rsidRPr="00A07F29">
        <w:rPr>
          <w:rFonts w:ascii="Times New Roman" w:eastAsia="Times New Roman" w:hAnsi="Times New Roman" w:cs="Times New Roman"/>
          <w:sz w:val="24"/>
          <w:szCs w:val="24"/>
        </w:rPr>
        <w:t xml:space="preserve">gadā – </w:t>
      </w:r>
      <w:proofErr w:type="spellStart"/>
      <w:r w:rsidRPr="00A07F29">
        <w:rPr>
          <w:rFonts w:ascii="Times New Roman" w:eastAsia="Times New Roman" w:hAnsi="Times New Roman" w:cs="Times New Roman"/>
          <w:sz w:val="24"/>
          <w:szCs w:val="24"/>
        </w:rPr>
        <w:t>Ba</w:t>
      </w:r>
      <w:r w:rsidR="00ED0AD7">
        <w:rPr>
          <w:rFonts w:ascii="Times New Roman" w:eastAsia="Times New Roman" w:hAnsi="Times New Roman" w:cs="Times New Roman"/>
          <w:sz w:val="24"/>
          <w:szCs w:val="24"/>
        </w:rPr>
        <w:t>l</w:t>
      </w:r>
      <w:r w:rsidRPr="00A07F29">
        <w:rPr>
          <w:rFonts w:ascii="Times New Roman" w:eastAsia="Times New Roman" w:hAnsi="Times New Roman" w:cs="Times New Roman"/>
          <w:sz w:val="24"/>
          <w:szCs w:val="24"/>
        </w:rPr>
        <w:t>ticas</w:t>
      </w:r>
      <w:proofErr w:type="spellEnd"/>
      <w:r w:rsidRPr="00A07F29">
        <w:rPr>
          <w:rFonts w:ascii="Times New Roman" w:eastAsia="Times New Roman" w:hAnsi="Times New Roman" w:cs="Times New Roman"/>
          <w:sz w:val="24"/>
          <w:szCs w:val="24"/>
        </w:rPr>
        <w:t xml:space="preserve"> (</w:t>
      </w:r>
      <w:r w:rsidR="00560EFC">
        <w:rPr>
          <w:rFonts w:ascii="Times New Roman" w:eastAsia="Times New Roman" w:hAnsi="Times New Roman" w:cs="Times New Roman"/>
          <w:sz w:val="24"/>
          <w:szCs w:val="24"/>
        </w:rPr>
        <w:t>divi</w:t>
      </w:r>
      <w:r w:rsidRPr="00A07F29">
        <w:rPr>
          <w:rFonts w:ascii="Times New Roman" w:eastAsia="Times New Roman" w:hAnsi="Times New Roman" w:cs="Times New Roman"/>
          <w:sz w:val="24"/>
          <w:szCs w:val="24"/>
        </w:rPr>
        <w:t xml:space="preserve"> eksemplāri), </w:t>
      </w:r>
      <w:proofErr w:type="spellStart"/>
      <w:r w:rsidRPr="00A07F29">
        <w:rPr>
          <w:rFonts w:ascii="Times New Roman" w:eastAsia="Times New Roman" w:hAnsi="Times New Roman" w:cs="Times New Roman"/>
          <w:sz w:val="24"/>
          <w:szCs w:val="24"/>
        </w:rPr>
        <w:t>Jabloņkas</w:t>
      </w:r>
      <w:proofErr w:type="spellEnd"/>
      <w:r w:rsidRPr="00A07F29">
        <w:rPr>
          <w:rFonts w:ascii="Times New Roman" w:eastAsia="Times New Roman" w:hAnsi="Times New Roman" w:cs="Times New Roman"/>
          <w:sz w:val="24"/>
          <w:szCs w:val="24"/>
        </w:rPr>
        <w:t xml:space="preserve"> (</w:t>
      </w:r>
      <w:r w:rsidR="00560EFC">
        <w:rPr>
          <w:rFonts w:ascii="Times New Roman" w:eastAsia="Times New Roman" w:hAnsi="Times New Roman" w:cs="Times New Roman"/>
          <w:sz w:val="24"/>
          <w:szCs w:val="24"/>
        </w:rPr>
        <w:t>pieci</w:t>
      </w:r>
      <w:r w:rsidRPr="00A07F29">
        <w:rPr>
          <w:rFonts w:ascii="Times New Roman" w:eastAsia="Times New Roman" w:hAnsi="Times New Roman" w:cs="Times New Roman"/>
          <w:sz w:val="24"/>
          <w:szCs w:val="24"/>
        </w:rPr>
        <w:t xml:space="preserve"> eks</w:t>
      </w:r>
      <w:r w:rsidR="00560EFC">
        <w:rPr>
          <w:rFonts w:ascii="Times New Roman" w:eastAsia="Times New Roman" w:hAnsi="Times New Roman" w:cs="Times New Roman"/>
          <w:sz w:val="24"/>
          <w:szCs w:val="24"/>
        </w:rPr>
        <w:t>emplāri</w:t>
      </w:r>
      <w:r w:rsidRPr="00A07F29">
        <w:rPr>
          <w:rFonts w:ascii="Times New Roman" w:eastAsia="Times New Roman" w:hAnsi="Times New Roman" w:cs="Times New Roman"/>
          <w:sz w:val="24"/>
          <w:szCs w:val="24"/>
        </w:rPr>
        <w:t xml:space="preserve">) un atkārtoti </w:t>
      </w:r>
      <w:proofErr w:type="spellStart"/>
      <w:r w:rsidRPr="00A07F29">
        <w:rPr>
          <w:rFonts w:ascii="Times New Roman" w:eastAsia="Times New Roman" w:hAnsi="Times New Roman" w:cs="Times New Roman"/>
          <w:sz w:val="24"/>
          <w:szCs w:val="24"/>
        </w:rPr>
        <w:t>Vaičuku</w:t>
      </w:r>
      <w:proofErr w:type="spellEnd"/>
      <w:r w:rsidRPr="00A07F29">
        <w:rPr>
          <w:rFonts w:ascii="Times New Roman" w:eastAsia="Times New Roman" w:hAnsi="Times New Roman" w:cs="Times New Roman"/>
          <w:sz w:val="24"/>
          <w:szCs w:val="24"/>
        </w:rPr>
        <w:t xml:space="preserve"> ezera (21 eks</w:t>
      </w:r>
      <w:r w:rsidR="00560EFC">
        <w:rPr>
          <w:rFonts w:ascii="Times New Roman" w:eastAsia="Times New Roman" w:hAnsi="Times New Roman" w:cs="Times New Roman"/>
          <w:sz w:val="24"/>
          <w:szCs w:val="24"/>
        </w:rPr>
        <w:t>emplārs</w:t>
      </w:r>
      <w:r w:rsidRPr="00A07F29">
        <w:rPr>
          <w:rFonts w:ascii="Times New Roman" w:eastAsia="Times New Roman" w:hAnsi="Times New Roman" w:cs="Times New Roman"/>
          <w:sz w:val="24"/>
          <w:szCs w:val="24"/>
        </w:rPr>
        <w:t xml:space="preserve">) purvainajā </w:t>
      </w:r>
      <w:proofErr w:type="spellStart"/>
      <w:r w:rsidRPr="00A07F29">
        <w:rPr>
          <w:rFonts w:ascii="Times New Roman" w:eastAsia="Times New Roman" w:hAnsi="Times New Roman" w:cs="Times New Roman"/>
          <w:sz w:val="24"/>
          <w:szCs w:val="24"/>
        </w:rPr>
        <w:t>nokrastes</w:t>
      </w:r>
      <w:proofErr w:type="spellEnd"/>
      <w:r w:rsidRPr="00A07F29">
        <w:rPr>
          <w:rFonts w:ascii="Times New Roman" w:eastAsia="Times New Roman" w:hAnsi="Times New Roman" w:cs="Times New Roman"/>
          <w:sz w:val="24"/>
          <w:szCs w:val="24"/>
        </w:rPr>
        <w:t xml:space="preserve"> slīkšņā un šobrīd to nekas neapdraud.</w:t>
      </w:r>
    </w:p>
    <w:p w14:paraId="002AE52A" w14:textId="40F7F95D" w:rsidR="002B1603" w:rsidRPr="00A07F29" w:rsidRDefault="002B1603" w:rsidP="00B649FD">
      <w:pPr>
        <w:spacing w:after="120" w:line="240" w:lineRule="auto"/>
        <w:ind w:firstLine="851"/>
        <w:jc w:val="both"/>
        <w:rPr>
          <w:rFonts w:ascii="Times New Roman" w:eastAsia="Calibri" w:hAnsi="Times New Roman" w:cs="Times New Roman"/>
          <w:sz w:val="24"/>
          <w:szCs w:val="24"/>
        </w:rPr>
      </w:pPr>
      <w:proofErr w:type="spellStart"/>
      <w:r w:rsidRPr="00A07F29">
        <w:rPr>
          <w:rFonts w:ascii="Times New Roman" w:eastAsia="Calibri" w:hAnsi="Times New Roman" w:cs="Times New Roman"/>
          <w:b/>
          <w:sz w:val="24"/>
          <w:szCs w:val="24"/>
        </w:rPr>
        <w:t>Biezlapu</w:t>
      </w:r>
      <w:proofErr w:type="spellEnd"/>
      <w:r w:rsidRPr="00A07F29">
        <w:rPr>
          <w:rFonts w:ascii="Times New Roman" w:eastAsia="Calibri" w:hAnsi="Times New Roman" w:cs="Times New Roman"/>
          <w:b/>
          <w:sz w:val="24"/>
          <w:szCs w:val="24"/>
        </w:rPr>
        <w:t xml:space="preserve"> virza </w:t>
      </w:r>
      <w:proofErr w:type="spellStart"/>
      <w:r w:rsidRPr="00A07F29">
        <w:rPr>
          <w:rFonts w:ascii="Times New Roman" w:eastAsia="Calibri" w:hAnsi="Times New Roman" w:cs="Times New Roman"/>
          <w:b/>
          <w:i/>
          <w:sz w:val="24"/>
          <w:szCs w:val="24"/>
        </w:rPr>
        <w:t>Stellaria</w:t>
      </w:r>
      <w:proofErr w:type="spellEnd"/>
      <w:r w:rsidRPr="00A07F29">
        <w:rPr>
          <w:rFonts w:ascii="Times New Roman" w:eastAsia="Calibri" w:hAnsi="Times New Roman" w:cs="Times New Roman"/>
          <w:b/>
          <w:i/>
          <w:sz w:val="24"/>
          <w:szCs w:val="24"/>
        </w:rPr>
        <w:t xml:space="preserve"> </w:t>
      </w:r>
      <w:proofErr w:type="spellStart"/>
      <w:r w:rsidRPr="00A07F29">
        <w:rPr>
          <w:rFonts w:ascii="Times New Roman" w:eastAsia="Calibri" w:hAnsi="Times New Roman" w:cs="Times New Roman"/>
          <w:b/>
          <w:i/>
          <w:sz w:val="24"/>
          <w:szCs w:val="24"/>
        </w:rPr>
        <w:t>crassifolia</w:t>
      </w:r>
      <w:proofErr w:type="spellEnd"/>
      <w:r w:rsidRPr="00A07F29">
        <w:rPr>
          <w:rFonts w:ascii="Times New Roman" w:eastAsia="Calibri" w:hAnsi="Times New Roman" w:cs="Times New Roman"/>
          <w:sz w:val="24"/>
          <w:szCs w:val="24"/>
        </w:rPr>
        <w:t xml:space="preserve"> Latvijā </w:t>
      </w:r>
      <w:r w:rsidR="00462C1D" w:rsidRPr="00A07F29">
        <w:rPr>
          <w:rFonts w:ascii="Times New Roman" w:eastAsia="Calibri" w:hAnsi="Times New Roman" w:cs="Times New Roman"/>
          <w:sz w:val="24"/>
          <w:szCs w:val="24"/>
        </w:rPr>
        <w:t xml:space="preserve">sastopama </w:t>
      </w:r>
      <w:r w:rsidRPr="00A07F29">
        <w:rPr>
          <w:rFonts w:ascii="Times New Roman" w:eastAsia="Calibri" w:hAnsi="Times New Roman" w:cs="Times New Roman"/>
          <w:sz w:val="24"/>
          <w:szCs w:val="24"/>
        </w:rPr>
        <w:t xml:space="preserve">diezgan reti, galvenokārt Daugavas un Laucesas upes ielejās, kā arī Piejūras zemienē. AAA “Augšdaugava” suga konstatēta </w:t>
      </w:r>
      <w:r w:rsidRPr="00A07F29">
        <w:rPr>
          <w:rFonts w:ascii="Times New Roman" w:eastAsia="Calibri" w:hAnsi="Times New Roman" w:cs="Times New Roman"/>
          <w:sz w:val="24"/>
          <w:szCs w:val="24"/>
        </w:rPr>
        <w:lastRenderedPageBreak/>
        <w:t xml:space="preserve">pie pieciem ezeriem </w:t>
      </w:r>
      <w:r w:rsidR="00764731" w:rsidRPr="00A07F29">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w:t>
      </w:r>
      <w:proofErr w:type="spellStart"/>
      <w:r w:rsidRPr="00A07F29">
        <w:rPr>
          <w:rFonts w:ascii="Times New Roman" w:eastAsia="Times New Roman" w:hAnsi="Times New Roman" w:cs="Times New Roman"/>
          <w:sz w:val="24"/>
          <w:szCs w:val="24"/>
          <w:lang w:eastAsia="en-GB"/>
        </w:rPr>
        <w:t>Balticas</w:t>
      </w:r>
      <w:proofErr w:type="spellEnd"/>
      <w:r w:rsidRPr="00A07F29">
        <w:rPr>
          <w:rFonts w:ascii="Times New Roman" w:eastAsia="Times New Roman" w:hAnsi="Times New Roman" w:cs="Times New Roman"/>
          <w:sz w:val="24"/>
          <w:szCs w:val="24"/>
          <w:lang w:eastAsia="en-GB"/>
        </w:rPr>
        <w:t xml:space="preserve">, </w:t>
      </w:r>
      <w:proofErr w:type="spellStart"/>
      <w:r w:rsidRPr="00A07F29">
        <w:rPr>
          <w:rFonts w:ascii="Times New Roman" w:eastAsia="Times New Roman" w:hAnsi="Times New Roman" w:cs="Times New Roman"/>
          <w:sz w:val="24"/>
          <w:szCs w:val="24"/>
          <w:lang w:eastAsia="en-GB"/>
        </w:rPr>
        <w:t>Dubinas</w:t>
      </w:r>
      <w:proofErr w:type="spellEnd"/>
      <w:r w:rsidRPr="00A07F29">
        <w:rPr>
          <w:rFonts w:ascii="Times New Roman" w:eastAsia="Times New Roman" w:hAnsi="Times New Roman" w:cs="Times New Roman"/>
          <w:sz w:val="24"/>
          <w:szCs w:val="24"/>
          <w:lang w:eastAsia="en-GB"/>
        </w:rPr>
        <w:t xml:space="preserve">, </w:t>
      </w:r>
      <w:proofErr w:type="spellStart"/>
      <w:r w:rsidR="00764731" w:rsidRPr="00A07F29">
        <w:rPr>
          <w:rFonts w:ascii="Times New Roman" w:eastAsia="Times New Roman" w:hAnsi="Times New Roman" w:cs="Times New Roman"/>
          <w:sz w:val="24"/>
          <w:szCs w:val="24"/>
          <w:lang w:eastAsia="en-GB"/>
        </w:rPr>
        <w:t>Dūnekļa</w:t>
      </w:r>
      <w:proofErr w:type="spellEnd"/>
      <w:r w:rsidRPr="00A07F29">
        <w:rPr>
          <w:rFonts w:ascii="Times New Roman" w:eastAsia="Times New Roman" w:hAnsi="Times New Roman" w:cs="Times New Roman"/>
          <w:sz w:val="24"/>
          <w:szCs w:val="24"/>
          <w:lang w:eastAsia="en-GB"/>
        </w:rPr>
        <w:t xml:space="preserve">, </w:t>
      </w:r>
      <w:r w:rsidR="00764731" w:rsidRPr="00A07F29">
        <w:rPr>
          <w:rFonts w:ascii="Times New Roman" w:eastAsia="Times New Roman" w:hAnsi="Times New Roman" w:cs="Times New Roman"/>
          <w:sz w:val="24"/>
          <w:szCs w:val="24"/>
          <w:lang w:eastAsia="en-GB"/>
        </w:rPr>
        <w:t xml:space="preserve">Mazā </w:t>
      </w:r>
      <w:proofErr w:type="spellStart"/>
      <w:r w:rsidRPr="00A07F29">
        <w:rPr>
          <w:rFonts w:ascii="Times New Roman" w:eastAsia="Times New Roman" w:hAnsi="Times New Roman" w:cs="Times New Roman"/>
          <w:sz w:val="24"/>
          <w:szCs w:val="24"/>
          <w:lang w:eastAsia="en-GB"/>
        </w:rPr>
        <w:t>Borvinkas</w:t>
      </w:r>
      <w:proofErr w:type="spellEnd"/>
      <w:r w:rsidRPr="00A07F29">
        <w:rPr>
          <w:rFonts w:ascii="Times New Roman" w:eastAsia="Times New Roman" w:hAnsi="Times New Roman" w:cs="Times New Roman"/>
          <w:sz w:val="24"/>
          <w:szCs w:val="24"/>
          <w:lang w:eastAsia="en-GB"/>
        </w:rPr>
        <w:t xml:space="preserve">, </w:t>
      </w:r>
      <w:proofErr w:type="spellStart"/>
      <w:r w:rsidRPr="00A07F29">
        <w:rPr>
          <w:rFonts w:ascii="Times New Roman" w:eastAsia="Times New Roman" w:hAnsi="Times New Roman" w:cs="Times New Roman"/>
          <w:sz w:val="24"/>
          <w:szCs w:val="24"/>
          <w:lang w:eastAsia="en-GB"/>
        </w:rPr>
        <w:t>Vaičuk</w:t>
      </w:r>
      <w:r w:rsidR="00D4769F">
        <w:rPr>
          <w:rFonts w:ascii="Times New Roman" w:eastAsia="Times New Roman" w:hAnsi="Times New Roman" w:cs="Times New Roman"/>
          <w:sz w:val="24"/>
          <w:szCs w:val="24"/>
          <w:lang w:eastAsia="en-GB"/>
        </w:rPr>
        <w:t>a</w:t>
      </w:r>
      <w:proofErr w:type="spellEnd"/>
      <w:r w:rsidR="00D4769F">
        <w:rPr>
          <w:rFonts w:ascii="Times New Roman" w:eastAsia="Times New Roman" w:hAnsi="Times New Roman" w:cs="Times New Roman"/>
          <w:sz w:val="24"/>
          <w:szCs w:val="24"/>
          <w:lang w:eastAsia="en-GB"/>
        </w:rPr>
        <w:t>.</w:t>
      </w:r>
      <w:r w:rsidRPr="00A07F29">
        <w:rPr>
          <w:rFonts w:ascii="Times New Roman" w:eastAsia="Times New Roman" w:hAnsi="Times New Roman" w:cs="Times New Roman"/>
          <w:sz w:val="24"/>
          <w:szCs w:val="24"/>
          <w:lang w:eastAsia="en-GB"/>
        </w:rPr>
        <w:t xml:space="preserve"> Sugu apdraud potenciālas ūdens līmeņa svārstības ezeros.</w:t>
      </w:r>
    </w:p>
    <w:p w14:paraId="114CC430" w14:textId="60D0A1FE" w:rsidR="005D2355" w:rsidRPr="00A07F29" w:rsidRDefault="005D2355" w:rsidP="00B649FD">
      <w:pPr>
        <w:spacing w:after="120" w:line="240" w:lineRule="auto"/>
        <w:ind w:firstLine="851"/>
        <w:jc w:val="both"/>
        <w:rPr>
          <w:rFonts w:ascii="Times New Roman" w:eastAsia="Times New Roman" w:hAnsi="Times New Roman" w:cs="Times New Roman"/>
          <w:sz w:val="24"/>
          <w:szCs w:val="24"/>
        </w:rPr>
      </w:pPr>
      <w:r w:rsidRPr="00A07F29">
        <w:rPr>
          <w:rFonts w:ascii="Times New Roman" w:eastAsia="Times New Roman" w:hAnsi="Times New Roman" w:cs="Times New Roman"/>
          <w:b/>
          <w:iCs/>
          <w:sz w:val="24"/>
          <w:szCs w:val="24"/>
        </w:rPr>
        <w:t xml:space="preserve">Purva </w:t>
      </w:r>
      <w:proofErr w:type="spellStart"/>
      <w:r w:rsidRPr="00A07F29">
        <w:rPr>
          <w:rFonts w:ascii="Times New Roman" w:eastAsia="Times New Roman" w:hAnsi="Times New Roman" w:cs="Times New Roman"/>
          <w:b/>
          <w:iCs/>
          <w:sz w:val="24"/>
          <w:szCs w:val="24"/>
        </w:rPr>
        <w:t>sūnene</w:t>
      </w:r>
      <w:proofErr w:type="spellEnd"/>
      <w:r w:rsidRPr="00A07F29">
        <w:rPr>
          <w:rFonts w:ascii="Times New Roman" w:eastAsia="Times New Roman" w:hAnsi="Times New Roman" w:cs="Times New Roman"/>
          <w:b/>
          <w:iCs/>
          <w:sz w:val="24"/>
          <w:szCs w:val="24"/>
        </w:rPr>
        <w:t xml:space="preserve"> </w:t>
      </w:r>
      <w:proofErr w:type="spellStart"/>
      <w:r w:rsidRPr="00A07F29">
        <w:rPr>
          <w:rFonts w:ascii="Times New Roman" w:eastAsia="Times New Roman" w:hAnsi="Times New Roman" w:cs="Times New Roman"/>
          <w:b/>
          <w:i/>
          <w:iCs/>
          <w:sz w:val="24"/>
          <w:szCs w:val="24"/>
        </w:rPr>
        <w:t>Hammarbya</w:t>
      </w:r>
      <w:proofErr w:type="spellEnd"/>
      <w:r w:rsidRPr="00A07F29">
        <w:rPr>
          <w:rFonts w:ascii="Times New Roman" w:eastAsia="Times New Roman" w:hAnsi="Times New Roman" w:cs="Times New Roman"/>
          <w:b/>
          <w:i/>
          <w:iCs/>
          <w:sz w:val="24"/>
          <w:szCs w:val="24"/>
        </w:rPr>
        <w:t xml:space="preserve"> </w:t>
      </w:r>
      <w:proofErr w:type="spellStart"/>
      <w:r w:rsidRPr="00A07F29">
        <w:rPr>
          <w:rFonts w:ascii="Times New Roman" w:eastAsia="Times New Roman" w:hAnsi="Times New Roman" w:cs="Times New Roman"/>
          <w:b/>
          <w:i/>
          <w:iCs/>
          <w:sz w:val="24"/>
          <w:szCs w:val="24"/>
        </w:rPr>
        <w:t>paludosa</w:t>
      </w:r>
      <w:proofErr w:type="spellEnd"/>
      <w:r w:rsidRPr="00A07F29">
        <w:rPr>
          <w:rFonts w:ascii="Times New Roman" w:eastAsia="Times New Roman" w:hAnsi="Times New Roman" w:cs="Times New Roman"/>
          <w:iCs/>
          <w:sz w:val="24"/>
          <w:szCs w:val="24"/>
        </w:rPr>
        <w:t xml:space="preserve"> Latvijā sastopama reti sūnu un pārejas purvos, purvainās pļavās, kā arī purvainu ezeru </w:t>
      </w:r>
      <w:proofErr w:type="spellStart"/>
      <w:r w:rsidRPr="00A07F29">
        <w:rPr>
          <w:rFonts w:ascii="Times New Roman" w:eastAsia="Times New Roman" w:hAnsi="Times New Roman" w:cs="Times New Roman"/>
          <w:iCs/>
          <w:sz w:val="24"/>
          <w:szCs w:val="24"/>
        </w:rPr>
        <w:t>nokrastu</w:t>
      </w:r>
      <w:proofErr w:type="spellEnd"/>
      <w:r w:rsidRPr="00A07F29">
        <w:rPr>
          <w:rFonts w:ascii="Times New Roman" w:eastAsia="Times New Roman" w:hAnsi="Times New Roman" w:cs="Times New Roman"/>
          <w:iCs/>
          <w:sz w:val="24"/>
          <w:szCs w:val="24"/>
        </w:rPr>
        <w:t xml:space="preserve"> slīkšņās, kur aug atsevišķiem eksemplāriem vai mazās grupās (</w:t>
      </w:r>
      <w:r w:rsidRPr="00A07F29">
        <w:rPr>
          <w:rFonts w:ascii="Times New Roman" w:eastAsia="Times New Roman" w:hAnsi="Times New Roman" w:cs="Times New Roman"/>
          <w:sz w:val="24"/>
          <w:szCs w:val="24"/>
        </w:rPr>
        <w:t>Andrušaitis</w:t>
      </w:r>
      <w:r w:rsidR="000F1ED7">
        <w:rPr>
          <w:rFonts w:ascii="Times New Roman" w:eastAsia="Times New Roman" w:hAnsi="Times New Roman" w:cs="Times New Roman"/>
          <w:sz w:val="24"/>
          <w:szCs w:val="24"/>
        </w:rPr>
        <w:t xml:space="preserve"> G.</w:t>
      </w:r>
      <w:r w:rsidRPr="00A07F29">
        <w:rPr>
          <w:rFonts w:ascii="Times New Roman" w:eastAsia="Times New Roman" w:hAnsi="Times New Roman" w:cs="Times New Roman"/>
          <w:sz w:val="24"/>
          <w:szCs w:val="24"/>
        </w:rPr>
        <w:t xml:space="preserve">, 2003, </w:t>
      </w:r>
      <w:r w:rsidRPr="00A07F29">
        <w:rPr>
          <w:rFonts w:ascii="Times New Roman" w:eastAsia="Times New Roman" w:hAnsi="Times New Roman" w:cs="Times New Roman"/>
          <w:iCs/>
          <w:sz w:val="24"/>
          <w:szCs w:val="24"/>
        </w:rPr>
        <w:t>Priedītis</w:t>
      </w:r>
      <w:r w:rsidR="00A16988">
        <w:rPr>
          <w:rFonts w:ascii="Times New Roman" w:eastAsia="Times New Roman" w:hAnsi="Times New Roman" w:cs="Times New Roman"/>
          <w:iCs/>
          <w:sz w:val="24"/>
          <w:szCs w:val="24"/>
        </w:rPr>
        <w:t xml:space="preserve"> N.</w:t>
      </w:r>
      <w:r w:rsidRPr="00A07F29">
        <w:rPr>
          <w:rFonts w:ascii="Times New Roman" w:eastAsia="Times New Roman" w:hAnsi="Times New Roman" w:cs="Times New Roman"/>
          <w:iCs/>
          <w:sz w:val="24"/>
          <w:szCs w:val="24"/>
        </w:rPr>
        <w:t xml:space="preserve">, 2014, </w:t>
      </w:r>
      <w:proofErr w:type="spellStart"/>
      <w:r w:rsidRPr="00A07F29">
        <w:rPr>
          <w:rFonts w:ascii="Times New Roman" w:eastAsia="Times New Roman" w:hAnsi="Times New Roman" w:cs="Times New Roman"/>
          <w:sz w:val="24"/>
          <w:szCs w:val="24"/>
        </w:rPr>
        <w:t>Табака</w:t>
      </w:r>
      <w:proofErr w:type="spellEnd"/>
      <w:r w:rsidRPr="00A07F29">
        <w:rPr>
          <w:rFonts w:ascii="Times New Roman" w:eastAsia="Times New Roman" w:hAnsi="Times New Roman" w:cs="Times New Roman"/>
          <w:sz w:val="24"/>
          <w:szCs w:val="24"/>
        </w:rPr>
        <w:t xml:space="preserve"> </w:t>
      </w:r>
      <w:r w:rsidR="00B62A91" w:rsidRPr="00B62A91">
        <w:rPr>
          <w:rFonts w:ascii="Times New Roman" w:eastAsia="Times New Roman" w:hAnsi="Times New Roman" w:cs="Times New Roman"/>
          <w:sz w:val="24"/>
          <w:szCs w:val="24"/>
        </w:rPr>
        <w:t>Л.</w:t>
      </w:r>
      <w:r w:rsidR="00B62A91">
        <w:rPr>
          <w:rFonts w:ascii="Times New Roman" w:eastAsia="Times New Roman" w:hAnsi="Times New Roman" w:cs="Times New Roman"/>
          <w:sz w:val="24"/>
          <w:szCs w:val="24"/>
        </w:rPr>
        <w:t xml:space="preserve"> </w:t>
      </w:r>
      <w:r w:rsidRPr="00A07F29">
        <w:rPr>
          <w:rFonts w:ascii="Times New Roman" w:eastAsia="Times New Roman" w:hAnsi="Times New Roman" w:cs="Times New Roman"/>
          <w:sz w:val="24"/>
          <w:szCs w:val="24"/>
        </w:rPr>
        <w:t xml:space="preserve">и </w:t>
      </w:r>
      <w:proofErr w:type="spellStart"/>
      <w:r w:rsidRPr="00A07F29">
        <w:rPr>
          <w:rFonts w:ascii="Times New Roman" w:eastAsia="Times New Roman" w:hAnsi="Times New Roman" w:cs="Times New Roman"/>
          <w:sz w:val="24"/>
          <w:szCs w:val="24"/>
        </w:rPr>
        <w:t>др</w:t>
      </w:r>
      <w:proofErr w:type="spellEnd"/>
      <w:r w:rsidRPr="00A07F29">
        <w:rPr>
          <w:rFonts w:ascii="Times New Roman" w:eastAsia="Times New Roman" w:hAnsi="Times New Roman" w:cs="Times New Roman"/>
          <w:sz w:val="24"/>
          <w:szCs w:val="24"/>
        </w:rPr>
        <w:t>., 1988</w:t>
      </w:r>
      <w:r w:rsidRPr="00A07F29">
        <w:rPr>
          <w:rFonts w:ascii="Times New Roman" w:eastAsia="Times New Roman" w:hAnsi="Times New Roman" w:cs="Times New Roman"/>
          <w:iCs/>
          <w:sz w:val="24"/>
          <w:szCs w:val="24"/>
        </w:rPr>
        <w:t xml:space="preserve">). </w:t>
      </w:r>
      <w:r w:rsidRPr="00A07F29">
        <w:rPr>
          <w:rFonts w:ascii="Times New Roman" w:eastAsia="Times New Roman" w:hAnsi="Times New Roman" w:cs="Times New Roman"/>
          <w:sz w:val="24"/>
          <w:szCs w:val="24"/>
        </w:rPr>
        <w:t>Sugu apdraud purvu un purvaino pļavu nosusināšana, kā arī purvaino ezeru ūdens līmeņa izmainīšana. AAA “Augšdaugava” suga 1992.</w:t>
      </w:r>
      <w:r w:rsidR="000F1ED7">
        <w:rPr>
          <w:rFonts w:ascii="Times New Roman" w:eastAsia="Times New Roman" w:hAnsi="Times New Roman" w:cs="Times New Roman"/>
          <w:sz w:val="24"/>
          <w:szCs w:val="24"/>
        </w:rPr>
        <w:t> </w:t>
      </w:r>
      <w:r w:rsidRPr="00A07F29">
        <w:rPr>
          <w:rFonts w:ascii="Times New Roman" w:eastAsia="Times New Roman" w:hAnsi="Times New Roman" w:cs="Times New Roman"/>
          <w:sz w:val="24"/>
          <w:szCs w:val="24"/>
        </w:rPr>
        <w:t xml:space="preserve">gadā atrasta pārejas purvā </w:t>
      </w:r>
      <w:proofErr w:type="spellStart"/>
      <w:r w:rsidRPr="00A07F29">
        <w:rPr>
          <w:rFonts w:ascii="Times New Roman" w:eastAsia="Times New Roman" w:hAnsi="Times New Roman" w:cs="Times New Roman"/>
          <w:sz w:val="24"/>
          <w:szCs w:val="24"/>
        </w:rPr>
        <w:t>Zimašu</w:t>
      </w:r>
      <w:proofErr w:type="spellEnd"/>
      <w:r w:rsidRPr="00A07F29">
        <w:rPr>
          <w:rFonts w:ascii="Times New Roman" w:eastAsia="Times New Roman" w:hAnsi="Times New Roman" w:cs="Times New Roman"/>
          <w:sz w:val="24"/>
          <w:szCs w:val="24"/>
        </w:rPr>
        <w:t xml:space="preserve"> ezera krastā, bet 1996.</w:t>
      </w:r>
      <w:r w:rsidR="00C2184C">
        <w:rPr>
          <w:rFonts w:ascii="Times New Roman" w:eastAsia="Times New Roman" w:hAnsi="Times New Roman" w:cs="Times New Roman"/>
          <w:sz w:val="24"/>
          <w:szCs w:val="24"/>
        </w:rPr>
        <w:t> </w:t>
      </w:r>
      <w:r w:rsidRPr="00A07F29">
        <w:rPr>
          <w:rFonts w:ascii="Times New Roman" w:eastAsia="Times New Roman" w:hAnsi="Times New Roman" w:cs="Times New Roman"/>
          <w:sz w:val="24"/>
          <w:szCs w:val="24"/>
        </w:rPr>
        <w:t xml:space="preserve">gadā pārejas purvā </w:t>
      </w:r>
      <w:proofErr w:type="spellStart"/>
      <w:r w:rsidRPr="00A07F29">
        <w:rPr>
          <w:rFonts w:ascii="Times New Roman" w:eastAsia="Times New Roman" w:hAnsi="Times New Roman" w:cs="Times New Roman"/>
          <w:sz w:val="24"/>
          <w:szCs w:val="24"/>
        </w:rPr>
        <w:t>Dolgoje</w:t>
      </w:r>
      <w:proofErr w:type="spellEnd"/>
      <w:r w:rsidRPr="00A07F29">
        <w:rPr>
          <w:rFonts w:ascii="Times New Roman" w:eastAsia="Times New Roman" w:hAnsi="Times New Roman" w:cs="Times New Roman"/>
          <w:sz w:val="24"/>
          <w:szCs w:val="24"/>
        </w:rPr>
        <w:t xml:space="preserve"> un </w:t>
      </w:r>
      <w:proofErr w:type="spellStart"/>
      <w:r w:rsidRPr="00A07F29">
        <w:rPr>
          <w:rFonts w:ascii="Times New Roman" w:eastAsia="Times New Roman" w:hAnsi="Times New Roman" w:cs="Times New Roman"/>
          <w:sz w:val="24"/>
          <w:szCs w:val="24"/>
        </w:rPr>
        <w:t>Krugloje</w:t>
      </w:r>
      <w:proofErr w:type="spellEnd"/>
      <w:r w:rsidRPr="00A07F29">
        <w:rPr>
          <w:rFonts w:ascii="Times New Roman" w:eastAsia="Times New Roman" w:hAnsi="Times New Roman" w:cs="Times New Roman"/>
          <w:sz w:val="24"/>
          <w:szCs w:val="24"/>
        </w:rPr>
        <w:t xml:space="preserve"> krastā un tās pašreizējais stāvoklis nav zināms.</w:t>
      </w:r>
    </w:p>
    <w:p w14:paraId="490F2B58" w14:textId="611C6967" w:rsidR="005D2355" w:rsidRPr="00A07F29" w:rsidRDefault="005D2355" w:rsidP="00B649FD">
      <w:pPr>
        <w:spacing w:after="120" w:line="240" w:lineRule="auto"/>
        <w:ind w:firstLine="851"/>
        <w:jc w:val="both"/>
        <w:rPr>
          <w:rFonts w:ascii="Times New Roman" w:eastAsia="Times New Roman" w:hAnsi="Times New Roman" w:cs="Times New Roman"/>
          <w:sz w:val="24"/>
          <w:szCs w:val="24"/>
        </w:rPr>
      </w:pPr>
      <w:r w:rsidRPr="00A07F29">
        <w:rPr>
          <w:rFonts w:ascii="Times New Roman" w:eastAsia="Times New Roman" w:hAnsi="Times New Roman" w:cs="Times New Roman"/>
          <w:b/>
          <w:sz w:val="24"/>
          <w:szCs w:val="24"/>
        </w:rPr>
        <w:t xml:space="preserve">Mieturu </w:t>
      </w:r>
      <w:proofErr w:type="spellStart"/>
      <w:r w:rsidRPr="00A07F29">
        <w:rPr>
          <w:rFonts w:ascii="Times New Roman" w:eastAsia="Times New Roman" w:hAnsi="Times New Roman" w:cs="Times New Roman"/>
          <w:b/>
          <w:sz w:val="24"/>
          <w:szCs w:val="24"/>
        </w:rPr>
        <w:t>hidrilla</w:t>
      </w:r>
      <w:proofErr w:type="spellEnd"/>
      <w:r w:rsidRPr="00A07F29">
        <w:rPr>
          <w:rFonts w:ascii="Times New Roman" w:eastAsia="Times New Roman" w:hAnsi="Times New Roman" w:cs="Times New Roman"/>
          <w:b/>
          <w:sz w:val="24"/>
          <w:szCs w:val="24"/>
        </w:rPr>
        <w:t xml:space="preserve"> </w:t>
      </w:r>
      <w:proofErr w:type="spellStart"/>
      <w:r w:rsidRPr="00A07F29">
        <w:rPr>
          <w:rFonts w:ascii="Times New Roman" w:eastAsia="Times New Roman" w:hAnsi="Times New Roman" w:cs="Times New Roman"/>
          <w:b/>
          <w:i/>
          <w:sz w:val="24"/>
          <w:szCs w:val="24"/>
        </w:rPr>
        <w:t>Hydrilla</w:t>
      </w:r>
      <w:proofErr w:type="spellEnd"/>
      <w:r w:rsidRPr="00A07F29">
        <w:rPr>
          <w:rFonts w:ascii="Times New Roman" w:eastAsia="Times New Roman" w:hAnsi="Times New Roman" w:cs="Times New Roman"/>
          <w:b/>
          <w:i/>
          <w:sz w:val="24"/>
          <w:szCs w:val="24"/>
        </w:rPr>
        <w:t xml:space="preserve"> </w:t>
      </w:r>
      <w:proofErr w:type="spellStart"/>
      <w:r w:rsidRPr="00A07F29">
        <w:rPr>
          <w:rFonts w:ascii="Times New Roman" w:eastAsia="Times New Roman" w:hAnsi="Times New Roman" w:cs="Times New Roman"/>
          <w:b/>
          <w:i/>
          <w:sz w:val="24"/>
          <w:szCs w:val="24"/>
        </w:rPr>
        <w:t>verticillata</w:t>
      </w:r>
      <w:proofErr w:type="spellEnd"/>
      <w:r w:rsidRPr="00A07F29">
        <w:rPr>
          <w:rFonts w:ascii="Times New Roman" w:eastAsia="Times New Roman" w:hAnsi="Times New Roman" w:cs="Times New Roman"/>
          <w:sz w:val="24"/>
          <w:szCs w:val="24"/>
        </w:rPr>
        <w:t xml:space="preserve"> Latvijā sastopama reti – tikai valsts A un DA daļas (ļoti reti vidusdaļas) galvenokārt tīros ezeros, kur var būt sastopama gan nelielā, gan ievērojamā daudzumā </w:t>
      </w:r>
      <w:r w:rsidRPr="00A07F29">
        <w:rPr>
          <w:rFonts w:ascii="Times New Roman" w:eastAsia="Times New Roman" w:hAnsi="Times New Roman" w:cs="Times New Roman"/>
          <w:iCs/>
          <w:sz w:val="24"/>
          <w:szCs w:val="24"/>
        </w:rPr>
        <w:t>(</w:t>
      </w:r>
      <w:r w:rsidRPr="00A07F29">
        <w:rPr>
          <w:rFonts w:ascii="Times New Roman" w:eastAsia="Times New Roman" w:hAnsi="Times New Roman" w:cs="Times New Roman"/>
          <w:sz w:val="24"/>
          <w:szCs w:val="24"/>
        </w:rPr>
        <w:t>Andrušaitis</w:t>
      </w:r>
      <w:r w:rsidR="009E29BF">
        <w:rPr>
          <w:rFonts w:ascii="Times New Roman" w:eastAsia="Times New Roman" w:hAnsi="Times New Roman" w:cs="Times New Roman"/>
          <w:sz w:val="24"/>
          <w:szCs w:val="24"/>
        </w:rPr>
        <w:t xml:space="preserve"> G.</w:t>
      </w:r>
      <w:r w:rsidRPr="00A07F29">
        <w:rPr>
          <w:rFonts w:ascii="Times New Roman" w:eastAsia="Times New Roman" w:hAnsi="Times New Roman" w:cs="Times New Roman"/>
          <w:sz w:val="24"/>
          <w:szCs w:val="24"/>
        </w:rPr>
        <w:t xml:space="preserve">, 2003, </w:t>
      </w:r>
      <w:r w:rsidRPr="00A07F29">
        <w:rPr>
          <w:rFonts w:ascii="Times New Roman" w:eastAsia="Times New Roman" w:hAnsi="Times New Roman" w:cs="Times New Roman"/>
          <w:iCs/>
          <w:sz w:val="24"/>
          <w:szCs w:val="24"/>
        </w:rPr>
        <w:t>Priedītis</w:t>
      </w:r>
      <w:r w:rsidR="00A16988">
        <w:rPr>
          <w:rFonts w:ascii="Times New Roman" w:eastAsia="Times New Roman" w:hAnsi="Times New Roman" w:cs="Times New Roman"/>
          <w:iCs/>
          <w:sz w:val="24"/>
          <w:szCs w:val="24"/>
        </w:rPr>
        <w:t xml:space="preserve"> N.</w:t>
      </w:r>
      <w:r w:rsidRPr="00A07F29">
        <w:rPr>
          <w:rFonts w:ascii="Times New Roman" w:eastAsia="Times New Roman" w:hAnsi="Times New Roman" w:cs="Times New Roman"/>
          <w:iCs/>
          <w:sz w:val="24"/>
          <w:szCs w:val="24"/>
        </w:rPr>
        <w:t xml:space="preserve">, 2014, </w:t>
      </w:r>
      <w:proofErr w:type="spellStart"/>
      <w:r w:rsidRPr="00A07F29">
        <w:rPr>
          <w:rFonts w:ascii="Times New Roman" w:eastAsia="Times New Roman" w:hAnsi="Times New Roman" w:cs="Times New Roman"/>
          <w:sz w:val="24"/>
          <w:szCs w:val="24"/>
        </w:rPr>
        <w:t>Табака</w:t>
      </w:r>
      <w:proofErr w:type="spellEnd"/>
      <w:r w:rsidRPr="00A07F29">
        <w:rPr>
          <w:rFonts w:ascii="Times New Roman" w:eastAsia="Times New Roman" w:hAnsi="Times New Roman" w:cs="Times New Roman"/>
          <w:sz w:val="24"/>
          <w:szCs w:val="24"/>
        </w:rPr>
        <w:t xml:space="preserve"> </w:t>
      </w:r>
      <w:r w:rsidR="00B62A91" w:rsidRPr="00B62A91">
        <w:rPr>
          <w:rFonts w:ascii="Times New Roman" w:eastAsia="Times New Roman" w:hAnsi="Times New Roman" w:cs="Times New Roman"/>
          <w:sz w:val="24"/>
          <w:szCs w:val="24"/>
        </w:rPr>
        <w:t>Л.</w:t>
      </w:r>
      <w:r w:rsidR="00B62A91">
        <w:rPr>
          <w:rFonts w:ascii="Times New Roman" w:eastAsia="Times New Roman" w:hAnsi="Times New Roman" w:cs="Times New Roman"/>
          <w:sz w:val="24"/>
          <w:szCs w:val="24"/>
        </w:rPr>
        <w:t xml:space="preserve"> </w:t>
      </w:r>
      <w:r w:rsidRPr="00A07F29">
        <w:rPr>
          <w:rFonts w:ascii="Times New Roman" w:eastAsia="Times New Roman" w:hAnsi="Times New Roman" w:cs="Times New Roman"/>
          <w:sz w:val="24"/>
          <w:szCs w:val="24"/>
        </w:rPr>
        <w:t xml:space="preserve">и </w:t>
      </w:r>
      <w:proofErr w:type="spellStart"/>
      <w:r w:rsidRPr="00A07F29">
        <w:rPr>
          <w:rFonts w:ascii="Times New Roman" w:eastAsia="Times New Roman" w:hAnsi="Times New Roman" w:cs="Times New Roman"/>
          <w:sz w:val="24"/>
          <w:szCs w:val="24"/>
        </w:rPr>
        <w:t>др</w:t>
      </w:r>
      <w:proofErr w:type="spellEnd"/>
      <w:r w:rsidRPr="00A07F29">
        <w:rPr>
          <w:rFonts w:ascii="Times New Roman" w:eastAsia="Times New Roman" w:hAnsi="Times New Roman" w:cs="Times New Roman"/>
          <w:sz w:val="24"/>
          <w:szCs w:val="24"/>
        </w:rPr>
        <w:t>., 1988</w:t>
      </w:r>
      <w:r w:rsidRPr="00A07F29">
        <w:rPr>
          <w:rFonts w:ascii="Times New Roman" w:eastAsia="Times New Roman" w:hAnsi="Times New Roman" w:cs="Times New Roman"/>
          <w:iCs/>
          <w:sz w:val="24"/>
          <w:szCs w:val="24"/>
        </w:rPr>
        <w:t xml:space="preserve">). </w:t>
      </w:r>
      <w:r w:rsidRPr="00A07F29">
        <w:rPr>
          <w:rFonts w:ascii="Times New Roman" w:eastAsia="Times New Roman" w:hAnsi="Times New Roman" w:cs="Times New Roman"/>
          <w:sz w:val="24"/>
          <w:szCs w:val="24"/>
        </w:rPr>
        <w:t>AAA “Augšdaugava” suga 1989.</w:t>
      </w:r>
      <w:r w:rsidR="009E29BF">
        <w:rPr>
          <w:rFonts w:ascii="Times New Roman" w:eastAsia="Times New Roman" w:hAnsi="Times New Roman" w:cs="Times New Roman"/>
          <w:sz w:val="24"/>
          <w:szCs w:val="24"/>
        </w:rPr>
        <w:t> </w:t>
      </w:r>
      <w:r w:rsidRPr="00A07F29">
        <w:rPr>
          <w:rFonts w:ascii="Times New Roman" w:eastAsia="Times New Roman" w:hAnsi="Times New Roman" w:cs="Times New Roman"/>
          <w:sz w:val="24"/>
          <w:szCs w:val="24"/>
        </w:rPr>
        <w:t xml:space="preserve">gadā pirmo reizi atrasta </w:t>
      </w:r>
      <w:proofErr w:type="spellStart"/>
      <w:r w:rsidRPr="00A07F29">
        <w:rPr>
          <w:rFonts w:ascii="Times New Roman" w:eastAsia="Times New Roman" w:hAnsi="Times New Roman" w:cs="Times New Roman"/>
          <w:sz w:val="24"/>
          <w:szCs w:val="24"/>
        </w:rPr>
        <w:t>Krivoje</w:t>
      </w:r>
      <w:proofErr w:type="spellEnd"/>
      <w:r w:rsidRPr="00A07F29">
        <w:rPr>
          <w:rFonts w:ascii="Times New Roman" w:eastAsia="Times New Roman" w:hAnsi="Times New Roman" w:cs="Times New Roman"/>
          <w:sz w:val="24"/>
          <w:szCs w:val="24"/>
        </w:rPr>
        <w:t xml:space="preserve">, </w:t>
      </w:r>
      <w:proofErr w:type="spellStart"/>
      <w:r w:rsidRPr="00A07F29">
        <w:rPr>
          <w:rFonts w:ascii="Times New Roman" w:eastAsia="Times New Roman" w:hAnsi="Times New Roman" w:cs="Times New Roman"/>
          <w:sz w:val="24"/>
          <w:szCs w:val="24"/>
        </w:rPr>
        <w:t>Šilovkas</w:t>
      </w:r>
      <w:proofErr w:type="spellEnd"/>
      <w:r w:rsidRPr="00A07F29">
        <w:rPr>
          <w:rFonts w:ascii="Times New Roman" w:eastAsia="Times New Roman" w:hAnsi="Times New Roman" w:cs="Times New Roman"/>
          <w:sz w:val="24"/>
          <w:szCs w:val="24"/>
        </w:rPr>
        <w:t xml:space="preserve"> un </w:t>
      </w:r>
      <w:proofErr w:type="spellStart"/>
      <w:r w:rsidRPr="00A07F29">
        <w:rPr>
          <w:rFonts w:ascii="Times New Roman" w:eastAsia="Times New Roman" w:hAnsi="Times New Roman" w:cs="Times New Roman"/>
          <w:sz w:val="24"/>
          <w:szCs w:val="24"/>
        </w:rPr>
        <w:t>Varnaviču</w:t>
      </w:r>
      <w:proofErr w:type="spellEnd"/>
      <w:r w:rsidRPr="00A07F29">
        <w:rPr>
          <w:rFonts w:ascii="Times New Roman" w:eastAsia="Times New Roman" w:hAnsi="Times New Roman" w:cs="Times New Roman"/>
          <w:sz w:val="24"/>
          <w:szCs w:val="24"/>
        </w:rPr>
        <w:t xml:space="preserve"> ezeros (</w:t>
      </w:r>
      <w:proofErr w:type="spellStart"/>
      <w:r w:rsidRPr="00A07F29">
        <w:rPr>
          <w:rFonts w:ascii="Times New Roman" w:eastAsia="Times New Roman" w:hAnsi="Times New Roman" w:cs="Times New Roman"/>
          <w:sz w:val="24"/>
          <w:szCs w:val="24"/>
        </w:rPr>
        <w:t>Suško</w:t>
      </w:r>
      <w:proofErr w:type="spellEnd"/>
      <w:r w:rsidR="009E29BF">
        <w:rPr>
          <w:rFonts w:ascii="Times New Roman" w:eastAsia="Times New Roman" w:hAnsi="Times New Roman" w:cs="Times New Roman"/>
          <w:sz w:val="24"/>
          <w:szCs w:val="24"/>
        </w:rPr>
        <w:t xml:space="preserve"> U.</w:t>
      </w:r>
      <w:r w:rsidRPr="00A07F29">
        <w:rPr>
          <w:rFonts w:ascii="Times New Roman" w:eastAsia="Times New Roman" w:hAnsi="Times New Roman" w:cs="Times New Roman"/>
          <w:sz w:val="24"/>
          <w:szCs w:val="24"/>
        </w:rPr>
        <w:t>, 1991b), 1997.</w:t>
      </w:r>
      <w:r w:rsidR="00372E04">
        <w:rPr>
          <w:rFonts w:ascii="Times New Roman" w:eastAsia="Times New Roman" w:hAnsi="Times New Roman" w:cs="Times New Roman"/>
          <w:sz w:val="24"/>
          <w:szCs w:val="24"/>
        </w:rPr>
        <w:t> </w:t>
      </w:r>
      <w:r w:rsidRPr="00A07F29">
        <w:rPr>
          <w:rFonts w:ascii="Times New Roman" w:eastAsia="Times New Roman" w:hAnsi="Times New Roman" w:cs="Times New Roman"/>
          <w:sz w:val="24"/>
          <w:szCs w:val="24"/>
        </w:rPr>
        <w:t xml:space="preserve">gadā – </w:t>
      </w:r>
      <w:proofErr w:type="spellStart"/>
      <w:r w:rsidRPr="00A07F29">
        <w:rPr>
          <w:rFonts w:ascii="Times New Roman" w:eastAsia="Times New Roman" w:hAnsi="Times New Roman" w:cs="Times New Roman"/>
          <w:sz w:val="24"/>
          <w:szCs w:val="24"/>
        </w:rPr>
        <w:t>Riņģī</w:t>
      </w:r>
      <w:proofErr w:type="spellEnd"/>
      <w:r w:rsidRPr="00A07F29">
        <w:rPr>
          <w:rFonts w:ascii="Times New Roman" w:eastAsia="Times New Roman" w:hAnsi="Times New Roman" w:cs="Times New Roman"/>
          <w:sz w:val="24"/>
          <w:szCs w:val="24"/>
        </w:rPr>
        <w:t xml:space="preserve"> (maz) un 2017.</w:t>
      </w:r>
      <w:r w:rsidR="00D05019">
        <w:rPr>
          <w:rFonts w:ascii="Times New Roman" w:eastAsia="Times New Roman" w:hAnsi="Times New Roman" w:cs="Times New Roman"/>
          <w:sz w:val="24"/>
          <w:szCs w:val="24"/>
        </w:rPr>
        <w:t> </w:t>
      </w:r>
      <w:r w:rsidRPr="00A07F29">
        <w:rPr>
          <w:rFonts w:ascii="Times New Roman" w:eastAsia="Times New Roman" w:hAnsi="Times New Roman" w:cs="Times New Roman"/>
          <w:sz w:val="24"/>
          <w:szCs w:val="24"/>
        </w:rPr>
        <w:t xml:space="preserve">gadā pirmo reizi arī </w:t>
      </w:r>
      <w:proofErr w:type="spellStart"/>
      <w:r w:rsidRPr="00A07F29">
        <w:rPr>
          <w:rFonts w:ascii="Times New Roman" w:eastAsia="Times New Roman" w:hAnsi="Times New Roman" w:cs="Times New Roman"/>
          <w:sz w:val="24"/>
          <w:szCs w:val="24"/>
        </w:rPr>
        <w:t>Jabloņkas</w:t>
      </w:r>
      <w:proofErr w:type="spellEnd"/>
      <w:r w:rsidRPr="00A07F29">
        <w:rPr>
          <w:rFonts w:ascii="Times New Roman" w:eastAsia="Times New Roman" w:hAnsi="Times New Roman" w:cs="Times New Roman"/>
          <w:sz w:val="24"/>
          <w:szCs w:val="24"/>
        </w:rPr>
        <w:t xml:space="preserve"> ezerā (izskalota nelielā daudzumā) un atkārtoti arī </w:t>
      </w:r>
      <w:proofErr w:type="spellStart"/>
      <w:r w:rsidRPr="00A07F29">
        <w:rPr>
          <w:rFonts w:ascii="Times New Roman" w:eastAsia="Times New Roman" w:hAnsi="Times New Roman" w:cs="Times New Roman"/>
          <w:sz w:val="24"/>
          <w:szCs w:val="24"/>
        </w:rPr>
        <w:t>Krivoje</w:t>
      </w:r>
      <w:proofErr w:type="spellEnd"/>
      <w:r w:rsidRPr="00A07F29">
        <w:rPr>
          <w:rFonts w:ascii="Times New Roman" w:eastAsia="Times New Roman" w:hAnsi="Times New Roman" w:cs="Times New Roman"/>
          <w:sz w:val="24"/>
          <w:szCs w:val="24"/>
        </w:rPr>
        <w:t xml:space="preserve"> ezerā (vietām), </w:t>
      </w:r>
      <w:proofErr w:type="spellStart"/>
      <w:r w:rsidRPr="00A07F29">
        <w:rPr>
          <w:rFonts w:ascii="Times New Roman" w:eastAsia="Times New Roman" w:hAnsi="Times New Roman" w:cs="Times New Roman"/>
          <w:sz w:val="24"/>
          <w:szCs w:val="24"/>
        </w:rPr>
        <w:t>Šilovkas</w:t>
      </w:r>
      <w:proofErr w:type="spellEnd"/>
      <w:r w:rsidRPr="00A07F29">
        <w:rPr>
          <w:rFonts w:ascii="Times New Roman" w:eastAsia="Times New Roman" w:hAnsi="Times New Roman" w:cs="Times New Roman"/>
          <w:sz w:val="24"/>
          <w:szCs w:val="24"/>
        </w:rPr>
        <w:t xml:space="preserve"> ezerā (nedaudz pie salām) un </w:t>
      </w:r>
      <w:proofErr w:type="spellStart"/>
      <w:r w:rsidRPr="00A07F29">
        <w:rPr>
          <w:rFonts w:ascii="Times New Roman" w:eastAsia="Times New Roman" w:hAnsi="Times New Roman" w:cs="Times New Roman"/>
          <w:sz w:val="24"/>
          <w:szCs w:val="24"/>
        </w:rPr>
        <w:t>Varnaviču</w:t>
      </w:r>
      <w:proofErr w:type="spellEnd"/>
      <w:r w:rsidRPr="00A07F29">
        <w:rPr>
          <w:rFonts w:ascii="Times New Roman" w:eastAsia="Times New Roman" w:hAnsi="Times New Roman" w:cs="Times New Roman"/>
          <w:sz w:val="24"/>
          <w:szCs w:val="24"/>
        </w:rPr>
        <w:t xml:space="preserve"> ezerā (diezgan daudz daudzās vietās), kā arī </w:t>
      </w:r>
      <w:proofErr w:type="spellStart"/>
      <w:r w:rsidRPr="00A07F29">
        <w:rPr>
          <w:rFonts w:ascii="Times New Roman" w:eastAsia="Times New Roman" w:hAnsi="Times New Roman" w:cs="Times New Roman"/>
          <w:sz w:val="24"/>
          <w:szCs w:val="24"/>
        </w:rPr>
        <w:t>Rinģī</w:t>
      </w:r>
      <w:proofErr w:type="spellEnd"/>
      <w:r w:rsidRPr="00A07F29">
        <w:rPr>
          <w:rFonts w:ascii="Times New Roman" w:eastAsia="Times New Roman" w:hAnsi="Times New Roman" w:cs="Times New Roman"/>
          <w:sz w:val="24"/>
          <w:szCs w:val="24"/>
        </w:rPr>
        <w:t xml:space="preserve"> (maz) un šobrīd to nekas neapdraud.</w:t>
      </w:r>
    </w:p>
    <w:p w14:paraId="65FEBADD" w14:textId="109B0B57" w:rsidR="005D2355" w:rsidRPr="00A07F29" w:rsidRDefault="005D2355" w:rsidP="00B649FD">
      <w:pPr>
        <w:tabs>
          <w:tab w:val="center" w:pos="4680"/>
          <w:tab w:val="right" w:pos="9360"/>
        </w:tabs>
        <w:spacing w:after="120" w:line="240" w:lineRule="auto"/>
        <w:ind w:firstLine="851"/>
        <w:jc w:val="both"/>
        <w:rPr>
          <w:rFonts w:ascii="Times New Roman" w:eastAsia="Times New Roman" w:hAnsi="Times New Roman" w:cs="Times New Roman"/>
          <w:sz w:val="24"/>
          <w:szCs w:val="24"/>
        </w:rPr>
      </w:pPr>
      <w:r w:rsidRPr="00A07F29">
        <w:rPr>
          <w:rFonts w:ascii="Times New Roman" w:eastAsia="Times New Roman" w:hAnsi="Times New Roman" w:cs="Times New Roman"/>
          <w:b/>
          <w:sz w:val="24"/>
          <w:szCs w:val="24"/>
        </w:rPr>
        <w:t xml:space="preserve">Lielā </w:t>
      </w:r>
      <w:proofErr w:type="spellStart"/>
      <w:r w:rsidRPr="00A07F29">
        <w:rPr>
          <w:rFonts w:ascii="Times New Roman" w:eastAsia="Times New Roman" w:hAnsi="Times New Roman" w:cs="Times New Roman"/>
          <w:b/>
          <w:sz w:val="24"/>
          <w:szCs w:val="24"/>
        </w:rPr>
        <w:t>najāda</w:t>
      </w:r>
      <w:proofErr w:type="spellEnd"/>
      <w:r w:rsidRPr="00A07F29">
        <w:rPr>
          <w:rFonts w:ascii="Times New Roman" w:eastAsia="Times New Roman" w:hAnsi="Times New Roman" w:cs="Times New Roman"/>
          <w:sz w:val="24"/>
          <w:szCs w:val="24"/>
        </w:rPr>
        <w:t xml:space="preserve"> </w:t>
      </w:r>
      <w:proofErr w:type="spellStart"/>
      <w:r w:rsidRPr="00A07F29">
        <w:rPr>
          <w:rFonts w:ascii="Times New Roman" w:eastAsia="Times New Roman" w:hAnsi="Times New Roman" w:cs="Times New Roman"/>
          <w:b/>
          <w:i/>
          <w:sz w:val="24"/>
          <w:szCs w:val="24"/>
        </w:rPr>
        <w:t>Najas</w:t>
      </w:r>
      <w:proofErr w:type="spellEnd"/>
      <w:r w:rsidRPr="00A07F29">
        <w:rPr>
          <w:rFonts w:ascii="Times New Roman" w:eastAsia="Times New Roman" w:hAnsi="Times New Roman" w:cs="Times New Roman"/>
          <w:b/>
          <w:i/>
          <w:sz w:val="24"/>
          <w:szCs w:val="24"/>
        </w:rPr>
        <w:t xml:space="preserve"> major</w:t>
      </w:r>
      <w:r w:rsidRPr="00A07F29">
        <w:rPr>
          <w:rFonts w:ascii="Times New Roman" w:eastAsia="Times New Roman" w:hAnsi="Times New Roman" w:cs="Times New Roman"/>
          <w:i/>
          <w:sz w:val="24"/>
          <w:szCs w:val="24"/>
        </w:rPr>
        <w:t xml:space="preserve"> (N. </w:t>
      </w:r>
      <w:proofErr w:type="spellStart"/>
      <w:r w:rsidRPr="00A07F29">
        <w:rPr>
          <w:rFonts w:ascii="Times New Roman" w:eastAsia="Times New Roman" w:hAnsi="Times New Roman" w:cs="Times New Roman"/>
          <w:i/>
          <w:sz w:val="24"/>
          <w:szCs w:val="24"/>
        </w:rPr>
        <w:t>marina</w:t>
      </w:r>
      <w:proofErr w:type="spellEnd"/>
      <w:r w:rsidRPr="00A07F29">
        <w:rPr>
          <w:rFonts w:ascii="Times New Roman" w:eastAsia="Times New Roman" w:hAnsi="Times New Roman" w:cs="Times New Roman"/>
          <w:i/>
          <w:sz w:val="24"/>
          <w:szCs w:val="24"/>
        </w:rPr>
        <w:t xml:space="preserve"> </w:t>
      </w:r>
      <w:proofErr w:type="spellStart"/>
      <w:r w:rsidRPr="00A07F29">
        <w:rPr>
          <w:rFonts w:ascii="Times New Roman" w:eastAsia="Times New Roman" w:hAnsi="Times New Roman" w:cs="Times New Roman"/>
          <w:i/>
          <w:sz w:val="24"/>
          <w:szCs w:val="24"/>
        </w:rPr>
        <w:t>subsp</w:t>
      </w:r>
      <w:proofErr w:type="spellEnd"/>
      <w:r w:rsidRPr="00A07F29">
        <w:rPr>
          <w:rFonts w:ascii="Times New Roman" w:eastAsia="Times New Roman" w:hAnsi="Times New Roman" w:cs="Times New Roman"/>
          <w:i/>
          <w:sz w:val="24"/>
          <w:szCs w:val="24"/>
        </w:rPr>
        <w:t>. major)</w:t>
      </w:r>
      <w:r w:rsidRPr="00A07F29">
        <w:rPr>
          <w:rFonts w:ascii="Times New Roman" w:eastAsia="Times New Roman" w:hAnsi="Times New Roman" w:cs="Times New Roman"/>
          <w:sz w:val="24"/>
          <w:szCs w:val="24"/>
        </w:rPr>
        <w:t xml:space="preserve"> </w:t>
      </w:r>
      <w:r w:rsidRPr="00A07F29">
        <w:rPr>
          <w:rFonts w:ascii="Times New Roman" w:eastAsia="Times New Roman" w:hAnsi="Times New Roman" w:cs="Times New Roman"/>
          <w:iCs/>
          <w:sz w:val="24"/>
          <w:szCs w:val="24"/>
        </w:rPr>
        <w:t xml:space="preserve">Latvijā sastopama ļoti reti tīros </w:t>
      </w:r>
      <w:r w:rsidR="0050220F" w:rsidRPr="00A07F29">
        <w:rPr>
          <w:rFonts w:ascii="Times New Roman" w:eastAsia="Times New Roman" w:hAnsi="Times New Roman" w:cs="Times New Roman"/>
          <w:iCs/>
          <w:sz w:val="24"/>
          <w:szCs w:val="24"/>
        </w:rPr>
        <w:t xml:space="preserve">ezeros </w:t>
      </w:r>
      <w:r w:rsidRPr="00A07F29">
        <w:rPr>
          <w:rFonts w:ascii="Times New Roman" w:eastAsia="Times New Roman" w:hAnsi="Times New Roman" w:cs="Times New Roman"/>
          <w:iCs/>
          <w:sz w:val="24"/>
          <w:szCs w:val="24"/>
        </w:rPr>
        <w:t xml:space="preserve">valsts </w:t>
      </w:r>
      <w:r w:rsidR="0050220F" w:rsidRPr="00A07F29">
        <w:rPr>
          <w:rFonts w:ascii="Times New Roman" w:eastAsia="Times New Roman" w:hAnsi="Times New Roman" w:cs="Times New Roman"/>
          <w:iCs/>
          <w:sz w:val="24"/>
          <w:szCs w:val="24"/>
        </w:rPr>
        <w:t xml:space="preserve">DA daļā – </w:t>
      </w:r>
      <w:r w:rsidRPr="00A07F29">
        <w:rPr>
          <w:rFonts w:ascii="Times New Roman" w:eastAsia="Times New Roman" w:hAnsi="Times New Roman" w:cs="Times New Roman"/>
          <w:sz w:val="24"/>
          <w:szCs w:val="24"/>
        </w:rPr>
        <w:t xml:space="preserve">kopumā 15 ezeros, t.sk. 12 Latgales un trijos Sēlijas ezeros Silenes dabas parkā. </w:t>
      </w:r>
      <w:r w:rsidRPr="00A07F29">
        <w:rPr>
          <w:rFonts w:ascii="Times New Roman" w:eastAsia="Times New Roman" w:hAnsi="Times New Roman" w:cs="Times New Roman"/>
          <w:iCs/>
          <w:sz w:val="24"/>
          <w:szCs w:val="24"/>
        </w:rPr>
        <w:t xml:space="preserve">Sugu apdraud ezeru piesārņošana un eitrofikācijas pastiprināšanās. Pirmo reizi šī suga </w:t>
      </w:r>
      <w:r w:rsidRPr="00A07F29">
        <w:rPr>
          <w:rFonts w:ascii="Times New Roman" w:eastAsia="Times New Roman" w:hAnsi="Times New Roman" w:cs="Times New Roman"/>
          <w:sz w:val="24"/>
          <w:szCs w:val="24"/>
        </w:rPr>
        <w:t>1989.</w:t>
      </w:r>
      <w:r w:rsidR="00A8241B">
        <w:rPr>
          <w:rFonts w:ascii="Times New Roman" w:eastAsia="Times New Roman" w:hAnsi="Times New Roman" w:cs="Times New Roman"/>
          <w:sz w:val="24"/>
          <w:szCs w:val="24"/>
        </w:rPr>
        <w:t> </w:t>
      </w:r>
      <w:r w:rsidRPr="00A07F29">
        <w:rPr>
          <w:rFonts w:ascii="Times New Roman" w:eastAsia="Times New Roman" w:hAnsi="Times New Roman" w:cs="Times New Roman"/>
          <w:sz w:val="24"/>
          <w:szCs w:val="24"/>
        </w:rPr>
        <w:t>gadā tika konstatēta Silenes dabas parkā esošajā Sila ezerā (</w:t>
      </w:r>
      <w:proofErr w:type="spellStart"/>
      <w:r w:rsidRPr="00A07F29">
        <w:rPr>
          <w:rFonts w:ascii="Times New Roman" w:eastAsia="Times New Roman" w:hAnsi="Times New Roman" w:cs="Times New Roman"/>
          <w:sz w:val="24"/>
          <w:szCs w:val="24"/>
        </w:rPr>
        <w:t>Suško</w:t>
      </w:r>
      <w:proofErr w:type="spellEnd"/>
      <w:r w:rsidR="00A8241B">
        <w:rPr>
          <w:rFonts w:ascii="Times New Roman" w:eastAsia="Times New Roman" w:hAnsi="Times New Roman" w:cs="Times New Roman"/>
          <w:sz w:val="24"/>
          <w:szCs w:val="24"/>
        </w:rPr>
        <w:t xml:space="preserve"> U.</w:t>
      </w:r>
      <w:r w:rsidRPr="00A07F29">
        <w:rPr>
          <w:rFonts w:ascii="Times New Roman" w:eastAsia="Times New Roman" w:hAnsi="Times New Roman" w:cs="Times New Roman"/>
          <w:sz w:val="24"/>
          <w:szCs w:val="24"/>
        </w:rPr>
        <w:t>, 1991b). AAA “Augšdaugava”</w:t>
      </w:r>
      <w:r w:rsidR="0050220F" w:rsidRPr="00A07F29">
        <w:rPr>
          <w:rFonts w:ascii="Times New Roman" w:eastAsia="Times New Roman" w:hAnsi="Times New Roman" w:cs="Times New Roman"/>
          <w:sz w:val="24"/>
          <w:szCs w:val="24"/>
        </w:rPr>
        <w:t xml:space="preserve"> </w:t>
      </w:r>
      <w:r w:rsidRPr="00A07F29">
        <w:rPr>
          <w:rFonts w:ascii="Times New Roman" w:eastAsia="Times New Roman" w:hAnsi="Times New Roman" w:cs="Times New Roman"/>
          <w:sz w:val="24"/>
          <w:szCs w:val="24"/>
        </w:rPr>
        <w:t>2019.</w:t>
      </w:r>
      <w:r w:rsidR="00A8241B">
        <w:rPr>
          <w:rFonts w:ascii="Times New Roman" w:eastAsia="Times New Roman" w:hAnsi="Times New Roman" w:cs="Times New Roman"/>
          <w:sz w:val="24"/>
          <w:szCs w:val="24"/>
        </w:rPr>
        <w:t> </w:t>
      </w:r>
      <w:r w:rsidRPr="00A07F29">
        <w:rPr>
          <w:rFonts w:ascii="Times New Roman" w:eastAsia="Times New Roman" w:hAnsi="Times New Roman" w:cs="Times New Roman"/>
          <w:sz w:val="24"/>
          <w:szCs w:val="24"/>
        </w:rPr>
        <w:t>gada 23.</w:t>
      </w:r>
      <w:r w:rsidR="00A8241B">
        <w:rPr>
          <w:rFonts w:ascii="Times New Roman" w:eastAsia="Times New Roman" w:hAnsi="Times New Roman" w:cs="Times New Roman"/>
          <w:sz w:val="24"/>
          <w:szCs w:val="24"/>
        </w:rPr>
        <w:t> </w:t>
      </w:r>
      <w:r w:rsidRPr="00A07F29">
        <w:rPr>
          <w:rFonts w:ascii="Times New Roman" w:eastAsia="Times New Roman" w:hAnsi="Times New Roman" w:cs="Times New Roman"/>
          <w:sz w:val="24"/>
          <w:szCs w:val="24"/>
        </w:rPr>
        <w:t>augustā šo sugu pirmo reizi V.</w:t>
      </w:r>
      <w:r w:rsidR="00A8241B">
        <w:rPr>
          <w:rFonts w:ascii="Times New Roman" w:eastAsia="Times New Roman" w:hAnsi="Times New Roman" w:cs="Times New Roman"/>
          <w:sz w:val="24"/>
          <w:szCs w:val="24"/>
        </w:rPr>
        <w:t> </w:t>
      </w:r>
      <w:r w:rsidRPr="00A07F29">
        <w:rPr>
          <w:rFonts w:ascii="Times New Roman" w:eastAsia="Times New Roman" w:hAnsi="Times New Roman" w:cs="Times New Roman"/>
          <w:sz w:val="24"/>
          <w:szCs w:val="24"/>
        </w:rPr>
        <w:t xml:space="preserve">Līcīte atrada </w:t>
      </w:r>
      <w:proofErr w:type="spellStart"/>
      <w:r w:rsidRPr="00A07F29">
        <w:rPr>
          <w:rFonts w:ascii="Times New Roman" w:eastAsia="Times New Roman" w:hAnsi="Times New Roman" w:cs="Times New Roman"/>
          <w:sz w:val="24"/>
          <w:szCs w:val="24"/>
        </w:rPr>
        <w:t>Ba</w:t>
      </w:r>
      <w:r w:rsidR="00D326A8">
        <w:rPr>
          <w:rFonts w:ascii="Times New Roman" w:eastAsia="Times New Roman" w:hAnsi="Times New Roman" w:cs="Times New Roman"/>
          <w:sz w:val="24"/>
          <w:szCs w:val="24"/>
        </w:rPr>
        <w:t>l</w:t>
      </w:r>
      <w:r w:rsidRPr="00A07F29">
        <w:rPr>
          <w:rFonts w:ascii="Times New Roman" w:eastAsia="Times New Roman" w:hAnsi="Times New Roman" w:cs="Times New Roman"/>
          <w:sz w:val="24"/>
          <w:szCs w:val="24"/>
        </w:rPr>
        <w:t>ticas</w:t>
      </w:r>
      <w:proofErr w:type="spellEnd"/>
      <w:r w:rsidRPr="00A07F29">
        <w:rPr>
          <w:rFonts w:ascii="Times New Roman" w:eastAsia="Times New Roman" w:hAnsi="Times New Roman" w:cs="Times New Roman"/>
          <w:sz w:val="24"/>
          <w:szCs w:val="24"/>
        </w:rPr>
        <w:t xml:space="preserve"> ezerā, kur </w:t>
      </w:r>
      <w:r w:rsidR="00484DE9">
        <w:rPr>
          <w:rFonts w:ascii="Times New Roman" w:eastAsia="Times New Roman" w:hAnsi="Times New Roman" w:cs="Times New Roman"/>
          <w:sz w:val="24"/>
          <w:szCs w:val="24"/>
        </w:rPr>
        <w:t>ZA</w:t>
      </w:r>
      <w:r w:rsidRPr="00A07F29">
        <w:rPr>
          <w:rFonts w:ascii="Times New Roman" w:eastAsia="Times New Roman" w:hAnsi="Times New Roman" w:cs="Times New Roman"/>
          <w:sz w:val="24"/>
          <w:szCs w:val="24"/>
        </w:rPr>
        <w:t xml:space="preserve"> </w:t>
      </w:r>
      <w:proofErr w:type="spellStart"/>
      <w:r w:rsidRPr="00A07F29">
        <w:rPr>
          <w:rFonts w:ascii="Times New Roman" w:eastAsia="Times New Roman" w:hAnsi="Times New Roman" w:cs="Times New Roman"/>
          <w:sz w:val="24"/>
          <w:szCs w:val="24"/>
        </w:rPr>
        <w:t>pakrastē</w:t>
      </w:r>
      <w:proofErr w:type="spellEnd"/>
      <w:r w:rsidRPr="00A07F29">
        <w:rPr>
          <w:rFonts w:ascii="Times New Roman" w:eastAsia="Times New Roman" w:hAnsi="Times New Roman" w:cs="Times New Roman"/>
          <w:sz w:val="24"/>
          <w:szCs w:val="24"/>
        </w:rPr>
        <w:t xml:space="preserve"> 110</w:t>
      </w:r>
      <w:r w:rsidR="00D326A8">
        <w:rPr>
          <w:rFonts w:ascii="Times New Roman" w:eastAsia="Times New Roman" w:hAnsi="Times New Roman" w:cs="Times New Roman"/>
          <w:sz w:val="24"/>
          <w:szCs w:val="24"/>
        </w:rPr>
        <w:t> </w:t>
      </w:r>
      <w:r w:rsidRPr="00A07F29">
        <w:rPr>
          <w:rFonts w:ascii="Times New Roman" w:eastAsia="Times New Roman" w:hAnsi="Times New Roman" w:cs="Times New Roman"/>
          <w:sz w:val="24"/>
          <w:szCs w:val="24"/>
        </w:rPr>
        <w:t>m garā un 3</w:t>
      </w:r>
      <w:r w:rsidR="00D326A8">
        <w:rPr>
          <w:rFonts w:ascii="Times New Roman" w:eastAsia="Times New Roman" w:hAnsi="Times New Roman" w:cs="Times New Roman"/>
          <w:sz w:val="24"/>
          <w:szCs w:val="24"/>
        </w:rPr>
        <w:t> – </w:t>
      </w:r>
      <w:r w:rsidRPr="00A07F29">
        <w:rPr>
          <w:rFonts w:ascii="Times New Roman" w:eastAsia="Times New Roman" w:hAnsi="Times New Roman" w:cs="Times New Roman"/>
          <w:sz w:val="24"/>
          <w:szCs w:val="24"/>
        </w:rPr>
        <w:t>9</w:t>
      </w:r>
      <w:r w:rsidR="00D326A8">
        <w:rPr>
          <w:rFonts w:ascii="Times New Roman" w:eastAsia="Times New Roman" w:hAnsi="Times New Roman" w:cs="Times New Roman"/>
          <w:sz w:val="24"/>
          <w:szCs w:val="24"/>
        </w:rPr>
        <w:t> </w:t>
      </w:r>
      <w:r w:rsidRPr="00A07F29">
        <w:rPr>
          <w:rFonts w:ascii="Times New Roman" w:eastAsia="Times New Roman" w:hAnsi="Times New Roman" w:cs="Times New Roman"/>
          <w:sz w:val="24"/>
          <w:szCs w:val="24"/>
        </w:rPr>
        <w:t>m platā posmā tika atrasti vismaz 25 spēcīgi augi, kas tajā visticamāk ar ūdensputnu palīdzību ieviesusies no netālu esošajā</w:t>
      </w:r>
      <w:r w:rsidR="0050220F" w:rsidRPr="00A07F29">
        <w:rPr>
          <w:rFonts w:ascii="Times New Roman" w:eastAsia="Times New Roman" w:hAnsi="Times New Roman" w:cs="Times New Roman"/>
          <w:sz w:val="24"/>
          <w:szCs w:val="24"/>
        </w:rPr>
        <w:t>m</w:t>
      </w:r>
      <w:r w:rsidRPr="00A07F29">
        <w:rPr>
          <w:rFonts w:ascii="Times New Roman" w:eastAsia="Times New Roman" w:hAnsi="Times New Roman" w:cs="Times New Roman"/>
          <w:sz w:val="24"/>
          <w:szCs w:val="24"/>
        </w:rPr>
        <w:t xml:space="preserve"> atradnēm Purva, </w:t>
      </w:r>
      <w:proofErr w:type="spellStart"/>
      <w:r w:rsidRPr="00A07F29">
        <w:rPr>
          <w:rFonts w:ascii="Times New Roman" w:eastAsia="Times New Roman" w:hAnsi="Times New Roman" w:cs="Times New Roman"/>
          <w:sz w:val="24"/>
          <w:szCs w:val="24"/>
        </w:rPr>
        <w:t>Dorotpoles</w:t>
      </w:r>
      <w:proofErr w:type="spellEnd"/>
      <w:r w:rsidRPr="00A07F29">
        <w:rPr>
          <w:rFonts w:ascii="Times New Roman" w:eastAsia="Times New Roman" w:hAnsi="Times New Roman" w:cs="Times New Roman"/>
          <w:sz w:val="24"/>
          <w:szCs w:val="24"/>
        </w:rPr>
        <w:t xml:space="preserve">, Mazā </w:t>
      </w:r>
      <w:proofErr w:type="spellStart"/>
      <w:r w:rsidRPr="00A07F29">
        <w:rPr>
          <w:rFonts w:ascii="Times New Roman" w:eastAsia="Times New Roman" w:hAnsi="Times New Roman" w:cs="Times New Roman"/>
          <w:sz w:val="24"/>
          <w:szCs w:val="24"/>
        </w:rPr>
        <w:t>Dorotpoles</w:t>
      </w:r>
      <w:proofErr w:type="spellEnd"/>
      <w:r w:rsidRPr="00A07F29">
        <w:rPr>
          <w:rFonts w:ascii="Times New Roman" w:eastAsia="Times New Roman" w:hAnsi="Times New Roman" w:cs="Times New Roman"/>
          <w:sz w:val="24"/>
          <w:szCs w:val="24"/>
        </w:rPr>
        <w:t xml:space="preserve"> ezerā un Stirnā (Līcīte</w:t>
      </w:r>
      <w:r w:rsidR="00FB307A">
        <w:rPr>
          <w:rFonts w:ascii="Times New Roman" w:eastAsia="Times New Roman" w:hAnsi="Times New Roman" w:cs="Times New Roman"/>
          <w:sz w:val="24"/>
          <w:szCs w:val="24"/>
        </w:rPr>
        <w:t xml:space="preserve"> V.</w:t>
      </w:r>
      <w:r w:rsidRPr="00A07F29">
        <w:rPr>
          <w:rFonts w:ascii="Times New Roman" w:eastAsia="Times New Roman" w:hAnsi="Times New Roman" w:cs="Times New Roman"/>
          <w:sz w:val="24"/>
          <w:szCs w:val="24"/>
        </w:rPr>
        <w:t xml:space="preserve">, 2020). Šobrīd šo sugu </w:t>
      </w:r>
      <w:proofErr w:type="spellStart"/>
      <w:r w:rsidRPr="00A07F29">
        <w:rPr>
          <w:rFonts w:ascii="Times New Roman" w:eastAsia="Times New Roman" w:hAnsi="Times New Roman" w:cs="Times New Roman"/>
          <w:sz w:val="24"/>
          <w:szCs w:val="24"/>
        </w:rPr>
        <w:t>Ba</w:t>
      </w:r>
      <w:r w:rsidR="00FB307A">
        <w:rPr>
          <w:rFonts w:ascii="Times New Roman" w:eastAsia="Times New Roman" w:hAnsi="Times New Roman" w:cs="Times New Roman"/>
          <w:sz w:val="24"/>
          <w:szCs w:val="24"/>
        </w:rPr>
        <w:t>l</w:t>
      </w:r>
      <w:r w:rsidRPr="00A07F29">
        <w:rPr>
          <w:rFonts w:ascii="Times New Roman" w:eastAsia="Times New Roman" w:hAnsi="Times New Roman" w:cs="Times New Roman"/>
          <w:sz w:val="24"/>
          <w:szCs w:val="24"/>
        </w:rPr>
        <w:t>ticas</w:t>
      </w:r>
      <w:proofErr w:type="spellEnd"/>
      <w:r w:rsidRPr="00A07F29">
        <w:rPr>
          <w:rFonts w:ascii="Times New Roman" w:eastAsia="Times New Roman" w:hAnsi="Times New Roman" w:cs="Times New Roman"/>
          <w:sz w:val="24"/>
          <w:szCs w:val="24"/>
        </w:rPr>
        <w:t xml:space="preserve"> ezerā nekas neapdraud.</w:t>
      </w:r>
    </w:p>
    <w:p w14:paraId="78539FB3" w14:textId="3703B762" w:rsidR="005D2355" w:rsidRPr="00A07F29" w:rsidRDefault="005D2355" w:rsidP="00B649FD">
      <w:pPr>
        <w:spacing w:after="120" w:line="240" w:lineRule="auto"/>
        <w:ind w:firstLine="851"/>
        <w:jc w:val="both"/>
        <w:rPr>
          <w:rFonts w:ascii="Times New Roman" w:eastAsia="Times New Roman" w:hAnsi="Times New Roman" w:cs="Times New Roman"/>
          <w:sz w:val="24"/>
          <w:szCs w:val="24"/>
        </w:rPr>
      </w:pPr>
      <w:r w:rsidRPr="00A07F29">
        <w:rPr>
          <w:rFonts w:ascii="Times New Roman" w:eastAsia="Times New Roman" w:hAnsi="Times New Roman" w:cs="Times New Roman"/>
          <w:b/>
          <w:sz w:val="24"/>
          <w:szCs w:val="24"/>
        </w:rPr>
        <w:t xml:space="preserve">Mazā </w:t>
      </w:r>
      <w:proofErr w:type="spellStart"/>
      <w:r w:rsidRPr="00A07F29">
        <w:rPr>
          <w:rFonts w:ascii="Times New Roman" w:eastAsia="Times New Roman" w:hAnsi="Times New Roman" w:cs="Times New Roman"/>
          <w:b/>
          <w:sz w:val="24"/>
          <w:szCs w:val="24"/>
        </w:rPr>
        <w:t>najāda</w:t>
      </w:r>
      <w:proofErr w:type="spellEnd"/>
      <w:r w:rsidRPr="00A07F29">
        <w:rPr>
          <w:rFonts w:ascii="Times New Roman" w:eastAsia="Times New Roman" w:hAnsi="Times New Roman" w:cs="Times New Roman"/>
          <w:sz w:val="24"/>
          <w:szCs w:val="24"/>
        </w:rPr>
        <w:t xml:space="preserve"> </w:t>
      </w:r>
      <w:proofErr w:type="spellStart"/>
      <w:r w:rsidRPr="00A07F29">
        <w:rPr>
          <w:rFonts w:ascii="Times New Roman" w:eastAsia="Times New Roman" w:hAnsi="Times New Roman" w:cs="Times New Roman"/>
          <w:b/>
          <w:i/>
          <w:sz w:val="24"/>
          <w:szCs w:val="24"/>
        </w:rPr>
        <w:t>Najas</w:t>
      </w:r>
      <w:proofErr w:type="spellEnd"/>
      <w:r w:rsidRPr="00A07F29">
        <w:rPr>
          <w:rFonts w:ascii="Times New Roman" w:eastAsia="Times New Roman" w:hAnsi="Times New Roman" w:cs="Times New Roman"/>
          <w:b/>
          <w:i/>
          <w:sz w:val="24"/>
          <w:szCs w:val="24"/>
        </w:rPr>
        <w:t xml:space="preserve"> minor</w:t>
      </w:r>
      <w:r w:rsidRPr="00A07F29">
        <w:rPr>
          <w:rFonts w:ascii="Times New Roman" w:eastAsia="Times New Roman" w:hAnsi="Times New Roman" w:cs="Times New Roman"/>
          <w:sz w:val="24"/>
          <w:szCs w:val="24"/>
        </w:rPr>
        <w:t xml:space="preserve"> </w:t>
      </w:r>
      <w:r w:rsidRPr="00A07F29">
        <w:rPr>
          <w:rFonts w:ascii="Times New Roman" w:eastAsia="Times New Roman" w:hAnsi="Times New Roman" w:cs="Times New Roman"/>
          <w:iCs/>
          <w:sz w:val="24"/>
          <w:szCs w:val="24"/>
        </w:rPr>
        <w:t xml:space="preserve">Latvijā sastopama ļoti reti tīros </w:t>
      </w:r>
      <w:r w:rsidR="0050220F" w:rsidRPr="00A07F29">
        <w:rPr>
          <w:rFonts w:ascii="Times New Roman" w:eastAsia="Times New Roman" w:hAnsi="Times New Roman" w:cs="Times New Roman"/>
          <w:iCs/>
          <w:sz w:val="24"/>
          <w:szCs w:val="24"/>
        </w:rPr>
        <w:t xml:space="preserve">ezeros </w:t>
      </w:r>
      <w:r w:rsidRPr="00A07F29">
        <w:rPr>
          <w:rFonts w:ascii="Times New Roman" w:eastAsia="Times New Roman" w:hAnsi="Times New Roman" w:cs="Times New Roman"/>
          <w:iCs/>
          <w:sz w:val="24"/>
          <w:szCs w:val="24"/>
        </w:rPr>
        <w:t xml:space="preserve">valsts </w:t>
      </w:r>
      <w:r w:rsidR="0050220F" w:rsidRPr="00A07F29">
        <w:rPr>
          <w:rFonts w:ascii="Times New Roman" w:eastAsia="Times New Roman" w:hAnsi="Times New Roman" w:cs="Times New Roman"/>
          <w:iCs/>
          <w:sz w:val="24"/>
          <w:szCs w:val="24"/>
        </w:rPr>
        <w:t xml:space="preserve">DA daļā – pavisam zināma </w:t>
      </w:r>
      <w:r w:rsidRPr="00A07F29">
        <w:rPr>
          <w:rFonts w:ascii="Times New Roman" w:eastAsia="Times New Roman" w:hAnsi="Times New Roman" w:cs="Times New Roman"/>
          <w:sz w:val="24"/>
          <w:szCs w:val="24"/>
        </w:rPr>
        <w:t>13 ezeros, t.sk. trijos Latgales un 10 Sēlijas eze</w:t>
      </w:r>
      <w:r w:rsidR="0050220F" w:rsidRPr="00A07F29">
        <w:rPr>
          <w:rFonts w:ascii="Times New Roman" w:eastAsia="Times New Roman" w:hAnsi="Times New Roman" w:cs="Times New Roman"/>
          <w:sz w:val="24"/>
          <w:szCs w:val="24"/>
        </w:rPr>
        <w:t>r</w:t>
      </w:r>
      <w:r w:rsidRPr="00A07F29">
        <w:rPr>
          <w:rFonts w:ascii="Times New Roman" w:eastAsia="Times New Roman" w:hAnsi="Times New Roman" w:cs="Times New Roman"/>
          <w:sz w:val="24"/>
          <w:szCs w:val="24"/>
        </w:rPr>
        <w:t xml:space="preserve">os, no kuriem trijos jau ir izzudusi ezeru piesārņošanas dēļ. </w:t>
      </w:r>
      <w:r w:rsidRPr="00A07F29">
        <w:rPr>
          <w:rFonts w:ascii="Times New Roman" w:eastAsia="Times New Roman" w:hAnsi="Times New Roman" w:cs="Times New Roman"/>
          <w:iCs/>
          <w:sz w:val="24"/>
          <w:szCs w:val="24"/>
        </w:rPr>
        <w:t>Sugu apdraud ezeru piesārņošana un eitrofikācijas pastiprināšanās.</w:t>
      </w:r>
      <w:r w:rsidRPr="00A07F29">
        <w:rPr>
          <w:rFonts w:ascii="Times New Roman" w:eastAsia="Times New Roman" w:hAnsi="Times New Roman" w:cs="Times New Roman"/>
          <w:sz w:val="24"/>
          <w:szCs w:val="24"/>
        </w:rPr>
        <w:t xml:space="preserve"> AAA “Augšdaugava”</w:t>
      </w:r>
      <w:r w:rsidR="0050220F" w:rsidRPr="00A07F29">
        <w:rPr>
          <w:rFonts w:ascii="Times New Roman" w:eastAsia="Times New Roman" w:hAnsi="Times New Roman" w:cs="Times New Roman"/>
          <w:sz w:val="24"/>
          <w:szCs w:val="24"/>
        </w:rPr>
        <w:t xml:space="preserve"> </w:t>
      </w:r>
      <w:r w:rsidRPr="00A07F29">
        <w:rPr>
          <w:rFonts w:ascii="Times New Roman" w:eastAsia="Times New Roman" w:hAnsi="Times New Roman" w:cs="Times New Roman"/>
          <w:sz w:val="24"/>
          <w:szCs w:val="24"/>
        </w:rPr>
        <w:t xml:space="preserve">suga pirmo reizi </w:t>
      </w:r>
      <w:r w:rsidR="0050220F" w:rsidRPr="00A07F29">
        <w:rPr>
          <w:rFonts w:ascii="Times New Roman" w:eastAsia="Times New Roman" w:hAnsi="Times New Roman" w:cs="Times New Roman"/>
          <w:sz w:val="24"/>
          <w:szCs w:val="24"/>
        </w:rPr>
        <w:t xml:space="preserve">tika atrasta </w:t>
      </w:r>
      <w:r w:rsidRPr="00A07F29">
        <w:rPr>
          <w:rFonts w:ascii="Times New Roman" w:eastAsia="Times New Roman" w:hAnsi="Times New Roman" w:cs="Times New Roman"/>
          <w:sz w:val="24"/>
          <w:szCs w:val="24"/>
        </w:rPr>
        <w:t>1989.</w:t>
      </w:r>
      <w:r w:rsidR="003214EE">
        <w:rPr>
          <w:rFonts w:ascii="Times New Roman" w:eastAsia="Times New Roman" w:hAnsi="Times New Roman" w:cs="Times New Roman"/>
          <w:sz w:val="24"/>
          <w:szCs w:val="24"/>
        </w:rPr>
        <w:t> </w:t>
      </w:r>
      <w:r w:rsidR="0050220F" w:rsidRPr="00A07F29">
        <w:rPr>
          <w:rFonts w:ascii="Times New Roman" w:eastAsia="Times New Roman" w:hAnsi="Times New Roman" w:cs="Times New Roman"/>
          <w:sz w:val="24"/>
          <w:szCs w:val="24"/>
        </w:rPr>
        <w:t xml:space="preserve">gadā </w:t>
      </w:r>
      <w:proofErr w:type="spellStart"/>
      <w:r w:rsidRPr="00A07F29">
        <w:rPr>
          <w:rFonts w:ascii="Times New Roman" w:eastAsia="Times New Roman" w:hAnsi="Times New Roman" w:cs="Times New Roman"/>
          <w:sz w:val="24"/>
          <w:szCs w:val="24"/>
        </w:rPr>
        <w:t>Varnaviču</w:t>
      </w:r>
      <w:proofErr w:type="spellEnd"/>
      <w:r w:rsidRPr="00A07F29">
        <w:rPr>
          <w:rFonts w:ascii="Times New Roman" w:eastAsia="Times New Roman" w:hAnsi="Times New Roman" w:cs="Times New Roman"/>
          <w:sz w:val="24"/>
          <w:szCs w:val="24"/>
        </w:rPr>
        <w:t xml:space="preserve"> </w:t>
      </w:r>
      <w:r w:rsidR="0050220F" w:rsidRPr="00A07F29">
        <w:rPr>
          <w:rFonts w:ascii="Times New Roman" w:eastAsia="Times New Roman" w:hAnsi="Times New Roman" w:cs="Times New Roman"/>
          <w:sz w:val="24"/>
          <w:szCs w:val="24"/>
        </w:rPr>
        <w:t xml:space="preserve">ezerā </w:t>
      </w:r>
      <w:r w:rsidRPr="00A07F29">
        <w:rPr>
          <w:rFonts w:ascii="Times New Roman" w:eastAsia="Times New Roman" w:hAnsi="Times New Roman" w:cs="Times New Roman"/>
          <w:sz w:val="24"/>
          <w:szCs w:val="24"/>
        </w:rPr>
        <w:t xml:space="preserve">(divās vietās Ostrova pussalas </w:t>
      </w:r>
      <w:r w:rsidR="0050220F" w:rsidRPr="00A07F29">
        <w:rPr>
          <w:rFonts w:ascii="Times New Roman" w:eastAsia="Times New Roman" w:hAnsi="Times New Roman" w:cs="Times New Roman"/>
          <w:sz w:val="24"/>
          <w:szCs w:val="24"/>
        </w:rPr>
        <w:t xml:space="preserve">DR </w:t>
      </w:r>
      <w:proofErr w:type="spellStart"/>
      <w:r w:rsidRPr="00A07F29">
        <w:rPr>
          <w:rFonts w:ascii="Times New Roman" w:eastAsia="Times New Roman" w:hAnsi="Times New Roman" w:cs="Times New Roman"/>
          <w:sz w:val="24"/>
          <w:szCs w:val="24"/>
        </w:rPr>
        <w:t>pakrastē</w:t>
      </w:r>
      <w:proofErr w:type="spellEnd"/>
      <w:r w:rsidRPr="00A07F29">
        <w:rPr>
          <w:rFonts w:ascii="Times New Roman" w:eastAsia="Times New Roman" w:hAnsi="Times New Roman" w:cs="Times New Roman"/>
          <w:sz w:val="24"/>
          <w:szCs w:val="24"/>
        </w:rPr>
        <w:t xml:space="preserve">) un </w:t>
      </w:r>
      <w:proofErr w:type="spellStart"/>
      <w:r w:rsidRPr="00A07F29">
        <w:rPr>
          <w:rFonts w:ascii="Times New Roman" w:eastAsia="Times New Roman" w:hAnsi="Times New Roman" w:cs="Times New Roman"/>
          <w:sz w:val="24"/>
          <w:szCs w:val="24"/>
        </w:rPr>
        <w:t>Šilovkas</w:t>
      </w:r>
      <w:proofErr w:type="spellEnd"/>
      <w:r w:rsidRPr="00A07F29">
        <w:rPr>
          <w:rFonts w:ascii="Times New Roman" w:eastAsia="Times New Roman" w:hAnsi="Times New Roman" w:cs="Times New Roman"/>
          <w:sz w:val="24"/>
          <w:szCs w:val="24"/>
        </w:rPr>
        <w:t xml:space="preserve"> </w:t>
      </w:r>
      <w:r w:rsidR="0050220F" w:rsidRPr="00A07F29">
        <w:rPr>
          <w:rFonts w:ascii="Times New Roman" w:eastAsia="Times New Roman" w:hAnsi="Times New Roman" w:cs="Times New Roman"/>
          <w:sz w:val="24"/>
          <w:szCs w:val="24"/>
        </w:rPr>
        <w:t xml:space="preserve">ezerā </w:t>
      </w:r>
      <w:r w:rsidRPr="00A07F29">
        <w:rPr>
          <w:rFonts w:ascii="Times New Roman" w:eastAsia="Times New Roman" w:hAnsi="Times New Roman" w:cs="Times New Roman"/>
          <w:sz w:val="24"/>
          <w:szCs w:val="24"/>
        </w:rPr>
        <w:t xml:space="preserve">(lielākās saliņas </w:t>
      </w:r>
      <w:r w:rsidR="0050220F" w:rsidRPr="00A07F29">
        <w:rPr>
          <w:rFonts w:ascii="Times New Roman" w:eastAsia="Times New Roman" w:hAnsi="Times New Roman" w:cs="Times New Roman"/>
          <w:sz w:val="24"/>
          <w:szCs w:val="24"/>
        </w:rPr>
        <w:t xml:space="preserve">D </w:t>
      </w:r>
      <w:r w:rsidRPr="00A07F29">
        <w:rPr>
          <w:rFonts w:ascii="Times New Roman" w:eastAsia="Times New Roman" w:hAnsi="Times New Roman" w:cs="Times New Roman"/>
          <w:sz w:val="24"/>
          <w:szCs w:val="24"/>
        </w:rPr>
        <w:t xml:space="preserve">un </w:t>
      </w:r>
      <w:r w:rsidR="0050220F" w:rsidRPr="00A07F29">
        <w:rPr>
          <w:rFonts w:ascii="Times New Roman" w:eastAsia="Times New Roman" w:hAnsi="Times New Roman" w:cs="Times New Roman"/>
          <w:sz w:val="24"/>
          <w:szCs w:val="24"/>
        </w:rPr>
        <w:t xml:space="preserve">R </w:t>
      </w:r>
      <w:r w:rsidRPr="00A07F29">
        <w:rPr>
          <w:rFonts w:ascii="Times New Roman" w:eastAsia="Times New Roman" w:hAnsi="Times New Roman" w:cs="Times New Roman"/>
          <w:sz w:val="24"/>
          <w:szCs w:val="24"/>
        </w:rPr>
        <w:t>pusē)</w:t>
      </w:r>
      <w:r w:rsidR="0050220F" w:rsidRPr="00A07F29">
        <w:rPr>
          <w:rFonts w:ascii="Times New Roman" w:eastAsia="Times New Roman" w:hAnsi="Times New Roman" w:cs="Times New Roman"/>
          <w:sz w:val="24"/>
          <w:szCs w:val="24"/>
        </w:rPr>
        <w:t>. L</w:t>
      </w:r>
      <w:r w:rsidRPr="00A07F29">
        <w:rPr>
          <w:rFonts w:ascii="Times New Roman" w:eastAsia="Times New Roman" w:hAnsi="Times New Roman" w:cs="Times New Roman"/>
          <w:sz w:val="24"/>
          <w:szCs w:val="24"/>
        </w:rPr>
        <w:t xml:space="preserve">īdz mūsdienām </w:t>
      </w:r>
      <w:r w:rsidR="000504E2" w:rsidRPr="00A07F29">
        <w:rPr>
          <w:rFonts w:ascii="Times New Roman" w:eastAsia="Times New Roman" w:hAnsi="Times New Roman" w:cs="Times New Roman"/>
          <w:sz w:val="24"/>
          <w:szCs w:val="24"/>
        </w:rPr>
        <w:t xml:space="preserve">tā ir </w:t>
      </w:r>
      <w:r w:rsidRPr="00A07F29">
        <w:rPr>
          <w:rFonts w:ascii="Times New Roman" w:eastAsia="Times New Roman" w:hAnsi="Times New Roman" w:cs="Times New Roman"/>
          <w:sz w:val="24"/>
          <w:szCs w:val="24"/>
        </w:rPr>
        <w:t xml:space="preserve">saglabājusies tikai </w:t>
      </w:r>
      <w:proofErr w:type="spellStart"/>
      <w:r w:rsidRPr="00A07F29">
        <w:rPr>
          <w:rFonts w:ascii="Times New Roman" w:eastAsia="Times New Roman" w:hAnsi="Times New Roman" w:cs="Times New Roman"/>
          <w:sz w:val="24"/>
          <w:szCs w:val="24"/>
        </w:rPr>
        <w:t>Šilovkas</w:t>
      </w:r>
      <w:proofErr w:type="spellEnd"/>
      <w:r w:rsidRPr="00A07F29">
        <w:rPr>
          <w:rFonts w:ascii="Times New Roman" w:eastAsia="Times New Roman" w:hAnsi="Times New Roman" w:cs="Times New Roman"/>
          <w:sz w:val="24"/>
          <w:szCs w:val="24"/>
        </w:rPr>
        <w:t xml:space="preserve"> ezerā (2017.</w:t>
      </w:r>
      <w:r w:rsidR="003214EE">
        <w:rPr>
          <w:rFonts w:ascii="Times New Roman" w:eastAsia="Times New Roman" w:hAnsi="Times New Roman" w:cs="Times New Roman"/>
          <w:sz w:val="24"/>
          <w:szCs w:val="24"/>
        </w:rPr>
        <w:t> </w:t>
      </w:r>
      <w:r w:rsidRPr="00A07F29">
        <w:rPr>
          <w:rFonts w:ascii="Times New Roman" w:eastAsia="Times New Roman" w:hAnsi="Times New Roman" w:cs="Times New Roman"/>
          <w:sz w:val="24"/>
          <w:szCs w:val="24"/>
        </w:rPr>
        <w:t xml:space="preserve">gadā atrasta mazākās saliņas </w:t>
      </w:r>
      <w:r w:rsidR="000504E2" w:rsidRPr="00A07F29">
        <w:rPr>
          <w:rFonts w:ascii="Times New Roman" w:eastAsia="Times New Roman" w:hAnsi="Times New Roman" w:cs="Times New Roman"/>
          <w:sz w:val="24"/>
          <w:szCs w:val="24"/>
        </w:rPr>
        <w:t xml:space="preserve">Z </w:t>
      </w:r>
      <w:r w:rsidRPr="00A07F29">
        <w:rPr>
          <w:rFonts w:ascii="Times New Roman" w:eastAsia="Times New Roman" w:hAnsi="Times New Roman" w:cs="Times New Roman"/>
          <w:sz w:val="24"/>
          <w:szCs w:val="24"/>
        </w:rPr>
        <w:t xml:space="preserve">pusē), bet </w:t>
      </w:r>
      <w:proofErr w:type="spellStart"/>
      <w:r w:rsidRPr="00A07F29">
        <w:rPr>
          <w:rFonts w:ascii="Times New Roman" w:eastAsia="Times New Roman" w:hAnsi="Times New Roman" w:cs="Times New Roman"/>
          <w:sz w:val="24"/>
          <w:szCs w:val="24"/>
        </w:rPr>
        <w:t>Varnaviču</w:t>
      </w:r>
      <w:proofErr w:type="spellEnd"/>
      <w:r w:rsidRPr="00A07F29">
        <w:rPr>
          <w:rFonts w:ascii="Times New Roman" w:eastAsia="Times New Roman" w:hAnsi="Times New Roman" w:cs="Times New Roman"/>
          <w:sz w:val="24"/>
          <w:szCs w:val="24"/>
        </w:rPr>
        <w:t xml:space="preserve"> ezerā ap 2000.</w:t>
      </w:r>
      <w:r w:rsidR="003214EE">
        <w:rPr>
          <w:rFonts w:ascii="Times New Roman" w:eastAsia="Times New Roman" w:hAnsi="Times New Roman" w:cs="Times New Roman"/>
          <w:sz w:val="24"/>
          <w:szCs w:val="24"/>
        </w:rPr>
        <w:t> </w:t>
      </w:r>
      <w:r w:rsidRPr="00A07F29">
        <w:rPr>
          <w:rFonts w:ascii="Times New Roman" w:eastAsia="Times New Roman" w:hAnsi="Times New Roman" w:cs="Times New Roman"/>
          <w:sz w:val="24"/>
          <w:szCs w:val="24"/>
        </w:rPr>
        <w:t xml:space="preserve">gadu veiktās ūdens līmeņa </w:t>
      </w:r>
      <w:r w:rsidR="000504E2" w:rsidRPr="00A07F29">
        <w:rPr>
          <w:rFonts w:ascii="Times New Roman" w:eastAsia="Times New Roman" w:hAnsi="Times New Roman" w:cs="Times New Roman"/>
          <w:sz w:val="24"/>
          <w:szCs w:val="24"/>
        </w:rPr>
        <w:t xml:space="preserve">paaugstināšanas </w:t>
      </w:r>
      <w:r w:rsidRPr="00A07F29">
        <w:rPr>
          <w:rFonts w:ascii="Times New Roman" w:eastAsia="Times New Roman" w:hAnsi="Times New Roman" w:cs="Times New Roman"/>
          <w:sz w:val="24"/>
          <w:szCs w:val="24"/>
        </w:rPr>
        <w:t>dēļ un eitrofikācijas pastiprināšanās dēļ ir izzudusi (</w:t>
      </w:r>
      <w:proofErr w:type="spellStart"/>
      <w:r w:rsidRPr="00A07F29">
        <w:rPr>
          <w:rFonts w:ascii="Times New Roman" w:eastAsia="Times New Roman" w:hAnsi="Times New Roman" w:cs="Times New Roman"/>
          <w:sz w:val="24"/>
          <w:szCs w:val="24"/>
        </w:rPr>
        <w:t>Suško</w:t>
      </w:r>
      <w:proofErr w:type="spellEnd"/>
      <w:r w:rsidR="003214EE">
        <w:rPr>
          <w:rFonts w:ascii="Times New Roman" w:eastAsia="Times New Roman" w:hAnsi="Times New Roman" w:cs="Times New Roman"/>
          <w:sz w:val="24"/>
          <w:szCs w:val="24"/>
        </w:rPr>
        <w:t xml:space="preserve"> U.</w:t>
      </w:r>
      <w:r w:rsidRPr="00A07F29">
        <w:rPr>
          <w:rFonts w:ascii="Times New Roman" w:eastAsia="Times New Roman" w:hAnsi="Times New Roman" w:cs="Times New Roman"/>
          <w:sz w:val="24"/>
          <w:szCs w:val="24"/>
        </w:rPr>
        <w:t xml:space="preserve">, 1991a). </w:t>
      </w:r>
      <w:proofErr w:type="spellStart"/>
      <w:r w:rsidRPr="00A07F29">
        <w:rPr>
          <w:rFonts w:ascii="Times New Roman" w:eastAsia="Times New Roman" w:hAnsi="Times New Roman" w:cs="Times New Roman"/>
          <w:sz w:val="24"/>
          <w:szCs w:val="24"/>
        </w:rPr>
        <w:t>Šilovkas</w:t>
      </w:r>
      <w:proofErr w:type="spellEnd"/>
      <w:r w:rsidRPr="00A07F29">
        <w:rPr>
          <w:rFonts w:ascii="Times New Roman" w:eastAsia="Times New Roman" w:hAnsi="Times New Roman" w:cs="Times New Roman"/>
          <w:sz w:val="24"/>
          <w:szCs w:val="24"/>
        </w:rPr>
        <w:t xml:space="preserve"> ezerā šo sugu šobrīd nekas neapdraud.</w:t>
      </w:r>
    </w:p>
    <w:p w14:paraId="6AEC5AA9" w14:textId="654A2C88" w:rsidR="005018CD" w:rsidRPr="00A07F29" w:rsidRDefault="00DA6578" w:rsidP="75F9BD02">
      <w:pPr>
        <w:spacing w:after="120" w:line="240" w:lineRule="auto"/>
        <w:ind w:firstLine="851"/>
        <w:jc w:val="both"/>
        <w:rPr>
          <w:rFonts w:ascii="Times New Roman" w:eastAsia="Times New Roman" w:hAnsi="Times New Roman" w:cs="Times New Roman"/>
          <w:sz w:val="24"/>
          <w:szCs w:val="24"/>
        </w:rPr>
      </w:pPr>
      <w:proofErr w:type="spellStart"/>
      <w:r w:rsidRPr="75F9BD02">
        <w:rPr>
          <w:rFonts w:ascii="Times New Roman" w:eastAsia="Times New Roman" w:hAnsi="Times New Roman" w:cs="Times New Roman"/>
          <w:b/>
          <w:bCs/>
          <w:sz w:val="24"/>
          <w:szCs w:val="24"/>
        </w:rPr>
        <w:t>Smaillapu</w:t>
      </w:r>
      <w:proofErr w:type="spellEnd"/>
      <w:r w:rsidRPr="75F9BD02">
        <w:rPr>
          <w:rFonts w:ascii="Times New Roman" w:eastAsia="Times New Roman" w:hAnsi="Times New Roman" w:cs="Times New Roman"/>
          <w:b/>
          <w:bCs/>
          <w:sz w:val="24"/>
          <w:szCs w:val="24"/>
        </w:rPr>
        <w:t xml:space="preserve"> glīvene </w:t>
      </w:r>
      <w:proofErr w:type="spellStart"/>
      <w:r w:rsidRPr="75F9BD02">
        <w:rPr>
          <w:rFonts w:ascii="Times New Roman" w:eastAsia="Times New Roman" w:hAnsi="Times New Roman" w:cs="Times New Roman"/>
          <w:b/>
          <w:bCs/>
          <w:i/>
          <w:iCs/>
          <w:sz w:val="24"/>
          <w:szCs w:val="24"/>
        </w:rPr>
        <w:t>Potamogeton</w:t>
      </w:r>
      <w:proofErr w:type="spellEnd"/>
      <w:r w:rsidRPr="75F9BD02">
        <w:rPr>
          <w:rFonts w:ascii="Times New Roman" w:eastAsia="Times New Roman" w:hAnsi="Times New Roman" w:cs="Times New Roman"/>
          <w:b/>
          <w:bCs/>
          <w:i/>
          <w:iCs/>
          <w:sz w:val="24"/>
          <w:szCs w:val="24"/>
        </w:rPr>
        <w:t xml:space="preserve"> </w:t>
      </w:r>
      <w:proofErr w:type="spellStart"/>
      <w:r w:rsidRPr="75F9BD02">
        <w:rPr>
          <w:rFonts w:ascii="Times New Roman" w:eastAsia="Times New Roman" w:hAnsi="Times New Roman" w:cs="Times New Roman"/>
          <w:b/>
          <w:bCs/>
          <w:i/>
          <w:iCs/>
          <w:sz w:val="24"/>
          <w:szCs w:val="24"/>
        </w:rPr>
        <w:t>acutifolius</w:t>
      </w:r>
      <w:proofErr w:type="spellEnd"/>
      <w:r w:rsidRPr="75F9BD02">
        <w:rPr>
          <w:rFonts w:ascii="Times New Roman" w:eastAsia="Times New Roman" w:hAnsi="Times New Roman" w:cs="Times New Roman"/>
          <w:sz w:val="24"/>
          <w:szCs w:val="24"/>
        </w:rPr>
        <w:t xml:space="preserve"> Latvijā ir sastopama reti – galvenokārt valsts </w:t>
      </w:r>
      <w:r w:rsidR="1106111D" w:rsidRPr="75F9BD02">
        <w:rPr>
          <w:rFonts w:ascii="Times New Roman" w:eastAsia="Times New Roman" w:hAnsi="Times New Roman" w:cs="Times New Roman"/>
          <w:sz w:val="24"/>
          <w:szCs w:val="24"/>
        </w:rPr>
        <w:t xml:space="preserve">DA </w:t>
      </w:r>
      <w:r w:rsidRPr="75F9BD02">
        <w:rPr>
          <w:rFonts w:ascii="Times New Roman" w:eastAsia="Times New Roman" w:hAnsi="Times New Roman" w:cs="Times New Roman"/>
          <w:sz w:val="24"/>
          <w:szCs w:val="24"/>
        </w:rPr>
        <w:t xml:space="preserve">daļā, kur aug pārsvarā tīros ezeros tuvu sava izplatības areāla </w:t>
      </w:r>
      <w:r w:rsidR="1106111D" w:rsidRPr="75F9BD02">
        <w:rPr>
          <w:rFonts w:ascii="Times New Roman" w:eastAsia="Times New Roman" w:hAnsi="Times New Roman" w:cs="Times New Roman"/>
          <w:sz w:val="24"/>
          <w:szCs w:val="24"/>
        </w:rPr>
        <w:t xml:space="preserve">Z </w:t>
      </w:r>
      <w:r w:rsidRPr="75F9BD02">
        <w:rPr>
          <w:rFonts w:ascii="Times New Roman" w:eastAsia="Times New Roman" w:hAnsi="Times New Roman" w:cs="Times New Roman"/>
          <w:sz w:val="24"/>
          <w:szCs w:val="24"/>
        </w:rPr>
        <w:t>robežai, ļoti reti arī aizaugošu karjeru ūdenskrātuvēs (</w:t>
      </w:r>
      <w:proofErr w:type="spellStart"/>
      <w:r w:rsidRPr="75F9BD02">
        <w:rPr>
          <w:rFonts w:ascii="Times New Roman" w:eastAsia="Times New Roman" w:hAnsi="Times New Roman" w:cs="Times New Roman"/>
          <w:sz w:val="24"/>
          <w:szCs w:val="24"/>
        </w:rPr>
        <w:t>Suško</w:t>
      </w:r>
      <w:proofErr w:type="spellEnd"/>
      <w:r w:rsidR="136CA303" w:rsidRPr="75F9BD02">
        <w:rPr>
          <w:rFonts w:ascii="Times New Roman" w:eastAsia="Times New Roman" w:hAnsi="Times New Roman" w:cs="Times New Roman"/>
          <w:sz w:val="24"/>
          <w:szCs w:val="24"/>
        </w:rPr>
        <w:t xml:space="preserve"> U.</w:t>
      </w:r>
      <w:r w:rsidRPr="75F9BD02">
        <w:rPr>
          <w:rFonts w:ascii="Times New Roman" w:eastAsia="Times New Roman" w:hAnsi="Times New Roman" w:cs="Times New Roman"/>
          <w:sz w:val="24"/>
          <w:szCs w:val="24"/>
        </w:rPr>
        <w:t>, 1995). Sugu apdraud ezeru un upju piesārņošana un eitrofikācija</w:t>
      </w:r>
      <w:r w:rsidR="1106111D" w:rsidRPr="75F9BD02">
        <w:rPr>
          <w:rFonts w:ascii="Times New Roman" w:eastAsia="Times New Roman" w:hAnsi="Times New Roman" w:cs="Times New Roman"/>
          <w:sz w:val="24"/>
          <w:szCs w:val="24"/>
        </w:rPr>
        <w:t>s pastiprināšanās</w:t>
      </w:r>
      <w:r w:rsidRPr="75F9BD02">
        <w:rPr>
          <w:rFonts w:ascii="Times New Roman" w:eastAsia="Times New Roman" w:hAnsi="Times New Roman" w:cs="Times New Roman"/>
          <w:sz w:val="24"/>
          <w:szCs w:val="24"/>
        </w:rPr>
        <w:t>. AAA “Augšdaugava”</w:t>
      </w:r>
      <w:r w:rsidR="1106111D" w:rsidRPr="75F9BD02">
        <w:rPr>
          <w:rFonts w:ascii="Times New Roman" w:eastAsia="Times New Roman" w:hAnsi="Times New Roman" w:cs="Times New Roman"/>
          <w:sz w:val="24"/>
          <w:szCs w:val="24"/>
        </w:rPr>
        <w:t xml:space="preserve"> </w:t>
      </w:r>
      <w:r w:rsidRPr="75F9BD02">
        <w:rPr>
          <w:rFonts w:ascii="Times New Roman" w:eastAsia="Times New Roman" w:hAnsi="Times New Roman" w:cs="Times New Roman"/>
          <w:sz w:val="24"/>
          <w:szCs w:val="24"/>
        </w:rPr>
        <w:t>1989.</w:t>
      </w:r>
      <w:r w:rsidR="1740A725" w:rsidRPr="75F9BD02">
        <w:rPr>
          <w:rFonts w:ascii="Times New Roman" w:eastAsia="Times New Roman" w:hAnsi="Times New Roman" w:cs="Times New Roman"/>
          <w:sz w:val="24"/>
          <w:szCs w:val="24"/>
        </w:rPr>
        <w:t> </w:t>
      </w:r>
      <w:r w:rsidRPr="75F9BD02">
        <w:rPr>
          <w:rFonts w:ascii="Times New Roman" w:eastAsia="Times New Roman" w:hAnsi="Times New Roman" w:cs="Times New Roman"/>
          <w:sz w:val="24"/>
          <w:szCs w:val="24"/>
        </w:rPr>
        <w:t xml:space="preserve">gadā pirmo reizi atrasta </w:t>
      </w:r>
      <w:proofErr w:type="spellStart"/>
      <w:r w:rsidRPr="75F9BD02">
        <w:rPr>
          <w:rFonts w:ascii="Times New Roman" w:eastAsia="Times New Roman" w:hAnsi="Times New Roman" w:cs="Times New Roman"/>
          <w:sz w:val="24"/>
          <w:szCs w:val="24"/>
        </w:rPr>
        <w:t>Krivoje</w:t>
      </w:r>
      <w:proofErr w:type="spellEnd"/>
      <w:r w:rsidRPr="75F9BD02">
        <w:rPr>
          <w:rFonts w:ascii="Times New Roman" w:eastAsia="Times New Roman" w:hAnsi="Times New Roman" w:cs="Times New Roman"/>
          <w:sz w:val="24"/>
          <w:szCs w:val="24"/>
        </w:rPr>
        <w:t xml:space="preserve"> ezerā, 1992.</w:t>
      </w:r>
      <w:r w:rsidR="1740A725" w:rsidRPr="75F9BD02">
        <w:rPr>
          <w:rFonts w:ascii="Times New Roman" w:eastAsia="Times New Roman" w:hAnsi="Times New Roman" w:cs="Times New Roman"/>
          <w:sz w:val="24"/>
          <w:szCs w:val="24"/>
        </w:rPr>
        <w:t> </w:t>
      </w:r>
      <w:r w:rsidRPr="75F9BD02">
        <w:rPr>
          <w:rFonts w:ascii="Times New Roman" w:eastAsia="Times New Roman" w:hAnsi="Times New Roman" w:cs="Times New Roman"/>
          <w:sz w:val="24"/>
          <w:szCs w:val="24"/>
        </w:rPr>
        <w:t xml:space="preserve">gadā – Mazajā </w:t>
      </w:r>
      <w:proofErr w:type="spellStart"/>
      <w:r w:rsidRPr="75F9BD02">
        <w:rPr>
          <w:rFonts w:ascii="Times New Roman" w:eastAsia="Times New Roman" w:hAnsi="Times New Roman" w:cs="Times New Roman"/>
          <w:sz w:val="24"/>
          <w:szCs w:val="24"/>
        </w:rPr>
        <w:t>Borvinkas</w:t>
      </w:r>
      <w:proofErr w:type="spellEnd"/>
      <w:r w:rsidRPr="75F9BD02">
        <w:rPr>
          <w:rFonts w:ascii="Times New Roman" w:eastAsia="Times New Roman" w:hAnsi="Times New Roman" w:cs="Times New Roman"/>
          <w:sz w:val="24"/>
          <w:szCs w:val="24"/>
        </w:rPr>
        <w:t xml:space="preserve">, </w:t>
      </w:r>
      <w:proofErr w:type="spellStart"/>
      <w:r w:rsidRPr="75F9BD02">
        <w:rPr>
          <w:rFonts w:ascii="Times New Roman" w:eastAsia="Times New Roman" w:hAnsi="Times New Roman" w:cs="Times New Roman"/>
          <w:sz w:val="24"/>
          <w:szCs w:val="24"/>
        </w:rPr>
        <w:t>Varnaviču</w:t>
      </w:r>
      <w:proofErr w:type="spellEnd"/>
      <w:r w:rsidRPr="75F9BD02">
        <w:rPr>
          <w:rFonts w:ascii="Times New Roman" w:eastAsia="Times New Roman" w:hAnsi="Times New Roman" w:cs="Times New Roman"/>
          <w:sz w:val="24"/>
          <w:szCs w:val="24"/>
        </w:rPr>
        <w:t xml:space="preserve"> un atkārtoti arī </w:t>
      </w:r>
      <w:proofErr w:type="spellStart"/>
      <w:r w:rsidRPr="75F9BD02">
        <w:rPr>
          <w:rFonts w:ascii="Times New Roman" w:eastAsia="Times New Roman" w:hAnsi="Times New Roman" w:cs="Times New Roman"/>
          <w:sz w:val="24"/>
          <w:szCs w:val="24"/>
        </w:rPr>
        <w:t>Krivoje</w:t>
      </w:r>
      <w:proofErr w:type="spellEnd"/>
      <w:r w:rsidRPr="75F9BD02">
        <w:rPr>
          <w:rFonts w:ascii="Times New Roman" w:eastAsia="Times New Roman" w:hAnsi="Times New Roman" w:cs="Times New Roman"/>
          <w:sz w:val="24"/>
          <w:szCs w:val="24"/>
        </w:rPr>
        <w:t xml:space="preserve"> ezerā, 1996.</w:t>
      </w:r>
      <w:r w:rsidR="56229968" w:rsidRPr="75F9BD02">
        <w:rPr>
          <w:rFonts w:ascii="Times New Roman" w:eastAsia="Times New Roman" w:hAnsi="Times New Roman" w:cs="Times New Roman"/>
          <w:sz w:val="24"/>
          <w:szCs w:val="24"/>
        </w:rPr>
        <w:t> </w:t>
      </w:r>
      <w:r w:rsidRPr="75F9BD02">
        <w:rPr>
          <w:rFonts w:ascii="Times New Roman" w:eastAsia="Times New Roman" w:hAnsi="Times New Roman" w:cs="Times New Roman"/>
          <w:sz w:val="24"/>
          <w:szCs w:val="24"/>
        </w:rPr>
        <w:t xml:space="preserve">gadā </w:t>
      </w:r>
      <w:r w:rsidR="1106111D" w:rsidRPr="75F9BD02">
        <w:rPr>
          <w:rFonts w:ascii="Times New Roman" w:eastAsia="Times New Roman" w:hAnsi="Times New Roman" w:cs="Times New Roman"/>
          <w:sz w:val="24"/>
          <w:szCs w:val="24"/>
        </w:rPr>
        <w:t xml:space="preserve">– </w:t>
      </w:r>
      <w:proofErr w:type="spellStart"/>
      <w:r w:rsidRPr="75F9BD02">
        <w:rPr>
          <w:rFonts w:ascii="Times New Roman" w:eastAsia="Times New Roman" w:hAnsi="Times New Roman" w:cs="Times New Roman"/>
          <w:sz w:val="24"/>
          <w:szCs w:val="24"/>
        </w:rPr>
        <w:t>Ba</w:t>
      </w:r>
      <w:r w:rsidR="56229968" w:rsidRPr="75F9BD02">
        <w:rPr>
          <w:rFonts w:ascii="Times New Roman" w:eastAsia="Times New Roman" w:hAnsi="Times New Roman" w:cs="Times New Roman"/>
          <w:sz w:val="24"/>
          <w:szCs w:val="24"/>
        </w:rPr>
        <w:t>l</w:t>
      </w:r>
      <w:r w:rsidRPr="75F9BD02">
        <w:rPr>
          <w:rFonts w:ascii="Times New Roman" w:eastAsia="Times New Roman" w:hAnsi="Times New Roman" w:cs="Times New Roman"/>
          <w:sz w:val="24"/>
          <w:szCs w:val="24"/>
        </w:rPr>
        <w:t>ticas</w:t>
      </w:r>
      <w:proofErr w:type="spellEnd"/>
      <w:r w:rsidRPr="75F9BD02">
        <w:rPr>
          <w:rFonts w:ascii="Times New Roman" w:eastAsia="Times New Roman" w:hAnsi="Times New Roman" w:cs="Times New Roman"/>
          <w:sz w:val="24"/>
          <w:szCs w:val="24"/>
        </w:rPr>
        <w:t xml:space="preserve"> ezerā, 1997.</w:t>
      </w:r>
      <w:r w:rsidR="56229968" w:rsidRPr="75F9BD02">
        <w:rPr>
          <w:rFonts w:ascii="Times New Roman" w:eastAsia="Times New Roman" w:hAnsi="Times New Roman" w:cs="Times New Roman"/>
          <w:sz w:val="24"/>
          <w:szCs w:val="24"/>
        </w:rPr>
        <w:t> </w:t>
      </w:r>
      <w:r w:rsidRPr="75F9BD02">
        <w:rPr>
          <w:rFonts w:ascii="Times New Roman" w:eastAsia="Times New Roman" w:hAnsi="Times New Roman" w:cs="Times New Roman"/>
          <w:sz w:val="24"/>
          <w:szCs w:val="24"/>
        </w:rPr>
        <w:t xml:space="preserve">gadā </w:t>
      </w:r>
      <w:r w:rsidR="1106111D" w:rsidRPr="75F9BD02">
        <w:rPr>
          <w:rFonts w:ascii="Times New Roman" w:eastAsia="Times New Roman" w:hAnsi="Times New Roman" w:cs="Times New Roman"/>
          <w:sz w:val="24"/>
          <w:szCs w:val="24"/>
        </w:rPr>
        <w:t>–</w:t>
      </w:r>
      <w:r w:rsidRPr="75F9BD02">
        <w:rPr>
          <w:rFonts w:ascii="Times New Roman" w:eastAsia="Times New Roman" w:hAnsi="Times New Roman" w:cs="Times New Roman"/>
          <w:sz w:val="24"/>
          <w:szCs w:val="24"/>
        </w:rPr>
        <w:t xml:space="preserve"> </w:t>
      </w:r>
      <w:proofErr w:type="spellStart"/>
      <w:r w:rsidRPr="75F9BD02">
        <w:rPr>
          <w:rFonts w:ascii="Times New Roman" w:eastAsia="Times New Roman" w:hAnsi="Times New Roman" w:cs="Times New Roman"/>
          <w:sz w:val="24"/>
          <w:szCs w:val="24"/>
        </w:rPr>
        <w:t>Dubinkā</w:t>
      </w:r>
      <w:proofErr w:type="spellEnd"/>
      <w:r w:rsidRPr="75F9BD02">
        <w:rPr>
          <w:rFonts w:ascii="Times New Roman" w:eastAsia="Times New Roman" w:hAnsi="Times New Roman" w:cs="Times New Roman"/>
          <w:sz w:val="24"/>
          <w:szCs w:val="24"/>
        </w:rPr>
        <w:t xml:space="preserve"> (daudzās vietās) un </w:t>
      </w:r>
      <w:proofErr w:type="spellStart"/>
      <w:r w:rsidRPr="75F9BD02">
        <w:rPr>
          <w:rFonts w:ascii="Times New Roman" w:eastAsia="Times New Roman" w:hAnsi="Times New Roman" w:cs="Times New Roman"/>
          <w:sz w:val="24"/>
          <w:szCs w:val="24"/>
        </w:rPr>
        <w:t>Jabloņkas</w:t>
      </w:r>
      <w:proofErr w:type="spellEnd"/>
      <w:r w:rsidRPr="75F9BD02">
        <w:rPr>
          <w:rFonts w:ascii="Times New Roman" w:eastAsia="Times New Roman" w:hAnsi="Times New Roman" w:cs="Times New Roman"/>
          <w:sz w:val="24"/>
          <w:szCs w:val="24"/>
        </w:rPr>
        <w:t xml:space="preserve"> ezerā, atkārtoti arī </w:t>
      </w:r>
      <w:proofErr w:type="spellStart"/>
      <w:r w:rsidRPr="75F9BD02">
        <w:rPr>
          <w:rFonts w:ascii="Times New Roman" w:eastAsia="Times New Roman" w:hAnsi="Times New Roman" w:cs="Times New Roman"/>
          <w:sz w:val="24"/>
          <w:szCs w:val="24"/>
        </w:rPr>
        <w:t>Krivoje</w:t>
      </w:r>
      <w:proofErr w:type="spellEnd"/>
      <w:r w:rsidRPr="75F9BD02">
        <w:rPr>
          <w:rFonts w:ascii="Times New Roman" w:eastAsia="Times New Roman" w:hAnsi="Times New Roman" w:cs="Times New Roman"/>
          <w:sz w:val="24"/>
          <w:szCs w:val="24"/>
        </w:rPr>
        <w:t xml:space="preserve"> un </w:t>
      </w:r>
      <w:proofErr w:type="spellStart"/>
      <w:r w:rsidRPr="75F9BD02">
        <w:rPr>
          <w:rFonts w:ascii="Times New Roman" w:eastAsia="Times New Roman" w:hAnsi="Times New Roman" w:cs="Times New Roman"/>
          <w:sz w:val="24"/>
          <w:szCs w:val="24"/>
        </w:rPr>
        <w:t>Varnaviču</w:t>
      </w:r>
      <w:proofErr w:type="spellEnd"/>
      <w:r w:rsidRPr="75F9BD02">
        <w:rPr>
          <w:rFonts w:ascii="Times New Roman" w:eastAsia="Times New Roman" w:hAnsi="Times New Roman" w:cs="Times New Roman"/>
          <w:sz w:val="24"/>
          <w:szCs w:val="24"/>
        </w:rPr>
        <w:t xml:space="preserve"> ezerā, 2017.</w:t>
      </w:r>
      <w:r w:rsidR="56229968" w:rsidRPr="75F9BD02">
        <w:rPr>
          <w:rFonts w:ascii="Times New Roman" w:eastAsia="Times New Roman" w:hAnsi="Times New Roman" w:cs="Times New Roman"/>
          <w:sz w:val="24"/>
          <w:szCs w:val="24"/>
        </w:rPr>
        <w:t> </w:t>
      </w:r>
      <w:r w:rsidRPr="75F9BD02">
        <w:rPr>
          <w:rFonts w:ascii="Times New Roman" w:eastAsia="Times New Roman" w:hAnsi="Times New Roman" w:cs="Times New Roman"/>
          <w:sz w:val="24"/>
          <w:szCs w:val="24"/>
        </w:rPr>
        <w:t xml:space="preserve">gadā – </w:t>
      </w:r>
      <w:proofErr w:type="spellStart"/>
      <w:r w:rsidRPr="75F9BD02">
        <w:rPr>
          <w:rFonts w:ascii="Times New Roman" w:eastAsia="Times New Roman" w:hAnsi="Times New Roman" w:cs="Times New Roman"/>
          <w:sz w:val="24"/>
          <w:szCs w:val="24"/>
        </w:rPr>
        <w:t>Jabloņkas</w:t>
      </w:r>
      <w:proofErr w:type="spellEnd"/>
      <w:r w:rsidRPr="75F9BD02">
        <w:rPr>
          <w:rFonts w:ascii="Times New Roman" w:eastAsia="Times New Roman" w:hAnsi="Times New Roman" w:cs="Times New Roman"/>
          <w:sz w:val="24"/>
          <w:szCs w:val="24"/>
        </w:rPr>
        <w:t xml:space="preserve">, </w:t>
      </w:r>
      <w:proofErr w:type="spellStart"/>
      <w:r w:rsidRPr="75F9BD02">
        <w:rPr>
          <w:rFonts w:ascii="Times New Roman" w:eastAsia="Times New Roman" w:hAnsi="Times New Roman" w:cs="Times New Roman"/>
          <w:sz w:val="24"/>
          <w:szCs w:val="24"/>
        </w:rPr>
        <w:t>Krivoje</w:t>
      </w:r>
      <w:proofErr w:type="spellEnd"/>
      <w:r w:rsidRPr="75F9BD02">
        <w:rPr>
          <w:rFonts w:ascii="Times New Roman" w:eastAsia="Times New Roman" w:hAnsi="Times New Roman" w:cs="Times New Roman"/>
          <w:sz w:val="24"/>
          <w:szCs w:val="24"/>
        </w:rPr>
        <w:t xml:space="preserve">, Mazajā </w:t>
      </w:r>
      <w:proofErr w:type="spellStart"/>
      <w:r w:rsidRPr="75F9BD02">
        <w:rPr>
          <w:rFonts w:ascii="Times New Roman" w:eastAsia="Times New Roman" w:hAnsi="Times New Roman" w:cs="Times New Roman"/>
          <w:sz w:val="24"/>
          <w:szCs w:val="24"/>
        </w:rPr>
        <w:t>Borvinkas</w:t>
      </w:r>
      <w:proofErr w:type="spellEnd"/>
      <w:r w:rsidRPr="75F9BD02">
        <w:rPr>
          <w:rFonts w:ascii="Times New Roman" w:eastAsia="Times New Roman" w:hAnsi="Times New Roman" w:cs="Times New Roman"/>
          <w:sz w:val="24"/>
          <w:szCs w:val="24"/>
        </w:rPr>
        <w:t xml:space="preserve">, </w:t>
      </w:r>
      <w:proofErr w:type="spellStart"/>
      <w:r w:rsidRPr="75F9BD02">
        <w:rPr>
          <w:rFonts w:ascii="Times New Roman" w:eastAsia="Times New Roman" w:hAnsi="Times New Roman" w:cs="Times New Roman"/>
          <w:sz w:val="24"/>
          <w:szCs w:val="24"/>
        </w:rPr>
        <w:t>Varnaviču</w:t>
      </w:r>
      <w:proofErr w:type="spellEnd"/>
      <w:r w:rsidRPr="75F9BD02">
        <w:rPr>
          <w:rFonts w:ascii="Times New Roman" w:eastAsia="Times New Roman" w:hAnsi="Times New Roman" w:cs="Times New Roman"/>
          <w:sz w:val="24"/>
          <w:szCs w:val="24"/>
        </w:rPr>
        <w:t xml:space="preserve"> ezerā (diezgan daudz), kā arī </w:t>
      </w:r>
      <w:proofErr w:type="spellStart"/>
      <w:r w:rsidRPr="75F9BD02">
        <w:rPr>
          <w:rFonts w:ascii="Times New Roman" w:eastAsia="Times New Roman" w:hAnsi="Times New Roman" w:cs="Times New Roman"/>
          <w:sz w:val="24"/>
          <w:szCs w:val="24"/>
        </w:rPr>
        <w:t>Dubinkā</w:t>
      </w:r>
      <w:proofErr w:type="spellEnd"/>
      <w:r w:rsidRPr="75F9BD02">
        <w:rPr>
          <w:rFonts w:ascii="Times New Roman" w:eastAsia="Times New Roman" w:hAnsi="Times New Roman" w:cs="Times New Roman"/>
          <w:sz w:val="24"/>
          <w:szCs w:val="24"/>
        </w:rPr>
        <w:t xml:space="preserve"> (tikai vienā vietā </w:t>
      </w:r>
      <w:r w:rsidR="1106111D" w:rsidRPr="75F9BD02">
        <w:rPr>
          <w:rFonts w:ascii="Times New Roman" w:eastAsia="Times New Roman" w:hAnsi="Times New Roman" w:cs="Times New Roman"/>
          <w:sz w:val="24"/>
          <w:szCs w:val="24"/>
        </w:rPr>
        <w:t xml:space="preserve">A </w:t>
      </w:r>
      <w:proofErr w:type="spellStart"/>
      <w:r w:rsidRPr="75F9BD02">
        <w:rPr>
          <w:rFonts w:ascii="Times New Roman" w:eastAsia="Times New Roman" w:hAnsi="Times New Roman" w:cs="Times New Roman"/>
          <w:sz w:val="24"/>
          <w:szCs w:val="24"/>
        </w:rPr>
        <w:t>pakrastē</w:t>
      </w:r>
      <w:proofErr w:type="spellEnd"/>
      <w:r w:rsidRPr="75F9BD02">
        <w:rPr>
          <w:rFonts w:ascii="Times New Roman" w:eastAsia="Times New Roman" w:hAnsi="Times New Roman" w:cs="Times New Roman"/>
          <w:sz w:val="24"/>
          <w:szCs w:val="24"/>
        </w:rPr>
        <w:t xml:space="preserve"> 1</w:t>
      </w:r>
      <w:r w:rsidR="56229968" w:rsidRPr="75F9BD02">
        <w:rPr>
          <w:rFonts w:ascii="Times New Roman" w:eastAsia="Times New Roman" w:hAnsi="Times New Roman" w:cs="Times New Roman"/>
          <w:sz w:val="24"/>
          <w:szCs w:val="24"/>
        </w:rPr>
        <w:t> – </w:t>
      </w:r>
      <w:r w:rsidRPr="75F9BD02">
        <w:rPr>
          <w:rFonts w:ascii="Times New Roman" w:eastAsia="Times New Roman" w:hAnsi="Times New Roman" w:cs="Times New Roman"/>
          <w:sz w:val="24"/>
          <w:szCs w:val="24"/>
        </w:rPr>
        <w:t>2</w:t>
      </w:r>
      <w:r w:rsidR="56229968" w:rsidRPr="75F9BD02">
        <w:rPr>
          <w:rFonts w:ascii="Times New Roman" w:eastAsia="Times New Roman" w:hAnsi="Times New Roman" w:cs="Times New Roman"/>
          <w:sz w:val="24"/>
          <w:szCs w:val="24"/>
        </w:rPr>
        <w:t> </w:t>
      </w:r>
      <w:r w:rsidRPr="75F9BD02">
        <w:rPr>
          <w:rFonts w:ascii="Times New Roman" w:eastAsia="Times New Roman" w:hAnsi="Times New Roman" w:cs="Times New Roman"/>
          <w:sz w:val="24"/>
          <w:szCs w:val="24"/>
        </w:rPr>
        <w:t>m</w:t>
      </w:r>
      <w:r w:rsidRPr="75F9BD02">
        <w:rPr>
          <w:rFonts w:ascii="Times New Roman" w:eastAsia="Times New Roman" w:hAnsi="Times New Roman" w:cs="Times New Roman"/>
          <w:sz w:val="24"/>
          <w:szCs w:val="24"/>
          <w:vertAlign w:val="superscript"/>
        </w:rPr>
        <w:t>2</w:t>
      </w:r>
      <w:r w:rsidRPr="75F9BD02">
        <w:rPr>
          <w:rFonts w:ascii="Times New Roman" w:eastAsia="Times New Roman" w:hAnsi="Times New Roman" w:cs="Times New Roman"/>
          <w:sz w:val="24"/>
          <w:szCs w:val="24"/>
        </w:rPr>
        <w:t xml:space="preserve"> kopplatībā), bet 2019.</w:t>
      </w:r>
      <w:r w:rsidR="56229968" w:rsidRPr="75F9BD02">
        <w:rPr>
          <w:rFonts w:ascii="Times New Roman" w:eastAsia="Times New Roman" w:hAnsi="Times New Roman" w:cs="Times New Roman"/>
          <w:sz w:val="24"/>
          <w:szCs w:val="24"/>
        </w:rPr>
        <w:t> </w:t>
      </w:r>
      <w:r w:rsidRPr="75F9BD02">
        <w:rPr>
          <w:rFonts w:ascii="Times New Roman" w:eastAsia="Times New Roman" w:hAnsi="Times New Roman" w:cs="Times New Roman"/>
          <w:sz w:val="24"/>
          <w:szCs w:val="24"/>
        </w:rPr>
        <w:t xml:space="preserve">gadā – Mazajā </w:t>
      </w:r>
      <w:proofErr w:type="spellStart"/>
      <w:r w:rsidRPr="75F9BD02">
        <w:rPr>
          <w:rFonts w:ascii="Times New Roman" w:eastAsia="Times New Roman" w:hAnsi="Times New Roman" w:cs="Times New Roman"/>
          <w:sz w:val="24"/>
          <w:szCs w:val="24"/>
        </w:rPr>
        <w:t>Borvinkas</w:t>
      </w:r>
      <w:proofErr w:type="spellEnd"/>
      <w:r w:rsidRPr="75F9BD02">
        <w:rPr>
          <w:rFonts w:ascii="Times New Roman" w:eastAsia="Times New Roman" w:hAnsi="Times New Roman" w:cs="Times New Roman"/>
          <w:sz w:val="24"/>
          <w:szCs w:val="24"/>
        </w:rPr>
        <w:t xml:space="preserve"> ezerā (</w:t>
      </w:r>
      <w:r w:rsidR="348F6FC3" w:rsidRPr="75F9BD02">
        <w:rPr>
          <w:rFonts w:ascii="Times New Roman" w:eastAsia="Times New Roman" w:hAnsi="Times New Roman" w:cs="Times New Roman"/>
          <w:sz w:val="24"/>
          <w:szCs w:val="24"/>
        </w:rPr>
        <w:t>piecās</w:t>
      </w:r>
      <w:r w:rsidRPr="75F9BD02">
        <w:rPr>
          <w:rFonts w:ascii="Times New Roman" w:eastAsia="Times New Roman" w:hAnsi="Times New Roman" w:cs="Times New Roman"/>
          <w:sz w:val="24"/>
          <w:szCs w:val="24"/>
        </w:rPr>
        <w:t xml:space="preserve"> vietās 4,4</w:t>
      </w:r>
      <w:r w:rsidR="348F6FC3" w:rsidRPr="75F9BD02">
        <w:rPr>
          <w:rFonts w:ascii="Times New Roman" w:eastAsia="Times New Roman" w:hAnsi="Times New Roman" w:cs="Times New Roman"/>
          <w:sz w:val="24"/>
          <w:szCs w:val="24"/>
        </w:rPr>
        <w:t> </w:t>
      </w:r>
      <w:r w:rsidRPr="75F9BD02">
        <w:rPr>
          <w:rFonts w:ascii="Times New Roman" w:eastAsia="Times New Roman" w:hAnsi="Times New Roman" w:cs="Times New Roman"/>
          <w:sz w:val="24"/>
          <w:szCs w:val="24"/>
        </w:rPr>
        <w:t>m</w:t>
      </w:r>
      <w:r w:rsidRPr="75F9BD02">
        <w:rPr>
          <w:rFonts w:ascii="Times New Roman" w:eastAsia="Times New Roman" w:hAnsi="Times New Roman" w:cs="Times New Roman"/>
          <w:sz w:val="24"/>
          <w:szCs w:val="24"/>
          <w:vertAlign w:val="superscript"/>
        </w:rPr>
        <w:t>2</w:t>
      </w:r>
      <w:r w:rsidRPr="75F9BD02">
        <w:rPr>
          <w:rFonts w:ascii="Times New Roman" w:eastAsia="Times New Roman" w:hAnsi="Times New Roman" w:cs="Times New Roman"/>
          <w:sz w:val="24"/>
          <w:szCs w:val="24"/>
        </w:rPr>
        <w:t xml:space="preserve"> kopplatībā). Šobrīd šo sugu šajos ezeros lielākoties nekas neapdraud, izņemot </w:t>
      </w:r>
      <w:proofErr w:type="spellStart"/>
      <w:r w:rsidRPr="75F9BD02">
        <w:rPr>
          <w:rFonts w:ascii="Times New Roman" w:eastAsia="Times New Roman" w:hAnsi="Times New Roman" w:cs="Times New Roman"/>
          <w:sz w:val="24"/>
          <w:szCs w:val="24"/>
        </w:rPr>
        <w:t>Dubinku</w:t>
      </w:r>
      <w:proofErr w:type="spellEnd"/>
      <w:r w:rsidRPr="75F9BD02">
        <w:rPr>
          <w:rFonts w:ascii="Times New Roman" w:eastAsia="Times New Roman" w:hAnsi="Times New Roman" w:cs="Times New Roman"/>
          <w:sz w:val="24"/>
          <w:szCs w:val="24"/>
        </w:rPr>
        <w:t>, kur to apdraud ūdens kvalitātes pasliktināšan</w:t>
      </w:r>
      <w:r w:rsidR="348F6FC3" w:rsidRPr="75F9BD02">
        <w:rPr>
          <w:rFonts w:ascii="Times New Roman" w:eastAsia="Times New Roman" w:hAnsi="Times New Roman" w:cs="Times New Roman"/>
          <w:sz w:val="24"/>
          <w:szCs w:val="24"/>
        </w:rPr>
        <w:t>ā</w:t>
      </w:r>
      <w:r w:rsidRPr="75F9BD02">
        <w:rPr>
          <w:rFonts w:ascii="Times New Roman" w:eastAsia="Times New Roman" w:hAnsi="Times New Roman" w:cs="Times New Roman"/>
          <w:sz w:val="24"/>
          <w:szCs w:val="24"/>
        </w:rPr>
        <w:t xml:space="preserve">s pastiprināto </w:t>
      </w:r>
      <w:proofErr w:type="spellStart"/>
      <w:r w:rsidRPr="75F9BD02">
        <w:rPr>
          <w:rFonts w:ascii="Times New Roman" w:eastAsia="Times New Roman" w:hAnsi="Times New Roman" w:cs="Times New Roman"/>
          <w:sz w:val="24"/>
          <w:szCs w:val="24"/>
        </w:rPr>
        <w:t>distrofikācijas</w:t>
      </w:r>
      <w:proofErr w:type="spellEnd"/>
      <w:r w:rsidRPr="75F9BD02">
        <w:rPr>
          <w:rFonts w:ascii="Times New Roman" w:eastAsia="Times New Roman" w:hAnsi="Times New Roman" w:cs="Times New Roman"/>
          <w:sz w:val="24"/>
          <w:szCs w:val="24"/>
        </w:rPr>
        <w:t xml:space="preserve"> procesu dēļ.</w:t>
      </w:r>
    </w:p>
    <w:p w14:paraId="765B4327" w14:textId="77777777" w:rsidR="00244869" w:rsidRPr="00A07F29" w:rsidRDefault="00244869" w:rsidP="00244869">
      <w:pPr>
        <w:spacing w:after="0" w:line="240" w:lineRule="auto"/>
        <w:ind w:firstLine="851"/>
        <w:jc w:val="both"/>
        <w:rPr>
          <w:rFonts w:ascii="Times New Roman" w:eastAsia="Times New Roman" w:hAnsi="Times New Roman" w:cs="Times New Roman"/>
          <w:sz w:val="24"/>
          <w:szCs w:val="24"/>
        </w:rPr>
      </w:pPr>
    </w:p>
    <w:p w14:paraId="0CA38CE3" w14:textId="593EC5B4" w:rsidR="00462C1D" w:rsidRPr="00A07F29" w:rsidRDefault="005018CD" w:rsidP="005018CD">
      <w:pPr>
        <w:pStyle w:val="Heading2"/>
        <w:spacing w:before="120" w:after="120"/>
        <w:ind w:firstLine="0"/>
        <w:jc w:val="center"/>
        <w:rPr>
          <w:rFonts w:ascii="Times New Roman" w:hAnsi="Times New Roman"/>
          <w:i w:val="0"/>
        </w:rPr>
      </w:pPr>
      <w:bookmarkStart w:id="73" w:name="_Toc183434011"/>
      <w:r w:rsidRPr="00A07F29">
        <w:rPr>
          <w:rFonts w:ascii="Times New Roman" w:hAnsi="Times New Roman"/>
          <w:i w:val="0"/>
        </w:rPr>
        <w:t xml:space="preserve">4.5. </w:t>
      </w:r>
      <w:r w:rsidR="00EE5B5D" w:rsidRPr="00A07F29">
        <w:rPr>
          <w:rFonts w:ascii="Times New Roman" w:hAnsi="Times New Roman"/>
          <w:i w:val="0"/>
        </w:rPr>
        <w:t xml:space="preserve">Retās un īpaši aizsargājamās </w:t>
      </w:r>
      <w:proofErr w:type="spellStart"/>
      <w:r w:rsidR="00EE5B5D" w:rsidRPr="00A07F29">
        <w:rPr>
          <w:rFonts w:ascii="Times New Roman" w:hAnsi="Times New Roman"/>
          <w:i w:val="0"/>
        </w:rPr>
        <w:t>m</w:t>
      </w:r>
      <w:r w:rsidRPr="00A07F29">
        <w:rPr>
          <w:rFonts w:ascii="Times New Roman" w:hAnsi="Times New Roman"/>
          <w:i w:val="0"/>
        </w:rPr>
        <w:t>ieturaļģu</w:t>
      </w:r>
      <w:proofErr w:type="spellEnd"/>
      <w:r w:rsidRPr="00A07F29">
        <w:rPr>
          <w:rFonts w:ascii="Times New Roman" w:hAnsi="Times New Roman"/>
          <w:i w:val="0"/>
        </w:rPr>
        <w:t xml:space="preserve"> un sūnu sugas</w:t>
      </w:r>
      <w:bookmarkEnd w:id="73"/>
    </w:p>
    <w:p w14:paraId="720177A3" w14:textId="377F2CE5" w:rsidR="00DD437F" w:rsidRPr="00A07F29" w:rsidRDefault="005018CD" w:rsidP="008277DC">
      <w:pPr>
        <w:widowControl w:val="0"/>
        <w:autoSpaceDE w:val="0"/>
        <w:autoSpaceDN w:val="0"/>
        <w:adjustRightInd w:val="0"/>
        <w:spacing w:after="120" w:line="240" w:lineRule="auto"/>
        <w:ind w:firstLine="851"/>
        <w:jc w:val="both"/>
        <w:rPr>
          <w:rFonts w:ascii="Times New Roman" w:eastAsia="Times New Roman" w:hAnsi="Times New Roman" w:cs="Times New Roman"/>
          <w:sz w:val="24"/>
          <w:szCs w:val="24"/>
        </w:rPr>
      </w:pPr>
      <w:r w:rsidRPr="00A07F29">
        <w:rPr>
          <w:rFonts w:ascii="Times New Roman" w:eastAsia="Times New Roman" w:hAnsi="Times New Roman" w:cs="Times New Roman"/>
          <w:sz w:val="24"/>
          <w:szCs w:val="24"/>
        </w:rPr>
        <w:t>AAA “</w:t>
      </w:r>
      <w:r w:rsidR="002B1603" w:rsidRPr="00A07F29">
        <w:rPr>
          <w:rFonts w:ascii="Times New Roman" w:eastAsia="Times New Roman" w:hAnsi="Times New Roman" w:cs="Times New Roman"/>
          <w:sz w:val="24"/>
          <w:szCs w:val="24"/>
        </w:rPr>
        <w:t>Augšdaugava</w:t>
      </w:r>
      <w:r w:rsidRPr="00A07F29">
        <w:rPr>
          <w:rFonts w:ascii="Times New Roman" w:eastAsia="Times New Roman" w:hAnsi="Times New Roman" w:cs="Times New Roman"/>
          <w:sz w:val="24"/>
          <w:szCs w:val="24"/>
        </w:rPr>
        <w:t>”</w:t>
      </w:r>
      <w:r w:rsidR="002B1603" w:rsidRPr="00A07F29">
        <w:rPr>
          <w:rFonts w:ascii="Times New Roman" w:eastAsia="Times New Roman" w:hAnsi="Times New Roman" w:cs="Times New Roman"/>
          <w:sz w:val="24"/>
          <w:szCs w:val="24"/>
        </w:rPr>
        <w:t xml:space="preserve"> ezeros </w:t>
      </w:r>
      <w:r w:rsidRPr="00A07F29">
        <w:rPr>
          <w:rFonts w:ascii="Times New Roman" w:eastAsia="Times New Roman" w:hAnsi="Times New Roman" w:cs="Times New Roman"/>
          <w:sz w:val="24"/>
          <w:szCs w:val="24"/>
        </w:rPr>
        <w:t xml:space="preserve">un to </w:t>
      </w:r>
      <w:proofErr w:type="spellStart"/>
      <w:r w:rsidRPr="00A07F29">
        <w:rPr>
          <w:rFonts w:ascii="Times New Roman" w:eastAsia="Times New Roman" w:hAnsi="Times New Roman" w:cs="Times New Roman"/>
          <w:sz w:val="24"/>
          <w:szCs w:val="24"/>
        </w:rPr>
        <w:t>nokrastes</w:t>
      </w:r>
      <w:proofErr w:type="spellEnd"/>
      <w:r w:rsidRPr="00A07F29">
        <w:rPr>
          <w:rFonts w:ascii="Times New Roman" w:eastAsia="Times New Roman" w:hAnsi="Times New Roman" w:cs="Times New Roman"/>
          <w:sz w:val="24"/>
          <w:szCs w:val="24"/>
        </w:rPr>
        <w:t xml:space="preserve"> slīkšņās </w:t>
      </w:r>
      <w:r w:rsidR="00EE5B5D" w:rsidRPr="00A07F29">
        <w:rPr>
          <w:rFonts w:ascii="Times New Roman" w:eastAsia="Times New Roman" w:hAnsi="Times New Roman" w:cs="Times New Roman"/>
          <w:sz w:val="24"/>
          <w:szCs w:val="24"/>
        </w:rPr>
        <w:t xml:space="preserve">un piekrastes pārejas purvos </w:t>
      </w:r>
      <w:r w:rsidR="002B1603" w:rsidRPr="00A07F29">
        <w:rPr>
          <w:rFonts w:ascii="Times New Roman" w:eastAsia="Times New Roman" w:hAnsi="Times New Roman" w:cs="Times New Roman"/>
          <w:sz w:val="24"/>
          <w:szCs w:val="24"/>
        </w:rPr>
        <w:t xml:space="preserve">konstatētas </w:t>
      </w:r>
      <w:r w:rsidR="002C0B13">
        <w:rPr>
          <w:rFonts w:ascii="Times New Roman" w:eastAsia="Times New Roman" w:hAnsi="Times New Roman" w:cs="Times New Roman"/>
          <w:sz w:val="24"/>
          <w:szCs w:val="24"/>
        </w:rPr>
        <w:t>sešas</w:t>
      </w:r>
      <w:r w:rsidRPr="00A07F29">
        <w:rPr>
          <w:rFonts w:ascii="Times New Roman" w:eastAsia="Times New Roman" w:hAnsi="Times New Roman" w:cs="Times New Roman"/>
          <w:sz w:val="24"/>
          <w:szCs w:val="24"/>
        </w:rPr>
        <w:t xml:space="preserve"> retas un aizsargājamas </w:t>
      </w:r>
      <w:proofErr w:type="spellStart"/>
      <w:r w:rsidR="002B1603" w:rsidRPr="00A07F29">
        <w:rPr>
          <w:rFonts w:ascii="Times New Roman" w:eastAsia="Times New Roman" w:hAnsi="Times New Roman" w:cs="Times New Roman"/>
          <w:sz w:val="24"/>
          <w:szCs w:val="24"/>
        </w:rPr>
        <w:t>mieturaļģu</w:t>
      </w:r>
      <w:proofErr w:type="spellEnd"/>
      <w:r w:rsidR="002B1603" w:rsidRPr="00A07F29">
        <w:rPr>
          <w:rFonts w:ascii="Times New Roman" w:eastAsia="Times New Roman" w:hAnsi="Times New Roman" w:cs="Times New Roman"/>
          <w:sz w:val="24"/>
          <w:szCs w:val="24"/>
        </w:rPr>
        <w:t xml:space="preserve"> </w:t>
      </w:r>
      <w:r w:rsidRPr="00A07F29">
        <w:rPr>
          <w:rFonts w:ascii="Times New Roman" w:eastAsia="Times New Roman" w:hAnsi="Times New Roman" w:cs="Times New Roman"/>
          <w:sz w:val="24"/>
          <w:szCs w:val="24"/>
        </w:rPr>
        <w:t xml:space="preserve">un </w:t>
      </w:r>
      <w:r w:rsidR="002B1603" w:rsidRPr="00A07F29">
        <w:rPr>
          <w:rFonts w:ascii="Times New Roman" w:eastAsia="Times New Roman" w:hAnsi="Times New Roman" w:cs="Times New Roman"/>
          <w:sz w:val="24"/>
          <w:szCs w:val="24"/>
        </w:rPr>
        <w:t>sūnu suga</w:t>
      </w:r>
      <w:r w:rsidRPr="00A07F29">
        <w:rPr>
          <w:rFonts w:ascii="Times New Roman" w:eastAsia="Times New Roman" w:hAnsi="Times New Roman" w:cs="Times New Roman"/>
          <w:sz w:val="24"/>
          <w:szCs w:val="24"/>
        </w:rPr>
        <w:t>s</w:t>
      </w:r>
      <w:r w:rsidR="002B1603" w:rsidRPr="00A07F29">
        <w:rPr>
          <w:rFonts w:ascii="Times New Roman" w:eastAsia="Times New Roman" w:hAnsi="Times New Roman" w:cs="Times New Roman"/>
          <w:sz w:val="24"/>
          <w:szCs w:val="24"/>
        </w:rPr>
        <w:t xml:space="preserve"> (</w:t>
      </w:r>
      <w:r w:rsidR="002C0B13">
        <w:rPr>
          <w:rFonts w:ascii="Times New Roman" w:eastAsia="Times New Roman" w:hAnsi="Times New Roman" w:cs="Times New Roman"/>
          <w:sz w:val="24"/>
          <w:szCs w:val="24"/>
        </w:rPr>
        <w:t xml:space="preserve">skat. </w:t>
      </w:r>
      <w:r w:rsidR="002B1603" w:rsidRPr="00A07F29">
        <w:rPr>
          <w:rFonts w:ascii="Times New Roman" w:eastAsia="Times New Roman" w:hAnsi="Times New Roman" w:cs="Times New Roman"/>
          <w:iCs/>
          <w:sz w:val="24"/>
          <w:szCs w:val="24"/>
        </w:rPr>
        <w:t>4.5.1.</w:t>
      </w:r>
      <w:r w:rsidR="002C0B13">
        <w:rPr>
          <w:rFonts w:ascii="Times New Roman" w:eastAsia="Times New Roman" w:hAnsi="Times New Roman" w:cs="Times New Roman"/>
          <w:iCs/>
          <w:sz w:val="24"/>
          <w:szCs w:val="24"/>
        </w:rPr>
        <w:t> </w:t>
      </w:r>
      <w:r w:rsidR="002B1603" w:rsidRPr="00A07F29">
        <w:rPr>
          <w:rFonts w:ascii="Times New Roman" w:eastAsia="Times New Roman" w:hAnsi="Times New Roman" w:cs="Times New Roman"/>
          <w:iCs/>
          <w:sz w:val="24"/>
          <w:szCs w:val="24"/>
        </w:rPr>
        <w:t>tab</w:t>
      </w:r>
      <w:r w:rsidR="006A6D48" w:rsidRPr="00A07F29">
        <w:rPr>
          <w:rFonts w:ascii="Times New Roman" w:eastAsia="Times New Roman" w:hAnsi="Times New Roman" w:cs="Times New Roman"/>
          <w:iCs/>
          <w:sz w:val="24"/>
          <w:szCs w:val="24"/>
        </w:rPr>
        <w:t>ula</w:t>
      </w:r>
      <w:r w:rsidR="002B1603" w:rsidRPr="00A07F29">
        <w:rPr>
          <w:rFonts w:ascii="Times New Roman" w:eastAsia="Times New Roman" w:hAnsi="Times New Roman" w:cs="Times New Roman"/>
          <w:sz w:val="24"/>
          <w:szCs w:val="24"/>
        </w:rPr>
        <w:t>).</w:t>
      </w:r>
    </w:p>
    <w:p w14:paraId="7631C9A4" w14:textId="4E93140A" w:rsidR="00DD437F" w:rsidRPr="00A07F29" w:rsidRDefault="00DD437F" w:rsidP="00244869">
      <w:pPr>
        <w:spacing w:after="120" w:line="240" w:lineRule="auto"/>
        <w:ind w:firstLine="851"/>
        <w:jc w:val="center"/>
        <w:rPr>
          <w:rFonts w:ascii="Times New Roman" w:eastAsia="Calibri" w:hAnsi="Times New Roman" w:cs="Times New Roman"/>
          <w:sz w:val="24"/>
          <w:szCs w:val="24"/>
        </w:rPr>
      </w:pPr>
      <w:r w:rsidRPr="00A07F29">
        <w:rPr>
          <w:rFonts w:ascii="Times New Roman" w:eastAsia="Calibri" w:hAnsi="Times New Roman" w:cs="Times New Roman"/>
          <w:sz w:val="24"/>
          <w:szCs w:val="24"/>
        </w:rPr>
        <w:lastRenderedPageBreak/>
        <w:t>4.</w:t>
      </w:r>
      <w:r w:rsidR="0029279A" w:rsidRPr="00A07F29">
        <w:rPr>
          <w:rFonts w:ascii="Times New Roman" w:eastAsia="Calibri" w:hAnsi="Times New Roman" w:cs="Times New Roman"/>
          <w:sz w:val="24"/>
          <w:szCs w:val="24"/>
        </w:rPr>
        <w:t>5</w:t>
      </w:r>
      <w:r w:rsidRPr="00A07F29">
        <w:rPr>
          <w:rFonts w:ascii="Times New Roman" w:eastAsia="Calibri" w:hAnsi="Times New Roman" w:cs="Times New Roman"/>
          <w:sz w:val="24"/>
          <w:szCs w:val="24"/>
        </w:rPr>
        <w:t>.1.</w:t>
      </w:r>
      <w:r w:rsidR="00FD6AF9">
        <w:rPr>
          <w:rFonts w:ascii="Times New Roman" w:eastAsia="Calibri" w:hAnsi="Times New Roman" w:cs="Times New Roman"/>
          <w:sz w:val="24"/>
          <w:szCs w:val="24"/>
        </w:rPr>
        <w:t> </w:t>
      </w:r>
      <w:r w:rsidRPr="00A07F29">
        <w:rPr>
          <w:rFonts w:ascii="Times New Roman" w:eastAsia="Calibri" w:hAnsi="Times New Roman" w:cs="Times New Roman"/>
          <w:sz w:val="24"/>
          <w:szCs w:val="24"/>
        </w:rPr>
        <w:t>tabula.</w:t>
      </w:r>
      <w:r w:rsidRPr="00A07F29">
        <w:rPr>
          <w:rFonts w:ascii="Times New Roman" w:eastAsia="Calibri" w:hAnsi="Times New Roman" w:cs="Times New Roman"/>
          <w:b/>
          <w:sz w:val="24"/>
          <w:szCs w:val="24"/>
        </w:rPr>
        <w:t xml:space="preserve"> </w:t>
      </w:r>
      <w:r w:rsidRPr="00A07F29">
        <w:rPr>
          <w:rFonts w:ascii="Times New Roman" w:eastAsia="Calibri" w:hAnsi="Times New Roman" w:cs="Times New Roman"/>
          <w:sz w:val="24"/>
          <w:szCs w:val="24"/>
        </w:rPr>
        <w:t xml:space="preserve">AAA “Augšdaugava” konstatētās </w:t>
      </w:r>
      <w:r w:rsidR="00583F84" w:rsidRPr="00A07F29">
        <w:rPr>
          <w:rFonts w:ascii="Times New Roman" w:eastAsia="Calibri" w:hAnsi="Times New Roman" w:cs="Times New Roman"/>
          <w:sz w:val="24"/>
          <w:szCs w:val="24"/>
        </w:rPr>
        <w:t xml:space="preserve">retās un </w:t>
      </w:r>
      <w:r w:rsidRPr="00A07F29">
        <w:rPr>
          <w:rFonts w:ascii="Times New Roman" w:eastAsia="Calibri" w:hAnsi="Times New Roman" w:cs="Times New Roman"/>
          <w:sz w:val="24"/>
          <w:szCs w:val="24"/>
        </w:rPr>
        <w:t xml:space="preserve">aizsargājamās </w:t>
      </w:r>
      <w:proofErr w:type="spellStart"/>
      <w:r w:rsidR="00D846AD" w:rsidRPr="00A07F29">
        <w:rPr>
          <w:rFonts w:ascii="Times New Roman" w:eastAsia="Calibri" w:hAnsi="Times New Roman" w:cs="Times New Roman"/>
          <w:sz w:val="24"/>
          <w:szCs w:val="24"/>
        </w:rPr>
        <w:t>mieturaļģu</w:t>
      </w:r>
      <w:proofErr w:type="spellEnd"/>
      <w:r w:rsidR="00D846AD" w:rsidRPr="00A07F29">
        <w:rPr>
          <w:rFonts w:ascii="Times New Roman" w:eastAsia="Calibri" w:hAnsi="Times New Roman" w:cs="Times New Roman"/>
          <w:sz w:val="24"/>
          <w:szCs w:val="24"/>
        </w:rPr>
        <w:t xml:space="preserve"> un sūnu sugas</w:t>
      </w:r>
      <w:r w:rsidRPr="00A07F29">
        <w:rPr>
          <w:rFonts w:ascii="Times New Roman" w:eastAsia="Calibri" w:hAnsi="Times New Roman" w:cs="Times New Roman"/>
          <w:sz w:val="24"/>
          <w:szCs w:val="24"/>
        </w:rPr>
        <w:t xml:space="preserve"> un to aizsardzības statuss</w:t>
      </w:r>
    </w:p>
    <w:tbl>
      <w:tblPr>
        <w:tblW w:w="9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7"/>
        <w:gridCol w:w="2410"/>
        <w:gridCol w:w="2273"/>
        <w:gridCol w:w="1559"/>
        <w:gridCol w:w="709"/>
        <w:gridCol w:w="1134"/>
        <w:gridCol w:w="1258"/>
      </w:tblGrid>
      <w:tr w:rsidR="00244869" w:rsidRPr="00A07F29" w14:paraId="0F82DC52" w14:textId="1963FA72" w:rsidTr="00244869">
        <w:trPr>
          <w:jc w:val="center"/>
        </w:trPr>
        <w:tc>
          <w:tcPr>
            <w:tcW w:w="557" w:type="dxa"/>
            <w:vMerge w:val="restart"/>
            <w:shd w:val="clear" w:color="auto" w:fill="E2EFD9"/>
            <w:vAlign w:val="center"/>
          </w:tcPr>
          <w:p w14:paraId="6F1180A7" w14:textId="77777777" w:rsidR="00244869" w:rsidRPr="00A07F29" w:rsidRDefault="00244869" w:rsidP="00835D49">
            <w:pPr>
              <w:spacing w:after="120"/>
              <w:rPr>
                <w:rFonts w:ascii="Times New Roman" w:eastAsia="Calibri" w:hAnsi="Times New Roman" w:cs="Times New Roman"/>
                <w:sz w:val="20"/>
                <w:szCs w:val="20"/>
              </w:rPr>
            </w:pPr>
            <w:proofErr w:type="spellStart"/>
            <w:r w:rsidRPr="00A07F29">
              <w:rPr>
                <w:rFonts w:ascii="Times New Roman" w:eastAsia="Calibri" w:hAnsi="Times New Roman" w:cs="Times New Roman"/>
                <w:sz w:val="20"/>
                <w:szCs w:val="20"/>
              </w:rPr>
              <w:t>Nr.p.k</w:t>
            </w:r>
            <w:proofErr w:type="spellEnd"/>
            <w:r w:rsidRPr="00A07F29">
              <w:rPr>
                <w:rFonts w:ascii="Times New Roman" w:eastAsia="Calibri" w:hAnsi="Times New Roman" w:cs="Times New Roman"/>
                <w:sz w:val="20"/>
                <w:szCs w:val="20"/>
              </w:rPr>
              <w:t>.</w:t>
            </w:r>
          </w:p>
        </w:tc>
        <w:tc>
          <w:tcPr>
            <w:tcW w:w="2410" w:type="dxa"/>
            <w:vMerge w:val="restart"/>
            <w:shd w:val="clear" w:color="auto" w:fill="E2EFD9"/>
            <w:vAlign w:val="center"/>
          </w:tcPr>
          <w:p w14:paraId="0D816C0D" w14:textId="77777777" w:rsidR="00244869" w:rsidRPr="00A07F29" w:rsidRDefault="00244869" w:rsidP="00835D49">
            <w:pPr>
              <w:spacing w:after="120"/>
              <w:rPr>
                <w:rFonts w:ascii="Times New Roman" w:eastAsia="Calibri" w:hAnsi="Times New Roman" w:cs="Times New Roman"/>
                <w:sz w:val="20"/>
                <w:szCs w:val="20"/>
              </w:rPr>
            </w:pPr>
            <w:r w:rsidRPr="00A07F29">
              <w:rPr>
                <w:rFonts w:ascii="Times New Roman" w:eastAsia="Calibri" w:hAnsi="Times New Roman" w:cs="Times New Roman"/>
                <w:sz w:val="20"/>
                <w:szCs w:val="20"/>
              </w:rPr>
              <w:t>Sugas nosaukums latviski</w:t>
            </w:r>
          </w:p>
        </w:tc>
        <w:tc>
          <w:tcPr>
            <w:tcW w:w="2273" w:type="dxa"/>
            <w:vMerge w:val="restart"/>
            <w:shd w:val="clear" w:color="auto" w:fill="E2EFD9"/>
            <w:vAlign w:val="center"/>
          </w:tcPr>
          <w:p w14:paraId="391AD90F" w14:textId="77777777" w:rsidR="00244869" w:rsidRPr="00A07F29" w:rsidRDefault="00244869" w:rsidP="00835D49">
            <w:pPr>
              <w:spacing w:after="120"/>
              <w:rPr>
                <w:rFonts w:ascii="Times New Roman" w:eastAsia="Calibri" w:hAnsi="Times New Roman" w:cs="Times New Roman"/>
                <w:sz w:val="20"/>
                <w:szCs w:val="20"/>
              </w:rPr>
            </w:pPr>
            <w:r w:rsidRPr="00A07F29">
              <w:rPr>
                <w:rFonts w:ascii="Times New Roman" w:eastAsia="Calibri" w:hAnsi="Times New Roman" w:cs="Times New Roman"/>
                <w:sz w:val="20"/>
                <w:szCs w:val="20"/>
              </w:rPr>
              <w:t>Sugas nosaukums latīniski</w:t>
            </w:r>
          </w:p>
        </w:tc>
        <w:tc>
          <w:tcPr>
            <w:tcW w:w="2268" w:type="dxa"/>
            <w:gridSpan w:val="2"/>
            <w:shd w:val="clear" w:color="auto" w:fill="E2EFD9"/>
            <w:vAlign w:val="center"/>
          </w:tcPr>
          <w:p w14:paraId="5605DFFA" w14:textId="77777777" w:rsidR="00244869" w:rsidRPr="00A07F29" w:rsidRDefault="00244869" w:rsidP="00835D49">
            <w:pPr>
              <w:spacing w:after="12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Sugas aizsardzības statuss valstī</w:t>
            </w:r>
          </w:p>
        </w:tc>
        <w:tc>
          <w:tcPr>
            <w:tcW w:w="1134" w:type="dxa"/>
            <w:vMerge w:val="restart"/>
            <w:shd w:val="clear" w:color="auto" w:fill="E2EFD9"/>
            <w:textDirection w:val="btLr"/>
            <w:vAlign w:val="center"/>
          </w:tcPr>
          <w:p w14:paraId="3A6E5742" w14:textId="77777777" w:rsidR="00244869" w:rsidRPr="00A07F29" w:rsidRDefault="00244869" w:rsidP="00835D49">
            <w:pPr>
              <w:spacing w:after="120"/>
              <w:ind w:left="113" w:right="113"/>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Sugas labvēlīga aizsardzības stāvokļa novērtējums valstī kopumā (direktīvas pielikumos iekļautajām sugām informāciju norāda atbilstoši ETC datiem)</w:t>
            </w:r>
          </w:p>
        </w:tc>
        <w:tc>
          <w:tcPr>
            <w:tcW w:w="1258" w:type="dxa"/>
            <w:vMerge w:val="restart"/>
            <w:shd w:val="clear" w:color="auto" w:fill="E2EFD9"/>
            <w:textDirection w:val="btLr"/>
            <w:vAlign w:val="center"/>
          </w:tcPr>
          <w:p w14:paraId="361645DC" w14:textId="77777777" w:rsidR="00244869" w:rsidRPr="00A07F29" w:rsidRDefault="00244869" w:rsidP="00835D49">
            <w:pPr>
              <w:spacing w:after="120"/>
              <w:ind w:left="113" w:right="113"/>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Sugas labvēlīga aizsardzības stāvokļa novērtējums konkrētajā ĪADT (direktīvas pielikumos iekļautajām sugām informāciju norāda atbilstoši ETC kategorijām)</w:t>
            </w:r>
          </w:p>
        </w:tc>
      </w:tr>
      <w:tr w:rsidR="00244869" w:rsidRPr="00A07F29" w14:paraId="6245B672" w14:textId="27431D2C" w:rsidTr="00244869">
        <w:trPr>
          <w:cantSplit/>
          <w:trHeight w:val="3112"/>
          <w:jc w:val="center"/>
        </w:trPr>
        <w:tc>
          <w:tcPr>
            <w:tcW w:w="557" w:type="dxa"/>
            <w:vMerge/>
            <w:tcBorders>
              <w:bottom w:val="single" w:sz="4" w:space="0" w:color="auto"/>
            </w:tcBorders>
            <w:vAlign w:val="center"/>
          </w:tcPr>
          <w:p w14:paraId="2A4AEFA3" w14:textId="77777777" w:rsidR="00244869" w:rsidRPr="00A07F29" w:rsidRDefault="00244869" w:rsidP="00835D49">
            <w:pPr>
              <w:spacing w:after="120"/>
              <w:ind w:firstLine="851"/>
              <w:rPr>
                <w:rFonts w:ascii="Times New Roman" w:eastAsia="Calibri" w:hAnsi="Times New Roman" w:cs="Times New Roman"/>
                <w:sz w:val="20"/>
                <w:szCs w:val="20"/>
              </w:rPr>
            </w:pPr>
          </w:p>
        </w:tc>
        <w:tc>
          <w:tcPr>
            <w:tcW w:w="2410" w:type="dxa"/>
            <w:vMerge/>
            <w:tcBorders>
              <w:bottom w:val="single" w:sz="4" w:space="0" w:color="auto"/>
            </w:tcBorders>
            <w:vAlign w:val="center"/>
          </w:tcPr>
          <w:p w14:paraId="17D7FC63" w14:textId="77777777" w:rsidR="00244869" w:rsidRPr="00A07F29" w:rsidRDefault="00244869" w:rsidP="00835D49">
            <w:pPr>
              <w:spacing w:after="120"/>
              <w:ind w:firstLine="851"/>
              <w:rPr>
                <w:rFonts w:ascii="Times New Roman" w:eastAsia="Calibri" w:hAnsi="Times New Roman" w:cs="Times New Roman"/>
                <w:sz w:val="20"/>
                <w:szCs w:val="20"/>
              </w:rPr>
            </w:pPr>
          </w:p>
        </w:tc>
        <w:tc>
          <w:tcPr>
            <w:tcW w:w="2273" w:type="dxa"/>
            <w:vMerge/>
            <w:tcBorders>
              <w:bottom w:val="single" w:sz="4" w:space="0" w:color="auto"/>
            </w:tcBorders>
            <w:vAlign w:val="center"/>
          </w:tcPr>
          <w:p w14:paraId="53FA0FF8" w14:textId="77777777" w:rsidR="00244869" w:rsidRPr="00A07F29" w:rsidRDefault="00244869" w:rsidP="00835D49">
            <w:pPr>
              <w:spacing w:after="120"/>
              <w:ind w:firstLine="851"/>
              <w:rPr>
                <w:rFonts w:ascii="Times New Roman" w:eastAsia="Calibri" w:hAnsi="Times New Roman" w:cs="Times New Roman"/>
                <w:sz w:val="20"/>
                <w:szCs w:val="20"/>
              </w:rPr>
            </w:pPr>
          </w:p>
        </w:tc>
        <w:tc>
          <w:tcPr>
            <w:tcW w:w="1559" w:type="dxa"/>
            <w:tcBorders>
              <w:bottom w:val="single" w:sz="4" w:space="0" w:color="auto"/>
            </w:tcBorders>
            <w:shd w:val="clear" w:color="auto" w:fill="E2EFD9"/>
            <w:textDirection w:val="btLr"/>
            <w:vAlign w:val="center"/>
          </w:tcPr>
          <w:p w14:paraId="3B438B2A" w14:textId="433334E5" w:rsidR="00244869" w:rsidRPr="00A07F29" w:rsidRDefault="00244869" w:rsidP="00835D49">
            <w:pPr>
              <w:spacing w:after="120"/>
              <w:ind w:left="113" w:right="113"/>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 xml:space="preserve">Īpaši aizsargājama suga (ar </w:t>
            </w:r>
            <w:r w:rsidRPr="00A07F29">
              <w:rPr>
                <w:rFonts w:ascii="Times New Roman" w:eastAsia="Calibri" w:hAnsi="Times New Roman" w:cs="Times New Roman"/>
                <w:sz w:val="20"/>
                <w:szCs w:val="20"/>
                <w:vertAlign w:val="superscript"/>
              </w:rPr>
              <w:t>1</w:t>
            </w:r>
            <w:r w:rsidRPr="00A07F29">
              <w:rPr>
                <w:rFonts w:ascii="Times New Roman" w:eastAsia="Calibri" w:hAnsi="Times New Roman" w:cs="Times New Roman"/>
                <w:sz w:val="20"/>
                <w:szCs w:val="20"/>
              </w:rPr>
              <w:t xml:space="preserve"> atzīmētas</w:t>
            </w:r>
            <w:r w:rsidR="00D65BBA" w:rsidRPr="00A07F29">
              <w:rPr>
                <w:rFonts w:ascii="Times New Roman" w:eastAsia="Calibri" w:hAnsi="Times New Roman" w:cs="Times New Roman"/>
                <w:sz w:val="20"/>
                <w:szCs w:val="20"/>
              </w:rPr>
              <w:t xml:space="preserve"> </w:t>
            </w:r>
            <w:r w:rsidRPr="00A07F29">
              <w:rPr>
                <w:rFonts w:ascii="Times New Roman" w:eastAsia="Calibri" w:hAnsi="Times New Roman" w:cs="Times New Roman"/>
                <w:sz w:val="20"/>
                <w:szCs w:val="20"/>
              </w:rPr>
              <w:t xml:space="preserve"> mikroliegumu sugas</w:t>
            </w:r>
            <w:r w:rsidR="0019454D">
              <w:rPr>
                <w:rFonts w:ascii="Times New Roman" w:eastAsia="Calibri" w:hAnsi="Times New Roman" w:cs="Times New Roman"/>
                <w:sz w:val="20"/>
                <w:szCs w:val="20"/>
              </w:rPr>
              <w:t>)</w:t>
            </w:r>
            <w:r w:rsidRPr="00A07F29">
              <w:rPr>
                <w:rFonts w:ascii="Times New Roman" w:eastAsia="Calibri" w:hAnsi="Times New Roman" w:cs="Times New Roman"/>
                <w:sz w:val="20"/>
                <w:szCs w:val="20"/>
              </w:rPr>
              <w:t xml:space="preserve"> </w:t>
            </w:r>
          </w:p>
        </w:tc>
        <w:tc>
          <w:tcPr>
            <w:tcW w:w="709" w:type="dxa"/>
            <w:tcBorders>
              <w:bottom w:val="single" w:sz="4" w:space="0" w:color="auto"/>
            </w:tcBorders>
            <w:shd w:val="clear" w:color="auto" w:fill="E2EFD9"/>
            <w:textDirection w:val="btLr"/>
            <w:vAlign w:val="center"/>
          </w:tcPr>
          <w:p w14:paraId="293E9D94" w14:textId="77777777" w:rsidR="00244869" w:rsidRPr="00A07F29" w:rsidRDefault="00244869" w:rsidP="00835D49">
            <w:pPr>
              <w:spacing w:after="120"/>
              <w:ind w:left="113" w:right="113"/>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Biotopu direktīvas pielikumos iekļauta suga</w:t>
            </w:r>
          </w:p>
        </w:tc>
        <w:tc>
          <w:tcPr>
            <w:tcW w:w="1134" w:type="dxa"/>
            <w:vMerge/>
            <w:tcBorders>
              <w:bottom w:val="single" w:sz="4" w:space="0" w:color="auto"/>
            </w:tcBorders>
            <w:vAlign w:val="center"/>
          </w:tcPr>
          <w:p w14:paraId="62301001" w14:textId="77777777" w:rsidR="00244869" w:rsidRPr="00A07F29" w:rsidRDefault="00244869" w:rsidP="00835D49">
            <w:pPr>
              <w:spacing w:after="120"/>
              <w:ind w:firstLine="851"/>
              <w:jc w:val="center"/>
              <w:rPr>
                <w:rFonts w:ascii="Times New Roman" w:eastAsia="Calibri" w:hAnsi="Times New Roman" w:cs="Times New Roman"/>
                <w:sz w:val="20"/>
                <w:szCs w:val="20"/>
              </w:rPr>
            </w:pPr>
          </w:p>
        </w:tc>
        <w:tc>
          <w:tcPr>
            <w:tcW w:w="1258" w:type="dxa"/>
            <w:vMerge/>
            <w:tcBorders>
              <w:bottom w:val="single" w:sz="4" w:space="0" w:color="auto"/>
            </w:tcBorders>
          </w:tcPr>
          <w:p w14:paraId="68E2DD03" w14:textId="77777777" w:rsidR="00244869" w:rsidRPr="00A07F29" w:rsidRDefault="00244869" w:rsidP="00835D49">
            <w:pPr>
              <w:spacing w:after="120"/>
              <w:ind w:firstLine="851"/>
              <w:jc w:val="center"/>
              <w:rPr>
                <w:rFonts w:ascii="Times New Roman" w:eastAsia="Calibri" w:hAnsi="Times New Roman" w:cs="Times New Roman"/>
                <w:sz w:val="20"/>
                <w:szCs w:val="20"/>
              </w:rPr>
            </w:pPr>
          </w:p>
        </w:tc>
      </w:tr>
      <w:tr w:rsidR="00244869" w:rsidRPr="00A07F29" w14:paraId="090345B7" w14:textId="54C75D39" w:rsidTr="00244869">
        <w:trPr>
          <w:jc w:val="center"/>
        </w:trPr>
        <w:tc>
          <w:tcPr>
            <w:tcW w:w="9900" w:type="dxa"/>
            <w:gridSpan w:val="7"/>
          </w:tcPr>
          <w:p w14:paraId="4BFECCCA" w14:textId="698A66CE" w:rsidR="00244869" w:rsidRPr="00A07F29" w:rsidRDefault="00244869" w:rsidP="00835D49">
            <w:pPr>
              <w:spacing w:after="0"/>
              <w:jc w:val="center"/>
              <w:rPr>
                <w:rFonts w:ascii="Times New Roman" w:eastAsia="Calibri" w:hAnsi="Times New Roman" w:cs="Times New Roman"/>
                <w:b/>
                <w:sz w:val="20"/>
                <w:szCs w:val="20"/>
              </w:rPr>
            </w:pPr>
            <w:proofErr w:type="spellStart"/>
            <w:r w:rsidRPr="00A07F29">
              <w:rPr>
                <w:rFonts w:ascii="Times New Roman" w:eastAsia="Times New Roman" w:hAnsi="Times New Roman" w:cs="Times New Roman"/>
                <w:b/>
                <w:sz w:val="20"/>
                <w:szCs w:val="20"/>
              </w:rPr>
              <w:t>Mieturaļģes</w:t>
            </w:r>
            <w:proofErr w:type="spellEnd"/>
          </w:p>
        </w:tc>
      </w:tr>
      <w:tr w:rsidR="00244869" w:rsidRPr="00A07F29" w14:paraId="34D6C391" w14:textId="43D8CF8C" w:rsidTr="00244869">
        <w:trPr>
          <w:jc w:val="center"/>
        </w:trPr>
        <w:tc>
          <w:tcPr>
            <w:tcW w:w="557" w:type="dxa"/>
            <w:tcBorders>
              <w:top w:val="single" w:sz="4" w:space="0" w:color="auto"/>
              <w:bottom w:val="single" w:sz="4" w:space="0" w:color="auto"/>
              <w:right w:val="single" w:sz="4" w:space="0" w:color="auto"/>
            </w:tcBorders>
          </w:tcPr>
          <w:p w14:paraId="27752502" w14:textId="77777777" w:rsidR="00244869" w:rsidRPr="00A07F29" w:rsidRDefault="00244869" w:rsidP="00DD437F">
            <w:pPr>
              <w:spacing w:after="0"/>
              <w:contextualSpacing/>
              <w:rPr>
                <w:rFonts w:ascii="Times New Roman" w:eastAsia="Calibri" w:hAnsi="Times New Roman" w:cs="Times New Roman"/>
                <w:sz w:val="20"/>
                <w:szCs w:val="20"/>
              </w:rPr>
            </w:pPr>
            <w:r w:rsidRPr="00A07F29">
              <w:rPr>
                <w:rFonts w:ascii="Times New Roman" w:eastAsia="Calibri" w:hAnsi="Times New Roman" w:cs="Times New Roman"/>
                <w:sz w:val="20"/>
                <w:szCs w:val="20"/>
              </w:rPr>
              <w:t>1.</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197F4A" w14:textId="4DF4A932" w:rsidR="00244869" w:rsidRPr="00A07F29" w:rsidRDefault="00244869" w:rsidP="00DD437F">
            <w:pPr>
              <w:spacing w:after="0"/>
              <w:rPr>
                <w:rFonts w:ascii="Times New Roman" w:eastAsia="Calibri" w:hAnsi="Times New Roman" w:cs="Times New Roman"/>
                <w:sz w:val="20"/>
                <w:szCs w:val="20"/>
              </w:rPr>
            </w:pPr>
            <w:r w:rsidRPr="00A07F29">
              <w:rPr>
                <w:rFonts w:ascii="Times New Roman" w:eastAsia="Times New Roman" w:hAnsi="Times New Roman" w:cs="Times New Roman"/>
                <w:sz w:val="20"/>
                <w:szCs w:val="20"/>
              </w:rPr>
              <w:t xml:space="preserve">Pavedienu </w:t>
            </w:r>
            <w:proofErr w:type="spellStart"/>
            <w:r w:rsidRPr="00A07F29">
              <w:rPr>
                <w:rFonts w:ascii="Times New Roman" w:eastAsia="Times New Roman" w:hAnsi="Times New Roman" w:cs="Times New Roman"/>
                <w:sz w:val="20"/>
                <w:szCs w:val="20"/>
              </w:rPr>
              <w:t>mieturīte</w:t>
            </w:r>
            <w:proofErr w:type="spellEnd"/>
          </w:p>
        </w:tc>
        <w:tc>
          <w:tcPr>
            <w:tcW w:w="22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35113F" w14:textId="173CA5B2" w:rsidR="00244869" w:rsidRPr="00A07F29" w:rsidRDefault="00244869" w:rsidP="00DD437F">
            <w:pPr>
              <w:spacing w:after="0"/>
              <w:rPr>
                <w:rFonts w:ascii="Times New Roman" w:eastAsia="Calibri" w:hAnsi="Times New Roman" w:cs="Times New Roman"/>
                <w:i/>
                <w:sz w:val="20"/>
                <w:szCs w:val="20"/>
              </w:rPr>
            </w:pPr>
            <w:proofErr w:type="spellStart"/>
            <w:r w:rsidRPr="00A07F29">
              <w:rPr>
                <w:rFonts w:ascii="Times New Roman" w:eastAsia="Times New Roman" w:hAnsi="Times New Roman" w:cs="Times New Roman"/>
                <w:i/>
                <w:sz w:val="20"/>
                <w:szCs w:val="20"/>
              </w:rPr>
              <w:t>Chara</w:t>
            </w:r>
            <w:proofErr w:type="spellEnd"/>
            <w:r w:rsidRPr="00A07F29">
              <w:rPr>
                <w:rFonts w:ascii="Times New Roman" w:eastAsia="Times New Roman" w:hAnsi="Times New Roman" w:cs="Times New Roman"/>
                <w:i/>
                <w:sz w:val="20"/>
                <w:szCs w:val="20"/>
              </w:rPr>
              <w:t xml:space="preserve"> </w:t>
            </w:r>
            <w:proofErr w:type="spellStart"/>
            <w:r w:rsidRPr="00A07F29">
              <w:rPr>
                <w:rFonts w:ascii="Times New Roman" w:eastAsia="Times New Roman" w:hAnsi="Times New Roman" w:cs="Times New Roman"/>
                <w:i/>
                <w:sz w:val="20"/>
                <w:szCs w:val="20"/>
              </w:rPr>
              <w:t>filiformis</w:t>
            </w:r>
            <w:proofErr w:type="spellEnd"/>
          </w:p>
        </w:tc>
        <w:tc>
          <w:tcPr>
            <w:tcW w:w="1559" w:type="dxa"/>
            <w:tcBorders>
              <w:top w:val="single" w:sz="4" w:space="0" w:color="auto"/>
              <w:left w:val="single" w:sz="4" w:space="0" w:color="auto"/>
              <w:bottom w:val="single" w:sz="4" w:space="0" w:color="auto"/>
              <w:right w:val="single" w:sz="4" w:space="0" w:color="auto"/>
            </w:tcBorders>
          </w:tcPr>
          <w:p w14:paraId="1BE39626" w14:textId="3E0BB177" w:rsidR="00244869" w:rsidRPr="00A07F29" w:rsidRDefault="00244869" w:rsidP="0078068F">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ĪAS</w:t>
            </w:r>
          </w:p>
        </w:tc>
        <w:tc>
          <w:tcPr>
            <w:tcW w:w="709" w:type="dxa"/>
            <w:tcBorders>
              <w:top w:val="single" w:sz="4" w:space="0" w:color="auto"/>
              <w:left w:val="single" w:sz="4" w:space="0" w:color="auto"/>
              <w:bottom w:val="single" w:sz="4" w:space="0" w:color="auto"/>
              <w:right w:val="single" w:sz="4" w:space="0" w:color="auto"/>
            </w:tcBorders>
            <w:vAlign w:val="center"/>
          </w:tcPr>
          <w:p w14:paraId="0503F7D1" w14:textId="77777777" w:rsidR="00244869" w:rsidRPr="00A07F29" w:rsidRDefault="00244869" w:rsidP="00DD437F">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446AF66" w14:textId="77777777" w:rsidR="00244869" w:rsidRPr="00A07F29" w:rsidRDefault="00244869" w:rsidP="00DD437F">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c>
          <w:tcPr>
            <w:tcW w:w="1258" w:type="dxa"/>
            <w:tcBorders>
              <w:top w:val="single" w:sz="4" w:space="0" w:color="auto"/>
              <w:left w:val="single" w:sz="4" w:space="0" w:color="auto"/>
              <w:bottom w:val="single" w:sz="4" w:space="0" w:color="auto"/>
            </w:tcBorders>
            <w:shd w:val="clear" w:color="auto" w:fill="auto"/>
            <w:vAlign w:val="center"/>
          </w:tcPr>
          <w:p w14:paraId="26C37E73" w14:textId="77777777" w:rsidR="00244869" w:rsidRPr="00A07F29" w:rsidRDefault="00244869" w:rsidP="00DD437F">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r>
      <w:tr w:rsidR="00244869" w:rsidRPr="00A07F29" w14:paraId="205B0A20" w14:textId="4164C1CE" w:rsidTr="00244869">
        <w:trPr>
          <w:jc w:val="center"/>
        </w:trPr>
        <w:tc>
          <w:tcPr>
            <w:tcW w:w="557" w:type="dxa"/>
            <w:tcBorders>
              <w:top w:val="single" w:sz="4" w:space="0" w:color="auto"/>
              <w:bottom w:val="single" w:sz="4" w:space="0" w:color="auto"/>
              <w:right w:val="single" w:sz="4" w:space="0" w:color="auto"/>
            </w:tcBorders>
          </w:tcPr>
          <w:p w14:paraId="2E195796" w14:textId="77777777" w:rsidR="00244869" w:rsidRPr="00A07F29" w:rsidRDefault="00244869" w:rsidP="00DD437F">
            <w:pPr>
              <w:spacing w:after="0"/>
              <w:contextualSpacing/>
              <w:rPr>
                <w:rFonts w:ascii="Times New Roman" w:eastAsia="Calibri" w:hAnsi="Times New Roman" w:cs="Times New Roman"/>
                <w:sz w:val="20"/>
                <w:szCs w:val="20"/>
              </w:rPr>
            </w:pPr>
            <w:r w:rsidRPr="00A07F29">
              <w:rPr>
                <w:rFonts w:ascii="Times New Roman" w:eastAsia="Calibri" w:hAnsi="Times New Roman" w:cs="Times New Roman"/>
                <w:sz w:val="20"/>
                <w:szCs w:val="20"/>
              </w:rPr>
              <w:t>2.</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41DB07" w14:textId="433DBF8C" w:rsidR="00244869" w:rsidRPr="00A07F29" w:rsidRDefault="00244869" w:rsidP="00DD437F">
            <w:pPr>
              <w:spacing w:after="0"/>
              <w:rPr>
                <w:rFonts w:ascii="Times New Roman" w:eastAsia="Calibri" w:hAnsi="Times New Roman" w:cs="Times New Roman"/>
                <w:sz w:val="20"/>
                <w:szCs w:val="20"/>
                <w:vertAlign w:val="superscript"/>
              </w:rPr>
            </w:pPr>
            <w:r w:rsidRPr="00A07F29">
              <w:rPr>
                <w:rFonts w:ascii="Times New Roman" w:eastAsia="Times New Roman" w:hAnsi="Times New Roman" w:cs="Times New Roman"/>
                <w:sz w:val="20"/>
                <w:szCs w:val="20"/>
              </w:rPr>
              <w:t xml:space="preserve">Asā </w:t>
            </w:r>
            <w:proofErr w:type="spellStart"/>
            <w:r w:rsidRPr="00A07F29">
              <w:rPr>
                <w:rFonts w:ascii="Times New Roman" w:eastAsia="Times New Roman" w:hAnsi="Times New Roman" w:cs="Times New Roman"/>
                <w:sz w:val="20"/>
                <w:szCs w:val="20"/>
              </w:rPr>
              <w:t>mieturīte</w:t>
            </w:r>
            <w:proofErr w:type="spellEnd"/>
          </w:p>
        </w:tc>
        <w:tc>
          <w:tcPr>
            <w:tcW w:w="22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7C649A" w14:textId="32EA488F" w:rsidR="00244869" w:rsidRPr="00A07F29" w:rsidRDefault="00244869" w:rsidP="00DD437F">
            <w:pPr>
              <w:spacing w:after="0"/>
              <w:rPr>
                <w:rFonts w:ascii="Times New Roman" w:eastAsia="Calibri" w:hAnsi="Times New Roman" w:cs="Times New Roman"/>
                <w:i/>
                <w:sz w:val="20"/>
                <w:szCs w:val="20"/>
              </w:rPr>
            </w:pPr>
            <w:proofErr w:type="spellStart"/>
            <w:r w:rsidRPr="00A07F29">
              <w:rPr>
                <w:rFonts w:ascii="Times New Roman" w:eastAsia="Times New Roman" w:hAnsi="Times New Roman" w:cs="Times New Roman"/>
                <w:i/>
                <w:sz w:val="20"/>
                <w:szCs w:val="20"/>
              </w:rPr>
              <w:t>Chara</w:t>
            </w:r>
            <w:proofErr w:type="spellEnd"/>
            <w:r w:rsidRPr="00A07F29">
              <w:rPr>
                <w:rFonts w:ascii="Times New Roman" w:eastAsia="Times New Roman" w:hAnsi="Times New Roman" w:cs="Times New Roman"/>
                <w:i/>
                <w:sz w:val="20"/>
                <w:szCs w:val="20"/>
              </w:rPr>
              <w:t xml:space="preserve"> </w:t>
            </w:r>
            <w:proofErr w:type="spellStart"/>
            <w:r w:rsidRPr="00A07F29">
              <w:rPr>
                <w:rFonts w:ascii="Times New Roman" w:eastAsia="Times New Roman" w:hAnsi="Times New Roman" w:cs="Times New Roman"/>
                <w:i/>
                <w:sz w:val="20"/>
                <w:szCs w:val="20"/>
              </w:rPr>
              <w:t>strigosa</w:t>
            </w:r>
            <w:proofErr w:type="spellEnd"/>
          </w:p>
        </w:tc>
        <w:tc>
          <w:tcPr>
            <w:tcW w:w="1559" w:type="dxa"/>
            <w:tcBorders>
              <w:top w:val="single" w:sz="4" w:space="0" w:color="auto"/>
              <w:left w:val="single" w:sz="4" w:space="0" w:color="auto"/>
              <w:bottom w:val="single" w:sz="4" w:space="0" w:color="auto"/>
              <w:right w:val="single" w:sz="4" w:space="0" w:color="auto"/>
            </w:tcBorders>
          </w:tcPr>
          <w:p w14:paraId="792C1F3D" w14:textId="77777777" w:rsidR="00244869" w:rsidRPr="00A07F29" w:rsidRDefault="00244869" w:rsidP="00DD437F">
            <w:pPr>
              <w:spacing w:after="0"/>
              <w:jc w:val="center"/>
              <w:rPr>
                <w:rFonts w:ascii="Times New Roman" w:eastAsia="Calibri" w:hAnsi="Times New Roman" w:cs="Times New Roman"/>
                <w:sz w:val="20"/>
                <w:szCs w:val="20"/>
                <w:vertAlign w:val="superscript"/>
              </w:rPr>
            </w:pPr>
            <w:r w:rsidRPr="00A07F29">
              <w:rPr>
                <w:rFonts w:ascii="Times New Roman" w:eastAsia="Calibri" w:hAnsi="Times New Roman" w:cs="Times New Roman"/>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14:paraId="2CB76950" w14:textId="6586AA00" w:rsidR="00244869" w:rsidRPr="00A07F29" w:rsidRDefault="00244869" w:rsidP="0078068F">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1350001A" w14:textId="1A79E089" w:rsidR="00244869" w:rsidRPr="00A07F29" w:rsidRDefault="00244869" w:rsidP="00DD437F">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c>
          <w:tcPr>
            <w:tcW w:w="1258" w:type="dxa"/>
            <w:tcBorders>
              <w:top w:val="single" w:sz="4" w:space="0" w:color="auto"/>
              <w:left w:val="single" w:sz="4" w:space="0" w:color="auto"/>
              <w:bottom w:val="single" w:sz="4" w:space="0" w:color="auto"/>
            </w:tcBorders>
            <w:shd w:val="clear" w:color="auto" w:fill="FFFFFF" w:themeFill="background1"/>
          </w:tcPr>
          <w:p w14:paraId="7F209758" w14:textId="7FABFAD0" w:rsidR="00244869" w:rsidRPr="00A07F29" w:rsidRDefault="00244869" w:rsidP="00DD437F">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r>
      <w:tr w:rsidR="00244869" w:rsidRPr="00A07F29" w14:paraId="334787BF" w14:textId="311F1D74" w:rsidTr="00244869">
        <w:trPr>
          <w:jc w:val="center"/>
        </w:trPr>
        <w:tc>
          <w:tcPr>
            <w:tcW w:w="557" w:type="dxa"/>
            <w:tcBorders>
              <w:top w:val="single" w:sz="4" w:space="0" w:color="auto"/>
              <w:bottom w:val="single" w:sz="4" w:space="0" w:color="auto"/>
              <w:right w:val="single" w:sz="4" w:space="0" w:color="auto"/>
            </w:tcBorders>
          </w:tcPr>
          <w:p w14:paraId="5FA02A8A" w14:textId="77777777" w:rsidR="00244869" w:rsidRPr="00A07F29" w:rsidRDefault="00244869" w:rsidP="00DD437F">
            <w:pPr>
              <w:tabs>
                <w:tab w:val="left" w:pos="339"/>
              </w:tabs>
              <w:spacing w:after="0"/>
              <w:contextualSpacing/>
              <w:rPr>
                <w:rFonts w:ascii="Times New Roman" w:eastAsia="Calibri" w:hAnsi="Times New Roman" w:cs="Times New Roman"/>
                <w:sz w:val="20"/>
                <w:szCs w:val="20"/>
              </w:rPr>
            </w:pPr>
            <w:r w:rsidRPr="00A07F29">
              <w:rPr>
                <w:rFonts w:ascii="Times New Roman" w:eastAsia="Calibri" w:hAnsi="Times New Roman" w:cs="Times New Roman"/>
                <w:sz w:val="20"/>
                <w:szCs w:val="20"/>
              </w:rPr>
              <w:t>3.</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8CE3D3" w14:textId="332FE27C" w:rsidR="00244869" w:rsidRPr="00A07F29" w:rsidRDefault="00244869" w:rsidP="00DD437F">
            <w:pPr>
              <w:spacing w:after="0"/>
              <w:rPr>
                <w:rFonts w:ascii="Times New Roman" w:eastAsia="Calibri" w:hAnsi="Times New Roman" w:cs="Times New Roman"/>
                <w:sz w:val="20"/>
                <w:szCs w:val="20"/>
              </w:rPr>
            </w:pPr>
            <w:r w:rsidRPr="00A07F29">
              <w:rPr>
                <w:rFonts w:ascii="Times New Roman" w:eastAsia="Times New Roman" w:hAnsi="Times New Roman" w:cs="Times New Roman"/>
                <w:sz w:val="20"/>
                <w:szCs w:val="20"/>
              </w:rPr>
              <w:t xml:space="preserve">Lokanā </w:t>
            </w:r>
            <w:proofErr w:type="spellStart"/>
            <w:r w:rsidRPr="00A07F29">
              <w:rPr>
                <w:rFonts w:ascii="Times New Roman" w:eastAsia="Times New Roman" w:hAnsi="Times New Roman" w:cs="Times New Roman"/>
                <w:sz w:val="20"/>
                <w:szCs w:val="20"/>
              </w:rPr>
              <w:t>nitella</w:t>
            </w:r>
            <w:proofErr w:type="spellEnd"/>
          </w:p>
        </w:tc>
        <w:tc>
          <w:tcPr>
            <w:tcW w:w="22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0CDA84" w14:textId="4F107029" w:rsidR="00244869" w:rsidRPr="00A07F29" w:rsidRDefault="00244869" w:rsidP="00DD437F">
            <w:pPr>
              <w:spacing w:after="0"/>
              <w:rPr>
                <w:rFonts w:ascii="Times New Roman" w:eastAsia="Calibri" w:hAnsi="Times New Roman" w:cs="Times New Roman"/>
                <w:i/>
                <w:sz w:val="20"/>
                <w:szCs w:val="20"/>
              </w:rPr>
            </w:pPr>
            <w:proofErr w:type="spellStart"/>
            <w:r w:rsidRPr="00A07F29">
              <w:rPr>
                <w:rFonts w:ascii="Times New Roman" w:eastAsia="Times New Roman" w:hAnsi="Times New Roman" w:cs="Times New Roman"/>
                <w:i/>
                <w:sz w:val="20"/>
                <w:szCs w:val="20"/>
              </w:rPr>
              <w:t>Nitella</w:t>
            </w:r>
            <w:proofErr w:type="spellEnd"/>
            <w:r w:rsidRPr="00A07F29">
              <w:rPr>
                <w:rFonts w:ascii="Times New Roman" w:eastAsia="Times New Roman" w:hAnsi="Times New Roman" w:cs="Times New Roman"/>
                <w:i/>
                <w:sz w:val="20"/>
                <w:szCs w:val="20"/>
              </w:rPr>
              <w:t xml:space="preserve"> </w:t>
            </w:r>
            <w:proofErr w:type="spellStart"/>
            <w:r w:rsidRPr="00A07F29">
              <w:rPr>
                <w:rFonts w:ascii="Times New Roman" w:eastAsia="Times New Roman" w:hAnsi="Times New Roman" w:cs="Times New Roman"/>
                <w:i/>
                <w:sz w:val="20"/>
                <w:szCs w:val="20"/>
              </w:rPr>
              <w:t>flexilis</w:t>
            </w:r>
            <w:proofErr w:type="spellEnd"/>
          </w:p>
        </w:tc>
        <w:tc>
          <w:tcPr>
            <w:tcW w:w="1559" w:type="dxa"/>
            <w:tcBorders>
              <w:top w:val="single" w:sz="4" w:space="0" w:color="auto"/>
              <w:left w:val="single" w:sz="4" w:space="0" w:color="auto"/>
              <w:bottom w:val="single" w:sz="4" w:space="0" w:color="auto"/>
              <w:right w:val="single" w:sz="4" w:space="0" w:color="auto"/>
            </w:tcBorders>
          </w:tcPr>
          <w:p w14:paraId="6E27AAA7" w14:textId="61A3F4F3" w:rsidR="00244869" w:rsidRPr="00A07F29" w:rsidRDefault="00244869" w:rsidP="0078068F">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ĪAS</w:t>
            </w:r>
          </w:p>
        </w:tc>
        <w:tc>
          <w:tcPr>
            <w:tcW w:w="709" w:type="dxa"/>
            <w:tcBorders>
              <w:top w:val="single" w:sz="4" w:space="0" w:color="auto"/>
              <w:left w:val="single" w:sz="4" w:space="0" w:color="auto"/>
              <w:bottom w:val="single" w:sz="4" w:space="0" w:color="auto"/>
              <w:right w:val="single" w:sz="4" w:space="0" w:color="auto"/>
            </w:tcBorders>
            <w:vAlign w:val="center"/>
          </w:tcPr>
          <w:p w14:paraId="02CACB6C" w14:textId="77777777" w:rsidR="00244869" w:rsidRPr="00A07F29" w:rsidRDefault="00244869" w:rsidP="00DD437F">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38EAA05D" w14:textId="77777777" w:rsidR="00244869" w:rsidRPr="00A07F29" w:rsidRDefault="00244869" w:rsidP="00DD437F">
            <w:pPr>
              <w:spacing w:after="0"/>
              <w:jc w:val="center"/>
              <w:rPr>
                <w:rFonts w:ascii="Times New Roman" w:eastAsia="Calibri" w:hAnsi="Times New Roman" w:cs="Times New Roman"/>
                <w:color w:val="000000"/>
                <w:sz w:val="20"/>
                <w:szCs w:val="20"/>
              </w:rPr>
            </w:pPr>
            <w:r w:rsidRPr="00A07F29">
              <w:rPr>
                <w:rFonts w:ascii="Times New Roman" w:eastAsia="Calibri" w:hAnsi="Times New Roman" w:cs="Times New Roman"/>
                <w:color w:val="000000"/>
                <w:sz w:val="20"/>
                <w:szCs w:val="20"/>
              </w:rPr>
              <w:t>-</w:t>
            </w:r>
          </w:p>
        </w:tc>
        <w:tc>
          <w:tcPr>
            <w:tcW w:w="1258" w:type="dxa"/>
            <w:tcBorders>
              <w:top w:val="single" w:sz="4" w:space="0" w:color="auto"/>
              <w:left w:val="single" w:sz="4" w:space="0" w:color="auto"/>
              <w:bottom w:val="single" w:sz="4" w:space="0" w:color="auto"/>
            </w:tcBorders>
          </w:tcPr>
          <w:p w14:paraId="1C16D71F" w14:textId="77777777" w:rsidR="00244869" w:rsidRPr="00A07F29" w:rsidRDefault="00244869" w:rsidP="00DD437F">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r>
      <w:tr w:rsidR="00244869" w:rsidRPr="00A07F29" w14:paraId="003AB250" w14:textId="1A93933A" w:rsidTr="00244869">
        <w:trPr>
          <w:jc w:val="center"/>
        </w:trPr>
        <w:tc>
          <w:tcPr>
            <w:tcW w:w="9900" w:type="dxa"/>
            <w:gridSpan w:val="7"/>
          </w:tcPr>
          <w:p w14:paraId="085D5962" w14:textId="0810D28B" w:rsidR="00244869" w:rsidRPr="00A07F29" w:rsidRDefault="00244869" w:rsidP="00DD437F">
            <w:pPr>
              <w:spacing w:after="0"/>
              <w:jc w:val="center"/>
              <w:rPr>
                <w:rFonts w:ascii="Times New Roman" w:eastAsia="Times New Roman" w:hAnsi="Times New Roman" w:cs="Times New Roman"/>
                <w:b/>
                <w:sz w:val="20"/>
                <w:szCs w:val="20"/>
              </w:rPr>
            </w:pPr>
            <w:r w:rsidRPr="00A07F29">
              <w:rPr>
                <w:rFonts w:ascii="Times New Roman" w:eastAsia="Times New Roman" w:hAnsi="Times New Roman" w:cs="Times New Roman"/>
                <w:b/>
                <w:sz w:val="20"/>
                <w:szCs w:val="20"/>
              </w:rPr>
              <w:t>Sūnas</w:t>
            </w:r>
          </w:p>
        </w:tc>
      </w:tr>
      <w:tr w:rsidR="00244869" w:rsidRPr="00A07F29" w14:paraId="089F4FFB" w14:textId="1E1600AC" w:rsidTr="00244869">
        <w:trPr>
          <w:jc w:val="center"/>
        </w:trPr>
        <w:tc>
          <w:tcPr>
            <w:tcW w:w="557" w:type="dxa"/>
            <w:tcBorders>
              <w:top w:val="single" w:sz="4" w:space="0" w:color="auto"/>
              <w:bottom w:val="single" w:sz="4" w:space="0" w:color="auto"/>
              <w:right w:val="single" w:sz="4" w:space="0" w:color="auto"/>
            </w:tcBorders>
            <w:vAlign w:val="center"/>
          </w:tcPr>
          <w:p w14:paraId="66D752E5" w14:textId="69F8FC7F" w:rsidR="00244869" w:rsidRPr="00A07F29" w:rsidRDefault="00244869" w:rsidP="00D6061D">
            <w:pPr>
              <w:spacing w:after="0"/>
              <w:contextualSpacing/>
              <w:rPr>
                <w:rFonts w:ascii="Times New Roman" w:eastAsia="Calibri" w:hAnsi="Times New Roman" w:cs="Times New Roman"/>
                <w:sz w:val="20"/>
                <w:szCs w:val="20"/>
              </w:rPr>
            </w:pPr>
            <w:r w:rsidRPr="00A07F29">
              <w:rPr>
                <w:rFonts w:ascii="Times New Roman" w:eastAsia="Calibri" w:hAnsi="Times New Roman" w:cs="Times New Roman"/>
                <w:sz w:val="20"/>
                <w:szCs w:val="20"/>
              </w:rPr>
              <w:t>4.</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93FEFF" w14:textId="44ABA8D0" w:rsidR="00244869" w:rsidRPr="00A07F29" w:rsidRDefault="00244869" w:rsidP="00D6061D">
            <w:pPr>
              <w:spacing w:after="0"/>
              <w:rPr>
                <w:rFonts w:ascii="Times New Roman" w:eastAsia="Calibri" w:hAnsi="Times New Roman" w:cs="Times New Roman"/>
                <w:sz w:val="20"/>
                <w:szCs w:val="20"/>
              </w:rPr>
            </w:pPr>
            <w:r w:rsidRPr="00A07F29">
              <w:rPr>
                <w:rFonts w:ascii="Times New Roman" w:eastAsia="Times New Roman" w:hAnsi="Times New Roman" w:cs="Times New Roman"/>
                <w:sz w:val="20"/>
                <w:szCs w:val="20"/>
              </w:rPr>
              <w:t xml:space="preserve">Lapzemes </w:t>
            </w:r>
            <w:proofErr w:type="spellStart"/>
            <w:r w:rsidRPr="00A07F29">
              <w:rPr>
                <w:rFonts w:ascii="Times New Roman" w:eastAsia="Times New Roman" w:hAnsi="Times New Roman" w:cs="Times New Roman"/>
                <w:sz w:val="20"/>
                <w:szCs w:val="20"/>
              </w:rPr>
              <w:t>āķīte</w:t>
            </w:r>
            <w:proofErr w:type="spellEnd"/>
          </w:p>
        </w:tc>
        <w:tc>
          <w:tcPr>
            <w:tcW w:w="22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AA62C3" w14:textId="08781E30" w:rsidR="00244869" w:rsidRPr="00A07F29" w:rsidRDefault="00244869" w:rsidP="00D6061D">
            <w:pPr>
              <w:spacing w:after="0"/>
              <w:rPr>
                <w:rFonts w:ascii="Times New Roman" w:eastAsia="Calibri" w:hAnsi="Times New Roman" w:cs="Times New Roman"/>
                <w:i/>
                <w:sz w:val="20"/>
                <w:szCs w:val="20"/>
              </w:rPr>
            </w:pPr>
            <w:proofErr w:type="spellStart"/>
            <w:r w:rsidRPr="00A07F29">
              <w:rPr>
                <w:rFonts w:ascii="Times New Roman" w:eastAsia="Times New Roman" w:hAnsi="Times New Roman" w:cs="Times New Roman"/>
                <w:i/>
                <w:sz w:val="20"/>
                <w:szCs w:val="20"/>
              </w:rPr>
              <w:t>Hamatocaulis</w:t>
            </w:r>
            <w:proofErr w:type="spellEnd"/>
            <w:r w:rsidRPr="00A07F29">
              <w:rPr>
                <w:rFonts w:ascii="Times New Roman" w:eastAsia="Times New Roman" w:hAnsi="Times New Roman" w:cs="Times New Roman"/>
                <w:i/>
                <w:sz w:val="20"/>
                <w:szCs w:val="20"/>
              </w:rPr>
              <w:t xml:space="preserve"> </w:t>
            </w:r>
            <w:proofErr w:type="spellStart"/>
            <w:r w:rsidRPr="00A07F29">
              <w:rPr>
                <w:rFonts w:ascii="Times New Roman" w:eastAsia="Times New Roman" w:hAnsi="Times New Roman" w:cs="Times New Roman"/>
                <w:i/>
                <w:sz w:val="20"/>
                <w:szCs w:val="20"/>
              </w:rPr>
              <w:t>lapponicus</w:t>
            </w:r>
            <w:proofErr w:type="spellEnd"/>
          </w:p>
        </w:tc>
        <w:tc>
          <w:tcPr>
            <w:tcW w:w="1559" w:type="dxa"/>
            <w:tcBorders>
              <w:top w:val="single" w:sz="4" w:space="0" w:color="auto"/>
              <w:left w:val="single" w:sz="4" w:space="0" w:color="auto"/>
              <w:bottom w:val="single" w:sz="4" w:space="0" w:color="auto"/>
              <w:right w:val="single" w:sz="4" w:space="0" w:color="auto"/>
            </w:tcBorders>
            <w:vAlign w:val="center"/>
          </w:tcPr>
          <w:p w14:paraId="07530CD7" w14:textId="77777777" w:rsidR="00244869" w:rsidRPr="00A07F29" w:rsidRDefault="00244869" w:rsidP="00D6061D">
            <w:pPr>
              <w:spacing w:after="0"/>
              <w:jc w:val="center"/>
              <w:rPr>
                <w:rFonts w:ascii="Times New Roman" w:eastAsia="Calibri" w:hAnsi="Times New Roman" w:cs="Times New Roman"/>
                <w:sz w:val="20"/>
                <w:szCs w:val="20"/>
                <w:vertAlign w:val="superscript"/>
              </w:rPr>
            </w:pPr>
            <w:r w:rsidRPr="00A07F29">
              <w:rPr>
                <w:rFonts w:ascii="Times New Roman" w:eastAsia="Calibri" w:hAnsi="Times New Roman" w:cs="Times New Roman"/>
                <w:sz w:val="20"/>
                <w:szCs w:val="20"/>
              </w:rPr>
              <w:t>ĪAS</w:t>
            </w:r>
            <w:r w:rsidRPr="00A07F29">
              <w:rPr>
                <w:rFonts w:ascii="Times New Roman" w:eastAsia="Calibri" w:hAnsi="Times New Roman" w:cs="Times New Roman"/>
                <w:sz w:val="20"/>
                <w:szCs w:val="20"/>
                <w:vertAlign w:val="superscript"/>
              </w:rPr>
              <w:t>1</w:t>
            </w:r>
          </w:p>
          <w:p w14:paraId="609BC2DB" w14:textId="5A00F80A" w:rsidR="00244869" w:rsidRPr="00A07F29" w:rsidRDefault="00244869" w:rsidP="00D6061D">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RAS (1)</w:t>
            </w:r>
          </w:p>
        </w:tc>
        <w:tc>
          <w:tcPr>
            <w:tcW w:w="709" w:type="dxa"/>
            <w:tcBorders>
              <w:top w:val="single" w:sz="4" w:space="0" w:color="auto"/>
              <w:left w:val="single" w:sz="4" w:space="0" w:color="auto"/>
              <w:bottom w:val="single" w:sz="4" w:space="0" w:color="auto"/>
              <w:right w:val="single" w:sz="4" w:space="0" w:color="auto"/>
            </w:tcBorders>
            <w:vAlign w:val="center"/>
          </w:tcPr>
          <w:p w14:paraId="528F3A9A" w14:textId="2C12120C" w:rsidR="00244869" w:rsidRPr="00A07F29" w:rsidRDefault="00244869" w:rsidP="00D6061D">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BD II</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5BC80720" w14:textId="7D144622" w:rsidR="00244869" w:rsidRPr="00A07F29" w:rsidRDefault="00244869" w:rsidP="00D6061D">
            <w:pPr>
              <w:spacing w:after="0"/>
              <w:jc w:val="center"/>
            </w:pPr>
            <w:r w:rsidRPr="00A07F29">
              <w:t>FVS</w:t>
            </w:r>
          </w:p>
        </w:tc>
        <w:tc>
          <w:tcPr>
            <w:tcW w:w="1258" w:type="dxa"/>
            <w:tcBorders>
              <w:top w:val="single" w:sz="4" w:space="0" w:color="auto"/>
              <w:left w:val="single" w:sz="4" w:space="0" w:color="auto"/>
              <w:bottom w:val="single" w:sz="4" w:space="0" w:color="auto"/>
            </w:tcBorders>
            <w:vAlign w:val="center"/>
          </w:tcPr>
          <w:p w14:paraId="23C64705" w14:textId="2C8040D5" w:rsidR="00244869" w:rsidRPr="00A07F29" w:rsidRDefault="00244869" w:rsidP="00D6061D">
            <w:pPr>
              <w:spacing w:after="0"/>
              <w:jc w:val="center"/>
            </w:pPr>
            <w:r w:rsidRPr="00A07F29">
              <w:t xml:space="preserve"> </w:t>
            </w:r>
          </w:p>
        </w:tc>
      </w:tr>
      <w:tr w:rsidR="00244869" w:rsidRPr="00A07F29" w14:paraId="6C11607E" w14:textId="0B33E65F" w:rsidTr="00244869">
        <w:trPr>
          <w:jc w:val="center"/>
        </w:trPr>
        <w:tc>
          <w:tcPr>
            <w:tcW w:w="557" w:type="dxa"/>
            <w:tcBorders>
              <w:top w:val="single" w:sz="4" w:space="0" w:color="auto"/>
              <w:bottom w:val="single" w:sz="4" w:space="0" w:color="auto"/>
              <w:right w:val="single" w:sz="4" w:space="0" w:color="auto"/>
            </w:tcBorders>
            <w:vAlign w:val="center"/>
          </w:tcPr>
          <w:p w14:paraId="3CDDB84B" w14:textId="5E5D0422" w:rsidR="00244869" w:rsidRPr="00A07F29" w:rsidRDefault="00244869" w:rsidP="00D6061D">
            <w:pPr>
              <w:spacing w:after="0"/>
              <w:contextualSpacing/>
              <w:rPr>
                <w:rFonts w:ascii="Times New Roman" w:eastAsia="Calibri" w:hAnsi="Times New Roman" w:cs="Times New Roman"/>
                <w:sz w:val="20"/>
                <w:szCs w:val="20"/>
              </w:rPr>
            </w:pPr>
            <w:r w:rsidRPr="00A07F29">
              <w:rPr>
                <w:rFonts w:ascii="Times New Roman" w:eastAsia="Calibri" w:hAnsi="Times New Roman" w:cs="Times New Roman"/>
                <w:sz w:val="20"/>
                <w:szCs w:val="20"/>
              </w:rPr>
              <w:t>5.</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F3DF21" w14:textId="1A756A22" w:rsidR="00244869" w:rsidRPr="00A07F29" w:rsidRDefault="00244869" w:rsidP="00D6061D">
            <w:pPr>
              <w:spacing w:after="0"/>
              <w:rPr>
                <w:rFonts w:ascii="Times New Roman" w:eastAsia="Times New Roman" w:hAnsi="Times New Roman" w:cs="Times New Roman"/>
                <w:i/>
                <w:sz w:val="20"/>
                <w:szCs w:val="20"/>
              </w:rPr>
            </w:pPr>
            <w:r w:rsidRPr="00A07F29">
              <w:rPr>
                <w:rFonts w:ascii="Times New Roman" w:eastAsia="Times New Roman" w:hAnsi="Times New Roman" w:cs="Times New Roman"/>
                <w:sz w:val="20"/>
                <w:szCs w:val="20"/>
              </w:rPr>
              <w:t xml:space="preserve">Spīdīgā </w:t>
            </w:r>
            <w:proofErr w:type="spellStart"/>
            <w:r w:rsidRPr="00A07F29">
              <w:rPr>
                <w:rFonts w:ascii="Times New Roman" w:eastAsia="Times New Roman" w:hAnsi="Times New Roman" w:cs="Times New Roman"/>
                <w:sz w:val="20"/>
                <w:szCs w:val="20"/>
              </w:rPr>
              <w:t>āķīte</w:t>
            </w:r>
            <w:proofErr w:type="spellEnd"/>
          </w:p>
        </w:tc>
        <w:tc>
          <w:tcPr>
            <w:tcW w:w="22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C3AC36" w14:textId="7C41ACC0" w:rsidR="00244869" w:rsidRPr="00A07F29" w:rsidRDefault="00244869" w:rsidP="00D6061D">
            <w:pPr>
              <w:spacing w:after="0"/>
              <w:rPr>
                <w:rFonts w:ascii="Times New Roman" w:eastAsia="Times New Roman" w:hAnsi="Times New Roman" w:cs="Times New Roman"/>
                <w:sz w:val="20"/>
                <w:szCs w:val="20"/>
              </w:rPr>
            </w:pPr>
            <w:proofErr w:type="spellStart"/>
            <w:r w:rsidRPr="00A07F29">
              <w:rPr>
                <w:rFonts w:ascii="Times New Roman" w:eastAsia="Times New Roman" w:hAnsi="Times New Roman" w:cs="Times New Roman"/>
                <w:i/>
                <w:sz w:val="20"/>
                <w:szCs w:val="20"/>
              </w:rPr>
              <w:t>Hamatocaulis</w:t>
            </w:r>
            <w:proofErr w:type="spellEnd"/>
            <w:r w:rsidRPr="00A07F29">
              <w:rPr>
                <w:rFonts w:ascii="Times New Roman" w:eastAsia="Times New Roman" w:hAnsi="Times New Roman" w:cs="Times New Roman"/>
                <w:i/>
                <w:sz w:val="20"/>
                <w:szCs w:val="20"/>
              </w:rPr>
              <w:t xml:space="preserve"> </w:t>
            </w:r>
            <w:proofErr w:type="spellStart"/>
            <w:r w:rsidRPr="00A07F29">
              <w:rPr>
                <w:rFonts w:ascii="Times New Roman" w:eastAsia="Times New Roman" w:hAnsi="Times New Roman" w:cs="Times New Roman"/>
                <w:i/>
                <w:sz w:val="20"/>
                <w:szCs w:val="20"/>
              </w:rPr>
              <w:t>vernicosus</w:t>
            </w:r>
            <w:proofErr w:type="spellEnd"/>
          </w:p>
        </w:tc>
        <w:tc>
          <w:tcPr>
            <w:tcW w:w="1559" w:type="dxa"/>
            <w:tcBorders>
              <w:top w:val="single" w:sz="4" w:space="0" w:color="auto"/>
              <w:left w:val="single" w:sz="4" w:space="0" w:color="auto"/>
              <w:bottom w:val="single" w:sz="4" w:space="0" w:color="auto"/>
              <w:right w:val="single" w:sz="4" w:space="0" w:color="auto"/>
            </w:tcBorders>
            <w:vAlign w:val="center"/>
          </w:tcPr>
          <w:p w14:paraId="2E1457B9" w14:textId="77777777" w:rsidR="00244869" w:rsidRPr="00A07F29" w:rsidRDefault="00244869" w:rsidP="00D6061D">
            <w:pPr>
              <w:spacing w:after="0"/>
              <w:jc w:val="center"/>
              <w:rPr>
                <w:rFonts w:ascii="Times New Roman" w:eastAsia="Calibri" w:hAnsi="Times New Roman" w:cs="Times New Roman"/>
                <w:sz w:val="20"/>
                <w:szCs w:val="20"/>
                <w:vertAlign w:val="superscript"/>
              </w:rPr>
            </w:pPr>
            <w:r w:rsidRPr="00A07F29">
              <w:rPr>
                <w:rFonts w:ascii="Times New Roman" w:eastAsia="Calibri" w:hAnsi="Times New Roman" w:cs="Times New Roman"/>
                <w:sz w:val="20"/>
                <w:szCs w:val="20"/>
              </w:rPr>
              <w:t>ĪAS</w:t>
            </w:r>
            <w:r w:rsidRPr="00A07F29">
              <w:rPr>
                <w:rFonts w:ascii="Times New Roman" w:eastAsia="Calibri" w:hAnsi="Times New Roman" w:cs="Times New Roman"/>
                <w:sz w:val="20"/>
                <w:szCs w:val="20"/>
                <w:vertAlign w:val="superscript"/>
              </w:rPr>
              <w:t>1</w:t>
            </w:r>
          </w:p>
          <w:p w14:paraId="5BB2686F" w14:textId="7C2C2C31" w:rsidR="00244869" w:rsidRPr="00A07F29" w:rsidRDefault="00244869" w:rsidP="00D6061D">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RAS (2)</w:t>
            </w:r>
          </w:p>
        </w:tc>
        <w:tc>
          <w:tcPr>
            <w:tcW w:w="709" w:type="dxa"/>
            <w:tcBorders>
              <w:top w:val="single" w:sz="4" w:space="0" w:color="auto"/>
              <w:left w:val="single" w:sz="4" w:space="0" w:color="auto"/>
              <w:bottom w:val="single" w:sz="4" w:space="0" w:color="auto"/>
              <w:right w:val="single" w:sz="4" w:space="0" w:color="auto"/>
            </w:tcBorders>
            <w:vAlign w:val="center"/>
          </w:tcPr>
          <w:p w14:paraId="665D5BD7" w14:textId="500C34F5" w:rsidR="00244869" w:rsidRPr="00A07F29" w:rsidRDefault="00244869" w:rsidP="00D6061D">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BD II</w:t>
            </w:r>
          </w:p>
        </w:tc>
        <w:tc>
          <w:tcPr>
            <w:tcW w:w="1134" w:type="dxa"/>
            <w:tcBorders>
              <w:top w:val="single" w:sz="4" w:space="0" w:color="auto"/>
              <w:left w:val="single" w:sz="4" w:space="0" w:color="auto"/>
              <w:bottom w:val="single" w:sz="4" w:space="0" w:color="auto"/>
              <w:right w:val="single" w:sz="4" w:space="0" w:color="auto"/>
            </w:tcBorders>
            <w:shd w:val="clear" w:color="auto" w:fill="FFC000"/>
            <w:vAlign w:val="center"/>
          </w:tcPr>
          <w:p w14:paraId="26992811" w14:textId="68EDF612" w:rsidR="00244869" w:rsidRPr="00A07F29" w:rsidRDefault="00244869" w:rsidP="00D6061D">
            <w:pPr>
              <w:spacing w:after="0"/>
              <w:jc w:val="center"/>
            </w:pPr>
            <w:r w:rsidRPr="00A07F29">
              <w:t>U1S</w:t>
            </w:r>
          </w:p>
        </w:tc>
        <w:tc>
          <w:tcPr>
            <w:tcW w:w="1258" w:type="dxa"/>
            <w:tcBorders>
              <w:top w:val="single" w:sz="4" w:space="0" w:color="auto"/>
              <w:left w:val="single" w:sz="4" w:space="0" w:color="auto"/>
              <w:bottom w:val="single" w:sz="4" w:space="0" w:color="auto"/>
            </w:tcBorders>
            <w:vAlign w:val="center"/>
          </w:tcPr>
          <w:p w14:paraId="5CA2C94C" w14:textId="2F677977" w:rsidR="00244869" w:rsidRPr="00A07F29" w:rsidRDefault="00244869" w:rsidP="00D6061D">
            <w:pPr>
              <w:spacing w:after="0"/>
              <w:jc w:val="center"/>
            </w:pPr>
            <w:r w:rsidRPr="00A07F29">
              <w:t xml:space="preserve"> </w:t>
            </w:r>
          </w:p>
        </w:tc>
      </w:tr>
      <w:tr w:rsidR="00244869" w:rsidRPr="00A07F29" w14:paraId="6D5F5B84" w14:textId="299029C2" w:rsidTr="00244869">
        <w:trPr>
          <w:jc w:val="center"/>
        </w:trPr>
        <w:tc>
          <w:tcPr>
            <w:tcW w:w="557" w:type="dxa"/>
            <w:tcBorders>
              <w:top w:val="single" w:sz="4" w:space="0" w:color="auto"/>
              <w:bottom w:val="single" w:sz="4" w:space="0" w:color="auto"/>
              <w:right w:val="single" w:sz="4" w:space="0" w:color="auto"/>
            </w:tcBorders>
            <w:vAlign w:val="center"/>
          </w:tcPr>
          <w:p w14:paraId="577BA093" w14:textId="017FF967" w:rsidR="00244869" w:rsidRPr="00A07F29" w:rsidRDefault="00244869" w:rsidP="00D6061D">
            <w:pPr>
              <w:spacing w:after="0"/>
              <w:contextualSpacing/>
              <w:rPr>
                <w:rFonts w:ascii="Times New Roman" w:eastAsia="Calibri" w:hAnsi="Times New Roman" w:cs="Times New Roman"/>
                <w:sz w:val="20"/>
                <w:szCs w:val="20"/>
              </w:rPr>
            </w:pPr>
            <w:r w:rsidRPr="00A07F29">
              <w:rPr>
                <w:rFonts w:ascii="Times New Roman" w:eastAsia="Calibri" w:hAnsi="Times New Roman" w:cs="Times New Roman"/>
                <w:sz w:val="20"/>
                <w:szCs w:val="20"/>
              </w:rPr>
              <w:t>6.</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CC0331" w14:textId="1BE5C4A3" w:rsidR="00244869" w:rsidRPr="00A07F29" w:rsidRDefault="00244869" w:rsidP="00D6061D">
            <w:pPr>
              <w:spacing w:after="0"/>
              <w:rPr>
                <w:rFonts w:ascii="Times New Roman" w:eastAsia="Times New Roman" w:hAnsi="Times New Roman" w:cs="Times New Roman"/>
                <w:i/>
                <w:sz w:val="20"/>
                <w:szCs w:val="20"/>
              </w:rPr>
            </w:pPr>
            <w:r w:rsidRPr="00A07F29">
              <w:rPr>
                <w:rFonts w:ascii="Times New Roman" w:eastAsia="Times New Roman" w:hAnsi="Times New Roman" w:cs="Times New Roman"/>
                <w:sz w:val="20"/>
                <w:szCs w:val="20"/>
              </w:rPr>
              <w:t xml:space="preserve">Spurainā </w:t>
            </w:r>
            <w:proofErr w:type="spellStart"/>
            <w:r w:rsidRPr="00A07F29">
              <w:rPr>
                <w:rFonts w:ascii="Times New Roman" w:eastAsia="Times New Roman" w:hAnsi="Times New Roman" w:cs="Times New Roman"/>
                <w:sz w:val="20"/>
                <w:szCs w:val="20"/>
              </w:rPr>
              <w:t>dzīparene</w:t>
            </w:r>
            <w:proofErr w:type="spellEnd"/>
          </w:p>
        </w:tc>
        <w:tc>
          <w:tcPr>
            <w:tcW w:w="22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A335D4" w14:textId="7E8D33CA" w:rsidR="00244869" w:rsidRPr="00A07F29" w:rsidRDefault="00244869" w:rsidP="00D6061D">
            <w:pPr>
              <w:spacing w:after="0"/>
              <w:rPr>
                <w:rFonts w:ascii="Times New Roman" w:eastAsia="Times New Roman" w:hAnsi="Times New Roman" w:cs="Times New Roman"/>
                <w:sz w:val="20"/>
                <w:szCs w:val="20"/>
              </w:rPr>
            </w:pPr>
            <w:proofErr w:type="spellStart"/>
            <w:r w:rsidRPr="00A07F29">
              <w:rPr>
                <w:rFonts w:ascii="Times New Roman" w:eastAsia="Times New Roman" w:hAnsi="Times New Roman" w:cs="Times New Roman"/>
                <w:i/>
                <w:sz w:val="20"/>
                <w:szCs w:val="20"/>
              </w:rPr>
              <w:t>Paludella</w:t>
            </w:r>
            <w:proofErr w:type="spellEnd"/>
            <w:r w:rsidRPr="00A07F29">
              <w:rPr>
                <w:rFonts w:ascii="Times New Roman" w:eastAsia="Times New Roman" w:hAnsi="Times New Roman" w:cs="Times New Roman"/>
                <w:i/>
                <w:sz w:val="20"/>
                <w:szCs w:val="20"/>
              </w:rPr>
              <w:t xml:space="preserve"> </w:t>
            </w:r>
            <w:proofErr w:type="spellStart"/>
            <w:r w:rsidRPr="00A07F29">
              <w:rPr>
                <w:rFonts w:ascii="Times New Roman" w:eastAsia="Times New Roman" w:hAnsi="Times New Roman" w:cs="Times New Roman"/>
                <w:i/>
                <w:sz w:val="20"/>
                <w:szCs w:val="20"/>
              </w:rPr>
              <w:t>squarrosa</w:t>
            </w:r>
            <w:proofErr w:type="spellEnd"/>
          </w:p>
        </w:tc>
        <w:tc>
          <w:tcPr>
            <w:tcW w:w="1559" w:type="dxa"/>
            <w:tcBorders>
              <w:top w:val="single" w:sz="4" w:space="0" w:color="auto"/>
              <w:left w:val="single" w:sz="4" w:space="0" w:color="auto"/>
              <w:bottom w:val="single" w:sz="4" w:space="0" w:color="auto"/>
              <w:right w:val="single" w:sz="4" w:space="0" w:color="auto"/>
            </w:tcBorders>
            <w:vAlign w:val="center"/>
          </w:tcPr>
          <w:p w14:paraId="4EBC0B52" w14:textId="77777777" w:rsidR="00244869" w:rsidRPr="00A07F29" w:rsidRDefault="00244869" w:rsidP="00D6061D">
            <w:pPr>
              <w:spacing w:after="0"/>
              <w:jc w:val="center"/>
              <w:rPr>
                <w:rFonts w:ascii="Times New Roman" w:eastAsia="Calibri" w:hAnsi="Times New Roman" w:cs="Times New Roman"/>
                <w:sz w:val="20"/>
                <w:szCs w:val="20"/>
                <w:vertAlign w:val="superscript"/>
              </w:rPr>
            </w:pPr>
            <w:r w:rsidRPr="00A07F29">
              <w:rPr>
                <w:rFonts w:ascii="Times New Roman" w:eastAsia="Calibri" w:hAnsi="Times New Roman" w:cs="Times New Roman"/>
                <w:sz w:val="20"/>
                <w:szCs w:val="20"/>
              </w:rPr>
              <w:t>ĪAS</w:t>
            </w:r>
            <w:r w:rsidRPr="00A07F29">
              <w:rPr>
                <w:rFonts w:ascii="Times New Roman" w:eastAsia="Calibri" w:hAnsi="Times New Roman" w:cs="Times New Roman"/>
                <w:sz w:val="20"/>
                <w:szCs w:val="20"/>
                <w:vertAlign w:val="superscript"/>
              </w:rPr>
              <w:t>1</w:t>
            </w:r>
          </w:p>
          <w:p w14:paraId="05550DB7" w14:textId="65C27B13" w:rsidR="00244869" w:rsidRPr="00A07F29" w:rsidRDefault="00244869" w:rsidP="00D6061D">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RAS (2)</w:t>
            </w:r>
          </w:p>
        </w:tc>
        <w:tc>
          <w:tcPr>
            <w:tcW w:w="709" w:type="dxa"/>
            <w:tcBorders>
              <w:top w:val="single" w:sz="4" w:space="0" w:color="auto"/>
              <w:left w:val="single" w:sz="4" w:space="0" w:color="auto"/>
              <w:bottom w:val="single" w:sz="4" w:space="0" w:color="auto"/>
              <w:right w:val="single" w:sz="4" w:space="0" w:color="auto"/>
            </w:tcBorders>
            <w:vAlign w:val="center"/>
          </w:tcPr>
          <w:p w14:paraId="2AFBD729" w14:textId="7FCFCB63" w:rsidR="00244869" w:rsidRPr="00A07F29" w:rsidRDefault="00244869" w:rsidP="00D6061D">
            <w:pPr>
              <w:spacing w:after="0"/>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tcPr>
          <w:p w14:paraId="1A7A03C8" w14:textId="1D8991CB" w:rsidR="00244869" w:rsidRPr="00A07F29" w:rsidRDefault="00244869" w:rsidP="00D6061D">
            <w:pPr>
              <w:spacing w:after="0"/>
              <w:jc w:val="center"/>
              <w:rPr>
                <w:rFonts w:ascii="Times New Roman" w:eastAsia="Calibri" w:hAnsi="Times New Roman" w:cs="Times New Roman"/>
                <w:color w:val="000000"/>
                <w:sz w:val="20"/>
                <w:szCs w:val="20"/>
              </w:rPr>
            </w:pPr>
            <w:r w:rsidRPr="00A07F29">
              <w:rPr>
                <w:rFonts w:ascii="Times New Roman" w:eastAsia="Calibri" w:hAnsi="Times New Roman" w:cs="Times New Roman"/>
                <w:color w:val="000000"/>
                <w:sz w:val="20"/>
                <w:szCs w:val="20"/>
              </w:rPr>
              <w:t>-</w:t>
            </w:r>
          </w:p>
        </w:tc>
        <w:tc>
          <w:tcPr>
            <w:tcW w:w="1258" w:type="dxa"/>
            <w:tcBorders>
              <w:top w:val="single" w:sz="4" w:space="0" w:color="auto"/>
              <w:left w:val="single" w:sz="4" w:space="0" w:color="auto"/>
              <w:bottom w:val="single" w:sz="4" w:space="0" w:color="auto"/>
            </w:tcBorders>
            <w:vAlign w:val="center"/>
          </w:tcPr>
          <w:p w14:paraId="55EFD8DC" w14:textId="6F36CDDA" w:rsidR="00244869" w:rsidRPr="00A07F29" w:rsidRDefault="00244869" w:rsidP="00D6061D">
            <w:pPr>
              <w:spacing w:after="0"/>
              <w:jc w:val="center"/>
              <w:rPr>
                <w:rFonts w:ascii="Times New Roman" w:eastAsia="Calibri" w:hAnsi="Times New Roman" w:cs="Times New Roman"/>
                <w:color w:val="000000"/>
                <w:sz w:val="20"/>
                <w:szCs w:val="20"/>
              </w:rPr>
            </w:pPr>
            <w:r w:rsidRPr="00A07F29">
              <w:rPr>
                <w:rFonts w:ascii="Times New Roman" w:eastAsia="Calibri" w:hAnsi="Times New Roman" w:cs="Times New Roman"/>
                <w:color w:val="000000"/>
                <w:sz w:val="20"/>
                <w:szCs w:val="20"/>
              </w:rPr>
              <w:t>-</w:t>
            </w:r>
          </w:p>
        </w:tc>
      </w:tr>
    </w:tbl>
    <w:p w14:paraId="2BCA9BCF" w14:textId="77777777" w:rsidR="00DD437F" w:rsidRPr="00A07F29" w:rsidRDefault="00DD437F" w:rsidP="00DD437F">
      <w:pPr>
        <w:keepNext/>
        <w:spacing w:before="120" w:after="120"/>
        <w:jc w:val="both"/>
        <w:rPr>
          <w:rFonts w:ascii="Times New Roman" w:eastAsia="Calibri" w:hAnsi="Times New Roman" w:cs="Times New Roman"/>
          <w:b/>
          <w:sz w:val="20"/>
          <w:szCs w:val="20"/>
        </w:rPr>
      </w:pPr>
      <w:r w:rsidRPr="00A07F29">
        <w:rPr>
          <w:rFonts w:ascii="Times New Roman" w:eastAsia="Calibri" w:hAnsi="Times New Roman" w:cs="Times New Roman"/>
          <w:b/>
          <w:sz w:val="20"/>
          <w:szCs w:val="20"/>
        </w:rPr>
        <w:t>Paskaidrojumi un apzīmējumi</w:t>
      </w:r>
    </w:p>
    <w:p w14:paraId="16C81BFC" w14:textId="593E2E48" w:rsidR="00DD437F" w:rsidRPr="00A07F29" w:rsidRDefault="00DD437F" w:rsidP="00DD437F">
      <w:pPr>
        <w:spacing w:after="120"/>
        <w:jc w:val="both"/>
        <w:rPr>
          <w:rFonts w:ascii="Times New Roman" w:eastAsia="Calibri" w:hAnsi="Times New Roman" w:cs="Times New Roman"/>
          <w:sz w:val="16"/>
          <w:szCs w:val="16"/>
        </w:rPr>
      </w:pPr>
      <w:r w:rsidRPr="00A07F29">
        <w:rPr>
          <w:rFonts w:ascii="Times New Roman" w:eastAsia="Calibri" w:hAnsi="Times New Roman" w:cs="Times New Roman"/>
          <w:b/>
          <w:sz w:val="16"/>
          <w:szCs w:val="16"/>
        </w:rPr>
        <w:t>*</w:t>
      </w:r>
      <w:r w:rsidR="00281847" w:rsidRPr="00281847">
        <w:rPr>
          <w:rFonts w:ascii="Times New Roman" w:eastAsia="Calibri" w:hAnsi="Times New Roman" w:cs="Times New Roman"/>
          <w:b/>
          <w:sz w:val="16"/>
          <w:szCs w:val="16"/>
        </w:rPr>
        <w:t xml:space="preserve"> Aizsardzības stāvokļa novērtējums atbilstoši ziņojumā Eiropas Komisijai </w:t>
      </w:r>
      <w:r w:rsidR="00281847" w:rsidRPr="00281847">
        <w:rPr>
          <w:rFonts w:ascii="Times New Roman" w:eastAsia="Calibri" w:hAnsi="Times New Roman" w:cs="Times New Roman"/>
          <w:b/>
          <w:bCs/>
          <w:iCs/>
          <w:sz w:val="16"/>
          <w:szCs w:val="16"/>
        </w:rPr>
        <w:t>par ES nozīmes biotopu (dzīvotņu) un sugu aizsardzības stāvokli Latvijā, novērtējums par 20</w:t>
      </w:r>
      <w:r w:rsidR="00322639">
        <w:rPr>
          <w:rFonts w:ascii="Times New Roman" w:eastAsia="Calibri" w:hAnsi="Times New Roman" w:cs="Times New Roman"/>
          <w:b/>
          <w:bCs/>
          <w:iCs/>
          <w:sz w:val="16"/>
          <w:szCs w:val="16"/>
        </w:rPr>
        <w:t>1</w:t>
      </w:r>
      <w:r w:rsidR="00281847" w:rsidRPr="00281847">
        <w:rPr>
          <w:rFonts w:ascii="Times New Roman" w:eastAsia="Calibri" w:hAnsi="Times New Roman" w:cs="Times New Roman"/>
          <w:b/>
          <w:bCs/>
          <w:iCs/>
          <w:sz w:val="16"/>
          <w:szCs w:val="16"/>
        </w:rPr>
        <w:t>3. – 2018. gada periodu (ES ziņojums, 2019) lietotajiem apzīmējumiem</w:t>
      </w:r>
      <w:r w:rsidR="00281847" w:rsidRPr="00281847">
        <w:rPr>
          <w:rFonts w:ascii="Times New Roman" w:eastAsia="Calibri" w:hAnsi="Times New Roman" w:cs="Times New Roman"/>
          <w:b/>
          <w:sz w:val="16"/>
          <w:szCs w:val="16"/>
        </w:rPr>
        <w:t xml:space="preserve"> (tikai direktīvu pielikumos iekļautajām sugām):</w:t>
      </w:r>
    </w:p>
    <w:tbl>
      <w:tblPr>
        <w:tblStyle w:val="TableGrid"/>
        <w:tblW w:w="0" w:type="auto"/>
        <w:tblLook w:val="04A0" w:firstRow="1" w:lastRow="0" w:firstColumn="1" w:lastColumn="0" w:noHBand="0" w:noVBand="1"/>
      </w:tblPr>
      <w:tblGrid>
        <w:gridCol w:w="704"/>
        <w:gridCol w:w="8645"/>
      </w:tblGrid>
      <w:tr w:rsidR="00DD437F" w:rsidRPr="00A07F29" w14:paraId="7B7470ED" w14:textId="77777777" w:rsidTr="00835D49">
        <w:tc>
          <w:tcPr>
            <w:tcW w:w="704" w:type="dxa"/>
            <w:tcBorders>
              <w:top w:val="single" w:sz="4" w:space="0" w:color="auto"/>
              <w:left w:val="single" w:sz="4" w:space="0" w:color="auto"/>
              <w:bottom w:val="single" w:sz="4" w:space="0" w:color="auto"/>
              <w:right w:val="single" w:sz="4" w:space="0" w:color="auto"/>
            </w:tcBorders>
            <w:shd w:val="clear" w:color="auto" w:fill="92D050"/>
          </w:tcPr>
          <w:p w14:paraId="15E6467A" w14:textId="77777777" w:rsidR="00DD437F" w:rsidRPr="00A07F29" w:rsidRDefault="00DD437F" w:rsidP="00835D49">
            <w:pPr>
              <w:spacing w:after="120"/>
              <w:jc w:val="both"/>
              <w:rPr>
                <w:rFonts w:ascii="Times New Roman" w:eastAsia="Calibri" w:hAnsi="Times New Roman" w:cs="Times New Roman"/>
                <w:sz w:val="16"/>
                <w:szCs w:val="16"/>
                <w:shd w:val="clear" w:color="auto" w:fill="FFC000"/>
              </w:rPr>
            </w:pPr>
          </w:p>
        </w:tc>
        <w:tc>
          <w:tcPr>
            <w:tcW w:w="8646" w:type="dxa"/>
            <w:tcBorders>
              <w:top w:val="nil"/>
              <w:left w:val="single" w:sz="4" w:space="0" w:color="auto"/>
              <w:bottom w:val="nil"/>
              <w:right w:val="nil"/>
            </w:tcBorders>
            <w:hideMark/>
          </w:tcPr>
          <w:p w14:paraId="3E2A6513" w14:textId="77777777" w:rsidR="00DD437F" w:rsidRPr="00A07F29" w:rsidRDefault="00DD437F" w:rsidP="00835D49">
            <w:pPr>
              <w:spacing w:after="120"/>
              <w:jc w:val="both"/>
              <w:rPr>
                <w:rFonts w:ascii="Times New Roman" w:eastAsia="Calibri" w:hAnsi="Times New Roman" w:cs="Times New Roman"/>
                <w:sz w:val="16"/>
                <w:szCs w:val="16"/>
                <w:shd w:val="clear" w:color="auto" w:fill="FFC000"/>
              </w:rPr>
            </w:pPr>
            <w:r w:rsidRPr="00A07F29">
              <w:rPr>
                <w:rFonts w:ascii="Times New Roman" w:eastAsia="Calibri" w:hAnsi="Times New Roman" w:cs="Times New Roman"/>
                <w:sz w:val="16"/>
                <w:szCs w:val="16"/>
                <w:shd w:val="clear" w:color="auto" w:fill="FFFFFF"/>
              </w:rPr>
              <w:t>FV</w:t>
            </w:r>
            <w:r w:rsidRPr="00A07F29">
              <w:rPr>
                <w:rFonts w:ascii="Times New Roman" w:eastAsia="Calibri" w:hAnsi="Times New Roman" w:cs="Times New Roman"/>
                <w:sz w:val="16"/>
                <w:szCs w:val="16"/>
              </w:rPr>
              <w:t>: Aizsardzības stāvoklis labvēlīgs (</w:t>
            </w:r>
            <w:proofErr w:type="spellStart"/>
            <w:r w:rsidRPr="00A07F29">
              <w:rPr>
                <w:rFonts w:ascii="Times New Roman" w:eastAsia="Calibri" w:hAnsi="Times New Roman" w:cs="Times New Roman"/>
                <w:sz w:val="16"/>
                <w:szCs w:val="16"/>
              </w:rPr>
              <w:t>Favourable</w:t>
            </w:r>
            <w:proofErr w:type="spellEnd"/>
            <w:r w:rsidRPr="00A07F29">
              <w:rPr>
                <w:rFonts w:ascii="Times New Roman" w:eastAsia="Calibri" w:hAnsi="Times New Roman" w:cs="Times New Roman"/>
                <w:sz w:val="16"/>
                <w:szCs w:val="16"/>
              </w:rPr>
              <w:t>);</w:t>
            </w:r>
          </w:p>
        </w:tc>
      </w:tr>
      <w:tr w:rsidR="00DD437F" w:rsidRPr="00A07F29" w14:paraId="0F7681BE" w14:textId="77777777" w:rsidTr="00835D49">
        <w:tc>
          <w:tcPr>
            <w:tcW w:w="704" w:type="dxa"/>
            <w:tcBorders>
              <w:top w:val="single" w:sz="4" w:space="0" w:color="auto"/>
              <w:left w:val="single" w:sz="4" w:space="0" w:color="auto"/>
              <w:bottom w:val="single" w:sz="4" w:space="0" w:color="auto"/>
              <w:right w:val="single" w:sz="4" w:space="0" w:color="auto"/>
            </w:tcBorders>
            <w:shd w:val="clear" w:color="auto" w:fill="FFC000"/>
          </w:tcPr>
          <w:p w14:paraId="3D1D2AEF" w14:textId="77777777" w:rsidR="00DD437F" w:rsidRPr="00A07F29" w:rsidRDefault="00DD437F" w:rsidP="00835D49">
            <w:pPr>
              <w:spacing w:after="120"/>
              <w:jc w:val="both"/>
              <w:rPr>
                <w:rFonts w:ascii="Times New Roman" w:eastAsia="Calibri" w:hAnsi="Times New Roman" w:cs="Times New Roman"/>
                <w:sz w:val="16"/>
                <w:szCs w:val="16"/>
                <w:shd w:val="clear" w:color="auto" w:fill="FFC000"/>
              </w:rPr>
            </w:pPr>
          </w:p>
        </w:tc>
        <w:tc>
          <w:tcPr>
            <w:tcW w:w="8646" w:type="dxa"/>
            <w:tcBorders>
              <w:top w:val="nil"/>
              <w:left w:val="single" w:sz="4" w:space="0" w:color="auto"/>
              <w:bottom w:val="nil"/>
              <w:right w:val="nil"/>
            </w:tcBorders>
            <w:hideMark/>
          </w:tcPr>
          <w:p w14:paraId="2304EFF6" w14:textId="77777777" w:rsidR="00DD437F" w:rsidRPr="00A07F29" w:rsidRDefault="00DD437F" w:rsidP="00835D49">
            <w:pPr>
              <w:spacing w:after="120"/>
              <w:jc w:val="both"/>
              <w:rPr>
                <w:rFonts w:ascii="Times New Roman" w:eastAsia="Calibri" w:hAnsi="Times New Roman" w:cs="Times New Roman"/>
                <w:sz w:val="16"/>
                <w:szCs w:val="16"/>
              </w:rPr>
            </w:pPr>
            <w:r w:rsidRPr="00A07F29">
              <w:rPr>
                <w:rFonts w:ascii="Times New Roman" w:eastAsia="Calibri" w:hAnsi="Times New Roman" w:cs="Times New Roman"/>
                <w:sz w:val="16"/>
                <w:szCs w:val="16"/>
              </w:rPr>
              <w:t>U1: Aizsardzības stāvoklis nelabvēlīgs-nepietiekams (</w:t>
            </w:r>
            <w:proofErr w:type="spellStart"/>
            <w:r w:rsidRPr="00A07F29">
              <w:rPr>
                <w:rFonts w:ascii="Times New Roman" w:eastAsia="Calibri" w:hAnsi="Times New Roman" w:cs="Times New Roman"/>
                <w:sz w:val="16"/>
                <w:szCs w:val="16"/>
              </w:rPr>
              <w:t>Unfavourable-Inadequate</w:t>
            </w:r>
            <w:proofErr w:type="spellEnd"/>
            <w:r w:rsidRPr="00A07F29">
              <w:rPr>
                <w:rFonts w:ascii="Times New Roman" w:eastAsia="Calibri" w:hAnsi="Times New Roman" w:cs="Times New Roman"/>
                <w:sz w:val="16"/>
                <w:szCs w:val="16"/>
              </w:rPr>
              <w:t xml:space="preserve">); </w:t>
            </w:r>
          </w:p>
        </w:tc>
      </w:tr>
      <w:tr w:rsidR="00DD437F" w:rsidRPr="00A07F29" w14:paraId="3076EFB9" w14:textId="77777777" w:rsidTr="00835D49">
        <w:tc>
          <w:tcPr>
            <w:tcW w:w="704" w:type="dxa"/>
            <w:tcBorders>
              <w:top w:val="single" w:sz="4" w:space="0" w:color="auto"/>
              <w:left w:val="single" w:sz="4" w:space="0" w:color="auto"/>
              <w:bottom w:val="single" w:sz="4" w:space="0" w:color="auto"/>
              <w:right w:val="single" w:sz="4" w:space="0" w:color="auto"/>
            </w:tcBorders>
            <w:shd w:val="clear" w:color="auto" w:fill="FF0000"/>
          </w:tcPr>
          <w:p w14:paraId="505C138A" w14:textId="77777777" w:rsidR="00DD437F" w:rsidRPr="00A07F29" w:rsidRDefault="00DD437F" w:rsidP="00835D49">
            <w:pPr>
              <w:spacing w:after="120"/>
              <w:jc w:val="both"/>
              <w:rPr>
                <w:rFonts w:ascii="Times New Roman" w:eastAsia="Calibri" w:hAnsi="Times New Roman" w:cs="Times New Roman"/>
                <w:sz w:val="16"/>
                <w:szCs w:val="16"/>
                <w:shd w:val="clear" w:color="auto" w:fill="FFC000"/>
              </w:rPr>
            </w:pPr>
          </w:p>
        </w:tc>
        <w:tc>
          <w:tcPr>
            <w:tcW w:w="8646" w:type="dxa"/>
            <w:tcBorders>
              <w:top w:val="nil"/>
              <w:left w:val="single" w:sz="4" w:space="0" w:color="auto"/>
              <w:bottom w:val="nil"/>
              <w:right w:val="nil"/>
            </w:tcBorders>
            <w:hideMark/>
          </w:tcPr>
          <w:p w14:paraId="776673D7" w14:textId="77777777" w:rsidR="00DD437F" w:rsidRPr="00A07F29" w:rsidRDefault="00DD437F" w:rsidP="00835D49">
            <w:pPr>
              <w:spacing w:after="120"/>
              <w:jc w:val="both"/>
              <w:rPr>
                <w:rFonts w:ascii="Times New Roman" w:eastAsia="Calibri" w:hAnsi="Times New Roman" w:cs="Times New Roman"/>
                <w:sz w:val="16"/>
                <w:szCs w:val="16"/>
              </w:rPr>
            </w:pPr>
            <w:r w:rsidRPr="00A07F29">
              <w:rPr>
                <w:rFonts w:ascii="Times New Roman" w:eastAsia="Calibri" w:hAnsi="Times New Roman" w:cs="Times New Roman"/>
                <w:sz w:val="16"/>
                <w:szCs w:val="16"/>
              </w:rPr>
              <w:t>U2: Aizsardzības stāvoklis nelabvēlīgs-slikts (</w:t>
            </w:r>
            <w:proofErr w:type="spellStart"/>
            <w:r w:rsidRPr="00A07F29">
              <w:rPr>
                <w:rFonts w:ascii="Times New Roman" w:eastAsia="Calibri" w:hAnsi="Times New Roman" w:cs="Times New Roman"/>
                <w:sz w:val="16"/>
                <w:szCs w:val="16"/>
              </w:rPr>
              <w:t>Unfavourable</w:t>
            </w:r>
            <w:proofErr w:type="spellEnd"/>
            <w:r w:rsidRPr="00A07F29">
              <w:rPr>
                <w:rFonts w:ascii="Times New Roman" w:eastAsia="Calibri" w:hAnsi="Times New Roman" w:cs="Times New Roman"/>
                <w:sz w:val="16"/>
                <w:szCs w:val="16"/>
              </w:rPr>
              <w:t>-Bad);</w:t>
            </w:r>
          </w:p>
        </w:tc>
      </w:tr>
      <w:tr w:rsidR="00DD437F" w:rsidRPr="00A07F29" w14:paraId="22582FDC" w14:textId="77777777" w:rsidTr="00835D49">
        <w:tc>
          <w:tcPr>
            <w:tcW w:w="70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5DD76658" w14:textId="77777777" w:rsidR="00DD437F" w:rsidRPr="00A07F29" w:rsidRDefault="00DD437F" w:rsidP="00835D49">
            <w:pPr>
              <w:spacing w:after="120"/>
              <w:jc w:val="both"/>
              <w:rPr>
                <w:rFonts w:ascii="Times New Roman" w:eastAsia="Calibri" w:hAnsi="Times New Roman" w:cs="Times New Roman"/>
                <w:sz w:val="16"/>
                <w:szCs w:val="16"/>
                <w:shd w:val="clear" w:color="auto" w:fill="FFC000"/>
              </w:rPr>
            </w:pPr>
          </w:p>
        </w:tc>
        <w:tc>
          <w:tcPr>
            <w:tcW w:w="8646" w:type="dxa"/>
            <w:tcBorders>
              <w:top w:val="nil"/>
              <w:left w:val="single" w:sz="4" w:space="0" w:color="auto"/>
              <w:bottom w:val="nil"/>
              <w:right w:val="nil"/>
            </w:tcBorders>
            <w:hideMark/>
          </w:tcPr>
          <w:p w14:paraId="2B7E2B84" w14:textId="77777777" w:rsidR="00DD437F" w:rsidRPr="00A07F29" w:rsidRDefault="00DD437F" w:rsidP="00835D49">
            <w:pPr>
              <w:spacing w:after="120"/>
              <w:jc w:val="both"/>
              <w:rPr>
                <w:rFonts w:ascii="Times New Roman" w:eastAsia="Calibri" w:hAnsi="Times New Roman" w:cs="Times New Roman"/>
                <w:sz w:val="16"/>
                <w:szCs w:val="16"/>
              </w:rPr>
            </w:pPr>
            <w:r w:rsidRPr="00A07F29">
              <w:rPr>
                <w:rFonts w:ascii="Times New Roman" w:eastAsia="Calibri" w:hAnsi="Times New Roman" w:cs="Times New Roman"/>
                <w:sz w:val="16"/>
                <w:szCs w:val="16"/>
              </w:rPr>
              <w:t>XX: Aizsardzības stāvoklis nezināms (</w:t>
            </w:r>
            <w:proofErr w:type="spellStart"/>
            <w:r w:rsidRPr="00A07F29">
              <w:rPr>
                <w:rFonts w:ascii="Times New Roman" w:eastAsia="Calibri" w:hAnsi="Times New Roman" w:cs="Times New Roman"/>
                <w:sz w:val="16"/>
                <w:szCs w:val="16"/>
              </w:rPr>
              <w:t>Unknown</w:t>
            </w:r>
            <w:proofErr w:type="spellEnd"/>
            <w:r w:rsidRPr="00A07F29">
              <w:rPr>
                <w:rFonts w:ascii="Times New Roman" w:eastAsia="Calibri" w:hAnsi="Times New Roman" w:cs="Times New Roman"/>
                <w:sz w:val="16"/>
                <w:szCs w:val="16"/>
              </w:rPr>
              <w:t>)</w:t>
            </w:r>
          </w:p>
        </w:tc>
      </w:tr>
    </w:tbl>
    <w:p w14:paraId="2C30DAA6" w14:textId="78B3C00F" w:rsidR="00DD437F" w:rsidRPr="00A07F29" w:rsidRDefault="00DD437F" w:rsidP="00DD437F">
      <w:pPr>
        <w:spacing w:before="120" w:after="120"/>
        <w:jc w:val="both"/>
        <w:rPr>
          <w:rFonts w:ascii="Times New Roman" w:eastAsia="Calibri" w:hAnsi="Times New Roman" w:cs="Times New Roman"/>
          <w:sz w:val="16"/>
          <w:szCs w:val="16"/>
        </w:rPr>
      </w:pPr>
      <w:r w:rsidRPr="00A07F29">
        <w:rPr>
          <w:rFonts w:ascii="Times New Roman" w:eastAsia="Calibri" w:hAnsi="Times New Roman" w:cs="Times New Roman"/>
          <w:b/>
          <w:sz w:val="16"/>
          <w:szCs w:val="16"/>
        </w:rPr>
        <w:t>Apzīmējumi aizsardzības stāvokļa tendencei:</w:t>
      </w:r>
      <w:r w:rsidRPr="00A07F29">
        <w:rPr>
          <w:rFonts w:ascii="Times New Roman" w:eastAsia="Calibri" w:hAnsi="Times New Roman" w:cs="Times New Roman"/>
          <w:sz w:val="16"/>
          <w:szCs w:val="16"/>
        </w:rPr>
        <w:t xml:space="preserve"> I </w:t>
      </w:r>
      <w:r w:rsidRPr="00A07F29">
        <w:rPr>
          <w:rFonts w:ascii="Cambria Math" w:eastAsia="Calibri" w:hAnsi="Cambria Math" w:cs="Cambria Math"/>
          <w:sz w:val="16"/>
          <w:szCs w:val="16"/>
        </w:rPr>
        <w:t>‐</w:t>
      </w:r>
      <w:r w:rsidRPr="00A07F29">
        <w:rPr>
          <w:rFonts w:ascii="Times New Roman" w:eastAsia="Calibri" w:hAnsi="Times New Roman" w:cs="Times New Roman"/>
          <w:sz w:val="16"/>
          <w:szCs w:val="16"/>
        </w:rPr>
        <w:t xml:space="preserve"> uzlabojas</w:t>
      </w:r>
      <w:r w:rsidR="00D65BBA" w:rsidRPr="00A07F29">
        <w:rPr>
          <w:rFonts w:ascii="Times New Roman" w:eastAsia="Calibri" w:hAnsi="Times New Roman" w:cs="Times New Roman"/>
          <w:sz w:val="16"/>
          <w:szCs w:val="16"/>
        </w:rPr>
        <w:t xml:space="preserve"> </w:t>
      </w:r>
      <w:r w:rsidRPr="00A07F29">
        <w:rPr>
          <w:rFonts w:ascii="Times New Roman" w:eastAsia="Calibri" w:hAnsi="Times New Roman" w:cs="Times New Roman"/>
          <w:sz w:val="16"/>
          <w:szCs w:val="16"/>
        </w:rPr>
        <w:t xml:space="preserve">D </w:t>
      </w:r>
      <w:r w:rsidRPr="00A07F29">
        <w:rPr>
          <w:rFonts w:ascii="Cambria Math" w:eastAsia="Calibri" w:hAnsi="Cambria Math" w:cs="Cambria Math"/>
          <w:sz w:val="16"/>
          <w:szCs w:val="16"/>
        </w:rPr>
        <w:t>‐</w:t>
      </w:r>
      <w:r w:rsidRPr="00A07F29">
        <w:rPr>
          <w:rFonts w:ascii="Times New Roman" w:eastAsia="Calibri" w:hAnsi="Times New Roman" w:cs="Times New Roman"/>
          <w:sz w:val="16"/>
          <w:szCs w:val="16"/>
        </w:rPr>
        <w:t xml:space="preserve"> pasliktinās</w:t>
      </w:r>
      <w:r w:rsidR="00D65BBA" w:rsidRPr="00A07F29">
        <w:rPr>
          <w:rFonts w:ascii="Times New Roman" w:eastAsia="Calibri" w:hAnsi="Times New Roman" w:cs="Times New Roman"/>
          <w:sz w:val="16"/>
          <w:szCs w:val="16"/>
        </w:rPr>
        <w:t xml:space="preserve"> </w:t>
      </w:r>
      <w:r w:rsidRPr="00A07F29">
        <w:rPr>
          <w:rFonts w:ascii="Times New Roman" w:eastAsia="Calibri" w:hAnsi="Times New Roman" w:cs="Times New Roman"/>
          <w:sz w:val="16"/>
          <w:szCs w:val="16"/>
        </w:rPr>
        <w:t xml:space="preserve">S </w:t>
      </w:r>
      <w:r w:rsidRPr="00A07F29">
        <w:rPr>
          <w:rFonts w:ascii="Cambria Math" w:eastAsia="Calibri" w:hAnsi="Cambria Math" w:cs="Cambria Math"/>
          <w:sz w:val="16"/>
          <w:szCs w:val="16"/>
        </w:rPr>
        <w:t>‐</w:t>
      </w:r>
      <w:r w:rsidRPr="00A07F29">
        <w:rPr>
          <w:rFonts w:ascii="Times New Roman" w:eastAsia="Calibri" w:hAnsi="Times New Roman" w:cs="Times New Roman"/>
          <w:sz w:val="16"/>
          <w:szCs w:val="16"/>
        </w:rPr>
        <w:t xml:space="preserve"> stabils</w:t>
      </w:r>
      <w:r w:rsidR="00D65BBA" w:rsidRPr="00A07F29">
        <w:rPr>
          <w:rFonts w:ascii="Times New Roman" w:eastAsia="Calibri" w:hAnsi="Times New Roman" w:cs="Times New Roman"/>
          <w:sz w:val="16"/>
          <w:szCs w:val="16"/>
        </w:rPr>
        <w:t xml:space="preserve"> </w:t>
      </w:r>
      <w:r w:rsidRPr="00A07F29">
        <w:rPr>
          <w:rFonts w:ascii="Times New Roman" w:eastAsia="Calibri" w:hAnsi="Times New Roman" w:cs="Times New Roman"/>
          <w:sz w:val="16"/>
          <w:szCs w:val="16"/>
        </w:rPr>
        <w:t xml:space="preserve">x </w:t>
      </w:r>
      <w:r w:rsidR="005A4D00">
        <w:rPr>
          <w:rFonts w:ascii="Times New Roman" w:eastAsia="Calibri" w:hAnsi="Times New Roman" w:cs="Times New Roman"/>
          <w:sz w:val="16"/>
          <w:szCs w:val="16"/>
        </w:rPr>
        <w:t xml:space="preserve">- </w:t>
      </w:r>
      <w:r w:rsidRPr="00A07F29">
        <w:rPr>
          <w:rFonts w:ascii="Times New Roman" w:eastAsia="Calibri" w:hAnsi="Times New Roman" w:cs="Times New Roman"/>
          <w:sz w:val="16"/>
          <w:szCs w:val="16"/>
        </w:rPr>
        <w:t>nezināms</w:t>
      </w:r>
    </w:p>
    <w:p w14:paraId="6940CFF8" w14:textId="02778894" w:rsidR="00DD437F" w:rsidRPr="00A07F29" w:rsidRDefault="00DD437F" w:rsidP="00FA20FB">
      <w:pPr>
        <w:spacing w:after="120" w:line="240" w:lineRule="auto"/>
        <w:ind w:right="74"/>
        <w:jc w:val="both"/>
        <w:rPr>
          <w:rFonts w:ascii="Times New Roman" w:eastAsia="Calibri" w:hAnsi="Times New Roman" w:cs="Times New Roman"/>
          <w:sz w:val="16"/>
          <w:szCs w:val="16"/>
        </w:rPr>
      </w:pPr>
      <w:r w:rsidRPr="00A07F29">
        <w:rPr>
          <w:rFonts w:ascii="Times New Roman" w:eastAsia="Calibri" w:hAnsi="Times New Roman" w:cs="Times New Roman"/>
          <w:b/>
          <w:spacing w:val="-3"/>
          <w:sz w:val="16"/>
          <w:szCs w:val="16"/>
        </w:rPr>
        <w:t>B</w:t>
      </w:r>
      <w:r w:rsidRPr="00A07F29">
        <w:rPr>
          <w:rFonts w:ascii="Times New Roman" w:eastAsia="Calibri" w:hAnsi="Times New Roman" w:cs="Times New Roman"/>
          <w:b/>
          <w:sz w:val="16"/>
          <w:szCs w:val="16"/>
        </w:rPr>
        <w:t>D</w:t>
      </w:r>
      <w:r w:rsidRPr="00A07F29">
        <w:rPr>
          <w:rFonts w:ascii="Times New Roman" w:eastAsia="Calibri" w:hAnsi="Times New Roman" w:cs="Times New Roman"/>
          <w:b/>
          <w:spacing w:val="7"/>
          <w:sz w:val="16"/>
          <w:szCs w:val="16"/>
        </w:rPr>
        <w:t xml:space="preserve"> </w:t>
      </w:r>
      <w:r w:rsidRPr="00A07F29">
        <w:rPr>
          <w:rFonts w:ascii="Times New Roman" w:eastAsia="Calibri" w:hAnsi="Times New Roman" w:cs="Times New Roman"/>
          <w:sz w:val="16"/>
          <w:szCs w:val="16"/>
        </w:rPr>
        <w:t>-</w:t>
      </w:r>
      <w:r w:rsidRPr="00A07F29">
        <w:rPr>
          <w:rFonts w:ascii="Times New Roman" w:eastAsia="Calibri" w:hAnsi="Times New Roman" w:cs="Times New Roman"/>
          <w:spacing w:val="5"/>
          <w:sz w:val="16"/>
          <w:szCs w:val="16"/>
        </w:rPr>
        <w:t xml:space="preserve"> </w:t>
      </w:r>
      <w:r w:rsidR="00047510">
        <w:rPr>
          <w:rFonts w:ascii="Times New Roman" w:eastAsia="Calibri" w:hAnsi="Times New Roman" w:cs="Times New Roman"/>
          <w:spacing w:val="1"/>
          <w:sz w:val="16"/>
          <w:szCs w:val="16"/>
        </w:rPr>
        <w:t>Biotopu</w:t>
      </w:r>
      <w:r w:rsidRPr="00A07F29">
        <w:rPr>
          <w:rFonts w:ascii="Times New Roman" w:eastAsia="Calibri" w:hAnsi="Times New Roman" w:cs="Times New Roman"/>
          <w:spacing w:val="2"/>
          <w:sz w:val="16"/>
          <w:szCs w:val="16"/>
        </w:rPr>
        <w:t xml:space="preserve"> </w:t>
      </w:r>
      <w:r w:rsidR="00047510">
        <w:rPr>
          <w:rFonts w:ascii="Times New Roman" w:eastAsia="Calibri" w:hAnsi="Times New Roman" w:cs="Times New Roman"/>
          <w:sz w:val="16"/>
          <w:szCs w:val="16"/>
        </w:rPr>
        <w:t>d</w:t>
      </w:r>
      <w:r w:rsidRPr="00A07F29">
        <w:rPr>
          <w:rFonts w:ascii="Times New Roman" w:eastAsia="Calibri" w:hAnsi="Times New Roman" w:cs="Times New Roman"/>
          <w:spacing w:val="1"/>
          <w:sz w:val="16"/>
          <w:szCs w:val="16"/>
        </w:rPr>
        <w:t>i</w:t>
      </w:r>
      <w:r w:rsidRPr="00A07F29">
        <w:rPr>
          <w:rFonts w:ascii="Times New Roman" w:eastAsia="Calibri" w:hAnsi="Times New Roman" w:cs="Times New Roman"/>
          <w:spacing w:val="2"/>
          <w:sz w:val="16"/>
          <w:szCs w:val="16"/>
        </w:rPr>
        <w:t>re</w:t>
      </w:r>
      <w:r w:rsidRPr="00A07F29">
        <w:rPr>
          <w:rFonts w:ascii="Times New Roman" w:eastAsia="Calibri" w:hAnsi="Times New Roman" w:cs="Times New Roman"/>
          <w:spacing w:val="-2"/>
          <w:sz w:val="16"/>
          <w:szCs w:val="16"/>
        </w:rPr>
        <w:t>k</w:t>
      </w:r>
      <w:r w:rsidRPr="00A07F29">
        <w:rPr>
          <w:rFonts w:ascii="Times New Roman" w:eastAsia="Calibri" w:hAnsi="Times New Roman" w:cs="Times New Roman"/>
          <w:spacing w:val="1"/>
          <w:sz w:val="16"/>
          <w:szCs w:val="16"/>
        </w:rPr>
        <w:t>tī</w:t>
      </w:r>
      <w:r w:rsidRPr="00A07F29">
        <w:rPr>
          <w:rFonts w:ascii="Times New Roman" w:eastAsia="Calibri" w:hAnsi="Times New Roman" w:cs="Times New Roman"/>
          <w:sz w:val="16"/>
          <w:szCs w:val="16"/>
        </w:rPr>
        <w:t>va:</w:t>
      </w:r>
      <w:r w:rsidRPr="00A07F29">
        <w:rPr>
          <w:rFonts w:ascii="Times New Roman" w:eastAsia="Calibri" w:hAnsi="Times New Roman" w:cs="Times New Roman"/>
          <w:spacing w:val="2"/>
          <w:sz w:val="16"/>
          <w:szCs w:val="16"/>
        </w:rPr>
        <w:t xml:space="preserve"> </w:t>
      </w:r>
      <w:r w:rsidRPr="00A07F29">
        <w:rPr>
          <w:rFonts w:ascii="Times New Roman" w:eastAsia="Calibri" w:hAnsi="Times New Roman" w:cs="Times New Roman"/>
          <w:b/>
          <w:sz w:val="16"/>
          <w:szCs w:val="16"/>
        </w:rPr>
        <w:t>II</w:t>
      </w:r>
      <w:r w:rsidR="00DF4566">
        <w:rPr>
          <w:rFonts w:ascii="Times New Roman" w:eastAsia="Calibri" w:hAnsi="Times New Roman" w:cs="Times New Roman"/>
          <w:b/>
          <w:spacing w:val="5"/>
          <w:sz w:val="16"/>
          <w:szCs w:val="16"/>
        </w:rPr>
        <w:t xml:space="preserve"> </w:t>
      </w:r>
      <w:r w:rsidRPr="00A07F29">
        <w:rPr>
          <w:rFonts w:ascii="Times New Roman" w:eastAsia="Calibri" w:hAnsi="Times New Roman" w:cs="Times New Roman"/>
          <w:sz w:val="16"/>
          <w:szCs w:val="16"/>
        </w:rPr>
        <w:t>p</w:t>
      </w:r>
      <w:r w:rsidRPr="00A07F29">
        <w:rPr>
          <w:rFonts w:ascii="Times New Roman" w:eastAsia="Calibri" w:hAnsi="Times New Roman" w:cs="Times New Roman"/>
          <w:spacing w:val="1"/>
          <w:sz w:val="16"/>
          <w:szCs w:val="16"/>
        </w:rPr>
        <w:t>i</w:t>
      </w:r>
      <w:r w:rsidRPr="00A07F29">
        <w:rPr>
          <w:rFonts w:ascii="Times New Roman" w:eastAsia="Calibri" w:hAnsi="Times New Roman" w:cs="Times New Roman"/>
          <w:spacing w:val="-1"/>
          <w:sz w:val="16"/>
          <w:szCs w:val="16"/>
        </w:rPr>
        <w:t>e</w:t>
      </w:r>
      <w:r w:rsidRPr="00A07F29">
        <w:rPr>
          <w:rFonts w:ascii="Times New Roman" w:eastAsia="Calibri" w:hAnsi="Times New Roman" w:cs="Times New Roman"/>
          <w:spacing w:val="1"/>
          <w:sz w:val="16"/>
          <w:szCs w:val="16"/>
        </w:rPr>
        <w:t>l</w:t>
      </w:r>
      <w:r w:rsidRPr="00A07F29">
        <w:rPr>
          <w:rFonts w:ascii="Times New Roman" w:eastAsia="Calibri" w:hAnsi="Times New Roman" w:cs="Times New Roman"/>
          <w:spacing w:val="3"/>
          <w:sz w:val="16"/>
          <w:szCs w:val="16"/>
        </w:rPr>
        <w:t>i</w:t>
      </w:r>
      <w:r w:rsidRPr="00A07F29">
        <w:rPr>
          <w:rFonts w:ascii="Times New Roman" w:eastAsia="Calibri" w:hAnsi="Times New Roman" w:cs="Times New Roman"/>
          <w:spacing w:val="-2"/>
          <w:sz w:val="16"/>
          <w:szCs w:val="16"/>
        </w:rPr>
        <w:t>k</w:t>
      </w:r>
      <w:r w:rsidRPr="00A07F29">
        <w:rPr>
          <w:rFonts w:ascii="Times New Roman" w:eastAsia="Calibri" w:hAnsi="Times New Roman" w:cs="Times New Roman"/>
          <w:spacing w:val="2"/>
          <w:sz w:val="16"/>
          <w:szCs w:val="16"/>
        </w:rPr>
        <w:t>u</w:t>
      </w:r>
      <w:r w:rsidRPr="00A07F29">
        <w:rPr>
          <w:rFonts w:ascii="Times New Roman" w:eastAsia="Calibri" w:hAnsi="Times New Roman" w:cs="Times New Roman"/>
          <w:spacing w:val="-2"/>
          <w:sz w:val="16"/>
          <w:szCs w:val="16"/>
        </w:rPr>
        <w:t>m</w:t>
      </w:r>
      <w:r w:rsidRPr="00A07F29">
        <w:rPr>
          <w:rFonts w:ascii="Times New Roman" w:eastAsia="Calibri" w:hAnsi="Times New Roman" w:cs="Times New Roman"/>
          <w:sz w:val="16"/>
          <w:szCs w:val="16"/>
        </w:rPr>
        <w:t>s.</w:t>
      </w:r>
      <w:r w:rsidRPr="00A07F29">
        <w:rPr>
          <w:rFonts w:ascii="Times New Roman" w:eastAsia="Calibri" w:hAnsi="Times New Roman" w:cs="Times New Roman"/>
          <w:spacing w:val="1"/>
          <w:sz w:val="16"/>
          <w:szCs w:val="16"/>
        </w:rPr>
        <w:t xml:space="preserve"> </w:t>
      </w:r>
      <w:r w:rsidRPr="00A07F29">
        <w:rPr>
          <w:rFonts w:ascii="Times New Roman" w:eastAsia="Calibri" w:hAnsi="Times New Roman" w:cs="Times New Roman"/>
          <w:sz w:val="16"/>
          <w:szCs w:val="16"/>
        </w:rPr>
        <w:t>D</w:t>
      </w:r>
      <w:r w:rsidRPr="00A07F29">
        <w:rPr>
          <w:rFonts w:ascii="Times New Roman" w:eastAsia="Calibri" w:hAnsi="Times New Roman" w:cs="Times New Roman"/>
          <w:spacing w:val="-1"/>
          <w:sz w:val="16"/>
          <w:szCs w:val="16"/>
        </w:rPr>
        <w:t>z</w:t>
      </w:r>
      <w:r w:rsidRPr="00A07F29">
        <w:rPr>
          <w:rFonts w:ascii="Times New Roman" w:eastAsia="Calibri" w:hAnsi="Times New Roman" w:cs="Times New Roman"/>
          <w:spacing w:val="1"/>
          <w:sz w:val="16"/>
          <w:szCs w:val="16"/>
        </w:rPr>
        <w:t>ī</w:t>
      </w:r>
      <w:r w:rsidRPr="00A07F29">
        <w:rPr>
          <w:rFonts w:ascii="Times New Roman" w:eastAsia="Calibri" w:hAnsi="Times New Roman" w:cs="Times New Roman"/>
          <w:sz w:val="16"/>
          <w:szCs w:val="16"/>
        </w:rPr>
        <w:t>vn</w:t>
      </w:r>
      <w:r w:rsidRPr="00A07F29">
        <w:rPr>
          <w:rFonts w:ascii="Times New Roman" w:eastAsia="Calibri" w:hAnsi="Times New Roman" w:cs="Times New Roman"/>
          <w:spacing w:val="1"/>
          <w:sz w:val="16"/>
          <w:szCs w:val="16"/>
        </w:rPr>
        <w:t>i</w:t>
      </w:r>
      <w:r w:rsidRPr="00A07F29">
        <w:rPr>
          <w:rFonts w:ascii="Times New Roman" w:eastAsia="Calibri" w:hAnsi="Times New Roman" w:cs="Times New Roman"/>
          <w:spacing w:val="2"/>
          <w:sz w:val="16"/>
          <w:szCs w:val="16"/>
        </w:rPr>
        <w:t>e</w:t>
      </w:r>
      <w:r w:rsidRPr="00A07F29">
        <w:rPr>
          <w:rFonts w:ascii="Times New Roman" w:eastAsia="Calibri" w:hAnsi="Times New Roman" w:cs="Times New Roman"/>
          <w:spacing w:val="-2"/>
          <w:sz w:val="16"/>
          <w:szCs w:val="16"/>
        </w:rPr>
        <w:t>k</w:t>
      </w:r>
      <w:r w:rsidRPr="00A07F29">
        <w:rPr>
          <w:rFonts w:ascii="Times New Roman" w:eastAsia="Calibri" w:hAnsi="Times New Roman" w:cs="Times New Roman"/>
          <w:sz w:val="16"/>
          <w:szCs w:val="16"/>
        </w:rPr>
        <w:t>u un</w:t>
      </w:r>
      <w:r w:rsidRPr="00A07F29">
        <w:rPr>
          <w:rFonts w:ascii="Times New Roman" w:eastAsia="Calibri" w:hAnsi="Times New Roman" w:cs="Times New Roman"/>
          <w:spacing w:val="6"/>
          <w:sz w:val="16"/>
          <w:szCs w:val="16"/>
        </w:rPr>
        <w:t xml:space="preserve"> </w:t>
      </w:r>
      <w:r w:rsidRPr="00A07F29">
        <w:rPr>
          <w:rFonts w:ascii="Times New Roman" w:eastAsia="Calibri" w:hAnsi="Times New Roman" w:cs="Times New Roman"/>
          <w:spacing w:val="-1"/>
          <w:sz w:val="16"/>
          <w:szCs w:val="16"/>
        </w:rPr>
        <w:t>a</w:t>
      </w:r>
      <w:r w:rsidRPr="00A07F29">
        <w:rPr>
          <w:rFonts w:ascii="Times New Roman" w:eastAsia="Calibri" w:hAnsi="Times New Roman" w:cs="Times New Roman"/>
          <w:spacing w:val="2"/>
          <w:sz w:val="16"/>
          <w:szCs w:val="16"/>
        </w:rPr>
        <w:t>u</w:t>
      </w:r>
      <w:r w:rsidRPr="00A07F29">
        <w:rPr>
          <w:rFonts w:ascii="Times New Roman" w:eastAsia="Calibri" w:hAnsi="Times New Roman" w:cs="Times New Roman"/>
          <w:sz w:val="16"/>
          <w:szCs w:val="16"/>
        </w:rPr>
        <w:t>gu</w:t>
      </w:r>
      <w:r w:rsidRPr="00A07F29">
        <w:rPr>
          <w:rFonts w:ascii="Times New Roman" w:eastAsia="Calibri" w:hAnsi="Times New Roman" w:cs="Times New Roman"/>
          <w:spacing w:val="3"/>
          <w:sz w:val="16"/>
          <w:szCs w:val="16"/>
        </w:rPr>
        <w:t xml:space="preserve"> </w:t>
      </w:r>
      <w:r w:rsidRPr="00A07F29">
        <w:rPr>
          <w:rFonts w:ascii="Times New Roman" w:eastAsia="Calibri" w:hAnsi="Times New Roman" w:cs="Times New Roman"/>
          <w:sz w:val="16"/>
          <w:szCs w:val="16"/>
        </w:rPr>
        <w:t>s</w:t>
      </w:r>
      <w:r w:rsidRPr="00A07F29">
        <w:rPr>
          <w:rFonts w:ascii="Times New Roman" w:eastAsia="Calibri" w:hAnsi="Times New Roman" w:cs="Times New Roman"/>
          <w:spacing w:val="2"/>
          <w:sz w:val="16"/>
          <w:szCs w:val="16"/>
        </w:rPr>
        <w:t>u</w:t>
      </w:r>
      <w:r w:rsidRPr="00A07F29">
        <w:rPr>
          <w:rFonts w:ascii="Times New Roman" w:eastAsia="Calibri" w:hAnsi="Times New Roman" w:cs="Times New Roman"/>
          <w:spacing w:val="-5"/>
          <w:sz w:val="16"/>
          <w:szCs w:val="16"/>
        </w:rPr>
        <w:t>g</w:t>
      </w:r>
      <w:r w:rsidRPr="00A07F29">
        <w:rPr>
          <w:rFonts w:ascii="Times New Roman" w:eastAsia="Calibri" w:hAnsi="Times New Roman" w:cs="Times New Roman"/>
          <w:spacing w:val="-1"/>
          <w:sz w:val="16"/>
          <w:szCs w:val="16"/>
        </w:rPr>
        <w:t>a</w:t>
      </w:r>
      <w:r w:rsidRPr="00A07F29">
        <w:rPr>
          <w:rFonts w:ascii="Times New Roman" w:eastAsia="Calibri" w:hAnsi="Times New Roman" w:cs="Times New Roman"/>
          <w:sz w:val="16"/>
          <w:szCs w:val="16"/>
        </w:rPr>
        <w:t>s,</w:t>
      </w:r>
      <w:r w:rsidRPr="00A07F29">
        <w:rPr>
          <w:rFonts w:ascii="Times New Roman" w:eastAsia="Calibri" w:hAnsi="Times New Roman" w:cs="Times New Roman"/>
          <w:spacing w:val="4"/>
          <w:sz w:val="16"/>
          <w:szCs w:val="16"/>
        </w:rPr>
        <w:t xml:space="preserve"> </w:t>
      </w:r>
      <w:r w:rsidRPr="00A07F29">
        <w:rPr>
          <w:rFonts w:ascii="Times New Roman" w:eastAsia="Calibri" w:hAnsi="Times New Roman" w:cs="Times New Roman"/>
          <w:sz w:val="16"/>
          <w:szCs w:val="16"/>
        </w:rPr>
        <w:t>k</w:t>
      </w:r>
      <w:r w:rsidRPr="00A07F29">
        <w:rPr>
          <w:rFonts w:ascii="Times New Roman" w:eastAsia="Calibri" w:hAnsi="Times New Roman" w:cs="Times New Roman"/>
          <w:spacing w:val="-1"/>
          <w:sz w:val="16"/>
          <w:szCs w:val="16"/>
        </w:rPr>
        <w:t>a</w:t>
      </w:r>
      <w:r w:rsidRPr="00A07F29">
        <w:rPr>
          <w:rFonts w:ascii="Times New Roman" w:eastAsia="Calibri" w:hAnsi="Times New Roman" w:cs="Times New Roman"/>
          <w:sz w:val="16"/>
          <w:szCs w:val="16"/>
        </w:rPr>
        <w:t>s</w:t>
      </w:r>
      <w:r w:rsidRPr="00A07F29">
        <w:rPr>
          <w:rFonts w:ascii="Times New Roman" w:eastAsia="Calibri" w:hAnsi="Times New Roman" w:cs="Times New Roman"/>
          <w:spacing w:val="4"/>
          <w:sz w:val="16"/>
          <w:szCs w:val="16"/>
        </w:rPr>
        <w:t xml:space="preserve"> </w:t>
      </w:r>
      <w:r w:rsidRPr="00A07F29">
        <w:rPr>
          <w:rFonts w:ascii="Times New Roman" w:eastAsia="Calibri" w:hAnsi="Times New Roman" w:cs="Times New Roman"/>
          <w:spacing w:val="1"/>
          <w:sz w:val="16"/>
          <w:szCs w:val="16"/>
        </w:rPr>
        <w:t>i</w:t>
      </w:r>
      <w:r w:rsidRPr="00A07F29">
        <w:rPr>
          <w:rFonts w:ascii="Times New Roman" w:eastAsia="Calibri" w:hAnsi="Times New Roman" w:cs="Times New Roman"/>
          <w:sz w:val="16"/>
          <w:szCs w:val="16"/>
        </w:rPr>
        <w:t>r</w:t>
      </w:r>
      <w:r w:rsidRPr="00A07F29">
        <w:rPr>
          <w:rFonts w:ascii="Times New Roman" w:eastAsia="Calibri" w:hAnsi="Times New Roman" w:cs="Times New Roman"/>
          <w:spacing w:val="8"/>
          <w:sz w:val="16"/>
          <w:szCs w:val="16"/>
        </w:rPr>
        <w:t xml:space="preserve"> </w:t>
      </w:r>
      <w:r w:rsidRPr="00A07F29">
        <w:rPr>
          <w:rFonts w:ascii="Times New Roman" w:eastAsia="Calibri" w:hAnsi="Times New Roman" w:cs="Times New Roman"/>
          <w:spacing w:val="-3"/>
          <w:sz w:val="16"/>
          <w:szCs w:val="16"/>
        </w:rPr>
        <w:t>K</w:t>
      </w:r>
      <w:r w:rsidRPr="00A07F29">
        <w:rPr>
          <w:rFonts w:ascii="Times New Roman" w:eastAsia="Calibri" w:hAnsi="Times New Roman" w:cs="Times New Roman"/>
          <w:sz w:val="16"/>
          <w:szCs w:val="16"/>
        </w:rPr>
        <w:t>op</w:t>
      </w:r>
      <w:r w:rsidRPr="00A07F29">
        <w:rPr>
          <w:rFonts w:ascii="Times New Roman" w:eastAsia="Calibri" w:hAnsi="Times New Roman" w:cs="Times New Roman"/>
          <w:spacing w:val="1"/>
          <w:sz w:val="16"/>
          <w:szCs w:val="16"/>
        </w:rPr>
        <w:t>i</w:t>
      </w:r>
      <w:r w:rsidRPr="00A07F29">
        <w:rPr>
          <w:rFonts w:ascii="Times New Roman" w:eastAsia="Calibri" w:hAnsi="Times New Roman" w:cs="Times New Roman"/>
          <w:spacing w:val="-1"/>
          <w:sz w:val="16"/>
          <w:szCs w:val="16"/>
        </w:rPr>
        <w:t>e</w:t>
      </w:r>
      <w:r w:rsidRPr="00A07F29">
        <w:rPr>
          <w:rFonts w:ascii="Times New Roman" w:eastAsia="Calibri" w:hAnsi="Times New Roman" w:cs="Times New Roman"/>
          <w:spacing w:val="2"/>
          <w:sz w:val="16"/>
          <w:szCs w:val="16"/>
        </w:rPr>
        <w:t>n</w:t>
      </w:r>
      <w:r w:rsidRPr="00A07F29">
        <w:rPr>
          <w:rFonts w:ascii="Times New Roman" w:eastAsia="Calibri" w:hAnsi="Times New Roman" w:cs="Times New Roman"/>
          <w:spacing w:val="-1"/>
          <w:sz w:val="16"/>
          <w:szCs w:val="16"/>
        </w:rPr>
        <w:t>a</w:t>
      </w:r>
      <w:r w:rsidRPr="00A07F29">
        <w:rPr>
          <w:rFonts w:ascii="Times New Roman" w:eastAsia="Calibri" w:hAnsi="Times New Roman" w:cs="Times New Roman"/>
          <w:sz w:val="16"/>
          <w:szCs w:val="16"/>
        </w:rPr>
        <w:t xml:space="preserve">s </w:t>
      </w:r>
      <w:r w:rsidRPr="00A07F29">
        <w:rPr>
          <w:rFonts w:ascii="Times New Roman" w:eastAsia="Calibri" w:hAnsi="Times New Roman" w:cs="Times New Roman"/>
          <w:spacing w:val="1"/>
          <w:sz w:val="16"/>
          <w:szCs w:val="16"/>
        </w:rPr>
        <w:t>i</w:t>
      </w:r>
      <w:r w:rsidRPr="00A07F29">
        <w:rPr>
          <w:rFonts w:ascii="Times New Roman" w:eastAsia="Calibri" w:hAnsi="Times New Roman" w:cs="Times New Roman"/>
          <w:sz w:val="16"/>
          <w:szCs w:val="16"/>
        </w:rPr>
        <w:t>n</w:t>
      </w:r>
      <w:r w:rsidRPr="00A07F29">
        <w:rPr>
          <w:rFonts w:ascii="Times New Roman" w:eastAsia="Calibri" w:hAnsi="Times New Roman" w:cs="Times New Roman"/>
          <w:spacing w:val="1"/>
          <w:sz w:val="16"/>
          <w:szCs w:val="16"/>
        </w:rPr>
        <w:t>t</w:t>
      </w:r>
      <w:r w:rsidRPr="00A07F29">
        <w:rPr>
          <w:rFonts w:ascii="Times New Roman" w:eastAsia="Calibri" w:hAnsi="Times New Roman" w:cs="Times New Roman"/>
          <w:spacing w:val="-1"/>
          <w:sz w:val="16"/>
          <w:szCs w:val="16"/>
        </w:rPr>
        <w:t>ere</w:t>
      </w:r>
      <w:r w:rsidRPr="00A07F29">
        <w:rPr>
          <w:rFonts w:ascii="Times New Roman" w:eastAsia="Calibri" w:hAnsi="Times New Roman" w:cs="Times New Roman"/>
          <w:sz w:val="16"/>
          <w:szCs w:val="16"/>
        </w:rPr>
        <w:t>šu</w:t>
      </w:r>
      <w:r w:rsidRPr="00A07F29">
        <w:rPr>
          <w:rFonts w:ascii="Times New Roman" w:eastAsia="Calibri" w:hAnsi="Times New Roman" w:cs="Times New Roman"/>
          <w:spacing w:val="2"/>
          <w:sz w:val="16"/>
          <w:szCs w:val="16"/>
        </w:rPr>
        <w:t xml:space="preserve"> </w:t>
      </w:r>
      <w:r w:rsidRPr="00A07F29">
        <w:rPr>
          <w:rFonts w:ascii="Times New Roman" w:eastAsia="Calibri" w:hAnsi="Times New Roman" w:cs="Times New Roman"/>
          <w:sz w:val="16"/>
          <w:szCs w:val="16"/>
        </w:rPr>
        <w:t>s</w:t>
      </w:r>
      <w:r w:rsidRPr="00A07F29">
        <w:rPr>
          <w:rFonts w:ascii="Times New Roman" w:eastAsia="Calibri" w:hAnsi="Times New Roman" w:cs="Times New Roman"/>
          <w:spacing w:val="-1"/>
          <w:sz w:val="16"/>
          <w:szCs w:val="16"/>
        </w:rPr>
        <w:t>fēr</w:t>
      </w:r>
      <w:r w:rsidRPr="00A07F29">
        <w:rPr>
          <w:rFonts w:ascii="Times New Roman" w:eastAsia="Calibri" w:hAnsi="Times New Roman" w:cs="Times New Roman"/>
          <w:sz w:val="16"/>
          <w:szCs w:val="16"/>
        </w:rPr>
        <w:t>ā</w:t>
      </w:r>
      <w:r w:rsidRPr="00A07F29">
        <w:rPr>
          <w:rFonts w:ascii="Times New Roman" w:eastAsia="Calibri" w:hAnsi="Times New Roman" w:cs="Times New Roman"/>
          <w:spacing w:val="3"/>
          <w:sz w:val="16"/>
          <w:szCs w:val="16"/>
        </w:rPr>
        <w:t xml:space="preserve"> </w:t>
      </w:r>
      <w:r w:rsidRPr="00A07F29">
        <w:rPr>
          <w:rFonts w:ascii="Times New Roman" w:eastAsia="Calibri" w:hAnsi="Times New Roman" w:cs="Times New Roman"/>
          <w:sz w:val="16"/>
          <w:szCs w:val="16"/>
        </w:rPr>
        <w:t>un</w:t>
      </w:r>
      <w:r w:rsidRPr="00A07F29">
        <w:rPr>
          <w:rFonts w:ascii="Times New Roman" w:eastAsia="Calibri" w:hAnsi="Times New Roman" w:cs="Times New Roman"/>
          <w:spacing w:val="6"/>
          <w:sz w:val="16"/>
          <w:szCs w:val="16"/>
        </w:rPr>
        <w:t xml:space="preserve"> </w:t>
      </w:r>
      <w:r w:rsidRPr="00A07F29">
        <w:rPr>
          <w:rFonts w:ascii="Times New Roman" w:eastAsia="Calibri" w:hAnsi="Times New Roman" w:cs="Times New Roman"/>
          <w:spacing w:val="-2"/>
          <w:sz w:val="16"/>
          <w:szCs w:val="16"/>
        </w:rPr>
        <w:t>k</w:t>
      </w:r>
      <w:r w:rsidRPr="00A07F29">
        <w:rPr>
          <w:rFonts w:ascii="Times New Roman" w:eastAsia="Calibri" w:hAnsi="Times New Roman" w:cs="Times New Roman"/>
          <w:sz w:val="16"/>
          <w:szCs w:val="16"/>
        </w:rPr>
        <w:t>u</w:t>
      </w:r>
      <w:r w:rsidRPr="00A07F29">
        <w:rPr>
          <w:rFonts w:ascii="Times New Roman" w:eastAsia="Calibri" w:hAnsi="Times New Roman" w:cs="Times New Roman"/>
          <w:spacing w:val="-1"/>
          <w:sz w:val="16"/>
          <w:szCs w:val="16"/>
        </w:rPr>
        <w:t>r</w:t>
      </w:r>
      <w:r w:rsidRPr="00A07F29">
        <w:rPr>
          <w:rFonts w:ascii="Times New Roman" w:eastAsia="Calibri" w:hAnsi="Times New Roman" w:cs="Times New Roman"/>
          <w:sz w:val="16"/>
          <w:szCs w:val="16"/>
        </w:rPr>
        <w:t>u</w:t>
      </w:r>
      <w:r w:rsidRPr="00A07F29">
        <w:rPr>
          <w:rFonts w:ascii="Times New Roman" w:eastAsia="Calibri" w:hAnsi="Times New Roman" w:cs="Times New Roman"/>
          <w:spacing w:val="4"/>
          <w:sz w:val="16"/>
          <w:szCs w:val="16"/>
        </w:rPr>
        <w:t xml:space="preserve"> </w:t>
      </w:r>
      <w:r w:rsidRPr="00A07F29">
        <w:rPr>
          <w:rFonts w:ascii="Times New Roman" w:eastAsia="Calibri" w:hAnsi="Times New Roman" w:cs="Times New Roman"/>
          <w:spacing w:val="-1"/>
          <w:sz w:val="16"/>
          <w:szCs w:val="16"/>
        </w:rPr>
        <w:t>a</w:t>
      </w:r>
      <w:r w:rsidRPr="00A07F29">
        <w:rPr>
          <w:rFonts w:ascii="Times New Roman" w:eastAsia="Calibri" w:hAnsi="Times New Roman" w:cs="Times New Roman"/>
          <w:spacing w:val="1"/>
          <w:sz w:val="16"/>
          <w:szCs w:val="16"/>
        </w:rPr>
        <w:t>i</w:t>
      </w:r>
      <w:r w:rsidRPr="00A07F29">
        <w:rPr>
          <w:rFonts w:ascii="Times New Roman" w:eastAsia="Calibri" w:hAnsi="Times New Roman" w:cs="Times New Roman"/>
          <w:spacing w:val="-1"/>
          <w:sz w:val="16"/>
          <w:szCs w:val="16"/>
        </w:rPr>
        <w:t>z</w:t>
      </w:r>
      <w:r w:rsidRPr="00A07F29">
        <w:rPr>
          <w:rFonts w:ascii="Times New Roman" w:eastAsia="Calibri" w:hAnsi="Times New Roman" w:cs="Times New Roman"/>
          <w:sz w:val="16"/>
          <w:szCs w:val="16"/>
        </w:rPr>
        <w:t>s</w:t>
      </w:r>
      <w:r w:rsidRPr="00A07F29">
        <w:rPr>
          <w:rFonts w:ascii="Times New Roman" w:eastAsia="Calibri" w:hAnsi="Times New Roman" w:cs="Times New Roman"/>
          <w:spacing w:val="-1"/>
          <w:sz w:val="16"/>
          <w:szCs w:val="16"/>
        </w:rPr>
        <w:t>ar</w:t>
      </w:r>
      <w:r w:rsidRPr="00A07F29">
        <w:rPr>
          <w:rFonts w:ascii="Times New Roman" w:eastAsia="Calibri" w:hAnsi="Times New Roman" w:cs="Times New Roman"/>
          <w:spacing w:val="2"/>
          <w:sz w:val="16"/>
          <w:szCs w:val="16"/>
        </w:rPr>
        <w:t>d</w:t>
      </w:r>
      <w:r w:rsidRPr="00A07F29">
        <w:rPr>
          <w:rFonts w:ascii="Times New Roman" w:eastAsia="Calibri" w:hAnsi="Times New Roman" w:cs="Times New Roman"/>
          <w:spacing w:val="-1"/>
          <w:sz w:val="16"/>
          <w:szCs w:val="16"/>
        </w:rPr>
        <w:t>z</w:t>
      </w:r>
      <w:r w:rsidRPr="00A07F29">
        <w:rPr>
          <w:rFonts w:ascii="Times New Roman" w:eastAsia="Calibri" w:hAnsi="Times New Roman" w:cs="Times New Roman"/>
          <w:spacing w:val="1"/>
          <w:sz w:val="16"/>
          <w:szCs w:val="16"/>
        </w:rPr>
        <w:t>ī</w:t>
      </w:r>
      <w:r w:rsidRPr="00A07F29">
        <w:rPr>
          <w:rFonts w:ascii="Times New Roman" w:eastAsia="Calibri" w:hAnsi="Times New Roman" w:cs="Times New Roman"/>
          <w:sz w:val="16"/>
          <w:szCs w:val="16"/>
        </w:rPr>
        <w:t>b</w:t>
      </w:r>
      <w:r w:rsidRPr="00A07F29">
        <w:rPr>
          <w:rFonts w:ascii="Times New Roman" w:eastAsia="Calibri" w:hAnsi="Times New Roman" w:cs="Times New Roman"/>
          <w:spacing w:val="-1"/>
          <w:sz w:val="16"/>
          <w:szCs w:val="16"/>
        </w:rPr>
        <w:t>a</w:t>
      </w:r>
      <w:r w:rsidRPr="00A07F29">
        <w:rPr>
          <w:rFonts w:ascii="Times New Roman" w:eastAsia="Calibri" w:hAnsi="Times New Roman" w:cs="Times New Roman"/>
          <w:sz w:val="16"/>
          <w:szCs w:val="16"/>
        </w:rPr>
        <w:t>i</w:t>
      </w:r>
      <w:r w:rsidRPr="00A07F29">
        <w:rPr>
          <w:rFonts w:ascii="Times New Roman" w:eastAsia="Calibri" w:hAnsi="Times New Roman" w:cs="Times New Roman"/>
          <w:spacing w:val="2"/>
          <w:sz w:val="16"/>
          <w:szCs w:val="16"/>
        </w:rPr>
        <w:t xml:space="preserve"> </w:t>
      </w:r>
      <w:r w:rsidRPr="00A07F29">
        <w:rPr>
          <w:rFonts w:ascii="Times New Roman" w:eastAsia="Calibri" w:hAnsi="Times New Roman" w:cs="Times New Roman"/>
          <w:sz w:val="16"/>
          <w:szCs w:val="16"/>
        </w:rPr>
        <w:t>n</w:t>
      </w:r>
      <w:r w:rsidRPr="00A07F29">
        <w:rPr>
          <w:rFonts w:ascii="Times New Roman" w:eastAsia="Calibri" w:hAnsi="Times New Roman" w:cs="Times New Roman"/>
          <w:spacing w:val="-1"/>
          <w:sz w:val="16"/>
          <w:szCs w:val="16"/>
        </w:rPr>
        <w:t>e</w:t>
      </w:r>
      <w:r w:rsidRPr="00A07F29">
        <w:rPr>
          <w:rFonts w:ascii="Times New Roman" w:eastAsia="Calibri" w:hAnsi="Times New Roman" w:cs="Times New Roman"/>
          <w:sz w:val="16"/>
          <w:szCs w:val="16"/>
        </w:rPr>
        <w:t>p</w:t>
      </w:r>
      <w:r w:rsidRPr="00A07F29">
        <w:rPr>
          <w:rFonts w:ascii="Times New Roman" w:eastAsia="Calibri" w:hAnsi="Times New Roman" w:cs="Times New Roman"/>
          <w:spacing w:val="1"/>
          <w:sz w:val="16"/>
          <w:szCs w:val="16"/>
        </w:rPr>
        <w:t>i</w:t>
      </w:r>
      <w:r w:rsidRPr="00A07F29">
        <w:rPr>
          <w:rFonts w:ascii="Times New Roman" w:eastAsia="Calibri" w:hAnsi="Times New Roman" w:cs="Times New Roman"/>
          <w:spacing w:val="-1"/>
          <w:sz w:val="16"/>
          <w:szCs w:val="16"/>
        </w:rPr>
        <w:t>ec</w:t>
      </w:r>
      <w:r w:rsidRPr="00A07F29">
        <w:rPr>
          <w:rFonts w:ascii="Times New Roman" w:eastAsia="Calibri" w:hAnsi="Times New Roman" w:cs="Times New Roman"/>
          <w:spacing w:val="1"/>
          <w:sz w:val="16"/>
          <w:szCs w:val="16"/>
        </w:rPr>
        <w:t>i</w:t>
      </w:r>
      <w:r w:rsidRPr="00A07F29">
        <w:rPr>
          <w:rFonts w:ascii="Times New Roman" w:eastAsia="Calibri" w:hAnsi="Times New Roman" w:cs="Times New Roman"/>
          <w:spacing w:val="-1"/>
          <w:sz w:val="16"/>
          <w:szCs w:val="16"/>
        </w:rPr>
        <w:t>e</w:t>
      </w:r>
      <w:r w:rsidRPr="00A07F29">
        <w:rPr>
          <w:rFonts w:ascii="Times New Roman" w:eastAsia="Calibri" w:hAnsi="Times New Roman" w:cs="Times New Roman"/>
          <w:spacing w:val="3"/>
          <w:sz w:val="16"/>
          <w:szCs w:val="16"/>
        </w:rPr>
        <w:t>š</w:t>
      </w:r>
      <w:r w:rsidRPr="00A07F29">
        <w:rPr>
          <w:rFonts w:ascii="Times New Roman" w:eastAsia="Calibri" w:hAnsi="Times New Roman" w:cs="Times New Roman"/>
          <w:spacing w:val="2"/>
          <w:sz w:val="16"/>
          <w:szCs w:val="16"/>
        </w:rPr>
        <w:t>a</w:t>
      </w:r>
      <w:r w:rsidRPr="00A07F29">
        <w:rPr>
          <w:rFonts w:ascii="Times New Roman" w:eastAsia="Calibri" w:hAnsi="Times New Roman" w:cs="Times New Roman"/>
          <w:spacing w:val="-2"/>
          <w:sz w:val="16"/>
          <w:szCs w:val="16"/>
        </w:rPr>
        <w:t>m</w:t>
      </w:r>
      <w:r w:rsidRPr="00A07F29">
        <w:rPr>
          <w:rFonts w:ascii="Times New Roman" w:eastAsia="Calibri" w:hAnsi="Times New Roman" w:cs="Times New Roman"/>
          <w:sz w:val="16"/>
          <w:szCs w:val="16"/>
        </w:rPr>
        <w:t>a</w:t>
      </w:r>
      <w:r w:rsidRPr="00A07F29">
        <w:rPr>
          <w:rFonts w:ascii="Times New Roman" w:eastAsia="Calibri" w:hAnsi="Times New Roman" w:cs="Times New Roman"/>
          <w:spacing w:val="2"/>
          <w:sz w:val="16"/>
          <w:szCs w:val="16"/>
        </w:rPr>
        <w:t xml:space="preserve"> </w:t>
      </w:r>
      <w:r w:rsidRPr="00A07F29">
        <w:rPr>
          <w:rFonts w:ascii="Times New Roman" w:eastAsia="Calibri" w:hAnsi="Times New Roman" w:cs="Times New Roman"/>
          <w:spacing w:val="1"/>
          <w:sz w:val="16"/>
          <w:szCs w:val="16"/>
        </w:rPr>
        <w:t>ī</w:t>
      </w:r>
      <w:r w:rsidRPr="00A07F29">
        <w:rPr>
          <w:rFonts w:ascii="Times New Roman" w:eastAsia="Calibri" w:hAnsi="Times New Roman" w:cs="Times New Roman"/>
          <w:sz w:val="16"/>
          <w:szCs w:val="16"/>
        </w:rPr>
        <w:t>p</w:t>
      </w:r>
      <w:r w:rsidRPr="00A07F29">
        <w:rPr>
          <w:rFonts w:ascii="Times New Roman" w:eastAsia="Calibri" w:hAnsi="Times New Roman" w:cs="Times New Roman"/>
          <w:spacing w:val="-1"/>
          <w:sz w:val="16"/>
          <w:szCs w:val="16"/>
        </w:rPr>
        <w:t>a</w:t>
      </w:r>
      <w:r w:rsidRPr="00A07F29">
        <w:rPr>
          <w:rFonts w:ascii="Times New Roman" w:eastAsia="Calibri" w:hAnsi="Times New Roman" w:cs="Times New Roman"/>
          <w:sz w:val="16"/>
          <w:szCs w:val="16"/>
        </w:rPr>
        <w:t>ši</w:t>
      </w:r>
      <w:r w:rsidRPr="00A07F29">
        <w:rPr>
          <w:rFonts w:ascii="Times New Roman" w:eastAsia="Calibri" w:hAnsi="Times New Roman" w:cs="Times New Roman"/>
          <w:spacing w:val="4"/>
          <w:sz w:val="16"/>
          <w:szCs w:val="16"/>
        </w:rPr>
        <w:t xml:space="preserve"> </w:t>
      </w:r>
      <w:r w:rsidRPr="00A07F29">
        <w:rPr>
          <w:rFonts w:ascii="Times New Roman" w:eastAsia="Calibri" w:hAnsi="Times New Roman" w:cs="Times New Roman"/>
          <w:spacing w:val="-1"/>
          <w:sz w:val="16"/>
          <w:szCs w:val="16"/>
        </w:rPr>
        <w:t>a</w:t>
      </w:r>
      <w:r w:rsidRPr="00A07F29">
        <w:rPr>
          <w:rFonts w:ascii="Times New Roman" w:eastAsia="Calibri" w:hAnsi="Times New Roman" w:cs="Times New Roman"/>
          <w:spacing w:val="1"/>
          <w:sz w:val="16"/>
          <w:szCs w:val="16"/>
        </w:rPr>
        <w:t>i</w:t>
      </w:r>
      <w:r w:rsidRPr="00A07F29">
        <w:rPr>
          <w:rFonts w:ascii="Times New Roman" w:eastAsia="Calibri" w:hAnsi="Times New Roman" w:cs="Times New Roman"/>
          <w:spacing w:val="-1"/>
          <w:sz w:val="16"/>
          <w:szCs w:val="16"/>
        </w:rPr>
        <w:t>z</w:t>
      </w:r>
      <w:r w:rsidRPr="00A07F29">
        <w:rPr>
          <w:rFonts w:ascii="Times New Roman" w:eastAsia="Calibri" w:hAnsi="Times New Roman" w:cs="Times New Roman"/>
          <w:sz w:val="16"/>
          <w:szCs w:val="16"/>
        </w:rPr>
        <w:t>s</w:t>
      </w:r>
      <w:r w:rsidRPr="00A07F29">
        <w:rPr>
          <w:rFonts w:ascii="Times New Roman" w:eastAsia="Calibri" w:hAnsi="Times New Roman" w:cs="Times New Roman"/>
          <w:spacing w:val="-1"/>
          <w:sz w:val="16"/>
          <w:szCs w:val="16"/>
        </w:rPr>
        <w:t>a</w:t>
      </w:r>
      <w:r w:rsidRPr="00A07F29">
        <w:rPr>
          <w:rFonts w:ascii="Times New Roman" w:eastAsia="Calibri" w:hAnsi="Times New Roman" w:cs="Times New Roman"/>
          <w:spacing w:val="2"/>
          <w:sz w:val="16"/>
          <w:szCs w:val="16"/>
        </w:rPr>
        <w:t>r</w:t>
      </w:r>
      <w:r w:rsidRPr="00A07F29">
        <w:rPr>
          <w:rFonts w:ascii="Times New Roman" w:eastAsia="Calibri" w:hAnsi="Times New Roman" w:cs="Times New Roman"/>
          <w:spacing w:val="-2"/>
          <w:sz w:val="16"/>
          <w:szCs w:val="16"/>
        </w:rPr>
        <w:t>g</w:t>
      </w:r>
      <w:r w:rsidRPr="00A07F29">
        <w:rPr>
          <w:rFonts w:ascii="Times New Roman" w:eastAsia="Calibri" w:hAnsi="Times New Roman" w:cs="Times New Roman"/>
          <w:spacing w:val="2"/>
          <w:sz w:val="16"/>
          <w:szCs w:val="16"/>
        </w:rPr>
        <w:t>ā</w:t>
      </w:r>
      <w:r w:rsidRPr="00A07F29">
        <w:rPr>
          <w:rFonts w:ascii="Times New Roman" w:eastAsia="Calibri" w:hAnsi="Times New Roman" w:cs="Times New Roman"/>
          <w:spacing w:val="1"/>
          <w:sz w:val="16"/>
          <w:szCs w:val="16"/>
        </w:rPr>
        <w:t>j</w:t>
      </w:r>
      <w:r w:rsidRPr="00A07F29">
        <w:rPr>
          <w:rFonts w:ascii="Times New Roman" w:eastAsia="Calibri" w:hAnsi="Times New Roman" w:cs="Times New Roman"/>
          <w:spacing w:val="2"/>
          <w:sz w:val="16"/>
          <w:szCs w:val="16"/>
        </w:rPr>
        <w:t>a</w:t>
      </w:r>
      <w:r w:rsidRPr="00A07F29">
        <w:rPr>
          <w:rFonts w:ascii="Times New Roman" w:eastAsia="Calibri" w:hAnsi="Times New Roman" w:cs="Times New Roman"/>
          <w:spacing w:val="-2"/>
          <w:sz w:val="16"/>
          <w:szCs w:val="16"/>
        </w:rPr>
        <w:t>m</w:t>
      </w:r>
      <w:r w:rsidRPr="00A07F29">
        <w:rPr>
          <w:rFonts w:ascii="Times New Roman" w:eastAsia="Calibri" w:hAnsi="Times New Roman" w:cs="Times New Roman"/>
          <w:sz w:val="16"/>
          <w:szCs w:val="16"/>
        </w:rPr>
        <w:t>o</w:t>
      </w:r>
      <w:r w:rsidRPr="00A07F29">
        <w:rPr>
          <w:rFonts w:ascii="Times New Roman" w:eastAsia="Calibri" w:hAnsi="Times New Roman" w:cs="Times New Roman"/>
          <w:spacing w:val="2"/>
          <w:sz w:val="16"/>
          <w:szCs w:val="16"/>
        </w:rPr>
        <w:t xml:space="preserve"> </w:t>
      </w:r>
      <w:r w:rsidRPr="00A07F29">
        <w:rPr>
          <w:rFonts w:ascii="Times New Roman" w:eastAsia="Calibri" w:hAnsi="Times New Roman" w:cs="Times New Roman"/>
          <w:spacing w:val="1"/>
          <w:sz w:val="16"/>
          <w:szCs w:val="16"/>
        </w:rPr>
        <w:t>t</w:t>
      </w:r>
      <w:r w:rsidRPr="00A07F29">
        <w:rPr>
          <w:rFonts w:ascii="Times New Roman" w:eastAsia="Calibri" w:hAnsi="Times New Roman" w:cs="Times New Roman"/>
          <w:spacing w:val="-1"/>
          <w:sz w:val="16"/>
          <w:szCs w:val="16"/>
        </w:rPr>
        <w:t>er</w:t>
      </w:r>
      <w:r w:rsidRPr="00A07F29">
        <w:rPr>
          <w:rFonts w:ascii="Times New Roman" w:eastAsia="Calibri" w:hAnsi="Times New Roman" w:cs="Times New Roman"/>
          <w:spacing w:val="1"/>
          <w:sz w:val="16"/>
          <w:szCs w:val="16"/>
        </w:rPr>
        <w:t>it</w:t>
      </w:r>
      <w:r w:rsidRPr="00A07F29">
        <w:rPr>
          <w:rFonts w:ascii="Times New Roman" w:eastAsia="Calibri" w:hAnsi="Times New Roman" w:cs="Times New Roman"/>
          <w:sz w:val="16"/>
          <w:szCs w:val="16"/>
        </w:rPr>
        <w:t>o</w:t>
      </w:r>
      <w:r w:rsidRPr="00A07F29">
        <w:rPr>
          <w:rFonts w:ascii="Times New Roman" w:eastAsia="Calibri" w:hAnsi="Times New Roman" w:cs="Times New Roman"/>
          <w:spacing w:val="-1"/>
          <w:sz w:val="16"/>
          <w:szCs w:val="16"/>
        </w:rPr>
        <w:t>r</w:t>
      </w:r>
      <w:r w:rsidRPr="00A07F29">
        <w:rPr>
          <w:rFonts w:ascii="Times New Roman" w:eastAsia="Calibri" w:hAnsi="Times New Roman" w:cs="Times New Roman"/>
          <w:spacing w:val="1"/>
          <w:sz w:val="16"/>
          <w:szCs w:val="16"/>
        </w:rPr>
        <w:t>ij</w:t>
      </w:r>
      <w:r w:rsidRPr="00A07F29">
        <w:rPr>
          <w:rFonts w:ascii="Times New Roman" w:eastAsia="Calibri" w:hAnsi="Times New Roman" w:cs="Times New Roman"/>
          <w:sz w:val="16"/>
          <w:szCs w:val="16"/>
        </w:rPr>
        <w:t>u</w:t>
      </w:r>
      <w:r w:rsidRPr="00A07F29">
        <w:rPr>
          <w:rFonts w:ascii="Times New Roman" w:eastAsia="Calibri" w:hAnsi="Times New Roman" w:cs="Times New Roman"/>
          <w:spacing w:val="2"/>
          <w:sz w:val="16"/>
          <w:szCs w:val="16"/>
        </w:rPr>
        <w:t xml:space="preserve"> </w:t>
      </w:r>
      <w:r w:rsidRPr="00A07F29">
        <w:rPr>
          <w:rFonts w:ascii="Times New Roman" w:eastAsia="Calibri" w:hAnsi="Times New Roman" w:cs="Times New Roman"/>
          <w:sz w:val="16"/>
          <w:szCs w:val="16"/>
        </w:rPr>
        <w:t>nod</w:t>
      </w:r>
      <w:r w:rsidRPr="00A07F29">
        <w:rPr>
          <w:rFonts w:ascii="Times New Roman" w:eastAsia="Calibri" w:hAnsi="Times New Roman" w:cs="Times New Roman"/>
          <w:spacing w:val="-1"/>
          <w:sz w:val="16"/>
          <w:szCs w:val="16"/>
        </w:rPr>
        <w:t>a</w:t>
      </w:r>
      <w:r w:rsidRPr="00A07F29">
        <w:rPr>
          <w:rFonts w:ascii="Times New Roman" w:eastAsia="Calibri" w:hAnsi="Times New Roman" w:cs="Times New Roman"/>
          <w:spacing w:val="1"/>
          <w:sz w:val="16"/>
          <w:szCs w:val="16"/>
        </w:rPr>
        <w:t>lī</w:t>
      </w:r>
      <w:r w:rsidRPr="00A07F29">
        <w:rPr>
          <w:rFonts w:ascii="Times New Roman" w:eastAsia="Calibri" w:hAnsi="Times New Roman" w:cs="Times New Roman"/>
          <w:sz w:val="16"/>
          <w:szCs w:val="16"/>
        </w:rPr>
        <w:t>š</w:t>
      </w:r>
      <w:r w:rsidRPr="00A07F29">
        <w:rPr>
          <w:rFonts w:ascii="Times New Roman" w:eastAsia="Calibri" w:hAnsi="Times New Roman" w:cs="Times New Roman"/>
          <w:spacing w:val="-1"/>
          <w:sz w:val="16"/>
          <w:szCs w:val="16"/>
        </w:rPr>
        <w:t>a</w:t>
      </w:r>
      <w:r w:rsidRPr="00A07F29">
        <w:rPr>
          <w:rFonts w:ascii="Times New Roman" w:eastAsia="Calibri" w:hAnsi="Times New Roman" w:cs="Times New Roman"/>
          <w:sz w:val="16"/>
          <w:szCs w:val="16"/>
        </w:rPr>
        <w:t>n</w:t>
      </w:r>
      <w:r w:rsidRPr="00A07F29">
        <w:rPr>
          <w:rFonts w:ascii="Times New Roman" w:eastAsia="Calibri" w:hAnsi="Times New Roman" w:cs="Times New Roman"/>
          <w:spacing w:val="-1"/>
          <w:sz w:val="16"/>
          <w:szCs w:val="16"/>
        </w:rPr>
        <w:t>a</w:t>
      </w:r>
      <w:r w:rsidRPr="00A07F29">
        <w:rPr>
          <w:rFonts w:ascii="Times New Roman" w:eastAsia="Calibri" w:hAnsi="Times New Roman" w:cs="Times New Roman"/>
          <w:sz w:val="16"/>
          <w:szCs w:val="16"/>
        </w:rPr>
        <w:t xml:space="preserve">. </w:t>
      </w:r>
      <w:r w:rsidRPr="00A07F29">
        <w:rPr>
          <w:rFonts w:ascii="Times New Roman" w:eastAsia="Calibri" w:hAnsi="Times New Roman" w:cs="Times New Roman"/>
          <w:b/>
          <w:sz w:val="16"/>
          <w:szCs w:val="16"/>
        </w:rPr>
        <w:t>*</w:t>
      </w:r>
      <w:r w:rsidRPr="00A07F29">
        <w:rPr>
          <w:rFonts w:ascii="Times New Roman" w:eastAsia="Calibri" w:hAnsi="Times New Roman" w:cs="Times New Roman"/>
          <w:b/>
          <w:spacing w:val="2"/>
          <w:sz w:val="16"/>
          <w:szCs w:val="16"/>
        </w:rPr>
        <w:t xml:space="preserve"> </w:t>
      </w:r>
      <w:r w:rsidRPr="00A07F29">
        <w:rPr>
          <w:rFonts w:ascii="Times New Roman" w:eastAsia="Calibri" w:hAnsi="Times New Roman" w:cs="Times New Roman"/>
          <w:sz w:val="16"/>
          <w:szCs w:val="16"/>
        </w:rPr>
        <w:t>- p</w:t>
      </w:r>
      <w:r w:rsidRPr="00A07F29">
        <w:rPr>
          <w:rFonts w:ascii="Times New Roman" w:eastAsia="Calibri" w:hAnsi="Times New Roman" w:cs="Times New Roman"/>
          <w:spacing w:val="-1"/>
          <w:sz w:val="16"/>
          <w:szCs w:val="16"/>
        </w:rPr>
        <w:t>r</w:t>
      </w:r>
      <w:r w:rsidRPr="00A07F29">
        <w:rPr>
          <w:rFonts w:ascii="Times New Roman" w:eastAsia="Calibri" w:hAnsi="Times New Roman" w:cs="Times New Roman"/>
          <w:spacing w:val="1"/>
          <w:sz w:val="16"/>
          <w:szCs w:val="16"/>
        </w:rPr>
        <w:t>i</w:t>
      </w:r>
      <w:r w:rsidRPr="00A07F29">
        <w:rPr>
          <w:rFonts w:ascii="Times New Roman" w:eastAsia="Calibri" w:hAnsi="Times New Roman" w:cs="Times New Roman"/>
          <w:sz w:val="16"/>
          <w:szCs w:val="16"/>
        </w:rPr>
        <w:t>o</w:t>
      </w:r>
      <w:r w:rsidRPr="00A07F29">
        <w:rPr>
          <w:rFonts w:ascii="Times New Roman" w:eastAsia="Calibri" w:hAnsi="Times New Roman" w:cs="Times New Roman"/>
          <w:spacing w:val="-1"/>
          <w:sz w:val="16"/>
          <w:szCs w:val="16"/>
        </w:rPr>
        <w:t>r</w:t>
      </w:r>
      <w:r w:rsidRPr="00A07F29">
        <w:rPr>
          <w:rFonts w:ascii="Times New Roman" w:eastAsia="Calibri" w:hAnsi="Times New Roman" w:cs="Times New Roman"/>
          <w:spacing w:val="1"/>
          <w:sz w:val="16"/>
          <w:szCs w:val="16"/>
        </w:rPr>
        <w:t>it</w:t>
      </w:r>
      <w:r w:rsidRPr="00A07F29">
        <w:rPr>
          <w:rFonts w:ascii="Times New Roman" w:eastAsia="Calibri" w:hAnsi="Times New Roman" w:cs="Times New Roman"/>
          <w:spacing w:val="-1"/>
          <w:sz w:val="16"/>
          <w:szCs w:val="16"/>
        </w:rPr>
        <w:t>ār</w:t>
      </w:r>
      <w:r w:rsidRPr="00A07F29">
        <w:rPr>
          <w:rFonts w:ascii="Times New Roman" w:eastAsia="Calibri" w:hAnsi="Times New Roman" w:cs="Times New Roman"/>
          <w:sz w:val="16"/>
          <w:szCs w:val="16"/>
        </w:rPr>
        <w:t>a</w:t>
      </w:r>
      <w:r w:rsidRPr="00A07F29">
        <w:rPr>
          <w:rFonts w:ascii="Times New Roman" w:eastAsia="Calibri" w:hAnsi="Times New Roman" w:cs="Times New Roman"/>
          <w:spacing w:val="-3"/>
          <w:sz w:val="16"/>
          <w:szCs w:val="16"/>
        </w:rPr>
        <w:t xml:space="preserve"> </w:t>
      </w:r>
      <w:r w:rsidRPr="00A07F29">
        <w:rPr>
          <w:rFonts w:ascii="Times New Roman" w:eastAsia="Calibri" w:hAnsi="Times New Roman" w:cs="Times New Roman"/>
          <w:sz w:val="16"/>
          <w:szCs w:val="16"/>
        </w:rPr>
        <w:t>s</w:t>
      </w:r>
      <w:r w:rsidRPr="00A07F29">
        <w:rPr>
          <w:rFonts w:ascii="Times New Roman" w:eastAsia="Calibri" w:hAnsi="Times New Roman" w:cs="Times New Roman"/>
          <w:spacing w:val="2"/>
          <w:sz w:val="16"/>
          <w:szCs w:val="16"/>
        </w:rPr>
        <w:t>u</w:t>
      </w:r>
      <w:r w:rsidRPr="00A07F29">
        <w:rPr>
          <w:rFonts w:ascii="Times New Roman" w:eastAsia="Calibri" w:hAnsi="Times New Roman" w:cs="Times New Roman"/>
          <w:spacing w:val="-2"/>
          <w:sz w:val="16"/>
          <w:szCs w:val="16"/>
        </w:rPr>
        <w:t>g</w:t>
      </w:r>
      <w:r w:rsidRPr="00A07F29">
        <w:rPr>
          <w:rFonts w:ascii="Times New Roman" w:eastAsia="Calibri" w:hAnsi="Times New Roman" w:cs="Times New Roman"/>
          <w:spacing w:val="-1"/>
          <w:sz w:val="16"/>
          <w:szCs w:val="16"/>
        </w:rPr>
        <w:t>a</w:t>
      </w:r>
      <w:r w:rsidRPr="00A07F29">
        <w:rPr>
          <w:rFonts w:ascii="Times New Roman" w:eastAsia="Calibri" w:hAnsi="Times New Roman" w:cs="Times New Roman"/>
          <w:sz w:val="16"/>
          <w:szCs w:val="16"/>
        </w:rPr>
        <w:t xml:space="preserve">; </w:t>
      </w:r>
      <w:r w:rsidRPr="00A07F29">
        <w:rPr>
          <w:rFonts w:ascii="Times New Roman" w:eastAsia="Calibri" w:hAnsi="Times New Roman" w:cs="Times New Roman"/>
          <w:b/>
          <w:sz w:val="16"/>
          <w:szCs w:val="16"/>
        </w:rPr>
        <w:t>IV</w:t>
      </w:r>
      <w:r w:rsidRPr="00A07F29">
        <w:rPr>
          <w:rFonts w:ascii="Times New Roman" w:eastAsia="Calibri" w:hAnsi="Times New Roman" w:cs="Times New Roman"/>
          <w:b/>
          <w:spacing w:val="-1"/>
          <w:sz w:val="16"/>
          <w:szCs w:val="16"/>
        </w:rPr>
        <w:t xml:space="preserve"> </w:t>
      </w:r>
      <w:r w:rsidRPr="00A07F29">
        <w:rPr>
          <w:rFonts w:ascii="Times New Roman" w:eastAsia="Calibri" w:hAnsi="Times New Roman" w:cs="Times New Roman"/>
          <w:sz w:val="16"/>
          <w:szCs w:val="16"/>
        </w:rPr>
        <w:t>p</w:t>
      </w:r>
      <w:r w:rsidRPr="00A07F29">
        <w:rPr>
          <w:rFonts w:ascii="Times New Roman" w:eastAsia="Calibri" w:hAnsi="Times New Roman" w:cs="Times New Roman"/>
          <w:spacing w:val="1"/>
          <w:sz w:val="16"/>
          <w:szCs w:val="16"/>
        </w:rPr>
        <w:t>i</w:t>
      </w:r>
      <w:r w:rsidRPr="00A07F29">
        <w:rPr>
          <w:rFonts w:ascii="Times New Roman" w:eastAsia="Calibri" w:hAnsi="Times New Roman" w:cs="Times New Roman"/>
          <w:spacing w:val="-1"/>
          <w:sz w:val="16"/>
          <w:szCs w:val="16"/>
        </w:rPr>
        <w:t>e</w:t>
      </w:r>
      <w:r w:rsidRPr="00A07F29">
        <w:rPr>
          <w:rFonts w:ascii="Times New Roman" w:eastAsia="Calibri" w:hAnsi="Times New Roman" w:cs="Times New Roman"/>
          <w:spacing w:val="1"/>
          <w:sz w:val="16"/>
          <w:szCs w:val="16"/>
        </w:rPr>
        <w:t>li</w:t>
      </w:r>
      <w:r w:rsidRPr="00A07F29">
        <w:rPr>
          <w:rFonts w:ascii="Times New Roman" w:eastAsia="Calibri" w:hAnsi="Times New Roman" w:cs="Times New Roman"/>
          <w:spacing w:val="-2"/>
          <w:sz w:val="16"/>
          <w:szCs w:val="16"/>
        </w:rPr>
        <w:t>k</w:t>
      </w:r>
      <w:r w:rsidRPr="00A07F29">
        <w:rPr>
          <w:rFonts w:ascii="Times New Roman" w:eastAsia="Calibri" w:hAnsi="Times New Roman" w:cs="Times New Roman"/>
          <w:spacing w:val="2"/>
          <w:sz w:val="16"/>
          <w:szCs w:val="16"/>
        </w:rPr>
        <w:t>u</w:t>
      </w:r>
      <w:r w:rsidRPr="00A07F29">
        <w:rPr>
          <w:rFonts w:ascii="Times New Roman" w:eastAsia="Calibri" w:hAnsi="Times New Roman" w:cs="Times New Roman"/>
          <w:spacing w:val="-2"/>
          <w:sz w:val="16"/>
          <w:szCs w:val="16"/>
        </w:rPr>
        <w:t>m</w:t>
      </w:r>
      <w:r w:rsidRPr="00A07F29">
        <w:rPr>
          <w:rFonts w:ascii="Times New Roman" w:eastAsia="Calibri" w:hAnsi="Times New Roman" w:cs="Times New Roman"/>
          <w:sz w:val="16"/>
          <w:szCs w:val="16"/>
        </w:rPr>
        <w:t>s.</w:t>
      </w:r>
      <w:r w:rsidRPr="00A07F29">
        <w:rPr>
          <w:rFonts w:ascii="Times New Roman" w:eastAsia="Calibri" w:hAnsi="Times New Roman" w:cs="Times New Roman"/>
          <w:spacing w:val="-3"/>
          <w:sz w:val="16"/>
          <w:szCs w:val="16"/>
        </w:rPr>
        <w:t xml:space="preserve"> </w:t>
      </w:r>
      <w:r w:rsidRPr="00A07F29">
        <w:rPr>
          <w:rFonts w:ascii="Times New Roman" w:eastAsia="Calibri" w:hAnsi="Times New Roman" w:cs="Times New Roman"/>
          <w:sz w:val="16"/>
          <w:szCs w:val="16"/>
        </w:rPr>
        <w:t>D</w:t>
      </w:r>
      <w:r w:rsidRPr="00A07F29">
        <w:rPr>
          <w:rFonts w:ascii="Times New Roman" w:eastAsia="Calibri" w:hAnsi="Times New Roman" w:cs="Times New Roman"/>
          <w:spacing w:val="-1"/>
          <w:sz w:val="16"/>
          <w:szCs w:val="16"/>
        </w:rPr>
        <w:t>z</w:t>
      </w:r>
      <w:r w:rsidRPr="00A07F29">
        <w:rPr>
          <w:rFonts w:ascii="Times New Roman" w:eastAsia="Calibri" w:hAnsi="Times New Roman" w:cs="Times New Roman"/>
          <w:spacing w:val="1"/>
          <w:sz w:val="16"/>
          <w:szCs w:val="16"/>
        </w:rPr>
        <w:t>ī</w:t>
      </w:r>
      <w:r w:rsidRPr="00A07F29">
        <w:rPr>
          <w:rFonts w:ascii="Times New Roman" w:eastAsia="Calibri" w:hAnsi="Times New Roman" w:cs="Times New Roman"/>
          <w:sz w:val="16"/>
          <w:szCs w:val="16"/>
        </w:rPr>
        <w:t>vn</w:t>
      </w:r>
      <w:r w:rsidRPr="00A07F29">
        <w:rPr>
          <w:rFonts w:ascii="Times New Roman" w:eastAsia="Calibri" w:hAnsi="Times New Roman" w:cs="Times New Roman"/>
          <w:spacing w:val="1"/>
          <w:sz w:val="16"/>
          <w:szCs w:val="16"/>
        </w:rPr>
        <w:t>i</w:t>
      </w:r>
      <w:r w:rsidRPr="00A07F29">
        <w:rPr>
          <w:rFonts w:ascii="Times New Roman" w:eastAsia="Calibri" w:hAnsi="Times New Roman" w:cs="Times New Roman"/>
          <w:spacing w:val="2"/>
          <w:sz w:val="16"/>
          <w:szCs w:val="16"/>
        </w:rPr>
        <w:t>e</w:t>
      </w:r>
      <w:r w:rsidRPr="00A07F29">
        <w:rPr>
          <w:rFonts w:ascii="Times New Roman" w:eastAsia="Calibri" w:hAnsi="Times New Roman" w:cs="Times New Roman"/>
          <w:spacing w:val="-2"/>
          <w:sz w:val="16"/>
          <w:szCs w:val="16"/>
        </w:rPr>
        <w:t>k</w:t>
      </w:r>
      <w:r w:rsidRPr="00A07F29">
        <w:rPr>
          <w:rFonts w:ascii="Times New Roman" w:eastAsia="Calibri" w:hAnsi="Times New Roman" w:cs="Times New Roman"/>
          <w:sz w:val="16"/>
          <w:szCs w:val="16"/>
        </w:rPr>
        <w:t>u</w:t>
      </w:r>
      <w:r w:rsidRPr="00A07F29">
        <w:rPr>
          <w:rFonts w:ascii="Times New Roman" w:eastAsia="Calibri" w:hAnsi="Times New Roman" w:cs="Times New Roman"/>
          <w:spacing w:val="-5"/>
          <w:sz w:val="16"/>
          <w:szCs w:val="16"/>
        </w:rPr>
        <w:t xml:space="preserve"> </w:t>
      </w:r>
      <w:r w:rsidRPr="00A07F29">
        <w:rPr>
          <w:rFonts w:ascii="Times New Roman" w:eastAsia="Calibri" w:hAnsi="Times New Roman" w:cs="Times New Roman"/>
          <w:sz w:val="16"/>
          <w:szCs w:val="16"/>
        </w:rPr>
        <w:t xml:space="preserve">un </w:t>
      </w:r>
      <w:r w:rsidRPr="00A07F29">
        <w:rPr>
          <w:rFonts w:ascii="Times New Roman" w:eastAsia="Calibri" w:hAnsi="Times New Roman" w:cs="Times New Roman"/>
          <w:spacing w:val="-1"/>
          <w:sz w:val="16"/>
          <w:szCs w:val="16"/>
        </w:rPr>
        <w:t>a</w:t>
      </w:r>
      <w:r w:rsidRPr="00A07F29">
        <w:rPr>
          <w:rFonts w:ascii="Times New Roman" w:eastAsia="Calibri" w:hAnsi="Times New Roman" w:cs="Times New Roman"/>
          <w:spacing w:val="2"/>
          <w:sz w:val="16"/>
          <w:szCs w:val="16"/>
        </w:rPr>
        <w:t>u</w:t>
      </w:r>
      <w:r w:rsidRPr="00A07F29">
        <w:rPr>
          <w:rFonts w:ascii="Times New Roman" w:eastAsia="Calibri" w:hAnsi="Times New Roman" w:cs="Times New Roman"/>
          <w:spacing w:val="-5"/>
          <w:sz w:val="16"/>
          <w:szCs w:val="16"/>
        </w:rPr>
        <w:t>g</w:t>
      </w:r>
      <w:r w:rsidRPr="00A07F29">
        <w:rPr>
          <w:rFonts w:ascii="Times New Roman" w:eastAsia="Calibri" w:hAnsi="Times New Roman" w:cs="Times New Roman"/>
          <w:sz w:val="16"/>
          <w:szCs w:val="16"/>
        </w:rPr>
        <w:t>u</w:t>
      </w:r>
      <w:r w:rsidRPr="00A07F29">
        <w:rPr>
          <w:rFonts w:ascii="Times New Roman" w:eastAsia="Calibri" w:hAnsi="Times New Roman" w:cs="Times New Roman"/>
          <w:spacing w:val="-2"/>
          <w:sz w:val="16"/>
          <w:szCs w:val="16"/>
        </w:rPr>
        <w:t xml:space="preserve"> </w:t>
      </w:r>
      <w:r w:rsidRPr="00A07F29">
        <w:rPr>
          <w:rFonts w:ascii="Times New Roman" w:eastAsia="Calibri" w:hAnsi="Times New Roman" w:cs="Times New Roman"/>
          <w:sz w:val="16"/>
          <w:szCs w:val="16"/>
        </w:rPr>
        <w:t>s</w:t>
      </w:r>
      <w:r w:rsidRPr="00A07F29">
        <w:rPr>
          <w:rFonts w:ascii="Times New Roman" w:eastAsia="Calibri" w:hAnsi="Times New Roman" w:cs="Times New Roman"/>
          <w:spacing w:val="2"/>
          <w:sz w:val="16"/>
          <w:szCs w:val="16"/>
        </w:rPr>
        <w:t>u</w:t>
      </w:r>
      <w:r w:rsidRPr="00A07F29">
        <w:rPr>
          <w:rFonts w:ascii="Times New Roman" w:eastAsia="Calibri" w:hAnsi="Times New Roman" w:cs="Times New Roman"/>
          <w:spacing w:val="-2"/>
          <w:sz w:val="16"/>
          <w:szCs w:val="16"/>
        </w:rPr>
        <w:t>g</w:t>
      </w:r>
      <w:r w:rsidRPr="00A07F29">
        <w:rPr>
          <w:rFonts w:ascii="Times New Roman" w:eastAsia="Calibri" w:hAnsi="Times New Roman" w:cs="Times New Roman"/>
          <w:spacing w:val="-1"/>
          <w:sz w:val="16"/>
          <w:szCs w:val="16"/>
        </w:rPr>
        <w:t>a</w:t>
      </w:r>
      <w:r w:rsidRPr="00A07F29">
        <w:rPr>
          <w:rFonts w:ascii="Times New Roman" w:eastAsia="Calibri" w:hAnsi="Times New Roman" w:cs="Times New Roman"/>
          <w:sz w:val="16"/>
          <w:szCs w:val="16"/>
        </w:rPr>
        <w:t xml:space="preserve">s, </w:t>
      </w:r>
      <w:r w:rsidRPr="00A07F29">
        <w:rPr>
          <w:rFonts w:ascii="Times New Roman" w:eastAsia="Calibri" w:hAnsi="Times New Roman" w:cs="Times New Roman"/>
          <w:spacing w:val="-2"/>
          <w:sz w:val="16"/>
          <w:szCs w:val="16"/>
        </w:rPr>
        <w:t>k</w:t>
      </w:r>
      <w:r w:rsidRPr="00A07F29">
        <w:rPr>
          <w:rFonts w:ascii="Times New Roman" w:eastAsia="Calibri" w:hAnsi="Times New Roman" w:cs="Times New Roman"/>
          <w:spacing w:val="-1"/>
          <w:sz w:val="16"/>
          <w:szCs w:val="16"/>
        </w:rPr>
        <w:t>a</w:t>
      </w:r>
      <w:r w:rsidRPr="00A07F29">
        <w:rPr>
          <w:rFonts w:ascii="Times New Roman" w:eastAsia="Calibri" w:hAnsi="Times New Roman" w:cs="Times New Roman"/>
          <w:sz w:val="16"/>
          <w:szCs w:val="16"/>
        </w:rPr>
        <w:t>s</w:t>
      </w:r>
      <w:r w:rsidRPr="00A07F29">
        <w:rPr>
          <w:rFonts w:ascii="Times New Roman" w:eastAsia="Calibri" w:hAnsi="Times New Roman" w:cs="Times New Roman"/>
          <w:spacing w:val="1"/>
          <w:sz w:val="16"/>
          <w:szCs w:val="16"/>
        </w:rPr>
        <w:t xml:space="preserve"> i</w:t>
      </w:r>
      <w:r w:rsidRPr="00A07F29">
        <w:rPr>
          <w:rFonts w:ascii="Times New Roman" w:eastAsia="Calibri" w:hAnsi="Times New Roman" w:cs="Times New Roman"/>
          <w:sz w:val="16"/>
          <w:szCs w:val="16"/>
        </w:rPr>
        <w:t>r</w:t>
      </w:r>
      <w:r w:rsidRPr="00A07F29">
        <w:rPr>
          <w:rFonts w:ascii="Times New Roman" w:eastAsia="Calibri" w:hAnsi="Times New Roman" w:cs="Times New Roman"/>
          <w:spacing w:val="1"/>
          <w:sz w:val="16"/>
          <w:szCs w:val="16"/>
        </w:rPr>
        <w:t xml:space="preserve"> </w:t>
      </w:r>
      <w:r w:rsidRPr="00A07F29">
        <w:rPr>
          <w:rFonts w:ascii="Times New Roman" w:eastAsia="Calibri" w:hAnsi="Times New Roman" w:cs="Times New Roman"/>
          <w:spacing w:val="-3"/>
          <w:sz w:val="16"/>
          <w:szCs w:val="16"/>
        </w:rPr>
        <w:t>K</w:t>
      </w:r>
      <w:r w:rsidRPr="00A07F29">
        <w:rPr>
          <w:rFonts w:ascii="Times New Roman" w:eastAsia="Calibri" w:hAnsi="Times New Roman" w:cs="Times New Roman"/>
          <w:sz w:val="16"/>
          <w:szCs w:val="16"/>
        </w:rPr>
        <w:t>op</w:t>
      </w:r>
      <w:r w:rsidRPr="00A07F29">
        <w:rPr>
          <w:rFonts w:ascii="Times New Roman" w:eastAsia="Calibri" w:hAnsi="Times New Roman" w:cs="Times New Roman"/>
          <w:spacing w:val="3"/>
          <w:sz w:val="16"/>
          <w:szCs w:val="16"/>
        </w:rPr>
        <w:t>i</w:t>
      </w:r>
      <w:r w:rsidRPr="00A07F29">
        <w:rPr>
          <w:rFonts w:ascii="Times New Roman" w:eastAsia="Calibri" w:hAnsi="Times New Roman" w:cs="Times New Roman"/>
          <w:spacing w:val="2"/>
          <w:sz w:val="16"/>
          <w:szCs w:val="16"/>
        </w:rPr>
        <w:t>e</w:t>
      </w:r>
      <w:r w:rsidRPr="00A07F29">
        <w:rPr>
          <w:rFonts w:ascii="Times New Roman" w:eastAsia="Calibri" w:hAnsi="Times New Roman" w:cs="Times New Roman"/>
          <w:sz w:val="16"/>
          <w:szCs w:val="16"/>
        </w:rPr>
        <w:t>n</w:t>
      </w:r>
      <w:r w:rsidRPr="00A07F29">
        <w:rPr>
          <w:rFonts w:ascii="Times New Roman" w:eastAsia="Calibri" w:hAnsi="Times New Roman" w:cs="Times New Roman"/>
          <w:spacing w:val="-1"/>
          <w:sz w:val="16"/>
          <w:szCs w:val="16"/>
        </w:rPr>
        <w:t>a</w:t>
      </w:r>
      <w:r w:rsidRPr="00A07F29">
        <w:rPr>
          <w:rFonts w:ascii="Times New Roman" w:eastAsia="Calibri" w:hAnsi="Times New Roman" w:cs="Times New Roman"/>
          <w:sz w:val="16"/>
          <w:szCs w:val="16"/>
        </w:rPr>
        <w:t>s</w:t>
      </w:r>
      <w:r w:rsidRPr="00A07F29">
        <w:rPr>
          <w:rFonts w:ascii="Times New Roman" w:eastAsia="Calibri" w:hAnsi="Times New Roman" w:cs="Times New Roman"/>
          <w:spacing w:val="-3"/>
          <w:sz w:val="16"/>
          <w:szCs w:val="16"/>
        </w:rPr>
        <w:t xml:space="preserve"> </w:t>
      </w:r>
      <w:r w:rsidRPr="00A07F29">
        <w:rPr>
          <w:rFonts w:ascii="Times New Roman" w:eastAsia="Calibri" w:hAnsi="Times New Roman" w:cs="Times New Roman"/>
          <w:spacing w:val="1"/>
          <w:sz w:val="16"/>
          <w:szCs w:val="16"/>
        </w:rPr>
        <w:t>i</w:t>
      </w:r>
      <w:r w:rsidRPr="00A07F29">
        <w:rPr>
          <w:rFonts w:ascii="Times New Roman" w:eastAsia="Calibri" w:hAnsi="Times New Roman" w:cs="Times New Roman"/>
          <w:sz w:val="16"/>
          <w:szCs w:val="16"/>
        </w:rPr>
        <w:t>n</w:t>
      </w:r>
      <w:r w:rsidRPr="00A07F29">
        <w:rPr>
          <w:rFonts w:ascii="Times New Roman" w:eastAsia="Calibri" w:hAnsi="Times New Roman" w:cs="Times New Roman"/>
          <w:spacing w:val="1"/>
          <w:sz w:val="16"/>
          <w:szCs w:val="16"/>
        </w:rPr>
        <w:t>t</w:t>
      </w:r>
      <w:r w:rsidRPr="00A07F29">
        <w:rPr>
          <w:rFonts w:ascii="Times New Roman" w:eastAsia="Calibri" w:hAnsi="Times New Roman" w:cs="Times New Roman"/>
          <w:spacing w:val="-1"/>
          <w:sz w:val="16"/>
          <w:szCs w:val="16"/>
        </w:rPr>
        <w:t>ere</w:t>
      </w:r>
      <w:r w:rsidRPr="00A07F29">
        <w:rPr>
          <w:rFonts w:ascii="Times New Roman" w:eastAsia="Calibri" w:hAnsi="Times New Roman" w:cs="Times New Roman"/>
          <w:sz w:val="16"/>
          <w:szCs w:val="16"/>
        </w:rPr>
        <w:t>šu</w:t>
      </w:r>
      <w:r w:rsidRPr="00A07F29">
        <w:rPr>
          <w:rFonts w:ascii="Times New Roman" w:eastAsia="Calibri" w:hAnsi="Times New Roman" w:cs="Times New Roman"/>
          <w:spacing w:val="-2"/>
          <w:sz w:val="16"/>
          <w:szCs w:val="16"/>
        </w:rPr>
        <w:t xml:space="preserve"> </w:t>
      </w:r>
      <w:r w:rsidRPr="00A07F29">
        <w:rPr>
          <w:rFonts w:ascii="Times New Roman" w:eastAsia="Calibri" w:hAnsi="Times New Roman" w:cs="Times New Roman"/>
          <w:sz w:val="16"/>
          <w:szCs w:val="16"/>
        </w:rPr>
        <w:t>s</w:t>
      </w:r>
      <w:r w:rsidRPr="00A07F29">
        <w:rPr>
          <w:rFonts w:ascii="Times New Roman" w:eastAsia="Calibri" w:hAnsi="Times New Roman" w:cs="Times New Roman"/>
          <w:spacing w:val="-1"/>
          <w:sz w:val="16"/>
          <w:szCs w:val="16"/>
        </w:rPr>
        <w:t>fēr</w:t>
      </w:r>
      <w:r w:rsidRPr="00A07F29">
        <w:rPr>
          <w:rFonts w:ascii="Times New Roman" w:eastAsia="Calibri" w:hAnsi="Times New Roman" w:cs="Times New Roman"/>
          <w:sz w:val="16"/>
          <w:szCs w:val="16"/>
        </w:rPr>
        <w:t>ā</w:t>
      </w:r>
      <w:r w:rsidRPr="00A07F29">
        <w:rPr>
          <w:rFonts w:ascii="Times New Roman" w:eastAsia="Calibri" w:hAnsi="Times New Roman" w:cs="Times New Roman"/>
          <w:spacing w:val="-1"/>
          <w:sz w:val="16"/>
          <w:szCs w:val="16"/>
        </w:rPr>
        <w:t xml:space="preserve"> </w:t>
      </w:r>
      <w:r w:rsidRPr="00A07F29">
        <w:rPr>
          <w:rFonts w:ascii="Times New Roman" w:eastAsia="Calibri" w:hAnsi="Times New Roman" w:cs="Times New Roman"/>
          <w:sz w:val="16"/>
          <w:szCs w:val="16"/>
        </w:rPr>
        <w:t xml:space="preserve">un </w:t>
      </w:r>
      <w:r w:rsidRPr="00A07F29">
        <w:rPr>
          <w:rFonts w:ascii="Times New Roman" w:eastAsia="Calibri" w:hAnsi="Times New Roman" w:cs="Times New Roman"/>
          <w:spacing w:val="-2"/>
          <w:sz w:val="16"/>
          <w:szCs w:val="16"/>
        </w:rPr>
        <w:t>k</w:t>
      </w:r>
      <w:r w:rsidRPr="00A07F29">
        <w:rPr>
          <w:rFonts w:ascii="Times New Roman" w:eastAsia="Calibri" w:hAnsi="Times New Roman" w:cs="Times New Roman"/>
          <w:spacing w:val="2"/>
          <w:sz w:val="16"/>
          <w:szCs w:val="16"/>
        </w:rPr>
        <w:t>ur</w:t>
      </w:r>
      <w:r w:rsidRPr="00A07F29">
        <w:rPr>
          <w:rFonts w:ascii="Times New Roman" w:eastAsia="Calibri" w:hAnsi="Times New Roman" w:cs="Times New Roman"/>
          <w:sz w:val="16"/>
          <w:szCs w:val="16"/>
        </w:rPr>
        <w:t xml:space="preserve">u </w:t>
      </w:r>
      <w:r w:rsidRPr="00A07F29">
        <w:rPr>
          <w:rFonts w:ascii="Times New Roman" w:eastAsia="Calibri" w:hAnsi="Times New Roman" w:cs="Times New Roman"/>
          <w:spacing w:val="-1"/>
          <w:sz w:val="16"/>
          <w:szCs w:val="16"/>
        </w:rPr>
        <w:t>a</w:t>
      </w:r>
      <w:r w:rsidRPr="00A07F29">
        <w:rPr>
          <w:rFonts w:ascii="Times New Roman" w:eastAsia="Calibri" w:hAnsi="Times New Roman" w:cs="Times New Roman"/>
          <w:spacing w:val="1"/>
          <w:sz w:val="16"/>
          <w:szCs w:val="16"/>
        </w:rPr>
        <w:t>i</w:t>
      </w:r>
      <w:r w:rsidRPr="00A07F29">
        <w:rPr>
          <w:rFonts w:ascii="Times New Roman" w:eastAsia="Calibri" w:hAnsi="Times New Roman" w:cs="Times New Roman"/>
          <w:spacing w:val="-1"/>
          <w:sz w:val="16"/>
          <w:szCs w:val="16"/>
        </w:rPr>
        <w:t>z</w:t>
      </w:r>
      <w:r w:rsidRPr="00A07F29">
        <w:rPr>
          <w:rFonts w:ascii="Times New Roman" w:eastAsia="Calibri" w:hAnsi="Times New Roman" w:cs="Times New Roman"/>
          <w:sz w:val="16"/>
          <w:szCs w:val="16"/>
        </w:rPr>
        <w:t>s</w:t>
      </w:r>
      <w:r w:rsidRPr="00A07F29">
        <w:rPr>
          <w:rFonts w:ascii="Times New Roman" w:eastAsia="Calibri" w:hAnsi="Times New Roman" w:cs="Times New Roman"/>
          <w:spacing w:val="-1"/>
          <w:sz w:val="16"/>
          <w:szCs w:val="16"/>
        </w:rPr>
        <w:t>ar</w:t>
      </w:r>
      <w:r w:rsidRPr="00A07F29">
        <w:rPr>
          <w:rFonts w:ascii="Times New Roman" w:eastAsia="Calibri" w:hAnsi="Times New Roman" w:cs="Times New Roman"/>
          <w:spacing w:val="2"/>
          <w:sz w:val="16"/>
          <w:szCs w:val="16"/>
        </w:rPr>
        <w:t>d</w:t>
      </w:r>
      <w:r w:rsidRPr="00A07F29">
        <w:rPr>
          <w:rFonts w:ascii="Times New Roman" w:eastAsia="Calibri" w:hAnsi="Times New Roman" w:cs="Times New Roman"/>
          <w:spacing w:val="-1"/>
          <w:sz w:val="16"/>
          <w:szCs w:val="16"/>
        </w:rPr>
        <w:t>z</w:t>
      </w:r>
      <w:r w:rsidRPr="00A07F29">
        <w:rPr>
          <w:rFonts w:ascii="Times New Roman" w:eastAsia="Calibri" w:hAnsi="Times New Roman" w:cs="Times New Roman"/>
          <w:spacing w:val="1"/>
          <w:sz w:val="16"/>
          <w:szCs w:val="16"/>
        </w:rPr>
        <w:t>ī</w:t>
      </w:r>
      <w:r w:rsidRPr="00A07F29">
        <w:rPr>
          <w:rFonts w:ascii="Times New Roman" w:eastAsia="Calibri" w:hAnsi="Times New Roman" w:cs="Times New Roman"/>
          <w:sz w:val="16"/>
          <w:szCs w:val="16"/>
        </w:rPr>
        <w:t>b</w:t>
      </w:r>
      <w:r w:rsidRPr="00A07F29">
        <w:rPr>
          <w:rFonts w:ascii="Times New Roman" w:eastAsia="Calibri" w:hAnsi="Times New Roman" w:cs="Times New Roman"/>
          <w:spacing w:val="-1"/>
          <w:sz w:val="16"/>
          <w:szCs w:val="16"/>
        </w:rPr>
        <w:t>a</w:t>
      </w:r>
      <w:r w:rsidRPr="00A07F29">
        <w:rPr>
          <w:rFonts w:ascii="Times New Roman" w:eastAsia="Calibri" w:hAnsi="Times New Roman" w:cs="Times New Roman"/>
          <w:sz w:val="16"/>
          <w:szCs w:val="16"/>
        </w:rPr>
        <w:t>i</w:t>
      </w:r>
      <w:r w:rsidRPr="00A07F29">
        <w:rPr>
          <w:rFonts w:ascii="Times New Roman" w:eastAsia="Calibri" w:hAnsi="Times New Roman" w:cs="Times New Roman"/>
          <w:spacing w:val="3"/>
          <w:sz w:val="16"/>
          <w:szCs w:val="16"/>
        </w:rPr>
        <w:t xml:space="preserve"> </w:t>
      </w:r>
      <w:r w:rsidRPr="00A07F29">
        <w:rPr>
          <w:rFonts w:ascii="Times New Roman" w:eastAsia="Calibri" w:hAnsi="Times New Roman" w:cs="Times New Roman"/>
          <w:sz w:val="16"/>
          <w:szCs w:val="16"/>
        </w:rPr>
        <w:t>n</w:t>
      </w:r>
      <w:r w:rsidRPr="00A07F29">
        <w:rPr>
          <w:rFonts w:ascii="Times New Roman" w:eastAsia="Calibri" w:hAnsi="Times New Roman" w:cs="Times New Roman"/>
          <w:spacing w:val="-1"/>
          <w:sz w:val="16"/>
          <w:szCs w:val="16"/>
        </w:rPr>
        <w:t>e</w:t>
      </w:r>
      <w:r w:rsidRPr="00A07F29">
        <w:rPr>
          <w:rFonts w:ascii="Times New Roman" w:eastAsia="Calibri" w:hAnsi="Times New Roman" w:cs="Times New Roman"/>
          <w:sz w:val="16"/>
          <w:szCs w:val="16"/>
        </w:rPr>
        <w:t>p</w:t>
      </w:r>
      <w:r w:rsidRPr="00A07F29">
        <w:rPr>
          <w:rFonts w:ascii="Times New Roman" w:eastAsia="Calibri" w:hAnsi="Times New Roman" w:cs="Times New Roman"/>
          <w:spacing w:val="1"/>
          <w:sz w:val="16"/>
          <w:szCs w:val="16"/>
        </w:rPr>
        <w:t>i</w:t>
      </w:r>
      <w:r w:rsidRPr="00A07F29">
        <w:rPr>
          <w:rFonts w:ascii="Times New Roman" w:eastAsia="Calibri" w:hAnsi="Times New Roman" w:cs="Times New Roman"/>
          <w:spacing w:val="-1"/>
          <w:sz w:val="16"/>
          <w:szCs w:val="16"/>
        </w:rPr>
        <w:t>ec</w:t>
      </w:r>
      <w:r w:rsidRPr="00A07F29">
        <w:rPr>
          <w:rFonts w:ascii="Times New Roman" w:eastAsia="Calibri" w:hAnsi="Times New Roman" w:cs="Times New Roman"/>
          <w:spacing w:val="1"/>
          <w:sz w:val="16"/>
          <w:szCs w:val="16"/>
        </w:rPr>
        <w:t>i</w:t>
      </w:r>
      <w:r w:rsidRPr="00A07F29">
        <w:rPr>
          <w:rFonts w:ascii="Times New Roman" w:eastAsia="Calibri" w:hAnsi="Times New Roman" w:cs="Times New Roman"/>
          <w:spacing w:val="-1"/>
          <w:sz w:val="16"/>
          <w:szCs w:val="16"/>
        </w:rPr>
        <w:t>e</w:t>
      </w:r>
      <w:r w:rsidRPr="00A07F29">
        <w:rPr>
          <w:rFonts w:ascii="Times New Roman" w:eastAsia="Calibri" w:hAnsi="Times New Roman" w:cs="Times New Roman"/>
          <w:spacing w:val="3"/>
          <w:sz w:val="16"/>
          <w:szCs w:val="16"/>
        </w:rPr>
        <w:t>š</w:t>
      </w:r>
      <w:r w:rsidRPr="00A07F29">
        <w:rPr>
          <w:rFonts w:ascii="Times New Roman" w:eastAsia="Calibri" w:hAnsi="Times New Roman" w:cs="Times New Roman"/>
          <w:spacing w:val="2"/>
          <w:sz w:val="16"/>
          <w:szCs w:val="16"/>
        </w:rPr>
        <w:t>a</w:t>
      </w:r>
      <w:r w:rsidRPr="00A07F29">
        <w:rPr>
          <w:rFonts w:ascii="Times New Roman" w:eastAsia="Calibri" w:hAnsi="Times New Roman" w:cs="Times New Roman"/>
          <w:spacing w:val="1"/>
          <w:sz w:val="16"/>
          <w:szCs w:val="16"/>
        </w:rPr>
        <w:t>m</w:t>
      </w:r>
      <w:r w:rsidRPr="00A07F29">
        <w:rPr>
          <w:rFonts w:ascii="Times New Roman" w:eastAsia="Calibri" w:hAnsi="Times New Roman" w:cs="Times New Roman"/>
          <w:sz w:val="16"/>
          <w:szCs w:val="16"/>
        </w:rPr>
        <w:t>s</w:t>
      </w:r>
      <w:r w:rsidRPr="00A07F29">
        <w:rPr>
          <w:rFonts w:ascii="Times New Roman" w:eastAsia="Calibri" w:hAnsi="Times New Roman" w:cs="Times New Roman"/>
          <w:spacing w:val="3"/>
          <w:sz w:val="16"/>
          <w:szCs w:val="16"/>
        </w:rPr>
        <w:t xml:space="preserve"> </w:t>
      </w:r>
      <w:r w:rsidRPr="00A07F29">
        <w:rPr>
          <w:rFonts w:ascii="Times New Roman" w:eastAsia="Calibri" w:hAnsi="Times New Roman" w:cs="Times New Roman"/>
          <w:sz w:val="16"/>
          <w:szCs w:val="16"/>
        </w:rPr>
        <w:t>s</w:t>
      </w:r>
      <w:r w:rsidRPr="00A07F29">
        <w:rPr>
          <w:rFonts w:ascii="Times New Roman" w:eastAsia="Calibri" w:hAnsi="Times New Roman" w:cs="Times New Roman"/>
          <w:spacing w:val="1"/>
          <w:sz w:val="16"/>
          <w:szCs w:val="16"/>
        </w:rPr>
        <w:t>ti</w:t>
      </w:r>
      <w:r w:rsidRPr="00A07F29">
        <w:rPr>
          <w:rFonts w:ascii="Times New Roman" w:eastAsia="Calibri" w:hAnsi="Times New Roman" w:cs="Times New Roman"/>
          <w:sz w:val="16"/>
          <w:szCs w:val="16"/>
        </w:rPr>
        <w:t>n</w:t>
      </w:r>
      <w:r w:rsidRPr="00A07F29">
        <w:rPr>
          <w:rFonts w:ascii="Times New Roman" w:eastAsia="Calibri" w:hAnsi="Times New Roman" w:cs="Times New Roman"/>
          <w:spacing w:val="-2"/>
          <w:sz w:val="16"/>
          <w:szCs w:val="16"/>
        </w:rPr>
        <w:t>g</w:t>
      </w:r>
      <w:r w:rsidRPr="00A07F29">
        <w:rPr>
          <w:rFonts w:ascii="Times New Roman" w:eastAsia="Calibri" w:hAnsi="Times New Roman" w:cs="Times New Roman"/>
          <w:spacing w:val="-1"/>
          <w:sz w:val="16"/>
          <w:szCs w:val="16"/>
        </w:rPr>
        <w:t>r</w:t>
      </w:r>
      <w:r w:rsidRPr="00A07F29">
        <w:rPr>
          <w:rFonts w:ascii="Times New Roman" w:eastAsia="Calibri" w:hAnsi="Times New Roman" w:cs="Times New Roman"/>
          <w:sz w:val="16"/>
          <w:szCs w:val="16"/>
        </w:rPr>
        <w:t>s</w:t>
      </w:r>
      <w:r w:rsidRPr="00A07F29">
        <w:rPr>
          <w:rFonts w:ascii="Times New Roman" w:eastAsia="Calibri" w:hAnsi="Times New Roman" w:cs="Times New Roman"/>
          <w:spacing w:val="2"/>
          <w:sz w:val="16"/>
          <w:szCs w:val="16"/>
        </w:rPr>
        <w:t xml:space="preserve"> </w:t>
      </w:r>
      <w:r w:rsidRPr="00A07F29">
        <w:rPr>
          <w:rFonts w:ascii="Times New Roman" w:eastAsia="Calibri" w:hAnsi="Times New Roman" w:cs="Times New Roman"/>
          <w:spacing w:val="-1"/>
          <w:sz w:val="16"/>
          <w:szCs w:val="16"/>
        </w:rPr>
        <w:t>a</w:t>
      </w:r>
      <w:r w:rsidRPr="00A07F29">
        <w:rPr>
          <w:rFonts w:ascii="Times New Roman" w:eastAsia="Calibri" w:hAnsi="Times New Roman" w:cs="Times New Roman"/>
          <w:spacing w:val="1"/>
          <w:sz w:val="16"/>
          <w:szCs w:val="16"/>
        </w:rPr>
        <w:t>i</w:t>
      </w:r>
      <w:r w:rsidRPr="00A07F29">
        <w:rPr>
          <w:rFonts w:ascii="Times New Roman" w:eastAsia="Calibri" w:hAnsi="Times New Roman" w:cs="Times New Roman"/>
          <w:spacing w:val="-1"/>
          <w:sz w:val="16"/>
          <w:szCs w:val="16"/>
        </w:rPr>
        <w:t>z</w:t>
      </w:r>
      <w:r w:rsidRPr="00A07F29">
        <w:rPr>
          <w:rFonts w:ascii="Times New Roman" w:eastAsia="Calibri" w:hAnsi="Times New Roman" w:cs="Times New Roman"/>
          <w:sz w:val="16"/>
          <w:szCs w:val="16"/>
        </w:rPr>
        <w:t>s</w:t>
      </w:r>
      <w:r w:rsidRPr="00A07F29">
        <w:rPr>
          <w:rFonts w:ascii="Times New Roman" w:eastAsia="Calibri" w:hAnsi="Times New Roman" w:cs="Times New Roman"/>
          <w:spacing w:val="-1"/>
          <w:sz w:val="16"/>
          <w:szCs w:val="16"/>
        </w:rPr>
        <w:t>ar</w:t>
      </w:r>
      <w:r w:rsidRPr="00A07F29">
        <w:rPr>
          <w:rFonts w:ascii="Times New Roman" w:eastAsia="Calibri" w:hAnsi="Times New Roman" w:cs="Times New Roman"/>
          <w:spacing w:val="2"/>
          <w:sz w:val="16"/>
          <w:szCs w:val="16"/>
        </w:rPr>
        <w:t>d</w:t>
      </w:r>
      <w:r w:rsidRPr="00A07F29">
        <w:rPr>
          <w:rFonts w:ascii="Times New Roman" w:eastAsia="Calibri" w:hAnsi="Times New Roman" w:cs="Times New Roman"/>
          <w:spacing w:val="-1"/>
          <w:sz w:val="16"/>
          <w:szCs w:val="16"/>
        </w:rPr>
        <w:t>z</w:t>
      </w:r>
      <w:r w:rsidRPr="00A07F29">
        <w:rPr>
          <w:rFonts w:ascii="Times New Roman" w:eastAsia="Calibri" w:hAnsi="Times New Roman" w:cs="Times New Roman"/>
          <w:spacing w:val="1"/>
          <w:sz w:val="16"/>
          <w:szCs w:val="16"/>
        </w:rPr>
        <w:t>ī</w:t>
      </w:r>
      <w:r w:rsidRPr="00A07F29">
        <w:rPr>
          <w:rFonts w:ascii="Times New Roman" w:eastAsia="Calibri" w:hAnsi="Times New Roman" w:cs="Times New Roman"/>
          <w:sz w:val="16"/>
          <w:szCs w:val="16"/>
        </w:rPr>
        <w:t>b</w:t>
      </w:r>
      <w:r w:rsidRPr="00A07F29">
        <w:rPr>
          <w:rFonts w:ascii="Times New Roman" w:eastAsia="Calibri" w:hAnsi="Times New Roman" w:cs="Times New Roman"/>
          <w:spacing w:val="-1"/>
          <w:sz w:val="16"/>
          <w:szCs w:val="16"/>
        </w:rPr>
        <w:t>a</w:t>
      </w:r>
      <w:r w:rsidRPr="00A07F29">
        <w:rPr>
          <w:rFonts w:ascii="Times New Roman" w:eastAsia="Calibri" w:hAnsi="Times New Roman" w:cs="Times New Roman"/>
          <w:sz w:val="16"/>
          <w:szCs w:val="16"/>
        </w:rPr>
        <w:t>s</w:t>
      </w:r>
      <w:r w:rsidRPr="00A07F29">
        <w:rPr>
          <w:rFonts w:ascii="Times New Roman" w:eastAsia="Calibri" w:hAnsi="Times New Roman" w:cs="Times New Roman"/>
          <w:spacing w:val="2"/>
          <w:sz w:val="16"/>
          <w:szCs w:val="16"/>
        </w:rPr>
        <w:t xml:space="preserve"> </w:t>
      </w:r>
      <w:r w:rsidRPr="00A07F29">
        <w:rPr>
          <w:rFonts w:ascii="Times New Roman" w:eastAsia="Calibri" w:hAnsi="Times New Roman" w:cs="Times New Roman"/>
          <w:spacing w:val="-1"/>
          <w:sz w:val="16"/>
          <w:szCs w:val="16"/>
        </w:rPr>
        <w:t>r</w:t>
      </w:r>
      <w:r w:rsidRPr="00A07F29">
        <w:rPr>
          <w:rFonts w:ascii="Times New Roman" w:eastAsia="Calibri" w:hAnsi="Times New Roman" w:cs="Times New Roman"/>
          <w:spacing w:val="2"/>
          <w:sz w:val="16"/>
          <w:szCs w:val="16"/>
        </w:rPr>
        <w:t>ež</w:t>
      </w:r>
      <w:r w:rsidRPr="00A07F29">
        <w:rPr>
          <w:rFonts w:ascii="Times New Roman" w:eastAsia="Calibri" w:hAnsi="Times New Roman" w:cs="Times New Roman"/>
          <w:spacing w:val="1"/>
          <w:sz w:val="16"/>
          <w:szCs w:val="16"/>
        </w:rPr>
        <w:t>ī</w:t>
      </w:r>
      <w:r w:rsidRPr="00A07F29">
        <w:rPr>
          <w:rFonts w:ascii="Times New Roman" w:eastAsia="Calibri" w:hAnsi="Times New Roman" w:cs="Times New Roman"/>
          <w:spacing w:val="-2"/>
          <w:sz w:val="16"/>
          <w:szCs w:val="16"/>
        </w:rPr>
        <w:t>m</w:t>
      </w:r>
      <w:r w:rsidRPr="00A07F29">
        <w:rPr>
          <w:rFonts w:ascii="Times New Roman" w:eastAsia="Calibri" w:hAnsi="Times New Roman" w:cs="Times New Roman"/>
          <w:sz w:val="16"/>
          <w:szCs w:val="16"/>
        </w:rPr>
        <w:t>s;</w:t>
      </w:r>
      <w:r w:rsidRPr="00A07F29">
        <w:rPr>
          <w:rFonts w:ascii="Times New Roman" w:eastAsia="Calibri" w:hAnsi="Times New Roman" w:cs="Times New Roman"/>
          <w:spacing w:val="6"/>
          <w:sz w:val="16"/>
          <w:szCs w:val="16"/>
        </w:rPr>
        <w:t xml:space="preserve"> </w:t>
      </w:r>
      <w:r w:rsidRPr="00A07F29">
        <w:rPr>
          <w:rFonts w:ascii="Times New Roman" w:eastAsia="Calibri" w:hAnsi="Times New Roman" w:cs="Times New Roman"/>
          <w:b/>
          <w:sz w:val="16"/>
          <w:szCs w:val="16"/>
        </w:rPr>
        <w:t>V</w:t>
      </w:r>
      <w:r w:rsidRPr="00A07F29">
        <w:rPr>
          <w:rFonts w:ascii="Times New Roman" w:eastAsia="Calibri" w:hAnsi="Times New Roman" w:cs="Times New Roman"/>
          <w:b/>
          <w:spacing w:val="5"/>
          <w:sz w:val="16"/>
          <w:szCs w:val="16"/>
        </w:rPr>
        <w:t xml:space="preserve"> </w:t>
      </w:r>
      <w:r w:rsidRPr="00A07F29">
        <w:rPr>
          <w:rFonts w:ascii="Times New Roman" w:eastAsia="Calibri" w:hAnsi="Times New Roman" w:cs="Times New Roman"/>
          <w:sz w:val="16"/>
          <w:szCs w:val="16"/>
        </w:rPr>
        <w:t>p</w:t>
      </w:r>
      <w:r w:rsidRPr="00A07F29">
        <w:rPr>
          <w:rFonts w:ascii="Times New Roman" w:eastAsia="Calibri" w:hAnsi="Times New Roman" w:cs="Times New Roman"/>
          <w:spacing w:val="1"/>
          <w:sz w:val="16"/>
          <w:szCs w:val="16"/>
        </w:rPr>
        <w:t>i</w:t>
      </w:r>
      <w:r w:rsidRPr="00A07F29">
        <w:rPr>
          <w:rFonts w:ascii="Times New Roman" w:eastAsia="Calibri" w:hAnsi="Times New Roman" w:cs="Times New Roman"/>
          <w:spacing w:val="-1"/>
          <w:sz w:val="16"/>
          <w:szCs w:val="16"/>
        </w:rPr>
        <w:t>e</w:t>
      </w:r>
      <w:r w:rsidRPr="00A07F29">
        <w:rPr>
          <w:rFonts w:ascii="Times New Roman" w:eastAsia="Calibri" w:hAnsi="Times New Roman" w:cs="Times New Roman"/>
          <w:spacing w:val="1"/>
          <w:sz w:val="16"/>
          <w:szCs w:val="16"/>
        </w:rPr>
        <w:t>li</w:t>
      </w:r>
      <w:r w:rsidRPr="00A07F29">
        <w:rPr>
          <w:rFonts w:ascii="Times New Roman" w:eastAsia="Calibri" w:hAnsi="Times New Roman" w:cs="Times New Roman"/>
          <w:spacing w:val="-2"/>
          <w:sz w:val="16"/>
          <w:szCs w:val="16"/>
        </w:rPr>
        <w:t>k</w:t>
      </w:r>
      <w:r w:rsidRPr="00A07F29">
        <w:rPr>
          <w:rFonts w:ascii="Times New Roman" w:eastAsia="Calibri" w:hAnsi="Times New Roman" w:cs="Times New Roman"/>
          <w:spacing w:val="2"/>
          <w:sz w:val="16"/>
          <w:szCs w:val="16"/>
        </w:rPr>
        <w:t>u</w:t>
      </w:r>
      <w:r w:rsidRPr="00A07F29">
        <w:rPr>
          <w:rFonts w:ascii="Times New Roman" w:eastAsia="Calibri" w:hAnsi="Times New Roman" w:cs="Times New Roman"/>
          <w:spacing w:val="-2"/>
          <w:sz w:val="16"/>
          <w:szCs w:val="16"/>
        </w:rPr>
        <w:t>m</w:t>
      </w:r>
      <w:r w:rsidRPr="00A07F29">
        <w:rPr>
          <w:rFonts w:ascii="Times New Roman" w:eastAsia="Calibri" w:hAnsi="Times New Roman" w:cs="Times New Roman"/>
          <w:sz w:val="16"/>
          <w:szCs w:val="16"/>
        </w:rPr>
        <w:t>s.</w:t>
      </w:r>
      <w:r w:rsidRPr="00A07F29">
        <w:rPr>
          <w:rFonts w:ascii="Times New Roman" w:eastAsia="Calibri" w:hAnsi="Times New Roman" w:cs="Times New Roman"/>
          <w:spacing w:val="1"/>
          <w:sz w:val="16"/>
          <w:szCs w:val="16"/>
        </w:rPr>
        <w:t xml:space="preserve"> </w:t>
      </w:r>
      <w:r w:rsidRPr="00A07F29">
        <w:rPr>
          <w:rFonts w:ascii="Times New Roman" w:eastAsia="Calibri" w:hAnsi="Times New Roman" w:cs="Times New Roman"/>
          <w:spacing w:val="2"/>
          <w:sz w:val="16"/>
          <w:szCs w:val="16"/>
        </w:rPr>
        <w:t>D</w:t>
      </w:r>
      <w:r w:rsidRPr="00A07F29">
        <w:rPr>
          <w:rFonts w:ascii="Times New Roman" w:eastAsia="Calibri" w:hAnsi="Times New Roman" w:cs="Times New Roman"/>
          <w:spacing w:val="-1"/>
          <w:sz w:val="16"/>
          <w:szCs w:val="16"/>
        </w:rPr>
        <w:t>z</w:t>
      </w:r>
      <w:r w:rsidRPr="00A07F29">
        <w:rPr>
          <w:rFonts w:ascii="Times New Roman" w:eastAsia="Calibri" w:hAnsi="Times New Roman" w:cs="Times New Roman"/>
          <w:spacing w:val="1"/>
          <w:sz w:val="16"/>
          <w:szCs w:val="16"/>
        </w:rPr>
        <w:t>ī</w:t>
      </w:r>
      <w:r w:rsidRPr="00A07F29">
        <w:rPr>
          <w:rFonts w:ascii="Times New Roman" w:eastAsia="Calibri" w:hAnsi="Times New Roman" w:cs="Times New Roman"/>
          <w:sz w:val="16"/>
          <w:szCs w:val="16"/>
        </w:rPr>
        <w:t>vn</w:t>
      </w:r>
      <w:r w:rsidRPr="00A07F29">
        <w:rPr>
          <w:rFonts w:ascii="Times New Roman" w:eastAsia="Calibri" w:hAnsi="Times New Roman" w:cs="Times New Roman"/>
          <w:spacing w:val="1"/>
          <w:sz w:val="16"/>
          <w:szCs w:val="16"/>
        </w:rPr>
        <w:t>i</w:t>
      </w:r>
      <w:r w:rsidRPr="00A07F29">
        <w:rPr>
          <w:rFonts w:ascii="Times New Roman" w:eastAsia="Calibri" w:hAnsi="Times New Roman" w:cs="Times New Roman"/>
          <w:spacing w:val="-1"/>
          <w:sz w:val="16"/>
          <w:szCs w:val="16"/>
        </w:rPr>
        <w:t>e</w:t>
      </w:r>
      <w:r w:rsidRPr="00A07F29">
        <w:rPr>
          <w:rFonts w:ascii="Times New Roman" w:eastAsia="Calibri" w:hAnsi="Times New Roman" w:cs="Times New Roman"/>
          <w:spacing w:val="-2"/>
          <w:sz w:val="16"/>
          <w:szCs w:val="16"/>
        </w:rPr>
        <w:t>k</w:t>
      </w:r>
      <w:r w:rsidRPr="00A07F29">
        <w:rPr>
          <w:rFonts w:ascii="Times New Roman" w:eastAsia="Calibri" w:hAnsi="Times New Roman" w:cs="Times New Roman"/>
          <w:sz w:val="16"/>
          <w:szCs w:val="16"/>
        </w:rPr>
        <w:t>u un</w:t>
      </w:r>
      <w:r w:rsidRPr="00A07F29">
        <w:rPr>
          <w:rFonts w:ascii="Times New Roman" w:eastAsia="Calibri" w:hAnsi="Times New Roman" w:cs="Times New Roman"/>
          <w:spacing w:val="4"/>
          <w:sz w:val="16"/>
          <w:szCs w:val="16"/>
        </w:rPr>
        <w:t xml:space="preserve"> </w:t>
      </w:r>
      <w:r w:rsidRPr="00A07F29">
        <w:rPr>
          <w:rFonts w:ascii="Times New Roman" w:eastAsia="Calibri" w:hAnsi="Times New Roman" w:cs="Times New Roman"/>
          <w:spacing w:val="-1"/>
          <w:sz w:val="16"/>
          <w:szCs w:val="16"/>
        </w:rPr>
        <w:t>a</w:t>
      </w:r>
      <w:r w:rsidRPr="00A07F29">
        <w:rPr>
          <w:rFonts w:ascii="Times New Roman" w:eastAsia="Calibri" w:hAnsi="Times New Roman" w:cs="Times New Roman"/>
          <w:spacing w:val="2"/>
          <w:sz w:val="16"/>
          <w:szCs w:val="16"/>
        </w:rPr>
        <w:t>u</w:t>
      </w:r>
      <w:r w:rsidRPr="00A07F29">
        <w:rPr>
          <w:rFonts w:ascii="Times New Roman" w:eastAsia="Calibri" w:hAnsi="Times New Roman" w:cs="Times New Roman"/>
          <w:spacing w:val="-2"/>
          <w:sz w:val="16"/>
          <w:szCs w:val="16"/>
        </w:rPr>
        <w:t>g</w:t>
      </w:r>
      <w:r w:rsidRPr="00A07F29">
        <w:rPr>
          <w:rFonts w:ascii="Times New Roman" w:eastAsia="Calibri" w:hAnsi="Times New Roman" w:cs="Times New Roman"/>
          <w:sz w:val="16"/>
          <w:szCs w:val="16"/>
        </w:rPr>
        <w:t>u</w:t>
      </w:r>
      <w:r w:rsidRPr="00A07F29">
        <w:rPr>
          <w:rFonts w:ascii="Times New Roman" w:eastAsia="Calibri" w:hAnsi="Times New Roman" w:cs="Times New Roman"/>
          <w:spacing w:val="3"/>
          <w:sz w:val="16"/>
          <w:szCs w:val="16"/>
        </w:rPr>
        <w:t xml:space="preserve"> </w:t>
      </w:r>
      <w:r w:rsidRPr="00A07F29">
        <w:rPr>
          <w:rFonts w:ascii="Times New Roman" w:eastAsia="Calibri" w:hAnsi="Times New Roman" w:cs="Times New Roman"/>
          <w:sz w:val="16"/>
          <w:szCs w:val="16"/>
        </w:rPr>
        <w:t>s</w:t>
      </w:r>
      <w:r w:rsidRPr="00A07F29">
        <w:rPr>
          <w:rFonts w:ascii="Times New Roman" w:eastAsia="Calibri" w:hAnsi="Times New Roman" w:cs="Times New Roman"/>
          <w:spacing w:val="2"/>
          <w:sz w:val="16"/>
          <w:szCs w:val="16"/>
        </w:rPr>
        <w:t>u</w:t>
      </w:r>
      <w:r w:rsidRPr="00A07F29">
        <w:rPr>
          <w:rFonts w:ascii="Times New Roman" w:eastAsia="Calibri" w:hAnsi="Times New Roman" w:cs="Times New Roman"/>
          <w:spacing w:val="-2"/>
          <w:sz w:val="16"/>
          <w:szCs w:val="16"/>
        </w:rPr>
        <w:t>g</w:t>
      </w:r>
      <w:r w:rsidRPr="00A07F29">
        <w:rPr>
          <w:rFonts w:ascii="Times New Roman" w:eastAsia="Calibri" w:hAnsi="Times New Roman" w:cs="Times New Roman"/>
          <w:spacing w:val="-1"/>
          <w:sz w:val="16"/>
          <w:szCs w:val="16"/>
        </w:rPr>
        <w:t>a</w:t>
      </w:r>
      <w:r w:rsidRPr="00A07F29">
        <w:rPr>
          <w:rFonts w:ascii="Times New Roman" w:eastAsia="Calibri" w:hAnsi="Times New Roman" w:cs="Times New Roman"/>
          <w:sz w:val="16"/>
          <w:szCs w:val="16"/>
        </w:rPr>
        <w:t xml:space="preserve">s, </w:t>
      </w:r>
      <w:r w:rsidRPr="00A07F29">
        <w:rPr>
          <w:rFonts w:ascii="Times New Roman" w:eastAsia="Calibri" w:hAnsi="Times New Roman" w:cs="Times New Roman"/>
          <w:spacing w:val="-2"/>
          <w:sz w:val="16"/>
          <w:szCs w:val="16"/>
        </w:rPr>
        <w:t>k</w:t>
      </w:r>
      <w:r w:rsidRPr="00A07F29">
        <w:rPr>
          <w:rFonts w:ascii="Times New Roman" w:eastAsia="Calibri" w:hAnsi="Times New Roman" w:cs="Times New Roman"/>
          <w:spacing w:val="-1"/>
          <w:sz w:val="16"/>
          <w:szCs w:val="16"/>
        </w:rPr>
        <w:t>a</w:t>
      </w:r>
      <w:r w:rsidRPr="00A07F29">
        <w:rPr>
          <w:rFonts w:ascii="Times New Roman" w:eastAsia="Calibri" w:hAnsi="Times New Roman" w:cs="Times New Roman"/>
          <w:sz w:val="16"/>
          <w:szCs w:val="16"/>
        </w:rPr>
        <w:t>s</w:t>
      </w:r>
      <w:r w:rsidRPr="00A07F29">
        <w:rPr>
          <w:rFonts w:ascii="Times New Roman" w:eastAsia="Calibri" w:hAnsi="Times New Roman" w:cs="Times New Roman"/>
          <w:spacing w:val="-2"/>
          <w:sz w:val="16"/>
          <w:szCs w:val="16"/>
        </w:rPr>
        <w:t xml:space="preserve"> </w:t>
      </w:r>
      <w:r w:rsidRPr="00A07F29">
        <w:rPr>
          <w:rFonts w:ascii="Times New Roman" w:eastAsia="Calibri" w:hAnsi="Times New Roman" w:cs="Times New Roman"/>
          <w:spacing w:val="1"/>
          <w:sz w:val="16"/>
          <w:szCs w:val="16"/>
        </w:rPr>
        <w:t>i</w:t>
      </w:r>
      <w:r w:rsidRPr="00A07F29">
        <w:rPr>
          <w:rFonts w:ascii="Times New Roman" w:eastAsia="Calibri" w:hAnsi="Times New Roman" w:cs="Times New Roman"/>
          <w:sz w:val="16"/>
          <w:szCs w:val="16"/>
        </w:rPr>
        <w:t>r</w:t>
      </w:r>
      <w:r w:rsidRPr="00A07F29">
        <w:rPr>
          <w:rFonts w:ascii="Times New Roman" w:eastAsia="Calibri" w:hAnsi="Times New Roman" w:cs="Times New Roman"/>
          <w:spacing w:val="1"/>
          <w:sz w:val="16"/>
          <w:szCs w:val="16"/>
        </w:rPr>
        <w:t xml:space="preserve"> </w:t>
      </w:r>
      <w:r w:rsidRPr="00A07F29">
        <w:rPr>
          <w:rFonts w:ascii="Times New Roman" w:eastAsia="Calibri" w:hAnsi="Times New Roman" w:cs="Times New Roman"/>
          <w:sz w:val="16"/>
          <w:szCs w:val="16"/>
        </w:rPr>
        <w:t>Kop</w:t>
      </w:r>
      <w:r w:rsidRPr="00A07F29">
        <w:rPr>
          <w:rFonts w:ascii="Times New Roman" w:eastAsia="Calibri" w:hAnsi="Times New Roman" w:cs="Times New Roman"/>
          <w:spacing w:val="1"/>
          <w:sz w:val="16"/>
          <w:szCs w:val="16"/>
        </w:rPr>
        <w:t>i</w:t>
      </w:r>
      <w:r w:rsidRPr="00A07F29">
        <w:rPr>
          <w:rFonts w:ascii="Times New Roman" w:eastAsia="Calibri" w:hAnsi="Times New Roman" w:cs="Times New Roman"/>
          <w:spacing w:val="-1"/>
          <w:sz w:val="16"/>
          <w:szCs w:val="16"/>
        </w:rPr>
        <w:t>e</w:t>
      </w:r>
      <w:r w:rsidRPr="00A07F29">
        <w:rPr>
          <w:rFonts w:ascii="Times New Roman" w:eastAsia="Calibri" w:hAnsi="Times New Roman" w:cs="Times New Roman"/>
          <w:sz w:val="16"/>
          <w:szCs w:val="16"/>
        </w:rPr>
        <w:t>n</w:t>
      </w:r>
      <w:r w:rsidRPr="00A07F29">
        <w:rPr>
          <w:rFonts w:ascii="Times New Roman" w:eastAsia="Calibri" w:hAnsi="Times New Roman" w:cs="Times New Roman"/>
          <w:spacing w:val="-1"/>
          <w:sz w:val="16"/>
          <w:szCs w:val="16"/>
        </w:rPr>
        <w:t>a</w:t>
      </w:r>
      <w:r w:rsidRPr="00A07F29">
        <w:rPr>
          <w:rFonts w:ascii="Times New Roman" w:eastAsia="Calibri" w:hAnsi="Times New Roman" w:cs="Times New Roman"/>
          <w:sz w:val="16"/>
          <w:szCs w:val="16"/>
        </w:rPr>
        <w:t>s</w:t>
      </w:r>
      <w:r w:rsidRPr="00A07F29">
        <w:rPr>
          <w:rFonts w:ascii="Times New Roman" w:eastAsia="Calibri" w:hAnsi="Times New Roman" w:cs="Times New Roman"/>
          <w:spacing w:val="-6"/>
          <w:sz w:val="16"/>
          <w:szCs w:val="16"/>
        </w:rPr>
        <w:t xml:space="preserve"> </w:t>
      </w:r>
      <w:r w:rsidRPr="00A07F29">
        <w:rPr>
          <w:rFonts w:ascii="Times New Roman" w:eastAsia="Calibri" w:hAnsi="Times New Roman" w:cs="Times New Roman"/>
          <w:spacing w:val="1"/>
          <w:sz w:val="16"/>
          <w:szCs w:val="16"/>
        </w:rPr>
        <w:t>i</w:t>
      </w:r>
      <w:r w:rsidRPr="00A07F29">
        <w:rPr>
          <w:rFonts w:ascii="Times New Roman" w:eastAsia="Calibri" w:hAnsi="Times New Roman" w:cs="Times New Roman"/>
          <w:sz w:val="16"/>
          <w:szCs w:val="16"/>
        </w:rPr>
        <w:t>n</w:t>
      </w:r>
      <w:r w:rsidRPr="00A07F29">
        <w:rPr>
          <w:rFonts w:ascii="Times New Roman" w:eastAsia="Calibri" w:hAnsi="Times New Roman" w:cs="Times New Roman"/>
          <w:spacing w:val="1"/>
          <w:sz w:val="16"/>
          <w:szCs w:val="16"/>
        </w:rPr>
        <w:t>t</w:t>
      </w:r>
      <w:r w:rsidRPr="00A07F29">
        <w:rPr>
          <w:rFonts w:ascii="Times New Roman" w:eastAsia="Calibri" w:hAnsi="Times New Roman" w:cs="Times New Roman"/>
          <w:spacing w:val="-1"/>
          <w:sz w:val="16"/>
          <w:szCs w:val="16"/>
        </w:rPr>
        <w:t>e</w:t>
      </w:r>
      <w:r w:rsidRPr="00A07F29">
        <w:rPr>
          <w:rFonts w:ascii="Times New Roman" w:eastAsia="Calibri" w:hAnsi="Times New Roman" w:cs="Times New Roman"/>
          <w:spacing w:val="2"/>
          <w:sz w:val="16"/>
          <w:szCs w:val="16"/>
        </w:rPr>
        <w:t>r</w:t>
      </w:r>
      <w:r w:rsidRPr="00A07F29">
        <w:rPr>
          <w:rFonts w:ascii="Times New Roman" w:eastAsia="Calibri" w:hAnsi="Times New Roman" w:cs="Times New Roman"/>
          <w:spacing w:val="-1"/>
          <w:sz w:val="16"/>
          <w:szCs w:val="16"/>
        </w:rPr>
        <w:t>e</w:t>
      </w:r>
      <w:r w:rsidRPr="00A07F29">
        <w:rPr>
          <w:rFonts w:ascii="Times New Roman" w:eastAsia="Calibri" w:hAnsi="Times New Roman" w:cs="Times New Roman"/>
          <w:sz w:val="16"/>
          <w:szCs w:val="16"/>
        </w:rPr>
        <w:t>šu</w:t>
      </w:r>
      <w:r w:rsidRPr="00A07F29">
        <w:rPr>
          <w:rFonts w:ascii="Times New Roman" w:eastAsia="Calibri" w:hAnsi="Times New Roman" w:cs="Times New Roman"/>
          <w:spacing w:val="-2"/>
          <w:sz w:val="16"/>
          <w:szCs w:val="16"/>
        </w:rPr>
        <w:t xml:space="preserve"> </w:t>
      </w:r>
      <w:r w:rsidRPr="00A07F29">
        <w:rPr>
          <w:rFonts w:ascii="Times New Roman" w:eastAsia="Calibri" w:hAnsi="Times New Roman" w:cs="Times New Roman"/>
          <w:sz w:val="16"/>
          <w:szCs w:val="16"/>
        </w:rPr>
        <w:t>s</w:t>
      </w:r>
      <w:r w:rsidRPr="00A07F29">
        <w:rPr>
          <w:rFonts w:ascii="Times New Roman" w:eastAsia="Calibri" w:hAnsi="Times New Roman" w:cs="Times New Roman"/>
          <w:spacing w:val="-1"/>
          <w:sz w:val="16"/>
          <w:szCs w:val="16"/>
        </w:rPr>
        <w:t>fēr</w:t>
      </w:r>
      <w:r w:rsidRPr="00A07F29">
        <w:rPr>
          <w:rFonts w:ascii="Times New Roman" w:eastAsia="Calibri" w:hAnsi="Times New Roman" w:cs="Times New Roman"/>
          <w:sz w:val="16"/>
          <w:szCs w:val="16"/>
        </w:rPr>
        <w:t>ā</w:t>
      </w:r>
      <w:r w:rsidRPr="00A07F29">
        <w:rPr>
          <w:rFonts w:ascii="Times New Roman" w:eastAsia="Calibri" w:hAnsi="Times New Roman" w:cs="Times New Roman"/>
          <w:spacing w:val="-4"/>
          <w:sz w:val="16"/>
          <w:szCs w:val="16"/>
        </w:rPr>
        <w:t xml:space="preserve"> </w:t>
      </w:r>
      <w:r w:rsidRPr="00A07F29">
        <w:rPr>
          <w:rFonts w:ascii="Times New Roman" w:eastAsia="Calibri" w:hAnsi="Times New Roman" w:cs="Times New Roman"/>
          <w:sz w:val="16"/>
          <w:szCs w:val="16"/>
        </w:rPr>
        <w:t xml:space="preserve">un </w:t>
      </w:r>
      <w:r w:rsidRPr="00A07F29">
        <w:rPr>
          <w:rFonts w:ascii="Times New Roman" w:eastAsia="Calibri" w:hAnsi="Times New Roman" w:cs="Times New Roman"/>
          <w:spacing w:val="-2"/>
          <w:sz w:val="16"/>
          <w:szCs w:val="16"/>
        </w:rPr>
        <w:t>k</w:t>
      </w:r>
      <w:r w:rsidRPr="00A07F29">
        <w:rPr>
          <w:rFonts w:ascii="Times New Roman" w:eastAsia="Calibri" w:hAnsi="Times New Roman" w:cs="Times New Roman"/>
          <w:spacing w:val="2"/>
          <w:sz w:val="16"/>
          <w:szCs w:val="16"/>
        </w:rPr>
        <w:t>u</w:t>
      </w:r>
      <w:r w:rsidRPr="00A07F29">
        <w:rPr>
          <w:rFonts w:ascii="Times New Roman" w:eastAsia="Calibri" w:hAnsi="Times New Roman" w:cs="Times New Roman"/>
          <w:spacing w:val="-1"/>
          <w:sz w:val="16"/>
          <w:szCs w:val="16"/>
        </w:rPr>
        <w:t>r</w:t>
      </w:r>
      <w:r w:rsidRPr="00A07F29">
        <w:rPr>
          <w:rFonts w:ascii="Times New Roman" w:eastAsia="Calibri" w:hAnsi="Times New Roman" w:cs="Times New Roman"/>
          <w:sz w:val="16"/>
          <w:szCs w:val="16"/>
        </w:rPr>
        <w:t>u</w:t>
      </w:r>
      <w:r w:rsidRPr="00A07F29">
        <w:rPr>
          <w:rFonts w:ascii="Times New Roman" w:eastAsia="Calibri" w:hAnsi="Times New Roman" w:cs="Times New Roman"/>
          <w:spacing w:val="-4"/>
          <w:sz w:val="16"/>
          <w:szCs w:val="16"/>
        </w:rPr>
        <w:t xml:space="preserve"> </w:t>
      </w:r>
      <w:r w:rsidRPr="00A07F29">
        <w:rPr>
          <w:rFonts w:ascii="Times New Roman" w:eastAsia="Calibri" w:hAnsi="Times New Roman" w:cs="Times New Roman"/>
          <w:spacing w:val="1"/>
          <w:sz w:val="16"/>
          <w:szCs w:val="16"/>
        </w:rPr>
        <w:t>i</w:t>
      </w:r>
      <w:r w:rsidRPr="00A07F29">
        <w:rPr>
          <w:rFonts w:ascii="Times New Roman" w:eastAsia="Calibri" w:hAnsi="Times New Roman" w:cs="Times New Roman"/>
          <w:spacing w:val="2"/>
          <w:sz w:val="16"/>
          <w:szCs w:val="16"/>
        </w:rPr>
        <w:t>e</w:t>
      </w:r>
      <w:r w:rsidRPr="00A07F29">
        <w:rPr>
          <w:rFonts w:ascii="Times New Roman" w:eastAsia="Calibri" w:hAnsi="Times New Roman" w:cs="Times New Roman"/>
          <w:spacing w:val="-2"/>
          <w:sz w:val="16"/>
          <w:szCs w:val="16"/>
        </w:rPr>
        <w:t>g</w:t>
      </w:r>
      <w:r w:rsidRPr="00A07F29">
        <w:rPr>
          <w:rFonts w:ascii="Times New Roman" w:eastAsia="Calibri" w:hAnsi="Times New Roman" w:cs="Times New Roman"/>
          <w:sz w:val="16"/>
          <w:szCs w:val="16"/>
        </w:rPr>
        <w:t>ūš</w:t>
      </w:r>
      <w:r w:rsidRPr="00A07F29">
        <w:rPr>
          <w:rFonts w:ascii="Times New Roman" w:eastAsia="Calibri" w:hAnsi="Times New Roman" w:cs="Times New Roman"/>
          <w:spacing w:val="-1"/>
          <w:sz w:val="16"/>
          <w:szCs w:val="16"/>
        </w:rPr>
        <w:t>a</w:t>
      </w:r>
      <w:r w:rsidRPr="00A07F29">
        <w:rPr>
          <w:rFonts w:ascii="Times New Roman" w:eastAsia="Calibri" w:hAnsi="Times New Roman" w:cs="Times New Roman"/>
          <w:spacing w:val="2"/>
          <w:sz w:val="16"/>
          <w:szCs w:val="16"/>
        </w:rPr>
        <w:t>n</w:t>
      </w:r>
      <w:r w:rsidRPr="00A07F29">
        <w:rPr>
          <w:rFonts w:ascii="Times New Roman" w:eastAsia="Calibri" w:hAnsi="Times New Roman" w:cs="Times New Roman"/>
          <w:sz w:val="16"/>
          <w:szCs w:val="16"/>
        </w:rPr>
        <w:t>a</w:t>
      </w:r>
      <w:r w:rsidRPr="00A07F29">
        <w:rPr>
          <w:rFonts w:ascii="Times New Roman" w:eastAsia="Calibri" w:hAnsi="Times New Roman" w:cs="Times New Roman"/>
          <w:spacing w:val="-6"/>
          <w:sz w:val="16"/>
          <w:szCs w:val="16"/>
        </w:rPr>
        <w:t xml:space="preserve"> </w:t>
      </w:r>
      <w:r w:rsidRPr="00A07F29">
        <w:rPr>
          <w:rFonts w:ascii="Times New Roman" w:eastAsia="Calibri" w:hAnsi="Times New Roman" w:cs="Times New Roman"/>
          <w:spacing w:val="2"/>
          <w:sz w:val="16"/>
          <w:szCs w:val="16"/>
        </w:rPr>
        <w:t>u</w:t>
      </w:r>
      <w:r w:rsidRPr="00A07F29">
        <w:rPr>
          <w:rFonts w:ascii="Times New Roman" w:eastAsia="Calibri" w:hAnsi="Times New Roman" w:cs="Times New Roman"/>
          <w:sz w:val="16"/>
          <w:szCs w:val="16"/>
        </w:rPr>
        <w:t>n</w:t>
      </w:r>
      <w:r w:rsidRPr="00A07F29">
        <w:rPr>
          <w:rFonts w:ascii="Times New Roman" w:eastAsia="Calibri" w:hAnsi="Times New Roman" w:cs="Times New Roman"/>
          <w:spacing w:val="-2"/>
          <w:sz w:val="16"/>
          <w:szCs w:val="16"/>
        </w:rPr>
        <w:t xml:space="preserve"> </w:t>
      </w:r>
      <w:r w:rsidRPr="00A07F29">
        <w:rPr>
          <w:rFonts w:ascii="Times New Roman" w:eastAsia="Calibri" w:hAnsi="Times New Roman" w:cs="Times New Roman"/>
          <w:spacing w:val="-1"/>
          <w:sz w:val="16"/>
          <w:szCs w:val="16"/>
        </w:rPr>
        <w:t>e</w:t>
      </w:r>
      <w:r w:rsidRPr="00A07F29">
        <w:rPr>
          <w:rFonts w:ascii="Times New Roman" w:eastAsia="Calibri" w:hAnsi="Times New Roman" w:cs="Times New Roman"/>
          <w:spacing w:val="-2"/>
          <w:sz w:val="16"/>
          <w:szCs w:val="16"/>
        </w:rPr>
        <w:t>k</w:t>
      </w:r>
      <w:r w:rsidRPr="00A07F29">
        <w:rPr>
          <w:rFonts w:ascii="Times New Roman" w:eastAsia="Calibri" w:hAnsi="Times New Roman" w:cs="Times New Roman"/>
          <w:sz w:val="16"/>
          <w:szCs w:val="16"/>
        </w:rPr>
        <w:t>sp</w:t>
      </w:r>
      <w:r w:rsidRPr="00A07F29">
        <w:rPr>
          <w:rFonts w:ascii="Times New Roman" w:eastAsia="Calibri" w:hAnsi="Times New Roman" w:cs="Times New Roman"/>
          <w:spacing w:val="1"/>
          <w:sz w:val="16"/>
          <w:szCs w:val="16"/>
        </w:rPr>
        <w:t>l</w:t>
      </w:r>
      <w:r w:rsidRPr="00A07F29">
        <w:rPr>
          <w:rFonts w:ascii="Times New Roman" w:eastAsia="Calibri" w:hAnsi="Times New Roman" w:cs="Times New Roman"/>
          <w:sz w:val="16"/>
          <w:szCs w:val="16"/>
        </w:rPr>
        <w:t>u</w:t>
      </w:r>
      <w:r w:rsidRPr="00A07F29">
        <w:rPr>
          <w:rFonts w:ascii="Times New Roman" w:eastAsia="Calibri" w:hAnsi="Times New Roman" w:cs="Times New Roman"/>
          <w:spacing w:val="-1"/>
          <w:sz w:val="16"/>
          <w:szCs w:val="16"/>
        </w:rPr>
        <w:t>a</w:t>
      </w:r>
      <w:r w:rsidRPr="00A07F29">
        <w:rPr>
          <w:rFonts w:ascii="Times New Roman" w:eastAsia="Calibri" w:hAnsi="Times New Roman" w:cs="Times New Roman"/>
          <w:spacing w:val="3"/>
          <w:sz w:val="16"/>
          <w:szCs w:val="16"/>
        </w:rPr>
        <w:t>t</w:t>
      </w:r>
      <w:r w:rsidRPr="00A07F29">
        <w:rPr>
          <w:rFonts w:ascii="Times New Roman" w:eastAsia="Calibri" w:hAnsi="Times New Roman" w:cs="Times New Roman"/>
          <w:spacing w:val="-1"/>
          <w:sz w:val="16"/>
          <w:szCs w:val="16"/>
        </w:rPr>
        <w:t>āc</w:t>
      </w:r>
      <w:r w:rsidRPr="00A07F29">
        <w:rPr>
          <w:rFonts w:ascii="Times New Roman" w:eastAsia="Calibri" w:hAnsi="Times New Roman" w:cs="Times New Roman"/>
          <w:spacing w:val="1"/>
          <w:sz w:val="16"/>
          <w:szCs w:val="16"/>
        </w:rPr>
        <w:t>ij</w:t>
      </w:r>
      <w:r w:rsidRPr="00A07F29">
        <w:rPr>
          <w:rFonts w:ascii="Times New Roman" w:eastAsia="Calibri" w:hAnsi="Times New Roman" w:cs="Times New Roman"/>
          <w:sz w:val="16"/>
          <w:szCs w:val="16"/>
        </w:rPr>
        <w:t>a</w:t>
      </w:r>
      <w:r w:rsidRPr="00A07F29">
        <w:rPr>
          <w:rFonts w:ascii="Times New Roman" w:eastAsia="Calibri" w:hAnsi="Times New Roman" w:cs="Times New Roman"/>
          <w:spacing w:val="-6"/>
          <w:sz w:val="16"/>
          <w:szCs w:val="16"/>
        </w:rPr>
        <w:t xml:space="preserve"> </w:t>
      </w:r>
      <w:r w:rsidRPr="00A07F29">
        <w:rPr>
          <w:rFonts w:ascii="Times New Roman" w:eastAsia="Calibri" w:hAnsi="Times New Roman" w:cs="Times New Roman"/>
          <w:sz w:val="16"/>
          <w:szCs w:val="16"/>
        </w:rPr>
        <w:t>d</w:t>
      </w:r>
      <w:r w:rsidRPr="00A07F29">
        <w:rPr>
          <w:rFonts w:ascii="Times New Roman" w:eastAsia="Calibri" w:hAnsi="Times New Roman" w:cs="Times New Roman"/>
          <w:spacing w:val="-1"/>
          <w:sz w:val="16"/>
          <w:szCs w:val="16"/>
        </w:rPr>
        <w:t>a</w:t>
      </w:r>
      <w:r w:rsidRPr="00A07F29">
        <w:rPr>
          <w:rFonts w:ascii="Times New Roman" w:eastAsia="Calibri" w:hAnsi="Times New Roman" w:cs="Times New Roman"/>
          <w:spacing w:val="2"/>
          <w:sz w:val="16"/>
          <w:szCs w:val="16"/>
        </w:rPr>
        <w:t>b</w:t>
      </w:r>
      <w:r w:rsidRPr="00A07F29">
        <w:rPr>
          <w:rFonts w:ascii="Times New Roman" w:eastAsia="Calibri" w:hAnsi="Times New Roman" w:cs="Times New Roman"/>
          <w:sz w:val="16"/>
          <w:szCs w:val="16"/>
        </w:rPr>
        <w:t>ā</w:t>
      </w:r>
      <w:r w:rsidRPr="00A07F29">
        <w:rPr>
          <w:rFonts w:ascii="Times New Roman" w:eastAsia="Calibri" w:hAnsi="Times New Roman" w:cs="Times New Roman"/>
          <w:spacing w:val="-3"/>
          <w:sz w:val="16"/>
          <w:szCs w:val="16"/>
        </w:rPr>
        <w:t xml:space="preserve"> </w:t>
      </w:r>
      <w:r w:rsidRPr="00A07F29">
        <w:rPr>
          <w:rFonts w:ascii="Times New Roman" w:eastAsia="Calibri" w:hAnsi="Times New Roman" w:cs="Times New Roman"/>
          <w:sz w:val="16"/>
          <w:szCs w:val="16"/>
        </w:rPr>
        <w:t>v</w:t>
      </w:r>
      <w:r w:rsidRPr="00A07F29">
        <w:rPr>
          <w:rFonts w:ascii="Times New Roman" w:eastAsia="Calibri" w:hAnsi="Times New Roman" w:cs="Times New Roman"/>
          <w:spacing w:val="2"/>
          <w:sz w:val="16"/>
          <w:szCs w:val="16"/>
        </w:rPr>
        <w:t>a</w:t>
      </w:r>
      <w:r w:rsidRPr="00A07F29">
        <w:rPr>
          <w:rFonts w:ascii="Times New Roman" w:eastAsia="Calibri" w:hAnsi="Times New Roman" w:cs="Times New Roman"/>
          <w:sz w:val="16"/>
          <w:szCs w:val="16"/>
        </w:rPr>
        <w:t>r būt</w:t>
      </w:r>
      <w:r w:rsidRPr="00A07F29">
        <w:rPr>
          <w:rFonts w:ascii="Times New Roman" w:eastAsia="Calibri" w:hAnsi="Times New Roman" w:cs="Times New Roman"/>
          <w:spacing w:val="-2"/>
          <w:sz w:val="16"/>
          <w:szCs w:val="16"/>
        </w:rPr>
        <w:t xml:space="preserve"> </w:t>
      </w:r>
      <w:r w:rsidRPr="00A07F29">
        <w:rPr>
          <w:rFonts w:ascii="Times New Roman" w:eastAsia="Calibri" w:hAnsi="Times New Roman" w:cs="Times New Roman"/>
          <w:w w:val="99"/>
          <w:sz w:val="16"/>
          <w:szCs w:val="16"/>
        </w:rPr>
        <w:t>p</w:t>
      </w:r>
      <w:r w:rsidRPr="00A07F29">
        <w:rPr>
          <w:rFonts w:ascii="Times New Roman" w:eastAsia="Calibri" w:hAnsi="Times New Roman" w:cs="Times New Roman"/>
          <w:spacing w:val="1"/>
          <w:sz w:val="16"/>
          <w:szCs w:val="16"/>
        </w:rPr>
        <w:t>i</w:t>
      </w:r>
      <w:r w:rsidRPr="00A07F29">
        <w:rPr>
          <w:rFonts w:ascii="Times New Roman" w:eastAsia="Calibri" w:hAnsi="Times New Roman" w:cs="Times New Roman"/>
          <w:spacing w:val="-1"/>
          <w:sz w:val="16"/>
          <w:szCs w:val="16"/>
        </w:rPr>
        <w:t>eļa</w:t>
      </w:r>
      <w:r w:rsidRPr="00A07F29">
        <w:rPr>
          <w:rFonts w:ascii="Times New Roman" w:eastAsia="Calibri" w:hAnsi="Times New Roman" w:cs="Times New Roman"/>
          <w:w w:val="99"/>
          <w:sz w:val="16"/>
          <w:szCs w:val="16"/>
        </w:rPr>
        <w:t>u</w:t>
      </w:r>
      <w:r w:rsidRPr="00A07F29">
        <w:rPr>
          <w:rFonts w:ascii="Times New Roman" w:eastAsia="Calibri" w:hAnsi="Times New Roman" w:cs="Times New Roman"/>
          <w:spacing w:val="1"/>
          <w:sz w:val="16"/>
          <w:szCs w:val="16"/>
        </w:rPr>
        <w:t>j</w:t>
      </w:r>
      <w:r w:rsidRPr="00A07F29">
        <w:rPr>
          <w:rFonts w:ascii="Times New Roman" w:eastAsia="Calibri" w:hAnsi="Times New Roman" w:cs="Times New Roman"/>
          <w:spacing w:val="-1"/>
          <w:sz w:val="16"/>
          <w:szCs w:val="16"/>
        </w:rPr>
        <w:t>a</w:t>
      </w:r>
      <w:r w:rsidRPr="00A07F29">
        <w:rPr>
          <w:rFonts w:ascii="Times New Roman" w:eastAsia="Calibri" w:hAnsi="Times New Roman" w:cs="Times New Roman"/>
          <w:spacing w:val="1"/>
          <w:sz w:val="16"/>
          <w:szCs w:val="16"/>
        </w:rPr>
        <w:t>m</w:t>
      </w:r>
      <w:r w:rsidRPr="00A07F29">
        <w:rPr>
          <w:rFonts w:ascii="Times New Roman" w:eastAsia="Calibri" w:hAnsi="Times New Roman" w:cs="Times New Roman"/>
          <w:spacing w:val="-1"/>
          <w:sz w:val="16"/>
          <w:szCs w:val="16"/>
        </w:rPr>
        <w:t>a</w:t>
      </w:r>
      <w:r w:rsidRPr="00A07F29">
        <w:rPr>
          <w:rFonts w:ascii="Times New Roman" w:eastAsia="Calibri" w:hAnsi="Times New Roman" w:cs="Times New Roman"/>
          <w:w w:val="99"/>
          <w:sz w:val="16"/>
          <w:szCs w:val="16"/>
        </w:rPr>
        <w:t>.</w:t>
      </w:r>
    </w:p>
    <w:p w14:paraId="3D872F57" w14:textId="77777777" w:rsidR="00FA20FB" w:rsidRDefault="00DD437F" w:rsidP="00FA20FB">
      <w:pPr>
        <w:spacing w:after="120" w:line="240" w:lineRule="auto"/>
        <w:ind w:right="79"/>
        <w:jc w:val="both"/>
        <w:rPr>
          <w:rFonts w:ascii="Times New Roman" w:eastAsia="Calibri" w:hAnsi="Times New Roman" w:cs="Times New Roman"/>
          <w:spacing w:val="-2"/>
          <w:sz w:val="16"/>
          <w:szCs w:val="16"/>
        </w:rPr>
      </w:pPr>
      <w:r w:rsidRPr="00A07F29">
        <w:rPr>
          <w:rFonts w:ascii="Times New Roman" w:eastAsia="Calibri" w:hAnsi="Times New Roman" w:cs="Times New Roman"/>
          <w:b/>
          <w:sz w:val="16"/>
          <w:szCs w:val="16"/>
        </w:rPr>
        <w:t xml:space="preserve">ĪAS </w:t>
      </w:r>
      <w:r w:rsidRPr="00A07F29">
        <w:rPr>
          <w:rFonts w:ascii="Times New Roman" w:eastAsia="Calibri" w:hAnsi="Times New Roman" w:cs="Times New Roman"/>
          <w:sz w:val="16"/>
          <w:szCs w:val="16"/>
        </w:rPr>
        <w:t>–</w:t>
      </w:r>
      <w:r w:rsidRPr="00A07F29">
        <w:rPr>
          <w:rFonts w:ascii="Times New Roman" w:eastAsia="Calibri" w:hAnsi="Times New Roman" w:cs="Times New Roman"/>
          <w:spacing w:val="-2"/>
          <w:sz w:val="16"/>
          <w:szCs w:val="16"/>
        </w:rPr>
        <w:t xml:space="preserve"> </w:t>
      </w:r>
      <w:r w:rsidR="00FA20FB" w:rsidRPr="00FA20FB">
        <w:rPr>
          <w:rFonts w:ascii="Times New Roman" w:eastAsia="Calibri" w:hAnsi="Times New Roman" w:cs="Times New Roman"/>
          <w:spacing w:val="-2"/>
          <w:sz w:val="16"/>
          <w:szCs w:val="16"/>
        </w:rPr>
        <w:t xml:space="preserve">īpaši aizsargājama suga (atbilstoši MK 2000. gada 14. novembra noteikumu Nr. 396. ”Noteikumi par īpaši aizsargājamo sugu un ierobežoti izmantojamo īpaši aizsargājamo sugu sarakstu” 1. un 2. pielikumam) Ar </w:t>
      </w:r>
      <w:r w:rsidR="00FA20FB" w:rsidRPr="00FA20FB">
        <w:rPr>
          <w:rFonts w:ascii="Times New Roman" w:eastAsia="Calibri" w:hAnsi="Times New Roman" w:cs="Times New Roman"/>
          <w:b/>
          <w:bCs/>
          <w:spacing w:val="-2"/>
          <w:sz w:val="16"/>
          <w:szCs w:val="16"/>
          <w:vertAlign w:val="superscript"/>
        </w:rPr>
        <w:t>1</w:t>
      </w:r>
      <w:r w:rsidR="00FA20FB" w:rsidRPr="00FA20FB">
        <w:rPr>
          <w:rFonts w:ascii="Times New Roman" w:eastAsia="Calibri" w:hAnsi="Times New Roman" w:cs="Times New Roman"/>
          <w:spacing w:val="-2"/>
          <w:sz w:val="16"/>
          <w:szCs w:val="16"/>
        </w:rPr>
        <w:t xml:space="preserve"> atzīmētas sugas, kuru aizsardzībai var veidot mikroliegumus (atbilstoši MK 2012. gada 18. decembra noteikumiem Nr. 940 „Noteikumi par mikroliegumu izveidošanas un apsaimniekošanas kārtību, to aizsardzību, kā arī mikroliegumu un to buferzonu noteikšanu”).</w:t>
      </w:r>
    </w:p>
    <w:p w14:paraId="7F752BA9" w14:textId="6FAAB554" w:rsidR="00A553D0" w:rsidRPr="00FA20FB" w:rsidRDefault="002A19F3" w:rsidP="00FA20FB">
      <w:pPr>
        <w:spacing w:after="120"/>
        <w:ind w:right="79"/>
        <w:jc w:val="both"/>
        <w:rPr>
          <w:rFonts w:ascii="Times New Roman" w:eastAsia="Calibri" w:hAnsi="Times New Roman" w:cs="Times New Roman"/>
          <w:sz w:val="16"/>
          <w:szCs w:val="16"/>
        </w:rPr>
      </w:pPr>
      <w:r w:rsidRPr="00A07F29">
        <w:rPr>
          <w:rFonts w:ascii="Times New Roman" w:eastAsia="Calibri" w:hAnsi="Times New Roman" w:cs="Times New Roman"/>
          <w:b/>
          <w:sz w:val="16"/>
          <w:szCs w:val="16"/>
        </w:rPr>
        <w:t>RAS</w:t>
      </w:r>
      <w:r w:rsidRPr="00A07F29">
        <w:rPr>
          <w:rFonts w:ascii="Times New Roman" w:eastAsia="Calibri" w:hAnsi="Times New Roman" w:cs="Times New Roman"/>
          <w:sz w:val="16"/>
          <w:szCs w:val="16"/>
        </w:rPr>
        <w:t xml:space="preserve"> – retās un aizsargājamās sūnas (Āboliņa</w:t>
      </w:r>
      <w:r w:rsidR="00B62A91">
        <w:rPr>
          <w:rFonts w:ascii="Times New Roman" w:eastAsia="Calibri" w:hAnsi="Times New Roman" w:cs="Times New Roman"/>
          <w:sz w:val="16"/>
          <w:szCs w:val="16"/>
        </w:rPr>
        <w:t xml:space="preserve"> A.,</w:t>
      </w:r>
      <w:r w:rsidRPr="00A07F29">
        <w:rPr>
          <w:rFonts w:ascii="Times New Roman" w:eastAsia="Calibri" w:hAnsi="Times New Roman" w:cs="Times New Roman"/>
          <w:sz w:val="16"/>
          <w:szCs w:val="16"/>
        </w:rPr>
        <w:t xml:space="preserve"> 1994)</w:t>
      </w:r>
    </w:p>
    <w:p w14:paraId="7E09DDEC" w14:textId="4FC998A5" w:rsidR="00DD437F" w:rsidRPr="00A07F29" w:rsidRDefault="00DD437F" w:rsidP="00D846AD">
      <w:pPr>
        <w:keepNext/>
        <w:spacing w:after="120" w:line="240" w:lineRule="auto"/>
        <w:jc w:val="center"/>
        <w:rPr>
          <w:rFonts w:ascii="Times New Roman" w:eastAsia="Calibri" w:hAnsi="Times New Roman" w:cs="Times New Roman"/>
          <w:sz w:val="24"/>
          <w:szCs w:val="24"/>
        </w:rPr>
      </w:pPr>
      <w:r w:rsidRPr="00A07F29">
        <w:rPr>
          <w:rFonts w:ascii="Times New Roman" w:eastAsia="Calibri" w:hAnsi="Times New Roman" w:cs="Times New Roman"/>
          <w:sz w:val="24"/>
          <w:szCs w:val="24"/>
        </w:rPr>
        <w:lastRenderedPageBreak/>
        <w:t>4.</w:t>
      </w:r>
      <w:r w:rsidR="00D846AD" w:rsidRPr="00A07F29">
        <w:rPr>
          <w:rFonts w:ascii="Times New Roman" w:eastAsia="Calibri" w:hAnsi="Times New Roman" w:cs="Times New Roman"/>
          <w:sz w:val="24"/>
          <w:szCs w:val="24"/>
        </w:rPr>
        <w:t>5</w:t>
      </w:r>
      <w:r w:rsidRPr="00A07F29">
        <w:rPr>
          <w:rFonts w:ascii="Times New Roman" w:eastAsia="Calibri" w:hAnsi="Times New Roman" w:cs="Times New Roman"/>
          <w:sz w:val="24"/>
          <w:szCs w:val="24"/>
        </w:rPr>
        <w:t>.2.</w:t>
      </w:r>
      <w:r w:rsidR="00A553D0">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tabula. Direktīvu pielikumos iekļauto </w:t>
      </w:r>
      <w:r w:rsidR="00D846AD" w:rsidRPr="00A07F29">
        <w:rPr>
          <w:rFonts w:ascii="Times New Roman" w:eastAsia="Calibri" w:hAnsi="Times New Roman" w:cs="Times New Roman"/>
          <w:sz w:val="24"/>
          <w:szCs w:val="24"/>
        </w:rPr>
        <w:t>sūnu</w:t>
      </w:r>
      <w:r w:rsidRPr="00A07F29">
        <w:rPr>
          <w:rFonts w:ascii="Times New Roman" w:eastAsia="Calibri" w:hAnsi="Times New Roman" w:cs="Times New Roman"/>
          <w:sz w:val="24"/>
          <w:szCs w:val="24"/>
        </w:rPr>
        <w:t xml:space="preserve"> sugu populāciju lielums un dzīvotņu platība</w:t>
      </w:r>
    </w:p>
    <w:tbl>
      <w:tblPr>
        <w:tblW w:w="96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3"/>
        <w:gridCol w:w="1690"/>
        <w:gridCol w:w="738"/>
        <w:gridCol w:w="851"/>
        <w:gridCol w:w="1559"/>
        <w:gridCol w:w="1418"/>
        <w:gridCol w:w="962"/>
        <w:gridCol w:w="1560"/>
      </w:tblGrid>
      <w:tr w:rsidR="00131BA7" w:rsidRPr="00A07F29" w14:paraId="42A0887E" w14:textId="77777777" w:rsidTr="008277DC">
        <w:trPr>
          <w:jc w:val="center"/>
        </w:trPr>
        <w:tc>
          <w:tcPr>
            <w:tcW w:w="833"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440DD2D5" w14:textId="77777777" w:rsidR="00131BA7" w:rsidRPr="00A07F29" w:rsidRDefault="00131BA7" w:rsidP="00EC1E48">
            <w:pPr>
              <w:keepNext/>
              <w:spacing w:after="120"/>
              <w:rPr>
                <w:rFonts w:ascii="Times New Roman" w:eastAsia="Calibri" w:hAnsi="Times New Roman" w:cs="Times New Roman"/>
                <w:sz w:val="20"/>
                <w:szCs w:val="20"/>
              </w:rPr>
            </w:pPr>
            <w:proofErr w:type="spellStart"/>
            <w:r w:rsidRPr="00A07F29">
              <w:rPr>
                <w:rFonts w:ascii="Times New Roman" w:eastAsia="Calibri" w:hAnsi="Times New Roman" w:cs="Times New Roman"/>
                <w:sz w:val="20"/>
                <w:szCs w:val="20"/>
              </w:rPr>
              <w:t>Nr.p.k</w:t>
            </w:r>
            <w:proofErr w:type="spellEnd"/>
            <w:r w:rsidRPr="00A07F29">
              <w:rPr>
                <w:rFonts w:ascii="Times New Roman" w:eastAsia="Calibri" w:hAnsi="Times New Roman" w:cs="Times New Roman"/>
                <w:sz w:val="20"/>
                <w:szCs w:val="20"/>
              </w:rPr>
              <w:t>.</w:t>
            </w:r>
          </w:p>
        </w:tc>
        <w:tc>
          <w:tcPr>
            <w:tcW w:w="1690"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615E2060" w14:textId="77777777" w:rsidR="00131BA7" w:rsidRPr="00A07F29" w:rsidRDefault="00131BA7" w:rsidP="00EC1E48">
            <w:pPr>
              <w:keepNext/>
              <w:spacing w:after="120"/>
              <w:rPr>
                <w:rFonts w:ascii="Times New Roman" w:eastAsia="Calibri" w:hAnsi="Times New Roman" w:cs="Times New Roman"/>
                <w:sz w:val="20"/>
                <w:szCs w:val="20"/>
              </w:rPr>
            </w:pPr>
            <w:r w:rsidRPr="00A07F29">
              <w:rPr>
                <w:rFonts w:ascii="Times New Roman" w:eastAsia="Calibri" w:hAnsi="Times New Roman" w:cs="Times New Roman"/>
                <w:sz w:val="20"/>
                <w:szCs w:val="20"/>
              </w:rPr>
              <w:t>Sugas nosaukums (latviski un latīniski)</w:t>
            </w:r>
          </w:p>
        </w:tc>
        <w:tc>
          <w:tcPr>
            <w:tcW w:w="1589"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730CEB66" w14:textId="77777777" w:rsidR="00131BA7" w:rsidRPr="00A07F29" w:rsidRDefault="00131BA7" w:rsidP="00EC1E48">
            <w:pPr>
              <w:keepNext/>
              <w:spacing w:after="120"/>
              <w:rPr>
                <w:rFonts w:ascii="Times New Roman" w:eastAsia="Calibri" w:hAnsi="Times New Roman" w:cs="Times New Roman"/>
                <w:sz w:val="20"/>
                <w:szCs w:val="20"/>
              </w:rPr>
            </w:pPr>
            <w:r w:rsidRPr="00A07F29">
              <w:rPr>
                <w:rFonts w:ascii="Times New Roman" w:eastAsia="Calibri" w:hAnsi="Times New Roman" w:cs="Times New Roman"/>
                <w:sz w:val="20"/>
                <w:szCs w:val="20"/>
              </w:rPr>
              <w:t>Sugas populācijas lielums visā AAA teritorijā (m</w:t>
            </w:r>
            <w:r w:rsidRPr="00A07F29">
              <w:rPr>
                <w:rFonts w:ascii="Times New Roman" w:eastAsia="Calibri" w:hAnsi="Times New Roman" w:cs="Times New Roman"/>
                <w:sz w:val="20"/>
                <w:szCs w:val="20"/>
                <w:vertAlign w:val="superscript"/>
              </w:rPr>
              <w:t>2</w:t>
            </w:r>
            <w:r w:rsidRPr="00A07F29">
              <w:rPr>
                <w:rFonts w:ascii="Times New Roman" w:eastAsia="Calibri" w:hAnsi="Times New Roman" w:cs="Times New Roman"/>
                <w:sz w:val="20"/>
                <w:szCs w:val="20"/>
              </w:rPr>
              <w:t>)</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51AF90CE" w14:textId="77777777" w:rsidR="00131BA7" w:rsidRPr="00A07F29" w:rsidRDefault="00131BA7" w:rsidP="00EC1E48">
            <w:pPr>
              <w:keepNext/>
              <w:spacing w:after="120"/>
              <w:rPr>
                <w:rFonts w:ascii="Times New Roman" w:eastAsia="Calibri" w:hAnsi="Times New Roman" w:cs="Times New Roman"/>
                <w:sz w:val="20"/>
                <w:szCs w:val="20"/>
              </w:rPr>
            </w:pPr>
            <w:r w:rsidRPr="00A07F29">
              <w:rPr>
                <w:rFonts w:ascii="Times New Roman" w:eastAsia="Calibri" w:hAnsi="Times New Roman" w:cs="Times New Roman"/>
                <w:sz w:val="20"/>
                <w:szCs w:val="20"/>
              </w:rPr>
              <w:t xml:space="preserve">Teritorijā esošās sugas populācijas attiecība (%) pret sugas populāciju </w:t>
            </w:r>
            <w:proofErr w:type="spellStart"/>
            <w:r w:rsidRPr="00A07F29">
              <w:rPr>
                <w:rFonts w:ascii="Times New Roman" w:eastAsia="Calibri" w:hAnsi="Times New Roman" w:cs="Times New Roman"/>
                <w:i/>
                <w:sz w:val="20"/>
                <w:szCs w:val="20"/>
              </w:rPr>
              <w:t>Natura</w:t>
            </w:r>
            <w:proofErr w:type="spellEnd"/>
            <w:r w:rsidRPr="00A07F29">
              <w:rPr>
                <w:rFonts w:ascii="Times New Roman" w:eastAsia="Calibri" w:hAnsi="Times New Roman" w:cs="Times New Roman"/>
                <w:i/>
                <w:sz w:val="20"/>
                <w:szCs w:val="20"/>
              </w:rPr>
              <w:t xml:space="preserve"> 2000</w:t>
            </w:r>
            <w:r w:rsidRPr="00A07F29">
              <w:rPr>
                <w:rFonts w:ascii="Times New Roman" w:eastAsia="Calibri" w:hAnsi="Times New Roman" w:cs="Times New Roman"/>
                <w:sz w:val="20"/>
                <w:szCs w:val="20"/>
              </w:rPr>
              <w:t xml:space="preserve"> teritorijās Latvijā kopumā</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57530647" w14:textId="77777777" w:rsidR="00131BA7" w:rsidRPr="00A07F29" w:rsidRDefault="00131BA7" w:rsidP="00EC1E48">
            <w:pPr>
              <w:keepNext/>
              <w:spacing w:after="120"/>
              <w:rPr>
                <w:rFonts w:ascii="Times New Roman" w:eastAsia="Calibri" w:hAnsi="Times New Roman" w:cs="Times New Roman"/>
                <w:sz w:val="20"/>
                <w:szCs w:val="20"/>
              </w:rPr>
            </w:pPr>
            <w:r w:rsidRPr="00A07F29">
              <w:rPr>
                <w:rFonts w:ascii="Times New Roman" w:eastAsia="Calibri" w:hAnsi="Times New Roman" w:cs="Times New Roman"/>
                <w:sz w:val="20"/>
                <w:szCs w:val="20"/>
              </w:rPr>
              <w:t>Teritorijā esošās sugas populācijas attiecība (%) pret sugas populāciju valstī</w:t>
            </w:r>
          </w:p>
        </w:tc>
        <w:tc>
          <w:tcPr>
            <w:tcW w:w="962"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2724AAA9" w14:textId="77777777" w:rsidR="00131BA7" w:rsidRPr="00A07F29" w:rsidRDefault="00131BA7" w:rsidP="00EC1E48">
            <w:pPr>
              <w:keepNext/>
              <w:spacing w:after="120"/>
              <w:rPr>
                <w:rFonts w:ascii="Times New Roman" w:eastAsia="Calibri" w:hAnsi="Times New Roman" w:cs="Times New Roman"/>
                <w:sz w:val="20"/>
                <w:szCs w:val="20"/>
              </w:rPr>
            </w:pPr>
            <w:r w:rsidRPr="00A07F29">
              <w:rPr>
                <w:rFonts w:ascii="Times New Roman" w:eastAsia="Calibri" w:hAnsi="Times New Roman" w:cs="Times New Roman"/>
                <w:sz w:val="20"/>
                <w:szCs w:val="20"/>
              </w:rPr>
              <w:t>Sugas dzīvotnes platība (ha)</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44B3D934" w14:textId="77777777" w:rsidR="00131BA7" w:rsidRPr="00A07F29" w:rsidRDefault="00131BA7" w:rsidP="00EC1E48">
            <w:pPr>
              <w:keepNext/>
              <w:spacing w:after="120"/>
              <w:rPr>
                <w:rFonts w:ascii="Times New Roman" w:eastAsia="Calibri" w:hAnsi="Times New Roman" w:cs="Times New Roman"/>
                <w:sz w:val="20"/>
                <w:szCs w:val="20"/>
              </w:rPr>
            </w:pPr>
            <w:r w:rsidRPr="00A07F29">
              <w:rPr>
                <w:rFonts w:ascii="Times New Roman" w:eastAsia="Calibri" w:hAnsi="Times New Roman" w:cs="Times New Roman"/>
                <w:sz w:val="20"/>
                <w:szCs w:val="20"/>
              </w:rPr>
              <w:t xml:space="preserve">Sugas dzīvotnes platības attiecība (%) pret sugas dzīvotnes platību </w:t>
            </w:r>
            <w:proofErr w:type="spellStart"/>
            <w:r w:rsidRPr="00A07F29">
              <w:rPr>
                <w:rFonts w:ascii="Times New Roman" w:eastAsia="Calibri" w:hAnsi="Times New Roman" w:cs="Times New Roman"/>
                <w:i/>
                <w:sz w:val="20"/>
                <w:szCs w:val="20"/>
              </w:rPr>
              <w:t>Natura</w:t>
            </w:r>
            <w:proofErr w:type="spellEnd"/>
            <w:r w:rsidRPr="00A07F29">
              <w:rPr>
                <w:rFonts w:ascii="Times New Roman" w:eastAsia="Calibri" w:hAnsi="Times New Roman" w:cs="Times New Roman"/>
                <w:i/>
                <w:sz w:val="20"/>
                <w:szCs w:val="20"/>
              </w:rPr>
              <w:t xml:space="preserve"> 2000</w:t>
            </w:r>
            <w:r w:rsidRPr="00A07F29">
              <w:rPr>
                <w:rFonts w:ascii="Times New Roman" w:eastAsia="Calibri" w:hAnsi="Times New Roman" w:cs="Times New Roman"/>
                <w:sz w:val="20"/>
                <w:szCs w:val="20"/>
              </w:rPr>
              <w:t xml:space="preserve"> teritorijās Latvijā kopumā</w:t>
            </w:r>
          </w:p>
        </w:tc>
      </w:tr>
      <w:tr w:rsidR="00131BA7" w:rsidRPr="00A07F29" w14:paraId="099A295E" w14:textId="77777777" w:rsidTr="008277DC">
        <w:trPr>
          <w:trHeight w:val="1386"/>
          <w:jc w:val="center"/>
        </w:trPr>
        <w:tc>
          <w:tcPr>
            <w:tcW w:w="833" w:type="dxa"/>
            <w:vMerge/>
            <w:vAlign w:val="center"/>
            <w:hideMark/>
          </w:tcPr>
          <w:p w14:paraId="23A11321" w14:textId="77777777" w:rsidR="00131BA7" w:rsidRPr="00A07F29" w:rsidRDefault="00131BA7" w:rsidP="00EC1E48">
            <w:pPr>
              <w:spacing w:after="0"/>
              <w:ind w:firstLine="851"/>
              <w:rPr>
                <w:rFonts w:ascii="Times New Roman" w:eastAsia="Calibri" w:hAnsi="Times New Roman" w:cs="Times New Roman"/>
                <w:sz w:val="20"/>
                <w:szCs w:val="20"/>
                <w:lang w:eastAsia="lv-LV"/>
              </w:rPr>
            </w:pPr>
          </w:p>
        </w:tc>
        <w:tc>
          <w:tcPr>
            <w:tcW w:w="1690" w:type="dxa"/>
            <w:vMerge/>
            <w:vAlign w:val="center"/>
            <w:hideMark/>
          </w:tcPr>
          <w:p w14:paraId="7567AC28" w14:textId="77777777" w:rsidR="00131BA7" w:rsidRPr="00A07F29" w:rsidRDefault="00131BA7" w:rsidP="00EC1E48">
            <w:pPr>
              <w:spacing w:after="0"/>
              <w:ind w:firstLine="851"/>
              <w:rPr>
                <w:rFonts w:ascii="Times New Roman" w:eastAsia="Calibri" w:hAnsi="Times New Roman" w:cs="Times New Roman"/>
                <w:sz w:val="20"/>
                <w:szCs w:val="20"/>
                <w:lang w:eastAsia="lv-LV"/>
              </w:rPr>
            </w:pPr>
          </w:p>
        </w:tc>
        <w:tc>
          <w:tcPr>
            <w:tcW w:w="738"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25446C33" w14:textId="77777777" w:rsidR="00131BA7" w:rsidRPr="00A07F29" w:rsidRDefault="00131BA7" w:rsidP="00EC1E48">
            <w:pPr>
              <w:spacing w:after="120"/>
              <w:rPr>
                <w:rFonts w:ascii="Times New Roman" w:eastAsia="Calibri" w:hAnsi="Times New Roman" w:cs="Times New Roman"/>
                <w:sz w:val="20"/>
                <w:szCs w:val="20"/>
              </w:rPr>
            </w:pPr>
            <w:r w:rsidRPr="00A07F29">
              <w:rPr>
                <w:rFonts w:ascii="Times New Roman" w:eastAsia="Calibri" w:hAnsi="Times New Roman" w:cs="Times New Roman"/>
                <w:sz w:val="20"/>
                <w:szCs w:val="20"/>
              </w:rPr>
              <w:t>min.</w:t>
            </w:r>
          </w:p>
        </w:tc>
        <w:tc>
          <w:tcPr>
            <w:tcW w:w="851"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CF7A922" w14:textId="77777777" w:rsidR="00131BA7" w:rsidRPr="00A07F29" w:rsidRDefault="00131BA7" w:rsidP="00EC1E48">
            <w:pPr>
              <w:spacing w:after="120"/>
              <w:rPr>
                <w:rFonts w:ascii="Times New Roman" w:eastAsia="Calibri" w:hAnsi="Times New Roman" w:cs="Times New Roman"/>
                <w:sz w:val="20"/>
                <w:szCs w:val="20"/>
              </w:rPr>
            </w:pPr>
            <w:r w:rsidRPr="00A07F29">
              <w:rPr>
                <w:rFonts w:ascii="Times New Roman" w:eastAsia="Calibri" w:hAnsi="Times New Roman" w:cs="Times New Roman"/>
                <w:sz w:val="20"/>
                <w:szCs w:val="20"/>
              </w:rPr>
              <w:t>maks.</w:t>
            </w:r>
          </w:p>
        </w:tc>
        <w:tc>
          <w:tcPr>
            <w:tcW w:w="1559" w:type="dxa"/>
            <w:vMerge/>
            <w:vAlign w:val="center"/>
            <w:hideMark/>
          </w:tcPr>
          <w:p w14:paraId="54205790" w14:textId="77777777" w:rsidR="00131BA7" w:rsidRPr="00A07F29" w:rsidRDefault="00131BA7" w:rsidP="00EC1E48">
            <w:pPr>
              <w:spacing w:after="0"/>
              <w:ind w:firstLine="851"/>
              <w:rPr>
                <w:rFonts w:ascii="Times New Roman" w:eastAsia="Calibri" w:hAnsi="Times New Roman" w:cs="Times New Roman"/>
                <w:sz w:val="20"/>
                <w:szCs w:val="20"/>
                <w:lang w:eastAsia="lv-LV"/>
              </w:rPr>
            </w:pPr>
          </w:p>
        </w:tc>
        <w:tc>
          <w:tcPr>
            <w:tcW w:w="1418" w:type="dxa"/>
            <w:vMerge/>
            <w:vAlign w:val="center"/>
            <w:hideMark/>
          </w:tcPr>
          <w:p w14:paraId="77CC23D3" w14:textId="77777777" w:rsidR="00131BA7" w:rsidRPr="00A07F29" w:rsidRDefault="00131BA7" w:rsidP="00EC1E48">
            <w:pPr>
              <w:spacing w:after="0"/>
              <w:ind w:firstLine="851"/>
              <w:rPr>
                <w:rFonts w:ascii="Times New Roman" w:eastAsia="Calibri" w:hAnsi="Times New Roman" w:cs="Times New Roman"/>
                <w:sz w:val="20"/>
                <w:szCs w:val="20"/>
                <w:lang w:eastAsia="lv-LV"/>
              </w:rPr>
            </w:pPr>
          </w:p>
        </w:tc>
        <w:tc>
          <w:tcPr>
            <w:tcW w:w="962" w:type="dxa"/>
            <w:vMerge/>
            <w:vAlign w:val="center"/>
            <w:hideMark/>
          </w:tcPr>
          <w:p w14:paraId="6D8740CC" w14:textId="77777777" w:rsidR="00131BA7" w:rsidRPr="00A07F29" w:rsidRDefault="00131BA7" w:rsidP="00EC1E48">
            <w:pPr>
              <w:spacing w:after="0"/>
              <w:ind w:firstLine="851"/>
              <w:rPr>
                <w:rFonts w:ascii="Times New Roman" w:eastAsia="Calibri" w:hAnsi="Times New Roman" w:cs="Times New Roman"/>
                <w:sz w:val="20"/>
                <w:szCs w:val="20"/>
                <w:lang w:eastAsia="lv-LV"/>
              </w:rPr>
            </w:pPr>
          </w:p>
        </w:tc>
        <w:tc>
          <w:tcPr>
            <w:tcW w:w="1560" w:type="dxa"/>
            <w:vMerge/>
            <w:vAlign w:val="center"/>
            <w:hideMark/>
          </w:tcPr>
          <w:p w14:paraId="78CDC8B8" w14:textId="77777777" w:rsidR="00131BA7" w:rsidRPr="00A07F29" w:rsidRDefault="00131BA7" w:rsidP="00EC1E48">
            <w:pPr>
              <w:spacing w:after="0"/>
              <w:ind w:firstLine="851"/>
              <w:rPr>
                <w:rFonts w:ascii="Times New Roman" w:eastAsia="Calibri" w:hAnsi="Times New Roman" w:cs="Times New Roman"/>
                <w:sz w:val="20"/>
                <w:szCs w:val="20"/>
                <w:lang w:eastAsia="lv-LV"/>
              </w:rPr>
            </w:pPr>
          </w:p>
        </w:tc>
      </w:tr>
      <w:tr w:rsidR="00131BA7" w:rsidRPr="00A07F29" w14:paraId="7510E52D" w14:textId="77777777" w:rsidTr="008277DC">
        <w:trPr>
          <w:jc w:val="center"/>
        </w:trPr>
        <w:tc>
          <w:tcPr>
            <w:tcW w:w="833" w:type="dxa"/>
            <w:tcBorders>
              <w:top w:val="single" w:sz="4" w:space="0" w:color="auto"/>
              <w:left w:val="single" w:sz="4" w:space="0" w:color="auto"/>
              <w:bottom w:val="single" w:sz="4" w:space="0" w:color="auto"/>
              <w:right w:val="single" w:sz="4" w:space="0" w:color="auto"/>
            </w:tcBorders>
            <w:hideMark/>
          </w:tcPr>
          <w:p w14:paraId="7A31ABA0" w14:textId="77777777" w:rsidR="00131BA7" w:rsidRPr="00A07F29" w:rsidRDefault="00131BA7" w:rsidP="00EC1E48">
            <w:pPr>
              <w:spacing w:after="120"/>
              <w:rPr>
                <w:rFonts w:ascii="Times New Roman" w:eastAsia="Calibri" w:hAnsi="Times New Roman" w:cs="Times New Roman"/>
                <w:sz w:val="20"/>
                <w:szCs w:val="20"/>
              </w:rPr>
            </w:pPr>
            <w:r w:rsidRPr="00A07F29">
              <w:rPr>
                <w:rFonts w:ascii="Times New Roman" w:eastAsia="Calibri" w:hAnsi="Times New Roman" w:cs="Times New Roman"/>
                <w:sz w:val="20"/>
                <w:szCs w:val="20"/>
              </w:rPr>
              <w:t>1.</w:t>
            </w:r>
          </w:p>
        </w:tc>
        <w:tc>
          <w:tcPr>
            <w:tcW w:w="1690" w:type="dxa"/>
            <w:tcBorders>
              <w:top w:val="single" w:sz="4" w:space="0" w:color="auto"/>
              <w:left w:val="single" w:sz="4" w:space="0" w:color="auto"/>
              <w:bottom w:val="single" w:sz="4" w:space="0" w:color="auto"/>
              <w:right w:val="single" w:sz="4" w:space="0" w:color="auto"/>
            </w:tcBorders>
            <w:hideMark/>
          </w:tcPr>
          <w:p w14:paraId="5E9206F8" w14:textId="77777777" w:rsidR="00131BA7" w:rsidRPr="00A07F29" w:rsidRDefault="00131BA7" w:rsidP="00EC1E48">
            <w:pPr>
              <w:spacing w:after="0"/>
              <w:rPr>
                <w:rFonts w:ascii="Times New Roman" w:eastAsia="Calibri" w:hAnsi="Times New Roman" w:cs="Times New Roman"/>
                <w:sz w:val="20"/>
                <w:szCs w:val="20"/>
              </w:rPr>
            </w:pPr>
            <w:r w:rsidRPr="00A07F29">
              <w:rPr>
                <w:rFonts w:ascii="Times New Roman" w:eastAsia="Calibri" w:hAnsi="Times New Roman" w:cs="Times New Roman"/>
                <w:sz w:val="20"/>
                <w:szCs w:val="20"/>
              </w:rPr>
              <w:t xml:space="preserve">Lapzemes </w:t>
            </w:r>
            <w:proofErr w:type="spellStart"/>
            <w:r w:rsidRPr="00A07F29">
              <w:rPr>
                <w:rFonts w:ascii="Times New Roman" w:eastAsia="Calibri" w:hAnsi="Times New Roman" w:cs="Times New Roman"/>
                <w:sz w:val="20"/>
                <w:szCs w:val="20"/>
              </w:rPr>
              <w:t>āķīte</w:t>
            </w:r>
            <w:proofErr w:type="spellEnd"/>
            <w:r w:rsidRPr="00A07F29">
              <w:rPr>
                <w:rFonts w:ascii="Times New Roman" w:eastAsia="Calibri" w:hAnsi="Times New Roman" w:cs="Times New Roman"/>
                <w:sz w:val="20"/>
                <w:szCs w:val="20"/>
              </w:rPr>
              <w:t>,</w:t>
            </w:r>
          </w:p>
          <w:p w14:paraId="23223D06" w14:textId="77777777" w:rsidR="00131BA7" w:rsidRPr="00A07F29" w:rsidRDefault="00131BA7" w:rsidP="00EC1E48">
            <w:pPr>
              <w:spacing w:after="0"/>
              <w:rPr>
                <w:rFonts w:ascii="Times New Roman" w:eastAsia="Calibri" w:hAnsi="Times New Roman" w:cs="Times New Roman"/>
                <w:i/>
                <w:spacing w:val="1"/>
                <w:sz w:val="20"/>
                <w:szCs w:val="20"/>
              </w:rPr>
            </w:pPr>
            <w:proofErr w:type="spellStart"/>
            <w:r w:rsidRPr="00A07F29">
              <w:rPr>
                <w:rFonts w:ascii="Times New Roman" w:eastAsia="Calibri" w:hAnsi="Times New Roman" w:cs="Times New Roman"/>
                <w:i/>
                <w:sz w:val="20"/>
                <w:szCs w:val="20"/>
              </w:rPr>
              <w:t>Hamatocaulislapponicus</w:t>
            </w:r>
            <w:proofErr w:type="spellEnd"/>
          </w:p>
        </w:tc>
        <w:tc>
          <w:tcPr>
            <w:tcW w:w="738" w:type="dxa"/>
            <w:tcBorders>
              <w:top w:val="single" w:sz="4" w:space="0" w:color="auto"/>
              <w:left w:val="single" w:sz="4" w:space="0" w:color="auto"/>
              <w:bottom w:val="single" w:sz="4" w:space="0" w:color="auto"/>
              <w:right w:val="single" w:sz="4" w:space="0" w:color="auto"/>
            </w:tcBorders>
            <w:vAlign w:val="center"/>
          </w:tcPr>
          <w:p w14:paraId="738BDC5A" w14:textId="77777777" w:rsidR="00131BA7" w:rsidRPr="00A07F29" w:rsidRDefault="00131BA7" w:rsidP="00EC1E48">
            <w:pPr>
              <w:spacing w:after="120"/>
              <w:rPr>
                <w:rFonts w:ascii="Times New Roman" w:eastAsia="Calibri" w:hAnsi="Times New Roman" w:cs="Times New Roman"/>
                <w:sz w:val="20"/>
                <w:szCs w:val="20"/>
              </w:rPr>
            </w:pPr>
            <w:r w:rsidRPr="00A07F29">
              <w:rPr>
                <w:rFonts w:ascii="Times New Roman" w:eastAsia="Calibri" w:hAnsi="Times New Roman" w:cs="Times New Roman"/>
                <w:sz w:val="20"/>
                <w:szCs w:val="20"/>
              </w:rPr>
              <w:t>0,05</w:t>
            </w:r>
          </w:p>
        </w:tc>
        <w:tc>
          <w:tcPr>
            <w:tcW w:w="851" w:type="dxa"/>
            <w:tcBorders>
              <w:top w:val="single" w:sz="4" w:space="0" w:color="auto"/>
              <w:left w:val="single" w:sz="4" w:space="0" w:color="auto"/>
              <w:bottom w:val="single" w:sz="4" w:space="0" w:color="auto"/>
              <w:right w:val="single" w:sz="4" w:space="0" w:color="auto"/>
            </w:tcBorders>
            <w:vAlign w:val="center"/>
          </w:tcPr>
          <w:p w14:paraId="57916C58" w14:textId="77777777" w:rsidR="00131BA7" w:rsidRPr="00A07F29" w:rsidRDefault="00131BA7" w:rsidP="00EC1E48">
            <w:pPr>
              <w:spacing w:after="120"/>
              <w:rPr>
                <w:rFonts w:ascii="Times New Roman" w:eastAsia="Calibri" w:hAnsi="Times New Roman" w:cs="Times New Roman"/>
                <w:sz w:val="20"/>
                <w:szCs w:val="20"/>
              </w:rPr>
            </w:pPr>
            <w:r w:rsidRPr="00A07F29">
              <w:rPr>
                <w:rFonts w:ascii="Times New Roman" w:eastAsia="Calibri" w:hAnsi="Times New Roman" w:cs="Times New Roman"/>
                <w:sz w:val="20"/>
                <w:szCs w:val="20"/>
              </w:rPr>
              <w:t>0,05</w:t>
            </w:r>
          </w:p>
        </w:tc>
        <w:tc>
          <w:tcPr>
            <w:tcW w:w="1559" w:type="dxa"/>
            <w:tcBorders>
              <w:top w:val="single" w:sz="4" w:space="0" w:color="auto"/>
              <w:left w:val="single" w:sz="4" w:space="0" w:color="auto"/>
              <w:bottom w:val="single" w:sz="4" w:space="0" w:color="auto"/>
              <w:right w:val="single" w:sz="4" w:space="0" w:color="auto"/>
            </w:tcBorders>
            <w:vAlign w:val="center"/>
          </w:tcPr>
          <w:p w14:paraId="00F64B5B" w14:textId="77777777" w:rsidR="00131BA7" w:rsidRPr="00A07F29" w:rsidRDefault="00131BA7" w:rsidP="00EC1E48">
            <w:pPr>
              <w:spacing w:after="120"/>
              <w:rPr>
                <w:rFonts w:ascii="Times New Roman" w:eastAsia="Calibri" w:hAnsi="Times New Roman" w:cs="Times New Roman"/>
                <w:sz w:val="20"/>
                <w:szCs w:val="20"/>
              </w:rPr>
            </w:pPr>
            <w:r w:rsidRPr="00A07F29">
              <w:rPr>
                <w:rFonts w:ascii="Times New Roman" w:eastAsia="Calibri" w:hAnsi="Times New Roman" w:cs="Times New Roman"/>
                <w:sz w:val="20"/>
                <w:szCs w:val="20"/>
              </w:rPr>
              <w:t>0,06</w:t>
            </w:r>
          </w:p>
        </w:tc>
        <w:tc>
          <w:tcPr>
            <w:tcW w:w="1418" w:type="dxa"/>
            <w:tcBorders>
              <w:top w:val="single" w:sz="4" w:space="0" w:color="auto"/>
              <w:left w:val="single" w:sz="4" w:space="0" w:color="auto"/>
              <w:bottom w:val="single" w:sz="4" w:space="0" w:color="auto"/>
              <w:right w:val="single" w:sz="4" w:space="0" w:color="auto"/>
            </w:tcBorders>
            <w:vAlign w:val="center"/>
          </w:tcPr>
          <w:p w14:paraId="03B59E4E" w14:textId="77777777" w:rsidR="00131BA7" w:rsidRPr="00A07F29" w:rsidRDefault="00131BA7" w:rsidP="00EC1E48">
            <w:pPr>
              <w:spacing w:after="120"/>
              <w:rPr>
                <w:rFonts w:ascii="Times New Roman" w:eastAsia="Calibri" w:hAnsi="Times New Roman" w:cs="Times New Roman"/>
                <w:sz w:val="20"/>
                <w:szCs w:val="20"/>
              </w:rPr>
            </w:pPr>
            <w:r w:rsidRPr="00A07F29">
              <w:rPr>
                <w:rFonts w:ascii="Times New Roman" w:eastAsia="Calibri" w:hAnsi="Times New Roman" w:cs="Times New Roman"/>
                <w:sz w:val="20"/>
                <w:szCs w:val="20"/>
              </w:rPr>
              <w:t>0,06</w:t>
            </w:r>
          </w:p>
        </w:tc>
        <w:tc>
          <w:tcPr>
            <w:tcW w:w="962" w:type="dxa"/>
            <w:tcBorders>
              <w:top w:val="single" w:sz="4" w:space="0" w:color="auto"/>
              <w:left w:val="single" w:sz="4" w:space="0" w:color="auto"/>
              <w:bottom w:val="single" w:sz="4" w:space="0" w:color="auto"/>
              <w:right w:val="single" w:sz="4" w:space="0" w:color="auto"/>
            </w:tcBorders>
            <w:vAlign w:val="center"/>
          </w:tcPr>
          <w:p w14:paraId="6986CB4F" w14:textId="77777777" w:rsidR="00131BA7" w:rsidRPr="00A07F29" w:rsidRDefault="00131BA7" w:rsidP="00EC1E48">
            <w:pPr>
              <w:spacing w:after="120"/>
              <w:rPr>
                <w:rFonts w:ascii="Times New Roman" w:eastAsia="Calibri" w:hAnsi="Times New Roman" w:cs="Times New Roman"/>
                <w:sz w:val="20"/>
                <w:szCs w:val="20"/>
              </w:rPr>
            </w:pPr>
            <w:r w:rsidRPr="00A07F29">
              <w:rPr>
                <w:rFonts w:ascii="Times New Roman" w:eastAsia="Calibri" w:hAnsi="Times New Roman" w:cs="Times New Roman"/>
                <w:sz w:val="20"/>
                <w:szCs w:val="20"/>
              </w:rPr>
              <w:t>0,001</w:t>
            </w:r>
          </w:p>
        </w:tc>
        <w:tc>
          <w:tcPr>
            <w:tcW w:w="1560" w:type="dxa"/>
            <w:tcBorders>
              <w:top w:val="single" w:sz="4" w:space="0" w:color="auto"/>
              <w:left w:val="single" w:sz="4" w:space="0" w:color="auto"/>
              <w:bottom w:val="single" w:sz="4" w:space="0" w:color="auto"/>
              <w:right w:val="single" w:sz="4" w:space="0" w:color="auto"/>
            </w:tcBorders>
            <w:vAlign w:val="center"/>
          </w:tcPr>
          <w:p w14:paraId="73328B24" w14:textId="2A07CBF4" w:rsidR="00131BA7" w:rsidRPr="00A07F29" w:rsidRDefault="00131BA7" w:rsidP="00EC1E48">
            <w:pPr>
              <w:spacing w:after="120"/>
              <w:ind w:firstLine="851"/>
              <w:rPr>
                <w:rFonts w:ascii="Times New Roman" w:eastAsia="Calibri" w:hAnsi="Times New Roman" w:cs="Times New Roman"/>
                <w:sz w:val="20"/>
                <w:szCs w:val="20"/>
              </w:rPr>
            </w:pPr>
            <w:r w:rsidRPr="00A07F29">
              <w:rPr>
                <w:rFonts w:ascii="Times New Roman" w:eastAsia="Calibri" w:hAnsi="Times New Roman" w:cs="Times New Roman"/>
                <w:sz w:val="20"/>
                <w:szCs w:val="20"/>
              </w:rPr>
              <w:t>0,4</w:t>
            </w:r>
          </w:p>
        </w:tc>
      </w:tr>
      <w:tr w:rsidR="00131BA7" w:rsidRPr="00A07F29" w14:paraId="4708659F" w14:textId="77777777" w:rsidTr="008277DC">
        <w:trPr>
          <w:jc w:val="center"/>
        </w:trPr>
        <w:tc>
          <w:tcPr>
            <w:tcW w:w="833" w:type="dxa"/>
            <w:tcBorders>
              <w:top w:val="single" w:sz="4" w:space="0" w:color="auto"/>
              <w:left w:val="single" w:sz="4" w:space="0" w:color="auto"/>
              <w:bottom w:val="single" w:sz="4" w:space="0" w:color="auto"/>
              <w:right w:val="single" w:sz="4" w:space="0" w:color="auto"/>
            </w:tcBorders>
            <w:hideMark/>
          </w:tcPr>
          <w:p w14:paraId="2434EE5A" w14:textId="77777777" w:rsidR="00131BA7" w:rsidRPr="00A07F29" w:rsidRDefault="00131BA7" w:rsidP="00EC1E48">
            <w:pPr>
              <w:spacing w:after="120"/>
              <w:rPr>
                <w:rFonts w:ascii="Times New Roman" w:eastAsia="Calibri" w:hAnsi="Times New Roman" w:cs="Times New Roman"/>
                <w:sz w:val="20"/>
                <w:szCs w:val="20"/>
              </w:rPr>
            </w:pPr>
            <w:r w:rsidRPr="00A07F29">
              <w:rPr>
                <w:rFonts w:ascii="Times New Roman" w:eastAsia="Calibri" w:hAnsi="Times New Roman" w:cs="Times New Roman"/>
                <w:sz w:val="20"/>
                <w:szCs w:val="20"/>
              </w:rPr>
              <w:t>2.</w:t>
            </w:r>
          </w:p>
        </w:tc>
        <w:tc>
          <w:tcPr>
            <w:tcW w:w="1690" w:type="dxa"/>
            <w:tcBorders>
              <w:top w:val="single" w:sz="4" w:space="0" w:color="auto"/>
              <w:left w:val="single" w:sz="4" w:space="0" w:color="auto"/>
              <w:bottom w:val="single" w:sz="4" w:space="0" w:color="auto"/>
              <w:right w:val="single" w:sz="4" w:space="0" w:color="auto"/>
            </w:tcBorders>
            <w:hideMark/>
          </w:tcPr>
          <w:p w14:paraId="1DA8C80B" w14:textId="77777777" w:rsidR="00131BA7" w:rsidRPr="00A07F29" w:rsidRDefault="00131BA7" w:rsidP="00EC1E48">
            <w:pPr>
              <w:spacing w:after="0"/>
              <w:rPr>
                <w:rFonts w:ascii="Times New Roman" w:eastAsia="Calibri" w:hAnsi="Times New Roman" w:cs="Times New Roman"/>
                <w:sz w:val="20"/>
                <w:szCs w:val="20"/>
              </w:rPr>
            </w:pPr>
            <w:r w:rsidRPr="00A07F29">
              <w:rPr>
                <w:rFonts w:ascii="Times New Roman" w:eastAsia="Calibri" w:hAnsi="Times New Roman" w:cs="Times New Roman"/>
                <w:sz w:val="20"/>
                <w:szCs w:val="20"/>
              </w:rPr>
              <w:t xml:space="preserve">Spīdīgā </w:t>
            </w:r>
            <w:proofErr w:type="spellStart"/>
            <w:r w:rsidRPr="00A07F29">
              <w:rPr>
                <w:rFonts w:ascii="Times New Roman" w:eastAsia="Calibri" w:hAnsi="Times New Roman" w:cs="Times New Roman"/>
                <w:sz w:val="20"/>
                <w:szCs w:val="20"/>
              </w:rPr>
              <w:t>āķīte</w:t>
            </w:r>
            <w:proofErr w:type="spellEnd"/>
            <w:r w:rsidRPr="00A07F29">
              <w:rPr>
                <w:rFonts w:ascii="Times New Roman" w:eastAsia="Calibri" w:hAnsi="Times New Roman" w:cs="Times New Roman"/>
                <w:sz w:val="20"/>
                <w:szCs w:val="20"/>
              </w:rPr>
              <w:t>,</w:t>
            </w:r>
          </w:p>
          <w:p w14:paraId="6F0EFD33" w14:textId="77777777" w:rsidR="00131BA7" w:rsidRPr="00A07F29" w:rsidRDefault="00131BA7" w:rsidP="00EC1E48">
            <w:pPr>
              <w:spacing w:after="120"/>
              <w:rPr>
                <w:rFonts w:ascii="Times New Roman" w:eastAsia="Calibri" w:hAnsi="Times New Roman" w:cs="Times New Roman"/>
                <w:i/>
                <w:sz w:val="20"/>
                <w:szCs w:val="20"/>
              </w:rPr>
            </w:pPr>
            <w:proofErr w:type="spellStart"/>
            <w:r w:rsidRPr="00A07F29">
              <w:rPr>
                <w:rFonts w:ascii="Times New Roman" w:eastAsia="Calibri" w:hAnsi="Times New Roman" w:cs="Times New Roman"/>
                <w:i/>
                <w:sz w:val="20"/>
                <w:szCs w:val="20"/>
              </w:rPr>
              <w:t>Hamatocaulis</w:t>
            </w:r>
            <w:r w:rsidRPr="00A07F29">
              <w:rPr>
                <w:rFonts w:ascii="Times New Roman" w:eastAsia="Times New Roman" w:hAnsi="Times New Roman" w:cs="Times New Roman"/>
                <w:i/>
                <w:sz w:val="20"/>
                <w:szCs w:val="20"/>
              </w:rPr>
              <w:t>vernicosus</w:t>
            </w:r>
            <w:proofErr w:type="spellEnd"/>
          </w:p>
        </w:tc>
        <w:tc>
          <w:tcPr>
            <w:tcW w:w="738" w:type="dxa"/>
            <w:tcBorders>
              <w:top w:val="single" w:sz="4" w:space="0" w:color="auto"/>
              <w:left w:val="single" w:sz="4" w:space="0" w:color="auto"/>
              <w:bottom w:val="single" w:sz="4" w:space="0" w:color="auto"/>
              <w:right w:val="single" w:sz="4" w:space="0" w:color="auto"/>
            </w:tcBorders>
            <w:vAlign w:val="center"/>
          </w:tcPr>
          <w:p w14:paraId="2D147800" w14:textId="2BB732C3" w:rsidR="00131BA7" w:rsidRPr="00A07F29" w:rsidRDefault="00826785" w:rsidP="00EC1E48">
            <w:pPr>
              <w:spacing w:after="120"/>
              <w:rPr>
                <w:rFonts w:ascii="Times New Roman" w:eastAsia="Calibri" w:hAnsi="Times New Roman" w:cs="Times New Roman"/>
                <w:sz w:val="20"/>
                <w:szCs w:val="20"/>
              </w:rPr>
            </w:pPr>
            <w:r w:rsidRPr="00A07F29">
              <w:rPr>
                <w:rFonts w:ascii="Times New Roman" w:eastAsia="Calibri" w:hAnsi="Times New Roman" w:cs="Times New Roman"/>
                <w:sz w:val="20"/>
                <w:szCs w:val="20"/>
              </w:rPr>
              <w:t>19,5</w:t>
            </w:r>
          </w:p>
        </w:tc>
        <w:tc>
          <w:tcPr>
            <w:tcW w:w="851" w:type="dxa"/>
            <w:tcBorders>
              <w:top w:val="single" w:sz="4" w:space="0" w:color="auto"/>
              <w:left w:val="single" w:sz="4" w:space="0" w:color="auto"/>
              <w:bottom w:val="single" w:sz="4" w:space="0" w:color="auto"/>
              <w:right w:val="single" w:sz="4" w:space="0" w:color="auto"/>
            </w:tcBorders>
            <w:vAlign w:val="center"/>
          </w:tcPr>
          <w:p w14:paraId="054C7630" w14:textId="2E2323F4" w:rsidR="00131BA7" w:rsidRPr="00A07F29" w:rsidRDefault="009C002E" w:rsidP="00EC1E48">
            <w:pPr>
              <w:spacing w:after="120"/>
              <w:rPr>
                <w:rFonts w:ascii="Times New Roman" w:eastAsia="Calibri" w:hAnsi="Times New Roman" w:cs="Times New Roman"/>
                <w:sz w:val="20"/>
                <w:szCs w:val="20"/>
              </w:rPr>
            </w:pPr>
            <w:r w:rsidRPr="00A07F29">
              <w:rPr>
                <w:rFonts w:ascii="Times New Roman" w:eastAsia="Calibri" w:hAnsi="Times New Roman" w:cs="Times New Roman"/>
                <w:sz w:val="20"/>
                <w:szCs w:val="20"/>
              </w:rPr>
              <w:t>25</w:t>
            </w:r>
          </w:p>
        </w:tc>
        <w:tc>
          <w:tcPr>
            <w:tcW w:w="1559" w:type="dxa"/>
            <w:tcBorders>
              <w:top w:val="single" w:sz="4" w:space="0" w:color="auto"/>
              <w:left w:val="single" w:sz="4" w:space="0" w:color="auto"/>
              <w:bottom w:val="single" w:sz="4" w:space="0" w:color="auto"/>
              <w:right w:val="single" w:sz="4" w:space="0" w:color="auto"/>
            </w:tcBorders>
            <w:vAlign w:val="center"/>
          </w:tcPr>
          <w:p w14:paraId="615ECF46" w14:textId="77777777" w:rsidR="00131BA7" w:rsidRPr="00A07F29" w:rsidRDefault="00131BA7" w:rsidP="00EC1E48">
            <w:pPr>
              <w:spacing w:after="120"/>
              <w:rPr>
                <w:rFonts w:ascii="Times New Roman" w:eastAsia="Calibri" w:hAnsi="Times New Roman" w:cs="Times New Roman"/>
                <w:sz w:val="20"/>
                <w:szCs w:val="20"/>
              </w:rPr>
            </w:pPr>
            <w:r w:rsidRPr="00A07F29">
              <w:rPr>
                <w:rFonts w:ascii="Times New Roman" w:eastAsia="Calibri" w:hAnsi="Times New Roman" w:cs="Times New Roman"/>
                <w:sz w:val="20"/>
                <w:szCs w:val="20"/>
              </w:rPr>
              <w:t>0,2</w:t>
            </w:r>
          </w:p>
        </w:tc>
        <w:tc>
          <w:tcPr>
            <w:tcW w:w="1418" w:type="dxa"/>
            <w:tcBorders>
              <w:top w:val="single" w:sz="4" w:space="0" w:color="auto"/>
              <w:left w:val="single" w:sz="4" w:space="0" w:color="auto"/>
              <w:bottom w:val="single" w:sz="4" w:space="0" w:color="auto"/>
              <w:right w:val="single" w:sz="4" w:space="0" w:color="auto"/>
            </w:tcBorders>
            <w:vAlign w:val="center"/>
          </w:tcPr>
          <w:p w14:paraId="0D42A758" w14:textId="77777777" w:rsidR="00131BA7" w:rsidRPr="00A07F29" w:rsidRDefault="00131BA7" w:rsidP="00EC1E48">
            <w:pPr>
              <w:spacing w:after="120"/>
              <w:rPr>
                <w:rFonts w:ascii="Times New Roman" w:eastAsia="Calibri" w:hAnsi="Times New Roman" w:cs="Times New Roman"/>
                <w:sz w:val="20"/>
                <w:szCs w:val="20"/>
              </w:rPr>
            </w:pPr>
            <w:r w:rsidRPr="00A07F29">
              <w:rPr>
                <w:rFonts w:ascii="Times New Roman" w:eastAsia="Calibri" w:hAnsi="Times New Roman" w:cs="Times New Roman"/>
                <w:sz w:val="20"/>
                <w:szCs w:val="20"/>
              </w:rPr>
              <w:t>0,11</w:t>
            </w:r>
          </w:p>
        </w:tc>
        <w:tc>
          <w:tcPr>
            <w:tcW w:w="962" w:type="dxa"/>
            <w:tcBorders>
              <w:top w:val="single" w:sz="4" w:space="0" w:color="auto"/>
              <w:left w:val="single" w:sz="4" w:space="0" w:color="auto"/>
              <w:bottom w:val="single" w:sz="4" w:space="0" w:color="auto"/>
              <w:right w:val="single" w:sz="4" w:space="0" w:color="auto"/>
            </w:tcBorders>
            <w:vAlign w:val="center"/>
          </w:tcPr>
          <w:p w14:paraId="511A988F" w14:textId="77777777" w:rsidR="00131BA7" w:rsidRPr="00A07F29" w:rsidRDefault="00131BA7" w:rsidP="00EC1E48">
            <w:pPr>
              <w:spacing w:after="120"/>
              <w:rPr>
                <w:rFonts w:ascii="Times New Roman" w:eastAsia="Calibri" w:hAnsi="Times New Roman" w:cs="Times New Roman"/>
                <w:sz w:val="20"/>
                <w:szCs w:val="20"/>
              </w:rPr>
            </w:pPr>
            <w:r w:rsidRPr="00A07F29">
              <w:rPr>
                <w:rFonts w:ascii="Times New Roman" w:eastAsia="Calibri" w:hAnsi="Times New Roman" w:cs="Times New Roman"/>
                <w:sz w:val="20"/>
                <w:szCs w:val="20"/>
              </w:rPr>
              <w:t>9,2</w:t>
            </w:r>
          </w:p>
        </w:tc>
        <w:tc>
          <w:tcPr>
            <w:tcW w:w="1560" w:type="dxa"/>
            <w:tcBorders>
              <w:top w:val="single" w:sz="4" w:space="0" w:color="auto"/>
              <w:left w:val="single" w:sz="4" w:space="0" w:color="auto"/>
              <w:bottom w:val="single" w:sz="4" w:space="0" w:color="auto"/>
              <w:right w:val="single" w:sz="4" w:space="0" w:color="auto"/>
            </w:tcBorders>
            <w:vAlign w:val="center"/>
          </w:tcPr>
          <w:p w14:paraId="045B8BA2" w14:textId="77777777" w:rsidR="00131BA7" w:rsidRPr="00A07F29" w:rsidRDefault="00131BA7" w:rsidP="00EC1E48">
            <w:pPr>
              <w:spacing w:after="120"/>
              <w:ind w:firstLine="851"/>
              <w:rPr>
                <w:rFonts w:ascii="Times New Roman" w:eastAsia="Calibri" w:hAnsi="Times New Roman" w:cs="Times New Roman"/>
                <w:sz w:val="20"/>
                <w:szCs w:val="20"/>
              </w:rPr>
            </w:pPr>
            <w:r w:rsidRPr="00A07F29">
              <w:rPr>
                <w:rFonts w:ascii="Times New Roman" w:eastAsia="Calibri" w:hAnsi="Times New Roman" w:cs="Times New Roman"/>
                <w:sz w:val="20"/>
                <w:szCs w:val="20"/>
              </w:rPr>
              <w:t>1,8</w:t>
            </w:r>
          </w:p>
        </w:tc>
      </w:tr>
    </w:tbl>
    <w:p w14:paraId="47160200" w14:textId="77777777" w:rsidR="008277DC" w:rsidRDefault="008277DC" w:rsidP="008277DC">
      <w:pPr>
        <w:spacing w:after="120" w:line="240" w:lineRule="auto"/>
        <w:ind w:firstLine="851"/>
        <w:jc w:val="both"/>
        <w:rPr>
          <w:rFonts w:ascii="Times New Roman" w:eastAsia="Times New Roman" w:hAnsi="Times New Roman" w:cs="Times New Roman"/>
          <w:b/>
          <w:sz w:val="24"/>
          <w:szCs w:val="24"/>
        </w:rPr>
      </w:pPr>
    </w:p>
    <w:p w14:paraId="3D4EB9AC" w14:textId="562AB9F9" w:rsidR="00131BA7" w:rsidRPr="008277DC" w:rsidRDefault="008277DC" w:rsidP="008277DC">
      <w:pPr>
        <w:spacing w:after="120" w:line="240" w:lineRule="auto"/>
        <w:ind w:firstLine="851"/>
        <w:jc w:val="both"/>
        <w:rPr>
          <w:rFonts w:ascii="Times New Roman" w:eastAsia="Times New Roman" w:hAnsi="Times New Roman" w:cs="Times New Roman"/>
          <w:sz w:val="24"/>
          <w:szCs w:val="24"/>
        </w:rPr>
      </w:pPr>
      <w:r w:rsidRPr="00A07F29">
        <w:rPr>
          <w:rFonts w:ascii="Times New Roman" w:eastAsia="Times New Roman" w:hAnsi="Times New Roman" w:cs="Times New Roman"/>
          <w:b/>
          <w:sz w:val="24"/>
          <w:szCs w:val="24"/>
        </w:rPr>
        <w:t xml:space="preserve">Pavedienu </w:t>
      </w:r>
      <w:proofErr w:type="spellStart"/>
      <w:r w:rsidRPr="00A07F29">
        <w:rPr>
          <w:rFonts w:ascii="Times New Roman" w:eastAsia="Times New Roman" w:hAnsi="Times New Roman" w:cs="Times New Roman"/>
          <w:b/>
          <w:sz w:val="24"/>
          <w:szCs w:val="24"/>
        </w:rPr>
        <w:t>mieturīte</w:t>
      </w:r>
      <w:proofErr w:type="spellEnd"/>
      <w:r w:rsidRPr="00A07F29">
        <w:rPr>
          <w:rFonts w:ascii="Times New Roman" w:eastAsia="Times New Roman" w:hAnsi="Times New Roman" w:cs="Times New Roman"/>
          <w:b/>
          <w:sz w:val="24"/>
          <w:szCs w:val="24"/>
        </w:rPr>
        <w:t xml:space="preserve"> </w:t>
      </w:r>
      <w:proofErr w:type="spellStart"/>
      <w:r w:rsidRPr="00A07F29">
        <w:rPr>
          <w:rFonts w:ascii="Times New Roman" w:eastAsia="Times New Roman" w:hAnsi="Times New Roman" w:cs="Times New Roman"/>
          <w:b/>
          <w:i/>
          <w:sz w:val="24"/>
          <w:szCs w:val="24"/>
        </w:rPr>
        <w:t>Chara</w:t>
      </w:r>
      <w:proofErr w:type="spellEnd"/>
      <w:r w:rsidRPr="00A07F29">
        <w:rPr>
          <w:rFonts w:ascii="Times New Roman" w:eastAsia="Times New Roman" w:hAnsi="Times New Roman" w:cs="Times New Roman"/>
          <w:b/>
          <w:i/>
          <w:sz w:val="24"/>
          <w:szCs w:val="24"/>
        </w:rPr>
        <w:t xml:space="preserve"> </w:t>
      </w:r>
      <w:proofErr w:type="spellStart"/>
      <w:r w:rsidRPr="00A07F29">
        <w:rPr>
          <w:rFonts w:ascii="Times New Roman" w:eastAsia="Times New Roman" w:hAnsi="Times New Roman" w:cs="Times New Roman"/>
          <w:b/>
          <w:i/>
          <w:sz w:val="24"/>
          <w:szCs w:val="24"/>
        </w:rPr>
        <w:t>filiformis</w:t>
      </w:r>
      <w:proofErr w:type="spellEnd"/>
      <w:r w:rsidRPr="00A07F29">
        <w:rPr>
          <w:rFonts w:ascii="Times New Roman" w:eastAsia="Times New Roman" w:hAnsi="Times New Roman" w:cs="Times New Roman"/>
          <w:sz w:val="24"/>
          <w:szCs w:val="24"/>
        </w:rPr>
        <w:t xml:space="preserve"> Latvijā sastopama reti, galvenokārt valsts DA daļā esošajos lielos, tīros un dzidros ezeros, kuri ievērojamā mērā barojas no gruntsūdeņiem. Sugu apdraud ezeru piesārņošana un eitrofikācijas pastiprināšanās. AAA “Augšdaugava” suga 2017.</w:t>
      </w:r>
      <w:r>
        <w:rPr>
          <w:rFonts w:ascii="Times New Roman" w:eastAsia="Times New Roman" w:hAnsi="Times New Roman" w:cs="Times New Roman"/>
          <w:sz w:val="24"/>
          <w:szCs w:val="24"/>
        </w:rPr>
        <w:t> </w:t>
      </w:r>
      <w:r w:rsidRPr="00A07F29">
        <w:rPr>
          <w:rFonts w:ascii="Times New Roman" w:eastAsia="Times New Roman" w:hAnsi="Times New Roman" w:cs="Times New Roman"/>
          <w:sz w:val="24"/>
          <w:szCs w:val="24"/>
        </w:rPr>
        <w:t xml:space="preserve">gadā atrasta tikai </w:t>
      </w:r>
      <w:proofErr w:type="spellStart"/>
      <w:r w:rsidRPr="00A07F29">
        <w:rPr>
          <w:rFonts w:ascii="Times New Roman" w:eastAsia="Times New Roman" w:hAnsi="Times New Roman" w:cs="Times New Roman"/>
          <w:sz w:val="24"/>
          <w:szCs w:val="24"/>
        </w:rPr>
        <w:t>Riņģī</w:t>
      </w:r>
      <w:proofErr w:type="spellEnd"/>
      <w:r w:rsidRPr="00A07F29">
        <w:rPr>
          <w:rFonts w:ascii="Times New Roman" w:eastAsia="Times New Roman" w:hAnsi="Times New Roman" w:cs="Times New Roman"/>
          <w:sz w:val="24"/>
          <w:szCs w:val="24"/>
        </w:rPr>
        <w:t>, kur sastopama nelielā daudzumā un to nekas neapdraud.</w:t>
      </w:r>
    </w:p>
    <w:p w14:paraId="0020905C" w14:textId="3A484CA1" w:rsidR="00244869" w:rsidRPr="00A07F29" w:rsidRDefault="00244869" w:rsidP="00D846AD">
      <w:pPr>
        <w:spacing w:after="120" w:line="240" w:lineRule="auto"/>
        <w:ind w:firstLine="851"/>
        <w:jc w:val="both"/>
        <w:rPr>
          <w:rFonts w:ascii="Times New Roman" w:eastAsia="Times New Roman" w:hAnsi="Times New Roman" w:cs="Times New Roman"/>
          <w:b/>
          <w:bCs/>
          <w:sz w:val="24"/>
          <w:szCs w:val="24"/>
        </w:rPr>
      </w:pPr>
      <w:r w:rsidRPr="00A07F29">
        <w:rPr>
          <w:rFonts w:ascii="Times New Roman" w:eastAsia="Times New Roman" w:hAnsi="Times New Roman" w:cs="Times New Roman"/>
          <w:b/>
          <w:sz w:val="24"/>
          <w:szCs w:val="24"/>
        </w:rPr>
        <w:t xml:space="preserve">Asā </w:t>
      </w:r>
      <w:proofErr w:type="spellStart"/>
      <w:r w:rsidRPr="00A07F29">
        <w:rPr>
          <w:rFonts w:ascii="Times New Roman" w:eastAsia="Times New Roman" w:hAnsi="Times New Roman" w:cs="Times New Roman"/>
          <w:b/>
          <w:sz w:val="24"/>
          <w:szCs w:val="24"/>
        </w:rPr>
        <w:t>mieturīte</w:t>
      </w:r>
      <w:proofErr w:type="spellEnd"/>
      <w:r w:rsidRPr="00A07F29">
        <w:rPr>
          <w:rFonts w:ascii="Times New Roman" w:eastAsia="Times New Roman" w:hAnsi="Times New Roman" w:cs="Times New Roman"/>
          <w:b/>
          <w:sz w:val="24"/>
          <w:szCs w:val="24"/>
        </w:rPr>
        <w:t xml:space="preserve"> </w:t>
      </w:r>
      <w:proofErr w:type="spellStart"/>
      <w:r w:rsidRPr="00A07F29">
        <w:rPr>
          <w:rFonts w:ascii="Times New Roman" w:eastAsia="Times New Roman" w:hAnsi="Times New Roman" w:cs="Times New Roman"/>
          <w:b/>
          <w:i/>
          <w:sz w:val="24"/>
          <w:szCs w:val="24"/>
        </w:rPr>
        <w:t>Chara</w:t>
      </w:r>
      <w:proofErr w:type="spellEnd"/>
      <w:r w:rsidRPr="00A07F29">
        <w:rPr>
          <w:rFonts w:ascii="Times New Roman" w:eastAsia="Times New Roman" w:hAnsi="Times New Roman" w:cs="Times New Roman"/>
          <w:b/>
          <w:i/>
          <w:sz w:val="24"/>
          <w:szCs w:val="24"/>
        </w:rPr>
        <w:t xml:space="preserve"> </w:t>
      </w:r>
      <w:proofErr w:type="spellStart"/>
      <w:r w:rsidRPr="00A07F29">
        <w:rPr>
          <w:rFonts w:ascii="Times New Roman" w:eastAsia="Times New Roman" w:hAnsi="Times New Roman" w:cs="Times New Roman"/>
          <w:b/>
          <w:i/>
          <w:sz w:val="24"/>
          <w:szCs w:val="24"/>
        </w:rPr>
        <w:t>strigosa</w:t>
      </w:r>
      <w:proofErr w:type="spellEnd"/>
      <w:r w:rsidRPr="00A07F29">
        <w:rPr>
          <w:rFonts w:ascii="Times New Roman" w:eastAsia="Times New Roman" w:hAnsi="Times New Roman" w:cs="Times New Roman"/>
          <w:sz w:val="24"/>
          <w:szCs w:val="24"/>
        </w:rPr>
        <w:t xml:space="preserve"> Latvijā sastopama diezgan reti un aug tīros ezeros uz </w:t>
      </w:r>
      <w:proofErr w:type="spellStart"/>
      <w:r w:rsidRPr="00A07F29">
        <w:rPr>
          <w:rFonts w:ascii="Times New Roman" w:eastAsia="Times New Roman" w:hAnsi="Times New Roman" w:cs="Times New Roman"/>
          <w:sz w:val="24"/>
          <w:szCs w:val="24"/>
        </w:rPr>
        <w:t>sapropeļa</w:t>
      </w:r>
      <w:proofErr w:type="spellEnd"/>
      <w:r w:rsidRPr="00A07F29">
        <w:rPr>
          <w:rFonts w:ascii="Times New Roman" w:eastAsia="Times New Roman" w:hAnsi="Times New Roman" w:cs="Times New Roman"/>
          <w:sz w:val="24"/>
          <w:szCs w:val="24"/>
        </w:rPr>
        <w:t xml:space="preserve">, </w:t>
      </w:r>
      <w:proofErr w:type="spellStart"/>
      <w:r w:rsidRPr="00A07F29">
        <w:rPr>
          <w:rFonts w:ascii="Times New Roman" w:eastAsia="Times New Roman" w:hAnsi="Times New Roman" w:cs="Times New Roman"/>
          <w:sz w:val="24"/>
          <w:szCs w:val="24"/>
        </w:rPr>
        <w:t>nokrastu</w:t>
      </w:r>
      <w:proofErr w:type="spellEnd"/>
      <w:r w:rsidRPr="00A07F29">
        <w:rPr>
          <w:rFonts w:ascii="Times New Roman" w:eastAsia="Times New Roman" w:hAnsi="Times New Roman" w:cs="Times New Roman"/>
          <w:sz w:val="24"/>
          <w:szCs w:val="24"/>
        </w:rPr>
        <w:t xml:space="preserve"> slīkšņām vai </w:t>
      </w:r>
      <w:proofErr w:type="spellStart"/>
      <w:r w:rsidRPr="00A07F29">
        <w:rPr>
          <w:rFonts w:ascii="Times New Roman" w:eastAsia="Times New Roman" w:hAnsi="Times New Roman" w:cs="Times New Roman"/>
          <w:sz w:val="24"/>
          <w:szCs w:val="24"/>
        </w:rPr>
        <w:t>minerālgrunts</w:t>
      </w:r>
      <w:proofErr w:type="spellEnd"/>
      <w:r w:rsidRPr="00A07F29">
        <w:rPr>
          <w:rFonts w:ascii="Times New Roman" w:eastAsia="Times New Roman" w:hAnsi="Times New Roman" w:cs="Times New Roman"/>
          <w:sz w:val="24"/>
          <w:szCs w:val="24"/>
        </w:rPr>
        <w:t>. Sugu apdraud ezeru piesārņošana un eitrofikācijas pastiprināšanās. AAA “Augšdaugava” suga 1992.</w:t>
      </w:r>
      <w:r w:rsidR="00F12567">
        <w:rPr>
          <w:rFonts w:ascii="Times New Roman" w:eastAsia="Times New Roman" w:hAnsi="Times New Roman" w:cs="Times New Roman"/>
          <w:sz w:val="24"/>
          <w:szCs w:val="24"/>
        </w:rPr>
        <w:t> </w:t>
      </w:r>
      <w:r w:rsidRPr="00A07F29">
        <w:rPr>
          <w:rFonts w:ascii="Times New Roman" w:eastAsia="Times New Roman" w:hAnsi="Times New Roman" w:cs="Times New Roman"/>
          <w:sz w:val="24"/>
          <w:szCs w:val="24"/>
        </w:rPr>
        <w:t xml:space="preserve">gadā atrasta </w:t>
      </w:r>
      <w:proofErr w:type="spellStart"/>
      <w:r w:rsidRPr="00A07F29">
        <w:rPr>
          <w:rFonts w:ascii="Times New Roman" w:eastAsia="Times New Roman" w:hAnsi="Times New Roman" w:cs="Times New Roman"/>
          <w:sz w:val="24"/>
          <w:szCs w:val="24"/>
        </w:rPr>
        <w:t>Ba</w:t>
      </w:r>
      <w:r w:rsidR="00F12567">
        <w:rPr>
          <w:rFonts w:ascii="Times New Roman" w:eastAsia="Times New Roman" w:hAnsi="Times New Roman" w:cs="Times New Roman"/>
          <w:sz w:val="24"/>
          <w:szCs w:val="24"/>
        </w:rPr>
        <w:t>l</w:t>
      </w:r>
      <w:r w:rsidRPr="00A07F29">
        <w:rPr>
          <w:rFonts w:ascii="Times New Roman" w:eastAsia="Times New Roman" w:hAnsi="Times New Roman" w:cs="Times New Roman"/>
          <w:sz w:val="24"/>
          <w:szCs w:val="24"/>
        </w:rPr>
        <w:t>ticas</w:t>
      </w:r>
      <w:proofErr w:type="spellEnd"/>
      <w:r w:rsidRPr="00A07F29">
        <w:rPr>
          <w:rFonts w:ascii="Times New Roman" w:eastAsia="Times New Roman" w:hAnsi="Times New Roman" w:cs="Times New Roman"/>
          <w:sz w:val="24"/>
          <w:szCs w:val="24"/>
        </w:rPr>
        <w:t xml:space="preserve"> ezerā, 1997.</w:t>
      </w:r>
      <w:r w:rsidR="00F12567">
        <w:rPr>
          <w:rFonts w:ascii="Times New Roman" w:eastAsia="Times New Roman" w:hAnsi="Times New Roman" w:cs="Times New Roman"/>
          <w:sz w:val="24"/>
          <w:szCs w:val="24"/>
        </w:rPr>
        <w:t> </w:t>
      </w:r>
      <w:r w:rsidRPr="00A07F29">
        <w:rPr>
          <w:rFonts w:ascii="Times New Roman" w:eastAsia="Times New Roman" w:hAnsi="Times New Roman" w:cs="Times New Roman"/>
          <w:sz w:val="24"/>
          <w:szCs w:val="24"/>
        </w:rPr>
        <w:t xml:space="preserve">gadā – </w:t>
      </w:r>
      <w:proofErr w:type="spellStart"/>
      <w:r w:rsidRPr="00A07F29">
        <w:rPr>
          <w:rFonts w:ascii="Times New Roman" w:eastAsia="Times New Roman" w:hAnsi="Times New Roman" w:cs="Times New Roman"/>
          <w:sz w:val="24"/>
          <w:szCs w:val="24"/>
        </w:rPr>
        <w:t>Dolgoje</w:t>
      </w:r>
      <w:proofErr w:type="spellEnd"/>
      <w:r w:rsidRPr="00A07F29">
        <w:rPr>
          <w:rFonts w:ascii="Times New Roman" w:eastAsia="Times New Roman" w:hAnsi="Times New Roman" w:cs="Times New Roman"/>
          <w:sz w:val="24"/>
          <w:szCs w:val="24"/>
        </w:rPr>
        <w:t xml:space="preserve"> un </w:t>
      </w:r>
      <w:proofErr w:type="spellStart"/>
      <w:r w:rsidRPr="00A07F29">
        <w:rPr>
          <w:rFonts w:ascii="Times New Roman" w:eastAsia="Times New Roman" w:hAnsi="Times New Roman" w:cs="Times New Roman"/>
          <w:sz w:val="24"/>
          <w:szCs w:val="24"/>
        </w:rPr>
        <w:t>Saučenku</w:t>
      </w:r>
      <w:proofErr w:type="spellEnd"/>
      <w:r w:rsidRPr="00A07F29">
        <w:rPr>
          <w:rFonts w:ascii="Times New Roman" w:eastAsia="Times New Roman" w:hAnsi="Times New Roman" w:cs="Times New Roman"/>
          <w:sz w:val="24"/>
          <w:szCs w:val="24"/>
        </w:rPr>
        <w:t xml:space="preserve"> ezerā, bet 2017.</w:t>
      </w:r>
      <w:r w:rsidR="00F12567">
        <w:rPr>
          <w:rFonts w:ascii="Times New Roman" w:eastAsia="Times New Roman" w:hAnsi="Times New Roman" w:cs="Times New Roman"/>
          <w:sz w:val="24"/>
          <w:szCs w:val="24"/>
        </w:rPr>
        <w:t> </w:t>
      </w:r>
      <w:r w:rsidRPr="00A07F29">
        <w:rPr>
          <w:rFonts w:ascii="Times New Roman" w:eastAsia="Times New Roman" w:hAnsi="Times New Roman" w:cs="Times New Roman"/>
          <w:sz w:val="24"/>
          <w:szCs w:val="24"/>
        </w:rPr>
        <w:t xml:space="preserve">gadā – </w:t>
      </w:r>
      <w:proofErr w:type="spellStart"/>
      <w:r w:rsidRPr="00A07F29">
        <w:rPr>
          <w:rFonts w:ascii="Times New Roman" w:eastAsia="Times New Roman" w:hAnsi="Times New Roman" w:cs="Times New Roman"/>
          <w:sz w:val="24"/>
          <w:szCs w:val="24"/>
        </w:rPr>
        <w:t>Varnaviču</w:t>
      </w:r>
      <w:proofErr w:type="spellEnd"/>
      <w:r w:rsidRPr="00A07F29">
        <w:rPr>
          <w:rFonts w:ascii="Times New Roman" w:eastAsia="Times New Roman" w:hAnsi="Times New Roman" w:cs="Times New Roman"/>
          <w:sz w:val="24"/>
          <w:szCs w:val="24"/>
        </w:rPr>
        <w:t xml:space="preserve"> ezerā, kur sastopama nelielā daudzumā. Sugu </w:t>
      </w:r>
      <w:proofErr w:type="spellStart"/>
      <w:r w:rsidRPr="00A07F29">
        <w:rPr>
          <w:rFonts w:ascii="Times New Roman" w:eastAsia="Times New Roman" w:hAnsi="Times New Roman" w:cs="Times New Roman"/>
          <w:sz w:val="24"/>
          <w:szCs w:val="24"/>
        </w:rPr>
        <w:t>Dolgoje</w:t>
      </w:r>
      <w:proofErr w:type="spellEnd"/>
      <w:r w:rsidRPr="00A07F29">
        <w:rPr>
          <w:rFonts w:ascii="Times New Roman" w:eastAsia="Times New Roman" w:hAnsi="Times New Roman" w:cs="Times New Roman"/>
          <w:sz w:val="24"/>
          <w:szCs w:val="24"/>
        </w:rPr>
        <w:t xml:space="preserve"> un </w:t>
      </w:r>
      <w:proofErr w:type="spellStart"/>
      <w:r w:rsidRPr="00A07F29">
        <w:rPr>
          <w:rFonts w:ascii="Times New Roman" w:eastAsia="Times New Roman" w:hAnsi="Times New Roman" w:cs="Times New Roman"/>
          <w:sz w:val="24"/>
          <w:szCs w:val="24"/>
        </w:rPr>
        <w:t>Saučenku</w:t>
      </w:r>
      <w:proofErr w:type="spellEnd"/>
      <w:r w:rsidRPr="00A07F29">
        <w:rPr>
          <w:rFonts w:ascii="Times New Roman" w:eastAsia="Times New Roman" w:hAnsi="Times New Roman" w:cs="Times New Roman"/>
          <w:sz w:val="24"/>
          <w:szCs w:val="24"/>
        </w:rPr>
        <w:t xml:space="preserve"> ezerā apdraud ūdens kvalitātes pasliktināšan</w:t>
      </w:r>
      <w:r w:rsidR="008277DC">
        <w:rPr>
          <w:rFonts w:ascii="Times New Roman" w:eastAsia="Times New Roman" w:hAnsi="Times New Roman" w:cs="Times New Roman"/>
          <w:sz w:val="24"/>
          <w:szCs w:val="24"/>
        </w:rPr>
        <w:t>ā</w:t>
      </w:r>
      <w:r w:rsidRPr="00A07F29">
        <w:rPr>
          <w:rFonts w:ascii="Times New Roman" w:eastAsia="Times New Roman" w:hAnsi="Times New Roman" w:cs="Times New Roman"/>
          <w:sz w:val="24"/>
          <w:szCs w:val="24"/>
        </w:rPr>
        <w:t xml:space="preserve">s pastiprināto </w:t>
      </w:r>
      <w:proofErr w:type="spellStart"/>
      <w:r w:rsidRPr="00A07F29">
        <w:rPr>
          <w:rFonts w:ascii="Times New Roman" w:eastAsia="Times New Roman" w:hAnsi="Times New Roman" w:cs="Times New Roman"/>
          <w:sz w:val="24"/>
          <w:szCs w:val="24"/>
        </w:rPr>
        <w:t>distrofikācijas</w:t>
      </w:r>
      <w:proofErr w:type="spellEnd"/>
      <w:r w:rsidRPr="00A07F29">
        <w:rPr>
          <w:rFonts w:ascii="Times New Roman" w:eastAsia="Times New Roman" w:hAnsi="Times New Roman" w:cs="Times New Roman"/>
          <w:sz w:val="24"/>
          <w:szCs w:val="24"/>
        </w:rPr>
        <w:t xml:space="preserve"> procesu dēļ.</w:t>
      </w:r>
    </w:p>
    <w:p w14:paraId="795084F2" w14:textId="773F5A77" w:rsidR="00D846AD" w:rsidRPr="00A07F29" w:rsidRDefault="00D846AD" w:rsidP="00D846AD">
      <w:pPr>
        <w:spacing w:after="120" w:line="240" w:lineRule="auto"/>
        <w:ind w:firstLine="851"/>
        <w:jc w:val="both"/>
        <w:rPr>
          <w:rFonts w:ascii="Times New Roman" w:eastAsia="Times New Roman" w:hAnsi="Times New Roman" w:cs="Times New Roman"/>
          <w:sz w:val="24"/>
          <w:szCs w:val="24"/>
        </w:rPr>
      </w:pPr>
      <w:r w:rsidRPr="00A07F29">
        <w:rPr>
          <w:rFonts w:ascii="Times New Roman" w:eastAsia="Times New Roman" w:hAnsi="Times New Roman" w:cs="Times New Roman"/>
          <w:b/>
          <w:bCs/>
          <w:sz w:val="24"/>
          <w:szCs w:val="24"/>
        </w:rPr>
        <w:t xml:space="preserve">Lokanā </w:t>
      </w:r>
      <w:proofErr w:type="spellStart"/>
      <w:r w:rsidRPr="00A07F29">
        <w:rPr>
          <w:rFonts w:ascii="Times New Roman" w:eastAsia="Times New Roman" w:hAnsi="Times New Roman" w:cs="Times New Roman"/>
          <w:b/>
          <w:bCs/>
          <w:sz w:val="24"/>
          <w:szCs w:val="24"/>
        </w:rPr>
        <w:t>nitella</w:t>
      </w:r>
      <w:proofErr w:type="spellEnd"/>
      <w:r w:rsidRPr="00A07F29">
        <w:rPr>
          <w:rFonts w:ascii="Times New Roman" w:eastAsia="Times New Roman" w:hAnsi="Times New Roman" w:cs="Times New Roman"/>
          <w:b/>
          <w:bCs/>
          <w:sz w:val="24"/>
          <w:szCs w:val="24"/>
        </w:rPr>
        <w:t xml:space="preserve"> </w:t>
      </w:r>
      <w:proofErr w:type="spellStart"/>
      <w:r w:rsidRPr="00A07F29">
        <w:rPr>
          <w:rFonts w:ascii="Times New Roman" w:eastAsia="Times New Roman" w:hAnsi="Times New Roman" w:cs="Times New Roman"/>
          <w:b/>
          <w:bCs/>
          <w:i/>
          <w:iCs/>
          <w:sz w:val="24"/>
          <w:szCs w:val="24"/>
        </w:rPr>
        <w:t>Nitella</w:t>
      </w:r>
      <w:proofErr w:type="spellEnd"/>
      <w:r w:rsidRPr="00A07F29">
        <w:rPr>
          <w:rFonts w:ascii="Times New Roman" w:eastAsia="Times New Roman" w:hAnsi="Times New Roman" w:cs="Times New Roman"/>
          <w:b/>
          <w:bCs/>
          <w:i/>
          <w:iCs/>
          <w:sz w:val="24"/>
          <w:szCs w:val="24"/>
        </w:rPr>
        <w:t xml:space="preserve"> </w:t>
      </w:r>
      <w:proofErr w:type="spellStart"/>
      <w:r w:rsidRPr="00A07F29">
        <w:rPr>
          <w:rFonts w:ascii="Times New Roman" w:eastAsia="Times New Roman" w:hAnsi="Times New Roman" w:cs="Times New Roman"/>
          <w:b/>
          <w:bCs/>
          <w:i/>
          <w:iCs/>
          <w:sz w:val="24"/>
          <w:szCs w:val="24"/>
        </w:rPr>
        <w:t>flexilis</w:t>
      </w:r>
      <w:proofErr w:type="spellEnd"/>
      <w:r w:rsidRPr="00A07F29">
        <w:rPr>
          <w:rFonts w:ascii="Times New Roman" w:eastAsia="Times New Roman" w:hAnsi="Times New Roman" w:cs="Times New Roman"/>
          <w:sz w:val="24"/>
          <w:szCs w:val="24"/>
        </w:rPr>
        <w:t xml:space="preserve"> Latvijā sastopama diezgan reti tīros un dzidros ezeros, kas ievērojamā apmērā barojas no gruntsūdeņiem. Šo sugu apdraud ezeru piesārņošana un tās izraisītā antropogēnās eitrofikācijas pastiprināšanās. AAA “Augšdaugava” suga 1991.</w:t>
      </w:r>
      <w:r w:rsidR="009F381D">
        <w:rPr>
          <w:rFonts w:ascii="Times New Roman" w:eastAsia="Times New Roman" w:hAnsi="Times New Roman" w:cs="Times New Roman"/>
          <w:sz w:val="24"/>
          <w:szCs w:val="24"/>
        </w:rPr>
        <w:t> </w:t>
      </w:r>
      <w:r w:rsidRPr="00A07F29">
        <w:rPr>
          <w:rFonts w:ascii="Times New Roman" w:eastAsia="Times New Roman" w:hAnsi="Times New Roman" w:cs="Times New Roman"/>
          <w:sz w:val="24"/>
          <w:szCs w:val="24"/>
        </w:rPr>
        <w:t xml:space="preserve">gadā atrasta </w:t>
      </w:r>
      <w:proofErr w:type="spellStart"/>
      <w:r w:rsidRPr="00A07F29">
        <w:rPr>
          <w:rFonts w:ascii="Times New Roman" w:eastAsia="Times New Roman" w:hAnsi="Times New Roman" w:cs="Times New Roman"/>
          <w:sz w:val="24"/>
          <w:szCs w:val="24"/>
        </w:rPr>
        <w:t>Varnaviču</w:t>
      </w:r>
      <w:proofErr w:type="spellEnd"/>
      <w:r w:rsidRPr="00A07F29">
        <w:rPr>
          <w:rFonts w:ascii="Times New Roman" w:eastAsia="Times New Roman" w:hAnsi="Times New Roman" w:cs="Times New Roman"/>
          <w:sz w:val="24"/>
          <w:szCs w:val="24"/>
        </w:rPr>
        <w:t xml:space="preserve"> ezerā, kur joprojām veido vitālu populāciju un šobrīd to nekas neapdraud.</w:t>
      </w:r>
    </w:p>
    <w:p w14:paraId="7348366E" w14:textId="1A048856" w:rsidR="002B1603" w:rsidRPr="00A07F29" w:rsidRDefault="002B1603" w:rsidP="00063AFB">
      <w:pPr>
        <w:spacing w:after="120" w:line="240" w:lineRule="auto"/>
        <w:ind w:firstLine="851"/>
        <w:jc w:val="both"/>
        <w:rPr>
          <w:rFonts w:ascii="Times New Roman" w:eastAsia="Times New Roman" w:hAnsi="Times New Roman" w:cs="Times New Roman"/>
          <w:sz w:val="24"/>
          <w:szCs w:val="24"/>
        </w:rPr>
      </w:pPr>
      <w:r w:rsidRPr="00A07F29">
        <w:rPr>
          <w:rFonts w:ascii="Times New Roman" w:eastAsia="Times New Roman" w:hAnsi="Times New Roman" w:cs="Times New Roman"/>
          <w:b/>
          <w:sz w:val="24"/>
          <w:szCs w:val="24"/>
        </w:rPr>
        <w:t xml:space="preserve">Lapzemes </w:t>
      </w:r>
      <w:proofErr w:type="spellStart"/>
      <w:r w:rsidRPr="00A07F29">
        <w:rPr>
          <w:rFonts w:ascii="Times New Roman" w:eastAsia="Times New Roman" w:hAnsi="Times New Roman" w:cs="Times New Roman"/>
          <w:b/>
          <w:sz w:val="24"/>
          <w:szCs w:val="24"/>
        </w:rPr>
        <w:t>āķīte</w:t>
      </w:r>
      <w:proofErr w:type="spellEnd"/>
      <w:r w:rsidRPr="00A07F29">
        <w:rPr>
          <w:rFonts w:ascii="Times New Roman" w:eastAsia="Times New Roman" w:hAnsi="Times New Roman" w:cs="Times New Roman"/>
          <w:b/>
          <w:sz w:val="24"/>
          <w:szCs w:val="24"/>
        </w:rPr>
        <w:t xml:space="preserve"> </w:t>
      </w:r>
      <w:proofErr w:type="spellStart"/>
      <w:r w:rsidRPr="00A07F29">
        <w:rPr>
          <w:rFonts w:ascii="Times New Roman" w:eastAsia="Times New Roman" w:hAnsi="Times New Roman" w:cs="Times New Roman"/>
          <w:b/>
          <w:i/>
          <w:sz w:val="24"/>
          <w:szCs w:val="24"/>
        </w:rPr>
        <w:t>Hamatocaulis</w:t>
      </w:r>
      <w:proofErr w:type="spellEnd"/>
      <w:r w:rsidRPr="00A07F29">
        <w:rPr>
          <w:rFonts w:ascii="Times New Roman" w:eastAsia="Times New Roman" w:hAnsi="Times New Roman" w:cs="Times New Roman"/>
          <w:b/>
          <w:i/>
          <w:sz w:val="24"/>
          <w:szCs w:val="24"/>
        </w:rPr>
        <w:t xml:space="preserve"> </w:t>
      </w:r>
      <w:proofErr w:type="spellStart"/>
      <w:r w:rsidRPr="00A07F29">
        <w:rPr>
          <w:rFonts w:ascii="Times New Roman" w:eastAsia="Times New Roman" w:hAnsi="Times New Roman" w:cs="Times New Roman"/>
          <w:b/>
          <w:i/>
          <w:sz w:val="24"/>
          <w:szCs w:val="24"/>
        </w:rPr>
        <w:t>lapponicus</w:t>
      </w:r>
      <w:proofErr w:type="spellEnd"/>
      <w:r w:rsidRPr="00A07F29">
        <w:rPr>
          <w:rFonts w:ascii="Times New Roman" w:eastAsia="Times New Roman" w:hAnsi="Times New Roman" w:cs="Times New Roman"/>
          <w:sz w:val="24"/>
          <w:szCs w:val="24"/>
        </w:rPr>
        <w:t xml:space="preserve"> Latvijā sastopama ļoti reti – galvenokārt mazos </w:t>
      </w:r>
      <w:proofErr w:type="spellStart"/>
      <w:r w:rsidRPr="00A07F29">
        <w:rPr>
          <w:rFonts w:ascii="Times New Roman" w:eastAsia="Times New Roman" w:hAnsi="Times New Roman" w:cs="Times New Roman"/>
          <w:sz w:val="24"/>
          <w:szCs w:val="24"/>
        </w:rPr>
        <w:t>diseitrofos</w:t>
      </w:r>
      <w:proofErr w:type="spellEnd"/>
      <w:r w:rsidRPr="00A07F29">
        <w:rPr>
          <w:rFonts w:ascii="Times New Roman" w:eastAsia="Times New Roman" w:hAnsi="Times New Roman" w:cs="Times New Roman"/>
          <w:sz w:val="24"/>
          <w:szCs w:val="24"/>
        </w:rPr>
        <w:t>, pārejas un zāļu purvu ieskautos ezeriņos, daudz retāk zāļainu pārejas purvu slapjās ieplakās (Āboliņa</w:t>
      </w:r>
      <w:r w:rsidR="00B62A91">
        <w:rPr>
          <w:rFonts w:ascii="Times New Roman" w:eastAsia="Times New Roman" w:hAnsi="Times New Roman" w:cs="Times New Roman"/>
          <w:sz w:val="24"/>
          <w:szCs w:val="24"/>
        </w:rPr>
        <w:t xml:space="preserve"> A.</w:t>
      </w:r>
      <w:r w:rsidRPr="00A07F29">
        <w:rPr>
          <w:rFonts w:ascii="Times New Roman" w:eastAsia="Times New Roman" w:hAnsi="Times New Roman" w:cs="Times New Roman"/>
          <w:sz w:val="24"/>
          <w:szCs w:val="24"/>
        </w:rPr>
        <w:t xml:space="preserve">, 1968, </w:t>
      </w:r>
      <w:proofErr w:type="spellStart"/>
      <w:r w:rsidRPr="00A07F29">
        <w:rPr>
          <w:rFonts w:ascii="Times New Roman" w:eastAsia="Times New Roman" w:hAnsi="Times New Roman" w:cs="Times New Roman"/>
          <w:sz w:val="24"/>
          <w:szCs w:val="24"/>
        </w:rPr>
        <w:t>Suško</w:t>
      </w:r>
      <w:proofErr w:type="spellEnd"/>
      <w:r w:rsidRPr="00A07F29">
        <w:rPr>
          <w:rFonts w:ascii="Times New Roman" w:eastAsia="Times New Roman" w:hAnsi="Times New Roman" w:cs="Times New Roman"/>
          <w:sz w:val="24"/>
          <w:szCs w:val="24"/>
        </w:rPr>
        <w:t xml:space="preserve">, </w:t>
      </w:r>
      <w:proofErr w:type="spellStart"/>
      <w:r w:rsidRPr="00A07F29">
        <w:rPr>
          <w:rFonts w:ascii="Times New Roman" w:eastAsia="Times New Roman" w:hAnsi="Times New Roman" w:cs="Times New Roman"/>
          <w:sz w:val="24"/>
          <w:szCs w:val="24"/>
        </w:rPr>
        <w:t>nepubl</w:t>
      </w:r>
      <w:proofErr w:type="spellEnd"/>
      <w:r w:rsidRPr="00A07F29">
        <w:rPr>
          <w:rFonts w:ascii="Times New Roman" w:eastAsia="Times New Roman" w:hAnsi="Times New Roman" w:cs="Times New Roman"/>
          <w:sz w:val="24"/>
          <w:szCs w:val="24"/>
        </w:rPr>
        <w:t>. dati). Sugu apdraud mazo un purvaino ezeriņu piesārņošana</w:t>
      </w:r>
      <w:r w:rsidR="00063AFB" w:rsidRPr="00A07F29">
        <w:rPr>
          <w:rFonts w:ascii="Times New Roman" w:eastAsia="Times New Roman" w:hAnsi="Times New Roman" w:cs="Times New Roman"/>
          <w:sz w:val="24"/>
          <w:szCs w:val="24"/>
        </w:rPr>
        <w:t xml:space="preserve"> un eitrofikācija</w:t>
      </w:r>
      <w:r w:rsidRPr="00A07F29">
        <w:rPr>
          <w:rFonts w:ascii="Times New Roman" w:eastAsia="Times New Roman" w:hAnsi="Times New Roman" w:cs="Times New Roman"/>
          <w:sz w:val="24"/>
          <w:szCs w:val="24"/>
        </w:rPr>
        <w:t xml:space="preserve">, ūdens </w:t>
      </w:r>
      <w:r w:rsidR="00063AFB" w:rsidRPr="00A07F29">
        <w:rPr>
          <w:rFonts w:ascii="Times New Roman" w:eastAsia="Times New Roman" w:hAnsi="Times New Roman" w:cs="Times New Roman"/>
          <w:sz w:val="24"/>
          <w:szCs w:val="24"/>
        </w:rPr>
        <w:t xml:space="preserve">līmeņa </w:t>
      </w:r>
      <w:r w:rsidRPr="00A07F29">
        <w:rPr>
          <w:rFonts w:ascii="Times New Roman" w:eastAsia="Times New Roman" w:hAnsi="Times New Roman" w:cs="Times New Roman"/>
          <w:sz w:val="24"/>
          <w:szCs w:val="24"/>
        </w:rPr>
        <w:t xml:space="preserve">izmainīšana un nosusināšana. </w:t>
      </w:r>
      <w:r w:rsidR="00030649" w:rsidRPr="00A07F29">
        <w:rPr>
          <w:rFonts w:ascii="Times New Roman" w:eastAsia="Times New Roman" w:hAnsi="Times New Roman" w:cs="Times New Roman"/>
          <w:sz w:val="24"/>
          <w:szCs w:val="24"/>
        </w:rPr>
        <w:t>AAA “Augšdaugava”</w:t>
      </w:r>
      <w:r w:rsidRPr="00A07F29">
        <w:rPr>
          <w:rFonts w:ascii="Times New Roman" w:eastAsia="Times New Roman" w:hAnsi="Times New Roman" w:cs="Times New Roman"/>
          <w:sz w:val="24"/>
          <w:szCs w:val="24"/>
        </w:rPr>
        <w:t xml:space="preserve"> suga 2019.</w:t>
      </w:r>
      <w:r w:rsidR="00B050C1">
        <w:rPr>
          <w:rFonts w:ascii="Times New Roman" w:eastAsia="Times New Roman" w:hAnsi="Times New Roman" w:cs="Times New Roman"/>
          <w:sz w:val="24"/>
          <w:szCs w:val="24"/>
        </w:rPr>
        <w:t> </w:t>
      </w:r>
      <w:r w:rsidRPr="00A07F29">
        <w:rPr>
          <w:rFonts w:ascii="Times New Roman" w:eastAsia="Times New Roman" w:hAnsi="Times New Roman" w:cs="Times New Roman"/>
          <w:sz w:val="24"/>
          <w:szCs w:val="24"/>
        </w:rPr>
        <w:t xml:space="preserve">gada rudenī atrasta Zariņa ezerā pie </w:t>
      </w:r>
      <w:proofErr w:type="spellStart"/>
      <w:r w:rsidRPr="00A07F29">
        <w:rPr>
          <w:rFonts w:ascii="Times New Roman" w:eastAsia="Times New Roman" w:hAnsi="Times New Roman" w:cs="Times New Roman"/>
          <w:sz w:val="24"/>
          <w:szCs w:val="24"/>
        </w:rPr>
        <w:t>Varnavičiem</w:t>
      </w:r>
      <w:proofErr w:type="spellEnd"/>
      <w:r w:rsidRPr="00A07F29">
        <w:rPr>
          <w:rFonts w:ascii="Times New Roman" w:eastAsia="Times New Roman" w:hAnsi="Times New Roman" w:cs="Times New Roman"/>
          <w:sz w:val="24"/>
          <w:szCs w:val="24"/>
        </w:rPr>
        <w:t>, kur veido nelielu (0,05</w:t>
      </w:r>
      <w:r w:rsidR="00B050C1">
        <w:rPr>
          <w:rFonts w:ascii="Times New Roman" w:eastAsia="Times New Roman" w:hAnsi="Times New Roman" w:cs="Times New Roman"/>
          <w:sz w:val="24"/>
          <w:szCs w:val="24"/>
        </w:rPr>
        <w:t> </w:t>
      </w:r>
      <w:r w:rsidRPr="00A07F29">
        <w:rPr>
          <w:rFonts w:ascii="Times New Roman" w:eastAsia="Times New Roman" w:hAnsi="Times New Roman" w:cs="Times New Roman"/>
          <w:sz w:val="24"/>
          <w:szCs w:val="24"/>
        </w:rPr>
        <w:t>m</w:t>
      </w:r>
      <w:r w:rsidRPr="00A07F29">
        <w:rPr>
          <w:rFonts w:ascii="Times New Roman" w:eastAsia="Times New Roman" w:hAnsi="Times New Roman" w:cs="Times New Roman"/>
          <w:sz w:val="24"/>
          <w:szCs w:val="24"/>
          <w:vertAlign w:val="superscript"/>
        </w:rPr>
        <w:t>2</w:t>
      </w:r>
      <w:r w:rsidRPr="00A07F29">
        <w:rPr>
          <w:rFonts w:ascii="Times New Roman" w:eastAsia="Times New Roman" w:hAnsi="Times New Roman" w:cs="Times New Roman"/>
          <w:sz w:val="24"/>
          <w:szCs w:val="24"/>
        </w:rPr>
        <w:t>) populāciju vienā vietā un šobrīd to nekas neapdraud</w:t>
      </w:r>
      <w:r w:rsidR="00941FA7" w:rsidRPr="00A07F29">
        <w:rPr>
          <w:rFonts w:ascii="Times New Roman" w:eastAsia="Times New Roman" w:hAnsi="Times New Roman" w:cs="Times New Roman"/>
          <w:sz w:val="24"/>
          <w:szCs w:val="24"/>
        </w:rPr>
        <w:t>, pēc tam 2021.</w:t>
      </w:r>
      <w:r w:rsidR="00B050C1">
        <w:rPr>
          <w:rFonts w:ascii="Times New Roman" w:eastAsia="Times New Roman" w:hAnsi="Times New Roman" w:cs="Times New Roman"/>
          <w:sz w:val="24"/>
          <w:szCs w:val="24"/>
        </w:rPr>
        <w:t> </w:t>
      </w:r>
      <w:r w:rsidR="00941FA7" w:rsidRPr="00A07F29">
        <w:rPr>
          <w:rFonts w:ascii="Times New Roman" w:eastAsia="Times New Roman" w:hAnsi="Times New Roman" w:cs="Times New Roman"/>
          <w:sz w:val="24"/>
          <w:szCs w:val="24"/>
        </w:rPr>
        <w:t xml:space="preserve">gadā atkārtoti konstatēta </w:t>
      </w:r>
      <w:proofErr w:type="spellStart"/>
      <w:r w:rsidR="0095517A" w:rsidRPr="00B050C1">
        <w:rPr>
          <w:rFonts w:ascii="Times New Roman" w:eastAsia="Times New Roman" w:hAnsi="Times New Roman" w:cs="Times New Roman"/>
          <w:i/>
          <w:iCs/>
          <w:sz w:val="24"/>
          <w:szCs w:val="24"/>
        </w:rPr>
        <w:t>Natura</w:t>
      </w:r>
      <w:proofErr w:type="spellEnd"/>
      <w:r w:rsidR="0095517A" w:rsidRPr="00B050C1">
        <w:rPr>
          <w:rFonts w:ascii="Times New Roman" w:eastAsia="Times New Roman" w:hAnsi="Times New Roman" w:cs="Times New Roman"/>
          <w:i/>
          <w:iCs/>
          <w:sz w:val="24"/>
          <w:szCs w:val="24"/>
        </w:rPr>
        <w:t xml:space="preserve"> 2000</w:t>
      </w:r>
      <w:r w:rsidR="0095517A" w:rsidRPr="00A07F29">
        <w:rPr>
          <w:rFonts w:ascii="Times New Roman" w:eastAsia="Times New Roman" w:hAnsi="Times New Roman" w:cs="Times New Roman"/>
          <w:sz w:val="24"/>
          <w:szCs w:val="24"/>
        </w:rPr>
        <w:t xml:space="preserve"> augu </w:t>
      </w:r>
      <w:r w:rsidR="00941FA7" w:rsidRPr="00A07F29">
        <w:rPr>
          <w:rFonts w:ascii="Times New Roman" w:eastAsia="Times New Roman" w:hAnsi="Times New Roman" w:cs="Times New Roman"/>
          <w:sz w:val="24"/>
          <w:szCs w:val="24"/>
        </w:rPr>
        <w:t>monitoringā</w:t>
      </w:r>
      <w:r w:rsidRPr="00A07F29">
        <w:rPr>
          <w:rFonts w:ascii="Times New Roman" w:eastAsia="Times New Roman" w:hAnsi="Times New Roman" w:cs="Times New Roman"/>
          <w:sz w:val="24"/>
          <w:szCs w:val="24"/>
        </w:rPr>
        <w:t>.</w:t>
      </w:r>
    </w:p>
    <w:p w14:paraId="345CFF57" w14:textId="3AEEFEA5" w:rsidR="002B1603" w:rsidRPr="00A07F29" w:rsidRDefault="002B1603" w:rsidP="00063AFB">
      <w:pPr>
        <w:spacing w:after="120" w:line="240" w:lineRule="auto"/>
        <w:ind w:firstLine="851"/>
        <w:jc w:val="both"/>
        <w:rPr>
          <w:rFonts w:ascii="Times New Roman" w:eastAsia="Times New Roman" w:hAnsi="Times New Roman" w:cs="Times New Roman"/>
          <w:sz w:val="24"/>
          <w:szCs w:val="24"/>
        </w:rPr>
      </w:pPr>
      <w:r w:rsidRPr="00A07F29">
        <w:rPr>
          <w:rFonts w:ascii="Times New Roman" w:eastAsia="Times New Roman" w:hAnsi="Times New Roman" w:cs="Times New Roman"/>
          <w:b/>
          <w:sz w:val="24"/>
          <w:szCs w:val="24"/>
        </w:rPr>
        <w:t xml:space="preserve">Spīdīgā </w:t>
      </w:r>
      <w:proofErr w:type="spellStart"/>
      <w:r w:rsidRPr="00A07F29">
        <w:rPr>
          <w:rFonts w:ascii="Times New Roman" w:eastAsia="Times New Roman" w:hAnsi="Times New Roman" w:cs="Times New Roman"/>
          <w:b/>
          <w:sz w:val="24"/>
          <w:szCs w:val="24"/>
        </w:rPr>
        <w:t>āķīte</w:t>
      </w:r>
      <w:proofErr w:type="spellEnd"/>
      <w:r w:rsidRPr="00A07F29">
        <w:rPr>
          <w:rFonts w:ascii="Times New Roman" w:eastAsia="Times New Roman" w:hAnsi="Times New Roman" w:cs="Times New Roman"/>
          <w:b/>
          <w:sz w:val="24"/>
          <w:szCs w:val="24"/>
        </w:rPr>
        <w:t xml:space="preserve"> </w:t>
      </w:r>
      <w:proofErr w:type="spellStart"/>
      <w:r w:rsidRPr="00A07F29">
        <w:rPr>
          <w:rFonts w:ascii="Times New Roman" w:eastAsia="Times New Roman" w:hAnsi="Times New Roman" w:cs="Times New Roman"/>
          <w:b/>
          <w:i/>
          <w:sz w:val="24"/>
          <w:szCs w:val="24"/>
        </w:rPr>
        <w:t>Hamatocaulis</w:t>
      </w:r>
      <w:proofErr w:type="spellEnd"/>
      <w:r w:rsidRPr="00A07F29">
        <w:rPr>
          <w:rFonts w:ascii="Times New Roman" w:eastAsia="Times New Roman" w:hAnsi="Times New Roman" w:cs="Times New Roman"/>
          <w:b/>
          <w:i/>
          <w:sz w:val="24"/>
          <w:szCs w:val="24"/>
        </w:rPr>
        <w:t xml:space="preserve"> </w:t>
      </w:r>
      <w:proofErr w:type="spellStart"/>
      <w:r w:rsidRPr="00A07F29">
        <w:rPr>
          <w:rFonts w:ascii="Times New Roman" w:eastAsia="Times New Roman" w:hAnsi="Times New Roman" w:cs="Times New Roman"/>
          <w:b/>
          <w:i/>
          <w:sz w:val="24"/>
          <w:szCs w:val="24"/>
        </w:rPr>
        <w:t>vernicosus</w:t>
      </w:r>
      <w:proofErr w:type="spellEnd"/>
      <w:r w:rsidRPr="00A07F29">
        <w:rPr>
          <w:rFonts w:ascii="Times New Roman" w:eastAsia="Times New Roman" w:hAnsi="Times New Roman" w:cs="Times New Roman"/>
          <w:sz w:val="24"/>
          <w:szCs w:val="24"/>
        </w:rPr>
        <w:t xml:space="preserve"> Latvijā sastopama diezgan reti karbonātiem nabadzīgos zāļu purvos un pārejas purvu malās, kā arī purvainās ezeru slīkšņās (Āboliņa</w:t>
      </w:r>
      <w:r w:rsidR="00B62A91">
        <w:rPr>
          <w:rFonts w:ascii="Times New Roman" w:eastAsia="Times New Roman" w:hAnsi="Times New Roman" w:cs="Times New Roman"/>
          <w:sz w:val="24"/>
          <w:szCs w:val="24"/>
        </w:rPr>
        <w:t xml:space="preserve"> A.</w:t>
      </w:r>
      <w:r w:rsidRPr="00A07F29">
        <w:rPr>
          <w:rFonts w:ascii="Times New Roman" w:eastAsia="Times New Roman" w:hAnsi="Times New Roman" w:cs="Times New Roman"/>
          <w:sz w:val="24"/>
          <w:szCs w:val="24"/>
        </w:rPr>
        <w:t xml:space="preserve">, 1968). Sugu apdraud zāļu un pārejas purvu nosusināšana un appludināšana nekontrolētas bebru darbības ietekmē. </w:t>
      </w:r>
      <w:r w:rsidR="00030649" w:rsidRPr="00A07F29">
        <w:rPr>
          <w:rFonts w:ascii="Times New Roman" w:eastAsia="Times New Roman" w:hAnsi="Times New Roman" w:cs="Times New Roman"/>
          <w:sz w:val="24"/>
          <w:szCs w:val="24"/>
        </w:rPr>
        <w:t>AAA “Augšdaugava”</w:t>
      </w:r>
      <w:r w:rsidRPr="00A07F29">
        <w:rPr>
          <w:rFonts w:ascii="Times New Roman" w:eastAsia="Times New Roman" w:hAnsi="Times New Roman" w:cs="Times New Roman"/>
          <w:sz w:val="24"/>
          <w:szCs w:val="24"/>
        </w:rPr>
        <w:t xml:space="preserve"> suga 1996.</w:t>
      </w:r>
      <w:r w:rsidR="003040DF">
        <w:rPr>
          <w:rFonts w:ascii="Times New Roman" w:eastAsia="Times New Roman" w:hAnsi="Times New Roman" w:cs="Times New Roman"/>
          <w:sz w:val="24"/>
          <w:szCs w:val="24"/>
        </w:rPr>
        <w:t> </w:t>
      </w:r>
      <w:r w:rsidRPr="00A07F29">
        <w:rPr>
          <w:rFonts w:ascii="Times New Roman" w:eastAsia="Times New Roman" w:hAnsi="Times New Roman" w:cs="Times New Roman"/>
          <w:sz w:val="24"/>
          <w:szCs w:val="24"/>
        </w:rPr>
        <w:t xml:space="preserve">gadā atrasta </w:t>
      </w:r>
      <w:proofErr w:type="spellStart"/>
      <w:r w:rsidRPr="00A07F29">
        <w:rPr>
          <w:rFonts w:ascii="Times New Roman" w:eastAsia="Times New Roman" w:hAnsi="Times New Roman" w:cs="Times New Roman"/>
          <w:sz w:val="24"/>
          <w:szCs w:val="24"/>
        </w:rPr>
        <w:t>Ba</w:t>
      </w:r>
      <w:r w:rsidR="003040DF">
        <w:rPr>
          <w:rFonts w:ascii="Times New Roman" w:eastAsia="Times New Roman" w:hAnsi="Times New Roman" w:cs="Times New Roman"/>
          <w:sz w:val="24"/>
          <w:szCs w:val="24"/>
        </w:rPr>
        <w:t>l</w:t>
      </w:r>
      <w:r w:rsidRPr="00A07F29">
        <w:rPr>
          <w:rFonts w:ascii="Times New Roman" w:eastAsia="Times New Roman" w:hAnsi="Times New Roman" w:cs="Times New Roman"/>
          <w:sz w:val="24"/>
          <w:szCs w:val="24"/>
        </w:rPr>
        <w:t>ticas</w:t>
      </w:r>
      <w:proofErr w:type="spellEnd"/>
      <w:r w:rsidRPr="00A07F29">
        <w:rPr>
          <w:rFonts w:ascii="Times New Roman" w:eastAsia="Times New Roman" w:hAnsi="Times New Roman" w:cs="Times New Roman"/>
          <w:sz w:val="24"/>
          <w:szCs w:val="24"/>
        </w:rPr>
        <w:t xml:space="preserve"> ezera </w:t>
      </w:r>
      <w:r w:rsidR="006D1F87">
        <w:rPr>
          <w:rFonts w:ascii="Times New Roman" w:eastAsia="Times New Roman" w:hAnsi="Times New Roman" w:cs="Times New Roman"/>
          <w:sz w:val="24"/>
          <w:szCs w:val="24"/>
        </w:rPr>
        <w:t>DA</w:t>
      </w:r>
      <w:r w:rsidRPr="00A07F29">
        <w:rPr>
          <w:rFonts w:ascii="Times New Roman" w:eastAsia="Times New Roman" w:hAnsi="Times New Roman" w:cs="Times New Roman"/>
          <w:sz w:val="24"/>
          <w:szCs w:val="24"/>
        </w:rPr>
        <w:t xml:space="preserve"> daļas purvainajā </w:t>
      </w:r>
      <w:proofErr w:type="spellStart"/>
      <w:r w:rsidRPr="00A07F29">
        <w:rPr>
          <w:rFonts w:ascii="Times New Roman" w:eastAsia="Times New Roman" w:hAnsi="Times New Roman" w:cs="Times New Roman"/>
          <w:sz w:val="24"/>
          <w:szCs w:val="24"/>
        </w:rPr>
        <w:t>nokrastes</w:t>
      </w:r>
      <w:proofErr w:type="spellEnd"/>
      <w:r w:rsidRPr="00A07F29">
        <w:rPr>
          <w:rFonts w:ascii="Times New Roman" w:eastAsia="Times New Roman" w:hAnsi="Times New Roman" w:cs="Times New Roman"/>
          <w:sz w:val="24"/>
          <w:szCs w:val="24"/>
        </w:rPr>
        <w:t xml:space="preserve"> slīkšņā, bet 2019.</w:t>
      </w:r>
      <w:r w:rsidR="003040DF">
        <w:rPr>
          <w:rFonts w:ascii="Times New Roman" w:eastAsia="Times New Roman" w:hAnsi="Times New Roman" w:cs="Times New Roman"/>
          <w:sz w:val="24"/>
          <w:szCs w:val="24"/>
        </w:rPr>
        <w:t> </w:t>
      </w:r>
      <w:r w:rsidRPr="00A07F29">
        <w:rPr>
          <w:rFonts w:ascii="Times New Roman" w:eastAsia="Times New Roman" w:hAnsi="Times New Roman" w:cs="Times New Roman"/>
          <w:sz w:val="24"/>
          <w:szCs w:val="24"/>
        </w:rPr>
        <w:t xml:space="preserve">gada rudenī pārejas purva ieplakās pie Zariņa </w:t>
      </w:r>
      <w:r w:rsidR="00063AFB" w:rsidRPr="00A07F29">
        <w:rPr>
          <w:rFonts w:ascii="Times New Roman" w:eastAsia="Times New Roman" w:hAnsi="Times New Roman" w:cs="Times New Roman"/>
          <w:sz w:val="24"/>
          <w:szCs w:val="24"/>
        </w:rPr>
        <w:t xml:space="preserve">ezera </w:t>
      </w:r>
      <w:r w:rsidRPr="00A07F29">
        <w:rPr>
          <w:rFonts w:ascii="Times New Roman" w:eastAsia="Times New Roman" w:hAnsi="Times New Roman" w:cs="Times New Roman"/>
          <w:sz w:val="24"/>
          <w:szCs w:val="24"/>
        </w:rPr>
        <w:t>(vismaz 10</w:t>
      </w:r>
      <w:r w:rsidR="003040DF">
        <w:rPr>
          <w:rFonts w:ascii="Times New Roman" w:eastAsia="Times New Roman" w:hAnsi="Times New Roman" w:cs="Times New Roman"/>
          <w:sz w:val="24"/>
          <w:szCs w:val="24"/>
        </w:rPr>
        <w:t> </w:t>
      </w:r>
      <w:r w:rsidRPr="00A07F29">
        <w:rPr>
          <w:rFonts w:ascii="Times New Roman" w:eastAsia="Times New Roman" w:hAnsi="Times New Roman" w:cs="Times New Roman"/>
          <w:sz w:val="24"/>
          <w:szCs w:val="24"/>
        </w:rPr>
        <w:t>m</w:t>
      </w:r>
      <w:r w:rsidRPr="00A07F29">
        <w:rPr>
          <w:rFonts w:ascii="Times New Roman" w:eastAsia="Times New Roman" w:hAnsi="Times New Roman" w:cs="Times New Roman"/>
          <w:sz w:val="24"/>
          <w:szCs w:val="24"/>
          <w:vertAlign w:val="superscript"/>
        </w:rPr>
        <w:t>2</w:t>
      </w:r>
      <w:r w:rsidRPr="00A07F29">
        <w:rPr>
          <w:rFonts w:ascii="Times New Roman" w:eastAsia="Times New Roman" w:hAnsi="Times New Roman" w:cs="Times New Roman"/>
          <w:sz w:val="24"/>
          <w:szCs w:val="24"/>
        </w:rPr>
        <w:t xml:space="preserve"> platībā), kur veido neliel</w:t>
      </w:r>
      <w:r w:rsidR="003B6AE4">
        <w:rPr>
          <w:rFonts w:ascii="Times New Roman" w:eastAsia="Times New Roman" w:hAnsi="Times New Roman" w:cs="Times New Roman"/>
          <w:sz w:val="24"/>
          <w:szCs w:val="24"/>
        </w:rPr>
        <w:t>as</w:t>
      </w:r>
      <w:r w:rsidRPr="00A07F29">
        <w:rPr>
          <w:rFonts w:ascii="Times New Roman" w:eastAsia="Times New Roman" w:hAnsi="Times New Roman" w:cs="Times New Roman"/>
          <w:sz w:val="24"/>
          <w:szCs w:val="24"/>
        </w:rPr>
        <w:t xml:space="preserve"> populācij</w:t>
      </w:r>
      <w:r w:rsidR="003B6AE4">
        <w:rPr>
          <w:rFonts w:ascii="Times New Roman" w:eastAsia="Times New Roman" w:hAnsi="Times New Roman" w:cs="Times New Roman"/>
          <w:sz w:val="24"/>
          <w:szCs w:val="24"/>
        </w:rPr>
        <w:t>as</w:t>
      </w:r>
      <w:r w:rsidRPr="00A07F29">
        <w:rPr>
          <w:rFonts w:ascii="Times New Roman" w:eastAsia="Times New Roman" w:hAnsi="Times New Roman" w:cs="Times New Roman"/>
          <w:sz w:val="24"/>
          <w:szCs w:val="24"/>
        </w:rPr>
        <w:t xml:space="preserve"> un šobrīd to nekas neapdraud</w:t>
      </w:r>
      <w:r w:rsidR="0095517A" w:rsidRPr="00A07F29">
        <w:rPr>
          <w:rFonts w:ascii="Times New Roman" w:eastAsia="Times New Roman" w:hAnsi="Times New Roman" w:cs="Times New Roman"/>
          <w:sz w:val="24"/>
          <w:szCs w:val="24"/>
        </w:rPr>
        <w:t>, pēc tam 2021.</w:t>
      </w:r>
      <w:r w:rsidR="003B6AE4">
        <w:rPr>
          <w:rFonts w:ascii="Times New Roman" w:eastAsia="Times New Roman" w:hAnsi="Times New Roman" w:cs="Times New Roman"/>
          <w:sz w:val="24"/>
          <w:szCs w:val="24"/>
        </w:rPr>
        <w:t> </w:t>
      </w:r>
      <w:r w:rsidR="0095517A" w:rsidRPr="00A07F29">
        <w:rPr>
          <w:rFonts w:ascii="Times New Roman" w:eastAsia="Times New Roman" w:hAnsi="Times New Roman" w:cs="Times New Roman"/>
          <w:sz w:val="24"/>
          <w:szCs w:val="24"/>
        </w:rPr>
        <w:t xml:space="preserve">gadā atkārtoti konstatēta </w:t>
      </w:r>
      <w:proofErr w:type="spellStart"/>
      <w:r w:rsidR="0095517A" w:rsidRPr="003B6AE4">
        <w:rPr>
          <w:rFonts w:ascii="Times New Roman" w:eastAsia="Times New Roman" w:hAnsi="Times New Roman" w:cs="Times New Roman"/>
          <w:i/>
          <w:iCs/>
          <w:sz w:val="24"/>
          <w:szCs w:val="24"/>
        </w:rPr>
        <w:t>Natura</w:t>
      </w:r>
      <w:proofErr w:type="spellEnd"/>
      <w:r w:rsidR="0095517A" w:rsidRPr="003B6AE4">
        <w:rPr>
          <w:rFonts w:ascii="Times New Roman" w:eastAsia="Times New Roman" w:hAnsi="Times New Roman" w:cs="Times New Roman"/>
          <w:i/>
          <w:iCs/>
          <w:sz w:val="24"/>
          <w:szCs w:val="24"/>
        </w:rPr>
        <w:t xml:space="preserve"> 2000</w:t>
      </w:r>
      <w:r w:rsidR="0095517A" w:rsidRPr="00A07F29">
        <w:rPr>
          <w:rFonts w:ascii="Times New Roman" w:eastAsia="Times New Roman" w:hAnsi="Times New Roman" w:cs="Times New Roman"/>
          <w:sz w:val="24"/>
          <w:szCs w:val="24"/>
        </w:rPr>
        <w:t xml:space="preserve"> augu monitoringā</w:t>
      </w:r>
      <w:r w:rsidRPr="00A07F29">
        <w:rPr>
          <w:rFonts w:ascii="Times New Roman" w:eastAsia="Times New Roman" w:hAnsi="Times New Roman" w:cs="Times New Roman"/>
          <w:sz w:val="24"/>
          <w:szCs w:val="24"/>
        </w:rPr>
        <w:t>.</w:t>
      </w:r>
    </w:p>
    <w:p w14:paraId="6EBC7D4D" w14:textId="7DABCAA4" w:rsidR="002B1603" w:rsidRPr="00A07F29" w:rsidRDefault="002B1603" w:rsidP="00063AFB">
      <w:pPr>
        <w:spacing w:after="120" w:line="240" w:lineRule="auto"/>
        <w:ind w:firstLine="851"/>
        <w:jc w:val="both"/>
        <w:rPr>
          <w:rFonts w:ascii="Times New Roman" w:eastAsia="Times New Roman" w:hAnsi="Times New Roman" w:cs="Times New Roman"/>
          <w:sz w:val="24"/>
          <w:szCs w:val="24"/>
        </w:rPr>
      </w:pPr>
      <w:r w:rsidRPr="00A07F29">
        <w:rPr>
          <w:rFonts w:ascii="Times New Roman" w:eastAsia="Times New Roman" w:hAnsi="Times New Roman" w:cs="Times New Roman"/>
          <w:b/>
          <w:sz w:val="24"/>
          <w:szCs w:val="24"/>
        </w:rPr>
        <w:lastRenderedPageBreak/>
        <w:t xml:space="preserve">Spurainā </w:t>
      </w:r>
      <w:proofErr w:type="spellStart"/>
      <w:r w:rsidRPr="00A07F29">
        <w:rPr>
          <w:rFonts w:ascii="Times New Roman" w:eastAsia="Times New Roman" w:hAnsi="Times New Roman" w:cs="Times New Roman"/>
          <w:b/>
          <w:sz w:val="24"/>
          <w:szCs w:val="24"/>
        </w:rPr>
        <w:t>dzīparene</w:t>
      </w:r>
      <w:proofErr w:type="spellEnd"/>
      <w:r w:rsidRPr="00A07F29">
        <w:rPr>
          <w:rFonts w:ascii="Times New Roman" w:eastAsia="Times New Roman" w:hAnsi="Times New Roman" w:cs="Times New Roman"/>
          <w:b/>
          <w:sz w:val="24"/>
          <w:szCs w:val="24"/>
        </w:rPr>
        <w:t xml:space="preserve"> </w:t>
      </w:r>
      <w:proofErr w:type="spellStart"/>
      <w:r w:rsidRPr="00A07F29">
        <w:rPr>
          <w:rFonts w:ascii="Times New Roman" w:eastAsia="Times New Roman" w:hAnsi="Times New Roman" w:cs="Times New Roman"/>
          <w:b/>
          <w:i/>
          <w:sz w:val="24"/>
          <w:szCs w:val="24"/>
        </w:rPr>
        <w:t>Paludella</w:t>
      </w:r>
      <w:proofErr w:type="spellEnd"/>
      <w:r w:rsidRPr="00A07F29">
        <w:rPr>
          <w:rFonts w:ascii="Times New Roman" w:eastAsia="Times New Roman" w:hAnsi="Times New Roman" w:cs="Times New Roman"/>
          <w:b/>
          <w:i/>
          <w:sz w:val="24"/>
          <w:szCs w:val="24"/>
        </w:rPr>
        <w:t xml:space="preserve"> </w:t>
      </w:r>
      <w:proofErr w:type="spellStart"/>
      <w:r w:rsidRPr="00A07F29">
        <w:rPr>
          <w:rFonts w:ascii="Times New Roman" w:eastAsia="Times New Roman" w:hAnsi="Times New Roman" w:cs="Times New Roman"/>
          <w:b/>
          <w:i/>
          <w:sz w:val="24"/>
          <w:szCs w:val="24"/>
        </w:rPr>
        <w:t>squarrosa</w:t>
      </w:r>
      <w:proofErr w:type="spellEnd"/>
      <w:r w:rsidRPr="00A07F29">
        <w:rPr>
          <w:rFonts w:ascii="Times New Roman" w:eastAsia="Times New Roman" w:hAnsi="Times New Roman" w:cs="Times New Roman"/>
          <w:sz w:val="24"/>
          <w:szCs w:val="24"/>
        </w:rPr>
        <w:t xml:space="preserve"> Latvijā sastopama diezgan reti zāļu un pārejas purvos un pārejas purvu malās, kā arī mazu aizaugošu un purvainu ezeriņu krastos (Āboliņa</w:t>
      </w:r>
      <w:r w:rsidR="00B62A91">
        <w:rPr>
          <w:rFonts w:ascii="Times New Roman" w:eastAsia="Times New Roman" w:hAnsi="Times New Roman" w:cs="Times New Roman"/>
          <w:sz w:val="24"/>
          <w:szCs w:val="24"/>
        </w:rPr>
        <w:t xml:space="preserve"> A.</w:t>
      </w:r>
      <w:r w:rsidRPr="00A07F29">
        <w:rPr>
          <w:rFonts w:ascii="Times New Roman" w:eastAsia="Times New Roman" w:hAnsi="Times New Roman" w:cs="Times New Roman"/>
          <w:sz w:val="24"/>
          <w:szCs w:val="24"/>
        </w:rPr>
        <w:t>, 1968). Sugu apdraud zāļu un pārejas purvu nosusināšana un appludināšana nekontrolētas bebru darbības ietekmē, kā arī mazo un purvaino ezeriņu piesārņošana</w:t>
      </w:r>
      <w:r w:rsidR="00063AFB" w:rsidRPr="00A07F29">
        <w:rPr>
          <w:rFonts w:ascii="Times New Roman" w:eastAsia="Times New Roman" w:hAnsi="Times New Roman" w:cs="Times New Roman"/>
          <w:sz w:val="24"/>
          <w:szCs w:val="24"/>
        </w:rPr>
        <w:t xml:space="preserve"> un eitrofikācija</w:t>
      </w:r>
      <w:r w:rsidRPr="00A07F29">
        <w:rPr>
          <w:rFonts w:ascii="Times New Roman" w:eastAsia="Times New Roman" w:hAnsi="Times New Roman" w:cs="Times New Roman"/>
          <w:sz w:val="24"/>
          <w:szCs w:val="24"/>
        </w:rPr>
        <w:t xml:space="preserve">, ūdens </w:t>
      </w:r>
      <w:r w:rsidR="00063AFB" w:rsidRPr="00A07F29">
        <w:rPr>
          <w:rFonts w:ascii="Times New Roman" w:eastAsia="Times New Roman" w:hAnsi="Times New Roman" w:cs="Times New Roman"/>
          <w:sz w:val="24"/>
          <w:szCs w:val="24"/>
        </w:rPr>
        <w:t xml:space="preserve">līmeņa </w:t>
      </w:r>
      <w:r w:rsidRPr="00A07F29">
        <w:rPr>
          <w:rFonts w:ascii="Times New Roman" w:eastAsia="Times New Roman" w:hAnsi="Times New Roman" w:cs="Times New Roman"/>
          <w:sz w:val="24"/>
          <w:szCs w:val="24"/>
        </w:rPr>
        <w:t xml:space="preserve">izmainīšana un nosusināšana. </w:t>
      </w:r>
      <w:r w:rsidR="00030649" w:rsidRPr="00A07F29">
        <w:rPr>
          <w:rFonts w:ascii="Times New Roman" w:eastAsia="Times New Roman" w:hAnsi="Times New Roman" w:cs="Times New Roman"/>
          <w:sz w:val="24"/>
          <w:szCs w:val="24"/>
        </w:rPr>
        <w:t>AAA “Augšdaugava”</w:t>
      </w:r>
      <w:r w:rsidRPr="00A07F29">
        <w:rPr>
          <w:rFonts w:ascii="Times New Roman" w:eastAsia="Times New Roman" w:hAnsi="Times New Roman" w:cs="Times New Roman"/>
          <w:sz w:val="24"/>
          <w:szCs w:val="24"/>
        </w:rPr>
        <w:t xml:space="preserve"> suga 1996.</w:t>
      </w:r>
      <w:r w:rsidR="0009633D">
        <w:rPr>
          <w:rFonts w:ascii="Times New Roman" w:eastAsia="Times New Roman" w:hAnsi="Times New Roman" w:cs="Times New Roman"/>
          <w:sz w:val="24"/>
          <w:szCs w:val="24"/>
        </w:rPr>
        <w:t> </w:t>
      </w:r>
      <w:r w:rsidRPr="00A07F29">
        <w:rPr>
          <w:rFonts w:ascii="Times New Roman" w:eastAsia="Times New Roman" w:hAnsi="Times New Roman" w:cs="Times New Roman"/>
          <w:sz w:val="24"/>
          <w:szCs w:val="24"/>
        </w:rPr>
        <w:t xml:space="preserve">gadā atrasta </w:t>
      </w:r>
      <w:proofErr w:type="spellStart"/>
      <w:r w:rsidRPr="00A07F29">
        <w:rPr>
          <w:rFonts w:ascii="Times New Roman" w:eastAsia="Times New Roman" w:hAnsi="Times New Roman" w:cs="Times New Roman"/>
          <w:sz w:val="24"/>
          <w:szCs w:val="24"/>
        </w:rPr>
        <w:t>Ba</w:t>
      </w:r>
      <w:r w:rsidR="0009633D">
        <w:rPr>
          <w:rFonts w:ascii="Times New Roman" w:eastAsia="Times New Roman" w:hAnsi="Times New Roman" w:cs="Times New Roman"/>
          <w:sz w:val="24"/>
          <w:szCs w:val="24"/>
        </w:rPr>
        <w:t>l</w:t>
      </w:r>
      <w:r w:rsidRPr="00A07F29">
        <w:rPr>
          <w:rFonts w:ascii="Times New Roman" w:eastAsia="Times New Roman" w:hAnsi="Times New Roman" w:cs="Times New Roman"/>
          <w:sz w:val="24"/>
          <w:szCs w:val="24"/>
        </w:rPr>
        <w:t>ticas</w:t>
      </w:r>
      <w:proofErr w:type="spellEnd"/>
      <w:r w:rsidRPr="00A07F29">
        <w:rPr>
          <w:rFonts w:ascii="Times New Roman" w:eastAsia="Times New Roman" w:hAnsi="Times New Roman" w:cs="Times New Roman"/>
          <w:sz w:val="24"/>
          <w:szCs w:val="24"/>
        </w:rPr>
        <w:t xml:space="preserve"> ezera </w:t>
      </w:r>
      <w:r w:rsidR="006D1F87">
        <w:rPr>
          <w:rFonts w:ascii="Times New Roman" w:eastAsia="Times New Roman" w:hAnsi="Times New Roman" w:cs="Times New Roman"/>
          <w:sz w:val="24"/>
          <w:szCs w:val="24"/>
        </w:rPr>
        <w:t>DA</w:t>
      </w:r>
      <w:r w:rsidRPr="00A07F29">
        <w:rPr>
          <w:rFonts w:ascii="Times New Roman" w:eastAsia="Times New Roman" w:hAnsi="Times New Roman" w:cs="Times New Roman"/>
          <w:sz w:val="24"/>
          <w:szCs w:val="24"/>
        </w:rPr>
        <w:t xml:space="preserve"> daļas purvainajā </w:t>
      </w:r>
      <w:proofErr w:type="spellStart"/>
      <w:r w:rsidRPr="00A07F29">
        <w:rPr>
          <w:rFonts w:ascii="Times New Roman" w:eastAsia="Times New Roman" w:hAnsi="Times New Roman" w:cs="Times New Roman"/>
          <w:sz w:val="24"/>
          <w:szCs w:val="24"/>
        </w:rPr>
        <w:t>nokrastes</w:t>
      </w:r>
      <w:proofErr w:type="spellEnd"/>
      <w:r w:rsidRPr="00A07F29">
        <w:rPr>
          <w:rFonts w:ascii="Times New Roman" w:eastAsia="Times New Roman" w:hAnsi="Times New Roman" w:cs="Times New Roman"/>
          <w:sz w:val="24"/>
          <w:szCs w:val="24"/>
        </w:rPr>
        <w:t xml:space="preserve"> slīkšņā un tās </w:t>
      </w:r>
      <w:proofErr w:type="spellStart"/>
      <w:r w:rsidRPr="00A07F29">
        <w:rPr>
          <w:rFonts w:ascii="Times New Roman" w:eastAsia="Times New Roman" w:hAnsi="Times New Roman" w:cs="Times New Roman"/>
          <w:sz w:val="24"/>
          <w:szCs w:val="24"/>
        </w:rPr>
        <w:t>šābrīža</w:t>
      </w:r>
      <w:proofErr w:type="spellEnd"/>
      <w:r w:rsidRPr="00A07F29">
        <w:rPr>
          <w:rFonts w:ascii="Times New Roman" w:eastAsia="Times New Roman" w:hAnsi="Times New Roman" w:cs="Times New Roman"/>
          <w:sz w:val="24"/>
          <w:szCs w:val="24"/>
        </w:rPr>
        <w:t xml:space="preserve"> stāvoklis nav zināms. </w:t>
      </w:r>
    </w:p>
    <w:p w14:paraId="5905E601" w14:textId="77777777" w:rsidR="002B1603" w:rsidRPr="00A07F29" w:rsidRDefault="002B1603" w:rsidP="002B1603">
      <w:pPr>
        <w:widowControl w:val="0"/>
        <w:tabs>
          <w:tab w:val="left" w:pos="567"/>
        </w:tabs>
        <w:autoSpaceDE w:val="0"/>
        <w:autoSpaceDN w:val="0"/>
        <w:adjustRightInd w:val="0"/>
        <w:spacing w:after="0" w:line="240" w:lineRule="auto"/>
        <w:jc w:val="both"/>
        <w:rPr>
          <w:rFonts w:ascii="Times New Roman" w:eastAsia="Times New Roman" w:hAnsi="Times New Roman" w:cs="Times New Roman"/>
          <w:sz w:val="24"/>
          <w:szCs w:val="24"/>
        </w:rPr>
      </w:pPr>
    </w:p>
    <w:p w14:paraId="0C9CD561" w14:textId="6E359F77" w:rsidR="002B1603" w:rsidRPr="00A07F29" w:rsidRDefault="002B1603" w:rsidP="00063AFB">
      <w:pPr>
        <w:pStyle w:val="Heading2"/>
        <w:spacing w:before="120" w:after="120"/>
        <w:ind w:firstLine="0"/>
        <w:jc w:val="center"/>
        <w:rPr>
          <w:rFonts w:ascii="Times New Roman" w:hAnsi="Times New Roman"/>
          <w:i w:val="0"/>
        </w:rPr>
      </w:pPr>
      <w:bookmarkStart w:id="74" w:name="_Toc183434012"/>
      <w:r w:rsidRPr="00A07F29">
        <w:rPr>
          <w:rFonts w:ascii="Times New Roman" w:hAnsi="Times New Roman"/>
          <w:i w:val="0"/>
        </w:rPr>
        <w:t>4.</w:t>
      </w:r>
      <w:r w:rsidR="00063AFB" w:rsidRPr="00A07F29">
        <w:rPr>
          <w:rFonts w:ascii="Times New Roman" w:hAnsi="Times New Roman"/>
          <w:i w:val="0"/>
        </w:rPr>
        <w:t>6</w:t>
      </w:r>
      <w:r w:rsidRPr="00A07F29">
        <w:rPr>
          <w:rFonts w:ascii="Times New Roman" w:hAnsi="Times New Roman"/>
          <w:i w:val="0"/>
        </w:rPr>
        <w:t xml:space="preserve">. </w:t>
      </w:r>
      <w:r w:rsidR="00C61B51" w:rsidRPr="00A07F29">
        <w:rPr>
          <w:rFonts w:ascii="Times New Roman" w:hAnsi="Times New Roman"/>
          <w:i w:val="0"/>
        </w:rPr>
        <w:t>Retās un aizsargājamās ķ</w:t>
      </w:r>
      <w:r w:rsidRPr="00A07F29">
        <w:rPr>
          <w:rFonts w:ascii="Times New Roman" w:hAnsi="Times New Roman"/>
          <w:i w:val="0"/>
        </w:rPr>
        <w:t>ērpju sugas</w:t>
      </w:r>
      <w:bookmarkEnd w:id="74"/>
    </w:p>
    <w:p w14:paraId="77B29339" w14:textId="21579CD0" w:rsidR="002B1603" w:rsidRPr="00A07F29" w:rsidRDefault="002B1603" w:rsidP="00EA65DC">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Publicētajā literatūrā atrodami tikai atsevišķi dati (</w:t>
      </w:r>
      <w:proofErr w:type="spellStart"/>
      <w:r w:rsidRPr="00A07F29">
        <w:rPr>
          <w:rFonts w:ascii="Times New Roman" w:eastAsia="Calibri" w:hAnsi="Times New Roman" w:cs="Calibri"/>
          <w:sz w:val="24"/>
        </w:rPr>
        <w:t>Moisejevs</w:t>
      </w:r>
      <w:proofErr w:type="spellEnd"/>
      <w:r w:rsidR="00204B25">
        <w:rPr>
          <w:rFonts w:ascii="Times New Roman" w:eastAsia="Calibri" w:hAnsi="Times New Roman" w:cs="Calibri"/>
          <w:sz w:val="24"/>
        </w:rPr>
        <w:t xml:space="preserve"> R.</w:t>
      </w:r>
      <w:r w:rsidRPr="00A07F29">
        <w:rPr>
          <w:rFonts w:ascii="Times New Roman" w:eastAsia="Calibri" w:hAnsi="Times New Roman" w:cs="Calibri"/>
          <w:sz w:val="24"/>
        </w:rPr>
        <w:t xml:space="preserve">, 2017a) par ķērpju sugu sastopamību AAA “Augšdaugava” teritorijā. Iepriekš veiktā </w:t>
      </w:r>
      <w:r w:rsidR="00BF0E06" w:rsidRPr="00A07F29">
        <w:rPr>
          <w:rFonts w:ascii="Times New Roman" w:eastAsia="Calibri" w:hAnsi="Times New Roman" w:cs="Calibri"/>
          <w:sz w:val="24"/>
        </w:rPr>
        <w:t>DP</w:t>
      </w:r>
      <w:r w:rsidRPr="00A07F29">
        <w:rPr>
          <w:rFonts w:ascii="Times New Roman" w:eastAsia="Calibri" w:hAnsi="Times New Roman" w:cs="Calibri"/>
          <w:sz w:val="24"/>
        </w:rPr>
        <w:t xml:space="preserve"> “Daugavas loki” </w:t>
      </w:r>
      <w:r w:rsidR="00BF0E06" w:rsidRPr="00A07F29">
        <w:rPr>
          <w:rFonts w:ascii="Times New Roman" w:eastAsia="Calibri" w:hAnsi="Times New Roman" w:cs="Calibri"/>
          <w:sz w:val="24"/>
        </w:rPr>
        <w:t>DA plāna</w:t>
      </w:r>
      <w:r w:rsidRPr="00A07F29">
        <w:rPr>
          <w:rFonts w:ascii="Times New Roman" w:eastAsia="Calibri" w:hAnsi="Times New Roman" w:cs="Calibri"/>
          <w:sz w:val="24"/>
        </w:rPr>
        <w:t xml:space="preserve"> 2010.</w:t>
      </w:r>
      <w:r w:rsidR="001C0B6F">
        <w:rPr>
          <w:rFonts w:ascii="Times New Roman" w:eastAsia="Calibri" w:hAnsi="Times New Roman" w:cs="Calibri"/>
          <w:sz w:val="24"/>
        </w:rPr>
        <w:t> – </w:t>
      </w:r>
      <w:r w:rsidRPr="00A07F29">
        <w:rPr>
          <w:rFonts w:ascii="Times New Roman" w:eastAsia="Calibri" w:hAnsi="Times New Roman" w:cs="Calibri"/>
          <w:sz w:val="24"/>
        </w:rPr>
        <w:t>2022.</w:t>
      </w:r>
      <w:r w:rsidR="001C0B6F">
        <w:rPr>
          <w:rFonts w:ascii="Times New Roman" w:eastAsia="Calibri" w:hAnsi="Times New Roman" w:cs="Calibri"/>
          <w:sz w:val="24"/>
        </w:rPr>
        <w:t> </w:t>
      </w:r>
      <w:r w:rsidRPr="00A07F29">
        <w:rPr>
          <w:rFonts w:ascii="Times New Roman" w:eastAsia="Calibri" w:hAnsi="Times New Roman" w:cs="Calibri"/>
          <w:sz w:val="24"/>
        </w:rPr>
        <w:t xml:space="preserve">gadam izstrādes ietvaros teritorijā nav veikta </w:t>
      </w:r>
      <w:r w:rsidRPr="006D1F87">
        <w:rPr>
          <w:rFonts w:ascii="Times New Roman" w:eastAsia="Calibri" w:hAnsi="Times New Roman" w:cs="Calibri"/>
          <w:sz w:val="24"/>
        </w:rPr>
        <w:t>īpaši aizsargājamu</w:t>
      </w:r>
      <w:r w:rsidRPr="00A07F29">
        <w:rPr>
          <w:rFonts w:ascii="Times New Roman" w:eastAsia="Calibri" w:hAnsi="Times New Roman" w:cs="Calibri"/>
          <w:sz w:val="24"/>
        </w:rPr>
        <w:t xml:space="preserve"> ķērpju sugu uzskaite un novērtēšana. Sugu atradņu un dzīvotņu inventarizācija un populāciju </w:t>
      </w:r>
      <w:proofErr w:type="spellStart"/>
      <w:r w:rsidRPr="00A07F29">
        <w:rPr>
          <w:rFonts w:ascii="Times New Roman" w:eastAsia="Calibri" w:hAnsi="Times New Roman" w:cs="Calibri"/>
          <w:sz w:val="24"/>
        </w:rPr>
        <w:t>izvērtējums</w:t>
      </w:r>
      <w:proofErr w:type="spellEnd"/>
      <w:r w:rsidRPr="00A07F29">
        <w:rPr>
          <w:rFonts w:ascii="Times New Roman" w:eastAsia="Calibri" w:hAnsi="Times New Roman" w:cs="Calibri"/>
          <w:sz w:val="24"/>
        </w:rPr>
        <w:t xml:space="preserve"> tika veikts 2019.</w:t>
      </w:r>
      <w:r w:rsidR="009C2088">
        <w:rPr>
          <w:rFonts w:ascii="Times New Roman" w:eastAsia="Calibri" w:hAnsi="Times New Roman" w:cs="Calibri"/>
          <w:sz w:val="24"/>
        </w:rPr>
        <w:t> </w:t>
      </w:r>
      <w:r w:rsidRPr="00A07F29">
        <w:rPr>
          <w:rFonts w:ascii="Times New Roman" w:eastAsia="Calibri" w:hAnsi="Times New Roman" w:cs="Calibri"/>
          <w:sz w:val="24"/>
        </w:rPr>
        <w:t>gada vasaras sezonā.</w:t>
      </w:r>
    </w:p>
    <w:p w14:paraId="18C6D943" w14:textId="0056A272" w:rsidR="002B1603" w:rsidRPr="00A07F29" w:rsidRDefault="002B1603" w:rsidP="00EA65DC">
      <w:pPr>
        <w:spacing w:after="120" w:line="240" w:lineRule="auto"/>
        <w:ind w:firstLine="851"/>
        <w:jc w:val="both"/>
        <w:rPr>
          <w:rFonts w:ascii="Times New Roman" w:eastAsia="Calibri" w:hAnsi="Times New Roman" w:cs="Calibri"/>
          <w:sz w:val="24"/>
          <w:szCs w:val="24"/>
        </w:rPr>
      </w:pPr>
      <w:r w:rsidRPr="00A07F29">
        <w:rPr>
          <w:rFonts w:ascii="Times New Roman" w:eastAsia="Calibri" w:hAnsi="Times New Roman" w:cs="Calibri"/>
          <w:sz w:val="24"/>
          <w:szCs w:val="24"/>
        </w:rPr>
        <w:t xml:space="preserve">Dati par AAA </w:t>
      </w:r>
      <w:r w:rsidR="009C2088">
        <w:rPr>
          <w:rFonts w:ascii="Times New Roman" w:eastAsia="Calibri" w:hAnsi="Times New Roman" w:cs="Calibri"/>
          <w:sz w:val="24"/>
          <w:szCs w:val="24"/>
        </w:rPr>
        <w:t>“</w:t>
      </w:r>
      <w:r w:rsidRPr="00A07F29">
        <w:rPr>
          <w:rFonts w:ascii="Times New Roman" w:eastAsia="Calibri" w:hAnsi="Times New Roman" w:cs="Calibri"/>
          <w:sz w:val="24"/>
          <w:szCs w:val="24"/>
        </w:rPr>
        <w:t xml:space="preserve">Augšdaugava” teritorijā sastopamajām reto un aizsargājamo ķērpju sugām apkopoti, balstoties uz pieejamo informāciju </w:t>
      </w:r>
      <w:r w:rsidR="00511AA1" w:rsidRPr="00A07F29">
        <w:rPr>
          <w:rFonts w:ascii="Times New Roman" w:eastAsia="Calibri" w:hAnsi="Times New Roman" w:cs="Calibri"/>
          <w:sz w:val="24"/>
          <w:szCs w:val="24"/>
        </w:rPr>
        <w:t>DAP</w:t>
      </w:r>
      <w:r w:rsidRPr="00A07F29">
        <w:rPr>
          <w:rFonts w:ascii="Times New Roman" w:eastAsia="Calibri" w:hAnsi="Times New Roman" w:cs="Calibri"/>
          <w:sz w:val="24"/>
          <w:szCs w:val="24"/>
        </w:rPr>
        <w:t xml:space="preserve"> </w:t>
      </w:r>
      <w:r w:rsidR="005C73CF" w:rsidRPr="005C73CF">
        <w:rPr>
          <w:rFonts w:ascii="Times New Roman" w:eastAsia="Calibri" w:hAnsi="Times New Roman" w:cs="Calibri"/>
          <w:sz w:val="24"/>
          <w:szCs w:val="24"/>
        </w:rPr>
        <w:t>DDPS</w:t>
      </w:r>
      <w:r w:rsidRPr="005C73CF">
        <w:rPr>
          <w:rFonts w:ascii="Times New Roman" w:eastAsia="Calibri" w:hAnsi="Times New Roman" w:cs="Calibri"/>
          <w:sz w:val="24"/>
          <w:szCs w:val="24"/>
        </w:rPr>
        <w:t xml:space="preserve"> "Ozols",</w:t>
      </w:r>
      <w:r w:rsidRPr="00A07F29">
        <w:rPr>
          <w:rFonts w:ascii="Times New Roman" w:eastAsia="Calibri" w:hAnsi="Times New Roman" w:cs="Calibri"/>
          <w:sz w:val="24"/>
          <w:szCs w:val="24"/>
        </w:rPr>
        <w:t xml:space="preserve"> </w:t>
      </w:r>
      <w:r w:rsidR="00B62A91" w:rsidRPr="00B62A91">
        <w:rPr>
          <w:rFonts w:ascii="Times New Roman" w:eastAsia="Calibri" w:hAnsi="Times New Roman" w:cs="Calibri"/>
          <w:sz w:val="24"/>
          <w:szCs w:val="24"/>
        </w:rPr>
        <w:t xml:space="preserve">DU </w:t>
      </w:r>
      <w:r w:rsidRPr="00B62A91">
        <w:rPr>
          <w:rFonts w:ascii="Times New Roman" w:eastAsia="Calibri" w:hAnsi="Times New Roman" w:cs="Calibri"/>
          <w:sz w:val="24"/>
          <w:szCs w:val="24"/>
        </w:rPr>
        <w:t>ķ</w:t>
      </w:r>
      <w:r w:rsidRPr="00A07F29">
        <w:rPr>
          <w:rFonts w:ascii="Times New Roman" w:eastAsia="Calibri" w:hAnsi="Times New Roman" w:cs="Calibri"/>
          <w:sz w:val="24"/>
          <w:szCs w:val="24"/>
        </w:rPr>
        <w:t>ērpju herbārija kolekciju datiem, un datiem, kas tika iegūti plāna izstrādes laikā.</w:t>
      </w:r>
    </w:p>
    <w:p w14:paraId="1F899404" w14:textId="71690E43" w:rsidR="002B1603" w:rsidRPr="00A07F29" w:rsidRDefault="002B1603" w:rsidP="00EA65DC">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AAA </w:t>
      </w:r>
      <w:r w:rsidR="00C47543">
        <w:rPr>
          <w:rFonts w:ascii="Times New Roman" w:eastAsia="Calibri" w:hAnsi="Times New Roman" w:cs="Calibri"/>
          <w:sz w:val="24"/>
        </w:rPr>
        <w:t>“</w:t>
      </w:r>
      <w:r w:rsidRPr="00A07F29">
        <w:rPr>
          <w:rFonts w:ascii="Times New Roman" w:eastAsia="Calibri" w:hAnsi="Times New Roman" w:cs="Calibri"/>
          <w:sz w:val="24"/>
        </w:rPr>
        <w:t>Augšdaugava” konstatētās Latvijā aizsargājamas un Baltijas reģionā retas ķērpju sugas, to pašreizējais aizsardzības statuss attēlots 4.</w:t>
      </w:r>
      <w:r w:rsidR="00835D49" w:rsidRPr="00A07F29">
        <w:rPr>
          <w:rFonts w:ascii="Times New Roman" w:eastAsia="Calibri" w:hAnsi="Times New Roman" w:cs="Calibri"/>
          <w:sz w:val="24"/>
        </w:rPr>
        <w:t>6</w:t>
      </w:r>
      <w:r w:rsidRPr="00A07F29">
        <w:rPr>
          <w:rFonts w:ascii="Times New Roman" w:eastAsia="Calibri" w:hAnsi="Times New Roman" w:cs="Calibri"/>
          <w:sz w:val="24"/>
        </w:rPr>
        <w:t>.1.</w:t>
      </w:r>
      <w:r w:rsidR="00C47543">
        <w:rPr>
          <w:rFonts w:ascii="Times New Roman" w:eastAsia="Calibri" w:hAnsi="Times New Roman" w:cs="Calibri"/>
          <w:sz w:val="24"/>
        </w:rPr>
        <w:t> </w:t>
      </w:r>
      <w:r w:rsidRPr="00A07F29">
        <w:rPr>
          <w:rFonts w:ascii="Times New Roman" w:eastAsia="Calibri" w:hAnsi="Times New Roman" w:cs="Calibri"/>
          <w:sz w:val="24"/>
        </w:rPr>
        <w:t xml:space="preserve">tabulā, ķērpju atradņu kartes </w:t>
      </w:r>
      <w:r w:rsidR="00181D8E" w:rsidRPr="00A07F29">
        <w:rPr>
          <w:rFonts w:ascii="Times New Roman" w:eastAsia="Calibri" w:hAnsi="Times New Roman" w:cs="Calibri"/>
          <w:sz w:val="24"/>
        </w:rPr>
        <w:t>4.</w:t>
      </w:r>
      <w:r w:rsidR="00BB667A" w:rsidRPr="00A07F29">
        <w:rPr>
          <w:rFonts w:ascii="Times New Roman" w:eastAsia="Calibri" w:hAnsi="Times New Roman" w:cs="Calibri"/>
          <w:sz w:val="24"/>
        </w:rPr>
        <w:t>6</w:t>
      </w:r>
      <w:r w:rsidR="00181D8E" w:rsidRPr="00A07F29">
        <w:rPr>
          <w:rFonts w:ascii="Times New Roman" w:eastAsia="Calibri" w:hAnsi="Times New Roman" w:cs="Calibri"/>
          <w:sz w:val="24"/>
        </w:rPr>
        <w:t>. pielikumā.</w:t>
      </w:r>
      <w:r w:rsidRPr="00A07F29">
        <w:rPr>
          <w:rFonts w:ascii="Times New Roman" w:eastAsia="Calibri" w:hAnsi="Times New Roman" w:cs="Calibri"/>
          <w:sz w:val="24"/>
        </w:rPr>
        <w:t xml:space="preserve"> Līdz šim AAA “Augšdaugava” teritorijā kopumā konstatētas 11 Latvijā </w:t>
      </w:r>
      <w:r w:rsidRPr="005C73CF">
        <w:rPr>
          <w:rFonts w:ascii="Times New Roman" w:eastAsia="Calibri" w:hAnsi="Times New Roman" w:cs="Calibri"/>
          <w:sz w:val="24"/>
        </w:rPr>
        <w:t xml:space="preserve">īpaši aizsargājamas un Baltijas reģionā retas ķērpju sugas: </w:t>
      </w:r>
      <w:r w:rsidR="00181D8E" w:rsidRPr="005C73CF">
        <w:rPr>
          <w:rFonts w:ascii="Times New Roman" w:eastAsia="Calibri" w:hAnsi="Times New Roman" w:cs="Calibri"/>
          <w:sz w:val="24"/>
        </w:rPr>
        <w:t>10 sugas iekļautas Latvijā īpaši aizsargājamo</w:t>
      </w:r>
      <w:r w:rsidR="00181D8E" w:rsidRPr="00A07F29">
        <w:rPr>
          <w:rFonts w:ascii="Times New Roman" w:eastAsia="Calibri" w:hAnsi="Times New Roman" w:cs="Calibri"/>
          <w:sz w:val="24"/>
        </w:rPr>
        <w:t xml:space="preserve"> sugu sarakstā, </w:t>
      </w:r>
      <w:r w:rsidR="00C47543">
        <w:rPr>
          <w:rFonts w:ascii="Times New Roman" w:eastAsia="Calibri" w:hAnsi="Times New Roman" w:cs="Calibri"/>
          <w:sz w:val="24"/>
        </w:rPr>
        <w:t>seš</w:t>
      </w:r>
      <w:r w:rsidR="00EA65DC">
        <w:rPr>
          <w:rFonts w:ascii="Times New Roman" w:eastAsia="Calibri" w:hAnsi="Times New Roman" w:cs="Calibri"/>
          <w:sz w:val="24"/>
        </w:rPr>
        <w:t>ām</w:t>
      </w:r>
      <w:r w:rsidR="00181D8E" w:rsidRPr="00A07F29">
        <w:rPr>
          <w:rFonts w:ascii="Times New Roman" w:eastAsia="Calibri" w:hAnsi="Times New Roman" w:cs="Calibri"/>
          <w:sz w:val="24"/>
        </w:rPr>
        <w:t xml:space="preserve"> </w:t>
      </w:r>
      <w:r w:rsidRPr="00A07F29">
        <w:rPr>
          <w:rFonts w:ascii="Times New Roman" w:eastAsia="Calibri" w:hAnsi="Times New Roman" w:cs="Calibri"/>
          <w:sz w:val="24"/>
        </w:rPr>
        <w:t xml:space="preserve">sugu aizsardzībai var </w:t>
      </w:r>
      <w:r w:rsidR="00181D8E" w:rsidRPr="00A07F29">
        <w:rPr>
          <w:rFonts w:ascii="Times New Roman" w:eastAsia="Calibri" w:hAnsi="Times New Roman" w:cs="Calibri"/>
          <w:sz w:val="24"/>
        </w:rPr>
        <w:t xml:space="preserve">veidot mikroliegumus, </w:t>
      </w:r>
      <w:r w:rsidR="00EA65DC">
        <w:rPr>
          <w:rFonts w:ascii="Times New Roman" w:eastAsia="Calibri" w:hAnsi="Times New Roman" w:cs="Calibri"/>
          <w:sz w:val="24"/>
        </w:rPr>
        <w:t>trīs</w:t>
      </w:r>
      <w:r w:rsidR="00181D8E" w:rsidRPr="00A07F29">
        <w:rPr>
          <w:rFonts w:ascii="Times New Roman" w:eastAsia="Calibri" w:hAnsi="Times New Roman" w:cs="Calibri"/>
          <w:sz w:val="24"/>
        </w:rPr>
        <w:t xml:space="preserve"> sugas</w:t>
      </w:r>
      <w:r w:rsidRPr="00A07F29">
        <w:rPr>
          <w:rFonts w:ascii="Times New Roman" w:eastAsia="Calibri" w:hAnsi="Times New Roman" w:cs="Calibri"/>
          <w:sz w:val="24"/>
        </w:rPr>
        <w:t xml:space="preserve"> iekļautas Latvijas Sarkanajā Grāmatā</w:t>
      </w:r>
      <w:r w:rsidR="00181D8E" w:rsidRPr="00A07F29">
        <w:rPr>
          <w:rFonts w:ascii="Times New Roman" w:eastAsia="Calibri" w:hAnsi="Times New Roman" w:cs="Calibri"/>
          <w:sz w:val="24"/>
        </w:rPr>
        <w:t>, 10</w:t>
      </w:r>
      <w:r w:rsidRPr="00A07F29">
        <w:rPr>
          <w:rFonts w:ascii="Times New Roman" w:eastAsia="Calibri" w:hAnsi="Times New Roman" w:cs="Calibri"/>
          <w:sz w:val="24"/>
        </w:rPr>
        <w:t xml:space="preserve"> sugas ir uzskatāmas par dabisko mežu biotopu specifiskajām sugām un </w:t>
      </w:r>
      <w:proofErr w:type="spellStart"/>
      <w:r w:rsidRPr="00A07F29">
        <w:rPr>
          <w:rFonts w:ascii="Times New Roman" w:eastAsia="Calibri" w:hAnsi="Times New Roman" w:cs="Calibri"/>
          <w:sz w:val="24"/>
        </w:rPr>
        <w:t>indikatorsugām</w:t>
      </w:r>
      <w:proofErr w:type="spellEnd"/>
      <w:r w:rsidRPr="00A07F29">
        <w:rPr>
          <w:rFonts w:ascii="Times New Roman" w:eastAsia="Calibri" w:hAnsi="Times New Roman" w:cs="Calibri"/>
          <w:sz w:val="24"/>
        </w:rPr>
        <w:t>.</w:t>
      </w:r>
    </w:p>
    <w:p w14:paraId="7C002B86" w14:textId="77777777" w:rsidR="002B1603" w:rsidRPr="00A07F29" w:rsidRDefault="002B1603" w:rsidP="00EA3052">
      <w:pPr>
        <w:keepNext/>
        <w:spacing w:before="240" w:after="120" w:line="240" w:lineRule="auto"/>
        <w:jc w:val="both"/>
        <w:rPr>
          <w:rFonts w:ascii="Times New Roman" w:hAnsi="Times New Roman" w:cs="Times New Roman"/>
          <w:b/>
          <w:bCs/>
          <w:i/>
          <w:sz w:val="24"/>
          <w:szCs w:val="24"/>
        </w:rPr>
      </w:pPr>
      <w:r w:rsidRPr="00A07F29">
        <w:rPr>
          <w:rFonts w:ascii="Times New Roman" w:hAnsi="Times New Roman" w:cs="Times New Roman"/>
          <w:b/>
          <w:bCs/>
          <w:i/>
          <w:sz w:val="24"/>
          <w:szCs w:val="24"/>
        </w:rPr>
        <w:t>Ar mežu biotopiem saistītās ķērpju sugas</w:t>
      </w:r>
    </w:p>
    <w:p w14:paraId="71986500" w14:textId="140BF93C" w:rsidR="002B1603" w:rsidRPr="00A07F29" w:rsidRDefault="002B1603" w:rsidP="00EA3052">
      <w:pPr>
        <w:spacing w:after="12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t xml:space="preserve">Ar mežu biotopiem saistīto aizsargājamo un reto ķērpju sugu sastopamībai nozīmīgākās ir vecās skujkoku mežaudzes ar lielu atmirušās koksnes daudzumu. ES nozīmes aizsargājamo mežu biotopiem atbilstošas mežaudzes kopumā AAA teritorijā aizņem kopumā </w:t>
      </w:r>
      <w:r w:rsidR="00AF66D2" w:rsidRPr="00A07F29">
        <w:rPr>
          <w:rFonts w:ascii="Times New Roman" w:hAnsi="Times New Roman" w:cs="Times New Roman"/>
          <w:sz w:val="24"/>
          <w:szCs w:val="24"/>
        </w:rPr>
        <w:t>1678,8</w:t>
      </w:r>
      <w:r w:rsidR="0019019B">
        <w:rPr>
          <w:rFonts w:ascii="Times New Roman" w:hAnsi="Times New Roman" w:cs="Times New Roman"/>
          <w:sz w:val="24"/>
          <w:szCs w:val="24"/>
        </w:rPr>
        <w:t> </w:t>
      </w:r>
      <w:r w:rsidR="00AF66D2" w:rsidRPr="00A07F29">
        <w:rPr>
          <w:rFonts w:ascii="Times New Roman" w:hAnsi="Times New Roman" w:cs="Times New Roman"/>
          <w:sz w:val="24"/>
          <w:szCs w:val="24"/>
        </w:rPr>
        <w:t>ha</w:t>
      </w:r>
      <w:r w:rsidRPr="00A07F29">
        <w:rPr>
          <w:rFonts w:ascii="Times New Roman" w:hAnsi="Times New Roman" w:cs="Times New Roman"/>
          <w:sz w:val="24"/>
          <w:szCs w:val="24"/>
        </w:rPr>
        <w:t>, lielākā daļa no šiem biotopiem atbilst DMB vai PDMB statusam.</w:t>
      </w:r>
    </w:p>
    <w:p w14:paraId="6742F4E2" w14:textId="50870F7A" w:rsidR="002B1603" w:rsidRPr="00A07F29" w:rsidRDefault="002B1603" w:rsidP="00EA3052">
      <w:pPr>
        <w:autoSpaceDE w:val="0"/>
        <w:autoSpaceDN w:val="0"/>
        <w:adjustRightInd w:val="0"/>
        <w:spacing w:after="120" w:line="240" w:lineRule="auto"/>
        <w:ind w:firstLine="851"/>
        <w:jc w:val="both"/>
        <w:rPr>
          <w:rFonts w:ascii="Times New Roman" w:hAnsi="Times New Roman" w:cs="Minion Pro"/>
          <w:sz w:val="24"/>
          <w:szCs w:val="24"/>
        </w:rPr>
      </w:pPr>
      <w:r w:rsidRPr="00A07F29">
        <w:rPr>
          <w:rFonts w:ascii="Times New Roman" w:hAnsi="Times New Roman" w:cs="Times New Roman"/>
          <w:color w:val="000000"/>
          <w:spacing w:val="-1"/>
          <w:sz w:val="24"/>
          <w:szCs w:val="24"/>
        </w:rPr>
        <w:t xml:space="preserve">Pēc </w:t>
      </w:r>
      <w:proofErr w:type="spellStart"/>
      <w:r w:rsidRPr="00A07F29">
        <w:rPr>
          <w:rFonts w:ascii="Times New Roman" w:hAnsi="Times New Roman" w:cs="Times New Roman"/>
          <w:color w:val="000000"/>
          <w:spacing w:val="-1"/>
          <w:sz w:val="24"/>
          <w:szCs w:val="24"/>
        </w:rPr>
        <w:t>kamerālas</w:t>
      </w:r>
      <w:proofErr w:type="spellEnd"/>
      <w:r w:rsidRPr="00A07F29">
        <w:rPr>
          <w:rFonts w:ascii="Times New Roman" w:hAnsi="Times New Roman" w:cs="Times New Roman"/>
          <w:color w:val="000000"/>
          <w:spacing w:val="-1"/>
          <w:sz w:val="24"/>
          <w:szCs w:val="24"/>
        </w:rPr>
        <w:t xml:space="preserve"> datu apkopošanas un lauku darbu paveikšanas tika secināts, ka AAA “Augšdaugava” teritorijā ķērpju </w:t>
      </w:r>
      <w:proofErr w:type="spellStart"/>
      <w:r w:rsidRPr="00A07F29">
        <w:rPr>
          <w:rFonts w:ascii="Times New Roman" w:hAnsi="Times New Roman" w:cs="Times New Roman"/>
          <w:color w:val="000000"/>
          <w:spacing w:val="-1"/>
          <w:sz w:val="24"/>
          <w:szCs w:val="24"/>
        </w:rPr>
        <w:t>biota</w:t>
      </w:r>
      <w:proofErr w:type="spellEnd"/>
      <w:r w:rsidRPr="00A07F29">
        <w:rPr>
          <w:rFonts w:ascii="Times New Roman" w:hAnsi="Times New Roman" w:cs="Times New Roman"/>
          <w:color w:val="000000"/>
          <w:spacing w:val="-1"/>
          <w:sz w:val="24"/>
          <w:szCs w:val="24"/>
        </w:rPr>
        <w:t xml:space="preserve"> ir samērā nabadzīga, ņemot vērā teritorijas platības. Tas var būt skaidrojams ar ES nozīmes </w:t>
      </w:r>
      <w:r w:rsidRPr="005C73CF">
        <w:rPr>
          <w:rFonts w:ascii="Times New Roman" w:hAnsi="Times New Roman" w:cs="Times New Roman"/>
          <w:color w:val="000000"/>
          <w:spacing w:val="-1"/>
          <w:sz w:val="24"/>
          <w:szCs w:val="24"/>
        </w:rPr>
        <w:t>īpaši aizsargājamo meža biotopu kopējo platību, biotopu sadrumstalotību un biotopu kvalitāti. Ar mežiem saistītām īpaši aizsargājamām ķērpju sugām</w:t>
      </w:r>
      <w:r w:rsidRPr="005C73CF">
        <w:rPr>
          <w:rFonts w:ascii="Times New Roman" w:hAnsi="Times New Roman" w:cs="Times New Roman"/>
          <w:iCs/>
          <w:color w:val="000000"/>
          <w:sz w:val="24"/>
          <w:szCs w:val="24"/>
        </w:rPr>
        <w:t xml:space="preserve"> piemērotākās mežaudzes AAA “Augšdaugava” teritorijā ir koncentrējušās Daugavas labajā krastā, ES nozīmes īpaši aizsargājamo meža</w:t>
      </w:r>
      <w:r w:rsidRPr="00A07F29">
        <w:rPr>
          <w:rFonts w:ascii="Times New Roman" w:hAnsi="Times New Roman" w:cs="Times New Roman"/>
          <w:iCs/>
          <w:color w:val="000000"/>
          <w:sz w:val="24"/>
          <w:szCs w:val="24"/>
        </w:rPr>
        <w:t xml:space="preserve"> biotopos 9180*</w:t>
      </w:r>
      <w:r w:rsidR="00384364">
        <w:rPr>
          <w:rFonts w:ascii="Times New Roman" w:hAnsi="Times New Roman" w:cs="Times New Roman"/>
          <w:iCs/>
          <w:color w:val="000000"/>
          <w:sz w:val="24"/>
          <w:szCs w:val="24"/>
        </w:rPr>
        <w:t> </w:t>
      </w:r>
      <w:r w:rsidRPr="00A07F29">
        <w:rPr>
          <w:rFonts w:ascii="Times New Roman" w:hAnsi="Times New Roman" w:cs="Times New Roman"/>
          <w:i/>
          <w:iCs/>
          <w:color w:val="000000"/>
          <w:sz w:val="24"/>
          <w:szCs w:val="24"/>
        </w:rPr>
        <w:t>Nogāžu un gravu meži</w:t>
      </w:r>
      <w:r w:rsidRPr="00A07F29">
        <w:rPr>
          <w:rFonts w:ascii="Times New Roman" w:hAnsi="Times New Roman" w:cs="Times New Roman"/>
          <w:iCs/>
          <w:color w:val="000000"/>
          <w:sz w:val="24"/>
          <w:szCs w:val="24"/>
        </w:rPr>
        <w:t>, un 9010*</w:t>
      </w:r>
      <w:r w:rsidR="00384364">
        <w:rPr>
          <w:rFonts w:ascii="Times New Roman" w:hAnsi="Times New Roman" w:cs="Times New Roman"/>
          <w:iCs/>
          <w:color w:val="000000"/>
          <w:sz w:val="24"/>
          <w:szCs w:val="24"/>
        </w:rPr>
        <w:t> </w:t>
      </w:r>
      <w:r w:rsidRPr="00A07F29">
        <w:rPr>
          <w:rFonts w:ascii="Times New Roman" w:hAnsi="Times New Roman" w:cs="Times New Roman"/>
          <w:i/>
          <w:iCs/>
          <w:color w:val="000000"/>
          <w:sz w:val="24"/>
          <w:szCs w:val="24"/>
        </w:rPr>
        <w:t xml:space="preserve">Veci un dabiski </w:t>
      </w:r>
      <w:proofErr w:type="spellStart"/>
      <w:r w:rsidRPr="00A07F29">
        <w:rPr>
          <w:rFonts w:ascii="Times New Roman" w:hAnsi="Times New Roman" w:cs="Times New Roman"/>
          <w:i/>
          <w:iCs/>
          <w:color w:val="000000"/>
          <w:sz w:val="24"/>
          <w:szCs w:val="24"/>
        </w:rPr>
        <w:t>boreāli</w:t>
      </w:r>
      <w:proofErr w:type="spellEnd"/>
      <w:r w:rsidRPr="00A07F29">
        <w:rPr>
          <w:rFonts w:ascii="Times New Roman" w:hAnsi="Times New Roman" w:cs="Times New Roman"/>
          <w:i/>
          <w:iCs/>
          <w:color w:val="000000"/>
          <w:sz w:val="24"/>
          <w:szCs w:val="24"/>
        </w:rPr>
        <w:t xml:space="preserve"> meži</w:t>
      </w:r>
      <w:r w:rsidRPr="00A07F29">
        <w:rPr>
          <w:rFonts w:ascii="Times New Roman" w:hAnsi="Times New Roman" w:cs="Minion Pro"/>
          <w:sz w:val="24"/>
          <w:szCs w:val="24"/>
        </w:rPr>
        <w:t>.</w:t>
      </w:r>
    </w:p>
    <w:p w14:paraId="744FF4C3" w14:textId="1A7D36A8" w:rsidR="002B1603" w:rsidRPr="00A07F29" w:rsidRDefault="002B1603" w:rsidP="00EA3052">
      <w:pPr>
        <w:autoSpaceDE w:val="0"/>
        <w:autoSpaceDN w:val="0"/>
        <w:adjustRightInd w:val="0"/>
        <w:spacing w:after="120" w:line="240" w:lineRule="auto"/>
        <w:ind w:firstLine="851"/>
        <w:jc w:val="both"/>
        <w:rPr>
          <w:rFonts w:ascii="Times New Roman" w:hAnsi="Times New Roman" w:cs="Times New Roman"/>
          <w:b/>
          <w:bCs/>
          <w:color w:val="000000"/>
          <w:sz w:val="24"/>
          <w:szCs w:val="24"/>
        </w:rPr>
      </w:pPr>
      <w:r w:rsidRPr="00A07F29">
        <w:rPr>
          <w:rFonts w:ascii="Times New Roman" w:hAnsi="Times New Roman" w:cs="Minion Pro"/>
          <w:sz w:val="24"/>
          <w:szCs w:val="24"/>
        </w:rPr>
        <w:t xml:space="preserve">Vairākas, ar veciem dabiskiem platlapju mežiem saistītas, </w:t>
      </w:r>
      <w:proofErr w:type="spellStart"/>
      <w:r w:rsidRPr="00A07F29">
        <w:rPr>
          <w:rFonts w:ascii="Times New Roman" w:hAnsi="Times New Roman" w:cs="Minion Pro"/>
          <w:sz w:val="24"/>
          <w:szCs w:val="24"/>
        </w:rPr>
        <w:t>epifītiskas</w:t>
      </w:r>
      <w:proofErr w:type="spellEnd"/>
      <w:r w:rsidRPr="00A07F29">
        <w:rPr>
          <w:rFonts w:ascii="Times New Roman" w:hAnsi="Times New Roman" w:cs="Minion Pro"/>
          <w:sz w:val="24"/>
          <w:szCs w:val="24"/>
        </w:rPr>
        <w:t xml:space="preserve"> ķērpju sugas (</w:t>
      </w:r>
      <w:proofErr w:type="spellStart"/>
      <w:r w:rsidRPr="00A07F29">
        <w:rPr>
          <w:rFonts w:ascii="Times New Roman" w:hAnsi="Times New Roman" w:cs="Times New Roman"/>
          <w:color w:val="000000"/>
          <w:sz w:val="24"/>
          <w:szCs w:val="24"/>
        </w:rPr>
        <w:t>sīkpunktainā</w:t>
      </w:r>
      <w:proofErr w:type="spellEnd"/>
      <w:r w:rsidRPr="00A07F29">
        <w:rPr>
          <w:rFonts w:ascii="Times New Roman" w:hAnsi="Times New Roman" w:cs="Times New Roman"/>
          <w:color w:val="000000"/>
          <w:sz w:val="24"/>
          <w:szCs w:val="24"/>
        </w:rPr>
        <w:t xml:space="preserve"> </w:t>
      </w:r>
      <w:proofErr w:type="spellStart"/>
      <w:r w:rsidRPr="00A07F29">
        <w:rPr>
          <w:rFonts w:ascii="Times New Roman" w:hAnsi="Times New Roman" w:cs="Times New Roman"/>
          <w:color w:val="000000"/>
          <w:sz w:val="24"/>
          <w:szCs w:val="24"/>
        </w:rPr>
        <w:t>artonija</w:t>
      </w:r>
      <w:proofErr w:type="spellEnd"/>
      <w:r w:rsidRPr="00A07F29">
        <w:rPr>
          <w:rFonts w:ascii="Times New Roman" w:hAnsi="Times New Roman" w:cs="Times New Roman"/>
          <w:color w:val="000000"/>
          <w:sz w:val="24"/>
          <w:szCs w:val="24"/>
        </w:rPr>
        <w:t xml:space="preserve"> </w:t>
      </w:r>
      <w:proofErr w:type="spellStart"/>
      <w:r w:rsidRPr="00A07F29">
        <w:rPr>
          <w:rFonts w:ascii="Times New Roman" w:hAnsi="Times New Roman" w:cs="Times New Roman"/>
          <w:i/>
          <w:iCs/>
          <w:color w:val="000000"/>
          <w:sz w:val="24"/>
          <w:szCs w:val="24"/>
        </w:rPr>
        <w:t>Arthonia</w:t>
      </w:r>
      <w:proofErr w:type="spellEnd"/>
      <w:r w:rsidRPr="00A07F29">
        <w:rPr>
          <w:rFonts w:ascii="Times New Roman" w:hAnsi="Times New Roman" w:cs="Times New Roman"/>
          <w:i/>
          <w:iCs/>
          <w:color w:val="000000"/>
          <w:sz w:val="24"/>
          <w:szCs w:val="24"/>
        </w:rPr>
        <w:t xml:space="preserve"> </w:t>
      </w:r>
      <w:proofErr w:type="spellStart"/>
      <w:r w:rsidRPr="00A07F29">
        <w:rPr>
          <w:rFonts w:ascii="Times New Roman" w:hAnsi="Times New Roman" w:cs="Times New Roman"/>
          <w:i/>
          <w:iCs/>
          <w:color w:val="000000"/>
          <w:sz w:val="24"/>
          <w:szCs w:val="24"/>
        </w:rPr>
        <w:t>byssacea</w:t>
      </w:r>
      <w:proofErr w:type="spellEnd"/>
      <w:r w:rsidRPr="00A07F29">
        <w:rPr>
          <w:rFonts w:ascii="Times New Roman" w:hAnsi="Times New Roman" w:cs="Times New Roman"/>
          <w:color w:val="000000"/>
          <w:sz w:val="24"/>
          <w:szCs w:val="24"/>
        </w:rPr>
        <w:t xml:space="preserve">, parastais </w:t>
      </w:r>
      <w:proofErr w:type="spellStart"/>
      <w:r w:rsidRPr="00A07F29">
        <w:rPr>
          <w:rFonts w:ascii="Times New Roman" w:hAnsi="Times New Roman" w:cs="Times New Roman"/>
          <w:color w:val="000000"/>
          <w:sz w:val="24"/>
          <w:szCs w:val="24"/>
        </w:rPr>
        <w:t>plaušķērpis</w:t>
      </w:r>
      <w:proofErr w:type="spellEnd"/>
      <w:r w:rsidRPr="00A07F29">
        <w:rPr>
          <w:rFonts w:ascii="Times New Roman" w:hAnsi="Times New Roman" w:cs="Times New Roman"/>
          <w:color w:val="000000"/>
          <w:sz w:val="24"/>
          <w:szCs w:val="24"/>
        </w:rPr>
        <w:t xml:space="preserve"> </w:t>
      </w:r>
      <w:proofErr w:type="spellStart"/>
      <w:r w:rsidRPr="00A07F29">
        <w:rPr>
          <w:rFonts w:ascii="Times New Roman" w:hAnsi="Times New Roman" w:cs="Times New Roman"/>
          <w:i/>
          <w:iCs/>
          <w:color w:val="000000"/>
          <w:sz w:val="24"/>
          <w:szCs w:val="24"/>
        </w:rPr>
        <w:t>Lobaria</w:t>
      </w:r>
      <w:proofErr w:type="spellEnd"/>
      <w:r w:rsidRPr="00A07F29">
        <w:rPr>
          <w:rFonts w:ascii="Times New Roman" w:hAnsi="Times New Roman" w:cs="Times New Roman"/>
          <w:i/>
          <w:iCs/>
          <w:color w:val="000000"/>
          <w:sz w:val="24"/>
          <w:szCs w:val="24"/>
        </w:rPr>
        <w:t xml:space="preserve"> </w:t>
      </w:r>
      <w:proofErr w:type="spellStart"/>
      <w:r w:rsidRPr="00A07F29">
        <w:rPr>
          <w:rFonts w:ascii="Times New Roman" w:hAnsi="Times New Roman" w:cs="Times New Roman"/>
          <w:i/>
          <w:iCs/>
          <w:color w:val="000000"/>
          <w:sz w:val="24"/>
          <w:szCs w:val="24"/>
        </w:rPr>
        <w:t>pulmonaria</w:t>
      </w:r>
      <w:proofErr w:type="spellEnd"/>
      <w:r w:rsidRPr="00A07F29">
        <w:rPr>
          <w:rFonts w:ascii="Times New Roman" w:hAnsi="Times New Roman" w:cs="Times New Roman"/>
          <w:color w:val="000000"/>
          <w:sz w:val="24"/>
          <w:szCs w:val="24"/>
        </w:rPr>
        <w:t xml:space="preserve">, </w:t>
      </w:r>
      <w:proofErr w:type="spellStart"/>
      <w:r w:rsidRPr="00A07F29">
        <w:rPr>
          <w:rFonts w:ascii="Times New Roman" w:hAnsi="Times New Roman" w:cs="Times New Roman"/>
          <w:color w:val="000000"/>
          <w:sz w:val="24"/>
          <w:szCs w:val="24"/>
        </w:rPr>
        <w:t>vīnkrāsas</w:t>
      </w:r>
      <w:proofErr w:type="spellEnd"/>
      <w:r w:rsidRPr="00A07F29">
        <w:rPr>
          <w:rFonts w:ascii="Times New Roman" w:hAnsi="Times New Roman" w:cs="Times New Roman"/>
          <w:color w:val="000000"/>
          <w:sz w:val="24"/>
          <w:szCs w:val="24"/>
        </w:rPr>
        <w:t xml:space="preserve"> </w:t>
      </w:r>
      <w:proofErr w:type="spellStart"/>
      <w:r w:rsidRPr="00A07F29">
        <w:rPr>
          <w:rFonts w:ascii="Times New Roman" w:hAnsi="Times New Roman" w:cs="Times New Roman"/>
          <w:color w:val="000000"/>
          <w:sz w:val="24"/>
          <w:szCs w:val="24"/>
        </w:rPr>
        <w:t>artonija</w:t>
      </w:r>
      <w:proofErr w:type="spellEnd"/>
      <w:r w:rsidRPr="00A07F29">
        <w:rPr>
          <w:rFonts w:ascii="Times New Roman" w:hAnsi="Times New Roman" w:cs="Times New Roman"/>
          <w:color w:val="000000"/>
          <w:sz w:val="24"/>
          <w:szCs w:val="24"/>
        </w:rPr>
        <w:t xml:space="preserve"> </w:t>
      </w:r>
      <w:proofErr w:type="spellStart"/>
      <w:r w:rsidRPr="00A07F29">
        <w:rPr>
          <w:rFonts w:ascii="Times New Roman" w:hAnsi="Times New Roman" w:cs="Times New Roman"/>
          <w:i/>
          <w:iCs/>
          <w:color w:val="000000"/>
          <w:sz w:val="24"/>
          <w:szCs w:val="24"/>
        </w:rPr>
        <w:t>Arthonia</w:t>
      </w:r>
      <w:proofErr w:type="spellEnd"/>
      <w:r w:rsidRPr="00A07F29">
        <w:rPr>
          <w:rFonts w:ascii="Times New Roman" w:hAnsi="Times New Roman" w:cs="Times New Roman"/>
          <w:i/>
          <w:iCs/>
          <w:color w:val="000000"/>
          <w:sz w:val="24"/>
          <w:szCs w:val="24"/>
        </w:rPr>
        <w:t xml:space="preserve"> </w:t>
      </w:r>
      <w:proofErr w:type="spellStart"/>
      <w:r w:rsidRPr="00A07F29">
        <w:rPr>
          <w:rFonts w:ascii="Times New Roman" w:hAnsi="Times New Roman" w:cs="Times New Roman"/>
          <w:i/>
          <w:iCs/>
          <w:color w:val="000000"/>
          <w:sz w:val="24"/>
          <w:szCs w:val="24"/>
        </w:rPr>
        <w:t>vinosa</w:t>
      </w:r>
      <w:proofErr w:type="spellEnd"/>
      <w:r w:rsidRPr="00A07F29">
        <w:rPr>
          <w:rFonts w:ascii="Times New Roman" w:hAnsi="Times New Roman" w:cs="Times New Roman"/>
          <w:i/>
          <w:iCs/>
          <w:color w:val="000000"/>
          <w:sz w:val="24"/>
          <w:szCs w:val="24"/>
        </w:rPr>
        <w:t xml:space="preserve">, </w:t>
      </w:r>
      <w:proofErr w:type="spellStart"/>
      <w:r w:rsidRPr="00A07F29">
        <w:rPr>
          <w:rFonts w:ascii="Times New Roman" w:hAnsi="Times New Roman" w:cs="Times New Roman"/>
          <w:color w:val="000000"/>
          <w:sz w:val="24"/>
          <w:szCs w:val="24"/>
        </w:rPr>
        <w:t>brūngalvainā</w:t>
      </w:r>
      <w:proofErr w:type="spellEnd"/>
      <w:r w:rsidRPr="00A07F29">
        <w:rPr>
          <w:rFonts w:ascii="Times New Roman" w:hAnsi="Times New Roman" w:cs="Times New Roman"/>
          <w:color w:val="000000"/>
          <w:sz w:val="24"/>
          <w:szCs w:val="24"/>
        </w:rPr>
        <w:t xml:space="preserve"> </w:t>
      </w:r>
      <w:proofErr w:type="spellStart"/>
      <w:r w:rsidRPr="00A07F29">
        <w:rPr>
          <w:rFonts w:ascii="Times New Roman" w:hAnsi="Times New Roman" w:cs="Times New Roman"/>
          <w:color w:val="000000"/>
          <w:sz w:val="24"/>
          <w:szCs w:val="24"/>
        </w:rPr>
        <w:t>henotēka</w:t>
      </w:r>
      <w:proofErr w:type="spellEnd"/>
      <w:r w:rsidRPr="00A07F29">
        <w:rPr>
          <w:rFonts w:ascii="Times New Roman" w:hAnsi="Times New Roman" w:cs="Times New Roman"/>
          <w:i/>
          <w:iCs/>
          <w:color w:val="000000"/>
          <w:sz w:val="24"/>
          <w:szCs w:val="24"/>
        </w:rPr>
        <w:t xml:space="preserve"> </w:t>
      </w:r>
      <w:proofErr w:type="spellStart"/>
      <w:r w:rsidRPr="00A07F29">
        <w:rPr>
          <w:rFonts w:ascii="Times New Roman" w:hAnsi="Times New Roman" w:cs="Times New Roman"/>
          <w:i/>
          <w:iCs/>
          <w:color w:val="000000"/>
          <w:sz w:val="24"/>
          <w:szCs w:val="24"/>
        </w:rPr>
        <w:t>Chaenotheca</w:t>
      </w:r>
      <w:proofErr w:type="spellEnd"/>
      <w:r w:rsidRPr="00A07F29">
        <w:rPr>
          <w:rFonts w:ascii="Times New Roman" w:hAnsi="Times New Roman" w:cs="Times New Roman"/>
          <w:i/>
          <w:iCs/>
          <w:color w:val="000000"/>
          <w:sz w:val="24"/>
          <w:szCs w:val="24"/>
        </w:rPr>
        <w:t xml:space="preserve"> </w:t>
      </w:r>
      <w:proofErr w:type="spellStart"/>
      <w:r w:rsidRPr="00A07F29">
        <w:rPr>
          <w:rFonts w:ascii="Times New Roman" w:hAnsi="Times New Roman" w:cs="Times New Roman"/>
          <w:i/>
          <w:iCs/>
          <w:color w:val="000000"/>
          <w:sz w:val="24"/>
          <w:szCs w:val="24"/>
        </w:rPr>
        <w:t>phaeocephala</w:t>
      </w:r>
      <w:proofErr w:type="spellEnd"/>
      <w:r w:rsidR="003D536A">
        <w:rPr>
          <w:rFonts w:ascii="Times New Roman" w:hAnsi="Times New Roman" w:cs="Times New Roman"/>
          <w:i/>
          <w:iCs/>
          <w:color w:val="000000"/>
          <w:sz w:val="24"/>
          <w:szCs w:val="24"/>
        </w:rPr>
        <w:t>,</w:t>
      </w:r>
      <w:r w:rsidRPr="00A07F29">
        <w:rPr>
          <w:rFonts w:ascii="Times New Roman" w:hAnsi="Times New Roman" w:cs="Times New Roman"/>
          <w:color w:val="000000"/>
          <w:sz w:val="24"/>
          <w:szCs w:val="24"/>
        </w:rPr>
        <w:t xml:space="preserve"> kā arī viena Baltijas valstīs reta </w:t>
      </w:r>
      <w:proofErr w:type="spellStart"/>
      <w:r w:rsidR="00EA3052" w:rsidRPr="00A07F29">
        <w:rPr>
          <w:rFonts w:ascii="Times New Roman" w:hAnsi="Times New Roman" w:cs="Times New Roman"/>
          <w:color w:val="000000"/>
          <w:sz w:val="24"/>
          <w:szCs w:val="24"/>
        </w:rPr>
        <w:t>epifītiska</w:t>
      </w:r>
      <w:proofErr w:type="spellEnd"/>
      <w:r w:rsidR="00EA3052" w:rsidRPr="00A07F29">
        <w:rPr>
          <w:rFonts w:ascii="Times New Roman" w:hAnsi="Times New Roman" w:cs="Times New Roman"/>
          <w:color w:val="000000"/>
          <w:sz w:val="24"/>
          <w:szCs w:val="24"/>
        </w:rPr>
        <w:t xml:space="preserve"> </w:t>
      </w:r>
      <w:r w:rsidRPr="00A07F29">
        <w:rPr>
          <w:rFonts w:ascii="Times New Roman" w:hAnsi="Times New Roman" w:cs="Times New Roman"/>
          <w:color w:val="000000"/>
          <w:sz w:val="24"/>
          <w:szCs w:val="24"/>
        </w:rPr>
        <w:t xml:space="preserve">ķērpju suga – </w:t>
      </w:r>
      <w:proofErr w:type="spellStart"/>
      <w:r w:rsidRPr="00A07F29">
        <w:rPr>
          <w:rFonts w:ascii="Times New Roman" w:hAnsi="Times New Roman" w:cs="Times New Roman"/>
          <w:i/>
          <w:iCs/>
          <w:color w:val="000000"/>
          <w:sz w:val="24"/>
          <w:szCs w:val="24"/>
        </w:rPr>
        <w:t>Chaenotheca</w:t>
      </w:r>
      <w:proofErr w:type="spellEnd"/>
      <w:r w:rsidRPr="00A07F29">
        <w:rPr>
          <w:rFonts w:ascii="Times New Roman" w:hAnsi="Times New Roman" w:cs="Times New Roman"/>
          <w:i/>
          <w:iCs/>
          <w:color w:val="000000"/>
          <w:sz w:val="24"/>
          <w:szCs w:val="24"/>
        </w:rPr>
        <w:t xml:space="preserve"> </w:t>
      </w:r>
      <w:proofErr w:type="spellStart"/>
      <w:r w:rsidRPr="00A07F29">
        <w:rPr>
          <w:rFonts w:ascii="Times New Roman" w:hAnsi="Times New Roman" w:cs="Times New Roman"/>
          <w:i/>
          <w:iCs/>
          <w:color w:val="000000"/>
          <w:sz w:val="24"/>
          <w:szCs w:val="24"/>
        </w:rPr>
        <w:t>hispidula</w:t>
      </w:r>
      <w:proofErr w:type="spellEnd"/>
      <w:r w:rsidRPr="00A07F29">
        <w:rPr>
          <w:rFonts w:ascii="Times New Roman" w:hAnsi="Times New Roman" w:cs="Times New Roman"/>
          <w:color w:val="000000"/>
          <w:sz w:val="24"/>
          <w:szCs w:val="24"/>
        </w:rPr>
        <w:t xml:space="preserve">, kurai pašlaik Latvijā nav aizsardzības statusa) tika konstatētas ES </w:t>
      </w:r>
      <w:r w:rsidRPr="005C73CF">
        <w:rPr>
          <w:rFonts w:ascii="Times New Roman" w:hAnsi="Times New Roman" w:cs="Times New Roman"/>
          <w:color w:val="000000"/>
          <w:sz w:val="24"/>
          <w:szCs w:val="24"/>
        </w:rPr>
        <w:t>nozīmes īpaši aizsargājamā meža</w:t>
      </w:r>
      <w:r w:rsidRPr="00A07F29">
        <w:rPr>
          <w:rFonts w:ascii="Times New Roman" w:hAnsi="Times New Roman" w:cs="Times New Roman"/>
          <w:color w:val="000000"/>
          <w:sz w:val="24"/>
          <w:szCs w:val="24"/>
        </w:rPr>
        <w:t xml:space="preserve"> biotopā </w:t>
      </w:r>
      <w:r w:rsidRPr="00A07F29">
        <w:rPr>
          <w:rFonts w:ascii="Times New Roman" w:hAnsi="Times New Roman" w:cs="Times New Roman"/>
          <w:iCs/>
          <w:color w:val="000000"/>
          <w:sz w:val="24"/>
          <w:szCs w:val="24"/>
        </w:rPr>
        <w:t>9180*</w:t>
      </w:r>
      <w:r w:rsidR="00FF148C">
        <w:rPr>
          <w:rFonts w:ascii="Times New Roman" w:hAnsi="Times New Roman" w:cs="Times New Roman"/>
          <w:i/>
          <w:iCs/>
          <w:color w:val="000000"/>
          <w:sz w:val="24"/>
          <w:szCs w:val="24"/>
        </w:rPr>
        <w:t> </w:t>
      </w:r>
      <w:r w:rsidRPr="00A07F29">
        <w:rPr>
          <w:rFonts w:ascii="Times New Roman" w:hAnsi="Times New Roman" w:cs="Times New Roman"/>
          <w:i/>
          <w:iCs/>
          <w:color w:val="000000"/>
          <w:sz w:val="24"/>
          <w:szCs w:val="24"/>
        </w:rPr>
        <w:t>Nogāžu un gravu meži</w:t>
      </w:r>
      <w:r w:rsidRPr="00A07F29">
        <w:rPr>
          <w:rFonts w:ascii="Times New Roman" w:hAnsi="Times New Roman" w:cs="Times New Roman"/>
          <w:color w:val="000000"/>
          <w:sz w:val="24"/>
          <w:szCs w:val="24"/>
        </w:rPr>
        <w:t xml:space="preserve"> </w:t>
      </w:r>
      <w:r w:rsidR="0352B8D8" w:rsidRPr="00A07F29">
        <w:rPr>
          <w:rFonts w:ascii="Times New Roman" w:hAnsi="Times New Roman" w:cs="Times New Roman"/>
          <w:color w:val="000000"/>
          <w:sz w:val="24"/>
          <w:szCs w:val="24"/>
        </w:rPr>
        <w:t>D</w:t>
      </w:r>
      <w:r w:rsidRPr="00A07F29">
        <w:rPr>
          <w:rFonts w:ascii="Times New Roman" w:hAnsi="Times New Roman" w:cs="Times New Roman"/>
          <w:color w:val="000000"/>
          <w:sz w:val="24"/>
          <w:szCs w:val="24"/>
        </w:rPr>
        <w:t xml:space="preserve"> no </w:t>
      </w:r>
      <w:proofErr w:type="spellStart"/>
      <w:r w:rsidRPr="00A07F29">
        <w:rPr>
          <w:rFonts w:ascii="Times New Roman" w:hAnsi="Times New Roman" w:cs="Minion Pro"/>
          <w:sz w:val="24"/>
          <w:szCs w:val="24"/>
        </w:rPr>
        <w:t>Juzefovas</w:t>
      </w:r>
      <w:proofErr w:type="spellEnd"/>
      <w:r w:rsidRPr="00A07F29">
        <w:rPr>
          <w:rFonts w:ascii="Times New Roman" w:hAnsi="Times New Roman" w:cs="Minion Pro"/>
          <w:sz w:val="24"/>
          <w:szCs w:val="24"/>
        </w:rPr>
        <w:t xml:space="preserve"> parka. </w:t>
      </w:r>
      <w:r w:rsidRPr="00A07F29">
        <w:rPr>
          <w:rFonts w:ascii="Times New Roman" w:hAnsi="Times New Roman" w:cs="Times New Roman"/>
          <w:color w:val="000000"/>
          <w:sz w:val="24"/>
          <w:szCs w:val="24"/>
        </w:rPr>
        <w:t xml:space="preserve">Šo sugu populāciju labvēlīga aizsardzības statusa nodrošināšanai ir nepieciešams saglabāt meža minēto biotopu grupu teritorijā vismaz esošā kvalitātē, nepieļaujot mežsaimniecisko darbību. </w:t>
      </w:r>
    </w:p>
    <w:p w14:paraId="234D062D" w14:textId="338256AC" w:rsidR="002B1603" w:rsidRPr="00A07F29" w:rsidRDefault="002B1603" w:rsidP="00EA3052">
      <w:pPr>
        <w:autoSpaceDE w:val="0"/>
        <w:autoSpaceDN w:val="0"/>
        <w:adjustRightInd w:val="0"/>
        <w:spacing w:after="120" w:line="240" w:lineRule="auto"/>
        <w:ind w:firstLine="851"/>
        <w:jc w:val="both"/>
        <w:rPr>
          <w:rFonts w:ascii="Times New Roman" w:hAnsi="Times New Roman" w:cs="Times New Roman"/>
          <w:sz w:val="24"/>
          <w:szCs w:val="24"/>
        </w:rPr>
      </w:pPr>
      <w:r w:rsidRPr="00A07F29">
        <w:rPr>
          <w:rFonts w:ascii="Times New Roman" w:hAnsi="Times New Roman" w:cs="Times New Roman"/>
          <w:iCs/>
          <w:color w:val="000000"/>
          <w:sz w:val="24"/>
          <w:szCs w:val="24"/>
        </w:rPr>
        <w:t xml:space="preserve">Tipiskas mežu sugas ir arī </w:t>
      </w:r>
      <w:r w:rsidRPr="00A07F29">
        <w:rPr>
          <w:rFonts w:ascii="Times New Roman" w:hAnsi="Times New Roman" w:cs="Times New Roman"/>
          <w:bCs/>
          <w:iCs/>
          <w:color w:val="000000"/>
          <w:sz w:val="24"/>
          <w:szCs w:val="24"/>
        </w:rPr>
        <w:t xml:space="preserve">parazītiskā </w:t>
      </w:r>
      <w:proofErr w:type="spellStart"/>
      <w:r w:rsidRPr="00A07F29">
        <w:rPr>
          <w:rFonts w:ascii="Times New Roman" w:hAnsi="Times New Roman" w:cs="Times New Roman"/>
          <w:bCs/>
          <w:iCs/>
          <w:color w:val="000000"/>
          <w:sz w:val="24"/>
          <w:szCs w:val="24"/>
        </w:rPr>
        <w:t>kladonija</w:t>
      </w:r>
      <w:proofErr w:type="spellEnd"/>
      <w:r w:rsidRPr="00A07F29">
        <w:rPr>
          <w:rFonts w:ascii="Times New Roman" w:hAnsi="Times New Roman" w:cs="Times New Roman"/>
          <w:bCs/>
          <w:iCs/>
          <w:color w:val="000000"/>
          <w:sz w:val="24"/>
          <w:szCs w:val="24"/>
        </w:rPr>
        <w:t xml:space="preserve"> </w:t>
      </w:r>
      <w:proofErr w:type="spellStart"/>
      <w:r w:rsidRPr="00A07F29">
        <w:rPr>
          <w:rFonts w:ascii="Times New Roman" w:hAnsi="Times New Roman" w:cs="Times New Roman"/>
          <w:bCs/>
          <w:i/>
          <w:spacing w:val="1"/>
          <w:sz w:val="24"/>
          <w:szCs w:val="24"/>
        </w:rPr>
        <w:t>Cladonia</w:t>
      </w:r>
      <w:proofErr w:type="spellEnd"/>
      <w:r w:rsidRPr="00A07F29">
        <w:rPr>
          <w:rFonts w:ascii="Times New Roman" w:hAnsi="Times New Roman" w:cs="Times New Roman"/>
          <w:bCs/>
          <w:i/>
          <w:spacing w:val="1"/>
          <w:sz w:val="24"/>
          <w:szCs w:val="24"/>
        </w:rPr>
        <w:t xml:space="preserve"> </w:t>
      </w:r>
      <w:proofErr w:type="spellStart"/>
      <w:r w:rsidRPr="00A07F29">
        <w:rPr>
          <w:rFonts w:ascii="Times New Roman" w:hAnsi="Times New Roman" w:cs="Times New Roman"/>
          <w:bCs/>
          <w:i/>
          <w:spacing w:val="1"/>
          <w:sz w:val="24"/>
          <w:szCs w:val="24"/>
        </w:rPr>
        <w:t>parasitica</w:t>
      </w:r>
      <w:proofErr w:type="spellEnd"/>
      <w:r w:rsidRPr="00A07F29">
        <w:rPr>
          <w:rFonts w:ascii="Times New Roman" w:hAnsi="Times New Roman" w:cs="Times New Roman"/>
          <w:bCs/>
          <w:i/>
          <w:spacing w:val="1"/>
          <w:sz w:val="24"/>
          <w:szCs w:val="24"/>
        </w:rPr>
        <w:t xml:space="preserve"> </w:t>
      </w:r>
      <w:r w:rsidRPr="00A07F29">
        <w:rPr>
          <w:rFonts w:ascii="Times New Roman" w:hAnsi="Times New Roman" w:cs="Times New Roman"/>
          <w:bCs/>
          <w:spacing w:val="1"/>
          <w:sz w:val="24"/>
          <w:szCs w:val="24"/>
        </w:rPr>
        <w:t xml:space="preserve">un zaļā </w:t>
      </w:r>
      <w:proofErr w:type="spellStart"/>
      <w:r w:rsidRPr="00A07F29">
        <w:rPr>
          <w:rFonts w:ascii="Times New Roman" w:hAnsi="Times New Roman" w:cs="Times New Roman"/>
          <w:bCs/>
          <w:spacing w:val="1"/>
          <w:sz w:val="24"/>
          <w:szCs w:val="24"/>
        </w:rPr>
        <w:t>henotēka</w:t>
      </w:r>
      <w:proofErr w:type="spellEnd"/>
      <w:r w:rsidRPr="00A07F29">
        <w:rPr>
          <w:rFonts w:ascii="Times New Roman" w:hAnsi="Times New Roman" w:cs="Times New Roman"/>
          <w:bCs/>
          <w:i/>
          <w:spacing w:val="1"/>
          <w:sz w:val="24"/>
          <w:szCs w:val="24"/>
        </w:rPr>
        <w:t xml:space="preserve"> </w:t>
      </w:r>
      <w:proofErr w:type="spellStart"/>
      <w:r w:rsidRPr="00A07F29">
        <w:rPr>
          <w:rFonts w:ascii="Times New Roman" w:hAnsi="Times New Roman" w:cs="Times New Roman"/>
          <w:bCs/>
          <w:i/>
          <w:spacing w:val="1"/>
          <w:sz w:val="24"/>
          <w:szCs w:val="24"/>
        </w:rPr>
        <w:t>Chaenotheca</w:t>
      </w:r>
      <w:proofErr w:type="spellEnd"/>
      <w:r w:rsidRPr="00A07F29">
        <w:rPr>
          <w:rFonts w:ascii="Times New Roman" w:hAnsi="Times New Roman" w:cs="Times New Roman"/>
          <w:bCs/>
          <w:i/>
          <w:spacing w:val="1"/>
          <w:sz w:val="24"/>
          <w:szCs w:val="24"/>
        </w:rPr>
        <w:t xml:space="preserve"> </w:t>
      </w:r>
      <w:proofErr w:type="spellStart"/>
      <w:r w:rsidRPr="00A07F29">
        <w:rPr>
          <w:rFonts w:ascii="Times New Roman" w:hAnsi="Times New Roman" w:cs="Times New Roman"/>
          <w:bCs/>
          <w:i/>
          <w:spacing w:val="1"/>
          <w:sz w:val="24"/>
          <w:szCs w:val="24"/>
        </w:rPr>
        <w:t>chlorella</w:t>
      </w:r>
      <w:proofErr w:type="spellEnd"/>
      <w:r w:rsidRPr="00A07F29">
        <w:rPr>
          <w:rFonts w:ascii="Times New Roman" w:hAnsi="Times New Roman" w:cs="Times New Roman"/>
          <w:bCs/>
          <w:sz w:val="24"/>
          <w:szCs w:val="24"/>
        </w:rPr>
        <w:t>. Šīs suga</w:t>
      </w:r>
      <w:r w:rsidR="00F35FF1">
        <w:rPr>
          <w:rFonts w:ascii="Times New Roman" w:hAnsi="Times New Roman" w:cs="Times New Roman"/>
          <w:bCs/>
          <w:sz w:val="24"/>
          <w:szCs w:val="24"/>
        </w:rPr>
        <w:t>s</w:t>
      </w:r>
      <w:r w:rsidRPr="00A07F29">
        <w:rPr>
          <w:rFonts w:ascii="Times New Roman" w:hAnsi="Times New Roman" w:cs="Times New Roman"/>
          <w:bCs/>
          <w:sz w:val="24"/>
          <w:szCs w:val="24"/>
        </w:rPr>
        <w:t xml:space="preserve"> ir saistītas ar skujkoku mežiem</w:t>
      </w:r>
      <w:r w:rsidR="00F35FF1">
        <w:rPr>
          <w:rFonts w:ascii="Times New Roman" w:hAnsi="Times New Roman" w:cs="Times New Roman"/>
          <w:bCs/>
          <w:sz w:val="24"/>
          <w:szCs w:val="24"/>
        </w:rPr>
        <w:t>,</w:t>
      </w:r>
      <w:r w:rsidRPr="00A07F29">
        <w:rPr>
          <w:rFonts w:ascii="Times New Roman" w:hAnsi="Times New Roman" w:cs="Times New Roman"/>
          <w:bCs/>
          <w:sz w:val="24"/>
          <w:szCs w:val="24"/>
        </w:rPr>
        <w:t xml:space="preserve"> ar lieliem mirušas koksnes </w:t>
      </w:r>
      <w:r w:rsidRPr="00A07F29">
        <w:rPr>
          <w:rFonts w:ascii="Times New Roman" w:hAnsi="Times New Roman" w:cs="Times New Roman"/>
          <w:bCs/>
          <w:sz w:val="24"/>
          <w:szCs w:val="24"/>
        </w:rPr>
        <w:lastRenderedPageBreak/>
        <w:t xml:space="preserve">apjomiem, tās apdzīvo skujkoku mirušu koksni noteiktā sadalīšanas stadijā. </w:t>
      </w:r>
      <w:proofErr w:type="spellStart"/>
      <w:r w:rsidRPr="00A07F29">
        <w:rPr>
          <w:rFonts w:ascii="Times New Roman" w:hAnsi="Times New Roman" w:cs="Times New Roman"/>
          <w:bCs/>
          <w:i/>
          <w:sz w:val="24"/>
          <w:szCs w:val="24"/>
        </w:rPr>
        <w:t>Cladonia</w:t>
      </w:r>
      <w:proofErr w:type="spellEnd"/>
      <w:r w:rsidRPr="00A07F29">
        <w:rPr>
          <w:rFonts w:ascii="Times New Roman" w:hAnsi="Times New Roman" w:cs="Times New Roman"/>
          <w:bCs/>
          <w:i/>
          <w:sz w:val="24"/>
          <w:szCs w:val="24"/>
        </w:rPr>
        <w:t xml:space="preserve"> </w:t>
      </w:r>
      <w:proofErr w:type="spellStart"/>
      <w:r w:rsidRPr="00A07F29">
        <w:rPr>
          <w:rFonts w:ascii="Times New Roman" w:hAnsi="Times New Roman" w:cs="Times New Roman"/>
          <w:bCs/>
          <w:i/>
          <w:sz w:val="24"/>
          <w:szCs w:val="24"/>
        </w:rPr>
        <w:t>parasitica</w:t>
      </w:r>
      <w:proofErr w:type="spellEnd"/>
      <w:r w:rsidRPr="00A07F29">
        <w:rPr>
          <w:rFonts w:ascii="Times New Roman" w:hAnsi="Times New Roman" w:cs="Times New Roman"/>
          <w:bCs/>
          <w:sz w:val="24"/>
          <w:szCs w:val="24"/>
        </w:rPr>
        <w:t xml:space="preserve"> un </w:t>
      </w:r>
      <w:proofErr w:type="spellStart"/>
      <w:r w:rsidRPr="00A07F29">
        <w:rPr>
          <w:rFonts w:ascii="Times New Roman" w:hAnsi="Times New Roman" w:cs="Times New Roman"/>
          <w:bCs/>
          <w:i/>
          <w:sz w:val="24"/>
          <w:szCs w:val="24"/>
        </w:rPr>
        <w:t>Chaenotheca</w:t>
      </w:r>
      <w:proofErr w:type="spellEnd"/>
      <w:r w:rsidRPr="00A07F29">
        <w:rPr>
          <w:rFonts w:ascii="Times New Roman" w:hAnsi="Times New Roman" w:cs="Times New Roman"/>
          <w:bCs/>
          <w:i/>
          <w:sz w:val="24"/>
          <w:szCs w:val="24"/>
        </w:rPr>
        <w:t xml:space="preserve"> </w:t>
      </w:r>
      <w:proofErr w:type="spellStart"/>
      <w:r w:rsidRPr="00A07F29">
        <w:rPr>
          <w:rFonts w:ascii="Times New Roman" w:hAnsi="Times New Roman" w:cs="Times New Roman"/>
          <w:bCs/>
          <w:i/>
          <w:sz w:val="24"/>
          <w:szCs w:val="24"/>
        </w:rPr>
        <w:t>chlorella</w:t>
      </w:r>
      <w:proofErr w:type="spellEnd"/>
      <w:r w:rsidRPr="00A07F29">
        <w:rPr>
          <w:rFonts w:ascii="Times New Roman" w:hAnsi="Times New Roman" w:cs="Times New Roman"/>
          <w:bCs/>
          <w:sz w:val="24"/>
          <w:szCs w:val="24"/>
        </w:rPr>
        <w:t xml:space="preserve"> ir reti sastopamas sugas AAA teritorijā, vienīgā zināmā populācija tika konstatēta Daugavas labajā krastā, Tartaka lokā, Tartaka mežā. </w:t>
      </w:r>
      <w:proofErr w:type="spellStart"/>
      <w:r w:rsidRPr="00A07F29">
        <w:rPr>
          <w:rFonts w:ascii="Times New Roman" w:hAnsi="Times New Roman" w:cs="Times New Roman"/>
          <w:bCs/>
          <w:i/>
          <w:sz w:val="24"/>
          <w:szCs w:val="24"/>
        </w:rPr>
        <w:t>Cladonia</w:t>
      </w:r>
      <w:proofErr w:type="spellEnd"/>
      <w:r w:rsidRPr="00A07F29">
        <w:rPr>
          <w:rFonts w:ascii="Times New Roman" w:hAnsi="Times New Roman" w:cs="Times New Roman"/>
          <w:bCs/>
          <w:i/>
          <w:sz w:val="24"/>
          <w:szCs w:val="24"/>
        </w:rPr>
        <w:t xml:space="preserve"> </w:t>
      </w:r>
      <w:proofErr w:type="spellStart"/>
      <w:r w:rsidRPr="00A07F29">
        <w:rPr>
          <w:rFonts w:ascii="Times New Roman" w:hAnsi="Times New Roman" w:cs="Times New Roman"/>
          <w:bCs/>
          <w:i/>
          <w:sz w:val="24"/>
          <w:szCs w:val="24"/>
        </w:rPr>
        <w:t>parasitica</w:t>
      </w:r>
      <w:proofErr w:type="spellEnd"/>
      <w:r w:rsidRPr="00A07F29">
        <w:rPr>
          <w:rFonts w:ascii="Times New Roman" w:hAnsi="Times New Roman" w:cs="Times New Roman"/>
          <w:bCs/>
          <w:sz w:val="24"/>
          <w:szCs w:val="24"/>
        </w:rPr>
        <w:t xml:space="preserve"> populācijas stāvoklis ir novērtēts kā slikts sakarā ar to, ka suga tika konstatēta tikai uz dažām kritalām samērā nelielā daudzumā. Konkrētās sugas populācijas saglabāšanai ir nepieciešams saglabāt meža nogabalus, kur tika konstatēta konkrētā suga, nepieļaujot jebkāda veida mežsaimniecisko darbību. </w:t>
      </w:r>
      <w:proofErr w:type="spellStart"/>
      <w:r w:rsidRPr="00A07F29">
        <w:rPr>
          <w:rFonts w:ascii="Times New Roman" w:hAnsi="Times New Roman" w:cs="Times New Roman"/>
          <w:bCs/>
          <w:i/>
          <w:sz w:val="24"/>
          <w:szCs w:val="24"/>
        </w:rPr>
        <w:t>Chaenotheca</w:t>
      </w:r>
      <w:proofErr w:type="spellEnd"/>
      <w:r w:rsidRPr="00A07F29">
        <w:rPr>
          <w:rFonts w:ascii="Times New Roman" w:hAnsi="Times New Roman" w:cs="Times New Roman"/>
          <w:bCs/>
          <w:i/>
          <w:sz w:val="24"/>
          <w:szCs w:val="24"/>
        </w:rPr>
        <w:t xml:space="preserve"> </w:t>
      </w:r>
      <w:proofErr w:type="spellStart"/>
      <w:r w:rsidRPr="00A07F29">
        <w:rPr>
          <w:rFonts w:ascii="Times New Roman" w:hAnsi="Times New Roman" w:cs="Times New Roman"/>
          <w:bCs/>
          <w:i/>
          <w:sz w:val="24"/>
          <w:szCs w:val="24"/>
        </w:rPr>
        <w:t>chlorella</w:t>
      </w:r>
      <w:proofErr w:type="spellEnd"/>
      <w:r w:rsidRPr="00A07F29">
        <w:rPr>
          <w:rFonts w:ascii="Times New Roman" w:hAnsi="Times New Roman" w:cs="Times New Roman"/>
          <w:bCs/>
          <w:sz w:val="24"/>
          <w:szCs w:val="24"/>
        </w:rPr>
        <w:t xml:space="preserve"> populācijas stāvoklis ir novērtēts kā labs, suga tika konstatēta uz vairākiem egļu </w:t>
      </w:r>
      <w:proofErr w:type="spellStart"/>
      <w:r w:rsidRPr="00A07F29">
        <w:rPr>
          <w:rFonts w:ascii="Times New Roman" w:hAnsi="Times New Roman" w:cs="Times New Roman"/>
          <w:bCs/>
          <w:sz w:val="24"/>
          <w:szCs w:val="24"/>
        </w:rPr>
        <w:t>sausokņiem</w:t>
      </w:r>
      <w:proofErr w:type="spellEnd"/>
      <w:r w:rsidRPr="00A07F29">
        <w:rPr>
          <w:rFonts w:ascii="Times New Roman" w:hAnsi="Times New Roman" w:cs="Times New Roman"/>
          <w:sz w:val="24"/>
          <w:szCs w:val="24"/>
        </w:rPr>
        <w:t xml:space="preserve"> nogabalos, kur ir atrodamas arī nekolonizētas, šai sugai piemērotas, potenciālas dzīvotnes.</w:t>
      </w:r>
    </w:p>
    <w:p w14:paraId="66D56630" w14:textId="77777777" w:rsidR="002B1603" w:rsidRPr="005C73CF" w:rsidRDefault="002B1603" w:rsidP="00EA3052">
      <w:pPr>
        <w:keepNext/>
        <w:spacing w:before="240" w:after="120" w:line="240" w:lineRule="auto"/>
        <w:jc w:val="both"/>
        <w:rPr>
          <w:rFonts w:ascii="Times New Roman" w:hAnsi="Times New Roman" w:cs="Times New Roman"/>
          <w:b/>
          <w:bCs/>
          <w:i/>
          <w:sz w:val="24"/>
          <w:szCs w:val="24"/>
        </w:rPr>
      </w:pPr>
      <w:r w:rsidRPr="00A07F29">
        <w:rPr>
          <w:rFonts w:ascii="Times New Roman" w:hAnsi="Times New Roman" w:cs="Times New Roman"/>
          <w:b/>
          <w:bCs/>
          <w:i/>
          <w:sz w:val="24"/>
          <w:szCs w:val="24"/>
        </w:rPr>
        <w:t xml:space="preserve">Sugas, kuras nav saistītas ar Latvijas un ES nozīmes </w:t>
      </w:r>
      <w:r w:rsidRPr="005C73CF">
        <w:rPr>
          <w:rFonts w:ascii="Times New Roman" w:hAnsi="Times New Roman" w:cs="Times New Roman"/>
          <w:b/>
          <w:bCs/>
          <w:i/>
          <w:sz w:val="24"/>
          <w:szCs w:val="24"/>
        </w:rPr>
        <w:t>īpaši aizsargājamiem biotopiem</w:t>
      </w:r>
    </w:p>
    <w:p w14:paraId="51B9897C" w14:textId="3E865F5D" w:rsidR="002B1603" w:rsidRPr="00A07F29" w:rsidRDefault="002B1603" w:rsidP="00EA3052">
      <w:pPr>
        <w:autoSpaceDE w:val="0"/>
        <w:autoSpaceDN w:val="0"/>
        <w:adjustRightInd w:val="0"/>
        <w:spacing w:after="120" w:line="240" w:lineRule="auto"/>
        <w:ind w:firstLine="851"/>
        <w:jc w:val="both"/>
        <w:rPr>
          <w:rFonts w:ascii="Times New Roman" w:hAnsi="Times New Roman" w:cs="Times New Roman"/>
          <w:color w:val="000000"/>
          <w:sz w:val="24"/>
          <w:szCs w:val="24"/>
        </w:rPr>
      </w:pPr>
      <w:r w:rsidRPr="005C73CF">
        <w:rPr>
          <w:rFonts w:ascii="Times New Roman" w:hAnsi="Times New Roman" w:cs="Times New Roman"/>
          <w:color w:val="000000"/>
          <w:sz w:val="24"/>
          <w:szCs w:val="24"/>
        </w:rPr>
        <w:t>AAA “Augšdaugava” teritorijā tika konstatētas atsevišķas īpaši aizsargājamas</w:t>
      </w:r>
      <w:r w:rsidRPr="00A07F29">
        <w:rPr>
          <w:rFonts w:ascii="Times New Roman" w:hAnsi="Times New Roman" w:cs="Times New Roman"/>
          <w:color w:val="000000"/>
          <w:sz w:val="24"/>
          <w:szCs w:val="24"/>
        </w:rPr>
        <w:t xml:space="preserve"> ķērpju sugas (</w:t>
      </w:r>
      <w:r w:rsidR="00F549F5" w:rsidRPr="00A07F29">
        <w:rPr>
          <w:rFonts w:ascii="Times New Roman" w:hAnsi="Times New Roman" w:cs="Times New Roman"/>
          <w:color w:val="000000"/>
          <w:sz w:val="24"/>
          <w:szCs w:val="24"/>
        </w:rPr>
        <w:t>ā</w:t>
      </w:r>
      <w:r w:rsidRPr="00A07F29">
        <w:rPr>
          <w:rFonts w:ascii="Times New Roman" w:hAnsi="Times New Roman" w:cs="Times New Roman"/>
          <w:color w:val="000000"/>
          <w:sz w:val="24"/>
          <w:szCs w:val="24"/>
        </w:rPr>
        <w:t xml:space="preserve">dainā </w:t>
      </w:r>
      <w:proofErr w:type="spellStart"/>
      <w:r w:rsidRPr="00A07F29">
        <w:rPr>
          <w:rFonts w:ascii="Times New Roman" w:hAnsi="Times New Roman" w:cs="Times New Roman"/>
          <w:color w:val="000000"/>
          <w:sz w:val="24"/>
          <w:szCs w:val="24"/>
        </w:rPr>
        <w:t>parmēlija</w:t>
      </w:r>
      <w:proofErr w:type="spellEnd"/>
      <w:r w:rsidRPr="00A07F29">
        <w:rPr>
          <w:rFonts w:ascii="Times New Roman" w:hAnsi="Times New Roman" w:cs="Times New Roman"/>
          <w:i/>
          <w:color w:val="000000"/>
          <w:sz w:val="24"/>
          <w:szCs w:val="24"/>
        </w:rPr>
        <w:t xml:space="preserve"> </w:t>
      </w:r>
      <w:proofErr w:type="spellStart"/>
      <w:r w:rsidRPr="00A07F29">
        <w:rPr>
          <w:rFonts w:ascii="Times New Roman" w:hAnsi="Times New Roman" w:cs="Times New Roman"/>
          <w:i/>
          <w:color w:val="000000"/>
          <w:sz w:val="24"/>
          <w:szCs w:val="24"/>
        </w:rPr>
        <w:t>Parmelina</w:t>
      </w:r>
      <w:proofErr w:type="spellEnd"/>
      <w:r w:rsidRPr="00A07F29">
        <w:rPr>
          <w:rFonts w:ascii="Times New Roman" w:hAnsi="Times New Roman" w:cs="Times New Roman"/>
          <w:i/>
          <w:color w:val="000000"/>
          <w:sz w:val="24"/>
          <w:szCs w:val="24"/>
        </w:rPr>
        <w:t xml:space="preserve"> </w:t>
      </w:r>
      <w:proofErr w:type="spellStart"/>
      <w:r w:rsidRPr="00A07F29">
        <w:rPr>
          <w:rFonts w:ascii="Times New Roman" w:hAnsi="Times New Roman" w:cs="Times New Roman"/>
          <w:i/>
          <w:color w:val="000000"/>
          <w:sz w:val="24"/>
          <w:szCs w:val="24"/>
        </w:rPr>
        <w:t>tiliacea</w:t>
      </w:r>
      <w:proofErr w:type="spellEnd"/>
      <w:r w:rsidRPr="00A07F29">
        <w:rPr>
          <w:rFonts w:ascii="Times New Roman" w:hAnsi="Times New Roman" w:cs="Times New Roman"/>
          <w:color w:val="000000"/>
          <w:sz w:val="24"/>
          <w:szCs w:val="24"/>
        </w:rPr>
        <w:t xml:space="preserve">, </w:t>
      </w:r>
      <w:proofErr w:type="spellStart"/>
      <w:r w:rsidR="00F549F5" w:rsidRPr="00A07F29">
        <w:rPr>
          <w:rFonts w:ascii="Times New Roman" w:hAnsi="Times New Roman" w:cs="Times New Roman"/>
          <w:color w:val="000000"/>
          <w:sz w:val="24"/>
          <w:szCs w:val="24"/>
        </w:rPr>
        <w:t>k</w:t>
      </w:r>
      <w:r w:rsidRPr="00A07F29">
        <w:rPr>
          <w:rFonts w:ascii="Times New Roman" w:hAnsi="Times New Roman" w:cs="Times New Roman"/>
          <w:color w:val="000000"/>
          <w:sz w:val="24"/>
          <w:szCs w:val="24"/>
        </w:rPr>
        <w:t>ausveida</w:t>
      </w:r>
      <w:proofErr w:type="spellEnd"/>
      <w:r w:rsidRPr="00A07F29">
        <w:rPr>
          <w:rFonts w:ascii="Times New Roman" w:hAnsi="Times New Roman" w:cs="Times New Roman"/>
          <w:color w:val="000000"/>
          <w:sz w:val="24"/>
          <w:szCs w:val="24"/>
        </w:rPr>
        <w:t xml:space="preserve"> </w:t>
      </w:r>
      <w:proofErr w:type="spellStart"/>
      <w:r w:rsidRPr="00A07F29">
        <w:rPr>
          <w:rFonts w:ascii="Times New Roman" w:hAnsi="Times New Roman" w:cs="Times New Roman"/>
          <w:color w:val="000000"/>
          <w:sz w:val="24"/>
          <w:szCs w:val="24"/>
        </w:rPr>
        <w:t>pleurostikta</w:t>
      </w:r>
      <w:proofErr w:type="spellEnd"/>
      <w:r w:rsidRPr="00A07F29">
        <w:rPr>
          <w:rFonts w:ascii="Times New Roman" w:hAnsi="Times New Roman" w:cs="Times New Roman"/>
          <w:color w:val="000000"/>
          <w:sz w:val="24"/>
          <w:szCs w:val="24"/>
        </w:rPr>
        <w:t xml:space="preserve"> </w:t>
      </w:r>
      <w:proofErr w:type="spellStart"/>
      <w:r w:rsidRPr="00A07F29">
        <w:rPr>
          <w:rFonts w:ascii="Times New Roman" w:hAnsi="Times New Roman" w:cs="Times New Roman"/>
          <w:i/>
          <w:color w:val="000000"/>
          <w:sz w:val="24"/>
          <w:szCs w:val="24"/>
        </w:rPr>
        <w:t>Pleurosticta</w:t>
      </w:r>
      <w:proofErr w:type="spellEnd"/>
      <w:r w:rsidRPr="00A07F29">
        <w:rPr>
          <w:rFonts w:ascii="Times New Roman" w:hAnsi="Times New Roman" w:cs="Times New Roman"/>
          <w:i/>
          <w:color w:val="000000"/>
          <w:sz w:val="24"/>
          <w:szCs w:val="24"/>
        </w:rPr>
        <w:t xml:space="preserve"> </w:t>
      </w:r>
      <w:proofErr w:type="spellStart"/>
      <w:r w:rsidRPr="00A07F29">
        <w:rPr>
          <w:rFonts w:ascii="Times New Roman" w:hAnsi="Times New Roman" w:cs="Times New Roman"/>
          <w:i/>
          <w:color w:val="000000"/>
          <w:sz w:val="24"/>
          <w:szCs w:val="24"/>
        </w:rPr>
        <w:t>acetabulum</w:t>
      </w:r>
      <w:proofErr w:type="spellEnd"/>
      <w:r w:rsidRPr="00A07F29">
        <w:rPr>
          <w:rFonts w:ascii="Times New Roman" w:hAnsi="Times New Roman" w:cs="Times New Roman"/>
          <w:color w:val="000000"/>
          <w:sz w:val="24"/>
          <w:szCs w:val="24"/>
        </w:rPr>
        <w:t xml:space="preserve">, </w:t>
      </w:r>
      <w:proofErr w:type="spellStart"/>
      <w:r w:rsidR="00F549F5" w:rsidRPr="00A07F29">
        <w:rPr>
          <w:rFonts w:ascii="Times New Roman" w:hAnsi="Times New Roman" w:cs="Times New Roman"/>
          <w:color w:val="000000"/>
          <w:sz w:val="24"/>
          <w:szCs w:val="24"/>
        </w:rPr>
        <w:t>s</w:t>
      </w:r>
      <w:r w:rsidRPr="00A07F29">
        <w:rPr>
          <w:rFonts w:ascii="Times New Roman" w:hAnsi="Times New Roman" w:cs="Times New Roman"/>
          <w:color w:val="000000"/>
          <w:sz w:val="24"/>
          <w:szCs w:val="24"/>
        </w:rPr>
        <w:t>klerofora</w:t>
      </w:r>
      <w:proofErr w:type="spellEnd"/>
      <w:r w:rsidRPr="00A07F29">
        <w:rPr>
          <w:rFonts w:ascii="Times New Roman" w:hAnsi="Times New Roman" w:cs="Times New Roman"/>
          <w:color w:val="000000"/>
          <w:sz w:val="24"/>
          <w:szCs w:val="24"/>
        </w:rPr>
        <w:t xml:space="preserve"> </w:t>
      </w:r>
      <w:proofErr w:type="spellStart"/>
      <w:r w:rsidRPr="00A07F29">
        <w:rPr>
          <w:rFonts w:ascii="Times New Roman" w:hAnsi="Times New Roman" w:cs="Times New Roman"/>
          <w:i/>
          <w:color w:val="000000"/>
          <w:sz w:val="24"/>
          <w:szCs w:val="24"/>
        </w:rPr>
        <w:t>Sclerophora</w:t>
      </w:r>
      <w:proofErr w:type="spellEnd"/>
      <w:r w:rsidRPr="00A07F29">
        <w:rPr>
          <w:rFonts w:ascii="Times New Roman" w:hAnsi="Times New Roman" w:cs="Times New Roman"/>
          <w:i/>
          <w:color w:val="000000"/>
          <w:sz w:val="24"/>
          <w:szCs w:val="24"/>
        </w:rPr>
        <w:t xml:space="preserve"> </w:t>
      </w:r>
      <w:proofErr w:type="spellStart"/>
      <w:r w:rsidRPr="00A07F29">
        <w:rPr>
          <w:rFonts w:ascii="Times New Roman" w:hAnsi="Times New Roman" w:cs="Times New Roman"/>
          <w:i/>
          <w:color w:val="000000"/>
          <w:sz w:val="24"/>
          <w:szCs w:val="24"/>
        </w:rPr>
        <w:t>pallida</w:t>
      </w:r>
      <w:proofErr w:type="spellEnd"/>
      <w:r w:rsidRPr="00A07F29">
        <w:rPr>
          <w:rFonts w:ascii="Times New Roman" w:hAnsi="Times New Roman" w:cs="Times New Roman"/>
          <w:color w:val="000000"/>
          <w:sz w:val="24"/>
          <w:szCs w:val="24"/>
        </w:rPr>
        <w:t xml:space="preserve">), kuru ekoloģiskās prasības ir pamatā saistītas ar veciem, labi apgaismotiem platlapju kokiem. Ziemeļeiropā šīs sugas biežāk ir sastopamas parkos, alejās un uz </w:t>
      </w:r>
      <w:r w:rsidR="00EA3052" w:rsidRPr="00A07F29">
        <w:rPr>
          <w:rFonts w:ascii="Times New Roman" w:hAnsi="Times New Roman" w:cs="Times New Roman"/>
          <w:color w:val="000000"/>
          <w:sz w:val="24"/>
          <w:szCs w:val="24"/>
        </w:rPr>
        <w:t xml:space="preserve">ceļmalās </w:t>
      </w:r>
      <w:r w:rsidRPr="00A07F29">
        <w:rPr>
          <w:rFonts w:ascii="Times New Roman" w:hAnsi="Times New Roman" w:cs="Times New Roman"/>
          <w:color w:val="000000"/>
          <w:sz w:val="24"/>
          <w:szCs w:val="24"/>
        </w:rPr>
        <w:t>augošiem kokiem (</w:t>
      </w:r>
      <w:proofErr w:type="spellStart"/>
      <w:r w:rsidRPr="00A07F29">
        <w:rPr>
          <w:rFonts w:ascii="Times New Roman" w:hAnsi="Times New Roman" w:cs="Times New Roman"/>
          <w:color w:val="000000"/>
          <w:sz w:val="24"/>
          <w:szCs w:val="24"/>
        </w:rPr>
        <w:t>Smith</w:t>
      </w:r>
      <w:proofErr w:type="spellEnd"/>
      <w:r w:rsidRPr="00A07F29">
        <w:rPr>
          <w:rFonts w:ascii="Times New Roman" w:hAnsi="Times New Roman" w:cs="Times New Roman"/>
          <w:color w:val="000000"/>
          <w:sz w:val="24"/>
          <w:szCs w:val="24"/>
        </w:rPr>
        <w:t xml:space="preserve"> </w:t>
      </w:r>
      <w:r w:rsidR="00204B25">
        <w:rPr>
          <w:rFonts w:ascii="Times New Roman" w:hAnsi="Times New Roman" w:cs="Times New Roman"/>
          <w:color w:val="000000"/>
          <w:sz w:val="24"/>
          <w:szCs w:val="24"/>
        </w:rPr>
        <w:t xml:space="preserve">W. </w:t>
      </w:r>
      <w:proofErr w:type="spellStart"/>
      <w:r w:rsidRPr="00A07F29">
        <w:rPr>
          <w:rFonts w:ascii="Times New Roman" w:hAnsi="Times New Roman" w:cs="Times New Roman"/>
          <w:color w:val="000000"/>
          <w:sz w:val="24"/>
          <w:szCs w:val="24"/>
        </w:rPr>
        <w:t>et</w:t>
      </w:r>
      <w:proofErr w:type="spellEnd"/>
      <w:r w:rsidRPr="00A07F29">
        <w:rPr>
          <w:rFonts w:ascii="Times New Roman" w:hAnsi="Times New Roman" w:cs="Times New Roman"/>
          <w:color w:val="000000"/>
          <w:sz w:val="24"/>
          <w:szCs w:val="24"/>
        </w:rPr>
        <w:t xml:space="preserve"> </w:t>
      </w:r>
      <w:proofErr w:type="spellStart"/>
      <w:r w:rsidRPr="00A07F29">
        <w:rPr>
          <w:rFonts w:ascii="Times New Roman" w:hAnsi="Times New Roman" w:cs="Times New Roman"/>
          <w:color w:val="000000"/>
          <w:sz w:val="24"/>
          <w:szCs w:val="24"/>
        </w:rPr>
        <w:t>a</w:t>
      </w:r>
      <w:r w:rsidR="00204B25">
        <w:rPr>
          <w:rFonts w:ascii="Times New Roman" w:hAnsi="Times New Roman" w:cs="Times New Roman"/>
          <w:color w:val="000000"/>
          <w:sz w:val="24"/>
          <w:szCs w:val="24"/>
        </w:rPr>
        <w:t>l</w:t>
      </w:r>
      <w:proofErr w:type="spellEnd"/>
      <w:r w:rsidR="00204B25">
        <w:rPr>
          <w:rFonts w:ascii="Times New Roman" w:hAnsi="Times New Roman" w:cs="Times New Roman"/>
          <w:color w:val="000000"/>
          <w:sz w:val="24"/>
          <w:szCs w:val="24"/>
        </w:rPr>
        <w:t>,</w:t>
      </w:r>
      <w:r w:rsidRPr="00A07F29">
        <w:rPr>
          <w:rFonts w:ascii="Times New Roman" w:hAnsi="Times New Roman" w:cs="Times New Roman"/>
          <w:color w:val="000000"/>
          <w:sz w:val="24"/>
          <w:szCs w:val="24"/>
        </w:rPr>
        <w:t xml:space="preserve"> 2009). AAA “Augšdaugava” teritorijā minētās sugas tika konstatētas to ekoloģiskām prasībām atbilstošās dzīvotnēs. Minēto sugu populāciju saglabāšanai ir svarīgi saglabāt kokus, uz kuriem tās aug.</w:t>
      </w:r>
    </w:p>
    <w:p w14:paraId="594909C1" w14:textId="77777777" w:rsidR="002B1603" w:rsidRPr="00A07F29" w:rsidRDefault="002B1603" w:rsidP="00EA3052">
      <w:pPr>
        <w:spacing w:before="240" w:after="120" w:line="240" w:lineRule="auto"/>
        <w:jc w:val="both"/>
        <w:rPr>
          <w:rFonts w:ascii="Times New Roman" w:hAnsi="Times New Roman" w:cs="Times New Roman"/>
          <w:b/>
          <w:bCs/>
          <w:i/>
          <w:sz w:val="24"/>
          <w:szCs w:val="24"/>
        </w:rPr>
      </w:pPr>
      <w:r w:rsidRPr="00A07F29">
        <w:rPr>
          <w:rFonts w:ascii="Times New Roman" w:hAnsi="Times New Roman" w:cs="Times New Roman"/>
          <w:b/>
          <w:bCs/>
          <w:i/>
          <w:sz w:val="24"/>
          <w:szCs w:val="24"/>
        </w:rPr>
        <w:t>Esošie un potenciālie apdraudošie faktori apsekotajā teritorijā un to ietekmes vērtējums</w:t>
      </w:r>
    </w:p>
    <w:p w14:paraId="6D81574E" w14:textId="6AD01EC9" w:rsidR="002B1603" w:rsidRPr="00A07F29" w:rsidRDefault="002B1603" w:rsidP="00EA3052">
      <w:pPr>
        <w:spacing w:after="120" w:line="240" w:lineRule="auto"/>
        <w:ind w:firstLine="851"/>
        <w:jc w:val="both"/>
        <w:rPr>
          <w:rFonts w:ascii="Times New Roman" w:hAnsi="Times New Roman" w:cs="Times New Roman"/>
          <w:sz w:val="24"/>
          <w:szCs w:val="24"/>
        </w:rPr>
      </w:pPr>
      <w:r w:rsidRPr="005C73CF">
        <w:rPr>
          <w:rFonts w:ascii="Times New Roman" w:hAnsi="Times New Roman" w:cs="Times New Roman"/>
          <w:sz w:val="24"/>
          <w:szCs w:val="24"/>
        </w:rPr>
        <w:t>Īpaši aizsargājamās</w:t>
      </w:r>
      <w:r w:rsidRPr="00A07F29">
        <w:rPr>
          <w:rFonts w:ascii="Times New Roman" w:hAnsi="Times New Roman" w:cs="Times New Roman"/>
          <w:sz w:val="24"/>
          <w:szCs w:val="24"/>
        </w:rPr>
        <w:t xml:space="preserve"> ķērpju sugas, k</w:t>
      </w:r>
      <w:r w:rsidR="00EA3052" w:rsidRPr="00A07F29">
        <w:rPr>
          <w:rFonts w:ascii="Times New Roman" w:hAnsi="Times New Roman" w:cs="Times New Roman"/>
          <w:sz w:val="24"/>
          <w:szCs w:val="24"/>
        </w:rPr>
        <w:t>ur</w:t>
      </w:r>
      <w:r w:rsidRPr="00A07F29">
        <w:rPr>
          <w:rFonts w:ascii="Times New Roman" w:hAnsi="Times New Roman" w:cs="Times New Roman"/>
          <w:sz w:val="24"/>
          <w:szCs w:val="24"/>
        </w:rPr>
        <w:t xml:space="preserve">as apdzīvo mežu </w:t>
      </w:r>
      <w:r w:rsidR="00EA3052" w:rsidRPr="00A07F29">
        <w:rPr>
          <w:rFonts w:ascii="Times New Roman" w:hAnsi="Times New Roman" w:cs="Times New Roman"/>
          <w:sz w:val="24"/>
          <w:szCs w:val="24"/>
        </w:rPr>
        <w:t>biotopus,</w:t>
      </w:r>
      <w:r w:rsidRPr="00A07F29">
        <w:rPr>
          <w:rFonts w:ascii="Times New Roman" w:hAnsi="Times New Roman" w:cs="Times New Roman"/>
          <w:sz w:val="24"/>
          <w:szCs w:val="24"/>
        </w:rPr>
        <w:t xml:space="preserve"> negatīvi </w:t>
      </w:r>
      <w:r w:rsidR="00012310" w:rsidRPr="00A07F29">
        <w:rPr>
          <w:rFonts w:ascii="Times New Roman" w:hAnsi="Times New Roman" w:cs="Times New Roman"/>
          <w:sz w:val="24"/>
          <w:szCs w:val="24"/>
        </w:rPr>
        <w:t xml:space="preserve">ietekmē </w:t>
      </w:r>
      <w:r w:rsidRPr="00A07F29">
        <w:rPr>
          <w:rFonts w:ascii="Times New Roman" w:hAnsi="Times New Roman" w:cs="Times New Roman"/>
          <w:sz w:val="24"/>
          <w:szCs w:val="24"/>
        </w:rPr>
        <w:t xml:space="preserve">mežsaimnieciskā darbība un ar to saistītā mežā sastopamo dabisko struktūru (kritalu, </w:t>
      </w:r>
      <w:proofErr w:type="spellStart"/>
      <w:r w:rsidRPr="00A07F29">
        <w:rPr>
          <w:rFonts w:ascii="Times New Roman" w:hAnsi="Times New Roman" w:cs="Times New Roman"/>
          <w:sz w:val="24"/>
          <w:szCs w:val="24"/>
        </w:rPr>
        <w:t>sausokņu</w:t>
      </w:r>
      <w:proofErr w:type="spellEnd"/>
      <w:r w:rsidRPr="00A07F29">
        <w:rPr>
          <w:rFonts w:ascii="Times New Roman" w:hAnsi="Times New Roman" w:cs="Times New Roman"/>
          <w:sz w:val="24"/>
          <w:szCs w:val="24"/>
        </w:rPr>
        <w:t xml:space="preserve">, stumbeņu) daudzuma samazināšanās. Īpaši negatīvi tas ietekmē </w:t>
      </w:r>
      <w:proofErr w:type="spellStart"/>
      <w:r w:rsidRPr="00A07F29">
        <w:rPr>
          <w:rFonts w:ascii="Times New Roman" w:hAnsi="Times New Roman" w:cs="Times New Roman"/>
          <w:sz w:val="24"/>
          <w:szCs w:val="24"/>
        </w:rPr>
        <w:t>saprofītiskās</w:t>
      </w:r>
      <w:proofErr w:type="spellEnd"/>
      <w:r w:rsidRPr="00A07F29">
        <w:rPr>
          <w:rFonts w:ascii="Times New Roman" w:hAnsi="Times New Roman" w:cs="Times New Roman"/>
          <w:sz w:val="24"/>
          <w:szCs w:val="24"/>
        </w:rPr>
        <w:t xml:space="preserve"> ķērpju sugas, kuras apdzīvo mirušu koksni noteiktās sadalīšan</w:t>
      </w:r>
      <w:r w:rsidR="00CA7FE9">
        <w:rPr>
          <w:rFonts w:ascii="Times New Roman" w:hAnsi="Times New Roman" w:cs="Times New Roman"/>
          <w:sz w:val="24"/>
          <w:szCs w:val="24"/>
        </w:rPr>
        <w:t>ā</w:t>
      </w:r>
      <w:r w:rsidRPr="00A07F29">
        <w:rPr>
          <w:rFonts w:ascii="Times New Roman" w:hAnsi="Times New Roman" w:cs="Times New Roman"/>
          <w:sz w:val="24"/>
          <w:szCs w:val="24"/>
        </w:rPr>
        <w:t>s stadijās. Ņemot vērā, ka AAA teritorijā vairums no mežaudzēs sastopamo aizsargājamo ķērpju sugu atradnēm ir konstatētas aizsargājamo mežu biotopos, tad speciāli uz šo sugu aizsardzību vēr</w:t>
      </w:r>
      <w:r w:rsidR="00012310" w:rsidRPr="00A07F29">
        <w:rPr>
          <w:rFonts w:ascii="Times New Roman" w:hAnsi="Times New Roman" w:cs="Times New Roman"/>
          <w:sz w:val="24"/>
          <w:szCs w:val="24"/>
        </w:rPr>
        <w:t>s</w:t>
      </w:r>
      <w:r w:rsidRPr="00A07F29">
        <w:rPr>
          <w:rFonts w:ascii="Times New Roman" w:hAnsi="Times New Roman" w:cs="Times New Roman"/>
          <w:sz w:val="24"/>
          <w:szCs w:val="24"/>
        </w:rPr>
        <w:t>ti pasākumi nav nepieciešami</w:t>
      </w:r>
      <w:r w:rsidR="00D16818" w:rsidRPr="00A07F29">
        <w:rPr>
          <w:rFonts w:ascii="Times New Roman" w:hAnsi="Times New Roman" w:cs="Times New Roman"/>
          <w:sz w:val="24"/>
          <w:szCs w:val="24"/>
        </w:rPr>
        <w:t>, ja tiek aizsargāti biotopi</w:t>
      </w:r>
      <w:r w:rsidRPr="00A07F29">
        <w:rPr>
          <w:rFonts w:ascii="Times New Roman" w:hAnsi="Times New Roman" w:cs="Times New Roman"/>
          <w:sz w:val="24"/>
          <w:szCs w:val="24"/>
        </w:rPr>
        <w:t>.</w:t>
      </w:r>
    </w:p>
    <w:p w14:paraId="7BBD1900" w14:textId="367D2C88" w:rsidR="002B1603" w:rsidRPr="00A07F29" w:rsidRDefault="002B1603" w:rsidP="00EA3052">
      <w:pPr>
        <w:spacing w:after="12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t xml:space="preserve">Ķērpju sugām, kuru ekoloģiskās prasības ir pamatā saistītas ar veciem, labi apgaismotiem platlapju kokiem, populāciju saglabāšana pamatā ir atkarīga no </w:t>
      </w:r>
      <w:r w:rsidR="00012310" w:rsidRPr="00A07F29">
        <w:rPr>
          <w:rFonts w:ascii="Times New Roman" w:hAnsi="Times New Roman" w:cs="Times New Roman"/>
          <w:sz w:val="24"/>
          <w:szCs w:val="24"/>
        </w:rPr>
        <w:t xml:space="preserve">to apdzīvoto </w:t>
      </w:r>
      <w:r w:rsidRPr="00A07F29">
        <w:rPr>
          <w:rFonts w:ascii="Times New Roman" w:hAnsi="Times New Roman" w:cs="Times New Roman"/>
          <w:sz w:val="24"/>
          <w:szCs w:val="24"/>
        </w:rPr>
        <w:t>koku saglabāšanas, to vitalitātes un potenciāli piemērotu dzīvotņu esamības netālu no esošām populācijām.</w:t>
      </w:r>
    </w:p>
    <w:p w14:paraId="6A6D9BF5" w14:textId="5AB9FB6B" w:rsidR="00012310" w:rsidRPr="00A07F29" w:rsidRDefault="002B1603" w:rsidP="00B561C9">
      <w:pPr>
        <w:spacing w:after="120" w:line="240" w:lineRule="auto"/>
        <w:ind w:firstLine="851"/>
        <w:jc w:val="both"/>
        <w:rPr>
          <w:rFonts w:ascii="Times New Roman" w:hAnsi="Times New Roman" w:cs="Times New Roman"/>
          <w:sz w:val="24"/>
          <w:szCs w:val="24"/>
        </w:rPr>
      </w:pPr>
      <w:r w:rsidRPr="005C73CF">
        <w:rPr>
          <w:rFonts w:ascii="Times New Roman" w:hAnsi="Times New Roman" w:cs="Times New Roman"/>
          <w:sz w:val="24"/>
          <w:szCs w:val="24"/>
        </w:rPr>
        <w:t>Īpaši aizsargājam</w:t>
      </w:r>
      <w:r w:rsidR="00234803" w:rsidRPr="005C73CF">
        <w:rPr>
          <w:rFonts w:ascii="Times New Roman" w:hAnsi="Times New Roman" w:cs="Times New Roman"/>
          <w:sz w:val="24"/>
          <w:szCs w:val="24"/>
        </w:rPr>
        <w:t>u</w:t>
      </w:r>
      <w:r w:rsidRPr="005C73CF">
        <w:rPr>
          <w:rFonts w:ascii="Times New Roman" w:hAnsi="Times New Roman" w:cs="Times New Roman"/>
          <w:sz w:val="24"/>
          <w:szCs w:val="24"/>
        </w:rPr>
        <w:t xml:space="preserve"> ķērpju sugu dzīvotņu saglabāšanai individuāli apsaimniekošanas pasākumi nav nepieciešami. Šo sugu dzīvotnēm labvēlīgs aizsardzības stāvoklis tiks nodrošināts, saglabājot teritorijā sastopamos ES nozīmes īpaši aizsargājamos meža biotopus vismaz pašreizējās platībās un kvalitātē. Īpaši aizsargāmu ķērpju</w:t>
      </w:r>
      <w:r w:rsidRPr="00A07F29">
        <w:rPr>
          <w:rFonts w:ascii="Times New Roman" w:hAnsi="Times New Roman" w:cs="Times New Roman"/>
          <w:sz w:val="24"/>
          <w:szCs w:val="24"/>
        </w:rPr>
        <w:t xml:space="preserve"> sugu, kuru ekoloģiskās prasības ir pamatā saistītas ar veciem, labi apgaismotiem platlapju kokiem, saglabāšanai ir nepieciešams saglabāt esošās dzīvotnes (apdzīvotus kokus). Individuāli apsaimniekošanas pasākumi šo sugu saglabāšanai nav nepieciešami, sakarā ar to, ka AAA “Augšdaugava” teritorijā ir pietiekoši daudz potenciālu dzīvotņu, kas var </w:t>
      </w:r>
      <w:r w:rsidR="00012310" w:rsidRPr="00A07F29">
        <w:rPr>
          <w:rFonts w:ascii="Times New Roman" w:hAnsi="Times New Roman" w:cs="Times New Roman"/>
          <w:sz w:val="24"/>
          <w:szCs w:val="24"/>
        </w:rPr>
        <w:t xml:space="preserve">tikt </w:t>
      </w:r>
      <w:r w:rsidRPr="00A07F29">
        <w:rPr>
          <w:rFonts w:ascii="Times New Roman" w:hAnsi="Times New Roman" w:cs="Times New Roman"/>
          <w:sz w:val="24"/>
          <w:szCs w:val="24"/>
        </w:rPr>
        <w:t>kolonizētas nākotnē.</w:t>
      </w:r>
    </w:p>
    <w:p w14:paraId="7DEA4807" w14:textId="1C2C3116" w:rsidR="002B1603" w:rsidRPr="00A07F29" w:rsidRDefault="002B1603" w:rsidP="00F312D0">
      <w:pPr>
        <w:keepNext/>
        <w:spacing w:after="120" w:line="240" w:lineRule="auto"/>
        <w:jc w:val="center"/>
        <w:rPr>
          <w:rFonts w:ascii="Times New Roman" w:eastAsia="Calibri" w:hAnsi="Times New Roman" w:cs="Times New Roman"/>
          <w:sz w:val="24"/>
        </w:rPr>
      </w:pPr>
      <w:r w:rsidRPr="00A07F29">
        <w:rPr>
          <w:rFonts w:ascii="Times New Roman" w:eastAsia="Calibri" w:hAnsi="Times New Roman" w:cs="Times New Roman"/>
          <w:sz w:val="24"/>
        </w:rPr>
        <w:t>4.</w:t>
      </w:r>
      <w:r w:rsidR="0091085D" w:rsidRPr="00A07F29">
        <w:rPr>
          <w:rFonts w:ascii="Times New Roman" w:eastAsia="Calibri" w:hAnsi="Times New Roman" w:cs="Times New Roman"/>
          <w:sz w:val="24"/>
        </w:rPr>
        <w:t>6</w:t>
      </w:r>
      <w:r w:rsidRPr="00A07F29">
        <w:rPr>
          <w:rFonts w:ascii="Times New Roman" w:eastAsia="Calibri" w:hAnsi="Times New Roman" w:cs="Times New Roman"/>
          <w:sz w:val="24"/>
        </w:rPr>
        <w:t>.1.</w:t>
      </w:r>
      <w:r w:rsidR="00B561C9">
        <w:rPr>
          <w:rFonts w:ascii="Times New Roman" w:eastAsia="Calibri" w:hAnsi="Times New Roman" w:cs="Times New Roman"/>
          <w:sz w:val="24"/>
        </w:rPr>
        <w:t> </w:t>
      </w:r>
      <w:r w:rsidRPr="00A07F29">
        <w:rPr>
          <w:rFonts w:ascii="Times New Roman" w:eastAsia="Calibri" w:hAnsi="Times New Roman" w:cs="Times New Roman"/>
          <w:sz w:val="24"/>
        </w:rPr>
        <w:t xml:space="preserve">tabula. </w:t>
      </w:r>
      <w:r w:rsidR="00BF0E06" w:rsidRPr="00A07F29">
        <w:rPr>
          <w:rFonts w:ascii="Times New Roman" w:eastAsia="Calibri" w:hAnsi="Times New Roman" w:cs="Times New Roman"/>
          <w:sz w:val="24"/>
        </w:rPr>
        <w:t>AAA</w:t>
      </w:r>
      <w:r w:rsidRPr="00A07F29">
        <w:rPr>
          <w:rFonts w:ascii="Times New Roman" w:eastAsia="Calibri" w:hAnsi="Times New Roman" w:cs="Times New Roman"/>
          <w:sz w:val="24"/>
        </w:rPr>
        <w:t xml:space="preserve"> </w:t>
      </w:r>
      <w:r w:rsidR="00B561C9">
        <w:rPr>
          <w:rFonts w:ascii="Times New Roman" w:eastAsia="Calibri" w:hAnsi="Times New Roman" w:cs="Times New Roman"/>
          <w:sz w:val="24"/>
        </w:rPr>
        <w:t>“</w:t>
      </w:r>
      <w:r w:rsidRPr="00A07F29">
        <w:rPr>
          <w:rFonts w:ascii="Times New Roman" w:eastAsia="Calibri" w:hAnsi="Times New Roman" w:cs="Times New Roman"/>
          <w:sz w:val="24"/>
        </w:rPr>
        <w:t>Augšdaugava” konstatētās Latvijā un Eiropā aizsargājamās un citādi vērtīgās ķērpju sugas un to aizsardzības statuss</w:t>
      </w:r>
    </w:p>
    <w:tbl>
      <w:tblPr>
        <w:tblW w:w="51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1"/>
        <w:gridCol w:w="1683"/>
        <w:gridCol w:w="1027"/>
        <w:gridCol w:w="1083"/>
        <w:gridCol w:w="1754"/>
        <w:gridCol w:w="2513"/>
      </w:tblGrid>
      <w:tr w:rsidR="002B1603" w:rsidRPr="00A07F29" w14:paraId="50390DD4" w14:textId="77777777" w:rsidTr="00244869">
        <w:trPr>
          <w:trHeight w:val="20"/>
          <w:tblHeader/>
          <w:jc w:val="center"/>
        </w:trPr>
        <w:tc>
          <w:tcPr>
            <w:tcW w:w="833" w:type="pct"/>
            <w:shd w:val="clear" w:color="auto" w:fill="D6E3BC"/>
            <w:vAlign w:val="center"/>
            <w:hideMark/>
          </w:tcPr>
          <w:p w14:paraId="1FDA2C6E" w14:textId="77777777" w:rsidR="002B1603" w:rsidRPr="00A07F29" w:rsidRDefault="002B1603" w:rsidP="00130C6F">
            <w:pPr>
              <w:keepNext/>
              <w:spacing w:before="80" w:after="80" w:line="240" w:lineRule="auto"/>
              <w:rPr>
                <w:rFonts w:ascii="Times New Roman" w:eastAsia="Times New Roman" w:hAnsi="Times New Roman" w:cs="Times New Roman"/>
                <w:b/>
                <w:color w:val="000000"/>
                <w:sz w:val="20"/>
                <w:lang w:eastAsia="en-GB"/>
              </w:rPr>
            </w:pPr>
            <w:r w:rsidRPr="00A07F29">
              <w:rPr>
                <w:rFonts w:ascii="Times New Roman" w:eastAsia="Times New Roman" w:hAnsi="Times New Roman" w:cs="Times New Roman"/>
                <w:b/>
                <w:color w:val="000000"/>
                <w:sz w:val="20"/>
                <w:lang w:eastAsia="en-GB"/>
              </w:rPr>
              <w:t>Sugas nosaukums latviski</w:t>
            </w:r>
          </w:p>
        </w:tc>
        <w:tc>
          <w:tcPr>
            <w:tcW w:w="870" w:type="pct"/>
            <w:shd w:val="clear" w:color="auto" w:fill="D6E3BC"/>
            <w:vAlign w:val="center"/>
            <w:hideMark/>
          </w:tcPr>
          <w:p w14:paraId="0FE7436B" w14:textId="77777777" w:rsidR="002B1603" w:rsidRPr="00A07F29" w:rsidRDefault="002B1603" w:rsidP="00130C6F">
            <w:pPr>
              <w:keepNext/>
              <w:spacing w:before="80" w:after="80" w:line="240" w:lineRule="auto"/>
              <w:rPr>
                <w:rFonts w:ascii="Times New Roman" w:eastAsia="Times New Roman" w:hAnsi="Times New Roman" w:cs="Times New Roman"/>
                <w:b/>
                <w:color w:val="000000"/>
                <w:sz w:val="20"/>
                <w:lang w:eastAsia="en-GB"/>
              </w:rPr>
            </w:pPr>
            <w:r w:rsidRPr="00A07F29">
              <w:rPr>
                <w:rFonts w:ascii="Times New Roman" w:eastAsia="Times New Roman" w:hAnsi="Times New Roman" w:cs="Times New Roman"/>
                <w:b/>
                <w:color w:val="000000"/>
                <w:sz w:val="20"/>
                <w:lang w:eastAsia="en-GB"/>
              </w:rPr>
              <w:t>Sugas nosaukums latīniski</w:t>
            </w:r>
          </w:p>
        </w:tc>
        <w:tc>
          <w:tcPr>
            <w:tcW w:w="531" w:type="pct"/>
            <w:shd w:val="clear" w:color="auto" w:fill="D6E3BC"/>
            <w:vAlign w:val="center"/>
            <w:hideMark/>
          </w:tcPr>
          <w:p w14:paraId="36120FFA" w14:textId="77777777" w:rsidR="002B1603" w:rsidRPr="00A07F29" w:rsidRDefault="002B1603" w:rsidP="00130C6F">
            <w:pPr>
              <w:keepNext/>
              <w:spacing w:before="80" w:after="80" w:line="240" w:lineRule="auto"/>
              <w:rPr>
                <w:rFonts w:ascii="Times New Roman" w:eastAsia="Times New Roman" w:hAnsi="Times New Roman" w:cs="Times New Roman"/>
                <w:b/>
                <w:color w:val="000000"/>
                <w:sz w:val="20"/>
                <w:lang w:eastAsia="en-GB"/>
              </w:rPr>
            </w:pPr>
            <w:r w:rsidRPr="00A07F29">
              <w:rPr>
                <w:rFonts w:ascii="Times New Roman" w:eastAsia="Times New Roman" w:hAnsi="Times New Roman" w:cs="Times New Roman"/>
                <w:b/>
                <w:color w:val="000000"/>
                <w:sz w:val="20"/>
                <w:lang w:eastAsia="en-GB"/>
              </w:rPr>
              <w:t>Aizsardzības statuss</w:t>
            </w:r>
          </w:p>
        </w:tc>
        <w:tc>
          <w:tcPr>
            <w:tcW w:w="560" w:type="pct"/>
            <w:tcBorders>
              <w:bottom w:val="single" w:sz="4" w:space="0" w:color="auto"/>
            </w:tcBorders>
            <w:shd w:val="clear" w:color="auto" w:fill="D6E3BC"/>
            <w:vAlign w:val="center"/>
            <w:hideMark/>
          </w:tcPr>
          <w:p w14:paraId="6DFBB4D2" w14:textId="77777777" w:rsidR="002B1603" w:rsidRPr="00A07F29" w:rsidRDefault="002B1603" w:rsidP="00130C6F">
            <w:pPr>
              <w:keepNext/>
              <w:spacing w:before="80" w:after="80" w:line="240" w:lineRule="auto"/>
              <w:rPr>
                <w:rFonts w:ascii="Times New Roman" w:eastAsia="Times New Roman" w:hAnsi="Times New Roman" w:cs="Times New Roman"/>
                <w:b/>
                <w:color w:val="000000"/>
                <w:sz w:val="20"/>
                <w:lang w:eastAsia="en-GB"/>
              </w:rPr>
            </w:pPr>
            <w:r w:rsidRPr="00A07F29">
              <w:rPr>
                <w:rFonts w:ascii="Times New Roman" w:eastAsia="Times New Roman" w:hAnsi="Times New Roman" w:cs="Times New Roman"/>
                <w:b/>
                <w:color w:val="000000"/>
                <w:sz w:val="20"/>
                <w:lang w:eastAsia="en-GB"/>
              </w:rPr>
              <w:t>Cits statuss</w:t>
            </w:r>
          </w:p>
        </w:tc>
        <w:tc>
          <w:tcPr>
            <w:tcW w:w="907" w:type="pct"/>
            <w:tcBorders>
              <w:bottom w:val="single" w:sz="4" w:space="0" w:color="auto"/>
            </w:tcBorders>
            <w:shd w:val="clear" w:color="auto" w:fill="D6E3BC"/>
            <w:vAlign w:val="center"/>
          </w:tcPr>
          <w:p w14:paraId="6C54D5AC" w14:textId="77777777" w:rsidR="002B1603" w:rsidRPr="00A07F29" w:rsidRDefault="002B1603" w:rsidP="00130C6F">
            <w:pPr>
              <w:keepNext/>
              <w:spacing w:before="80" w:after="80" w:line="240" w:lineRule="auto"/>
              <w:rPr>
                <w:rFonts w:ascii="Times New Roman" w:eastAsia="Times New Roman" w:hAnsi="Times New Roman" w:cs="Times New Roman"/>
                <w:b/>
                <w:color w:val="000000"/>
                <w:sz w:val="20"/>
                <w:lang w:eastAsia="en-GB"/>
              </w:rPr>
            </w:pPr>
            <w:r w:rsidRPr="00A07F29">
              <w:rPr>
                <w:rFonts w:ascii="Times New Roman" w:eastAsia="Times New Roman" w:hAnsi="Times New Roman" w:cs="Times New Roman"/>
                <w:b/>
                <w:color w:val="000000"/>
                <w:sz w:val="20"/>
                <w:lang w:eastAsia="en-GB"/>
              </w:rPr>
              <w:t>Sugas stāvoklis Latvijā*</w:t>
            </w:r>
          </w:p>
        </w:tc>
        <w:tc>
          <w:tcPr>
            <w:tcW w:w="1299" w:type="pct"/>
            <w:tcBorders>
              <w:bottom w:val="single" w:sz="4" w:space="0" w:color="auto"/>
            </w:tcBorders>
            <w:shd w:val="clear" w:color="auto" w:fill="D6E3BC"/>
            <w:vAlign w:val="center"/>
          </w:tcPr>
          <w:p w14:paraId="0D960B38" w14:textId="77777777" w:rsidR="002B1603" w:rsidRPr="00A07F29" w:rsidRDefault="002B1603" w:rsidP="00130C6F">
            <w:pPr>
              <w:keepNext/>
              <w:spacing w:before="80" w:after="80" w:line="240" w:lineRule="auto"/>
              <w:rPr>
                <w:rFonts w:ascii="Times New Roman" w:hAnsi="Times New Roman" w:cs="Times New Roman"/>
                <w:b/>
                <w:color w:val="000000"/>
                <w:sz w:val="20"/>
              </w:rPr>
            </w:pPr>
            <w:r w:rsidRPr="00A07F29">
              <w:rPr>
                <w:rFonts w:ascii="Times New Roman" w:hAnsi="Times New Roman" w:cs="Times New Roman"/>
                <w:b/>
                <w:color w:val="000000"/>
                <w:sz w:val="20"/>
              </w:rPr>
              <w:t>Sastopamība teritorijā</w:t>
            </w:r>
          </w:p>
        </w:tc>
      </w:tr>
      <w:tr w:rsidR="002B1603" w:rsidRPr="00A07F29" w14:paraId="3FE85A76" w14:textId="77777777" w:rsidTr="00130C6F">
        <w:trPr>
          <w:trHeight w:val="20"/>
          <w:jc w:val="center"/>
        </w:trPr>
        <w:tc>
          <w:tcPr>
            <w:tcW w:w="833" w:type="pct"/>
            <w:shd w:val="clear" w:color="auto" w:fill="auto"/>
            <w:noWrap/>
          </w:tcPr>
          <w:p w14:paraId="1C6F255F" w14:textId="77777777" w:rsidR="002B1603" w:rsidRPr="00A07F29" w:rsidRDefault="002B1603" w:rsidP="00C61B51">
            <w:pPr>
              <w:spacing w:before="80" w:after="80" w:line="240" w:lineRule="auto"/>
              <w:rPr>
                <w:rFonts w:ascii="Times New Roman" w:hAnsi="Times New Roman" w:cs="Times New Roman"/>
                <w:color w:val="000000"/>
                <w:sz w:val="20"/>
              </w:rPr>
            </w:pPr>
            <w:proofErr w:type="spellStart"/>
            <w:r w:rsidRPr="00A07F29">
              <w:rPr>
                <w:rFonts w:ascii="Times New Roman" w:hAnsi="Times New Roman" w:cs="Times New Roman"/>
                <w:color w:val="000000"/>
                <w:sz w:val="20"/>
              </w:rPr>
              <w:t>Sīkpunktainā</w:t>
            </w:r>
            <w:proofErr w:type="spellEnd"/>
            <w:r w:rsidRPr="00A07F29">
              <w:rPr>
                <w:rFonts w:ascii="Times New Roman" w:hAnsi="Times New Roman" w:cs="Times New Roman"/>
                <w:color w:val="000000"/>
                <w:sz w:val="20"/>
              </w:rPr>
              <w:t xml:space="preserve"> </w:t>
            </w:r>
            <w:proofErr w:type="spellStart"/>
            <w:r w:rsidRPr="00A07F29">
              <w:rPr>
                <w:rFonts w:ascii="Times New Roman" w:hAnsi="Times New Roman" w:cs="Times New Roman"/>
                <w:color w:val="000000"/>
                <w:sz w:val="20"/>
              </w:rPr>
              <w:t>artonija</w:t>
            </w:r>
            <w:proofErr w:type="spellEnd"/>
          </w:p>
        </w:tc>
        <w:tc>
          <w:tcPr>
            <w:tcW w:w="870" w:type="pct"/>
            <w:shd w:val="clear" w:color="auto" w:fill="auto"/>
            <w:noWrap/>
          </w:tcPr>
          <w:p w14:paraId="6EF979DC" w14:textId="77777777" w:rsidR="002B1603" w:rsidRPr="00A07F29" w:rsidRDefault="002B1603" w:rsidP="00C61B51">
            <w:pPr>
              <w:spacing w:before="80" w:after="80" w:line="240" w:lineRule="auto"/>
              <w:rPr>
                <w:rFonts w:ascii="Times New Roman" w:hAnsi="Times New Roman" w:cs="Times New Roman"/>
                <w:iCs/>
                <w:color w:val="000000"/>
                <w:sz w:val="20"/>
              </w:rPr>
            </w:pPr>
            <w:proofErr w:type="spellStart"/>
            <w:r w:rsidRPr="00A07F29">
              <w:rPr>
                <w:rFonts w:ascii="Times New Roman" w:hAnsi="Times New Roman" w:cs="Times New Roman"/>
                <w:i/>
                <w:iCs/>
                <w:color w:val="000000"/>
                <w:sz w:val="20"/>
              </w:rPr>
              <w:t>Arthonia</w:t>
            </w:r>
            <w:proofErr w:type="spellEnd"/>
            <w:r w:rsidRPr="00A07F29">
              <w:rPr>
                <w:rFonts w:ascii="Times New Roman" w:hAnsi="Times New Roman" w:cs="Times New Roman"/>
                <w:i/>
                <w:iCs/>
                <w:color w:val="000000"/>
                <w:sz w:val="20"/>
              </w:rPr>
              <w:t xml:space="preserve"> </w:t>
            </w:r>
            <w:proofErr w:type="spellStart"/>
            <w:r w:rsidRPr="00A07F29">
              <w:rPr>
                <w:rFonts w:ascii="Times New Roman" w:hAnsi="Times New Roman" w:cs="Times New Roman"/>
                <w:i/>
                <w:iCs/>
                <w:color w:val="000000"/>
                <w:sz w:val="20"/>
              </w:rPr>
              <w:t>byssacea</w:t>
            </w:r>
            <w:proofErr w:type="spellEnd"/>
            <w:r w:rsidRPr="00A07F29">
              <w:rPr>
                <w:rFonts w:ascii="Times New Roman" w:hAnsi="Times New Roman" w:cs="Times New Roman"/>
                <w:iCs/>
                <w:color w:val="000000"/>
                <w:sz w:val="20"/>
              </w:rPr>
              <w:t xml:space="preserve"> (</w:t>
            </w:r>
            <w:proofErr w:type="spellStart"/>
            <w:r w:rsidRPr="00A07F29">
              <w:rPr>
                <w:rFonts w:ascii="Times New Roman" w:hAnsi="Times New Roman" w:cs="Times New Roman"/>
                <w:iCs/>
                <w:color w:val="000000"/>
                <w:sz w:val="20"/>
              </w:rPr>
              <w:t>Weigel</w:t>
            </w:r>
            <w:proofErr w:type="spellEnd"/>
            <w:r w:rsidRPr="00A07F29">
              <w:rPr>
                <w:rFonts w:ascii="Times New Roman" w:hAnsi="Times New Roman" w:cs="Times New Roman"/>
                <w:iCs/>
                <w:color w:val="000000"/>
                <w:sz w:val="20"/>
              </w:rPr>
              <w:t xml:space="preserve">) </w:t>
            </w:r>
            <w:proofErr w:type="spellStart"/>
            <w:r w:rsidRPr="00A07F29">
              <w:rPr>
                <w:rFonts w:ascii="Times New Roman" w:hAnsi="Times New Roman" w:cs="Times New Roman"/>
                <w:iCs/>
                <w:color w:val="000000"/>
                <w:sz w:val="20"/>
              </w:rPr>
              <w:t>Almq</w:t>
            </w:r>
            <w:proofErr w:type="spellEnd"/>
            <w:r w:rsidRPr="00A07F29">
              <w:rPr>
                <w:rFonts w:ascii="Times New Roman" w:hAnsi="Times New Roman" w:cs="Times New Roman"/>
                <w:iCs/>
                <w:color w:val="000000"/>
                <w:sz w:val="20"/>
              </w:rPr>
              <w:t>.</w:t>
            </w:r>
          </w:p>
        </w:tc>
        <w:tc>
          <w:tcPr>
            <w:tcW w:w="531" w:type="pct"/>
            <w:shd w:val="clear" w:color="auto" w:fill="auto"/>
            <w:noWrap/>
          </w:tcPr>
          <w:p w14:paraId="73C4F0A5" w14:textId="77777777" w:rsidR="002B1603" w:rsidRPr="00A07F29" w:rsidRDefault="002B1603" w:rsidP="00C61B51">
            <w:pPr>
              <w:spacing w:before="80" w:after="80" w:line="240" w:lineRule="auto"/>
              <w:jc w:val="center"/>
              <w:rPr>
                <w:rFonts w:ascii="Times New Roman" w:hAnsi="Times New Roman" w:cs="Times New Roman"/>
                <w:color w:val="000000"/>
                <w:sz w:val="20"/>
              </w:rPr>
            </w:pPr>
            <w:r w:rsidRPr="00A07F29">
              <w:rPr>
                <w:rFonts w:ascii="Times New Roman" w:hAnsi="Times New Roman" w:cs="Times New Roman"/>
                <w:color w:val="000000"/>
                <w:sz w:val="20"/>
              </w:rPr>
              <w:t>ĪAS (1), MIK</w:t>
            </w:r>
          </w:p>
        </w:tc>
        <w:tc>
          <w:tcPr>
            <w:tcW w:w="560" w:type="pct"/>
            <w:shd w:val="clear" w:color="auto" w:fill="auto"/>
            <w:noWrap/>
          </w:tcPr>
          <w:p w14:paraId="6550D05E" w14:textId="77777777" w:rsidR="002B1603" w:rsidRPr="00A07F29" w:rsidRDefault="002B1603" w:rsidP="00C61B51">
            <w:pPr>
              <w:spacing w:before="80" w:after="80" w:line="240" w:lineRule="auto"/>
              <w:rPr>
                <w:rFonts w:ascii="Times New Roman" w:hAnsi="Times New Roman" w:cs="Times New Roman"/>
                <w:color w:val="000000"/>
                <w:sz w:val="20"/>
              </w:rPr>
            </w:pPr>
            <w:r w:rsidRPr="00A07F29">
              <w:rPr>
                <w:rFonts w:ascii="Times New Roman" w:hAnsi="Times New Roman" w:cs="Times New Roman"/>
                <w:color w:val="000000"/>
                <w:sz w:val="20"/>
              </w:rPr>
              <w:t>MAB (BSS)</w:t>
            </w:r>
          </w:p>
        </w:tc>
        <w:tc>
          <w:tcPr>
            <w:tcW w:w="907" w:type="pct"/>
          </w:tcPr>
          <w:p w14:paraId="68568BAD" w14:textId="4E950DCF" w:rsidR="002B1603" w:rsidRPr="00A07F29" w:rsidRDefault="002B1603" w:rsidP="00C61B51">
            <w:pPr>
              <w:spacing w:before="80" w:after="80" w:line="240" w:lineRule="auto"/>
              <w:jc w:val="both"/>
              <w:rPr>
                <w:rFonts w:ascii="Times New Roman" w:hAnsi="Times New Roman" w:cs="Times New Roman"/>
                <w:sz w:val="20"/>
              </w:rPr>
            </w:pPr>
            <w:r w:rsidRPr="00A07F29">
              <w:rPr>
                <w:rFonts w:ascii="Times New Roman" w:hAnsi="Times New Roman" w:cs="Times New Roman"/>
                <w:sz w:val="20"/>
              </w:rPr>
              <w:t xml:space="preserve">Sastopama samērā reti visā Latvijas teritorijā. Biežāk suga sastopama labas un izcilas </w:t>
            </w:r>
            <w:r w:rsidRPr="00A07F29">
              <w:rPr>
                <w:rFonts w:ascii="Times New Roman" w:hAnsi="Times New Roman" w:cs="Times New Roman"/>
                <w:sz w:val="20"/>
              </w:rPr>
              <w:lastRenderedPageBreak/>
              <w:t>kvalitātes DMB, kur dominē platlapji. (Āboliņa</w:t>
            </w:r>
            <w:r w:rsidR="00204B25">
              <w:rPr>
                <w:rFonts w:ascii="Times New Roman" w:hAnsi="Times New Roman" w:cs="Times New Roman"/>
                <w:sz w:val="20"/>
              </w:rPr>
              <w:t xml:space="preserve"> A.</w:t>
            </w:r>
            <w:r w:rsidRPr="00A07F29">
              <w:rPr>
                <w:rFonts w:ascii="Times New Roman" w:hAnsi="Times New Roman" w:cs="Times New Roman"/>
                <w:sz w:val="20"/>
              </w:rPr>
              <w:t xml:space="preserve"> </w:t>
            </w:r>
            <w:proofErr w:type="spellStart"/>
            <w:r w:rsidRPr="00A07F29">
              <w:rPr>
                <w:rFonts w:ascii="Times New Roman" w:hAnsi="Times New Roman" w:cs="Times New Roman"/>
                <w:sz w:val="20"/>
              </w:rPr>
              <w:t>et</w:t>
            </w:r>
            <w:proofErr w:type="spellEnd"/>
            <w:r w:rsidRPr="00A07F29">
              <w:rPr>
                <w:rFonts w:ascii="Times New Roman" w:hAnsi="Times New Roman" w:cs="Times New Roman"/>
                <w:sz w:val="20"/>
              </w:rPr>
              <w:t xml:space="preserve"> </w:t>
            </w:r>
            <w:proofErr w:type="spellStart"/>
            <w:r w:rsidRPr="00A07F29">
              <w:rPr>
                <w:rFonts w:ascii="Times New Roman" w:hAnsi="Times New Roman" w:cs="Times New Roman"/>
                <w:sz w:val="20"/>
              </w:rPr>
              <w:t>a</w:t>
            </w:r>
            <w:r w:rsidR="00204B25">
              <w:rPr>
                <w:rFonts w:ascii="Times New Roman" w:hAnsi="Times New Roman" w:cs="Times New Roman"/>
                <w:sz w:val="20"/>
              </w:rPr>
              <w:t>l</w:t>
            </w:r>
            <w:proofErr w:type="spellEnd"/>
            <w:r w:rsidR="00204B25">
              <w:rPr>
                <w:rFonts w:ascii="Times New Roman" w:hAnsi="Times New Roman" w:cs="Times New Roman"/>
                <w:sz w:val="20"/>
              </w:rPr>
              <w:t>,</w:t>
            </w:r>
            <w:r w:rsidRPr="00A07F29">
              <w:rPr>
                <w:rFonts w:ascii="Times New Roman" w:hAnsi="Times New Roman" w:cs="Times New Roman"/>
                <w:sz w:val="20"/>
              </w:rPr>
              <w:t xml:space="preserve"> 2015, </w:t>
            </w:r>
            <w:proofErr w:type="spellStart"/>
            <w:r w:rsidRPr="00A07F29">
              <w:rPr>
                <w:rFonts w:ascii="Times New Roman" w:hAnsi="Times New Roman" w:cs="Times New Roman"/>
                <w:sz w:val="20"/>
              </w:rPr>
              <w:t>Moisejevs</w:t>
            </w:r>
            <w:proofErr w:type="spellEnd"/>
            <w:r w:rsidR="00204B25">
              <w:rPr>
                <w:rFonts w:ascii="Times New Roman" w:hAnsi="Times New Roman" w:cs="Times New Roman"/>
                <w:sz w:val="20"/>
              </w:rPr>
              <w:t xml:space="preserve"> R.</w:t>
            </w:r>
            <w:r w:rsidRPr="00A07F29">
              <w:rPr>
                <w:rFonts w:ascii="Times New Roman" w:hAnsi="Times New Roman" w:cs="Times New Roman"/>
                <w:sz w:val="20"/>
              </w:rPr>
              <w:t>, 2017b)</w:t>
            </w:r>
          </w:p>
        </w:tc>
        <w:tc>
          <w:tcPr>
            <w:tcW w:w="1299" w:type="pct"/>
            <w:shd w:val="clear" w:color="auto" w:fill="auto"/>
          </w:tcPr>
          <w:p w14:paraId="5B394A68" w14:textId="77777777" w:rsidR="002B1603" w:rsidRPr="00A07F29" w:rsidRDefault="002B1603" w:rsidP="00C61B51">
            <w:pPr>
              <w:spacing w:before="80" w:after="80" w:line="240" w:lineRule="auto"/>
              <w:jc w:val="both"/>
              <w:rPr>
                <w:rFonts w:ascii="Times New Roman" w:hAnsi="Times New Roman" w:cs="Times New Roman"/>
                <w:color w:val="000000"/>
                <w:sz w:val="20"/>
              </w:rPr>
            </w:pPr>
            <w:r w:rsidRPr="00A07F29">
              <w:rPr>
                <w:rFonts w:ascii="Times New Roman" w:hAnsi="Times New Roman" w:cs="Times New Roman"/>
                <w:color w:val="000000"/>
                <w:sz w:val="20"/>
              </w:rPr>
              <w:lastRenderedPageBreak/>
              <w:t xml:space="preserve">AAA “Augšdaugava” teritorijā suga sastopama lokāli. Viena populācija konstatēta nogāžu un gravu </w:t>
            </w:r>
            <w:r w:rsidRPr="00A07F29">
              <w:rPr>
                <w:rFonts w:ascii="Times New Roman" w:hAnsi="Times New Roman" w:cs="Times New Roman"/>
                <w:color w:val="000000"/>
                <w:sz w:val="20"/>
              </w:rPr>
              <w:lastRenderedPageBreak/>
              <w:t xml:space="preserve">mežā netālu no </w:t>
            </w:r>
            <w:proofErr w:type="spellStart"/>
            <w:r w:rsidRPr="00A07F29">
              <w:rPr>
                <w:rFonts w:ascii="Times New Roman" w:hAnsi="Times New Roman" w:cs="Times New Roman"/>
                <w:color w:val="000000"/>
                <w:sz w:val="20"/>
              </w:rPr>
              <w:t>Juzefovas</w:t>
            </w:r>
            <w:proofErr w:type="spellEnd"/>
            <w:r w:rsidRPr="00A07F29">
              <w:rPr>
                <w:rFonts w:ascii="Times New Roman" w:hAnsi="Times New Roman" w:cs="Times New Roman"/>
                <w:color w:val="000000"/>
                <w:sz w:val="20"/>
              </w:rPr>
              <w:t xml:space="preserve"> parka.</w:t>
            </w:r>
          </w:p>
        </w:tc>
      </w:tr>
      <w:tr w:rsidR="002B1603" w:rsidRPr="00A07F29" w14:paraId="28E8A560" w14:textId="77777777" w:rsidTr="00130C6F">
        <w:trPr>
          <w:trHeight w:val="20"/>
          <w:jc w:val="center"/>
        </w:trPr>
        <w:tc>
          <w:tcPr>
            <w:tcW w:w="833" w:type="pct"/>
            <w:shd w:val="clear" w:color="auto" w:fill="auto"/>
            <w:noWrap/>
          </w:tcPr>
          <w:p w14:paraId="4FE3432C" w14:textId="77777777" w:rsidR="002B1603" w:rsidRPr="00A07F29" w:rsidRDefault="002B1603" w:rsidP="00C61B51">
            <w:pPr>
              <w:spacing w:before="80" w:after="80" w:line="240" w:lineRule="auto"/>
              <w:rPr>
                <w:rFonts w:ascii="Times New Roman" w:hAnsi="Times New Roman" w:cs="Times New Roman"/>
                <w:color w:val="000000"/>
                <w:sz w:val="20"/>
              </w:rPr>
            </w:pPr>
            <w:r w:rsidRPr="00A07F29">
              <w:rPr>
                <w:rFonts w:ascii="Times New Roman" w:hAnsi="Times New Roman" w:cs="Times New Roman"/>
                <w:color w:val="000000"/>
                <w:sz w:val="20"/>
              </w:rPr>
              <w:lastRenderedPageBreak/>
              <w:t xml:space="preserve">Kastaņbrūnā </w:t>
            </w:r>
            <w:proofErr w:type="spellStart"/>
            <w:r w:rsidRPr="00A07F29">
              <w:rPr>
                <w:rFonts w:ascii="Times New Roman" w:hAnsi="Times New Roman" w:cs="Times New Roman"/>
                <w:color w:val="000000"/>
                <w:sz w:val="20"/>
              </w:rPr>
              <w:t>artonija</w:t>
            </w:r>
            <w:proofErr w:type="spellEnd"/>
          </w:p>
        </w:tc>
        <w:tc>
          <w:tcPr>
            <w:tcW w:w="870" w:type="pct"/>
            <w:shd w:val="clear" w:color="auto" w:fill="auto"/>
            <w:noWrap/>
          </w:tcPr>
          <w:p w14:paraId="5C94D4CF" w14:textId="77777777" w:rsidR="002B1603" w:rsidRPr="00A07F29" w:rsidRDefault="002B1603" w:rsidP="00C61B51">
            <w:pPr>
              <w:spacing w:before="80" w:after="80" w:line="240" w:lineRule="auto"/>
              <w:rPr>
                <w:rFonts w:ascii="Times New Roman" w:hAnsi="Times New Roman" w:cs="Times New Roman"/>
                <w:i/>
                <w:iCs/>
                <w:color w:val="000000"/>
                <w:sz w:val="20"/>
              </w:rPr>
            </w:pPr>
            <w:proofErr w:type="spellStart"/>
            <w:r w:rsidRPr="00A07F29">
              <w:rPr>
                <w:rFonts w:ascii="Times New Roman" w:hAnsi="Times New Roman" w:cs="Times New Roman"/>
                <w:i/>
                <w:iCs/>
                <w:color w:val="000000"/>
                <w:sz w:val="20"/>
              </w:rPr>
              <w:t>Arthonia</w:t>
            </w:r>
            <w:proofErr w:type="spellEnd"/>
            <w:r w:rsidRPr="00A07F29">
              <w:rPr>
                <w:rFonts w:ascii="Times New Roman" w:hAnsi="Times New Roman" w:cs="Times New Roman"/>
                <w:i/>
                <w:iCs/>
                <w:color w:val="000000"/>
                <w:sz w:val="20"/>
              </w:rPr>
              <w:t xml:space="preserve"> </w:t>
            </w:r>
            <w:proofErr w:type="spellStart"/>
            <w:r w:rsidRPr="00A07F29">
              <w:rPr>
                <w:rFonts w:ascii="Times New Roman" w:hAnsi="Times New Roman" w:cs="Times New Roman"/>
                <w:i/>
                <w:iCs/>
                <w:color w:val="000000"/>
                <w:sz w:val="20"/>
              </w:rPr>
              <w:t>spadicea</w:t>
            </w:r>
            <w:proofErr w:type="spellEnd"/>
            <w:r w:rsidRPr="00A07F29">
              <w:rPr>
                <w:rFonts w:ascii="Times New Roman" w:hAnsi="Times New Roman" w:cs="Times New Roman"/>
                <w:i/>
                <w:iCs/>
                <w:color w:val="000000"/>
                <w:sz w:val="20"/>
              </w:rPr>
              <w:t xml:space="preserve"> </w:t>
            </w:r>
            <w:proofErr w:type="spellStart"/>
            <w:r w:rsidRPr="00A07F29">
              <w:rPr>
                <w:rFonts w:ascii="Times New Roman" w:hAnsi="Times New Roman" w:cs="Times New Roman"/>
                <w:iCs/>
                <w:color w:val="000000"/>
                <w:sz w:val="20"/>
              </w:rPr>
              <w:t>Leight</w:t>
            </w:r>
            <w:proofErr w:type="spellEnd"/>
            <w:r w:rsidRPr="00A07F29">
              <w:rPr>
                <w:rFonts w:ascii="Times New Roman" w:hAnsi="Times New Roman" w:cs="Times New Roman"/>
                <w:iCs/>
                <w:color w:val="000000"/>
                <w:sz w:val="20"/>
              </w:rPr>
              <w:t>.</w:t>
            </w:r>
          </w:p>
        </w:tc>
        <w:tc>
          <w:tcPr>
            <w:tcW w:w="531" w:type="pct"/>
            <w:shd w:val="clear" w:color="auto" w:fill="auto"/>
            <w:noWrap/>
          </w:tcPr>
          <w:p w14:paraId="54B503A2" w14:textId="77777777" w:rsidR="002B1603" w:rsidRPr="00A07F29" w:rsidRDefault="002B1603" w:rsidP="00C61B51">
            <w:pPr>
              <w:spacing w:before="80" w:after="80" w:line="240" w:lineRule="auto"/>
              <w:jc w:val="center"/>
              <w:rPr>
                <w:rFonts w:ascii="Times New Roman" w:hAnsi="Times New Roman" w:cs="Times New Roman"/>
                <w:color w:val="000000"/>
                <w:sz w:val="20"/>
              </w:rPr>
            </w:pPr>
            <w:r w:rsidRPr="00A07F29">
              <w:rPr>
                <w:rFonts w:ascii="Times New Roman" w:hAnsi="Times New Roman" w:cs="Times New Roman"/>
                <w:color w:val="000000"/>
                <w:sz w:val="20"/>
              </w:rPr>
              <w:t>ĪAS (1)</w:t>
            </w:r>
          </w:p>
        </w:tc>
        <w:tc>
          <w:tcPr>
            <w:tcW w:w="560" w:type="pct"/>
            <w:shd w:val="clear" w:color="auto" w:fill="auto"/>
            <w:noWrap/>
          </w:tcPr>
          <w:p w14:paraId="3F59300C" w14:textId="77777777" w:rsidR="002B1603" w:rsidRPr="00A07F29" w:rsidRDefault="002B1603" w:rsidP="00C61B51">
            <w:pPr>
              <w:spacing w:before="80" w:after="80" w:line="240" w:lineRule="auto"/>
              <w:rPr>
                <w:rFonts w:ascii="Times New Roman" w:hAnsi="Times New Roman" w:cs="Times New Roman"/>
                <w:color w:val="000000"/>
                <w:sz w:val="20"/>
              </w:rPr>
            </w:pPr>
            <w:r w:rsidRPr="00A07F29">
              <w:rPr>
                <w:rFonts w:ascii="Times New Roman" w:hAnsi="Times New Roman" w:cs="Times New Roman"/>
                <w:sz w:val="20"/>
              </w:rPr>
              <w:t>MAB (IS)</w:t>
            </w:r>
          </w:p>
        </w:tc>
        <w:tc>
          <w:tcPr>
            <w:tcW w:w="907" w:type="pct"/>
          </w:tcPr>
          <w:p w14:paraId="5B95202A" w14:textId="6F733563" w:rsidR="002B1603" w:rsidRPr="00A07F29" w:rsidRDefault="002B1603" w:rsidP="00C61B51">
            <w:pPr>
              <w:spacing w:before="80" w:after="80" w:line="240" w:lineRule="auto"/>
              <w:jc w:val="both"/>
              <w:rPr>
                <w:rFonts w:ascii="Times New Roman" w:hAnsi="Times New Roman" w:cs="Times New Roman"/>
                <w:sz w:val="20"/>
              </w:rPr>
            </w:pPr>
            <w:r w:rsidRPr="00A07F29">
              <w:rPr>
                <w:rFonts w:ascii="Times New Roman" w:hAnsi="Times New Roman" w:cs="Times New Roman"/>
                <w:sz w:val="20"/>
              </w:rPr>
              <w:t xml:space="preserve">Suga sastopama bieži visā Latvijā (Āboliņa </w:t>
            </w:r>
            <w:r w:rsidR="00204B25">
              <w:rPr>
                <w:rFonts w:ascii="Times New Roman" w:hAnsi="Times New Roman" w:cs="Times New Roman"/>
                <w:sz w:val="20"/>
              </w:rPr>
              <w:t xml:space="preserve">A. </w:t>
            </w:r>
            <w:proofErr w:type="spellStart"/>
            <w:r w:rsidRPr="00A07F29">
              <w:rPr>
                <w:rFonts w:ascii="Times New Roman" w:hAnsi="Times New Roman" w:cs="Times New Roman"/>
                <w:sz w:val="20"/>
              </w:rPr>
              <w:t>et</w:t>
            </w:r>
            <w:proofErr w:type="spellEnd"/>
            <w:r w:rsidRPr="00A07F29">
              <w:rPr>
                <w:rFonts w:ascii="Times New Roman" w:hAnsi="Times New Roman" w:cs="Times New Roman"/>
                <w:sz w:val="20"/>
              </w:rPr>
              <w:t xml:space="preserve"> </w:t>
            </w:r>
            <w:proofErr w:type="spellStart"/>
            <w:r w:rsidRPr="00A07F29">
              <w:rPr>
                <w:rFonts w:ascii="Times New Roman" w:hAnsi="Times New Roman" w:cs="Times New Roman"/>
                <w:sz w:val="20"/>
              </w:rPr>
              <w:t>a</w:t>
            </w:r>
            <w:r w:rsidR="00204B25">
              <w:rPr>
                <w:rFonts w:ascii="Times New Roman" w:hAnsi="Times New Roman" w:cs="Times New Roman"/>
                <w:sz w:val="20"/>
              </w:rPr>
              <w:t>l</w:t>
            </w:r>
            <w:proofErr w:type="spellEnd"/>
            <w:r w:rsidR="00204B25">
              <w:rPr>
                <w:rFonts w:ascii="Times New Roman" w:hAnsi="Times New Roman" w:cs="Times New Roman"/>
                <w:sz w:val="20"/>
              </w:rPr>
              <w:t>,</w:t>
            </w:r>
            <w:r w:rsidRPr="00A07F29">
              <w:rPr>
                <w:rFonts w:ascii="Times New Roman" w:hAnsi="Times New Roman" w:cs="Times New Roman"/>
                <w:sz w:val="20"/>
              </w:rPr>
              <w:t xml:space="preserve"> 2015, </w:t>
            </w:r>
            <w:proofErr w:type="spellStart"/>
            <w:r w:rsidRPr="00A07F29">
              <w:rPr>
                <w:rFonts w:ascii="Times New Roman" w:hAnsi="Times New Roman" w:cs="Times New Roman"/>
                <w:sz w:val="20"/>
              </w:rPr>
              <w:t>Moisejevs</w:t>
            </w:r>
            <w:proofErr w:type="spellEnd"/>
            <w:r w:rsidR="00204B25">
              <w:rPr>
                <w:rFonts w:ascii="Times New Roman" w:hAnsi="Times New Roman" w:cs="Times New Roman"/>
                <w:sz w:val="20"/>
              </w:rPr>
              <w:t xml:space="preserve"> R</w:t>
            </w:r>
            <w:r w:rsidRPr="00A07F29">
              <w:rPr>
                <w:rFonts w:ascii="Times New Roman" w:hAnsi="Times New Roman" w:cs="Times New Roman"/>
                <w:sz w:val="20"/>
              </w:rPr>
              <w:t>, 2017b).</w:t>
            </w:r>
          </w:p>
        </w:tc>
        <w:tc>
          <w:tcPr>
            <w:tcW w:w="1299" w:type="pct"/>
            <w:shd w:val="clear" w:color="auto" w:fill="auto"/>
          </w:tcPr>
          <w:p w14:paraId="02FFC301" w14:textId="77777777" w:rsidR="002B1603" w:rsidRPr="00A07F29" w:rsidRDefault="002B1603" w:rsidP="00C61B51">
            <w:pPr>
              <w:spacing w:before="80" w:after="80" w:line="240" w:lineRule="auto"/>
              <w:jc w:val="both"/>
              <w:rPr>
                <w:rFonts w:ascii="Times New Roman" w:hAnsi="Times New Roman" w:cs="Times New Roman"/>
                <w:color w:val="000000"/>
                <w:sz w:val="20"/>
              </w:rPr>
            </w:pPr>
            <w:r w:rsidRPr="00A07F29">
              <w:rPr>
                <w:rFonts w:ascii="Times New Roman" w:hAnsi="Times New Roman" w:cs="Times New Roman"/>
                <w:color w:val="000000"/>
                <w:sz w:val="20"/>
              </w:rPr>
              <w:t xml:space="preserve">AAA “Augšdaugava” teritorijā suga sastopama samērā reti. Viena populācija konstatēta Tartaka loka, Tartaka mežā, uz melnalkšņu mizas, mitrās melnalkšņu </w:t>
            </w:r>
            <w:proofErr w:type="spellStart"/>
            <w:r w:rsidRPr="00A07F29">
              <w:rPr>
                <w:rFonts w:ascii="Times New Roman" w:hAnsi="Times New Roman" w:cs="Times New Roman"/>
                <w:color w:val="000000"/>
                <w:sz w:val="20"/>
              </w:rPr>
              <w:t>ieplakā</w:t>
            </w:r>
            <w:proofErr w:type="spellEnd"/>
            <w:r w:rsidRPr="00A07F29">
              <w:rPr>
                <w:rFonts w:ascii="Times New Roman" w:hAnsi="Times New Roman" w:cs="Times New Roman"/>
                <w:color w:val="000000"/>
                <w:sz w:val="20"/>
              </w:rPr>
              <w:t>.</w:t>
            </w:r>
          </w:p>
        </w:tc>
      </w:tr>
      <w:tr w:rsidR="002B1603" w:rsidRPr="00A07F29" w14:paraId="4D991204" w14:textId="77777777" w:rsidTr="00130C6F">
        <w:trPr>
          <w:trHeight w:val="20"/>
          <w:jc w:val="center"/>
        </w:trPr>
        <w:tc>
          <w:tcPr>
            <w:tcW w:w="833" w:type="pct"/>
            <w:shd w:val="clear" w:color="auto" w:fill="auto"/>
            <w:noWrap/>
            <w:vAlign w:val="center"/>
          </w:tcPr>
          <w:p w14:paraId="001D2D92" w14:textId="77777777" w:rsidR="002B1603" w:rsidRPr="00A07F29" w:rsidRDefault="002B1603" w:rsidP="00C61B51">
            <w:pPr>
              <w:spacing w:before="80" w:after="80" w:line="240" w:lineRule="auto"/>
              <w:rPr>
                <w:rFonts w:ascii="Times New Roman" w:hAnsi="Times New Roman" w:cs="Times New Roman"/>
                <w:spacing w:val="-1"/>
                <w:sz w:val="20"/>
              </w:rPr>
            </w:pPr>
            <w:proofErr w:type="spellStart"/>
            <w:r w:rsidRPr="00A07F29">
              <w:rPr>
                <w:rFonts w:ascii="Times New Roman" w:hAnsi="Times New Roman" w:cs="Times New Roman"/>
                <w:spacing w:val="-1"/>
                <w:sz w:val="20"/>
              </w:rPr>
              <w:t>Vīnkrāsas</w:t>
            </w:r>
            <w:proofErr w:type="spellEnd"/>
            <w:r w:rsidRPr="00A07F29">
              <w:rPr>
                <w:rFonts w:ascii="Times New Roman" w:hAnsi="Times New Roman" w:cs="Times New Roman"/>
                <w:spacing w:val="-1"/>
                <w:sz w:val="20"/>
              </w:rPr>
              <w:t xml:space="preserve"> </w:t>
            </w:r>
            <w:proofErr w:type="spellStart"/>
            <w:r w:rsidRPr="00A07F29">
              <w:rPr>
                <w:rFonts w:ascii="Times New Roman" w:hAnsi="Times New Roman" w:cs="Times New Roman"/>
                <w:spacing w:val="-1"/>
                <w:sz w:val="20"/>
              </w:rPr>
              <w:t>artonija</w:t>
            </w:r>
            <w:proofErr w:type="spellEnd"/>
          </w:p>
        </w:tc>
        <w:tc>
          <w:tcPr>
            <w:tcW w:w="870" w:type="pct"/>
            <w:shd w:val="clear" w:color="auto" w:fill="auto"/>
            <w:noWrap/>
            <w:vAlign w:val="center"/>
          </w:tcPr>
          <w:p w14:paraId="7A69EE69" w14:textId="77777777" w:rsidR="002B1603" w:rsidRPr="00A07F29" w:rsidRDefault="002B1603" w:rsidP="00C61B51">
            <w:pPr>
              <w:spacing w:before="80" w:after="80" w:line="240" w:lineRule="auto"/>
              <w:rPr>
                <w:rFonts w:ascii="Times New Roman" w:hAnsi="Times New Roman" w:cs="Times New Roman"/>
                <w:i/>
                <w:sz w:val="20"/>
              </w:rPr>
            </w:pPr>
            <w:proofErr w:type="spellStart"/>
            <w:r w:rsidRPr="00A07F29">
              <w:rPr>
                <w:rFonts w:ascii="Times New Roman" w:hAnsi="Times New Roman" w:cs="Times New Roman"/>
                <w:i/>
                <w:sz w:val="20"/>
              </w:rPr>
              <w:t>Arthonia</w:t>
            </w:r>
            <w:proofErr w:type="spellEnd"/>
            <w:r w:rsidRPr="00A07F29">
              <w:rPr>
                <w:rFonts w:ascii="Times New Roman" w:hAnsi="Times New Roman" w:cs="Times New Roman"/>
                <w:i/>
                <w:sz w:val="20"/>
              </w:rPr>
              <w:t xml:space="preserve"> </w:t>
            </w:r>
            <w:proofErr w:type="spellStart"/>
            <w:r w:rsidRPr="00A07F29">
              <w:rPr>
                <w:rFonts w:ascii="Times New Roman" w:hAnsi="Times New Roman" w:cs="Times New Roman"/>
                <w:i/>
                <w:sz w:val="20"/>
              </w:rPr>
              <w:t>vinosa</w:t>
            </w:r>
            <w:proofErr w:type="spellEnd"/>
            <w:r w:rsidRPr="00A07F29">
              <w:rPr>
                <w:rFonts w:ascii="Times New Roman" w:hAnsi="Times New Roman" w:cs="Times New Roman"/>
                <w:i/>
                <w:sz w:val="20"/>
              </w:rPr>
              <w:t xml:space="preserve"> </w:t>
            </w:r>
            <w:proofErr w:type="spellStart"/>
            <w:r w:rsidRPr="00A07F29">
              <w:rPr>
                <w:rFonts w:ascii="Times New Roman" w:hAnsi="Times New Roman" w:cs="Times New Roman"/>
                <w:sz w:val="20"/>
              </w:rPr>
              <w:t>Leight</w:t>
            </w:r>
            <w:proofErr w:type="spellEnd"/>
            <w:r w:rsidRPr="00A07F29">
              <w:rPr>
                <w:rFonts w:ascii="Times New Roman" w:hAnsi="Times New Roman" w:cs="Times New Roman"/>
                <w:sz w:val="20"/>
              </w:rPr>
              <w:t>.</w:t>
            </w:r>
          </w:p>
        </w:tc>
        <w:tc>
          <w:tcPr>
            <w:tcW w:w="531" w:type="pct"/>
            <w:shd w:val="clear" w:color="auto" w:fill="auto"/>
            <w:noWrap/>
            <w:vAlign w:val="center"/>
          </w:tcPr>
          <w:p w14:paraId="4CEC3113" w14:textId="77777777" w:rsidR="002B1603" w:rsidRPr="00A07F29" w:rsidRDefault="002B1603" w:rsidP="00C61B51">
            <w:pPr>
              <w:spacing w:before="80" w:after="80" w:line="240" w:lineRule="auto"/>
              <w:jc w:val="center"/>
              <w:rPr>
                <w:rFonts w:ascii="Times New Roman" w:hAnsi="Times New Roman" w:cs="Times New Roman"/>
                <w:sz w:val="20"/>
              </w:rPr>
            </w:pPr>
            <w:r w:rsidRPr="00A07F29">
              <w:rPr>
                <w:rFonts w:ascii="Times New Roman" w:hAnsi="Times New Roman" w:cs="Times New Roman"/>
                <w:color w:val="000000"/>
                <w:sz w:val="20"/>
              </w:rPr>
              <w:t>ĪAS (1)</w:t>
            </w:r>
          </w:p>
        </w:tc>
        <w:tc>
          <w:tcPr>
            <w:tcW w:w="560" w:type="pct"/>
            <w:shd w:val="clear" w:color="auto" w:fill="auto"/>
            <w:noWrap/>
            <w:vAlign w:val="center"/>
          </w:tcPr>
          <w:p w14:paraId="1C238297" w14:textId="77777777" w:rsidR="002B1603" w:rsidRPr="00A07F29" w:rsidRDefault="002B1603" w:rsidP="00C61B51">
            <w:pPr>
              <w:spacing w:before="80" w:after="80" w:line="240" w:lineRule="auto"/>
              <w:rPr>
                <w:rFonts w:ascii="Times New Roman" w:hAnsi="Times New Roman" w:cs="Times New Roman"/>
                <w:sz w:val="20"/>
              </w:rPr>
            </w:pPr>
            <w:r w:rsidRPr="00A07F29">
              <w:rPr>
                <w:rFonts w:ascii="Times New Roman" w:hAnsi="Times New Roman" w:cs="Times New Roman"/>
                <w:sz w:val="20"/>
              </w:rPr>
              <w:t>MAB (IS)</w:t>
            </w:r>
          </w:p>
        </w:tc>
        <w:tc>
          <w:tcPr>
            <w:tcW w:w="907" w:type="pct"/>
          </w:tcPr>
          <w:p w14:paraId="1955A8C9" w14:textId="23E6552A" w:rsidR="002B1603" w:rsidRPr="00A07F29" w:rsidRDefault="002B1603" w:rsidP="00C61B51">
            <w:pPr>
              <w:spacing w:before="80" w:after="80" w:line="240" w:lineRule="auto"/>
              <w:jc w:val="both"/>
              <w:rPr>
                <w:rFonts w:ascii="Times New Roman" w:hAnsi="Times New Roman" w:cs="Times New Roman"/>
                <w:color w:val="000000"/>
                <w:sz w:val="20"/>
              </w:rPr>
            </w:pPr>
            <w:r w:rsidRPr="00A07F29">
              <w:rPr>
                <w:rFonts w:ascii="Times New Roman" w:hAnsi="Times New Roman" w:cs="Times New Roman"/>
                <w:color w:val="000000"/>
                <w:sz w:val="20"/>
              </w:rPr>
              <w:t>Suga sastopama visā Latvijā, samērā reti. (</w:t>
            </w:r>
            <w:proofErr w:type="spellStart"/>
            <w:r w:rsidRPr="00A07F29">
              <w:rPr>
                <w:rFonts w:ascii="Times New Roman" w:hAnsi="Times New Roman" w:cs="Times New Roman"/>
                <w:color w:val="000000"/>
                <w:sz w:val="20"/>
              </w:rPr>
              <w:t>Moisejevs</w:t>
            </w:r>
            <w:proofErr w:type="spellEnd"/>
            <w:r w:rsidR="00204B25">
              <w:rPr>
                <w:rFonts w:ascii="Times New Roman" w:hAnsi="Times New Roman" w:cs="Times New Roman"/>
                <w:color w:val="000000"/>
                <w:sz w:val="20"/>
              </w:rPr>
              <w:t xml:space="preserve"> R.</w:t>
            </w:r>
            <w:r w:rsidRPr="00A07F29">
              <w:rPr>
                <w:rFonts w:ascii="Times New Roman" w:hAnsi="Times New Roman" w:cs="Times New Roman"/>
                <w:color w:val="000000"/>
                <w:sz w:val="20"/>
              </w:rPr>
              <w:t>, 2017b).</w:t>
            </w:r>
          </w:p>
        </w:tc>
        <w:tc>
          <w:tcPr>
            <w:tcW w:w="1299" w:type="pct"/>
            <w:shd w:val="clear" w:color="auto" w:fill="auto"/>
          </w:tcPr>
          <w:p w14:paraId="0638D6E7" w14:textId="77777777" w:rsidR="002B1603" w:rsidRPr="00A07F29" w:rsidRDefault="002B1603" w:rsidP="00C61B51">
            <w:pPr>
              <w:spacing w:before="80" w:after="80" w:line="240" w:lineRule="auto"/>
              <w:jc w:val="both"/>
              <w:rPr>
                <w:rFonts w:ascii="Times New Roman" w:hAnsi="Times New Roman" w:cs="Times New Roman"/>
                <w:color w:val="000000"/>
                <w:sz w:val="20"/>
              </w:rPr>
            </w:pPr>
            <w:r w:rsidRPr="00A07F29">
              <w:rPr>
                <w:rFonts w:ascii="Times New Roman" w:hAnsi="Times New Roman" w:cs="Times New Roman"/>
                <w:color w:val="000000"/>
                <w:sz w:val="20"/>
              </w:rPr>
              <w:t xml:space="preserve">AAA “Augšdaugava” teritorijā suga sastopama reti, lokāli. Viena populācija konstatēta Daugavas kreisajā krastā sugai nepiemērotā biotopā. </w:t>
            </w:r>
          </w:p>
        </w:tc>
      </w:tr>
      <w:tr w:rsidR="002B1603" w:rsidRPr="00A07F29" w14:paraId="15E34001" w14:textId="77777777" w:rsidTr="00130C6F">
        <w:trPr>
          <w:trHeight w:val="20"/>
          <w:jc w:val="center"/>
        </w:trPr>
        <w:tc>
          <w:tcPr>
            <w:tcW w:w="833" w:type="pct"/>
            <w:shd w:val="clear" w:color="auto" w:fill="auto"/>
            <w:noWrap/>
            <w:vAlign w:val="center"/>
          </w:tcPr>
          <w:p w14:paraId="045502D7" w14:textId="77777777" w:rsidR="002B1603" w:rsidRPr="00A07F29" w:rsidRDefault="002B1603" w:rsidP="00C61B51">
            <w:pPr>
              <w:spacing w:before="80" w:after="80" w:line="240" w:lineRule="auto"/>
              <w:rPr>
                <w:rFonts w:ascii="Times New Roman" w:hAnsi="Times New Roman" w:cs="Times New Roman"/>
                <w:spacing w:val="-1"/>
                <w:sz w:val="20"/>
              </w:rPr>
            </w:pPr>
            <w:r w:rsidRPr="00A07F29">
              <w:rPr>
                <w:rFonts w:ascii="Times New Roman" w:hAnsi="Times New Roman" w:cs="Times New Roman"/>
                <w:spacing w:val="-1"/>
                <w:sz w:val="20"/>
              </w:rPr>
              <w:t xml:space="preserve">Zaļā </w:t>
            </w:r>
            <w:proofErr w:type="spellStart"/>
            <w:r w:rsidRPr="00A07F29">
              <w:rPr>
                <w:rFonts w:ascii="Times New Roman" w:hAnsi="Times New Roman" w:cs="Times New Roman"/>
                <w:spacing w:val="-1"/>
                <w:sz w:val="20"/>
              </w:rPr>
              <w:t>henotēka</w:t>
            </w:r>
            <w:proofErr w:type="spellEnd"/>
          </w:p>
        </w:tc>
        <w:tc>
          <w:tcPr>
            <w:tcW w:w="870" w:type="pct"/>
            <w:shd w:val="clear" w:color="auto" w:fill="auto"/>
            <w:noWrap/>
            <w:vAlign w:val="center"/>
          </w:tcPr>
          <w:p w14:paraId="4C5AAE59" w14:textId="77777777" w:rsidR="002B1603" w:rsidRPr="00A07F29" w:rsidRDefault="002B1603" w:rsidP="00C61B51">
            <w:pPr>
              <w:spacing w:before="80" w:after="80" w:line="240" w:lineRule="auto"/>
              <w:rPr>
                <w:rFonts w:ascii="Times New Roman" w:hAnsi="Times New Roman" w:cs="Times New Roman"/>
                <w:i/>
                <w:sz w:val="20"/>
              </w:rPr>
            </w:pPr>
            <w:proofErr w:type="spellStart"/>
            <w:r w:rsidRPr="00A07F29">
              <w:rPr>
                <w:rFonts w:ascii="Times New Roman" w:hAnsi="Times New Roman" w:cs="Times New Roman"/>
                <w:i/>
                <w:sz w:val="20"/>
              </w:rPr>
              <w:t>Chaenotheca</w:t>
            </w:r>
            <w:proofErr w:type="spellEnd"/>
            <w:r w:rsidRPr="00A07F29">
              <w:rPr>
                <w:rFonts w:ascii="Times New Roman" w:hAnsi="Times New Roman" w:cs="Times New Roman"/>
                <w:i/>
                <w:sz w:val="20"/>
              </w:rPr>
              <w:t xml:space="preserve"> </w:t>
            </w:r>
            <w:proofErr w:type="spellStart"/>
            <w:r w:rsidRPr="00A07F29">
              <w:rPr>
                <w:rFonts w:ascii="Times New Roman" w:hAnsi="Times New Roman" w:cs="Times New Roman"/>
                <w:i/>
                <w:sz w:val="20"/>
              </w:rPr>
              <w:t>chlorella</w:t>
            </w:r>
            <w:proofErr w:type="spellEnd"/>
          </w:p>
        </w:tc>
        <w:tc>
          <w:tcPr>
            <w:tcW w:w="531" w:type="pct"/>
            <w:shd w:val="clear" w:color="auto" w:fill="auto"/>
            <w:noWrap/>
            <w:vAlign w:val="center"/>
          </w:tcPr>
          <w:p w14:paraId="4DDF67AB" w14:textId="77777777" w:rsidR="002B1603" w:rsidRPr="00A07F29" w:rsidRDefault="002B1603" w:rsidP="00C61B51">
            <w:pPr>
              <w:spacing w:before="80" w:after="80" w:line="240" w:lineRule="auto"/>
              <w:jc w:val="center"/>
              <w:rPr>
                <w:rFonts w:ascii="Times New Roman" w:hAnsi="Times New Roman" w:cs="Times New Roman"/>
                <w:color w:val="000000"/>
                <w:sz w:val="20"/>
              </w:rPr>
            </w:pPr>
            <w:r w:rsidRPr="00A07F29">
              <w:rPr>
                <w:rFonts w:ascii="Times New Roman" w:hAnsi="Times New Roman" w:cs="Times New Roman"/>
                <w:color w:val="000000"/>
                <w:sz w:val="20"/>
              </w:rPr>
              <w:t>ĪAS (1), MIK</w:t>
            </w:r>
          </w:p>
        </w:tc>
        <w:tc>
          <w:tcPr>
            <w:tcW w:w="560" w:type="pct"/>
            <w:shd w:val="clear" w:color="auto" w:fill="auto"/>
            <w:noWrap/>
            <w:vAlign w:val="center"/>
          </w:tcPr>
          <w:p w14:paraId="0E98F513" w14:textId="77777777" w:rsidR="002B1603" w:rsidRPr="00A07F29" w:rsidRDefault="002B1603" w:rsidP="00C61B51">
            <w:pPr>
              <w:spacing w:before="80" w:after="80" w:line="240" w:lineRule="auto"/>
              <w:rPr>
                <w:rFonts w:ascii="Times New Roman" w:hAnsi="Times New Roman" w:cs="Times New Roman"/>
                <w:sz w:val="20"/>
              </w:rPr>
            </w:pPr>
            <w:r w:rsidRPr="00A07F29">
              <w:rPr>
                <w:rFonts w:ascii="Times New Roman" w:hAnsi="Times New Roman" w:cs="Times New Roman"/>
                <w:sz w:val="20"/>
              </w:rPr>
              <w:t>MAB (BSS)</w:t>
            </w:r>
          </w:p>
        </w:tc>
        <w:tc>
          <w:tcPr>
            <w:tcW w:w="907" w:type="pct"/>
          </w:tcPr>
          <w:p w14:paraId="1CFE873D" w14:textId="2BE5B8EF" w:rsidR="002B1603" w:rsidRPr="00A07F29" w:rsidRDefault="002B1603" w:rsidP="00C61B51">
            <w:pPr>
              <w:spacing w:before="80" w:after="80" w:line="240" w:lineRule="auto"/>
              <w:jc w:val="both"/>
              <w:rPr>
                <w:rFonts w:ascii="Times New Roman" w:hAnsi="Times New Roman" w:cs="Times New Roman"/>
                <w:color w:val="000000"/>
                <w:sz w:val="20"/>
              </w:rPr>
            </w:pPr>
            <w:r w:rsidRPr="00A07F29">
              <w:rPr>
                <w:rFonts w:ascii="Times New Roman" w:hAnsi="Times New Roman" w:cs="Times New Roman"/>
                <w:color w:val="000000"/>
                <w:sz w:val="20"/>
              </w:rPr>
              <w:t>Suga sastopama visā Latvijā, samērā reti. (</w:t>
            </w:r>
            <w:proofErr w:type="spellStart"/>
            <w:r w:rsidRPr="00A07F29">
              <w:rPr>
                <w:rFonts w:ascii="Times New Roman" w:hAnsi="Times New Roman" w:cs="Times New Roman"/>
                <w:color w:val="000000"/>
                <w:sz w:val="20"/>
              </w:rPr>
              <w:t>Moisejevs</w:t>
            </w:r>
            <w:proofErr w:type="spellEnd"/>
            <w:r w:rsidR="00204B25">
              <w:rPr>
                <w:rFonts w:ascii="Times New Roman" w:hAnsi="Times New Roman" w:cs="Times New Roman"/>
                <w:color w:val="000000"/>
                <w:sz w:val="20"/>
              </w:rPr>
              <w:t xml:space="preserve"> R.</w:t>
            </w:r>
            <w:r w:rsidRPr="00A07F29">
              <w:rPr>
                <w:rFonts w:ascii="Times New Roman" w:hAnsi="Times New Roman" w:cs="Times New Roman"/>
                <w:color w:val="000000"/>
                <w:sz w:val="20"/>
              </w:rPr>
              <w:t>, 2017b).</w:t>
            </w:r>
          </w:p>
        </w:tc>
        <w:tc>
          <w:tcPr>
            <w:tcW w:w="1299" w:type="pct"/>
            <w:shd w:val="clear" w:color="auto" w:fill="auto"/>
          </w:tcPr>
          <w:p w14:paraId="6B96DE83" w14:textId="77777777" w:rsidR="002B1603" w:rsidRPr="00A07F29" w:rsidRDefault="002B1603" w:rsidP="00C61B51">
            <w:pPr>
              <w:spacing w:before="80" w:after="80" w:line="240" w:lineRule="auto"/>
              <w:jc w:val="both"/>
              <w:rPr>
                <w:rFonts w:ascii="Times New Roman" w:hAnsi="Times New Roman" w:cs="Times New Roman"/>
                <w:color w:val="000000"/>
                <w:sz w:val="20"/>
              </w:rPr>
            </w:pPr>
            <w:r w:rsidRPr="00A07F29">
              <w:rPr>
                <w:rFonts w:ascii="Times New Roman" w:hAnsi="Times New Roman" w:cs="Times New Roman"/>
                <w:color w:val="000000"/>
                <w:sz w:val="20"/>
              </w:rPr>
              <w:t xml:space="preserve">AAA “Augšdaugava” teritorijā suga sastopama reti. Viena populācija konstatēta Tartaka loka, Tartaka mežā, uz skujkoku </w:t>
            </w:r>
            <w:proofErr w:type="spellStart"/>
            <w:r w:rsidRPr="00A07F29">
              <w:rPr>
                <w:rFonts w:ascii="Times New Roman" w:hAnsi="Times New Roman" w:cs="Times New Roman"/>
                <w:color w:val="000000"/>
                <w:sz w:val="20"/>
              </w:rPr>
              <w:t>sausokņiem</w:t>
            </w:r>
            <w:proofErr w:type="spellEnd"/>
            <w:r w:rsidRPr="00A07F29">
              <w:rPr>
                <w:rFonts w:ascii="Times New Roman" w:hAnsi="Times New Roman" w:cs="Times New Roman"/>
                <w:color w:val="000000"/>
                <w:sz w:val="20"/>
              </w:rPr>
              <w:t xml:space="preserve"> un stumbeņiem.</w:t>
            </w:r>
          </w:p>
        </w:tc>
      </w:tr>
      <w:tr w:rsidR="002B1603" w:rsidRPr="00A07F29" w14:paraId="2DF3365C" w14:textId="77777777" w:rsidTr="00130C6F">
        <w:trPr>
          <w:trHeight w:val="20"/>
          <w:jc w:val="center"/>
        </w:trPr>
        <w:tc>
          <w:tcPr>
            <w:tcW w:w="833" w:type="pct"/>
            <w:shd w:val="clear" w:color="auto" w:fill="auto"/>
            <w:noWrap/>
            <w:vAlign w:val="center"/>
          </w:tcPr>
          <w:p w14:paraId="4A1B15F1" w14:textId="77777777" w:rsidR="002B1603" w:rsidRPr="00A07F29" w:rsidRDefault="002B1603" w:rsidP="00C61B51">
            <w:pPr>
              <w:spacing w:before="80" w:after="80" w:line="240" w:lineRule="auto"/>
              <w:rPr>
                <w:rFonts w:ascii="Times New Roman" w:hAnsi="Times New Roman" w:cs="Times New Roman"/>
                <w:spacing w:val="-1"/>
                <w:sz w:val="20"/>
              </w:rPr>
            </w:pPr>
          </w:p>
        </w:tc>
        <w:tc>
          <w:tcPr>
            <w:tcW w:w="870" w:type="pct"/>
            <w:shd w:val="clear" w:color="auto" w:fill="auto"/>
            <w:noWrap/>
            <w:vAlign w:val="center"/>
          </w:tcPr>
          <w:p w14:paraId="0C25A581" w14:textId="77777777" w:rsidR="002B1603" w:rsidRPr="00A07F29" w:rsidRDefault="002B1603" w:rsidP="00C61B51">
            <w:pPr>
              <w:spacing w:before="80" w:after="80" w:line="240" w:lineRule="auto"/>
              <w:rPr>
                <w:rFonts w:ascii="Times New Roman" w:hAnsi="Times New Roman" w:cs="Times New Roman"/>
                <w:i/>
                <w:sz w:val="20"/>
              </w:rPr>
            </w:pPr>
            <w:proofErr w:type="spellStart"/>
            <w:r w:rsidRPr="00A07F29">
              <w:rPr>
                <w:rFonts w:ascii="Times New Roman" w:hAnsi="Times New Roman" w:cs="Times New Roman"/>
                <w:i/>
                <w:sz w:val="20"/>
              </w:rPr>
              <w:t>Chaenotheca</w:t>
            </w:r>
            <w:proofErr w:type="spellEnd"/>
            <w:r w:rsidRPr="00A07F29">
              <w:rPr>
                <w:rFonts w:ascii="Times New Roman" w:hAnsi="Times New Roman" w:cs="Times New Roman"/>
                <w:i/>
                <w:sz w:val="20"/>
              </w:rPr>
              <w:t xml:space="preserve"> </w:t>
            </w:r>
            <w:proofErr w:type="spellStart"/>
            <w:r w:rsidRPr="00A07F29">
              <w:rPr>
                <w:rFonts w:ascii="Times New Roman" w:hAnsi="Times New Roman" w:cs="Times New Roman"/>
                <w:i/>
                <w:sz w:val="20"/>
              </w:rPr>
              <w:t>hispidula</w:t>
            </w:r>
            <w:proofErr w:type="spellEnd"/>
            <w:r w:rsidRPr="00A07F29">
              <w:rPr>
                <w:rFonts w:ascii="Times New Roman" w:hAnsi="Times New Roman" w:cs="Times New Roman"/>
                <w:i/>
                <w:sz w:val="20"/>
              </w:rPr>
              <w:t xml:space="preserve"> </w:t>
            </w:r>
            <w:r w:rsidRPr="00A07F29">
              <w:rPr>
                <w:rFonts w:ascii="Times New Roman" w:hAnsi="Times New Roman" w:cs="Times New Roman"/>
                <w:sz w:val="20"/>
              </w:rPr>
              <w:t>(</w:t>
            </w:r>
            <w:proofErr w:type="spellStart"/>
            <w:r w:rsidRPr="00A07F29">
              <w:rPr>
                <w:rFonts w:ascii="Times New Roman" w:hAnsi="Times New Roman" w:cs="Times New Roman"/>
                <w:sz w:val="20"/>
              </w:rPr>
              <w:t>Ach</w:t>
            </w:r>
            <w:proofErr w:type="spellEnd"/>
            <w:r w:rsidRPr="00A07F29">
              <w:rPr>
                <w:rFonts w:ascii="Times New Roman" w:hAnsi="Times New Roman" w:cs="Times New Roman"/>
                <w:sz w:val="20"/>
              </w:rPr>
              <w:t xml:space="preserve">.) </w:t>
            </w:r>
            <w:proofErr w:type="spellStart"/>
            <w:r w:rsidRPr="00A07F29">
              <w:rPr>
                <w:rFonts w:ascii="Times New Roman" w:hAnsi="Times New Roman" w:cs="Times New Roman"/>
                <w:sz w:val="20"/>
              </w:rPr>
              <w:t>Zahlbr</w:t>
            </w:r>
            <w:proofErr w:type="spellEnd"/>
            <w:r w:rsidRPr="00A07F29">
              <w:rPr>
                <w:rFonts w:ascii="Times New Roman" w:hAnsi="Times New Roman" w:cs="Times New Roman"/>
                <w:sz w:val="20"/>
              </w:rPr>
              <w:t>.</w:t>
            </w:r>
          </w:p>
        </w:tc>
        <w:tc>
          <w:tcPr>
            <w:tcW w:w="531" w:type="pct"/>
            <w:shd w:val="clear" w:color="auto" w:fill="auto"/>
            <w:noWrap/>
            <w:vAlign w:val="center"/>
          </w:tcPr>
          <w:p w14:paraId="1B4B0F5F" w14:textId="77777777" w:rsidR="002B1603" w:rsidRPr="00A07F29" w:rsidRDefault="002B1603" w:rsidP="00C61B51">
            <w:pPr>
              <w:spacing w:before="80" w:after="80" w:line="240" w:lineRule="auto"/>
              <w:jc w:val="center"/>
              <w:rPr>
                <w:rFonts w:ascii="Times New Roman" w:hAnsi="Times New Roman" w:cs="Times New Roman"/>
                <w:color w:val="000000"/>
                <w:sz w:val="20"/>
              </w:rPr>
            </w:pPr>
            <w:r w:rsidRPr="00A07F29">
              <w:rPr>
                <w:rFonts w:ascii="Times New Roman" w:hAnsi="Times New Roman" w:cs="Times New Roman"/>
                <w:color w:val="000000"/>
                <w:sz w:val="20"/>
              </w:rPr>
              <w:t>-</w:t>
            </w:r>
          </w:p>
        </w:tc>
        <w:tc>
          <w:tcPr>
            <w:tcW w:w="560" w:type="pct"/>
            <w:shd w:val="clear" w:color="auto" w:fill="auto"/>
            <w:noWrap/>
            <w:vAlign w:val="center"/>
          </w:tcPr>
          <w:p w14:paraId="29996A42" w14:textId="77777777" w:rsidR="002B1603" w:rsidRPr="00A07F29" w:rsidRDefault="002B1603" w:rsidP="00C61B51">
            <w:pPr>
              <w:spacing w:before="80" w:after="80" w:line="240" w:lineRule="auto"/>
              <w:rPr>
                <w:rFonts w:ascii="Times New Roman" w:hAnsi="Times New Roman" w:cs="Times New Roman"/>
                <w:sz w:val="20"/>
              </w:rPr>
            </w:pPr>
            <w:r w:rsidRPr="00A07F29">
              <w:rPr>
                <w:rFonts w:ascii="Times New Roman" w:hAnsi="Times New Roman" w:cs="Times New Roman"/>
                <w:sz w:val="20"/>
              </w:rPr>
              <w:t>-</w:t>
            </w:r>
          </w:p>
        </w:tc>
        <w:tc>
          <w:tcPr>
            <w:tcW w:w="907" w:type="pct"/>
          </w:tcPr>
          <w:p w14:paraId="7D8E2909" w14:textId="0EB3D079" w:rsidR="002B1603" w:rsidRPr="00A07F29" w:rsidRDefault="002B1603" w:rsidP="00C61B51">
            <w:pPr>
              <w:spacing w:before="80" w:after="80" w:line="240" w:lineRule="auto"/>
              <w:jc w:val="both"/>
              <w:rPr>
                <w:rFonts w:ascii="Times New Roman" w:hAnsi="Times New Roman" w:cs="Times New Roman"/>
                <w:color w:val="000000"/>
                <w:sz w:val="20"/>
              </w:rPr>
            </w:pPr>
            <w:r w:rsidRPr="00A07F29">
              <w:rPr>
                <w:rFonts w:ascii="Times New Roman" w:hAnsi="Times New Roman" w:cs="Times New Roman"/>
                <w:color w:val="000000"/>
                <w:sz w:val="20"/>
              </w:rPr>
              <w:t>Suga ir reta un ir aizsargājama Lietuvā un Igaunijā. (</w:t>
            </w:r>
            <w:proofErr w:type="spellStart"/>
            <w:r w:rsidRPr="00A07F29">
              <w:rPr>
                <w:rFonts w:ascii="Times New Roman" w:hAnsi="Times New Roman" w:cs="Times New Roman"/>
                <w:color w:val="000000"/>
                <w:sz w:val="20"/>
              </w:rPr>
              <w:t>Motiejūnaitė</w:t>
            </w:r>
            <w:proofErr w:type="spellEnd"/>
            <w:r w:rsidRPr="00A07F29">
              <w:rPr>
                <w:rFonts w:ascii="Times New Roman" w:hAnsi="Times New Roman" w:cs="Times New Roman"/>
                <w:color w:val="000000"/>
                <w:sz w:val="20"/>
              </w:rPr>
              <w:t xml:space="preserve"> </w:t>
            </w:r>
            <w:r w:rsidR="00204B25">
              <w:rPr>
                <w:rFonts w:ascii="Times New Roman" w:hAnsi="Times New Roman" w:cs="Times New Roman"/>
                <w:color w:val="000000"/>
                <w:sz w:val="20"/>
              </w:rPr>
              <w:t xml:space="preserve">J., </w:t>
            </w:r>
            <w:proofErr w:type="spellStart"/>
            <w:r w:rsidRPr="00A07F29">
              <w:rPr>
                <w:rFonts w:ascii="Times New Roman" w:hAnsi="Times New Roman" w:cs="Times New Roman"/>
                <w:color w:val="000000"/>
                <w:sz w:val="20"/>
              </w:rPr>
              <w:t>et</w:t>
            </w:r>
            <w:proofErr w:type="spellEnd"/>
            <w:r w:rsidRPr="00A07F29">
              <w:rPr>
                <w:rFonts w:ascii="Times New Roman" w:hAnsi="Times New Roman" w:cs="Times New Roman"/>
                <w:color w:val="000000"/>
                <w:sz w:val="20"/>
              </w:rPr>
              <w:t xml:space="preserve"> </w:t>
            </w:r>
            <w:proofErr w:type="spellStart"/>
            <w:r w:rsidRPr="00A07F29">
              <w:rPr>
                <w:rFonts w:ascii="Times New Roman" w:hAnsi="Times New Roman" w:cs="Times New Roman"/>
                <w:color w:val="000000"/>
                <w:sz w:val="20"/>
              </w:rPr>
              <w:t>a</w:t>
            </w:r>
            <w:r w:rsidR="00204B25">
              <w:rPr>
                <w:rFonts w:ascii="Times New Roman" w:hAnsi="Times New Roman" w:cs="Times New Roman"/>
                <w:color w:val="000000"/>
                <w:sz w:val="20"/>
              </w:rPr>
              <w:t>l</w:t>
            </w:r>
            <w:proofErr w:type="spellEnd"/>
            <w:r w:rsidRPr="00A07F29">
              <w:rPr>
                <w:rFonts w:ascii="Times New Roman" w:hAnsi="Times New Roman" w:cs="Times New Roman"/>
                <w:color w:val="000000"/>
                <w:sz w:val="20"/>
              </w:rPr>
              <w:t>, 2016).</w:t>
            </w:r>
          </w:p>
        </w:tc>
        <w:tc>
          <w:tcPr>
            <w:tcW w:w="1299" w:type="pct"/>
            <w:shd w:val="clear" w:color="auto" w:fill="auto"/>
          </w:tcPr>
          <w:p w14:paraId="51C92DE9" w14:textId="77777777" w:rsidR="002B1603" w:rsidRPr="00A07F29" w:rsidRDefault="002B1603" w:rsidP="00C61B51">
            <w:pPr>
              <w:spacing w:before="80" w:after="80" w:line="240" w:lineRule="auto"/>
              <w:jc w:val="both"/>
              <w:rPr>
                <w:rFonts w:ascii="Times New Roman" w:hAnsi="Times New Roman" w:cs="Times New Roman"/>
                <w:color w:val="000000"/>
                <w:sz w:val="20"/>
              </w:rPr>
            </w:pPr>
            <w:r w:rsidRPr="00A07F29">
              <w:rPr>
                <w:rFonts w:ascii="Times New Roman" w:hAnsi="Times New Roman" w:cs="Times New Roman"/>
                <w:color w:val="000000"/>
                <w:sz w:val="20"/>
              </w:rPr>
              <w:t xml:space="preserve">AAA “Augšdaugava” teritorijā suga sastopama lokāli. Viena populācija konstatēta nogāžu un gravu mežā netālu no </w:t>
            </w:r>
            <w:proofErr w:type="spellStart"/>
            <w:r w:rsidRPr="00A07F29">
              <w:rPr>
                <w:rFonts w:ascii="Times New Roman" w:hAnsi="Times New Roman" w:cs="Times New Roman"/>
                <w:color w:val="000000"/>
                <w:sz w:val="20"/>
              </w:rPr>
              <w:t>Juzefovas</w:t>
            </w:r>
            <w:proofErr w:type="spellEnd"/>
            <w:r w:rsidRPr="00A07F29">
              <w:rPr>
                <w:rFonts w:ascii="Times New Roman" w:hAnsi="Times New Roman" w:cs="Times New Roman"/>
                <w:color w:val="000000"/>
                <w:sz w:val="20"/>
              </w:rPr>
              <w:t xml:space="preserve"> parka.</w:t>
            </w:r>
          </w:p>
        </w:tc>
      </w:tr>
      <w:tr w:rsidR="002B1603" w:rsidRPr="00A07F29" w14:paraId="174F1F0D" w14:textId="77777777" w:rsidTr="00130C6F">
        <w:trPr>
          <w:trHeight w:val="20"/>
          <w:jc w:val="center"/>
        </w:trPr>
        <w:tc>
          <w:tcPr>
            <w:tcW w:w="833" w:type="pct"/>
            <w:shd w:val="clear" w:color="auto" w:fill="auto"/>
            <w:noWrap/>
          </w:tcPr>
          <w:p w14:paraId="667944C8" w14:textId="77777777" w:rsidR="002B1603" w:rsidRPr="00A07F29" w:rsidRDefault="002B1603" w:rsidP="00C61B51">
            <w:pPr>
              <w:spacing w:before="80" w:after="80" w:line="240" w:lineRule="auto"/>
              <w:rPr>
                <w:rFonts w:ascii="Times New Roman" w:hAnsi="Times New Roman" w:cs="Times New Roman"/>
                <w:spacing w:val="-1"/>
                <w:sz w:val="20"/>
              </w:rPr>
            </w:pPr>
            <w:proofErr w:type="spellStart"/>
            <w:r w:rsidRPr="00A07F29">
              <w:rPr>
                <w:rFonts w:ascii="Times New Roman" w:hAnsi="Times New Roman" w:cs="Times New Roman"/>
                <w:spacing w:val="-1"/>
                <w:sz w:val="20"/>
              </w:rPr>
              <w:t>Brūngalvainā</w:t>
            </w:r>
            <w:proofErr w:type="spellEnd"/>
            <w:r w:rsidRPr="00A07F29">
              <w:rPr>
                <w:rFonts w:ascii="Times New Roman" w:hAnsi="Times New Roman" w:cs="Times New Roman"/>
                <w:spacing w:val="-1"/>
                <w:sz w:val="20"/>
              </w:rPr>
              <w:t xml:space="preserve"> </w:t>
            </w:r>
            <w:proofErr w:type="spellStart"/>
            <w:r w:rsidRPr="00A07F29">
              <w:rPr>
                <w:rFonts w:ascii="Times New Roman" w:hAnsi="Times New Roman" w:cs="Times New Roman"/>
                <w:spacing w:val="-1"/>
                <w:sz w:val="20"/>
              </w:rPr>
              <w:t>henotēka</w:t>
            </w:r>
            <w:proofErr w:type="spellEnd"/>
          </w:p>
        </w:tc>
        <w:tc>
          <w:tcPr>
            <w:tcW w:w="870" w:type="pct"/>
            <w:shd w:val="clear" w:color="auto" w:fill="auto"/>
            <w:noWrap/>
          </w:tcPr>
          <w:p w14:paraId="555092EF" w14:textId="77777777" w:rsidR="002B1603" w:rsidRPr="00A07F29" w:rsidRDefault="002B1603" w:rsidP="00C61B51">
            <w:pPr>
              <w:spacing w:before="80" w:after="80" w:line="240" w:lineRule="auto"/>
              <w:rPr>
                <w:rFonts w:ascii="Times New Roman" w:hAnsi="Times New Roman" w:cs="Times New Roman"/>
                <w:i/>
                <w:sz w:val="20"/>
              </w:rPr>
            </w:pPr>
            <w:proofErr w:type="spellStart"/>
            <w:r w:rsidRPr="00A07F29">
              <w:rPr>
                <w:rFonts w:ascii="Times New Roman" w:hAnsi="Times New Roman" w:cs="Times New Roman"/>
                <w:i/>
                <w:sz w:val="20"/>
              </w:rPr>
              <w:t>Chaenotheca</w:t>
            </w:r>
            <w:proofErr w:type="spellEnd"/>
            <w:r w:rsidRPr="00A07F29">
              <w:rPr>
                <w:rFonts w:ascii="Times New Roman" w:hAnsi="Times New Roman" w:cs="Times New Roman"/>
                <w:i/>
                <w:sz w:val="20"/>
              </w:rPr>
              <w:t xml:space="preserve"> </w:t>
            </w:r>
            <w:proofErr w:type="spellStart"/>
            <w:r w:rsidRPr="00A07F29">
              <w:rPr>
                <w:rFonts w:ascii="Times New Roman" w:hAnsi="Times New Roman" w:cs="Times New Roman"/>
                <w:i/>
                <w:sz w:val="20"/>
              </w:rPr>
              <w:t>phaeocephala</w:t>
            </w:r>
            <w:proofErr w:type="spellEnd"/>
            <w:r w:rsidRPr="00A07F29">
              <w:rPr>
                <w:rFonts w:ascii="Times New Roman" w:hAnsi="Times New Roman" w:cs="Times New Roman"/>
                <w:i/>
                <w:sz w:val="20"/>
              </w:rPr>
              <w:t xml:space="preserve"> </w:t>
            </w:r>
            <w:r w:rsidRPr="00A07F29">
              <w:rPr>
                <w:rFonts w:ascii="Times New Roman" w:hAnsi="Times New Roman" w:cs="Times New Roman"/>
                <w:sz w:val="20"/>
              </w:rPr>
              <w:t>(</w:t>
            </w:r>
            <w:proofErr w:type="spellStart"/>
            <w:r w:rsidRPr="00A07F29">
              <w:rPr>
                <w:rFonts w:ascii="Times New Roman" w:hAnsi="Times New Roman" w:cs="Times New Roman"/>
                <w:sz w:val="20"/>
              </w:rPr>
              <w:t>Turner</w:t>
            </w:r>
            <w:proofErr w:type="spellEnd"/>
            <w:r w:rsidRPr="00A07F29">
              <w:rPr>
                <w:rFonts w:ascii="Times New Roman" w:hAnsi="Times New Roman" w:cs="Times New Roman"/>
                <w:sz w:val="20"/>
              </w:rPr>
              <w:t xml:space="preserve">) </w:t>
            </w:r>
            <w:proofErr w:type="spellStart"/>
            <w:r w:rsidRPr="00A07F29">
              <w:rPr>
                <w:rFonts w:ascii="Times New Roman" w:hAnsi="Times New Roman" w:cs="Times New Roman"/>
                <w:sz w:val="20"/>
              </w:rPr>
              <w:t>Th</w:t>
            </w:r>
            <w:proofErr w:type="spellEnd"/>
            <w:r w:rsidRPr="00A07F29">
              <w:rPr>
                <w:rFonts w:ascii="Times New Roman" w:hAnsi="Times New Roman" w:cs="Times New Roman"/>
                <w:sz w:val="20"/>
              </w:rPr>
              <w:t xml:space="preserve">. </w:t>
            </w:r>
            <w:proofErr w:type="spellStart"/>
            <w:r w:rsidRPr="00A07F29">
              <w:rPr>
                <w:rFonts w:ascii="Times New Roman" w:hAnsi="Times New Roman" w:cs="Times New Roman"/>
                <w:sz w:val="20"/>
              </w:rPr>
              <w:t>Fr</w:t>
            </w:r>
            <w:proofErr w:type="spellEnd"/>
            <w:r w:rsidRPr="00A07F29">
              <w:rPr>
                <w:rFonts w:ascii="Times New Roman" w:hAnsi="Times New Roman" w:cs="Times New Roman"/>
                <w:sz w:val="20"/>
              </w:rPr>
              <w:t>.</w:t>
            </w:r>
          </w:p>
        </w:tc>
        <w:tc>
          <w:tcPr>
            <w:tcW w:w="531" w:type="pct"/>
            <w:shd w:val="clear" w:color="auto" w:fill="auto"/>
            <w:noWrap/>
          </w:tcPr>
          <w:p w14:paraId="0F21B258" w14:textId="77777777" w:rsidR="002B1603" w:rsidRPr="00A07F29" w:rsidRDefault="002B1603" w:rsidP="00C61B51">
            <w:pPr>
              <w:spacing w:before="80" w:after="80" w:line="240" w:lineRule="auto"/>
              <w:jc w:val="center"/>
              <w:rPr>
                <w:rFonts w:ascii="Times New Roman" w:hAnsi="Times New Roman" w:cs="Times New Roman"/>
                <w:sz w:val="20"/>
              </w:rPr>
            </w:pPr>
            <w:r w:rsidRPr="00A07F29">
              <w:rPr>
                <w:rFonts w:ascii="Times New Roman" w:hAnsi="Times New Roman" w:cs="Times New Roman"/>
                <w:color w:val="000000"/>
                <w:sz w:val="20"/>
              </w:rPr>
              <w:t>ĪAS (1), MIK</w:t>
            </w:r>
          </w:p>
        </w:tc>
        <w:tc>
          <w:tcPr>
            <w:tcW w:w="560" w:type="pct"/>
            <w:shd w:val="clear" w:color="auto" w:fill="auto"/>
            <w:noWrap/>
          </w:tcPr>
          <w:p w14:paraId="1AC39371" w14:textId="77777777" w:rsidR="002B1603" w:rsidRPr="00A07F29" w:rsidRDefault="002B1603" w:rsidP="00C61B51">
            <w:pPr>
              <w:spacing w:before="80" w:after="80" w:line="240" w:lineRule="auto"/>
              <w:rPr>
                <w:rFonts w:ascii="Times New Roman" w:hAnsi="Times New Roman" w:cs="Times New Roman"/>
                <w:sz w:val="20"/>
              </w:rPr>
            </w:pPr>
            <w:r w:rsidRPr="00A07F29">
              <w:rPr>
                <w:rFonts w:ascii="Times New Roman" w:hAnsi="Times New Roman" w:cs="Times New Roman"/>
                <w:sz w:val="20"/>
              </w:rPr>
              <w:t>MAB (BSS)</w:t>
            </w:r>
          </w:p>
        </w:tc>
        <w:tc>
          <w:tcPr>
            <w:tcW w:w="907" w:type="pct"/>
            <w:shd w:val="clear" w:color="auto" w:fill="auto"/>
          </w:tcPr>
          <w:p w14:paraId="5BFC15BD" w14:textId="2D594319" w:rsidR="002B1603" w:rsidRPr="00A07F29" w:rsidRDefault="002B1603" w:rsidP="00C61B51">
            <w:pPr>
              <w:spacing w:before="80" w:after="80" w:line="240" w:lineRule="auto"/>
              <w:jc w:val="both"/>
              <w:rPr>
                <w:rFonts w:ascii="Times New Roman" w:hAnsi="Times New Roman" w:cs="Times New Roman"/>
                <w:color w:val="000000"/>
                <w:sz w:val="20"/>
              </w:rPr>
            </w:pPr>
            <w:r w:rsidRPr="00A07F29">
              <w:rPr>
                <w:rFonts w:ascii="Times New Roman" w:hAnsi="Times New Roman" w:cs="Times New Roman"/>
                <w:color w:val="000000"/>
                <w:sz w:val="20"/>
              </w:rPr>
              <w:t>Sastopama samērā reti visā Latvijas teritorijā (</w:t>
            </w:r>
            <w:r w:rsidRPr="00A07F29">
              <w:rPr>
                <w:rFonts w:ascii="Times New Roman" w:hAnsi="Times New Roman" w:cs="Times New Roman"/>
                <w:sz w:val="20"/>
              </w:rPr>
              <w:t>Āboliņa</w:t>
            </w:r>
            <w:r w:rsidR="00204B25">
              <w:rPr>
                <w:rFonts w:ascii="Times New Roman" w:hAnsi="Times New Roman" w:cs="Times New Roman"/>
                <w:sz w:val="20"/>
              </w:rPr>
              <w:t xml:space="preserve"> A.</w:t>
            </w:r>
            <w:r w:rsidRPr="00A07F29">
              <w:rPr>
                <w:rFonts w:ascii="Times New Roman" w:hAnsi="Times New Roman" w:cs="Times New Roman"/>
                <w:sz w:val="20"/>
              </w:rPr>
              <w:t xml:space="preserve"> </w:t>
            </w:r>
            <w:proofErr w:type="spellStart"/>
            <w:r w:rsidRPr="00A07F29">
              <w:rPr>
                <w:rFonts w:ascii="Times New Roman" w:hAnsi="Times New Roman" w:cs="Times New Roman"/>
                <w:sz w:val="20"/>
              </w:rPr>
              <w:t>et</w:t>
            </w:r>
            <w:proofErr w:type="spellEnd"/>
            <w:r w:rsidRPr="00A07F29">
              <w:rPr>
                <w:rFonts w:ascii="Times New Roman" w:hAnsi="Times New Roman" w:cs="Times New Roman"/>
                <w:sz w:val="20"/>
              </w:rPr>
              <w:t xml:space="preserve"> </w:t>
            </w:r>
            <w:proofErr w:type="spellStart"/>
            <w:r w:rsidRPr="00A07F29">
              <w:rPr>
                <w:rFonts w:ascii="Times New Roman" w:hAnsi="Times New Roman" w:cs="Times New Roman"/>
                <w:sz w:val="20"/>
              </w:rPr>
              <w:t>a</w:t>
            </w:r>
            <w:r w:rsidR="00204B25">
              <w:rPr>
                <w:rFonts w:ascii="Times New Roman" w:hAnsi="Times New Roman" w:cs="Times New Roman"/>
                <w:sz w:val="20"/>
              </w:rPr>
              <w:t>l</w:t>
            </w:r>
            <w:proofErr w:type="spellEnd"/>
            <w:r w:rsidR="00204B25">
              <w:rPr>
                <w:rFonts w:ascii="Times New Roman" w:hAnsi="Times New Roman" w:cs="Times New Roman"/>
                <w:sz w:val="20"/>
              </w:rPr>
              <w:t>,</w:t>
            </w:r>
            <w:r w:rsidRPr="00A07F29">
              <w:rPr>
                <w:rFonts w:ascii="Times New Roman" w:hAnsi="Times New Roman" w:cs="Times New Roman"/>
                <w:sz w:val="20"/>
              </w:rPr>
              <w:t xml:space="preserve"> 2015, </w:t>
            </w:r>
            <w:proofErr w:type="spellStart"/>
            <w:r w:rsidRPr="00A07F29">
              <w:rPr>
                <w:rFonts w:ascii="Times New Roman" w:hAnsi="Times New Roman" w:cs="Times New Roman"/>
                <w:color w:val="000000"/>
                <w:sz w:val="20"/>
              </w:rPr>
              <w:t>Moisejevs</w:t>
            </w:r>
            <w:proofErr w:type="spellEnd"/>
            <w:r w:rsidR="00204B25">
              <w:rPr>
                <w:rFonts w:ascii="Times New Roman" w:hAnsi="Times New Roman" w:cs="Times New Roman"/>
                <w:color w:val="000000"/>
                <w:sz w:val="20"/>
              </w:rPr>
              <w:t xml:space="preserve"> R.</w:t>
            </w:r>
            <w:r w:rsidRPr="00A07F29">
              <w:rPr>
                <w:rFonts w:ascii="Times New Roman" w:hAnsi="Times New Roman" w:cs="Times New Roman"/>
                <w:color w:val="000000"/>
                <w:sz w:val="20"/>
              </w:rPr>
              <w:t>, 2017b).</w:t>
            </w:r>
          </w:p>
        </w:tc>
        <w:tc>
          <w:tcPr>
            <w:tcW w:w="1299" w:type="pct"/>
            <w:shd w:val="clear" w:color="auto" w:fill="auto"/>
          </w:tcPr>
          <w:p w14:paraId="70DADCA2" w14:textId="77777777" w:rsidR="002B1603" w:rsidRPr="00A07F29" w:rsidRDefault="002B1603" w:rsidP="00C61B51">
            <w:pPr>
              <w:spacing w:before="80" w:after="80" w:line="240" w:lineRule="auto"/>
              <w:jc w:val="both"/>
              <w:rPr>
                <w:rFonts w:ascii="Times New Roman" w:hAnsi="Times New Roman" w:cs="Times New Roman"/>
                <w:color w:val="000000"/>
                <w:sz w:val="20"/>
              </w:rPr>
            </w:pPr>
            <w:r w:rsidRPr="00A07F29">
              <w:rPr>
                <w:rFonts w:ascii="Times New Roman" w:hAnsi="Times New Roman" w:cs="Times New Roman"/>
                <w:color w:val="000000"/>
                <w:sz w:val="20"/>
              </w:rPr>
              <w:t xml:space="preserve">AAA “Augšdaugava” teritorijā suga sastopama lokāli. Viena populācija konstatēta nogāžu un gravu mežā netālu no </w:t>
            </w:r>
            <w:proofErr w:type="spellStart"/>
            <w:r w:rsidRPr="00A07F29">
              <w:rPr>
                <w:rFonts w:ascii="Times New Roman" w:hAnsi="Times New Roman" w:cs="Times New Roman"/>
                <w:color w:val="000000"/>
                <w:sz w:val="20"/>
              </w:rPr>
              <w:t>Juzefovas</w:t>
            </w:r>
            <w:proofErr w:type="spellEnd"/>
            <w:r w:rsidRPr="00A07F29">
              <w:rPr>
                <w:rFonts w:ascii="Times New Roman" w:hAnsi="Times New Roman" w:cs="Times New Roman"/>
                <w:color w:val="000000"/>
                <w:sz w:val="20"/>
              </w:rPr>
              <w:t xml:space="preserve"> parka.</w:t>
            </w:r>
          </w:p>
        </w:tc>
      </w:tr>
      <w:tr w:rsidR="002B1603" w:rsidRPr="00A07F29" w14:paraId="216A0F2E" w14:textId="77777777" w:rsidTr="00130C6F">
        <w:trPr>
          <w:trHeight w:val="20"/>
          <w:jc w:val="center"/>
        </w:trPr>
        <w:tc>
          <w:tcPr>
            <w:tcW w:w="833" w:type="pct"/>
            <w:shd w:val="clear" w:color="auto" w:fill="auto"/>
            <w:noWrap/>
          </w:tcPr>
          <w:p w14:paraId="5166F449" w14:textId="77777777" w:rsidR="002B1603" w:rsidRPr="00A07F29" w:rsidRDefault="002B1603" w:rsidP="00C61B51">
            <w:pPr>
              <w:spacing w:before="80" w:after="80" w:line="240" w:lineRule="auto"/>
              <w:rPr>
                <w:rFonts w:ascii="Times New Roman" w:hAnsi="Times New Roman" w:cs="Times New Roman"/>
                <w:spacing w:val="-1"/>
                <w:sz w:val="20"/>
              </w:rPr>
            </w:pPr>
            <w:r w:rsidRPr="00A07F29">
              <w:rPr>
                <w:rFonts w:ascii="Times New Roman" w:hAnsi="Times New Roman" w:cs="Times New Roman"/>
                <w:spacing w:val="-1"/>
                <w:sz w:val="20"/>
              </w:rPr>
              <w:t xml:space="preserve">Parazītiskā </w:t>
            </w:r>
            <w:proofErr w:type="spellStart"/>
            <w:r w:rsidRPr="00A07F29">
              <w:rPr>
                <w:rFonts w:ascii="Times New Roman" w:hAnsi="Times New Roman" w:cs="Times New Roman"/>
                <w:spacing w:val="-1"/>
                <w:sz w:val="20"/>
              </w:rPr>
              <w:t>kladonija</w:t>
            </w:r>
            <w:proofErr w:type="spellEnd"/>
          </w:p>
        </w:tc>
        <w:tc>
          <w:tcPr>
            <w:tcW w:w="870" w:type="pct"/>
            <w:shd w:val="clear" w:color="auto" w:fill="auto"/>
            <w:noWrap/>
          </w:tcPr>
          <w:p w14:paraId="75B6880E" w14:textId="77777777" w:rsidR="002B1603" w:rsidRPr="00A07F29" w:rsidRDefault="002B1603" w:rsidP="00C61B51">
            <w:pPr>
              <w:spacing w:before="80" w:after="80" w:line="240" w:lineRule="auto"/>
              <w:rPr>
                <w:rFonts w:ascii="Times New Roman" w:hAnsi="Times New Roman" w:cs="Times New Roman"/>
                <w:i/>
                <w:sz w:val="20"/>
              </w:rPr>
            </w:pPr>
            <w:proofErr w:type="spellStart"/>
            <w:r w:rsidRPr="00A07F29">
              <w:rPr>
                <w:rFonts w:ascii="Times New Roman" w:hAnsi="Times New Roman" w:cs="Times New Roman"/>
                <w:i/>
                <w:sz w:val="20"/>
              </w:rPr>
              <w:t>Cladonia</w:t>
            </w:r>
            <w:proofErr w:type="spellEnd"/>
            <w:r w:rsidRPr="00A07F29">
              <w:rPr>
                <w:rFonts w:ascii="Times New Roman" w:hAnsi="Times New Roman" w:cs="Times New Roman"/>
                <w:i/>
                <w:sz w:val="20"/>
              </w:rPr>
              <w:t xml:space="preserve"> </w:t>
            </w:r>
            <w:proofErr w:type="spellStart"/>
            <w:r w:rsidRPr="00A07F29">
              <w:rPr>
                <w:rFonts w:ascii="Times New Roman" w:hAnsi="Times New Roman" w:cs="Times New Roman"/>
                <w:i/>
                <w:sz w:val="20"/>
              </w:rPr>
              <w:t>parasitica</w:t>
            </w:r>
            <w:proofErr w:type="spellEnd"/>
            <w:r w:rsidRPr="00A07F29">
              <w:rPr>
                <w:rFonts w:ascii="Times New Roman" w:hAnsi="Times New Roman" w:cs="Times New Roman"/>
                <w:i/>
                <w:sz w:val="20"/>
              </w:rPr>
              <w:t xml:space="preserve"> </w:t>
            </w:r>
            <w:r w:rsidRPr="00A07F29">
              <w:rPr>
                <w:rFonts w:ascii="Times New Roman" w:hAnsi="Times New Roman" w:cs="Times New Roman"/>
                <w:sz w:val="20"/>
              </w:rPr>
              <w:t>(</w:t>
            </w:r>
            <w:proofErr w:type="spellStart"/>
            <w:r w:rsidRPr="00A07F29">
              <w:rPr>
                <w:rFonts w:ascii="Times New Roman" w:hAnsi="Times New Roman" w:cs="Times New Roman"/>
                <w:sz w:val="20"/>
              </w:rPr>
              <w:t>Hoffm</w:t>
            </w:r>
            <w:proofErr w:type="spellEnd"/>
            <w:r w:rsidRPr="00A07F29">
              <w:rPr>
                <w:rFonts w:ascii="Times New Roman" w:hAnsi="Times New Roman" w:cs="Times New Roman"/>
                <w:sz w:val="20"/>
              </w:rPr>
              <w:t xml:space="preserve">.) </w:t>
            </w:r>
            <w:proofErr w:type="spellStart"/>
            <w:r w:rsidRPr="00A07F29">
              <w:rPr>
                <w:rFonts w:ascii="Times New Roman" w:hAnsi="Times New Roman" w:cs="Times New Roman"/>
                <w:sz w:val="20"/>
              </w:rPr>
              <w:t>Hoffm</w:t>
            </w:r>
            <w:proofErr w:type="spellEnd"/>
            <w:r w:rsidRPr="00A07F29">
              <w:rPr>
                <w:rFonts w:ascii="Times New Roman" w:hAnsi="Times New Roman" w:cs="Times New Roman"/>
                <w:sz w:val="20"/>
              </w:rPr>
              <w:t>.</w:t>
            </w:r>
          </w:p>
        </w:tc>
        <w:tc>
          <w:tcPr>
            <w:tcW w:w="531" w:type="pct"/>
            <w:shd w:val="clear" w:color="auto" w:fill="auto"/>
            <w:noWrap/>
          </w:tcPr>
          <w:p w14:paraId="768E84BB" w14:textId="77777777" w:rsidR="002B1603" w:rsidRPr="00A07F29" w:rsidRDefault="002B1603" w:rsidP="00C61B51">
            <w:pPr>
              <w:spacing w:before="80" w:after="80" w:line="240" w:lineRule="auto"/>
              <w:jc w:val="center"/>
              <w:rPr>
                <w:rFonts w:ascii="Times New Roman" w:hAnsi="Times New Roman" w:cs="Times New Roman"/>
                <w:sz w:val="20"/>
              </w:rPr>
            </w:pPr>
            <w:r w:rsidRPr="00A07F29">
              <w:rPr>
                <w:rFonts w:ascii="Times New Roman" w:hAnsi="Times New Roman" w:cs="Times New Roman"/>
                <w:color w:val="000000"/>
                <w:sz w:val="20"/>
              </w:rPr>
              <w:t>ĪAS (1), MIK</w:t>
            </w:r>
          </w:p>
        </w:tc>
        <w:tc>
          <w:tcPr>
            <w:tcW w:w="560" w:type="pct"/>
            <w:shd w:val="clear" w:color="auto" w:fill="auto"/>
            <w:noWrap/>
          </w:tcPr>
          <w:p w14:paraId="5486FFAE" w14:textId="77777777" w:rsidR="002B1603" w:rsidRPr="00A07F29" w:rsidRDefault="002B1603" w:rsidP="00C61B51">
            <w:pPr>
              <w:spacing w:before="80" w:after="80" w:line="240" w:lineRule="auto"/>
              <w:rPr>
                <w:rFonts w:ascii="Times New Roman" w:hAnsi="Times New Roman" w:cs="Times New Roman"/>
                <w:sz w:val="20"/>
              </w:rPr>
            </w:pPr>
            <w:r w:rsidRPr="00A07F29">
              <w:rPr>
                <w:rFonts w:ascii="Times New Roman" w:hAnsi="Times New Roman" w:cs="Times New Roman"/>
                <w:sz w:val="20"/>
              </w:rPr>
              <w:t>MAB (BSS)</w:t>
            </w:r>
          </w:p>
        </w:tc>
        <w:tc>
          <w:tcPr>
            <w:tcW w:w="907" w:type="pct"/>
            <w:shd w:val="clear" w:color="auto" w:fill="auto"/>
          </w:tcPr>
          <w:p w14:paraId="5A0B98E4" w14:textId="0C0953A9" w:rsidR="002B1603" w:rsidRPr="00A07F29" w:rsidRDefault="002B1603" w:rsidP="00C61B51">
            <w:pPr>
              <w:spacing w:before="80" w:after="80" w:line="240" w:lineRule="auto"/>
              <w:jc w:val="both"/>
              <w:rPr>
                <w:rFonts w:ascii="Times New Roman" w:hAnsi="Times New Roman" w:cs="Times New Roman"/>
                <w:color w:val="000000"/>
                <w:sz w:val="20"/>
              </w:rPr>
            </w:pPr>
            <w:r w:rsidRPr="00A07F29">
              <w:rPr>
                <w:rFonts w:ascii="Times New Roman" w:hAnsi="Times New Roman" w:cs="Times New Roman"/>
                <w:color w:val="000000"/>
                <w:sz w:val="20"/>
              </w:rPr>
              <w:t>Latvijā suga sastopama reti visas valsts teritorijā (</w:t>
            </w:r>
            <w:proofErr w:type="spellStart"/>
            <w:r w:rsidRPr="00A07F29">
              <w:rPr>
                <w:rFonts w:ascii="Times New Roman" w:hAnsi="Times New Roman" w:cs="Times New Roman"/>
                <w:color w:val="000000"/>
                <w:sz w:val="20"/>
              </w:rPr>
              <w:t>Moisejevs</w:t>
            </w:r>
            <w:proofErr w:type="spellEnd"/>
            <w:r w:rsidR="00204B25">
              <w:rPr>
                <w:rFonts w:ascii="Times New Roman" w:hAnsi="Times New Roman" w:cs="Times New Roman"/>
                <w:color w:val="000000"/>
                <w:sz w:val="20"/>
              </w:rPr>
              <w:t xml:space="preserve"> R.</w:t>
            </w:r>
            <w:r w:rsidRPr="00A07F29">
              <w:rPr>
                <w:rFonts w:ascii="Times New Roman" w:hAnsi="Times New Roman" w:cs="Times New Roman"/>
                <w:color w:val="000000"/>
                <w:sz w:val="20"/>
              </w:rPr>
              <w:t>, 2017b).</w:t>
            </w:r>
          </w:p>
        </w:tc>
        <w:tc>
          <w:tcPr>
            <w:tcW w:w="1299" w:type="pct"/>
            <w:shd w:val="clear" w:color="auto" w:fill="auto"/>
          </w:tcPr>
          <w:p w14:paraId="09F54523" w14:textId="77777777" w:rsidR="002B1603" w:rsidRPr="00A07F29" w:rsidRDefault="002B1603" w:rsidP="00C61B51">
            <w:pPr>
              <w:spacing w:before="80" w:after="80" w:line="240" w:lineRule="auto"/>
              <w:jc w:val="both"/>
              <w:rPr>
                <w:rFonts w:ascii="Times New Roman" w:hAnsi="Times New Roman" w:cs="Times New Roman"/>
                <w:color w:val="000000"/>
                <w:sz w:val="20"/>
              </w:rPr>
            </w:pPr>
            <w:r w:rsidRPr="00A07F29">
              <w:rPr>
                <w:rFonts w:ascii="Times New Roman" w:hAnsi="Times New Roman" w:cs="Times New Roman"/>
                <w:color w:val="000000"/>
                <w:sz w:val="20"/>
              </w:rPr>
              <w:t>AAA “Augšdaugava” teritorijā suga sastopama lokāli. Viena populācija konstatēta Tartaka loka, Tartaka mežā, uz skujkoku kritalām.</w:t>
            </w:r>
          </w:p>
        </w:tc>
      </w:tr>
      <w:tr w:rsidR="002B1603" w:rsidRPr="00A07F29" w14:paraId="308B7AA4" w14:textId="77777777" w:rsidTr="00130C6F">
        <w:trPr>
          <w:trHeight w:val="20"/>
          <w:jc w:val="center"/>
        </w:trPr>
        <w:tc>
          <w:tcPr>
            <w:tcW w:w="833" w:type="pct"/>
            <w:shd w:val="clear" w:color="auto" w:fill="auto"/>
            <w:noWrap/>
            <w:vAlign w:val="center"/>
          </w:tcPr>
          <w:p w14:paraId="7CD52BC7" w14:textId="77777777" w:rsidR="002B1603" w:rsidRPr="00A07F29" w:rsidRDefault="002B1603" w:rsidP="0091085D">
            <w:pPr>
              <w:autoSpaceDE w:val="0"/>
              <w:autoSpaceDN w:val="0"/>
              <w:adjustRightInd w:val="0"/>
              <w:spacing w:before="80" w:after="80" w:line="240" w:lineRule="auto"/>
              <w:rPr>
                <w:rFonts w:ascii="Times New Roman" w:hAnsi="Times New Roman" w:cs="Times New Roman"/>
                <w:color w:val="000000"/>
                <w:sz w:val="20"/>
                <w:szCs w:val="20"/>
              </w:rPr>
            </w:pPr>
            <w:r w:rsidRPr="00A07F29">
              <w:rPr>
                <w:rFonts w:ascii="Times New Roman" w:hAnsi="Times New Roman" w:cs="Times New Roman"/>
                <w:color w:val="000000"/>
                <w:sz w:val="20"/>
                <w:szCs w:val="20"/>
              </w:rPr>
              <w:t xml:space="preserve">Parastais </w:t>
            </w:r>
            <w:proofErr w:type="spellStart"/>
            <w:r w:rsidRPr="00A07F29">
              <w:rPr>
                <w:rFonts w:ascii="Times New Roman" w:hAnsi="Times New Roman" w:cs="Times New Roman"/>
                <w:color w:val="000000"/>
                <w:sz w:val="20"/>
                <w:szCs w:val="20"/>
              </w:rPr>
              <w:t>plaušķērpis</w:t>
            </w:r>
            <w:proofErr w:type="spellEnd"/>
          </w:p>
        </w:tc>
        <w:tc>
          <w:tcPr>
            <w:tcW w:w="870" w:type="pct"/>
            <w:shd w:val="clear" w:color="auto" w:fill="auto"/>
            <w:noWrap/>
            <w:vAlign w:val="center"/>
          </w:tcPr>
          <w:p w14:paraId="18FD69DB" w14:textId="77777777" w:rsidR="002B1603" w:rsidRPr="00A07F29" w:rsidRDefault="002B1603" w:rsidP="0091085D">
            <w:pPr>
              <w:autoSpaceDE w:val="0"/>
              <w:autoSpaceDN w:val="0"/>
              <w:adjustRightInd w:val="0"/>
              <w:spacing w:before="80" w:after="80" w:line="240" w:lineRule="auto"/>
              <w:rPr>
                <w:rFonts w:ascii="Times New Roman" w:hAnsi="Times New Roman" w:cs="Times New Roman"/>
                <w:color w:val="000000"/>
                <w:sz w:val="20"/>
                <w:szCs w:val="20"/>
              </w:rPr>
            </w:pPr>
            <w:proofErr w:type="spellStart"/>
            <w:r w:rsidRPr="00A07F29">
              <w:rPr>
                <w:rFonts w:ascii="Times New Roman" w:hAnsi="Times New Roman" w:cs="Times New Roman"/>
                <w:i/>
                <w:color w:val="000000"/>
                <w:sz w:val="20"/>
                <w:szCs w:val="20"/>
              </w:rPr>
              <w:t>Lobaria</w:t>
            </w:r>
            <w:proofErr w:type="spellEnd"/>
            <w:r w:rsidRPr="00A07F29">
              <w:rPr>
                <w:rFonts w:ascii="Times New Roman" w:hAnsi="Times New Roman" w:cs="Times New Roman"/>
                <w:i/>
                <w:color w:val="000000"/>
                <w:sz w:val="20"/>
                <w:szCs w:val="20"/>
              </w:rPr>
              <w:t xml:space="preserve"> </w:t>
            </w:r>
            <w:proofErr w:type="spellStart"/>
            <w:r w:rsidRPr="00A07F29">
              <w:rPr>
                <w:rFonts w:ascii="Times New Roman" w:hAnsi="Times New Roman" w:cs="Times New Roman"/>
                <w:i/>
                <w:color w:val="000000"/>
                <w:sz w:val="20"/>
                <w:szCs w:val="20"/>
              </w:rPr>
              <w:t>pulmonaria</w:t>
            </w:r>
            <w:proofErr w:type="spellEnd"/>
            <w:r w:rsidRPr="00A07F29">
              <w:rPr>
                <w:rFonts w:ascii="Times New Roman" w:hAnsi="Times New Roman" w:cs="Times New Roman"/>
                <w:color w:val="000000"/>
                <w:sz w:val="20"/>
                <w:szCs w:val="20"/>
              </w:rPr>
              <w:t xml:space="preserve"> () </w:t>
            </w:r>
            <w:proofErr w:type="spellStart"/>
            <w:r w:rsidRPr="00A07F29">
              <w:rPr>
                <w:rFonts w:ascii="Times New Roman" w:hAnsi="Times New Roman" w:cs="Times New Roman"/>
                <w:color w:val="000000"/>
                <w:sz w:val="20"/>
                <w:szCs w:val="20"/>
              </w:rPr>
              <w:t>Hoffm</w:t>
            </w:r>
            <w:proofErr w:type="spellEnd"/>
          </w:p>
        </w:tc>
        <w:tc>
          <w:tcPr>
            <w:tcW w:w="531" w:type="pct"/>
            <w:shd w:val="clear" w:color="auto" w:fill="auto"/>
            <w:noWrap/>
            <w:vAlign w:val="center"/>
          </w:tcPr>
          <w:p w14:paraId="4CD2B413" w14:textId="77777777" w:rsidR="002B1603" w:rsidRPr="00A07F29" w:rsidRDefault="002B1603" w:rsidP="0091085D">
            <w:pPr>
              <w:spacing w:before="80" w:after="80" w:line="240" w:lineRule="auto"/>
              <w:jc w:val="center"/>
              <w:rPr>
                <w:rFonts w:ascii="Times New Roman" w:hAnsi="Times New Roman" w:cs="Times New Roman"/>
                <w:color w:val="000000"/>
                <w:sz w:val="20"/>
              </w:rPr>
            </w:pPr>
            <w:r w:rsidRPr="00A07F29">
              <w:rPr>
                <w:rFonts w:ascii="Times New Roman" w:hAnsi="Times New Roman" w:cs="Times New Roman"/>
                <w:sz w:val="20"/>
              </w:rPr>
              <w:t>ĪAS (1)</w:t>
            </w:r>
          </w:p>
        </w:tc>
        <w:tc>
          <w:tcPr>
            <w:tcW w:w="560" w:type="pct"/>
            <w:shd w:val="clear" w:color="auto" w:fill="auto"/>
            <w:noWrap/>
            <w:vAlign w:val="center"/>
          </w:tcPr>
          <w:p w14:paraId="4A531B9D" w14:textId="5B888BBE" w:rsidR="002B1603" w:rsidRPr="00A07F29" w:rsidRDefault="00AC0CA3" w:rsidP="0091085D">
            <w:pPr>
              <w:spacing w:before="80" w:after="80" w:line="240" w:lineRule="auto"/>
              <w:rPr>
                <w:rFonts w:ascii="Times New Roman" w:hAnsi="Times New Roman" w:cs="Times New Roman"/>
                <w:color w:val="000000"/>
                <w:sz w:val="20"/>
              </w:rPr>
            </w:pPr>
            <w:r>
              <w:rPr>
                <w:rFonts w:ascii="Times New Roman" w:hAnsi="Times New Roman" w:cs="Times New Roman"/>
                <w:color w:val="000000"/>
                <w:sz w:val="20"/>
              </w:rPr>
              <w:t>L</w:t>
            </w:r>
            <w:r w:rsidR="002B1603" w:rsidRPr="00A07F29">
              <w:rPr>
                <w:rFonts w:ascii="Times New Roman" w:hAnsi="Times New Roman" w:cs="Times New Roman"/>
                <w:color w:val="000000"/>
                <w:sz w:val="20"/>
              </w:rPr>
              <w:t>SG (</w:t>
            </w:r>
            <w:r w:rsidR="001655F5">
              <w:rPr>
                <w:rFonts w:ascii="Times New Roman" w:hAnsi="Times New Roman" w:cs="Times New Roman"/>
                <w:color w:val="000000"/>
                <w:sz w:val="20"/>
              </w:rPr>
              <w:t>I</w:t>
            </w:r>
            <w:r w:rsidR="002B1603" w:rsidRPr="00A07F29">
              <w:rPr>
                <w:rFonts w:ascii="Times New Roman" w:hAnsi="Times New Roman" w:cs="Times New Roman"/>
                <w:color w:val="000000"/>
                <w:sz w:val="20"/>
              </w:rPr>
              <w:t>),</w:t>
            </w:r>
            <w:r w:rsidR="002B1603" w:rsidRPr="00A07F29">
              <w:rPr>
                <w:rFonts w:ascii="Times New Roman" w:hAnsi="Times New Roman" w:cs="Times New Roman"/>
                <w:sz w:val="20"/>
              </w:rPr>
              <w:t xml:space="preserve"> MAB (BSS)</w:t>
            </w:r>
          </w:p>
        </w:tc>
        <w:tc>
          <w:tcPr>
            <w:tcW w:w="907" w:type="pct"/>
            <w:shd w:val="clear" w:color="auto" w:fill="auto"/>
          </w:tcPr>
          <w:p w14:paraId="71572049" w14:textId="6D6079C1" w:rsidR="002B1603" w:rsidRPr="00A07F29" w:rsidRDefault="002B1603" w:rsidP="0091085D">
            <w:pPr>
              <w:spacing w:before="80" w:after="80" w:line="240" w:lineRule="auto"/>
              <w:jc w:val="both"/>
              <w:rPr>
                <w:rFonts w:ascii="Times New Roman" w:hAnsi="Times New Roman" w:cs="Times New Roman"/>
                <w:sz w:val="20"/>
              </w:rPr>
            </w:pPr>
            <w:r w:rsidRPr="00A07F29">
              <w:rPr>
                <w:rFonts w:ascii="Times New Roman" w:hAnsi="Times New Roman" w:cs="Times New Roman"/>
                <w:sz w:val="20"/>
              </w:rPr>
              <w:t xml:space="preserve">Suga sastopama samērā reti visā Latvijas teritorijā. Pēdējo 20 gadu laikā zināmo atradņu skaits valstī ir vismaz trīskāršojies </w:t>
            </w:r>
            <w:r w:rsidRPr="00A07F29">
              <w:rPr>
                <w:rFonts w:ascii="Times New Roman" w:hAnsi="Times New Roman" w:cs="Times New Roman"/>
                <w:sz w:val="20"/>
              </w:rPr>
              <w:lastRenderedPageBreak/>
              <w:t>(</w:t>
            </w:r>
            <w:proofErr w:type="spellStart"/>
            <w:r w:rsidRPr="00A07F29">
              <w:rPr>
                <w:rFonts w:ascii="Times New Roman" w:hAnsi="Times New Roman" w:cs="Times New Roman"/>
                <w:sz w:val="20"/>
              </w:rPr>
              <w:t>Piterāns</w:t>
            </w:r>
            <w:proofErr w:type="spellEnd"/>
            <w:r w:rsidR="00204B25">
              <w:rPr>
                <w:rFonts w:ascii="Times New Roman" w:hAnsi="Times New Roman" w:cs="Times New Roman"/>
                <w:sz w:val="20"/>
              </w:rPr>
              <w:t xml:space="preserve"> A.,</w:t>
            </w:r>
            <w:r w:rsidRPr="00A07F29">
              <w:rPr>
                <w:rFonts w:ascii="Times New Roman" w:hAnsi="Times New Roman" w:cs="Times New Roman"/>
                <w:sz w:val="20"/>
              </w:rPr>
              <w:t xml:space="preserve"> 1981, </w:t>
            </w:r>
            <w:proofErr w:type="spellStart"/>
            <w:r w:rsidRPr="00A07F29">
              <w:rPr>
                <w:rFonts w:ascii="Times New Roman" w:hAnsi="Times New Roman" w:cs="Times New Roman"/>
                <w:sz w:val="20"/>
              </w:rPr>
              <w:t>Piterāns</w:t>
            </w:r>
            <w:proofErr w:type="spellEnd"/>
            <w:r w:rsidR="003C3FD4">
              <w:rPr>
                <w:rFonts w:ascii="Times New Roman" w:hAnsi="Times New Roman" w:cs="Times New Roman"/>
                <w:sz w:val="20"/>
              </w:rPr>
              <w:t xml:space="preserve"> A., Vimba </w:t>
            </w:r>
            <w:r w:rsidR="00E9553E">
              <w:rPr>
                <w:rFonts w:ascii="Times New Roman" w:hAnsi="Times New Roman" w:cs="Times New Roman"/>
                <w:sz w:val="20"/>
              </w:rPr>
              <w:t>E.,</w:t>
            </w:r>
            <w:r w:rsidRPr="00A07F29">
              <w:rPr>
                <w:rFonts w:ascii="Times New Roman" w:hAnsi="Times New Roman" w:cs="Times New Roman"/>
                <w:sz w:val="20"/>
              </w:rPr>
              <w:t xml:space="preserve"> 1996, </w:t>
            </w:r>
            <w:proofErr w:type="spellStart"/>
            <w:r w:rsidRPr="00A07F29">
              <w:rPr>
                <w:rFonts w:ascii="Times New Roman" w:hAnsi="Times New Roman" w:cs="Times New Roman"/>
                <w:sz w:val="20"/>
              </w:rPr>
              <w:t>Moisejevs</w:t>
            </w:r>
            <w:proofErr w:type="spellEnd"/>
            <w:r w:rsidR="00204B25">
              <w:rPr>
                <w:rFonts w:ascii="Times New Roman" w:hAnsi="Times New Roman" w:cs="Times New Roman"/>
                <w:sz w:val="20"/>
              </w:rPr>
              <w:t xml:space="preserve"> R.</w:t>
            </w:r>
            <w:r w:rsidRPr="00A07F29">
              <w:rPr>
                <w:rFonts w:ascii="Times New Roman" w:hAnsi="Times New Roman" w:cs="Times New Roman"/>
                <w:sz w:val="20"/>
              </w:rPr>
              <w:t>, 2017b).</w:t>
            </w:r>
          </w:p>
        </w:tc>
        <w:tc>
          <w:tcPr>
            <w:tcW w:w="1299" w:type="pct"/>
            <w:shd w:val="clear" w:color="auto" w:fill="auto"/>
          </w:tcPr>
          <w:p w14:paraId="367E90F3" w14:textId="77777777" w:rsidR="002B1603" w:rsidRPr="00A07F29" w:rsidRDefault="002B1603" w:rsidP="0091085D">
            <w:pPr>
              <w:spacing w:before="80" w:after="80" w:line="240" w:lineRule="auto"/>
              <w:jc w:val="both"/>
              <w:rPr>
                <w:rFonts w:ascii="Times New Roman" w:hAnsi="Times New Roman" w:cs="Times New Roman"/>
                <w:color w:val="000000"/>
                <w:sz w:val="20"/>
              </w:rPr>
            </w:pPr>
            <w:r w:rsidRPr="00A07F29">
              <w:rPr>
                <w:rFonts w:ascii="Times New Roman" w:hAnsi="Times New Roman" w:cs="Times New Roman"/>
                <w:color w:val="000000"/>
                <w:sz w:val="20"/>
              </w:rPr>
              <w:lastRenderedPageBreak/>
              <w:t xml:space="preserve">AAA “Augšdaugava” teritorijā suga sastopama ļoti reti, lokāli. Viens ķērpja </w:t>
            </w:r>
            <w:proofErr w:type="spellStart"/>
            <w:r w:rsidRPr="00A07F29">
              <w:rPr>
                <w:rFonts w:ascii="Times New Roman" w:hAnsi="Times New Roman" w:cs="Times New Roman"/>
                <w:color w:val="000000"/>
                <w:sz w:val="20"/>
              </w:rPr>
              <w:t>laponis</w:t>
            </w:r>
            <w:proofErr w:type="spellEnd"/>
            <w:r w:rsidRPr="00A07F29">
              <w:rPr>
                <w:rFonts w:ascii="Times New Roman" w:hAnsi="Times New Roman" w:cs="Times New Roman"/>
                <w:color w:val="000000"/>
                <w:sz w:val="20"/>
              </w:rPr>
              <w:t xml:space="preserve"> konstatēts nogāžu un gravu mežā netālu no </w:t>
            </w:r>
            <w:proofErr w:type="spellStart"/>
            <w:r w:rsidRPr="00A07F29">
              <w:rPr>
                <w:rFonts w:ascii="Times New Roman" w:hAnsi="Times New Roman" w:cs="Times New Roman"/>
                <w:color w:val="000000"/>
                <w:sz w:val="20"/>
              </w:rPr>
              <w:t>Juzefovas</w:t>
            </w:r>
            <w:proofErr w:type="spellEnd"/>
            <w:r w:rsidRPr="00A07F29">
              <w:rPr>
                <w:rFonts w:ascii="Times New Roman" w:hAnsi="Times New Roman" w:cs="Times New Roman"/>
                <w:color w:val="000000"/>
                <w:sz w:val="20"/>
              </w:rPr>
              <w:t xml:space="preserve"> parka.</w:t>
            </w:r>
          </w:p>
        </w:tc>
      </w:tr>
      <w:tr w:rsidR="002B1603" w:rsidRPr="00A07F29" w14:paraId="1AE7D13F" w14:textId="77777777" w:rsidTr="00130C6F">
        <w:trPr>
          <w:trHeight w:val="20"/>
          <w:jc w:val="center"/>
        </w:trPr>
        <w:tc>
          <w:tcPr>
            <w:tcW w:w="833" w:type="pct"/>
            <w:shd w:val="clear" w:color="auto" w:fill="auto"/>
            <w:noWrap/>
            <w:vAlign w:val="center"/>
          </w:tcPr>
          <w:p w14:paraId="71ECC08A" w14:textId="77777777" w:rsidR="002B1603" w:rsidRPr="00A07F29" w:rsidRDefault="002B1603" w:rsidP="0091085D">
            <w:pPr>
              <w:autoSpaceDE w:val="0"/>
              <w:autoSpaceDN w:val="0"/>
              <w:adjustRightInd w:val="0"/>
              <w:spacing w:before="80" w:after="80" w:line="240" w:lineRule="auto"/>
              <w:rPr>
                <w:rFonts w:ascii="Times New Roman" w:hAnsi="Times New Roman" w:cs="Times New Roman"/>
                <w:color w:val="000000"/>
                <w:sz w:val="20"/>
                <w:szCs w:val="20"/>
              </w:rPr>
            </w:pPr>
            <w:r w:rsidRPr="00A07F29">
              <w:rPr>
                <w:rFonts w:ascii="Times New Roman" w:hAnsi="Times New Roman" w:cs="Times New Roman"/>
                <w:color w:val="000000"/>
                <w:sz w:val="20"/>
                <w:szCs w:val="20"/>
              </w:rPr>
              <w:t xml:space="preserve">Ādainā </w:t>
            </w:r>
            <w:proofErr w:type="spellStart"/>
            <w:r w:rsidRPr="00A07F29">
              <w:rPr>
                <w:rFonts w:ascii="Times New Roman" w:hAnsi="Times New Roman" w:cs="Times New Roman"/>
                <w:color w:val="000000"/>
                <w:sz w:val="20"/>
                <w:szCs w:val="20"/>
              </w:rPr>
              <w:t>parmēlija</w:t>
            </w:r>
            <w:proofErr w:type="spellEnd"/>
          </w:p>
        </w:tc>
        <w:tc>
          <w:tcPr>
            <w:tcW w:w="870" w:type="pct"/>
            <w:shd w:val="clear" w:color="auto" w:fill="auto"/>
            <w:noWrap/>
            <w:vAlign w:val="center"/>
          </w:tcPr>
          <w:p w14:paraId="22A35B9B" w14:textId="77777777" w:rsidR="002B1603" w:rsidRPr="00A07F29" w:rsidRDefault="002B1603" w:rsidP="0091085D">
            <w:pPr>
              <w:autoSpaceDE w:val="0"/>
              <w:autoSpaceDN w:val="0"/>
              <w:adjustRightInd w:val="0"/>
              <w:spacing w:before="80" w:after="80" w:line="240" w:lineRule="auto"/>
              <w:rPr>
                <w:rFonts w:ascii="Times New Roman" w:hAnsi="Times New Roman" w:cs="Times New Roman"/>
                <w:iCs/>
                <w:color w:val="000000"/>
                <w:sz w:val="20"/>
                <w:szCs w:val="20"/>
              </w:rPr>
            </w:pPr>
            <w:proofErr w:type="spellStart"/>
            <w:r w:rsidRPr="00A07F29">
              <w:rPr>
                <w:rFonts w:ascii="Times New Roman" w:hAnsi="Times New Roman" w:cs="Times New Roman"/>
                <w:i/>
                <w:iCs/>
                <w:color w:val="000000"/>
                <w:sz w:val="20"/>
                <w:szCs w:val="20"/>
              </w:rPr>
              <w:t>Parmelina</w:t>
            </w:r>
            <w:proofErr w:type="spellEnd"/>
            <w:r w:rsidRPr="00A07F29">
              <w:rPr>
                <w:rFonts w:ascii="Times New Roman" w:hAnsi="Times New Roman" w:cs="Times New Roman"/>
                <w:i/>
                <w:iCs/>
                <w:color w:val="000000"/>
                <w:sz w:val="20"/>
                <w:szCs w:val="20"/>
              </w:rPr>
              <w:t xml:space="preserve"> </w:t>
            </w:r>
            <w:proofErr w:type="spellStart"/>
            <w:r w:rsidRPr="00A07F29">
              <w:rPr>
                <w:rFonts w:ascii="Times New Roman" w:hAnsi="Times New Roman" w:cs="Times New Roman"/>
                <w:i/>
                <w:iCs/>
                <w:color w:val="000000"/>
                <w:sz w:val="20"/>
                <w:szCs w:val="20"/>
              </w:rPr>
              <w:t>tiliacea</w:t>
            </w:r>
            <w:proofErr w:type="spellEnd"/>
            <w:r w:rsidRPr="00A07F29">
              <w:rPr>
                <w:rFonts w:ascii="Times New Roman" w:hAnsi="Times New Roman" w:cs="Times New Roman"/>
                <w:iCs/>
                <w:color w:val="000000"/>
                <w:sz w:val="20"/>
                <w:szCs w:val="20"/>
              </w:rPr>
              <w:t xml:space="preserve"> (</w:t>
            </w:r>
            <w:proofErr w:type="spellStart"/>
            <w:r w:rsidRPr="00A07F29">
              <w:rPr>
                <w:rFonts w:ascii="Times New Roman" w:hAnsi="Times New Roman" w:cs="Times New Roman"/>
                <w:iCs/>
                <w:color w:val="000000"/>
                <w:sz w:val="20"/>
                <w:szCs w:val="20"/>
              </w:rPr>
              <w:t>Hoffm</w:t>
            </w:r>
            <w:proofErr w:type="spellEnd"/>
            <w:r w:rsidRPr="00A07F29">
              <w:rPr>
                <w:rFonts w:ascii="Times New Roman" w:hAnsi="Times New Roman" w:cs="Times New Roman"/>
                <w:iCs/>
                <w:color w:val="000000"/>
                <w:sz w:val="20"/>
                <w:szCs w:val="20"/>
              </w:rPr>
              <w:t xml:space="preserve">.) </w:t>
            </w:r>
            <w:proofErr w:type="spellStart"/>
            <w:r w:rsidRPr="00A07F29">
              <w:rPr>
                <w:rFonts w:ascii="Times New Roman" w:hAnsi="Times New Roman" w:cs="Times New Roman"/>
                <w:iCs/>
                <w:color w:val="000000"/>
                <w:sz w:val="20"/>
                <w:szCs w:val="20"/>
              </w:rPr>
              <w:t>Hale</w:t>
            </w:r>
            <w:proofErr w:type="spellEnd"/>
          </w:p>
        </w:tc>
        <w:tc>
          <w:tcPr>
            <w:tcW w:w="531" w:type="pct"/>
            <w:shd w:val="clear" w:color="auto" w:fill="auto"/>
            <w:noWrap/>
            <w:vAlign w:val="center"/>
          </w:tcPr>
          <w:p w14:paraId="6FFE0B51" w14:textId="77777777" w:rsidR="002B1603" w:rsidRPr="00A07F29" w:rsidRDefault="002B1603" w:rsidP="0091085D">
            <w:pPr>
              <w:spacing w:before="80" w:after="80" w:line="240" w:lineRule="auto"/>
              <w:jc w:val="center"/>
              <w:rPr>
                <w:rFonts w:ascii="Times New Roman" w:hAnsi="Times New Roman" w:cs="Times New Roman"/>
                <w:color w:val="000000"/>
                <w:sz w:val="20"/>
              </w:rPr>
            </w:pPr>
            <w:r w:rsidRPr="00A07F29">
              <w:rPr>
                <w:rFonts w:ascii="Times New Roman" w:hAnsi="Times New Roman" w:cs="Times New Roman"/>
                <w:color w:val="000000"/>
                <w:sz w:val="20"/>
              </w:rPr>
              <w:t>ĪAS (1), MIK</w:t>
            </w:r>
          </w:p>
        </w:tc>
        <w:tc>
          <w:tcPr>
            <w:tcW w:w="560" w:type="pct"/>
            <w:shd w:val="clear" w:color="auto" w:fill="auto"/>
            <w:noWrap/>
            <w:vAlign w:val="center"/>
          </w:tcPr>
          <w:p w14:paraId="0005239B" w14:textId="6E251549" w:rsidR="002B1603" w:rsidRPr="00A07F29" w:rsidRDefault="00AC0CA3" w:rsidP="0091085D">
            <w:pPr>
              <w:spacing w:before="80" w:after="80" w:line="240" w:lineRule="auto"/>
              <w:rPr>
                <w:rFonts w:ascii="Times New Roman" w:hAnsi="Times New Roman" w:cs="Times New Roman"/>
                <w:color w:val="000000"/>
                <w:sz w:val="20"/>
              </w:rPr>
            </w:pPr>
            <w:r>
              <w:rPr>
                <w:rFonts w:ascii="Times New Roman" w:hAnsi="Times New Roman" w:cs="Times New Roman"/>
                <w:color w:val="000000"/>
                <w:sz w:val="20"/>
              </w:rPr>
              <w:t>L</w:t>
            </w:r>
            <w:r w:rsidR="002B1603" w:rsidRPr="00A07F29">
              <w:rPr>
                <w:rFonts w:ascii="Times New Roman" w:hAnsi="Times New Roman" w:cs="Times New Roman"/>
                <w:color w:val="000000"/>
                <w:sz w:val="20"/>
              </w:rPr>
              <w:t>SG (</w:t>
            </w:r>
            <w:r w:rsidR="001655F5">
              <w:rPr>
                <w:rFonts w:ascii="Times New Roman" w:hAnsi="Times New Roman" w:cs="Times New Roman"/>
                <w:color w:val="000000"/>
                <w:sz w:val="20"/>
              </w:rPr>
              <w:t>III</w:t>
            </w:r>
            <w:r w:rsidR="002B1603" w:rsidRPr="00A07F29">
              <w:rPr>
                <w:rFonts w:ascii="Times New Roman" w:hAnsi="Times New Roman" w:cs="Times New Roman"/>
                <w:color w:val="000000"/>
                <w:sz w:val="20"/>
              </w:rPr>
              <w:t xml:space="preserve">), </w:t>
            </w:r>
            <w:r w:rsidR="002B1603" w:rsidRPr="00A07F29">
              <w:rPr>
                <w:rFonts w:ascii="Times New Roman" w:hAnsi="Times New Roman" w:cs="Times New Roman"/>
                <w:sz w:val="20"/>
              </w:rPr>
              <w:t>MAB (BSS)</w:t>
            </w:r>
          </w:p>
        </w:tc>
        <w:tc>
          <w:tcPr>
            <w:tcW w:w="907" w:type="pct"/>
            <w:shd w:val="clear" w:color="auto" w:fill="auto"/>
          </w:tcPr>
          <w:p w14:paraId="6033AA7A" w14:textId="1F2199C1" w:rsidR="002B1603" w:rsidRPr="00A07F29" w:rsidRDefault="002B1603" w:rsidP="0091085D">
            <w:pPr>
              <w:spacing w:before="80" w:after="80" w:line="240" w:lineRule="auto"/>
              <w:jc w:val="both"/>
              <w:rPr>
                <w:rFonts w:ascii="Times New Roman" w:hAnsi="Times New Roman" w:cs="Times New Roman"/>
                <w:sz w:val="20"/>
              </w:rPr>
            </w:pPr>
            <w:r w:rsidRPr="00A07F29">
              <w:rPr>
                <w:rFonts w:ascii="Times New Roman" w:hAnsi="Times New Roman" w:cs="Times New Roman"/>
                <w:sz w:val="20"/>
              </w:rPr>
              <w:t>Suga sastopama samērā bieži visā Latvijā (Āboliņa</w:t>
            </w:r>
            <w:r w:rsidR="00204B25">
              <w:rPr>
                <w:rFonts w:ascii="Times New Roman" w:hAnsi="Times New Roman" w:cs="Times New Roman"/>
                <w:sz w:val="20"/>
              </w:rPr>
              <w:t xml:space="preserve"> A. </w:t>
            </w:r>
            <w:r w:rsidRPr="00A07F29">
              <w:rPr>
                <w:rFonts w:ascii="Times New Roman" w:hAnsi="Times New Roman" w:cs="Times New Roman"/>
                <w:sz w:val="20"/>
              </w:rPr>
              <w:t>&amp;</w:t>
            </w:r>
            <w:r w:rsidR="00204B25">
              <w:rPr>
                <w:rFonts w:ascii="Times New Roman" w:hAnsi="Times New Roman" w:cs="Times New Roman"/>
                <w:sz w:val="20"/>
              </w:rPr>
              <w:t xml:space="preserve"> </w:t>
            </w:r>
            <w:r w:rsidRPr="00A07F29">
              <w:rPr>
                <w:rFonts w:ascii="Times New Roman" w:hAnsi="Times New Roman" w:cs="Times New Roman"/>
                <w:sz w:val="20"/>
              </w:rPr>
              <w:t>Vimba</w:t>
            </w:r>
            <w:r w:rsidR="00204B25">
              <w:rPr>
                <w:rFonts w:ascii="Times New Roman" w:hAnsi="Times New Roman" w:cs="Times New Roman"/>
                <w:sz w:val="20"/>
              </w:rPr>
              <w:t xml:space="preserve"> E.</w:t>
            </w:r>
            <w:r w:rsidRPr="00A07F29">
              <w:rPr>
                <w:rFonts w:ascii="Times New Roman" w:hAnsi="Times New Roman" w:cs="Times New Roman"/>
                <w:sz w:val="20"/>
              </w:rPr>
              <w:t xml:space="preserve">, 1959, </w:t>
            </w:r>
            <w:proofErr w:type="spellStart"/>
            <w:r w:rsidRPr="00A07F29">
              <w:rPr>
                <w:rFonts w:ascii="Times New Roman" w:hAnsi="Times New Roman" w:cs="Times New Roman"/>
                <w:sz w:val="20"/>
              </w:rPr>
              <w:t>Piterāns</w:t>
            </w:r>
            <w:proofErr w:type="spellEnd"/>
            <w:r w:rsidRPr="00A07F29">
              <w:rPr>
                <w:rFonts w:ascii="Times New Roman" w:hAnsi="Times New Roman" w:cs="Times New Roman"/>
                <w:sz w:val="20"/>
              </w:rPr>
              <w:t xml:space="preserve"> 1981, </w:t>
            </w:r>
            <w:proofErr w:type="spellStart"/>
            <w:r w:rsidRPr="00A07F29">
              <w:rPr>
                <w:rFonts w:ascii="Times New Roman" w:hAnsi="Times New Roman" w:cs="Times New Roman"/>
                <w:sz w:val="20"/>
              </w:rPr>
              <w:t>Moisejevs</w:t>
            </w:r>
            <w:proofErr w:type="spellEnd"/>
            <w:r w:rsidR="00204B25">
              <w:rPr>
                <w:rFonts w:ascii="Times New Roman" w:hAnsi="Times New Roman" w:cs="Times New Roman"/>
                <w:sz w:val="20"/>
              </w:rPr>
              <w:t xml:space="preserve"> R.</w:t>
            </w:r>
            <w:r w:rsidRPr="00A07F29">
              <w:rPr>
                <w:rFonts w:ascii="Times New Roman" w:hAnsi="Times New Roman" w:cs="Times New Roman"/>
                <w:sz w:val="20"/>
              </w:rPr>
              <w:t>, 2017).</w:t>
            </w:r>
          </w:p>
        </w:tc>
        <w:tc>
          <w:tcPr>
            <w:tcW w:w="1299" w:type="pct"/>
            <w:shd w:val="clear" w:color="auto" w:fill="auto"/>
          </w:tcPr>
          <w:p w14:paraId="391FFADD" w14:textId="77777777" w:rsidR="002B1603" w:rsidRPr="00A07F29" w:rsidRDefault="002B1603" w:rsidP="0091085D">
            <w:pPr>
              <w:spacing w:before="80" w:after="80" w:line="240" w:lineRule="auto"/>
              <w:jc w:val="both"/>
              <w:rPr>
                <w:rFonts w:ascii="Times New Roman" w:hAnsi="Times New Roman" w:cs="Times New Roman"/>
                <w:color w:val="000000"/>
                <w:sz w:val="20"/>
              </w:rPr>
            </w:pPr>
            <w:r w:rsidRPr="00A07F29">
              <w:rPr>
                <w:rFonts w:ascii="Times New Roman" w:hAnsi="Times New Roman" w:cs="Times New Roman"/>
                <w:color w:val="000000"/>
                <w:sz w:val="20"/>
              </w:rPr>
              <w:t xml:space="preserve">AAA “Augšdaugava” teritorijā suga sastopama reti. Viena populācija konstatēta uz ceļmalā augoša parastā oša </w:t>
            </w:r>
            <w:proofErr w:type="spellStart"/>
            <w:r w:rsidRPr="00A07F29">
              <w:rPr>
                <w:rFonts w:ascii="Times New Roman" w:hAnsi="Times New Roman" w:cs="Times New Roman"/>
                <w:i/>
                <w:color w:val="000000"/>
                <w:sz w:val="20"/>
              </w:rPr>
              <w:t>Fraxinus</w:t>
            </w:r>
            <w:proofErr w:type="spellEnd"/>
            <w:r w:rsidRPr="00A07F29">
              <w:rPr>
                <w:rFonts w:ascii="Times New Roman" w:hAnsi="Times New Roman" w:cs="Times New Roman"/>
                <w:i/>
                <w:color w:val="000000"/>
                <w:sz w:val="20"/>
              </w:rPr>
              <w:t xml:space="preserve"> </w:t>
            </w:r>
            <w:proofErr w:type="spellStart"/>
            <w:r w:rsidRPr="00A07F29">
              <w:rPr>
                <w:rFonts w:ascii="Times New Roman" w:hAnsi="Times New Roman" w:cs="Times New Roman"/>
                <w:i/>
                <w:color w:val="000000"/>
                <w:sz w:val="20"/>
              </w:rPr>
              <w:t>excelsior</w:t>
            </w:r>
            <w:proofErr w:type="spellEnd"/>
            <w:r w:rsidRPr="00A07F29">
              <w:rPr>
                <w:rFonts w:ascii="Times New Roman" w:hAnsi="Times New Roman" w:cs="Times New Roman"/>
                <w:color w:val="000000"/>
                <w:sz w:val="20"/>
              </w:rPr>
              <w:t xml:space="preserve"> netālu no </w:t>
            </w:r>
            <w:proofErr w:type="spellStart"/>
            <w:r w:rsidRPr="00A07F29">
              <w:rPr>
                <w:rFonts w:ascii="Times New Roman" w:hAnsi="Times New Roman" w:cs="Times New Roman"/>
                <w:color w:val="000000"/>
                <w:sz w:val="20"/>
              </w:rPr>
              <w:t>Slutišķiem</w:t>
            </w:r>
            <w:proofErr w:type="spellEnd"/>
            <w:r w:rsidRPr="00A07F29">
              <w:rPr>
                <w:rFonts w:ascii="Times New Roman" w:hAnsi="Times New Roman" w:cs="Times New Roman"/>
                <w:color w:val="000000"/>
                <w:sz w:val="20"/>
              </w:rPr>
              <w:t xml:space="preserve">. </w:t>
            </w:r>
          </w:p>
        </w:tc>
      </w:tr>
      <w:tr w:rsidR="002B1603" w:rsidRPr="00A07F29" w14:paraId="24711DEE" w14:textId="77777777" w:rsidTr="00130C6F">
        <w:trPr>
          <w:trHeight w:val="20"/>
          <w:jc w:val="center"/>
        </w:trPr>
        <w:tc>
          <w:tcPr>
            <w:tcW w:w="833" w:type="pct"/>
            <w:shd w:val="clear" w:color="auto" w:fill="auto"/>
            <w:noWrap/>
            <w:vAlign w:val="center"/>
          </w:tcPr>
          <w:p w14:paraId="4A531303" w14:textId="77777777" w:rsidR="002B1603" w:rsidRPr="00A07F29" w:rsidRDefault="002B1603" w:rsidP="0091085D">
            <w:pPr>
              <w:autoSpaceDE w:val="0"/>
              <w:autoSpaceDN w:val="0"/>
              <w:adjustRightInd w:val="0"/>
              <w:spacing w:before="80" w:after="80" w:line="240" w:lineRule="auto"/>
              <w:rPr>
                <w:rFonts w:ascii="Times New Roman" w:hAnsi="Times New Roman" w:cs="Times New Roman"/>
                <w:color w:val="000000"/>
                <w:sz w:val="20"/>
                <w:szCs w:val="20"/>
              </w:rPr>
            </w:pPr>
            <w:proofErr w:type="spellStart"/>
            <w:r w:rsidRPr="00A07F29">
              <w:rPr>
                <w:rFonts w:ascii="Times New Roman" w:hAnsi="Times New Roman" w:cs="Times New Roman"/>
                <w:color w:val="000000"/>
                <w:sz w:val="20"/>
                <w:szCs w:val="20"/>
              </w:rPr>
              <w:t>Kausveida</w:t>
            </w:r>
            <w:proofErr w:type="spellEnd"/>
            <w:r w:rsidRPr="00A07F29">
              <w:rPr>
                <w:rFonts w:ascii="Times New Roman" w:hAnsi="Times New Roman" w:cs="Times New Roman"/>
                <w:color w:val="000000"/>
                <w:sz w:val="20"/>
                <w:szCs w:val="20"/>
              </w:rPr>
              <w:t xml:space="preserve"> </w:t>
            </w:r>
            <w:proofErr w:type="spellStart"/>
            <w:r w:rsidRPr="00A07F29">
              <w:rPr>
                <w:rFonts w:ascii="Times New Roman" w:hAnsi="Times New Roman" w:cs="Times New Roman"/>
                <w:color w:val="000000"/>
                <w:sz w:val="20"/>
                <w:szCs w:val="20"/>
              </w:rPr>
              <w:t>pleurostitka</w:t>
            </w:r>
            <w:proofErr w:type="spellEnd"/>
          </w:p>
        </w:tc>
        <w:tc>
          <w:tcPr>
            <w:tcW w:w="870" w:type="pct"/>
            <w:shd w:val="clear" w:color="auto" w:fill="auto"/>
            <w:noWrap/>
            <w:vAlign w:val="center"/>
          </w:tcPr>
          <w:p w14:paraId="700D2B9C" w14:textId="77777777" w:rsidR="002B1603" w:rsidRPr="00A07F29" w:rsidRDefault="002B1603" w:rsidP="0091085D">
            <w:pPr>
              <w:autoSpaceDE w:val="0"/>
              <w:autoSpaceDN w:val="0"/>
              <w:adjustRightInd w:val="0"/>
              <w:spacing w:before="80" w:after="80" w:line="240" w:lineRule="auto"/>
              <w:rPr>
                <w:rFonts w:ascii="Times New Roman" w:hAnsi="Times New Roman" w:cs="Times New Roman"/>
                <w:i/>
                <w:iCs/>
                <w:color w:val="000000"/>
                <w:sz w:val="20"/>
                <w:szCs w:val="20"/>
              </w:rPr>
            </w:pPr>
            <w:proofErr w:type="spellStart"/>
            <w:r w:rsidRPr="00A07F29">
              <w:rPr>
                <w:rFonts w:ascii="Times New Roman" w:hAnsi="Times New Roman" w:cs="Times New Roman"/>
                <w:i/>
                <w:iCs/>
                <w:color w:val="000000"/>
                <w:sz w:val="20"/>
                <w:szCs w:val="20"/>
              </w:rPr>
              <w:t>Pleurosticta</w:t>
            </w:r>
            <w:proofErr w:type="spellEnd"/>
            <w:r w:rsidRPr="00A07F29">
              <w:rPr>
                <w:rFonts w:ascii="Times New Roman" w:hAnsi="Times New Roman" w:cs="Times New Roman"/>
                <w:i/>
                <w:iCs/>
                <w:color w:val="000000"/>
                <w:sz w:val="20"/>
                <w:szCs w:val="20"/>
              </w:rPr>
              <w:t xml:space="preserve"> </w:t>
            </w:r>
            <w:proofErr w:type="spellStart"/>
            <w:r w:rsidRPr="00A07F29">
              <w:rPr>
                <w:rFonts w:ascii="Times New Roman" w:hAnsi="Times New Roman" w:cs="Times New Roman"/>
                <w:i/>
                <w:iCs/>
                <w:color w:val="000000"/>
                <w:sz w:val="20"/>
                <w:szCs w:val="20"/>
              </w:rPr>
              <w:t>acetabulum</w:t>
            </w:r>
            <w:proofErr w:type="spellEnd"/>
            <w:r w:rsidRPr="00A07F29">
              <w:rPr>
                <w:rFonts w:ascii="Times New Roman" w:hAnsi="Times New Roman" w:cs="Times New Roman"/>
                <w:i/>
                <w:iCs/>
                <w:color w:val="000000"/>
                <w:sz w:val="20"/>
                <w:szCs w:val="20"/>
              </w:rPr>
              <w:t xml:space="preserve"> </w:t>
            </w:r>
            <w:r w:rsidRPr="00A07F29">
              <w:rPr>
                <w:rFonts w:ascii="Times New Roman" w:hAnsi="Times New Roman" w:cs="Times New Roman"/>
                <w:iCs/>
                <w:color w:val="000000"/>
                <w:sz w:val="20"/>
                <w:szCs w:val="20"/>
              </w:rPr>
              <w:t>(</w:t>
            </w:r>
            <w:proofErr w:type="spellStart"/>
            <w:r w:rsidRPr="00A07F29">
              <w:rPr>
                <w:rFonts w:ascii="Times New Roman" w:hAnsi="Times New Roman" w:cs="Times New Roman"/>
                <w:iCs/>
                <w:color w:val="000000"/>
                <w:sz w:val="20"/>
                <w:szCs w:val="20"/>
              </w:rPr>
              <w:t>Neck</w:t>
            </w:r>
            <w:proofErr w:type="spellEnd"/>
            <w:r w:rsidRPr="00A07F29">
              <w:rPr>
                <w:rFonts w:ascii="Times New Roman" w:hAnsi="Times New Roman" w:cs="Times New Roman"/>
                <w:iCs/>
                <w:color w:val="000000"/>
                <w:sz w:val="20"/>
                <w:szCs w:val="20"/>
              </w:rPr>
              <w:t xml:space="preserve">.) </w:t>
            </w:r>
            <w:proofErr w:type="spellStart"/>
            <w:r w:rsidRPr="00A07F29">
              <w:rPr>
                <w:rFonts w:ascii="Times New Roman" w:hAnsi="Times New Roman" w:cs="Times New Roman"/>
                <w:iCs/>
                <w:color w:val="000000"/>
                <w:sz w:val="20"/>
                <w:szCs w:val="20"/>
              </w:rPr>
              <w:t>Duby</w:t>
            </w:r>
            <w:proofErr w:type="spellEnd"/>
            <w:r w:rsidRPr="00A07F29">
              <w:rPr>
                <w:rFonts w:ascii="Times New Roman" w:hAnsi="Times New Roman" w:cs="Times New Roman"/>
                <w:iCs/>
                <w:color w:val="000000"/>
                <w:sz w:val="20"/>
                <w:szCs w:val="20"/>
              </w:rPr>
              <w:t>.</w:t>
            </w:r>
          </w:p>
        </w:tc>
        <w:tc>
          <w:tcPr>
            <w:tcW w:w="531" w:type="pct"/>
            <w:shd w:val="clear" w:color="auto" w:fill="auto"/>
            <w:noWrap/>
            <w:vAlign w:val="center"/>
          </w:tcPr>
          <w:p w14:paraId="444EF17D" w14:textId="77777777" w:rsidR="002B1603" w:rsidRPr="00A07F29" w:rsidRDefault="002B1603" w:rsidP="0091085D">
            <w:pPr>
              <w:spacing w:before="80" w:after="80" w:line="240" w:lineRule="auto"/>
              <w:jc w:val="center"/>
              <w:rPr>
                <w:rFonts w:ascii="Times New Roman" w:hAnsi="Times New Roman" w:cs="Times New Roman"/>
                <w:color w:val="000000"/>
                <w:sz w:val="20"/>
              </w:rPr>
            </w:pPr>
            <w:r w:rsidRPr="00A07F29">
              <w:rPr>
                <w:rFonts w:ascii="Times New Roman" w:hAnsi="Times New Roman" w:cs="Times New Roman"/>
                <w:color w:val="000000"/>
                <w:sz w:val="20"/>
              </w:rPr>
              <w:t>ĪAS (1)</w:t>
            </w:r>
          </w:p>
        </w:tc>
        <w:tc>
          <w:tcPr>
            <w:tcW w:w="560" w:type="pct"/>
            <w:shd w:val="clear" w:color="auto" w:fill="auto"/>
            <w:noWrap/>
            <w:vAlign w:val="center"/>
          </w:tcPr>
          <w:p w14:paraId="23931EF4" w14:textId="388E0D83" w:rsidR="002B1603" w:rsidRPr="00A07F29" w:rsidRDefault="00AC0CA3" w:rsidP="0091085D">
            <w:pPr>
              <w:spacing w:before="80" w:after="80" w:line="240" w:lineRule="auto"/>
              <w:rPr>
                <w:rFonts w:ascii="Times New Roman" w:hAnsi="Times New Roman" w:cs="Times New Roman"/>
                <w:color w:val="000000"/>
                <w:sz w:val="20"/>
              </w:rPr>
            </w:pPr>
            <w:r>
              <w:rPr>
                <w:rFonts w:ascii="Times New Roman" w:hAnsi="Times New Roman" w:cs="Times New Roman"/>
                <w:color w:val="000000"/>
                <w:sz w:val="20"/>
              </w:rPr>
              <w:t>L</w:t>
            </w:r>
            <w:r w:rsidR="002B1603" w:rsidRPr="00A07F29">
              <w:rPr>
                <w:rFonts w:ascii="Times New Roman" w:hAnsi="Times New Roman" w:cs="Times New Roman"/>
                <w:color w:val="000000"/>
                <w:sz w:val="20"/>
              </w:rPr>
              <w:t>SG (</w:t>
            </w:r>
            <w:r w:rsidR="001655F5">
              <w:rPr>
                <w:rFonts w:ascii="Times New Roman" w:hAnsi="Times New Roman" w:cs="Times New Roman"/>
                <w:color w:val="000000"/>
                <w:sz w:val="20"/>
              </w:rPr>
              <w:t>II</w:t>
            </w:r>
            <w:r w:rsidR="002B1603" w:rsidRPr="00A07F29">
              <w:rPr>
                <w:rFonts w:ascii="Times New Roman" w:hAnsi="Times New Roman" w:cs="Times New Roman"/>
                <w:color w:val="000000"/>
                <w:sz w:val="20"/>
              </w:rPr>
              <w:t>),</w:t>
            </w:r>
            <w:r w:rsidR="001655F5">
              <w:rPr>
                <w:rFonts w:ascii="Times New Roman" w:hAnsi="Times New Roman" w:cs="Times New Roman"/>
                <w:color w:val="000000"/>
                <w:sz w:val="20"/>
              </w:rPr>
              <w:t xml:space="preserve"> </w:t>
            </w:r>
            <w:r w:rsidR="002B1603" w:rsidRPr="00A07F29">
              <w:rPr>
                <w:rFonts w:ascii="Times New Roman" w:hAnsi="Times New Roman" w:cs="Times New Roman"/>
                <w:sz w:val="20"/>
              </w:rPr>
              <w:t>MAB (IS)</w:t>
            </w:r>
          </w:p>
        </w:tc>
        <w:tc>
          <w:tcPr>
            <w:tcW w:w="907" w:type="pct"/>
            <w:shd w:val="clear" w:color="auto" w:fill="auto"/>
          </w:tcPr>
          <w:p w14:paraId="5E17489C" w14:textId="3EED5CCF" w:rsidR="002B1603" w:rsidRPr="00A07F29" w:rsidRDefault="002B1603" w:rsidP="0091085D">
            <w:pPr>
              <w:spacing w:before="80" w:after="80" w:line="240" w:lineRule="auto"/>
              <w:jc w:val="both"/>
              <w:rPr>
                <w:rFonts w:ascii="Times New Roman" w:hAnsi="Times New Roman" w:cs="Times New Roman"/>
                <w:sz w:val="20"/>
              </w:rPr>
            </w:pPr>
            <w:r w:rsidRPr="00A07F29">
              <w:rPr>
                <w:rFonts w:ascii="Times New Roman" w:hAnsi="Times New Roman" w:cs="Times New Roman"/>
                <w:sz w:val="20"/>
              </w:rPr>
              <w:t>Suga sastopama samērā bieži visā Latvijā (Āboliņa</w:t>
            </w:r>
            <w:r w:rsidR="00204B25">
              <w:rPr>
                <w:rFonts w:ascii="Times New Roman" w:hAnsi="Times New Roman" w:cs="Times New Roman"/>
                <w:sz w:val="20"/>
              </w:rPr>
              <w:t xml:space="preserve"> A. </w:t>
            </w:r>
            <w:r w:rsidRPr="00A07F29">
              <w:rPr>
                <w:rFonts w:ascii="Times New Roman" w:hAnsi="Times New Roman" w:cs="Times New Roman"/>
                <w:sz w:val="20"/>
              </w:rPr>
              <w:t>&amp;</w:t>
            </w:r>
            <w:r w:rsidR="00204B25">
              <w:rPr>
                <w:rFonts w:ascii="Times New Roman" w:hAnsi="Times New Roman" w:cs="Times New Roman"/>
                <w:sz w:val="20"/>
              </w:rPr>
              <w:t xml:space="preserve"> </w:t>
            </w:r>
            <w:r w:rsidRPr="00A07F29">
              <w:rPr>
                <w:rFonts w:ascii="Times New Roman" w:hAnsi="Times New Roman" w:cs="Times New Roman"/>
                <w:sz w:val="20"/>
              </w:rPr>
              <w:t>Vimba</w:t>
            </w:r>
            <w:r w:rsidR="00204B25">
              <w:rPr>
                <w:rFonts w:ascii="Times New Roman" w:hAnsi="Times New Roman" w:cs="Times New Roman"/>
                <w:sz w:val="20"/>
              </w:rPr>
              <w:t xml:space="preserve"> E.</w:t>
            </w:r>
            <w:r w:rsidRPr="00A07F29">
              <w:rPr>
                <w:rFonts w:ascii="Times New Roman" w:hAnsi="Times New Roman" w:cs="Times New Roman"/>
                <w:sz w:val="20"/>
              </w:rPr>
              <w:t xml:space="preserve">, 1959, </w:t>
            </w:r>
            <w:proofErr w:type="spellStart"/>
            <w:r w:rsidRPr="00A07F29">
              <w:rPr>
                <w:rFonts w:ascii="Times New Roman" w:hAnsi="Times New Roman" w:cs="Times New Roman"/>
                <w:sz w:val="20"/>
              </w:rPr>
              <w:t>Piterāns</w:t>
            </w:r>
            <w:proofErr w:type="spellEnd"/>
            <w:r w:rsidRPr="00A07F29">
              <w:rPr>
                <w:rFonts w:ascii="Times New Roman" w:hAnsi="Times New Roman" w:cs="Times New Roman"/>
                <w:sz w:val="20"/>
              </w:rPr>
              <w:t xml:space="preserve"> 1981, </w:t>
            </w:r>
            <w:proofErr w:type="spellStart"/>
            <w:r w:rsidRPr="00A07F29">
              <w:rPr>
                <w:rFonts w:ascii="Times New Roman" w:hAnsi="Times New Roman" w:cs="Times New Roman"/>
                <w:sz w:val="20"/>
              </w:rPr>
              <w:t>Moisejevs</w:t>
            </w:r>
            <w:proofErr w:type="spellEnd"/>
            <w:r w:rsidR="00204B25">
              <w:rPr>
                <w:rFonts w:ascii="Times New Roman" w:hAnsi="Times New Roman" w:cs="Times New Roman"/>
                <w:sz w:val="20"/>
              </w:rPr>
              <w:t xml:space="preserve"> R.</w:t>
            </w:r>
            <w:r w:rsidRPr="00A07F29">
              <w:rPr>
                <w:rFonts w:ascii="Times New Roman" w:hAnsi="Times New Roman" w:cs="Times New Roman"/>
                <w:sz w:val="20"/>
              </w:rPr>
              <w:t>, 2017).</w:t>
            </w:r>
          </w:p>
        </w:tc>
        <w:tc>
          <w:tcPr>
            <w:tcW w:w="1299" w:type="pct"/>
            <w:shd w:val="clear" w:color="auto" w:fill="auto"/>
          </w:tcPr>
          <w:p w14:paraId="3E497DEF" w14:textId="77777777" w:rsidR="002B1603" w:rsidRPr="00A07F29" w:rsidRDefault="002B1603" w:rsidP="0091085D">
            <w:pPr>
              <w:spacing w:before="80" w:after="80" w:line="240" w:lineRule="auto"/>
              <w:jc w:val="both"/>
              <w:rPr>
                <w:rFonts w:ascii="Times New Roman" w:hAnsi="Times New Roman" w:cs="Times New Roman"/>
                <w:color w:val="000000"/>
                <w:sz w:val="20"/>
              </w:rPr>
            </w:pPr>
            <w:r w:rsidRPr="00A07F29">
              <w:rPr>
                <w:rFonts w:ascii="Times New Roman" w:hAnsi="Times New Roman" w:cs="Times New Roman"/>
                <w:color w:val="000000"/>
                <w:sz w:val="20"/>
              </w:rPr>
              <w:t xml:space="preserve">AAA “Augšdaugava” teritorijā suga sastopama lokāli. Viena populācija </w:t>
            </w:r>
            <w:proofErr w:type="spellStart"/>
            <w:r w:rsidRPr="00A07F29">
              <w:rPr>
                <w:rFonts w:ascii="Times New Roman" w:hAnsi="Times New Roman" w:cs="Times New Roman"/>
                <w:color w:val="000000"/>
                <w:sz w:val="20"/>
              </w:rPr>
              <w:t>Červonkas</w:t>
            </w:r>
            <w:proofErr w:type="spellEnd"/>
            <w:r w:rsidRPr="00A07F29">
              <w:rPr>
                <w:rFonts w:ascii="Times New Roman" w:hAnsi="Times New Roman" w:cs="Times New Roman"/>
                <w:color w:val="000000"/>
                <w:sz w:val="20"/>
              </w:rPr>
              <w:t xml:space="preserve"> (Vecsalienas) muižas pils parkā.</w:t>
            </w:r>
          </w:p>
        </w:tc>
      </w:tr>
      <w:tr w:rsidR="002B1603" w:rsidRPr="00A07F29" w14:paraId="79F81B17" w14:textId="77777777" w:rsidTr="00130C6F">
        <w:trPr>
          <w:trHeight w:val="20"/>
          <w:jc w:val="center"/>
        </w:trPr>
        <w:tc>
          <w:tcPr>
            <w:tcW w:w="833" w:type="pct"/>
            <w:shd w:val="clear" w:color="auto" w:fill="auto"/>
            <w:noWrap/>
            <w:vAlign w:val="center"/>
          </w:tcPr>
          <w:p w14:paraId="229600B7" w14:textId="77777777" w:rsidR="002B1603" w:rsidRPr="00A07F29" w:rsidRDefault="002B1603" w:rsidP="0091085D">
            <w:pPr>
              <w:autoSpaceDE w:val="0"/>
              <w:autoSpaceDN w:val="0"/>
              <w:adjustRightInd w:val="0"/>
              <w:spacing w:before="80" w:after="80" w:line="240" w:lineRule="auto"/>
              <w:rPr>
                <w:rFonts w:ascii="Times New Roman" w:hAnsi="Times New Roman" w:cs="Times New Roman"/>
                <w:color w:val="000000"/>
                <w:sz w:val="20"/>
                <w:szCs w:val="20"/>
              </w:rPr>
            </w:pPr>
            <w:proofErr w:type="spellStart"/>
            <w:r w:rsidRPr="00A07F29">
              <w:rPr>
                <w:rFonts w:ascii="Times New Roman" w:hAnsi="Times New Roman" w:cs="Times New Roman"/>
                <w:color w:val="000000"/>
                <w:sz w:val="20"/>
                <w:szCs w:val="20"/>
              </w:rPr>
              <w:t>Sklerofora</w:t>
            </w:r>
            <w:proofErr w:type="spellEnd"/>
          </w:p>
        </w:tc>
        <w:tc>
          <w:tcPr>
            <w:tcW w:w="870" w:type="pct"/>
            <w:shd w:val="clear" w:color="auto" w:fill="auto"/>
            <w:noWrap/>
            <w:vAlign w:val="center"/>
          </w:tcPr>
          <w:p w14:paraId="6FA62A5E" w14:textId="77777777" w:rsidR="002B1603" w:rsidRPr="00A07F29" w:rsidRDefault="002B1603" w:rsidP="0091085D">
            <w:pPr>
              <w:autoSpaceDE w:val="0"/>
              <w:autoSpaceDN w:val="0"/>
              <w:adjustRightInd w:val="0"/>
              <w:spacing w:before="80" w:after="80" w:line="240" w:lineRule="auto"/>
              <w:rPr>
                <w:rFonts w:ascii="Times New Roman" w:hAnsi="Times New Roman" w:cs="Times New Roman"/>
                <w:color w:val="000000"/>
                <w:sz w:val="20"/>
                <w:szCs w:val="20"/>
              </w:rPr>
            </w:pPr>
            <w:proofErr w:type="spellStart"/>
            <w:r w:rsidRPr="00A07F29">
              <w:rPr>
                <w:rFonts w:ascii="Times New Roman" w:hAnsi="Times New Roman" w:cs="Times New Roman"/>
                <w:i/>
                <w:color w:val="000000"/>
                <w:sz w:val="20"/>
                <w:szCs w:val="20"/>
              </w:rPr>
              <w:t>Sclerophora</w:t>
            </w:r>
            <w:proofErr w:type="spellEnd"/>
            <w:r w:rsidRPr="00A07F29">
              <w:rPr>
                <w:rFonts w:ascii="Times New Roman" w:hAnsi="Times New Roman" w:cs="Times New Roman"/>
                <w:i/>
                <w:color w:val="000000"/>
                <w:sz w:val="20"/>
                <w:szCs w:val="20"/>
              </w:rPr>
              <w:t xml:space="preserve"> </w:t>
            </w:r>
            <w:proofErr w:type="spellStart"/>
            <w:r w:rsidRPr="00A07F29">
              <w:rPr>
                <w:rFonts w:ascii="Times New Roman" w:hAnsi="Times New Roman" w:cs="Times New Roman"/>
                <w:i/>
                <w:color w:val="000000"/>
                <w:sz w:val="20"/>
                <w:szCs w:val="20"/>
              </w:rPr>
              <w:t>pallida</w:t>
            </w:r>
            <w:proofErr w:type="spellEnd"/>
            <w:r w:rsidRPr="00A07F29">
              <w:rPr>
                <w:rFonts w:ascii="Times New Roman" w:hAnsi="Times New Roman" w:cs="Times New Roman"/>
                <w:color w:val="000000"/>
                <w:sz w:val="20"/>
                <w:szCs w:val="20"/>
              </w:rPr>
              <w:t xml:space="preserve"> (Pers.) Y.J. </w:t>
            </w:r>
            <w:proofErr w:type="spellStart"/>
            <w:r w:rsidRPr="00A07F29">
              <w:rPr>
                <w:rFonts w:ascii="Times New Roman" w:hAnsi="Times New Roman" w:cs="Times New Roman"/>
                <w:color w:val="000000"/>
                <w:sz w:val="20"/>
                <w:szCs w:val="20"/>
              </w:rPr>
              <w:t>Yao</w:t>
            </w:r>
            <w:proofErr w:type="spellEnd"/>
            <w:r w:rsidRPr="00A07F29">
              <w:rPr>
                <w:rFonts w:ascii="Times New Roman" w:hAnsi="Times New Roman" w:cs="Times New Roman"/>
                <w:color w:val="000000"/>
                <w:sz w:val="20"/>
                <w:szCs w:val="20"/>
              </w:rPr>
              <w:t xml:space="preserve"> &amp; </w:t>
            </w:r>
            <w:proofErr w:type="spellStart"/>
            <w:r w:rsidRPr="00A07F29">
              <w:rPr>
                <w:rFonts w:ascii="Times New Roman" w:hAnsi="Times New Roman" w:cs="Times New Roman"/>
                <w:color w:val="000000"/>
                <w:sz w:val="20"/>
                <w:szCs w:val="20"/>
              </w:rPr>
              <w:t>Spooner</w:t>
            </w:r>
            <w:proofErr w:type="spellEnd"/>
          </w:p>
        </w:tc>
        <w:tc>
          <w:tcPr>
            <w:tcW w:w="531" w:type="pct"/>
            <w:shd w:val="clear" w:color="auto" w:fill="auto"/>
            <w:noWrap/>
            <w:vAlign w:val="center"/>
          </w:tcPr>
          <w:p w14:paraId="54B459B3" w14:textId="77777777" w:rsidR="002B1603" w:rsidRPr="00A07F29" w:rsidRDefault="002B1603" w:rsidP="0091085D">
            <w:pPr>
              <w:spacing w:before="80" w:after="80" w:line="240" w:lineRule="auto"/>
              <w:jc w:val="center"/>
              <w:rPr>
                <w:rFonts w:ascii="Times New Roman" w:hAnsi="Times New Roman" w:cs="Times New Roman"/>
                <w:color w:val="000000"/>
                <w:sz w:val="20"/>
              </w:rPr>
            </w:pPr>
            <w:r w:rsidRPr="00A07F29">
              <w:rPr>
                <w:rFonts w:ascii="Times New Roman" w:hAnsi="Times New Roman" w:cs="Times New Roman"/>
                <w:color w:val="000000"/>
                <w:sz w:val="20"/>
              </w:rPr>
              <w:t>ĪAS (1), MIK</w:t>
            </w:r>
          </w:p>
        </w:tc>
        <w:tc>
          <w:tcPr>
            <w:tcW w:w="560" w:type="pct"/>
            <w:shd w:val="clear" w:color="auto" w:fill="auto"/>
            <w:noWrap/>
            <w:vAlign w:val="center"/>
          </w:tcPr>
          <w:p w14:paraId="25E2041E" w14:textId="77777777" w:rsidR="002B1603" w:rsidRPr="00A07F29" w:rsidRDefault="002B1603" w:rsidP="0091085D">
            <w:pPr>
              <w:spacing w:before="80" w:after="80" w:line="240" w:lineRule="auto"/>
              <w:rPr>
                <w:rFonts w:ascii="Times New Roman" w:hAnsi="Times New Roman" w:cs="Times New Roman"/>
                <w:color w:val="000000"/>
                <w:sz w:val="20"/>
              </w:rPr>
            </w:pPr>
            <w:r w:rsidRPr="00A07F29">
              <w:rPr>
                <w:rFonts w:ascii="Times New Roman" w:hAnsi="Times New Roman" w:cs="Times New Roman"/>
                <w:sz w:val="20"/>
              </w:rPr>
              <w:t>MAB (BSS)</w:t>
            </w:r>
          </w:p>
        </w:tc>
        <w:tc>
          <w:tcPr>
            <w:tcW w:w="907" w:type="pct"/>
            <w:shd w:val="clear" w:color="auto" w:fill="auto"/>
          </w:tcPr>
          <w:p w14:paraId="6AC4AF70" w14:textId="5B4904AD" w:rsidR="002B1603" w:rsidRPr="00A07F29" w:rsidRDefault="002B1603" w:rsidP="0091085D">
            <w:pPr>
              <w:spacing w:before="80" w:after="80" w:line="240" w:lineRule="auto"/>
              <w:jc w:val="both"/>
              <w:rPr>
                <w:rFonts w:ascii="Times New Roman" w:hAnsi="Times New Roman" w:cs="Times New Roman"/>
                <w:sz w:val="20"/>
              </w:rPr>
            </w:pPr>
            <w:r w:rsidRPr="00A07F29">
              <w:rPr>
                <w:rFonts w:ascii="Times New Roman" w:hAnsi="Times New Roman" w:cs="Times New Roman"/>
                <w:sz w:val="20"/>
              </w:rPr>
              <w:t xml:space="preserve">Visas sugas no </w:t>
            </w:r>
            <w:proofErr w:type="spellStart"/>
            <w:r w:rsidRPr="00A07F29">
              <w:rPr>
                <w:rFonts w:ascii="Times New Roman" w:hAnsi="Times New Roman" w:cs="Times New Roman"/>
                <w:i/>
                <w:sz w:val="20"/>
              </w:rPr>
              <w:t>Sclerophora</w:t>
            </w:r>
            <w:proofErr w:type="spellEnd"/>
            <w:r w:rsidRPr="00A07F29">
              <w:rPr>
                <w:rFonts w:ascii="Times New Roman" w:hAnsi="Times New Roman" w:cs="Times New Roman"/>
                <w:sz w:val="20"/>
              </w:rPr>
              <w:t xml:space="preserve"> ģints ir reti un ļoti reti sastopamas Latvijā.</w:t>
            </w:r>
            <w:r w:rsidRPr="00A07F29">
              <w:rPr>
                <w:rFonts w:ascii="Times New Roman" w:hAnsi="Times New Roman" w:cs="Times New Roman"/>
              </w:rPr>
              <w:t xml:space="preserve"> </w:t>
            </w:r>
            <w:r w:rsidRPr="00A07F29">
              <w:rPr>
                <w:rFonts w:ascii="Times New Roman" w:hAnsi="Times New Roman" w:cs="Times New Roman"/>
                <w:i/>
                <w:sz w:val="20"/>
              </w:rPr>
              <w:t xml:space="preserve">S. </w:t>
            </w:r>
            <w:proofErr w:type="spellStart"/>
            <w:r w:rsidRPr="00A07F29">
              <w:rPr>
                <w:rFonts w:ascii="Times New Roman" w:hAnsi="Times New Roman" w:cs="Times New Roman"/>
                <w:i/>
                <w:sz w:val="20"/>
              </w:rPr>
              <w:t>pallida</w:t>
            </w:r>
            <w:proofErr w:type="spellEnd"/>
            <w:r w:rsidRPr="00A07F29">
              <w:rPr>
                <w:rFonts w:ascii="Times New Roman" w:hAnsi="Times New Roman" w:cs="Times New Roman"/>
                <w:sz w:val="20"/>
              </w:rPr>
              <w:t xml:space="preserve"> bieži apdzīvo vecus parkus un alejas (</w:t>
            </w:r>
            <w:proofErr w:type="spellStart"/>
            <w:r w:rsidRPr="00A07F29">
              <w:rPr>
                <w:rFonts w:ascii="Times New Roman" w:hAnsi="Times New Roman" w:cs="Times New Roman"/>
                <w:sz w:val="20"/>
              </w:rPr>
              <w:t>Moisejevs</w:t>
            </w:r>
            <w:proofErr w:type="spellEnd"/>
            <w:r w:rsidR="00204B25">
              <w:rPr>
                <w:rFonts w:ascii="Times New Roman" w:hAnsi="Times New Roman" w:cs="Times New Roman"/>
                <w:sz w:val="20"/>
              </w:rPr>
              <w:t xml:space="preserve"> R.</w:t>
            </w:r>
            <w:r w:rsidRPr="00A07F29">
              <w:rPr>
                <w:rFonts w:ascii="Times New Roman" w:hAnsi="Times New Roman" w:cs="Times New Roman"/>
                <w:sz w:val="20"/>
              </w:rPr>
              <w:t xml:space="preserve">, 2017b). </w:t>
            </w:r>
          </w:p>
        </w:tc>
        <w:tc>
          <w:tcPr>
            <w:tcW w:w="1299" w:type="pct"/>
            <w:shd w:val="clear" w:color="auto" w:fill="auto"/>
          </w:tcPr>
          <w:p w14:paraId="168B52E7" w14:textId="77777777" w:rsidR="002B1603" w:rsidRPr="00A07F29" w:rsidRDefault="002B1603" w:rsidP="0091085D">
            <w:pPr>
              <w:spacing w:before="80" w:after="80" w:line="240" w:lineRule="auto"/>
              <w:jc w:val="both"/>
              <w:rPr>
                <w:rFonts w:ascii="Times New Roman" w:hAnsi="Times New Roman" w:cs="Times New Roman"/>
                <w:color w:val="000000"/>
                <w:sz w:val="20"/>
              </w:rPr>
            </w:pPr>
            <w:r w:rsidRPr="00A07F29">
              <w:rPr>
                <w:rFonts w:ascii="Times New Roman" w:hAnsi="Times New Roman" w:cs="Times New Roman"/>
                <w:color w:val="000000"/>
                <w:sz w:val="20"/>
              </w:rPr>
              <w:t xml:space="preserve">AAA “Augšdaugava” teritorijā suga sastopama reti. Viena populācija </w:t>
            </w:r>
            <w:proofErr w:type="spellStart"/>
            <w:r w:rsidRPr="00A07F29">
              <w:rPr>
                <w:rFonts w:ascii="Times New Roman" w:hAnsi="Times New Roman" w:cs="Times New Roman"/>
                <w:color w:val="000000"/>
                <w:sz w:val="20"/>
              </w:rPr>
              <w:t>Červonkas</w:t>
            </w:r>
            <w:proofErr w:type="spellEnd"/>
            <w:r w:rsidRPr="00A07F29">
              <w:rPr>
                <w:rFonts w:ascii="Times New Roman" w:hAnsi="Times New Roman" w:cs="Times New Roman"/>
                <w:color w:val="000000"/>
                <w:sz w:val="20"/>
              </w:rPr>
              <w:t xml:space="preserve"> (Vecsalienas) muižas pils parkā. Samērā liela populācija konstatēta nogāžu un gravu mežā netālu no </w:t>
            </w:r>
            <w:proofErr w:type="spellStart"/>
            <w:r w:rsidRPr="00A07F29">
              <w:rPr>
                <w:rFonts w:ascii="Times New Roman" w:hAnsi="Times New Roman" w:cs="Times New Roman"/>
                <w:color w:val="000000"/>
                <w:sz w:val="20"/>
              </w:rPr>
              <w:t>Juzefovas</w:t>
            </w:r>
            <w:proofErr w:type="spellEnd"/>
            <w:r w:rsidRPr="00A07F29">
              <w:rPr>
                <w:rFonts w:ascii="Times New Roman" w:hAnsi="Times New Roman" w:cs="Times New Roman"/>
                <w:color w:val="000000"/>
                <w:sz w:val="20"/>
              </w:rPr>
              <w:t xml:space="preserve"> parka.</w:t>
            </w:r>
          </w:p>
        </w:tc>
      </w:tr>
    </w:tbl>
    <w:p w14:paraId="761CF8C2" w14:textId="664E867F" w:rsidR="002B1603" w:rsidRPr="00A07F29" w:rsidRDefault="00AC0CA3" w:rsidP="0091085D">
      <w:pPr>
        <w:shd w:val="clear" w:color="auto" w:fill="FFFFFF"/>
        <w:spacing w:before="120" w:after="0" w:line="240" w:lineRule="auto"/>
        <w:ind w:firstLine="851"/>
        <w:jc w:val="both"/>
        <w:rPr>
          <w:rFonts w:ascii="Times New Roman" w:eastAsia="Calibri" w:hAnsi="Times New Roman" w:cs="Times New Roman"/>
          <w:sz w:val="20"/>
        </w:rPr>
      </w:pPr>
      <w:r>
        <w:rPr>
          <w:rFonts w:ascii="Times New Roman" w:eastAsia="Calibri" w:hAnsi="Times New Roman" w:cs="Times New Roman"/>
          <w:b/>
          <w:bCs/>
          <w:spacing w:val="-1"/>
          <w:sz w:val="20"/>
        </w:rPr>
        <w:t>L</w:t>
      </w:r>
      <w:r w:rsidR="002B1603" w:rsidRPr="00A07F29">
        <w:rPr>
          <w:rFonts w:ascii="Times New Roman" w:eastAsia="Calibri" w:hAnsi="Times New Roman" w:cs="Times New Roman"/>
          <w:b/>
          <w:bCs/>
          <w:spacing w:val="-1"/>
          <w:sz w:val="20"/>
        </w:rPr>
        <w:t xml:space="preserve">SG </w:t>
      </w:r>
      <w:r w:rsidR="00D329A0">
        <w:rPr>
          <w:rFonts w:ascii="Times New Roman" w:eastAsia="Calibri" w:hAnsi="Times New Roman" w:cs="Times New Roman"/>
          <w:spacing w:val="-1"/>
          <w:sz w:val="20"/>
        </w:rPr>
        <w:t>–</w:t>
      </w:r>
      <w:r w:rsidR="002B1603" w:rsidRPr="00A07F29">
        <w:rPr>
          <w:rFonts w:ascii="Times New Roman" w:eastAsia="Calibri" w:hAnsi="Times New Roman" w:cs="Times New Roman"/>
          <w:spacing w:val="-1"/>
          <w:sz w:val="20"/>
        </w:rPr>
        <w:t xml:space="preserve"> Latvijas Sarkanā grāmata (</w:t>
      </w:r>
      <w:proofErr w:type="spellStart"/>
      <w:r w:rsidR="002B1603" w:rsidRPr="00A07F29">
        <w:rPr>
          <w:rFonts w:ascii="Times New Roman" w:eastAsia="Calibri" w:hAnsi="Times New Roman" w:cs="Times New Roman"/>
          <w:spacing w:val="-1"/>
          <w:sz w:val="20"/>
        </w:rPr>
        <w:t>Spuris</w:t>
      </w:r>
      <w:proofErr w:type="spellEnd"/>
      <w:r w:rsidR="002B1603" w:rsidRPr="00A07F29">
        <w:rPr>
          <w:rFonts w:ascii="Times New Roman" w:eastAsia="Calibri" w:hAnsi="Times New Roman" w:cs="Times New Roman"/>
          <w:spacing w:val="-1"/>
          <w:sz w:val="20"/>
        </w:rPr>
        <w:t xml:space="preserve"> 1998). LSG tiek lietotas šādas apdraudēto sugu kategorijas: </w:t>
      </w:r>
      <w:r w:rsidR="002B1603" w:rsidRPr="00A07F29">
        <w:rPr>
          <w:rFonts w:ascii="Times New Roman" w:eastAsia="Calibri" w:hAnsi="Times New Roman" w:cs="Times New Roman"/>
          <w:b/>
          <w:bCs/>
          <w:sz w:val="20"/>
        </w:rPr>
        <w:t>I</w:t>
      </w:r>
      <w:r w:rsidR="00720B39">
        <w:rPr>
          <w:rFonts w:ascii="Times New Roman" w:eastAsia="Calibri" w:hAnsi="Times New Roman" w:cs="Times New Roman"/>
          <w:sz w:val="20"/>
        </w:rPr>
        <w:t> – </w:t>
      </w:r>
      <w:r w:rsidR="002B1603" w:rsidRPr="00A07F29">
        <w:rPr>
          <w:rFonts w:ascii="Times New Roman" w:eastAsia="Calibri" w:hAnsi="Times New Roman" w:cs="Times New Roman"/>
          <w:sz w:val="20"/>
        </w:rPr>
        <w:t xml:space="preserve">izzūdošās sugas; </w:t>
      </w:r>
      <w:r w:rsidR="002B1603" w:rsidRPr="00A07F29">
        <w:rPr>
          <w:rFonts w:ascii="Times New Roman" w:eastAsia="Calibri" w:hAnsi="Times New Roman" w:cs="Times New Roman"/>
          <w:b/>
          <w:bCs/>
          <w:sz w:val="20"/>
        </w:rPr>
        <w:t>II</w:t>
      </w:r>
      <w:r w:rsidR="00720B39">
        <w:rPr>
          <w:rFonts w:ascii="Times New Roman" w:eastAsia="Calibri" w:hAnsi="Times New Roman" w:cs="Times New Roman"/>
          <w:sz w:val="20"/>
        </w:rPr>
        <w:t> </w:t>
      </w:r>
      <w:r w:rsidR="00720B39">
        <w:rPr>
          <w:rFonts w:ascii="Times New Roman" w:eastAsia="Calibri" w:hAnsi="Times New Roman" w:cs="Times New Roman"/>
          <w:spacing w:val="-1"/>
          <w:sz w:val="20"/>
        </w:rPr>
        <w:t>– </w:t>
      </w:r>
      <w:r w:rsidR="002B1603" w:rsidRPr="00A07F29">
        <w:rPr>
          <w:rFonts w:ascii="Times New Roman" w:eastAsia="Calibri" w:hAnsi="Times New Roman" w:cs="Times New Roman"/>
          <w:spacing w:val="-1"/>
          <w:sz w:val="20"/>
        </w:rPr>
        <w:t xml:space="preserve">sarūkošās sugas; </w:t>
      </w:r>
      <w:r w:rsidR="002B1603" w:rsidRPr="00A07F29">
        <w:rPr>
          <w:rFonts w:ascii="Times New Roman" w:eastAsia="Calibri" w:hAnsi="Times New Roman" w:cs="Times New Roman"/>
          <w:b/>
          <w:bCs/>
          <w:spacing w:val="-1"/>
          <w:sz w:val="20"/>
        </w:rPr>
        <w:t>III</w:t>
      </w:r>
      <w:r w:rsidR="00720B39">
        <w:rPr>
          <w:rFonts w:ascii="Times New Roman" w:eastAsia="Calibri" w:hAnsi="Times New Roman" w:cs="Times New Roman"/>
          <w:spacing w:val="-1"/>
          <w:sz w:val="20"/>
        </w:rPr>
        <w:t> – </w:t>
      </w:r>
      <w:r w:rsidR="002B1603" w:rsidRPr="00A07F29">
        <w:rPr>
          <w:rFonts w:ascii="Times New Roman" w:eastAsia="Calibri" w:hAnsi="Times New Roman" w:cs="Times New Roman"/>
          <w:spacing w:val="-1"/>
          <w:sz w:val="20"/>
        </w:rPr>
        <w:t xml:space="preserve">retās sugas; </w:t>
      </w:r>
      <w:r w:rsidR="002B1603" w:rsidRPr="00A07F29">
        <w:rPr>
          <w:rFonts w:ascii="Times New Roman" w:eastAsia="Calibri" w:hAnsi="Times New Roman" w:cs="Times New Roman"/>
          <w:b/>
          <w:bCs/>
          <w:spacing w:val="-1"/>
          <w:sz w:val="20"/>
        </w:rPr>
        <w:t>IV</w:t>
      </w:r>
      <w:r w:rsidR="00720B39">
        <w:rPr>
          <w:rFonts w:ascii="Times New Roman" w:eastAsia="Calibri" w:hAnsi="Times New Roman" w:cs="Times New Roman"/>
          <w:spacing w:val="-1"/>
          <w:sz w:val="20"/>
        </w:rPr>
        <w:t> – </w:t>
      </w:r>
      <w:r w:rsidR="002B1603" w:rsidRPr="00A07F29">
        <w:rPr>
          <w:rFonts w:ascii="Times New Roman" w:eastAsia="Calibri" w:hAnsi="Times New Roman" w:cs="Times New Roman"/>
          <w:spacing w:val="-1"/>
          <w:sz w:val="20"/>
        </w:rPr>
        <w:t>maz pazīstamās sugas.</w:t>
      </w:r>
    </w:p>
    <w:p w14:paraId="24D6D208" w14:textId="393886F6" w:rsidR="002B1603" w:rsidRPr="00A07F29" w:rsidRDefault="002B1603" w:rsidP="002B1603">
      <w:pPr>
        <w:shd w:val="clear" w:color="auto" w:fill="FFFFFF"/>
        <w:spacing w:after="0" w:line="240" w:lineRule="auto"/>
        <w:ind w:firstLine="851"/>
        <w:jc w:val="both"/>
        <w:rPr>
          <w:rFonts w:ascii="Times New Roman" w:eastAsia="Calibri" w:hAnsi="Times New Roman" w:cs="Times New Roman"/>
          <w:sz w:val="20"/>
        </w:rPr>
      </w:pPr>
      <w:r w:rsidRPr="00A07F29">
        <w:rPr>
          <w:rFonts w:ascii="Times New Roman" w:eastAsia="Calibri" w:hAnsi="Times New Roman" w:cs="Times New Roman"/>
          <w:b/>
          <w:sz w:val="20"/>
        </w:rPr>
        <w:t xml:space="preserve">ĪAS </w:t>
      </w:r>
      <w:r w:rsidRPr="00A07F29">
        <w:rPr>
          <w:rFonts w:ascii="Times New Roman" w:eastAsia="Calibri" w:hAnsi="Times New Roman" w:cs="Times New Roman"/>
          <w:sz w:val="20"/>
        </w:rPr>
        <w:t xml:space="preserve">– īpaši aizsargājama suga </w:t>
      </w:r>
      <w:r w:rsidR="00BE282B">
        <w:rPr>
          <w:rFonts w:ascii="Times New Roman" w:eastAsia="Calibri" w:hAnsi="Times New Roman" w:cs="Times New Roman"/>
          <w:sz w:val="20"/>
        </w:rPr>
        <w:t>(</w:t>
      </w:r>
      <w:r w:rsidR="001162FE" w:rsidRPr="001162FE">
        <w:rPr>
          <w:rFonts w:ascii="Times New Roman" w:eastAsia="Calibri" w:hAnsi="Times New Roman" w:cs="Times New Roman"/>
          <w:sz w:val="20"/>
        </w:rPr>
        <w:t xml:space="preserve">atbilstoši MK 2000. gada 14. novembra noteikumu Nr. 396. ”Noteikumi par īpaši aizsargājamo sugu un ierobežoti izmantojamo īpaši aizsargājamo sugu sarakstu” </w:t>
      </w:r>
      <w:r w:rsidRPr="00A07F29">
        <w:rPr>
          <w:rFonts w:ascii="Times New Roman" w:eastAsia="Calibri" w:hAnsi="Times New Roman" w:cs="Times New Roman"/>
          <w:sz w:val="20"/>
        </w:rPr>
        <w:t>1. pielikum</w:t>
      </w:r>
      <w:r w:rsidR="00BE282B">
        <w:rPr>
          <w:rFonts w:ascii="Times New Roman" w:eastAsia="Calibri" w:hAnsi="Times New Roman" w:cs="Times New Roman"/>
          <w:sz w:val="20"/>
        </w:rPr>
        <w:t>am</w:t>
      </w:r>
      <w:r w:rsidRPr="00A07F29">
        <w:rPr>
          <w:rFonts w:ascii="Times New Roman" w:eastAsia="Calibri" w:hAnsi="Times New Roman" w:cs="Times New Roman"/>
          <w:sz w:val="20"/>
        </w:rPr>
        <w:t xml:space="preserve"> (īpaši aizsargājamas sugas) vai 2.</w:t>
      </w:r>
      <w:r w:rsidR="00BE282B">
        <w:rPr>
          <w:rFonts w:ascii="Times New Roman" w:eastAsia="Calibri" w:hAnsi="Times New Roman" w:cs="Times New Roman"/>
          <w:sz w:val="20"/>
        </w:rPr>
        <w:t> </w:t>
      </w:r>
      <w:r w:rsidRPr="00A07F29">
        <w:rPr>
          <w:rFonts w:ascii="Times New Roman" w:eastAsia="Calibri" w:hAnsi="Times New Roman" w:cs="Times New Roman"/>
          <w:sz w:val="20"/>
        </w:rPr>
        <w:t>pielikum</w:t>
      </w:r>
      <w:r w:rsidR="00BE282B">
        <w:rPr>
          <w:rFonts w:ascii="Times New Roman" w:eastAsia="Calibri" w:hAnsi="Times New Roman" w:cs="Times New Roman"/>
          <w:sz w:val="20"/>
        </w:rPr>
        <w:t>am</w:t>
      </w:r>
      <w:r w:rsidRPr="00A07F29">
        <w:rPr>
          <w:rFonts w:ascii="Times New Roman" w:eastAsia="Calibri" w:hAnsi="Times New Roman" w:cs="Times New Roman"/>
          <w:sz w:val="20"/>
        </w:rPr>
        <w:t xml:space="preserve"> (ierobežoti izmantojamas īpaši aizsargājamas sugas)</w:t>
      </w:r>
      <w:r w:rsidR="00BE282B">
        <w:rPr>
          <w:rFonts w:ascii="Times New Roman" w:eastAsia="Calibri" w:hAnsi="Times New Roman" w:cs="Times New Roman"/>
          <w:sz w:val="20"/>
        </w:rPr>
        <w:t>.</w:t>
      </w:r>
      <w:r w:rsidRPr="00A07F29">
        <w:rPr>
          <w:rFonts w:ascii="Times New Roman" w:eastAsia="Calibri" w:hAnsi="Times New Roman" w:cs="Times New Roman"/>
          <w:sz w:val="20"/>
        </w:rPr>
        <w:t xml:space="preserve"> </w:t>
      </w:r>
    </w:p>
    <w:p w14:paraId="60444702" w14:textId="7046BF47" w:rsidR="002B1603" w:rsidRPr="00A07F29" w:rsidRDefault="002B1603" w:rsidP="002B1603">
      <w:pPr>
        <w:spacing w:after="0" w:line="240" w:lineRule="auto"/>
        <w:ind w:firstLine="851"/>
        <w:jc w:val="both"/>
        <w:rPr>
          <w:rFonts w:ascii="Times New Roman" w:eastAsia="Calibri" w:hAnsi="Times New Roman" w:cs="Times New Roman"/>
          <w:sz w:val="20"/>
        </w:rPr>
      </w:pPr>
      <w:r w:rsidRPr="00A07F29">
        <w:rPr>
          <w:rFonts w:ascii="Times New Roman" w:eastAsia="Calibri" w:hAnsi="Times New Roman" w:cs="Times New Roman"/>
          <w:b/>
          <w:sz w:val="20"/>
        </w:rPr>
        <w:t xml:space="preserve">MIK </w:t>
      </w:r>
      <w:r w:rsidRPr="00A07F29">
        <w:rPr>
          <w:rFonts w:ascii="Times New Roman" w:eastAsia="Calibri" w:hAnsi="Times New Roman" w:cs="Times New Roman"/>
          <w:sz w:val="20"/>
        </w:rPr>
        <w:t xml:space="preserve">– sugas aizsardzībai veidojams mikroliegums </w:t>
      </w:r>
      <w:r w:rsidR="00C53B8A">
        <w:rPr>
          <w:rFonts w:ascii="Times New Roman" w:eastAsia="Calibri" w:hAnsi="Times New Roman" w:cs="Times New Roman"/>
          <w:sz w:val="20"/>
        </w:rPr>
        <w:t>(</w:t>
      </w:r>
      <w:r w:rsidR="00C94039" w:rsidRPr="00C94039">
        <w:rPr>
          <w:rFonts w:ascii="Times New Roman" w:eastAsia="Calibri" w:hAnsi="Times New Roman" w:cs="Times New Roman"/>
          <w:sz w:val="20"/>
        </w:rPr>
        <w:t>atbilstoši MK 2012. gada 18. decembra noteikumiem Nr. 940 “Noteikumi par mikroliegumu izveidošanas un apsaimniekošanas kārtību, to aizsardzību, kā arī mikroliegumu un to buferzonu noteikšanu” 1. pielikumam</w:t>
      </w:r>
      <w:r w:rsidR="00C53B8A">
        <w:rPr>
          <w:rFonts w:ascii="Times New Roman" w:eastAsia="Calibri" w:hAnsi="Times New Roman" w:cs="Times New Roman"/>
          <w:sz w:val="20"/>
        </w:rPr>
        <w:t xml:space="preserve">). </w:t>
      </w:r>
    </w:p>
    <w:p w14:paraId="36650A38" w14:textId="30053959" w:rsidR="002B1603" w:rsidRPr="00A07F29" w:rsidRDefault="002B1603" w:rsidP="00DD7D6D">
      <w:pPr>
        <w:shd w:val="clear" w:color="auto" w:fill="FFFFFF"/>
        <w:spacing w:after="0" w:line="240" w:lineRule="auto"/>
        <w:ind w:firstLine="851"/>
        <w:jc w:val="both"/>
        <w:rPr>
          <w:rFonts w:ascii="Times New Roman" w:eastAsia="Calibri" w:hAnsi="Times New Roman" w:cs="Times New Roman"/>
          <w:sz w:val="20"/>
        </w:rPr>
      </w:pPr>
      <w:r w:rsidRPr="00A07F29">
        <w:rPr>
          <w:rFonts w:ascii="Times New Roman" w:eastAsia="Calibri" w:hAnsi="Times New Roman" w:cs="Times New Roman"/>
          <w:b/>
          <w:bCs/>
          <w:sz w:val="20"/>
        </w:rPr>
        <w:t xml:space="preserve">MAB </w:t>
      </w:r>
      <w:r w:rsidR="00AE3E73">
        <w:rPr>
          <w:rFonts w:ascii="Times New Roman" w:eastAsia="Calibri" w:hAnsi="Times New Roman" w:cs="Times New Roman"/>
          <w:sz w:val="20"/>
        </w:rPr>
        <w:t>–</w:t>
      </w:r>
      <w:r w:rsidRPr="00A07F29">
        <w:rPr>
          <w:rFonts w:ascii="Times New Roman" w:eastAsia="Calibri" w:hAnsi="Times New Roman" w:cs="Times New Roman"/>
          <w:sz w:val="20"/>
        </w:rPr>
        <w:t xml:space="preserve"> </w:t>
      </w:r>
      <w:bookmarkStart w:id="75" w:name="_Hlk185431951"/>
      <w:r w:rsidR="00AE3E73">
        <w:rPr>
          <w:rFonts w:ascii="Times New Roman" w:eastAsia="Calibri" w:hAnsi="Times New Roman" w:cs="Times New Roman"/>
          <w:sz w:val="20"/>
        </w:rPr>
        <w:t>m</w:t>
      </w:r>
      <w:r w:rsidRPr="00A07F29">
        <w:rPr>
          <w:rFonts w:ascii="Times New Roman" w:eastAsia="Calibri" w:hAnsi="Times New Roman" w:cs="Times New Roman"/>
          <w:sz w:val="20"/>
        </w:rPr>
        <w:t>ežaudžu atslēgas biotopu (= dabisku meža biotopu) sugas (Lārmanis</w:t>
      </w:r>
      <w:r w:rsidR="00E11CEB">
        <w:rPr>
          <w:rFonts w:ascii="Times New Roman" w:eastAsia="Calibri" w:hAnsi="Times New Roman" w:cs="Times New Roman"/>
          <w:sz w:val="20"/>
        </w:rPr>
        <w:t xml:space="preserve"> V.</w:t>
      </w:r>
      <w:r w:rsidR="00395937">
        <w:rPr>
          <w:rFonts w:ascii="Times New Roman" w:eastAsia="Calibri" w:hAnsi="Times New Roman" w:cs="Times New Roman"/>
          <w:sz w:val="20"/>
        </w:rPr>
        <w:t>,</w:t>
      </w:r>
      <w:r w:rsidRPr="00A07F29">
        <w:rPr>
          <w:rFonts w:ascii="Times New Roman" w:eastAsia="Calibri" w:hAnsi="Times New Roman" w:cs="Times New Roman"/>
          <w:sz w:val="20"/>
        </w:rPr>
        <w:t xml:space="preserve"> u.c.</w:t>
      </w:r>
      <w:r w:rsidR="00395937">
        <w:rPr>
          <w:rFonts w:ascii="Times New Roman" w:eastAsia="Calibri" w:hAnsi="Times New Roman" w:cs="Times New Roman"/>
          <w:sz w:val="20"/>
        </w:rPr>
        <w:t>,</w:t>
      </w:r>
      <w:r w:rsidRPr="00A07F29">
        <w:rPr>
          <w:rFonts w:ascii="Times New Roman" w:eastAsia="Calibri" w:hAnsi="Times New Roman" w:cs="Times New Roman"/>
          <w:sz w:val="20"/>
        </w:rPr>
        <w:t xml:space="preserve"> 2000). </w:t>
      </w:r>
      <w:r w:rsidRPr="00A07F29">
        <w:rPr>
          <w:rFonts w:ascii="Times New Roman" w:eastAsia="Calibri" w:hAnsi="Times New Roman" w:cs="Times New Roman"/>
          <w:b/>
          <w:bCs/>
          <w:sz w:val="20"/>
        </w:rPr>
        <w:t xml:space="preserve">BSS </w:t>
      </w:r>
      <w:r w:rsidR="00395937">
        <w:rPr>
          <w:rFonts w:ascii="Times New Roman" w:eastAsia="Calibri" w:hAnsi="Times New Roman" w:cs="Times New Roman"/>
          <w:sz w:val="20"/>
        </w:rPr>
        <w:t xml:space="preserve">– </w:t>
      </w:r>
      <w:r w:rsidRPr="00A07F29">
        <w:rPr>
          <w:rFonts w:ascii="Times New Roman" w:eastAsia="Calibri" w:hAnsi="Times New Roman" w:cs="Times New Roman"/>
          <w:sz w:val="20"/>
        </w:rPr>
        <w:t>Biotopu speciālistu suga, kuras pastāvēšana ir atkarīga no noteikta biotopa. Tā ir apdraudēta suga, kuras pastāvēšana ir atkarīga no ļoti specifiskiem (mežaudžu atslēgas) biotopiem un</w:t>
      </w:r>
      <w:r w:rsidR="00395937">
        <w:rPr>
          <w:rFonts w:ascii="Times New Roman" w:eastAsia="Calibri" w:hAnsi="Times New Roman" w:cs="Times New Roman"/>
          <w:sz w:val="20"/>
        </w:rPr>
        <w:t>,</w:t>
      </w:r>
      <w:r w:rsidRPr="00A07F29">
        <w:rPr>
          <w:rFonts w:ascii="Times New Roman" w:eastAsia="Calibri" w:hAnsi="Times New Roman" w:cs="Times New Roman"/>
          <w:sz w:val="20"/>
        </w:rPr>
        <w:t xml:space="preserve"> kuras izzudīs, ja šie biotopi tiks apsaimniekoti sugu pastāvēšanai nepiemērotā veidā</w:t>
      </w:r>
      <w:r w:rsidR="00930A4A">
        <w:rPr>
          <w:rFonts w:ascii="Times New Roman" w:eastAsia="Calibri" w:hAnsi="Times New Roman" w:cs="Times New Roman"/>
          <w:sz w:val="20"/>
        </w:rPr>
        <w:t>.</w:t>
      </w:r>
      <w:r w:rsidRPr="00A07F29">
        <w:rPr>
          <w:rFonts w:ascii="Times New Roman" w:eastAsia="Calibri" w:hAnsi="Times New Roman" w:cs="Times New Roman"/>
          <w:sz w:val="20"/>
        </w:rPr>
        <w:t xml:space="preserve"> </w:t>
      </w:r>
      <w:r w:rsidRPr="00A07F29">
        <w:rPr>
          <w:rFonts w:ascii="Times New Roman" w:eastAsia="Calibri" w:hAnsi="Times New Roman" w:cs="Times New Roman"/>
          <w:b/>
          <w:bCs/>
          <w:sz w:val="20"/>
        </w:rPr>
        <w:t xml:space="preserve">IS </w:t>
      </w:r>
      <w:r w:rsidR="00930A4A">
        <w:rPr>
          <w:rFonts w:ascii="Times New Roman" w:eastAsia="Calibri" w:hAnsi="Times New Roman" w:cs="Times New Roman"/>
          <w:sz w:val="20"/>
        </w:rPr>
        <w:t>–</w:t>
      </w:r>
      <w:r w:rsidRPr="00A07F29">
        <w:rPr>
          <w:rFonts w:ascii="Times New Roman" w:eastAsia="Calibri" w:hAnsi="Times New Roman" w:cs="Times New Roman"/>
          <w:sz w:val="20"/>
        </w:rPr>
        <w:t xml:space="preserve"> </w:t>
      </w:r>
      <w:proofErr w:type="spellStart"/>
      <w:r w:rsidRPr="00A07F29">
        <w:rPr>
          <w:rFonts w:ascii="Times New Roman" w:eastAsia="Calibri" w:hAnsi="Times New Roman" w:cs="Times New Roman"/>
          <w:sz w:val="20"/>
        </w:rPr>
        <w:t>Indikatorsuga</w:t>
      </w:r>
      <w:proofErr w:type="spellEnd"/>
      <w:r w:rsidRPr="00A07F29">
        <w:rPr>
          <w:rFonts w:ascii="Times New Roman" w:eastAsia="Calibri" w:hAnsi="Times New Roman" w:cs="Times New Roman"/>
          <w:sz w:val="20"/>
        </w:rPr>
        <w:t>, kam ir samērā augstas prasības pret dzīves vidi, bet ne tik augstas kā biotopu speciālistu sugām.</w:t>
      </w:r>
      <w:bookmarkEnd w:id="75"/>
    </w:p>
    <w:p w14:paraId="5A1B5AC0" w14:textId="77777777" w:rsidR="002B1603" w:rsidRPr="00A07F29" w:rsidRDefault="002B1603" w:rsidP="002B1603">
      <w:pPr>
        <w:spacing w:after="160" w:line="259" w:lineRule="auto"/>
        <w:rPr>
          <w:rFonts w:ascii="Times New Roman" w:eastAsia="Calibri" w:hAnsi="Times New Roman" w:cs="Calibri"/>
          <w:sz w:val="24"/>
        </w:rPr>
      </w:pPr>
    </w:p>
    <w:p w14:paraId="6F68F900" w14:textId="7EC0AF34" w:rsidR="009072CE" w:rsidRPr="00A07F29" w:rsidRDefault="009072CE" w:rsidP="00B77E27">
      <w:pPr>
        <w:pStyle w:val="Heading2"/>
        <w:spacing w:before="120" w:after="120"/>
        <w:ind w:firstLine="0"/>
        <w:jc w:val="center"/>
        <w:rPr>
          <w:rFonts w:ascii="Times New Roman" w:hAnsi="Times New Roman"/>
          <w:b w:val="0"/>
          <w:iCs w:val="0"/>
        </w:rPr>
      </w:pPr>
      <w:bookmarkStart w:id="76" w:name="_Hlk39666232"/>
      <w:bookmarkStart w:id="77" w:name="_Toc183434013"/>
      <w:bookmarkEnd w:id="76"/>
      <w:r w:rsidRPr="00A07F29">
        <w:rPr>
          <w:rFonts w:ascii="Times New Roman" w:hAnsi="Times New Roman"/>
          <w:i w:val="0"/>
        </w:rPr>
        <w:t>4.</w:t>
      </w:r>
      <w:r w:rsidR="0091085D" w:rsidRPr="00A07F29">
        <w:rPr>
          <w:rFonts w:ascii="Times New Roman" w:hAnsi="Times New Roman"/>
          <w:i w:val="0"/>
        </w:rPr>
        <w:t>7</w:t>
      </w:r>
      <w:r w:rsidRPr="00A07F29">
        <w:rPr>
          <w:rFonts w:ascii="Times New Roman" w:hAnsi="Times New Roman"/>
          <w:i w:val="0"/>
        </w:rPr>
        <w:t>. Aizsargājamās bezmugurkaulnieku sugas</w:t>
      </w:r>
      <w:bookmarkEnd w:id="77"/>
    </w:p>
    <w:p w14:paraId="29255C1A" w14:textId="10591839" w:rsidR="009072CE" w:rsidRPr="00A07F29" w:rsidRDefault="009072CE" w:rsidP="00B77E27">
      <w:pPr>
        <w:pStyle w:val="Heading3"/>
        <w:spacing w:before="120" w:after="120" w:line="240" w:lineRule="auto"/>
        <w:jc w:val="center"/>
        <w:rPr>
          <w:b w:val="0"/>
          <w:lang w:eastAsia="ja-JP"/>
        </w:rPr>
      </w:pPr>
      <w:bookmarkStart w:id="78" w:name="_Toc183434014"/>
      <w:r w:rsidRPr="00A07F29">
        <w:rPr>
          <w:lang w:eastAsia="ja-JP"/>
        </w:rPr>
        <w:t>4.</w:t>
      </w:r>
      <w:r w:rsidR="0091085D" w:rsidRPr="00A07F29">
        <w:rPr>
          <w:lang w:eastAsia="ja-JP"/>
        </w:rPr>
        <w:t>7</w:t>
      </w:r>
      <w:r w:rsidRPr="00A07F29">
        <w:rPr>
          <w:lang w:eastAsia="ja-JP"/>
        </w:rPr>
        <w:t>.1. Kukaiņi</w:t>
      </w:r>
      <w:bookmarkEnd w:id="78"/>
    </w:p>
    <w:p w14:paraId="194B28E4" w14:textId="46CF1665" w:rsidR="009072CE" w:rsidRPr="00A07F29" w:rsidRDefault="009072CE" w:rsidP="008F3647">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Publicētajā literatūrā atrodami tikai atsevišķi dati (</w:t>
      </w:r>
      <w:proofErr w:type="spellStart"/>
      <w:r w:rsidRPr="00A07F29">
        <w:rPr>
          <w:rFonts w:ascii="Times New Roman" w:eastAsia="Calibri" w:hAnsi="Times New Roman" w:cs="Times New Roman"/>
          <w:sz w:val="24"/>
          <w:szCs w:val="24"/>
        </w:rPr>
        <w:t>Barševskis</w:t>
      </w:r>
      <w:proofErr w:type="spellEnd"/>
      <w:r w:rsidR="00F83A2F">
        <w:rPr>
          <w:rFonts w:ascii="Times New Roman" w:eastAsia="Calibri" w:hAnsi="Times New Roman" w:cs="Times New Roman"/>
          <w:sz w:val="24"/>
          <w:szCs w:val="24"/>
        </w:rPr>
        <w:t xml:space="preserve"> A.</w:t>
      </w:r>
      <w:r w:rsidRPr="00A07F29">
        <w:rPr>
          <w:rFonts w:ascii="Times New Roman" w:eastAsia="Calibri" w:hAnsi="Times New Roman" w:cs="Times New Roman"/>
          <w:sz w:val="24"/>
          <w:szCs w:val="24"/>
        </w:rPr>
        <w:t xml:space="preserve">, 1993; </w:t>
      </w:r>
      <w:proofErr w:type="spellStart"/>
      <w:r w:rsidRPr="00A07F29">
        <w:rPr>
          <w:rFonts w:ascii="Times New Roman" w:eastAsia="Calibri" w:hAnsi="Times New Roman" w:cs="Times New Roman"/>
          <w:sz w:val="24"/>
          <w:szCs w:val="24"/>
        </w:rPr>
        <w:t>Spuris</w:t>
      </w:r>
      <w:proofErr w:type="spellEnd"/>
      <w:r w:rsidR="00084C5D">
        <w:rPr>
          <w:rFonts w:ascii="Times New Roman" w:eastAsia="Calibri" w:hAnsi="Times New Roman" w:cs="Times New Roman"/>
          <w:sz w:val="24"/>
          <w:szCs w:val="24"/>
        </w:rPr>
        <w:t xml:space="preserve"> Z.</w:t>
      </w:r>
      <w:r w:rsidRPr="00A07F29">
        <w:rPr>
          <w:rFonts w:ascii="Times New Roman" w:eastAsia="Calibri" w:hAnsi="Times New Roman" w:cs="Times New Roman"/>
          <w:sz w:val="24"/>
          <w:szCs w:val="24"/>
        </w:rPr>
        <w:t xml:space="preserve">, 1998 u.c.) </w:t>
      </w:r>
      <w:r w:rsidRPr="00D94BBC">
        <w:rPr>
          <w:rFonts w:ascii="Times New Roman" w:eastAsia="Calibri" w:hAnsi="Times New Roman" w:cs="Times New Roman"/>
          <w:sz w:val="24"/>
          <w:szCs w:val="24"/>
        </w:rPr>
        <w:t xml:space="preserve">par īpaši aizsargājamo kukaiņu sugu sastopamību AAA “Augšdaugava” teritorijā. </w:t>
      </w:r>
      <w:r w:rsidR="00BF0E06" w:rsidRPr="00D94BBC">
        <w:rPr>
          <w:rFonts w:ascii="Times New Roman" w:eastAsia="Calibri" w:hAnsi="Times New Roman" w:cs="Times New Roman"/>
          <w:sz w:val="24"/>
          <w:szCs w:val="24"/>
        </w:rPr>
        <w:t>DP</w:t>
      </w:r>
      <w:r w:rsidRPr="00D94BBC">
        <w:rPr>
          <w:rFonts w:ascii="Times New Roman" w:eastAsia="Calibri" w:hAnsi="Times New Roman" w:cs="Times New Roman"/>
          <w:sz w:val="24"/>
          <w:szCs w:val="24"/>
        </w:rPr>
        <w:t xml:space="preserve"> “Daugavas loki” </w:t>
      </w:r>
      <w:r w:rsidR="00BF0E06" w:rsidRPr="00D94BBC">
        <w:rPr>
          <w:rFonts w:ascii="Times New Roman" w:eastAsia="Calibri" w:hAnsi="Times New Roman" w:cs="Times New Roman"/>
          <w:sz w:val="24"/>
          <w:szCs w:val="24"/>
        </w:rPr>
        <w:t>DA plāna</w:t>
      </w:r>
      <w:r w:rsidRPr="00D94BBC">
        <w:rPr>
          <w:rFonts w:ascii="Times New Roman" w:eastAsia="Calibri" w:hAnsi="Times New Roman" w:cs="Times New Roman"/>
          <w:sz w:val="24"/>
          <w:szCs w:val="24"/>
        </w:rPr>
        <w:t xml:space="preserve"> 2010</w:t>
      </w:r>
      <w:r w:rsidRPr="00A07F29">
        <w:rPr>
          <w:rFonts w:ascii="Times New Roman" w:eastAsia="Calibri" w:hAnsi="Times New Roman" w:cs="Times New Roman"/>
          <w:sz w:val="24"/>
          <w:szCs w:val="24"/>
        </w:rPr>
        <w:t>.</w:t>
      </w:r>
      <w:r w:rsidR="00A262AD">
        <w:rPr>
          <w:rFonts w:ascii="Times New Roman" w:eastAsia="Calibri" w:hAnsi="Times New Roman" w:cs="Times New Roman"/>
          <w:sz w:val="24"/>
          <w:szCs w:val="24"/>
        </w:rPr>
        <w:t> – 2</w:t>
      </w:r>
      <w:r w:rsidRPr="00A07F29">
        <w:rPr>
          <w:rFonts w:ascii="Times New Roman" w:eastAsia="Calibri" w:hAnsi="Times New Roman" w:cs="Times New Roman"/>
          <w:sz w:val="24"/>
          <w:szCs w:val="24"/>
        </w:rPr>
        <w:t>022.</w:t>
      </w:r>
      <w:r w:rsidR="00A262AD">
        <w:rPr>
          <w:rFonts w:ascii="Times New Roman" w:eastAsia="Calibri" w:hAnsi="Times New Roman" w:cs="Times New Roman"/>
          <w:sz w:val="24"/>
          <w:szCs w:val="24"/>
        </w:rPr>
        <w:t> </w:t>
      </w:r>
      <w:r w:rsidRPr="00A07F29">
        <w:rPr>
          <w:rFonts w:ascii="Times New Roman" w:eastAsia="Calibri" w:hAnsi="Times New Roman" w:cs="Times New Roman"/>
          <w:sz w:val="24"/>
          <w:szCs w:val="24"/>
        </w:rPr>
        <w:t>gadam izstrādes ietvaros teritoriju apsekojuši entomologi R</w:t>
      </w:r>
      <w:r w:rsidR="0091085D" w:rsidRPr="00A07F29">
        <w:rPr>
          <w:rFonts w:ascii="Times New Roman" w:eastAsia="Calibri" w:hAnsi="Times New Roman" w:cs="Times New Roman"/>
          <w:sz w:val="24"/>
          <w:szCs w:val="24"/>
        </w:rPr>
        <w:t>. </w:t>
      </w:r>
      <w:proofErr w:type="spellStart"/>
      <w:r w:rsidRPr="00A07F29">
        <w:rPr>
          <w:rFonts w:ascii="Times New Roman" w:eastAsia="Calibri" w:hAnsi="Times New Roman" w:cs="Times New Roman"/>
          <w:sz w:val="24"/>
          <w:szCs w:val="24"/>
        </w:rPr>
        <w:t>Cibuļskis</w:t>
      </w:r>
      <w:proofErr w:type="spellEnd"/>
      <w:r w:rsidRPr="00A07F29">
        <w:rPr>
          <w:rFonts w:ascii="Times New Roman" w:eastAsia="Calibri" w:hAnsi="Times New Roman" w:cs="Times New Roman"/>
          <w:sz w:val="24"/>
          <w:szCs w:val="24"/>
        </w:rPr>
        <w:t xml:space="preserve"> un U</w:t>
      </w:r>
      <w:r w:rsidR="0091085D" w:rsidRPr="00A07F29">
        <w:rPr>
          <w:rFonts w:ascii="Times New Roman" w:eastAsia="Calibri" w:hAnsi="Times New Roman" w:cs="Times New Roman"/>
          <w:sz w:val="24"/>
          <w:szCs w:val="24"/>
        </w:rPr>
        <w:t>. </w:t>
      </w:r>
      <w:r w:rsidRPr="00A07F29">
        <w:rPr>
          <w:rFonts w:ascii="Times New Roman" w:eastAsia="Calibri" w:hAnsi="Times New Roman" w:cs="Times New Roman"/>
          <w:sz w:val="24"/>
          <w:szCs w:val="24"/>
        </w:rPr>
        <w:t>Valainis. 2014.</w:t>
      </w:r>
      <w:r w:rsidR="00A262AD">
        <w:rPr>
          <w:rFonts w:ascii="Times New Roman" w:eastAsia="Calibri" w:hAnsi="Times New Roman" w:cs="Times New Roman"/>
          <w:sz w:val="24"/>
          <w:szCs w:val="24"/>
        </w:rPr>
        <w:t> </w:t>
      </w:r>
      <w:r w:rsidRPr="00A07F29">
        <w:rPr>
          <w:rFonts w:ascii="Times New Roman" w:eastAsia="Calibri" w:hAnsi="Times New Roman" w:cs="Times New Roman"/>
          <w:sz w:val="24"/>
          <w:szCs w:val="24"/>
        </w:rPr>
        <w:t>gadā D</w:t>
      </w:r>
      <w:r w:rsidR="005B14A5" w:rsidRPr="00A07F29">
        <w:rPr>
          <w:rFonts w:ascii="Times New Roman" w:eastAsia="Calibri" w:hAnsi="Times New Roman" w:cs="Times New Roman"/>
          <w:sz w:val="24"/>
          <w:szCs w:val="24"/>
        </w:rPr>
        <w:t xml:space="preserve">AP </w:t>
      </w:r>
      <w:r w:rsidRPr="00A07F29">
        <w:rPr>
          <w:rFonts w:ascii="Times New Roman" w:eastAsia="Calibri" w:hAnsi="Times New Roman" w:cs="Times New Roman"/>
          <w:sz w:val="24"/>
          <w:szCs w:val="24"/>
        </w:rPr>
        <w:t>izstrādātā AAA “Augšdaugava” pārvaldības plāna (2014) ietvaros teritorijā kukaiņu faunas pētījumus veicis G.</w:t>
      </w:r>
      <w:r w:rsidR="000A248D">
        <w:rPr>
          <w:rFonts w:ascii="Times New Roman" w:eastAsia="Calibri" w:hAnsi="Times New Roman" w:cs="Times New Roman"/>
          <w:sz w:val="24"/>
          <w:szCs w:val="24"/>
        </w:rPr>
        <w:t> </w:t>
      </w:r>
      <w:r w:rsidRPr="00A07F29">
        <w:rPr>
          <w:rFonts w:ascii="Times New Roman" w:eastAsia="Calibri" w:hAnsi="Times New Roman" w:cs="Times New Roman"/>
          <w:sz w:val="24"/>
          <w:szCs w:val="24"/>
        </w:rPr>
        <w:t>Akmentiņš.</w:t>
      </w:r>
      <w:r w:rsidR="00DE6D1D" w:rsidRPr="00A07F29">
        <w:rPr>
          <w:rFonts w:ascii="Times New Roman" w:eastAsia="Calibri" w:hAnsi="Times New Roman" w:cs="Times New Roman"/>
          <w:color w:val="000000"/>
          <w:sz w:val="24"/>
          <w:szCs w:val="24"/>
        </w:rPr>
        <w:t xml:space="preserve"> </w:t>
      </w:r>
      <w:proofErr w:type="spellStart"/>
      <w:r w:rsidR="00DE6D1D" w:rsidRPr="00A07F29">
        <w:rPr>
          <w:rFonts w:ascii="Times New Roman" w:eastAsia="Calibri" w:hAnsi="Times New Roman" w:cs="Times New Roman"/>
          <w:i/>
          <w:color w:val="000000"/>
          <w:sz w:val="24"/>
          <w:szCs w:val="24"/>
        </w:rPr>
        <w:t>Natura</w:t>
      </w:r>
      <w:proofErr w:type="spellEnd"/>
      <w:r w:rsidR="00DE6D1D" w:rsidRPr="00A07F29">
        <w:rPr>
          <w:rFonts w:ascii="Times New Roman" w:eastAsia="Calibri" w:hAnsi="Times New Roman" w:cs="Times New Roman"/>
          <w:i/>
          <w:color w:val="000000"/>
          <w:sz w:val="24"/>
          <w:szCs w:val="24"/>
        </w:rPr>
        <w:t xml:space="preserve"> </w:t>
      </w:r>
      <w:r w:rsidR="00DE6D1D" w:rsidRPr="00A07F29">
        <w:rPr>
          <w:rFonts w:ascii="Times New Roman" w:eastAsia="Calibri" w:hAnsi="Times New Roman" w:cs="Times New Roman"/>
          <w:i/>
          <w:color w:val="000000"/>
          <w:sz w:val="24"/>
          <w:szCs w:val="24"/>
        </w:rPr>
        <w:lastRenderedPageBreak/>
        <w:t>2000</w:t>
      </w:r>
      <w:r w:rsidR="00DE6D1D" w:rsidRPr="00A07F29">
        <w:rPr>
          <w:rFonts w:ascii="Times New Roman" w:eastAsia="Calibri" w:hAnsi="Times New Roman" w:cs="Times New Roman"/>
          <w:color w:val="000000"/>
          <w:sz w:val="24"/>
          <w:szCs w:val="24"/>
        </w:rPr>
        <w:t xml:space="preserve"> teritoriju bezmugurkaulnieku monitoringa ietvaros </w:t>
      </w:r>
      <w:r w:rsidR="00384E7C" w:rsidRPr="00A07F29">
        <w:rPr>
          <w:rFonts w:ascii="Times New Roman" w:eastAsia="Calibri" w:hAnsi="Times New Roman" w:cs="Times New Roman"/>
          <w:sz w:val="24"/>
          <w:szCs w:val="24"/>
        </w:rPr>
        <w:t xml:space="preserve">AAA “Augšdaugava” </w:t>
      </w:r>
      <w:r w:rsidR="00DE6D1D" w:rsidRPr="00A07F29">
        <w:rPr>
          <w:rFonts w:ascii="Times New Roman" w:eastAsia="Calibri" w:hAnsi="Times New Roman" w:cs="Times New Roman"/>
          <w:color w:val="000000"/>
          <w:sz w:val="24"/>
          <w:szCs w:val="24"/>
        </w:rPr>
        <w:t>teritorija apsekota 2016. un 2017.</w:t>
      </w:r>
      <w:r w:rsidR="000A248D">
        <w:rPr>
          <w:rFonts w:ascii="Times New Roman" w:eastAsia="Calibri" w:hAnsi="Times New Roman" w:cs="Times New Roman"/>
          <w:color w:val="000000"/>
          <w:sz w:val="24"/>
          <w:szCs w:val="24"/>
        </w:rPr>
        <w:t> </w:t>
      </w:r>
      <w:r w:rsidR="00DE6D1D" w:rsidRPr="00A07F29">
        <w:rPr>
          <w:rFonts w:ascii="Times New Roman" w:eastAsia="Calibri" w:hAnsi="Times New Roman" w:cs="Times New Roman"/>
          <w:color w:val="000000"/>
          <w:sz w:val="24"/>
          <w:szCs w:val="24"/>
        </w:rPr>
        <w:t>gadā.</w:t>
      </w:r>
    </w:p>
    <w:p w14:paraId="7F038F38" w14:textId="09014DB0" w:rsidR="00DE6D1D" w:rsidRPr="00A07F29" w:rsidRDefault="009072CE" w:rsidP="008F3647">
      <w:pPr>
        <w:spacing w:after="120" w:line="240" w:lineRule="auto"/>
        <w:ind w:firstLine="851"/>
        <w:jc w:val="both"/>
        <w:rPr>
          <w:rFonts w:ascii="Times New Roman" w:eastAsia="Calibri" w:hAnsi="Times New Roman" w:cs="Times New Roman"/>
          <w:color w:val="000000"/>
          <w:sz w:val="24"/>
          <w:szCs w:val="24"/>
          <w:lang w:eastAsia="ar-SA"/>
        </w:rPr>
      </w:pPr>
      <w:r w:rsidRPr="00A07F29">
        <w:rPr>
          <w:rFonts w:ascii="Times New Roman" w:eastAsia="Calibri" w:hAnsi="Times New Roman" w:cs="Times New Roman"/>
          <w:sz w:val="24"/>
          <w:szCs w:val="24"/>
        </w:rPr>
        <w:t xml:space="preserve">Dati par AAA </w:t>
      </w:r>
      <w:r w:rsidR="009030C9">
        <w:rPr>
          <w:rFonts w:ascii="Times New Roman" w:eastAsia="Calibri" w:hAnsi="Times New Roman" w:cs="Times New Roman"/>
          <w:sz w:val="24"/>
          <w:szCs w:val="24"/>
        </w:rPr>
        <w:t>“</w:t>
      </w:r>
      <w:r w:rsidRPr="00A07F29">
        <w:rPr>
          <w:rFonts w:ascii="Times New Roman" w:eastAsia="Calibri" w:hAnsi="Times New Roman" w:cs="Times New Roman"/>
          <w:sz w:val="24"/>
          <w:szCs w:val="24"/>
        </w:rPr>
        <w:t>Augšdaugava” teritorijā sastopamajām reto un aizsargājamo kukaiņu sugām apkopoti</w:t>
      </w:r>
      <w:r w:rsidR="0091085D" w:rsidRPr="00A07F29">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balstoties uz </w:t>
      </w:r>
      <w:r w:rsidRPr="00A07F29">
        <w:rPr>
          <w:rFonts w:ascii="Times New Roman" w:eastAsia="Calibri" w:hAnsi="Times New Roman" w:cs="Times New Roman"/>
          <w:color w:val="000000"/>
          <w:sz w:val="24"/>
          <w:szCs w:val="24"/>
        </w:rPr>
        <w:t>pieejamo informāciju</w:t>
      </w:r>
      <w:r w:rsidRPr="00A07F29">
        <w:rPr>
          <w:rFonts w:ascii="Times New Roman" w:eastAsia="Calibri" w:hAnsi="Times New Roman" w:cs="Times New Roman"/>
          <w:sz w:val="24"/>
          <w:szCs w:val="24"/>
        </w:rPr>
        <w:t xml:space="preserve"> </w:t>
      </w:r>
      <w:r w:rsidR="00511AA1" w:rsidRPr="00A07F29">
        <w:rPr>
          <w:rFonts w:ascii="Times New Roman" w:eastAsia="Calibri" w:hAnsi="Times New Roman" w:cs="Times New Roman"/>
          <w:color w:val="000000"/>
          <w:sz w:val="24"/>
          <w:szCs w:val="24"/>
        </w:rPr>
        <w:t>DAP</w:t>
      </w:r>
      <w:r w:rsidRPr="00A07F29">
        <w:rPr>
          <w:rFonts w:ascii="Times New Roman" w:eastAsia="Calibri" w:hAnsi="Times New Roman" w:cs="Times New Roman"/>
          <w:color w:val="000000"/>
          <w:sz w:val="24"/>
          <w:szCs w:val="24"/>
        </w:rPr>
        <w:t xml:space="preserve"> </w:t>
      </w:r>
      <w:r w:rsidR="00D94BBC" w:rsidRPr="00D94BBC">
        <w:rPr>
          <w:rFonts w:ascii="Times New Roman" w:eastAsia="Calibri" w:hAnsi="Times New Roman" w:cs="Times New Roman"/>
          <w:color w:val="000000"/>
          <w:sz w:val="24"/>
          <w:szCs w:val="24"/>
          <w:shd w:val="clear" w:color="auto" w:fill="FFFFFF"/>
        </w:rPr>
        <w:t>DDPS</w:t>
      </w:r>
      <w:r w:rsidRPr="00D94BBC">
        <w:rPr>
          <w:rFonts w:ascii="Times New Roman" w:eastAsia="Calibri" w:hAnsi="Times New Roman" w:cs="Times New Roman"/>
          <w:color w:val="000000"/>
          <w:sz w:val="24"/>
          <w:szCs w:val="24"/>
          <w:shd w:val="clear" w:color="auto" w:fill="FFFFFF"/>
        </w:rPr>
        <w:t xml:space="preserve"> "Ozols",</w:t>
      </w:r>
      <w:r w:rsidRPr="00A07F29">
        <w:rPr>
          <w:rFonts w:ascii="Times New Roman" w:eastAsia="Calibri" w:hAnsi="Times New Roman" w:cs="Times New Roman"/>
          <w:color w:val="000000"/>
          <w:sz w:val="24"/>
          <w:szCs w:val="24"/>
          <w:shd w:val="clear" w:color="auto" w:fill="FFFFFF"/>
        </w:rPr>
        <w:t xml:space="preserve"> AS </w:t>
      </w:r>
      <w:r w:rsidR="318B9F7D" w:rsidRPr="00A07F29">
        <w:rPr>
          <w:rFonts w:ascii="Times New Roman" w:eastAsia="Calibri" w:hAnsi="Times New Roman" w:cs="Times New Roman"/>
          <w:color w:val="000000"/>
          <w:sz w:val="24"/>
          <w:szCs w:val="24"/>
          <w:shd w:val="clear" w:color="auto" w:fill="FFFFFF"/>
        </w:rPr>
        <w:t>LVM</w:t>
      </w:r>
      <w:r w:rsidRPr="00A07F29">
        <w:rPr>
          <w:rFonts w:ascii="Times New Roman" w:eastAsia="Calibri" w:hAnsi="Times New Roman" w:cs="Times New Roman"/>
          <w:color w:val="000000"/>
          <w:sz w:val="24"/>
          <w:szCs w:val="24"/>
          <w:shd w:val="clear" w:color="auto" w:fill="FFFFFF"/>
        </w:rPr>
        <w:t xml:space="preserve"> datubāzē, </w:t>
      </w:r>
      <w:proofErr w:type="spellStart"/>
      <w:r w:rsidR="0092556E" w:rsidRPr="00A07F29">
        <w:rPr>
          <w:rFonts w:ascii="Times New Roman" w:eastAsia="Calibri" w:hAnsi="Times New Roman" w:cs="Times New Roman"/>
          <w:i/>
          <w:color w:val="000000"/>
          <w:sz w:val="24"/>
          <w:szCs w:val="24"/>
          <w:shd w:val="clear" w:color="auto" w:fill="FFFFFF"/>
        </w:rPr>
        <w:t>Natura</w:t>
      </w:r>
      <w:proofErr w:type="spellEnd"/>
      <w:r w:rsidRPr="00A07F29">
        <w:rPr>
          <w:rFonts w:ascii="Times New Roman" w:eastAsia="Calibri" w:hAnsi="Times New Roman" w:cs="Times New Roman"/>
          <w:i/>
          <w:color w:val="000000"/>
          <w:sz w:val="24"/>
          <w:szCs w:val="24"/>
          <w:shd w:val="clear" w:color="auto" w:fill="FFFFFF"/>
        </w:rPr>
        <w:t> 2000</w:t>
      </w:r>
      <w:r w:rsidRPr="00A07F29">
        <w:rPr>
          <w:rFonts w:ascii="Times New Roman" w:eastAsia="Calibri" w:hAnsi="Times New Roman" w:cs="Times New Roman"/>
          <w:color w:val="000000"/>
          <w:sz w:val="24"/>
          <w:szCs w:val="24"/>
          <w:shd w:val="clear" w:color="auto" w:fill="FFFFFF"/>
        </w:rPr>
        <w:t xml:space="preserve"> datubāzē</w:t>
      </w:r>
      <w:r w:rsidR="009030C9">
        <w:rPr>
          <w:rStyle w:val="FootnoteReference"/>
          <w:rFonts w:ascii="Times New Roman" w:eastAsia="Calibri" w:hAnsi="Times New Roman" w:cs="Times New Roman"/>
          <w:color w:val="000000"/>
          <w:sz w:val="24"/>
          <w:szCs w:val="24"/>
          <w:shd w:val="clear" w:color="auto" w:fill="FFFFFF"/>
        </w:rPr>
        <w:footnoteReference w:id="33"/>
      </w:r>
      <w:r w:rsidRPr="00A07F29">
        <w:rPr>
          <w:rFonts w:ascii="Times New Roman" w:eastAsia="Calibri" w:hAnsi="Times New Roman" w:cs="Times New Roman"/>
          <w:sz w:val="24"/>
          <w:szCs w:val="24"/>
        </w:rPr>
        <w:t>, M</w:t>
      </w:r>
      <w:r w:rsidR="00FB2288">
        <w:rPr>
          <w:rFonts w:ascii="Times New Roman" w:eastAsia="Calibri" w:hAnsi="Times New Roman" w:cs="Times New Roman"/>
          <w:sz w:val="24"/>
          <w:szCs w:val="24"/>
        </w:rPr>
        <w:t>. </w:t>
      </w:r>
      <w:r w:rsidRPr="00A07F29">
        <w:rPr>
          <w:rFonts w:ascii="Times New Roman" w:eastAsia="Calibri" w:hAnsi="Times New Roman" w:cs="Times New Roman"/>
          <w:sz w:val="24"/>
          <w:szCs w:val="24"/>
        </w:rPr>
        <w:t>Kalniņa</w:t>
      </w:r>
      <w:r w:rsidR="00FB2288">
        <w:rPr>
          <w:rFonts w:ascii="Times New Roman" w:eastAsia="Calibri" w:hAnsi="Times New Roman" w:cs="Times New Roman"/>
          <w:sz w:val="24"/>
          <w:szCs w:val="24"/>
        </w:rPr>
        <w:t xml:space="preserve"> </w:t>
      </w:r>
      <w:r w:rsidRPr="00A07F29">
        <w:rPr>
          <w:rFonts w:ascii="Times New Roman" w:eastAsia="Calibri" w:hAnsi="Times New Roman" w:cs="Times New Roman"/>
          <w:sz w:val="24"/>
          <w:szCs w:val="24"/>
        </w:rPr>
        <w:t xml:space="preserve">veidotajā Latvijas bezmugurkaulnieku </w:t>
      </w:r>
      <w:r w:rsidR="0091085D" w:rsidRPr="00A07F29">
        <w:rPr>
          <w:rFonts w:ascii="Times New Roman" w:eastAsia="Calibri" w:hAnsi="Times New Roman" w:cs="Times New Roman"/>
          <w:sz w:val="24"/>
          <w:szCs w:val="24"/>
        </w:rPr>
        <w:t xml:space="preserve">izplatības </w:t>
      </w:r>
      <w:r w:rsidRPr="00A07F29">
        <w:rPr>
          <w:rFonts w:ascii="Times New Roman" w:eastAsia="Calibri" w:hAnsi="Times New Roman" w:cs="Times New Roman"/>
          <w:sz w:val="24"/>
          <w:szCs w:val="24"/>
        </w:rPr>
        <w:t xml:space="preserve">datu </w:t>
      </w:r>
      <w:r w:rsidR="0091085D" w:rsidRPr="00A07F29">
        <w:rPr>
          <w:rFonts w:ascii="Times New Roman" w:eastAsia="Calibri" w:hAnsi="Times New Roman" w:cs="Times New Roman"/>
          <w:sz w:val="24"/>
          <w:szCs w:val="24"/>
        </w:rPr>
        <w:t xml:space="preserve">bāzē </w:t>
      </w:r>
      <w:r w:rsidRPr="00A07F29">
        <w:rPr>
          <w:rFonts w:ascii="Times New Roman" w:eastAsia="Calibri" w:hAnsi="Times New Roman" w:cs="Times New Roman"/>
          <w:sz w:val="24"/>
          <w:szCs w:val="24"/>
        </w:rPr>
        <w:t xml:space="preserve">(LINDA), portālā </w:t>
      </w:r>
      <w:hyperlink r:id="rId67" w:history="1">
        <w:r w:rsidRPr="00A07F29">
          <w:rPr>
            <w:rFonts w:ascii="Times New Roman" w:eastAsia="Calibri" w:hAnsi="Times New Roman" w:cs="Times New Roman"/>
            <w:color w:val="333333"/>
            <w:sz w:val="24"/>
            <w:szCs w:val="24"/>
            <w:u w:val="single"/>
          </w:rPr>
          <w:t>www.dabasdati.lv</w:t>
        </w:r>
      </w:hyperlink>
      <w:r w:rsidRPr="00A07F29">
        <w:rPr>
          <w:rFonts w:ascii="Times New Roman" w:eastAsia="Calibri" w:hAnsi="Times New Roman" w:cs="Times New Roman"/>
          <w:sz w:val="24"/>
          <w:szCs w:val="24"/>
        </w:rPr>
        <w:t xml:space="preserve">, kā arī </w:t>
      </w:r>
      <w:r w:rsidR="00556578">
        <w:rPr>
          <w:rFonts w:ascii="Times New Roman" w:eastAsia="Calibri" w:hAnsi="Times New Roman" w:cs="Times New Roman"/>
          <w:color w:val="000000"/>
          <w:sz w:val="24"/>
          <w:szCs w:val="24"/>
        </w:rPr>
        <w:t>EMERALD</w:t>
      </w:r>
      <w:r w:rsidRPr="00A07F29">
        <w:rPr>
          <w:rFonts w:ascii="Times New Roman" w:eastAsia="Calibri" w:hAnsi="Times New Roman" w:cs="Times New Roman"/>
          <w:color w:val="000000"/>
          <w:sz w:val="24"/>
          <w:szCs w:val="24"/>
        </w:rPr>
        <w:t xml:space="preserve"> projekta materiālos</w:t>
      </w:r>
      <w:r w:rsidR="00DE6D1D" w:rsidRPr="00A07F29">
        <w:rPr>
          <w:rFonts w:ascii="Times New Roman" w:eastAsia="Calibri" w:hAnsi="Times New Roman" w:cs="Times New Roman"/>
          <w:color w:val="000000"/>
          <w:sz w:val="24"/>
          <w:szCs w:val="24"/>
          <w:lang w:eastAsia="ar-SA"/>
        </w:rPr>
        <w:t>.</w:t>
      </w:r>
    </w:p>
    <w:p w14:paraId="3C9F1EC8" w14:textId="4F381518" w:rsidR="00DE6D1D" w:rsidRPr="00A07F29" w:rsidRDefault="00BF0E06" w:rsidP="008F3647">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DA plāna</w:t>
      </w:r>
      <w:r w:rsidR="009072CE" w:rsidRPr="00A07F29">
        <w:rPr>
          <w:rFonts w:ascii="Times New Roman" w:eastAsia="Calibri" w:hAnsi="Times New Roman" w:cs="Times New Roman"/>
          <w:sz w:val="24"/>
          <w:szCs w:val="24"/>
        </w:rPr>
        <w:t xml:space="preserve"> </w:t>
      </w:r>
      <w:r w:rsidRPr="00A07F29">
        <w:rPr>
          <w:rFonts w:ascii="Times New Roman" w:eastAsia="Calibri" w:hAnsi="Times New Roman" w:cs="Times New Roman"/>
          <w:sz w:val="24"/>
          <w:szCs w:val="24"/>
        </w:rPr>
        <w:t>AAA</w:t>
      </w:r>
      <w:r w:rsidR="009072CE" w:rsidRPr="00A07F29">
        <w:rPr>
          <w:rFonts w:ascii="Times New Roman" w:eastAsia="Calibri" w:hAnsi="Times New Roman" w:cs="Times New Roman"/>
          <w:sz w:val="24"/>
          <w:szCs w:val="24"/>
        </w:rPr>
        <w:t xml:space="preserve"> </w:t>
      </w:r>
      <w:r w:rsidR="00D25B37">
        <w:rPr>
          <w:rFonts w:ascii="Times New Roman" w:eastAsia="Calibri" w:hAnsi="Times New Roman" w:cs="Times New Roman"/>
          <w:sz w:val="24"/>
          <w:szCs w:val="24"/>
        </w:rPr>
        <w:t>“</w:t>
      </w:r>
      <w:r w:rsidR="009072CE" w:rsidRPr="00A07F29">
        <w:rPr>
          <w:rFonts w:ascii="Times New Roman" w:eastAsia="Calibri" w:hAnsi="Times New Roman" w:cs="Times New Roman"/>
          <w:sz w:val="24"/>
          <w:szCs w:val="24"/>
        </w:rPr>
        <w:t>Augšdaugava” izstrādes laikā teritorijas apsekošanu 2019.</w:t>
      </w:r>
      <w:r w:rsidR="00D25B37">
        <w:rPr>
          <w:rFonts w:ascii="Times New Roman" w:eastAsia="Calibri" w:hAnsi="Times New Roman" w:cs="Times New Roman"/>
          <w:sz w:val="24"/>
          <w:szCs w:val="24"/>
        </w:rPr>
        <w:t> </w:t>
      </w:r>
      <w:r w:rsidR="009072CE" w:rsidRPr="00A07F29">
        <w:rPr>
          <w:rFonts w:ascii="Times New Roman" w:eastAsia="Calibri" w:hAnsi="Times New Roman" w:cs="Times New Roman"/>
          <w:sz w:val="24"/>
          <w:szCs w:val="24"/>
        </w:rPr>
        <w:t>gada lauka pētījumu sezonā veica bezmugurkaulnieku eksperti U.</w:t>
      </w:r>
      <w:r w:rsidR="00C01C70">
        <w:rPr>
          <w:rFonts w:ascii="Times New Roman" w:eastAsia="Calibri" w:hAnsi="Times New Roman" w:cs="Times New Roman"/>
          <w:sz w:val="24"/>
          <w:szCs w:val="24"/>
        </w:rPr>
        <w:t> </w:t>
      </w:r>
      <w:r w:rsidR="009072CE" w:rsidRPr="00A07F29">
        <w:rPr>
          <w:rFonts w:ascii="Times New Roman" w:eastAsia="Calibri" w:hAnsi="Times New Roman" w:cs="Times New Roman"/>
          <w:sz w:val="24"/>
          <w:szCs w:val="24"/>
        </w:rPr>
        <w:t>Valainis un M.</w:t>
      </w:r>
      <w:r w:rsidR="00C01C70">
        <w:rPr>
          <w:rFonts w:ascii="Times New Roman" w:eastAsia="Calibri" w:hAnsi="Times New Roman" w:cs="Times New Roman"/>
          <w:sz w:val="24"/>
          <w:szCs w:val="24"/>
        </w:rPr>
        <w:t> </w:t>
      </w:r>
      <w:proofErr w:type="spellStart"/>
      <w:r w:rsidR="009072CE" w:rsidRPr="00A07F29">
        <w:rPr>
          <w:rFonts w:ascii="Times New Roman" w:eastAsia="Calibri" w:hAnsi="Times New Roman" w:cs="Times New Roman"/>
          <w:sz w:val="24"/>
          <w:szCs w:val="24"/>
        </w:rPr>
        <w:t>Balalaikins</w:t>
      </w:r>
      <w:proofErr w:type="spellEnd"/>
      <w:r w:rsidR="009072CE" w:rsidRPr="00A07F29">
        <w:rPr>
          <w:rFonts w:ascii="Times New Roman" w:eastAsia="Calibri" w:hAnsi="Times New Roman" w:cs="Times New Roman"/>
          <w:sz w:val="24"/>
          <w:szCs w:val="24"/>
        </w:rPr>
        <w:t xml:space="preserve">. </w:t>
      </w:r>
      <w:proofErr w:type="spellStart"/>
      <w:r w:rsidR="009072CE" w:rsidRPr="00A07F29">
        <w:rPr>
          <w:rFonts w:ascii="Times New Roman" w:eastAsia="Calibri" w:hAnsi="Times New Roman" w:cs="Times New Roman"/>
          <w:sz w:val="24"/>
          <w:szCs w:val="24"/>
        </w:rPr>
        <w:t>Apsekojumu</w:t>
      </w:r>
      <w:proofErr w:type="spellEnd"/>
      <w:r w:rsidR="009072CE" w:rsidRPr="00A07F29">
        <w:rPr>
          <w:rFonts w:ascii="Times New Roman" w:eastAsia="Calibri" w:hAnsi="Times New Roman" w:cs="Times New Roman"/>
          <w:sz w:val="24"/>
          <w:szCs w:val="24"/>
        </w:rPr>
        <w:t xml:space="preserve"> laikā galvenā uzmanība tika pievērsta Biotopu direktīvas II pielikumā iekļauto sugu sastopamībai un to populāciju lieluma novērtējumam teritorijā. Pielietotā uzskaites metodika tika izvēlēta atbilstoši Vides monitoringa programmai 2015.</w:t>
      </w:r>
      <w:r w:rsidR="00C01C70">
        <w:rPr>
          <w:rFonts w:ascii="Times New Roman" w:eastAsia="Calibri" w:hAnsi="Times New Roman" w:cs="Times New Roman"/>
          <w:sz w:val="24"/>
          <w:szCs w:val="24"/>
        </w:rPr>
        <w:t> – </w:t>
      </w:r>
      <w:r w:rsidR="009072CE" w:rsidRPr="00A07F29">
        <w:rPr>
          <w:rFonts w:ascii="Times New Roman" w:eastAsia="Calibri" w:hAnsi="Times New Roman" w:cs="Times New Roman"/>
          <w:sz w:val="24"/>
          <w:szCs w:val="24"/>
        </w:rPr>
        <w:t>2020.</w:t>
      </w:r>
      <w:r w:rsidR="00C01C70">
        <w:rPr>
          <w:rFonts w:ascii="Times New Roman" w:eastAsia="Calibri" w:hAnsi="Times New Roman" w:cs="Times New Roman"/>
          <w:sz w:val="24"/>
          <w:szCs w:val="24"/>
        </w:rPr>
        <w:t> </w:t>
      </w:r>
      <w:r w:rsidR="009072CE" w:rsidRPr="00A07F29">
        <w:rPr>
          <w:rFonts w:ascii="Times New Roman" w:eastAsia="Calibri" w:hAnsi="Times New Roman" w:cs="Times New Roman"/>
          <w:sz w:val="24"/>
          <w:szCs w:val="24"/>
        </w:rPr>
        <w:t xml:space="preserve">gadam. Šo sugu uzskaite veikta atbilstoši Bezmugurkaulnieku monitoringa metodikai </w:t>
      </w:r>
      <w:proofErr w:type="spellStart"/>
      <w:r w:rsidR="0092556E" w:rsidRPr="00A07F29">
        <w:rPr>
          <w:rFonts w:ascii="Times New Roman" w:eastAsia="Calibri" w:hAnsi="Times New Roman" w:cs="Times New Roman"/>
          <w:i/>
          <w:sz w:val="24"/>
          <w:szCs w:val="24"/>
        </w:rPr>
        <w:t>Natura</w:t>
      </w:r>
      <w:proofErr w:type="spellEnd"/>
      <w:r w:rsidR="009072CE" w:rsidRPr="00A07F29">
        <w:rPr>
          <w:rFonts w:ascii="Times New Roman" w:eastAsia="Calibri" w:hAnsi="Times New Roman" w:cs="Times New Roman"/>
          <w:i/>
          <w:sz w:val="24"/>
          <w:szCs w:val="24"/>
        </w:rPr>
        <w:t xml:space="preserve"> 2000</w:t>
      </w:r>
      <w:r w:rsidR="009072CE" w:rsidRPr="00A07F29">
        <w:rPr>
          <w:rFonts w:ascii="Times New Roman" w:eastAsia="Calibri" w:hAnsi="Times New Roman" w:cs="Times New Roman"/>
          <w:sz w:val="24"/>
          <w:szCs w:val="24"/>
        </w:rPr>
        <w:t xml:space="preserve"> teritorijās. Pārējo sugu konstatēšana ir vērtējama kā papildus rezultāts, un to populācija skaitliski netika novērtēta.</w:t>
      </w:r>
    </w:p>
    <w:p w14:paraId="6D460830" w14:textId="276CB6D7" w:rsidR="00DE6D1D" w:rsidRPr="00A07F29" w:rsidRDefault="00DE6D1D" w:rsidP="008F3647">
      <w:pPr>
        <w:spacing w:after="120" w:line="240" w:lineRule="auto"/>
        <w:ind w:firstLine="851"/>
        <w:jc w:val="both"/>
        <w:rPr>
          <w:rFonts w:ascii="Times New Roman" w:eastAsia="Calibri" w:hAnsi="Times New Roman" w:cs="Times New Roman"/>
          <w:b/>
          <w:sz w:val="24"/>
          <w:szCs w:val="24"/>
        </w:rPr>
      </w:pPr>
      <w:r w:rsidRPr="00A07F29">
        <w:rPr>
          <w:rFonts w:ascii="Times New Roman" w:eastAsia="Calibri" w:hAnsi="Times New Roman" w:cs="Times New Roman"/>
          <w:sz w:val="24"/>
        </w:rPr>
        <w:t xml:space="preserve">AAA </w:t>
      </w:r>
      <w:r w:rsidR="008D0C97">
        <w:rPr>
          <w:rFonts w:ascii="Times New Roman" w:eastAsia="Calibri" w:hAnsi="Times New Roman" w:cs="Times New Roman"/>
          <w:sz w:val="24"/>
        </w:rPr>
        <w:t>“</w:t>
      </w:r>
      <w:r w:rsidRPr="00A07F29">
        <w:rPr>
          <w:rFonts w:ascii="Times New Roman" w:eastAsia="Calibri" w:hAnsi="Times New Roman" w:cs="Times New Roman"/>
          <w:sz w:val="24"/>
        </w:rPr>
        <w:t>Augšdaugava” konstatētās Latvijā un ES aizsargājamās un retās kukaiņu sugas, to aizsardzības statuss</w:t>
      </w:r>
      <w:r w:rsidRPr="00A07F29">
        <w:rPr>
          <w:rFonts w:ascii="Times New Roman" w:eastAsia="Calibri" w:hAnsi="Times New Roman" w:cs="Times New Roman"/>
          <w:color w:val="000000"/>
          <w:sz w:val="24"/>
          <w:szCs w:val="24"/>
        </w:rPr>
        <w:t xml:space="preserve"> un populācijas raksturotas </w:t>
      </w:r>
      <w:r w:rsidRPr="00A07F29">
        <w:rPr>
          <w:rFonts w:ascii="Times New Roman" w:eastAsia="Calibri" w:hAnsi="Times New Roman" w:cs="Times New Roman"/>
          <w:sz w:val="24"/>
          <w:szCs w:val="24"/>
        </w:rPr>
        <w:t>4.7.1.1. un 4.7.1.2.</w:t>
      </w:r>
      <w:r w:rsidR="00DB6061">
        <w:rPr>
          <w:rFonts w:ascii="Times New Roman" w:eastAsia="Calibri" w:hAnsi="Times New Roman" w:cs="Times New Roman"/>
          <w:sz w:val="24"/>
          <w:szCs w:val="24"/>
        </w:rPr>
        <w:t> </w:t>
      </w:r>
      <w:r w:rsidRPr="00A07F29">
        <w:rPr>
          <w:rFonts w:ascii="Times New Roman" w:eastAsia="Calibri" w:hAnsi="Times New Roman" w:cs="Times New Roman"/>
          <w:sz w:val="24"/>
          <w:szCs w:val="24"/>
        </w:rPr>
        <w:t>tabulā</w:t>
      </w:r>
      <w:r w:rsidR="00BB667A" w:rsidRPr="00A07F29">
        <w:rPr>
          <w:rFonts w:ascii="Times New Roman" w:eastAsia="Calibri" w:hAnsi="Times New Roman" w:cs="Times New Roman"/>
          <w:sz w:val="24"/>
          <w:szCs w:val="24"/>
        </w:rPr>
        <w:t>, sugu atradnes norādītas 4.7. pielikumā</w:t>
      </w:r>
      <w:r w:rsidRPr="00A07F29">
        <w:rPr>
          <w:rFonts w:ascii="Times New Roman" w:eastAsia="Calibri" w:hAnsi="Times New Roman" w:cs="Times New Roman"/>
          <w:sz w:val="24"/>
          <w:szCs w:val="24"/>
        </w:rPr>
        <w:t>.</w:t>
      </w:r>
      <w:r w:rsidRPr="00A07F29">
        <w:rPr>
          <w:rFonts w:ascii="Times New Roman" w:eastAsia="Calibri" w:hAnsi="Times New Roman" w:cs="Times New Roman"/>
          <w:b/>
          <w:sz w:val="24"/>
          <w:szCs w:val="24"/>
        </w:rPr>
        <w:t xml:space="preserve"> </w:t>
      </w:r>
      <w:r w:rsidRPr="00A07F29">
        <w:rPr>
          <w:rFonts w:ascii="Times New Roman" w:eastAsia="Calibri" w:hAnsi="Times New Roman" w:cs="Times New Roman"/>
          <w:sz w:val="24"/>
          <w:szCs w:val="24"/>
        </w:rPr>
        <w:t xml:space="preserve">Līdz šim AAA “Augšdaugava” teritorijā kopumā konstatētas 69 </w:t>
      </w:r>
      <w:r w:rsidRPr="00D442EA">
        <w:rPr>
          <w:rFonts w:ascii="Times New Roman" w:eastAsia="Calibri" w:hAnsi="Times New Roman" w:cs="Times New Roman"/>
          <w:sz w:val="24"/>
          <w:szCs w:val="24"/>
        </w:rPr>
        <w:t>īpaši aizsargājamas</w:t>
      </w:r>
      <w:r w:rsidRPr="00A07F29">
        <w:rPr>
          <w:rFonts w:ascii="Times New Roman" w:eastAsia="Calibri" w:hAnsi="Times New Roman" w:cs="Times New Roman"/>
          <w:sz w:val="24"/>
          <w:szCs w:val="24"/>
        </w:rPr>
        <w:t xml:space="preserve"> vai citādi nozīmīgas kukaiņu sugas:</w:t>
      </w:r>
    </w:p>
    <w:p w14:paraId="16A4F85C" w14:textId="4D0F124F" w:rsidR="009072CE" w:rsidRPr="00A07F29" w:rsidRDefault="00DB6061" w:rsidP="00F87589">
      <w:pPr>
        <w:numPr>
          <w:ilvl w:val="0"/>
          <w:numId w:val="6"/>
        </w:numPr>
        <w:autoSpaceDE w:val="0"/>
        <w:autoSpaceDN w:val="0"/>
        <w:adjustRightInd w:val="0"/>
        <w:spacing w:after="0" w:line="240" w:lineRule="auto"/>
        <w:ind w:left="1276" w:hanging="283"/>
        <w:contextualSpacing/>
        <w:jc w:val="both"/>
        <w:rPr>
          <w:rFonts w:ascii="Times New Roman" w:eastAsia="Times New Roman" w:hAnsi="Times New Roman" w:cs="Times New Roman"/>
          <w:sz w:val="24"/>
          <w:szCs w:val="24"/>
        </w:rPr>
      </w:pPr>
      <w:r>
        <w:rPr>
          <w:rFonts w:ascii="Times New Roman" w:eastAsia="Calibri" w:hAnsi="Times New Roman" w:cs="Times New Roman"/>
          <w:sz w:val="24"/>
          <w:szCs w:val="24"/>
        </w:rPr>
        <w:t>astoņas</w:t>
      </w:r>
      <w:r w:rsidR="009072CE" w:rsidRPr="00A07F29">
        <w:rPr>
          <w:rFonts w:ascii="Times New Roman" w:eastAsia="Calibri" w:hAnsi="Times New Roman" w:cs="Times New Roman"/>
          <w:sz w:val="24"/>
          <w:szCs w:val="24"/>
        </w:rPr>
        <w:t xml:space="preserve"> no konstatētajām sugām (Šneidera </w:t>
      </w:r>
      <w:proofErr w:type="spellStart"/>
      <w:r w:rsidR="009072CE" w:rsidRPr="00A07F29">
        <w:rPr>
          <w:rFonts w:ascii="Times New Roman" w:eastAsia="Calibri" w:hAnsi="Times New Roman" w:cs="Times New Roman"/>
          <w:sz w:val="24"/>
          <w:szCs w:val="24"/>
        </w:rPr>
        <w:t>mizmīlis</w:t>
      </w:r>
      <w:proofErr w:type="spellEnd"/>
      <w:r w:rsidR="009072CE" w:rsidRPr="00A07F29">
        <w:rPr>
          <w:rFonts w:ascii="Times New Roman" w:eastAsia="Calibri" w:hAnsi="Times New Roman" w:cs="Times New Roman"/>
          <w:i/>
          <w:iCs/>
          <w:sz w:val="24"/>
          <w:szCs w:val="24"/>
        </w:rPr>
        <w:t xml:space="preserve"> Boros </w:t>
      </w:r>
      <w:proofErr w:type="spellStart"/>
      <w:r w:rsidR="009072CE" w:rsidRPr="00A07F29">
        <w:rPr>
          <w:rFonts w:ascii="Times New Roman" w:eastAsia="Calibri" w:hAnsi="Times New Roman" w:cs="Times New Roman"/>
          <w:i/>
          <w:iCs/>
          <w:sz w:val="24"/>
          <w:szCs w:val="24"/>
        </w:rPr>
        <w:t>schneideri</w:t>
      </w:r>
      <w:proofErr w:type="spellEnd"/>
      <w:r w:rsidR="009072CE" w:rsidRPr="00A07F29">
        <w:rPr>
          <w:rFonts w:ascii="Times New Roman" w:eastAsia="Calibri" w:hAnsi="Times New Roman" w:cs="Times New Roman"/>
          <w:i/>
          <w:iCs/>
          <w:sz w:val="24"/>
          <w:szCs w:val="24"/>
        </w:rPr>
        <w:t>,</w:t>
      </w:r>
      <w:r w:rsidR="009072CE" w:rsidRPr="00A07F29">
        <w:rPr>
          <w:rFonts w:ascii="Times New Roman" w:eastAsia="Calibri" w:hAnsi="Times New Roman" w:cs="Times New Roman"/>
          <w:sz w:val="24"/>
          <w:szCs w:val="24"/>
        </w:rPr>
        <w:t xml:space="preserve"> </w:t>
      </w:r>
      <w:proofErr w:type="spellStart"/>
      <w:r w:rsidR="009072CE" w:rsidRPr="00A07F29">
        <w:rPr>
          <w:rFonts w:ascii="Times New Roman" w:eastAsia="Calibri" w:hAnsi="Times New Roman" w:cs="Times New Roman"/>
          <w:sz w:val="24"/>
          <w:szCs w:val="24"/>
        </w:rPr>
        <w:t>skabiosu</w:t>
      </w:r>
      <w:proofErr w:type="spellEnd"/>
      <w:r w:rsidR="009072CE" w:rsidRPr="00A07F29">
        <w:rPr>
          <w:rFonts w:ascii="Times New Roman" w:eastAsia="Calibri" w:hAnsi="Times New Roman" w:cs="Times New Roman"/>
          <w:sz w:val="24"/>
          <w:szCs w:val="24"/>
        </w:rPr>
        <w:t xml:space="preserve"> </w:t>
      </w:r>
      <w:proofErr w:type="spellStart"/>
      <w:r w:rsidR="009072CE" w:rsidRPr="00A07F29">
        <w:rPr>
          <w:rFonts w:ascii="Times New Roman" w:eastAsia="Calibri" w:hAnsi="Times New Roman" w:cs="Times New Roman"/>
          <w:sz w:val="24"/>
          <w:szCs w:val="24"/>
        </w:rPr>
        <w:t>pļavraibenis</w:t>
      </w:r>
      <w:proofErr w:type="spellEnd"/>
      <w:r w:rsidR="009072CE" w:rsidRPr="00A07F29">
        <w:rPr>
          <w:rFonts w:ascii="Times New Roman" w:eastAsia="Calibri" w:hAnsi="Times New Roman" w:cs="Times New Roman"/>
          <w:sz w:val="24"/>
          <w:szCs w:val="24"/>
        </w:rPr>
        <w:t xml:space="preserve"> </w:t>
      </w:r>
      <w:proofErr w:type="spellStart"/>
      <w:r w:rsidR="009072CE" w:rsidRPr="00A07F29">
        <w:rPr>
          <w:rFonts w:ascii="Times New Roman" w:eastAsia="Calibri" w:hAnsi="Times New Roman" w:cs="Times New Roman"/>
          <w:i/>
          <w:iCs/>
          <w:sz w:val="24"/>
          <w:szCs w:val="24"/>
        </w:rPr>
        <w:t>Euphydryas</w:t>
      </w:r>
      <w:proofErr w:type="spellEnd"/>
      <w:r w:rsidR="009072CE" w:rsidRPr="00A07F29">
        <w:rPr>
          <w:rFonts w:ascii="Times New Roman" w:eastAsia="Calibri" w:hAnsi="Times New Roman" w:cs="Times New Roman"/>
          <w:i/>
          <w:iCs/>
          <w:sz w:val="24"/>
          <w:szCs w:val="24"/>
        </w:rPr>
        <w:t xml:space="preserve"> </w:t>
      </w:r>
      <w:proofErr w:type="spellStart"/>
      <w:r w:rsidR="009072CE" w:rsidRPr="00A07F29">
        <w:rPr>
          <w:rFonts w:ascii="Times New Roman" w:eastAsia="Calibri" w:hAnsi="Times New Roman" w:cs="Times New Roman"/>
          <w:i/>
          <w:iCs/>
          <w:sz w:val="24"/>
          <w:szCs w:val="24"/>
        </w:rPr>
        <w:t>aurinia</w:t>
      </w:r>
      <w:proofErr w:type="spellEnd"/>
      <w:r w:rsidR="009072CE" w:rsidRPr="00A07F29">
        <w:rPr>
          <w:rFonts w:ascii="Times New Roman" w:eastAsia="Calibri" w:hAnsi="Times New Roman" w:cs="Times New Roman"/>
          <w:sz w:val="24"/>
          <w:szCs w:val="24"/>
        </w:rPr>
        <w:t>,</w:t>
      </w:r>
      <w:r w:rsidR="009072CE" w:rsidRPr="00A07F29">
        <w:rPr>
          <w:rFonts w:ascii="Times New Roman" w:eastAsia="Calibri" w:hAnsi="Times New Roman" w:cs="Times New Roman"/>
          <w:i/>
          <w:iCs/>
          <w:sz w:val="24"/>
          <w:szCs w:val="24"/>
        </w:rPr>
        <w:t xml:space="preserve"> </w:t>
      </w:r>
      <w:r w:rsidR="009072CE" w:rsidRPr="00A07F29">
        <w:rPr>
          <w:rFonts w:ascii="Times New Roman" w:eastAsia="Calibri" w:hAnsi="Times New Roman" w:cs="Times New Roman"/>
          <w:sz w:val="24"/>
          <w:szCs w:val="24"/>
        </w:rPr>
        <w:t xml:space="preserve">spilgtā </w:t>
      </w:r>
      <w:proofErr w:type="spellStart"/>
      <w:r w:rsidR="009072CE" w:rsidRPr="00A07F29">
        <w:rPr>
          <w:rFonts w:ascii="Times New Roman" w:eastAsia="Calibri" w:hAnsi="Times New Roman" w:cs="Times New Roman"/>
          <w:sz w:val="24"/>
          <w:szCs w:val="24"/>
        </w:rPr>
        <w:t>purvuspāre</w:t>
      </w:r>
      <w:proofErr w:type="spellEnd"/>
      <w:r w:rsidR="009072CE" w:rsidRPr="00A07F29">
        <w:rPr>
          <w:rFonts w:ascii="Times New Roman" w:eastAsia="Calibri" w:hAnsi="Times New Roman" w:cs="Times New Roman"/>
          <w:sz w:val="24"/>
          <w:szCs w:val="24"/>
        </w:rPr>
        <w:t xml:space="preserve"> </w:t>
      </w:r>
      <w:proofErr w:type="spellStart"/>
      <w:r w:rsidR="009072CE" w:rsidRPr="00A07F29">
        <w:rPr>
          <w:rFonts w:ascii="Times New Roman" w:eastAsia="Calibri" w:hAnsi="Times New Roman" w:cs="Times New Roman"/>
          <w:i/>
          <w:iCs/>
          <w:sz w:val="24"/>
          <w:szCs w:val="24"/>
        </w:rPr>
        <w:t>Leucorrhinia</w:t>
      </w:r>
      <w:proofErr w:type="spellEnd"/>
      <w:r w:rsidR="009072CE" w:rsidRPr="00A07F29">
        <w:rPr>
          <w:rFonts w:ascii="Times New Roman" w:eastAsia="Calibri" w:hAnsi="Times New Roman" w:cs="Times New Roman"/>
          <w:i/>
          <w:iCs/>
          <w:sz w:val="24"/>
          <w:szCs w:val="24"/>
        </w:rPr>
        <w:t xml:space="preserve"> </w:t>
      </w:r>
      <w:proofErr w:type="spellStart"/>
      <w:r w:rsidR="009072CE" w:rsidRPr="00A07F29">
        <w:rPr>
          <w:rFonts w:ascii="Times New Roman" w:eastAsia="Calibri" w:hAnsi="Times New Roman" w:cs="Times New Roman"/>
          <w:i/>
          <w:iCs/>
          <w:sz w:val="24"/>
          <w:szCs w:val="24"/>
        </w:rPr>
        <w:t>pectoralis</w:t>
      </w:r>
      <w:proofErr w:type="spellEnd"/>
      <w:r w:rsidR="009072CE" w:rsidRPr="00A07F29">
        <w:rPr>
          <w:rFonts w:ascii="Times New Roman" w:eastAsia="Calibri" w:hAnsi="Times New Roman" w:cs="Times New Roman"/>
          <w:sz w:val="24"/>
          <w:szCs w:val="24"/>
        </w:rPr>
        <w:t>,</w:t>
      </w:r>
      <w:r w:rsidR="009072CE" w:rsidRPr="00A07F29">
        <w:rPr>
          <w:rFonts w:ascii="Times New Roman" w:eastAsia="Calibri" w:hAnsi="Times New Roman" w:cs="Times New Roman"/>
          <w:i/>
          <w:iCs/>
          <w:sz w:val="24"/>
          <w:szCs w:val="24"/>
        </w:rPr>
        <w:t xml:space="preserve"> </w:t>
      </w:r>
      <w:r w:rsidR="009072CE" w:rsidRPr="00A07F29">
        <w:rPr>
          <w:rFonts w:ascii="Times New Roman" w:eastAsia="Calibri" w:hAnsi="Times New Roman" w:cs="Times New Roman"/>
          <w:sz w:val="24"/>
          <w:szCs w:val="24"/>
        </w:rPr>
        <w:t xml:space="preserve">zirgskābeņu </w:t>
      </w:r>
      <w:proofErr w:type="spellStart"/>
      <w:r w:rsidR="009072CE" w:rsidRPr="00A07F29">
        <w:rPr>
          <w:rFonts w:ascii="Times New Roman" w:eastAsia="Calibri" w:hAnsi="Times New Roman" w:cs="Times New Roman"/>
          <w:sz w:val="24"/>
          <w:szCs w:val="24"/>
        </w:rPr>
        <w:t>zilenītis</w:t>
      </w:r>
      <w:proofErr w:type="spellEnd"/>
      <w:r w:rsidR="009072CE" w:rsidRPr="00A07F29">
        <w:rPr>
          <w:rFonts w:ascii="Times New Roman" w:eastAsia="Calibri" w:hAnsi="Times New Roman" w:cs="Times New Roman"/>
          <w:sz w:val="24"/>
          <w:szCs w:val="24"/>
        </w:rPr>
        <w:t xml:space="preserve"> </w:t>
      </w:r>
      <w:proofErr w:type="spellStart"/>
      <w:r w:rsidR="009072CE" w:rsidRPr="00A07F29">
        <w:rPr>
          <w:rFonts w:ascii="Times New Roman" w:eastAsia="Calibri" w:hAnsi="Times New Roman" w:cs="Times New Roman"/>
          <w:i/>
          <w:iCs/>
          <w:sz w:val="24"/>
          <w:szCs w:val="24"/>
        </w:rPr>
        <w:t>Lycaena</w:t>
      </w:r>
      <w:proofErr w:type="spellEnd"/>
      <w:r w:rsidR="009072CE" w:rsidRPr="00A07F29">
        <w:rPr>
          <w:rFonts w:ascii="Times New Roman" w:eastAsia="Calibri" w:hAnsi="Times New Roman" w:cs="Times New Roman"/>
          <w:i/>
          <w:iCs/>
          <w:sz w:val="24"/>
          <w:szCs w:val="24"/>
        </w:rPr>
        <w:t xml:space="preserve"> </w:t>
      </w:r>
      <w:proofErr w:type="spellStart"/>
      <w:r w:rsidR="009072CE" w:rsidRPr="00A07F29">
        <w:rPr>
          <w:rFonts w:ascii="Times New Roman" w:eastAsia="Calibri" w:hAnsi="Times New Roman" w:cs="Times New Roman"/>
          <w:i/>
          <w:iCs/>
          <w:sz w:val="24"/>
          <w:szCs w:val="24"/>
        </w:rPr>
        <w:t>dispar</w:t>
      </w:r>
      <w:proofErr w:type="spellEnd"/>
      <w:r w:rsidR="009072CE" w:rsidRPr="00A07F29">
        <w:rPr>
          <w:rFonts w:ascii="Times New Roman" w:eastAsia="Calibri" w:hAnsi="Times New Roman" w:cs="Times New Roman"/>
          <w:i/>
          <w:iCs/>
          <w:sz w:val="24"/>
          <w:szCs w:val="24"/>
        </w:rPr>
        <w:t>,</w:t>
      </w:r>
      <w:r w:rsidR="009072CE" w:rsidRPr="00A07F29">
        <w:rPr>
          <w:rFonts w:ascii="Times New Roman" w:eastAsia="Calibri" w:hAnsi="Times New Roman" w:cs="Times New Roman"/>
          <w:sz w:val="24"/>
          <w:szCs w:val="24"/>
        </w:rPr>
        <w:t xml:space="preserve"> zaļā </w:t>
      </w:r>
      <w:proofErr w:type="spellStart"/>
      <w:r w:rsidR="009072CE" w:rsidRPr="00A07F29">
        <w:rPr>
          <w:rFonts w:ascii="Times New Roman" w:eastAsia="Calibri" w:hAnsi="Times New Roman" w:cs="Times New Roman"/>
          <w:sz w:val="24"/>
          <w:szCs w:val="24"/>
        </w:rPr>
        <w:t>upjuspāre</w:t>
      </w:r>
      <w:proofErr w:type="spellEnd"/>
      <w:r w:rsidR="009072CE" w:rsidRPr="00A07F29">
        <w:rPr>
          <w:rFonts w:ascii="Times New Roman" w:eastAsia="Calibri" w:hAnsi="Times New Roman" w:cs="Times New Roman"/>
          <w:sz w:val="24"/>
          <w:szCs w:val="24"/>
        </w:rPr>
        <w:t xml:space="preserve"> </w:t>
      </w:r>
      <w:proofErr w:type="spellStart"/>
      <w:r w:rsidR="009072CE" w:rsidRPr="00A07F29">
        <w:rPr>
          <w:rFonts w:ascii="Times New Roman" w:eastAsia="Calibri" w:hAnsi="Times New Roman" w:cs="Times New Roman"/>
          <w:i/>
          <w:iCs/>
          <w:sz w:val="24"/>
          <w:szCs w:val="24"/>
        </w:rPr>
        <w:t>O</w:t>
      </w:r>
      <w:r w:rsidR="009072CE" w:rsidRPr="00A07F29">
        <w:rPr>
          <w:rFonts w:ascii="Times New Roman" w:eastAsia="Calibri" w:hAnsi="Times New Roman" w:cs="Times New Roman"/>
          <w:i/>
          <w:iCs/>
          <w:spacing w:val="1"/>
          <w:sz w:val="24"/>
          <w:szCs w:val="24"/>
        </w:rPr>
        <w:t>ph</w:t>
      </w:r>
      <w:r w:rsidR="009072CE" w:rsidRPr="00A07F29">
        <w:rPr>
          <w:rFonts w:ascii="Times New Roman" w:eastAsia="Calibri" w:hAnsi="Times New Roman" w:cs="Times New Roman"/>
          <w:i/>
          <w:iCs/>
          <w:sz w:val="24"/>
          <w:szCs w:val="24"/>
        </w:rPr>
        <w:t>i</w:t>
      </w:r>
      <w:r w:rsidR="009072CE" w:rsidRPr="00A07F29">
        <w:rPr>
          <w:rFonts w:ascii="Times New Roman" w:eastAsia="Calibri" w:hAnsi="Times New Roman" w:cs="Times New Roman"/>
          <w:i/>
          <w:iCs/>
          <w:spacing w:val="-1"/>
          <w:sz w:val="24"/>
          <w:szCs w:val="24"/>
        </w:rPr>
        <w:t>o</w:t>
      </w:r>
      <w:r w:rsidR="009072CE" w:rsidRPr="00A07F29">
        <w:rPr>
          <w:rFonts w:ascii="Times New Roman" w:eastAsia="Calibri" w:hAnsi="Times New Roman" w:cs="Times New Roman"/>
          <w:i/>
          <w:iCs/>
          <w:spacing w:val="1"/>
          <w:sz w:val="24"/>
          <w:szCs w:val="24"/>
        </w:rPr>
        <w:t>go</w:t>
      </w:r>
      <w:r w:rsidR="009072CE" w:rsidRPr="00A07F29">
        <w:rPr>
          <w:rFonts w:ascii="Times New Roman" w:eastAsia="Calibri" w:hAnsi="Times New Roman" w:cs="Times New Roman"/>
          <w:i/>
          <w:iCs/>
          <w:spacing w:val="-3"/>
          <w:sz w:val="24"/>
          <w:szCs w:val="24"/>
        </w:rPr>
        <w:t>m</w:t>
      </w:r>
      <w:r w:rsidR="009072CE" w:rsidRPr="00A07F29">
        <w:rPr>
          <w:rFonts w:ascii="Times New Roman" w:eastAsia="Calibri" w:hAnsi="Times New Roman" w:cs="Times New Roman"/>
          <w:i/>
          <w:iCs/>
          <w:spacing w:val="1"/>
          <w:sz w:val="24"/>
          <w:szCs w:val="24"/>
        </w:rPr>
        <w:t>p</w:t>
      </w:r>
      <w:r w:rsidR="009072CE" w:rsidRPr="00A07F29">
        <w:rPr>
          <w:rFonts w:ascii="Times New Roman" w:eastAsia="Calibri" w:hAnsi="Times New Roman" w:cs="Times New Roman"/>
          <w:i/>
          <w:iCs/>
          <w:spacing w:val="-1"/>
          <w:sz w:val="24"/>
          <w:szCs w:val="24"/>
        </w:rPr>
        <w:t>h</w:t>
      </w:r>
      <w:r w:rsidR="009072CE" w:rsidRPr="00A07F29">
        <w:rPr>
          <w:rFonts w:ascii="Times New Roman" w:eastAsia="Calibri" w:hAnsi="Times New Roman" w:cs="Times New Roman"/>
          <w:i/>
          <w:iCs/>
          <w:spacing w:val="1"/>
          <w:sz w:val="24"/>
          <w:szCs w:val="24"/>
        </w:rPr>
        <w:t>u</w:t>
      </w:r>
      <w:r w:rsidR="009072CE" w:rsidRPr="00A07F29">
        <w:rPr>
          <w:rFonts w:ascii="Times New Roman" w:eastAsia="Calibri" w:hAnsi="Times New Roman" w:cs="Times New Roman"/>
          <w:i/>
          <w:iCs/>
          <w:sz w:val="24"/>
          <w:szCs w:val="24"/>
        </w:rPr>
        <w:t>s</w:t>
      </w:r>
      <w:proofErr w:type="spellEnd"/>
      <w:r w:rsidR="009072CE" w:rsidRPr="00A07F29">
        <w:rPr>
          <w:rFonts w:ascii="Times New Roman" w:eastAsia="Calibri" w:hAnsi="Times New Roman" w:cs="Times New Roman"/>
          <w:i/>
          <w:iCs/>
          <w:spacing w:val="-10"/>
          <w:sz w:val="24"/>
          <w:szCs w:val="24"/>
        </w:rPr>
        <w:t xml:space="preserve"> </w:t>
      </w:r>
      <w:proofErr w:type="spellStart"/>
      <w:r w:rsidR="009072CE" w:rsidRPr="00A07F29">
        <w:rPr>
          <w:rFonts w:ascii="Times New Roman" w:eastAsia="Calibri" w:hAnsi="Times New Roman" w:cs="Times New Roman"/>
          <w:i/>
          <w:iCs/>
          <w:spacing w:val="-1"/>
          <w:sz w:val="24"/>
          <w:szCs w:val="24"/>
        </w:rPr>
        <w:t>cec</w:t>
      </w:r>
      <w:r w:rsidR="009072CE" w:rsidRPr="00A07F29">
        <w:rPr>
          <w:rFonts w:ascii="Times New Roman" w:eastAsia="Calibri" w:hAnsi="Times New Roman" w:cs="Times New Roman"/>
          <w:i/>
          <w:iCs/>
          <w:sz w:val="24"/>
          <w:szCs w:val="24"/>
        </w:rPr>
        <w:t>ilia</w:t>
      </w:r>
      <w:proofErr w:type="spellEnd"/>
      <w:r w:rsidR="009072CE" w:rsidRPr="00A07F29">
        <w:rPr>
          <w:rFonts w:ascii="Times New Roman" w:eastAsia="Calibri" w:hAnsi="Times New Roman" w:cs="Times New Roman"/>
          <w:i/>
          <w:iCs/>
          <w:sz w:val="24"/>
          <w:szCs w:val="24"/>
        </w:rPr>
        <w:t>,</w:t>
      </w:r>
      <w:r w:rsidR="009072CE" w:rsidRPr="00A07F29">
        <w:rPr>
          <w:rFonts w:ascii="Times New Roman" w:eastAsia="Calibri" w:hAnsi="Times New Roman" w:cs="Times New Roman"/>
          <w:sz w:val="24"/>
          <w:szCs w:val="24"/>
        </w:rPr>
        <w:t xml:space="preserve"> lapkoku </w:t>
      </w:r>
      <w:proofErr w:type="spellStart"/>
      <w:r w:rsidR="009072CE" w:rsidRPr="00A07F29">
        <w:rPr>
          <w:rFonts w:ascii="Times New Roman" w:eastAsia="Calibri" w:hAnsi="Times New Roman" w:cs="Times New Roman"/>
          <w:sz w:val="24"/>
          <w:szCs w:val="24"/>
        </w:rPr>
        <w:t>praulgrauzis</w:t>
      </w:r>
      <w:proofErr w:type="spellEnd"/>
      <w:r w:rsidR="009072CE" w:rsidRPr="00A07F29">
        <w:rPr>
          <w:rFonts w:ascii="Times New Roman" w:eastAsia="Calibri" w:hAnsi="Times New Roman" w:cs="Times New Roman"/>
          <w:sz w:val="24"/>
          <w:szCs w:val="24"/>
        </w:rPr>
        <w:t xml:space="preserve"> </w:t>
      </w:r>
      <w:proofErr w:type="spellStart"/>
      <w:r w:rsidR="009072CE" w:rsidRPr="00A07F29">
        <w:rPr>
          <w:rFonts w:ascii="Times New Roman" w:eastAsia="Calibri" w:hAnsi="Times New Roman" w:cs="Times New Roman"/>
          <w:i/>
          <w:iCs/>
          <w:sz w:val="24"/>
          <w:szCs w:val="24"/>
        </w:rPr>
        <w:t>Osm</w:t>
      </w:r>
      <w:r w:rsidR="009072CE" w:rsidRPr="00A07F29">
        <w:rPr>
          <w:rFonts w:ascii="Times New Roman" w:eastAsia="Calibri" w:hAnsi="Times New Roman" w:cs="Times New Roman"/>
          <w:i/>
          <w:iCs/>
          <w:spacing w:val="1"/>
          <w:sz w:val="24"/>
          <w:szCs w:val="24"/>
        </w:rPr>
        <w:t>od</w:t>
      </w:r>
      <w:r w:rsidR="009072CE" w:rsidRPr="00A07F29">
        <w:rPr>
          <w:rFonts w:ascii="Times New Roman" w:eastAsia="Calibri" w:hAnsi="Times New Roman" w:cs="Times New Roman"/>
          <w:i/>
          <w:iCs/>
          <w:spacing w:val="-1"/>
          <w:sz w:val="24"/>
          <w:szCs w:val="24"/>
        </w:rPr>
        <w:t>e</w:t>
      </w:r>
      <w:r w:rsidR="009072CE" w:rsidRPr="00A07F29">
        <w:rPr>
          <w:rFonts w:ascii="Times New Roman" w:eastAsia="Calibri" w:hAnsi="Times New Roman" w:cs="Times New Roman"/>
          <w:i/>
          <w:iCs/>
          <w:sz w:val="24"/>
          <w:szCs w:val="24"/>
        </w:rPr>
        <w:t>rma</w:t>
      </w:r>
      <w:proofErr w:type="spellEnd"/>
      <w:r w:rsidR="009072CE" w:rsidRPr="00A07F29">
        <w:rPr>
          <w:rFonts w:ascii="Times New Roman" w:eastAsia="Calibri" w:hAnsi="Times New Roman" w:cs="Times New Roman"/>
          <w:i/>
          <w:iCs/>
          <w:spacing w:val="-6"/>
          <w:sz w:val="24"/>
          <w:szCs w:val="24"/>
        </w:rPr>
        <w:t xml:space="preserve"> </w:t>
      </w:r>
      <w:proofErr w:type="spellStart"/>
      <w:r w:rsidR="009072CE" w:rsidRPr="00A07F29">
        <w:rPr>
          <w:rFonts w:ascii="Times New Roman" w:eastAsia="Calibri" w:hAnsi="Times New Roman" w:cs="Times New Roman"/>
          <w:i/>
          <w:iCs/>
          <w:spacing w:val="-1"/>
          <w:sz w:val="24"/>
          <w:szCs w:val="24"/>
        </w:rPr>
        <w:t>barnabita</w:t>
      </w:r>
      <w:proofErr w:type="spellEnd"/>
      <w:r w:rsidR="009072CE" w:rsidRPr="00A07F29">
        <w:rPr>
          <w:rFonts w:ascii="Times New Roman" w:eastAsia="Calibri" w:hAnsi="Times New Roman" w:cs="Times New Roman"/>
          <w:spacing w:val="-1"/>
          <w:sz w:val="24"/>
          <w:szCs w:val="24"/>
        </w:rPr>
        <w:t xml:space="preserve">, </w:t>
      </w:r>
      <w:proofErr w:type="spellStart"/>
      <w:r w:rsidR="009072CE" w:rsidRPr="00A07F29">
        <w:rPr>
          <w:rFonts w:ascii="Times New Roman" w:eastAsia="Calibri" w:hAnsi="Times New Roman" w:cs="Times New Roman"/>
          <w:spacing w:val="-1"/>
          <w:sz w:val="24"/>
          <w:szCs w:val="24"/>
        </w:rPr>
        <w:t>Mannerheima</w:t>
      </w:r>
      <w:proofErr w:type="spellEnd"/>
      <w:r w:rsidR="009072CE" w:rsidRPr="00A07F29">
        <w:rPr>
          <w:rFonts w:ascii="Times New Roman" w:eastAsia="Calibri" w:hAnsi="Times New Roman" w:cs="Times New Roman"/>
          <w:spacing w:val="-1"/>
          <w:sz w:val="24"/>
          <w:szCs w:val="24"/>
        </w:rPr>
        <w:t xml:space="preserve"> īsspārnis </w:t>
      </w:r>
      <w:proofErr w:type="spellStart"/>
      <w:r w:rsidR="009072CE" w:rsidRPr="00A07F29">
        <w:rPr>
          <w:rFonts w:ascii="Times New Roman" w:eastAsia="Calibri" w:hAnsi="Times New Roman" w:cs="Times New Roman"/>
          <w:i/>
          <w:iCs/>
          <w:sz w:val="24"/>
          <w:szCs w:val="24"/>
        </w:rPr>
        <w:t>Oxyporus</w:t>
      </w:r>
      <w:proofErr w:type="spellEnd"/>
      <w:r w:rsidR="009072CE" w:rsidRPr="00A07F29">
        <w:rPr>
          <w:rFonts w:ascii="Times New Roman" w:eastAsia="Calibri" w:hAnsi="Times New Roman" w:cs="Times New Roman"/>
          <w:i/>
          <w:iCs/>
          <w:sz w:val="24"/>
          <w:szCs w:val="24"/>
        </w:rPr>
        <w:t xml:space="preserve"> </w:t>
      </w:r>
      <w:proofErr w:type="spellStart"/>
      <w:r w:rsidR="009072CE" w:rsidRPr="00A07F29">
        <w:rPr>
          <w:rFonts w:ascii="Times New Roman" w:eastAsia="Calibri" w:hAnsi="Times New Roman" w:cs="Times New Roman"/>
          <w:i/>
          <w:iCs/>
          <w:sz w:val="24"/>
          <w:szCs w:val="24"/>
        </w:rPr>
        <w:t>mannerheimii</w:t>
      </w:r>
      <w:proofErr w:type="spellEnd"/>
      <w:r w:rsidR="009072CE" w:rsidRPr="00A07F29">
        <w:rPr>
          <w:rFonts w:ascii="Times New Roman" w:eastAsia="Calibri" w:hAnsi="Times New Roman" w:cs="Times New Roman"/>
          <w:i/>
          <w:iCs/>
          <w:sz w:val="24"/>
          <w:szCs w:val="24"/>
        </w:rPr>
        <w:t xml:space="preserve">, </w:t>
      </w:r>
      <w:r w:rsidR="009072CE" w:rsidRPr="00A07F29">
        <w:rPr>
          <w:rFonts w:ascii="Times New Roman" w:eastAsia="Calibri" w:hAnsi="Times New Roman" w:cs="Times New Roman"/>
          <w:sz w:val="24"/>
          <w:szCs w:val="24"/>
        </w:rPr>
        <w:t xml:space="preserve">platā </w:t>
      </w:r>
      <w:proofErr w:type="spellStart"/>
      <w:r w:rsidR="009072CE" w:rsidRPr="00A07F29">
        <w:rPr>
          <w:rFonts w:ascii="Times New Roman" w:eastAsia="Calibri" w:hAnsi="Times New Roman" w:cs="Times New Roman"/>
          <w:sz w:val="24"/>
          <w:szCs w:val="24"/>
        </w:rPr>
        <w:t>airvabole</w:t>
      </w:r>
      <w:proofErr w:type="spellEnd"/>
      <w:r w:rsidR="009072CE" w:rsidRPr="00A07F29">
        <w:rPr>
          <w:rFonts w:ascii="Times New Roman" w:eastAsia="Calibri" w:hAnsi="Times New Roman" w:cs="Times New Roman"/>
          <w:i/>
          <w:iCs/>
          <w:sz w:val="24"/>
          <w:szCs w:val="24"/>
        </w:rPr>
        <w:t xml:space="preserve"> </w:t>
      </w:r>
      <w:proofErr w:type="spellStart"/>
      <w:r w:rsidR="009072CE" w:rsidRPr="00A07F29">
        <w:rPr>
          <w:rFonts w:ascii="Times New Roman" w:eastAsia="Calibri" w:hAnsi="Times New Roman" w:cs="Times New Roman"/>
          <w:i/>
          <w:iCs/>
          <w:sz w:val="24"/>
          <w:szCs w:val="24"/>
        </w:rPr>
        <w:t>Dytiscus</w:t>
      </w:r>
      <w:proofErr w:type="spellEnd"/>
      <w:r w:rsidR="009072CE" w:rsidRPr="00A07F29">
        <w:rPr>
          <w:rFonts w:ascii="Times New Roman" w:eastAsia="Calibri" w:hAnsi="Times New Roman" w:cs="Times New Roman"/>
          <w:i/>
          <w:iCs/>
          <w:sz w:val="24"/>
          <w:szCs w:val="24"/>
        </w:rPr>
        <w:t xml:space="preserve"> </w:t>
      </w:r>
      <w:proofErr w:type="spellStart"/>
      <w:r w:rsidR="009072CE" w:rsidRPr="00A07F29">
        <w:rPr>
          <w:rFonts w:ascii="Times New Roman" w:eastAsia="Calibri" w:hAnsi="Times New Roman" w:cs="Times New Roman"/>
          <w:i/>
          <w:iCs/>
          <w:sz w:val="24"/>
          <w:szCs w:val="24"/>
        </w:rPr>
        <w:t>latissimus</w:t>
      </w:r>
      <w:proofErr w:type="spellEnd"/>
      <w:r w:rsidR="009072CE" w:rsidRPr="00A07F29">
        <w:rPr>
          <w:rFonts w:ascii="Times New Roman" w:eastAsia="Calibri" w:hAnsi="Times New Roman" w:cs="Times New Roman"/>
          <w:sz w:val="24"/>
          <w:szCs w:val="24"/>
        </w:rPr>
        <w:t xml:space="preserve">) ir iekļautas </w:t>
      </w:r>
      <w:r w:rsidR="009B599C" w:rsidRPr="00A07F29">
        <w:rPr>
          <w:rFonts w:ascii="Times New Roman" w:eastAsia="Times New Roman" w:hAnsi="Times New Roman" w:cs="Times New Roman"/>
          <w:sz w:val="24"/>
          <w:szCs w:val="24"/>
        </w:rPr>
        <w:t>Biotopu</w:t>
      </w:r>
      <w:r w:rsidR="009072CE" w:rsidRPr="00A07F29">
        <w:rPr>
          <w:rFonts w:ascii="Times New Roman" w:eastAsia="Times New Roman" w:hAnsi="Times New Roman" w:cs="Times New Roman"/>
          <w:sz w:val="24"/>
          <w:szCs w:val="24"/>
        </w:rPr>
        <w:t xml:space="preserve"> direktīvas II pielikumā, savukārt vēl </w:t>
      </w:r>
      <w:r w:rsidR="00E0759A">
        <w:rPr>
          <w:rFonts w:ascii="Times New Roman" w:eastAsia="Times New Roman" w:hAnsi="Times New Roman" w:cs="Times New Roman"/>
          <w:sz w:val="24"/>
          <w:szCs w:val="24"/>
        </w:rPr>
        <w:t>piecas</w:t>
      </w:r>
      <w:r w:rsidR="009072CE" w:rsidRPr="00A07F29">
        <w:rPr>
          <w:rFonts w:ascii="Times New Roman" w:eastAsia="Times New Roman" w:hAnsi="Times New Roman" w:cs="Times New Roman"/>
          <w:sz w:val="24"/>
          <w:szCs w:val="24"/>
        </w:rPr>
        <w:t xml:space="preserve"> sugas (</w:t>
      </w:r>
      <w:r w:rsidR="009072CE" w:rsidRPr="00A07F29">
        <w:rPr>
          <w:rFonts w:ascii="Times New Roman" w:eastAsia="Calibri" w:hAnsi="Times New Roman" w:cs="Times New Roman"/>
          <w:color w:val="000000"/>
          <w:sz w:val="24"/>
          <w:szCs w:val="24"/>
        </w:rPr>
        <w:t xml:space="preserve">zaļā </w:t>
      </w:r>
      <w:proofErr w:type="spellStart"/>
      <w:r w:rsidR="009072CE" w:rsidRPr="00A07F29">
        <w:rPr>
          <w:rFonts w:ascii="Times New Roman" w:eastAsia="Calibri" w:hAnsi="Times New Roman" w:cs="Times New Roman"/>
          <w:color w:val="000000"/>
          <w:sz w:val="24"/>
          <w:szCs w:val="24"/>
        </w:rPr>
        <w:t>dižspāre</w:t>
      </w:r>
      <w:proofErr w:type="spellEnd"/>
      <w:r w:rsidR="009072CE" w:rsidRPr="00A07F29">
        <w:rPr>
          <w:rFonts w:ascii="Times New Roman" w:eastAsia="Calibri" w:hAnsi="Times New Roman" w:cs="Times New Roman"/>
          <w:color w:val="000000"/>
          <w:sz w:val="24"/>
          <w:szCs w:val="24"/>
        </w:rPr>
        <w:t xml:space="preserve"> </w:t>
      </w:r>
      <w:proofErr w:type="spellStart"/>
      <w:r w:rsidR="009072CE" w:rsidRPr="00A07F29">
        <w:rPr>
          <w:rFonts w:ascii="Times New Roman" w:eastAsia="Calibri" w:hAnsi="Times New Roman" w:cs="Times New Roman"/>
          <w:i/>
          <w:iCs/>
          <w:sz w:val="24"/>
          <w:szCs w:val="24"/>
        </w:rPr>
        <w:t>A</w:t>
      </w:r>
      <w:r w:rsidR="009072CE" w:rsidRPr="00A07F29">
        <w:rPr>
          <w:rFonts w:ascii="Times New Roman" w:eastAsia="Calibri" w:hAnsi="Times New Roman" w:cs="Times New Roman"/>
          <w:i/>
          <w:iCs/>
          <w:spacing w:val="-1"/>
          <w:sz w:val="24"/>
          <w:szCs w:val="24"/>
        </w:rPr>
        <w:t>e</w:t>
      </w:r>
      <w:r w:rsidR="009072CE" w:rsidRPr="00A07F29">
        <w:rPr>
          <w:rFonts w:ascii="Times New Roman" w:eastAsia="Calibri" w:hAnsi="Times New Roman" w:cs="Times New Roman"/>
          <w:i/>
          <w:iCs/>
          <w:sz w:val="24"/>
          <w:szCs w:val="24"/>
        </w:rPr>
        <w:t>s</w:t>
      </w:r>
      <w:r w:rsidR="009072CE" w:rsidRPr="00A07F29">
        <w:rPr>
          <w:rFonts w:ascii="Times New Roman" w:eastAsia="Calibri" w:hAnsi="Times New Roman" w:cs="Times New Roman"/>
          <w:i/>
          <w:iCs/>
          <w:spacing w:val="1"/>
          <w:sz w:val="24"/>
          <w:szCs w:val="24"/>
        </w:rPr>
        <w:t>hn</w:t>
      </w:r>
      <w:r w:rsidR="009072CE" w:rsidRPr="00A07F29">
        <w:rPr>
          <w:rFonts w:ascii="Times New Roman" w:eastAsia="Calibri" w:hAnsi="Times New Roman" w:cs="Times New Roman"/>
          <w:i/>
          <w:iCs/>
          <w:sz w:val="24"/>
          <w:szCs w:val="24"/>
        </w:rPr>
        <w:t>a</w:t>
      </w:r>
      <w:proofErr w:type="spellEnd"/>
      <w:r w:rsidR="009072CE" w:rsidRPr="00A07F29">
        <w:rPr>
          <w:rFonts w:ascii="Times New Roman" w:eastAsia="Calibri" w:hAnsi="Times New Roman" w:cs="Times New Roman"/>
          <w:i/>
          <w:iCs/>
          <w:spacing w:val="-1"/>
          <w:sz w:val="24"/>
          <w:szCs w:val="24"/>
        </w:rPr>
        <w:t xml:space="preserve"> </w:t>
      </w:r>
      <w:proofErr w:type="spellStart"/>
      <w:r w:rsidR="009072CE" w:rsidRPr="00A07F29">
        <w:rPr>
          <w:rFonts w:ascii="Times New Roman" w:eastAsia="Calibri" w:hAnsi="Times New Roman" w:cs="Times New Roman"/>
          <w:i/>
          <w:iCs/>
          <w:spacing w:val="-1"/>
          <w:sz w:val="24"/>
          <w:szCs w:val="24"/>
        </w:rPr>
        <w:t>v</w:t>
      </w:r>
      <w:r w:rsidR="009072CE" w:rsidRPr="00A07F29">
        <w:rPr>
          <w:rFonts w:ascii="Times New Roman" w:eastAsia="Calibri" w:hAnsi="Times New Roman" w:cs="Times New Roman"/>
          <w:i/>
          <w:iCs/>
          <w:sz w:val="24"/>
          <w:szCs w:val="24"/>
        </w:rPr>
        <w:t>ir</w:t>
      </w:r>
      <w:r w:rsidR="009072CE" w:rsidRPr="00A07F29">
        <w:rPr>
          <w:rFonts w:ascii="Times New Roman" w:eastAsia="Calibri" w:hAnsi="Times New Roman" w:cs="Times New Roman"/>
          <w:i/>
          <w:iCs/>
          <w:spacing w:val="-2"/>
          <w:sz w:val="24"/>
          <w:szCs w:val="24"/>
        </w:rPr>
        <w:t>i</w:t>
      </w:r>
      <w:r w:rsidR="009072CE" w:rsidRPr="00A07F29">
        <w:rPr>
          <w:rFonts w:ascii="Times New Roman" w:eastAsia="Calibri" w:hAnsi="Times New Roman" w:cs="Times New Roman"/>
          <w:i/>
          <w:iCs/>
          <w:spacing w:val="1"/>
          <w:sz w:val="24"/>
          <w:szCs w:val="24"/>
        </w:rPr>
        <w:t>d</w:t>
      </w:r>
      <w:r w:rsidR="009072CE" w:rsidRPr="00A07F29">
        <w:rPr>
          <w:rFonts w:ascii="Times New Roman" w:eastAsia="Calibri" w:hAnsi="Times New Roman" w:cs="Times New Roman"/>
          <w:i/>
          <w:iCs/>
          <w:sz w:val="24"/>
          <w:szCs w:val="24"/>
        </w:rPr>
        <w:t>is</w:t>
      </w:r>
      <w:proofErr w:type="spellEnd"/>
      <w:r w:rsidR="009072CE" w:rsidRPr="00A07F29">
        <w:rPr>
          <w:rFonts w:ascii="Times New Roman" w:eastAsia="Calibri" w:hAnsi="Times New Roman" w:cs="Times New Roman"/>
          <w:sz w:val="24"/>
          <w:szCs w:val="24"/>
        </w:rPr>
        <w:t xml:space="preserve">, </w:t>
      </w:r>
      <w:proofErr w:type="spellStart"/>
      <w:r w:rsidR="009072CE" w:rsidRPr="00A07F29">
        <w:rPr>
          <w:rFonts w:ascii="Times New Roman" w:eastAsia="Calibri" w:hAnsi="Times New Roman" w:cs="Times New Roman"/>
          <w:color w:val="000000"/>
          <w:sz w:val="24"/>
          <w:szCs w:val="24"/>
        </w:rPr>
        <w:t>dzeltenkāju</w:t>
      </w:r>
      <w:proofErr w:type="spellEnd"/>
      <w:r w:rsidR="009072CE" w:rsidRPr="00A07F29">
        <w:rPr>
          <w:rFonts w:ascii="Times New Roman" w:eastAsia="Calibri" w:hAnsi="Times New Roman" w:cs="Times New Roman"/>
          <w:color w:val="000000"/>
          <w:sz w:val="24"/>
          <w:szCs w:val="24"/>
        </w:rPr>
        <w:t xml:space="preserve"> </w:t>
      </w:r>
      <w:proofErr w:type="spellStart"/>
      <w:r w:rsidR="009072CE" w:rsidRPr="00A07F29">
        <w:rPr>
          <w:rFonts w:ascii="Times New Roman" w:eastAsia="Calibri" w:hAnsi="Times New Roman" w:cs="Times New Roman"/>
          <w:color w:val="000000"/>
          <w:sz w:val="24"/>
          <w:szCs w:val="24"/>
        </w:rPr>
        <w:t>upjuspāre</w:t>
      </w:r>
      <w:proofErr w:type="spellEnd"/>
      <w:r w:rsidR="009072CE" w:rsidRPr="00A07F29">
        <w:rPr>
          <w:rFonts w:ascii="Times New Roman" w:eastAsia="Calibri" w:hAnsi="Times New Roman" w:cs="Times New Roman"/>
          <w:color w:val="000000"/>
          <w:sz w:val="24"/>
          <w:szCs w:val="24"/>
        </w:rPr>
        <w:t xml:space="preserve"> </w:t>
      </w:r>
      <w:proofErr w:type="spellStart"/>
      <w:r w:rsidR="009072CE" w:rsidRPr="00A07F29">
        <w:rPr>
          <w:rFonts w:ascii="Times New Roman" w:eastAsia="Calibri" w:hAnsi="Times New Roman" w:cs="Times New Roman"/>
          <w:i/>
          <w:iCs/>
          <w:sz w:val="24"/>
          <w:szCs w:val="24"/>
        </w:rPr>
        <w:t>Gomphus</w:t>
      </w:r>
      <w:proofErr w:type="spellEnd"/>
      <w:r w:rsidR="009072CE" w:rsidRPr="00A07F29">
        <w:rPr>
          <w:rFonts w:ascii="Times New Roman" w:eastAsia="Calibri" w:hAnsi="Times New Roman" w:cs="Times New Roman"/>
          <w:i/>
          <w:iCs/>
          <w:sz w:val="24"/>
          <w:szCs w:val="24"/>
        </w:rPr>
        <w:t xml:space="preserve"> </w:t>
      </w:r>
      <w:proofErr w:type="spellStart"/>
      <w:r w:rsidR="009072CE" w:rsidRPr="00A07F29">
        <w:rPr>
          <w:rFonts w:ascii="Times New Roman" w:eastAsia="Calibri" w:hAnsi="Times New Roman" w:cs="Times New Roman"/>
          <w:i/>
          <w:iCs/>
          <w:sz w:val="24"/>
          <w:szCs w:val="24"/>
        </w:rPr>
        <w:t>flavipes</w:t>
      </w:r>
      <w:proofErr w:type="spellEnd"/>
      <w:r w:rsidR="009072CE" w:rsidRPr="00A07F29">
        <w:rPr>
          <w:rFonts w:ascii="Times New Roman" w:eastAsia="Calibri" w:hAnsi="Times New Roman" w:cs="Times New Roman"/>
          <w:i/>
          <w:iCs/>
          <w:sz w:val="24"/>
          <w:szCs w:val="24"/>
        </w:rPr>
        <w:t xml:space="preserve">, </w:t>
      </w:r>
      <w:r w:rsidR="009072CE" w:rsidRPr="00A07F29">
        <w:rPr>
          <w:rFonts w:ascii="Times New Roman" w:eastAsia="Calibri" w:hAnsi="Times New Roman" w:cs="Times New Roman"/>
          <w:color w:val="000000"/>
          <w:sz w:val="24"/>
          <w:szCs w:val="24"/>
        </w:rPr>
        <w:t xml:space="preserve">resnvēdera </w:t>
      </w:r>
      <w:proofErr w:type="spellStart"/>
      <w:r w:rsidR="009072CE" w:rsidRPr="00A07F29">
        <w:rPr>
          <w:rFonts w:ascii="Times New Roman" w:eastAsia="Calibri" w:hAnsi="Times New Roman" w:cs="Times New Roman"/>
          <w:color w:val="000000"/>
          <w:sz w:val="24"/>
          <w:szCs w:val="24"/>
        </w:rPr>
        <w:t>purvuspāre</w:t>
      </w:r>
      <w:proofErr w:type="spellEnd"/>
      <w:r w:rsidR="009072CE" w:rsidRPr="00A07F29">
        <w:rPr>
          <w:rFonts w:ascii="Times New Roman" w:eastAsia="Calibri" w:hAnsi="Times New Roman" w:cs="Times New Roman"/>
          <w:color w:val="000000"/>
          <w:sz w:val="24"/>
          <w:szCs w:val="24"/>
        </w:rPr>
        <w:t xml:space="preserve"> </w:t>
      </w:r>
      <w:proofErr w:type="spellStart"/>
      <w:r w:rsidR="009072CE" w:rsidRPr="00A07F29">
        <w:rPr>
          <w:rFonts w:ascii="Times New Roman" w:eastAsia="Calibri" w:hAnsi="Times New Roman" w:cs="Times New Roman"/>
          <w:i/>
          <w:iCs/>
          <w:sz w:val="24"/>
          <w:szCs w:val="24"/>
        </w:rPr>
        <w:t>Leucorrhinia</w:t>
      </w:r>
      <w:proofErr w:type="spellEnd"/>
      <w:r w:rsidR="009072CE" w:rsidRPr="00A07F29">
        <w:rPr>
          <w:rFonts w:ascii="Times New Roman" w:eastAsia="Calibri" w:hAnsi="Times New Roman" w:cs="Times New Roman"/>
          <w:i/>
          <w:iCs/>
          <w:sz w:val="24"/>
          <w:szCs w:val="24"/>
        </w:rPr>
        <w:t xml:space="preserve"> </w:t>
      </w:r>
      <w:proofErr w:type="spellStart"/>
      <w:r w:rsidR="009072CE" w:rsidRPr="00A07F29">
        <w:rPr>
          <w:rFonts w:ascii="Times New Roman" w:eastAsia="Calibri" w:hAnsi="Times New Roman" w:cs="Times New Roman"/>
          <w:i/>
          <w:iCs/>
          <w:sz w:val="24"/>
          <w:szCs w:val="24"/>
        </w:rPr>
        <w:t>caudalis</w:t>
      </w:r>
      <w:proofErr w:type="spellEnd"/>
      <w:r w:rsidR="009072CE" w:rsidRPr="00A07F29">
        <w:rPr>
          <w:rFonts w:ascii="Times New Roman" w:eastAsia="Calibri" w:hAnsi="Times New Roman" w:cs="Times New Roman"/>
          <w:i/>
          <w:iCs/>
          <w:sz w:val="24"/>
          <w:szCs w:val="24"/>
        </w:rPr>
        <w:t>,</w:t>
      </w:r>
      <w:r w:rsidR="009072CE" w:rsidRPr="00A07F29">
        <w:rPr>
          <w:rFonts w:ascii="Times New Roman" w:eastAsia="Calibri" w:hAnsi="Times New Roman" w:cs="Times New Roman"/>
          <w:i/>
          <w:iCs/>
          <w:color w:val="000000"/>
          <w:sz w:val="24"/>
          <w:szCs w:val="24"/>
        </w:rPr>
        <w:t xml:space="preserve"> </w:t>
      </w:r>
      <w:proofErr w:type="spellStart"/>
      <w:r w:rsidR="008300ED" w:rsidRPr="00A07F29">
        <w:rPr>
          <w:rFonts w:ascii="Times New Roman" w:eastAsia="Calibri" w:hAnsi="Times New Roman" w:cs="Times New Roman"/>
          <w:iCs/>
          <w:color w:val="000000"/>
          <w:sz w:val="24"/>
          <w:szCs w:val="24"/>
        </w:rPr>
        <w:t>raibgalvas</w:t>
      </w:r>
      <w:proofErr w:type="spellEnd"/>
      <w:r w:rsidR="008300ED" w:rsidRPr="00A07F29">
        <w:rPr>
          <w:rFonts w:ascii="Times New Roman" w:eastAsia="Calibri" w:hAnsi="Times New Roman" w:cs="Times New Roman"/>
          <w:iCs/>
          <w:color w:val="000000"/>
          <w:sz w:val="24"/>
          <w:szCs w:val="24"/>
        </w:rPr>
        <w:t xml:space="preserve"> </w:t>
      </w:r>
      <w:proofErr w:type="spellStart"/>
      <w:r w:rsidR="008300ED" w:rsidRPr="00A07F29">
        <w:rPr>
          <w:rFonts w:ascii="Times New Roman" w:eastAsia="Calibri" w:hAnsi="Times New Roman" w:cs="Times New Roman"/>
          <w:iCs/>
          <w:color w:val="000000"/>
          <w:sz w:val="24"/>
          <w:szCs w:val="24"/>
        </w:rPr>
        <w:t>purvuspāre</w:t>
      </w:r>
      <w:proofErr w:type="spellEnd"/>
      <w:r w:rsidR="008300ED" w:rsidRPr="00A07F29">
        <w:rPr>
          <w:rFonts w:ascii="Times New Roman" w:eastAsia="Calibri" w:hAnsi="Times New Roman" w:cs="Times New Roman"/>
          <w:i/>
          <w:iCs/>
          <w:color w:val="000000"/>
          <w:sz w:val="24"/>
          <w:szCs w:val="24"/>
        </w:rPr>
        <w:t xml:space="preserve"> </w:t>
      </w:r>
      <w:proofErr w:type="spellStart"/>
      <w:r w:rsidR="008300ED" w:rsidRPr="00A07F29">
        <w:rPr>
          <w:rFonts w:ascii="Times New Roman" w:eastAsia="Calibri" w:hAnsi="Times New Roman" w:cs="Times New Roman"/>
          <w:i/>
          <w:iCs/>
          <w:color w:val="000000"/>
          <w:sz w:val="24"/>
          <w:szCs w:val="24"/>
        </w:rPr>
        <w:t>Leucorrhinia</w:t>
      </w:r>
      <w:proofErr w:type="spellEnd"/>
      <w:r w:rsidR="008300ED" w:rsidRPr="00A07F29">
        <w:rPr>
          <w:rFonts w:ascii="Times New Roman" w:eastAsia="Calibri" w:hAnsi="Times New Roman" w:cs="Times New Roman"/>
          <w:i/>
          <w:iCs/>
          <w:color w:val="000000"/>
          <w:sz w:val="24"/>
          <w:szCs w:val="24"/>
        </w:rPr>
        <w:t xml:space="preserve"> </w:t>
      </w:r>
      <w:proofErr w:type="spellStart"/>
      <w:r w:rsidR="008300ED" w:rsidRPr="00A07F29">
        <w:rPr>
          <w:rFonts w:ascii="Times New Roman" w:eastAsia="Calibri" w:hAnsi="Times New Roman" w:cs="Times New Roman"/>
          <w:i/>
          <w:iCs/>
          <w:color w:val="000000"/>
          <w:sz w:val="24"/>
          <w:szCs w:val="24"/>
        </w:rPr>
        <w:t>albifrons</w:t>
      </w:r>
      <w:proofErr w:type="spellEnd"/>
      <w:r w:rsidR="008300ED" w:rsidRPr="00A07F29">
        <w:rPr>
          <w:rFonts w:ascii="Times New Roman" w:eastAsia="Calibri" w:hAnsi="Times New Roman" w:cs="Times New Roman"/>
          <w:iCs/>
          <w:color w:val="000000"/>
          <w:sz w:val="24"/>
          <w:szCs w:val="24"/>
        </w:rPr>
        <w:t xml:space="preserve">, </w:t>
      </w:r>
      <w:proofErr w:type="spellStart"/>
      <w:r w:rsidR="009072CE" w:rsidRPr="00A07F29">
        <w:rPr>
          <w:rFonts w:ascii="Times New Roman" w:eastAsia="Calibri" w:hAnsi="Times New Roman" w:cs="Times New Roman"/>
          <w:color w:val="000000"/>
          <w:sz w:val="24"/>
          <w:szCs w:val="24"/>
        </w:rPr>
        <w:t>zobspārnu</w:t>
      </w:r>
      <w:proofErr w:type="spellEnd"/>
      <w:r w:rsidR="009072CE" w:rsidRPr="00A07F29">
        <w:rPr>
          <w:rFonts w:ascii="Times New Roman" w:eastAsia="Calibri" w:hAnsi="Times New Roman" w:cs="Times New Roman"/>
          <w:color w:val="000000"/>
          <w:sz w:val="24"/>
          <w:szCs w:val="24"/>
        </w:rPr>
        <w:t xml:space="preserve"> </w:t>
      </w:r>
      <w:proofErr w:type="spellStart"/>
      <w:r w:rsidR="009072CE" w:rsidRPr="00A07F29">
        <w:rPr>
          <w:rFonts w:ascii="Times New Roman" w:eastAsia="Calibri" w:hAnsi="Times New Roman" w:cs="Times New Roman"/>
          <w:color w:val="000000"/>
          <w:sz w:val="24"/>
          <w:szCs w:val="24"/>
        </w:rPr>
        <w:t>sfings</w:t>
      </w:r>
      <w:proofErr w:type="spellEnd"/>
      <w:r w:rsidR="009072CE" w:rsidRPr="00A07F29">
        <w:rPr>
          <w:rFonts w:ascii="Times New Roman" w:eastAsia="Calibri" w:hAnsi="Times New Roman" w:cs="Times New Roman"/>
          <w:color w:val="000000"/>
          <w:sz w:val="24"/>
          <w:szCs w:val="24"/>
        </w:rPr>
        <w:t xml:space="preserve"> </w:t>
      </w:r>
      <w:proofErr w:type="spellStart"/>
      <w:r w:rsidR="009072CE" w:rsidRPr="00A07F29">
        <w:rPr>
          <w:rFonts w:ascii="Times New Roman" w:eastAsia="Calibri" w:hAnsi="Times New Roman" w:cs="Times New Roman"/>
          <w:i/>
          <w:iCs/>
          <w:sz w:val="24"/>
          <w:szCs w:val="24"/>
        </w:rPr>
        <w:t>Proserpinus</w:t>
      </w:r>
      <w:proofErr w:type="spellEnd"/>
      <w:r w:rsidR="009072CE" w:rsidRPr="00A07F29">
        <w:rPr>
          <w:rFonts w:ascii="Times New Roman" w:eastAsia="Calibri" w:hAnsi="Times New Roman" w:cs="Times New Roman"/>
          <w:i/>
          <w:iCs/>
          <w:sz w:val="24"/>
          <w:szCs w:val="24"/>
        </w:rPr>
        <w:t xml:space="preserve"> </w:t>
      </w:r>
      <w:proofErr w:type="spellStart"/>
      <w:r w:rsidR="009072CE" w:rsidRPr="00A07F29">
        <w:rPr>
          <w:rFonts w:ascii="Times New Roman" w:eastAsia="Calibri" w:hAnsi="Times New Roman" w:cs="Times New Roman"/>
          <w:i/>
          <w:iCs/>
          <w:sz w:val="24"/>
          <w:szCs w:val="24"/>
        </w:rPr>
        <w:t>proserpina</w:t>
      </w:r>
      <w:proofErr w:type="spellEnd"/>
      <w:r w:rsidR="009072CE" w:rsidRPr="00A07F29">
        <w:rPr>
          <w:rFonts w:ascii="Times New Roman" w:eastAsia="Calibri" w:hAnsi="Times New Roman" w:cs="Times New Roman"/>
          <w:color w:val="000000"/>
          <w:sz w:val="24"/>
          <w:szCs w:val="24"/>
        </w:rPr>
        <w:t>)</w:t>
      </w:r>
      <w:r w:rsidR="009072CE" w:rsidRPr="00A07F29">
        <w:rPr>
          <w:rFonts w:ascii="Times New Roman" w:eastAsia="Times New Roman" w:hAnsi="Times New Roman" w:cs="Times New Roman"/>
          <w:sz w:val="24"/>
          <w:szCs w:val="24"/>
        </w:rPr>
        <w:t xml:space="preserve"> </w:t>
      </w:r>
      <w:r w:rsidR="009B599C" w:rsidRPr="00A07F29">
        <w:rPr>
          <w:rFonts w:ascii="Times New Roman" w:eastAsia="Times New Roman" w:hAnsi="Times New Roman" w:cs="Times New Roman"/>
          <w:sz w:val="24"/>
          <w:szCs w:val="24"/>
        </w:rPr>
        <w:t xml:space="preserve">Biotopu direktīvas </w:t>
      </w:r>
      <w:r w:rsidR="009072CE" w:rsidRPr="00A07F29">
        <w:rPr>
          <w:rFonts w:ascii="Times New Roman" w:eastAsia="Times New Roman" w:hAnsi="Times New Roman" w:cs="Times New Roman"/>
          <w:sz w:val="24"/>
          <w:szCs w:val="24"/>
        </w:rPr>
        <w:t>IV pielikumā.</w:t>
      </w:r>
    </w:p>
    <w:p w14:paraId="00F6DDA4" w14:textId="29597833" w:rsidR="009072CE" w:rsidRPr="00A07F29" w:rsidRDefault="009B599C" w:rsidP="00F87589">
      <w:pPr>
        <w:numPr>
          <w:ilvl w:val="0"/>
          <w:numId w:val="6"/>
        </w:numPr>
        <w:autoSpaceDE w:val="0"/>
        <w:autoSpaceDN w:val="0"/>
        <w:adjustRightInd w:val="0"/>
        <w:spacing w:after="0" w:line="240" w:lineRule="auto"/>
        <w:ind w:left="1276"/>
        <w:contextualSpacing/>
        <w:jc w:val="both"/>
        <w:rPr>
          <w:rFonts w:ascii="Times New Roman" w:eastAsia="Calibri" w:hAnsi="Times New Roman" w:cs="Times New Roman"/>
          <w:sz w:val="24"/>
          <w:szCs w:val="24"/>
        </w:rPr>
      </w:pPr>
      <w:r w:rsidRPr="00A07F29">
        <w:rPr>
          <w:rFonts w:ascii="Times New Roman" w:eastAsia="Times New Roman" w:hAnsi="Times New Roman" w:cs="Times New Roman"/>
          <w:sz w:val="24"/>
          <w:szCs w:val="24"/>
        </w:rPr>
        <w:t>27</w:t>
      </w:r>
      <w:r w:rsidR="009072CE" w:rsidRPr="00A07F29">
        <w:rPr>
          <w:rFonts w:ascii="Times New Roman" w:eastAsia="Times New Roman" w:hAnsi="Times New Roman" w:cs="Times New Roman"/>
          <w:sz w:val="24"/>
          <w:szCs w:val="24"/>
        </w:rPr>
        <w:t xml:space="preserve"> sugas iekļautas Latvijā </w:t>
      </w:r>
      <w:r w:rsidR="009072CE" w:rsidRPr="00D442EA">
        <w:rPr>
          <w:rFonts w:ascii="Times New Roman" w:eastAsia="Times New Roman" w:hAnsi="Times New Roman" w:cs="Times New Roman"/>
          <w:sz w:val="24"/>
          <w:szCs w:val="24"/>
        </w:rPr>
        <w:t>īpaši aizsargājamo</w:t>
      </w:r>
      <w:r w:rsidR="009072CE" w:rsidRPr="00A07F29">
        <w:rPr>
          <w:rFonts w:ascii="Times New Roman" w:eastAsia="Times New Roman" w:hAnsi="Times New Roman" w:cs="Times New Roman"/>
          <w:sz w:val="24"/>
          <w:szCs w:val="24"/>
        </w:rPr>
        <w:t xml:space="preserve"> sugu sarakstā;</w:t>
      </w:r>
    </w:p>
    <w:p w14:paraId="05DFE152" w14:textId="770DC8BB" w:rsidR="009B599C" w:rsidRPr="00A07F29" w:rsidRDefault="00E0759A" w:rsidP="00F87589">
      <w:pPr>
        <w:numPr>
          <w:ilvl w:val="0"/>
          <w:numId w:val="6"/>
        </w:numPr>
        <w:autoSpaceDE w:val="0"/>
        <w:autoSpaceDN w:val="0"/>
        <w:adjustRightInd w:val="0"/>
        <w:spacing w:after="0" w:line="240" w:lineRule="auto"/>
        <w:ind w:left="1276"/>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sešu</w:t>
      </w:r>
      <w:r w:rsidR="009B599C" w:rsidRPr="00A07F29">
        <w:rPr>
          <w:rFonts w:ascii="Times New Roman" w:eastAsia="Calibri" w:hAnsi="Times New Roman" w:cs="Times New Roman"/>
          <w:sz w:val="24"/>
          <w:szCs w:val="24"/>
        </w:rPr>
        <w:t xml:space="preserve"> sugu aizsardzībai var veidot mikroliegumus; </w:t>
      </w:r>
    </w:p>
    <w:p w14:paraId="19A17B3A" w14:textId="692E2B42" w:rsidR="009072CE" w:rsidRPr="00A07F29" w:rsidRDefault="00E0759A" w:rsidP="00F87589">
      <w:pPr>
        <w:numPr>
          <w:ilvl w:val="0"/>
          <w:numId w:val="6"/>
        </w:numPr>
        <w:autoSpaceDE w:val="0"/>
        <w:autoSpaceDN w:val="0"/>
        <w:adjustRightInd w:val="0"/>
        <w:spacing w:after="0" w:line="240" w:lineRule="auto"/>
        <w:ind w:left="1276"/>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sešas</w:t>
      </w:r>
      <w:r w:rsidR="009072CE" w:rsidRPr="00A07F29">
        <w:rPr>
          <w:rFonts w:ascii="Times New Roman" w:eastAsia="Calibri" w:hAnsi="Times New Roman" w:cs="Times New Roman"/>
          <w:sz w:val="24"/>
          <w:szCs w:val="24"/>
        </w:rPr>
        <w:t xml:space="preserve"> sugas ir iekļautas Bernes konvencijā (1979); </w:t>
      </w:r>
    </w:p>
    <w:p w14:paraId="63011EB6" w14:textId="754669BE" w:rsidR="009072CE" w:rsidRPr="00A07F29" w:rsidRDefault="00E0759A" w:rsidP="00F87589">
      <w:pPr>
        <w:numPr>
          <w:ilvl w:val="0"/>
          <w:numId w:val="6"/>
        </w:numPr>
        <w:autoSpaceDE w:val="0"/>
        <w:autoSpaceDN w:val="0"/>
        <w:adjustRightInd w:val="0"/>
        <w:spacing w:after="0" w:line="240" w:lineRule="auto"/>
        <w:ind w:left="1276"/>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piecas</w:t>
      </w:r>
      <w:r w:rsidR="00DE6D1D" w:rsidRPr="00A07F29">
        <w:rPr>
          <w:rFonts w:ascii="Times New Roman" w:eastAsia="Calibri" w:hAnsi="Times New Roman" w:cs="Times New Roman"/>
          <w:color w:val="FF0000"/>
          <w:sz w:val="24"/>
          <w:szCs w:val="24"/>
        </w:rPr>
        <w:t xml:space="preserve"> </w:t>
      </w:r>
      <w:r w:rsidR="009072CE" w:rsidRPr="00A07F29">
        <w:rPr>
          <w:rFonts w:ascii="Times New Roman" w:eastAsia="Calibri" w:hAnsi="Times New Roman" w:cs="Times New Roman"/>
          <w:sz w:val="24"/>
          <w:szCs w:val="24"/>
        </w:rPr>
        <w:t xml:space="preserve">sugas </w:t>
      </w:r>
      <w:r w:rsidR="009B599C" w:rsidRPr="00A07F29">
        <w:rPr>
          <w:rFonts w:ascii="Times New Roman" w:eastAsia="Calibri" w:hAnsi="Times New Roman" w:cs="Times New Roman"/>
          <w:sz w:val="24"/>
          <w:szCs w:val="24"/>
        </w:rPr>
        <w:t xml:space="preserve">iekļautas </w:t>
      </w:r>
      <w:r w:rsidR="009072CE" w:rsidRPr="00A07F29">
        <w:rPr>
          <w:rFonts w:ascii="Times New Roman" w:eastAsia="Calibri" w:hAnsi="Times New Roman" w:cs="Times New Roman"/>
          <w:sz w:val="24"/>
          <w:szCs w:val="24"/>
        </w:rPr>
        <w:t>Pasaules dabas aizsardzības organizācijas (</w:t>
      </w:r>
      <w:proofErr w:type="spellStart"/>
      <w:r w:rsidR="009072CE" w:rsidRPr="00A07F29">
        <w:rPr>
          <w:rFonts w:ascii="Times New Roman" w:eastAsia="Calibri" w:hAnsi="Times New Roman" w:cs="Times New Roman"/>
          <w:sz w:val="24"/>
          <w:szCs w:val="24"/>
        </w:rPr>
        <w:t>The</w:t>
      </w:r>
      <w:proofErr w:type="spellEnd"/>
      <w:r w:rsidR="009072CE" w:rsidRPr="00A07F29">
        <w:rPr>
          <w:rFonts w:ascii="Times New Roman" w:eastAsia="Calibri" w:hAnsi="Times New Roman" w:cs="Times New Roman"/>
          <w:sz w:val="24"/>
          <w:szCs w:val="24"/>
        </w:rPr>
        <w:t xml:space="preserve"> </w:t>
      </w:r>
      <w:proofErr w:type="spellStart"/>
      <w:r w:rsidR="009072CE" w:rsidRPr="00A07F29">
        <w:rPr>
          <w:rFonts w:ascii="Times New Roman" w:eastAsia="Calibri" w:hAnsi="Times New Roman" w:cs="Times New Roman"/>
          <w:sz w:val="24"/>
          <w:szCs w:val="24"/>
        </w:rPr>
        <w:t>World</w:t>
      </w:r>
      <w:proofErr w:type="spellEnd"/>
      <w:r w:rsidR="009072CE" w:rsidRPr="00A07F29">
        <w:rPr>
          <w:rFonts w:ascii="Times New Roman" w:eastAsia="Calibri" w:hAnsi="Times New Roman" w:cs="Times New Roman"/>
          <w:sz w:val="24"/>
          <w:szCs w:val="24"/>
        </w:rPr>
        <w:t xml:space="preserve"> </w:t>
      </w:r>
      <w:proofErr w:type="spellStart"/>
      <w:r w:rsidR="009072CE" w:rsidRPr="00A07F29">
        <w:rPr>
          <w:rFonts w:ascii="Times New Roman" w:eastAsia="Calibri" w:hAnsi="Times New Roman" w:cs="Times New Roman"/>
          <w:sz w:val="24"/>
          <w:szCs w:val="24"/>
        </w:rPr>
        <w:t>Conservation</w:t>
      </w:r>
      <w:proofErr w:type="spellEnd"/>
      <w:r w:rsidR="009072CE" w:rsidRPr="00A07F29">
        <w:rPr>
          <w:rFonts w:ascii="Times New Roman" w:eastAsia="Calibri" w:hAnsi="Times New Roman" w:cs="Times New Roman"/>
          <w:sz w:val="24"/>
          <w:szCs w:val="24"/>
        </w:rPr>
        <w:t xml:space="preserve"> </w:t>
      </w:r>
      <w:proofErr w:type="spellStart"/>
      <w:r w:rsidR="009072CE" w:rsidRPr="00A07F29">
        <w:rPr>
          <w:rFonts w:ascii="Times New Roman" w:eastAsia="Calibri" w:hAnsi="Times New Roman" w:cs="Times New Roman"/>
          <w:sz w:val="24"/>
          <w:szCs w:val="24"/>
        </w:rPr>
        <w:t>Union</w:t>
      </w:r>
      <w:proofErr w:type="spellEnd"/>
      <w:r w:rsidR="009072CE" w:rsidRPr="00A07F29">
        <w:rPr>
          <w:rFonts w:ascii="Times New Roman" w:eastAsia="Calibri" w:hAnsi="Times New Roman" w:cs="Times New Roman"/>
          <w:sz w:val="24"/>
          <w:szCs w:val="24"/>
        </w:rPr>
        <w:t>) apdraudēto sugu sarakstā;</w:t>
      </w:r>
    </w:p>
    <w:p w14:paraId="3D040BC3" w14:textId="5F7E14D3" w:rsidR="009072CE" w:rsidRPr="00A07F29" w:rsidRDefault="00DE6D1D" w:rsidP="00F87589">
      <w:pPr>
        <w:numPr>
          <w:ilvl w:val="0"/>
          <w:numId w:val="6"/>
        </w:numPr>
        <w:autoSpaceDE w:val="0"/>
        <w:autoSpaceDN w:val="0"/>
        <w:adjustRightInd w:val="0"/>
        <w:spacing w:after="0" w:line="240" w:lineRule="auto"/>
        <w:ind w:left="1276"/>
        <w:contextualSpacing/>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31</w:t>
      </w:r>
      <w:r w:rsidR="009072CE" w:rsidRPr="00A07F29">
        <w:rPr>
          <w:rFonts w:ascii="Times New Roman" w:eastAsia="Calibri" w:hAnsi="Times New Roman" w:cs="Times New Roman"/>
          <w:sz w:val="24"/>
          <w:szCs w:val="24"/>
        </w:rPr>
        <w:t xml:space="preserve"> </w:t>
      </w:r>
      <w:r w:rsidR="009B599C" w:rsidRPr="00A07F29">
        <w:rPr>
          <w:rFonts w:ascii="Times New Roman" w:eastAsia="Calibri" w:hAnsi="Times New Roman" w:cs="Times New Roman"/>
          <w:sz w:val="24"/>
          <w:szCs w:val="24"/>
        </w:rPr>
        <w:t>suga</w:t>
      </w:r>
      <w:r w:rsidR="009072CE" w:rsidRPr="00A07F29">
        <w:rPr>
          <w:rFonts w:ascii="Times New Roman" w:eastAsia="Calibri" w:hAnsi="Times New Roman" w:cs="Times New Roman"/>
          <w:sz w:val="24"/>
          <w:szCs w:val="24"/>
        </w:rPr>
        <w:t xml:space="preserve"> iekļautas Latvijas Sarkanajā Grāmatā; </w:t>
      </w:r>
    </w:p>
    <w:p w14:paraId="5F441FB0" w14:textId="38B81DC7" w:rsidR="009072CE" w:rsidRPr="00A07F29" w:rsidRDefault="00DE6D1D" w:rsidP="00F87589">
      <w:pPr>
        <w:numPr>
          <w:ilvl w:val="0"/>
          <w:numId w:val="6"/>
        </w:numPr>
        <w:autoSpaceDE w:val="0"/>
        <w:autoSpaceDN w:val="0"/>
        <w:adjustRightInd w:val="0"/>
        <w:spacing w:after="120" w:line="240" w:lineRule="auto"/>
        <w:ind w:left="1276" w:hanging="357"/>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20 </w:t>
      </w:r>
      <w:r w:rsidR="009072CE" w:rsidRPr="00A07F29">
        <w:rPr>
          <w:rFonts w:ascii="Times New Roman" w:eastAsia="Calibri" w:hAnsi="Times New Roman" w:cs="Times New Roman"/>
          <w:sz w:val="24"/>
          <w:szCs w:val="24"/>
        </w:rPr>
        <w:t xml:space="preserve">sugas ir uzskatāmas par </w:t>
      </w:r>
      <w:r w:rsidR="00D442EA">
        <w:rPr>
          <w:rFonts w:ascii="Times New Roman" w:eastAsia="Calibri" w:hAnsi="Times New Roman" w:cs="Times New Roman"/>
          <w:sz w:val="24"/>
          <w:szCs w:val="24"/>
        </w:rPr>
        <w:t>DMB</w:t>
      </w:r>
      <w:r w:rsidR="009072CE" w:rsidRPr="00A07F29">
        <w:rPr>
          <w:rFonts w:ascii="Times New Roman" w:eastAsia="Calibri" w:hAnsi="Times New Roman" w:cs="Times New Roman"/>
          <w:sz w:val="24"/>
          <w:szCs w:val="24"/>
        </w:rPr>
        <w:t xml:space="preserve"> specifiskajām sugām un </w:t>
      </w:r>
      <w:proofErr w:type="spellStart"/>
      <w:r w:rsidR="009072CE" w:rsidRPr="00A07F29">
        <w:rPr>
          <w:rFonts w:ascii="Times New Roman" w:eastAsia="Calibri" w:hAnsi="Times New Roman" w:cs="Times New Roman"/>
          <w:sz w:val="24"/>
          <w:szCs w:val="24"/>
        </w:rPr>
        <w:t>indikatorsugām</w:t>
      </w:r>
      <w:proofErr w:type="spellEnd"/>
      <w:r w:rsidR="009072CE" w:rsidRPr="00A07F29">
        <w:rPr>
          <w:rFonts w:ascii="Times New Roman" w:eastAsia="Calibri" w:hAnsi="Times New Roman" w:cs="Times New Roman"/>
          <w:sz w:val="24"/>
          <w:szCs w:val="24"/>
        </w:rPr>
        <w:t>.</w:t>
      </w:r>
    </w:p>
    <w:p w14:paraId="037A19EB" w14:textId="73C80A0E" w:rsidR="009072CE" w:rsidRPr="00A07F29" w:rsidRDefault="009072CE" w:rsidP="00890485">
      <w:pPr>
        <w:suppressAutoHyphens/>
        <w:spacing w:after="120" w:line="240" w:lineRule="auto"/>
        <w:ind w:firstLine="851"/>
        <w:jc w:val="both"/>
        <w:rPr>
          <w:rFonts w:ascii="Times New Roman" w:eastAsia="Calibri" w:hAnsi="Times New Roman" w:cs="Times New Roman"/>
          <w:sz w:val="24"/>
          <w:szCs w:val="24"/>
        </w:rPr>
      </w:pPr>
      <w:r w:rsidRPr="00D1017B">
        <w:rPr>
          <w:rFonts w:ascii="Times New Roman" w:eastAsia="Times New Roman" w:hAnsi="Times New Roman" w:cs="Times New Roman"/>
          <w:b/>
          <w:bCs/>
          <w:color w:val="000000"/>
          <w:sz w:val="24"/>
          <w:szCs w:val="24"/>
          <w:lang w:eastAsia="ar-SA"/>
        </w:rPr>
        <w:t xml:space="preserve">Zaļā </w:t>
      </w:r>
      <w:proofErr w:type="spellStart"/>
      <w:r w:rsidR="00CF797D" w:rsidRPr="00D1017B">
        <w:rPr>
          <w:rFonts w:ascii="Times New Roman" w:eastAsia="Times New Roman" w:hAnsi="Times New Roman" w:cs="Times New Roman"/>
          <w:b/>
          <w:bCs/>
          <w:color w:val="000000"/>
          <w:sz w:val="24"/>
          <w:szCs w:val="24"/>
          <w:lang w:eastAsia="ar-SA"/>
        </w:rPr>
        <w:t>upjuspāre</w:t>
      </w:r>
      <w:proofErr w:type="spellEnd"/>
      <w:r w:rsidR="00CF797D" w:rsidRPr="00A07F29">
        <w:rPr>
          <w:rFonts w:ascii="Times New Roman" w:eastAsia="Times New Roman" w:hAnsi="Times New Roman" w:cs="Times New Roman"/>
          <w:b/>
          <w:bCs/>
          <w:color w:val="000000"/>
          <w:sz w:val="24"/>
          <w:szCs w:val="24"/>
          <w:lang w:eastAsia="ar-SA"/>
        </w:rPr>
        <w:t xml:space="preserve"> </w:t>
      </w:r>
      <w:proofErr w:type="spellStart"/>
      <w:r w:rsidRPr="00A07F29">
        <w:rPr>
          <w:rFonts w:ascii="Times New Roman" w:eastAsia="Times New Roman" w:hAnsi="Times New Roman" w:cs="Times New Roman"/>
          <w:i/>
          <w:iCs/>
          <w:color w:val="000000"/>
          <w:sz w:val="24"/>
          <w:szCs w:val="24"/>
          <w:lang w:eastAsia="ar-SA"/>
        </w:rPr>
        <w:t>Ophiogomphus</w:t>
      </w:r>
      <w:proofErr w:type="spellEnd"/>
      <w:r w:rsidRPr="00A07F29">
        <w:rPr>
          <w:rFonts w:ascii="Times New Roman" w:eastAsia="Times New Roman" w:hAnsi="Times New Roman" w:cs="Times New Roman"/>
          <w:i/>
          <w:iCs/>
          <w:color w:val="000000"/>
          <w:sz w:val="24"/>
          <w:szCs w:val="24"/>
          <w:lang w:eastAsia="ar-SA"/>
        </w:rPr>
        <w:t xml:space="preserve"> </w:t>
      </w:r>
      <w:proofErr w:type="spellStart"/>
      <w:r w:rsidRPr="00A07F29">
        <w:rPr>
          <w:rFonts w:ascii="Times New Roman" w:eastAsia="Times New Roman" w:hAnsi="Times New Roman" w:cs="Times New Roman"/>
          <w:i/>
          <w:iCs/>
          <w:color w:val="000000"/>
          <w:sz w:val="24"/>
          <w:szCs w:val="24"/>
          <w:lang w:eastAsia="ar-SA"/>
        </w:rPr>
        <w:t>cecilia</w:t>
      </w:r>
      <w:proofErr w:type="spellEnd"/>
      <w:r w:rsidRPr="00A07F29">
        <w:rPr>
          <w:rFonts w:ascii="Times New Roman" w:eastAsia="Times New Roman" w:hAnsi="Times New Roman" w:cs="Times New Roman"/>
          <w:color w:val="000000"/>
          <w:sz w:val="24"/>
          <w:szCs w:val="24"/>
          <w:lang w:eastAsia="ar-SA"/>
        </w:rPr>
        <w:t xml:space="preserve"> AAA “Augšdaugava” </w:t>
      </w:r>
      <w:proofErr w:type="spellStart"/>
      <w:r w:rsidR="0092556E" w:rsidRPr="00A07F29">
        <w:rPr>
          <w:rFonts w:ascii="Times New Roman" w:eastAsia="Times New Roman" w:hAnsi="Times New Roman" w:cs="Times New Roman"/>
          <w:i/>
          <w:color w:val="000000"/>
          <w:sz w:val="24"/>
          <w:szCs w:val="24"/>
          <w:lang w:eastAsia="ar-SA"/>
        </w:rPr>
        <w:t>Natura</w:t>
      </w:r>
      <w:proofErr w:type="spellEnd"/>
      <w:r w:rsidRPr="00A07F29">
        <w:rPr>
          <w:rFonts w:ascii="Times New Roman" w:eastAsia="Times New Roman" w:hAnsi="Times New Roman" w:cs="Times New Roman"/>
          <w:i/>
          <w:color w:val="000000"/>
          <w:sz w:val="24"/>
          <w:szCs w:val="24"/>
          <w:lang w:eastAsia="ar-SA"/>
        </w:rPr>
        <w:t xml:space="preserve"> 2000</w:t>
      </w:r>
      <w:r w:rsidRPr="00A07F29">
        <w:rPr>
          <w:rFonts w:ascii="Times New Roman" w:eastAsia="Times New Roman" w:hAnsi="Times New Roman" w:cs="Times New Roman"/>
          <w:color w:val="000000"/>
          <w:sz w:val="24"/>
          <w:szCs w:val="24"/>
          <w:lang w:eastAsia="ar-SA"/>
        </w:rPr>
        <w:t xml:space="preserve"> standarta datu formas</w:t>
      </w:r>
      <w:r w:rsidR="009256C2">
        <w:rPr>
          <w:rStyle w:val="FootnoteReference"/>
          <w:rFonts w:ascii="Times New Roman" w:eastAsia="Times New Roman" w:hAnsi="Times New Roman" w:cs="Times New Roman"/>
          <w:color w:val="000000"/>
          <w:sz w:val="24"/>
          <w:szCs w:val="24"/>
          <w:lang w:eastAsia="ar-SA"/>
        </w:rPr>
        <w:footnoteReference w:id="34"/>
      </w:r>
      <w:r w:rsidRPr="00A07F29">
        <w:rPr>
          <w:rFonts w:ascii="Times New Roman" w:eastAsia="Times New Roman" w:hAnsi="Times New Roman" w:cs="Times New Roman"/>
          <w:color w:val="000000"/>
          <w:sz w:val="24"/>
          <w:szCs w:val="24"/>
          <w:lang w:eastAsia="ar-SA"/>
        </w:rPr>
        <w:t xml:space="preserve"> 4.2.</w:t>
      </w:r>
      <w:r w:rsidR="007063B8">
        <w:rPr>
          <w:rFonts w:ascii="Times New Roman" w:eastAsia="Times New Roman" w:hAnsi="Times New Roman" w:cs="Times New Roman"/>
          <w:color w:val="000000"/>
          <w:sz w:val="24"/>
          <w:szCs w:val="24"/>
          <w:lang w:eastAsia="ar-SA"/>
        </w:rPr>
        <w:t> </w:t>
      </w:r>
      <w:r w:rsidRPr="00A07F29">
        <w:rPr>
          <w:rFonts w:ascii="Times New Roman" w:eastAsia="Times New Roman" w:hAnsi="Times New Roman" w:cs="Times New Roman"/>
          <w:color w:val="000000"/>
          <w:sz w:val="24"/>
          <w:szCs w:val="24"/>
          <w:lang w:eastAsia="ar-SA"/>
        </w:rPr>
        <w:t xml:space="preserve">sadaļā ir norādīta kā viena no šīs teritorijas kvalificējošajām vērtībām. </w:t>
      </w:r>
      <w:r w:rsidRPr="00A07F29">
        <w:rPr>
          <w:rFonts w:ascii="Times New Roman" w:eastAsia="Times New Roman" w:hAnsi="Times New Roman" w:cs="Times New Roman"/>
          <w:color w:val="000000" w:themeColor="text1"/>
          <w:sz w:val="24"/>
          <w:szCs w:val="24"/>
          <w:lang w:eastAsia="ar-SA"/>
        </w:rPr>
        <w:t xml:space="preserve">Šīs sugas kāpuri apdzīvo vidēji strauji vai strauji tekošas upes ar smilšainu, </w:t>
      </w:r>
      <w:proofErr w:type="spellStart"/>
      <w:r w:rsidRPr="00A07F29">
        <w:rPr>
          <w:rFonts w:ascii="Times New Roman" w:eastAsia="Times New Roman" w:hAnsi="Times New Roman" w:cs="Times New Roman"/>
          <w:color w:val="000000" w:themeColor="text1"/>
          <w:sz w:val="24"/>
          <w:szCs w:val="24"/>
          <w:lang w:eastAsia="ar-SA"/>
        </w:rPr>
        <w:t>granšainu</w:t>
      </w:r>
      <w:proofErr w:type="spellEnd"/>
      <w:r w:rsidRPr="00A07F29">
        <w:rPr>
          <w:rFonts w:ascii="Times New Roman" w:eastAsia="Times New Roman" w:hAnsi="Times New Roman" w:cs="Times New Roman"/>
          <w:color w:val="000000" w:themeColor="text1"/>
          <w:sz w:val="24"/>
          <w:szCs w:val="24"/>
          <w:lang w:eastAsia="ar-SA"/>
        </w:rPr>
        <w:t xml:space="preserve"> vai oļainu gultni, taču ne krāčainus posmus. Suga biežāk novērojama pie lielām un vidēja lieluma upēm. Pieaugušās spāres atpūtai un medījuma novērošanai biežāk izmanto vietas ar atklātu augsni vai skraju veģetāciju (Vilks</w:t>
      </w:r>
      <w:r w:rsidR="00A362FE">
        <w:rPr>
          <w:rFonts w:ascii="Times New Roman" w:eastAsia="Times New Roman" w:hAnsi="Times New Roman" w:cs="Times New Roman"/>
          <w:color w:val="000000" w:themeColor="text1"/>
          <w:sz w:val="24"/>
          <w:szCs w:val="24"/>
          <w:lang w:eastAsia="ar-SA"/>
        </w:rPr>
        <w:t xml:space="preserve"> K.,</w:t>
      </w:r>
      <w:r w:rsidRPr="00A07F29">
        <w:rPr>
          <w:rFonts w:ascii="Times New Roman" w:eastAsia="Times New Roman" w:hAnsi="Times New Roman" w:cs="Times New Roman"/>
          <w:color w:val="000000" w:themeColor="text1"/>
          <w:sz w:val="24"/>
          <w:szCs w:val="24"/>
          <w:lang w:eastAsia="ar-SA"/>
        </w:rPr>
        <w:t xml:space="preserve"> </w:t>
      </w:r>
      <w:proofErr w:type="spellStart"/>
      <w:r w:rsidR="00A362FE">
        <w:rPr>
          <w:rFonts w:ascii="Times New Roman" w:eastAsia="Times New Roman" w:hAnsi="Times New Roman" w:cs="Times New Roman"/>
          <w:color w:val="000000" w:themeColor="text1"/>
          <w:sz w:val="24"/>
          <w:szCs w:val="24"/>
          <w:lang w:eastAsia="ar-SA"/>
        </w:rPr>
        <w:t>et</w:t>
      </w:r>
      <w:proofErr w:type="spellEnd"/>
      <w:r w:rsidR="00A362FE">
        <w:rPr>
          <w:rFonts w:ascii="Times New Roman" w:eastAsia="Times New Roman" w:hAnsi="Times New Roman" w:cs="Times New Roman"/>
          <w:color w:val="000000" w:themeColor="text1"/>
          <w:sz w:val="24"/>
          <w:szCs w:val="24"/>
          <w:lang w:eastAsia="ar-SA"/>
        </w:rPr>
        <w:t xml:space="preserve"> al</w:t>
      </w:r>
      <w:r w:rsidRPr="00A07F29">
        <w:rPr>
          <w:rFonts w:ascii="Times New Roman" w:eastAsia="Times New Roman" w:hAnsi="Times New Roman" w:cs="Times New Roman"/>
          <w:color w:val="000000" w:themeColor="text1"/>
          <w:sz w:val="24"/>
          <w:szCs w:val="24"/>
          <w:lang w:eastAsia="ar-SA"/>
        </w:rPr>
        <w:t>, 2013).</w:t>
      </w:r>
      <w:r w:rsidRPr="00A07F29">
        <w:rPr>
          <w:rFonts w:ascii="Times New Roman" w:eastAsia="Times New Roman" w:hAnsi="Times New Roman" w:cs="Times New Roman"/>
          <w:color w:val="000000"/>
          <w:sz w:val="24"/>
          <w:szCs w:val="24"/>
          <w:lang w:eastAsia="ar-SA"/>
        </w:rPr>
        <w:t xml:space="preserve"> </w:t>
      </w:r>
      <w:proofErr w:type="spellStart"/>
      <w:r w:rsidR="0092556E" w:rsidRPr="00A07F29">
        <w:rPr>
          <w:rFonts w:ascii="Times New Roman" w:eastAsia="Times New Roman" w:hAnsi="Times New Roman" w:cs="Times New Roman"/>
          <w:i/>
          <w:color w:val="000000"/>
          <w:sz w:val="24"/>
          <w:szCs w:val="24"/>
          <w:lang w:eastAsia="ar-SA"/>
        </w:rPr>
        <w:t>Natura</w:t>
      </w:r>
      <w:proofErr w:type="spellEnd"/>
      <w:r w:rsidRPr="00A07F29">
        <w:rPr>
          <w:rFonts w:ascii="Times New Roman" w:eastAsia="Times New Roman" w:hAnsi="Times New Roman" w:cs="Times New Roman"/>
          <w:i/>
          <w:color w:val="000000"/>
          <w:sz w:val="24"/>
          <w:szCs w:val="24"/>
          <w:lang w:eastAsia="ar-SA"/>
        </w:rPr>
        <w:t xml:space="preserve"> 2000</w:t>
      </w:r>
      <w:r w:rsidRPr="00A07F29">
        <w:rPr>
          <w:rFonts w:ascii="Times New Roman" w:eastAsia="Times New Roman" w:hAnsi="Times New Roman" w:cs="Times New Roman"/>
          <w:color w:val="000000"/>
          <w:sz w:val="24"/>
          <w:szCs w:val="24"/>
          <w:lang w:eastAsia="ar-SA"/>
        </w:rPr>
        <w:t xml:space="preserve"> teritoriju bezmugurkaulnieku Monitoringa ietvaros zaļā </w:t>
      </w:r>
      <w:proofErr w:type="spellStart"/>
      <w:r w:rsidRPr="00A07F29">
        <w:rPr>
          <w:rFonts w:ascii="Times New Roman" w:eastAsia="Times New Roman" w:hAnsi="Times New Roman" w:cs="Times New Roman"/>
          <w:color w:val="000000"/>
          <w:sz w:val="24"/>
          <w:szCs w:val="24"/>
          <w:lang w:eastAsia="ar-SA"/>
        </w:rPr>
        <w:t>upjuspāre</w:t>
      </w:r>
      <w:proofErr w:type="spellEnd"/>
      <w:r w:rsidRPr="00A07F29">
        <w:rPr>
          <w:rFonts w:ascii="Times New Roman" w:eastAsia="Times New Roman" w:hAnsi="Times New Roman" w:cs="Times New Roman"/>
          <w:color w:val="000000"/>
          <w:sz w:val="24"/>
          <w:szCs w:val="24"/>
          <w:lang w:eastAsia="ar-SA"/>
        </w:rPr>
        <w:t xml:space="preserve"> </w:t>
      </w:r>
      <w:r w:rsidRPr="00A07F29">
        <w:rPr>
          <w:rFonts w:ascii="Times New Roman" w:eastAsia="Calibri" w:hAnsi="Times New Roman" w:cs="Times New Roman"/>
          <w:i/>
          <w:iCs/>
          <w:color w:val="000000"/>
          <w:sz w:val="24"/>
          <w:szCs w:val="24"/>
          <w:lang w:eastAsia="ar-SA"/>
        </w:rPr>
        <w:t>O</w:t>
      </w:r>
      <w:r w:rsidRPr="00A07F29">
        <w:rPr>
          <w:rFonts w:ascii="Times New Roman" w:eastAsia="Calibri" w:hAnsi="Times New Roman" w:cs="Times New Roman"/>
          <w:i/>
          <w:iCs/>
          <w:color w:val="000000"/>
          <w:spacing w:val="1"/>
          <w:sz w:val="24"/>
          <w:szCs w:val="24"/>
          <w:lang w:eastAsia="ar-SA"/>
        </w:rPr>
        <w:t>.</w:t>
      </w:r>
      <w:r w:rsidRPr="00A07F29">
        <w:rPr>
          <w:rFonts w:ascii="Times New Roman" w:eastAsia="Times New Roman" w:hAnsi="Times New Roman" w:cs="Times New Roman"/>
          <w:i/>
          <w:iCs/>
          <w:color w:val="000000"/>
          <w:sz w:val="24"/>
          <w:szCs w:val="24"/>
          <w:lang w:eastAsia="ar-SA"/>
        </w:rPr>
        <w:t xml:space="preserve"> </w:t>
      </w:r>
      <w:proofErr w:type="spellStart"/>
      <w:r w:rsidRPr="00A07F29">
        <w:rPr>
          <w:rFonts w:ascii="Times New Roman" w:eastAsia="Times New Roman" w:hAnsi="Times New Roman" w:cs="Times New Roman"/>
          <w:i/>
          <w:iCs/>
          <w:color w:val="000000"/>
          <w:sz w:val="24"/>
          <w:szCs w:val="24"/>
          <w:lang w:eastAsia="ar-SA"/>
        </w:rPr>
        <w:t>cecilia</w:t>
      </w:r>
      <w:proofErr w:type="spellEnd"/>
      <w:r w:rsidRPr="00A07F29">
        <w:rPr>
          <w:rFonts w:ascii="Times New Roman" w:eastAsia="Times New Roman" w:hAnsi="Times New Roman" w:cs="Times New Roman"/>
          <w:i/>
          <w:iCs/>
          <w:color w:val="000000"/>
          <w:sz w:val="24"/>
          <w:szCs w:val="24"/>
          <w:lang w:eastAsia="ar-SA"/>
        </w:rPr>
        <w:t xml:space="preserve"> </w:t>
      </w:r>
      <w:r w:rsidRPr="00A07F29">
        <w:rPr>
          <w:rFonts w:ascii="Times New Roman" w:eastAsia="Times New Roman" w:hAnsi="Times New Roman" w:cs="Times New Roman"/>
          <w:color w:val="000000"/>
          <w:sz w:val="24"/>
          <w:szCs w:val="24"/>
          <w:lang w:eastAsia="ar-SA"/>
        </w:rPr>
        <w:t>tika uzskaitīta 2017.</w:t>
      </w:r>
      <w:r w:rsidR="000648B9">
        <w:rPr>
          <w:rFonts w:ascii="Times New Roman" w:eastAsia="Times New Roman" w:hAnsi="Times New Roman" w:cs="Times New Roman"/>
          <w:color w:val="000000"/>
          <w:sz w:val="24"/>
          <w:szCs w:val="24"/>
          <w:lang w:eastAsia="ar-SA"/>
        </w:rPr>
        <w:t> </w:t>
      </w:r>
      <w:r w:rsidRPr="00A07F29">
        <w:rPr>
          <w:rFonts w:ascii="Times New Roman" w:eastAsia="Times New Roman" w:hAnsi="Times New Roman" w:cs="Times New Roman"/>
          <w:color w:val="000000"/>
          <w:sz w:val="24"/>
          <w:szCs w:val="24"/>
          <w:lang w:eastAsia="ar-SA"/>
        </w:rPr>
        <w:t xml:space="preserve">gadā, kopumā </w:t>
      </w:r>
      <w:r w:rsidR="000648B9">
        <w:rPr>
          <w:rFonts w:ascii="Times New Roman" w:eastAsia="Times New Roman" w:hAnsi="Times New Roman" w:cs="Times New Roman"/>
          <w:color w:val="000000"/>
          <w:sz w:val="24"/>
          <w:szCs w:val="24"/>
          <w:lang w:eastAsia="ar-SA"/>
        </w:rPr>
        <w:t>piecos</w:t>
      </w:r>
      <w:r w:rsidRPr="00A07F29">
        <w:rPr>
          <w:rFonts w:ascii="Times New Roman" w:eastAsia="Times New Roman" w:hAnsi="Times New Roman" w:cs="Times New Roman"/>
          <w:color w:val="000000"/>
          <w:sz w:val="24"/>
          <w:szCs w:val="24"/>
          <w:lang w:eastAsia="ar-SA"/>
        </w:rPr>
        <w:t xml:space="preserve"> maršrutos, kas izvietoti gar Daugavas krastu, viens no tiem starp </w:t>
      </w:r>
      <w:proofErr w:type="spellStart"/>
      <w:r w:rsidRPr="00A07F29">
        <w:rPr>
          <w:rFonts w:ascii="Times New Roman" w:eastAsia="Times New Roman" w:hAnsi="Times New Roman" w:cs="Times New Roman"/>
          <w:color w:val="000000"/>
          <w:sz w:val="24"/>
          <w:szCs w:val="24"/>
          <w:lang w:eastAsia="ar-SA"/>
        </w:rPr>
        <w:t>Razboja</w:t>
      </w:r>
      <w:proofErr w:type="spellEnd"/>
      <w:r w:rsidRPr="00A07F29">
        <w:rPr>
          <w:rFonts w:ascii="Times New Roman" w:eastAsia="Times New Roman" w:hAnsi="Times New Roman" w:cs="Times New Roman"/>
          <w:color w:val="000000"/>
          <w:sz w:val="24"/>
          <w:szCs w:val="24"/>
          <w:lang w:eastAsia="ar-SA"/>
        </w:rPr>
        <w:t xml:space="preserve"> strautu un Daugavas upi, suga konstatēta divos maršrutos, katrā pa vienam eksemplāram. </w:t>
      </w:r>
      <w:r w:rsidRPr="00A07F29">
        <w:rPr>
          <w:rFonts w:ascii="Times New Roman" w:eastAsia="Calibri" w:hAnsi="Times New Roman" w:cs="Times New Roman"/>
          <w:color w:val="000000"/>
          <w:sz w:val="24"/>
          <w:szCs w:val="24"/>
          <w:lang w:eastAsia="ar-SA"/>
        </w:rPr>
        <w:t xml:space="preserve">Vienā no zaļās </w:t>
      </w:r>
      <w:proofErr w:type="spellStart"/>
      <w:r w:rsidRPr="00A07F29">
        <w:rPr>
          <w:rFonts w:ascii="Times New Roman" w:eastAsia="Calibri" w:hAnsi="Times New Roman" w:cs="Times New Roman"/>
          <w:color w:val="000000"/>
          <w:sz w:val="24"/>
          <w:szCs w:val="24"/>
          <w:lang w:eastAsia="ar-SA"/>
        </w:rPr>
        <w:t>upjuspāres</w:t>
      </w:r>
      <w:proofErr w:type="spellEnd"/>
      <w:r w:rsidRPr="00A07F29">
        <w:rPr>
          <w:rFonts w:ascii="Times New Roman" w:eastAsia="Calibri" w:hAnsi="Times New Roman" w:cs="Times New Roman"/>
          <w:color w:val="000000"/>
          <w:sz w:val="24"/>
          <w:szCs w:val="24"/>
          <w:lang w:eastAsia="ar-SA"/>
        </w:rPr>
        <w:t xml:space="preserve"> uzskaites maršrutiem tika konstatēti </w:t>
      </w:r>
      <w:r w:rsidR="00C40476">
        <w:rPr>
          <w:rFonts w:ascii="Times New Roman" w:eastAsia="Calibri" w:hAnsi="Times New Roman" w:cs="Times New Roman"/>
          <w:color w:val="000000"/>
          <w:sz w:val="24"/>
          <w:szCs w:val="24"/>
          <w:lang w:eastAsia="ar-SA"/>
        </w:rPr>
        <w:t>seš</w:t>
      </w:r>
      <w:r w:rsidR="001F7ED2">
        <w:rPr>
          <w:rFonts w:ascii="Times New Roman" w:eastAsia="Calibri" w:hAnsi="Times New Roman" w:cs="Times New Roman"/>
          <w:color w:val="000000"/>
          <w:sz w:val="24"/>
          <w:szCs w:val="24"/>
          <w:lang w:eastAsia="ar-SA"/>
        </w:rPr>
        <w:t>i</w:t>
      </w:r>
      <w:r w:rsidRPr="00A07F29">
        <w:rPr>
          <w:rFonts w:ascii="Times New Roman" w:eastAsia="Calibri" w:hAnsi="Times New Roman" w:cs="Times New Roman"/>
          <w:color w:val="000000"/>
          <w:sz w:val="24"/>
          <w:szCs w:val="24"/>
          <w:lang w:eastAsia="ar-SA"/>
        </w:rPr>
        <w:t xml:space="preserve"> </w:t>
      </w:r>
      <w:proofErr w:type="spellStart"/>
      <w:r w:rsidRPr="00A07F29">
        <w:rPr>
          <w:rFonts w:ascii="Times New Roman" w:eastAsia="Calibri" w:hAnsi="Times New Roman" w:cs="Times New Roman"/>
          <w:b/>
          <w:color w:val="000000"/>
          <w:sz w:val="24"/>
          <w:szCs w:val="24"/>
          <w:lang w:eastAsia="ar-SA"/>
        </w:rPr>
        <w:t>dzeltenkāju</w:t>
      </w:r>
      <w:proofErr w:type="spellEnd"/>
      <w:r w:rsidRPr="00A07F29">
        <w:rPr>
          <w:rFonts w:ascii="Times New Roman" w:eastAsia="Calibri" w:hAnsi="Times New Roman" w:cs="Times New Roman"/>
          <w:b/>
          <w:color w:val="000000"/>
          <w:sz w:val="24"/>
          <w:szCs w:val="24"/>
          <w:lang w:eastAsia="ar-SA"/>
        </w:rPr>
        <w:t xml:space="preserve"> </w:t>
      </w:r>
      <w:proofErr w:type="spellStart"/>
      <w:r w:rsidRPr="00A07F29">
        <w:rPr>
          <w:rFonts w:ascii="Times New Roman" w:eastAsia="Calibri" w:hAnsi="Times New Roman" w:cs="Times New Roman"/>
          <w:b/>
          <w:color w:val="000000"/>
          <w:sz w:val="24"/>
          <w:szCs w:val="24"/>
          <w:lang w:eastAsia="ar-SA"/>
        </w:rPr>
        <w:t>upjuspāres</w:t>
      </w:r>
      <w:proofErr w:type="spellEnd"/>
      <w:r w:rsidRPr="00A07F29">
        <w:rPr>
          <w:rFonts w:ascii="Times New Roman" w:eastAsia="Calibri" w:hAnsi="Times New Roman" w:cs="Times New Roman"/>
          <w:b/>
          <w:color w:val="000000"/>
          <w:sz w:val="24"/>
          <w:szCs w:val="24"/>
          <w:lang w:eastAsia="ar-SA"/>
        </w:rPr>
        <w:t xml:space="preserve"> </w:t>
      </w:r>
      <w:proofErr w:type="spellStart"/>
      <w:r w:rsidRPr="00A07F29">
        <w:rPr>
          <w:rFonts w:ascii="Times New Roman" w:eastAsia="Calibri" w:hAnsi="Times New Roman" w:cs="Times New Roman"/>
          <w:b/>
          <w:i/>
          <w:iCs/>
          <w:color w:val="000000"/>
          <w:sz w:val="24"/>
          <w:szCs w:val="24"/>
          <w:lang w:eastAsia="ar-SA"/>
        </w:rPr>
        <w:t>Gomphus</w:t>
      </w:r>
      <w:proofErr w:type="spellEnd"/>
      <w:r w:rsidRPr="00A07F29">
        <w:rPr>
          <w:rFonts w:ascii="Times New Roman" w:eastAsia="Calibri" w:hAnsi="Times New Roman" w:cs="Times New Roman"/>
          <w:b/>
          <w:i/>
          <w:iCs/>
          <w:color w:val="000000"/>
          <w:sz w:val="24"/>
          <w:szCs w:val="24"/>
          <w:lang w:eastAsia="ar-SA"/>
        </w:rPr>
        <w:t xml:space="preserve"> </w:t>
      </w:r>
      <w:proofErr w:type="spellStart"/>
      <w:r w:rsidRPr="00A07F29">
        <w:rPr>
          <w:rFonts w:ascii="Times New Roman" w:eastAsia="Calibri" w:hAnsi="Times New Roman" w:cs="Times New Roman"/>
          <w:b/>
          <w:i/>
          <w:iCs/>
          <w:color w:val="000000"/>
          <w:sz w:val="24"/>
          <w:szCs w:val="24"/>
          <w:lang w:eastAsia="ar-SA"/>
        </w:rPr>
        <w:t>flavipes</w:t>
      </w:r>
      <w:proofErr w:type="spellEnd"/>
      <w:r w:rsidRPr="00A07F29">
        <w:rPr>
          <w:rFonts w:ascii="Times New Roman" w:eastAsia="Calibri" w:hAnsi="Times New Roman" w:cs="Times New Roman"/>
          <w:i/>
          <w:iCs/>
          <w:color w:val="000000"/>
          <w:sz w:val="24"/>
          <w:szCs w:val="24"/>
          <w:lang w:eastAsia="ar-SA"/>
        </w:rPr>
        <w:t xml:space="preserve"> </w:t>
      </w:r>
      <w:r w:rsidRPr="00A07F29">
        <w:rPr>
          <w:rFonts w:ascii="Times New Roman" w:eastAsia="Calibri" w:hAnsi="Times New Roman" w:cs="Times New Roman"/>
          <w:color w:val="000000"/>
          <w:sz w:val="24"/>
          <w:szCs w:val="24"/>
          <w:lang w:eastAsia="ar-SA"/>
        </w:rPr>
        <w:t>(skat. 4.</w:t>
      </w:r>
      <w:r w:rsidR="00CF797D" w:rsidRPr="00A07F29">
        <w:rPr>
          <w:rFonts w:ascii="Times New Roman" w:eastAsia="Calibri" w:hAnsi="Times New Roman" w:cs="Times New Roman"/>
          <w:color w:val="000000"/>
          <w:sz w:val="24"/>
          <w:szCs w:val="24"/>
          <w:lang w:eastAsia="ar-SA"/>
        </w:rPr>
        <w:t>7</w:t>
      </w:r>
      <w:r w:rsidRPr="00A07F29">
        <w:rPr>
          <w:rFonts w:ascii="Times New Roman" w:eastAsia="Calibri" w:hAnsi="Times New Roman" w:cs="Times New Roman"/>
          <w:color w:val="000000"/>
          <w:sz w:val="24"/>
          <w:szCs w:val="24"/>
          <w:lang w:eastAsia="ar-SA"/>
        </w:rPr>
        <w:t>.1.2.</w:t>
      </w:r>
      <w:r w:rsidR="00C40476">
        <w:rPr>
          <w:rFonts w:ascii="Times New Roman" w:eastAsia="Calibri" w:hAnsi="Times New Roman" w:cs="Times New Roman"/>
          <w:color w:val="000000"/>
          <w:sz w:val="24"/>
          <w:szCs w:val="24"/>
          <w:lang w:eastAsia="ar-SA"/>
        </w:rPr>
        <w:t> </w:t>
      </w:r>
      <w:r w:rsidRPr="00A07F29">
        <w:rPr>
          <w:rFonts w:ascii="Times New Roman" w:eastAsia="Calibri" w:hAnsi="Times New Roman" w:cs="Times New Roman"/>
          <w:color w:val="000000"/>
          <w:sz w:val="24"/>
          <w:szCs w:val="24"/>
          <w:lang w:eastAsia="ar-SA"/>
        </w:rPr>
        <w:t>att</w:t>
      </w:r>
      <w:r w:rsidR="00C40476">
        <w:rPr>
          <w:rFonts w:ascii="Times New Roman" w:eastAsia="Calibri" w:hAnsi="Times New Roman" w:cs="Times New Roman"/>
          <w:color w:val="000000"/>
          <w:sz w:val="24"/>
          <w:szCs w:val="24"/>
          <w:lang w:eastAsia="ar-SA"/>
        </w:rPr>
        <w:t>ēls</w:t>
      </w:r>
      <w:r w:rsidRPr="00A07F29">
        <w:rPr>
          <w:rFonts w:ascii="Times New Roman" w:eastAsia="Calibri" w:hAnsi="Times New Roman" w:cs="Times New Roman"/>
          <w:color w:val="000000"/>
          <w:sz w:val="24"/>
          <w:szCs w:val="24"/>
          <w:lang w:eastAsia="ar-SA"/>
        </w:rPr>
        <w:t>) īpatņi. Šī suga arī apdzīvo Daugavas posmus ar smilšainām gruntīm, bez dūņām vai ar ļoti plānu to slāni, vietas ar vāji attīstītu veģetāciju (Kalniņš</w:t>
      </w:r>
      <w:r w:rsidR="008257E7">
        <w:rPr>
          <w:rFonts w:ascii="Times New Roman" w:eastAsia="Calibri" w:hAnsi="Times New Roman" w:cs="Times New Roman"/>
          <w:color w:val="000000"/>
          <w:sz w:val="24"/>
          <w:szCs w:val="24"/>
          <w:lang w:eastAsia="ar-SA"/>
        </w:rPr>
        <w:t xml:space="preserve"> M.</w:t>
      </w:r>
      <w:r w:rsidRPr="00A07F29">
        <w:rPr>
          <w:rFonts w:ascii="Times New Roman" w:eastAsia="Calibri" w:hAnsi="Times New Roman" w:cs="Times New Roman"/>
          <w:color w:val="000000"/>
          <w:sz w:val="24"/>
          <w:szCs w:val="24"/>
          <w:lang w:eastAsia="ar-SA"/>
        </w:rPr>
        <w:t xml:space="preserve">, 2017). Abas šīs spāru sugas ir uzskatāmas par ES nozīmes </w:t>
      </w:r>
      <w:r w:rsidRPr="00A07F29">
        <w:rPr>
          <w:rFonts w:ascii="Times New Roman" w:eastAsia="Calibri" w:hAnsi="Times New Roman" w:cs="Times New Roman"/>
          <w:color w:val="000000"/>
          <w:sz w:val="24"/>
          <w:szCs w:val="24"/>
          <w:lang w:eastAsia="ar-SA"/>
        </w:rPr>
        <w:lastRenderedPageBreak/>
        <w:t>aizsargājamā biotopa 3260</w:t>
      </w:r>
      <w:r w:rsidR="008257E7">
        <w:rPr>
          <w:rFonts w:ascii="Times New Roman" w:eastAsia="Calibri" w:hAnsi="Times New Roman" w:cs="Times New Roman"/>
          <w:color w:val="000000"/>
          <w:sz w:val="24"/>
          <w:szCs w:val="24"/>
          <w:lang w:eastAsia="ar-SA"/>
        </w:rPr>
        <w:t> </w:t>
      </w:r>
      <w:r w:rsidRPr="00A07F29">
        <w:rPr>
          <w:rFonts w:ascii="Times New Roman" w:eastAsia="Calibri" w:hAnsi="Times New Roman" w:cs="Times New Roman"/>
          <w:i/>
          <w:iCs/>
          <w:color w:val="000000"/>
          <w:sz w:val="24"/>
          <w:szCs w:val="24"/>
          <w:lang w:eastAsia="ar-SA"/>
        </w:rPr>
        <w:t xml:space="preserve">Upju straujteces un dabiski upju posmi </w:t>
      </w:r>
      <w:proofErr w:type="spellStart"/>
      <w:r w:rsidRPr="00A07F29">
        <w:rPr>
          <w:rFonts w:ascii="Times New Roman" w:eastAsia="Calibri" w:hAnsi="Times New Roman" w:cs="Times New Roman"/>
          <w:color w:val="000000"/>
          <w:sz w:val="24"/>
          <w:szCs w:val="24"/>
          <w:lang w:eastAsia="ar-SA"/>
        </w:rPr>
        <w:t>lietussargsugām</w:t>
      </w:r>
      <w:proofErr w:type="spellEnd"/>
      <w:r w:rsidRPr="00A07F29">
        <w:rPr>
          <w:rFonts w:ascii="Times New Roman" w:eastAsia="Calibri" w:hAnsi="Times New Roman" w:cs="Times New Roman"/>
          <w:color w:val="000000"/>
          <w:sz w:val="24"/>
          <w:szCs w:val="24"/>
          <w:lang w:eastAsia="ar-SA"/>
        </w:rPr>
        <w:t xml:space="preserve">. Daugavas upe uzskatāma par piemērotu dzīvotni šo </w:t>
      </w:r>
      <w:r w:rsidR="009B599C" w:rsidRPr="00A07F29">
        <w:rPr>
          <w:rFonts w:ascii="Times New Roman" w:eastAsia="Calibri" w:hAnsi="Times New Roman" w:cs="Times New Roman"/>
          <w:color w:val="000000"/>
          <w:sz w:val="24"/>
          <w:szCs w:val="24"/>
          <w:lang w:eastAsia="ar-SA"/>
        </w:rPr>
        <w:t xml:space="preserve">sugu </w:t>
      </w:r>
      <w:r w:rsidRPr="00A07F29">
        <w:rPr>
          <w:rFonts w:ascii="Times New Roman" w:eastAsia="Calibri" w:hAnsi="Times New Roman" w:cs="Times New Roman"/>
          <w:color w:val="000000"/>
          <w:sz w:val="24"/>
          <w:szCs w:val="24"/>
          <w:lang w:eastAsia="ar-SA"/>
        </w:rPr>
        <w:t xml:space="preserve">sastopamībai visā </w:t>
      </w:r>
      <w:r w:rsidR="00C12B08" w:rsidRPr="00A07F29">
        <w:rPr>
          <w:rFonts w:ascii="Times New Roman" w:eastAsia="Calibri" w:hAnsi="Times New Roman" w:cs="Times New Roman"/>
          <w:color w:val="000000"/>
          <w:sz w:val="24"/>
          <w:szCs w:val="24"/>
          <w:lang w:eastAsia="ar-SA"/>
        </w:rPr>
        <w:t>AAA</w:t>
      </w:r>
      <w:r w:rsidRPr="00A07F29">
        <w:rPr>
          <w:rFonts w:ascii="Times New Roman" w:eastAsia="Calibri" w:hAnsi="Times New Roman" w:cs="Times New Roman"/>
          <w:color w:val="000000"/>
          <w:sz w:val="24"/>
          <w:szCs w:val="24"/>
          <w:lang w:eastAsia="ar-SA"/>
        </w:rPr>
        <w:t xml:space="preserve"> teritorijā ietilpstošajā upes posmā</w:t>
      </w:r>
      <w:r w:rsidR="009B599C" w:rsidRPr="00A07F29">
        <w:rPr>
          <w:rFonts w:ascii="Times New Roman" w:eastAsia="Calibri" w:hAnsi="Times New Roman" w:cs="Times New Roman"/>
          <w:color w:val="000000"/>
          <w:sz w:val="24"/>
          <w:szCs w:val="24"/>
          <w:lang w:eastAsia="ar-SA"/>
        </w:rPr>
        <w:t xml:space="preserve"> (</w:t>
      </w:r>
      <w:r w:rsidR="00CE4830">
        <w:rPr>
          <w:rFonts w:ascii="Times New Roman" w:eastAsia="Calibri" w:hAnsi="Times New Roman" w:cs="Times New Roman"/>
          <w:color w:val="000000"/>
          <w:sz w:val="24"/>
          <w:szCs w:val="24"/>
          <w:lang w:eastAsia="ar-SA"/>
        </w:rPr>
        <w:t xml:space="preserve">skat. </w:t>
      </w:r>
      <w:r w:rsidR="009B599C" w:rsidRPr="00A07F29">
        <w:rPr>
          <w:rFonts w:ascii="Times New Roman" w:eastAsia="Calibri" w:hAnsi="Times New Roman" w:cs="Times New Roman"/>
          <w:color w:val="000000"/>
          <w:sz w:val="24"/>
          <w:szCs w:val="24"/>
          <w:lang w:eastAsia="ar-SA"/>
        </w:rPr>
        <w:t>4.7.1.1.</w:t>
      </w:r>
      <w:r w:rsidR="00CE4830">
        <w:rPr>
          <w:rFonts w:ascii="Times New Roman" w:eastAsia="Calibri" w:hAnsi="Times New Roman" w:cs="Times New Roman"/>
          <w:color w:val="000000"/>
          <w:sz w:val="24"/>
          <w:szCs w:val="24"/>
          <w:lang w:eastAsia="ar-SA"/>
        </w:rPr>
        <w:t> </w:t>
      </w:r>
      <w:r w:rsidR="009B599C" w:rsidRPr="00A07F29">
        <w:rPr>
          <w:rFonts w:ascii="Times New Roman" w:eastAsia="Calibri" w:hAnsi="Times New Roman" w:cs="Times New Roman"/>
          <w:color w:val="000000"/>
          <w:sz w:val="24"/>
          <w:szCs w:val="24"/>
          <w:lang w:eastAsia="ar-SA"/>
        </w:rPr>
        <w:t>att</w:t>
      </w:r>
      <w:r w:rsidR="00CE4830">
        <w:rPr>
          <w:rFonts w:ascii="Times New Roman" w:eastAsia="Calibri" w:hAnsi="Times New Roman" w:cs="Times New Roman"/>
          <w:color w:val="000000"/>
          <w:sz w:val="24"/>
          <w:szCs w:val="24"/>
          <w:lang w:eastAsia="ar-SA"/>
        </w:rPr>
        <w:t>ēls</w:t>
      </w:r>
      <w:r w:rsidR="009B599C" w:rsidRPr="00A07F29">
        <w:rPr>
          <w:rFonts w:ascii="Times New Roman" w:eastAsia="Calibri" w:hAnsi="Times New Roman" w:cs="Times New Roman"/>
          <w:color w:val="000000"/>
          <w:sz w:val="24"/>
          <w:szCs w:val="24"/>
          <w:lang w:eastAsia="ar-SA"/>
        </w:rPr>
        <w:t>)</w:t>
      </w:r>
      <w:r w:rsidRPr="00A07F29">
        <w:rPr>
          <w:rFonts w:ascii="Times New Roman" w:eastAsia="Calibri" w:hAnsi="Times New Roman" w:cs="Times New Roman"/>
          <w:color w:val="000000"/>
          <w:sz w:val="24"/>
          <w:szCs w:val="24"/>
          <w:lang w:eastAsia="ar-SA"/>
        </w:rPr>
        <w:t xml:space="preserve">. </w:t>
      </w:r>
      <w:r w:rsidRPr="00A07F29">
        <w:rPr>
          <w:rFonts w:ascii="Times New Roman" w:eastAsia="Times New Roman" w:hAnsi="Times New Roman" w:cs="Times New Roman"/>
          <w:color w:val="000000"/>
          <w:sz w:val="24"/>
          <w:szCs w:val="24"/>
          <w:lang w:eastAsia="ar-SA"/>
        </w:rPr>
        <w:t xml:space="preserve">Zaļā </w:t>
      </w:r>
      <w:proofErr w:type="spellStart"/>
      <w:r w:rsidRPr="00A07F29">
        <w:rPr>
          <w:rFonts w:ascii="Times New Roman" w:eastAsia="Times New Roman" w:hAnsi="Times New Roman" w:cs="Times New Roman"/>
          <w:color w:val="000000"/>
          <w:sz w:val="24"/>
          <w:szCs w:val="24"/>
          <w:lang w:eastAsia="ar-SA"/>
        </w:rPr>
        <w:t>upjuspāre</w:t>
      </w:r>
      <w:proofErr w:type="spellEnd"/>
      <w:r w:rsidRPr="00A07F29">
        <w:rPr>
          <w:rFonts w:ascii="Times New Roman" w:eastAsia="Calibri" w:hAnsi="Times New Roman" w:cs="Times New Roman"/>
          <w:color w:val="000000"/>
          <w:sz w:val="24"/>
          <w:szCs w:val="24"/>
          <w:lang w:eastAsia="ar-SA"/>
        </w:rPr>
        <w:t xml:space="preserve"> pašreiz ir zināma no dažām atradnēm, savukārt </w:t>
      </w:r>
      <w:proofErr w:type="spellStart"/>
      <w:r w:rsidRPr="00A07F29">
        <w:rPr>
          <w:rFonts w:ascii="Times New Roman" w:eastAsia="Calibri" w:hAnsi="Times New Roman" w:cs="Times New Roman"/>
          <w:color w:val="000000"/>
          <w:sz w:val="24"/>
          <w:szCs w:val="24"/>
          <w:lang w:eastAsia="ar-SA"/>
        </w:rPr>
        <w:t>dzeltenkāju</w:t>
      </w:r>
      <w:proofErr w:type="spellEnd"/>
      <w:r w:rsidRPr="00A07F29">
        <w:rPr>
          <w:rFonts w:ascii="Times New Roman" w:eastAsia="Calibri" w:hAnsi="Times New Roman" w:cs="Times New Roman"/>
          <w:color w:val="000000"/>
          <w:sz w:val="24"/>
          <w:szCs w:val="24"/>
          <w:lang w:eastAsia="ar-SA"/>
        </w:rPr>
        <w:t xml:space="preserve"> </w:t>
      </w:r>
      <w:proofErr w:type="spellStart"/>
      <w:r w:rsidRPr="00A07F29">
        <w:rPr>
          <w:rFonts w:ascii="Times New Roman" w:eastAsia="Calibri" w:hAnsi="Times New Roman" w:cs="Times New Roman"/>
          <w:color w:val="000000"/>
          <w:sz w:val="24"/>
          <w:szCs w:val="24"/>
          <w:lang w:eastAsia="ar-SA"/>
        </w:rPr>
        <w:t>upjuspāres</w:t>
      </w:r>
      <w:proofErr w:type="spellEnd"/>
      <w:r w:rsidRPr="00A07F29">
        <w:rPr>
          <w:rFonts w:ascii="Times New Roman" w:eastAsia="Calibri" w:hAnsi="Times New Roman" w:cs="Times New Roman"/>
          <w:color w:val="000000"/>
          <w:sz w:val="24"/>
          <w:szCs w:val="24"/>
          <w:lang w:eastAsia="ar-SA"/>
        </w:rPr>
        <w:t xml:space="preserve"> atradnes ir reģistrētas Daugavas krastos visā AAA “Augšdaugava</w:t>
      </w:r>
      <w:r w:rsidR="0062682E">
        <w:rPr>
          <w:rFonts w:ascii="Times New Roman" w:eastAsia="Calibri" w:hAnsi="Times New Roman" w:cs="Times New Roman"/>
          <w:color w:val="000000"/>
          <w:sz w:val="24"/>
          <w:szCs w:val="24"/>
          <w:lang w:eastAsia="ar-SA"/>
        </w:rPr>
        <w:t>”</w:t>
      </w:r>
      <w:r w:rsidRPr="00A07F29">
        <w:rPr>
          <w:rFonts w:ascii="Times New Roman" w:eastAsia="Calibri" w:hAnsi="Times New Roman" w:cs="Times New Roman"/>
          <w:color w:val="000000"/>
          <w:sz w:val="24"/>
          <w:szCs w:val="24"/>
          <w:lang w:eastAsia="ar-SA"/>
        </w:rPr>
        <w:t xml:space="preserve"> teritorijā. Vērtējot uzskaišu rezultātus, </w:t>
      </w:r>
      <w:proofErr w:type="spellStart"/>
      <w:r w:rsidRPr="00A07F29">
        <w:rPr>
          <w:rFonts w:ascii="Times New Roman" w:eastAsia="Calibri" w:hAnsi="Times New Roman" w:cs="Times New Roman"/>
          <w:color w:val="000000"/>
          <w:sz w:val="24"/>
          <w:szCs w:val="24"/>
          <w:lang w:eastAsia="ar-SA"/>
        </w:rPr>
        <w:t>dzeltenkāju</w:t>
      </w:r>
      <w:proofErr w:type="spellEnd"/>
      <w:r w:rsidRPr="00A07F29">
        <w:rPr>
          <w:rFonts w:ascii="Times New Roman" w:eastAsia="Calibri" w:hAnsi="Times New Roman" w:cs="Times New Roman"/>
          <w:color w:val="000000"/>
          <w:sz w:val="24"/>
          <w:szCs w:val="24"/>
          <w:lang w:eastAsia="ar-SA"/>
        </w:rPr>
        <w:t xml:space="preserve"> </w:t>
      </w:r>
      <w:proofErr w:type="spellStart"/>
      <w:r w:rsidRPr="00A07F29">
        <w:rPr>
          <w:rFonts w:ascii="Times New Roman" w:eastAsia="Calibri" w:hAnsi="Times New Roman" w:cs="Times New Roman"/>
          <w:color w:val="000000"/>
          <w:sz w:val="24"/>
          <w:szCs w:val="24"/>
          <w:lang w:eastAsia="ar-SA"/>
        </w:rPr>
        <w:t>upjuspāres</w:t>
      </w:r>
      <w:proofErr w:type="spellEnd"/>
      <w:r w:rsidRPr="00A07F29">
        <w:rPr>
          <w:rFonts w:ascii="Times New Roman" w:eastAsia="Calibri" w:hAnsi="Times New Roman" w:cs="Times New Roman"/>
          <w:color w:val="000000"/>
          <w:sz w:val="24"/>
          <w:szCs w:val="24"/>
          <w:lang w:eastAsia="ar-SA"/>
        </w:rPr>
        <w:t xml:space="preserve"> populācija teritorijā ir uzskatāma par stabilu, bet zaļā </w:t>
      </w:r>
      <w:proofErr w:type="spellStart"/>
      <w:r w:rsidRPr="00A07F29">
        <w:rPr>
          <w:rFonts w:ascii="Times New Roman" w:eastAsia="Calibri" w:hAnsi="Times New Roman" w:cs="Times New Roman"/>
          <w:color w:val="000000"/>
          <w:sz w:val="24"/>
          <w:szCs w:val="24"/>
          <w:lang w:eastAsia="ar-SA"/>
        </w:rPr>
        <w:t>upjuspāre</w:t>
      </w:r>
      <w:proofErr w:type="spellEnd"/>
      <w:r w:rsidRPr="00A07F29">
        <w:rPr>
          <w:rFonts w:ascii="Times New Roman" w:eastAsia="Calibri" w:hAnsi="Times New Roman" w:cs="Times New Roman"/>
          <w:color w:val="000000"/>
          <w:sz w:val="24"/>
          <w:szCs w:val="24"/>
          <w:lang w:eastAsia="ar-SA"/>
        </w:rPr>
        <w:t xml:space="preserve"> ir salīdzinoši retāk sastopama</w:t>
      </w:r>
      <w:r w:rsidR="0062682E">
        <w:rPr>
          <w:rFonts w:ascii="Times New Roman" w:eastAsia="Calibri" w:hAnsi="Times New Roman" w:cs="Times New Roman"/>
          <w:color w:val="000000"/>
          <w:sz w:val="24"/>
          <w:szCs w:val="24"/>
          <w:lang w:eastAsia="ar-SA"/>
        </w:rPr>
        <w:t>,</w:t>
      </w:r>
      <w:r w:rsidRPr="00A07F29">
        <w:rPr>
          <w:rFonts w:ascii="Times New Roman" w:eastAsia="Calibri" w:hAnsi="Times New Roman" w:cs="Times New Roman"/>
          <w:color w:val="000000"/>
          <w:sz w:val="24"/>
          <w:szCs w:val="24"/>
          <w:lang w:eastAsia="ar-SA"/>
        </w:rPr>
        <w:t xml:space="preserve"> līdz ar to nav iespējams izvērtēt populācijas lielumu.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9072CE" w:rsidRPr="00A07F29" w14:paraId="07647F33" w14:textId="77777777" w:rsidTr="63C42FA1">
        <w:tc>
          <w:tcPr>
            <w:tcW w:w="4677" w:type="dxa"/>
          </w:tcPr>
          <w:p w14:paraId="7E4111C0" w14:textId="5041A95F" w:rsidR="009072CE" w:rsidRPr="00A07F29" w:rsidRDefault="009072CE" w:rsidP="009072CE">
            <w:pPr>
              <w:jc w:val="both"/>
              <w:rPr>
                <w:rFonts w:cs="Times New Roman"/>
                <w:color w:val="000000" w:themeColor="text1"/>
              </w:rPr>
            </w:pPr>
            <w:r w:rsidRPr="00A07F29">
              <w:rPr>
                <w:noProof/>
                <w:lang w:eastAsia="lv-LV"/>
              </w:rPr>
              <w:drawing>
                <wp:inline distT="0" distB="0" distL="0" distR="0" wp14:anchorId="46CC985C" wp14:editId="0EF737C8">
                  <wp:extent cx="2941320" cy="1960880"/>
                  <wp:effectExtent l="0" t="0" r="0" b="1270"/>
                  <wp:docPr id="918145569" name="Picture 2" descr="Z:\Family\Uldis\Uldis\Dabas_eksperts\Natura_monitorings\Natura_monitorings_2017\BM_Atskaite_LEB_Natura_2017_Valainis\Augsdaugava_Ophiogomphus_2017\Augsdaugava_fotografijas_Ophiogomphus_2017\Daugavas_up_D\Augsdaugava_Daugavas_up_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68">
                            <a:extLst>
                              <a:ext uri="{28A0092B-C50C-407E-A947-70E740481C1C}">
                                <a14:useLocalDpi xmlns:a14="http://schemas.microsoft.com/office/drawing/2010/main"/>
                              </a:ext>
                            </a:extLst>
                          </a:blip>
                          <a:stretch>
                            <a:fillRect/>
                          </a:stretch>
                        </pic:blipFill>
                        <pic:spPr>
                          <a:xfrm>
                            <a:off x="0" y="0"/>
                            <a:ext cx="2941320" cy="1960880"/>
                          </a:xfrm>
                          <a:prstGeom prst="rect">
                            <a:avLst/>
                          </a:prstGeom>
                        </pic:spPr>
                      </pic:pic>
                    </a:graphicData>
                  </a:graphic>
                </wp:inline>
              </w:drawing>
            </w:r>
          </w:p>
        </w:tc>
        <w:tc>
          <w:tcPr>
            <w:tcW w:w="4676" w:type="dxa"/>
          </w:tcPr>
          <w:p w14:paraId="2152FA99" w14:textId="51396C69" w:rsidR="009072CE" w:rsidRPr="00A07F29" w:rsidRDefault="009072CE" w:rsidP="009072CE">
            <w:pPr>
              <w:jc w:val="both"/>
              <w:rPr>
                <w:rFonts w:cs="Times New Roman"/>
                <w:color w:val="000000" w:themeColor="text1"/>
              </w:rPr>
            </w:pPr>
            <w:r w:rsidRPr="00A07F29">
              <w:rPr>
                <w:rFonts w:cs="Times New Roman"/>
                <w:noProof/>
                <w:color w:val="000000" w:themeColor="text1"/>
                <w:lang w:eastAsia="lv-LV"/>
              </w:rPr>
              <w:drawing>
                <wp:inline distT="0" distB="0" distL="0" distR="0" wp14:anchorId="73B480CB" wp14:editId="38491A12">
                  <wp:extent cx="2941028" cy="1960880"/>
                  <wp:effectExtent l="0" t="0" r="0" b="1270"/>
                  <wp:docPr id="918145570" name="Picture 9" descr="Z:\Family\Uldis\Uldis\Dabas_eksperts\Dabas_foto\Dzivnieki\Bezmugurkaulnieki\Spares\Gomphus_flavipes\IMG_70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Z:\Family\Uldis\Uldis\Dabas_eksperts\Dabas_foto\Dzivnieki\Bezmugurkaulnieki\Spares\Gomphus_flavipes\IMG_7088.JPG"/>
                          <pic:cNvPicPr>
                            <a:picLocks noChangeAspect="1" noChangeArrowheads="1"/>
                          </pic:cNvPicPr>
                        </pic:nvPicPr>
                        <pic:blipFill rotWithShape="1">
                          <a:blip r:embed="rId69" cstate="email">
                            <a:extLst>
                              <a:ext uri="{28A0092B-C50C-407E-A947-70E740481C1C}">
                                <a14:useLocalDpi xmlns:a14="http://schemas.microsoft.com/office/drawing/2010/main"/>
                              </a:ext>
                            </a:extLst>
                          </a:blip>
                          <a:srcRect l="22070" t="31927" r="23680" b="13816"/>
                          <a:stretch/>
                        </pic:blipFill>
                        <pic:spPr bwMode="auto">
                          <a:xfrm>
                            <a:off x="0" y="0"/>
                            <a:ext cx="2941825" cy="196141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072CE" w:rsidRPr="00A07F29" w14:paraId="14AEF3BF" w14:textId="77777777" w:rsidTr="63C42FA1">
        <w:tc>
          <w:tcPr>
            <w:tcW w:w="4677" w:type="dxa"/>
          </w:tcPr>
          <w:p w14:paraId="3570832C" w14:textId="288B736B" w:rsidR="009072CE" w:rsidRPr="00515626" w:rsidRDefault="009072CE" w:rsidP="00F62C2C">
            <w:pPr>
              <w:jc w:val="both"/>
              <w:rPr>
                <w:rFonts w:ascii="Times New Roman" w:hAnsi="Times New Roman" w:cs="Times New Roman"/>
                <w:iCs/>
                <w:color w:val="000000" w:themeColor="text1"/>
                <w:sz w:val="20"/>
                <w:szCs w:val="20"/>
              </w:rPr>
            </w:pPr>
            <w:r w:rsidRPr="00515626">
              <w:rPr>
                <w:rFonts w:ascii="Times New Roman" w:hAnsi="Times New Roman" w:cs="Times New Roman"/>
                <w:iCs/>
                <w:color w:val="000000" w:themeColor="text1"/>
                <w:sz w:val="20"/>
                <w:szCs w:val="20"/>
              </w:rPr>
              <w:t>4.</w:t>
            </w:r>
            <w:r w:rsidR="00F62C2C" w:rsidRPr="00515626">
              <w:rPr>
                <w:rFonts w:ascii="Times New Roman" w:hAnsi="Times New Roman" w:cs="Times New Roman"/>
                <w:iCs/>
                <w:color w:val="000000" w:themeColor="text1"/>
                <w:sz w:val="20"/>
                <w:szCs w:val="20"/>
              </w:rPr>
              <w:t>7</w:t>
            </w:r>
            <w:r w:rsidRPr="00515626">
              <w:rPr>
                <w:rFonts w:ascii="Times New Roman" w:hAnsi="Times New Roman" w:cs="Times New Roman"/>
                <w:iCs/>
                <w:color w:val="000000" w:themeColor="text1"/>
                <w:sz w:val="20"/>
                <w:szCs w:val="20"/>
              </w:rPr>
              <w:t>.1.1.</w:t>
            </w:r>
            <w:r w:rsidR="00DE0309" w:rsidRPr="00515626">
              <w:rPr>
                <w:rFonts w:ascii="Times New Roman" w:hAnsi="Times New Roman" w:cs="Times New Roman"/>
                <w:iCs/>
                <w:color w:val="000000" w:themeColor="text1"/>
                <w:sz w:val="20"/>
                <w:szCs w:val="20"/>
              </w:rPr>
              <w:t> </w:t>
            </w:r>
            <w:r w:rsidRPr="00515626">
              <w:rPr>
                <w:rFonts w:ascii="Times New Roman" w:hAnsi="Times New Roman" w:cs="Times New Roman"/>
                <w:iCs/>
                <w:color w:val="000000" w:themeColor="text1"/>
                <w:sz w:val="20"/>
                <w:szCs w:val="20"/>
              </w:rPr>
              <w:t xml:space="preserve">attēls. Zaļajai </w:t>
            </w:r>
            <w:proofErr w:type="spellStart"/>
            <w:r w:rsidRPr="00515626">
              <w:rPr>
                <w:rFonts w:ascii="Times New Roman" w:hAnsi="Times New Roman" w:cs="Times New Roman"/>
                <w:iCs/>
                <w:color w:val="000000" w:themeColor="text1"/>
                <w:sz w:val="20"/>
                <w:szCs w:val="20"/>
              </w:rPr>
              <w:t>upjuspārei</w:t>
            </w:r>
            <w:proofErr w:type="spellEnd"/>
            <w:r w:rsidRPr="00515626">
              <w:rPr>
                <w:rFonts w:ascii="Times New Roman" w:hAnsi="Times New Roman" w:cs="Times New Roman"/>
                <w:iCs/>
                <w:color w:val="000000" w:themeColor="text1"/>
                <w:sz w:val="20"/>
                <w:szCs w:val="20"/>
              </w:rPr>
              <w:t xml:space="preserve"> un </w:t>
            </w:r>
            <w:proofErr w:type="spellStart"/>
            <w:r w:rsidRPr="00515626">
              <w:rPr>
                <w:rFonts w:ascii="Times New Roman" w:hAnsi="Times New Roman" w:cs="Times New Roman"/>
                <w:iCs/>
                <w:color w:val="000000" w:themeColor="text1"/>
                <w:sz w:val="20"/>
                <w:szCs w:val="20"/>
              </w:rPr>
              <w:t>dzeltenkāju</w:t>
            </w:r>
            <w:proofErr w:type="spellEnd"/>
            <w:r w:rsidRPr="00515626">
              <w:rPr>
                <w:rFonts w:ascii="Times New Roman" w:hAnsi="Times New Roman" w:cs="Times New Roman"/>
                <w:iCs/>
                <w:color w:val="000000" w:themeColor="text1"/>
                <w:sz w:val="20"/>
                <w:szCs w:val="20"/>
              </w:rPr>
              <w:t xml:space="preserve"> </w:t>
            </w:r>
            <w:proofErr w:type="spellStart"/>
            <w:r w:rsidRPr="00515626">
              <w:rPr>
                <w:rFonts w:ascii="Times New Roman" w:hAnsi="Times New Roman" w:cs="Times New Roman"/>
                <w:iCs/>
                <w:color w:val="000000" w:themeColor="text1"/>
                <w:sz w:val="20"/>
                <w:szCs w:val="20"/>
              </w:rPr>
              <w:t>upjuspārei</w:t>
            </w:r>
            <w:proofErr w:type="spellEnd"/>
            <w:r w:rsidRPr="00515626">
              <w:rPr>
                <w:rFonts w:ascii="Times New Roman" w:hAnsi="Times New Roman" w:cs="Times New Roman"/>
                <w:iCs/>
                <w:color w:val="000000" w:themeColor="text1"/>
                <w:sz w:val="20"/>
                <w:szCs w:val="20"/>
              </w:rPr>
              <w:t xml:space="preserve"> piemērots Daugavas posms pie </w:t>
            </w:r>
            <w:proofErr w:type="spellStart"/>
            <w:r w:rsidRPr="00515626">
              <w:rPr>
                <w:rFonts w:ascii="Times New Roman" w:hAnsi="Times New Roman" w:cs="Times New Roman"/>
                <w:iCs/>
                <w:color w:val="000000" w:themeColor="text1"/>
                <w:sz w:val="20"/>
                <w:szCs w:val="20"/>
              </w:rPr>
              <w:t>Skerškāniem</w:t>
            </w:r>
            <w:proofErr w:type="spellEnd"/>
            <w:r w:rsidRPr="00515626">
              <w:rPr>
                <w:rFonts w:ascii="Times New Roman" w:hAnsi="Times New Roman" w:cs="Times New Roman"/>
                <w:iCs/>
                <w:color w:val="000000" w:themeColor="text1"/>
                <w:sz w:val="20"/>
                <w:szCs w:val="20"/>
              </w:rPr>
              <w:t xml:space="preserve"> (Foto: U.</w:t>
            </w:r>
            <w:r w:rsidR="00515626" w:rsidRPr="00515626">
              <w:rPr>
                <w:rFonts w:ascii="Times New Roman" w:hAnsi="Times New Roman" w:cs="Times New Roman"/>
                <w:iCs/>
                <w:color w:val="000000" w:themeColor="text1"/>
                <w:sz w:val="20"/>
                <w:szCs w:val="20"/>
              </w:rPr>
              <w:t> </w:t>
            </w:r>
            <w:r w:rsidRPr="00515626">
              <w:rPr>
                <w:rFonts w:ascii="Times New Roman" w:hAnsi="Times New Roman" w:cs="Times New Roman"/>
                <w:iCs/>
                <w:color w:val="000000" w:themeColor="text1"/>
                <w:sz w:val="20"/>
                <w:szCs w:val="20"/>
              </w:rPr>
              <w:t>Valainis)</w:t>
            </w:r>
          </w:p>
        </w:tc>
        <w:tc>
          <w:tcPr>
            <w:tcW w:w="4676" w:type="dxa"/>
          </w:tcPr>
          <w:p w14:paraId="3864F8F0" w14:textId="0D7D539C" w:rsidR="009072CE" w:rsidRPr="00DE0309" w:rsidRDefault="009072CE" w:rsidP="00F62C2C">
            <w:pPr>
              <w:jc w:val="both"/>
              <w:rPr>
                <w:rFonts w:ascii="Times New Roman" w:hAnsi="Times New Roman" w:cs="Times New Roman"/>
                <w:iCs/>
                <w:color w:val="000000" w:themeColor="text1"/>
                <w:sz w:val="20"/>
                <w:szCs w:val="20"/>
              </w:rPr>
            </w:pPr>
            <w:r w:rsidRPr="00DE0309">
              <w:rPr>
                <w:rFonts w:ascii="Times New Roman" w:eastAsia="Calibri" w:hAnsi="Times New Roman" w:cs="Times New Roman"/>
                <w:iCs/>
                <w:color w:val="000000"/>
                <w:sz w:val="20"/>
                <w:szCs w:val="20"/>
                <w:lang w:eastAsia="ar-SA"/>
              </w:rPr>
              <w:t>4.</w:t>
            </w:r>
            <w:r w:rsidR="00F62C2C" w:rsidRPr="00DE0309">
              <w:rPr>
                <w:rFonts w:ascii="Times New Roman" w:eastAsia="Calibri" w:hAnsi="Times New Roman" w:cs="Times New Roman"/>
                <w:iCs/>
                <w:color w:val="000000"/>
                <w:sz w:val="20"/>
                <w:szCs w:val="20"/>
                <w:lang w:eastAsia="ar-SA"/>
              </w:rPr>
              <w:t>7</w:t>
            </w:r>
            <w:r w:rsidRPr="00DE0309">
              <w:rPr>
                <w:rFonts w:ascii="Times New Roman" w:eastAsia="Calibri" w:hAnsi="Times New Roman" w:cs="Times New Roman"/>
                <w:iCs/>
                <w:color w:val="000000"/>
                <w:sz w:val="20"/>
                <w:szCs w:val="20"/>
                <w:lang w:eastAsia="ar-SA"/>
              </w:rPr>
              <w:t>.1.</w:t>
            </w:r>
            <w:r w:rsidRPr="00DE0309">
              <w:rPr>
                <w:rFonts w:ascii="Times New Roman" w:hAnsi="Times New Roman" w:cs="Times New Roman"/>
                <w:iCs/>
                <w:color w:val="000000" w:themeColor="text1"/>
                <w:sz w:val="20"/>
                <w:szCs w:val="20"/>
              </w:rPr>
              <w:t>2.</w:t>
            </w:r>
            <w:r w:rsidR="00DE0309" w:rsidRPr="00DE0309">
              <w:rPr>
                <w:rFonts w:ascii="Times New Roman" w:hAnsi="Times New Roman" w:cs="Times New Roman"/>
                <w:iCs/>
                <w:color w:val="000000" w:themeColor="text1"/>
                <w:sz w:val="20"/>
                <w:szCs w:val="20"/>
              </w:rPr>
              <w:t> </w:t>
            </w:r>
            <w:r w:rsidRPr="00DE0309">
              <w:rPr>
                <w:rFonts w:ascii="Times New Roman" w:hAnsi="Times New Roman" w:cs="Times New Roman"/>
                <w:iCs/>
                <w:color w:val="000000" w:themeColor="text1"/>
                <w:sz w:val="20"/>
                <w:szCs w:val="20"/>
              </w:rPr>
              <w:t xml:space="preserve">attēls. </w:t>
            </w:r>
            <w:proofErr w:type="spellStart"/>
            <w:r w:rsidRPr="00DE0309">
              <w:rPr>
                <w:rFonts w:ascii="Times New Roman" w:hAnsi="Times New Roman" w:cs="Times New Roman"/>
                <w:iCs/>
                <w:color w:val="000000" w:themeColor="text1"/>
                <w:sz w:val="20"/>
                <w:szCs w:val="20"/>
              </w:rPr>
              <w:t>Dzeltenkāju</w:t>
            </w:r>
            <w:proofErr w:type="spellEnd"/>
            <w:r w:rsidRPr="00DE0309">
              <w:rPr>
                <w:rFonts w:ascii="Times New Roman" w:hAnsi="Times New Roman" w:cs="Times New Roman"/>
                <w:iCs/>
                <w:color w:val="000000" w:themeColor="text1"/>
                <w:sz w:val="20"/>
                <w:szCs w:val="20"/>
              </w:rPr>
              <w:t xml:space="preserve"> </w:t>
            </w:r>
            <w:proofErr w:type="spellStart"/>
            <w:r w:rsidRPr="00DE0309">
              <w:rPr>
                <w:rFonts w:ascii="Times New Roman" w:hAnsi="Times New Roman" w:cs="Times New Roman"/>
                <w:iCs/>
                <w:color w:val="000000" w:themeColor="text1"/>
                <w:sz w:val="20"/>
                <w:szCs w:val="20"/>
              </w:rPr>
              <w:t>upjuspāres</w:t>
            </w:r>
            <w:proofErr w:type="spellEnd"/>
            <w:r w:rsidRPr="00DE0309">
              <w:rPr>
                <w:rFonts w:ascii="Times New Roman" w:hAnsi="Times New Roman" w:cs="Times New Roman"/>
                <w:iCs/>
                <w:color w:val="000000" w:themeColor="text1"/>
                <w:sz w:val="20"/>
                <w:szCs w:val="20"/>
              </w:rPr>
              <w:t xml:space="preserve"> tēviņš (Foto: U.</w:t>
            </w:r>
            <w:r w:rsidR="00DE0309" w:rsidRPr="00DE0309">
              <w:rPr>
                <w:rFonts w:ascii="Times New Roman" w:hAnsi="Times New Roman" w:cs="Times New Roman"/>
                <w:iCs/>
                <w:color w:val="000000" w:themeColor="text1"/>
                <w:sz w:val="20"/>
                <w:szCs w:val="20"/>
              </w:rPr>
              <w:t> </w:t>
            </w:r>
            <w:r w:rsidRPr="00DE0309">
              <w:rPr>
                <w:rFonts w:ascii="Times New Roman" w:hAnsi="Times New Roman" w:cs="Times New Roman"/>
                <w:iCs/>
                <w:color w:val="000000" w:themeColor="text1"/>
                <w:sz w:val="20"/>
                <w:szCs w:val="20"/>
              </w:rPr>
              <w:t>Valainis)</w:t>
            </w:r>
          </w:p>
        </w:tc>
      </w:tr>
    </w:tbl>
    <w:p w14:paraId="16C990B9" w14:textId="62C28C2F" w:rsidR="008F3647" w:rsidRPr="00A07F29" w:rsidRDefault="008F3647" w:rsidP="009072CE">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292B7227" w14:textId="1C858C1F" w:rsidR="009B599C" w:rsidRPr="00A07F29" w:rsidRDefault="009072CE" w:rsidP="00F62C2C">
      <w:pPr>
        <w:autoSpaceDE w:val="0"/>
        <w:autoSpaceDN w:val="0"/>
        <w:adjustRightInd w:val="0"/>
        <w:spacing w:after="120" w:line="240" w:lineRule="auto"/>
        <w:ind w:firstLine="851"/>
        <w:jc w:val="both"/>
        <w:rPr>
          <w:rFonts w:ascii="Times New Roman" w:eastAsia="Calibri" w:hAnsi="Times New Roman" w:cs="Times New Roman"/>
          <w:color w:val="000000"/>
          <w:sz w:val="24"/>
          <w:szCs w:val="24"/>
          <w:lang w:eastAsia="ar-SA"/>
        </w:rPr>
      </w:pPr>
      <w:r w:rsidRPr="00A07F29">
        <w:rPr>
          <w:rFonts w:ascii="Times New Roman" w:eastAsia="Calibri" w:hAnsi="Times New Roman" w:cs="Times New Roman"/>
          <w:b/>
          <w:color w:val="000000"/>
          <w:sz w:val="24"/>
          <w:szCs w:val="24"/>
          <w:lang w:eastAsia="ar-SA"/>
        </w:rPr>
        <w:t xml:space="preserve">Zaļā </w:t>
      </w:r>
      <w:proofErr w:type="spellStart"/>
      <w:r w:rsidRPr="00A07F29">
        <w:rPr>
          <w:rFonts w:ascii="Times New Roman" w:eastAsia="Calibri" w:hAnsi="Times New Roman" w:cs="Times New Roman"/>
          <w:b/>
          <w:color w:val="000000"/>
          <w:sz w:val="24"/>
          <w:szCs w:val="24"/>
          <w:lang w:eastAsia="ar-SA"/>
        </w:rPr>
        <w:t>dižspāre</w:t>
      </w:r>
      <w:proofErr w:type="spellEnd"/>
      <w:r w:rsidRPr="00A07F29">
        <w:rPr>
          <w:rFonts w:ascii="Times New Roman" w:eastAsia="Calibri" w:hAnsi="Times New Roman" w:cs="Times New Roman"/>
          <w:b/>
          <w:color w:val="000000"/>
          <w:sz w:val="24"/>
          <w:szCs w:val="24"/>
          <w:lang w:eastAsia="ar-SA"/>
        </w:rPr>
        <w:t xml:space="preserve"> </w:t>
      </w:r>
      <w:proofErr w:type="spellStart"/>
      <w:r w:rsidRPr="00A07F29">
        <w:rPr>
          <w:rFonts w:ascii="Times New Roman" w:eastAsia="Calibri" w:hAnsi="Times New Roman" w:cs="Times New Roman"/>
          <w:b/>
          <w:i/>
          <w:iCs/>
          <w:color w:val="000000"/>
          <w:sz w:val="24"/>
          <w:szCs w:val="24"/>
          <w:lang w:eastAsia="ar-SA"/>
        </w:rPr>
        <w:t>Aeshna</w:t>
      </w:r>
      <w:proofErr w:type="spellEnd"/>
      <w:r w:rsidRPr="00A07F29">
        <w:rPr>
          <w:rFonts w:ascii="Times New Roman" w:eastAsia="Calibri" w:hAnsi="Times New Roman" w:cs="Times New Roman"/>
          <w:b/>
          <w:i/>
          <w:iCs/>
          <w:color w:val="000000"/>
          <w:sz w:val="24"/>
          <w:szCs w:val="24"/>
          <w:lang w:eastAsia="ar-SA"/>
        </w:rPr>
        <w:t xml:space="preserve"> </w:t>
      </w:r>
      <w:proofErr w:type="spellStart"/>
      <w:r w:rsidRPr="00A07F29">
        <w:rPr>
          <w:rFonts w:ascii="Times New Roman" w:eastAsia="Calibri" w:hAnsi="Times New Roman" w:cs="Times New Roman"/>
          <w:b/>
          <w:i/>
          <w:iCs/>
          <w:color w:val="000000"/>
          <w:sz w:val="24"/>
          <w:szCs w:val="24"/>
          <w:lang w:eastAsia="ar-SA"/>
        </w:rPr>
        <w:t>viridis</w:t>
      </w:r>
      <w:proofErr w:type="spellEnd"/>
      <w:r w:rsidRPr="00A07F29">
        <w:rPr>
          <w:rFonts w:ascii="Times New Roman" w:eastAsia="Calibri" w:hAnsi="Times New Roman" w:cs="Times New Roman"/>
          <w:color w:val="000000"/>
          <w:sz w:val="24"/>
          <w:szCs w:val="24"/>
          <w:lang w:eastAsia="ar-SA"/>
        </w:rPr>
        <w:t xml:space="preserve"> pamatā apdzīvo stāvošas ūdenstilpes – ezerus, </w:t>
      </w:r>
      <w:proofErr w:type="spellStart"/>
      <w:r w:rsidRPr="00A07F29">
        <w:rPr>
          <w:rFonts w:ascii="Times New Roman" w:eastAsia="Calibri" w:hAnsi="Times New Roman" w:cs="Times New Roman"/>
          <w:color w:val="000000"/>
          <w:sz w:val="24"/>
          <w:szCs w:val="24"/>
          <w:lang w:eastAsia="ar-SA"/>
        </w:rPr>
        <w:t>vecupes</w:t>
      </w:r>
      <w:proofErr w:type="spellEnd"/>
      <w:r w:rsidRPr="00A07F29">
        <w:rPr>
          <w:rFonts w:ascii="Times New Roman" w:eastAsia="Calibri" w:hAnsi="Times New Roman" w:cs="Times New Roman"/>
          <w:color w:val="000000"/>
          <w:sz w:val="24"/>
          <w:szCs w:val="24"/>
          <w:lang w:eastAsia="ar-SA"/>
        </w:rPr>
        <w:t xml:space="preserve"> un dīķus ar parastā </w:t>
      </w:r>
      <w:proofErr w:type="spellStart"/>
      <w:r w:rsidRPr="00A07F29">
        <w:rPr>
          <w:rFonts w:ascii="Times New Roman" w:eastAsia="Calibri" w:hAnsi="Times New Roman" w:cs="Times New Roman"/>
          <w:color w:val="000000"/>
          <w:sz w:val="24"/>
          <w:szCs w:val="24"/>
          <w:lang w:eastAsia="ar-SA"/>
        </w:rPr>
        <w:t>elša</w:t>
      </w:r>
      <w:proofErr w:type="spellEnd"/>
      <w:r w:rsidRPr="00A07F29">
        <w:rPr>
          <w:rFonts w:ascii="Times New Roman" w:eastAsia="Calibri" w:hAnsi="Times New Roman" w:cs="Times New Roman"/>
          <w:color w:val="000000"/>
          <w:sz w:val="24"/>
          <w:szCs w:val="24"/>
          <w:lang w:eastAsia="ar-SA"/>
        </w:rPr>
        <w:t xml:space="preserve"> </w:t>
      </w:r>
      <w:proofErr w:type="spellStart"/>
      <w:r w:rsidRPr="00A07F29">
        <w:rPr>
          <w:rFonts w:ascii="Times New Roman" w:eastAsia="Calibri" w:hAnsi="Times New Roman" w:cs="Times New Roman"/>
          <w:i/>
          <w:iCs/>
          <w:color w:val="000000"/>
          <w:sz w:val="24"/>
          <w:szCs w:val="24"/>
          <w:lang w:eastAsia="ar-SA"/>
        </w:rPr>
        <w:t>Stratiotes</w:t>
      </w:r>
      <w:proofErr w:type="spellEnd"/>
      <w:r w:rsidRPr="00A07F29">
        <w:rPr>
          <w:rFonts w:ascii="Times New Roman" w:eastAsia="Calibri" w:hAnsi="Times New Roman" w:cs="Times New Roman"/>
          <w:i/>
          <w:iCs/>
          <w:color w:val="000000"/>
          <w:sz w:val="24"/>
          <w:szCs w:val="24"/>
          <w:lang w:eastAsia="ar-SA"/>
        </w:rPr>
        <w:t xml:space="preserve"> </w:t>
      </w:r>
      <w:proofErr w:type="spellStart"/>
      <w:r w:rsidRPr="00A07F29">
        <w:rPr>
          <w:rFonts w:ascii="Times New Roman" w:eastAsia="Calibri" w:hAnsi="Times New Roman" w:cs="Times New Roman"/>
          <w:i/>
          <w:iCs/>
          <w:color w:val="000000"/>
          <w:sz w:val="24"/>
          <w:szCs w:val="24"/>
          <w:lang w:eastAsia="ar-SA"/>
        </w:rPr>
        <w:t>aloides</w:t>
      </w:r>
      <w:proofErr w:type="spellEnd"/>
      <w:r w:rsidRPr="00A07F29">
        <w:rPr>
          <w:rFonts w:ascii="Times New Roman" w:eastAsia="Calibri" w:hAnsi="Times New Roman" w:cs="Times New Roman"/>
          <w:color w:val="000000"/>
          <w:sz w:val="24"/>
          <w:szCs w:val="24"/>
          <w:lang w:eastAsia="ar-SA"/>
        </w:rPr>
        <w:t xml:space="preserve"> audzēm (Kalniņš</w:t>
      </w:r>
      <w:r w:rsidR="0062682E">
        <w:rPr>
          <w:rFonts w:ascii="Times New Roman" w:eastAsia="Calibri" w:hAnsi="Times New Roman" w:cs="Times New Roman"/>
          <w:color w:val="000000"/>
          <w:sz w:val="24"/>
          <w:szCs w:val="24"/>
          <w:lang w:eastAsia="ar-SA"/>
        </w:rPr>
        <w:t xml:space="preserve"> M.,</w:t>
      </w:r>
      <w:r w:rsidRPr="00A07F29">
        <w:rPr>
          <w:rFonts w:ascii="Times New Roman" w:eastAsia="Calibri" w:hAnsi="Times New Roman" w:cs="Times New Roman"/>
          <w:color w:val="000000"/>
          <w:sz w:val="24"/>
          <w:szCs w:val="24"/>
          <w:lang w:eastAsia="ar-SA"/>
        </w:rPr>
        <w:t xml:space="preserve"> 2017)</w:t>
      </w:r>
      <w:r w:rsidR="009B599C" w:rsidRPr="00A07F29">
        <w:rPr>
          <w:rFonts w:ascii="Times New Roman" w:eastAsia="Calibri" w:hAnsi="Times New Roman" w:cs="Times New Roman"/>
          <w:color w:val="000000"/>
          <w:sz w:val="24"/>
          <w:szCs w:val="24"/>
          <w:lang w:eastAsia="ar-SA"/>
        </w:rPr>
        <w:t xml:space="preserve"> un ir uzskatāma</w:t>
      </w:r>
      <w:r w:rsidRPr="00A07F29">
        <w:rPr>
          <w:rFonts w:ascii="Times New Roman" w:eastAsia="Calibri" w:hAnsi="Times New Roman" w:cs="Times New Roman"/>
          <w:color w:val="000000"/>
          <w:sz w:val="24"/>
          <w:szCs w:val="24"/>
          <w:lang w:eastAsia="ar-SA"/>
        </w:rPr>
        <w:t xml:space="preserve"> par ES nozīmes aizsargājamā biotopa 3150</w:t>
      </w:r>
      <w:r w:rsidR="0073744E">
        <w:rPr>
          <w:rFonts w:ascii="Times New Roman" w:eastAsia="Calibri" w:hAnsi="Times New Roman" w:cs="Times New Roman"/>
          <w:color w:val="000000"/>
          <w:sz w:val="24"/>
          <w:szCs w:val="24"/>
          <w:lang w:eastAsia="ar-SA"/>
        </w:rPr>
        <w:t> </w:t>
      </w:r>
      <w:proofErr w:type="spellStart"/>
      <w:r w:rsidRPr="00A07F29">
        <w:rPr>
          <w:rFonts w:ascii="Times New Roman" w:eastAsia="Calibri" w:hAnsi="Times New Roman" w:cs="Times New Roman"/>
          <w:i/>
          <w:iCs/>
          <w:color w:val="000000"/>
          <w:sz w:val="24"/>
          <w:szCs w:val="24"/>
          <w:lang w:eastAsia="ar-SA"/>
        </w:rPr>
        <w:t>Eitrofi</w:t>
      </w:r>
      <w:proofErr w:type="spellEnd"/>
      <w:r w:rsidRPr="00A07F29">
        <w:rPr>
          <w:rFonts w:ascii="Times New Roman" w:eastAsia="Calibri" w:hAnsi="Times New Roman" w:cs="Times New Roman"/>
          <w:i/>
          <w:iCs/>
          <w:color w:val="000000"/>
          <w:sz w:val="24"/>
          <w:szCs w:val="24"/>
          <w:lang w:eastAsia="ar-SA"/>
        </w:rPr>
        <w:t xml:space="preserve"> ezeri ar iegrimušo ūdensaugu un </w:t>
      </w:r>
      <w:proofErr w:type="spellStart"/>
      <w:r w:rsidRPr="00A07F29">
        <w:rPr>
          <w:rFonts w:ascii="Times New Roman" w:eastAsia="Calibri" w:hAnsi="Times New Roman" w:cs="Times New Roman"/>
          <w:i/>
          <w:iCs/>
          <w:color w:val="000000"/>
          <w:sz w:val="24"/>
          <w:szCs w:val="24"/>
          <w:lang w:eastAsia="ar-SA"/>
        </w:rPr>
        <w:t>peldaugu</w:t>
      </w:r>
      <w:proofErr w:type="spellEnd"/>
      <w:r w:rsidRPr="00A07F29">
        <w:rPr>
          <w:rFonts w:ascii="Times New Roman" w:eastAsia="Calibri" w:hAnsi="Times New Roman" w:cs="Times New Roman"/>
          <w:i/>
          <w:iCs/>
          <w:color w:val="000000"/>
          <w:sz w:val="24"/>
          <w:szCs w:val="24"/>
          <w:lang w:eastAsia="ar-SA"/>
        </w:rPr>
        <w:t xml:space="preserve"> augāju</w:t>
      </w:r>
      <w:r w:rsidRPr="00A07F29">
        <w:rPr>
          <w:rFonts w:ascii="Times New Roman" w:eastAsia="Calibri" w:hAnsi="Times New Roman" w:cs="Times New Roman"/>
          <w:color w:val="000000"/>
          <w:sz w:val="24"/>
          <w:szCs w:val="24"/>
          <w:lang w:eastAsia="ar-SA"/>
        </w:rPr>
        <w:t xml:space="preserve"> </w:t>
      </w:r>
      <w:proofErr w:type="spellStart"/>
      <w:r w:rsidRPr="00A07F29">
        <w:rPr>
          <w:rFonts w:ascii="Times New Roman" w:eastAsia="Calibri" w:hAnsi="Times New Roman" w:cs="Times New Roman"/>
          <w:color w:val="000000"/>
          <w:sz w:val="24"/>
          <w:szCs w:val="24"/>
          <w:lang w:eastAsia="ar-SA"/>
        </w:rPr>
        <w:t>lietussargsugu</w:t>
      </w:r>
      <w:proofErr w:type="spellEnd"/>
      <w:r w:rsidRPr="00A07F29">
        <w:rPr>
          <w:rFonts w:ascii="Times New Roman" w:eastAsia="Calibri" w:hAnsi="Times New Roman" w:cs="Times New Roman"/>
          <w:color w:val="000000"/>
          <w:sz w:val="24"/>
          <w:szCs w:val="24"/>
          <w:lang w:eastAsia="ar-SA"/>
        </w:rPr>
        <w:t xml:space="preserve">. Pašlaik suga reģistrēta vienā atradnē </w:t>
      </w:r>
      <w:r w:rsidR="00C12B08" w:rsidRPr="00A07F29">
        <w:rPr>
          <w:rFonts w:ascii="Times New Roman" w:eastAsia="Calibri" w:hAnsi="Times New Roman" w:cs="Times New Roman"/>
          <w:color w:val="000000"/>
          <w:sz w:val="24"/>
          <w:szCs w:val="24"/>
          <w:lang w:eastAsia="ar-SA"/>
        </w:rPr>
        <w:t>AAA</w:t>
      </w:r>
      <w:r w:rsidRPr="00A07F29">
        <w:rPr>
          <w:rFonts w:ascii="Times New Roman" w:eastAsia="Calibri" w:hAnsi="Times New Roman" w:cs="Times New Roman"/>
          <w:color w:val="000000"/>
          <w:sz w:val="24"/>
          <w:szCs w:val="24"/>
          <w:lang w:eastAsia="ar-SA"/>
        </w:rPr>
        <w:t xml:space="preserve"> “Augšdaugava” teritorijā, pie </w:t>
      </w:r>
      <w:proofErr w:type="spellStart"/>
      <w:r w:rsidRPr="00A07F29">
        <w:rPr>
          <w:rFonts w:ascii="Times New Roman" w:eastAsia="Calibri" w:hAnsi="Times New Roman" w:cs="Times New Roman"/>
          <w:color w:val="000000"/>
          <w:sz w:val="24"/>
          <w:szCs w:val="24"/>
          <w:lang w:eastAsia="ar-SA"/>
        </w:rPr>
        <w:t>Rudņas</w:t>
      </w:r>
      <w:proofErr w:type="spellEnd"/>
      <w:r w:rsidRPr="00A07F29">
        <w:rPr>
          <w:rFonts w:ascii="Times New Roman" w:eastAsia="Calibri" w:hAnsi="Times New Roman" w:cs="Times New Roman"/>
          <w:color w:val="000000"/>
          <w:sz w:val="24"/>
          <w:szCs w:val="24"/>
          <w:lang w:eastAsia="ar-SA"/>
        </w:rPr>
        <w:t xml:space="preserve"> upes, bet sugas sastopamība prognozējama arī teritorijā esošos ezeros, </w:t>
      </w:r>
      <w:proofErr w:type="spellStart"/>
      <w:r w:rsidRPr="00A07F29">
        <w:rPr>
          <w:rFonts w:ascii="Times New Roman" w:eastAsia="Calibri" w:hAnsi="Times New Roman" w:cs="Times New Roman"/>
          <w:color w:val="000000"/>
          <w:sz w:val="24"/>
          <w:szCs w:val="24"/>
          <w:lang w:eastAsia="ar-SA"/>
        </w:rPr>
        <w:t>vecupēs</w:t>
      </w:r>
      <w:proofErr w:type="spellEnd"/>
      <w:r w:rsidRPr="00A07F29">
        <w:rPr>
          <w:rFonts w:ascii="Times New Roman" w:eastAsia="Calibri" w:hAnsi="Times New Roman" w:cs="Times New Roman"/>
          <w:color w:val="000000"/>
          <w:sz w:val="24"/>
          <w:szCs w:val="24"/>
          <w:lang w:eastAsia="ar-SA"/>
        </w:rPr>
        <w:t xml:space="preserve"> u.c. ūdenstilpēs ar parastā </w:t>
      </w:r>
      <w:proofErr w:type="spellStart"/>
      <w:r w:rsidRPr="00A07F29">
        <w:rPr>
          <w:rFonts w:ascii="Times New Roman" w:eastAsia="Calibri" w:hAnsi="Times New Roman" w:cs="Times New Roman"/>
          <w:color w:val="000000"/>
          <w:sz w:val="24"/>
          <w:szCs w:val="24"/>
          <w:lang w:eastAsia="ar-SA"/>
        </w:rPr>
        <w:t>elša</w:t>
      </w:r>
      <w:proofErr w:type="spellEnd"/>
      <w:r w:rsidRPr="00A07F29">
        <w:rPr>
          <w:rFonts w:ascii="Times New Roman" w:eastAsia="Calibri" w:hAnsi="Times New Roman" w:cs="Times New Roman"/>
          <w:color w:val="000000"/>
          <w:sz w:val="24"/>
          <w:szCs w:val="24"/>
          <w:lang w:eastAsia="ar-SA"/>
        </w:rPr>
        <w:t xml:space="preserve"> audzēm</w:t>
      </w:r>
    </w:p>
    <w:p w14:paraId="7FE78CC0" w14:textId="22E68A9D" w:rsidR="00F62C2C" w:rsidRPr="00A07F29" w:rsidRDefault="009072CE" w:rsidP="00F62C2C">
      <w:pPr>
        <w:autoSpaceDE w:val="0"/>
        <w:autoSpaceDN w:val="0"/>
        <w:adjustRightInd w:val="0"/>
        <w:spacing w:after="120" w:line="240" w:lineRule="auto"/>
        <w:ind w:firstLine="851"/>
        <w:jc w:val="both"/>
        <w:rPr>
          <w:rFonts w:ascii="Times New Roman" w:eastAsia="Calibri" w:hAnsi="Times New Roman" w:cs="Times New Roman"/>
          <w:color w:val="000000"/>
          <w:sz w:val="24"/>
          <w:szCs w:val="24"/>
          <w:lang w:eastAsia="ar-SA"/>
        </w:rPr>
      </w:pPr>
      <w:r w:rsidRPr="00A07F29">
        <w:rPr>
          <w:rFonts w:ascii="Times New Roman" w:eastAsia="Calibri" w:hAnsi="Times New Roman" w:cs="Times New Roman"/>
          <w:b/>
          <w:color w:val="000000"/>
          <w:sz w:val="24"/>
          <w:szCs w:val="24"/>
          <w:lang w:eastAsia="ar-SA"/>
        </w:rPr>
        <w:t xml:space="preserve">Mainīgā spāre </w:t>
      </w:r>
      <w:proofErr w:type="spellStart"/>
      <w:r w:rsidRPr="00A07F29">
        <w:rPr>
          <w:rFonts w:ascii="Times New Roman" w:eastAsia="Calibri" w:hAnsi="Times New Roman" w:cs="Times New Roman"/>
          <w:b/>
          <w:i/>
          <w:iCs/>
          <w:color w:val="000000"/>
          <w:sz w:val="24"/>
          <w:szCs w:val="24"/>
          <w:lang w:eastAsia="ar-SA"/>
        </w:rPr>
        <w:t>Libellula</w:t>
      </w:r>
      <w:proofErr w:type="spellEnd"/>
      <w:r w:rsidRPr="00A07F29">
        <w:rPr>
          <w:rFonts w:ascii="Times New Roman" w:eastAsia="Calibri" w:hAnsi="Times New Roman" w:cs="Times New Roman"/>
          <w:b/>
          <w:i/>
          <w:iCs/>
          <w:color w:val="000000"/>
          <w:sz w:val="24"/>
          <w:szCs w:val="24"/>
          <w:lang w:eastAsia="ar-SA"/>
        </w:rPr>
        <w:t xml:space="preserve"> </w:t>
      </w:r>
      <w:proofErr w:type="spellStart"/>
      <w:r w:rsidRPr="00A07F29">
        <w:rPr>
          <w:rFonts w:ascii="Times New Roman" w:eastAsia="Calibri" w:hAnsi="Times New Roman" w:cs="Times New Roman"/>
          <w:b/>
          <w:i/>
          <w:iCs/>
          <w:color w:val="000000"/>
          <w:sz w:val="24"/>
          <w:szCs w:val="24"/>
          <w:lang w:eastAsia="ar-SA"/>
        </w:rPr>
        <w:t>fulva</w:t>
      </w:r>
      <w:proofErr w:type="spellEnd"/>
      <w:r w:rsidRPr="00A07F29">
        <w:rPr>
          <w:rFonts w:ascii="Times New Roman" w:eastAsia="Calibri" w:hAnsi="Times New Roman" w:cs="Times New Roman"/>
          <w:color w:val="000000"/>
          <w:sz w:val="24"/>
          <w:szCs w:val="24"/>
          <w:lang w:eastAsia="ar-SA"/>
        </w:rPr>
        <w:t xml:space="preserve"> ir reģistrēta </w:t>
      </w:r>
      <w:proofErr w:type="spellStart"/>
      <w:r w:rsidRPr="00A07F29">
        <w:rPr>
          <w:rFonts w:ascii="Times New Roman" w:eastAsia="Calibri" w:hAnsi="Times New Roman" w:cs="Times New Roman"/>
          <w:color w:val="000000"/>
          <w:sz w:val="24"/>
          <w:szCs w:val="24"/>
          <w:lang w:eastAsia="ar-SA"/>
        </w:rPr>
        <w:t>Krivoje</w:t>
      </w:r>
      <w:proofErr w:type="spellEnd"/>
      <w:r w:rsidRPr="00A07F29">
        <w:rPr>
          <w:rFonts w:ascii="Times New Roman" w:eastAsia="Calibri" w:hAnsi="Times New Roman" w:cs="Times New Roman"/>
          <w:color w:val="000000"/>
          <w:sz w:val="24"/>
          <w:szCs w:val="24"/>
          <w:lang w:eastAsia="ar-SA"/>
        </w:rPr>
        <w:t xml:space="preserve"> ezerā, bet tās sastopamība ir prognozējama vairākos </w:t>
      </w:r>
      <w:r w:rsidR="00C12B08" w:rsidRPr="00A07F29">
        <w:rPr>
          <w:rFonts w:ascii="Times New Roman" w:eastAsia="Calibri" w:hAnsi="Times New Roman" w:cs="Times New Roman"/>
          <w:color w:val="000000"/>
          <w:sz w:val="24"/>
          <w:szCs w:val="24"/>
          <w:lang w:eastAsia="ar-SA"/>
        </w:rPr>
        <w:t>AAA</w:t>
      </w:r>
      <w:r w:rsidRPr="00A07F29">
        <w:rPr>
          <w:rFonts w:ascii="Times New Roman" w:eastAsia="Calibri" w:hAnsi="Times New Roman" w:cs="Times New Roman"/>
          <w:color w:val="000000"/>
          <w:sz w:val="24"/>
          <w:szCs w:val="24"/>
          <w:lang w:eastAsia="ar-SA"/>
        </w:rPr>
        <w:t xml:space="preserve"> </w:t>
      </w:r>
      <w:r w:rsidR="003A5541" w:rsidRPr="00A07F29">
        <w:rPr>
          <w:rFonts w:ascii="Times New Roman" w:eastAsia="Calibri" w:hAnsi="Times New Roman" w:cs="Times New Roman"/>
          <w:color w:val="000000"/>
          <w:sz w:val="24"/>
          <w:szCs w:val="24"/>
          <w:lang w:eastAsia="ar-SA"/>
        </w:rPr>
        <w:t xml:space="preserve">“Augšdaugava” </w:t>
      </w:r>
      <w:r w:rsidRPr="00A07F29">
        <w:rPr>
          <w:rFonts w:ascii="Times New Roman" w:eastAsia="Calibri" w:hAnsi="Times New Roman" w:cs="Times New Roman"/>
          <w:color w:val="000000"/>
          <w:sz w:val="24"/>
          <w:szCs w:val="24"/>
          <w:lang w:eastAsia="ar-SA"/>
        </w:rPr>
        <w:t xml:space="preserve">teritorijā esošajos ezeros. Suga sastopama galvenokārt lēni tekošās, ar augiem bagātās upēs, kā arī </w:t>
      </w:r>
      <w:proofErr w:type="spellStart"/>
      <w:r w:rsidRPr="00A07F29">
        <w:rPr>
          <w:rFonts w:ascii="Times New Roman" w:eastAsia="Calibri" w:hAnsi="Times New Roman" w:cs="Times New Roman"/>
          <w:color w:val="000000"/>
          <w:sz w:val="24"/>
          <w:szCs w:val="24"/>
          <w:lang w:eastAsia="ar-SA"/>
        </w:rPr>
        <w:t>caurtekošos</w:t>
      </w:r>
      <w:proofErr w:type="spellEnd"/>
      <w:r w:rsidRPr="00A07F29">
        <w:rPr>
          <w:rFonts w:ascii="Times New Roman" w:eastAsia="Calibri" w:hAnsi="Times New Roman" w:cs="Times New Roman"/>
          <w:color w:val="000000"/>
          <w:sz w:val="24"/>
          <w:szCs w:val="24"/>
          <w:lang w:eastAsia="ar-SA"/>
        </w:rPr>
        <w:t xml:space="preserve"> ezeros. Kāpuri plēsīgi, barojas ar dažādiem ūdens bezmugurkaulniekiem. Pieauguši īpatņi lido jūnijā un jūlijā tekošu ūdeņu un ezeru krastmalās (Kalniņš</w:t>
      </w:r>
      <w:r w:rsidR="004D5BE3">
        <w:rPr>
          <w:rFonts w:ascii="Times New Roman" w:eastAsia="Calibri" w:hAnsi="Times New Roman" w:cs="Times New Roman"/>
          <w:color w:val="000000"/>
          <w:sz w:val="24"/>
          <w:szCs w:val="24"/>
          <w:lang w:eastAsia="ar-SA"/>
        </w:rPr>
        <w:t xml:space="preserve"> M.,</w:t>
      </w:r>
      <w:r w:rsidRPr="00A07F29">
        <w:rPr>
          <w:rFonts w:ascii="Times New Roman" w:eastAsia="Calibri" w:hAnsi="Times New Roman" w:cs="Times New Roman"/>
          <w:color w:val="000000"/>
          <w:sz w:val="24"/>
          <w:szCs w:val="24"/>
          <w:lang w:eastAsia="ar-SA"/>
        </w:rPr>
        <w:t xml:space="preserve"> 2017).</w:t>
      </w:r>
    </w:p>
    <w:p w14:paraId="1A96AA82" w14:textId="06A78F08" w:rsidR="003A5541" w:rsidRPr="00A07F29" w:rsidRDefault="009072CE" w:rsidP="00F62C2C">
      <w:pPr>
        <w:autoSpaceDE w:val="0"/>
        <w:autoSpaceDN w:val="0"/>
        <w:adjustRightInd w:val="0"/>
        <w:spacing w:after="120" w:line="240" w:lineRule="auto"/>
        <w:ind w:firstLine="851"/>
        <w:jc w:val="both"/>
        <w:rPr>
          <w:rFonts w:ascii="Times New Roman" w:eastAsia="Calibri" w:hAnsi="Times New Roman" w:cs="Times New Roman"/>
          <w:color w:val="000000"/>
          <w:sz w:val="24"/>
          <w:szCs w:val="24"/>
          <w:lang w:eastAsia="ar-SA"/>
        </w:rPr>
      </w:pPr>
      <w:proofErr w:type="spellStart"/>
      <w:r w:rsidRPr="00A07F29">
        <w:rPr>
          <w:rFonts w:ascii="Times New Roman" w:eastAsia="Calibri" w:hAnsi="Times New Roman" w:cs="Times New Roman"/>
          <w:color w:val="000000"/>
          <w:sz w:val="24"/>
          <w:szCs w:val="24"/>
          <w:lang w:eastAsia="ar-SA"/>
        </w:rPr>
        <w:t>Eitrofos</w:t>
      </w:r>
      <w:proofErr w:type="spellEnd"/>
      <w:r w:rsidRPr="00A07F29">
        <w:rPr>
          <w:rFonts w:ascii="Times New Roman" w:eastAsia="Calibri" w:hAnsi="Times New Roman" w:cs="Times New Roman"/>
          <w:color w:val="000000"/>
          <w:sz w:val="24"/>
          <w:szCs w:val="24"/>
          <w:lang w:eastAsia="ar-SA"/>
        </w:rPr>
        <w:t xml:space="preserve"> ezeros ar purvainiem krastiem samērā bieži sastopamas </w:t>
      </w:r>
      <w:proofErr w:type="spellStart"/>
      <w:r w:rsidRPr="00A07F29">
        <w:rPr>
          <w:rFonts w:ascii="Times New Roman" w:eastAsia="Calibri" w:hAnsi="Times New Roman" w:cs="Times New Roman"/>
          <w:color w:val="000000"/>
          <w:sz w:val="24"/>
          <w:szCs w:val="24"/>
          <w:lang w:eastAsia="ar-SA"/>
        </w:rPr>
        <w:t>purvuspāru</w:t>
      </w:r>
      <w:proofErr w:type="spellEnd"/>
      <w:r w:rsidRPr="00A07F29">
        <w:rPr>
          <w:rFonts w:ascii="Times New Roman" w:eastAsia="Calibri" w:hAnsi="Times New Roman" w:cs="Times New Roman"/>
          <w:color w:val="000000"/>
          <w:sz w:val="24"/>
          <w:szCs w:val="24"/>
          <w:lang w:eastAsia="ar-SA"/>
        </w:rPr>
        <w:t xml:space="preserve"> </w:t>
      </w:r>
      <w:proofErr w:type="spellStart"/>
      <w:r w:rsidRPr="00A07F29">
        <w:rPr>
          <w:rFonts w:ascii="Times New Roman" w:eastAsia="Calibri" w:hAnsi="Times New Roman" w:cs="Times New Roman"/>
          <w:i/>
          <w:iCs/>
          <w:color w:val="000000"/>
          <w:sz w:val="24"/>
          <w:szCs w:val="24"/>
          <w:lang w:eastAsia="ar-SA"/>
        </w:rPr>
        <w:t>Leucorrhinia</w:t>
      </w:r>
      <w:proofErr w:type="spellEnd"/>
      <w:r w:rsidRPr="00A07F29">
        <w:rPr>
          <w:rFonts w:ascii="Times New Roman" w:eastAsia="Calibri" w:hAnsi="Times New Roman" w:cs="Times New Roman"/>
          <w:color w:val="000000"/>
          <w:sz w:val="24"/>
          <w:szCs w:val="24"/>
          <w:lang w:eastAsia="ar-SA"/>
        </w:rPr>
        <w:t xml:space="preserve"> ģints sugas. </w:t>
      </w:r>
      <w:r w:rsidR="00C12B08" w:rsidRPr="00A07F29">
        <w:rPr>
          <w:rFonts w:ascii="Times New Roman" w:eastAsia="Calibri" w:hAnsi="Times New Roman" w:cs="Times New Roman"/>
          <w:color w:val="000000"/>
          <w:sz w:val="24"/>
          <w:szCs w:val="24"/>
          <w:lang w:eastAsia="ar-SA"/>
        </w:rPr>
        <w:t>AAA</w:t>
      </w:r>
      <w:r w:rsidRPr="00A07F29">
        <w:rPr>
          <w:rFonts w:ascii="Times New Roman" w:eastAsia="Calibri" w:hAnsi="Times New Roman" w:cs="Times New Roman"/>
          <w:color w:val="000000"/>
          <w:sz w:val="24"/>
          <w:szCs w:val="24"/>
          <w:lang w:eastAsia="ar-SA"/>
        </w:rPr>
        <w:t xml:space="preserve"> </w:t>
      </w:r>
      <w:r w:rsidR="003A5541" w:rsidRPr="00A07F29">
        <w:rPr>
          <w:rFonts w:ascii="Times New Roman" w:eastAsia="Calibri" w:hAnsi="Times New Roman" w:cs="Times New Roman"/>
          <w:color w:val="000000"/>
          <w:sz w:val="24"/>
          <w:szCs w:val="24"/>
          <w:lang w:eastAsia="ar-SA"/>
        </w:rPr>
        <w:t xml:space="preserve">“Augšdaugava” </w:t>
      </w:r>
      <w:r w:rsidRPr="00A07F29">
        <w:rPr>
          <w:rFonts w:ascii="Times New Roman" w:eastAsia="Calibri" w:hAnsi="Times New Roman" w:cs="Times New Roman"/>
          <w:color w:val="000000"/>
          <w:sz w:val="24"/>
          <w:szCs w:val="24"/>
          <w:lang w:eastAsia="ar-SA"/>
        </w:rPr>
        <w:t>teritorijā konstatētas 3</w:t>
      </w:r>
      <w:r w:rsidR="00FD1C85">
        <w:rPr>
          <w:rFonts w:ascii="Times New Roman" w:eastAsia="Calibri" w:hAnsi="Times New Roman" w:cs="Times New Roman"/>
          <w:color w:val="000000"/>
          <w:sz w:val="24"/>
          <w:szCs w:val="24"/>
          <w:lang w:eastAsia="ar-SA"/>
        </w:rPr>
        <w:t xml:space="preserve">trīs </w:t>
      </w:r>
      <w:r w:rsidRPr="00A07F29">
        <w:rPr>
          <w:rFonts w:ascii="Times New Roman" w:eastAsia="Calibri" w:hAnsi="Times New Roman" w:cs="Times New Roman"/>
          <w:color w:val="000000"/>
          <w:sz w:val="24"/>
          <w:szCs w:val="24"/>
          <w:lang w:eastAsia="ar-SA"/>
        </w:rPr>
        <w:t xml:space="preserve">aizsargājamas </w:t>
      </w:r>
      <w:proofErr w:type="spellStart"/>
      <w:r w:rsidRPr="00A07F29">
        <w:rPr>
          <w:rFonts w:ascii="Times New Roman" w:eastAsia="Calibri" w:hAnsi="Times New Roman" w:cs="Times New Roman"/>
          <w:color w:val="000000"/>
          <w:sz w:val="24"/>
          <w:szCs w:val="24"/>
          <w:lang w:eastAsia="ar-SA"/>
        </w:rPr>
        <w:t>purvuspāru</w:t>
      </w:r>
      <w:proofErr w:type="spellEnd"/>
      <w:r w:rsidRPr="00A07F29">
        <w:rPr>
          <w:rFonts w:ascii="Times New Roman" w:eastAsia="Calibri" w:hAnsi="Times New Roman" w:cs="Times New Roman"/>
          <w:color w:val="000000"/>
          <w:sz w:val="24"/>
          <w:szCs w:val="24"/>
          <w:lang w:eastAsia="ar-SA"/>
        </w:rPr>
        <w:t xml:space="preserve"> sugas </w:t>
      </w:r>
      <w:r w:rsidRPr="00A07F29">
        <w:rPr>
          <w:rFonts w:ascii="Times New Roman" w:eastAsia="Calibri" w:hAnsi="Times New Roman" w:cs="Times New Roman"/>
          <w:b/>
          <w:color w:val="000000"/>
          <w:sz w:val="24"/>
          <w:szCs w:val="24"/>
          <w:lang w:eastAsia="ar-SA"/>
        </w:rPr>
        <w:t xml:space="preserve">spilgtā </w:t>
      </w:r>
      <w:proofErr w:type="spellStart"/>
      <w:r w:rsidRPr="00A07F29">
        <w:rPr>
          <w:rFonts w:ascii="Times New Roman" w:eastAsia="Calibri" w:hAnsi="Times New Roman" w:cs="Times New Roman"/>
          <w:b/>
          <w:color w:val="000000"/>
          <w:sz w:val="24"/>
          <w:szCs w:val="24"/>
          <w:lang w:eastAsia="ar-SA"/>
        </w:rPr>
        <w:t>purvuspāre</w:t>
      </w:r>
      <w:proofErr w:type="spellEnd"/>
      <w:r w:rsidRPr="00A07F29">
        <w:rPr>
          <w:rFonts w:ascii="Times New Roman" w:eastAsia="Calibri" w:hAnsi="Times New Roman" w:cs="Times New Roman"/>
          <w:b/>
          <w:color w:val="000000"/>
          <w:sz w:val="24"/>
          <w:szCs w:val="24"/>
          <w:lang w:eastAsia="ar-SA"/>
        </w:rPr>
        <w:t xml:space="preserve"> </w:t>
      </w:r>
      <w:r w:rsidRPr="00A07F29">
        <w:rPr>
          <w:rFonts w:ascii="Times New Roman" w:eastAsia="Calibri" w:hAnsi="Times New Roman" w:cs="Times New Roman"/>
          <w:b/>
          <w:i/>
          <w:iCs/>
          <w:color w:val="000000"/>
          <w:sz w:val="24"/>
          <w:szCs w:val="24"/>
          <w:lang w:eastAsia="ar-SA"/>
        </w:rPr>
        <w:t>L.</w:t>
      </w:r>
      <w:r w:rsidR="008F716E" w:rsidRPr="00A07F29">
        <w:rPr>
          <w:rFonts w:ascii="Times New Roman" w:eastAsia="Calibri" w:hAnsi="Times New Roman" w:cs="Times New Roman"/>
          <w:b/>
          <w:i/>
          <w:iCs/>
          <w:color w:val="000000"/>
          <w:sz w:val="24"/>
          <w:szCs w:val="24"/>
          <w:lang w:eastAsia="ar-SA"/>
        </w:rPr>
        <w:t xml:space="preserve"> </w:t>
      </w:r>
      <w:proofErr w:type="spellStart"/>
      <w:r w:rsidRPr="00A07F29">
        <w:rPr>
          <w:rFonts w:ascii="Times New Roman" w:eastAsia="Calibri" w:hAnsi="Times New Roman" w:cs="Times New Roman"/>
          <w:b/>
          <w:i/>
          <w:iCs/>
          <w:color w:val="000000"/>
          <w:sz w:val="24"/>
          <w:szCs w:val="24"/>
          <w:lang w:eastAsia="ar-SA"/>
        </w:rPr>
        <w:t>pectoralis</w:t>
      </w:r>
      <w:proofErr w:type="spellEnd"/>
      <w:r w:rsidRPr="00A07F29">
        <w:rPr>
          <w:rFonts w:ascii="Times New Roman" w:eastAsia="Calibri" w:hAnsi="Times New Roman" w:cs="Times New Roman"/>
          <w:i/>
          <w:iCs/>
          <w:color w:val="000000"/>
          <w:sz w:val="24"/>
          <w:szCs w:val="24"/>
          <w:lang w:eastAsia="ar-SA"/>
        </w:rPr>
        <w:t xml:space="preserve">, </w:t>
      </w:r>
      <w:proofErr w:type="spellStart"/>
      <w:r w:rsidRPr="00A07F29">
        <w:rPr>
          <w:rFonts w:ascii="Times New Roman" w:eastAsia="Calibri" w:hAnsi="Times New Roman" w:cs="Times New Roman"/>
          <w:b/>
          <w:color w:val="000000"/>
          <w:sz w:val="24"/>
          <w:szCs w:val="24"/>
          <w:lang w:eastAsia="ar-SA"/>
        </w:rPr>
        <w:t>raibgalvas</w:t>
      </w:r>
      <w:proofErr w:type="spellEnd"/>
      <w:r w:rsidRPr="00A07F29">
        <w:rPr>
          <w:rFonts w:ascii="Times New Roman" w:eastAsia="Calibri" w:hAnsi="Times New Roman" w:cs="Times New Roman"/>
          <w:b/>
          <w:color w:val="000000"/>
          <w:sz w:val="24"/>
          <w:szCs w:val="24"/>
          <w:lang w:eastAsia="ar-SA"/>
        </w:rPr>
        <w:t xml:space="preserve"> </w:t>
      </w:r>
      <w:proofErr w:type="spellStart"/>
      <w:r w:rsidRPr="00A07F29">
        <w:rPr>
          <w:rFonts w:ascii="Times New Roman" w:eastAsia="Calibri" w:hAnsi="Times New Roman" w:cs="Times New Roman"/>
          <w:b/>
          <w:color w:val="000000"/>
          <w:sz w:val="24"/>
          <w:szCs w:val="24"/>
          <w:lang w:eastAsia="ar-SA"/>
        </w:rPr>
        <w:t>purvuspāre</w:t>
      </w:r>
      <w:proofErr w:type="spellEnd"/>
      <w:r w:rsidRPr="00A07F29">
        <w:rPr>
          <w:rFonts w:ascii="Times New Roman" w:eastAsia="Calibri" w:hAnsi="Times New Roman" w:cs="Times New Roman"/>
          <w:b/>
          <w:color w:val="000000"/>
          <w:sz w:val="24"/>
          <w:szCs w:val="24"/>
          <w:lang w:eastAsia="ar-SA"/>
        </w:rPr>
        <w:t xml:space="preserve"> </w:t>
      </w:r>
      <w:r w:rsidRPr="00A07F29">
        <w:rPr>
          <w:rFonts w:ascii="Times New Roman" w:eastAsia="Calibri" w:hAnsi="Times New Roman" w:cs="Times New Roman"/>
          <w:b/>
          <w:i/>
          <w:iCs/>
          <w:color w:val="000000"/>
          <w:sz w:val="24"/>
          <w:szCs w:val="24"/>
          <w:lang w:eastAsia="ar-SA"/>
        </w:rPr>
        <w:t xml:space="preserve">L. </w:t>
      </w:r>
      <w:proofErr w:type="spellStart"/>
      <w:r w:rsidRPr="00A07F29">
        <w:rPr>
          <w:rFonts w:ascii="Times New Roman" w:eastAsia="Calibri" w:hAnsi="Times New Roman" w:cs="Times New Roman"/>
          <w:b/>
          <w:i/>
          <w:iCs/>
          <w:color w:val="000000"/>
          <w:sz w:val="24"/>
          <w:szCs w:val="24"/>
          <w:lang w:eastAsia="ar-SA"/>
        </w:rPr>
        <w:t>albifrons</w:t>
      </w:r>
      <w:proofErr w:type="spellEnd"/>
      <w:r w:rsidRPr="00A07F29">
        <w:rPr>
          <w:rFonts w:ascii="Times New Roman" w:eastAsia="Calibri" w:hAnsi="Times New Roman" w:cs="Times New Roman"/>
          <w:i/>
          <w:iCs/>
          <w:color w:val="000000"/>
          <w:sz w:val="24"/>
          <w:szCs w:val="24"/>
          <w:lang w:eastAsia="ar-SA"/>
        </w:rPr>
        <w:t xml:space="preserve"> </w:t>
      </w:r>
      <w:r w:rsidRPr="00A07F29">
        <w:rPr>
          <w:rFonts w:ascii="Times New Roman" w:eastAsia="Calibri" w:hAnsi="Times New Roman" w:cs="Times New Roman"/>
          <w:color w:val="000000"/>
          <w:sz w:val="24"/>
          <w:szCs w:val="24"/>
          <w:lang w:eastAsia="ar-SA"/>
        </w:rPr>
        <w:t>un</w:t>
      </w:r>
      <w:r w:rsidRPr="00A07F29">
        <w:rPr>
          <w:rFonts w:ascii="Times New Roman" w:eastAsia="Calibri" w:hAnsi="Times New Roman" w:cs="Times New Roman"/>
          <w:color w:val="000000"/>
          <w:sz w:val="32"/>
          <w:szCs w:val="32"/>
          <w:lang w:eastAsia="ar-SA"/>
        </w:rPr>
        <w:t xml:space="preserve"> </w:t>
      </w:r>
      <w:r w:rsidRPr="00A07F29">
        <w:rPr>
          <w:rFonts w:ascii="Times New Roman" w:eastAsia="Calibri" w:hAnsi="Times New Roman" w:cs="Times New Roman"/>
          <w:b/>
          <w:color w:val="000000"/>
          <w:spacing w:val="-1"/>
          <w:sz w:val="24"/>
          <w:szCs w:val="24"/>
          <w:lang w:eastAsia="ar-SA"/>
        </w:rPr>
        <w:t xml:space="preserve">resnvēdera </w:t>
      </w:r>
      <w:proofErr w:type="spellStart"/>
      <w:r w:rsidRPr="00A07F29">
        <w:rPr>
          <w:rFonts w:ascii="Times New Roman" w:eastAsia="Calibri" w:hAnsi="Times New Roman" w:cs="Times New Roman"/>
          <w:b/>
          <w:color w:val="000000"/>
          <w:spacing w:val="-1"/>
          <w:sz w:val="24"/>
          <w:szCs w:val="24"/>
          <w:lang w:eastAsia="ar-SA"/>
        </w:rPr>
        <w:t>purvuspāre</w:t>
      </w:r>
      <w:proofErr w:type="spellEnd"/>
      <w:r w:rsidRPr="00A07F29">
        <w:rPr>
          <w:rFonts w:ascii="Times New Roman" w:eastAsia="Calibri" w:hAnsi="Times New Roman" w:cs="Times New Roman"/>
          <w:color w:val="000000"/>
          <w:spacing w:val="-1"/>
          <w:sz w:val="24"/>
          <w:szCs w:val="24"/>
          <w:lang w:eastAsia="ar-SA"/>
        </w:rPr>
        <w:t xml:space="preserve"> </w:t>
      </w:r>
      <w:proofErr w:type="spellStart"/>
      <w:r w:rsidRPr="00A07F29">
        <w:rPr>
          <w:rFonts w:ascii="Times New Roman" w:eastAsia="Calibri" w:hAnsi="Times New Roman" w:cs="Times New Roman"/>
          <w:i/>
          <w:iCs/>
          <w:color w:val="000000"/>
          <w:spacing w:val="-1"/>
          <w:sz w:val="24"/>
          <w:szCs w:val="24"/>
          <w:lang w:eastAsia="ar-SA"/>
        </w:rPr>
        <w:t>L.caudalis</w:t>
      </w:r>
      <w:proofErr w:type="spellEnd"/>
      <w:r w:rsidRPr="00A07F29">
        <w:rPr>
          <w:rFonts w:ascii="Times New Roman" w:eastAsia="Calibri" w:hAnsi="Times New Roman" w:cs="Times New Roman"/>
          <w:i/>
          <w:iCs/>
          <w:color w:val="000000"/>
          <w:spacing w:val="-1"/>
          <w:sz w:val="24"/>
          <w:szCs w:val="24"/>
          <w:lang w:eastAsia="ar-SA"/>
        </w:rPr>
        <w:t xml:space="preserve">. </w:t>
      </w:r>
      <w:proofErr w:type="spellStart"/>
      <w:r w:rsidRPr="00A07F29">
        <w:rPr>
          <w:rFonts w:ascii="Times New Roman" w:eastAsia="Calibri" w:hAnsi="Times New Roman" w:cs="Times New Roman"/>
          <w:color w:val="000000"/>
          <w:spacing w:val="-1"/>
          <w:sz w:val="24"/>
          <w:szCs w:val="24"/>
          <w:lang w:eastAsia="ar-SA"/>
        </w:rPr>
        <w:t>Purvuspāru</w:t>
      </w:r>
      <w:proofErr w:type="spellEnd"/>
      <w:r w:rsidRPr="00A07F29">
        <w:rPr>
          <w:rFonts w:ascii="Times New Roman" w:eastAsia="Calibri" w:hAnsi="Times New Roman" w:cs="Times New Roman"/>
          <w:color w:val="000000"/>
          <w:spacing w:val="-1"/>
          <w:sz w:val="24"/>
          <w:szCs w:val="24"/>
          <w:lang w:eastAsia="ar-SA"/>
        </w:rPr>
        <w:t xml:space="preserve"> uzskaitei </w:t>
      </w:r>
      <w:r w:rsidRPr="00A07F29">
        <w:rPr>
          <w:rFonts w:ascii="Times New Roman" w:eastAsia="Calibri" w:hAnsi="Times New Roman" w:cs="Times New Roman"/>
          <w:color w:val="000000"/>
          <w:sz w:val="24"/>
          <w:szCs w:val="24"/>
          <w:lang w:eastAsia="ar-SA"/>
        </w:rPr>
        <w:t xml:space="preserve">tika ierīkoti parauglaukumi </w:t>
      </w:r>
      <w:r w:rsidRPr="00A07F29">
        <w:rPr>
          <w:rFonts w:ascii="Times New Roman" w:eastAsia="Calibri" w:hAnsi="Times New Roman" w:cs="Times New Roman"/>
          <w:color w:val="000000"/>
          <w:sz w:val="24"/>
          <w:szCs w:val="24"/>
          <w:shd w:val="clear" w:color="auto" w:fill="FFFFFF"/>
          <w:lang w:eastAsia="ar-SA"/>
        </w:rPr>
        <w:t xml:space="preserve">Tartaka </w:t>
      </w:r>
      <w:r w:rsidR="003A5541" w:rsidRPr="00A07F29">
        <w:rPr>
          <w:rFonts w:ascii="Times New Roman" w:eastAsia="Calibri" w:hAnsi="Times New Roman" w:cs="Times New Roman"/>
          <w:color w:val="000000"/>
          <w:sz w:val="24"/>
          <w:szCs w:val="24"/>
          <w:shd w:val="clear" w:color="auto" w:fill="FFFFFF"/>
          <w:lang w:eastAsia="ar-SA"/>
        </w:rPr>
        <w:t>ezera</w:t>
      </w:r>
      <w:r w:rsidRPr="00A07F29">
        <w:rPr>
          <w:rFonts w:ascii="Times New Roman" w:eastAsia="Calibri" w:hAnsi="Times New Roman" w:cs="Times New Roman"/>
          <w:color w:val="000000"/>
          <w:sz w:val="24"/>
          <w:szCs w:val="24"/>
          <w:shd w:val="clear" w:color="auto" w:fill="FFFFFF"/>
          <w:lang w:eastAsia="ar-SA"/>
        </w:rPr>
        <w:t xml:space="preserve">, </w:t>
      </w:r>
      <w:proofErr w:type="spellStart"/>
      <w:r w:rsidRPr="00A07F29">
        <w:rPr>
          <w:rFonts w:ascii="Times New Roman" w:eastAsia="Calibri" w:hAnsi="Times New Roman" w:cs="Times New Roman"/>
          <w:color w:val="000000"/>
          <w:sz w:val="24"/>
          <w:szCs w:val="24"/>
          <w:shd w:val="clear" w:color="auto" w:fill="FFFFFF"/>
          <w:lang w:eastAsia="ar-SA"/>
        </w:rPr>
        <w:t>Butišķu</w:t>
      </w:r>
      <w:proofErr w:type="spellEnd"/>
      <w:r w:rsidRPr="00A07F29">
        <w:rPr>
          <w:rFonts w:ascii="Times New Roman" w:eastAsia="Calibri" w:hAnsi="Times New Roman" w:cs="Times New Roman"/>
          <w:color w:val="000000"/>
          <w:sz w:val="24"/>
          <w:szCs w:val="24"/>
          <w:shd w:val="clear" w:color="auto" w:fill="FFFFFF"/>
          <w:lang w:eastAsia="ar-SA"/>
        </w:rPr>
        <w:t xml:space="preserve"> </w:t>
      </w:r>
      <w:r w:rsidR="003A5541" w:rsidRPr="00A07F29">
        <w:rPr>
          <w:rFonts w:ascii="Times New Roman" w:eastAsia="Calibri" w:hAnsi="Times New Roman" w:cs="Times New Roman"/>
          <w:color w:val="000000"/>
          <w:sz w:val="24"/>
          <w:szCs w:val="24"/>
          <w:shd w:val="clear" w:color="auto" w:fill="FFFFFF"/>
          <w:lang w:eastAsia="ar-SA"/>
        </w:rPr>
        <w:t>ezera</w:t>
      </w:r>
      <w:r w:rsidRPr="00A07F29">
        <w:rPr>
          <w:rFonts w:ascii="Times New Roman" w:eastAsia="Calibri" w:hAnsi="Times New Roman" w:cs="Times New Roman"/>
          <w:color w:val="000000"/>
          <w:sz w:val="24"/>
          <w:szCs w:val="24"/>
          <w:shd w:val="clear" w:color="auto" w:fill="FFFFFF"/>
          <w:lang w:eastAsia="ar-SA"/>
        </w:rPr>
        <w:t xml:space="preserve">, </w:t>
      </w:r>
      <w:proofErr w:type="spellStart"/>
      <w:r w:rsidRPr="00A07F29">
        <w:rPr>
          <w:rFonts w:ascii="Times New Roman" w:eastAsia="Calibri" w:hAnsi="Times New Roman" w:cs="Times New Roman"/>
          <w:color w:val="000000"/>
          <w:sz w:val="24"/>
          <w:szCs w:val="24"/>
          <w:shd w:val="clear" w:color="auto" w:fill="FFFFFF"/>
          <w:lang w:eastAsia="ar-SA"/>
        </w:rPr>
        <w:t>Jugaņinas</w:t>
      </w:r>
      <w:proofErr w:type="spellEnd"/>
      <w:r w:rsidRPr="00A07F29">
        <w:rPr>
          <w:rFonts w:ascii="Times New Roman" w:eastAsia="Calibri" w:hAnsi="Times New Roman" w:cs="Times New Roman"/>
          <w:color w:val="000000"/>
          <w:sz w:val="24"/>
          <w:szCs w:val="24"/>
          <w:shd w:val="clear" w:color="auto" w:fill="FFFFFF"/>
          <w:lang w:eastAsia="ar-SA"/>
        </w:rPr>
        <w:t xml:space="preserve"> </w:t>
      </w:r>
      <w:r w:rsidR="003A5541" w:rsidRPr="00A07F29">
        <w:rPr>
          <w:rFonts w:ascii="Times New Roman" w:eastAsia="Calibri" w:hAnsi="Times New Roman" w:cs="Times New Roman"/>
          <w:color w:val="000000"/>
          <w:sz w:val="24"/>
          <w:szCs w:val="24"/>
          <w:shd w:val="clear" w:color="auto" w:fill="FFFFFF"/>
          <w:lang w:eastAsia="ar-SA"/>
        </w:rPr>
        <w:t>dīķa</w:t>
      </w:r>
      <w:r w:rsidRPr="00A07F29">
        <w:rPr>
          <w:rFonts w:ascii="Times New Roman" w:eastAsia="Calibri" w:hAnsi="Times New Roman" w:cs="Times New Roman"/>
          <w:color w:val="000000"/>
          <w:sz w:val="24"/>
          <w:szCs w:val="24"/>
          <w:shd w:val="clear" w:color="auto" w:fill="FFFFFF"/>
          <w:lang w:eastAsia="ar-SA"/>
        </w:rPr>
        <w:t xml:space="preserve">, </w:t>
      </w:r>
      <w:proofErr w:type="spellStart"/>
      <w:r w:rsidRPr="00A07F29">
        <w:rPr>
          <w:rFonts w:ascii="Times New Roman" w:eastAsia="Calibri" w:hAnsi="Times New Roman" w:cs="Times New Roman"/>
          <w:color w:val="000000"/>
          <w:sz w:val="24"/>
          <w:szCs w:val="24"/>
          <w:shd w:val="clear" w:color="auto" w:fill="FFFFFF"/>
          <w:lang w:eastAsia="ar-SA"/>
        </w:rPr>
        <w:t>Vaičuku</w:t>
      </w:r>
      <w:proofErr w:type="spellEnd"/>
      <w:r w:rsidRPr="00A07F29">
        <w:rPr>
          <w:rFonts w:ascii="Times New Roman" w:eastAsia="Calibri" w:hAnsi="Times New Roman" w:cs="Times New Roman"/>
          <w:color w:val="000000"/>
          <w:sz w:val="24"/>
          <w:szCs w:val="24"/>
          <w:shd w:val="clear" w:color="auto" w:fill="FFFFFF"/>
          <w:lang w:eastAsia="ar-SA"/>
        </w:rPr>
        <w:t xml:space="preserve"> </w:t>
      </w:r>
      <w:r w:rsidR="003A5541" w:rsidRPr="00A07F29">
        <w:rPr>
          <w:rFonts w:ascii="Times New Roman" w:eastAsia="Calibri" w:hAnsi="Times New Roman" w:cs="Times New Roman"/>
          <w:color w:val="000000"/>
          <w:sz w:val="24"/>
          <w:szCs w:val="24"/>
          <w:shd w:val="clear" w:color="auto" w:fill="FFFFFF"/>
          <w:lang w:eastAsia="ar-SA"/>
        </w:rPr>
        <w:t>ezera</w:t>
      </w:r>
      <w:r w:rsidRPr="00A07F29">
        <w:rPr>
          <w:rFonts w:ascii="Times New Roman" w:eastAsia="Calibri" w:hAnsi="Times New Roman" w:cs="Times New Roman"/>
          <w:color w:val="000000"/>
          <w:sz w:val="24"/>
          <w:szCs w:val="24"/>
          <w:shd w:val="clear" w:color="auto" w:fill="FFFFFF"/>
          <w:lang w:eastAsia="ar-SA"/>
        </w:rPr>
        <w:t xml:space="preserve">, </w:t>
      </w:r>
      <w:proofErr w:type="spellStart"/>
      <w:r w:rsidRPr="00A07F29">
        <w:rPr>
          <w:rFonts w:ascii="Times New Roman" w:eastAsia="Calibri" w:hAnsi="Times New Roman" w:cs="Times New Roman"/>
          <w:color w:val="000000"/>
          <w:sz w:val="24"/>
          <w:szCs w:val="24"/>
          <w:shd w:val="clear" w:color="auto" w:fill="FFFFFF"/>
          <w:lang w:eastAsia="ar-SA"/>
        </w:rPr>
        <w:t>Dolgo</w:t>
      </w:r>
      <w:r w:rsidR="003A5541" w:rsidRPr="00A07F29">
        <w:rPr>
          <w:rFonts w:ascii="Times New Roman" w:eastAsia="Calibri" w:hAnsi="Times New Roman" w:cs="Times New Roman"/>
          <w:color w:val="000000"/>
          <w:sz w:val="24"/>
          <w:szCs w:val="24"/>
          <w:shd w:val="clear" w:color="auto" w:fill="FFFFFF"/>
          <w:lang w:eastAsia="ar-SA"/>
        </w:rPr>
        <w:t>j</w:t>
      </w:r>
      <w:r w:rsidRPr="00A07F29">
        <w:rPr>
          <w:rFonts w:ascii="Times New Roman" w:eastAsia="Calibri" w:hAnsi="Times New Roman" w:cs="Times New Roman"/>
          <w:color w:val="000000"/>
          <w:sz w:val="24"/>
          <w:szCs w:val="24"/>
          <w:shd w:val="clear" w:color="auto" w:fill="FFFFFF"/>
          <w:lang w:eastAsia="ar-SA"/>
        </w:rPr>
        <w:t>e</w:t>
      </w:r>
      <w:proofErr w:type="spellEnd"/>
      <w:r w:rsidRPr="00A07F29">
        <w:rPr>
          <w:rFonts w:ascii="Times New Roman" w:eastAsia="Calibri" w:hAnsi="Times New Roman" w:cs="Times New Roman"/>
          <w:color w:val="000000"/>
          <w:sz w:val="24"/>
          <w:szCs w:val="24"/>
          <w:shd w:val="clear" w:color="auto" w:fill="FFFFFF"/>
          <w:lang w:eastAsia="ar-SA"/>
        </w:rPr>
        <w:t xml:space="preserve"> </w:t>
      </w:r>
      <w:r w:rsidR="003A5541" w:rsidRPr="00A07F29">
        <w:rPr>
          <w:rFonts w:ascii="Times New Roman" w:eastAsia="Calibri" w:hAnsi="Times New Roman" w:cs="Times New Roman"/>
          <w:color w:val="000000"/>
          <w:sz w:val="24"/>
          <w:szCs w:val="24"/>
          <w:shd w:val="clear" w:color="auto" w:fill="FFFFFF"/>
          <w:lang w:eastAsia="ar-SA"/>
        </w:rPr>
        <w:t>ezera</w:t>
      </w:r>
      <w:r w:rsidRPr="00A07F29">
        <w:rPr>
          <w:rFonts w:ascii="Times New Roman" w:eastAsia="Calibri" w:hAnsi="Times New Roman" w:cs="Times New Roman"/>
          <w:color w:val="000000"/>
          <w:sz w:val="24"/>
          <w:szCs w:val="24"/>
          <w:shd w:val="clear" w:color="auto" w:fill="FFFFFF"/>
          <w:lang w:eastAsia="ar-SA"/>
        </w:rPr>
        <w:t xml:space="preserve">, kā arī </w:t>
      </w:r>
      <w:r w:rsidR="003A5541" w:rsidRPr="00A07F29">
        <w:rPr>
          <w:rFonts w:ascii="Times New Roman" w:eastAsia="Calibri" w:hAnsi="Times New Roman" w:cs="Times New Roman"/>
          <w:color w:val="000000"/>
          <w:sz w:val="24"/>
          <w:szCs w:val="24"/>
          <w:shd w:val="clear" w:color="auto" w:fill="FFFFFF"/>
          <w:lang w:eastAsia="ar-SA"/>
        </w:rPr>
        <w:t xml:space="preserve">ezera </w:t>
      </w:r>
      <w:proofErr w:type="spellStart"/>
      <w:r w:rsidRPr="00A07F29">
        <w:rPr>
          <w:rFonts w:ascii="Times New Roman" w:eastAsia="Calibri" w:hAnsi="Times New Roman" w:cs="Times New Roman"/>
          <w:color w:val="000000"/>
          <w:sz w:val="24"/>
          <w:szCs w:val="24"/>
          <w:shd w:val="clear" w:color="auto" w:fill="FFFFFF"/>
          <w:lang w:eastAsia="ar-SA"/>
        </w:rPr>
        <w:t>Mazbornē</w:t>
      </w:r>
      <w:proofErr w:type="spellEnd"/>
      <w:r w:rsidR="003A5541" w:rsidRPr="00A07F29">
        <w:rPr>
          <w:rFonts w:ascii="Times New Roman" w:eastAsia="Calibri" w:hAnsi="Times New Roman" w:cs="Times New Roman"/>
          <w:color w:val="000000"/>
          <w:sz w:val="24"/>
          <w:szCs w:val="24"/>
          <w:lang w:eastAsia="ar-SA"/>
        </w:rPr>
        <w:t xml:space="preserve"> piekrastes zonā</w:t>
      </w:r>
      <w:r w:rsidRPr="00A07F29">
        <w:rPr>
          <w:rFonts w:ascii="Times New Roman" w:eastAsia="Calibri" w:hAnsi="Times New Roman" w:cs="Times New Roman"/>
          <w:color w:val="000000"/>
          <w:sz w:val="24"/>
          <w:szCs w:val="24"/>
          <w:shd w:val="clear" w:color="auto" w:fill="FFFFFF"/>
          <w:lang w:eastAsia="ar-SA"/>
        </w:rPr>
        <w:t xml:space="preserve">. Pie katra ezera izveidots viens </w:t>
      </w:r>
      <w:r w:rsidR="003A5541" w:rsidRPr="00A07F29">
        <w:rPr>
          <w:rFonts w:ascii="Times New Roman" w:eastAsia="Calibri" w:hAnsi="Times New Roman" w:cs="Times New Roman"/>
          <w:color w:val="000000"/>
          <w:sz w:val="24"/>
          <w:szCs w:val="24"/>
          <w:lang w:eastAsia="ar-SA"/>
        </w:rPr>
        <w:t>10 x 10</w:t>
      </w:r>
      <w:r w:rsidR="00FD1C85">
        <w:rPr>
          <w:rFonts w:ascii="Times New Roman" w:eastAsia="Calibri" w:hAnsi="Times New Roman" w:cs="Times New Roman"/>
          <w:color w:val="000000"/>
          <w:sz w:val="24"/>
          <w:szCs w:val="24"/>
          <w:lang w:eastAsia="ar-SA"/>
        </w:rPr>
        <w:t> </w:t>
      </w:r>
      <w:r w:rsidR="003A5541" w:rsidRPr="00A07F29">
        <w:rPr>
          <w:rFonts w:ascii="Times New Roman" w:eastAsia="Calibri" w:hAnsi="Times New Roman" w:cs="Times New Roman"/>
          <w:color w:val="000000"/>
          <w:sz w:val="24"/>
          <w:szCs w:val="24"/>
          <w:lang w:eastAsia="ar-SA"/>
        </w:rPr>
        <w:t>m</w:t>
      </w:r>
      <w:r w:rsidR="003A5541" w:rsidRPr="00A07F29">
        <w:rPr>
          <w:rFonts w:ascii="Times New Roman" w:eastAsia="Calibri" w:hAnsi="Times New Roman" w:cs="Times New Roman"/>
          <w:color w:val="000000"/>
          <w:sz w:val="24"/>
          <w:szCs w:val="24"/>
          <w:shd w:val="clear" w:color="auto" w:fill="FFFFFF"/>
          <w:lang w:eastAsia="ar-SA"/>
        </w:rPr>
        <w:t xml:space="preserve"> </w:t>
      </w:r>
      <w:r w:rsidRPr="00A07F29">
        <w:rPr>
          <w:rFonts w:ascii="Times New Roman" w:eastAsia="Calibri" w:hAnsi="Times New Roman" w:cs="Times New Roman"/>
          <w:color w:val="000000"/>
          <w:sz w:val="24"/>
          <w:szCs w:val="24"/>
          <w:shd w:val="clear" w:color="auto" w:fill="FFFFFF"/>
          <w:lang w:eastAsia="ar-SA"/>
        </w:rPr>
        <w:t>parauglaukums.</w:t>
      </w:r>
      <w:r w:rsidRPr="00A07F29">
        <w:rPr>
          <w:rFonts w:ascii="Times New Roman" w:eastAsia="Calibri" w:hAnsi="Times New Roman" w:cs="Times New Roman"/>
          <w:color w:val="000000"/>
          <w:sz w:val="24"/>
          <w:szCs w:val="24"/>
          <w:lang w:eastAsia="ar-SA"/>
        </w:rPr>
        <w:t xml:space="preserve"> </w:t>
      </w:r>
      <w:r w:rsidR="003A5541" w:rsidRPr="00A07F29">
        <w:rPr>
          <w:rFonts w:ascii="Times New Roman" w:eastAsia="Calibri" w:hAnsi="Times New Roman" w:cs="Times New Roman"/>
          <w:color w:val="000000"/>
          <w:sz w:val="24"/>
          <w:szCs w:val="24"/>
          <w:lang w:eastAsia="ar-SA"/>
        </w:rPr>
        <w:t xml:space="preserve">Aprēķinot </w:t>
      </w:r>
      <w:r w:rsidRPr="00A07F29">
        <w:rPr>
          <w:rFonts w:ascii="Times New Roman" w:eastAsia="Calibri" w:hAnsi="Times New Roman" w:cs="Times New Roman"/>
          <w:color w:val="000000"/>
          <w:sz w:val="24"/>
          <w:szCs w:val="24"/>
          <w:lang w:eastAsia="ar-SA"/>
        </w:rPr>
        <w:t xml:space="preserve">teritorijā prognozējamo </w:t>
      </w:r>
      <w:r w:rsidR="0F6C59EB" w:rsidRPr="00A07F29">
        <w:rPr>
          <w:rFonts w:ascii="Times New Roman" w:eastAsia="Calibri" w:hAnsi="Times New Roman" w:cs="Times New Roman"/>
          <w:color w:val="000000"/>
          <w:sz w:val="24"/>
          <w:szCs w:val="24"/>
          <w:lang w:eastAsia="ar-SA"/>
        </w:rPr>
        <w:t>ī</w:t>
      </w:r>
      <w:r w:rsidRPr="00A07F29">
        <w:rPr>
          <w:rFonts w:ascii="Times New Roman" w:eastAsia="Calibri" w:hAnsi="Times New Roman" w:cs="Times New Roman"/>
          <w:color w:val="000000"/>
          <w:sz w:val="24"/>
          <w:szCs w:val="24"/>
          <w:lang w:eastAsia="ar-SA"/>
        </w:rPr>
        <w:t>patņu skaitu un dzīvotnes platību</w:t>
      </w:r>
      <w:r w:rsidR="003A5541" w:rsidRPr="00A07F29">
        <w:rPr>
          <w:rFonts w:ascii="Times New Roman" w:eastAsia="Calibri" w:hAnsi="Times New Roman" w:cs="Times New Roman"/>
          <w:color w:val="000000"/>
          <w:sz w:val="24"/>
          <w:szCs w:val="24"/>
          <w:lang w:eastAsia="ar-SA"/>
        </w:rPr>
        <w:t>,</w:t>
      </w:r>
      <w:r w:rsidRPr="00A07F29">
        <w:rPr>
          <w:rFonts w:ascii="Times New Roman" w:eastAsia="Calibri" w:hAnsi="Times New Roman" w:cs="Times New Roman"/>
          <w:color w:val="000000"/>
          <w:sz w:val="24"/>
          <w:szCs w:val="24"/>
          <w:lang w:eastAsia="ar-SA"/>
        </w:rPr>
        <w:t xml:space="preserve"> </w:t>
      </w:r>
      <w:r w:rsidR="003A5541" w:rsidRPr="00A07F29">
        <w:rPr>
          <w:rFonts w:ascii="Times New Roman" w:eastAsia="Calibri" w:hAnsi="Times New Roman" w:cs="Times New Roman"/>
          <w:color w:val="000000"/>
          <w:sz w:val="24"/>
          <w:szCs w:val="24"/>
          <w:lang w:eastAsia="ar-SA"/>
        </w:rPr>
        <w:t>p</w:t>
      </w:r>
      <w:r w:rsidRPr="00A07F29">
        <w:rPr>
          <w:rFonts w:ascii="Times New Roman" w:eastAsia="Calibri" w:hAnsi="Times New Roman" w:cs="Times New Roman"/>
          <w:color w:val="000000"/>
          <w:sz w:val="24"/>
          <w:szCs w:val="24"/>
          <w:lang w:eastAsia="ar-SA"/>
        </w:rPr>
        <w:t xml:space="preserve">ar </w:t>
      </w:r>
      <w:proofErr w:type="spellStart"/>
      <w:r w:rsidRPr="00A07F29">
        <w:rPr>
          <w:rFonts w:ascii="Times New Roman" w:eastAsia="Calibri" w:hAnsi="Times New Roman" w:cs="Times New Roman"/>
          <w:color w:val="000000"/>
          <w:sz w:val="24"/>
          <w:szCs w:val="24"/>
          <w:lang w:eastAsia="ar-SA"/>
        </w:rPr>
        <w:t>purvuspārēm</w:t>
      </w:r>
      <w:proofErr w:type="spellEnd"/>
      <w:r w:rsidRPr="00A07F29">
        <w:rPr>
          <w:rFonts w:ascii="Times New Roman" w:eastAsia="Calibri" w:hAnsi="Times New Roman" w:cs="Times New Roman"/>
          <w:color w:val="000000"/>
          <w:sz w:val="24"/>
          <w:szCs w:val="24"/>
          <w:lang w:eastAsia="ar-SA"/>
        </w:rPr>
        <w:t xml:space="preserve"> optimālu dzīvotni netika uzskatīta krasta līnija, kas robežojas ar mežu, līdz ar to tā netika izmantota aprēķinos. </w:t>
      </w:r>
    </w:p>
    <w:p w14:paraId="45B35521" w14:textId="338B6CB7" w:rsidR="003A5541" w:rsidRPr="00A07F29" w:rsidRDefault="009072CE" w:rsidP="00F62C2C">
      <w:pPr>
        <w:autoSpaceDE w:val="0"/>
        <w:autoSpaceDN w:val="0"/>
        <w:adjustRightInd w:val="0"/>
        <w:spacing w:after="120" w:line="240" w:lineRule="auto"/>
        <w:ind w:firstLine="851"/>
        <w:jc w:val="both"/>
        <w:rPr>
          <w:rFonts w:ascii="Times New Roman" w:eastAsia="Calibri" w:hAnsi="Times New Roman" w:cs="Times New Roman"/>
          <w:color w:val="000000"/>
          <w:sz w:val="24"/>
          <w:szCs w:val="24"/>
          <w:shd w:val="clear" w:color="auto" w:fill="FFFFFF"/>
          <w:lang w:eastAsia="ar-SA"/>
        </w:rPr>
      </w:pPr>
      <w:r w:rsidRPr="00A07F29">
        <w:rPr>
          <w:rFonts w:ascii="Times New Roman" w:eastAsia="Calibri" w:hAnsi="Times New Roman" w:cs="Times New Roman"/>
          <w:color w:val="000000"/>
          <w:sz w:val="24"/>
          <w:szCs w:val="24"/>
          <w:lang w:eastAsia="ar-SA"/>
        </w:rPr>
        <w:t xml:space="preserve">Spilgtā </w:t>
      </w:r>
      <w:proofErr w:type="spellStart"/>
      <w:r w:rsidRPr="00A07F29">
        <w:rPr>
          <w:rFonts w:ascii="Times New Roman" w:eastAsia="Calibri" w:hAnsi="Times New Roman" w:cs="Times New Roman"/>
          <w:color w:val="000000"/>
          <w:sz w:val="24"/>
          <w:szCs w:val="24"/>
          <w:lang w:eastAsia="ar-SA"/>
        </w:rPr>
        <w:t>purvuspāre</w:t>
      </w:r>
      <w:proofErr w:type="spellEnd"/>
      <w:r w:rsidRPr="00A07F29">
        <w:rPr>
          <w:rFonts w:ascii="Times New Roman" w:eastAsia="Calibri" w:hAnsi="Times New Roman" w:cs="Times New Roman"/>
          <w:color w:val="000000"/>
          <w:sz w:val="24"/>
          <w:szCs w:val="24"/>
          <w:lang w:eastAsia="ar-SA"/>
        </w:rPr>
        <w:t xml:space="preserve"> (</w:t>
      </w:r>
      <w:r w:rsidR="00B6218C">
        <w:rPr>
          <w:rFonts w:ascii="Times New Roman" w:eastAsia="Calibri" w:hAnsi="Times New Roman" w:cs="Times New Roman"/>
          <w:color w:val="000000"/>
          <w:sz w:val="24"/>
          <w:szCs w:val="24"/>
          <w:lang w:eastAsia="ar-SA"/>
        </w:rPr>
        <w:t xml:space="preserve">skat. </w:t>
      </w:r>
      <w:r w:rsidRPr="00A07F29">
        <w:rPr>
          <w:rFonts w:ascii="Times New Roman" w:eastAsia="Calibri" w:hAnsi="Times New Roman" w:cs="Times New Roman"/>
          <w:color w:val="000000"/>
          <w:sz w:val="24"/>
          <w:szCs w:val="24"/>
          <w:lang w:eastAsia="ar-SA"/>
        </w:rPr>
        <w:t>4.</w:t>
      </w:r>
      <w:r w:rsidR="00F62C2C" w:rsidRPr="00A07F29">
        <w:rPr>
          <w:rFonts w:ascii="Times New Roman" w:eastAsia="Calibri" w:hAnsi="Times New Roman" w:cs="Times New Roman"/>
          <w:color w:val="000000"/>
          <w:sz w:val="24"/>
          <w:szCs w:val="24"/>
          <w:lang w:eastAsia="ar-SA"/>
        </w:rPr>
        <w:t>7</w:t>
      </w:r>
      <w:r w:rsidRPr="00A07F29">
        <w:rPr>
          <w:rFonts w:ascii="Times New Roman" w:eastAsia="Calibri" w:hAnsi="Times New Roman" w:cs="Times New Roman"/>
          <w:color w:val="000000"/>
          <w:sz w:val="24"/>
          <w:szCs w:val="24"/>
          <w:lang w:eastAsia="ar-SA"/>
        </w:rPr>
        <w:t>.1.4.</w:t>
      </w:r>
      <w:r w:rsidR="00B6218C">
        <w:rPr>
          <w:rFonts w:ascii="Times New Roman" w:eastAsia="Calibri" w:hAnsi="Times New Roman" w:cs="Times New Roman"/>
          <w:color w:val="000000"/>
          <w:sz w:val="24"/>
          <w:szCs w:val="24"/>
          <w:lang w:eastAsia="ar-SA"/>
        </w:rPr>
        <w:t> </w:t>
      </w:r>
      <w:r w:rsidRPr="00A07F29">
        <w:rPr>
          <w:rFonts w:ascii="Times New Roman" w:eastAsia="Calibri" w:hAnsi="Times New Roman" w:cs="Times New Roman"/>
          <w:color w:val="000000"/>
          <w:sz w:val="24"/>
          <w:szCs w:val="24"/>
          <w:lang w:eastAsia="ar-SA"/>
        </w:rPr>
        <w:t>att</w:t>
      </w:r>
      <w:r w:rsidR="00B6218C">
        <w:rPr>
          <w:rFonts w:ascii="Times New Roman" w:eastAsia="Calibri" w:hAnsi="Times New Roman" w:cs="Times New Roman"/>
          <w:color w:val="000000"/>
          <w:sz w:val="24"/>
          <w:szCs w:val="24"/>
          <w:lang w:eastAsia="ar-SA"/>
        </w:rPr>
        <w:t>ēls</w:t>
      </w:r>
      <w:r w:rsidRPr="00A07F29">
        <w:rPr>
          <w:rFonts w:ascii="Times New Roman" w:eastAsia="Calibri" w:hAnsi="Times New Roman" w:cs="Times New Roman"/>
          <w:color w:val="000000"/>
          <w:sz w:val="24"/>
          <w:szCs w:val="24"/>
          <w:lang w:eastAsia="ar-SA"/>
        </w:rPr>
        <w:t xml:space="preserve">) konstatēta pie </w:t>
      </w:r>
      <w:proofErr w:type="spellStart"/>
      <w:r w:rsidRPr="00A07F29">
        <w:rPr>
          <w:rFonts w:ascii="Times New Roman" w:eastAsia="Calibri" w:hAnsi="Times New Roman" w:cs="Times New Roman"/>
          <w:color w:val="000000"/>
          <w:sz w:val="24"/>
          <w:szCs w:val="24"/>
          <w:lang w:eastAsia="ar-SA"/>
        </w:rPr>
        <w:t>Butišķu</w:t>
      </w:r>
      <w:proofErr w:type="spellEnd"/>
      <w:r w:rsidRPr="00A07F29">
        <w:rPr>
          <w:rFonts w:ascii="Times New Roman" w:eastAsia="Calibri" w:hAnsi="Times New Roman" w:cs="Times New Roman"/>
          <w:color w:val="000000"/>
          <w:sz w:val="24"/>
          <w:szCs w:val="24"/>
          <w:lang w:eastAsia="ar-SA"/>
        </w:rPr>
        <w:t xml:space="preserve"> ezera (</w:t>
      </w:r>
      <w:r w:rsidR="00B6218C">
        <w:rPr>
          <w:rFonts w:ascii="Times New Roman" w:eastAsia="Calibri" w:hAnsi="Times New Roman" w:cs="Times New Roman"/>
          <w:color w:val="000000"/>
          <w:sz w:val="24"/>
          <w:szCs w:val="24"/>
          <w:lang w:eastAsia="ar-SA"/>
        </w:rPr>
        <w:t xml:space="preserve">skat. </w:t>
      </w:r>
      <w:r w:rsidR="00F62C2C" w:rsidRPr="00A07F29">
        <w:rPr>
          <w:rFonts w:ascii="Times New Roman" w:eastAsia="Calibri" w:hAnsi="Times New Roman" w:cs="Times New Roman"/>
          <w:color w:val="000000"/>
          <w:sz w:val="24"/>
          <w:szCs w:val="24"/>
          <w:lang w:eastAsia="ar-SA"/>
        </w:rPr>
        <w:t>4.7.1.</w:t>
      </w:r>
      <w:r w:rsidRPr="00A07F29">
        <w:rPr>
          <w:rFonts w:ascii="Times New Roman" w:eastAsia="Calibri" w:hAnsi="Times New Roman" w:cs="Times New Roman"/>
          <w:color w:val="000000"/>
          <w:sz w:val="24"/>
          <w:szCs w:val="24"/>
          <w:lang w:eastAsia="ar-SA"/>
        </w:rPr>
        <w:t>3.</w:t>
      </w:r>
      <w:r w:rsidR="00B6218C">
        <w:rPr>
          <w:rFonts w:ascii="Times New Roman" w:eastAsia="Calibri" w:hAnsi="Times New Roman" w:cs="Times New Roman"/>
          <w:color w:val="000000"/>
          <w:sz w:val="24"/>
          <w:szCs w:val="24"/>
          <w:lang w:eastAsia="ar-SA"/>
        </w:rPr>
        <w:t> </w:t>
      </w:r>
      <w:r w:rsidRPr="00A07F29">
        <w:rPr>
          <w:rFonts w:ascii="Times New Roman" w:eastAsia="Calibri" w:hAnsi="Times New Roman" w:cs="Times New Roman"/>
          <w:color w:val="000000"/>
          <w:sz w:val="24"/>
          <w:szCs w:val="24"/>
          <w:lang w:eastAsia="ar-SA"/>
        </w:rPr>
        <w:t>att</w:t>
      </w:r>
      <w:r w:rsidR="00B6218C">
        <w:rPr>
          <w:rFonts w:ascii="Times New Roman" w:eastAsia="Calibri" w:hAnsi="Times New Roman" w:cs="Times New Roman"/>
          <w:color w:val="000000"/>
          <w:sz w:val="24"/>
          <w:szCs w:val="24"/>
          <w:lang w:eastAsia="ar-SA"/>
        </w:rPr>
        <w:t>ēls</w:t>
      </w:r>
      <w:r w:rsidRPr="00A07F29">
        <w:rPr>
          <w:rFonts w:ascii="Times New Roman" w:eastAsia="Calibri" w:hAnsi="Times New Roman" w:cs="Times New Roman"/>
          <w:color w:val="000000"/>
          <w:sz w:val="24"/>
          <w:szCs w:val="24"/>
          <w:lang w:eastAsia="ar-SA"/>
        </w:rPr>
        <w:t xml:space="preserve">), Tartaka ezera, </w:t>
      </w:r>
      <w:proofErr w:type="spellStart"/>
      <w:r w:rsidRPr="00A07F29">
        <w:rPr>
          <w:rFonts w:ascii="Times New Roman" w:eastAsia="Calibri" w:hAnsi="Times New Roman" w:cs="Times New Roman"/>
          <w:color w:val="000000"/>
          <w:sz w:val="24"/>
          <w:szCs w:val="24"/>
          <w:lang w:eastAsia="ar-SA"/>
        </w:rPr>
        <w:t>Juganinas</w:t>
      </w:r>
      <w:proofErr w:type="spellEnd"/>
      <w:r w:rsidRPr="00A07F29">
        <w:rPr>
          <w:rFonts w:ascii="Times New Roman" w:eastAsia="Calibri" w:hAnsi="Times New Roman" w:cs="Times New Roman"/>
          <w:color w:val="000000"/>
          <w:sz w:val="24"/>
          <w:szCs w:val="24"/>
          <w:lang w:eastAsia="ar-SA"/>
        </w:rPr>
        <w:t xml:space="preserve"> dīķa, kā arī ūdenstilpēs pie apdzīvotās vietas </w:t>
      </w:r>
      <w:proofErr w:type="spellStart"/>
      <w:r w:rsidRPr="00A07F29">
        <w:rPr>
          <w:rFonts w:ascii="Times New Roman" w:eastAsia="Calibri" w:hAnsi="Times New Roman" w:cs="Times New Roman"/>
          <w:color w:val="000000"/>
          <w:sz w:val="24"/>
          <w:szCs w:val="24"/>
          <w:lang w:eastAsia="ar-SA"/>
        </w:rPr>
        <w:t>Stašališki</w:t>
      </w:r>
      <w:proofErr w:type="spellEnd"/>
      <w:r w:rsidRPr="00A07F29">
        <w:rPr>
          <w:rFonts w:ascii="Times New Roman" w:eastAsia="Calibri" w:hAnsi="Times New Roman" w:cs="Times New Roman"/>
          <w:color w:val="000000"/>
          <w:sz w:val="24"/>
          <w:szCs w:val="24"/>
          <w:lang w:eastAsia="ar-SA"/>
        </w:rPr>
        <w:t xml:space="preserve"> un </w:t>
      </w:r>
      <w:proofErr w:type="spellStart"/>
      <w:r w:rsidRPr="00A07F29">
        <w:rPr>
          <w:rFonts w:ascii="Times New Roman" w:eastAsia="Calibri" w:hAnsi="Times New Roman" w:cs="Times New Roman"/>
          <w:color w:val="000000"/>
          <w:sz w:val="24"/>
          <w:szCs w:val="24"/>
          <w:lang w:eastAsia="ar-SA"/>
        </w:rPr>
        <w:t>Mazborne</w:t>
      </w:r>
      <w:proofErr w:type="spellEnd"/>
      <w:r w:rsidRPr="00A07F29">
        <w:rPr>
          <w:rFonts w:ascii="Times New Roman" w:eastAsia="Calibri" w:hAnsi="Times New Roman" w:cs="Times New Roman"/>
          <w:color w:val="000000"/>
          <w:sz w:val="24"/>
          <w:szCs w:val="24"/>
          <w:lang w:eastAsia="ar-SA"/>
        </w:rPr>
        <w:t xml:space="preserve">. </w:t>
      </w:r>
      <w:r w:rsidRPr="00A07F29">
        <w:rPr>
          <w:rFonts w:ascii="Times New Roman" w:eastAsia="Calibri" w:hAnsi="Times New Roman" w:cs="Times New Roman"/>
          <w:color w:val="000000"/>
          <w:sz w:val="24"/>
          <w:szCs w:val="24"/>
          <w:shd w:val="clear" w:color="auto" w:fill="FFFFFF"/>
          <w:lang w:eastAsia="ar-SA"/>
        </w:rPr>
        <w:t xml:space="preserve">Vidējais parauglaukumā konstatēto īpatņu skaits ir </w:t>
      </w:r>
      <w:r w:rsidR="00025FB0">
        <w:rPr>
          <w:rFonts w:ascii="Times New Roman" w:eastAsia="Calibri" w:hAnsi="Times New Roman" w:cs="Times New Roman"/>
          <w:color w:val="000000"/>
          <w:sz w:val="24"/>
          <w:szCs w:val="24"/>
          <w:shd w:val="clear" w:color="auto" w:fill="FFFFFF"/>
          <w:lang w:eastAsia="ar-SA"/>
        </w:rPr>
        <w:t>četri</w:t>
      </w:r>
      <w:r w:rsidRPr="00A07F29">
        <w:rPr>
          <w:rFonts w:ascii="Times New Roman" w:eastAsia="Calibri" w:hAnsi="Times New Roman" w:cs="Times New Roman"/>
          <w:color w:val="000000"/>
          <w:sz w:val="24"/>
          <w:szCs w:val="24"/>
          <w:shd w:val="clear" w:color="auto" w:fill="FFFFFF"/>
          <w:lang w:eastAsia="ar-SA"/>
        </w:rPr>
        <w:t xml:space="preserve"> īpatņi. Kopējais </w:t>
      </w:r>
      <w:proofErr w:type="spellStart"/>
      <w:r w:rsidRPr="00A07F29">
        <w:rPr>
          <w:rFonts w:ascii="Times New Roman" w:eastAsia="Calibri" w:hAnsi="Times New Roman" w:cs="Times New Roman"/>
          <w:color w:val="000000"/>
          <w:sz w:val="24"/>
          <w:szCs w:val="24"/>
          <w:shd w:val="clear" w:color="auto" w:fill="FFFFFF"/>
          <w:lang w:eastAsia="ar-SA"/>
        </w:rPr>
        <w:t>purvuspārēm</w:t>
      </w:r>
      <w:proofErr w:type="spellEnd"/>
      <w:r w:rsidRPr="00A07F29">
        <w:rPr>
          <w:rFonts w:ascii="Times New Roman" w:eastAsia="Calibri" w:hAnsi="Times New Roman" w:cs="Times New Roman"/>
          <w:color w:val="000000"/>
          <w:sz w:val="24"/>
          <w:szCs w:val="24"/>
          <w:shd w:val="clear" w:color="auto" w:fill="FFFFFF"/>
          <w:lang w:eastAsia="ar-SA"/>
        </w:rPr>
        <w:t xml:space="preserve"> piemērotās krasta līnijas garums apsekot</w:t>
      </w:r>
      <w:r w:rsidR="003A5541" w:rsidRPr="00A07F29">
        <w:rPr>
          <w:rFonts w:ascii="Times New Roman" w:eastAsia="Calibri" w:hAnsi="Times New Roman" w:cs="Times New Roman"/>
          <w:color w:val="000000"/>
          <w:sz w:val="24"/>
          <w:szCs w:val="24"/>
          <w:shd w:val="clear" w:color="auto" w:fill="FFFFFF"/>
          <w:lang w:eastAsia="ar-SA"/>
        </w:rPr>
        <w:t>aj</w:t>
      </w:r>
      <w:r w:rsidRPr="00A07F29">
        <w:rPr>
          <w:rFonts w:ascii="Times New Roman" w:eastAsia="Calibri" w:hAnsi="Times New Roman" w:cs="Times New Roman"/>
          <w:color w:val="000000"/>
          <w:sz w:val="24"/>
          <w:szCs w:val="24"/>
          <w:shd w:val="clear" w:color="auto" w:fill="FFFFFF"/>
          <w:lang w:eastAsia="ar-SA"/>
        </w:rPr>
        <w:t>os ezeros ir 1275</w:t>
      </w:r>
      <w:r w:rsidR="00025FB0">
        <w:rPr>
          <w:rFonts w:ascii="Times New Roman" w:eastAsia="Calibri" w:hAnsi="Times New Roman" w:cs="Times New Roman"/>
          <w:color w:val="000000"/>
          <w:sz w:val="24"/>
          <w:szCs w:val="24"/>
          <w:shd w:val="clear" w:color="auto" w:fill="FFFFFF"/>
          <w:lang w:eastAsia="ar-SA"/>
        </w:rPr>
        <w:t> </w:t>
      </w:r>
      <w:r w:rsidRPr="00A07F29">
        <w:rPr>
          <w:rFonts w:ascii="Times New Roman" w:eastAsia="Calibri" w:hAnsi="Times New Roman" w:cs="Times New Roman"/>
          <w:color w:val="000000"/>
          <w:sz w:val="24"/>
          <w:szCs w:val="24"/>
          <w:shd w:val="clear" w:color="auto" w:fill="FFFFFF"/>
          <w:lang w:eastAsia="ar-SA"/>
        </w:rPr>
        <w:t xml:space="preserve">m un potenciāli sastopamo īpatņu skaits 510, turklāt daļa no spārēm neuzturas ezeru piekrastes joslā, līdz ar to reālais īpatņu skaits var sasniegt 663 īpatņus. </w:t>
      </w:r>
      <w:r w:rsidRPr="00A07F29">
        <w:rPr>
          <w:rFonts w:ascii="Times New Roman" w:eastAsia="Calibri" w:hAnsi="Times New Roman" w:cs="Times New Roman"/>
          <w:color w:val="000000"/>
          <w:sz w:val="24"/>
          <w:szCs w:val="24"/>
          <w:lang w:eastAsia="ar-SA"/>
        </w:rPr>
        <w:t xml:space="preserve">Latvijā suga apdzīvo dažāda tipa ūdenstilpes, </w:t>
      </w:r>
      <w:proofErr w:type="spellStart"/>
      <w:r w:rsidRPr="00A07F29">
        <w:rPr>
          <w:rFonts w:ascii="Times New Roman" w:eastAsia="Calibri" w:hAnsi="Times New Roman" w:cs="Times New Roman"/>
          <w:color w:val="000000"/>
          <w:sz w:val="24"/>
          <w:szCs w:val="24"/>
          <w:lang w:eastAsia="ar-SA"/>
        </w:rPr>
        <w:t>eitrofus</w:t>
      </w:r>
      <w:proofErr w:type="spellEnd"/>
      <w:r w:rsidRPr="00A07F29">
        <w:rPr>
          <w:rFonts w:ascii="Times New Roman" w:eastAsia="Calibri" w:hAnsi="Times New Roman" w:cs="Times New Roman"/>
          <w:color w:val="000000"/>
          <w:sz w:val="24"/>
          <w:szCs w:val="24"/>
          <w:lang w:eastAsia="ar-SA"/>
        </w:rPr>
        <w:t xml:space="preserve"> un </w:t>
      </w:r>
      <w:proofErr w:type="spellStart"/>
      <w:r w:rsidRPr="00A07F29">
        <w:rPr>
          <w:rFonts w:ascii="Times New Roman" w:eastAsia="Calibri" w:hAnsi="Times New Roman" w:cs="Times New Roman"/>
          <w:color w:val="000000"/>
          <w:sz w:val="24"/>
          <w:szCs w:val="24"/>
          <w:lang w:eastAsia="ar-SA"/>
        </w:rPr>
        <w:t>distrofus</w:t>
      </w:r>
      <w:proofErr w:type="spellEnd"/>
      <w:r w:rsidRPr="00A07F29">
        <w:rPr>
          <w:rFonts w:ascii="Times New Roman" w:eastAsia="Calibri" w:hAnsi="Times New Roman" w:cs="Times New Roman"/>
          <w:color w:val="000000"/>
          <w:sz w:val="24"/>
          <w:szCs w:val="24"/>
          <w:lang w:eastAsia="ar-SA"/>
        </w:rPr>
        <w:t xml:space="preserve"> ezerus, </w:t>
      </w:r>
      <w:proofErr w:type="spellStart"/>
      <w:r w:rsidRPr="00A07F29">
        <w:rPr>
          <w:rFonts w:ascii="Times New Roman" w:eastAsia="Calibri" w:hAnsi="Times New Roman" w:cs="Times New Roman"/>
          <w:color w:val="000000"/>
          <w:sz w:val="24"/>
          <w:szCs w:val="24"/>
          <w:lang w:eastAsia="ar-SA"/>
        </w:rPr>
        <w:t>vecupes</w:t>
      </w:r>
      <w:proofErr w:type="spellEnd"/>
      <w:r w:rsidRPr="00A07F29">
        <w:rPr>
          <w:rFonts w:ascii="Times New Roman" w:eastAsia="Calibri" w:hAnsi="Times New Roman" w:cs="Times New Roman"/>
          <w:color w:val="000000"/>
          <w:sz w:val="24"/>
          <w:szCs w:val="24"/>
          <w:lang w:eastAsia="ar-SA"/>
        </w:rPr>
        <w:t xml:space="preserve">, dīķus, karjerus ar labi attīstītu veģetāciju. Biežāk apdzīvo atklātus </w:t>
      </w:r>
      <w:proofErr w:type="spellStart"/>
      <w:r w:rsidRPr="00A07F29">
        <w:rPr>
          <w:rFonts w:ascii="Times New Roman" w:eastAsia="Calibri" w:hAnsi="Times New Roman" w:cs="Times New Roman"/>
          <w:color w:val="000000"/>
          <w:sz w:val="24"/>
          <w:szCs w:val="24"/>
          <w:lang w:eastAsia="ar-SA"/>
        </w:rPr>
        <w:t>mikrobiotopus</w:t>
      </w:r>
      <w:proofErr w:type="spellEnd"/>
      <w:r w:rsidRPr="00A07F29">
        <w:rPr>
          <w:rFonts w:ascii="Times New Roman" w:eastAsia="Calibri" w:hAnsi="Times New Roman" w:cs="Times New Roman"/>
          <w:color w:val="000000"/>
          <w:sz w:val="24"/>
          <w:szCs w:val="24"/>
          <w:lang w:eastAsia="ar-SA"/>
        </w:rPr>
        <w:t xml:space="preserve">, galvenokārt ar daļēju </w:t>
      </w:r>
      <w:proofErr w:type="spellStart"/>
      <w:r w:rsidRPr="00A07F29">
        <w:rPr>
          <w:rFonts w:ascii="Times New Roman" w:eastAsia="Calibri" w:hAnsi="Times New Roman" w:cs="Times New Roman"/>
          <w:color w:val="000000"/>
          <w:sz w:val="24"/>
          <w:szCs w:val="24"/>
          <w:lang w:eastAsia="ar-SA"/>
        </w:rPr>
        <w:t>virsūdens</w:t>
      </w:r>
      <w:proofErr w:type="spellEnd"/>
      <w:r w:rsidRPr="00A07F29">
        <w:rPr>
          <w:rFonts w:ascii="Times New Roman" w:eastAsia="Calibri" w:hAnsi="Times New Roman" w:cs="Times New Roman"/>
          <w:color w:val="000000"/>
          <w:sz w:val="24"/>
          <w:szCs w:val="24"/>
          <w:lang w:eastAsia="ar-SA"/>
        </w:rPr>
        <w:t xml:space="preserve"> augāju un parastā </w:t>
      </w:r>
      <w:proofErr w:type="spellStart"/>
      <w:r w:rsidRPr="00A07F29">
        <w:rPr>
          <w:rFonts w:ascii="Times New Roman" w:eastAsia="Calibri" w:hAnsi="Times New Roman" w:cs="Times New Roman"/>
          <w:color w:val="000000"/>
          <w:sz w:val="24"/>
          <w:szCs w:val="24"/>
          <w:lang w:eastAsia="ar-SA"/>
        </w:rPr>
        <w:t>elša</w:t>
      </w:r>
      <w:proofErr w:type="spellEnd"/>
      <w:r w:rsidRPr="00A07F29">
        <w:rPr>
          <w:rFonts w:ascii="Times New Roman" w:eastAsia="Calibri" w:hAnsi="Times New Roman" w:cs="Times New Roman"/>
          <w:color w:val="000000"/>
          <w:sz w:val="24"/>
          <w:szCs w:val="24"/>
          <w:lang w:eastAsia="ar-SA"/>
        </w:rPr>
        <w:t xml:space="preserve"> audzēm (Kalniņš</w:t>
      </w:r>
      <w:r w:rsidR="00727DBC">
        <w:rPr>
          <w:rFonts w:ascii="Times New Roman" w:eastAsia="Calibri" w:hAnsi="Times New Roman" w:cs="Times New Roman"/>
          <w:color w:val="000000"/>
          <w:sz w:val="24"/>
          <w:szCs w:val="24"/>
          <w:lang w:eastAsia="ar-SA"/>
        </w:rPr>
        <w:t xml:space="preserve"> M.</w:t>
      </w:r>
      <w:r w:rsidRPr="00A07F29">
        <w:rPr>
          <w:rFonts w:ascii="Times New Roman" w:eastAsia="Calibri" w:hAnsi="Times New Roman" w:cs="Times New Roman"/>
          <w:color w:val="000000"/>
          <w:sz w:val="24"/>
          <w:szCs w:val="24"/>
          <w:lang w:eastAsia="ar-SA"/>
        </w:rPr>
        <w:t>, 2017).</w:t>
      </w:r>
      <w:r w:rsidRPr="00A07F29">
        <w:rPr>
          <w:rFonts w:ascii="Times New Roman" w:eastAsia="Calibri" w:hAnsi="Times New Roman" w:cs="Times New Roman"/>
          <w:color w:val="000000"/>
          <w:sz w:val="24"/>
          <w:szCs w:val="24"/>
          <w:shd w:val="clear" w:color="auto" w:fill="FFFFFF"/>
          <w:lang w:eastAsia="ar-SA"/>
        </w:rPr>
        <w:t xml:space="preserve"> </w:t>
      </w:r>
    </w:p>
    <w:p w14:paraId="273EC0B7" w14:textId="54F60FB6" w:rsidR="00BD78C3" w:rsidRPr="00A07F29" w:rsidRDefault="009072CE" w:rsidP="00F62C2C">
      <w:pPr>
        <w:autoSpaceDE w:val="0"/>
        <w:autoSpaceDN w:val="0"/>
        <w:adjustRightInd w:val="0"/>
        <w:spacing w:after="120" w:line="240" w:lineRule="auto"/>
        <w:ind w:firstLine="851"/>
        <w:jc w:val="both"/>
        <w:rPr>
          <w:rFonts w:ascii="Times New Roman" w:eastAsia="Calibri" w:hAnsi="Times New Roman" w:cs="Times New Roman"/>
          <w:color w:val="000000"/>
          <w:sz w:val="24"/>
          <w:szCs w:val="24"/>
          <w:shd w:val="clear" w:color="auto" w:fill="FFFFFF"/>
          <w:lang w:eastAsia="ar-SA"/>
        </w:rPr>
      </w:pPr>
      <w:proofErr w:type="spellStart"/>
      <w:r w:rsidRPr="00A07F29">
        <w:rPr>
          <w:rFonts w:ascii="Times New Roman" w:eastAsia="Calibri" w:hAnsi="Times New Roman" w:cs="Times New Roman"/>
          <w:color w:val="000000"/>
          <w:sz w:val="24"/>
          <w:szCs w:val="24"/>
          <w:shd w:val="clear" w:color="auto" w:fill="FFFFFF"/>
          <w:lang w:eastAsia="ar-SA"/>
        </w:rPr>
        <w:lastRenderedPageBreak/>
        <w:t>Raibgalvas</w:t>
      </w:r>
      <w:proofErr w:type="spellEnd"/>
      <w:r w:rsidRPr="00A07F29">
        <w:rPr>
          <w:rFonts w:ascii="Times New Roman" w:eastAsia="Calibri" w:hAnsi="Times New Roman" w:cs="Times New Roman"/>
          <w:color w:val="000000"/>
          <w:sz w:val="24"/>
          <w:szCs w:val="24"/>
          <w:shd w:val="clear" w:color="auto" w:fill="FFFFFF"/>
          <w:lang w:eastAsia="ar-SA"/>
        </w:rPr>
        <w:t xml:space="preserve"> </w:t>
      </w:r>
      <w:proofErr w:type="spellStart"/>
      <w:r w:rsidRPr="00A07F29">
        <w:rPr>
          <w:rFonts w:ascii="Times New Roman" w:eastAsia="Calibri" w:hAnsi="Times New Roman" w:cs="Times New Roman"/>
          <w:color w:val="000000"/>
          <w:sz w:val="24"/>
          <w:szCs w:val="24"/>
          <w:shd w:val="clear" w:color="auto" w:fill="FFFFFF"/>
          <w:lang w:eastAsia="ar-SA"/>
        </w:rPr>
        <w:t>purvuspāre</w:t>
      </w:r>
      <w:proofErr w:type="spellEnd"/>
      <w:r w:rsidRPr="00A07F29">
        <w:rPr>
          <w:rFonts w:ascii="Times New Roman" w:eastAsia="Calibri" w:hAnsi="Times New Roman" w:cs="Times New Roman"/>
          <w:color w:val="000000"/>
          <w:sz w:val="24"/>
          <w:szCs w:val="24"/>
          <w:shd w:val="clear" w:color="auto" w:fill="FFFFFF"/>
          <w:lang w:eastAsia="ar-SA"/>
        </w:rPr>
        <w:t xml:space="preserve"> konstatēta </w:t>
      </w:r>
      <w:proofErr w:type="spellStart"/>
      <w:r w:rsidRPr="00A07F29">
        <w:rPr>
          <w:rFonts w:ascii="Times New Roman" w:eastAsia="Calibri" w:hAnsi="Times New Roman" w:cs="Times New Roman"/>
          <w:color w:val="000000"/>
          <w:sz w:val="24"/>
          <w:szCs w:val="24"/>
          <w:shd w:val="clear" w:color="auto" w:fill="FFFFFF"/>
          <w:lang w:eastAsia="ar-SA"/>
        </w:rPr>
        <w:t>Vaičuku</w:t>
      </w:r>
      <w:proofErr w:type="spellEnd"/>
      <w:r w:rsidRPr="00A07F29">
        <w:rPr>
          <w:rFonts w:ascii="Times New Roman" w:eastAsia="Calibri" w:hAnsi="Times New Roman" w:cs="Times New Roman"/>
          <w:color w:val="000000"/>
          <w:sz w:val="24"/>
          <w:szCs w:val="24"/>
          <w:shd w:val="clear" w:color="auto" w:fill="FFFFFF"/>
          <w:lang w:eastAsia="ar-SA"/>
        </w:rPr>
        <w:t xml:space="preserve"> un </w:t>
      </w:r>
      <w:proofErr w:type="spellStart"/>
      <w:r w:rsidR="003A5541" w:rsidRPr="00A07F29">
        <w:rPr>
          <w:rFonts w:ascii="Times New Roman" w:eastAsia="Calibri" w:hAnsi="Times New Roman" w:cs="Times New Roman"/>
          <w:color w:val="000000"/>
          <w:sz w:val="24"/>
          <w:szCs w:val="24"/>
          <w:shd w:val="clear" w:color="auto" w:fill="FFFFFF"/>
          <w:lang w:eastAsia="ar-SA"/>
        </w:rPr>
        <w:t>Dolgojes</w:t>
      </w:r>
      <w:proofErr w:type="spellEnd"/>
      <w:r w:rsidR="003A5541" w:rsidRPr="00A07F29">
        <w:rPr>
          <w:rFonts w:ascii="Times New Roman" w:eastAsia="Calibri" w:hAnsi="Times New Roman" w:cs="Times New Roman"/>
          <w:color w:val="000000"/>
          <w:sz w:val="24"/>
          <w:szCs w:val="24"/>
          <w:shd w:val="clear" w:color="auto" w:fill="FFFFFF"/>
          <w:lang w:eastAsia="ar-SA"/>
        </w:rPr>
        <w:t xml:space="preserve"> </w:t>
      </w:r>
      <w:r w:rsidRPr="00A07F29">
        <w:rPr>
          <w:rFonts w:ascii="Times New Roman" w:eastAsia="Calibri" w:hAnsi="Times New Roman" w:cs="Times New Roman"/>
          <w:color w:val="000000"/>
          <w:sz w:val="24"/>
          <w:szCs w:val="24"/>
          <w:shd w:val="clear" w:color="auto" w:fill="FFFFFF"/>
          <w:lang w:eastAsia="ar-SA"/>
        </w:rPr>
        <w:t xml:space="preserve">ezerā. Kopējais </w:t>
      </w:r>
      <w:proofErr w:type="spellStart"/>
      <w:r w:rsidRPr="00A07F29">
        <w:rPr>
          <w:rFonts w:ascii="Times New Roman" w:eastAsia="Calibri" w:hAnsi="Times New Roman" w:cs="Times New Roman"/>
          <w:color w:val="000000"/>
          <w:sz w:val="24"/>
          <w:szCs w:val="24"/>
          <w:shd w:val="clear" w:color="auto" w:fill="FFFFFF"/>
          <w:lang w:eastAsia="ar-SA"/>
        </w:rPr>
        <w:t>purvuspārēm</w:t>
      </w:r>
      <w:proofErr w:type="spellEnd"/>
      <w:r w:rsidRPr="00A07F29">
        <w:rPr>
          <w:rFonts w:ascii="Times New Roman" w:eastAsia="Calibri" w:hAnsi="Times New Roman" w:cs="Times New Roman"/>
          <w:color w:val="000000"/>
          <w:sz w:val="24"/>
          <w:szCs w:val="24"/>
          <w:shd w:val="clear" w:color="auto" w:fill="FFFFFF"/>
          <w:lang w:eastAsia="ar-SA"/>
        </w:rPr>
        <w:t xml:space="preserve"> piemērotās krasta līnijas garums apsekot</w:t>
      </w:r>
      <w:r w:rsidR="003A5541" w:rsidRPr="00A07F29">
        <w:rPr>
          <w:rFonts w:ascii="Times New Roman" w:eastAsia="Calibri" w:hAnsi="Times New Roman" w:cs="Times New Roman"/>
          <w:color w:val="000000"/>
          <w:sz w:val="24"/>
          <w:szCs w:val="24"/>
          <w:shd w:val="clear" w:color="auto" w:fill="FFFFFF"/>
          <w:lang w:eastAsia="ar-SA"/>
        </w:rPr>
        <w:t>aj</w:t>
      </w:r>
      <w:r w:rsidRPr="00A07F29">
        <w:rPr>
          <w:rFonts w:ascii="Times New Roman" w:eastAsia="Calibri" w:hAnsi="Times New Roman" w:cs="Times New Roman"/>
          <w:color w:val="000000"/>
          <w:sz w:val="24"/>
          <w:szCs w:val="24"/>
          <w:shd w:val="clear" w:color="auto" w:fill="FFFFFF"/>
          <w:lang w:eastAsia="ar-SA"/>
        </w:rPr>
        <w:t>os ezeros ir 1864</w:t>
      </w:r>
      <w:r w:rsidR="003A6385">
        <w:rPr>
          <w:rFonts w:ascii="Times New Roman" w:eastAsia="Calibri" w:hAnsi="Times New Roman" w:cs="Times New Roman"/>
          <w:color w:val="000000"/>
          <w:sz w:val="24"/>
          <w:szCs w:val="24"/>
          <w:shd w:val="clear" w:color="auto" w:fill="FFFFFF"/>
          <w:lang w:eastAsia="ar-SA"/>
        </w:rPr>
        <w:t> </w:t>
      </w:r>
      <w:r w:rsidRPr="00A07F29">
        <w:rPr>
          <w:rFonts w:ascii="Times New Roman" w:eastAsia="Calibri" w:hAnsi="Times New Roman" w:cs="Times New Roman"/>
          <w:color w:val="000000"/>
          <w:sz w:val="24"/>
          <w:szCs w:val="24"/>
          <w:shd w:val="clear" w:color="auto" w:fill="FFFFFF"/>
          <w:lang w:eastAsia="ar-SA"/>
        </w:rPr>
        <w:t>m un potenciāli sastopamo īpatņu skaits 372, turklāt daļa no spārēm ne</w:t>
      </w:r>
      <w:r w:rsidR="003A6385">
        <w:rPr>
          <w:rFonts w:ascii="Times New Roman" w:eastAsia="Calibri" w:hAnsi="Times New Roman" w:cs="Times New Roman"/>
          <w:color w:val="000000"/>
          <w:sz w:val="24"/>
          <w:szCs w:val="24"/>
          <w:shd w:val="clear" w:color="auto" w:fill="FFFFFF"/>
          <w:lang w:eastAsia="ar-SA"/>
        </w:rPr>
        <w:t>u</w:t>
      </w:r>
      <w:r w:rsidRPr="00A07F29">
        <w:rPr>
          <w:rFonts w:ascii="Times New Roman" w:eastAsia="Calibri" w:hAnsi="Times New Roman" w:cs="Times New Roman"/>
          <w:color w:val="000000"/>
          <w:sz w:val="24"/>
          <w:szCs w:val="24"/>
          <w:shd w:val="clear" w:color="auto" w:fill="FFFFFF"/>
          <w:lang w:eastAsia="ar-SA"/>
        </w:rPr>
        <w:t xml:space="preserve">zturas ezeru piekrastes joslā, līdz ar to reālais īpatņu skaits var sasniegt 483 īpatņus. </w:t>
      </w:r>
      <w:proofErr w:type="spellStart"/>
      <w:r w:rsidRPr="00A07F29">
        <w:rPr>
          <w:rFonts w:ascii="Times New Roman" w:eastAsia="Calibri" w:hAnsi="Times New Roman" w:cs="Times New Roman"/>
          <w:color w:val="000000"/>
          <w:sz w:val="24"/>
          <w:szCs w:val="24"/>
          <w:lang w:eastAsia="ar-SA"/>
        </w:rPr>
        <w:t>Raibgalvas</w:t>
      </w:r>
      <w:proofErr w:type="spellEnd"/>
      <w:r w:rsidRPr="00A07F29">
        <w:rPr>
          <w:rFonts w:ascii="Times New Roman" w:eastAsia="Calibri" w:hAnsi="Times New Roman" w:cs="Times New Roman"/>
          <w:color w:val="000000"/>
          <w:sz w:val="24"/>
          <w:szCs w:val="24"/>
          <w:lang w:eastAsia="ar-SA"/>
        </w:rPr>
        <w:t xml:space="preserve"> </w:t>
      </w:r>
      <w:proofErr w:type="spellStart"/>
      <w:r w:rsidRPr="00A07F29">
        <w:rPr>
          <w:rFonts w:ascii="Times New Roman" w:eastAsia="Calibri" w:hAnsi="Times New Roman" w:cs="Times New Roman"/>
          <w:color w:val="000000"/>
          <w:sz w:val="24"/>
          <w:szCs w:val="24"/>
          <w:lang w:eastAsia="ar-SA"/>
        </w:rPr>
        <w:t>purvuspāre</w:t>
      </w:r>
      <w:proofErr w:type="spellEnd"/>
      <w:r w:rsidRPr="00A07F29">
        <w:rPr>
          <w:rFonts w:ascii="Times New Roman" w:eastAsia="Calibri" w:hAnsi="Times New Roman" w:cs="Times New Roman"/>
          <w:color w:val="000000"/>
          <w:sz w:val="24"/>
          <w:szCs w:val="24"/>
          <w:lang w:eastAsia="ar-SA"/>
        </w:rPr>
        <w:t xml:space="preserve"> ir suga, kura Latvijā apdzīvo dažāda tipa stāvošas ūdenstilpes. Visbiežāk (vairāk nekā puse no zināmajām atradnēm) suga konstatēta </w:t>
      </w:r>
      <w:proofErr w:type="spellStart"/>
      <w:r w:rsidRPr="00A07F29">
        <w:rPr>
          <w:rFonts w:ascii="Times New Roman" w:eastAsia="Calibri" w:hAnsi="Times New Roman" w:cs="Times New Roman"/>
          <w:color w:val="000000"/>
          <w:sz w:val="24"/>
          <w:szCs w:val="24"/>
          <w:lang w:eastAsia="ar-SA"/>
        </w:rPr>
        <w:t>distrofos</w:t>
      </w:r>
      <w:proofErr w:type="spellEnd"/>
      <w:r w:rsidRPr="00A07F29">
        <w:rPr>
          <w:rFonts w:ascii="Times New Roman" w:eastAsia="Calibri" w:hAnsi="Times New Roman" w:cs="Times New Roman"/>
          <w:color w:val="000000"/>
          <w:sz w:val="24"/>
          <w:szCs w:val="24"/>
          <w:lang w:eastAsia="ar-SA"/>
        </w:rPr>
        <w:t xml:space="preserve"> ezeros un augsto purvu akačos. Piemērotās ūdenstilpes parasti ir ar tumšu, organiskajām vielām bagātu, bet ne duļķainu ūdeni un parasti ar plašu piekrastes veģetāciju (Kalniņš</w:t>
      </w:r>
      <w:r w:rsidR="002357F0">
        <w:rPr>
          <w:rFonts w:ascii="Times New Roman" w:eastAsia="Calibri" w:hAnsi="Times New Roman" w:cs="Times New Roman"/>
          <w:color w:val="000000"/>
          <w:sz w:val="24"/>
          <w:szCs w:val="24"/>
          <w:lang w:eastAsia="ar-SA"/>
        </w:rPr>
        <w:t xml:space="preserve"> M.</w:t>
      </w:r>
      <w:r w:rsidRPr="00A07F29">
        <w:rPr>
          <w:rFonts w:ascii="Times New Roman" w:eastAsia="Calibri" w:hAnsi="Times New Roman" w:cs="Times New Roman"/>
          <w:color w:val="000000"/>
          <w:sz w:val="24"/>
          <w:szCs w:val="24"/>
          <w:lang w:eastAsia="ar-SA"/>
        </w:rPr>
        <w:t>, 2017).</w:t>
      </w:r>
    </w:p>
    <w:p w14:paraId="023F20EF" w14:textId="33509F89" w:rsidR="00A36F43" w:rsidRPr="00A07F29" w:rsidRDefault="009072CE" w:rsidP="00F62C2C">
      <w:pPr>
        <w:autoSpaceDE w:val="0"/>
        <w:autoSpaceDN w:val="0"/>
        <w:adjustRightInd w:val="0"/>
        <w:spacing w:after="120" w:line="240" w:lineRule="auto"/>
        <w:ind w:firstLine="851"/>
        <w:jc w:val="both"/>
        <w:rPr>
          <w:rFonts w:ascii="Times New Roman" w:eastAsia="Calibri" w:hAnsi="Times New Roman" w:cs="Times New Roman"/>
          <w:color w:val="000000"/>
          <w:sz w:val="24"/>
          <w:szCs w:val="24"/>
          <w:shd w:val="clear" w:color="auto" w:fill="FFFFFF"/>
          <w:lang w:eastAsia="ar-SA"/>
        </w:rPr>
      </w:pPr>
      <w:r w:rsidRPr="00A07F29">
        <w:rPr>
          <w:rFonts w:ascii="Times New Roman" w:eastAsia="Calibri" w:hAnsi="Times New Roman" w:cs="Times New Roman"/>
          <w:color w:val="000000"/>
          <w:sz w:val="24"/>
          <w:szCs w:val="24"/>
          <w:shd w:val="clear" w:color="auto" w:fill="FFFFFF"/>
          <w:lang w:eastAsia="ar-SA"/>
        </w:rPr>
        <w:t xml:space="preserve">Resnvēdera </w:t>
      </w:r>
      <w:proofErr w:type="spellStart"/>
      <w:r w:rsidRPr="00A07F29">
        <w:rPr>
          <w:rFonts w:ascii="Times New Roman" w:eastAsia="Calibri" w:hAnsi="Times New Roman" w:cs="Times New Roman"/>
          <w:color w:val="000000"/>
          <w:sz w:val="24"/>
          <w:szCs w:val="24"/>
          <w:shd w:val="clear" w:color="auto" w:fill="FFFFFF"/>
          <w:lang w:eastAsia="ar-SA"/>
        </w:rPr>
        <w:t>purv</w:t>
      </w:r>
      <w:r w:rsidR="00672B87">
        <w:rPr>
          <w:rFonts w:ascii="Times New Roman" w:eastAsia="Calibri" w:hAnsi="Times New Roman" w:cs="Times New Roman"/>
          <w:color w:val="000000"/>
          <w:sz w:val="24"/>
          <w:szCs w:val="24"/>
          <w:shd w:val="clear" w:color="auto" w:fill="FFFFFF"/>
          <w:lang w:eastAsia="ar-SA"/>
        </w:rPr>
        <w:t>u</w:t>
      </w:r>
      <w:r w:rsidRPr="00A07F29">
        <w:rPr>
          <w:rFonts w:ascii="Times New Roman" w:eastAsia="Calibri" w:hAnsi="Times New Roman" w:cs="Times New Roman"/>
          <w:color w:val="000000"/>
          <w:sz w:val="24"/>
          <w:szCs w:val="24"/>
          <w:shd w:val="clear" w:color="auto" w:fill="FFFFFF"/>
          <w:lang w:eastAsia="ar-SA"/>
        </w:rPr>
        <w:t>spāre</w:t>
      </w:r>
      <w:proofErr w:type="spellEnd"/>
      <w:r w:rsidRPr="00A07F29">
        <w:rPr>
          <w:rFonts w:ascii="Times New Roman" w:eastAsia="Calibri" w:hAnsi="Times New Roman" w:cs="Times New Roman"/>
          <w:color w:val="000000"/>
          <w:sz w:val="24"/>
          <w:szCs w:val="24"/>
          <w:shd w:val="clear" w:color="auto" w:fill="FFFFFF"/>
          <w:lang w:eastAsia="ar-SA"/>
        </w:rPr>
        <w:t xml:space="preserve"> tika novērota </w:t>
      </w:r>
      <w:proofErr w:type="spellStart"/>
      <w:r w:rsidRPr="00A07F29">
        <w:rPr>
          <w:rFonts w:ascii="Times New Roman" w:eastAsia="Calibri" w:hAnsi="Times New Roman" w:cs="Times New Roman"/>
          <w:color w:val="000000"/>
          <w:sz w:val="24"/>
          <w:szCs w:val="24"/>
          <w:shd w:val="clear" w:color="auto" w:fill="FFFFFF"/>
          <w:lang w:eastAsia="ar-SA"/>
        </w:rPr>
        <w:t>Vaičuku</w:t>
      </w:r>
      <w:proofErr w:type="spellEnd"/>
      <w:r w:rsidRPr="00A07F29">
        <w:rPr>
          <w:rFonts w:ascii="Times New Roman" w:eastAsia="Calibri" w:hAnsi="Times New Roman" w:cs="Times New Roman"/>
          <w:color w:val="000000"/>
          <w:sz w:val="24"/>
          <w:szCs w:val="24"/>
          <w:shd w:val="clear" w:color="auto" w:fill="FFFFFF"/>
          <w:lang w:eastAsia="ar-SA"/>
        </w:rPr>
        <w:t xml:space="preserve"> un Tartaka ezerā. Vidējais konstatēto īpatņu skaits parauglaukumā ir </w:t>
      </w:r>
      <w:r w:rsidR="00D105CF">
        <w:rPr>
          <w:rFonts w:ascii="Times New Roman" w:eastAsia="Calibri" w:hAnsi="Times New Roman" w:cs="Times New Roman"/>
          <w:color w:val="000000"/>
          <w:sz w:val="24"/>
          <w:szCs w:val="24"/>
          <w:shd w:val="clear" w:color="auto" w:fill="FFFFFF"/>
          <w:lang w:eastAsia="ar-SA"/>
        </w:rPr>
        <w:t>divi</w:t>
      </w:r>
      <w:r w:rsidRPr="00A07F29">
        <w:rPr>
          <w:rFonts w:ascii="Times New Roman" w:eastAsia="Calibri" w:hAnsi="Times New Roman" w:cs="Times New Roman"/>
          <w:color w:val="000000"/>
          <w:sz w:val="24"/>
          <w:szCs w:val="24"/>
          <w:shd w:val="clear" w:color="auto" w:fill="FFFFFF"/>
          <w:lang w:eastAsia="ar-SA"/>
        </w:rPr>
        <w:t xml:space="preserve">. Kopējais </w:t>
      </w:r>
      <w:proofErr w:type="spellStart"/>
      <w:r w:rsidRPr="00A07F29">
        <w:rPr>
          <w:rFonts w:ascii="Times New Roman" w:eastAsia="Calibri" w:hAnsi="Times New Roman" w:cs="Times New Roman"/>
          <w:color w:val="000000"/>
          <w:sz w:val="24"/>
          <w:szCs w:val="24"/>
          <w:shd w:val="clear" w:color="auto" w:fill="FFFFFF"/>
          <w:lang w:eastAsia="ar-SA"/>
        </w:rPr>
        <w:t>purvuspārēm</w:t>
      </w:r>
      <w:proofErr w:type="spellEnd"/>
      <w:r w:rsidRPr="00A07F29">
        <w:rPr>
          <w:rFonts w:ascii="Times New Roman" w:eastAsia="Calibri" w:hAnsi="Times New Roman" w:cs="Times New Roman"/>
          <w:color w:val="000000"/>
          <w:sz w:val="24"/>
          <w:szCs w:val="24"/>
          <w:shd w:val="clear" w:color="auto" w:fill="FFFFFF"/>
          <w:lang w:eastAsia="ar-SA"/>
        </w:rPr>
        <w:t xml:space="preserve"> piemērotās krasta līnijas garums apsekotos ezeros ir 1412</w:t>
      </w:r>
      <w:r w:rsidR="00A3665A">
        <w:rPr>
          <w:rFonts w:ascii="Times New Roman" w:eastAsia="Calibri" w:hAnsi="Times New Roman" w:cs="Times New Roman"/>
          <w:color w:val="000000"/>
          <w:sz w:val="24"/>
          <w:szCs w:val="24"/>
          <w:shd w:val="clear" w:color="auto" w:fill="FFFFFF"/>
          <w:lang w:eastAsia="ar-SA"/>
        </w:rPr>
        <w:t> </w:t>
      </w:r>
      <w:r w:rsidRPr="00A07F29">
        <w:rPr>
          <w:rFonts w:ascii="Times New Roman" w:eastAsia="Calibri" w:hAnsi="Times New Roman" w:cs="Times New Roman"/>
          <w:color w:val="000000"/>
          <w:sz w:val="24"/>
          <w:szCs w:val="24"/>
          <w:shd w:val="clear" w:color="auto" w:fill="FFFFFF"/>
          <w:lang w:eastAsia="ar-SA"/>
        </w:rPr>
        <w:t xml:space="preserve">m un potenciāli sastopamo īpatņu skaits 282, turklāt daļa no spārēm neuzturas ezeru piekrastes joslā, līdz ar to reālais īpatņu skaits var sasniegt 366 īpatņus. </w:t>
      </w:r>
      <w:r w:rsidRPr="00A07F29">
        <w:rPr>
          <w:rFonts w:ascii="Times New Roman" w:eastAsia="Calibri" w:hAnsi="Times New Roman" w:cs="Times New Roman"/>
          <w:color w:val="000000"/>
          <w:spacing w:val="-1"/>
          <w:sz w:val="24"/>
          <w:szCs w:val="24"/>
          <w:lang w:eastAsia="ar-SA"/>
        </w:rPr>
        <w:t xml:space="preserve">Resnvēdera </w:t>
      </w:r>
      <w:proofErr w:type="spellStart"/>
      <w:r w:rsidRPr="00A07F29">
        <w:rPr>
          <w:rFonts w:ascii="Times New Roman" w:eastAsia="Calibri" w:hAnsi="Times New Roman" w:cs="Times New Roman"/>
          <w:color w:val="000000"/>
          <w:spacing w:val="-1"/>
          <w:sz w:val="24"/>
          <w:szCs w:val="24"/>
          <w:lang w:eastAsia="ar-SA"/>
        </w:rPr>
        <w:t>purvuspāre</w:t>
      </w:r>
      <w:proofErr w:type="spellEnd"/>
      <w:r w:rsidRPr="00A07F29">
        <w:rPr>
          <w:rFonts w:ascii="Times New Roman" w:eastAsia="Calibri" w:hAnsi="Times New Roman" w:cs="Times New Roman"/>
          <w:color w:val="000000"/>
          <w:spacing w:val="-1"/>
          <w:sz w:val="24"/>
          <w:szCs w:val="24"/>
          <w:lang w:eastAsia="ar-SA"/>
        </w:rPr>
        <w:t xml:space="preserve"> ir sastopama līdzīgos biotopos kā pārējās </w:t>
      </w:r>
      <w:proofErr w:type="spellStart"/>
      <w:r w:rsidR="00047A07" w:rsidRPr="00A07F29">
        <w:rPr>
          <w:rFonts w:ascii="Times New Roman" w:eastAsia="Calibri" w:hAnsi="Times New Roman" w:cs="Times New Roman"/>
          <w:color w:val="000000"/>
          <w:spacing w:val="-1"/>
          <w:sz w:val="24"/>
          <w:szCs w:val="24"/>
          <w:lang w:eastAsia="ar-SA"/>
        </w:rPr>
        <w:t>purvuspāres</w:t>
      </w:r>
      <w:proofErr w:type="spellEnd"/>
      <w:r w:rsidRPr="00A07F29">
        <w:rPr>
          <w:rFonts w:ascii="Times New Roman" w:eastAsia="Calibri" w:hAnsi="Times New Roman" w:cs="Times New Roman"/>
          <w:color w:val="000000"/>
          <w:spacing w:val="-1"/>
          <w:sz w:val="24"/>
          <w:szCs w:val="24"/>
          <w:lang w:eastAsia="ar-SA"/>
        </w:rPr>
        <w:t xml:space="preserve">, galvenokārt mazos un vidējā lieluma </w:t>
      </w:r>
      <w:proofErr w:type="spellStart"/>
      <w:r w:rsidRPr="00A07F29">
        <w:rPr>
          <w:rFonts w:ascii="Times New Roman" w:eastAsia="Calibri" w:hAnsi="Times New Roman" w:cs="Times New Roman"/>
          <w:color w:val="000000"/>
          <w:spacing w:val="-1"/>
          <w:sz w:val="24"/>
          <w:szCs w:val="24"/>
          <w:lang w:eastAsia="ar-SA"/>
        </w:rPr>
        <w:t>eitrofos</w:t>
      </w:r>
      <w:proofErr w:type="spellEnd"/>
      <w:r w:rsidRPr="00A07F29">
        <w:rPr>
          <w:rFonts w:ascii="Times New Roman" w:eastAsia="Calibri" w:hAnsi="Times New Roman" w:cs="Times New Roman"/>
          <w:color w:val="000000"/>
          <w:spacing w:val="-1"/>
          <w:sz w:val="24"/>
          <w:szCs w:val="24"/>
          <w:lang w:eastAsia="ar-SA"/>
        </w:rPr>
        <w:t xml:space="preserve"> ezeros un </w:t>
      </w:r>
      <w:proofErr w:type="spellStart"/>
      <w:r w:rsidRPr="00A07F29">
        <w:rPr>
          <w:rFonts w:ascii="Times New Roman" w:eastAsia="Calibri" w:hAnsi="Times New Roman" w:cs="Times New Roman"/>
          <w:color w:val="000000"/>
          <w:spacing w:val="-1"/>
          <w:sz w:val="24"/>
          <w:szCs w:val="24"/>
          <w:lang w:eastAsia="ar-SA"/>
        </w:rPr>
        <w:t>vecupēs</w:t>
      </w:r>
      <w:proofErr w:type="spellEnd"/>
      <w:r w:rsidRPr="00A07F29">
        <w:rPr>
          <w:rFonts w:ascii="Times New Roman" w:eastAsia="Calibri" w:hAnsi="Times New Roman" w:cs="Times New Roman"/>
          <w:color w:val="000000"/>
          <w:spacing w:val="-1"/>
          <w:sz w:val="24"/>
          <w:szCs w:val="24"/>
          <w:lang w:eastAsia="ar-SA"/>
        </w:rPr>
        <w:t xml:space="preserve"> (Kalniņš</w:t>
      </w:r>
      <w:r w:rsidR="00A3665A">
        <w:rPr>
          <w:rFonts w:ascii="Times New Roman" w:eastAsia="Calibri" w:hAnsi="Times New Roman" w:cs="Times New Roman"/>
          <w:color w:val="000000"/>
          <w:spacing w:val="-1"/>
          <w:sz w:val="24"/>
          <w:szCs w:val="24"/>
          <w:lang w:eastAsia="ar-SA"/>
        </w:rPr>
        <w:t xml:space="preserve"> M.,</w:t>
      </w:r>
      <w:r w:rsidRPr="00A07F29">
        <w:rPr>
          <w:rFonts w:ascii="Times New Roman" w:eastAsia="Calibri" w:hAnsi="Times New Roman" w:cs="Times New Roman"/>
          <w:color w:val="000000"/>
          <w:spacing w:val="-1"/>
          <w:sz w:val="24"/>
          <w:szCs w:val="24"/>
          <w:lang w:eastAsia="ar-SA"/>
        </w:rPr>
        <w:t xml:space="preserve"> 2017).</w:t>
      </w:r>
    </w:p>
    <w:p w14:paraId="4DC1D4BC" w14:textId="2A57B81E" w:rsidR="009072CE" w:rsidRPr="00A07F29" w:rsidRDefault="00A36F43" w:rsidP="00F62C2C">
      <w:pPr>
        <w:autoSpaceDE w:val="0"/>
        <w:autoSpaceDN w:val="0"/>
        <w:adjustRightInd w:val="0"/>
        <w:spacing w:after="120" w:line="240" w:lineRule="auto"/>
        <w:ind w:firstLine="851"/>
        <w:jc w:val="both"/>
        <w:rPr>
          <w:rFonts w:ascii="Times New Roman" w:eastAsia="Calibri" w:hAnsi="Times New Roman" w:cs="Times New Roman"/>
          <w:color w:val="000000"/>
          <w:sz w:val="24"/>
          <w:szCs w:val="24"/>
          <w:lang w:eastAsia="ar-SA"/>
        </w:rPr>
      </w:pPr>
      <w:r w:rsidRPr="00A07F29">
        <w:rPr>
          <w:rFonts w:ascii="Times New Roman" w:eastAsia="Calibri" w:hAnsi="Times New Roman" w:cs="Times New Roman"/>
          <w:color w:val="000000"/>
          <w:sz w:val="24"/>
          <w:szCs w:val="24"/>
          <w:lang w:eastAsia="ar-SA"/>
        </w:rPr>
        <w:t xml:space="preserve">Prognozējams, ka </w:t>
      </w:r>
      <w:proofErr w:type="spellStart"/>
      <w:r w:rsidRPr="00A07F29">
        <w:rPr>
          <w:rFonts w:ascii="Times New Roman" w:eastAsia="Calibri" w:hAnsi="Times New Roman" w:cs="Times New Roman"/>
          <w:color w:val="000000"/>
          <w:sz w:val="24"/>
          <w:szCs w:val="24"/>
          <w:lang w:eastAsia="ar-SA"/>
        </w:rPr>
        <w:t>purvuspāres</w:t>
      </w:r>
      <w:proofErr w:type="spellEnd"/>
      <w:r w:rsidRPr="00A07F29">
        <w:rPr>
          <w:rFonts w:ascii="Times New Roman" w:eastAsia="Calibri" w:hAnsi="Times New Roman" w:cs="Times New Roman"/>
          <w:color w:val="000000"/>
          <w:sz w:val="24"/>
          <w:szCs w:val="24"/>
          <w:lang w:eastAsia="ar-SA"/>
        </w:rPr>
        <w:t xml:space="preserve"> teritorijā ir sastopamas daudz plašāk, īpaši spilgtā </w:t>
      </w:r>
      <w:proofErr w:type="spellStart"/>
      <w:r w:rsidRPr="00A07F29">
        <w:rPr>
          <w:rFonts w:ascii="Times New Roman" w:eastAsia="Calibri" w:hAnsi="Times New Roman" w:cs="Times New Roman"/>
          <w:color w:val="000000"/>
          <w:sz w:val="24"/>
          <w:szCs w:val="24"/>
          <w:lang w:eastAsia="ar-SA"/>
        </w:rPr>
        <w:t>purvuspāre</w:t>
      </w:r>
      <w:proofErr w:type="spellEnd"/>
      <w:r w:rsidRPr="00A07F29">
        <w:rPr>
          <w:rFonts w:ascii="Times New Roman" w:eastAsia="Calibri" w:hAnsi="Times New Roman" w:cs="Times New Roman"/>
          <w:color w:val="000000"/>
          <w:sz w:val="24"/>
          <w:szCs w:val="24"/>
          <w:lang w:eastAsia="ar-SA"/>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6"/>
        <w:gridCol w:w="4728"/>
      </w:tblGrid>
      <w:tr w:rsidR="009072CE" w:rsidRPr="00A07F29" w14:paraId="3377D005" w14:textId="77777777" w:rsidTr="63C42FA1">
        <w:tc>
          <w:tcPr>
            <w:tcW w:w="4732" w:type="dxa"/>
          </w:tcPr>
          <w:p w14:paraId="631AAC2D" w14:textId="356F0C62" w:rsidR="009072CE" w:rsidRPr="00A07F29" w:rsidRDefault="009072CE" w:rsidP="009072CE">
            <w:pPr>
              <w:suppressAutoHyphens/>
              <w:rPr>
                <w:color w:val="000000"/>
                <w:szCs w:val="20"/>
                <w:lang w:eastAsia="ar-SA"/>
              </w:rPr>
            </w:pPr>
            <w:r w:rsidRPr="00A07F29">
              <w:rPr>
                <w:noProof/>
                <w:lang w:eastAsia="lv-LV"/>
              </w:rPr>
              <w:drawing>
                <wp:inline distT="0" distB="0" distL="0" distR="0" wp14:anchorId="04349BEE" wp14:editId="02EE3E25">
                  <wp:extent cx="2942740" cy="1960880"/>
                  <wp:effectExtent l="0" t="0" r="0" b="1270"/>
                  <wp:docPr id="918145571" name="Picture 8" descr="C:\Users\12380793\Downloads\Augsdaugava_Butisku_ez_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70">
                            <a:extLst>
                              <a:ext uri="{28A0092B-C50C-407E-A947-70E740481C1C}">
                                <a14:useLocalDpi xmlns:a14="http://schemas.microsoft.com/office/drawing/2010/main"/>
                              </a:ext>
                            </a:extLst>
                          </a:blip>
                          <a:stretch>
                            <a:fillRect/>
                          </a:stretch>
                        </pic:blipFill>
                        <pic:spPr>
                          <a:xfrm>
                            <a:off x="0" y="0"/>
                            <a:ext cx="2942740" cy="1960880"/>
                          </a:xfrm>
                          <a:prstGeom prst="rect">
                            <a:avLst/>
                          </a:prstGeom>
                        </pic:spPr>
                      </pic:pic>
                    </a:graphicData>
                  </a:graphic>
                </wp:inline>
              </w:drawing>
            </w:r>
          </w:p>
        </w:tc>
        <w:tc>
          <w:tcPr>
            <w:tcW w:w="4838" w:type="dxa"/>
            <w:shd w:val="clear" w:color="auto" w:fill="auto"/>
          </w:tcPr>
          <w:p w14:paraId="114C341C" w14:textId="24AEB1B1" w:rsidR="009072CE" w:rsidRPr="00A07F29" w:rsidRDefault="009072CE" w:rsidP="009072CE">
            <w:pPr>
              <w:suppressAutoHyphens/>
              <w:rPr>
                <w:color w:val="000000"/>
                <w:szCs w:val="20"/>
                <w:lang w:eastAsia="ar-SA"/>
              </w:rPr>
            </w:pPr>
            <w:r w:rsidRPr="00A07F29">
              <w:rPr>
                <w:noProof/>
                <w:color w:val="000000"/>
                <w:szCs w:val="20"/>
                <w:lang w:eastAsia="lv-LV"/>
              </w:rPr>
              <w:drawing>
                <wp:inline distT="0" distB="0" distL="0" distR="0" wp14:anchorId="7480AB82" wp14:editId="4E545E95">
                  <wp:extent cx="3011399" cy="1960880"/>
                  <wp:effectExtent l="0" t="0" r="0" b="1270"/>
                  <wp:docPr id="918145572" name="Picture 10" descr="C:\Users\12380793\Downloads\IMG_68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12380793\Downloads\IMG_6886.jpg"/>
                          <pic:cNvPicPr>
                            <a:picLocks noChangeAspect="1" noChangeArrowheads="1"/>
                          </pic:cNvPicPr>
                        </pic:nvPicPr>
                        <pic:blipFill rotWithShape="1">
                          <a:blip r:embed="rId71" cstate="email">
                            <a:extLst>
                              <a:ext uri="{28A0092B-C50C-407E-A947-70E740481C1C}">
                                <a14:useLocalDpi xmlns:a14="http://schemas.microsoft.com/office/drawing/2010/main"/>
                              </a:ext>
                            </a:extLst>
                          </a:blip>
                          <a:srcRect l="33408" t="32311" r="34225" b="36072"/>
                          <a:stretch/>
                        </pic:blipFill>
                        <pic:spPr bwMode="auto">
                          <a:xfrm>
                            <a:off x="0" y="0"/>
                            <a:ext cx="3014101" cy="19626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072CE" w:rsidRPr="00A07F29" w14:paraId="01367D15" w14:textId="77777777" w:rsidTr="63C42FA1">
        <w:trPr>
          <w:trHeight w:val="221"/>
        </w:trPr>
        <w:tc>
          <w:tcPr>
            <w:tcW w:w="4732" w:type="dxa"/>
          </w:tcPr>
          <w:p w14:paraId="16740BFD" w14:textId="14732286" w:rsidR="009072CE" w:rsidRPr="00D327C3" w:rsidRDefault="009072CE" w:rsidP="00F62C2C">
            <w:pPr>
              <w:suppressAutoHyphens/>
              <w:rPr>
                <w:rFonts w:ascii="Times New Roman" w:hAnsi="Times New Roman" w:cs="Times New Roman"/>
                <w:bCs/>
                <w:color w:val="000000"/>
                <w:sz w:val="20"/>
                <w:szCs w:val="20"/>
                <w:lang w:eastAsia="ar-SA"/>
              </w:rPr>
            </w:pPr>
            <w:r w:rsidRPr="00D327C3">
              <w:rPr>
                <w:rFonts w:ascii="Times New Roman" w:eastAsia="Calibri" w:hAnsi="Times New Roman" w:cs="Times New Roman"/>
                <w:bCs/>
                <w:color w:val="000000"/>
                <w:sz w:val="20"/>
                <w:szCs w:val="20"/>
                <w:lang w:eastAsia="ar-SA"/>
              </w:rPr>
              <w:t>4.</w:t>
            </w:r>
            <w:r w:rsidR="00F62C2C" w:rsidRPr="00D327C3">
              <w:rPr>
                <w:rFonts w:ascii="Times New Roman" w:eastAsia="Calibri" w:hAnsi="Times New Roman" w:cs="Times New Roman"/>
                <w:bCs/>
                <w:color w:val="000000"/>
                <w:sz w:val="20"/>
                <w:szCs w:val="20"/>
                <w:lang w:eastAsia="ar-SA"/>
              </w:rPr>
              <w:t>7</w:t>
            </w:r>
            <w:r w:rsidRPr="00D327C3">
              <w:rPr>
                <w:rFonts w:ascii="Times New Roman" w:eastAsia="Calibri" w:hAnsi="Times New Roman" w:cs="Times New Roman"/>
                <w:bCs/>
                <w:color w:val="000000"/>
                <w:sz w:val="20"/>
                <w:szCs w:val="20"/>
                <w:lang w:eastAsia="ar-SA"/>
              </w:rPr>
              <w:t>.1.</w:t>
            </w:r>
            <w:r w:rsidRPr="00D327C3">
              <w:rPr>
                <w:rFonts w:ascii="Times New Roman" w:hAnsi="Times New Roman" w:cs="Times New Roman"/>
                <w:bCs/>
                <w:color w:val="000000"/>
                <w:sz w:val="20"/>
                <w:szCs w:val="20"/>
                <w:lang w:eastAsia="ar-SA"/>
              </w:rPr>
              <w:t>3.</w:t>
            </w:r>
            <w:r w:rsidR="00D327C3" w:rsidRPr="00D327C3">
              <w:rPr>
                <w:rFonts w:ascii="Times New Roman" w:hAnsi="Times New Roman" w:cs="Times New Roman"/>
                <w:bCs/>
                <w:color w:val="000000"/>
                <w:sz w:val="20"/>
                <w:szCs w:val="20"/>
                <w:lang w:eastAsia="ar-SA"/>
              </w:rPr>
              <w:t> </w:t>
            </w:r>
            <w:r w:rsidRPr="00D327C3">
              <w:rPr>
                <w:rFonts w:ascii="Times New Roman" w:hAnsi="Times New Roman" w:cs="Times New Roman"/>
                <w:bCs/>
                <w:color w:val="000000"/>
                <w:sz w:val="20"/>
                <w:szCs w:val="20"/>
                <w:lang w:eastAsia="ar-SA"/>
              </w:rPr>
              <w:t xml:space="preserve">attēls. Spilgtās </w:t>
            </w:r>
            <w:proofErr w:type="spellStart"/>
            <w:r w:rsidRPr="00D327C3">
              <w:rPr>
                <w:rFonts w:ascii="Times New Roman" w:hAnsi="Times New Roman" w:cs="Times New Roman"/>
                <w:bCs/>
                <w:color w:val="000000"/>
                <w:sz w:val="20"/>
                <w:szCs w:val="20"/>
                <w:lang w:eastAsia="ar-SA"/>
              </w:rPr>
              <w:t>purvuspāres</w:t>
            </w:r>
            <w:proofErr w:type="spellEnd"/>
            <w:r w:rsidRPr="00D327C3">
              <w:rPr>
                <w:rFonts w:ascii="Times New Roman" w:hAnsi="Times New Roman" w:cs="Times New Roman"/>
                <w:bCs/>
                <w:color w:val="000000"/>
                <w:sz w:val="20"/>
                <w:szCs w:val="20"/>
                <w:lang w:eastAsia="ar-SA"/>
              </w:rPr>
              <w:t xml:space="preserve"> dzīvotne </w:t>
            </w:r>
            <w:proofErr w:type="spellStart"/>
            <w:r w:rsidRPr="00D327C3">
              <w:rPr>
                <w:rFonts w:ascii="Times New Roman" w:hAnsi="Times New Roman" w:cs="Times New Roman"/>
                <w:bCs/>
                <w:color w:val="000000"/>
                <w:sz w:val="20"/>
                <w:szCs w:val="20"/>
                <w:lang w:eastAsia="ar-SA"/>
              </w:rPr>
              <w:t>Butišķu</w:t>
            </w:r>
            <w:proofErr w:type="spellEnd"/>
            <w:r w:rsidRPr="00D327C3">
              <w:rPr>
                <w:rFonts w:ascii="Times New Roman" w:hAnsi="Times New Roman" w:cs="Times New Roman"/>
                <w:bCs/>
                <w:color w:val="000000"/>
                <w:sz w:val="20"/>
                <w:szCs w:val="20"/>
                <w:lang w:eastAsia="ar-SA"/>
              </w:rPr>
              <w:t xml:space="preserve"> ezerā (Foto: U.</w:t>
            </w:r>
            <w:r w:rsidR="00D327C3">
              <w:rPr>
                <w:rFonts w:ascii="Times New Roman" w:hAnsi="Times New Roman" w:cs="Times New Roman"/>
                <w:bCs/>
                <w:color w:val="000000"/>
                <w:sz w:val="20"/>
                <w:szCs w:val="20"/>
                <w:lang w:eastAsia="ar-SA"/>
              </w:rPr>
              <w:t> </w:t>
            </w:r>
            <w:r w:rsidRPr="00D327C3">
              <w:rPr>
                <w:rFonts w:ascii="Times New Roman" w:hAnsi="Times New Roman" w:cs="Times New Roman"/>
                <w:bCs/>
                <w:color w:val="000000"/>
                <w:sz w:val="20"/>
                <w:szCs w:val="20"/>
                <w:lang w:eastAsia="ar-SA"/>
              </w:rPr>
              <w:t>Valainis)</w:t>
            </w:r>
          </w:p>
        </w:tc>
        <w:tc>
          <w:tcPr>
            <w:tcW w:w="4838" w:type="dxa"/>
            <w:shd w:val="clear" w:color="auto" w:fill="auto"/>
          </w:tcPr>
          <w:p w14:paraId="7CFC96EA" w14:textId="61A47AA8" w:rsidR="009072CE" w:rsidRPr="00D327C3" w:rsidRDefault="009072CE" w:rsidP="00F62C2C">
            <w:pPr>
              <w:suppressAutoHyphens/>
              <w:rPr>
                <w:rFonts w:ascii="Times New Roman" w:hAnsi="Times New Roman" w:cs="Times New Roman"/>
                <w:bCs/>
                <w:color w:val="000000"/>
                <w:sz w:val="20"/>
                <w:szCs w:val="20"/>
                <w:lang w:eastAsia="ar-SA"/>
              </w:rPr>
            </w:pPr>
            <w:r w:rsidRPr="00D327C3">
              <w:rPr>
                <w:rFonts w:ascii="Times New Roman" w:eastAsia="Calibri" w:hAnsi="Times New Roman" w:cs="Times New Roman"/>
                <w:bCs/>
                <w:color w:val="000000"/>
                <w:sz w:val="20"/>
                <w:szCs w:val="20"/>
                <w:lang w:eastAsia="ar-SA"/>
              </w:rPr>
              <w:t>4.</w:t>
            </w:r>
            <w:r w:rsidR="00F62C2C" w:rsidRPr="00D327C3">
              <w:rPr>
                <w:rFonts w:ascii="Times New Roman" w:eastAsia="Calibri" w:hAnsi="Times New Roman" w:cs="Times New Roman"/>
                <w:bCs/>
                <w:color w:val="000000"/>
                <w:sz w:val="20"/>
                <w:szCs w:val="20"/>
                <w:lang w:eastAsia="ar-SA"/>
              </w:rPr>
              <w:t>7</w:t>
            </w:r>
            <w:r w:rsidRPr="00D327C3">
              <w:rPr>
                <w:rFonts w:ascii="Times New Roman" w:eastAsia="Calibri" w:hAnsi="Times New Roman" w:cs="Times New Roman"/>
                <w:bCs/>
                <w:color w:val="000000"/>
                <w:sz w:val="20"/>
                <w:szCs w:val="20"/>
                <w:lang w:eastAsia="ar-SA"/>
              </w:rPr>
              <w:t>.1.</w:t>
            </w:r>
            <w:r w:rsidRPr="00D327C3">
              <w:rPr>
                <w:rFonts w:ascii="Times New Roman" w:hAnsi="Times New Roman" w:cs="Times New Roman"/>
                <w:bCs/>
                <w:color w:val="000000"/>
                <w:sz w:val="20"/>
                <w:szCs w:val="20"/>
                <w:lang w:eastAsia="ar-SA"/>
              </w:rPr>
              <w:t>4.</w:t>
            </w:r>
            <w:r w:rsidR="00D327C3" w:rsidRPr="00D327C3">
              <w:rPr>
                <w:rFonts w:ascii="Times New Roman" w:hAnsi="Times New Roman" w:cs="Times New Roman"/>
                <w:bCs/>
                <w:color w:val="000000"/>
                <w:sz w:val="20"/>
                <w:szCs w:val="20"/>
                <w:lang w:eastAsia="ar-SA"/>
              </w:rPr>
              <w:t> </w:t>
            </w:r>
            <w:r w:rsidRPr="00D327C3">
              <w:rPr>
                <w:rFonts w:ascii="Times New Roman" w:hAnsi="Times New Roman" w:cs="Times New Roman"/>
                <w:bCs/>
                <w:color w:val="000000"/>
                <w:sz w:val="20"/>
                <w:szCs w:val="20"/>
                <w:lang w:eastAsia="ar-SA"/>
              </w:rPr>
              <w:t xml:space="preserve">attēls. Spilgtās </w:t>
            </w:r>
            <w:proofErr w:type="spellStart"/>
            <w:r w:rsidRPr="00D327C3">
              <w:rPr>
                <w:rFonts w:ascii="Times New Roman" w:hAnsi="Times New Roman" w:cs="Times New Roman"/>
                <w:bCs/>
                <w:color w:val="000000"/>
                <w:sz w:val="20"/>
                <w:szCs w:val="20"/>
                <w:lang w:eastAsia="ar-SA"/>
              </w:rPr>
              <w:t>purvuspāres</w:t>
            </w:r>
            <w:proofErr w:type="spellEnd"/>
            <w:r w:rsidRPr="00D327C3">
              <w:rPr>
                <w:rFonts w:ascii="Times New Roman" w:hAnsi="Times New Roman" w:cs="Times New Roman"/>
                <w:bCs/>
                <w:color w:val="000000"/>
                <w:sz w:val="20"/>
                <w:szCs w:val="20"/>
                <w:lang w:eastAsia="ar-SA"/>
              </w:rPr>
              <w:t xml:space="preserve"> tēviņš (Foto: U.</w:t>
            </w:r>
            <w:r w:rsidR="00D327C3" w:rsidRPr="00D327C3">
              <w:rPr>
                <w:rFonts w:ascii="Times New Roman" w:hAnsi="Times New Roman" w:cs="Times New Roman"/>
                <w:bCs/>
                <w:color w:val="000000"/>
                <w:sz w:val="20"/>
                <w:szCs w:val="20"/>
                <w:lang w:eastAsia="ar-SA"/>
              </w:rPr>
              <w:t> </w:t>
            </w:r>
            <w:r w:rsidRPr="00D327C3">
              <w:rPr>
                <w:rFonts w:ascii="Times New Roman" w:hAnsi="Times New Roman" w:cs="Times New Roman"/>
                <w:bCs/>
                <w:color w:val="000000"/>
                <w:sz w:val="20"/>
                <w:szCs w:val="20"/>
                <w:lang w:eastAsia="ar-SA"/>
              </w:rPr>
              <w:t>Valainis)</w:t>
            </w:r>
          </w:p>
        </w:tc>
      </w:tr>
    </w:tbl>
    <w:p w14:paraId="5FC6005D" w14:textId="77777777" w:rsidR="00546879" w:rsidRPr="00A07F29" w:rsidRDefault="00546879" w:rsidP="00546879">
      <w:pPr>
        <w:autoSpaceDE w:val="0"/>
        <w:autoSpaceDN w:val="0"/>
        <w:adjustRightInd w:val="0"/>
        <w:spacing w:after="120" w:line="240" w:lineRule="auto"/>
        <w:ind w:firstLine="851"/>
        <w:jc w:val="both"/>
        <w:rPr>
          <w:rFonts w:ascii="Times New Roman" w:eastAsia="Calibri" w:hAnsi="Times New Roman" w:cs="Times New Roman"/>
          <w:color w:val="000000"/>
          <w:sz w:val="24"/>
          <w:szCs w:val="24"/>
          <w:lang w:eastAsia="ar-SA"/>
        </w:rPr>
      </w:pPr>
    </w:p>
    <w:p w14:paraId="68BFF653" w14:textId="321CC91F" w:rsidR="00546879" w:rsidRPr="00A07F29" w:rsidRDefault="00546879" w:rsidP="00546879">
      <w:pPr>
        <w:autoSpaceDE w:val="0"/>
        <w:autoSpaceDN w:val="0"/>
        <w:adjustRightInd w:val="0"/>
        <w:spacing w:after="120" w:line="240" w:lineRule="auto"/>
        <w:ind w:firstLine="851"/>
        <w:jc w:val="both"/>
        <w:rPr>
          <w:rFonts w:ascii="Times New Roman" w:eastAsia="Calibri" w:hAnsi="Times New Roman" w:cs="Times New Roman"/>
          <w:color w:val="000000"/>
          <w:sz w:val="24"/>
          <w:szCs w:val="24"/>
          <w:lang w:eastAsia="ar-SA"/>
        </w:rPr>
      </w:pPr>
      <w:r w:rsidRPr="00A07F29">
        <w:rPr>
          <w:rFonts w:ascii="Times New Roman" w:eastAsia="Calibri" w:hAnsi="Times New Roman" w:cs="Times New Roman"/>
          <w:color w:val="000000"/>
          <w:sz w:val="24"/>
          <w:szCs w:val="24"/>
          <w:lang w:eastAsia="ar-SA"/>
        </w:rPr>
        <w:t xml:space="preserve">Pamatā ar stāvošām ūdenstilpēm ir saistīta arī </w:t>
      </w:r>
      <w:r w:rsidRPr="00A07F29">
        <w:rPr>
          <w:rFonts w:ascii="Times New Roman" w:eastAsia="Calibri" w:hAnsi="Times New Roman" w:cs="Times New Roman"/>
          <w:b/>
          <w:color w:val="000000"/>
          <w:sz w:val="24"/>
          <w:szCs w:val="24"/>
          <w:lang w:eastAsia="ar-SA"/>
        </w:rPr>
        <w:t xml:space="preserve">zaļganā </w:t>
      </w:r>
      <w:proofErr w:type="spellStart"/>
      <w:r w:rsidRPr="00A07F29">
        <w:rPr>
          <w:rFonts w:ascii="Times New Roman" w:eastAsia="Calibri" w:hAnsi="Times New Roman" w:cs="Times New Roman"/>
          <w:b/>
          <w:color w:val="000000"/>
          <w:sz w:val="24"/>
          <w:szCs w:val="24"/>
          <w:lang w:eastAsia="ar-SA"/>
        </w:rPr>
        <w:t>zaigspāre</w:t>
      </w:r>
      <w:proofErr w:type="spellEnd"/>
      <w:r w:rsidRPr="00A07F29">
        <w:rPr>
          <w:rFonts w:ascii="Times New Roman" w:eastAsia="Calibri" w:hAnsi="Times New Roman" w:cs="Times New Roman"/>
          <w:b/>
          <w:color w:val="000000"/>
          <w:sz w:val="24"/>
          <w:szCs w:val="24"/>
          <w:lang w:eastAsia="ar-SA"/>
        </w:rPr>
        <w:t xml:space="preserve">, </w:t>
      </w:r>
      <w:proofErr w:type="spellStart"/>
      <w:r w:rsidRPr="00A07F29">
        <w:rPr>
          <w:rFonts w:ascii="Times New Roman" w:eastAsia="Calibri" w:hAnsi="Times New Roman" w:cs="Times New Roman"/>
          <w:b/>
          <w:i/>
          <w:iCs/>
          <w:color w:val="000000"/>
          <w:sz w:val="24"/>
          <w:szCs w:val="24"/>
          <w:lang w:eastAsia="ar-SA"/>
        </w:rPr>
        <w:t>Lestes</w:t>
      </w:r>
      <w:proofErr w:type="spellEnd"/>
      <w:r w:rsidRPr="00A07F29">
        <w:rPr>
          <w:rFonts w:ascii="Times New Roman" w:eastAsia="Calibri" w:hAnsi="Times New Roman" w:cs="Times New Roman"/>
          <w:b/>
          <w:i/>
          <w:iCs/>
          <w:color w:val="000000"/>
          <w:sz w:val="24"/>
          <w:szCs w:val="24"/>
          <w:lang w:eastAsia="ar-SA"/>
        </w:rPr>
        <w:t xml:space="preserve"> </w:t>
      </w:r>
      <w:proofErr w:type="spellStart"/>
      <w:r w:rsidRPr="00A07F29">
        <w:rPr>
          <w:rFonts w:ascii="Times New Roman" w:eastAsia="Calibri" w:hAnsi="Times New Roman" w:cs="Times New Roman"/>
          <w:b/>
          <w:i/>
          <w:iCs/>
          <w:color w:val="000000"/>
          <w:sz w:val="24"/>
          <w:szCs w:val="24"/>
          <w:lang w:eastAsia="ar-SA"/>
        </w:rPr>
        <w:t>virens</w:t>
      </w:r>
      <w:proofErr w:type="spellEnd"/>
      <w:r w:rsidRPr="00A07F29">
        <w:rPr>
          <w:rFonts w:ascii="Times New Roman" w:eastAsia="Calibri" w:hAnsi="Times New Roman" w:cs="Times New Roman"/>
          <w:color w:val="000000"/>
          <w:sz w:val="24"/>
          <w:szCs w:val="24"/>
          <w:lang w:eastAsia="ar-SA"/>
        </w:rPr>
        <w:t xml:space="preserve">, </w:t>
      </w:r>
      <w:r w:rsidR="00014519" w:rsidRPr="00A07F29">
        <w:rPr>
          <w:rFonts w:ascii="Times New Roman" w:eastAsia="Calibri" w:hAnsi="Times New Roman" w:cs="Times New Roman"/>
          <w:color w:val="000000"/>
          <w:sz w:val="24"/>
          <w:szCs w:val="24"/>
          <w:lang w:eastAsia="ar-SA"/>
        </w:rPr>
        <w:t xml:space="preserve">kas </w:t>
      </w:r>
      <w:r w:rsidRPr="00A07F29">
        <w:rPr>
          <w:rFonts w:ascii="Times New Roman" w:eastAsia="Calibri" w:hAnsi="Times New Roman" w:cs="Times New Roman"/>
          <w:color w:val="000000"/>
          <w:sz w:val="24"/>
          <w:szCs w:val="24"/>
          <w:lang w:eastAsia="ar-SA"/>
        </w:rPr>
        <w:t xml:space="preserve">apdzīvo augstos un zāļu purvus, izstrādātu purvu ūdenstilpes nelielus </w:t>
      </w:r>
      <w:proofErr w:type="spellStart"/>
      <w:r w:rsidRPr="00A07F29">
        <w:rPr>
          <w:rFonts w:ascii="Times New Roman" w:eastAsia="Calibri" w:hAnsi="Times New Roman" w:cs="Times New Roman"/>
          <w:color w:val="000000"/>
          <w:sz w:val="24"/>
          <w:szCs w:val="24"/>
          <w:lang w:eastAsia="ar-SA"/>
        </w:rPr>
        <w:t>distrofus</w:t>
      </w:r>
      <w:proofErr w:type="spellEnd"/>
      <w:r w:rsidRPr="00A07F29">
        <w:rPr>
          <w:rFonts w:ascii="Times New Roman" w:eastAsia="Calibri" w:hAnsi="Times New Roman" w:cs="Times New Roman"/>
          <w:color w:val="000000"/>
          <w:sz w:val="24"/>
          <w:szCs w:val="24"/>
          <w:lang w:eastAsia="ar-SA"/>
        </w:rPr>
        <w:t xml:space="preserve"> ezerus. Retāk konstatēta lielākos </w:t>
      </w:r>
      <w:proofErr w:type="spellStart"/>
      <w:r w:rsidRPr="00A07F29">
        <w:rPr>
          <w:rFonts w:ascii="Times New Roman" w:eastAsia="Calibri" w:hAnsi="Times New Roman" w:cs="Times New Roman"/>
          <w:color w:val="000000"/>
          <w:sz w:val="24"/>
          <w:szCs w:val="24"/>
          <w:lang w:eastAsia="ar-SA"/>
        </w:rPr>
        <w:t>eitrofos</w:t>
      </w:r>
      <w:proofErr w:type="spellEnd"/>
      <w:r w:rsidRPr="00A07F29">
        <w:rPr>
          <w:rFonts w:ascii="Times New Roman" w:eastAsia="Calibri" w:hAnsi="Times New Roman" w:cs="Times New Roman"/>
          <w:color w:val="000000"/>
          <w:sz w:val="24"/>
          <w:szCs w:val="24"/>
          <w:lang w:eastAsia="ar-SA"/>
        </w:rPr>
        <w:t xml:space="preserve"> ezeros un zivju dīķu kompleksos, nelielos meža ezeriņos ar slīkšņām krastos. DA plāna izstrādes laikā suga netika konstatēta.</w:t>
      </w:r>
    </w:p>
    <w:p w14:paraId="5DC4DBFA" w14:textId="5092424F" w:rsidR="009072CE" w:rsidRPr="00A07F29" w:rsidRDefault="009072CE" w:rsidP="00A36F43">
      <w:pPr>
        <w:suppressAutoHyphens/>
        <w:spacing w:after="120" w:line="240" w:lineRule="auto"/>
        <w:ind w:firstLine="851"/>
        <w:jc w:val="both"/>
        <w:rPr>
          <w:rFonts w:ascii="Times New Roman" w:eastAsia="Calibri" w:hAnsi="Times New Roman" w:cs="Times New Roman"/>
          <w:color w:val="000000"/>
          <w:sz w:val="24"/>
          <w:szCs w:val="24"/>
          <w:lang w:eastAsia="ar-SA"/>
        </w:rPr>
      </w:pPr>
      <w:r w:rsidRPr="00A07F29">
        <w:rPr>
          <w:rFonts w:ascii="Times New Roman" w:eastAsia="Calibri" w:hAnsi="Times New Roman" w:cs="Times New Roman"/>
          <w:b/>
          <w:color w:val="000000"/>
          <w:sz w:val="24"/>
          <w:szCs w:val="24"/>
          <w:lang w:eastAsia="ar-SA"/>
        </w:rPr>
        <w:t xml:space="preserve">Šneidera </w:t>
      </w:r>
      <w:proofErr w:type="spellStart"/>
      <w:r w:rsidR="00047A07" w:rsidRPr="00A07F29">
        <w:rPr>
          <w:rFonts w:ascii="Times New Roman" w:eastAsia="Calibri" w:hAnsi="Times New Roman" w:cs="Times New Roman"/>
          <w:b/>
          <w:color w:val="000000"/>
          <w:sz w:val="24"/>
          <w:szCs w:val="24"/>
          <w:lang w:eastAsia="ar-SA"/>
        </w:rPr>
        <w:t>mizmīlim</w:t>
      </w:r>
      <w:proofErr w:type="spellEnd"/>
      <w:r w:rsidR="00047A07" w:rsidRPr="00A07F29">
        <w:rPr>
          <w:rFonts w:ascii="Times New Roman" w:eastAsia="Calibri" w:hAnsi="Times New Roman" w:cs="Times New Roman"/>
          <w:b/>
          <w:color w:val="000000"/>
          <w:sz w:val="24"/>
          <w:szCs w:val="24"/>
          <w:lang w:eastAsia="ar-SA"/>
        </w:rPr>
        <w:t xml:space="preserve"> </w:t>
      </w:r>
      <w:r w:rsidRPr="00A07F29">
        <w:rPr>
          <w:rFonts w:ascii="Times New Roman" w:eastAsia="Calibri" w:hAnsi="Times New Roman" w:cs="Times New Roman"/>
          <w:b/>
          <w:i/>
          <w:color w:val="000000"/>
          <w:sz w:val="24"/>
          <w:szCs w:val="24"/>
          <w:lang w:eastAsia="ar-SA"/>
        </w:rPr>
        <w:t xml:space="preserve">Boros </w:t>
      </w:r>
      <w:proofErr w:type="spellStart"/>
      <w:r w:rsidRPr="00A07F29">
        <w:rPr>
          <w:rFonts w:ascii="Times New Roman" w:eastAsia="Calibri" w:hAnsi="Times New Roman" w:cs="Times New Roman"/>
          <w:b/>
          <w:i/>
          <w:color w:val="000000"/>
          <w:sz w:val="24"/>
          <w:szCs w:val="24"/>
          <w:lang w:eastAsia="ar-SA"/>
        </w:rPr>
        <w:t>schneideri</w:t>
      </w:r>
      <w:proofErr w:type="spellEnd"/>
      <w:r w:rsidRPr="00A07F29">
        <w:rPr>
          <w:rFonts w:ascii="Times New Roman" w:eastAsia="Calibri" w:hAnsi="Times New Roman" w:cs="Times New Roman"/>
          <w:color w:val="000000"/>
          <w:sz w:val="24"/>
          <w:szCs w:val="20"/>
          <w:lang w:eastAsia="ar-SA"/>
        </w:rPr>
        <w:t xml:space="preserve"> piemēroti biotopi </w:t>
      </w:r>
      <w:r w:rsidR="00546879" w:rsidRPr="00A07F29">
        <w:rPr>
          <w:rFonts w:ascii="Times New Roman" w:eastAsia="Calibri" w:hAnsi="Times New Roman" w:cs="Times New Roman"/>
          <w:color w:val="000000"/>
          <w:sz w:val="24"/>
          <w:szCs w:val="20"/>
          <w:lang w:eastAsia="ar-SA"/>
        </w:rPr>
        <w:t>(</w:t>
      </w:r>
      <w:r w:rsidR="0021393D">
        <w:rPr>
          <w:rFonts w:ascii="Times New Roman" w:eastAsia="Calibri" w:hAnsi="Times New Roman" w:cs="Times New Roman"/>
          <w:color w:val="000000"/>
          <w:sz w:val="24"/>
          <w:szCs w:val="20"/>
          <w:lang w:eastAsia="ar-SA"/>
        </w:rPr>
        <w:t xml:space="preserve">skat. </w:t>
      </w:r>
      <w:r w:rsidR="00546879" w:rsidRPr="00A07F29">
        <w:rPr>
          <w:rFonts w:ascii="Times New Roman" w:eastAsia="Calibri" w:hAnsi="Times New Roman" w:cs="Times New Roman"/>
          <w:color w:val="000000"/>
          <w:sz w:val="24"/>
          <w:szCs w:val="20"/>
          <w:lang w:eastAsia="ar-SA"/>
        </w:rPr>
        <w:t>4.7.1.5.</w:t>
      </w:r>
      <w:r w:rsidR="0021393D">
        <w:rPr>
          <w:rFonts w:ascii="Times New Roman" w:eastAsia="Calibri" w:hAnsi="Times New Roman" w:cs="Times New Roman"/>
          <w:color w:val="000000"/>
          <w:sz w:val="24"/>
          <w:szCs w:val="20"/>
          <w:lang w:eastAsia="ar-SA"/>
        </w:rPr>
        <w:t> </w:t>
      </w:r>
      <w:r w:rsidR="00546879" w:rsidRPr="00A07F29">
        <w:rPr>
          <w:rFonts w:ascii="Times New Roman" w:eastAsia="Calibri" w:hAnsi="Times New Roman" w:cs="Times New Roman"/>
          <w:color w:val="000000"/>
          <w:sz w:val="24"/>
          <w:szCs w:val="20"/>
          <w:lang w:eastAsia="ar-SA"/>
        </w:rPr>
        <w:t>att</w:t>
      </w:r>
      <w:r w:rsidR="0021393D">
        <w:rPr>
          <w:rFonts w:ascii="Times New Roman" w:eastAsia="Calibri" w:hAnsi="Times New Roman" w:cs="Times New Roman"/>
          <w:color w:val="000000"/>
          <w:sz w:val="24"/>
          <w:szCs w:val="20"/>
          <w:lang w:eastAsia="ar-SA"/>
        </w:rPr>
        <w:t>ēls</w:t>
      </w:r>
      <w:r w:rsidR="00546879" w:rsidRPr="00A07F29">
        <w:rPr>
          <w:rFonts w:ascii="Times New Roman" w:eastAsia="Calibri" w:hAnsi="Times New Roman" w:cs="Times New Roman"/>
          <w:color w:val="000000"/>
          <w:sz w:val="24"/>
          <w:szCs w:val="20"/>
          <w:lang w:eastAsia="ar-SA"/>
        </w:rPr>
        <w:t xml:space="preserve">) </w:t>
      </w:r>
      <w:r w:rsidRPr="00A07F29">
        <w:rPr>
          <w:rFonts w:ascii="Times New Roman" w:eastAsia="Calibri" w:hAnsi="Times New Roman" w:cs="Times New Roman"/>
          <w:color w:val="000000"/>
          <w:sz w:val="24"/>
          <w:szCs w:val="20"/>
          <w:lang w:eastAsia="ar-SA"/>
        </w:rPr>
        <w:t xml:space="preserve">ir bieži sastopami visā AAA teritorijā, un ir tā konstatēta visos priežu masīvos. Suga ir sastopama priežu mežos, galvenokārt uz sausām </w:t>
      </w:r>
      <w:proofErr w:type="spellStart"/>
      <w:r w:rsidRPr="00A07F29">
        <w:rPr>
          <w:rFonts w:ascii="Times New Roman" w:eastAsia="Calibri" w:hAnsi="Times New Roman" w:cs="Times New Roman"/>
          <w:color w:val="000000"/>
          <w:sz w:val="24"/>
          <w:szCs w:val="20"/>
          <w:lang w:eastAsia="ar-SA"/>
        </w:rPr>
        <w:t>minerālaugsnēm</w:t>
      </w:r>
      <w:proofErr w:type="spellEnd"/>
      <w:r w:rsidRPr="00A07F29">
        <w:rPr>
          <w:rFonts w:ascii="Times New Roman" w:eastAsia="Calibri" w:hAnsi="Times New Roman" w:cs="Times New Roman"/>
          <w:color w:val="000000"/>
          <w:sz w:val="24"/>
          <w:szCs w:val="20"/>
          <w:lang w:eastAsia="ar-SA"/>
        </w:rPr>
        <w:t>, tomēr var būt atrodama arī purvainos mežos. Mežaudžu vecumam nav izšķiroša nozīme, suga var būt sastopama samērā jaunās mežaudzēs un pat izcirtumos uz ekoloģiskajiem kokiem, tomēr optimālais biotops ir vecas, skrajas un labi izgaismotas priežu mežaudzes. Suga ir cieši saistīta ar nesen atmirušām (1</w:t>
      </w:r>
      <w:r w:rsidR="009D6F23">
        <w:rPr>
          <w:rFonts w:ascii="Times New Roman" w:eastAsia="Calibri" w:hAnsi="Times New Roman" w:cs="Times New Roman"/>
          <w:color w:val="000000"/>
          <w:sz w:val="24"/>
          <w:szCs w:val="20"/>
          <w:lang w:eastAsia="ar-SA"/>
        </w:rPr>
        <w:t> </w:t>
      </w:r>
      <w:r w:rsidRPr="00A07F29">
        <w:rPr>
          <w:rFonts w:ascii="Times New Roman" w:eastAsia="Calibri" w:hAnsi="Times New Roman" w:cs="Times New Roman"/>
          <w:color w:val="000000"/>
          <w:sz w:val="24"/>
          <w:szCs w:val="20"/>
          <w:lang w:eastAsia="ar-SA"/>
        </w:rPr>
        <w:t>–</w:t>
      </w:r>
      <w:r w:rsidR="009D6F23">
        <w:rPr>
          <w:rFonts w:ascii="Times New Roman" w:eastAsia="Calibri" w:hAnsi="Times New Roman" w:cs="Times New Roman"/>
          <w:color w:val="000000"/>
          <w:sz w:val="24"/>
          <w:szCs w:val="20"/>
          <w:lang w:eastAsia="ar-SA"/>
        </w:rPr>
        <w:t> </w:t>
      </w:r>
      <w:r w:rsidRPr="00A07F29">
        <w:rPr>
          <w:rFonts w:ascii="Times New Roman" w:eastAsia="Calibri" w:hAnsi="Times New Roman" w:cs="Times New Roman"/>
          <w:color w:val="000000"/>
          <w:sz w:val="24"/>
          <w:szCs w:val="20"/>
          <w:lang w:eastAsia="ar-SA"/>
        </w:rPr>
        <w:t>2 gadi) priedēm, bērziem (retāk – ozoliem), kuru stumbru vairāk vai mazāk vēl klāj miza. Kāpuri atrodami zem šo koku mizas, parasti uz tādiem stumbriem, kuru koksnes virsma ir mitra, melna</w:t>
      </w:r>
      <w:r w:rsidR="00546879" w:rsidRPr="00A07F29">
        <w:rPr>
          <w:rFonts w:ascii="Times New Roman" w:eastAsia="Calibri" w:hAnsi="Times New Roman" w:cs="Times New Roman"/>
          <w:color w:val="000000"/>
          <w:sz w:val="24"/>
          <w:szCs w:val="20"/>
          <w:lang w:eastAsia="ar-SA"/>
        </w:rPr>
        <w:t xml:space="preserve"> (</w:t>
      </w:r>
      <w:r w:rsidR="00477921">
        <w:rPr>
          <w:rFonts w:ascii="Times New Roman" w:eastAsia="Calibri" w:hAnsi="Times New Roman" w:cs="Times New Roman"/>
          <w:color w:val="000000"/>
          <w:sz w:val="24"/>
          <w:szCs w:val="20"/>
          <w:lang w:eastAsia="ar-SA"/>
        </w:rPr>
        <w:t xml:space="preserve">skat. </w:t>
      </w:r>
      <w:r w:rsidR="00546879" w:rsidRPr="00A07F29">
        <w:rPr>
          <w:rFonts w:ascii="Times New Roman" w:eastAsia="Calibri" w:hAnsi="Times New Roman" w:cs="Times New Roman"/>
          <w:color w:val="000000"/>
          <w:sz w:val="24"/>
          <w:szCs w:val="20"/>
          <w:lang w:eastAsia="ar-SA"/>
        </w:rPr>
        <w:t>4.7.1.6.</w:t>
      </w:r>
      <w:r w:rsidR="00477921">
        <w:rPr>
          <w:rFonts w:ascii="Times New Roman" w:eastAsia="Calibri" w:hAnsi="Times New Roman" w:cs="Times New Roman"/>
          <w:color w:val="000000"/>
          <w:sz w:val="24"/>
          <w:szCs w:val="20"/>
          <w:lang w:eastAsia="ar-SA"/>
        </w:rPr>
        <w:t> </w:t>
      </w:r>
      <w:r w:rsidR="00546879" w:rsidRPr="00A07F29">
        <w:rPr>
          <w:rFonts w:ascii="Times New Roman" w:eastAsia="Calibri" w:hAnsi="Times New Roman" w:cs="Times New Roman"/>
          <w:color w:val="000000"/>
          <w:sz w:val="24"/>
          <w:szCs w:val="20"/>
          <w:lang w:eastAsia="ar-SA"/>
        </w:rPr>
        <w:t>att</w:t>
      </w:r>
      <w:r w:rsidR="00477921">
        <w:rPr>
          <w:rFonts w:ascii="Times New Roman" w:eastAsia="Calibri" w:hAnsi="Times New Roman" w:cs="Times New Roman"/>
          <w:color w:val="000000"/>
          <w:sz w:val="24"/>
          <w:szCs w:val="20"/>
          <w:lang w:eastAsia="ar-SA"/>
        </w:rPr>
        <w:t>ēls</w:t>
      </w:r>
      <w:r w:rsidR="00546879" w:rsidRPr="00A07F29">
        <w:rPr>
          <w:rFonts w:ascii="Times New Roman" w:eastAsia="Calibri" w:hAnsi="Times New Roman" w:cs="Times New Roman"/>
          <w:color w:val="000000"/>
          <w:sz w:val="24"/>
          <w:szCs w:val="20"/>
          <w:lang w:eastAsia="ar-SA"/>
        </w:rPr>
        <w:t>)</w:t>
      </w:r>
      <w:r w:rsidRPr="00A07F29">
        <w:rPr>
          <w:rFonts w:ascii="Times New Roman" w:eastAsia="Calibri" w:hAnsi="Times New Roman" w:cs="Times New Roman"/>
          <w:color w:val="000000"/>
          <w:sz w:val="24"/>
          <w:szCs w:val="20"/>
          <w:lang w:eastAsia="ar-SA"/>
        </w:rPr>
        <w:t xml:space="preserve">. Iespējams, suga ir saistīta ar ģints </w:t>
      </w:r>
      <w:proofErr w:type="spellStart"/>
      <w:r w:rsidRPr="00A07F29">
        <w:rPr>
          <w:rFonts w:ascii="Times New Roman" w:eastAsia="Calibri" w:hAnsi="Times New Roman" w:cs="Times New Roman"/>
          <w:i/>
          <w:color w:val="000000"/>
          <w:sz w:val="24"/>
          <w:szCs w:val="20"/>
          <w:lang w:eastAsia="ar-SA"/>
        </w:rPr>
        <w:t>Aurobasidium</w:t>
      </w:r>
      <w:proofErr w:type="spellEnd"/>
      <w:r w:rsidRPr="00A07F29">
        <w:rPr>
          <w:rFonts w:ascii="Times New Roman" w:eastAsia="Calibri" w:hAnsi="Times New Roman" w:cs="Times New Roman"/>
          <w:color w:val="000000"/>
          <w:sz w:val="24"/>
          <w:szCs w:val="20"/>
          <w:lang w:eastAsia="ar-SA"/>
        </w:rPr>
        <w:t xml:space="preserve"> sēnēm, kas uz atmirušo priežu s</w:t>
      </w:r>
      <w:r w:rsidR="00110F5B">
        <w:rPr>
          <w:rFonts w:ascii="Times New Roman" w:eastAsia="Calibri" w:hAnsi="Times New Roman" w:cs="Times New Roman"/>
          <w:color w:val="000000"/>
          <w:sz w:val="24"/>
          <w:szCs w:val="20"/>
          <w:lang w:eastAsia="ar-SA"/>
        </w:rPr>
        <w:t>t</w:t>
      </w:r>
      <w:r w:rsidRPr="00A07F29">
        <w:rPr>
          <w:rFonts w:ascii="Times New Roman" w:eastAsia="Calibri" w:hAnsi="Times New Roman" w:cs="Times New Roman"/>
          <w:color w:val="000000"/>
          <w:sz w:val="24"/>
          <w:szCs w:val="20"/>
          <w:lang w:eastAsia="ar-SA"/>
        </w:rPr>
        <w:t>umbriem rada melnīgsnēju nokrāsu, kas pamanāma jau no lielāka attāluma, bet kļūst īpaši labi saskatāma pēc mizas nolobīšanas (Vilks</w:t>
      </w:r>
      <w:r w:rsidR="002F748F">
        <w:rPr>
          <w:rFonts w:ascii="Times New Roman" w:eastAsia="Calibri" w:hAnsi="Times New Roman" w:cs="Times New Roman"/>
          <w:color w:val="000000"/>
          <w:sz w:val="24"/>
          <w:szCs w:val="20"/>
          <w:lang w:eastAsia="ar-SA"/>
        </w:rPr>
        <w:t xml:space="preserve"> K.,</w:t>
      </w:r>
      <w:r w:rsidRPr="00A07F29">
        <w:rPr>
          <w:rFonts w:ascii="Times New Roman" w:eastAsia="Calibri" w:hAnsi="Times New Roman" w:cs="Times New Roman"/>
          <w:color w:val="000000"/>
          <w:sz w:val="24"/>
          <w:szCs w:val="20"/>
          <w:lang w:eastAsia="ar-SA"/>
        </w:rPr>
        <w:t xml:space="preserve"> </w:t>
      </w:r>
      <w:proofErr w:type="spellStart"/>
      <w:r w:rsidR="002F748F">
        <w:rPr>
          <w:rFonts w:ascii="Times New Roman" w:eastAsia="Calibri" w:hAnsi="Times New Roman" w:cs="Times New Roman"/>
          <w:color w:val="000000"/>
          <w:sz w:val="24"/>
          <w:szCs w:val="20"/>
          <w:lang w:eastAsia="ar-SA"/>
        </w:rPr>
        <w:t>et</w:t>
      </w:r>
      <w:proofErr w:type="spellEnd"/>
      <w:r w:rsidR="002F748F">
        <w:rPr>
          <w:rFonts w:ascii="Times New Roman" w:eastAsia="Calibri" w:hAnsi="Times New Roman" w:cs="Times New Roman"/>
          <w:color w:val="000000"/>
          <w:sz w:val="24"/>
          <w:szCs w:val="20"/>
          <w:lang w:eastAsia="ar-SA"/>
        </w:rPr>
        <w:t>.</w:t>
      </w:r>
      <w:r w:rsidR="00AE06B0">
        <w:rPr>
          <w:rFonts w:ascii="Times New Roman" w:eastAsia="Calibri" w:hAnsi="Times New Roman" w:cs="Times New Roman"/>
          <w:color w:val="000000"/>
          <w:sz w:val="24"/>
          <w:szCs w:val="20"/>
          <w:lang w:eastAsia="ar-SA"/>
        </w:rPr>
        <w:t xml:space="preserve"> </w:t>
      </w:r>
      <w:proofErr w:type="spellStart"/>
      <w:r w:rsidR="002F748F">
        <w:rPr>
          <w:rFonts w:ascii="Times New Roman" w:eastAsia="Calibri" w:hAnsi="Times New Roman" w:cs="Times New Roman"/>
          <w:color w:val="000000"/>
          <w:sz w:val="24"/>
          <w:szCs w:val="20"/>
          <w:lang w:eastAsia="ar-SA"/>
        </w:rPr>
        <w:t>al</w:t>
      </w:r>
      <w:proofErr w:type="spellEnd"/>
      <w:r w:rsidRPr="00A07F29">
        <w:rPr>
          <w:rFonts w:ascii="Times New Roman" w:eastAsia="Calibri" w:hAnsi="Times New Roman" w:cs="Times New Roman"/>
          <w:color w:val="000000"/>
          <w:sz w:val="24"/>
          <w:szCs w:val="20"/>
          <w:lang w:eastAsia="ar-SA"/>
        </w:rPr>
        <w:t>, 2013).</w:t>
      </w:r>
      <w:r w:rsidRPr="00A07F29">
        <w:rPr>
          <w:rFonts w:ascii="Times New Roman" w:eastAsia="Calibri" w:hAnsi="Times New Roman" w:cs="Times New Roman"/>
          <w:color w:val="000000"/>
          <w:sz w:val="24"/>
          <w:szCs w:val="24"/>
          <w:lang w:eastAsia="ar-SA"/>
        </w:rPr>
        <w:t xml:space="preserve"> </w:t>
      </w:r>
      <w:r w:rsidR="00BF0E06" w:rsidRPr="00A07F29">
        <w:rPr>
          <w:rFonts w:ascii="Times New Roman" w:eastAsia="Calibri" w:hAnsi="Times New Roman" w:cs="Times New Roman"/>
          <w:color w:val="000000"/>
          <w:sz w:val="24"/>
          <w:szCs w:val="24"/>
          <w:lang w:eastAsia="ar-SA"/>
        </w:rPr>
        <w:t>DA plāna</w:t>
      </w:r>
      <w:r w:rsidRPr="00A07F29">
        <w:rPr>
          <w:rFonts w:ascii="Times New Roman" w:eastAsia="Calibri" w:hAnsi="Times New Roman" w:cs="Times New Roman"/>
          <w:color w:val="000000"/>
          <w:sz w:val="24"/>
          <w:szCs w:val="24"/>
          <w:lang w:eastAsia="ar-SA"/>
        </w:rPr>
        <w:t xml:space="preserve"> izstrādes laikā AAA teritorijā suga konstatēta 18 atradnēs. Atradnes ir reģistrētas dažādos meža augšanas apstākļu tipa, vecuma un apsaimniekošanas veida mežos, kas norāda uz sugas plašo sastopamību teritorijā. Sugas sastopamība un prognozējamais īpatņu skaits teritorijā ir atkarīgs no kāpuru attīstībai piemēroto atmirušo koku skaita. Piemērotās mežaudzēs uzskaitīto piemēroto koku vidējais skaits ir 2</w:t>
      </w:r>
      <w:r w:rsidR="001957EA">
        <w:rPr>
          <w:rFonts w:ascii="Times New Roman" w:eastAsia="Calibri" w:hAnsi="Times New Roman" w:cs="Times New Roman"/>
          <w:color w:val="000000"/>
          <w:sz w:val="24"/>
          <w:szCs w:val="24"/>
          <w:lang w:eastAsia="ar-SA"/>
        </w:rPr>
        <w:t> </w:t>
      </w:r>
      <w:r w:rsidRPr="00A07F29">
        <w:rPr>
          <w:rFonts w:ascii="Times New Roman" w:eastAsia="Calibri" w:hAnsi="Times New Roman" w:cs="Times New Roman"/>
          <w:color w:val="000000"/>
          <w:sz w:val="24"/>
          <w:szCs w:val="24"/>
          <w:lang w:eastAsia="ar-SA"/>
        </w:rPr>
        <w:t>–</w:t>
      </w:r>
      <w:r w:rsidR="001957EA">
        <w:rPr>
          <w:rFonts w:ascii="Times New Roman" w:eastAsia="Calibri" w:hAnsi="Times New Roman" w:cs="Times New Roman"/>
          <w:color w:val="000000"/>
          <w:sz w:val="24"/>
          <w:szCs w:val="24"/>
          <w:lang w:eastAsia="ar-SA"/>
        </w:rPr>
        <w:t> </w:t>
      </w:r>
      <w:r w:rsidRPr="00A07F29">
        <w:rPr>
          <w:rFonts w:ascii="Times New Roman" w:eastAsia="Calibri" w:hAnsi="Times New Roman" w:cs="Times New Roman"/>
          <w:color w:val="000000"/>
          <w:sz w:val="24"/>
          <w:szCs w:val="24"/>
          <w:lang w:eastAsia="ar-SA"/>
        </w:rPr>
        <w:t xml:space="preserve">6 </w:t>
      </w:r>
      <w:r w:rsidRPr="00A07F29">
        <w:rPr>
          <w:rFonts w:ascii="Times New Roman" w:eastAsia="Calibri" w:hAnsi="Times New Roman" w:cs="Times New Roman"/>
          <w:color w:val="000000"/>
          <w:sz w:val="24"/>
          <w:szCs w:val="24"/>
          <w:lang w:eastAsia="ar-SA"/>
        </w:rPr>
        <w:lastRenderedPageBreak/>
        <w:t xml:space="preserve">koki/ha. Sugas sastopamībai teritorijā optimāli ir sausie meža tipi – </w:t>
      </w:r>
      <w:proofErr w:type="spellStart"/>
      <w:r w:rsidRPr="00A07F29">
        <w:rPr>
          <w:rFonts w:ascii="Times New Roman" w:eastAsia="Calibri" w:hAnsi="Times New Roman" w:cs="Times New Roman"/>
          <w:color w:val="000000"/>
          <w:sz w:val="24"/>
          <w:szCs w:val="24"/>
          <w:lang w:eastAsia="ar-SA"/>
        </w:rPr>
        <w:t>lāns</w:t>
      </w:r>
      <w:proofErr w:type="spellEnd"/>
      <w:r w:rsidRPr="00A07F29">
        <w:rPr>
          <w:rFonts w:ascii="Times New Roman" w:eastAsia="Calibri" w:hAnsi="Times New Roman" w:cs="Times New Roman"/>
          <w:color w:val="000000"/>
          <w:sz w:val="24"/>
          <w:szCs w:val="24"/>
          <w:lang w:eastAsia="ar-SA"/>
        </w:rPr>
        <w:t xml:space="preserve">, damaksnis un </w:t>
      </w:r>
      <w:proofErr w:type="spellStart"/>
      <w:r w:rsidRPr="00A07F29">
        <w:rPr>
          <w:rFonts w:ascii="Times New Roman" w:eastAsia="Calibri" w:hAnsi="Times New Roman" w:cs="Times New Roman"/>
          <w:color w:val="000000"/>
          <w:sz w:val="24"/>
          <w:szCs w:val="24"/>
          <w:lang w:eastAsia="ar-SA"/>
        </w:rPr>
        <w:t>mētrājs</w:t>
      </w:r>
      <w:proofErr w:type="spellEnd"/>
      <w:r w:rsidRPr="00A07F29">
        <w:rPr>
          <w:rFonts w:ascii="Times New Roman" w:eastAsia="Calibri" w:hAnsi="Times New Roman" w:cs="Times New Roman"/>
          <w:color w:val="000000"/>
          <w:sz w:val="24"/>
          <w:szCs w:val="24"/>
          <w:lang w:eastAsia="ar-SA"/>
        </w:rPr>
        <w:t xml:space="preserve">, kas dominē AAA teritorijā, </w:t>
      </w:r>
      <w:proofErr w:type="spellStart"/>
      <w:r w:rsidRPr="00A07F29">
        <w:rPr>
          <w:rFonts w:ascii="Times New Roman" w:eastAsia="Calibri" w:hAnsi="Times New Roman" w:cs="Times New Roman"/>
          <w:color w:val="000000"/>
          <w:sz w:val="24"/>
          <w:szCs w:val="24"/>
          <w:lang w:eastAsia="ar-SA"/>
        </w:rPr>
        <w:t>purvaiņi</w:t>
      </w:r>
      <w:proofErr w:type="spellEnd"/>
      <w:r w:rsidRPr="00A07F29">
        <w:rPr>
          <w:rFonts w:ascii="Times New Roman" w:eastAsia="Calibri" w:hAnsi="Times New Roman" w:cs="Times New Roman"/>
          <w:color w:val="000000"/>
          <w:sz w:val="24"/>
          <w:szCs w:val="24"/>
          <w:lang w:eastAsia="ar-SA"/>
        </w:rPr>
        <w:t xml:space="preserve"> – purvājs un niedrājs un </w:t>
      </w:r>
      <w:proofErr w:type="spellStart"/>
      <w:r w:rsidRPr="00A07F29">
        <w:rPr>
          <w:rFonts w:ascii="Times New Roman" w:eastAsia="Calibri" w:hAnsi="Times New Roman" w:cs="Times New Roman"/>
          <w:color w:val="000000"/>
          <w:sz w:val="24"/>
          <w:szCs w:val="24"/>
          <w:lang w:eastAsia="ar-SA"/>
        </w:rPr>
        <w:t>kūdreņi</w:t>
      </w:r>
      <w:proofErr w:type="spellEnd"/>
      <w:r w:rsidRPr="00A07F29">
        <w:rPr>
          <w:rFonts w:ascii="Times New Roman" w:eastAsia="Calibri" w:hAnsi="Times New Roman" w:cs="Times New Roman"/>
          <w:color w:val="000000"/>
          <w:sz w:val="24"/>
          <w:szCs w:val="24"/>
          <w:lang w:eastAsia="ar-SA"/>
        </w:rPr>
        <w:t xml:space="preserve"> – viršu, mētru un </w:t>
      </w:r>
      <w:proofErr w:type="spellStart"/>
      <w:r w:rsidRPr="00A07F29">
        <w:rPr>
          <w:rFonts w:ascii="Times New Roman" w:eastAsia="Calibri" w:hAnsi="Times New Roman" w:cs="Times New Roman"/>
          <w:color w:val="000000"/>
          <w:sz w:val="24"/>
          <w:szCs w:val="24"/>
          <w:lang w:eastAsia="ar-SA"/>
        </w:rPr>
        <w:t>š</w:t>
      </w:r>
      <w:r w:rsidR="001957EA">
        <w:rPr>
          <w:rFonts w:ascii="Times New Roman" w:eastAsia="Calibri" w:hAnsi="Times New Roman" w:cs="Times New Roman"/>
          <w:color w:val="000000"/>
          <w:sz w:val="24"/>
          <w:szCs w:val="24"/>
          <w:lang w:eastAsia="ar-SA"/>
        </w:rPr>
        <w:t>a</w:t>
      </w:r>
      <w:r w:rsidRPr="00A07F29">
        <w:rPr>
          <w:rFonts w:ascii="Times New Roman" w:eastAsia="Calibri" w:hAnsi="Times New Roman" w:cs="Times New Roman"/>
          <w:color w:val="000000"/>
          <w:sz w:val="24"/>
          <w:szCs w:val="24"/>
          <w:lang w:eastAsia="ar-SA"/>
        </w:rPr>
        <w:t>urlapju</w:t>
      </w:r>
      <w:proofErr w:type="spellEnd"/>
      <w:r w:rsidRPr="00A07F29">
        <w:rPr>
          <w:rFonts w:ascii="Times New Roman" w:eastAsia="Calibri" w:hAnsi="Times New Roman" w:cs="Times New Roman"/>
          <w:color w:val="000000"/>
          <w:sz w:val="24"/>
          <w:szCs w:val="24"/>
          <w:lang w:eastAsia="ar-SA"/>
        </w:rPr>
        <w:t>. Par sugai piemērotām tiek uzskatītas mežaudzes vecumā no 40 gadiem. Kopumā teritorijā potenciāli piemēroto mežaudžu platība ir 9</w:t>
      </w:r>
      <w:r w:rsidR="001957EA">
        <w:rPr>
          <w:rFonts w:ascii="Times New Roman" w:eastAsia="Calibri" w:hAnsi="Times New Roman" w:cs="Times New Roman"/>
          <w:color w:val="000000"/>
          <w:sz w:val="24"/>
          <w:szCs w:val="24"/>
          <w:lang w:eastAsia="ar-SA"/>
        </w:rPr>
        <w:t> </w:t>
      </w:r>
      <w:r w:rsidRPr="00A07F29">
        <w:rPr>
          <w:rFonts w:ascii="Times New Roman" w:eastAsia="Calibri" w:hAnsi="Times New Roman" w:cs="Times New Roman"/>
          <w:color w:val="000000"/>
          <w:sz w:val="24"/>
          <w:szCs w:val="24"/>
          <w:lang w:eastAsia="ar-SA"/>
        </w:rPr>
        <w:t>780</w:t>
      </w:r>
      <w:r w:rsidR="001957EA">
        <w:rPr>
          <w:rFonts w:ascii="Times New Roman" w:eastAsia="Calibri" w:hAnsi="Times New Roman" w:cs="Times New Roman"/>
          <w:color w:val="000000"/>
          <w:sz w:val="24"/>
          <w:szCs w:val="24"/>
          <w:lang w:eastAsia="ar-SA"/>
        </w:rPr>
        <w:t> </w:t>
      </w:r>
      <w:r w:rsidRPr="00A07F29">
        <w:rPr>
          <w:rFonts w:ascii="Times New Roman" w:eastAsia="Calibri" w:hAnsi="Times New Roman" w:cs="Times New Roman"/>
          <w:color w:val="000000"/>
          <w:sz w:val="24"/>
          <w:szCs w:val="24"/>
          <w:lang w:eastAsia="ar-SA"/>
        </w:rPr>
        <w:t>ha. Apmēram 10</w:t>
      </w:r>
      <w:r w:rsidR="001957EA">
        <w:rPr>
          <w:rFonts w:ascii="Times New Roman" w:eastAsia="Calibri" w:hAnsi="Times New Roman" w:cs="Times New Roman"/>
          <w:color w:val="000000"/>
          <w:sz w:val="24"/>
          <w:szCs w:val="24"/>
          <w:lang w:eastAsia="ar-SA"/>
        </w:rPr>
        <w:t> </w:t>
      </w:r>
      <w:r w:rsidRPr="00A07F29">
        <w:rPr>
          <w:rFonts w:ascii="Times New Roman" w:eastAsia="Calibri" w:hAnsi="Times New Roman" w:cs="Times New Roman"/>
          <w:color w:val="000000"/>
          <w:sz w:val="24"/>
          <w:szCs w:val="24"/>
          <w:lang w:eastAsia="ar-SA"/>
        </w:rPr>
        <w:t xml:space="preserve">% no </w:t>
      </w:r>
      <w:r w:rsidR="00BF0E06" w:rsidRPr="00A07F29">
        <w:rPr>
          <w:rFonts w:ascii="Times New Roman" w:eastAsia="Calibri" w:hAnsi="Times New Roman" w:cs="Times New Roman"/>
          <w:color w:val="000000"/>
          <w:sz w:val="24"/>
          <w:szCs w:val="24"/>
          <w:lang w:eastAsia="ar-SA"/>
        </w:rPr>
        <w:t>DA plāna</w:t>
      </w:r>
      <w:r w:rsidRPr="00A07F29">
        <w:rPr>
          <w:rFonts w:ascii="Times New Roman" w:eastAsia="Calibri" w:hAnsi="Times New Roman" w:cs="Times New Roman"/>
          <w:color w:val="000000"/>
          <w:sz w:val="24"/>
          <w:szCs w:val="24"/>
          <w:lang w:eastAsia="ar-SA"/>
        </w:rPr>
        <w:t xml:space="preserve"> izstrādes ietvaros izlases veidā apsekotajiem nogabaliem tika konstatēta sugas klātbūtne, tāpēc par sugai optimālām dzīvotnēm AAA “Augšdaugava” teritorijā uzskatāmas priežu mežaudzes 978</w:t>
      </w:r>
      <w:r w:rsidR="00C67C21">
        <w:rPr>
          <w:rFonts w:ascii="Times New Roman" w:eastAsia="Calibri" w:hAnsi="Times New Roman" w:cs="Times New Roman"/>
          <w:color w:val="000000"/>
          <w:sz w:val="24"/>
          <w:szCs w:val="24"/>
          <w:lang w:eastAsia="ar-SA"/>
        </w:rPr>
        <w:t> </w:t>
      </w:r>
      <w:r w:rsidRPr="00A07F29">
        <w:rPr>
          <w:rFonts w:ascii="Times New Roman" w:eastAsia="Calibri" w:hAnsi="Times New Roman" w:cs="Times New Roman"/>
          <w:color w:val="000000"/>
          <w:sz w:val="24"/>
          <w:szCs w:val="24"/>
          <w:lang w:eastAsia="ar-SA"/>
        </w:rPr>
        <w:t xml:space="preserve">ha lielā platība. Saskaņā ar </w:t>
      </w:r>
      <w:r w:rsidRPr="00CA7016">
        <w:rPr>
          <w:rFonts w:ascii="Times New Roman" w:eastAsia="Calibri" w:hAnsi="Times New Roman" w:cs="Times New Roman"/>
          <w:color w:val="000000"/>
          <w:sz w:val="24"/>
          <w:szCs w:val="24"/>
          <w:lang w:eastAsia="ar-SA"/>
        </w:rPr>
        <w:t>D</w:t>
      </w:r>
      <w:r w:rsidR="00CA7016" w:rsidRPr="00CA7016">
        <w:rPr>
          <w:rFonts w:ascii="Times New Roman" w:eastAsia="Calibri" w:hAnsi="Times New Roman" w:cs="Times New Roman"/>
          <w:color w:val="000000"/>
          <w:sz w:val="24"/>
          <w:szCs w:val="24"/>
          <w:lang w:eastAsia="ar-SA"/>
        </w:rPr>
        <w:t>U</w:t>
      </w:r>
      <w:r w:rsidRPr="00A07F29">
        <w:rPr>
          <w:rFonts w:ascii="Times New Roman" w:eastAsia="Calibri" w:hAnsi="Times New Roman" w:cs="Times New Roman"/>
          <w:color w:val="000000"/>
          <w:sz w:val="24"/>
          <w:szCs w:val="24"/>
          <w:lang w:eastAsia="ar-SA"/>
        </w:rPr>
        <w:t xml:space="preserve"> entomologu veikto pētījumu nepublicētiem datiem, vidējais īpatņu skaits, kas apdzīvo vienu koku ir ~15. Veicot īpatņu skaita aprēķinu, AAA “Augšdaugava” teritorijā ir prognozējama 29</w:t>
      </w:r>
      <w:r w:rsidR="00C67C21">
        <w:rPr>
          <w:rFonts w:ascii="Times New Roman" w:eastAsia="Calibri" w:hAnsi="Times New Roman" w:cs="Times New Roman"/>
          <w:color w:val="000000"/>
          <w:sz w:val="24"/>
          <w:szCs w:val="24"/>
          <w:lang w:eastAsia="ar-SA"/>
        </w:rPr>
        <w:t> </w:t>
      </w:r>
      <w:r w:rsidRPr="00A07F29">
        <w:rPr>
          <w:rFonts w:ascii="Times New Roman" w:eastAsia="Calibri" w:hAnsi="Times New Roman" w:cs="Times New Roman"/>
          <w:color w:val="000000"/>
          <w:sz w:val="24"/>
          <w:szCs w:val="24"/>
          <w:lang w:eastAsia="ar-SA"/>
        </w:rPr>
        <w:t>340 līdz 88</w:t>
      </w:r>
      <w:r w:rsidR="00C67C21">
        <w:rPr>
          <w:rFonts w:ascii="Times New Roman" w:eastAsia="Calibri" w:hAnsi="Times New Roman" w:cs="Times New Roman"/>
          <w:color w:val="000000"/>
          <w:sz w:val="24"/>
          <w:szCs w:val="24"/>
          <w:lang w:eastAsia="ar-SA"/>
        </w:rPr>
        <w:t> </w:t>
      </w:r>
      <w:r w:rsidRPr="00A07F29">
        <w:rPr>
          <w:rFonts w:ascii="Times New Roman" w:eastAsia="Calibri" w:hAnsi="Times New Roman" w:cs="Times New Roman"/>
          <w:color w:val="000000"/>
          <w:sz w:val="24"/>
          <w:szCs w:val="24"/>
          <w:lang w:eastAsia="ar-SA"/>
        </w:rPr>
        <w:t>020 īpatņu sastopamība.</w:t>
      </w:r>
    </w:p>
    <w:p w14:paraId="6437E8E0" w14:textId="77777777" w:rsidR="009072CE" w:rsidRPr="00A07F29" w:rsidRDefault="009072CE" w:rsidP="00546879">
      <w:pPr>
        <w:autoSpaceDE w:val="0"/>
        <w:autoSpaceDN w:val="0"/>
        <w:adjustRightInd w:val="0"/>
        <w:spacing w:after="120" w:line="240" w:lineRule="auto"/>
        <w:ind w:firstLine="851"/>
        <w:jc w:val="both"/>
        <w:rPr>
          <w:rFonts w:ascii="Times New Roman" w:eastAsia="Calibri" w:hAnsi="Times New Roman" w:cs="Times New Roman"/>
          <w:color w:val="000000"/>
          <w:sz w:val="24"/>
          <w:szCs w:val="20"/>
          <w:lang w:eastAsia="ar-SA"/>
        </w:rPr>
      </w:pPr>
      <w:r w:rsidRPr="00A07F29">
        <w:rPr>
          <w:rFonts w:ascii="Times New Roman" w:eastAsia="Calibri" w:hAnsi="Times New Roman" w:cs="Times New Roman"/>
          <w:color w:val="000000"/>
          <w:sz w:val="24"/>
          <w:szCs w:val="20"/>
          <w:lang w:eastAsia="ar-SA"/>
        </w:rPr>
        <w:t xml:space="preserve">Līdzīgas dzīvotnes ir piemērotas arī teritorijā sastopamai lielajai </w:t>
      </w:r>
      <w:proofErr w:type="spellStart"/>
      <w:r w:rsidRPr="00A07F29">
        <w:rPr>
          <w:rFonts w:ascii="Times New Roman" w:eastAsia="Calibri" w:hAnsi="Times New Roman" w:cs="Times New Roman"/>
          <w:color w:val="000000"/>
          <w:sz w:val="24"/>
          <w:szCs w:val="20"/>
          <w:lang w:eastAsia="ar-SA"/>
        </w:rPr>
        <w:t>krāšņvabolei</w:t>
      </w:r>
      <w:proofErr w:type="spellEnd"/>
      <w:r w:rsidRPr="00A07F29">
        <w:rPr>
          <w:rFonts w:ascii="Times New Roman" w:eastAsia="Calibri" w:hAnsi="Times New Roman" w:cs="Times New Roman"/>
          <w:color w:val="000000"/>
          <w:sz w:val="24"/>
          <w:szCs w:val="20"/>
          <w:lang w:eastAsia="ar-SA"/>
        </w:rPr>
        <w:t xml:space="preserve"> </w:t>
      </w:r>
      <w:proofErr w:type="spellStart"/>
      <w:r w:rsidRPr="00A07F29">
        <w:rPr>
          <w:rFonts w:ascii="Times New Roman" w:eastAsia="Calibri" w:hAnsi="Times New Roman" w:cs="Times New Roman"/>
          <w:i/>
          <w:color w:val="000000"/>
          <w:sz w:val="24"/>
          <w:szCs w:val="20"/>
          <w:lang w:eastAsia="ar-SA"/>
        </w:rPr>
        <w:t>Chalcophora</w:t>
      </w:r>
      <w:proofErr w:type="spellEnd"/>
      <w:r w:rsidRPr="00A07F29">
        <w:rPr>
          <w:rFonts w:ascii="Times New Roman" w:eastAsia="Calibri" w:hAnsi="Times New Roman" w:cs="Times New Roman"/>
          <w:i/>
          <w:color w:val="000000"/>
          <w:sz w:val="24"/>
          <w:szCs w:val="20"/>
          <w:lang w:eastAsia="ar-SA"/>
        </w:rPr>
        <w:t xml:space="preserve"> </w:t>
      </w:r>
      <w:proofErr w:type="spellStart"/>
      <w:r w:rsidRPr="00A07F29">
        <w:rPr>
          <w:rFonts w:ascii="Times New Roman" w:eastAsia="Calibri" w:hAnsi="Times New Roman" w:cs="Times New Roman"/>
          <w:i/>
          <w:color w:val="000000"/>
          <w:sz w:val="24"/>
          <w:szCs w:val="20"/>
          <w:lang w:eastAsia="ar-SA"/>
        </w:rPr>
        <w:t>mariana</w:t>
      </w:r>
      <w:proofErr w:type="spellEnd"/>
      <w:r w:rsidRPr="00A07F29">
        <w:rPr>
          <w:rFonts w:ascii="Times New Roman" w:eastAsia="Calibri" w:hAnsi="Times New Roman" w:cs="Times New Roman"/>
          <w:color w:val="000000"/>
          <w:sz w:val="24"/>
          <w:szCs w:val="20"/>
          <w:lang w:eastAsia="ar-SA"/>
        </w:rPr>
        <w:t xml:space="preserve">, priežu </w:t>
      </w:r>
      <w:proofErr w:type="spellStart"/>
      <w:r w:rsidRPr="00A07F29">
        <w:rPr>
          <w:rFonts w:ascii="Times New Roman" w:eastAsia="Calibri" w:hAnsi="Times New Roman" w:cs="Times New Roman"/>
          <w:color w:val="000000"/>
          <w:sz w:val="24"/>
          <w:szCs w:val="20"/>
          <w:lang w:eastAsia="ar-SA"/>
        </w:rPr>
        <w:t>dižkoksngrauzim</w:t>
      </w:r>
      <w:proofErr w:type="spellEnd"/>
      <w:r w:rsidRPr="00A07F29">
        <w:rPr>
          <w:rFonts w:ascii="Times New Roman" w:eastAsia="Calibri" w:hAnsi="Times New Roman" w:cs="Times New Roman"/>
          <w:color w:val="000000"/>
          <w:sz w:val="24"/>
          <w:szCs w:val="20"/>
          <w:lang w:eastAsia="ar-SA"/>
        </w:rPr>
        <w:t xml:space="preserve"> </w:t>
      </w:r>
      <w:proofErr w:type="spellStart"/>
      <w:r w:rsidRPr="00A07F29">
        <w:rPr>
          <w:rFonts w:ascii="Times New Roman" w:eastAsia="Calibri" w:hAnsi="Times New Roman" w:cs="Times New Roman"/>
          <w:i/>
          <w:color w:val="000000"/>
          <w:sz w:val="24"/>
          <w:szCs w:val="20"/>
          <w:lang w:eastAsia="ar-SA"/>
        </w:rPr>
        <w:t>Prionus</w:t>
      </w:r>
      <w:proofErr w:type="spellEnd"/>
      <w:r w:rsidRPr="00A07F29">
        <w:rPr>
          <w:rFonts w:ascii="Times New Roman" w:eastAsia="Calibri" w:hAnsi="Times New Roman" w:cs="Times New Roman"/>
          <w:i/>
          <w:color w:val="000000"/>
          <w:sz w:val="24"/>
          <w:szCs w:val="20"/>
          <w:lang w:eastAsia="ar-SA"/>
        </w:rPr>
        <w:t xml:space="preserve"> </w:t>
      </w:r>
      <w:proofErr w:type="spellStart"/>
      <w:r w:rsidRPr="00A07F29">
        <w:rPr>
          <w:rFonts w:ascii="Times New Roman" w:eastAsia="Calibri" w:hAnsi="Times New Roman" w:cs="Times New Roman"/>
          <w:i/>
          <w:color w:val="000000"/>
          <w:sz w:val="24"/>
          <w:szCs w:val="20"/>
          <w:lang w:eastAsia="ar-SA"/>
        </w:rPr>
        <w:t>coriarius</w:t>
      </w:r>
      <w:proofErr w:type="spellEnd"/>
      <w:r w:rsidRPr="00A07F29">
        <w:rPr>
          <w:rFonts w:ascii="Times New Roman" w:eastAsia="Calibri" w:hAnsi="Times New Roman" w:cs="Times New Roman"/>
          <w:color w:val="000000"/>
          <w:sz w:val="24"/>
          <w:szCs w:val="20"/>
          <w:lang w:eastAsia="ar-SA"/>
        </w:rPr>
        <w:t xml:space="preserve">, lielajam </w:t>
      </w:r>
      <w:proofErr w:type="spellStart"/>
      <w:r w:rsidRPr="00A07F29">
        <w:rPr>
          <w:rFonts w:ascii="Times New Roman" w:eastAsia="Calibri" w:hAnsi="Times New Roman" w:cs="Times New Roman"/>
          <w:color w:val="000000"/>
          <w:sz w:val="24"/>
          <w:szCs w:val="20"/>
          <w:lang w:eastAsia="ar-SA"/>
        </w:rPr>
        <w:t>dižkoksngrauzim</w:t>
      </w:r>
      <w:proofErr w:type="spellEnd"/>
      <w:r w:rsidRPr="00A07F29">
        <w:rPr>
          <w:rFonts w:ascii="Times New Roman" w:eastAsia="Calibri" w:hAnsi="Times New Roman" w:cs="Times New Roman"/>
          <w:color w:val="000000"/>
          <w:sz w:val="24"/>
          <w:szCs w:val="20"/>
          <w:lang w:eastAsia="ar-SA"/>
        </w:rPr>
        <w:t xml:space="preserve"> </w:t>
      </w:r>
      <w:proofErr w:type="spellStart"/>
      <w:r w:rsidRPr="00A07F29">
        <w:rPr>
          <w:rFonts w:ascii="Times New Roman" w:eastAsia="Calibri" w:hAnsi="Times New Roman" w:cs="Times New Roman"/>
          <w:i/>
          <w:color w:val="000000"/>
          <w:sz w:val="24"/>
          <w:szCs w:val="20"/>
          <w:lang w:eastAsia="ar-SA"/>
        </w:rPr>
        <w:t>Ergates</w:t>
      </w:r>
      <w:proofErr w:type="spellEnd"/>
      <w:r w:rsidRPr="00A07F29">
        <w:rPr>
          <w:rFonts w:ascii="Times New Roman" w:eastAsia="Calibri" w:hAnsi="Times New Roman" w:cs="Times New Roman"/>
          <w:i/>
          <w:color w:val="000000"/>
          <w:sz w:val="24"/>
          <w:szCs w:val="20"/>
          <w:lang w:eastAsia="ar-SA"/>
        </w:rPr>
        <w:t xml:space="preserve"> </w:t>
      </w:r>
      <w:proofErr w:type="spellStart"/>
      <w:r w:rsidRPr="00A07F29">
        <w:rPr>
          <w:rFonts w:ascii="Times New Roman" w:eastAsia="Calibri" w:hAnsi="Times New Roman" w:cs="Times New Roman"/>
          <w:i/>
          <w:color w:val="000000"/>
          <w:sz w:val="24"/>
          <w:szCs w:val="20"/>
          <w:lang w:eastAsia="ar-SA"/>
        </w:rPr>
        <w:t>faber</w:t>
      </w:r>
      <w:proofErr w:type="spellEnd"/>
      <w:r w:rsidRPr="00A07F29">
        <w:rPr>
          <w:rFonts w:ascii="Times New Roman" w:eastAsia="Calibri" w:hAnsi="Times New Roman" w:cs="Times New Roman"/>
          <w:color w:val="000000"/>
          <w:sz w:val="24"/>
          <w:szCs w:val="20"/>
          <w:lang w:eastAsia="ar-SA"/>
        </w:rPr>
        <w:t xml:space="preserve">, priežu </w:t>
      </w:r>
      <w:proofErr w:type="spellStart"/>
      <w:r w:rsidRPr="00A07F29">
        <w:rPr>
          <w:rFonts w:ascii="Times New Roman" w:eastAsia="Calibri" w:hAnsi="Times New Roman" w:cs="Times New Roman"/>
          <w:color w:val="000000"/>
          <w:sz w:val="24"/>
          <w:szCs w:val="20"/>
          <w:lang w:eastAsia="ar-SA"/>
        </w:rPr>
        <w:t>sveķotājkoksngrauzim</w:t>
      </w:r>
      <w:proofErr w:type="spellEnd"/>
      <w:r w:rsidRPr="00A07F29">
        <w:rPr>
          <w:rFonts w:ascii="Times New Roman" w:eastAsia="Calibri" w:hAnsi="Times New Roman" w:cs="Times New Roman"/>
          <w:color w:val="000000"/>
          <w:sz w:val="24"/>
          <w:szCs w:val="20"/>
          <w:lang w:eastAsia="ar-SA"/>
        </w:rPr>
        <w:t xml:space="preserve"> </w:t>
      </w:r>
      <w:proofErr w:type="spellStart"/>
      <w:r w:rsidRPr="00A07F29">
        <w:rPr>
          <w:rFonts w:ascii="Times New Roman" w:eastAsia="Calibri" w:hAnsi="Times New Roman" w:cs="Times New Roman"/>
          <w:i/>
          <w:color w:val="000000"/>
          <w:sz w:val="24"/>
          <w:szCs w:val="20"/>
          <w:lang w:eastAsia="ar-SA"/>
        </w:rPr>
        <w:t>Nothorhina</w:t>
      </w:r>
      <w:proofErr w:type="spellEnd"/>
      <w:r w:rsidRPr="00A07F29">
        <w:rPr>
          <w:rFonts w:ascii="Times New Roman" w:eastAsia="Calibri" w:hAnsi="Times New Roman" w:cs="Times New Roman"/>
          <w:i/>
          <w:color w:val="000000"/>
          <w:sz w:val="24"/>
          <w:szCs w:val="20"/>
          <w:lang w:eastAsia="ar-SA"/>
        </w:rPr>
        <w:t xml:space="preserve"> </w:t>
      </w:r>
      <w:proofErr w:type="spellStart"/>
      <w:r w:rsidRPr="00A07F29">
        <w:rPr>
          <w:rFonts w:ascii="Times New Roman" w:eastAsia="Calibri" w:hAnsi="Times New Roman" w:cs="Times New Roman"/>
          <w:i/>
          <w:color w:val="000000"/>
          <w:sz w:val="24"/>
          <w:szCs w:val="20"/>
          <w:lang w:eastAsia="ar-SA"/>
        </w:rPr>
        <w:t>muricata</w:t>
      </w:r>
      <w:proofErr w:type="spellEnd"/>
      <w:r w:rsidRPr="00A07F29">
        <w:rPr>
          <w:rFonts w:ascii="Times New Roman" w:eastAsia="Calibri" w:hAnsi="Times New Roman" w:cs="Times New Roman"/>
          <w:color w:val="000000"/>
          <w:sz w:val="24"/>
          <w:szCs w:val="20"/>
          <w:lang w:eastAsia="ar-SA"/>
        </w:rPr>
        <w:t xml:space="preserve">. Teritorijā potenciāli iespējama arī citu aizsargājamo sugu (piem. skujkoku </w:t>
      </w:r>
      <w:proofErr w:type="spellStart"/>
      <w:r w:rsidRPr="00A07F29">
        <w:rPr>
          <w:rFonts w:ascii="Times New Roman" w:eastAsia="Calibri" w:hAnsi="Times New Roman" w:cs="Times New Roman"/>
          <w:color w:val="000000"/>
          <w:sz w:val="24"/>
          <w:szCs w:val="20"/>
          <w:lang w:eastAsia="ar-SA"/>
        </w:rPr>
        <w:t>dižkoksngrauža</w:t>
      </w:r>
      <w:proofErr w:type="spellEnd"/>
      <w:r w:rsidRPr="00A07F29">
        <w:rPr>
          <w:rFonts w:ascii="Times New Roman" w:eastAsia="Calibri" w:hAnsi="Times New Roman" w:cs="Times New Roman"/>
          <w:color w:val="000000"/>
          <w:sz w:val="24"/>
          <w:szCs w:val="20"/>
          <w:lang w:eastAsia="ar-SA"/>
        </w:rPr>
        <w:t xml:space="preserve"> </w:t>
      </w:r>
      <w:proofErr w:type="spellStart"/>
      <w:r w:rsidRPr="00A07F29">
        <w:rPr>
          <w:rFonts w:ascii="Times New Roman" w:eastAsia="Calibri" w:hAnsi="Times New Roman" w:cs="Times New Roman"/>
          <w:i/>
          <w:color w:val="000000"/>
          <w:sz w:val="24"/>
          <w:szCs w:val="20"/>
          <w:lang w:eastAsia="ar-SA"/>
        </w:rPr>
        <w:t>Tragosoma</w:t>
      </w:r>
      <w:proofErr w:type="spellEnd"/>
      <w:r w:rsidRPr="00A07F29">
        <w:rPr>
          <w:rFonts w:ascii="Times New Roman" w:eastAsia="Calibri" w:hAnsi="Times New Roman" w:cs="Times New Roman"/>
          <w:i/>
          <w:color w:val="000000"/>
          <w:sz w:val="24"/>
          <w:szCs w:val="20"/>
          <w:lang w:eastAsia="ar-SA"/>
        </w:rPr>
        <w:t xml:space="preserve"> </w:t>
      </w:r>
      <w:proofErr w:type="spellStart"/>
      <w:r w:rsidRPr="00A07F29">
        <w:rPr>
          <w:rFonts w:ascii="Times New Roman" w:eastAsia="Calibri" w:hAnsi="Times New Roman" w:cs="Times New Roman"/>
          <w:i/>
          <w:color w:val="000000"/>
          <w:sz w:val="24"/>
          <w:szCs w:val="20"/>
          <w:lang w:eastAsia="ar-SA"/>
        </w:rPr>
        <w:t>depsarium</w:t>
      </w:r>
      <w:proofErr w:type="spellEnd"/>
      <w:r w:rsidRPr="00A07F29">
        <w:rPr>
          <w:rFonts w:ascii="Times New Roman" w:eastAsia="Calibri" w:hAnsi="Times New Roman" w:cs="Times New Roman"/>
          <w:color w:val="000000"/>
          <w:sz w:val="24"/>
          <w:szCs w:val="20"/>
          <w:lang w:eastAsia="ar-SA"/>
        </w:rPr>
        <w:t xml:space="preserve"> un kuprainās </w:t>
      </w:r>
      <w:proofErr w:type="spellStart"/>
      <w:r w:rsidRPr="00A07F29">
        <w:rPr>
          <w:rFonts w:ascii="Times New Roman" w:eastAsia="Calibri" w:hAnsi="Times New Roman" w:cs="Times New Roman"/>
          <w:color w:val="000000"/>
          <w:sz w:val="24"/>
          <w:szCs w:val="20"/>
          <w:lang w:eastAsia="ar-SA"/>
        </w:rPr>
        <w:t>celmmušas</w:t>
      </w:r>
      <w:proofErr w:type="spellEnd"/>
      <w:r w:rsidRPr="00A07F29">
        <w:rPr>
          <w:rFonts w:ascii="Times New Roman" w:eastAsia="Calibri" w:hAnsi="Times New Roman" w:cs="Times New Roman"/>
          <w:color w:val="000000"/>
          <w:sz w:val="24"/>
          <w:szCs w:val="20"/>
          <w:lang w:eastAsia="ar-SA"/>
        </w:rPr>
        <w:t xml:space="preserve"> </w:t>
      </w:r>
      <w:proofErr w:type="spellStart"/>
      <w:r w:rsidRPr="00A07F29">
        <w:rPr>
          <w:rFonts w:ascii="Times New Roman" w:eastAsia="Calibri" w:hAnsi="Times New Roman" w:cs="Times New Roman"/>
          <w:i/>
          <w:color w:val="000000"/>
          <w:sz w:val="24"/>
          <w:szCs w:val="20"/>
          <w:lang w:eastAsia="ar-SA"/>
        </w:rPr>
        <w:t>Laphria</w:t>
      </w:r>
      <w:proofErr w:type="spellEnd"/>
      <w:r w:rsidRPr="00A07F29">
        <w:rPr>
          <w:rFonts w:ascii="Times New Roman" w:eastAsia="Calibri" w:hAnsi="Times New Roman" w:cs="Times New Roman"/>
          <w:i/>
          <w:color w:val="000000"/>
          <w:sz w:val="24"/>
          <w:szCs w:val="20"/>
          <w:lang w:eastAsia="ar-SA"/>
        </w:rPr>
        <w:t xml:space="preserve"> </w:t>
      </w:r>
      <w:proofErr w:type="spellStart"/>
      <w:r w:rsidRPr="00A07F29">
        <w:rPr>
          <w:rFonts w:ascii="Times New Roman" w:eastAsia="Calibri" w:hAnsi="Times New Roman" w:cs="Times New Roman"/>
          <w:i/>
          <w:color w:val="000000"/>
          <w:sz w:val="24"/>
          <w:szCs w:val="20"/>
          <w:lang w:eastAsia="ar-SA"/>
        </w:rPr>
        <w:t>gibbosa</w:t>
      </w:r>
      <w:proofErr w:type="spellEnd"/>
      <w:r w:rsidRPr="00A07F29">
        <w:rPr>
          <w:rFonts w:ascii="Times New Roman" w:eastAsia="Calibri" w:hAnsi="Times New Roman" w:cs="Times New Roman"/>
          <w:color w:val="000000"/>
          <w:sz w:val="24"/>
          <w:szCs w:val="20"/>
          <w:lang w:eastAsia="ar-SA"/>
        </w:rPr>
        <w:t>) sastopamība, kuru dzīvotnes ir saistītas ar skrajām priežu mežaudzēm.</w:t>
      </w:r>
    </w:p>
    <w:p w14:paraId="6DBECE1D" w14:textId="77777777" w:rsidR="009072CE" w:rsidRPr="00A07F29" w:rsidRDefault="009072CE" w:rsidP="009072CE">
      <w:pPr>
        <w:autoSpaceDE w:val="0"/>
        <w:autoSpaceDN w:val="0"/>
        <w:adjustRightInd w:val="0"/>
        <w:spacing w:after="0" w:line="240" w:lineRule="auto"/>
        <w:jc w:val="both"/>
        <w:rPr>
          <w:rFonts w:ascii="Times New Roman" w:eastAsia="Calibri" w:hAnsi="Times New Roman" w:cs="Times New Roman"/>
          <w:color w:val="000000"/>
          <w:sz w:val="24"/>
          <w:szCs w:val="20"/>
          <w:lang w:eastAsia="ar-S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072CE" w:rsidRPr="00A07F29" w14:paraId="645925D3" w14:textId="77777777" w:rsidTr="63C42FA1">
        <w:tc>
          <w:tcPr>
            <w:tcW w:w="4677" w:type="dxa"/>
          </w:tcPr>
          <w:p w14:paraId="4BF62AD7" w14:textId="391C56F4" w:rsidR="009072CE" w:rsidRPr="00A07F29" w:rsidRDefault="009072CE" w:rsidP="009072CE">
            <w:pPr>
              <w:suppressAutoHyphens/>
              <w:rPr>
                <w:color w:val="000000"/>
                <w:szCs w:val="20"/>
                <w:lang w:eastAsia="ar-SA"/>
              </w:rPr>
            </w:pPr>
            <w:r w:rsidRPr="00A07F29">
              <w:rPr>
                <w:noProof/>
                <w:lang w:eastAsia="lv-LV"/>
              </w:rPr>
              <w:drawing>
                <wp:inline distT="0" distB="0" distL="0" distR="0" wp14:anchorId="541543D8" wp14:editId="5AE5ED51">
                  <wp:extent cx="2941319" cy="1960880"/>
                  <wp:effectExtent l="0" t="0" r="0" b="1270"/>
                  <wp:docPr id="918145573" name="Picture 4" descr="Z:\Family\Uldis\Uldis\Dabas_eksperts\IADT_ekspertizes\Augsdaugava\Foto\Boros atradne pie Elernes\IMG_28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72">
                            <a:extLst>
                              <a:ext uri="{28A0092B-C50C-407E-A947-70E740481C1C}">
                                <a14:useLocalDpi xmlns:a14="http://schemas.microsoft.com/office/drawing/2010/main"/>
                              </a:ext>
                            </a:extLst>
                          </a:blip>
                          <a:stretch>
                            <a:fillRect/>
                          </a:stretch>
                        </pic:blipFill>
                        <pic:spPr>
                          <a:xfrm>
                            <a:off x="0" y="0"/>
                            <a:ext cx="2941319" cy="1960880"/>
                          </a:xfrm>
                          <a:prstGeom prst="rect">
                            <a:avLst/>
                          </a:prstGeom>
                        </pic:spPr>
                      </pic:pic>
                    </a:graphicData>
                  </a:graphic>
                </wp:inline>
              </w:drawing>
            </w:r>
          </w:p>
        </w:tc>
        <w:tc>
          <w:tcPr>
            <w:tcW w:w="4676" w:type="dxa"/>
          </w:tcPr>
          <w:p w14:paraId="3DD66122" w14:textId="41AB0001" w:rsidR="009072CE" w:rsidRPr="00A07F29" w:rsidRDefault="009072CE" w:rsidP="009072CE">
            <w:pPr>
              <w:suppressAutoHyphens/>
              <w:rPr>
                <w:color w:val="000000"/>
                <w:szCs w:val="20"/>
                <w:lang w:eastAsia="ar-SA"/>
              </w:rPr>
            </w:pPr>
            <w:r w:rsidRPr="00A07F29">
              <w:rPr>
                <w:noProof/>
                <w:color w:val="000000"/>
                <w:szCs w:val="20"/>
                <w:lang w:eastAsia="lv-LV"/>
              </w:rPr>
              <w:drawing>
                <wp:inline distT="0" distB="0" distL="0" distR="0" wp14:anchorId="687C9326" wp14:editId="1B9B9F26">
                  <wp:extent cx="2939778" cy="1960880"/>
                  <wp:effectExtent l="0" t="0" r="0" b="1270"/>
                  <wp:docPr id="918145574" name="Picture 12" descr="Z:\Family\Uldis\Uldis\Dabas_eksperts\Dabas_foto\Dzivnieki\Bezmugurkaulnieki\Vaboles\Boros\IMG_07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Z:\Family\Uldis\Uldis\Dabas_eksperts\Dabas_foto\Dzivnieki\Bezmugurkaulnieki\Vaboles\Boros\IMG_0755.JPG"/>
                          <pic:cNvPicPr>
                            <a:picLocks noChangeAspect="1" noChangeArrowheads="1"/>
                          </pic:cNvPicPr>
                        </pic:nvPicPr>
                        <pic:blipFill rotWithShape="1">
                          <a:blip r:embed="rId73" cstate="email">
                            <a:extLst>
                              <a:ext uri="{28A0092B-C50C-407E-A947-70E740481C1C}">
                                <a14:useLocalDpi xmlns:a14="http://schemas.microsoft.com/office/drawing/2010/main"/>
                              </a:ext>
                            </a:extLst>
                          </a:blip>
                          <a:srcRect l="37031" t="37242" r="38649" b="38424"/>
                          <a:stretch/>
                        </pic:blipFill>
                        <pic:spPr bwMode="auto">
                          <a:xfrm>
                            <a:off x="0" y="0"/>
                            <a:ext cx="2947352" cy="196593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072CE" w:rsidRPr="00A07F29" w14:paraId="0DE94637" w14:textId="77777777" w:rsidTr="63C42FA1">
        <w:tc>
          <w:tcPr>
            <w:tcW w:w="4677" w:type="dxa"/>
          </w:tcPr>
          <w:p w14:paraId="4B0CECA3" w14:textId="6CA073D2" w:rsidR="009072CE" w:rsidRPr="002C626E" w:rsidRDefault="009072CE" w:rsidP="00546879">
            <w:pPr>
              <w:suppressAutoHyphens/>
              <w:rPr>
                <w:rFonts w:ascii="Times New Roman" w:hAnsi="Times New Roman" w:cs="Times New Roman"/>
                <w:bCs/>
                <w:color w:val="000000"/>
                <w:sz w:val="20"/>
                <w:szCs w:val="20"/>
                <w:lang w:eastAsia="ar-SA"/>
              </w:rPr>
            </w:pPr>
            <w:r w:rsidRPr="002C626E">
              <w:rPr>
                <w:rFonts w:ascii="Times New Roman" w:eastAsia="Calibri" w:hAnsi="Times New Roman" w:cs="Times New Roman"/>
                <w:bCs/>
                <w:color w:val="000000"/>
                <w:sz w:val="20"/>
                <w:szCs w:val="20"/>
                <w:lang w:eastAsia="ar-SA"/>
              </w:rPr>
              <w:t>4.</w:t>
            </w:r>
            <w:r w:rsidR="00546879" w:rsidRPr="002C626E">
              <w:rPr>
                <w:rFonts w:ascii="Times New Roman" w:eastAsia="Calibri" w:hAnsi="Times New Roman" w:cs="Times New Roman"/>
                <w:bCs/>
                <w:color w:val="000000"/>
                <w:sz w:val="20"/>
                <w:szCs w:val="20"/>
                <w:lang w:eastAsia="ar-SA"/>
              </w:rPr>
              <w:t>7</w:t>
            </w:r>
            <w:r w:rsidRPr="002C626E">
              <w:rPr>
                <w:rFonts w:ascii="Times New Roman" w:eastAsia="Calibri" w:hAnsi="Times New Roman" w:cs="Times New Roman"/>
                <w:bCs/>
                <w:color w:val="000000"/>
                <w:sz w:val="20"/>
                <w:szCs w:val="20"/>
                <w:lang w:eastAsia="ar-SA"/>
              </w:rPr>
              <w:t>.1.</w:t>
            </w:r>
            <w:r w:rsidRPr="002C626E">
              <w:rPr>
                <w:rFonts w:ascii="Times New Roman" w:hAnsi="Times New Roman" w:cs="Times New Roman"/>
                <w:bCs/>
                <w:color w:val="000000"/>
                <w:sz w:val="20"/>
                <w:szCs w:val="20"/>
                <w:lang w:eastAsia="ar-SA"/>
              </w:rPr>
              <w:t>5.</w:t>
            </w:r>
            <w:r w:rsidR="002C626E" w:rsidRPr="002C626E">
              <w:rPr>
                <w:rFonts w:ascii="Times New Roman" w:hAnsi="Times New Roman" w:cs="Times New Roman"/>
                <w:bCs/>
                <w:color w:val="000000"/>
                <w:sz w:val="20"/>
                <w:szCs w:val="20"/>
                <w:lang w:eastAsia="ar-SA"/>
              </w:rPr>
              <w:t> </w:t>
            </w:r>
            <w:r w:rsidRPr="002C626E">
              <w:rPr>
                <w:rFonts w:ascii="Times New Roman" w:hAnsi="Times New Roman" w:cs="Times New Roman"/>
                <w:bCs/>
                <w:color w:val="000000"/>
                <w:sz w:val="20"/>
                <w:szCs w:val="20"/>
                <w:lang w:eastAsia="ar-SA"/>
              </w:rPr>
              <w:t xml:space="preserve">attēls. Šneidera </w:t>
            </w:r>
            <w:proofErr w:type="spellStart"/>
            <w:r w:rsidRPr="002C626E">
              <w:rPr>
                <w:rFonts w:ascii="Times New Roman" w:hAnsi="Times New Roman" w:cs="Times New Roman"/>
                <w:bCs/>
                <w:color w:val="000000"/>
                <w:sz w:val="20"/>
                <w:szCs w:val="20"/>
                <w:lang w:eastAsia="ar-SA"/>
              </w:rPr>
              <w:t>mizmīļa</w:t>
            </w:r>
            <w:proofErr w:type="spellEnd"/>
            <w:r w:rsidRPr="002C626E">
              <w:rPr>
                <w:rFonts w:ascii="Times New Roman" w:hAnsi="Times New Roman" w:cs="Times New Roman"/>
                <w:bCs/>
                <w:color w:val="000000"/>
                <w:sz w:val="20"/>
                <w:szCs w:val="20"/>
                <w:lang w:eastAsia="ar-SA"/>
              </w:rPr>
              <w:t xml:space="preserve"> dzīvotne pie </w:t>
            </w:r>
            <w:proofErr w:type="spellStart"/>
            <w:r w:rsidRPr="002C626E">
              <w:rPr>
                <w:rFonts w:ascii="Times New Roman" w:hAnsi="Times New Roman" w:cs="Times New Roman"/>
                <w:bCs/>
                <w:color w:val="000000"/>
                <w:sz w:val="20"/>
                <w:szCs w:val="20"/>
                <w:lang w:eastAsia="ar-SA"/>
              </w:rPr>
              <w:t>Elernes</w:t>
            </w:r>
            <w:proofErr w:type="spellEnd"/>
            <w:r w:rsidRPr="002C626E">
              <w:rPr>
                <w:rFonts w:ascii="Times New Roman" w:hAnsi="Times New Roman" w:cs="Times New Roman"/>
                <w:bCs/>
                <w:color w:val="000000"/>
                <w:sz w:val="20"/>
                <w:szCs w:val="20"/>
                <w:lang w:eastAsia="ar-SA"/>
              </w:rPr>
              <w:t xml:space="preserve"> (Foto: U.</w:t>
            </w:r>
            <w:r w:rsidR="002C626E" w:rsidRPr="002C626E">
              <w:rPr>
                <w:rFonts w:ascii="Times New Roman" w:hAnsi="Times New Roman" w:cs="Times New Roman"/>
                <w:bCs/>
                <w:color w:val="000000"/>
                <w:sz w:val="20"/>
                <w:szCs w:val="20"/>
                <w:lang w:eastAsia="ar-SA"/>
              </w:rPr>
              <w:t> </w:t>
            </w:r>
            <w:r w:rsidRPr="002C626E">
              <w:rPr>
                <w:rFonts w:ascii="Times New Roman" w:hAnsi="Times New Roman" w:cs="Times New Roman"/>
                <w:bCs/>
                <w:color w:val="000000"/>
                <w:sz w:val="20"/>
                <w:szCs w:val="20"/>
                <w:lang w:eastAsia="ar-SA"/>
              </w:rPr>
              <w:t>Valainis)</w:t>
            </w:r>
          </w:p>
        </w:tc>
        <w:tc>
          <w:tcPr>
            <w:tcW w:w="4676" w:type="dxa"/>
          </w:tcPr>
          <w:p w14:paraId="49DF1303" w14:textId="721659A1" w:rsidR="009072CE" w:rsidRPr="002C626E" w:rsidRDefault="009072CE" w:rsidP="00546879">
            <w:pPr>
              <w:suppressAutoHyphens/>
              <w:rPr>
                <w:rFonts w:ascii="Times New Roman" w:hAnsi="Times New Roman" w:cs="Times New Roman"/>
                <w:bCs/>
                <w:color w:val="000000"/>
                <w:sz w:val="20"/>
                <w:szCs w:val="20"/>
                <w:lang w:eastAsia="ar-SA"/>
              </w:rPr>
            </w:pPr>
            <w:r w:rsidRPr="002C626E">
              <w:rPr>
                <w:rFonts w:ascii="Times New Roman" w:eastAsia="Calibri" w:hAnsi="Times New Roman" w:cs="Times New Roman"/>
                <w:bCs/>
                <w:color w:val="000000"/>
                <w:sz w:val="20"/>
                <w:szCs w:val="20"/>
                <w:lang w:eastAsia="ar-SA"/>
              </w:rPr>
              <w:t>4.</w:t>
            </w:r>
            <w:r w:rsidR="00546879" w:rsidRPr="002C626E">
              <w:rPr>
                <w:rFonts w:ascii="Times New Roman" w:eastAsia="Calibri" w:hAnsi="Times New Roman" w:cs="Times New Roman"/>
                <w:bCs/>
                <w:color w:val="000000"/>
                <w:sz w:val="20"/>
                <w:szCs w:val="20"/>
                <w:lang w:eastAsia="ar-SA"/>
              </w:rPr>
              <w:t>7</w:t>
            </w:r>
            <w:r w:rsidRPr="002C626E">
              <w:rPr>
                <w:rFonts w:ascii="Times New Roman" w:eastAsia="Calibri" w:hAnsi="Times New Roman" w:cs="Times New Roman"/>
                <w:bCs/>
                <w:color w:val="000000"/>
                <w:sz w:val="20"/>
                <w:szCs w:val="20"/>
                <w:lang w:eastAsia="ar-SA"/>
              </w:rPr>
              <w:t>.1.</w:t>
            </w:r>
            <w:r w:rsidRPr="002C626E">
              <w:rPr>
                <w:rFonts w:ascii="Times New Roman" w:hAnsi="Times New Roman" w:cs="Times New Roman"/>
                <w:bCs/>
                <w:color w:val="000000"/>
                <w:sz w:val="20"/>
                <w:szCs w:val="20"/>
                <w:lang w:eastAsia="ar-SA"/>
              </w:rPr>
              <w:t>6.</w:t>
            </w:r>
            <w:r w:rsidR="002C626E" w:rsidRPr="002C626E">
              <w:rPr>
                <w:rFonts w:ascii="Times New Roman" w:hAnsi="Times New Roman" w:cs="Times New Roman"/>
                <w:bCs/>
                <w:color w:val="000000"/>
                <w:sz w:val="20"/>
                <w:szCs w:val="20"/>
                <w:lang w:eastAsia="ar-SA"/>
              </w:rPr>
              <w:t> </w:t>
            </w:r>
            <w:r w:rsidRPr="002C626E">
              <w:rPr>
                <w:rFonts w:ascii="Times New Roman" w:hAnsi="Times New Roman" w:cs="Times New Roman"/>
                <w:bCs/>
                <w:color w:val="000000"/>
                <w:sz w:val="20"/>
                <w:szCs w:val="20"/>
                <w:lang w:eastAsia="ar-SA"/>
              </w:rPr>
              <w:t xml:space="preserve">attēls. Šneidera </w:t>
            </w:r>
            <w:proofErr w:type="spellStart"/>
            <w:r w:rsidRPr="002C626E">
              <w:rPr>
                <w:rFonts w:ascii="Times New Roman" w:hAnsi="Times New Roman" w:cs="Times New Roman"/>
                <w:bCs/>
                <w:color w:val="000000"/>
                <w:sz w:val="20"/>
                <w:szCs w:val="20"/>
                <w:lang w:eastAsia="ar-SA"/>
              </w:rPr>
              <w:t>mizmīļa</w:t>
            </w:r>
            <w:proofErr w:type="spellEnd"/>
            <w:r w:rsidRPr="002C626E">
              <w:rPr>
                <w:rFonts w:ascii="Times New Roman" w:hAnsi="Times New Roman" w:cs="Times New Roman"/>
                <w:bCs/>
                <w:color w:val="000000"/>
                <w:sz w:val="20"/>
                <w:szCs w:val="20"/>
                <w:lang w:eastAsia="ar-SA"/>
              </w:rPr>
              <w:t xml:space="preserve"> kāpurs (Foto: U.</w:t>
            </w:r>
            <w:r w:rsidR="002C626E" w:rsidRPr="002C626E">
              <w:rPr>
                <w:rFonts w:ascii="Times New Roman" w:hAnsi="Times New Roman" w:cs="Times New Roman"/>
                <w:bCs/>
                <w:color w:val="000000"/>
                <w:sz w:val="20"/>
                <w:szCs w:val="20"/>
                <w:lang w:eastAsia="ar-SA"/>
              </w:rPr>
              <w:t> </w:t>
            </w:r>
            <w:r w:rsidRPr="002C626E">
              <w:rPr>
                <w:rFonts w:ascii="Times New Roman" w:hAnsi="Times New Roman" w:cs="Times New Roman"/>
                <w:bCs/>
                <w:color w:val="000000"/>
                <w:sz w:val="20"/>
                <w:szCs w:val="20"/>
                <w:lang w:eastAsia="ar-SA"/>
              </w:rPr>
              <w:t>Valainis)</w:t>
            </w:r>
          </w:p>
        </w:tc>
      </w:tr>
    </w:tbl>
    <w:p w14:paraId="49376394" w14:textId="77777777" w:rsidR="009072CE" w:rsidRPr="00A07F29" w:rsidRDefault="009072CE" w:rsidP="009072CE">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6CF3F60F" w14:textId="77777777" w:rsidR="009072CE" w:rsidRPr="00A07F29" w:rsidRDefault="009072CE" w:rsidP="00546879">
      <w:pPr>
        <w:autoSpaceDE w:val="0"/>
        <w:autoSpaceDN w:val="0"/>
        <w:adjustRightInd w:val="0"/>
        <w:spacing w:after="120" w:line="240" w:lineRule="auto"/>
        <w:ind w:firstLine="851"/>
        <w:jc w:val="both"/>
        <w:rPr>
          <w:rFonts w:ascii="Times New Roman" w:eastAsia="Calibri" w:hAnsi="Times New Roman" w:cs="Times New Roman"/>
          <w:bCs/>
          <w:color w:val="000000"/>
          <w:sz w:val="24"/>
          <w:szCs w:val="24"/>
          <w:lang w:eastAsia="ar-SA"/>
        </w:rPr>
      </w:pPr>
      <w:r w:rsidRPr="00A07F29">
        <w:rPr>
          <w:rFonts w:ascii="Times New Roman" w:eastAsia="Calibri" w:hAnsi="Times New Roman" w:cs="Times New Roman"/>
          <w:b/>
          <w:bCs/>
          <w:color w:val="000000"/>
          <w:sz w:val="24"/>
          <w:szCs w:val="20"/>
          <w:lang w:eastAsia="ar-SA"/>
        </w:rPr>
        <w:t xml:space="preserve">Lielais </w:t>
      </w:r>
      <w:proofErr w:type="spellStart"/>
      <w:r w:rsidRPr="00A07F29">
        <w:rPr>
          <w:rFonts w:ascii="Times New Roman" w:eastAsia="Calibri" w:hAnsi="Times New Roman" w:cs="Times New Roman"/>
          <w:b/>
          <w:bCs/>
          <w:color w:val="000000"/>
          <w:sz w:val="24"/>
          <w:szCs w:val="20"/>
          <w:lang w:eastAsia="ar-SA"/>
        </w:rPr>
        <w:t>dižkoksngrauzis</w:t>
      </w:r>
      <w:proofErr w:type="spellEnd"/>
      <w:r w:rsidRPr="00A07F29">
        <w:rPr>
          <w:rFonts w:ascii="Times New Roman" w:eastAsia="Calibri" w:hAnsi="Times New Roman" w:cs="Times New Roman"/>
          <w:b/>
          <w:bCs/>
          <w:color w:val="000000"/>
          <w:sz w:val="24"/>
          <w:szCs w:val="20"/>
          <w:lang w:eastAsia="ar-SA"/>
        </w:rPr>
        <w:t xml:space="preserve"> </w:t>
      </w:r>
      <w:proofErr w:type="spellStart"/>
      <w:r w:rsidRPr="00A07F29">
        <w:rPr>
          <w:rFonts w:ascii="Times New Roman" w:eastAsia="Calibri" w:hAnsi="Times New Roman" w:cs="Times New Roman"/>
          <w:b/>
          <w:bCs/>
          <w:i/>
          <w:iCs/>
          <w:color w:val="000000"/>
          <w:sz w:val="24"/>
          <w:szCs w:val="20"/>
          <w:lang w:eastAsia="ar-SA"/>
        </w:rPr>
        <w:t>Ergates</w:t>
      </w:r>
      <w:proofErr w:type="spellEnd"/>
      <w:r w:rsidRPr="00A07F29">
        <w:rPr>
          <w:rFonts w:ascii="Times New Roman" w:eastAsia="Calibri" w:hAnsi="Times New Roman" w:cs="Times New Roman"/>
          <w:b/>
          <w:bCs/>
          <w:i/>
          <w:iCs/>
          <w:color w:val="000000"/>
          <w:sz w:val="24"/>
          <w:szCs w:val="20"/>
          <w:lang w:eastAsia="ar-SA"/>
        </w:rPr>
        <w:t xml:space="preserve"> </w:t>
      </w:r>
      <w:proofErr w:type="spellStart"/>
      <w:r w:rsidRPr="00A07F29">
        <w:rPr>
          <w:rFonts w:ascii="Times New Roman" w:eastAsia="Calibri" w:hAnsi="Times New Roman" w:cs="Times New Roman"/>
          <w:b/>
          <w:bCs/>
          <w:i/>
          <w:iCs/>
          <w:color w:val="000000"/>
          <w:sz w:val="24"/>
          <w:szCs w:val="20"/>
          <w:lang w:eastAsia="ar-SA"/>
        </w:rPr>
        <w:t>faber</w:t>
      </w:r>
      <w:proofErr w:type="spellEnd"/>
      <w:r w:rsidRPr="00A07F29">
        <w:rPr>
          <w:rFonts w:ascii="Times New Roman" w:eastAsia="Calibri" w:hAnsi="Times New Roman" w:cs="Times New Roman"/>
          <w:bCs/>
          <w:color w:val="000000"/>
          <w:sz w:val="24"/>
          <w:szCs w:val="20"/>
          <w:lang w:eastAsia="ar-SA"/>
        </w:rPr>
        <w:t xml:space="preserve"> Latvijā sastopams </w:t>
      </w:r>
      <w:proofErr w:type="spellStart"/>
      <w:r w:rsidRPr="00A07F29">
        <w:rPr>
          <w:rFonts w:ascii="Times New Roman" w:eastAsia="Calibri" w:hAnsi="Times New Roman" w:cs="Times New Roman"/>
          <w:bCs/>
          <w:color w:val="000000"/>
          <w:sz w:val="24"/>
          <w:szCs w:val="20"/>
          <w:lang w:eastAsia="ar-SA"/>
        </w:rPr>
        <w:t>sausieņu</w:t>
      </w:r>
      <w:proofErr w:type="spellEnd"/>
      <w:r w:rsidRPr="00A07F29">
        <w:rPr>
          <w:rFonts w:ascii="Times New Roman" w:eastAsia="Calibri" w:hAnsi="Times New Roman" w:cs="Times New Roman"/>
          <w:bCs/>
          <w:color w:val="000000"/>
          <w:sz w:val="24"/>
          <w:szCs w:val="20"/>
          <w:lang w:eastAsia="ar-SA"/>
        </w:rPr>
        <w:t xml:space="preserve"> priežu mežu masīvos. Tā ir ļoti reti sastopama suga. Kāpuru attīstība notiek atmirušā, lielu dimensiju priežu koksnē. Sugas dabas aizsardzības vērtība ļoti augsta, jo teritorijā ir reģistrēta viena no </w:t>
      </w:r>
      <w:proofErr w:type="spellStart"/>
      <w:r w:rsidRPr="00A07F29">
        <w:rPr>
          <w:rFonts w:ascii="Times New Roman" w:eastAsia="Calibri" w:hAnsi="Times New Roman" w:cs="Times New Roman"/>
          <w:bCs/>
          <w:color w:val="000000"/>
          <w:sz w:val="24"/>
          <w:szCs w:val="20"/>
          <w:lang w:eastAsia="ar-SA"/>
        </w:rPr>
        <w:t>nedaudzajām</w:t>
      </w:r>
      <w:proofErr w:type="spellEnd"/>
      <w:r w:rsidRPr="00A07F29">
        <w:rPr>
          <w:rFonts w:ascii="Times New Roman" w:eastAsia="Calibri" w:hAnsi="Times New Roman" w:cs="Times New Roman"/>
          <w:bCs/>
          <w:color w:val="000000"/>
          <w:sz w:val="24"/>
          <w:szCs w:val="20"/>
          <w:lang w:eastAsia="ar-SA"/>
        </w:rPr>
        <w:t xml:space="preserve"> atradnēm Latvijā. </w:t>
      </w:r>
    </w:p>
    <w:p w14:paraId="3BEE2C41" w14:textId="465D23B0" w:rsidR="00DA1A65" w:rsidRPr="00A07F29" w:rsidRDefault="009072CE" w:rsidP="00546879">
      <w:pPr>
        <w:autoSpaceDE w:val="0"/>
        <w:autoSpaceDN w:val="0"/>
        <w:adjustRightInd w:val="0"/>
        <w:spacing w:after="120" w:line="240" w:lineRule="auto"/>
        <w:ind w:firstLine="851"/>
        <w:jc w:val="both"/>
        <w:rPr>
          <w:rFonts w:ascii="Times New Roman" w:eastAsia="Calibri" w:hAnsi="Times New Roman" w:cs="Times New Roman"/>
          <w:bCs/>
          <w:color w:val="000000"/>
          <w:sz w:val="24"/>
          <w:szCs w:val="24"/>
          <w:lang w:eastAsia="ar-SA"/>
        </w:rPr>
      </w:pPr>
      <w:r w:rsidRPr="00A07F29">
        <w:rPr>
          <w:rFonts w:ascii="Times New Roman" w:eastAsia="Calibri" w:hAnsi="Times New Roman" w:cs="Times New Roman"/>
          <w:b/>
          <w:bCs/>
          <w:color w:val="000000"/>
          <w:sz w:val="24"/>
          <w:szCs w:val="24"/>
          <w:lang w:eastAsia="ar-SA"/>
        </w:rPr>
        <w:t xml:space="preserve">Liela </w:t>
      </w:r>
      <w:proofErr w:type="spellStart"/>
      <w:r w:rsidRPr="00A07F29">
        <w:rPr>
          <w:rFonts w:ascii="Times New Roman" w:eastAsia="Calibri" w:hAnsi="Times New Roman" w:cs="Times New Roman"/>
          <w:b/>
          <w:bCs/>
          <w:color w:val="000000"/>
          <w:sz w:val="24"/>
          <w:szCs w:val="24"/>
          <w:lang w:eastAsia="ar-SA"/>
        </w:rPr>
        <w:t>krāšņvabole</w:t>
      </w:r>
      <w:proofErr w:type="spellEnd"/>
      <w:r w:rsidRPr="00A07F29">
        <w:rPr>
          <w:rFonts w:ascii="Times New Roman" w:eastAsia="Calibri" w:hAnsi="Times New Roman" w:cs="Times New Roman"/>
          <w:b/>
          <w:bCs/>
          <w:color w:val="000000"/>
          <w:sz w:val="24"/>
          <w:szCs w:val="24"/>
          <w:lang w:eastAsia="ar-SA"/>
        </w:rPr>
        <w:t xml:space="preserve"> </w:t>
      </w:r>
      <w:proofErr w:type="spellStart"/>
      <w:r w:rsidRPr="00A07F29">
        <w:rPr>
          <w:rFonts w:ascii="Times New Roman" w:eastAsia="Calibri" w:hAnsi="Times New Roman" w:cs="Times New Roman"/>
          <w:b/>
          <w:bCs/>
          <w:i/>
          <w:iCs/>
          <w:color w:val="000000"/>
          <w:sz w:val="24"/>
          <w:szCs w:val="24"/>
          <w:lang w:eastAsia="ar-SA"/>
        </w:rPr>
        <w:t>Chalcophora</w:t>
      </w:r>
      <w:proofErr w:type="spellEnd"/>
      <w:r w:rsidRPr="00A07F29">
        <w:rPr>
          <w:rFonts w:ascii="Times New Roman" w:eastAsia="Calibri" w:hAnsi="Times New Roman" w:cs="Times New Roman"/>
          <w:b/>
          <w:bCs/>
          <w:i/>
          <w:iCs/>
          <w:color w:val="000000"/>
          <w:sz w:val="24"/>
          <w:szCs w:val="24"/>
          <w:lang w:eastAsia="ar-SA"/>
        </w:rPr>
        <w:t xml:space="preserve"> </w:t>
      </w:r>
      <w:proofErr w:type="spellStart"/>
      <w:r w:rsidRPr="00A07F29">
        <w:rPr>
          <w:rFonts w:ascii="Times New Roman" w:eastAsia="Calibri" w:hAnsi="Times New Roman" w:cs="Times New Roman"/>
          <w:b/>
          <w:bCs/>
          <w:i/>
          <w:iCs/>
          <w:color w:val="000000"/>
          <w:sz w:val="24"/>
          <w:szCs w:val="24"/>
          <w:lang w:eastAsia="ar-SA"/>
        </w:rPr>
        <w:t>mariana</w:t>
      </w:r>
      <w:proofErr w:type="spellEnd"/>
      <w:r w:rsidRPr="00A07F29">
        <w:rPr>
          <w:rFonts w:ascii="Times New Roman" w:eastAsia="Calibri" w:hAnsi="Times New Roman" w:cs="Times New Roman"/>
          <w:bCs/>
          <w:color w:val="000000"/>
          <w:sz w:val="24"/>
          <w:szCs w:val="24"/>
          <w:lang w:eastAsia="ar-SA"/>
        </w:rPr>
        <w:t xml:space="preserve"> ir Latvijā vidēji bieži, </w:t>
      </w:r>
      <w:proofErr w:type="spellStart"/>
      <w:r w:rsidRPr="00A07F29">
        <w:rPr>
          <w:rFonts w:ascii="Times New Roman" w:eastAsia="Calibri" w:hAnsi="Times New Roman" w:cs="Times New Roman"/>
          <w:bCs/>
          <w:color w:val="000000"/>
          <w:sz w:val="24"/>
          <w:szCs w:val="24"/>
          <w:lang w:eastAsia="ar-SA"/>
        </w:rPr>
        <w:t>sausieņu</w:t>
      </w:r>
      <w:proofErr w:type="spellEnd"/>
      <w:r w:rsidRPr="00A07F29">
        <w:rPr>
          <w:rFonts w:ascii="Times New Roman" w:eastAsia="Calibri" w:hAnsi="Times New Roman" w:cs="Times New Roman"/>
          <w:bCs/>
          <w:color w:val="000000"/>
          <w:sz w:val="24"/>
          <w:szCs w:val="24"/>
          <w:lang w:eastAsia="ar-SA"/>
        </w:rPr>
        <w:t xml:space="preserve"> priežu mežu masīvos, </w:t>
      </w:r>
      <w:r w:rsidR="00DA1A65" w:rsidRPr="00A07F29">
        <w:rPr>
          <w:rFonts w:ascii="Times New Roman" w:eastAsia="Calibri" w:hAnsi="Times New Roman" w:cs="Times New Roman"/>
          <w:bCs/>
          <w:color w:val="000000"/>
          <w:sz w:val="24"/>
          <w:szCs w:val="24"/>
          <w:lang w:eastAsia="ar-SA"/>
        </w:rPr>
        <w:t xml:space="preserve">sastopama </w:t>
      </w:r>
      <w:r w:rsidRPr="00A07F29">
        <w:rPr>
          <w:rFonts w:ascii="Times New Roman" w:eastAsia="Calibri" w:hAnsi="Times New Roman" w:cs="Times New Roman"/>
          <w:bCs/>
          <w:color w:val="000000"/>
          <w:sz w:val="24"/>
          <w:szCs w:val="24"/>
          <w:lang w:eastAsia="ar-SA"/>
        </w:rPr>
        <w:t>suga. AAA teritorijā ir reģistrētas sešas sugas atradnes, bet tā ir sastopama plašāk. Kāpuru attīstība notiek atmirušā priežu koksnē. Sugas dabas aizsardzības vērtība vidēja.</w:t>
      </w:r>
    </w:p>
    <w:p w14:paraId="6633A0B9" w14:textId="0A47A141" w:rsidR="009072CE" w:rsidRPr="00A07F29" w:rsidRDefault="009072CE" w:rsidP="00546879">
      <w:pPr>
        <w:autoSpaceDE w:val="0"/>
        <w:autoSpaceDN w:val="0"/>
        <w:adjustRightInd w:val="0"/>
        <w:spacing w:after="120" w:line="240" w:lineRule="auto"/>
        <w:ind w:firstLine="851"/>
        <w:jc w:val="both"/>
        <w:rPr>
          <w:rFonts w:ascii="Times New Roman" w:eastAsia="Calibri" w:hAnsi="Times New Roman" w:cs="Times New Roman"/>
          <w:bCs/>
          <w:color w:val="000000"/>
          <w:sz w:val="24"/>
          <w:szCs w:val="24"/>
          <w:lang w:eastAsia="ar-SA"/>
        </w:rPr>
      </w:pPr>
      <w:r w:rsidRPr="00A07F29">
        <w:rPr>
          <w:rFonts w:ascii="Times New Roman" w:eastAsia="Calibri" w:hAnsi="Times New Roman" w:cs="Times New Roman"/>
          <w:b/>
          <w:bCs/>
          <w:color w:val="000000"/>
          <w:sz w:val="24"/>
          <w:szCs w:val="24"/>
          <w:lang w:eastAsia="ar-SA"/>
        </w:rPr>
        <w:t xml:space="preserve">Priežu </w:t>
      </w:r>
      <w:proofErr w:type="spellStart"/>
      <w:r w:rsidRPr="00A07F29">
        <w:rPr>
          <w:rFonts w:ascii="Times New Roman" w:eastAsia="Calibri" w:hAnsi="Times New Roman" w:cs="Times New Roman"/>
          <w:b/>
          <w:bCs/>
          <w:color w:val="000000"/>
          <w:sz w:val="24"/>
          <w:szCs w:val="24"/>
          <w:lang w:eastAsia="ar-SA"/>
        </w:rPr>
        <w:t>sveķotājkoksngrauzis</w:t>
      </w:r>
      <w:proofErr w:type="spellEnd"/>
      <w:r w:rsidRPr="00A07F29">
        <w:rPr>
          <w:rFonts w:ascii="Times New Roman" w:eastAsia="Calibri" w:hAnsi="Times New Roman" w:cs="Times New Roman"/>
          <w:b/>
          <w:bCs/>
          <w:color w:val="000000"/>
          <w:sz w:val="24"/>
          <w:szCs w:val="24"/>
          <w:lang w:eastAsia="ar-SA"/>
        </w:rPr>
        <w:t xml:space="preserve"> </w:t>
      </w:r>
      <w:proofErr w:type="spellStart"/>
      <w:r w:rsidRPr="00A07F29">
        <w:rPr>
          <w:rFonts w:ascii="Times New Roman" w:eastAsia="Calibri" w:hAnsi="Times New Roman" w:cs="Times New Roman"/>
          <w:b/>
          <w:bCs/>
          <w:i/>
          <w:iCs/>
          <w:color w:val="000000"/>
          <w:sz w:val="24"/>
          <w:szCs w:val="24"/>
          <w:lang w:eastAsia="ar-SA"/>
        </w:rPr>
        <w:t>Nothorina</w:t>
      </w:r>
      <w:proofErr w:type="spellEnd"/>
      <w:r w:rsidRPr="00A07F29">
        <w:rPr>
          <w:rFonts w:ascii="Times New Roman" w:eastAsia="Calibri" w:hAnsi="Times New Roman" w:cs="Times New Roman"/>
          <w:b/>
          <w:bCs/>
          <w:i/>
          <w:iCs/>
          <w:color w:val="000000"/>
          <w:sz w:val="24"/>
          <w:szCs w:val="24"/>
          <w:lang w:eastAsia="ar-SA"/>
        </w:rPr>
        <w:t xml:space="preserve"> </w:t>
      </w:r>
      <w:proofErr w:type="spellStart"/>
      <w:r w:rsidRPr="00A07F29">
        <w:rPr>
          <w:rFonts w:ascii="Times New Roman" w:eastAsia="Calibri" w:hAnsi="Times New Roman" w:cs="Times New Roman"/>
          <w:b/>
          <w:bCs/>
          <w:i/>
          <w:iCs/>
          <w:color w:val="000000"/>
          <w:sz w:val="24"/>
          <w:szCs w:val="24"/>
          <w:lang w:eastAsia="ar-SA"/>
        </w:rPr>
        <w:t>muricata</w:t>
      </w:r>
      <w:proofErr w:type="spellEnd"/>
      <w:r w:rsidRPr="00A07F29">
        <w:rPr>
          <w:rFonts w:ascii="Times New Roman" w:eastAsia="Calibri" w:hAnsi="Times New Roman" w:cs="Times New Roman"/>
          <w:bCs/>
          <w:color w:val="000000"/>
          <w:sz w:val="24"/>
          <w:szCs w:val="24"/>
          <w:lang w:eastAsia="ar-SA"/>
        </w:rPr>
        <w:t xml:space="preserve"> </w:t>
      </w:r>
      <w:r w:rsidR="00DA1A65" w:rsidRPr="00A07F29">
        <w:rPr>
          <w:rFonts w:ascii="Times New Roman" w:eastAsia="Calibri" w:hAnsi="Times New Roman" w:cs="Times New Roman"/>
          <w:bCs/>
          <w:color w:val="000000"/>
          <w:sz w:val="24"/>
          <w:szCs w:val="24"/>
          <w:lang w:eastAsia="ar-SA"/>
        </w:rPr>
        <w:t xml:space="preserve">teritorijā </w:t>
      </w:r>
      <w:r w:rsidRPr="00A07F29">
        <w:rPr>
          <w:rFonts w:ascii="Times New Roman" w:eastAsia="Calibri" w:hAnsi="Times New Roman" w:cs="Times New Roman"/>
          <w:bCs/>
          <w:color w:val="000000"/>
          <w:sz w:val="24"/>
          <w:szCs w:val="24"/>
          <w:lang w:eastAsia="ar-SA"/>
        </w:rPr>
        <w:t xml:space="preserve">konstatēts skrajos vecu priežu nogabalos, kopumā </w:t>
      </w:r>
      <w:r w:rsidR="00C22E64">
        <w:rPr>
          <w:rFonts w:ascii="Times New Roman" w:eastAsia="Calibri" w:hAnsi="Times New Roman" w:cs="Times New Roman"/>
          <w:bCs/>
          <w:color w:val="000000"/>
          <w:sz w:val="24"/>
          <w:szCs w:val="24"/>
          <w:lang w:eastAsia="ar-SA"/>
        </w:rPr>
        <w:t>divās</w:t>
      </w:r>
      <w:r w:rsidRPr="00A07F29">
        <w:rPr>
          <w:rFonts w:ascii="Times New Roman" w:eastAsia="Calibri" w:hAnsi="Times New Roman" w:cs="Times New Roman"/>
          <w:bCs/>
          <w:color w:val="000000"/>
          <w:sz w:val="24"/>
          <w:szCs w:val="24"/>
          <w:lang w:eastAsia="ar-SA"/>
        </w:rPr>
        <w:t xml:space="preserve"> atradnēs, turklāt viena no tām reģistrēta Krāslavas pilsētas teritorijā. Suga apdzīvo tikai vecas (parasti &gt;150 g</w:t>
      </w:r>
      <w:r w:rsidR="00BD7539">
        <w:rPr>
          <w:rFonts w:ascii="Times New Roman" w:eastAsia="Calibri" w:hAnsi="Times New Roman" w:cs="Times New Roman"/>
          <w:bCs/>
          <w:color w:val="000000"/>
          <w:sz w:val="24"/>
          <w:szCs w:val="24"/>
          <w:lang w:eastAsia="ar-SA"/>
        </w:rPr>
        <w:t>adus</w:t>
      </w:r>
      <w:r w:rsidRPr="00A07F29">
        <w:rPr>
          <w:rFonts w:ascii="Times New Roman" w:eastAsia="Calibri" w:hAnsi="Times New Roman" w:cs="Times New Roman"/>
          <w:bCs/>
          <w:color w:val="000000"/>
          <w:sz w:val="24"/>
          <w:szCs w:val="24"/>
          <w:lang w:eastAsia="ar-SA"/>
        </w:rPr>
        <w:t>) saules apspīdētas priedes ar biezu mizu. Suga galvenokārt saistīta ar biotopu 9010*</w:t>
      </w:r>
      <w:r w:rsidR="008A0419">
        <w:rPr>
          <w:rFonts w:ascii="Times New Roman" w:eastAsia="Calibri" w:hAnsi="Times New Roman" w:cs="Times New Roman"/>
          <w:bCs/>
          <w:color w:val="000000"/>
          <w:sz w:val="24"/>
          <w:szCs w:val="24"/>
          <w:lang w:eastAsia="ar-SA"/>
        </w:rPr>
        <w:t> </w:t>
      </w:r>
      <w:r w:rsidR="007A770C" w:rsidRPr="008A0419">
        <w:rPr>
          <w:rFonts w:ascii="Times New Roman" w:eastAsia="Calibri" w:hAnsi="Times New Roman" w:cs="Times New Roman"/>
          <w:bCs/>
          <w:i/>
          <w:sz w:val="24"/>
          <w:szCs w:val="24"/>
          <w:lang w:eastAsia="ar-SA"/>
        </w:rPr>
        <w:t xml:space="preserve">Veci vai dabiski </w:t>
      </w:r>
      <w:proofErr w:type="spellStart"/>
      <w:r w:rsidR="007A770C" w:rsidRPr="008A0419">
        <w:rPr>
          <w:rFonts w:ascii="Times New Roman" w:eastAsia="Calibri" w:hAnsi="Times New Roman" w:cs="Times New Roman"/>
          <w:bCs/>
          <w:i/>
          <w:sz w:val="24"/>
          <w:szCs w:val="24"/>
          <w:lang w:eastAsia="ar-SA"/>
        </w:rPr>
        <w:t>boreāli</w:t>
      </w:r>
      <w:proofErr w:type="spellEnd"/>
      <w:r w:rsidR="007A770C" w:rsidRPr="008A0419">
        <w:rPr>
          <w:rFonts w:ascii="Times New Roman" w:eastAsia="Calibri" w:hAnsi="Times New Roman" w:cs="Times New Roman"/>
          <w:bCs/>
          <w:i/>
          <w:sz w:val="24"/>
          <w:szCs w:val="24"/>
          <w:lang w:eastAsia="ar-SA"/>
        </w:rPr>
        <w:t xml:space="preserve"> meži</w:t>
      </w:r>
      <w:r w:rsidR="007A770C" w:rsidRPr="00A07F29">
        <w:rPr>
          <w:rFonts w:ascii="Times New Roman" w:eastAsia="Calibri" w:hAnsi="Times New Roman" w:cs="Times New Roman"/>
          <w:b/>
          <w:lang w:eastAsia="ar-SA"/>
        </w:rPr>
        <w:t xml:space="preserve">, </w:t>
      </w:r>
      <w:r w:rsidRPr="00A07F29">
        <w:rPr>
          <w:rFonts w:ascii="Times New Roman" w:eastAsia="Calibri" w:hAnsi="Times New Roman" w:cs="Times New Roman"/>
          <w:bCs/>
          <w:color w:val="000000"/>
          <w:sz w:val="24"/>
          <w:szCs w:val="24"/>
          <w:lang w:eastAsia="ar-SA"/>
        </w:rPr>
        <w:t xml:space="preserve">taču var apdzīvot </w:t>
      </w:r>
      <w:r w:rsidR="00DA1A65" w:rsidRPr="00A07F29">
        <w:rPr>
          <w:rFonts w:ascii="Times New Roman" w:eastAsia="Calibri" w:hAnsi="Times New Roman" w:cs="Times New Roman"/>
          <w:bCs/>
          <w:color w:val="000000"/>
          <w:sz w:val="24"/>
          <w:szCs w:val="24"/>
          <w:lang w:eastAsia="ar-SA"/>
        </w:rPr>
        <w:t xml:space="preserve">arī </w:t>
      </w:r>
      <w:r w:rsidRPr="00A07F29">
        <w:rPr>
          <w:rFonts w:ascii="Times New Roman" w:eastAsia="Calibri" w:hAnsi="Times New Roman" w:cs="Times New Roman"/>
          <w:bCs/>
          <w:color w:val="000000"/>
          <w:sz w:val="24"/>
          <w:szCs w:val="24"/>
          <w:lang w:eastAsia="ar-SA"/>
        </w:rPr>
        <w:t xml:space="preserve">vecas atsevišķi augošas, saules apspīdētas sugas attīstībai piemērotas priedes citos biotopos. Kāpuri veido izlocītas ejas </w:t>
      </w:r>
      <w:r w:rsidR="00DA1A65" w:rsidRPr="00A07F29">
        <w:rPr>
          <w:rFonts w:ascii="Times New Roman" w:eastAsia="Calibri" w:hAnsi="Times New Roman" w:cs="Times New Roman"/>
          <w:bCs/>
          <w:color w:val="000000"/>
          <w:sz w:val="24"/>
          <w:szCs w:val="24"/>
          <w:lang w:eastAsia="ar-SA"/>
        </w:rPr>
        <w:t xml:space="preserve">mizā </w:t>
      </w:r>
      <w:r w:rsidRPr="00A07F29">
        <w:rPr>
          <w:rFonts w:ascii="Times New Roman" w:eastAsia="Calibri" w:hAnsi="Times New Roman" w:cs="Times New Roman"/>
          <w:bCs/>
          <w:color w:val="000000"/>
          <w:sz w:val="24"/>
          <w:szCs w:val="24"/>
          <w:lang w:eastAsia="ar-SA"/>
        </w:rPr>
        <w:t xml:space="preserve">un tieši zem tās. Kāpuri barojas ar mizas nedzīvo daļu, tāpēc koks neiet bojā. Sugu var </w:t>
      </w:r>
      <w:r w:rsidR="00DA1A65" w:rsidRPr="00A07F29">
        <w:rPr>
          <w:rFonts w:ascii="Times New Roman" w:eastAsia="Calibri" w:hAnsi="Times New Roman" w:cs="Times New Roman"/>
          <w:bCs/>
          <w:color w:val="000000"/>
          <w:sz w:val="24"/>
          <w:szCs w:val="24"/>
          <w:lang w:eastAsia="ar-SA"/>
        </w:rPr>
        <w:t xml:space="preserve">konstatēt </w:t>
      </w:r>
      <w:r w:rsidRPr="00A07F29">
        <w:rPr>
          <w:rFonts w:ascii="Times New Roman" w:eastAsia="Calibri" w:hAnsi="Times New Roman" w:cs="Times New Roman"/>
          <w:bCs/>
          <w:color w:val="000000"/>
          <w:sz w:val="24"/>
          <w:szCs w:val="24"/>
          <w:lang w:eastAsia="ar-SA"/>
        </w:rPr>
        <w:t>pēc raksturīgiem tumši dzelteniem sveķu notecējumiem uz priežu stumbriem, kas veidojas kāpuru darbības rezultātā. Piemērotos apgaismojuma apstākļos vien</w:t>
      </w:r>
      <w:r w:rsidR="005E3717">
        <w:rPr>
          <w:rFonts w:ascii="Times New Roman" w:eastAsia="Calibri" w:hAnsi="Times New Roman" w:cs="Times New Roman"/>
          <w:bCs/>
          <w:color w:val="000000"/>
          <w:sz w:val="24"/>
          <w:szCs w:val="24"/>
          <w:lang w:eastAsia="ar-SA"/>
        </w:rPr>
        <w:t>s</w:t>
      </w:r>
      <w:r w:rsidRPr="00A07F29">
        <w:rPr>
          <w:rFonts w:ascii="Times New Roman" w:eastAsia="Calibri" w:hAnsi="Times New Roman" w:cs="Times New Roman"/>
          <w:bCs/>
          <w:color w:val="000000"/>
          <w:sz w:val="24"/>
          <w:szCs w:val="24"/>
          <w:lang w:eastAsia="ar-SA"/>
        </w:rPr>
        <w:t xml:space="preserve"> koks var būt apdzīvots vairākas desmitgades.</w:t>
      </w:r>
    </w:p>
    <w:p w14:paraId="3B9F9583" w14:textId="6827A355" w:rsidR="009072CE" w:rsidRPr="00A07F29" w:rsidRDefault="009072CE" w:rsidP="00546879">
      <w:pPr>
        <w:autoSpaceDE w:val="0"/>
        <w:autoSpaceDN w:val="0"/>
        <w:adjustRightInd w:val="0"/>
        <w:spacing w:after="120" w:line="240" w:lineRule="auto"/>
        <w:ind w:firstLine="851"/>
        <w:jc w:val="both"/>
        <w:rPr>
          <w:rFonts w:ascii="Times New Roman" w:eastAsia="Calibri" w:hAnsi="Times New Roman" w:cs="Times New Roman"/>
          <w:bCs/>
          <w:color w:val="000000"/>
          <w:sz w:val="24"/>
          <w:szCs w:val="20"/>
          <w:lang w:eastAsia="ar-SA"/>
        </w:rPr>
      </w:pPr>
      <w:r w:rsidRPr="00A07F29">
        <w:rPr>
          <w:rFonts w:ascii="Times New Roman" w:eastAsia="Calibri" w:hAnsi="Times New Roman" w:cs="Times New Roman"/>
          <w:bCs/>
          <w:color w:val="000000"/>
          <w:sz w:val="24"/>
          <w:szCs w:val="24"/>
          <w:lang w:eastAsia="ar-SA"/>
        </w:rPr>
        <w:t xml:space="preserve">Vairākas AAA “Augšdaugava” teritorijā sastopamās retas un aizsargājamas </w:t>
      </w:r>
      <w:proofErr w:type="spellStart"/>
      <w:r w:rsidRPr="00A07F29">
        <w:rPr>
          <w:rFonts w:ascii="Times New Roman" w:eastAsia="Calibri" w:hAnsi="Times New Roman" w:cs="Times New Roman"/>
          <w:bCs/>
          <w:color w:val="000000"/>
          <w:sz w:val="24"/>
          <w:szCs w:val="24"/>
          <w:lang w:eastAsia="ar-SA"/>
        </w:rPr>
        <w:t>saproksīlo</w:t>
      </w:r>
      <w:proofErr w:type="spellEnd"/>
      <w:r w:rsidRPr="00A07F29">
        <w:rPr>
          <w:rFonts w:ascii="Times New Roman" w:eastAsia="Calibri" w:hAnsi="Times New Roman" w:cs="Times New Roman"/>
          <w:bCs/>
          <w:color w:val="000000"/>
          <w:sz w:val="24"/>
          <w:szCs w:val="24"/>
          <w:lang w:eastAsia="ar-SA"/>
        </w:rPr>
        <w:t xml:space="preserve"> kukaiņu sugas ir saistītas </w:t>
      </w:r>
      <w:r w:rsidRPr="00A07F29">
        <w:rPr>
          <w:rFonts w:ascii="Times New Roman" w:eastAsia="Calibri" w:hAnsi="Times New Roman" w:cs="Times New Roman"/>
          <w:bCs/>
          <w:color w:val="000000"/>
          <w:sz w:val="24"/>
          <w:szCs w:val="20"/>
          <w:lang w:eastAsia="ar-SA"/>
        </w:rPr>
        <w:t xml:space="preserve">ar trūdošu lapu koku koksni. No šīm sugām lielākā dabas aizsardzības </w:t>
      </w:r>
      <w:r w:rsidRPr="00A07F29">
        <w:rPr>
          <w:rFonts w:ascii="Times New Roman" w:eastAsia="Calibri" w:hAnsi="Times New Roman" w:cs="Times New Roman"/>
          <w:bCs/>
          <w:color w:val="000000"/>
          <w:sz w:val="24"/>
          <w:szCs w:val="20"/>
          <w:lang w:eastAsia="ar-SA"/>
        </w:rPr>
        <w:lastRenderedPageBreak/>
        <w:t xml:space="preserve">vērtība ir </w:t>
      </w:r>
      <w:r w:rsidRPr="00A07F29">
        <w:rPr>
          <w:rFonts w:ascii="Times New Roman" w:eastAsia="Calibri" w:hAnsi="Times New Roman" w:cs="Times New Roman"/>
          <w:b/>
          <w:bCs/>
          <w:color w:val="000000"/>
          <w:sz w:val="24"/>
          <w:szCs w:val="20"/>
          <w:lang w:eastAsia="ar-SA"/>
        </w:rPr>
        <w:t xml:space="preserve">vītolu </w:t>
      </w:r>
      <w:proofErr w:type="spellStart"/>
      <w:r w:rsidRPr="00A07F29">
        <w:rPr>
          <w:rFonts w:ascii="Times New Roman" w:eastAsia="Calibri" w:hAnsi="Times New Roman" w:cs="Times New Roman"/>
          <w:b/>
          <w:bCs/>
          <w:color w:val="000000"/>
          <w:sz w:val="24"/>
          <w:szCs w:val="20"/>
          <w:lang w:eastAsia="ar-SA"/>
        </w:rPr>
        <w:t>slaidkoksngrauzim</w:t>
      </w:r>
      <w:proofErr w:type="spellEnd"/>
      <w:r w:rsidRPr="00A07F29">
        <w:rPr>
          <w:rFonts w:ascii="Times New Roman" w:eastAsia="Calibri" w:hAnsi="Times New Roman" w:cs="Times New Roman"/>
          <w:b/>
          <w:bCs/>
          <w:color w:val="000000"/>
          <w:sz w:val="24"/>
          <w:szCs w:val="20"/>
          <w:lang w:eastAsia="ar-SA"/>
        </w:rPr>
        <w:t xml:space="preserve"> </w:t>
      </w:r>
      <w:proofErr w:type="spellStart"/>
      <w:r w:rsidRPr="00A07F29">
        <w:rPr>
          <w:rFonts w:ascii="Times New Roman" w:eastAsia="Calibri" w:hAnsi="Times New Roman" w:cs="Times New Roman"/>
          <w:b/>
          <w:bCs/>
          <w:i/>
          <w:color w:val="000000"/>
          <w:sz w:val="24"/>
          <w:szCs w:val="20"/>
          <w:lang w:eastAsia="ar-SA"/>
        </w:rPr>
        <w:t>Necydalis</w:t>
      </w:r>
      <w:proofErr w:type="spellEnd"/>
      <w:r w:rsidRPr="00A07F29">
        <w:rPr>
          <w:rFonts w:ascii="Times New Roman" w:eastAsia="Calibri" w:hAnsi="Times New Roman" w:cs="Times New Roman"/>
          <w:b/>
          <w:bCs/>
          <w:i/>
          <w:color w:val="000000"/>
          <w:sz w:val="24"/>
          <w:szCs w:val="20"/>
          <w:lang w:eastAsia="ar-SA"/>
        </w:rPr>
        <w:t xml:space="preserve"> major</w:t>
      </w:r>
      <w:r w:rsidRPr="00A07F29">
        <w:rPr>
          <w:rFonts w:ascii="Times New Roman" w:eastAsia="Calibri" w:hAnsi="Times New Roman" w:cs="Times New Roman"/>
          <w:bCs/>
          <w:color w:val="000000"/>
          <w:sz w:val="24"/>
          <w:szCs w:val="20"/>
          <w:lang w:eastAsia="ar-SA"/>
        </w:rPr>
        <w:t xml:space="preserve">. Sugas kāpuru attīstībai būtiska ir vecu lapu koku klātbūtne un saglabāšana, tāpēc ir svarīgi saglabāt neskartus mežā esošos vecos, atmirušos, stāvošos lapu kokus, jo tajos notiek vītolu </w:t>
      </w:r>
      <w:proofErr w:type="spellStart"/>
      <w:r w:rsidRPr="00A07F29">
        <w:rPr>
          <w:rFonts w:ascii="Times New Roman" w:eastAsia="Calibri" w:hAnsi="Times New Roman" w:cs="Times New Roman"/>
          <w:bCs/>
          <w:color w:val="000000"/>
          <w:sz w:val="24"/>
          <w:szCs w:val="20"/>
          <w:lang w:eastAsia="ar-SA"/>
        </w:rPr>
        <w:t>slaidkoksngrauža</w:t>
      </w:r>
      <w:proofErr w:type="spellEnd"/>
      <w:r w:rsidRPr="00A07F29">
        <w:rPr>
          <w:rFonts w:ascii="Times New Roman" w:eastAsia="Calibri" w:hAnsi="Times New Roman" w:cs="Times New Roman"/>
          <w:bCs/>
          <w:color w:val="000000"/>
          <w:sz w:val="24"/>
          <w:szCs w:val="20"/>
          <w:lang w:eastAsia="ar-SA"/>
        </w:rPr>
        <w:t xml:space="preserve"> kāpuru attīstība. Līdzīgus biotopus, kā iepriekšējā suga apdzīvo arī </w:t>
      </w:r>
      <w:r w:rsidRPr="00A07F29">
        <w:rPr>
          <w:rFonts w:ascii="Times New Roman" w:eastAsia="Calibri" w:hAnsi="Times New Roman" w:cs="Times New Roman"/>
          <w:b/>
          <w:bCs/>
          <w:color w:val="000000"/>
          <w:sz w:val="24"/>
          <w:szCs w:val="20"/>
          <w:lang w:eastAsia="ar-SA"/>
        </w:rPr>
        <w:t xml:space="preserve">lielais </w:t>
      </w:r>
      <w:proofErr w:type="spellStart"/>
      <w:r w:rsidRPr="00A07F29">
        <w:rPr>
          <w:rFonts w:ascii="Times New Roman" w:eastAsia="Calibri" w:hAnsi="Times New Roman" w:cs="Times New Roman"/>
          <w:b/>
          <w:bCs/>
          <w:color w:val="000000"/>
          <w:sz w:val="24"/>
          <w:szCs w:val="20"/>
          <w:lang w:eastAsia="ar-SA"/>
        </w:rPr>
        <w:t>asmalis</w:t>
      </w:r>
      <w:proofErr w:type="spellEnd"/>
      <w:r w:rsidRPr="00A07F29">
        <w:rPr>
          <w:rFonts w:ascii="Times New Roman" w:eastAsia="Calibri" w:hAnsi="Times New Roman" w:cs="Times New Roman"/>
          <w:b/>
          <w:bCs/>
          <w:color w:val="000000"/>
          <w:sz w:val="24"/>
          <w:szCs w:val="20"/>
          <w:lang w:eastAsia="ar-SA"/>
        </w:rPr>
        <w:t xml:space="preserve"> </w:t>
      </w:r>
      <w:proofErr w:type="spellStart"/>
      <w:r w:rsidRPr="00A07F29">
        <w:rPr>
          <w:rFonts w:ascii="Times New Roman" w:eastAsia="Calibri" w:hAnsi="Times New Roman" w:cs="Times New Roman"/>
          <w:b/>
          <w:bCs/>
          <w:i/>
          <w:color w:val="000000"/>
          <w:sz w:val="24"/>
          <w:szCs w:val="20"/>
          <w:lang w:eastAsia="ar-SA"/>
        </w:rPr>
        <w:t>Peltis</w:t>
      </w:r>
      <w:proofErr w:type="spellEnd"/>
      <w:r w:rsidRPr="00A07F29">
        <w:rPr>
          <w:rFonts w:ascii="Times New Roman" w:eastAsia="Calibri" w:hAnsi="Times New Roman" w:cs="Times New Roman"/>
          <w:b/>
          <w:bCs/>
          <w:i/>
          <w:color w:val="000000"/>
          <w:sz w:val="24"/>
          <w:szCs w:val="20"/>
          <w:lang w:eastAsia="ar-SA"/>
        </w:rPr>
        <w:t xml:space="preserve"> </w:t>
      </w:r>
      <w:proofErr w:type="spellStart"/>
      <w:r w:rsidRPr="00A07F29">
        <w:rPr>
          <w:rFonts w:ascii="Times New Roman" w:eastAsia="Calibri" w:hAnsi="Times New Roman" w:cs="Times New Roman"/>
          <w:b/>
          <w:bCs/>
          <w:i/>
          <w:color w:val="000000"/>
          <w:sz w:val="24"/>
          <w:szCs w:val="20"/>
          <w:lang w:eastAsia="ar-SA"/>
        </w:rPr>
        <w:t>grossa</w:t>
      </w:r>
      <w:proofErr w:type="spellEnd"/>
      <w:r w:rsidRPr="00A07F29">
        <w:rPr>
          <w:rFonts w:ascii="Times New Roman" w:eastAsia="Calibri" w:hAnsi="Times New Roman" w:cs="Times New Roman"/>
          <w:bCs/>
          <w:color w:val="000000"/>
          <w:sz w:val="24"/>
          <w:szCs w:val="20"/>
          <w:lang w:eastAsia="ar-SA"/>
        </w:rPr>
        <w:t xml:space="preserve">, kas ir dabisko meža biotopu </w:t>
      </w:r>
      <w:proofErr w:type="spellStart"/>
      <w:r w:rsidRPr="00A07F29">
        <w:rPr>
          <w:rFonts w:ascii="Times New Roman" w:eastAsia="Calibri" w:hAnsi="Times New Roman" w:cs="Times New Roman"/>
          <w:bCs/>
          <w:color w:val="000000"/>
          <w:sz w:val="24"/>
          <w:szCs w:val="20"/>
          <w:lang w:eastAsia="ar-SA"/>
        </w:rPr>
        <w:t>indikatorsuga</w:t>
      </w:r>
      <w:proofErr w:type="spellEnd"/>
      <w:r w:rsidRPr="00A07F29">
        <w:rPr>
          <w:rFonts w:ascii="Times New Roman" w:eastAsia="Calibri" w:hAnsi="Times New Roman" w:cs="Times New Roman"/>
          <w:bCs/>
          <w:color w:val="000000"/>
          <w:sz w:val="24"/>
          <w:szCs w:val="20"/>
          <w:lang w:eastAsia="ar-SA"/>
        </w:rPr>
        <w:t xml:space="preserve">. Šī suga apdzīvo bērzu, alkšņu vai citu </w:t>
      </w:r>
      <w:proofErr w:type="spellStart"/>
      <w:r w:rsidRPr="00A07F29">
        <w:rPr>
          <w:rFonts w:ascii="Times New Roman" w:eastAsia="Calibri" w:hAnsi="Times New Roman" w:cs="Times New Roman"/>
          <w:bCs/>
          <w:color w:val="000000"/>
          <w:sz w:val="24"/>
          <w:szCs w:val="20"/>
          <w:lang w:eastAsia="ar-SA"/>
        </w:rPr>
        <w:t>lapukoku</w:t>
      </w:r>
      <w:proofErr w:type="spellEnd"/>
      <w:r w:rsidRPr="00A07F29">
        <w:rPr>
          <w:rFonts w:ascii="Times New Roman" w:eastAsia="Calibri" w:hAnsi="Times New Roman" w:cs="Times New Roman"/>
          <w:bCs/>
          <w:color w:val="000000"/>
          <w:sz w:val="24"/>
          <w:szCs w:val="20"/>
          <w:lang w:eastAsia="ar-SA"/>
        </w:rPr>
        <w:t xml:space="preserve"> </w:t>
      </w:r>
      <w:proofErr w:type="spellStart"/>
      <w:r w:rsidRPr="00A07F29">
        <w:rPr>
          <w:rFonts w:ascii="Times New Roman" w:eastAsia="Calibri" w:hAnsi="Times New Roman" w:cs="Times New Roman"/>
          <w:bCs/>
          <w:color w:val="000000"/>
          <w:sz w:val="24"/>
          <w:szCs w:val="20"/>
          <w:lang w:eastAsia="ar-SA"/>
        </w:rPr>
        <w:t>sausokņus</w:t>
      </w:r>
      <w:proofErr w:type="spellEnd"/>
      <w:r w:rsidRPr="00A07F29">
        <w:rPr>
          <w:rFonts w:ascii="Times New Roman" w:eastAsia="Calibri" w:hAnsi="Times New Roman" w:cs="Times New Roman"/>
          <w:bCs/>
          <w:color w:val="000000"/>
          <w:sz w:val="24"/>
          <w:szCs w:val="20"/>
          <w:lang w:eastAsia="ar-SA"/>
        </w:rPr>
        <w:t xml:space="preserve">, augstus celmus, kuri stāv nokaltuši vismaz </w:t>
      </w:r>
      <w:r w:rsidR="00C1646C">
        <w:rPr>
          <w:rFonts w:ascii="Times New Roman" w:eastAsia="Calibri" w:hAnsi="Times New Roman" w:cs="Times New Roman"/>
          <w:bCs/>
          <w:color w:val="000000"/>
          <w:sz w:val="24"/>
          <w:szCs w:val="20"/>
          <w:lang w:eastAsia="ar-SA"/>
        </w:rPr>
        <w:t>piecus</w:t>
      </w:r>
      <w:r w:rsidRPr="00A07F29">
        <w:rPr>
          <w:rFonts w:ascii="Times New Roman" w:eastAsia="Calibri" w:hAnsi="Times New Roman" w:cs="Times New Roman"/>
          <w:bCs/>
          <w:color w:val="000000"/>
          <w:sz w:val="24"/>
          <w:szCs w:val="20"/>
          <w:lang w:eastAsia="ar-SA"/>
        </w:rPr>
        <w:t xml:space="preserve"> gadus, tāpēc liecina par biotopa dabiskumu. Šo sugu var viegli konstatēt pēc raksturīgām </w:t>
      </w:r>
      <w:proofErr w:type="spellStart"/>
      <w:r w:rsidRPr="00A07F29">
        <w:rPr>
          <w:rFonts w:ascii="Times New Roman" w:eastAsia="Calibri" w:hAnsi="Times New Roman" w:cs="Times New Roman"/>
          <w:bCs/>
          <w:color w:val="000000"/>
          <w:sz w:val="24"/>
          <w:szCs w:val="20"/>
          <w:lang w:eastAsia="ar-SA"/>
        </w:rPr>
        <w:t>izskrejām</w:t>
      </w:r>
      <w:proofErr w:type="spellEnd"/>
      <w:r w:rsidRPr="00A07F29">
        <w:rPr>
          <w:rFonts w:ascii="Times New Roman" w:eastAsia="Calibri" w:hAnsi="Times New Roman" w:cs="Times New Roman"/>
          <w:bCs/>
          <w:color w:val="000000"/>
          <w:sz w:val="24"/>
          <w:szCs w:val="20"/>
          <w:lang w:eastAsia="ar-SA"/>
        </w:rPr>
        <w:t xml:space="preserve"> nokaltuša koka mizā. Kāpuri apdzīvo trūdošu koksni. </w:t>
      </w:r>
      <w:r w:rsidRPr="00A07F29">
        <w:rPr>
          <w:rFonts w:ascii="Times New Roman" w:eastAsia="Calibri" w:hAnsi="Times New Roman" w:cs="Times New Roman"/>
          <w:bCs/>
          <w:color w:val="000000"/>
          <w:sz w:val="24"/>
          <w:szCs w:val="24"/>
          <w:lang w:eastAsia="ar-SA"/>
        </w:rPr>
        <w:t xml:space="preserve">Lielais </w:t>
      </w:r>
      <w:proofErr w:type="spellStart"/>
      <w:r w:rsidRPr="00A07F29">
        <w:rPr>
          <w:rFonts w:ascii="Times New Roman" w:eastAsia="Calibri" w:hAnsi="Times New Roman" w:cs="Times New Roman"/>
          <w:bCs/>
          <w:color w:val="000000"/>
          <w:sz w:val="24"/>
          <w:szCs w:val="24"/>
          <w:lang w:eastAsia="ar-SA"/>
        </w:rPr>
        <w:t>asmalis</w:t>
      </w:r>
      <w:proofErr w:type="spellEnd"/>
      <w:r w:rsidRPr="00A07F29">
        <w:rPr>
          <w:rFonts w:ascii="Times New Roman" w:eastAsia="Calibri" w:hAnsi="Times New Roman" w:cs="Times New Roman"/>
          <w:bCs/>
          <w:color w:val="000000"/>
          <w:sz w:val="24"/>
          <w:szCs w:val="24"/>
          <w:lang w:eastAsia="ar-SA"/>
        </w:rPr>
        <w:t xml:space="preserve"> ir </w:t>
      </w:r>
      <w:r w:rsidRPr="00A07F29">
        <w:rPr>
          <w:rFonts w:ascii="Times New Roman" w:eastAsia="Calibri" w:hAnsi="Times New Roman" w:cs="Times New Roman"/>
          <w:bCs/>
          <w:color w:val="000000"/>
          <w:sz w:val="24"/>
          <w:szCs w:val="20"/>
          <w:lang w:eastAsia="ar-SA"/>
        </w:rPr>
        <w:t xml:space="preserve">Latvijā vidēji bieži sastopama suga dažāda tipa mežos ar lapkokiem. </w:t>
      </w:r>
      <w:r w:rsidR="00DA1A65" w:rsidRPr="00A07F29">
        <w:rPr>
          <w:rFonts w:ascii="Times New Roman" w:eastAsia="Calibri" w:hAnsi="Times New Roman" w:cs="Times New Roman"/>
          <w:bCs/>
          <w:color w:val="000000"/>
          <w:sz w:val="24"/>
          <w:szCs w:val="20"/>
          <w:lang w:eastAsia="ar-SA"/>
        </w:rPr>
        <w:t xml:space="preserve">Trūdošu </w:t>
      </w:r>
      <w:r w:rsidRPr="00A07F29">
        <w:rPr>
          <w:rFonts w:ascii="Times New Roman" w:eastAsia="Calibri" w:hAnsi="Times New Roman" w:cs="Times New Roman"/>
          <w:bCs/>
          <w:color w:val="000000"/>
          <w:sz w:val="24"/>
          <w:szCs w:val="20"/>
          <w:lang w:eastAsia="ar-SA"/>
        </w:rPr>
        <w:t>lapkoku koksnē</w:t>
      </w:r>
      <w:r w:rsidRPr="00A07F29">
        <w:rPr>
          <w:rFonts w:ascii="Times New Roman" w:eastAsia="Calibri" w:hAnsi="Times New Roman" w:cs="Times New Roman"/>
          <w:bCs/>
          <w:iCs/>
          <w:color w:val="000000"/>
          <w:sz w:val="24"/>
          <w:szCs w:val="20"/>
          <w:lang w:eastAsia="ar-SA"/>
        </w:rPr>
        <w:t xml:space="preserve"> dzīvo </w:t>
      </w:r>
      <w:r w:rsidRPr="00A07F29">
        <w:rPr>
          <w:rFonts w:ascii="Times New Roman" w:eastAsia="Calibri" w:hAnsi="Times New Roman" w:cs="Times New Roman"/>
          <w:bCs/>
          <w:color w:val="000000"/>
          <w:sz w:val="24"/>
          <w:szCs w:val="20"/>
          <w:lang w:eastAsia="ar-SA"/>
        </w:rPr>
        <w:t xml:space="preserve">arī </w:t>
      </w:r>
      <w:r w:rsidRPr="00A07F29">
        <w:rPr>
          <w:rFonts w:ascii="Times New Roman" w:eastAsia="Calibri" w:hAnsi="Times New Roman" w:cs="Times New Roman"/>
          <w:b/>
          <w:bCs/>
          <w:iCs/>
          <w:color w:val="000000"/>
          <w:sz w:val="24"/>
          <w:szCs w:val="20"/>
          <w:lang w:eastAsia="ar-SA"/>
        </w:rPr>
        <w:t>rūsganā koksngrauža</w:t>
      </w:r>
      <w:r w:rsidRPr="00A07F29">
        <w:rPr>
          <w:rFonts w:ascii="Times New Roman" w:eastAsia="Calibri" w:hAnsi="Times New Roman" w:cs="Times New Roman"/>
          <w:bCs/>
          <w:iCs/>
          <w:color w:val="000000"/>
          <w:sz w:val="24"/>
          <w:szCs w:val="20"/>
          <w:lang w:eastAsia="ar-SA"/>
        </w:rPr>
        <w:t xml:space="preserve"> </w:t>
      </w:r>
      <w:proofErr w:type="spellStart"/>
      <w:r w:rsidRPr="00A07F29">
        <w:rPr>
          <w:rFonts w:ascii="Times New Roman" w:eastAsia="Calibri" w:hAnsi="Times New Roman" w:cs="Times New Roman"/>
          <w:b/>
          <w:bCs/>
          <w:i/>
          <w:iCs/>
          <w:color w:val="000000"/>
          <w:sz w:val="24"/>
          <w:szCs w:val="20"/>
          <w:lang w:eastAsia="ar-SA"/>
        </w:rPr>
        <w:t>Stenocorus</w:t>
      </w:r>
      <w:proofErr w:type="spellEnd"/>
      <w:r w:rsidRPr="00A07F29">
        <w:rPr>
          <w:rFonts w:ascii="Times New Roman" w:eastAsia="Calibri" w:hAnsi="Times New Roman" w:cs="Times New Roman"/>
          <w:b/>
          <w:bCs/>
          <w:i/>
          <w:iCs/>
          <w:color w:val="000000"/>
          <w:sz w:val="24"/>
          <w:szCs w:val="20"/>
          <w:lang w:eastAsia="ar-SA"/>
        </w:rPr>
        <w:t xml:space="preserve"> </w:t>
      </w:r>
      <w:proofErr w:type="spellStart"/>
      <w:r w:rsidRPr="00A07F29">
        <w:rPr>
          <w:rFonts w:ascii="Times New Roman" w:eastAsia="Calibri" w:hAnsi="Times New Roman" w:cs="Times New Roman"/>
          <w:b/>
          <w:bCs/>
          <w:i/>
          <w:iCs/>
          <w:color w:val="000000"/>
          <w:sz w:val="24"/>
          <w:szCs w:val="20"/>
          <w:lang w:eastAsia="ar-SA"/>
        </w:rPr>
        <w:t>meridianus</w:t>
      </w:r>
      <w:proofErr w:type="spellEnd"/>
      <w:r w:rsidRPr="00A07F29">
        <w:rPr>
          <w:rFonts w:ascii="Times New Roman" w:eastAsia="Calibri" w:hAnsi="Times New Roman" w:cs="Times New Roman"/>
          <w:bCs/>
          <w:i/>
          <w:iCs/>
          <w:color w:val="000000"/>
          <w:sz w:val="24"/>
          <w:szCs w:val="20"/>
          <w:lang w:eastAsia="ar-SA"/>
        </w:rPr>
        <w:t xml:space="preserve"> </w:t>
      </w:r>
      <w:r w:rsidRPr="00A07F29">
        <w:rPr>
          <w:rFonts w:ascii="Times New Roman" w:eastAsia="Calibri" w:hAnsi="Times New Roman" w:cs="Times New Roman"/>
          <w:bCs/>
          <w:color w:val="000000"/>
          <w:sz w:val="24"/>
          <w:szCs w:val="20"/>
          <w:lang w:eastAsia="ar-SA"/>
        </w:rPr>
        <w:t>kāpuri. Rūsganais koksngrauzis ir L</w:t>
      </w:r>
      <w:r w:rsidR="00DA1A65" w:rsidRPr="00A07F29">
        <w:rPr>
          <w:rFonts w:ascii="Times New Roman" w:eastAsia="Calibri" w:hAnsi="Times New Roman" w:cs="Times New Roman"/>
          <w:bCs/>
          <w:color w:val="000000"/>
          <w:sz w:val="24"/>
          <w:szCs w:val="20"/>
          <w:lang w:eastAsia="ar-SA"/>
        </w:rPr>
        <w:t xml:space="preserve">atvijas </w:t>
      </w:r>
      <w:r w:rsidRPr="00A07F29">
        <w:rPr>
          <w:rFonts w:ascii="Times New Roman" w:eastAsia="Calibri" w:hAnsi="Times New Roman" w:cs="Times New Roman"/>
          <w:bCs/>
          <w:color w:val="000000"/>
          <w:sz w:val="24"/>
          <w:szCs w:val="20"/>
          <w:lang w:eastAsia="ar-SA"/>
        </w:rPr>
        <w:t>S</w:t>
      </w:r>
      <w:r w:rsidR="00DA1A65" w:rsidRPr="00A07F29">
        <w:rPr>
          <w:rFonts w:ascii="Times New Roman" w:eastAsia="Calibri" w:hAnsi="Times New Roman" w:cs="Times New Roman"/>
          <w:bCs/>
          <w:color w:val="000000"/>
          <w:sz w:val="24"/>
          <w:szCs w:val="20"/>
          <w:lang w:eastAsia="ar-SA"/>
        </w:rPr>
        <w:t>arkanās gr</w:t>
      </w:r>
      <w:r w:rsidR="00B517D9">
        <w:rPr>
          <w:rFonts w:ascii="Times New Roman" w:eastAsia="Calibri" w:hAnsi="Times New Roman" w:cs="Times New Roman"/>
          <w:bCs/>
          <w:color w:val="000000"/>
          <w:sz w:val="24"/>
          <w:szCs w:val="20"/>
          <w:lang w:eastAsia="ar-SA"/>
        </w:rPr>
        <w:t>ā</w:t>
      </w:r>
      <w:r w:rsidR="00DA1A65" w:rsidRPr="00A07F29">
        <w:rPr>
          <w:rFonts w:ascii="Times New Roman" w:eastAsia="Calibri" w:hAnsi="Times New Roman" w:cs="Times New Roman"/>
          <w:bCs/>
          <w:color w:val="000000"/>
          <w:sz w:val="24"/>
          <w:szCs w:val="20"/>
          <w:lang w:eastAsia="ar-SA"/>
        </w:rPr>
        <w:t>matas</w:t>
      </w:r>
      <w:r w:rsidRPr="00A07F29">
        <w:rPr>
          <w:rFonts w:ascii="Times New Roman" w:eastAsia="Calibri" w:hAnsi="Times New Roman" w:cs="Times New Roman"/>
          <w:bCs/>
          <w:color w:val="000000"/>
          <w:sz w:val="24"/>
          <w:szCs w:val="20"/>
          <w:lang w:eastAsia="ar-SA"/>
        </w:rPr>
        <w:t xml:space="preserve"> 4</w:t>
      </w:r>
      <w:r w:rsidR="00DA1A65" w:rsidRPr="00A07F29">
        <w:rPr>
          <w:rFonts w:ascii="Times New Roman" w:eastAsia="Calibri" w:hAnsi="Times New Roman" w:cs="Times New Roman"/>
          <w:bCs/>
          <w:color w:val="000000"/>
          <w:sz w:val="24"/>
          <w:szCs w:val="20"/>
          <w:lang w:eastAsia="ar-SA"/>
        </w:rPr>
        <w:t>. </w:t>
      </w:r>
      <w:r w:rsidRPr="00A07F29">
        <w:rPr>
          <w:rFonts w:ascii="Times New Roman" w:eastAsia="Calibri" w:hAnsi="Times New Roman" w:cs="Times New Roman"/>
          <w:bCs/>
          <w:color w:val="000000"/>
          <w:sz w:val="24"/>
          <w:szCs w:val="20"/>
          <w:lang w:eastAsia="ar-SA"/>
        </w:rPr>
        <w:t>kategorijā</w:t>
      </w:r>
      <w:r w:rsidR="00B517D9">
        <w:rPr>
          <w:rFonts w:ascii="Times New Roman" w:eastAsia="Calibri" w:hAnsi="Times New Roman" w:cs="Times New Roman"/>
          <w:bCs/>
          <w:color w:val="000000"/>
          <w:sz w:val="24"/>
          <w:szCs w:val="20"/>
          <w:lang w:eastAsia="ar-SA"/>
        </w:rPr>
        <w:t xml:space="preserve"> </w:t>
      </w:r>
      <w:r w:rsidRPr="00A07F29">
        <w:rPr>
          <w:rFonts w:ascii="Times New Roman" w:eastAsia="Calibri" w:hAnsi="Times New Roman" w:cs="Times New Roman"/>
          <w:bCs/>
          <w:color w:val="000000"/>
          <w:sz w:val="24"/>
          <w:szCs w:val="20"/>
          <w:lang w:eastAsia="ar-SA"/>
        </w:rPr>
        <w:t>iekļautā suga, kurai ir piemēroti mežu nogabali ar veciem lapkokiem.</w:t>
      </w:r>
    </w:p>
    <w:p w14:paraId="7437A02C" w14:textId="1ED7ADD0" w:rsidR="009072CE" w:rsidRPr="00A07F29" w:rsidRDefault="009072CE" w:rsidP="00546879">
      <w:pPr>
        <w:autoSpaceDE w:val="0"/>
        <w:autoSpaceDN w:val="0"/>
        <w:adjustRightInd w:val="0"/>
        <w:spacing w:after="120" w:line="240" w:lineRule="auto"/>
        <w:ind w:firstLine="851"/>
        <w:jc w:val="both"/>
        <w:rPr>
          <w:rFonts w:ascii="Times New Roman" w:eastAsia="Calibri" w:hAnsi="Times New Roman" w:cs="Times New Roman"/>
          <w:bCs/>
          <w:color w:val="000000"/>
          <w:sz w:val="24"/>
          <w:szCs w:val="20"/>
          <w:lang w:eastAsia="ar-SA"/>
        </w:rPr>
      </w:pPr>
      <w:r w:rsidRPr="00A07F29">
        <w:rPr>
          <w:rFonts w:ascii="Times New Roman" w:eastAsia="Calibri" w:hAnsi="Times New Roman" w:cs="Times New Roman"/>
          <w:bCs/>
          <w:color w:val="000000"/>
          <w:sz w:val="24"/>
          <w:szCs w:val="20"/>
          <w:lang w:eastAsia="ar-SA"/>
        </w:rPr>
        <w:t xml:space="preserve">Mitros platlapju mežos ir sastopama arī </w:t>
      </w:r>
      <w:r w:rsidR="00DA1A65" w:rsidRPr="00A07F29">
        <w:rPr>
          <w:rFonts w:ascii="Times New Roman" w:eastAsia="Calibri" w:hAnsi="Times New Roman" w:cs="Times New Roman"/>
          <w:bCs/>
          <w:color w:val="000000"/>
          <w:sz w:val="24"/>
          <w:szCs w:val="20"/>
          <w:lang w:eastAsia="ar-SA"/>
        </w:rPr>
        <w:t>Latvijas Sarkanās gr</w:t>
      </w:r>
      <w:r w:rsidR="001201B8">
        <w:rPr>
          <w:rFonts w:ascii="Times New Roman" w:eastAsia="Calibri" w:hAnsi="Times New Roman" w:cs="Times New Roman"/>
          <w:bCs/>
          <w:color w:val="000000"/>
          <w:sz w:val="24"/>
          <w:szCs w:val="20"/>
          <w:lang w:eastAsia="ar-SA"/>
        </w:rPr>
        <w:t>ā</w:t>
      </w:r>
      <w:r w:rsidR="00DA1A65" w:rsidRPr="00A07F29">
        <w:rPr>
          <w:rFonts w:ascii="Times New Roman" w:eastAsia="Calibri" w:hAnsi="Times New Roman" w:cs="Times New Roman"/>
          <w:bCs/>
          <w:color w:val="000000"/>
          <w:sz w:val="24"/>
          <w:szCs w:val="20"/>
          <w:lang w:eastAsia="ar-SA"/>
        </w:rPr>
        <w:t>matas</w:t>
      </w:r>
      <w:r w:rsidRPr="00A07F29">
        <w:rPr>
          <w:rFonts w:ascii="Times New Roman" w:eastAsia="Calibri" w:hAnsi="Times New Roman" w:cs="Times New Roman"/>
          <w:bCs/>
          <w:color w:val="000000"/>
          <w:sz w:val="24"/>
          <w:szCs w:val="20"/>
          <w:lang w:eastAsia="ar-SA"/>
        </w:rPr>
        <w:t xml:space="preserve"> 4</w:t>
      </w:r>
      <w:r w:rsidR="00DA1A65" w:rsidRPr="00A07F29">
        <w:rPr>
          <w:rFonts w:ascii="Times New Roman" w:eastAsia="Calibri" w:hAnsi="Times New Roman" w:cs="Times New Roman"/>
          <w:bCs/>
          <w:color w:val="000000"/>
          <w:sz w:val="24"/>
          <w:szCs w:val="20"/>
          <w:lang w:eastAsia="ar-SA"/>
        </w:rPr>
        <w:t xml:space="preserve">. kategorijā </w:t>
      </w:r>
      <w:r w:rsidRPr="00A07F29">
        <w:rPr>
          <w:rFonts w:ascii="Times New Roman" w:eastAsia="Calibri" w:hAnsi="Times New Roman" w:cs="Times New Roman"/>
          <w:bCs/>
          <w:color w:val="000000"/>
          <w:sz w:val="24"/>
          <w:szCs w:val="20"/>
          <w:lang w:eastAsia="ar-SA"/>
        </w:rPr>
        <w:t xml:space="preserve">iekļautā </w:t>
      </w:r>
      <w:r w:rsidRPr="00A07F29">
        <w:rPr>
          <w:rFonts w:ascii="Times New Roman" w:eastAsia="Calibri" w:hAnsi="Times New Roman" w:cs="Times New Roman"/>
          <w:b/>
          <w:bCs/>
          <w:color w:val="000000"/>
          <w:sz w:val="24"/>
          <w:szCs w:val="20"/>
          <w:lang w:eastAsia="ar-SA"/>
        </w:rPr>
        <w:t xml:space="preserve">komposta </w:t>
      </w:r>
      <w:proofErr w:type="spellStart"/>
      <w:r w:rsidRPr="00A07F29">
        <w:rPr>
          <w:rFonts w:ascii="Times New Roman" w:eastAsia="Calibri" w:hAnsi="Times New Roman" w:cs="Times New Roman"/>
          <w:b/>
          <w:bCs/>
          <w:color w:val="000000"/>
          <w:sz w:val="24"/>
          <w:szCs w:val="20"/>
          <w:lang w:eastAsia="ar-SA"/>
        </w:rPr>
        <w:t>degunradžvabole</w:t>
      </w:r>
      <w:proofErr w:type="spellEnd"/>
      <w:r w:rsidRPr="00A07F29">
        <w:rPr>
          <w:rFonts w:ascii="Times New Roman" w:eastAsia="Calibri" w:hAnsi="Times New Roman" w:cs="Times New Roman"/>
          <w:b/>
          <w:bCs/>
          <w:color w:val="000000"/>
          <w:sz w:val="24"/>
          <w:szCs w:val="20"/>
          <w:lang w:eastAsia="ar-SA"/>
        </w:rPr>
        <w:t xml:space="preserve"> </w:t>
      </w:r>
      <w:proofErr w:type="spellStart"/>
      <w:r w:rsidRPr="00A07F29">
        <w:rPr>
          <w:rFonts w:ascii="Times New Roman" w:eastAsia="Calibri" w:hAnsi="Times New Roman" w:cs="Times New Roman"/>
          <w:b/>
          <w:bCs/>
          <w:i/>
          <w:color w:val="000000"/>
          <w:sz w:val="24"/>
          <w:szCs w:val="20"/>
          <w:lang w:eastAsia="ar-SA"/>
        </w:rPr>
        <w:t>Oryctes</w:t>
      </w:r>
      <w:proofErr w:type="spellEnd"/>
      <w:r w:rsidRPr="00A07F29">
        <w:rPr>
          <w:rFonts w:ascii="Times New Roman" w:eastAsia="Calibri" w:hAnsi="Times New Roman" w:cs="Times New Roman"/>
          <w:b/>
          <w:bCs/>
          <w:i/>
          <w:color w:val="000000"/>
          <w:sz w:val="24"/>
          <w:szCs w:val="20"/>
          <w:lang w:eastAsia="ar-SA"/>
        </w:rPr>
        <w:t xml:space="preserve"> </w:t>
      </w:r>
      <w:proofErr w:type="spellStart"/>
      <w:r w:rsidRPr="00A07F29">
        <w:rPr>
          <w:rFonts w:ascii="Times New Roman" w:eastAsia="Calibri" w:hAnsi="Times New Roman" w:cs="Times New Roman"/>
          <w:b/>
          <w:bCs/>
          <w:i/>
          <w:color w:val="000000"/>
          <w:sz w:val="24"/>
          <w:szCs w:val="20"/>
          <w:lang w:eastAsia="ar-SA"/>
        </w:rPr>
        <w:t>nasicornis</w:t>
      </w:r>
      <w:proofErr w:type="spellEnd"/>
      <w:r w:rsidRPr="00A07F29">
        <w:rPr>
          <w:rFonts w:ascii="Times New Roman" w:eastAsia="Calibri" w:hAnsi="Times New Roman" w:cs="Times New Roman"/>
          <w:bCs/>
          <w:color w:val="000000"/>
          <w:sz w:val="24"/>
          <w:szCs w:val="20"/>
          <w:lang w:eastAsia="ar-SA"/>
        </w:rPr>
        <w:t xml:space="preserve">, </w:t>
      </w:r>
      <w:r w:rsidR="00DA1A65" w:rsidRPr="00A07F29">
        <w:rPr>
          <w:rFonts w:ascii="Times New Roman" w:eastAsia="Calibri" w:hAnsi="Times New Roman" w:cs="Times New Roman"/>
          <w:bCs/>
          <w:color w:val="000000"/>
          <w:sz w:val="24"/>
          <w:szCs w:val="20"/>
          <w:lang w:eastAsia="ar-SA"/>
        </w:rPr>
        <w:t xml:space="preserve">kas </w:t>
      </w:r>
      <w:r w:rsidRPr="00A07F29">
        <w:rPr>
          <w:rFonts w:ascii="Times New Roman" w:eastAsia="Calibri" w:hAnsi="Times New Roman" w:cs="Times New Roman"/>
          <w:bCs/>
          <w:color w:val="000000"/>
          <w:sz w:val="24"/>
          <w:szCs w:val="20"/>
          <w:lang w:eastAsia="ar-SA"/>
        </w:rPr>
        <w:t xml:space="preserve">Latvijā visbiežāk sastopama </w:t>
      </w:r>
      <w:proofErr w:type="spellStart"/>
      <w:r w:rsidRPr="00A07F29">
        <w:rPr>
          <w:rFonts w:ascii="Times New Roman" w:eastAsia="Calibri" w:hAnsi="Times New Roman" w:cs="Times New Roman"/>
          <w:bCs/>
          <w:color w:val="000000"/>
          <w:sz w:val="24"/>
          <w:szCs w:val="20"/>
          <w:lang w:eastAsia="ar-SA"/>
        </w:rPr>
        <w:t>ruderālos</w:t>
      </w:r>
      <w:proofErr w:type="spellEnd"/>
      <w:r w:rsidRPr="00A07F29">
        <w:rPr>
          <w:rFonts w:ascii="Times New Roman" w:eastAsia="Calibri" w:hAnsi="Times New Roman" w:cs="Times New Roman"/>
          <w:bCs/>
          <w:color w:val="000000"/>
          <w:sz w:val="24"/>
          <w:szCs w:val="20"/>
          <w:lang w:eastAsia="ar-SA"/>
        </w:rPr>
        <w:t xml:space="preserve"> biotopos, piemēram, komposta kaudzēs. Suga iepriekš reģistrēta AAA “Augšdaugava”, tomēr literatūrā nav norāžu par konkrētu atradni.</w:t>
      </w:r>
    </w:p>
    <w:p w14:paraId="09CE43C7" w14:textId="3CCB2CEE" w:rsidR="009072CE" w:rsidRPr="00A07F29" w:rsidRDefault="009072CE" w:rsidP="00546879">
      <w:pPr>
        <w:autoSpaceDE w:val="0"/>
        <w:autoSpaceDN w:val="0"/>
        <w:adjustRightInd w:val="0"/>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color w:val="000000"/>
          <w:sz w:val="24"/>
          <w:szCs w:val="24"/>
          <w:lang w:eastAsia="ar-SA"/>
        </w:rPr>
        <w:t>Vairākas teritorijā sastopamās sugas ir saistītas ar</w:t>
      </w:r>
      <w:r w:rsidRPr="00A07F29">
        <w:rPr>
          <w:rFonts w:ascii="Times New Roman" w:eastAsia="Calibri" w:hAnsi="Times New Roman" w:cs="Times New Roman"/>
          <w:color w:val="000000"/>
          <w:sz w:val="24"/>
          <w:szCs w:val="20"/>
          <w:lang w:eastAsia="ar-SA"/>
        </w:rPr>
        <w:t xml:space="preserve"> veciem dobumainiem lapu kokiem. Lielākā dabas aizsardzības vērtība ir </w:t>
      </w:r>
      <w:r w:rsidRPr="00A07F29">
        <w:rPr>
          <w:rFonts w:ascii="Times New Roman" w:eastAsia="Calibri" w:hAnsi="Times New Roman" w:cs="Times New Roman"/>
          <w:b/>
          <w:color w:val="000000"/>
          <w:sz w:val="24"/>
          <w:szCs w:val="20"/>
          <w:lang w:eastAsia="ar-SA"/>
        </w:rPr>
        <w:t xml:space="preserve">lapkoku </w:t>
      </w:r>
      <w:proofErr w:type="spellStart"/>
      <w:r w:rsidRPr="00A07F29">
        <w:rPr>
          <w:rFonts w:ascii="Times New Roman" w:eastAsia="Calibri" w:hAnsi="Times New Roman" w:cs="Times New Roman"/>
          <w:b/>
          <w:color w:val="000000"/>
          <w:sz w:val="24"/>
          <w:szCs w:val="20"/>
          <w:lang w:eastAsia="ar-SA"/>
        </w:rPr>
        <w:t>praulgrauzim</w:t>
      </w:r>
      <w:proofErr w:type="spellEnd"/>
      <w:r w:rsidRPr="00A07F29">
        <w:rPr>
          <w:rFonts w:ascii="Times New Roman" w:eastAsia="Calibri" w:hAnsi="Times New Roman" w:cs="Times New Roman"/>
          <w:b/>
          <w:color w:val="000000"/>
          <w:sz w:val="24"/>
          <w:szCs w:val="20"/>
          <w:lang w:eastAsia="ar-SA"/>
        </w:rPr>
        <w:t xml:space="preserve"> </w:t>
      </w:r>
      <w:proofErr w:type="spellStart"/>
      <w:r w:rsidRPr="00A07F29">
        <w:rPr>
          <w:rFonts w:ascii="Times New Roman" w:eastAsia="Calibri" w:hAnsi="Times New Roman" w:cs="Times New Roman"/>
          <w:b/>
          <w:i/>
          <w:color w:val="000000"/>
          <w:sz w:val="24"/>
          <w:szCs w:val="20"/>
          <w:lang w:eastAsia="ar-SA"/>
        </w:rPr>
        <w:t>Osmoderma</w:t>
      </w:r>
      <w:proofErr w:type="spellEnd"/>
      <w:r w:rsidRPr="00A07F29">
        <w:rPr>
          <w:rFonts w:ascii="Times New Roman" w:eastAsia="Calibri" w:hAnsi="Times New Roman" w:cs="Times New Roman"/>
          <w:b/>
          <w:i/>
          <w:color w:val="000000"/>
          <w:sz w:val="24"/>
          <w:szCs w:val="20"/>
          <w:lang w:eastAsia="ar-SA"/>
        </w:rPr>
        <w:t xml:space="preserve"> </w:t>
      </w:r>
      <w:proofErr w:type="spellStart"/>
      <w:r w:rsidRPr="00A07F29">
        <w:rPr>
          <w:rFonts w:ascii="Times New Roman" w:eastAsia="Calibri" w:hAnsi="Times New Roman" w:cs="Times New Roman"/>
          <w:b/>
          <w:i/>
          <w:color w:val="000000"/>
          <w:sz w:val="24"/>
          <w:szCs w:val="20"/>
          <w:lang w:eastAsia="ar-SA"/>
        </w:rPr>
        <w:t>barnabita</w:t>
      </w:r>
      <w:proofErr w:type="spellEnd"/>
      <w:r w:rsidRPr="00A07F29">
        <w:rPr>
          <w:rFonts w:ascii="Times New Roman" w:eastAsia="Calibri" w:hAnsi="Times New Roman" w:cs="Times New Roman"/>
          <w:b/>
          <w:i/>
          <w:color w:val="000000"/>
          <w:sz w:val="24"/>
          <w:szCs w:val="20"/>
          <w:lang w:eastAsia="ar-SA"/>
        </w:rPr>
        <w:t xml:space="preserve"> </w:t>
      </w:r>
      <w:r w:rsidRPr="00A07F29">
        <w:rPr>
          <w:rFonts w:ascii="Times New Roman" w:eastAsia="Calibri" w:hAnsi="Times New Roman" w:cs="Times New Roman"/>
          <w:color w:val="000000"/>
          <w:sz w:val="24"/>
          <w:szCs w:val="20"/>
          <w:lang w:eastAsia="ar-SA"/>
        </w:rPr>
        <w:t xml:space="preserve">(skat. </w:t>
      </w:r>
      <w:r w:rsidRPr="00A07F29">
        <w:rPr>
          <w:rFonts w:ascii="Times New Roman" w:eastAsia="Calibri" w:hAnsi="Times New Roman" w:cs="Times New Roman"/>
          <w:bCs/>
          <w:color w:val="000000"/>
          <w:sz w:val="24"/>
          <w:szCs w:val="20"/>
          <w:lang w:eastAsia="ar-SA"/>
        </w:rPr>
        <w:t>4.</w:t>
      </w:r>
      <w:r w:rsidR="00DA1A65" w:rsidRPr="00A07F29">
        <w:rPr>
          <w:rFonts w:ascii="Times New Roman" w:eastAsia="Calibri" w:hAnsi="Times New Roman" w:cs="Times New Roman"/>
          <w:bCs/>
          <w:color w:val="000000"/>
          <w:sz w:val="24"/>
          <w:szCs w:val="20"/>
          <w:lang w:eastAsia="ar-SA"/>
        </w:rPr>
        <w:t>7</w:t>
      </w:r>
      <w:r w:rsidRPr="00A07F29">
        <w:rPr>
          <w:rFonts w:ascii="Times New Roman" w:eastAsia="Calibri" w:hAnsi="Times New Roman" w:cs="Times New Roman"/>
          <w:bCs/>
          <w:color w:val="000000"/>
          <w:sz w:val="24"/>
          <w:szCs w:val="20"/>
          <w:lang w:eastAsia="ar-SA"/>
        </w:rPr>
        <w:t>.1.</w:t>
      </w:r>
      <w:r w:rsidRPr="00A07F29">
        <w:rPr>
          <w:rFonts w:ascii="Times New Roman" w:eastAsia="Calibri" w:hAnsi="Times New Roman" w:cs="Times New Roman"/>
          <w:color w:val="000000"/>
          <w:sz w:val="24"/>
          <w:szCs w:val="20"/>
          <w:lang w:eastAsia="ar-SA"/>
        </w:rPr>
        <w:t>7.</w:t>
      </w:r>
      <w:r w:rsidR="0025205B">
        <w:rPr>
          <w:rFonts w:ascii="Times New Roman" w:eastAsia="Calibri" w:hAnsi="Times New Roman" w:cs="Times New Roman"/>
          <w:color w:val="000000"/>
          <w:sz w:val="24"/>
          <w:szCs w:val="20"/>
          <w:lang w:eastAsia="ar-SA"/>
        </w:rPr>
        <w:t> </w:t>
      </w:r>
      <w:r w:rsidRPr="00A07F29">
        <w:rPr>
          <w:rFonts w:ascii="Times New Roman" w:eastAsia="Calibri" w:hAnsi="Times New Roman" w:cs="Times New Roman"/>
          <w:color w:val="000000"/>
          <w:sz w:val="24"/>
          <w:szCs w:val="20"/>
          <w:lang w:eastAsia="ar-SA"/>
        </w:rPr>
        <w:t>att</w:t>
      </w:r>
      <w:r w:rsidR="0025205B">
        <w:rPr>
          <w:rFonts w:ascii="Times New Roman" w:eastAsia="Calibri" w:hAnsi="Times New Roman" w:cs="Times New Roman"/>
          <w:color w:val="000000"/>
          <w:sz w:val="24"/>
          <w:szCs w:val="20"/>
          <w:lang w:eastAsia="ar-SA"/>
        </w:rPr>
        <w:t>ēls</w:t>
      </w:r>
      <w:r w:rsidRPr="00A07F29">
        <w:rPr>
          <w:rFonts w:ascii="Times New Roman" w:eastAsia="Calibri" w:hAnsi="Times New Roman" w:cs="Times New Roman"/>
          <w:color w:val="000000"/>
          <w:sz w:val="24"/>
          <w:szCs w:val="20"/>
          <w:lang w:eastAsia="ar-SA"/>
        </w:rPr>
        <w:t>)</w:t>
      </w:r>
      <w:r w:rsidRPr="00A07F29">
        <w:rPr>
          <w:rFonts w:ascii="Times New Roman" w:eastAsia="Calibri" w:hAnsi="Times New Roman" w:cs="Times New Roman"/>
          <w:i/>
          <w:color w:val="000000"/>
          <w:sz w:val="24"/>
          <w:szCs w:val="20"/>
          <w:lang w:eastAsia="ar-SA"/>
        </w:rPr>
        <w:t>,</w:t>
      </w:r>
      <w:r w:rsidRPr="00A07F29">
        <w:rPr>
          <w:rFonts w:ascii="Times New Roman" w:eastAsia="Calibri" w:hAnsi="Times New Roman" w:cs="Times New Roman"/>
          <w:color w:val="000000"/>
          <w:sz w:val="24"/>
          <w:szCs w:val="20"/>
          <w:lang w:eastAsia="ar-SA"/>
        </w:rPr>
        <w:t xml:space="preserve"> sugai, kura AAA “Augšdaugava” </w:t>
      </w:r>
      <w:proofErr w:type="spellStart"/>
      <w:r w:rsidR="0092556E" w:rsidRPr="00A07F29">
        <w:rPr>
          <w:rFonts w:ascii="Times New Roman" w:eastAsia="Calibri" w:hAnsi="Times New Roman" w:cs="Times New Roman"/>
          <w:i/>
          <w:color w:val="000000"/>
          <w:sz w:val="24"/>
          <w:szCs w:val="20"/>
          <w:lang w:eastAsia="ar-SA"/>
        </w:rPr>
        <w:t>Natura</w:t>
      </w:r>
      <w:proofErr w:type="spellEnd"/>
      <w:r w:rsidRPr="00A07F29">
        <w:rPr>
          <w:rFonts w:ascii="Times New Roman" w:eastAsia="Calibri" w:hAnsi="Times New Roman" w:cs="Times New Roman"/>
          <w:i/>
          <w:color w:val="000000"/>
          <w:sz w:val="24"/>
          <w:szCs w:val="20"/>
          <w:lang w:eastAsia="ar-SA"/>
        </w:rPr>
        <w:t xml:space="preserve"> 2000</w:t>
      </w:r>
      <w:r w:rsidRPr="00A07F29">
        <w:rPr>
          <w:rFonts w:ascii="Times New Roman" w:eastAsia="Calibri" w:hAnsi="Times New Roman" w:cs="Times New Roman"/>
          <w:color w:val="000000"/>
          <w:sz w:val="24"/>
          <w:szCs w:val="20"/>
          <w:lang w:eastAsia="ar-SA"/>
        </w:rPr>
        <w:t xml:space="preserve"> standarta datu formas</w:t>
      </w:r>
      <w:r w:rsidR="009256C2">
        <w:rPr>
          <w:rStyle w:val="FootnoteReference"/>
          <w:rFonts w:ascii="Times New Roman" w:eastAsia="Calibri" w:hAnsi="Times New Roman" w:cs="Times New Roman"/>
          <w:color w:val="000000"/>
          <w:sz w:val="24"/>
          <w:szCs w:val="20"/>
          <w:lang w:eastAsia="ar-SA"/>
        </w:rPr>
        <w:footnoteReference w:id="35"/>
      </w:r>
      <w:r w:rsidRPr="00A07F29">
        <w:rPr>
          <w:rFonts w:ascii="Times New Roman" w:eastAsia="Calibri" w:hAnsi="Times New Roman" w:cs="Times New Roman"/>
          <w:color w:val="000000"/>
          <w:sz w:val="24"/>
          <w:szCs w:val="20"/>
          <w:lang w:eastAsia="ar-SA"/>
        </w:rPr>
        <w:t xml:space="preserve"> 4.2. sadaļā ir norādīta kā viena no šīs teritorijas kvalificējošajām vērtībām.</w:t>
      </w:r>
      <w:r w:rsidRPr="00A07F29">
        <w:rPr>
          <w:rFonts w:ascii="Times New Roman" w:eastAsia="Calibri" w:hAnsi="Times New Roman" w:cs="Times New Roman"/>
          <w:i/>
          <w:color w:val="000000"/>
          <w:sz w:val="24"/>
          <w:szCs w:val="20"/>
          <w:lang w:eastAsia="ar-SA"/>
        </w:rPr>
        <w:t xml:space="preserve"> </w:t>
      </w:r>
      <w:r w:rsidRPr="00A07F29">
        <w:rPr>
          <w:rFonts w:ascii="Times New Roman" w:eastAsia="Calibri" w:hAnsi="Times New Roman" w:cs="Times New Roman"/>
          <w:color w:val="000000"/>
          <w:sz w:val="24"/>
          <w:szCs w:val="20"/>
          <w:lang w:eastAsia="ar-SA"/>
        </w:rPr>
        <w:t xml:space="preserve">Lapkoku </w:t>
      </w:r>
      <w:proofErr w:type="spellStart"/>
      <w:r w:rsidRPr="00A07F29">
        <w:rPr>
          <w:rFonts w:ascii="Times New Roman" w:eastAsia="Calibri" w:hAnsi="Times New Roman" w:cs="Times New Roman"/>
          <w:color w:val="000000"/>
          <w:sz w:val="24"/>
          <w:szCs w:val="20"/>
          <w:lang w:eastAsia="ar-SA"/>
        </w:rPr>
        <w:t>praulgrauzis</w:t>
      </w:r>
      <w:proofErr w:type="spellEnd"/>
      <w:r w:rsidRPr="00A07F29">
        <w:rPr>
          <w:rFonts w:ascii="Times New Roman" w:eastAsia="Calibri" w:hAnsi="Times New Roman" w:cs="Times New Roman"/>
          <w:color w:val="000000"/>
          <w:sz w:val="24"/>
          <w:szCs w:val="20"/>
          <w:lang w:eastAsia="ar-SA"/>
        </w:rPr>
        <w:t xml:space="preserve"> ir </w:t>
      </w:r>
      <w:proofErr w:type="spellStart"/>
      <w:r w:rsidRPr="00A07F29">
        <w:rPr>
          <w:rFonts w:ascii="Times New Roman" w:eastAsia="Calibri" w:hAnsi="Times New Roman" w:cs="Times New Roman"/>
          <w:color w:val="000000"/>
          <w:sz w:val="24"/>
          <w:szCs w:val="20"/>
          <w:lang w:eastAsia="ar-SA"/>
        </w:rPr>
        <w:t>saproksīla</w:t>
      </w:r>
      <w:proofErr w:type="spellEnd"/>
      <w:r w:rsidRPr="00A07F29">
        <w:rPr>
          <w:rFonts w:ascii="Times New Roman" w:eastAsia="Calibri" w:hAnsi="Times New Roman" w:cs="Times New Roman"/>
          <w:color w:val="000000"/>
          <w:sz w:val="24"/>
          <w:szCs w:val="20"/>
          <w:lang w:eastAsia="ar-SA"/>
        </w:rPr>
        <w:t xml:space="preserve"> suga, kas ir cieši saistīta ar īpašu </w:t>
      </w:r>
      <w:proofErr w:type="spellStart"/>
      <w:r w:rsidRPr="00A07F29">
        <w:rPr>
          <w:rFonts w:ascii="Times New Roman" w:eastAsia="Calibri" w:hAnsi="Times New Roman" w:cs="Times New Roman"/>
          <w:color w:val="000000"/>
          <w:sz w:val="24"/>
          <w:szCs w:val="20"/>
          <w:lang w:eastAsia="ar-SA"/>
        </w:rPr>
        <w:t>mikrobiotopu</w:t>
      </w:r>
      <w:proofErr w:type="spellEnd"/>
      <w:r w:rsidRPr="00A07F29">
        <w:rPr>
          <w:rFonts w:ascii="Times New Roman" w:eastAsia="Calibri" w:hAnsi="Times New Roman" w:cs="Times New Roman"/>
          <w:color w:val="000000"/>
          <w:sz w:val="24"/>
          <w:szCs w:val="20"/>
          <w:lang w:eastAsia="ar-SA"/>
        </w:rPr>
        <w:t xml:space="preserve"> – veco lapu koku dobumiem. Lapkoku </w:t>
      </w:r>
      <w:proofErr w:type="spellStart"/>
      <w:r w:rsidRPr="00A07F29">
        <w:rPr>
          <w:rFonts w:ascii="Times New Roman" w:eastAsia="Calibri" w:hAnsi="Times New Roman" w:cs="Times New Roman"/>
          <w:color w:val="000000"/>
          <w:sz w:val="24"/>
          <w:szCs w:val="20"/>
          <w:lang w:eastAsia="ar-SA"/>
        </w:rPr>
        <w:t>praulgrauzis</w:t>
      </w:r>
      <w:proofErr w:type="spellEnd"/>
      <w:r w:rsidRPr="00A07F29">
        <w:rPr>
          <w:rFonts w:ascii="Times New Roman" w:eastAsia="Calibri" w:hAnsi="Times New Roman" w:cs="Times New Roman"/>
          <w:color w:val="000000"/>
          <w:sz w:val="24"/>
          <w:szCs w:val="20"/>
          <w:lang w:eastAsia="ar-SA"/>
        </w:rPr>
        <w:t xml:space="preserve"> var apdzīvot dažādu sugu, izmēru un vecuma lapu kokus. Latvijā gandrīz puse no zināmajiem sugas atradumiem ir saistīti ar ozoliem, salīdzinoši bieži suga apdzīvo arī liepas un kļavas. Noteicošais faktors koka izvēlē ir dobuma pieejamība ar atbilstošu substrātu un mikroklimatu. Būtiski ir arī apgaismojuma apstākļi, jo </w:t>
      </w:r>
      <w:proofErr w:type="spellStart"/>
      <w:r w:rsidRPr="00A07F29">
        <w:rPr>
          <w:rFonts w:ascii="Times New Roman" w:eastAsia="Calibri" w:hAnsi="Times New Roman" w:cs="Times New Roman"/>
          <w:color w:val="000000"/>
          <w:sz w:val="24"/>
          <w:szCs w:val="20"/>
          <w:lang w:eastAsia="ar-SA"/>
        </w:rPr>
        <w:t>praulgrauzis</w:t>
      </w:r>
      <w:proofErr w:type="spellEnd"/>
      <w:r w:rsidRPr="00A07F29">
        <w:rPr>
          <w:rFonts w:ascii="Times New Roman" w:eastAsia="Calibri" w:hAnsi="Times New Roman" w:cs="Times New Roman"/>
          <w:color w:val="000000"/>
          <w:sz w:val="24"/>
          <w:szCs w:val="20"/>
          <w:lang w:eastAsia="ar-SA"/>
        </w:rPr>
        <w:t xml:space="preserve"> pārsvarā izvēlas saules labi apspīdētus kokus (Valainis</w:t>
      </w:r>
      <w:r w:rsidR="002845D0">
        <w:rPr>
          <w:rFonts w:ascii="Times New Roman" w:eastAsia="Calibri" w:hAnsi="Times New Roman" w:cs="Times New Roman"/>
          <w:color w:val="000000"/>
          <w:sz w:val="24"/>
          <w:szCs w:val="20"/>
          <w:lang w:eastAsia="ar-SA"/>
        </w:rPr>
        <w:t xml:space="preserve"> U.</w:t>
      </w:r>
      <w:r w:rsidRPr="00A07F29">
        <w:rPr>
          <w:rFonts w:ascii="Times New Roman" w:eastAsia="Calibri" w:hAnsi="Times New Roman" w:cs="Times New Roman"/>
          <w:color w:val="000000"/>
          <w:sz w:val="24"/>
          <w:szCs w:val="20"/>
          <w:lang w:eastAsia="ar-SA"/>
        </w:rPr>
        <w:t>, 2018).</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625"/>
      </w:tblGrid>
      <w:tr w:rsidR="009072CE" w:rsidRPr="00A07F29" w14:paraId="2B8E36B6" w14:textId="77777777" w:rsidTr="63C42FA1">
        <w:tc>
          <w:tcPr>
            <w:tcW w:w="4956" w:type="dxa"/>
          </w:tcPr>
          <w:p w14:paraId="41D556F4" w14:textId="08BD460B" w:rsidR="009072CE" w:rsidRPr="00A07F29" w:rsidRDefault="009072CE" w:rsidP="009072CE">
            <w:pPr>
              <w:suppressAutoHyphens/>
              <w:rPr>
                <w:color w:val="000000"/>
                <w:szCs w:val="20"/>
                <w:lang w:eastAsia="ar-SA"/>
              </w:rPr>
            </w:pPr>
            <w:r w:rsidRPr="00A07F29">
              <w:rPr>
                <w:noProof/>
                <w:color w:val="000000"/>
                <w:szCs w:val="20"/>
                <w:lang w:eastAsia="lv-LV"/>
              </w:rPr>
              <w:drawing>
                <wp:inline distT="0" distB="0" distL="0" distR="0" wp14:anchorId="64302F34" wp14:editId="3C352788">
                  <wp:extent cx="3009900" cy="1960880"/>
                  <wp:effectExtent l="0" t="0" r="0" b="1270"/>
                  <wp:docPr id="918145575" name="Picture 15" descr="C:\Users\12380793\Desktop\SAP_Parkveida_plavas_2018\Seminaram\Lapkoku praulgrauzis Osmoderma barnabi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12380793\Desktop\SAP_Parkveida_plavas_2018\Seminaram\Lapkoku praulgrauzis Osmoderma barnabita.JPG"/>
                          <pic:cNvPicPr>
                            <a:picLocks noChangeAspect="1" noChangeArrowheads="1"/>
                          </pic:cNvPicPr>
                        </pic:nvPicPr>
                        <pic:blipFill rotWithShape="1">
                          <a:blip r:embed="rId74" cstate="email">
                            <a:extLst>
                              <a:ext uri="{28A0092B-C50C-407E-A947-70E740481C1C}">
                                <a14:useLocalDpi xmlns:a14="http://schemas.microsoft.com/office/drawing/2010/main"/>
                              </a:ext>
                            </a:extLst>
                          </a:blip>
                          <a:srcRect l="31279" t="36835" r="31840" b="27124"/>
                          <a:stretch/>
                        </pic:blipFill>
                        <pic:spPr bwMode="auto">
                          <a:xfrm>
                            <a:off x="0" y="0"/>
                            <a:ext cx="3009900" cy="196088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97" w:type="dxa"/>
          </w:tcPr>
          <w:p w14:paraId="3075A02A" w14:textId="26417633" w:rsidR="009072CE" w:rsidRPr="00A07F29" w:rsidRDefault="009072CE" w:rsidP="009072CE">
            <w:pPr>
              <w:suppressAutoHyphens/>
              <w:rPr>
                <w:color w:val="000000"/>
                <w:szCs w:val="20"/>
                <w:lang w:eastAsia="ar-SA"/>
              </w:rPr>
            </w:pPr>
            <w:r w:rsidRPr="00A07F29">
              <w:rPr>
                <w:noProof/>
                <w:lang w:eastAsia="lv-LV"/>
              </w:rPr>
              <w:drawing>
                <wp:inline distT="0" distB="0" distL="0" distR="0" wp14:anchorId="5003ED0B" wp14:editId="741CBAD2">
                  <wp:extent cx="2941319" cy="1960880"/>
                  <wp:effectExtent l="0" t="0" r="0" b="1270"/>
                  <wp:docPr id="918145576" name="Picture 16" descr="Z:\Family\Uldis\Uldis\Dabas_eksperts\IADT_ekspertizes\Augsdaugava\Foto\Jezupovas parks\IMG_28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75">
                            <a:extLst>
                              <a:ext uri="{28A0092B-C50C-407E-A947-70E740481C1C}">
                                <a14:useLocalDpi xmlns:a14="http://schemas.microsoft.com/office/drawing/2010/main"/>
                              </a:ext>
                            </a:extLst>
                          </a:blip>
                          <a:stretch>
                            <a:fillRect/>
                          </a:stretch>
                        </pic:blipFill>
                        <pic:spPr>
                          <a:xfrm>
                            <a:off x="0" y="0"/>
                            <a:ext cx="2941319" cy="1960880"/>
                          </a:xfrm>
                          <a:prstGeom prst="rect">
                            <a:avLst/>
                          </a:prstGeom>
                        </pic:spPr>
                      </pic:pic>
                    </a:graphicData>
                  </a:graphic>
                </wp:inline>
              </w:drawing>
            </w:r>
          </w:p>
        </w:tc>
      </w:tr>
      <w:tr w:rsidR="009072CE" w:rsidRPr="00A07F29" w14:paraId="7C4EF627" w14:textId="77777777" w:rsidTr="63C42FA1">
        <w:tc>
          <w:tcPr>
            <w:tcW w:w="4956" w:type="dxa"/>
          </w:tcPr>
          <w:p w14:paraId="09D5BA97" w14:textId="22EC06BA" w:rsidR="009072CE" w:rsidRPr="0043453F" w:rsidRDefault="009072CE" w:rsidP="00890485">
            <w:pPr>
              <w:suppressAutoHyphens/>
              <w:rPr>
                <w:rFonts w:ascii="Times New Roman" w:hAnsi="Times New Roman" w:cs="Times New Roman"/>
                <w:bCs/>
                <w:color w:val="000000"/>
                <w:sz w:val="20"/>
                <w:szCs w:val="20"/>
                <w:lang w:eastAsia="ar-SA"/>
              </w:rPr>
            </w:pPr>
            <w:r w:rsidRPr="0043453F">
              <w:rPr>
                <w:rFonts w:ascii="Times New Roman" w:eastAsia="Calibri" w:hAnsi="Times New Roman" w:cs="Times New Roman"/>
                <w:bCs/>
                <w:color w:val="000000"/>
                <w:sz w:val="20"/>
                <w:szCs w:val="20"/>
                <w:lang w:eastAsia="ar-SA"/>
              </w:rPr>
              <w:t>4.</w:t>
            </w:r>
            <w:r w:rsidR="00DA1A65" w:rsidRPr="0043453F">
              <w:rPr>
                <w:rFonts w:ascii="Times New Roman" w:eastAsia="Calibri" w:hAnsi="Times New Roman" w:cs="Times New Roman"/>
                <w:bCs/>
                <w:color w:val="000000"/>
                <w:sz w:val="20"/>
                <w:szCs w:val="20"/>
                <w:lang w:eastAsia="ar-SA"/>
              </w:rPr>
              <w:t>7</w:t>
            </w:r>
            <w:r w:rsidRPr="0043453F">
              <w:rPr>
                <w:rFonts w:ascii="Times New Roman" w:eastAsia="Calibri" w:hAnsi="Times New Roman" w:cs="Times New Roman"/>
                <w:bCs/>
                <w:color w:val="000000"/>
                <w:sz w:val="20"/>
                <w:szCs w:val="20"/>
                <w:lang w:eastAsia="ar-SA"/>
              </w:rPr>
              <w:t>.1.</w:t>
            </w:r>
            <w:r w:rsidRPr="0043453F">
              <w:rPr>
                <w:rFonts w:ascii="Times New Roman" w:hAnsi="Times New Roman" w:cs="Times New Roman"/>
                <w:bCs/>
                <w:color w:val="000000"/>
                <w:sz w:val="20"/>
                <w:szCs w:val="20"/>
                <w:lang w:eastAsia="ar-SA"/>
              </w:rPr>
              <w:t>7.</w:t>
            </w:r>
            <w:r w:rsidR="00342520" w:rsidRPr="0043453F">
              <w:rPr>
                <w:rFonts w:ascii="Times New Roman" w:hAnsi="Times New Roman" w:cs="Times New Roman"/>
                <w:bCs/>
                <w:color w:val="000000"/>
                <w:sz w:val="20"/>
                <w:szCs w:val="20"/>
                <w:lang w:eastAsia="ar-SA"/>
              </w:rPr>
              <w:t> </w:t>
            </w:r>
            <w:r w:rsidRPr="0043453F">
              <w:rPr>
                <w:rFonts w:ascii="Times New Roman" w:hAnsi="Times New Roman" w:cs="Times New Roman"/>
                <w:bCs/>
                <w:color w:val="000000"/>
                <w:sz w:val="20"/>
                <w:szCs w:val="20"/>
                <w:lang w:eastAsia="ar-SA"/>
              </w:rPr>
              <w:t xml:space="preserve">attēls. Lapkoku </w:t>
            </w:r>
            <w:proofErr w:type="spellStart"/>
            <w:r w:rsidRPr="0043453F">
              <w:rPr>
                <w:rFonts w:ascii="Times New Roman" w:hAnsi="Times New Roman" w:cs="Times New Roman"/>
                <w:bCs/>
                <w:color w:val="000000"/>
                <w:sz w:val="20"/>
                <w:szCs w:val="20"/>
                <w:lang w:eastAsia="ar-SA"/>
              </w:rPr>
              <w:t>praulgrauzis</w:t>
            </w:r>
            <w:proofErr w:type="spellEnd"/>
            <w:r w:rsidRPr="0043453F">
              <w:rPr>
                <w:rFonts w:ascii="Times New Roman" w:hAnsi="Times New Roman" w:cs="Times New Roman"/>
                <w:bCs/>
                <w:color w:val="000000"/>
                <w:sz w:val="20"/>
                <w:szCs w:val="20"/>
                <w:lang w:eastAsia="ar-SA"/>
              </w:rPr>
              <w:t xml:space="preserve"> (Foto: U</w:t>
            </w:r>
            <w:r w:rsidR="00890485" w:rsidRPr="0043453F">
              <w:rPr>
                <w:rFonts w:ascii="Times New Roman" w:hAnsi="Times New Roman" w:cs="Times New Roman"/>
                <w:bCs/>
                <w:color w:val="000000"/>
                <w:sz w:val="20"/>
                <w:szCs w:val="20"/>
                <w:lang w:eastAsia="ar-SA"/>
              </w:rPr>
              <w:t>. </w:t>
            </w:r>
            <w:r w:rsidRPr="0043453F">
              <w:rPr>
                <w:rFonts w:ascii="Times New Roman" w:hAnsi="Times New Roman" w:cs="Times New Roman"/>
                <w:bCs/>
                <w:color w:val="000000"/>
                <w:sz w:val="20"/>
                <w:szCs w:val="20"/>
                <w:lang w:eastAsia="ar-SA"/>
              </w:rPr>
              <w:t>Valainis)</w:t>
            </w:r>
          </w:p>
        </w:tc>
        <w:tc>
          <w:tcPr>
            <w:tcW w:w="4397" w:type="dxa"/>
          </w:tcPr>
          <w:p w14:paraId="6763D77E" w14:textId="24FDB3CA" w:rsidR="009072CE" w:rsidRPr="0043453F" w:rsidRDefault="009072CE" w:rsidP="00890485">
            <w:pPr>
              <w:suppressAutoHyphens/>
              <w:rPr>
                <w:rFonts w:ascii="Times New Roman" w:hAnsi="Times New Roman" w:cs="Times New Roman"/>
                <w:color w:val="000000"/>
                <w:sz w:val="20"/>
                <w:szCs w:val="20"/>
                <w:lang w:eastAsia="ar-SA"/>
              </w:rPr>
            </w:pPr>
            <w:r w:rsidRPr="0043453F">
              <w:rPr>
                <w:rFonts w:ascii="Times New Roman" w:eastAsia="Calibri" w:hAnsi="Times New Roman" w:cs="Times New Roman"/>
                <w:color w:val="000000" w:themeColor="text1"/>
                <w:sz w:val="20"/>
                <w:szCs w:val="20"/>
                <w:lang w:eastAsia="ar-SA"/>
              </w:rPr>
              <w:t>4.</w:t>
            </w:r>
            <w:r w:rsidR="00DA1A65" w:rsidRPr="0043453F">
              <w:rPr>
                <w:rFonts w:ascii="Times New Roman" w:eastAsia="Calibri" w:hAnsi="Times New Roman" w:cs="Times New Roman"/>
                <w:color w:val="000000" w:themeColor="text1"/>
                <w:sz w:val="20"/>
                <w:szCs w:val="20"/>
                <w:lang w:eastAsia="ar-SA"/>
              </w:rPr>
              <w:t>7</w:t>
            </w:r>
            <w:r w:rsidRPr="0043453F">
              <w:rPr>
                <w:rFonts w:ascii="Times New Roman" w:eastAsia="Calibri" w:hAnsi="Times New Roman" w:cs="Times New Roman"/>
                <w:color w:val="000000" w:themeColor="text1"/>
                <w:sz w:val="20"/>
                <w:szCs w:val="20"/>
                <w:lang w:eastAsia="ar-SA"/>
              </w:rPr>
              <w:t>.1.</w:t>
            </w:r>
            <w:r w:rsidRPr="0043453F">
              <w:rPr>
                <w:rFonts w:ascii="Times New Roman" w:hAnsi="Times New Roman" w:cs="Times New Roman"/>
                <w:color w:val="000000" w:themeColor="text1"/>
                <w:sz w:val="20"/>
                <w:szCs w:val="20"/>
                <w:lang w:eastAsia="ar-SA"/>
              </w:rPr>
              <w:t>8.</w:t>
            </w:r>
            <w:r w:rsidR="00342520" w:rsidRPr="0043453F">
              <w:rPr>
                <w:rFonts w:ascii="Times New Roman" w:hAnsi="Times New Roman" w:cs="Times New Roman"/>
                <w:color w:val="000000" w:themeColor="text1"/>
                <w:sz w:val="20"/>
                <w:szCs w:val="20"/>
                <w:lang w:eastAsia="ar-SA"/>
              </w:rPr>
              <w:t> </w:t>
            </w:r>
            <w:r w:rsidRPr="0043453F">
              <w:rPr>
                <w:rFonts w:ascii="Times New Roman" w:hAnsi="Times New Roman" w:cs="Times New Roman"/>
                <w:color w:val="000000" w:themeColor="text1"/>
                <w:sz w:val="20"/>
                <w:szCs w:val="20"/>
                <w:lang w:eastAsia="ar-SA"/>
              </w:rPr>
              <w:t xml:space="preserve">attēls. Lapkoku </w:t>
            </w:r>
            <w:proofErr w:type="spellStart"/>
            <w:r w:rsidRPr="0043453F">
              <w:rPr>
                <w:rFonts w:ascii="Times New Roman" w:hAnsi="Times New Roman" w:cs="Times New Roman"/>
                <w:color w:val="000000" w:themeColor="text1"/>
                <w:sz w:val="20"/>
                <w:szCs w:val="20"/>
                <w:lang w:eastAsia="ar-SA"/>
              </w:rPr>
              <w:t>praulgrauža</w:t>
            </w:r>
            <w:proofErr w:type="spellEnd"/>
            <w:r w:rsidRPr="0043453F">
              <w:rPr>
                <w:rFonts w:ascii="Times New Roman" w:hAnsi="Times New Roman" w:cs="Times New Roman"/>
                <w:color w:val="000000" w:themeColor="text1"/>
                <w:sz w:val="20"/>
                <w:szCs w:val="20"/>
                <w:lang w:eastAsia="ar-SA"/>
              </w:rPr>
              <w:t xml:space="preserve"> sastopamībai piemēroti koki </w:t>
            </w:r>
            <w:proofErr w:type="spellStart"/>
            <w:r w:rsidRPr="0043453F">
              <w:rPr>
                <w:rFonts w:ascii="Times New Roman" w:hAnsi="Times New Roman" w:cs="Times New Roman"/>
                <w:color w:val="000000" w:themeColor="text1"/>
                <w:sz w:val="20"/>
                <w:szCs w:val="20"/>
                <w:lang w:eastAsia="ar-SA"/>
              </w:rPr>
              <w:t>Juzefovas</w:t>
            </w:r>
            <w:proofErr w:type="spellEnd"/>
            <w:r w:rsidRPr="0043453F">
              <w:rPr>
                <w:rFonts w:ascii="Times New Roman" w:hAnsi="Times New Roman" w:cs="Times New Roman"/>
                <w:color w:val="000000" w:themeColor="text1"/>
                <w:sz w:val="20"/>
                <w:szCs w:val="20"/>
                <w:lang w:eastAsia="ar-SA"/>
              </w:rPr>
              <w:t xml:space="preserve"> parkā (Foto: U</w:t>
            </w:r>
            <w:r w:rsidR="00890485" w:rsidRPr="0043453F">
              <w:rPr>
                <w:rFonts w:ascii="Times New Roman" w:hAnsi="Times New Roman" w:cs="Times New Roman"/>
                <w:color w:val="000000" w:themeColor="text1"/>
                <w:sz w:val="20"/>
                <w:szCs w:val="20"/>
                <w:lang w:eastAsia="ar-SA"/>
              </w:rPr>
              <w:t>. </w:t>
            </w:r>
            <w:r w:rsidRPr="0043453F">
              <w:rPr>
                <w:rFonts w:ascii="Times New Roman" w:hAnsi="Times New Roman" w:cs="Times New Roman"/>
                <w:color w:val="000000" w:themeColor="text1"/>
                <w:sz w:val="20"/>
                <w:szCs w:val="20"/>
                <w:lang w:eastAsia="ar-SA"/>
              </w:rPr>
              <w:t>Valainis)</w:t>
            </w:r>
          </w:p>
        </w:tc>
      </w:tr>
    </w:tbl>
    <w:p w14:paraId="7C464042" w14:textId="77777777" w:rsidR="009072CE" w:rsidRPr="00A07F29" w:rsidRDefault="009072CE" w:rsidP="009072CE">
      <w:pPr>
        <w:autoSpaceDE w:val="0"/>
        <w:autoSpaceDN w:val="0"/>
        <w:adjustRightInd w:val="0"/>
        <w:spacing w:after="0" w:line="240" w:lineRule="auto"/>
        <w:jc w:val="both"/>
        <w:rPr>
          <w:rFonts w:ascii="Times New Roman" w:eastAsia="Calibri" w:hAnsi="Times New Roman" w:cs="Times New Roman"/>
          <w:color w:val="000000"/>
          <w:sz w:val="24"/>
          <w:szCs w:val="20"/>
          <w:lang w:eastAsia="ar-SA"/>
        </w:rPr>
      </w:pPr>
    </w:p>
    <w:p w14:paraId="257342D6" w14:textId="536BF01E" w:rsidR="008F3647" w:rsidRPr="00A07F29" w:rsidRDefault="00C12B08" w:rsidP="0058206B">
      <w:pPr>
        <w:autoSpaceDE w:val="0"/>
        <w:autoSpaceDN w:val="0"/>
        <w:adjustRightInd w:val="0"/>
        <w:spacing w:after="120" w:line="240" w:lineRule="auto"/>
        <w:ind w:firstLine="851"/>
        <w:jc w:val="both"/>
        <w:rPr>
          <w:rFonts w:ascii="Times New Roman" w:eastAsia="Calibri" w:hAnsi="Times New Roman" w:cs="Times New Roman"/>
          <w:color w:val="000000"/>
          <w:sz w:val="24"/>
          <w:szCs w:val="20"/>
          <w:lang w:eastAsia="ar-SA"/>
        </w:rPr>
      </w:pPr>
      <w:r w:rsidRPr="00A07F29">
        <w:rPr>
          <w:rFonts w:ascii="Times New Roman" w:eastAsia="Calibri" w:hAnsi="Times New Roman" w:cs="Times New Roman"/>
          <w:color w:val="000000"/>
          <w:sz w:val="24"/>
          <w:szCs w:val="20"/>
          <w:lang w:eastAsia="ar-SA"/>
        </w:rPr>
        <w:t>AAA</w:t>
      </w:r>
      <w:r w:rsidR="009072CE" w:rsidRPr="00A07F29">
        <w:rPr>
          <w:rFonts w:ascii="Times New Roman" w:eastAsia="Calibri" w:hAnsi="Times New Roman" w:cs="Times New Roman"/>
          <w:color w:val="000000"/>
          <w:sz w:val="24"/>
          <w:szCs w:val="20"/>
          <w:lang w:eastAsia="ar-SA"/>
        </w:rPr>
        <w:t xml:space="preserve"> teritorijā zināmas vairākas sugas atradnes, tomēr aktuālie dati ir tikai no vienas atradnes – </w:t>
      </w:r>
      <w:proofErr w:type="spellStart"/>
      <w:r w:rsidR="009072CE" w:rsidRPr="00A07F29">
        <w:rPr>
          <w:rFonts w:ascii="Times New Roman" w:eastAsia="Calibri" w:hAnsi="Times New Roman" w:cs="Times New Roman"/>
          <w:color w:val="000000"/>
          <w:sz w:val="24"/>
          <w:szCs w:val="20"/>
          <w:lang w:eastAsia="ar-SA"/>
        </w:rPr>
        <w:t>Juzefovas</w:t>
      </w:r>
      <w:proofErr w:type="spellEnd"/>
      <w:r w:rsidR="009072CE" w:rsidRPr="00A07F29">
        <w:rPr>
          <w:rFonts w:ascii="Times New Roman" w:eastAsia="Calibri" w:hAnsi="Times New Roman" w:cs="Times New Roman"/>
          <w:color w:val="000000"/>
          <w:sz w:val="24"/>
          <w:szCs w:val="20"/>
          <w:lang w:eastAsia="ar-SA"/>
        </w:rPr>
        <w:t xml:space="preserve"> parka (skat. </w:t>
      </w:r>
      <w:r w:rsidR="009072CE" w:rsidRPr="00A07F29">
        <w:rPr>
          <w:rFonts w:ascii="Times New Roman" w:eastAsia="Calibri" w:hAnsi="Times New Roman" w:cs="Times New Roman"/>
          <w:bCs/>
          <w:color w:val="000000"/>
          <w:sz w:val="24"/>
          <w:szCs w:val="20"/>
          <w:lang w:eastAsia="ar-SA"/>
        </w:rPr>
        <w:t>4.</w:t>
      </w:r>
      <w:r w:rsidR="008F3647" w:rsidRPr="00A07F29">
        <w:rPr>
          <w:rFonts w:ascii="Times New Roman" w:eastAsia="Calibri" w:hAnsi="Times New Roman" w:cs="Times New Roman"/>
          <w:bCs/>
          <w:color w:val="000000"/>
          <w:sz w:val="24"/>
          <w:szCs w:val="20"/>
          <w:lang w:eastAsia="ar-SA"/>
        </w:rPr>
        <w:t>7</w:t>
      </w:r>
      <w:r w:rsidR="009072CE" w:rsidRPr="00A07F29">
        <w:rPr>
          <w:rFonts w:ascii="Times New Roman" w:eastAsia="Calibri" w:hAnsi="Times New Roman" w:cs="Times New Roman"/>
          <w:bCs/>
          <w:color w:val="000000"/>
          <w:sz w:val="24"/>
          <w:szCs w:val="20"/>
          <w:lang w:eastAsia="ar-SA"/>
        </w:rPr>
        <w:t>.1.</w:t>
      </w:r>
      <w:r w:rsidR="009072CE" w:rsidRPr="00A07F29">
        <w:rPr>
          <w:rFonts w:ascii="Times New Roman" w:eastAsia="Calibri" w:hAnsi="Times New Roman" w:cs="Times New Roman"/>
          <w:color w:val="000000"/>
          <w:sz w:val="24"/>
          <w:szCs w:val="20"/>
          <w:lang w:eastAsia="ar-SA"/>
        </w:rPr>
        <w:t>8.</w:t>
      </w:r>
      <w:r w:rsidR="0043453F">
        <w:rPr>
          <w:rFonts w:ascii="Times New Roman" w:eastAsia="Calibri" w:hAnsi="Times New Roman" w:cs="Times New Roman"/>
          <w:color w:val="000000"/>
          <w:sz w:val="24"/>
          <w:szCs w:val="20"/>
          <w:lang w:eastAsia="ar-SA"/>
        </w:rPr>
        <w:t> </w:t>
      </w:r>
      <w:r w:rsidR="009072CE" w:rsidRPr="00A07F29">
        <w:rPr>
          <w:rFonts w:ascii="Times New Roman" w:eastAsia="Calibri" w:hAnsi="Times New Roman" w:cs="Times New Roman"/>
          <w:color w:val="000000"/>
          <w:sz w:val="24"/>
          <w:szCs w:val="20"/>
          <w:lang w:eastAsia="ar-SA"/>
        </w:rPr>
        <w:t>att</w:t>
      </w:r>
      <w:r w:rsidR="0043453F">
        <w:rPr>
          <w:rFonts w:ascii="Times New Roman" w:eastAsia="Calibri" w:hAnsi="Times New Roman" w:cs="Times New Roman"/>
          <w:color w:val="000000"/>
          <w:sz w:val="24"/>
          <w:szCs w:val="20"/>
          <w:lang w:eastAsia="ar-SA"/>
        </w:rPr>
        <w:t>ēls</w:t>
      </w:r>
      <w:r w:rsidR="009072CE" w:rsidRPr="00CA7016">
        <w:rPr>
          <w:rFonts w:ascii="Times New Roman" w:eastAsia="Calibri" w:hAnsi="Times New Roman" w:cs="Times New Roman"/>
          <w:color w:val="000000"/>
          <w:sz w:val="24"/>
          <w:szCs w:val="20"/>
          <w:lang w:eastAsia="ar-SA"/>
        </w:rPr>
        <w:t>).</w:t>
      </w:r>
      <w:r w:rsidR="009072CE" w:rsidRPr="00CA7016">
        <w:rPr>
          <w:rFonts w:ascii="Times New Roman" w:eastAsia="Calibri" w:hAnsi="Times New Roman" w:cs="Times New Roman"/>
          <w:color w:val="000000"/>
          <w:sz w:val="24"/>
          <w:szCs w:val="24"/>
          <w:lang w:eastAsia="ar-SA"/>
        </w:rPr>
        <w:t xml:space="preserve"> </w:t>
      </w:r>
      <w:r w:rsidR="009072CE" w:rsidRPr="00CA7016">
        <w:rPr>
          <w:rFonts w:ascii="Times New Roman" w:eastAsia="Calibri" w:hAnsi="Times New Roman" w:cs="Times New Roman"/>
          <w:color w:val="000000"/>
          <w:sz w:val="24"/>
          <w:szCs w:val="24"/>
          <w:shd w:val="clear" w:color="auto" w:fill="FFFFFF"/>
          <w:lang w:eastAsia="ar-SA"/>
        </w:rPr>
        <w:t>E</w:t>
      </w:r>
      <w:r w:rsidR="00CA7016" w:rsidRPr="00CA7016">
        <w:rPr>
          <w:rFonts w:ascii="Times New Roman" w:eastAsia="Calibri" w:hAnsi="Times New Roman" w:cs="Times New Roman"/>
          <w:color w:val="000000"/>
          <w:sz w:val="24"/>
          <w:szCs w:val="24"/>
          <w:shd w:val="clear" w:color="auto" w:fill="FFFFFF"/>
          <w:lang w:eastAsia="ar-SA"/>
        </w:rPr>
        <w:t>K</w:t>
      </w:r>
      <w:r w:rsidR="009072CE" w:rsidRPr="00A07F29">
        <w:rPr>
          <w:rFonts w:ascii="Times New Roman" w:eastAsia="Calibri" w:hAnsi="Times New Roman" w:cs="Times New Roman"/>
          <w:color w:val="000000"/>
          <w:sz w:val="24"/>
          <w:szCs w:val="24"/>
          <w:shd w:val="clear" w:color="auto" w:fill="FFFFFF"/>
          <w:lang w:eastAsia="ar-SA"/>
        </w:rPr>
        <w:t xml:space="preserve"> LIFE programmas finansētā projekta</w:t>
      </w:r>
      <w:r w:rsidR="00073A70">
        <w:rPr>
          <w:rFonts w:ascii="Times New Roman" w:eastAsia="Calibri" w:hAnsi="Times New Roman" w:cs="Times New Roman"/>
          <w:color w:val="000000"/>
          <w:sz w:val="24"/>
          <w:szCs w:val="24"/>
          <w:lang w:eastAsia="ar-SA"/>
        </w:rPr>
        <w:t xml:space="preserve"> </w:t>
      </w:r>
      <w:r w:rsidR="00073A70">
        <w:rPr>
          <w:rFonts w:ascii="Times New Roman" w:eastAsia="Calibri" w:hAnsi="Times New Roman" w:cs="Times New Roman"/>
          <w:bCs/>
          <w:color w:val="000000"/>
          <w:sz w:val="24"/>
          <w:szCs w:val="24"/>
          <w:lang w:eastAsia="ar-SA"/>
        </w:rPr>
        <w:t>“</w:t>
      </w:r>
      <w:proofErr w:type="spellStart"/>
      <w:r w:rsidR="009072CE" w:rsidRPr="00A07F29">
        <w:rPr>
          <w:rFonts w:ascii="Times New Roman" w:eastAsia="Calibri" w:hAnsi="Times New Roman" w:cs="Times New Roman"/>
          <w:bCs/>
          <w:color w:val="000000"/>
          <w:sz w:val="24"/>
          <w:szCs w:val="24"/>
          <w:lang w:eastAsia="ar-SA"/>
        </w:rPr>
        <w:t>Parkveida</w:t>
      </w:r>
      <w:proofErr w:type="spellEnd"/>
      <w:r w:rsidR="009072CE" w:rsidRPr="00A07F29">
        <w:rPr>
          <w:rFonts w:ascii="Times New Roman" w:eastAsia="Calibri" w:hAnsi="Times New Roman" w:cs="Times New Roman"/>
          <w:bCs/>
          <w:color w:val="000000"/>
          <w:sz w:val="24"/>
          <w:szCs w:val="24"/>
          <w:lang w:eastAsia="ar-SA"/>
        </w:rPr>
        <w:t xml:space="preserve"> pļavu un divu prioritāri aizsargājamo vaboļu sugu apsaimniekošana: plānošana, sabiedrības iesaistīšana, inovācija</w:t>
      </w:r>
      <w:r w:rsidR="00073A70">
        <w:rPr>
          <w:rFonts w:ascii="Times New Roman" w:eastAsia="Calibri" w:hAnsi="Times New Roman" w:cs="Times New Roman"/>
          <w:color w:val="000000"/>
          <w:sz w:val="24"/>
          <w:szCs w:val="24"/>
          <w:shd w:val="clear" w:color="auto" w:fill="FFFFFF"/>
          <w:lang w:eastAsia="ar-SA"/>
        </w:rPr>
        <w:t>”</w:t>
      </w:r>
      <w:r w:rsidR="009072CE" w:rsidRPr="00A07F29">
        <w:rPr>
          <w:rFonts w:ascii="Times New Roman" w:eastAsia="Calibri" w:hAnsi="Times New Roman" w:cs="Times New Roman"/>
          <w:color w:val="000000"/>
          <w:sz w:val="24"/>
          <w:szCs w:val="24"/>
          <w:shd w:val="clear" w:color="auto" w:fill="FFFFFF"/>
          <w:lang w:eastAsia="ar-SA"/>
        </w:rPr>
        <w:t xml:space="preserve"> ietvaros tika veikta lapkoku </w:t>
      </w:r>
      <w:proofErr w:type="spellStart"/>
      <w:r w:rsidR="009072CE" w:rsidRPr="00A07F29">
        <w:rPr>
          <w:rFonts w:ascii="Times New Roman" w:eastAsia="Calibri" w:hAnsi="Times New Roman" w:cs="Times New Roman"/>
          <w:color w:val="000000"/>
          <w:sz w:val="24"/>
          <w:szCs w:val="24"/>
          <w:shd w:val="clear" w:color="auto" w:fill="FFFFFF"/>
          <w:lang w:eastAsia="ar-SA"/>
        </w:rPr>
        <w:t>praulgrauža</w:t>
      </w:r>
      <w:proofErr w:type="spellEnd"/>
      <w:r w:rsidR="009072CE" w:rsidRPr="00A07F29">
        <w:rPr>
          <w:rFonts w:ascii="Times New Roman" w:eastAsia="Calibri" w:hAnsi="Times New Roman" w:cs="Times New Roman"/>
          <w:color w:val="000000"/>
          <w:sz w:val="24"/>
          <w:szCs w:val="24"/>
          <w:shd w:val="clear" w:color="auto" w:fill="FFFFFF"/>
          <w:lang w:eastAsia="ar-SA"/>
        </w:rPr>
        <w:t xml:space="preserve"> uzskaite šajā atradnē, izmantojot feromonu lamatas. Lielākais konstatēto īpatņu skaits vienas sezonas laikā ir 16. Vērtējot sugas aktivitāti, var uzskatīt, ka parka teritorijā esošā sugas populācija ir vitāla.</w:t>
      </w:r>
      <w:r w:rsidR="009072CE" w:rsidRPr="00A07F29">
        <w:rPr>
          <w:rFonts w:ascii="Times New Roman" w:eastAsia="Calibri" w:hAnsi="Times New Roman" w:cs="Times New Roman"/>
          <w:color w:val="000000"/>
          <w:sz w:val="24"/>
          <w:szCs w:val="20"/>
          <w:lang w:eastAsia="ar-SA"/>
        </w:rPr>
        <w:t xml:space="preserve"> Parkā ir uzskaitīti vismaz 10 sugai piemēroti dobumaini koki.</w:t>
      </w:r>
    </w:p>
    <w:p w14:paraId="2E1C1B30" w14:textId="14E4CDFE" w:rsidR="009072CE" w:rsidRPr="00A07F29" w:rsidRDefault="009072CE" w:rsidP="0058206B">
      <w:pPr>
        <w:autoSpaceDE w:val="0"/>
        <w:autoSpaceDN w:val="0"/>
        <w:adjustRightInd w:val="0"/>
        <w:spacing w:after="120" w:line="240" w:lineRule="auto"/>
        <w:ind w:firstLine="851"/>
        <w:jc w:val="both"/>
        <w:rPr>
          <w:rFonts w:ascii="Times New Roman" w:eastAsia="Calibri" w:hAnsi="Times New Roman" w:cs="Times New Roman"/>
          <w:color w:val="000000"/>
          <w:sz w:val="24"/>
          <w:szCs w:val="20"/>
          <w:lang w:eastAsia="ar-SA"/>
        </w:rPr>
      </w:pPr>
      <w:r w:rsidRPr="00A07F29">
        <w:rPr>
          <w:rFonts w:ascii="Times New Roman" w:eastAsia="Calibri" w:hAnsi="Times New Roman" w:cs="Times New Roman"/>
          <w:color w:val="000000"/>
          <w:sz w:val="24"/>
          <w:szCs w:val="20"/>
          <w:lang w:eastAsia="ar-SA"/>
        </w:rPr>
        <w:lastRenderedPageBreak/>
        <w:t xml:space="preserve">Lapkoku </w:t>
      </w:r>
      <w:proofErr w:type="spellStart"/>
      <w:r w:rsidRPr="00A07F29">
        <w:rPr>
          <w:rFonts w:ascii="Times New Roman" w:eastAsia="Calibri" w:hAnsi="Times New Roman" w:cs="Times New Roman"/>
          <w:color w:val="000000"/>
          <w:sz w:val="24"/>
          <w:szCs w:val="20"/>
          <w:lang w:eastAsia="ar-SA"/>
        </w:rPr>
        <w:t>praulgrauzis</w:t>
      </w:r>
      <w:proofErr w:type="spellEnd"/>
      <w:r w:rsidRPr="00A07F29">
        <w:rPr>
          <w:rFonts w:ascii="Times New Roman" w:eastAsia="Calibri" w:hAnsi="Times New Roman" w:cs="Times New Roman"/>
          <w:color w:val="000000"/>
          <w:sz w:val="24"/>
          <w:szCs w:val="20"/>
          <w:lang w:eastAsia="ar-SA"/>
        </w:rPr>
        <w:t xml:space="preserve"> teritorijā ir konstatēts arī </w:t>
      </w:r>
      <w:proofErr w:type="spellStart"/>
      <w:r w:rsidRPr="00A07F29">
        <w:rPr>
          <w:rFonts w:ascii="Times New Roman" w:eastAsia="Calibri" w:hAnsi="Times New Roman" w:cs="Times New Roman"/>
          <w:color w:val="000000"/>
          <w:sz w:val="24"/>
          <w:szCs w:val="20"/>
          <w:lang w:eastAsia="ar-SA"/>
        </w:rPr>
        <w:t>Jezupovas</w:t>
      </w:r>
      <w:proofErr w:type="spellEnd"/>
      <w:r w:rsidRPr="00A07F29">
        <w:rPr>
          <w:rFonts w:ascii="Times New Roman" w:eastAsia="Calibri" w:hAnsi="Times New Roman" w:cs="Times New Roman"/>
          <w:color w:val="000000"/>
          <w:sz w:val="24"/>
          <w:szCs w:val="20"/>
          <w:lang w:eastAsia="ar-SA"/>
        </w:rPr>
        <w:t xml:space="preserve"> gravā, kur ir vecs, labi saglabājies dabisks platlapju mežs, kurā </w:t>
      </w:r>
      <w:proofErr w:type="spellStart"/>
      <w:r w:rsidRPr="00A07F29">
        <w:rPr>
          <w:rFonts w:ascii="Times New Roman" w:eastAsia="Calibri" w:hAnsi="Times New Roman" w:cs="Times New Roman"/>
          <w:color w:val="000000"/>
          <w:sz w:val="24"/>
          <w:szCs w:val="20"/>
          <w:lang w:eastAsia="ar-SA"/>
        </w:rPr>
        <w:t>kokaudzi</w:t>
      </w:r>
      <w:proofErr w:type="spellEnd"/>
      <w:r w:rsidRPr="00A07F29">
        <w:rPr>
          <w:rFonts w:ascii="Times New Roman" w:eastAsia="Calibri" w:hAnsi="Times New Roman" w:cs="Times New Roman"/>
          <w:color w:val="000000"/>
          <w:sz w:val="24"/>
          <w:szCs w:val="20"/>
          <w:lang w:eastAsia="ar-SA"/>
        </w:rPr>
        <w:t xml:space="preserve"> veido gobas, oši, ozoli un kļavas. Koki ir liela diametra un dobumaini, kā arī ir lieli krituši platlapji, kas ir būtiski apdraudētajām </w:t>
      </w:r>
      <w:proofErr w:type="spellStart"/>
      <w:r w:rsidRPr="00A07F29">
        <w:rPr>
          <w:rFonts w:ascii="Times New Roman" w:eastAsia="Calibri" w:hAnsi="Times New Roman" w:cs="Times New Roman"/>
          <w:color w:val="000000"/>
          <w:sz w:val="24"/>
          <w:szCs w:val="20"/>
          <w:lang w:eastAsia="ar-SA"/>
        </w:rPr>
        <w:t>ksilofāgo</w:t>
      </w:r>
      <w:proofErr w:type="spellEnd"/>
      <w:r w:rsidRPr="00A07F29">
        <w:rPr>
          <w:rFonts w:ascii="Times New Roman" w:eastAsia="Calibri" w:hAnsi="Times New Roman" w:cs="Times New Roman"/>
          <w:color w:val="000000"/>
          <w:sz w:val="24"/>
          <w:szCs w:val="20"/>
          <w:lang w:eastAsia="ar-SA"/>
        </w:rPr>
        <w:t xml:space="preserve"> kuk</w:t>
      </w:r>
      <w:r w:rsidR="00D66C57">
        <w:rPr>
          <w:rFonts w:ascii="Times New Roman" w:eastAsia="Calibri" w:hAnsi="Times New Roman" w:cs="Times New Roman"/>
          <w:color w:val="000000"/>
          <w:sz w:val="24"/>
          <w:szCs w:val="20"/>
          <w:lang w:eastAsia="ar-SA"/>
        </w:rPr>
        <w:t>a</w:t>
      </w:r>
      <w:r w:rsidRPr="00A07F29">
        <w:rPr>
          <w:rFonts w:ascii="Times New Roman" w:eastAsia="Calibri" w:hAnsi="Times New Roman" w:cs="Times New Roman"/>
          <w:color w:val="000000"/>
          <w:sz w:val="24"/>
          <w:szCs w:val="20"/>
          <w:lang w:eastAsia="ar-SA"/>
        </w:rPr>
        <w:t xml:space="preserve">iņu sugām. Stāvoši dobumaini koki un kritalas dažādā trūdēšanas pakāpē veido labvēlīgus apstākļus arī citām retām un aizsargājamām kukaiņu sugām. Šeit reģistrētas arī marmora </w:t>
      </w:r>
      <w:proofErr w:type="spellStart"/>
      <w:r w:rsidRPr="00A07F29">
        <w:rPr>
          <w:rFonts w:ascii="Times New Roman" w:eastAsia="Calibri" w:hAnsi="Times New Roman" w:cs="Times New Roman"/>
          <w:color w:val="000000"/>
          <w:sz w:val="24"/>
          <w:szCs w:val="20"/>
          <w:lang w:eastAsia="ar-SA"/>
        </w:rPr>
        <w:t>rožvaboles</w:t>
      </w:r>
      <w:proofErr w:type="spellEnd"/>
      <w:r w:rsidRPr="00A07F29">
        <w:rPr>
          <w:rFonts w:ascii="Times New Roman" w:eastAsia="Calibri" w:hAnsi="Times New Roman" w:cs="Times New Roman"/>
          <w:color w:val="000000"/>
          <w:sz w:val="24"/>
          <w:szCs w:val="20"/>
          <w:lang w:eastAsia="ar-SA"/>
        </w:rPr>
        <w:t xml:space="preserve">, </w:t>
      </w:r>
      <w:r w:rsidRPr="00A07F29">
        <w:rPr>
          <w:rFonts w:ascii="Times New Roman" w:eastAsia="Calibri" w:hAnsi="Times New Roman" w:cs="Times New Roman"/>
          <w:iCs/>
          <w:color w:val="000000"/>
          <w:sz w:val="24"/>
          <w:szCs w:val="20"/>
          <w:lang w:eastAsia="ar-SA"/>
        </w:rPr>
        <w:t>rūsganā koksngrauža</w:t>
      </w:r>
      <w:r w:rsidRPr="00A07F29">
        <w:rPr>
          <w:rFonts w:ascii="Times New Roman" w:eastAsia="Calibri" w:hAnsi="Times New Roman" w:cs="Times New Roman"/>
          <w:color w:val="000000"/>
          <w:sz w:val="24"/>
          <w:szCs w:val="20"/>
          <w:lang w:eastAsia="ar-SA"/>
        </w:rPr>
        <w:t xml:space="preserve">, zilā </w:t>
      </w:r>
      <w:proofErr w:type="spellStart"/>
      <w:r w:rsidRPr="00A07F29">
        <w:rPr>
          <w:rFonts w:ascii="Times New Roman" w:eastAsia="Calibri" w:hAnsi="Times New Roman" w:cs="Times New Roman"/>
          <w:color w:val="000000"/>
          <w:sz w:val="24"/>
          <w:szCs w:val="20"/>
          <w:lang w:eastAsia="ar-SA"/>
        </w:rPr>
        <w:t>prauleņa</w:t>
      </w:r>
      <w:proofErr w:type="spellEnd"/>
      <w:r w:rsidRPr="00A07F29">
        <w:rPr>
          <w:rFonts w:ascii="Times New Roman" w:eastAsia="Calibri" w:hAnsi="Times New Roman" w:cs="Times New Roman"/>
          <w:color w:val="000000"/>
          <w:sz w:val="24"/>
          <w:szCs w:val="20"/>
          <w:lang w:eastAsia="ar-SA"/>
        </w:rPr>
        <w:t xml:space="preserve">, vītolu koksngrauža, arī blāvās briežvaboles atradnes. Līdzīga situācija ir arī Lazdukalnu upītes gravā, kur ir dabiski vecs, labi saglabājies, platlapju mežs, kura </w:t>
      </w:r>
      <w:proofErr w:type="spellStart"/>
      <w:r w:rsidRPr="00A07F29">
        <w:rPr>
          <w:rFonts w:ascii="Times New Roman" w:eastAsia="Calibri" w:hAnsi="Times New Roman" w:cs="Times New Roman"/>
          <w:color w:val="000000"/>
          <w:sz w:val="24"/>
          <w:szCs w:val="20"/>
          <w:lang w:eastAsia="ar-SA"/>
        </w:rPr>
        <w:t>kokaudzi</w:t>
      </w:r>
      <w:proofErr w:type="spellEnd"/>
      <w:r w:rsidRPr="00A07F29">
        <w:rPr>
          <w:rFonts w:ascii="Times New Roman" w:eastAsia="Calibri" w:hAnsi="Times New Roman" w:cs="Times New Roman"/>
          <w:color w:val="000000"/>
          <w:sz w:val="24"/>
          <w:szCs w:val="20"/>
          <w:lang w:eastAsia="ar-SA"/>
        </w:rPr>
        <w:t xml:space="preserve"> galvenokārt veido liepas</w:t>
      </w:r>
      <w:r w:rsidR="00A8139C">
        <w:rPr>
          <w:rFonts w:ascii="Times New Roman" w:eastAsia="Calibri" w:hAnsi="Times New Roman" w:cs="Times New Roman"/>
          <w:color w:val="000000"/>
          <w:sz w:val="24"/>
          <w:szCs w:val="20"/>
          <w:lang w:eastAsia="ar-SA"/>
        </w:rPr>
        <w:t>,</w:t>
      </w:r>
      <w:r w:rsidRPr="00A07F29">
        <w:rPr>
          <w:rFonts w:ascii="Times New Roman" w:eastAsia="Calibri" w:hAnsi="Times New Roman" w:cs="Times New Roman"/>
          <w:color w:val="000000"/>
          <w:sz w:val="24"/>
          <w:szCs w:val="20"/>
          <w:lang w:eastAsia="ar-SA"/>
        </w:rPr>
        <w:t xml:space="preserve"> retāk sastopamas kļavas, gobas un ozoli. Gravā ievākts arī lapkoku </w:t>
      </w:r>
      <w:proofErr w:type="spellStart"/>
      <w:r w:rsidRPr="00A07F29">
        <w:rPr>
          <w:rFonts w:ascii="Times New Roman" w:eastAsia="Calibri" w:hAnsi="Times New Roman" w:cs="Times New Roman"/>
          <w:color w:val="000000"/>
          <w:sz w:val="24"/>
          <w:szCs w:val="20"/>
          <w:lang w:eastAsia="ar-SA"/>
        </w:rPr>
        <w:t>praulgrauža</w:t>
      </w:r>
      <w:proofErr w:type="spellEnd"/>
      <w:r w:rsidRPr="00A07F29">
        <w:rPr>
          <w:rFonts w:ascii="Times New Roman" w:eastAsia="Calibri" w:hAnsi="Times New Roman" w:cs="Times New Roman"/>
          <w:color w:val="000000"/>
          <w:sz w:val="24"/>
          <w:szCs w:val="20"/>
          <w:lang w:eastAsia="ar-SA"/>
        </w:rPr>
        <w:t xml:space="preserve"> </w:t>
      </w:r>
      <w:proofErr w:type="spellStart"/>
      <w:r w:rsidRPr="00A07F29">
        <w:rPr>
          <w:rFonts w:ascii="Times New Roman" w:eastAsia="Calibri" w:hAnsi="Times New Roman" w:cs="Times New Roman"/>
          <w:i/>
          <w:color w:val="000000"/>
          <w:sz w:val="24"/>
          <w:szCs w:val="20"/>
          <w:lang w:eastAsia="ar-SA"/>
        </w:rPr>
        <w:t>Osmoderma</w:t>
      </w:r>
      <w:proofErr w:type="spellEnd"/>
      <w:r w:rsidRPr="00A07F29">
        <w:rPr>
          <w:rFonts w:ascii="Times New Roman" w:eastAsia="Calibri" w:hAnsi="Times New Roman" w:cs="Times New Roman"/>
          <w:i/>
          <w:color w:val="000000"/>
          <w:sz w:val="24"/>
          <w:szCs w:val="20"/>
          <w:lang w:eastAsia="ar-SA"/>
        </w:rPr>
        <w:t xml:space="preserve"> </w:t>
      </w:r>
      <w:proofErr w:type="spellStart"/>
      <w:r w:rsidRPr="00A07F29">
        <w:rPr>
          <w:rFonts w:ascii="Times New Roman" w:eastAsia="Calibri" w:hAnsi="Times New Roman" w:cs="Times New Roman"/>
          <w:i/>
          <w:color w:val="000000"/>
          <w:sz w:val="24"/>
          <w:szCs w:val="20"/>
          <w:lang w:eastAsia="ar-SA"/>
        </w:rPr>
        <w:t>barnabita</w:t>
      </w:r>
      <w:proofErr w:type="spellEnd"/>
      <w:r w:rsidRPr="00A07F29">
        <w:rPr>
          <w:rFonts w:ascii="Times New Roman" w:eastAsia="Calibri" w:hAnsi="Times New Roman" w:cs="Times New Roman"/>
          <w:color w:val="000000"/>
          <w:sz w:val="24"/>
          <w:szCs w:val="20"/>
          <w:lang w:eastAsia="ar-SA"/>
        </w:rPr>
        <w:t xml:space="preserve"> eksemplārs (</w:t>
      </w:r>
      <w:proofErr w:type="spellStart"/>
      <w:r w:rsidRPr="00A07F29">
        <w:rPr>
          <w:rFonts w:ascii="Times New Roman" w:eastAsia="Calibri" w:hAnsi="Times New Roman" w:cs="Times New Roman"/>
          <w:color w:val="000000"/>
          <w:sz w:val="24"/>
          <w:szCs w:val="20"/>
          <w:lang w:eastAsia="ar-SA"/>
        </w:rPr>
        <w:t>Barševskis</w:t>
      </w:r>
      <w:proofErr w:type="spellEnd"/>
      <w:r w:rsidR="000F4CF3">
        <w:rPr>
          <w:rFonts w:ascii="Times New Roman" w:eastAsia="Calibri" w:hAnsi="Times New Roman" w:cs="Times New Roman"/>
          <w:color w:val="000000"/>
          <w:sz w:val="24"/>
          <w:szCs w:val="20"/>
          <w:lang w:eastAsia="ar-SA"/>
        </w:rPr>
        <w:t xml:space="preserve"> A</w:t>
      </w:r>
      <w:r w:rsidR="00B47090">
        <w:rPr>
          <w:rFonts w:ascii="Times New Roman" w:eastAsia="Calibri" w:hAnsi="Times New Roman" w:cs="Times New Roman"/>
          <w:color w:val="000000"/>
          <w:sz w:val="24"/>
          <w:szCs w:val="20"/>
          <w:lang w:eastAsia="ar-SA"/>
        </w:rPr>
        <w:t>.</w:t>
      </w:r>
      <w:r w:rsidR="000F4CF3">
        <w:rPr>
          <w:rFonts w:ascii="Times New Roman" w:eastAsia="Calibri" w:hAnsi="Times New Roman" w:cs="Times New Roman"/>
          <w:color w:val="000000"/>
          <w:sz w:val="24"/>
          <w:szCs w:val="20"/>
          <w:lang w:eastAsia="ar-SA"/>
        </w:rPr>
        <w:t>,</w:t>
      </w:r>
      <w:r w:rsidRPr="00A07F29">
        <w:rPr>
          <w:rFonts w:ascii="Times New Roman" w:eastAsia="Calibri" w:hAnsi="Times New Roman" w:cs="Times New Roman"/>
          <w:color w:val="000000"/>
          <w:sz w:val="24"/>
          <w:szCs w:val="20"/>
          <w:lang w:eastAsia="ar-SA"/>
        </w:rPr>
        <w:t xml:space="preserve"> 1988). </w:t>
      </w:r>
    </w:p>
    <w:p w14:paraId="0FB97F2C" w14:textId="47FC920B" w:rsidR="0058206B" w:rsidRPr="00A07F29" w:rsidRDefault="00820821" w:rsidP="004E7341">
      <w:pPr>
        <w:autoSpaceDE w:val="0"/>
        <w:autoSpaceDN w:val="0"/>
        <w:adjustRightInd w:val="0"/>
        <w:spacing w:after="120" w:line="240" w:lineRule="auto"/>
        <w:ind w:firstLine="851"/>
        <w:jc w:val="both"/>
        <w:rPr>
          <w:rFonts w:ascii="Times New Roman" w:hAnsi="Times New Roman" w:cs="Times New Roman"/>
          <w:sz w:val="24"/>
          <w:szCs w:val="24"/>
        </w:rPr>
      </w:pPr>
      <w:r w:rsidRPr="00A07F29">
        <w:rPr>
          <w:rFonts w:ascii="Times New Roman" w:eastAsia="Calibri" w:hAnsi="Times New Roman" w:cs="Times New Roman"/>
          <w:color w:val="000000"/>
          <w:sz w:val="24"/>
          <w:szCs w:val="20"/>
          <w:lang w:eastAsia="ar-SA"/>
        </w:rPr>
        <w:t xml:space="preserve">AAA “Augšdaugava” ir viena no </w:t>
      </w:r>
      <w:proofErr w:type="spellStart"/>
      <w:r w:rsidRPr="00A07F29">
        <w:rPr>
          <w:rFonts w:ascii="Times New Roman" w:eastAsia="Calibri" w:hAnsi="Times New Roman" w:cs="Times New Roman"/>
          <w:i/>
          <w:color w:val="000000"/>
          <w:sz w:val="24"/>
          <w:szCs w:val="20"/>
          <w:lang w:eastAsia="ar-SA"/>
        </w:rPr>
        <w:t>Natura</w:t>
      </w:r>
      <w:proofErr w:type="spellEnd"/>
      <w:r w:rsidRPr="00A07F29">
        <w:rPr>
          <w:rFonts w:ascii="Times New Roman" w:eastAsia="Calibri" w:hAnsi="Times New Roman" w:cs="Times New Roman"/>
          <w:i/>
          <w:color w:val="000000"/>
          <w:sz w:val="24"/>
          <w:szCs w:val="20"/>
          <w:lang w:eastAsia="ar-SA"/>
        </w:rPr>
        <w:t xml:space="preserve"> 2000</w:t>
      </w:r>
      <w:r w:rsidRPr="00A07F29">
        <w:rPr>
          <w:rFonts w:ascii="Times New Roman" w:eastAsia="Calibri" w:hAnsi="Times New Roman" w:cs="Times New Roman"/>
          <w:color w:val="000000"/>
          <w:sz w:val="24"/>
          <w:szCs w:val="20"/>
          <w:lang w:eastAsia="ar-SA"/>
        </w:rPr>
        <w:t xml:space="preserve"> teritorijām, kurām ir tikusi rosināta robežu paplašināšana, lai </w:t>
      </w:r>
      <w:proofErr w:type="spellStart"/>
      <w:r w:rsidRPr="00A07F29">
        <w:rPr>
          <w:rFonts w:ascii="Times New Roman" w:eastAsia="Calibri" w:hAnsi="Times New Roman" w:cs="Times New Roman"/>
          <w:i/>
          <w:color w:val="000000"/>
          <w:sz w:val="24"/>
          <w:szCs w:val="20"/>
          <w:lang w:eastAsia="ar-SA"/>
        </w:rPr>
        <w:t>Natura</w:t>
      </w:r>
      <w:proofErr w:type="spellEnd"/>
      <w:r w:rsidRPr="00A07F29">
        <w:rPr>
          <w:rFonts w:ascii="Times New Roman" w:eastAsia="Calibri" w:hAnsi="Times New Roman" w:cs="Times New Roman"/>
          <w:i/>
          <w:color w:val="000000"/>
          <w:sz w:val="24"/>
          <w:szCs w:val="20"/>
          <w:lang w:eastAsia="ar-SA"/>
        </w:rPr>
        <w:t xml:space="preserve"> 2000</w:t>
      </w:r>
      <w:r w:rsidRPr="00A07F29">
        <w:rPr>
          <w:rFonts w:ascii="Times New Roman" w:eastAsia="Calibri" w:hAnsi="Times New Roman" w:cs="Times New Roman"/>
          <w:color w:val="000000"/>
          <w:sz w:val="24"/>
          <w:szCs w:val="20"/>
          <w:lang w:eastAsia="ar-SA"/>
        </w:rPr>
        <w:t xml:space="preserve"> teritorijā tiktu iekļautas arī AAA “Augšdaugava” piegulošajā teritorijā konstatētās lapkoku </w:t>
      </w:r>
      <w:proofErr w:type="spellStart"/>
      <w:r w:rsidRPr="00A07F29">
        <w:rPr>
          <w:rFonts w:ascii="Times New Roman" w:eastAsia="Calibri" w:hAnsi="Times New Roman" w:cs="Times New Roman"/>
          <w:color w:val="000000"/>
          <w:sz w:val="24"/>
          <w:szCs w:val="20"/>
          <w:lang w:eastAsia="ar-SA"/>
        </w:rPr>
        <w:t>praulgrauža</w:t>
      </w:r>
      <w:proofErr w:type="spellEnd"/>
      <w:r w:rsidRPr="00A07F29">
        <w:rPr>
          <w:rFonts w:ascii="Times New Roman" w:eastAsia="Calibri" w:hAnsi="Times New Roman" w:cs="Times New Roman"/>
          <w:color w:val="000000"/>
          <w:sz w:val="24"/>
          <w:szCs w:val="20"/>
          <w:lang w:eastAsia="ar-SA"/>
        </w:rPr>
        <w:t xml:space="preserve"> </w:t>
      </w:r>
      <w:proofErr w:type="spellStart"/>
      <w:r w:rsidRPr="00A07F29">
        <w:rPr>
          <w:rFonts w:ascii="Times New Roman" w:eastAsia="Calibri" w:hAnsi="Times New Roman" w:cs="Times New Roman"/>
          <w:i/>
          <w:color w:val="000000"/>
          <w:sz w:val="24"/>
          <w:szCs w:val="20"/>
          <w:lang w:eastAsia="ar-SA"/>
        </w:rPr>
        <w:t>Osmoderma</w:t>
      </w:r>
      <w:proofErr w:type="spellEnd"/>
      <w:r w:rsidRPr="00A07F29">
        <w:rPr>
          <w:rFonts w:ascii="Times New Roman" w:eastAsia="Calibri" w:hAnsi="Times New Roman" w:cs="Times New Roman"/>
          <w:i/>
          <w:color w:val="000000"/>
          <w:sz w:val="24"/>
          <w:szCs w:val="20"/>
          <w:lang w:eastAsia="ar-SA"/>
        </w:rPr>
        <w:t xml:space="preserve"> </w:t>
      </w:r>
      <w:proofErr w:type="spellStart"/>
      <w:r w:rsidRPr="00A07F29">
        <w:rPr>
          <w:rFonts w:ascii="Times New Roman" w:eastAsia="Calibri" w:hAnsi="Times New Roman" w:cs="Times New Roman"/>
          <w:i/>
          <w:color w:val="000000"/>
          <w:sz w:val="24"/>
          <w:szCs w:val="20"/>
          <w:lang w:eastAsia="ar-SA"/>
        </w:rPr>
        <w:t>barnabita</w:t>
      </w:r>
      <w:proofErr w:type="spellEnd"/>
      <w:r w:rsidRPr="00A07F29">
        <w:rPr>
          <w:rFonts w:ascii="Times New Roman" w:eastAsia="Calibri" w:hAnsi="Times New Roman" w:cs="Times New Roman"/>
          <w:i/>
          <w:color w:val="000000"/>
          <w:sz w:val="24"/>
          <w:szCs w:val="20"/>
          <w:lang w:eastAsia="ar-SA"/>
        </w:rPr>
        <w:t xml:space="preserve"> </w:t>
      </w:r>
      <w:r w:rsidRPr="00A07F29">
        <w:rPr>
          <w:rFonts w:ascii="Times New Roman" w:eastAsia="Calibri" w:hAnsi="Times New Roman" w:cs="Times New Roman"/>
          <w:color w:val="000000"/>
          <w:sz w:val="24"/>
          <w:szCs w:val="20"/>
          <w:lang w:eastAsia="ar-SA"/>
        </w:rPr>
        <w:t>atradnes (Kalniņš</w:t>
      </w:r>
      <w:r w:rsidR="001E6F03">
        <w:rPr>
          <w:rFonts w:ascii="Times New Roman" w:eastAsia="Calibri" w:hAnsi="Times New Roman" w:cs="Times New Roman"/>
          <w:color w:val="000000"/>
          <w:sz w:val="24"/>
          <w:szCs w:val="20"/>
          <w:lang w:eastAsia="ar-SA"/>
        </w:rPr>
        <w:t xml:space="preserve"> M.</w:t>
      </w:r>
      <w:r w:rsidRPr="00A07F29">
        <w:rPr>
          <w:rFonts w:ascii="Times New Roman" w:eastAsia="Calibri" w:hAnsi="Times New Roman" w:cs="Times New Roman"/>
          <w:color w:val="000000"/>
          <w:sz w:val="24"/>
          <w:szCs w:val="20"/>
          <w:lang w:eastAsia="ar-SA"/>
        </w:rPr>
        <w:t xml:space="preserve">, 2014). </w:t>
      </w:r>
      <w:r w:rsidRPr="00A07F29">
        <w:rPr>
          <w:rFonts w:ascii="Times New Roman" w:hAnsi="Times New Roman" w:cs="Times New Roman"/>
          <w:sz w:val="24"/>
          <w:szCs w:val="24"/>
        </w:rPr>
        <w:t xml:space="preserve">Suga konstatēta divās liepās alejā starp šoseju un dzelzceļa pārbrauktuvi pie </w:t>
      </w:r>
      <w:proofErr w:type="spellStart"/>
      <w:r w:rsidRPr="00A07F29">
        <w:rPr>
          <w:rFonts w:ascii="Times New Roman" w:hAnsi="Times New Roman" w:cs="Times New Roman"/>
          <w:sz w:val="24"/>
          <w:szCs w:val="24"/>
        </w:rPr>
        <w:t>Jezufovas</w:t>
      </w:r>
      <w:proofErr w:type="spellEnd"/>
      <w:r w:rsidRPr="00A07F29">
        <w:rPr>
          <w:rFonts w:ascii="Times New Roman" w:hAnsi="Times New Roman" w:cs="Times New Roman"/>
          <w:sz w:val="24"/>
          <w:szCs w:val="24"/>
        </w:rPr>
        <w:t xml:space="preserve"> parka. Kopā ar </w:t>
      </w:r>
      <w:proofErr w:type="spellStart"/>
      <w:r w:rsidRPr="00A07F29">
        <w:rPr>
          <w:rFonts w:ascii="Times New Roman" w:hAnsi="Times New Roman" w:cs="Times New Roman"/>
          <w:sz w:val="24"/>
          <w:szCs w:val="24"/>
        </w:rPr>
        <w:t>Jezufovas</w:t>
      </w:r>
      <w:proofErr w:type="spellEnd"/>
      <w:r w:rsidRPr="00A07F29">
        <w:rPr>
          <w:rFonts w:ascii="Times New Roman" w:hAnsi="Times New Roman" w:cs="Times New Roman"/>
          <w:sz w:val="24"/>
          <w:szCs w:val="24"/>
        </w:rPr>
        <w:t xml:space="preserve"> parku un gravu, kas ir </w:t>
      </w:r>
      <w:proofErr w:type="spellStart"/>
      <w:r w:rsidRPr="00A07F29">
        <w:rPr>
          <w:rFonts w:ascii="Times New Roman" w:hAnsi="Times New Roman" w:cs="Times New Roman"/>
          <w:i/>
          <w:sz w:val="24"/>
          <w:szCs w:val="24"/>
        </w:rPr>
        <w:t>Natura</w:t>
      </w:r>
      <w:proofErr w:type="spellEnd"/>
      <w:r w:rsidRPr="00A07F29">
        <w:rPr>
          <w:rFonts w:ascii="Times New Roman" w:hAnsi="Times New Roman" w:cs="Times New Roman"/>
          <w:i/>
          <w:sz w:val="24"/>
          <w:szCs w:val="24"/>
        </w:rPr>
        <w:t xml:space="preserve"> 2000</w:t>
      </w:r>
      <w:r w:rsidRPr="00A07F29">
        <w:rPr>
          <w:rFonts w:ascii="Times New Roman" w:hAnsi="Times New Roman" w:cs="Times New Roman"/>
          <w:sz w:val="24"/>
          <w:szCs w:val="24"/>
        </w:rPr>
        <w:t xml:space="preserve"> teritorijā un Daugavas ielejas daļu atradnē (poligonā) lapkoku </w:t>
      </w:r>
      <w:proofErr w:type="spellStart"/>
      <w:r w:rsidRPr="00A07F29">
        <w:rPr>
          <w:rFonts w:ascii="Times New Roman" w:hAnsi="Times New Roman" w:cs="Times New Roman"/>
          <w:sz w:val="24"/>
          <w:szCs w:val="24"/>
        </w:rPr>
        <w:t>praulgrauzis</w:t>
      </w:r>
      <w:proofErr w:type="spellEnd"/>
      <w:r w:rsidRPr="00A07F29">
        <w:rPr>
          <w:rFonts w:ascii="Times New Roman" w:hAnsi="Times New Roman" w:cs="Times New Roman"/>
          <w:sz w:val="24"/>
          <w:szCs w:val="24"/>
        </w:rPr>
        <w:t xml:space="preserve"> konstatēts vismaz </w:t>
      </w:r>
      <w:r w:rsidR="007D5477">
        <w:rPr>
          <w:rFonts w:ascii="Times New Roman" w:hAnsi="Times New Roman" w:cs="Times New Roman"/>
          <w:sz w:val="24"/>
          <w:szCs w:val="24"/>
        </w:rPr>
        <w:t>deviņos</w:t>
      </w:r>
      <w:r w:rsidRPr="00A07F29">
        <w:rPr>
          <w:rFonts w:ascii="Times New Roman" w:hAnsi="Times New Roman" w:cs="Times New Roman"/>
          <w:sz w:val="24"/>
          <w:szCs w:val="24"/>
        </w:rPr>
        <w:t xml:space="preserve"> kokos. Atradnes (poligona) platība 105</w:t>
      </w:r>
      <w:r w:rsidR="007D5477">
        <w:rPr>
          <w:rFonts w:ascii="Times New Roman" w:hAnsi="Times New Roman" w:cs="Times New Roman"/>
          <w:sz w:val="24"/>
          <w:szCs w:val="24"/>
        </w:rPr>
        <w:t> </w:t>
      </w:r>
      <w:r w:rsidRPr="00A07F29">
        <w:rPr>
          <w:rFonts w:ascii="Times New Roman" w:hAnsi="Times New Roman" w:cs="Times New Roman"/>
          <w:sz w:val="24"/>
          <w:szCs w:val="24"/>
        </w:rPr>
        <w:t>ha</w:t>
      </w:r>
      <w:r w:rsidR="0058206B" w:rsidRPr="00A07F29">
        <w:rPr>
          <w:rFonts w:ascii="Times New Roman" w:hAnsi="Times New Roman" w:cs="Times New Roman"/>
          <w:sz w:val="24"/>
          <w:szCs w:val="24"/>
        </w:rPr>
        <w:t>, s</w:t>
      </w:r>
      <w:r w:rsidRPr="00A07F29">
        <w:rPr>
          <w:rFonts w:ascii="Times New Roman" w:hAnsi="Times New Roman" w:cs="Times New Roman"/>
          <w:sz w:val="24"/>
          <w:szCs w:val="24"/>
        </w:rPr>
        <w:t xml:space="preserve">ugas attīstībai piemērotie koki </w:t>
      </w:r>
      <w:r w:rsidR="008F3647" w:rsidRPr="00A07F29">
        <w:rPr>
          <w:rFonts w:ascii="Times New Roman" w:hAnsi="Times New Roman" w:cs="Times New Roman"/>
          <w:sz w:val="24"/>
          <w:szCs w:val="24"/>
        </w:rPr>
        <w:t xml:space="preserve">vairāk par </w:t>
      </w:r>
      <w:r w:rsidRPr="00A07F29">
        <w:rPr>
          <w:rFonts w:ascii="Times New Roman" w:hAnsi="Times New Roman" w:cs="Times New Roman"/>
          <w:sz w:val="24"/>
          <w:szCs w:val="24"/>
        </w:rPr>
        <w:t>190 (Kalniņš</w:t>
      </w:r>
      <w:r w:rsidR="007D5477">
        <w:rPr>
          <w:rFonts w:ascii="Times New Roman" w:hAnsi="Times New Roman" w:cs="Times New Roman"/>
          <w:sz w:val="24"/>
          <w:szCs w:val="24"/>
        </w:rPr>
        <w:t xml:space="preserve"> M.</w:t>
      </w:r>
      <w:r w:rsidRPr="00A07F29">
        <w:rPr>
          <w:rFonts w:ascii="Times New Roman" w:hAnsi="Times New Roman" w:cs="Times New Roman"/>
          <w:sz w:val="24"/>
          <w:szCs w:val="24"/>
        </w:rPr>
        <w:t xml:space="preserve">, 2014). Rekomendējams </w:t>
      </w:r>
      <w:proofErr w:type="spellStart"/>
      <w:r w:rsidRPr="00A07F29">
        <w:rPr>
          <w:rFonts w:ascii="Times New Roman" w:hAnsi="Times New Roman" w:cs="Times New Roman"/>
          <w:i/>
          <w:sz w:val="24"/>
          <w:szCs w:val="24"/>
        </w:rPr>
        <w:t>Natura</w:t>
      </w:r>
      <w:proofErr w:type="spellEnd"/>
      <w:r w:rsidRPr="00A07F29">
        <w:rPr>
          <w:rFonts w:ascii="Times New Roman" w:hAnsi="Times New Roman" w:cs="Times New Roman"/>
          <w:i/>
          <w:sz w:val="24"/>
          <w:szCs w:val="24"/>
        </w:rPr>
        <w:t xml:space="preserve"> 2000</w:t>
      </w:r>
      <w:r w:rsidRPr="00A07F29">
        <w:rPr>
          <w:rFonts w:ascii="Times New Roman" w:hAnsi="Times New Roman" w:cs="Times New Roman"/>
          <w:sz w:val="24"/>
          <w:szCs w:val="24"/>
        </w:rPr>
        <w:t xml:space="preserve"> teritorijā iekļaut liepu alej</w:t>
      </w:r>
      <w:r w:rsidR="00493B9F">
        <w:rPr>
          <w:rFonts w:ascii="Times New Roman" w:hAnsi="Times New Roman" w:cs="Times New Roman"/>
          <w:sz w:val="24"/>
          <w:szCs w:val="24"/>
        </w:rPr>
        <w:t>u</w:t>
      </w:r>
      <w:r w:rsidRPr="00A07F29">
        <w:rPr>
          <w:rFonts w:ascii="Times New Roman" w:hAnsi="Times New Roman" w:cs="Times New Roman"/>
          <w:sz w:val="24"/>
          <w:szCs w:val="24"/>
        </w:rPr>
        <w:t xml:space="preserve"> starp šoseju un dzelzceļu un mājvietas apstādījumus </w:t>
      </w:r>
      <w:r w:rsidR="0058206B" w:rsidRPr="00A07F29">
        <w:rPr>
          <w:rFonts w:ascii="Times New Roman" w:hAnsi="Times New Roman" w:cs="Times New Roman"/>
          <w:sz w:val="24"/>
          <w:szCs w:val="24"/>
        </w:rPr>
        <w:t>12</w:t>
      </w:r>
      <w:r w:rsidR="00D42F90">
        <w:rPr>
          <w:rFonts w:ascii="Times New Roman" w:hAnsi="Times New Roman" w:cs="Times New Roman"/>
          <w:sz w:val="24"/>
          <w:szCs w:val="24"/>
        </w:rPr>
        <w:t> </w:t>
      </w:r>
      <w:r w:rsidR="0058206B" w:rsidRPr="00A07F29">
        <w:rPr>
          <w:rFonts w:ascii="Times New Roman" w:hAnsi="Times New Roman" w:cs="Times New Roman"/>
          <w:sz w:val="24"/>
          <w:szCs w:val="24"/>
        </w:rPr>
        <w:t xml:space="preserve">ha platībā </w:t>
      </w:r>
      <w:r w:rsidRPr="00A07F29">
        <w:rPr>
          <w:rFonts w:ascii="Times New Roman" w:hAnsi="Times New Roman" w:cs="Times New Roman"/>
          <w:sz w:val="24"/>
          <w:szCs w:val="24"/>
        </w:rPr>
        <w:t>(</w:t>
      </w:r>
      <w:r w:rsidR="00D42F90">
        <w:rPr>
          <w:rFonts w:ascii="Times New Roman" w:hAnsi="Times New Roman" w:cs="Times New Roman"/>
          <w:sz w:val="24"/>
          <w:szCs w:val="24"/>
        </w:rPr>
        <w:t>s</w:t>
      </w:r>
      <w:r w:rsidR="004E7341" w:rsidRPr="00A07F29">
        <w:rPr>
          <w:rFonts w:ascii="Times New Roman" w:hAnsi="Times New Roman" w:cs="Times New Roman"/>
          <w:sz w:val="24"/>
          <w:szCs w:val="24"/>
        </w:rPr>
        <w:t>kat. A.3.1.</w:t>
      </w:r>
      <w:r w:rsidR="00D42F90">
        <w:rPr>
          <w:rFonts w:ascii="Times New Roman" w:hAnsi="Times New Roman" w:cs="Times New Roman"/>
          <w:sz w:val="24"/>
          <w:szCs w:val="24"/>
        </w:rPr>
        <w:t> </w:t>
      </w:r>
      <w:r w:rsidR="004E7341" w:rsidRPr="00A07F29">
        <w:rPr>
          <w:rFonts w:ascii="Times New Roman" w:hAnsi="Times New Roman" w:cs="Times New Roman"/>
          <w:sz w:val="24"/>
          <w:szCs w:val="24"/>
        </w:rPr>
        <w:t>pasākumu 5.3.</w:t>
      </w:r>
      <w:r w:rsidR="00D42F90">
        <w:rPr>
          <w:rFonts w:ascii="Times New Roman" w:hAnsi="Times New Roman" w:cs="Times New Roman"/>
          <w:sz w:val="24"/>
          <w:szCs w:val="24"/>
        </w:rPr>
        <w:t> </w:t>
      </w:r>
      <w:r w:rsidR="004E7341" w:rsidRPr="00A07F29">
        <w:rPr>
          <w:rFonts w:ascii="Times New Roman" w:hAnsi="Times New Roman" w:cs="Times New Roman"/>
          <w:sz w:val="24"/>
          <w:szCs w:val="24"/>
        </w:rPr>
        <w:t>nodaļā</w:t>
      </w:r>
      <w:r w:rsidRPr="00A07F29">
        <w:rPr>
          <w:rFonts w:ascii="Times New Roman" w:hAnsi="Times New Roman" w:cs="Times New Roman"/>
          <w:sz w:val="24"/>
          <w:szCs w:val="24"/>
        </w:rPr>
        <w:t>).</w:t>
      </w:r>
    </w:p>
    <w:p w14:paraId="7C977465" w14:textId="38FB850B" w:rsidR="00820821" w:rsidRPr="00FE15F0" w:rsidRDefault="00820821" w:rsidP="00FE15F0">
      <w:pPr>
        <w:autoSpaceDE w:val="0"/>
        <w:autoSpaceDN w:val="0"/>
        <w:adjustRightInd w:val="0"/>
        <w:spacing w:after="12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t>Sugas dzīvotnes uzlabošanai ilgtermiņā nepieciešama sugas dzīvotnes plānošana (potenciālo koku kartēšana, atēnošana u</w:t>
      </w:r>
      <w:r w:rsidR="00CA7016">
        <w:rPr>
          <w:rFonts w:ascii="Times New Roman" w:hAnsi="Times New Roman" w:cs="Times New Roman"/>
          <w:sz w:val="24"/>
          <w:szCs w:val="24"/>
        </w:rPr>
        <w:t>.</w:t>
      </w:r>
      <w:r w:rsidRPr="00A07F29">
        <w:rPr>
          <w:rFonts w:ascii="Times New Roman" w:hAnsi="Times New Roman" w:cs="Times New Roman"/>
          <w:sz w:val="24"/>
          <w:szCs w:val="24"/>
        </w:rPr>
        <w:t>tml.) Daugavas ielejas nogāzes gravās.</w:t>
      </w:r>
    </w:p>
    <w:p w14:paraId="074BD9FB" w14:textId="1AE2CD65" w:rsidR="009072CE" w:rsidRPr="00A07F29" w:rsidRDefault="009072CE" w:rsidP="00390520">
      <w:pPr>
        <w:autoSpaceDE w:val="0"/>
        <w:autoSpaceDN w:val="0"/>
        <w:adjustRightInd w:val="0"/>
        <w:spacing w:after="120" w:line="240" w:lineRule="auto"/>
        <w:ind w:firstLine="851"/>
        <w:jc w:val="both"/>
        <w:rPr>
          <w:rFonts w:ascii="Times New Roman" w:eastAsia="Calibri" w:hAnsi="Times New Roman" w:cs="Times New Roman"/>
          <w:color w:val="000000"/>
          <w:sz w:val="24"/>
          <w:szCs w:val="20"/>
          <w:lang w:eastAsia="ar-SA"/>
        </w:rPr>
      </w:pPr>
      <w:r w:rsidRPr="00A07F29">
        <w:rPr>
          <w:rFonts w:ascii="Times New Roman" w:eastAsia="Calibri" w:hAnsi="Times New Roman" w:cs="Times New Roman"/>
          <w:color w:val="000000"/>
          <w:sz w:val="24"/>
          <w:szCs w:val="20"/>
          <w:lang w:eastAsia="ar-SA"/>
        </w:rPr>
        <w:t xml:space="preserve">AAA “Augšdaugava” ir konstatētas vairākas </w:t>
      </w:r>
      <w:proofErr w:type="spellStart"/>
      <w:r w:rsidRPr="00A07F29">
        <w:rPr>
          <w:rFonts w:ascii="Times New Roman" w:eastAsia="Calibri" w:hAnsi="Times New Roman" w:cs="Times New Roman"/>
          <w:b/>
          <w:color w:val="000000"/>
          <w:sz w:val="24"/>
          <w:szCs w:val="20"/>
          <w:lang w:eastAsia="ar-SA"/>
        </w:rPr>
        <w:t>Mannerheima</w:t>
      </w:r>
      <w:proofErr w:type="spellEnd"/>
      <w:r w:rsidRPr="00A07F29">
        <w:rPr>
          <w:rFonts w:ascii="Times New Roman" w:eastAsia="Calibri" w:hAnsi="Times New Roman" w:cs="Times New Roman"/>
          <w:b/>
          <w:color w:val="000000"/>
          <w:sz w:val="24"/>
          <w:szCs w:val="20"/>
          <w:lang w:eastAsia="ar-SA"/>
        </w:rPr>
        <w:t xml:space="preserve"> īsspārņa </w:t>
      </w:r>
      <w:proofErr w:type="spellStart"/>
      <w:r w:rsidRPr="00A07F29">
        <w:rPr>
          <w:rFonts w:ascii="Times New Roman" w:eastAsia="Calibri" w:hAnsi="Times New Roman" w:cs="Times New Roman"/>
          <w:b/>
          <w:i/>
          <w:color w:val="000000"/>
          <w:sz w:val="24"/>
          <w:szCs w:val="20"/>
          <w:lang w:eastAsia="ar-SA"/>
        </w:rPr>
        <w:t>Oxyporus</w:t>
      </w:r>
      <w:proofErr w:type="spellEnd"/>
      <w:r w:rsidRPr="00A07F29">
        <w:rPr>
          <w:rFonts w:ascii="Times New Roman" w:eastAsia="Calibri" w:hAnsi="Times New Roman" w:cs="Times New Roman"/>
          <w:b/>
          <w:i/>
          <w:color w:val="000000"/>
          <w:sz w:val="24"/>
          <w:szCs w:val="20"/>
          <w:lang w:eastAsia="ar-SA"/>
        </w:rPr>
        <w:t xml:space="preserve"> </w:t>
      </w:r>
      <w:proofErr w:type="spellStart"/>
      <w:r w:rsidRPr="00A07F29">
        <w:rPr>
          <w:rFonts w:ascii="Times New Roman" w:eastAsia="Calibri" w:hAnsi="Times New Roman" w:cs="Times New Roman"/>
          <w:b/>
          <w:i/>
          <w:color w:val="000000"/>
          <w:sz w:val="24"/>
          <w:szCs w:val="20"/>
          <w:lang w:eastAsia="ar-SA"/>
        </w:rPr>
        <w:t>mannerheimii</w:t>
      </w:r>
      <w:proofErr w:type="spellEnd"/>
      <w:r w:rsidRPr="00A07F29">
        <w:rPr>
          <w:rFonts w:ascii="Times New Roman" w:eastAsia="Calibri" w:hAnsi="Times New Roman" w:cs="Times New Roman"/>
          <w:color w:val="000000"/>
          <w:sz w:val="24"/>
          <w:szCs w:val="20"/>
          <w:lang w:eastAsia="ar-SA"/>
        </w:rPr>
        <w:t xml:space="preserve"> atradnes. No tām viena Tartaka meža masīvā, otra pie </w:t>
      </w:r>
      <w:proofErr w:type="spellStart"/>
      <w:r w:rsidRPr="00A07F29">
        <w:rPr>
          <w:rFonts w:ascii="Times New Roman" w:eastAsia="Calibri" w:hAnsi="Times New Roman" w:cs="Times New Roman"/>
          <w:color w:val="000000"/>
          <w:sz w:val="24"/>
          <w:szCs w:val="20"/>
          <w:lang w:eastAsia="ar-SA"/>
        </w:rPr>
        <w:t>Saučenku</w:t>
      </w:r>
      <w:proofErr w:type="spellEnd"/>
      <w:r w:rsidRPr="00A07F29">
        <w:rPr>
          <w:rFonts w:ascii="Times New Roman" w:eastAsia="Calibri" w:hAnsi="Times New Roman" w:cs="Times New Roman"/>
          <w:color w:val="000000"/>
          <w:sz w:val="24"/>
          <w:szCs w:val="20"/>
          <w:lang w:eastAsia="ar-SA"/>
        </w:rPr>
        <w:t xml:space="preserve"> ezera. Sugai nav tiešas saistības ar atmirušo koksni. Tā ir sastopama ēnainos, vidēji mitros mežos ar dažādas pakāpes trūdošām kritalām, kur parasti ir liela sēņu daudzveidība. Sugai piemērotākie ir meži ar lapkoku un egles klātbūtni. Sugai īpaši piemēroti ir dabiski, maz pārveidoti jaukti un lapkoku meži, kur parasti sēņu daudzveidība ir augstāka nekā cilvēka ietekmētos mežos (</w:t>
      </w:r>
      <w:r w:rsidR="00AA235C">
        <w:rPr>
          <w:rFonts w:ascii="Times New Roman" w:eastAsia="Calibri" w:hAnsi="Times New Roman" w:cs="Times New Roman"/>
          <w:color w:val="000000"/>
          <w:sz w:val="24"/>
          <w:szCs w:val="20"/>
          <w:lang w:eastAsia="ar-SA"/>
        </w:rPr>
        <w:t>Vilks K.</w:t>
      </w:r>
      <w:r w:rsidRPr="00A07F29">
        <w:rPr>
          <w:rFonts w:ascii="Times New Roman" w:eastAsia="Calibri" w:hAnsi="Times New Roman" w:cs="Times New Roman"/>
          <w:color w:val="000000"/>
          <w:sz w:val="24"/>
          <w:szCs w:val="20"/>
          <w:lang w:eastAsia="ar-SA"/>
        </w:rPr>
        <w:t>,</w:t>
      </w:r>
      <w:r w:rsidR="00817858">
        <w:rPr>
          <w:rFonts w:ascii="Times New Roman" w:eastAsia="Calibri" w:hAnsi="Times New Roman" w:cs="Times New Roman"/>
          <w:color w:val="000000"/>
          <w:sz w:val="24"/>
          <w:szCs w:val="20"/>
          <w:lang w:eastAsia="ar-SA"/>
        </w:rPr>
        <w:t xml:space="preserve"> </w:t>
      </w:r>
      <w:proofErr w:type="spellStart"/>
      <w:r w:rsidR="00817858">
        <w:rPr>
          <w:rFonts w:ascii="Times New Roman" w:eastAsia="Calibri" w:hAnsi="Times New Roman" w:cs="Times New Roman"/>
          <w:color w:val="000000"/>
          <w:sz w:val="24"/>
          <w:szCs w:val="20"/>
          <w:lang w:eastAsia="ar-SA"/>
        </w:rPr>
        <w:t>et</w:t>
      </w:r>
      <w:proofErr w:type="spellEnd"/>
      <w:r w:rsidR="00817858">
        <w:rPr>
          <w:rFonts w:ascii="Times New Roman" w:eastAsia="Calibri" w:hAnsi="Times New Roman" w:cs="Times New Roman"/>
          <w:color w:val="000000"/>
          <w:sz w:val="24"/>
          <w:szCs w:val="20"/>
          <w:lang w:eastAsia="ar-SA"/>
        </w:rPr>
        <w:t xml:space="preserve"> </w:t>
      </w:r>
      <w:proofErr w:type="spellStart"/>
      <w:r w:rsidR="00817858">
        <w:rPr>
          <w:rFonts w:ascii="Times New Roman" w:eastAsia="Calibri" w:hAnsi="Times New Roman" w:cs="Times New Roman"/>
          <w:color w:val="000000"/>
          <w:sz w:val="24"/>
          <w:szCs w:val="20"/>
          <w:lang w:eastAsia="ar-SA"/>
        </w:rPr>
        <w:t>al</w:t>
      </w:r>
      <w:proofErr w:type="spellEnd"/>
      <w:r w:rsidR="00817858">
        <w:rPr>
          <w:rFonts w:ascii="Times New Roman" w:eastAsia="Calibri" w:hAnsi="Times New Roman" w:cs="Times New Roman"/>
          <w:color w:val="000000"/>
          <w:sz w:val="24"/>
          <w:szCs w:val="20"/>
          <w:lang w:eastAsia="ar-SA"/>
        </w:rPr>
        <w:t>.,</w:t>
      </w:r>
      <w:r w:rsidRPr="00A07F29">
        <w:rPr>
          <w:rFonts w:ascii="Times New Roman" w:eastAsia="Calibri" w:hAnsi="Times New Roman" w:cs="Times New Roman"/>
          <w:color w:val="000000"/>
          <w:sz w:val="24"/>
          <w:szCs w:val="20"/>
          <w:lang w:eastAsia="ar-SA"/>
        </w:rPr>
        <w:t xml:space="preserve"> 201</w:t>
      </w:r>
      <w:r w:rsidR="00817858">
        <w:rPr>
          <w:rFonts w:ascii="Times New Roman" w:eastAsia="Calibri" w:hAnsi="Times New Roman" w:cs="Times New Roman"/>
          <w:color w:val="000000"/>
          <w:sz w:val="24"/>
          <w:szCs w:val="20"/>
          <w:lang w:eastAsia="ar-SA"/>
        </w:rPr>
        <w:t>5</w:t>
      </w:r>
      <w:r w:rsidRPr="00A07F29">
        <w:rPr>
          <w:rFonts w:ascii="Times New Roman" w:eastAsia="Calibri" w:hAnsi="Times New Roman" w:cs="Times New Roman"/>
          <w:color w:val="000000"/>
          <w:sz w:val="24"/>
          <w:szCs w:val="20"/>
          <w:lang w:eastAsia="ar-SA"/>
        </w:rPr>
        <w:t>; Vilks</w:t>
      </w:r>
      <w:r w:rsidR="004F0E39">
        <w:rPr>
          <w:rFonts w:ascii="Times New Roman" w:eastAsia="Calibri" w:hAnsi="Times New Roman" w:cs="Times New Roman"/>
          <w:color w:val="000000"/>
          <w:sz w:val="24"/>
          <w:szCs w:val="20"/>
          <w:lang w:eastAsia="ar-SA"/>
        </w:rPr>
        <w:t xml:space="preserve"> K.,</w:t>
      </w:r>
      <w:r w:rsidRPr="00A07F29">
        <w:rPr>
          <w:rFonts w:ascii="Times New Roman" w:eastAsia="Calibri" w:hAnsi="Times New Roman" w:cs="Times New Roman"/>
          <w:color w:val="000000"/>
          <w:sz w:val="24"/>
          <w:szCs w:val="20"/>
          <w:lang w:eastAsia="ar-SA"/>
        </w:rPr>
        <w:t xml:space="preserve"> </w:t>
      </w:r>
      <w:r w:rsidR="004F0E39">
        <w:rPr>
          <w:rFonts w:ascii="Times New Roman" w:eastAsia="Calibri" w:hAnsi="Times New Roman" w:cs="Times New Roman"/>
          <w:color w:val="000000"/>
          <w:sz w:val="24"/>
          <w:szCs w:val="20"/>
          <w:lang w:eastAsia="ar-SA"/>
        </w:rPr>
        <w:t>et.al</w:t>
      </w:r>
      <w:r w:rsidR="00261652">
        <w:rPr>
          <w:rFonts w:ascii="Times New Roman" w:eastAsia="Calibri" w:hAnsi="Times New Roman" w:cs="Times New Roman"/>
          <w:color w:val="000000"/>
          <w:sz w:val="24"/>
          <w:szCs w:val="20"/>
          <w:lang w:eastAsia="ar-SA"/>
        </w:rPr>
        <w:t>.</w:t>
      </w:r>
      <w:r w:rsidRPr="00A07F29">
        <w:rPr>
          <w:rFonts w:ascii="Times New Roman" w:eastAsia="Calibri" w:hAnsi="Times New Roman" w:cs="Times New Roman"/>
          <w:color w:val="000000"/>
          <w:sz w:val="24"/>
          <w:szCs w:val="20"/>
          <w:lang w:eastAsia="ar-SA"/>
        </w:rPr>
        <w:t xml:space="preserve">, 2015). </w:t>
      </w:r>
      <w:proofErr w:type="spellStart"/>
      <w:r w:rsidRPr="00A07F29">
        <w:rPr>
          <w:rFonts w:ascii="Times New Roman" w:eastAsia="Calibri" w:hAnsi="Times New Roman" w:cs="Times New Roman"/>
          <w:color w:val="000000"/>
          <w:sz w:val="24"/>
          <w:szCs w:val="20"/>
          <w:lang w:eastAsia="ar-SA"/>
        </w:rPr>
        <w:t>Mannerheima</w:t>
      </w:r>
      <w:proofErr w:type="spellEnd"/>
      <w:r w:rsidRPr="00A07F29">
        <w:rPr>
          <w:rFonts w:ascii="Times New Roman" w:eastAsia="Calibri" w:hAnsi="Times New Roman" w:cs="Times New Roman"/>
          <w:color w:val="000000"/>
          <w:sz w:val="24"/>
          <w:szCs w:val="20"/>
          <w:lang w:eastAsia="ar-SA"/>
        </w:rPr>
        <w:t xml:space="preserve"> īsspārņa potenciālo izplatību AAA “Augšdaugava” nav iespējams modelēt, jo suga apdzīvo ļoti atšķirīgus biotopus un ir vairāk saistīta ar sēņu sugām, nevis konkrētām mežaudzēm, kuras tā apdzīvo.</w:t>
      </w:r>
    </w:p>
    <w:p w14:paraId="4D361066" w14:textId="5630DAE7" w:rsidR="00390520" w:rsidRPr="00A07F29" w:rsidRDefault="009072CE" w:rsidP="00390520">
      <w:pPr>
        <w:shd w:val="clear" w:color="auto" w:fill="FFFFFF"/>
        <w:suppressAutoHyphens/>
        <w:spacing w:after="120" w:line="240" w:lineRule="auto"/>
        <w:ind w:firstLine="851"/>
        <w:jc w:val="both"/>
        <w:rPr>
          <w:rFonts w:ascii="Times New Roman" w:eastAsia="Calibri" w:hAnsi="Times New Roman" w:cs="Times New Roman"/>
          <w:color w:val="000000"/>
          <w:sz w:val="24"/>
          <w:szCs w:val="24"/>
          <w:lang w:eastAsia="ar-SA"/>
        </w:rPr>
      </w:pPr>
      <w:r w:rsidRPr="00A07F29">
        <w:rPr>
          <w:rFonts w:ascii="Times New Roman" w:eastAsia="Calibri" w:hAnsi="Times New Roman" w:cs="Times New Roman"/>
          <w:b/>
          <w:bCs/>
          <w:iCs/>
          <w:color w:val="000000"/>
          <w:sz w:val="24"/>
          <w:szCs w:val="20"/>
          <w:lang w:eastAsia="ar-SA"/>
        </w:rPr>
        <w:t xml:space="preserve">Spožā skrejvabole </w:t>
      </w:r>
      <w:proofErr w:type="spellStart"/>
      <w:r w:rsidRPr="00A07F29">
        <w:rPr>
          <w:rFonts w:ascii="Times New Roman" w:eastAsia="Calibri" w:hAnsi="Times New Roman" w:cs="Times New Roman"/>
          <w:b/>
          <w:bCs/>
          <w:i/>
          <w:iCs/>
          <w:color w:val="000000"/>
          <w:sz w:val="24"/>
          <w:szCs w:val="20"/>
          <w:lang w:eastAsia="ar-SA"/>
        </w:rPr>
        <w:t>Carabus</w:t>
      </w:r>
      <w:proofErr w:type="spellEnd"/>
      <w:r w:rsidRPr="00A07F29">
        <w:rPr>
          <w:rFonts w:ascii="Times New Roman" w:eastAsia="Calibri" w:hAnsi="Times New Roman" w:cs="Times New Roman"/>
          <w:b/>
          <w:bCs/>
          <w:i/>
          <w:iCs/>
          <w:color w:val="000000"/>
          <w:sz w:val="24"/>
          <w:szCs w:val="20"/>
          <w:lang w:eastAsia="ar-SA"/>
        </w:rPr>
        <w:t xml:space="preserve"> </w:t>
      </w:r>
      <w:proofErr w:type="spellStart"/>
      <w:r w:rsidRPr="00A07F29">
        <w:rPr>
          <w:rFonts w:ascii="Times New Roman" w:eastAsia="Calibri" w:hAnsi="Times New Roman" w:cs="Times New Roman"/>
          <w:b/>
          <w:bCs/>
          <w:i/>
          <w:iCs/>
          <w:color w:val="000000"/>
          <w:sz w:val="24"/>
          <w:szCs w:val="20"/>
          <w:lang w:eastAsia="ar-SA"/>
        </w:rPr>
        <w:t>nitens</w:t>
      </w:r>
      <w:proofErr w:type="spellEnd"/>
      <w:r w:rsidRPr="00A07F29">
        <w:rPr>
          <w:rFonts w:ascii="Times New Roman" w:eastAsia="Calibri" w:hAnsi="Times New Roman" w:cs="Times New Roman"/>
          <w:bCs/>
          <w:i/>
          <w:iCs/>
          <w:color w:val="000000"/>
          <w:sz w:val="24"/>
          <w:szCs w:val="20"/>
          <w:lang w:eastAsia="ar-SA"/>
        </w:rPr>
        <w:t xml:space="preserve"> </w:t>
      </w:r>
      <w:r w:rsidRPr="00A07F29">
        <w:rPr>
          <w:rFonts w:ascii="Times New Roman" w:eastAsia="Calibri" w:hAnsi="Times New Roman" w:cs="Times New Roman"/>
          <w:bCs/>
          <w:color w:val="000000"/>
          <w:sz w:val="24"/>
          <w:szCs w:val="20"/>
          <w:lang w:eastAsia="ar-SA"/>
        </w:rPr>
        <w:t xml:space="preserve">Latvijā sastopama pārpurvotos mežos, mežmalās un purvos. Kāpuri un </w:t>
      </w:r>
      <w:proofErr w:type="spellStart"/>
      <w:r w:rsidRPr="00A07F29">
        <w:rPr>
          <w:rFonts w:ascii="Times New Roman" w:eastAsia="Calibri" w:hAnsi="Times New Roman" w:cs="Times New Roman"/>
          <w:bCs/>
          <w:color w:val="000000"/>
          <w:sz w:val="24"/>
          <w:szCs w:val="20"/>
          <w:lang w:eastAsia="ar-SA"/>
        </w:rPr>
        <w:t>imago</w:t>
      </w:r>
      <w:proofErr w:type="spellEnd"/>
      <w:r w:rsidRPr="00A07F29">
        <w:rPr>
          <w:rFonts w:ascii="Times New Roman" w:eastAsia="Calibri" w:hAnsi="Times New Roman" w:cs="Times New Roman"/>
          <w:bCs/>
          <w:color w:val="000000"/>
          <w:sz w:val="24"/>
          <w:szCs w:val="20"/>
          <w:lang w:eastAsia="ar-SA"/>
        </w:rPr>
        <w:t xml:space="preserve"> plēsīgi barojas</w:t>
      </w:r>
      <w:r w:rsidRPr="00A07F29">
        <w:rPr>
          <w:rFonts w:ascii="Times New Roman" w:eastAsia="Calibri" w:hAnsi="Times New Roman" w:cs="Times New Roman"/>
          <w:color w:val="000000"/>
          <w:sz w:val="24"/>
          <w:szCs w:val="20"/>
          <w:lang w:eastAsia="ar-SA"/>
        </w:rPr>
        <w:t xml:space="preserve"> ar augsnes bezmugurkaulniekiem. Zināmi tikai vēsturiski dati par šīs sugas sastopamību </w:t>
      </w:r>
      <w:r w:rsidR="00390520" w:rsidRPr="00A07F29">
        <w:rPr>
          <w:rFonts w:ascii="Times New Roman" w:eastAsia="Calibri" w:hAnsi="Times New Roman" w:cs="Times New Roman"/>
          <w:color w:val="000000"/>
          <w:sz w:val="24"/>
          <w:szCs w:val="20"/>
          <w:lang w:eastAsia="ar-SA"/>
        </w:rPr>
        <w:t>AAA “Augšdaugava”</w:t>
      </w:r>
      <w:r w:rsidRPr="00A07F29">
        <w:rPr>
          <w:rFonts w:ascii="Times New Roman" w:eastAsia="Calibri" w:hAnsi="Times New Roman" w:cs="Times New Roman"/>
          <w:color w:val="000000"/>
          <w:sz w:val="24"/>
          <w:szCs w:val="20"/>
          <w:lang w:eastAsia="ar-SA"/>
        </w:rPr>
        <w:t xml:space="preserve">, </w:t>
      </w:r>
      <w:r w:rsidR="00BF0E06" w:rsidRPr="00A07F29">
        <w:rPr>
          <w:rFonts w:ascii="Times New Roman" w:eastAsia="Calibri" w:hAnsi="Times New Roman" w:cs="Times New Roman"/>
          <w:color w:val="000000"/>
          <w:sz w:val="24"/>
          <w:szCs w:val="20"/>
          <w:lang w:eastAsia="ar-SA"/>
        </w:rPr>
        <w:t>DA plāna</w:t>
      </w:r>
      <w:r w:rsidRPr="00A07F29">
        <w:rPr>
          <w:rFonts w:ascii="Times New Roman" w:eastAsia="Calibri" w:hAnsi="Times New Roman" w:cs="Times New Roman"/>
          <w:color w:val="000000"/>
          <w:sz w:val="24"/>
          <w:szCs w:val="20"/>
          <w:lang w:eastAsia="ar-SA"/>
        </w:rPr>
        <w:t xml:space="preserve"> izstrādes laikā šī suga netika konstatēta.</w:t>
      </w:r>
    </w:p>
    <w:p w14:paraId="6C83B62C" w14:textId="10E514A7" w:rsidR="009072CE" w:rsidRPr="00A07F29" w:rsidRDefault="009072CE" w:rsidP="00390520">
      <w:pPr>
        <w:shd w:val="clear" w:color="auto" w:fill="FFFFFF"/>
        <w:suppressAutoHyphens/>
        <w:spacing w:after="120" w:line="240" w:lineRule="auto"/>
        <w:ind w:firstLine="851"/>
        <w:jc w:val="both"/>
        <w:rPr>
          <w:rFonts w:ascii="Times New Roman" w:eastAsia="Calibri" w:hAnsi="Times New Roman" w:cs="Times New Roman"/>
          <w:color w:val="000000"/>
          <w:sz w:val="24"/>
          <w:szCs w:val="24"/>
          <w:lang w:eastAsia="ar-SA"/>
        </w:rPr>
      </w:pPr>
      <w:r w:rsidRPr="00A07F29">
        <w:rPr>
          <w:rFonts w:ascii="Times New Roman" w:eastAsia="Calibri" w:hAnsi="Times New Roman" w:cs="Times New Roman"/>
          <w:color w:val="000000"/>
          <w:sz w:val="24"/>
          <w:szCs w:val="24"/>
          <w:lang w:eastAsia="ar-SA"/>
        </w:rPr>
        <w:t>AAA “Augšdaugava” ir sastopamas vairākas kukaiņu sugas, kas uzskatāmas par mežaudžu atslēgas biotopu (MAB) biotopu speciālistu sugām (BSS). Tās ir apdraudētās sugas, kuru pastāvēšana ir atkarīga no noteikta biotopa. Turklāt šīs sugas var izzust, ja šie biotopi tiks apsaimniekoti sugu pastāvēšanai nepiemērotā veidā (Lārmanis</w:t>
      </w:r>
      <w:r w:rsidR="00B66B7B">
        <w:rPr>
          <w:rFonts w:ascii="Times New Roman" w:eastAsia="Calibri" w:hAnsi="Times New Roman" w:cs="Times New Roman"/>
          <w:color w:val="000000"/>
          <w:sz w:val="24"/>
          <w:szCs w:val="24"/>
          <w:lang w:eastAsia="ar-SA"/>
        </w:rPr>
        <w:t xml:space="preserve"> V.,</w:t>
      </w:r>
      <w:r w:rsidRPr="00A07F29">
        <w:rPr>
          <w:rFonts w:ascii="Times New Roman" w:eastAsia="Calibri" w:hAnsi="Times New Roman" w:cs="Times New Roman"/>
          <w:color w:val="000000"/>
          <w:sz w:val="24"/>
          <w:szCs w:val="24"/>
          <w:lang w:eastAsia="ar-SA"/>
        </w:rPr>
        <w:t xml:space="preserve"> </w:t>
      </w:r>
      <w:r w:rsidR="00B66B7B">
        <w:rPr>
          <w:rFonts w:ascii="Times New Roman" w:eastAsia="Calibri" w:hAnsi="Times New Roman" w:cs="Times New Roman"/>
          <w:color w:val="000000"/>
          <w:sz w:val="24"/>
          <w:szCs w:val="24"/>
          <w:lang w:eastAsia="ar-SA"/>
        </w:rPr>
        <w:t>et.al</w:t>
      </w:r>
      <w:r w:rsidR="00C12DA3">
        <w:rPr>
          <w:rFonts w:ascii="Times New Roman" w:eastAsia="Calibri" w:hAnsi="Times New Roman" w:cs="Times New Roman"/>
          <w:color w:val="000000"/>
          <w:sz w:val="24"/>
          <w:szCs w:val="24"/>
          <w:lang w:eastAsia="ar-SA"/>
        </w:rPr>
        <w:t>.,</w:t>
      </w:r>
      <w:r w:rsidRPr="00A07F29">
        <w:rPr>
          <w:rFonts w:ascii="Times New Roman" w:eastAsia="Calibri" w:hAnsi="Times New Roman" w:cs="Times New Roman"/>
          <w:color w:val="000000"/>
          <w:sz w:val="24"/>
          <w:szCs w:val="24"/>
          <w:lang w:eastAsia="ar-SA"/>
        </w:rPr>
        <w:t xml:space="preserve"> 2000). </w:t>
      </w:r>
      <w:r w:rsidRPr="00A07F29">
        <w:rPr>
          <w:rFonts w:ascii="Times New Roman" w:eastAsia="Calibri" w:hAnsi="Times New Roman" w:cs="Times New Roman"/>
          <w:color w:val="000000"/>
          <w:sz w:val="24"/>
          <w:szCs w:val="20"/>
          <w:lang w:eastAsia="ar-SA"/>
        </w:rPr>
        <w:t xml:space="preserve">Visas šīs sugas ir </w:t>
      </w:r>
      <w:proofErr w:type="spellStart"/>
      <w:r w:rsidRPr="00A07F29">
        <w:rPr>
          <w:rFonts w:ascii="Times New Roman" w:eastAsia="Calibri" w:hAnsi="Times New Roman" w:cs="Times New Roman"/>
          <w:color w:val="000000"/>
          <w:sz w:val="24"/>
          <w:szCs w:val="20"/>
          <w:lang w:eastAsia="ar-SA"/>
        </w:rPr>
        <w:t>saproksīlās</w:t>
      </w:r>
      <w:proofErr w:type="spellEnd"/>
      <w:r w:rsidRPr="00A07F29">
        <w:rPr>
          <w:rFonts w:ascii="Times New Roman" w:eastAsia="Calibri" w:hAnsi="Times New Roman" w:cs="Times New Roman"/>
          <w:color w:val="000000"/>
          <w:sz w:val="24"/>
          <w:szCs w:val="20"/>
          <w:lang w:eastAsia="ar-SA"/>
        </w:rPr>
        <w:t xml:space="preserve"> vaboles, kuru attīstībai nepieciešama atmirusi koksne. </w:t>
      </w:r>
      <w:r w:rsidRPr="00A07F29">
        <w:rPr>
          <w:rFonts w:ascii="Times New Roman" w:eastAsia="Calibri" w:hAnsi="Times New Roman" w:cs="Times New Roman"/>
          <w:color w:val="000000"/>
          <w:sz w:val="24"/>
          <w:szCs w:val="24"/>
          <w:lang w:eastAsia="ar-SA"/>
        </w:rPr>
        <w:t xml:space="preserve">Šādas sugas ir: </w:t>
      </w:r>
      <w:r w:rsidRPr="00A07F29">
        <w:rPr>
          <w:rFonts w:ascii="Times New Roman" w:eastAsia="Calibri" w:hAnsi="Times New Roman" w:cs="Times New Roman"/>
          <w:b/>
          <w:color w:val="000000"/>
          <w:sz w:val="24"/>
          <w:szCs w:val="24"/>
          <w:lang w:eastAsia="ar-SA"/>
        </w:rPr>
        <w:t>iesarkanais sprakšķis</w:t>
      </w:r>
      <w:r w:rsidRPr="00A07F29">
        <w:rPr>
          <w:rFonts w:ascii="Times New Roman" w:eastAsia="Calibri" w:hAnsi="Times New Roman" w:cs="Times New Roman"/>
          <w:b/>
          <w:i/>
          <w:color w:val="000000"/>
          <w:sz w:val="24"/>
          <w:szCs w:val="24"/>
          <w:lang w:eastAsia="ar-SA"/>
        </w:rPr>
        <w:t xml:space="preserve"> </w:t>
      </w:r>
      <w:proofErr w:type="spellStart"/>
      <w:r w:rsidRPr="00A07F29">
        <w:rPr>
          <w:rFonts w:ascii="Times New Roman" w:eastAsia="Calibri" w:hAnsi="Times New Roman" w:cs="Times New Roman"/>
          <w:b/>
          <w:i/>
          <w:iCs/>
          <w:color w:val="000000"/>
          <w:sz w:val="24"/>
          <w:szCs w:val="24"/>
          <w:lang w:eastAsia="ar-SA"/>
        </w:rPr>
        <w:t>Ampedus</w:t>
      </w:r>
      <w:proofErr w:type="spellEnd"/>
      <w:r w:rsidRPr="00A07F29">
        <w:rPr>
          <w:rFonts w:ascii="Times New Roman" w:eastAsia="Calibri" w:hAnsi="Times New Roman" w:cs="Times New Roman"/>
          <w:b/>
          <w:i/>
          <w:iCs/>
          <w:color w:val="000000"/>
          <w:sz w:val="24"/>
          <w:szCs w:val="24"/>
          <w:lang w:eastAsia="ar-SA"/>
        </w:rPr>
        <w:t xml:space="preserve"> </w:t>
      </w:r>
      <w:proofErr w:type="spellStart"/>
      <w:r w:rsidRPr="00A07F29">
        <w:rPr>
          <w:rFonts w:ascii="Times New Roman" w:eastAsia="Calibri" w:hAnsi="Times New Roman" w:cs="Times New Roman"/>
          <w:b/>
          <w:i/>
          <w:iCs/>
          <w:color w:val="000000"/>
          <w:sz w:val="24"/>
          <w:szCs w:val="24"/>
          <w:lang w:eastAsia="ar-SA"/>
        </w:rPr>
        <w:t>erythrogonus</w:t>
      </w:r>
      <w:proofErr w:type="spellEnd"/>
      <w:r w:rsidRPr="00A07F29">
        <w:rPr>
          <w:rFonts w:ascii="Times New Roman" w:eastAsia="Calibri" w:hAnsi="Times New Roman" w:cs="Times New Roman"/>
          <w:i/>
          <w:iCs/>
          <w:color w:val="000000"/>
          <w:sz w:val="24"/>
          <w:szCs w:val="24"/>
          <w:lang w:eastAsia="ar-SA"/>
        </w:rPr>
        <w:t xml:space="preserve">, </w:t>
      </w:r>
      <w:r w:rsidRPr="00A07F29">
        <w:rPr>
          <w:rFonts w:ascii="Times New Roman" w:eastAsia="Calibri" w:hAnsi="Times New Roman" w:cs="Times New Roman"/>
          <w:b/>
          <w:iCs/>
          <w:color w:val="000000"/>
          <w:sz w:val="24"/>
          <w:szCs w:val="24"/>
          <w:lang w:eastAsia="ar-SA"/>
        </w:rPr>
        <w:t xml:space="preserve">alkšņu </w:t>
      </w:r>
      <w:proofErr w:type="spellStart"/>
      <w:r w:rsidRPr="00A07F29">
        <w:rPr>
          <w:rFonts w:ascii="Times New Roman" w:eastAsia="Calibri" w:hAnsi="Times New Roman" w:cs="Times New Roman"/>
          <w:b/>
          <w:iCs/>
          <w:color w:val="000000"/>
          <w:sz w:val="24"/>
          <w:szCs w:val="24"/>
          <w:lang w:eastAsia="ar-SA"/>
        </w:rPr>
        <w:t>krāšņvabole</w:t>
      </w:r>
      <w:proofErr w:type="spellEnd"/>
      <w:r w:rsidRPr="00A07F29">
        <w:rPr>
          <w:rFonts w:ascii="Times New Roman" w:eastAsia="Calibri" w:hAnsi="Times New Roman" w:cs="Times New Roman"/>
          <w:b/>
          <w:i/>
          <w:iCs/>
          <w:color w:val="000000"/>
          <w:sz w:val="24"/>
          <w:szCs w:val="24"/>
          <w:lang w:eastAsia="ar-SA"/>
        </w:rPr>
        <w:t xml:space="preserve"> </w:t>
      </w:r>
      <w:proofErr w:type="spellStart"/>
      <w:r w:rsidRPr="00A07F29">
        <w:rPr>
          <w:rFonts w:ascii="Times New Roman" w:eastAsia="Calibri" w:hAnsi="Times New Roman" w:cs="Times New Roman"/>
          <w:b/>
          <w:i/>
          <w:iCs/>
          <w:color w:val="000000"/>
          <w:sz w:val="24"/>
          <w:szCs w:val="24"/>
          <w:lang w:eastAsia="ar-SA"/>
        </w:rPr>
        <w:t>Dicerca</w:t>
      </w:r>
      <w:proofErr w:type="spellEnd"/>
      <w:r w:rsidRPr="00A07F29">
        <w:rPr>
          <w:rFonts w:ascii="Times New Roman" w:eastAsia="Calibri" w:hAnsi="Times New Roman" w:cs="Times New Roman"/>
          <w:b/>
          <w:i/>
          <w:iCs/>
          <w:color w:val="000000"/>
          <w:sz w:val="24"/>
          <w:szCs w:val="24"/>
          <w:lang w:eastAsia="ar-SA"/>
        </w:rPr>
        <w:t xml:space="preserve"> alni</w:t>
      </w:r>
      <w:r w:rsidRPr="00A07F29">
        <w:rPr>
          <w:rFonts w:ascii="Times New Roman" w:eastAsia="Calibri" w:hAnsi="Times New Roman" w:cs="Times New Roman"/>
          <w:iCs/>
          <w:color w:val="000000"/>
          <w:sz w:val="24"/>
          <w:szCs w:val="24"/>
          <w:lang w:eastAsia="ar-SA"/>
        </w:rPr>
        <w:t xml:space="preserve">, </w:t>
      </w:r>
      <w:r w:rsidRPr="00A07F29">
        <w:rPr>
          <w:rFonts w:ascii="Times New Roman" w:eastAsia="Calibri" w:hAnsi="Times New Roman" w:cs="Times New Roman"/>
          <w:b/>
          <w:iCs/>
          <w:color w:val="000000"/>
          <w:sz w:val="24"/>
          <w:szCs w:val="24"/>
          <w:lang w:eastAsia="ar-SA"/>
        </w:rPr>
        <w:t xml:space="preserve">tumšā </w:t>
      </w:r>
      <w:proofErr w:type="spellStart"/>
      <w:r w:rsidRPr="00A07F29">
        <w:rPr>
          <w:rFonts w:ascii="Times New Roman" w:eastAsia="Calibri" w:hAnsi="Times New Roman" w:cs="Times New Roman"/>
          <w:b/>
          <w:iCs/>
          <w:color w:val="000000"/>
          <w:sz w:val="24"/>
          <w:szCs w:val="24"/>
          <w:lang w:eastAsia="ar-SA"/>
        </w:rPr>
        <w:t>ēnvabole</w:t>
      </w:r>
      <w:proofErr w:type="spellEnd"/>
      <w:r w:rsidRPr="00A07F29">
        <w:rPr>
          <w:rFonts w:ascii="Times New Roman" w:eastAsia="Calibri" w:hAnsi="Times New Roman" w:cs="Times New Roman"/>
          <w:b/>
          <w:iCs/>
          <w:color w:val="000000"/>
          <w:sz w:val="24"/>
          <w:szCs w:val="24"/>
          <w:lang w:eastAsia="ar-SA"/>
        </w:rPr>
        <w:t xml:space="preserve"> </w:t>
      </w:r>
      <w:proofErr w:type="spellStart"/>
      <w:r w:rsidRPr="00A07F29">
        <w:rPr>
          <w:rFonts w:ascii="Times New Roman" w:eastAsia="Calibri" w:hAnsi="Times New Roman" w:cs="Times New Roman"/>
          <w:b/>
          <w:i/>
          <w:iCs/>
          <w:color w:val="000000"/>
          <w:sz w:val="24"/>
          <w:szCs w:val="24"/>
          <w:lang w:eastAsia="ar-SA"/>
        </w:rPr>
        <w:t>Melandrya</w:t>
      </w:r>
      <w:proofErr w:type="spellEnd"/>
      <w:r w:rsidRPr="00A07F29">
        <w:rPr>
          <w:rFonts w:ascii="Times New Roman" w:eastAsia="Calibri" w:hAnsi="Times New Roman" w:cs="Times New Roman"/>
          <w:b/>
          <w:i/>
          <w:iCs/>
          <w:color w:val="000000"/>
          <w:sz w:val="24"/>
          <w:szCs w:val="24"/>
          <w:lang w:eastAsia="ar-SA"/>
        </w:rPr>
        <w:t xml:space="preserve"> </w:t>
      </w:r>
      <w:proofErr w:type="spellStart"/>
      <w:r w:rsidRPr="00A07F29">
        <w:rPr>
          <w:rFonts w:ascii="Times New Roman" w:eastAsia="Calibri" w:hAnsi="Times New Roman" w:cs="Times New Roman"/>
          <w:b/>
          <w:i/>
          <w:iCs/>
          <w:color w:val="000000"/>
          <w:sz w:val="24"/>
          <w:szCs w:val="24"/>
          <w:lang w:eastAsia="ar-SA"/>
        </w:rPr>
        <w:t>dubia</w:t>
      </w:r>
      <w:proofErr w:type="spellEnd"/>
      <w:r w:rsidRPr="00A07F29">
        <w:rPr>
          <w:rFonts w:ascii="Times New Roman" w:eastAsia="Calibri" w:hAnsi="Times New Roman" w:cs="Times New Roman"/>
          <w:i/>
          <w:iCs/>
          <w:color w:val="000000"/>
          <w:sz w:val="24"/>
          <w:szCs w:val="24"/>
          <w:lang w:eastAsia="ar-SA"/>
        </w:rPr>
        <w:t xml:space="preserve">, </w:t>
      </w:r>
      <w:r w:rsidRPr="00A07F29">
        <w:rPr>
          <w:rFonts w:ascii="Times New Roman" w:eastAsia="Calibri" w:hAnsi="Times New Roman" w:cs="Times New Roman"/>
          <w:b/>
          <w:iCs/>
          <w:color w:val="000000"/>
          <w:sz w:val="24"/>
          <w:szCs w:val="24"/>
          <w:lang w:eastAsia="ar-SA"/>
        </w:rPr>
        <w:t xml:space="preserve">sarkanais </w:t>
      </w:r>
      <w:proofErr w:type="spellStart"/>
      <w:r w:rsidRPr="00A07F29">
        <w:rPr>
          <w:rFonts w:ascii="Times New Roman" w:eastAsia="Calibri" w:hAnsi="Times New Roman" w:cs="Times New Roman"/>
          <w:b/>
          <w:iCs/>
          <w:color w:val="000000"/>
          <w:sz w:val="24"/>
          <w:szCs w:val="24"/>
          <w:lang w:eastAsia="ar-SA"/>
        </w:rPr>
        <w:t>melnulis</w:t>
      </w:r>
      <w:proofErr w:type="spellEnd"/>
      <w:r w:rsidRPr="00A07F29">
        <w:rPr>
          <w:rFonts w:ascii="Times New Roman" w:eastAsia="Calibri" w:hAnsi="Times New Roman" w:cs="Times New Roman"/>
          <w:b/>
          <w:iCs/>
          <w:color w:val="000000"/>
          <w:sz w:val="24"/>
          <w:szCs w:val="24"/>
          <w:lang w:eastAsia="ar-SA"/>
        </w:rPr>
        <w:t xml:space="preserve"> </w:t>
      </w:r>
      <w:proofErr w:type="spellStart"/>
      <w:r w:rsidRPr="00A07F29">
        <w:rPr>
          <w:rFonts w:ascii="Times New Roman" w:eastAsia="Calibri" w:hAnsi="Times New Roman" w:cs="Times New Roman"/>
          <w:b/>
          <w:i/>
          <w:iCs/>
          <w:color w:val="000000"/>
          <w:sz w:val="24"/>
          <w:szCs w:val="24"/>
          <w:lang w:eastAsia="ar-SA"/>
        </w:rPr>
        <w:t>Oplocephala</w:t>
      </w:r>
      <w:proofErr w:type="spellEnd"/>
      <w:r w:rsidRPr="00A07F29">
        <w:rPr>
          <w:rFonts w:ascii="Times New Roman" w:eastAsia="Calibri" w:hAnsi="Times New Roman" w:cs="Times New Roman"/>
          <w:b/>
          <w:i/>
          <w:iCs/>
          <w:color w:val="000000"/>
          <w:sz w:val="24"/>
          <w:szCs w:val="24"/>
          <w:lang w:eastAsia="ar-SA"/>
        </w:rPr>
        <w:t xml:space="preserve"> </w:t>
      </w:r>
      <w:proofErr w:type="spellStart"/>
      <w:r w:rsidRPr="00A07F29">
        <w:rPr>
          <w:rFonts w:ascii="Times New Roman" w:eastAsia="Calibri" w:hAnsi="Times New Roman" w:cs="Times New Roman"/>
          <w:b/>
          <w:i/>
          <w:iCs/>
          <w:color w:val="000000"/>
          <w:sz w:val="24"/>
          <w:szCs w:val="24"/>
          <w:lang w:eastAsia="ar-SA"/>
        </w:rPr>
        <w:t>haemorrhoidalis</w:t>
      </w:r>
      <w:proofErr w:type="spellEnd"/>
      <w:r w:rsidRPr="00A07F29">
        <w:rPr>
          <w:rFonts w:ascii="Times New Roman" w:eastAsia="Calibri" w:hAnsi="Times New Roman" w:cs="Times New Roman"/>
          <w:iCs/>
          <w:color w:val="000000"/>
          <w:sz w:val="24"/>
          <w:szCs w:val="24"/>
          <w:lang w:eastAsia="ar-SA"/>
        </w:rPr>
        <w:t xml:space="preserve">, </w:t>
      </w:r>
      <w:r w:rsidRPr="00A07F29">
        <w:rPr>
          <w:rFonts w:ascii="Times New Roman" w:eastAsia="Calibri" w:hAnsi="Times New Roman" w:cs="Times New Roman"/>
          <w:b/>
          <w:iCs/>
          <w:color w:val="000000"/>
          <w:sz w:val="24"/>
          <w:szCs w:val="24"/>
          <w:lang w:eastAsia="ar-SA"/>
        </w:rPr>
        <w:t xml:space="preserve">skujkoku lielais koksngrauzis </w:t>
      </w:r>
      <w:proofErr w:type="spellStart"/>
      <w:r w:rsidRPr="00A07F29">
        <w:rPr>
          <w:rFonts w:ascii="Times New Roman" w:eastAsia="Calibri" w:hAnsi="Times New Roman" w:cs="Times New Roman"/>
          <w:b/>
          <w:i/>
          <w:iCs/>
          <w:color w:val="000000"/>
          <w:sz w:val="24"/>
          <w:szCs w:val="24"/>
          <w:lang w:eastAsia="ar-SA"/>
        </w:rPr>
        <w:t>Monochamus</w:t>
      </w:r>
      <w:proofErr w:type="spellEnd"/>
      <w:r w:rsidRPr="00A07F29">
        <w:rPr>
          <w:rFonts w:ascii="Times New Roman" w:eastAsia="Calibri" w:hAnsi="Times New Roman" w:cs="Times New Roman"/>
          <w:b/>
          <w:i/>
          <w:iCs/>
          <w:color w:val="000000"/>
          <w:sz w:val="24"/>
          <w:szCs w:val="24"/>
          <w:lang w:eastAsia="ar-SA"/>
        </w:rPr>
        <w:t xml:space="preserve"> </w:t>
      </w:r>
      <w:proofErr w:type="spellStart"/>
      <w:r w:rsidRPr="00A07F29">
        <w:rPr>
          <w:rFonts w:ascii="Times New Roman" w:eastAsia="Calibri" w:hAnsi="Times New Roman" w:cs="Times New Roman"/>
          <w:b/>
          <w:i/>
          <w:iCs/>
          <w:color w:val="000000"/>
          <w:sz w:val="24"/>
          <w:szCs w:val="24"/>
          <w:lang w:eastAsia="ar-SA"/>
        </w:rPr>
        <w:t>urussovi</w:t>
      </w:r>
      <w:proofErr w:type="spellEnd"/>
      <w:r w:rsidRPr="00A07F29">
        <w:rPr>
          <w:rFonts w:ascii="Times New Roman" w:eastAsia="Calibri" w:hAnsi="Times New Roman" w:cs="Times New Roman"/>
          <w:iCs/>
          <w:color w:val="000000"/>
          <w:sz w:val="24"/>
          <w:szCs w:val="24"/>
          <w:lang w:eastAsia="ar-SA"/>
        </w:rPr>
        <w:t xml:space="preserve">, </w:t>
      </w:r>
      <w:r w:rsidRPr="00A07F29">
        <w:rPr>
          <w:rFonts w:ascii="Times New Roman" w:eastAsia="Calibri" w:hAnsi="Times New Roman" w:cs="Times New Roman"/>
          <w:b/>
          <w:iCs/>
          <w:color w:val="000000"/>
          <w:sz w:val="24"/>
          <w:szCs w:val="24"/>
          <w:lang w:eastAsia="ar-SA"/>
        </w:rPr>
        <w:t xml:space="preserve">plankumainais </w:t>
      </w:r>
      <w:proofErr w:type="spellStart"/>
      <w:r w:rsidRPr="00A07F29">
        <w:rPr>
          <w:rFonts w:ascii="Times New Roman" w:eastAsia="Calibri" w:hAnsi="Times New Roman" w:cs="Times New Roman"/>
          <w:b/>
          <w:iCs/>
          <w:color w:val="000000"/>
          <w:sz w:val="24"/>
          <w:szCs w:val="24"/>
          <w:lang w:eastAsia="ar-SA"/>
        </w:rPr>
        <w:t>apšgrauzis</w:t>
      </w:r>
      <w:proofErr w:type="spellEnd"/>
      <w:r w:rsidRPr="00A07F29">
        <w:rPr>
          <w:rFonts w:ascii="Times New Roman" w:eastAsia="Calibri" w:hAnsi="Times New Roman" w:cs="Times New Roman"/>
          <w:b/>
          <w:iCs/>
          <w:color w:val="000000"/>
          <w:sz w:val="24"/>
          <w:szCs w:val="24"/>
          <w:lang w:eastAsia="ar-SA"/>
        </w:rPr>
        <w:t xml:space="preserve"> </w:t>
      </w:r>
      <w:proofErr w:type="spellStart"/>
      <w:r w:rsidRPr="00A07F29">
        <w:rPr>
          <w:rFonts w:ascii="Times New Roman" w:eastAsia="Calibri" w:hAnsi="Times New Roman" w:cs="Times New Roman"/>
          <w:b/>
          <w:i/>
          <w:iCs/>
          <w:color w:val="000000"/>
          <w:sz w:val="24"/>
          <w:szCs w:val="24"/>
          <w:lang w:eastAsia="ar-SA"/>
        </w:rPr>
        <w:t>Saperda</w:t>
      </w:r>
      <w:proofErr w:type="spellEnd"/>
      <w:r w:rsidRPr="00A07F29">
        <w:rPr>
          <w:rFonts w:ascii="Times New Roman" w:eastAsia="Calibri" w:hAnsi="Times New Roman" w:cs="Times New Roman"/>
          <w:b/>
          <w:i/>
          <w:iCs/>
          <w:color w:val="000000"/>
          <w:sz w:val="24"/>
          <w:szCs w:val="24"/>
          <w:lang w:eastAsia="ar-SA"/>
        </w:rPr>
        <w:t xml:space="preserve"> </w:t>
      </w:r>
      <w:proofErr w:type="spellStart"/>
      <w:r w:rsidRPr="00A07F29">
        <w:rPr>
          <w:rFonts w:ascii="Times New Roman" w:eastAsia="Calibri" w:hAnsi="Times New Roman" w:cs="Times New Roman"/>
          <w:b/>
          <w:i/>
          <w:iCs/>
          <w:color w:val="000000"/>
          <w:sz w:val="24"/>
          <w:szCs w:val="24"/>
          <w:lang w:eastAsia="ar-SA"/>
        </w:rPr>
        <w:t>perforata</w:t>
      </w:r>
      <w:proofErr w:type="spellEnd"/>
      <w:r w:rsidRPr="00A07F29">
        <w:rPr>
          <w:rFonts w:ascii="Times New Roman" w:eastAsia="Calibri" w:hAnsi="Times New Roman" w:cs="Times New Roman"/>
          <w:iCs/>
          <w:color w:val="000000"/>
          <w:sz w:val="24"/>
          <w:szCs w:val="24"/>
          <w:lang w:eastAsia="ar-SA"/>
        </w:rPr>
        <w:t xml:space="preserve"> u.c. Daļa no sugām ir </w:t>
      </w:r>
      <w:r w:rsidRPr="00A07F29">
        <w:rPr>
          <w:rFonts w:ascii="Times New Roman" w:eastAsia="Calibri" w:hAnsi="Times New Roman" w:cs="Times New Roman"/>
          <w:color w:val="000000"/>
          <w:sz w:val="24"/>
          <w:szCs w:val="24"/>
          <w:lang w:eastAsia="ar-SA"/>
        </w:rPr>
        <w:t xml:space="preserve">uzskatāmas par mežaudžu atslēgas biotopu </w:t>
      </w:r>
      <w:proofErr w:type="spellStart"/>
      <w:r w:rsidRPr="00A07F29">
        <w:rPr>
          <w:rFonts w:ascii="Times New Roman" w:eastAsia="Calibri" w:hAnsi="Times New Roman" w:cs="Times New Roman"/>
          <w:color w:val="000000"/>
          <w:sz w:val="24"/>
          <w:szCs w:val="24"/>
          <w:lang w:eastAsia="ar-SA"/>
        </w:rPr>
        <w:t>indiktorsugām</w:t>
      </w:r>
      <w:proofErr w:type="spellEnd"/>
      <w:r w:rsidRPr="00A07F29">
        <w:rPr>
          <w:rFonts w:ascii="Times New Roman" w:eastAsia="Calibri" w:hAnsi="Times New Roman" w:cs="Times New Roman"/>
          <w:color w:val="000000"/>
          <w:sz w:val="24"/>
          <w:szCs w:val="24"/>
          <w:lang w:eastAsia="ar-SA"/>
        </w:rPr>
        <w:t xml:space="preserve">, kam ir samērā augstas prasības pret dzīves vidi. Tās ir robainais </w:t>
      </w:r>
      <w:proofErr w:type="spellStart"/>
      <w:r w:rsidRPr="00A07F29">
        <w:rPr>
          <w:rFonts w:ascii="Times New Roman" w:eastAsia="Calibri" w:hAnsi="Times New Roman" w:cs="Times New Roman"/>
          <w:color w:val="000000"/>
          <w:sz w:val="24"/>
          <w:szCs w:val="24"/>
          <w:lang w:eastAsia="ar-SA"/>
        </w:rPr>
        <w:t>plakanis</w:t>
      </w:r>
      <w:proofErr w:type="spellEnd"/>
      <w:r w:rsidRPr="00A07F29">
        <w:rPr>
          <w:rFonts w:ascii="Times New Roman" w:eastAsia="Calibri" w:hAnsi="Times New Roman" w:cs="Times New Roman"/>
          <w:color w:val="000000"/>
          <w:sz w:val="24"/>
          <w:szCs w:val="24"/>
          <w:lang w:eastAsia="ar-SA"/>
        </w:rPr>
        <w:t xml:space="preserve"> </w:t>
      </w:r>
      <w:proofErr w:type="spellStart"/>
      <w:r w:rsidRPr="00A07F29">
        <w:rPr>
          <w:rFonts w:ascii="Times New Roman" w:eastAsia="Calibri" w:hAnsi="Times New Roman" w:cs="Times New Roman"/>
          <w:i/>
          <w:color w:val="000000"/>
          <w:sz w:val="24"/>
          <w:szCs w:val="24"/>
          <w:lang w:eastAsia="ar-SA"/>
        </w:rPr>
        <w:t>Dendrophagus</w:t>
      </w:r>
      <w:proofErr w:type="spellEnd"/>
      <w:r w:rsidRPr="00A07F29">
        <w:rPr>
          <w:rFonts w:ascii="Times New Roman" w:eastAsia="Calibri" w:hAnsi="Times New Roman" w:cs="Times New Roman"/>
          <w:i/>
          <w:color w:val="000000"/>
          <w:sz w:val="24"/>
          <w:szCs w:val="24"/>
          <w:lang w:eastAsia="ar-SA"/>
        </w:rPr>
        <w:t xml:space="preserve"> </w:t>
      </w:r>
      <w:proofErr w:type="spellStart"/>
      <w:r w:rsidRPr="00A07F29">
        <w:rPr>
          <w:rFonts w:ascii="Times New Roman" w:eastAsia="Calibri" w:hAnsi="Times New Roman" w:cs="Times New Roman"/>
          <w:i/>
          <w:color w:val="000000"/>
          <w:sz w:val="24"/>
          <w:szCs w:val="24"/>
          <w:lang w:eastAsia="ar-SA"/>
        </w:rPr>
        <w:t>crenatus</w:t>
      </w:r>
      <w:proofErr w:type="spellEnd"/>
      <w:r w:rsidRPr="00A07F29">
        <w:rPr>
          <w:rFonts w:ascii="Times New Roman" w:eastAsia="Calibri" w:hAnsi="Times New Roman" w:cs="Times New Roman"/>
          <w:color w:val="000000"/>
          <w:sz w:val="24"/>
          <w:szCs w:val="24"/>
          <w:lang w:eastAsia="ar-SA"/>
        </w:rPr>
        <w:t xml:space="preserve">, </w:t>
      </w:r>
      <w:proofErr w:type="spellStart"/>
      <w:r w:rsidRPr="00A07F29">
        <w:rPr>
          <w:rFonts w:ascii="Times New Roman" w:eastAsia="Calibri" w:hAnsi="Times New Roman" w:cs="Times New Roman"/>
          <w:color w:val="000000"/>
          <w:sz w:val="24"/>
          <w:szCs w:val="24"/>
          <w:lang w:eastAsia="ar-SA"/>
        </w:rPr>
        <w:t>četrplankumu</w:t>
      </w:r>
      <w:proofErr w:type="spellEnd"/>
      <w:r w:rsidRPr="00A07F29">
        <w:rPr>
          <w:rFonts w:ascii="Times New Roman" w:eastAsia="Calibri" w:hAnsi="Times New Roman" w:cs="Times New Roman"/>
          <w:color w:val="000000"/>
          <w:sz w:val="24"/>
          <w:szCs w:val="24"/>
          <w:lang w:eastAsia="ar-SA"/>
        </w:rPr>
        <w:t xml:space="preserve"> </w:t>
      </w:r>
      <w:proofErr w:type="spellStart"/>
      <w:r w:rsidRPr="00A07F29">
        <w:rPr>
          <w:rFonts w:ascii="Times New Roman" w:eastAsia="Calibri" w:hAnsi="Times New Roman" w:cs="Times New Roman"/>
          <w:color w:val="000000"/>
          <w:sz w:val="24"/>
          <w:szCs w:val="24"/>
          <w:lang w:eastAsia="ar-SA"/>
        </w:rPr>
        <w:t>sēņgrauzis</w:t>
      </w:r>
      <w:proofErr w:type="spellEnd"/>
      <w:r w:rsidRPr="00A07F29">
        <w:rPr>
          <w:rFonts w:ascii="Times New Roman" w:eastAsia="Calibri" w:hAnsi="Times New Roman" w:cs="Times New Roman"/>
          <w:color w:val="000000"/>
          <w:sz w:val="24"/>
          <w:szCs w:val="24"/>
          <w:lang w:eastAsia="ar-SA"/>
        </w:rPr>
        <w:t xml:space="preserve"> </w:t>
      </w:r>
      <w:proofErr w:type="spellStart"/>
      <w:r w:rsidRPr="00A07F29">
        <w:rPr>
          <w:rFonts w:ascii="Times New Roman" w:eastAsia="Calibri" w:hAnsi="Times New Roman" w:cs="Times New Roman"/>
          <w:i/>
          <w:color w:val="000000"/>
          <w:sz w:val="24"/>
          <w:szCs w:val="24"/>
          <w:lang w:eastAsia="ar-SA"/>
        </w:rPr>
        <w:t>Mycetophagus</w:t>
      </w:r>
      <w:proofErr w:type="spellEnd"/>
      <w:r w:rsidRPr="00A07F29">
        <w:rPr>
          <w:rFonts w:ascii="Times New Roman" w:eastAsia="Calibri" w:hAnsi="Times New Roman" w:cs="Times New Roman"/>
          <w:i/>
          <w:color w:val="000000"/>
          <w:sz w:val="24"/>
          <w:szCs w:val="24"/>
          <w:lang w:eastAsia="ar-SA"/>
        </w:rPr>
        <w:t xml:space="preserve"> </w:t>
      </w:r>
      <w:proofErr w:type="spellStart"/>
      <w:r w:rsidRPr="00A07F29">
        <w:rPr>
          <w:rFonts w:ascii="Times New Roman" w:eastAsia="Calibri" w:hAnsi="Times New Roman" w:cs="Times New Roman"/>
          <w:i/>
          <w:color w:val="000000"/>
          <w:sz w:val="24"/>
          <w:szCs w:val="24"/>
          <w:lang w:eastAsia="ar-SA"/>
        </w:rPr>
        <w:t>quadripustulatus</w:t>
      </w:r>
      <w:proofErr w:type="spellEnd"/>
      <w:r w:rsidRPr="00A07F29">
        <w:rPr>
          <w:rFonts w:ascii="Times New Roman" w:eastAsia="Calibri" w:hAnsi="Times New Roman" w:cs="Times New Roman"/>
          <w:color w:val="000000"/>
          <w:sz w:val="24"/>
          <w:szCs w:val="24"/>
          <w:lang w:eastAsia="ar-SA"/>
        </w:rPr>
        <w:t xml:space="preserve">, </w:t>
      </w:r>
      <w:proofErr w:type="spellStart"/>
      <w:r w:rsidRPr="00A07F29">
        <w:rPr>
          <w:rFonts w:ascii="Times New Roman" w:eastAsia="Calibri" w:hAnsi="Times New Roman" w:cs="Times New Roman"/>
          <w:color w:val="000000"/>
          <w:sz w:val="24"/>
          <w:szCs w:val="24"/>
          <w:lang w:eastAsia="ar-SA"/>
        </w:rPr>
        <w:t>praulenis</w:t>
      </w:r>
      <w:proofErr w:type="spellEnd"/>
      <w:r w:rsidRPr="00A07F29">
        <w:rPr>
          <w:rFonts w:ascii="Times New Roman" w:eastAsia="Calibri" w:hAnsi="Times New Roman" w:cs="Times New Roman"/>
          <w:color w:val="000000"/>
          <w:sz w:val="24"/>
          <w:szCs w:val="24"/>
          <w:lang w:eastAsia="ar-SA"/>
        </w:rPr>
        <w:t xml:space="preserve"> </w:t>
      </w:r>
      <w:proofErr w:type="spellStart"/>
      <w:r w:rsidRPr="00A07F29">
        <w:rPr>
          <w:rFonts w:ascii="Times New Roman" w:eastAsia="Calibri" w:hAnsi="Times New Roman" w:cs="Times New Roman"/>
          <w:i/>
          <w:color w:val="000000"/>
          <w:sz w:val="24"/>
          <w:szCs w:val="24"/>
          <w:lang w:eastAsia="ar-SA"/>
        </w:rPr>
        <w:t>Platycerus</w:t>
      </w:r>
      <w:proofErr w:type="spellEnd"/>
      <w:r w:rsidRPr="00A07F29">
        <w:rPr>
          <w:rFonts w:ascii="Times New Roman" w:eastAsia="Calibri" w:hAnsi="Times New Roman" w:cs="Times New Roman"/>
          <w:i/>
          <w:color w:val="000000"/>
          <w:sz w:val="24"/>
          <w:szCs w:val="24"/>
          <w:lang w:eastAsia="ar-SA"/>
        </w:rPr>
        <w:t xml:space="preserve"> </w:t>
      </w:r>
      <w:proofErr w:type="spellStart"/>
      <w:r w:rsidRPr="00A07F29">
        <w:rPr>
          <w:rFonts w:ascii="Times New Roman" w:eastAsia="Calibri" w:hAnsi="Times New Roman" w:cs="Times New Roman"/>
          <w:i/>
          <w:color w:val="000000"/>
          <w:sz w:val="24"/>
          <w:szCs w:val="24"/>
          <w:lang w:eastAsia="ar-SA"/>
        </w:rPr>
        <w:t>caprea</w:t>
      </w:r>
      <w:proofErr w:type="spellEnd"/>
      <w:r w:rsidRPr="00A07F29">
        <w:rPr>
          <w:rFonts w:ascii="Times New Roman" w:eastAsia="Calibri" w:hAnsi="Times New Roman" w:cs="Times New Roman"/>
          <w:color w:val="000000"/>
          <w:sz w:val="24"/>
          <w:szCs w:val="24"/>
          <w:lang w:eastAsia="ar-SA"/>
        </w:rPr>
        <w:t xml:space="preserve">, zilais </w:t>
      </w:r>
      <w:proofErr w:type="spellStart"/>
      <w:r w:rsidRPr="00A07F29">
        <w:rPr>
          <w:rFonts w:ascii="Times New Roman" w:eastAsia="Calibri" w:hAnsi="Times New Roman" w:cs="Times New Roman"/>
          <w:color w:val="000000"/>
          <w:sz w:val="24"/>
          <w:szCs w:val="24"/>
          <w:lang w:eastAsia="ar-SA"/>
        </w:rPr>
        <w:t>praulenis</w:t>
      </w:r>
      <w:proofErr w:type="spellEnd"/>
      <w:r w:rsidRPr="00A07F29">
        <w:rPr>
          <w:rFonts w:ascii="Times New Roman" w:eastAsia="Calibri" w:hAnsi="Times New Roman" w:cs="Times New Roman"/>
          <w:color w:val="000000"/>
          <w:sz w:val="24"/>
          <w:szCs w:val="24"/>
          <w:lang w:eastAsia="ar-SA"/>
        </w:rPr>
        <w:t xml:space="preserve"> </w:t>
      </w:r>
      <w:proofErr w:type="spellStart"/>
      <w:r w:rsidRPr="00A07F29">
        <w:rPr>
          <w:rFonts w:ascii="Times New Roman" w:eastAsia="Calibri" w:hAnsi="Times New Roman" w:cs="Times New Roman"/>
          <w:i/>
          <w:color w:val="000000"/>
          <w:sz w:val="24"/>
          <w:szCs w:val="20"/>
          <w:lang w:eastAsia="ar-SA"/>
        </w:rPr>
        <w:t>Platycerus</w:t>
      </w:r>
      <w:proofErr w:type="spellEnd"/>
      <w:r w:rsidRPr="00A07F29">
        <w:rPr>
          <w:rFonts w:ascii="Times New Roman" w:eastAsia="Calibri" w:hAnsi="Times New Roman" w:cs="Times New Roman"/>
          <w:i/>
          <w:color w:val="000000"/>
          <w:sz w:val="24"/>
          <w:szCs w:val="20"/>
          <w:lang w:eastAsia="ar-SA"/>
        </w:rPr>
        <w:t xml:space="preserve"> </w:t>
      </w:r>
      <w:proofErr w:type="spellStart"/>
      <w:r w:rsidRPr="00A07F29">
        <w:rPr>
          <w:rFonts w:ascii="Times New Roman" w:eastAsia="Calibri" w:hAnsi="Times New Roman" w:cs="Times New Roman"/>
          <w:i/>
          <w:color w:val="000000"/>
          <w:sz w:val="24"/>
          <w:szCs w:val="20"/>
          <w:lang w:eastAsia="ar-SA"/>
        </w:rPr>
        <w:t>caraboides</w:t>
      </w:r>
      <w:proofErr w:type="spellEnd"/>
      <w:r w:rsidRPr="00A07F29">
        <w:rPr>
          <w:rFonts w:ascii="Times New Roman" w:eastAsia="Calibri" w:hAnsi="Times New Roman" w:cs="Times New Roman"/>
          <w:i/>
          <w:color w:val="000000"/>
          <w:sz w:val="24"/>
          <w:szCs w:val="20"/>
          <w:lang w:eastAsia="ar-SA"/>
        </w:rPr>
        <w:t xml:space="preserve"> </w:t>
      </w:r>
      <w:r w:rsidRPr="00A07F29">
        <w:rPr>
          <w:rFonts w:ascii="Times New Roman" w:eastAsia="Calibri" w:hAnsi="Times New Roman" w:cs="Times New Roman"/>
          <w:color w:val="000000"/>
          <w:sz w:val="24"/>
          <w:szCs w:val="20"/>
          <w:lang w:eastAsia="ar-SA"/>
        </w:rPr>
        <w:t>u.c.</w:t>
      </w:r>
      <w:r w:rsidRPr="00A07F29">
        <w:rPr>
          <w:rFonts w:ascii="Times New Roman" w:eastAsia="Calibri" w:hAnsi="Times New Roman" w:cs="Times New Roman"/>
          <w:color w:val="000000"/>
          <w:sz w:val="24"/>
          <w:szCs w:val="24"/>
          <w:lang w:eastAsia="ar-SA"/>
        </w:rPr>
        <w:t xml:space="preserve"> </w:t>
      </w:r>
    </w:p>
    <w:p w14:paraId="13F0B631" w14:textId="4E5C38AA" w:rsidR="009072CE" w:rsidRPr="00A07F29" w:rsidRDefault="009072CE" w:rsidP="00390520">
      <w:pPr>
        <w:autoSpaceDE w:val="0"/>
        <w:autoSpaceDN w:val="0"/>
        <w:adjustRightInd w:val="0"/>
        <w:spacing w:after="120" w:line="240" w:lineRule="auto"/>
        <w:ind w:firstLine="851"/>
        <w:jc w:val="both"/>
        <w:rPr>
          <w:rFonts w:ascii="Times New Roman" w:eastAsia="Calibri" w:hAnsi="Times New Roman" w:cs="Times New Roman"/>
          <w:iCs/>
          <w:color w:val="000000"/>
          <w:sz w:val="24"/>
          <w:szCs w:val="24"/>
        </w:rPr>
      </w:pPr>
      <w:r w:rsidRPr="00A07F29">
        <w:rPr>
          <w:rFonts w:ascii="Times New Roman" w:eastAsia="Calibri" w:hAnsi="Times New Roman" w:cs="Times New Roman"/>
          <w:iCs/>
          <w:color w:val="000000"/>
          <w:sz w:val="24"/>
          <w:szCs w:val="24"/>
        </w:rPr>
        <w:t>Vairākas</w:t>
      </w:r>
      <w:r w:rsidRPr="00A07F29">
        <w:rPr>
          <w:rFonts w:ascii="Times New Roman" w:eastAsia="Calibri" w:hAnsi="Times New Roman" w:cs="Times New Roman"/>
          <w:b/>
          <w:iCs/>
          <w:color w:val="000000"/>
          <w:sz w:val="24"/>
          <w:szCs w:val="24"/>
        </w:rPr>
        <w:t xml:space="preserve"> </w:t>
      </w:r>
      <w:r w:rsidRPr="00A07F29">
        <w:rPr>
          <w:rFonts w:ascii="Times New Roman" w:eastAsia="Calibri" w:hAnsi="Times New Roman" w:cs="Times New Roman"/>
          <w:iCs/>
          <w:color w:val="000000"/>
          <w:sz w:val="24"/>
          <w:szCs w:val="24"/>
        </w:rPr>
        <w:t xml:space="preserve">teritorijā sastopamās vaboļu sugas ir iekļautas Latvijas Sarkanās grāmatas dažādās kategorijās. Tās ir zaļais </w:t>
      </w:r>
      <w:proofErr w:type="spellStart"/>
      <w:r w:rsidRPr="00A07F29">
        <w:rPr>
          <w:rFonts w:ascii="Times New Roman" w:eastAsia="Calibri" w:hAnsi="Times New Roman" w:cs="Times New Roman"/>
          <w:iCs/>
          <w:color w:val="000000"/>
          <w:sz w:val="24"/>
          <w:szCs w:val="24"/>
        </w:rPr>
        <w:t>vītolgrauzis</w:t>
      </w:r>
      <w:proofErr w:type="spellEnd"/>
      <w:r w:rsidRPr="00A07F29">
        <w:rPr>
          <w:rFonts w:ascii="Times New Roman" w:eastAsia="Calibri" w:hAnsi="Times New Roman" w:cs="Times New Roman"/>
          <w:iCs/>
          <w:color w:val="000000"/>
          <w:sz w:val="24"/>
          <w:szCs w:val="24"/>
        </w:rPr>
        <w:t xml:space="preserve"> </w:t>
      </w:r>
      <w:proofErr w:type="spellStart"/>
      <w:r w:rsidRPr="00A07F29">
        <w:rPr>
          <w:rFonts w:ascii="Times New Roman" w:eastAsia="Calibri" w:hAnsi="Times New Roman" w:cs="Times New Roman"/>
          <w:i/>
          <w:iCs/>
          <w:color w:val="000000"/>
          <w:sz w:val="24"/>
          <w:szCs w:val="24"/>
        </w:rPr>
        <w:t>Aromia</w:t>
      </w:r>
      <w:proofErr w:type="spellEnd"/>
      <w:r w:rsidRPr="00A07F29">
        <w:rPr>
          <w:rFonts w:ascii="Times New Roman" w:eastAsia="Calibri" w:hAnsi="Times New Roman" w:cs="Times New Roman"/>
          <w:i/>
          <w:iCs/>
          <w:color w:val="000000"/>
          <w:sz w:val="24"/>
          <w:szCs w:val="24"/>
        </w:rPr>
        <w:t xml:space="preserve"> </w:t>
      </w:r>
      <w:proofErr w:type="spellStart"/>
      <w:r w:rsidRPr="00A07F29">
        <w:rPr>
          <w:rFonts w:ascii="Times New Roman" w:eastAsia="Calibri" w:hAnsi="Times New Roman" w:cs="Times New Roman"/>
          <w:i/>
          <w:iCs/>
          <w:color w:val="000000"/>
          <w:sz w:val="24"/>
          <w:szCs w:val="24"/>
        </w:rPr>
        <w:t>moshata</w:t>
      </w:r>
      <w:proofErr w:type="spellEnd"/>
      <w:r w:rsidRPr="00A07F29">
        <w:rPr>
          <w:rFonts w:ascii="Times New Roman" w:eastAsia="Calibri" w:hAnsi="Times New Roman" w:cs="Times New Roman"/>
          <w:i/>
          <w:iCs/>
          <w:color w:val="000000"/>
          <w:sz w:val="24"/>
          <w:szCs w:val="24"/>
        </w:rPr>
        <w:t xml:space="preserve"> </w:t>
      </w:r>
      <w:r w:rsidRPr="00A07F29">
        <w:rPr>
          <w:rFonts w:ascii="Times New Roman" w:eastAsia="Calibri" w:hAnsi="Times New Roman" w:cs="Times New Roman"/>
          <w:iCs/>
          <w:color w:val="000000"/>
          <w:sz w:val="24"/>
          <w:szCs w:val="24"/>
        </w:rPr>
        <w:t xml:space="preserve">(samērā bieži sastopams Daugavas krastos esošajās kārklu audzēs, tā </w:t>
      </w:r>
      <w:r w:rsidRPr="00A07F29">
        <w:rPr>
          <w:rFonts w:ascii="Times New Roman" w:eastAsia="Calibri" w:hAnsi="Times New Roman" w:cs="Times New Roman"/>
          <w:color w:val="000000"/>
          <w:sz w:val="24"/>
          <w:szCs w:val="24"/>
        </w:rPr>
        <w:t xml:space="preserve">kāpuri dzīvo vītolu koksnē, bet pieaugušās vaboles barojas </w:t>
      </w:r>
      <w:r w:rsidRPr="00A07F29">
        <w:rPr>
          <w:rFonts w:ascii="Times New Roman" w:eastAsia="Calibri" w:hAnsi="Times New Roman" w:cs="Times New Roman"/>
          <w:color w:val="000000"/>
          <w:sz w:val="24"/>
          <w:szCs w:val="24"/>
        </w:rPr>
        <w:lastRenderedPageBreak/>
        <w:t>galvenokārt uz čemurziežu ziediem)</w:t>
      </w:r>
      <w:r w:rsidRPr="00A07F29">
        <w:rPr>
          <w:rFonts w:ascii="Times New Roman" w:eastAsia="Calibri" w:hAnsi="Times New Roman" w:cs="Times New Roman"/>
          <w:iCs/>
          <w:color w:val="000000"/>
          <w:sz w:val="24"/>
          <w:szCs w:val="24"/>
        </w:rPr>
        <w:t>, l</w:t>
      </w:r>
      <w:r w:rsidRPr="00A07F29">
        <w:rPr>
          <w:rFonts w:ascii="Times New Roman" w:eastAsia="Calibri" w:hAnsi="Times New Roman" w:cs="Times New Roman"/>
          <w:color w:val="000000"/>
          <w:sz w:val="24"/>
          <w:szCs w:val="24"/>
        </w:rPr>
        <w:t>ielā skrejvabole</w:t>
      </w:r>
      <w:r w:rsidRPr="00A07F29">
        <w:rPr>
          <w:rFonts w:ascii="Times New Roman" w:eastAsia="Calibri" w:hAnsi="Times New Roman" w:cs="Times New Roman"/>
          <w:iCs/>
          <w:color w:val="000000"/>
          <w:sz w:val="32"/>
          <w:szCs w:val="24"/>
        </w:rPr>
        <w:t xml:space="preserve"> </w:t>
      </w:r>
      <w:proofErr w:type="spellStart"/>
      <w:r w:rsidRPr="00A07F29">
        <w:rPr>
          <w:rFonts w:ascii="Times New Roman" w:eastAsia="Calibri" w:hAnsi="Times New Roman" w:cs="Times New Roman"/>
          <w:i/>
          <w:iCs/>
          <w:color w:val="000000"/>
          <w:sz w:val="24"/>
          <w:szCs w:val="24"/>
        </w:rPr>
        <w:t>Carabus</w:t>
      </w:r>
      <w:proofErr w:type="spellEnd"/>
      <w:r w:rsidRPr="00A07F29">
        <w:rPr>
          <w:rFonts w:ascii="Times New Roman" w:eastAsia="Calibri" w:hAnsi="Times New Roman" w:cs="Times New Roman"/>
          <w:i/>
          <w:iCs/>
          <w:color w:val="000000"/>
          <w:sz w:val="24"/>
          <w:szCs w:val="24"/>
        </w:rPr>
        <w:t xml:space="preserve"> </w:t>
      </w:r>
      <w:proofErr w:type="spellStart"/>
      <w:r w:rsidRPr="00A07F29">
        <w:rPr>
          <w:rFonts w:ascii="Times New Roman" w:eastAsia="Calibri" w:hAnsi="Times New Roman" w:cs="Times New Roman"/>
          <w:i/>
          <w:iCs/>
          <w:color w:val="000000"/>
          <w:sz w:val="24"/>
          <w:szCs w:val="24"/>
        </w:rPr>
        <w:t>coriaceus</w:t>
      </w:r>
      <w:proofErr w:type="spellEnd"/>
      <w:r w:rsidRPr="00A07F29">
        <w:rPr>
          <w:rFonts w:ascii="Times New Roman" w:eastAsia="Calibri" w:hAnsi="Times New Roman" w:cs="Times New Roman"/>
          <w:iCs/>
          <w:color w:val="000000"/>
          <w:sz w:val="24"/>
          <w:szCs w:val="24"/>
        </w:rPr>
        <w:t xml:space="preserve"> un velvetā skrejvabole </w:t>
      </w:r>
      <w:proofErr w:type="spellStart"/>
      <w:r w:rsidRPr="00A07F29">
        <w:rPr>
          <w:rFonts w:ascii="Times New Roman" w:eastAsia="Calibri" w:hAnsi="Times New Roman" w:cs="Times New Roman"/>
          <w:i/>
          <w:iCs/>
          <w:color w:val="000000"/>
          <w:sz w:val="24"/>
          <w:szCs w:val="24"/>
        </w:rPr>
        <w:t>Carabus</w:t>
      </w:r>
      <w:proofErr w:type="spellEnd"/>
      <w:r w:rsidRPr="00A07F29">
        <w:rPr>
          <w:rFonts w:ascii="Times New Roman" w:eastAsia="Calibri" w:hAnsi="Times New Roman" w:cs="Times New Roman"/>
          <w:i/>
          <w:iCs/>
          <w:color w:val="000000"/>
          <w:sz w:val="24"/>
          <w:szCs w:val="24"/>
        </w:rPr>
        <w:t xml:space="preserve"> </w:t>
      </w:r>
      <w:proofErr w:type="spellStart"/>
      <w:r w:rsidRPr="00A07F29">
        <w:rPr>
          <w:rFonts w:ascii="Times New Roman" w:eastAsia="Calibri" w:hAnsi="Times New Roman" w:cs="Times New Roman"/>
          <w:i/>
          <w:iCs/>
          <w:color w:val="000000"/>
          <w:sz w:val="24"/>
          <w:szCs w:val="24"/>
        </w:rPr>
        <w:t>convexus</w:t>
      </w:r>
      <w:proofErr w:type="spellEnd"/>
      <w:r w:rsidRPr="00A07F29">
        <w:rPr>
          <w:rFonts w:ascii="Times New Roman" w:eastAsia="Calibri" w:hAnsi="Times New Roman" w:cs="Times New Roman"/>
          <w:i/>
          <w:iCs/>
          <w:color w:val="000000"/>
          <w:sz w:val="24"/>
          <w:szCs w:val="24"/>
        </w:rPr>
        <w:t xml:space="preserve"> </w:t>
      </w:r>
      <w:r w:rsidRPr="00A07F29">
        <w:rPr>
          <w:rFonts w:ascii="Times New Roman" w:eastAsia="Calibri" w:hAnsi="Times New Roman" w:cs="Times New Roman"/>
          <w:iCs/>
          <w:color w:val="000000"/>
          <w:sz w:val="24"/>
          <w:szCs w:val="24"/>
        </w:rPr>
        <w:t xml:space="preserve">(abas sugas samērā regulāri konstatētas dažādu tipu mežos AAA “Augšdaugava” teritorijā), </w:t>
      </w:r>
      <w:proofErr w:type="spellStart"/>
      <w:r w:rsidRPr="00A07F29">
        <w:rPr>
          <w:rFonts w:ascii="Times New Roman" w:eastAsia="Calibri" w:hAnsi="Times New Roman" w:cs="Times New Roman"/>
          <w:iCs/>
          <w:color w:val="000000"/>
          <w:sz w:val="24"/>
          <w:szCs w:val="24"/>
        </w:rPr>
        <w:t>trīsragu</w:t>
      </w:r>
      <w:proofErr w:type="spellEnd"/>
      <w:r w:rsidRPr="00A07F29">
        <w:rPr>
          <w:rFonts w:ascii="Times New Roman" w:eastAsia="Calibri" w:hAnsi="Times New Roman" w:cs="Times New Roman"/>
          <w:iCs/>
          <w:color w:val="000000"/>
          <w:sz w:val="24"/>
          <w:szCs w:val="24"/>
        </w:rPr>
        <w:t xml:space="preserve"> </w:t>
      </w:r>
      <w:proofErr w:type="spellStart"/>
      <w:r w:rsidRPr="00A07F29">
        <w:rPr>
          <w:rFonts w:ascii="Times New Roman" w:eastAsia="Calibri" w:hAnsi="Times New Roman" w:cs="Times New Roman"/>
          <w:iCs/>
          <w:color w:val="000000"/>
          <w:sz w:val="24"/>
          <w:szCs w:val="24"/>
        </w:rPr>
        <w:t>mēslvabole</w:t>
      </w:r>
      <w:proofErr w:type="spellEnd"/>
      <w:r w:rsidRPr="00A07F29">
        <w:rPr>
          <w:rFonts w:ascii="Times New Roman" w:eastAsia="Calibri" w:hAnsi="Times New Roman" w:cs="Times New Roman"/>
          <w:iCs/>
          <w:color w:val="000000"/>
          <w:sz w:val="24"/>
          <w:szCs w:val="24"/>
        </w:rPr>
        <w:t xml:space="preserve"> </w:t>
      </w:r>
      <w:proofErr w:type="spellStart"/>
      <w:r w:rsidRPr="00A07F29">
        <w:rPr>
          <w:rFonts w:ascii="Times New Roman" w:eastAsia="Calibri" w:hAnsi="Times New Roman" w:cs="Times New Roman"/>
          <w:i/>
          <w:color w:val="000000"/>
          <w:sz w:val="24"/>
          <w:szCs w:val="24"/>
        </w:rPr>
        <w:t>C</w:t>
      </w:r>
      <w:r w:rsidRPr="00A07F29">
        <w:rPr>
          <w:rFonts w:ascii="Times New Roman" w:eastAsia="Calibri" w:hAnsi="Times New Roman" w:cs="Times New Roman"/>
          <w:i/>
          <w:color w:val="000000"/>
          <w:spacing w:val="1"/>
          <w:sz w:val="24"/>
          <w:szCs w:val="24"/>
        </w:rPr>
        <w:t>op</w:t>
      </w:r>
      <w:r w:rsidRPr="00A07F29">
        <w:rPr>
          <w:rFonts w:ascii="Times New Roman" w:eastAsia="Calibri" w:hAnsi="Times New Roman" w:cs="Times New Roman"/>
          <w:i/>
          <w:color w:val="000000"/>
          <w:sz w:val="24"/>
          <w:szCs w:val="24"/>
        </w:rPr>
        <w:t>ris</w:t>
      </w:r>
      <w:proofErr w:type="spellEnd"/>
      <w:r w:rsidRPr="00A07F29">
        <w:rPr>
          <w:rFonts w:ascii="Times New Roman" w:eastAsia="Calibri" w:hAnsi="Times New Roman" w:cs="Times New Roman"/>
          <w:i/>
          <w:color w:val="000000"/>
          <w:spacing w:val="-2"/>
          <w:sz w:val="24"/>
          <w:szCs w:val="24"/>
        </w:rPr>
        <w:t xml:space="preserve"> </w:t>
      </w:r>
      <w:proofErr w:type="spellStart"/>
      <w:r w:rsidRPr="00A07F29">
        <w:rPr>
          <w:rFonts w:ascii="Times New Roman" w:eastAsia="Calibri" w:hAnsi="Times New Roman" w:cs="Times New Roman"/>
          <w:i/>
          <w:color w:val="000000"/>
          <w:spacing w:val="-2"/>
          <w:sz w:val="24"/>
          <w:szCs w:val="24"/>
        </w:rPr>
        <w:t>l</w:t>
      </w:r>
      <w:r w:rsidRPr="00A07F29">
        <w:rPr>
          <w:rFonts w:ascii="Times New Roman" w:eastAsia="Calibri" w:hAnsi="Times New Roman" w:cs="Times New Roman"/>
          <w:i/>
          <w:color w:val="000000"/>
          <w:spacing w:val="1"/>
          <w:sz w:val="24"/>
          <w:szCs w:val="24"/>
        </w:rPr>
        <w:t>u</w:t>
      </w:r>
      <w:r w:rsidRPr="00A07F29">
        <w:rPr>
          <w:rFonts w:ascii="Times New Roman" w:eastAsia="Calibri" w:hAnsi="Times New Roman" w:cs="Times New Roman"/>
          <w:i/>
          <w:color w:val="000000"/>
          <w:spacing w:val="-1"/>
          <w:sz w:val="24"/>
          <w:szCs w:val="24"/>
        </w:rPr>
        <w:t>n</w:t>
      </w:r>
      <w:r w:rsidRPr="00A07F29">
        <w:rPr>
          <w:rFonts w:ascii="Times New Roman" w:eastAsia="Calibri" w:hAnsi="Times New Roman" w:cs="Times New Roman"/>
          <w:i/>
          <w:color w:val="000000"/>
          <w:spacing w:val="1"/>
          <w:sz w:val="24"/>
          <w:szCs w:val="24"/>
        </w:rPr>
        <w:t>a</w:t>
      </w:r>
      <w:r w:rsidRPr="00A07F29">
        <w:rPr>
          <w:rFonts w:ascii="Times New Roman" w:eastAsia="Calibri" w:hAnsi="Times New Roman" w:cs="Times New Roman"/>
          <w:i/>
          <w:color w:val="000000"/>
          <w:sz w:val="24"/>
          <w:szCs w:val="24"/>
        </w:rPr>
        <w:t>ris</w:t>
      </w:r>
      <w:proofErr w:type="spellEnd"/>
      <w:r w:rsidRPr="00A07F29">
        <w:rPr>
          <w:rFonts w:ascii="Times New Roman" w:eastAsia="Calibri" w:hAnsi="Times New Roman" w:cs="Times New Roman"/>
          <w:color w:val="000000"/>
          <w:sz w:val="24"/>
          <w:szCs w:val="24"/>
        </w:rPr>
        <w:t xml:space="preserve">, zilganzaļā </w:t>
      </w:r>
      <w:proofErr w:type="spellStart"/>
      <w:r w:rsidRPr="00A07F29">
        <w:rPr>
          <w:rFonts w:ascii="Times New Roman" w:eastAsia="Calibri" w:hAnsi="Times New Roman" w:cs="Times New Roman"/>
          <w:color w:val="000000"/>
          <w:sz w:val="24"/>
          <w:szCs w:val="24"/>
        </w:rPr>
        <w:t>eļļasvabole</w:t>
      </w:r>
      <w:proofErr w:type="spellEnd"/>
      <w:r w:rsidRPr="00A07F29">
        <w:rPr>
          <w:rFonts w:ascii="Times New Roman" w:eastAsia="Calibri" w:hAnsi="Times New Roman" w:cs="Times New Roman"/>
          <w:color w:val="000000"/>
          <w:sz w:val="24"/>
          <w:szCs w:val="24"/>
        </w:rPr>
        <w:t xml:space="preserve"> </w:t>
      </w:r>
      <w:proofErr w:type="spellStart"/>
      <w:r w:rsidRPr="00A07F29">
        <w:rPr>
          <w:rFonts w:ascii="Times New Roman" w:eastAsia="Calibri" w:hAnsi="Times New Roman" w:cs="Times New Roman"/>
          <w:i/>
          <w:color w:val="000000"/>
          <w:sz w:val="24"/>
          <w:szCs w:val="24"/>
        </w:rPr>
        <w:t>Meloe</w:t>
      </w:r>
      <w:proofErr w:type="spellEnd"/>
      <w:r w:rsidRPr="00A07F29">
        <w:rPr>
          <w:rFonts w:ascii="Times New Roman" w:eastAsia="Calibri" w:hAnsi="Times New Roman" w:cs="Times New Roman"/>
          <w:i/>
          <w:color w:val="000000"/>
          <w:sz w:val="24"/>
          <w:szCs w:val="24"/>
        </w:rPr>
        <w:t xml:space="preserve"> </w:t>
      </w:r>
      <w:proofErr w:type="spellStart"/>
      <w:r w:rsidRPr="00A07F29">
        <w:rPr>
          <w:rFonts w:ascii="Times New Roman" w:eastAsia="Calibri" w:hAnsi="Times New Roman" w:cs="Times New Roman"/>
          <w:i/>
          <w:color w:val="000000"/>
          <w:sz w:val="24"/>
          <w:szCs w:val="24"/>
        </w:rPr>
        <w:t>brevicollis</w:t>
      </w:r>
      <w:proofErr w:type="spellEnd"/>
      <w:r w:rsidRPr="00A07F29">
        <w:rPr>
          <w:rFonts w:ascii="Times New Roman" w:eastAsia="Calibri" w:hAnsi="Times New Roman" w:cs="Times New Roman"/>
          <w:color w:val="000000"/>
          <w:sz w:val="24"/>
          <w:szCs w:val="24"/>
        </w:rPr>
        <w:t xml:space="preserve">, tumšā </w:t>
      </w:r>
      <w:proofErr w:type="spellStart"/>
      <w:r w:rsidRPr="00A07F29">
        <w:rPr>
          <w:rFonts w:ascii="Times New Roman" w:eastAsia="Calibri" w:hAnsi="Times New Roman" w:cs="Times New Roman"/>
          <w:color w:val="000000"/>
          <w:sz w:val="24"/>
          <w:szCs w:val="24"/>
        </w:rPr>
        <w:t>eļļasvabole</w:t>
      </w:r>
      <w:proofErr w:type="spellEnd"/>
      <w:r w:rsidRPr="00A07F29">
        <w:rPr>
          <w:rFonts w:ascii="Times New Roman" w:eastAsia="Calibri" w:hAnsi="Times New Roman" w:cs="Times New Roman"/>
          <w:color w:val="000000"/>
          <w:sz w:val="24"/>
          <w:szCs w:val="24"/>
        </w:rPr>
        <w:t xml:space="preserve"> </w:t>
      </w:r>
      <w:proofErr w:type="spellStart"/>
      <w:r w:rsidRPr="00A07F29">
        <w:rPr>
          <w:rFonts w:ascii="Times New Roman" w:eastAsia="Calibri" w:hAnsi="Times New Roman" w:cs="Times New Roman"/>
          <w:i/>
          <w:color w:val="000000"/>
          <w:sz w:val="24"/>
          <w:szCs w:val="24"/>
        </w:rPr>
        <w:t>Meloe</w:t>
      </w:r>
      <w:proofErr w:type="spellEnd"/>
      <w:r w:rsidRPr="00A07F29">
        <w:rPr>
          <w:rFonts w:ascii="Times New Roman" w:eastAsia="Calibri" w:hAnsi="Times New Roman" w:cs="Times New Roman"/>
          <w:i/>
          <w:color w:val="000000"/>
          <w:sz w:val="24"/>
          <w:szCs w:val="24"/>
        </w:rPr>
        <w:t xml:space="preserve"> </w:t>
      </w:r>
      <w:proofErr w:type="spellStart"/>
      <w:r w:rsidRPr="00A07F29">
        <w:rPr>
          <w:rFonts w:ascii="Times New Roman" w:eastAsia="Calibri" w:hAnsi="Times New Roman" w:cs="Times New Roman"/>
          <w:i/>
          <w:color w:val="000000"/>
          <w:sz w:val="24"/>
          <w:szCs w:val="24"/>
        </w:rPr>
        <w:t>proscarabaeus</w:t>
      </w:r>
      <w:proofErr w:type="spellEnd"/>
      <w:r w:rsidRPr="00A07F29">
        <w:rPr>
          <w:rFonts w:ascii="Times New Roman" w:eastAsia="Calibri" w:hAnsi="Times New Roman" w:cs="Times New Roman"/>
          <w:color w:val="000000"/>
          <w:sz w:val="24"/>
          <w:szCs w:val="24"/>
        </w:rPr>
        <w:t xml:space="preserve">, zilā </w:t>
      </w:r>
      <w:proofErr w:type="spellStart"/>
      <w:r w:rsidRPr="00A07F29">
        <w:rPr>
          <w:rFonts w:ascii="Times New Roman" w:eastAsia="Calibri" w:hAnsi="Times New Roman" w:cs="Times New Roman"/>
          <w:color w:val="000000"/>
          <w:sz w:val="24"/>
          <w:szCs w:val="24"/>
        </w:rPr>
        <w:t>eļļasvabole</w:t>
      </w:r>
      <w:proofErr w:type="spellEnd"/>
      <w:r w:rsidRPr="00A07F29">
        <w:rPr>
          <w:rFonts w:ascii="Times New Roman" w:eastAsia="Calibri" w:hAnsi="Times New Roman" w:cs="Times New Roman"/>
          <w:color w:val="000000"/>
          <w:sz w:val="24"/>
          <w:szCs w:val="24"/>
        </w:rPr>
        <w:t xml:space="preserve"> </w:t>
      </w:r>
      <w:proofErr w:type="spellStart"/>
      <w:r w:rsidRPr="00A07F29">
        <w:rPr>
          <w:rFonts w:ascii="Times New Roman" w:eastAsia="Calibri" w:hAnsi="Times New Roman" w:cs="Times New Roman"/>
          <w:i/>
          <w:color w:val="000000"/>
          <w:sz w:val="24"/>
          <w:szCs w:val="24"/>
        </w:rPr>
        <w:t>Meloe</w:t>
      </w:r>
      <w:proofErr w:type="spellEnd"/>
      <w:r w:rsidRPr="00A07F29">
        <w:rPr>
          <w:rFonts w:ascii="Times New Roman" w:eastAsia="Calibri" w:hAnsi="Times New Roman" w:cs="Times New Roman"/>
          <w:i/>
          <w:color w:val="000000"/>
          <w:sz w:val="24"/>
          <w:szCs w:val="24"/>
        </w:rPr>
        <w:t xml:space="preserve"> </w:t>
      </w:r>
      <w:proofErr w:type="spellStart"/>
      <w:r w:rsidRPr="00A07F29">
        <w:rPr>
          <w:rFonts w:ascii="Times New Roman" w:eastAsia="Calibri" w:hAnsi="Times New Roman" w:cs="Times New Roman"/>
          <w:i/>
          <w:color w:val="000000"/>
          <w:sz w:val="24"/>
          <w:szCs w:val="24"/>
        </w:rPr>
        <w:t>violaceus</w:t>
      </w:r>
      <w:proofErr w:type="spellEnd"/>
      <w:r w:rsidRPr="00A07F29">
        <w:rPr>
          <w:rFonts w:ascii="Times New Roman" w:eastAsia="Calibri" w:hAnsi="Times New Roman" w:cs="Times New Roman"/>
          <w:color w:val="000000"/>
          <w:sz w:val="24"/>
          <w:szCs w:val="24"/>
        </w:rPr>
        <w:t xml:space="preserve"> </w:t>
      </w:r>
      <w:r w:rsidRPr="00A07F29">
        <w:rPr>
          <w:rFonts w:ascii="Times New Roman" w:eastAsia="Calibri" w:hAnsi="Times New Roman" w:cs="Times New Roman"/>
          <w:iCs/>
          <w:color w:val="000000"/>
          <w:sz w:val="24"/>
          <w:szCs w:val="24"/>
        </w:rPr>
        <w:t>u.c. sugas.</w:t>
      </w:r>
    </w:p>
    <w:p w14:paraId="07E0374C" w14:textId="3F0E24C6" w:rsidR="00390520" w:rsidRPr="00A07F29" w:rsidRDefault="009072CE" w:rsidP="00390520">
      <w:pPr>
        <w:autoSpaceDE w:val="0"/>
        <w:autoSpaceDN w:val="0"/>
        <w:adjustRightInd w:val="0"/>
        <w:spacing w:after="120" w:line="240" w:lineRule="auto"/>
        <w:ind w:firstLine="851"/>
        <w:jc w:val="both"/>
        <w:rPr>
          <w:rFonts w:ascii="Times New Roman" w:eastAsia="Calibri" w:hAnsi="Times New Roman" w:cs="Times New Roman"/>
          <w:color w:val="000000"/>
          <w:sz w:val="24"/>
          <w:szCs w:val="24"/>
        </w:rPr>
      </w:pPr>
      <w:r w:rsidRPr="00A07F29">
        <w:rPr>
          <w:rFonts w:ascii="Times New Roman" w:eastAsia="Calibri" w:hAnsi="Times New Roman" w:cs="Times New Roman"/>
          <w:b/>
          <w:color w:val="000000"/>
          <w:sz w:val="24"/>
          <w:szCs w:val="24"/>
        </w:rPr>
        <w:t xml:space="preserve">Platā </w:t>
      </w:r>
      <w:proofErr w:type="spellStart"/>
      <w:r w:rsidRPr="00A07F29">
        <w:rPr>
          <w:rFonts w:ascii="Times New Roman" w:eastAsia="Calibri" w:hAnsi="Times New Roman" w:cs="Times New Roman"/>
          <w:b/>
          <w:color w:val="000000"/>
          <w:sz w:val="24"/>
          <w:szCs w:val="24"/>
        </w:rPr>
        <w:t>airvabole</w:t>
      </w:r>
      <w:proofErr w:type="spellEnd"/>
      <w:r w:rsidRPr="00A07F29">
        <w:rPr>
          <w:rFonts w:ascii="Times New Roman" w:eastAsia="Calibri" w:hAnsi="Times New Roman" w:cs="Times New Roman"/>
          <w:b/>
          <w:color w:val="000000"/>
          <w:sz w:val="24"/>
          <w:szCs w:val="24"/>
        </w:rPr>
        <w:t xml:space="preserve"> </w:t>
      </w:r>
      <w:proofErr w:type="spellStart"/>
      <w:r w:rsidRPr="00A07F29">
        <w:rPr>
          <w:rFonts w:ascii="Times New Roman" w:eastAsia="Calibri" w:hAnsi="Times New Roman" w:cs="Times New Roman"/>
          <w:b/>
          <w:i/>
          <w:color w:val="000000"/>
          <w:sz w:val="24"/>
          <w:szCs w:val="24"/>
        </w:rPr>
        <w:t>Dytiscus</w:t>
      </w:r>
      <w:proofErr w:type="spellEnd"/>
      <w:r w:rsidRPr="00A07F29">
        <w:rPr>
          <w:rFonts w:ascii="Times New Roman" w:eastAsia="Calibri" w:hAnsi="Times New Roman" w:cs="Times New Roman"/>
          <w:b/>
          <w:i/>
          <w:color w:val="000000"/>
          <w:sz w:val="24"/>
          <w:szCs w:val="24"/>
        </w:rPr>
        <w:t xml:space="preserve"> </w:t>
      </w:r>
      <w:proofErr w:type="spellStart"/>
      <w:r w:rsidRPr="00A07F29">
        <w:rPr>
          <w:rFonts w:ascii="Times New Roman" w:eastAsia="Calibri" w:hAnsi="Times New Roman" w:cs="Times New Roman"/>
          <w:b/>
          <w:i/>
          <w:color w:val="000000"/>
          <w:sz w:val="24"/>
          <w:szCs w:val="24"/>
        </w:rPr>
        <w:t>latissimus</w:t>
      </w:r>
      <w:proofErr w:type="spellEnd"/>
      <w:r w:rsidRPr="00A07F29">
        <w:rPr>
          <w:rFonts w:ascii="Times New Roman" w:eastAsia="Calibri" w:hAnsi="Times New Roman" w:cs="Times New Roman"/>
          <w:b/>
          <w:i/>
          <w:color w:val="000000"/>
          <w:sz w:val="24"/>
          <w:szCs w:val="24"/>
        </w:rPr>
        <w:t xml:space="preserve"> </w:t>
      </w:r>
      <w:r w:rsidRPr="00A07F29">
        <w:rPr>
          <w:rFonts w:ascii="Times New Roman" w:eastAsia="Calibri" w:hAnsi="Times New Roman" w:cs="Times New Roman"/>
          <w:color w:val="000000"/>
          <w:sz w:val="24"/>
          <w:szCs w:val="24"/>
        </w:rPr>
        <w:t>(</w:t>
      </w:r>
      <w:r w:rsidR="00F31263">
        <w:rPr>
          <w:rFonts w:ascii="Times New Roman" w:eastAsia="Calibri" w:hAnsi="Times New Roman" w:cs="Times New Roman"/>
          <w:color w:val="000000"/>
          <w:sz w:val="24"/>
          <w:szCs w:val="24"/>
        </w:rPr>
        <w:t xml:space="preserve">skat. </w:t>
      </w:r>
      <w:r w:rsidRPr="00A07F29">
        <w:rPr>
          <w:rFonts w:ascii="Times New Roman" w:eastAsia="Calibri" w:hAnsi="Times New Roman" w:cs="Times New Roman"/>
          <w:color w:val="000000"/>
          <w:sz w:val="24"/>
          <w:szCs w:val="24"/>
        </w:rPr>
        <w:t>4.</w:t>
      </w:r>
      <w:r w:rsidR="00390520" w:rsidRPr="00A07F29">
        <w:rPr>
          <w:rFonts w:ascii="Times New Roman" w:eastAsia="Calibri" w:hAnsi="Times New Roman" w:cs="Times New Roman"/>
          <w:color w:val="000000"/>
          <w:sz w:val="24"/>
          <w:szCs w:val="24"/>
        </w:rPr>
        <w:t>7</w:t>
      </w:r>
      <w:r w:rsidRPr="00A07F29">
        <w:rPr>
          <w:rFonts w:ascii="Times New Roman" w:eastAsia="Calibri" w:hAnsi="Times New Roman" w:cs="Times New Roman"/>
          <w:color w:val="000000"/>
          <w:sz w:val="24"/>
          <w:szCs w:val="24"/>
        </w:rPr>
        <w:t>.1.9.</w:t>
      </w:r>
      <w:r w:rsidR="00F31263">
        <w:rPr>
          <w:rFonts w:ascii="Times New Roman" w:eastAsia="Calibri" w:hAnsi="Times New Roman" w:cs="Times New Roman"/>
          <w:color w:val="000000"/>
          <w:sz w:val="24"/>
          <w:szCs w:val="24"/>
        </w:rPr>
        <w:t> </w:t>
      </w:r>
      <w:r w:rsidRPr="00A07F29">
        <w:rPr>
          <w:rFonts w:ascii="Times New Roman" w:eastAsia="Calibri" w:hAnsi="Times New Roman" w:cs="Times New Roman"/>
          <w:color w:val="000000"/>
          <w:sz w:val="24"/>
          <w:szCs w:val="24"/>
        </w:rPr>
        <w:t>att</w:t>
      </w:r>
      <w:r w:rsidR="00F31263">
        <w:rPr>
          <w:rFonts w:ascii="Times New Roman" w:eastAsia="Calibri" w:hAnsi="Times New Roman" w:cs="Times New Roman"/>
          <w:color w:val="000000"/>
          <w:sz w:val="24"/>
          <w:szCs w:val="24"/>
        </w:rPr>
        <w:t>ēls</w:t>
      </w:r>
      <w:r w:rsidRPr="00A07F29">
        <w:rPr>
          <w:rFonts w:ascii="Times New Roman" w:eastAsia="Calibri" w:hAnsi="Times New Roman" w:cs="Times New Roman"/>
          <w:color w:val="000000"/>
          <w:sz w:val="24"/>
          <w:szCs w:val="24"/>
        </w:rPr>
        <w:t>)</w:t>
      </w:r>
      <w:r w:rsidRPr="00A07F29">
        <w:rPr>
          <w:rFonts w:ascii="Times New Roman" w:eastAsia="Calibri" w:hAnsi="Times New Roman" w:cs="Times New Roman"/>
          <w:b/>
          <w:i/>
          <w:color w:val="000000"/>
          <w:sz w:val="24"/>
          <w:szCs w:val="24"/>
        </w:rPr>
        <w:t xml:space="preserve"> </w:t>
      </w:r>
      <w:r w:rsidRPr="00A07F29">
        <w:rPr>
          <w:rFonts w:ascii="Times New Roman" w:eastAsia="Calibri" w:hAnsi="Times New Roman" w:cs="Times New Roman"/>
          <w:color w:val="000000"/>
          <w:sz w:val="24"/>
          <w:szCs w:val="24"/>
        </w:rPr>
        <w:t xml:space="preserve">pirmoreiz teritorijā konstatēta </w:t>
      </w:r>
      <w:r w:rsidR="00BF0E06" w:rsidRPr="00A07F29">
        <w:rPr>
          <w:rFonts w:ascii="Times New Roman" w:eastAsia="Calibri" w:hAnsi="Times New Roman" w:cs="Times New Roman"/>
          <w:color w:val="000000"/>
          <w:sz w:val="24"/>
          <w:szCs w:val="24"/>
        </w:rPr>
        <w:t>DA plāna</w:t>
      </w:r>
      <w:r w:rsidRPr="00A07F29">
        <w:rPr>
          <w:rFonts w:ascii="Times New Roman" w:eastAsia="Calibri" w:hAnsi="Times New Roman" w:cs="Times New Roman"/>
          <w:color w:val="000000"/>
          <w:sz w:val="24"/>
          <w:szCs w:val="24"/>
        </w:rPr>
        <w:t xml:space="preserve"> izstrādes laikā, kad ēsmas lamatas tika izvietotas vairākos sugai piemērotos ezeros. Veikto </w:t>
      </w:r>
      <w:proofErr w:type="spellStart"/>
      <w:r w:rsidRPr="00A07F29">
        <w:rPr>
          <w:rFonts w:ascii="Times New Roman" w:eastAsia="Calibri" w:hAnsi="Times New Roman" w:cs="Times New Roman"/>
          <w:color w:val="000000"/>
          <w:sz w:val="24"/>
          <w:szCs w:val="24"/>
        </w:rPr>
        <w:t>apsekojumu</w:t>
      </w:r>
      <w:proofErr w:type="spellEnd"/>
      <w:r w:rsidRPr="00A07F29">
        <w:rPr>
          <w:rFonts w:ascii="Times New Roman" w:eastAsia="Calibri" w:hAnsi="Times New Roman" w:cs="Times New Roman"/>
          <w:color w:val="000000"/>
          <w:sz w:val="24"/>
          <w:szCs w:val="24"/>
        </w:rPr>
        <w:t xml:space="preserve"> laikā suga tika konstatēta </w:t>
      </w:r>
      <w:proofErr w:type="spellStart"/>
      <w:r w:rsidRPr="00A07F29">
        <w:rPr>
          <w:rFonts w:ascii="Times New Roman" w:eastAsia="Calibri" w:hAnsi="Times New Roman" w:cs="Times New Roman"/>
          <w:color w:val="000000"/>
          <w:spacing w:val="-1"/>
          <w:sz w:val="24"/>
          <w:szCs w:val="24"/>
        </w:rPr>
        <w:t>Vaičuku</w:t>
      </w:r>
      <w:proofErr w:type="spellEnd"/>
      <w:r w:rsidRPr="00A07F29">
        <w:rPr>
          <w:rFonts w:ascii="Times New Roman" w:eastAsia="Calibri" w:hAnsi="Times New Roman" w:cs="Times New Roman"/>
          <w:color w:val="000000"/>
          <w:spacing w:val="-1"/>
          <w:sz w:val="24"/>
          <w:szCs w:val="24"/>
        </w:rPr>
        <w:t xml:space="preserve"> </w:t>
      </w:r>
      <w:r w:rsidRPr="00A07F29">
        <w:rPr>
          <w:rFonts w:ascii="Times New Roman" w:eastAsia="Calibri" w:hAnsi="Times New Roman" w:cs="Times New Roman"/>
          <w:color w:val="000000"/>
          <w:sz w:val="24"/>
          <w:szCs w:val="24"/>
        </w:rPr>
        <w:t>ezerā (</w:t>
      </w:r>
      <w:r w:rsidR="00A03A28">
        <w:rPr>
          <w:rFonts w:ascii="Times New Roman" w:eastAsia="Calibri" w:hAnsi="Times New Roman" w:cs="Times New Roman"/>
          <w:color w:val="000000"/>
          <w:sz w:val="24"/>
          <w:szCs w:val="24"/>
        </w:rPr>
        <w:t xml:space="preserve">skat. </w:t>
      </w:r>
      <w:r w:rsidRPr="00A07F29">
        <w:rPr>
          <w:rFonts w:ascii="Times New Roman" w:eastAsia="Calibri" w:hAnsi="Times New Roman" w:cs="Times New Roman"/>
          <w:color w:val="000000"/>
          <w:sz w:val="24"/>
          <w:szCs w:val="24"/>
        </w:rPr>
        <w:t>4.</w:t>
      </w:r>
      <w:r w:rsidR="00390520" w:rsidRPr="00A07F29">
        <w:rPr>
          <w:rFonts w:ascii="Times New Roman" w:eastAsia="Calibri" w:hAnsi="Times New Roman" w:cs="Times New Roman"/>
          <w:color w:val="000000"/>
          <w:sz w:val="24"/>
          <w:szCs w:val="24"/>
        </w:rPr>
        <w:t>7</w:t>
      </w:r>
      <w:r w:rsidRPr="00A07F29">
        <w:rPr>
          <w:rFonts w:ascii="Times New Roman" w:eastAsia="Calibri" w:hAnsi="Times New Roman" w:cs="Times New Roman"/>
          <w:color w:val="000000"/>
          <w:sz w:val="24"/>
          <w:szCs w:val="24"/>
        </w:rPr>
        <w:t>.1.10</w:t>
      </w:r>
      <w:r w:rsidR="00390520" w:rsidRPr="00A07F29">
        <w:rPr>
          <w:rFonts w:ascii="Times New Roman" w:eastAsia="Calibri" w:hAnsi="Times New Roman" w:cs="Times New Roman"/>
          <w:color w:val="000000"/>
          <w:sz w:val="24"/>
          <w:szCs w:val="24"/>
        </w:rPr>
        <w:t>. </w:t>
      </w:r>
      <w:r w:rsidRPr="00A07F29">
        <w:rPr>
          <w:rFonts w:ascii="Times New Roman" w:eastAsia="Calibri" w:hAnsi="Times New Roman" w:cs="Times New Roman"/>
          <w:color w:val="000000"/>
          <w:sz w:val="24"/>
          <w:szCs w:val="24"/>
        </w:rPr>
        <w:t>att</w:t>
      </w:r>
      <w:r w:rsidR="00A03A28">
        <w:rPr>
          <w:rFonts w:ascii="Times New Roman" w:eastAsia="Calibri" w:hAnsi="Times New Roman" w:cs="Times New Roman"/>
          <w:color w:val="000000"/>
          <w:sz w:val="24"/>
          <w:szCs w:val="24"/>
        </w:rPr>
        <w:t>ēls</w:t>
      </w:r>
      <w:r w:rsidRPr="00A07F29">
        <w:rPr>
          <w:rFonts w:ascii="Times New Roman" w:eastAsia="Calibri" w:hAnsi="Times New Roman" w:cs="Times New Roman"/>
          <w:color w:val="000000"/>
          <w:sz w:val="24"/>
          <w:szCs w:val="24"/>
        </w:rPr>
        <w:t xml:space="preserve">), taču suga potenciāli var būt sastopama arī vairākos citos </w:t>
      </w:r>
      <w:r w:rsidR="00390520" w:rsidRPr="00A07F29">
        <w:rPr>
          <w:rFonts w:ascii="Times New Roman" w:eastAsia="Calibri" w:hAnsi="Times New Roman" w:cs="Times New Roman"/>
          <w:color w:val="000000"/>
          <w:sz w:val="24"/>
          <w:szCs w:val="20"/>
          <w:lang w:eastAsia="ar-SA"/>
        </w:rPr>
        <w:t xml:space="preserve">AAA “Augšdaugava” </w:t>
      </w:r>
      <w:r w:rsidRPr="00A07F29">
        <w:rPr>
          <w:rFonts w:ascii="Times New Roman" w:eastAsia="Calibri" w:hAnsi="Times New Roman" w:cs="Times New Roman"/>
          <w:color w:val="000000"/>
          <w:sz w:val="24"/>
          <w:szCs w:val="24"/>
        </w:rPr>
        <w:t>esošajos ezeros. Tā parasti sastopama ezeru piekrastēs ar labi attīstītu un daudzveidīgu piekrastes augāju. Ūdenstilpes izmēriem nav noteicošs raksturs, būtisk</w:t>
      </w:r>
      <w:r w:rsidR="00A03A28">
        <w:rPr>
          <w:rFonts w:ascii="Times New Roman" w:eastAsia="Calibri" w:hAnsi="Times New Roman" w:cs="Times New Roman"/>
          <w:color w:val="000000"/>
          <w:sz w:val="24"/>
          <w:szCs w:val="24"/>
        </w:rPr>
        <w:t>s</w:t>
      </w:r>
      <w:r w:rsidRPr="00A07F29">
        <w:rPr>
          <w:rFonts w:ascii="Times New Roman" w:eastAsia="Calibri" w:hAnsi="Times New Roman" w:cs="Times New Roman"/>
          <w:color w:val="000000"/>
          <w:sz w:val="24"/>
          <w:szCs w:val="24"/>
        </w:rPr>
        <w:t xml:space="preserve"> ir labi attīstīts ūdens augāja segums kombinācijā ar atvērtiem ūdens laukumiem. Pieaugušas vaboles un to kāpuri visbiežāk sastopami ezeru piekrastes joslā ar </w:t>
      </w:r>
      <w:proofErr w:type="spellStart"/>
      <w:r w:rsidRPr="00A07F29">
        <w:rPr>
          <w:rFonts w:ascii="Times New Roman" w:eastAsia="Calibri" w:hAnsi="Times New Roman" w:cs="Times New Roman"/>
          <w:color w:val="000000"/>
          <w:sz w:val="24"/>
          <w:szCs w:val="24"/>
        </w:rPr>
        <w:t>mezotrofu</w:t>
      </w:r>
      <w:proofErr w:type="spellEnd"/>
      <w:r w:rsidRPr="00A07F29">
        <w:rPr>
          <w:rFonts w:ascii="Times New Roman" w:eastAsia="Calibri" w:hAnsi="Times New Roman" w:cs="Times New Roman"/>
          <w:color w:val="000000"/>
          <w:sz w:val="24"/>
          <w:szCs w:val="24"/>
        </w:rPr>
        <w:t xml:space="preserve"> vai </w:t>
      </w:r>
      <w:proofErr w:type="spellStart"/>
      <w:r w:rsidRPr="00A07F29">
        <w:rPr>
          <w:rFonts w:ascii="Times New Roman" w:eastAsia="Calibri" w:hAnsi="Times New Roman" w:cs="Times New Roman"/>
          <w:color w:val="000000"/>
          <w:sz w:val="24"/>
          <w:szCs w:val="24"/>
        </w:rPr>
        <w:t>mezooligotrofu</w:t>
      </w:r>
      <w:proofErr w:type="spellEnd"/>
      <w:r w:rsidRPr="00A07F29">
        <w:rPr>
          <w:rFonts w:ascii="Times New Roman" w:eastAsia="Calibri" w:hAnsi="Times New Roman" w:cs="Times New Roman"/>
          <w:color w:val="000000"/>
          <w:sz w:val="24"/>
          <w:szCs w:val="24"/>
        </w:rPr>
        <w:t xml:space="preserve"> ūdensaugu augāju. Olu dēšanai platā </w:t>
      </w:r>
      <w:proofErr w:type="spellStart"/>
      <w:r w:rsidRPr="00A07F29">
        <w:rPr>
          <w:rFonts w:ascii="Times New Roman" w:eastAsia="Calibri" w:hAnsi="Times New Roman" w:cs="Times New Roman"/>
          <w:color w:val="000000"/>
          <w:sz w:val="24"/>
          <w:szCs w:val="24"/>
        </w:rPr>
        <w:t>airvabole</w:t>
      </w:r>
      <w:proofErr w:type="spellEnd"/>
      <w:r w:rsidRPr="00A07F29">
        <w:rPr>
          <w:rFonts w:ascii="Times New Roman" w:eastAsia="Calibri" w:hAnsi="Times New Roman" w:cs="Times New Roman"/>
          <w:color w:val="000000"/>
          <w:sz w:val="24"/>
          <w:szCs w:val="24"/>
        </w:rPr>
        <w:t xml:space="preserve"> parasti izvēlas labi apgaismotas seklas ezeru piekrastes aizvēja pusē ar </w:t>
      </w:r>
      <w:r w:rsidR="00390520" w:rsidRPr="00A07F29">
        <w:rPr>
          <w:rFonts w:ascii="Times New Roman" w:eastAsia="Calibri" w:hAnsi="Times New Roman" w:cs="Times New Roman"/>
          <w:color w:val="000000"/>
          <w:sz w:val="24"/>
          <w:szCs w:val="24"/>
        </w:rPr>
        <w:t>grīšļiem</w:t>
      </w:r>
      <w:r w:rsidRPr="00A07F29">
        <w:rPr>
          <w:rFonts w:ascii="Times New Roman" w:eastAsia="Calibri" w:hAnsi="Times New Roman" w:cs="Times New Roman"/>
          <w:color w:val="000000"/>
          <w:sz w:val="24"/>
          <w:szCs w:val="24"/>
        </w:rPr>
        <w:t xml:space="preserve"> u.c. ūdensaugiem. Olu dēšanas vietu šī suga parasti izvēlas 20</w:t>
      </w:r>
      <w:r w:rsidR="00D85BD2">
        <w:rPr>
          <w:rFonts w:ascii="Times New Roman" w:eastAsia="Calibri" w:hAnsi="Times New Roman" w:cs="Times New Roman"/>
          <w:color w:val="000000"/>
          <w:sz w:val="24"/>
          <w:szCs w:val="24"/>
        </w:rPr>
        <w:t> </w:t>
      </w:r>
      <w:r w:rsidRPr="00A07F29">
        <w:rPr>
          <w:rFonts w:ascii="Times New Roman" w:eastAsia="Calibri" w:hAnsi="Times New Roman" w:cs="Times New Roman"/>
          <w:color w:val="000000"/>
          <w:sz w:val="24"/>
          <w:szCs w:val="24"/>
        </w:rPr>
        <w:t>–</w:t>
      </w:r>
      <w:r w:rsidR="00D85BD2">
        <w:rPr>
          <w:rFonts w:ascii="Times New Roman" w:eastAsia="Calibri" w:hAnsi="Times New Roman" w:cs="Times New Roman"/>
          <w:color w:val="000000"/>
          <w:sz w:val="24"/>
          <w:szCs w:val="24"/>
        </w:rPr>
        <w:t> </w:t>
      </w:r>
      <w:r w:rsidRPr="00A07F29">
        <w:rPr>
          <w:rFonts w:ascii="Times New Roman" w:eastAsia="Calibri" w:hAnsi="Times New Roman" w:cs="Times New Roman"/>
          <w:color w:val="000000"/>
          <w:sz w:val="24"/>
          <w:szCs w:val="24"/>
        </w:rPr>
        <w:t>100</w:t>
      </w:r>
      <w:r w:rsidR="00D85BD2">
        <w:rPr>
          <w:rFonts w:ascii="Times New Roman" w:eastAsia="Calibri" w:hAnsi="Times New Roman" w:cs="Times New Roman"/>
          <w:color w:val="000000"/>
          <w:sz w:val="24"/>
          <w:szCs w:val="24"/>
        </w:rPr>
        <w:t> </w:t>
      </w:r>
      <w:r w:rsidRPr="00A07F29">
        <w:rPr>
          <w:rFonts w:ascii="Times New Roman" w:eastAsia="Calibri" w:hAnsi="Times New Roman" w:cs="Times New Roman"/>
          <w:color w:val="000000"/>
          <w:sz w:val="24"/>
          <w:szCs w:val="24"/>
        </w:rPr>
        <w:t xml:space="preserve">cm dziļumā. Nozīmīgs faktors šīs sugas sastopamībai ūdenstilpē ir maksteņu kāpuru klātbūtne, jo ar tiem barojas platās </w:t>
      </w:r>
      <w:proofErr w:type="spellStart"/>
      <w:r w:rsidRPr="00A07F29">
        <w:rPr>
          <w:rFonts w:ascii="Times New Roman" w:eastAsia="Calibri" w:hAnsi="Times New Roman" w:cs="Times New Roman"/>
          <w:color w:val="000000"/>
          <w:sz w:val="24"/>
          <w:szCs w:val="24"/>
        </w:rPr>
        <w:t>airvaboles</w:t>
      </w:r>
      <w:proofErr w:type="spellEnd"/>
      <w:r w:rsidRPr="00A07F29">
        <w:rPr>
          <w:rFonts w:ascii="Times New Roman" w:eastAsia="Calibri" w:hAnsi="Times New Roman" w:cs="Times New Roman"/>
          <w:color w:val="000000"/>
          <w:sz w:val="24"/>
          <w:szCs w:val="24"/>
        </w:rPr>
        <w:t xml:space="preserve"> kāpuri</w:t>
      </w:r>
      <w:r w:rsidR="00D82831">
        <w:rPr>
          <w:rFonts w:ascii="Times New Roman" w:eastAsia="Calibri" w:hAnsi="Times New Roman" w:cs="Times New Roman"/>
          <w:color w:val="000000"/>
          <w:sz w:val="24"/>
          <w:szCs w:val="24"/>
        </w:rPr>
        <w:t>.</w:t>
      </w:r>
      <w:r w:rsidRPr="00A07F29">
        <w:rPr>
          <w:rFonts w:ascii="Times New Roman" w:eastAsia="Calibri" w:hAnsi="Times New Roman" w:cs="Times New Roman"/>
          <w:color w:val="000000"/>
          <w:sz w:val="24"/>
          <w:szCs w:val="24"/>
        </w:rPr>
        <w:t xml:space="preserve"> </w:t>
      </w:r>
    </w:p>
    <w:p w14:paraId="148A2130" w14:textId="45B61F24" w:rsidR="009072CE" w:rsidRPr="00A07F29" w:rsidRDefault="009072CE" w:rsidP="00390520">
      <w:pPr>
        <w:autoSpaceDE w:val="0"/>
        <w:autoSpaceDN w:val="0"/>
        <w:adjustRightInd w:val="0"/>
        <w:spacing w:after="120" w:line="240" w:lineRule="auto"/>
        <w:ind w:firstLine="851"/>
        <w:jc w:val="both"/>
        <w:rPr>
          <w:rFonts w:ascii="Times New Roman" w:eastAsia="Calibri" w:hAnsi="Times New Roman" w:cs="Times New Roman"/>
          <w:color w:val="000000"/>
          <w:sz w:val="24"/>
          <w:szCs w:val="24"/>
        </w:rPr>
      </w:pPr>
      <w:r w:rsidRPr="00A07F29">
        <w:rPr>
          <w:rFonts w:ascii="Times New Roman" w:eastAsia="Calibri" w:hAnsi="Times New Roman" w:cs="Times New Roman"/>
          <w:color w:val="000000"/>
          <w:sz w:val="24"/>
          <w:szCs w:val="24"/>
        </w:rPr>
        <w:t xml:space="preserve">Platās </w:t>
      </w:r>
      <w:proofErr w:type="spellStart"/>
      <w:r w:rsidRPr="00A07F29">
        <w:rPr>
          <w:rFonts w:ascii="Times New Roman" w:eastAsia="Calibri" w:hAnsi="Times New Roman" w:cs="Times New Roman"/>
          <w:color w:val="000000"/>
          <w:sz w:val="24"/>
          <w:szCs w:val="24"/>
        </w:rPr>
        <w:t>airvaboles</w:t>
      </w:r>
      <w:proofErr w:type="spellEnd"/>
      <w:r w:rsidRPr="00A07F29">
        <w:rPr>
          <w:rFonts w:ascii="Times New Roman" w:eastAsia="Calibri" w:hAnsi="Times New Roman" w:cs="Times New Roman"/>
          <w:color w:val="000000"/>
          <w:sz w:val="24"/>
          <w:szCs w:val="24"/>
        </w:rPr>
        <w:t xml:space="preserve"> īpatņu skaita novērtēšanai tika izmantots piekrastes joslas garums 20</w:t>
      </w:r>
      <w:r w:rsidR="006C0ED2">
        <w:rPr>
          <w:rFonts w:ascii="Times New Roman" w:eastAsia="Calibri" w:hAnsi="Times New Roman" w:cs="Times New Roman"/>
          <w:color w:val="000000"/>
          <w:sz w:val="24"/>
          <w:szCs w:val="24"/>
        </w:rPr>
        <w:t> </w:t>
      </w:r>
      <w:r w:rsidRPr="00A07F29">
        <w:rPr>
          <w:rFonts w:ascii="Times New Roman" w:eastAsia="Calibri" w:hAnsi="Times New Roman" w:cs="Times New Roman"/>
          <w:color w:val="000000"/>
          <w:sz w:val="24"/>
          <w:szCs w:val="24"/>
        </w:rPr>
        <w:t xml:space="preserve">m platumā, kas </w:t>
      </w:r>
      <w:proofErr w:type="spellStart"/>
      <w:r w:rsidRPr="00A07F29">
        <w:rPr>
          <w:rFonts w:ascii="Times New Roman" w:eastAsia="Calibri" w:hAnsi="Times New Roman" w:cs="Times New Roman"/>
          <w:color w:val="000000"/>
          <w:sz w:val="24"/>
          <w:szCs w:val="24"/>
        </w:rPr>
        <w:t>Vaičuku</w:t>
      </w:r>
      <w:proofErr w:type="spellEnd"/>
      <w:r w:rsidRPr="00A07F29">
        <w:rPr>
          <w:rFonts w:ascii="Times New Roman" w:eastAsia="Calibri" w:hAnsi="Times New Roman" w:cs="Times New Roman"/>
          <w:color w:val="000000"/>
          <w:sz w:val="24"/>
          <w:szCs w:val="24"/>
        </w:rPr>
        <w:t xml:space="preserve"> ezerā ir 1397</w:t>
      </w:r>
      <w:r w:rsidR="006C0ED2">
        <w:rPr>
          <w:rFonts w:ascii="Times New Roman" w:eastAsia="Calibri" w:hAnsi="Times New Roman" w:cs="Times New Roman"/>
          <w:color w:val="000000"/>
          <w:sz w:val="24"/>
          <w:szCs w:val="24"/>
        </w:rPr>
        <w:t> </w:t>
      </w:r>
      <w:r w:rsidRPr="00A07F29">
        <w:rPr>
          <w:rFonts w:ascii="Times New Roman" w:eastAsia="Calibri" w:hAnsi="Times New Roman" w:cs="Times New Roman"/>
          <w:color w:val="000000"/>
          <w:sz w:val="24"/>
          <w:szCs w:val="24"/>
        </w:rPr>
        <w:t xml:space="preserve">m. Balstoties </w:t>
      </w:r>
      <w:r w:rsidRPr="00CA7016">
        <w:rPr>
          <w:rFonts w:ascii="Times New Roman" w:eastAsia="Calibri" w:hAnsi="Times New Roman" w:cs="Times New Roman"/>
          <w:color w:val="000000"/>
          <w:sz w:val="24"/>
          <w:szCs w:val="24"/>
        </w:rPr>
        <w:t>uz D</w:t>
      </w:r>
      <w:r w:rsidR="00CA7016">
        <w:rPr>
          <w:rFonts w:ascii="Times New Roman" w:eastAsia="Calibri" w:hAnsi="Times New Roman" w:cs="Times New Roman"/>
          <w:color w:val="000000"/>
          <w:sz w:val="24"/>
          <w:szCs w:val="24"/>
        </w:rPr>
        <w:t>U</w:t>
      </w:r>
      <w:r w:rsidRPr="00A07F29">
        <w:rPr>
          <w:rFonts w:ascii="Times New Roman" w:eastAsia="Calibri" w:hAnsi="Times New Roman" w:cs="Times New Roman"/>
          <w:color w:val="000000"/>
          <w:sz w:val="24"/>
          <w:szCs w:val="24"/>
        </w:rPr>
        <w:t xml:space="preserve"> pētnieku nepublicētajiem datiem uz ezera krasta līnijas </w:t>
      </w:r>
      <w:r w:rsidR="005962EE">
        <w:rPr>
          <w:rFonts w:ascii="Times New Roman" w:eastAsia="Calibri" w:hAnsi="Times New Roman" w:cs="Times New Roman"/>
          <w:color w:val="000000"/>
          <w:sz w:val="24"/>
          <w:szCs w:val="24"/>
        </w:rPr>
        <w:t>diviem</w:t>
      </w:r>
      <w:r w:rsidRPr="00A07F29">
        <w:rPr>
          <w:rFonts w:ascii="Times New Roman" w:eastAsia="Calibri" w:hAnsi="Times New Roman" w:cs="Times New Roman"/>
          <w:color w:val="000000"/>
          <w:sz w:val="24"/>
          <w:szCs w:val="24"/>
        </w:rPr>
        <w:t xml:space="preserve"> metriem ir prognozējams </w:t>
      </w:r>
      <w:r w:rsidR="005962EE">
        <w:rPr>
          <w:rFonts w:ascii="Times New Roman" w:eastAsia="Calibri" w:hAnsi="Times New Roman" w:cs="Times New Roman"/>
          <w:color w:val="000000"/>
          <w:sz w:val="24"/>
          <w:szCs w:val="24"/>
        </w:rPr>
        <w:t>viens</w:t>
      </w:r>
      <w:r w:rsidRPr="00A07F29">
        <w:rPr>
          <w:rFonts w:ascii="Times New Roman" w:eastAsia="Calibri" w:hAnsi="Times New Roman" w:cs="Times New Roman"/>
          <w:color w:val="000000"/>
          <w:sz w:val="24"/>
          <w:szCs w:val="24"/>
        </w:rPr>
        <w:t xml:space="preserve"> platās </w:t>
      </w:r>
      <w:proofErr w:type="spellStart"/>
      <w:r w:rsidRPr="00A07F29">
        <w:rPr>
          <w:rFonts w:ascii="Times New Roman" w:eastAsia="Calibri" w:hAnsi="Times New Roman" w:cs="Times New Roman"/>
          <w:color w:val="000000"/>
          <w:sz w:val="24"/>
          <w:szCs w:val="24"/>
        </w:rPr>
        <w:t>airvaboles</w:t>
      </w:r>
      <w:proofErr w:type="spellEnd"/>
      <w:r w:rsidRPr="00A07F29">
        <w:rPr>
          <w:rFonts w:ascii="Times New Roman" w:eastAsia="Calibri" w:hAnsi="Times New Roman" w:cs="Times New Roman"/>
          <w:color w:val="000000"/>
          <w:sz w:val="24"/>
          <w:szCs w:val="24"/>
        </w:rPr>
        <w:t xml:space="preserve"> īpatnis, rezultātā </w:t>
      </w:r>
      <w:proofErr w:type="spellStart"/>
      <w:r w:rsidRPr="00A07F29">
        <w:rPr>
          <w:rFonts w:ascii="Times New Roman" w:eastAsia="Calibri" w:hAnsi="Times New Roman" w:cs="Times New Roman"/>
          <w:color w:val="000000"/>
          <w:sz w:val="24"/>
          <w:szCs w:val="24"/>
        </w:rPr>
        <w:t>Vaičuku</w:t>
      </w:r>
      <w:proofErr w:type="spellEnd"/>
      <w:r w:rsidRPr="00A07F29">
        <w:rPr>
          <w:rFonts w:ascii="Times New Roman" w:eastAsia="Calibri" w:hAnsi="Times New Roman" w:cs="Times New Roman"/>
          <w:color w:val="000000"/>
          <w:sz w:val="24"/>
          <w:szCs w:val="24"/>
        </w:rPr>
        <w:t xml:space="preserve"> ezerā potenciāli iespējama 700 īpatņu sastopamība. Vērtējot sugas sastopamībai potenciāli piemēroto ezeru skaitu, platās </w:t>
      </w:r>
      <w:proofErr w:type="spellStart"/>
      <w:r w:rsidRPr="00A07F29">
        <w:rPr>
          <w:rFonts w:ascii="Times New Roman" w:eastAsia="Calibri" w:hAnsi="Times New Roman" w:cs="Times New Roman"/>
          <w:color w:val="000000"/>
          <w:sz w:val="24"/>
          <w:szCs w:val="24"/>
        </w:rPr>
        <w:t>airvaboles</w:t>
      </w:r>
      <w:proofErr w:type="spellEnd"/>
      <w:r w:rsidRPr="00A07F29">
        <w:rPr>
          <w:rFonts w:ascii="Times New Roman" w:eastAsia="Calibri" w:hAnsi="Times New Roman" w:cs="Times New Roman"/>
          <w:color w:val="000000"/>
          <w:sz w:val="24"/>
          <w:szCs w:val="24"/>
        </w:rPr>
        <w:t xml:space="preserve"> īpatņu skaits teritorijā var sasniegt 7000.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3"/>
        <w:gridCol w:w="4531"/>
      </w:tblGrid>
      <w:tr w:rsidR="009072CE" w:rsidRPr="00A07F29" w14:paraId="61B215D6" w14:textId="77777777" w:rsidTr="63C42FA1">
        <w:tc>
          <w:tcPr>
            <w:tcW w:w="4956" w:type="dxa"/>
          </w:tcPr>
          <w:p w14:paraId="2272AC17" w14:textId="6064AA40" w:rsidR="009072CE" w:rsidRPr="00A07F29" w:rsidRDefault="009072CE" w:rsidP="009072CE">
            <w:pPr>
              <w:suppressAutoHyphens/>
              <w:rPr>
                <w:color w:val="000000"/>
                <w:szCs w:val="20"/>
                <w:lang w:eastAsia="ar-SA"/>
              </w:rPr>
            </w:pPr>
            <w:r w:rsidRPr="00A07F29">
              <w:rPr>
                <w:iCs/>
                <w:noProof/>
                <w:color w:val="000000"/>
                <w:szCs w:val="20"/>
                <w:lang w:eastAsia="lv-LV"/>
              </w:rPr>
              <w:drawing>
                <wp:inline distT="0" distB="0" distL="0" distR="0" wp14:anchorId="247862F9" wp14:editId="7D0C22FA">
                  <wp:extent cx="2934240" cy="1905000"/>
                  <wp:effectExtent l="0" t="0" r="0" b="0"/>
                  <wp:docPr id="918145577" name="Picture 3" descr="Z:\Family\Uldis\DIVIC\DIVIC_projekti\LVAF_Rugeli_2014\Valerij D-pils 2\DSC_4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Family\Uldis\DIVIC\DIVIC_projekti\LVAF_Rugeli_2014\Valerij D-pils 2\DSC_4051.jpg"/>
                          <pic:cNvPicPr>
                            <a:picLocks noChangeAspect="1" noChangeArrowheads="1"/>
                          </pic:cNvPicPr>
                        </pic:nvPicPr>
                        <pic:blipFill rotWithShape="1">
                          <a:blip r:embed="rId76" cstate="email">
                            <a:extLst>
                              <a:ext uri="{28A0092B-C50C-407E-A947-70E740481C1C}">
                                <a14:useLocalDpi xmlns:a14="http://schemas.microsoft.com/office/drawing/2010/main"/>
                              </a:ext>
                            </a:extLst>
                          </a:blip>
                          <a:srcRect t="4358" r="16601" b="15680"/>
                          <a:stretch/>
                        </pic:blipFill>
                        <pic:spPr bwMode="auto">
                          <a:xfrm>
                            <a:off x="0" y="0"/>
                            <a:ext cx="2939641" cy="190850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97" w:type="dxa"/>
          </w:tcPr>
          <w:p w14:paraId="2440B6D0" w14:textId="4D95F838" w:rsidR="009072CE" w:rsidRPr="00A07F29" w:rsidRDefault="009072CE" w:rsidP="009072CE">
            <w:pPr>
              <w:suppressAutoHyphens/>
              <w:rPr>
                <w:color w:val="000000"/>
                <w:szCs w:val="20"/>
                <w:lang w:eastAsia="ar-SA"/>
              </w:rPr>
            </w:pPr>
            <w:r w:rsidRPr="00A07F29">
              <w:rPr>
                <w:noProof/>
                <w:color w:val="000000"/>
                <w:szCs w:val="20"/>
                <w:lang w:eastAsia="lv-LV"/>
              </w:rPr>
              <w:drawing>
                <wp:inline distT="0" distB="0" distL="0" distR="0" wp14:anchorId="0D9D9E1B" wp14:editId="55A6BFCA">
                  <wp:extent cx="2748197" cy="1905000"/>
                  <wp:effectExtent l="0" t="0" r="0" b="0"/>
                  <wp:docPr id="918145578" name="Picture 27" descr="Z:\Family\Uldis\Uldis\Dabas_eksperts\IADT_ekspertizes\Augsdaugava\Foto\Vaicuku ezer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Z:\Family\Uldis\Uldis\Dabas_eksperts\IADT_ekspertizes\Augsdaugava\Foto\Vaicuku ezers\3.jpg"/>
                          <pic:cNvPicPr>
                            <a:picLocks noChangeAspect="1" noChangeArrowheads="1"/>
                          </pic:cNvPicPr>
                        </pic:nvPicPr>
                        <pic:blipFill rotWithShape="1">
                          <a:blip r:embed="rId77" cstate="email">
                            <a:extLst>
                              <a:ext uri="{28A0092B-C50C-407E-A947-70E740481C1C}">
                                <a14:useLocalDpi xmlns:a14="http://schemas.microsoft.com/office/drawing/2010/main"/>
                              </a:ext>
                            </a:extLst>
                          </a:blip>
                          <a:srcRect t="7576"/>
                          <a:stretch/>
                        </pic:blipFill>
                        <pic:spPr bwMode="auto">
                          <a:xfrm rot="10800000">
                            <a:off x="0" y="0"/>
                            <a:ext cx="2748749" cy="190538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072CE" w:rsidRPr="00A07F29" w14:paraId="1740AFEA" w14:textId="77777777" w:rsidTr="63C42FA1">
        <w:tc>
          <w:tcPr>
            <w:tcW w:w="4956" w:type="dxa"/>
          </w:tcPr>
          <w:p w14:paraId="07FCAF80" w14:textId="7FCA8EE9" w:rsidR="009072CE" w:rsidRPr="005962EE" w:rsidRDefault="009072CE" w:rsidP="00390520">
            <w:pPr>
              <w:suppressAutoHyphens/>
              <w:rPr>
                <w:rFonts w:ascii="Times New Roman" w:hAnsi="Times New Roman" w:cs="Times New Roman"/>
                <w:bCs/>
                <w:iCs/>
                <w:color w:val="000000"/>
                <w:sz w:val="20"/>
                <w:szCs w:val="20"/>
                <w:lang w:eastAsia="ar-SA"/>
              </w:rPr>
            </w:pPr>
            <w:r w:rsidRPr="005962EE">
              <w:rPr>
                <w:rFonts w:ascii="Times New Roman" w:eastAsia="Calibri" w:hAnsi="Times New Roman" w:cs="Times New Roman"/>
                <w:bCs/>
                <w:iCs/>
                <w:color w:val="000000"/>
                <w:sz w:val="20"/>
                <w:szCs w:val="20"/>
                <w:lang w:eastAsia="ar-SA"/>
              </w:rPr>
              <w:t>4.</w:t>
            </w:r>
            <w:r w:rsidR="00390520" w:rsidRPr="005962EE">
              <w:rPr>
                <w:rFonts w:ascii="Times New Roman" w:eastAsia="Calibri" w:hAnsi="Times New Roman" w:cs="Times New Roman"/>
                <w:bCs/>
                <w:iCs/>
                <w:color w:val="000000"/>
                <w:sz w:val="20"/>
                <w:szCs w:val="20"/>
                <w:lang w:eastAsia="ar-SA"/>
              </w:rPr>
              <w:t>7</w:t>
            </w:r>
            <w:r w:rsidRPr="005962EE">
              <w:rPr>
                <w:rFonts w:ascii="Times New Roman" w:eastAsia="Calibri" w:hAnsi="Times New Roman" w:cs="Times New Roman"/>
                <w:bCs/>
                <w:iCs/>
                <w:color w:val="000000"/>
                <w:sz w:val="20"/>
                <w:szCs w:val="20"/>
                <w:lang w:eastAsia="ar-SA"/>
              </w:rPr>
              <w:t>.1.</w:t>
            </w:r>
            <w:r w:rsidRPr="005962EE">
              <w:rPr>
                <w:rFonts w:ascii="Times New Roman" w:hAnsi="Times New Roman" w:cs="Times New Roman"/>
                <w:bCs/>
                <w:iCs/>
                <w:color w:val="000000"/>
                <w:sz w:val="20"/>
                <w:szCs w:val="20"/>
                <w:lang w:eastAsia="ar-SA"/>
              </w:rPr>
              <w:t>9.</w:t>
            </w:r>
            <w:r w:rsidR="005962EE" w:rsidRPr="005962EE">
              <w:rPr>
                <w:rFonts w:ascii="Times New Roman" w:hAnsi="Times New Roman" w:cs="Times New Roman"/>
                <w:bCs/>
                <w:iCs/>
                <w:color w:val="000000"/>
                <w:sz w:val="20"/>
                <w:szCs w:val="20"/>
                <w:lang w:eastAsia="ar-SA"/>
              </w:rPr>
              <w:t> </w:t>
            </w:r>
            <w:r w:rsidRPr="005962EE">
              <w:rPr>
                <w:rFonts w:ascii="Times New Roman" w:hAnsi="Times New Roman" w:cs="Times New Roman"/>
                <w:bCs/>
                <w:iCs/>
                <w:color w:val="000000"/>
                <w:sz w:val="20"/>
                <w:szCs w:val="20"/>
                <w:lang w:eastAsia="ar-SA"/>
              </w:rPr>
              <w:t xml:space="preserve">attēls. Platā </w:t>
            </w:r>
            <w:proofErr w:type="spellStart"/>
            <w:r w:rsidRPr="005962EE">
              <w:rPr>
                <w:rFonts w:ascii="Times New Roman" w:hAnsi="Times New Roman" w:cs="Times New Roman"/>
                <w:bCs/>
                <w:iCs/>
                <w:color w:val="000000"/>
                <w:sz w:val="20"/>
                <w:szCs w:val="20"/>
                <w:lang w:eastAsia="ar-SA"/>
              </w:rPr>
              <w:t>airvabole</w:t>
            </w:r>
            <w:proofErr w:type="spellEnd"/>
            <w:r w:rsidRPr="005962EE">
              <w:rPr>
                <w:rFonts w:ascii="Times New Roman" w:hAnsi="Times New Roman" w:cs="Times New Roman"/>
                <w:bCs/>
                <w:iCs/>
                <w:color w:val="000000"/>
                <w:sz w:val="20"/>
                <w:szCs w:val="20"/>
                <w:lang w:eastAsia="ar-SA"/>
              </w:rPr>
              <w:t xml:space="preserve"> (mātīte attēlā pa labi,</w:t>
            </w:r>
            <w:r w:rsidR="00D65BBA" w:rsidRPr="005962EE">
              <w:rPr>
                <w:rFonts w:ascii="Times New Roman" w:hAnsi="Times New Roman" w:cs="Times New Roman"/>
                <w:bCs/>
                <w:iCs/>
                <w:color w:val="000000"/>
                <w:sz w:val="20"/>
                <w:szCs w:val="20"/>
                <w:lang w:eastAsia="ar-SA"/>
              </w:rPr>
              <w:t xml:space="preserve"> </w:t>
            </w:r>
            <w:r w:rsidRPr="005962EE">
              <w:rPr>
                <w:rFonts w:ascii="Times New Roman" w:hAnsi="Times New Roman" w:cs="Times New Roman"/>
                <w:bCs/>
                <w:iCs/>
                <w:color w:val="000000"/>
                <w:sz w:val="20"/>
                <w:szCs w:val="20"/>
                <w:lang w:eastAsia="ar-SA"/>
              </w:rPr>
              <w:t>(Foto: V.</w:t>
            </w:r>
            <w:r w:rsidR="005962EE" w:rsidRPr="005962EE">
              <w:rPr>
                <w:rFonts w:ascii="Times New Roman" w:hAnsi="Times New Roman" w:cs="Times New Roman"/>
                <w:bCs/>
                <w:iCs/>
                <w:color w:val="000000"/>
                <w:sz w:val="20"/>
                <w:szCs w:val="20"/>
                <w:lang w:eastAsia="ar-SA"/>
              </w:rPr>
              <w:t> </w:t>
            </w:r>
            <w:proofErr w:type="spellStart"/>
            <w:r w:rsidRPr="005962EE">
              <w:rPr>
                <w:rFonts w:ascii="Times New Roman" w:hAnsi="Times New Roman" w:cs="Times New Roman"/>
                <w:bCs/>
                <w:iCs/>
                <w:color w:val="000000"/>
                <w:sz w:val="20"/>
                <w:szCs w:val="20"/>
                <w:lang w:eastAsia="ar-SA"/>
              </w:rPr>
              <w:t>Vahruševs</w:t>
            </w:r>
            <w:proofErr w:type="spellEnd"/>
            <w:r w:rsidRPr="005962EE">
              <w:rPr>
                <w:rFonts w:ascii="Times New Roman" w:hAnsi="Times New Roman" w:cs="Times New Roman"/>
                <w:bCs/>
                <w:iCs/>
                <w:color w:val="000000"/>
                <w:sz w:val="20"/>
                <w:szCs w:val="20"/>
                <w:lang w:eastAsia="ar-SA"/>
              </w:rPr>
              <w:t>)</w:t>
            </w:r>
          </w:p>
        </w:tc>
        <w:tc>
          <w:tcPr>
            <w:tcW w:w="4397" w:type="dxa"/>
          </w:tcPr>
          <w:p w14:paraId="03E5858A" w14:textId="2F665B6C" w:rsidR="009072CE" w:rsidRPr="005962EE" w:rsidRDefault="009072CE" w:rsidP="00390520">
            <w:pPr>
              <w:suppressAutoHyphens/>
              <w:rPr>
                <w:rFonts w:ascii="Times New Roman" w:hAnsi="Times New Roman" w:cs="Times New Roman"/>
                <w:bCs/>
                <w:iCs/>
                <w:color w:val="000000"/>
                <w:sz w:val="20"/>
                <w:szCs w:val="20"/>
                <w:lang w:eastAsia="ar-SA"/>
              </w:rPr>
            </w:pPr>
            <w:r w:rsidRPr="005962EE">
              <w:rPr>
                <w:rFonts w:ascii="Times New Roman" w:eastAsia="Calibri" w:hAnsi="Times New Roman" w:cs="Times New Roman"/>
                <w:bCs/>
                <w:iCs/>
                <w:color w:val="000000"/>
                <w:sz w:val="20"/>
                <w:szCs w:val="20"/>
                <w:lang w:eastAsia="ar-SA"/>
              </w:rPr>
              <w:t>4.</w:t>
            </w:r>
            <w:r w:rsidR="00390520" w:rsidRPr="005962EE">
              <w:rPr>
                <w:rFonts w:ascii="Times New Roman" w:eastAsia="Calibri" w:hAnsi="Times New Roman" w:cs="Times New Roman"/>
                <w:bCs/>
                <w:iCs/>
                <w:color w:val="000000"/>
                <w:sz w:val="20"/>
                <w:szCs w:val="20"/>
                <w:lang w:eastAsia="ar-SA"/>
              </w:rPr>
              <w:t>7</w:t>
            </w:r>
            <w:r w:rsidRPr="005962EE">
              <w:rPr>
                <w:rFonts w:ascii="Times New Roman" w:eastAsia="Calibri" w:hAnsi="Times New Roman" w:cs="Times New Roman"/>
                <w:bCs/>
                <w:iCs/>
                <w:color w:val="000000"/>
                <w:sz w:val="20"/>
                <w:szCs w:val="20"/>
                <w:lang w:eastAsia="ar-SA"/>
              </w:rPr>
              <w:t>.1.</w:t>
            </w:r>
            <w:r w:rsidRPr="005962EE">
              <w:rPr>
                <w:rFonts w:ascii="Times New Roman" w:hAnsi="Times New Roman" w:cs="Times New Roman"/>
                <w:bCs/>
                <w:iCs/>
                <w:color w:val="000000"/>
                <w:sz w:val="20"/>
                <w:szCs w:val="20"/>
                <w:lang w:eastAsia="ar-SA"/>
              </w:rPr>
              <w:t>10.</w:t>
            </w:r>
            <w:r w:rsidR="005962EE" w:rsidRPr="005962EE">
              <w:rPr>
                <w:rFonts w:ascii="Times New Roman" w:hAnsi="Times New Roman" w:cs="Times New Roman"/>
                <w:bCs/>
                <w:iCs/>
                <w:color w:val="000000"/>
                <w:sz w:val="20"/>
                <w:szCs w:val="20"/>
                <w:lang w:eastAsia="ar-SA"/>
              </w:rPr>
              <w:t> </w:t>
            </w:r>
            <w:r w:rsidRPr="005962EE">
              <w:rPr>
                <w:rFonts w:ascii="Times New Roman" w:hAnsi="Times New Roman" w:cs="Times New Roman"/>
                <w:bCs/>
                <w:iCs/>
                <w:color w:val="000000"/>
                <w:sz w:val="20"/>
                <w:szCs w:val="20"/>
                <w:lang w:eastAsia="ar-SA"/>
              </w:rPr>
              <w:t xml:space="preserve">attēls. Platās </w:t>
            </w:r>
            <w:proofErr w:type="spellStart"/>
            <w:r w:rsidRPr="005962EE">
              <w:rPr>
                <w:rFonts w:ascii="Times New Roman" w:hAnsi="Times New Roman" w:cs="Times New Roman"/>
                <w:bCs/>
                <w:iCs/>
                <w:color w:val="000000"/>
                <w:sz w:val="20"/>
                <w:szCs w:val="20"/>
                <w:lang w:eastAsia="ar-SA"/>
              </w:rPr>
              <w:t>airvaboles</w:t>
            </w:r>
            <w:proofErr w:type="spellEnd"/>
            <w:r w:rsidRPr="005962EE">
              <w:rPr>
                <w:rFonts w:ascii="Times New Roman" w:hAnsi="Times New Roman" w:cs="Times New Roman"/>
                <w:bCs/>
                <w:iCs/>
                <w:color w:val="000000"/>
                <w:sz w:val="20"/>
                <w:szCs w:val="20"/>
                <w:lang w:eastAsia="ar-SA"/>
              </w:rPr>
              <w:t xml:space="preserve"> dzīvotne </w:t>
            </w:r>
            <w:proofErr w:type="spellStart"/>
            <w:r w:rsidRPr="005962EE">
              <w:rPr>
                <w:rFonts w:ascii="Times New Roman" w:hAnsi="Times New Roman" w:cs="Times New Roman"/>
                <w:bCs/>
                <w:iCs/>
                <w:color w:val="000000"/>
                <w:sz w:val="20"/>
                <w:szCs w:val="20"/>
                <w:lang w:eastAsia="ar-SA"/>
              </w:rPr>
              <w:t>Vaičuku</w:t>
            </w:r>
            <w:proofErr w:type="spellEnd"/>
            <w:r w:rsidRPr="005962EE">
              <w:rPr>
                <w:rFonts w:ascii="Times New Roman" w:hAnsi="Times New Roman" w:cs="Times New Roman"/>
                <w:bCs/>
                <w:iCs/>
                <w:color w:val="000000"/>
                <w:sz w:val="20"/>
                <w:szCs w:val="20"/>
                <w:lang w:eastAsia="ar-SA"/>
              </w:rPr>
              <w:t xml:space="preserve"> ezerā (Foto: M.</w:t>
            </w:r>
            <w:r w:rsidR="005962EE" w:rsidRPr="005962EE">
              <w:rPr>
                <w:rFonts w:ascii="Times New Roman" w:hAnsi="Times New Roman" w:cs="Times New Roman"/>
                <w:bCs/>
                <w:iCs/>
                <w:color w:val="000000"/>
                <w:sz w:val="20"/>
                <w:szCs w:val="20"/>
                <w:lang w:eastAsia="ar-SA"/>
              </w:rPr>
              <w:t> </w:t>
            </w:r>
            <w:proofErr w:type="spellStart"/>
            <w:r w:rsidRPr="005962EE">
              <w:rPr>
                <w:rFonts w:ascii="Times New Roman" w:hAnsi="Times New Roman" w:cs="Times New Roman"/>
                <w:bCs/>
                <w:iCs/>
                <w:color w:val="000000"/>
                <w:sz w:val="20"/>
                <w:szCs w:val="20"/>
                <w:lang w:eastAsia="ar-SA"/>
              </w:rPr>
              <w:t>Balalaikins</w:t>
            </w:r>
            <w:proofErr w:type="spellEnd"/>
            <w:r w:rsidRPr="005962EE">
              <w:rPr>
                <w:rFonts w:ascii="Times New Roman" w:hAnsi="Times New Roman" w:cs="Times New Roman"/>
                <w:bCs/>
                <w:iCs/>
                <w:color w:val="000000"/>
                <w:sz w:val="20"/>
                <w:szCs w:val="20"/>
                <w:lang w:eastAsia="ar-SA"/>
              </w:rPr>
              <w:t>)</w:t>
            </w:r>
          </w:p>
        </w:tc>
      </w:tr>
    </w:tbl>
    <w:p w14:paraId="27A96100" w14:textId="77777777" w:rsidR="009072CE" w:rsidRPr="00A07F29" w:rsidRDefault="009072CE" w:rsidP="00E22CE3">
      <w:pPr>
        <w:autoSpaceDE w:val="0"/>
        <w:autoSpaceDN w:val="0"/>
        <w:adjustRightInd w:val="0"/>
        <w:spacing w:after="120" w:line="240" w:lineRule="auto"/>
        <w:ind w:firstLine="851"/>
        <w:jc w:val="both"/>
        <w:rPr>
          <w:rFonts w:ascii="Times New Roman" w:eastAsia="Calibri" w:hAnsi="Times New Roman" w:cs="Times New Roman"/>
          <w:bCs/>
          <w:i/>
          <w:iCs/>
          <w:color w:val="000000"/>
          <w:sz w:val="24"/>
          <w:szCs w:val="24"/>
        </w:rPr>
      </w:pPr>
    </w:p>
    <w:p w14:paraId="65D35158" w14:textId="765D0545" w:rsidR="009072CE" w:rsidRPr="00A07F29" w:rsidRDefault="009072CE" w:rsidP="00E22CE3">
      <w:pPr>
        <w:suppressAutoHyphens/>
        <w:spacing w:after="120" w:line="240" w:lineRule="auto"/>
        <w:ind w:firstLine="851"/>
        <w:jc w:val="both"/>
        <w:rPr>
          <w:rFonts w:ascii="Times New Roman" w:eastAsia="Calibri" w:hAnsi="Times New Roman" w:cs="Times New Roman"/>
          <w:color w:val="000000"/>
          <w:sz w:val="24"/>
          <w:szCs w:val="36"/>
        </w:rPr>
      </w:pPr>
      <w:r w:rsidRPr="00A07F29">
        <w:rPr>
          <w:rFonts w:ascii="Times New Roman" w:eastAsia="Calibri" w:hAnsi="Times New Roman" w:cs="Times New Roman"/>
          <w:color w:val="000000"/>
          <w:sz w:val="24"/>
          <w:szCs w:val="20"/>
          <w:lang w:eastAsia="ar-SA"/>
        </w:rPr>
        <w:t>Viena no būtiskajām AAA “Augšdaugava” vērtībām ir dienas tauriņu un naktstauriņu daudzveidība, tajā skaitā aizsargājamās tauriņu sugas. Tauriņiem (tajā skaitā Biotopu direktīvas sugām) piemērotas dzīvotnes (zālāji, dažādas atklātas vietas, mežmalas utt.) ĪADT sastopamas salīdzinoši lielās platībās.</w:t>
      </w:r>
    </w:p>
    <w:p w14:paraId="23CCE0BD" w14:textId="3BF63486" w:rsidR="005C5A50" w:rsidRPr="00A07F29" w:rsidRDefault="009072CE" w:rsidP="00E22CE3">
      <w:pPr>
        <w:autoSpaceDE w:val="0"/>
        <w:autoSpaceDN w:val="0"/>
        <w:adjustRightInd w:val="0"/>
        <w:spacing w:after="120" w:line="240" w:lineRule="auto"/>
        <w:ind w:firstLine="851"/>
        <w:jc w:val="both"/>
        <w:rPr>
          <w:rFonts w:ascii="Times New Roman" w:eastAsia="Calibri" w:hAnsi="Times New Roman" w:cs="Times New Roman"/>
          <w:color w:val="000000"/>
          <w:sz w:val="24"/>
          <w:szCs w:val="24"/>
        </w:rPr>
      </w:pPr>
      <w:r w:rsidRPr="00A07F29">
        <w:rPr>
          <w:rFonts w:ascii="Times New Roman" w:eastAsia="Calibri" w:hAnsi="Times New Roman" w:cs="Times New Roman"/>
          <w:color w:val="000000"/>
          <w:sz w:val="24"/>
          <w:szCs w:val="36"/>
        </w:rPr>
        <w:t xml:space="preserve">Viena no </w:t>
      </w:r>
      <w:r w:rsidR="005C5A50" w:rsidRPr="00A07F29">
        <w:rPr>
          <w:rFonts w:ascii="Times New Roman" w:eastAsia="Calibri" w:hAnsi="Times New Roman" w:cs="Times New Roman"/>
          <w:color w:val="000000"/>
          <w:sz w:val="24"/>
          <w:szCs w:val="36"/>
        </w:rPr>
        <w:t>ES nozīmes</w:t>
      </w:r>
      <w:r w:rsidRPr="00A07F29">
        <w:rPr>
          <w:rFonts w:ascii="Times New Roman" w:eastAsia="Calibri" w:hAnsi="Times New Roman" w:cs="Times New Roman"/>
          <w:color w:val="000000"/>
          <w:sz w:val="24"/>
          <w:szCs w:val="36"/>
        </w:rPr>
        <w:t xml:space="preserve"> </w:t>
      </w:r>
      <w:r w:rsidR="005C5A50" w:rsidRPr="00A07F29">
        <w:rPr>
          <w:rFonts w:ascii="Times New Roman" w:eastAsia="Calibri" w:hAnsi="Times New Roman" w:cs="Times New Roman"/>
          <w:color w:val="000000"/>
          <w:sz w:val="24"/>
          <w:szCs w:val="36"/>
        </w:rPr>
        <w:t xml:space="preserve">aizsargājamām </w:t>
      </w:r>
      <w:r w:rsidRPr="00A07F29">
        <w:rPr>
          <w:rFonts w:ascii="Times New Roman" w:eastAsia="Calibri" w:hAnsi="Times New Roman" w:cs="Times New Roman"/>
          <w:color w:val="000000"/>
          <w:sz w:val="24"/>
          <w:szCs w:val="36"/>
        </w:rPr>
        <w:t>sugām, kas sastopama AAA “Augšdaugava” teritorijā</w:t>
      </w:r>
      <w:r w:rsidR="00E22CE3" w:rsidRPr="00A07F29">
        <w:rPr>
          <w:rFonts w:ascii="Times New Roman" w:eastAsia="Calibri" w:hAnsi="Times New Roman" w:cs="Times New Roman"/>
          <w:color w:val="000000"/>
          <w:sz w:val="24"/>
          <w:szCs w:val="36"/>
        </w:rPr>
        <w:t>,</w:t>
      </w:r>
      <w:r w:rsidRPr="00A07F29">
        <w:rPr>
          <w:rFonts w:ascii="Times New Roman" w:eastAsia="Calibri" w:hAnsi="Times New Roman" w:cs="Times New Roman"/>
          <w:color w:val="000000"/>
          <w:sz w:val="24"/>
          <w:szCs w:val="36"/>
        </w:rPr>
        <w:t xml:space="preserve"> ir </w:t>
      </w:r>
      <w:proofErr w:type="spellStart"/>
      <w:r w:rsidRPr="00A07F29">
        <w:rPr>
          <w:rFonts w:ascii="Times New Roman" w:eastAsia="Calibri" w:hAnsi="Times New Roman" w:cs="Times New Roman"/>
          <w:b/>
          <w:color w:val="000000"/>
          <w:sz w:val="24"/>
          <w:szCs w:val="36"/>
        </w:rPr>
        <w:t>skabiosu</w:t>
      </w:r>
      <w:proofErr w:type="spellEnd"/>
      <w:r w:rsidRPr="00A07F29">
        <w:rPr>
          <w:rFonts w:ascii="Times New Roman" w:eastAsia="Calibri" w:hAnsi="Times New Roman" w:cs="Times New Roman"/>
          <w:b/>
          <w:color w:val="000000"/>
          <w:sz w:val="24"/>
          <w:szCs w:val="36"/>
        </w:rPr>
        <w:t xml:space="preserve"> </w:t>
      </w:r>
      <w:proofErr w:type="spellStart"/>
      <w:r w:rsidRPr="00A07F29">
        <w:rPr>
          <w:rFonts w:ascii="Times New Roman" w:eastAsia="Calibri" w:hAnsi="Times New Roman" w:cs="Times New Roman"/>
          <w:b/>
          <w:color w:val="000000"/>
          <w:sz w:val="24"/>
          <w:szCs w:val="36"/>
        </w:rPr>
        <w:t>pļavraibenis</w:t>
      </w:r>
      <w:proofErr w:type="spellEnd"/>
      <w:r w:rsidRPr="00A07F29">
        <w:rPr>
          <w:rFonts w:ascii="Times New Roman" w:eastAsia="Calibri" w:hAnsi="Times New Roman" w:cs="Times New Roman"/>
          <w:b/>
          <w:color w:val="000000"/>
          <w:sz w:val="24"/>
          <w:szCs w:val="36"/>
        </w:rPr>
        <w:t xml:space="preserve"> </w:t>
      </w:r>
      <w:proofErr w:type="spellStart"/>
      <w:r w:rsidRPr="00A07F29">
        <w:rPr>
          <w:rFonts w:ascii="Times New Roman" w:eastAsia="Calibri" w:hAnsi="Times New Roman" w:cs="Times New Roman"/>
          <w:b/>
          <w:i/>
          <w:color w:val="000000"/>
          <w:sz w:val="24"/>
          <w:szCs w:val="24"/>
        </w:rPr>
        <w:t>Euphydryas</w:t>
      </w:r>
      <w:proofErr w:type="spellEnd"/>
      <w:r w:rsidRPr="00A07F29">
        <w:rPr>
          <w:rFonts w:ascii="Times New Roman" w:eastAsia="Calibri" w:hAnsi="Times New Roman" w:cs="Times New Roman"/>
          <w:b/>
          <w:i/>
          <w:color w:val="000000"/>
          <w:sz w:val="24"/>
          <w:szCs w:val="24"/>
        </w:rPr>
        <w:t xml:space="preserve"> </w:t>
      </w:r>
      <w:proofErr w:type="spellStart"/>
      <w:r w:rsidRPr="00A07F29">
        <w:rPr>
          <w:rFonts w:ascii="Times New Roman" w:eastAsia="Calibri" w:hAnsi="Times New Roman" w:cs="Times New Roman"/>
          <w:b/>
          <w:i/>
          <w:color w:val="000000"/>
          <w:sz w:val="24"/>
          <w:szCs w:val="24"/>
        </w:rPr>
        <w:t>aurinia</w:t>
      </w:r>
      <w:proofErr w:type="spellEnd"/>
      <w:r w:rsidRPr="00A07F29">
        <w:rPr>
          <w:rFonts w:ascii="Times New Roman" w:eastAsia="Calibri" w:hAnsi="Times New Roman" w:cs="Times New Roman"/>
          <w:b/>
          <w:color w:val="000000"/>
          <w:sz w:val="24"/>
          <w:szCs w:val="24"/>
        </w:rPr>
        <w:t>.</w:t>
      </w:r>
      <w:r w:rsidRPr="00A07F29">
        <w:rPr>
          <w:rFonts w:ascii="Times New Roman" w:eastAsia="Calibri" w:hAnsi="Times New Roman" w:cs="Times New Roman"/>
          <w:color w:val="000000"/>
          <w:sz w:val="24"/>
          <w:szCs w:val="24"/>
        </w:rPr>
        <w:t xml:space="preserve"> Šī suga Latvijā pārsvarā sastopama mitrās, dažkārt arī sausākās pļavās ar bagātu veģetāciju un kaļķainu vai skābu augsni. </w:t>
      </w:r>
      <w:proofErr w:type="spellStart"/>
      <w:r w:rsidRPr="00A07F29">
        <w:rPr>
          <w:rFonts w:ascii="Times New Roman" w:eastAsia="Calibri" w:hAnsi="Times New Roman" w:cs="Times New Roman"/>
          <w:color w:val="000000"/>
          <w:sz w:val="24"/>
          <w:szCs w:val="24"/>
        </w:rPr>
        <w:t>Imago</w:t>
      </w:r>
      <w:proofErr w:type="spellEnd"/>
      <w:r w:rsidRPr="00A07F29">
        <w:rPr>
          <w:rFonts w:ascii="Times New Roman" w:eastAsia="Calibri" w:hAnsi="Times New Roman" w:cs="Times New Roman"/>
          <w:color w:val="000000"/>
          <w:sz w:val="24"/>
          <w:szCs w:val="24"/>
        </w:rPr>
        <w:t xml:space="preserve"> lidošana Latvijas apstākļos novērota no jūnija līdz jūlijam, kāpuri vislabāk identificējami augusta mēnesī. Tie veido “ligzdas’’ – dienā sapulcējas kopīgā tīmeklī. </w:t>
      </w:r>
      <w:proofErr w:type="spellStart"/>
      <w:r w:rsidRPr="00A07F29">
        <w:rPr>
          <w:rFonts w:ascii="Times New Roman" w:eastAsia="Calibri" w:hAnsi="Times New Roman" w:cs="Times New Roman"/>
          <w:color w:val="000000"/>
          <w:sz w:val="24"/>
          <w:szCs w:val="24"/>
        </w:rPr>
        <w:t>Skabiosu</w:t>
      </w:r>
      <w:proofErr w:type="spellEnd"/>
      <w:r w:rsidRPr="00A07F29">
        <w:rPr>
          <w:rFonts w:ascii="Times New Roman" w:eastAsia="Calibri" w:hAnsi="Times New Roman" w:cs="Times New Roman"/>
          <w:color w:val="000000"/>
          <w:sz w:val="24"/>
          <w:szCs w:val="24"/>
        </w:rPr>
        <w:t xml:space="preserve"> </w:t>
      </w:r>
      <w:proofErr w:type="spellStart"/>
      <w:r w:rsidRPr="00A07F29">
        <w:rPr>
          <w:rFonts w:ascii="Times New Roman" w:eastAsia="Calibri" w:hAnsi="Times New Roman" w:cs="Times New Roman"/>
          <w:color w:val="000000"/>
          <w:sz w:val="24"/>
          <w:szCs w:val="24"/>
        </w:rPr>
        <w:t>pļavraibenis</w:t>
      </w:r>
      <w:proofErr w:type="spellEnd"/>
      <w:r w:rsidRPr="00A07F29">
        <w:rPr>
          <w:rFonts w:ascii="Times New Roman" w:eastAsia="Calibri" w:hAnsi="Times New Roman" w:cs="Times New Roman"/>
          <w:color w:val="000000"/>
          <w:sz w:val="24"/>
          <w:szCs w:val="24"/>
        </w:rPr>
        <w:t xml:space="preserve"> uzskatāms par </w:t>
      </w:r>
      <w:proofErr w:type="spellStart"/>
      <w:r w:rsidRPr="00A07F29">
        <w:rPr>
          <w:rFonts w:ascii="Times New Roman" w:eastAsia="Calibri" w:hAnsi="Times New Roman" w:cs="Times New Roman"/>
          <w:color w:val="000000"/>
          <w:sz w:val="24"/>
          <w:szCs w:val="24"/>
        </w:rPr>
        <w:t>monofāgu</w:t>
      </w:r>
      <w:proofErr w:type="spellEnd"/>
      <w:r w:rsidRPr="00A07F29">
        <w:rPr>
          <w:rFonts w:ascii="Times New Roman" w:eastAsia="Calibri" w:hAnsi="Times New Roman" w:cs="Times New Roman"/>
          <w:color w:val="000000"/>
          <w:sz w:val="24"/>
          <w:szCs w:val="24"/>
        </w:rPr>
        <w:t xml:space="preserve">, tā kāpuri barojas ar pļavas </w:t>
      </w:r>
      <w:proofErr w:type="spellStart"/>
      <w:r w:rsidRPr="00A07F29">
        <w:rPr>
          <w:rFonts w:ascii="Times New Roman" w:eastAsia="Calibri" w:hAnsi="Times New Roman" w:cs="Times New Roman"/>
          <w:color w:val="000000"/>
          <w:sz w:val="24"/>
          <w:szCs w:val="24"/>
        </w:rPr>
        <w:t>vilkmēles</w:t>
      </w:r>
      <w:proofErr w:type="spellEnd"/>
      <w:r w:rsidRPr="00A07F29">
        <w:rPr>
          <w:rFonts w:ascii="Times New Roman" w:eastAsia="Calibri" w:hAnsi="Times New Roman" w:cs="Times New Roman"/>
          <w:color w:val="000000"/>
          <w:sz w:val="24"/>
          <w:szCs w:val="24"/>
        </w:rPr>
        <w:t xml:space="preserve"> </w:t>
      </w:r>
      <w:proofErr w:type="spellStart"/>
      <w:r w:rsidRPr="00A07F29">
        <w:rPr>
          <w:rFonts w:ascii="Times New Roman" w:eastAsia="Calibri" w:hAnsi="Times New Roman" w:cs="Times New Roman"/>
          <w:i/>
          <w:iCs/>
          <w:color w:val="000000"/>
          <w:sz w:val="24"/>
          <w:szCs w:val="24"/>
        </w:rPr>
        <w:t>Succisa</w:t>
      </w:r>
      <w:proofErr w:type="spellEnd"/>
      <w:r w:rsidRPr="00A07F29">
        <w:rPr>
          <w:rFonts w:ascii="Times New Roman" w:eastAsia="Calibri" w:hAnsi="Times New Roman" w:cs="Times New Roman"/>
          <w:i/>
          <w:iCs/>
          <w:color w:val="000000"/>
          <w:sz w:val="24"/>
          <w:szCs w:val="24"/>
        </w:rPr>
        <w:t xml:space="preserve"> </w:t>
      </w:r>
      <w:proofErr w:type="spellStart"/>
      <w:r w:rsidRPr="00A07F29">
        <w:rPr>
          <w:rFonts w:ascii="Times New Roman" w:eastAsia="Calibri" w:hAnsi="Times New Roman" w:cs="Times New Roman"/>
          <w:i/>
          <w:iCs/>
          <w:color w:val="000000"/>
          <w:sz w:val="24"/>
          <w:szCs w:val="24"/>
        </w:rPr>
        <w:t>pratensis</w:t>
      </w:r>
      <w:proofErr w:type="spellEnd"/>
      <w:r w:rsidRPr="00A07F29">
        <w:rPr>
          <w:rFonts w:ascii="Times New Roman" w:eastAsia="Calibri" w:hAnsi="Times New Roman" w:cs="Times New Roman"/>
          <w:color w:val="000000"/>
          <w:sz w:val="24"/>
          <w:szCs w:val="24"/>
        </w:rPr>
        <w:t xml:space="preserve"> lapām. Tomēr, kāpuru barošanās ir konstatēta arī uz baložu </w:t>
      </w:r>
      <w:proofErr w:type="spellStart"/>
      <w:r w:rsidRPr="00A07F29">
        <w:rPr>
          <w:rFonts w:ascii="Times New Roman" w:eastAsia="Calibri" w:hAnsi="Times New Roman" w:cs="Times New Roman"/>
          <w:color w:val="000000"/>
          <w:sz w:val="24"/>
          <w:szCs w:val="24"/>
        </w:rPr>
        <w:t>krievpogas</w:t>
      </w:r>
      <w:proofErr w:type="spellEnd"/>
      <w:r w:rsidRPr="00A07F29">
        <w:rPr>
          <w:rFonts w:ascii="Times New Roman" w:eastAsia="Calibri" w:hAnsi="Times New Roman" w:cs="Times New Roman"/>
          <w:color w:val="000000"/>
          <w:sz w:val="24"/>
          <w:szCs w:val="24"/>
        </w:rPr>
        <w:t xml:space="preserve"> </w:t>
      </w:r>
      <w:proofErr w:type="spellStart"/>
      <w:r w:rsidRPr="00A07F29">
        <w:rPr>
          <w:rFonts w:ascii="Times New Roman" w:eastAsia="Calibri" w:hAnsi="Times New Roman" w:cs="Times New Roman"/>
          <w:i/>
          <w:iCs/>
          <w:color w:val="000000"/>
          <w:sz w:val="24"/>
          <w:szCs w:val="24"/>
        </w:rPr>
        <w:t>Scabiosa</w:t>
      </w:r>
      <w:proofErr w:type="spellEnd"/>
      <w:r w:rsidRPr="00A07F29">
        <w:rPr>
          <w:rFonts w:ascii="Times New Roman" w:eastAsia="Calibri" w:hAnsi="Times New Roman" w:cs="Times New Roman"/>
          <w:i/>
          <w:iCs/>
          <w:color w:val="000000"/>
          <w:sz w:val="24"/>
          <w:szCs w:val="24"/>
        </w:rPr>
        <w:t xml:space="preserve"> </w:t>
      </w:r>
      <w:proofErr w:type="spellStart"/>
      <w:r w:rsidRPr="00A07F29">
        <w:rPr>
          <w:rFonts w:ascii="Times New Roman" w:eastAsia="Calibri" w:hAnsi="Times New Roman" w:cs="Times New Roman"/>
          <w:i/>
          <w:iCs/>
          <w:color w:val="000000"/>
          <w:sz w:val="24"/>
          <w:szCs w:val="24"/>
        </w:rPr>
        <w:t>columbaria</w:t>
      </w:r>
      <w:proofErr w:type="spellEnd"/>
      <w:r w:rsidRPr="00A07F29">
        <w:rPr>
          <w:rFonts w:ascii="Times New Roman" w:eastAsia="Calibri" w:hAnsi="Times New Roman" w:cs="Times New Roman"/>
          <w:color w:val="000000"/>
          <w:sz w:val="24"/>
          <w:szCs w:val="24"/>
        </w:rPr>
        <w:t xml:space="preserve">, tīruma </w:t>
      </w:r>
      <w:proofErr w:type="spellStart"/>
      <w:r w:rsidRPr="00A07F29">
        <w:rPr>
          <w:rFonts w:ascii="Times New Roman" w:eastAsia="Calibri" w:hAnsi="Times New Roman" w:cs="Times New Roman"/>
          <w:color w:val="000000"/>
          <w:sz w:val="24"/>
          <w:szCs w:val="24"/>
        </w:rPr>
        <w:t>pēterenes</w:t>
      </w:r>
      <w:proofErr w:type="spellEnd"/>
      <w:r w:rsidRPr="00A07F29">
        <w:rPr>
          <w:rFonts w:ascii="Times New Roman" w:eastAsia="Calibri" w:hAnsi="Times New Roman" w:cs="Times New Roman"/>
          <w:color w:val="000000"/>
          <w:sz w:val="24"/>
          <w:szCs w:val="24"/>
        </w:rPr>
        <w:t xml:space="preserve"> </w:t>
      </w:r>
      <w:proofErr w:type="spellStart"/>
      <w:r w:rsidRPr="00A07F29">
        <w:rPr>
          <w:rFonts w:ascii="Times New Roman" w:eastAsia="Calibri" w:hAnsi="Times New Roman" w:cs="Times New Roman"/>
          <w:i/>
          <w:iCs/>
          <w:color w:val="000000"/>
          <w:sz w:val="24"/>
          <w:szCs w:val="24"/>
        </w:rPr>
        <w:t>Knautia</w:t>
      </w:r>
      <w:proofErr w:type="spellEnd"/>
      <w:r w:rsidRPr="00A07F29">
        <w:rPr>
          <w:rFonts w:ascii="Times New Roman" w:eastAsia="Calibri" w:hAnsi="Times New Roman" w:cs="Times New Roman"/>
          <w:i/>
          <w:iCs/>
          <w:color w:val="000000"/>
          <w:sz w:val="24"/>
          <w:szCs w:val="24"/>
        </w:rPr>
        <w:t xml:space="preserve"> </w:t>
      </w:r>
      <w:proofErr w:type="spellStart"/>
      <w:r w:rsidRPr="00A07F29">
        <w:rPr>
          <w:rFonts w:ascii="Times New Roman" w:eastAsia="Calibri" w:hAnsi="Times New Roman" w:cs="Times New Roman"/>
          <w:i/>
          <w:iCs/>
          <w:color w:val="000000"/>
          <w:sz w:val="24"/>
          <w:szCs w:val="24"/>
        </w:rPr>
        <w:t>arvensis</w:t>
      </w:r>
      <w:proofErr w:type="spellEnd"/>
      <w:r w:rsidRPr="00A07F29">
        <w:rPr>
          <w:rFonts w:ascii="Times New Roman" w:eastAsia="Calibri" w:hAnsi="Times New Roman" w:cs="Times New Roman"/>
          <w:color w:val="000000"/>
          <w:sz w:val="24"/>
          <w:szCs w:val="24"/>
        </w:rPr>
        <w:t xml:space="preserve">, un </w:t>
      </w:r>
      <w:proofErr w:type="spellStart"/>
      <w:r w:rsidRPr="00A07F29">
        <w:rPr>
          <w:rFonts w:ascii="Times New Roman" w:eastAsia="Calibri" w:hAnsi="Times New Roman" w:cs="Times New Roman"/>
          <w:color w:val="000000"/>
          <w:sz w:val="24"/>
          <w:szCs w:val="24"/>
        </w:rPr>
        <w:t>dipsaku</w:t>
      </w:r>
      <w:proofErr w:type="spellEnd"/>
      <w:r w:rsidRPr="00A07F29">
        <w:rPr>
          <w:rFonts w:ascii="Times New Roman" w:eastAsia="Calibri" w:hAnsi="Times New Roman" w:cs="Times New Roman"/>
          <w:color w:val="000000"/>
          <w:sz w:val="24"/>
          <w:szCs w:val="24"/>
        </w:rPr>
        <w:t xml:space="preserve"> </w:t>
      </w:r>
      <w:proofErr w:type="spellStart"/>
      <w:r w:rsidRPr="00A07F29">
        <w:rPr>
          <w:rFonts w:ascii="Times New Roman" w:eastAsia="Calibri" w:hAnsi="Times New Roman" w:cs="Times New Roman"/>
          <w:i/>
          <w:iCs/>
          <w:color w:val="000000"/>
          <w:sz w:val="24"/>
          <w:szCs w:val="24"/>
        </w:rPr>
        <w:t>Dipsacus</w:t>
      </w:r>
      <w:proofErr w:type="spellEnd"/>
      <w:r w:rsidRPr="00A07F29">
        <w:rPr>
          <w:rFonts w:ascii="Times New Roman" w:eastAsia="Calibri" w:hAnsi="Times New Roman" w:cs="Times New Roman"/>
          <w:color w:val="000000"/>
          <w:sz w:val="24"/>
          <w:szCs w:val="24"/>
        </w:rPr>
        <w:t xml:space="preserve"> </w:t>
      </w:r>
      <w:proofErr w:type="spellStart"/>
      <w:r w:rsidRPr="00A07F29">
        <w:rPr>
          <w:rFonts w:ascii="Times New Roman" w:eastAsia="Calibri" w:hAnsi="Times New Roman" w:cs="Times New Roman"/>
          <w:color w:val="000000"/>
          <w:sz w:val="24"/>
          <w:szCs w:val="24"/>
        </w:rPr>
        <w:t>spp</w:t>
      </w:r>
      <w:proofErr w:type="spellEnd"/>
      <w:r w:rsidRPr="00A07F29">
        <w:rPr>
          <w:rFonts w:ascii="Times New Roman" w:eastAsia="Calibri" w:hAnsi="Times New Roman" w:cs="Times New Roman"/>
          <w:color w:val="000000"/>
          <w:sz w:val="24"/>
          <w:szCs w:val="24"/>
        </w:rPr>
        <w:t xml:space="preserve">. </w:t>
      </w:r>
      <w:r w:rsidR="005C5A50" w:rsidRPr="00A07F29">
        <w:rPr>
          <w:rFonts w:ascii="Times New Roman" w:eastAsia="Calibri" w:hAnsi="Times New Roman" w:cs="Times New Roman"/>
          <w:color w:val="000000"/>
          <w:sz w:val="24"/>
          <w:szCs w:val="24"/>
        </w:rPr>
        <w:t xml:space="preserve">lapām </w:t>
      </w:r>
      <w:r w:rsidRPr="00A07F29">
        <w:rPr>
          <w:rFonts w:ascii="Times New Roman" w:eastAsia="Calibri" w:hAnsi="Times New Roman" w:cs="Times New Roman"/>
          <w:color w:val="000000"/>
          <w:sz w:val="24"/>
          <w:szCs w:val="24"/>
        </w:rPr>
        <w:t>(</w:t>
      </w:r>
      <w:proofErr w:type="spellStart"/>
      <w:r w:rsidRPr="00A07F29">
        <w:rPr>
          <w:rFonts w:ascii="Times New Roman" w:eastAsia="Calibri" w:hAnsi="Times New Roman" w:cs="Times New Roman"/>
          <w:color w:val="000000"/>
          <w:sz w:val="24"/>
          <w:szCs w:val="24"/>
        </w:rPr>
        <w:t>Savenkovs</w:t>
      </w:r>
      <w:proofErr w:type="spellEnd"/>
      <w:r w:rsidR="00BF49A1">
        <w:rPr>
          <w:rFonts w:ascii="Times New Roman" w:eastAsia="Calibri" w:hAnsi="Times New Roman" w:cs="Times New Roman"/>
          <w:color w:val="000000"/>
          <w:sz w:val="24"/>
          <w:szCs w:val="24"/>
        </w:rPr>
        <w:t xml:space="preserve"> N.,</w:t>
      </w:r>
      <w:r w:rsidRPr="00A07F29">
        <w:rPr>
          <w:rFonts w:ascii="Times New Roman" w:eastAsia="Calibri" w:hAnsi="Times New Roman" w:cs="Times New Roman"/>
          <w:color w:val="000000"/>
          <w:sz w:val="24"/>
          <w:szCs w:val="24"/>
        </w:rPr>
        <w:t xml:space="preserve"> 2018). Sugai piemērotākais biotops ir</w:t>
      </w:r>
      <w:r w:rsidRPr="00A07F29">
        <w:rPr>
          <w:rFonts w:ascii="Times New Roman" w:eastAsia="Calibri" w:hAnsi="Times New Roman" w:cs="Times New Roman"/>
          <w:color w:val="000000"/>
          <w:sz w:val="28"/>
          <w:szCs w:val="28"/>
        </w:rPr>
        <w:t xml:space="preserve"> </w:t>
      </w:r>
      <w:r w:rsidR="005C5A50" w:rsidRPr="00A07F29">
        <w:rPr>
          <w:rFonts w:ascii="Times New Roman" w:eastAsia="Calibri" w:hAnsi="Times New Roman" w:cs="Times New Roman"/>
          <w:iCs/>
          <w:color w:val="000000"/>
          <w:sz w:val="24"/>
          <w:szCs w:val="24"/>
          <w:shd w:val="clear" w:color="auto" w:fill="FFFFFF"/>
        </w:rPr>
        <w:t>6410</w:t>
      </w:r>
      <w:r w:rsidR="00BF49A1">
        <w:rPr>
          <w:rFonts w:ascii="Times New Roman" w:eastAsia="Calibri" w:hAnsi="Times New Roman" w:cs="Times New Roman"/>
          <w:iCs/>
          <w:color w:val="000000"/>
          <w:sz w:val="24"/>
          <w:szCs w:val="24"/>
          <w:shd w:val="clear" w:color="auto" w:fill="FFFFFF"/>
        </w:rPr>
        <w:t> </w:t>
      </w:r>
      <w:r w:rsidRPr="00A07F29">
        <w:rPr>
          <w:rFonts w:ascii="Times New Roman" w:eastAsia="Calibri" w:hAnsi="Times New Roman" w:cs="Times New Roman"/>
          <w:i/>
          <w:iCs/>
          <w:color w:val="000000"/>
          <w:sz w:val="24"/>
          <w:szCs w:val="24"/>
          <w:shd w:val="clear" w:color="auto" w:fill="FFFFFF"/>
        </w:rPr>
        <w:t>Mitri zālāji periodiski izžūstošās augsnēs</w:t>
      </w:r>
      <w:r w:rsidRPr="00A07F29">
        <w:rPr>
          <w:rFonts w:ascii="Times New Roman" w:eastAsia="Calibri" w:hAnsi="Times New Roman" w:cs="Times New Roman"/>
          <w:color w:val="000000"/>
          <w:sz w:val="28"/>
          <w:szCs w:val="28"/>
        </w:rPr>
        <w:t>.</w:t>
      </w:r>
      <w:r w:rsidRPr="00A07F29">
        <w:rPr>
          <w:rFonts w:ascii="Times New Roman" w:eastAsia="Calibri" w:hAnsi="Times New Roman" w:cs="Times New Roman"/>
          <w:color w:val="000000"/>
          <w:sz w:val="24"/>
          <w:szCs w:val="24"/>
        </w:rPr>
        <w:t xml:space="preserve"> </w:t>
      </w:r>
      <w:proofErr w:type="spellStart"/>
      <w:r w:rsidRPr="00A07F29">
        <w:rPr>
          <w:rFonts w:ascii="Times New Roman" w:eastAsia="Calibri" w:hAnsi="Times New Roman" w:cs="Times New Roman"/>
          <w:color w:val="000000"/>
          <w:sz w:val="24"/>
          <w:szCs w:val="24"/>
        </w:rPr>
        <w:t>Skabiosu</w:t>
      </w:r>
      <w:proofErr w:type="spellEnd"/>
      <w:r w:rsidRPr="00A07F29">
        <w:rPr>
          <w:rFonts w:ascii="Times New Roman" w:eastAsia="Calibri" w:hAnsi="Times New Roman" w:cs="Times New Roman"/>
          <w:color w:val="000000"/>
          <w:sz w:val="24"/>
          <w:szCs w:val="24"/>
        </w:rPr>
        <w:t xml:space="preserve"> </w:t>
      </w:r>
      <w:proofErr w:type="spellStart"/>
      <w:r w:rsidRPr="00A07F29">
        <w:rPr>
          <w:rFonts w:ascii="Times New Roman" w:eastAsia="Calibri" w:hAnsi="Times New Roman" w:cs="Times New Roman"/>
          <w:color w:val="000000"/>
          <w:sz w:val="24"/>
          <w:szCs w:val="24"/>
        </w:rPr>
        <w:t>pļavraibeņa</w:t>
      </w:r>
      <w:proofErr w:type="spellEnd"/>
      <w:r w:rsidRPr="00A07F29">
        <w:rPr>
          <w:rFonts w:ascii="Times New Roman" w:eastAsia="Calibri" w:hAnsi="Times New Roman" w:cs="Times New Roman"/>
          <w:i/>
          <w:iCs/>
          <w:color w:val="000000"/>
          <w:sz w:val="24"/>
          <w:szCs w:val="24"/>
        </w:rPr>
        <w:t xml:space="preserve"> </w:t>
      </w:r>
      <w:r w:rsidRPr="00A07F29">
        <w:rPr>
          <w:rFonts w:ascii="Times New Roman" w:eastAsia="Calibri" w:hAnsi="Times New Roman" w:cs="Times New Roman"/>
          <w:color w:val="000000"/>
          <w:sz w:val="24"/>
          <w:szCs w:val="24"/>
        </w:rPr>
        <w:t xml:space="preserve">īpatņi ir sastopami arī mežmalās un slīkšņās. Sugai ir piemēroti jauni izcirtumi, bet, tiem aizaugot, dzīvotne kļūst sugai </w:t>
      </w:r>
      <w:r w:rsidRPr="00A07F29">
        <w:rPr>
          <w:rFonts w:ascii="Times New Roman" w:eastAsia="Calibri" w:hAnsi="Times New Roman" w:cs="Times New Roman"/>
          <w:color w:val="000000"/>
          <w:sz w:val="24"/>
          <w:szCs w:val="24"/>
        </w:rPr>
        <w:lastRenderedPageBreak/>
        <w:t>nepiemērota (</w:t>
      </w:r>
      <w:proofErr w:type="spellStart"/>
      <w:r w:rsidRPr="00A07F29">
        <w:rPr>
          <w:rFonts w:ascii="Times New Roman" w:eastAsia="Calibri" w:hAnsi="Times New Roman" w:cs="Times New Roman"/>
          <w:color w:val="000000"/>
          <w:sz w:val="24"/>
          <w:szCs w:val="24"/>
          <w:shd w:val="clear" w:color="auto" w:fill="FFFFFF"/>
        </w:rPr>
        <w:t>Wahlberg</w:t>
      </w:r>
      <w:proofErr w:type="spellEnd"/>
      <w:r w:rsidR="00781BC3">
        <w:rPr>
          <w:rFonts w:ascii="Times New Roman" w:eastAsia="Calibri" w:hAnsi="Times New Roman" w:cs="Times New Roman"/>
          <w:color w:val="000000"/>
          <w:sz w:val="24"/>
          <w:szCs w:val="24"/>
          <w:shd w:val="clear" w:color="auto" w:fill="FFFFFF"/>
        </w:rPr>
        <w:t xml:space="preserve"> </w:t>
      </w:r>
      <w:r w:rsidR="00745830">
        <w:rPr>
          <w:rFonts w:ascii="Times New Roman" w:eastAsia="Calibri" w:hAnsi="Times New Roman" w:cs="Times New Roman"/>
          <w:color w:val="000000"/>
          <w:sz w:val="24"/>
          <w:szCs w:val="24"/>
          <w:shd w:val="clear" w:color="auto" w:fill="FFFFFF"/>
        </w:rPr>
        <w:t>N</w:t>
      </w:r>
      <w:r w:rsidR="00781BC3">
        <w:rPr>
          <w:rFonts w:ascii="Times New Roman" w:eastAsia="Calibri" w:hAnsi="Times New Roman" w:cs="Times New Roman"/>
          <w:color w:val="000000"/>
          <w:sz w:val="24"/>
          <w:szCs w:val="24"/>
          <w:shd w:val="clear" w:color="auto" w:fill="FFFFFF"/>
        </w:rPr>
        <w:t>.</w:t>
      </w:r>
      <w:r w:rsidR="00745830">
        <w:rPr>
          <w:rFonts w:ascii="Times New Roman" w:eastAsia="Calibri" w:hAnsi="Times New Roman" w:cs="Times New Roman"/>
          <w:color w:val="000000"/>
          <w:sz w:val="24"/>
          <w:szCs w:val="24"/>
          <w:shd w:val="clear" w:color="auto" w:fill="FFFFFF"/>
        </w:rPr>
        <w:t>,</w:t>
      </w:r>
      <w:r w:rsidRPr="00A07F29">
        <w:rPr>
          <w:rFonts w:ascii="Times New Roman" w:eastAsia="Calibri" w:hAnsi="Times New Roman" w:cs="Times New Roman"/>
          <w:color w:val="000000"/>
          <w:sz w:val="24"/>
          <w:szCs w:val="24"/>
          <w:shd w:val="clear" w:color="auto" w:fill="FFFFFF"/>
        </w:rPr>
        <w:t xml:space="preserve"> 2001). Latvijā </w:t>
      </w:r>
      <w:r w:rsidRPr="00A07F29">
        <w:rPr>
          <w:rFonts w:ascii="Times New Roman" w:eastAsia="Calibri" w:hAnsi="Times New Roman" w:cs="Times New Roman"/>
          <w:color w:val="000000"/>
          <w:sz w:val="24"/>
          <w:szCs w:val="24"/>
        </w:rPr>
        <w:t>sugas atradnes pārsvarā ir reģistrētas mitrās pļavās izklaidus visā valsts teritorijā (Vilks</w:t>
      </w:r>
      <w:r w:rsidR="00D92594">
        <w:rPr>
          <w:rFonts w:ascii="Times New Roman" w:eastAsia="Calibri" w:hAnsi="Times New Roman" w:cs="Times New Roman"/>
          <w:color w:val="000000"/>
          <w:sz w:val="24"/>
          <w:szCs w:val="24"/>
        </w:rPr>
        <w:t xml:space="preserve"> K.,</w:t>
      </w:r>
      <w:r w:rsidRPr="00A07F29">
        <w:rPr>
          <w:rFonts w:ascii="Times New Roman" w:eastAsia="Calibri" w:hAnsi="Times New Roman" w:cs="Times New Roman"/>
          <w:color w:val="000000"/>
          <w:sz w:val="24"/>
          <w:szCs w:val="24"/>
        </w:rPr>
        <w:t xml:space="preserve"> </w:t>
      </w:r>
      <w:proofErr w:type="spellStart"/>
      <w:r w:rsidR="00D92594">
        <w:rPr>
          <w:rFonts w:ascii="Times New Roman" w:eastAsia="Calibri" w:hAnsi="Times New Roman" w:cs="Times New Roman"/>
          <w:color w:val="000000"/>
          <w:sz w:val="24"/>
          <w:szCs w:val="24"/>
        </w:rPr>
        <w:t>et</w:t>
      </w:r>
      <w:proofErr w:type="spellEnd"/>
      <w:r w:rsidR="00D92594">
        <w:rPr>
          <w:rFonts w:ascii="Times New Roman" w:eastAsia="Calibri" w:hAnsi="Times New Roman" w:cs="Times New Roman"/>
          <w:color w:val="000000"/>
          <w:sz w:val="24"/>
          <w:szCs w:val="24"/>
        </w:rPr>
        <w:t>. al.,</w:t>
      </w:r>
      <w:r w:rsidRPr="00A07F29">
        <w:rPr>
          <w:rFonts w:ascii="Times New Roman" w:eastAsia="Calibri" w:hAnsi="Times New Roman" w:cs="Times New Roman"/>
          <w:color w:val="000000"/>
          <w:sz w:val="24"/>
          <w:szCs w:val="24"/>
        </w:rPr>
        <w:t xml:space="preserve"> 2015). </w:t>
      </w:r>
    </w:p>
    <w:p w14:paraId="76E49AC5" w14:textId="50179A53" w:rsidR="009072CE" w:rsidRPr="00A07F29" w:rsidRDefault="009072CE" w:rsidP="00E22CE3">
      <w:pPr>
        <w:autoSpaceDE w:val="0"/>
        <w:autoSpaceDN w:val="0"/>
        <w:adjustRightInd w:val="0"/>
        <w:spacing w:after="120" w:line="240" w:lineRule="auto"/>
        <w:ind w:firstLine="851"/>
        <w:jc w:val="both"/>
        <w:rPr>
          <w:rFonts w:ascii="Times New Roman" w:eastAsia="Calibri" w:hAnsi="Times New Roman" w:cs="Times New Roman"/>
          <w:color w:val="000000"/>
          <w:sz w:val="24"/>
          <w:szCs w:val="24"/>
        </w:rPr>
      </w:pPr>
      <w:r w:rsidRPr="00A07F29">
        <w:rPr>
          <w:rFonts w:ascii="Times New Roman" w:eastAsia="Calibri" w:hAnsi="Times New Roman" w:cs="Times New Roman"/>
          <w:color w:val="000000"/>
          <w:sz w:val="24"/>
          <w:szCs w:val="24"/>
        </w:rPr>
        <w:t xml:space="preserve">AAA “Augšdaugava” teritorijā suga reģistrēta vienā atradnē netālu no apdzīvotās vietas </w:t>
      </w:r>
      <w:proofErr w:type="spellStart"/>
      <w:r w:rsidRPr="00A07F29">
        <w:rPr>
          <w:rFonts w:ascii="Times New Roman" w:eastAsia="Calibri" w:hAnsi="Times New Roman" w:cs="Times New Roman"/>
          <w:color w:val="000000"/>
          <w:sz w:val="24"/>
          <w:szCs w:val="24"/>
        </w:rPr>
        <w:t>Stremki</w:t>
      </w:r>
      <w:proofErr w:type="spellEnd"/>
      <w:r w:rsidRPr="00A07F29">
        <w:rPr>
          <w:rFonts w:ascii="Times New Roman" w:eastAsia="Calibri" w:hAnsi="Times New Roman" w:cs="Times New Roman"/>
          <w:color w:val="000000"/>
          <w:sz w:val="24"/>
          <w:szCs w:val="24"/>
        </w:rPr>
        <w:t xml:space="preserve">. Šī vieta tika pārbaudīta </w:t>
      </w:r>
      <w:proofErr w:type="spellStart"/>
      <w:r w:rsidR="0092556E" w:rsidRPr="00A07F29">
        <w:rPr>
          <w:rFonts w:ascii="Times New Roman" w:eastAsia="Calibri" w:hAnsi="Times New Roman" w:cs="Times New Roman"/>
          <w:i/>
          <w:color w:val="000000"/>
          <w:sz w:val="24"/>
          <w:szCs w:val="24"/>
        </w:rPr>
        <w:t>Natura</w:t>
      </w:r>
      <w:proofErr w:type="spellEnd"/>
      <w:r w:rsidRPr="00A07F29">
        <w:rPr>
          <w:rFonts w:ascii="Times New Roman" w:eastAsia="Calibri" w:hAnsi="Times New Roman" w:cs="Times New Roman"/>
          <w:i/>
          <w:color w:val="000000"/>
          <w:sz w:val="24"/>
          <w:szCs w:val="24"/>
        </w:rPr>
        <w:t xml:space="preserve"> 2000</w:t>
      </w:r>
      <w:r w:rsidRPr="00A07F29">
        <w:rPr>
          <w:rFonts w:ascii="Times New Roman" w:eastAsia="Calibri" w:hAnsi="Times New Roman" w:cs="Times New Roman"/>
          <w:color w:val="000000"/>
          <w:sz w:val="24"/>
          <w:szCs w:val="24"/>
        </w:rPr>
        <w:t xml:space="preserve"> monitoringa ietvaros 2016.</w:t>
      </w:r>
      <w:r w:rsidR="00D92594">
        <w:rPr>
          <w:rFonts w:ascii="Times New Roman" w:eastAsia="Calibri" w:hAnsi="Times New Roman" w:cs="Times New Roman"/>
          <w:color w:val="000000"/>
          <w:sz w:val="24"/>
          <w:szCs w:val="24"/>
        </w:rPr>
        <w:t> </w:t>
      </w:r>
      <w:r w:rsidRPr="00A07F29">
        <w:rPr>
          <w:rFonts w:ascii="Times New Roman" w:eastAsia="Calibri" w:hAnsi="Times New Roman" w:cs="Times New Roman"/>
          <w:color w:val="000000"/>
          <w:sz w:val="24"/>
          <w:szCs w:val="24"/>
        </w:rPr>
        <w:t xml:space="preserve">gadā. Norādītajā vietā apsekošanas laikā konstatētas ekstensīvas ganības, kurās netika konstatēti </w:t>
      </w:r>
      <w:proofErr w:type="spellStart"/>
      <w:r w:rsidRPr="00A07F29">
        <w:rPr>
          <w:rFonts w:ascii="Times New Roman" w:eastAsia="Calibri" w:hAnsi="Times New Roman" w:cs="Times New Roman"/>
          <w:color w:val="000000"/>
          <w:sz w:val="24"/>
          <w:szCs w:val="24"/>
        </w:rPr>
        <w:t>skabiosu</w:t>
      </w:r>
      <w:proofErr w:type="spellEnd"/>
      <w:r w:rsidRPr="00A07F29">
        <w:rPr>
          <w:rFonts w:ascii="Times New Roman" w:eastAsia="Calibri" w:hAnsi="Times New Roman" w:cs="Times New Roman"/>
          <w:color w:val="000000"/>
          <w:sz w:val="24"/>
          <w:szCs w:val="24"/>
        </w:rPr>
        <w:t xml:space="preserve"> </w:t>
      </w:r>
      <w:proofErr w:type="spellStart"/>
      <w:r w:rsidRPr="00A07F29">
        <w:rPr>
          <w:rFonts w:ascii="Times New Roman" w:eastAsia="Calibri" w:hAnsi="Times New Roman" w:cs="Times New Roman"/>
          <w:color w:val="000000"/>
          <w:sz w:val="24"/>
          <w:szCs w:val="24"/>
        </w:rPr>
        <w:t>pļavraibeņa</w:t>
      </w:r>
      <w:proofErr w:type="spellEnd"/>
      <w:r w:rsidRPr="00A07F29">
        <w:rPr>
          <w:rFonts w:ascii="Times New Roman" w:eastAsia="Calibri" w:hAnsi="Times New Roman" w:cs="Times New Roman"/>
          <w:color w:val="000000"/>
          <w:sz w:val="24"/>
          <w:szCs w:val="24"/>
        </w:rPr>
        <w:t xml:space="preserve"> īpatņi un arī to kāpuru barības augi. Biotops atrodas Daugavas ielejas nogāzē, un no tā uz </w:t>
      </w:r>
      <w:r w:rsidR="00CA7016">
        <w:rPr>
          <w:rFonts w:ascii="Times New Roman" w:eastAsia="Calibri" w:hAnsi="Times New Roman" w:cs="Times New Roman"/>
          <w:color w:val="000000"/>
          <w:sz w:val="24"/>
          <w:szCs w:val="24"/>
        </w:rPr>
        <w:t>D</w:t>
      </w:r>
      <w:r w:rsidRPr="00A07F29">
        <w:rPr>
          <w:rFonts w:ascii="Times New Roman" w:eastAsia="Calibri" w:hAnsi="Times New Roman" w:cs="Times New Roman"/>
          <w:color w:val="000000"/>
          <w:sz w:val="24"/>
          <w:szCs w:val="24"/>
        </w:rPr>
        <w:t xml:space="preserve"> ir mitrākas </w:t>
      </w:r>
      <w:proofErr w:type="spellStart"/>
      <w:r w:rsidRPr="00A07F29">
        <w:rPr>
          <w:rFonts w:ascii="Times New Roman" w:eastAsia="Calibri" w:hAnsi="Times New Roman" w:cs="Times New Roman"/>
          <w:color w:val="000000"/>
          <w:sz w:val="24"/>
          <w:szCs w:val="24"/>
        </w:rPr>
        <w:t>ieplakas</w:t>
      </w:r>
      <w:proofErr w:type="spellEnd"/>
      <w:r w:rsidRPr="00A07F29">
        <w:rPr>
          <w:rFonts w:ascii="Times New Roman" w:eastAsia="Calibri" w:hAnsi="Times New Roman" w:cs="Times New Roman"/>
          <w:color w:val="000000"/>
          <w:sz w:val="24"/>
          <w:szCs w:val="24"/>
        </w:rPr>
        <w:t xml:space="preserve">. Vienīgā iespēja, ka suga attīstījusies tajās vai arī ielidojusi no cita biotopa. Augšdaugavā </w:t>
      </w:r>
      <w:proofErr w:type="spellStart"/>
      <w:r w:rsidRPr="00A07F29">
        <w:rPr>
          <w:rFonts w:ascii="Times New Roman" w:eastAsia="Calibri" w:hAnsi="Times New Roman" w:cs="Times New Roman"/>
          <w:color w:val="000000"/>
          <w:sz w:val="24"/>
          <w:szCs w:val="24"/>
        </w:rPr>
        <w:t>skabiozu</w:t>
      </w:r>
      <w:proofErr w:type="spellEnd"/>
      <w:r w:rsidRPr="00A07F29">
        <w:rPr>
          <w:rFonts w:ascii="Times New Roman" w:eastAsia="Calibri" w:hAnsi="Times New Roman" w:cs="Times New Roman"/>
          <w:color w:val="000000"/>
          <w:sz w:val="24"/>
          <w:szCs w:val="24"/>
        </w:rPr>
        <w:t xml:space="preserve"> </w:t>
      </w:r>
      <w:proofErr w:type="spellStart"/>
      <w:r w:rsidRPr="00A07F29">
        <w:rPr>
          <w:rFonts w:ascii="Times New Roman" w:eastAsia="Calibri" w:hAnsi="Times New Roman" w:cs="Times New Roman"/>
          <w:color w:val="000000"/>
          <w:sz w:val="24"/>
          <w:szCs w:val="24"/>
        </w:rPr>
        <w:t>pļavraibenim</w:t>
      </w:r>
      <w:proofErr w:type="spellEnd"/>
      <w:r w:rsidRPr="00A07F29">
        <w:rPr>
          <w:rFonts w:ascii="Times New Roman" w:eastAsia="Calibri" w:hAnsi="Times New Roman" w:cs="Times New Roman"/>
          <w:color w:val="000000"/>
          <w:sz w:val="24"/>
          <w:szCs w:val="24"/>
        </w:rPr>
        <w:t xml:space="preserve"> piemērotais biotops </w:t>
      </w:r>
      <w:r w:rsidR="005C5A50" w:rsidRPr="00A07F29">
        <w:rPr>
          <w:rFonts w:ascii="Times New Roman" w:eastAsia="Calibri" w:hAnsi="Times New Roman" w:cs="Times New Roman"/>
          <w:iCs/>
          <w:color w:val="000000"/>
          <w:sz w:val="24"/>
          <w:szCs w:val="24"/>
          <w:shd w:val="clear" w:color="auto" w:fill="FFFFFF"/>
        </w:rPr>
        <w:t>6410</w:t>
      </w:r>
      <w:r w:rsidR="00B86F3A">
        <w:rPr>
          <w:rFonts w:ascii="Times New Roman" w:eastAsia="Calibri" w:hAnsi="Times New Roman" w:cs="Times New Roman"/>
          <w:iCs/>
          <w:color w:val="000000"/>
          <w:sz w:val="24"/>
          <w:szCs w:val="24"/>
          <w:shd w:val="clear" w:color="auto" w:fill="FFFFFF"/>
        </w:rPr>
        <w:t> </w:t>
      </w:r>
      <w:r w:rsidR="005C5A50" w:rsidRPr="00A07F29">
        <w:rPr>
          <w:rFonts w:ascii="Times New Roman" w:eastAsia="Calibri" w:hAnsi="Times New Roman" w:cs="Times New Roman"/>
          <w:i/>
          <w:iCs/>
          <w:color w:val="000000"/>
          <w:sz w:val="24"/>
          <w:szCs w:val="24"/>
          <w:shd w:val="clear" w:color="auto" w:fill="FFFFFF"/>
        </w:rPr>
        <w:t>Mitri zālāji periodiski izžūstošās augsnēs</w:t>
      </w:r>
      <w:r w:rsidR="005C5A50" w:rsidRPr="00A07F29" w:rsidDel="005C5A50">
        <w:rPr>
          <w:rFonts w:ascii="Times New Roman" w:eastAsia="Calibri" w:hAnsi="Times New Roman" w:cs="Times New Roman"/>
          <w:color w:val="000000"/>
          <w:sz w:val="24"/>
          <w:szCs w:val="24"/>
        </w:rPr>
        <w:t xml:space="preserve"> </w:t>
      </w:r>
      <w:r w:rsidRPr="00A07F29">
        <w:rPr>
          <w:rFonts w:ascii="Times New Roman" w:eastAsia="Calibri" w:hAnsi="Times New Roman" w:cs="Times New Roman"/>
          <w:color w:val="000000"/>
          <w:sz w:val="24"/>
          <w:szCs w:val="24"/>
        </w:rPr>
        <w:t xml:space="preserve">ir </w:t>
      </w:r>
      <w:r w:rsidR="005C5A50" w:rsidRPr="00A07F29">
        <w:rPr>
          <w:rFonts w:ascii="Times New Roman" w:eastAsia="Calibri" w:hAnsi="Times New Roman" w:cs="Times New Roman"/>
          <w:color w:val="000000"/>
          <w:sz w:val="24"/>
          <w:szCs w:val="24"/>
        </w:rPr>
        <w:t>konstatēts tikai 5.17</w:t>
      </w:r>
      <w:r w:rsidR="00B86F3A">
        <w:rPr>
          <w:rFonts w:ascii="Times New Roman" w:eastAsia="Calibri" w:hAnsi="Times New Roman" w:cs="Times New Roman"/>
          <w:color w:val="000000"/>
          <w:sz w:val="24"/>
          <w:szCs w:val="24"/>
        </w:rPr>
        <w:t> </w:t>
      </w:r>
      <w:r w:rsidR="005C5A50" w:rsidRPr="00A07F29">
        <w:rPr>
          <w:rFonts w:ascii="Times New Roman" w:eastAsia="Calibri" w:hAnsi="Times New Roman" w:cs="Times New Roman"/>
          <w:color w:val="000000"/>
          <w:sz w:val="24"/>
          <w:szCs w:val="24"/>
        </w:rPr>
        <w:t xml:space="preserve">ha </w:t>
      </w:r>
      <w:r w:rsidRPr="00A07F29">
        <w:rPr>
          <w:rFonts w:ascii="Times New Roman" w:eastAsia="Calibri" w:hAnsi="Times New Roman" w:cs="Times New Roman"/>
          <w:color w:val="000000"/>
          <w:sz w:val="24"/>
          <w:szCs w:val="24"/>
        </w:rPr>
        <w:t xml:space="preserve">platībā. Kopumā reģistrēti </w:t>
      </w:r>
      <w:r w:rsidR="00B86F3A">
        <w:rPr>
          <w:rFonts w:ascii="Times New Roman" w:eastAsia="Calibri" w:hAnsi="Times New Roman" w:cs="Times New Roman"/>
          <w:color w:val="000000"/>
          <w:sz w:val="24"/>
          <w:szCs w:val="24"/>
        </w:rPr>
        <w:t>pieci</w:t>
      </w:r>
      <w:r w:rsidRPr="00A07F29">
        <w:rPr>
          <w:rFonts w:ascii="Times New Roman" w:eastAsia="Calibri" w:hAnsi="Times New Roman" w:cs="Times New Roman"/>
          <w:color w:val="000000"/>
          <w:sz w:val="24"/>
          <w:szCs w:val="24"/>
        </w:rPr>
        <w:t xml:space="preserve"> poligoni, no kuriem biotopa lielākās platības ir Daugavas ielejā starp </w:t>
      </w:r>
      <w:proofErr w:type="spellStart"/>
      <w:r w:rsidRPr="00A07F29">
        <w:rPr>
          <w:rFonts w:ascii="Times New Roman" w:eastAsia="Calibri" w:hAnsi="Times New Roman" w:cs="Times New Roman"/>
          <w:color w:val="000000"/>
          <w:sz w:val="24"/>
          <w:szCs w:val="24"/>
        </w:rPr>
        <w:t>Ruģeļiem</w:t>
      </w:r>
      <w:proofErr w:type="spellEnd"/>
      <w:r w:rsidRPr="00A07F29">
        <w:rPr>
          <w:rFonts w:ascii="Times New Roman" w:eastAsia="Calibri" w:hAnsi="Times New Roman" w:cs="Times New Roman"/>
          <w:color w:val="000000"/>
          <w:sz w:val="24"/>
          <w:szCs w:val="24"/>
        </w:rPr>
        <w:t xml:space="preserve"> un Krauju. Esošās </w:t>
      </w:r>
      <w:proofErr w:type="spellStart"/>
      <w:r w:rsidRPr="00A07F29">
        <w:rPr>
          <w:rFonts w:ascii="Times New Roman" w:eastAsia="Calibri" w:hAnsi="Times New Roman" w:cs="Times New Roman"/>
          <w:color w:val="000000"/>
          <w:sz w:val="24"/>
          <w:szCs w:val="24"/>
        </w:rPr>
        <w:t>skabiosu</w:t>
      </w:r>
      <w:proofErr w:type="spellEnd"/>
      <w:r w:rsidRPr="00A07F29">
        <w:rPr>
          <w:rFonts w:ascii="Times New Roman" w:eastAsia="Calibri" w:hAnsi="Times New Roman" w:cs="Times New Roman"/>
          <w:color w:val="000000"/>
          <w:sz w:val="24"/>
          <w:szCs w:val="24"/>
        </w:rPr>
        <w:t xml:space="preserve"> </w:t>
      </w:r>
      <w:proofErr w:type="spellStart"/>
      <w:r w:rsidRPr="00A07F29">
        <w:rPr>
          <w:rFonts w:ascii="Times New Roman" w:eastAsia="Calibri" w:hAnsi="Times New Roman" w:cs="Times New Roman"/>
          <w:color w:val="000000"/>
          <w:sz w:val="24"/>
          <w:szCs w:val="24"/>
        </w:rPr>
        <w:t>pļavraibeņa</w:t>
      </w:r>
      <w:proofErr w:type="spellEnd"/>
      <w:r w:rsidRPr="00A07F29">
        <w:rPr>
          <w:rFonts w:ascii="Times New Roman" w:eastAsia="Calibri" w:hAnsi="Times New Roman" w:cs="Times New Roman"/>
          <w:color w:val="000000"/>
          <w:sz w:val="24"/>
          <w:szCs w:val="24"/>
        </w:rPr>
        <w:t xml:space="preserve"> atradnes tuvumā nav reģistrēti sugai optimāli biotopi. Teritorijā ir iespējamas lokālas sugas atradnes, bet tajās prognozējamais populācijas lielums ir nenozīmīgs. </w:t>
      </w:r>
    </w:p>
    <w:p w14:paraId="4E643412" w14:textId="47A8A249" w:rsidR="009072CE" w:rsidRPr="00A07F29" w:rsidRDefault="009072CE" w:rsidP="00E22CE3">
      <w:pPr>
        <w:spacing w:after="120" w:line="240" w:lineRule="auto"/>
        <w:ind w:firstLine="851"/>
        <w:jc w:val="both"/>
        <w:rPr>
          <w:rFonts w:ascii="Times New Roman" w:eastAsia="Calibri" w:hAnsi="Times New Roman" w:cs="Times New Roman"/>
          <w:color w:val="000000"/>
          <w:sz w:val="24"/>
          <w:szCs w:val="20"/>
          <w:u w:val="single"/>
          <w:shd w:val="clear" w:color="auto" w:fill="FFFFFF"/>
          <w:lang w:eastAsia="ar-SA"/>
        </w:rPr>
      </w:pPr>
      <w:r w:rsidRPr="00A07F29">
        <w:rPr>
          <w:rFonts w:ascii="Times New Roman" w:eastAsia="Calibri" w:hAnsi="Times New Roman" w:cs="Times New Roman"/>
          <w:color w:val="000000"/>
          <w:sz w:val="24"/>
          <w:szCs w:val="20"/>
          <w:lang w:eastAsia="ar-SA"/>
        </w:rPr>
        <w:t xml:space="preserve">Nozīmīga suga ir </w:t>
      </w:r>
      <w:r w:rsidRPr="00A07F29">
        <w:rPr>
          <w:rFonts w:ascii="Times New Roman" w:eastAsia="Calibri" w:hAnsi="Times New Roman" w:cs="Times New Roman"/>
          <w:b/>
          <w:bCs/>
          <w:color w:val="000000"/>
          <w:sz w:val="24"/>
          <w:szCs w:val="20"/>
          <w:lang w:eastAsia="ar-SA"/>
        </w:rPr>
        <w:t xml:space="preserve">zirgskābeņu </w:t>
      </w:r>
      <w:proofErr w:type="spellStart"/>
      <w:r w:rsidRPr="00A07F29">
        <w:rPr>
          <w:rFonts w:ascii="Times New Roman" w:eastAsia="Calibri" w:hAnsi="Times New Roman" w:cs="Times New Roman"/>
          <w:b/>
          <w:bCs/>
          <w:color w:val="000000"/>
          <w:sz w:val="24"/>
          <w:szCs w:val="20"/>
          <w:lang w:eastAsia="ar-SA"/>
        </w:rPr>
        <w:t>zilenītis</w:t>
      </w:r>
      <w:proofErr w:type="spellEnd"/>
      <w:r w:rsidRPr="00A07F29">
        <w:rPr>
          <w:rFonts w:ascii="Times New Roman" w:eastAsia="Calibri" w:hAnsi="Times New Roman" w:cs="Times New Roman"/>
          <w:b/>
          <w:bCs/>
          <w:color w:val="000000"/>
          <w:sz w:val="24"/>
          <w:szCs w:val="20"/>
          <w:lang w:eastAsia="ar-SA"/>
        </w:rPr>
        <w:t xml:space="preserve"> (</w:t>
      </w:r>
      <w:proofErr w:type="spellStart"/>
      <w:r w:rsidRPr="00A07F29">
        <w:rPr>
          <w:rFonts w:ascii="Times New Roman" w:eastAsia="Calibri" w:hAnsi="Times New Roman" w:cs="Times New Roman"/>
          <w:b/>
          <w:bCs/>
          <w:color w:val="000000"/>
          <w:sz w:val="24"/>
          <w:szCs w:val="20"/>
          <w:lang w:eastAsia="ar-SA"/>
        </w:rPr>
        <w:t>zeltainītis</w:t>
      </w:r>
      <w:proofErr w:type="spellEnd"/>
      <w:r w:rsidRPr="00A07F29">
        <w:rPr>
          <w:rFonts w:ascii="Times New Roman" w:eastAsia="Calibri" w:hAnsi="Times New Roman" w:cs="Times New Roman"/>
          <w:b/>
          <w:bCs/>
          <w:color w:val="000000"/>
          <w:sz w:val="24"/>
          <w:szCs w:val="20"/>
          <w:lang w:eastAsia="ar-SA"/>
        </w:rPr>
        <w:t xml:space="preserve">) </w:t>
      </w:r>
      <w:proofErr w:type="spellStart"/>
      <w:r w:rsidRPr="00A07F29">
        <w:rPr>
          <w:rFonts w:ascii="Times New Roman" w:eastAsia="Calibri" w:hAnsi="Times New Roman" w:cs="Times New Roman"/>
          <w:b/>
          <w:bCs/>
          <w:i/>
          <w:iCs/>
          <w:color w:val="000000"/>
          <w:sz w:val="24"/>
          <w:szCs w:val="20"/>
          <w:lang w:eastAsia="ar-SA"/>
        </w:rPr>
        <w:t>Lycaena</w:t>
      </w:r>
      <w:proofErr w:type="spellEnd"/>
      <w:r w:rsidRPr="00A07F29">
        <w:rPr>
          <w:rFonts w:ascii="Times New Roman" w:eastAsia="Calibri" w:hAnsi="Times New Roman" w:cs="Times New Roman"/>
          <w:b/>
          <w:bCs/>
          <w:i/>
          <w:iCs/>
          <w:color w:val="000000"/>
          <w:sz w:val="24"/>
          <w:szCs w:val="20"/>
          <w:lang w:eastAsia="ar-SA"/>
        </w:rPr>
        <w:t xml:space="preserve"> </w:t>
      </w:r>
      <w:proofErr w:type="spellStart"/>
      <w:r w:rsidRPr="00A07F29">
        <w:rPr>
          <w:rFonts w:ascii="Times New Roman" w:eastAsia="Calibri" w:hAnsi="Times New Roman" w:cs="Times New Roman"/>
          <w:b/>
          <w:bCs/>
          <w:i/>
          <w:iCs/>
          <w:color w:val="000000"/>
          <w:sz w:val="24"/>
          <w:szCs w:val="20"/>
          <w:lang w:eastAsia="ar-SA"/>
        </w:rPr>
        <w:t>dispar</w:t>
      </w:r>
      <w:proofErr w:type="spellEnd"/>
      <w:r w:rsidRPr="00A07F29">
        <w:rPr>
          <w:rFonts w:ascii="Times New Roman" w:eastAsia="Calibri" w:hAnsi="Times New Roman" w:cs="Times New Roman"/>
          <w:color w:val="000000"/>
          <w:sz w:val="24"/>
          <w:szCs w:val="20"/>
          <w:lang w:eastAsia="ar-SA"/>
        </w:rPr>
        <w:t xml:space="preserve"> (</w:t>
      </w:r>
      <w:r w:rsidR="0041138D">
        <w:rPr>
          <w:rFonts w:ascii="Times New Roman" w:eastAsia="Calibri" w:hAnsi="Times New Roman" w:cs="Times New Roman"/>
          <w:color w:val="000000"/>
          <w:sz w:val="24"/>
          <w:szCs w:val="20"/>
          <w:lang w:eastAsia="ar-SA"/>
        </w:rPr>
        <w:t xml:space="preserve">skat. </w:t>
      </w:r>
      <w:r w:rsidRPr="00A07F29">
        <w:rPr>
          <w:rFonts w:ascii="Times New Roman" w:eastAsia="Calibri" w:hAnsi="Times New Roman" w:cs="Times New Roman"/>
          <w:bCs/>
          <w:color w:val="000000"/>
          <w:sz w:val="24"/>
          <w:szCs w:val="20"/>
          <w:lang w:eastAsia="ar-SA"/>
        </w:rPr>
        <w:t>4.</w:t>
      </w:r>
      <w:r w:rsidR="005C5A50" w:rsidRPr="00A07F29">
        <w:rPr>
          <w:rFonts w:ascii="Times New Roman" w:eastAsia="Calibri" w:hAnsi="Times New Roman" w:cs="Times New Roman"/>
          <w:bCs/>
          <w:color w:val="000000"/>
          <w:sz w:val="24"/>
          <w:szCs w:val="20"/>
          <w:lang w:eastAsia="ar-SA"/>
        </w:rPr>
        <w:t>7</w:t>
      </w:r>
      <w:r w:rsidRPr="00A07F29">
        <w:rPr>
          <w:rFonts w:ascii="Times New Roman" w:eastAsia="Calibri" w:hAnsi="Times New Roman" w:cs="Times New Roman"/>
          <w:bCs/>
          <w:color w:val="000000"/>
          <w:sz w:val="24"/>
          <w:szCs w:val="20"/>
          <w:lang w:eastAsia="ar-SA"/>
        </w:rPr>
        <w:t>.1.</w:t>
      </w:r>
      <w:r w:rsidRPr="00A07F29">
        <w:rPr>
          <w:rFonts w:ascii="Times New Roman" w:eastAsia="Calibri" w:hAnsi="Times New Roman" w:cs="Times New Roman"/>
          <w:color w:val="000000"/>
          <w:sz w:val="24"/>
          <w:szCs w:val="20"/>
          <w:lang w:eastAsia="ar-SA"/>
        </w:rPr>
        <w:t>11.</w:t>
      </w:r>
      <w:r w:rsidR="0041138D">
        <w:rPr>
          <w:rFonts w:ascii="Times New Roman" w:eastAsia="Calibri" w:hAnsi="Times New Roman" w:cs="Times New Roman"/>
          <w:color w:val="000000"/>
          <w:sz w:val="24"/>
          <w:szCs w:val="20"/>
          <w:lang w:eastAsia="ar-SA"/>
        </w:rPr>
        <w:t> </w:t>
      </w:r>
      <w:r w:rsidRPr="00A07F29">
        <w:rPr>
          <w:rFonts w:ascii="Times New Roman" w:eastAsia="Calibri" w:hAnsi="Times New Roman" w:cs="Times New Roman"/>
          <w:color w:val="000000"/>
          <w:sz w:val="24"/>
          <w:szCs w:val="20"/>
          <w:lang w:eastAsia="ar-SA"/>
        </w:rPr>
        <w:t>att</w:t>
      </w:r>
      <w:r w:rsidR="0041138D">
        <w:rPr>
          <w:rFonts w:ascii="Times New Roman" w:eastAsia="Calibri" w:hAnsi="Times New Roman" w:cs="Times New Roman"/>
          <w:color w:val="000000"/>
          <w:sz w:val="24"/>
          <w:szCs w:val="20"/>
          <w:lang w:eastAsia="ar-SA"/>
        </w:rPr>
        <w:t>ēls</w:t>
      </w:r>
      <w:r w:rsidRPr="00A07F29">
        <w:rPr>
          <w:rFonts w:ascii="Times New Roman" w:eastAsia="Calibri" w:hAnsi="Times New Roman" w:cs="Times New Roman"/>
          <w:color w:val="000000"/>
          <w:sz w:val="24"/>
          <w:szCs w:val="20"/>
          <w:lang w:eastAsia="ar-SA"/>
        </w:rPr>
        <w:t xml:space="preserve">), kura AAA “Augšdaugava” </w:t>
      </w:r>
      <w:proofErr w:type="spellStart"/>
      <w:r w:rsidR="0092556E" w:rsidRPr="00A07F29">
        <w:rPr>
          <w:rFonts w:ascii="Times New Roman" w:eastAsia="Calibri" w:hAnsi="Times New Roman" w:cs="Times New Roman"/>
          <w:i/>
          <w:color w:val="000000"/>
          <w:sz w:val="24"/>
          <w:szCs w:val="20"/>
          <w:lang w:eastAsia="ar-SA"/>
        </w:rPr>
        <w:t>Natura</w:t>
      </w:r>
      <w:proofErr w:type="spellEnd"/>
      <w:r w:rsidRPr="00A07F29">
        <w:rPr>
          <w:rFonts w:ascii="Times New Roman" w:eastAsia="Calibri" w:hAnsi="Times New Roman" w:cs="Times New Roman"/>
          <w:i/>
          <w:color w:val="000000"/>
          <w:sz w:val="24"/>
          <w:szCs w:val="20"/>
          <w:lang w:eastAsia="ar-SA"/>
        </w:rPr>
        <w:t xml:space="preserve"> 2000</w:t>
      </w:r>
      <w:r w:rsidRPr="00A07F29">
        <w:rPr>
          <w:rFonts w:ascii="Times New Roman" w:eastAsia="Calibri" w:hAnsi="Times New Roman" w:cs="Times New Roman"/>
          <w:color w:val="000000"/>
          <w:sz w:val="24"/>
          <w:szCs w:val="20"/>
          <w:lang w:eastAsia="ar-SA"/>
        </w:rPr>
        <w:t xml:space="preserve"> standarta datu formas</w:t>
      </w:r>
      <w:r w:rsidR="009256C2">
        <w:rPr>
          <w:rStyle w:val="FootnoteReference"/>
          <w:rFonts w:ascii="Times New Roman" w:eastAsia="Calibri" w:hAnsi="Times New Roman" w:cs="Times New Roman"/>
          <w:color w:val="000000"/>
          <w:sz w:val="24"/>
          <w:szCs w:val="20"/>
          <w:lang w:eastAsia="ar-SA"/>
        </w:rPr>
        <w:footnoteReference w:id="36"/>
      </w:r>
      <w:r w:rsidRPr="00A07F29">
        <w:rPr>
          <w:rFonts w:ascii="Times New Roman" w:eastAsia="Calibri" w:hAnsi="Times New Roman" w:cs="Times New Roman"/>
          <w:color w:val="000000"/>
          <w:sz w:val="24"/>
          <w:szCs w:val="20"/>
          <w:lang w:eastAsia="ar-SA"/>
        </w:rPr>
        <w:t xml:space="preserve"> 4.2. sadaļā ir norādīta kā viena no šīs teritorijas kvalificējošajām vērtībām. Zirgskābeņu </w:t>
      </w:r>
      <w:proofErr w:type="spellStart"/>
      <w:r w:rsidRPr="00A07F29">
        <w:rPr>
          <w:rFonts w:ascii="Times New Roman" w:eastAsia="Calibri" w:hAnsi="Times New Roman" w:cs="Times New Roman"/>
          <w:color w:val="000000"/>
          <w:sz w:val="24"/>
          <w:szCs w:val="20"/>
          <w:lang w:eastAsia="ar-SA"/>
        </w:rPr>
        <w:t>zilenītim</w:t>
      </w:r>
      <w:proofErr w:type="spellEnd"/>
      <w:r w:rsidRPr="00A07F29">
        <w:rPr>
          <w:rFonts w:ascii="Times New Roman" w:eastAsia="Calibri" w:hAnsi="Times New Roman" w:cs="Times New Roman"/>
          <w:color w:val="000000"/>
          <w:sz w:val="24"/>
          <w:szCs w:val="20"/>
          <w:lang w:eastAsia="ar-SA"/>
        </w:rPr>
        <w:t xml:space="preserve"> teritorijā ir izveidojusies stabila populācija. </w:t>
      </w:r>
      <w:r w:rsidR="00BF0E06" w:rsidRPr="00A07F29">
        <w:rPr>
          <w:rFonts w:ascii="Times New Roman" w:eastAsia="Calibri" w:hAnsi="Times New Roman" w:cs="Times New Roman"/>
          <w:color w:val="000000"/>
          <w:sz w:val="24"/>
          <w:szCs w:val="36"/>
          <w:lang w:eastAsia="ar-SA"/>
        </w:rPr>
        <w:t>DA plāna</w:t>
      </w:r>
      <w:r w:rsidRPr="00A07F29">
        <w:rPr>
          <w:rFonts w:ascii="Times New Roman" w:eastAsia="Calibri" w:hAnsi="Times New Roman" w:cs="Times New Roman"/>
          <w:color w:val="000000"/>
          <w:sz w:val="24"/>
          <w:szCs w:val="36"/>
          <w:lang w:eastAsia="ar-SA"/>
        </w:rPr>
        <w:t xml:space="preserve"> izstrādes ietvaros tika konstatētas </w:t>
      </w:r>
      <w:r w:rsidR="00007B56">
        <w:rPr>
          <w:rFonts w:ascii="Times New Roman" w:eastAsia="Calibri" w:hAnsi="Times New Roman" w:cs="Times New Roman"/>
          <w:color w:val="000000"/>
          <w:sz w:val="24"/>
          <w:szCs w:val="36"/>
          <w:lang w:eastAsia="ar-SA"/>
        </w:rPr>
        <w:t>astoņas</w:t>
      </w:r>
      <w:r w:rsidRPr="00A07F29">
        <w:rPr>
          <w:rFonts w:ascii="Times New Roman" w:eastAsia="Calibri" w:hAnsi="Times New Roman" w:cs="Times New Roman"/>
          <w:color w:val="000000"/>
          <w:sz w:val="24"/>
          <w:szCs w:val="36"/>
          <w:lang w:eastAsia="ar-SA"/>
        </w:rPr>
        <w:t xml:space="preserve"> zirgskābeņu </w:t>
      </w:r>
      <w:proofErr w:type="spellStart"/>
      <w:r w:rsidRPr="00A07F29">
        <w:rPr>
          <w:rFonts w:ascii="Times New Roman" w:eastAsia="Calibri" w:hAnsi="Times New Roman" w:cs="Times New Roman"/>
          <w:color w:val="000000"/>
          <w:sz w:val="24"/>
          <w:szCs w:val="36"/>
          <w:lang w:eastAsia="ar-SA"/>
        </w:rPr>
        <w:t>zilenīša</w:t>
      </w:r>
      <w:proofErr w:type="spellEnd"/>
      <w:r w:rsidRPr="00A07F29">
        <w:rPr>
          <w:rFonts w:ascii="Times New Roman" w:eastAsia="Calibri" w:hAnsi="Times New Roman" w:cs="Times New Roman"/>
          <w:color w:val="000000"/>
          <w:sz w:val="24"/>
          <w:szCs w:val="36"/>
          <w:lang w:eastAsia="ar-SA"/>
        </w:rPr>
        <w:t xml:space="preserve"> atradnes, bet kopumā ir zināmi 18 ziņojumi par sugas sastopamību teritorijā. </w:t>
      </w:r>
      <w:r w:rsidRPr="00A07F29">
        <w:rPr>
          <w:rFonts w:ascii="Times New Roman" w:eastAsia="Calibri" w:hAnsi="Times New Roman" w:cs="Times New Roman"/>
          <w:color w:val="000000"/>
          <w:sz w:val="24"/>
          <w:szCs w:val="20"/>
          <w:lang w:eastAsia="ar-SA"/>
        </w:rPr>
        <w:t xml:space="preserve">Latvijā sugai raksturīgais biotops ir vidēji mitri un mitri zālāji gar ezeriem, upēm, mitrāji ar kāpuru barības augiem. Zirgskābeņu </w:t>
      </w:r>
      <w:proofErr w:type="spellStart"/>
      <w:r w:rsidRPr="00A07F29">
        <w:rPr>
          <w:rFonts w:ascii="Times New Roman" w:eastAsia="Calibri" w:hAnsi="Times New Roman" w:cs="Times New Roman"/>
          <w:color w:val="000000"/>
          <w:sz w:val="24"/>
          <w:szCs w:val="20"/>
          <w:lang w:eastAsia="ar-SA"/>
        </w:rPr>
        <w:t>zilenītis</w:t>
      </w:r>
      <w:proofErr w:type="spellEnd"/>
      <w:r w:rsidRPr="00A07F29">
        <w:rPr>
          <w:rFonts w:ascii="Times New Roman" w:eastAsia="Calibri" w:hAnsi="Times New Roman" w:cs="Times New Roman"/>
          <w:color w:val="000000"/>
          <w:sz w:val="24"/>
          <w:szCs w:val="20"/>
          <w:lang w:eastAsia="ar-SA"/>
        </w:rPr>
        <w:t xml:space="preserve"> ir </w:t>
      </w:r>
      <w:proofErr w:type="spellStart"/>
      <w:r w:rsidRPr="00A07F29">
        <w:rPr>
          <w:rFonts w:ascii="Times New Roman" w:eastAsia="Calibri" w:hAnsi="Times New Roman" w:cs="Times New Roman"/>
          <w:color w:val="000000"/>
          <w:sz w:val="24"/>
          <w:szCs w:val="20"/>
          <w:lang w:eastAsia="ar-SA"/>
        </w:rPr>
        <w:t>oligofāgs</w:t>
      </w:r>
      <w:proofErr w:type="spellEnd"/>
      <w:r w:rsidRPr="00A07F29">
        <w:rPr>
          <w:rFonts w:ascii="Times New Roman" w:eastAsia="Calibri" w:hAnsi="Times New Roman" w:cs="Times New Roman"/>
          <w:color w:val="000000"/>
          <w:sz w:val="24"/>
          <w:szCs w:val="20"/>
          <w:lang w:eastAsia="ar-SA"/>
        </w:rPr>
        <w:t xml:space="preserve">, tā kāpuri barojas ar zirgskābenēm </w:t>
      </w:r>
      <w:proofErr w:type="spellStart"/>
      <w:r w:rsidRPr="00A07F29">
        <w:rPr>
          <w:rFonts w:ascii="Times New Roman" w:eastAsia="Calibri" w:hAnsi="Times New Roman" w:cs="Times New Roman"/>
          <w:i/>
          <w:iCs/>
          <w:color w:val="000000"/>
          <w:sz w:val="24"/>
          <w:szCs w:val="20"/>
          <w:shd w:val="clear" w:color="auto" w:fill="FFFFFF"/>
          <w:lang w:eastAsia="ar-SA"/>
        </w:rPr>
        <w:t>Rumex</w:t>
      </w:r>
      <w:proofErr w:type="spellEnd"/>
      <w:r w:rsidRPr="00A07F29">
        <w:rPr>
          <w:rFonts w:ascii="Times New Roman" w:eastAsia="Calibri" w:hAnsi="Times New Roman" w:cs="Times New Roman"/>
          <w:i/>
          <w:iCs/>
          <w:color w:val="000000"/>
          <w:sz w:val="24"/>
          <w:szCs w:val="20"/>
          <w:shd w:val="clear" w:color="auto" w:fill="FFFFFF"/>
          <w:lang w:eastAsia="ar-SA"/>
        </w:rPr>
        <w:t xml:space="preserve"> </w:t>
      </w:r>
      <w:proofErr w:type="spellStart"/>
      <w:r w:rsidRPr="00A07F29">
        <w:rPr>
          <w:rFonts w:ascii="Times New Roman" w:eastAsia="Calibri" w:hAnsi="Times New Roman" w:cs="Times New Roman"/>
          <w:i/>
          <w:iCs/>
          <w:color w:val="000000"/>
          <w:sz w:val="24"/>
          <w:szCs w:val="20"/>
          <w:shd w:val="clear" w:color="auto" w:fill="FFFFFF"/>
          <w:lang w:eastAsia="ar-SA"/>
        </w:rPr>
        <w:t>confertus</w:t>
      </w:r>
      <w:proofErr w:type="spellEnd"/>
      <w:r w:rsidRPr="00A07F29">
        <w:rPr>
          <w:rFonts w:ascii="Times New Roman" w:eastAsia="Calibri" w:hAnsi="Times New Roman" w:cs="Times New Roman"/>
          <w:color w:val="000000"/>
          <w:sz w:val="24"/>
          <w:szCs w:val="20"/>
          <w:lang w:eastAsia="ar-SA"/>
        </w:rPr>
        <w:t xml:space="preserve">, krastmalu skābeni </w:t>
      </w:r>
      <w:r w:rsidRPr="00A07F29">
        <w:rPr>
          <w:rFonts w:ascii="Times New Roman" w:eastAsia="Calibri" w:hAnsi="Times New Roman" w:cs="Times New Roman"/>
          <w:i/>
          <w:iCs/>
          <w:color w:val="000000"/>
          <w:sz w:val="24"/>
          <w:szCs w:val="20"/>
          <w:lang w:eastAsia="ar-SA"/>
        </w:rPr>
        <w:t xml:space="preserve">R. </w:t>
      </w:r>
      <w:proofErr w:type="spellStart"/>
      <w:r w:rsidRPr="00A07F29">
        <w:rPr>
          <w:rFonts w:ascii="Times New Roman" w:eastAsia="Calibri" w:hAnsi="Times New Roman" w:cs="Times New Roman"/>
          <w:i/>
          <w:iCs/>
          <w:color w:val="000000"/>
          <w:sz w:val="24"/>
          <w:szCs w:val="20"/>
          <w:lang w:eastAsia="ar-SA"/>
        </w:rPr>
        <w:t>hydrolapathum</w:t>
      </w:r>
      <w:proofErr w:type="spellEnd"/>
      <w:r w:rsidRPr="00A07F29">
        <w:rPr>
          <w:rFonts w:ascii="Times New Roman" w:eastAsia="Calibri" w:hAnsi="Times New Roman" w:cs="Times New Roman"/>
          <w:color w:val="000000"/>
          <w:sz w:val="24"/>
          <w:szCs w:val="20"/>
          <w:lang w:eastAsia="ar-SA"/>
        </w:rPr>
        <w:t xml:space="preserve">, cirtaino skābeni </w:t>
      </w:r>
      <w:r w:rsidRPr="00A07F29">
        <w:rPr>
          <w:rFonts w:ascii="Times New Roman" w:eastAsia="Calibri" w:hAnsi="Times New Roman" w:cs="Times New Roman"/>
          <w:i/>
          <w:iCs/>
          <w:color w:val="000000"/>
          <w:sz w:val="24"/>
          <w:szCs w:val="20"/>
          <w:lang w:eastAsia="ar-SA"/>
        </w:rPr>
        <w:t xml:space="preserve">R. </w:t>
      </w:r>
      <w:proofErr w:type="spellStart"/>
      <w:r w:rsidRPr="00A07F29">
        <w:rPr>
          <w:rFonts w:ascii="Times New Roman" w:eastAsia="Calibri" w:hAnsi="Times New Roman" w:cs="Times New Roman"/>
          <w:i/>
          <w:iCs/>
          <w:color w:val="000000"/>
          <w:sz w:val="24"/>
          <w:szCs w:val="20"/>
          <w:lang w:eastAsia="ar-SA"/>
        </w:rPr>
        <w:t>crispus</w:t>
      </w:r>
      <w:proofErr w:type="spellEnd"/>
      <w:r w:rsidRPr="00A07F29">
        <w:rPr>
          <w:rFonts w:ascii="Times New Roman" w:eastAsia="Calibri" w:hAnsi="Times New Roman" w:cs="Times New Roman"/>
          <w:color w:val="000000"/>
          <w:sz w:val="24"/>
          <w:szCs w:val="20"/>
          <w:lang w:eastAsia="ar-SA"/>
        </w:rPr>
        <w:t xml:space="preserve">, ūdeņu skābeni </w:t>
      </w:r>
      <w:r w:rsidRPr="00A07F29">
        <w:rPr>
          <w:rFonts w:ascii="Times New Roman" w:eastAsia="Calibri" w:hAnsi="Times New Roman" w:cs="Times New Roman"/>
          <w:i/>
          <w:iCs/>
          <w:color w:val="000000"/>
          <w:sz w:val="24"/>
          <w:szCs w:val="20"/>
          <w:lang w:eastAsia="ar-SA"/>
        </w:rPr>
        <w:t xml:space="preserve">R. </w:t>
      </w:r>
      <w:proofErr w:type="spellStart"/>
      <w:r w:rsidRPr="00A07F29">
        <w:rPr>
          <w:rFonts w:ascii="Times New Roman" w:eastAsia="Calibri" w:hAnsi="Times New Roman" w:cs="Times New Roman"/>
          <w:i/>
          <w:iCs/>
          <w:color w:val="000000"/>
          <w:sz w:val="24"/>
          <w:szCs w:val="20"/>
          <w:lang w:eastAsia="ar-SA"/>
        </w:rPr>
        <w:t>aquaticus</w:t>
      </w:r>
      <w:proofErr w:type="spellEnd"/>
      <w:r w:rsidRPr="00A07F29">
        <w:rPr>
          <w:rFonts w:ascii="Times New Roman" w:eastAsia="Calibri" w:hAnsi="Times New Roman" w:cs="Times New Roman"/>
          <w:i/>
          <w:iCs/>
          <w:color w:val="000000"/>
          <w:sz w:val="24"/>
          <w:szCs w:val="20"/>
          <w:lang w:eastAsia="ar-SA"/>
        </w:rPr>
        <w:t xml:space="preserve"> </w:t>
      </w:r>
      <w:r w:rsidRPr="00A07F29">
        <w:rPr>
          <w:rFonts w:ascii="Times New Roman" w:eastAsia="Calibri" w:hAnsi="Times New Roman" w:cs="Times New Roman"/>
          <w:color w:val="000000"/>
          <w:sz w:val="24"/>
          <w:szCs w:val="20"/>
          <w:lang w:eastAsia="ar-SA"/>
        </w:rPr>
        <w:t>(</w:t>
      </w:r>
      <w:proofErr w:type="spellStart"/>
      <w:r w:rsidRPr="00A07F29">
        <w:rPr>
          <w:rFonts w:ascii="Times New Roman" w:eastAsia="Calibri" w:hAnsi="Times New Roman" w:cs="Times New Roman"/>
          <w:color w:val="000000"/>
          <w:sz w:val="24"/>
          <w:szCs w:val="20"/>
          <w:shd w:val="clear" w:color="auto" w:fill="FFFFFF"/>
          <w:lang w:eastAsia="ar-SA"/>
        </w:rPr>
        <w:t>Strausz</w:t>
      </w:r>
      <w:proofErr w:type="spellEnd"/>
      <w:r w:rsidR="00745830">
        <w:rPr>
          <w:rFonts w:ascii="Times New Roman" w:eastAsia="Calibri" w:hAnsi="Times New Roman" w:cs="Times New Roman"/>
          <w:color w:val="000000"/>
          <w:sz w:val="24"/>
          <w:szCs w:val="20"/>
          <w:shd w:val="clear" w:color="auto" w:fill="FFFFFF"/>
          <w:lang w:eastAsia="ar-SA"/>
        </w:rPr>
        <w:t xml:space="preserve"> M.,</w:t>
      </w:r>
      <w:r w:rsidRPr="00A07F29">
        <w:rPr>
          <w:rFonts w:ascii="Times New Roman" w:eastAsia="Calibri" w:hAnsi="Times New Roman" w:cs="Times New Roman"/>
          <w:i/>
          <w:color w:val="000000"/>
          <w:sz w:val="24"/>
          <w:szCs w:val="20"/>
          <w:shd w:val="clear" w:color="auto" w:fill="FFFFFF"/>
          <w:lang w:eastAsia="ar-SA"/>
        </w:rPr>
        <w:t xml:space="preserve"> </w:t>
      </w:r>
      <w:proofErr w:type="spellStart"/>
      <w:r w:rsidRPr="00A07F29">
        <w:rPr>
          <w:rFonts w:ascii="Times New Roman" w:eastAsia="Calibri" w:hAnsi="Times New Roman" w:cs="Times New Roman"/>
          <w:i/>
          <w:color w:val="000000"/>
          <w:sz w:val="24"/>
          <w:szCs w:val="20"/>
          <w:shd w:val="clear" w:color="auto" w:fill="FFFFFF"/>
          <w:lang w:eastAsia="ar-SA"/>
        </w:rPr>
        <w:t>et</w:t>
      </w:r>
      <w:proofErr w:type="spellEnd"/>
      <w:r w:rsidRPr="00A07F29">
        <w:rPr>
          <w:rFonts w:ascii="Times New Roman" w:eastAsia="Calibri" w:hAnsi="Times New Roman" w:cs="Times New Roman"/>
          <w:i/>
          <w:color w:val="000000"/>
          <w:sz w:val="24"/>
          <w:szCs w:val="20"/>
          <w:shd w:val="clear" w:color="auto" w:fill="FFFFFF"/>
          <w:lang w:eastAsia="ar-SA"/>
        </w:rPr>
        <w:t xml:space="preserve"> </w:t>
      </w:r>
      <w:proofErr w:type="spellStart"/>
      <w:r w:rsidRPr="00A07F29">
        <w:rPr>
          <w:rFonts w:ascii="Times New Roman" w:eastAsia="Calibri" w:hAnsi="Times New Roman" w:cs="Times New Roman"/>
          <w:i/>
          <w:color w:val="000000"/>
          <w:sz w:val="24"/>
          <w:szCs w:val="20"/>
          <w:shd w:val="clear" w:color="auto" w:fill="FFFFFF"/>
          <w:lang w:eastAsia="ar-SA"/>
        </w:rPr>
        <w:t>al</w:t>
      </w:r>
      <w:proofErr w:type="spellEnd"/>
      <w:r w:rsidRPr="00A07F29">
        <w:rPr>
          <w:rFonts w:ascii="Times New Roman" w:eastAsia="Calibri" w:hAnsi="Times New Roman" w:cs="Times New Roman"/>
          <w:i/>
          <w:color w:val="000000"/>
          <w:sz w:val="24"/>
          <w:szCs w:val="20"/>
          <w:shd w:val="clear" w:color="auto" w:fill="FFFFFF"/>
          <w:lang w:eastAsia="ar-SA"/>
        </w:rPr>
        <w:t>.</w:t>
      </w:r>
      <w:r w:rsidR="005C3479">
        <w:rPr>
          <w:rFonts w:ascii="Times New Roman" w:eastAsia="Calibri" w:hAnsi="Times New Roman" w:cs="Times New Roman"/>
          <w:i/>
          <w:color w:val="000000"/>
          <w:sz w:val="24"/>
          <w:szCs w:val="20"/>
          <w:shd w:val="clear" w:color="auto" w:fill="FFFFFF"/>
          <w:lang w:eastAsia="ar-SA"/>
        </w:rPr>
        <w:t>,</w:t>
      </w:r>
      <w:r w:rsidRPr="00A07F29">
        <w:rPr>
          <w:rFonts w:ascii="Times New Roman" w:eastAsia="Calibri" w:hAnsi="Times New Roman" w:cs="Times New Roman"/>
          <w:color w:val="000000"/>
          <w:sz w:val="24"/>
          <w:szCs w:val="20"/>
          <w:shd w:val="clear" w:color="auto" w:fill="FFFFFF"/>
          <w:lang w:eastAsia="ar-SA"/>
        </w:rPr>
        <w:t xml:space="preserve"> 2012)</w:t>
      </w:r>
      <w:r w:rsidRPr="00A07F29">
        <w:rPr>
          <w:rFonts w:ascii="Times New Roman" w:eastAsia="Calibri" w:hAnsi="Times New Roman" w:cs="Times New Roman"/>
          <w:color w:val="000000"/>
          <w:sz w:val="24"/>
          <w:szCs w:val="20"/>
          <w:lang w:eastAsia="ar-SA"/>
        </w:rPr>
        <w:t xml:space="preserve">. </w:t>
      </w:r>
      <w:r w:rsidRPr="00A07F29">
        <w:rPr>
          <w:rFonts w:ascii="Times New Roman" w:eastAsia="Calibri" w:hAnsi="Times New Roman" w:cs="Times New Roman"/>
          <w:color w:val="000000"/>
          <w:sz w:val="24"/>
          <w:szCs w:val="36"/>
          <w:lang w:eastAsia="ar-SA"/>
        </w:rPr>
        <w:t xml:space="preserve">Zirgskābeņu </w:t>
      </w:r>
      <w:proofErr w:type="spellStart"/>
      <w:r w:rsidRPr="00A07F29">
        <w:rPr>
          <w:rFonts w:ascii="Times New Roman" w:eastAsia="Calibri" w:hAnsi="Times New Roman" w:cs="Times New Roman"/>
          <w:color w:val="000000"/>
          <w:sz w:val="24"/>
          <w:szCs w:val="36"/>
          <w:lang w:eastAsia="ar-SA"/>
        </w:rPr>
        <w:t>zilenīša</w:t>
      </w:r>
      <w:proofErr w:type="spellEnd"/>
      <w:r w:rsidRPr="00A07F29">
        <w:rPr>
          <w:rFonts w:ascii="Times New Roman" w:eastAsia="Calibri" w:hAnsi="Times New Roman" w:cs="Times New Roman"/>
          <w:color w:val="000000"/>
          <w:sz w:val="24"/>
          <w:szCs w:val="36"/>
          <w:lang w:eastAsia="ar-SA"/>
        </w:rPr>
        <w:t xml:space="preserve"> atradnes pārklāj visu AAA “Augšdaugava” teritoriju, bet atradnes galvenokārt lokalizētas gar Daugavas upi (</w:t>
      </w:r>
      <w:r w:rsidR="00817E8D">
        <w:rPr>
          <w:rFonts w:ascii="Times New Roman" w:eastAsia="Calibri" w:hAnsi="Times New Roman" w:cs="Times New Roman"/>
          <w:color w:val="000000"/>
          <w:sz w:val="24"/>
          <w:szCs w:val="36"/>
          <w:lang w:eastAsia="ar-SA"/>
        </w:rPr>
        <w:t xml:space="preserve">skat. </w:t>
      </w:r>
      <w:r w:rsidR="005C5A50" w:rsidRPr="00A07F29">
        <w:rPr>
          <w:rFonts w:ascii="Times New Roman" w:eastAsia="Calibri" w:hAnsi="Times New Roman" w:cs="Times New Roman"/>
          <w:color w:val="000000"/>
          <w:sz w:val="24"/>
          <w:szCs w:val="36"/>
          <w:lang w:eastAsia="ar-SA"/>
        </w:rPr>
        <w:t>4.7.1.</w:t>
      </w:r>
      <w:r w:rsidRPr="00A07F29">
        <w:rPr>
          <w:rFonts w:ascii="Times New Roman" w:eastAsia="Calibri" w:hAnsi="Times New Roman" w:cs="Times New Roman"/>
          <w:color w:val="000000"/>
          <w:sz w:val="24"/>
          <w:szCs w:val="36"/>
          <w:lang w:eastAsia="ar-SA"/>
        </w:rPr>
        <w:t>12.</w:t>
      </w:r>
      <w:r w:rsidR="00817E8D">
        <w:rPr>
          <w:rFonts w:ascii="Times New Roman" w:eastAsia="Calibri" w:hAnsi="Times New Roman" w:cs="Times New Roman"/>
          <w:color w:val="000000"/>
          <w:sz w:val="24"/>
          <w:szCs w:val="36"/>
          <w:lang w:eastAsia="ar-SA"/>
        </w:rPr>
        <w:t> </w:t>
      </w:r>
      <w:r w:rsidRPr="00A07F29">
        <w:rPr>
          <w:rFonts w:ascii="Times New Roman" w:eastAsia="Calibri" w:hAnsi="Times New Roman" w:cs="Times New Roman"/>
          <w:color w:val="000000"/>
          <w:sz w:val="24"/>
          <w:szCs w:val="36"/>
          <w:lang w:eastAsia="ar-SA"/>
        </w:rPr>
        <w:t>att</w:t>
      </w:r>
      <w:r w:rsidR="00817E8D">
        <w:rPr>
          <w:rFonts w:ascii="Times New Roman" w:eastAsia="Calibri" w:hAnsi="Times New Roman" w:cs="Times New Roman"/>
          <w:color w:val="000000"/>
          <w:sz w:val="24"/>
          <w:szCs w:val="36"/>
          <w:lang w:eastAsia="ar-SA"/>
        </w:rPr>
        <w:t>ēls</w:t>
      </w:r>
      <w:r w:rsidRPr="00A07F29">
        <w:rPr>
          <w:rFonts w:ascii="Times New Roman" w:eastAsia="Calibri" w:hAnsi="Times New Roman" w:cs="Times New Roman"/>
          <w:color w:val="000000"/>
          <w:sz w:val="24"/>
          <w:szCs w:val="36"/>
          <w:lang w:eastAsia="ar-SA"/>
        </w:rPr>
        <w:t xml:space="preserve">), kur ir plaši sastopami zirgskābeņu zilenīšu kāpuru attīstībai nepieciešamie augi. </w:t>
      </w:r>
      <w:r w:rsidRPr="00A07F29">
        <w:rPr>
          <w:rFonts w:ascii="Times New Roman" w:eastAsia="Calibri" w:hAnsi="Times New Roman" w:cs="Times New Roman"/>
          <w:color w:val="000000"/>
          <w:sz w:val="24"/>
          <w:szCs w:val="20"/>
          <w:lang w:eastAsia="ar-SA"/>
        </w:rPr>
        <w:t>Pieaugušie tauriņi sastopami dažādos pļavu biotopos, kas var atrasties tālu no kāpuru attīstības biotopa. Tauriņi sastopami</w:t>
      </w:r>
      <w:r w:rsidRPr="00A07F29">
        <w:rPr>
          <w:rFonts w:ascii="Times New Roman" w:eastAsia="Calibri" w:hAnsi="Times New Roman" w:cs="Times New Roman"/>
          <w:color w:val="000000"/>
          <w:sz w:val="28"/>
          <w:szCs w:val="28"/>
          <w:lang w:eastAsia="ar-SA"/>
        </w:rPr>
        <w:t xml:space="preserve"> </w:t>
      </w:r>
      <w:r w:rsidRPr="00A07F29">
        <w:rPr>
          <w:rFonts w:ascii="Times New Roman" w:eastAsia="Calibri" w:hAnsi="Times New Roman" w:cs="Times New Roman"/>
          <w:color w:val="000000"/>
          <w:sz w:val="24"/>
          <w:szCs w:val="20"/>
          <w:lang w:eastAsia="ar-SA"/>
        </w:rPr>
        <w:t>saules apspīdēt</w:t>
      </w:r>
      <w:r w:rsidR="00F74125">
        <w:rPr>
          <w:rFonts w:ascii="Times New Roman" w:eastAsia="Calibri" w:hAnsi="Times New Roman" w:cs="Times New Roman"/>
          <w:color w:val="000000"/>
          <w:sz w:val="24"/>
          <w:szCs w:val="20"/>
          <w:lang w:eastAsia="ar-SA"/>
        </w:rPr>
        <w:t>ā</w:t>
      </w:r>
      <w:r w:rsidRPr="00A07F29">
        <w:rPr>
          <w:rFonts w:ascii="Times New Roman" w:eastAsia="Calibri" w:hAnsi="Times New Roman" w:cs="Times New Roman"/>
          <w:color w:val="000000"/>
          <w:sz w:val="24"/>
          <w:szCs w:val="20"/>
          <w:lang w:eastAsia="ar-SA"/>
        </w:rPr>
        <w:t>s, no vēja aizsargātās, mitrās pļavās gar ūdeņu krastmalām, kur aug skābenes.</w:t>
      </w:r>
      <w:r w:rsidRPr="00A07F29">
        <w:rPr>
          <w:rFonts w:ascii="Times New Roman" w:eastAsia="Calibri" w:hAnsi="Times New Roman" w:cs="Times New Roman"/>
          <w:color w:val="000000"/>
          <w:sz w:val="28"/>
          <w:szCs w:val="28"/>
          <w:lang w:eastAsia="ar-SA"/>
        </w:rPr>
        <w:t xml:space="preserve"> </w:t>
      </w:r>
      <w:r w:rsidRPr="00A07F29">
        <w:rPr>
          <w:rFonts w:ascii="Times New Roman" w:eastAsia="Calibri" w:hAnsi="Times New Roman" w:cs="Times New Roman"/>
          <w:color w:val="000000"/>
          <w:sz w:val="24"/>
          <w:szCs w:val="20"/>
          <w:lang w:eastAsia="ar-SA"/>
        </w:rPr>
        <w:t xml:space="preserve">Zirgskābeņu </w:t>
      </w:r>
      <w:proofErr w:type="spellStart"/>
      <w:r w:rsidRPr="00A07F29">
        <w:rPr>
          <w:rFonts w:ascii="Times New Roman" w:eastAsia="Calibri" w:hAnsi="Times New Roman" w:cs="Times New Roman"/>
          <w:color w:val="000000"/>
          <w:sz w:val="24"/>
          <w:szCs w:val="20"/>
          <w:lang w:eastAsia="ar-SA"/>
        </w:rPr>
        <w:t>zilenīša</w:t>
      </w:r>
      <w:proofErr w:type="spellEnd"/>
      <w:r w:rsidRPr="00A07F29">
        <w:rPr>
          <w:rFonts w:ascii="Times New Roman" w:eastAsia="Calibri" w:hAnsi="Times New Roman" w:cs="Times New Roman"/>
          <w:color w:val="000000"/>
          <w:sz w:val="24"/>
          <w:szCs w:val="20"/>
          <w:lang w:eastAsia="ar-SA"/>
        </w:rPr>
        <w:t xml:space="preserve"> </w:t>
      </w:r>
      <w:proofErr w:type="spellStart"/>
      <w:r w:rsidRPr="00A07F29">
        <w:rPr>
          <w:rFonts w:ascii="Times New Roman" w:eastAsia="Calibri" w:hAnsi="Times New Roman" w:cs="Times New Roman"/>
          <w:color w:val="000000"/>
          <w:sz w:val="24"/>
          <w:szCs w:val="20"/>
          <w:lang w:eastAsia="ar-SA"/>
        </w:rPr>
        <w:t>imago</w:t>
      </w:r>
      <w:proofErr w:type="spellEnd"/>
      <w:r w:rsidRPr="00A07F29">
        <w:rPr>
          <w:rFonts w:ascii="Times New Roman" w:eastAsia="Calibri" w:hAnsi="Times New Roman" w:cs="Times New Roman"/>
          <w:color w:val="000000"/>
          <w:sz w:val="24"/>
          <w:szCs w:val="20"/>
          <w:lang w:eastAsia="ar-SA"/>
        </w:rPr>
        <w:t xml:space="preserve"> ir sastopami no jūnija beigām līdz augusta sākumam (</w:t>
      </w:r>
      <w:proofErr w:type="spellStart"/>
      <w:r w:rsidRPr="00A07F29">
        <w:rPr>
          <w:rFonts w:ascii="Times New Roman" w:eastAsia="Calibri" w:hAnsi="Times New Roman" w:cs="Times New Roman"/>
          <w:color w:val="000000"/>
          <w:sz w:val="24"/>
          <w:szCs w:val="20"/>
          <w:lang w:eastAsia="ar-SA"/>
        </w:rPr>
        <w:t>Savenkovs</w:t>
      </w:r>
      <w:proofErr w:type="spellEnd"/>
      <w:r w:rsidR="00F74125">
        <w:rPr>
          <w:rFonts w:ascii="Times New Roman" w:eastAsia="Calibri" w:hAnsi="Times New Roman" w:cs="Times New Roman"/>
          <w:color w:val="000000"/>
          <w:sz w:val="24"/>
          <w:szCs w:val="20"/>
          <w:lang w:eastAsia="ar-SA"/>
        </w:rPr>
        <w:t xml:space="preserve"> N.,</w:t>
      </w:r>
      <w:r w:rsidRPr="00A07F29">
        <w:rPr>
          <w:rFonts w:ascii="Times New Roman" w:eastAsia="Calibri" w:hAnsi="Times New Roman" w:cs="Times New Roman"/>
          <w:color w:val="000000"/>
          <w:sz w:val="24"/>
          <w:szCs w:val="20"/>
          <w:lang w:eastAsia="ar-SA"/>
        </w:rPr>
        <w:t xml:space="preserve"> 2018).</w:t>
      </w:r>
      <w:r w:rsidRPr="00A07F29">
        <w:rPr>
          <w:rFonts w:ascii="Times New Roman" w:eastAsia="Calibri" w:hAnsi="Times New Roman" w:cs="Times New Roman"/>
          <w:color w:val="000000"/>
          <w:sz w:val="24"/>
          <w:szCs w:val="36"/>
          <w:lang w:eastAsia="ar-SA"/>
        </w:rPr>
        <w:t xml:space="preserve"> AAA “Augšdaugava” šīs sugas atradnes ir saistītas ar teritorijā esošajiem ES nozīmes aizsargājamiem zālāju biotopiem. Kā sugai piemērotākie ir uzskatāmi </w:t>
      </w:r>
      <w:r w:rsidR="005C5A50" w:rsidRPr="00A07F29">
        <w:rPr>
          <w:rFonts w:ascii="Times New Roman" w:eastAsia="Calibri" w:hAnsi="Times New Roman" w:cs="Times New Roman"/>
          <w:color w:val="000000"/>
          <w:sz w:val="24"/>
          <w:szCs w:val="36"/>
          <w:lang w:eastAsia="ar-SA"/>
        </w:rPr>
        <w:t>6450 </w:t>
      </w:r>
      <w:r w:rsidR="005C5A50" w:rsidRPr="00A07F29">
        <w:rPr>
          <w:rFonts w:ascii="Times New Roman" w:eastAsia="Calibri" w:hAnsi="Times New Roman" w:cs="Times New Roman"/>
          <w:i/>
          <w:color w:val="000000"/>
          <w:sz w:val="24"/>
          <w:szCs w:val="36"/>
          <w:lang w:eastAsia="ar-SA"/>
        </w:rPr>
        <w:t xml:space="preserve">Palieņu </w:t>
      </w:r>
      <w:r w:rsidRPr="00A07F29">
        <w:rPr>
          <w:rFonts w:ascii="Times New Roman" w:eastAsia="Calibri" w:hAnsi="Times New Roman" w:cs="Times New Roman"/>
          <w:i/>
          <w:color w:val="000000"/>
          <w:sz w:val="24"/>
          <w:szCs w:val="36"/>
          <w:lang w:eastAsia="ar-SA"/>
        </w:rPr>
        <w:t>zālāji</w:t>
      </w:r>
      <w:r w:rsidRPr="00A07F29">
        <w:rPr>
          <w:rFonts w:ascii="Times New Roman" w:eastAsia="Calibri" w:hAnsi="Times New Roman" w:cs="Times New Roman"/>
          <w:color w:val="000000"/>
          <w:sz w:val="24"/>
          <w:szCs w:val="36"/>
          <w:lang w:eastAsia="ar-SA"/>
        </w:rPr>
        <w:t xml:space="preserve"> un </w:t>
      </w:r>
      <w:r w:rsidRPr="00A07F29">
        <w:rPr>
          <w:rFonts w:ascii="Times New Roman" w:eastAsia="Calibri" w:hAnsi="Times New Roman" w:cs="Times New Roman"/>
          <w:color w:val="000000"/>
          <w:sz w:val="24"/>
          <w:szCs w:val="20"/>
          <w:lang w:eastAsia="ar-SA"/>
        </w:rPr>
        <w:fldChar w:fldCharType="begin"/>
      </w:r>
      <w:r w:rsidRPr="00A07F29">
        <w:rPr>
          <w:rFonts w:ascii="Times New Roman" w:eastAsia="Calibri" w:hAnsi="Times New Roman" w:cs="Times New Roman"/>
          <w:color w:val="000000"/>
          <w:sz w:val="24"/>
          <w:szCs w:val="20"/>
          <w:lang w:eastAsia="ar-SA"/>
        </w:rPr>
        <w:instrText xml:space="preserve"> HYPERLINK "https://www.daba.gov.lv/upload/File/Publikacijas/NOT_ES_aizsarg_biotopu_LV_augi_2016_06_6270_bagatas_ganibas_plavas.pdf" </w:instrText>
      </w:r>
      <w:r w:rsidRPr="00A07F29">
        <w:rPr>
          <w:rFonts w:ascii="Times New Roman" w:eastAsia="Calibri" w:hAnsi="Times New Roman" w:cs="Times New Roman"/>
          <w:color w:val="000000"/>
          <w:sz w:val="24"/>
          <w:szCs w:val="20"/>
          <w:lang w:eastAsia="ar-SA"/>
        </w:rPr>
      </w:r>
      <w:r w:rsidRPr="00A07F29">
        <w:rPr>
          <w:rFonts w:ascii="Times New Roman" w:eastAsia="Calibri" w:hAnsi="Times New Roman" w:cs="Times New Roman"/>
          <w:color w:val="000000"/>
          <w:sz w:val="24"/>
          <w:szCs w:val="20"/>
          <w:lang w:eastAsia="ar-SA"/>
        </w:rPr>
        <w:fldChar w:fldCharType="separate"/>
      </w:r>
      <w:r w:rsidR="007A770C" w:rsidRPr="00A07F29">
        <w:rPr>
          <w:rFonts w:ascii="Times New Roman" w:eastAsia="Calibri" w:hAnsi="Times New Roman" w:cs="Times New Roman"/>
          <w:bCs/>
          <w:color w:val="000000"/>
          <w:sz w:val="24"/>
          <w:szCs w:val="30"/>
          <w:shd w:val="clear" w:color="auto" w:fill="FFFFFF"/>
          <w:lang w:eastAsia="ar-SA"/>
        </w:rPr>
        <w:t>6270</w:t>
      </w:r>
      <w:r w:rsidR="005C5A50" w:rsidRPr="00A07F29">
        <w:rPr>
          <w:rFonts w:ascii="Times New Roman" w:eastAsia="Calibri" w:hAnsi="Times New Roman" w:cs="Times New Roman"/>
          <w:bCs/>
          <w:color w:val="000000"/>
          <w:sz w:val="24"/>
          <w:szCs w:val="30"/>
          <w:shd w:val="clear" w:color="auto" w:fill="FFFFFF"/>
          <w:lang w:eastAsia="ar-SA"/>
        </w:rPr>
        <w:t>* </w:t>
      </w:r>
      <w:r w:rsidRPr="00A07F29">
        <w:rPr>
          <w:rFonts w:ascii="Times New Roman" w:eastAsia="Calibri" w:hAnsi="Times New Roman" w:cs="Times New Roman"/>
          <w:bCs/>
          <w:i/>
          <w:color w:val="000000"/>
          <w:sz w:val="24"/>
          <w:szCs w:val="30"/>
          <w:shd w:val="clear" w:color="auto" w:fill="FFFFFF"/>
          <w:lang w:eastAsia="ar-SA"/>
        </w:rPr>
        <w:t>Sugām bagātas ganības un ganītas pļavas</w:t>
      </w:r>
      <w:r w:rsidRPr="00A07F29">
        <w:rPr>
          <w:rFonts w:ascii="Times New Roman" w:eastAsia="Calibri" w:hAnsi="Times New Roman" w:cs="Times New Roman"/>
          <w:bCs/>
          <w:color w:val="000000"/>
          <w:sz w:val="24"/>
          <w:szCs w:val="30"/>
          <w:shd w:val="clear" w:color="auto" w:fill="FFFFFF"/>
          <w:lang w:eastAsia="ar-SA"/>
        </w:rPr>
        <w:t xml:space="preserve">. Sugas pieaugušie īpatņi neuzturas lokāli, tāpēc to sastopamība teritorijā var nebūt saistīta ar kāpuru attīstības biotopiem. Sugas īpatņi ir konstatēti izcirtumu malās, meža </w:t>
      </w:r>
      <w:proofErr w:type="spellStart"/>
      <w:r w:rsidRPr="00A07F29">
        <w:rPr>
          <w:rFonts w:ascii="Times New Roman" w:eastAsia="Calibri" w:hAnsi="Times New Roman" w:cs="Times New Roman"/>
          <w:bCs/>
          <w:color w:val="000000"/>
          <w:sz w:val="24"/>
          <w:szCs w:val="30"/>
          <w:shd w:val="clear" w:color="auto" w:fill="FFFFFF"/>
          <w:lang w:eastAsia="ar-SA"/>
        </w:rPr>
        <w:t>laucēs</w:t>
      </w:r>
      <w:proofErr w:type="spellEnd"/>
      <w:r w:rsidRPr="00A07F29">
        <w:rPr>
          <w:rFonts w:ascii="Times New Roman" w:eastAsia="Calibri" w:hAnsi="Times New Roman" w:cs="Times New Roman"/>
          <w:bCs/>
          <w:color w:val="000000"/>
          <w:sz w:val="24"/>
          <w:szCs w:val="30"/>
          <w:shd w:val="clear" w:color="auto" w:fill="FFFFFF"/>
          <w:lang w:eastAsia="ar-SA"/>
        </w:rPr>
        <w:t>, gar ceļiem un grāvjiem. 2016.</w:t>
      </w:r>
      <w:r w:rsidR="00050F06">
        <w:rPr>
          <w:rFonts w:ascii="Times New Roman" w:eastAsia="Calibri" w:hAnsi="Times New Roman" w:cs="Times New Roman"/>
          <w:bCs/>
          <w:color w:val="000000"/>
          <w:sz w:val="24"/>
          <w:szCs w:val="30"/>
          <w:shd w:val="clear" w:color="auto" w:fill="FFFFFF"/>
          <w:lang w:eastAsia="ar-SA"/>
        </w:rPr>
        <w:t> </w:t>
      </w:r>
      <w:r w:rsidRPr="00A07F29">
        <w:rPr>
          <w:rFonts w:ascii="Times New Roman" w:eastAsia="Calibri" w:hAnsi="Times New Roman" w:cs="Times New Roman"/>
          <w:bCs/>
          <w:color w:val="000000"/>
          <w:sz w:val="24"/>
          <w:szCs w:val="30"/>
          <w:shd w:val="clear" w:color="auto" w:fill="FFFFFF"/>
          <w:lang w:eastAsia="ar-SA"/>
        </w:rPr>
        <w:t xml:space="preserve">gadā AAA “Augšdaugava” teritorijā tika veikta zirgskābeņu </w:t>
      </w:r>
      <w:proofErr w:type="spellStart"/>
      <w:r w:rsidRPr="00A07F29">
        <w:rPr>
          <w:rFonts w:ascii="Times New Roman" w:eastAsia="Calibri" w:hAnsi="Times New Roman" w:cs="Times New Roman"/>
          <w:bCs/>
          <w:color w:val="000000"/>
          <w:sz w:val="24"/>
          <w:szCs w:val="30"/>
          <w:shd w:val="clear" w:color="auto" w:fill="FFFFFF"/>
          <w:lang w:eastAsia="ar-SA"/>
        </w:rPr>
        <w:t>zilenīša</w:t>
      </w:r>
      <w:proofErr w:type="spellEnd"/>
      <w:r w:rsidRPr="00A07F29">
        <w:rPr>
          <w:rFonts w:ascii="Times New Roman" w:eastAsia="Calibri" w:hAnsi="Times New Roman" w:cs="Times New Roman"/>
          <w:bCs/>
          <w:color w:val="000000"/>
          <w:sz w:val="24"/>
          <w:szCs w:val="30"/>
          <w:shd w:val="clear" w:color="auto" w:fill="FFFFFF"/>
          <w:lang w:eastAsia="ar-SA"/>
        </w:rPr>
        <w:t xml:space="preserve"> uzskaite </w:t>
      </w:r>
      <w:proofErr w:type="spellStart"/>
      <w:r w:rsidR="0092556E" w:rsidRPr="00A07F29">
        <w:rPr>
          <w:rFonts w:ascii="Times New Roman" w:eastAsia="Calibri" w:hAnsi="Times New Roman" w:cs="Times New Roman"/>
          <w:bCs/>
          <w:i/>
          <w:color w:val="000000"/>
          <w:sz w:val="24"/>
          <w:szCs w:val="30"/>
          <w:shd w:val="clear" w:color="auto" w:fill="FFFFFF"/>
          <w:lang w:eastAsia="ar-SA"/>
        </w:rPr>
        <w:t>Natura</w:t>
      </w:r>
      <w:proofErr w:type="spellEnd"/>
      <w:r w:rsidRPr="00A07F29">
        <w:rPr>
          <w:rFonts w:ascii="Times New Roman" w:eastAsia="Calibri" w:hAnsi="Times New Roman" w:cs="Times New Roman"/>
          <w:bCs/>
          <w:i/>
          <w:color w:val="000000"/>
          <w:sz w:val="24"/>
          <w:szCs w:val="30"/>
          <w:shd w:val="clear" w:color="auto" w:fill="FFFFFF"/>
          <w:lang w:eastAsia="ar-SA"/>
        </w:rPr>
        <w:t xml:space="preserve"> 2000</w:t>
      </w:r>
      <w:r w:rsidRPr="00A07F29">
        <w:rPr>
          <w:rFonts w:ascii="Times New Roman" w:eastAsia="Calibri" w:hAnsi="Times New Roman" w:cs="Times New Roman"/>
          <w:bCs/>
          <w:color w:val="000000"/>
          <w:sz w:val="24"/>
          <w:szCs w:val="30"/>
          <w:shd w:val="clear" w:color="auto" w:fill="FFFFFF"/>
          <w:lang w:eastAsia="ar-SA"/>
        </w:rPr>
        <w:t xml:space="preserve"> teritoriju mon</w:t>
      </w:r>
      <w:r w:rsidR="00050F06">
        <w:rPr>
          <w:rFonts w:ascii="Times New Roman" w:eastAsia="Calibri" w:hAnsi="Times New Roman" w:cs="Times New Roman"/>
          <w:bCs/>
          <w:color w:val="000000"/>
          <w:sz w:val="24"/>
          <w:szCs w:val="30"/>
          <w:shd w:val="clear" w:color="auto" w:fill="FFFFFF"/>
          <w:lang w:eastAsia="ar-SA"/>
        </w:rPr>
        <w:t>i</w:t>
      </w:r>
      <w:r w:rsidRPr="00A07F29">
        <w:rPr>
          <w:rFonts w:ascii="Times New Roman" w:eastAsia="Calibri" w:hAnsi="Times New Roman" w:cs="Times New Roman"/>
          <w:bCs/>
          <w:color w:val="000000"/>
          <w:sz w:val="24"/>
          <w:szCs w:val="30"/>
          <w:shd w:val="clear" w:color="auto" w:fill="FFFFFF"/>
          <w:lang w:eastAsia="ar-SA"/>
        </w:rPr>
        <w:t>toringa ietvaros. Uzskaites rezultātā tika konstatēti divi tauriņa īpatņi, un tika aprēķināts prognozējamais īpatņu skaits teritorijā, kas ir robežās no 250 līdz 500 īpatņiem.</w:t>
      </w:r>
    </w:p>
    <w:p w14:paraId="752E66B6" w14:textId="6F387916" w:rsidR="009072CE" w:rsidRPr="00A07F29" w:rsidRDefault="009072CE" w:rsidP="00E22CE3">
      <w:pPr>
        <w:spacing w:after="120" w:line="240" w:lineRule="auto"/>
        <w:ind w:firstLine="851"/>
        <w:jc w:val="both"/>
        <w:rPr>
          <w:rFonts w:ascii="Times New Roman" w:eastAsia="Calibri" w:hAnsi="Times New Roman" w:cs="Times New Roman"/>
          <w:color w:val="000000"/>
          <w:sz w:val="24"/>
        </w:rPr>
      </w:pPr>
      <w:r w:rsidRPr="00A07F29">
        <w:rPr>
          <w:rFonts w:ascii="Times New Roman" w:eastAsia="Calibri" w:hAnsi="Times New Roman" w:cs="Times New Roman"/>
          <w:color w:val="000000"/>
        </w:rPr>
        <w:fldChar w:fldCharType="end"/>
      </w:r>
      <w:r w:rsidRPr="00A07F29">
        <w:rPr>
          <w:rFonts w:ascii="Times New Roman" w:eastAsia="Calibri" w:hAnsi="Times New Roman" w:cs="Times New Roman"/>
          <w:color w:val="000000"/>
          <w:sz w:val="24"/>
        </w:rPr>
        <w:t xml:space="preserve">Tauriņiem Latvijas apstākļos viena paaudze gadā, </w:t>
      </w:r>
      <w:proofErr w:type="spellStart"/>
      <w:r w:rsidRPr="00A07F29">
        <w:rPr>
          <w:rFonts w:ascii="Times New Roman" w:eastAsia="Calibri" w:hAnsi="Times New Roman" w:cs="Times New Roman"/>
          <w:color w:val="000000"/>
          <w:sz w:val="24"/>
        </w:rPr>
        <w:t>imago</w:t>
      </w:r>
      <w:proofErr w:type="spellEnd"/>
      <w:r w:rsidRPr="00A07F29">
        <w:rPr>
          <w:rFonts w:ascii="Times New Roman" w:eastAsia="Calibri" w:hAnsi="Times New Roman" w:cs="Times New Roman"/>
          <w:color w:val="000000"/>
          <w:sz w:val="24"/>
        </w:rPr>
        <w:t xml:space="preserve"> lidošana novērota no jūnija vidus un līdz augusta sākumam. Kāpuriem ir slepens dzīvesveids, tie barojas skābeņu lapu apakšpusē. Nepieauguši kāpuri pārziemo zemsedzē blakus </w:t>
      </w:r>
      <w:proofErr w:type="spellStart"/>
      <w:r w:rsidRPr="00A07F29">
        <w:rPr>
          <w:rFonts w:ascii="Times New Roman" w:eastAsia="Calibri" w:hAnsi="Times New Roman" w:cs="Times New Roman"/>
          <w:color w:val="000000"/>
          <w:sz w:val="24"/>
        </w:rPr>
        <w:t>saimniekaugam</w:t>
      </w:r>
      <w:proofErr w:type="spellEnd"/>
      <w:r w:rsidRPr="00A07F29">
        <w:rPr>
          <w:rFonts w:ascii="Times New Roman" w:eastAsia="Calibri" w:hAnsi="Times New Roman" w:cs="Times New Roman"/>
          <w:color w:val="000000"/>
          <w:sz w:val="24"/>
        </w:rPr>
        <w:t xml:space="preserve"> un turpina baroties ar to nākamajā gadā. Zirgskābeņu </w:t>
      </w:r>
      <w:proofErr w:type="spellStart"/>
      <w:r w:rsidRPr="00A07F29">
        <w:rPr>
          <w:rFonts w:ascii="Times New Roman" w:eastAsia="Calibri" w:hAnsi="Times New Roman" w:cs="Times New Roman"/>
          <w:color w:val="000000"/>
          <w:sz w:val="24"/>
        </w:rPr>
        <w:t>zilenīša</w:t>
      </w:r>
      <w:proofErr w:type="spellEnd"/>
      <w:r w:rsidRPr="00A07F29">
        <w:rPr>
          <w:rFonts w:ascii="Times New Roman" w:eastAsia="Calibri" w:hAnsi="Times New Roman" w:cs="Times New Roman"/>
          <w:color w:val="000000"/>
          <w:sz w:val="24"/>
        </w:rPr>
        <w:t xml:space="preserve"> kāpuru attīstībai ir raksturīga simbioze ar skudrām, visbiežāk </w:t>
      </w:r>
      <w:proofErr w:type="spellStart"/>
      <w:r w:rsidRPr="00A07F29">
        <w:rPr>
          <w:rFonts w:ascii="Times New Roman" w:eastAsia="Calibri" w:hAnsi="Times New Roman" w:cs="Times New Roman"/>
          <w:i/>
          <w:iCs/>
          <w:color w:val="000000"/>
          <w:sz w:val="24"/>
        </w:rPr>
        <w:t>Myrmica</w:t>
      </w:r>
      <w:proofErr w:type="spellEnd"/>
      <w:r w:rsidRPr="00A07F29">
        <w:rPr>
          <w:rFonts w:ascii="Times New Roman" w:eastAsia="Calibri" w:hAnsi="Times New Roman" w:cs="Times New Roman"/>
          <w:i/>
          <w:iCs/>
          <w:color w:val="000000"/>
          <w:sz w:val="24"/>
        </w:rPr>
        <w:t xml:space="preserve"> </w:t>
      </w:r>
      <w:proofErr w:type="spellStart"/>
      <w:r w:rsidRPr="00A07F29">
        <w:rPr>
          <w:rFonts w:ascii="Times New Roman" w:eastAsia="Calibri" w:hAnsi="Times New Roman" w:cs="Times New Roman"/>
          <w:i/>
          <w:iCs/>
          <w:color w:val="000000"/>
          <w:sz w:val="24"/>
        </w:rPr>
        <w:t>rubra</w:t>
      </w:r>
      <w:proofErr w:type="spellEnd"/>
      <w:r w:rsidRPr="00A07F29">
        <w:rPr>
          <w:rFonts w:ascii="Times New Roman" w:eastAsia="Calibri" w:hAnsi="Times New Roman" w:cs="Times New Roman"/>
          <w:color w:val="000000"/>
          <w:sz w:val="24"/>
        </w:rPr>
        <w:t xml:space="preserve"> un </w:t>
      </w:r>
      <w:proofErr w:type="spellStart"/>
      <w:r w:rsidRPr="00A07F29">
        <w:rPr>
          <w:rFonts w:ascii="Times New Roman" w:eastAsia="Calibri" w:hAnsi="Times New Roman" w:cs="Times New Roman"/>
          <w:i/>
          <w:iCs/>
          <w:color w:val="000000"/>
          <w:sz w:val="24"/>
        </w:rPr>
        <w:t>Lasius</w:t>
      </w:r>
      <w:proofErr w:type="spellEnd"/>
      <w:r w:rsidRPr="00A07F29">
        <w:rPr>
          <w:rFonts w:ascii="Times New Roman" w:eastAsia="Calibri" w:hAnsi="Times New Roman" w:cs="Times New Roman"/>
          <w:i/>
          <w:iCs/>
          <w:color w:val="000000"/>
          <w:sz w:val="24"/>
        </w:rPr>
        <w:t xml:space="preserve"> niger</w:t>
      </w:r>
      <w:r w:rsidRPr="00A07F29">
        <w:rPr>
          <w:rFonts w:ascii="Times New Roman" w:eastAsia="Calibri" w:hAnsi="Times New Roman" w:cs="Times New Roman"/>
          <w:color w:val="000000"/>
          <w:sz w:val="24"/>
        </w:rPr>
        <w:t xml:space="preserve">, kas </w:t>
      </w:r>
      <w:proofErr w:type="spellStart"/>
      <w:r w:rsidRPr="00A07F29">
        <w:rPr>
          <w:rFonts w:ascii="Times New Roman" w:eastAsia="Calibri" w:hAnsi="Times New Roman" w:cs="Times New Roman"/>
          <w:color w:val="000000"/>
          <w:sz w:val="24"/>
        </w:rPr>
        <w:t>izpaužās</w:t>
      </w:r>
      <w:proofErr w:type="spellEnd"/>
      <w:r w:rsidRPr="00A07F29">
        <w:rPr>
          <w:rFonts w:ascii="Times New Roman" w:eastAsia="Calibri" w:hAnsi="Times New Roman" w:cs="Times New Roman"/>
          <w:color w:val="000000"/>
          <w:sz w:val="24"/>
        </w:rPr>
        <w:t xml:space="preserve"> kā </w:t>
      </w:r>
      <w:proofErr w:type="spellStart"/>
      <w:r w:rsidRPr="00A07F29">
        <w:rPr>
          <w:rFonts w:ascii="Times New Roman" w:eastAsia="Calibri" w:hAnsi="Times New Roman" w:cs="Times New Roman"/>
          <w:color w:val="000000"/>
          <w:sz w:val="24"/>
          <w:shd w:val="clear" w:color="auto" w:fill="FFFFFF"/>
        </w:rPr>
        <w:t>mutuālisms</w:t>
      </w:r>
      <w:proofErr w:type="spellEnd"/>
      <w:r w:rsidRPr="00A07F29">
        <w:rPr>
          <w:rFonts w:ascii="Times New Roman" w:eastAsia="Calibri" w:hAnsi="Times New Roman" w:cs="Times New Roman"/>
          <w:color w:val="000000"/>
          <w:sz w:val="24"/>
          <w:shd w:val="clear" w:color="auto" w:fill="FFFFFF"/>
        </w:rPr>
        <w:t>, kad skudras aizsargā tauriņa kāpurus. Šī mijiedarbība var nebūt regulāra, un tai nav noteicošās nozīmes kāpuru attīstībā</w:t>
      </w:r>
      <w:r w:rsidR="0045306D">
        <w:rPr>
          <w:rFonts w:ascii="Times New Roman" w:eastAsia="Calibri" w:hAnsi="Times New Roman" w:cs="Times New Roman"/>
          <w:color w:val="000000"/>
          <w:sz w:val="24"/>
          <w:shd w:val="clear" w:color="auto" w:fill="FFFFFF"/>
        </w:rPr>
        <w:t>.</w:t>
      </w:r>
      <w:r w:rsidRPr="00A07F29">
        <w:rPr>
          <w:rFonts w:ascii="Times New Roman" w:eastAsia="Calibri" w:hAnsi="Times New Roman" w:cs="Times New Roman"/>
          <w:color w:val="000000"/>
          <w:sz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9072CE" w:rsidRPr="00A07F29" w14:paraId="664EF82D" w14:textId="77777777" w:rsidTr="63C42FA1">
        <w:tc>
          <w:tcPr>
            <w:tcW w:w="4621" w:type="dxa"/>
          </w:tcPr>
          <w:p w14:paraId="4C260A37" w14:textId="51F7E975" w:rsidR="009072CE" w:rsidRPr="00A07F29" w:rsidRDefault="009072CE" w:rsidP="00D16818">
            <w:pPr>
              <w:keepNext/>
              <w:suppressAutoHyphens/>
              <w:rPr>
                <w:color w:val="000000"/>
                <w:szCs w:val="20"/>
                <w:lang w:eastAsia="ar-SA"/>
              </w:rPr>
            </w:pPr>
            <w:r w:rsidRPr="00A07F29">
              <w:rPr>
                <w:noProof/>
                <w:color w:val="000000"/>
                <w:szCs w:val="20"/>
                <w:lang w:eastAsia="lv-LV"/>
              </w:rPr>
              <w:lastRenderedPageBreak/>
              <w:drawing>
                <wp:inline distT="0" distB="0" distL="0" distR="0" wp14:anchorId="5E8F0070" wp14:editId="79188E35">
                  <wp:extent cx="2940187" cy="1960880"/>
                  <wp:effectExtent l="0" t="0" r="0" b="1270"/>
                  <wp:docPr id="918145579" name="Picture 22" descr="Z:\Family\Uldis\Uldis\Dabas_eksperts\Dabas_foto\Dzivnieki\Bezmugurkaulnieki\Taurinji\Zirgskabenju_zilenitis_Sedere\IMG_08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Z:\Family\Uldis\Uldis\Dabas_eksperts\Dabas_foto\Dzivnieki\Bezmugurkaulnieki\Taurinji\Zirgskabenju_zilenitis_Sedere\IMG_0847.JPG"/>
                          <pic:cNvPicPr>
                            <a:picLocks noChangeAspect="1" noChangeArrowheads="1"/>
                          </pic:cNvPicPr>
                        </pic:nvPicPr>
                        <pic:blipFill rotWithShape="1">
                          <a:blip r:embed="rId78" cstate="email">
                            <a:extLst>
                              <a:ext uri="{28A0092B-C50C-407E-A947-70E740481C1C}">
                                <a14:useLocalDpi xmlns:a14="http://schemas.microsoft.com/office/drawing/2010/main"/>
                              </a:ext>
                            </a:extLst>
                          </a:blip>
                          <a:srcRect l="21304" t="32975" r="30880" b="24505"/>
                          <a:stretch/>
                        </pic:blipFill>
                        <pic:spPr bwMode="auto">
                          <a:xfrm>
                            <a:off x="0" y="0"/>
                            <a:ext cx="2954409" cy="197036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21" w:type="dxa"/>
          </w:tcPr>
          <w:p w14:paraId="6A62AB35" w14:textId="250EC654" w:rsidR="009072CE" w:rsidRPr="00A07F29" w:rsidRDefault="009072CE" w:rsidP="00D16818">
            <w:pPr>
              <w:keepNext/>
              <w:suppressAutoHyphens/>
              <w:rPr>
                <w:color w:val="000000"/>
                <w:szCs w:val="20"/>
                <w:lang w:eastAsia="ar-SA"/>
              </w:rPr>
            </w:pPr>
            <w:r w:rsidRPr="00A07F29">
              <w:rPr>
                <w:noProof/>
                <w:lang w:eastAsia="lv-LV"/>
              </w:rPr>
              <w:drawing>
                <wp:inline distT="0" distB="0" distL="0" distR="0" wp14:anchorId="2E994B4D" wp14:editId="15626E0F">
                  <wp:extent cx="2941319" cy="1960880"/>
                  <wp:effectExtent l="0" t="0" r="0" b="1270"/>
                  <wp:docPr id="918145580" name="Picture 20" descr="Z:\Family\Uldis\Uldis\Dabas_eksperts\IADT_ekspertizes\Augsdaugava\Foto\Zālājs pie Muravkiem\IMG_28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pic:nvPicPr>
                        <pic:blipFill>
                          <a:blip r:embed="rId79">
                            <a:extLst>
                              <a:ext uri="{28A0092B-C50C-407E-A947-70E740481C1C}">
                                <a14:useLocalDpi xmlns:a14="http://schemas.microsoft.com/office/drawing/2010/main"/>
                              </a:ext>
                            </a:extLst>
                          </a:blip>
                          <a:stretch>
                            <a:fillRect/>
                          </a:stretch>
                        </pic:blipFill>
                        <pic:spPr>
                          <a:xfrm>
                            <a:off x="0" y="0"/>
                            <a:ext cx="2941319" cy="1960880"/>
                          </a:xfrm>
                          <a:prstGeom prst="rect">
                            <a:avLst/>
                          </a:prstGeom>
                        </pic:spPr>
                      </pic:pic>
                    </a:graphicData>
                  </a:graphic>
                </wp:inline>
              </w:drawing>
            </w:r>
          </w:p>
        </w:tc>
      </w:tr>
      <w:tr w:rsidR="009072CE" w:rsidRPr="00A07F29" w14:paraId="7A6D7443" w14:textId="77777777" w:rsidTr="63C42FA1">
        <w:tc>
          <w:tcPr>
            <w:tcW w:w="4621" w:type="dxa"/>
          </w:tcPr>
          <w:p w14:paraId="7E93D413" w14:textId="08DEC915" w:rsidR="00E22CE3" w:rsidRPr="008E3846" w:rsidRDefault="009072CE" w:rsidP="00E22CE3">
            <w:pPr>
              <w:suppressAutoHyphens/>
              <w:rPr>
                <w:rFonts w:ascii="Times New Roman" w:hAnsi="Times New Roman" w:cs="Times New Roman"/>
                <w:iCs/>
                <w:color w:val="000000"/>
                <w:sz w:val="20"/>
                <w:szCs w:val="20"/>
                <w:lang w:eastAsia="ar-SA"/>
              </w:rPr>
            </w:pPr>
            <w:r w:rsidRPr="008E3846">
              <w:rPr>
                <w:rFonts w:ascii="Times New Roman" w:hAnsi="Times New Roman" w:cs="Times New Roman"/>
                <w:iCs/>
                <w:color w:val="000000"/>
                <w:sz w:val="20"/>
                <w:szCs w:val="20"/>
                <w:lang w:eastAsia="ar-SA"/>
              </w:rPr>
              <w:t>4.</w:t>
            </w:r>
            <w:r w:rsidR="00E22CE3" w:rsidRPr="008E3846">
              <w:rPr>
                <w:rFonts w:ascii="Times New Roman" w:hAnsi="Times New Roman" w:cs="Times New Roman"/>
                <w:iCs/>
                <w:color w:val="000000"/>
                <w:sz w:val="20"/>
                <w:szCs w:val="20"/>
                <w:lang w:eastAsia="ar-SA"/>
              </w:rPr>
              <w:t>7</w:t>
            </w:r>
            <w:r w:rsidRPr="008E3846">
              <w:rPr>
                <w:rFonts w:ascii="Times New Roman" w:hAnsi="Times New Roman" w:cs="Times New Roman"/>
                <w:iCs/>
                <w:color w:val="000000"/>
                <w:sz w:val="20"/>
                <w:szCs w:val="20"/>
                <w:lang w:eastAsia="ar-SA"/>
              </w:rPr>
              <w:t>.1.11.</w:t>
            </w:r>
            <w:r w:rsidR="008E3846" w:rsidRPr="008E3846">
              <w:rPr>
                <w:rFonts w:ascii="Times New Roman" w:hAnsi="Times New Roman" w:cs="Times New Roman"/>
                <w:iCs/>
                <w:color w:val="000000"/>
                <w:sz w:val="20"/>
                <w:szCs w:val="20"/>
                <w:lang w:eastAsia="ar-SA"/>
              </w:rPr>
              <w:t> </w:t>
            </w:r>
            <w:r w:rsidRPr="008E3846">
              <w:rPr>
                <w:rFonts w:ascii="Times New Roman" w:hAnsi="Times New Roman" w:cs="Times New Roman"/>
                <w:iCs/>
                <w:color w:val="000000"/>
                <w:sz w:val="20"/>
                <w:szCs w:val="20"/>
                <w:lang w:eastAsia="ar-SA"/>
              </w:rPr>
              <w:t xml:space="preserve">attēls. Zirgskābeņu </w:t>
            </w:r>
            <w:proofErr w:type="spellStart"/>
            <w:r w:rsidRPr="008E3846">
              <w:rPr>
                <w:rFonts w:ascii="Times New Roman" w:hAnsi="Times New Roman" w:cs="Times New Roman"/>
                <w:iCs/>
                <w:color w:val="000000"/>
                <w:sz w:val="20"/>
                <w:szCs w:val="20"/>
                <w:lang w:eastAsia="ar-SA"/>
              </w:rPr>
              <w:t>zilenītis</w:t>
            </w:r>
            <w:proofErr w:type="spellEnd"/>
            <w:r w:rsidRPr="008E3846">
              <w:rPr>
                <w:rFonts w:ascii="Times New Roman" w:hAnsi="Times New Roman" w:cs="Times New Roman"/>
                <w:iCs/>
                <w:color w:val="000000"/>
                <w:sz w:val="20"/>
                <w:szCs w:val="20"/>
                <w:lang w:eastAsia="ar-SA"/>
              </w:rPr>
              <w:t xml:space="preserve"> (Foto: U.</w:t>
            </w:r>
            <w:r w:rsidR="008E3846" w:rsidRPr="008E3846">
              <w:rPr>
                <w:rFonts w:ascii="Times New Roman" w:hAnsi="Times New Roman" w:cs="Times New Roman"/>
                <w:iCs/>
                <w:color w:val="000000"/>
                <w:sz w:val="20"/>
                <w:szCs w:val="20"/>
                <w:lang w:eastAsia="ar-SA"/>
              </w:rPr>
              <w:t> </w:t>
            </w:r>
            <w:r w:rsidRPr="008E3846">
              <w:rPr>
                <w:rFonts w:ascii="Times New Roman" w:hAnsi="Times New Roman" w:cs="Times New Roman"/>
                <w:iCs/>
                <w:color w:val="000000"/>
                <w:sz w:val="20"/>
                <w:szCs w:val="20"/>
                <w:lang w:eastAsia="ar-SA"/>
              </w:rPr>
              <w:t>Valainis)</w:t>
            </w:r>
          </w:p>
        </w:tc>
        <w:tc>
          <w:tcPr>
            <w:tcW w:w="4621" w:type="dxa"/>
          </w:tcPr>
          <w:p w14:paraId="083BD52A" w14:textId="3B8FA450" w:rsidR="009072CE" w:rsidRPr="008E3846" w:rsidRDefault="009072CE" w:rsidP="00E22CE3">
            <w:pPr>
              <w:suppressAutoHyphens/>
              <w:rPr>
                <w:rFonts w:ascii="Times New Roman" w:hAnsi="Times New Roman" w:cs="Times New Roman"/>
                <w:iCs/>
                <w:color w:val="000000"/>
                <w:sz w:val="20"/>
                <w:szCs w:val="20"/>
                <w:lang w:eastAsia="ar-SA"/>
              </w:rPr>
            </w:pPr>
            <w:r w:rsidRPr="008E3846">
              <w:rPr>
                <w:rFonts w:ascii="Times New Roman" w:hAnsi="Times New Roman" w:cs="Times New Roman"/>
                <w:iCs/>
                <w:color w:val="000000"/>
                <w:sz w:val="20"/>
                <w:szCs w:val="20"/>
                <w:lang w:eastAsia="ar-SA"/>
              </w:rPr>
              <w:t>4.</w:t>
            </w:r>
            <w:r w:rsidR="00E22CE3" w:rsidRPr="008E3846">
              <w:rPr>
                <w:rFonts w:ascii="Times New Roman" w:hAnsi="Times New Roman" w:cs="Times New Roman"/>
                <w:iCs/>
                <w:color w:val="000000"/>
                <w:sz w:val="20"/>
                <w:szCs w:val="20"/>
                <w:lang w:eastAsia="ar-SA"/>
              </w:rPr>
              <w:t>7</w:t>
            </w:r>
            <w:r w:rsidRPr="008E3846">
              <w:rPr>
                <w:rFonts w:ascii="Times New Roman" w:hAnsi="Times New Roman" w:cs="Times New Roman"/>
                <w:iCs/>
                <w:color w:val="000000"/>
                <w:sz w:val="20"/>
                <w:szCs w:val="20"/>
                <w:lang w:eastAsia="ar-SA"/>
              </w:rPr>
              <w:t>.1.12.</w:t>
            </w:r>
            <w:r w:rsidR="008E3846" w:rsidRPr="008E3846">
              <w:rPr>
                <w:rFonts w:ascii="Times New Roman" w:hAnsi="Times New Roman" w:cs="Times New Roman"/>
                <w:iCs/>
                <w:color w:val="000000"/>
                <w:sz w:val="20"/>
                <w:szCs w:val="20"/>
                <w:lang w:eastAsia="ar-SA"/>
              </w:rPr>
              <w:t> </w:t>
            </w:r>
            <w:r w:rsidRPr="008E3846">
              <w:rPr>
                <w:rFonts w:ascii="Times New Roman" w:hAnsi="Times New Roman" w:cs="Times New Roman"/>
                <w:iCs/>
                <w:color w:val="000000"/>
                <w:sz w:val="20"/>
                <w:szCs w:val="20"/>
                <w:lang w:eastAsia="ar-SA"/>
              </w:rPr>
              <w:t xml:space="preserve">attēls. Zirgskābeņu </w:t>
            </w:r>
            <w:proofErr w:type="spellStart"/>
            <w:r w:rsidRPr="008E3846">
              <w:rPr>
                <w:rFonts w:ascii="Times New Roman" w:hAnsi="Times New Roman" w:cs="Times New Roman"/>
                <w:iCs/>
                <w:color w:val="000000"/>
                <w:sz w:val="20"/>
                <w:szCs w:val="20"/>
                <w:lang w:eastAsia="ar-SA"/>
              </w:rPr>
              <w:t>zilenīša</w:t>
            </w:r>
            <w:proofErr w:type="spellEnd"/>
            <w:r w:rsidRPr="008E3846">
              <w:rPr>
                <w:rFonts w:ascii="Times New Roman" w:hAnsi="Times New Roman" w:cs="Times New Roman"/>
                <w:iCs/>
                <w:color w:val="000000"/>
                <w:sz w:val="20"/>
                <w:szCs w:val="20"/>
                <w:lang w:eastAsia="ar-SA"/>
              </w:rPr>
              <w:t xml:space="preserve"> dzīvotne pie </w:t>
            </w:r>
            <w:proofErr w:type="spellStart"/>
            <w:r w:rsidRPr="008E3846">
              <w:rPr>
                <w:rFonts w:ascii="Times New Roman" w:hAnsi="Times New Roman" w:cs="Times New Roman"/>
                <w:iCs/>
                <w:color w:val="000000"/>
                <w:sz w:val="20"/>
                <w:szCs w:val="20"/>
                <w:lang w:eastAsia="ar-SA"/>
              </w:rPr>
              <w:t>Muravkiem</w:t>
            </w:r>
            <w:proofErr w:type="spellEnd"/>
            <w:r w:rsidRPr="008E3846">
              <w:rPr>
                <w:rFonts w:ascii="Times New Roman" w:hAnsi="Times New Roman" w:cs="Times New Roman"/>
                <w:iCs/>
                <w:color w:val="000000"/>
                <w:sz w:val="20"/>
                <w:szCs w:val="20"/>
                <w:lang w:eastAsia="ar-SA"/>
              </w:rPr>
              <w:t xml:space="preserve"> (Foto: U.</w:t>
            </w:r>
            <w:r w:rsidR="008E3846" w:rsidRPr="008E3846">
              <w:rPr>
                <w:rFonts w:ascii="Times New Roman" w:hAnsi="Times New Roman" w:cs="Times New Roman"/>
                <w:iCs/>
                <w:color w:val="000000"/>
                <w:sz w:val="20"/>
                <w:szCs w:val="20"/>
                <w:lang w:eastAsia="ar-SA"/>
              </w:rPr>
              <w:t> </w:t>
            </w:r>
            <w:r w:rsidRPr="008E3846">
              <w:rPr>
                <w:rFonts w:ascii="Times New Roman" w:hAnsi="Times New Roman" w:cs="Times New Roman"/>
                <w:iCs/>
                <w:color w:val="000000"/>
                <w:sz w:val="20"/>
                <w:szCs w:val="20"/>
                <w:lang w:eastAsia="ar-SA"/>
              </w:rPr>
              <w:t>Valainis)</w:t>
            </w:r>
          </w:p>
        </w:tc>
      </w:tr>
    </w:tbl>
    <w:p w14:paraId="26811B53" w14:textId="77777777" w:rsidR="00E22CE3" w:rsidRPr="00A07F29" w:rsidRDefault="00E22CE3" w:rsidP="009072CE">
      <w:pPr>
        <w:spacing w:after="0" w:line="240" w:lineRule="auto"/>
        <w:jc w:val="both"/>
        <w:rPr>
          <w:rFonts w:ascii="Times New Roman" w:eastAsia="Calibri" w:hAnsi="Times New Roman" w:cs="Times New Roman"/>
          <w:color w:val="000000"/>
          <w:sz w:val="24"/>
          <w:szCs w:val="20"/>
          <w:lang w:eastAsia="ar-SA"/>
        </w:rPr>
      </w:pPr>
    </w:p>
    <w:p w14:paraId="54121D88" w14:textId="00A81936" w:rsidR="009072CE" w:rsidRPr="00A07F29" w:rsidRDefault="009072CE" w:rsidP="00E22CE3">
      <w:pPr>
        <w:spacing w:after="120" w:line="240" w:lineRule="auto"/>
        <w:ind w:firstLine="851"/>
        <w:jc w:val="both"/>
        <w:rPr>
          <w:rFonts w:ascii="Times New Roman" w:eastAsia="Times New Roman" w:hAnsi="Times New Roman" w:cs="Times New Roman"/>
          <w:color w:val="000000"/>
          <w:sz w:val="24"/>
        </w:rPr>
      </w:pPr>
      <w:r w:rsidRPr="00A07F29">
        <w:rPr>
          <w:rFonts w:ascii="Times New Roman" w:eastAsia="Calibri" w:hAnsi="Times New Roman" w:cs="Times New Roman"/>
          <w:color w:val="000000"/>
          <w:sz w:val="24"/>
          <w:szCs w:val="20"/>
          <w:lang w:eastAsia="ar-SA"/>
        </w:rPr>
        <w:t xml:space="preserve">AAA “Augšdaugava” ir reģistrēts </w:t>
      </w:r>
      <w:r w:rsidRPr="00A07F29">
        <w:rPr>
          <w:rFonts w:ascii="Times New Roman" w:eastAsia="Calibri" w:hAnsi="Times New Roman" w:cs="Times New Roman"/>
          <w:color w:val="000000"/>
          <w:sz w:val="24"/>
          <w:szCs w:val="24"/>
          <w:lang w:eastAsia="ar-SA"/>
        </w:rPr>
        <w:t xml:space="preserve">arī </w:t>
      </w:r>
      <w:proofErr w:type="spellStart"/>
      <w:r w:rsidRPr="00A07F29">
        <w:rPr>
          <w:rFonts w:ascii="Times New Roman" w:eastAsia="Calibri" w:hAnsi="Times New Roman" w:cs="Times New Roman"/>
          <w:b/>
          <w:bCs/>
          <w:color w:val="000000"/>
          <w:sz w:val="24"/>
          <w:szCs w:val="24"/>
          <w:lang w:eastAsia="ar-SA"/>
        </w:rPr>
        <w:t>zobspārnu</w:t>
      </w:r>
      <w:proofErr w:type="spellEnd"/>
      <w:r w:rsidRPr="00A07F29">
        <w:rPr>
          <w:rFonts w:ascii="Times New Roman" w:eastAsia="Calibri" w:hAnsi="Times New Roman" w:cs="Times New Roman"/>
          <w:b/>
          <w:bCs/>
          <w:color w:val="000000"/>
          <w:sz w:val="24"/>
          <w:szCs w:val="24"/>
          <w:lang w:eastAsia="ar-SA"/>
        </w:rPr>
        <w:t xml:space="preserve"> </w:t>
      </w:r>
      <w:proofErr w:type="spellStart"/>
      <w:r w:rsidRPr="00A07F29">
        <w:rPr>
          <w:rFonts w:ascii="Times New Roman" w:eastAsia="Calibri" w:hAnsi="Times New Roman" w:cs="Times New Roman"/>
          <w:b/>
          <w:bCs/>
          <w:color w:val="000000"/>
          <w:sz w:val="24"/>
          <w:szCs w:val="24"/>
          <w:lang w:eastAsia="ar-SA"/>
        </w:rPr>
        <w:t>sfings</w:t>
      </w:r>
      <w:proofErr w:type="spellEnd"/>
      <w:r w:rsidRPr="00A07F29">
        <w:rPr>
          <w:rFonts w:ascii="Times New Roman" w:eastAsia="Calibri" w:hAnsi="Times New Roman" w:cs="Times New Roman"/>
          <w:b/>
          <w:bCs/>
          <w:color w:val="000000"/>
          <w:sz w:val="24"/>
          <w:szCs w:val="24"/>
          <w:lang w:eastAsia="ar-SA"/>
        </w:rPr>
        <w:t xml:space="preserve"> </w:t>
      </w:r>
      <w:proofErr w:type="spellStart"/>
      <w:r w:rsidRPr="00A07F29">
        <w:rPr>
          <w:rFonts w:ascii="Times New Roman" w:eastAsia="Calibri" w:hAnsi="Times New Roman" w:cs="Times New Roman"/>
          <w:b/>
          <w:bCs/>
          <w:i/>
          <w:iCs/>
          <w:color w:val="000000"/>
          <w:sz w:val="24"/>
          <w:szCs w:val="24"/>
          <w:lang w:eastAsia="ar-SA"/>
        </w:rPr>
        <w:t>Proserpinus</w:t>
      </w:r>
      <w:proofErr w:type="spellEnd"/>
      <w:r w:rsidRPr="00A07F29">
        <w:rPr>
          <w:rFonts w:ascii="Times New Roman" w:eastAsia="Calibri" w:hAnsi="Times New Roman" w:cs="Times New Roman"/>
          <w:b/>
          <w:bCs/>
          <w:i/>
          <w:iCs/>
          <w:color w:val="000000"/>
          <w:sz w:val="24"/>
          <w:szCs w:val="24"/>
          <w:lang w:eastAsia="ar-SA"/>
        </w:rPr>
        <w:t xml:space="preserve"> </w:t>
      </w:r>
      <w:proofErr w:type="spellStart"/>
      <w:r w:rsidRPr="00A07F29">
        <w:rPr>
          <w:rFonts w:ascii="Times New Roman" w:eastAsia="Calibri" w:hAnsi="Times New Roman" w:cs="Times New Roman"/>
          <w:b/>
          <w:bCs/>
          <w:i/>
          <w:iCs/>
          <w:color w:val="000000"/>
          <w:sz w:val="24"/>
          <w:szCs w:val="24"/>
          <w:lang w:eastAsia="ar-SA"/>
        </w:rPr>
        <w:t>proserpina</w:t>
      </w:r>
      <w:proofErr w:type="spellEnd"/>
      <w:r w:rsidRPr="00A07F29">
        <w:rPr>
          <w:rFonts w:ascii="Times New Roman" w:eastAsia="Calibri" w:hAnsi="Times New Roman" w:cs="Times New Roman"/>
          <w:bCs/>
          <w:iCs/>
          <w:color w:val="000000"/>
          <w:sz w:val="24"/>
          <w:szCs w:val="24"/>
          <w:lang w:eastAsia="ar-SA"/>
        </w:rPr>
        <w:t>,</w:t>
      </w:r>
      <w:r w:rsidRPr="00A07F29">
        <w:rPr>
          <w:rFonts w:ascii="Times New Roman" w:eastAsia="Calibri" w:hAnsi="Times New Roman" w:cs="Times New Roman"/>
          <w:bCs/>
          <w:i/>
          <w:iCs/>
          <w:color w:val="000000"/>
          <w:sz w:val="24"/>
          <w:szCs w:val="24"/>
          <w:lang w:eastAsia="ar-SA"/>
        </w:rPr>
        <w:t xml:space="preserve"> </w:t>
      </w:r>
      <w:r w:rsidRPr="00A07F29">
        <w:rPr>
          <w:rFonts w:ascii="Times New Roman" w:eastAsia="Calibri" w:hAnsi="Times New Roman" w:cs="Times New Roman"/>
          <w:bCs/>
          <w:iCs/>
          <w:color w:val="000000"/>
          <w:sz w:val="24"/>
          <w:szCs w:val="24"/>
          <w:lang w:eastAsia="ar-SA"/>
        </w:rPr>
        <w:t xml:space="preserve">kas ir iekļauts Biotopu direktīvas IV pielikumā. </w:t>
      </w:r>
      <w:r w:rsidRPr="00A07F29">
        <w:rPr>
          <w:rFonts w:ascii="Times New Roman" w:eastAsia="Calibri" w:hAnsi="Times New Roman" w:cs="Times New Roman"/>
          <w:bCs/>
          <w:color w:val="000000"/>
          <w:sz w:val="24"/>
          <w:szCs w:val="20"/>
          <w:lang w:eastAsia="ar-SA"/>
        </w:rPr>
        <w:t>Tauriņi lido maija beigās un jūnijā. Suga</w:t>
      </w:r>
      <w:r w:rsidRPr="00A07F29">
        <w:rPr>
          <w:rFonts w:ascii="Times New Roman" w:eastAsia="Calibri" w:hAnsi="Times New Roman" w:cs="Times New Roman"/>
          <w:color w:val="000000"/>
          <w:sz w:val="24"/>
          <w:szCs w:val="20"/>
          <w:lang w:eastAsia="ar-SA"/>
        </w:rPr>
        <w:t xml:space="preserve"> apdzīvo mitrājus, mitras pļavas, upju piekrasti un līdzīgus mitrus biotopus. </w:t>
      </w:r>
      <w:proofErr w:type="spellStart"/>
      <w:r w:rsidRPr="00A07F29">
        <w:rPr>
          <w:rFonts w:ascii="Times New Roman" w:eastAsia="Calibri" w:hAnsi="Times New Roman" w:cs="Times New Roman"/>
          <w:color w:val="000000"/>
          <w:sz w:val="24"/>
          <w:szCs w:val="20"/>
          <w:lang w:eastAsia="ar-SA"/>
        </w:rPr>
        <w:t>Zobspārnu</w:t>
      </w:r>
      <w:proofErr w:type="spellEnd"/>
      <w:r w:rsidRPr="00A07F29">
        <w:rPr>
          <w:rFonts w:ascii="Times New Roman" w:eastAsia="Calibri" w:hAnsi="Times New Roman" w:cs="Times New Roman"/>
          <w:color w:val="000000"/>
          <w:sz w:val="24"/>
          <w:szCs w:val="20"/>
          <w:lang w:eastAsia="ar-SA"/>
        </w:rPr>
        <w:t xml:space="preserve"> </w:t>
      </w:r>
      <w:proofErr w:type="spellStart"/>
      <w:r w:rsidRPr="00A07F29">
        <w:rPr>
          <w:rFonts w:ascii="Times New Roman" w:eastAsia="Calibri" w:hAnsi="Times New Roman" w:cs="Times New Roman"/>
          <w:color w:val="000000"/>
          <w:sz w:val="24"/>
          <w:szCs w:val="20"/>
          <w:lang w:eastAsia="ar-SA"/>
        </w:rPr>
        <w:t>sfinga</w:t>
      </w:r>
      <w:proofErr w:type="spellEnd"/>
      <w:r w:rsidRPr="00A07F29">
        <w:rPr>
          <w:rFonts w:ascii="Times New Roman" w:eastAsia="Calibri" w:hAnsi="Times New Roman" w:cs="Times New Roman"/>
          <w:color w:val="000000"/>
          <w:sz w:val="24"/>
          <w:szCs w:val="20"/>
          <w:lang w:eastAsia="ar-SA"/>
        </w:rPr>
        <w:t xml:space="preserve"> kāpuri dzīvo galvenokārt uz kazrozēm </w:t>
      </w:r>
      <w:proofErr w:type="spellStart"/>
      <w:r w:rsidRPr="00A07F29">
        <w:rPr>
          <w:rFonts w:ascii="Times New Roman" w:eastAsia="Calibri" w:hAnsi="Times New Roman" w:cs="Times New Roman"/>
          <w:i/>
          <w:color w:val="000000"/>
          <w:sz w:val="24"/>
          <w:szCs w:val="20"/>
          <w:lang w:eastAsia="ar-SA"/>
        </w:rPr>
        <w:t>Epilobium</w:t>
      </w:r>
      <w:proofErr w:type="spellEnd"/>
      <w:r w:rsidRPr="00A07F29">
        <w:rPr>
          <w:rFonts w:ascii="Times New Roman" w:eastAsia="Calibri" w:hAnsi="Times New Roman" w:cs="Times New Roman"/>
          <w:color w:val="000000"/>
          <w:sz w:val="24"/>
          <w:szCs w:val="20"/>
          <w:lang w:eastAsia="ar-SA"/>
        </w:rPr>
        <w:t xml:space="preserve"> </w:t>
      </w:r>
      <w:proofErr w:type="spellStart"/>
      <w:r w:rsidRPr="00A07F29">
        <w:rPr>
          <w:rFonts w:ascii="Times New Roman" w:eastAsia="Calibri" w:hAnsi="Times New Roman" w:cs="Times New Roman"/>
          <w:color w:val="000000"/>
          <w:sz w:val="24"/>
          <w:szCs w:val="20"/>
          <w:lang w:eastAsia="ar-SA"/>
        </w:rPr>
        <w:t>spp</w:t>
      </w:r>
      <w:proofErr w:type="spellEnd"/>
      <w:r w:rsidRPr="00A07F29">
        <w:rPr>
          <w:rFonts w:ascii="Times New Roman" w:eastAsia="Calibri" w:hAnsi="Times New Roman" w:cs="Times New Roman"/>
          <w:color w:val="000000"/>
          <w:sz w:val="24"/>
          <w:szCs w:val="20"/>
          <w:lang w:eastAsia="ar-SA"/>
        </w:rPr>
        <w:t xml:space="preserve">., kā arī uz divgadīgajām naktssvecēm </w:t>
      </w:r>
      <w:proofErr w:type="spellStart"/>
      <w:r w:rsidRPr="00A07F29">
        <w:rPr>
          <w:rFonts w:ascii="Times New Roman" w:eastAsia="Calibri" w:hAnsi="Times New Roman" w:cs="Times New Roman"/>
          <w:i/>
          <w:color w:val="000000"/>
          <w:sz w:val="24"/>
          <w:szCs w:val="20"/>
          <w:lang w:eastAsia="ar-SA"/>
        </w:rPr>
        <w:t>Oenothera</w:t>
      </w:r>
      <w:proofErr w:type="spellEnd"/>
      <w:r w:rsidRPr="00A07F29">
        <w:rPr>
          <w:rFonts w:ascii="Times New Roman" w:eastAsia="Calibri" w:hAnsi="Times New Roman" w:cs="Times New Roman"/>
          <w:i/>
          <w:color w:val="000000"/>
          <w:sz w:val="24"/>
          <w:szCs w:val="20"/>
          <w:lang w:eastAsia="ar-SA"/>
        </w:rPr>
        <w:t xml:space="preserve"> </w:t>
      </w:r>
      <w:proofErr w:type="spellStart"/>
      <w:r w:rsidRPr="00A07F29">
        <w:rPr>
          <w:rFonts w:ascii="Times New Roman" w:eastAsia="Calibri" w:hAnsi="Times New Roman" w:cs="Times New Roman"/>
          <w:i/>
          <w:color w:val="000000"/>
          <w:sz w:val="24"/>
          <w:szCs w:val="20"/>
          <w:lang w:eastAsia="ar-SA"/>
        </w:rPr>
        <w:t>biennis</w:t>
      </w:r>
      <w:proofErr w:type="spellEnd"/>
      <w:r w:rsidRPr="00A07F29">
        <w:rPr>
          <w:rFonts w:ascii="Times New Roman" w:eastAsia="Calibri" w:hAnsi="Times New Roman" w:cs="Times New Roman"/>
          <w:color w:val="000000"/>
          <w:sz w:val="24"/>
          <w:szCs w:val="20"/>
          <w:lang w:eastAsia="ar-SA"/>
        </w:rPr>
        <w:t xml:space="preserve"> un </w:t>
      </w:r>
      <w:proofErr w:type="spellStart"/>
      <w:r w:rsidRPr="00A07F29">
        <w:rPr>
          <w:rFonts w:ascii="Times New Roman" w:eastAsia="Calibri" w:hAnsi="Times New Roman" w:cs="Times New Roman"/>
          <w:color w:val="000000"/>
          <w:sz w:val="24"/>
          <w:szCs w:val="20"/>
          <w:lang w:eastAsia="ar-SA"/>
        </w:rPr>
        <w:t>vītollapu</w:t>
      </w:r>
      <w:proofErr w:type="spellEnd"/>
      <w:r w:rsidRPr="00A07F29">
        <w:rPr>
          <w:rFonts w:ascii="Times New Roman" w:eastAsia="Calibri" w:hAnsi="Times New Roman" w:cs="Times New Roman"/>
          <w:color w:val="000000"/>
          <w:sz w:val="24"/>
          <w:szCs w:val="20"/>
          <w:lang w:eastAsia="ar-SA"/>
        </w:rPr>
        <w:t xml:space="preserve"> </w:t>
      </w:r>
      <w:proofErr w:type="spellStart"/>
      <w:r w:rsidRPr="00A07F29">
        <w:rPr>
          <w:rFonts w:ascii="Times New Roman" w:eastAsia="Calibri" w:hAnsi="Times New Roman" w:cs="Times New Roman"/>
          <w:color w:val="000000"/>
          <w:sz w:val="24"/>
          <w:szCs w:val="20"/>
          <w:lang w:eastAsia="ar-SA"/>
        </w:rPr>
        <w:t>vējmietiņiem</w:t>
      </w:r>
      <w:proofErr w:type="spellEnd"/>
      <w:r w:rsidRPr="00A07F29">
        <w:rPr>
          <w:rFonts w:ascii="Times New Roman" w:eastAsia="Calibri" w:hAnsi="Times New Roman" w:cs="Times New Roman"/>
          <w:color w:val="000000"/>
          <w:sz w:val="24"/>
          <w:szCs w:val="20"/>
          <w:lang w:eastAsia="ar-SA"/>
        </w:rPr>
        <w:t xml:space="preserve"> </w:t>
      </w:r>
      <w:proofErr w:type="spellStart"/>
      <w:r w:rsidRPr="00A07F29">
        <w:rPr>
          <w:rFonts w:ascii="Times New Roman" w:eastAsia="Calibri" w:hAnsi="Times New Roman" w:cs="Times New Roman"/>
          <w:i/>
          <w:color w:val="000000"/>
          <w:sz w:val="24"/>
          <w:szCs w:val="20"/>
          <w:lang w:eastAsia="ar-SA"/>
        </w:rPr>
        <w:t>Lythrum</w:t>
      </w:r>
      <w:proofErr w:type="spellEnd"/>
      <w:r w:rsidRPr="00A07F29">
        <w:rPr>
          <w:rFonts w:ascii="Times New Roman" w:eastAsia="Calibri" w:hAnsi="Times New Roman" w:cs="Times New Roman"/>
          <w:i/>
          <w:color w:val="000000"/>
          <w:sz w:val="24"/>
          <w:szCs w:val="20"/>
          <w:lang w:eastAsia="ar-SA"/>
        </w:rPr>
        <w:t xml:space="preserve"> </w:t>
      </w:r>
      <w:proofErr w:type="spellStart"/>
      <w:r w:rsidRPr="00A07F29">
        <w:rPr>
          <w:rFonts w:ascii="Times New Roman" w:eastAsia="Calibri" w:hAnsi="Times New Roman" w:cs="Times New Roman"/>
          <w:i/>
          <w:color w:val="000000"/>
          <w:sz w:val="24"/>
          <w:szCs w:val="20"/>
          <w:lang w:eastAsia="ar-SA"/>
        </w:rPr>
        <w:t>salicaria</w:t>
      </w:r>
      <w:proofErr w:type="spellEnd"/>
      <w:r w:rsidRPr="00A07F29">
        <w:rPr>
          <w:rFonts w:ascii="Times New Roman" w:eastAsia="Calibri" w:hAnsi="Times New Roman" w:cs="Times New Roman"/>
          <w:color w:val="000000"/>
          <w:sz w:val="24"/>
          <w:szCs w:val="20"/>
          <w:lang w:eastAsia="ar-SA"/>
        </w:rPr>
        <w:t>, attīstās no jūnija līdz augustam. Mātītes olas dēj atklātās saules apspīdētās vietās ar barības augiem (</w:t>
      </w:r>
      <w:proofErr w:type="spellStart"/>
      <w:r w:rsidRPr="00A07F29">
        <w:rPr>
          <w:rFonts w:ascii="Times New Roman" w:eastAsia="Calibri" w:hAnsi="Times New Roman" w:cs="Times New Roman"/>
          <w:color w:val="000000"/>
          <w:sz w:val="24"/>
          <w:szCs w:val="20"/>
          <w:lang w:eastAsia="ar-SA"/>
        </w:rPr>
        <w:t>Savenkovs</w:t>
      </w:r>
      <w:proofErr w:type="spellEnd"/>
      <w:r w:rsidR="00090D40">
        <w:rPr>
          <w:rFonts w:ascii="Times New Roman" w:eastAsia="Calibri" w:hAnsi="Times New Roman" w:cs="Times New Roman"/>
          <w:color w:val="000000"/>
          <w:sz w:val="24"/>
          <w:szCs w:val="20"/>
          <w:lang w:eastAsia="ar-SA"/>
        </w:rPr>
        <w:t xml:space="preserve"> N.,</w:t>
      </w:r>
      <w:r w:rsidRPr="00A07F29">
        <w:rPr>
          <w:rFonts w:ascii="Times New Roman" w:eastAsia="Calibri" w:hAnsi="Times New Roman" w:cs="Times New Roman"/>
          <w:color w:val="000000"/>
          <w:sz w:val="24"/>
          <w:szCs w:val="20"/>
          <w:lang w:eastAsia="ar-SA"/>
        </w:rPr>
        <w:t xml:space="preserve"> 2018). AAA teritorijā ir zināma viena sugas atradne</w:t>
      </w:r>
      <w:r w:rsidRPr="00A07F29">
        <w:rPr>
          <w:rFonts w:ascii="Times New Roman" w:eastAsia="Times New Roman" w:hAnsi="Times New Roman" w:cs="Times New Roman"/>
          <w:color w:val="000000"/>
          <w:sz w:val="24"/>
        </w:rPr>
        <w:t xml:space="preserve"> </w:t>
      </w:r>
      <w:proofErr w:type="spellStart"/>
      <w:r w:rsidRPr="00A07F29">
        <w:rPr>
          <w:rFonts w:ascii="Times New Roman" w:eastAsia="Times New Roman" w:hAnsi="Times New Roman" w:cs="Times New Roman"/>
          <w:color w:val="000000"/>
          <w:sz w:val="24"/>
        </w:rPr>
        <w:t>Lielindricas</w:t>
      </w:r>
      <w:proofErr w:type="spellEnd"/>
      <w:r w:rsidRPr="00A07F29">
        <w:rPr>
          <w:rFonts w:ascii="Times New Roman" w:eastAsia="Times New Roman" w:hAnsi="Times New Roman" w:cs="Times New Roman"/>
          <w:color w:val="000000"/>
          <w:sz w:val="24"/>
        </w:rPr>
        <w:t xml:space="preserve"> apkārtnē, sugai piemērotā zālājā Stirnas upes tuvumā. Tauriņa uzskaišu veikšanu apgrūtina tas, ka </w:t>
      </w:r>
      <w:r w:rsidRPr="00A07F29">
        <w:rPr>
          <w:rFonts w:ascii="Times New Roman" w:eastAsia="Calibri" w:hAnsi="Times New Roman" w:cs="Calibri"/>
          <w:color w:val="000000"/>
          <w:sz w:val="24"/>
          <w:szCs w:val="20"/>
          <w:lang w:eastAsia="ar-SA"/>
        </w:rPr>
        <w:t xml:space="preserve">tas lido arī dienā un uz gaismu naktī nāk vāji, līdz ar to jāveic tā kāpuru uzskaite. </w:t>
      </w:r>
      <w:r w:rsidR="00BF0E06" w:rsidRPr="00A07F29">
        <w:rPr>
          <w:rFonts w:ascii="Times New Roman" w:eastAsia="Calibri" w:hAnsi="Times New Roman" w:cs="Calibri"/>
          <w:color w:val="000000"/>
          <w:sz w:val="24"/>
          <w:szCs w:val="20"/>
          <w:lang w:eastAsia="ar-SA"/>
        </w:rPr>
        <w:t>DA plāna</w:t>
      </w:r>
      <w:r w:rsidRPr="00A07F29">
        <w:rPr>
          <w:rFonts w:ascii="Times New Roman" w:eastAsia="Calibri" w:hAnsi="Times New Roman" w:cs="Calibri"/>
          <w:color w:val="000000"/>
          <w:sz w:val="24"/>
          <w:szCs w:val="20"/>
          <w:lang w:eastAsia="ar-SA"/>
        </w:rPr>
        <w:t xml:space="preserve"> izstrādes laikā šīs sugas kāpuri netika konstatēti.</w:t>
      </w:r>
    </w:p>
    <w:p w14:paraId="739166EE" w14:textId="7EFAA245" w:rsidR="00F86B05" w:rsidRPr="00A07F29" w:rsidRDefault="009072CE" w:rsidP="00E22CE3">
      <w:pPr>
        <w:autoSpaceDE w:val="0"/>
        <w:autoSpaceDN w:val="0"/>
        <w:adjustRightInd w:val="0"/>
        <w:spacing w:after="120" w:line="240" w:lineRule="auto"/>
        <w:ind w:firstLine="851"/>
        <w:jc w:val="both"/>
        <w:rPr>
          <w:rFonts w:ascii="Times New Roman" w:eastAsia="Calibri" w:hAnsi="Times New Roman" w:cs="Times New Roman"/>
          <w:color w:val="000000"/>
          <w:sz w:val="24"/>
          <w:szCs w:val="20"/>
          <w:lang w:eastAsia="ar-SA"/>
        </w:rPr>
      </w:pPr>
      <w:r w:rsidRPr="00BD15CD">
        <w:rPr>
          <w:rFonts w:ascii="Times New Roman" w:eastAsia="Calibri" w:hAnsi="Times New Roman" w:cs="Times New Roman"/>
          <w:color w:val="000000"/>
          <w:sz w:val="24"/>
          <w:szCs w:val="20"/>
          <w:lang w:eastAsia="ar-SA"/>
        </w:rPr>
        <w:t>AAA “Augšdaugava”</w:t>
      </w:r>
      <w:r w:rsidRPr="00A07F29">
        <w:rPr>
          <w:rFonts w:ascii="Times New Roman" w:eastAsia="Calibri" w:hAnsi="Times New Roman" w:cs="Times New Roman"/>
          <w:color w:val="000000"/>
          <w:sz w:val="24"/>
          <w:szCs w:val="20"/>
          <w:lang w:eastAsia="ar-SA"/>
        </w:rPr>
        <w:t xml:space="preserve"> teritorijā sastopamas arī vairākas citas aizsargājamo tauriņu sugas, tajā skaitā sārmeņu </w:t>
      </w:r>
      <w:proofErr w:type="spellStart"/>
      <w:r w:rsidRPr="00A07F29">
        <w:rPr>
          <w:rFonts w:ascii="Times New Roman" w:eastAsia="Calibri" w:hAnsi="Times New Roman" w:cs="Times New Roman"/>
          <w:b/>
          <w:color w:val="000000"/>
          <w:sz w:val="24"/>
          <w:szCs w:val="20"/>
          <w:lang w:eastAsia="ar-SA"/>
        </w:rPr>
        <w:t>resngalvītis</w:t>
      </w:r>
      <w:proofErr w:type="spellEnd"/>
      <w:r w:rsidRPr="00A07F29">
        <w:rPr>
          <w:rFonts w:ascii="Times New Roman" w:eastAsia="Calibri" w:hAnsi="Times New Roman" w:cs="Times New Roman"/>
          <w:b/>
          <w:color w:val="000000"/>
          <w:sz w:val="24"/>
          <w:szCs w:val="20"/>
          <w:lang w:eastAsia="ar-SA"/>
        </w:rPr>
        <w:t xml:space="preserve"> </w:t>
      </w:r>
      <w:proofErr w:type="spellStart"/>
      <w:r w:rsidRPr="00A07F29">
        <w:rPr>
          <w:rFonts w:ascii="Times New Roman" w:eastAsia="Calibri" w:hAnsi="Times New Roman" w:cs="Times New Roman"/>
          <w:b/>
          <w:i/>
          <w:color w:val="000000"/>
          <w:sz w:val="24"/>
          <w:szCs w:val="20"/>
          <w:lang w:eastAsia="ar-SA"/>
        </w:rPr>
        <w:t>Carcharodus</w:t>
      </w:r>
      <w:proofErr w:type="spellEnd"/>
      <w:r w:rsidRPr="00A07F29">
        <w:rPr>
          <w:rFonts w:ascii="Times New Roman" w:eastAsia="Calibri" w:hAnsi="Times New Roman" w:cs="Times New Roman"/>
          <w:b/>
          <w:i/>
          <w:color w:val="000000"/>
          <w:sz w:val="24"/>
          <w:szCs w:val="20"/>
          <w:lang w:eastAsia="ar-SA"/>
        </w:rPr>
        <w:t xml:space="preserve"> </w:t>
      </w:r>
      <w:proofErr w:type="spellStart"/>
      <w:r w:rsidRPr="00A07F29">
        <w:rPr>
          <w:rFonts w:ascii="Times New Roman" w:eastAsia="Calibri" w:hAnsi="Times New Roman" w:cs="Times New Roman"/>
          <w:b/>
          <w:i/>
          <w:color w:val="000000"/>
          <w:sz w:val="24"/>
          <w:szCs w:val="20"/>
          <w:lang w:eastAsia="ar-SA"/>
        </w:rPr>
        <w:t>flocciferus</w:t>
      </w:r>
      <w:proofErr w:type="spellEnd"/>
      <w:r w:rsidRPr="00A07F29">
        <w:rPr>
          <w:rFonts w:ascii="Times New Roman" w:eastAsia="Calibri" w:hAnsi="Times New Roman" w:cs="Times New Roman"/>
          <w:color w:val="000000"/>
          <w:sz w:val="24"/>
          <w:szCs w:val="20"/>
          <w:lang w:eastAsia="ar-SA"/>
        </w:rPr>
        <w:t xml:space="preserve">. Tauriņi lido jūnija beigās – jūlijā. Aktīvi dienas laikā. Kāpuri dzīvo uz sārmenes </w:t>
      </w:r>
      <w:proofErr w:type="spellStart"/>
      <w:r w:rsidRPr="00A07F29">
        <w:rPr>
          <w:rFonts w:ascii="Times New Roman" w:eastAsia="Calibri" w:hAnsi="Times New Roman" w:cs="Times New Roman"/>
          <w:i/>
          <w:color w:val="000000"/>
          <w:sz w:val="24"/>
          <w:szCs w:val="20"/>
          <w:lang w:eastAsia="ar-SA"/>
        </w:rPr>
        <w:t>Stachys</w:t>
      </w:r>
      <w:proofErr w:type="spellEnd"/>
      <w:r w:rsidRPr="00A07F29">
        <w:rPr>
          <w:rFonts w:ascii="Times New Roman" w:eastAsia="Calibri" w:hAnsi="Times New Roman" w:cs="Times New Roman"/>
          <w:i/>
          <w:color w:val="000000"/>
          <w:sz w:val="24"/>
          <w:szCs w:val="20"/>
          <w:lang w:eastAsia="ar-SA"/>
        </w:rPr>
        <w:t xml:space="preserve"> </w:t>
      </w:r>
      <w:proofErr w:type="spellStart"/>
      <w:r w:rsidRPr="00A07F29">
        <w:rPr>
          <w:rFonts w:ascii="Times New Roman" w:eastAsia="Calibri" w:hAnsi="Times New Roman" w:cs="Times New Roman"/>
          <w:i/>
          <w:color w:val="000000"/>
          <w:sz w:val="24"/>
          <w:szCs w:val="20"/>
          <w:lang w:eastAsia="ar-SA"/>
        </w:rPr>
        <w:t>sylvaticus</w:t>
      </w:r>
      <w:proofErr w:type="spellEnd"/>
      <w:r w:rsidRPr="00A07F29">
        <w:rPr>
          <w:rFonts w:ascii="Times New Roman" w:eastAsia="Calibri" w:hAnsi="Times New Roman" w:cs="Times New Roman"/>
          <w:color w:val="000000"/>
          <w:sz w:val="24"/>
          <w:szCs w:val="20"/>
          <w:lang w:eastAsia="ar-SA"/>
        </w:rPr>
        <w:t xml:space="preserve">, retāk </w:t>
      </w:r>
      <w:r w:rsidR="00F86B05" w:rsidRPr="00A07F29">
        <w:rPr>
          <w:rFonts w:ascii="Times New Roman" w:eastAsia="Calibri" w:hAnsi="Times New Roman" w:cs="Times New Roman"/>
          <w:color w:val="000000"/>
          <w:sz w:val="24"/>
          <w:szCs w:val="20"/>
          <w:lang w:eastAsia="ar-SA"/>
        </w:rPr>
        <w:t xml:space="preserve">uz </w:t>
      </w:r>
      <w:proofErr w:type="spellStart"/>
      <w:r w:rsidRPr="00A07F29">
        <w:rPr>
          <w:rFonts w:ascii="Times New Roman" w:eastAsia="Calibri" w:hAnsi="Times New Roman" w:cs="Times New Roman"/>
          <w:color w:val="000000"/>
          <w:sz w:val="24"/>
          <w:szCs w:val="20"/>
          <w:lang w:eastAsia="ar-SA"/>
        </w:rPr>
        <w:t>māterēm</w:t>
      </w:r>
      <w:proofErr w:type="spellEnd"/>
      <w:r w:rsidRPr="00A07F29">
        <w:rPr>
          <w:rFonts w:ascii="Times New Roman" w:eastAsia="Calibri" w:hAnsi="Times New Roman" w:cs="Times New Roman"/>
          <w:color w:val="000000"/>
          <w:sz w:val="24"/>
          <w:szCs w:val="20"/>
          <w:lang w:eastAsia="ar-SA"/>
        </w:rPr>
        <w:t xml:space="preserve"> </w:t>
      </w:r>
      <w:proofErr w:type="spellStart"/>
      <w:r w:rsidRPr="00A07F29">
        <w:rPr>
          <w:rFonts w:ascii="Times New Roman" w:eastAsia="Calibri" w:hAnsi="Times New Roman" w:cs="Times New Roman"/>
          <w:i/>
          <w:color w:val="000000"/>
          <w:sz w:val="24"/>
          <w:szCs w:val="20"/>
          <w:lang w:eastAsia="ar-SA"/>
        </w:rPr>
        <w:t>Leonurus</w:t>
      </w:r>
      <w:proofErr w:type="spellEnd"/>
      <w:r w:rsidRPr="00A07F29">
        <w:rPr>
          <w:rFonts w:ascii="Times New Roman" w:eastAsia="Calibri" w:hAnsi="Times New Roman" w:cs="Times New Roman"/>
          <w:color w:val="000000"/>
          <w:sz w:val="24"/>
          <w:szCs w:val="20"/>
          <w:lang w:eastAsia="ar-SA"/>
        </w:rPr>
        <w:t xml:space="preserve">, dienvidos – uz citiem </w:t>
      </w:r>
      <w:r w:rsidR="00F86B05" w:rsidRPr="00A07F29">
        <w:rPr>
          <w:rFonts w:ascii="Times New Roman" w:eastAsia="Calibri" w:hAnsi="Times New Roman" w:cs="Times New Roman"/>
          <w:color w:val="000000"/>
          <w:sz w:val="24"/>
          <w:szCs w:val="20"/>
          <w:lang w:eastAsia="ar-SA"/>
        </w:rPr>
        <w:t>lūpziežiem</w:t>
      </w:r>
      <w:r w:rsidRPr="00A07F29">
        <w:rPr>
          <w:rFonts w:ascii="Times New Roman" w:eastAsia="Calibri" w:hAnsi="Times New Roman" w:cs="Times New Roman"/>
          <w:color w:val="000000"/>
          <w:sz w:val="24"/>
          <w:szCs w:val="20"/>
          <w:lang w:eastAsia="ar-SA"/>
        </w:rPr>
        <w:t xml:space="preserve">. Suga sastopama ēnainos mežos, mežmalās, mitrās pļavās. AAA “Augšdaugava” teritorijā ir zināma viena sugas atradne zālājos pie apdzīvotās vietas </w:t>
      </w:r>
      <w:proofErr w:type="spellStart"/>
      <w:r w:rsidRPr="00A07F29">
        <w:rPr>
          <w:rFonts w:ascii="Times New Roman" w:eastAsia="Calibri" w:hAnsi="Times New Roman" w:cs="Times New Roman"/>
          <w:color w:val="000000"/>
          <w:sz w:val="24"/>
          <w:szCs w:val="20"/>
          <w:lang w:eastAsia="ar-SA"/>
        </w:rPr>
        <w:t>Naudīši</w:t>
      </w:r>
      <w:proofErr w:type="spellEnd"/>
      <w:r w:rsidRPr="00A07F29">
        <w:rPr>
          <w:rFonts w:ascii="Times New Roman" w:eastAsia="Calibri" w:hAnsi="Times New Roman" w:cs="Times New Roman"/>
          <w:color w:val="000000"/>
          <w:sz w:val="24"/>
          <w:szCs w:val="20"/>
          <w:lang w:eastAsia="ar-SA"/>
        </w:rPr>
        <w:t>.</w:t>
      </w:r>
    </w:p>
    <w:p w14:paraId="3D43FDCA" w14:textId="02A1EF67" w:rsidR="00F86B05" w:rsidRPr="00A07F29" w:rsidRDefault="009072CE" w:rsidP="00E22CE3">
      <w:pPr>
        <w:autoSpaceDE w:val="0"/>
        <w:autoSpaceDN w:val="0"/>
        <w:adjustRightInd w:val="0"/>
        <w:spacing w:after="120" w:line="240" w:lineRule="auto"/>
        <w:ind w:firstLine="851"/>
        <w:jc w:val="both"/>
        <w:rPr>
          <w:rFonts w:ascii="Times New Roman" w:eastAsia="Calibri" w:hAnsi="Times New Roman" w:cs="Times New Roman"/>
          <w:color w:val="000000"/>
          <w:sz w:val="24"/>
          <w:szCs w:val="20"/>
          <w:lang w:eastAsia="ar-SA"/>
        </w:rPr>
      </w:pPr>
      <w:r w:rsidRPr="00A07F29">
        <w:rPr>
          <w:rFonts w:ascii="Times New Roman" w:eastAsia="Calibri" w:hAnsi="Times New Roman" w:cs="Times New Roman"/>
          <w:color w:val="000000"/>
          <w:sz w:val="24"/>
          <w:szCs w:val="20"/>
          <w:lang w:eastAsia="ar-SA"/>
        </w:rPr>
        <w:t xml:space="preserve">Ar priežu </w:t>
      </w:r>
      <w:proofErr w:type="spellStart"/>
      <w:r w:rsidRPr="00A07F29">
        <w:rPr>
          <w:rFonts w:ascii="Times New Roman" w:eastAsia="Calibri" w:hAnsi="Times New Roman" w:cs="Times New Roman"/>
          <w:color w:val="000000"/>
          <w:sz w:val="24"/>
          <w:szCs w:val="20"/>
          <w:lang w:eastAsia="ar-SA"/>
        </w:rPr>
        <w:t>skrajmežiem</w:t>
      </w:r>
      <w:proofErr w:type="spellEnd"/>
      <w:r w:rsidRPr="00A07F29">
        <w:rPr>
          <w:rFonts w:ascii="Times New Roman" w:eastAsia="Calibri" w:hAnsi="Times New Roman" w:cs="Times New Roman"/>
          <w:color w:val="000000"/>
          <w:sz w:val="24"/>
          <w:szCs w:val="20"/>
          <w:lang w:eastAsia="ar-SA"/>
        </w:rPr>
        <w:t xml:space="preserve"> saistīta tauriņu suga ir </w:t>
      </w:r>
      <w:r w:rsidRPr="00A07F29">
        <w:rPr>
          <w:rFonts w:ascii="Times New Roman" w:eastAsia="Calibri" w:hAnsi="Times New Roman" w:cs="Times New Roman"/>
          <w:b/>
          <w:color w:val="000000"/>
          <w:sz w:val="24"/>
          <w:szCs w:val="20"/>
          <w:lang w:eastAsia="ar-SA"/>
        </w:rPr>
        <w:t xml:space="preserve">lielais </w:t>
      </w:r>
      <w:proofErr w:type="spellStart"/>
      <w:r w:rsidRPr="00A07F29">
        <w:rPr>
          <w:rFonts w:ascii="Times New Roman" w:eastAsia="Calibri" w:hAnsi="Times New Roman" w:cs="Times New Roman"/>
          <w:b/>
          <w:color w:val="000000"/>
          <w:sz w:val="24"/>
          <w:szCs w:val="20"/>
          <w:lang w:eastAsia="ar-SA"/>
        </w:rPr>
        <w:t>silsamtenis</w:t>
      </w:r>
      <w:proofErr w:type="spellEnd"/>
      <w:r w:rsidRPr="00A07F29">
        <w:rPr>
          <w:rFonts w:ascii="Times New Roman" w:eastAsia="Calibri" w:hAnsi="Times New Roman" w:cs="Times New Roman"/>
          <w:b/>
          <w:color w:val="000000"/>
          <w:sz w:val="24"/>
          <w:szCs w:val="20"/>
          <w:lang w:eastAsia="ar-SA"/>
        </w:rPr>
        <w:t xml:space="preserve"> </w:t>
      </w:r>
      <w:proofErr w:type="spellStart"/>
      <w:r w:rsidRPr="00A07F29">
        <w:rPr>
          <w:rFonts w:ascii="Times New Roman" w:eastAsia="Calibri" w:hAnsi="Times New Roman" w:cs="Times New Roman"/>
          <w:b/>
          <w:i/>
          <w:color w:val="000000"/>
          <w:sz w:val="24"/>
          <w:szCs w:val="20"/>
          <w:lang w:eastAsia="ar-SA"/>
        </w:rPr>
        <w:t>Hipparchia</w:t>
      </w:r>
      <w:proofErr w:type="spellEnd"/>
      <w:r w:rsidRPr="00A07F29">
        <w:rPr>
          <w:rFonts w:ascii="Times New Roman" w:eastAsia="Calibri" w:hAnsi="Times New Roman" w:cs="Times New Roman"/>
          <w:b/>
          <w:i/>
          <w:color w:val="000000"/>
          <w:sz w:val="24"/>
          <w:szCs w:val="20"/>
          <w:lang w:eastAsia="ar-SA"/>
        </w:rPr>
        <w:t xml:space="preserve"> </w:t>
      </w:r>
      <w:proofErr w:type="spellStart"/>
      <w:r w:rsidRPr="00A07F29">
        <w:rPr>
          <w:rFonts w:ascii="Times New Roman" w:eastAsia="Calibri" w:hAnsi="Times New Roman" w:cs="Times New Roman"/>
          <w:b/>
          <w:i/>
          <w:color w:val="000000"/>
          <w:sz w:val="24"/>
          <w:szCs w:val="20"/>
          <w:lang w:eastAsia="ar-SA"/>
        </w:rPr>
        <w:t>alcyone</w:t>
      </w:r>
      <w:proofErr w:type="spellEnd"/>
      <w:r w:rsidRPr="00A07F29">
        <w:rPr>
          <w:rFonts w:ascii="Times New Roman" w:eastAsia="Calibri" w:hAnsi="Times New Roman" w:cs="Times New Roman"/>
          <w:color w:val="000000"/>
          <w:sz w:val="24"/>
          <w:szCs w:val="20"/>
          <w:lang w:eastAsia="ar-SA"/>
        </w:rPr>
        <w:t xml:space="preserve"> Tauriņi lido jūnija beigās </w:t>
      </w:r>
      <w:r w:rsidR="00366A15">
        <w:rPr>
          <w:rFonts w:ascii="Times New Roman" w:eastAsia="Calibri" w:hAnsi="Times New Roman" w:cs="Times New Roman"/>
          <w:color w:val="000000"/>
          <w:sz w:val="24"/>
          <w:szCs w:val="20"/>
          <w:lang w:eastAsia="ar-SA"/>
        </w:rPr>
        <w:t>–</w:t>
      </w:r>
      <w:r w:rsidRPr="00A07F29">
        <w:rPr>
          <w:rFonts w:ascii="Times New Roman" w:eastAsia="Calibri" w:hAnsi="Times New Roman" w:cs="Times New Roman"/>
          <w:color w:val="000000"/>
          <w:sz w:val="24"/>
          <w:szCs w:val="20"/>
          <w:lang w:eastAsia="ar-SA"/>
        </w:rPr>
        <w:t xml:space="preserve"> jūlijā. Aktīvi dienas laikā. Sastopami sausos priežu mežos, kur lido mežmalās, gar meža ceļiem vai stigām. </w:t>
      </w:r>
    </w:p>
    <w:p w14:paraId="6CBCD1D4" w14:textId="47AD9B21" w:rsidR="009072CE" w:rsidRPr="00A07F29" w:rsidRDefault="00F86B05" w:rsidP="00E22CE3">
      <w:pPr>
        <w:autoSpaceDE w:val="0"/>
        <w:autoSpaceDN w:val="0"/>
        <w:adjustRightInd w:val="0"/>
        <w:spacing w:after="120" w:line="240" w:lineRule="auto"/>
        <w:ind w:firstLine="851"/>
        <w:jc w:val="both"/>
        <w:rPr>
          <w:rFonts w:ascii="Times New Roman" w:eastAsia="Calibri" w:hAnsi="Times New Roman" w:cs="Times New Roman"/>
          <w:color w:val="000000"/>
          <w:sz w:val="24"/>
          <w:szCs w:val="20"/>
          <w:lang w:eastAsia="ar-SA"/>
        </w:rPr>
      </w:pPr>
      <w:r w:rsidRPr="00A07F29">
        <w:rPr>
          <w:rFonts w:ascii="Times New Roman" w:eastAsia="Calibri" w:hAnsi="Times New Roman" w:cs="Times New Roman"/>
          <w:color w:val="000000"/>
          <w:sz w:val="24"/>
          <w:szCs w:val="20"/>
          <w:lang w:eastAsia="ar-SA"/>
        </w:rPr>
        <w:t xml:space="preserve">Latvijas Sarkanajā grāmatā ir norādīta </w:t>
      </w:r>
      <w:proofErr w:type="spellStart"/>
      <w:r w:rsidRPr="00A07F29">
        <w:rPr>
          <w:rFonts w:ascii="Times New Roman" w:eastAsia="Calibri" w:hAnsi="Times New Roman" w:cs="Times New Roman"/>
          <w:color w:val="000000"/>
          <w:sz w:val="24"/>
          <w:szCs w:val="20"/>
          <w:lang w:eastAsia="ar-SA"/>
        </w:rPr>
        <w:t>Esparsetu</w:t>
      </w:r>
      <w:proofErr w:type="spellEnd"/>
      <w:r w:rsidRPr="00A07F29">
        <w:rPr>
          <w:rFonts w:ascii="Times New Roman" w:eastAsia="Calibri" w:hAnsi="Times New Roman" w:cs="Times New Roman"/>
          <w:color w:val="000000"/>
          <w:sz w:val="24"/>
          <w:szCs w:val="20"/>
          <w:lang w:eastAsia="ar-SA"/>
        </w:rPr>
        <w:t xml:space="preserve"> </w:t>
      </w:r>
      <w:proofErr w:type="spellStart"/>
      <w:r w:rsidRPr="00A07F29">
        <w:rPr>
          <w:rFonts w:ascii="Times New Roman" w:eastAsia="Calibri" w:hAnsi="Times New Roman" w:cs="Times New Roman"/>
          <w:color w:val="000000"/>
          <w:sz w:val="24"/>
          <w:szCs w:val="20"/>
          <w:lang w:eastAsia="ar-SA"/>
        </w:rPr>
        <w:t>raibspārņa</w:t>
      </w:r>
      <w:proofErr w:type="spellEnd"/>
      <w:r w:rsidRPr="00A07F29">
        <w:rPr>
          <w:rFonts w:ascii="Times New Roman" w:eastAsia="Calibri" w:hAnsi="Times New Roman" w:cs="Times New Roman"/>
          <w:color w:val="000000"/>
          <w:sz w:val="24"/>
          <w:szCs w:val="20"/>
          <w:lang w:eastAsia="ar-SA"/>
        </w:rPr>
        <w:t xml:space="preserve"> </w:t>
      </w:r>
      <w:proofErr w:type="spellStart"/>
      <w:r w:rsidRPr="00A07F29">
        <w:rPr>
          <w:rFonts w:ascii="Times New Roman" w:eastAsia="Calibri" w:hAnsi="Times New Roman" w:cs="Times New Roman"/>
          <w:i/>
          <w:color w:val="000000"/>
          <w:sz w:val="24"/>
          <w:szCs w:val="20"/>
          <w:lang w:eastAsia="ar-SA"/>
        </w:rPr>
        <w:t>Zygaena</w:t>
      </w:r>
      <w:proofErr w:type="spellEnd"/>
      <w:r w:rsidRPr="00A07F29">
        <w:rPr>
          <w:rFonts w:ascii="Times New Roman" w:eastAsia="Calibri" w:hAnsi="Times New Roman" w:cs="Times New Roman"/>
          <w:i/>
          <w:color w:val="000000"/>
          <w:sz w:val="24"/>
          <w:szCs w:val="20"/>
          <w:lang w:eastAsia="ar-SA"/>
        </w:rPr>
        <w:t xml:space="preserve"> </w:t>
      </w:r>
      <w:proofErr w:type="spellStart"/>
      <w:r w:rsidRPr="00A07F29">
        <w:rPr>
          <w:rFonts w:ascii="Times New Roman" w:eastAsia="Calibri" w:hAnsi="Times New Roman" w:cs="Times New Roman"/>
          <w:i/>
          <w:color w:val="000000"/>
          <w:sz w:val="24"/>
          <w:szCs w:val="20"/>
          <w:lang w:eastAsia="ar-SA"/>
        </w:rPr>
        <w:t>carniolica</w:t>
      </w:r>
      <w:proofErr w:type="spellEnd"/>
      <w:r w:rsidRPr="00A07F29">
        <w:rPr>
          <w:rFonts w:ascii="Times New Roman" w:eastAsia="Calibri" w:hAnsi="Times New Roman" w:cs="Times New Roman"/>
          <w:color w:val="000000"/>
          <w:sz w:val="24"/>
          <w:szCs w:val="20"/>
          <w:lang w:eastAsia="ar-SA"/>
        </w:rPr>
        <w:t xml:space="preserve"> atradne </w:t>
      </w:r>
      <w:r w:rsidR="009072CE" w:rsidRPr="00A07F29">
        <w:rPr>
          <w:rFonts w:ascii="Times New Roman" w:eastAsia="Calibri" w:hAnsi="Times New Roman" w:cs="Times New Roman"/>
          <w:color w:val="000000"/>
          <w:sz w:val="24"/>
          <w:szCs w:val="20"/>
          <w:lang w:eastAsia="ar-SA"/>
        </w:rPr>
        <w:t xml:space="preserve">AAA “Augšdaugava” </w:t>
      </w:r>
      <w:r w:rsidRPr="00A07F29">
        <w:rPr>
          <w:rFonts w:ascii="Times New Roman" w:eastAsia="Calibri" w:hAnsi="Times New Roman" w:cs="Times New Roman"/>
          <w:color w:val="000000"/>
          <w:sz w:val="24"/>
          <w:szCs w:val="20"/>
          <w:lang w:eastAsia="ar-SA"/>
        </w:rPr>
        <w:t>teritorijā</w:t>
      </w:r>
      <w:r w:rsidR="009072CE" w:rsidRPr="00A07F29">
        <w:rPr>
          <w:rFonts w:ascii="Times New Roman" w:eastAsia="Calibri" w:hAnsi="Times New Roman" w:cs="Times New Roman"/>
          <w:color w:val="000000"/>
          <w:sz w:val="24"/>
          <w:szCs w:val="20"/>
          <w:lang w:eastAsia="ar-SA"/>
        </w:rPr>
        <w:t xml:space="preserve">. Kāpuri Latvijas apstākļos dzīvo uz smiltāja esparsetes </w:t>
      </w:r>
      <w:proofErr w:type="spellStart"/>
      <w:r w:rsidR="009072CE" w:rsidRPr="00A07F29">
        <w:rPr>
          <w:rFonts w:ascii="Times New Roman" w:eastAsia="Calibri" w:hAnsi="Times New Roman" w:cs="Times New Roman"/>
          <w:i/>
          <w:color w:val="000000"/>
          <w:sz w:val="24"/>
          <w:szCs w:val="20"/>
          <w:lang w:eastAsia="ar-SA"/>
        </w:rPr>
        <w:t>Onbrychis</w:t>
      </w:r>
      <w:proofErr w:type="spellEnd"/>
      <w:r w:rsidR="009072CE" w:rsidRPr="00A07F29">
        <w:rPr>
          <w:rFonts w:ascii="Times New Roman" w:eastAsia="Calibri" w:hAnsi="Times New Roman" w:cs="Times New Roman"/>
          <w:i/>
          <w:color w:val="000000"/>
          <w:sz w:val="24"/>
          <w:szCs w:val="20"/>
          <w:lang w:eastAsia="ar-SA"/>
        </w:rPr>
        <w:t xml:space="preserve"> </w:t>
      </w:r>
      <w:proofErr w:type="spellStart"/>
      <w:r w:rsidR="009072CE" w:rsidRPr="00A07F29">
        <w:rPr>
          <w:rFonts w:ascii="Times New Roman" w:eastAsia="Calibri" w:hAnsi="Times New Roman" w:cs="Times New Roman"/>
          <w:i/>
          <w:color w:val="000000"/>
          <w:sz w:val="24"/>
          <w:szCs w:val="20"/>
          <w:lang w:eastAsia="ar-SA"/>
        </w:rPr>
        <w:t>arenaria</w:t>
      </w:r>
      <w:proofErr w:type="spellEnd"/>
      <w:r w:rsidR="009072CE" w:rsidRPr="00A07F29">
        <w:rPr>
          <w:rFonts w:ascii="Times New Roman" w:eastAsia="Calibri" w:hAnsi="Times New Roman" w:cs="Times New Roman"/>
          <w:color w:val="000000"/>
          <w:sz w:val="24"/>
          <w:szCs w:val="20"/>
          <w:lang w:eastAsia="ar-SA"/>
        </w:rPr>
        <w:t>, areāla citās daļās arī uz citiem tauriņziežu dzimtas augiem. Latvijā pēdējais zināmais atradums reģistrēts Šķaunes osā 1987.</w:t>
      </w:r>
      <w:r w:rsidR="00F03427">
        <w:rPr>
          <w:rFonts w:ascii="Times New Roman" w:eastAsia="Calibri" w:hAnsi="Times New Roman" w:cs="Times New Roman"/>
          <w:color w:val="000000"/>
          <w:sz w:val="24"/>
          <w:szCs w:val="20"/>
          <w:lang w:eastAsia="ar-SA"/>
        </w:rPr>
        <w:t> </w:t>
      </w:r>
      <w:r w:rsidR="009072CE" w:rsidRPr="00A07F29">
        <w:rPr>
          <w:rFonts w:ascii="Times New Roman" w:eastAsia="Calibri" w:hAnsi="Times New Roman" w:cs="Times New Roman"/>
          <w:color w:val="000000"/>
          <w:sz w:val="24"/>
          <w:szCs w:val="20"/>
          <w:lang w:eastAsia="ar-SA"/>
        </w:rPr>
        <w:t>gadā (</w:t>
      </w:r>
      <w:proofErr w:type="spellStart"/>
      <w:r w:rsidR="009072CE" w:rsidRPr="00A07F29">
        <w:rPr>
          <w:rFonts w:ascii="Times New Roman" w:eastAsia="Calibri" w:hAnsi="Times New Roman" w:cs="Times New Roman"/>
          <w:color w:val="000000"/>
          <w:sz w:val="24"/>
          <w:szCs w:val="20"/>
          <w:lang w:eastAsia="ar-SA"/>
        </w:rPr>
        <w:t>Savenkovs</w:t>
      </w:r>
      <w:proofErr w:type="spellEnd"/>
      <w:r w:rsidR="001528DA">
        <w:rPr>
          <w:rFonts w:ascii="Times New Roman" w:eastAsia="Calibri" w:hAnsi="Times New Roman" w:cs="Times New Roman"/>
          <w:color w:val="000000"/>
          <w:sz w:val="24"/>
          <w:szCs w:val="20"/>
          <w:lang w:eastAsia="ar-SA"/>
        </w:rPr>
        <w:t xml:space="preserve"> N.,</w:t>
      </w:r>
      <w:r w:rsidR="009072CE" w:rsidRPr="00A07F29">
        <w:rPr>
          <w:rFonts w:ascii="Times New Roman" w:eastAsia="Calibri" w:hAnsi="Times New Roman" w:cs="Times New Roman"/>
          <w:color w:val="000000"/>
          <w:sz w:val="24"/>
          <w:szCs w:val="20"/>
          <w:lang w:eastAsia="ar-SA"/>
        </w:rPr>
        <w:t xml:space="preserve"> 2018). Sugas sastopamība </w:t>
      </w:r>
      <w:r w:rsidRPr="00A07F29">
        <w:rPr>
          <w:rFonts w:ascii="Times New Roman" w:eastAsia="Calibri" w:hAnsi="Times New Roman" w:cs="Times New Roman"/>
          <w:color w:val="000000"/>
          <w:sz w:val="24"/>
          <w:szCs w:val="20"/>
          <w:lang w:eastAsia="ar-SA"/>
        </w:rPr>
        <w:t>AAA “Augšdaugava”</w:t>
      </w:r>
      <w:r w:rsidR="009072CE" w:rsidRPr="00A07F29">
        <w:rPr>
          <w:rFonts w:ascii="Times New Roman" w:eastAsia="Calibri" w:hAnsi="Times New Roman" w:cs="Times New Roman"/>
          <w:color w:val="000000"/>
          <w:sz w:val="24"/>
          <w:szCs w:val="20"/>
          <w:lang w:eastAsia="ar-SA"/>
        </w:rPr>
        <w:t xml:space="preserve"> ir apšaubāma.</w:t>
      </w:r>
    </w:p>
    <w:p w14:paraId="22CA9E4A" w14:textId="36E453D5" w:rsidR="009072CE" w:rsidRPr="00A07F29" w:rsidRDefault="00F86B05" w:rsidP="00E22CE3">
      <w:pPr>
        <w:autoSpaceDE w:val="0"/>
        <w:autoSpaceDN w:val="0"/>
        <w:adjustRightInd w:val="0"/>
        <w:spacing w:after="120" w:line="240" w:lineRule="auto"/>
        <w:ind w:firstLine="851"/>
        <w:jc w:val="both"/>
        <w:rPr>
          <w:rFonts w:ascii="Times New Roman" w:eastAsia="Calibri" w:hAnsi="Times New Roman" w:cs="Times New Roman"/>
          <w:iCs/>
          <w:color w:val="000000"/>
          <w:sz w:val="24"/>
          <w:szCs w:val="20"/>
          <w:lang w:eastAsia="ar-SA"/>
        </w:rPr>
      </w:pPr>
      <w:r w:rsidRPr="00A07F29">
        <w:rPr>
          <w:rFonts w:ascii="Times New Roman" w:eastAsia="Calibri" w:hAnsi="Times New Roman" w:cs="Times New Roman"/>
          <w:color w:val="000000"/>
          <w:sz w:val="24"/>
          <w:szCs w:val="20"/>
          <w:lang w:eastAsia="ar-SA"/>
        </w:rPr>
        <w:t xml:space="preserve">AAA “Augšdaugava” sastopamas vairākas Latvijas Sarkanajā grāmatā iekļautās </w:t>
      </w:r>
      <w:r w:rsidR="001613C8" w:rsidRPr="00A07F29">
        <w:rPr>
          <w:rFonts w:ascii="Times New Roman" w:eastAsia="Calibri" w:hAnsi="Times New Roman" w:cs="Times New Roman"/>
          <w:color w:val="000000"/>
          <w:sz w:val="24"/>
          <w:szCs w:val="20"/>
          <w:lang w:eastAsia="ar-SA"/>
        </w:rPr>
        <w:t xml:space="preserve">tauriņu </w:t>
      </w:r>
      <w:r w:rsidRPr="00A07F29">
        <w:rPr>
          <w:rFonts w:ascii="Times New Roman" w:eastAsia="Calibri" w:hAnsi="Times New Roman" w:cs="Times New Roman"/>
          <w:color w:val="000000"/>
          <w:sz w:val="24"/>
          <w:szCs w:val="20"/>
          <w:lang w:eastAsia="ar-SA"/>
        </w:rPr>
        <w:t>sugas</w:t>
      </w:r>
      <w:r w:rsidR="009072CE" w:rsidRPr="00A07F29">
        <w:rPr>
          <w:rFonts w:ascii="Times New Roman" w:eastAsia="Calibri" w:hAnsi="Times New Roman" w:cs="Times New Roman"/>
          <w:color w:val="000000"/>
          <w:sz w:val="24"/>
          <w:szCs w:val="20"/>
          <w:lang w:eastAsia="ar-SA"/>
        </w:rPr>
        <w:t>. Rudais pāvacis</w:t>
      </w:r>
      <w:r w:rsidR="009072CE" w:rsidRPr="00A07F29">
        <w:rPr>
          <w:rFonts w:ascii="Times New Roman" w:eastAsia="Calibri" w:hAnsi="Times New Roman" w:cs="Times New Roman"/>
          <w:color w:val="000000"/>
          <w:sz w:val="32"/>
          <w:szCs w:val="20"/>
          <w:lang w:eastAsia="ar-SA"/>
        </w:rPr>
        <w:t xml:space="preserve"> </w:t>
      </w:r>
      <w:proofErr w:type="spellStart"/>
      <w:r w:rsidR="009072CE" w:rsidRPr="00A07F29">
        <w:rPr>
          <w:rFonts w:ascii="Times New Roman" w:eastAsia="Calibri" w:hAnsi="Times New Roman" w:cs="Times New Roman"/>
          <w:i/>
          <w:iCs/>
          <w:color w:val="000000"/>
          <w:sz w:val="24"/>
          <w:szCs w:val="20"/>
          <w:lang w:eastAsia="ar-SA"/>
        </w:rPr>
        <w:t>Aglia</w:t>
      </w:r>
      <w:proofErr w:type="spellEnd"/>
      <w:r w:rsidR="009072CE" w:rsidRPr="00A07F29">
        <w:rPr>
          <w:rFonts w:ascii="Times New Roman" w:eastAsia="Calibri" w:hAnsi="Times New Roman" w:cs="Times New Roman"/>
          <w:i/>
          <w:iCs/>
          <w:color w:val="000000"/>
          <w:sz w:val="24"/>
          <w:szCs w:val="20"/>
          <w:lang w:eastAsia="ar-SA"/>
        </w:rPr>
        <w:t xml:space="preserve"> tau</w:t>
      </w:r>
      <w:r w:rsidR="009072CE" w:rsidRPr="00A07F29">
        <w:rPr>
          <w:rFonts w:ascii="Times New Roman" w:eastAsia="Calibri" w:hAnsi="Times New Roman" w:cs="Times New Roman"/>
          <w:color w:val="000000"/>
          <w:sz w:val="24"/>
          <w:szCs w:val="20"/>
          <w:lang w:eastAsia="ar-SA"/>
        </w:rPr>
        <w:t xml:space="preserve"> </w:t>
      </w:r>
      <w:r w:rsidRPr="00A07F29">
        <w:rPr>
          <w:rFonts w:ascii="Times New Roman" w:eastAsia="Calibri" w:hAnsi="Times New Roman" w:cs="Times New Roman"/>
          <w:color w:val="000000"/>
          <w:sz w:val="24"/>
          <w:szCs w:val="20"/>
          <w:lang w:eastAsia="ar-SA"/>
        </w:rPr>
        <w:t xml:space="preserve">ir </w:t>
      </w:r>
      <w:r w:rsidR="009072CE" w:rsidRPr="00A07F29">
        <w:rPr>
          <w:rFonts w:ascii="Times New Roman" w:eastAsia="Calibri" w:hAnsi="Times New Roman" w:cs="Times New Roman"/>
          <w:color w:val="000000"/>
          <w:sz w:val="24"/>
          <w:szCs w:val="20"/>
          <w:lang w:eastAsia="ar-SA"/>
        </w:rPr>
        <w:t xml:space="preserve">Latvijā samērā plaši izplatīts, taču reti sastopams. Apdzīvo dažāda tipa mežus un purvu malas. Kāpuri attīstās uz dažādu sugu lapu kokiem un krūmiem. AAA “Augšdaugava” teritorijā ir reģistrēts kārklu </w:t>
      </w:r>
      <w:proofErr w:type="spellStart"/>
      <w:r w:rsidR="009072CE" w:rsidRPr="00A07F29">
        <w:rPr>
          <w:rFonts w:ascii="Times New Roman" w:eastAsia="Calibri" w:hAnsi="Times New Roman" w:cs="Times New Roman"/>
          <w:color w:val="000000"/>
          <w:sz w:val="24"/>
          <w:szCs w:val="20"/>
          <w:lang w:eastAsia="ar-SA"/>
        </w:rPr>
        <w:t>zaigraibenis</w:t>
      </w:r>
      <w:proofErr w:type="spellEnd"/>
      <w:r w:rsidR="009072CE" w:rsidRPr="00A07F29">
        <w:rPr>
          <w:rFonts w:ascii="Times New Roman" w:eastAsia="Calibri" w:hAnsi="Times New Roman" w:cs="Times New Roman"/>
          <w:color w:val="000000"/>
          <w:sz w:val="24"/>
          <w:szCs w:val="20"/>
          <w:lang w:eastAsia="ar-SA"/>
        </w:rPr>
        <w:t xml:space="preserve"> </w:t>
      </w:r>
      <w:proofErr w:type="spellStart"/>
      <w:r w:rsidR="009072CE" w:rsidRPr="00A07F29">
        <w:rPr>
          <w:rFonts w:ascii="Times New Roman" w:eastAsia="Calibri" w:hAnsi="Times New Roman" w:cs="Times New Roman"/>
          <w:i/>
          <w:color w:val="000000"/>
          <w:sz w:val="24"/>
          <w:szCs w:val="20"/>
          <w:lang w:eastAsia="ar-SA"/>
        </w:rPr>
        <w:t>Apatura</w:t>
      </w:r>
      <w:proofErr w:type="spellEnd"/>
      <w:r w:rsidR="009072CE" w:rsidRPr="00A07F29">
        <w:rPr>
          <w:rFonts w:ascii="Times New Roman" w:eastAsia="Calibri" w:hAnsi="Times New Roman" w:cs="Times New Roman"/>
          <w:i/>
          <w:color w:val="000000"/>
          <w:sz w:val="24"/>
          <w:szCs w:val="20"/>
          <w:lang w:eastAsia="ar-SA"/>
        </w:rPr>
        <w:t xml:space="preserve"> iris</w:t>
      </w:r>
      <w:r w:rsidR="009072CE" w:rsidRPr="00A07F29">
        <w:rPr>
          <w:rFonts w:ascii="Times New Roman" w:eastAsia="Calibri" w:hAnsi="Times New Roman" w:cs="Times New Roman"/>
          <w:color w:val="000000"/>
          <w:sz w:val="24"/>
          <w:szCs w:val="20"/>
          <w:lang w:eastAsia="ar-SA"/>
        </w:rPr>
        <w:t xml:space="preserve">, tā ir Latvijā samērā bieži sastopamā suga, kas raksturīga lapu koku un jauktajiem mežiem, kāpuri barojas ar kārklu lapām. Šī suga bieži sastopama tai piemērotos biotopos visā AAA “Augšdaugava teritorijā. Līdzīga situācija ir ar sausseržu </w:t>
      </w:r>
      <w:proofErr w:type="spellStart"/>
      <w:r w:rsidR="009072CE" w:rsidRPr="00A07F29">
        <w:rPr>
          <w:rFonts w:ascii="Times New Roman" w:eastAsia="Calibri" w:hAnsi="Times New Roman" w:cs="Times New Roman"/>
          <w:color w:val="000000"/>
          <w:sz w:val="24"/>
          <w:szCs w:val="20"/>
          <w:lang w:eastAsia="ar-SA"/>
        </w:rPr>
        <w:t>raibeni</w:t>
      </w:r>
      <w:proofErr w:type="spellEnd"/>
      <w:r w:rsidR="009072CE" w:rsidRPr="00A07F29">
        <w:rPr>
          <w:rFonts w:ascii="Times New Roman" w:eastAsia="Calibri" w:hAnsi="Times New Roman" w:cs="Times New Roman"/>
          <w:color w:val="000000"/>
          <w:sz w:val="24"/>
          <w:szCs w:val="20"/>
          <w:lang w:eastAsia="ar-SA"/>
        </w:rPr>
        <w:t xml:space="preserve"> </w:t>
      </w:r>
      <w:proofErr w:type="spellStart"/>
      <w:r w:rsidR="009072CE" w:rsidRPr="00A07F29">
        <w:rPr>
          <w:rFonts w:ascii="Times New Roman" w:eastAsia="Calibri" w:hAnsi="Times New Roman" w:cs="Times New Roman"/>
          <w:i/>
          <w:color w:val="000000"/>
          <w:sz w:val="24"/>
          <w:szCs w:val="20"/>
          <w:lang w:eastAsia="ar-SA"/>
        </w:rPr>
        <w:t>Limenitis</w:t>
      </w:r>
      <w:proofErr w:type="spellEnd"/>
      <w:r w:rsidR="009072CE" w:rsidRPr="00A07F29">
        <w:rPr>
          <w:rFonts w:ascii="Times New Roman" w:eastAsia="Calibri" w:hAnsi="Times New Roman" w:cs="Times New Roman"/>
          <w:i/>
          <w:color w:val="000000"/>
          <w:sz w:val="24"/>
          <w:szCs w:val="20"/>
          <w:lang w:eastAsia="ar-SA"/>
        </w:rPr>
        <w:t xml:space="preserve"> </w:t>
      </w:r>
      <w:proofErr w:type="spellStart"/>
      <w:r w:rsidR="009072CE" w:rsidRPr="00A07F29">
        <w:rPr>
          <w:rFonts w:ascii="Times New Roman" w:eastAsia="Calibri" w:hAnsi="Times New Roman" w:cs="Times New Roman"/>
          <w:i/>
          <w:color w:val="000000"/>
          <w:sz w:val="24"/>
          <w:szCs w:val="20"/>
          <w:lang w:eastAsia="ar-SA"/>
        </w:rPr>
        <w:t>camilla</w:t>
      </w:r>
      <w:proofErr w:type="spellEnd"/>
      <w:r w:rsidR="009072CE" w:rsidRPr="00A07F29">
        <w:rPr>
          <w:rFonts w:ascii="Times New Roman" w:eastAsia="Calibri" w:hAnsi="Times New Roman" w:cs="Times New Roman"/>
          <w:color w:val="000000"/>
          <w:sz w:val="24"/>
          <w:szCs w:val="20"/>
          <w:lang w:eastAsia="ar-SA"/>
        </w:rPr>
        <w:t>. Teritorijā ir reģistrēts arī nātru lācītis</w:t>
      </w:r>
      <w:r w:rsidR="009072CE" w:rsidRPr="00A07F29">
        <w:rPr>
          <w:rFonts w:ascii="Times New Roman" w:eastAsia="Calibri" w:hAnsi="Times New Roman" w:cs="Times New Roman"/>
          <w:i/>
          <w:color w:val="000000"/>
          <w:sz w:val="24"/>
          <w:szCs w:val="20"/>
          <w:lang w:eastAsia="ar-SA"/>
        </w:rPr>
        <w:t xml:space="preserve"> </w:t>
      </w:r>
      <w:proofErr w:type="spellStart"/>
      <w:r w:rsidR="009072CE" w:rsidRPr="00A07F29">
        <w:rPr>
          <w:rFonts w:ascii="Times New Roman" w:eastAsia="Calibri" w:hAnsi="Times New Roman" w:cs="Times New Roman"/>
          <w:i/>
          <w:color w:val="000000"/>
          <w:sz w:val="24"/>
          <w:szCs w:val="20"/>
          <w:lang w:eastAsia="ar-SA"/>
        </w:rPr>
        <w:t>Callimorpha</w:t>
      </w:r>
      <w:proofErr w:type="spellEnd"/>
      <w:r w:rsidR="009072CE" w:rsidRPr="00A07F29">
        <w:rPr>
          <w:rFonts w:ascii="Times New Roman" w:eastAsia="Calibri" w:hAnsi="Times New Roman" w:cs="Times New Roman"/>
          <w:i/>
          <w:color w:val="000000"/>
          <w:sz w:val="24"/>
          <w:szCs w:val="20"/>
          <w:lang w:eastAsia="ar-SA"/>
        </w:rPr>
        <w:t xml:space="preserve"> </w:t>
      </w:r>
      <w:proofErr w:type="spellStart"/>
      <w:r w:rsidR="009072CE" w:rsidRPr="00A07F29">
        <w:rPr>
          <w:rFonts w:ascii="Times New Roman" w:eastAsia="Calibri" w:hAnsi="Times New Roman" w:cs="Times New Roman"/>
          <w:i/>
          <w:color w:val="000000"/>
          <w:sz w:val="24"/>
          <w:szCs w:val="20"/>
          <w:lang w:eastAsia="ar-SA"/>
        </w:rPr>
        <w:t>dominula</w:t>
      </w:r>
      <w:proofErr w:type="spellEnd"/>
      <w:r w:rsidR="009072CE" w:rsidRPr="00A07F29">
        <w:rPr>
          <w:rFonts w:ascii="Times New Roman" w:eastAsia="Calibri" w:hAnsi="Times New Roman" w:cs="Times New Roman"/>
          <w:color w:val="000000"/>
          <w:sz w:val="24"/>
          <w:szCs w:val="20"/>
          <w:lang w:eastAsia="ar-SA"/>
        </w:rPr>
        <w:t xml:space="preserve">. Šī suga Latvijā izplatīta visā teritorijā un nav reta. Tāpat samērā bieži ir sastopama ošu </w:t>
      </w:r>
      <w:proofErr w:type="spellStart"/>
      <w:r w:rsidR="009072CE" w:rsidRPr="00A07F29">
        <w:rPr>
          <w:rFonts w:ascii="Times New Roman" w:eastAsia="Calibri" w:hAnsi="Times New Roman" w:cs="Times New Roman"/>
          <w:color w:val="000000"/>
          <w:sz w:val="24"/>
          <w:szCs w:val="20"/>
          <w:lang w:eastAsia="ar-SA"/>
        </w:rPr>
        <w:t>ordeņpūcīte</w:t>
      </w:r>
      <w:proofErr w:type="spellEnd"/>
      <w:r w:rsidR="009072CE" w:rsidRPr="00A07F29">
        <w:rPr>
          <w:rFonts w:ascii="Times New Roman" w:eastAsia="Calibri" w:hAnsi="Times New Roman" w:cs="Times New Roman"/>
          <w:color w:val="000000"/>
          <w:sz w:val="24"/>
          <w:szCs w:val="20"/>
          <w:lang w:eastAsia="ar-SA"/>
        </w:rPr>
        <w:t xml:space="preserve"> </w:t>
      </w:r>
      <w:proofErr w:type="spellStart"/>
      <w:r w:rsidR="009072CE" w:rsidRPr="00A07F29">
        <w:rPr>
          <w:rFonts w:ascii="Times New Roman" w:eastAsia="Calibri" w:hAnsi="Times New Roman" w:cs="Times New Roman"/>
          <w:i/>
          <w:color w:val="000000"/>
          <w:sz w:val="24"/>
          <w:szCs w:val="20"/>
          <w:lang w:eastAsia="ar-SA"/>
        </w:rPr>
        <w:t>Catocala</w:t>
      </w:r>
      <w:proofErr w:type="spellEnd"/>
      <w:r w:rsidR="009072CE" w:rsidRPr="00A07F29">
        <w:rPr>
          <w:rFonts w:ascii="Times New Roman" w:eastAsia="Calibri" w:hAnsi="Times New Roman" w:cs="Times New Roman"/>
          <w:i/>
          <w:color w:val="000000"/>
          <w:sz w:val="24"/>
          <w:szCs w:val="20"/>
          <w:lang w:eastAsia="ar-SA"/>
        </w:rPr>
        <w:t xml:space="preserve"> </w:t>
      </w:r>
      <w:proofErr w:type="spellStart"/>
      <w:r w:rsidR="009072CE" w:rsidRPr="00A07F29">
        <w:rPr>
          <w:rFonts w:ascii="Times New Roman" w:eastAsia="Calibri" w:hAnsi="Times New Roman" w:cs="Times New Roman"/>
          <w:i/>
          <w:color w:val="000000"/>
          <w:sz w:val="24"/>
          <w:szCs w:val="20"/>
          <w:lang w:eastAsia="ar-SA"/>
        </w:rPr>
        <w:t>fraxini</w:t>
      </w:r>
      <w:proofErr w:type="spellEnd"/>
      <w:r w:rsidR="009072CE" w:rsidRPr="00A07F29">
        <w:rPr>
          <w:rFonts w:ascii="Times New Roman" w:eastAsia="Calibri" w:hAnsi="Times New Roman" w:cs="Times New Roman"/>
          <w:color w:val="000000"/>
          <w:sz w:val="24"/>
          <w:szCs w:val="20"/>
          <w:lang w:eastAsia="ar-SA"/>
        </w:rPr>
        <w:t xml:space="preserve">, kas saistīta ar dažādiem kokiem, galvenokārt ošiem. Šīm sugām ir paredzama plaša sastopamība visā AAA teritorijā. AAA reģistrēts pelēkais pāvacis </w:t>
      </w:r>
      <w:proofErr w:type="spellStart"/>
      <w:r w:rsidR="009072CE" w:rsidRPr="00A07F29">
        <w:rPr>
          <w:rFonts w:ascii="Times New Roman" w:eastAsia="Calibri" w:hAnsi="Times New Roman" w:cs="Times New Roman"/>
          <w:i/>
          <w:color w:val="000000"/>
          <w:sz w:val="24"/>
          <w:szCs w:val="20"/>
          <w:lang w:eastAsia="ar-SA"/>
        </w:rPr>
        <w:t>Saturnia</w:t>
      </w:r>
      <w:proofErr w:type="spellEnd"/>
      <w:r w:rsidR="009072CE" w:rsidRPr="00A07F29">
        <w:rPr>
          <w:rFonts w:ascii="Times New Roman" w:eastAsia="Calibri" w:hAnsi="Times New Roman" w:cs="Times New Roman"/>
          <w:i/>
          <w:color w:val="000000"/>
          <w:sz w:val="24"/>
          <w:szCs w:val="20"/>
          <w:lang w:eastAsia="ar-SA"/>
        </w:rPr>
        <w:t xml:space="preserve"> </w:t>
      </w:r>
      <w:proofErr w:type="spellStart"/>
      <w:r w:rsidR="009072CE" w:rsidRPr="00A07F29">
        <w:rPr>
          <w:rFonts w:ascii="Times New Roman" w:eastAsia="Calibri" w:hAnsi="Times New Roman" w:cs="Times New Roman"/>
          <w:i/>
          <w:color w:val="000000"/>
          <w:sz w:val="24"/>
          <w:szCs w:val="20"/>
          <w:lang w:eastAsia="ar-SA"/>
        </w:rPr>
        <w:t>pavonia</w:t>
      </w:r>
      <w:proofErr w:type="spellEnd"/>
      <w:r w:rsidR="009072CE" w:rsidRPr="00A07F29">
        <w:rPr>
          <w:rFonts w:ascii="Times New Roman" w:eastAsia="Calibri" w:hAnsi="Times New Roman" w:cs="Times New Roman"/>
          <w:color w:val="000000"/>
          <w:sz w:val="24"/>
          <w:szCs w:val="20"/>
          <w:lang w:eastAsia="ar-SA"/>
        </w:rPr>
        <w:t xml:space="preserve">, kas sastopams visā valsts teritorijā, bet reti. Tas saistīts ar dažādiem krūmiem, t.sk. viršiem. Teritorijā ir zināma viena atradne, bet potenciāli suga sastopama plašāk. </w:t>
      </w:r>
      <w:r w:rsidRPr="00A07F29">
        <w:rPr>
          <w:rFonts w:ascii="Times New Roman" w:eastAsia="Calibri" w:hAnsi="Times New Roman" w:cs="Times New Roman"/>
          <w:color w:val="000000"/>
          <w:sz w:val="24"/>
          <w:szCs w:val="20"/>
          <w:lang w:eastAsia="ar-SA"/>
        </w:rPr>
        <w:t>AAA “Augšdaugava”</w:t>
      </w:r>
      <w:r w:rsidR="009072CE" w:rsidRPr="00A07F29">
        <w:rPr>
          <w:rFonts w:ascii="Times New Roman" w:eastAsia="Calibri" w:hAnsi="Times New Roman" w:cs="Times New Roman"/>
          <w:color w:val="000000"/>
          <w:sz w:val="24"/>
          <w:szCs w:val="20"/>
          <w:lang w:eastAsia="ar-SA"/>
        </w:rPr>
        <w:t xml:space="preserve"> reģistrēts </w:t>
      </w:r>
      <w:r w:rsidRPr="00A07F29">
        <w:rPr>
          <w:rFonts w:ascii="Times New Roman" w:eastAsia="Calibri" w:hAnsi="Times New Roman" w:cs="Times New Roman"/>
          <w:color w:val="000000"/>
          <w:sz w:val="24"/>
          <w:szCs w:val="20"/>
          <w:lang w:eastAsia="ar-SA"/>
        </w:rPr>
        <w:t>arī</w:t>
      </w:r>
      <w:r w:rsidR="009072CE" w:rsidRPr="00A07F29">
        <w:rPr>
          <w:rFonts w:ascii="Times New Roman" w:eastAsia="Calibri" w:hAnsi="Times New Roman" w:cs="Times New Roman"/>
          <w:color w:val="000000"/>
          <w:sz w:val="24"/>
          <w:szCs w:val="20"/>
          <w:lang w:eastAsia="ar-SA"/>
        </w:rPr>
        <w:t xml:space="preserve"> ceļteku </w:t>
      </w:r>
      <w:proofErr w:type="spellStart"/>
      <w:r w:rsidR="009072CE" w:rsidRPr="00A07F29">
        <w:rPr>
          <w:rFonts w:ascii="Times New Roman" w:eastAsia="Calibri" w:hAnsi="Times New Roman" w:cs="Times New Roman"/>
          <w:color w:val="000000"/>
          <w:sz w:val="24"/>
          <w:szCs w:val="20"/>
          <w:lang w:eastAsia="ar-SA"/>
        </w:rPr>
        <w:t>pļavraibenis</w:t>
      </w:r>
      <w:proofErr w:type="spellEnd"/>
      <w:r w:rsidR="009072CE" w:rsidRPr="00A07F29">
        <w:rPr>
          <w:rFonts w:ascii="Times New Roman" w:eastAsia="Calibri" w:hAnsi="Times New Roman" w:cs="Times New Roman"/>
          <w:color w:val="000000"/>
          <w:sz w:val="24"/>
          <w:szCs w:val="20"/>
          <w:lang w:eastAsia="ar-SA"/>
        </w:rPr>
        <w:t xml:space="preserve"> </w:t>
      </w:r>
      <w:proofErr w:type="spellStart"/>
      <w:r w:rsidR="009072CE" w:rsidRPr="00A07F29">
        <w:rPr>
          <w:rFonts w:ascii="Times New Roman" w:eastAsia="Calibri" w:hAnsi="Times New Roman" w:cs="Times New Roman"/>
          <w:i/>
          <w:iCs/>
          <w:color w:val="000000"/>
          <w:sz w:val="24"/>
          <w:szCs w:val="20"/>
          <w:lang w:eastAsia="ar-SA"/>
        </w:rPr>
        <w:t>Melitaea</w:t>
      </w:r>
      <w:proofErr w:type="spellEnd"/>
      <w:r w:rsidR="009072CE" w:rsidRPr="00A07F29">
        <w:rPr>
          <w:rFonts w:ascii="Times New Roman" w:eastAsia="Calibri" w:hAnsi="Times New Roman" w:cs="Times New Roman"/>
          <w:i/>
          <w:iCs/>
          <w:color w:val="000000"/>
          <w:sz w:val="24"/>
          <w:szCs w:val="20"/>
          <w:lang w:eastAsia="ar-SA"/>
        </w:rPr>
        <w:t xml:space="preserve"> </w:t>
      </w:r>
      <w:proofErr w:type="spellStart"/>
      <w:r w:rsidR="009072CE" w:rsidRPr="00A07F29">
        <w:rPr>
          <w:rFonts w:ascii="Times New Roman" w:eastAsia="Calibri" w:hAnsi="Times New Roman" w:cs="Times New Roman"/>
          <w:i/>
          <w:iCs/>
          <w:color w:val="000000"/>
          <w:sz w:val="24"/>
          <w:szCs w:val="20"/>
          <w:lang w:eastAsia="ar-SA"/>
        </w:rPr>
        <w:t>didyma</w:t>
      </w:r>
      <w:proofErr w:type="spellEnd"/>
      <w:r w:rsidR="009072CE" w:rsidRPr="00A07F29">
        <w:rPr>
          <w:rFonts w:ascii="Times New Roman" w:eastAsia="Calibri" w:hAnsi="Times New Roman" w:cs="Times New Roman"/>
          <w:iCs/>
          <w:color w:val="000000"/>
          <w:sz w:val="24"/>
          <w:szCs w:val="20"/>
          <w:lang w:eastAsia="ar-SA"/>
        </w:rPr>
        <w:t xml:space="preserve">, </w:t>
      </w:r>
      <w:proofErr w:type="spellStart"/>
      <w:r w:rsidR="009072CE" w:rsidRPr="00A07F29">
        <w:rPr>
          <w:rFonts w:ascii="Times New Roman" w:eastAsia="Calibri" w:hAnsi="Times New Roman" w:cs="Times New Roman"/>
          <w:iCs/>
          <w:color w:val="000000"/>
          <w:sz w:val="24"/>
          <w:szCs w:val="20"/>
          <w:lang w:eastAsia="ar-SA"/>
        </w:rPr>
        <w:t>saulrozīšu</w:t>
      </w:r>
      <w:proofErr w:type="spellEnd"/>
      <w:r w:rsidR="009072CE" w:rsidRPr="00A07F29">
        <w:rPr>
          <w:rFonts w:ascii="Times New Roman" w:eastAsia="Calibri" w:hAnsi="Times New Roman" w:cs="Times New Roman"/>
          <w:iCs/>
          <w:color w:val="000000"/>
          <w:sz w:val="24"/>
          <w:szCs w:val="20"/>
          <w:lang w:eastAsia="ar-SA"/>
        </w:rPr>
        <w:t xml:space="preserve"> </w:t>
      </w:r>
      <w:proofErr w:type="spellStart"/>
      <w:r w:rsidR="009072CE" w:rsidRPr="00A07F29">
        <w:rPr>
          <w:rFonts w:ascii="Times New Roman" w:eastAsia="Calibri" w:hAnsi="Times New Roman" w:cs="Times New Roman"/>
          <w:iCs/>
          <w:color w:val="000000"/>
          <w:sz w:val="24"/>
          <w:szCs w:val="20"/>
          <w:lang w:eastAsia="ar-SA"/>
        </w:rPr>
        <w:t>graustkode</w:t>
      </w:r>
      <w:proofErr w:type="spellEnd"/>
      <w:r w:rsidR="009072CE" w:rsidRPr="00A07F29">
        <w:rPr>
          <w:rFonts w:ascii="Times New Roman" w:eastAsia="Calibri" w:hAnsi="Times New Roman" w:cs="Times New Roman"/>
          <w:iCs/>
          <w:color w:val="000000"/>
          <w:sz w:val="32"/>
          <w:szCs w:val="20"/>
          <w:lang w:eastAsia="ar-SA"/>
        </w:rPr>
        <w:t xml:space="preserve"> </w:t>
      </w:r>
      <w:proofErr w:type="spellStart"/>
      <w:r w:rsidR="009072CE" w:rsidRPr="00A07F29">
        <w:rPr>
          <w:rFonts w:ascii="Times New Roman" w:eastAsia="Calibri" w:hAnsi="Times New Roman" w:cs="Times New Roman"/>
          <w:i/>
          <w:iCs/>
          <w:color w:val="000000"/>
          <w:sz w:val="24"/>
          <w:szCs w:val="20"/>
          <w:lang w:eastAsia="ar-SA"/>
        </w:rPr>
        <w:lastRenderedPageBreak/>
        <w:t>Mesophleps</w:t>
      </w:r>
      <w:proofErr w:type="spellEnd"/>
      <w:r w:rsidR="009072CE" w:rsidRPr="00A07F29">
        <w:rPr>
          <w:rFonts w:ascii="Times New Roman" w:eastAsia="Calibri" w:hAnsi="Times New Roman" w:cs="Times New Roman"/>
          <w:i/>
          <w:iCs/>
          <w:color w:val="000000"/>
          <w:sz w:val="24"/>
          <w:szCs w:val="20"/>
          <w:lang w:eastAsia="ar-SA"/>
        </w:rPr>
        <w:t xml:space="preserve"> </w:t>
      </w:r>
      <w:proofErr w:type="spellStart"/>
      <w:r w:rsidR="009072CE" w:rsidRPr="00A07F29">
        <w:rPr>
          <w:rFonts w:ascii="Times New Roman" w:eastAsia="Calibri" w:hAnsi="Times New Roman" w:cs="Times New Roman"/>
          <w:i/>
          <w:iCs/>
          <w:color w:val="000000"/>
          <w:sz w:val="24"/>
          <w:szCs w:val="20"/>
          <w:lang w:eastAsia="ar-SA"/>
        </w:rPr>
        <w:t>silacella</w:t>
      </w:r>
      <w:proofErr w:type="spellEnd"/>
      <w:r w:rsidR="009072CE" w:rsidRPr="00A07F29">
        <w:rPr>
          <w:rFonts w:ascii="Times New Roman" w:eastAsia="Calibri" w:hAnsi="Times New Roman" w:cs="Times New Roman"/>
          <w:iCs/>
          <w:color w:val="000000"/>
          <w:sz w:val="24"/>
          <w:szCs w:val="20"/>
          <w:lang w:eastAsia="ar-SA"/>
        </w:rPr>
        <w:t xml:space="preserve">, čemurziežu </w:t>
      </w:r>
      <w:proofErr w:type="spellStart"/>
      <w:r w:rsidR="009072CE" w:rsidRPr="00A07F29">
        <w:rPr>
          <w:rFonts w:ascii="Times New Roman" w:eastAsia="Calibri" w:hAnsi="Times New Roman" w:cs="Times New Roman"/>
          <w:iCs/>
          <w:color w:val="000000"/>
          <w:sz w:val="24"/>
          <w:szCs w:val="20"/>
          <w:lang w:eastAsia="ar-SA"/>
        </w:rPr>
        <w:t>dižtauriņš</w:t>
      </w:r>
      <w:proofErr w:type="spellEnd"/>
      <w:r w:rsidR="009072CE" w:rsidRPr="00A07F29">
        <w:rPr>
          <w:rFonts w:ascii="Times New Roman" w:eastAsia="Calibri" w:hAnsi="Times New Roman" w:cs="Times New Roman"/>
          <w:i/>
          <w:iCs/>
          <w:color w:val="000000"/>
          <w:sz w:val="32"/>
          <w:szCs w:val="20"/>
          <w:lang w:eastAsia="ar-SA"/>
        </w:rPr>
        <w:t xml:space="preserve"> </w:t>
      </w:r>
      <w:proofErr w:type="spellStart"/>
      <w:r w:rsidR="009072CE" w:rsidRPr="00A07F29">
        <w:rPr>
          <w:rFonts w:ascii="Times New Roman" w:eastAsia="Calibri" w:hAnsi="Times New Roman" w:cs="Times New Roman"/>
          <w:i/>
          <w:iCs/>
          <w:color w:val="000000"/>
          <w:sz w:val="24"/>
          <w:szCs w:val="20"/>
          <w:lang w:eastAsia="ar-SA"/>
        </w:rPr>
        <w:t>Papilio</w:t>
      </w:r>
      <w:proofErr w:type="spellEnd"/>
      <w:r w:rsidR="009072CE" w:rsidRPr="00A07F29">
        <w:rPr>
          <w:rFonts w:ascii="Times New Roman" w:eastAsia="Calibri" w:hAnsi="Times New Roman" w:cs="Times New Roman"/>
          <w:i/>
          <w:iCs/>
          <w:color w:val="000000"/>
          <w:sz w:val="24"/>
          <w:szCs w:val="20"/>
          <w:lang w:eastAsia="ar-SA"/>
        </w:rPr>
        <w:t xml:space="preserve"> </w:t>
      </w:r>
      <w:proofErr w:type="spellStart"/>
      <w:r w:rsidR="009072CE" w:rsidRPr="00A07F29">
        <w:rPr>
          <w:rFonts w:ascii="Times New Roman" w:eastAsia="Calibri" w:hAnsi="Times New Roman" w:cs="Times New Roman"/>
          <w:i/>
          <w:iCs/>
          <w:color w:val="000000"/>
          <w:sz w:val="24"/>
          <w:szCs w:val="20"/>
          <w:lang w:eastAsia="ar-SA"/>
        </w:rPr>
        <w:t>machaon</w:t>
      </w:r>
      <w:proofErr w:type="spellEnd"/>
      <w:r w:rsidR="009072CE" w:rsidRPr="00A07F29">
        <w:rPr>
          <w:rFonts w:ascii="Times New Roman" w:eastAsia="Calibri" w:hAnsi="Times New Roman" w:cs="Times New Roman"/>
          <w:iCs/>
          <w:color w:val="000000"/>
          <w:sz w:val="24"/>
          <w:szCs w:val="20"/>
          <w:lang w:eastAsia="ar-SA"/>
        </w:rPr>
        <w:t xml:space="preserve"> un ģipseņu </w:t>
      </w:r>
      <w:proofErr w:type="spellStart"/>
      <w:r w:rsidR="009072CE" w:rsidRPr="00A07F29">
        <w:rPr>
          <w:rFonts w:ascii="Times New Roman" w:eastAsia="Calibri" w:hAnsi="Times New Roman" w:cs="Times New Roman"/>
          <w:iCs/>
          <w:color w:val="000000"/>
          <w:sz w:val="24"/>
          <w:szCs w:val="20"/>
          <w:lang w:eastAsia="ar-SA"/>
        </w:rPr>
        <w:t>tinējkode</w:t>
      </w:r>
      <w:proofErr w:type="spellEnd"/>
      <w:r w:rsidR="009072CE" w:rsidRPr="00A07F29">
        <w:rPr>
          <w:rFonts w:ascii="Times New Roman" w:eastAsia="Calibri" w:hAnsi="Times New Roman" w:cs="Times New Roman"/>
          <w:iCs/>
          <w:color w:val="000000"/>
          <w:sz w:val="24"/>
          <w:szCs w:val="20"/>
          <w:lang w:eastAsia="ar-SA"/>
        </w:rPr>
        <w:t xml:space="preserve"> </w:t>
      </w:r>
      <w:proofErr w:type="spellStart"/>
      <w:r w:rsidR="009072CE" w:rsidRPr="00A07F29">
        <w:rPr>
          <w:rFonts w:ascii="Times New Roman" w:eastAsia="Calibri" w:hAnsi="Times New Roman" w:cs="Times New Roman"/>
          <w:i/>
          <w:iCs/>
          <w:color w:val="000000"/>
          <w:sz w:val="24"/>
          <w:szCs w:val="20"/>
          <w:lang w:eastAsia="ar-SA"/>
        </w:rPr>
        <w:t>Scythris</w:t>
      </w:r>
      <w:proofErr w:type="spellEnd"/>
      <w:r w:rsidR="009072CE" w:rsidRPr="00A07F29">
        <w:rPr>
          <w:rFonts w:ascii="Times New Roman" w:eastAsia="Calibri" w:hAnsi="Times New Roman" w:cs="Times New Roman"/>
          <w:i/>
          <w:iCs/>
          <w:color w:val="000000"/>
          <w:sz w:val="24"/>
          <w:szCs w:val="20"/>
          <w:lang w:eastAsia="ar-SA"/>
        </w:rPr>
        <w:t xml:space="preserve"> </w:t>
      </w:r>
      <w:proofErr w:type="spellStart"/>
      <w:r w:rsidR="009072CE" w:rsidRPr="00A07F29">
        <w:rPr>
          <w:rFonts w:ascii="Times New Roman" w:eastAsia="Calibri" w:hAnsi="Times New Roman" w:cs="Times New Roman"/>
          <w:i/>
          <w:iCs/>
          <w:color w:val="000000"/>
          <w:sz w:val="24"/>
          <w:szCs w:val="20"/>
          <w:lang w:eastAsia="ar-SA"/>
        </w:rPr>
        <w:t>emichi</w:t>
      </w:r>
      <w:proofErr w:type="spellEnd"/>
      <w:r w:rsidR="009072CE" w:rsidRPr="00A07F29">
        <w:rPr>
          <w:rFonts w:ascii="Times New Roman" w:eastAsia="Calibri" w:hAnsi="Times New Roman" w:cs="Times New Roman"/>
          <w:iCs/>
          <w:color w:val="000000"/>
          <w:sz w:val="24"/>
          <w:szCs w:val="20"/>
          <w:lang w:eastAsia="ar-SA"/>
        </w:rPr>
        <w:t>.</w:t>
      </w:r>
    </w:p>
    <w:p w14:paraId="472EABCC" w14:textId="78A696F5" w:rsidR="009072CE" w:rsidRPr="00A07F29" w:rsidRDefault="009072CE" w:rsidP="00E22CE3">
      <w:pPr>
        <w:autoSpaceDE w:val="0"/>
        <w:autoSpaceDN w:val="0"/>
        <w:adjustRightInd w:val="0"/>
        <w:spacing w:after="120" w:line="240" w:lineRule="auto"/>
        <w:ind w:firstLine="851"/>
        <w:jc w:val="both"/>
        <w:rPr>
          <w:rFonts w:ascii="Times New Roman" w:eastAsia="Calibri" w:hAnsi="Times New Roman" w:cs="Times New Roman"/>
          <w:color w:val="000000"/>
          <w:sz w:val="24"/>
          <w:szCs w:val="20"/>
          <w:lang w:eastAsia="ar-SA"/>
        </w:rPr>
      </w:pPr>
      <w:r w:rsidRPr="00A07F29">
        <w:rPr>
          <w:rFonts w:ascii="Times New Roman" w:eastAsia="Calibri" w:hAnsi="Times New Roman" w:cs="Times New Roman"/>
          <w:color w:val="000000"/>
          <w:sz w:val="24"/>
          <w:szCs w:val="20"/>
          <w:lang w:eastAsia="ar-SA"/>
        </w:rPr>
        <w:t xml:space="preserve">AAA “Augšdaugava” ir reģistrētas </w:t>
      </w:r>
      <w:r w:rsidR="00FE0C7A">
        <w:rPr>
          <w:rFonts w:ascii="Times New Roman" w:eastAsia="Calibri" w:hAnsi="Times New Roman" w:cs="Times New Roman"/>
          <w:color w:val="000000"/>
          <w:sz w:val="24"/>
          <w:szCs w:val="20"/>
          <w:lang w:eastAsia="ar-SA"/>
        </w:rPr>
        <w:t>divas</w:t>
      </w:r>
      <w:r w:rsidR="001613C8" w:rsidRPr="00A07F29">
        <w:rPr>
          <w:rFonts w:ascii="Times New Roman" w:eastAsia="Calibri" w:hAnsi="Times New Roman" w:cs="Times New Roman"/>
          <w:color w:val="000000"/>
          <w:sz w:val="24"/>
          <w:szCs w:val="20"/>
          <w:lang w:eastAsia="ar-SA"/>
        </w:rPr>
        <w:t xml:space="preserve"> </w:t>
      </w:r>
      <w:r w:rsidRPr="00A07F29">
        <w:rPr>
          <w:rFonts w:ascii="Times New Roman" w:eastAsia="Calibri" w:hAnsi="Times New Roman" w:cs="Times New Roman"/>
          <w:color w:val="000000"/>
          <w:sz w:val="24"/>
          <w:szCs w:val="20"/>
          <w:lang w:eastAsia="ar-SA"/>
        </w:rPr>
        <w:t>reti sastopamas taisnspārņu sugas</w:t>
      </w:r>
      <w:r w:rsidR="001613C8" w:rsidRPr="00A07F29">
        <w:rPr>
          <w:rFonts w:ascii="Times New Roman" w:eastAsia="Calibri" w:hAnsi="Times New Roman" w:cs="Times New Roman"/>
          <w:color w:val="000000"/>
          <w:sz w:val="24"/>
          <w:szCs w:val="20"/>
          <w:lang w:eastAsia="ar-SA"/>
        </w:rPr>
        <w:t xml:space="preserve">. </w:t>
      </w:r>
      <w:proofErr w:type="spellStart"/>
      <w:r w:rsidR="001613C8" w:rsidRPr="00A07F29">
        <w:rPr>
          <w:rFonts w:ascii="Times New Roman" w:eastAsia="Calibri" w:hAnsi="Times New Roman" w:cs="Times New Roman"/>
          <w:b/>
          <w:color w:val="000000"/>
          <w:sz w:val="24"/>
          <w:szCs w:val="20"/>
          <w:lang w:eastAsia="ar-SA"/>
        </w:rPr>
        <w:t>Raibspārnu</w:t>
      </w:r>
      <w:proofErr w:type="spellEnd"/>
      <w:r w:rsidR="001613C8" w:rsidRPr="00A07F29">
        <w:rPr>
          <w:rFonts w:ascii="Times New Roman" w:eastAsia="Calibri" w:hAnsi="Times New Roman" w:cs="Times New Roman"/>
          <w:b/>
          <w:color w:val="000000"/>
          <w:sz w:val="24"/>
          <w:szCs w:val="20"/>
          <w:lang w:eastAsia="ar-SA"/>
        </w:rPr>
        <w:t xml:space="preserve"> </w:t>
      </w:r>
      <w:proofErr w:type="spellStart"/>
      <w:r w:rsidRPr="00A07F29">
        <w:rPr>
          <w:rFonts w:ascii="Times New Roman" w:eastAsia="Calibri" w:hAnsi="Times New Roman" w:cs="Times New Roman"/>
          <w:b/>
          <w:color w:val="000000"/>
          <w:sz w:val="24"/>
          <w:szCs w:val="20"/>
          <w:lang w:eastAsia="ar-SA"/>
        </w:rPr>
        <w:t>smiltājsisenis</w:t>
      </w:r>
      <w:proofErr w:type="spellEnd"/>
      <w:r w:rsidRPr="00A07F29">
        <w:rPr>
          <w:rFonts w:ascii="Times New Roman" w:eastAsia="Calibri" w:hAnsi="Times New Roman" w:cs="Times New Roman"/>
          <w:b/>
          <w:color w:val="000000"/>
          <w:sz w:val="24"/>
          <w:szCs w:val="20"/>
          <w:lang w:eastAsia="ar-SA"/>
        </w:rPr>
        <w:t xml:space="preserve"> </w:t>
      </w:r>
      <w:proofErr w:type="spellStart"/>
      <w:r w:rsidRPr="00A07F29">
        <w:rPr>
          <w:rFonts w:ascii="Times New Roman" w:eastAsia="Calibri" w:hAnsi="Times New Roman" w:cs="Times New Roman"/>
          <w:b/>
          <w:i/>
          <w:color w:val="000000"/>
          <w:sz w:val="24"/>
          <w:szCs w:val="20"/>
          <w:lang w:eastAsia="ar-SA"/>
        </w:rPr>
        <w:t>Oedipoda</w:t>
      </w:r>
      <w:proofErr w:type="spellEnd"/>
      <w:r w:rsidRPr="00A07F29">
        <w:rPr>
          <w:rFonts w:ascii="Times New Roman" w:eastAsia="Calibri" w:hAnsi="Times New Roman" w:cs="Times New Roman"/>
          <w:b/>
          <w:i/>
          <w:color w:val="000000"/>
          <w:sz w:val="24"/>
          <w:szCs w:val="20"/>
          <w:lang w:eastAsia="ar-SA"/>
        </w:rPr>
        <w:t xml:space="preserve"> </w:t>
      </w:r>
      <w:proofErr w:type="spellStart"/>
      <w:r w:rsidRPr="00A07F29">
        <w:rPr>
          <w:rFonts w:ascii="Times New Roman" w:eastAsia="Calibri" w:hAnsi="Times New Roman" w:cs="Times New Roman"/>
          <w:b/>
          <w:i/>
          <w:color w:val="000000"/>
          <w:sz w:val="24"/>
          <w:szCs w:val="20"/>
          <w:lang w:eastAsia="ar-SA"/>
        </w:rPr>
        <w:t>caerulescens</w:t>
      </w:r>
      <w:proofErr w:type="spellEnd"/>
      <w:r w:rsidRPr="00A07F29">
        <w:rPr>
          <w:rFonts w:ascii="Times New Roman" w:eastAsia="Calibri" w:hAnsi="Times New Roman" w:cs="Times New Roman"/>
          <w:color w:val="000000"/>
          <w:sz w:val="24"/>
          <w:szCs w:val="20"/>
          <w:lang w:eastAsia="ar-SA"/>
        </w:rPr>
        <w:t xml:space="preserve"> </w:t>
      </w:r>
      <w:r w:rsidRPr="00A07F29">
        <w:rPr>
          <w:rFonts w:ascii="Times New Roman" w:eastAsia="Calibri" w:hAnsi="Times New Roman" w:cs="Times New Roman"/>
          <w:color w:val="000000"/>
          <w:sz w:val="24"/>
          <w:szCs w:val="24"/>
          <w:lang w:eastAsia="ar-SA"/>
        </w:rPr>
        <w:t>AAA “Augšdaugava” teritorijā ir sastopams samērā bieži. Teritorijā ir</w:t>
      </w:r>
      <w:r w:rsidRPr="00A07F29">
        <w:rPr>
          <w:rFonts w:ascii="Times New Roman" w:eastAsia="Calibri" w:hAnsi="Times New Roman" w:cs="Times New Roman"/>
          <w:color w:val="000000"/>
          <w:sz w:val="24"/>
          <w:szCs w:val="20"/>
          <w:lang w:eastAsia="ar-SA"/>
        </w:rPr>
        <w:t xml:space="preserve"> vairāki aktīvi un izstrādāti </w:t>
      </w:r>
      <w:r w:rsidR="00FE646B" w:rsidRPr="00A07F29">
        <w:rPr>
          <w:rFonts w:ascii="Times New Roman" w:eastAsia="Calibri" w:hAnsi="Times New Roman" w:cs="Times New Roman"/>
          <w:color w:val="000000"/>
          <w:sz w:val="24"/>
          <w:szCs w:val="20"/>
          <w:lang w:eastAsia="ar-SA"/>
        </w:rPr>
        <w:t xml:space="preserve">grants </w:t>
      </w:r>
      <w:r w:rsidRPr="00A07F29">
        <w:rPr>
          <w:rFonts w:ascii="Times New Roman" w:eastAsia="Calibri" w:hAnsi="Times New Roman" w:cs="Times New Roman"/>
          <w:color w:val="000000"/>
          <w:sz w:val="24"/>
          <w:szCs w:val="20"/>
          <w:lang w:eastAsia="ar-SA"/>
        </w:rPr>
        <w:t>un smilšu karjeri, kuru teritorijā ir izveidojušies labvēlīgi apstākļi sugām, kuru pastāvēšanai nepieciešami atklātie smilšu laukumi (</w:t>
      </w:r>
      <w:r w:rsidR="00DE332C">
        <w:rPr>
          <w:rFonts w:ascii="Times New Roman" w:eastAsia="Calibri" w:hAnsi="Times New Roman" w:cs="Times New Roman"/>
          <w:color w:val="000000"/>
          <w:sz w:val="24"/>
          <w:szCs w:val="20"/>
          <w:lang w:eastAsia="ar-SA"/>
        </w:rPr>
        <w:t xml:space="preserve">skat. </w:t>
      </w:r>
      <w:r w:rsidR="001613C8" w:rsidRPr="00A07F29">
        <w:rPr>
          <w:rFonts w:ascii="Times New Roman" w:eastAsia="Calibri" w:hAnsi="Times New Roman" w:cs="Times New Roman"/>
          <w:color w:val="000000"/>
          <w:sz w:val="24"/>
          <w:szCs w:val="20"/>
          <w:lang w:eastAsia="ar-SA"/>
        </w:rPr>
        <w:t>4.7.1.</w:t>
      </w:r>
      <w:r w:rsidRPr="00A07F29">
        <w:rPr>
          <w:rFonts w:ascii="Times New Roman" w:eastAsia="Calibri" w:hAnsi="Times New Roman" w:cs="Times New Roman"/>
          <w:color w:val="000000"/>
          <w:sz w:val="24"/>
          <w:szCs w:val="20"/>
          <w:lang w:eastAsia="ar-SA"/>
        </w:rPr>
        <w:t>13.</w:t>
      </w:r>
      <w:r w:rsidR="00DE332C">
        <w:rPr>
          <w:rFonts w:ascii="Times New Roman" w:eastAsia="Calibri" w:hAnsi="Times New Roman" w:cs="Times New Roman"/>
          <w:color w:val="000000"/>
          <w:sz w:val="24"/>
          <w:szCs w:val="20"/>
          <w:lang w:eastAsia="ar-SA"/>
        </w:rPr>
        <w:t> </w:t>
      </w:r>
      <w:r w:rsidRPr="00A07F29">
        <w:rPr>
          <w:rFonts w:ascii="Times New Roman" w:eastAsia="Calibri" w:hAnsi="Times New Roman" w:cs="Times New Roman"/>
          <w:color w:val="000000"/>
          <w:sz w:val="24"/>
          <w:szCs w:val="20"/>
          <w:lang w:eastAsia="ar-SA"/>
        </w:rPr>
        <w:t>att</w:t>
      </w:r>
      <w:r w:rsidR="00DE332C">
        <w:rPr>
          <w:rFonts w:ascii="Times New Roman" w:eastAsia="Calibri" w:hAnsi="Times New Roman" w:cs="Times New Roman"/>
          <w:color w:val="000000"/>
          <w:sz w:val="24"/>
          <w:szCs w:val="20"/>
          <w:lang w:eastAsia="ar-SA"/>
        </w:rPr>
        <w:t>ēls</w:t>
      </w:r>
      <w:r w:rsidRPr="00A07F29">
        <w:rPr>
          <w:rFonts w:ascii="Times New Roman" w:eastAsia="Calibri" w:hAnsi="Times New Roman" w:cs="Times New Roman"/>
          <w:color w:val="000000"/>
          <w:sz w:val="24"/>
          <w:szCs w:val="20"/>
          <w:lang w:eastAsia="ar-SA"/>
        </w:rPr>
        <w:t xml:space="preserve">). Suga konstatēta arī vairākos meža nogabalos </w:t>
      </w:r>
      <w:proofErr w:type="spellStart"/>
      <w:r w:rsidRPr="00A07F29">
        <w:rPr>
          <w:rFonts w:ascii="Times New Roman" w:eastAsia="Calibri" w:hAnsi="Times New Roman" w:cs="Times New Roman"/>
          <w:color w:val="000000"/>
          <w:sz w:val="24"/>
          <w:szCs w:val="20"/>
          <w:lang w:eastAsia="ar-SA"/>
        </w:rPr>
        <w:t>Šilovkas</w:t>
      </w:r>
      <w:proofErr w:type="spellEnd"/>
      <w:r w:rsidRPr="00A07F29">
        <w:rPr>
          <w:rFonts w:ascii="Times New Roman" w:eastAsia="Calibri" w:hAnsi="Times New Roman" w:cs="Times New Roman"/>
          <w:color w:val="000000"/>
          <w:sz w:val="24"/>
          <w:szCs w:val="20"/>
          <w:lang w:eastAsia="ar-SA"/>
        </w:rPr>
        <w:t xml:space="preserve"> ezera apkārtnē. </w:t>
      </w:r>
      <w:proofErr w:type="spellStart"/>
      <w:r w:rsidRPr="00A07F29">
        <w:rPr>
          <w:rFonts w:ascii="Times New Roman" w:eastAsia="Calibri" w:hAnsi="Times New Roman" w:cs="Times New Roman"/>
          <w:color w:val="000000"/>
          <w:sz w:val="24"/>
          <w:szCs w:val="20"/>
          <w:lang w:eastAsia="ar-SA"/>
        </w:rPr>
        <w:t>Raibspārnu</w:t>
      </w:r>
      <w:proofErr w:type="spellEnd"/>
      <w:r w:rsidRPr="00A07F29">
        <w:rPr>
          <w:rFonts w:ascii="Times New Roman" w:eastAsia="Calibri" w:hAnsi="Times New Roman" w:cs="Times New Roman"/>
          <w:color w:val="000000"/>
          <w:sz w:val="24"/>
          <w:szCs w:val="20"/>
          <w:lang w:eastAsia="ar-SA"/>
        </w:rPr>
        <w:t xml:space="preserve"> </w:t>
      </w:r>
      <w:proofErr w:type="spellStart"/>
      <w:r w:rsidRPr="00A07F29">
        <w:rPr>
          <w:rFonts w:ascii="Times New Roman" w:eastAsia="Calibri" w:hAnsi="Times New Roman" w:cs="Times New Roman"/>
          <w:color w:val="000000"/>
          <w:sz w:val="24"/>
          <w:szCs w:val="20"/>
          <w:lang w:eastAsia="ar-SA"/>
        </w:rPr>
        <w:t>smiltājsiseņa</w:t>
      </w:r>
      <w:proofErr w:type="spellEnd"/>
      <w:r w:rsidRPr="00A07F29">
        <w:rPr>
          <w:rFonts w:ascii="Times New Roman" w:eastAsia="Calibri" w:hAnsi="Times New Roman" w:cs="Times New Roman"/>
          <w:color w:val="000000"/>
          <w:sz w:val="24"/>
          <w:szCs w:val="20"/>
          <w:lang w:eastAsia="ar-SA"/>
        </w:rPr>
        <w:t xml:space="preserve"> īpatņus var novērot saulainā un karstā laikā sausās, smilšainās un saules labi apspīdētās vietās ar zemu un skraju veģetāciju. Šī siseņu suga nespēj veikt tālus pārlidojumus, tādēļ tās biotopa aizaugšanas vai apbūves rezultātā var iznīkt visa sugas atradnē esošā </w:t>
      </w:r>
      <w:proofErr w:type="spellStart"/>
      <w:r w:rsidRPr="00A07F29">
        <w:rPr>
          <w:rFonts w:ascii="Times New Roman" w:eastAsia="Calibri" w:hAnsi="Times New Roman" w:cs="Times New Roman"/>
          <w:color w:val="000000"/>
          <w:sz w:val="24"/>
          <w:szCs w:val="20"/>
          <w:lang w:eastAsia="ar-SA"/>
        </w:rPr>
        <w:t>metapopulācija</w:t>
      </w:r>
      <w:proofErr w:type="spellEnd"/>
      <w:r w:rsidRPr="00A07F29">
        <w:rPr>
          <w:rFonts w:ascii="Times New Roman" w:eastAsia="Calibri" w:hAnsi="Times New Roman" w:cs="Times New Roman"/>
          <w:color w:val="000000"/>
          <w:sz w:val="24"/>
          <w:szCs w:val="20"/>
          <w:lang w:eastAsia="ar-SA"/>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9072CE" w:rsidRPr="00A07F29" w14:paraId="1453651B" w14:textId="77777777" w:rsidTr="63C42FA1">
        <w:tc>
          <w:tcPr>
            <w:tcW w:w="4676" w:type="dxa"/>
          </w:tcPr>
          <w:p w14:paraId="64818AA6" w14:textId="023D2B23" w:rsidR="009072CE" w:rsidRPr="00A07F29" w:rsidRDefault="009072CE" w:rsidP="009072CE">
            <w:pPr>
              <w:suppressAutoHyphens/>
              <w:rPr>
                <w:color w:val="000000"/>
                <w:szCs w:val="20"/>
                <w:lang w:eastAsia="ar-SA"/>
              </w:rPr>
            </w:pPr>
            <w:r w:rsidRPr="00A07F29">
              <w:rPr>
                <w:noProof/>
                <w:lang w:eastAsia="lv-LV"/>
              </w:rPr>
              <w:drawing>
                <wp:inline distT="0" distB="0" distL="0" distR="0" wp14:anchorId="44F14B39" wp14:editId="2D7D5A9C">
                  <wp:extent cx="2941319" cy="1960880"/>
                  <wp:effectExtent l="0" t="0" r="0" b="1270"/>
                  <wp:docPr id="918145581" name="Picture 25" descr="Z:\Family\Uldis\Uldis\Dabas_eksperts\IADT_ekspertizes\Augsdaugava\Foto\Smiltājsiseņa atradne\IMG_28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pic:nvPicPr>
                        <pic:blipFill>
                          <a:blip r:embed="rId80">
                            <a:extLst>
                              <a:ext uri="{28A0092B-C50C-407E-A947-70E740481C1C}">
                                <a14:useLocalDpi xmlns:a14="http://schemas.microsoft.com/office/drawing/2010/main"/>
                              </a:ext>
                            </a:extLst>
                          </a:blip>
                          <a:stretch>
                            <a:fillRect/>
                          </a:stretch>
                        </pic:blipFill>
                        <pic:spPr>
                          <a:xfrm>
                            <a:off x="0" y="0"/>
                            <a:ext cx="2941319" cy="1960880"/>
                          </a:xfrm>
                          <a:prstGeom prst="rect">
                            <a:avLst/>
                          </a:prstGeom>
                        </pic:spPr>
                      </pic:pic>
                    </a:graphicData>
                  </a:graphic>
                </wp:inline>
              </w:drawing>
            </w:r>
          </w:p>
        </w:tc>
        <w:tc>
          <w:tcPr>
            <w:tcW w:w="4677" w:type="dxa"/>
          </w:tcPr>
          <w:p w14:paraId="58B0DE77" w14:textId="4B797C18" w:rsidR="009072CE" w:rsidRPr="00A07F29" w:rsidRDefault="009072CE" w:rsidP="009072CE">
            <w:pPr>
              <w:suppressAutoHyphens/>
              <w:rPr>
                <w:color w:val="000000"/>
                <w:szCs w:val="20"/>
                <w:lang w:eastAsia="ar-SA"/>
              </w:rPr>
            </w:pPr>
            <w:r w:rsidRPr="00A07F29">
              <w:rPr>
                <w:noProof/>
                <w:lang w:eastAsia="lv-LV"/>
              </w:rPr>
              <w:drawing>
                <wp:inline distT="0" distB="0" distL="0" distR="0" wp14:anchorId="5A8EF826" wp14:editId="20E1A5D5">
                  <wp:extent cx="2941320" cy="1960880"/>
                  <wp:effectExtent l="0" t="0" r="0" b="1270"/>
                  <wp:docPr id="918145582" name="Picture 26" descr="Z:\Family\Uldis\Uldis\Dabas_eksperts\IADT_ekspertizes\Augsdaugava\Foto\Degums pie Kaupisķu karjera\IMG_28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81">
                            <a:extLst>
                              <a:ext uri="{28A0092B-C50C-407E-A947-70E740481C1C}">
                                <a14:useLocalDpi xmlns:a14="http://schemas.microsoft.com/office/drawing/2010/main"/>
                              </a:ext>
                            </a:extLst>
                          </a:blip>
                          <a:stretch>
                            <a:fillRect/>
                          </a:stretch>
                        </pic:blipFill>
                        <pic:spPr>
                          <a:xfrm>
                            <a:off x="0" y="0"/>
                            <a:ext cx="2941320" cy="1960880"/>
                          </a:xfrm>
                          <a:prstGeom prst="rect">
                            <a:avLst/>
                          </a:prstGeom>
                        </pic:spPr>
                      </pic:pic>
                    </a:graphicData>
                  </a:graphic>
                </wp:inline>
              </w:drawing>
            </w:r>
          </w:p>
        </w:tc>
      </w:tr>
      <w:tr w:rsidR="009072CE" w:rsidRPr="00A07F29" w14:paraId="0DE50059" w14:textId="77777777" w:rsidTr="63C42FA1">
        <w:tc>
          <w:tcPr>
            <w:tcW w:w="4676" w:type="dxa"/>
          </w:tcPr>
          <w:p w14:paraId="5E5A8989" w14:textId="4EAE235A" w:rsidR="009072CE" w:rsidRPr="004D22BF" w:rsidRDefault="009072CE" w:rsidP="001613C8">
            <w:pPr>
              <w:suppressAutoHyphens/>
              <w:rPr>
                <w:rFonts w:ascii="Times New Roman" w:hAnsi="Times New Roman" w:cs="Times New Roman"/>
                <w:bCs/>
                <w:color w:val="000000"/>
                <w:sz w:val="20"/>
                <w:szCs w:val="20"/>
                <w:lang w:eastAsia="ar-SA"/>
              </w:rPr>
            </w:pPr>
            <w:r w:rsidRPr="004D22BF">
              <w:rPr>
                <w:rFonts w:ascii="Times New Roman" w:eastAsia="Calibri" w:hAnsi="Times New Roman" w:cs="Times New Roman"/>
                <w:bCs/>
                <w:color w:val="000000"/>
                <w:sz w:val="20"/>
                <w:szCs w:val="20"/>
                <w:lang w:eastAsia="ar-SA"/>
              </w:rPr>
              <w:t>4.</w:t>
            </w:r>
            <w:r w:rsidR="001613C8" w:rsidRPr="004D22BF">
              <w:rPr>
                <w:rFonts w:ascii="Times New Roman" w:eastAsia="Calibri" w:hAnsi="Times New Roman" w:cs="Times New Roman"/>
                <w:bCs/>
                <w:color w:val="000000"/>
                <w:sz w:val="20"/>
                <w:szCs w:val="20"/>
                <w:lang w:eastAsia="ar-SA"/>
              </w:rPr>
              <w:t>7</w:t>
            </w:r>
            <w:r w:rsidRPr="004D22BF">
              <w:rPr>
                <w:rFonts w:ascii="Times New Roman" w:eastAsia="Calibri" w:hAnsi="Times New Roman" w:cs="Times New Roman"/>
                <w:bCs/>
                <w:color w:val="000000"/>
                <w:sz w:val="20"/>
                <w:szCs w:val="20"/>
                <w:lang w:eastAsia="ar-SA"/>
              </w:rPr>
              <w:t>.1.</w:t>
            </w:r>
            <w:r w:rsidR="001613C8" w:rsidRPr="004D22BF">
              <w:rPr>
                <w:rFonts w:ascii="Times New Roman" w:hAnsi="Times New Roman" w:cs="Times New Roman"/>
                <w:bCs/>
                <w:color w:val="000000"/>
                <w:sz w:val="20"/>
                <w:szCs w:val="20"/>
                <w:lang w:eastAsia="ar-SA"/>
              </w:rPr>
              <w:t>13</w:t>
            </w:r>
            <w:r w:rsidRPr="004D22BF">
              <w:rPr>
                <w:rFonts w:ascii="Times New Roman" w:hAnsi="Times New Roman" w:cs="Times New Roman"/>
                <w:bCs/>
                <w:color w:val="000000"/>
                <w:sz w:val="20"/>
                <w:szCs w:val="20"/>
                <w:lang w:eastAsia="ar-SA"/>
              </w:rPr>
              <w:t>.</w:t>
            </w:r>
            <w:r w:rsidR="004D22BF" w:rsidRPr="004D22BF">
              <w:rPr>
                <w:rFonts w:ascii="Times New Roman" w:hAnsi="Times New Roman" w:cs="Times New Roman"/>
                <w:bCs/>
                <w:color w:val="000000"/>
                <w:sz w:val="20"/>
                <w:szCs w:val="20"/>
                <w:lang w:eastAsia="ar-SA"/>
              </w:rPr>
              <w:t> </w:t>
            </w:r>
            <w:r w:rsidRPr="004D22BF">
              <w:rPr>
                <w:rFonts w:ascii="Times New Roman" w:hAnsi="Times New Roman" w:cs="Times New Roman"/>
                <w:bCs/>
                <w:color w:val="000000"/>
                <w:sz w:val="20"/>
                <w:szCs w:val="20"/>
                <w:lang w:eastAsia="ar-SA"/>
              </w:rPr>
              <w:t xml:space="preserve">attēls. </w:t>
            </w:r>
            <w:proofErr w:type="spellStart"/>
            <w:r w:rsidRPr="004D22BF">
              <w:rPr>
                <w:rFonts w:ascii="Times New Roman" w:hAnsi="Times New Roman" w:cs="Times New Roman"/>
                <w:bCs/>
                <w:color w:val="000000"/>
                <w:sz w:val="20"/>
                <w:szCs w:val="20"/>
                <w:lang w:eastAsia="ar-SA"/>
              </w:rPr>
              <w:t>Smiltājsiseņa</w:t>
            </w:r>
            <w:proofErr w:type="spellEnd"/>
            <w:r w:rsidRPr="004D22BF">
              <w:rPr>
                <w:rFonts w:ascii="Times New Roman" w:hAnsi="Times New Roman" w:cs="Times New Roman"/>
                <w:bCs/>
                <w:color w:val="000000"/>
                <w:sz w:val="20"/>
                <w:szCs w:val="20"/>
                <w:lang w:eastAsia="ar-SA"/>
              </w:rPr>
              <w:t xml:space="preserve"> un </w:t>
            </w:r>
            <w:proofErr w:type="spellStart"/>
            <w:r w:rsidRPr="004D22BF">
              <w:rPr>
                <w:rFonts w:ascii="Times New Roman" w:hAnsi="Times New Roman" w:cs="Times New Roman"/>
                <w:bCs/>
                <w:color w:val="000000"/>
                <w:sz w:val="20"/>
                <w:szCs w:val="20"/>
                <w:lang w:eastAsia="ar-SA"/>
              </w:rPr>
              <w:t>garlūpas</w:t>
            </w:r>
            <w:proofErr w:type="spellEnd"/>
            <w:r w:rsidRPr="004D22BF">
              <w:rPr>
                <w:rFonts w:ascii="Times New Roman" w:hAnsi="Times New Roman" w:cs="Times New Roman"/>
                <w:bCs/>
                <w:color w:val="000000"/>
                <w:sz w:val="20"/>
                <w:szCs w:val="20"/>
                <w:lang w:eastAsia="ar-SA"/>
              </w:rPr>
              <w:t xml:space="preserve"> </w:t>
            </w:r>
            <w:proofErr w:type="spellStart"/>
            <w:r w:rsidRPr="004D22BF">
              <w:rPr>
                <w:rFonts w:ascii="Times New Roman" w:hAnsi="Times New Roman" w:cs="Times New Roman"/>
                <w:bCs/>
                <w:color w:val="000000"/>
                <w:sz w:val="20"/>
                <w:szCs w:val="20"/>
                <w:lang w:eastAsia="ar-SA"/>
              </w:rPr>
              <w:t>racējlapsenes</w:t>
            </w:r>
            <w:proofErr w:type="spellEnd"/>
            <w:r w:rsidRPr="004D22BF">
              <w:rPr>
                <w:rFonts w:ascii="Times New Roman" w:hAnsi="Times New Roman" w:cs="Times New Roman"/>
                <w:bCs/>
                <w:color w:val="000000"/>
                <w:sz w:val="20"/>
                <w:szCs w:val="20"/>
                <w:lang w:eastAsia="ar-SA"/>
              </w:rPr>
              <w:t xml:space="preserve"> sastopamībai potenciāli piemērota dzīvotne pamestā karjerā pie </w:t>
            </w:r>
            <w:proofErr w:type="spellStart"/>
            <w:r w:rsidRPr="004D22BF">
              <w:rPr>
                <w:rFonts w:ascii="Times New Roman" w:hAnsi="Times New Roman" w:cs="Times New Roman"/>
                <w:bCs/>
                <w:color w:val="000000"/>
                <w:sz w:val="20"/>
                <w:szCs w:val="20"/>
                <w:lang w:eastAsia="ar-SA"/>
              </w:rPr>
              <w:t>Elernes</w:t>
            </w:r>
            <w:proofErr w:type="spellEnd"/>
            <w:r w:rsidRPr="004D22BF">
              <w:rPr>
                <w:rFonts w:ascii="Times New Roman" w:hAnsi="Times New Roman" w:cs="Times New Roman"/>
                <w:bCs/>
                <w:color w:val="000000"/>
                <w:sz w:val="20"/>
                <w:szCs w:val="20"/>
                <w:lang w:eastAsia="ar-SA"/>
              </w:rPr>
              <w:t xml:space="preserve"> (Foto: U.</w:t>
            </w:r>
            <w:r w:rsidR="004D22BF" w:rsidRPr="004D22BF">
              <w:rPr>
                <w:rFonts w:ascii="Times New Roman" w:hAnsi="Times New Roman" w:cs="Times New Roman"/>
                <w:bCs/>
                <w:color w:val="000000"/>
                <w:sz w:val="20"/>
                <w:szCs w:val="20"/>
                <w:lang w:eastAsia="ar-SA"/>
              </w:rPr>
              <w:t> </w:t>
            </w:r>
            <w:r w:rsidRPr="004D22BF">
              <w:rPr>
                <w:rFonts w:ascii="Times New Roman" w:hAnsi="Times New Roman" w:cs="Times New Roman"/>
                <w:bCs/>
                <w:color w:val="000000"/>
                <w:sz w:val="20"/>
                <w:szCs w:val="20"/>
                <w:lang w:eastAsia="ar-SA"/>
              </w:rPr>
              <w:t>Valainis)</w:t>
            </w:r>
          </w:p>
        </w:tc>
        <w:tc>
          <w:tcPr>
            <w:tcW w:w="4677" w:type="dxa"/>
          </w:tcPr>
          <w:p w14:paraId="525B269C" w14:textId="68CB8A23" w:rsidR="009072CE" w:rsidRPr="004D22BF" w:rsidRDefault="009072CE" w:rsidP="001613C8">
            <w:pPr>
              <w:suppressAutoHyphens/>
              <w:rPr>
                <w:rFonts w:ascii="Times New Roman" w:hAnsi="Times New Roman" w:cs="Times New Roman"/>
                <w:bCs/>
                <w:color w:val="000000"/>
                <w:sz w:val="20"/>
                <w:szCs w:val="20"/>
                <w:lang w:eastAsia="ar-SA"/>
              </w:rPr>
            </w:pPr>
            <w:r w:rsidRPr="004D22BF">
              <w:rPr>
                <w:rFonts w:ascii="Times New Roman" w:eastAsia="Calibri" w:hAnsi="Times New Roman" w:cs="Times New Roman"/>
                <w:bCs/>
                <w:color w:val="000000"/>
                <w:sz w:val="20"/>
                <w:szCs w:val="20"/>
                <w:lang w:eastAsia="ar-SA"/>
              </w:rPr>
              <w:t>4.</w:t>
            </w:r>
            <w:r w:rsidR="00FA2611">
              <w:rPr>
                <w:rFonts w:ascii="Times New Roman" w:eastAsia="Calibri" w:hAnsi="Times New Roman" w:cs="Times New Roman"/>
                <w:bCs/>
                <w:color w:val="000000"/>
                <w:sz w:val="20"/>
                <w:szCs w:val="20"/>
                <w:lang w:eastAsia="ar-SA"/>
              </w:rPr>
              <w:t>7</w:t>
            </w:r>
            <w:r w:rsidRPr="004D22BF">
              <w:rPr>
                <w:rFonts w:ascii="Times New Roman" w:eastAsia="Calibri" w:hAnsi="Times New Roman" w:cs="Times New Roman"/>
                <w:bCs/>
                <w:color w:val="000000"/>
                <w:sz w:val="20"/>
                <w:szCs w:val="20"/>
                <w:lang w:eastAsia="ar-SA"/>
              </w:rPr>
              <w:t>.1.</w:t>
            </w:r>
            <w:r w:rsidR="001613C8" w:rsidRPr="004D22BF">
              <w:rPr>
                <w:rFonts w:ascii="Times New Roman" w:hAnsi="Times New Roman" w:cs="Times New Roman"/>
                <w:bCs/>
                <w:color w:val="000000"/>
                <w:sz w:val="20"/>
                <w:szCs w:val="20"/>
                <w:lang w:eastAsia="ar-SA"/>
              </w:rPr>
              <w:t>14</w:t>
            </w:r>
            <w:r w:rsidRPr="004D22BF">
              <w:rPr>
                <w:rFonts w:ascii="Times New Roman" w:hAnsi="Times New Roman" w:cs="Times New Roman"/>
                <w:bCs/>
                <w:color w:val="000000"/>
                <w:sz w:val="20"/>
                <w:szCs w:val="20"/>
                <w:lang w:eastAsia="ar-SA"/>
              </w:rPr>
              <w:t>.</w:t>
            </w:r>
            <w:r w:rsidR="004D22BF" w:rsidRPr="004D22BF">
              <w:rPr>
                <w:rFonts w:ascii="Times New Roman" w:hAnsi="Times New Roman" w:cs="Times New Roman"/>
                <w:bCs/>
                <w:color w:val="000000"/>
                <w:sz w:val="20"/>
                <w:szCs w:val="20"/>
                <w:lang w:eastAsia="ar-SA"/>
              </w:rPr>
              <w:t> </w:t>
            </w:r>
            <w:r w:rsidRPr="004D22BF">
              <w:rPr>
                <w:rFonts w:ascii="Times New Roman" w:hAnsi="Times New Roman" w:cs="Times New Roman"/>
                <w:bCs/>
                <w:color w:val="000000"/>
                <w:sz w:val="20"/>
                <w:szCs w:val="20"/>
                <w:lang w:eastAsia="ar-SA"/>
              </w:rPr>
              <w:t xml:space="preserve">attēls. Degums pie </w:t>
            </w:r>
            <w:proofErr w:type="spellStart"/>
            <w:r w:rsidRPr="004D22BF">
              <w:rPr>
                <w:rFonts w:ascii="Times New Roman" w:hAnsi="Times New Roman" w:cs="Times New Roman"/>
                <w:bCs/>
                <w:color w:val="000000"/>
                <w:sz w:val="20"/>
                <w:szCs w:val="20"/>
                <w:lang w:eastAsia="ar-SA"/>
              </w:rPr>
              <w:t>Kaupišķu</w:t>
            </w:r>
            <w:proofErr w:type="spellEnd"/>
            <w:r w:rsidRPr="004D22BF">
              <w:rPr>
                <w:rFonts w:ascii="Times New Roman" w:hAnsi="Times New Roman" w:cs="Times New Roman"/>
                <w:bCs/>
                <w:color w:val="000000"/>
                <w:sz w:val="20"/>
                <w:szCs w:val="20"/>
                <w:lang w:eastAsia="ar-SA"/>
              </w:rPr>
              <w:t xml:space="preserve"> karjera (Foto: U.</w:t>
            </w:r>
            <w:r w:rsidR="004D22BF" w:rsidRPr="004D22BF">
              <w:rPr>
                <w:rFonts w:ascii="Times New Roman" w:hAnsi="Times New Roman" w:cs="Times New Roman"/>
                <w:bCs/>
                <w:color w:val="000000"/>
                <w:sz w:val="20"/>
                <w:szCs w:val="20"/>
                <w:lang w:eastAsia="ar-SA"/>
              </w:rPr>
              <w:t> </w:t>
            </w:r>
            <w:r w:rsidRPr="004D22BF">
              <w:rPr>
                <w:rFonts w:ascii="Times New Roman" w:hAnsi="Times New Roman" w:cs="Times New Roman"/>
                <w:bCs/>
                <w:color w:val="000000"/>
                <w:sz w:val="20"/>
                <w:szCs w:val="20"/>
                <w:lang w:eastAsia="ar-SA"/>
              </w:rPr>
              <w:t>Valainis)</w:t>
            </w:r>
          </w:p>
        </w:tc>
      </w:tr>
    </w:tbl>
    <w:p w14:paraId="254B095C" w14:textId="77777777" w:rsidR="009072CE" w:rsidRPr="00A07F29" w:rsidRDefault="009072CE" w:rsidP="009072CE">
      <w:pPr>
        <w:autoSpaceDE w:val="0"/>
        <w:autoSpaceDN w:val="0"/>
        <w:adjustRightInd w:val="0"/>
        <w:spacing w:after="0" w:line="240" w:lineRule="auto"/>
        <w:jc w:val="both"/>
        <w:rPr>
          <w:rFonts w:ascii="Times New Roman" w:eastAsia="Calibri" w:hAnsi="Times New Roman" w:cs="Times New Roman"/>
          <w:b/>
          <w:color w:val="000000"/>
          <w:sz w:val="24"/>
          <w:szCs w:val="24"/>
          <w:lang w:eastAsia="ar-SA"/>
        </w:rPr>
      </w:pPr>
    </w:p>
    <w:p w14:paraId="4AB2DCA6" w14:textId="4D4F60DB" w:rsidR="009072CE" w:rsidRPr="00A07F29" w:rsidRDefault="001613C8" w:rsidP="004C36A7">
      <w:pPr>
        <w:autoSpaceDE w:val="0"/>
        <w:autoSpaceDN w:val="0"/>
        <w:adjustRightInd w:val="0"/>
        <w:spacing w:after="120" w:line="240" w:lineRule="auto"/>
        <w:ind w:firstLine="851"/>
        <w:jc w:val="both"/>
        <w:rPr>
          <w:rFonts w:ascii="Times New Roman" w:eastAsia="Calibri" w:hAnsi="Times New Roman" w:cs="Times New Roman"/>
          <w:color w:val="000000"/>
          <w:sz w:val="24"/>
          <w:szCs w:val="24"/>
          <w:lang w:eastAsia="ar-SA"/>
        </w:rPr>
      </w:pPr>
      <w:proofErr w:type="spellStart"/>
      <w:r w:rsidRPr="00A07F29">
        <w:rPr>
          <w:rFonts w:ascii="Times New Roman" w:eastAsia="Calibri" w:hAnsi="Times New Roman" w:cs="Times New Roman"/>
          <w:b/>
          <w:color w:val="000000"/>
          <w:sz w:val="24"/>
          <w:szCs w:val="20"/>
          <w:lang w:eastAsia="ar-SA"/>
        </w:rPr>
        <w:t>P</w:t>
      </w:r>
      <w:r w:rsidRPr="00A07F29">
        <w:rPr>
          <w:rFonts w:ascii="Times New Roman" w:eastAsia="Calibri" w:hAnsi="Times New Roman" w:cs="Times New Roman"/>
          <w:b/>
          <w:color w:val="000000"/>
          <w:sz w:val="24"/>
          <w:szCs w:val="24"/>
          <w:lang w:eastAsia="ar-SA"/>
        </w:rPr>
        <w:t>arkšķis</w:t>
      </w:r>
      <w:proofErr w:type="spellEnd"/>
      <w:r w:rsidRPr="00A07F29">
        <w:rPr>
          <w:rFonts w:ascii="Times New Roman" w:eastAsia="Calibri" w:hAnsi="Times New Roman" w:cs="Times New Roman"/>
          <w:b/>
          <w:color w:val="000000"/>
          <w:sz w:val="24"/>
          <w:szCs w:val="24"/>
          <w:lang w:eastAsia="ar-SA"/>
        </w:rPr>
        <w:t xml:space="preserve"> </w:t>
      </w:r>
      <w:proofErr w:type="spellStart"/>
      <w:r w:rsidRPr="00A07F29">
        <w:rPr>
          <w:rFonts w:ascii="Times New Roman" w:eastAsia="Calibri" w:hAnsi="Times New Roman" w:cs="Times New Roman"/>
          <w:b/>
          <w:i/>
          <w:color w:val="000000"/>
          <w:sz w:val="24"/>
          <w:szCs w:val="24"/>
          <w:lang w:eastAsia="ar-SA"/>
        </w:rPr>
        <w:t>Psophus</w:t>
      </w:r>
      <w:proofErr w:type="spellEnd"/>
      <w:r w:rsidRPr="00A07F29">
        <w:rPr>
          <w:rFonts w:ascii="Times New Roman" w:eastAsia="Calibri" w:hAnsi="Times New Roman" w:cs="Times New Roman"/>
          <w:b/>
          <w:i/>
          <w:color w:val="000000"/>
          <w:sz w:val="24"/>
          <w:szCs w:val="24"/>
          <w:lang w:eastAsia="ar-SA"/>
        </w:rPr>
        <w:t xml:space="preserve"> </w:t>
      </w:r>
      <w:proofErr w:type="spellStart"/>
      <w:r w:rsidRPr="00A07F29">
        <w:rPr>
          <w:rFonts w:ascii="Times New Roman" w:eastAsia="Calibri" w:hAnsi="Times New Roman" w:cs="Times New Roman"/>
          <w:b/>
          <w:i/>
          <w:color w:val="000000"/>
          <w:sz w:val="24"/>
          <w:szCs w:val="24"/>
          <w:lang w:eastAsia="ar-SA"/>
        </w:rPr>
        <w:t>stridulus</w:t>
      </w:r>
      <w:proofErr w:type="spellEnd"/>
      <w:r w:rsidRPr="00A07F29">
        <w:rPr>
          <w:rFonts w:ascii="Times New Roman" w:eastAsia="Calibri" w:hAnsi="Times New Roman" w:cs="Times New Roman"/>
          <w:color w:val="000000"/>
          <w:sz w:val="24"/>
          <w:szCs w:val="20"/>
          <w:lang w:eastAsia="ar-SA"/>
        </w:rPr>
        <w:t xml:space="preserve"> </w:t>
      </w:r>
      <w:r w:rsidR="009072CE" w:rsidRPr="00A07F29">
        <w:rPr>
          <w:rFonts w:ascii="Times New Roman" w:eastAsia="Calibri" w:hAnsi="Times New Roman" w:cs="Times New Roman"/>
          <w:color w:val="000000"/>
          <w:sz w:val="24"/>
          <w:szCs w:val="20"/>
          <w:lang w:eastAsia="ar-SA"/>
        </w:rPr>
        <w:t xml:space="preserve">ir Latvijā samērā reti sastopama suga. Sugas biotops </w:t>
      </w:r>
      <w:r w:rsidRPr="00A07F29">
        <w:rPr>
          <w:rFonts w:ascii="Times New Roman" w:eastAsia="Calibri" w:hAnsi="Times New Roman" w:cs="Times New Roman"/>
          <w:color w:val="000000"/>
          <w:sz w:val="24"/>
          <w:szCs w:val="20"/>
          <w:lang w:eastAsia="ar-SA"/>
        </w:rPr>
        <w:t xml:space="preserve">ir </w:t>
      </w:r>
      <w:r w:rsidR="009072CE" w:rsidRPr="00A07F29">
        <w:rPr>
          <w:rFonts w:ascii="Times New Roman" w:eastAsia="Calibri" w:hAnsi="Times New Roman" w:cs="Times New Roman"/>
          <w:color w:val="000000"/>
          <w:sz w:val="24"/>
          <w:szCs w:val="20"/>
          <w:lang w:eastAsia="ar-SA"/>
        </w:rPr>
        <w:t xml:space="preserve">sausas pļavas, smiltāji un virsāji ar zemu un retu veģetāciju, izplatīts samērā maz un neregulāri, īpaši lielākās vienlaidus platībās. </w:t>
      </w:r>
      <w:r w:rsidR="004C36A7" w:rsidRPr="00A07F29">
        <w:rPr>
          <w:rFonts w:ascii="Times New Roman" w:eastAsia="Calibri" w:hAnsi="Times New Roman" w:cs="Times New Roman"/>
          <w:color w:val="000000"/>
          <w:sz w:val="24"/>
          <w:szCs w:val="20"/>
          <w:lang w:eastAsia="ar-SA"/>
        </w:rPr>
        <w:t xml:space="preserve">AAA “Augšdaugava” </w:t>
      </w:r>
      <w:r w:rsidR="009072CE" w:rsidRPr="00A07F29">
        <w:rPr>
          <w:rFonts w:ascii="Times New Roman" w:eastAsia="Calibri" w:hAnsi="Times New Roman" w:cs="Times New Roman"/>
          <w:color w:val="000000"/>
          <w:sz w:val="24"/>
          <w:szCs w:val="20"/>
          <w:lang w:eastAsia="ar-SA"/>
        </w:rPr>
        <w:t xml:space="preserve">ir viena zināma atradne sausā zālājā starp Tartaka meža masīvu un Daugavas upi. </w:t>
      </w:r>
    </w:p>
    <w:p w14:paraId="4AC7980F" w14:textId="05BB13FC" w:rsidR="009072CE" w:rsidRPr="00A07F29" w:rsidRDefault="004C36A7" w:rsidP="004C36A7">
      <w:pPr>
        <w:autoSpaceDE w:val="0"/>
        <w:autoSpaceDN w:val="0"/>
        <w:adjustRightInd w:val="0"/>
        <w:spacing w:after="120" w:line="240" w:lineRule="auto"/>
        <w:ind w:firstLine="851"/>
        <w:jc w:val="both"/>
        <w:rPr>
          <w:rFonts w:ascii="Times New Roman" w:eastAsia="Calibri" w:hAnsi="Times New Roman" w:cs="Times New Roman"/>
          <w:color w:val="000000"/>
          <w:sz w:val="24"/>
          <w:szCs w:val="20"/>
          <w:lang w:eastAsia="ar-SA"/>
        </w:rPr>
      </w:pPr>
      <w:r w:rsidRPr="00A07F29">
        <w:rPr>
          <w:rFonts w:ascii="Times New Roman" w:eastAsia="Calibri" w:hAnsi="Times New Roman" w:cs="Times New Roman"/>
          <w:color w:val="000000"/>
          <w:sz w:val="24"/>
          <w:szCs w:val="20"/>
          <w:lang w:eastAsia="ar-SA"/>
        </w:rPr>
        <w:t>AAA “Augšdaugava”</w:t>
      </w:r>
      <w:r w:rsidR="009072CE" w:rsidRPr="00A07F29">
        <w:rPr>
          <w:rFonts w:ascii="Times New Roman" w:eastAsia="Calibri" w:hAnsi="Times New Roman" w:cs="Times New Roman"/>
          <w:color w:val="000000"/>
          <w:sz w:val="24"/>
          <w:szCs w:val="20"/>
          <w:lang w:eastAsia="ar-SA"/>
        </w:rPr>
        <w:t xml:space="preserve"> ir reģistrētas arī </w:t>
      </w:r>
      <w:r w:rsidR="00FA2611">
        <w:rPr>
          <w:rFonts w:ascii="Times New Roman" w:eastAsia="Calibri" w:hAnsi="Times New Roman" w:cs="Times New Roman"/>
          <w:color w:val="000000"/>
          <w:sz w:val="24"/>
          <w:szCs w:val="20"/>
          <w:lang w:eastAsia="ar-SA"/>
        </w:rPr>
        <w:t>trīs</w:t>
      </w:r>
      <w:r w:rsidR="009072CE" w:rsidRPr="00A07F29">
        <w:rPr>
          <w:rFonts w:ascii="Times New Roman" w:eastAsia="Calibri" w:hAnsi="Times New Roman" w:cs="Times New Roman"/>
          <w:color w:val="000000"/>
          <w:sz w:val="24"/>
          <w:szCs w:val="20"/>
          <w:lang w:eastAsia="ar-SA"/>
        </w:rPr>
        <w:t xml:space="preserve"> plēvspārņu sugas ar dabas aizsardzības nozīmi. </w:t>
      </w:r>
      <w:proofErr w:type="spellStart"/>
      <w:r w:rsidR="009072CE" w:rsidRPr="00A07F29">
        <w:rPr>
          <w:rFonts w:ascii="Times New Roman" w:eastAsia="Calibri" w:hAnsi="Times New Roman" w:cs="Times New Roman"/>
          <w:b/>
          <w:color w:val="000000"/>
          <w:sz w:val="24"/>
          <w:szCs w:val="20"/>
          <w:lang w:eastAsia="ar-SA"/>
        </w:rPr>
        <w:t>Garlūpas</w:t>
      </w:r>
      <w:proofErr w:type="spellEnd"/>
      <w:r w:rsidR="009072CE" w:rsidRPr="00A07F29">
        <w:rPr>
          <w:rFonts w:ascii="Times New Roman" w:eastAsia="Calibri" w:hAnsi="Times New Roman" w:cs="Times New Roman"/>
          <w:b/>
          <w:color w:val="000000"/>
          <w:sz w:val="24"/>
          <w:szCs w:val="20"/>
          <w:lang w:eastAsia="ar-SA"/>
        </w:rPr>
        <w:t xml:space="preserve"> </w:t>
      </w:r>
      <w:proofErr w:type="spellStart"/>
      <w:r w:rsidR="009072CE" w:rsidRPr="00A07F29">
        <w:rPr>
          <w:rFonts w:ascii="Times New Roman" w:eastAsia="Calibri" w:hAnsi="Times New Roman" w:cs="Times New Roman"/>
          <w:b/>
          <w:color w:val="000000"/>
          <w:sz w:val="24"/>
          <w:szCs w:val="20"/>
          <w:lang w:eastAsia="ar-SA"/>
        </w:rPr>
        <w:t>racējlapsene</w:t>
      </w:r>
      <w:proofErr w:type="spellEnd"/>
      <w:r w:rsidR="009072CE" w:rsidRPr="00A07F29">
        <w:rPr>
          <w:rFonts w:ascii="Times New Roman" w:eastAsia="Calibri" w:hAnsi="Times New Roman" w:cs="Times New Roman"/>
          <w:b/>
          <w:color w:val="000000"/>
          <w:sz w:val="24"/>
          <w:szCs w:val="20"/>
          <w:lang w:eastAsia="ar-SA"/>
        </w:rPr>
        <w:t xml:space="preserve"> </w:t>
      </w:r>
      <w:proofErr w:type="spellStart"/>
      <w:r w:rsidR="009072CE" w:rsidRPr="00A07F29">
        <w:rPr>
          <w:rFonts w:ascii="Times New Roman" w:eastAsia="Calibri" w:hAnsi="Times New Roman" w:cs="Times New Roman"/>
          <w:b/>
          <w:i/>
          <w:iCs/>
          <w:color w:val="000000"/>
          <w:sz w:val="24"/>
          <w:szCs w:val="20"/>
          <w:lang w:eastAsia="ar-SA"/>
        </w:rPr>
        <w:t>Bembix</w:t>
      </w:r>
      <w:proofErr w:type="spellEnd"/>
      <w:r w:rsidR="009072CE" w:rsidRPr="00A07F29">
        <w:rPr>
          <w:rFonts w:ascii="Times New Roman" w:eastAsia="Calibri" w:hAnsi="Times New Roman" w:cs="Times New Roman"/>
          <w:b/>
          <w:i/>
          <w:iCs/>
          <w:color w:val="000000"/>
          <w:sz w:val="24"/>
          <w:szCs w:val="20"/>
          <w:lang w:eastAsia="ar-SA"/>
        </w:rPr>
        <w:t xml:space="preserve"> </w:t>
      </w:r>
      <w:proofErr w:type="spellStart"/>
      <w:r w:rsidR="009072CE" w:rsidRPr="00A07F29">
        <w:rPr>
          <w:rFonts w:ascii="Times New Roman" w:eastAsia="Calibri" w:hAnsi="Times New Roman" w:cs="Times New Roman"/>
          <w:b/>
          <w:i/>
          <w:iCs/>
          <w:color w:val="000000"/>
          <w:sz w:val="24"/>
          <w:szCs w:val="20"/>
          <w:lang w:eastAsia="ar-SA"/>
        </w:rPr>
        <w:t>rostrata</w:t>
      </w:r>
      <w:proofErr w:type="spellEnd"/>
      <w:r w:rsidR="009072CE" w:rsidRPr="00A07F29">
        <w:rPr>
          <w:rFonts w:ascii="Times New Roman" w:eastAsia="Calibri" w:hAnsi="Times New Roman" w:cs="Times New Roman"/>
          <w:color w:val="000000"/>
          <w:sz w:val="24"/>
          <w:szCs w:val="20"/>
          <w:lang w:eastAsia="ar-SA"/>
        </w:rPr>
        <w:t xml:space="preserve"> ir Latvijā samērā reti sastopama suga. Sugas biotops – sausas pļavas, smiltāji un virsāji ar zemu un retu veģetāciju, izplatīts samērā maz un neregulāri, īpaši lielākās vienlaidus platībās. </w:t>
      </w:r>
      <w:r w:rsidRPr="00A07F29">
        <w:rPr>
          <w:rFonts w:ascii="Times New Roman" w:eastAsia="Calibri" w:hAnsi="Times New Roman" w:cs="Times New Roman"/>
          <w:color w:val="000000"/>
          <w:sz w:val="24"/>
          <w:szCs w:val="20"/>
          <w:lang w:eastAsia="ar-SA"/>
        </w:rPr>
        <w:t>AAA “</w:t>
      </w:r>
      <w:proofErr w:type="spellStart"/>
      <w:r w:rsidRPr="00A07F29">
        <w:rPr>
          <w:rFonts w:ascii="Times New Roman" w:eastAsia="Calibri" w:hAnsi="Times New Roman" w:cs="Times New Roman"/>
          <w:color w:val="000000"/>
          <w:sz w:val="24"/>
          <w:szCs w:val="20"/>
          <w:lang w:eastAsia="ar-SA"/>
        </w:rPr>
        <w:t>Augšdaugava”</w:t>
      </w:r>
      <w:r w:rsidR="009072CE" w:rsidRPr="00A07F29">
        <w:rPr>
          <w:rFonts w:ascii="Times New Roman" w:eastAsia="Calibri" w:hAnsi="Times New Roman" w:cs="Times New Roman"/>
          <w:color w:val="000000"/>
          <w:sz w:val="24"/>
          <w:szCs w:val="20"/>
          <w:lang w:eastAsia="ar-SA"/>
        </w:rPr>
        <w:t>suga</w:t>
      </w:r>
      <w:proofErr w:type="spellEnd"/>
      <w:r w:rsidR="009072CE" w:rsidRPr="00A07F29">
        <w:rPr>
          <w:rFonts w:ascii="Times New Roman" w:eastAsia="Calibri" w:hAnsi="Times New Roman" w:cs="Times New Roman"/>
          <w:color w:val="000000"/>
          <w:sz w:val="24"/>
          <w:szCs w:val="20"/>
          <w:lang w:eastAsia="ar-SA"/>
        </w:rPr>
        <w:t xml:space="preserve"> pamatā sastopama aktīvo un pamesto karjeru teritorijās. </w:t>
      </w:r>
      <w:r w:rsidR="009072CE" w:rsidRPr="00A07F29">
        <w:rPr>
          <w:rFonts w:ascii="Times New Roman" w:eastAsia="Calibri" w:hAnsi="Times New Roman" w:cs="Times New Roman"/>
          <w:b/>
          <w:color w:val="000000"/>
          <w:sz w:val="24"/>
          <w:szCs w:val="20"/>
          <w:lang w:eastAsia="ar-SA"/>
        </w:rPr>
        <w:t xml:space="preserve">Spožā skudra </w:t>
      </w:r>
      <w:proofErr w:type="spellStart"/>
      <w:r w:rsidR="009072CE" w:rsidRPr="00A07F29">
        <w:rPr>
          <w:rFonts w:ascii="Times New Roman" w:eastAsia="Calibri" w:hAnsi="Times New Roman" w:cs="Times New Roman"/>
          <w:b/>
          <w:i/>
          <w:iCs/>
          <w:color w:val="000000"/>
          <w:sz w:val="24"/>
          <w:szCs w:val="20"/>
          <w:lang w:eastAsia="ar-SA"/>
        </w:rPr>
        <w:t>Lasius</w:t>
      </w:r>
      <w:proofErr w:type="spellEnd"/>
      <w:r w:rsidR="009072CE" w:rsidRPr="00A07F29">
        <w:rPr>
          <w:rFonts w:ascii="Times New Roman" w:eastAsia="Calibri" w:hAnsi="Times New Roman" w:cs="Times New Roman"/>
          <w:b/>
          <w:i/>
          <w:iCs/>
          <w:color w:val="000000"/>
          <w:sz w:val="24"/>
          <w:szCs w:val="20"/>
          <w:lang w:eastAsia="ar-SA"/>
        </w:rPr>
        <w:t xml:space="preserve"> </w:t>
      </w:r>
      <w:proofErr w:type="spellStart"/>
      <w:r w:rsidR="009072CE" w:rsidRPr="00A07F29">
        <w:rPr>
          <w:rFonts w:ascii="Times New Roman" w:eastAsia="Calibri" w:hAnsi="Times New Roman" w:cs="Times New Roman"/>
          <w:b/>
          <w:i/>
          <w:iCs/>
          <w:color w:val="000000"/>
          <w:sz w:val="24"/>
          <w:szCs w:val="20"/>
          <w:lang w:eastAsia="ar-SA"/>
        </w:rPr>
        <w:t>fuliginosus</w:t>
      </w:r>
      <w:proofErr w:type="spellEnd"/>
      <w:r w:rsidR="009072CE" w:rsidRPr="00A07F29">
        <w:rPr>
          <w:rFonts w:ascii="Times New Roman" w:eastAsia="Calibri" w:hAnsi="Times New Roman" w:cs="Times New Roman"/>
          <w:color w:val="000000"/>
          <w:sz w:val="24"/>
          <w:szCs w:val="20"/>
          <w:lang w:eastAsia="ar-SA"/>
        </w:rPr>
        <w:t xml:space="preserve"> ir samērā plaši izplatīta Latvijas teritorijā. Tā ir sastopama gan dabiskās, gan antropogēnās ainavās, kur tā veido ligzdas vecu lapu koku dobumos. AAA “Augšdaugava” ir prognozējama sugas sastopamība visā teritorijā, gan meža biotopos, gan parkos alejās un </w:t>
      </w:r>
      <w:proofErr w:type="spellStart"/>
      <w:r w:rsidR="009072CE" w:rsidRPr="00A07F29">
        <w:rPr>
          <w:rFonts w:ascii="Times New Roman" w:eastAsia="Calibri" w:hAnsi="Times New Roman" w:cs="Times New Roman"/>
          <w:color w:val="000000"/>
          <w:sz w:val="24"/>
          <w:szCs w:val="20"/>
          <w:lang w:eastAsia="ar-SA"/>
        </w:rPr>
        <w:t>ruderālās</w:t>
      </w:r>
      <w:proofErr w:type="spellEnd"/>
      <w:r w:rsidR="009072CE" w:rsidRPr="00A07F29">
        <w:rPr>
          <w:rFonts w:ascii="Times New Roman" w:eastAsia="Calibri" w:hAnsi="Times New Roman" w:cs="Times New Roman"/>
          <w:color w:val="000000"/>
          <w:sz w:val="24"/>
          <w:szCs w:val="20"/>
          <w:lang w:eastAsia="ar-SA"/>
        </w:rPr>
        <w:t xml:space="preserve"> vietās. </w:t>
      </w:r>
      <w:r w:rsidRPr="00A07F29">
        <w:rPr>
          <w:rFonts w:ascii="Times New Roman" w:eastAsia="Calibri" w:hAnsi="Times New Roman" w:cs="Times New Roman"/>
          <w:color w:val="000000"/>
          <w:sz w:val="24"/>
          <w:szCs w:val="20"/>
          <w:lang w:eastAsia="ar-SA"/>
        </w:rPr>
        <w:t xml:space="preserve">AAA “Augšdaugava” tāpat kā citur Latvijā bieži sastopama arī </w:t>
      </w:r>
      <w:r w:rsidR="009072CE" w:rsidRPr="00A07F29">
        <w:rPr>
          <w:rFonts w:ascii="Times New Roman" w:eastAsia="Calibri" w:hAnsi="Times New Roman" w:cs="Times New Roman"/>
          <w:color w:val="000000"/>
          <w:sz w:val="24"/>
          <w:szCs w:val="20"/>
          <w:lang w:eastAsia="ar-SA"/>
        </w:rPr>
        <w:t>rūsganā meža skudra</w:t>
      </w:r>
      <w:r w:rsidR="009072CE" w:rsidRPr="00A07F29">
        <w:rPr>
          <w:rFonts w:ascii="Times New Roman" w:eastAsia="Calibri" w:hAnsi="Times New Roman" w:cs="Times New Roman"/>
          <w:color w:val="000000"/>
          <w:sz w:val="32"/>
          <w:szCs w:val="20"/>
          <w:lang w:eastAsia="ar-SA"/>
        </w:rPr>
        <w:t xml:space="preserve"> </w:t>
      </w:r>
      <w:proofErr w:type="spellStart"/>
      <w:r w:rsidR="009072CE" w:rsidRPr="00A07F29">
        <w:rPr>
          <w:rFonts w:ascii="Times New Roman" w:eastAsia="Calibri" w:hAnsi="Times New Roman" w:cs="Times New Roman"/>
          <w:i/>
          <w:iCs/>
          <w:color w:val="000000"/>
          <w:sz w:val="24"/>
          <w:szCs w:val="20"/>
          <w:lang w:eastAsia="ar-SA"/>
        </w:rPr>
        <w:t>Formica</w:t>
      </w:r>
      <w:proofErr w:type="spellEnd"/>
      <w:r w:rsidR="009072CE" w:rsidRPr="00A07F29">
        <w:rPr>
          <w:rFonts w:ascii="Times New Roman" w:eastAsia="Calibri" w:hAnsi="Times New Roman" w:cs="Times New Roman"/>
          <w:i/>
          <w:iCs/>
          <w:color w:val="000000"/>
          <w:sz w:val="24"/>
          <w:szCs w:val="20"/>
          <w:lang w:eastAsia="ar-SA"/>
        </w:rPr>
        <w:t xml:space="preserve"> </w:t>
      </w:r>
      <w:proofErr w:type="spellStart"/>
      <w:r w:rsidR="009072CE" w:rsidRPr="00A07F29">
        <w:rPr>
          <w:rFonts w:ascii="Times New Roman" w:eastAsia="Calibri" w:hAnsi="Times New Roman" w:cs="Times New Roman"/>
          <w:i/>
          <w:iCs/>
          <w:color w:val="000000"/>
          <w:sz w:val="24"/>
          <w:szCs w:val="20"/>
          <w:lang w:eastAsia="ar-SA"/>
        </w:rPr>
        <w:t>rufa</w:t>
      </w:r>
      <w:proofErr w:type="spellEnd"/>
      <w:r w:rsidR="009072CE" w:rsidRPr="00A07F29">
        <w:rPr>
          <w:rFonts w:ascii="Times New Roman" w:eastAsia="Calibri" w:hAnsi="Times New Roman" w:cs="Times New Roman"/>
          <w:color w:val="000000"/>
          <w:sz w:val="24"/>
          <w:szCs w:val="20"/>
          <w:lang w:eastAsia="ar-SA"/>
        </w:rPr>
        <w:t>.</w:t>
      </w:r>
    </w:p>
    <w:p w14:paraId="6621436D" w14:textId="2CF1F608" w:rsidR="009072CE" w:rsidRPr="00A07F29" w:rsidRDefault="009072CE" w:rsidP="004C36A7">
      <w:pPr>
        <w:autoSpaceDE w:val="0"/>
        <w:autoSpaceDN w:val="0"/>
        <w:adjustRightInd w:val="0"/>
        <w:spacing w:after="120" w:line="240" w:lineRule="auto"/>
        <w:ind w:firstLine="851"/>
        <w:jc w:val="both"/>
        <w:rPr>
          <w:rFonts w:ascii="Times New Roman" w:eastAsia="Calibri" w:hAnsi="Times New Roman" w:cs="Times New Roman"/>
          <w:color w:val="000000"/>
          <w:sz w:val="24"/>
          <w:szCs w:val="20"/>
          <w:lang w:eastAsia="ar-SA"/>
        </w:rPr>
      </w:pPr>
      <w:r w:rsidRPr="00A07F29">
        <w:rPr>
          <w:rFonts w:ascii="Times New Roman" w:eastAsia="Calibri" w:hAnsi="Times New Roman" w:cs="Times New Roman"/>
          <w:color w:val="000000"/>
          <w:sz w:val="24"/>
          <w:szCs w:val="20"/>
          <w:lang w:eastAsia="ar-SA"/>
        </w:rPr>
        <w:t xml:space="preserve">Ar teritorijā plaši izplatītām priežu </w:t>
      </w:r>
      <w:proofErr w:type="spellStart"/>
      <w:r w:rsidRPr="00A07F29">
        <w:rPr>
          <w:rFonts w:ascii="Times New Roman" w:eastAsia="Calibri" w:hAnsi="Times New Roman" w:cs="Times New Roman"/>
          <w:color w:val="000000"/>
          <w:sz w:val="24"/>
          <w:szCs w:val="20"/>
          <w:lang w:eastAsia="ar-SA"/>
        </w:rPr>
        <w:t>skrajaudzēm</w:t>
      </w:r>
      <w:proofErr w:type="spellEnd"/>
      <w:r w:rsidRPr="00A07F29">
        <w:rPr>
          <w:rFonts w:ascii="Times New Roman" w:eastAsia="Calibri" w:hAnsi="Times New Roman" w:cs="Times New Roman"/>
          <w:color w:val="000000"/>
          <w:sz w:val="24"/>
          <w:szCs w:val="20"/>
          <w:lang w:eastAsia="ar-SA"/>
        </w:rPr>
        <w:t xml:space="preserve"> ir saistītas vairākas divspārņu sugas, no tām būtiskākā suga ir dzeltenā </w:t>
      </w:r>
      <w:proofErr w:type="spellStart"/>
      <w:r w:rsidRPr="00A07F29">
        <w:rPr>
          <w:rFonts w:ascii="Times New Roman" w:eastAsia="Calibri" w:hAnsi="Times New Roman" w:cs="Times New Roman"/>
          <w:color w:val="000000"/>
          <w:sz w:val="24"/>
          <w:szCs w:val="20"/>
          <w:lang w:eastAsia="ar-SA"/>
        </w:rPr>
        <w:t>laupītājmuša</w:t>
      </w:r>
      <w:proofErr w:type="spellEnd"/>
      <w:r w:rsidRPr="00A07F29">
        <w:rPr>
          <w:rFonts w:ascii="Times New Roman" w:eastAsia="Calibri" w:hAnsi="Times New Roman" w:cs="Times New Roman"/>
          <w:color w:val="000000"/>
          <w:sz w:val="24"/>
          <w:szCs w:val="20"/>
          <w:lang w:eastAsia="ar-SA"/>
        </w:rPr>
        <w:t xml:space="preserve"> </w:t>
      </w:r>
      <w:proofErr w:type="spellStart"/>
      <w:r w:rsidRPr="00A07F29">
        <w:rPr>
          <w:rFonts w:ascii="Times New Roman" w:eastAsia="Calibri" w:hAnsi="Times New Roman" w:cs="Times New Roman"/>
          <w:i/>
          <w:iCs/>
          <w:color w:val="000000"/>
          <w:sz w:val="24"/>
          <w:szCs w:val="20"/>
          <w:lang w:eastAsia="ar-SA"/>
        </w:rPr>
        <w:t>Laphria</w:t>
      </w:r>
      <w:proofErr w:type="spellEnd"/>
      <w:r w:rsidRPr="00A07F29">
        <w:rPr>
          <w:rFonts w:ascii="Times New Roman" w:eastAsia="Calibri" w:hAnsi="Times New Roman" w:cs="Times New Roman"/>
          <w:i/>
          <w:iCs/>
          <w:color w:val="000000"/>
          <w:sz w:val="24"/>
          <w:szCs w:val="20"/>
          <w:lang w:eastAsia="ar-SA"/>
        </w:rPr>
        <w:t xml:space="preserve"> </w:t>
      </w:r>
      <w:proofErr w:type="spellStart"/>
      <w:r w:rsidRPr="00A07F29">
        <w:rPr>
          <w:rFonts w:ascii="Times New Roman" w:eastAsia="Calibri" w:hAnsi="Times New Roman" w:cs="Times New Roman"/>
          <w:i/>
          <w:iCs/>
          <w:color w:val="000000"/>
          <w:sz w:val="24"/>
          <w:szCs w:val="20"/>
          <w:lang w:eastAsia="ar-SA"/>
        </w:rPr>
        <w:t>flava</w:t>
      </w:r>
      <w:proofErr w:type="spellEnd"/>
      <w:r w:rsidRPr="00A07F29">
        <w:rPr>
          <w:rFonts w:ascii="Times New Roman" w:eastAsia="Calibri" w:hAnsi="Times New Roman" w:cs="Times New Roman"/>
          <w:color w:val="000000"/>
          <w:sz w:val="24"/>
          <w:szCs w:val="20"/>
          <w:lang w:eastAsia="ar-SA"/>
        </w:rPr>
        <w:t xml:space="preserve">, kas ir iekļauta </w:t>
      </w:r>
      <w:r w:rsidR="001613C8" w:rsidRPr="00A07F29">
        <w:rPr>
          <w:rFonts w:ascii="Times New Roman" w:eastAsia="Calibri" w:hAnsi="Times New Roman" w:cs="Times New Roman"/>
          <w:color w:val="000000"/>
          <w:sz w:val="24"/>
          <w:szCs w:val="20"/>
          <w:lang w:eastAsia="ar-SA"/>
        </w:rPr>
        <w:t xml:space="preserve">Latvijas Sarkanās grāmatas </w:t>
      </w:r>
      <w:r w:rsidRPr="00A07F29">
        <w:rPr>
          <w:rFonts w:ascii="Times New Roman" w:eastAsia="Calibri" w:hAnsi="Times New Roman" w:cs="Times New Roman"/>
          <w:color w:val="000000"/>
          <w:sz w:val="24"/>
          <w:szCs w:val="20"/>
          <w:lang w:eastAsia="ar-SA"/>
        </w:rPr>
        <w:t>4.</w:t>
      </w:r>
      <w:r w:rsidR="00FC65AD">
        <w:rPr>
          <w:rFonts w:ascii="Times New Roman" w:eastAsia="Calibri" w:hAnsi="Times New Roman" w:cs="Times New Roman"/>
          <w:color w:val="000000"/>
          <w:sz w:val="24"/>
          <w:szCs w:val="20"/>
          <w:lang w:eastAsia="ar-SA"/>
        </w:rPr>
        <w:t> </w:t>
      </w:r>
      <w:r w:rsidRPr="00A07F29">
        <w:rPr>
          <w:rFonts w:ascii="Times New Roman" w:eastAsia="Calibri" w:hAnsi="Times New Roman" w:cs="Times New Roman"/>
          <w:color w:val="000000"/>
          <w:sz w:val="24"/>
          <w:szCs w:val="20"/>
          <w:lang w:eastAsia="ar-SA"/>
        </w:rPr>
        <w:t>kategorijā.</w:t>
      </w:r>
    </w:p>
    <w:p w14:paraId="25248D7B" w14:textId="6761512A" w:rsidR="009072CE" w:rsidRPr="00A07F29" w:rsidRDefault="009072CE" w:rsidP="004C36A7">
      <w:pPr>
        <w:autoSpaceDE w:val="0"/>
        <w:autoSpaceDN w:val="0"/>
        <w:adjustRightInd w:val="0"/>
        <w:spacing w:after="120" w:line="240" w:lineRule="auto"/>
        <w:ind w:firstLine="851"/>
        <w:jc w:val="both"/>
        <w:rPr>
          <w:rFonts w:ascii="Times New Roman" w:eastAsia="Calibri" w:hAnsi="Times New Roman" w:cs="Times New Roman"/>
          <w:color w:val="000000"/>
          <w:sz w:val="24"/>
          <w:szCs w:val="20"/>
          <w:lang w:eastAsia="ar-SA"/>
        </w:rPr>
      </w:pPr>
      <w:r w:rsidRPr="00A07F29">
        <w:rPr>
          <w:rFonts w:ascii="Times New Roman" w:eastAsia="Calibri" w:hAnsi="Times New Roman" w:cs="Times New Roman"/>
          <w:color w:val="000000"/>
          <w:sz w:val="24"/>
          <w:szCs w:val="20"/>
          <w:lang w:eastAsia="ar-SA"/>
        </w:rPr>
        <w:t xml:space="preserve">AAA “Augšdaugava” samērā regulāri (īpaši Daugavpils apkārtnē) novēroti meža ugunsgrēki, tādēļ </w:t>
      </w:r>
      <w:r w:rsidR="001613C8" w:rsidRPr="00A07F29">
        <w:rPr>
          <w:rFonts w:ascii="Times New Roman" w:eastAsia="Calibri" w:hAnsi="Times New Roman" w:cs="Times New Roman"/>
          <w:color w:val="000000"/>
          <w:sz w:val="24"/>
          <w:szCs w:val="20"/>
          <w:lang w:eastAsia="ar-SA"/>
        </w:rPr>
        <w:t xml:space="preserve">šeit </w:t>
      </w:r>
      <w:r w:rsidRPr="00A07F29">
        <w:rPr>
          <w:rFonts w:ascii="Times New Roman" w:eastAsia="Calibri" w:hAnsi="Times New Roman" w:cs="Times New Roman"/>
          <w:color w:val="000000"/>
          <w:sz w:val="24"/>
          <w:szCs w:val="20"/>
          <w:lang w:eastAsia="ar-SA"/>
        </w:rPr>
        <w:t xml:space="preserve">potenciāli iespējama arī vairāku ar </w:t>
      </w:r>
      <w:proofErr w:type="spellStart"/>
      <w:r w:rsidRPr="00A07F29">
        <w:rPr>
          <w:rFonts w:ascii="Times New Roman" w:eastAsia="Calibri" w:hAnsi="Times New Roman" w:cs="Times New Roman"/>
          <w:color w:val="000000"/>
          <w:sz w:val="24"/>
          <w:szCs w:val="20"/>
          <w:lang w:eastAsia="ar-SA"/>
        </w:rPr>
        <w:t>meždegām</w:t>
      </w:r>
      <w:proofErr w:type="spellEnd"/>
      <w:r w:rsidRPr="00A07F29">
        <w:rPr>
          <w:rFonts w:ascii="Times New Roman" w:eastAsia="Calibri" w:hAnsi="Times New Roman" w:cs="Times New Roman"/>
          <w:color w:val="000000"/>
          <w:sz w:val="24"/>
          <w:szCs w:val="20"/>
          <w:lang w:eastAsia="ar-SA"/>
        </w:rPr>
        <w:t xml:space="preserve"> saistītu </w:t>
      </w:r>
      <w:r w:rsidR="004C36A7" w:rsidRPr="00A07F29">
        <w:rPr>
          <w:rFonts w:ascii="Times New Roman" w:eastAsia="Calibri" w:hAnsi="Times New Roman" w:cs="Times New Roman"/>
          <w:color w:val="000000"/>
          <w:sz w:val="24"/>
          <w:szCs w:val="20"/>
          <w:lang w:eastAsia="ar-SA"/>
        </w:rPr>
        <w:t xml:space="preserve">retu </w:t>
      </w:r>
      <w:r w:rsidRPr="00A07F29">
        <w:rPr>
          <w:rFonts w:ascii="Times New Roman" w:eastAsia="Calibri" w:hAnsi="Times New Roman" w:cs="Times New Roman"/>
          <w:color w:val="000000"/>
          <w:sz w:val="24"/>
          <w:szCs w:val="20"/>
          <w:lang w:eastAsia="ar-SA"/>
        </w:rPr>
        <w:t>un aizsargājamu kukaiņu sugu (piem</w:t>
      </w:r>
      <w:r w:rsidR="001613C8" w:rsidRPr="00A07F29">
        <w:rPr>
          <w:rFonts w:ascii="Times New Roman" w:eastAsia="Calibri" w:hAnsi="Times New Roman" w:cs="Times New Roman"/>
          <w:color w:val="000000"/>
          <w:sz w:val="24"/>
          <w:szCs w:val="20"/>
          <w:lang w:eastAsia="ar-SA"/>
        </w:rPr>
        <w:t>ēram,</w:t>
      </w:r>
      <w:r w:rsidRPr="00A07F29">
        <w:rPr>
          <w:rFonts w:ascii="Times New Roman" w:eastAsia="Calibri" w:hAnsi="Times New Roman" w:cs="Times New Roman"/>
          <w:color w:val="000000"/>
          <w:sz w:val="24"/>
          <w:szCs w:val="20"/>
          <w:lang w:eastAsia="ar-SA"/>
        </w:rPr>
        <w:t xml:space="preserve"> svītrainais </w:t>
      </w:r>
      <w:proofErr w:type="spellStart"/>
      <w:r w:rsidRPr="00A07F29">
        <w:rPr>
          <w:rFonts w:ascii="Times New Roman" w:eastAsia="Calibri" w:hAnsi="Times New Roman" w:cs="Times New Roman"/>
          <w:color w:val="000000"/>
          <w:sz w:val="24"/>
          <w:szCs w:val="20"/>
          <w:lang w:eastAsia="ar-SA"/>
        </w:rPr>
        <w:t>kapucķirmis</w:t>
      </w:r>
      <w:proofErr w:type="spellEnd"/>
      <w:r w:rsidRPr="00A07F29">
        <w:rPr>
          <w:rFonts w:ascii="Times New Roman" w:eastAsia="Calibri" w:hAnsi="Times New Roman" w:cs="Times New Roman"/>
          <w:color w:val="000000"/>
          <w:sz w:val="24"/>
          <w:szCs w:val="20"/>
          <w:lang w:eastAsia="ar-SA"/>
        </w:rPr>
        <w:t xml:space="preserve"> </w:t>
      </w:r>
      <w:proofErr w:type="spellStart"/>
      <w:r w:rsidRPr="00A07F29">
        <w:rPr>
          <w:rFonts w:ascii="Times New Roman" w:eastAsia="Calibri" w:hAnsi="Times New Roman" w:cs="Times New Roman"/>
          <w:i/>
          <w:iCs/>
          <w:color w:val="000000"/>
          <w:sz w:val="24"/>
          <w:szCs w:val="20"/>
          <w:lang w:eastAsia="ar-SA"/>
        </w:rPr>
        <w:t>Stephanopachys</w:t>
      </w:r>
      <w:proofErr w:type="spellEnd"/>
      <w:r w:rsidRPr="00A07F29">
        <w:rPr>
          <w:rFonts w:ascii="Times New Roman" w:eastAsia="Calibri" w:hAnsi="Times New Roman" w:cs="Times New Roman"/>
          <w:i/>
          <w:iCs/>
          <w:color w:val="000000"/>
          <w:sz w:val="24"/>
          <w:szCs w:val="20"/>
          <w:lang w:eastAsia="ar-SA"/>
        </w:rPr>
        <w:t xml:space="preserve"> </w:t>
      </w:r>
      <w:proofErr w:type="spellStart"/>
      <w:r w:rsidRPr="00A07F29">
        <w:rPr>
          <w:rFonts w:ascii="Times New Roman" w:eastAsia="Calibri" w:hAnsi="Times New Roman" w:cs="Times New Roman"/>
          <w:i/>
          <w:iCs/>
          <w:color w:val="000000"/>
          <w:sz w:val="24"/>
          <w:szCs w:val="20"/>
          <w:lang w:eastAsia="ar-SA"/>
        </w:rPr>
        <w:t>linearis</w:t>
      </w:r>
      <w:proofErr w:type="spellEnd"/>
      <w:r w:rsidRPr="00A07F29">
        <w:rPr>
          <w:rFonts w:ascii="Times New Roman" w:eastAsia="Calibri" w:hAnsi="Times New Roman" w:cs="Times New Roman"/>
          <w:color w:val="000000"/>
          <w:sz w:val="24"/>
          <w:szCs w:val="20"/>
          <w:lang w:eastAsia="ar-SA"/>
        </w:rPr>
        <w:t xml:space="preserve">, degumu </w:t>
      </w:r>
      <w:proofErr w:type="spellStart"/>
      <w:r w:rsidRPr="00A07F29">
        <w:rPr>
          <w:rFonts w:ascii="Times New Roman" w:eastAsia="Calibri" w:hAnsi="Times New Roman" w:cs="Times New Roman"/>
          <w:color w:val="000000"/>
          <w:sz w:val="24"/>
          <w:szCs w:val="20"/>
          <w:lang w:eastAsia="ar-SA"/>
        </w:rPr>
        <w:t>krāšņvabole</w:t>
      </w:r>
      <w:proofErr w:type="spellEnd"/>
      <w:r w:rsidRPr="00A07F29">
        <w:rPr>
          <w:rFonts w:ascii="Times New Roman" w:eastAsia="Calibri" w:hAnsi="Times New Roman" w:cs="Times New Roman"/>
          <w:color w:val="000000"/>
          <w:sz w:val="24"/>
          <w:szCs w:val="20"/>
          <w:lang w:eastAsia="ar-SA"/>
        </w:rPr>
        <w:t xml:space="preserve"> </w:t>
      </w:r>
      <w:proofErr w:type="spellStart"/>
      <w:r w:rsidRPr="00A07F29">
        <w:rPr>
          <w:rFonts w:ascii="Times New Roman" w:eastAsia="Calibri" w:hAnsi="Times New Roman" w:cs="Times New Roman"/>
          <w:i/>
          <w:iCs/>
          <w:color w:val="000000"/>
          <w:sz w:val="24"/>
          <w:szCs w:val="20"/>
          <w:lang w:eastAsia="ar-SA"/>
        </w:rPr>
        <w:t>Melanophila</w:t>
      </w:r>
      <w:proofErr w:type="spellEnd"/>
      <w:r w:rsidRPr="00A07F29">
        <w:rPr>
          <w:rFonts w:ascii="Times New Roman" w:eastAsia="Calibri" w:hAnsi="Times New Roman" w:cs="Times New Roman"/>
          <w:i/>
          <w:iCs/>
          <w:color w:val="000000"/>
          <w:sz w:val="24"/>
          <w:szCs w:val="20"/>
          <w:lang w:eastAsia="ar-SA"/>
        </w:rPr>
        <w:t xml:space="preserve"> </w:t>
      </w:r>
      <w:proofErr w:type="spellStart"/>
      <w:r w:rsidRPr="00A07F29">
        <w:rPr>
          <w:rFonts w:ascii="Times New Roman" w:eastAsia="Calibri" w:hAnsi="Times New Roman" w:cs="Times New Roman"/>
          <w:i/>
          <w:iCs/>
          <w:color w:val="000000"/>
          <w:sz w:val="24"/>
          <w:szCs w:val="20"/>
          <w:lang w:eastAsia="ar-SA"/>
        </w:rPr>
        <w:t>acuminata</w:t>
      </w:r>
      <w:proofErr w:type="spellEnd"/>
      <w:r w:rsidRPr="00A07F29">
        <w:rPr>
          <w:rFonts w:ascii="Times New Roman" w:eastAsia="Calibri" w:hAnsi="Times New Roman" w:cs="Times New Roman"/>
          <w:color w:val="000000"/>
          <w:sz w:val="24"/>
          <w:szCs w:val="20"/>
          <w:lang w:eastAsia="ar-SA"/>
        </w:rPr>
        <w:t xml:space="preserve"> u.c.) sastopamība. Teritorijas apsekošanas laikā šīm sugām piemērots degums konstatēts priežu mežā pie </w:t>
      </w:r>
      <w:proofErr w:type="spellStart"/>
      <w:r w:rsidRPr="00A07F29">
        <w:rPr>
          <w:rFonts w:ascii="Times New Roman" w:eastAsia="Calibri" w:hAnsi="Times New Roman" w:cs="Times New Roman"/>
          <w:color w:val="000000"/>
          <w:sz w:val="24"/>
          <w:szCs w:val="20"/>
          <w:lang w:eastAsia="ar-SA"/>
        </w:rPr>
        <w:t>Kaupišķu</w:t>
      </w:r>
      <w:proofErr w:type="spellEnd"/>
      <w:r w:rsidRPr="00A07F29">
        <w:rPr>
          <w:rFonts w:ascii="Times New Roman" w:eastAsia="Calibri" w:hAnsi="Times New Roman" w:cs="Times New Roman"/>
          <w:color w:val="000000"/>
          <w:sz w:val="24"/>
          <w:szCs w:val="20"/>
          <w:lang w:eastAsia="ar-SA"/>
        </w:rPr>
        <w:t xml:space="preserve"> karjera (</w:t>
      </w:r>
      <w:r w:rsidR="00263F41">
        <w:rPr>
          <w:rFonts w:ascii="Times New Roman" w:eastAsia="Calibri" w:hAnsi="Times New Roman" w:cs="Times New Roman"/>
          <w:color w:val="000000"/>
          <w:sz w:val="24"/>
          <w:szCs w:val="20"/>
          <w:lang w:eastAsia="ar-SA"/>
        </w:rPr>
        <w:t xml:space="preserve">skat. </w:t>
      </w:r>
      <w:r w:rsidRPr="00A07F29">
        <w:rPr>
          <w:rFonts w:ascii="Times New Roman" w:eastAsia="Calibri" w:hAnsi="Times New Roman" w:cs="Times New Roman"/>
          <w:bCs/>
          <w:color w:val="000000"/>
          <w:sz w:val="24"/>
          <w:szCs w:val="20"/>
          <w:lang w:eastAsia="ar-SA"/>
        </w:rPr>
        <w:t>4.</w:t>
      </w:r>
      <w:r w:rsidR="001613C8" w:rsidRPr="00A07F29">
        <w:rPr>
          <w:rFonts w:ascii="Times New Roman" w:eastAsia="Calibri" w:hAnsi="Times New Roman" w:cs="Times New Roman"/>
          <w:bCs/>
          <w:color w:val="000000"/>
          <w:sz w:val="24"/>
          <w:szCs w:val="20"/>
          <w:lang w:eastAsia="ar-SA"/>
        </w:rPr>
        <w:t>7</w:t>
      </w:r>
      <w:r w:rsidRPr="00A07F29">
        <w:rPr>
          <w:rFonts w:ascii="Times New Roman" w:eastAsia="Calibri" w:hAnsi="Times New Roman" w:cs="Times New Roman"/>
          <w:bCs/>
          <w:color w:val="000000"/>
          <w:sz w:val="24"/>
          <w:szCs w:val="20"/>
          <w:lang w:eastAsia="ar-SA"/>
        </w:rPr>
        <w:t>.1.</w:t>
      </w:r>
      <w:r w:rsidR="001613C8" w:rsidRPr="00A07F29">
        <w:rPr>
          <w:rFonts w:ascii="Times New Roman" w:eastAsia="Calibri" w:hAnsi="Times New Roman" w:cs="Times New Roman"/>
          <w:color w:val="000000"/>
          <w:sz w:val="24"/>
          <w:szCs w:val="20"/>
          <w:lang w:eastAsia="ar-SA"/>
        </w:rPr>
        <w:t>14</w:t>
      </w:r>
      <w:r w:rsidRPr="00A07F29">
        <w:rPr>
          <w:rFonts w:ascii="Times New Roman" w:eastAsia="Calibri" w:hAnsi="Times New Roman" w:cs="Times New Roman"/>
          <w:color w:val="000000"/>
          <w:sz w:val="24"/>
          <w:szCs w:val="20"/>
          <w:lang w:eastAsia="ar-SA"/>
        </w:rPr>
        <w:t>.</w:t>
      </w:r>
      <w:r w:rsidR="00263F41">
        <w:rPr>
          <w:rFonts w:ascii="Times New Roman" w:eastAsia="Calibri" w:hAnsi="Times New Roman" w:cs="Times New Roman"/>
          <w:color w:val="000000"/>
          <w:sz w:val="24"/>
          <w:szCs w:val="20"/>
          <w:lang w:eastAsia="ar-SA"/>
        </w:rPr>
        <w:t> </w:t>
      </w:r>
      <w:r w:rsidRPr="00A07F29">
        <w:rPr>
          <w:rFonts w:ascii="Times New Roman" w:eastAsia="Calibri" w:hAnsi="Times New Roman" w:cs="Times New Roman"/>
          <w:color w:val="000000"/>
          <w:sz w:val="24"/>
          <w:szCs w:val="20"/>
          <w:lang w:eastAsia="ar-SA"/>
        </w:rPr>
        <w:t>att</w:t>
      </w:r>
      <w:r w:rsidR="00263F41">
        <w:rPr>
          <w:rFonts w:ascii="Times New Roman" w:eastAsia="Calibri" w:hAnsi="Times New Roman" w:cs="Times New Roman"/>
          <w:color w:val="000000"/>
          <w:sz w:val="24"/>
          <w:szCs w:val="20"/>
          <w:lang w:eastAsia="ar-SA"/>
        </w:rPr>
        <w:t>ēls</w:t>
      </w:r>
      <w:r w:rsidRPr="00A07F29">
        <w:rPr>
          <w:rFonts w:ascii="Times New Roman" w:eastAsia="Calibri" w:hAnsi="Times New Roman" w:cs="Times New Roman"/>
          <w:color w:val="000000"/>
          <w:sz w:val="24"/>
          <w:szCs w:val="20"/>
          <w:lang w:eastAsia="ar-SA"/>
        </w:rPr>
        <w:t>)</w:t>
      </w:r>
      <w:r w:rsidR="004C36A7" w:rsidRPr="00A07F29">
        <w:rPr>
          <w:rFonts w:ascii="Times New Roman" w:eastAsia="Calibri" w:hAnsi="Times New Roman" w:cs="Times New Roman"/>
          <w:color w:val="000000"/>
          <w:sz w:val="24"/>
          <w:szCs w:val="20"/>
          <w:lang w:eastAsia="ar-SA"/>
        </w:rPr>
        <w:t xml:space="preserve">, tomēr </w:t>
      </w:r>
      <w:r w:rsidRPr="00A07F29">
        <w:rPr>
          <w:rFonts w:ascii="Times New Roman" w:eastAsia="Calibri" w:hAnsi="Times New Roman" w:cs="Times New Roman"/>
          <w:color w:val="000000"/>
          <w:sz w:val="24"/>
          <w:szCs w:val="20"/>
          <w:lang w:eastAsia="ar-SA"/>
        </w:rPr>
        <w:t xml:space="preserve">pārbaudot </w:t>
      </w:r>
      <w:r w:rsidRPr="00A07F29">
        <w:rPr>
          <w:rFonts w:ascii="Times New Roman" w:eastAsia="Calibri" w:hAnsi="Times New Roman" w:cs="Times New Roman"/>
          <w:color w:val="000000"/>
          <w:sz w:val="24"/>
          <w:szCs w:val="20"/>
          <w:lang w:eastAsia="ar-SA"/>
        </w:rPr>
        <w:lastRenderedPageBreak/>
        <w:t xml:space="preserve">potenciālos </w:t>
      </w:r>
      <w:proofErr w:type="spellStart"/>
      <w:r w:rsidRPr="00A07F29">
        <w:rPr>
          <w:rFonts w:ascii="Times New Roman" w:eastAsia="Calibri" w:hAnsi="Times New Roman" w:cs="Times New Roman"/>
          <w:color w:val="000000"/>
          <w:sz w:val="24"/>
          <w:szCs w:val="20"/>
          <w:lang w:eastAsia="ar-SA"/>
        </w:rPr>
        <w:t>mikrobiotopus</w:t>
      </w:r>
      <w:proofErr w:type="spellEnd"/>
      <w:r w:rsidRPr="00A07F29">
        <w:rPr>
          <w:rFonts w:ascii="Times New Roman" w:eastAsia="Calibri" w:hAnsi="Times New Roman" w:cs="Times New Roman"/>
          <w:color w:val="000000"/>
          <w:sz w:val="24"/>
          <w:szCs w:val="20"/>
          <w:lang w:eastAsia="ar-SA"/>
        </w:rPr>
        <w:t xml:space="preserve">, </w:t>
      </w:r>
      <w:proofErr w:type="spellStart"/>
      <w:r w:rsidRPr="00A07F29">
        <w:rPr>
          <w:rFonts w:ascii="Times New Roman" w:eastAsia="Calibri" w:hAnsi="Times New Roman" w:cs="Times New Roman"/>
          <w:color w:val="000000"/>
          <w:sz w:val="24"/>
          <w:szCs w:val="20"/>
          <w:lang w:eastAsia="ar-SA"/>
        </w:rPr>
        <w:t>pirofīlās</w:t>
      </w:r>
      <w:proofErr w:type="spellEnd"/>
      <w:r w:rsidRPr="00A07F29">
        <w:rPr>
          <w:rFonts w:ascii="Times New Roman" w:eastAsia="Calibri" w:hAnsi="Times New Roman" w:cs="Times New Roman"/>
          <w:color w:val="000000"/>
          <w:sz w:val="24"/>
          <w:szCs w:val="20"/>
          <w:lang w:eastAsia="ar-SA"/>
        </w:rPr>
        <w:t xml:space="preserve"> sugas ar dabas aizsardzības nozīmi </w:t>
      </w:r>
      <w:r w:rsidR="004C36A7" w:rsidRPr="00A07F29">
        <w:rPr>
          <w:rFonts w:ascii="Times New Roman" w:eastAsia="Calibri" w:hAnsi="Times New Roman" w:cs="Times New Roman"/>
          <w:color w:val="000000"/>
          <w:sz w:val="24"/>
          <w:szCs w:val="20"/>
          <w:lang w:eastAsia="ar-SA"/>
        </w:rPr>
        <w:t xml:space="preserve">šajā degumā </w:t>
      </w:r>
      <w:r w:rsidRPr="00A07F29">
        <w:rPr>
          <w:rFonts w:ascii="Times New Roman" w:eastAsia="Calibri" w:hAnsi="Times New Roman" w:cs="Times New Roman"/>
          <w:color w:val="000000"/>
          <w:sz w:val="24"/>
          <w:szCs w:val="20"/>
          <w:lang w:eastAsia="ar-SA"/>
        </w:rPr>
        <w:t>netika konstatētas.</w:t>
      </w:r>
    </w:p>
    <w:p w14:paraId="1D28AB51" w14:textId="77777777" w:rsidR="002F4A7A" w:rsidRPr="00A07F29" w:rsidRDefault="002F4A7A" w:rsidP="002F4A7A">
      <w:pPr>
        <w:keepNext/>
        <w:autoSpaceDE w:val="0"/>
        <w:autoSpaceDN w:val="0"/>
        <w:adjustRightInd w:val="0"/>
        <w:spacing w:before="240" w:after="120" w:line="240" w:lineRule="auto"/>
        <w:jc w:val="both"/>
        <w:rPr>
          <w:rFonts w:ascii="Times New Roman" w:eastAsia="Calibri" w:hAnsi="Times New Roman" w:cs="Times New Roman"/>
          <w:b/>
          <w:i/>
          <w:color w:val="000000"/>
          <w:sz w:val="24"/>
          <w:szCs w:val="20"/>
          <w:lang w:eastAsia="ar-SA"/>
        </w:rPr>
      </w:pPr>
      <w:bookmarkStart w:id="79" w:name="_Hlk35868290"/>
      <w:r w:rsidRPr="00A07F29">
        <w:rPr>
          <w:rFonts w:ascii="Times New Roman" w:eastAsia="Calibri" w:hAnsi="Times New Roman" w:cs="Times New Roman"/>
          <w:b/>
          <w:i/>
          <w:color w:val="000000"/>
          <w:sz w:val="24"/>
          <w:szCs w:val="20"/>
          <w:lang w:eastAsia="ar-SA"/>
        </w:rPr>
        <w:t>Retās un aizsargājamās kukaiņu sugas ietekmējošie faktori</w:t>
      </w:r>
    </w:p>
    <w:p w14:paraId="53FD0E4F" w14:textId="49875540" w:rsidR="002F4A7A" w:rsidRPr="00A07F29" w:rsidRDefault="00C12B08" w:rsidP="004C36A7">
      <w:pPr>
        <w:shd w:val="clear" w:color="auto" w:fill="FFFFFF"/>
        <w:suppressAutoHyphens/>
        <w:spacing w:after="120" w:line="240" w:lineRule="auto"/>
        <w:ind w:firstLine="851"/>
        <w:jc w:val="both"/>
        <w:rPr>
          <w:rFonts w:ascii="Times New Roman" w:eastAsia="Calibri" w:hAnsi="Times New Roman" w:cs="Times New Roman"/>
          <w:color w:val="000000"/>
          <w:sz w:val="24"/>
          <w:szCs w:val="20"/>
          <w:lang w:eastAsia="ar-SA"/>
        </w:rPr>
      </w:pPr>
      <w:r w:rsidRPr="00A07F29">
        <w:rPr>
          <w:rFonts w:ascii="Times New Roman" w:eastAsia="Calibri" w:hAnsi="Times New Roman" w:cs="Times New Roman"/>
          <w:color w:val="000000"/>
          <w:sz w:val="24"/>
          <w:szCs w:val="24"/>
          <w:lang w:eastAsia="ar-SA"/>
        </w:rPr>
        <w:t>AAA</w:t>
      </w:r>
      <w:r w:rsidR="009072CE" w:rsidRPr="00A07F29">
        <w:rPr>
          <w:rFonts w:ascii="Times New Roman" w:eastAsia="Calibri" w:hAnsi="Times New Roman" w:cs="Times New Roman"/>
          <w:color w:val="000000"/>
          <w:sz w:val="24"/>
          <w:szCs w:val="24"/>
          <w:lang w:eastAsia="ar-SA"/>
        </w:rPr>
        <w:t xml:space="preserve"> “Augšdaugava” </w:t>
      </w:r>
      <w:r w:rsidR="009072CE" w:rsidRPr="00A07F29">
        <w:rPr>
          <w:rFonts w:ascii="Times New Roman" w:eastAsia="Calibri" w:hAnsi="Times New Roman" w:cs="Times New Roman"/>
          <w:color w:val="000000"/>
          <w:sz w:val="24"/>
          <w:szCs w:val="20"/>
          <w:lang w:eastAsia="ar-SA"/>
        </w:rPr>
        <w:t>teritorijā būtiska loma ir Daugavas upei un to pietekām</w:t>
      </w:r>
      <w:r w:rsidR="002F4A7A" w:rsidRPr="00A07F29">
        <w:rPr>
          <w:rFonts w:ascii="Times New Roman" w:eastAsia="Calibri" w:hAnsi="Times New Roman" w:cs="Times New Roman"/>
          <w:color w:val="000000"/>
          <w:sz w:val="24"/>
          <w:szCs w:val="20"/>
          <w:lang w:eastAsia="ar-SA"/>
        </w:rPr>
        <w:t xml:space="preserve">, kas </w:t>
      </w:r>
      <w:r w:rsidR="009072CE" w:rsidRPr="00A07F29">
        <w:rPr>
          <w:rFonts w:ascii="Times New Roman" w:eastAsia="Calibri" w:hAnsi="Times New Roman" w:cs="Times New Roman"/>
          <w:color w:val="000000"/>
          <w:sz w:val="24"/>
          <w:szCs w:val="20"/>
          <w:lang w:eastAsia="ar-SA"/>
        </w:rPr>
        <w:t xml:space="preserve">atbilst </w:t>
      </w:r>
      <w:r w:rsidR="009072CE" w:rsidRPr="00A07F29">
        <w:rPr>
          <w:rFonts w:ascii="Times New Roman" w:eastAsia="Calibri" w:hAnsi="Times New Roman" w:cs="Calibri"/>
          <w:color w:val="000000"/>
          <w:sz w:val="24"/>
          <w:szCs w:val="20"/>
          <w:lang w:eastAsia="ar-SA"/>
        </w:rPr>
        <w:t xml:space="preserve">ES nozīmes </w:t>
      </w:r>
      <w:r w:rsidR="002F4A7A" w:rsidRPr="00A07F29">
        <w:rPr>
          <w:rFonts w:ascii="Times New Roman" w:eastAsia="Calibri" w:hAnsi="Times New Roman" w:cs="Calibri"/>
          <w:color w:val="000000"/>
          <w:sz w:val="24"/>
          <w:szCs w:val="20"/>
          <w:lang w:eastAsia="ar-SA"/>
        </w:rPr>
        <w:t xml:space="preserve">aizsargājamam </w:t>
      </w:r>
      <w:r w:rsidR="009072CE" w:rsidRPr="00A07F29">
        <w:rPr>
          <w:rFonts w:ascii="Times New Roman" w:eastAsia="Calibri" w:hAnsi="Times New Roman" w:cs="Calibri"/>
          <w:color w:val="000000"/>
          <w:sz w:val="24"/>
          <w:szCs w:val="20"/>
          <w:lang w:eastAsia="ar-SA"/>
        </w:rPr>
        <w:t>biotopa</w:t>
      </w:r>
      <w:r w:rsidR="002F4A7A" w:rsidRPr="00A07F29">
        <w:rPr>
          <w:rFonts w:ascii="Times New Roman" w:eastAsia="Calibri" w:hAnsi="Times New Roman" w:cs="Calibri"/>
          <w:color w:val="000000"/>
          <w:sz w:val="24"/>
          <w:szCs w:val="20"/>
          <w:lang w:eastAsia="ar-SA"/>
        </w:rPr>
        <w:t>m 3260 </w:t>
      </w:r>
      <w:r w:rsidR="009072CE" w:rsidRPr="00A07F29">
        <w:rPr>
          <w:rFonts w:ascii="Times New Roman" w:eastAsia="Calibri" w:hAnsi="Times New Roman" w:cs="Calibri"/>
          <w:i/>
          <w:color w:val="000000"/>
          <w:sz w:val="24"/>
          <w:szCs w:val="20"/>
          <w:lang w:eastAsia="ar-SA"/>
        </w:rPr>
        <w:t>Upju straujteces un dabiski upju posmi</w:t>
      </w:r>
      <w:r w:rsidR="009072CE" w:rsidRPr="00A07F29">
        <w:rPr>
          <w:rFonts w:ascii="Times New Roman" w:eastAsia="Calibri" w:hAnsi="Times New Roman" w:cs="Calibri"/>
          <w:color w:val="000000"/>
          <w:sz w:val="24"/>
          <w:szCs w:val="20"/>
          <w:lang w:eastAsia="ar-SA"/>
        </w:rPr>
        <w:t xml:space="preserve">. No šī biotopa un tā kvalitātes teritorijā ir atkarīga </w:t>
      </w:r>
      <w:r w:rsidR="009072CE" w:rsidRPr="00A07F29">
        <w:rPr>
          <w:rFonts w:ascii="Times New Roman" w:eastAsia="Times New Roman" w:hAnsi="Times New Roman" w:cs="Times New Roman"/>
          <w:color w:val="000000"/>
          <w:sz w:val="24"/>
          <w:szCs w:val="24"/>
          <w:lang w:eastAsia="ar-SA"/>
        </w:rPr>
        <w:t xml:space="preserve">zaļās </w:t>
      </w:r>
      <w:proofErr w:type="spellStart"/>
      <w:r w:rsidR="009072CE" w:rsidRPr="00A07F29">
        <w:rPr>
          <w:rFonts w:ascii="Times New Roman" w:eastAsia="Times New Roman" w:hAnsi="Times New Roman" w:cs="Times New Roman"/>
          <w:color w:val="000000"/>
          <w:sz w:val="24"/>
          <w:szCs w:val="24"/>
          <w:lang w:eastAsia="ar-SA"/>
        </w:rPr>
        <w:t>upjuspāres</w:t>
      </w:r>
      <w:proofErr w:type="spellEnd"/>
      <w:r w:rsidR="009072CE" w:rsidRPr="00A07F29">
        <w:rPr>
          <w:rFonts w:ascii="Times New Roman" w:eastAsia="Times New Roman" w:hAnsi="Times New Roman" w:cs="Times New Roman"/>
          <w:color w:val="000000"/>
          <w:sz w:val="24"/>
          <w:szCs w:val="24"/>
          <w:lang w:eastAsia="ar-SA"/>
        </w:rPr>
        <w:t xml:space="preserve"> un</w:t>
      </w:r>
      <w:r w:rsidR="009072CE" w:rsidRPr="00A07F29">
        <w:rPr>
          <w:rFonts w:ascii="Times New Roman" w:eastAsia="Times New Roman" w:hAnsi="Times New Roman" w:cs="Times New Roman"/>
          <w:b/>
          <w:color w:val="000000"/>
          <w:sz w:val="24"/>
          <w:szCs w:val="24"/>
          <w:lang w:eastAsia="ar-SA"/>
        </w:rPr>
        <w:t xml:space="preserve"> </w:t>
      </w:r>
      <w:proofErr w:type="spellStart"/>
      <w:r w:rsidR="009072CE" w:rsidRPr="00A07F29">
        <w:rPr>
          <w:rFonts w:ascii="Times New Roman" w:eastAsia="Calibri" w:hAnsi="Times New Roman" w:cs="Times New Roman"/>
          <w:color w:val="000000"/>
          <w:sz w:val="24"/>
          <w:szCs w:val="20"/>
          <w:lang w:eastAsia="ar-SA"/>
        </w:rPr>
        <w:t>dzeltenkāju</w:t>
      </w:r>
      <w:proofErr w:type="spellEnd"/>
      <w:r w:rsidR="009072CE" w:rsidRPr="00A07F29">
        <w:rPr>
          <w:rFonts w:ascii="Times New Roman" w:eastAsia="Calibri" w:hAnsi="Times New Roman" w:cs="Times New Roman"/>
          <w:color w:val="000000"/>
          <w:sz w:val="24"/>
          <w:szCs w:val="20"/>
          <w:lang w:eastAsia="ar-SA"/>
        </w:rPr>
        <w:t xml:space="preserve"> </w:t>
      </w:r>
      <w:proofErr w:type="spellStart"/>
      <w:r w:rsidR="009072CE" w:rsidRPr="00A07F29">
        <w:rPr>
          <w:rFonts w:ascii="Times New Roman" w:eastAsia="Calibri" w:hAnsi="Times New Roman" w:cs="Times New Roman"/>
          <w:color w:val="000000"/>
          <w:sz w:val="24"/>
          <w:szCs w:val="20"/>
          <w:lang w:eastAsia="ar-SA"/>
        </w:rPr>
        <w:t>upjuspāres</w:t>
      </w:r>
      <w:proofErr w:type="spellEnd"/>
      <w:r w:rsidR="009072CE" w:rsidRPr="00A07F29">
        <w:rPr>
          <w:rFonts w:ascii="Times New Roman" w:eastAsia="Calibri" w:hAnsi="Times New Roman" w:cs="Times New Roman"/>
          <w:color w:val="000000"/>
          <w:sz w:val="24"/>
          <w:szCs w:val="20"/>
          <w:lang w:eastAsia="ar-SA"/>
        </w:rPr>
        <w:t xml:space="preserve"> populācija. Upes dabiskais hidroloģiskais režīms pozitīvi ietekmē arī upes ielejā </w:t>
      </w:r>
      <w:r w:rsidR="002F4A7A" w:rsidRPr="00A07F29">
        <w:rPr>
          <w:rFonts w:ascii="Times New Roman" w:eastAsia="Calibri" w:hAnsi="Times New Roman" w:cs="Times New Roman"/>
          <w:color w:val="000000"/>
          <w:sz w:val="24"/>
          <w:szCs w:val="20"/>
          <w:lang w:eastAsia="ar-SA"/>
        </w:rPr>
        <w:t xml:space="preserve">esošos palieņu </w:t>
      </w:r>
      <w:r w:rsidR="009072CE" w:rsidRPr="00A07F29">
        <w:rPr>
          <w:rFonts w:ascii="Times New Roman" w:eastAsia="Calibri" w:hAnsi="Times New Roman" w:cs="Times New Roman"/>
          <w:color w:val="000000"/>
          <w:sz w:val="24"/>
          <w:szCs w:val="20"/>
          <w:lang w:eastAsia="ar-SA"/>
        </w:rPr>
        <w:t xml:space="preserve">zālājus, kur ir reģistrēti tauriņu barošanās un kāpuru attīstības biotopi. Šīs teritorijas ir nozīmīgas zirgskābeņu </w:t>
      </w:r>
      <w:proofErr w:type="spellStart"/>
      <w:r w:rsidR="009072CE" w:rsidRPr="00A07F29">
        <w:rPr>
          <w:rFonts w:ascii="Times New Roman" w:eastAsia="Calibri" w:hAnsi="Times New Roman" w:cs="Times New Roman"/>
          <w:color w:val="000000"/>
          <w:sz w:val="24"/>
          <w:szCs w:val="20"/>
          <w:lang w:eastAsia="ar-SA"/>
        </w:rPr>
        <w:t>zilenīša</w:t>
      </w:r>
      <w:proofErr w:type="spellEnd"/>
      <w:r w:rsidR="009072CE" w:rsidRPr="00A07F29">
        <w:rPr>
          <w:rFonts w:ascii="Times New Roman" w:eastAsia="Calibri" w:hAnsi="Times New Roman" w:cs="Times New Roman"/>
          <w:color w:val="000000"/>
          <w:sz w:val="24"/>
          <w:szCs w:val="20"/>
          <w:lang w:eastAsia="ar-SA"/>
        </w:rPr>
        <w:t xml:space="preserve"> populācijas pastāvēšanai.</w:t>
      </w:r>
    </w:p>
    <w:p w14:paraId="5B1D464E" w14:textId="1A9AE9C6" w:rsidR="002F4A7A" w:rsidRPr="00A07F29" w:rsidRDefault="009072CE" w:rsidP="004C36A7">
      <w:pPr>
        <w:shd w:val="clear" w:color="auto" w:fill="FFFFFF"/>
        <w:suppressAutoHyphens/>
        <w:spacing w:after="120" w:line="240" w:lineRule="auto"/>
        <w:ind w:firstLine="851"/>
        <w:jc w:val="both"/>
        <w:rPr>
          <w:rFonts w:ascii="Times New Roman" w:eastAsia="Calibri" w:hAnsi="Times New Roman" w:cs="Calibri"/>
          <w:color w:val="000000"/>
          <w:sz w:val="24"/>
          <w:szCs w:val="20"/>
          <w:lang w:eastAsia="ar-SA"/>
        </w:rPr>
      </w:pPr>
      <w:r w:rsidRPr="00A07F29">
        <w:rPr>
          <w:rFonts w:ascii="Times New Roman" w:eastAsia="Calibri" w:hAnsi="Times New Roman" w:cs="Times New Roman"/>
          <w:color w:val="000000"/>
          <w:sz w:val="24"/>
          <w:szCs w:val="20"/>
          <w:lang w:eastAsia="ar-SA"/>
        </w:rPr>
        <w:t xml:space="preserve">Pašlaik nav konstatēti būtiski </w:t>
      </w:r>
      <w:proofErr w:type="spellStart"/>
      <w:r w:rsidRPr="00A07F29">
        <w:rPr>
          <w:rFonts w:ascii="Times New Roman" w:eastAsia="Calibri" w:hAnsi="Times New Roman" w:cs="Times New Roman"/>
          <w:color w:val="000000"/>
          <w:sz w:val="24"/>
          <w:szCs w:val="20"/>
          <w:lang w:eastAsia="ar-SA"/>
        </w:rPr>
        <w:t>upjuspārēm</w:t>
      </w:r>
      <w:proofErr w:type="spellEnd"/>
      <w:r w:rsidRPr="00A07F29">
        <w:rPr>
          <w:rFonts w:ascii="Times New Roman" w:eastAsia="Calibri" w:hAnsi="Times New Roman" w:cs="Times New Roman"/>
          <w:color w:val="000000"/>
          <w:sz w:val="24"/>
          <w:szCs w:val="20"/>
          <w:lang w:eastAsia="ar-SA"/>
        </w:rPr>
        <w:t xml:space="preserve"> </w:t>
      </w:r>
      <w:r w:rsidR="002F4A7A" w:rsidRPr="00A07F29">
        <w:rPr>
          <w:rFonts w:ascii="Times New Roman" w:eastAsia="Calibri" w:hAnsi="Times New Roman" w:cs="Times New Roman"/>
          <w:color w:val="000000"/>
          <w:sz w:val="24"/>
          <w:szCs w:val="20"/>
          <w:lang w:eastAsia="ar-SA"/>
        </w:rPr>
        <w:t xml:space="preserve">piemēroto biotopu </w:t>
      </w:r>
      <w:r w:rsidRPr="00A07F29">
        <w:rPr>
          <w:rFonts w:ascii="Times New Roman" w:eastAsia="Calibri" w:hAnsi="Times New Roman" w:cs="Times New Roman"/>
          <w:color w:val="000000"/>
          <w:sz w:val="24"/>
          <w:szCs w:val="20"/>
          <w:lang w:eastAsia="ar-SA"/>
        </w:rPr>
        <w:t>apdraudošie faktori Daugav</w:t>
      </w:r>
      <w:r w:rsidR="002F4A7A" w:rsidRPr="00A07F29">
        <w:rPr>
          <w:rFonts w:ascii="Times New Roman" w:eastAsia="Calibri" w:hAnsi="Times New Roman" w:cs="Times New Roman"/>
          <w:color w:val="000000"/>
          <w:sz w:val="24"/>
          <w:szCs w:val="20"/>
          <w:lang w:eastAsia="ar-SA"/>
        </w:rPr>
        <w:t>ā</w:t>
      </w:r>
      <w:r w:rsidRPr="00A07F29">
        <w:rPr>
          <w:rFonts w:ascii="Times New Roman" w:eastAsia="Calibri" w:hAnsi="Times New Roman" w:cs="Times New Roman"/>
          <w:color w:val="000000"/>
          <w:sz w:val="24"/>
          <w:szCs w:val="20"/>
          <w:lang w:eastAsia="ar-SA"/>
        </w:rPr>
        <w:t xml:space="preserve">. Šī biotopa kvalitāti nodrošina regulāri palu procesi, tomēr </w:t>
      </w:r>
      <w:r w:rsidRPr="00A07F29">
        <w:rPr>
          <w:rFonts w:ascii="Times New Roman" w:eastAsia="Calibri" w:hAnsi="Times New Roman" w:cs="Calibri"/>
          <w:color w:val="000000"/>
          <w:sz w:val="24"/>
          <w:szCs w:val="20"/>
          <w:lang w:eastAsia="ar-SA"/>
        </w:rPr>
        <w:t xml:space="preserve">klimata kraso pārmaiņu un iespējamo Daugavas hidroloģiskā režīma izmaiņu rezultātā ir iespējama ar upi saistīto dzīvotņu kvalitātes pasliktināšanās. Samazinoties upes straumes ātrumam, pastiprinās dažādo upes nesto suspendēto vielu </w:t>
      </w:r>
      <w:proofErr w:type="spellStart"/>
      <w:r w:rsidRPr="00A07F29">
        <w:rPr>
          <w:rFonts w:ascii="Times New Roman" w:eastAsia="Calibri" w:hAnsi="Times New Roman" w:cs="Calibri"/>
          <w:color w:val="000000"/>
          <w:sz w:val="24"/>
          <w:szCs w:val="20"/>
          <w:lang w:eastAsia="ar-SA"/>
        </w:rPr>
        <w:t>sedimentācija</w:t>
      </w:r>
      <w:proofErr w:type="spellEnd"/>
      <w:r w:rsidRPr="00A07F29">
        <w:rPr>
          <w:rFonts w:ascii="Times New Roman" w:eastAsia="Calibri" w:hAnsi="Times New Roman" w:cs="Calibri"/>
          <w:color w:val="000000"/>
          <w:sz w:val="24"/>
          <w:szCs w:val="20"/>
          <w:lang w:eastAsia="ar-SA"/>
        </w:rPr>
        <w:t>, rezultātā degradējoties smilšainajām gruntīm, kas nepieciešamas spāru kāpuru attīstībai. Visbūtiskāko negatīvo ietekmi uz Daugavā un tās palienē sastopamajām aizsargājamām kukaiņu sugām varētu izraisīt iespējamā hidroelektrostacijas būvniecība</w:t>
      </w:r>
      <w:r w:rsidR="002F4A7A" w:rsidRPr="00A07F29">
        <w:rPr>
          <w:rFonts w:ascii="Times New Roman" w:eastAsia="Calibri" w:hAnsi="Times New Roman" w:cs="Calibri"/>
          <w:color w:val="000000"/>
          <w:sz w:val="24"/>
          <w:szCs w:val="20"/>
          <w:lang w:eastAsia="ar-SA"/>
        </w:rPr>
        <w:t xml:space="preserve">, kas </w:t>
      </w:r>
      <w:r w:rsidRPr="00A07F29">
        <w:rPr>
          <w:rFonts w:ascii="Times New Roman" w:eastAsia="Calibri" w:hAnsi="Times New Roman" w:cs="Calibri"/>
          <w:color w:val="000000"/>
          <w:sz w:val="24"/>
          <w:szCs w:val="20"/>
          <w:lang w:eastAsia="ar-SA"/>
        </w:rPr>
        <w:t xml:space="preserve">kategoriski </w:t>
      </w:r>
      <w:r w:rsidR="002F4A7A" w:rsidRPr="00A07F29">
        <w:rPr>
          <w:rFonts w:ascii="Times New Roman" w:eastAsia="Calibri" w:hAnsi="Times New Roman" w:cs="Calibri"/>
          <w:color w:val="000000"/>
          <w:sz w:val="24"/>
          <w:szCs w:val="20"/>
          <w:lang w:eastAsia="ar-SA"/>
        </w:rPr>
        <w:t xml:space="preserve">nav </w:t>
      </w:r>
      <w:r w:rsidRPr="00A07F29">
        <w:rPr>
          <w:rFonts w:ascii="Times New Roman" w:eastAsia="Calibri" w:hAnsi="Times New Roman" w:cs="Calibri"/>
          <w:color w:val="000000"/>
          <w:sz w:val="24"/>
          <w:szCs w:val="20"/>
          <w:lang w:eastAsia="ar-SA"/>
        </w:rPr>
        <w:t>pieļaujama.</w:t>
      </w:r>
      <w:r w:rsidR="002F4A7A" w:rsidRPr="00A07F29">
        <w:rPr>
          <w:rFonts w:ascii="Times New Roman" w:eastAsia="Calibri" w:hAnsi="Times New Roman" w:cs="Calibri"/>
          <w:color w:val="000000"/>
          <w:sz w:val="24"/>
          <w:szCs w:val="20"/>
          <w:lang w:eastAsia="ar-SA"/>
        </w:rPr>
        <w:t xml:space="preserve"> </w:t>
      </w:r>
      <w:r w:rsidRPr="00A07F29">
        <w:rPr>
          <w:rFonts w:ascii="Times New Roman" w:eastAsia="Calibri" w:hAnsi="Times New Roman" w:cs="Calibri"/>
          <w:color w:val="000000"/>
          <w:sz w:val="24"/>
          <w:szCs w:val="20"/>
          <w:lang w:eastAsia="ar-SA"/>
        </w:rPr>
        <w:t>Papildus upi apdraudošais faktors ir piesārņojums, ko var radīt ķīmisko vielu pielietojums lauksaimniecībā un neatbilstoša notekūdeņu attīrīšanas iekārtu darbība</w:t>
      </w:r>
      <w:r w:rsidR="002F4A7A" w:rsidRPr="00A07F29">
        <w:rPr>
          <w:rFonts w:ascii="Times New Roman" w:eastAsia="Calibri" w:hAnsi="Times New Roman" w:cs="Calibri"/>
          <w:color w:val="000000"/>
          <w:sz w:val="24"/>
          <w:szCs w:val="20"/>
          <w:lang w:eastAsia="ar-SA"/>
        </w:rPr>
        <w:t>, kā arī pārrobežu piesārņ</w:t>
      </w:r>
      <w:r w:rsidR="00BB3B17">
        <w:rPr>
          <w:rFonts w:ascii="Times New Roman" w:eastAsia="Calibri" w:hAnsi="Times New Roman" w:cs="Calibri"/>
          <w:color w:val="000000"/>
          <w:sz w:val="24"/>
          <w:szCs w:val="20"/>
          <w:lang w:eastAsia="ar-SA"/>
        </w:rPr>
        <w:t>o</w:t>
      </w:r>
      <w:r w:rsidR="002F4A7A" w:rsidRPr="00A07F29">
        <w:rPr>
          <w:rFonts w:ascii="Times New Roman" w:eastAsia="Calibri" w:hAnsi="Times New Roman" w:cs="Calibri"/>
          <w:color w:val="000000"/>
          <w:sz w:val="24"/>
          <w:szCs w:val="20"/>
          <w:lang w:eastAsia="ar-SA"/>
        </w:rPr>
        <w:t>jums</w:t>
      </w:r>
      <w:r w:rsidRPr="00A07F29">
        <w:rPr>
          <w:rFonts w:ascii="Times New Roman" w:eastAsia="Calibri" w:hAnsi="Times New Roman" w:cs="Calibri"/>
          <w:color w:val="000000"/>
          <w:sz w:val="24"/>
          <w:szCs w:val="20"/>
          <w:lang w:eastAsia="ar-SA"/>
        </w:rPr>
        <w:t>.</w:t>
      </w:r>
    </w:p>
    <w:p w14:paraId="1A4C34F9" w14:textId="1C95A6F4" w:rsidR="009072CE" w:rsidRPr="00A07F29" w:rsidRDefault="009072CE" w:rsidP="004C36A7">
      <w:pPr>
        <w:shd w:val="clear" w:color="auto" w:fill="FFFFFF"/>
        <w:suppressAutoHyphens/>
        <w:spacing w:after="120" w:line="240" w:lineRule="auto"/>
        <w:ind w:firstLine="851"/>
        <w:jc w:val="both"/>
        <w:rPr>
          <w:rFonts w:ascii="Times New Roman" w:eastAsia="Calibri" w:hAnsi="Times New Roman" w:cs="Calibri"/>
          <w:color w:val="000000"/>
          <w:sz w:val="24"/>
          <w:szCs w:val="20"/>
          <w:lang w:eastAsia="ar-SA"/>
        </w:rPr>
      </w:pPr>
      <w:r w:rsidRPr="00A07F29">
        <w:rPr>
          <w:rFonts w:ascii="Times New Roman" w:eastAsia="Calibri" w:hAnsi="Times New Roman" w:cs="Calibri"/>
          <w:color w:val="000000"/>
          <w:sz w:val="24"/>
          <w:szCs w:val="20"/>
          <w:lang w:eastAsia="ar-SA"/>
        </w:rPr>
        <w:t xml:space="preserve">Spārēm piemēroto biotopu platības samazinās, palielinoties noēnojumam upju krastos, tāpēc, ir būtiska Daugavas ielejā esošo zālāju regulāra apsaimniekošana, ko sekmē </w:t>
      </w:r>
      <w:r w:rsidR="00CA7016">
        <w:rPr>
          <w:rFonts w:ascii="Times New Roman" w:eastAsia="Calibri" w:hAnsi="Times New Roman" w:cs="Calibri"/>
          <w:color w:val="000000"/>
          <w:sz w:val="24"/>
          <w:szCs w:val="20"/>
          <w:lang w:eastAsia="ar-SA"/>
        </w:rPr>
        <w:t>BVZ</w:t>
      </w:r>
      <w:r w:rsidRPr="00A07F29">
        <w:rPr>
          <w:rFonts w:ascii="Times New Roman" w:eastAsia="Calibri" w:hAnsi="Times New Roman" w:cs="Calibri"/>
          <w:color w:val="000000"/>
          <w:sz w:val="24"/>
          <w:szCs w:val="20"/>
          <w:lang w:eastAsia="ar-SA"/>
        </w:rPr>
        <w:t xml:space="preserve"> apsaimniekošanas atbalsta sistēma valstī. Savukārt intensīvās lauksaimniecības attīstība un tradicionālās lauksaimniecības samazināšanās ir vērtējama kā negatīva tendence, kas apdraud aizsargājamo sugu dzīvotnes.</w:t>
      </w:r>
    </w:p>
    <w:p w14:paraId="1FFA8B7C" w14:textId="4A488D3E" w:rsidR="009072CE" w:rsidRPr="00A07F29" w:rsidRDefault="009072CE" w:rsidP="004C36A7">
      <w:pPr>
        <w:shd w:val="clear" w:color="auto" w:fill="FFFFFF"/>
        <w:suppressAutoHyphens/>
        <w:spacing w:after="120" w:line="240" w:lineRule="auto"/>
        <w:ind w:firstLine="851"/>
        <w:jc w:val="both"/>
        <w:rPr>
          <w:rFonts w:ascii="Times New Roman" w:eastAsia="Calibri" w:hAnsi="Times New Roman" w:cs="Calibri"/>
          <w:color w:val="000000"/>
          <w:sz w:val="24"/>
          <w:szCs w:val="20"/>
          <w:lang w:eastAsia="ar-SA"/>
        </w:rPr>
      </w:pPr>
      <w:r w:rsidRPr="00A07F29">
        <w:rPr>
          <w:rFonts w:ascii="Times New Roman" w:eastAsia="Calibri" w:hAnsi="Times New Roman" w:cs="Calibri"/>
          <w:color w:val="000000"/>
          <w:sz w:val="24"/>
          <w:szCs w:val="20"/>
          <w:lang w:eastAsia="ar-SA"/>
        </w:rPr>
        <w:t xml:space="preserve">AAA “Augšdaugava” teritorijā ir vairāki ezeri, kas atbilst ES nozīmes aizsargājamam biotopam </w:t>
      </w:r>
      <w:r w:rsidRPr="00A07F29">
        <w:rPr>
          <w:rFonts w:ascii="Times New Roman" w:eastAsia="Calibri" w:hAnsi="Times New Roman" w:cs="Times New Roman"/>
          <w:color w:val="000000"/>
          <w:sz w:val="24"/>
          <w:szCs w:val="20"/>
          <w:shd w:val="clear" w:color="auto" w:fill="FFFFFF"/>
          <w:lang w:eastAsia="ar-SA"/>
        </w:rPr>
        <w:t>3150</w:t>
      </w:r>
      <w:r w:rsidR="00E844C3">
        <w:rPr>
          <w:rFonts w:ascii="Times New Roman" w:eastAsia="Calibri" w:hAnsi="Times New Roman" w:cs="Times New Roman"/>
          <w:color w:val="000000"/>
          <w:sz w:val="24"/>
          <w:szCs w:val="20"/>
          <w:shd w:val="clear" w:color="auto" w:fill="FFFFFF"/>
          <w:lang w:eastAsia="ar-SA"/>
        </w:rPr>
        <w:t> </w:t>
      </w:r>
      <w:proofErr w:type="spellStart"/>
      <w:r w:rsidRPr="00A07F29">
        <w:rPr>
          <w:rFonts w:ascii="Times New Roman" w:eastAsia="Calibri" w:hAnsi="Times New Roman" w:cs="Times New Roman"/>
          <w:i/>
          <w:color w:val="000000"/>
          <w:sz w:val="24"/>
          <w:szCs w:val="20"/>
          <w:shd w:val="clear" w:color="auto" w:fill="FFFFFF"/>
          <w:lang w:eastAsia="ar-SA"/>
        </w:rPr>
        <w:t>Eitrofi</w:t>
      </w:r>
      <w:proofErr w:type="spellEnd"/>
      <w:r w:rsidRPr="00A07F29">
        <w:rPr>
          <w:rFonts w:ascii="Times New Roman" w:eastAsia="Calibri" w:hAnsi="Times New Roman" w:cs="Times New Roman"/>
          <w:i/>
          <w:color w:val="000000"/>
          <w:sz w:val="24"/>
          <w:szCs w:val="20"/>
          <w:shd w:val="clear" w:color="auto" w:fill="FFFFFF"/>
          <w:lang w:eastAsia="ar-SA"/>
        </w:rPr>
        <w:t xml:space="preserve"> ezeri ar iegrimušo ūdensaugu un </w:t>
      </w:r>
      <w:proofErr w:type="spellStart"/>
      <w:r w:rsidRPr="00A07F29">
        <w:rPr>
          <w:rFonts w:ascii="Times New Roman" w:eastAsia="Calibri" w:hAnsi="Times New Roman" w:cs="Times New Roman"/>
          <w:i/>
          <w:color w:val="000000"/>
          <w:sz w:val="24"/>
          <w:szCs w:val="20"/>
          <w:shd w:val="clear" w:color="auto" w:fill="FFFFFF"/>
          <w:lang w:eastAsia="ar-SA"/>
        </w:rPr>
        <w:t>peldaugu</w:t>
      </w:r>
      <w:proofErr w:type="spellEnd"/>
      <w:r w:rsidRPr="00A07F29">
        <w:rPr>
          <w:rFonts w:ascii="Times New Roman" w:eastAsia="Calibri" w:hAnsi="Times New Roman" w:cs="Times New Roman"/>
          <w:i/>
          <w:color w:val="000000"/>
          <w:sz w:val="24"/>
          <w:szCs w:val="20"/>
          <w:shd w:val="clear" w:color="auto" w:fill="FFFFFF"/>
          <w:lang w:eastAsia="ar-SA"/>
        </w:rPr>
        <w:t xml:space="preserve"> augāju</w:t>
      </w:r>
      <w:r w:rsidRPr="00A07F29">
        <w:rPr>
          <w:rFonts w:ascii="Times New Roman" w:eastAsia="Calibri" w:hAnsi="Times New Roman" w:cs="Times New Roman"/>
          <w:color w:val="000000"/>
          <w:sz w:val="24"/>
          <w:szCs w:val="20"/>
          <w:shd w:val="clear" w:color="auto" w:fill="FFFFFF"/>
          <w:lang w:eastAsia="ar-SA"/>
        </w:rPr>
        <w:t>. Šajā biotopā AAA “Augšdaugava”</w:t>
      </w:r>
      <w:r w:rsidR="002F4A7A" w:rsidRPr="00A07F29">
        <w:rPr>
          <w:rFonts w:ascii="Times New Roman" w:eastAsia="Calibri" w:hAnsi="Times New Roman" w:cs="Times New Roman"/>
          <w:color w:val="000000"/>
          <w:sz w:val="24"/>
          <w:szCs w:val="20"/>
          <w:shd w:val="clear" w:color="auto" w:fill="FFFFFF"/>
          <w:lang w:eastAsia="ar-SA"/>
        </w:rPr>
        <w:t xml:space="preserve"> </w:t>
      </w:r>
      <w:r w:rsidRPr="00A07F29">
        <w:rPr>
          <w:rFonts w:ascii="Times New Roman" w:eastAsia="Calibri" w:hAnsi="Times New Roman" w:cs="Times New Roman"/>
          <w:color w:val="000000"/>
          <w:sz w:val="24"/>
          <w:szCs w:val="20"/>
          <w:shd w:val="clear" w:color="auto" w:fill="FFFFFF"/>
          <w:lang w:eastAsia="ar-SA"/>
        </w:rPr>
        <w:t xml:space="preserve">būtiskākā dabas aizsardzības vērtība kukaiņu klasē ir spārēm, tajā skaitā </w:t>
      </w:r>
      <w:proofErr w:type="spellStart"/>
      <w:r w:rsidRPr="00A07F29">
        <w:rPr>
          <w:rFonts w:ascii="Times New Roman" w:eastAsia="Calibri" w:hAnsi="Times New Roman" w:cs="Times New Roman"/>
          <w:i/>
          <w:iCs/>
          <w:color w:val="000000"/>
          <w:sz w:val="24"/>
          <w:szCs w:val="24"/>
          <w:lang w:eastAsia="ar-SA"/>
        </w:rPr>
        <w:t>Leucorrhinia</w:t>
      </w:r>
      <w:proofErr w:type="spellEnd"/>
      <w:r w:rsidRPr="00A07F29">
        <w:rPr>
          <w:rFonts w:ascii="Times New Roman" w:eastAsia="Calibri" w:hAnsi="Times New Roman" w:cs="Times New Roman"/>
          <w:color w:val="000000"/>
          <w:sz w:val="24"/>
          <w:szCs w:val="24"/>
          <w:shd w:val="clear" w:color="auto" w:fill="FFFFFF"/>
          <w:lang w:eastAsia="ar-SA"/>
        </w:rPr>
        <w:t xml:space="preserve"> un </w:t>
      </w:r>
      <w:proofErr w:type="spellStart"/>
      <w:r w:rsidRPr="00A07F29">
        <w:rPr>
          <w:rFonts w:ascii="Times New Roman" w:eastAsia="Calibri" w:hAnsi="Times New Roman" w:cs="Times New Roman"/>
          <w:i/>
          <w:color w:val="000000"/>
          <w:sz w:val="24"/>
          <w:szCs w:val="24"/>
          <w:shd w:val="clear" w:color="auto" w:fill="FFFFFF"/>
          <w:lang w:eastAsia="ar-SA"/>
        </w:rPr>
        <w:t>Aeshna</w:t>
      </w:r>
      <w:proofErr w:type="spellEnd"/>
      <w:r w:rsidRPr="00A07F29">
        <w:rPr>
          <w:rFonts w:ascii="Times New Roman" w:eastAsia="Calibri" w:hAnsi="Times New Roman" w:cs="Times New Roman"/>
          <w:color w:val="000000"/>
          <w:sz w:val="24"/>
          <w:szCs w:val="24"/>
          <w:shd w:val="clear" w:color="auto" w:fill="FFFFFF"/>
          <w:lang w:eastAsia="ar-SA"/>
        </w:rPr>
        <w:t xml:space="preserve"> </w:t>
      </w:r>
      <w:r w:rsidRPr="00A07F29">
        <w:rPr>
          <w:rFonts w:ascii="Times New Roman" w:eastAsia="Calibri" w:hAnsi="Times New Roman" w:cs="Times New Roman"/>
          <w:color w:val="000000"/>
          <w:sz w:val="24"/>
          <w:szCs w:val="24"/>
          <w:lang w:eastAsia="ar-SA"/>
        </w:rPr>
        <w:t>ģintīm</w:t>
      </w:r>
      <w:r w:rsidR="002F4A7A" w:rsidRPr="00A07F29">
        <w:rPr>
          <w:rFonts w:ascii="Times New Roman" w:eastAsia="Calibri" w:hAnsi="Times New Roman" w:cs="Times New Roman"/>
          <w:color w:val="000000"/>
          <w:sz w:val="24"/>
          <w:szCs w:val="24"/>
          <w:lang w:eastAsia="ar-SA"/>
        </w:rPr>
        <w:t>, kā arī</w:t>
      </w:r>
      <w:r w:rsidR="002F4A7A" w:rsidRPr="00A07F29">
        <w:rPr>
          <w:rFonts w:ascii="Times New Roman" w:eastAsia="Calibri" w:hAnsi="Times New Roman" w:cs="Times New Roman"/>
          <w:color w:val="000000"/>
          <w:sz w:val="24"/>
          <w:szCs w:val="20"/>
          <w:lang w:eastAsia="ar-SA"/>
        </w:rPr>
        <w:t xml:space="preserve"> </w:t>
      </w:r>
      <w:r w:rsidRPr="00A07F29">
        <w:rPr>
          <w:rFonts w:ascii="Times New Roman" w:eastAsia="Calibri" w:hAnsi="Times New Roman" w:cs="Times New Roman"/>
          <w:color w:val="000000"/>
          <w:sz w:val="24"/>
          <w:szCs w:val="20"/>
          <w:lang w:eastAsia="ar-SA"/>
        </w:rPr>
        <w:t xml:space="preserve">platajai </w:t>
      </w:r>
      <w:proofErr w:type="spellStart"/>
      <w:r w:rsidRPr="00A07F29">
        <w:rPr>
          <w:rFonts w:ascii="Times New Roman" w:eastAsia="Calibri" w:hAnsi="Times New Roman" w:cs="Times New Roman"/>
          <w:color w:val="000000"/>
          <w:sz w:val="24"/>
          <w:szCs w:val="20"/>
          <w:lang w:eastAsia="ar-SA"/>
        </w:rPr>
        <w:t>airvabolei</w:t>
      </w:r>
      <w:proofErr w:type="spellEnd"/>
      <w:r w:rsidRPr="00A07F29">
        <w:rPr>
          <w:rFonts w:ascii="Times New Roman" w:eastAsia="Calibri" w:hAnsi="Times New Roman" w:cs="Times New Roman"/>
          <w:color w:val="000000"/>
          <w:sz w:val="24"/>
          <w:szCs w:val="20"/>
          <w:lang w:eastAsia="ar-SA"/>
        </w:rPr>
        <w:t xml:space="preserve">. Šo sugu dzīvotni ietekmējošie faktori ir līdzīgi, no tiem būtiskākais ir </w:t>
      </w:r>
      <w:r w:rsidRPr="00A07F29">
        <w:rPr>
          <w:rFonts w:ascii="Times New Roman" w:eastAsia="Calibri" w:hAnsi="Times New Roman" w:cs="Calibri"/>
          <w:color w:val="000000"/>
          <w:sz w:val="24"/>
          <w:szCs w:val="20"/>
          <w:lang w:eastAsia="ar-SA"/>
        </w:rPr>
        <w:t xml:space="preserve">pakāpeniska ezeru eitrofikācija un to piekrastes joslas aizaugšana ar niedrēm, kā arī noēnojuma veidošanās krasta zonā, tai aizaugot ar kokiem un krūmiem. </w:t>
      </w:r>
      <w:r w:rsidR="00BF0E06" w:rsidRPr="00A07F29">
        <w:rPr>
          <w:rFonts w:ascii="Times New Roman" w:eastAsia="Calibri" w:hAnsi="Times New Roman" w:cs="Calibri"/>
          <w:color w:val="000000"/>
          <w:sz w:val="24"/>
          <w:szCs w:val="20"/>
          <w:lang w:eastAsia="ar-SA"/>
        </w:rPr>
        <w:t>DA plāna</w:t>
      </w:r>
      <w:r w:rsidRPr="00A07F29">
        <w:rPr>
          <w:rFonts w:ascii="Times New Roman" w:eastAsia="Calibri" w:hAnsi="Times New Roman" w:cs="Calibri"/>
          <w:color w:val="000000"/>
          <w:sz w:val="24"/>
          <w:szCs w:val="20"/>
          <w:lang w:eastAsia="ar-SA"/>
        </w:rPr>
        <w:t xml:space="preserve"> izstrādes ietvaros apsekotie ezeri ir piemēroti platās </w:t>
      </w:r>
      <w:proofErr w:type="spellStart"/>
      <w:r w:rsidRPr="00A07F29">
        <w:rPr>
          <w:rFonts w:ascii="Times New Roman" w:eastAsia="Calibri" w:hAnsi="Times New Roman" w:cs="Calibri"/>
          <w:color w:val="000000"/>
          <w:sz w:val="24"/>
          <w:szCs w:val="20"/>
          <w:lang w:eastAsia="ar-SA"/>
        </w:rPr>
        <w:t>airvaboles</w:t>
      </w:r>
      <w:proofErr w:type="spellEnd"/>
      <w:r w:rsidRPr="00A07F29">
        <w:rPr>
          <w:rFonts w:ascii="Times New Roman" w:eastAsia="Calibri" w:hAnsi="Times New Roman" w:cs="Calibri"/>
          <w:color w:val="000000"/>
          <w:sz w:val="24"/>
          <w:szCs w:val="20"/>
          <w:lang w:eastAsia="ar-SA"/>
        </w:rPr>
        <w:t xml:space="preserve"> u</w:t>
      </w:r>
      <w:r w:rsidR="002F4A7A" w:rsidRPr="00A07F29">
        <w:rPr>
          <w:rFonts w:ascii="Times New Roman" w:eastAsia="Calibri" w:hAnsi="Times New Roman" w:cs="Calibri"/>
          <w:color w:val="000000"/>
          <w:sz w:val="24"/>
          <w:szCs w:val="20"/>
          <w:lang w:eastAsia="ar-SA"/>
        </w:rPr>
        <w:t xml:space="preserve">.c. </w:t>
      </w:r>
      <w:r w:rsidRPr="00A07F29">
        <w:rPr>
          <w:rFonts w:ascii="Times New Roman" w:eastAsia="Calibri" w:hAnsi="Times New Roman" w:cs="Calibri"/>
          <w:color w:val="000000"/>
          <w:sz w:val="24"/>
          <w:szCs w:val="20"/>
          <w:lang w:eastAsia="ar-SA"/>
        </w:rPr>
        <w:t>aizsargājamo sugu sastopamībai, līdz ar to specifiskie biotopa apsaimniekošanas pasākumi nav nepieciešami.</w:t>
      </w:r>
    </w:p>
    <w:p w14:paraId="67C2C077" w14:textId="069CF9AA" w:rsidR="009072CE" w:rsidRPr="00A07F29" w:rsidRDefault="009072CE" w:rsidP="004C36A7">
      <w:pPr>
        <w:shd w:val="clear" w:color="auto" w:fill="FFFFFF"/>
        <w:suppressAutoHyphens/>
        <w:spacing w:after="120" w:line="240" w:lineRule="auto"/>
        <w:ind w:firstLine="851"/>
        <w:jc w:val="both"/>
        <w:rPr>
          <w:rFonts w:ascii="Times New Roman" w:eastAsia="Calibri" w:hAnsi="Times New Roman" w:cs="Calibri"/>
          <w:color w:val="000000"/>
          <w:sz w:val="24"/>
          <w:szCs w:val="20"/>
          <w:lang w:eastAsia="ar-SA"/>
        </w:rPr>
      </w:pPr>
      <w:r w:rsidRPr="00A07F29">
        <w:rPr>
          <w:rFonts w:ascii="Times New Roman" w:eastAsia="Calibri" w:hAnsi="Times New Roman" w:cs="Calibri"/>
          <w:color w:val="000000"/>
          <w:sz w:val="24"/>
          <w:szCs w:val="20"/>
          <w:lang w:eastAsia="ar-SA"/>
        </w:rPr>
        <w:t xml:space="preserve">Būtiskas platības </w:t>
      </w:r>
      <w:r w:rsidR="006C2F6E" w:rsidRPr="00A07F29">
        <w:rPr>
          <w:rFonts w:ascii="Times New Roman" w:eastAsia="Calibri" w:hAnsi="Times New Roman" w:cs="Calibri"/>
          <w:color w:val="000000"/>
          <w:sz w:val="24"/>
          <w:szCs w:val="20"/>
          <w:lang w:eastAsia="ar-SA"/>
        </w:rPr>
        <w:t>AAA “Augšdaugava”</w:t>
      </w:r>
      <w:r w:rsidRPr="00A07F29">
        <w:rPr>
          <w:rFonts w:ascii="Times New Roman" w:eastAsia="Calibri" w:hAnsi="Times New Roman" w:cs="Calibri"/>
          <w:color w:val="000000"/>
          <w:sz w:val="24"/>
          <w:szCs w:val="20"/>
          <w:lang w:eastAsia="ar-SA"/>
        </w:rPr>
        <w:t xml:space="preserve"> aizņem zālāju biotopi, kas ir dažādām kukaiņu kārtām piemērota dzīvotne. </w:t>
      </w:r>
      <w:r w:rsidR="006C2F6E" w:rsidRPr="00A07F29">
        <w:rPr>
          <w:rFonts w:ascii="Times New Roman" w:eastAsia="Calibri" w:hAnsi="Times New Roman" w:cs="Calibri"/>
          <w:color w:val="000000"/>
          <w:sz w:val="24"/>
          <w:szCs w:val="20"/>
          <w:lang w:eastAsia="ar-SA"/>
        </w:rPr>
        <w:t xml:space="preserve">Lielākā </w:t>
      </w:r>
      <w:r w:rsidRPr="00A07F29">
        <w:rPr>
          <w:rFonts w:ascii="Times New Roman" w:eastAsia="Calibri" w:hAnsi="Times New Roman" w:cs="Calibri"/>
          <w:color w:val="000000"/>
          <w:sz w:val="24"/>
          <w:szCs w:val="20"/>
          <w:lang w:eastAsia="ar-SA"/>
        </w:rPr>
        <w:t>dabas aizsardzības vērtība zālājos ir tauriņu sugu daudzveidībai, īpašu uzmanību pievēršot</w:t>
      </w:r>
      <w:r w:rsidRPr="00A07F29">
        <w:rPr>
          <w:rFonts w:ascii="Times New Roman" w:eastAsia="Calibri" w:hAnsi="Times New Roman" w:cs="Calibri"/>
          <w:color w:val="000000"/>
          <w:sz w:val="32"/>
          <w:szCs w:val="20"/>
          <w:lang w:eastAsia="ar-SA"/>
        </w:rPr>
        <w:t xml:space="preserve"> </w:t>
      </w:r>
      <w:proofErr w:type="spellStart"/>
      <w:r w:rsidRPr="00A07F29">
        <w:rPr>
          <w:rFonts w:ascii="Times New Roman" w:eastAsia="Calibri" w:hAnsi="Times New Roman" w:cs="Times New Roman"/>
          <w:color w:val="000000"/>
          <w:spacing w:val="1"/>
          <w:sz w:val="24"/>
          <w:szCs w:val="20"/>
          <w:lang w:eastAsia="ar-SA"/>
        </w:rPr>
        <w:t>skabiosu</w:t>
      </w:r>
      <w:proofErr w:type="spellEnd"/>
      <w:r w:rsidRPr="00A07F29">
        <w:rPr>
          <w:rFonts w:ascii="Times New Roman" w:eastAsia="Calibri" w:hAnsi="Times New Roman" w:cs="Times New Roman"/>
          <w:color w:val="000000"/>
          <w:spacing w:val="1"/>
          <w:sz w:val="24"/>
          <w:szCs w:val="20"/>
          <w:lang w:eastAsia="ar-SA"/>
        </w:rPr>
        <w:t xml:space="preserve"> </w:t>
      </w:r>
      <w:proofErr w:type="spellStart"/>
      <w:r w:rsidRPr="00A07F29">
        <w:rPr>
          <w:rFonts w:ascii="Times New Roman" w:eastAsia="Calibri" w:hAnsi="Times New Roman" w:cs="Times New Roman"/>
          <w:color w:val="000000"/>
          <w:spacing w:val="1"/>
          <w:sz w:val="24"/>
          <w:szCs w:val="20"/>
          <w:lang w:eastAsia="ar-SA"/>
        </w:rPr>
        <w:t>pļavraibenim</w:t>
      </w:r>
      <w:proofErr w:type="spellEnd"/>
      <w:r w:rsidRPr="00A07F29">
        <w:rPr>
          <w:rFonts w:ascii="Times New Roman" w:eastAsia="Calibri" w:hAnsi="Times New Roman" w:cs="Times New Roman"/>
          <w:color w:val="000000"/>
          <w:spacing w:val="1"/>
          <w:sz w:val="24"/>
          <w:szCs w:val="20"/>
          <w:lang w:eastAsia="ar-SA"/>
        </w:rPr>
        <w:t xml:space="preserve"> un zirgskābeņu </w:t>
      </w:r>
      <w:proofErr w:type="spellStart"/>
      <w:r w:rsidRPr="00A07F29">
        <w:rPr>
          <w:rFonts w:ascii="Times New Roman" w:eastAsia="Calibri" w:hAnsi="Times New Roman" w:cs="Times New Roman"/>
          <w:color w:val="000000"/>
          <w:spacing w:val="1"/>
          <w:sz w:val="24"/>
          <w:szCs w:val="20"/>
          <w:lang w:eastAsia="ar-SA"/>
        </w:rPr>
        <w:t>zilenītim</w:t>
      </w:r>
      <w:proofErr w:type="spellEnd"/>
      <w:r w:rsidRPr="00A07F29">
        <w:rPr>
          <w:rFonts w:ascii="Times New Roman" w:eastAsia="Calibri" w:hAnsi="Times New Roman" w:cs="Times New Roman"/>
          <w:color w:val="000000"/>
          <w:spacing w:val="1"/>
          <w:sz w:val="24"/>
          <w:szCs w:val="20"/>
          <w:lang w:eastAsia="ar-SA"/>
        </w:rPr>
        <w:t>.</w:t>
      </w:r>
      <w:r w:rsidRPr="00A07F29">
        <w:rPr>
          <w:rFonts w:ascii="Times New Roman" w:eastAsia="Calibri" w:hAnsi="Times New Roman" w:cs="Calibri"/>
          <w:color w:val="000000"/>
          <w:sz w:val="24"/>
          <w:szCs w:val="20"/>
          <w:lang w:eastAsia="ar-SA"/>
        </w:rPr>
        <w:t xml:space="preserve"> </w:t>
      </w:r>
      <w:r w:rsidR="006C2F6E" w:rsidRPr="00A07F29">
        <w:rPr>
          <w:rFonts w:ascii="Times New Roman" w:eastAsia="Calibri" w:hAnsi="Times New Roman" w:cs="Calibri"/>
          <w:color w:val="000000"/>
          <w:sz w:val="24"/>
          <w:szCs w:val="20"/>
          <w:lang w:eastAsia="ar-SA"/>
        </w:rPr>
        <w:t xml:space="preserve">Salīdzinoši lielas </w:t>
      </w:r>
      <w:r w:rsidRPr="00A07F29">
        <w:rPr>
          <w:rFonts w:ascii="Times New Roman" w:eastAsia="Calibri" w:hAnsi="Times New Roman" w:cs="Calibri"/>
          <w:color w:val="000000"/>
          <w:sz w:val="24"/>
          <w:szCs w:val="20"/>
          <w:lang w:eastAsia="ar-SA"/>
        </w:rPr>
        <w:t xml:space="preserve">platības </w:t>
      </w:r>
      <w:r w:rsidR="006C2F6E" w:rsidRPr="00A07F29">
        <w:rPr>
          <w:rFonts w:ascii="Times New Roman" w:eastAsia="Calibri" w:hAnsi="Times New Roman" w:cs="Calibri"/>
          <w:color w:val="000000"/>
          <w:sz w:val="24"/>
          <w:szCs w:val="20"/>
          <w:lang w:eastAsia="ar-SA"/>
        </w:rPr>
        <w:t>AAA “Augšdaugava”</w:t>
      </w:r>
      <w:r w:rsidRPr="00A07F29">
        <w:rPr>
          <w:rFonts w:ascii="Times New Roman" w:eastAsia="Calibri" w:hAnsi="Times New Roman" w:cs="Calibri"/>
          <w:color w:val="000000"/>
          <w:sz w:val="24"/>
          <w:szCs w:val="20"/>
          <w:lang w:eastAsia="ar-SA"/>
        </w:rPr>
        <w:t xml:space="preserve"> </w:t>
      </w:r>
      <w:r w:rsidR="006C2F6E" w:rsidRPr="00A07F29">
        <w:rPr>
          <w:rFonts w:ascii="Times New Roman" w:eastAsia="Calibri" w:hAnsi="Times New Roman" w:cs="Calibri"/>
          <w:color w:val="000000"/>
          <w:sz w:val="24"/>
          <w:szCs w:val="20"/>
          <w:lang w:eastAsia="ar-SA"/>
        </w:rPr>
        <w:t xml:space="preserve">aizņem ES nozīmes biotops </w:t>
      </w:r>
      <w:r w:rsidRPr="00A07F29">
        <w:rPr>
          <w:rFonts w:ascii="Times New Roman" w:eastAsia="Calibri" w:hAnsi="Times New Roman" w:cs="Calibri"/>
          <w:color w:val="000000"/>
          <w:sz w:val="24"/>
          <w:szCs w:val="20"/>
          <w:lang w:eastAsia="ar-SA"/>
        </w:rPr>
        <w:t>6210</w:t>
      </w:r>
      <w:r w:rsidR="00536AF5">
        <w:rPr>
          <w:rFonts w:ascii="Times New Roman" w:eastAsia="Calibri" w:hAnsi="Times New Roman" w:cs="Calibri"/>
          <w:color w:val="000000"/>
          <w:sz w:val="24"/>
          <w:szCs w:val="20"/>
          <w:lang w:eastAsia="ar-SA"/>
        </w:rPr>
        <w:t> </w:t>
      </w:r>
      <w:r w:rsidRPr="00536AF5">
        <w:rPr>
          <w:rFonts w:ascii="Times New Roman" w:eastAsia="Calibri" w:hAnsi="Times New Roman" w:cs="Calibri"/>
          <w:i/>
          <w:iCs/>
          <w:color w:val="000000"/>
          <w:sz w:val="24"/>
          <w:szCs w:val="20"/>
          <w:lang w:eastAsia="ar-SA"/>
        </w:rPr>
        <w:t>S</w:t>
      </w:r>
      <w:r w:rsidRPr="00A07F29">
        <w:rPr>
          <w:rFonts w:ascii="Times New Roman" w:eastAsia="Calibri" w:hAnsi="Times New Roman" w:cs="Calibri"/>
          <w:i/>
          <w:color w:val="000000"/>
          <w:sz w:val="24"/>
          <w:szCs w:val="20"/>
          <w:lang w:eastAsia="ar-SA"/>
        </w:rPr>
        <w:t>ausi zālāji kaļķainās augsnēs</w:t>
      </w:r>
      <w:r w:rsidRPr="00A07F29">
        <w:rPr>
          <w:rFonts w:ascii="Times New Roman" w:eastAsia="Calibri" w:hAnsi="Times New Roman" w:cs="Calibri"/>
          <w:color w:val="000000"/>
          <w:sz w:val="24"/>
          <w:szCs w:val="20"/>
          <w:lang w:eastAsia="ar-SA"/>
        </w:rPr>
        <w:t xml:space="preserve">. </w:t>
      </w:r>
      <w:r w:rsidRPr="00A07F29">
        <w:rPr>
          <w:rFonts w:ascii="Times New Roman" w:eastAsia="Calibri" w:hAnsi="Times New Roman" w:cs="Times New Roman"/>
          <w:color w:val="000000"/>
          <w:sz w:val="24"/>
          <w:szCs w:val="20"/>
          <w:lang w:eastAsia="ar-SA"/>
        </w:rPr>
        <w:t xml:space="preserve">Šīs pļavas ir </w:t>
      </w:r>
      <w:r w:rsidRPr="00A07F29">
        <w:rPr>
          <w:rFonts w:ascii="Times New Roman" w:eastAsia="Calibri" w:hAnsi="Times New Roman" w:cs="Times New Roman"/>
          <w:color w:val="000000"/>
          <w:sz w:val="24"/>
          <w:szCs w:val="20"/>
          <w:shd w:val="clear" w:color="auto" w:fill="FFFFFF"/>
          <w:lang w:eastAsia="ar-SA"/>
        </w:rPr>
        <w:t xml:space="preserve">izcils aizsargājamo tauriņu barošanās biotops – it īpaši </w:t>
      </w:r>
      <w:proofErr w:type="spellStart"/>
      <w:r w:rsidRPr="00A07F29">
        <w:rPr>
          <w:rFonts w:ascii="Times New Roman" w:eastAsia="Calibri" w:hAnsi="Times New Roman" w:cs="Times New Roman"/>
          <w:color w:val="000000"/>
          <w:sz w:val="24"/>
          <w:szCs w:val="20"/>
          <w:shd w:val="clear" w:color="auto" w:fill="FFFFFF"/>
          <w:lang w:eastAsia="ar-SA"/>
        </w:rPr>
        <w:t>skabiozu</w:t>
      </w:r>
      <w:proofErr w:type="spellEnd"/>
      <w:r w:rsidRPr="00A07F29">
        <w:rPr>
          <w:rFonts w:ascii="Times New Roman" w:eastAsia="Calibri" w:hAnsi="Times New Roman" w:cs="Times New Roman"/>
          <w:color w:val="000000"/>
          <w:sz w:val="24"/>
          <w:szCs w:val="20"/>
          <w:shd w:val="clear" w:color="auto" w:fill="FFFFFF"/>
          <w:lang w:eastAsia="ar-SA"/>
        </w:rPr>
        <w:t xml:space="preserve"> </w:t>
      </w:r>
      <w:proofErr w:type="spellStart"/>
      <w:r w:rsidRPr="00A07F29">
        <w:rPr>
          <w:rFonts w:ascii="Times New Roman" w:eastAsia="Calibri" w:hAnsi="Times New Roman" w:cs="Times New Roman"/>
          <w:color w:val="000000"/>
          <w:sz w:val="24"/>
          <w:szCs w:val="20"/>
          <w:shd w:val="clear" w:color="auto" w:fill="FFFFFF"/>
          <w:lang w:eastAsia="ar-SA"/>
        </w:rPr>
        <w:t>pļavraibeņa</w:t>
      </w:r>
      <w:proofErr w:type="spellEnd"/>
      <w:r w:rsidRPr="00A07F29">
        <w:rPr>
          <w:rFonts w:ascii="Times New Roman" w:eastAsia="Calibri" w:hAnsi="Times New Roman" w:cs="Times New Roman"/>
          <w:color w:val="000000"/>
          <w:sz w:val="24"/>
          <w:szCs w:val="20"/>
          <w:shd w:val="clear" w:color="auto" w:fill="FFFFFF"/>
          <w:lang w:eastAsia="ar-SA"/>
        </w:rPr>
        <w:t xml:space="preserve"> un zirgskābeņu </w:t>
      </w:r>
      <w:proofErr w:type="spellStart"/>
      <w:r w:rsidRPr="00A07F29">
        <w:rPr>
          <w:rFonts w:ascii="Times New Roman" w:eastAsia="Calibri" w:hAnsi="Times New Roman" w:cs="Times New Roman"/>
          <w:color w:val="000000"/>
          <w:sz w:val="24"/>
          <w:szCs w:val="20"/>
          <w:shd w:val="clear" w:color="auto" w:fill="FFFFFF"/>
          <w:lang w:eastAsia="ar-SA"/>
        </w:rPr>
        <w:t>zilenīša</w:t>
      </w:r>
      <w:proofErr w:type="spellEnd"/>
      <w:r w:rsidRPr="00A07F29">
        <w:rPr>
          <w:rFonts w:ascii="Times New Roman" w:eastAsia="Calibri" w:hAnsi="Times New Roman" w:cs="Times New Roman"/>
          <w:color w:val="000000"/>
          <w:sz w:val="24"/>
          <w:szCs w:val="20"/>
          <w:shd w:val="clear" w:color="auto" w:fill="FFFFFF"/>
          <w:lang w:eastAsia="ar-SA"/>
        </w:rPr>
        <w:t>, tomēr</w:t>
      </w:r>
      <w:r w:rsidRPr="00A07F29">
        <w:rPr>
          <w:rFonts w:ascii="Times New Roman" w:eastAsia="Calibri" w:hAnsi="Times New Roman" w:cs="Times New Roman"/>
          <w:color w:val="000000"/>
          <w:sz w:val="24"/>
          <w:szCs w:val="20"/>
          <w:lang w:eastAsia="ar-SA"/>
        </w:rPr>
        <w:t xml:space="preserve"> nav optimāls šo sugu kāpuru attīstībai. Tam piemērotāki biotopi ir </w:t>
      </w:r>
      <w:r w:rsidRPr="00A07F29">
        <w:rPr>
          <w:rFonts w:ascii="Times New Roman" w:eastAsia="Calibri" w:hAnsi="Times New Roman" w:cs="Calibri"/>
          <w:color w:val="000000"/>
          <w:sz w:val="24"/>
          <w:szCs w:val="20"/>
          <w:lang w:eastAsia="ar-SA"/>
        </w:rPr>
        <w:t>6270</w:t>
      </w:r>
      <w:r w:rsidR="00CE1464" w:rsidRPr="00A07F29">
        <w:rPr>
          <w:rFonts w:ascii="Times New Roman" w:eastAsia="Calibri" w:hAnsi="Times New Roman" w:cs="Calibri"/>
          <w:color w:val="000000"/>
          <w:sz w:val="24"/>
          <w:szCs w:val="20"/>
          <w:lang w:eastAsia="ar-SA"/>
        </w:rPr>
        <w:t>*</w:t>
      </w:r>
      <w:r w:rsidR="007A356F">
        <w:rPr>
          <w:rFonts w:ascii="Times New Roman" w:eastAsia="Calibri" w:hAnsi="Times New Roman" w:cs="Calibri"/>
          <w:color w:val="000000"/>
          <w:sz w:val="24"/>
          <w:szCs w:val="20"/>
          <w:lang w:eastAsia="ar-SA"/>
        </w:rPr>
        <w:t> </w:t>
      </w:r>
      <w:r w:rsidRPr="00A07F29">
        <w:rPr>
          <w:rFonts w:ascii="Times New Roman" w:eastAsia="Calibri" w:hAnsi="Times New Roman" w:cs="Calibri"/>
          <w:i/>
          <w:color w:val="000000"/>
          <w:sz w:val="24"/>
          <w:szCs w:val="20"/>
          <w:lang w:eastAsia="ar-SA"/>
        </w:rPr>
        <w:t>Sugām bagātas ganības un ganītas pļavas</w:t>
      </w:r>
      <w:r w:rsidR="007A770C" w:rsidRPr="00A07F29">
        <w:rPr>
          <w:rFonts w:ascii="Times New Roman" w:eastAsia="Calibri" w:hAnsi="Times New Roman" w:cs="Calibri"/>
          <w:color w:val="000000"/>
          <w:sz w:val="24"/>
          <w:szCs w:val="20"/>
          <w:lang w:eastAsia="ar-SA"/>
        </w:rPr>
        <w:t xml:space="preserve"> </w:t>
      </w:r>
      <w:r w:rsidRPr="00A07F29">
        <w:rPr>
          <w:rFonts w:ascii="Times New Roman" w:eastAsia="Calibri" w:hAnsi="Times New Roman" w:cs="Calibri"/>
          <w:color w:val="000000"/>
          <w:sz w:val="24"/>
          <w:szCs w:val="20"/>
          <w:lang w:eastAsia="ar-SA"/>
        </w:rPr>
        <w:t>un 6450</w:t>
      </w:r>
      <w:r w:rsidR="007A356F">
        <w:rPr>
          <w:rFonts w:ascii="Times New Roman" w:eastAsia="Calibri" w:hAnsi="Times New Roman" w:cs="Calibri"/>
          <w:color w:val="000000"/>
          <w:sz w:val="24"/>
          <w:szCs w:val="20"/>
          <w:lang w:eastAsia="ar-SA"/>
        </w:rPr>
        <w:t> </w:t>
      </w:r>
      <w:r w:rsidRPr="00A07F29">
        <w:rPr>
          <w:rFonts w:ascii="Times New Roman" w:eastAsia="Calibri" w:hAnsi="Times New Roman" w:cs="Calibri"/>
          <w:i/>
          <w:color w:val="000000"/>
          <w:sz w:val="24"/>
          <w:szCs w:val="20"/>
          <w:lang w:eastAsia="ar-SA"/>
        </w:rPr>
        <w:t>Palieņu zālāji</w:t>
      </w:r>
      <w:r w:rsidRPr="00A07F29">
        <w:rPr>
          <w:rFonts w:ascii="Times New Roman" w:eastAsia="Calibri" w:hAnsi="Times New Roman" w:cs="Calibri"/>
          <w:color w:val="000000"/>
          <w:sz w:val="24"/>
          <w:szCs w:val="20"/>
          <w:lang w:eastAsia="ar-SA"/>
        </w:rPr>
        <w:t>. Zālāju biotopu ilglaicīgai pastāvēšanai ir nepieciešami tiem atbilstošie apsaimniekošanas pasākumi</w:t>
      </w:r>
      <w:r w:rsidR="006C2F6E" w:rsidRPr="00A07F29">
        <w:rPr>
          <w:rFonts w:ascii="Times New Roman" w:eastAsia="Calibri" w:hAnsi="Times New Roman" w:cs="Calibri"/>
          <w:color w:val="000000"/>
          <w:sz w:val="24"/>
          <w:szCs w:val="20"/>
          <w:lang w:eastAsia="ar-SA"/>
        </w:rPr>
        <w:t xml:space="preserve"> – </w:t>
      </w:r>
      <w:r w:rsidRPr="00A07F29">
        <w:rPr>
          <w:rFonts w:ascii="Times New Roman" w:eastAsia="Calibri" w:hAnsi="Times New Roman" w:cs="Calibri"/>
          <w:color w:val="000000"/>
          <w:sz w:val="24"/>
          <w:szCs w:val="20"/>
          <w:lang w:eastAsia="ar-SA"/>
        </w:rPr>
        <w:t xml:space="preserve">pļaušana vai </w:t>
      </w:r>
      <w:r w:rsidR="006C2F6E" w:rsidRPr="00A07F29">
        <w:rPr>
          <w:rFonts w:ascii="Times New Roman" w:eastAsia="Calibri" w:hAnsi="Times New Roman" w:cs="Calibri"/>
          <w:color w:val="000000"/>
          <w:sz w:val="24"/>
          <w:szCs w:val="20"/>
          <w:lang w:eastAsia="ar-SA"/>
        </w:rPr>
        <w:t>no</w:t>
      </w:r>
      <w:r w:rsidRPr="00A07F29">
        <w:rPr>
          <w:rFonts w:ascii="Times New Roman" w:eastAsia="Calibri" w:hAnsi="Times New Roman" w:cs="Calibri"/>
          <w:color w:val="000000"/>
          <w:sz w:val="24"/>
          <w:szCs w:val="20"/>
          <w:lang w:eastAsia="ar-SA"/>
        </w:rPr>
        <w:t xml:space="preserve">ganīšana. Zirgskābeņu </w:t>
      </w:r>
      <w:proofErr w:type="spellStart"/>
      <w:r w:rsidRPr="00A07F29">
        <w:rPr>
          <w:rFonts w:ascii="Times New Roman" w:eastAsia="Calibri" w:hAnsi="Times New Roman" w:cs="Calibri"/>
          <w:color w:val="000000"/>
          <w:sz w:val="24"/>
          <w:szCs w:val="20"/>
          <w:lang w:eastAsia="ar-SA"/>
        </w:rPr>
        <w:t>zilenīša</w:t>
      </w:r>
      <w:proofErr w:type="spellEnd"/>
      <w:r w:rsidRPr="00A07F29">
        <w:rPr>
          <w:rFonts w:ascii="Times New Roman" w:eastAsia="Calibri" w:hAnsi="Times New Roman" w:cs="Calibri"/>
          <w:color w:val="000000"/>
          <w:sz w:val="24"/>
          <w:szCs w:val="20"/>
          <w:lang w:eastAsia="ar-SA"/>
        </w:rPr>
        <w:t xml:space="preserve"> atradnes galvenokārt ir reģistrētas visā Daugavas ielejā, kur ir bieži sastopami sugai nepieciešamie barības augi – skābenes. Ņemot vērā barības augu un tauriņu samērā plašu sastopamību, nav nepieciešami </w:t>
      </w:r>
      <w:r w:rsidR="006C2F6E" w:rsidRPr="00A07F29">
        <w:rPr>
          <w:rFonts w:ascii="Times New Roman" w:eastAsia="Calibri" w:hAnsi="Times New Roman" w:cs="Calibri"/>
          <w:color w:val="000000"/>
          <w:sz w:val="24"/>
          <w:szCs w:val="20"/>
          <w:lang w:eastAsia="ar-SA"/>
        </w:rPr>
        <w:t xml:space="preserve">sugām </w:t>
      </w:r>
      <w:r w:rsidRPr="00A07F29">
        <w:rPr>
          <w:rFonts w:ascii="Times New Roman" w:eastAsia="Calibri" w:hAnsi="Times New Roman" w:cs="Calibri"/>
          <w:color w:val="000000"/>
          <w:sz w:val="24"/>
          <w:szCs w:val="20"/>
          <w:lang w:eastAsia="ar-SA"/>
        </w:rPr>
        <w:t xml:space="preserve">specifiski zālāju apsaimniekošanas pasākumi, ir </w:t>
      </w:r>
      <w:r w:rsidR="006C2F6E" w:rsidRPr="00A07F29">
        <w:rPr>
          <w:rFonts w:ascii="Times New Roman" w:eastAsia="Calibri" w:hAnsi="Times New Roman" w:cs="Calibri"/>
          <w:color w:val="000000"/>
          <w:sz w:val="24"/>
          <w:szCs w:val="20"/>
          <w:lang w:eastAsia="ar-SA"/>
        </w:rPr>
        <w:t xml:space="preserve">pietiekami </w:t>
      </w:r>
      <w:r w:rsidRPr="00A07F29">
        <w:rPr>
          <w:rFonts w:ascii="Times New Roman" w:eastAsia="Calibri" w:hAnsi="Times New Roman" w:cs="Calibri"/>
          <w:color w:val="000000"/>
          <w:sz w:val="24"/>
          <w:szCs w:val="20"/>
          <w:lang w:eastAsia="ar-SA"/>
        </w:rPr>
        <w:t xml:space="preserve">ar attiecīgo zālāju biotopu </w:t>
      </w:r>
      <w:r w:rsidR="006C2F6E" w:rsidRPr="00A07F29">
        <w:rPr>
          <w:rFonts w:ascii="Times New Roman" w:eastAsia="Calibri" w:hAnsi="Times New Roman" w:cs="Calibri"/>
          <w:color w:val="000000"/>
          <w:sz w:val="24"/>
          <w:szCs w:val="20"/>
          <w:lang w:eastAsia="ar-SA"/>
        </w:rPr>
        <w:t>apsaimniekošanu</w:t>
      </w:r>
      <w:r w:rsidRPr="00A07F29">
        <w:rPr>
          <w:rFonts w:ascii="Times New Roman" w:eastAsia="Calibri" w:hAnsi="Times New Roman" w:cs="Calibri"/>
          <w:color w:val="000000"/>
          <w:sz w:val="24"/>
          <w:szCs w:val="20"/>
          <w:lang w:eastAsia="ar-SA"/>
        </w:rPr>
        <w:t>.</w:t>
      </w:r>
    </w:p>
    <w:p w14:paraId="03E94C4C" w14:textId="06E7E8CC" w:rsidR="006C2F6E" w:rsidRPr="00A07F29" w:rsidRDefault="009072CE" w:rsidP="00BA4E21">
      <w:pPr>
        <w:shd w:val="clear" w:color="auto" w:fill="FFFFFF"/>
        <w:suppressAutoHyphens/>
        <w:spacing w:after="120" w:line="240" w:lineRule="auto"/>
        <w:ind w:firstLine="851"/>
        <w:jc w:val="both"/>
        <w:rPr>
          <w:rFonts w:ascii="Times New Roman" w:eastAsia="Calibri" w:hAnsi="Times New Roman" w:cs="Calibri"/>
          <w:color w:val="000000"/>
          <w:sz w:val="24"/>
          <w:szCs w:val="20"/>
          <w:lang w:eastAsia="ar-SA"/>
        </w:rPr>
      </w:pPr>
      <w:r w:rsidRPr="00A07F29">
        <w:rPr>
          <w:rFonts w:ascii="Times New Roman" w:eastAsia="Calibri" w:hAnsi="Times New Roman" w:cs="Calibri"/>
          <w:color w:val="000000"/>
          <w:sz w:val="24"/>
          <w:szCs w:val="20"/>
          <w:lang w:eastAsia="ar-SA"/>
        </w:rPr>
        <w:t xml:space="preserve">AAA “Augšdaugava” teritorijā dominē </w:t>
      </w:r>
      <w:r w:rsidR="006C2F6E" w:rsidRPr="00A07F29">
        <w:rPr>
          <w:rFonts w:ascii="Times New Roman" w:eastAsia="Calibri" w:hAnsi="Times New Roman" w:cs="Calibri"/>
          <w:color w:val="000000"/>
          <w:sz w:val="24"/>
          <w:szCs w:val="20"/>
          <w:lang w:eastAsia="ar-SA"/>
        </w:rPr>
        <w:t xml:space="preserve">priežu </w:t>
      </w:r>
      <w:r w:rsidRPr="00A07F29">
        <w:rPr>
          <w:rFonts w:ascii="Times New Roman" w:eastAsia="Calibri" w:hAnsi="Times New Roman" w:cs="Calibri"/>
          <w:color w:val="000000"/>
          <w:sz w:val="24"/>
          <w:szCs w:val="20"/>
          <w:lang w:eastAsia="ar-SA"/>
        </w:rPr>
        <w:t xml:space="preserve">meži un daļa no šīm mežaudzēm atbilst ES nozīmes aizsargājamam biotopam </w:t>
      </w:r>
      <w:r w:rsidR="007A770C" w:rsidRPr="00A07F29">
        <w:rPr>
          <w:rFonts w:ascii="Times New Roman" w:eastAsia="Calibri" w:hAnsi="Times New Roman" w:cs="Calibri"/>
          <w:color w:val="000000"/>
          <w:sz w:val="24"/>
          <w:szCs w:val="20"/>
          <w:lang w:eastAsia="ar-SA"/>
        </w:rPr>
        <w:t>9010</w:t>
      </w:r>
      <w:r w:rsidR="00CE1464" w:rsidRPr="00A07F29">
        <w:rPr>
          <w:rFonts w:ascii="Times New Roman" w:eastAsia="Calibri" w:hAnsi="Times New Roman" w:cs="Calibri"/>
          <w:color w:val="000000"/>
          <w:sz w:val="24"/>
          <w:szCs w:val="20"/>
          <w:lang w:eastAsia="ar-SA"/>
        </w:rPr>
        <w:t>*</w:t>
      </w:r>
      <w:r w:rsidR="00D510BF">
        <w:rPr>
          <w:rFonts w:ascii="Times New Roman" w:eastAsia="Calibri" w:hAnsi="Times New Roman" w:cs="Calibri"/>
          <w:color w:val="000000"/>
          <w:sz w:val="24"/>
          <w:szCs w:val="20"/>
          <w:lang w:eastAsia="ar-SA"/>
        </w:rPr>
        <w:t> </w:t>
      </w:r>
      <w:r w:rsidRPr="00A07F29">
        <w:rPr>
          <w:rFonts w:ascii="Times New Roman" w:eastAsia="Calibri" w:hAnsi="Times New Roman" w:cs="Calibri"/>
          <w:i/>
          <w:color w:val="000000"/>
          <w:sz w:val="24"/>
          <w:szCs w:val="20"/>
          <w:lang w:eastAsia="ar-SA"/>
        </w:rPr>
        <w:t xml:space="preserve">Veci vai dabiski </w:t>
      </w:r>
      <w:proofErr w:type="spellStart"/>
      <w:r w:rsidRPr="00A07F29">
        <w:rPr>
          <w:rFonts w:ascii="Times New Roman" w:eastAsia="Calibri" w:hAnsi="Times New Roman" w:cs="Calibri"/>
          <w:i/>
          <w:color w:val="000000"/>
          <w:sz w:val="24"/>
          <w:szCs w:val="20"/>
          <w:lang w:eastAsia="ar-SA"/>
        </w:rPr>
        <w:t>boreāli</w:t>
      </w:r>
      <w:proofErr w:type="spellEnd"/>
      <w:r w:rsidRPr="00A07F29">
        <w:rPr>
          <w:rFonts w:ascii="Times New Roman" w:eastAsia="Calibri" w:hAnsi="Times New Roman" w:cs="Calibri"/>
          <w:i/>
          <w:color w:val="000000"/>
          <w:sz w:val="24"/>
          <w:szCs w:val="20"/>
          <w:lang w:eastAsia="ar-SA"/>
        </w:rPr>
        <w:t xml:space="preserve"> meži</w:t>
      </w:r>
      <w:r w:rsidR="007A770C" w:rsidRPr="00A07F29">
        <w:rPr>
          <w:rFonts w:ascii="Times New Roman" w:eastAsia="Calibri" w:hAnsi="Times New Roman" w:cs="Calibri"/>
          <w:color w:val="000000"/>
          <w:sz w:val="24"/>
          <w:szCs w:val="20"/>
          <w:lang w:eastAsia="ar-SA"/>
        </w:rPr>
        <w:t>.</w:t>
      </w:r>
      <w:r w:rsidR="006C2F6E" w:rsidRPr="00A07F29">
        <w:rPr>
          <w:rFonts w:ascii="Times New Roman" w:eastAsia="Calibri" w:hAnsi="Times New Roman" w:cs="Calibri"/>
          <w:color w:val="000000"/>
          <w:sz w:val="24"/>
          <w:szCs w:val="20"/>
          <w:lang w:eastAsia="ar-SA"/>
        </w:rPr>
        <w:t xml:space="preserve"> </w:t>
      </w:r>
      <w:r w:rsidRPr="00A07F29">
        <w:rPr>
          <w:rFonts w:ascii="Times New Roman" w:eastAsia="Calibri" w:hAnsi="Times New Roman" w:cs="Calibri"/>
          <w:color w:val="000000"/>
          <w:sz w:val="24"/>
          <w:szCs w:val="20"/>
          <w:lang w:eastAsia="ar-SA"/>
        </w:rPr>
        <w:t>Ar šo biotopu ir saistīta</w:t>
      </w:r>
      <w:r w:rsidR="006C2F6E" w:rsidRPr="00A07F29">
        <w:rPr>
          <w:rFonts w:ascii="Times New Roman" w:eastAsia="Calibri" w:hAnsi="Times New Roman" w:cs="Calibri"/>
          <w:color w:val="000000"/>
          <w:sz w:val="24"/>
          <w:szCs w:val="20"/>
          <w:lang w:eastAsia="ar-SA"/>
        </w:rPr>
        <w:t>s</w:t>
      </w:r>
      <w:r w:rsidRPr="00A07F29">
        <w:rPr>
          <w:rFonts w:ascii="Times New Roman" w:eastAsia="Calibri" w:hAnsi="Times New Roman" w:cs="Calibri"/>
          <w:color w:val="000000"/>
          <w:sz w:val="24"/>
          <w:szCs w:val="20"/>
          <w:lang w:eastAsia="ar-SA"/>
        </w:rPr>
        <w:t xml:space="preserve"> </w:t>
      </w:r>
      <w:r w:rsidR="006C2F6E" w:rsidRPr="00A07F29">
        <w:rPr>
          <w:rFonts w:ascii="Times New Roman" w:eastAsia="Calibri" w:hAnsi="Times New Roman" w:cs="Calibri"/>
          <w:color w:val="000000"/>
          <w:sz w:val="24"/>
          <w:szCs w:val="20"/>
          <w:lang w:eastAsia="ar-SA"/>
        </w:rPr>
        <w:t>vairākas kukaiņu sugas</w:t>
      </w:r>
      <w:r w:rsidRPr="00A07F29">
        <w:rPr>
          <w:rFonts w:ascii="Times New Roman" w:eastAsia="Calibri" w:hAnsi="Times New Roman" w:cs="Calibri"/>
          <w:color w:val="000000"/>
          <w:sz w:val="24"/>
          <w:szCs w:val="20"/>
          <w:lang w:eastAsia="ar-SA"/>
        </w:rPr>
        <w:t xml:space="preserve"> ar augstu dabas aizsardzības vērtību, tajā skaitā Šneidera </w:t>
      </w:r>
      <w:proofErr w:type="spellStart"/>
      <w:r w:rsidRPr="00A07F29">
        <w:rPr>
          <w:rFonts w:ascii="Times New Roman" w:eastAsia="Calibri" w:hAnsi="Times New Roman" w:cs="Calibri"/>
          <w:color w:val="000000"/>
          <w:sz w:val="24"/>
          <w:szCs w:val="20"/>
          <w:lang w:eastAsia="ar-SA"/>
        </w:rPr>
        <w:t>mizmīlis</w:t>
      </w:r>
      <w:proofErr w:type="spellEnd"/>
      <w:r w:rsidRPr="00A07F29">
        <w:rPr>
          <w:rFonts w:ascii="Times New Roman" w:eastAsia="Calibri" w:hAnsi="Times New Roman" w:cs="Calibri"/>
          <w:color w:val="000000"/>
          <w:sz w:val="24"/>
          <w:szCs w:val="20"/>
          <w:lang w:eastAsia="ar-SA"/>
        </w:rPr>
        <w:t xml:space="preserve">, lielā </w:t>
      </w:r>
      <w:proofErr w:type="spellStart"/>
      <w:r w:rsidRPr="00A07F29">
        <w:rPr>
          <w:rFonts w:ascii="Times New Roman" w:eastAsia="Calibri" w:hAnsi="Times New Roman" w:cs="Calibri"/>
          <w:color w:val="000000"/>
          <w:sz w:val="24"/>
          <w:szCs w:val="20"/>
          <w:lang w:eastAsia="ar-SA"/>
        </w:rPr>
        <w:lastRenderedPageBreak/>
        <w:t>krāšņvabole</w:t>
      </w:r>
      <w:proofErr w:type="spellEnd"/>
      <w:r w:rsidRPr="00A07F29">
        <w:rPr>
          <w:rFonts w:ascii="Times New Roman" w:eastAsia="Calibri" w:hAnsi="Times New Roman" w:cs="Calibri"/>
          <w:color w:val="000000"/>
          <w:sz w:val="24"/>
          <w:szCs w:val="20"/>
          <w:lang w:eastAsia="ar-SA"/>
        </w:rPr>
        <w:t xml:space="preserve">, priežu </w:t>
      </w:r>
      <w:proofErr w:type="spellStart"/>
      <w:r w:rsidRPr="00A07F29">
        <w:rPr>
          <w:rFonts w:ascii="Times New Roman" w:eastAsia="Calibri" w:hAnsi="Times New Roman" w:cs="Calibri"/>
          <w:color w:val="000000"/>
          <w:sz w:val="24"/>
          <w:szCs w:val="20"/>
          <w:lang w:eastAsia="ar-SA"/>
        </w:rPr>
        <w:t>dižkoksngrauzis</w:t>
      </w:r>
      <w:proofErr w:type="spellEnd"/>
      <w:r w:rsidRPr="00A07F29">
        <w:rPr>
          <w:rFonts w:ascii="Times New Roman" w:eastAsia="Calibri" w:hAnsi="Times New Roman" w:cs="Calibri"/>
          <w:color w:val="000000"/>
          <w:sz w:val="24"/>
          <w:szCs w:val="20"/>
          <w:lang w:eastAsia="ar-SA"/>
        </w:rPr>
        <w:t xml:space="preserve">, lielais </w:t>
      </w:r>
      <w:proofErr w:type="spellStart"/>
      <w:r w:rsidRPr="00A07F29">
        <w:rPr>
          <w:rFonts w:ascii="Times New Roman" w:eastAsia="Calibri" w:hAnsi="Times New Roman" w:cs="Calibri"/>
          <w:color w:val="000000"/>
          <w:sz w:val="24"/>
          <w:szCs w:val="20"/>
          <w:lang w:eastAsia="ar-SA"/>
        </w:rPr>
        <w:t>dižkoksngrauzis</w:t>
      </w:r>
      <w:proofErr w:type="spellEnd"/>
      <w:r w:rsidRPr="00A07F29">
        <w:rPr>
          <w:rFonts w:ascii="Times New Roman" w:eastAsia="Calibri" w:hAnsi="Times New Roman" w:cs="Calibri"/>
          <w:color w:val="000000"/>
          <w:sz w:val="24"/>
          <w:szCs w:val="20"/>
          <w:lang w:eastAsia="ar-SA"/>
        </w:rPr>
        <w:t xml:space="preserve">, priežu </w:t>
      </w:r>
      <w:proofErr w:type="spellStart"/>
      <w:r w:rsidRPr="00A07F29">
        <w:rPr>
          <w:rFonts w:ascii="Times New Roman" w:eastAsia="Calibri" w:hAnsi="Times New Roman" w:cs="Calibri"/>
          <w:color w:val="000000"/>
          <w:sz w:val="24"/>
          <w:szCs w:val="20"/>
          <w:lang w:eastAsia="ar-SA"/>
        </w:rPr>
        <w:t>sveķotājkoksngrauzis</w:t>
      </w:r>
      <w:proofErr w:type="spellEnd"/>
      <w:r w:rsidRPr="00A07F29">
        <w:rPr>
          <w:rFonts w:ascii="Times New Roman" w:eastAsia="Calibri" w:hAnsi="Times New Roman" w:cs="Calibri"/>
          <w:color w:val="000000"/>
          <w:sz w:val="24"/>
          <w:szCs w:val="20"/>
          <w:lang w:eastAsia="ar-SA"/>
        </w:rPr>
        <w:t xml:space="preserve"> un citas.</w:t>
      </w:r>
    </w:p>
    <w:p w14:paraId="5F821EB7" w14:textId="4750F56F" w:rsidR="009072CE" w:rsidRPr="00A07F29" w:rsidRDefault="009072CE" w:rsidP="00BA4E21">
      <w:pPr>
        <w:shd w:val="clear" w:color="auto" w:fill="FFFFFF"/>
        <w:suppressAutoHyphens/>
        <w:spacing w:after="120" w:line="240" w:lineRule="auto"/>
        <w:ind w:firstLine="851"/>
        <w:jc w:val="both"/>
        <w:rPr>
          <w:rFonts w:ascii="Times New Roman" w:eastAsia="Calibri" w:hAnsi="Times New Roman" w:cs="Calibri"/>
          <w:color w:val="000000"/>
          <w:sz w:val="24"/>
          <w:szCs w:val="20"/>
          <w:lang w:eastAsia="ar-SA"/>
        </w:rPr>
      </w:pPr>
      <w:r w:rsidRPr="00A07F29">
        <w:rPr>
          <w:rFonts w:ascii="Times New Roman" w:eastAsia="Calibri" w:hAnsi="Times New Roman" w:cs="Calibri"/>
          <w:color w:val="000000"/>
          <w:sz w:val="24"/>
          <w:szCs w:val="20"/>
          <w:lang w:eastAsia="ar-SA"/>
        </w:rPr>
        <w:t xml:space="preserve">Latvijā kopumā un arī AAA “Augšdaugava” teritorijā pastāv atmirušās koksnes īpatsvara samazināšanās risks. </w:t>
      </w:r>
      <w:r w:rsidR="00BA4E21" w:rsidRPr="00A07F29">
        <w:rPr>
          <w:rFonts w:ascii="Times New Roman" w:eastAsia="Calibri" w:hAnsi="Times New Roman" w:cs="Calibri"/>
          <w:color w:val="000000"/>
          <w:sz w:val="24"/>
          <w:szCs w:val="20"/>
          <w:lang w:eastAsia="ar-SA"/>
        </w:rPr>
        <w:t xml:space="preserve">Lielākajā daļā </w:t>
      </w:r>
      <w:r w:rsidRPr="00A07F29">
        <w:rPr>
          <w:rFonts w:ascii="Times New Roman" w:eastAsia="Calibri" w:hAnsi="Times New Roman" w:cs="Calibri"/>
          <w:color w:val="000000"/>
          <w:sz w:val="24"/>
          <w:szCs w:val="20"/>
          <w:lang w:eastAsia="ar-SA"/>
        </w:rPr>
        <w:t xml:space="preserve">AAA “Augšdaugava” </w:t>
      </w:r>
      <w:r w:rsidR="00BA4E21" w:rsidRPr="00A07F29">
        <w:rPr>
          <w:rFonts w:ascii="Times New Roman" w:eastAsia="Calibri" w:hAnsi="Times New Roman" w:cs="Calibri"/>
          <w:color w:val="000000"/>
          <w:sz w:val="24"/>
          <w:szCs w:val="20"/>
          <w:lang w:eastAsia="ar-SA"/>
        </w:rPr>
        <w:t xml:space="preserve">teritorijas </w:t>
      </w:r>
      <w:r w:rsidRPr="00A07F29">
        <w:rPr>
          <w:rFonts w:ascii="Times New Roman" w:eastAsia="Calibri" w:hAnsi="Times New Roman" w:cs="Calibri"/>
          <w:color w:val="000000"/>
          <w:sz w:val="24"/>
          <w:szCs w:val="20"/>
          <w:lang w:eastAsia="ar-SA"/>
        </w:rPr>
        <w:t xml:space="preserve">nav aizliegta galvenā cirte, tajā skaitā kailcirte (izņemot </w:t>
      </w:r>
      <w:r w:rsidR="00BF0E06" w:rsidRPr="00A07F29">
        <w:rPr>
          <w:rFonts w:ascii="Times New Roman" w:eastAsia="Calibri" w:hAnsi="Times New Roman" w:cs="Calibri"/>
          <w:color w:val="000000"/>
          <w:sz w:val="24"/>
          <w:szCs w:val="20"/>
          <w:lang w:eastAsia="ar-SA"/>
        </w:rPr>
        <w:t>DP</w:t>
      </w:r>
      <w:r w:rsidRPr="00A07F29">
        <w:rPr>
          <w:rFonts w:ascii="Times New Roman" w:eastAsia="Calibri" w:hAnsi="Times New Roman" w:cs="Calibri"/>
          <w:color w:val="000000"/>
          <w:sz w:val="24"/>
          <w:szCs w:val="20"/>
          <w:lang w:eastAsia="ar-SA"/>
        </w:rPr>
        <w:t xml:space="preserve"> </w:t>
      </w:r>
      <w:r w:rsidR="00B21E82">
        <w:rPr>
          <w:rFonts w:ascii="Times New Roman" w:eastAsia="Calibri" w:hAnsi="Times New Roman" w:cs="Calibri"/>
          <w:color w:val="000000"/>
          <w:sz w:val="24"/>
          <w:szCs w:val="20"/>
          <w:lang w:eastAsia="ar-SA"/>
        </w:rPr>
        <w:t>“</w:t>
      </w:r>
      <w:r w:rsidRPr="00A07F29">
        <w:rPr>
          <w:rFonts w:ascii="Times New Roman" w:eastAsia="Calibri" w:hAnsi="Times New Roman" w:cs="Calibri"/>
          <w:color w:val="000000"/>
          <w:sz w:val="24"/>
          <w:szCs w:val="20"/>
          <w:lang w:eastAsia="ar-SA"/>
        </w:rPr>
        <w:t>Daugavas loki”, kur atļautas tikai izlases cirtes), kas mežaudzēs ciršanas vecumā palielina fragmentācijas risku (</w:t>
      </w:r>
      <w:r w:rsidR="00B21E82">
        <w:rPr>
          <w:rFonts w:ascii="Times New Roman" w:eastAsia="Calibri" w:hAnsi="Times New Roman" w:cs="Calibri"/>
          <w:color w:val="000000"/>
          <w:sz w:val="24"/>
          <w:szCs w:val="20"/>
          <w:lang w:eastAsia="ar-SA"/>
        </w:rPr>
        <w:t xml:space="preserve">skat. </w:t>
      </w:r>
      <w:r w:rsidRPr="00A07F29">
        <w:rPr>
          <w:rFonts w:ascii="Times New Roman" w:eastAsia="Calibri" w:hAnsi="Times New Roman" w:cs="Calibri"/>
          <w:color w:val="000000"/>
          <w:sz w:val="24"/>
          <w:szCs w:val="20"/>
          <w:lang w:eastAsia="ar-SA"/>
        </w:rPr>
        <w:t>4.</w:t>
      </w:r>
      <w:r w:rsidR="00BA4E21" w:rsidRPr="00A07F29">
        <w:rPr>
          <w:rFonts w:ascii="Times New Roman" w:eastAsia="Calibri" w:hAnsi="Times New Roman" w:cs="Calibri"/>
          <w:color w:val="000000"/>
          <w:sz w:val="24"/>
          <w:szCs w:val="20"/>
          <w:lang w:eastAsia="ar-SA"/>
        </w:rPr>
        <w:t>7</w:t>
      </w:r>
      <w:r w:rsidRPr="00A07F29">
        <w:rPr>
          <w:rFonts w:ascii="Times New Roman" w:eastAsia="Calibri" w:hAnsi="Times New Roman" w:cs="Calibri"/>
          <w:color w:val="000000"/>
          <w:sz w:val="24"/>
          <w:szCs w:val="20"/>
          <w:lang w:eastAsia="ar-SA"/>
        </w:rPr>
        <w:t>.1.</w:t>
      </w:r>
      <w:r w:rsidR="00BA4E21" w:rsidRPr="00A07F29">
        <w:rPr>
          <w:rFonts w:ascii="Times New Roman" w:eastAsia="Calibri" w:hAnsi="Times New Roman" w:cs="Calibri"/>
          <w:color w:val="000000"/>
          <w:sz w:val="24"/>
          <w:szCs w:val="20"/>
          <w:lang w:eastAsia="ar-SA"/>
        </w:rPr>
        <w:t>15</w:t>
      </w:r>
      <w:r w:rsidRPr="00A07F29">
        <w:rPr>
          <w:rFonts w:ascii="Times New Roman" w:eastAsia="Calibri" w:hAnsi="Times New Roman" w:cs="Calibri"/>
          <w:color w:val="000000"/>
          <w:sz w:val="24"/>
          <w:szCs w:val="20"/>
          <w:lang w:eastAsia="ar-SA"/>
        </w:rPr>
        <w:t>.</w:t>
      </w:r>
      <w:r w:rsidR="00B21E82">
        <w:rPr>
          <w:rFonts w:ascii="Times New Roman" w:eastAsia="Calibri" w:hAnsi="Times New Roman" w:cs="Calibri"/>
          <w:color w:val="000000"/>
          <w:sz w:val="24"/>
          <w:szCs w:val="20"/>
          <w:lang w:eastAsia="ar-SA"/>
        </w:rPr>
        <w:t> </w:t>
      </w:r>
      <w:r w:rsidRPr="00A07F29">
        <w:rPr>
          <w:rFonts w:ascii="Times New Roman" w:eastAsia="Calibri" w:hAnsi="Times New Roman" w:cs="Calibri"/>
          <w:color w:val="000000"/>
          <w:sz w:val="24"/>
          <w:szCs w:val="20"/>
          <w:lang w:eastAsia="ar-SA"/>
        </w:rPr>
        <w:t>att</w:t>
      </w:r>
      <w:r w:rsidR="00B21E82">
        <w:rPr>
          <w:rFonts w:ascii="Times New Roman" w:eastAsia="Calibri" w:hAnsi="Times New Roman" w:cs="Calibri"/>
          <w:color w:val="000000"/>
          <w:sz w:val="24"/>
          <w:szCs w:val="20"/>
          <w:lang w:eastAsia="ar-SA"/>
        </w:rPr>
        <w:t>ēls</w:t>
      </w:r>
      <w:r w:rsidRPr="00A07F29">
        <w:rPr>
          <w:rFonts w:ascii="Times New Roman" w:eastAsia="Calibri" w:hAnsi="Times New Roman" w:cs="Calibri"/>
          <w:color w:val="000000"/>
          <w:sz w:val="24"/>
          <w:szCs w:val="20"/>
          <w:lang w:eastAsia="ar-SA"/>
        </w:rPr>
        <w:t>), rezultātā samazinoties aizsargājamo sugu saglabāšanas iespējām teritorijā.</w:t>
      </w:r>
      <w:r w:rsidR="00BA4E21" w:rsidRPr="00A07F29">
        <w:rPr>
          <w:rFonts w:ascii="Times New Roman" w:eastAsia="Calibri" w:hAnsi="Times New Roman" w:cs="Calibri"/>
          <w:color w:val="000000"/>
          <w:sz w:val="24"/>
          <w:szCs w:val="20"/>
          <w:lang w:eastAsia="ar-SA"/>
        </w:rPr>
        <w:t xml:space="preserve"> Risku mazināšanai un aizsargājamo kukaiņu dzīvotņu saglabāšanai nepieciešams noteikt teritorijas funkcionālo zonējumu, kas nodrošinās bioloģiski vērtīgo meža biotopu saglabāšanu un fragmentācijas risku mazināšanu</w:t>
      </w:r>
      <w:r w:rsidR="00BA4E21" w:rsidRPr="00A07F29">
        <w:rPr>
          <w:rFonts w:ascii="Times New Roman" w:eastAsia="Calibri" w:hAnsi="Times New Roman" w:cs="Times New Roman"/>
          <w:color w:val="000000"/>
          <w:sz w:val="24"/>
          <w:szCs w:val="20"/>
          <w:lang w:eastAsia="ar-SA"/>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6"/>
        <w:gridCol w:w="75"/>
      </w:tblGrid>
      <w:tr w:rsidR="009072CE" w:rsidRPr="00A07F29" w14:paraId="41F63CD0" w14:textId="77777777" w:rsidTr="63C42FA1">
        <w:trPr>
          <w:gridAfter w:val="1"/>
          <w:wAfter w:w="75" w:type="dxa"/>
          <w:jc w:val="center"/>
        </w:trPr>
        <w:tc>
          <w:tcPr>
            <w:tcW w:w="7296" w:type="dxa"/>
          </w:tcPr>
          <w:bookmarkEnd w:id="79"/>
          <w:p w14:paraId="64879F46" w14:textId="62FB9F62" w:rsidR="009072CE" w:rsidRPr="00A07F29" w:rsidRDefault="009072CE" w:rsidP="009072CE">
            <w:pPr>
              <w:suppressAutoHyphens/>
              <w:rPr>
                <w:color w:val="000000"/>
                <w:szCs w:val="20"/>
                <w:lang w:eastAsia="ar-SA"/>
              </w:rPr>
            </w:pPr>
            <w:r w:rsidRPr="00A07F29">
              <w:rPr>
                <w:noProof/>
                <w:color w:val="000000"/>
                <w:szCs w:val="20"/>
                <w:lang w:eastAsia="lv-LV"/>
              </w:rPr>
              <w:drawing>
                <wp:inline distT="0" distB="0" distL="0" distR="0" wp14:anchorId="63F61EEB" wp14:editId="166EFD0E">
                  <wp:extent cx="4625340" cy="2866297"/>
                  <wp:effectExtent l="0" t="0" r="3810" b="0"/>
                  <wp:docPr id="918145583" name="Picture 30" descr="Z:\Family\Uldis\Uldis\Dabas_eksperts\IADT_ekspertizes\Augsdaugava\Foto\Izcirtums pie Kraslavas\IMG_29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Z:\Family\Uldis\Uldis\Dabas_eksperts\IADT_ekspertizes\Augsdaugava\Foto\Izcirtums pie Kraslavas\IMG_2913.JPG"/>
                          <pic:cNvPicPr>
                            <a:picLocks noChangeAspect="1" noChangeArrowheads="1"/>
                          </pic:cNvPicPr>
                        </pic:nvPicPr>
                        <pic:blipFill rotWithShape="1">
                          <a:blip r:embed="rId82" cstate="email">
                            <a:extLst>
                              <a:ext uri="{28A0092B-C50C-407E-A947-70E740481C1C}">
                                <a14:useLocalDpi xmlns:a14="http://schemas.microsoft.com/office/drawing/2010/main"/>
                              </a:ext>
                            </a:extLst>
                          </a:blip>
                          <a:srcRect b="7046"/>
                          <a:stretch/>
                        </pic:blipFill>
                        <pic:spPr bwMode="auto">
                          <a:xfrm>
                            <a:off x="0" y="0"/>
                            <a:ext cx="4627803" cy="286782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072CE" w:rsidRPr="00A07F29" w14:paraId="58BBCDA5" w14:textId="77777777" w:rsidTr="63C42FA1">
        <w:trPr>
          <w:jc w:val="center"/>
        </w:trPr>
        <w:tc>
          <w:tcPr>
            <w:tcW w:w="7371" w:type="dxa"/>
            <w:gridSpan w:val="2"/>
          </w:tcPr>
          <w:p w14:paraId="1E87BF1F" w14:textId="38CC9D1B" w:rsidR="009072CE" w:rsidRPr="00857DEF" w:rsidRDefault="009072CE" w:rsidP="002E60CE">
            <w:pPr>
              <w:suppressAutoHyphens/>
              <w:rPr>
                <w:rFonts w:ascii="Times New Roman" w:hAnsi="Times New Roman" w:cs="Times New Roman"/>
                <w:bCs/>
                <w:color w:val="000000"/>
                <w:sz w:val="20"/>
                <w:szCs w:val="20"/>
                <w:lang w:eastAsia="ar-SA"/>
              </w:rPr>
            </w:pPr>
            <w:r w:rsidRPr="00857DEF">
              <w:rPr>
                <w:rFonts w:ascii="Times New Roman" w:eastAsia="Calibri" w:hAnsi="Times New Roman" w:cs="Times New Roman"/>
                <w:bCs/>
                <w:color w:val="000000"/>
                <w:sz w:val="20"/>
                <w:szCs w:val="20"/>
                <w:lang w:eastAsia="ar-SA"/>
              </w:rPr>
              <w:t>4.</w:t>
            </w:r>
            <w:r w:rsidR="002E60CE" w:rsidRPr="00857DEF">
              <w:rPr>
                <w:rFonts w:ascii="Times New Roman" w:eastAsia="Calibri" w:hAnsi="Times New Roman" w:cs="Times New Roman"/>
                <w:bCs/>
                <w:color w:val="000000"/>
                <w:sz w:val="20"/>
                <w:szCs w:val="20"/>
                <w:lang w:eastAsia="ar-SA"/>
              </w:rPr>
              <w:t>7</w:t>
            </w:r>
            <w:r w:rsidRPr="00857DEF">
              <w:rPr>
                <w:rFonts w:ascii="Times New Roman" w:eastAsia="Calibri" w:hAnsi="Times New Roman" w:cs="Times New Roman"/>
                <w:bCs/>
                <w:color w:val="000000"/>
                <w:sz w:val="20"/>
                <w:szCs w:val="20"/>
                <w:lang w:eastAsia="ar-SA"/>
              </w:rPr>
              <w:t>.1.</w:t>
            </w:r>
            <w:r w:rsidR="00BA4E21" w:rsidRPr="00857DEF">
              <w:rPr>
                <w:rFonts w:ascii="Times New Roman" w:hAnsi="Times New Roman" w:cs="Times New Roman"/>
                <w:bCs/>
                <w:color w:val="000000"/>
                <w:sz w:val="20"/>
                <w:szCs w:val="20"/>
                <w:lang w:eastAsia="ar-SA"/>
              </w:rPr>
              <w:t>15</w:t>
            </w:r>
            <w:r w:rsidRPr="00857DEF">
              <w:rPr>
                <w:rFonts w:ascii="Times New Roman" w:hAnsi="Times New Roman" w:cs="Times New Roman"/>
                <w:bCs/>
                <w:color w:val="000000"/>
                <w:sz w:val="20"/>
                <w:szCs w:val="20"/>
                <w:lang w:eastAsia="ar-SA"/>
              </w:rPr>
              <w:t>.</w:t>
            </w:r>
            <w:r w:rsidR="00857DEF" w:rsidRPr="00857DEF">
              <w:rPr>
                <w:rFonts w:ascii="Times New Roman" w:hAnsi="Times New Roman" w:cs="Times New Roman"/>
                <w:bCs/>
                <w:color w:val="000000"/>
                <w:sz w:val="20"/>
                <w:szCs w:val="20"/>
                <w:lang w:eastAsia="ar-SA"/>
              </w:rPr>
              <w:t> </w:t>
            </w:r>
            <w:r w:rsidRPr="00857DEF">
              <w:rPr>
                <w:rFonts w:ascii="Times New Roman" w:hAnsi="Times New Roman" w:cs="Times New Roman"/>
                <w:bCs/>
                <w:color w:val="000000"/>
                <w:sz w:val="20"/>
                <w:szCs w:val="20"/>
                <w:lang w:eastAsia="ar-SA"/>
              </w:rPr>
              <w:t>attēls. Liela izmēra kailcirtes AAA “Augšdaugava” pie Krāslavas (Foto: U.</w:t>
            </w:r>
            <w:r w:rsidR="00857DEF" w:rsidRPr="00857DEF">
              <w:rPr>
                <w:rFonts w:ascii="Times New Roman" w:hAnsi="Times New Roman" w:cs="Times New Roman"/>
                <w:bCs/>
                <w:color w:val="000000"/>
                <w:sz w:val="20"/>
                <w:szCs w:val="20"/>
                <w:lang w:eastAsia="ar-SA"/>
              </w:rPr>
              <w:t> </w:t>
            </w:r>
            <w:r w:rsidRPr="00857DEF">
              <w:rPr>
                <w:rFonts w:ascii="Times New Roman" w:hAnsi="Times New Roman" w:cs="Times New Roman"/>
                <w:bCs/>
                <w:color w:val="000000"/>
                <w:sz w:val="20"/>
                <w:szCs w:val="20"/>
                <w:lang w:eastAsia="ar-SA"/>
              </w:rPr>
              <w:t>Valainis)</w:t>
            </w:r>
          </w:p>
        </w:tc>
      </w:tr>
    </w:tbl>
    <w:p w14:paraId="69896EC0" w14:textId="77777777" w:rsidR="009072CE" w:rsidRPr="00A07F29" w:rsidRDefault="009072CE" w:rsidP="009072CE">
      <w:pPr>
        <w:autoSpaceDE w:val="0"/>
        <w:autoSpaceDN w:val="0"/>
        <w:adjustRightInd w:val="0"/>
        <w:spacing w:after="0" w:line="240" w:lineRule="auto"/>
        <w:contextualSpacing/>
        <w:jc w:val="both"/>
        <w:rPr>
          <w:rFonts w:ascii="Times New Roman" w:eastAsia="Calibri" w:hAnsi="Times New Roman" w:cs="Times New Roman"/>
          <w:color w:val="000000"/>
          <w:sz w:val="24"/>
          <w:szCs w:val="20"/>
          <w:lang w:eastAsia="ar-SA"/>
        </w:rPr>
      </w:pPr>
    </w:p>
    <w:p w14:paraId="586AB030" w14:textId="0B1179F5" w:rsidR="009072CE" w:rsidRPr="00A07F29" w:rsidRDefault="009072CE" w:rsidP="00BA4E21">
      <w:pPr>
        <w:spacing w:after="160" w:line="259" w:lineRule="auto"/>
        <w:jc w:val="center"/>
        <w:rPr>
          <w:rFonts w:ascii="Times New Roman" w:eastAsia="Calibri" w:hAnsi="Times New Roman" w:cs="Times New Roman"/>
          <w:sz w:val="24"/>
        </w:rPr>
      </w:pPr>
      <w:r w:rsidRPr="00A07F29">
        <w:rPr>
          <w:rFonts w:ascii="Times New Roman" w:eastAsia="Calibri" w:hAnsi="Times New Roman" w:cs="Times New Roman"/>
          <w:sz w:val="24"/>
        </w:rPr>
        <w:t>4.</w:t>
      </w:r>
      <w:r w:rsidR="00BA4E21" w:rsidRPr="00A07F29">
        <w:rPr>
          <w:rFonts w:ascii="Times New Roman" w:eastAsia="Calibri" w:hAnsi="Times New Roman" w:cs="Times New Roman"/>
          <w:sz w:val="24"/>
        </w:rPr>
        <w:t>7</w:t>
      </w:r>
      <w:r w:rsidRPr="00A07F29">
        <w:rPr>
          <w:rFonts w:ascii="Times New Roman" w:eastAsia="Calibri" w:hAnsi="Times New Roman" w:cs="Times New Roman"/>
          <w:sz w:val="24"/>
        </w:rPr>
        <w:t>.1.1.</w:t>
      </w:r>
      <w:r w:rsidR="00857DEF">
        <w:rPr>
          <w:rFonts w:ascii="Times New Roman" w:eastAsia="Calibri" w:hAnsi="Times New Roman" w:cs="Times New Roman"/>
          <w:sz w:val="24"/>
        </w:rPr>
        <w:t> </w:t>
      </w:r>
      <w:r w:rsidRPr="00A07F29">
        <w:rPr>
          <w:rFonts w:ascii="Times New Roman" w:eastAsia="Calibri" w:hAnsi="Times New Roman" w:cs="Times New Roman"/>
          <w:sz w:val="24"/>
        </w:rPr>
        <w:t xml:space="preserve">tabula. </w:t>
      </w:r>
      <w:r w:rsidR="00BF0E06" w:rsidRPr="00A07F29">
        <w:rPr>
          <w:rFonts w:ascii="Times New Roman" w:eastAsia="Calibri" w:hAnsi="Times New Roman" w:cs="Times New Roman"/>
          <w:sz w:val="24"/>
        </w:rPr>
        <w:t>AAA</w:t>
      </w:r>
      <w:r w:rsidRPr="00A07F29">
        <w:rPr>
          <w:rFonts w:ascii="Times New Roman" w:eastAsia="Calibri" w:hAnsi="Times New Roman" w:cs="Times New Roman"/>
          <w:sz w:val="24"/>
        </w:rPr>
        <w:t xml:space="preserve"> </w:t>
      </w:r>
      <w:r w:rsidR="0051179E">
        <w:rPr>
          <w:rFonts w:ascii="Times New Roman" w:eastAsia="Calibri" w:hAnsi="Times New Roman" w:cs="Times New Roman"/>
          <w:sz w:val="24"/>
        </w:rPr>
        <w:t>“</w:t>
      </w:r>
      <w:r w:rsidRPr="00A07F29">
        <w:rPr>
          <w:rFonts w:ascii="Times New Roman" w:eastAsia="Calibri" w:hAnsi="Times New Roman" w:cs="Times New Roman"/>
          <w:sz w:val="24"/>
        </w:rPr>
        <w:t>Augšdaugava” konstatētās Latvijā un Eiropā aizsargājamās un citādi vērtīgās kukaiņu sugas un to aizsardzības statuss</w:t>
      </w:r>
    </w:p>
    <w:tbl>
      <w:tblPr>
        <w:tblW w:w="50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7"/>
        <w:gridCol w:w="1559"/>
        <w:gridCol w:w="1280"/>
        <w:gridCol w:w="1130"/>
        <w:gridCol w:w="1984"/>
        <w:gridCol w:w="1844"/>
      </w:tblGrid>
      <w:tr w:rsidR="009072CE" w:rsidRPr="00A07F29" w14:paraId="136127B3" w14:textId="77777777" w:rsidTr="00014519">
        <w:trPr>
          <w:cantSplit/>
          <w:trHeight w:val="284"/>
          <w:tblHeader/>
        </w:trPr>
        <w:tc>
          <w:tcPr>
            <w:tcW w:w="894" w:type="pct"/>
            <w:shd w:val="clear" w:color="auto" w:fill="D6E3BC"/>
            <w:vAlign w:val="center"/>
            <w:hideMark/>
          </w:tcPr>
          <w:p w14:paraId="0FF6059F" w14:textId="77777777" w:rsidR="009072CE" w:rsidRPr="00A07F29" w:rsidRDefault="009072CE" w:rsidP="009072CE">
            <w:pPr>
              <w:suppressAutoHyphens/>
              <w:spacing w:after="0" w:line="240" w:lineRule="auto"/>
              <w:jc w:val="center"/>
              <w:rPr>
                <w:rFonts w:ascii="Times New Roman" w:eastAsia="Times New Roman" w:hAnsi="Times New Roman" w:cs="Times New Roman"/>
                <w:b/>
                <w:color w:val="000000"/>
                <w:sz w:val="20"/>
                <w:szCs w:val="20"/>
                <w:lang w:eastAsia="en-GB"/>
              </w:rPr>
            </w:pPr>
            <w:r w:rsidRPr="00A07F29">
              <w:rPr>
                <w:rFonts w:ascii="Times New Roman" w:eastAsia="Times New Roman" w:hAnsi="Times New Roman" w:cs="Times New Roman"/>
                <w:b/>
                <w:color w:val="000000"/>
                <w:sz w:val="20"/>
                <w:szCs w:val="20"/>
                <w:lang w:eastAsia="en-GB"/>
              </w:rPr>
              <w:t>Sugas nosaukums latviski</w:t>
            </w:r>
          </w:p>
        </w:tc>
        <w:tc>
          <w:tcPr>
            <w:tcW w:w="821" w:type="pct"/>
            <w:shd w:val="clear" w:color="auto" w:fill="D6E3BC"/>
            <w:vAlign w:val="center"/>
            <w:hideMark/>
          </w:tcPr>
          <w:p w14:paraId="6C42529E" w14:textId="77777777" w:rsidR="009072CE" w:rsidRPr="00A07F29" w:rsidRDefault="009072CE" w:rsidP="009072CE">
            <w:pPr>
              <w:suppressAutoHyphens/>
              <w:spacing w:after="0" w:line="240" w:lineRule="auto"/>
              <w:jc w:val="center"/>
              <w:rPr>
                <w:rFonts w:ascii="Times New Roman" w:eastAsia="Times New Roman" w:hAnsi="Times New Roman" w:cs="Times New Roman"/>
                <w:b/>
                <w:color w:val="000000"/>
                <w:sz w:val="20"/>
                <w:szCs w:val="20"/>
                <w:lang w:eastAsia="en-GB"/>
              </w:rPr>
            </w:pPr>
            <w:r w:rsidRPr="00A07F29">
              <w:rPr>
                <w:rFonts w:ascii="Times New Roman" w:eastAsia="Times New Roman" w:hAnsi="Times New Roman" w:cs="Times New Roman"/>
                <w:b/>
                <w:color w:val="000000"/>
                <w:sz w:val="20"/>
                <w:szCs w:val="20"/>
                <w:lang w:eastAsia="en-GB"/>
              </w:rPr>
              <w:t>Sugas nosaukums latīniski</w:t>
            </w:r>
          </w:p>
        </w:tc>
        <w:tc>
          <w:tcPr>
            <w:tcW w:w="674" w:type="pct"/>
            <w:shd w:val="clear" w:color="auto" w:fill="D6E3BC"/>
            <w:vAlign w:val="center"/>
            <w:hideMark/>
          </w:tcPr>
          <w:p w14:paraId="47685788" w14:textId="77777777" w:rsidR="009072CE" w:rsidRPr="00A07F29" w:rsidRDefault="009072CE" w:rsidP="009072CE">
            <w:pPr>
              <w:suppressAutoHyphens/>
              <w:spacing w:after="0" w:line="240" w:lineRule="auto"/>
              <w:jc w:val="center"/>
              <w:rPr>
                <w:rFonts w:ascii="Times New Roman" w:eastAsia="Times New Roman" w:hAnsi="Times New Roman" w:cs="Times New Roman"/>
                <w:b/>
                <w:color w:val="000000"/>
                <w:sz w:val="20"/>
                <w:szCs w:val="20"/>
                <w:lang w:eastAsia="en-GB"/>
              </w:rPr>
            </w:pPr>
            <w:r w:rsidRPr="00A07F29">
              <w:rPr>
                <w:rFonts w:ascii="Times New Roman" w:eastAsia="Times New Roman" w:hAnsi="Times New Roman" w:cs="Times New Roman"/>
                <w:b/>
                <w:color w:val="000000"/>
                <w:sz w:val="20"/>
                <w:szCs w:val="20"/>
                <w:lang w:eastAsia="en-GB"/>
              </w:rPr>
              <w:t>Aizsardzības statuss</w:t>
            </w:r>
          </w:p>
        </w:tc>
        <w:tc>
          <w:tcPr>
            <w:tcW w:w="595" w:type="pct"/>
            <w:tcBorders>
              <w:bottom w:val="single" w:sz="4" w:space="0" w:color="auto"/>
            </w:tcBorders>
            <w:shd w:val="clear" w:color="auto" w:fill="D6E3BC"/>
            <w:vAlign w:val="center"/>
            <w:hideMark/>
          </w:tcPr>
          <w:p w14:paraId="08F2D80C" w14:textId="77777777" w:rsidR="009072CE" w:rsidRPr="00A07F29" w:rsidRDefault="009072CE" w:rsidP="009072CE">
            <w:pPr>
              <w:suppressAutoHyphens/>
              <w:spacing w:after="0" w:line="240" w:lineRule="auto"/>
              <w:jc w:val="center"/>
              <w:rPr>
                <w:rFonts w:ascii="Times New Roman" w:eastAsia="Times New Roman" w:hAnsi="Times New Roman" w:cs="Times New Roman"/>
                <w:b/>
                <w:color w:val="000000"/>
                <w:sz w:val="20"/>
                <w:szCs w:val="20"/>
                <w:lang w:eastAsia="en-GB"/>
              </w:rPr>
            </w:pPr>
            <w:r w:rsidRPr="00A07F29">
              <w:rPr>
                <w:rFonts w:ascii="Times New Roman" w:eastAsia="Times New Roman" w:hAnsi="Times New Roman" w:cs="Times New Roman"/>
                <w:b/>
                <w:color w:val="000000"/>
                <w:sz w:val="20"/>
                <w:szCs w:val="20"/>
                <w:lang w:eastAsia="en-GB"/>
              </w:rPr>
              <w:t>Cits statuss</w:t>
            </w:r>
          </w:p>
        </w:tc>
        <w:tc>
          <w:tcPr>
            <w:tcW w:w="1045" w:type="pct"/>
            <w:tcBorders>
              <w:bottom w:val="single" w:sz="4" w:space="0" w:color="auto"/>
            </w:tcBorders>
            <w:shd w:val="clear" w:color="auto" w:fill="D6E3BC"/>
            <w:vAlign w:val="center"/>
          </w:tcPr>
          <w:p w14:paraId="6756FD74" w14:textId="77777777" w:rsidR="009072CE" w:rsidRPr="00A07F29" w:rsidRDefault="009072CE" w:rsidP="009072CE">
            <w:pPr>
              <w:suppressAutoHyphens/>
              <w:spacing w:after="0" w:line="240" w:lineRule="auto"/>
              <w:jc w:val="center"/>
              <w:rPr>
                <w:rFonts w:ascii="Times New Roman" w:eastAsia="Times New Roman" w:hAnsi="Times New Roman" w:cs="Times New Roman"/>
                <w:b/>
                <w:color w:val="000000"/>
                <w:sz w:val="20"/>
                <w:szCs w:val="20"/>
                <w:lang w:eastAsia="en-GB"/>
              </w:rPr>
            </w:pPr>
            <w:r w:rsidRPr="00A07F29">
              <w:rPr>
                <w:rFonts w:ascii="Times New Roman" w:eastAsia="Times New Roman" w:hAnsi="Times New Roman" w:cs="Times New Roman"/>
                <w:b/>
                <w:color w:val="000000"/>
                <w:sz w:val="20"/>
                <w:szCs w:val="20"/>
                <w:lang w:eastAsia="en-GB"/>
              </w:rPr>
              <w:t>Sugas stāvoklis Latvijā*</w:t>
            </w:r>
          </w:p>
        </w:tc>
        <w:tc>
          <w:tcPr>
            <w:tcW w:w="971" w:type="pct"/>
            <w:tcBorders>
              <w:bottom w:val="single" w:sz="4" w:space="0" w:color="auto"/>
            </w:tcBorders>
            <w:shd w:val="clear" w:color="auto" w:fill="D6E3BC"/>
            <w:vAlign w:val="center"/>
          </w:tcPr>
          <w:p w14:paraId="0F4634B8" w14:textId="6F6DBA7C" w:rsidR="009072CE" w:rsidRPr="00A07F29" w:rsidRDefault="009072CE" w:rsidP="00BA4E21">
            <w:pPr>
              <w:suppressAutoHyphens/>
              <w:spacing w:after="0" w:line="240" w:lineRule="auto"/>
              <w:rPr>
                <w:rFonts w:ascii="Times New Roman" w:eastAsia="Calibri" w:hAnsi="Times New Roman" w:cs="Times New Roman"/>
                <w:b/>
                <w:color w:val="000000"/>
                <w:sz w:val="20"/>
                <w:szCs w:val="20"/>
                <w:lang w:eastAsia="ar-SA"/>
              </w:rPr>
            </w:pPr>
            <w:r w:rsidRPr="00A07F29">
              <w:rPr>
                <w:rFonts w:ascii="Times New Roman" w:eastAsia="Calibri" w:hAnsi="Times New Roman" w:cs="Times New Roman"/>
                <w:b/>
                <w:color w:val="000000"/>
                <w:sz w:val="20"/>
                <w:szCs w:val="20"/>
                <w:lang w:eastAsia="ar-SA"/>
              </w:rPr>
              <w:t xml:space="preserve">Sastopamība </w:t>
            </w:r>
            <w:r w:rsidR="00BA4E21" w:rsidRPr="00A07F29">
              <w:rPr>
                <w:rFonts w:ascii="Times New Roman" w:eastAsia="Calibri" w:hAnsi="Times New Roman" w:cs="Times New Roman"/>
                <w:b/>
                <w:color w:val="000000"/>
                <w:sz w:val="20"/>
                <w:szCs w:val="20"/>
                <w:lang w:eastAsia="ar-SA"/>
              </w:rPr>
              <w:t>AAA “Augšdaugava”</w:t>
            </w:r>
          </w:p>
        </w:tc>
      </w:tr>
      <w:tr w:rsidR="009072CE" w:rsidRPr="00A07F29" w14:paraId="45F167BA" w14:textId="77777777" w:rsidTr="009056A3">
        <w:trPr>
          <w:cantSplit/>
          <w:trHeight w:val="284"/>
        </w:trPr>
        <w:tc>
          <w:tcPr>
            <w:tcW w:w="5000" w:type="pct"/>
            <w:gridSpan w:val="6"/>
            <w:shd w:val="clear" w:color="auto" w:fill="EAF1DD"/>
            <w:noWrap/>
            <w:vAlign w:val="center"/>
          </w:tcPr>
          <w:p w14:paraId="664A281A" w14:textId="77777777" w:rsidR="009072CE" w:rsidRPr="00A07F29" w:rsidRDefault="009072CE" w:rsidP="009072CE">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b/>
                <w:color w:val="000000"/>
                <w:sz w:val="20"/>
                <w:szCs w:val="20"/>
                <w:lang w:eastAsia="ar-SA"/>
              </w:rPr>
              <w:t>Taisnspārņi</w:t>
            </w:r>
            <w:r w:rsidRPr="00A07F29">
              <w:rPr>
                <w:rFonts w:ascii="Times New Roman" w:eastAsia="Calibri" w:hAnsi="Times New Roman" w:cs="Times New Roman"/>
                <w:b/>
                <w:color w:val="000000"/>
                <w:spacing w:val="1"/>
                <w:sz w:val="20"/>
                <w:szCs w:val="20"/>
                <w:lang w:eastAsia="ar-SA"/>
              </w:rPr>
              <w:t xml:space="preserve"> </w:t>
            </w:r>
            <w:proofErr w:type="spellStart"/>
            <w:r w:rsidRPr="00A07F29">
              <w:rPr>
                <w:rFonts w:ascii="Times New Roman" w:eastAsia="Calibri" w:hAnsi="Times New Roman" w:cs="Times New Roman"/>
                <w:b/>
                <w:color w:val="000000"/>
                <w:spacing w:val="-1"/>
                <w:sz w:val="20"/>
                <w:szCs w:val="20"/>
                <w:lang w:eastAsia="ar-SA"/>
              </w:rPr>
              <w:t>Or</w:t>
            </w:r>
            <w:r w:rsidRPr="00A07F29">
              <w:rPr>
                <w:rFonts w:ascii="Times New Roman" w:eastAsia="Calibri" w:hAnsi="Times New Roman" w:cs="Times New Roman"/>
                <w:b/>
                <w:color w:val="000000"/>
                <w:spacing w:val="2"/>
                <w:sz w:val="20"/>
                <w:szCs w:val="20"/>
                <w:lang w:eastAsia="ar-SA"/>
              </w:rPr>
              <w:t>t</w:t>
            </w:r>
            <w:r w:rsidRPr="00A07F29">
              <w:rPr>
                <w:rFonts w:ascii="Times New Roman" w:eastAsia="Calibri" w:hAnsi="Times New Roman" w:cs="Times New Roman"/>
                <w:b/>
                <w:color w:val="000000"/>
                <w:spacing w:val="-2"/>
                <w:sz w:val="20"/>
                <w:szCs w:val="20"/>
                <w:lang w:eastAsia="ar-SA"/>
              </w:rPr>
              <w:t>h</w:t>
            </w:r>
            <w:r w:rsidRPr="00A07F29">
              <w:rPr>
                <w:rFonts w:ascii="Times New Roman" w:eastAsia="Calibri" w:hAnsi="Times New Roman" w:cs="Times New Roman"/>
                <w:b/>
                <w:color w:val="000000"/>
                <w:spacing w:val="1"/>
                <w:sz w:val="20"/>
                <w:szCs w:val="20"/>
                <w:lang w:eastAsia="ar-SA"/>
              </w:rPr>
              <w:t>o</w:t>
            </w:r>
            <w:r w:rsidRPr="00A07F29">
              <w:rPr>
                <w:rFonts w:ascii="Times New Roman" w:eastAsia="Calibri" w:hAnsi="Times New Roman" w:cs="Times New Roman"/>
                <w:b/>
                <w:color w:val="000000"/>
                <w:spacing w:val="-2"/>
                <w:sz w:val="20"/>
                <w:szCs w:val="20"/>
                <w:lang w:eastAsia="ar-SA"/>
              </w:rPr>
              <w:t>p</w:t>
            </w:r>
            <w:r w:rsidRPr="00A07F29">
              <w:rPr>
                <w:rFonts w:ascii="Times New Roman" w:eastAsia="Calibri" w:hAnsi="Times New Roman" w:cs="Times New Roman"/>
                <w:b/>
                <w:color w:val="000000"/>
                <w:sz w:val="20"/>
                <w:szCs w:val="20"/>
                <w:lang w:eastAsia="ar-SA"/>
              </w:rPr>
              <w:t>t</w:t>
            </w:r>
            <w:r w:rsidRPr="00A07F29">
              <w:rPr>
                <w:rFonts w:ascii="Times New Roman" w:eastAsia="Calibri" w:hAnsi="Times New Roman" w:cs="Times New Roman"/>
                <w:b/>
                <w:color w:val="000000"/>
                <w:spacing w:val="-1"/>
                <w:sz w:val="20"/>
                <w:szCs w:val="20"/>
                <w:lang w:eastAsia="ar-SA"/>
              </w:rPr>
              <w:t>e</w:t>
            </w:r>
            <w:r w:rsidRPr="00A07F29">
              <w:rPr>
                <w:rFonts w:ascii="Times New Roman" w:eastAsia="Calibri" w:hAnsi="Times New Roman" w:cs="Times New Roman"/>
                <w:b/>
                <w:color w:val="000000"/>
                <w:spacing w:val="2"/>
                <w:sz w:val="20"/>
                <w:szCs w:val="20"/>
                <w:lang w:eastAsia="ar-SA"/>
              </w:rPr>
              <w:t>r</w:t>
            </w:r>
            <w:r w:rsidRPr="00A07F29">
              <w:rPr>
                <w:rFonts w:ascii="Times New Roman" w:eastAsia="Calibri" w:hAnsi="Times New Roman" w:cs="Times New Roman"/>
                <w:b/>
                <w:color w:val="000000"/>
                <w:sz w:val="20"/>
                <w:szCs w:val="20"/>
                <w:lang w:eastAsia="ar-SA"/>
              </w:rPr>
              <w:t>a</w:t>
            </w:r>
            <w:proofErr w:type="spellEnd"/>
          </w:p>
        </w:tc>
      </w:tr>
      <w:tr w:rsidR="009072CE" w:rsidRPr="00A07F29" w14:paraId="56BE0919" w14:textId="77777777" w:rsidTr="00014519">
        <w:trPr>
          <w:cantSplit/>
          <w:trHeight w:val="284"/>
        </w:trPr>
        <w:tc>
          <w:tcPr>
            <w:tcW w:w="894" w:type="pct"/>
            <w:shd w:val="clear" w:color="auto" w:fill="auto"/>
            <w:noWrap/>
            <w:vAlign w:val="center"/>
          </w:tcPr>
          <w:p w14:paraId="59253531" w14:textId="77777777" w:rsidR="009072CE" w:rsidRPr="00A07F29" w:rsidRDefault="009072CE" w:rsidP="009072CE">
            <w:pPr>
              <w:suppressAutoHyphens/>
              <w:spacing w:after="0" w:line="240" w:lineRule="auto"/>
              <w:rPr>
                <w:rFonts w:ascii="Times New Roman" w:eastAsia="Calibri" w:hAnsi="Times New Roman" w:cs="Times New Roman"/>
                <w:color w:val="000000"/>
                <w:sz w:val="20"/>
                <w:szCs w:val="20"/>
                <w:lang w:eastAsia="ar-SA"/>
              </w:rPr>
            </w:pPr>
            <w:proofErr w:type="spellStart"/>
            <w:r w:rsidRPr="00A07F29">
              <w:rPr>
                <w:rFonts w:ascii="Times New Roman" w:eastAsia="Calibri" w:hAnsi="Times New Roman" w:cs="Times New Roman"/>
                <w:color w:val="000000"/>
                <w:sz w:val="20"/>
                <w:szCs w:val="20"/>
                <w:lang w:eastAsia="ar-SA"/>
              </w:rPr>
              <w:t>R</w:t>
            </w:r>
            <w:r w:rsidRPr="00A07F29">
              <w:rPr>
                <w:rFonts w:ascii="Times New Roman" w:eastAsia="Calibri" w:hAnsi="Times New Roman" w:cs="Times New Roman"/>
                <w:color w:val="000000"/>
                <w:spacing w:val="-1"/>
                <w:sz w:val="20"/>
                <w:szCs w:val="20"/>
                <w:lang w:eastAsia="ar-SA"/>
              </w:rPr>
              <w:t>a</w:t>
            </w:r>
            <w:r w:rsidRPr="00A07F29">
              <w:rPr>
                <w:rFonts w:ascii="Times New Roman" w:eastAsia="Calibri" w:hAnsi="Times New Roman" w:cs="Times New Roman"/>
                <w:color w:val="000000"/>
                <w:sz w:val="20"/>
                <w:szCs w:val="20"/>
                <w:lang w:eastAsia="ar-SA"/>
              </w:rPr>
              <w:t>i</w:t>
            </w:r>
            <w:r w:rsidRPr="00A07F29">
              <w:rPr>
                <w:rFonts w:ascii="Times New Roman" w:eastAsia="Calibri" w:hAnsi="Times New Roman" w:cs="Times New Roman"/>
                <w:color w:val="000000"/>
                <w:spacing w:val="1"/>
                <w:sz w:val="20"/>
                <w:szCs w:val="20"/>
                <w:lang w:eastAsia="ar-SA"/>
              </w:rPr>
              <w:t>b</w:t>
            </w:r>
            <w:r w:rsidRPr="00A07F29">
              <w:rPr>
                <w:rFonts w:ascii="Times New Roman" w:eastAsia="Calibri" w:hAnsi="Times New Roman" w:cs="Times New Roman"/>
                <w:color w:val="000000"/>
                <w:sz w:val="20"/>
                <w:szCs w:val="20"/>
                <w:lang w:eastAsia="ar-SA"/>
              </w:rPr>
              <w:t>s</w:t>
            </w:r>
            <w:r w:rsidRPr="00A07F29">
              <w:rPr>
                <w:rFonts w:ascii="Times New Roman" w:eastAsia="Calibri" w:hAnsi="Times New Roman" w:cs="Times New Roman"/>
                <w:color w:val="000000"/>
                <w:spacing w:val="1"/>
                <w:sz w:val="20"/>
                <w:szCs w:val="20"/>
                <w:lang w:eastAsia="ar-SA"/>
              </w:rPr>
              <w:t>p</w:t>
            </w:r>
            <w:r w:rsidRPr="00A07F29">
              <w:rPr>
                <w:rFonts w:ascii="Times New Roman" w:eastAsia="Calibri" w:hAnsi="Times New Roman" w:cs="Times New Roman"/>
                <w:color w:val="000000"/>
                <w:spacing w:val="-1"/>
                <w:sz w:val="20"/>
                <w:szCs w:val="20"/>
                <w:lang w:eastAsia="ar-SA"/>
              </w:rPr>
              <w:t>ā</w:t>
            </w:r>
            <w:r w:rsidRPr="00A07F29">
              <w:rPr>
                <w:rFonts w:ascii="Times New Roman" w:eastAsia="Calibri" w:hAnsi="Times New Roman" w:cs="Times New Roman"/>
                <w:color w:val="000000"/>
                <w:sz w:val="20"/>
                <w:szCs w:val="20"/>
                <w:lang w:eastAsia="ar-SA"/>
              </w:rPr>
              <w:t>r</w:t>
            </w:r>
            <w:r w:rsidRPr="00A07F29">
              <w:rPr>
                <w:rFonts w:ascii="Times New Roman" w:eastAsia="Calibri" w:hAnsi="Times New Roman" w:cs="Times New Roman"/>
                <w:color w:val="000000"/>
                <w:spacing w:val="1"/>
                <w:sz w:val="20"/>
                <w:szCs w:val="20"/>
                <w:lang w:eastAsia="ar-SA"/>
              </w:rPr>
              <w:t>n</w:t>
            </w:r>
            <w:r w:rsidRPr="00A07F29">
              <w:rPr>
                <w:rFonts w:ascii="Times New Roman" w:eastAsia="Calibri" w:hAnsi="Times New Roman" w:cs="Times New Roman"/>
                <w:color w:val="000000"/>
                <w:sz w:val="20"/>
                <w:szCs w:val="20"/>
                <w:lang w:eastAsia="ar-SA"/>
              </w:rPr>
              <w:t>u</w:t>
            </w:r>
            <w:proofErr w:type="spellEnd"/>
            <w:r w:rsidRPr="00A07F29">
              <w:rPr>
                <w:rFonts w:ascii="Times New Roman" w:eastAsia="Calibri" w:hAnsi="Times New Roman" w:cs="Times New Roman"/>
                <w:color w:val="000000"/>
                <w:spacing w:val="-6"/>
                <w:sz w:val="20"/>
                <w:szCs w:val="20"/>
                <w:lang w:eastAsia="ar-SA"/>
              </w:rPr>
              <w:t xml:space="preserve"> </w:t>
            </w:r>
            <w:proofErr w:type="spellStart"/>
            <w:r w:rsidRPr="00A07F29">
              <w:rPr>
                <w:rFonts w:ascii="Times New Roman" w:eastAsia="Calibri" w:hAnsi="Times New Roman" w:cs="Times New Roman"/>
                <w:color w:val="000000"/>
                <w:sz w:val="20"/>
                <w:szCs w:val="20"/>
                <w:lang w:eastAsia="ar-SA"/>
              </w:rPr>
              <w:t>s</w:t>
            </w:r>
            <w:r w:rsidRPr="00A07F29">
              <w:rPr>
                <w:rFonts w:ascii="Times New Roman" w:eastAsia="Calibri" w:hAnsi="Times New Roman" w:cs="Times New Roman"/>
                <w:color w:val="000000"/>
                <w:spacing w:val="-3"/>
                <w:sz w:val="20"/>
                <w:szCs w:val="20"/>
                <w:lang w:eastAsia="ar-SA"/>
              </w:rPr>
              <w:t>m</w:t>
            </w:r>
            <w:r w:rsidRPr="00A07F29">
              <w:rPr>
                <w:rFonts w:ascii="Times New Roman" w:eastAsia="Calibri" w:hAnsi="Times New Roman" w:cs="Times New Roman"/>
                <w:color w:val="000000"/>
                <w:sz w:val="20"/>
                <w:szCs w:val="20"/>
                <w:lang w:eastAsia="ar-SA"/>
              </w:rPr>
              <w:t>ilt</w:t>
            </w:r>
            <w:r w:rsidRPr="00A07F29">
              <w:rPr>
                <w:rFonts w:ascii="Times New Roman" w:eastAsia="Calibri" w:hAnsi="Times New Roman" w:cs="Times New Roman"/>
                <w:color w:val="000000"/>
                <w:spacing w:val="-1"/>
                <w:sz w:val="20"/>
                <w:szCs w:val="20"/>
                <w:lang w:eastAsia="ar-SA"/>
              </w:rPr>
              <w:t>ā</w:t>
            </w:r>
            <w:r w:rsidRPr="00A07F29">
              <w:rPr>
                <w:rFonts w:ascii="Times New Roman" w:eastAsia="Calibri" w:hAnsi="Times New Roman" w:cs="Times New Roman"/>
                <w:color w:val="000000"/>
                <w:sz w:val="20"/>
                <w:szCs w:val="20"/>
                <w:lang w:eastAsia="ar-SA"/>
              </w:rPr>
              <w:t>jsis</w:t>
            </w:r>
            <w:r w:rsidRPr="00A07F29">
              <w:rPr>
                <w:rFonts w:ascii="Times New Roman" w:eastAsia="Calibri" w:hAnsi="Times New Roman" w:cs="Times New Roman"/>
                <w:color w:val="000000"/>
                <w:spacing w:val="-1"/>
                <w:sz w:val="20"/>
                <w:szCs w:val="20"/>
                <w:lang w:eastAsia="ar-SA"/>
              </w:rPr>
              <w:t>e</w:t>
            </w:r>
            <w:r w:rsidRPr="00A07F29">
              <w:rPr>
                <w:rFonts w:ascii="Times New Roman" w:eastAsia="Calibri" w:hAnsi="Times New Roman" w:cs="Times New Roman"/>
                <w:color w:val="000000"/>
                <w:spacing w:val="1"/>
                <w:sz w:val="20"/>
                <w:szCs w:val="20"/>
                <w:lang w:eastAsia="ar-SA"/>
              </w:rPr>
              <w:t>n</w:t>
            </w:r>
            <w:r w:rsidRPr="00A07F29">
              <w:rPr>
                <w:rFonts w:ascii="Times New Roman" w:eastAsia="Calibri" w:hAnsi="Times New Roman" w:cs="Times New Roman"/>
                <w:color w:val="000000"/>
                <w:sz w:val="20"/>
                <w:szCs w:val="20"/>
                <w:lang w:eastAsia="ar-SA"/>
              </w:rPr>
              <w:t>is</w:t>
            </w:r>
            <w:proofErr w:type="spellEnd"/>
          </w:p>
        </w:tc>
        <w:tc>
          <w:tcPr>
            <w:tcW w:w="821" w:type="pct"/>
            <w:shd w:val="clear" w:color="auto" w:fill="auto"/>
            <w:noWrap/>
            <w:vAlign w:val="center"/>
          </w:tcPr>
          <w:p w14:paraId="037684DA" w14:textId="77777777" w:rsidR="009072CE" w:rsidRPr="00A07F29" w:rsidRDefault="009072CE" w:rsidP="009072CE">
            <w:pPr>
              <w:suppressAutoHyphens/>
              <w:spacing w:after="0" w:line="240" w:lineRule="auto"/>
              <w:rPr>
                <w:rFonts w:ascii="Times New Roman" w:eastAsia="Calibri" w:hAnsi="Times New Roman" w:cs="Times New Roman"/>
                <w:i/>
                <w:iCs/>
                <w:color w:val="000000"/>
                <w:sz w:val="20"/>
                <w:szCs w:val="20"/>
                <w:lang w:eastAsia="ar-SA"/>
              </w:rPr>
            </w:pPr>
            <w:proofErr w:type="spellStart"/>
            <w:r w:rsidRPr="00A07F29">
              <w:rPr>
                <w:rFonts w:ascii="Times New Roman" w:eastAsia="Calibri" w:hAnsi="Times New Roman" w:cs="Times New Roman"/>
                <w:i/>
                <w:color w:val="000000"/>
                <w:sz w:val="20"/>
                <w:szCs w:val="20"/>
                <w:lang w:eastAsia="ar-SA"/>
              </w:rPr>
              <w:t>O</w:t>
            </w:r>
            <w:r w:rsidRPr="00A07F29">
              <w:rPr>
                <w:rFonts w:ascii="Times New Roman" w:eastAsia="Calibri" w:hAnsi="Times New Roman" w:cs="Times New Roman"/>
                <w:i/>
                <w:color w:val="000000"/>
                <w:spacing w:val="-1"/>
                <w:sz w:val="20"/>
                <w:szCs w:val="20"/>
                <w:lang w:eastAsia="ar-SA"/>
              </w:rPr>
              <w:t>e</w:t>
            </w:r>
            <w:r w:rsidRPr="00A07F29">
              <w:rPr>
                <w:rFonts w:ascii="Times New Roman" w:eastAsia="Calibri" w:hAnsi="Times New Roman" w:cs="Times New Roman"/>
                <w:i/>
                <w:color w:val="000000"/>
                <w:spacing w:val="1"/>
                <w:sz w:val="20"/>
                <w:szCs w:val="20"/>
                <w:lang w:eastAsia="ar-SA"/>
              </w:rPr>
              <w:t>d</w:t>
            </w:r>
            <w:r w:rsidRPr="00A07F29">
              <w:rPr>
                <w:rFonts w:ascii="Times New Roman" w:eastAsia="Calibri" w:hAnsi="Times New Roman" w:cs="Times New Roman"/>
                <w:i/>
                <w:color w:val="000000"/>
                <w:sz w:val="20"/>
                <w:szCs w:val="20"/>
                <w:lang w:eastAsia="ar-SA"/>
              </w:rPr>
              <w:t>i</w:t>
            </w:r>
            <w:r w:rsidRPr="00A07F29">
              <w:rPr>
                <w:rFonts w:ascii="Times New Roman" w:eastAsia="Calibri" w:hAnsi="Times New Roman" w:cs="Times New Roman"/>
                <w:i/>
                <w:color w:val="000000"/>
                <w:spacing w:val="1"/>
                <w:sz w:val="20"/>
                <w:szCs w:val="20"/>
                <w:lang w:eastAsia="ar-SA"/>
              </w:rPr>
              <w:t>p</w:t>
            </w:r>
            <w:r w:rsidRPr="00A07F29">
              <w:rPr>
                <w:rFonts w:ascii="Times New Roman" w:eastAsia="Calibri" w:hAnsi="Times New Roman" w:cs="Times New Roman"/>
                <w:i/>
                <w:color w:val="000000"/>
                <w:spacing w:val="-1"/>
                <w:sz w:val="20"/>
                <w:szCs w:val="20"/>
                <w:lang w:eastAsia="ar-SA"/>
              </w:rPr>
              <w:t>o</w:t>
            </w:r>
            <w:r w:rsidRPr="00A07F29">
              <w:rPr>
                <w:rFonts w:ascii="Times New Roman" w:eastAsia="Calibri" w:hAnsi="Times New Roman" w:cs="Times New Roman"/>
                <w:i/>
                <w:color w:val="000000"/>
                <w:spacing w:val="1"/>
                <w:sz w:val="20"/>
                <w:szCs w:val="20"/>
                <w:lang w:eastAsia="ar-SA"/>
              </w:rPr>
              <w:t>d</w:t>
            </w:r>
            <w:r w:rsidRPr="00A07F29">
              <w:rPr>
                <w:rFonts w:ascii="Times New Roman" w:eastAsia="Calibri" w:hAnsi="Times New Roman" w:cs="Times New Roman"/>
                <w:i/>
                <w:color w:val="000000"/>
                <w:sz w:val="20"/>
                <w:szCs w:val="20"/>
                <w:lang w:eastAsia="ar-SA"/>
              </w:rPr>
              <w:t>a</w:t>
            </w:r>
            <w:proofErr w:type="spellEnd"/>
            <w:r w:rsidRPr="00A07F29">
              <w:rPr>
                <w:rFonts w:ascii="Times New Roman" w:eastAsia="Calibri" w:hAnsi="Times New Roman" w:cs="Times New Roman"/>
                <w:i/>
                <w:color w:val="000000"/>
                <w:spacing w:val="-4"/>
                <w:sz w:val="20"/>
                <w:szCs w:val="20"/>
                <w:lang w:eastAsia="ar-SA"/>
              </w:rPr>
              <w:t xml:space="preserve"> </w:t>
            </w:r>
            <w:proofErr w:type="spellStart"/>
            <w:r w:rsidRPr="00A07F29">
              <w:rPr>
                <w:rFonts w:ascii="Times New Roman" w:eastAsia="Calibri" w:hAnsi="Times New Roman" w:cs="Times New Roman"/>
                <w:i/>
                <w:color w:val="000000"/>
                <w:spacing w:val="-3"/>
                <w:sz w:val="20"/>
                <w:szCs w:val="20"/>
                <w:lang w:eastAsia="ar-SA"/>
              </w:rPr>
              <w:t>c</w:t>
            </w:r>
            <w:r w:rsidRPr="00A07F29">
              <w:rPr>
                <w:rFonts w:ascii="Times New Roman" w:eastAsia="Calibri" w:hAnsi="Times New Roman" w:cs="Times New Roman"/>
                <w:i/>
                <w:color w:val="000000"/>
                <w:spacing w:val="1"/>
                <w:sz w:val="20"/>
                <w:szCs w:val="20"/>
                <w:lang w:eastAsia="ar-SA"/>
              </w:rPr>
              <w:t>a</w:t>
            </w:r>
            <w:r w:rsidRPr="00A07F29">
              <w:rPr>
                <w:rFonts w:ascii="Times New Roman" w:eastAsia="Calibri" w:hAnsi="Times New Roman" w:cs="Times New Roman"/>
                <w:i/>
                <w:color w:val="000000"/>
                <w:spacing w:val="-1"/>
                <w:sz w:val="20"/>
                <w:szCs w:val="20"/>
                <w:lang w:eastAsia="ar-SA"/>
              </w:rPr>
              <w:t>e</w:t>
            </w:r>
            <w:r w:rsidRPr="00A07F29">
              <w:rPr>
                <w:rFonts w:ascii="Times New Roman" w:eastAsia="Calibri" w:hAnsi="Times New Roman" w:cs="Times New Roman"/>
                <w:i/>
                <w:color w:val="000000"/>
                <w:sz w:val="20"/>
                <w:szCs w:val="20"/>
                <w:lang w:eastAsia="ar-SA"/>
              </w:rPr>
              <w:t>r</w:t>
            </w:r>
            <w:r w:rsidRPr="00A07F29">
              <w:rPr>
                <w:rFonts w:ascii="Times New Roman" w:eastAsia="Calibri" w:hAnsi="Times New Roman" w:cs="Times New Roman"/>
                <w:i/>
                <w:color w:val="000000"/>
                <w:spacing w:val="1"/>
                <w:sz w:val="20"/>
                <w:szCs w:val="20"/>
                <w:lang w:eastAsia="ar-SA"/>
              </w:rPr>
              <w:t>u</w:t>
            </w:r>
            <w:r w:rsidRPr="00A07F29">
              <w:rPr>
                <w:rFonts w:ascii="Times New Roman" w:eastAsia="Calibri" w:hAnsi="Times New Roman" w:cs="Times New Roman"/>
                <w:i/>
                <w:color w:val="000000"/>
                <w:sz w:val="20"/>
                <w:szCs w:val="20"/>
                <w:lang w:eastAsia="ar-SA"/>
              </w:rPr>
              <w:t>l</w:t>
            </w:r>
            <w:r w:rsidRPr="00A07F29">
              <w:rPr>
                <w:rFonts w:ascii="Times New Roman" w:eastAsia="Calibri" w:hAnsi="Times New Roman" w:cs="Times New Roman"/>
                <w:i/>
                <w:color w:val="000000"/>
                <w:spacing w:val="-1"/>
                <w:sz w:val="20"/>
                <w:szCs w:val="20"/>
                <w:lang w:eastAsia="ar-SA"/>
              </w:rPr>
              <w:t>e</w:t>
            </w:r>
            <w:r w:rsidRPr="00A07F29">
              <w:rPr>
                <w:rFonts w:ascii="Times New Roman" w:eastAsia="Calibri" w:hAnsi="Times New Roman" w:cs="Times New Roman"/>
                <w:i/>
                <w:color w:val="000000"/>
                <w:sz w:val="20"/>
                <w:szCs w:val="20"/>
                <w:lang w:eastAsia="ar-SA"/>
              </w:rPr>
              <w:t>s</w:t>
            </w:r>
            <w:r w:rsidRPr="00A07F29">
              <w:rPr>
                <w:rFonts w:ascii="Times New Roman" w:eastAsia="Calibri" w:hAnsi="Times New Roman" w:cs="Times New Roman"/>
                <w:i/>
                <w:color w:val="000000"/>
                <w:spacing w:val="-1"/>
                <w:sz w:val="20"/>
                <w:szCs w:val="20"/>
                <w:lang w:eastAsia="ar-SA"/>
              </w:rPr>
              <w:t>ce</w:t>
            </w:r>
            <w:r w:rsidRPr="00A07F29">
              <w:rPr>
                <w:rFonts w:ascii="Times New Roman" w:eastAsia="Calibri" w:hAnsi="Times New Roman" w:cs="Times New Roman"/>
                <w:i/>
                <w:color w:val="000000"/>
                <w:spacing w:val="1"/>
                <w:sz w:val="20"/>
                <w:szCs w:val="20"/>
                <w:lang w:eastAsia="ar-SA"/>
              </w:rPr>
              <w:t>n</w:t>
            </w:r>
            <w:r w:rsidRPr="00A07F29">
              <w:rPr>
                <w:rFonts w:ascii="Times New Roman" w:eastAsia="Calibri" w:hAnsi="Times New Roman" w:cs="Times New Roman"/>
                <w:i/>
                <w:color w:val="000000"/>
                <w:sz w:val="20"/>
                <w:szCs w:val="20"/>
                <w:lang w:eastAsia="ar-SA"/>
              </w:rPr>
              <w:t>s</w:t>
            </w:r>
            <w:proofErr w:type="spellEnd"/>
          </w:p>
        </w:tc>
        <w:tc>
          <w:tcPr>
            <w:tcW w:w="674" w:type="pct"/>
            <w:shd w:val="clear" w:color="auto" w:fill="auto"/>
            <w:noWrap/>
            <w:vAlign w:val="center"/>
          </w:tcPr>
          <w:p w14:paraId="74D34FD2" w14:textId="5835DBFB" w:rsidR="009072CE" w:rsidRPr="00A07F29" w:rsidRDefault="009072CE" w:rsidP="009072CE">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 xml:space="preserve">ĪAS, </w:t>
            </w:r>
          </w:p>
        </w:tc>
        <w:tc>
          <w:tcPr>
            <w:tcW w:w="595" w:type="pct"/>
            <w:shd w:val="clear" w:color="auto" w:fill="auto"/>
            <w:noWrap/>
            <w:vAlign w:val="center"/>
          </w:tcPr>
          <w:p w14:paraId="69AA2712" w14:textId="25A49E3A" w:rsidR="009072CE" w:rsidRPr="00A07F29" w:rsidRDefault="007C721C" w:rsidP="009072CE">
            <w:pPr>
              <w:suppressAutoHyphens/>
              <w:spacing w:after="0" w:line="240" w:lineRule="auto"/>
              <w:rPr>
                <w:rFonts w:ascii="Times New Roman" w:eastAsia="Calibri" w:hAnsi="Times New Roman" w:cs="Times New Roman"/>
                <w:color w:val="000000"/>
                <w:sz w:val="20"/>
                <w:szCs w:val="20"/>
                <w:lang w:eastAsia="ar-SA"/>
              </w:rPr>
            </w:pPr>
            <w:r>
              <w:rPr>
                <w:rFonts w:ascii="Times New Roman" w:eastAsia="Calibri" w:hAnsi="Times New Roman" w:cs="Times New Roman"/>
                <w:color w:val="000000"/>
                <w:sz w:val="20"/>
                <w:szCs w:val="20"/>
                <w:lang w:eastAsia="ar-SA"/>
              </w:rPr>
              <w:t>L</w:t>
            </w:r>
            <w:r w:rsidR="009072CE" w:rsidRPr="00A07F29">
              <w:rPr>
                <w:rFonts w:ascii="Times New Roman" w:eastAsia="Calibri" w:hAnsi="Times New Roman" w:cs="Times New Roman"/>
                <w:color w:val="000000"/>
                <w:sz w:val="20"/>
                <w:szCs w:val="20"/>
                <w:lang w:eastAsia="ar-SA"/>
              </w:rPr>
              <w:t xml:space="preserve">SG </w:t>
            </w:r>
            <w:r w:rsidR="001C47B3">
              <w:rPr>
                <w:rFonts w:ascii="Times New Roman" w:eastAsia="Calibri" w:hAnsi="Times New Roman" w:cs="Times New Roman"/>
                <w:color w:val="000000"/>
                <w:sz w:val="20"/>
                <w:szCs w:val="20"/>
                <w:lang w:eastAsia="ar-SA"/>
              </w:rPr>
              <w:t>1</w:t>
            </w:r>
          </w:p>
        </w:tc>
        <w:tc>
          <w:tcPr>
            <w:tcW w:w="1045" w:type="pct"/>
          </w:tcPr>
          <w:p w14:paraId="3FA9BA13" w14:textId="6E7AB04A" w:rsidR="009072CE" w:rsidRPr="00A07F29" w:rsidRDefault="009072CE"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Latvijā suga sastopama visā teritorijā, bet galvenokārt valsts centrālajā daļā (</w:t>
            </w:r>
            <w:proofErr w:type="spellStart"/>
            <w:r w:rsidRPr="00A07F29">
              <w:rPr>
                <w:rFonts w:ascii="Times New Roman" w:eastAsia="Calibri" w:hAnsi="Times New Roman" w:cs="Times New Roman"/>
                <w:color w:val="000000"/>
                <w:sz w:val="20"/>
                <w:szCs w:val="20"/>
                <w:lang w:eastAsia="ar-SA"/>
              </w:rPr>
              <w:t>Spuris</w:t>
            </w:r>
            <w:proofErr w:type="spellEnd"/>
            <w:r w:rsidR="004C5AD1">
              <w:rPr>
                <w:rFonts w:ascii="Times New Roman" w:eastAsia="Calibri" w:hAnsi="Times New Roman" w:cs="Times New Roman"/>
                <w:color w:val="000000"/>
                <w:sz w:val="20"/>
                <w:szCs w:val="20"/>
                <w:lang w:eastAsia="ar-SA"/>
              </w:rPr>
              <w:t xml:space="preserve"> Z</w:t>
            </w:r>
            <w:r w:rsidR="007C721C">
              <w:rPr>
                <w:rFonts w:ascii="Times New Roman" w:eastAsia="Calibri" w:hAnsi="Times New Roman" w:cs="Times New Roman"/>
                <w:color w:val="000000"/>
                <w:sz w:val="20"/>
                <w:szCs w:val="20"/>
                <w:lang w:eastAsia="ar-SA"/>
              </w:rPr>
              <w:t>.</w:t>
            </w:r>
            <w:r w:rsidRPr="00A07F29">
              <w:rPr>
                <w:rFonts w:ascii="Times New Roman" w:eastAsia="Calibri" w:hAnsi="Times New Roman" w:cs="Times New Roman"/>
                <w:color w:val="000000"/>
                <w:sz w:val="20"/>
                <w:szCs w:val="20"/>
                <w:lang w:eastAsia="ar-SA"/>
              </w:rPr>
              <w:t>, 1998).</w:t>
            </w:r>
          </w:p>
        </w:tc>
        <w:tc>
          <w:tcPr>
            <w:tcW w:w="971" w:type="pct"/>
            <w:shd w:val="clear" w:color="auto" w:fill="auto"/>
            <w:vAlign w:val="center"/>
          </w:tcPr>
          <w:p w14:paraId="6D545140" w14:textId="3B6D0A14" w:rsidR="009072CE" w:rsidRPr="00A07F29" w:rsidRDefault="009072CE" w:rsidP="009072CE">
            <w:pPr>
              <w:suppressAutoHyphens/>
              <w:spacing w:after="0" w:line="240" w:lineRule="auto"/>
              <w:jc w:val="both"/>
              <w:rPr>
                <w:rFonts w:ascii="Times New Roman" w:eastAsia="Calibri" w:hAnsi="Times New Roman" w:cs="Times New Roman"/>
                <w:color w:val="000000"/>
                <w:sz w:val="24"/>
                <w:szCs w:val="24"/>
                <w:lang w:eastAsia="ar-SA"/>
              </w:rPr>
            </w:pPr>
            <w:r w:rsidRPr="00A07F29">
              <w:rPr>
                <w:rFonts w:ascii="Times New Roman" w:eastAsia="Calibri" w:hAnsi="Times New Roman" w:cs="Times New Roman"/>
                <w:color w:val="000000"/>
                <w:sz w:val="20"/>
                <w:szCs w:val="24"/>
                <w:lang w:eastAsia="ar-SA"/>
              </w:rPr>
              <w:t>Suga bieži sastopama grants un smilšu karjeros. Konstatēta saus</w:t>
            </w:r>
            <w:r w:rsidR="003938B4">
              <w:rPr>
                <w:rFonts w:ascii="Times New Roman" w:eastAsia="Calibri" w:hAnsi="Times New Roman" w:cs="Times New Roman"/>
                <w:color w:val="000000"/>
                <w:sz w:val="20"/>
                <w:szCs w:val="24"/>
                <w:lang w:eastAsia="ar-SA"/>
              </w:rPr>
              <w:t>ā</w:t>
            </w:r>
            <w:r w:rsidRPr="00A07F29">
              <w:rPr>
                <w:rFonts w:ascii="Times New Roman" w:eastAsia="Calibri" w:hAnsi="Times New Roman" w:cs="Times New Roman"/>
                <w:color w:val="000000"/>
                <w:sz w:val="20"/>
                <w:szCs w:val="24"/>
                <w:lang w:eastAsia="ar-SA"/>
              </w:rPr>
              <w:t xml:space="preserve"> priežu mežā un izcirtumā pie </w:t>
            </w:r>
            <w:proofErr w:type="spellStart"/>
            <w:r w:rsidRPr="00A07F29">
              <w:rPr>
                <w:rFonts w:ascii="Times New Roman" w:eastAsia="Calibri" w:hAnsi="Times New Roman" w:cs="Times New Roman"/>
                <w:color w:val="000000"/>
                <w:sz w:val="20"/>
                <w:szCs w:val="24"/>
                <w:lang w:eastAsia="ar-SA"/>
              </w:rPr>
              <w:t>Šilovkas</w:t>
            </w:r>
            <w:proofErr w:type="spellEnd"/>
            <w:r w:rsidRPr="00A07F29">
              <w:rPr>
                <w:rFonts w:ascii="Times New Roman" w:eastAsia="Calibri" w:hAnsi="Times New Roman" w:cs="Times New Roman"/>
                <w:color w:val="000000"/>
                <w:sz w:val="20"/>
                <w:szCs w:val="24"/>
                <w:lang w:eastAsia="ar-SA"/>
              </w:rPr>
              <w:t xml:space="preserve"> ezera.</w:t>
            </w:r>
          </w:p>
        </w:tc>
      </w:tr>
      <w:tr w:rsidR="009072CE" w:rsidRPr="00A07F29" w14:paraId="11C6F850" w14:textId="77777777" w:rsidTr="00014519">
        <w:trPr>
          <w:cantSplit/>
          <w:trHeight w:val="284"/>
        </w:trPr>
        <w:tc>
          <w:tcPr>
            <w:tcW w:w="894" w:type="pct"/>
            <w:shd w:val="clear" w:color="auto" w:fill="auto"/>
            <w:noWrap/>
            <w:vAlign w:val="center"/>
          </w:tcPr>
          <w:p w14:paraId="536FDFDE" w14:textId="77777777" w:rsidR="009072CE" w:rsidRPr="00A07F29" w:rsidRDefault="009072CE" w:rsidP="009072CE">
            <w:pPr>
              <w:suppressAutoHyphens/>
              <w:spacing w:after="0" w:line="240" w:lineRule="auto"/>
              <w:rPr>
                <w:rFonts w:ascii="Times New Roman" w:eastAsia="Calibri" w:hAnsi="Times New Roman" w:cs="Times New Roman"/>
                <w:color w:val="000000"/>
                <w:sz w:val="20"/>
                <w:szCs w:val="20"/>
                <w:lang w:eastAsia="ar-SA"/>
              </w:rPr>
            </w:pPr>
            <w:proofErr w:type="spellStart"/>
            <w:r w:rsidRPr="00A07F29">
              <w:rPr>
                <w:rFonts w:ascii="Times New Roman" w:eastAsia="Calibri" w:hAnsi="Times New Roman" w:cs="Times New Roman"/>
                <w:color w:val="000000"/>
                <w:sz w:val="20"/>
                <w:szCs w:val="20"/>
                <w:lang w:eastAsia="ar-SA"/>
              </w:rPr>
              <w:t>Parkšķis</w:t>
            </w:r>
            <w:proofErr w:type="spellEnd"/>
          </w:p>
        </w:tc>
        <w:tc>
          <w:tcPr>
            <w:tcW w:w="821" w:type="pct"/>
            <w:shd w:val="clear" w:color="auto" w:fill="auto"/>
            <w:noWrap/>
            <w:vAlign w:val="center"/>
          </w:tcPr>
          <w:p w14:paraId="05EC350C" w14:textId="77777777" w:rsidR="009072CE" w:rsidRPr="00A07F29" w:rsidRDefault="009072CE" w:rsidP="009072CE">
            <w:pPr>
              <w:suppressAutoHyphens/>
              <w:spacing w:after="0" w:line="240" w:lineRule="auto"/>
              <w:rPr>
                <w:rFonts w:ascii="Times New Roman" w:eastAsia="Calibri" w:hAnsi="Times New Roman" w:cs="Times New Roman"/>
                <w:i/>
                <w:color w:val="000000"/>
                <w:sz w:val="20"/>
                <w:szCs w:val="20"/>
                <w:lang w:eastAsia="ar-SA"/>
              </w:rPr>
            </w:pPr>
            <w:proofErr w:type="spellStart"/>
            <w:r w:rsidRPr="00A07F29">
              <w:rPr>
                <w:rFonts w:ascii="Times New Roman" w:eastAsia="Calibri" w:hAnsi="Times New Roman" w:cs="Times New Roman"/>
                <w:i/>
                <w:color w:val="000000"/>
                <w:sz w:val="20"/>
                <w:szCs w:val="20"/>
                <w:lang w:eastAsia="ar-SA"/>
              </w:rPr>
              <w:t>Psophus</w:t>
            </w:r>
            <w:proofErr w:type="spellEnd"/>
            <w:r w:rsidRPr="00A07F29">
              <w:rPr>
                <w:rFonts w:ascii="Times New Roman" w:eastAsia="Calibri" w:hAnsi="Times New Roman" w:cs="Times New Roman"/>
                <w:i/>
                <w:color w:val="000000"/>
                <w:sz w:val="20"/>
                <w:szCs w:val="20"/>
                <w:lang w:eastAsia="ar-SA"/>
              </w:rPr>
              <w:t xml:space="preserve"> </w:t>
            </w:r>
            <w:proofErr w:type="spellStart"/>
            <w:r w:rsidRPr="00A07F29">
              <w:rPr>
                <w:rFonts w:ascii="Times New Roman" w:eastAsia="Calibri" w:hAnsi="Times New Roman" w:cs="Times New Roman"/>
                <w:i/>
                <w:color w:val="000000"/>
                <w:sz w:val="20"/>
                <w:szCs w:val="20"/>
                <w:lang w:eastAsia="ar-SA"/>
              </w:rPr>
              <w:t>stridulus</w:t>
            </w:r>
            <w:proofErr w:type="spellEnd"/>
          </w:p>
        </w:tc>
        <w:tc>
          <w:tcPr>
            <w:tcW w:w="674" w:type="pct"/>
            <w:shd w:val="clear" w:color="auto" w:fill="auto"/>
            <w:noWrap/>
            <w:vAlign w:val="center"/>
          </w:tcPr>
          <w:p w14:paraId="51BBC854" w14:textId="77777777" w:rsidR="009072CE" w:rsidRPr="00A07F29" w:rsidRDefault="009072CE" w:rsidP="009072CE">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w:t>
            </w:r>
          </w:p>
        </w:tc>
        <w:tc>
          <w:tcPr>
            <w:tcW w:w="595" w:type="pct"/>
            <w:shd w:val="clear" w:color="auto" w:fill="auto"/>
            <w:noWrap/>
            <w:vAlign w:val="center"/>
          </w:tcPr>
          <w:p w14:paraId="2C01167C" w14:textId="6C6E429E" w:rsidR="009072CE" w:rsidRPr="00A07F29" w:rsidRDefault="007C721C" w:rsidP="009072CE">
            <w:pPr>
              <w:suppressAutoHyphens/>
              <w:spacing w:after="0" w:line="240" w:lineRule="auto"/>
              <w:rPr>
                <w:rFonts w:ascii="Times New Roman" w:eastAsia="Calibri" w:hAnsi="Times New Roman" w:cs="Times New Roman"/>
                <w:color w:val="000000"/>
                <w:sz w:val="20"/>
                <w:szCs w:val="20"/>
                <w:lang w:eastAsia="ar-SA"/>
              </w:rPr>
            </w:pPr>
            <w:r>
              <w:rPr>
                <w:rFonts w:ascii="Times New Roman" w:eastAsia="Calibri" w:hAnsi="Times New Roman" w:cs="Times New Roman"/>
                <w:color w:val="000000"/>
                <w:sz w:val="20"/>
                <w:szCs w:val="20"/>
                <w:lang w:eastAsia="ar-SA"/>
              </w:rPr>
              <w:t>L</w:t>
            </w:r>
            <w:r w:rsidR="009072CE" w:rsidRPr="00A07F29">
              <w:rPr>
                <w:rFonts w:ascii="Times New Roman" w:eastAsia="Calibri" w:hAnsi="Times New Roman" w:cs="Times New Roman"/>
                <w:color w:val="000000"/>
                <w:sz w:val="20"/>
                <w:szCs w:val="20"/>
                <w:lang w:eastAsia="ar-SA"/>
              </w:rPr>
              <w:t xml:space="preserve">SG </w:t>
            </w:r>
            <w:r w:rsidR="001C47B3">
              <w:rPr>
                <w:rFonts w:ascii="Times New Roman" w:eastAsia="Calibri" w:hAnsi="Times New Roman" w:cs="Times New Roman"/>
                <w:color w:val="000000"/>
                <w:sz w:val="20"/>
                <w:szCs w:val="20"/>
                <w:lang w:eastAsia="ar-SA"/>
              </w:rPr>
              <w:t>3</w:t>
            </w:r>
          </w:p>
        </w:tc>
        <w:tc>
          <w:tcPr>
            <w:tcW w:w="1045" w:type="pct"/>
            <w:shd w:val="clear" w:color="auto" w:fill="auto"/>
          </w:tcPr>
          <w:p w14:paraId="40C84FF7" w14:textId="0CBFFC4F" w:rsidR="009072CE" w:rsidRPr="00A07F29" w:rsidRDefault="009072CE"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Latvijā suga izplatīta visā teritorijā, sastopama reti (</w:t>
            </w:r>
            <w:proofErr w:type="spellStart"/>
            <w:r w:rsidRPr="00A07F29">
              <w:rPr>
                <w:rFonts w:ascii="Times New Roman" w:eastAsia="Calibri" w:hAnsi="Times New Roman" w:cs="Times New Roman"/>
                <w:color w:val="000000"/>
                <w:sz w:val="20"/>
                <w:szCs w:val="20"/>
                <w:lang w:eastAsia="ar-SA"/>
              </w:rPr>
              <w:t>Spuris</w:t>
            </w:r>
            <w:proofErr w:type="spellEnd"/>
            <w:r w:rsidR="007C721C">
              <w:rPr>
                <w:rFonts w:ascii="Times New Roman" w:eastAsia="Calibri" w:hAnsi="Times New Roman" w:cs="Times New Roman"/>
                <w:color w:val="000000"/>
                <w:sz w:val="20"/>
                <w:szCs w:val="20"/>
                <w:lang w:eastAsia="ar-SA"/>
              </w:rPr>
              <w:t xml:space="preserve"> Z.</w:t>
            </w:r>
            <w:r w:rsidRPr="00A07F29">
              <w:rPr>
                <w:rFonts w:ascii="Times New Roman" w:eastAsia="Calibri" w:hAnsi="Times New Roman" w:cs="Times New Roman"/>
                <w:color w:val="000000"/>
                <w:sz w:val="20"/>
                <w:szCs w:val="20"/>
                <w:lang w:eastAsia="ar-SA"/>
              </w:rPr>
              <w:t>, 1998).</w:t>
            </w:r>
          </w:p>
        </w:tc>
        <w:tc>
          <w:tcPr>
            <w:tcW w:w="971" w:type="pct"/>
            <w:shd w:val="clear" w:color="auto" w:fill="auto"/>
            <w:vAlign w:val="center"/>
          </w:tcPr>
          <w:p w14:paraId="5FB0840E" w14:textId="77777777" w:rsidR="009072CE" w:rsidRPr="00A07F29" w:rsidRDefault="009072CE" w:rsidP="009072CE">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Suga sastopama vienā atradnē AAA “Augšdaugava teritorijā”</w:t>
            </w:r>
          </w:p>
        </w:tc>
      </w:tr>
      <w:tr w:rsidR="009072CE" w:rsidRPr="00A07F29" w14:paraId="7F1FCC96" w14:textId="77777777" w:rsidTr="009056A3">
        <w:trPr>
          <w:cantSplit/>
          <w:trHeight w:val="284"/>
        </w:trPr>
        <w:tc>
          <w:tcPr>
            <w:tcW w:w="5000" w:type="pct"/>
            <w:gridSpan w:val="6"/>
            <w:shd w:val="clear" w:color="auto" w:fill="EAF1DD"/>
            <w:noWrap/>
            <w:vAlign w:val="center"/>
          </w:tcPr>
          <w:p w14:paraId="1930C5C5" w14:textId="77777777" w:rsidR="009072CE" w:rsidRPr="00A07F29" w:rsidRDefault="009072CE" w:rsidP="009072CE">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b/>
                <w:color w:val="000000"/>
                <w:spacing w:val="1"/>
                <w:sz w:val="20"/>
                <w:szCs w:val="20"/>
                <w:lang w:eastAsia="ar-SA"/>
              </w:rPr>
              <w:t>Spāres</w:t>
            </w:r>
            <w:r w:rsidRPr="00A07F29">
              <w:rPr>
                <w:rFonts w:ascii="Times New Roman" w:eastAsia="Calibri" w:hAnsi="Times New Roman" w:cs="Times New Roman"/>
                <w:b/>
                <w:color w:val="000000"/>
                <w:spacing w:val="7"/>
                <w:sz w:val="20"/>
                <w:szCs w:val="20"/>
                <w:lang w:eastAsia="ar-SA"/>
              </w:rPr>
              <w:t xml:space="preserve"> </w:t>
            </w:r>
            <w:proofErr w:type="spellStart"/>
            <w:r w:rsidRPr="00A07F29">
              <w:rPr>
                <w:rFonts w:ascii="Times New Roman" w:eastAsia="Calibri" w:hAnsi="Times New Roman" w:cs="Times New Roman"/>
                <w:b/>
                <w:color w:val="000000"/>
                <w:spacing w:val="2"/>
                <w:sz w:val="20"/>
                <w:szCs w:val="20"/>
                <w:lang w:eastAsia="ar-SA"/>
              </w:rPr>
              <w:t>O</w:t>
            </w:r>
            <w:r w:rsidRPr="00A07F29">
              <w:rPr>
                <w:rFonts w:ascii="Times New Roman" w:eastAsia="Calibri" w:hAnsi="Times New Roman" w:cs="Times New Roman"/>
                <w:b/>
                <w:color w:val="000000"/>
                <w:spacing w:val="-2"/>
                <w:sz w:val="20"/>
                <w:szCs w:val="20"/>
                <w:lang w:eastAsia="ar-SA"/>
              </w:rPr>
              <w:t>d</w:t>
            </w:r>
            <w:r w:rsidRPr="00A07F29">
              <w:rPr>
                <w:rFonts w:ascii="Times New Roman" w:eastAsia="Calibri" w:hAnsi="Times New Roman" w:cs="Times New Roman"/>
                <w:b/>
                <w:color w:val="000000"/>
                <w:spacing w:val="1"/>
                <w:sz w:val="20"/>
                <w:szCs w:val="20"/>
                <w:lang w:eastAsia="ar-SA"/>
              </w:rPr>
              <w:t>o</w:t>
            </w:r>
            <w:r w:rsidRPr="00A07F29">
              <w:rPr>
                <w:rFonts w:ascii="Times New Roman" w:eastAsia="Calibri" w:hAnsi="Times New Roman" w:cs="Times New Roman"/>
                <w:b/>
                <w:color w:val="000000"/>
                <w:spacing w:val="-2"/>
                <w:sz w:val="20"/>
                <w:szCs w:val="20"/>
                <w:lang w:eastAsia="ar-SA"/>
              </w:rPr>
              <w:t>n</w:t>
            </w:r>
            <w:r w:rsidRPr="00A07F29">
              <w:rPr>
                <w:rFonts w:ascii="Times New Roman" w:eastAsia="Calibri" w:hAnsi="Times New Roman" w:cs="Times New Roman"/>
                <w:b/>
                <w:color w:val="000000"/>
                <w:spacing w:val="-1"/>
                <w:sz w:val="20"/>
                <w:szCs w:val="20"/>
                <w:lang w:eastAsia="ar-SA"/>
              </w:rPr>
              <w:t>a</w:t>
            </w:r>
            <w:r w:rsidRPr="00A07F29">
              <w:rPr>
                <w:rFonts w:ascii="Times New Roman" w:eastAsia="Calibri" w:hAnsi="Times New Roman" w:cs="Times New Roman"/>
                <w:b/>
                <w:color w:val="000000"/>
                <w:spacing w:val="2"/>
                <w:sz w:val="20"/>
                <w:szCs w:val="20"/>
                <w:lang w:eastAsia="ar-SA"/>
              </w:rPr>
              <w:t>t</w:t>
            </w:r>
            <w:r w:rsidRPr="00A07F29">
              <w:rPr>
                <w:rFonts w:ascii="Times New Roman" w:eastAsia="Calibri" w:hAnsi="Times New Roman" w:cs="Times New Roman"/>
                <w:b/>
                <w:color w:val="000000"/>
                <w:sz w:val="20"/>
                <w:szCs w:val="20"/>
                <w:lang w:eastAsia="ar-SA"/>
              </w:rPr>
              <w:t>a</w:t>
            </w:r>
            <w:proofErr w:type="spellEnd"/>
          </w:p>
        </w:tc>
      </w:tr>
      <w:tr w:rsidR="009072CE" w:rsidRPr="00A07F29" w14:paraId="4BFE4AF1" w14:textId="77777777" w:rsidTr="00014519">
        <w:trPr>
          <w:cantSplit/>
          <w:trHeight w:val="284"/>
        </w:trPr>
        <w:tc>
          <w:tcPr>
            <w:tcW w:w="894" w:type="pct"/>
            <w:shd w:val="clear" w:color="auto" w:fill="auto"/>
            <w:noWrap/>
          </w:tcPr>
          <w:p w14:paraId="01F89546" w14:textId="77777777" w:rsidR="009072CE" w:rsidRPr="00A07F29" w:rsidRDefault="009072CE" w:rsidP="009072CE">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pacing w:val="-1"/>
                <w:sz w:val="20"/>
                <w:szCs w:val="20"/>
                <w:lang w:eastAsia="ar-SA"/>
              </w:rPr>
              <w:t>Zaļ</w:t>
            </w:r>
            <w:r w:rsidRPr="00A07F29">
              <w:rPr>
                <w:rFonts w:ascii="Times New Roman" w:eastAsia="Calibri" w:hAnsi="Times New Roman" w:cs="Times New Roman"/>
                <w:color w:val="000000"/>
                <w:sz w:val="20"/>
                <w:szCs w:val="20"/>
                <w:lang w:eastAsia="ar-SA"/>
              </w:rPr>
              <w:t xml:space="preserve">ā </w:t>
            </w:r>
            <w:proofErr w:type="spellStart"/>
            <w:r w:rsidRPr="00A07F29">
              <w:rPr>
                <w:rFonts w:ascii="Times New Roman" w:eastAsia="Calibri" w:hAnsi="Times New Roman" w:cs="Times New Roman"/>
                <w:color w:val="000000"/>
                <w:spacing w:val="1"/>
                <w:sz w:val="20"/>
                <w:szCs w:val="20"/>
                <w:lang w:eastAsia="ar-SA"/>
              </w:rPr>
              <w:t>d</w:t>
            </w:r>
            <w:r w:rsidRPr="00A07F29">
              <w:rPr>
                <w:rFonts w:ascii="Times New Roman" w:eastAsia="Calibri" w:hAnsi="Times New Roman" w:cs="Times New Roman"/>
                <w:color w:val="000000"/>
                <w:sz w:val="20"/>
                <w:szCs w:val="20"/>
                <w:lang w:eastAsia="ar-SA"/>
              </w:rPr>
              <w:t>i</w:t>
            </w:r>
            <w:r w:rsidRPr="00A07F29">
              <w:rPr>
                <w:rFonts w:ascii="Times New Roman" w:eastAsia="Calibri" w:hAnsi="Times New Roman" w:cs="Times New Roman"/>
                <w:color w:val="000000"/>
                <w:spacing w:val="-1"/>
                <w:sz w:val="20"/>
                <w:szCs w:val="20"/>
                <w:lang w:eastAsia="ar-SA"/>
              </w:rPr>
              <w:t>ž</w:t>
            </w:r>
            <w:r w:rsidRPr="00A07F29">
              <w:rPr>
                <w:rFonts w:ascii="Times New Roman" w:eastAsia="Calibri" w:hAnsi="Times New Roman" w:cs="Times New Roman"/>
                <w:color w:val="000000"/>
                <w:sz w:val="20"/>
                <w:szCs w:val="20"/>
                <w:lang w:eastAsia="ar-SA"/>
              </w:rPr>
              <w:t>s</w:t>
            </w:r>
            <w:r w:rsidRPr="00A07F29">
              <w:rPr>
                <w:rFonts w:ascii="Times New Roman" w:eastAsia="Calibri" w:hAnsi="Times New Roman" w:cs="Times New Roman"/>
                <w:color w:val="000000"/>
                <w:spacing w:val="1"/>
                <w:sz w:val="20"/>
                <w:szCs w:val="20"/>
                <w:lang w:eastAsia="ar-SA"/>
              </w:rPr>
              <w:t>p</w:t>
            </w:r>
            <w:r w:rsidRPr="00A07F29">
              <w:rPr>
                <w:rFonts w:ascii="Times New Roman" w:eastAsia="Calibri" w:hAnsi="Times New Roman" w:cs="Times New Roman"/>
                <w:color w:val="000000"/>
                <w:spacing w:val="-1"/>
                <w:sz w:val="20"/>
                <w:szCs w:val="20"/>
                <w:lang w:eastAsia="ar-SA"/>
              </w:rPr>
              <w:t>ā</w:t>
            </w:r>
            <w:r w:rsidRPr="00A07F29">
              <w:rPr>
                <w:rFonts w:ascii="Times New Roman" w:eastAsia="Calibri" w:hAnsi="Times New Roman" w:cs="Times New Roman"/>
                <w:color w:val="000000"/>
                <w:sz w:val="20"/>
                <w:szCs w:val="20"/>
                <w:lang w:eastAsia="ar-SA"/>
              </w:rPr>
              <w:t>re</w:t>
            </w:r>
            <w:proofErr w:type="spellEnd"/>
          </w:p>
        </w:tc>
        <w:tc>
          <w:tcPr>
            <w:tcW w:w="821" w:type="pct"/>
            <w:shd w:val="clear" w:color="auto" w:fill="auto"/>
            <w:noWrap/>
          </w:tcPr>
          <w:p w14:paraId="38835ECB" w14:textId="77777777" w:rsidR="009072CE" w:rsidRPr="00A07F29" w:rsidRDefault="009072CE" w:rsidP="009072CE">
            <w:pPr>
              <w:suppressAutoHyphens/>
              <w:spacing w:after="0" w:line="240" w:lineRule="auto"/>
              <w:rPr>
                <w:rFonts w:ascii="Times New Roman" w:eastAsia="Calibri" w:hAnsi="Times New Roman" w:cs="Times New Roman"/>
                <w:i/>
                <w:iCs/>
                <w:color w:val="000000"/>
                <w:sz w:val="20"/>
                <w:szCs w:val="20"/>
                <w:lang w:eastAsia="ar-SA"/>
              </w:rPr>
            </w:pPr>
            <w:proofErr w:type="spellStart"/>
            <w:r w:rsidRPr="00A07F29">
              <w:rPr>
                <w:rFonts w:ascii="Times New Roman" w:eastAsia="Calibri" w:hAnsi="Times New Roman" w:cs="Times New Roman"/>
                <w:i/>
                <w:color w:val="000000"/>
                <w:sz w:val="20"/>
                <w:szCs w:val="20"/>
                <w:lang w:eastAsia="ar-SA"/>
              </w:rPr>
              <w:t>A</w:t>
            </w:r>
            <w:r w:rsidRPr="00A07F29">
              <w:rPr>
                <w:rFonts w:ascii="Times New Roman" w:eastAsia="Calibri" w:hAnsi="Times New Roman" w:cs="Times New Roman"/>
                <w:i/>
                <w:color w:val="000000"/>
                <w:spacing w:val="-1"/>
                <w:sz w:val="20"/>
                <w:szCs w:val="20"/>
                <w:lang w:eastAsia="ar-SA"/>
              </w:rPr>
              <w:t>e</w:t>
            </w:r>
            <w:r w:rsidRPr="00A07F29">
              <w:rPr>
                <w:rFonts w:ascii="Times New Roman" w:eastAsia="Calibri" w:hAnsi="Times New Roman" w:cs="Times New Roman"/>
                <w:i/>
                <w:color w:val="000000"/>
                <w:sz w:val="20"/>
                <w:szCs w:val="20"/>
                <w:lang w:eastAsia="ar-SA"/>
              </w:rPr>
              <w:t>s</w:t>
            </w:r>
            <w:r w:rsidRPr="00A07F29">
              <w:rPr>
                <w:rFonts w:ascii="Times New Roman" w:eastAsia="Calibri" w:hAnsi="Times New Roman" w:cs="Times New Roman"/>
                <w:i/>
                <w:color w:val="000000"/>
                <w:spacing w:val="1"/>
                <w:sz w:val="20"/>
                <w:szCs w:val="20"/>
                <w:lang w:eastAsia="ar-SA"/>
              </w:rPr>
              <w:t>hn</w:t>
            </w:r>
            <w:r w:rsidRPr="00A07F29">
              <w:rPr>
                <w:rFonts w:ascii="Times New Roman" w:eastAsia="Calibri" w:hAnsi="Times New Roman" w:cs="Times New Roman"/>
                <w:i/>
                <w:color w:val="000000"/>
                <w:sz w:val="20"/>
                <w:szCs w:val="20"/>
                <w:lang w:eastAsia="ar-SA"/>
              </w:rPr>
              <w:t>a</w:t>
            </w:r>
            <w:proofErr w:type="spellEnd"/>
            <w:r w:rsidRPr="00A07F29">
              <w:rPr>
                <w:rFonts w:ascii="Times New Roman" w:eastAsia="Calibri" w:hAnsi="Times New Roman" w:cs="Times New Roman"/>
                <w:i/>
                <w:color w:val="000000"/>
                <w:spacing w:val="-1"/>
                <w:sz w:val="20"/>
                <w:szCs w:val="20"/>
                <w:lang w:eastAsia="ar-SA"/>
              </w:rPr>
              <w:t xml:space="preserve"> </w:t>
            </w:r>
            <w:proofErr w:type="spellStart"/>
            <w:r w:rsidRPr="00A07F29">
              <w:rPr>
                <w:rFonts w:ascii="Times New Roman" w:eastAsia="Calibri" w:hAnsi="Times New Roman" w:cs="Times New Roman"/>
                <w:i/>
                <w:color w:val="000000"/>
                <w:spacing w:val="-1"/>
                <w:sz w:val="20"/>
                <w:szCs w:val="20"/>
                <w:lang w:eastAsia="ar-SA"/>
              </w:rPr>
              <w:t>v</w:t>
            </w:r>
            <w:r w:rsidRPr="00A07F29">
              <w:rPr>
                <w:rFonts w:ascii="Times New Roman" w:eastAsia="Calibri" w:hAnsi="Times New Roman" w:cs="Times New Roman"/>
                <w:i/>
                <w:color w:val="000000"/>
                <w:sz w:val="20"/>
                <w:szCs w:val="20"/>
                <w:lang w:eastAsia="ar-SA"/>
              </w:rPr>
              <w:t>ir</w:t>
            </w:r>
            <w:r w:rsidRPr="00A07F29">
              <w:rPr>
                <w:rFonts w:ascii="Times New Roman" w:eastAsia="Calibri" w:hAnsi="Times New Roman" w:cs="Times New Roman"/>
                <w:i/>
                <w:color w:val="000000"/>
                <w:spacing w:val="-2"/>
                <w:sz w:val="20"/>
                <w:szCs w:val="20"/>
                <w:lang w:eastAsia="ar-SA"/>
              </w:rPr>
              <w:t>i</w:t>
            </w:r>
            <w:r w:rsidRPr="00A07F29">
              <w:rPr>
                <w:rFonts w:ascii="Times New Roman" w:eastAsia="Calibri" w:hAnsi="Times New Roman" w:cs="Times New Roman"/>
                <w:i/>
                <w:color w:val="000000"/>
                <w:spacing w:val="1"/>
                <w:sz w:val="20"/>
                <w:szCs w:val="20"/>
                <w:lang w:eastAsia="ar-SA"/>
              </w:rPr>
              <w:t>d</w:t>
            </w:r>
            <w:r w:rsidRPr="00A07F29">
              <w:rPr>
                <w:rFonts w:ascii="Times New Roman" w:eastAsia="Calibri" w:hAnsi="Times New Roman" w:cs="Times New Roman"/>
                <w:i/>
                <w:color w:val="000000"/>
                <w:sz w:val="20"/>
                <w:szCs w:val="20"/>
                <w:lang w:eastAsia="ar-SA"/>
              </w:rPr>
              <w:t>is</w:t>
            </w:r>
            <w:proofErr w:type="spellEnd"/>
          </w:p>
        </w:tc>
        <w:tc>
          <w:tcPr>
            <w:tcW w:w="674" w:type="pct"/>
            <w:shd w:val="clear" w:color="auto" w:fill="auto"/>
            <w:noWrap/>
          </w:tcPr>
          <w:p w14:paraId="22D86CB7" w14:textId="775CDB5F" w:rsidR="009072CE" w:rsidRPr="00A07F29" w:rsidRDefault="009072CE" w:rsidP="004E1BBB">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 xml:space="preserve">ĪAS, </w:t>
            </w:r>
            <w:r w:rsidR="004E1BBB" w:rsidRPr="00A07F29">
              <w:rPr>
                <w:rFonts w:ascii="Times New Roman" w:eastAsia="Calibri" w:hAnsi="Times New Roman" w:cs="Times New Roman"/>
                <w:color w:val="000000"/>
                <w:sz w:val="20"/>
                <w:szCs w:val="20"/>
                <w:lang w:eastAsia="ar-SA"/>
              </w:rPr>
              <w:t xml:space="preserve">BD </w:t>
            </w:r>
            <w:r w:rsidRPr="00A07F29">
              <w:rPr>
                <w:rFonts w:ascii="Times New Roman" w:eastAsia="Calibri" w:hAnsi="Times New Roman" w:cs="Times New Roman"/>
                <w:color w:val="000000"/>
                <w:sz w:val="20"/>
                <w:szCs w:val="20"/>
                <w:lang w:eastAsia="ar-SA"/>
              </w:rPr>
              <w:t>IV</w:t>
            </w:r>
          </w:p>
        </w:tc>
        <w:tc>
          <w:tcPr>
            <w:tcW w:w="595" w:type="pct"/>
            <w:shd w:val="clear" w:color="auto" w:fill="auto"/>
            <w:noWrap/>
          </w:tcPr>
          <w:p w14:paraId="63CF603A" w14:textId="0405EDB7" w:rsidR="009072CE" w:rsidRPr="00A07F29" w:rsidRDefault="007C721C" w:rsidP="009072CE">
            <w:pPr>
              <w:suppressAutoHyphens/>
              <w:spacing w:after="0" w:line="240" w:lineRule="auto"/>
              <w:rPr>
                <w:rFonts w:ascii="Times New Roman" w:eastAsia="Calibri" w:hAnsi="Times New Roman" w:cs="Times New Roman"/>
                <w:color w:val="000000"/>
                <w:sz w:val="20"/>
                <w:szCs w:val="20"/>
                <w:lang w:eastAsia="ar-SA"/>
              </w:rPr>
            </w:pPr>
            <w:r>
              <w:rPr>
                <w:rFonts w:ascii="Times New Roman" w:eastAsia="Calibri" w:hAnsi="Times New Roman" w:cs="Times New Roman"/>
                <w:color w:val="000000"/>
                <w:sz w:val="20"/>
                <w:szCs w:val="20"/>
                <w:lang w:eastAsia="ar-SA"/>
              </w:rPr>
              <w:t>L</w:t>
            </w:r>
            <w:r w:rsidR="009072CE" w:rsidRPr="00A07F29">
              <w:rPr>
                <w:rFonts w:ascii="Times New Roman" w:eastAsia="Calibri" w:hAnsi="Times New Roman" w:cs="Times New Roman"/>
                <w:color w:val="000000"/>
                <w:sz w:val="20"/>
                <w:szCs w:val="20"/>
                <w:lang w:eastAsia="ar-SA"/>
              </w:rPr>
              <w:t xml:space="preserve">SG </w:t>
            </w:r>
            <w:r w:rsidR="001C47B3">
              <w:rPr>
                <w:rFonts w:ascii="Times New Roman" w:eastAsia="Calibri" w:hAnsi="Times New Roman" w:cs="Times New Roman"/>
                <w:color w:val="000000"/>
                <w:sz w:val="20"/>
                <w:szCs w:val="20"/>
                <w:lang w:eastAsia="ar-SA"/>
              </w:rPr>
              <w:t>3</w:t>
            </w:r>
            <w:r w:rsidR="009072CE" w:rsidRPr="00A07F29">
              <w:rPr>
                <w:rFonts w:ascii="Times New Roman" w:eastAsia="Calibri" w:hAnsi="Times New Roman" w:cs="Times New Roman"/>
                <w:color w:val="000000"/>
                <w:sz w:val="20"/>
                <w:szCs w:val="20"/>
                <w:lang w:eastAsia="ar-SA"/>
              </w:rPr>
              <w:t>, IUCN (LR)</w:t>
            </w:r>
          </w:p>
        </w:tc>
        <w:tc>
          <w:tcPr>
            <w:tcW w:w="1045" w:type="pct"/>
          </w:tcPr>
          <w:p w14:paraId="25AB704E" w14:textId="51EE2B66" w:rsidR="009072CE" w:rsidRPr="00A07F29" w:rsidRDefault="009072CE"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Latvijā suga mēreni izplatīta visā teritorijā (Kalniņš</w:t>
            </w:r>
            <w:r w:rsidR="008C6C7C">
              <w:rPr>
                <w:rFonts w:ascii="Times New Roman" w:eastAsia="Calibri" w:hAnsi="Times New Roman" w:cs="Times New Roman"/>
                <w:color w:val="000000"/>
                <w:sz w:val="20"/>
                <w:szCs w:val="20"/>
                <w:lang w:eastAsia="ar-SA"/>
              </w:rPr>
              <w:t xml:space="preserve"> M.</w:t>
            </w:r>
            <w:r w:rsidRPr="00A07F29">
              <w:rPr>
                <w:rFonts w:ascii="Times New Roman" w:eastAsia="Calibri" w:hAnsi="Times New Roman" w:cs="Times New Roman"/>
                <w:color w:val="000000"/>
                <w:sz w:val="20"/>
                <w:szCs w:val="20"/>
                <w:lang w:eastAsia="ar-SA"/>
              </w:rPr>
              <w:t>, 2017).</w:t>
            </w:r>
          </w:p>
        </w:tc>
        <w:tc>
          <w:tcPr>
            <w:tcW w:w="971" w:type="pct"/>
            <w:shd w:val="clear" w:color="auto" w:fill="auto"/>
          </w:tcPr>
          <w:p w14:paraId="3D003501" w14:textId="77777777" w:rsidR="009072CE" w:rsidRPr="00A07F29" w:rsidRDefault="009072CE"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 xml:space="preserve">Samērā bieži sastopama AAA teritorijā esošajos </w:t>
            </w:r>
            <w:proofErr w:type="spellStart"/>
            <w:r w:rsidRPr="00A07F29">
              <w:rPr>
                <w:rFonts w:ascii="Times New Roman" w:eastAsia="Calibri" w:hAnsi="Times New Roman" w:cs="Times New Roman"/>
                <w:color w:val="000000"/>
                <w:sz w:val="20"/>
                <w:szCs w:val="20"/>
                <w:lang w:eastAsia="ar-SA"/>
              </w:rPr>
              <w:t>eitrofos</w:t>
            </w:r>
            <w:proofErr w:type="spellEnd"/>
            <w:r w:rsidRPr="00A07F29">
              <w:rPr>
                <w:rFonts w:ascii="Times New Roman" w:eastAsia="Calibri" w:hAnsi="Times New Roman" w:cs="Times New Roman"/>
                <w:color w:val="000000"/>
                <w:sz w:val="20"/>
                <w:szCs w:val="20"/>
                <w:lang w:eastAsia="ar-SA"/>
              </w:rPr>
              <w:t xml:space="preserve"> ezeros </w:t>
            </w:r>
          </w:p>
        </w:tc>
      </w:tr>
      <w:tr w:rsidR="009072CE" w:rsidRPr="00A07F29" w14:paraId="1E8419EB" w14:textId="77777777" w:rsidTr="00014519">
        <w:trPr>
          <w:cantSplit/>
          <w:trHeight w:val="284"/>
        </w:trPr>
        <w:tc>
          <w:tcPr>
            <w:tcW w:w="894" w:type="pct"/>
            <w:shd w:val="clear" w:color="auto" w:fill="auto"/>
            <w:noWrap/>
          </w:tcPr>
          <w:p w14:paraId="758DE8BF" w14:textId="77777777" w:rsidR="009072CE" w:rsidRPr="00A07F29" w:rsidRDefault="009072CE" w:rsidP="009072CE">
            <w:pPr>
              <w:suppressAutoHyphens/>
              <w:spacing w:after="0" w:line="240" w:lineRule="auto"/>
              <w:rPr>
                <w:rFonts w:ascii="Times New Roman" w:eastAsia="Calibri" w:hAnsi="Times New Roman" w:cs="Times New Roman"/>
                <w:color w:val="000000"/>
                <w:spacing w:val="-1"/>
                <w:sz w:val="20"/>
                <w:szCs w:val="20"/>
                <w:lang w:eastAsia="ar-SA"/>
              </w:rPr>
            </w:pPr>
            <w:r w:rsidRPr="00A07F29">
              <w:rPr>
                <w:rFonts w:ascii="Times New Roman" w:eastAsia="Calibri" w:hAnsi="Times New Roman" w:cs="Times New Roman"/>
                <w:color w:val="000000"/>
                <w:spacing w:val="-1"/>
                <w:sz w:val="20"/>
                <w:szCs w:val="20"/>
                <w:lang w:eastAsia="ar-SA"/>
              </w:rPr>
              <w:lastRenderedPageBreak/>
              <w:t xml:space="preserve">Dienvidu </w:t>
            </w:r>
            <w:proofErr w:type="spellStart"/>
            <w:r w:rsidRPr="00A07F29">
              <w:rPr>
                <w:rFonts w:ascii="Times New Roman" w:eastAsia="Calibri" w:hAnsi="Times New Roman" w:cs="Times New Roman"/>
                <w:color w:val="000000"/>
                <w:spacing w:val="-1"/>
                <w:sz w:val="20"/>
                <w:szCs w:val="20"/>
                <w:lang w:eastAsia="ar-SA"/>
              </w:rPr>
              <w:t>dižspāre</w:t>
            </w:r>
            <w:proofErr w:type="spellEnd"/>
          </w:p>
        </w:tc>
        <w:tc>
          <w:tcPr>
            <w:tcW w:w="821" w:type="pct"/>
            <w:shd w:val="clear" w:color="auto" w:fill="auto"/>
            <w:noWrap/>
          </w:tcPr>
          <w:p w14:paraId="6026E87D" w14:textId="77777777" w:rsidR="009072CE" w:rsidRPr="00A07F29" w:rsidRDefault="009072CE" w:rsidP="009072CE">
            <w:pPr>
              <w:suppressAutoHyphens/>
              <w:spacing w:after="0" w:line="240" w:lineRule="auto"/>
              <w:rPr>
                <w:rFonts w:ascii="Times New Roman" w:eastAsia="Calibri" w:hAnsi="Times New Roman" w:cs="Times New Roman"/>
                <w:i/>
                <w:color w:val="000000"/>
                <w:sz w:val="20"/>
                <w:szCs w:val="20"/>
                <w:lang w:eastAsia="ar-SA"/>
              </w:rPr>
            </w:pPr>
            <w:proofErr w:type="spellStart"/>
            <w:r w:rsidRPr="00A07F29">
              <w:rPr>
                <w:rFonts w:ascii="Times New Roman" w:eastAsia="Calibri" w:hAnsi="Times New Roman" w:cs="Times New Roman"/>
                <w:i/>
                <w:color w:val="000000"/>
                <w:sz w:val="20"/>
                <w:szCs w:val="20"/>
                <w:lang w:eastAsia="ar-SA"/>
              </w:rPr>
              <w:t>A</w:t>
            </w:r>
            <w:r w:rsidRPr="00A07F29">
              <w:rPr>
                <w:rFonts w:ascii="Times New Roman" w:eastAsia="Calibri" w:hAnsi="Times New Roman" w:cs="Times New Roman"/>
                <w:i/>
                <w:color w:val="000000"/>
                <w:spacing w:val="-1"/>
                <w:sz w:val="20"/>
                <w:szCs w:val="20"/>
                <w:lang w:eastAsia="ar-SA"/>
              </w:rPr>
              <w:t>e</w:t>
            </w:r>
            <w:r w:rsidRPr="00A07F29">
              <w:rPr>
                <w:rFonts w:ascii="Times New Roman" w:eastAsia="Calibri" w:hAnsi="Times New Roman" w:cs="Times New Roman"/>
                <w:i/>
                <w:color w:val="000000"/>
                <w:sz w:val="20"/>
                <w:szCs w:val="20"/>
                <w:lang w:eastAsia="ar-SA"/>
              </w:rPr>
              <w:t>s</w:t>
            </w:r>
            <w:r w:rsidRPr="00A07F29">
              <w:rPr>
                <w:rFonts w:ascii="Times New Roman" w:eastAsia="Calibri" w:hAnsi="Times New Roman" w:cs="Times New Roman"/>
                <w:i/>
                <w:color w:val="000000"/>
                <w:spacing w:val="1"/>
                <w:sz w:val="20"/>
                <w:szCs w:val="20"/>
                <w:lang w:eastAsia="ar-SA"/>
              </w:rPr>
              <w:t>hn</w:t>
            </w:r>
            <w:r w:rsidRPr="00A07F29">
              <w:rPr>
                <w:rFonts w:ascii="Times New Roman" w:eastAsia="Calibri" w:hAnsi="Times New Roman" w:cs="Times New Roman"/>
                <w:i/>
                <w:color w:val="000000"/>
                <w:sz w:val="20"/>
                <w:szCs w:val="20"/>
                <w:lang w:eastAsia="ar-SA"/>
              </w:rPr>
              <w:t>a</w:t>
            </w:r>
            <w:proofErr w:type="spellEnd"/>
            <w:r w:rsidRPr="00A07F29">
              <w:rPr>
                <w:rFonts w:ascii="Times New Roman" w:eastAsia="Calibri" w:hAnsi="Times New Roman" w:cs="Times New Roman"/>
                <w:i/>
                <w:color w:val="000000"/>
                <w:spacing w:val="-1"/>
                <w:sz w:val="20"/>
                <w:szCs w:val="20"/>
                <w:lang w:eastAsia="ar-SA"/>
              </w:rPr>
              <w:t xml:space="preserve"> </w:t>
            </w:r>
            <w:proofErr w:type="spellStart"/>
            <w:r w:rsidRPr="00A07F29">
              <w:rPr>
                <w:rFonts w:ascii="Times New Roman" w:eastAsia="Calibri" w:hAnsi="Times New Roman" w:cs="Times New Roman"/>
                <w:i/>
                <w:color w:val="000000"/>
                <w:spacing w:val="-1"/>
                <w:sz w:val="20"/>
                <w:szCs w:val="20"/>
                <w:lang w:eastAsia="ar-SA"/>
              </w:rPr>
              <w:t>mixta</w:t>
            </w:r>
            <w:proofErr w:type="spellEnd"/>
          </w:p>
        </w:tc>
        <w:tc>
          <w:tcPr>
            <w:tcW w:w="674" w:type="pct"/>
            <w:shd w:val="clear" w:color="auto" w:fill="auto"/>
            <w:noWrap/>
          </w:tcPr>
          <w:p w14:paraId="4FB1DC0D" w14:textId="77777777" w:rsidR="009072CE" w:rsidRPr="00A07F29" w:rsidRDefault="009072CE" w:rsidP="009072CE">
            <w:pPr>
              <w:suppressAutoHyphens/>
              <w:spacing w:after="0" w:line="240" w:lineRule="auto"/>
              <w:jc w:val="center"/>
              <w:rPr>
                <w:rFonts w:ascii="Times New Roman" w:eastAsia="Calibri" w:hAnsi="Times New Roman" w:cs="Times New Roman"/>
                <w:color w:val="000000"/>
                <w:sz w:val="20"/>
                <w:szCs w:val="20"/>
                <w:lang w:eastAsia="ar-SA"/>
              </w:rPr>
            </w:pPr>
          </w:p>
        </w:tc>
        <w:tc>
          <w:tcPr>
            <w:tcW w:w="595" w:type="pct"/>
            <w:shd w:val="clear" w:color="auto" w:fill="auto"/>
            <w:noWrap/>
          </w:tcPr>
          <w:p w14:paraId="7553B3FD" w14:textId="127A244C" w:rsidR="009072CE" w:rsidRPr="00A07F29" w:rsidRDefault="00A26ADD" w:rsidP="009072CE">
            <w:pPr>
              <w:suppressAutoHyphens/>
              <w:spacing w:after="0" w:line="240" w:lineRule="auto"/>
              <w:rPr>
                <w:rFonts w:ascii="Times New Roman" w:eastAsia="Calibri" w:hAnsi="Times New Roman" w:cs="Times New Roman"/>
                <w:color w:val="000000"/>
                <w:sz w:val="20"/>
                <w:szCs w:val="20"/>
                <w:lang w:eastAsia="ar-SA"/>
              </w:rPr>
            </w:pPr>
            <w:r>
              <w:rPr>
                <w:rFonts w:ascii="Times New Roman" w:eastAsia="Calibri" w:hAnsi="Times New Roman" w:cs="Times New Roman"/>
                <w:color w:val="000000"/>
                <w:sz w:val="20"/>
                <w:szCs w:val="20"/>
                <w:lang w:eastAsia="ar-SA"/>
              </w:rPr>
              <w:t>L</w:t>
            </w:r>
            <w:r w:rsidR="009072CE" w:rsidRPr="00A07F29">
              <w:rPr>
                <w:rFonts w:ascii="Times New Roman" w:eastAsia="Calibri" w:hAnsi="Times New Roman" w:cs="Times New Roman"/>
                <w:color w:val="000000"/>
                <w:sz w:val="20"/>
                <w:szCs w:val="20"/>
                <w:lang w:eastAsia="ar-SA"/>
              </w:rPr>
              <w:t xml:space="preserve">SG </w:t>
            </w:r>
            <w:r w:rsidR="001C47B3">
              <w:rPr>
                <w:rFonts w:ascii="Times New Roman" w:eastAsia="Calibri" w:hAnsi="Times New Roman" w:cs="Times New Roman"/>
                <w:color w:val="000000"/>
                <w:sz w:val="20"/>
                <w:szCs w:val="20"/>
                <w:lang w:eastAsia="ar-SA"/>
              </w:rPr>
              <w:t>3</w:t>
            </w:r>
          </w:p>
        </w:tc>
        <w:tc>
          <w:tcPr>
            <w:tcW w:w="1045" w:type="pct"/>
          </w:tcPr>
          <w:p w14:paraId="272CE5E0" w14:textId="257F7E43" w:rsidR="009072CE" w:rsidRPr="00A07F29" w:rsidRDefault="009072CE"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Latvijā suga mēreni izplatīta visā teritorijā (Kalniņš</w:t>
            </w:r>
            <w:r w:rsidR="00A26ADD">
              <w:rPr>
                <w:rFonts w:ascii="Times New Roman" w:eastAsia="Calibri" w:hAnsi="Times New Roman" w:cs="Times New Roman"/>
                <w:color w:val="000000"/>
                <w:sz w:val="20"/>
                <w:szCs w:val="20"/>
                <w:lang w:eastAsia="ar-SA"/>
              </w:rPr>
              <w:t xml:space="preserve"> M.</w:t>
            </w:r>
            <w:r w:rsidRPr="00A07F29">
              <w:rPr>
                <w:rFonts w:ascii="Times New Roman" w:eastAsia="Calibri" w:hAnsi="Times New Roman" w:cs="Times New Roman"/>
                <w:color w:val="000000"/>
                <w:sz w:val="20"/>
                <w:szCs w:val="20"/>
                <w:lang w:eastAsia="ar-SA"/>
              </w:rPr>
              <w:t>, 2017).</w:t>
            </w:r>
          </w:p>
        </w:tc>
        <w:tc>
          <w:tcPr>
            <w:tcW w:w="971" w:type="pct"/>
            <w:shd w:val="clear" w:color="auto" w:fill="auto"/>
          </w:tcPr>
          <w:p w14:paraId="007B8AAF" w14:textId="4DAAFED3" w:rsidR="009072CE" w:rsidRPr="00A07F29" w:rsidRDefault="009072CE"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 xml:space="preserve">Konstatēta </w:t>
            </w:r>
            <w:r w:rsidR="00BF0E06" w:rsidRPr="00A07F29">
              <w:rPr>
                <w:rFonts w:ascii="Times New Roman" w:eastAsia="Calibri" w:hAnsi="Times New Roman" w:cs="Times New Roman"/>
                <w:color w:val="000000"/>
                <w:sz w:val="20"/>
                <w:szCs w:val="20"/>
                <w:lang w:eastAsia="ar-SA"/>
              </w:rPr>
              <w:t>DA plāna</w:t>
            </w:r>
            <w:r w:rsidRPr="00A07F29">
              <w:rPr>
                <w:rFonts w:ascii="Times New Roman" w:eastAsia="Calibri" w:hAnsi="Times New Roman" w:cs="Times New Roman"/>
                <w:color w:val="000000"/>
                <w:sz w:val="20"/>
                <w:szCs w:val="20"/>
                <w:lang w:eastAsia="ar-SA"/>
              </w:rPr>
              <w:t xml:space="preserve"> izstrādes ietvaros pie Daugavas pretī </w:t>
            </w:r>
            <w:proofErr w:type="spellStart"/>
            <w:r w:rsidRPr="00A07F29">
              <w:rPr>
                <w:rFonts w:ascii="Times New Roman" w:eastAsia="Calibri" w:hAnsi="Times New Roman" w:cs="Times New Roman"/>
                <w:color w:val="000000"/>
                <w:sz w:val="20"/>
                <w:szCs w:val="20"/>
                <w:lang w:eastAsia="ar-SA"/>
              </w:rPr>
              <w:t>Židinai</w:t>
            </w:r>
            <w:proofErr w:type="spellEnd"/>
            <w:r w:rsidRPr="00A07F29">
              <w:rPr>
                <w:rFonts w:ascii="Times New Roman" w:eastAsia="Calibri" w:hAnsi="Times New Roman" w:cs="Times New Roman"/>
                <w:color w:val="000000"/>
                <w:sz w:val="20"/>
                <w:szCs w:val="20"/>
                <w:lang w:eastAsia="ar-SA"/>
              </w:rPr>
              <w:t xml:space="preserve">. Var būt sastopama arī citviet ĪADT sastopamajos ezeros un </w:t>
            </w:r>
            <w:proofErr w:type="spellStart"/>
            <w:r w:rsidRPr="00A07F29">
              <w:rPr>
                <w:rFonts w:ascii="Times New Roman" w:eastAsia="Calibri" w:hAnsi="Times New Roman" w:cs="Times New Roman"/>
                <w:color w:val="000000"/>
                <w:sz w:val="20"/>
                <w:szCs w:val="20"/>
                <w:lang w:eastAsia="ar-SA"/>
              </w:rPr>
              <w:t>vecupēs</w:t>
            </w:r>
            <w:proofErr w:type="spellEnd"/>
            <w:r w:rsidRPr="00A07F29">
              <w:rPr>
                <w:rFonts w:ascii="Times New Roman" w:eastAsia="Calibri" w:hAnsi="Times New Roman" w:cs="Times New Roman"/>
                <w:color w:val="000000"/>
                <w:sz w:val="20"/>
                <w:szCs w:val="20"/>
                <w:lang w:eastAsia="ar-SA"/>
              </w:rPr>
              <w:t>.</w:t>
            </w:r>
          </w:p>
        </w:tc>
      </w:tr>
      <w:tr w:rsidR="009072CE" w:rsidRPr="00A07F29" w14:paraId="0F127AAC" w14:textId="77777777" w:rsidTr="00014519">
        <w:trPr>
          <w:cantSplit/>
          <w:trHeight w:val="284"/>
        </w:trPr>
        <w:tc>
          <w:tcPr>
            <w:tcW w:w="894" w:type="pct"/>
            <w:shd w:val="clear" w:color="auto" w:fill="auto"/>
            <w:noWrap/>
            <w:vAlign w:val="center"/>
          </w:tcPr>
          <w:p w14:paraId="4CE304A5" w14:textId="77777777" w:rsidR="009072CE" w:rsidRPr="00A07F29" w:rsidRDefault="009072CE" w:rsidP="009072CE">
            <w:pPr>
              <w:suppressAutoHyphens/>
              <w:spacing w:after="0" w:line="240" w:lineRule="auto"/>
              <w:rPr>
                <w:rFonts w:ascii="Times New Roman" w:eastAsia="Calibri" w:hAnsi="Times New Roman" w:cs="Times New Roman"/>
                <w:color w:val="000000"/>
                <w:spacing w:val="-1"/>
                <w:sz w:val="20"/>
                <w:szCs w:val="20"/>
                <w:lang w:eastAsia="ar-SA"/>
              </w:rPr>
            </w:pPr>
            <w:proofErr w:type="spellStart"/>
            <w:r w:rsidRPr="00A07F29">
              <w:rPr>
                <w:rFonts w:ascii="Times New Roman" w:eastAsia="Calibri" w:hAnsi="Times New Roman" w:cs="Times New Roman"/>
                <w:color w:val="000000"/>
                <w:sz w:val="20"/>
                <w:szCs w:val="20"/>
                <w:lang w:eastAsia="ar-SA"/>
              </w:rPr>
              <w:t>Dzeltenkāju</w:t>
            </w:r>
            <w:proofErr w:type="spellEnd"/>
            <w:r w:rsidRPr="00A07F29">
              <w:rPr>
                <w:rFonts w:ascii="Times New Roman" w:eastAsia="Calibri" w:hAnsi="Times New Roman" w:cs="Times New Roman"/>
                <w:color w:val="000000"/>
                <w:sz w:val="20"/>
                <w:szCs w:val="20"/>
                <w:lang w:eastAsia="ar-SA"/>
              </w:rPr>
              <w:t xml:space="preserve"> </w:t>
            </w:r>
            <w:proofErr w:type="spellStart"/>
            <w:r w:rsidRPr="00A07F29">
              <w:rPr>
                <w:rFonts w:ascii="Times New Roman" w:eastAsia="Calibri" w:hAnsi="Times New Roman" w:cs="Times New Roman"/>
                <w:color w:val="000000"/>
                <w:sz w:val="20"/>
                <w:szCs w:val="20"/>
                <w:lang w:eastAsia="ar-SA"/>
              </w:rPr>
              <w:t>upjuspāre</w:t>
            </w:r>
            <w:proofErr w:type="spellEnd"/>
            <w:r w:rsidRPr="00A07F29">
              <w:rPr>
                <w:rFonts w:ascii="Times New Roman" w:eastAsia="Calibri" w:hAnsi="Times New Roman" w:cs="Times New Roman"/>
                <w:color w:val="000000"/>
                <w:sz w:val="20"/>
                <w:szCs w:val="20"/>
                <w:lang w:eastAsia="ar-SA"/>
              </w:rPr>
              <w:t xml:space="preserve"> </w:t>
            </w:r>
          </w:p>
        </w:tc>
        <w:tc>
          <w:tcPr>
            <w:tcW w:w="821" w:type="pct"/>
            <w:shd w:val="clear" w:color="auto" w:fill="auto"/>
            <w:noWrap/>
            <w:vAlign w:val="center"/>
          </w:tcPr>
          <w:p w14:paraId="3C35FCBB" w14:textId="77777777" w:rsidR="009072CE" w:rsidRPr="00A07F29" w:rsidRDefault="009072CE" w:rsidP="009072CE">
            <w:pPr>
              <w:suppressAutoHyphens/>
              <w:spacing w:after="0" w:line="240" w:lineRule="auto"/>
              <w:rPr>
                <w:rFonts w:ascii="Times New Roman" w:eastAsia="Calibri" w:hAnsi="Times New Roman" w:cs="Times New Roman"/>
                <w:i/>
                <w:color w:val="000000"/>
                <w:sz w:val="20"/>
                <w:szCs w:val="20"/>
                <w:lang w:eastAsia="ar-SA"/>
              </w:rPr>
            </w:pPr>
            <w:proofErr w:type="spellStart"/>
            <w:r w:rsidRPr="00A07F29">
              <w:rPr>
                <w:rFonts w:ascii="Times New Roman" w:eastAsia="Calibri" w:hAnsi="Times New Roman" w:cs="Times New Roman"/>
                <w:i/>
                <w:iCs/>
                <w:color w:val="000000"/>
                <w:sz w:val="20"/>
                <w:szCs w:val="20"/>
                <w:lang w:eastAsia="ar-SA"/>
              </w:rPr>
              <w:t>Gomphus</w:t>
            </w:r>
            <w:proofErr w:type="spellEnd"/>
            <w:r w:rsidRPr="00A07F29">
              <w:rPr>
                <w:rFonts w:ascii="Times New Roman" w:eastAsia="Calibri" w:hAnsi="Times New Roman" w:cs="Times New Roman"/>
                <w:i/>
                <w:iCs/>
                <w:color w:val="000000"/>
                <w:sz w:val="20"/>
                <w:szCs w:val="20"/>
                <w:lang w:eastAsia="ar-SA"/>
              </w:rPr>
              <w:t xml:space="preserve"> </w:t>
            </w:r>
            <w:proofErr w:type="spellStart"/>
            <w:r w:rsidRPr="00A07F29">
              <w:rPr>
                <w:rFonts w:ascii="Times New Roman" w:eastAsia="Calibri" w:hAnsi="Times New Roman" w:cs="Times New Roman"/>
                <w:i/>
                <w:iCs/>
                <w:color w:val="000000"/>
                <w:sz w:val="20"/>
                <w:szCs w:val="20"/>
                <w:lang w:eastAsia="ar-SA"/>
              </w:rPr>
              <w:t>flavipes</w:t>
            </w:r>
            <w:proofErr w:type="spellEnd"/>
            <w:r w:rsidRPr="00A07F29">
              <w:rPr>
                <w:rFonts w:ascii="Times New Roman" w:eastAsia="Calibri" w:hAnsi="Times New Roman" w:cs="Times New Roman"/>
                <w:i/>
                <w:iCs/>
                <w:color w:val="000000"/>
                <w:sz w:val="20"/>
                <w:szCs w:val="20"/>
                <w:lang w:eastAsia="ar-SA"/>
              </w:rPr>
              <w:t xml:space="preserve"> </w:t>
            </w:r>
          </w:p>
        </w:tc>
        <w:tc>
          <w:tcPr>
            <w:tcW w:w="674" w:type="pct"/>
            <w:shd w:val="clear" w:color="auto" w:fill="auto"/>
            <w:noWrap/>
            <w:vAlign w:val="center"/>
          </w:tcPr>
          <w:p w14:paraId="7E2D585D" w14:textId="523C34C5" w:rsidR="009072CE" w:rsidRPr="00A07F29" w:rsidRDefault="009072CE" w:rsidP="004E1BBB">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 xml:space="preserve">ĪAS, </w:t>
            </w:r>
            <w:r w:rsidR="004E1BBB" w:rsidRPr="00A07F29">
              <w:rPr>
                <w:rFonts w:ascii="Times New Roman" w:eastAsia="Calibri" w:hAnsi="Times New Roman" w:cs="Times New Roman"/>
                <w:color w:val="000000"/>
                <w:sz w:val="20"/>
                <w:szCs w:val="20"/>
                <w:lang w:eastAsia="ar-SA"/>
              </w:rPr>
              <w:t xml:space="preserve">BD </w:t>
            </w:r>
            <w:r w:rsidRPr="00A07F29">
              <w:rPr>
                <w:rFonts w:ascii="Times New Roman" w:eastAsia="Calibri" w:hAnsi="Times New Roman" w:cs="Times New Roman"/>
                <w:color w:val="000000"/>
                <w:sz w:val="20"/>
                <w:szCs w:val="20"/>
                <w:lang w:eastAsia="ar-SA"/>
              </w:rPr>
              <w:t>IV</w:t>
            </w:r>
          </w:p>
        </w:tc>
        <w:tc>
          <w:tcPr>
            <w:tcW w:w="595" w:type="pct"/>
            <w:shd w:val="clear" w:color="auto" w:fill="auto"/>
            <w:noWrap/>
            <w:vAlign w:val="center"/>
          </w:tcPr>
          <w:p w14:paraId="2CA3DE19" w14:textId="7C4A8CBF" w:rsidR="009072CE" w:rsidRPr="00A07F29" w:rsidRDefault="00040553" w:rsidP="009072CE">
            <w:pPr>
              <w:suppressAutoHyphens/>
              <w:spacing w:after="0" w:line="240" w:lineRule="auto"/>
              <w:rPr>
                <w:rFonts w:ascii="Times New Roman" w:eastAsia="Calibri" w:hAnsi="Times New Roman" w:cs="Times New Roman"/>
                <w:color w:val="000000"/>
                <w:sz w:val="20"/>
                <w:szCs w:val="20"/>
                <w:lang w:eastAsia="ar-SA"/>
              </w:rPr>
            </w:pPr>
            <w:r>
              <w:rPr>
                <w:rFonts w:ascii="Times New Roman" w:eastAsia="Calibri" w:hAnsi="Times New Roman" w:cs="Times New Roman"/>
                <w:color w:val="000000"/>
                <w:sz w:val="20"/>
                <w:szCs w:val="20"/>
                <w:lang w:eastAsia="ar-SA"/>
              </w:rPr>
              <w:t>L</w:t>
            </w:r>
            <w:r w:rsidR="009072CE" w:rsidRPr="00A07F29">
              <w:rPr>
                <w:rFonts w:ascii="Times New Roman" w:eastAsia="Calibri" w:hAnsi="Times New Roman" w:cs="Times New Roman"/>
                <w:color w:val="000000"/>
                <w:sz w:val="20"/>
                <w:szCs w:val="20"/>
                <w:lang w:eastAsia="ar-SA"/>
              </w:rPr>
              <w:t>SG 1, Berne II</w:t>
            </w:r>
          </w:p>
        </w:tc>
        <w:tc>
          <w:tcPr>
            <w:tcW w:w="1045" w:type="pct"/>
          </w:tcPr>
          <w:p w14:paraId="258C37BB" w14:textId="0BEA5A10" w:rsidR="009072CE" w:rsidRPr="00A07F29" w:rsidRDefault="009072CE"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Latvijā lokāli izplatīta suga. Tās izplatība saistīta ar lielajām upēm – Daugavu un Gaujas lejteci (Kalniņš</w:t>
            </w:r>
            <w:r w:rsidR="00040553">
              <w:rPr>
                <w:rFonts w:ascii="Times New Roman" w:eastAsia="Calibri" w:hAnsi="Times New Roman" w:cs="Times New Roman"/>
                <w:color w:val="000000"/>
                <w:sz w:val="20"/>
                <w:szCs w:val="20"/>
                <w:lang w:eastAsia="ar-SA"/>
              </w:rPr>
              <w:t xml:space="preserve"> M.</w:t>
            </w:r>
            <w:r w:rsidRPr="00A07F29">
              <w:rPr>
                <w:rFonts w:ascii="Times New Roman" w:eastAsia="Calibri" w:hAnsi="Times New Roman" w:cs="Times New Roman"/>
                <w:color w:val="000000"/>
                <w:sz w:val="20"/>
                <w:szCs w:val="20"/>
                <w:lang w:eastAsia="ar-SA"/>
              </w:rPr>
              <w:t>, 2017).</w:t>
            </w:r>
          </w:p>
        </w:tc>
        <w:tc>
          <w:tcPr>
            <w:tcW w:w="971" w:type="pct"/>
            <w:shd w:val="clear" w:color="auto" w:fill="auto"/>
          </w:tcPr>
          <w:p w14:paraId="0F42C1D3" w14:textId="77777777" w:rsidR="009072CE" w:rsidRPr="00A07F29" w:rsidRDefault="009072CE"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Visā AAA teritorijā sastopama piemērotos biotopos gar Daugavas upi.</w:t>
            </w:r>
          </w:p>
        </w:tc>
      </w:tr>
      <w:tr w:rsidR="009072CE" w:rsidRPr="00A07F29" w14:paraId="47AC8045" w14:textId="77777777" w:rsidTr="00014519">
        <w:trPr>
          <w:cantSplit/>
          <w:trHeight w:val="284"/>
        </w:trPr>
        <w:tc>
          <w:tcPr>
            <w:tcW w:w="894" w:type="pct"/>
            <w:shd w:val="clear" w:color="auto" w:fill="auto"/>
            <w:noWrap/>
          </w:tcPr>
          <w:p w14:paraId="52F8C2BE" w14:textId="77777777" w:rsidR="009072CE" w:rsidRPr="00A07F29" w:rsidRDefault="009072CE" w:rsidP="009072CE">
            <w:pPr>
              <w:suppressAutoHyphens/>
              <w:spacing w:after="0" w:line="240" w:lineRule="auto"/>
              <w:rPr>
                <w:rFonts w:ascii="Times New Roman" w:eastAsia="Calibri" w:hAnsi="Times New Roman" w:cs="Times New Roman"/>
                <w:color w:val="000000"/>
                <w:spacing w:val="-1"/>
                <w:sz w:val="20"/>
                <w:szCs w:val="20"/>
                <w:lang w:eastAsia="ar-SA"/>
              </w:rPr>
            </w:pPr>
            <w:r w:rsidRPr="00A07F29">
              <w:rPr>
                <w:rFonts w:ascii="Times New Roman" w:eastAsia="Calibri" w:hAnsi="Times New Roman" w:cs="Times New Roman"/>
                <w:color w:val="000000"/>
                <w:spacing w:val="-1"/>
                <w:sz w:val="20"/>
                <w:szCs w:val="20"/>
                <w:lang w:eastAsia="ar-SA"/>
              </w:rPr>
              <w:t xml:space="preserve">Zaļganā </w:t>
            </w:r>
            <w:proofErr w:type="spellStart"/>
            <w:r w:rsidRPr="00A07F29">
              <w:rPr>
                <w:rFonts w:ascii="Times New Roman" w:eastAsia="Calibri" w:hAnsi="Times New Roman" w:cs="Times New Roman"/>
                <w:color w:val="000000"/>
                <w:spacing w:val="-1"/>
                <w:sz w:val="20"/>
                <w:szCs w:val="20"/>
                <w:lang w:eastAsia="ar-SA"/>
              </w:rPr>
              <w:t>zaigspāre</w:t>
            </w:r>
            <w:proofErr w:type="spellEnd"/>
          </w:p>
        </w:tc>
        <w:tc>
          <w:tcPr>
            <w:tcW w:w="821" w:type="pct"/>
            <w:shd w:val="clear" w:color="auto" w:fill="auto"/>
            <w:noWrap/>
          </w:tcPr>
          <w:p w14:paraId="2C53DDF3" w14:textId="77777777" w:rsidR="009072CE" w:rsidRPr="00A07F29" w:rsidRDefault="009072CE" w:rsidP="009072CE">
            <w:pPr>
              <w:suppressAutoHyphens/>
              <w:spacing w:after="0" w:line="240" w:lineRule="auto"/>
              <w:rPr>
                <w:rFonts w:ascii="Times New Roman" w:eastAsia="Calibri" w:hAnsi="Times New Roman" w:cs="Times New Roman"/>
                <w:i/>
                <w:color w:val="000000"/>
                <w:sz w:val="20"/>
                <w:szCs w:val="20"/>
                <w:lang w:eastAsia="ar-SA"/>
              </w:rPr>
            </w:pPr>
            <w:proofErr w:type="spellStart"/>
            <w:r w:rsidRPr="00A07F29">
              <w:rPr>
                <w:rFonts w:ascii="Times New Roman" w:eastAsia="Calibri" w:hAnsi="Times New Roman" w:cs="Times New Roman"/>
                <w:i/>
                <w:color w:val="000000"/>
                <w:sz w:val="20"/>
                <w:szCs w:val="20"/>
                <w:lang w:eastAsia="ar-SA"/>
              </w:rPr>
              <w:t>Lestes</w:t>
            </w:r>
            <w:proofErr w:type="spellEnd"/>
            <w:r w:rsidRPr="00A07F29">
              <w:rPr>
                <w:rFonts w:ascii="Times New Roman" w:eastAsia="Calibri" w:hAnsi="Times New Roman" w:cs="Times New Roman"/>
                <w:i/>
                <w:color w:val="000000"/>
                <w:sz w:val="20"/>
                <w:szCs w:val="20"/>
                <w:lang w:eastAsia="ar-SA"/>
              </w:rPr>
              <w:t xml:space="preserve"> </w:t>
            </w:r>
            <w:proofErr w:type="spellStart"/>
            <w:r w:rsidRPr="00A07F29">
              <w:rPr>
                <w:rFonts w:ascii="Times New Roman" w:eastAsia="Calibri" w:hAnsi="Times New Roman" w:cs="Times New Roman"/>
                <w:i/>
                <w:color w:val="000000"/>
                <w:sz w:val="20"/>
                <w:szCs w:val="20"/>
                <w:lang w:eastAsia="ar-SA"/>
              </w:rPr>
              <w:t>virens</w:t>
            </w:r>
            <w:proofErr w:type="spellEnd"/>
          </w:p>
        </w:tc>
        <w:tc>
          <w:tcPr>
            <w:tcW w:w="674" w:type="pct"/>
            <w:shd w:val="clear" w:color="auto" w:fill="auto"/>
            <w:noWrap/>
          </w:tcPr>
          <w:p w14:paraId="28766E79" w14:textId="6872958D" w:rsidR="009072CE" w:rsidRPr="00A07F29" w:rsidRDefault="009072CE" w:rsidP="009072CE">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ĪAS</w:t>
            </w:r>
          </w:p>
        </w:tc>
        <w:tc>
          <w:tcPr>
            <w:tcW w:w="595" w:type="pct"/>
            <w:shd w:val="clear" w:color="auto" w:fill="auto"/>
            <w:noWrap/>
          </w:tcPr>
          <w:p w14:paraId="6278DE76" w14:textId="530676A5" w:rsidR="009072CE" w:rsidRPr="00A07F29" w:rsidRDefault="00040553" w:rsidP="009072CE">
            <w:pPr>
              <w:suppressAutoHyphens/>
              <w:spacing w:after="0" w:line="240" w:lineRule="auto"/>
              <w:rPr>
                <w:rFonts w:ascii="Times New Roman" w:eastAsia="Calibri" w:hAnsi="Times New Roman" w:cs="Times New Roman"/>
                <w:color w:val="000000"/>
                <w:sz w:val="20"/>
                <w:szCs w:val="20"/>
                <w:lang w:eastAsia="ar-SA"/>
              </w:rPr>
            </w:pPr>
            <w:r>
              <w:rPr>
                <w:rFonts w:ascii="Times New Roman" w:eastAsia="Calibri" w:hAnsi="Times New Roman" w:cs="Times New Roman"/>
                <w:color w:val="000000"/>
                <w:sz w:val="20"/>
                <w:szCs w:val="20"/>
                <w:lang w:eastAsia="ar-SA"/>
              </w:rPr>
              <w:t>L</w:t>
            </w:r>
            <w:r w:rsidR="009072CE" w:rsidRPr="00A07F29">
              <w:rPr>
                <w:rFonts w:ascii="Times New Roman" w:eastAsia="Calibri" w:hAnsi="Times New Roman" w:cs="Times New Roman"/>
                <w:color w:val="000000"/>
                <w:sz w:val="20"/>
                <w:szCs w:val="20"/>
                <w:lang w:eastAsia="ar-SA"/>
              </w:rPr>
              <w:t>SG 3</w:t>
            </w:r>
          </w:p>
        </w:tc>
        <w:tc>
          <w:tcPr>
            <w:tcW w:w="1045" w:type="pct"/>
            <w:shd w:val="clear" w:color="auto" w:fill="auto"/>
          </w:tcPr>
          <w:p w14:paraId="51FB5226" w14:textId="0786D070" w:rsidR="009072CE" w:rsidRPr="00A07F29" w:rsidRDefault="009072CE"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 xml:space="preserve">Latvijā lokāli izplatīta, lai gan piemēroti biotopi ir plaši izplatīti visā teritorijā. Savulaik atzīmēta kā </w:t>
            </w:r>
            <w:r w:rsidR="00776286">
              <w:rPr>
                <w:rFonts w:ascii="Times New Roman" w:eastAsia="Calibri" w:hAnsi="Times New Roman" w:cs="Times New Roman"/>
                <w:color w:val="000000"/>
                <w:sz w:val="20"/>
                <w:szCs w:val="20"/>
                <w:lang w:eastAsia="ar-SA"/>
              </w:rPr>
              <w:t>D</w:t>
            </w:r>
            <w:r w:rsidRPr="00A07F29">
              <w:rPr>
                <w:rFonts w:ascii="Times New Roman" w:eastAsia="Calibri" w:hAnsi="Times New Roman" w:cs="Times New Roman"/>
                <w:color w:val="000000"/>
                <w:sz w:val="20"/>
                <w:szCs w:val="20"/>
                <w:lang w:eastAsia="ar-SA"/>
              </w:rPr>
              <w:t xml:space="preserve"> elements Latvijas faunā, taču pašlaik sastopama visā valsts teritorijā</w:t>
            </w:r>
            <w:r w:rsidR="00D65BBA" w:rsidRPr="00A07F29">
              <w:rPr>
                <w:rFonts w:ascii="Times New Roman" w:eastAsia="Calibri" w:hAnsi="Times New Roman" w:cs="Times New Roman"/>
                <w:color w:val="000000"/>
                <w:sz w:val="20"/>
                <w:szCs w:val="20"/>
                <w:lang w:eastAsia="ar-SA"/>
              </w:rPr>
              <w:t xml:space="preserve"> </w:t>
            </w:r>
            <w:r w:rsidRPr="00A07F29">
              <w:rPr>
                <w:rFonts w:ascii="Times New Roman" w:eastAsia="Calibri" w:hAnsi="Times New Roman" w:cs="Times New Roman"/>
                <w:color w:val="000000"/>
                <w:sz w:val="20"/>
                <w:szCs w:val="20"/>
                <w:lang w:eastAsia="ar-SA"/>
              </w:rPr>
              <w:t>(Kalniņš</w:t>
            </w:r>
            <w:r w:rsidR="00742E90">
              <w:rPr>
                <w:rFonts w:ascii="Times New Roman" w:eastAsia="Calibri" w:hAnsi="Times New Roman" w:cs="Times New Roman"/>
                <w:color w:val="000000"/>
                <w:sz w:val="20"/>
                <w:szCs w:val="20"/>
                <w:lang w:eastAsia="ar-SA"/>
              </w:rPr>
              <w:t xml:space="preserve"> M.</w:t>
            </w:r>
            <w:r w:rsidRPr="00A07F29">
              <w:rPr>
                <w:rFonts w:ascii="Times New Roman" w:eastAsia="Calibri" w:hAnsi="Times New Roman" w:cs="Times New Roman"/>
                <w:color w:val="000000"/>
                <w:sz w:val="20"/>
                <w:szCs w:val="20"/>
                <w:lang w:eastAsia="ar-SA"/>
              </w:rPr>
              <w:t>, 2017).</w:t>
            </w:r>
          </w:p>
        </w:tc>
        <w:tc>
          <w:tcPr>
            <w:tcW w:w="971" w:type="pct"/>
            <w:shd w:val="clear" w:color="auto" w:fill="auto"/>
          </w:tcPr>
          <w:p w14:paraId="318B4A41" w14:textId="33FEB188" w:rsidR="009072CE" w:rsidRPr="00A07F29" w:rsidRDefault="00BF0E06"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DA plāna</w:t>
            </w:r>
            <w:r w:rsidR="009072CE" w:rsidRPr="00A07F29">
              <w:rPr>
                <w:rFonts w:ascii="Times New Roman" w:eastAsia="Calibri" w:hAnsi="Times New Roman" w:cs="Times New Roman"/>
                <w:color w:val="000000"/>
                <w:sz w:val="20"/>
                <w:szCs w:val="20"/>
                <w:lang w:eastAsia="ar-SA"/>
              </w:rPr>
              <w:t xml:space="preserve"> izstrādes laikā suga netika konstatēta. Prognozējama sastopamība </w:t>
            </w:r>
            <w:proofErr w:type="spellStart"/>
            <w:r w:rsidR="009072CE" w:rsidRPr="00A07F29">
              <w:rPr>
                <w:rFonts w:ascii="Times New Roman" w:eastAsia="Calibri" w:hAnsi="Times New Roman" w:cs="Times New Roman"/>
                <w:color w:val="000000"/>
                <w:sz w:val="20"/>
                <w:szCs w:val="20"/>
                <w:lang w:eastAsia="ar-SA"/>
              </w:rPr>
              <w:t>eitrofo</w:t>
            </w:r>
            <w:proofErr w:type="spellEnd"/>
            <w:r w:rsidR="009072CE" w:rsidRPr="00A07F29">
              <w:rPr>
                <w:rFonts w:ascii="Times New Roman" w:eastAsia="Calibri" w:hAnsi="Times New Roman" w:cs="Times New Roman"/>
                <w:color w:val="000000"/>
                <w:sz w:val="20"/>
                <w:szCs w:val="20"/>
                <w:lang w:eastAsia="ar-SA"/>
              </w:rPr>
              <w:t xml:space="preserve"> ezeru piekrastes joslā.</w:t>
            </w:r>
          </w:p>
        </w:tc>
      </w:tr>
      <w:tr w:rsidR="009072CE" w:rsidRPr="00A07F29" w14:paraId="712367EC" w14:textId="77777777" w:rsidTr="00014519">
        <w:trPr>
          <w:cantSplit/>
          <w:trHeight w:val="284"/>
        </w:trPr>
        <w:tc>
          <w:tcPr>
            <w:tcW w:w="894" w:type="pct"/>
            <w:shd w:val="clear" w:color="auto" w:fill="auto"/>
            <w:noWrap/>
          </w:tcPr>
          <w:p w14:paraId="3FC1BD0B" w14:textId="77777777" w:rsidR="009072CE" w:rsidRPr="00A07F29" w:rsidRDefault="009072CE" w:rsidP="009072CE">
            <w:pPr>
              <w:suppressAutoHyphens/>
              <w:spacing w:after="0" w:line="240" w:lineRule="auto"/>
              <w:rPr>
                <w:rFonts w:ascii="Times New Roman" w:eastAsia="Calibri" w:hAnsi="Times New Roman" w:cs="Times New Roman"/>
                <w:color w:val="000000"/>
                <w:spacing w:val="-1"/>
                <w:sz w:val="20"/>
                <w:szCs w:val="20"/>
                <w:lang w:eastAsia="ar-SA"/>
              </w:rPr>
            </w:pPr>
            <w:r w:rsidRPr="00A07F29">
              <w:rPr>
                <w:rFonts w:ascii="Times New Roman" w:eastAsia="Calibri" w:hAnsi="Times New Roman" w:cs="Times New Roman"/>
                <w:color w:val="000000"/>
                <w:spacing w:val="-1"/>
                <w:sz w:val="20"/>
                <w:szCs w:val="20"/>
                <w:lang w:eastAsia="ar-SA"/>
              </w:rPr>
              <w:t xml:space="preserve">Resnvēdera </w:t>
            </w:r>
            <w:proofErr w:type="spellStart"/>
            <w:r w:rsidRPr="00A07F29">
              <w:rPr>
                <w:rFonts w:ascii="Times New Roman" w:eastAsia="Calibri" w:hAnsi="Times New Roman" w:cs="Times New Roman"/>
                <w:color w:val="000000"/>
                <w:spacing w:val="-1"/>
                <w:sz w:val="20"/>
                <w:szCs w:val="20"/>
                <w:lang w:eastAsia="ar-SA"/>
              </w:rPr>
              <w:t>purvuspāre</w:t>
            </w:r>
            <w:proofErr w:type="spellEnd"/>
          </w:p>
        </w:tc>
        <w:tc>
          <w:tcPr>
            <w:tcW w:w="821" w:type="pct"/>
            <w:shd w:val="clear" w:color="auto" w:fill="auto"/>
            <w:noWrap/>
          </w:tcPr>
          <w:p w14:paraId="067E3102" w14:textId="77777777" w:rsidR="009072CE" w:rsidRPr="00A07F29" w:rsidRDefault="009072CE" w:rsidP="009072CE">
            <w:pPr>
              <w:suppressAutoHyphens/>
              <w:spacing w:after="0" w:line="240" w:lineRule="auto"/>
              <w:rPr>
                <w:rFonts w:ascii="Times New Roman" w:eastAsia="Calibri" w:hAnsi="Times New Roman" w:cs="Times New Roman"/>
                <w:i/>
                <w:color w:val="000000"/>
                <w:sz w:val="20"/>
                <w:szCs w:val="20"/>
                <w:lang w:eastAsia="ar-SA"/>
              </w:rPr>
            </w:pPr>
            <w:proofErr w:type="spellStart"/>
            <w:r w:rsidRPr="00A07F29">
              <w:rPr>
                <w:rFonts w:ascii="Times New Roman" w:eastAsia="Calibri" w:hAnsi="Times New Roman" w:cs="Times New Roman"/>
                <w:i/>
                <w:iCs/>
                <w:color w:val="000000"/>
                <w:sz w:val="20"/>
                <w:szCs w:val="20"/>
                <w:lang w:eastAsia="ar-SA"/>
              </w:rPr>
              <w:t>Leucorrhinia</w:t>
            </w:r>
            <w:proofErr w:type="spellEnd"/>
            <w:r w:rsidRPr="00A07F29">
              <w:rPr>
                <w:rFonts w:ascii="Times New Roman" w:eastAsia="Calibri" w:hAnsi="Times New Roman" w:cs="Times New Roman"/>
                <w:i/>
                <w:iCs/>
                <w:color w:val="000000"/>
                <w:sz w:val="20"/>
                <w:szCs w:val="20"/>
                <w:lang w:eastAsia="ar-SA"/>
              </w:rPr>
              <w:t xml:space="preserve"> </w:t>
            </w:r>
            <w:proofErr w:type="spellStart"/>
            <w:r w:rsidRPr="00A07F29">
              <w:rPr>
                <w:rFonts w:ascii="Times New Roman" w:eastAsia="Calibri" w:hAnsi="Times New Roman" w:cs="Times New Roman"/>
                <w:i/>
                <w:iCs/>
                <w:color w:val="000000"/>
                <w:sz w:val="20"/>
                <w:szCs w:val="20"/>
                <w:lang w:eastAsia="ar-SA"/>
              </w:rPr>
              <w:t>caudalis</w:t>
            </w:r>
            <w:proofErr w:type="spellEnd"/>
          </w:p>
        </w:tc>
        <w:tc>
          <w:tcPr>
            <w:tcW w:w="674" w:type="pct"/>
            <w:shd w:val="clear" w:color="auto" w:fill="auto"/>
            <w:noWrap/>
          </w:tcPr>
          <w:p w14:paraId="322ABD52" w14:textId="53C12360" w:rsidR="009072CE" w:rsidRPr="00A07F29" w:rsidRDefault="009072CE" w:rsidP="004E1BBB">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 xml:space="preserve">ĪAS, </w:t>
            </w:r>
            <w:r w:rsidR="004E1BBB" w:rsidRPr="00A07F29">
              <w:rPr>
                <w:rFonts w:ascii="Times New Roman" w:eastAsia="Calibri" w:hAnsi="Times New Roman" w:cs="Times New Roman"/>
                <w:color w:val="000000"/>
                <w:sz w:val="20"/>
                <w:szCs w:val="20"/>
                <w:lang w:eastAsia="ar-SA"/>
              </w:rPr>
              <w:t xml:space="preserve">BD </w:t>
            </w:r>
            <w:r w:rsidRPr="00A07F29">
              <w:rPr>
                <w:rFonts w:ascii="Times New Roman" w:eastAsia="Calibri" w:hAnsi="Times New Roman" w:cs="Times New Roman"/>
                <w:color w:val="000000"/>
                <w:sz w:val="20"/>
                <w:szCs w:val="20"/>
                <w:lang w:eastAsia="ar-SA"/>
              </w:rPr>
              <w:t xml:space="preserve">IV, </w:t>
            </w:r>
          </w:p>
        </w:tc>
        <w:tc>
          <w:tcPr>
            <w:tcW w:w="595" w:type="pct"/>
            <w:shd w:val="clear" w:color="auto" w:fill="auto"/>
            <w:noWrap/>
          </w:tcPr>
          <w:p w14:paraId="2CADB0FB" w14:textId="77777777" w:rsidR="009072CE" w:rsidRPr="00A07F29" w:rsidRDefault="009072CE" w:rsidP="009072CE">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IUCN (LR), Berne II*</w:t>
            </w:r>
          </w:p>
        </w:tc>
        <w:tc>
          <w:tcPr>
            <w:tcW w:w="1045" w:type="pct"/>
            <w:shd w:val="clear" w:color="auto" w:fill="auto"/>
          </w:tcPr>
          <w:p w14:paraId="1E6B5DE2" w14:textId="242D7E01" w:rsidR="009072CE" w:rsidRPr="00A07F29" w:rsidRDefault="009072CE"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Latvijā mēreni izplatīta suga. Piemērotās dzīvotnēs suga sastopama samērā bieži (Kalniņš</w:t>
            </w:r>
            <w:r w:rsidR="006A602E">
              <w:rPr>
                <w:rFonts w:ascii="Times New Roman" w:eastAsia="Calibri" w:hAnsi="Times New Roman" w:cs="Times New Roman"/>
                <w:color w:val="000000"/>
                <w:sz w:val="20"/>
                <w:szCs w:val="20"/>
                <w:lang w:eastAsia="ar-SA"/>
              </w:rPr>
              <w:t xml:space="preserve"> M.</w:t>
            </w:r>
            <w:r w:rsidRPr="00A07F29">
              <w:rPr>
                <w:rFonts w:ascii="Times New Roman" w:eastAsia="Calibri" w:hAnsi="Times New Roman" w:cs="Times New Roman"/>
                <w:color w:val="000000"/>
                <w:sz w:val="20"/>
                <w:szCs w:val="20"/>
                <w:lang w:eastAsia="ar-SA"/>
              </w:rPr>
              <w:t>, 2017).</w:t>
            </w:r>
          </w:p>
        </w:tc>
        <w:tc>
          <w:tcPr>
            <w:tcW w:w="971" w:type="pct"/>
            <w:shd w:val="clear" w:color="auto" w:fill="auto"/>
          </w:tcPr>
          <w:p w14:paraId="17FD72A2" w14:textId="5E05CDF0" w:rsidR="009072CE" w:rsidRPr="00A07F29" w:rsidRDefault="009072CE"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AAA “Augšdaugava” teritorijā</w:t>
            </w:r>
            <w:r w:rsidRPr="00A07F29">
              <w:rPr>
                <w:rFonts w:ascii="Times New Roman" w:eastAsia="Calibri" w:hAnsi="Times New Roman" w:cs="Times New Roman"/>
                <w:color w:val="000000"/>
                <w:spacing w:val="-1"/>
                <w:sz w:val="20"/>
                <w:szCs w:val="20"/>
                <w:lang w:eastAsia="ar-SA"/>
              </w:rPr>
              <w:t xml:space="preserve"> suga konstatēta </w:t>
            </w:r>
            <w:proofErr w:type="spellStart"/>
            <w:r w:rsidRPr="00A07F29">
              <w:rPr>
                <w:rFonts w:ascii="Times New Roman" w:eastAsia="Calibri" w:hAnsi="Times New Roman" w:cs="Times New Roman"/>
                <w:color w:val="000000"/>
                <w:spacing w:val="-1"/>
                <w:sz w:val="20"/>
                <w:szCs w:val="20"/>
                <w:lang w:eastAsia="ar-SA"/>
              </w:rPr>
              <w:t>Vaičuku</w:t>
            </w:r>
            <w:proofErr w:type="spellEnd"/>
            <w:r w:rsidRPr="00A07F29">
              <w:rPr>
                <w:rFonts w:ascii="Times New Roman" w:eastAsia="Calibri" w:hAnsi="Times New Roman" w:cs="Times New Roman"/>
                <w:color w:val="000000"/>
                <w:spacing w:val="-1"/>
                <w:sz w:val="20"/>
                <w:szCs w:val="20"/>
                <w:lang w:eastAsia="ar-SA"/>
              </w:rPr>
              <w:t xml:space="preserve"> ezerā</w:t>
            </w:r>
            <w:r w:rsidR="00D65BBA" w:rsidRPr="00A07F29">
              <w:rPr>
                <w:rFonts w:ascii="Times New Roman" w:eastAsia="Calibri" w:hAnsi="Times New Roman" w:cs="Times New Roman"/>
                <w:color w:val="000000"/>
                <w:spacing w:val="-1"/>
                <w:sz w:val="20"/>
                <w:szCs w:val="20"/>
                <w:lang w:eastAsia="ar-SA"/>
              </w:rPr>
              <w:t xml:space="preserve"> </w:t>
            </w:r>
            <w:r w:rsidRPr="00A07F29">
              <w:rPr>
                <w:rFonts w:ascii="Times New Roman" w:eastAsia="Calibri" w:hAnsi="Times New Roman" w:cs="Times New Roman"/>
                <w:color w:val="000000"/>
                <w:spacing w:val="-1"/>
                <w:sz w:val="20"/>
                <w:szCs w:val="20"/>
                <w:lang w:eastAsia="ar-SA"/>
              </w:rPr>
              <w:t>un Tartaka ezerā.</w:t>
            </w:r>
          </w:p>
        </w:tc>
      </w:tr>
      <w:tr w:rsidR="009072CE" w:rsidRPr="00A07F29" w14:paraId="47C0B7C0" w14:textId="77777777" w:rsidTr="00014519">
        <w:trPr>
          <w:cantSplit/>
          <w:trHeight w:val="284"/>
        </w:trPr>
        <w:tc>
          <w:tcPr>
            <w:tcW w:w="894" w:type="pct"/>
            <w:shd w:val="clear" w:color="auto" w:fill="auto"/>
            <w:noWrap/>
          </w:tcPr>
          <w:p w14:paraId="7656B5FA" w14:textId="77777777" w:rsidR="009072CE" w:rsidRPr="00A07F29" w:rsidRDefault="009072CE" w:rsidP="009072CE">
            <w:pPr>
              <w:suppressAutoHyphens/>
              <w:spacing w:after="0" w:line="240" w:lineRule="auto"/>
              <w:rPr>
                <w:rFonts w:ascii="Times New Roman" w:eastAsia="Calibri" w:hAnsi="Times New Roman" w:cs="Times New Roman"/>
                <w:color w:val="000000"/>
                <w:spacing w:val="-1"/>
                <w:sz w:val="20"/>
                <w:szCs w:val="20"/>
                <w:lang w:eastAsia="ar-SA"/>
              </w:rPr>
            </w:pPr>
            <w:proofErr w:type="spellStart"/>
            <w:r w:rsidRPr="00A07F29">
              <w:rPr>
                <w:rFonts w:ascii="Times New Roman" w:eastAsia="Calibri" w:hAnsi="Times New Roman" w:cs="Times New Roman"/>
                <w:color w:val="000000"/>
                <w:sz w:val="20"/>
                <w:szCs w:val="20"/>
                <w:lang w:eastAsia="ar-SA"/>
              </w:rPr>
              <w:t>Raibgalvas</w:t>
            </w:r>
            <w:proofErr w:type="spellEnd"/>
            <w:r w:rsidRPr="00A07F29">
              <w:rPr>
                <w:rFonts w:ascii="Times New Roman" w:eastAsia="Calibri" w:hAnsi="Times New Roman" w:cs="Times New Roman"/>
                <w:color w:val="000000"/>
                <w:sz w:val="20"/>
                <w:szCs w:val="20"/>
                <w:lang w:eastAsia="ar-SA"/>
              </w:rPr>
              <w:t xml:space="preserve"> </w:t>
            </w:r>
            <w:proofErr w:type="spellStart"/>
            <w:r w:rsidRPr="00A07F29">
              <w:rPr>
                <w:rFonts w:ascii="Times New Roman" w:eastAsia="Calibri" w:hAnsi="Times New Roman" w:cs="Times New Roman"/>
                <w:color w:val="000000"/>
                <w:sz w:val="20"/>
                <w:szCs w:val="20"/>
                <w:lang w:eastAsia="ar-SA"/>
              </w:rPr>
              <w:t>purvuspāre</w:t>
            </w:r>
            <w:proofErr w:type="spellEnd"/>
          </w:p>
        </w:tc>
        <w:tc>
          <w:tcPr>
            <w:tcW w:w="821" w:type="pct"/>
            <w:shd w:val="clear" w:color="auto" w:fill="auto"/>
            <w:noWrap/>
          </w:tcPr>
          <w:p w14:paraId="779031BA" w14:textId="77777777" w:rsidR="009072CE" w:rsidRPr="00A07F29" w:rsidRDefault="009072CE" w:rsidP="009072CE">
            <w:pPr>
              <w:suppressAutoHyphens/>
              <w:spacing w:after="0" w:line="240" w:lineRule="auto"/>
              <w:rPr>
                <w:rFonts w:ascii="Times New Roman" w:eastAsia="Calibri" w:hAnsi="Times New Roman" w:cs="Times New Roman"/>
                <w:i/>
                <w:iCs/>
                <w:color w:val="000000"/>
                <w:sz w:val="20"/>
                <w:szCs w:val="20"/>
                <w:lang w:eastAsia="ar-SA"/>
              </w:rPr>
            </w:pPr>
            <w:proofErr w:type="spellStart"/>
            <w:r w:rsidRPr="00A07F29">
              <w:rPr>
                <w:rFonts w:ascii="Times New Roman" w:eastAsia="Calibri" w:hAnsi="Times New Roman" w:cs="Times New Roman"/>
                <w:i/>
                <w:iCs/>
                <w:color w:val="000000"/>
                <w:sz w:val="20"/>
                <w:szCs w:val="20"/>
                <w:lang w:eastAsia="ar-SA"/>
              </w:rPr>
              <w:t>Leucorrhinia</w:t>
            </w:r>
            <w:proofErr w:type="spellEnd"/>
            <w:r w:rsidRPr="00A07F29">
              <w:rPr>
                <w:rFonts w:ascii="Times New Roman" w:eastAsia="Calibri" w:hAnsi="Times New Roman" w:cs="Times New Roman"/>
                <w:i/>
                <w:iCs/>
                <w:color w:val="000000"/>
                <w:sz w:val="20"/>
                <w:szCs w:val="20"/>
                <w:lang w:eastAsia="ar-SA"/>
              </w:rPr>
              <w:t xml:space="preserve"> </w:t>
            </w:r>
            <w:proofErr w:type="spellStart"/>
            <w:r w:rsidRPr="00A07F29">
              <w:rPr>
                <w:rFonts w:ascii="Times New Roman" w:eastAsia="Calibri" w:hAnsi="Times New Roman" w:cs="Times New Roman"/>
                <w:i/>
                <w:iCs/>
                <w:color w:val="000000"/>
                <w:sz w:val="20"/>
                <w:szCs w:val="20"/>
                <w:lang w:eastAsia="ar-SA"/>
              </w:rPr>
              <w:t>albifrons</w:t>
            </w:r>
            <w:proofErr w:type="spellEnd"/>
          </w:p>
        </w:tc>
        <w:tc>
          <w:tcPr>
            <w:tcW w:w="674" w:type="pct"/>
            <w:shd w:val="clear" w:color="auto" w:fill="auto"/>
            <w:noWrap/>
          </w:tcPr>
          <w:p w14:paraId="71D09ACA" w14:textId="1F9EB22C" w:rsidR="009072CE" w:rsidRPr="00A07F29" w:rsidRDefault="009072CE" w:rsidP="004E1BBB">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 xml:space="preserve">ĪAS, </w:t>
            </w:r>
            <w:r w:rsidR="004E1BBB" w:rsidRPr="00A07F29">
              <w:rPr>
                <w:rFonts w:ascii="Times New Roman" w:eastAsia="Calibri" w:hAnsi="Times New Roman" w:cs="Times New Roman"/>
                <w:color w:val="000000"/>
                <w:sz w:val="20"/>
                <w:szCs w:val="20"/>
                <w:lang w:eastAsia="ar-SA"/>
              </w:rPr>
              <w:t xml:space="preserve">BD </w:t>
            </w:r>
            <w:r w:rsidRPr="00A07F29">
              <w:rPr>
                <w:rFonts w:ascii="Times New Roman" w:eastAsia="Calibri" w:hAnsi="Times New Roman" w:cs="Times New Roman"/>
                <w:color w:val="000000"/>
                <w:sz w:val="20"/>
                <w:szCs w:val="20"/>
                <w:lang w:eastAsia="ar-SA"/>
              </w:rPr>
              <w:t>IV,</w:t>
            </w:r>
          </w:p>
        </w:tc>
        <w:tc>
          <w:tcPr>
            <w:tcW w:w="595" w:type="pct"/>
            <w:shd w:val="clear" w:color="auto" w:fill="auto"/>
            <w:noWrap/>
          </w:tcPr>
          <w:p w14:paraId="6ACF18B6" w14:textId="77777777" w:rsidR="009072CE" w:rsidRPr="00A07F29" w:rsidRDefault="009072CE" w:rsidP="009072CE">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IUCN (LR), Berne II*</w:t>
            </w:r>
          </w:p>
        </w:tc>
        <w:tc>
          <w:tcPr>
            <w:tcW w:w="1045" w:type="pct"/>
            <w:shd w:val="clear" w:color="auto" w:fill="auto"/>
          </w:tcPr>
          <w:p w14:paraId="25F3FC86" w14:textId="725E370B" w:rsidR="009072CE" w:rsidRPr="00A07F29" w:rsidRDefault="009072CE"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Latvijā mēreni izplatīta suga (Kalniņš</w:t>
            </w:r>
            <w:r w:rsidR="009209B1">
              <w:rPr>
                <w:rFonts w:ascii="Times New Roman" w:eastAsia="Calibri" w:hAnsi="Times New Roman" w:cs="Times New Roman"/>
                <w:color w:val="000000"/>
                <w:sz w:val="20"/>
                <w:szCs w:val="20"/>
                <w:lang w:eastAsia="ar-SA"/>
              </w:rPr>
              <w:t xml:space="preserve"> M.</w:t>
            </w:r>
            <w:r w:rsidRPr="00A07F29">
              <w:rPr>
                <w:rFonts w:ascii="Times New Roman" w:eastAsia="Calibri" w:hAnsi="Times New Roman" w:cs="Times New Roman"/>
                <w:color w:val="000000"/>
                <w:sz w:val="20"/>
                <w:szCs w:val="20"/>
                <w:lang w:eastAsia="ar-SA"/>
              </w:rPr>
              <w:t>, 2017).</w:t>
            </w:r>
          </w:p>
        </w:tc>
        <w:tc>
          <w:tcPr>
            <w:tcW w:w="971" w:type="pct"/>
            <w:shd w:val="clear" w:color="auto" w:fill="auto"/>
          </w:tcPr>
          <w:p w14:paraId="1C2B64A4" w14:textId="77777777" w:rsidR="009072CE" w:rsidRPr="00A07F29" w:rsidRDefault="009072CE"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AAA “Augšdaugava” teritorijā</w:t>
            </w:r>
            <w:r w:rsidRPr="00A07F29">
              <w:rPr>
                <w:rFonts w:ascii="Times New Roman" w:eastAsia="Calibri" w:hAnsi="Times New Roman" w:cs="Times New Roman"/>
                <w:color w:val="000000"/>
                <w:spacing w:val="-1"/>
                <w:sz w:val="20"/>
                <w:szCs w:val="20"/>
                <w:lang w:eastAsia="ar-SA"/>
              </w:rPr>
              <w:t xml:space="preserve"> suga konstatēta </w:t>
            </w:r>
            <w:proofErr w:type="spellStart"/>
            <w:r w:rsidRPr="00A07F29">
              <w:rPr>
                <w:rFonts w:ascii="Times New Roman" w:eastAsia="Calibri" w:hAnsi="Times New Roman" w:cs="Times New Roman"/>
                <w:color w:val="000000"/>
                <w:spacing w:val="-1"/>
                <w:sz w:val="20"/>
                <w:szCs w:val="20"/>
                <w:lang w:eastAsia="ar-SA"/>
              </w:rPr>
              <w:t>Dolgoje</w:t>
            </w:r>
            <w:proofErr w:type="spellEnd"/>
            <w:r w:rsidRPr="00A07F29">
              <w:rPr>
                <w:rFonts w:ascii="Times New Roman" w:eastAsia="Calibri" w:hAnsi="Times New Roman" w:cs="Times New Roman"/>
                <w:color w:val="000000"/>
                <w:spacing w:val="-1"/>
                <w:sz w:val="20"/>
                <w:szCs w:val="20"/>
                <w:lang w:eastAsia="ar-SA"/>
              </w:rPr>
              <w:t xml:space="preserve"> un </w:t>
            </w:r>
            <w:proofErr w:type="spellStart"/>
            <w:r w:rsidRPr="00A07F29">
              <w:rPr>
                <w:rFonts w:ascii="Times New Roman" w:eastAsia="Calibri" w:hAnsi="Times New Roman" w:cs="Times New Roman"/>
                <w:color w:val="000000"/>
                <w:spacing w:val="-1"/>
                <w:sz w:val="20"/>
                <w:szCs w:val="20"/>
                <w:lang w:eastAsia="ar-SA"/>
              </w:rPr>
              <w:t>Vaičuku</w:t>
            </w:r>
            <w:proofErr w:type="spellEnd"/>
            <w:r w:rsidRPr="00A07F29">
              <w:rPr>
                <w:rFonts w:ascii="Times New Roman" w:eastAsia="Calibri" w:hAnsi="Times New Roman" w:cs="Times New Roman"/>
                <w:color w:val="000000"/>
                <w:spacing w:val="-1"/>
                <w:sz w:val="20"/>
                <w:szCs w:val="20"/>
                <w:lang w:eastAsia="ar-SA"/>
              </w:rPr>
              <w:t xml:space="preserve"> ezerā</w:t>
            </w:r>
          </w:p>
        </w:tc>
      </w:tr>
      <w:tr w:rsidR="009072CE" w:rsidRPr="00A07F29" w14:paraId="3E09ED1A" w14:textId="77777777" w:rsidTr="00014519">
        <w:trPr>
          <w:cantSplit/>
          <w:trHeight w:val="284"/>
        </w:trPr>
        <w:tc>
          <w:tcPr>
            <w:tcW w:w="894" w:type="pct"/>
            <w:shd w:val="clear" w:color="auto" w:fill="auto"/>
            <w:noWrap/>
            <w:vAlign w:val="center"/>
          </w:tcPr>
          <w:p w14:paraId="4756283A" w14:textId="77777777" w:rsidR="009072CE" w:rsidRPr="00A07F29" w:rsidRDefault="009072CE" w:rsidP="009072CE">
            <w:pPr>
              <w:autoSpaceDE w:val="0"/>
              <w:autoSpaceDN w:val="0"/>
              <w:adjustRightInd w:val="0"/>
              <w:spacing w:after="0" w:line="240" w:lineRule="auto"/>
              <w:rPr>
                <w:rFonts w:ascii="Times New Roman" w:eastAsia="Calibri" w:hAnsi="Times New Roman" w:cs="Times New Roman"/>
                <w:color w:val="000000"/>
                <w:sz w:val="20"/>
                <w:szCs w:val="20"/>
              </w:rPr>
            </w:pPr>
            <w:r w:rsidRPr="00A07F29">
              <w:rPr>
                <w:rFonts w:ascii="Times New Roman" w:eastAsia="Calibri" w:hAnsi="Times New Roman" w:cs="Times New Roman"/>
                <w:color w:val="000000"/>
                <w:sz w:val="20"/>
                <w:szCs w:val="20"/>
              </w:rPr>
              <w:t xml:space="preserve">Spilgtā </w:t>
            </w:r>
            <w:proofErr w:type="spellStart"/>
            <w:r w:rsidRPr="00A07F29">
              <w:rPr>
                <w:rFonts w:ascii="Times New Roman" w:eastAsia="Calibri" w:hAnsi="Times New Roman" w:cs="Times New Roman"/>
                <w:color w:val="000000"/>
                <w:sz w:val="20"/>
                <w:szCs w:val="20"/>
              </w:rPr>
              <w:t>purvuspāre</w:t>
            </w:r>
            <w:proofErr w:type="spellEnd"/>
            <w:r w:rsidRPr="00A07F29">
              <w:rPr>
                <w:rFonts w:ascii="Times New Roman" w:eastAsia="Calibri" w:hAnsi="Times New Roman" w:cs="Times New Roman"/>
                <w:color w:val="000000"/>
                <w:sz w:val="20"/>
                <w:szCs w:val="20"/>
              </w:rPr>
              <w:t xml:space="preserve"> </w:t>
            </w:r>
          </w:p>
        </w:tc>
        <w:tc>
          <w:tcPr>
            <w:tcW w:w="821" w:type="pct"/>
            <w:shd w:val="clear" w:color="auto" w:fill="auto"/>
            <w:noWrap/>
            <w:vAlign w:val="center"/>
          </w:tcPr>
          <w:p w14:paraId="4F520CFD" w14:textId="77777777" w:rsidR="009072CE" w:rsidRPr="00A07F29" w:rsidRDefault="009072CE" w:rsidP="009072CE">
            <w:pPr>
              <w:autoSpaceDE w:val="0"/>
              <w:autoSpaceDN w:val="0"/>
              <w:adjustRightInd w:val="0"/>
              <w:spacing w:after="0" w:line="240" w:lineRule="auto"/>
              <w:rPr>
                <w:rFonts w:ascii="Times New Roman" w:eastAsia="Calibri" w:hAnsi="Times New Roman" w:cs="Times New Roman"/>
                <w:color w:val="000000"/>
                <w:sz w:val="20"/>
                <w:szCs w:val="20"/>
              </w:rPr>
            </w:pPr>
            <w:proofErr w:type="spellStart"/>
            <w:r w:rsidRPr="00A07F29">
              <w:rPr>
                <w:rFonts w:ascii="Times New Roman" w:eastAsia="Calibri" w:hAnsi="Times New Roman" w:cs="Times New Roman"/>
                <w:i/>
                <w:iCs/>
                <w:color w:val="000000"/>
                <w:sz w:val="20"/>
                <w:szCs w:val="20"/>
              </w:rPr>
              <w:t>Leucorrhinia</w:t>
            </w:r>
            <w:proofErr w:type="spellEnd"/>
            <w:r w:rsidRPr="00A07F29">
              <w:rPr>
                <w:rFonts w:ascii="Times New Roman" w:eastAsia="Calibri" w:hAnsi="Times New Roman" w:cs="Times New Roman"/>
                <w:i/>
                <w:iCs/>
                <w:color w:val="000000"/>
                <w:sz w:val="20"/>
                <w:szCs w:val="20"/>
              </w:rPr>
              <w:t xml:space="preserve"> </w:t>
            </w:r>
            <w:proofErr w:type="spellStart"/>
            <w:r w:rsidRPr="00A07F29">
              <w:rPr>
                <w:rFonts w:ascii="Times New Roman" w:eastAsia="Calibri" w:hAnsi="Times New Roman" w:cs="Times New Roman"/>
                <w:i/>
                <w:iCs/>
                <w:color w:val="000000"/>
                <w:sz w:val="20"/>
                <w:szCs w:val="20"/>
              </w:rPr>
              <w:t>pectoralis</w:t>
            </w:r>
            <w:proofErr w:type="spellEnd"/>
            <w:r w:rsidRPr="00A07F29">
              <w:rPr>
                <w:rFonts w:ascii="Times New Roman" w:eastAsia="Calibri" w:hAnsi="Times New Roman" w:cs="Times New Roman"/>
                <w:i/>
                <w:iCs/>
                <w:color w:val="000000"/>
                <w:sz w:val="20"/>
                <w:szCs w:val="20"/>
              </w:rPr>
              <w:t xml:space="preserve"> </w:t>
            </w:r>
          </w:p>
        </w:tc>
        <w:tc>
          <w:tcPr>
            <w:tcW w:w="674" w:type="pct"/>
            <w:shd w:val="clear" w:color="auto" w:fill="auto"/>
            <w:noWrap/>
            <w:vAlign w:val="center"/>
          </w:tcPr>
          <w:p w14:paraId="19C93089" w14:textId="24EDEAB7" w:rsidR="009072CE" w:rsidRPr="00A07F29" w:rsidRDefault="009072CE" w:rsidP="004E1BBB">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 xml:space="preserve">ĪAS, </w:t>
            </w:r>
            <w:r w:rsidR="004E1BBB" w:rsidRPr="00A07F29">
              <w:rPr>
                <w:rFonts w:ascii="Times New Roman" w:eastAsia="Calibri" w:hAnsi="Times New Roman" w:cs="Times New Roman"/>
                <w:color w:val="000000"/>
                <w:sz w:val="20"/>
                <w:szCs w:val="20"/>
                <w:lang w:eastAsia="ar-SA"/>
              </w:rPr>
              <w:t xml:space="preserve">BD </w:t>
            </w:r>
            <w:r w:rsidRPr="00A07F29">
              <w:rPr>
                <w:rFonts w:ascii="Times New Roman" w:eastAsia="Calibri" w:hAnsi="Times New Roman" w:cs="Times New Roman"/>
                <w:color w:val="000000"/>
                <w:sz w:val="20"/>
                <w:szCs w:val="20"/>
                <w:lang w:eastAsia="ar-SA"/>
              </w:rPr>
              <w:t>II, IV</w:t>
            </w:r>
          </w:p>
        </w:tc>
        <w:tc>
          <w:tcPr>
            <w:tcW w:w="595" w:type="pct"/>
            <w:shd w:val="clear" w:color="auto" w:fill="auto"/>
            <w:noWrap/>
            <w:vAlign w:val="center"/>
          </w:tcPr>
          <w:p w14:paraId="5657BD74" w14:textId="77777777" w:rsidR="009072CE" w:rsidRPr="00A07F29" w:rsidRDefault="009072CE" w:rsidP="009072CE">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Berne II*</w:t>
            </w:r>
          </w:p>
        </w:tc>
        <w:tc>
          <w:tcPr>
            <w:tcW w:w="1045" w:type="pct"/>
            <w:shd w:val="clear" w:color="auto" w:fill="auto"/>
          </w:tcPr>
          <w:p w14:paraId="7F0BE221" w14:textId="392BBA6F" w:rsidR="009072CE" w:rsidRPr="00A07F29" w:rsidRDefault="009072CE"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Latvijā plaši izplatīta suga. Piemērotās dzīvotnēs suga sastopama samērā bieži (Kalniņš</w:t>
            </w:r>
            <w:r w:rsidR="009209B1">
              <w:rPr>
                <w:rFonts w:ascii="Times New Roman" w:eastAsia="Calibri" w:hAnsi="Times New Roman" w:cs="Times New Roman"/>
                <w:color w:val="000000"/>
                <w:sz w:val="20"/>
                <w:szCs w:val="20"/>
                <w:lang w:eastAsia="ar-SA"/>
              </w:rPr>
              <w:t xml:space="preserve"> M.</w:t>
            </w:r>
            <w:r w:rsidRPr="00A07F29">
              <w:rPr>
                <w:rFonts w:ascii="Times New Roman" w:eastAsia="Calibri" w:hAnsi="Times New Roman" w:cs="Times New Roman"/>
                <w:color w:val="000000"/>
                <w:sz w:val="20"/>
                <w:szCs w:val="20"/>
                <w:lang w:eastAsia="ar-SA"/>
              </w:rPr>
              <w:t>, 2017).</w:t>
            </w:r>
          </w:p>
        </w:tc>
        <w:tc>
          <w:tcPr>
            <w:tcW w:w="971" w:type="pct"/>
            <w:shd w:val="clear" w:color="auto" w:fill="auto"/>
          </w:tcPr>
          <w:p w14:paraId="05EF07C6" w14:textId="77777777" w:rsidR="009072CE" w:rsidRPr="00A07F29" w:rsidRDefault="009072CE"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 xml:space="preserve">Samērā bieži sastopama AAA teritorijā esošajos </w:t>
            </w:r>
            <w:proofErr w:type="spellStart"/>
            <w:r w:rsidRPr="00A07F29">
              <w:rPr>
                <w:rFonts w:ascii="Times New Roman" w:eastAsia="Calibri" w:hAnsi="Times New Roman" w:cs="Times New Roman"/>
                <w:color w:val="000000"/>
                <w:sz w:val="20"/>
                <w:szCs w:val="20"/>
                <w:lang w:eastAsia="ar-SA"/>
              </w:rPr>
              <w:t>eitrofos</w:t>
            </w:r>
            <w:proofErr w:type="spellEnd"/>
            <w:r w:rsidRPr="00A07F29">
              <w:rPr>
                <w:rFonts w:ascii="Times New Roman" w:eastAsia="Calibri" w:hAnsi="Times New Roman" w:cs="Times New Roman"/>
                <w:color w:val="000000"/>
                <w:sz w:val="20"/>
                <w:szCs w:val="20"/>
                <w:lang w:eastAsia="ar-SA"/>
              </w:rPr>
              <w:t xml:space="preserve"> ezeros</w:t>
            </w:r>
          </w:p>
        </w:tc>
      </w:tr>
      <w:tr w:rsidR="009072CE" w:rsidRPr="00A07F29" w14:paraId="6A5090FC" w14:textId="77777777" w:rsidTr="00014519">
        <w:trPr>
          <w:cantSplit/>
          <w:trHeight w:val="284"/>
        </w:trPr>
        <w:tc>
          <w:tcPr>
            <w:tcW w:w="894" w:type="pct"/>
            <w:shd w:val="clear" w:color="auto" w:fill="auto"/>
            <w:noWrap/>
            <w:vAlign w:val="center"/>
          </w:tcPr>
          <w:p w14:paraId="1DD9E4CD" w14:textId="77777777" w:rsidR="009072CE" w:rsidRPr="00A07F29" w:rsidRDefault="009072CE" w:rsidP="009072CE">
            <w:pPr>
              <w:autoSpaceDE w:val="0"/>
              <w:autoSpaceDN w:val="0"/>
              <w:adjustRightInd w:val="0"/>
              <w:spacing w:after="0" w:line="240" w:lineRule="auto"/>
              <w:rPr>
                <w:rFonts w:ascii="Times New Roman" w:eastAsia="Calibri" w:hAnsi="Times New Roman" w:cs="Times New Roman"/>
                <w:color w:val="000000"/>
                <w:sz w:val="20"/>
                <w:szCs w:val="20"/>
              </w:rPr>
            </w:pPr>
            <w:r w:rsidRPr="00A07F29">
              <w:rPr>
                <w:rFonts w:ascii="Times New Roman" w:eastAsia="Calibri" w:hAnsi="Times New Roman" w:cs="Times New Roman"/>
                <w:color w:val="000000"/>
                <w:sz w:val="20"/>
                <w:szCs w:val="20"/>
              </w:rPr>
              <w:t>Mainīgā spāre</w:t>
            </w:r>
          </w:p>
        </w:tc>
        <w:tc>
          <w:tcPr>
            <w:tcW w:w="821" w:type="pct"/>
            <w:shd w:val="clear" w:color="auto" w:fill="auto"/>
            <w:noWrap/>
            <w:vAlign w:val="center"/>
          </w:tcPr>
          <w:p w14:paraId="4B2B4498" w14:textId="77777777" w:rsidR="009072CE" w:rsidRPr="00A07F29" w:rsidRDefault="009072CE" w:rsidP="009072CE">
            <w:pPr>
              <w:autoSpaceDE w:val="0"/>
              <w:autoSpaceDN w:val="0"/>
              <w:adjustRightInd w:val="0"/>
              <w:spacing w:after="0" w:line="240" w:lineRule="auto"/>
              <w:rPr>
                <w:rFonts w:ascii="Times New Roman" w:eastAsia="Calibri" w:hAnsi="Times New Roman" w:cs="Times New Roman"/>
                <w:i/>
                <w:iCs/>
                <w:color w:val="000000"/>
                <w:sz w:val="20"/>
                <w:szCs w:val="20"/>
              </w:rPr>
            </w:pPr>
            <w:proofErr w:type="spellStart"/>
            <w:r w:rsidRPr="00A07F29">
              <w:rPr>
                <w:rFonts w:ascii="Times New Roman" w:eastAsia="Calibri" w:hAnsi="Times New Roman" w:cs="Times New Roman"/>
                <w:i/>
                <w:iCs/>
                <w:color w:val="000000"/>
                <w:sz w:val="20"/>
                <w:szCs w:val="20"/>
              </w:rPr>
              <w:t>Libellula</w:t>
            </w:r>
            <w:proofErr w:type="spellEnd"/>
            <w:r w:rsidRPr="00A07F29">
              <w:rPr>
                <w:rFonts w:ascii="Times New Roman" w:eastAsia="Calibri" w:hAnsi="Times New Roman" w:cs="Times New Roman"/>
                <w:i/>
                <w:iCs/>
                <w:color w:val="000000"/>
                <w:sz w:val="20"/>
                <w:szCs w:val="20"/>
              </w:rPr>
              <w:t xml:space="preserve"> </w:t>
            </w:r>
            <w:proofErr w:type="spellStart"/>
            <w:r w:rsidRPr="00A07F29">
              <w:rPr>
                <w:rFonts w:ascii="Times New Roman" w:eastAsia="Calibri" w:hAnsi="Times New Roman" w:cs="Times New Roman"/>
                <w:i/>
                <w:iCs/>
                <w:color w:val="000000"/>
                <w:sz w:val="20"/>
                <w:szCs w:val="20"/>
              </w:rPr>
              <w:t>fulva</w:t>
            </w:r>
            <w:proofErr w:type="spellEnd"/>
          </w:p>
        </w:tc>
        <w:tc>
          <w:tcPr>
            <w:tcW w:w="674" w:type="pct"/>
            <w:shd w:val="clear" w:color="auto" w:fill="auto"/>
            <w:noWrap/>
            <w:vAlign w:val="center"/>
          </w:tcPr>
          <w:p w14:paraId="55F356EE" w14:textId="4DFABEDC" w:rsidR="009072CE" w:rsidRPr="00A07F29" w:rsidRDefault="009072CE" w:rsidP="009072CE">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ĪAS</w:t>
            </w:r>
          </w:p>
        </w:tc>
        <w:tc>
          <w:tcPr>
            <w:tcW w:w="595" w:type="pct"/>
            <w:shd w:val="clear" w:color="auto" w:fill="auto"/>
            <w:noWrap/>
            <w:vAlign w:val="center"/>
          </w:tcPr>
          <w:p w14:paraId="735ACEE3" w14:textId="50759278" w:rsidR="009072CE" w:rsidRPr="00A07F29" w:rsidRDefault="00FA6EEA" w:rsidP="009072CE">
            <w:pPr>
              <w:suppressAutoHyphens/>
              <w:spacing w:after="0" w:line="240" w:lineRule="auto"/>
              <w:rPr>
                <w:rFonts w:ascii="Times New Roman" w:eastAsia="Calibri" w:hAnsi="Times New Roman" w:cs="Times New Roman"/>
                <w:color w:val="000000"/>
                <w:sz w:val="20"/>
                <w:szCs w:val="20"/>
                <w:lang w:eastAsia="ar-SA"/>
              </w:rPr>
            </w:pPr>
            <w:r>
              <w:rPr>
                <w:rFonts w:ascii="Times New Roman" w:eastAsia="Calibri" w:hAnsi="Times New Roman" w:cs="Times New Roman"/>
                <w:color w:val="000000"/>
                <w:sz w:val="20"/>
                <w:szCs w:val="20"/>
                <w:lang w:eastAsia="ar-SA"/>
              </w:rPr>
              <w:t>L</w:t>
            </w:r>
            <w:r w:rsidR="009072CE" w:rsidRPr="00A07F29">
              <w:rPr>
                <w:rFonts w:ascii="Times New Roman" w:eastAsia="Calibri" w:hAnsi="Times New Roman" w:cs="Times New Roman"/>
                <w:color w:val="000000"/>
                <w:sz w:val="20"/>
                <w:szCs w:val="20"/>
                <w:lang w:eastAsia="ar-SA"/>
              </w:rPr>
              <w:t>SG 1</w:t>
            </w:r>
          </w:p>
        </w:tc>
        <w:tc>
          <w:tcPr>
            <w:tcW w:w="1045" w:type="pct"/>
            <w:shd w:val="clear" w:color="auto" w:fill="auto"/>
          </w:tcPr>
          <w:p w14:paraId="7DBFBFEA" w14:textId="6B24C98C" w:rsidR="009072CE" w:rsidRPr="00A07F29" w:rsidRDefault="009072CE"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Latvijā mēreni izplatīta suga. Sugas areāls teorētiski aptver visu teritoriju, taču zināmo atradņu izvietojums ir nevienmērīgs (Kalniņš</w:t>
            </w:r>
            <w:r w:rsidR="009A09A2">
              <w:rPr>
                <w:rFonts w:ascii="Times New Roman" w:eastAsia="Calibri" w:hAnsi="Times New Roman" w:cs="Times New Roman"/>
                <w:color w:val="000000"/>
                <w:sz w:val="20"/>
                <w:szCs w:val="20"/>
                <w:lang w:eastAsia="ar-SA"/>
              </w:rPr>
              <w:t xml:space="preserve"> M.</w:t>
            </w:r>
            <w:r w:rsidRPr="00A07F29">
              <w:rPr>
                <w:rFonts w:ascii="Times New Roman" w:eastAsia="Calibri" w:hAnsi="Times New Roman" w:cs="Times New Roman"/>
                <w:color w:val="000000"/>
                <w:sz w:val="20"/>
                <w:szCs w:val="20"/>
                <w:lang w:eastAsia="ar-SA"/>
              </w:rPr>
              <w:t>, 2017).</w:t>
            </w:r>
          </w:p>
        </w:tc>
        <w:tc>
          <w:tcPr>
            <w:tcW w:w="971" w:type="pct"/>
            <w:shd w:val="clear" w:color="auto" w:fill="auto"/>
          </w:tcPr>
          <w:p w14:paraId="4032721D" w14:textId="635315FE" w:rsidR="009072CE" w:rsidRPr="00A07F29" w:rsidRDefault="009072CE" w:rsidP="00F04849">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 xml:space="preserve">Bieži </w:t>
            </w:r>
            <w:r w:rsidR="00F04849" w:rsidRPr="00A07F29">
              <w:rPr>
                <w:rFonts w:ascii="Times New Roman" w:eastAsia="Calibri" w:hAnsi="Times New Roman" w:cs="Times New Roman"/>
                <w:color w:val="000000"/>
                <w:sz w:val="20"/>
                <w:szCs w:val="20"/>
                <w:lang w:eastAsia="ar-SA"/>
              </w:rPr>
              <w:t xml:space="preserve">sastopama </w:t>
            </w:r>
            <w:r w:rsidRPr="00A07F29">
              <w:rPr>
                <w:rFonts w:ascii="Times New Roman" w:eastAsia="Calibri" w:hAnsi="Times New Roman" w:cs="Times New Roman"/>
                <w:color w:val="000000"/>
                <w:sz w:val="20"/>
                <w:szCs w:val="20"/>
                <w:lang w:eastAsia="ar-SA"/>
              </w:rPr>
              <w:t>piemērotos biotopos AAA teritorijā.</w:t>
            </w:r>
          </w:p>
        </w:tc>
      </w:tr>
      <w:tr w:rsidR="009072CE" w:rsidRPr="00A07F29" w14:paraId="717FF4F7" w14:textId="77777777" w:rsidTr="00014519">
        <w:trPr>
          <w:cantSplit/>
          <w:trHeight w:val="284"/>
        </w:trPr>
        <w:tc>
          <w:tcPr>
            <w:tcW w:w="894" w:type="pct"/>
            <w:shd w:val="clear" w:color="auto" w:fill="auto"/>
            <w:noWrap/>
            <w:vAlign w:val="center"/>
          </w:tcPr>
          <w:p w14:paraId="2FD6F435" w14:textId="77777777" w:rsidR="009072CE" w:rsidRPr="00A07F29" w:rsidRDefault="009072CE" w:rsidP="009072CE">
            <w:pPr>
              <w:autoSpaceDE w:val="0"/>
              <w:autoSpaceDN w:val="0"/>
              <w:adjustRightInd w:val="0"/>
              <w:spacing w:after="0" w:line="240" w:lineRule="auto"/>
              <w:rPr>
                <w:rFonts w:ascii="Times New Roman" w:eastAsia="Calibri" w:hAnsi="Times New Roman" w:cs="Times New Roman"/>
                <w:color w:val="000000"/>
                <w:sz w:val="20"/>
                <w:szCs w:val="20"/>
              </w:rPr>
            </w:pPr>
            <w:r w:rsidRPr="00A07F29">
              <w:rPr>
                <w:rFonts w:ascii="Times New Roman" w:eastAsia="Calibri" w:hAnsi="Times New Roman" w:cs="Times New Roman"/>
                <w:color w:val="000000"/>
                <w:sz w:val="20"/>
                <w:szCs w:val="24"/>
              </w:rPr>
              <w:lastRenderedPageBreak/>
              <w:t xml:space="preserve">Zaļā </w:t>
            </w:r>
            <w:proofErr w:type="spellStart"/>
            <w:r w:rsidRPr="00A07F29">
              <w:rPr>
                <w:rFonts w:ascii="Times New Roman" w:eastAsia="Calibri" w:hAnsi="Times New Roman" w:cs="Times New Roman"/>
                <w:color w:val="000000"/>
                <w:sz w:val="20"/>
                <w:szCs w:val="24"/>
              </w:rPr>
              <w:t>upjuspāre</w:t>
            </w:r>
            <w:proofErr w:type="spellEnd"/>
          </w:p>
        </w:tc>
        <w:tc>
          <w:tcPr>
            <w:tcW w:w="821" w:type="pct"/>
            <w:shd w:val="clear" w:color="auto" w:fill="auto"/>
            <w:noWrap/>
            <w:vAlign w:val="center"/>
          </w:tcPr>
          <w:p w14:paraId="646354DE" w14:textId="77777777" w:rsidR="009072CE" w:rsidRPr="00A07F29" w:rsidRDefault="009072CE" w:rsidP="009072CE">
            <w:pPr>
              <w:autoSpaceDE w:val="0"/>
              <w:autoSpaceDN w:val="0"/>
              <w:adjustRightInd w:val="0"/>
              <w:spacing w:after="0" w:line="240" w:lineRule="auto"/>
              <w:rPr>
                <w:rFonts w:ascii="Times New Roman" w:eastAsia="Calibri" w:hAnsi="Times New Roman" w:cs="Times New Roman"/>
                <w:color w:val="000000"/>
                <w:sz w:val="20"/>
                <w:szCs w:val="20"/>
              </w:rPr>
            </w:pPr>
            <w:proofErr w:type="spellStart"/>
            <w:r w:rsidRPr="00A07F29">
              <w:rPr>
                <w:rFonts w:ascii="Times New Roman" w:eastAsia="Calibri" w:hAnsi="Times New Roman" w:cs="Times New Roman"/>
                <w:i/>
                <w:color w:val="000000"/>
                <w:sz w:val="20"/>
                <w:szCs w:val="24"/>
              </w:rPr>
              <w:t>O</w:t>
            </w:r>
            <w:r w:rsidRPr="00A07F29">
              <w:rPr>
                <w:rFonts w:ascii="Times New Roman" w:eastAsia="Calibri" w:hAnsi="Times New Roman" w:cs="Times New Roman"/>
                <w:i/>
                <w:color w:val="000000"/>
                <w:spacing w:val="1"/>
                <w:sz w:val="20"/>
                <w:szCs w:val="24"/>
              </w:rPr>
              <w:t>ph</w:t>
            </w:r>
            <w:r w:rsidRPr="00A07F29">
              <w:rPr>
                <w:rFonts w:ascii="Times New Roman" w:eastAsia="Calibri" w:hAnsi="Times New Roman" w:cs="Times New Roman"/>
                <w:i/>
                <w:color w:val="000000"/>
                <w:sz w:val="20"/>
                <w:szCs w:val="24"/>
              </w:rPr>
              <w:t>i</w:t>
            </w:r>
            <w:r w:rsidRPr="00A07F29">
              <w:rPr>
                <w:rFonts w:ascii="Times New Roman" w:eastAsia="Calibri" w:hAnsi="Times New Roman" w:cs="Times New Roman"/>
                <w:i/>
                <w:color w:val="000000"/>
                <w:spacing w:val="-1"/>
                <w:sz w:val="20"/>
                <w:szCs w:val="24"/>
              </w:rPr>
              <w:t>o</w:t>
            </w:r>
            <w:r w:rsidRPr="00A07F29">
              <w:rPr>
                <w:rFonts w:ascii="Times New Roman" w:eastAsia="Calibri" w:hAnsi="Times New Roman" w:cs="Times New Roman"/>
                <w:i/>
                <w:color w:val="000000"/>
                <w:spacing w:val="1"/>
                <w:sz w:val="20"/>
                <w:szCs w:val="24"/>
              </w:rPr>
              <w:t>go</w:t>
            </w:r>
            <w:r w:rsidRPr="00A07F29">
              <w:rPr>
                <w:rFonts w:ascii="Times New Roman" w:eastAsia="Calibri" w:hAnsi="Times New Roman" w:cs="Times New Roman"/>
                <w:i/>
                <w:color w:val="000000"/>
                <w:spacing w:val="-3"/>
                <w:sz w:val="20"/>
                <w:szCs w:val="24"/>
              </w:rPr>
              <w:t>m</w:t>
            </w:r>
            <w:r w:rsidRPr="00A07F29">
              <w:rPr>
                <w:rFonts w:ascii="Times New Roman" w:eastAsia="Calibri" w:hAnsi="Times New Roman" w:cs="Times New Roman"/>
                <w:i/>
                <w:color w:val="000000"/>
                <w:spacing w:val="1"/>
                <w:sz w:val="20"/>
                <w:szCs w:val="24"/>
              </w:rPr>
              <w:t>p</w:t>
            </w:r>
            <w:r w:rsidRPr="00A07F29">
              <w:rPr>
                <w:rFonts w:ascii="Times New Roman" w:eastAsia="Calibri" w:hAnsi="Times New Roman" w:cs="Times New Roman"/>
                <w:i/>
                <w:color w:val="000000"/>
                <w:spacing w:val="-1"/>
                <w:sz w:val="20"/>
                <w:szCs w:val="24"/>
              </w:rPr>
              <w:t>h</w:t>
            </w:r>
            <w:r w:rsidRPr="00A07F29">
              <w:rPr>
                <w:rFonts w:ascii="Times New Roman" w:eastAsia="Calibri" w:hAnsi="Times New Roman" w:cs="Times New Roman"/>
                <w:i/>
                <w:color w:val="000000"/>
                <w:spacing w:val="1"/>
                <w:sz w:val="20"/>
                <w:szCs w:val="24"/>
              </w:rPr>
              <w:t>u</w:t>
            </w:r>
            <w:r w:rsidRPr="00A07F29">
              <w:rPr>
                <w:rFonts w:ascii="Times New Roman" w:eastAsia="Calibri" w:hAnsi="Times New Roman" w:cs="Times New Roman"/>
                <w:i/>
                <w:color w:val="000000"/>
                <w:sz w:val="20"/>
                <w:szCs w:val="24"/>
              </w:rPr>
              <w:t>s</w:t>
            </w:r>
            <w:proofErr w:type="spellEnd"/>
            <w:r w:rsidRPr="00A07F29">
              <w:rPr>
                <w:rFonts w:ascii="Times New Roman" w:eastAsia="Calibri" w:hAnsi="Times New Roman" w:cs="Times New Roman"/>
                <w:i/>
                <w:color w:val="000000"/>
                <w:spacing w:val="-10"/>
                <w:sz w:val="20"/>
                <w:szCs w:val="24"/>
              </w:rPr>
              <w:t xml:space="preserve"> </w:t>
            </w:r>
            <w:proofErr w:type="spellStart"/>
            <w:r w:rsidRPr="00A07F29">
              <w:rPr>
                <w:rFonts w:ascii="Times New Roman" w:eastAsia="Calibri" w:hAnsi="Times New Roman" w:cs="Times New Roman"/>
                <w:i/>
                <w:color w:val="000000"/>
                <w:spacing w:val="-1"/>
                <w:sz w:val="20"/>
                <w:szCs w:val="24"/>
              </w:rPr>
              <w:t>cec</w:t>
            </w:r>
            <w:r w:rsidRPr="00A07F29">
              <w:rPr>
                <w:rFonts w:ascii="Times New Roman" w:eastAsia="Calibri" w:hAnsi="Times New Roman" w:cs="Times New Roman"/>
                <w:i/>
                <w:color w:val="000000"/>
                <w:sz w:val="20"/>
                <w:szCs w:val="24"/>
              </w:rPr>
              <w:t>ilia</w:t>
            </w:r>
            <w:proofErr w:type="spellEnd"/>
          </w:p>
        </w:tc>
        <w:tc>
          <w:tcPr>
            <w:tcW w:w="674" w:type="pct"/>
            <w:shd w:val="clear" w:color="auto" w:fill="auto"/>
            <w:noWrap/>
            <w:vAlign w:val="center"/>
          </w:tcPr>
          <w:p w14:paraId="51BBAAA7" w14:textId="099862BF" w:rsidR="009072CE" w:rsidRPr="00A07F29" w:rsidRDefault="004E1BBB" w:rsidP="009072CE">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 xml:space="preserve">BD </w:t>
            </w:r>
            <w:r w:rsidR="009072CE" w:rsidRPr="00A07F29">
              <w:rPr>
                <w:rFonts w:ascii="Times New Roman" w:eastAsia="Calibri" w:hAnsi="Times New Roman" w:cs="Times New Roman"/>
                <w:color w:val="000000"/>
                <w:sz w:val="20"/>
                <w:szCs w:val="20"/>
                <w:lang w:eastAsia="ar-SA"/>
              </w:rPr>
              <w:t>II, ĪAS</w:t>
            </w:r>
          </w:p>
        </w:tc>
        <w:tc>
          <w:tcPr>
            <w:tcW w:w="595" w:type="pct"/>
            <w:shd w:val="clear" w:color="auto" w:fill="auto"/>
            <w:noWrap/>
            <w:vAlign w:val="center"/>
          </w:tcPr>
          <w:p w14:paraId="278EB8FD" w14:textId="4980E0EE" w:rsidR="009072CE" w:rsidRPr="00A07F29" w:rsidRDefault="00FA6EEA" w:rsidP="009072CE">
            <w:pPr>
              <w:suppressAutoHyphens/>
              <w:spacing w:after="0" w:line="240" w:lineRule="auto"/>
              <w:rPr>
                <w:rFonts w:ascii="Times New Roman" w:eastAsia="Calibri" w:hAnsi="Times New Roman" w:cs="Times New Roman"/>
                <w:color w:val="000000"/>
                <w:sz w:val="20"/>
                <w:szCs w:val="20"/>
                <w:lang w:eastAsia="ar-SA"/>
              </w:rPr>
            </w:pPr>
            <w:r>
              <w:rPr>
                <w:rFonts w:ascii="Times New Roman" w:eastAsia="Calibri" w:hAnsi="Times New Roman" w:cs="Times New Roman"/>
                <w:color w:val="000000"/>
                <w:sz w:val="20"/>
                <w:szCs w:val="20"/>
                <w:lang w:eastAsia="ar-SA"/>
              </w:rPr>
              <w:t>L</w:t>
            </w:r>
            <w:r w:rsidR="009072CE" w:rsidRPr="00A07F29">
              <w:rPr>
                <w:rFonts w:ascii="Times New Roman" w:eastAsia="Calibri" w:hAnsi="Times New Roman" w:cs="Times New Roman"/>
                <w:color w:val="000000"/>
                <w:sz w:val="20"/>
                <w:szCs w:val="20"/>
                <w:lang w:eastAsia="ar-SA"/>
              </w:rPr>
              <w:t>SG 3</w:t>
            </w:r>
          </w:p>
        </w:tc>
        <w:tc>
          <w:tcPr>
            <w:tcW w:w="1045" w:type="pct"/>
            <w:shd w:val="clear" w:color="auto" w:fill="auto"/>
          </w:tcPr>
          <w:p w14:paraId="295B801A" w14:textId="12B394E7" w:rsidR="009072CE" w:rsidRPr="00A07F29" w:rsidRDefault="009072CE"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Latvijā mēreni izplatīta suga. Lai gan sugai piemēroti biotopi sastopami visā Latvijā, sugai ir izteikti nevienmērīga izplatība - suga pamatā sastopama Vidzemē, kā arī Daugavpils apkārtnē (Kalniņš</w:t>
            </w:r>
            <w:r w:rsidR="00FA6EEA">
              <w:rPr>
                <w:rFonts w:ascii="Times New Roman" w:eastAsia="Calibri" w:hAnsi="Times New Roman" w:cs="Times New Roman"/>
                <w:color w:val="000000"/>
                <w:sz w:val="20"/>
                <w:szCs w:val="20"/>
                <w:lang w:eastAsia="ar-SA"/>
              </w:rPr>
              <w:t xml:space="preserve"> M.</w:t>
            </w:r>
            <w:r w:rsidRPr="00A07F29">
              <w:rPr>
                <w:rFonts w:ascii="Times New Roman" w:eastAsia="Calibri" w:hAnsi="Times New Roman" w:cs="Times New Roman"/>
                <w:color w:val="000000"/>
                <w:sz w:val="20"/>
                <w:szCs w:val="20"/>
                <w:lang w:eastAsia="ar-SA"/>
              </w:rPr>
              <w:t>, 2017).</w:t>
            </w:r>
          </w:p>
        </w:tc>
        <w:tc>
          <w:tcPr>
            <w:tcW w:w="971" w:type="pct"/>
            <w:shd w:val="clear" w:color="auto" w:fill="auto"/>
          </w:tcPr>
          <w:p w14:paraId="364E3625" w14:textId="77777777" w:rsidR="009072CE" w:rsidRPr="00A07F29" w:rsidRDefault="009072CE"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Visā AAA teritorijā sastopama piemērotos biotopos gar Daugavas upi.</w:t>
            </w:r>
          </w:p>
        </w:tc>
      </w:tr>
      <w:tr w:rsidR="009072CE" w:rsidRPr="00A07F29" w14:paraId="09F2475E" w14:textId="77777777" w:rsidTr="009056A3">
        <w:trPr>
          <w:cantSplit/>
          <w:trHeight w:val="284"/>
        </w:trPr>
        <w:tc>
          <w:tcPr>
            <w:tcW w:w="5000" w:type="pct"/>
            <w:gridSpan w:val="6"/>
            <w:shd w:val="clear" w:color="auto" w:fill="EAF1DD"/>
            <w:noWrap/>
            <w:vAlign w:val="center"/>
          </w:tcPr>
          <w:p w14:paraId="54E5AB87" w14:textId="77777777" w:rsidR="009072CE" w:rsidRPr="00A07F29" w:rsidRDefault="009072CE" w:rsidP="009072CE">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b/>
                <w:color w:val="000000"/>
                <w:sz w:val="20"/>
                <w:szCs w:val="20"/>
                <w:lang w:eastAsia="ar-SA"/>
              </w:rPr>
              <w:t>V</w:t>
            </w:r>
            <w:r w:rsidRPr="00A07F29">
              <w:rPr>
                <w:rFonts w:ascii="Times New Roman" w:eastAsia="Calibri" w:hAnsi="Times New Roman" w:cs="Times New Roman"/>
                <w:b/>
                <w:color w:val="000000"/>
                <w:spacing w:val="-1"/>
                <w:sz w:val="20"/>
                <w:szCs w:val="20"/>
                <w:lang w:eastAsia="ar-SA"/>
              </w:rPr>
              <w:t>a</w:t>
            </w:r>
            <w:r w:rsidRPr="00A07F29">
              <w:rPr>
                <w:rFonts w:ascii="Times New Roman" w:eastAsia="Calibri" w:hAnsi="Times New Roman" w:cs="Times New Roman"/>
                <w:b/>
                <w:color w:val="000000"/>
                <w:spacing w:val="1"/>
                <w:sz w:val="20"/>
                <w:szCs w:val="20"/>
                <w:lang w:eastAsia="ar-SA"/>
              </w:rPr>
              <w:t>b</w:t>
            </w:r>
            <w:r w:rsidRPr="00A07F29">
              <w:rPr>
                <w:rFonts w:ascii="Times New Roman" w:eastAsia="Calibri" w:hAnsi="Times New Roman" w:cs="Times New Roman"/>
                <w:b/>
                <w:color w:val="000000"/>
                <w:spacing w:val="-1"/>
                <w:sz w:val="20"/>
                <w:szCs w:val="20"/>
                <w:lang w:eastAsia="ar-SA"/>
              </w:rPr>
              <w:t>o</w:t>
            </w:r>
            <w:r w:rsidRPr="00A07F29">
              <w:rPr>
                <w:rFonts w:ascii="Times New Roman" w:eastAsia="Calibri" w:hAnsi="Times New Roman" w:cs="Times New Roman"/>
                <w:b/>
                <w:color w:val="000000"/>
                <w:sz w:val="20"/>
                <w:szCs w:val="20"/>
                <w:lang w:eastAsia="ar-SA"/>
              </w:rPr>
              <w:t>l</w:t>
            </w:r>
            <w:r w:rsidRPr="00A07F29">
              <w:rPr>
                <w:rFonts w:ascii="Times New Roman" w:eastAsia="Calibri" w:hAnsi="Times New Roman" w:cs="Times New Roman"/>
                <w:b/>
                <w:color w:val="000000"/>
                <w:spacing w:val="-1"/>
                <w:sz w:val="20"/>
                <w:szCs w:val="20"/>
                <w:lang w:eastAsia="ar-SA"/>
              </w:rPr>
              <w:t>e</w:t>
            </w:r>
            <w:r w:rsidRPr="00A07F29">
              <w:rPr>
                <w:rFonts w:ascii="Times New Roman" w:eastAsia="Calibri" w:hAnsi="Times New Roman" w:cs="Times New Roman"/>
                <w:b/>
                <w:color w:val="000000"/>
                <w:sz w:val="20"/>
                <w:szCs w:val="20"/>
                <w:lang w:eastAsia="ar-SA"/>
              </w:rPr>
              <w:t>s</w:t>
            </w:r>
            <w:r w:rsidRPr="00A07F29">
              <w:rPr>
                <w:rFonts w:ascii="Times New Roman" w:eastAsia="Calibri" w:hAnsi="Times New Roman" w:cs="Times New Roman"/>
                <w:b/>
                <w:color w:val="000000"/>
                <w:spacing w:val="-5"/>
                <w:sz w:val="20"/>
                <w:szCs w:val="20"/>
                <w:lang w:eastAsia="ar-SA"/>
              </w:rPr>
              <w:t xml:space="preserve"> </w:t>
            </w:r>
            <w:proofErr w:type="spellStart"/>
            <w:r w:rsidRPr="00A07F29">
              <w:rPr>
                <w:rFonts w:ascii="Times New Roman" w:eastAsia="Calibri" w:hAnsi="Times New Roman" w:cs="Times New Roman"/>
                <w:b/>
                <w:color w:val="000000"/>
                <w:spacing w:val="2"/>
                <w:sz w:val="20"/>
                <w:szCs w:val="20"/>
                <w:lang w:eastAsia="ar-SA"/>
              </w:rPr>
              <w:t>C</w:t>
            </w:r>
            <w:r w:rsidRPr="00A07F29">
              <w:rPr>
                <w:rFonts w:ascii="Times New Roman" w:eastAsia="Calibri" w:hAnsi="Times New Roman" w:cs="Times New Roman"/>
                <w:b/>
                <w:color w:val="000000"/>
                <w:spacing w:val="-1"/>
                <w:sz w:val="20"/>
                <w:szCs w:val="20"/>
                <w:lang w:eastAsia="ar-SA"/>
              </w:rPr>
              <w:t>o</w:t>
            </w:r>
            <w:r w:rsidRPr="00A07F29">
              <w:rPr>
                <w:rFonts w:ascii="Times New Roman" w:eastAsia="Calibri" w:hAnsi="Times New Roman" w:cs="Times New Roman"/>
                <w:b/>
                <w:color w:val="000000"/>
                <w:sz w:val="20"/>
                <w:szCs w:val="20"/>
                <w:lang w:eastAsia="ar-SA"/>
              </w:rPr>
              <w:t>l</w:t>
            </w:r>
            <w:r w:rsidRPr="00A07F29">
              <w:rPr>
                <w:rFonts w:ascii="Times New Roman" w:eastAsia="Calibri" w:hAnsi="Times New Roman" w:cs="Times New Roman"/>
                <w:b/>
                <w:color w:val="000000"/>
                <w:spacing w:val="-1"/>
                <w:sz w:val="20"/>
                <w:szCs w:val="20"/>
                <w:lang w:eastAsia="ar-SA"/>
              </w:rPr>
              <w:t>e</w:t>
            </w:r>
            <w:r w:rsidRPr="00A07F29">
              <w:rPr>
                <w:rFonts w:ascii="Times New Roman" w:eastAsia="Calibri" w:hAnsi="Times New Roman" w:cs="Times New Roman"/>
                <w:b/>
                <w:color w:val="000000"/>
                <w:spacing w:val="1"/>
                <w:sz w:val="20"/>
                <w:szCs w:val="20"/>
                <w:lang w:eastAsia="ar-SA"/>
              </w:rPr>
              <w:t>o</w:t>
            </w:r>
            <w:r w:rsidRPr="00A07F29">
              <w:rPr>
                <w:rFonts w:ascii="Times New Roman" w:eastAsia="Calibri" w:hAnsi="Times New Roman" w:cs="Times New Roman"/>
                <w:b/>
                <w:color w:val="000000"/>
                <w:spacing w:val="-2"/>
                <w:sz w:val="20"/>
                <w:szCs w:val="20"/>
                <w:lang w:eastAsia="ar-SA"/>
              </w:rPr>
              <w:t>p</w:t>
            </w:r>
            <w:r w:rsidRPr="00A07F29">
              <w:rPr>
                <w:rFonts w:ascii="Times New Roman" w:eastAsia="Calibri" w:hAnsi="Times New Roman" w:cs="Times New Roman"/>
                <w:b/>
                <w:color w:val="000000"/>
                <w:sz w:val="20"/>
                <w:szCs w:val="20"/>
                <w:lang w:eastAsia="ar-SA"/>
              </w:rPr>
              <w:t>t</w:t>
            </w:r>
            <w:r w:rsidRPr="00A07F29">
              <w:rPr>
                <w:rFonts w:ascii="Times New Roman" w:eastAsia="Calibri" w:hAnsi="Times New Roman" w:cs="Times New Roman"/>
                <w:b/>
                <w:color w:val="000000"/>
                <w:spacing w:val="2"/>
                <w:sz w:val="20"/>
                <w:szCs w:val="20"/>
                <w:lang w:eastAsia="ar-SA"/>
              </w:rPr>
              <w:t>e</w:t>
            </w:r>
            <w:r w:rsidRPr="00A07F29">
              <w:rPr>
                <w:rFonts w:ascii="Times New Roman" w:eastAsia="Calibri" w:hAnsi="Times New Roman" w:cs="Times New Roman"/>
                <w:b/>
                <w:color w:val="000000"/>
                <w:spacing w:val="-1"/>
                <w:sz w:val="20"/>
                <w:szCs w:val="20"/>
                <w:lang w:eastAsia="ar-SA"/>
              </w:rPr>
              <w:t>r</w:t>
            </w:r>
            <w:r w:rsidRPr="00A07F29">
              <w:rPr>
                <w:rFonts w:ascii="Times New Roman" w:eastAsia="Calibri" w:hAnsi="Times New Roman" w:cs="Times New Roman"/>
                <w:b/>
                <w:color w:val="000000"/>
                <w:sz w:val="20"/>
                <w:szCs w:val="20"/>
                <w:lang w:eastAsia="ar-SA"/>
              </w:rPr>
              <w:t>a</w:t>
            </w:r>
            <w:proofErr w:type="spellEnd"/>
          </w:p>
        </w:tc>
      </w:tr>
      <w:tr w:rsidR="00014519" w:rsidRPr="00A07F29" w14:paraId="68A97441" w14:textId="77777777" w:rsidTr="00014519">
        <w:trPr>
          <w:cantSplit/>
          <w:trHeight w:val="284"/>
        </w:trPr>
        <w:tc>
          <w:tcPr>
            <w:tcW w:w="894" w:type="pct"/>
            <w:shd w:val="clear" w:color="auto" w:fill="auto"/>
            <w:noWrap/>
            <w:vAlign w:val="center"/>
          </w:tcPr>
          <w:p w14:paraId="0FEFE906" w14:textId="1F801032" w:rsidR="00014519" w:rsidRPr="00A07F29" w:rsidRDefault="00014519" w:rsidP="004E3F0B">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hAnsi="Times New Roman" w:cs="Times New Roman"/>
                <w:spacing w:val="1"/>
                <w:sz w:val="20"/>
                <w:szCs w:val="20"/>
              </w:rPr>
              <w:t>D</w:t>
            </w:r>
            <w:r w:rsidRPr="00A07F29">
              <w:rPr>
                <w:rFonts w:ascii="Times New Roman" w:hAnsi="Times New Roman" w:cs="Times New Roman"/>
                <w:sz w:val="20"/>
                <w:szCs w:val="20"/>
              </w:rPr>
              <w:t>i</w:t>
            </w:r>
            <w:r w:rsidRPr="00A07F29">
              <w:rPr>
                <w:rFonts w:ascii="Times New Roman" w:hAnsi="Times New Roman" w:cs="Times New Roman"/>
                <w:spacing w:val="-1"/>
                <w:sz w:val="20"/>
                <w:szCs w:val="20"/>
              </w:rPr>
              <w:t>v</w:t>
            </w:r>
            <w:r w:rsidRPr="00A07F29">
              <w:rPr>
                <w:rFonts w:ascii="Times New Roman" w:hAnsi="Times New Roman" w:cs="Times New Roman"/>
                <w:spacing w:val="1"/>
                <w:sz w:val="20"/>
                <w:szCs w:val="20"/>
              </w:rPr>
              <w:t>p</w:t>
            </w:r>
            <w:r w:rsidRPr="00A07F29">
              <w:rPr>
                <w:rFonts w:ascii="Times New Roman" w:hAnsi="Times New Roman" w:cs="Times New Roman"/>
                <w:spacing w:val="-1"/>
                <w:sz w:val="20"/>
                <w:szCs w:val="20"/>
              </w:rPr>
              <w:t>u</w:t>
            </w:r>
            <w:r w:rsidRPr="00A07F29">
              <w:rPr>
                <w:rFonts w:ascii="Times New Roman" w:hAnsi="Times New Roman" w:cs="Times New Roman"/>
                <w:spacing w:val="1"/>
                <w:sz w:val="20"/>
                <w:szCs w:val="20"/>
              </w:rPr>
              <w:t>n</w:t>
            </w:r>
            <w:r w:rsidRPr="00A07F29">
              <w:rPr>
                <w:rFonts w:ascii="Times New Roman" w:hAnsi="Times New Roman" w:cs="Times New Roman"/>
                <w:spacing w:val="-1"/>
                <w:sz w:val="20"/>
                <w:szCs w:val="20"/>
              </w:rPr>
              <w:t>k</w:t>
            </w:r>
            <w:r w:rsidRPr="00A07F29">
              <w:rPr>
                <w:rFonts w:ascii="Times New Roman" w:hAnsi="Times New Roman" w:cs="Times New Roman"/>
                <w:sz w:val="20"/>
                <w:szCs w:val="20"/>
              </w:rPr>
              <w:t>tu</w:t>
            </w:r>
            <w:r w:rsidRPr="00A07F29">
              <w:rPr>
                <w:rFonts w:ascii="Times New Roman" w:hAnsi="Times New Roman" w:cs="Times New Roman"/>
                <w:spacing w:val="-4"/>
                <w:sz w:val="20"/>
                <w:szCs w:val="20"/>
              </w:rPr>
              <w:t xml:space="preserve"> </w:t>
            </w:r>
            <w:proofErr w:type="spellStart"/>
            <w:r w:rsidRPr="00A07F29">
              <w:rPr>
                <w:rFonts w:ascii="Times New Roman" w:hAnsi="Times New Roman" w:cs="Times New Roman"/>
                <w:w w:val="99"/>
                <w:sz w:val="20"/>
                <w:szCs w:val="20"/>
              </w:rPr>
              <w:t>š</w:t>
            </w:r>
            <w:r w:rsidRPr="00A07F29">
              <w:rPr>
                <w:rFonts w:ascii="Times New Roman" w:hAnsi="Times New Roman" w:cs="Times New Roman"/>
                <w:spacing w:val="-1"/>
                <w:sz w:val="20"/>
                <w:szCs w:val="20"/>
              </w:rPr>
              <w:t>a</w:t>
            </w:r>
            <w:r w:rsidRPr="00A07F29">
              <w:rPr>
                <w:rFonts w:ascii="Times New Roman" w:hAnsi="Times New Roman" w:cs="Times New Roman"/>
                <w:spacing w:val="1"/>
                <w:w w:val="99"/>
                <w:sz w:val="20"/>
                <w:szCs w:val="20"/>
              </w:rPr>
              <w:t>u</w:t>
            </w:r>
            <w:r w:rsidRPr="00A07F29">
              <w:rPr>
                <w:rFonts w:ascii="Times New Roman" w:hAnsi="Times New Roman" w:cs="Times New Roman"/>
                <w:w w:val="99"/>
                <w:sz w:val="20"/>
                <w:szCs w:val="20"/>
              </w:rPr>
              <w:t>rs</w:t>
            </w:r>
            <w:r w:rsidRPr="00A07F29">
              <w:rPr>
                <w:rFonts w:ascii="Times New Roman" w:hAnsi="Times New Roman" w:cs="Times New Roman"/>
                <w:spacing w:val="1"/>
                <w:w w:val="99"/>
                <w:sz w:val="20"/>
                <w:szCs w:val="20"/>
              </w:rPr>
              <w:t>p</w:t>
            </w:r>
            <w:r w:rsidRPr="00A07F29">
              <w:rPr>
                <w:rFonts w:ascii="Times New Roman" w:hAnsi="Times New Roman" w:cs="Times New Roman"/>
                <w:spacing w:val="-1"/>
                <w:sz w:val="20"/>
                <w:szCs w:val="20"/>
              </w:rPr>
              <w:t>ā</w:t>
            </w:r>
            <w:r w:rsidRPr="00A07F29">
              <w:rPr>
                <w:rFonts w:ascii="Times New Roman" w:hAnsi="Times New Roman" w:cs="Times New Roman"/>
                <w:spacing w:val="-2"/>
                <w:w w:val="99"/>
                <w:sz w:val="20"/>
                <w:szCs w:val="20"/>
              </w:rPr>
              <w:t>r</w:t>
            </w:r>
            <w:r w:rsidRPr="00A07F29">
              <w:rPr>
                <w:rFonts w:ascii="Times New Roman" w:hAnsi="Times New Roman" w:cs="Times New Roman"/>
                <w:spacing w:val="1"/>
                <w:w w:val="99"/>
                <w:sz w:val="20"/>
                <w:szCs w:val="20"/>
              </w:rPr>
              <w:t>n</w:t>
            </w:r>
            <w:r w:rsidRPr="00A07F29">
              <w:rPr>
                <w:rFonts w:ascii="Times New Roman" w:hAnsi="Times New Roman" w:cs="Times New Roman"/>
                <w:spacing w:val="-1"/>
                <w:w w:val="99"/>
                <w:sz w:val="20"/>
                <w:szCs w:val="20"/>
              </w:rPr>
              <w:t>k</w:t>
            </w:r>
            <w:r w:rsidRPr="00A07F29">
              <w:rPr>
                <w:rFonts w:ascii="Times New Roman" w:hAnsi="Times New Roman" w:cs="Times New Roman"/>
                <w:w w:val="99"/>
                <w:sz w:val="20"/>
                <w:szCs w:val="20"/>
              </w:rPr>
              <w:t>r</w:t>
            </w:r>
            <w:r w:rsidRPr="00A07F29">
              <w:rPr>
                <w:rFonts w:ascii="Times New Roman" w:hAnsi="Times New Roman" w:cs="Times New Roman"/>
                <w:spacing w:val="-1"/>
                <w:sz w:val="20"/>
                <w:szCs w:val="20"/>
              </w:rPr>
              <w:t>ā</w:t>
            </w:r>
            <w:r w:rsidRPr="00A07F29">
              <w:rPr>
                <w:rFonts w:ascii="Times New Roman" w:hAnsi="Times New Roman" w:cs="Times New Roman"/>
                <w:w w:val="99"/>
                <w:sz w:val="20"/>
                <w:szCs w:val="20"/>
              </w:rPr>
              <w:t>š</w:t>
            </w:r>
            <w:r w:rsidRPr="00A07F29">
              <w:rPr>
                <w:rFonts w:ascii="Times New Roman" w:hAnsi="Times New Roman" w:cs="Times New Roman"/>
                <w:sz w:val="20"/>
                <w:szCs w:val="20"/>
              </w:rPr>
              <w:t>ņ</w:t>
            </w:r>
            <w:proofErr w:type="spellEnd"/>
            <w:r w:rsidRPr="00A07F29">
              <w:rPr>
                <w:rFonts w:ascii="Times New Roman" w:hAnsi="Times New Roman" w:cs="Times New Roman"/>
                <w:sz w:val="20"/>
                <w:szCs w:val="20"/>
              </w:rPr>
              <w:t>-</w:t>
            </w:r>
            <w:r w:rsidRPr="00A07F29">
              <w:rPr>
                <w:rFonts w:ascii="Times New Roman" w:hAnsi="Times New Roman" w:cs="Times New Roman"/>
                <w:spacing w:val="-1"/>
                <w:w w:val="99"/>
                <w:sz w:val="20"/>
                <w:szCs w:val="20"/>
              </w:rPr>
              <w:t>v</w:t>
            </w:r>
            <w:r w:rsidRPr="00A07F29">
              <w:rPr>
                <w:rFonts w:ascii="Times New Roman" w:hAnsi="Times New Roman" w:cs="Times New Roman"/>
                <w:spacing w:val="-1"/>
                <w:sz w:val="20"/>
                <w:szCs w:val="20"/>
              </w:rPr>
              <w:t>a</w:t>
            </w:r>
            <w:r w:rsidRPr="00A07F29">
              <w:rPr>
                <w:rFonts w:ascii="Times New Roman" w:hAnsi="Times New Roman" w:cs="Times New Roman"/>
                <w:spacing w:val="1"/>
                <w:w w:val="99"/>
                <w:sz w:val="20"/>
                <w:szCs w:val="20"/>
              </w:rPr>
              <w:t>bo</w:t>
            </w:r>
            <w:r w:rsidRPr="00A07F29">
              <w:rPr>
                <w:rFonts w:ascii="Times New Roman" w:hAnsi="Times New Roman" w:cs="Times New Roman"/>
                <w:sz w:val="20"/>
                <w:szCs w:val="20"/>
              </w:rPr>
              <w:t>le</w:t>
            </w:r>
          </w:p>
        </w:tc>
        <w:tc>
          <w:tcPr>
            <w:tcW w:w="821" w:type="pct"/>
            <w:shd w:val="clear" w:color="auto" w:fill="auto"/>
            <w:noWrap/>
            <w:vAlign w:val="center"/>
          </w:tcPr>
          <w:p w14:paraId="01CB3B23" w14:textId="77777777" w:rsidR="00014519" w:rsidRPr="00A07F29" w:rsidRDefault="00014519" w:rsidP="004E3F0B">
            <w:pPr>
              <w:autoSpaceDE w:val="0"/>
              <w:autoSpaceDN w:val="0"/>
              <w:adjustRightInd w:val="0"/>
              <w:spacing w:after="0" w:line="240" w:lineRule="auto"/>
              <w:rPr>
                <w:rFonts w:ascii="Times New Roman" w:eastAsia="Calibri" w:hAnsi="Times New Roman" w:cs="Times New Roman"/>
                <w:i/>
                <w:iCs/>
                <w:color w:val="000000"/>
                <w:sz w:val="20"/>
                <w:szCs w:val="20"/>
              </w:rPr>
            </w:pPr>
            <w:proofErr w:type="spellStart"/>
            <w:r w:rsidRPr="00A07F29">
              <w:rPr>
                <w:rFonts w:ascii="Times New Roman" w:eastAsia="Calibri" w:hAnsi="Times New Roman" w:cs="Times New Roman"/>
                <w:i/>
                <w:iCs/>
                <w:color w:val="000000"/>
                <w:sz w:val="20"/>
                <w:szCs w:val="20"/>
              </w:rPr>
              <w:t>Agrilus</w:t>
            </w:r>
            <w:proofErr w:type="spellEnd"/>
            <w:r w:rsidRPr="00A07F29">
              <w:rPr>
                <w:rFonts w:ascii="Times New Roman" w:eastAsia="Calibri" w:hAnsi="Times New Roman" w:cs="Times New Roman"/>
                <w:i/>
                <w:iCs/>
                <w:color w:val="000000"/>
                <w:sz w:val="20"/>
                <w:szCs w:val="20"/>
              </w:rPr>
              <w:t xml:space="preserve"> </w:t>
            </w:r>
            <w:proofErr w:type="spellStart"/>
            <w:r w:rsidRPr="00A07F29">
              <w:rPr>
                <w:rFonts w:ascii="Times New Roman" w:eastAsia="Calibri" w:hAnsi="Times New Roman" w:cs="Times New Roman"/>
                <w:i/>
                <w:iCs/>
                <w:color w:val="000000"/>
                <w:sz w:val="20"/>
                <w:szCs w:val="20"/>
              </w:rPr>
              <w:t>biguttatus</w:t>
            </w:r>
            <w:proofErr w:type="spellEnd"/>
          </w:p>
        </w:tc>
        <w:tc>
          <w:tcPr>
            <w:tcW w:w="674" w:type="pct"/>
            <w:shd w:val="clear" w:color="auto" w:fill="auto"/>
            <w:noWrap/>
            <w:vAlign w:val="center"/>
          </w:tcPr>
          <w:p w14:paraId="6CA86AC7" w14:textId="77777777" w:rsidR="00014519" w:rsidRPr="00A07F29" w:rsidRDefault="00014519" w:rsidP="004E3F0B">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w:t>
            </w:r>
          </w:p>
        </w:tc>
        <w:tc>
          <w:tcPr>
            <w:tcW w:w="595" w:type="pct"/>
            <w:shd w:val="clear" w:color="auto" w:fill="auto"/>
            <w:noWrap/>
            <w:vAlign w:val="center"/>
          </w:tcPr>
          <w:p w14:paraId="141555ED" w14:textId="77777777" w:rsidR="00014519" w:rsidRPr="00A07F29" w:rsidRDefault="00014519" w:rsidP="004E3F0B">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MAB (BSS)</w:t>
            </w:r>
          </w:p>
        </w:tc>
        <w:tc>
          <w:tcPr>
            <w:tcW w:w="1045" w:type="pct"/>
            <w:shd w:val="clear" w:color="auto" w:fill="auto"/>
          </w:tcPr>
          <w:p w14:paraId="118E126F" w14:textId="77777777" w:rsidR="00014519" w:rsidRPr="00A07F29" w:rsidRDefault="00014519" w:rsidP="004E3F0B">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Reti sastopama mežaudžu atslēgas biotopu speciālistu suga.</w:t>
            </w:r>
          </w:p>
        </w:tc>
        <w:tc>
          <w:tcPr>
            <w:tcW w:w="971" w:type="pct"/>
            <w:shd w:val="clear" w:color="auto" w:fill="auto"/>
          </w:tcPr>
          <w:p w14:paraId="1265DBAF" w14:textId="77777777" w:rsidR="00014519" w:rsidRPr="00A07F29" w:rsidRDefault="00014519" w:rsidP="004E3F0B">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DA plāna izstrādes laikā suga netika konstatēta.</w:t>
            </w:r>
          </w:p>
        </w:tc>
      </w:tr>
      <w:tr w:rsidR="009072CE" w:rsidRPr="00A07F29" w14:paraId="360336D8" w14:textId="77777777" w:rsidTr="00014519">
        <w:trPr>
          <w:cantSplit/>
          <w:trHeight w:val="284"/>
        </w:trPr>
        <w:tc>
          <w:tcPr>
            <w:tcW w:w="894" w:type="pct"/>
            <w:shd w:val="clear" w:color="auto" w:fill="auto"/>
            <w:noWrap/>
            <w:vAlign w:val="center"/>
          </w:tcPr>
          <w:p w14:paraId="2EA89526" w14:textId="77777777" w:rsidR="009072CE" w:rsidRPr="00A07F29" w:rsidRDefault="009072CE" w:rsidP="009072CE">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Iesarkanais sprakšķis</w:t>
            </w:r>
          </w:p>
        </w:tc>
        <w:tc>
          <w:tcPr>
            <w:tcW w:w="821" w:type="pct"/>
            <w:shd w:val="clear" w:color="auto" w:fill="auto"/>
            <w:noWrap/>
            <w:vAlign w:val="center"/>
          </w:tcPr>
          <w:p w14:paraId="146EAEE5" w14:textId="77777777" w:rsidR="009072CE" w:rsidRPr="00A07F29" w:rsidRDefault="009072CE" w:rsidP="009072CE">
            <w:pPr>
              <w:autoSpaceDE w:val="0"/>
              <w:autoSpaceDN w:val="0"/>
              <w:adjustRightInd w:val="0"/>
              <w:spacing w:after="0" w:line="240" w:lineRule="auto"/>
              <w:rPr>
                <w:rFonts w:ascii="Times New Roman" w:eastAsia="Calibri" w:hAnsi="Times New Roman" w:cs="Times New Roman"/>
                <w:color w:val="000000"/>
                <w:sz w:val="20"/>
                <w:szCs w:val="20"/>
              </w:rPr>
            </w:pPr>
            <w:proofErr w:type="spellStart"/>
            <w:r w:rsidRPr="00A07F29">
              <w:rPr>
                <w:rFonts w:ascii="Times New Roman" w:eastAsia="Calibri" w:hAnsi="Times New Roman" w:cs="Times New Roman"/>
                <w:i/>
                <w:iCs/>
                <w:color w:val="000000"/>
                <w:sz w:val="20"/>
                <w:szCs w:val="20"/>
              </w:rPr>
              <w:t>Ampedus</w:t>
            </w:r>
            <w:proofErr w:type="spellEnd"/>
            <w:r w:rsidRPr="00A07F29">
              <w:rPr>
                <w:rFonts w:ascii="Times New Roman" w:eastAsia="Calibri" w:hAnsi="Times New Roman" w:cs="Times New Roman"/>
                <w:i/>
                <w:iCs/>
                <w:color w:val="000000"/>
                <w:sz w:val="20"/>
                <w:szCs w:val="20"/>
              </w:rPr>
              <w:t xml:space="preserve"> </w:t>
            </w:r>
            <w:proofErr w:type="spellStart"/>
            <w:r w:rsidRPr="00A07F29">
              <w:rPr>
                <w:rFonts w:ascii="Times New Roman" w:eastAsia="Calibri" w:hAnsi="Times New Roman" w:cs="Times New Roman"/>
                <w:i/>
                <w:iCs/>
                <w:color w:val="000000"/>
                <w:sz w:val="20"/>
                <w:szCs w:val="20"/>
              </w:rPr>
              <w:t>erythrogonus</w:t>
            </w:r>
            <w:proofErr w:type="spellEnd"/>
            <w:r w:rsidRPr="00A07F29">
              <w:rPr>
                <w:rFonts w:ascii="Times New Roman" w:eastAsia="Calibri" w:hAnsi="Times New Roman" w:cs="Times New Roman"/>
                <w:i/>
                <w:iCs/>
                <w:color w:val="000000"/>
                <w:sz w:val="20"/>
                <w:szCs w:val="20"/>
              </w:rPr>
              <w:t xml:space="preserve"> </w:t>
            </w:r>
          </w:p>
        </w:tc>
        <w:tc>
          <w:tcPr>
            <w:tcW w:w="674" w:type="pct"/>
            <w:shd w:val="clear" w:color="auto" w:fill="auto"/>
            <w:noWrap/>
            <w:vAlign w:val="center"/>
          </w:tcPr>
          <w:p w14:paraId="753843BB" w14:textId="77777777" w:rsidR="009072CE" w:rsidRPr="00A07F29" w:rsidRDefault="009072CE" w:rsidP="009072CE">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w:t>
            </w:r>
          </w:p>
        </w:tc>
        <w:tc>
          <w:tcPr>
            <w:tcW w:w="595" w:type="pct"/>
            <w:shd w:val="clear" w:color="auto" w:fill="auto"/>
            <w:noWrap/>
            <w:vAlign w:val="center"/>
          </w:tcPr>
          <w:p w14:paraId="0A8B5426" w14:textId="77777777" w:rsidR="009072CE" w:rsidRPr="00A07F29" w:rsidRDefault="009072CE" w:rsidP="009072CE">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MAB (BSS)</w:t>
            </w:r>
          </w:p>
        </w:tc>
        <w:tc>
          <w:tcPr>
            <w:tcW w:w="1045" w:type="pct"/>
            <w:shd w:val="clear" w:color="auto" w:fill="auto"/>
          </w:tcPr>
          <w:p w14:paraId="1E27E8FC" w14:textId="77777777" w:rsidR="009072CE" w:rsidRPr="00A07F29" w:rsidRDefault="009072CE"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Reti sastopama mežaudžu atslēgas biotopu speciālistu suga.</w:t>
            </w:r>
          </w:p>
        </w:tc>
        <w:tc>
          <w:tcPr>
            <w:tcW w:w="971" w:type="pct"/>
            <w:shd w:val="clear" w:color="auto" w:fill="auto"/>
          </w:tcPr>
          <w:p w14:paraId="7C21C158" w14:textId="4CED6FD1" w:rsidR="009072CE" w:rsidRPr="00A07F29" w:rsidRDefault="00BF0E06"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DA plāna</w:t>
            </w:r>
            <w:r w:rsidR="009072CE" w:rsidRPr="00A07F29">
              <w:rPr>
                <w:rFonts w:ascii="Times New Roman" w:eastAsia="Calibri" w:hAnsi="Times New Roman" w:cs="Times New Roman"/>
                <w:color w:val="000000"/>
                <w:sz w:val="20"/>
                <w:szCs w:val="20"/>
                <w:lang w:eastAsia="ar-SA"/>
              </w:rPr>
              <w:t xml:space="preserve"> izstrādes laikā suga netika konstatēta.</w:t>
            </w:r>
          </w:p>
        </w:tc>
      </w:tr>
      <w:tr w:rsidR="009072CE" w:rsidRPr="00A07F29" w14:paraId="09DB8B17" w14:textId="77777777" w:rsidTr="00014519">
        <w:trPr>
          <w:cantSplit/>
          <w:trHeight w:val="284"/>
        </w:trPr>
        <w:tc>
          <w:tcPr>
            <w:tcW w:w="894" w:type="pct"/>
            <w:shd w:val="clear" w:color="auto" w:fill="auto"/>
            <w:noWrap/>
            <w:vAlign w:val="center"/>
          </w:tcPr>
          <w:p w14:paraId="345BC945" w14:textId="77777777" w:rsidR="009072CE" w:rsidRPr="00A07F29" w:rsidRDefault="009072CE" w:rsidP="009072CE">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 xml:space="preserve">Zaļais </w:t>
            </w:r>
            <w:proofErr w:type="spellStart"/>
            <w:r w:rsidRPr="00A07F29">
              <w:rPr>
                <w:rFonts w:ascii="Times New Roman" w:eastAsia="Calibri" w:hAnsi="Times New Roman" w:cs="Times New Roman"/>
                <w:color w:val="000000"/>
                <w:sz w:val="20"/>
                <w:szCs w:val="20"/>
                <w:lang w:eastAsia="ar-SA"/>
              </w:rPr>
              <w:t>vītolgrauzis</w:t>
            </w:r>
            <w:proofErr w:type="spellEnd"/>
          </w:p>
        </w:tc>
        <w:tc>
          <w:tcPr>
            <w:tcW w:w="821" w:type="pct"/>
            <w:shd w:val="clear" w:color="auto" w:fill="auto"/>
            <w:noWrap/>
            <w:vAlign w:val="center"/>
          </w:tcPr>
          <w:p w14:paraId="40453CE0" w14:textId="77777777" w:rsidR="009072CE" w:rsidRPr="00A07F29" w:rsidRDefault="009072CE" w:rsidP="009072CE">
            <w:pPr>
              <w:suppressAutoHyphens/>
              <w:spacing w:after="0" w:line="240" w:lineRule="auto"/>
              <w:rPr>
                <w:rFonts w:ascii="Times New Roman" w:eastAsia="Calibri" w:hAnsi="Times New Roman" w:cs="Times New Roman"/>
                <w:i/>
                <w:iCs/>
                <w:color w:val="000000"/>
                <w:sz w:val="20"/>
                <w:szCs w:val="20"/>
                <w:lang w:eastAsia="ar-SA"/>
              </w:rPr>
            </w:pPr>
            <w:proofErr w:type="spellStart"/>
            <w:r w:rsidRPr="00A07F29">
              <w:rPr>
                <w:rFonts w:ascii="Times New Roman" w:eastAsia="Calibri" w:hAnsi="Times New Roman" w:cs="Times New Roman"/>
                <w:i/>
                <w:iCs/>
                <w:color w:val="000000"/>
                <w:sz w:val="20"/>
                <w:szCs w:val="20"/>
                <w:lang w:eastAsia="ar-SA"/>
              </w:rPr>
              <w:t>Aromia</w:t>
            </w:r>
            <w:proofErr w:type="spellEnd"/>
            <w:r w:rsidRPr="00A07F29">
              <w:rPr>
                <w:rFonts w:ascii="Times New Roman" w:eastAsia="Calibri" w:hAnsi="Times New Roman" w:cs="Times New Roman"/>
                <w:i/>
                <w:iCs/>
                <w:color w:val="000000"/>
                <w:sz w:val="20"/>
                <w:szCs w:val="20"/>
                <w:lang w:eastAsia="ar-SA"/>
              </w:rPr>
              <w:t xml:space="preserve"> </w:t>
            </w:r>
            <w:proofErr w:type="spellStart"/>
            <w:r w:rsidRPr="00A07F29">
              <w:rPr>
                <w:rFonts w:ascii="Times New Roman" w:eastAsia="Calibri" w:hAnsi="Times New Roman" w:cs="Times New Roman"/>
                <w:i/>
                <w:iCs/>
                <w:color w:val="000000"/>
                <w:sz w:val="20"/>
                <w:szCs w:val="20"/>
                <w:lang w:eastAsia="ar-SA"/>
              </w:rPr>
              <w:t>moshata</w:t>
            </w:r>
            <w:proofErr w:type="spellEnd"/>
          </w:p>
        </w:tc>
        <w:tc>
          <w:tcPr>
            <w:tcW w:w="674" w:type="pct"/>
            <w:shd w:val="clear" w:color="auto" w:fill="auto"/>
            <w:noWrap/>
            <w:vAlign w:val="center"/>
          </w:tcPr>
          <w:p w14:paraId="3B3D2AED" w14:textId="77777777" w:rsidR="009072CE" w:rsidRPr="00A07F29" w:rsidRDefault="009072CE" w:rsidP="009072CE">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w:t>
            </w:r>
          </w:p>
        </w:tc>
        <w:tc>
          <w:tcPr>
            <w:tcW w:w="595" w:type="pct"/>
            <w:shd w:val="clear" w:color="auto" w:fill="auto"/>
            <w:noWrap/>
            <w:vAlign w:val="center"/>
          </w:tcPr>
          <w:p w14:paraId="34A49FDD" w14:textId="4F9D7A9B" w:rsidR="009072CE" w:rsidRPr="00A07F29" w:rsidRDefault="00B90BF4" w:rsidP="009072CE">
            <w:pPr>
              <w:suppressAutoHyphens/>
              <w:spacing w:after="0" w:line="240" w:lineRule="auto"/>
              <w:rPr>
                <w:rFonts w:ascii="Times New Roman" w:eastAsia="Calibri" w:hAnsi="Times New Roman" w:cs="Times New Roman"/>
                <w:color w:val="000000"/>
                <w:sz w:val="20"/>
                <w:szCs w:val="20"/>
                <w:lang w:eastAsia="ar-SA"/>
              </w:rPr>
            </w:pPr>
            <w:r>
              <w:rPr>
                <w:rFonts w:ascii="Times New Roman" w:eastAsia="Calibri" w:hAnsi="Times New Roman" w:cs="Times New Roman"/>
                <w:color w:val="000000"/>
                <w:sz w:val="20"/>
                <w:szCs w:val="20"/>
                <w:lang w:eastAsia="ar-SA"/>
              </w:rPr>
              <w:t>L</w:t>
            </w:r>
            <w:r w:rsidR="009072CE" w:rsidRPr="00A07F29">
              <w:rPr>
                <w:rFonts w:ascii="Times New Roman" w:eastAsia="Calibri" w:hAnsi="Times New Roman" w:cs="Times New Roman"/>
                <w:color w:val="000000"/>
                <w:sz w:val="20"/>
                <w:szCs w:val="20"/>
                <w:lang w:eastAsia="ar-SA"/>
              </w:rPr>
              <w:t>SG 4</w:t>
            </w:r>
          </w:p>
        </w:tc>
        <w:tc>
          <w:tcPr>
            <w:tcW w:w="1045" w:type="pct"/>
          </w:tcPr>
          <w:p w14:paraId="2A95ABFE" w14:textId="0826B294" w:rsidR="009072CE" w:rsidRPr="00A07F29" w:rsidRDefault="009072CE"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Suga samērā bieži sastopama visā Latvijas teritorijā</w:t>
            </w:r>
            <w:r w:rsidR="00891CB5">
              <w:rPr>
                <w:rStyle w:val="FootnoteReference"/>
                <w:rFonts w:ascii="Times New Roman" w:eastAsia="Calibri" w:hAnsi="Times New Roman" w:cs="Times New Roman"/>
                <w:color w:val="000000"/>
                <w:sz w:val="20"/>
                <w:szCs w:val="20"/>
                <w:lang w:eastAsia="ar-SA"/>
              </w:rPr>
              <w:footnoteReference w:id="37"/>
            </w:r>
            <w:r w:rsidRPr="00A07F29">
              <w:rPr>
                <w:rFonts w:ascii="Times New Roman" w:eastAsia="Calibri" w:hAnsi="Times New Roman" w:cs="Times New Roman"/>
                <w:color w:val="000000"/>
                <w:sz w:val="20"/>
                <w:szCs w:val="20"/>
                <w:lang w:eastAsia="ar-SA"/>
              </w:rPr>
              <w:t xml:space="preserve"> </w:t>
            </w:r>
          </w:p>
        </w:tc>
        <w:tc>
          <w:tcPr>
            <w:tcW w:w="971" w:type="pct"/>
            <w:shd w:val="clear" w:color="auto" w:fill="auto"/>
          </w:tcPr>
          <w:p w14:paraId="4AF3E66C" w14:textId="77777777" w:rsidR="009072CE" w:rsidRPr="00A07F29" w:rsidRDefault="009072CE"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 xml:space="preserve">Suga samērā bieži sastopama uz kārkliem </w:t>
            </w:r>
            <w:proofErr w:type="spellStart"/>
            <w:r w:rsidRPr="00A07F29">
              <w:rPr>
                <w:rFonts w:ascii="Times New Roman" w:eastAsia="Calibri" w:hAnsi="Times New Roman" w:cs="Times New Roman"/>
                <w:i/>
                <w:color w:val="000000"/>
                <w:sz w:val="20"/>
                <w:szCs w:val="20"/>
                <w:lang w:eastAsia="ar-SA"/>
              </w:rPr>
              <w:t>Salix</w:t>
            </w:r>
            <w:proofErr w:type="spellEnd"/>
            <w:r w:rsidRPr="00A07F29">
              <w:rPr>
                <w:rFonts w:ascii="Times New Roman" w:eastAsia="Calibri" w:hAnsi="Times New Roman" w:cs="Times New Roman"/>
                <w:color w:val="000000"/>
                <w:sz w:val="20"/>
                <w:szCs w:val="20"/>
                <w:lang w:eastAsia="ar-SA"/>
              </w:rPr>
              <w:t xml:space="preserve"> </w:t>
            </w:r>
            <w:proofErr w:type="spellStart"/>
            <w:r w:rsidRPr="00A07F29">
              <w:rPr>
                <w:rFonts w:ascii="Times New Roman" w:eastAsia="Calibri" w:hAnsi="Times New Roman" w:cs="Times New Roman"/>
                <w:color w:val="000000"/>
                <w:sz w:val="20"/>
                <w:szCs w:val="20"/>
                <w:lang w:eastAsia="ar-SA"/>
              </w:rPr>
              <w:t>sp</w:t>
            </w:r>
            <w:proofErr w:type="spellEnd"/>
            <w:r w:rsidRPr="00A07F29">
              <w:rPr>
                <w:rFonts w:ascii="Times New Roman" w:eastAsia="Calibri" w:hAnsi="Times New Roman" w:cs="Times New Roman"/>
                <w:color w:val="000000"/>
                <w:sz w:val="20"/>
                <w:szCs w:val="20"/>
                <w:lang w:eastAsia="ar-SA"/>
              </w:rPr>
              <w:t>. Daugavas krastos.</w:t>
            </w:r>
          </w:p>
        </w:tc>
      </w:tr>
      <w:tr w:rsidR="00014519" w:rsidRPr="00A07F29" w14:paraId="4001D818" w14:textId="77777777" w:rsidTr="00014519">
        <w:trPr>
          <w:cantSplit/>
          <w:trHeight w:val="284"/>
        </w:trPr>
        <w:tc>
          <w:tcPr>
            <w:tcW w:w="89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25E0584" w14:textId="77777777" w:rsidR="00014519" w:rsidRPr="00A07F29" w:rsidRDefault="00014519" w:rsidP="004E3F0B">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 xml:space="preserve">Pagrabu </w:t>
            </w:r>
            <w:proofErr w:type="spellStart"/>
            <w:r w:rsidRPr="00A07F29">
              <w:rPr>
                <w:rFonts w:ascii="Times New Roman" w:eastAsia="Calibri" w:hAnsi="Times New Roman" w:cs="Times New Roman"/>
                <w:color w:val="000000"/>
                <w:sz w:val="20"/>
                <w:szCs w:val="20"/>
                <w:lang w:eastAsia="ar-SA"/>
              </w:rPr>
              <w:t>melnulis</w:t>
            </w:r>
            <w:proofErr w:type="spellEnd"/>
          </w:p>
        </w:tc>
        <w:tc>
          <w:tcPr>
            <w:tcW w:w="82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C067230" w14:textId="77777777" w:rsidR="00014519" w:rsidRPr="00A07F29" w:rsidRDefault="00014519" w:rsidP="004E3F0B">
            <w:pPr>
              <w:suppressAutoHyphens/>
              <w:spacing w:after="0" w:line="240" w:lineRule="auto"/>
              <w:rPr>
                <w:rFonts w:ascii="Times New Roman" w:eastAsia="Calibri" w:hAnsi="Times New Roman" w:cs="Times New Roman"/>
                <w:i/>
                <w:iCs/>
                <w:color w:val="000000"/>
                <w:sz w:val="20"/>
                <w:szCs w:val="20"/>
                <w:lang w:eastAsia="ar-SA"/>
              </w:rPr>
            </w:pPr>
            <w:proofErr w:type="spellStart"/>
            <w:r w:rsidRPr="00A07F29">
              <w:rPr>
                <w:rFonts w:ascii="Times New Roman" w:eastAsia="Calibri" w:hAnsi="Times New Roman" w:cs="Times New Roman"/>
                <w:i/>
                <w:iCs/>
                <w:color w:val="000000"/>
                <w:sz w:val="20"/>
                <w:szCs w:val="20"/>
                <w:lang w:eastAsia="ar-SA"/>
              </w:rPr>
              <w:t>Blaps</w:t>
            </w:r>
            <w:proofErr w:type="spellEnd"/>
            <w:r w:rsidRPr="00A07F29">
              <w:rPr>
                <w:rFonts w:ascii="Times New Roman" w:eastAsia="Calibri" w:hAnsi="Times New Roman" w:cs="Times New Roman"/>
                <w:i/>
                <w:iCs/>
                <w:color w:val="000000"/>
                <w:sz w:val="20"/>
                <w:szCs w:val="20"/>
                <w:lang w:eastAsia="ar-SA"/>
              </w:rPr>
              <w:t xml:space="preserve"> </w:t>
            </w:r>
            <w:proofErr w:type="spellStart"/>
            <w:r w:rsidRPr="00A07F29">
              <w:rPr>
                <w:rFonts w:ascii="Times New Roman" w:eastAsia="Calibri" w:hAnsi="Times New Roman" w:cs="Times New Roman"/>
                <w:i/>
                <w:iCs/>
                <w:color w:val="000000"/>
                <w:sz w:val="20"/>
                <w:szCs w:val="20"/>
                <w:lang w:eastAsia="ar-SA"/>
              </w:rPr>
              <w:t>mortisaga</w:t>
            </w:r>
            <w:proofErr w:type="spellEnd"/>
          </w:p>
        </w:tc>
        <w:tc>
          <w:tcPr>
            <w:tcW w:w="6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E57A874" w14:textId="77777777" w:rsidR="00014519" w:rsidRPr="00A07F29" w:rsidRDefault="00014519" w:rsidP="004E3F0B">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w:t>
            </w:r>
          </w:p>
        </w:tc>
        <w:tc>
          <w:tcPr>
            <w:tcW w:w="5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3E63E4A" w14:textId="677577E7" w:rsidR="00014519" w:rsidRPr="00A07F29" w:rsidRDefault="00B90BF4" w:rsidP="004E3F0B">
            <w:pPr>
              <w:suppressAutoHyphens/>
              <w:spacing w:after="0" w:line="240" w:lineRule="auto"/>
              <w:rPr>
                <w:rFonts w:ascii="Times New Roman" w:eastAsia="Calibri" w:hAnsi="Times New Roman" w:cs="Times New Roman"/>
                <w:color w:val="000000"/>
                <w:sz w:val="20"/>
                <w:szCs w:val="20"/>
                <w:lang w:eastAsia="ar-SA"/>
              </w:rPr>
            </w:pPr>
            <w:r>
              <w:rPr>
                <w:rFonts w:ascii="Times New Roman" w:eastAsia="Calibri" w:hAnsi="Times New Roman" w:cs="Times New Roman"/>
                <w:color w:val="000000"/>
                <w:sz w:val="20"/>
                <w:szCs w:val="20"/>
                <w:lang w:eastAsia="ar-SA"/>
              </w:rPr>
              <w:t>L</w:t>
            </w:r>
            <w:r w:rsidR="00014519" w:rsidRPr="00A07F29">
              <w:rPr>
                <w:rFonts w:ascii="Times New Roman" w:eastAsia="Calibri" w:hAnsi="Times New Roman" w:cs="Times New Roman"/>
                <w:color w:val="000000"/>
                <w:sz w:val="20"/>
                <w:szCs w:val="20"/>
                <w:lang w:eastAsia="ar-SA"/>
              </w:rPr>
              <w:t>SG 2</w:t>
            </w:r>
          </w:p>
        </w:tc>
        <w:tc>
          <w:tcPr>
            <w:tcW w:w="1045" w:type="pct"/>
            <w:tcBorders>
              <w:top w:val="single" w:sz="4" w:space="0" w:color="auto"/>
              <w:left w:val="single" w:sz="4" w:space="0" w:color="auto"/>
              <w:bottom w:val="single" w:sz="4" w:space="0" w:color="auto"/>
              <w:right w:val="single" w:sz="4" w:space="0" w:color="auto"/>
            </w:tcBorders>
          </w:tcPr>
          <w:p w14:paraId="52F04FAF" w14:textId="77777777" w:rsidR="00014519" w:rsidRPr="00A07F29" w:rsidRDefault="00014519" w:rsidP="004E3F0B">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Reti sastopama suga</w:t>
            </w:r>
          </w:p>
        </w:tc>
        <w:tc>
          <w:tcPr>
            <w:tcW w:w="971" w:type="pct"/>
            <w:tcBorders>
              <w:top w:val="single" w:sz="4" w:space="0" w:color="auto"/>
              <w:left w:val="single" w:sz="4" w:space="0" w:color="auto"/>
              <w:bottom w:val="single" w:sz="4" w:space="0" w:color="auto"/>
              <w:right w:val="single" w:sz="4" w:space="0" w:color="auto"/>
            </w:tcBorders>
            <w:shd w:val="clear" w:color="auto" w:fill="auto"/>
          </w:tcPr>
          <w:p w14:paraId="682DCC41" w14:textId="5451E7DD" w:rsidR="00014519" w:rsidRPr="00A07F29" w:rsidRDefault="00014519" w:rsidP="004E3F0B">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Apdzīvo galvenokārt vecas ēkas, kur ir dēļu grīdas ar satrupējušu koksni</w:t>
            </w:r>
          </w:p>
        </w:tc>
      </w:tr>
      <w:tr w:rsidR="009072CE" w:rsidRPr="00A07F29" w14:paraId="058CC52A" w14:textId="77777777" w:rsidTr="00014519">
        <w:trPr>
          <w:cantSplit/>
          <w:trHeight w:val="284"/>
        </w:trPr>
        <w:tc>
          <w:tcPr>
            <w:tcW w:w="894" w:type="pct"/>
            <w:shd w:val="clear" w:color="auto" w:fill="auto"/>
            <w:noWrap/>
            <w:vAlign w:val="center"/>
          </w:tcPr>
          <w:p w14:paraId="46739A44" w14:textId="77777777" w:rsidR="009072CE" w:rsidRPr="00A07F29" w:rsidRDefault="009072CE" w:rsidP="009072CE">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 xml:space="preserve">Šneidera </w:t>
            </w:r>
            <w:proofErr w:type="spellStart"/>
            <w:r w:rsidRPr="00A07F29">
              <w:rPr>
                <w:rFonts w:ascii="Times New Roman" w:eastAsia="Calibri" w:hAnsi="Times New Roman" w:cs="Times New Roman"/>
                <w:color w:val="000000"/>
                <w:sz w:val="20"/>
                <w:szCs w:val="20"/>
                <w:lang w:eastAsia="ar-SA"/>
              </w:rPr>
              <w:t>mizmīlis</w:t>
            </w:r>
            <w:proofErr w:type="spellEnd"/>
          </w:p>
        </w:tc>
        <w:tc>
          <w:tcPr>
            <w:tcW w:w="821" w:type="pct"/>
            <w:shd w:val="clear" w:color="auto" w:fill="auto"/>
            <w:noWrap/>
            <w:vAlign w:val="center"/>
          </w:tcPr>
          <w:p w14:paraId="5BF20349" w14:textId="77777777" w:rsidR="009072CE" w:rsidRPr="00A07F29" w:rsidRDefault="009072CE" w:rsidP="009072CE">
            <w:pPr>
              <w:autoSpaceDE w:val="0"/>
              <w:autoSpaceDN w:val="0"/>
              <w:adjustRightInd w:val="0"/>
              <w:spacing w:after="0" w:line="240" w:lineRule="auto"/>
              <w:rPr>
                <w:rFonts w:ascii="Times New Roman" w:eastAsia="Calibri" w:hAnsi="Times New Roman" w:cs="Times New Roman"/>
                <w:color w:val="000000"/>
                <w:sz w:val="20"/>
                <w:szCs w:val="20"/>
              </w:rPr>
            </w:pPr>
            <w:r w:rsidRPr="00A07F29">
              <w:rPr>
                <w:rFonts w:ascii="Times New Roman" w:eastAsia="Calibri" w:hAnsi="Times New Roman" w:cs="Times New Roman"/>
                <w:i/>
                <w:iCs/>
                <w:color w:val="000000"/>
                <w:sz w:val="20"/>
                <w:szCs w:val="20"/>
              </w:rPr>
              <w:t xml:space="preserve">Boros </w:t>
            </w:r>
            <w:proofErr w:type="spellStart"/>
            <w:r w:rsidRPr="00A07F29">
              <w:rPr>
                <w:rFonts w:ascii="Times New Roman" w:eastAsia="Calibri" w:hAnsi="Times New Roman" w:cs="Times New Roman"/>
                <w:i/>
                <w:iCs/>
                <w:color w:val="000000"/>
                <w:sz w:val="20"/>
                <w:szCs w:val="20"/>
              </w:rPr>
              <w:t>schneideri</w:t>
            </w:r>
            <w:proofErr w:type="spellEnd"/>
            <w:r w:rsidRPr="00A07F29">
              <w:rPr>
                <w:rFonts w:ascii="Times New Roman" w:eastAsia="Calibri" w:hAnsi="Times New Roman" w:cs="Times New Roman"/>
                <w:i/>
                <w:iCs/>
                <w:color w:val="000000"/>
                <w:sz w:val="20"/>
                <w:szCs w:val="20"/>
              </w:rPr>
              <w:t xml:space="preserve"> </w:t>
            </w:r>
          </w:p>
        </w:tc>
        <w:tc>
          <w:tcPr>
            <w:tcW w:w="674" w:type="pct"/>
            <w:shd w:val="clear" w:color="auto" w:fill="auto"/>
            <w:noWrap/>
            <w:vAlign w:val="center"/>
          </w:tcPr>
          <w:p w14:paraId="6E74E687" w14:textId="4028454E" w:rsidR="009072CE" w:rsidRPr="00A07F29" w:rsidRDefault="00F04849" w:rsidP="009072CE">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 xml:space="preserve">BD </w:t>
            </w:r>
            <w:r w:rsidR="009072CE" w:rsidRPr="00A07F29">
              <w:rPr>
                <w:rFonts w:ascii="Times New Roman" w:eastAsia="Calibri" w:hAnsi="Times New Roman" w:cs="Times New Roman"/>
                <w:color w:val="000000"/>
                <w:sz w:val="20"/>
                <w:szCs w:val="20"/>
                <w:lang w:eastAsia="ar-SA"/>
              </w:rPr>
              <w:t xml:space="preserve">II; ĪAS; MIK </w:t>
            </w:r>
          </w:p>
        </w:tc>
        <w:tc>
          <w:tcPr>
            <w:tcW w:w="595" w:type="pct"/>
            <w:shd w:val="clear" w:color="auto" w:fill="auto"/>
            <w:noWrap/>
            <w:vAlign w:val="center"/>
          </w:tcPr>
          <w:p w14:paraId="15BCAF2C" w14:textId="77777777" w:rsidR="009072CE" w:rsidRPr="00A07F29" w:rsidRDefault="009072CE" w:rsidP="009072CE">
            <w:pPr>
              <w:suppressAutoHyphens/>
              <w:spacing w:after="0" w:line="240" w:lineRule="auto"/>
              <w:rPr>
                <w:rFonts w:ascii="Times New Roman" w:eastAsia="Calibri" w:hAnsi="Times New Roman" w:cs="Times New Roman"/>
                <w:color w:val="000000"/>
                <w:sz w:val="20"/>
                <w:szCs w:val="20"/>
                <w:lang w:eastAsia="ar-SA"/>
              </w:rPr>
            </w:pPr>
          </w:p>
        </w:tc>
        <w:tc>
          <w:tcPr>
            <w:tcW w:w="1045" w:type="pct"/>
            <w:shd w:val="clear" w:color="auto" w:fill="auto"/>
          </w:tcPr>
          <w:p w14:paraId="0298F4A5" w14:textId="1AE2ED2E" w:rsidR="009072CE" w:rsidRPr="00A07F29" w:rsidRDefault="009072CE"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Suga sastopama samērā bieži, izklaidus visā Latvijas teritorijā, izņemot piekrasti (Valainis</w:t>
            </w:r>
            <w:r w:rsidR="007C0E07">
              <w:rPr>
                <w:rFonts w:ascii="Times New Roman" w:eastAsia="Calibri" w:hAnsi="Times New Roman" w:cs="Times New Roman"/>
                <w:color w:val="000000"/>
                <w:sz w:val="20"/>
                <w:szCs w:val="20"/>
                <w:lang w:eastAsia="ar-SA"/>
              </w:rPr>
              <w:t xml:space="preserve"> U.</w:t>
            </w:r>
            <w:r w:rsidRPr="00A07F29">
              <w:rPr>
                <w:rFonts w:ascii="Times New Roman" w:eastAsia="Calibri" w:hAnsi="Times New Roman" w:cs="Times New Roman"/>
                <w:color w:val="000000"/>
                <w:sz w:val="20"/>
                <w:szCs w:val="20"/>
                <w:lang w:eastAsia="ar-SA"/>
              </w:rPr>
              <w:t>, 2018).</w:t>
            </w:r>
          </w:p>
        </w:tc>
        <w:tc>
          <w:tcPr>
            <w:tcW w:w="971" w:type="pct"/>
            <w:shd w:val="clear" w:color="auto" w:fill="auto"/>
          </w:tcPr>
          <w:p w14:paraId="40EE0042" w14:textId="77777777" w:rsidR="009072CE" w:rsidRPr="00A07F29" w:rsidRDefault="009072CE"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 xml:space="preserve">Suga samērā bieži sastopama AAA teritorijā esošos priežu mežos. </w:t>
            </w:r>
          </w:p>
        </w:tc>
      </w:tr>
      <w:tr w:rsidR="009072CE" w:rsidRPr="00A07F29" w14:paraId="7471EBEE" w14:textId="77777777" w:rsidTr="00014519">
        <w:trPr>
          <w:cantSplit/>
          <w:trHeight w:val="284"/>
        </w:trPr>
        <w:tc>
          <w:tcPr>
            <w:tcW w:w="894" w:type="pct"/>
            <w:shd w:val="clear" w:color="auto" w:fill="auto"/>
            <w:noWrap/>
            <w:vAlign w:val="center"/>
          </w:tcPr>
          <w:p w14:paraId="047496EE" w14:textId="77777777" w:rsidR="009072CE" w:rsidRPr="00A07F29" w:rsidRDefault="009072CE" w:rsidP="009072CE">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Velvētā skrejvabole</w:t>
            </w:r>
          </w:p>
        </w:tc>
        <w:tc>
          <w:tcPr>
            <w:tcW w:w="821" w:type="pct"/>
            <w:shd w:val="clear" w:color="auto" w:fill="auto"/>
            <w:noWrap/>
            <w:vAlign w:val="center"/>
          </w:tcPr>
          <w:p w14:paraId="07CEE48F" w14:textId="77777777" w:rsidR="009072CE" w:rsidRPr="00A07F29" w:rsidRDefault="009072CE" w:rsidP="009072CE">
            <w:pPr>
              <w:autoSpaceDE w:val="0"/>
              <w:autoSpaceDN w:val="0"/>
              <w:adjustRightInd w:val="0"/>
              <w:spacing w:after="0" w:line="240" w:lineRule="auto"/>
              <w:rPr>
                <w:rFonts w:ascii="Times New Roman" w:eastAsia="Calibri" w:hAnsi="Times New Roman" w:cs="Times New Roman"/>
                <w:i/>
                <w:iCs/>
                <w:color w:val="000000"/>
                <w:sz w:val="20"/>
                <w:szCs w:val="20"/>
              </w:rPr>
            </w:pPr>
            <w:proofErr w:type="spellStart"/>
            <w:r w:rsidRPr="00A07F29">
              <w:rPr>
                <w:rFonts w:ascii="Times New Roman" w:eastAsia="Calibri" w:hAnsi="Times New Roman" w:cs="Times New Roman"/>
                <w:i/>
                <w:iCs/>
                <w:color w:val="000000"/>
                <w:sz w:val="20"/>
                <w:szCs w:val="20"/>
              </w:rPr>
              <w:t>Carabus</w:t>
            </w:r>
            <w:proofErr w:type="spellEnd"/>
            <w:r w:rsidRPr="00A07F29">
              <w:rPr>
                <w:rFonts w:ascii="Times New Roman" w:eastAsia="Calibri" w:hAnsi="Times New Roman" w:cs="Times New Roman"/>
                <w:i/>
                <w:iCs/>
                <w:color w:val="000000"/>
                <w:sz w:val="20"/>
                <w:szCs w:val="20"/>
              </w:rPr>
              <w:t xml:space="preserve"> </w:t>
            </w:r>
            <w:proofErr w:type="spellStart"/>
            <w:r w:rsidRPr="00A07F29">
              <w:rPr>
                <w:rFonts w:ascii="Times New Roman" w:eastAsia="Calibri" w:hAnsi="Times New Roman" w:cs="Times New Roman"/>
                <w:i/>
                <w:iCs/>
                <w:color w:val="000000"/>
                <w:sz w:val="20"/>
                <w:szCs w:val="20"/>
              </w:rPr>
              <w:t>convexus</w:t>
            </w:r>
            <w:proofErr w:type="spellEnd"/>
          </w:p>
        </w:tc>
        <w:tc>
          <w:tcPr>
            <w:tcW w:w="674" w:type="pct"/>
            <w:shd w:val="clear" w:color="auto" w:fill="auto"/>
            <w:noWrap/>
            <w:vAlign w:val="center"/>
          </w:tcPr>
          <w:p w14:paraId="2722E8FD" w14:textId="77777777" w:rsidR="009072CE" w:rsidRPr="00A07F29" w:rsidRDefault="009072CE" w:rsidP="009072CE">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w:t>
            </w:r>
          </w:p>
        </w:tc>
        <w:tc>
          <w:tcPr>
            <w:tcW w:w="595" w:type="pct"/>
            <w:shd w:val="clear" w:color="auto" w:fill="auto"/>
            <w:noWrap/>
            <w:vAlign w:val="center"/>
          </w:tcPr>
          <w:p w14:paraId="0150FDBE" w14:textId="50A5820B" w:rsidR="009072CE" w:rsidRPr="00A07F29" w:rsidRDefault="00075530" w:rsidP="009072CE">
            <w:pPr>
              <w:suppressAutoHyphens/>
              <w:spacing w:after="0" w:line="240" w:lineRule="auto"/>
              <w:rPr>
                <w:rFonts w:ascii="Times New Roman" w:eastAsia="Calibri" w:hAnsi="Times New Roman" w:cs="Times New Roman"/>
                <w:color w:val="000000"/>
                <w:sz w:val="20"/>
                <w:szCs w:val="20"/>
                <w:lang w:eastAsia="ar-SA"/>
              </w:rPr>
            </w:pPr>
            <w:r>
              <w:rPr>
                <w:rFonts w:ascii="Times New Roman" w:eastAsia="Calibri" w:hAnsi="Times New Roman" w:cs="Times New Roman"/>
                <w:color w:val="000000"/>
                <w:sz w:val="20"/>
                <w:szCs w:val="20"/>
                <w:lang w:eastAsia="ar-SA"/>
              </w:rPr>
              <w:t>L</w:t>
            </w:r>
            <w:r w:rsidR="009072CE" w:rsidRPr="00A07F29">
              <w:rPr>
                <w:rFonts w:ascii="Times New Roman" w:eastAsia="Calibri" w:hAnsi="Times New Roman" w:cs="Times New Roman"/>
                <w:color w:val="000000"/>
                <w:sz w:val="20"/>
                <w:szCs w:val="20"/>
                <w:lang w:eastAsia="ar-SA"/>
              </w:rPr>
              <w:t>SG 3</w:t>
            </w:r>
          </w:p>
        </w:tc>
        <w:tc>
          <w:tcPr>
            <w:tcW w:w="1045" w:type="pct"/>
            <w:shd w:val="clear" w:color="auto" w:fill="auto"/>
          </w:tcPr>
          <w:p w14:paraId="1B230E9C" w14:textId="79497E66" w:rsidR="009072CE" w:rsidRPr="00A07F29" w:rsidRDefault="009072CE"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Suga izklaidus sastopama visā Latvijas teritorijā, sastopama samērā bieži (</w:t>
            </w:r>
            <w:proofErr w:type="spellStart"/>
            <w:r w:rsidRPr="00A07F29">
              <w:rPr>
                <w:rFonts w:ascii="Times New Roman" w:eastAsia="Calibri" w:hAnsi="Times New Roman" w:cs="Times New Roman"/>
                <w:color w:val="000000"/>
                <w:sz w:val="20"/>
                <w:szCs w:val="20"/>
                <w:lang w:eastAsia="ar-SA"/>
              </w:rPr>
              <w:t>Spuris</w:t>
            </w:r>
            <w:proofErr w:type="spellEnd"/>
            <w:r w:rsidR="00075530">
              <w:rPr>
                <w:rFonts w:ascii="Times New Roman" w:eastAsia="Calibri" w:hAnsi="Times New Roman" w:cs="Times New Roman"/>
                <w:color w:val="000000"/>
                <w:sz w:val="20"/>
                <w:szCs w:val="20"/>
                <w:lang w:eastAsia="ar-SA"/>
              </w:rPr>
              <w:t xml:space="preserve"> Z.</w:t>
            </w:r>
            <w:r w:rsidRPr="00A07F29">
              <w:rPr>
                <w:rFonts w:ascii="Times New Roman" w:eastAsia="Calibri" w:hAnsi="Times New Roman" w:cs="Times New Roman"/>
                <w:color w:val="000000"/>
                <w:sz w:val="20"/>
                <w:szCs w:val="20"/>
                <w:lang w:eastAsia="ar-SA"/>
              </w:rPr>
              <w:t>, 1998).</w:t>
            </w:r>
          </w:p>
        </w:tc>
        <w:tc>
          <w:tcPr>
            <w:tcW w:w="971" w:type="pct"/>
            <w:shd w:val="clear" w:color="auto" w:fill="auto"/>
          </w:tcPr>
          <w:p w14:paraId="2AF42D13" w14:textId="4BE794B8" w:rsidR="009072CE" w:rsidRPr="00A07F29" w:rsidRDefault="00BF0E06"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DA plāna</w:t>
            </w:r>
            <w:r w:rsidR="009072CE" w:rsidRPr="00A07F29">
              <w:rPr>
                <w:rFonts w:ascii="Times New Roman" w:eastAsia="Calibri" w:hAnsi="Times New Roman" w:cs="Times New Roman"/>
                <w:color w:val="000000"/>
                <w:sz w:val="20"/>
                <w:szCs w:val="20"/>
                <w:lang w:eastAsia="ar-SA"/>
              </w:rPr>
              <w:t xml:space="preserve"> izstrādes laikā suga netika konstatēta.</w:t>
            </w:r>
          </w:p>
        </w:tc>
      </w:tr>
      <w:tr w:rsidR="009072CE" w:rsidRPr="00A07F29" w14:paraId="52A56954" w14:textId="77777777" w:rsidTr="00014519">
        <w:trPr>
          <w:cantSplit/>
          <w:trHeight w:val="284"/>
        </w:trPr>
        <w:tc>
          <w:tcPr>
            <w:tcW w:w="894" w:type="pct"/>
            <w:shd w:val="clear" w:color="auto" w:fill="auto"/>
            <w:noWrap/>
            <w:vAlign w:val="center"/>
          </w:tcPr>
          <w:p w14:paraId="51751098" w14:textId="77777777" w:rsidR="009072CE" w:rsidRPr="00A07F29" w:rsidRDefault="009072CE" w:rsidP="009072CE">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Lielā skrejvabole</w:t>
            </w:r>
          </w:p>
        </w:tc>
        <w:tc>
          <w:tcPr>
            <w:tcW w:w="821" w:type="pct"/>
            <w:shd w:val="clear" w:color="auto" w:fill="auto"/>
            <w:noWrap/>
            <w:vAlign w:val="center"/>
          </w:tcPr>
          <w:p w14:paraId="130A7482" w14:textId="77777777" w:rsidR="009072CE" w:rsidRPr="00A07F29" w:rsidRDefault="009072CE" w:rsidP="009072CE">
            <w:pPr>
              <w:suppressAutoHyphens/>
              <w:spacing w:after="0" w:line="240" w:lineRule="auto"/>
              <w:rPr>
                <w:rFonts w:ascii="Times New Roman" w:eastAsia="Calibri" w:hAnsi="Times New Roman" w:cs="Times New Roman"/>
                <w:i/>
                <w:iCs/>
                <w:color w:val="000000"/>
                <w:sz w:val="20"/>
                <w:szCs w:val="20"/>
                <w:lang w:eastAsia="ar-SA"/>
              </w:rPr>
            </w:pPr>
            <w:proofErr w:type="spellStart"/>
            <w:r w:rsidRPr="00A07F29">
              <w:rPr>
                <w:rFonts w:ascii="Times New Roman" w:eastAsia="Calibri" w:hAnsi="Times New Roman" w:cs="Times New Roman"/>
                <w:i/>
                <w:iCs/>
                <w:color w:val="000000"/>
                <w:sz w:val="20"/>
                <w:szCs w:val="20"/>
                <w:lang w:eastAsia="ar-SA"/>
              </w:rPr>
              <w:t>Carabus</w:t>
            </w:r>
            <w:proofErr w:type="spellEnd"/>
            <w:r w:rsidRPr="00A07F29">
              <w:rPr>
                <w:rFonts w:ascii="Times New Roman" w:eastAsia="Calibri" w:hAnsi="Times New Roman" w:cs="Times New Roman"/>
                <w:i/>
                <w:iCs/>
                <w:color w:val="000000"/>
                <w:sz w:val="20"/>
                <w:szCs w:val="20"/>
                <w:lang w:eastAsia="ar-SA"/>
              </w:rPr>
              <w:t xml:space="preserve"> </w:t>
            </w:r>
            <w:proofErr w:type="spellStart"/>
            <w:r w:rsidRPr="00A07F29">
              <w:rPr>
                <w:rFonts w:ascii="Times New Roman" w:eastAsia="Calibri" w:hAnsi="Times New Roman" w:cs="Times New Roman"/>
                <w:i/>
                <w:iCs/>
                <w:color w:val="000000"/>
                <w:sz w:val="20"/>
                <w:szCs w:val="20"/>
                <w:lang w:eastAsia="ar-SA"/>
              </w:rPr>
              <w:t>coriaceus</w:t>
            </w:r>
            <w:proofErr w:type="spellEnd"/>
          </w:p>
        </w:tc>
        <w:tc>
          <w:tcPr>
            <w:tcW w:w="674" w:type="pct"/>
            <w:shd w:val="clear" w:color="auto" w:fill="auto"/>
            <w:noWrap/>
            <w:vAlign w:val="center"/>
          </w:tcPr>
          <w:p w14:paraId="1324582D" w14:textId="77777777" w:rsidR="009072CE" w:rsidRPr="00A07F29" w:rsidRDefault="009072CE" w:rsidP="009072CE">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w:t>
            </w:r>
          </w:p>
        </w:tc>
        <w:tc>
          <w:tcPr>
            <w:tcW w:w="595" w:type="pct"/>
            <w:shd w:val="clear" w:color="auto" w:fill="auto"/>
            <w:noWrap/>
            <w:vAlign w:val="center"/>
          </w:tcPr>
          <w:p w14:paraId="74576B9E" w14:textId="686D4D77" w:rsidR="009072CE" w:rsidRPr="00A07F29" w:rsidRDefault="00BE579D" w:rsidP="009072CE">
            <w:pPr>
              <w:suppressAutoHyphens/>
              <w:spacing w:after="0" w:line="240" w:lineRule="auto"/>
              <w:rPr>
                <w:rFonts w:ascii="Times New Roman" w:eastAsia="Calibri" w:hAnsi="Times New Roman" w:cs="Times New Roman"/>
                <w:color w:val="000000"/>
                <w:sz w:val="20"/>
                <w:szCs w:val="20"/>
                <w:lang w:eastAsia="ar-SA"/>
              </w:rPr>
            </w:pPr>
            <w:r>
              <w:rPr>
                <w:rFonts w:ascii="Times New Roman" w:eastAsia="Calibri" w:hAnsi="Times New Roman" w:cs="Times New Roman"/>
                <w:color w:val="000000"/>
                <w:sz w:val="20"/>
                <w:szCs w:val="20"/>
                <w:lang w:eastAsia="ar-SA"/>
              </w:rPr>
              <w:t>L</w:t>
            </w:r>
            <w:r w:rsidR="009072CE" w:rsidRPr="00A07F29">
              <w:rPr>
                <w:rFonts w:ascii="Times New Roman" w:eastAsia="Calibri" w:hAnsi="Times New Roman" w:cs="Times New Roman"/>
                <w:color w:val="000000"/>
                <w:sz w:val="20"/>
                <w:szCs w:val="20"/>
                <w:lang w:eastAsia="ar-SA"/>
              </w:rPr>
              <w:t>SG 3</w:t>
            </w:r>
          </w:p>
        </w:tc>
        <w:tc>
          <w:tcPr>
            <w:tcW w:w="1045" w:type="pct"/>
          </w:tcPr>
          <w:p w14:paraId="58C89238" w14:textId="6B54F397" w:rsidR="009072CE" w:rsidRPr="00A07F29" w:rsidRDefault="009072CE"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Suga izplatīta visā Latvijas teritorijā. Sastopama samērā bieži (</w:t>
            </w:r>
            <w:proofErr w:type="spellStart"/>
            <w:r w:rsidRPr="00A07F29">
              <w:rPr>
                <w:rFonts w:ascii="Times New Roman" w:eastAsia="Calibri" w:hAnsi="Times New Roman" w:cs="Times New Roman"/>
                <w:color w:val="000000"/>
                <w:sz w:val="20"/>
                <w:szCs w:val="20"/>
                <w:lang w:eastAsia="ar-SA"/>
              </w:rPr>
              <w:t>Barševskis</w:t>
            </w:r>
            <w:proofErr w:type="spellEnd"/>
            <w:r w:rsidR="00C4327E">
              <w:rPr>
                <w:rFonts w:ascii="Times New Roman" w:eastAsia="Calibri" w:hAnsi="Times New Roman" w:cs="Times New Roman"/>
                <w:color w:val="000000"/>
                <w:sz w:val="20"/>
                <w:szCs w:val="20"/>
                <w:lang w:eastAsia="ar-SA"/>
              </w:rPr>
              <w:t xml:space="preserve"> A.</w:t>
            </w:r>
            <w:r w:rsidRPr="00A07F29">
              <w:rPr>
                <w:rFonts w:ascii="Times New Roman" w:eastAsia="Calibri" w:hAnsi="Times New Roman" w:cs="Times New Roman"/>
                <w:color w:val="000000"/>
                <w:sz w:val="20"/>
                <w:szCs w:val="20"/>
                <w:lang w:eastAsia="ar-SA"/>
              </w:rPr>
              <w:t>, 2003).</w:t>
            </w:r>
          </w:p>
        </w:tc>
        <w:tc>
          <w:tcPr>
            <w:tcW w:w="971" w:type="pct"/>
            <w:shd w:val="clear" w:color="auto" w:fill="auto"/>
          </w:tcPr>
          <w:p w14:paraId="219E5812" w14:textId="77777777" w:rsidR="009072CE" w:rsidRPr="00A07F29" w:rsidRDefault="009072CE"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AAA “Augšdaugava” teritorijā bieži sastopamā suga.</w:t>
            </w:r>
          </w:p>
        </w:tc>
      </w:tr>
      <w:tr w:rsidR="009072CE" w:rsidRPr="00A07F29" w14:paraId="15C31F20" w14:textId="77777777" w:rsidTr="00014519">
        <w:trPr>
          <w:cantSplit/>
          <w:trHeight w:val="284"/>
        </w:trPr>
        <w:tc>
          <w:tcPr>
            <w:tcW w:w="894" w:type="pct"/>
            <w:shd w:val="clear" w:color="auto" w:fill="auto"/>
            <w:noWrap/>
            <w:vAlign w:val="center"/>
          </w:tcPr>
          <w:p w14:paraId="2EC69D99" w14:textId="77777777" w:rsidR="009072CE" w:rsidRPr="00A07F29" w:rsidRDefault="009072CE" w:rsidP="009072CE">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Spožā skrejvabole</w:t>
            </w:r>
          </w:p>
        </w:tc>
        <w:tc>
          <w:tcPr>
            <w:tcW w:w="821" w:type="pct"/>
            <w:shd w:val="clear" w:color="auto" w:fill="auto"/>
            <w:noWrap/>
            <w:vAlign w:val="center"/>
          </w:tcPr>
          <w:p w14:paraId="1498C782" w14:textId="77777777" w:rsidR="009072CE" w:rsidRPr="00A07F29" w:rsidRDefault="009072CE" w:rsidP="009072CE">
            <w:pPr>
              <w:suppressAutoHyphens/>
              <w:spacing w:after="0" w:line="240" w:lineRule="auto"/>
              <w:rPr>
                <w:rFonts w:ascii="Times New Roman" w:eastAsia="Calibri" w:hAnsi="Times New Roman" w:cs="Times New Roman"/>
                <w:i/>
                <w:iCs/>
                <w:color w:val="000000"/>
                <w:sz w:val="20"/>
                <w:szCs w:val="20"/>
                <w:lang w:eastAsia="ar-SA"/>
              </w:rPr>
            </w:pPr>
            <w:proofErr w:type="spellStart"/>
            <w:r w:rsidRPr="00A07F29">
              <w:rPr>
                <w:rFonts w:ascii="Times New Roman" w:eastAsia="Calibri" w:hAnsi="Times New Roman" w:cs="Times New Roman"/>
                <w:i/>
                <w:iCs/>
                <w:color w:val="000000"/>
                <w:sz w:val="20"/>
                <w:szCs w:val="20"/>
                <w:lang w:eastAsia="ar-SA"/>
              </w:rPr>
              <w:t>Carabus</w:t>
            </w:r>
            <w:proofErr w:type="spellEnd"/>
            <w:r w:rsidRPr="00A07F29">
              <w:rPr>
                <w:rFonts w:ascii="Times New Roman" w:eastAsia="Calibri" w:hAnsi="Times New Roman" w:cs="Times New Roman"/>
                <w:i/>
                <w:iCs/>
                <w:color w:val="000000"/>
                <w:sz w:val="20"/>
                <w:szCs w:val="20"/>
                <w:lang w:eastAsia="ar-SA"/>
              </w:rPr>
              <w:t xml:space="preserve"> </w:t>
            </w:r>
            <w:proofErr w:type="spellStart"/>
            <w:r w:rsidRPr="00A07F29">
              <w:rPr>
                <w:rFonts w:ascii="Times New Roman" w:eastAsia="Calibri" w:hAnsi="Times New Roman" w:cs="Times New Roman"/>
                <w:i/>
                <w:iCs/>
                <w:color w:val="000000"/>
                <w:sz w:val="20"/>
                <w:szCs w:val="20"/>
                <w:lang w:eastAsia="ar-SA"/>
              </w:rPr>
              <w:t>nitens</w:t>
            </w:r>
            <w:proofErr w:type="spellEnd"/>
          </w:p>
        </w:tc>
        <w:tc>
          <w:tcPr>
            <w:tcW w:w="674" w:type="pct"/>
            <w:shd w:val="clear" w:color="auto" w:fill="auto"/>
            <w:noWrap/>
            <w:vAlign w:val="center"/>
          </w:tcPr>
          <w:p w14:paraId="442A804C" w14:textId="63F79CD2" w:rsidR="009072CE" w:rsidRPr="00A07F29" w:rsidRDefault="009072CE" w:rsidP="009072CE">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ĪAS</w:t>
            </w:r>
          </w:p>
        </w:tc>
        <w:tc>
          <w:tcPr>
            <w:tcW w:w="595" w:type="pct"/>
            <w:shd w:val="clear" w:color="auto" w:fill="auto"/>
            <w:noWrap/>
            <w:vAlign w:val="center"/>
          </w:tcPr>
          <w:p w14:paraId="2D88B4AF" w14:textId="3511D21B" w:rsidR="009072CE" w:rsidRPr="00A07F29" w:rsidRDefault="00C4327E" w:rsidP="009072CE">
            <w:pPr>
              <w:suppressAutoHyphens/>
              <w:spacing w:after="0" w:line="240" w:lineRule="auto"/>
              <w:rPr>
                <w:rFonts w:ascii="Times New Roman" w:eastAsia="Calibri" w:hAnsi="Times New Roman" w:cs="Times New Roman"/>
                <w:color w:val="000000"/>
                <w:sz w:val="20"/>
                <w:szCs w:val="20"/>
                <w:lang w:eastAsia="ar-SA"/>
              </w:rPr>
            </w:pPr>
            <w:r>
              <w:rPr>
                <w:rFonts w:ascii="Times New Roman" w:eastAsia="Calibri" w:hAnsi="Times New Roman" w:cs="Times New Roman"/>
                <w:color w:val="000000"/>
                <w:sz w:val="20"/>
                <w:szCs w:val="20"/>
                <w:lang w:eastAsia="ar-SA"/>
              </w:rPr>
              <w:t>L</w:t>
            </w:r>
            <w:r w:rsidR="009072CE" w:rsidRPr="00A07F29">
              <w:rPr>
                <w:rFonts w:ascii="Times New Roman" w:eastAsia="Calibri" w:hAnsi="Times New Roman" w:cs="Times New Roman"/>
                <w:color w:val="000000"/>
                <w:sz w:val="20"/>
                <w:szCs w:val="20"/>
                <w:lang w:eastAsia="ar-SA"/>
              </w:rPr>
              <w:t>SG 2</w:t>
            </w:r>
          </w:p>
        </w:tc>
        <w:tc>
          <w:tcPr>
            <w:tcW w:w="1045" w:type="pct"/>
            <w:shd w:val="clear" w:color="auto" w:fill="auto"/>
          </w:tcPr>
          <w:p w14:paraId="70886594" w14:textId="3B8F16CF" w:rsidR="009072CE" w:rsidRPr="00A07F29" w:rsidRDefault="009072CE"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Suga izklaidus sastopama visā Latvijas teritorijā, sastopama reti (</w:t>
            </w:r>
            <w:proofErr w:type="spellStart"/>
            <w:r w:rsidRPr="00A07F29">
              <w:rPr>
                <w:rFonts w:ascii="Times New Roman" w:eastAsia="Calibri" w:hAnsi="Times New Roman" w:cs="Times New Roman"/>
                <w:color w:val="000000"/>
                <w:sz w:val="20"/>
                <w:szCs w:val="20"/>
                <w:lang w:eastAsia="ar-SA"/>
              </w:rPr>
              <w:t>Spuris</w:t>
            </w:r>
            <w:proofErr w:type="spellEnd"/>
            <w:r w:rsidR="00C4327E">
              <w:rPr>
                <w:rFonts w:ascii="Times New Roman" w:eastAsia="Calibri" w:hAnsi="Times New Roman" w:cs="Times New Roman"/>
                <w:color w:val="000000"/>
                <w:sz w:val="20"/>
                <w:szCs w:val="20"/>
                <w:lang w:eastAsia="ar-SA"/>
              </w:rPr>
              <w:t xml:space="preserve"> Z.</w:t>
            </w:r>
            <w:r w:rsidRPr="00A07F29">
              <w:rPr>
                <w:rFonts w:ascii="Times New Roman" w:eastAsia="Calibri" w:hAnsi="Times New Roman" w:cs="Times New Roman"/>
                <w:color w:val="000000"/>
                <w:sz w:val="20"/>
                <w:szCs w:val="20"/>
                <w:lang w:eastAsia="ar-SA"/>
              </w:rPr>
              <w:t>, 1998).</w:t>
            </w:r>
          </w:p>
        </w:tc>
        <w:tc>
          <w:tcPr>
            <w:tcW w:w="971" w:type="pct"/>
            <w:shd w:val="clear" w:color="auto" w:fill="auto"/>
          </w:tcPr>
          <w:p w14:paraId="3BADCDF6" w14:textId="0E4130FC" w:rsidR="009072CE" w:rsidRPr="00A07F29" w:rsidRDefault="00BF0E06"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DA plāna</w:t>
            </w:r>
            <w:r w:rsidR="009072CE" w:rsidRPr="00A07F29">
              <w:rPr>
                <w:rFonts w:ascii="Times New Roman" w:eastAsia="Calibri" w:hAnsi="Times New Roman" w:cs="Times New Roman"/>
                <w:color w:val="000000"/>
                <w:sz w:val="20"/>
                <w:szCs w:val="20"/>
                <w:lang w:eastAsia="ar-SA"/>
              </w:rPr>
              <w:t xml:space="preserve"> izstrādes laikā suga netika konstatēta.</w:t>
            </w:r>
          </w:p>
        </w:tc>
      </w:tr>
      <w:tr w:rsidR="009072CE" w:rsidRPr="00A07F29" w14:paraId="22FE51A8" w14:textId="77777777" w:rsidTr="00014519">
        <w:trPr>
          <w:cantSplit/>
          <w:trHeight w:val="284"/>
        </w:trPr>
        <w:tc>
          <w:tcPr>
            <w:tcW w:w="894" w:type="pct"/>
            <w:shd w:val="clear" w:color="auto" w:fill="auto"/>
            <w:noWrap/>
            <w:vAlign w:val="center"/>
          </w:tcPr>
          <w:p w14:paraId="798DD069" w14:textId="77777777" w:rsidR="009072CE" w:rsidRPr="00A07F29" w:rsidRDefault="009072CE" w:rsidP="009072CE">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lastRenderedPageBreak/>
              <w:t xml:space="preserve">Lielā </w:t>
            </w:r>
            <w:proofErr w:type="spellStart"/>
            <w:r w:rsidRPr="00A07F29">
              <w:rPr>
                <w:rFonts w:ascii="Times New Roman" w:eastAsia="Calibri" w:hAnsi="Times New Roman" w:cs="Times New Roman"/>
                <w:color w:val="000000"/>
                <w:sz w:val="20"/>
                <w:szCs w:val="20"/>
                <w:lang w:eastAsia="ar-SA"/>
              </w:rPr>
              <w:t>krāšņvabole</w:t>
            </w:r>
            <w:proofErr w:type="spellEnd"/>
          </w:p>
        </w:tc>
        <w:tc>
          <w:tcPr>
            <w:tcW w:w="821" w:type="pct"/>
            <w:shd w:val="clear" w:color="auto" w:fill="auto"/>
            <w:noWrap/>
            <w:vAlign w:val="center"/>
          </w:tcPr>
          <w:p w14:paraId="5081386A" w14:textId="77777777" w:rsidR="009072CE" w:rsidRPr="00A07F29" w:rsidRDefault="009072CE" w:rsidP="009072CE">
            <w:pPr>
              <w:autoSpaceDE w:val="0"/>
              <w:autoSpaceDN w:val="0"/>
              <w:adjustRightInd w:val="0"/>
              <w:spacing w:after="0" w:line="240" w:lineRule="auto"/>
              <w:rPr>
                <w:rFonts w:ascii="Times New Roman" w:eastAsia="Calibri" w:hAnsi="Times New Roman" w:cs="Times New Roman"/>
                <w:color w:val="000000"/>
                <w:sz w:val="20"/>
                <w:szCs w:val="20"/>
              </w:rPr>
            </w:pPr>
            <w:proofErr w:type="spellStart"/>
            <w:r w:rsidRPr="00A07F29">
              <w:rPr>
                <w:rFonts w:ascii="Times New Roman" w:eastAsia="Calibri" w:hAnsi="Times New Roman" w:cs="Times New Roman"/>
                <w:i/>
                <w:iCs/>
                <w:color w:val="000000"/>
                <w:sz w:val="20"/>
                <w:szCs w:val="20"/>
              </w:rPr>
              <w:t>Chalcophora</w:t>
            </w:r>
            <w:proofErr w:type="spellEnd"/>
            <w:r w:rsidRPr="00A07F29">
              <w:rPr>
                <w:rFonts w:ascii="Times New Roman" w:eastAsia="Calibri" w:hAnsi="Times New Roman" w:cs="Times New Roman"/>
                <w:i/>
                <w:iCs/>
                <w:color w:val="000000"/>
                <w:sz w:val="20"/>
                <w:szCs w:val="20"/>
              </w:rPr>
              <w:t xml:space="preserve"> </w:t>
            </w:r>
            <w:proofErr w:type="spellStart"/>
            <w:r w:rsidRPr="00A07F29">
              <w:rPr>
                <w:rFonts w:ascii="Times New Roman" w:eastAsia="Calibri" w:hAnsi="Times New Roman" w:cs="Times New Roman"/>
                <w:i/>
                <w:iCs/>
                <w:color w:val="000000"/>
                <w:sz w:val="20"/>
                <w:szCs w:val="20"/>
              </w:rPr>
              <w:t>mariana</w:t>
            </w:r>
            <w:proofErr w:type="spellEnd"/>
            <w:r w:rsidRPr="00A07F29">
              <w:rPr>
                <w:rFonts w:ascii="Times New Roman" w:eastAsia="Calibri" w:hAnsi="Times New Roman" w:cs="Times New Roman"/>
                <w:i/>
                <w:iCs/>
                <w:color w:val="000000"/>
                <w:sz w:val="20"/>
                <w:szCs w:val="20"/>
              </w:rPr>
              <w:t xml:space="preserve"> </w:t>
            </w:r>
          </w:p>
        </w:tc>
        <w:tc>
          <w:tcPr>
            <w:tcW w:w="674" w:type="pct"/>
            <w:shd w:val="clear" w:color="auto" w:fill="auto"/>
            <w:noWrap/>
            <w:vAlign w:val="center"/>
          </w:tcPr>
          <w:p w14:paraId="085E267C" w14:textId="2D481C2D" w:rsidR="009072CE" w:rsidRPr="00A07F29" w:rsidRDefault="009072CE" w:rsidP="009072CE">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ĪAS</w:t>
            </w:r>
          </w:p>
        </w:tc>
        <w:tc>
          <w:tcPr>
            <w:tcW w:w="595" w:type="pct"/>
            <w:shd w:val="clear" w:color="auto" w:fill="auto"/>
            <w:noWrap/>
            <w:vAlign w:val="center"/>
          </w:tcPr>
          <w:p w14:paraId="1EF70CB6" w14:textId="5F182579" w:rsidR="009072CE" w:rsidRPr="00A07F29" w:rsidRDefault="00D34218" w:rsidP="009072CE">
            <w:pPr>
              <w:suppressAutoHyphens/>
              <w:spacing w:after="0" w:line="240" w:lineRule="auto"/>
              <w:rPr>
                <w:rFonts w:ascii="Times New Roman" w:eastAsia="Calibri" w:hAnsi="Times New Roman" w:cs="Times New Roman"/>
                <w:color w:val="000000"/>
                <w:sz w:val="20"/>
                <w:szCs w:val="20"/>
                <w:lang w:eastAsia="ar-SA"/>
              </w:rPr>
            </w:pPr>
            <w:r>
              <w:rPr>
                <w:rFonts w:ascii="Times New Roman" w:eastAsia="Calibri" w:hAnsi="Times New Roman" w:cs="Times New Roman"/>
                <w:color w:val="000000"/>
                <w:sz w:val="20"/>
                <w:szCs w:val="20"/>
                <w:lang w:eastAsia="ar-SA"/>
              </w:rPr>
              <w:t>L</w:t>
            </w:r>
            <w:r w:rsidR="009072CE" w:rsidRPr="00A07F29">
              <w:rPr>
                <w:rFonts w:ascii="Times New Roman" w:eastAsia="Calibri" w:hAnsi="Times New Roman" w:cs="Times New Roman"/>
                <w:color w:val="000000"/>
                <w:sz w:val="20"/>
                <w:szCs w:val="20"/>
                <w:lang w:eastAsia="ar-SA"/>
              </w:rPr>
              <w:t>SG 4</w:t>
            </w:r>
          </w:p>
        </w:tc>
        <w:tc>
          <w:tcPr>
            <w:tcW w:w="1045" w:type="pct"/>
            <w:shd w:val="clear" w:color="auto" w:fill="auto"/>
          </w:tcPr>
          <w:p w14:paraId="06AF554C" w14:textId="07848F32" w:rsidR="009072CE" w:rsidRPr="00A07F29" w:rsidRDefault="009072CE"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Piemērotos biotopos samērā bieži satopama suga (Valainis</w:t>
            </w:r>
            <w:r w:rsidR="00D34218">
              <w:rPr>
                <w:rFonts w:ascii="Times New Roman" w:eastAsia="Calibri" w:hAnsi="Times New Roman" w:cs="Times New Roman"/>
                <w:color w:val="000000"/>
                <w:sz w:val="20"/>
                <w:szCs w:val="20"/>
                <w:lang w:eastAsia="ar-SA"/>
              </w:rPr>
              <w:t xml:space="preserve"> U.</w:t>
            </w:r>
            <w:r w:rsidRPr="00A07F29">
              <w:rPr>
                <w:rFonts w:ascii="Times New Roman" w:eastAsia="Calibri" w:hAnsi="Times New Roman" w:cs="Times New Roman"/>
                <w:color w:val="000000"/>
                <w:sz w:val="20"/>
                <w:szCs w:val="20"/>
                <w:lang w:eastAsia="ar-SA"/>
              </w:rPr>
              <w:t>, 2018).</w:t>
            </w:r>
          </w:p>
        </w:tc>
        <w:tc>
          <w:tcPr>
            <w:tcW w:w="971" w:type="pct"/>
            <w:shd w:val="clear" w:color="auto" w:fill="auto"/>
          </w:tcPr>
          <w:p w14:paraId="0F67FA69" w14:textId="77777777" w:rsidR="009072CE" w:rsidRPr="00A07F29" w:rsidRDefault="009072CE"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Suga samērā bieži sastopama AAA teritorijā esošos priežu mežos.</w:t>
            </w:r>
          </w:p>
        </w:tc>
      </w:tr>
      <w:tr w:rsidR="009072CE" w:rsidRPr="00A07F29" w14:paraId="22EF77D5" w14:textId="77777777" w:rsidTr="00014519">
        <w:trPr>
          <w:cantSplit/>
          <w:trHeight w:val="284"/>
        </w:trPr>
        <w:tc>
          <w:tcPr>
            <w:tcW w:w="894" w:type="pct"/>
            <w:shd w:val="clear" w:color="auto" w:fill="auto"/>
            <w:noWrap/>
            <w:vAlign w:val="center"/>
          </w:tcPr>
          <w:p w14:paraId="118F66C3" w14:textId="77777777" w:rsidR="009072CE" w:rsidRPr="00A07F29" w:rsidRDefault="009072CE" w:rsidP="009072CE">
            <w:pPr>
              <w:suppressAutoHyphens/>
              <w:spacing w:after="0" w:line="240" w:lineRule="auto"/>
              <w:rPr>
                <w:rFonts w:ascii="Times New Roman" w:eastAsia="Calibri" w:hAnsi="Times New Roman" w:cs="Times New Roman"/>
                <w:color w:val="000000"/>
                <w:sz w:val="20"/>
                <w:szCs w:val="20"/>
                <w:lang w:eastAsia="ar-SA"/>
              </w:rPr>
            </w:pPr>
            <w:proofErr w:type="spellStart"/>
            <w:r w:rsidRPr="00A07F29">
              <w:rPr>
                <w:rFonts w:ascii="Times New Roman" w:eastAsia="Calibri" w:hAnsi="Times New Roman" w:cs="Times New Roman"/>
                <w:color w:val="000000"/>
                <w:sz w:val="20"/>
                <w:szCs w:val="20"/>
                <w:lang w:eastAsia="ar-SA"/>
              </w:rPr>
              <w:t>Trīsr</w:t>
            </w:r>
            <w:r w:rsidRPr="00A07F29">
              <w:rPr>
                <w:rFonts w:ascii="Times New Roman" w:eastAsia="Calibri" w:hAnsi="Times New Roman" w:cs="Times New Roman"/>
                <w:color w:val="000000"/>
                <w:spacing w:val="-1"/>
                <w:sz w:val="20"/>
                <w:szCs w:val="20"/>
                <w:lang w:eastAsia="ar-SA"/>
              </w:rPr>
              <w:t>ag</w:t>
            </w:r>
            <w:r w:rsidRPr="00A07F29">
              <w:rPr>
                <w:rFonts w:ascii="Times New Roman" w:eastAsia="Calibri" w:hAnsi="Times New Roman" w:cs="Times New Roman"/>
                <w:color w:val="000000"/>
                <w:sz w:val="20"/>
                <w:szCs w:val="20"/>
                <w:lang w:eastAsia="ar-SA"/>
              </w:rPr>
              <w:t>u</w:t>
            </w:r>
            <w:proofErr w:type="spellEnd"/>
            <w:r w:rsidRPr="00A07F29">
              <w:rPr>
                <w:rFonts w:ascii="Times New Roman" w:eastAsia="Calibri" w:hAnsi="Times New Roman" w:cs="Times New Roman"/>
                <w:color w:val="000000"/>
                <w:spacing w:val="-2"/>
                <w:sz w:val="20"/>
                <w:szCs w:val="20"/>
                <w:lang w:eastAsia="ar-SA"/>
              </w:rPr>
              <w:t xml:space="preserve"> </w:t>
            </w:r>
            <w:proofErr w:type="spellStart"/>
            <w:r w:rsidRPr="00A07F29">
              <w:rPr>
                <w:rFonts w:ascii="Times New Roman" w:eastAsia="Calibri" w:hAnsi="Times New Roman" w:cs="Times New Roman"/>
                <w:color w:val="000000"/>
                <w:spacing w:val="-1"/>
                <w:sz w:val="20"/>
                <w:szCs w:val="20"/>
                <w:lang w:eastAsia="ar-SA"/>
              </w:rPr>
              <w:t>mē</w:t>
            </w:r>
            <w:r w:rsidRPr="00A07F29">
              <w:rPr>
                <w:rFonts w:ascii="Times New Roman" w:eastAsia="Calibri" w:hAnsi="Times New Roman" w:cs="Times New Roman"/>
                <w:color w:val="000000"/>
                <w:sz w:val="20"/>
                <w:szCs w:val="20"/>
                <w:lang w:eastAsia="ar-SA"/>
              </w:rPr>
              <w:t>sl</w:t>
            </w:r>
            <w:r w:rsidRPr="00A07F29">
              <w:rPr>
                <w:rFonts w:ascii="Times New Roman" w:eastAsia="Calibri" w:hAnsi="Times New Roman" w:cs="Times New Roman"/>
                <w:color w:val="000000"/>
                <w:spacing w:val="-1"/>
                <w:sz w:val="20"/>
                <w:szCs w:val="20"/>
                <w:lang w:eastAsia="ar-SA"/>
              </w:rPr>
              <w:t>va</w:t>
            </w:r>
            <w:r w:rsidRPr="00A07F29">
              <w:rPr>
                <w:rFonts w:ascii="Times New Roman" w:eastAsia="Calibri" w:hAnsi="Times New Roman" w:cs="Times New Roman"/>
                <w:color w:val="000000"/>
                <w:spacing w:val="1"/>
                <w:sz w:val="20"/>
                <w:szCs w:val="20"/>
                <w:lang w:eastAsia="ar-SA"/>
              </w:rPr>
              <w:t>bo</w:t>
            </w:r>
            <w:r w:rsidRPr="00A07F29">
              <w:rPr>
                <w:rFonts w:ascii="Times New Roman" w:eastAsia="Calibri" w:hAnsi="Times New Roman" w:cs="Times New Roman"/>
                <w:color w:val="000000"/>
                <w:sz w:val="20"/>
                <w:szCs w:val="20"/>
                <w:lang w:eastAsia="ar-SA"/>
              </w:rPr>
              <w:t>le</w:t>
            </w:r>
            <w:proofErr w:type="spellEnd"/>
          </w:p>
        </w:tc>
        <w:tc>
          <w:tcPr>
            <w:tcW w:w="821" w:type="pct"/>
            <w:shd w:val="clear" w:color="auto" w:fill="auto"/>
            <w:noWrap/>
            <w:vAlign w:val="center"/>
          </w:tcPr>
          <w:p w14:paraId="4565FA51" w14:textId="77777777" w:rsidR="009072CE" w:rsidRPr="00A07F29" w:rsidRDefault="009072CE" w:rsidP="009072CE">
            <w:pPr>
              <w:autoSpaceDE w:val="0"/>
              <w:autoSpaceDN w:val="0"/>
              <w:adjustRightInd w:val="0"/>
              <w:spacing w:after="0" w:line="240" w:lineRule="auto"/>
              <w:rPr>
                <w:rFonts w:ascii="Times New Roman" w:eastAsia="Calibri" w:hAnsi="Times New Roman" w:cs="Times New Roman"/>
                <w:i/>
                <w:iCs/>
                <w:color w:val="000000"/>
                <w:sz w:val="20"/>
                <w:szCs w:val="20"/>
              </w:rPr>
            </w:pPr>
            <w:proofErr w:type="spellStart"/>
            <w:r w:rsidRPr="00A07F29">
              <w:rPr>
                <w:rFonts w:ascii="Times New Roman" w:eastAsia="Calibri" w:hAnsi="Times New Roman" w:cs="Times New Roman"/>
                <w:i/>
                <w:color w:val="000000"/>
                <w:sz w:val="20"/>
                <w:szCs w:val="20"/>
              </w:rPr>
              <w:t>C</w:t>
            </w:r>
            <w:r w:rsidRPr="00A07F29">
              <w:rPr>
                <w:rFonts w:ascii="Times New Roman" w:eastAsia="Calibri" w:hAnsi="Times New Roman" w:cs="Times New Roman"/>
                <w:i/>
                <w:color w:val="000000"/>
                <w:spacing w:val="1"/>
                <w:sz w:val="20"/>
                <w:szCs w:val="20"/>
              </w:rPr>
              <w:t>op</w:t>
            </w:r>
            <w:r w:rsidRPr="00A07F29">
              <w:rPr>
                <w:rFonts w:ascii="Times New Roman" w:eastAsia="Calibri" w:hAnsi="Times New Roman" w:cs="Times New Roman"/>
                <w:i/>
                <w:color w:val="000000"/>
                <w:sz w:val="20"/>
                <w:szCs w:val="20"/>
              </w:rPr>
              <w:t>ris</w:t>
            </w:r>
            <w:proofErr w:type="spellEnd"/>
            <w:r w:rsidRPr="00A07F29">
              <w:rPr>
                <w:rFonts w:ascii="Times New Roman" w:eastAsia="Calibri" w:hAnsi="Times New Roman" w:cs="Times New Roman"/>
                <w:i/>
                <w:color w:val="000000"/>
                <w:spacing w:val="-2"/>
                <w:sz w:val="20"/>
                <w:szCs w:val="20"/>
              </w:rPr>
              <w:t xml:space="preserve"> </w:t>
            </w:r>
            <w:proofErr w:type="spellStart"/>
            <w:r w:rsidRPr="00A07F29">
              <w:rPr>
                <w:rFonts w:ascii="Times New Roman" w:eastAsia="Calibri" w:hAnsi="Times New Roman" w:cs="Times New Roman"/>
                <w:i/>
                <w:color w:val="000000"/>
                <w:spacing w:val="-2"/>
                <w:sz w:val="20"/>
                <w:szCs w:val="20"/>
              </w:rPr>
              <w:t>l</w:t>
            </w:r>
            <w:r w:rsidRPr="00A07F29">
              <w:rPr>
                <w:rFonts w:ascii="Times New Roman" w:eastAsia="Calibri" w:hAnsi="Times New Roman" w:cs="Times New Roman"/>
                <w:i/>
                <w:color w:val="000000"/>
                <w:spacing w:val="1"/>
                <w:sz w:val="20"/>
                <w:szCs w:val="20"/>
              </w:rPr>
              <w:t>u</w:t>
            </w:r>
            <w:r w:rsidRPr="00A07F29">
              <w:rPr>
                <w:rFonts w:ascii="Times New Roman" w:eastAsia="Calibri" w:hAnsi="Times New Roman" w:cs="Times New Roman"/>
                <w:i/>
                <w:color w:val="000000"/>
                <w:spacing w:val="-1"/>
                <w:sz w:val="20"/>
                <w:szCs w:val="20"/>
              </w:rPr>
              <w:t>n</w:t>
            </w:r>
            <w:r w:rsidRPr="00A07F29">
              <w:rPr>
                <w:rFonts w:ascii="Times New Roman" w:eastAsia="Calibri" w:hAnsi="Times New Roman" w:cs="Times New Roman"/>
                <w:i/>
                <w:color w:val="000000"/>
                <w:spacing w:val="1"/>
                <w:sz w:val="20"/>
                <w:szCs w:val="20"/>
              </w:rPr>
              <w:t>a</w:t>
            </w:r>
            <w:r w:rsidRPr="00A07F29">
              <w:rPr>
                <w:rFonts w:ascii="Times New Roman" w:eastAsia="Calibri" w:hAnsi="Times New Roman" w:cs="Times New Roman"/>
                <w:i/>
                <w:color w:val="000000"/>
                <w:sz w:val="20"/>
                <w:szCs w:val="20"/>
              </w:rPr>
              <w:t>ris</w:t>
            </w:r>
            <w:proofErr w:type="spellEnd"/>
          </w:p>
        </w:tc>
        <w:tc>
          <w:tcPr>
            <w:tcW w:w="674" w:type="pct"/>
            <w:shd w:val="clear" w:color="auto" w:fill="auto"/>
            <w:noWrap/>
            <w:vAlign w:val="center"/>
          </w:tcPr>
          <w:p w14:paraId="7440C718" w14:textId="77777777" w:rsidR="009072CE" w:rsidRPr="00A07F29" w:rsidRDefault="009072CE" w:rsidP="009072CE">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w:t>
            </w:r>
          </w:p>
        </w:tc>
        <w:tc>
          <w:tcPr>
            <w:tcW w:w="595" w:type="pct"/>
            <w:shd w:val="clear" w:color="auto" w:fill="auto"/>
            <w:noWrap/>
            <w:vAlign w:val="center"/>
          </w:tcPr>
          <w:p w14:paraId="7422E378" w14:textId="037628FD" w:rsidR="009072CE" w:rsidRPr="00A07F29" w:rsidRDefault="00D34218" w:rsidP="009072CE">
            <w:pPr>
              <w:suppressAutoHyphens/>
              <w:spacing w:after="0" w:line="240" w:lineRule="auto"/>
              <w:rPr>
                <w:rFonts w:ascii="Times New Roman" w:eastAsia="Calibri" w:hAnsi="Times New Roman" w:cs="Times New Roman"/>
                <w:color w:val="000000"/>
                <w:sz w:val="20"/>
                <w:szCs w:val="20"/>
                <w:lang w:eastAsia="ar-SA"/>
              </w:rPr>
            </w:pPr>
            <w:r>
              <w:rPr>
                <w:rFonts w:ascii="Times New Roman" w:eastAsia="Calibri" w:hAnsi="Times New Roman" w:cs="Times New Roman"/>
                <w:color w:val="000000"/>
                <w:sz w:val="20"/>
                <w:szCs w:val="20"/>
                <w:lang w:eastAsia="ar-SA"/>
              </w:rPr>
              <w:t>L</w:t>
            </w:r>
            <w:r w:rsidR="009072CE" w:rsidRPr="00A07F29">
              <w:rPr>
                <w:rFonts w:ascii="Times New Roman" w:eastAsia="Calibri" w:hAnsi="Times New Roman" w:cs="Times New Roman"/>
                <w:color w:val="000000"/>
                <w:sz w:val="20"/>
                <w:szCs w:val="20"/>
                <w:lang w:eastAsia="ar-SA"/>
              </w:rPr>
              <w:t>SG 2</w:t>
            </w:r>
          </w:p>
        </w:tc>
        <w:tc>
          <w:tcPr>
            <w:tcW w:w="1045" w:type="pct"/>
            <w:shd w:val="clear" w:color="auto" w:fill="auto"/>
          </w:tcPr>
          <w:p w14:paraId="797D6741" w14:textId="56923E90" w:rsidR="009072CE" w:rsidRPr="00A07F29" w:rsidRDefault="009072CE"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Latvijā suga izplatīta visā teritorijā, sastopama ļoti reti (</w:t>
            </w:r>
            <w:proofErr w:type="spellStart"/>
            <w:r w:rsidRPr="00A07F29">
              <w:rPr>
                <w:rFonts w:ascii="Times New Roman" w:eastAsia="Calibri" w:hAnsi="Times New Roman" w:cs="Times New Roman"/>
                <w:color w:val="000000"/>
                <w:sz w:val="20"/>
                <w:szCs w:val="20"/>
                <w:lang w:eastAsia="ar-SA"/>
              </w:rPr>
              <w:t>Spuris</w:t>
            </w:r>
            <w:proofErr w:type="spellEnd"/>
            <w:r w:rsidR="00D34218">
              <w:rPr>
                <w:rFonts w:ascii="Times New Roman" w:eastAsia="Calibri" w:hAnsi="Times New Roman" w:cs="Times New Roman"/>
                <w:color w:val="000000"/>
                <w:sz w:val="20"/>
                <w:szCs w:val="20"/>
                <w:lang w:eastAsia="ar-SA"/>
              </w:rPr>
              <w:t xml:space="preserve"> Z.</w:t>
            </w:r>
            <w:r w:rsidRPr="00A07F29">
              <w:rPr>
                <w:rFonts w:ascii="Times New Roman" w:eastAsia="Calibri" w:hAnsi="Times New Roman" w:cs="Times New Roman"/>
                <w:color w:val="000000"/>
                <w:sz w:val="20"/>
                <w:szCs w:val="20"/>
                <w:lang w:eastAsia="ar-SA"/>
              </w:rPr>
              <w:t>, 1998).</w:t>
            </w:r>
          </w:p>
        </w:tc>
        <w:tc>
          <w:tcPr>
            <w:tcW w:w="971" w:type="pct"/>
            <w:shd w:val="clear" w:color="auto" w:fill="auto"/>
          </w:tcPr>
          <w:p w14:paraId="5AEF21C5" w14:textId="1E9FA0D7" w:rsidR="009072CE" w:rsidRPr="00A07F29" w:rsidRDefault="00BF0E06"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DA plāna</w:t>
            </w:r>
            <w:r w:rsidR="009072CE" w:rsidRPr="00A07F29">
              <w:rPr>
                <w:rFonts w:ascii="Times New Roman" w:eastAsia="Calibri" w:hAnsi="Times New Roman" w:cs="Times New Roman"/>
                <w:color w:val="000000"/>
                <w:sz w:val="20"/>
                <w:szCs w:val="20"/>
                <w:lang w:eastAsia="ar-SA"/>
              </w:rPr>
              <w:t xml:space="preserve"> izstrādes laikā suga netika konstatēta.</w:t>
            </w:r>
          </w:p>
        </w:tc>
      </w:tr>
      <w:tr w:rsidR="009072CE" w:rsidRPr="00A07F29" w14:paraId="418013CB" w14:textId="77777777" w:rsidTr="00014519">
        <w:trPr>
          <w:cantSplit/>
          <w:trHeight w:val="284"/>
        </w:trPr>
        <w:tc>
          <w:tcPr>
            <w:tcW w:w="894" w:type="pct"/>
            <w:shd w:val="clear" w:color="auto" w:fill="auto"/>
            <w:noWrap/>
            <w:vAlign w:val="center"/>
          </w:tcPr>
          <w:p w14:paraId="57D4E41E" w14:textId="77777777" w:rsidR="009072CE" w:rsidRPr="00A07F29" w:rsidRDefault="009072CE" w:rsidP="009072CE">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 xml:space="preserve">Robainais </w:t>
            </w:r>
            <w:proofErr w:type="spellStart"/>
            <w:r w:rsidRPr="00A07F29">
              <w:rPr>
                <w:rFonts w:ascii="Times New Roman" w:eastAsia="Calibri" w:hAnsi="Times New Roman" w:cs="Times New Roman"/>
                <w:color w:val="000000"/>
                <w:sz w:val="20"/>
                <w:szCs w:val="20"/>
                <w:lang w:eastAsia="ar-SA"/>
              </w:rPr>
              <w:t>plakanis</w:t>
            </w:r>
            <w:proofErr w:type="spellEnd"/>
          </w:p>
        </w:tc>
        <w:tc>
          <w:tcPr>
            <w:tcW w:w="821" w:type="pct"/>
            <w:shd w:val="clear" w:color="auto" w:fill="auto"/>
            <w:noWrap/>
            <w:vAlign w:val="center"/>
          </w:tcPr>
          <w:p w14:paraId="1D404684" w14:textId="77777777" w:rsidR="009072CE" w:rsidRPr="00A07F29" w:rsidRDefault="009072CE" w:rsidP="009072CE">
            <w:pPr>
              <w:autoSpaceDE w:val="0"/>
              <w:autoSpaceDN w:val="0"/>
              <w:adjustRightInd w:val="0"/>
              <w:spacing w:after="0" w:line="240" w:lineRule="auto"/>
              <w:rPr>
                <w:rFonts w:ascii="Times New Roman" w:eastAsia="Calibri" w:hAnsi="Times New Roman" w:cs="Times New Roman"/>
                <w:color w:val="000000"/>
                <w:sz w:val="20"/>
                <w:szCs w:val="20"/>
              </w:rPr>
            </w:pPr>
            <w:proofErr w:type="spellStart"/>
            <w:r w:rsidRPr="00A07F29">
              <w:rPr>
                <w:rFonts w:ascii="Times New Roman" w:eastAsia="Calibri" w:hAnsi="Times New Roman" w:cs="Times New Roman"/>
                <w:i/>
                <w:iCs/>
                <w:color w:val="000000"/>
                <w:sz w:val="20"/>
                <w:szCs w:val="20"/>
              </w:rPr>
              <w:t>Dendrophagus</w:t>
            </w:r>
            <w:proofErr w:type="spellEnd"/>
            <w:r w:rsidRPr="00A07F29">
              <w:rPr>
                <w:rFonts w:ascii="Times New Roman" w:eastAsia="Calibri" w:hAnsi="Times New Roman" w:cs="Times New Roman"/>
                <w:i/>
                <w:iCs/>
                <w:color w:val="000000"/>
                <w:sz w:val="20"/>
                <w:szCs w:val="20"/>
              </w:rPr>
              <w:t xml:space="preserve"> </w:t>
            </w:r>
            <w:proofErr w:type="spellStart"/>
            <w:r w:rsidRPr="00A07F29">
              <w:rPr>
                <w:rFonts w:ascii="Times New Roman" w:eastAsia="Calibri" w:hAnsi="Times New Roman" w:cs="Times New Roman"/>
                <w:i/>
                <w:iCs/>
                <w:color w:val="000000"/>
                <w:sz w:val="20"/>
                <w:szCs w:val="20"/>
              </w:rPr>
              <w:t>crenatus</w:t>
            </w:r>
            <w:proofErr w:type="spellEnd"/>
            <w:r w:rsidRPr="00A07F29">
              <w:rPr>
                <w:rFonts w:ascii="Times New Roman" w:eastAsia="Calibri" w:hAnsi="Times New Roman" w:cs="Times New Roman"/>
                <w:i/>
                <w:iCs/>
                <w:color w:val="000000"/>
                <w:sz w:val="20"/>
                <w:szCs w:val="20"/>
              </w:rPr>
              <w:t xml:space="preserve"> </w:t>
            </w:r>
          </w:p>
        </w:tc>
        <w:tc>
          <w:tcPr>
            <w:tcW w:w="674" w:type="pct"/>
            <w:shd w:val="clear" w:color="auto" w:fill="auto"/>
            <w:noWrap/>
            <w:vAlign w:val="center"/>
          </w:tcPr>
          <w:p w14:paraId="45DDF3D8" w14:textId="77777777" w:rsidR="009072CE" w:rsidRPr="00A07F29" w:rsidRDefault="009072CE" w:rsidP="009072CE">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w:t>
            </w:r>
          </w:p>
        </w:tc>
        <w:tc>
          <w:tcPr>
            <w:tcW w:w="595" w:type="pct"/>
            <w:shd w:val="clear" w:color="auto" w:fill="auto"/>
            <w:noWrap/>
            <w:vAlign w:val="center"/>
          </w:tcPr>
          <w:p w14:paraId="6EE080A7" w14:textId="77777777" w:rsidR="009072CE" w:rsidRPr="00A07F29" w:rsidRDefault="009072CE" w:rsidP="009072CE">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MAB (IS)</w:t>
            </w:r>
          </w:p>
        </w:tc>
        <w:tc>
          <w:tcPr>
            <w:tcW w:w="1045" w:type="pct"/>
            <w:shd w:val="clear" w:color="auto" w:fill="auto"/>
          </w:tcPr>
          <w:p w14:paraId="35B4890B" w14:textId="77777777" w:rsidR="009072CE" w:rsidRPr="00A07F29" w:rsidRDefault="009072CE"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 xml:space="preserve">Samērā bieži sastopama mežaudžu atslēgas biotopu </w:t>
            </w:r>
            <w:proofErr w:type="spellStart"/>
            <w:r w:rsidRPr="00A07F29">
              <w:rPr>
                <w:rFonts w:ascii="Times New Roman" w:eastAsia="Calibri" w:hAnsi="Times New Roman" w:cs="Times New Roman"/>
                <w:color w:val="000000"/>
                <w:sz w:val="20"/>
                <w:szCs w:val="20"/>
                <w:lang w:eastAsia="ar-SA"/>
              </w:rPr>
              <w:t>indikatorsuga</w:t>
            </w:r>
            <w:proofErr w:type="spellEnd"/>
            <w:r w:rsidRPr="00A07F29">
              <w:rPr>
                <w:rFonts w:ascii="Times New Roman" w:eastAsia="Calibri" w:hAnsi="Times New Roman" w:cs="Times New Roman"/>
                <w:color w:val="000000"/>
                <w:sz w:val="20"/>
                <w:szCs w:val="20"/>
                <w:lang w:eastAsia="ar-SA"/>
              </w:rPr>
              <w:t>.</w:t>
            </w:r>
          </w:p>
        </w:tc>
        <w:tc>
          <w:tcPr>
            <w:tcW w:w="971" w:type="pct"/>
            <w:shd w:val="clear" w:color="auto" w:fill="auto"/>
          </w:tcPr>
          <w:p w14:paraId="69FA46EE" w14:textId="77777777" w:rsidR="009072CE" w:rsidRPr="00A07F29" w:rsidRDefault="009072CE"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Suga samērā bieži sastopama AAA teritorijā esošos priežu mežos.</w:t>
            </w:r>
          </w:p>
        </w:tc>
      </w:tr>
      <w:tr w:rsidR="009072CE" w:rsidRPr="00A07F29" w14:paraId="4113C15A" w14:textId="77777777" w:rsidTr="00014519">
        <w:trPr>
          <w:cantSplit/>
          <w:trHeight w:val="284"/>
        </w:trPr>
        <w:tc>
          <w:tcPr>
            <w:tcW w:w="894" w:type="pct"/>
            <w:shd w:val="clear" w:color="auto" w:fill="auto"/>
            <w:noWrap/>
            <w:vAlign w:val="center"/>
          </w:tcPr>
          <w:p w14:paraId="69842BD5" w14:textId="77777777" w:rsidR="009072CE" w:rsidRPr="00A07F29" w:rsidRDefault="009072CE" w:rsidP="009072CE">
            <w:pPr>
              <w:autoSpaceDE w:val="0"/>
              <w:autoSpaceDN w:val="0"/>
              <w:adjustRightInd w:val="0"/>
              <w:spacing w:after="0" w:line="240" w:lineRule="auto"/>
              <w:rPr>
                <w:rFonts w:ascii="Times New Roman" w:eastAsia="Calibri" w:hAnsi="Times New Roman" w:cs="Times New Roman"/>
                <w:color w:val="000000"/>
                <w:sz w:val="20"/>
                <w:szCs w:val="20"/>
              </w:rPr>
            </w:pPr>
            <w:r w:rsidRPr="00A07F29">
              <w:rPr>
                <w:rFonts w:ascii="Times New Roman" w:eastAsia="Calibri" w:hAnsi="Times New Roman" w:cs="Times New Roman"/>
                <w:color w:val="000000"/>
                <w:sz w:val="20"/>
                <w:szCs w:val="20"/>
              </w:rPr>
              <w:t xml:space="preserve">Alkšņu </w:t>
            </w:r>
            <w:proofErr w:type="spellStart"/>
            <w:r w:rsidRPr="00A07F29">
              <w:rPr>
                <w:rFonts w:ascii="Times New Roman" w:eastAsia="Calibri" w:hAnsi="Times New Roman" w:cs="Times New Roman"/>
                <w:color w:val="000000"/>
                <w:sz w:val="20"/>
                <w:szCs w:val="20"/>
              </w:rPr>
              <w:t>krāšņvabole</w:t>
            </w:r>
            <w:proofErr w:type="spellEnd"/>
            <w:r w:rsidRPr="00A07F29">
              <w:rPr>
                <w:rFonts w:ascii="Times New Roman" w:eastAsia="Calibri" w:hAnsi="Times New Roman" w:cs="Times New Roman"/>
                <w:color w:val="000000"/>
                <w:sz w:val="20"/>
                <w:szCs w:val="20"/>
              </w:rPr>
              <w:t xml:space="preserve"> </w:t>
            </w:r>
          </w:p>
        </w:tc>
        <w:tc>
          <w:tcPr>
            <w:tcW w:w="821" w:type="pct"/>
            <w:shd w:val="clear" w:color="auto" w:fill="auto"/>
            <w:noWrap/>
            <w:vAlign w:val="center"/>
          </w:tcPr>
          <w:p w14:paraId="0E928976" w14:textId="77777777" w:rsidR="009072CE" w:rsidRPr="00A07F29" w:rsidRDefault="009072CE" w:rsidP="009072CE">
            <w:pPr>
              <w:autoSpaceDE w:val="0"/>
              <w:autoSpaceDN w:val="0"/>
              <w:adjustRightInd w:val="0"/>
              <w:spacing w:after="0" w:line="240" w:lineRule="auto"/>
              <w:rPr>
                <w:rFonts w:ascii="Times New Roman" w:eastAsia="Calibri" w:hAnsi="Times New Roman" w:cs="Times New Roman"/>
                <w:color w:val="000000"/>
                <w:sz w:val="20"/>
                <w:szCs w:val="20"/>
              </w:rPr>
            </w:pPr>
            <w:proofErr w:type="spellStart"/>
            <w:r w:rsidRPr="00A07F29">
              <w:rPr>
                <w:rFonts w:ascii="Times New Roman" w:eastAsia="Calibri" w:hAnsi="Times New Roman" w:cs="Times New Roman"/>
                <w:i/>
                <w:iCs/>
                <w:color w:val="000000"/>
                <w:sz w:val="20"/>
                <w:szCs w:val="20"/>
              </w:rPr>
              <w:t>Dicerca</w:t>
            </w:r>
            <w:proofErr w:type="spellEnd"/>
            <w:r w:rsidRPr="00A07F29">
              <w:rPr>
                <w:rFonts w:ascii="Times New Roman" w:eastAsia="Calibri" w:hAnsi="Times New Roman" w:cs="Times New Roman"/>
                <w:i/>
                <w:iCs/>
                <w:color w:val="000000"/>
                <w:sz w:val="20"/>
                <w:szCs w:val="20"/>
              </w:rPr>
              <w:t xml:space="preserve"> alni </w:t>
            </w:r>
          </w:p>
        </w:tc>
        <w:tc>
          <w:tcPr>
            <w:tcW w:w="674" w:type="pct"/>
            <w:shd w:val="clear" w:color="auto" w:fill="auto"/>
            <w:noWrap/>
            <w:vAlign w:val="center"/>
          </w:tcPr>
          <w:p w14:paraId="26B029BE" w14:textId="77777777" w:rsidR="009072CE" w:rsidRPr="00A07F29" w:rsidRDefault="009072CE" w:rsidP="009072CE">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w:t>
            </w:r>
          </w:p>
        </w:tc>
        <w:tc>
          <w:tcPr>
            <w:tcW w:w="595" w:type="pct"/>
            <w:shd w:val="clear" w:color="auto" w:fill="auto"/>
            <w:noWrap/>
            <w:vAlign w:val="center"/>
          </w:tcPr>
          <w:p w14:paraId="4F3E2880" w14:textId="77777777" w:rsidR="009072CE" w:rsidRPr="00A07F29" w:rsidRDefault="009072CE" w:rsidP="009072CE">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MAB (BSS)</w:t>
            </w:r>
          </w:p>
        </w:tc>
        <w:tc>
          <w:tcPr>
            <w:tcW w:w="1045" w:type="pct"/>
            <w:shd w:val="clear" w:color="auto" w:fill="auto"/>
          </w:tcPr>
          <w:p w14:paraId="1EA4A579" w14:textId="77777777" w:rsidR="009072CE" w:rsidRPr="00A07F29" w:rsidRDefault="009072CE"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Reti sastopama mežaudžu atslēgas biotopu speciālistu suga.</w:t>
            </w:r>
          </w:p>
        </w:tc>
        <w:tc>
          <w:tcPr>
            <w:tcW w:w="971" w:type="pct"/>
            <w:shd w:val="clear" w:color="auto" w:fill="auto"/>
          </w:tcPr>
          <w:p w14:paraId="2D6CC6CF" w14:textId="6E09B3EA" w:rsidR="009072CE" w:rsidRPr="00A07F29" w:rsidRDefault="00BF0E06"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DA plāna</w:t>
            </w:r>
            <w:r w:rsidR="009072CE" w:rsidRPr="00A07F29">
              <w:rPr>
                <w:rFonts w:ascii="Times New Roman" w:eastAsia="Calibri" w:hAnsi="Times New Roman" w:cs="Times New Roman"/>
                <w:color w:val="000000"/>
                <w:sz w:val="20"/>
                <w:szCs w:val="20"/>
                <w:lang w:eastAsia="ar-SA"/>
              </w:rPr>
              <w:t xml:space="preserve"> izstrādes laikā suga netika konstatēta.</w:t>
            </w:r>
          </w:p>
        </w:tc>
      </w:tr>
      <w:tr w:rsidR="009072CE" w:rsidRPr="00A07F29" w14:paraId="2E48B54C" w14:textId="77777777" w:rsidTr="00014519">
        <w:trPr>
          <w:cantSplit/>
          <w:trHeight w:val="284"/>
        </w:trPr>
        <w:tc>
          <w:tcPr>
            <w:tcW w:w="894" w:type="pct"/>
            <w:shd w:val="clear" w:color="auto" w:fill="auto"/>
            <w:noWrap/>
            <w:vAlign w:val="center"/>
          </w:tcPr>
          <w:p w14:paraId="2DED5E7B" w14:textId="77777777" w:rsidR="009072CE" w:rsidRPr="00A07F29" w:rsidRDefault="009072CE" w:rsidP="009072CE">
            <w:pPr>
              <w:autoSpaceDE w:val="0"/>
              <w:autoSpaceDN w:val="0"/>
              <w:adjustRightInd w:val="0"/>
              <w:spacing w:after="0" w:line="240" w:lineRule="auto"/>
              <w:rPr>
                <w:rFonts w:ascii="Times New Roman" w:eastAsia="Calibri" w:hAnsi="Times New Roman" w:cs="Times New Roman"/>
                <w:color w:val="000000"/>
                <w:sz w:val="20"/>
                <w:szCs w:val="20"/>
              </w:rPr>
            </w:pPr>
            <w:r w:rsidRPr="00A07F29">
              <w:rPr>
                <w:rFonts w:ascii="Times New Roman" w:eastAsia="Calibri" w:hAnsi="Times New Roman" w:cs="Times New Roman"/>
                <w:color w:val="000000"/>
                <w:spacing w:val="1"/>
                <w:sz w:val="20"/>
                <w:szCs w:val="20"/>
              </w:rPr>
              <w:t>B</w:t>
            </w:r>
            <w:r w:rsidRPr="00A07F29">
              <w:rPr>
                <w:rFonts w:ascii="Times New Roman" w:eastAsia="Calibri" w:hAnsi="Times New Roman" w:cs="Times New Roman"/>
                <w:color w:val="000000"/>
                <w:sz w:val="20"/>
                <w:szCs w:val="20"/>
              </w:rPr>
              <w:t>l</w:t>
            </w:r>
            <w:r w:rsidRPr="00A07F29">
              <w:rPr>
                <w:rFonts w:ascii="Times New Roman" w:eastAsia="Calibri" w:hAnsi="Times New Roman" w:cs="Times New Roman"/>
                <w:color w:val="000000"/>
                <w:spacing w:val="-1"/>
                <w:sz w:val="20"/>
                <w:szCs w:val="20"/>
              </w:rPr>
              <w:t>āv</w:t>
            </w:r>
            <w:r w:rsidRPr="00A07F29">
              <w:rPr>
                <w:rFonts w:ascii="Times New Roman" w:eastAsia="Calibri" w:hAnsi="Times New Roman" w:cs="Times New Roman"/>
                <w:color w:val="000000"/>
                <w:sz w:val="20"/>
                <w:szCs w:val="20"/>
              </w:rPr>
              <w:t>ā</w:t>
            </w:r>
            <w:r w:rsidRPr="00A07F29">
              <w:rPr>
                <w:rFonts w:ascii="Times New Roman" w:eastAsia="Calibri" w:hAnsi="Times New Roman" w:cs="Times New Roman"/>
                <w:color w:val="000000"/>
                <w:spacing w:val="-2"/>
                <w:sz w:val="20"/>
                <w:szCs w:val="20"/>
              </w:rPr>
              <w:t xml:space="preserve"> </w:t>
            </w:r>
            <w:r w:rsidRPr="00A07F29">
              <w:rPr>
                <w:rFonts w:ascii="Times New Roman" w:eastAsia="Calibri" w:hAnsi="Times New Roman" w:cs="Times New Roman"/>
                <w:color w:val="000000"/>
                <w:spacing w:val="1"/>
                <w:sz w:val="20"/>
                <w:szCs w:val="20"/>
              </w:rPr>
              <w:t>b</w:t>
            </w:r>
            <w:r w:rsidRPr="00A07F29">
              <w:rPr>
                <w:rFonts w:ascii="Times New Roman" w:eastAsia="Calibri" w:hAnsi="Times New Roman" w:cs="Times New Roman"/>
                <w:color w:val="000000"/>
                <w:sz w:val="20"/>
                <w:szCs w:val="20"/>
              </w:rPr>
              <w:t>ri</w:t>
            </w:r>
            <w:r w:rsidRPr="00A07F29">
              <w:rPr>
                <w:rFonts w:ascii="Times New Roman" w:eastAsia="Calibri" w:hAnsi="Times New Roman" w:cs="Times New Roman"/>
                <w:color w:val="000000"/>
                <w:spacing w:val="-1"/>
                <w:sz w:val="20"/>
                <w:szCs w:val="20"/>
              </w:rPr>
              <w:t>ežva</w:t>
            </w:r>
            <w:r w:rsidRPr="00A07F29">
              <w:rPr>
                <w:rFonts w:ascii="Times New Roman" w:eastAsia="Calibri" w:hAnsi="Times New Roman" w:cs="Times New Roman"/>
                <w:color w:val="000000"/>
                <w:spacing w:val="1"/>
                <w:sz w:val="20"/>
                <w:szCs w:val="20"/>
              </w:rPr>
              <w:t>bo</w:t>
            </w:r>
            <w:r w:rsidRPr="00A07F29">
              <w:rPr>
                <w:rFonts w:ascii="Times New Roman" w:eastAsia="Calibri" w:hAnsi="Times New Roman" w:cs="Times New Roman"/>
                <w:color w:val="000000"/>
                <w:sz w:val="20"/>
                <w:szCs w:val="20"/>
              </w:rPr>
              <w:t>le</w:t>
            </w:r>
          </w:p>
        </w:tc>
        <w:tc>
          <w:tcPr>
            <w:tcW w:w="821" w:type="pct"/>
            <w:shd w:val="clear" w:color="auto" w:fill="auto"/>
            <w:noWrap/>
            <w:vAlign w:val="center"/>
          </w:tcPr>
          <w:p w14:paraId="064E64C9" w14:textId="77777777" w:rsidR="009072CE" w:rsidRPr="00A07F29" w:rsidRDefault="009072CE" w:rsidP="009072CE">
            <w:pPr>
              <w:autoSpaceDE w:val="0"/>
              <w:autoSpaceDN w:val="0"/>
              <w:adjustRightInd w:val="0"/>
              <w:spacing w:after="0" w:line="240" w:lineRule="auto"/>
              <w:rPr>
                <w:rFonts w:ascii="Times New Roman" w:eastAsia="Calibri" w:hAnsi="Times New Roman" w:cs="Times New Roman"/>
                <w:i/>
                <w:iCs/>
                <w:color w:val="000000"/>
                <w:sz w:val="20"/>
                <w:szCs w:val="20"/>
              </w:rPr>
            </w:pPr>
            <w:proofErr w:type="spellStart"/>
            <w:r w:rsidRPr="00A07F29">
              <w:rPr>
                <w:rFonts w:ascii="Times New Roman" w:eastAsia="Calibri" w:hAnsi="Times New Roman" w:cs="Times New Roman"/>
                <w:i/>
                <w:color w:val="000000"/>
                <w:sz w:val="20"/>
                <w:szCs w:val="20"/>
              </w:rPr>
              <w:t>D</w:t>
            </w:r>
            <w:r w:rsidRPr="00A07F29">
              <w:rPr>
                <w:rFonts w:ascii="Times New Roman" w:eastAsia="Calibri" w:hAnsi="Times New Roman" w:cs="Times New Roman"/>
                <w:i/>
                <w:color w:val="000000"/>
                <w:spacing w:val="1"/>
                <w:sz w:val="20"/>
                <w:szCs w:val="20"/>
              </w:rPr>
              <w:t>o</w:t>
            </w:r>
            <w:r w:rsidRPr="00A07F29">
              <w:rPr>
                <w:rFonts w:ascii="Times New Roman" w:eastAsia="Calibri" w:hAnsi="Times New Roman" w:cs="Times New Roman"/>
                <w:i/>
                <w:color w:val="000000"/>
                <w:sz w:val="20"/>
                <w:szCs w:val="20"/>
              </w:rPr>
              <w:t>r</w:t>
            </w:r>
            <w:r w:rsidRPr="00A07F29">
              <w:rPr>
                <w:rFonts w:ascii="Times New Roman" w:eastAsia="Calibri" w:hAnsi="Times New Roman" w:cs="Times New Roman"/>
                <w:i/>
                <w:color w:val="000000"/>
                <w:spacing w:val="-1"/>
                <w:sz w:val="20"/>
                <w:szCs w:val="20"/>
              </w:rPr>
              <w:t>c</w:t>
            </w:r>
            <w:r w:rsidRPr="00A07F29">
              <w:rPr>
                <w:rFonts w:ascii="Times New Roman" w:eastAsia="Calibri" w:hAnsi="Times New Roman" w:cs="Times New Roman"/>
                <w:i/>
                <w:color w:val="000000"/>
                <w:spacing w:val="1"/>
                <w:sz w:val="20"/>
                <w:szCs w:val="20"/>
              </w:rPr>
              <w:t>u</w:t>
            </w:r>
            <w:r w:rsidRPr="00A07F29">
              <w:rPr>
                <w:rFonts w:ascii="Times New Roman" w:eastAsia="Calibri" w:hAnsi="Times New Roman" w:cs="Times New Roman"/>
                <w:i/>
                <w:color w:val="000000"/>
                <w:sz w:val="20"/>
                <w:szCs w:val="20"/>
              </w:rPr>
              <w:t>s</w:t>
            </w:r>
            <w:proofErr w:type="spellEnd"/>
            <w:r w:rsidRPr="00A07F29">
              <w:rPr>
                <w:rFonts w:ascii="Times New Roman" w:eastAsia="Calibri" w:hAnsi="Times New Roman" w:cs="Times New Roman"/>
                <w:i/>
                <w:color w:val="000000"/>
                <w:spacing w:val="-4"/>
                <w:sz w:val="20"/>
                <w:szCs w:val="20"/>
              </w:rPr>
              <w:t xml:space="preserve"> </w:t>
            </w:r>
            <w:proofErr w:type="spellStart"/>
            <w:r w:rsidRPr="00A07F29">
              <w:rPr>
                <w:rFonts w:ascii="Times New Roman" w:eastAsia="Calibri" w:hAnsi="Times New Roman" w:cs="Times New Roman"/>
                <w:i/>
                <w:color w:val="000000"/>
                <w:spacing w:val="1"/>
                <w:sz w:val="20"/>
                <w:szCs w:val="20"/>
              </w:rPr>
              <w:t>pa</w:t>
            </w:r>
            <w:r w:rsidRPr="00A07F29">
              <w:rPr>
                <w:rFonts w:ascii="Times New Roman" w:eastAsia="Calibri" w:hAnsi="Times New Roman" w:cs="Times New Roman"/>
                <w:i/>
                <w:color w:val="000000"/>
                <w:spacing w:val="-3"/>
                <w:sz w:val="20"/>
                <w:szCs w:val="20"/>
              </w:rPr>
              <w:t>r</w:t>
            </w:r>
            <w:r w:rsidRPr="00A07F29">
              <w:rPr>
                <w:rFonts w:ascii="Times New Roman" w:eastAsia="Calibri" w:hAnsi="Times New Roman" w:cs="Times New Roman"/>
                <w:i/>
                <w:color w:val="000000"/>
                <w:spacing w:val="1"/>
                <w:sz w:val="20"/>
                <w:szCs w:val="20"/>
              </w:rPr>
              <w:t>a</w:t>
            </w:r>
            <w:r w:rsidRPr="00A07F29">
              <w:rPr>
                <w:rFonts w:ascii="Times New Roman" w:eastAsia="Calibri" w:hAnsi="Times New Roman" w:cs="Times New Roman"/>
                <w:i/>
                <w:color w:val="000000"/>
                <w:sz w:val="20"/>
                <w:szCs w:val="20"/>
              </w:rPr>
              <w:t>ll</w:t>
            </w:r>
            <w:r w:rsidRPr="00A07F29">
              <w:rPr>
                <w:rFonts w:ascii="Times New Roman" w:eastAsia="Calibri" w:hAnsi="Times New Roman" w:cs="Times New Roman"/>
                <w:i/>
                <w:color w:val="000000"/>
                <w:spacing w:val="-1"/>
                <w:sz w:val="20"/>
                <w:szCs w:val="20"/>
              </w:rPr>
              <w:t>e</w:t>
            </w:r>
            <w:r w:rsidRPr="00A07F29">
              <w:rPr>
                <w:rFonts w:ascii="Times New Roman" w:eastAsia="Calibri" w:hAnsi="Times New Roman" w:cs="Times New Roman"/>
                <w:i/>
                <w:color w:val="000000"/>
                <w:sz w:val="20"/>
                <w:szCs w:val="20"/>
              </w:rPr>
              <w:t>l</w:t>
            </w:r>
            <w:r w:rsidRPr="00A07F29">
              <w:rPr>
                <w:rFonts w:ascii="Times New Roman" w:eastAsia="Calibri" w:hAnsi="Times New Roman" w:cs="Times New Roman"/>
                <w:i/>
                <w:color w:val="000000"/>
                <w:spacing w:val="-1"/>
                <w:sz w:val="20"/>
                <w:szCs w:val="20"/>
              </w:rPr>
              <w:t>o</w:t>
            </w:r>
            <w:r w:rsidRPr="00A07F29">
              <w:rPr>
                <w:rFonts w:ascii="Times New Roman" w:eastAsia="Calibri" w:hAnsi="Times New Roman" w:cs="Times New Roman"/>
                <w:i/>
                <w:color w:val="000000"/>
                <w:spacing w:val="1"/>
                <w:sz w:val="20"/>
                <w:szCs w:val="20"/>
              </w:rPr>
              <w:t>p</w:t>
            </w:r>
            <w:r w:rsidRPr="00A07F29">
              <w:rPr>
                <w:rFonts w:ascii="Times New Roman" w:eastAsia="Calibri" w:hAnsi="Times New Roman" w:cs="Times New Roman"/>
                <w:i/>
                <w:color w:val="000000"/>
                <w:spacing w:val="-2"/>
                <w:sz w:val="20"/>
                <w:szCs w:val="20"/>
              </w:rPr>
              <w:t>i</w:t>
            </w:r>
            <w:r w:rsidRPr="00A07F29">
              <w:rPr>
                <w:rFonts w:ascii="Times New Roman" w:eastAsia="Calibri" w:hAnsi="Times New Roman" w:cs="Times New Roman"/>
                <w:i/>
                <w:color w:val="000000"/>
                <w:spacing w:val="1"/>
                <w:sz w:val="20"/>
                <w:szCs w:val="20"/>
              </w:rPr>
              <w:t>p</w:t>
            </w:r>
            <w:r w:rsidRPr="00A07F29">
              <w:rPr>
                <w:rFonts w:ascii="Times New Roman" w:eastAsia="Calibri" w:hAnsi="Times New Roman" w:cs="Times New Roman"/>
                <w:i/>
                <w:color w:val="000000"/>
                <w:spacing w:val="-1"/>
                <w:sz w:val="20"/>
                <w:szCs w:val="20"/>
              </w:rPr>
              <w:t>e</w:t>
            </w:r>
            <w:r w:rsidRPr="00A07F29">
              <w:rPr>
                <w:rFonts w:ascii="Times New Roman" w:eastAsia="Calibri" w:hAnsi="Times New Roman" w:cs="Times New Roman"/>
                <w:i/>
                <w:color w:val="000000"/>
                <w:spacing w:val="1"/>
                <w:sz w:val="20"/>
                <w:szCs w:val="20"/>
              </w:rPr>
              <w:t>du</w:t>
            </w:r>
            <w:r w:rsidRPr="00A07F29">
              <w:rPr>
                <w:rFonts w:ascii="Times New Roman" w:eastAsia="Calibri" w:hAnsi="Times New Roman" w:cs="Times New Roman"/>
                <w:i/>
                <w:color w:val="000000"/>
                <w:sz w:val="20"/>
                <w:szCs w:val="20"/>
              </w:rPr>
              <w:t>s</w:t>
            </w:r>
            <w:proofErr w:type="spellEnd"/>
          </w:p>
        </w:tc>
        <w:tc>
          <w:tcPr>
            <w:tcW w:w="674" w:type="pct"/>
            <w:shd w:val="clear" w:color="auto" w:fill="auto"/>
            <w:noWrap/>
            <w:vAlign w:val="center"/>
          </w:tcPr>
          <w:p w14:paraId="087D2D2B" w14:textId="426DB5CD" w:rsidR="009072CE" w:rsidRPr="00A07F29" w:rsidRDefault="009072CE" w:rsidP="009072CE">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ĪAS</w:t>
            </w:r>
          </w:p>
        </w:tc>
        <w:tc>
          <w:tcPr>
            <w:tcW w:w="595" w:type="pct"/>
            <w:shd w:val="clear" w:color="auto" w:fill="auto"/>
            <w:noWrap/>
            <w:vAlign w:val="center"/>
          </w:tcPr>
          <w:p w14:paraId="453A7C4C" w14:textId="3C8BD1C4" w:rsidR="009072CE" w:rsidRPr="00A07F29" w:rsidRDefault="00570ABE" w:rsidP="009072CE">
            <w:pPr>
              <w:suppressAutoHyphens/>
              <w:spacing w:after="0" w:line="240" w:lineRule="auto"/>
              <w:rPr>
                <w:rFonts w:ascii="Times New Roman" w:eastAsia="Calibri" w:hAnsi="Times New Roman" w:cs="Times New Roman"/>
                <w:color w:val="000000"/>
                <w:sz w:val="20"/>
                <w:szCs w:val="20"/>
                <w:lang w:eastAsia="ar-SA"/>
              </w:rPr>
            </w:pPr>
            <w:r>
              <w:rPr>
                <w:rFonts w:ascii="Times New Roman" w:eastAsia="Calibri" w:hAnsi="Times New Roman" w:cs="Times New Roman"/>
                <w:color w:val="000000"/>
                <w:sz w:val="20"/>
                <w:szCs w:val="20"/>
                <w:lang w:eastAsia="ar-SA"/>
              </w:rPr>
              <w:t>L</w:t>
            </w:r>
            <w:r w:rsidR="009072CE" w:rsidRPr="00A07F29">
              <w:rPr>
                <w:rFonts w:ascii="Times New Roman" w:eastAsia="Calibri" w:hAnsi="Times New Roman" w:cs="Times New Roman"/>
                <w:color w:val="000000"/>
                <w:sz w:val="20"/>
                <w:szCs w:val="20"/>
                <w:lang w:eastAsia="ar-SA"/>
              </w:rPr>
              <w:t>SG 2, MAB (BSS)</w:t>
            </w:r>
          </w:p>
        </w:tc>
        <w:tc>
          <w:tcPr>
            <w:tcW w:w="1045" w:type="pct"/>
            <w:shd w:val="clear" w:color="auto" w:fill="FFFFFF"/>
          </w:tcPr>
          <w:p w14:paraId="6FBF59DB" w14:textId="188D21D9" w:rsidR="009072CE" w:rsidRPr="00A07F29" w:rsidRDefault="009072CE"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Suga sastopama samērā bieži, izklaidus visā Latvijas teritorijā (Valainis</w:t>
            </w:r>
            <w:r w:rsidR="00570ABE">
              <w:rPr>
                <w:rFonts w:ascii="Times New Roman" w:eastAsia="Calibri" w:hAnsi="Times New Roman" w:cs="Times New Roman"/>
                <w:color w:val="000000"/>
                <w:sz w:val="20"/>
                <w:szCs w:val="20"/>
                <w:lang w:eastAsia="ar-SA"/>
              </w:rPr>
              <w:t xml:space="preserve"> U.</w:t>
            </w:r>
            <w:r w:rsidRPr="00A07F29">
              <w:rPr>
                <w:rFonts w:ascii="Times New Roman" w:eastAsia="Calibri" w:hAnsi="Times New Roman" w:cs="Times New Roman"/>
                <w:color w:val="000000"/>
                <w:sz w:val="20"/>
                <w:szCs w:val="20"/>
                <w:lang w:eastAsia="ar-SA"/>
              </w:rPr>
              <w:t>, 2018).</w:t>
            </w:r>
          </w:p>
        </w:tc>
        <w:tc>
          <w:tcPr>
            <w:tcW w:w="971" w:type="pct"/>
            <w:shd w:val="clear" w:color="auto" w:fill="auto"/>
          </w:tcPr>
          <w:p w14:paraId="1AE71621" w14:textId="05480089" w:rsidR="009072CE" w:rsidRPr="00A07F29" w:rsidRDefault="00BF0E06"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DA plāna</w:t>
            </w:r>
            <w:r w:rsidR="009072CE" w:rsidRPr="00A07F29">
              <w:rPr>
                <w:rFonts w:ascii="Times New Roman" w:eastAsia="Calibri" w:hAnsi="Times New Roman" w:cs="Times New Roman"/>
                <w:color w:val="000000"/>
                <w:sz w:val="20"/>
                <w:szCs w:val="20"/>
                <w:lang w:eastAsia="ar-SA"/>
              </w:rPr>
              <w:t xml:space="preserve"> izstrādes laikā suga netika konstatēta.</w:t>
            </w:r>
          </w:p>
        </w:tc>
      </w:tr>
      <w:tr w:rsidR="009072CE" w:rsidRPr="00A07F29" w14:paraId="236A12DE" w14:textId="77777777" w:rsidTr="00014519">
        <w:trPr>
          <w:cantSplit/>
          <w:trHeight w:val="284"/>
        </w:trPr>
        <w:tc>
          <w:tcPr>
            <w:tcW w:w="894" w:type="pct"/>
            <w:shd w:val="clear" w:color="auto" w:fill="auto"/>
            <w:noWrap/>
            <w:vAlign w:val="center"/>
          </w:tcPr>
          <w:p w14:paraId="365FFF20" w14:textId="77777777" w:rsidR="009072CE" w:rsidRPr="00A07F29" w:rsidRDefault="009072CE" w:rsidP="009072CE">
            <w:pPr>
              <w:autoSpaceDE w:val="0"/>
              <w:autoSpaceDN w:val="0"/>
              <w:adjustRightInd w:val="0"/>
              <w:spacing w:after="0" w:line="240" w:lineRule="auto"/>
              <w:rPr>
                <w:rFonts w:ascii="Times New Roman" w:eastAsia="Calibri" w:hAnsi="Times New Roman" w:cs="Times New Roman"/>
                <w:color w:val="000000"/>
                <w:spacing w:val="1"/>
                <w:sz w:val="20"/>
                <w:szCs w:val="20"/>
              </w:rPr>
            </w:pPr>
            <w:r w:rsidRPr="00A07F29">
              <w:rPr>
                <w:rFonts w:ascii="Times New Roman" w:eastAsia="Calibri" w:hAnsi="Times New Roman" w:cs="Times New Roman"/>
                <w:color w:val="000000"/>
                <w:spacing w:val="1"/>
                <w:sz w:val="20"/>
                <w:szCs w:val="20"/>
              </w:rPr>
              <w:t xml:space="preserve">Platā </w:t>
            </w:r>
            <w:proofErr w:type="spellStart"/>
            <w:r w:rsidRPr="00A07F29">
              <w:rPr>
                <w:rFonts w:ascii="Times New Roman" w:eastAsia="Calibri" w:hAnsi="Times New Roman" w:cs="Times New Roman"/>
                <w:color w:val="000000"/>
                <w:spacing w:val="1"/>
                <w:sz w:val="20"/>
                <w:szCs w:val="20"/>
              </w:rPr>
              <w:t>airvabole</w:t>
            </w:r>
            <w:proofErr w:type="spellEnd"/>
          </w:p>
        </w:tc>
        <w:tc>
          <w:tcPr>
            <w:tcW w:w="821" w:type="pct"/>
            <w:shd w:val="clear" w:color="auto" w:fill="auto"/>
            <w:noWrap/>
            <w:vAlign w:val="center"/>
          </w:tcPr>
          <w:p w14:paraId="1BCB324A" w14:textId="77777777" w:rsidR="009072CE" w:rsidRPr="00A07F29" w:rsidRDefault="009072CE" w:rsidP="009072CE">
            <w:pPr>
              <w:autoSpaceDE w:val="0"/>
              <w:autoSpaceDN w:val="0"/>
              <w:adjustRightInd w:val="0"/>
              <w:spacing w:after="0" w:line="240" w:lineRule="auto"/>
              <w:rPr>
                <w:rFonts w:ascii="Times New Roman" w:eastAsia="Calibri" w:hAnsi="Times New Roman" w:cs="Times New Roman"/>
                <w:i/>
                <w:color w:val="000000"/>
                <w:sz w:val="20"/>
                <w:szCs w:val="20"/>
              </w:rPr>
            </w:pPr>
            <w:proofErr w:type="spellStart"/>
            <w:r w:rsidRPr="00A07F29">
              <w:rPr>
                <w:rFonts w:ascii="Times New Roman" w:eastAsia="Calibri" w:hAnsi="Times New Roman" w:cs="Times New Roman"/>
                <w:i/>
                <w:color w:val="000000"/>
                <w:sz w:val="20"/>
                <w:szCs w:val="20"/>
              </w:rPr>
              <w:t>Dytiscus</w:t>
            </w:r>
            <w:proofErr w:type="spellEnd"/>
            <w:r w:rsidRPr="00A07F29">
              <w:rPr>
                <w:rFonts w:ascii="Times New Roman" w:eastAsia="Calibri" w:hAnsi="Times New Roman" w:cs="Times New Roman"/>
                <w:i/>
                <w:color w:val="000000"/>
                <w:sz w:val="20"/>
                <w:szCs w:val="20"/>
              </w:rPr>
              <w:t xml:space="preserve"> </w:t>
            </w:r>
            <w:proofErr w:type="spellStart"/>
            <w:r w:rsidRPr="00A07F29">
              <w:rPr>
                <w:rFonts w:ascii="Times New Roman" w:eastAsia="Calibri" w:hAnsi="Times New Roman" w:cs="Times New Roman"/>
                <w:i/>
                <w:color w:val="000000"/>
                <w:sz w:val="20"/>
                <w:szCs w:val="20"/>
              </w:rPr>
              <w:t>latissimus</w:t>
            </w:r>
            <w:proofErr w:type="spellEnd"/>
          </w:p>
        </w:tc>
        <w:tc>
          <w:tcPr>
            <w:tcW w:w="674" w:type="pct"/>
            <w:shd w:val="clear" w:color="auto" w:fill="auto"/>
            <w:noWrap/>
            <w:vAlign w:val="center"/>
          </w:tcPr>
          <w:p w14:paraId="5D54F52E" w14:textId="22DB9B8E" w:rsidR="009072CE" w:rsidRPr="00A07F29" w:rsidRDefault="00F04849" w:rsidP="009072CE">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Calibri"/>
                <w:color w:val="000000"/>
                <w:sz w:val="20"/>
                <w:szCs w:val="20"/>
                <w:lang w:eastAsia="ar-SA"/>
              </w:rPr>
              <w:t xml:space="preserve">BD </w:t>
            </w:r>
            <w:r w:rsidR="009072CE" w:rsidRPr="00A07F29">
              <w:rPr>
                <w:rFonts w:ascii="Times New Roman" w:eastAsia="Calibri" w:hAnsi="Times New Roman" w:cs="Calibri"/>
                <w:color w:val="000000"/>
                <w:sz w:val="20"/>
                <w:szCs w:val="20"/>
                <w:lang w:eastAsia="ar-SA"/>
              </w:rPr>
              <w:t>II, ĪAS, MIK</w:t>
            </w:r>
          </w:p>
        </w:tc>
        <w:tc>
          <w:tcPr>
            <w:tcW w:w="595" w:type="pct"/>
            <w:shd w:val="clear" w:color="auto" w:fill="auto"/>
            <w:noWrap/>
            <w:vAlign w:val="center"/>
          </w:tcPr>
          <w:p w14:paraId="1F4EDDAC" w14:textId="71A565AD" w:rsidR="009072CE" w:rsidRPr="00A07F29" w:rsidRDefault="009072CE" w:rsidP="009072CE">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Calibri"/>
                <w:color w:val="000000"/>
                <w:sz w:val="20"/>
                <w:szCs w:val="20"/>
                <w:lang w:eastAsia="ar-SA"/>
              </w:rPr>
              <w:t xml:space="preserve">IUCN (VU), Berne, </w:t>
            </w:r>
            <w:r w:rsidR="00570ABE">
              <w:rPr>
                <w:rFonts w:ascii="Times New Roman" w:eastAsia="Calibri" w:hAnsi="Times New Roman" w:cs="Calibri"/>
                <w:color w:val="000000"/>
                <w:sz w:val="20"/>
                <w:szCs w:val="20"/>
                <w:lang w:eastAsia="ar-SA"/>
              </w:rPr>
              <w:t>L</w:t>
            </w:r>
            <w:r w:rsidRPr="00A07F29">
              <w:rPr>
                <w:rFonts w:ascii="Times New Roman" w:eastAsia="Calibri" w:hAnsi="Times New Roman" w:cs="Calibri"/>
                <w:color w:val="000000"/>
                <w:sz w:val="20"/>
                <w:szCs w:val="20"/>
                <w:lang w:eastAsia="ar-SA"/>
              </w:rPr>
              <w:t xml:space="preserve">SG </w:t>
            </w:r>
            <w:r w:rsidR="00570ABE">
              <w:rPr>
                <w:rFonts w:ascii="Times New Roman" w:eastAsia="Calibri" w:hAnsi="Times New Roman" w:cs="Calibri"/>
                <w:color w:val="000000"/>
                <w:sz w:val="20"/>
                <w:szCs w:val="20"/>
                <w:lang w:eastAsia="ar-SA"/>
              </w:rPr>
              <w:t>3</w:t>
            </w:r>
          </w:p>
        </w:tc>
        <w:tc>
          <w:tcPr>
            <w:tcW w:w="1045" w:type="pct"/>
            <w:shd w:val="clear" w:color="auto" w:fill="FFFFFF"/>
          </w:tcPr>
          <w:p w14:paraId="2F9AE1E8" w14:textId="16805CD6" w:rsidR="009072CE" w:rsidRPr="00A07F29" w:rsidRDefault="009072CE"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Calibri"/>
                <w:color w:val="000000"/>
                <w:sz w:val="20"/>
                <w:szCs w:val="20"/>
                <w:lang w:eastAsia="ar-SA"/>
              </w:rPr>
              <w:t xml:space="preserve">Reti sastopama suga, Izklaidus sastopama visā Latvijas teritorijā </w:t>
            </w:r>
            <w:r w:rsidRPr="00A07F29">
              <w:rPr>
                <w:rFonts w:ascii="Times New Roman" w:eastAsia="Calibri" w:hAnsi="Times New Roman" w:cs="Times New Roman"/>
                <w:color w:val="000000"/>
                <w:sz w:val="20"/>
                <w:szCs w:val="20"/>
                <w:lang w:eastAsia="ar-SA"/>
              </w:rPr>
              <w:t>(Valainis</w:t>
            </w:r>
            <w:r w:rsidR="00864E28">
              <w:rPr>
                <w:rFonts w:ascii="Times New Roman" w:eastAsia="Calibri" w:hAnsi="Times New Roman" w:cs="Times New Roman"/>
                <w:color w:val="000000"/>
                <w:sz w:val="20"/>
                <w:szCs w:val="20"/>
                <w:lang w:eastAsia="ar-SA"/>
              </w:rPr>
              <w:t xml:space="preserve"> U.</w:t>
            </w:r>
            <w:r w:rsidRPr="00A07F29">
              <w:rPr>
                <w:rFonts w:ascii="Times New Roman" w:eastAsia="Calibri" w:hAnsi="Times New Roman" w:cs="Times New Roman"/>
                <w:color w:val="000000"/>
                <w:sz w:val="20"/>
                <w:szCs w:val="20"/>
                <w:lang w:eastAsia="ar-SA"/>
              </w:rPr>
              <w:t>, 2018)</w:t>
            </w:r>
            <w:r w:rsidRPr="00A07F29">
              <w:rPr>
                <w:rFonts w:ascii="Times New Roman" w:eastAsia="Calibri" w:hAnsi="Times New Roman" w:cs="Calibri"/>
                <w:color w:val="000000"/>
                <w:sz w:val="20"/>
                <w:szCs w:val="20"/>
                <w:lang w:eastAsia="ar-SA"/>
              </w:rPr>
              <w:t>.</w:t>
            </w:r>
          </w:p>
        </w:tc>
        <w:tc>
          <w:tcPr>
            <w:tcW w:w="971" w:type="pct"/>
            <w:shd w:val="clear" w:color="auto" w:fill="auto"/>
          </w:tcPr>
          <w:p w14:paraId="63D953A0" w14:textId="77777777" w:rsidR="009072CE" w:rsidRPr="00A07F29" w:rsidRDefault="009072CE"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 xml:space="preserve">Suga konstatēta tikai </w:t>
            </w:r>
            <w:proofErr w:type="spellStart"/>
            <w:r w:rsidRPr="00A07F29">
              <w:rPr>
                <w:rFonts w:ascii="Times New Roman" w:eastAsia="Calibri" w:hAnsi="Times New Roman" w:cs="Times New Roman"/>
                <w:color w:val="000000"/>
                <w:sz w:val="20"/>
                <w:szCs w:val="20"/>
                <w:lang w:eastAsia="ar-SA"/>
              </w:rPr>
              <w:t>Vaičuku</w:t>
            </w:r>
            <w:proofErr w:type="spellEnd"/>
            <w:r w:rsidRPr="00A07F29">
              <w:rPr>
                <w:rFonts w:ascii="Times New Roman" w:eastAsia="Calibri" w:hAnsi="Times New Roman" w:cs="Times New Roman"/>
                <w:color w:val="000000"/>
                <w:sz w:val="20"/>
                <w:szCs w:val="20"/>
                <w:lang w:eastAsia="ar-SA"/>
              </w:rPr>
              <w:t xml:space="preserve"> ezerā, bet prognozējama plašāka sastopamība.</w:t>
            </w:r>
          </w:p>
        </w:tc>
      </w:tr>
      <w:tr w:rsidR="00014519" w:rsidRPr="00A07F29" w14:paraId="2CAA44B3" w14:textId="77777777" w:rsidTr="00014519">
        <w:trPr>
          <w:cantSplit/>
          <w:trHeight w:val="284"/>
        </w:trPr>
        <w:tc>
          <w:tcPr>
            <w:tcW w:w="89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671D78D" w14:textId="77777777" w:rsidR="00014519" w:rsidRPr="00A07F29" w:rsidRDefault="00014519" w:rsidP="004E3F0B">
            <w:pPr>
              <w:autoSpaceDE w:val="0"/>
              <w:autoSpaceDN w:val="0"/>
              <w:adjustRightInd w:val="0"/>
              <w:spacing w:after="0" w:line="240" w:lineRule="auto"/>
              <w:rPr>
                <w:rFonts w:ascii="Times New Roman" w:eastAsia="Calibri" w:hAnsi="Times New Roman" w:cs="Times New Roman"/>
                <w:color w:val="000000"/>
                <w:spacing w:val="1"/>
                <w:sz w:val="20"/>
                <w:szCs w:val="20"/>
              </w:rPr>
            </w:pPr>
            <w:r w:rsidRPr="00A07F29">
              <w:rPr>
                <w:rFonts w:ascii="Times New Roman" w:eastAsia="Calibri" w:hAnsi="Times New Roman" w:cs="Times New Roman"/>
                <w:color w:val="000000"/>
                <w:spacing w:val="1"/>
                <w:sz w:val="20"/>
                <w:szCs w:val="20"/>
              </w:rPr>
              <w:t>Pūkainais īsspārnis</w:t>
            </w:r>
          </w:p>
        </w:tc>
        <w:tc>
          <w:tcPr>
            <w:tcW w:w="82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86716F5" w14:textId="77777777" w:rsidR="00014519" w:rsidRPr="00A07F29" w:rsidRDefault="00014519" w:rsidP="004E3F0B">
            <w:pPr>
              <w:autoSpaceDE w:val="0"/>
              <w:autoSpaceDN w:val="0"/>
              <w:adjustRightInd w:val="0"/>
              <w:spacing w:after="0" w:line="240" w:lineRule="auto"/>
              <w:rPr>
                <w:rFonts w:ascii="Times New Roman" w:eastAsia="Calibri" w:hAnsi="Times New Roman" w:cs="Times New Roman"/>
                <w:i/>
                <w:color w:val="000000"/>
                <w:sz w:val="20"/>
                <w:szCs w:val="20"/>
              </w:rPr>
            </w:pPr>
            <w:proofErr w:type="spellStart"/>
            <w:r w:rsidRPr="00A07F29">
              <w:rPr>
                <w:rFonts w:ascii="Times New Roman" w:eastAsia="Calibri" w:hAnsi="Times New Roman" w:cs="Times New Roman"/>
                <w:i/>
                <w:color w:val="000000"/>
                <w:sz w:val="20"/>
                <w:szCs w:val="20"/>
              </w:rPr>
              <w:t>Emus</w:t>
            </w:r>
            <w:proofErr w:type="spellEnd"/>
            <w:r w:rsidRPr="00A07F29">
              <w:rPr>
                <w:rFonts w:ascii="Times New Roman" w:eastAsia="Calibri" w:hAnsi="Times New Roman" w:cs="Times New Roman"/>
                <w:i/>
                <w:color w:val="000000"/>
                <w:sz w:val="20"/>
                <w:szCs w:val="20"/>
              </w:rPr>
              <w:t xml:space="preserve"> </w:t>
            </w:r>
            <w:proofErr w:type="spellStart"/>
            <w:r w:rsidRPr="00A07F29">
              <w:rPr>
                <w:rFonts w:ascii="Times New Roman" w:eastAsia="Calibri" w:hAnsi="Times New Roman" w:cs="Times New Roman"/>
                <w:i/>
                <w:color w:val="000000"/>
                <w:sz w:val="20"/>
                <w:szCs w:val="20"/>
              </w:rPr>
              <w:t>hirtus</w:t>
            </w:r>
            <w:proofErr w:type="spellEnd"/>
          </w:p>
        </w:tc>
        <w:tc>
          <w:tcPr>
            <w:tcW w:w="6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5E8B3EE" w14:textId="77777777" w:rsidR="00014519" w:rsidRPr="00A07F29" w:rsidRDefault="00014519" w:rsidP="004E3F0B">
            <w:pPr>
              <w:suppressAutoHyphens/>
              <w:spacing w:after="0" w:line="240" w:lineRule="auto"/>
              <w:rPr>
                <w:rFonts w:ascii="Times New Roman" w:eastAsia="Calibri" w:hAnsi="Times New Roman" w:cs="Calibri"/>
                <w:color w:val="000000"/>
                <w:sz w:val="20"/>
                <w:szCs w:val="20"/>
                <w:lang w:eastAsia="ar-SA"/>
              </w:rPr>
            </w:pPr>
            <w:r w:rsidRPr="00A07F29">
              <w:rPr>
                <w:rFonts w:ascii="Times New Roman" w:eastAsia="Calibri" w:hAnsi="Times New Roman" w:cs="Calibri"/>
                <w:color w:val="000000"/>
                <w:sz w:val="20"/>
                <w:szCs w:val="20"/>
                <w:lang w:eastAsia="ar-SA"/>
              </w:rPr>
              <w:t>-</w:t>
            </w:r>
          </w:p>
        </w:tc>
        <w:tc>
          <w:tcPr>
            <w:tcW w:w="5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B4BA61F" w14:textId="55763EDB" w:rsidR="00014519" w:rsidRPr="00A07F29" w:rsidRDefault="00864E28" w:rsidP="004E3F0B">
            <w:pPr>
              <w:suppressAutoHyphens/>
              <w:spacing w:after="0" w:line="240" w:lineRule="auto"/>
              <w:rPr>
                <w:rFonts w:ascii="Times New Roman" w:eastAsia="Calibri" w:hAnsi="Times New Roman" w:cs="Calibri"/>
                <w:color w:val="000000"/>
                <w:sz w:val="20"/>
                <w:szCs w:val="20"/>
                <w:lang w:eastAsia="ar-SA"/>
              </w:rPr>
            </w:pPr>
            <w:r>
              <w:rPr>
                <w:rFonts w:ascii="Times New Roman" w:eastAsia="Calibri" w:hAnsi="Times New Roman" w:cs="Calibri"/>
                <w:color w:val="000000"/>
                <w:sz w:val="20"/>
                <w:szCs w:val="20"/>
                <w:lang w:eastAsia="ar-SA"/>
              </w:rPr>
              <w:t>L</w:t>
            </w:r>
            <w:r w:rsidR="00014519" w:rsidRPr="00A07F29">
              <w:rPr>
                <w:rFonts w:ascii="Times New Roman" w:eastAsia="Calibri" w:hAnsi="Times New Roman" w:cs="Calibri"/>
                <w:color w:val="000000"/>
                <w:sz w:val="20"/>
                <w:szCs w:val="20"/>
                <w:lang w:eastAsia="ar-SA"/>
              </w:rPr>
              <w:t>SG 2</w:t>
            </w:r>
          </w:p>
        </w:tc>
        <w:tc>
          <w:tcPr>
            <w:tcW w:w="1045" w:type="pct"/>
            <w:tcBorders>
              <w:top w:val="single" w:sz="4" w:space="0" w:color="auto"/>
              <w:left w:val="single" w:sz="4" w:space="0" w:color="auto"/>
              <w:bottom w:val="single" w:sz="4" w:space="0" w:color="auto"/>
              <w:right w:val="single" w:sz="4" w:space="0" w:color="auto"/>
            </w:tcBorders>
            <w:shd w:val="clear" w:color="auto" w:fill="FFFFFF"/>
          </w:tcPr>
          <w:p w14:paraId="0030EC5A" w14:textId="6158F698" w:rsidR="00014519" w:rsidRPr="00A07F29" w:rsidRDefault="00014519" w:rsidP="004E3F0B">
            <w:pPr>
              <w:suppressAutoHyphens/>
              <w:spacing w:after="0" w:line="240" w:lineRule="auto"/>
              <w:jc w:val="both"/>
              <w:rPr>
                <w:rFonts w:ascii="Times New Roman" w:eastAsia="Calibri" w:hAnsi="Times New Roman" w:cs="Calibri"/>
                <w:color w:val="000000"/>
                <w:sz w:val="20"/>
                <w:szCs w:val="20"/>
                <w:lang w:eastAsia="ar-SA"/>
              </w:rPr>
            </w:pPr>
            <w:r w:rsidRPr="00A07F29">
              <w:rPr>
                <w:rFonts w:ascii="Times New Roman" w:eastAsia="Calibri" w:hAnsi="Times New Roman" w:cs="Calibri"/>
                <w:color w:val="000000"/>
                <w:sz w:val="20"/>
                <w:szCs w:val="20"/>
                <w:lang w:eastAsia="ar-SA"/>
              </w:rPr>
              <w:t>Latvijā suga izplatīta visā teritorijā, sastopama reti (</w:t>
            </w:r>
            <w:proofErr w:type="spellStart"/>
            <w:r w:rsidRPr="00A07F29">
              <w:rPr>
                <w:rFonts w:ascii="Times New Roman" w:eastAsia="Calibri" w:hAnsi="Times New Roman" w:cs="Calibri"/>
                <w:color w:val="000000"/>
                <w:sz w:val="20"/>
                <w:szCs w:val="20"/>
                <w:lang w:eastAsia="ar-SA"/>
              </w:rPr>
              <w:t>Spuris</w:t>
            </w:r>
            <w:proofErr w:type="spellEnd"/>
            <w:r w:rsidR="00864E28">
              <w:rPr>
                <w:rFonts w:ascii="Times New Roman" w:eastAsia="Calibri" w:hAnsi="Times New Roman" w:cs="Calibri"/>
                <w:color w:val="000000"/>
                <w:sz w:val="20"/>
                <w:szCs w:val="20"/>
                <w:lang w:eastAsia="ar-SA"/>
              </w:rPr>
              <w:t xml:space="preserve"> Z.</w:t>
            </w:r>
            <w:r w:rsidRPr="00A07F29">
              <w:rPr>
                <w:rFonts w:ascii="Times New Roman" w:eastAsia="Calibri" w:hAnsi="Times New Roman" w:cs="Calibri"/>
                <w:color w:val="000000"/>
                <w:sz w:val="20"/>
                <w:szCs w:val="20"/>
                <w:lang w:eastAsia="ar-SA"/>
              </w:rPr>
              <w:t>, 1998).</w:t>
            </w:r>
          </w:p>
        </w:tc>
        <w:tc>
          <w:tcPr>
            <w:tcW w:w="971" w:type="pct"/>
            <w:tcBorders>
              <w:top w:val="single" w:sz="4" w:space="0" w:color="auto"/>
              <w:left w:val="single" w:sz="4" w:space="0" w:color="auto"/>
              <w:bottom w:val="single" w:sz="4" w:space="0" w:color="auto"/>
              <w:right w:val="single" w:sz="4" w:space="0" w:color="auto"/>
            </w:tcBorders>
            <w:shd w:val="clear" w:color="auto" w:fill="auto"/>
          </w:tcPr>
          <w:p w14:paraId="6FE7DA30" w14:textId="77777777" w:rsidR="00014519" w:rsidRPr="00A07F29" w:rsidRDefault="00014519" w:rsidP="004E3F0B">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DA plāna izstrādes laikā suga netika konstatēta.</w:t>
            </w:r>
          </w:p>
        </w:tc>
      </w:tr>
      <w:tr w:rsidR="009072CE" w:rsidRPr="00A07F29" w14:paraId="091F5716" w14:textId="77777777" w:rsidTr="00014519">
        <w:trPr>
          <w:cantSplit/>
          <w:trHeight w:val="284"/>
        </w:trPr>
        <w:tc>
          <w:tcPr>
            <w:tcW w:w="894" w:type="pct"/>
            <w:shd w:val="clear" w:color="auto" w:fill="auto"/>
            <w:noWrap/>
            <w:vAlign w:val="center"/>
          </w:tcPr>
          <w:p w14:paraId="37629E26" w14:textId="77777777" w:rsidR="009072CE" w:rsidRPr="00A07F29" w:rsidRDefault="009072CE" w:rsidP="009072CE">
            <w:pPr>
              <w:autoSpaceDE w:val="0"/>
              <w:autoSpaceDN w:val="0"/>
              <w:adjustRightInd w:val="0"/>
              <w:spacing w:after="0" w:line="240" w:lineRule="auto"/>
              <w:rPr>
                <w:rFonts w:ascii="Times New Roman" w:eastAsia="Calibri" w:hAnsi="Times New Roman" w:cs="Times New Roman"/>
                <w:color w:val="000000"/>
                <w:sz w:val="20"/>
                <w:szCs w:val="20"/>
              </w:rPr>
            </w:pPr>
            <w:r w:rsidRPr="00A07F29">
              <w:rPr>
                <w:rFonts w:ascii="Times New Roman" w:eastAsia="Calibri" w:hAnsi="Times New Roman" w:cs="Times New Roman"/>
                <w:color w:val="000000"/>
                <w:sz w:val="20"/>
                <w:szCs w:val="20"/>
              </w:rPr>
              <w:t xml:space="preserve">Lielais </w:t>
            </w:r>
            <w:proofErr w:type="spellStart"/>
            <w:r w:rsidRPr="00A07F29">
              <w:rPr>
                <w:rFonts w:ascii="Times New Roman" w:eastAsia="Calibri" w:hAnsi="Times New Roman" w:cs="Times New Roman"/>
                <w:color w:val="000000"/>
                <w:sz w:val="20"/>
                <w:szCs w:val="20"/>
              </w:rPr>
              <w:t>dižkoksngrauzis</w:t>
            </w:r>
            <w:proofErr w:type="spellEnd"/>
            <w:r w:rsidRPr="00A07F29">
              <w:rPr>
                <w:rFonts w:ascii="Times New Roman" w:eastAsia="Calibri" w:hAnsi="Times New Roman" w:cs="Times New Roman"/>
                <w:color w:val="000000"/>
                <w:sz w:val="20"/>
                <w:szCs w:val="20"/>
              </w:rPr>
              <w:t xml:space="preserve"> </w:t>
            </w:r>
          </w:p>
        </w:tc>
        <w:tc>
          <w:tcPr>
            <w:tcW w:w="821" w:type="pct"/>
            <w:shd w:val="clear" w:color="auto" w:fill="auto"/>
            <w:noWrap/>
            <w:vAlign w:val="center"/>
          </w:tcPr>
          <w:p w14:paraId="5D59E6ED" w14:textId="77777777" w:rsidR="009072CE" w:rsidRPr="00A07F29" w:rsidRDefault="009072CE" w:rsidP="009072CE">
            <w:pPr>
              <w:autoSpaceDE w:val="0"/>
              <w:autoSpaceDN w:val="0"/>
              <w:adjustRightInd w:val="0"/>
              <w:spacing w:after="0" w:line="240" w:lineRule="auto"/>
              <w:rPr>
                <w:rFonts w:ascii="Times New Roman" w:eastAsia="Calibri" w:hAnsi="Times New Roman" w:cs="Times New Roman"/>
                <w:color w:val="000000"/>
                <w:sz w:val="20"/>
                <w:szCs w:val="20"/>
              </w:rPr>
            </w:pPr>
            <w:proofErr w:type="spellStart"/>
            <w:r w:rsidRPr="00A07F29">
              <w:rPr>
                <w:rFonts w:ascii="Times New Roman" w:eastAsia="Calibri" w:hAnsi="Times New Roman" w:cs="Times New Roman"/>
                <w:i/>
                <w:iCs/>
                <w:color w:val="000000"/>
                <w:sz w:val="20"/>
                <w:szCs w:val="20"/>
              </w:rPr>
              <w:t>Ergates</w:t>
            </w:r>
            <w:proofErr w:type="spellEnd"/>
            <w:r w:rsidRPr="00A07F29">
              <w:rPr>
                <w:rFonts w:ascii="Times New Roman" w:eastAsia="Calibri" w:hAnsi="Times New Roman" w:cs="Times New Roman"/>
                <w:i/>
                <w:iCs/>
                <w:color w:val="000000"/>
                <w:sz w:val="20"/>
                <w:szCs w:val="20"/>
              </w:rPr>
              <w:t xml:space="preserve"> </w:t>
            </w:r>
            <w:proofErr w:type="spellStart"/>
            <w:r w:rsidRPr="00A07F29">
              <w:rPr>
                <w:rFonts w:ascii="Times New Roman" w:eastAsia="Calibri" w:hAnsi="Times New Roman" w:cs="Times New Roman"/>
                <w:i/>
                <w:iCs/>
                <w:color w:val="000000"/>
                <w:sz w:val="20"/>
                <w:szCs w:val="20"/>
              </w:rPr>
              <w:t>faber</w:t>
            </w:r>
            <w:proofErr w:type="spellEnd"/>
            <w:r w:rsidRPr="00A07F29">
              <w:rPr>
                <w:rFonts w:ascii="Times New Roman" w:eastAsia="Calibri" w:hAnsi="Times New Roman" w:cs="Times New Roman"/>
                <w:i/>
                <w:iCs/>
                <w:color w:val="000000"/>
                <w:sz w:val="20"/>
                <w:szCs w:val="20"/>
              </w:rPr>
              <w:t xml:space="preserve"> </w:t>
            </w:r>
          </w:p>
        </w:tc>
        <w:tc>
          <w:tcPr>
            <w:tcW w:w="674" w:type="pct"/>
            <w:shd w:val="clear" w:color="auto" w:fill="auto"/>
            <w:noWrap/>
            <w:vAlign w:val="center"/>
          </w:tcPr>
          <w:p w14:paraId="5CFD0B1B" w14:textId="5DEB699B" w:rsidR="009072CE" w:rsidRPr="00A07F29" w:rsidRDefault="009072CE" w:rsidP="009072CE">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ĪAS; MIK</w:t>
            </w:r>
          </w:p>
        </w:tc>
        <w:tc>
          <w:tcPr>
            <w:tcW w:w="595" w:type="pct"/>
            <w:shd w:val="clear" w:color="auto" w:fill="auto"/>
            <w:noWrap/>
            <w:vAlign w:val="center"/>
          </w:tcPr>
          <w:p w14:paraId="729FF20F" w14:textId="2CF92293" w:rsidR="009072CE" w:rsidRPr="00A07F29" w:rsidRDefault="00864E28" w:rsidP="009072CE">
            <w:pPr>
              <w:suppressAutoHyphens/>
              <w:spacing w:after="0" w:line="240" w:lineRule="auto"/>
              <w:rPr>
                <w:rFonts w:ascii="Times New Roman" w:eastAsia="Calibri" w:hAnsi="Times New Roman" w:cs="Times New Roman"/>
                <w:color w:val="000000"/>
                <w:sz w:val="20"/>
                <w:szCs w:val="20"/>
                <w:lang w:eastAsia="ar-SA"/>
              </w:rPr>
            </w:pPr>
            <w:r>
              <w:rPr>
                <w:rFonts w:ascii="Times New Roman" w:eastAsia="Calibri" w:hAnsi="Times New Roman" w:cs="Times New Roman"/>
                <w:color w:val="000000"/>
                <w:sz w:val="20"/>
                <w:szCs w:val="20"/>
                <w:lang w:eastAsia="ar-SA"/>
              </w:rPr>
              <w:t>L</w:t>
            </w:r>
            <w:r w:rsidR="009072CE" w:rsidRPr="00A07F29">
              <w:rPr>
                <w:rFonts w:ascii="Times New Roman" w:eastAsia="Calibri" w:hAnsi="Times New Roman" w:cs="Times New Roman"/>
                <w:color w:val="000000"/>
                <w:sz w:val="20"/>
                <w:szCs w:val="20"/>
                <w:lang w:eastAsia="ar-SA"/>
              </w:rPr>
              <w:t>SG 1; MAB (BSS)</w:t>
            </w:r>
          </w:p>
        </w:tc>
        <w:tc>
          <w:tcPr>
            <w:tcW w:w="1045" w:type="pct"/>
            <w:shd w:val="clear" w:color="auto" w:fill="auto"/>
          </w:tcPr>
          <w:p w14:paraId="7D160ED3" w14:textId="46F76F14" w:rsidR="009072CE" w:rsidRPr="00A07F29" w:rsidRDefault="009072CE"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 xml:space="preserve">Lielais </w:t>
            </w:r>
            <w:proofErr w:type="spellStart"/>
            <w:r w:rsidRPr="00A07F29">
              <w:rPr>
                <w:rFonts w:ascii="Times New Roman" w:eastAsia="Calibri" w:hAnsi="Times New Roman" w:cs="Times New Roman"/>
                <w:color w:val="000000"/>
                <w:sz w:val="20"/>
                <w:szCs w:val="20"/>
                <w:lang w:eastAsia="ar-SA"/>
              </w:rPr>
              <w:t>dižkoksngrauzis</w:t>
            </w:r>
            <w:proofErr w:type="spellEnd"/>
            <w:r w:rsidRPr="00A07F29">
              <w:rPr>
                <w:rFonts w:ascii="Times New Roman" w:eastAsia="Calibri" w:hAnsi="Times New Roman" w:cs="Times New Roman"/>
                <w:color w:val="000000"/>
                <w:sz w:val="20"/>
                <w:szCs w:val="20"/>
                <w:lang w:eastAsia="ar-SA"/>
              </w:rPr>
              <w:t xml:space="preserve"> ir ļoti reti sastopama suga, galvenokārt zināma no piejūras reģiona (Valainis</w:t>
            </w:r>
            <w:r w:rsidR="00864E28">
              <w:rPr>
                <w:rFonts w:ascii="Times New Roman" w:eastAsia="Calibri" w:hAnsi="Times New Roman" w:cs="Times New Roman"/>
                <w:color w:val="000000"/>
                <w:sz w:val="20"/>
                <w:szCs w:val="20"/>
                <w:lang w:eastAsia="ar-SA"/>
              </w:rPr>
              <w:t xml:space="preserve"> U.</w:t>
            </w:r>
            <w:r w:rsidRPr="00A07F29">
              <w:rPr>
                <w:rFonts w:ascii="Times New Roman" w:eastAsia="Calibri" w:hAnsi="Times New Roman" w:cs="Times New Roman"/>
                <w:color w:val="000000"/>
                <w:sz w:val="20"/>
                <w:szCs w:val="20"/>
                <w:lang w:eastAsia="ar-SA"/>
              </w:rPr>
              <w:t>, 2018).</w:t>
            </w:r>
          </w:p>
        </w:tc>
        <w:tc>
          <w:tcPr>
            <w:tcW w:w="971" w:type="pct"/>
            <w:shd w:val="clear" w:color="auto" w:fill="auto"/>
          </w:tcPr>
          <w:p w14:paraId="5243ABB6" w14:textId="36494A3B" w:rsidR="009072CE" w:rsidRPr="00A07F29" w:rsidRDefault="00BF0E06"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DA plāna</w:t>
            </w:r>
            <w:r w:rsidR="009072CE" w:rsidRPr="00A07F29">
              <w:rPr>
                <w:rFonts w:ascii="Times New Roman" w:eastAsia="Calibri" w:hAnsi="Times New Roman" w:cs="Times New Roman"/>
                <w:color w:val="000000"/>
                <w:sz w:val="20"/>
                <w:szCs w:val="20"/>
                <w:lang w:eastAsia="ar-SA"/>
              </w:rPr>
              <w:t xml:space="preserve"> izstrādes laikā suga netika konstatēta.</w:t>
            </w:r>
          </w:p>
        </w:tc>
      </w:tr>
      <w:tr w:rsidR="009072CE" w:rsidRPr="00A07F29" w14:paraId="4D6BDDA2" w14:textId="77777777" w:rsidTr="00014519">
        <w:trPr>
          <w:cantSplit/>
          <w:trHeight w:val="284"/>
        </w:trPr>
        <w:tc>
          <w:tcPr>
            <w:tcW w:w="894" w:type="pct"/>
            <w:shd w:val="clear" w:color="auto" w:fill="auto"/>
            <w:noWrap/>
            <w:vAlign w:val="center"/>
          </w:tcPr>
          <w:p w14:paraId="125CA509" w14:textId="77777777" w:rsidR="009072CE" w:rsidRPr="00A07F29" w:rsidRDefault="009072CE" w:rsidP="009072CE">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 xml:space="preserve">Tumšā </w:t>
            </w:r>
            <w:proofErr w:type="spellStart"/>
            <w:r w:rsidRPr="00A07F29">
              <w:rPr>
                <w:rFonts w:ascii="Times New Roman" w:eastAsia="Calibri" w:hAnsi="Times New Roman" w:cs="Times New Roman"/>
                <w:color w:val="000000"/>
                <w:sz w:val="20"/>
                <w:szCs w:val="20"/>
                <w:lang w:eastAsia="ar-SA"/>
              </w:rPr>
              <w:t>ēnvabole</w:t>
            </w:r>
            <w:proofErr w:type="spellEnd"/>
          </w:p>
        </w:tc>
        <w:tc>
          <w:tcPr>
            <w:tcW w:w="821" w:type="pct"/>
            <w:shd w:val="clear" w:color="auto" w:fill="auto"/>
            <w:noWrap/>
            <w:vAlign w:val="center"/>
          </w:tcPr>
          <w:p w14:paraId="07340D09" w14:textId="77777777" w:rsidR="009072CE" w:rsidRPr="00A07F29" w:rsidRDefault="009072CE" w:rsidP="009072CE">
            <w:pPr>
              <w:suppressAutoHyphens/>
              <w:spacing w:after="0" w:line="240" w:lineRule="auto"/>
              <w:rPr>
                <w:rFonts w:ascii="Times New Roman" w:eastAsia="Calibri" w:hAnsi="Times New Roman" w:cs="Times New Roman"/>
                <w:i/>
                <w:iCs/>
                <w:color w:val="000000"/>
                <w:sz w:val="20"/>
                <w:szCs w:val="20"/>
                <w:lang w:eastAsia="ar-SA"/>
              </w:rPr>
            </w:pPr>
            <w:proofErr w:type="spellStart"/>
            <w:r w:rsidRPr="00A07F29">
              <w:rPr>
                <w:rFonts w:ascii="Times New Roman" w:eastAsia="Calibri" w:hAnsi="Times New Roman" w:cs="Times New Roman"/>
                <w:i/>
                <w:iCs/>
                <w:color w:val="000000"/>
                <w:sz w:val="20"/>
                <w:szCs w:val="20"/>
                <w:lang w:eastAsia="ar-SA"/>
              </w:rPr>
              <w:t>Melandrya</w:t>
            </w:r>
            <w:proofErr w:type="spellEnd"/>
            <w:r w:rsidRPr="00A07F29">
              <w:rPr>
                <w:rFonts w:ascii="Times New Roman" w:eastAsia="Calibri" w:hAnsi="Times New Roman" w:cs="Times New Roman"/>
                <w:i/>
                <w:iCs/>
                <w:color w:val="000000"/>
                <w:sz w:val="20"/>
                <w:szCs w:val="20"/>
                <w:lang w:eastAsia="ar-SA"/>
              </w:rPr>
              <w:t xml:space="preserve"> </w:t>
            </w:r>
            <w:proofErr w:type="spellStart"/>
            <w:r w:rsidRPr="00A07F29">
              <w:rPr>
                <w:rFonts w:ascii="Times New Roman" w:eastAsia="Calibri" w:hAnsi="Times New Roman" w:cs="Times New Roman"/>
                <w:i/>
                <w:iCs/>
                <w:color w:val="000000"/>
                <w:sz w:val="20"/>
                <w:szCs w:val="20"/>
                <w:lang w:eastAsia="ar-SA"/>
              </w:rPr>
              <w:t>dubia</w:t>
            </w:r>
            <w:proofErr w:type="spellEnd"/>
          </w:p>
        </w:tc>
        <w:tc>
          <w:tcPr>
            <w:tcW w:w="674" w:type="pct"/>
            <w:shd w:val="clear" w:color="auto" w:fill="auto"/>
            <w:noWrap/>
            <w:vAlign w:val="center"/>
          </w:tcPr>
          <w:p w14:paraId="72E4BFAC" w14:textId="77777777" w:rsidR="009072CE" w:rsidRPr="00A07F29" w:rsidRDefault="009072CE" w:rsidP="009072CE">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w:t>
            </w:r>
          </w:p>
        </w:tc>
        <w:tc>
          <w:tcPr>
            <w:tcW w:w="595" w:type="pct"/>
            <w:shd w:val="clear" w:color="auto" w:fill="auto"/>
            <w:noWrap/>
            <w:vAlign w:val="center"/>
          </w:tcPr>
          <w:p w14:paraId="4C9A2C89" w14:textId="77777777" w:rsidR="009072CE" w:rsidRPr="00A07F29" w:rsidRDefault="009072CE" w:rsidP="009072CE">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MAB (BSS)</w:t>
            </w:r>
          </w:p>
        </w:tc>
        <w:tc>
          <w:tcPr>
            <w:tcW w:w="1045" w:type="pct"/>
            <w:shd w:val="clear" w:color="auto" w:fill="auto"/>
          </w:tcPr>
          <w:p w14:paraId="51AB51C5" w14:textId="77777777" w:rsidR="009072CE" w:rsidRPr="00A07F29" w:rsidRDefault="009072CE"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Samērā reti sastopama mežaudžu atslēgas biotopu speciālistu suga.</w:t>
            </w:r>
          </w:p>
        </w:tc>
        <w:tc>
          <w:tcPr>
            <w:tcW w:w="971" w:type="pct"/>
            <w:shd w:val="clear" w:color="auto" w:fill="auto"/>
          </w:tcPr>
          <w:p w14:paraId="346CCFC7" w14:textId="34B197B2" w:rsidR="009072CE" w:rsidRPr="00A07F29" w:rsidRDefault="00BF0E06"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DA plāna</w:t>
            </w:r>
            <w:r w:rsidR="009072CE" w:rsidRPr="00A07F29">
              <w:rPr>
                <w:rFonts w:ascii="Times New Roman" w:eastAsia="Calibri" w:hAnsi="Times New Roman" w:cs="Times New Roman"/>
                <w:color w:val="000000"/>
                <w:sz w:val="20"/>
                <w:szCs w:val="20"/>
                <w:lang w:eastAsia="ar-SA"/>
              </w:rPr>
              <w:t xml:space="preserve"> izstrādes laikā suga netika konstatēta.</w:t>
            </w:r>
          </w:p>
        </w:tc>
      </w:tr>
      <w:tr w:rsidR="009072CE" w:rsidRPr="00A07F29" w14:paraId="236B76BC" w14:textId="77777777" w:rsidTr="00014519">
        <w:trPr>
          <w:cantSplit/>
          <w:trHeight w:val="284"/>
        </w:trPr>
        <w:tc>
          <w:tcPr>
            <w:tcW w:w="894" w:type="pct"/>
            <w:shd w:val="clear" w:color="auto" w:fill="auto"/>
            <w:noWrap/>
            <w:vAlign w:val="center"/>
          </w:tcPr>
          <w:p w14:paraId="3E226F9C" w14:textId="77777777" w:rsidR="009072CE" w:rsidRPr="00A07F29" w:rsidRDefault="009072CE" w:rsidP="009072CE">
            <w:pPr>
              <w:autoSpaceDE w:val="0"/>
              <w:autoSpaceDN w:val="0"/>
              <w:adjustRightInd w:val="0"/>
              <w:spacing w:after="0" w:line="240" w:lineRule="auto"/>
              <w:rPr>
                <w:rFonts w:ascii="Times New Roman" w:eastAsia="Calibri" w:hAnsi="Times New Roman" w:cs="Times New Roman"/>
                <w:color w:val="000000"/>
                <w:sz w:val="20"/>
                <w:szCs w:val="20"/>
              </w:rPr>
            </w:pPr>
            <w:r w:rsidRPr="00A07F29">
              <w:rPr>
                <w:rFonts w:ascii="Times New Roman" w:eastAsia="Calibri" w:hAnsi="Times New Roman" w:cs="Times New Roman"/>
                <w:color w:val="000000"/>
                <w:sz w:val="20"/>
                <w:szCs w:val="20"/>
              </w:rPr>
              <w:t xml:space="preserve">Zilganzaļā </w:t>
            </w:r>
            <w:proofErr w:type="spellStart"/>
            <w:r w:rsidRPr="00A07F29">
              <w:rPr>
                <w:rFonts w:ascii="Times New Roman" w:eastAsia="Calibri" w:hAnsi="Times New Roman" w:cs="Times New Roman"/>
                <w:color w:val="000000"/>
                <w:sz w:val="20"/>
                <w:szCs w:val="20"/>
              </w:rPr>
              <w:t>eļļasvabole</w:t>
            </w:r>
            <w:proofErr w:type="spellEnd"/>
            <w:r w:rsidRPr="00A07F29">
              <w:rPr>
                <w:rFonts w:ascii="Times New Roman" w:eastAsia="Calibri" w:hAnsi="Times New Roman" w:cs="Times New Roman"/>
                <w:color w:val="000000"/>
                <w:sz w:val="20"/>
                <w:szCs w:val="20"/>
              </w:rPr>
              <w:t xml:space="preserve"> </w:t>
            </w:r>
          </w:p>
        </w:tc>
        <w:tc>
          <w:tcPr>
            <w:tcW w:w="821" w:type="pct"/>
            <w:shd w:val="clear" w:color="auto" w:fill="auto"/>
            <w:noWrap/>
            <w:vAlign w:val="center"/>
          </w:tcPr>
          <w:p w14:paraId="4A2092C1" w14:textId="77777777" w:rsidR="009072CE" w:rsidRPr="00A07F29" w:rsidRDefault="009072CE" w:rsidP="009072CE">
            <w:pPr>
              <w:autoSpaceDE w:val="0"/>
              <w:autoSpaceDN w:val="0"/>
              <w:adjustRightInd w:val="0"/>
              <w:spacing w:after="0" w:line="240" w:lineRule="auto"/>
              <w:rPr>
                <w:rFonts w:ascii="Times New Roman" w:eastAsia="Calibri" w:hAnsi="Times New Roman" w:cs="Times New Roman"/>
                <w:color w:val="000000"/>
                <w:sz w:val="20"/>
                <w:szCs w:val="20"/>
              </w:rPr>
            </w:pPr>
            <w:proofErr w:type="spellStart"/>
            <w:r w:rsidRPr="00A07F29">
              <w:rPr>
                <w:rFonts w:ascii="Times New Roman" w:eastAsia="Calibri" w:hAnsi="Times New Roman" w:cs="Times New Roman"/>
                <w:i/>
                <w:iCs/>
                <w:color w:val="000000"/>
                <w:sz w:val="20"/>
                <w:szCs w:val="20"/>
              </w:rPr>
              <w:t>Meloe</w:t>
            </w:r>
            <w:proofErr w:type="spellEnd"/>
            <w:r w:rsidRPr="00A07F29">
              <w:rPr>
                <w:rFonts w:ascii="Times New Roman" w:eastAsia="Calibri" w:hAnsi="Times New Roman" w:cs="Times New Roman"/>
                <w:i/>
                <w:iCs/>
                <w:color w:val="000000"/>
                <w:sz w:val="20"/>
                <w:szCs w:val="20"/>
              </w:rPr>
              <w:t xml:space="preserve"> </w:t>
            </w:r>
            <w:proofErr w:type="spellStart"/>
            <w:r w:rsidRPr="00A07F29">
              <w:rPr>
                <w:rFonts w:ascii="Times New Roman" w:eastAsia="Calibri" w:hAnsi="Times New Roman" w:cs="Times New Roman"/>
                <w:i/>
                <w:iCs/>
                <w:color w:val="000000"/>
                <w:sz w:val="20"/>
                <w:szCs w:val="20"/>
              </w:rPr>
              <w:t>brevicollis</w:t>
            </w:r>
            <w:proofErr w:type="spellEnd"/>
            <w:r w:rsidRPr="00A07F29">
              <w:rPr>
                <w:rFonts w:ascii="Times New Roman" w:eastAsia="Calibri" w:hAnsi="Times New Roman" w:cs="Times New Roman"/>
                <w:i/>
                <w:iCs/>
                <w:color w:val="000000"/>
                <w:sz w:val="20"/>
                <w:szCs w:val="20"/>
              </w:rPr>
              <w:t xml:space="preserve"> </w:t>
            </w:r>
          </w:p>
        </w:tc>
        <w:tc>
          <w:tcPr>
            <w:tcW w:w="674" w:type="pct"/>
            <w:shd w:val="clear" w:color="auto" w:fill="auto"/>
            <w:noWrap/>
            <w:vAlign w:val="center"/>
          </w:tcPr>
          <w:p w14:paraId="5EAAE335" w14:textId="77777777" w:rsidR="009072CE" w:rsidRPr="00A07F29" w:rsidRDefault="009072CE" w:rsidP="009072CE">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w:t>
            </w:r>
          </w:p>
        </w:tc>
        <w:tc>
          <w:tcPr>
            <w:tcW w:w="595" w:type="pct"/>
            <w:shd w:val="clear" w:color="auto" w:fill="auto"/>
            <w:noWrap/>
            <w:vAlign w:val="center"/>
          </w:tcPr>
          <w:p w14:paraId="5CDB5413" w14:textId="3D2D30AA" w:rsidR="009072CE" w:rsidRPr="00A07F29" w:rsidRDefault="003B43C2" w:rsidP="009072CE">
            <w:pPr>
              <w:suppressAutoHyphens/>
              <w:spacing w:after="0" w:line="240" w:lineRule="auto"/>
              <w:rPr>
                <w:rFonts w:ascii="Times New Roman" w:eastAsia="Calibri" w:hAnsi="Times New Roman" w:cs="Times New Roman"/>
                <w:color w:val="000000"/>
                <w:sz w:val="20"/>
                <w:szCs w:val="20"/>
                <w:lang w:eastAsia="ar-SA"/>
              </w:rPr>
            </w:pPr>
            <w:r>
              <w:rPr>
                <w:rFonts w:ascii="Times New Roman" w:eastAsia="Calibri" w:hAnsi="Times New Roman" w:cs="Times New Roman"/>
                <w:color w:val="000000"/>
                <w:sz w:val="20"/>
                <w:szCs w:val="20"/>
                <w:lang w:eastAsia="ar-SA"/>
              </w:rPr>
              <w:t>L</w:t>
            </w:r>
            <w:r w:rsidR="009072CE" w:rsidRPr="00A07F29">
              <w:rPr>
                <w:rFonts w:ascii="Times New Roman" w:eastAsia="Calibri" w:hAnsi="Times New Roman" w:cs="Times New Roman"/>
                <w:color w:val="000000"/>
                <w:sz w:val="20"/>
                <w:szCs w:val="20"/>
                <w:lang w:eastAsia="ar-SA"/>
              </w:rPr>
              <w:t>SG 2</w:t>
            </w:r>
          </w:p>
        </w:tc>
        <w:tc>
          <w:tcPr>
            <w:tcW w:w="1045" w:type="pct"/>
            <w:shd w:val="clear" w:color="auto" w:fill="FFFFFF"/>
          </w:tcPr>
          <w:p w14:paraId="6535455A" w14:textId="192DA0A2" w:rsidR="009072CE" w:rsidRPr="00A07F29" w:rsidRDefault="009072CE"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Latvijā suga izplatīta visā teritorijā, sastopama samērā reti (</w:t>
            </w:r>
            <w:proofErr w:type="spellStart"/>
            <w:r w:rsidRPr="00A07F29">
              <w:rPr>
                <w:rFonts w:ascii="Times New Roman" w:eastAsia="Calibri" w:hAnsi="Times New Roman" w:cs="Times New Roman"/>
                <w:color w:val="000000"/>
                <w:sz w:val="20"/>
                <w:szCs w:val="20"/>
                <w:lang w:eastAsia="ar-SA"/>
              </w:rPr>
              <w:t>Spuris</w:t>
            </w:r>
            <w:proofErr w:type="spellEnd"/>
            <w:r w:rsidR="003B43C2">
              <w:rPr>
                <w:rFonts w:ascii="Times New Roman" w:eastAsia="Calibri" w:hAnsi="Times New Roman" w:cs="Times New Roman"/>
                <w:color w:val="000000"/>
                <w:sz w:val="20"/>
                <w:szCs w:val="20"/>
                <w:lang w:eastAsia="ar-SA"/>
              </w:rPr>
              <w:t xml:space="preserve"> Z.</w:t>
            </w:r>
            <w:r w:rsidRPr="00A07F29">
              <w:rPr>
                <w:rFonts w:ascii="Times New Roman" w:eastAsia="Calibri" w:hAnsi="Times New Roman" w:cs="Times New Roman"/>
                <w:color w:val="000000"/>
                <w:sz w:val="20"/>
                <w:szCs w:val="20"/>
                <w:lang w:eastAsia="ar-SA"/>
              </w:rPr>
              <w:t>, 1998).</w:t>
            </w:r>
          </w:p>
        </w:tc>
        <w:tc>
          <w:tcPr>
            <w:tcW w:w="971" w:type="pct"/>
            <w:shd w:val="clear" w:color="auto" w:fill="auto"/>
          </w:tcPr>
          <w:p w14:paraId="47B26F7A" w14:textId="1C154E79" w:rsidR="009072CE" w:rsidRPr="00A07F29" w:rsidRDefault="00BF0E06"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DA plāna</w:t>
            </w:r>
            <w:r w:rsidR="009072CE" w:rsidRPr="00A07F29">
              <w:rPr>
                <w:rFonts w:ascii="Times New Roman" w:eastAsia="Calibri" w:hAnsi="Times New Roman" w:cs="Times New Roman"/>
                <w:color w:val="000000"/>
                <w:sz w:val="20"/>
                <w:szCs w:val="20"/>
                <w:lang w:eastAsia="ar-SA"/>
              </w:rPr>
              <w:t xml:space="preserve"> izstrādes laikā suga netika konstatēta.</w:t>
            </w:r>
          </w:p>
        </w:tc>
      </w:tr>
      <w:tr w:rsidR="009072CE" w:rsidRPr="00A07F29" w14:paraId="45F34EE4" w14:textId="77777777" w:rsidTr="00014519">
        <w:trPr>
          <w:cantSplit/>
          <w:trHeight w:val="284"/>
        </w:trPr>
        <w:tc>
          <w:tcPr>
            <w:tcW w:w="894" w:type="pct"/>
            <w:shd w:val="clear" w:color="auto" w:fill="auto"/>
            <w:noWrap/>
            <w:vAlign w:val="center"/>
          </w:tcPr>
          <w:p w14:paraId="6CB6D4D9" w14:textId="77777777" w:rsidR="009072CE" w:rsidRPr="00A07F29" w:rsidRDefault="009072CE" w:rsidP="009072CE">
            <w:pPr>
              <w:autoSpaceDE w:val="0"/>
              <w:autoSpaceDN w:val="0"/>
              <w:adjustRightInd w:val="0"/>
              <w:spacing w:after="0" w:line="240" w:lineRule="auto"/>
              <w:rPr>
                <w:rFonts w:ascii="Times New Roman" w:eastAsia="Calibri" w:hAnsi="Times New Roman" w:cs="Times New Roman"/>
                <w:color w:val="000000"/>
                <w:sz w:val="20"/>
                <w:szCs w:val="20"/>
              </w:rPr>
            </w:pPr>
            <w:r w:rsidRPr="00A07F29">
              <w:rPr>
                <w:rFonts w:ascii="Times New Roman" w:eastAsia="Calibri" w:hAnsi="Times New Roman" w:cs="Times New Roman"/>
                <w:color w:val="000000"/>
                <w:sz w:val="20"/>
                <w:szCs w:val="20"/>
              </w:rPr>
              <w:t xml:space="preserve">Tumšā </w:t>
            </w:r>
            <w:proofErr w:type="spellStart"/>
            <w:r w:rsidRPr="00A07F29">
              <w:rPr>
                <w:rFonts w:ascii="Times New Roman" w:eastAsia="Calibri" w:hAnsi="Times New Roman" w:cs="Times New Roman"/>
                <w:color w:val="000000"/>
                <w:sz w:val="20"/>
                <w:szCs w:val="20"/>
              </w:rPr>
              <w:t>eļļasvabole</w:t>
            </w:r>
            <w:proofErr w:type="spellEnd"/>
            <w:r w:rsidRPr="00A07F29">
              <w:rPr>
                <w:rFonts w:ascii="Times New Roman" w:eastAsia="Calibri" w:hAnsi="Times New Roman" w:cs="Times New Roman"/>
                <w:color w:val="000000"/>
                <w:sz w:val="20"/>
                <w:szCs w:val="20"/>
              </w:rPr>
              <w:t xml:space="preserve"> </w:t>
            </w:r>
          </w:p>
        </w:tc>
        <w:tc>
          <w:tcPr>
            <w:tcW w:w="821" w:type="pct"/>
            <w:shd w:val="clear" w:color="auto" w:fill="auto"/>
            <w:noWrap/>
            <w:vAlign w:val="center"/>
          </w:tcPr>
          <w:p w14:paraId="3D107EC5" w14:textId="77777777" w:rsidR="009072CE" w:rsidRPr="00A07F29" w:rsidRDefault="009072CE" w:rsidP="009072CE">
            <w:pPr>
              <w:autoSpaceDE w:val="0"/>
              <w:autoSpaceDN w:val="0"/>
              <w:adjustRightInd w:val="0"/>
              <w:spacing w:after="0" w:line="240" w:lineRule="auto"/>
              <w:rPr>
                <w:rFonts w:ascii="Times New Roman" w:eastAsia="Calibri" w:hAnsi="Times New Roman" w:cs="Times New Roman"/>
                <w:color w:val="000000"/>
                <w:sz w:val="20"/>
                <w:szCs w:val="20"/>
              </w:rPr>
            </w:pPr>
            <w:proofErr w:type="spellStart"/>
            <w:r w:rsidRPr="00A07F29">
              <w:rPr>
                <w:rFonts w:ascii="Times New Roman" w:eastAsia="Calibri" w:hAnsi="Times New Roman" w:cs="Times New Roman"/>
                <w:i/>
                <w:iCs/>
                <w:color w:val="000000"/>
                <w:sz w:val="20"/>
                <w:szCs w:val="20"/>
              </w:rPr>
              <w:t>Meloe</w:t>
            </w:r>
            <w:proofErr w:type="spellEnd"/>
            <w:r w:rsidRPr="00A07F29">
              <w:rPr>
                <w:rFonts w:ascii="Times New Roman" w:eastAsia="Calibri" w:hAnsi="Times New Roman" w:cs="Times New Roman"/>
                <w:i/>
                <w:iCs/>
                <w:color w:val="000000"/>
                <w:sz w:val="20"/>
                <w:szCs w:val="20"/>
              </w:rPr>
              <w:t xml:space="preserve"> </w:t>
            </w:r>
            <w:proofErr w:type="spellStart"/>
            <w:r w:rsidRPr="00A07F29">
              <w:rPr>
                <w:rFonts w:ascii="Times New Roman" w:eastAsia="Calibri" w:hAnsi="Times New Roman" w:cs="Times New Roman"/>
                <w:i/>
                <w:iCs/>
                <w:color w:val="000000"/>
                <w:sz w:val="20"/>
                <w:szCs w:val="20"/>
              </w:rPr>
              <w:t>proscarabaeus</w:t>
            </w:r>
            <w:proofErr w:type="spellEnd"/>
            <w:r w:rsidRPr="00A07F29">
              <w:rPr>
                <w:rFonts w:ascii="Times New Roman" w:eastAsia="Calibri" w:hAnsi="Times New Roman" w:cs="Times New Roman"/>
                <w:i/>
                <w:iCs/>
                <w:color w:val="000000"/>
                <w:sz w:val="20"/>
                <w:szCs w:val="20"/>
              </w:rPr>
              <w:t xml:space="preserve"> </w:t>
            </w:r>
          </w:p>
        </w:tc>
        <w:tc>
          <w:tcPr>
            <w:tcW w:w="674" w:type="pct"/>
            <w:shd w:val="clear" w:color="auto" w:fill="auto"/>
            <w:noWrap/>
            <w:vAlign w:val="center"/>
          </w:tcPr>
          <w:p w14:paraId="3CDC21CF" w14:textId="77777777" w:rsidR="009072CE" w:rsidRPr="00A07F29" w:rsidRDefault="009072CE" w:rsidP="009072CE">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w:t>
            </w:r>
          </w:p>
        </w:tc>
        <w:tc>
          <w:tcPr>
            <w:tcW w:w="595" w:type="pct"/>
            <w:shd w:val="clear" w:color="auto" w:fill="auto"/>
            <w:noWrap/>
            <w:vAlign w:val="center"/>
          </w:tcPr>
          <w:p w14:paraId="6409DEA9" w14:textId="06781DB4" w:rsidR="009072CE" w:rsidRPr="00A07F29" w:rsidRDefault="003B43C2" w:rsidP="009072CE">
            <w:pPr>
              <w:suppressAutoHyphens/>
              <w:spacing w:after="0" w:line="240" w:lineRule="auto"/>
              <w:rPr>
                <w:rFonts w:ascii="Times New Roman" w:eastAsia="Calibri" w:hAnsi="Times New Roman" w:cs="Times New Roman"/>
                <w:color w:val="000000"/>
                <w:sz w:val="20"/>
                <w:szCs w:val="20"/>
                <w:lang w:eastAsia="ar-SA"/>
              </w:rPr>
            </w:pPr>
            <w:r>
              <w:rPr>
                <w:rFonts w:ascii="Times New Roman" w:eastAsia="Calibri" w:hAnsi="Times New Roman" w:cs="Times New Roman"/>
                <w:color w:val="000000"/>
                <w:sz w:val="20"/>
                <w:szCs w:val="20"/>
                <w:lang w:eastAsia="ar-SA"/>
              </w:rPr>
              <w:t>L</w:t>
            </w:r>
            <w:r w:rsidR="009072CE" w:rsidRPr="00A07F29">
              <w:rPr>
                <w:rFonts w:ascii="Times New Roman" w:eastAsia="Calibri" w:hAnsi="Times New Roman" w:cs="Times New Roman"/>
                <w:color w:val="000000"/>
                <w:sz w:val="20"/>
                <w:szCs w:val="20"/>
                <w:lang w:eastAsia="ar-SA"/>
              </w:rPr>
              <w:t>SG 2</w:t>
            </w:r>
          </w:p>
        </w:tc>
        <w:tc>
          <w:tcPr>
            <w:tcW w:w="1045" w:type="pct"/>
            <w:shd w:val="clear" w:color="auto" w:fill="auto"/>
          </w:tcPr>
          <w:p w14:paraId="69AFD8C7" w14:textId="02BD785F" w:rsidR="009072CE" w:rsidRPr="00A07F29" w:rsidRDefault="009072CE"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Latvijā suga izplatīta visā teritorijā, sastopama samērā reti (</w:t>
            </w:r>
            <w:proofErr w:type="spellStart"/>
            <w:r w:rsidRPr="00A07F29">
              <w:rPr>
                <w:rFonts w:ascii="Times New Roman" w:eastAsia="Calibri" w:hAnsi="Times New Roman" w:cs="Times New Roman"/>
                <w:color w:val="000000"/>
                <w:sz w:val="20"/>
                <w:szCs w:val="20"/>
                <w:lang w:eastAsia="ar-SA"/>
              </w:rPr>
              <w:t>Spuris</w:t>
            </w:r>
            <w:proofErr w:type="spellEnd"/>
            <w:r w:rsidR="003B43C2">
              <w:rPr>
                <w:rFonts w:ascii="Times New Roman" w:eastAsia="Calibri" w:hAnsi="Times New Roman" w:cs="Times New Roman"/>
                <w:color w:val="000000"/>
                <w:sz w:val="20"/>
                <w:szCs w:val="20"/>
                <w:lang w:eastAsia="ar-SA"/>
              </w:rPr>
              <w:t xml:space="preserve"> Z.</w:t>
            </w:r>
            <w:r w:rsidRPr="00A07F29">
              <w:rPr>
                <w:rFonts w:ascii="Times New Roman" w:eastAsia="Calibri" w:hAnsi="Times New Roman" w:cs="Times New Roman"/>
                <w:color w:val="000000"/>
                <w:sz w:val="20"/>
                <w:szCs w:val="20"/>
                <w:lang w:eastAsia="ar-SA"/>
              </w:rPr>
              <w:t>, 1998).</w:t>
            </w:r>
          </w:p>
        </w:tc>
        <w:tc>
          <w:tcPr>
            <w:tcW w:w="971" w:type="pct"/>
            <w:shd w:val="clear" w:color="auto" w:fill="auto"/>
          </w:tcPr>
          <w:p w14:paraId="1A1C2CE7" w14:textId="78704461" w:rsidR="009072CE" w:rsidRPr="00A07F29" w:rsidRDefault="00BF0E06"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DA plāna</w:t>
            </w:r>
            <w:r w:rsidR="009072CE" w:rsidRPr="00A07F29">
              <w:rPr>
                <w:rFonts w:ascii="Times New Roman" w:eastAsia="Calibri" w:hAnsi="Times New Roman" w:cs="Times New Roman"/>
                <w:color w:val="000000"/>
                <w:sz w:val="20"/>
                <w:szCs w:val="20"/>
                <w:lang w:eastAsia="ar-SA"/>
              </w:rPr>
              <w:t xml:space="preserve"> izstrādes laikā suga netika konstatēta.</w:t>
            </w:r>
          </w:p>
        </w:tc>
      </w:tr>
      <w:tr w:rsidR="009072CE" w:rsidRPr="00A07F29" w14:paraId="6886F3E4" w14:textId="77777777" w:rsidTr="00014519">
        <w:trPr>
          <w:cantSplit/>
          <w:trHeight w:val="284"/>
        </w:trPr>
        <w:tc>
          <w:tcPr>
            <w:tcW w:w="894" w:type="pct"/>
            <w:shd w:val="clear" w:color="auto" w:fill="auto"/>
            <w:noWrap/>
            <w:vAlign w:val="center"/>
          </w:tcPr>
          <w:p w14:paraId="22266AC7" w14:textId="77777777" w:rsidR="009072CE" w:rsidRPr="00A07F29" w:rsidRDefault="009072CE" w:rsidP="009072CE">
            <w:pPr>
              <w:autoSpaceDE w:val="0"/>
              <w:autoSpaceDN w:val="0"/>
              <w:adjustRightInd w:val="0"/>
              <w:spacing w:after="0" w:line="240" w:lineRule="auto"/>
              <w:rPr>
                <w:rFonts w:ascii="Times New Roman" w:eastAsia="Calibri" w:hAnsi="Times New Roman" w:cs="Times New Roman"/>
                <w:color w:val="000000"/>
                <w:sz w:val="20"/>
                <w:szCs w:val="20"/>
              </w:rPr>
            </w:pPr>
            <w:r w:rsidRPr="00A07F29">
              <w:rPr>
                <w:rFonts w:ascii="Times New Roman" w:eastAsia="Calibri" w:hAnsi="Times New Roman" w:cs="Times New Roman"/>
                <w:color w:val="000000"/>
                <w:sz w:val="20"/>
                <w:szCs w:val="20"/>
              </w:rPr>
              <w:t xml:space="preserve">Zilā </w:t>
            </w:r>
            <w:proofErr w:type="spellStart"/>
            <w:r w:rsidRPr="00A07F29">
              <w:rPr>
                <w:rFonts w:ascii="Times New Roman" w:eastAsia="Calibri" w:hAnsi="Times New Roman" w:cs="Times New Roman"/>
                <w:color w:val="000000"/>
                <w:sz w:val="20"/>
                <w:szCs w:val="20"/>
              </w:rPr>
              <w:t>eļļasvabole</w:t>
            </w:r>
            <w:proofErr w:type="spellEnd"/>
            <w:r w:rsidRPr="00A07F29">
              <w:rPr>
                <w:rFonts w:ascii="Times New Roman" w:eastAsia="Calibri" w:hAnsi="Times New Roman" w:cs="Times New Roman"/>
                <w:color w:val="000000"/>
                <w:sz w:val="20"/>
                <w:szCs w:val="20"/>
              </w:rPr>
              <w:t xml:space="preserve"> </w:t>
            </w:r>
          </w:p>
        </w:tc>
        <w:tc>
          <w:tcPr>
            <w:tcW w:w="821" w:type="pct"/>
            <w:shd w:val="clear" w:color="auto" w:fill="auto"/>
            <w:noWrap/>
            <w:vAlign w:val="center"/>
          </w:tcPr>
          <w:p w14:paraId="36DB27FD" w14:textId="77777777" w:rsidR="009072CE" w:rsidRPr="00A07F29" w:rsidRDefault="009072CE" w:rsidP="009072CE">
            <w:pPr>
              <w:autoSpaceDE w:val="0"/>
              <w:autoSpaceDN w:val="0"/>
              <w:adjustRightInd w:val="0"/>
              <w:spacing w:after="0" w:line="240" w:lineRule="auto"/>
              <w:rPr>
                <w:rFonts w:ascii="Times New Roman" w:eastAsia="Calibri" w:hAnsi="Times New Roman" w:cs="Times New Roman"/>
                <w:color w:val="000000"/>
                <w:sz w:val="20"/>
                <w:szCs w:val="20"/>
              </w:rPr>
            </w:pPr>
            <w:proofErr w:type="spellStart"/>
            <w:r w:rsidRPr="00A07F29">
              <w:rPr>
                <w:rFonts w:ascii="Times New Roman" w:eastAsia="Calibri" w:hAnsi="Times New Roman" w:cs="Times New Roman"/>
                <w:i/>
                <w:iCs/>
                <w:color w:val="000000"/>
                <w:sz w:val="20"/>
                <w:szCs w:val="20"/>
              </w:rPr>
              <w:t>Meloe</w:t>
            </w:r>
            <w:proofErr w:type="spellEnd"/>
            <w:r w:rsidRPr="00A07F29">
              <w:rPr>
                <w:rFonts w:ascii="Times New Roman" w:eastAsia="Calibri" w:hAnsi="Times New Roman" w:cs="Times New Roman"/>
                <w:i/>
                <w:iCs/>
                <w:color w:val="000000"/>
                <w:sz w:val="20"/>
                <w:szCs w:val="20"/>
              </w:rPr>
              <w:t xml:space="preserve"> </w:t>
            </w:r>
            <w:proofErr w:type="spellStart"/>
            <w:r w:rsidRPr="00A07F29">
              <w:rPr>
                <w:rFonts w:ascii="Times New Roman" w:eastAsia="Calibri" w:hAnsi="Times New Roman" w:cs="Times New Roman"/>
                <w:i/>
                <w:iCs/>
                <w:color w:val="000000"/>
                <w:sz w:val="20"/>
                <w:szCs w:val="20"/>
              </w:rPr>
              <w:t>violaceus</w:t>
            </w:r>
            <w:proofErr w:type="spellEnd"/>
            <w:r w:rsidRPr="00A07F29">
              <w:rPr>
                <w:rFonts w:ascii="Times New Roman" w:eastAsia="Calibri" w:hAnsi="Times New Roman" w:cs="Times New Roman"/>
                <w:i/>
                <w:iCs/>
                <w:color w:val="000000"/>
                <w:sz w:val="20"/>
                <w:szCs w:val="20"/>
              </w:rPr>
              <w:t xml:space="preserve"> </w:t>
            </w:r>
          </w:p>
        </w:tc>
        <w:tc>
          <w:tcPr>
            <w:tcW w:w="674" w:type="pct"/>
            <w:shd w:val="clear" w:color="auto" w:fill="auto"/>
            <w:noWrap/>
            <w:vAlign w:val="center"/>
          </w:tcPr>
          <w:p w14:paraId="1099EAA2" w14:textId="77777777" w:rsidR="009072CE" w:rsidRPr="00A07F29" w:rsidRDefault="009072CE" w:rsidP="009072CE">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w:t>
            </w:r>
          </w:p>
        </w:tc>
        <w:tc>
          <w:tcPr>
            <w:tcW w:w="595" w:type="pct"/>
            <w:shd w:val="clear" w:color="auto" w:fill="auto"/>
            <w:noWrap/>
            <w:vAlign w:val="center"/>
          </w:tcPr>
          <w:p w14:paraId="7BCAF488" w14:textId="39BF74E2" w:rsidR="009072CE" w:rsidRPr="00A07F29" w:rsidRDefault="003B43C2" w:rsidP="009072CE">
            <w:pPr>
              <w:suppressAutoHyphens/>
              <w:spacing w:after="0" w:line="240" w:lineRule="auto"/>
              <w:rPr>
                <w:rFonts w:ascii="Times New Roman" w:eastAsia="Calibri" w:hAnsi="Times New Roman" w:cs="Times New Roman"/>
                <w:color w:val="000000"/>
                <w:sz w:val="20"/>
                <w:szCs w:val="20"/>
                <w:lang w:eastAsia="ar-SA"/>
              </w:rPr>
            </w:pPr>
            <w:r>
              <w:rPr>
                <w:rFonts w:ascii="Times New Roman" w:eastAsia="Calibri" w:hAnsi="Times New Roman" w:cs="Times New Roman"/>
                <w:color w:val="000000"/>
                <w:sz w:val="20"/>
                <w:szCs w:val="20"/>
                <w:lang w:eastAsia="ar-SA"/>
              </w:rPr>
              <w:t>L</w:t>
            </w:r>
            <w:r w:rsidR="009072CE" w:rsidRPr="00A07F29">
              <w:rPr>
                <w:rFonts w:ascii="Times New Roman" w:eastAsia="Calibri" w:hAnsi="Times New Roman" w:cs="Times New Roman"/>
                <w:color w:val="000000"/>
                <w:sz w:val="20"/>
                <w:szCs w:val="20"/>
                <w:lang w:eastAsia="ar-SA"/>
              </w:rPr>
              <w:t>SG 2</w:t>
            </w:r>
          </w:p>
        </w:tc>
        <w:tc>
          <w:tcPr>
            <w:tcW w:w="1045" w:type="pct"/>
            <w:shd w:val="clear" w:color="auto" w:fill="auto"/>
          </w:tcPr>
          <w:p w14:paraId="341401A3" w14:textId="451E2022" w:rsidR="009072CE" w:rsidRPr="00A07F29" w:rsidRDefault="009072CE"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Latvijā suga izplatīta visā teritorijā (</w:t>
            </w:r>
            <w:proofErr w:type="spellStart"/>
            <w:r w:rsidRPr="00A07F29">
              <w:rPr>
                <w:rFonts w:ascii="Times New Roman" w:eastAsia="Calibri" w:hAnsi="Times New Roman" w:cs="Times New Roman"/>
                <w:color w:val="000000"/>
                <w:sz w:val="20"/>
                <w:szCs w:val="20"/>
                <w:lang w:eastAsia="ar-SA"/>
              </w:rPr>
              <w:t>Spuris</w:t>
            </w:r>
            <w:proofErr w:type="spellEnd"/>
            <w:r w:rsidR="003B43C2">
              <w:rPr>
                <w:rFonts w:ascii="Times New Roman" w:eastAsia="Calibri" w:hAnsi="Times New Roman" w:cs="Times New Roman"/>
                <w:color w:val="000000"/>
                <w:sz w:val="20"/>
                <w:szCs w:val="20"/>
                <w:lang w:eastAsia="ar-SA"/>
              </w:rPr>
              <w:t xml:space="preserve"> Z.</w:t>
            </w:r>
            <w:r w:rsidRPr="00A07F29">
              <w:rPr>
                <w:rFonts w:ascii="Times New Roman" w:eastAsia="Calibri" w:hAnsi="Times New Roman" w:cs="Times New Roman"/>
                <w:color w:val="000000"/>
                <w:sz w:val="20"/>
                <w:szCs w:val="20"/>
                <w:lang w:eastAsia="ar-SA"/>
              </w:rPr>
              <w:t>, 1998).</w:t>
            </w:r>
          </w:p>
        </w:tc>
        <w:tc>
          <w:tcPr>
            <w:tcW w:w="971" w:type="pct"/>
            <w:shd w:val="clear" w:color="auto" w:fill="auto"/>
          </w:tcPr>
          <w:p w14:paraId="7E8FAA58" w14:textId="3A6057B1" w:rsidR="009072CE" w:rsidRPr="00A07F29" w:rsidRDefault="00BF0E06"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DA plāna</w:t>
            </w:r>
            <w:r w:rsidR="009072CE" w:rsidRPr="00A07F29">
              <w:rPr>
                <w:rFonts w:ascii="Times New Roman" w:eastAsia="Calibri" w:hAnsi="Times New Roman" w:cs="Times New Roman"/>
                <w:color w:val="000000"/>
                <w:sz w:val="20"/>
                <w:szCs w:val="20"/>
                <w:lang w:eastAsia="ar-SA"/>
              </w:rPr>
              <w:t xml:space="preserve"> izstrādes laikā suga netika konstatēta.</w:t>
            </w:r>
          </w:p>
        </w:tc>
      </w:tr>
      <w:tr w:rsidR="009072CE" w:rsidRPr="00A07F29" w14:paraId="6B9BF8C2" w14:textId="77777777" w:rsidTr="00014519">
        <w:trPr>
          <w:cantSplit/>
          <w:trHeight w:val="284"/>
        </w:trPr>
        <w:tc>
          <w:tcPr>
            <w:tcW w:w="894" w:type="pct"/>
            <w:shd w:val="clear" w:color="auto" w:fill="auto"/>
            <w:noWrap/>
            <w:vAlign w:val="center"/>
          </w:tcPr>
          <w:p w14:paraId="1C4770D6" w14:textId="77777777" w:rsidR="009072CE" w:rsidRPr="00A07F29" w:rsidRDefault="009072CE" w:rsidP="009072CE">
            <w:pPr>
              <w:autoSpaceDE w:val="0"/>
              <w:autoSpaceDN w:val="0"/>
              <w:adjustRightInd w:val="0"/>
              <w:spacing w:after="0" w:line="240" w:lineRule="auto"/>
              <w:rPr>
                <w:rFonts w:ascii="Times New Roman" w:eastAsia="Calibri" w:hAnsi="Times New Roman" w:cs="Times New Roman"/>
                <w:color w:val="000000"/>
                <w:sz w:val="20"/>
                <w:szCs w:val="20"/>
              </w:rPr>
            </w:pPr>
            <w:r w:rsidRPr="00A07F29">
              <w:rPr>
                <w:rFonts w:ascii="Times New Roman" w:eastAsia="Calibri" w:hAnsi="Times New Roman" w:cs="Times New Roman"/>
                <w:color w:val="000000"/>
                <w:sz w:val="20"/>
                <w:szCs w:val="20"/>
              </w:rPr>
              <w:t>Skujkoku lielais koksngrauzis</w:t>
            </w:r>
          </w:p>
        </w:tc>
        <w:tc>
          <w:tcPr>
            <w:tcW w:w="821" w:type="pct"/>
            <w:shd w:val="clear" w:color="auto" w:fill="auto"/>
            <w:noWrap/>
            <w:vAlign w:val="center"/>
          </w:tcPr>
          <w:p w14:paraId="7BC070A5" w14:textId="77777777" w:rsidR="009072CE" w:rsidRPr="00A07F29" w:rsidRDefault="009072CE" w:rsidP="009072CE">
            <w:pPr>
              <w:autoSpaceDE w:val="0"/>
              <w:autoSpaceDN w:val="0"/>
              <w:adjustRightInd w:val="0"/>
              <w:spacing w:after="0" w:line="240" w:lineRule="auto"/>
              <w:rPr>
                <w:rFonts w:ascii="Times New Roman" w:eastAsia="Calibri" w:hAnsi="Times New Roman" w:cs="Times New Roman"/>
                <w:i/>
                <w:iCs/>
                <w:color w:val="000000"/>
                <w:sz w:val="20"/>
                <w:szCs w:val="20"/>
              </w:rPr>
            </w:pPr>
            <w:proofErr w:type="spellStart"/>
            <w:r w:rsidRPr="00A07F29">
              <w:rPr>
                <w:rFonts w:ascii="Times New Roman" w:eastAsia="Calibri" w:hAnsi="Times New Roman" w:cs="Times New Roman"/>
                <w:i/>
                <w:iCs/>
                <w:color w:val="000000"/>
                <w:sz w:val="20"/>
                <w:szCs w:val="20"/>
              </w:rPr>
              <w:t>Monochamus</w:t>
            </w:r>
            <w:proofErr w:type="spellEnd"/>
            <w:r w:rsidRPr="00A07F29">
              <w:rPr>
                <w:rFonts w:ascii="Times New Roman" w:eastAsia="Calibri" w:hAnsi="Times New Roman" w:cs="Times New Roman"/>
                <w:i/>
                <w:iCs/>
                <w:color w:val="000000"/>
                <w:sz w:val="20"/>
                <w:szCs w:val="20"/>
              </w:rPr>
              <w:t xml:space="preserve"> </w:t>
            </w:r>
            <w:proofErr w:type="spellStart"/>
            <w:r w:rsidRPr="00A07F29">
              <w:rPr>
                <w:rFonts w:ascii="Times New Roman" w:eastAsia="Calibri" w:hAnsi="Times New Roman" w:cs="Times New Roman"/>
                <w:i/>
                <w:iCs/>
                <w:color w:val="000000"/>
                <w:sz w:val="20"/>
                <w:szCs w:val="20"/>
              </w:rPr>
              <w:t>urussovi</w:t>
            </w:r>
            <w:proofErr w:type="spellEnd"/>
          </w:p>
        </w:tc>
        <w:tc>
          <w:tcPr>
            <w:tcW w:w="674" w:type="pct"/>
            <w:shd w:val="clear" w:color="auto" w:fill="auto"/>
            <w:noWrap/>
            <w:vAlign w:val="center"/>
          </w:tcPr>
          <w:p w14:paraId="20AE5EE8" w14:textId="77777777" w:rsidR="009072CE" w:rsidRPr="00A07F29" w:rsidRDefault="009072CE" w:rsidP="009072CE">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w:t>
            </w:r>
          </w:p>
        </w:tc>
        <w:tc>
          <w:tcPr>
            <w:tcW w:w="595" w:type="pct"/>
            <w:shd w:val="clear" w:color="auto" w:fill="auto"/>
            <w:noWrap/>
            <w:vAlign w:val="center"/>
          </w:tcPr>
          <w:p w14:paraId="5C7BB296" w14:textId="77777777" w:rsidR="009072CE" w:rsidRPr="00A07F29" w:rsidRDefault="009072CE" w:rsidP="009072CE">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MAB (BSS)</w:t>
            </w:r>
          </w:p>
        </w:tc>
        <w:tc>
          <w:tcPr>
            <w:tcW w:w="1045" w:type="pct"/>
            <w:shd w:val="clear" w:color="auto" w:fill="auto"/>
          </w:tcPr>
          <w:p w14:paraId="107F0933" w14:textId="14B08DBB" w:rsidR="009072CE" w:rsidRPr="00A07F29" w:rsidRDefault="009072CE"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Latvijā sam</w:t>
            </w:r>
            <w:r w:rsidR="003A614C">
              <w:rPr>
                <w:rFonts w:ascii="Times New Roman" w:eastAsia="Calibri" w:hAnsi="Times New Roman" w:cs="Times New Roman"/>
                <w:color w:val="000000"/>
                <w:sz w:val="20"/>
                <w:szCs w:val="20"/>
                <w:lang w:eastAsia="ar-SA"/>
              </w:rPr>
              <w:t>ē</w:t>
            </w:r>
            <w:r w:rsidRPr="00A07F29">
              <w:rPr>
                <w:rFonts w:ascii="Times New Roman" w:eastAsia="Calibri" w:hAnsi="Times New Roman" w:cs="Times New Roman"/>
                <w:color w:val="000000"/>
                <w:sz w:val="20"/>
                <w:szCs w:val="20"/>
                <w:lang w:eastAsia="ar-SA"/>
              </w:rPr>
              <w:t>rā reti sastopama mežaudzes atslēgas biotopu speciālistu suga.</w:t>
            </w:r>
          </w:p>
        </w:tc>
        <w:tc>
          <w:tcPr>
            <w:tcW w:w="971" w:type="pct"/>
            <w:shd w:val="clear" w:color="auto" w:fill="auto"/>
          </w:tcPr>
          <w:p w14:paraId="7490A1CC" w14:textId="303FFD16" w:rsidR="009072CE" w:rsidRPr="00A07F29" w:rsidRDefault="00BF0E06"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DA plāna</w:t>
            </w:r>
            <w:r w:rsidR="009072CE" w:rsidRPr="00A07F29">
              <w:rPr>
                <w:rFonts w:ascii="Times New Roman" w:eastAsia="Calibri" w:hAnsi="Times New Roman" w:cs="Times New Roman"/>
                <w:color w:val="000000"/>
                <w:sz w:val="20"/>
                <w:szCs w:val="20"/>
                <w:lang w:eastAsia="ar-SA"/>
              </w:rPr>
              <w:t xml:space="preserve"> izstrādes laikā suga netika konstatēta.</w:t>
            </w:r>
          </w:p>
        </w:tc>
      </w:tr>
      <w:tr w:rsidR="009072CE" w:rsidRPr="00A07F29" w14:paraId="389D9ACE" w14:textId="77777777" w:rsidTr="00014519">
        <w:trPr>
          <w:cantSplit/>
          <w:trHeight w:val="284"/>
        </w:trPr>
        <w:tc>
          <w:tcPr>
            <w:tcW w:w="894" w:type="pct"/>
            <w:shd w:val="clear" w:color="auto" w:fill="auto"/>
            <w:noWrap/>
            <w:vAlign w:val="center"/>
          </w:tcPr>
          <w:p w14:paraId="5E95E169" w14:textId="2B956EC2" w:rsidR="009072CE" w:rsidRPr="00A07F29" w:rsidRDefault="009072CE" w:rsidP="009072CE">
            <w:pPr>
              <w:autoSpaceDE w:val="0"/>
              <w:autoSpaceDN w:val="0"/>
              <w:adjustRightInd w:val="0"/>
              <w:spacing w:after="0" w:line="240" w:lineRule="auto"/>
              <w:rPr>
                <w:rFonts w:ascii="Times New Roman" w:eastAsia="Calibri" w:hAnsi="Times New Roman" w:cs="Times New Roman"/>
                <w:color w:val="000000"/>
                <w:sz w:val="20"/>
                <w:szCs w:val="20"/>
              </w:rPr>
            </w:pPr>
            <w:proofErr w:type="spellStart"/>
            <w:r w:rsidRPr="00A07F29">
              <w:rPr>
                <w:rFonts w:ascii="Times New Roman" w:eastAsia="Calibri" w:hAnsi="Times New Roman" w:cs="Times New Roman"/>
                <w:color w:val="000000"/>
                <w:sz w:val="20"/>
                <w:szCs w:val="20"/>
              </w:rPr>
              <w:lastRenderedPageBreak/>
              <w:t>Četrplankumu</w:t>
            </w:r>
            <w:proofErr w:type="spellEnd"/>
            <w:r w:rsidRPr="00A07F29">
              <w:rPr>
                <w:rFonts w:ascii="Times New Roman" w:eastAsia="Calibri" w:hAnsi="Times New Roman" w:cs="Times New Roman"/>
                <w:color w:val="000000"/>
                <w:sz w:val="20"/>
                <w:szCs w:val="20"/>
              </w:rPr>
              <w:t xml:space="preserve"> </w:t>
            </w:r>
            <w:proofErr w:type="spellStart"/>
            <w:r w:rsidRPr="00A07F29">
              <w:rPr>
                <w:rFonts w:ascii="Times New Roman" w:eastAsia="Calibri" w:hAnsi="Times New Roman" w:cs="Times New Roman"/>
                <w:color w:val="000000"/>
                <w:sz w:val="20"/>
                <w:szCs w:val="20"/>
              </w:rPr>
              <w:t>sēņgrauzis</w:t>
            </w:r>
            <w:proofErr w:type="spellEnd"/>
            <w:r w:rsidRPr="00A07F29">
              <w:rPr>
                <w:rFonts w:ascii="Times New Roman" w:eastAsia="Calibri" w:hAnsi="Times New Roman" w:cs="Times New Roman"/>
                <w:color w:val="000000"/>
                <w:sz w:val="20"/>
                <w:szCs w:val="20"/>
              </w:rPr>
              <w:t xml:space="preserve"> </w:t>
            </w:r>
          </w:p>
        </w:tc>
        <w:tc>
          <w:tcPr>
            <w:tcW w:w="821" w:type="pct"/>
            <w:shd w:val="clear" w:color="auto" w:fill="auto"/>
            <w:noWrap/>
            <w:vAlign w:val="center"/>
          </w:tcPr>
          <w:p w14:paraId="36F56EC8" w14:textId="77777777" w:rsidR="009072CE" w:rsidRPr="00A07F29" w:rsidRDefault="009072CE" w:rsidP="009072CE">
            <w:pPr>
              <w:autoSpaceDE w:val="0"/>
              <w:autoSpaceDN w:val="0"/>
              <w:adjustRightInd w:val="0"/>
              <w:spacing w:after="0" w:line="240" w:lineRule="auto"/>
              <w:rPr>
                <w:rFonts w:ascii="Times New Roman" w:eastAsia="Calibri" w:hAnsi="Times New Roman" w:cs="Times New Roman"/>
                <w:color w:val="000000"/>
                <w:sz w:val="20"/>
                <w:szCs w:val="20"/>
              </w:rPr>
            </w:pPr>
            <w:proofErr w:type="spellStart"/>
            <w:r w:rsidRPr="00A07F29">
              <w:rPr>
                <w:rFonts w:ascii="Times New Roman" w:eastAsia="Calibri" w:hAnsi="Times New Roman" w:cs="Times New Roman"/>
                <w:i/>
                <w:iCs/>
                <w:color w:val="000000"/>
                <w:sz w:val="20"/>
                <w:szCs w:val="20"/>
              </w:rPr>
              <w:t>Mycetophagus</w:t>
            </w:r>
            <w:proofErr w:type="spellEnd"/>
            <w:r w:rsidRPr="00A07F29">
              <w:rPr>
                <w:rFonts w:ascii="Times New Roman" w:eastAsia="Calibri" w:hAnsi="Times New Roman" w:cs="Times New Roman"/>
                <w:i/>
                <w:iCs/>
                <w:color w:val="000000"/>
                <w:sz w:val="20"/>
                <w:szCs w:val="20"/>
              </w:rPr>
              <w:t xml:space="preserve"> </w:t>
            </w:r>
            <w:proofErr w:type="spellStart"/>
            <w:r w:rsidRPr="00A07F29">
              <w:rPr>
                <w:rFonts w:ascii="Times New Roman" w:eastAsia="Calibri" w:hAnsi="Times New Roman" w:cs="Times New Roman"/>
                <w:i/>
                <w:iCs/>
                <w:color w:val="000000"/>
                <w:sz w:val="20"/>
                <w:szCs w:val="20"/>
              </w:rPr>
              <w:t>quadripustulatus</w:t>
            </w:r>
            <w:proofErr w:type="spellEnd"/>
            <w:r w:rsidRPr="00A07F29">
              <w:rPr>
                <w:rFonts w:ascii="Times New Roman" w:eastAsia="Calibri" w:hAnsi="Times New Roman" w:cs="Times New Roman"/>
                <w:i/>
                <w:iCs/>
                <w:color w:val="000000"/>
                <w:sz w:val="20"/>
                <w:szCs w:val="20"/>
              </w:rPr>
              <w:t xml:space="preserve"> </w:t>
            </w:r>
          </w:p>
        </w:tc>
        <w:tc>
          <w:tcPr>
            <w:tcW w:w="674" w:type="pct"/>
            <w:shd w:val="clear" w:color="auto" w:fill="auto"/>
            <w:noWrap/>
            <w:vAlign w:val="center"/>
          </w:tcPr>
          <w:p w14:paraId="00A7CF3E" w14:textId="77777777" w:rsidR="009072CE" w:rsidRPr="00A07F29" w:rsidRDefault="009072CE" w:rsidP="009072CE">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w:t>
            </w:r>
          </w:p>
        </w:tc>
        <w:tc>
          <w:tcPr>
            <w:tcW w:w="595" w:type="pct"/>
            <w:shd w:val="clear" w:color="auto" w:fill="auto"/>
            <w:noWrap/>
            <w:vAlign w:val="center"/>
          </w:tcPr>
          <w:p w14:paraId="40C6362B" w14:textId="77777777" w:rsidR="009072CE" w:rsidRPr="00A07F29" w:rsidRDefault="009072CE" w:rsidP="009072CE">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MAB (IS)</w:t>
            </w:r>
          </w:p>
        </w:tc>
        <w:tc>
          <w:tcPr>
            <w:tcW w:w="1045" w:type="pct"/>
            <w:shd w:val="clear" w:color="auto" w:fill="auto"/>
          </w:tcPr>
          <w:p w14:paraId="0F18F5C1" w14:textId="102F3855" w:rsidR="009072CE" w:rsidRPr="00A07F29" w:rsidRDefault="009072CE"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Latvijā sam</w:t>
            </w:r>
            <w:r w:rsidR="003A614C">
              <w:rPr>
                <w:rFonts w:ascii="Times New Roman" w:eastAsia="Calibri" w:hAnsi="Times New Roman" w:cs="Times New Roman"/>
                <w:color w:val="000000"/>
                <w:sz w:val="20"/>
                <w:szCs w:val="20"/>
                <w:lang w:eastAsia="ar-SA"/>
              </w:rPr>
              <w:t>ē</w:t>
            </w:r>
            <w:r w:rsidRPr="00A07F29">
              <w:rPr>
                <w:rFonts w:ascii="Times New Roman" w:eastAsia="Calibri" w:hAnsi="Times New Roman" w:cs="Times New Roman"/>
                <w:color w:val="000000"/>
                <w:sz w:val="20"/>
                <w:szCs w:val="20"/>
                <w:lang w:eastAsia="ar-SA"/>
              </w:rPr>
              <w:t xml:space="preserve">rā bieži sastopama mežaudzes atslēgas biotopu </w:t>
            </w:r>
            <w:proofErr w:type="spellStart"/>
            <w:r w:rsidRPr="00A07F29">
              <w:rPr>
                <w:rFonts w:ascii="Times New Roman" w:eastAsia="Calibri" w:hAnsi="Times New Roman" w:cs="Times New Roman"/>
                <w:color w:val="000000"/>
                <w:sz w:val="20"/>
                <w:szCs w:val="20"/>
                <w:lang w:eastAsia="ar-SA"/>
              </w:rPr>
              <w:t>indikatorsuga</w:t>
            </w:r>
            <w:proofErr w:type="spellEnd"/>
            <w:r w:rsidRPr="00A07F29">
              <w:rPr>
                <w:rFonts w:ascii="Times New Roman" w:eastAsia="Calibri" w:hAnsi="Times New Roman" w:cs="Times New Roman"/>
                <w:color w:val="000000"/>
                <w:sz w:val="20"/>
                <w:szCs w:val="20"/>
                <w:lang w:eastAsia="ar-SA"/>
              </w:rPr>
              <w:t>.</w:t>
            </w:r>
          </w:p>
        </w:tc>
        <w:tc>
          <w:tcPr>
            <w:tcW w:w="971" w:type="pct"/>
            <w:shd w:val="clear" w:color="auto" w:fill="auto"/>
          </w:tcPr>
          <w:p w14:paraId="4B989BCB" w14:textId="21DD06D1" w:rsidR="009072CE" w:rsidRPr="00A07F29" w:rsidRDefault="00BF0E06"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DA plāna</w:t>
            </w:r>
            <w:r w:rsidR="009072CE" w:rsidRPr="00A07F29">
              <w:rPr>
                <w:rFonts w:ascii="Times New Roman" w:eastAsia="Calibri" w:hAnsi="Times New Roman" w:cs="Times New Roman"/>
                <w:color w:val="000000"/>
                <w:sz w:val="20"/>
                <w:szCs w:val="20"/>
                <w:lang w:eastAsia="ar-SA"/>
              </w:rPr>
              <w:t xml:space="preserve"> izstrādes laikā suga netika konstatēta.</w:t>
            </w:r>
          </w:p>
        </w:tc>
      </w:tr>
      <w:tr w:rsidR="009072CE" w:rsidRPr="00A07F29" w14:paraId="46CCB854" w14:textId="77777777" w:rsidTr="00014519">
        <w:trPr>
          <w:cantSplit/>
          <w:trHeight w:val="284"/>
        </w:trPr>
        <w:tc>
          <w:tcPr>
            <w:tcW w:w="894" w:type="pct"/>
            <w:shd w:val="clear" w:color="auto" w:fill="auto"/>
            <w:noWrap/>
            <w:vAlign w:val="center"/>
          </w:tcPr>
          <w:p w14:paraId="1148A56F" w14:textId="77777777" w:rsidR="009072CE" w:rsidRPr="00A07F29" w:rsidRDefault="009072CE" w:rsidP="009072CE">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 xml:space="preserve">Vītolu </w:t>
            </w:r>
            <w:proofErr w:type="spellStart"/>
            <w:r w:rsidRPr="00A07F29">
              <w:rPr>
                <w:rFonts w:ascii="Times New Roman" w:eastAsia="Calibri" w:hAnsi="Times New Roman" w:cs="Times New Roman"/>
                <w:color w:val="000000"/>
                <w:sz w:val="20"/>
                <w:szCs w:val="20"/>
                <w:lang w:eastAsia="ar-SA"/>
              </w:rPr>
              <w:t>slaidkoksngrauzis</w:t>
            </w:r>
            <w:proofErr w:type="spellEnd"/>
          </w:p>
        </w:tc>
        <w:tc>
          <w:tcPr>
            <w:tcW w:w="821" w:type="pct"/>
            <w:shd w:val="clear" w:color="auto" w:fill="auto"/>
            <w:noWrap/>
            <w:vAlign w:val="center"/>
          </w:tcPr>
          <w:p w14:paraId="2AFF4993" w14:textId="77777777" w:rsidR="009072CE" w:rsidRPr="00A07F29" w:rsidRDefault="009072CE" w:rsidP="009072CE">
            <w:pPr>
              <w:suppressAutoHyphens/>
              <w:spacing w:after="0" w:line="240" w:lineRule="auto"/>
              <w:rPr>
                <w:rFonts w:ascii="Times New Roman" w:eastAsia="Calibri" w:hAnsi="Times New Roman" w:cs="Times New Roman"/>
                <w:i/>
                <w:iCs/>
                <w:color w:val="000000"/>
                <w:sz w:val="20"/>
                <w:szCs w:val="20"/>
                <w:lang w:eastAsia="ar-SA"/>
              </w:rPr>
            </w:pPr>
            <w:proofErr w:type="spellStart"/>
            <w:r w:rsidRPr="00A07F29">
              <w:rPr>
                <w:rFonts w:ascii="Times New Roman" w:eastAsia="Calibri" w:hAnsi="Times New Roman" w:cs="Times New Roman"/>
                <w:i/>
                <w:iCs/>
                <w:color w:val="000000"/>
                <w:sz w:val="20"/>
                <w:szCs w:val="20"/>
                <w:lang w:eastAsia="ar-SA"/>
              </w:rPr>
              <w:t>Necydalis</w:t>
            </w:r>
            <w:proofErr w:type="spellEnd"/>
            <w:r w:rsidRPr="00A07F29">
              <w:rPr>
                <w:rFonts w:ascii="Times New Roman" w:eastAsia="Calibri" w:hAnsi="Times New Roman" w:cs="Times New Roman"/>
                <w:i/>
                <w:iCs/>
                <w:color w:val="000000"/>
                <w:sz w:val="20"/>
                <w:szCs w:val="20"/>
                <w:lang w:eastAsia="ar-SA"/>
              </w:rPr>
              <w:t xml:space="preserve"> major</w:t>
            </w:r>
          </w:p>
        </w:tc>
        <w:tc>
          <w:tcPr>
            <w:tcW w:w="674" w:type="pct"/>
            <w:shd w:val="clear" w:color="auto" w:fill="auto"/>
            <w:noWrap/>
            <w:vAlign w:val="center"/>
          </w:tcPr>
          <w:p w14:paraId="1EB6535D" w14:textId="28BA641C" w:rsidR="009072CE" w:rsidRPr="00A07F29" w:rsidRDefault="009072CE" w:rsidP="009072CE">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ĪAS</w:t>
            </w:r>
          </w:p>
        </w:tc>
        <w:tc>
          <w:tcPr>
            <w:tcW w:w="595" w:type="pct"/>
            <w:shd w:val="clear" w:color="auto" w:fill="auto"/>
            <w:noWrap/>
            <w:vAlign w:val="center"/>
          </w:tcPr>
          <w:p w14:paraId="53A8CAC9" w14:textId="7A5136CD" w:rsidR="009072CE" w:rsidRPr="00A07F29" w:rsidRDefault="003A614C" w:rsidP="009072CE">
            <w:pPr>
              <w:suppressAutoHyphens/>
              <w:spacing w:after="0" w:line="240" w:lineRule="auto"/>
              <w:rPr>
                <w:rFonts w:ascii="Times New Roman" w:eastAsia="Calibri" w:hAnsi="Times New Roman" w:cs="Times New Roman"/>
                <w:color w:val="000000"/>
                <w:sz w:val="20"/>
                <w:szCs w:val="20"/>
                <w:lang w:eastAsia="ar-SA"/>
              </w:rPr>
            </w:pPr>
            <w:r>
              <w:rPr>
                <w:rFonts w:ascii="Times New Roman" w:eastAsia="Calibri" w:hAnsi="Times New Roman" w:cs="Times New Roman"/>
                <w:color w:val="000000"/>
                <w:sz w:val="20"/>
                <w:szCs w:val="20"/>
                <w:lang w:eastAsia="ar-SA"/>
              </w:rPr>
              <w:t>L</w:t>
            </w:r>
            <w:r w:rsidR="009072CE" w:rsidRPr="00A07F29">
              <w:rPr>
                <w:rFonts w:ascii="Times New Roman" w:eastAsia="Calibri" w:hAnsi="Times New Roman" w:cs="Times New Roman"/>
                <w:color w:val="000000"/>
                <w:sz w:val="20"/>
                <w:szCs w:val="20"/>
                <w:lang w:eastAsia="ar-SA"/>
              </w:rPr>
              <w:t>SG 2, MAB (IS)</w:t>
            </w:r>
          </w:p>
        </w:tc>
        <w:tc>
          <w:tcPr>
            <w:tcW w:w="1045" w:type="pct"/>
          </w:tcPr>
          <w:p w14:paraId="0D785D1C" w14:textId="5372E893" w:rsidR="009072CE" w:rsidRPr="00A07F29" w:rsidRDefault="009072CE"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Latvijā reti sastopama suga, kas izklaidus sastopama visā valsts teritorijā (Valainis</w:t>
            </w:r>
            <w:r w:rsidR="003A614C">
              <w:rPr>
                <w:rFonts w:ascii="Times New Roman" w:eastAsia="Calibri" w:hAnsi="Times New Roman" w:cs="Times New Roman"/>
                <w:color w:val="000000"/>
                <w:sz w:val="20"/>
                <w:szCs w:val="20"/>
                <w:lang w:eastAsia="ar-SA"/>
              </w:rPr>
              <w:t xml:space="preserve"> U.</w:t>
            </w:r>
            <w:r w:rsidRPr="00A07F29">
              <w:rPr>
                <w:rFonts w:ascii="Times New Roman" w:eastAsia="Calibri" w:hAnsi="Times New Roman" w:cs="Times New Roman"/>
                <w:color w:val="000000"/>
                <w:sz w:val="20"/>
                <w:szCs w:val="20"/>
                <w:lang w:eastAsia="ar-SA"/>
              </w:rPr>
              <w:t>, 2018).</w:t>
            </w:r>
          </w:p>
        </w:tc>
        <w:tc>
          <w:tcPr>
            <w:tcW w:w="971" w:type="pct"/>
            <w:shd w:val="clear" w:color="auto" w:fill="auto"/>
          </w:tcPr>
          <w:p w14:paraId="5D98B7B6" w14:textId="375B40E4" w:rsidR="009072CE" w:rsidRPr="00A07F29" w:rsidRDefault="00BF0E06"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DA plāna</w:t>
            </w:r>
            <w:r w:rsidR="009072CE" w:rsidRPr="00A07F29">
              <w:rPr>
                <w:rFonts w:ascii="Times New Roman" w:eastAsia="Calibri" w:hAnsi="Times New Roman" w:cs="Times New Roman"/>
                <w:color w:val="000000"/>
                <w:sz w:val="20"/>
                <w:szCs w:val="20"/>
                <w:lang w:eastAsia="ar-SA"/>
              </w:rPr>
              <w:t xml:space="preserve"> izstrādes laikā suga netika konstatēta.</w:t>
            </w:r>
          </w:p>
        </w:tc>
      </w:tr>
      <w:tr w:rsidR="009072CE" w:rsidRPr="00A07F29" w14:paraId="740B485B" w14:textId="77777777" w:rsidTr="00014519">
        <w:trPr>
          <w:cantSplit/>
          <w:trHeight w:val="284"/>
        </w:trPr>
        <w:tc>
          <w:tcPr>
            <w:tcW w:w="894" w:type="pct"/>
            <w:shd w:val="clear" w:color="auto" w:fill="auto"/>
            <w:noWrap/>
            <w:vAlign w:val="center"/>
          </w:tcPr>
          <w:p w14:paraId="36C847FB" w14:textId="77777777" w:rsidR="009072CE" w:rsidRPr="00A07F29" w:rsidRDefault="009072CE" w:rsidP="009072CE">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 xml:space="preserve">Priežu </w:t>
            </w:r>
            <w:proofErr w:type="spellStart"/>
            <w:r w:rsidRPr="00A07F29">
              <w:rPr>
                <w:rFonts w:ascii="Times New Roman" w:eastAsia="Calibri" w:hAnsi="Times New Roman" w:cs="Times New Roman"/>
                <w:color w:val="000000"/>
                <w:sz w:val="20"/>
                <w:szCs w:val="20"/>
                <w:lang w:eastAsia="ar-SA"/>
              </w:rPr>
              <w:t>sveķotājkoksngrauzis</w:t>
            </w:r>
            <w:proofErr w:type="spellEnd"/>
          </w:p>
        </w:tc>
        <w:tc>
          <w:tcPr>
            <w:tcW w:w="821" w:type="pct"/>
            <w:shd w:val="clear" w:color="auto" w:fill="auto"/>
            <w:noWrap/>
            <w:vAlign w:val="center"/>
          </w:tcPr>
          <w:p w14:paraId="3C7E3D61" w14:textId="77777777" w:rsidR="009072CE" w:rsidRPr="00A07F29" w:rsidRDefault="009072CE" w:rsidP="009072CE">
            <w:pPr>
              <w:suppressAutoHyphens/>
              <w:spacing w:after="0" w:line="240" w:lineRule="auto"/>
              <w:rPr>
                <w:rFonts w:ascii="Times New Roman" w:eastAsia="Calibri" w:hAnsi="Times New Roman" w:cs="Times New Roman"/>
                <w:i/>
                <w:iCs/>
                <w:color w:val="000000"/>
                <w:sz w:val="20"/>
                <w:szCs w:val="20"/>
                <w:lang w:eastAsia="ar-SA"/>
              </w:rPr>
            </w:pPr>
            <w:proofErr w:type="spellStart"/>
            <w:r w:rsidRPr="00A07F29">
              <w:rPr>
                <w:rFonts w:ascii="Times New Roman" w:eastAsia="Calibri" w:hAnsi="Times New Roman" w:cs="Times New Roman"/>
                <w:i/>
                <w:iCs/>
                <w:color w:val="000000"/>
                <w:sz w:val="20"/>
                <w:szCs w:val="20"/>
                <w:lang w:eastAsia="ar-SA"/>
              </w:rPr>
              <w:t>Nothorina</w:t>
            </w:r>
            <w:proofErr w:type="spellEnd"/>
            <w:r w:rsidRPr="00A07F29">
              <w:rPr>
                <w:rFonts w:ascii="Times New Roman" w:eastAsia="Calibri" w:hAnsi="Times New Roman" w:cs="Times New Roman"/>
                <w:i/>
                <w:iCs/>
                <w:color w:val="000000"/>
                <w:sz w:val="20"/>
                <w:szCs w:val="20"/>
                <w:lang w:eastAsia="ar-SA"/>
              </w:rPr>
              <w:t xml:space="preserve"> </w:t>
            </w:r>
            <w:proofErr w:type="spellStart"/>
            <w:r w:rsidRPr="00A07F29">
              <w:rPr>
                <w:rFonts w:ascii="Times New Roman" w:eastAsia="Calibri" w:hAnsi="Times New Roman" w:cs="Times New Roman"/>
                <w:i/>
                <w:iCs/>
                <w:color w:val="000000"/>
                <w:sz w:val="20"/>
                <w:szCs w:val="20"/>
                <w:lang w:eastAsia="ar-SA"/>
              </w:rPr>
              <w:t>muricata</w:t>
            </w:r>
            <w:proofErr w:type="spellEnd"/>
          </w:p>
        </w:tc>
        <w:tc>
          <w:tcPr>
            <w:tcW w:w="674" w:type="pct"/>
            <w:shd w:val="clear" w:color="auto" w:fill="auto"/>
            <w:noWrap/>
            <w:vAlign w:val="center"/>
          </w:tcPr>
          <w:p w14:paraId="520579DE" w14:textId="45D7C15F" w:rsidR="009072CE" w:rsidRPr="00A07F29" w:rsidRDefault="009072CE" w:rsidP="009072CE">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ĪAS, MIK</w:t>
            </w:r>
          </w:p>
        </w:tc>
        <w:tc>
          <w:tcPr>
            <w:tcW w:w="595" w:type="pct"/>
            <w:shd w:val="clear" w:color="auto" w:fill="auto"/>
            <w:noWrap/>
            <w:vAlign w:val="center"/>
          </w:tcPr>
          <w:p w14:paraId="37212C5D" w14:textId="77777777" w:rsidR="009072CE" w:rsidRPr="00A07F29" w:rsidRDefault="009072CE" w:rsidP="009072CE">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MAB (BSS)</w:t>
            </w:r>
          </w:p>
        </w:tc>
        <w:tc>
          <w:tcPr>
            <w:tcW w:w="1045" w:type="pct"/>
            <w:shd w:val="clear" w:color="auto" w:fill="FFFFFF"/>
          </w:tcPr>
          <w:p w14:paraId="0EAFC926" w14:textId="5D0D0E62" w:rsidR="009072CE" w:rsidRPr="00A07F29" w:rsidRDefault="009072CE"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Latvijā samērā reti sastopama suga, kas izklaidus sastopama visā valsts teritorijā (Valainis</w:t>
            </w:r>
            <w:r w:rsidR="003A614C">
              <w:rPr>
                <w:rFonts w:ascii="Times New Roman" w:eastAsia="Calibri" w:hAnsi="Times New Roman" w:cs="Times New Roman"/>
                <w:color w:val="000000"/>
                <w:sz w:val="20"/>
                <w:szCs w:val="20"/>
                <w:lang w:eastAsia="ar-SA"/>
              </w:rPr>
              <w:t xml:space="preserve"> U.</w:t>
            </w:r>
            <w:r w:rsidRPr="00A07F29">
              <w:rPr>
                <w:rFonts w:ascii="Times New Roman" w:eastAsia="Calibri" w:hAnsi="Times New Roman" w:cs="Times New Roman"/>
                <w:color w:val="000000"/>
                <w:sz w:val="20"/>
                <w:szCs w:val="20"/>
                <w:lang w:eastAsia="ar-SA"/>
              </w:rPr>
              <w:t>, 2018).</w:t>
            </w:r>
          </w:p>
        </w:tc>
        <w:tc>
          <w:tcPr>
            <w:tcW w:w="971" w:type="pct"/>
            <w:shd w:val="clear" w:color="auto" w:fill="auto"/>
          </w:tcPr>
          <w:p w14:paraId="08C476B9" w14:textId="77777777" w:rsidR="009072CE" w:rsidRPr="00A07F29" w:rsidRDefault="009072CE"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Ir zināmas atsevišķas atradnes AAA teritorijā esošos priežu mežos.</w:t>
            </w:r>
          </w:p>
        </w:tc>
      </w:tr>
      <w:tr w:rsidR="009072CE" w:rsidRPr="00A07F29" w14:paraId="683A93CF" w14:textId="77777777" w:rsidTr="00014519">
        <w:trPr>
          <w:cantSplit/>
          <w:trHeight w:val="284"/>
        </w:trPr>
        <w:tc>
          <w:tcPr>
            <w:tcW w:w="894" w:type="pct"/>
            <w:shd w:val="clear" w:color="auto" w:fill="auto"/>
            <w:noWrap/>
            <w:vAlign w:val="center"/>
          </w:tcPr>
          <w:p w14:paraId="6FE3D141" w14:textId="77777777" w:rsidR="009072CE" w:rsidRPr="00A07F29" w:rsidRDefault="009072CE" w:rsidP="009072CE">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 xml:space="preserve">Sarkanais </w:t>
            </w:r>
            <w:proofErr w:type="spellStart"/>
            <w:r w:rsidRPr="00A07F29">
              <w:rPr>
                <w:rFonts w:ascii="Times New Roman" w:eastAsia="Calibri" w:hAnsi="Times New Roman" w:cs="Times New Roman"/>
                <w:color w:val="000000"/>
                <w:sz w:val="20"/>
                <w:szCs w:val="20"/>
                <w:lang w:eastAsia="ar-SA"/>
              </w:rPr>
              <w:t>melnulis</w:t>
            </w:r>
            <w:proofErr w:type="spellEnd"/>
          </w:p>
        </w:tc>
        <w:tc>
          <w:tcPr>
            <w:tcW w:w="821" w:type="pct"/>
            <w:shd w:val="clear" w:color="auto" w:fill="auto"/>
            <w:noWrap/>
            <w:vAlign w:val="center"/>
          </w:tcPr>
          <w:p w14:paraId="11DF90BE" w14:textId="77777777" w:rsidR="009072CE" w:rsidRPr="00A07F29" w:rsidRDefault="009072CE" w:rsidP="009072CE">
            <w:pPr>
              <w:autoSpaceDE w:val="0"/>
              <w:autoSpaceDN w:val="0"/>
              <w:adjustRightInd w:val="0"/>
              <w:spacing w:after="0" w:line="240" w:lineRule="auto"/>
              <w:rPr>
                <w:rFonts w:ascii="Times New Roman" w:eastAsia="Calibri" w:hAnsi="Times New Roman" w:cs="Times New Roman"/>
                <w:color w:val="000000"/>
                <w:sz w:val="20"/>
                <w:szCs w:val="20"/>
              </w:rPr>
            </w:pPr>
            <w:proofErr w:type="spellStart"/>
            <w:r w:rsidRPr="00A07F29">
              <w:rPr>
                <w:rFonts w:ascii="Times New Roman" w:eastAsia="Calibri" w:hAnsi="Times New Roman" w:cs="Times New Roman"/>
                <w:i/>
                <w:iCs/>
                <w:color w:val="000000"/>
                <w:sz w:val="20"/>
                <w:szCs w:val="20"/>
              </w:rPr>
              <w:t>Oplocephala</w:t>
            </w:r>
            <w:proofErr w:type="spellEnd"/>
            <w:r w:rsidRPr="00A07F29">
              <w:rPr>
                <w:rFonts w:ascii="Times New Roman" w:eastAsia="Calibri" w:hAnsi="Times New Roman" w:cs="Times New Roman"/>
                <w:i/>
                <w:iCs/>
                <w:color w:val="000000"/>
                <w:sz w:val="20"/>
                <w:szCs w:val="20"/>
              </w:rPr>
              <w:t xml:space="preserve"> </w:t>
            </w:r>
          </w:p>
          <w:p w14:paraId="48C092AE" w14:textId="77777777" w:rsidR="009072CE" w:rsidRPr="00A07F29" w:rsidRDefault="009072CE" w:rsidP="009072CE">
            <w:pPr>
              <w:autoSpaceDE w:val="0"/>
              <w:autoSpaceDN w:val="0"/>
              <w:adjustRightInd w:val="0"/>
              <w:spacing w:after="0" w:line="240" w:lineRule="auto"/>
              <w:rPr>
                <w:rFonts w:ascii="Times New Roman" w:eastAsia="Calibri" w:hAnsi="Times New Roman" w:cs="Times New Roman"/>
                <w:color w:val="000000"/>
                <w:sz w:val="20"/>
                <w:szCs w:val="20"/>
              </w:rPr>
            </w:pPr>
            <w:proofErr w:type="spellStart"/>
            <w:r w:rsidRPr="00A07F29">
              <w:rPr>
                <w:rFonts w:ascii="Times New Roman" w:eastAsia="Calibri" w:hAnsi="Times New Roman" w:cs="Times New Roman"/>
                <w:i/>
                <w:iCs/>
                <w:color w:val="000000"/>
                <w:sz w:val="20"/>
                <w:szCs w:val="20"/>
              </w:rPr>
              <w:t>haemorrhoidalis</w:t>
            </w:r>
            <w:proofErr w:type="spellEnd"/>
            <w:r w:rsidRPr="00A07F29">
              <w:rPr>
                <w:rFonts w:ascii="Times New Roman" w:eastAsia="Calibri" w:hAnsi="Times New Roman" w:cs="Times New Roman"/>
                <w:i/>
                <w:iCs/>
                <w:color w:val="000000"/>
                <w:sz w:val="20"/>
                <w:szCs w:val="20"/>
              </w:rPr>
              <w:t xml:space="preserve"> </w:t>
            </w:r>
          </w:p>
        </w:tc>
        <w:tc>
          <w:tcPr>
            <w:tcW w:w="674" w:type="pct"/>
            <w:shd w:val="clear" w:color="auto" w:fill="auto"/>
            <w:noWrap/>
            <w:vAlign w:val="center"/>
          </w:tcPr>
          <w:p w14:paraId="1EC7E5E5" w14:textId="77777777" w:rsidR="009072CE" w:rsidRPr="00A07F29" w:rsidRDefault="009072CE" w:rsidP="009072CE">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w:t>
            </w:r>
          </w:p>
        </w:tc>
        <w:tc>
          <w:tcPr>
            <w:tcW w:w="595" w:type="pct"/>
            <w:shd w:val="clear" w:color="auto" w:fill="auto"/>
            <w:noWrap/>
            <w:vAlign w:val="center"/>
          </w:tcPr>
          <w:p w14:paraId="75CB3D02" w14:textId="77777777" w:rsidR="009072CE" w:rsidRPr="00A07F29" w:rsidRDefault="009072CE" w:rsidP="009072CE">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MAB (BSS)</w:t>
            </w:r>
          </w:p>
        </w:tc>
        <w:tc>
          <w:tcPr>
            <w:tcW w:w="1045" w:type="pct"/>
          </w:tcPr>
          <w:p w14:paraId="10F0661F" w14:textId="38ACC1CB" w:rsidR="009072CE" w:rsidRPr="00A07F29" w:rsidRDefault="009072CE"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Latvijā sam</w:t>
            </w:r>
            <w:r w:rsidR="00136739">
              <w:rPr>
                <w:rFonts w:ascii="Times New Roman" w:eastAsia="Calibri" w:hAnsi="Times New Roman" w:cs="Times New Roman"/>
                <w:color w:val="000000"/>
                <w:sz w:val="20"/>
                <w:szCs w:val="20"/>
                <w:lang w:eastAsia="ar-SA"/>
              </w:rPr>
              <w:t>ē</w:t>
            </w:r>
            <w:r w:rsidRPr="00A07F29">
              <w:rPr>
                <w:rFonts w:ascii="Times New Roman" w:eastAsia="Calibri" w:hAnsi="Times New Roman" w:cs="Times New Roman"/>
                <w:color w:val="000000"/>
                <w:sz w:val="20"/>
                <w:szCs w:val="20"/>
                <w:lang w:eastAsia="ar-SA"/>
              </w:rPr>
              <w:t>rā bieži sastopama mežaudzes atslēgas biotopu speciālistu suga.</w:t>
            </w:r>
          </w:p>
        </w:tc>
        <w:tc>
          <w:tcPr>
            <w:tcW w:w="971" w:type="pct"/>
            <w:shd w:val="clear" w:color="auto" w:fill="auto"/>
          </w:tcPr>
          <w:p w14:paraId="718A786B" w14:textId="42D530D0" w:rsidR="009072CE" w:rsidRPr="00A07F29" w:rsidRDefault="00BF0E06"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DA plāna</w:t>
            </w:r>
            <w:r w:rsidR="009072CE" w:rsidRPr="00A07F29">
              <w:rPr>
                <w:rFonts w:ascii="Times New Roman" w:eastAsia="Calibri" w:hAnsi="Times New Roman" w:cs="Times New Roman"/>
                <w:color w:val="000000"/>
                <w:sz w:val="20"/>
                <w:szCs w:val="20"/>
                <w:lang w:eastAsia="ar-SA"/>
              </w:rPr>
              <w:t xml:space="preserve"> izstrādes laikā suga netika konstatēta.</w:t>
            </w:r>
          </w:p>
        </w:tc>
      </w:tr>
      <w:tr w:rsidR="009072CE" w:rsidRPr="00A07F29" w14:paraId="234731E3" w14:textId="77777777" w:rsidTr="00014519">
        <w:trPr>
          <w:cantSplit/>
          <w:trHeight w:val="284"/>
        </w:trPr>
        <w:tc>
          <w:tcPr>
            <w:tcW w:w="894" w:type="pct"/>
            <w:shd w:val="clear" w:color="auto" w:fill="auto"/>
            <w:noWrap/>
            <w:vAlign w:val="center"/>
          </w:tcPr>
          <w:p w14:paraId="2A455E9E" w14:textId="77777777" w:rsidR="009072CE" w:rsidRPr="00A07F29" w:rsidRDefault="009072CE" w:rsidP="009072CE">
            <w:pPr>
              <w:autoSpaceDE w:val="0"/>
              <w:autoSpaceDN w:val="0"/>
              <w:adjustRightInd w:val="0"/>
              <w:spacing w:after="0" w:line="240" w:lineRule="auto"/>
              <w:rPr>
                <w:rFonts w:ascii="Times New Roman" w:eastAsia="Calibri" w:hAnsi="Times New Roman" w:cs="Times New Roman"/>
                <w:color w:val="000000"/>
                <w:sz w:val="20"/>
                <w:szCs w:val="20"/>
              </w:rPr>
            </w:pPr>
            <w:r w:rsidRPr="00A07F29">
              <w:rPr>
                <w:rFonts w:ascii="Times New Roman" w:eastAsia="Calibri" w:hAnsi="Times New Roman" w:cs="Times New Roman"/>
                <w:color w:val="000000"/>
                <w:sz w:val="20"/>
                <w:szCs w:val="20"/>
              </w:rPr>
              <w:t xml:space="preserve">Komposta </w:t>
            </w:r>
            <w:proofErr w:type="spellStart"/>
            <w:r w:rsidRPr="00A07F29">
              <w:rPr>
                <w:rFonts w:ascii="Times New Roman" w:eastAsia="Calibri" w:hAnsi="Times New Roman" w:cs="Times New Roman"/>
                <w:color w:val="000000"/>
                <w:sz w:val="20"/>
                <w:szCs w:val="20"/>
              </w:rPr>
              <w:t>degunradžvabole</w:t>
            </w:r>
            <w:proofErr w:type="spellEnd"/>
            <w:r w:rsidRPr="00A07F29">
              <w:rPr>
                <w:rFonts w:ascii="Times New Roman" w:eastAsia="Calibri" w:hAnsi="Times New Roman" w:cs="Times New Roman"/>
                <w:color w:val="000000"/>
                <w:sz w:val="20"/>
                <w:szCs w:val="20"/>
              </w:rPr>
              <w:t xml:space="preserve"> </w:t>
            </w:r>
          </w:p>
        </w:tc>
        <w:tc>
          <w:tcPr>
            <w:tcW w:w="821" w:type="pct"/>
            <w:shd w:val="clear" w:color="auto" w:fill="auto"/>
            <w:noWrap/>
            <w:vAlign w:val="center"/>
          </w:tcPr>
          <w:p w14:paraId="424B94E3" w14:textId="77777777" w:rsidR="009072CE" w:rsidRPr="00A07F29" w:rsidRDefault="009072CE" w:rsidP="009072CE">
            <w:pPr>
              <w:autoSpaceDE w:val="0"/>
              <w:autoSpaceDN w:val="0"/>
              <w:adjustRightInd w:val="0"/>
              <w:spacing w:after="0" w:line="240" w:lineRule="auto"/>
              <w:rPr>
                <w:rFonts w:ascii="Times New Roman" w:eastAsia="Calibri" w:hAnsi="Times New Roman" w:cs="Times New Roman"/>
                <w:color w:val="000000"/>
                <w:sz w:val="20"/>
                <w:szCs w:val="20"/>
              </w:rPr>
            </w:pPr>
            <w:proofErr w:type="spellStart"/>
            <w:r w:rsidRPr="00A07F29">
              <w:rPr>
                <w:rFonts w:ascii="Times New Roman" w:eastAsia="Calibri" w:hAnsi="Times New Roman" w:cs="Times New Roman"/>
                <w:i/>
                <w:iCs/>
                <w:color w:val="000000"/>
                <w:sz w:val="20"/>
                <w:szCs w:val="20"/>
              </w:rPr>
              <w:t>Oryctes</w:t>
            </w:r>
            <w:proofErr w:type="spellEnd"/>
            <w:r w:rsidRPr="00A07F29">
              <w:rPr>
                <w:rFonts w:ascii="Times New Roman" w:eastAsia="Calibri" w:hAnsi="Times New Roman" w:cs="Times New Roman"/>
                <w:i/>
                <w:iCs/>
                <w:color w:val="000000"/>
                <w:sz w:val="20"/>
                <w:szCs w:val="20"/>
              </w:rPr>
              <w:t xml:space="preserve"> </w:t>
            </w:r>
            <w:proofErr w:type="spellStart"/>
            <w:r w:rsidRPr="00A07F29">
              <w:rPr>
                <w:rFonts w:ascii="Times New Roman" w:eastAsia="Calibri" w:hAnsi="Times New Roman" w:cs="Times New Roman"/>
                <w:i/>
                <w:iCs/>
                <w:color w:val="000000"/>
                <w:sz w:val="20"/>
                <w:szCs w:val="20"/>
              </w:rPr>
              <w:t>nasicornis</w:t>
            </w:r>
            <w:proofErr w:type="spellEnd"/>
            <w:r w:rsidRPr="00A07F29">
              <w:rPr>
                <w:rFonts w:ascii="Times New Roman" w:eastAsia="Calibri" w:hAnsi="Times New Roman" w:cs="Times New Roman"/>
                <w:i/>
                <w:iCs/>
                <w:color w:val="000000"/>
                <w:sz w:val="20"/>
                <w:szCs w:val="20"/>
              </w:rPr>
              <w:t xml:space="preserve"> </w:t>
            </w:r>
          </w:p>
        </w:tc>
        <w:tc>
          <w:tcPr>
            <w:tcW w:w="674" w:type="pct"/>
            <w:shd w:val="clear" w:color="auto" w:fill="auto"/>
            <w:noWrap/>
            <w:vAlign w:val="center"/>
          </w:tcPr>
          <w:p w14:paraId="689B98DC" w14:textId="77777777" w:rsidR="009072CE" w:rsidRPr="00A07F29" w:rsidRDefault="009072CE" w:rsidP="009072CE">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w:t>
            </w:r>
          </w:p>
        </w:tc>
        <w:tc>
          <w:tcPr>
            <w:tcW w:w="595" w:type="pct"/>
            <w:shd w:val="clear" w:color="auto" w:fill="auto"/>
            <w:noWrap/>
            <w:vAlign w:val="center"/>
          </w:tcPr>
          <w:p w14:paraId="34442C4E" w14:textId="56936B47" w:rsidR="009072CE" w:rsidRPr="00A07F29" w:rsidRDefault="00136739" w:rsidP="009072CE">
            <w:pPr>
              <w:suppressAutoHyphens/>
              <w:spacing w:after="0" w:line="240" w:lineRule="auto"/>
              <w:rPr>
                <w:rFonts w:ascii="Times New Roman" w:eastAsia="Calibri" w:hAnsi="Times New Roman" w:cs="Times New Roman"/>
                <w:color w:val="000000"/>
                <w:sz w:val="20"/>
                <w:szCs w:val="20"/>
                <w:lang w:eastAsia="ar-SA"/>
              </w:rPr>
            </w:pPr>
            <w:r>
              <w:rPr>
                <w:rFonts w:ascii="Times New Roman" w:eastAsia="Calibri" w:hAnsi="Times New Roman" w:cs="Times New Roman"/>
                <w:color w:val="000000"/>
                <w:sz w:val="20"/>
                <w:szCs w:val="20"/>
                <w:lang w:eastAsia="ar-SA"/>
              </w:rPr>
              <w:t>L</w:t>
            </w:r>
            <w:r w:rsidR="009072CE" w:rsidRPr="00A07F29">
              <w:rPr>
                <w:rFonts w:ascii="Times New Roman" w:eastAsia="Calibri" w:hAnsi="Times New Roman" w:cs="Times New Roman"/>
                <w:color w:val="000000"/>
                <w:sz w:val="20"/>
                <w:szCs w:val="20"/>
                <w:lang w:eastAsia="ar-SA"/>
              </w:rPr>
              <w:t>SG 4</w:t>
            </w:r>
          </w:p>
        </w:tc>
        <w:tc>
          <w:tcPr>
            <w:tcW w:w="1045" w:type="pct"/>
          </w:tcPr>
          <w:p w14:paraId="366473E5" w14:textId="14C51CEA" w:rsidR="009072CE" w:rsidRPr="00A07F29" w:rsidRDefault="009072CE"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Latvijā sam</w:t>
            </w:r>
            <w:r w:rsidR="00136739">
              <w:rPr>
                <w:rFonts w:ascii="Times New Roman" w:eastAsia="Calibri" w:hAnsi="Times New Roman" w:cs="Times New Roman"/>
                <w:color w:val="000000"/>
                <w:sz w:val="20"/>
                <w:szCs w:val="20"/>
                <w:lang w:eastAsia="ar-SA"/>
              </w:rPr>
              <w:t>ē</w:t>
            </w:r>
            <w:r w:rsidRPr="00A07F29">
              <w:rPr>
                <w:rFonts w:ascii="Times New Roman" w:eastAsia="Calibri" w:hAnsi="Times New Roman" w:cs="Times New Roman"/>
                <w:color w:val="000000"/>
                <w:sz w:val="20"/>
                <w:szCs w:val="20"/>
                <w:lang w:eastAsia="ar-SA"/>
              </w:rPr>
              <w:t>rā bieži sastopama suga (</w:t>
            </w:r>
            <w:proofErr w:type="spellStart"/>
            <w:r w:rsidRPr="00A07F29">
              <w:rPr>
                <w:rFonts w:ascii="Times New Roman" w:eastAsia="Calibri" w:hAnsi="Times New Roman" w:cs="Times New Roman"/>
                <w:color w:val="000000"/>
                <w:sz w:val="20"/>
                <w:szCs w:val="20"/>
                <w:lang w:eastAsia="ar-SA"/>
              </w:rPr>
              <w:t>Spuris</w:t>
            </w:r>
            <w:proofErr w:type="spellEnd"/>
            <w:r w:rsidR="00136739">
              <w:rPr>
                <w:rFonts w:ascii="Times New Roman" w:eastAsia="Calibri" w:hAnsi="Times New Roman" w:cs="Times New Roman"/>
                <w:color w:val="000000"/>
                <w:sz w:val="20"/>
                <w:szCs w:val="20"/>
                <w:lang w:eastAsia="ar-SA"/>
              </w:rPr>
              <w:t xml:space="preserve"> Z.</w:t>
            </w:r>
            <w:r w:rsidRPr="00A07F29">
              <w:rPr>
                <w:rFonts w:ascii="Times New Roman" w:eastAsia="Calibri" w:hAnsi="Times New Roman" w:cs="Times New Roman"/>
                <w:color w:val="000000"/>
                <w:sz w:val="20"/>
                <w:szCs w:val="20"/>
                <w:lang w:eastAsia="ar-SA"/>
              </w:rPr>
              <w:t>, 1998).</w:t>
            </w:r>
          </w:p>
        </w:tc>
        <w:tc>
          <w:tcPr>
            <w:tcW w:w="971" w:type="pct"/>
            <w:shd w:val="clear" w:color="auto" w:fill="auto"/>
          </w:tcPr>
          <w:p w14:paraId="46BEDD93" w14:textId="2EAB191C" w:rsidR="009072CE" w:rsidRPr="00A07F29" w:rsidRDefault="00BF0E06"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DA plāna</w:t>
            </w:r>
            <w:r w:rsidR="009072CE" w:rsidRPr="00A07F29">
              <w:rPr>
                <w:rFonts w:ascii="Times New Roman" w:eastAsia="Calibri" w:hAnsi="Times New Roman" w:cs="Times New Roman"/>
                <w:color w:val="000000"/>
                <w:sz w:val="20"/>
                <w:szCs w:val="20"/>
                <w:lang w:eastAsia="ar-SA"/>
              </w:rPr>
              <w:t xml:space="preserve"> izstrādes laikā suga netika konstatēta.</w:t>
            </w:r>
          </w:p>
        </w:tc>
      </w:tr>
      <w:tr w:rsidR="009072CE" w:rsidRPr="00A07F29" w14:paraId="30AF8405" w14:textId="77777777" w:rsidTr="00014519">
        <w:trPr>
          <w:cantSplit/>
          <w:trHeight w:val="284"/>
        </w:trPr>
        <w:tc>
          <w:tcPr>
            <w:tcW w:w="894" w:type="pct"/>
            <w:shd w:val="clear" w:color="auto" w:fill="auto"/>
            <w:noWrap/>
            <w:vAlign w:val="center"/>
          </w:tcPr>
          <w:p w14:paraId="7D519100" w14:textId="77777777" w:rsidR="009072CE" w:rsidRPr="00A07F29" w:rsidRDefault="009072CE" w:rsidP="009072CE">
            <w:pPr>
              <w:autoSpaceDE w:val="0"/>
              <w:autoSpaceDN w:val="0"/>
              <w:adjustRightInd w:val="0"/>
              <w:spacing w:after="0" w:line="240" w:lineRule="auto"/>
              <w:rPr>
                <w:rFonts w:ascii="Times New Roman" w:eastAsia="Calibri" w:hAnsi="Times New Roman" w:cs="Times New Roman"/>
                <w:color w:val="000000"/>
                <w:sz w:val="20"/>
                <w:szCs w:val="20"/>
              </w:rPr>
            </w:pPr>
            <w:r w:rsidRPr="00A07F29">
              <w:rPr>
                <w:rFonts w:ascii="Times New Roman" w:eastAsia="Calibri" w:hAnsi="Times New Roman" w:cs="Times New Roman"/>
                <w:color w:val="000000"/>
                <w:sz w:val="20"/>
                <w:szCs w:val="20"/>
              </w:rPr>
              <w:t>L</w:t>
            </w:r>
            <w:r w:rsidRPr="00A07F29">
              <w:rPr>
                <w:rFonts w:ascii="Times New Roman" w:eastAsia="Calibri" w:hAnsi="Times New Roman" w:cs="Times New Roman"/>
                <w:color w:val="000000"/>
                <w:spacing w:val="-1"/>
                <w:sz w:val="20"/>
                <w:szCs w:val="20"/>
              </w:rPr>
              <w:t>a</w:t>
            </w:r>
            <w:r w:rsidRPr="00A07F29">
              <w:rPr>
                <w:rFonts w:ascii="Times New Roman" w:eastAsia="Calibri" w:hAnsi="Times New Roman" w:cs="Times New Roman"/>
                <w:color w:val="000000"/>
                <w:spacing w:val="1"/>
                <w:sz w:val="20"/>
                <w:szCs w:val="20"/>
              </w:rPr>
              <w:t>p</w:t>
            </w:r>
            <w:r w:rsidRPr="00A07F29">
              <w:rPr>
                <w:rFonts w:ascii="Times New Roman" w:eastAsia="Calibri" w:hAnsi="Times New Roman" w:cs="Times New Roman"/>
                <w:color w:val="000000"/>
                <w:spacing w:val="-1"/>
                <w:sz w:val="20"/>
                <w:szCs w:val="20"/>
              </w:rPr>
              <w:t>k</w:t>
            </w:r>
            <w:r w:rsidRPr="00A07F29">
              <w:rPr>
                <w:rFonts w:ascii="Times New Roman" w:eastAsia="Calibri" w:hAnsi="Times New Roman" w:cs="Times New Roman"/>
                <w:color w:val="000000"/>
                <w:spacing w:val="1"/>
                <w:sz w:val="20"/>
                <w:szCs w:val="20"/>
              </w:rPr>
              <w:t>o</w:t>
            </w:r>
            <w:r w:rsidRPr="00A07F29">
              <w:rPr>
                <w:rFonts w:ascii="Times New Roman" w:eastAsia="Calibri" w:hAnsi="Times New Roman" w:cs="Times New Roman"/>
                <w:color w:val="000000"/>
                <w:spacing w:val="-1"/>
                <w:sz w:val="20"/>
                <w:szCs w:val="20"/>
              </w:rPr>
              <w:t>k</w:t>
            </w:r>
            <w:r w:rsidRPr="00A07F29">
              <w:rPr>
                <w:rFonts w:ascii="Times New Roman" w:eastAsia="Calibri" w:hAnsi="Times New Roman" w:cs="Times New Roman"/>
                <w:color w:val="000000"/>
                <w:sz w:val="20"/>
                <w:szCs w:val="20"/>
              </w:rPr>
              <w:t>u</w:t>
            </w:r>
            <w:r w:rsidRPr="00A07F29">
              <w:rPr>
                <w:rFonts w:ascii="Times New Roman" w:eastAsia="Calibri" w:hAnsi="Times New Roman" w:cs="Times New Roman"/>
                <w:color w:val="000000"/>
                <w:spacing w:val="-3"/>
                <w:sz w:val="20"/>
                <w:szCs w:val="20"/>
              </w:rPr>
              <w:t xml:space="preserve"> </w:t>
            </w:r>
            <w:proofErr w:type="spellStart"/>
            <w:r w:rsidRPr="00A07F29">
              <w:rPr>
                <w:rFonts w:ascii="Times New Roman" w:eastAsia="Calibri" w:hAnsi="Times New Roman" w:cs="Times New Roman"/>
                <w:color w:val="000000"/>
                <w:spacing w:val="1"/>
                <w:sz w:val="20"/>
                <w:szCs w:val="20"/>
              </w:rPr>
              <w:t>p</w:t>
            </w:r>
            <w:r w:rsidRPr="00A07F29">
              <w:rPr>
                <w:rFonts w:ascii="Times New Roman" w:eastAsia="Calibri" w:hAnsi="Times New Roman" w:cs="Times New Roman"/>
                <w:color w:val="000000"/>
                <w:sz w:val="20"/>
                <w:szCs w:val="20"/>
              </w:rPr>
              <w:t>r</w:t>
            </w:r>
            <w:r w:rsidRPr="00A07F29">
              <w:rPr>
                <w:rFonts w:ascii="Times New Roman" w:eastAsia="Calibri" w:hAnsi="Times New Roman" w:cs="Times New Roman"/>
                <w:color w:val="000000"/>
                <w:spacing w:val="-1"/>
                <w:sz w:val="20"/>
                <w:szCs w:val="20"/>
              </w:rPr>
              <w:t>a</w:t>
            </w:r>
            <w:r w:rsidRPr="00A07F29">
              <w:rPr>
                <w:rFonts w:ascii="Times New Roman" w:eastAsia="Calibri" w:hAnsi="Times New Roman" w:cs="Times New Roman"/>
                <w:color w:val="000000"/>
                <w:spacing w:val="1"/>
                <w:sz w:val="20"/>
                <w:szCs w:val="20"/>
              </w:rPr>
              <w:t>u</w:t>
            </w:r>
            <w:r w:rsidRPr="00A07F29">
              <w:rPr>
                <w:rFonts w:ascii="Times New Roman" w:eastAsia="Calibri" w:hAnsi="Times New Roman" w:cs="Times New Roman"/>
                <w:color w:val="000000"/>
                <w:sz w:val="20"/>
                <w:szCs w:val="20"/>
              </w:rPr>
              <w:t>l</w:t>
            </w:r>
            <w:r w:rsidRPr="00A07F29">
              <w:rPr>
                <w:rFonts w:ascii="Times New Roman" w:eastAsia="Calibri" w:hAnsi="Times New Roman" w:cs="Times New Roman"/>
                <w:color w:val="000000"/>
                <w:spacing w:val="-1"/>
                <w:sz w:val="20"/>
                <w:szCs w:val="20"/>
              </w:rPr>
              <w:t>g</w:t>
            </w:r>
            <w:r w:rsidRPr="00A07F29">
              <w:rPr>
                <w:rFonts w:ascii="Times New Roman" w:eastAsia="Calibri" w:hAnsi="Times New Roman" w:cs="Times New Roman"/>
                <w:color w:val="000000"/>
                <w:sz w:val="20"/>
                <w:szCs w:val="20"/>
              </w:rPr>
              <w:t>r</w:t>
            </w:r>
            <w:r w:rsidRPr="00A07F29">
              <w:rPr>
                <w:rFonts w:ascii="Times New Roman" w:eastAsia="Calibri" w:hAnsi="Times New Roman" w:cs="Times New Roman"/>
                <w:color w:val="000000"/>
                <w:spacing w:val="-1"/>
                <w:sz w:val="20"/>
                <w:szCs w:val="20"/>
              </w:rPr>
              <w:t>a</w:t>
            </w:r>
            <w:r w:rsidRPr="00A07F29">
              <w:rPr>
                <w:rFonts w:ascii="Times New Roman" w:eastAsia="Calibri" w:hAnsi="Times New Roman" w:cs="Times New Roman"/>
                <w:color w:val="000000"/>
                <w:spacing w:val="1"/>
                <w:sz w:val="20"/>
                <w:szCs w:val="20"/>
              </w:rPr>
              <w:t>u</w:t>
            </w:r>
            <w:r w:rsidRPr="00A07F29">
              <w:rPr>
                <w:rFonts w:ascii="Times New Roman" w:eastAsia="Calibri" w:hAnsi="Times New Roman" w:cs="Times New Roman"/>
                <w:color w:val="000000"/>
                <w:spacing w:val="-1"/>
                <w:sz w:val="20"/>
                <w:szCs w:val="20"/>
              </w:rPr>
              <w:t>z</w:t>
            </w:r>
            <w:r w:rsidRPr="00A07F29">
              <w:rPr>
                <w:rFonts w:ascii="Times New Roman" w:eastAsia="Calibri" w:hAnsi="Times New Roman" w:cs="Times New Roman"/>
                <w:color w:val="000000"/>
                <w:sz w:val="20"/>
                <w:szCs w:val="20"/>
              </w:rPr>
              <w:t>is</w:t>
            </w:r>
            <w:proofErr w:type="spellEnd"/>
          </w:p>
        </w:tc>
        <w:tc>
          <w:tcPr>
            <w:tcW w:w="821" w:type="pct"/>
            <w:shd w:val="clear" w:color="auto" w:fill="auto"/>
            <w:noWrap/>
            <w:vAlign w:val="center"/>
          </w:tcPr>
          <w:p w14:paraId="3D34AE67" w14:textId="77777777" w:rsidR="009072CE" w:rsidRPr="00A07F29" w:rsidRDefault="009072CE" w:rsidP="009072CE">
            <w:pPr>
              <w:autoSpaceDE w:val="0"/>
              <w:autoSpaceDN w:val="0"/>
              <w:adjustRightInd w:val="0"/>
              <w:spacing w:after="0" w:line="240" w:lineRule="auto"/>
              <w:rPr>
                <w:rFonts w:ascii="Times New Roman" w:eastAsia="Calibri" w:hAnsi="Times New Roman" w:cs="Times New Roman"/>
                <w:i/>
                <w:iCs/>
                <w:color w:val="000000"/>
                <w:sz w:val="20"/>
                <w:szCs w:val="20"/>
              </w:rPr>
            </w:pPr>
            <w:proofErr w:type="spellStart"/>
            <w:r w:rsidRPr="00A07F29">
              <w:rPr>
                <w:rFonts w:ascii="Times New Roman" w:eastAsia="Calibri" w:hAnsi="Times New Roman" w:cs="Times New Roman"/>
                <w:i/>
                <w:color w:val="000000"/>
                <w:sz w:val="20"/>
                <w:szCs w:val="20"/>
              </w:rPr>
              <w:t>Osm</w:t>
            </w:r>
            <w:r w:rsidRPr="00A07F29">
              <w:rPr>
                <w:rFonts w:ascii="Times New Roman" w:eastAsia="Calibri" w:hAnsi="Times New Roman" w:cs="Times New Roman"/>
                <w:i/>
                <w:color w:val="000000"/>
                <w:spacing w:val="1"/>
                <w:sz w:val="20"/>
                <w:szCs w:val="20"/>
              </w:rPr>
              <w:t>od</w:t>
            </w:r>
            <w:r w:rsidRPr="00A07F29">
              <w:rPr>
                <w:rFonts w:ascii="Times New Roman" w:eastAsia="Calibri" w:hAnsi="Times New Roman" w:cs="Times New Roman"/>
                <w:i/>
                <w:color w:val="000000"/>
                <w:spacing w:val="-1"/>
                <w:sz w:val="20"/>
                <w:szCs w:val="20"/>
              </w:rPr>
              <w:t>e</w:t>
            </w:r>
            <w:r w:rsidRPr="00A07F29">
              <w:rPr>
                <w:rFonts w:ascii="Times New Roman" w:eastAsia="Calibri" w:hAnsi="Times New Roman" w:cs="Times New Roman"/>
                <w:i/>
                <w:color w:val="000000"/>
                <w:sz w:val="20"/>
                <w:szCs w:val="20"/>
              </w:rPr>
              <w:t>rma</w:t>
            </w:r>
            <w:proofErr w:type="spellEnd"/>
            <w:r w:rsidRPr="00A07F29">
              <w:rPr>
                <w:rFonts w:ascii="Times New Roman" w:eastAsia="Calibri" w:hAnsi="Times New Roman" w:cs="Times New Roman"/>
                <w:i/>
                <w:color w:val="000000"/>
                <w:spacing w:val="-6"/>
                <w:sz w:val="20"/>
                <w:szCs w:val="20"/>
              </w:rPr>
              <w:t xml:space="preserve"> </w:t>
            </w:r>
            <w:proofErr w:type="spellStart"/>
            <w:r w:rsidRPr="00A07F29">
              <w:rPr>
                <w:rFonts w:ascii="Times New Roman" w:eastAsia="Calibri" w:hAnsi="Times New Roman" w:cs="Times New Roman"/>
                <w:i/>
                <w:color w:val="000000"/>
                <w:spacing w:val="-1"/>
                <w:sz w:val="20"/>
                <w:szCs w:val="20"/>
              </w:rPr>
              <w:t>barnabita</w:t>
            </w:r>
            <w:proofErr w:type="spellEnd"/>
          </w:p>
        </w:tc>
        <w:tc>
          <w:tcPr>
            <w:tcW w:w="674" w:type="pct"/>
            <w:shd w:val="clear" w:color="auto" w:fill="auto"/>
            <w:noWrap/>
            <w:vAlign w:val="center"/>
          </w:tcPr>
          <w:p w14:paraId="29137392" w14:textId="6BDAB23B" w:rsidR="009072CE" w:rsidRPr="00A07F29" w:rsidRDefault="009072CE" w:rsidP="00844547">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 xml:space="preserve">ĪAS, MIK, </w:t>
            </w:r>
            <w:r w:rsidR="00844547" w:rsidRPr="00A07F29">
              <w:rPr>
                <w:rFonts w:ascii="Times New Roman" w:eastAsia="Calibri" w:hAnsi="Times New Roman" w:cs="Times New Roman"/>
                <w:color w:val="000000"/>
                <w:sz w:val="20"/>
                <w:szCs w:val="20"/>
                <w:lang w:eastAsia="ar-SA"/>
              </w:rPr>
              <w:t xml:space="preserve">BS </w:t>
            </w:r>
            <w:r w:rsidRPr="00A07F29">
              <w:rPr>
                <w:rFonts w:ascii="Times New Roman" w:eastAsia="Calibri" w:hAnsi="Times New Roman" w:cs="Times New Roman"/>
                <w:color w:val="000000"/>
                <w:sz w:val="20"/>
                <w:szCs w:val="20"/>
                <w:lang w:eastAsia="ar-SA"/>
              </w:rPr>
              <w:t>II* un IV</w:t>
            </w:r>
          </w:p>
        </w:tc>
        <w:tc>
          <w:tcPr>
            <w:tcW w:w="595" w:type="pct"/>
            <w:shd w:val="clear" w:color="auto" w:fill="auto"/>
            <w:noWrap/>
            <w:vAlign w:val="center"/>
          </w:tcPr>
          <w:p w14:paraId="6A456CD2" w14:textId="7E8EB836" w:rsidR="009072CE" w:rsidRPr="00A07F29" w:rsidRDefault="00136739" w:rsidP="009072CE">
            <w:pPr>
              <w:suppressAutoHyphens/>
              <w:spacing w:after="0" w:line="240" w:lineRule="auto"/>
              <w:rPr>
                <w:rFonts w:ascii="Times New Roman" w:eastAsia="Calibri" w:hAnsi="Times New Roman" w:cs="Times New Roman"/>
                <w:color w:val="000000"/>
                <w:sz w:val="20"/>
                <w:szCs w:val="20"/>
                <w:lang w:eastAsia="ar-SA"/>
              </w:rPr>
            </w:pPr>
            <w:r>
              <w:rPr>
                <w:rFonts w:ascii="Times New Roman" w:eastAsia="Calibri" w:hAnsi="Times New Roman" w:cs="Times New Roman"/>
                <w:color w:val="000000"/>
                <w:sz w:val="20"/>
                <w:szCs w:val="20"/>
                <w:lang w:eastAsia="ar-SA"/>
              </w:rPr>
              <w:t>L</w:t>
            </w:r>
            <w:r w:rsidR="009072CE" w:rsidRPr="00A07F29">
              <w:rPr>
                <w:rFonts w:ascii="Times New Roman" w:eastAsia="Calibri" w:hAnsi="Times New Roman" w:cs="Times New Roman"/>
                <w:color w:val="000000"/>
                <w:sz w:val="20"/>
                <w:szCs w:val="20"/>
                <w:lang w:eastAsia="ar-SA"/>
              </w:rPr>
              <w:t>SG 1, Berne II, IUCN (NT), MAB (BSS)</w:t>
            </w:r>
          </w:p>
        </w:tc>
        <w:tc>
          <w:tcPr>
            <w:tcW w:w="1045" w:type="pct"/>
            <w:vAlign w:val="center"/>
          </w:tcPr>
          <w:p w14:paraId="046CAAC1" w14:textId="1557EB75" w:rsidR="009072CE" w:rsidRPr="00A07F29" w:rsidRDefault="009072CE"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 xml:space="preserve">Suga izplatīta visā valsts teritorijā, zināmo atradņu skaits Latvijā </w:t>
            </w:r>
            <w:proofErr w:type="spellStart"/>
            <w:r w:rsidRPr="00A07F29">
              <w:rPr>
                <w:rFonts w:ascii="Times New Roman" w:eastAsia="Calibri" w:hAnsi="Times New Roman" w:cs="Times New Roman"/>
                <w:color w:val="000000"/>
                <w:sz w:val="20"/>
                <w:szCs w:val="20"/>
                <w:lang w:eastAsia="ar-SA"/>
              </w:rPr>
              <w:t>mērams</w:t>
            </w:r>
            <w:proofErr w:type="spellEnd"/>
            <w:r w:rsidRPr="00A07F29">
              <w:rPr>
                <w:rFonts w:ascii="Times New Roman" w:eastAsia="Calibri" w:hAnsi="Times New Roman" w:cs="Times New Roman"/>
                <w:color w:val="000000"/>
                <w:sz w:val="20"/>
                <w:szCs w:val="20"/>
                <w:lang w:eastAsia="ar-SA"/>
              </w:rPr>
              <w:t xml:space="preserve"> vairākos simtos, taču liela daļa no </w:t>
            </w:r>
            <w:proofErr w:type="spellStart"/>
            <w:r w:rsidRPr="00A07F29">
              <w:rPr>
                <w:rFonts w:ascii="Times New Roman" w:eastAsia="Calibri" w:hAnsi="Times New Roman" w:cs="Times New Roman"/>
                <w:color w:val="000000"/>
                <w:sz w:val="20"/>
                <w:szCs w:val="20"/>
                <w:lang w:eastAsia="ar-SA"/>
              </w:rPr>
              <w:t>mikropopulācijām</w:t>
            </w:r>
            <w:proofErr w:type="spellEnd"/>
            <w:r w:rsidRPr="00A07F29">
              <w:rPr>
                <w:rFonts w:ascii="Times New Roman" w:eastAsia="Calibri" w:hAnsi="Times New Roman" w:cs="Times New Roman"/>
                <w:color w:val="000000"/>
                <w:sz w:val="20"/>
                <w:szCs w:val="20"/>
                <w:lang w:eastAsia="ar-SA"/>
              </w:rPr>
              <w:t xml:space="preserve"> ilgtermiņā ir apdraudēta dobumainu platlapju kontinuitātes dēļ (Valainis</w:t>
            </w:r>
            <w:r w:rsidR="00F66968">
              <w:rPr>
                <w:rFonts w:ascii="Times New Roman" w:eastAsia="Calibri" w:hAnsi="Times New Roman" w:cs="Times New Roman"/>
                <w:color w:val="000000"/>
                <w:sz w:val="20"/>
                <w:szCs w:val="20"/>
                <w:lang w:eastAsia="ar-SA"/>
              </w:rPr>
              <w:t xml:space="preserve"> U.</w:t>
            </w:r>
            <w:r w:rsidRPr="00A07F29">
              <w:rPr>
                <w:rFonts w:ascii="Times New Roman" w:eastAsia="Calibri" w:hAnsi="Times New Roman" w:cs="Times New Roman"/>
                <w:color w:val="000000"/>
                <w:sz w:val="20"/>
                <w:szCs w:val="20"/>
                <w:lang w:eastAsia="ar-SA"/>
              </w:rPr>
              <w:t>, 2018).</w:t>
            </w:r>
          </w:p>
        </w:tc>
        <w:tc>
          <w:tcPr>
            <w:tcW w:w="971" w:type="pct"/>
            <w:shd w:val="clear" w:color="auto" w:fill="auto"/>
          </w:tcPr>
          <w:p w14:paraId="57DF6842" w14:textId="77777777" w:rsidR="009072CE" w:rsidRPr="00A07F29" w:rsidRDefault="009072CE"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 xml:space="preserve">AAA “Augšdaugava“ teritorijā ir zināma viena aktuāla lapkoku </w:t>
            </w:r>
            <w:proofErr w:type="spellStart"/>
            <w:r w:rsidRPr="00A07F29">
              <w:rPr>
                <w:rFonts w:ascii="Times New Roman" w:eastAsia="Calibri" w:hAnsi="Times New Roman" w:cs="Times New Roman"/>
                <w:color w:val="000000"/>
                <w:sz w:val="20"/>
                <w:szCs w:val="20"/>
                <w:lang w:eastAsia="ar-SA"/>
              </w:rPr>
              <w:t>praulgrauža</w:t>
            </w:r>
            <w:proofErr w:type="spellEnd"/>
            <w:r w:rsidRPr="00A07F29">
              <w:rPr>
                <w:rFonts w:ascii="Times New Roman" w:eastAsia="Calibri" w:hAnsi="Times New Roman" w:cs="Times New Roman"/>
                <w:color w:val="000000"/>
                <w:sz w:val="20"/>
                <w:szCs w:val="20"/>
                <w:lang w:eastAsia="ar-SA"/>
              </w:rPr>
              <w:t xml:space="preserve"> atradne </w:t>
            </w:r>
            <w:proofErr w:type="spellStart"/>
            <w:r w:rsidRPr="00A07F29">
              <w:rPr>
                <w:rFonts w:ascii="Times New Roman" w:eastAsia="Calibri" w:hAnsi="Times New Roman" w:cs="Times New Roman"/>
                <w:color w:val="000000"/>
                <w:sz w:val="20"/>
                <w:szCs w:val="20"/>
                <w:lang w:eastAsia="ar-SA"/>
              </w:rPr>
              <w:t>Juzefovas</w:t>
            </w:r>
            <w:proofErr w:type="spellEnd"/>
            <w:r w:rsidRPr="00A07F29">
              <w:rPr>
                <w:rFonts w:ascii="Times New Roman" w:eastAsia="Calibri" w:hAnsi="Times New Roman" w:cs="Times New Roman"/>
                <w:color w:val="000000"/>
                <w:sz w:val="20"/>
                <w:szCs w:val="20"/>
                <w:lang w:eastAsia="ar-SA"/>
              </w:rPr>
              <w:t xml:space="preserve"> parkā. Teritorijā ir iespējamas arī citas lokālas sugas atradnes. </w:t>
            </w:r>
          </w:p>
        </w:tc>
      </w:tr>
      <w:tr w:rsidR="009072CE" w:rsidRPr="00A07F29" w14:paraId="5AA97065" w14:textId="77777777" w:rsidTr="00014519">
        <w:trPr>
          <w:cantSplit/>
          <w:trHeight w:val="284"/>
        </w:trPr>
        <w:tc>
          <w:tcPr>
            <w:tcW w:w="894" w:type="pct"/>
            <w:shd w:val="clear" w:color="auto" w:fill="auto"/>
            <w:noWrap/>
            <w:vAlign w:val="center"/>
          </w:tcPr>
          <w:p w14:paraId="586877B3" w14:textId="77777777" w:rsidR="009072CE" w:rsidRPr="00A07F29" w:rsidRDefault="009072CE" w:rsidP="009072CE">
            <w:pPr>
              <w:autoSpaceDE w:val="0"/>
              <w:autoSpaceDN w:val="0"/>
              <w:adjustRightInd w:val="0"/>
              <w:spacing w:after="0" w:line="240" w:lineRule="auto"/>
              <w:rPr>
                <w:rFonts w:ascii="Times New Roman" w:eastAsia="Calibri" w:hAnsi="Times New Roman" w:cs="Times New Roman"/>
                <w:color w:val="000000"/>
                <w:sz w:val="20"/>
                <w:szCs w:val="20"/>
              </w:rPr>
            </w:pPr>
            <w:proofErr w:type="spellStart"/>
            <w:r w:rsidRPr="00A07F29">
              <w:rPr>
                <w:rFonts w:ascii="Times New Roman" w:eastAsia="Calibri" w:hAnsi="Times New Roman" w:cs="Times New Roman"/>
                <w:color w:val="000000"/>
                <w:sz w:val="20"/>
                <w:szCs w:val="20"/>
              </w:rPr>
              <w:t>Mannerheima</w:t>
            </w:r>
            <w:proofErr w:type="spellEnd"/>
            <w:r w:rsidRPr="00A07F29">
              <w:rPr>
                <w:rFonts w:ascii="Times New Roman" w:eastAsia="Calibri" w:hAnsi="Times New Roman" w:cs="Times New Roman"/>
                <w:color w:val="000000"/>
                <w:sz w:val="20"/>
                <w:szCs w:val="20"/>
              </w:rPr>
              <w:t xml:space="preserve"> īsspārnis </w:t>
            </w:r>
          </w:p>
        </w:tc>
        <w:tc>
          <w:tcPr>
            <w:tcW w:w="821" w:type="pct"/>
            <w:shd w:val="clear" w:color="auto" w:fill="auto"/>
            <w:noWrap/>
            <w:vAlign w:val="center"/>
          </w:tcPr>
          <w:p w14:paraId="3AC4FD99" w14:textId="77777777" w:rsidR="009072CE" w:rsidRPr="00A07F29" w:rsidRDefault="009072CE" w:rsidP="009072CE">
            <w:pPr>
              <w:autoSpaceDE w:val="0"/>
              <w:autoSpaceDN w:val="0"/>
              <w:adjustRightInd w:val="0"/>
              <w:spacing w:after="0" w:line="240" w:lineRule="auto"/>
              <w:rPr>
                <w:rFonts w:ascii="Times New Roman" w:eastAsia="Calibri" w:hAnsi="Times New Roman" w:cs="Times New Roman"/>
                <w:color w:val="000000"/>
                <w:sz w:val="20"/>
                <w:szCs w:val="20"/>
              </w:rPr>
            </w:pPr>
            <w:proofErr w:type="spellStart"/>
            <w:r w:rsidRPr="00A07F29">
              <w:rPr>
                <w:rFonts w:ascii="Times New Roman" w:eastAsia="Calibri" w:hAnsi="Times New Roman" w:cs="Times New Roman"/>
                <w:i/>
                <w:iCs/>
                <w:color w:val="000000"/>
                <w:sz w:val="20"/>
                <w:szCs w:val="20"/>
              </w:rPr>
              <w:t>Oxyporus</w:t>
            </w:r>
            <w:proofErr w:type="spellEnd"/>
            <w:r w:rsidRPr="00A07F29">
              <w:rPr>
                <w:rFonts w:ascii="Times New Roman" w:eastAsia="Calibri" w:hAnsi="Times New Roman" w:cs="Times New Roman"/>
                <w:i/>
                <w:iCs/>
                <w:color w:val="000000"/>
                <w:sz w:val="20"/>
                <w:szCs w:val="20"/>
              </w:rPr>
              <w:t xml:space="preserve"> </w:t>
            </w:r>
            <w:proofErr w:type="spellStart"/>
            <w:r w:rsidRPr="00A07F29">
              <w:rPr>
                <w:rFonts w:ascii="Times New Roman" w:eastAsia="Calibri" w:hAnsi="Times New Roman" w:cs="Times New Roman"/>
                <w:i/>
                <w:iCs/>
                <w:color w:val="000000"/>
                <w:sz w:val="20"/>
                <w:szCs w:val="20"/>
              </w:rPr>
              <w:t>mannerheimii</w:t>
            </w:r>
            <w:proofErr w:type="spellEnd"/>
            <w:r w:rsidRPr="00A07F29">
              <w:rPr>
                <w:rFonts w:ascii="Times New Roman" w:eastAsia="Calibri" w:hAnsi="Times New Roman" w:cs="Times New Roman"/>
                <w:i/>
                <w:iCs/>
                <w:color w:val="000000"/>
                <w:sz w:val="20"/>
                <w:szCs w:val="20"/>
              </w:rPr>
              <w:t xml:space="preserve"> </w:t>
            </w:r>
          </w:p>
        </w:tc>
        <w:tc>
          <w:tcPr>
            <w:tcW w:w="674" w:type="pct"/>
            <w:shd w:val="clear" w:color="auto" w:fill="auto"/>
            <w:noWrap/>
            <w:vAlign w:val="center"/>
          </w:tcPr>
          <w:p w14:paraId="32419BD1" w14:textId="220E4CA3" w:rsidR="009072CE" w:rsidRPr="00A07F29" w:rsidRDefault="00844547" w:rsidP="009072CE">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 xml:space="preserve">BD </w:t>
            </w:r>
            <w:r w:rsidR="009072CE" w:rsidRPr="00A07F29">
              <w:rPr>
                <w:rFonts w:ascii="Times New Roman" w:eastAsia="Calibri" w:hAnsi="Times New Roman" w:cs="Times New Roman"/>
                <w:color w:val="000000"/>
                <w:sz w:val="20"/>
                <w:szCs w:val="20"/>
                <w:lang w:eastAsia="ar-SA"/>
              </w:rPr>
              <w:t>II; ĪAS; MIK</w:t>
            </w:r>
          </w:p>
        </w:tc>
        <w:tc>
          <w:tcPr>
            <w:tcW w:w="595" w:type="pct"/>
            <w:shd w:val="clear" w:color="auto" w:fill="auto"/>
            <w:noWrap/>
            <w:vAlign w:val="center"/>
          </w:tcPr>
          <w:p w14:paraId="1A037479" w14:textId="77777777" w:rsidR="009072CE" w:rsidRPr="00A07F29" w:rsidRDefault="009072CE" w:rsidP="009072CE">
            <w:pPr>
              <w:suppressAutoHyphens/>
              <w:spacing w:after="0" w:line="240" w:lineRule="auto"/>
              <w:rPr>
                <w:rFonts w:ascii="Times New Roman" w:eastAsia="Calibri" w:hAnsi="Times New Roman" w:cs="Times New Roman"/>
                <w:color w:val="000000"/>
                <w:sz w:val="20"/>
                <w:szCs w:val="20"/>
                <w:lang w:eastAsia="ar-SA"/>
              </w:rPr>
            </w:pPr>
          </w:p>
        </w:tc>
        <w:tc>
          <w:tcPr>
            <w:tcW w:w="1045" w:type="pct"/>
            <w:shd w:val="clear" w:color="auto" w:fill="auto"/>
            <w:vAlign w:val="center"/>
          </w:tcPr>
          <w:p w14:paraId="11980DBE" w14:textId="030DEDDF" w:rsidR="009072CE" w:rsidRPr="00A07F29" w:rsidRDefault="009072CE"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Suga Latvijā sastopama ļoti reti. Līdz šim zināmas tikai nedaudz vairāk par 10 atradnēm Latvijā (Valainis</w:t>
            </w:r>
            <w:r w:rsidR="00F66968">
              <w:rPr>
                <w:rFonts w:ascii="Times New Roman" w:eastAsia="Calibri" w:hAnsi="Times New Roman" w:cs="Times New Roman"/>
                <w:color w:val="000000"/>
                <w:sz w:val="20"/>
                <w:szCs w:val="20"/>
                <w:lang w:eastAsia="ar-SA"/>
              </w:rPr>
              <w:t xml:space="preserve"> U.</w:t>
            </w:r>
            <w:r w:rsidRPr="00A07F29">
              <w:rPr>
                <w:rFonts w:ascii="Times New Roman" w:eastAsia="Calibri" w:hAnsi="Times New Roman" w:cs="Times New Roman"/>
                <w:color w:val="000000"/>
                <w:sz w:val="20"/>
                <w:szCs w:val="20"/>
                <w:lang w:eastAsia="ar-SA"/>
              </w:rPr>
              <w:t>, 2018).</w:t>
            </w:r>
          </w:p>
        </w:tc>
        <w:tc>
          <w:tcPr>
            <w:tcW w:w="971" w:type="pct"/>
            <w:shd w:val="clear" w:color="auto" w:fill="auto"/>
          </w:tcPr>
          <w:p w14:paraId="1153E5F4" w14:textId="77777777" w:rsidR="009072CE" w:rsidRPr="00A07F29" w:rsidRDefault="009072CE"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AAA “Augšdaugava” teritorijā ir zināmas vairākas sugas atradnes. Dati par sugas sastopamību fragmentāri.</w:t>
            </w:r>
          </w:p>
        </w:tc>
      </w:tr>
      <w:tr w:rsidR="009072CE" w:rsidRPr="00A07F29" w14:paraId="7C6BCCE9" w14:textId="77777777" w:rsidTr="00014519">
        <w:trPr>
          <w:cantSplit/>
          <w:trHeight w:val="284"/>
        </w:trPr>
        <w:tc>
          <w:tcPr>
            <w:tcW w:w="894" w:type="pct"/>
            <w:shd w:val="clear" w:color="auto" w:fill="auto"/>
            <w:noWrap/>
            <w:vAlign w:val="center"/>
          </w:tcPr>
          <w:p w14:paraId="3149B9B8" w14:textId="77777777" w:rsidR="009072CE" w:rsidRPr="00A07F29" w:rsidRDefault="009072CE" w:rsidP="009072CE">
            <w:pPr>
              <w:autoSpaceDE w:val="0"/>
              <w:autoSpaceDN w:val="0"/>
              <w:adjustRightInd w:val="0"/>
              <w:spacing w:after="0" w:line="240" w:lineRule="auto"/>
              <w:rPr>
                <w:rFonts w:ascii="Times New Roman" w:eastAsia="Calibri" w:hAnsi="Times New Roman" w:cs="Times New Roman"/>
                <w:color w:val="000000"/>
                <w:sz w:val="20"/>
                <w:szCs w:val="20"/>
              </w:rPr>
            </w:pPr>
            <w:r w:rsidRPr="00A07F29">
              <w:rPr>
                <w:rFonts w:ascii="Times New Roman" w:eastAsia="Calibri" w:hAnsi="Times New Roman" w:cs="Times New Roman"/>
                <w:color w:val="000000"/>
                <w:sz w:val="20"/>
                <w:szCs w:val="20"/>
              </w:rPr>
              <w:t xml:space="preserve">Lielais </w:t>
            </w:r>
            <w:proofErr w:type="spellStart"/>
            <w:r w:rsidRPr="00A07F29">
              <w:rPr>
                <w:rFonts w:ascii="Times New Roman" w:eastAsia="Calibri" w:hAnsi="Times New Roman" w:cs="Times New Roman"/>
                <w:color w:val="000000"/>
                <w:sz w:val="20"/>
                <w:szCs w:val="20"/>
              </w:rPr>
              <w:t>asmalis</w:t>
            </w:r>
            <w:proofErr w:type="spellEnd"/>
            <w:r w:rsidRPr="00A07F29">
              <w:rPr>
                <w:rFonts w:ascii="Times New Roman" w:eastAsia="Calibri" w:hAnsi="Times New Roman" w:cs="Times New Roman"/>
                <w:color w:val="000000"/>
                <w:sz w:val="20"/>
                <w:szCs w:val="20"/>
              </w:rPr>
              <w:t xml:space="preserve"> </w:t>
            </w:r>
          </w:p>
        </w:tc>
        <w:tc>
          <w:tcPr>
            <w:tcW w:w="821" w:type="pct"/>
            <w:shd w:val="clear" w:color="auto" w:fill="auto"/>
            <w:noWrap/>
            <w:vAlign w:val="center"/>
          </w:tcPr>
          <w:p w14:paraId="74669850" w14:textId="77777777" w:rsidR="009072CE" w:rsidRPr="00A07F29" w:rsidRDefault="009072CE" w:rsidP="009072CE">
            <w:pPr>
              <w:autoSpaceDE w:val="0"/>
              <w:autoSpaceDN w:val="0"/>
              <w:adjustRightInd w:val="0"/>
              <w:spacing w:after="0" w:line="240" w:lineRule="auto"/>
              <w:rPr>
                <w:rFonts w:ascii="Times New Roman" w:eastAsia="Calibri" w:hAnsi="Times New Roman" w:cs="Times New Roman"/>
                <w:color w:val="000000"/>
                <w:sz w:val="20"/>
                <w:szCs w:val="20"/>
              </w:rPr>
            </w:pPr>
            <w:proofErr w:type="spellStart"/>
            <w:r w:rsidRPr="00A07F29">
              <w:rPr>
                <w:rFonts w:ascii="Times New Roman" w:eastAsia="Calibri" w:hAnsi="Times New Roman" w:cs="Times New Roman"/>
                <w:i/>
                <w:iCs/>
                <w:color w:val="000000"/>
                <w:sz w:val="20"/>
                <w:szCs w:val="20"/>
              </w:rPr>
              <w:t>Peltis</w:t>
            </w:r>
            <w:proofErr w:type="spellEnd"/>
            <w:r w:rsidRPr="00A07F29">
              <w:rPr>
                <w:rFonts w:ascii="Times New Roman" w:eastAsia="Calibri" w:hAnsi="Times New Roman" w:cs="Times New Roman"/>
                <w:i/>
                <w:iCs/>
                <w:color w:val="000000"/>
                <w:sz w:val="20"/>
                <w:szCs w:val="20"/>
              </w:rPr>
              <w:t xml:space="preserve"> </w:t>
            </w:r>
            <w:proofErr w:type="spellStart"/>
            <w:r w:rsidRPr="00A07F29">
              <w:rPr>
                <w:rFonts w:ascii="Times New Roman" w:eastAsia="Calibri" w:hAnsi="Times New Roman" w:cs="Times New Roman"/>
                <w:i/>
                <w:iCs/>
                <w:color w:val="000000"/>
                <w:sz w:val="20"/>
                <w:szCs w:val="20"/>
              </w:rPr>
              <w:t>grossa</w:t>
            </w:r>
            <w:proofErr w:type="spellEnd"/>
            <w:r w:rsidRPr="00A07F29">
              <w:rPr>
                <w:rFonts w:ascii="Times New Roman" w:eastAsia="Calibri" w:hAnsi="Times New Roman" w:cs="Times New Roman"/>
                <w:i/>
                <w:iCs/>
                <w:color w:val="000000"/>
                <w:sz w:val="20"/>
                <w:szCs w:val="20"/>
              </w:rPr>
              <w:t xml:space="preserve"> </w:t>
            </w:r>
          </w:p>
        </w:tc>
        <w:tc>
          <w:tcPr>
            <w:tcW w:w="674" w:type="pct"/>
            <w:shd w:val="clear" w:color="auto" w:fill="auto"/>
            <w:noWrap/>
            <w:vAlign w:val="center"/>
          </w:tcPr>
          <w:p w14:paraId="1EEE386A" w14:textId="77777777" w:rsidR="009072CE" w:rsidRPr="00A07F29" w:rsidRDefault="009072CE" w:rsidP="009072CE">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w:t>
            </w:r>
          </w:p>
        </w:tc>
        <w:tc>
          <w:tcPr>
            <w:tcW w:w="595" w:type="pct"/>
            <w:shd w:val="clear" w:color="auto" w:fill="auto"/>
            <w:noWrap/>
            <w:vAlign w:val="center"/>
          </w:tcPr>
          <w:p w14:paraId="33F6FE05" w14:textId="77777777" w:rsidR="009072CE" w:rsidRPr="00A07F29" w:rsidRDefault="009072CE" w:rsidP="009072CE">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MAB (IS)</w:t>
            </w:r>
          </w:p>
        </w:tc>
        <w:tc>
          <w:tcPr>
            <w:tcW w:w="1045" w:type="pct"/>
            <w:shd w:val="clear" w:color="auto" w:fill="auto"/>
          </w:tcPr>
          <w:p w14:paraId="257BD28C" w14:textId="5E0312A5" w:rsidR="009072CE" w:rsidRPr="00A07F29" w:rsidRDefault="009072CE"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Latvijā sam</w:t>
            </w:r>
            <w:r w:rsidR="008F0FA4">
              <w:rPr>
                <w:rFonts w:ascii="Times New Roman" w:eastAsia="Calibri" w:hAnsi="Times New Roman" w:cs="Times New Roman"/>
                <w:color w:val="000000"/>
                <w:sz w:val="20"/>
                <w:szCs w:val="20"/>
                <w:lang w:eastAsia="ar-SA"/>
              </w:rPr>
              <w:t>ē</w:t>
            </w:r>
            <w:r w:rsidRPr="00A07F29">
              <w:rPr>
                <w:rFonts w:ascii="Times New Roman" w:eastAsia="Calibri" w:hAnsi="Times New Roman" w:cs="Times New Roman"/>
                <w:color w:val="000000"/>
                <w:sz w:val="20"/>
                <w:szCs w:val="20"/>
                <w:lang w:eastAsia="ar-SA"/>
              </w:rPr>
              <w:t xml:space="preserve">rā bieži sastopama mežaudzes atslēgas biotopu </w:t>
            </w:r>
            <w:proofErr w:type="spellStart"/>
            <w:r w:rsidRPr="00A07F29">
              <w:rPr>
                <w:rFonts w:ascii="Times New Roman" w:eastAsia="Calibri" w:hAnsi="Times New Roman" w:cs="Times New Roman"/>
                <w:color w:val="000000"/>
                <w:sz w:val="20"/>
                <w:szCs w:val="20"/>
                <w:lang w:eastAsia="ar-SA"/>
              </w:rPr>
              <w:t>indikatorsuga</w:t>
            </w:r>
            <w:proofErr w:type="spellEnd"/>
            <w:r w:rsidRPr="00A07F29">
              <w:rPr>
                <w:rFonts w:ascii="Times New Roman" w:eastAsia="Calibri" w:hAnsi="Times New Roman" w:cs="Times New Roman"/>
                <w:color w:val="000000"/>
                <w:sz w:val="20"/>
                <w:szCs w:val="20"/>
                <w:lang w:eastAsia="ar-SA"/>
              </w:rPr>
              <w:t>.</w:t>
            </w:r>
          </w:p>
        </w:tc>
        <w:tc>
          <w:tcPr>
            <w:tcW w:w="971" w:type="pct"/>
            <w:shd w:val="clear" w:color="auto" w:fill="auto"/>
          </w:tcPr>
          <w:p w14:paraId="1A48F856" w14:textId="77777777" w:rsidR="009072CE" w:rsidRPr="00A07F29" w:rsidRDefault="009072CE"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Suga samērā bieži sastopama AAA teritorijā esošajos mežu biotopos.</w:t>
            </w:r>
          </w:p>
        </w:tc>
      </w:tr>
      <w:tr w:rsidR="00014519" w:rsidRPr="00A07F29" w14:paraId="0300D03F" w14:textId="77777777" w:rsidTr="00014519">
        <w:trPr>
          <w:cantSplit/>
          <w:trHeight w:val="284"/>
        </w:trPr>
        <w:tc>
          <w:tcPr>
            <w:tcW w:w="89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87802C2" w14:textId="77777777" w:rsidR="00014519" w:rsidRPr="00A07F29" w:rsidRDefault="00014519" w:rsidP="004E3F0B">
            <w:pPr>
              <w:autoSpaceDE w:val="0"/>
              <w:autoSpaceDN w:val="0"/>
              <w:adjustRightInd w:val="0"/>
              <w:spacing w:after="0" w:line="240" w:lineRule="auto"/>
              <w:rPr>
                <w:rFonts w:ascii="Times New Roman" w:eastAsia="Calibri" w:hAnsi="Times New Roman" w:cs="Times New Roman"/>
                <w:color w:val="000000"/>
                <w:sz w:val="20"/>
                <w:szCs w:val="20"/>
              </w:rPr>
            </w:pPr>
            <w:r w:rsidRPr="00A07F29">
              <w:rPr>
                <w:rFonts w:ascii="Times New Roman" w:eastAsia="Calibri" w:hAnsi="Times New Roman" w:cs="Times New Roman"/>
                <w:color w:val="000000"/>
                <w:sz w:val="20"/>
                <w:szCs w:val="20"/>
              </w:rPr>
              <w:t xml:space="preserve">Ģipseņu </w:t>
            </w:r>
            <w:proofErr w:type="spellStart"/>
            <w:r w:rsidRPr="00A07F29">
              <w:rPr>
                <w:rFonts w:ascii="Times New Roman" w:eastAsia="Calibri" w:hAnsi="Times New Roman" w:cs="Times New Roman"/>
                <w:color w:val="000000"/>
                <w:sz w:val="20"/>
                <w:szCs w:val="20"/>
              </w:rPr>
              <w:t>stublājgrauzis</w:t>
            </w:r>
            <w:proofErr w:type="spellEnd"/>
          </w:p>
        </w:tc>
        <w:tc>
          <w:tcPr>
            <w:tcW w:w="82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F0E9A1A" w14:textId="77777777" w:rsidR="00014519" w:rsidRPr="00A07F29" w:rsidRDefault="00014519" w:rsidP="004E3F0B">
            <w:pPr>
              <w:autoSpaceDE w:val="0"/>
              <w:autoSpaceDN w:val="0"/>
              <w:adjustRightInd w:val="0"/>
              <w:spacing w:after="0" w:line="240" w:lineRule="auto"/>
              <w:rPr>
                <w:rFonts w:ascii="Times New Roman" w:eastAsia="Calibri" w:hAnsi="Times New Roman" w:cs="Times New Roman"/>
                <w:i/>
                <w:iCs/>
                <w:color w:val="000000"/>
                <w:sz w:val="20"/>
                <w:szCs w:val="20"/>
              </w:rPr>
            </w:pPr>
            <w:proofErr w:type="spellStart"/>
            <w:r w:rsidRPr="00A07F29">
              <w:rPr>
                <w:rFonts w:ascii="Times New Roman" w:eastAsia="Calibri" w:hAnsi="Times New Roman" w:cs="Times New Roman"/>
                <w:i/>
                <w:iCs/>
                <w:color w:val="000000"/>
                <w:sz w:val="20"/>
                <w:szCs w:val="20"/>
              </w:rPr>
              <w:t>Phytoecia</w:t>
            </w:r>
            <w:proofErr w:type="spellEnd"/>
            <w:r w:rsidRPr="00A07F29">
              <w:rPr>
                <w:rFonts w:ascii="Times New Roman" w:eastAsia="Calibri" w:hAnsi="Times New Roman" w:cs="Times New Roman"/>
                <w:i/>
                <w:iCs/>
                <w:color w:val="000000"/>
                <w:sz w:val="20"/>
                <w:szCs w:val="20"/>
              </w:rPr>
              <w:t xml:space="preserve"> </w:t>
            </w:r>
            <w:proofErr w:type="spellStart"/>
            <w:r w:rsidRPr="00A07F29">
              <w:rPr>
                <w:rFonts w:ascii="Times New Roman" w:eastAsia="Calibri" w:hAnsi="Times New Roman" w:cs="Times New Roman"/>
                <w:i/>
                <w:iCs/>
                <w:color w:val="000000"/>
                <w:sz w:val="20"/>
                <w:szCs w:val="20"/>
              </w:rPr>
              <w:t>virgula</w:t>
            </w:r>
            <w:proofErr w:type="spellEnd"/>
            <w:r w:rsidRPr="00A07F29">
              <w:rPr>
                <w:rFonts w:ascii="Times New Roman" w:eastAsia="Calibri" w:hAnsi="Times New Roman" w:cs="Times New Roman"/>
                <w:i/>
                <w:iCs/>
                <w:color w:val="000000"/>
                <w:sz w:val="20"/>
                <w:szCs w:val="20"/>
              </w:rPr>
              <w:t xml:space="preserve"> </w:t>
            </w:r>
          </w:p>
        </w:tc>
        <w:tc>
          <w:tcPr>
            <w:tcW w:w="6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E3AB82E" w14:textId="77777777" w:rsidR="00014519" w:rsidRPr="00A07F29" w:rsidRDefault="00014519" w:rsidP="004E3F0B">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w:t>
            </w:r>
          </w:p>
        </w:tc>
        <w:tc>
          <w:tcPr>
            <w:tcW w:w="5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DB8834C" w14:textId="36EF2EF1" w:rsidR="00014519" w:rsidRPr="00A07F29" w:rsidRDefault="008F0FA4" w:rsidP="004E3F0B">
            <w:pPr>
              <w:suppressAutoHyphens/>
              <w:spacing w:after="0" w:line="240" w:lineRule="auto"/>
              <w:rPr>
                <w:rFonts w:ascii="Times New Roman" w:eastAsia="Calibri" w:hAnsi="Times New Roman" w:cs="Times New Roman"/>
                <w:color w:val="000000"/>
                <w:sz w:val="20"/>
                <w:szCs w:val="20"/>
                <w:lang w:eastAsia="ar-SA"/>
              </w:rPr>
            </w:pPr>
            <w:r>
              <w:rPr>
                <w:rFonts w:ascii="Times New Roman" w:eastAsia="Calibri" w:hAnsi="Times New Roman" w:cs="Times New Roman"/>
                <w:color w:val="000000"/>
                <w:sz w:val="20"/>
                <w:szCs w:val="20"/>
                <w:lang w:eastAsia="ar-SA"/>
              </w:rPr>
              <w:t>L</w:t>
            </w:r>
            <w:r w:rsidR="00014519" w:rsidRPr="00A07F29">
              <w:rPr>
                <w:rFonts w:ascii="Times New Roman" w:eastAsia="Calibri" w:hAnsi="Times New Roman" w:cs="Times New Roman"/>
                <w:color w:val="000000"/>
                <w:sz w:val="20"/>
                <w:szCs w:val="20"/>
                <w:lang w:eastAsia="ar-SA"/>
              </w:rPr>
              <w:t>SG 1</w:t>
            </w:r>
          </w:p>
        </w:tc>
        <w:tc>
          <w:tcPr>
            <w:tcW w:w="1045" w:type="pct"/>
            <w:tcBorders>
              <w:top w:val="single" w:sz="4" w:space="0" w:color="auto"/>
              <w:left w:val="single" w:sz="4" w:space="0" w:color="auto"/>
              <w:bottom w:val="single" w:sz="4" w:space="0" w:color="auto"/>
              <w:right w:val="single" w:sz="4" w:space="0" w:color="auto"/>
            </w:tcBorders>
            <w:shd w:val="clear" w:color="auto" w:fill="auto"/>
          </w:tcPr>
          <w:p w14:paraId="4A91B222" w14:textId="1738CEF1" w:rsidR="00014519" w:rsidRPr="00A07F29" w:rsidRDefault="00014519" w:rsidP="004E3F0B">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Latvijā suga izplatīta visā teritorijā, sastopama ļoti reti (</w:t>
            </w:r>
            <w:proofErr w:type="spellStart"/>
            <w:r w:rsidRPr="00A07F29">
              <w:rPr>
                <w:rFonts w:ascii="Times New Roman" w:eastAsia="Calibri" w:hAnsi="Times New Roman" w:cs="Times New Roman"/>
                <w:color w:val="000000"/>
                <w:sz w:val="20"/>
                <w:szCs w:val="20"/>
                <w:lang w:eastAsia="ar-SA"/>
              </w:rPr>
              <w:t>Spuris</w:t>
            </w:r>
            <w:proofErr w:type="spellEnd"/>
            <w:r w:rsidR="008F0FA4">
              <w:rPr>
                <w:rFonts w:ascii="Times New Roman" w:eastAsia="Calibri" w:hAnsi="Times New Roman" w:cs="Times New Roman"/>
                <w:color w:val="000000"/>
                <w:sz w:val="20"/>
                <w:szCs w:val="20"/>
                <w:lang w:eastAsia="ar-SA"/>
              </w:rPr>
              <w:t xml:space="preserve"> Z.</w:t>
            </w:r>
            <w:r w:rsidRPr="00A07F29">
              <w:rPr>
                <w:rFonts w:ascii="Times New Roman" w:eastAsia="Calibri" w:hAnsi="Times New Roman" w:cs="Times New Roman"/>
                <w:color w:val="000000"/>
                <w:sz w:val="20"/>
                <w:szCs w:val="20"/>
                <w:lang w:eastAsia="ar-SA"/>
              </w:rPr>
              <w:t>, 1998).</w:t>
            </w:r>
          </w:p>
        </w:tc>
        <w:tc>
          <w:tcPr>
            <w:tcW w:w="971" w:type="pct"/>
            <w:tcBorders>
              <w:top w:val="single" w:sz="4" w:space="0" w:color="auto"/>
              <w:left w:val="single" w:sz="4" w:space="0" w:color="auto"/>
              <w:bottom w:val="single" w:sz="4" w:space="0" w:color="auto"/>
              <w:right w:val="single" w:sz="4" w:space="0" w:color="auto"/>
            </w:tcBorders>
            <w:shd w:val="clear" w:color="auto" w:fill="auto"/>
          </w:tcPr>
          <w:p w14:paraId="526B8CAE" w14:textId="77777777" w:rsidR="00014519" w:rsidRPr="00A07F29" w:rsidRDefault="00014519" w:rsidP="004E3F0B">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DA plāna izstrādes laikā suga netika konstatēta.</w:t>
            </w:r>
          </w:p>
        </w:tc>
      </w:tr>
      <w:tr w:rsidR="009072CE" w:rsidRPr="00A07F29" w14:paraId="0FC3C56C" w14:textId="77777777" w:rsidTr="00014519">
        <w:trPr>
          <w:cantSplit/>
          <w:trHeight w:val="284"/>
        </w:trPr>
        <w:tc>
          <w:tcPr>
            <w:tcW w:w="894" w:type="pct"/>
            <w:shd w:val="clear" w:color="auto" w:fill="auto"/>
            <w:noWrap/>
            <w:vAlign w:val="center"/>
          </w:tcPr>
          <w:p w14:paraId="4EA10666" w14:textId="77777777" w:rsidR="009072CE" w:rsidRPr="00A07F29" w:rsidRDefault="009072CE" w:rsidP="009072CE">
            <w:pPr>
              <w:autoSpaceDE w:val="0"/>
              <w:autoSpaceDN w:val="0"/>
              <w:adjustRightInd w:val="0"/>
              <w:spacing w:after="0" w:line="240" w:lineRule="auto"/>
              <w:rPr>
                <w:rFonts w:ascii="Times New Roman" w:eastAsia="Calibri" w:hAnsi="Times New Roman" w:cs="Times New Roman"/>
                <w:color w:val="000000"/>
                <w:sz w:val="20"/>
                <w:szCs w:val="20"/>
              </w:rPr>
            </w:pPr>
            <w:r w:rsidRPr="00A07F29">
              <w:rPr>
                <w:rFonts w:ascii="Times New Roman" w:eastAsia="Calibri" w:hAnsi="Times New Roman" w:cs="Times New Roman"/>
                <w:color w:val="000000"/>
                <w:sz w:val="20"/>
                <w:szCs w:val="20"/>
              </w:rPr>
              <w:t xml:space="preserve">Zilais </w:t>
            </w:r>
            <w:proofErr w:type="spellStart"/>
            <w:r w:rsidRPr="00A07F29">
              <w:rPr>
                <w:rFonts w:ascii="Times New Roman" w:eastAsia="Calibri" w:hAnsi="Times New Roman" w:cs="Times New Roman"/>
                <w:color w:val="000000"/>
                <w:sz w:val="20"/>
                <w:szCs w:val="20"/>
              </w:rPr>
              <w:t>praulenis</w:t>
            </w:r>
            <w:proofErr w:type="spellEnd"/>
            <w:r w:rsidRPr="00A07F29">
              <w:rPr>
                <w:rFonts w:ascii="Times New Roman" w:eastAsia="Calibri" w:hAnsi="Times New Roman" w:cs="Times New Roman"/>
                <w:color w:val="000000"/>
                <w:sz w:val="20"/>
                <w:szCs w:val="20"/>
              </w:rPr>
              <w:t xml:space="preserve"> </w:t>
            </w:r>
          </w:p>
        </w:tc>
        <w:tc>
          <w:tcPr>
            <w:tcW w:w="821" w:type="pct"/>
            <w:shd w:val="clear" w:color="auto" w:fill="auto"/>
            <w:noWrap/>
            <w:vAlign w:val="center"/>
          </w:tcPr>
          <w:p w14:paraId="127F455C" w14:textId="77777777" w:rsidR="009072CE" w:rsidRPr="00A07F29" w:rsidRDefault="009072CE" w:rsidP="009072CE">
            <w:pPr>
              <w:autoSpaceDE w:val="0"/>
              <w:autoSpaceDN w:val="0"/>
              <w:adjustRightInd w:val="0"/>
              <w:spacing w:after="0" w:line="240" w:lineRule="auto"/>
              <w:rPr>
                <w:rFonts w:ascii="Times New Roman" w:eastAsia="Calibri" w:hAnsi="Times New Roman" w:cs="Times New Roman"/>
                <w:color w:val="000000"/>
                <w:sz w:val="20"/>
                <w:szCs w:val="20"/>
              </w:rPr>
            </w:pPr>
            <w:proofErr w:type="spellStart"/>
            <w:r w:rsidRPr="00A07F29">
              <w:rPr>
                <w:rFonts w:ascii="Times New Roman" w:eastAsia="Calibri" w:hAnsi="Times New Roman" w:cs="Times New Roman"/>
                <w:i/>
                <w:iCs/>
                <w:color w:val="000000"/>
                <w:sz w:val="20"/>
                <w:szCs w:val="20"/>
              </w:rPr>
              <w:t>Platycerus</w:t>
            </w:r>
            <w:proofErr w:type="spellEnd"/>
            <w:r w:rsidRPr="00A07F29">
              <w:rPr>
                <w:rFonts w:ascii="Times New Roman" w:eastAsia="Calibri" w:hAnsi="Times New Roman" w:cs="Times New Roman"/>
                <w:i/>
                <w:iCs/>
                <w:color w:val="000000"/>
                <w:sz w:val="20"/>
                <w:szCs w:val="20"/>
              </w:rPr>
              <w:t xml:space="preserve"> </w:t>
            </w:r>
            <w:proofErr w:type="spellStart"/>
            <w:r w:rsidRPr="00A07F29">
              <w:rPr>
                <w:rFonts w:ascii="Times New Roman" w:eastAsia="Calibri" w:hAnsi="Times New Roman" w:cs="Times New Roman"/>
                <w:i/>
                <w:iCs/>
                <w:color w:val="000000"/>
                <w:sz w:val="20"/>
                <w:szCs w:val="20"/>
              </w:rPr>
              <w:t>caraboides</w:t>
            </w:r>
            <w:proofErr w:type="spellEnd"/>
            <w:r w:rsidRPr="00A07F29">
              <w:rPr>
                <w:rFonts w:ascii="Times New Roman" w:eastAsia="Calibri" w:hAnsi="Times New Roman" w:cs="Times New Roman"/>
                <w:i/>
                <w:iCs/>
                <w:color w:val="000000"/>
                <w:sz w:val="20"/>
                <w:szCs w:val="20"/>
              </w:rPr>
              <w:t xml:space="preserve"> </w:t>
            </w:r>
          </w:p>
        </w:tc>
        <w:tc>
          <w:tcPr>
            <w:tcW w:w="674" w:type="pct"/>
            <w:shd w:val="clear" w:color="auto" w:fill="auto"/>
            <w:noWrap/>
            <w:vAlign w:val="center"/>
          </w:tcPr>
          <w:p w14:paraId="379486C8" w14:textId="77777777" w:rsidR="009072CE" w:rsidRPr="00A07F29" w:rsidRDefault="009072CE" w:rsidP="009072CE">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w:t>
            </w:r>
          </w:p>
        </w:tc>
        <w:tc>
          <w:tcPr>
            <w:tcW w:w="595" w:type="pct"/>
            <w:shd w:val="clear" w:color="auto" w:fill="auto"/>
            <w:noWrap/>
            <w:vAlign w:val="center"/>
          </w:tcPr>
          <w:p w14:paraId="58036E83" w14:textId="77777777" w:rsidR="009072CE" w:rsidRPr="00A07F29" w:rsidRDefault="009072CE" w:rsidP="009072CE">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MAB (IS)</w:t>
            </w:r>
          </w:p>
        </w:tc>
        <w:tc>
          <w:tcPr>
            <w:tcW w:w="1045" w:type="pct"/>
            <w:shd w:val="clear" w:color="auto" w:fill="auto"/>
          </w:tcPr>
          <w:p w14:paraId="16B378DA" w14:textId="1C0340BD" w:rsidR="009072CE" w:rsidRPr="00A07F29" w:rsidRDefault="009072CE"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Latvijā sam</w:t>
            </w:r>
            <w:r w:rsidR="008F0FA4">
              <w:rPr>
                <w:rFonts w:ascii="Times New Roman" w:eastAsia="Calibri" w:hAnsi="Times New Roman" w:cs="Times New Roman"/>
                <w:color w:val="000000"/>
                <w:sz w:val="20"/>
                <w:szCs w:val="20"/>
                <w:lang w:eastAsia="ar-SA"/>
              </w:rPr>
              <w:t>ē</w:t>
            </w:r>
            <w:r w:rsidRPr="00A07F29">
              <w:rPr>
                <w:rFonts w:ascii="Times New Roman" w:eastAsia="Calibri" w:hAnsi="Times New Roman" w:cs="Times New Roman"/>
                <w:color w:val="000000"/>
                <w:sz w:val="20"/>
                <w:szCs w:val="20"/>
                <w:lang w:eastAsia="ar-SA"/>
              </w:rPr>
              <w:t xml:space="preserve">rā bieži sastopama mežaudzes atslēgas biotopu </w:t>
            </w:r>
            <w:proofErr w:type="spellStart"/>
            <w:r w:rsidRPr="00A07F29">
              <w:rPr>
                <w:rFonts w:ascii="Times New Roman" w:eastAsia="Calibri" w:hAnsi="Times New Roman" w:cs="Times New Roman"/>
                <w:color w:val="000000"/>
                <w:sz w:val="20"/>
                <w:szCs w:val="20"/>
                <w:lang w:eastAsia="ar-SA"/>
              </w:rPr>
              <w:t>indikatorsuga</w:t>
            </w:r>
            <w:proofErr w:type="spellEnd"/>
            <w:r w:rsidRPr="00A07F29">
              <w:rPr>
                <w:rFonts w:ascii="Times New Roman" w:eastAsia="Calibri" w:hAnsi="Times New Roman" w:cs="Times New Roman"/>
                <w:color w:val="000000"/>
                <w:sz w:val="20"/>
                <w:szCs w:val="20"/>
                <w:lang w:eastAsia="ar-SA"/>
              </w:rPr>
              <w:t>.</w:t>
            </w:r>
          </w:p>
        </w:tc>
        <w:tc>
          <w:tcPr>
            <w:tcW w:w="971" w:type="pct"/>
            <w:shd w:val="clear" w:color="auto" w:fill="auto"/>
          </w:tcPr>
          <w:p w14:paraId="7E2FEDD3" w14:textId="74EF2534" w:rsidR="009072CE" w:rsidRPr="00A07F29" w:rsidRDefault="00BF0E06"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DA plāna</w:t>
            </w:r>
            <w:r w:rsidR="009072CE" w:rsidRPr="00A07F29">
              <w:rPr>
                <w:rFonts w:ascii="Times New Roman" w:eastAsia="Calibri" w:hAnsi="Times New Roman" w:cs="Times New Roman"/>
                <w:color w:val="000000"/>
                <w:sz w:val="20"/>
                <w:szCs w:val="20"/>
                <w:lang w:eastAsia="ar-SA"/>
              </w:rPr>
              <w:t xml:space="preserve"> izstrādes laikā suga netika konstatēta.</w:t>
            </w:r>
          </w:p>
        </w:tc>
      </w:tr>
      <w:tr w:rsidR="009072CE" w:rsidRPr="00A07F29" w14:paraId="1D501A9B" w14:textId="77777777" w:rsidTr="00014519">
        <w:trPr>
          <w:cantSplit/>
          <w:trHeight w:val="284"/>
        </w:trPr>
        <w:tc>
          <w:tcPr>
            <w:tcW w:w="894" w:type="pct"/>
            <w:shd w:val="clear" w:color="auto" w:fill="auto"/>
            <w:noWrap/>
            <w:vAlign w:val="center"/>
          </w:tcPr>
          <w:p w14:paraId="647966D2" w14:textId="77777777" w:rsidR="009072CE" w:rsidRPr="00A07F29" w:rsidRDefault="009072CE" w:rsidP="009072CE">
            <w:pPr>
              <w:autoSpaceDE w:val="0"/>
              <w:autoSpaceDN w:val="0"/>
              <w:adjustRightInd w:val="0"/>
              <w:spacing w:after="0" w:line="240" w:lineRule="auto"/>
              <w:rPr>
                <w:rFonts w:ascii="Times New Roman" w:eastAsia="Calibri" w:hAnsi="Times New Roman" w:cs="Times New Roman"/>
                <w:color w:val="000000"/>
                <w:sz w:val="20"/>
                <w:szCs w:val="20"/>
              </w:rPr>
            </w:pPr>
            <w:proofErr w:type="spellStart"/>
            <w:r w:rsidRPr="00A07F29">
              <w:rPr>
                <w:rFonts w:ascii="Times New Roman" w:eastAsia="Calibri" w:hAnsi="Times New Roman" w:cs="Times New Roman"/>
                <w:color w:val="000000"/>
                <w:sz w:val="20"/>
                <w:szCs w:val="20"/>
              </w:rPr>
              <w:t>Praulenis</w:t>
            </w:r>
            <w:proofErr w:type="spellEnd"/>
            <w:r w:rsidRPr="00A07F29">
              <w:rPr>
                <w:rFonts w:ascii="Times New Roman" w:eastAsia="Calibri" w:hAnsi="Times New Roman" w:cs="Times New Roman"/>
                <w:color w:val="000000"/>
                <w:sz w:val="20"/>
                <w:szCs w:val="20"/>
              </w:rPr>
              <w:t xml:space="preserve"> </w:t>
            </w:r>
          </w:p>
        </w:tc>
        <w:tc>
          <w:tcPr>
            <w:tcW w:w="821" w:type="pct"/>
            <w:shd w:val="clear" w:color="auto" w:fill="auto"/>
            <w:noWrap/>
            <w:vAlign w:val="center"/>
          </w:tcPr>
          <w:p w14:paraId="206A7509" w14:textId="77777777" w:rsidR="009072CE" w:rsidRPr="00A07F29" w:rsidRDefault="009072CE" w:rsidP="009072CE">
            <w:pPr>
              <w:autoSpaceDE w:val="0"/>
              <w:autoSpaceDN w:val="0"/>
              <w:adjustRightInd w:val="0"/>
              <w:spacing w:after="0" w:line="240" w:lineRule="auto"/>
              <w:rPr>
                <w:rFonts w:ascii="Times New Roman" w:eastAsia="Calibri" w:hAnsi="Times New Roman" w:cs="Times New Roman"/>
                <w:color w:val="000000"/>
                <w:sz w:val="20"/>
                <w:szCs w:val="20"/>
              </w:rPr>
            </w:pPr>
            <w:proofErr w:type="spellStart"/>
            <w:r w:rsidRPr="00A07F29">
              <w:rPr>
                <w:rFonts w:ascii="Times New Roman" w:eastAsia="Calibri" w:hAnsi="Times New Roman" w:cs="Times New Roman"/>
                <w:i/>
                <w:iCs/>
                <w:color w:val="000000"/>
                <w:sz w:val="20"/>
                <w:szCs w:val="20"/>
              </w:rPr>
              <w:t>Platycerus</w:t>
            </w:r>
            <w:proofErr w:type="spellEnd"/>
            <w:r w:rsidRPr="00A07F29">
              <w:rPr>
                <w:rFonts w:ascii="Times New Roman" w:eastAsia="Calibri" w:hAnsi="Times New Roman" w:cs="Times New Roman"/>
                <w:i/>
                <w:iCs/>
                <w:color w:val="000000"/>
                <w:sz w:val="20"/>
                <w:szCs w:val="20"/>
              </w:rPr>
              <w:t xml:space="preserve"> </w:t>
            </w:r>
            <w:proofErr w:type="spellStart"/>
            <w:r w:rsidRPr="00A07F29">
              <w:rPr>
                <w:rFonts w:ascii="Times New Roman" w:eastAsia="Calibri" w:hAnsi="Times New Roman" w:cs="Times New Roman"/>
                <w:i/>
                <w:iCs/>
                <w:color w:val="000000"/>
                <w:sz w:val="20"/>
                <w:szCs w:val="20"/>
              </w:rPr>
              <w:t>caprea</w:t>
            </w:r>
            <w:proofErr w:type="spellEnd"/>
            <w:r w:rsidRPr="00A07F29">
              <w:rPr>
                <w:rFonts w:ascii="Times New Roman" w:eastAsia="Calibri" w:hAnsi="Times New Roman" w:cs="Times New Roman"/>
                <w:i/>
                <w:iCs/>
                <w:color w:val="000000"/>
                <w:sz w:val="20"/>
                <w:szCs w:val="20"/>
              </w:rPr>
              <w:t xml:space="preserve"> </w:t>
            </w:r>
          </w:p>
        </w:tc>
        <w:tc>
          <w:tcPr>
            <w:tcW w:w="674" w:type="pct"/>
            <w:shd w:val="clear" w:color="auto" w:fill="auto"/>
            <w:noWrap/>
            <w:vAlign w:val="center"/>
          </w:tcPr>
          <w:p w14:paraId="2F189F94" w14:textId="77777777" w:rsidR="009072CE" w:rsidRPr="00A07F29" w:rsidRDefault="009072CE" w:rsidP="009072CE">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w:t>
            </w:r>
          </w:p>
        </w:tc>
        <w:tc>
          <w:tcPr>
            <w:tcW w:w="595" w:type="pct"/>
            <w:shd w:val="clear" w:color="auto" w:fill="auto"/>
            <w:noWrap/>
            <w:vAlign w:val="center"/>
          </w:tcPr>
          <w:p w14:paraId="5EAECB47" w14:textId="77777777" w:rsidR="009072CE" w:rsidRPr="00A07F29" w:rsidRDefault="009072CE" w:rsidP="009072CE">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MAB (IS)</w:t>
            </w:r>
          </w:p>
        </w:tc>
        <w:tc>
          <w:tcPr>
            <w:tcW w:w="1045" w:type="pct"/>
            <w:shd w:val="clear" w:color="auto" w:fill="auto"/>
          </w:tcPr>
          <w:p w14:paraId="72B94CD0" w14:textId="02C227F6" w:rsidR="009072CE" w:rsidRPr="00A07F29" w:rsidRDefault="009072CE"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Latvijā sam</w:t>
            </w:r>
            <w:r w:rsidR="0089562D">
              <w:rPr>
                <w:rFonts w:ascii="Times New Roman" w:eastAsia="Calibri" w:hAnsi="Times New Roman" w:cs="Times New Roman"/>
                <w:color w:val="000000"/>
                <w:sz w:val="20"/>
                <w:szCs w:val="20"/>
                <w:lang w:eastAsia="ar-SA"/>
              </w:rPr>
              <w:t>ē</w:t>
            </w:r>
            <w:r w:rsidRPr="00A07F29">
              <w:rPr>
                <w:rFonts w:ascii="Times New Roman" w:eastAsia="Calibri" w:hAnsi="Times New Roman" w:cs="Times New Roman"/>
                <w:color w:val="000000"/>
                <w:sz w:val="20"/>
                <w:szCs w:val="20"/>
                <w:lang w:eastAsia="ar-SA"/>
              </w:rPr>
              <w:t xml:space="preserve">rā reti sastopama mežaudzes atslēgas biotopu </w:t>
            </w:r>
            <w:proofErr w:type="spellStart"/>
            <w:r w:rsidRPr="00A07F29">
              <w:rPr>
                <w:rFonts w:ascii="Times New Roman" w:eastAsia="Calibri" w:hAnsi="Times New Roman" w:cs="Times New Roman"/>
                <w:color w:val="000000"/>
                <w:sz w:val="20"/>
                <w:szCs w:val="20"/>
                <w:lang w:eastAsia="ar-SA"/>
              </w:rPr>
              <w:t>indikatorsuga</w:t>
            </w:r>
            <w:proofErr w:type="spellEnd"/>
            <w:r w:rsidRPr="00A07F29">
              <w:rPr>
                <w:rFonts w:ascii="Times New Roman" w:eastAsia="Calibri" w:hAnsi="Times New Roman" w:cs="Times New Roman"/>
                <w:color w:val="000000"/>
                <w:sz w:val="20"/>
                <w:szCs w:val="20"/>
                <w:lang w:eastAsia="ar-SA"/>
              </w:rPr>
              <w:t>.</w:t>
            </w:r>
          </w:p>
        </w:tc>
        <w:tc>
          <w:tcPr>
            <w:tcW w:w="971" w:type="pct"/>
            <w:shd w:val="clear" w:color="auto" w:fill="auto"/>
          </w:tcPr>
          <w:p w14:paraId="49C4C897" w14:textId="0098D943" w:rsidR="009072CE" w:rsidRPr="00A07F29" w:rsidRDefault="00BF0E06"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DA plāna</w:t>
            </w:r>
            <w:r w:rsidR="009072CE" w:rsidRPr="00A07F29">
              <w:rPr>
                <w:rFonts w:ascii="Times New Roman" w:eastAsia="Calibri" w:hAnsi="Times New Roman" w:cs="Times New Roman"/>
                <w:color w:val="000000"/>
                <w:sz w:val="20"/>
                <w:szCs w:val="20"/>
                <w:lang w:eastAsia="ar-SA"/>
              </w:rPr>
              <w:t xml:space="preserve"> izstrādes laikā suga netika konstatēta.</w:t>
            </w:r>
          </w:p>
        </w:tc>
      </w:tr>
      <w:tr w:rsidR="009072CE" w:rsidRPr="00A07F29" w14:paraId="2C9B0050" w14:textId="77777777" w:rsidTr="00014519">
        <w:trPr>
          <w:cantSplit/>
          <w:trHeight w:val="284"/>
        </w:trPr>
        <w:tc>
          <w:tcPr>
            <w:tcW w:w="894" w:type="pct"/>
            <w:shd w:val="clear" w:color="auto" w:fill="auto"/>
            <w:noWrap/>
            <w:vAlign w:val="center"/>
          </w:tcPr>
          <w:p w14:paraId="2519664E" w14:textId="77777777" w:rsidR="009072CE" w:rsidRPr="00A07F29" w:rsidRDefault="009072CE" w:rsidP="009072CE">
            <w:pPr>
              <w:autoSpaceDE w:val="0"/>
              <w:autoSpaceDN w:val="0"/>
              <w:adjustRightInd w:val="0"/>
              <w:spacing w:after="0" w:line="240" w:lineRule="auto"/>
              <w:rPr>
                <w:rFonts w:ascii="Times New Roman" w:eastAsia="Calibri" w:hAnsi="Times New Roman" w:cs="Times New Roman"/>
                <w:color w:val="000000"/>
                <w:sz w:val="20"/>
                <w:szCs w:val="20"/>
              </w:rPr>
            </w:pPr>
            <w:r w:rsidRPr="00A07F29">
              <w:rPr>
                <w:rFonts w:ascii="Times New Roman" w:eastAsia="Calibri" w:hAnsi="Times New Roman" w:cs="Times New Roman"/>
                <w:color w:val="000000"/>
                <w:sz w:val="20"/>
                <w:szCs w:val="20"/>
              </w:rPr>
              <w:lastRenderedPageBreak/>
              <w:t xml:space="preserve">Priežu </w:t>
            </w:r>
            <w:proofErr w:type="spellStart"/>
            <w:r w:rsidRPr="00A07F29">
              <w:rPr>
                <w:rFonts w:ascii="Times New Roman" w:eastAsia="Calibri" w:hAnsi="Times New Roman" w:cs="Times New Roman"/>
                <w:color w:val="000000"/>
                <w:sz w:val="20"/>
                <w:szCs w:val="20"/>
              </w:rPr>
              <w:t>dižkoksngrauzis</w:t>
            </w:r>
            <w:proofErr w:type="spellEnd"/>
            <w:r w:rsidRPr="00A07F29">
              <w:rPr>
                <w:rFonts w:ascii="Times New Roman" w:eastAsia="Calibri" w:hAnsi="Times New Roman" w:cs="Times New Roman"/>
                <w:color w:val="000000"/>
                <w:sz w:val="20"/>
                <w:szCs w:val="20"/>
              </w:rPr>
              <w:t xml:space="preserve"> </w:t>
            </w:r>
          </w:p>
        </w:tc>
        <w:tc>
          <w:tcPr>
            <w:tcW w:w="821" w:type="pct"/>
            <w:shd w:val="clear" w:color="auto" w:fill="auto"/>
            <w:noWrap/>
            <w:vAlign w:val="center"/>
          </w:tcPr>
          <w:p w14:paraId="5A768870" w14:textId="77777777" w:rsidR="009072CE" w:rsidRPr="00A07F29" w:rsidRDefault="009072CE" w:rsidP="009072CE">
            <w:pPr>
              <w:autoSpaceDE w:val="0"/>
              <w:autoSpaceDN w:val="0"/>
              <w:adjustRightInd w:val="0"/>
              <w:spacing w:after="0" w:line="240" w:lineRule="auto"/>
              <w:rPr>
                <w:rFonts w:ascii="Times New Roman" w:eastAsia="Calibri" w:hAnsi="Times New Roman" w:cs="Times New Roman"/>
                <w:color w:val="000000"/>
                <w:sz w:val="20"/>
                <w:szCs w:val="20"/>
              </w:rPr>
            </w:pPr>
            <w:proofErr w:type="spellStart"/>
            <w:r w:rsidRPr="00A07F29">
              <w:rPr>
                <w:rFonts w:ascii="Times New Roman" w:eastAsia="Calibri" w:hAnsi="Times New Roman" w:cs="Times New Roman"/>
                <w:i/>
                <w:iCs/>
                <w:color w:val="000000"/>
                <w:sz w:val="20"/>
                <w:szCs w:val="20"/>
              </w:rPr>
              <w:t>Prionus</w:t>
            </w:r>
            <w:proofErr w:type="spellEnd"/>
            <w:r w:rsidRPr="00A07F29">
              <w:rPr>
                <w:rFonts w:ascii="Times New Roman" w:eastAsia="Calibri" w:hAnsi="Times New Roman" w:cs="Times New Roman"/>
                <w:i/>
                <w:iCs/>
                <w:color w:val="000000"/>
                <w:sz w:val="20"/>
                <w:szCs w:val="20"/>
              </w:rPr>
              <w:t xml:space="preserve"> </w:t>
            </w:r>
            <w:proofErr w:type="spellStart"/>
            <w:r w:rsidRPr="00A07F29">
              <w:rPr>
                <w:rFonts w:ascii="Times New Roman" w:eastAsia="Calibri" w:hAnsi="Times New Roman" w:cs="Times New Roman"/>
                <w:i/>
                <w:iCs/>
                <w:color w:val="000000"/>
                <w:sz w:val="20"/>
                <w:szCs w:val="20"/>
              </w:rPr>
              <w:t>coriarius</w:t>
            </w:r>
            <w:proofErr w:type="spellEnd"/>
            <w:r w:rsidRPr="00A07F29">
              <w:rPr>
                <w:rFonts w:ascii="Times New Roman" w:eastAsia="Calibri" w:hAnsi="Times New Roman" w:cs="Times New Roman"/>
                <w:i/>
                <w:iCs/>
                <w:color w:val="000000"/>
                <w:sz w:val="20"/>
                <w:szCs w:val="20"/>
              </w:rPr>
              <w:t xml:space="preserve"> </w:t>
            </w:r>
          </w:p>
        </w:tc>
        <w:tc>
          <w:tcPr>
            <w:tcW w:w="674" w:type="pct"/>
            <w:shd w:val="clear" w:color="auto" w:fill="auto"/>
            <w:noWrap/>
            <w:vAlign w:val="center"/>
          </w:tcPr>
          <w:p w14:paraId="105D232E" w14:textId="7D93979C" w:rsidR="009072CE" w:rsidRPr="00A07F29" w:rsidRDefault="009072CE" w:rsidP="009072CE">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ĪAS</w:t>
            </w:r>
          </w:p>
        </w:tc>
        <w:tc>
          <w:tcPr>
            <w:tcW w:w="595" w:type="pct"/>
            <w:shd w:val="clear" w:color="auto" w:fill="auto"/>
            <w:noWrap/>
            <w:vAlign w:val="center"/>
          </w:tcPr>
          <w:p w14:paraId="601B642A" w14:textId="6D83C1E9" w:rsidR="009072CE" w:rsidRPr="00A07F29" w:rsidRDefault="0089562D" w:rsidP="009072CE">
            <w:pPr>
              <w:suppressAutoHyphens/>
              <w:spacing w:after="0" w:line="240" w:lineRule="auto"/>
              <w:rPr>
                <w:rFonts w:ascii="Times New Roman" w:eastAsia="Calibri" w:hAnsi="Times New Roman" w:cs="Times New Roman"/>
                <w:color w:val="000000"/>
                <w:sz w:val="20"/>
                <w:szCs w:val="20"/>
                <w:lang w:eastAsia="ar-SA"/>
              </w:rPr>
            </w:pPr>
            <w:r>
              <w:rPr>
                <w:rFonts w:ascii="Times New Roman" w:eastAsia="Calibri" w:hAnsi="Times New Roman" w:cs="Times New Roman"/>
                <w:color w:val="000000"/>
                <w:sz w:val="20"/>
                <w:szCs w:val="20"/>
                <w:lang w:eastAsia="ar-SA"/>
              </w:rPr>
              <w:t>L</w:t>
            </w:r>
            <w:r w:rsidR="009072CE" w:rsidRPr="00A07F29">
              <w:rPr>
                <w:rFonts w:ascii="Times New Roman" w:eastAsia="Calibri" w:hAnsi="Times New Roman" w:cs="Times New Roman"/>
                <w:color w:val="000000"/>
                <w:sz w:val="20"/>
                <w:szCs w:val="20"/>
                <w:lang w:eastAsia="ar-SA"/>
              </w:rPr>
              <w:t>SG 1; MAB (BSS)</w:t>
            </w:r>
          </w:p>
        </w:tc>
        <w:tc>
          <w:tcPr>
            <w:tcW w:w="1045" w:type="pct"/>
            <w:shd w:val="clear" w:color="auto" w:fill="auto"/>
          </w:tcPr>
          <w:p w14:paraId="15DE91E7" w14:textId="0E0FD1D1" w:rsidR="009072CE" w:rsidRPr="00A07F29" w:rsidRDefault="009072CE"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 xml:space="preserve">Reta suga, kas Latvijā sasniedz izplatības areāla </w:t>
            </w:r>
            <w:r w:rsidR="00CF37E0">
              <w:rPr>
                <w:rFonts w:ascii="Times New Roman" w:eastAsia="Calibri" w:hAnsi="Times New Roman" w:cs="Times New Roman"/>
                <w:color w:val="000000"/>
                <w:sz w:val="20"/>
                <w:szCs w:val="20"/>
                <w:lang w:eastAsia="ar-SA"/>
              </w:rPr>
              <w:t>Z</w:t>
            </w:r>
            <w:r w:rsidRPr="00A07F29">
              <w:rPr>
                <w:rFonts w:ascii="Times New Roman" w:eastAsia="Calibri" w:hAnsi="Times New Roman" w:cs="Times New Roman"/>
                <w:color w:val="000000"/>
                <w:sz w:val="20"/>
                <w:szCs w:val="20"/>
                <w:lang w:eastAsia="ar-SA"/>
              </w:rPr>
              <w:t xml:space="preserve"> robežu. Sastopama galvenokārt Latvijas </w:t>
            </w:r>
            <w:r w:rsidR="00CF37E0">
              <w:rPr>
                <w:rFonts w:ascii="Times New Roman" w:eastAsia="Calibri" w:hAnsi="Times New Roman" w:cs="Times New Roman"/>
                <w:color w:val="000000"/>
                <w:sz w:val="20"/>
                <w:szCs w:val="20"/>
                <w:lang w:eastAsia="ar-SA"/>
              </w:rPr>
              <w:t>DA</w:t>
            </w:r>
            <w:r w:rsidRPr="00A07F29">
              <w:rPr>
                <w:rFonts w:ascii="Times New Roman" w:eastAsia="Calibri" w:hAnsi="Times New Roman" w:cs="Times New Roman"/>
                <w:color w:val="000000"/>
                <w:sz w:val="20"/>
                <w:szCs w:val="20"/>
                <w:lang w:eastAsia="ar-SA"/>
              </w:rPr>
              <w:t xml:space="preserve"> daļā (Valainis</w:t>
            </w:r>
            <w:r w:rsidR="0089562D">
              <w:rPr>
                <w:rFonts w:ascii="Times New Roman" w:eastAsia="Calibri" w:hAnsi="Times New Roman" w:cs="Times New Roman"/>
                <w:color w:val="000000"/>
                <w:sz w:val="20"/>
                <w:szCs w:val="20"/>
                <w:lang w:eastAsia="ar-SA"/>
              </w:rPr>
              <w:t xml:space="preserve"> U.</w:t>
            </w:r>
            <w:r w:rsidRPr="00A07F29">
              <w:rPr>
                <w:rFonts w:ascii="Times New Roman" w:eastAsia="Calibri" w:hAnsi="Times New Roman" w:cs="Times New Roman"/>
                <w:color w:val="000000"/>
                <w:sz w:val="20"/>
                <w:szCs w:val="20"/>
                <w:lang w:eastAsia="ar-SA"/>
              </w:rPr>
              <w:t>, 2018).</w:t>
            </w:r>
          </w:p>
        </w:tc>
        <w:tc>
          <w:tcPr>
            <w:tcW w:w="971" w:type="pct"/>
            <w:shd w:val="clear" w:color="auto" w:fill="auto"/>
          </w:tcPr>
          <w:p w14:paraId="168FFAF3" w14:textId="77777777" w:rsidR="009072CE" w:rsidRPr="00A07F29" w:rsidRDefault="009072CE"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Suga samērā bieži sastopama AAA teritorijā esošos priežu mežos.</w:t>
            </w:r>
          </w:p>
        </w:tc>
      </w:tr>
      <w:tr w:rsidR="009072CE" w:rsidRPr="00A07F29" w14:paraId="68AAAF3E" w14:textId="77777777" w:rsidTr="00014519">
        <w:trPr>
          <w:cantSplit/>
          <w:trHeight w:val="284"/>
        </w:trPr>
        <w:tc>
          <w:tcPr>
            <w:tcW w:w="894" w:type="pct"/>
            <w:shd w:val="clear" w:color="auto" w:fill="auto"/>
            <w:noWrap/>
            <w:vAlign w:val="center"/>
          </w:tcPr>
          <w:p w14:paraId="5167D434" w14:textId="77777777" w:rsidR="009072CE" w:rsidRPr="00A07F29" w:rsidRDefault="009072CE" w:rsidP="009072CE">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 xml:space="preserve">Marmora </w:t>
            </w:r>
            <w:proofErr w:type="spellStart"/>
            <w:r w:rsidRPr="00A07F29">
              <w:rPr>
                <w:rFonts w:ascii="Times New Roman" w:eastAsia="Calibri" w:hAnsi="Times New Roman" w:cs="Times New Roman"/>
                <w:color w:val="000000"/>
                <w:sz w:val="20"/>
                <w:szCs w:val="20"/>
                <w:lang w:eastAsia="ar-SA"/>
              </w:rPr>
              <w:t>rožvabole</w:t>
            </w:r>
            <w:proofErr w:type="spellEnd"/>
          </w:p>
        </w:tc>
        <w:tc>
          <w:tcPr>
            <w:tcW w:w="821" w:type="pct"/>
            <w:shd w:val="clear" w:color="auto" w:fill="auto"/>
            <w:noWrap/>
            <w:vAlign w:val="center"/>
          </w:tcPr>
          <w:p w14:paraId="1744B240" w14:textId="77777777" w:rsidR="009072CE" w:rsidRPr="00A07F29" w:rsidRDefault="009072CE" w:rsidP="009072CE">
            <w:pPr>
              <w:suppressAutoHyphens/>
              <w:spacing w:after="0" w:line="240" w:lineRule="auto"/>
              <w:rPr>
                <w:rFonts w:ascii="Times New Roman" w:eastAsia="Calibri" w:hAnsi="Times New Roman" w:cs="Times New Roman"/>
                <w:iCs/>
                <w:color w:val="000000"/>
                <w:sz w:val="20"/>
                <w:szCs w:val="20"/>
                <w:lang w:eastAsia="ar-SA"/>
              </w:rPr>
            </w:pPr>
            <w:proofErr w:type="spellStart"/>
            <w:r w:rsidRPr="00A07F29">
              <w:rPr>
                <w:rFonts w:ascii="Times New Roman" w:eastAsia="Calibri" w:hAnsi="Times New Roman" w:cs="Times New Roman"/>
                <w:i/>
                <w:iCs/>
                <w:color w:val="000000"/>
                <w:sz w:val="20"/>
                <w:szCs w:val="20"/>
                <w:lang w:eastAsia="ar-SA"/>
              </w:rPr>
              <w:t>Protaetia</w:t>
            </w:r>
            <w:proofErr w:type="spellEnd"/>
            <w:r w:rsidRPr="00A07F29">
              <w:rPr>
                <w:rFonts w:ascii="Times New Roman" w:eastAsia="Calibri" w:hAnsi="Times New Roman" w:cs="Times New Roman"/>
                <w:i/>
                <w:iCs/>
                <w:color w:val="000000"/>
                <w:sz w:val="20"/>
                <w:szCs w:val="20"/>
                <w:lang w:eastAsia="ar-SA"/>
              </w:rPr>
              <w:t xml:space="preserve"> </w:t>
            </w:r>
            <w:proofErr w:type="spellStart"/>
            <w:r w:rsidRPr="00A07F29">
              <w:rPr>
                <w:rFonts w:ascii="Times New Roman" w:eastAsia="Calibri" w:hAnsi="Times New Roman" w:cs="Times New Roman"/>
                <w:i/>
                <w:iCs/>
                <w:color w:val="000000"/>
                <w:sz w:val="20"/>
                <w:szCs w:val="20"/>
                <w:lang w:eastAsia="ar-SA"/>
              </w:rPr>
              <w:t>lugubris</w:t>
            </w:r>
            <w:proofErr w:type="spellEnd"/>
            <w:r w:rsidRPr="00A07F29">
              <w:rPr>
                <w:rFonts w:ascii="Times New Roman" w:eastAsia="Calibri" w:hAnsi="Times New Roman" w:cs="Times New Roman"/>
                <w:i/>
                <w:iCs/>
                <w:color w:val="000000"/>
                <w:sz w:val="20"/>
                <w:szCs w:val="20"/>
                <w:lang w:eastAsia="ar-SA"/>
              </w:rPr>
              <w:t xml:space="preserve"> </w:t>
            </w:r>
            <w:r w:rsidRPr="00A07F29">
              <w:rPr>
                <w:rFonts w:ascii="Times New Roman" w:eastAsia="Calibri" w:hAnsi="Times New Roman" w:cs="Times New Roman"/>
                <w:color w:val="000000"/>
                <w:sz w:val="20"/>
                <w:szCs w:val="20"/>
                <w:shd w:val="clear" w:color="auto" w:fill="FFFFFF"/>
                <w:lang w:eastAsia="ar-SA"/>
              </w:rPr>
              <w:t>(=</w:t>
            </w:r>
            <w:r w:rsidRPr="00A07F29">
              <w:rPr>
                <w:rFonts w:ascii="Times New Roman" w:eastAsia="Calibri" w:hAnsi="Times New Roman" w:cs="Times New Roman"/>
                <w:i/>
                <w:color w:val="000000"/>
                <w:spacing w:val="1"/>
                <w:sz w:val="20"/>
                <w:szCs w:val="20"/>
                <w:lang w:eastAsia="ar-SA"/>
              </w:rPr>
              <w:t xml:space="preserve"> </w:t>
            </w:r>
            <w:proofErr w:type="spellStart"/>
            <w:r w:rsidRPr="00A07F29">
              <w:rPr>
                <w:rFonts w:ascii="Times New Roman" w:eastAsia="Calibri" w:hAnsi="Times New Roman" w:cs="Times New Roman"/>
                <w:i/>
                <w:color w:val="000000"/>
                <w:spacing w:val="1"/>
                <w:sz w:val="20"/>
                <w:szCs w:val="20"/>
                <w:lang w:eastAsia="ar-SA"/>
              </w:rPr>
              <w:t>L</w:t>
            </w:r>
            <w:r w:rsidRPr="00A07F29">
              <w:rPr>
                <w:rFonts w:ascii="Times New Roman" w:eastAsia="Calibri" w:hAnsi="Times New Roman" w:cs="Times New Roman"/>
                <w:i/>
                <w:color w:val="000000"/>
                <w:sz w:val="20"/>
                <w:szCs w:val="20"/>
                <w:lang w:eastAsia="ar-SA"/>
              </w:rPr>
              <w:t>i</w:t>
            </w:r>
            <w:r w:rsidRPr="00A07F29">
              <w:rPr>
                <w:rFonts w:ascii="Times New Roman" w:eastAsia="Calibri" w:hAnsi="Times New Roman" w:cs="Times New Roman"/>
                <w:i/>
                <w:color w:val="000000"/>
                <w:spacing w:val="1"/>
                <w:sz w:val="20"/>
                <w:szCs w:val="20"/>
                <w:lang w:eastAsia="ar-SA"/>
              </w:rPr>
              <w:t>o</w:t>
            </w:r>
            <w:r w:rsidRPr="00A07F29">
              <w:rPr>
                <w:rFonts w:ascii="Times New Roman" w:eastAsia="Calibri" w:hAnsi="Times New Roman" w:cs="Times New Roman"/>
                <w:i/>
                <w:color w:val="000000"/>
                <w:spacing w:val="-1"/>
                <w:sz w:val="20"/>
                <w:szCs w:val="20"/>
                <w:lang w:eastAsia="ar-SA"/>
              </w:rPr>
              <w:t>c</w:t>
            </w:r>
            <w:r w:rsidRPr="00A07F29">
              <w:rPr>
                <w:rFonts w:ascii="Times New Roman" w:eastAsia="Calibri" w:hAnsi="Times New Roman" w:cs="Times New Roman"/>
                <w:i/>
                <w:color w:val="000000"/>
                <w:spacing w:val="1"/>
                <w:sz w:val="20"/>
                <w:szCs w:val="20"/>
                <w:lang w:eastAsia="ar-SA"/>
              </w:rPr>
              <w:t>o</w:t>
            </w:r>
            <w:r w:rsidRPr="00A07F29">
              <w:rPr>
                <w:rFonts w:ascii="Times New Roman" w:eastAsia="Calibri" w:hAnsi="Times New Roman" w:cs="Times New Roman"/>
                <w:i/>
                <w:color w:val="000000"/>
                <w:spacing w:val="-2"/>
                <w:sz w:val="20"/>
                <w:szCs w:val="20"/>
                <w:lang w:eastAsia="ar-SA"/>
              </w:rPr>
              <w:t>l</w:t>
            </w:r>
            <w:r w:rsidRPr="00A07F29">
              <w:rPr>
                <w:rFonts w:ascii="Times New Roman" w:eastAsia="Calibri" w:hAnsi="Times New Roman" w:cs="Times New Roman"/>
                <w:i/>
                <w:color w:val="000000"/>
                <w:sz w:val="20"/>
                <w:szCs w:val="20"/>
                <w:lang w:eastAsia="ar-SA"/>
              </w:rPr>
              <w:t>a</w:t>
            </w:r>
            <w:proofErr w:type="spellEnd"/>
            <w:r w:rsidRPr="00A07F29">
              <w:rPr>
                <w:rFonts w:ascii="Times New Roman" w:eastAsia="Calibri" w:hAnsi="Times New Roman" w:cs="Times New Roman"/>
                <w:i/>
                <w:color w:val="000000"/>
                <w:spacing w:val="-2"/>
                <w:sz w:val="20"/>
                <w:szCs w:val="20"/>
                <w:lang w:eastAsia="ar-SA"/>
              </w:rPr>
              <w:t xml:space="preserve"> </w:t>
            </w:r>
            <w:proofErr w:type="spellStart"/>
            <w:r w:rsidRPr="00A07F29">
              <w:rPr>
                <w:rFonts w:ascii="Times New Roman" w:eastAsia="Calibri" w:hAnsi="Times New Roman" w:cs="Times New Roman"/>
                <w:i/>
                <w:color w:val="000000"/>
                <w:sz w:val="20"/>
                <w:szCs w:val="20"/>
                <w:lang w:eastAsia="ar-SA"/>
              </w:rPr>
              <w:t>m</w:t>
            </w:r>
            <w:r w:rsidRPr="00A07F29">
              <w:rPr>
                <w:rFonts w:ascii="Times New Roman" w:eastAsia="Calibri" w:hAnsi="Times New Roman" w:cs="Times New Roman"/>
                <w:i/>
                <w:color w:val="000000"/>
                <w:spacing w:val="1"/>
                <w:sz w:val="20"/>
                <w:szCs w:val="20"/>
                <w:lang w:eastAsia="ar-SA"/>
              </w:rPr>
              <w:t>a</w:t>
            </w:r>
            <w:r w:rsidRPr="00A07F29">
              <w:rPr>
                <w:rFonts w:ascii="Times New Roman" w:eastAsia="Calibri" w:hAnsi="Times New Roman" w:cs="Times New Roman"/>
                <w:i/>
                <w:color w:val="000000"/>
                <w:sz w:val="20"/>
                <w:szCs w:val="20"/>
                <w:lang w:eastAsia="ar-SA"/>
              </w:rPr>
              <w:t>r</w:t>
            </w:r>
            <w:r w:rsidRPr="00A07F29">
              <w:rPr>
                <w:rFonts w:ascii="Times New Roman" w:eastAsia="Calibri" w:hAnsi="Times New Roman" w:cs="Times New Roman"/>
                <w:i/>
                <w:color w:val="000000"/>
                <w:spacing w:val="-3"/>
                <w:sz w:val="20"/>
                <w:szCs w:val="20"/>
                <w:lang w:eastAsia="ar-SA"/>
              </w:rPr>
              <w:t>m</w:t>
            </w:r>
            <w:r w:rsidRPr="00A07F29">
              <w:rPr>
                <w:rFonts w:ascii="Times New Roman" w:eastAsia="Calibri" w:hAnsi="Times New Roman" w:cs="Times New Roman"/>
                <w:i/>
                <w:color w:val="000000"/>
                <w:spacing w:val="1"/>
                <w:sz w:val="20"/>
                <w:szCs w:val="20"/>
                <w:lang w:eastAsia="ar-SA"/>
              </w:rPr>
              <w:t>o</w:t>
            </w:r>
            <w:r w:rsidRPr="00A07F29">
              <w:rPr>
                <w:rFonts w:ascii="Times New Roman" w:eastAsia="Calibri" w:hAnsi="Times New Roman" w:cs="Times New Roman"/>
                <w:i/>
                <w:color w:val="000000"/>
                <w:sz w:val="20"/>
                <w:szCs w:val="20"/>
                <w:lang w:eastAsia="ar-SA"/>
              </w:rPr>
              <w:t>r</w:t>
            </w:r>
            <w:r w:rsidRPr="00A07F29">
              <w:rPr>
                <w:rFonts w:ascii="Times New Roman" w:eastAsia="Calibri" w:hAnsi="Times New Roman" w:cs="Times New Roman"/>
                <w:i/>
                <w:color w:val="000000"/>
                <w:spacing w:val="1"/>
                <w:sz w:val="20"/>
                <w:szCs w:val="20"/>
                <w:lang w:eastAsia="ar-SA"/>
              </w:rPr>
              <w:t>a</w:t>
            </w:r>
            <w:r w:rsidRPr="00A07F29">
              <w:rPr>
                <w:rFonts w:ascii="Times New Roman" w:eastAsia="Calibri" w:hAnsi="Times New Roman" w:cs="Times New Roman"/>
                <w:i/>
                <w:color w:val="000000"/>
                <w:sz w:val="20"/>
                <w:szCs w:val="20"/>
                <w:lang w:eastAsia="ar-SA"/>
              </w:rPr>
              <w:t>ta</w:t>
            </w:r>
            <w:proofErr w:type="spellEnd"/>
            <w:r w:rsidRPr="00A07F29">
              <w:rPr>
                <w:rFonts w:ascii="Times New Roman" w:eastAsia="Calibri" w:hAnsi="Times New Roman" w:cs="Times New Roman"/>
                <w:color w:val="000000"/>
                <w:sz w:val="20"/>
                <w:szCs w:val="20"/>
                <w:lang w:eastAsia="ar-SA"/>
              </w:rPr>
              <w:t>)</w:t>
            </w:r>
          </w:p>
        </w:tc>
        <w:tc>
          <w:tcPr>
            <w:tcW w:w="674" w:type="pct"/>
            <w:shd w:val="clear" w:color="auto" w:fill="auto"/>
            <w:noWrap/>
            <w:vAlign w:val="center"/>
          </w:tcPr>
          <w:p w14:paraId="4176EF2E" w14:textId="5A3445C7" w:rsidR="009072CE" w:rsidRPr="00A07F29" w:rsidRDefault="009072CE" w:rsidP="009072CE">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ĪAS</w:t>
            </w:r>
          </w:p>
        </w:tc>
        <w:tc>
          <w:tcPr>
            <w:tcW w:w="595" w:type="pct"/>
            <w:shd w:val="clear" w:color="auto" w:fill="auto"/>
            <w:noWrap/>
            <w:vAlign w:val="center"/>
          </w:tcPr>
          <w:p w14:paraId="0AC29ED1" w14:textId="1433593E" w:rsidR="009072CE" w:rsidRPr="00A07F29" w:rsidRDefault="00DD5A18" w:rsidP="009072CE">
            <w:pPr>
              <w:suppressAutoHyphens/>
              <w:spacing w:after="0" w:line="240" w:lineRule="auto"/>
              <w:rPr>
                <w:rFonts w:ascii="Times New Roman" w:eastAsia="Calibri" w:hAnsi="Times New Roman" w:cs="Times New Roman"/>
                <w:color w:val="000000"/>
                <w:sz w:val="20"/>
                <w:szCs w:val="20"/>
                <w:lang w:eastAsia="ar-SA"/>
              </w:rPr>
            </w:pPr>
            <w:r>
              <w:rPr>
                <w:rFonts w:ascii="Times New Roman" w:eastAsia="Calibri" w:hAnsi="Times New Roman" w:cs="Times New Roman"/>
                <w:color w:val="000000"/>
                <w:sz w:val="20"/>
                <w:szCs w:val="20"/>
                <w:lang w:eastAsia="ar-SA"/>
              </w:rPr>
              <w:t>L</w:t>
            </w:r>
            <w:r w:rsidR="009072CE" w:rsidRPr="00A07F29">
              <w:rPr>
                <w:rFonts w:ascii="Times New Roman" w:eastAsia="Calibri" w:hAnsi="Times New Roman" w:cs="Times New Roman"/>
                <w:color w:val="000000"/>
                <w:sz w:val="20"/>
                <w:szCs w:val="20"/>
                <w:lang w:eastAsia="ar-SA"/>
              </w:rPr>
              <w:t>SG 2; MAB (BSS)</w:t>
            </w:r>
          </w:p>
        </w:tc>
        <w:tc>
          <w:tcPr>
            <w:tcW w:w="1045" w:type="pct"/>
          </w:tcPr>
          <w:p w14:paraId="67536900" w14:textId="1E7B3B5D" w:rsidR="009072CE" w:rsidRPr="00A07F29" w:rsidRDefault="009072CE"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Samērā reta suga. Izplatīta visā Latvijas teritorijā. Iespējams, suga tiek uzskatīta par retu datu trūkuma dēļ, jo nozāģētos dobumainos kokos šī suga tiek konstatēta regulāri (Valainis</w:t>
            </w:r>
            <w:r w:rsidR="00DD5A18">
              <w:rPr>
                <w:rFonts w:ascii="Times New Roman" w:eastAsia="Calibri" w:hAnsi="Times New Roman" w:cs="Times New Roman"/>
                <w:color w:val="000000"/>
                <w:sz w:val="20"/>
                <w:szCs w:val="20"/>
                <w:lang w:eastAsia="ar-SA"/>
              </w:rPr>
              <w:t xml:space="preserve"> U.</w:t>
            </w:r>
            <w:r w:rsidRPr="00A07F29">
              <w:rPr>
                <w:rFonts w:ascii="Times New Roman" w:eastAsia="Calibri" w:hAnsi="Times New Roman" w:cs="Times New Roman"/>
                <w:color w:val="000000"/>
                <w:sz w:val="20"/>
                <w:szCs w:val="20"/>
                <w:lang w:eastAsia="ar-SA"/>
              </w:rPr>
              <w:t>, 2018).</w:t>
            </w:r>
          </w:p>
        </w:tc>
        <w:tc>
          <w:tcPr>
            <w:tcW w:w="971" w:type="pct"/>
            <w:shd w:val="clear" w:color="auto" w:fill="auto"/>
          </w:tcPr>
          <w:p w14:paraId="05F0243B" w14:textId="77777777" w:rsidR="009072CE" w:rsidRPr="00A07F29" w:rsidRDefault="009072CE"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AAA “Augšdaugava” teritorijā samērā bieži sastopama suga. Piemērotas dzīvotnes parkos, alejās, atsevišķi stāvošos kokos un lapkoku mežos.</w:t>
            </w:r>
          </w:p>
        </w:tc>
      </w:tr>
      <w:tr w:rsidR="009072CE" w:rsidRPr="00A07F29" w14:paraId="51BF8654" w14:textId="77777777" w:rsidTr="00014519">
        <w:trPr>
          <w:cantSplit/>
          <w:trHeight w:val="284"/>
        </w:trPr>
        <w:tc>
          <w:tcPr>
            <w:tcW w:w="894" w:type="pct"/>
            <w:shd w:val="clear" w:color="auto" w:fill="auto"/>
            <w:noWrap/>
            <w:vAlign w:val="center"/>
          </w:tcPr>
          <w:p w14:paraId="7711C61F" w14:textId="77777777" w:rsidR="009072CE" w:rsidRPr="00A07F29" w:rsidRDefault="009072CE" w:rsidP="009072CE">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 xml:space="preserve">Plankumainais </w:t>
            </w:r>
            <w:proofErr w:type="spellStart"/>
            <w:r w:rsidRPr="00A07F29">
              <w:rPr>
                <w:rFonts w:ascii="Times New Roman" w:eastAsia="Calibri" w:hAnsi="Times New Roman" w:cs="Times New Roman"/>
                <w:color w:val="000000"/>
                <w:sz w:val="20"/>
                <w:szCs w:val="20"/>
                <w:lang w:eastAsia="ar-SA"/>
              </w:rPr>
              <w:t>apšgrauzis</w:t>
            </w:r>
            <w:proofErr w:type="spellEnd"/>
          </w:p>
        </w:tc>
        <w:tc>
          <w:tcPr>
            <w:tcW w:w="821" w:type="pct"/>
            <w:shd w:val="clear" w:color="auto" w:fill="auto"/>
            <w:noWrap/>
            <w:vAlign w:val="center"/>
          </w:tcPr>
          <w:p w14:paraId="7FEA82FA" w14:textId="77777777" w:rsidR="009072CE" w:rsidRPr="00A07F29" w:rsidRDefault="009072CE" w:rsidP="009072CE">
            <w:pPr>
              <w:autoSpaceDE w:val="0"/>
              <w:autoSpaceDN w:val="0"/>
              <w:adjustRightInd w:val="0"/>
              <w:spacing w:after="0" w:line="240" w:lineRule="auto"/>
              <w:rPr>
                <w:rFonts w:ascii="Times New Roman" w:eastAsia="Calibri" w:hAnsi="Times New Roman" w:cs="Times New Roman"/>
                <w:color w:val="000000"/>
                <w:sz w:val="20"/>
                <w:szCs w:val="20"/>
              </w:rPr>
            </w:pPr>
            <w:proofErr w:type="spellStart"/>
            <w:r w:rsidRPr="00A07F29">
              <w:rPr>
                <w:rFonts w:ascii="Times New Roman" w:eastAsia="Calibri" w:hAnsi="Times New Roman" w:cs="Times New Roman"/>
                <w:i/>
                <w:iCs/>
                <w:color w:val="000000"/>
                <w:sz w:val="20"/>
                <w:szCs w:val="20"/>
              </w:rPr>
              <w:t>Saperda</w:t>
            </w:r>
            <w:proofErr w:type="spellEnd"/>
            <w:r w:rsidRPr="00A07F29">
              <w:rPr>
                <w:rFonts w:ascii="Times New Roman" w:eastAsia="Calibri" w:hAnsi="Times New Roman" w:cs="Times New Roman"/>
                <w:i/>
                <w:iCs/>
                <w:color w:val="000000"/>
                <w:sz w:val="20"/>
                <w:szCs w:val="20"/>
              </w:rPr>
              <w:t xml:space="preserve"> </w:t>
            </w:r>
            <w:proofErr w:type="spellStart"/>
            <w:r w:rsidRPr="00A07F29">
              <w:rPr>
                <w:rFonts w:ascii="Times New Roman" w:eastAsia="Calibri" w:hAnsi="Times New Roman" w:cs="Times New Roman"/>
                <w:i/>
                <w:iCs/>
                <w:color w:val="000000"/>
                <w:sz w:val="20"/>
                <w:szCs w:val="20"/>
              </w:rPr>
              <w:t>perforata</w:t>
            </w:r>
            <w:proofErr w:type="spellEnd"/>
            <w:r w:rsidRPr="00A07F29">
              <w:rPr>
                <w:rFonts w:ascii="Times New Roman" w:eastAsia="Calibri" w:hAnsi="Times New Roman" w:cs="Times New Roman"/>
                <w:i/>
                <w:iCs/>
                <w:color w:val="000000"/>
                <w:sz w:val="20"/>
                <w:szCs w:val="20"/>
              </w:rPr>
              <w:t xml:space="preserve"> </w:t>
            </w:r>
          </w:p>
        </w:tc>
        <w:tc>
          <w:tcPr>
            <w:tcW w:w="674" w:type="pct"/>
            <w:shd w:val="clear" w:color="auto" w:fill="auto"/>
            <w:noWrap/>
            <w:vAlign w:val="center"/>
          </w:tcPr>
          <w:p w14:paraId="62AFAA6D" w14:textId="77777777" w:rsidR="009072CE" w:rsidRPr="00A07F29" w:rsidRDefault="009072CE" w:rsidP="009072CE">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w:t>
            </w:r>
          </w:p>
        </w:tc>
        <w:tc>
          <w:tcPr>
            <w:tcW w:w="595" w:type="pct"/>
            <w:shd w:val="clear" w:color="auto" w:fill="auto"/>
            <w:noWrap/>
            <w:vAlign w:val="center"/>
          </w:tcPr>
          <w:p w14:paraId="082A1050" w14:textId="77777777" w:rsidR="009072CE" w:rsidRPr="00A07F29" w:rsidRDefault="009072CE" w:rsidP="009072CE">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MAB (BSS)</w:t>
            </w:r>
          </w:p>
        </w:tc>
        <w:tc>
          <w:tcPr>
            <w:tcW w:w="1045" w:type="pct"/>
            <w:shd w:val="clear" w:color="auto" w:fill="auto"/>
          </w:tcPr>
          <w:p w14:paraId="50C07214" w14:textId="77777777" w:rsidR="009072CE" w:rsidRPr="00A07F29" w:rsidRDefault="009072CE"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Latvijā reti sastopama mežaudzes atslēgas biotopu speciālistu suga.</w:t>
            </w:r>
          </w:p>
        </w:tc>
        <w:tc>
          <w:tcPr>
            <w:tcW w:w="971" w:type="pct"/>
            <w:shd w:val="clear" w:color="auto" w:fill="auto"/>
          </w:tcPr>
          <w:p w14:paraId="01E538C5" w14:textId="02D383C2" w:rsidR="009072CE" w:rsidRPr="00A07F29" w:rsidRDefault="00BF0E06"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DA plāna</w:t>
            </w:r>
            <w:r w:rsidR="009072CE" w:rsidRPr="00A07F29">
              <w:rPr>
                <w:rFonts w:ascii="Times New Roman" w:eastAsia="Calibri" w:hAnsi="Times New Roman" w:cs="Times New Roman"/>
                <w:color w:val="000000"/>
                <w:sz w:val="20"/>
                <w:szCs w:val="20"/>
                <w:lang w:eastAsia="ar-SA"/>
              </w:rPr>
              <w:t xml:space="preserve"> izstrādes laikā suga netika konstatēta.</w:t>
            </w:r>
          </w:p>
        </w:tc>
      </w:tr>
      <w:tr w:rsidR="0095136F" w:rsidRPr="00A07F29" w14:paraId="23D41A42" w14:textId="77777777" w:rsidTr="004E3F0B">
        <w:trPr>
          <w:cantSplit/>
          <w:trHeight w:val="284"/>
        </w:trPr>
        <w:tc>
          <w:tcPr>
            <w:tcW w:w="894" w:type="pct"/>
            <w:shd w:val="clear" w:color="auto" w:fill="auto"/>
            <w:noWrap/>
            <w:vAlign w:val="center"/>
          </w:tcPr>
          <w:p w14:paraId="2363E604" w14:textId="77777777" w:rsidR="0095136F" w:rsidRPr="00A07F29" w:rsidRDefault="0095136F" w:rsidP="004E3F0B">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Rūsganais koksngrauzis</w:t>
            </w:r>
          </w:p>
        </w:tc>
        <w:tc>
          <w:tcPr>
            <w:tcW w:w="821" w:type="pct"/>
            <w:shd w:val="clear" w:color="auto" w:fill="auto"/>
            <w:noWrap/>
            <w:vAlign w:val="center"/>
          </w:tcPr>
          <w:p w14:paraId="4A7BDDA1" w14:textId="77777777" w:rsidR="0095136F" w:rsidRPr="00A07F29" w:rsidRDefault="0095136F" w:rsidP="004E3F0B">
            <w:pPr>
              <w:autoSpaceDE w:val="0"/>
              <w:autoSpaceDN w:val="0"/>
              <w:adjustRightInd w:val="0"/>
              <w:spacing w:after="0" w:line="240" w:lineRule="auto"/>
              <w:rPr>
                <w:rFonts w:ascii="Times New Roman" w:eastAsia="Calibri" w:hAnsi="Times New Roman" w:cs="Times New Roman"/>
                <w:color w:val="000000"/>
                <w:sz w:val="20"/>
                <w:szCs w:val="20"/>
              </w:rPr>
            </w:pPr>
            <w:proofErr w:type="spellStart"/>
            <w:r w:rsidRPr="00A07F29">
              <w:rPr>
                <w:rFonts w:ascii="Times New Roman" w:eastAsia="Calibri" w:hAnsi="Times New Roman" w:cs="Times New Roman"/>
                <w:i/>
                <w:iCs/>
                <w:color w:val="000000"/>
                <w:sz w:val="20"/>
                <w:szCs w:val="20"/>
              </w:rPr>
              <w:t>Stenocorus</w:t>
            </w:r>
            <w:proofErr w:type="spellEnd"/>
            <w:r w:rsidRPr="00A07F29">
              <w:rPr>
                <w:rFonts w:ascii="Times New Roman" w:eastAsia="Calibri" w:hAnsi="Times New Roman" w:cs="Times New Roman"/>
                <w:i/>
                <w:iCs/>
                <w:color w:val="000000"/>
                <w:sz w:val="20"/>
                <w:szCs w:val="20"/>
              </w:rPr>
              <w:t xml:space="preserve"> </w:t>
            </w:r>
            <w:proofErr w:type="spellStart"/>
            <w:r w:rsidRPr="00A07F29">
              <w:rPr>
                <w:rFonts w:ascii="Times New Roman" w:eastAsia="Calibri" w:hAnsi="Times New Roman" w:cs="Times New Roman"/>
                <w:i/>
                <w:iCs/>
                <w:color w:val="000000"/>
                <w:sz w:val="20"/>
                <w:szCs w:val="20"/>
              </w:rPr>
              <w:t>meridianus</w:t>
            </w:r>
            <w:proofErr w:type="spellEnd"/>
            <w:r w:rsidRPr="00A07F29">
              <w:rPr>
                <w:rFonts w:ascii="Times New Roman" w:eastAsia="Calibri" w:hAnsi="Times New Roman" w:cs="Times New Roman"/>
                <w:i/>
                <w:iCs/>
                <w:color w:val="000000"/>
                <w:sz w:val="20"/>
                <w:szCs w:val="20"/>
              </w:rPr>
              <w:t xml:space="preserve"> </w:t>
            </w:r>
          </w:p>
        </w:tc>
        <w:tc>
          <w:tcPr>
            <w:tcW w:w="674" w:type="pct"/>
            <w:shd w:val="clear" w:color="auto" w:fill="auto"/>
            <w:noWrap/>
            <w:vAlign w:val="center"/>
          </w:tcPr>
          <w:p w14:paraId="0CF2407C" w14:textId="77777777" w:rsidR="0095136F" w:rsidRPr="00A07F29" w:rsidRDefault="0095136F" w:rsidP="004E3F0B">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w:t>
            </w:r>
          </w:p>
        </w:tc>
        <w:tc>
          <w:tcPr>
            <w:tcW w:w="595" w:type="pct"/>
            <w:shd w:val="clear" w:color="auto" w:fill="auto"/>
            <w:noWrap/>
            <w:vAlign w:val="center"/>
          </w:tcPr>
          <w:p w14:paraId="44A0841A" w14:textId="63FF0866" w:rsidR="0095136F" w:rsidRPr="00A07F29" w:rsidRDefault="00475764" w:rsidP="004E3F0B">
            <w:pPr>
              <w:suppressAutoHyphens/>
              <w:spacing w:after="0" w:line="240" w:lineRule="auto"/>
              <w:rPr>
                <w:rFonts w:ascii="Times New Roman" w:eastAsia="Calibri" w:hAnsi="Times New Roman" w:cs="Times New Roman"/>
                <w:color w:val="000000"/>
                <w:sz w:val="20"/>
                <w:szCs w:val="20"/>
                <w:lang w:eastAsia="ar-SA"/>
              </w:rPr>
            </w:pPr>
            <w:r>
              <w:rPr>
                <w:rFonts w:ascii="Times New Roman" w:eastAsia="Calibri" w:hAnsi="Times New Roman" w:cs="Times New Roman"/>
                <w:color w:val="000000"/>
                <w:sz w:val="20"/>
                <w:szCs w:val="20"/>
                <w:lang w:eastAsia="ar-SA"/>
              </w:rPr>
              <w:t>L</w:t>
            </w:r>
            <w:r w:rsidR="0095136F" w:rsidRPr="00A07F29">
              <w:rPr>
                <w:rFonts w:ascii="Times New Roman" w:eastAsia="Calibri" w:hAnsi="Times New Roman" w:cs="Times New Roman"/>
                <w:color w:val="000000"/>
                <w:sz w:val="20"/>
                <w:szCs w:val="20"/>
                <w:lang w:eastAsia="ar-SA"/>
              </w:rPr>
              <w:t>SG 4</w:t>
            </w:r>
          </w:p>
        </w:tc>
        <w:tc>
          <w:tcPr>
            <w:tcW w:w="1045" w:type="pct"/>
            <w:shd w:val="clear" w:color="auto" w:fill="auto"/>
          </w:tcPr>
          <w:p w14:paraId="5CF8B5FB" w14:textId="403A8666" w:rsidR="0095136F" w:rsidRPr="00A07F29" w:rsidRDefault="0095136F" w:rsidP="004E3F0B">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Suga izklaidus sastopama visā Latvijas teritorijā (</w:t>
            </w:r>
            <w:proofErr w:type="spellStart"/>
            <w:r w:rsidRPr="00A07F29">
              <w:rPr>
                <w:rFonts w:ascii="Times New Roman" w:eastAsia="Calibri" w:hAnsi="Times New Roman" w:cs="Times New Roman"/>
                <w:color w:val="000000"/>
                <w:sz w:val="20"/>
                <w:szCs w:val="20"/>
                <w:lang w:eastAsia="ar-SA"/>
              </w:rPr>
              <w:t>Spuris</w:t>
            </w:r>
            <w:proofErr w:type="spellEnd"/>
            <w:r w:rsidR="00475764">
              <w:rPr>
                <w:rFonts w:ascii="Times New Roman" w:eastAsia="Calibri" w:hAnsi="Times New Roman" w:cs="Times New Roman"/>
                <w:color w:val="000000"/>
                <w:sz w:val="20"/>
                <w:szCs w:val="20"/>
                <w:lang w:eastAsia="ar-SA"/>
              </w:rPr>
              <w:t xml:space="preserve"> Z.</w:t>
            </w:r>
            <w:r w:rsidRPr="00A07F29">
              <w:rPr>
                <w:rFonts w:ascii="Times New Roman" w:eastAsia="Calibri" w:hAnsi="Times New Roman" w:cs="Times New Roman"/>
                <w:color w:val="000000"/>
                <w:sz w:val="20"/>
                <w:szCs w:val="20"/>
                <w:lang w:eastAsia="ar-SA"/>
              </w:rPr>
              <w:t>, 1998).</w:t>
            </w:r>
          </w:p>
        </w:tc>
        <w:tc>
          <w:tcPr>
            <w:tcW w:w="971" w:type="pct"/>
            <w:shd w:val="clear" w:color="auto" w:fill="auto"/>
          </w:tcPr>
          <w:p w14:paraId="4C6A4489" w14:textId="77777777" w:rsidR="0095136F" w:rsidRPr="00A07F29" w:rsidRDefault="0095136F" w:rsidP="004E3F0B">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DA plāna izstrādes laikā suga netika konstatēta.</w:t>
            </w:r>
          </w:p>
        </w:tc>
      </w:tr>
      <w:tr w:rsidR="00014519" w:rsidRPr="00A07F29" w14:paraId="6DF5EBEB" w14:textId="77777777" w:rsidTr="00014519">
        <w:trPr>
          <w:cantSplit/>
          <w:trHeight w:val="284"/>
        </w:trPr>
        <w:tc>
          <w:tcPr>
            <w:tcW w:w="89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36DF374" w14:textId="77777777" w:rsidR="00014519" w:rsidRPr="00A07F29" w:rsidRDefault="00014519" w:rsidP="004E3F0B">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 xml:space="preserve">Gaišais </w:t>
            </w:r>
            <w:proofErr w:type="spellStart"/>
            <w:r w:rsidRPr="00A07F29">
              <w:rPr>
                <w:rFonts w:ascii="Times New Roman" w:eastAsia="Calibri" w:hAnsi="Times New Roman" w:cs="Times New Roman"/>
                <w:color w:val="000000"/>
                <w:sz w:val="20"/>
                <w:szCs w:val="20"/>
                <w:lang w:eastAsia="ar-SA"/>
              </w:rPr>
              <w:t>celmgrauzis</w:t>
            </w:r>
            <w:proofErr w:type="spellEnd"/>
          </w:p>
        </w:tc>
        <w:tc>
          <w:tcPr>
            <w:tcW w:w="82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C2190C5" w14:textId="77777777" w:rsidR="00014519" w:rsidRPr="00A07F29" w:rsidRDefault="00014519" w:rsidP="004E3F0B">
            <w:pPr>
              <w:autoSpaceDE w:val="0"/>
              <w:autoSpaceDN w:val="0"/>
              <w:adjustRightInd w:val="0"/>
              <w:spacing w:after="0" w:line="240" w:lineRule="auto"/>
              <w:rPr>
                <w:rFonts w:ascii="Times New Roman" w:eastAsia="Calibri" w:hAnsi="Times New Roman" w:cs="Times New Roman"/>
                <w:i/>
                <w:iCs/>
                <w:color w:val="000000"/>
                <w:sz w:val="20"/>
                <w:szCs w:val="20"/>
              </w:rPr>
            </w:pPr>
            <w:proofErr w:type="spellStart"/>
            <w:r w:rsidRPr="00A07F29">
              <w:rPr>
                <w:rFonts w:ascii="Times New Roman" w:eastAsia="Calibri" w:hAnsi="Times New Roman" w:cs="Times New Roman"/>
                <w:i/>
                <w:iCs/>
                <w:color w:val="000000"/>
                <w:sz w:val="20"/>
                <w:szCs w:val="20"/>
              </w:rPr>
              <w:t>Strangalia</w:t>
            </w:r>
            <w:proofErr w:type="spellEnd"/>
            <w:r w:rsidRPr="00A07F29">
              <w:rPr>
                <w:rFonts w:ascii="Times New Roman" w:eastAsia="Calibri" w:hAnsi="Times New Roman" w:cs="Times New Roman"/>
                <w:i/>
                <w:iCs/>
                <w:color w:val="000000"/>
                <w:sz w:val="20"/>
                <w:szCs w:val="20"/>
              </w:rPr>
              <w:t xml:space="preserve"> </w:t>
            </w:r>
            <w:proofErr w:type="spellStart"/>
            <w:r w:rsidRPr="00A07F29">
              <w:rPr>
                <w:rFonts w:ascii="Times New Roman" w:eastAsia="Calibri" w:hAnsi="Times New Roman" w:cs="Times New Roman"/>
                <w:i/>
                <w:iCs/>
                <w:color w:val="000000"/>
                <w:sz w:val="20"/>
                <w:szCs w:val="20"/>
              </w:rPr>
              <w:t>attenuata</w:t>
            </w:r>
            <w:proofErr w:type="spellEnd"/>
          </w:p>
        </w:tc>
        <w:tc>
          <w:tcPr>
            <w:tcW w:w="6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EBB910E" w14:textId="77777777" w:rsidR="00014519" w:rsidRPr="00A07F29" w:rsidRDefault="00014519" w:rsidP="004E3F0B">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w:t>
            </w:r>
          </w:p>
        </w:tc>
        <w:tc>
          <w:tcPr>
            <w:tcW w:w="5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CB8CED4" w14:textId="77777777" w:rsidR="00014519" w:rsidRPr="00A07F29" w:rsidRDefault="00014519" w:rsidP="004E3F0B">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MAB (BSS)</w:t>
            </w:r>
          </w:p>
        </w:tc>
        <w:tc>
          <w:tcPr>
            <w:tcW w:w="1045" w:type="pct"/>
            <w:tcBorders>
              <w:top w:val="single" w:sz="4" w:space="0" w:color="auto"/>
              <w:left w:val="single" w:sz="4" w:space="0" w:color="auto"/>
              <w:bottom w:val="single" w:sz="4" w:space="0" w:color="auto"/>
              <w:right w:val="single" w:sz="4" w:space="0" w:color="auto"/>
            </w:tcBorders>
            <w:shd w:val="clear" w:color="auto" w:fill="auto"/>
          </w:tcPr>
          <w:p w14:paraId="58E387E3" w14:textId="77777777" w:rsidR="00014519" w:rsidRPr="00A07F29" w:rsidRDefault="00014519" w:rsidP="004E3F0B">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Latvijā reti sastopama mežaudzes atslēgas biotopu speciālistu suga.</w:t>
            </w:r>
          </w:p>
        </w:tc>
        <w:tc>
          <w:tcPr>
            <w:tcW w:w="971" w:type="pct"/>
            <w:tcBorders>
              <w:top w:val="single" w:sz="4" w:space="0" w:color="auto"/>
              <w:left w:val="single" w:sz="4" w:space="0" w:color="auto"/>
              <w:bottom w:val="single" w:sz="4" w:space="0" w:color="auto"/>
              <w:right w:val="single" w:sz="4" w:space="0" w:color="auto"/>
            </w:tcBorders>
            <w:shd w:val="clear" w:color="auto" w:fill="auto"/>
          </w:tcPr>
          <w:p w14:paraId="2BE0E675" w14:textId="0D48B401" w:rsidR="00014519" w:rsidRPr="00A07F29" w:rsidRDefault="0095136F" w:rsidP="004E3F0B">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DA</w:t>
            </w:r>
            <w:r w:rsidR="00014519" w:rsidRPr="00A07F29">
              <w:rPr>
                <w:rFonts w:ascii="Times New Roman" w:eastAsia="Calibri" w:hAnsi="Times New Roman" w:cs="Times New Roman"/>
                <w:color w:val="000000"/>
                <w:sz w:val="20"/>
                <w:szCs w:val="20"/>
                <w:lang w:eastAsia="ar-SA"/>
              </w:rPr>
              <w:t xml:space="preserve"> plāna izstrādes laikā suga netika konstatēta.</w:t>
            </w:r>
          </w:p>
        </w:tc>
      </w:tr>
      <w:tr w:rsidR="009072CE" w:rsidRPr="00A07F29" w14:paraId="4984D675" w14:textId="77777777" w:rsidTr="009056A3">
        <w:trPr>
          <w:cantSplit/>
          <w:trHeight w:val="284"/>
        </w:trPr>
        <w:tc>
          <w:tcPr>
            <w:tcW w:w="5000" w:type="pct"/>
            <w:gridSpan w:val="6"/>
            <w:shd w:val="clear" w:color="auto" w:fill="EAF1DD"/>
            <w:noWrap/>
            <w:vAlign w:val="center"/>
          </w:tcPr>
          <w:p w14:paraId="39B756AC" w14:textId="77777777" w:rsidR="009072CE" w:rsidRPr="00A07F29" w:rsidRDefault="009072CE" w:rsidP="009072CE">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b/>
                <w:color w:val="000000"/>
                <w:sz w:val="20"/>
                <w:szCs w:val="20"/>
                <w:lang w:eastAsia="ar-SA"/>
              </w:rPr>
              <w:t xml:space="preserve">Tauriņi </w:t>
            </w:r>
            <w:proofErr w:type="spellStart"/>
            <w:r w:rsidRPr="00A07F29">
              <w:rPr>
                <w:rFonts w:ascii="Times New Roman" w:eastAsia="Calibri" w:hAnsi="Times New Roman" w:cs="Times New Roman"/>
                <w:b/>
                <w:color w:val="000000"/>
                <w:sz w:val="20"/>
                <w:szCs w:val="20"/>
                <w:lang w:eastAsia="ar-SA"/>
              </w:rPr>
              <w:t>L</w:t>
            </w:r>
            <w:r w:rsidRPr="00A07F29">
              <w:rPr>
                <w:rFonts w:ascii="Times New Roman" w:eastAsia="Calibri" w:hAnsi="Times New Roman" w:cs="Times New Roman"/>
                <w:b/>
                <w:color w:val="000000"/>
                <w:spacing w:val="2"/>
                <w:sz w:val="20"/>
                <w:szCs w:val="20"/>
                <w:lang w:eastAsia="ar-SA"/>
              </w:rPr>
              <w:t>e</w:t>
            </w:r>
            <w:r w:rsidRPr="00A07F29">
              <w:rPr>
                <w:rFonts w:ascii="Times New Roman" w:eastAsia="Calibri" w:hAnsi="Times New Roman" w:cs="Times New Roman"/>
                <w:b/>
                <w:color w:val="000000"/>
                <w:spacing w:val="-2"/>
                <w:sz w:val="20"/>
                <w:szCs w:val="20"/>
                <w:lang w:eastAsia="ar-SA"/>
              </w:rPr>
              <w:t>p</w:t>
            </w:r>
            <w:r w:rsidRPr="00A07F29">
              <w:rPr>
                <w:rFonts w:ascii="Times New Roman" w:eastAsia="Calibri" w:hAnsi="Times New Roman" w:cs="Times New Roman"/>
                <w:b/>
                <w:color w:val="000000"/>
                <w:sz w:val="20"/>
                <w:szCs w:val="20"/>
                <w:lang w:eastAsia="ar-SA"/>
              </w:rPr>
              <w:t>i</w:t>
            </w:r>
            <w:r w:rsidRPr="00A07F29">
              <w:rPr>
                <w:rFonts w:ascii="Times New Roman" w:eastAsia="Calibri" w:hAnsi="Times New Roman" w:cs="Times New Roman"/>
                <w:b/>
                <w:color w:val="000000"/>
                <w:spacing w:val="1"/>
                <w:sz w:val="20"/>
                <w:szCs w:val="20"/>
                <w:lang w:eastAsia="ar-SA"/>
              </w:rPr>
              <w:t>d</w:t>
            </w:r>
            <w:r w:rsidRPr="00A07F29">
              <w:rPr>
                <w:rFonts w:ascii="Times New Roman" w:eastAsia="Calibri" w:hAnsi="Times New Roman" w:cs="Times New Roman"/>
                <w:b/>
                <w:color w:val="000000"/>
                <w:spacing w:val="-1"/>
                <w:sz w:val="20"/>
                <w:szCs w:val="20"/>
                <w:lang w:eastAsia="ar-SA"/>
              </w:rPr>
              <w:t>o</w:t>
            </w:r>
            <w:r w:rsidRPr="00A07F29">
              <w:rPr>
                <w:rFonts w:ascii="Times New Roman" w:eastAsia="Calibri" w:hAnsi="Times New Roman" w:cs="Times New Roman"/>
                <w:b/>
                <w:color w:val="000000"/>
                <w:spacing w:val="-2"/>
                <w:sz w:val="20"/>
                <w:szCs w:val="20"/>
                <w:lang w:eastAsia="ar-SA"/>
              </w:rPr>
              <w:t>p</w:t>
            </w:r>
            <w:r w:rsidRPr="00A07F29">
              <w:rPr>
                <w:rFonts w:ascii="Times New Roman" w:eastAsia="Calibri" w:hAnsi="Times New Roman" w:cs="Times New Roman"/>
                <w:b/>
                <w:color w:val="000000"/>
                <w:spacing w:val="2"/>
                <w:sz w:val="20"/>
                <w:szCs w:val="20"/>
                <w:lang w:eastAsia="ar-SA"/>
              </w:rPr>
              <w:t>t</w:t>
            </w:r>
            <w:r w:rsidRPr="00A07F29">
              <w:rPr>
                <w:rFonts w:ascii="Times New Roman" w:eastAsia="Calibri" w:hAnsi="Times New Roman" w:cs="Times New Roman"/>
                <w:b/>
                <w:color w:val="000000"/>
                <w:spacing w:val="-1"/>
                <w:sz w:val="20"/>
                <w:szCs w:val="20"/>
                <w:lang w:eastAsia="ar-SA"/>
              </w:rPr>
              <w:t>e</w:t>
            </w:r>
            <w:r w:rsidRPr="00A07F29">
              <w:rPr>
                <w:rFonts w:ascii="Times New Roman" w:eastAsia="Calibri" w:hAnsi="Times New Roman" w:cs="Times New Roman"/>
                <w:b/>
                <w:color w:val="000000"/>
                <w:spacing w:val="2"/>
                <w:sz w:val="20"/>
                <w:szCs w:val="20"/>
                <w:lang w:eastAsia="ar-SA"/>
              </w:rPr>
              <w:t>r</w:t>
            </w:r>
            <w:r w:rsidRPr="00A07F29">
              <w:rPr>
                <w:rFonts w:ascii="Times New Roman" w:eastAsia="Calibri" w:hAnsi="Times New Roman" w:cs="Times New Roman"/>
                <w:b/>
                <w:color w:val="000000"/>
                <w:sz w:val="20"/>
                <w:szCs w:val="20"/>
                <w:lang w:eastAsia="ar-SA"/>
              </w:rPr>
              <w:t>a</w:t>
            </w:r>
            <w:proofErr w:type="spellEnd"/>
          </w:p>
        </w:tc>
      </w:tr>
      <w:tr w:rsidR="009072CE" w:rsidRPr="00A07F29" w14:paraId="10D06A92" w14:textId="77777777" w:rsidTr="0095136F">
        <w:trPr>
          <w:cantSplit/>
          <w:trHeight w:val="284"/>
        </w:trPr>
        <w:tc>
          <w:tcPr>
            <w:tcW w:w="894" w:type="pct"/>
            <w:shd w:val="clear" w:color="auto" w:fill="auto"/>
            <w:noWrap/>
            <w:vAlign w:val="center"/>
          </w:tcPr>
          <w:p w14:paraId="08241568" w14:textId="77777777" w:rsidR="009072CE" w:rsidRPr="00A07F29" w:rsidRDefault="009072CE" w:rsidP="009072CE">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Rudais pāvacis</w:t>
            </w:r>
          </w:p>
        </w:tc>
        <w:tc>
          <w:tcPr>
            <w:tcW w:w="821" w:type="pct"/>
            <w:shd w:val="clear" w:color="auto" w:fill="auto"/>
            <w:noWrap/>
            <w:vAlign w:val="center"/>
          </w:tcPr>
          <w:p w14:paraId="6B55F485" w14:textId="77777777" w:rsidR="009072CE" w:rsidRPr="00A07F29" w:rsidRDefault="009072CE" w:rsidP="009072CE">
            <w:pPr>
              <w:suppressAutoHyphens/>
              <w:spacing w:after="0" w:line="240" w:lineRule="auto"/>
              <w:rPr>
                <w:rFonts w:ascii="Times New Roman" w:eastAsia="Calibri" w:hAnsi="Times New Roman" w:cs="Times New Roman"/>
                <w:i/>
                <w:iCs/>
                <w:color w:val="000000"/>
                <w:sz w:val="20"/>
                <w:szCs w:val="20"/>
                <w:lang w:eastAsia="ar-SA"/>
              </w:rPr>
            </w:pPr>
            <w:proofErr w:type="spellStart"/>
            <w:r w:rsidRPr="00A07F29">
              <w:rPr>
                <w:rFonts w:ascii="Times New Roman" w:eastAsia="Calibri" w:hAnsi="Times New Roman" w:cs="Times New Roman"/>
                <w:i/>
                <w:iCs/>
                <w:color w:val="000000"/>
                <w:sz w:val="20"/>
                <w:szCs w:val="20"/>
                <w:lang w:eastAsia="ar-SA"/>
              </w:rPr>
              <w:t>Aglia</w:t>
            </w:r>
            <w:proofErr w:type="spellEnd"/>
            <w:r w:rsidRPr="00A07F29">
              <w:rPr>
                <w:rFonts w:ascii="Times New Roman" w:eastAsia="Calibri" w:hAnsi="Times New Roman" w:cs="Times New Roman"/>
                <w:i/>
                <w:iCs/>
                <w:color w:val="000000"/>
                <w:sz w:val="20"/>
                <w:szCs w:val="20"/>
                <w:lang w:eastAsia="ar-SA"/>
              </w:rPr>
              <w:t xml:space="preserve"> tau</w:t>
            </w:r>
          </w:p>
        </w:tc>
        <w:tc>
          <w:tcPr>
            <w:tcW w:w="674" w:type="pct"/>
            <w:shd w:val="clear" w:color="auto" w:fill="auto"/>
            <w:noWrap/>
            <w:vAlign w:val="center"/>
          </w:tcPr>
          <w:p w14:paraId="5B9285EE" w14:textId="77777777" w:rsidR="009072CE" w:rsidRPr="00A07F29" w:rsidRDefault="009072CE" w:rsidP="009072CE">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w:t>
            </w:r>
          </w:p>
        </w:tc>
        <w:tc>
          <w:tcPr>
            <w:tcW w:w="595" w:type="pct"/>
            <w:shd w:val="clear" w:color="auto" w:fill="auto"/>
            <w:noWrap/>
            <w:vAlign w:val="center"/>
          </w:tcPr>
          <w:p w14:paraId="1F28DFCB" w14:textId="2042DA1D" w:rsidR="009072CE" w:rsidRPr="00A07F29" w:rsidRDefault="00475764" w:rsidP="009072CE">
            <w:pPr>
              <w:suppressAutoHyphens/>
              <w:spacing w:after="0" w:line="240" w:lineRule="auto"/>
              <w:rPr>
                <w:rFonts w:ascii="Times New Roman" w:eastAsia="Calibri" w:hAnsi="Times New Roman" w:cs="Times New Roman"/>
                <w:color w:val="000000"/>
                <w:sz w:val="20"/>
                <w:szCs w:val="20"/>
                <w:lang w:eastAsia="ar-SA"/>
              </w:rPr>
            </w:pPr>
            <w:r>
              <w:rPr>
                <w:rFonts w:ascii="Times New Roman" w:eastAsia="Calibri" w:hAnsi="Times New Roman" w:cs="Times New Roman"/>
                <w:color w:val="000000"/>
                <w:sz w:val="20"/>
                <w:szCs w:val="20"/>
                <w:lang w:eastAsia="ar-SA"/>
              </w:rPr>
              <w:t>L</w:t>
            </w:r>
            <w:r w:rsidR="009072CE" w:rsidRPr="00A07F29">
              <w:rPr>
                <w:rFonts w:ascii="Times New Roman" w:eastAsia="Calibri" w:hAnsi="Times New Roman" w:cs="Times New Roman"/>
                <w:color w:val="000000"/>
                <w:sz w:val="20"/>
                <w:szCs w:val="20"/>
                <w:lang w:eastAsia="ar-SA"/>
              </w:rPr>
              <w:t>SG 4</w:t>
            </w:r>
          </w:p>
        </w:tc>
        <w:tc>
          <w:tcPr>
            <w:tcW w:w="1045" w:type="pct"/>
            <w:shd w:val="clear" w:color="auto" w:fill="auto"/>
          </w:tcPr>
          <w:p w14:paraId="7E1E2A89" w14:textId="4A3D5805" w:rsidR="009072CE" w:rsidRPr="00A07F29" w:rsidRDefault="009072CE"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Diezgan bieži sastopama suga, izplatīta valsts teritorijas lielākajā daļā (</w:t>
            </w:r>
            <w:proofErr w:type="spellStart"/>
            <w:r w:rsidRPr="00A07F29">
              <w:rPr>
                <w:rFonts w:ascii="Times New Roman" w:eastAsia="Calibri" w:hAnsi="Times New Roman" w:cs="Times New Roman"/>
                <w:color w:val="000000"/>
                <w:sz w:val="20"/>
                <w:szCs w:val="20"/>
                <w:lang w:eastAsia="ar-SA"/>
              </w:rPr>
              <w:t>Savenkovs</w:t>
            </w:r>
            <w:proofErr w:type="spellEnd"/>
            <w:r w:rsidR="002A3567">
              <w:rPr>
                <w:rFonts w:ascii="Times New Roman" w:eastAsia="Calibri" w:hAnsi="Times New Roman" w:cs="Times New Roman"/>
                <w:color w:val="000000"/>
                <w:sz w:val="20"/>
                <w:szCs w:val="20"/>
                <w:lang w:eastAsia="ar-SA"/>
              </w:rPr>
              <w:t xml:space="preserve"> N.</w:t>
            </w:r>
            <w:r w:rsidRPr="00A07F29">
              <w:rPr>
                <w:rFonts w:ascii="Times New Roman" w:eastAsia="Calibri" w:hAnsi="Times New Roman" w:cs="Times New Roman"/>
                <w:color w:val="000000"/>
                <w:sz w:val="20"/>
                <w:szCs w:val="20"/>
                <w:lang w:eastAsia="ar-SA"/>
              </w:rPr>
              <w:t>, Šulcs</w:t>
            </w:r>
            <w:r w:rsidR="002A3567">
              <w:rPr>
                <w:rFonts w:ascii="Times New Roman" w:eastAsia="Calibri" w:hAnsi="Times New Roman" w:cs="Times New Roman"/>
                <w:color w:val="000000"/>
                <w:sz w:val="20"/>
                <w:szCs w:val="20"/>
                <w:lang w:eastAsia="ar-SA"/>
              </w:rPr>
              <w:t xml:space="preserve"> I.</w:t>
            </w:r>
            <w:r w:rsidRPr="00A07F29">
              <w:rPr>
                <w:rFonts w:ascii="Times New Roman" w:eastAsia="Calibri" w:hAnsi="Times New Roman" w:cs="Times New Roman"/>
                <w:color w:val="000000"/>
                <w:sz w:val="20"/>
                <w:szCs w:val="20"/>
                <w:lang w:eastAsia="ar-SA"/>
              </w:rPr>
              <w:t>, 2010)</w:t>
            </w:r>
          </w:p>
        </w:tc>
        <w:tc>
          <w:tcPr>
            <w:tcW w:w="971" w:type="pct"/>
            <w:shd w:val="clear" w:color="auto" w:fill="auto"/>
          </w:tcPr>
          <w:p w14:paraId="6652C806" w14:textId="4AFD0772" w:rsidR="009072CE" w:rsidRPr="00A07F29" w:rsidRDefault="00BF0E06"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DA plāna</w:t>
            </w:r>
            <w:r w:rsidR="009072CE" w:rsidRPr="00A07F29">
              <w:rPr>
                <w:rFonts w:ascii="Times New Roman" w:eastAsia="Calibri" w:hAnsi="Times New Roman" w:cs="Times New Roman"/>
                <w:color w:val="000000"/>
                <w:sz w:val="20"/>
                <w:szCs w:val="20"/>
                <w:lang w:eastAsia="ar-SA"/>
              </w:rPr>
              <w:t xml:space="preserve"> izstrādes laikā suga netika konstatēta.</w:t>
            </w:r>
          </w:p>
        </w:tc>
      </w:tr>
      <w:tr w:rsidR="009072CE" w:rsidRPr="00A07F29" w14:paraId="52B73833" w14:textId="77777777" w:rsidTr="0095136F">
        <w:trPr>
          <w:cantSplit/>
          <w:trHeight w:val="284"/>
        </w:trPr>
        <w:tc>
          <w:tcPr>
            <w:tcW w:w="894" w:type="pct"/>
            <w:shd w:val="clear" w:color="auto" w:fill="auto"/>
            <w:noWrap/>
            <w:vAlign w:val="center"/>
          </w:tcPr>
          <w:p w14:paraId="26951518" w14:textId="77777777" w:rsidR="009072CE" w:rsidRPr="00A07F29" w:rsidRDefault="009072CE" w:rsidP="009072CE">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 xml:space="preserve">Kārklu </w:t>
            </w:r>
            <w:proofErr w:type="spellStart"/>
            <w:r w:rsidRPr="00A07F29">
              <w:rPr>
                <w:rFonts w:ascii="Times New Roman" w:eastAsia="Calibri" w:hAnsi="Times New Roman" w:cs="Times New Roman"/>
                <w:color w:val="000000"/>
                <w:sz w:val="20"/>
                <w:szCs w:val="20"/>
                <w:lang w:eastAsia="ar-SA"/>
              </w:rPr>
              <w:t>zaigraibenis</w:t>
            </w:r>
            <w:proofErr w:type="spellEnd"/>
          </w:p>
        </w:tc>
        <w:tc>
          <w:tcPr>
            <w:tcW w:w="821" w:type="pct"/>
            <w:shd w:val="clear" w:color="auto" w:fill="auto"/>
            <w:noWrap/>
            <w:vAlign w:val="center"/>
          </w:tcPr>
          <w:p w14:paraId="4056FA15" w14:textId="77777777" w:rsidR="009072CE" w:rsidRPr="00A07F29" w:rsidRDefault="009072CE" w:rsidP="009072CE">
            <w:pPr>
              <w:suppressAutoHyphens/>
              <w:spacing w:after="0" w:line="240" w:lineRule="auto"/>
              <w:rPr>
                <w:rFonts w:ascii="Times New Roman" w:eastAsia="Calibri" w:hAnsi="Times New Roman" w:cs="Times New Roman"/>
                <w:i/>
                <w:iCs/>
                <w:color w:val="000000"/>
                <w:sz w:val="20"/>
                <w:szCs w:val="20"/>
                <w:lang w:eastAsia="ar-SA"/>
              </w:rPr>
            </w:pPr>
            <w:proofErr w:type="spellStart"/>
            <w:r w:rsidRPr="00A07F29">
              <w:rPr>
                <w:rFonts w:ascii="Times New Roman" w:eastAsia="Calibri" w:hAnsi="Times New Roman" w:cs="Times New Roman"/>
                <w:i/>
                <w:iCs/>
                <w:color w:val="000000"/>
                <w:sz w:val="20"/>
                <w:szCs w:val="20"/>
                <w:lang w:eastAsia="ar-SA"/>
              </w:rPr>
              <w:t>Apatura</w:t>
            </w:r>
            <w:proofErr w:type="spellEnd"/>
            <w:r w:rsidRPr="00A07F29">
              <w:rPr>
                <w:rFonts w:ascii="Times New Roman" w:eastAsia="Calibri" w:hAnsi="Times New Roman" w:cs="Times New Roman"/>
                <w:i/>
                <w:iCs/>
                <w:color w:val="000000"/>
                <w:sz w:val="20"/>
                <w:szCs w:val="20"/>
                <w:lang w:eastAsia="ar-SA"/>
              </w:rPr>
              <w:t xml:space="preserve"> iris</w:t>
            </w:r>
          </w:p>
        </w:tc>
        <w:tc>
          <w:tcPr>
            <w:tcW w:w="674" w:type="pct"/>
            <w:shd w:val="clear" w:color="auto" w:fill="auto"/>
            <w:noWrap/>
            <w:vAlign w:val="center"/>
          </w:tcPr>
          <w:p w14:paraId="63C4D297" w14:textId="77777777" w:rsidR="009072CE" w:rsidRPr="00A07F29" w:rsidRDefault="009072CE" w:rsidP="009072CE">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w:t>
            </w:r>
          </w:p>
        </w:tc>
        <w:tc>
          <w:tcPr>
            <w:tcW w:w="595" w:type="pct"/>
            <w:shd w:val="clear" w:color="auto" w:fill="auto"/>
            <w:noWrap/>
            <w:vAlign w:val="center"/>
          </w:tcPr>
          <w:p w14:paraId="10CFD854" w14:textId="1949F62F" w:rsidR="009072CE" w:rsidRPr="00A07F29" w:rsidRDefault="00E03B9C" w:rsidP="009072CE">
            <w:pPr>
              <w:suppressAutoHyphens/>
              <w:spacing w:after="0" w:line="240" w:lineRule="auto"/>
              <w:rPr>
                <w:rFonts w:ascii="Times New Roman" w:eastAsia="Calibri" w:hAnsi="Times New Roman" w:cs="Times New Roman"/>
                <w:color w:val="000000"/>
                <w:sz w:val="20"/>
                <w:szCs w:val="20"/>
                <w:lang w:eastAsia="ar-SA"/>
              </w:rPr>
            </w:pPr>
            <w:r>
              <w:rPr>
                <w:rFonts w:ascii="Times New Roman" w:eastAsia="Calibri" w:hAnsi="Times New Roman" w:cs="Times New Roman"/>
                <w:color w:val="000000"/>
                <w:sz w:val="20"/>
                <w:szCs w:val="20"/>
                <w:lang w:eastAsia="ar-SA"/>
              </w:rPr>
              <w:t>L</w:t>
            </w:r>
            <w:r w:rsidR="009072CE" w:rsidRPr="00A07F29">
              <w:rPr>
                <w:rFonts w:ascii="Times New Roman" w:eastAsia="Calibri" w:hAnsi="Times New Roman" w:cs="Times New Roman"/>
                <w:color w:val="000000"/>
                <w:sz w:val="20"/>
                <w:szCs w:val="20"/>
                <w:lang w:eastAsia="ar-SA"/>
              </w:rPr>
              <w:t>SG 2</w:t>
            </w:r>
          </w:p>
        </w:tc>
        <w:tc>
          <w:tcPr>
            <w:tcW w:w="1045" w:type="pct"/>
          </w:tcPr>
          <w:p w14:paraId="10AAD075" w14:textId="7157FED9" w:rsidR="009072CE" w:rsidRPr="00A07F29" w:rsidRDefault="009072CE"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Suga samērā bieži sastopama visā Latvijas teritorijā</w:t>
            </w:r>
            <w:r w:rsidR="00C00699">
              <w:rPr>
                <w:rStyle w:val="FootnoteReference"/>
                <w:rFonts w:ascii="Times New Roman" w:eastAsia="Calibri" w:hAnsi="Times New Roman" w:cs="Times New Roman"/>
                <w:color w:val="000000"/>
                <w:sz w:val="20"/>
                <w:szCs w:val="20"/>
                <w:lang w:eastAsia="ar-SA"/>
              </w:rPr>
              <w:footnoteReference w:id="38"/>
            </w:r>
            <w:r w:rsidRPr="00A07F29">
              <w:rPr>
                <w:rFonts w:ascii="Times New Roman" w:eastAsia="Calibri" w:hAnsi="Times New Roman" w:cs="Times New Roman"/>
                <w:color w:val="000000"/>
                <w:sz w:val="20"/>
                <w:szCs w:val="20"/>
                <w:lang w:eastAsia="ar-SA"/>
              </w:rPr>
              <w:t xml:space="preserve"> </w:t>
            </w:r>
          </w:p>
        </w:tc>
        <w:tc>
          <w:tcPr>
            <w:tcW w:w="971" w:type="pct"/>
            <w:shd w:val="clear" w:color="auto" w:fill="auto"/>
          </w:tcPr>
          <w:p w14:paraId="040BC5FD" w14:textId="77777777" w:rsidR="009072CE" w:rsidRPr="00A07F29" w:rsidRDefault="009072CE"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 xml:space="preserve">AAA “Augšdaugava” lapkoku un jauktajos mežos samērā bieži sastopamā suga. </w:t>
            </w:r>
          </w:p>
        </w:tc>
      </w:tr>
      <w:tr w:rsidR="009072CE" w:rsidRPr="00A07F29" w14:paraId="231955A9" w14:textId="77777777" w:rsidTr="0095136F">
        <w:trPr>
          <w:cantSplit/>
          <w:trHeight w:val="284"/>
        </w:trPr>
        <w:tc>
          <w:tcPr>
            <w:tcW w:w="894" w:type="pct"/>
            <w:shd w:val="clear" w:color="auto" w:fill="auto"/>
            <w:noWrap/>
            <w:vAlign w:val="center"/>
          </w:tcPr>
          <w:p w14:paraId="59F3ECB2" w14:textId="77777777" w:rsidR="009072CE" w:rsidRPr="00A07F29" w:rsidRDefault="009072CE" w:rsidP="009072CE">
            <w:pPr>
              <w:autoSpaceDE w:val="0"/>
              <w:autoSpaceDN w:val="0"/>
              <w:adjustRightInd w:val="0"/>
              <w:spacing w:after="0" w:line="240" w:lineRule="auto"/>
              <w:rPr>
                <w:rFonts w:ascii="Times New Roman" w:eastAsia="Calibri" w:hAnsi="Times New Roman" w:cs="Times New Roman"/>
                <w:color w:val="000000"/>
                <w:sz w:val="20"/>
                <w:szCs w:val="20"/>
              </w:rPr>
            </w:pPr>
            <w:r w:rsidRPr="00A07F29">
              <w:rPr>
                <w:rFonts w:ascii="Times New Roman" w:eastAsia="Calibri" w:hAnsi="Times New Roman" w:cs="Times New Roman"/>
                <w:color w:val="000000"/>
                <w:sz w:val="20"/>
                <w:szCs w:val="20"/>
              </w:rPr>
              <w:t xml:space="preserve">Nātru lācītis </w:t>
            </w:r>
          </w:p>
        </w:tc>
        <w:tc>
          <w:tcPr>
            <w:tcW w:w="821" w:type="pct"/>
            <w:shd w:val="clear" w:color="auto" w:fill="auto"/>
            <w:noWrap/>
            <w:vAlign w:val="center"/>
          </w:tcPr>
          <w:p w14:paraId="7DCC3F47" w14:textId="77777777" w:rsidR="009072CE" w:rsidRPr="00A07F29" w:rsidRDefault="009072CE" w:rsidP="009072CE">
            <w:pPr>
              <w:autoSpaceDE w:val="0"/>
              <w:autoSpaceDN w:val="0"/>
              <w:adjustRightInd w:val="0"/>
              <w:spacing w:after="0" w:line="240" w:lineRule="auto"/>
              <w:rPr>
                <w:rFonts w:ascii="Times New Roman" w:eastAsia="Calibri" w:hAnsi="Times New Roman" w:cs="Times New Roman"/>
                <w:color w:val="000000"/>
                <w:sz w:val="20"/>
                <w:szCs w:val="20"/>
              </w:rPr>
            </w:pPr>
            <w:proofErr w:type="spellStart"/>
            <w:r w:rsidRPr="00A07F29">
              <w:rPr>
                <w:rFonts w:ascii="Times New Roman" w:eastAsia="Calibri" w:hAnsi="Times New Roman" w:cs="Times New Roman"/>
                <w:i/>
                <w:iCs/>
                <w:color w:val="000000"/>
                <w:sz w:val="20"/>
                <w:szCs w:val="20"/>
              </w:rPr>
              <w:t>Callimorpha</w:t>
            </w:r>
            <w:proofErr w:type="spellEnd"/>
            <w:r w:rsidRPr="00A07F29">
              <w:rPr>
                <w:rFonts w:ascii="Times New Roman" w:eastAsia="Calibri" w:hAnsi="Times New Roman" w:cs="Times New Roman"/>
                <w:i/>
                <w:iCs/>
                <w:color w:val="000000"/>
                <w:sz w:val="20"/>
                <w:szCs w:val="20"/>
              </w:rPr>
              <w:t xml:space="preserve"> </w:t>
            </w:r>
            <w:proofErr w:type="spellStart"/>
            <w:r w:rsidRPr="00A07F29">
              <w:rPr>
                <w:rFonts w:ascii="Times New Roman" w:eastAsia="Calibri" w:hAnsi="Times New Roman" w:cs="Times New Roman"/>
                <w:i/>
                <w:iCs/>
                <w:color w:val="000000"/>
                <w:sz w:val="20"/>
                <w:szCs w:val="20"/>
              </w:rPr>
              <w:t>dominula</w:t>
            </w:r>
            <w:proofErr w:type="spellEnd"/>
            <w:r w:rsidRPr="00A07F29">
              <w:rPr>
                <w:rFonts w:ascii="Times New Roman" w:eastAsia="Calibri" w:hAnsi="Times New Roman" w:cs="Times New Roman"/>
                <w:i/>
                <w:iCs/>
                <w:color w:val="000000"/>
                <w:sz w:val="20"/>
                <w:szCs w:val="20"/>
              </w:rPr>
              <w:t xml:space="preserve"> </w:t>
            </w:r>
          </w:p>
        </w:tc>
        <w:tc>
          <w:tcPr>
            <w:tcW w:w="674" w:type="pct"/>
            <w:shd w:val="clear" w:color="auto" w:fill="auto"/>
            <w:noWrap/>
            <w:vAlign w:val="center"/>
          </w:tcPr>
          <w:p w14:paraId="1FA48619" w14:textId="77777777" w:rsidR="009072CE" w:rsidRPr="00A07F29" w:rsidRDefault="009072CE" w:rsidP="009072CE">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w:t>
            </w:r>
          </w:p>
        </w:tc>
        <w:tc>
          <w:tcPr>
            <w:tcW w:w="595" w:type="pct"/>
            <w:shd w:val="clear" w:color="auto" w:fill="auto"/>
            <w:noWrap/>
            <w:vAlign w:val="center"/>
          </w:tcPr>
          <w:p w14:paraId="05B937F0" w14:textId="457636C6" w:rsidR="009072CE" w:rsidRPr="00A07F29" w:rsidRDefault="00E03B9C" w:rsidP="009072CE">
            <w:pPr>
              <w:suppressAutoHyphens/>
              <w:spacing w:after="0" w:line="240" w:lineRule="auto"/>
              <w:rPr>
                <w:rFonts w:ascii="Times New Roman" w:eastAsia="Calibri" w:hAnsi="Times New Roman" w:cs="Times New Roman"/>
                <w:color w:val="000000"/>
                <w:sz w:val="20"/>
                <w:szCs w:val="20"/>
                <w:lang w:eastAsia="ar-SA"/>
              </w:rPr>
            </w:pPr>
            <w:r>
              <w:rPr>
                <w:rFonts w:ascii="Times New Roman" w:eastAsia="Calibri" w:hAnsi="Times New Roman" w:cs="Times New Roman"/>
                <w:color w:val="000000"/>
                <w:sz w:val="20"/>
                <w:szCs w:val="20"/>
                <w:lang w:eastAsia="ar-SA"/>
              </w:rPr>
              <w:t>L</w:t>
            </w:r>
            <w:r w:rsidR="009072CE" w:rsidRPr="00A07F29">
              <w:rPr>
                <w:rFonts w:ascii="Times New Roman" w:eastAsia="Calibri" w:hAnsi="Times New Roman" w:cs="Times New Roman"/>
                <w:color w:val="000000"/>
                <w:sz w:val="20"/>
                <w:szCs w:val="20"/>
                <w:lang w:eastAsia="ar-SA"/>
              </w:rPr>
              <w:t>SG 4</w:t>
            </w:r>
          </w:p>
        </w:tc>
        <w:tc>
          <w:tcPr>
            <w:tcW w:w="1045" w:type="pct"/>
            <w:shd w:val="clear" w:color="auto" w:fill="auto"/>
          </w:tcPr>
          <w:p w14:paraId="2DA3B746" w14:textId="7C9B3492" w:rsidR="009072CE" w:rsidRPr="00A07F29" w:rsidRDefault="009072CE"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Diezgan bieži sastopama suga, izplatīta valsts teritorijas lielākajā daļā (</w:t>
            </w:r>
            <w:proofErr w:type="spellStart"/>
            <w:r w:rsidRPr="00A07F29">
              <w:rPr>
                <w:rFonts w:ascii="Times New Roman" w:eastAsia="Calibri" w:hAnsi="Times New Roman" w:cs="Times New Roman"/>
                <w:color w:val="000000"/>
                <w:sz w:val="20"/>
                <w:szCs w:val="20"/>
                <w:lang w:eastAsia="ar-SA"/>
              </w:rPr>
              <w:t>Savenkovs</w:t>
            </w:r>
            <w:proofErr w:type="spellEnd"/>
            <w:r w:rsidR="00060D2B">
              <w:rPr>
                <w:rFonts w:ascii="Times New Roman" w:eastAsia="Calibri" w:hAnsi="Times New Roman" w:cs="Times New Roman"/>
                <w:color w:val="000000"/>
                <w:sz w:val="20"/>
                <w:szCs w:val="20"/>
                <w:lang w:eastAsia="ar-SA"/>
              </w:rPr>
              <w:t xml:space="preserve"> N.</w:t>
            </w:r>
            <w:r w:rsidRPr="00A07F29">
              <w:rPr>
                <w:rFonts w:ascii="Times New Roman" w:eastAsia="Calibri" w:hAnsi="Times New Roman" w:cs="Times New Roman"/>
                <w:color w:val="000000"/>
                <w:sz w:val="20"/>
                <w:szCs w:val="20"/>
                <w:lang w:eastAsia="ar-SA"/>
              </w:rPr>
              <w:t>, Šulcs</w:t>
            </w:r>
            <w:r w:rsidR="00060D2B">
              <w:rPr>
                <w:rFonts w:ascii="Times New Roman" w:eastAsia="Calibri" w:hAnsi="Times New Roman" w:cs="Times New Roman"/>
                <w:color w:val="000000"/>
                <w:sz w:val="20"/>
                <w:szCs w:val="20"/>
                <w:lang w:eastAsia="ar-SA"/>
              </w:rPr>
              <w:t xml:space="preserve"> I.</w:t>
            </w:r>
            <w:r w:rsidRPr="00A07F29">
              <w:rPr>
                <w:rFonts w:ascii="Times New Roman" w:eastAsia="Calibri" w:hAnsi="Times New Roman" w:cs="Times New Roman"/>
                <w:color w:val="000000"/>
                <w:sz w:val="20"/>
                <w:szCs w:val="20"/>
                <w:lang w:eastAsia="ar-SA"/>
              </w:rPr>
              <w:t>, 2010)</w:t>
            </w:r>
          </w:p>
        </w:tc>
        <w:tc>
          <w:tcPr>
            <w:tcW w:w="971" w:type="pct"/>
            <w:shd w:val="clear" w:color="auto" w:fill="auto"/>
          </w:tcPr>
          <w:p w14:paraId="7CBABE09" w14:textId="513E8B0D" w:rsidR="009072CE" w:rsidRPr="00A07F29" w:rsidRDefault="00BF0E06"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DA plāna</w:t>
            </w:r>
            <w:r w:rsidR="009072CE" w:rsidRPr="00A07F29">
              <w:rPr>
                <w:rFonts w:ascii="Times New Roman" w:eastAsia="Calibri" w:hAnsi="Times New Roman" w:cs="Times New Roman"/>
                <w:color w:val="000000"/>
                <w:sz w:val="20"/>
                <w:szCs w:val="20"/>
                <w:lang w:eastAsia="ar-SA"/>
              </w:rPr>
              <w:t xml:space="preserve"> izstrādes laikā suga netika konstatēta.</w:t>
            </w:r>
          </w:p>
        </w:tc>
      </w:tr>
      <w:tr w:rsidR="009072CE" w:rsidRPr="00A07F29" w14:paraId="43F5DC68" w14:textId="77777777" w:rsidTr="0095136F">
        <w:trPr>
          <w:cantSplit/>
          <w:trHeight w:val="284"/>
        </w:trPr>
        <w:tc>
          <w:tcPr>
            <w:tcW w:w="894" w:type="pct"/>
            <w:shd w:val="clear" w:color="auto" w:fill="auto"/>
            <w:noWrap/>
            <w:vAlign w:val="center"/>
          </w:tcPr>
          <w:p w14:paraId="1DF7E793" w14:textId="77777777" w:rsidR="009072CE" w:rsidRPr="00A07F29" w:rsidRDefault="009072CE" w:rsidP="009072CE">
            <w:pPr>
              <w:autoSpaceDE w:val="0"/>
              <w:autoSpaceDN w:val="0"/>
              <w:adjustRightInd w:val="0"/>
              <w:spacing w:after="0" w:line="240" w:lineRule="auto"/>
              <w:rPr>
                <w:rFonts w:ascii="Times New Roman" w:eastAsia="Calibri" w:hAnsi="Times New Roman" w:cs="Times New Roman"/>
                <w:color w:val="000000"/>
                <w:sz w:val="20"/>
                <w:szCs w:val="20"/>
              </w:rPr>
            </w:pPr>
            <w:r w:rsidRPr="00A07F29">
              <w:rPr>
                <w:rFonts w:ascii="Times New Roman" w:eastAsia="Calibri" w:hAnsi="Times New Roman" w:cs="Times New Roman"/>
                <w:color w:val="000000"/>
                <w:sz w:val="20"/>
                <w:szCs w:val="20"/>
              </w:rPr>
              <w:lastRenderedPageBreak/>
              <w:t xml:space="preserve">Sārmeņu </w:t>
            </w:r>
            <w:proofErr w:type="spellStart"/>
            <w:r w:rsidRPr="00A07F29">
              <w:rPr>
                <w:rFonts w:ascii="Times New Roman" w:eastAsia="Calibri" w:hAnsi="Times New Roman" w:cs="Times New Roman"/>
                <w:color w:val="000000"/>
                <w:sz w:val="20"/>
                <w:szCs w:val="20"/>
              </w:rPr>
              <w:t>resngalvītis</w:t>
            </w:r>
            <w:proofErr w:type="spellEnd"/>
            <w:r w:rsidRPr="00A07F29">
              <w:rPr>
                <w:rFonts w:ascii="Times New Roman" w:eastAsia="Calibri" w:hAnsi="Times New Roman" w:cs="Times New Roman"/>
                <w:color w:val="000000"/>
                <w:sz w:val="20"/>
                <w:szCs w:val="20"/>
              </w:rPr>
              <w:t xml:space="preserve"> </w:t>
            </w:r>
          </w:p>
        </w:tc>
        <w:tc>
          <w:tcPr>
            <w:tcW w:w="821" w:type="pct"/>
            <w:shd w:val="clear" w:color="auto" w:fill="auto"/>
            <w:noWrap/>
            <w:vAlign w:val="center"/>
          </w:tcPr>
          <w:p w14:paraId="4A7BA833" w14:textId="77777777" w:rsidR="009072CE" w:rsidRPr="00A07F29" w:rsidRDefault="009072CE" w:rsidP="009072CE">
            <w:pPr>
              <w:autoSpaceDE w:val="0"/>
              <w:autoSpaceDN w:val="0"/>
              <w:adjustRightInd w:val="0"/>
              <w:spacing w:after="0" w:line="240" w:lineRule="auto"/>
              <w:rPr>
                <w:rFonts w:ascii="Times New Roman" w:eastAsia="Calibri" w:hAnsi="Times New Roman" w:cs="Times New Roman"/>
                <w:color w:val="000000"/>
                <w:sz w:val="20"/>
                <w:szCs w:val="20"/>
              </w:rPr>
            </w:pPr>
            <w:proofErr w:type="spellStart"/>
            <w:r w:rsidRPr="00A07F29">
              <w:rPr>
                <w:rFonts w:ascii="Times New Roman" w:eastAsia="Calibri" w:hAnsi="Times New Roman" w:cs="Times New Roman"/>
                <w:i/>
                <w:iCs/>
                <w:color w:val="000000"/>
                <w:sz w:val="20"/>
                <w:szCs w:val="20"/>
              </w:rPr>
              <w:t>Carcharodus</w:t>
            </w:r>
            <w:proofErr w:type="spellEnd"/>
            <w:r w:rsidRPr="00A07F29">
              <w:rPr>
                <w:rFonts w:ascii="Times New Roman" w:eastAsia="Calibri" w:hAnsi="Times New Roman" w:cs="Times New Roman"/>
                <w:i/>
                <w:iCs/>
                <w:color w:val="000000"/>
                <w:sz w:val="20"/>
                <w:szCs w:val="20"/>
              </w:rPr>
              <w:t xml:space="preserve"> </w:t>
            </w:r>
            <w:proofErr w:type="spellStart"/>
            <w:r w:rsidRPr="00A07F29">
              <w:rPr>
                <w:rFonts w:ascii="Times New Roman" w:eastAsia="Calibri" w:hAnsi="Times New Roman" w:cs="Times New Roman"/>
                <w:i/>
                <w:iCs/>
                <w:color w:val="000000"/>
                <w:sz w:val="20"/>
                <w:szCs w:val="20"/>
              </w:rPr>
              <w:t>flocciferus</w:t>
            </w:r>
            <w:proofErr w:type="spellEnd"/>
            <w:r w:rsidRPr="00A07F29">
              <w:rPr>
                <w:rFonts w:ascii="Times New Roman" w:eastAsia="Calibri" w:hAnsi="Times New Roman" w:cs="Times New Roman"/>
                <w:i/>
                <w:iCs/>
                <w:color w:val="000000"/>
                <w:sz w:val="20"/>
                <w:szCs w:val="20"/>
              </w:rPr>
              <w:t xml:space="preserve"> </w:t>
            </w:r>
          </w:p>
        </w:tc>
        <w:tc>
          <w:tcPr>
            <w:tcW w:w="674" w:type="pct"/>
            <w:shd w:val="clear" w:color="auto" w:fill="auto"/>
            <w:noWrap/>
            <w:vAlign w:val="center"/>
          </w:tcPr>
          <w:p w14:paraId="04F09668" w14:textId="0583862C" w:rsidR="009072CE" w:rsidRPr="00A07F29" w:rsidRDefault="009072CE" w:rsidP="009072CE">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ĪAS</w:t>
            </w:r>
          </w:p>
        </w:tc>
        <w:tc>
          <w:tcPr>
            <w:tcW w:w="595" w:type="pct"/>
            <w:shd w:val="clear" w:color="auto" w:fill="auto"/>
            <w:noWrap/>
            <w:vAlign w:val="center"/>
          </w:tcPr>
          <w:p w14:paraId="1CC6BA26" w14:textId="632031A1" w:rsidR="009072CE" w:rsidRPr="00A07F29" w:rsidRDefault="00E03B9C" w:rsidP="009072CE">
            <w:pPr>
              <w:suppressAutoHyphens/>
              <w:spacing w:after="0" w:line="240" w:lineRule="auto"/>
              <w:rPr>
                <w:rFonts w:ascii="Times New Roman" w:eastAsia="Calibri" w:hAnsi="Times New Roman" w:cs="Times New Roman"/>
                <w:color w:val="000000"/>
                <w:sz w:val="20"/>
                <w:szCs w:val="20"/>
                <w:lang w:eastAsia="ar-SA"/>
              </w:rPr>
            </w:pPr>
            <w:r>
              <w:rPr>
                <w:rFonts w:ascii="Times New Roman" w:eastAsia="Calibri" w:hAnsi="Times New Roman" w:cs="Times New Roman"/>
                <w:color w:val="000000"/>
                <w:sz w:val="20"/>
                <w:szCs w:val="20"/>
                <w:lang w:eastAsia="ar-SA"/>
              </w:rPr>
              <w:t>L</w:t>
            </w:r>
            <w:r w:rsidR="009072CE" w:rsidRPr="00A07F29">
              <w:rPr>
                <w:rFonts w:ascii="Times New Roman" w:eastAsia="Calibri" w:hAnsi="Times New Roman" w:cs="Times New Roman"/>
                <w:color w:val="000000"/>
                <w:sz w:val="20"/>
                <w:szCs w:val="20"/>
                <w:lang w:eastAsia="ar-SA"/>
              </w:rPr>
              <w:t>SG 2</w:t>
            </w:r>
          </w:p>
        </w:tc>
        <w:tc>
          <w:tcPr>
            <w:tcW w:w="1045" w:type="pct"/>
            <w:shd w:val="clear" w:color="auto" w:fill="auto"/>
          </w:tcPr>
          <w:p w14:paraId="0EDFF749" w14:textId="093C344B" w:rsidR="009072CE" w:rsidRPr="00A07F29" w:rsidRDefault="009072CE"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 xml:space="preserve">Latvijā izplatīta no valsts </w:t>
            </w:r>
            <w:r w:rsidR="00CF37E0">
              <w:rPr>
                <w:rFonts w:ascii="Times New Roman" w:eastAsia="Calibri" w:hAnsi="Times New Roman" w:cs="Times New Roman"/>
                <w:color w:val="000000"/>
                <w:sz w:val="20"/>
                <w:szCs w:val="20"/>
                <w:lang w:eastAsia="ar-SA"/>
              </w:rPr>
              <w:t>ZR</w:t>
            </w:r>
            <w:r w:rsidRPr="00A07F29">
              <w:rPr>
                <w:rFonts w:ascii="Times New Roman" w:eastAsia="Calibri" w:hAnsi="Times New Roman" w:cs="Times New Roman"/>
                <w:color w:val="000000"/>
                <w:sz w:val="20"/>
                <w:szCs w:val="20"/>
                <w:lang w:eastAsia="ar-SA"/>
              </w:rPr>
              <w:t xml:space="preserve"> (Slītere) līdz </w:t>
            </w:r>
            <w:r w:rsidR="00CF37E0">
              <w:rPr>
                <w:rFonts w:ascii="Times New Roman" w:eastAsia="Calibri" w:hAnsi="Times New Roman" w:cs="Times New Roman"/>
                <w:color w:val="000000"/>
                <w:sz w:val="20"/>
                <w:szCs w:val="20"/>
                <w:lang w:eastAsia="ar-SA"/>
              </w:rPr>
              <w:t>DA</w:t>
            </w:r>
            <w:r w:rsidRPr="00A07F29">
              <w:rPr>
                <w:rFonts w:ascii="Times New Roman" w:eastAsia="Calibri" w:hAnsi="Times New Roman" w:cs="Times New Roman"/>
                <w:color w:val="000000"/>
                <w:sz w:val="20"/>
                <w:szCs w:val="20"/>
                <w:lang w:eastAsia="ar-SA"/>
              </w:rPr>
              <w:t xml:space="preserve"> (Ilgas un Krāslava); galvenās populācijas Zemgalē un Vidzemē gar Daugavu (</w:t>
            </w:r>
            <w:proofErr w:type="spellStart"/>
            <w:r w:rsidRPr="00A07F29">
              <w:rPr>
                <w:rFonts w:ascii="Times New Roman" w:eastAsia="Calibri" w:hAnsi="Times New Roman" w:cs="Times New Roman"/>
                <w:color w:val="000000"/>
                <w:sz w:val="20"/>
                <w:szCs w:val="20"/>
                <w:lang w:eastAsia="ar-SA"/>
              </w:rPr>
              <w:t>Savenkovs</w:t>
            </w:r>
            <w:proofErr w:type="spellEnd"/>
            <w:r w:rsidR="00882141">
              <w:rPr>
                <w:rFonts w:ascii="Times New Roman" w:eastAsia="Calibri" w:hAnsi="Times New Roman" w:cs="Times New Roman"/>
                <w:color w:val="000000"/>
                <w:sz w:val="20"/>
                <w:szCs w:val="20"/>
                <w:lang w:eastAsia="ar-SA"/>
              </w:rPr>
              <w:t xml:space="preserve"> N.</w:t>
            </w:r>
            <w:r w:rsidRPr="00A07F29">
              <w:rPr>
                <w:rFonts w:ascii="Times New Roman" w:eastAsia="Calibri" w:hAnsi="Times New Roman" w:cs="Times New Roman"/>
                <w:color w:val="000000"/>
                <w:sz w:val="20"/>
                <w:szCs w:val="20"/>
                <w:lang w:eastAsia="ar-SA"/>
              </w:rPr>
              <w:t>, 2018).</w:t>
            </w:r>
          </w:p>
        </w:tc>
        <w:tc>
          <w:tcPr>
            <w:tcW w:w="971" w:type="pct"/>
            <w:shd w:val="clear" w:color="auto" w:fill="auto"/>
          </w:tcPr>
          <w:p w14:paraId="411E56D4" w14:textId="509E014A" w:rsidR="009072CE" w:rsidRPr="00A07F29" w:rsidRDefault="00BF0E06"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DA plāna</w:t>
            </w:r>
            <w:r w:rsidR="009072CE" w:rsidRPr="00A07F29">
              <w:rPr>
                <w:rFonts w:ascii="Times New Roman" w:eastAsia="Calibri" w:hAnsi="Times New Roman" w:cs="Times New Roman"/>
                <w:color w:val="000000"/>
                <w:sz w:val="20"/>
                <w:szCs w:val="20"/>
                <w:lang w:eastAsia="ar-SA"/>
              </w:rPr>
              <w:t xml:space="preserve"> izstrādes laikā suga netika konstatēta.</w:t>
            </w:r>
          </w:p>
        </w:tc>
      </w:tr>
      <w:tr w:rsidR="009072CE" w:rsidRPr="00A07F29" w14:paraId="78AE1C97" w14:textId="77777777" w:rsidTr="0095136F">
        <w:trPr>
          <w:cantSplit/>
          <w:trHeight w:val="284"/>
        </w:trPr>
        <w:tc>
          <w:tcPr>
            <w:tcW w:w="894" w:type="pct"/>
            <w:shd w:val="clear" w:color="auto" w:fill="auto"/>
            <w:noWrap/>
            <w:vAlign w:val="center"/>
          </w:tcPr>
          <w:p w14:paraId="4A155002" w14:textId="77777777" w:rsidR="009072CE" w:rsidRPr="00A07F29" w:rsidRDefault="009072CE" w:rsidP="009072CE">
            <w:pPr>
              <w:autoSpaceDE w:val="0"/>
              <w:autoSpaceDN w:val="0"/>
              <w:adjustRightInd w:val="0"/>
              <w:spacing w:after="0" w:line="240" w:lineRule="auto"/>
              <w:rPr>
                <w:rFonts w:ascii="Times New Roman" w:eastAsia="Calibri" w:hAnsi="Times New Roman" w:cs="Times New Roman"/>
                <w:color w:val="000000"/>
                <w:sz w:val="20"/>
                <w:szCs w:val="20"/>
              </w:rPr>
            </w:pPr>
            <w:r w:rsidRPr="00A07F29">
              <w:rPr>
                <w:rFonts w:ascii="Times New Roman" w:eastAsia="Calibri" w:hAnsi="Times New Roman" w:cs="Times New Roman"/>
                <w:color w:val="000000"/>
                <w:sz w:val="20"/>
                <w:szCs w:val="20"/>
              </w:rPr>
              <w:t xml:space="preserve">Ošu </w:t>
            </w:r>
            <w:proofErr w:type="spellStart"/>
            <w:r w:rsidRPr="00A07F29">
              <w:rPr>
                <w:rFonts w:ascii="Times New Roman" w:eastAsia="Calibri" w:hAnsi="Times New Roman" w:cs="Times New Roman"/>
                <w:color w:val="000000"/>
                <w:sz w:val="20"/>
                <w:szCs w:val="20"/>
              </w:rPr>
              <w:t>ordeņpūcīte</w:t>
            </w:r>
            <w:proofErr w:type="spellEnd"/>
          </w:p>
        </w:tc>
        <w:tc>
          <w:tcPr>
            <w:tcW w:w="821" w:type="pct"/>
            <w:shd w:val="clear" w:color="auto" w:fill="auto"/>
            <w:noWrap/>
            <w:vAlign w:val="center"/>
          </w:tcPr>
          <w:p w14:paraId="2EAB287B" w14:textId="77777777" w:rsidR="009072CE" w:rsidRPr="00A07F29" w:rsidRDefault="009072CE" w:rsidP="009072CE">
            <w:pPr>
              <w:autoSpaceDE w:val="0"/>
              <w:autoSpaceDN w:val="0"/>
              <w:adjustRightInd w:val="0"/>
              <w:spacing w:after="0" w:line="240" w:lineRule="auto"/>
              <w:rPr>
                <w:rFonts w:ascii="Times New Roman" w:eastAsia="Calibri" w:hAnsi="Times New Roman" w:cs="Times New Roman"/>
                <w:color w:val="000000"/>
                <w:sz w:val="20"/>
                <w:szCs w:val="20"/>
              </w:rPr>
            </w:pPr>
            <w:proofErr w:type="spellStart"/>
            <w:r w:rsidRPr="00A07F29">
              <w:rPr>
                <w:rFonts w:ascii="Times New Roman" w:eastAsia="Calibri" w:hAnsi="Times New Roman" w:cs="Times New Roman"/>
                <w:i/>
                <w:iCs/>
                <w:color w:val="000000"/>
                <w:sz w:val="20"/>
                <w:szCs w:val="20"/>
              </w:rPr>
              <w:t>Catocala</w:t>
            </w:r>
            <w:proofErr w:type="spellEnd"/>
            <w:r w:rsidRPr="00A07F29">
              <w:rPr>
                <w:rFonts w:ascii="Times New Roman" w:eastAsia="Calibri" w:hAnsi="Times New Roman" w:cs="Times New Roman"/>
                <w:i/>
                <w:iCs/>
                <w:color w:val="000000"/>
                <w:sz w:val="20"/>
                <w:szCs w:val="20"/>
              </w:rPr>
              <w:t xml:space="preserve"> </w:t>
            </w:r>
            <w:proofErr w:type="spellStart"/>
            <w:r w:rsidRPr="00A07F29">
              <w:rPr>
                <w:rFonts w:ascii="Times New Roman" w:eastAsia="Calibri" w:hAnsi="Times New Roman" w:cs="Times New Roman"/>
                <w:i/>
                <w:iCs/>
                <w:color w:val="000000"/>
                <w:sz w:val="20"/>
                <w:szCs w:val="20"/>
              </w:rPr>
              <w:t>fraxini</w:t>
            </w:r>
            <w:proofErr w:type="spellEnd"/>
            <w:r w:rsidRPr="00A07F29">
              <w:rPr>
                <w:rFonts w:ascii="Times New Roman" w:eastAsia="Calibri" w:hAnsi="Times New Roman" w:cs="Times New Roman"/>
                <w:i/>
                <w:iCs/>
                <w:color w:val="000000"/>
                <w:sz w:val="20"/>
                <w:szCs w:val="20"/>
              </w:rPr>
              <w:t xml:space="preserve"> </w:t>
            </w:r>
          </w:p>
        </w:tc>
        <w:tc>
          <w:tcPr>
            <w:tcW w:w="674" w:type="pct"/>
            <w:shd w:val="clear" w:color="auto" w:fill="auto"/>
            <w:noWrap/>
            <w:vAlign w:val="center"/>
          </w:tcPr>
          <w:p w14:paraId="773CC2A8" w14:textId="77777777" w:rsidR="009072CE" w:rsidRPr="00A07F29" w:rsidRDefault="009072CE" w:rsidP="009072CE">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w:t>
            </w:r>
          </w:p>
        </w:tc>
        <w:tc>
          <w:tcPr>
            <w:tcW w:w="595" w:type="pct"/>
            <w:shd w:val="clear" w:color="auto" w:fill="auto"/>
            <w:noWrap/>
            <w:vAlign w:val="center"/>
          </w:tcPr>
          <w:p w14:paraId="7104AE46" w14:textId="182D64E5" w:rsidR="009072CE" w:rsidRPr="00A07F29" w:rsidRDefault="007A794F" w:rsidP="009072CE">
            <w:pPr>
              <w:suppressAutoHyphens/>
              <w:spacing w:after="0" w:line="240" w:lineRule="auto"/>
              <w:rPr>
                <w:rFonts w:ascii="Times New Roman" w:eastAsia="Calibri" w:hAnsi="Times New Roman" w:cs="Times New Roman"/>
                <w:color w:val="000000"/>
                <w:sz w:val="20"/>
                <w:szCs w:val="20"/>
                <w:lang w:eastAsia="ar-SA"/>
              </w:rPr>
            </w:pPr>
            <w:r>
              <w:rPr>
                <w:rFonts w:ascii="Times New Roman" w:eastAsia="Calibri" w:hAnsi="Times New Roman" w:cs="Times New Roman"/>
                <w:color w:val="000000"/>
                <w:sz w:val="20"/>
                <w:szCs w:val="20"/>
                <w:lang w:eastAsia="ar-SA"/>
              </w:rPr>
              <w:t>L</w:t>
            </w:r>
            <w:r w:rsidR="009072CE" w:rsidRPr="00A07F29">
              <w:rPr>
                <w:rFonts w:ascii="Times New Roman" w:eastAsia="Calibri" w:hAnsi="Times New Roman" w:cs="Times New Roman"/>
                <w:color w:val="000000"/>
                <w:sz w:val="20"/>
                <w:szCs w:val="20"/>
                <w:lang w:eastAsia="ar-SA"/>
              </w:rPr>
              <w:t>SG 4</w:t>
            </w:r>
          </w:p>
        </w:tc>
        <w:tc>
          <w:tcPr>
            <w:tcW w:w="1045" w:type="pct"/>
            <w:shd w:val="clear" w:color="auto" w:fill="auto"/>
          </w:tcPr>
          <w:p w14:paraId="5B9EAE63" w14:textId="74E64D38" w:rsidR="009072CE" w:rsidRPr="00A07F29" w:rsidRDefault="009072CE"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Diezgan bieži sastopama suga, izplatīta valsts teritorijas lielākajā daļā (</w:t>
            </w:r>
            <w:proofErr w:type="spellStart"/>
            <w:r w:rsidRPr="00A07F29">
              <w:rPr>
                <w:rFonts w:ascii="Times New Roman" w:eastAsia="Calibri" w:hAnsi="Times New Roman" w:cs="Times New Roman"/>
                <w:color w:val="000000"/>
                <w:sz w:val="20"/>
                <w:szCs w:val="20"/>
                <w:lang w:eastAsia="ar-SA"/>
              </w:rPr>
              <w:t>Savenkovs</w:t>
            </w:r>
            <w:proofErr w:type="spellEnd"/>
            <w:r w:rsidR="007A794F">
              <w:rPr>
                <w:rFonts w:ascii="Times New Roman" w:eastAsia="Calibri" w:hAnsi="Times New Roman" w:cs="Times New Roman"/>
                <w:color w:val="000000"/>
                <w:sz w:val="20"/>
                <w:szCs w:val="20"/>
                <w:lang w:eastAsia="ar-SA"/>
              </w:rPr>
              <w:t xml:space="preserve"> N.</w:t>
            </w:r>
            <w:r w:rsidRPr="00A07F29">
              <w:rPr>
                <w:rFonts w:ascii="Times New Roman" w:eastAsia="Calibri" w:hAnsi="Times New Roman" w:cs="Times New Roman"/>
                <w:color w:val="000000"/>
                <w:sz w:val="20"/>
                <w:szCs w:val="20"/>
                <w:lang w:eastAsia="ar-SA"/>
              </w:rPr>
              <w:t>, Šulcs</w:t>
            </w:r>
            <w:r w:rsidR="007A794F">
              <w:rPr>
                <w:rFonts w:ascii="Times New Roman" w:eastAsia="Calibri" w:hAnsi="Times New Roman" w:cs="Times New Roman"/>
                <w:color w:val="000000"/>
                <w:sz w:val="20"/>
                <w:szCs w:val="20"/>
                <w:lang w:eastAsia="ar-SA"/>
              </w:rPr>
              <w:t xml:space="preserve"> I.</w:t>
            </w:r>
            <w:r w:rsidRPr="00A07F29">
              <w:rPr>
                <w:rFonts w:ascii="Times New Roman" w:eastAsia="Calibri" w:hAnsi="Times New Roman" w:cs="Times New Roman"/>
                <w:color w:val="000000"/>
                <w:sz w:val="20"/>
                <w:szCs w:val="20"/>
                <w:lang w:eastAsia="ar-SA"/>
              </w:rPr>
              <w:t>, 2010).</w:t>
            </w:r>
          </w:p>
        </w:tc>
        <w:tc>
          <w:tcPr>
            <w:tcW w:w="971" w:type="pct"/>
            <w:shd w:val="clear" w:color="auto" w:fill="auto"/>
          </w:tcPr>
          <w:p w14:paraId="7194E8A6" w14:textId="343AAD61" w:rsidR="009072CE" w:rsidRPr="00A07F29" w:rsidRDefault="00BF0E06"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DA plāna</w:t>
            </w:r>
            <w:r w:rsidR="009072CE" w:rsidRPr="00A07F29">
              <w:rPr>
                <w:rFonts w:ascii="Times New Roman" w:eastAsia="Calibri" w:hAnsi="Times New Roman" w:cs="Times New Roman"/>
                <w:color w:val="000000"/>
                <w:sz w:val="20"/>
                <w:szCs w:val="20"/>
                <w:lang w:eastAsia="ar-SA"/>
              </w:rPr>
              <w:t xml:space="preserve"> izstrādes laikā suga netika konstatēta.</w:t>
            </w:r>
          </w:p>
        </w:tc>
      </w:tr>
      <w:tr w:rsidR="009072CE" w:rsidRPr="00A07F29" w14:paraId="41FC1A9C" w14:textId="77777777" w:rsidTr="0095136F">
        <w:trPr>
          <w:cantSplit/>
          <w:trHeight w:val="284"/>
        </w:trPr>
        <w:tc>
          <w:tcPr>
            <w:tcW w:w="894" w:type="pct"/>
            <w:shd w:val="clear" w:color="auto" w:fill="auto"/>
            <w:noWrap/>
            <w:vAlign w:val="center"/>
          </w:tcPr>
          <w:p w14:paraId="4A8BC976" w14:textId="77777777" w:rsidR="009072CE" w:rsidRPr="00A07F29" w:rsidRDefault="009072CE" w:rsidP="009072CE">
            <w:pPr>
              <w:autoSpaceDE w:val="0"/>
              <w:autoSpaceDN w:val="0"/>
              <w:adjustRightInd w:val="0"/>
              <w:spacing w:after="0" w:line="240" w:lineRule="auto"/>
              <w:rPr>
                <w:rFonts w:ascii="Times New Roman" w:eastAsia="Calibri" w:hAnsi="Times New Roman" w:cs="Times New Roman"/>
                <w:color w:val="000000"/>
                <w:sz w:val="20"/>
                <w:szCs w:val="20"/>
              </w:rPr>
            </w:pPr>
            <w:r w:rsidRPr="00A07F29">
              <w:rPr>
                <w:rFonts w:ascii="Times New Roman" w:eastAsia="Calibri" w:hAnsi="Times New Roman" w:cs="Times New Roman"/>
                <w:color w:val="000000"/>
                <w:sz w:val="20"/>
                <w:szCs w:val="20"/>
              </w:rPr>
              <w:t xml:space="preserve">Pelēkais pāvacis </w:t>
            </w:r>
          </w:p>
        </w:tc>
        <w:tc>
          <w:tcPr>
            <w:tcW w:w="821" w:type="pct"/>
            <w:shd w:val="clear" w:color="auto" w:fill="auto"/>
            <w:noWrap/>
            <w:vAlign w:val="center"/>
          </w:tcPr>
          <w:p w14:paraId="6FBC9067" w14:textId="77777777" w:rsidR="009072CE" w:rsidRPr="00A07F29" w:rsidRDefault="009072CE" w:rsidP="009072CE">
            <w:pPr>
              <w:autoSpaceDE w:val="0"/>
              <w:autoSpaceDN w:val="0"/>
              <w:adjustRightInd w:val="0"/>
              <w:spacing w:after="0" w:line="240" w:lineRule="auto"/>
              <w:rPr>
                <w:rFonts w:ascii="Times New Roman" w:eastAsia="Calibri" w:hAnsi="Times New Roman" w:cs="Times New Roman"/>
                <w:color w:val="000000"/>
                <w:sz w:val="20"/>
                <w:szCs w:val="20"/>
              </w:rPr>
            </w:pPr>
            <w:proofErr w:type="spellStart"/>
            <w:r w:rsidRPr="00A07F29">
              <w:rPr>
                <w:rFonts w:ascii="Times New Roman" w:eastAsia="Calibri" w:hAnsi="Times New Roman" w:cs="Times New Roman"/>
                <w:i/>
                <w:iCs/>
                <w:color w:val="000000"/>
                <w:sz w:val="20"/>
                <w:szCs w:val="20"/>
              </w:rPr>
              <w:t>Saturnia</w:t>
            </w:r>
            <w:proofErr w:type="spellEnd"/>
            <w:r w:rsidRPr="00A07F29">
              <w:rPr>
                <w:rFonts w:ascii="Times New Roman" w:eastAsia="Calibri" w:hAnsi="Times New Roman" w:cs="Times New Roman"/>
                <w:i/>
                <w:iCs/>
                <w:color w:val="000000"/>
                <w:sz w:val="20"/>
                <w:szCs w:val="20"/>
              </w:rPr>
              <w:t xml:space="preserve"> </w:t>
            </w:r>
            <w:proofErr w:type="spellStart"/>
            <w:r w:rsidRPr="00A07F29">
              <w:rPr>
                <w:rFonts w:ascii="Times New Roman" w:eastAsia="Calibri" w:hAnsi="Times New Roman" w:cs="Times New Roman"/>
                <w:i/>
                <w:iCs/>
                <w:color w:val="000000"/>
                <w:sz w:val="20"/>
                <w:szCs w:val="20"/>
              </w:rPr>
              <w:t>pavonia</w:t>
            </w:r>
            <w:proofErr w:type="spellEnd"/>
            <w:r w:rsidRPr="00A07F29">
              <w:rPr>
                <w:rFonts w:ascii="Times New Roman" w:eastAsia="Calibri" w:hAnsi="Times New Roman" w:cs="Times New Roman"/>
                <w:i/>
                <w:iCs/>
                <w:color w:val="000000"/>
                <w:sz w:val="20"/>
                <w:szCs w:val="20"/>
              </w:rPr>
              <w:t xml:space="preserve"> </w:t>
            </w:r>
          </w:p>
        </w:tc>
        <w:tc>
          <w:tcPr>
            <w:tcW w:w="674" w:type="pct"/>
            <w:shd w:val="clear" w:color="auto" w:fill="auto"/>
            <w:noWrap/>
            <w:vAlign w:val="center"/>
          </w:tcPr>
          <w:p w14:paraId="2FFCA5C5" w14:textId="77777777" w:rsidR="009072CE" w:rsidRPr="00A07F29" w:rsidRDefault="009072CE" w:rsidP="009072CE">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w:t>
            </w:r>
          </w:p>
        </w:tc>
        <w:tc>
          <w:tcPr>
            <w:tcW w:w="595" w:type="pct"/>
            <w:shd w:val="clear" w:color="auto" w:fill="auto"/>
            <w:noWrap/>
            <w:vAlign w:val="center"/>
          </w:tcPr>
          <w:p w14:paraId="0A705534" w14:textId="422D50BC" w:rsidR="009072CE" w:rsidRPr="00A07F29" w:rsidRDefault="007A794F" w:rsidP="009072CE">
            <w:pPr>
              <w:suppressAutoHyphens/>
              <w:spacing w:after="0" w:line="240" w:lineRule="auto"/>
              <w:rPr>
                <w:rFonts w:ascii="Times New Roman" w:eastAsia="Calibri" w:hAnsi="Times New Roman" w:cs="Times New Roman"/>
                <w:color w:val="000000"/>
                <w:sz w:val="20"/>
                <w:szCs w:val="20"/>
                <w:lang w:eastAsia="ar-SA"/>
              </w:rPr>
            </w:pPr>
            <w:r>
              <w:rPr>
                <w:rFonts w:ascii="Times New Roman" w:eastAsia="Calibri" w:hAnsi="Times New Roman" w:cs="Times New Roman"/>
                <w:color w:val="000000"/>
                <w:sz w:val="20"/>
                <w:szCs w:val="20"/>
                <w:lang w:eastAsia="ar-SA"/>
              </w:rPr>
              <w:t>L</w:t>
            </w:r>
            <w:r w:rsidR="009072CE" w:rsidRPr="00A07F29">
              <w:rPr>
                <w:rFonts w:ascii="Times New Roman" w:eastAsia="Calibri" w:hAnsi="Times New Roman" w:cs="Times New Roman"/>
                <w:color w:val="000000"/>
                <w:sz w:val="20"/>
                <w:szCs w:val="20"/>
                <w:lang w:eastAsia="ar-SA"/>
              </w:rPr>
              <w:t>SG 4</w:t>
            </w:r>
          </w:p>
        </w:tc>
        <w:tc>
          <w:tcPr>
            <w:tcW w:w="1045" w:type="pct"/>
            <w:shd w:val="clear" w:color="auto" w:fill="auto"/>
          </w:tcPr>
          <w:p w14:paraId="12816F2E" w14:textId="71229081" w:rsidR="009072CE" w:rsidRPr="00A07F29" w:rsidRDefault="009072CE"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Diezgan bieži sastopama suga, izplatīta valsts teritorijas lielākajā daļā (</w:t>
            </w:r>
            <w:proofErr w:type="spellStart"/>
            <w:r w:rsidRPr="00A07F29">
              <w:rPr>
                <w:rFonts w:ascii="Times New Roman" w:eastAsia="Calibri" w:hAnsi="Times New Roman" w:cs="Times New Roman"/>
                <w:color w:val="000000"/>
                <w:sz w:val="20"/>
                <w:szCs w:val="20"/>
                <w:lang w:eastAsia="ar-SA"/>
              </w:rPr>
              <w:t>Savenkovs</w:t>
            </w:r>
            <w:proofErr w:type="spellEnd"/>
            <w:r w:rsidR="007A794F">
              <w:rPr>
                <w:rFonts w:ascii="Times New Roman" w:eastAsia="Calibri" w:hAnsi="Times New Roman" w:cs="Times New Roman"/>
                <w:color w:val="000000"/>
                <w:sz w:val="20"/>
                <w:szCs w:val="20"/>
                <w:lang w:eastAsia="ar-SA"/>
              </w:rPr>
              <w:t xml:space="preserve"> N.</w:t>
            </w:r>
            <w:r w:rsidRPr="00A07F29">
              <w:rPr>
                <w:rFonts w:ascii="Times New Roman" w:eastAsia="Calibri" w:hAnsi="Times New Roman" w:cs="Times New Roman"/>
                <w:color w:val="000000"/>
                <w:sz w:val="20"/>
                <w:szCs w:val="20"/>
                <w:lang w:eastAsia="ar-SA"/>
              </w:rPr>
              <w:t>, Šulcs</w:t>
            </w:r>
            <w:r w:rsidR="007A794F">
              <w:rPr>
                <w:rFonts w:ascii="Times New Roman" w:eastAsia="Calibri" w:hAnsi="Times New Roman" w:cs="Times New Roman"/>
                <w:color w:val="000000"/>
                <w:sz w:val="20"/>
                <w:szCs w:val="20"/>
                <w:lang w:eastAsia="ar-SA"/>
              </w:rPr>
              <w:t xml:space="preserve"> I.</w:t>
            </w:r>
            <w:r w:rsidRPr="00A07F29">
              <w:rPr>
                <w:rFonts w:ascii="Times New Roman" w:eastAsia="Calibri" w:hAnsi="Times New Roman" w:cs="Times New Roman"/>
                <w:color w:val="000000"/>
                <w:sz w:val="20"/>
                <w:szCs w:val="20"/>
                <w:lang w:eastAsia="ar-SA"/>
              </w:rPr>
              <w:t>, 2010).</w:t>
            </w:r>
          </w:p>
        </w:tc>
        <w:tc>
          <w:tcPr>
            <w:tcW w:w="971" w:type="pct"/>
            <w:shd w:val="clear" w:color="auto" w:fill="auto"/>
          </w:tcPr>
          <w:p w14:paraId="0A92EF89" w14:textId="4A1A211A" w:rsidR="009072CE" w:rsidRPr="00A07F29" w:rsidRDefault="00BF0E06"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DA plāna</w:t>
            </w:r>
            <w:r w:rsidR="009072CE" w:rsidRPr="00A07F29">
              <w:rPr>
                <w:rFonts w:ascii="Times New Roman" w:eastAsia="Calibri" w:hAnsi="Times New Roman" w:cs="Times New Roman"/>
                <w:color w:val="000000"/>
                <w:sz w:val="20"/>
                <w:szCs w:val="20"/>
                <w:lang w:eastAsia="ar-SA"/>
              </w:rPr>
              <w:t xml:space="preserve"> izstrādes laikā suga netika konstatēta.</w:t>
            </w:r>
          </w:p>
        </w:tc>
      </w:tr>
      <w:tr w:rsidR="009072CE" w:rsidRPr="00A07F29" w14:paraId="30E1CC7F" w14:textId="77777777" w:rsidTr="0095136F">
        <w:trPr>
          <w:cantSplit/>
          <w:trHeight w:val="284"/>
        </w:trPr>
        <w:tc>
          <w:tcPr>
            <w:tcW w:w="894" w:type="pct"/>
            <w:shd w:val="clear" w:color="auto" w:fill="auto"/>
            <w:noWrap/>
            <w:vAlign w:val="center"/>
          </w:tcPr>
          <w:p w14:paraId="7F95A337" w14:textId="77777777" w:rsidR="009072CE" w:rsidRPr="00A07F29" w:rsidRDefault="009072CE" w:rsidP="009072CE">
            <w:pPr>
              <w:autoSpaceDE w:val="0"/>
              <w:autoSpaceDN w:val="0"/>
              <w:adjustRightInd w:val="0"/>
              <w:spacing w:after="0" w:line="240" w:lineRule="auto"/>
              <w:rPr>
                <w:rFonts w:ascii="Times New Roman" w:eastAsia="Calibri" w:hAnsi="Times New Roman" w:cs="Times New Roman"/>
                <w:color w:val="000000"/>
                <w:sz w:val="20"/>
                <w:szCs w:val="20"/>
              </w:rPr>
            </w:pPr>
            <w:proofErr w:type="spellStart"/>
            <w:r w:rsidRPr="00A07F29">
              <w:rPr>
                <w:rFonts w:ascii="Times New Roman" w:eastAsia="Calibri" w:hAnsi="Times New Roman" w:cs="Times New Roman"/>
                <w:color w:val="000000"/>
                <w:sz w:val="20"/>
                <w:szCs w:val="20"/>
              </w:rPr>
              <w:t>Skabiosu</w:t>
            </w:r>
            <w:proofErr w:type="spellEnd"/>
            <w:r w:rsidRPr="00A07F29">
              <w:rPr>
                <w:rFonts w:ascii="Times New Roman" w:eastAsia="Calibri" w:hAnsi="Times New Roman" w:cs="Times New Roman"/>
                <w:color w:val="000000"/>
                <w:sz w:val="20"/>
                <w:szCs w:val="20"/>
              </w:rPr>
              <w:t xml:space="preserve"> </w:t>
            </w:r>
            <w:proofErr w:type="spellStart"/>
            <w:r w:rsidRPr="00A07F29">
              <w:rPr>
                <w:rFonts w:ascii="Times New Roman" w:eastAsia="Calibri" w:hAnsi="Times New Roman" w:cs="Times New Roman"/>
                <w:color w:val="000000"/>
                <w:sz w:val="20"/>
                <w:szCs w:val="20"/>
              </w:rPr>
              <w:t>pļavraibenis</w:t>
            </w:r>
            <w:proofErr w:type="spellEnd"/>
            <w:r w:rsidRPr="00A07F29">
              <w:rPr>
                <w:rFonts w:ascii="Times New Roman" w:eastAsia="Calibri" w:hAnsi="Times New Roman" w:cs="Times New Roman"/>
                <w:color w:val="000000"/>
                <w:sz w:val="20"/>
                <w:szCs w:val="20"/>
              </w:rPr>
              <w:t xml:space="preserve"> </w:t>
            </w:r>
          </w:p>
        </w:tc>
        <w:tc>
          <w:tcPr>
            <w:tcW w:w="821" w:type="pct"/>
            <w:shd w:val="clear" w:color="auto" w:fill="auto"/>
            <w:noWrap/>
            <w:vAlign w:val="center"/>
          </w:tcPr>
          <w:p w14:paraId="2AA37F4D" w14:textId="77777777" w:rsidR="009072CE" w:rsidRPr="00A07F29" w:rsidRDefault="009072CE" w:rsidP="009072CE">
            <w:pPr>
              <w:autoSpaceDE w:val="0"/>
              <w:autoSpaceDN w:val="0"/>
              <w:adjustRightInd w:val="0"/>
              <w:spacing w:after="0" w:line="240" w:lineRule="auto"/>
              <w:rPr>
                <w:rFonts w:ascii="Times New Roman" w:eastAsia="Calibri" w:hAnsi="Times New Roman" w:cs="Times New Roman"/>
                <w:color w:val="000000"/>
                <w:sz w:val="20"/>
                <w:szCs w:val="20"/>
              </w:rPr>
            </w:pPr>
            <w:proofErr w:type="spellStart"/>
            <w:r w:rsidRPr="00A07F29">
              <w:rPr>
                <w:rFonts w:ascii="Times New Roman" w:eastAsia="Calibri" w:hAnsi="Times New Roman" w:cs="Times New Roman"/>
                <w:i/>
                <w:iCs/>
                <w:color w:val="000000"/>
                <w:sz w:val="20"/>
                <w:szCs w:val="20"/>
              </w:rPr>
              <w:t>Euphydryas</w:t>
            </w:r>
            <w:proofErr w:type="spellEnd"/>
            <w:r w:rsidRPr="00A07F29">
              <w:rPr>
                <w:rFonts w:ascii="Times New Roman" w:eastAsia="Calibri" w:hAnsi="Times New Roman" w:cs="Times New Roman"/>
                <w:i/>
                <w:iCs/>
                <w:color w:val="000000"/>
                <w:sz w:val="20"/>
                <w:szCs w:val="20"/>
              </w:rPr>
              <w:t xml:space="preserve"> </w:t>
            </w:r>
            <w:proofErr w:type="spellStart"/>
            <w:r w:rsidRPr="00A07F29">
              <w:rPr>
                <w:rFonts w:ascii="Times New Roman" w:eastAsia="Calibri" w:hAnsi="Times New Roman" w:cs="Times New Roman"/>
                <w:i/>
                <w:iCs/>
                <w:color w:val="000000"/>
                <w:sz w:val="20"/>
                <w:szCs w:val="20"/>
              </w:rPr>
              <w:t>aurinia</w:t>
            </w:r>
            <w:proofErr w:type="spellEnd"/>
            <w:r w:rsidRPr="00A07F29">
              <w:rPr>
                <w:rFonts w:ascii="Times New Roman" w:eastAsia="Calibri" w:hAnsi="Times New Roman" w:cs="Times New Roman"/>
                <w:i/>
                <w:iCs/>
                <w:color w:val="000000"/>
                <w:sz w:val="20"/>
                <w:szCs w:val="20"/>
              </w:rPr>
              <w:t xml:space="preserve"> </w:t>
            </w:r>
          </w:p>
        </w:tc>
        <w:tc>
          <w:tcPr>
            <w:tcW w:w="674" w:type="pct"/>
            <w:shd w:val="clear" w:color="auto" w:fill="auto"/>
            <w:noWrap/>
            <w:vAlign w:val="center"/>
          </w:tcPr>
          <w:p w14:paraId="5D576C6F" w14:textId="3591DFC2" w:rsidR="009072CE" w:rsidRPr="00A07F29" w:rsidRDefault="00844547" w:rsidP="009072CE">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 xml:space="preserve">BD </w:t>
            </w:r>
            <w:r w:rsidR="009072CE" w:rsidRPr="00A07F29">
              <w:rPr>
                <w:rFonts w:ascii="Times New Roman" w:eastAsia="Calibri" w:hAnsi="Times New Roman" w:cs="Times New Roman"/>
                <w:color w:val="000000"/>
                <w:sz w:val="20"/>
                <w:szCs w:val="20"/>
                <w:lang w:eastAsia="ar-SA"/>
              </w:rPr>
              <w:t>II; ĪAS, MIK</w:t>
            </w:r>
          </w:p>
        </w:tc>
        <w:tc>
          <w:tcPr>
            <w:tcW w:w="595" w:type="pct"/>
            <w:shd w:val="clear" w:color="auto" w:fill="auto"/>
            <w:noWrap/>
            <w:vAlign w:val="center"/>
          </w:tcPr>
          <w:p w14:paraId="7DE7D8C1" w14:textId="77777777" w:rsidR="009072CE" w:rsidRPr="00A07F29" w:rsidRDefault="009072CE" w:rsidP="009072CE">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Berne II*</w:t>
            </w:r>
          </w:p>
        </w:tc>
        <w:tc>
          <w:tcPr>
            <w:tcW w:w="1045" w:type="pct"/>
            <w:shd w:val="clear" w:color="auto" w:fill="auto"/>
          </w:tcPr>
          <w:p w14:paraId="42735CAC" w14:textId="7C846BDF" w:rsidR="009072CE" w:rsidRPr="00A07F29" w:rsidRDefault="009072CE"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Latvijā suga sastopama pārsvarā mitrās pļavās visā teritorijā, bet ļoti lokāli. Daudzi vecie atradumi vairs neeksistē. Tomēr pagaidām nav reta suga (</w:t>
            </w:r>
            <w:proofErr w:type="spellStart"/>
            <w:r w:rsidRPr="00A07F29">
              <w:rPr>
                <w:rFonts w:ascii="Times New Roman" w:eastAsia="Calibri" w:hAnsi="Times New Roman" w:cs="Times New Roman"/>
                <w:color w:val="000000"/>
                <w:sz w:val="20"/>
                <w:szCs w:val="20"/>
                <w:lang w:eastAsia="ar-SA"/>
              </w:rPr>
              <w:t>Savenkovs</w:t>
            </w:r>
            <w:proofErr w:type="spellEnd"/>
            <w:r w:rsidR="00CA2ACC">
              <w:rPr>
                <w:rFonts w:ascii="Times New Roman" w:eastAsia="Calibri" w:hAnsi="Times New Roman" w:cs="Times New Roman"/>
                <w:color w:val="000000"/>
                <w:sz w:val="20"/>
                <w:szCs w:val="20"/>
                <w:lang w:eastAsia="ar-SA"/>
              </w:rPr>
              <w:t xml:space="preserve"> N.</w:t>
            </w:r>
            <w:r w:rsidRPr="00A07F29">
              <w:rPr>
                <w:rFonts w:ascii="Times New Roman" w:eastAsia="Calibri" w:hAnsi="Times New Roman" w:cs="Times New Roman"/>
                <w:color w:val="000000"/>
                <w:sz w:val="20"/>
                <w:szCs w:val="20"/>
                <w:lang w:eastAsia="ar-SA"/>
              </w:rPr>
              <w:t>, 2018).</w:t>
            </w:r>
          </w:p>
        </w:tc>
        <w:tc>
          <w:tcPr>
            <w:tcW w:w="971" w:type="pct"/>
            <w:shd w:val="clear" w:color="auto" w:fill="auto"/>
          </w:tcPr>
          <w:p w14:paraId="5EB7165D" w14:textId="77777777" w:rsidR="009072CE" w:rsidRPr="00A07F29" w:rsidRDefault="009072CE"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Teritorijā ir viena zināma atradne, kur atkārtotās uzskaites suga netika konstatēta. Piemērotie biotopi ir nelielā platībā.</w:t>
            </w:r>
          </w:p>
        </w:tc>
      </w:tr>
      <w:tr w:rsidR="009072CE" w:rsidRPr="00A07F29" w14:paraId="0B5725BD" w14:textId="77777777" w:rsidTr="0095136F">
        <w:trPr>
          <w:cantSplit/>
          <w:trHeight w:val="284"/>
        </w:trPr>
        <w:tc>
          <w:tcPr>
            <w:tcW w:w="894" w:type="pct"/>
            <w:shd w:val="clear" w:color="auto" w:fill="auto"/>
            <w:noWrap/>
            <w:vAlign w:val="center"/>
          </w:tcPr>
          <w:p w14:paraId="616EEE64" w14:textId="77777777" w:rsidR="009072CE" w:rsidRPr="00A07F29" w:rsidRDefault="009072CE" w:rsidP="009072CE">
            <w:pPr>
              <w:autoSpaceDE w:val="0"/>
              <w:autoSpaceDN w:val="0"/>
              <w:adjustRightInd w:val="0"/>
              <w:spacing w:after="0" w:line="240" w:lineRule="auto"/>
              <w:rPr>
                <w:rFonts w:ascii="Times New Roman" w:eastAsia="Calibri" w:hAnsi="Times New Roman" w:cs="Times New Roman"/>
                <w:color w:val="000000"/>
                <w:sz w:val="20"/>
                <w:szCs w:val="20"/>
              </w:rPr>
            </w:pPr>
            <w:r w:rsidRPr="00A07F29">
              <w:rPr>
                <w:rFonts w:ascii="Times New Roman" w:eastAsia="Calibri" w:hAnsi="Times New Roman" w:cs="Times New Roman"/>
                <w:color w:val="000000"/>
                <w:sz w:val="20"/>
                <w:szCs w:val="20"/>
              </w:rPr>
              <w:t xml:space="preserve">Lielais </w:t>
            </w:r>
            <w:proofErr w:type="spellStart"/>
            <w:r w:rsidRPr="00A07F29">
              <w:rPr>
                <w:rFonts w:ascii="Times New Roman" w:eastAsia="Calibri" w:hAnsi="Times New Roman" w:cs="Times New Roman"/>
                <w:color w:val="000000"/>
                <w:sz w:val="20"/>
                <w:szCs w:val="20"/>
              </w:rPr>
              <w:t>silsamtenis</w:t>
            </w:r>
            <w:proofErr w:type="spellEnd"/>
            <w:r w:rsidRPr="00A07F29">
              <w:rPr>
                <w:rFonts w:ascii="Times New Roman" w:eastAsia="Calibri" w:hAnsi="Times New Roman" w:cs="Times New Roman"/>
                <w:color w:val="000000"/>
                <w:sz w:val="20"/>
                <w:szCs w:val="20"/>
              </w:rPr>
              <w:t xml:space="preserve"> </w:t>
            </w:r>
          </w:p>
        </w:tc>
        <w:tc>
          <w:tcPr>
            <w:tcW w:w="821" w:type="pct"/>
            <w:shd w:val="clear" w:color="auto" w:fill="auto"/>
            <w:noWrap/>
            <w:vAlign w:val="center"/>
          </w:tcPr>
          <w:p w14:paraId="77BC4C64" w14:textId="77777777" w:rsidR="009072CE" w:rsidRPr="00A07F29" w:rsidRDefault="009072CE" w:rsidP="009072CE">
            <w:pPr>
              <w:autoSpaceDE w:val="0"/>
              <w:autoSpaceDN w:val="0"/>
              <w:adjustRightInd w:val="0"/>
              <w:spacing w:after="0" w:line="240" w:lineRule="auto"/>
              <w:rPr>
                <w:rFonts w:ascii="Times New Roman" w:eastAsia="Calibri" w:hAnsi="Times New Roman" w:cs="Times New Roman"/>
                <w:color w:val="000000"/>
                <w:sz w:val="20"/>
                <w:szCs w:val="20"/>
              </w:rPr>
            </w:pPr>
            <w:proofErr w:type="spellStart"/>
            <w:r w:rsidRPr="00A07F29">
              <w:rPr>
                <w:rFonts w:ascii="Times New Roman" w:eastAsia="Calibri" w:hAnsi="Times New Roman" w:cs="Times New Roman"/>
                <w:i/>
                <w:iCs/>
                <w:color w:val="000000"/>
                <w:sz w:val="20"/>
                <w:szCs w:val="20"/>
              </w:rPr>
              <w:t>Hipparchia</w:t>
            </w:r>
            <w:proofErr w:type="spellEnd"/>
            <w:r w:rsidRPr="00A07F29">
              <w:rPr>
                <w:rFonts w:ascii="Times New Roman" w:eastAsia="Calibri" w:hAnsi="Times New Roman" w:cs="Times New Roman"/>
                <w:i/>
                <w:iCs/>
                <w:color w:val="000000"/>
                <w:sz w:val="20"/>
                <w:szCs w:val="20"/>
              </w:rPr>
              <w:t xml:space="preserve"> </w:t>
            </w:r>
            <w:proofErr w:type="spellStart"/>
            <w:r w:rsidRPr="00A07F29">
              <w:rPr>
                <w:rFonts w:ascii="Times New Roman" w:eastAsia="Calibri" w:hAnsi="Times New Roman" w:cs="Times New Roman"/>
                <w:i/>
                <w:iCs/>
                <w:color w:val="000000"/>
                <w:sz w:val="20"/>
                <w:szCs w:val="20"/>
              </w:rPr>
              <w:t>alcyone</w:t>
            </w:r>
            <w:proofErr w:type="spellEnd"/>
            <w:r w:rsidRPr="00A07F29">
              <w:rPr>
                <w:rFonts w:ascii="Times New Roman" w:eastAsia="Calibri" w:hAnsi="Times New Roman" w:cs="Times New Roman"/>
                <w:i/>
                <w:iCs/>
                <w:color w:val="000000"/>
                <w:sz w:val="20"/>
                <w:szCs w:val="20"/>
              </w:rPr>
              <w:t xml:space="preserve"> </w:t>
            </w:r>
          </w:p>
        </w:tc>
        <w:tc>
          <w:tcPr>
            <w:tcW w:w="674" w:type="pct"/>
            <w:shd w:val="clear" w:color="auto" w:fill="auto"/>
            <w:noWrap/>
            <w:vAlign w:val="center"/>
          </w:tcPr>
          <w:p w14:paraId="0DCB7EE9" w14:textId="3841DB29" w:rsidR="009072CE" w:rsidRPr="00A07F29" w:rsidRDefault="009072CE" w:rsidP="009072CE">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ĪAS</w:t>
            </w:r>
          </w:p>
        </w:tc>
        <w:tc>
          <w:tcPr>
            <w:tcW w:w="595" w:type="pct"/>
            <w:shd w:val="clear" w:color="auto" w:fill="auto"/>
            <w:noWrap/>
            <w:vAlign w:val="center"/>
          </w:tcPr>
          <w:p w14:paraId="52D05762" w14:textId="51029257" w:rsidR="009072CE" w:rsidRPr="00A07F29" w:rsidRDefault="007C2951" w:rsidP="009072CE">
            <w:pPr>
              <w:suppressAutoHyphens/>
              <w:spacing w:after="0" w:line="240" w:lineRule="auto"/>
              <w:rPr>
                <w:rFonts w:ascii="Times New Roman" w:eastAsia="Calibri" w:hAnsi="Times New Roman" w:cs="Times New Roman"/>
                <w:color w:val="000000"/>
                <w:sz w:val="20"/>
                <w:szCs w:val="20"/>
                <w:lang w:eastAsia="ar-SA"/>
              </w:rPr>
            </w:pPr>
            <w:r>
              <w:rPr>
                <w:rFonts w:ascii="Times New Roman" w:eastAsia="Calibri" w:hAnsi="Times New Roman" w:cs="Times New Roman"/>
                <w:color w:val="000000"/>
                <w:sz w:val="20"/>
                <w:szCs w:val="20"/>
                <w:lang w:eastAsia="ar-SA"/>
              </w:rPr>
              <w:t>L</w:t>
            </w:r>
            <w:r w:rsidR="009072CE" w:rsidRPr="00A07F29">
              <w:rPr>
                <w:rFonts w:ascii="Times New Roman" w:eastAsia="Calibri" w:hAnsi="Times New Roman" w:cs="Times New Roman"/>
                <w:color w:val="000000"/>
                <w:sz w:val="20"/>
                <w:szCs w:val="20"/>
                <w:lang w:eastAsia="ar-SA"/>
              </w:rPr>
              <w:t>SG 3</w:t>
            </w:r>
          </w:p>
        </w:tc>
        <w:tc>
          <w:tcPr>
            <w:tcW w:w="1045" w:type="pct"/>
            <w:shd w:val="clear" w:color="auto" w:fill="auto"/>
          </w:tcPr>
          <w:p w14:paraId="1DB520EC" w14:textId="5CC99A38" w:rsidR="009072CE" w:rsidRPr="00A07F29" w:rsidRDefault="009072CE"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 xml:space="preserve">Atsevišķi atradumi tikai Latvijas </w:t>
            </w:r>
            <w:r w:rsidR="00CF37E0">
              <w:rPr>
                <w:rFonts w:ascii="Times New Roman" w:eastAsia="Calibri" w:hAnsi="Times New Roman" w:cs="Times New Roman"/>
                <w:color w:val="000000"/>
                <w:sz w:val="20"/>
                <w:szCs w:val="20"/>
                <w:lang w:eastAsia="ar-SA"/>
              </w:rPr>
              <w:t>DA</w:t>
            </w:r>
            <w:r w:rsidRPr="00A07F29">
              <w:rPr>
                <w:rFonts w:ascii="Times New Roman" w:eastAsia="Calibri" w:hAnsi="Times New Roman" w:cs="Times New Roman"/>
                <w:color w:val="000000"/>
                <w:sz w:val="20"/>
                <w:szCs w:val="20"/>
                <w:lang w:eastAsia="ar-SA"/>
              </w:rPr>
              <w:t xml:space="preserve"> daļā Daugavpils apkārtnē. Reta suga (</w:t>
            </w:r>
            <w:proofErr w:type="spellStart"/>
            <w:r w:rsidRPr="00A07F29">
              <w:rPr>
                <w:rFonts w:ascii="Times New Roman" w:eastAsia="Calibri" w:hAnsi="Times New Roman" w:cs="Times New Roman"/>
                <w:color w:val="000000"/>
                <w:sz w:val="20"/>
                <w:szCs w:val="20"/>
                <w:lang w:eastAsia="ar-SA"/>
              </w:rPr>
              <w:t>Savenkovs</w:t>
            </w:r>
            <w:proofErr w:type="spellEnd"/>
            <w:r w:rsidR="007C2951">
              <w:rPr>
                <w:rFonts w:ascii="Times New Roman" w:eastAsia="Calibri" w:hAnsi="Times New Roman" w:cs="Times New Roman"/>
                <w:color w:val="000000"/>
                <w:sz w:val="20"/>
                <w:szCs w:val="20"/>
                <w:lang w:eastAsia="ar-SA"/>
              </w:rPr>
              <w:t xml:space="preserve"> N.</w:t>
            </w:r>
            <w:r w:rsidRPr="00A07F29">
              <w:rPr>
                <w:rFonts w:ascii="Times New Roman" w:eastAsia="Calibri" w:hAnsi="Times New Roman" w:cs="Times New Roman"/>
                <w:color w:val="000000"/>
                <w:sz w:val="20"/>
                <w:szCs w:val="20"/>
                <w:lang w:eastAsia="ar-SA"/>
              </w:rPr>
              <w:t>, 2018).</w:t>
            </w:r>
          </w:p>
        </w:tc>
        <w:tc>
          <w:tcPr>
            <w:tcW w:w="971" w:type="pct"/>
            <w:shd w:val="clear" w:color="auto" w:fill="auto"/>
          </w:tcPr>
          <w:p w14:paraId="48BCBACD" w14:textId="06AF93F1" w:rsidR="009072CE" w:rsidRPr="00A07F29" w:rsidRDefault="00BF0E06"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DA plāna</w:t>
            </w:r>
            <w:r w:rsidR="009072CE" w:rsidRPr="00A07F29">
              <w:rPr>
                <w:rFonts w:ascii="Times New Roman" w:eastAsia="Calibri" w:hAnsi="Times New Roman" w:cs="Times New Roman"/>
                <w:color w:val="000000"/>
                <w:sz w:val="20"/>
                <w:szCs w:val="20"/>
                <w:lang w:eastAsia="ar-SA"/>
              </w:rPr>
              <w:t xml:space="preserve"> izstrādes laikā suga netika konstatēta.</w:t>
            </w:r>
          </w:p>
        </w:tc>
      </w:tr>
      <w:tr w:rsidR="009072CE" w:rsidRPr="00A07F29" w14:paraId="3674AD82" w14:textId="77777777" w:rsidTr="0095136F">
        <w:trPr>
          <w:cantSplit/>
          <w:trHeight w:val="284"/>
        </w:trPr>
        <w:tc>
          <w:tcPr>
            <w:tcW w:w="894" w:type="pct"/>
            <w:shd w:val="clear" w:color="auto" w:fill="auto"/>
            <w:noWrap/>
          </w:tcPr>
          <w:p w14:paraId="294F8047" w14:textId="77777777" w:rsidR="009072CE" w:rsidRPr="00A07F29" w:rsidRDefault="009072CE" w:rsidP="009072CE">
            <w:pPr>
              <w:autoSpaceDE w:val="0"/>
              <w:autoSpaceDN w:val="0"/>
              <w:adjustRightInd w:val="0"/>
              <w:spacing w:after="0" w:line="240" w:lineRule="auto"/>
              <w:rPr>
                <w:rFonts w:ascii="Times New Roman" w:eastAsia="Calibri" w:hAnsi="Times New Roman" w:cs="Times New Roman"/>
                <w:color w:val="000000"/>
                <w:sz w:val="20"/>
                <w:szCs w:val="20"/>
              </w:rPr>
            </w:pPr>
            <w:r w:rsidRPr="00A07F29">
              <w:rPr>
                <w:rFonts w:ascii="Times New Roman" w:eastAsia="Calibri" w:hAnsi="Times New Roman" w:cs="Times New Roman"/>
                <w:color w:val="000000"/>
                <w:sz w:val="20"/>
                <w:szCs w:val="20"/>
              </w:rPr>
              <w:t>S</w:t>
            </w:r>
            <w:r w:rsidRPr="00A07F29">
              <w:rPr>
                <w:rFonts w:ascii="Times New Roman" w:eastAsia="Calibri" w:hAnsi="Times New Roman" w:cs="Times New Roman"/>
                <w:color w:val="000000"/>
                <w:spacing w:val="-1"/>
                <w:sz w:val="20"/>
                <w:szCs w:val="20"/>
              </w:rPr>
              <w:t>a</w:t>
            </w:r>
            <w:r w:rsidRPr="00A07F29">
              <w:rPr>
                <w:rFonts w:ascii="Times New Roman" w:eastAsia="Calibri" w:hAnsi="Times New Roman" w:cs="Times New Roman"/>
                <w:color w:val="000000"/>
                <w:spacing w:val="1"/>
                <w:sz w:val="20"/>
                <w:szCs w:val="20"/>
              </w:rPr>
              <w:t>u</w:t>
            </w:r>
            <w:r w:rsidRPr="00A07F29">
              <w:rPr>
                <w:rFonts w:ascii="Times New Roman" w:eastAsia="Calibri" w:hAnsi="Times New Roman" w:cs="Times New Roman"/>
                <w:color w:val="000000"/>
                <w:sz w:val="20"/>
                <w:szCs w:val="20"/>
              </w:rPr>
              <w:t>ss</w:t>
            </w:r>
            <w:r w:rsidRPr="00A07F29">
              <w:rPr>
                <w:rFonts w:ascii="Times New Roman" w:eastAsia="Calibri" w:hAnsi="Times New Roman" w:cs="Times New Roman"/>
                <w:color w:val="000000"/>
                <w:spacing w:val="-1"/>
                <w:sz w:val="20"/>
                <w:szCs w:val="20"/>
              </w:rPr>
              <w:t>e</w:t>
            </w:r>
            <w:r w:rsidRPr="00A07F29">
              <w:rPr>
                <w:rFonts w:ascii="Times New Roman" w:eastAsia="Calibri" w:hAnsi="Times New Roman" w:cs="Times New Roman"/>
                <w:color w:val="000000"/>
                <w:sz w:val="20"/>
                <w:szCs w:val="20"/>
              </w:rPr>
              <w:t>r</w:t>
            </w:r>
            <w:r w:rsidRPr="00A07F29">
              <w:rPr>
                <w:rFonts w:ascii="Times New Roman" w:eastAsia="Calibri" w:hAnsi="Times New Roman" w:cs="Times New Roman"/>
                <w:color w:val="000000"/>
                <w:spacing w:val="-1"/>
                <w:sz w:val="20"/>
                <w:szCs w:val="20"/>
              </w:rPr>
              <w:t>ž</w:t>
            </w:r>
            <w:r w:rsidRPr="00A07F29">
              <w:rPr>
                <w:rFonts w:ascii="Times New Roman" w:eastAsia="Calibri" w:hAnsi="Times New Roman" w:cs="Times New Roman"/>
                <w:color w:val="000000"/>
                <w:sz w:val="20"/>
                <w:szCs w:val="20"/>
              </w:rPr>
              <w:t>u</w:t>
            </w:r>
            <w:r w:rsidRPr="00A07F29">
              <w:rPr>
                <w:rFonts w:ascii="Times New Roman" w:eastAsia="Calibri" w:hAnsi="Times New Roman" w:cs="Times New Roman"/>
                <w:color w:val="000000"/>
                <w:spacing w:val="-3"/>
                <w:sz w:val="20"/>
                <w:szCs w:val="20"/>
              </w:rPr>
              <w:t xml:space="preserve"> </w:t>
            </w:r>
            <w:proofErr w:type="spellStart"/>
            <w:r w:rsidRPr="00A07F29">
              <w:rPr>
                <w:rFonts w:ascii="Times New Roman" w:eastAsia="Calibri" w:hAnsi="Times New Roman" w:cs="Times New Roman"/>
                <w:color w:val="000000"/>
                <w:sz w:val="20"/>
                <w:szCs w:val="20"/>
              </w:rPr>
              <w:t>r</w:t>
            </w:r>
            <w:r w:rsidRPr="00A07F29">
              <w:rPr>
                <w:rFonts w:ascii="Times New Roman" w:eastAsia="Calibri" w:hAnsi="Times New Roman" w:cs="Times New Roman"/>
                <w:color w:val="000000"/>
                <w:spacing w:val="-1"/>
                <w:sz w:val="20"/>
                <w:szCs w:val="20"/>
              </w:rPr>
              <w:t>a</w:t>
            </w:r>
            <w:r w:rsidRPr="00A07F29">
              <w:rPr>
                <w:rFonts w:ascii="Times New Roman" w:eastAsia="Calibri" w:hAnsi="Times New Roman" w:cs="Times New Roman"/>
                <w:color w:val="000000"/>
                <w:sz w:val="20"/>
                <w:szCs w:val="20"/>
              </w:rPr>
              <w:t>i</w:t>
            </w:r>
            <w:r w:rsidRPr="00A07F29">
              <w:rPr>
                <w:rFonts w:ascii="Times New Roman" w:eastAsia="Calibri" w:hAnsi="Times New Roman" w:cs="Times New Roman"/>
                <w:color w:val="000000"/>
                <w:spacing w:val="1"/>
                <w:sz w:val="20"/>
                <w:szCs w:val="20"/>
              </w:rPr>
              <w:t>b</w:t>
            </w:r>
            <w:r w:rsidRPr="00A07F29">
              <w:rPr>
                <w:rFonts w:ascii="Times New Roman" w:eastAsia="Calibri" w:hAnsi="Times New Roman" w:cs="Times New Roman"/>
                <w:color w:val="000000"/>
                <w:spacing w:val="-1"/>
                <w:sz w:val="20"/>
                <w:szCs w:val="20"/>
              </w:rPr>
              <w:t>e</w:t>
            </w:r>
            <w:r w:rsidRPr="00A07F29">
              <w:rPr>
                <w:rFonts w:ascii="Times New Roman" w:eastAsia="Calibri" w:hAnsi="Times New Roman" w:cs="Times New Roman"/>
                <w:color w:val="000000"/>
                <w:spacing w:val="1"/>
                <w:sz w:val="20"/>
                <w:szCs w:val="20"/>
              </w:rPr>
              <w:t>n</w:t>
            </w:r>
            <w:r w:rsidRPr="00A07F29">
              <w:rPr>
                <w:rFonts w:ascii="Times New Roman" w:eastAsia="Calibri" w:hAnsi="Times New Roman" w:cs="Times New Roman"/>
                <w:color w:val="000000"/>
                <w:sz w:val="20"/>
                <w:szCs w:val="20"/>
              </w:rPr>
              <w:t>is</w:t>
            </w:r>
            <w:proofErr w:type="spellEnd"/>
          </w:p>
        </w:tc>
        <w:tc>
          <w:tcPr>
            <w:tcW w:w="821" w:type="pct"/>
            <w:shd w:val="clear" w:color="auto" w:fill="auto"/>
            <w:noWrap/>
          </w:tcPr>
          <w:p w14:paraId="69F8FB9B" w14:textId="77777777" w:rsidR="009072CE" w:rsidRPr="00A07F29" w:rsidRDefault="009072CE" w:rsidP="009072CE">
            <w:pPr>
              <w:autoSpaceDE w:val="0"/>
              <w:autoSpaceDN w:val="0"/>
              <w:adjustRightInd w:val="0"/>
              <w:spacing w:after="0" w:line="240" w:lineRule="auto"/>
              <w:rPr>
                <w:rFonts w:ascii="Times New Roman" w:eastAsia="Calibri" w:hAnsi="Times New Roman" w:cs="Times New Roman"/>
                <w:i/>
                <w:iCs/>
                <w:color w:val="000000"/>
                <w:sz w:val="20"/>
                <w:szCs w:val="20"/>
              </w:rPr>
            </w:pPr>
            <w:proofErr w:type="spellStart"/>
            <w:r w:rsidRPr="00A07F29">
              <w:rPr>
                <w:rFonts w:ascii="Times New Roman" w:eastAsia="Calibri" w:hAnsi="Times New Roman" w:cs="Times New Roman"/>
                <w:i/>
                <w:color w:val="000000"/>
                <w:spacing w:val="1"/>
                <w:sz w:val="20"/>
                <w:szCs w:val="20"/>
              </w:rPr>
              <w:t>L</w:t>
            </w:r>
            <w:r w:rsidRPr="00A07F29">
              <w:rPr>
                <w:rFonts w:ascii="Times New Roman" w:eastAsia="Calibri" w:hAnsi="Times New Roman" w:cs="Times New Roman"/>
                <w:i/>
                <w:color w:val="000000"/>
                <w:sz w:val="20"/>
                <w:szCs w:val="20"/>
              </w:rPr>
              <w:t>im</w:t>
            </w:r>
            <w:r w:rsidRPr="00A07F29">
              <w:rPr>
                <w:rFonts w:ascii="Times New Roman" w:eastAsia="Calibri" w:hAnsi="Times New Roman" w:cs="Times New Roman"/>
                <w:i/>
                <w:color w:val="000000"/>
                <w:spacing w:val="-1"/>
                <w:sz w:val="20"/>
                <w:szCs w:val="20"/>
              </w:rPr>
              <w:t>e</w:t>
            </w:r>
            <w:r w:rsidRPr="00A07F29">
              <w:rPr>
                <w:rFonts w:ascii="Times New Roman" w:eastAsia="Calibri" w:hAnsi="Times New Roman" w:cs="Times New Roman"/>
                <w:i/>
                <w:color w:val="000000"/>
                <w:spacing w:val="1"/>
                <w:sz w:val="20"/>
                <w:szCs w:val="20"/>
              </w:rPr>
              <w:t>n</w:t>
            </w:r>
            <w:r w:rsidRPr="00A07F29">
              <w:rPr>
                <w:rFonts w:ascii="Times New Roman" w:eastAsia="Calibri" w:hAnsi="Times New Roman" w:cs="Times New Roman"/>
                <w:i/>
                <w:color w:val="000000"/>
                <w:sz w:val="20"/>
                <w:szCs w:val="20"/>
              </w:rPr>
              <w:t>itis</w:t>
            </w:r>
            <w:proofErr w:type="spellEnd"/>
            <w:r w:rsidRPr="00A07F29">
              <w:rPr>
                <w:rFonts w:ascii="Times New Roman" w:eastAsia="Calibri" w:hAnsi="Times New Roman" w:cs="Times New Roman"/>
                <w:i/>
                <w:color w:val="000000"/>
                <w:spacing w:val="-4"/>
                <w:sz w:val="20"/>
                <w:szCs w:val="20"/>
              </w:rPr>
              <w:t xml:space="preserve"> </w:t>
            </w:r>
            <w:proofErr w:type="spellStart"/>
            <w:r w:rsidRPr="00A07F29">
              <w:rPr>
                <w:rFonts w:ascii="Times New Roman" w:eastAsia="Calibri" w:hAnsi="Times New Roman" w:cs="Times New Roman"/>
                <w:i/>
                <w:color w:val="000000"/>
                <w:spacing w:val="-1"/>
                <w:sz w:val="20"/>
                <w:szCs w:val="20"/>
              </w:rPr>
              <w:t>c</w:t>
            </w:r>
            <w:r w:rsidRPr="00A07F29">
              <w:rPr>
                <w:rFonts w:ascii="Times New Roman" w:eastAsia="Calibri" w:hAnsi="Times New Roman" w:cs="Times New Roman"/>
                <w:i/>
                <w:color w:val="000000"/>
                <w:spacing w:val="1"/>
                <w:sz w:val="20"/>
                <w:szCs w:val="20"/>
              </w:rPr>
              <w:t>a</w:t>
            </w:r>
            <w:r w:rsidRPr="00A07F29">
              <w:rPr>
                <w:rFonts w:ascii="Times New Roman" w:eastAsia="Calibri" w:hAnsi="Times New Roman" w:cs="Times New Roman"/>
                <w:i/>
                <w:color w:val="000000"/>
                <w:sz w:val="20"/>
                <w:szCs w:val="20"/>
              </w:rPr>
              <w:t>mi</w:t>
            </w:r>
            <w:r w:rsidRPr="00A07F29">
              <w:rPr>
                <w:rFonts w:ascii="Times New Roman" w:eastAsia="Calibri" w:hAnsi="Times New Roman" w:cs="Times New Roman"/>
                <w:i/>
                <w:color w:val="000000"/>
                <w:spacing w:val="-2"/>
                <w:sz w:val="20"/>
                <w:szCs w:val="20"/>
              </w:rPr>
              <w:t>l</w:t>
            </w:r>
            <w:r w:rsidRPr="00A07F29">
              <w:rPr>
                <w:rFonts w:ascii="Times New Roman" w:eastAsia="Calibri" w:hAnsi="Times New Roman" w:cs="Times New Roman"/>
                <w:i/>
                <w:color w:val="000000"/>
                <w:sz w:val="20"/>
                <w:szCs w:val="20"/>
              </w:rPr>
              <w:t>la</w:t>
            </w:r>
            <w:proofErr w:type="spellEnd"/>
          </w:p>
        </w:tc>
        <w:tc>
          <w:tcPr>
            <w:tcW w:w="674" w:type="pct"/>
            <w:shd w:val="clear" w:color="auto" w:fill="auto"/>
            <w:noWrap/>
          </w:tcPr>
          <w:p w14:paraId="0FD96505" w14:textId="77777777" w:rsidR="009072CE" w:rsidRPr="00A07F29" w:rsidRDefault="009072CE" w:rsidP="009072CE">
            <w:pPr>
              <w:suppressAutoHyphens/>
              <w:spacing w:after="0" w:line="240" w:lineRule="auto"/>
              <w:rPr>
                <w:rFonts w:ascii="Times New Roman" w:eastAsia="Calibri" w:hAnsi="Times New Roman" w:cs="Times New Roman"/>
                <w:color w:val="000000"/>
                <w:sz w:val="20"/>
                <w:szCs w:val="20"/>
                <w:lang w:eastAsia="ar-SA"/>
              </w:rPr>
            </w:pPr>
          </w:p>
        </w:tc>
        <w:tc>
          <w:tcPr>
            <w:tcW w:w="595" w:type="pct"/>
            <w:shd w:val="clear" w:color="auto" w:fill="auto"/>
            <w:noWrap/>
          </w:tcPr>
          <w:p w14:paraId="22052006" w14:textId="32C46C5E" w:rsidR="009072CE" w:rsidRPr="00A07F29" w:rsidRDefault="007C2951" w:rsidP="009072CE">
            <w:pPr>
              <w:suppressAutoHyphens/>
              <w:spacing w:after="0" w:line="240" w:lineRule="auto"/>
              <w:rPr>
                <w:rFonts w:ascii="Times New Roman" w:eastAsia="Calibri" w:hAnsi="Times New Roman" w:cs="Times New Roman"/>
                <w:color w:val="000000"/>
                <w:sz w:val="20"/>
                <w:szCs w:val="20"/>
                <w:lang w:eastAsia="ar-SA"/>
              </w:rPr>
            </w:pPr>
            <w:r>
              <w:rPr>
                <w:rFonts w:ascii="Times New Roman" w:eastAsia="Calibri" w:hAnsi="Times New Roman" w:cs="Times New Roman"/>
                <w:color w:val="000000"/>
                <w:sz w:val="20"/>
                <w:szCs w:val="20"/>
                <w:lang w:eastAsia="ar-SA"/>
              </w:rPr>
              <w:t>L</w:t>
            </w:r>
            <w:r w:rsidR="009072CE" w:rsidRPr="00A07F29">
              <w:rPr>
                <w:rFonts w:ascii="Times New Roman" w:eastAsia="Calibri" w:hAnsi="Times New Roman" w:cs="Times New Roman"/>
                <w:color w:val="000000"/>
                <w:sz w:val="20"/>
                <w:szCs w:val="20"/>
                <w:lang w:eastAsia="ar-SA"/>
              </w:rPr>
              <w:t>SG 4</w:t>
            </w:r>
          </w:p>
        </w:tc>
        <w:tc>
          <w:tcPr>
            <w:tcW w:w="1045" w:type="pct"/>
            <w:shd w:val="clear" w:color="auto" w:fill="auto"/>
          </w:tcPr>
          <w:p w14:paraId="39AA4A4A" w14:textId="318A3504" w:rsidR="009072CE" w:rsidRPr="00A07F29" w:rsidRDefault="009072CE"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Suga samērā bieži sastopama visā Latvijas teritorijā (</w:t>
            </w:r>
            <w:proofErr w:type="spellStart"/>
            <w:r w:rsidRPr="00A07F29">
              <w:rPr>
                <w:rFonts w:ascii="Times New Roman" w:eastAsia="Calibri" w:hAnsi="Times New Roman" w:cs="Times New Roman"/>
                <w:color w:val="000000"/>
                <w:sz w:val="20"/>
                <w:szCs w:val="20"/>
                <w:lang w:eastAsia="ar-SA"/>
              </w:rPr>
              <w:t>Spuris</w:t>
            </w:r>
            <w:proofErr w:type="spellEnd"/>
            <w:r w:rsidR="007C2951">
              <w:rPr>
                <w:rFonts w:ascii="Times New Roman" w:eastAsia="Calibri" w:hAnsi="Times New Roman" w:cs="Times New Roman"/>
                <w:color w:val="000000"/>
                <w:sz w:val="20"/>
                <w:szCs w:val="20"/>
                <w:lang w:eastAsia="ar-SA"/>
              </w:rPr>
              <w:t xml:space="preserve"> Z.</w:t>
            </w:r>
            <w:r w:rsidRPr="00A07F29">
              <w:rPr>
                <w:rFonts w:ascii="Times New Roman" w:eastAsia="Calibri" w:hAnsi="Times New Roman" w:cs="Times New Roman"/>
                <w:color w:val="000000"/>
                <w:sz w:val="20"/>
                <w:szCs w:val="20"/>
                <w:lang w:eastAsia="ar-SA"/>
              </w:rPr>
              <w:t>, 1998).</w:t>
            </w:r>
          </w:p>
        </w:tc>
        <w:tc>
          <w:tcPr>
            <w:tcW w:w="971" w:type="pct"/>
            <w:shd w:val="clear" w:color="auto" w:fill="auto"/>
          </w:tcPr>
          <w:p w14:paraId="54F0D6FE" w14:textId="77777777" w:rsidR="009072CE" w:rsidRPr="00A07F29" w:rsidRDefault="009072CE"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AAA “Augšdaugava” lapkoku un jauktajos mežos samērā bieži sastopamā suga.</w:t>
            </w:r>
          </w:p>
        </w:tc>
      </w:tr>
      <w:tr w:rsidR="009072CE" w:rsidRPr="00A07F29" w14:paraId="214B8D53" w14:textId="77777777" w:rsidTr="0095136F">
        <w:trPr>
          <w:cantSplit/>
          <w:trHeight w:val="284"/>
        </w:trPr>
        <w:tc>
          <w:tcPr>
            <w:tcW w:w="894" w:type="pct"/>
            <w:shd w:val="clear" w:color="auto" w:fill="auto"/>
            <w:noWrap/>
            <w:vAlign w:val="center"/>
          </w:tcPr>
          <w:p w14:paraId="353128E6" w14:textId="77777777" w:rsidR="009072CE" w:rsidRPr="00A07F29" w:rsidRDefault="009072CE" w:rsidP="009072CE">
            <w:pPr>
              <w:suppressAutoHyphens/>
              <w:spacing w:after="0" w:line="240" w:lineRule="auto"/>
              <w:rPr>
                <w:rFonts w:ascii="Times New Roman" w:eastAsia="Calibri" w:hAnsi="Times New Roman" w:cs="Times New Roman"/>
                <w:color w:val="000000"/>
                <w:spacing w:val="-1"/>
                <w:sz w:val="20"/>
                <w:szCs w:val="20"/>
                <w:lang w:eastAsia="ar-SA"/>
              </w:rPr>
            </w:pPr>
            <w:r w:rsidRPr="00A07F29">
              <w:rPr>
                <w:rFonts w:ascii="Times New Roman" w:eastAsia="Calibri" w:hAnsi="Times New Roman" w:cs="Times New Roman"/>
                <w:color w:val="000000"/>
                <w:spacing w:val="-1"/>
                <w:sz w:val="20"/>
                <w:szCs w:val="20"/>
                <w:lang w:eastAsia="ar-SA"/>
              </w:rPr>
              <w:t xml:space="preserve">Zirgskābeņu </w:t>
            </w:r>
            <w:proofErr w:type="spellStart"/>
            <w:r w:rsidRPr="00A07F29">
              <w:rPr>
                <w:rFonts w:ascii="Times New Roman" w:eastAsia="Calibri" w:hAnsi="Times New Roman" w:cs="Times New Roman"/>
                <w:color w:val="000000"/>
                <w:spacing w:val="-1"/>
                <w:sz w:val="20"/>
                <w:szCs w:val="20"/>
                <w:lang w:eastAsia="ar-SA"/>
              </w:rPr>
              <w:t>zilenītis</w:t>
            </w:r>
            <w:proofErr w:type="spellEnd"/>
          </w:p>
        </w:tc>
        <w:tc>
          <w:tcPr>
            <w:tcW w:w="821" w:type="pct"/>
            <w:shd w:val="clear" w:color="auto" w:fill="auto"/>
            <w:noWrap/>
            <w:vAlign w:val="center"/>
          </w:tcPr>
          <w:p w14:paraId="39FABCC6" w14:textId="77777777" w:rsidR="009072CE" w:rsidRPr="00A07F29" w:rsidRDefault="009072CE" w:rsidP="009072CE">
            <w:pPr>
              <w:suppressAutoHyphens/>
              <w:spacing w:after="0" w:line="240" w:lineRule="auto"/>
              <w:rPr>
                <w:rFonts w:ascii="Times New Roman" w:eastAsia="Calibri" w:hAnsi="Times New Roman" w:cs="Times New Roman"/>
                <w:i/>
                <w:color w:val="000000"/>
                <w:sz w:val="20"/>
                <w:szCs w:val="20"/>
                <w:lang w:eastAsia="ar-SA"/>
              </w:rPr>
            </w:pPr>
            <w:proofErr w:type="spellStart"/>
            <w:r w:rsidRPr="00A07F29">
              <w:rPr>
                <w:rFonts w:ascii="Times New Roman" w:eastAsia="Calibri" w:hAnsi="Times New Roman" w:cs="Times New Roman"/>
                <w:i/>
                <w:color w:val="000000"/>
                <w:sz w:val="20"/>
                <w:szCs w:val="20"/>
                <w:lang w:eastAsia="ar-SA"/>
              </w:rPr>
              <w:t>Lycaena</w:t>
            </w:r>
            <w:proofErr w:type="spellEnd"/>
            <w:r w:rsidRPr="00A07F29">
              <w:rPr>
                <w:rFonts w:ascii="Times New Roman" w:eastAsia="Calibri" w:hAnsi="Times New Roman" w:cs="Times New Roman"/>
                <w:i/>
                <w:color w:val="000000"/>
                <w:sz w:val="20"/>
                <w:szCs w:val="20"/>
                <w:lang w:eastAsia="ar-SA"/>
              </w:rPr>
              <w:t xml:space="preserve"> </w:t>
            </w:r>
            <w:proofErr w:type="spellStart"/>
            <w:r w:rsidRPr="00A07F29">
              <w:rPr>
                <w:rFonts w:ascii="Times New Roman" w:eastAsia="Calibri" w:hAnsi="Times New Roman" w:cs="Times New Roman"/>
                <w:i/>
                <w:color w:val="000000"/>
                <w:sz w:val="20"/>
                <w:szCs w:val="20"/>
                <w:lang w:eastAsia="ar-SA"/>
              </w:rPr>
              <w:t>dispar</w:t>
            </w:r>
            <w:proofErr w:type="spellEnd"/>
          </w:p>
        </w:tc>
        <w:tc>
          <w:tcPr>
            <w:tcW w:w="674" w:type="pct"/>
            <w:shd w:val="clear" w:color="auto" w:fill="auto"/>
            <w:noWrap/>
            <w:vAlign w:val="center"/>
          </w:tcPr>
          <w:p w14:paraId="6328BAC4" w14:textId="71B9FBE1" w:rsidR="009072CE" w:rsidRPr="00A07F29" w:rsidRDefault="00844547" w:rsidP="009072CE">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 xml:space="preserve">BD </w:t>
            </w:r>
            <w:r w:rsidR="009072CE" w:rsidRPr="00A07F29">
              <w:rPr>
                <w:rFonts w:ascii="Times New Roman" w:eastAsia="Calibri" w:hAnsi="Times New Roman" w:cs="Times New Roman"/>
                <w:color w:val="000000"/>
                <w:sz w:val="20"/>
                <w:szCs w:val="20"/>
                <w:lang w:eastAsia="ar-SA"/>
              </w:rPr>
              <w:t>II, ĪAS</w:t>
            </w:r>
          </w:p>
        </w:tc>
        <w:tc>
          <w:tcPr>
            <w:tcW w:w="595" w:type="pct"/>
            <w:shd w:val="clear" w:color="auto" w:fill="auto"/>
            <w:noWrap/>
            <w:vAlign w:val="center"/>
          </w:tcPr>
          <w:p w14:paraId="2C91CBF1" w14:textId="77777777" w:rsidR="009072CE" w:rsidRPr="00A07F29" w:rsidRDefault="009072CE" w:rsidP="009072CE">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Berne II*, IUCN (LR)</w:t>
            </w:r>
          </w:p>
        </w:tc>
        <w:tc>
          <w:tcPr>
            <w:tcW w:w="1045" w:type="pct"/>
          </w:tcPr>
          <w:p w14:paraId="7049B51D" w14:textId="6462E647" w:rsidR="009072CE" w:rsidRPr="00A07F29" w:rsidRDefault="009072CE"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Izplatīta lokāli visā Latvijas teritorijā, parasti novēro atsevišķus īpatņus (</w:t>
            </w:r>
            <w:proofErr w:type="spellStart"/>
            <w:r w:rsidRPr="00A07F29">
              <w:rPr>
                <w:rFonts w:ascii="Times New Roman" w:eastAsia="Calibri" w:hAnsi="Times New Roman" w:cs="Times New Roman"/>
                <w:color w:val="000000"/>
                <w:sz w:val="20"/>
                <w:szCs w:val="20"/>
                <w:lang w:eastAsia="ar-SA"/>
              </w:rPr>
              <w:t>Savenkovs</w:t>
            </w:r>
            <w:proofErr w:type="spellEnd"/>
            <w:r w:rsidR="00D96355">
              <w:rPr>
                <w:rFonts w:ascii="Times New Roman" w:eastAsia="Calibri" w:hAnsi="Times New Roman" w:cs="Times New Roman"/>
                <w:color w:val="000000"/>
                <w:sz w:val="20"/>
                <w:szCs w:val="20"/>
                <w:lang w:eastAsia="ar-SA"/>
              </w:rPr>
              <w:t xml:space="preserve"> N.</w:t>
            </w:r>
            <w:r w:rsidRPr="00A07F29">
              <w:rPr>
                <w:rFonts w:ascii="Times New Roman" w:eastAsia="Calibri" w:hAnsi="Times New Roman" w:cs="Times New Roman"/>
                <w:color w:val="000000"/>
                <w:sz w:val="20"/>
                <w:szCs w:val="20"/>
                <w:lang w:eastAsia="ar-SA"/>
              </w:rPr>
              <w:t>, 2018).</w:t>
            </w:r>
          </w:p>
        </w:tc>
        <w:tc>
          <w:tcPr>
            <w:tcW w:w="971" w:type="pct"/>
            <w:shd w:val="clear" w:color="auto" w:fill="auto"/>
          </w:tcPr>
          <w:p w14:paraId="56B60E33" w14:textId="77777777" w:rsidR="009072CE" w:rsidRPr="00A07F29" w:rsidRDefault="009072CE"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Teritorijā galvenokārt sastopama palieņu pļavās gar Daugavas upi.</w:t>
            </w:r>
          </w:p>
        </w:tc>
      </w:tr>
      <w:tr w:rsidR="009072CE" w:rsidRPr="00A07F29" w14:paraId="152ADC59" w14:textId="77777777" w:rsidTr="0095136F">
        <w:trPr>
          <w:cantSplit/>
          <w:trHeight w:val="284"/>
        </w:trPr>
        <w:tc>
          <w:tcPr>
            <w:tcW w:w="894" w:type="pct"/>
            <w:shd w:val="clear" w:color="auto" w:fill="auto"/>
            <w:noWrap/>
            <w:vAlign w:val="center"/>
          </w:tcPr>
          <w:p w14:paraId="6A7977FA" w14:textId="77777777" w:rsidR="009072CE" w:rsidRPr="00A07F29" w:rsidRDefault="009072CE" w:rsidP="009072CE">
            <w:pPr>
              <w:autoSpaceDE w:val="0"/>
              <w:autoSpaceDN w:val="0"/>
              <w:adjustRightInd w:val="0"/>
              <w:spacing w:after="0" w:line="240" w:lineRule="auto"/>
              <w:rPr>
                <w:rFonts w:ascii="Times New Roman" w:eastAsia="Calibri" w:hAnsi="Times New Roman" w:cs="Times New Roman"/>
                <w:color w:val="000000"/>
                <w:sz w:val="20"/>
                <w:szCs w:val="20"/>
              </w:rPr>
            </w:pPr>
            <w:r w:rsidRPr="00A07F29">
              <w:rPr>
                <w:rFonts w:ascii="Times New Roman" w:eastAsia="Calibri" w:hAnsi="Times New Roman" w:cs="Times New Roman"/>
                <w:color w:val="000000"/>
                <w:sz w:val="20"/>
                <w:szCs w:val="20"/>
              </w:rPr>
              <w:t xml:space="preserve">Ceļteku </w:t>
            </w:r>
            <w:proofErr w:type="spellStart"/>
            <w:r w:rsidRPr="00A07F29">
              <w:rPr>
                <w:rFonts w:ascii="Times New Roman" w:eastAsia="Calibri" w:hAnsi="Times New Roman" w:cs="Times New Roman"/>
                <w:color w:val="000000"/>
                <w:sz w:val="20"/>
                <w:szCs w:val="20"/>
              </w:rPr>
              <w:t>pļavraibenis</w:t>
            </w:r>
            <w:proofErr w:type="spellEnd"/>
            <w:r w:rsidRPr="00A07F29">
              <w:rPr>
                <w:rFonts w:ascii="Times New Roman" w:eastAsia="Calibri" w:hAnsi="Times New Roman" w:cs="Times New Roman"/>
                <w:color w:val="000000"/>
                <w:sz w:val="20"/>
                <w:szCs w:val="20"/>
              </w:rPr>
              <w:t xml:space="preserve"> </w:t>
            </w:r>
          </w:p>
        </w:tc>
        <w:tc>
          <w:tcPr>
            <w:tcW w:w="821" w:type="pct"/>
            <w:shd w:val="clear" w:color="auto" w:fill="auto"/>
            <w:noWrap/>
            <w:vAlign w:val="center"/>
          </w:tcPr>
          <w:p w14:paraId="50FC8EF5" w14:textId="77777777" w:rsidR="009072CE" w:rsidRPr="00A07F29" w:rsidRDefault="009072CE" w:rsidP="009072CE">
            <w:pPr>
              <w:autoSpaceDE w:val="0"/>
              <w:autoSpaceDN w:val="0"/>
              <w:adjustRightInd w:val="0"/>
              <w:spacing w:after="0" w:line="240" w:lineRule="auto"/>
              <w:rPr>
                <w:rFonts w:ascii="Times New Roman" w:eastAsia="Calibri" w:hAnsi="Times New Roman" w:cs="Times New Roman"/>
                <w:color w:val="000000"/>
                <w:sz w:val="20"/>
                <w:szCs w:val="20"/>
              </w:rPr>
            </w:pPr>
            <w:proofErr w:type="spellStart"/>
            <w:r w:rsidRPr="00A07F29">
              <w:rPr>
                <w:rFonts w:ascii="Times New Roman" w:eastAsia="Calibri" w:hAnsi="Times New Roman" w:cs="Times New Roman"/>
                <w:i/>
                <w:iCs/>
                <w:color w:val="000000"/>
                <w:sz w:val="20"/>
                <w:szCs w:val="20"/>
              </w:rPr>
              <w:t>Melitaea</w:t>
            </w:r>
            <w:proofErr w:type="spellEnd"/>
            <w:r w:rsidRPr="00A07F29">
              <w:rPr>
                <w:rFonts w:ascii="Times New Roman" w:eastAsia="Calibri" w:hAnsi="Times New Roman" w:cs="Times New Roman"/>
                <w:i/>
                <w:iCs/>
                <w:color w:val="000000"/>
                <w:sz w:val="20"/>
                <w:szCs w:val="20"/>
              </w:rPr>
              <w:t xml:space="preserve"> </w:t>
            </w:r>
            <w:proofErr w:type="spellStart"/>
            <w:r w:rsidRPr="00A07F29">
              <w:rPr>
                <w:rFonts w:ascii="Times New Roman" w:eastAsia="Calibri" w:hAnsi="Times New Roman" w:cs="Times New Roman"/>
                <w:i/>
                <w:iCs/>
                <w:color w:val="000000"/>
                <w:sz w:val="20"/>
                <w:szCs w:val="20"/>
              </w:rPr>
              <w:t>didyma</w:t>
            </w:r>
            <w:proofErr w:type="spellEnd"/>
            <w:r w:rsidRPr="00A07F29">
              <w:rPr>
                <w:rFonts w:ascii="Times New Roman" w:eastAsia="Calibri" w:hAnsi="Times New Roman" w:cs="Times New Roman"/>
                <w:i/>
                <w:iCs/>
                <w:color w:val="000000"/>
                <w:sz w:val="20"/>
                <w:szCs w:val="20"/>
              </w:rPr>
              <w:t xml:space="preserve"> </w:t>
            </w:r>
          </w:p>
        </w:tc>
        <w:tc>
          <w:tcPr>
            <w:tcW w:w="674" w:type="pct"/>
            <w:shd w:val="clear" w:color="auto" w:fill="auto"/>
            <w:noWrap/>
            <w:vAlign w:val="center"/>
          </w:tcPr>
          <w:p w14:paraId="04051E61" w14:textId="77777777" w:rsidR="009072CE" w:rsidRPr="00A07F29" w:rsidRDefault="009072CE" w:rsidP="009072CE">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w:t>
            </w:r>
          </w:p>
        </w:tc>
        <w:tc>
          <w:tcPr>
            <w:tcW w:w="595" w:type="pct"/>
            <w:shd w:val="clear" w:color="auto" w:fill="auto"/>
            <w:noWrap/>
            <w:vAlign w:val="center"/>
          </w:tcPr>
          <w:p w14:paraId="536B2CC1" w14:textId="41293152" w:rsidR="009072CE" w:rsidRPr="00A07F29" w:rsidRDefault="00D96355" w:rsidP="009072CE">
            <w:pPr>
              <w:suppressAutoHyphens/>
              <w:spacing w:after="0" w:line="240" w:lineRule="auto"/>
              <w:rPr>
                <w:rFonts w:ascii="Times New Roman" w:eastAsia="Calibri" w:hAnsi="Times New Roman" w:cs="Times New Roman"/>
                <w:color w:val="000000"/>
                <w:sz w:val="20"/>
                <w:szCs w:val="20"/>
                <w:lang w:eastAsia="ar-SA"/>
              </w:rPr>
            </w:pPr>
            <w:r>
              <w:rPr>
                <w:rFonts w:ascii="Times New Roman" w:eastAsia="Calibri" w:hAnsi="Times New Roman" w:cs="Times New Roman"/>
                <w:color w:val="000000"/>
                <w:sz w:val="20"/>
                <w:szCs w:val="20"/>
                <w:lang w:eastAsia="ar-SA"/>
              </w:rPr>
              <w:t>L</w:t>
            </w:r>
            <w:r w:rsidR="009072CE" w:rsidRPr="00A07F29">
              <w:rPr>
                <w:rFonts w:ascii="Times New Roman" w:eastAsia="Calibri" w:hAnsi="Times New Roman" w:cs="Times New Roman"/>
                <w:color w:val="000000"/>
                <w:sz w:val="20"/>
                <w:szCs w:val="20"/>
                <w:lang w:eastAsia="ar-SA"/>
              </w:rPr>
              <w:t>SG 3</w:t>
            </w:r>
          </w:p>
        </w:tc>
        <w:tc>
          <w:tcPr>
            <w:tcW w:w="1045" w:type="pct"/>
            <w:shd w:val="clear" w:color="auto" w:fill="auto"/>
          </w:tcPr>
          <w:p w14:paraId="51A0C6D2" w14:textId="5B3858C2" w:rsidR="009072CE" w:rsidRPr="00A07F29" w:rsidRDefault="009072CE"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 xml:space="preserve">Reta suga, kas ir sastopama lokāli un </w:t>
            </w:r>
            <w:proofErr w:type="spellStart"/>
            <w:r w:rsidRPr="00A07F29">
              <w:rPr>
                <w:rFonts w:ascii="Times New Roman" w:eastAsia="Calibri" w:hAnsi="Times New Roman" w:cs="Times New Roman"/>
                <w:color w:val="000000"/>
                <w:sz w:val="20"/>
                <w:szCs w:val="20"/>
                <w:lang w:eastAsia="ar-SA"/>
              </w:rPr>
              <w:t>mazskaitlīgi</w:t>
            </w:r>
            <w:proofErr w:type="spellEnd"/>
            <w:r w:rsidRPr="00A07F29">
              <w:rPr>
                <w:rFonts w:ascii="Times New Roman" w:eastAsia="Calibri" w:hAnsi="Times New Roman" w:cs="Times New Roman"/>
                <w:color w:val="000000"/>
                <w:sz w:val="20"/>
                <w:szCs w:val="20"/>
                <w:lang w:eastAsia="ar-SA"/>
              </w:rPr>
              <w:t xml:space="preserve"> (</w:t>
            </w:r>
            <w:proofErr w:type="spellStart"/>
            <w:r w:rsidRPr="00A07F29">
              <w:rPr>
                <w:rFonts w:ascii="Times New Roman" w:eastAsia="Calibri" w:hAnsi="Times New Roman" w:cs="Times New Roman"/>
                <w:color w:val="000000"/>
                <w:sz w:val="20"/>
                <w:szCs w:val="20"/>
                <w:lang w:eastAsia="ar-SA"/>
              </w:rPr>
              <w:t>Savenkovs</w:t>
            </w:r>
            <w:proofErr w:type="spellEnd"/>
            <w:r w:rsidR="00D96355">
              <w:rPr>
                <w:rFonts w:ascii="Times New Roman" w:eastAsia="Calibri" w:hAnsi="Times New Roman" w:cs="Times New Roman"/>
                <w:color w:val="000000"/>
                <w:sz w:val="20"/>
                <w:szCs w:val="20"/>
                <w:lang w:eastAsia="ar-SA"/>
              </w:rPr>
              <w:t xml:space="preserve"> N.</w:t>
            </w:r>
            <w:r w:rsidRPr="00A07F29">
              <w:rPr>
                <w:rFonts w:ascii="Times New Roman" w:eastAsia="Calibri" w:hAnsi="Times New Roman" w:cs="Times New Roman"/>
                <w:color w:val="000000"/>
                <w:sz w:val="20"/>
                <w:szCs w:val="20"/>
                <w:lang w:eastAsia="ar-SA"/>
              </w:rPr>
              <w:t>, Šulcs</w:t>
            </w:r>
            <w:r w:rsidR="00D96355">
              <w:rPr>
                <w:rFonts w:ascii="Times New Roman" w:eastAsia="Calibri" w:hAnsi="Times New Roman" w:cs="Times New Roman"/>
                <w:color w:val="000000"/>
                <w:sz w:val="20"/>
                <w:szCs w:val="20"/>
                <w:lang w:eastAsia="ar-SA"/>
              </w:rPr>
              <w:t xml:space="preserve"> I.</w:t>
            </w:r>
            <w:r w:rsidRPr="00A07F29">
              <w:rPr>
                <w:rFonts w:ascii="Times New Roman" w:eastAsia="Calibri" w:hAnsi="Times New Roman" w:cs="Times New Roman"/>
                <w:color w:val="000000"/>
                <w:sz w:val="20"/>
                <w:szCs w:val="20"/>
                <w:lang w:eastAsia="ar-SA"/>
              </w:rPr>
              <w:t>, 2010).</w:t>
            </w:r>
          </w:p>
        </w:tc>
        <w:tc>
          <w:tcPr>
            <w:tcW w:w="971" w:type="pct"/>
            <w:shd w:val="clear" w:color="auto" w:fill="auto"/>
          </w:tcPr>
          <w:p w14:paraId="1FF856E9" w14:textId="18CB3EFF" w:rsidR="009072CE" w:rsidRPr="00A07F29" w:rsidRDefault="00BF0E06"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DA plāna</w:t>
            </w:r>
            <w:r w:rsidR="009072CE" w:rsidRPr="00A07F29">
              <w:rPr>
                <w:rFonts w:ascii="Times New Roman" w:eastAsia="Calibri" w:hAnsi="Times New Roman" w:cs="Times New Roman"/>
                <w:color w:val="000000"/>
                <w:sz w:val="20"/>
                <w:szCs w:val="20"/>
                <w:lang w:eastAsia="ar-SA"/>
              </w:rPr>
              <w:t xml:space="preserve"> izstrādes laikā suga netika konstatēta.</w:t>
            </w:r>
          </w:p>
        </w:tc>
      </w:tr>
      <w:tr w:rsidR="009072CE" w:rsidRPr="00A07F29" w14:paraId="3810D3B8" w14:textId="77777777" w:rsidTr="0095136F">
        <w:trPr>
          <w:cantSplit/>
          <w:trHeight w:val="284"/>
        </w:trPr>
        <w:tc>
          <w:tcPr>
            <w:tcW w:w="894" w:type="pct"/>
            <w:shd w:val="clear" w:color="auto" w:fill="auto"/>
            <w:noWrap/>
            <w:vAlign w:val="center"/>
          </w:tcPr>
          <w:p w14:paraId="2854028C" w14:textId="77777777" w:rsidR="009072CE" w:rsidRPr="00A07F29" w:rsidRDefault="009072CE" w:rsidP="009072CE">
            <w:pPr>
              <w:autoSpaceDE w:val="0"/>
              <w:autoSpaceDN w:val="0"/>
              <w:adjustRightInd w:val="0"/>
              <w:spacing w:after="0" w:line="240" w:lineRule="auto"/>
              <w:rPr>
                <w:rFonts w:ascii="Times New Roman" w:eastAsia="Calibri" w:hAnsi="Times New Roman" w:cs="Times New Roman"/>
                <w:color w:val="000000"/>
                <w:sz w:val="20"/>
                <w:szCs w:val="20"/>
              </w:rPr>
            </w:pPr>
            <w:proofErr w:type="spellStart"/>
            <w:r w:rsidRPr="00A07F29">
              <w:rPr>
                <w:rFonts w:ascii="Times New Roman" w:eastAsia="Calibri" w:hAnsi="Times New Roman" w:cs="Times New Roman"/>
                <w:color w:val="000000"/>
                <w:sz w:val="20"/>
                <w:szCs w:val="20"/>
              </w:rPr>
              <w:lastRenderedPageBreak/>
              <w:t>Saulrozīšu</w:t>
            </w:r>
            <w:proofErr w:type="spellEnd"/>
            <w:r w:rsidRPr="00A07F29">
              <w:rPr>
                <w:rFonts w:ascii="Times New Roman" w:eastAsia="Calibri" w:hAnsi="Times New Roman" w:cs="Times New Roman"/>
                <w:color w:val="000000"/>
                <w:sz w:val="20"/>
                <w:szCs w:val="20"/>
              </w:rPr>
              <w:t xml:space="preserve"> </w:t>
            </w:r>
            <w:proofErr w:type="spellStart"/>
            <w:r w:rsidRPr="00A07F29">
              <w:rPr>
                <w:rFonts w:ascii="Times New Roman" w:eastAsia="Calibri" w:hAnsi="Times New Roman" w:cs="Times New Roman"/>
                <w:color w:val="000000"/>
                <w:sz w:val="20"/>
                <w:szCs w:val="20"/>
              </w:rPr>
              <w:t>gartaustkode</w:t>
            </w:r>
            <w:proofErr w:type="spellEnd"/>
            <w:r w:rsidRPr="00A07F29">
              <w:rPr>
                <w:rFonts w:ascii="Times New Roman" w:eastAsia="Calibri" w:hAnsi="Times New Roman" w:cs="Times New Roman"/>
                <w:color w:val="000000"/>
                <w:sz w:val="20"/>
                <w:szCs w:val="20"/>
              </w:rPr>
              <w:t xml:space="preserve"> </w:t>
            </w:r>
          </w:p>
        </w:tc>
        <w:tc>
          <w:tcPr>
            <w:tcW w:w="821" w:type="pct"/>
            <w:shd w:val="clear" w:color="auto" w:fill="auto"/>
            <w:noWrap/>
            <w:vAlign w:val="center"/>
          </w:tcPr>
          <w:p w14:paraId="39F281E3" w14:textId="77777777" w:rsidR="009072CE" w:rsidRPr="00A07F29" w:rsidRDefault="009072CE" w:rsidP="009072CE">
            <w:pPr>
              <w:autoSpaceDE w:val="0"/>
              <w:autoSpaceDN w:val="0"/>
              <w:adjustRightInd w:val="0"/>
              <w:spacing w:after="0" w:line="240" w:lineRule="auto"/>
              <w:rPr>
                <w:rFonts w:ascii="Times New Roman" w:eastAsia="Calibri" w:hAnsi="Times New Roman" w:cs="Times New Roman"/>
                <w:color w:val="000000"/>
                <w:sz w:val="20"/>
                <w:szCs w:val="20"/>
              </w:rPr>
            </w:pPr>
            <w:proofErr w:type="spellStart"/>
            <w:r w:rsidRPr="00A07F29">
              <w:rPr>
                <w:rFonts w:ascii="Times New Roman" w:eastAsia="Calibri" w:hAnsi="Times New Roman" w:cs="Times New Roman"/>
                <w:i/>
                <w:iCs/>
                <w:color w:val="000000"/>
                <w:sz w:val="20"/>
                <w:szCs w:val="20"/>
              </w:rPr>
              <w:t>Mesophleps</w:t>
            </w:r>
            <w:proofErr w:type="spellEnd"/>
            <w:r w:rsidRPr="00A07F29">
              <w:rPr>
                <w:rFonts w:ascii="Times New Roman" w:eastAsia="Calibri" w:hAnsi="Times New Roman" w:cs="Times New Roman"/>
                <w:i/>
                <w:iCs/>
                <w:color w:val="000000"/>
                <w:sz w:val="20"/>
                <w:szCs w:val="20"/>
              </w:rPr>
              <w:t xml:space="preserve"> </w:t>
            </w:r>
            <w:proofErr w:type="spellStart"/>
            <w:r w:rsidRPr="00A07F29">
              <w:rPr>
                <w:rFonts w:ascii="Times New Roman" w:eastAsia="Calibri" w:hAnsi="Times New Roman" w:cs="Times New Roman"/>
                <w:i/>
                <w:iCs/>
                <w:color w:val="000000"/>
                <w:sz w:val="20"/>
                <w:szCs w:val="20"/>
              </w:rPr>
              <w:t>silacella</w:t>
            </w:r>
            <w:proofErr w:type="spellEnd"/>
            <w:r w:rsidRPr="00A07F29">
              <w:rPr>
                <w:rFonts w:ascii="Times New Roman" w:eastAsia="Calibri" w:hAnsi="Times New Roman" w:cs="Times New Roman"/>
                <w:i/>
                <w:iCs/>
                <w:color w:val="000000"/>
                <w:sz w:val="20"/>
                <w:szCs w:val="20"/>
              </w:rPr>
              <w:t xml:space="preserve"> </w:t>
            </w:r>
          </w:p>
        </w:tc>
        <w:tc>
          <w:tcPr>
            <w:tcW w:w="674" w:type="pct"/>
            <w:shd w:val="clear" w:color="auto" w:fill="auto"/>
            <w:noWrap/>
            <w:vAlign w:val="center"/>
          </w:tcPr>
          <w:p w14:paraId="276DB0D1" w14:textId="77777777" w:rsidR="009072CE" w:rsidRPr="00A07F29" w:rsidRDefault="009072CE" w:rsidP="009072CE">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w:t>
            </w:r>
          </w:p>
        </w:tc>
        <w:tc>
          <w:tcPr>
            <w:tcW w:w="595" w:type="pct"/>
            <w:shd w:val="clear" w:color="auto" w:fill="auto"/>
            <w:noWrap/>
            <w:vAlign w:val="center"/>
          </w:tcPr>
          <w:p w14:paraId="3625031D" w14:textId="1BB1E405" w:rsidR="009072CE" w:rsidRPr="00A07F29" w:rsidRDefault="00D96355" w:rsidP="009072CE">
            <w:pPr>
              <w:suppressAutoHyphens/>
              <w:spacing w:after="0" w:line="240" w:lineRule="auto"/>
              <w:rPr>
                <w:rFonts w:ascii="Times New Roman" w:eastAsia="Calibri" w:hAnsi="Times New Roman" w:cs="Times New Roman"/>
                <w:color w:val="000000"/>
                <w:sz w:val="20"/>
                <w:szCs w:val="20"/>
                <w:lang w:eastAsia="ar-SA"/>
              </w:rPr>
            </w:pPr>
            <w:r>
              <w:rPr>
                <w:rFonts w:ascii="Times New Roman" w:eastAsia="Calibri" w:hAnsi="Times New Roman" w:cs="Times New Roman"/>
                <w:color w:val="000000"/>
                <w:sz w:val="20"/>
                <w:szCs w:val="20"/>
                <w:lang w:eastAsia="ar-SA"/>
              </w:rPr>
              <w:t>L</w:t>
            </w:r>
            <w:r w:rsidR="009072CE" w:rsidRPr="00A07F29">
              <w:rPr>
                <w:rFonts w:ascii="Times New Roman" w:eastAsia="Calibri" w:hAnsi="Times New Roman" w:cs="Times New Roman"/>
                <w:color w:val="000000"/>
                <w:sz w:val="20"/>
                <w:szCs w:val="20"/>
                <w:lang w:eastAsia="ar-SA"/>
              </w:rPr>
              <w:t>SG 3</w:t>
            </w:r>
          </w:p>
        </w:tc>
        <w:tc>
          <w:tcPr>
            <w:tcW w:w="1045" w:type="pct"/>
            <w:shd w:val="clear" w:color="auto" w:fill="auto"/>
          </w:tcPr>
          <w:p w14:paraId="44F54A6C" w14:textId="7D4803DB" w:rsidR="009072CE" w:rsidRPr="00A07F29" w:rsidRDefault="009072CE"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 xml:space="preserve">Ļoti reta suga, kas ir zināma tikai no vienas vai dažām </w:t>
            </w:r>
            <w:proofErr w:type="spellStart"/>
            <w:r w:rsidRPr="00A07F29">
              <w:rPr>
                <w:rFonts w:ascii="Times New Roman" w:eastAsia="Calibri" w:hAnsi="Times New Roman" w:cs="Times New Roman"/>
                <w:color w:val="000000"/>
                <w:sz w:val="20"/>
                <w:szCs w:val="20"/>
                <w:lang w:eastAsia="ar-SA"/>
              </w:rPr>
              <w:t>lokalitātēm</w:t>
            </w:r>
            <w:proofErr w:type="spellEnd"/>
            <w:r w:rsidRPr="00A07F29">
              <w:rPr>
                <w:rFonts w:ascii="Times New Roman" w:eastAsia="Calibri" w:hAnsi="Times New Roman" w:cs="Times New Roman"/>
                <w:color w:val="000000"/>
                <w:sz w:val="20"/>
                <w:szCs w:val="20"/>
                <w:lang w:eastAsia="ar-SA"/>
              </w:rPr>
              <w:t>, vienā vai atsevišķos eksemplāros (</w:t>
            </w:r>
            <w:proofErr w:type="spellStart"/>
            <w:r w:rsidRPr="00A07F29">
              <w:rPr>
                <w:rFonts w:ascii="Times New Roman" w:eastAsia="Calibri" w:hAnsi="Times New Roman" w:cs="Times New Roman"/>
                <w:color w:val="000000"/>
                <w:sz w:val="20"/>
                <w:szCs w:val="20"/>
                <w:lang w:eastAsia="ar-SA"/>
              </w:rPr>
              <w:t>Savenkovs</w:t>
            </w:r>
            <w:proofErr w:type="spellEnd"/>
            <w:r w:rsidR="00AB40F2">
              <w:rPr>
                <w:rFonts w:ascii="Times New Roman" w:eastAsia="Calibri" w:hAnsi="Times New Roman" w:cs="Times New Roman"/>
                <w:color w:val="000000"/>
                <w:sz w:val="20"/>
                <w:szCs w:val="20"/>
                <w:lang w:eastAsia="ar-SA"/>
              </w:rPr>
              <w:t xml:space="preserve"> N.</w:t>
            </w:r>
            <w:r w:rsidRPr="00A07F29">
              <w:rPr>
                <w:rFonts w:ascii="Times New Roman" w:eastAsia="Calibri" w:hAnsi="Times New Roman" w:cs="Times New Roman"/>
                <w:color w:val="000000"/>
                <w:sz w:val="20"/>
                <w:szCs w:val="20"/>
                <w:lang w:eastAsia="ar-SA"/>
              </w:rPr>
              <w:t>, Šulcs</w:t>
            </w:r>
            <w:r w:rsidR="00AB40F2">
              <w:rPr>
                <w:rFonts w:ascii="Times New Roman" w:eastAsia="Calibri" w:hAnsi="Times New Roman" w:cs="Times New Roman"/>
                <w:color w:val="000000"/>
                <w:sz w:val="20"/>
                <w:szCs w:val="20"/>
                <w:lang w:eastAsia="ar-SA"/>
              </w:rPr>
              <w:t xml:space="preserve"> I.</w:t>
            </w:r>
            <w:r w:rsidRPr="00A07F29">
              <w:rPr>
                <w:rFonts w:ascii="Times New Roman" w:eastAsia="Calibri" w:hAnsi="Times New Roman" w:cs="Times New Roman"/>
                <w:color w:val="000000"/>
                <w:sz w:val="20"/>
                <w:szCs w:val="20"/>
                <w:lang w:eastAsia="ar-SA"/>
              </w:rPr>
              <w:t>, 2010).</w:t>
            </w:r>
          </w:p>
        </w:tc>
        <w:tc>
          <w:tcPr>
            <w:tcW w:w="971" w:type="pct"/>
            <w:shd w:val="clear" w:color="auto" w:fill="auto"/>
          </w:tcPr>
          <w:p w14:paraId="1134F7BD" w14:textId="483C8A30" w:rsidR="009072CE" w:rsidRPr="00A07F29" w:rsidRDefault="00BF0E06"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DA plāna</w:t>
            </w:r>
            <w:r w:rsidR="009072CE" w:rsidRPr="00A07F29">
              <w:rPr>
                <w:rFonts w:ascii="Times New Roman" w:eastAsia="Calibri" w:hAnsi="Times New Roman" w:cs="Times New Roman"/>
                <w:color w:val="000000"/>
                <w:sz w:val="20"/>
                <w:szCs w:val="20"/>
                <w:lang w:eastAsia="ar-SA"/>
              </w:rPr>
              <w:t xml:space="preserve"> izstrādes laikā suga netika konstatēta.</w:t>
            </w:r>
          </w:p>
        </w:tc>
      </w:tr>
      <w:tr w:rsidR="0095136F" w:rsidRPr="00A07F29" w14:paraId="0E294667" w14:textId="77777777" w:rsidTr="0095136F">
        <w:trPr>
          <w:cantSplit/>
          <w:trHeight w:val="284"/>
        </w:trPr>
        <w:tc>
          <w:tcPr>
            <w:tcW w:w="89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DC6AB36" w14:textId="77777777" w:rsidR="0095136F" w:rsidRPr="00A07F29" w:rsidRDefault="0095136F" w:rsidP="004E3F0B">
            <w:pPr>
              <w:autoSpaceDE w:val="0"/>
              <w:autoSpaceDN w:val="0"/>
              <w:adjustRightInd w:val="0"/>
              <w:spacing w:after="0" w:line="240" w:lineRule="auto"/>
              <w:rPr>
                <w:rFonts w:ascii="Times New Roman" w:eastAsia="Calibri" w:hAnsi="Times New Roman" w:cs="Times New Roman"/>
                <w:color w:val="000000"/>
                <w:sz w:val="20"/>
                <w:szCs w:val="20"/>
              </w:rPr>
            </w:pPr>
            <w:proofErr w:type="spellStart"/>
            <w:r w:rsidRPr="00A07F29">
              <w:rPr>
                <w:rFonts w:ascii="Times New Roman" w:eastAsia="Calibri" w:hAnsi="Times New Roman" w:cs="Times New Roman"/>
                <w:color w:val="000000"/>
                <w:sz w:val="20"/>
                <w:szCs w:val="20"/>
              </w:rPr>
              <w:t>Saulrozīšu</w:t>
            </w:r>
            <w:proofErr w:type="spellEnd"/>
            <w:r w:rsidRPr="00A07F29">
              <w:rPr>
                <w:rFonts w:ascii="Times New Roman" w:eastAsia="Calibri" w:hAnsi="Times New Roman" w:cs="Times New Roman"/>
                <w:color w:val="000000"/>
                <w:sz w:val="20"/>
                <w:szCs w:val="20"/>
              </w:rPr>
              <w:t xml:space="preserve"> </w:t>
            </w:r>
            <w:proofErr w:type="spellStart"/>
            <w:r w:rsidRPr="00A07F29">
              <w:rPr>
                <w:rFonts w:ascii="Times New Roman" w:eastAsia="Calibri" w:hAnsi="Times New Roman" w:cs="Times New Roman"/>
                <w:color w:val="000000"/>
                <w:sz w:val="20"/>
                <w:szCs w:val="20"/>
              </w:rPr>
              <w:t>bārkstkode</w:t>
            </w:r>
            <w:proofErr w:type="spellEnd"/>
          </w:p>
        </w:tc>
        <w:tc>
          <w:tcPr>
            <w:tcW w:w="82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9A33565" w14:textId="77777777" w:rsidR="0095136F" w:rsidRPr="00A07F29" w:rsidRDefault="0095136F" w:rsidP="004E3F0B">
            <w:pPr>
              <w:autoSpaceDE w:val="0"/>
              <w:autoSpaceDN w:val="0"/>
              <w:adjustRightInd w:val="0"/>
              <w:spacing w:after="0" w:line="240" w:lineRule="auto"/>
              <w:rPr>
                <w:rFonts w:ascii="Times New Roman" w:eastAsia="Calibri" w:hAnsi="Times New Roman" w:cs="Times New Roman"/>
                <w:i/>
                <w:iCs/>
                <w:color w:val="000000"/>
                <w:sz w:val="20"/>
                <w:szCs w:val="20"/>
              </w:rPr>
            </w:pPr>
            <w:proofErr w:type="spellStart"/>
            <w:r w:rsidRPr="00A07F29">
              <w:rPr>
                <w:rFonts w:ascii="Times New Roman" w:eastAsia="Calibri" w:hAnsi="Times New Roman" w:cs="Times New Roman"/>
                <w:i/>
                <w:iCs/>
                <w:color w:val="000000"/>
                <w:sz w:val="20"/>
                <w:szCs w:val="20"/>
              </w:rPr>
              <w:t>Mompha</w:t>
            </w:r>
            <w:proofErr w:type="spellEnd"/>
            <w:r w:rsidRPr="00A07F29">
              <w:rPr>
                <w:rFonts w:ascii="Times New Roman" w:eastAsia="Calibri" w:hAnsi="Times New Roman" w:cs="Times New Roman"/>
                <w:i/>
                <w:iCs/>
                <w:color w:val="000000"/>
                <w:sz w:val="20"/>
                <w:szCs w:val="20"/>
              </w:rPr>
              <w:t xml:space="preserve"> </w:t>
            </w:r>
            <w:proofErr w:type="spellStart"/>
            <w:r w:rsidRPr="00A07F29">
              <w:rPr>
                <w:rFonts w:ascii="Times New Roman" w:eastAsia="Calibri" w:hAnsi="Times New Roman" w:cs="Times New Roman"/>
                <w:i/>
                <w:iCs/>
                <w:color w:val="000000"/>
                <w:sz w:val="20"/>
                <w:szCs w:val="20"/>
              </w:rPr>
              <w:t>miscella</w:t>
            </w:r>
            <w:proofErr w:type="spellEnd"/>
          </w:p>
        </w:tc>
        <w:tc>
          <w:tcPr>
            <w:tcW w:w="6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5444A6C" w14:textId="77777777" w:rsidR="0095136F" w:rsidRPr="00A07F29" w:rsidRDefault="0095136F" w:rsidP="004E3F0B">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w:t>
            </w:r>
          </w:p>
        </w:tc>
        <w:tc>
          <w:tcPr>
            <w:tcW w:w="5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7E7C5E9" w14:textId="4EC8D175" w:rsidR="0095136F" w:rsidRPr="00A07F29" w:rsidRDefault="00AB40F2" w:rsidP="004E3F0B">
            <w:pPr>
              <w:suppressAutoHyphens/>
              <w:spacing w:after="0" w:line="240" w:lineRule="auto"/>
              <w:rPr>
                <w:rFonts w:ascii="Times New Roman" w:eastAsia="Calibri" w:hAnsi="Times New Roman" w:cs="Times New Roman"/>
                <w:color w:val="000000"/>
                <w:sz w:val="20"/>
                <w:szCs w:val="20"/>
                <w:lang w:eastAsia="ar-SA"/>
              </w:rPr>
            </w:pPr>
            <w:r>
              <w:rPr>
                <w:rFonts w:ascii="Times New Roman" w:eastAsia="Calibri" w:hAnsi="Times New Roman" w:cs="Times New Roman"/>
                <w:color w:val="000000"/>
                <w:sz w:val="20"/>
                <w:szCs w:val="20"/>
                <w:lang w:eastAsia="ar-SA"/>
              </w:rPr>
              <w:t>L</w:t>
            </w:r>
            <w:r w:rsidR="0095136F" w:rsidRPr="00A07F29">
              <w:rPr>
                <w:rFonts w:ascii="Times New Roman" w:eastAsia="Calibri" w:hAnsi="Times New Roman" w:cs="Times New Roman"/>
                <w:color w:val="000000"/>
                <w:sz w:val="20"/>
                <w:szCs w:val="20"/>
                <w:lang w:eastAsia="ar-SA"/>
              </w:rPr>
              <w:t>SG 3</w:t>
            </w:r>
          </w:p>
        </w:tc>
        <w:tc>
          <w:tcPr>
            <w:tcW w:w="1045" w:type="pct"/>
            <w:tcBorders>
              <w:top w:val="single" w:sz="4" w:space="0" w:color="auto"/>
              <w:left w:val="single" w:sz="4" w:space="0" w:color="auto"/>
              <w:bottom w:val="single" w:sz="4" w:space="0" w:color="auto"/>
              <w:right w:val="single" w:sz="4" w:space="0" w:color="auto"/>
            </w:tcBorders>
            <w:shd w:val="clear" w:color="auto" w:fill="auto"/>
          </w:tcPr>
          <w:p w14:paraId="01A049B9" w14:textId="3CB73F30" w:rsidR="0095136F" w:rsidRPr="00A07F29" w:rsidRDefault="0095136F" w:rsidP="004E3F0B">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 xml:space="preserve">Ļoti reta suga, kas ir zināma tikai no vienas vai dažām </w:t>
            </w:r>
            <w:proofErr w:type="spellStart"/>
            <w:r w:rsidRPr="00A07F29">
              <w:rPr>
                <w:rFonts w:ascii="Times New Roman" w:eastAsia="Calibri" w:hAnsi="Times New Roman" w:cs="Times New Roman"/>
                <w:color w:val="000000"/>
                <w:sz w:val="20"/>
                <w:szCs w:val="20"/>
                <w:lang w:eastAsia="ar-SA"/>
              </w:rPr>
              <w:t>lokalitātēm</w:t>
            </w:r>
            <w:proofErr w:type="spellEnd"/>
            <w:r w:rsidRPr="00A07F29">
              <w:rPr>
                <w:rFonts w:ascii="Times New Roman" w:eastAsia="Calibri" w:hAnsi="Times New Roman" w:cs="Times New Roman"/>
                <w:color w:val="000000"/>
                <w:sz w:val="20"/>
                <w:szCs w:val="20"/>
                <w:lang w:eastAsia="ar-SA"/>
              </w:rPr>
              <w:t>, vienā vai atsevišķos eksemplāros (</w:t>
            </w:r>
            <w:proofErr w:type="spellStart"/>
            <w:r w:rsidRPr="00A07F29">
              <w:rPr>
                <w:rFonts w:ascii="Times New Roman" w:eastAsia="Calibri" w:hAnsi="Times New Roman" w:cs="Times New Roman"/>
                <w:color w:val="000000"/>
                <w:sz w:val="20"/>
                <w:szCs w:val="20"/>
                <w:lang w:eastAsia="ar-SA"/>
              </w:rPr>
              <w:t>Savenkovs</w:t>
            </w:r>
            <w:proofErr w:type="spellEnd"/>
            <w:r w:rsidR="00AB40F2">
              <w:rPr>
                <w:rFonts w:ascii="Times New Roman" w:eastAsia="Calibri" w:hAnsi="Times New Roman" w:cs="Times New Roman"/>
                <w:color w:val="000000"/>
                <w:sz w:val="20"/>
                <w:szCs w:val="20"/>
                <w:lang w:eastAsia="ar-SA"/>
              </w:rPr>
              <w:t xml:space="preserve"> N.</w:t>
            </w:r>
            <w:r w:rsidRPr="00A07F29">
              <w:rPr>
                <w:rFonts w:ascii="Times New Roman" w:eastAsia="Calibri" w:hAnsi="Times New Roman" w:cs="Times New Roman"/>
                <w:color w:val="000000"/>
                <w:sz w:val="20"/>
                <w:szCs w:val="20"/>
                <w:lang w:eastAsia="ar-SA"/>
              </w:rPr>
              <w:t>, Šulcs</w:t>
            </w:r>
            <w:r w:rsidR="00AB40F2">
              <w:rPr>
                <w:rFonts w:ascii="Times New Roman" w:eastAsia="Calibri" w:hAnsi="Times New Roman" w:cs="Times New Roman"/>
                <w:color w:val="000000"/>
                <w:sz w:val="20"/>
                <w:szCs w:val="20"/>
                <w:lang w:eastAsia="ar-SA"/>
              </w:rPr>
              <w:t xml:space="preserve"> I.</w:t>
            </w:r>
            <w:r w:rsidRPr="00A07F29">
              <w:rPr>
                <w:rFonts w:ascii="Times New Roman" w:eastAsia="Calibri" w:hAnsi="Times New Roman" w:cs="Times New Roman"/>
                <w:color w:val="000000"/>
                <w:sz w:val="20"/>
                <w:szCs w:val="20"/>
                <w:lang w:eastAsia="ar-SA"/>
              </w:rPr>
              <w:t>, 2010).</w:t>
            </w:r>
          </w:p>
        </w:tc>
        <w:tc>
          <w:tcPr>
            <w:tcW w:w="971" w:type="pct"/>
            <w:tcBorders>
              <w:top w:val="single" w:sz="4" w:space="0" w:color="auto"/>
              <w:left w:val="single" w:sz="4" w:space="0" w:color="auto"/>
              <w:bottom w:val="single" w:sz="4" w:space="0" w:color="auto"/>
              <w:right w:val="single" w:sz="4" w:space="0" w:color="auto"/>
            </w:tcBorders>
            <w:shd w:val="clear" w:color="auto" w:fill="auto"/>
          </w:tcPr>
          <w:p w14:paraId="7D38FC05" w14:textId="6FCF2141" w:rsidR="0095136F" w:rsidRPr="00A07F29" w:rsidRDefault="0095136F" w:rsidP="004E3F0B">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DA plāna izstrādes laikā suga netika konstatēta.</w:t>
            </w:r>
          </w:p>
        </w:tc>
      </w:tr>
      <w:tr w:rsidR="009072CE" w:rsidRPr="00A07F29" w14:paraId="093A2E94" w14:textId="77777777" w:rsidTr="0095136F">
        <w:trPr>
          <w:cantSplit/>
          <w:trHeight w:val="284"/>
        </w:trPr>
        <w:tc>
          <w:tcPr>
            <w:tcW w:w="894" w:type="pct"/>
            <w:shd w:val="clear" w:color="auto" w:fill="auto"/>
            <w:noWrap/>
            <w:vAlign w:val="center"/>
          </w:tcPr>
          <w:p w14:paraId="78970D50" w14:textId="77777777" w:rsidR="009072CE" w:rsidRPr="00A07F29" w:rsidRDefault="009072CE" w:rsidP="009072CE">
            <w:pPr>
              <w:autoSpaceDE w:val="0"/>
              <w:autoSpaceDN w:val="0"/>
              <w:adjustRightInd w:val="0"/>
              <w:spacing w:after="0" w:line="240" w:lineRule="auto"/>
              <w:rPr>
                <w:rFonts w:ascii="Times New Roman" w:eastAsia="Calibri" w:hAnsi="Times New Roman" w:cs="Times New Roman"/>
                <w:color w:val="000000"/>
                <w:sz w:val="20"/>
                <w:szCs w:val="20"/>
              </w:rPr>
            </w:pPr>
            <w:r w:rsidRPr="00A07F29">
              <w:rPr>
                <w:rFonts w:ascii="Times New Roman" w:eastAsia="Calibri" w:hAnsi="Times New Roman" w:cs="Times New Roman"/>
                <w:color w:val="000000"/>
                <w:sz w:val="20"/>
                <w:szCs w:val="20"/>
              </w:rPr>
              <w:t xml:space="preserve">Čemurziežu </w:t>
            </w:r>
            <w:proofErr w:type="spellStart"/>
            <w:r w:rsidRPr="00A07F29">
              <w:rPr>
                <w:rFonts w:ascii="Times New Roman" w:eastAsia="Calibri" w:hAnsi="Times New Roman" w:cs="Times New Roman"/>
                <w:color w:val="000000"/>
                <w:sz w:val="20"/>
                <w:szCs w:val="20"/>
              </w:rPr>
              <w:t>dižtauriņš</w:t>
            </w:r>
            <w:proofErr w:type="spellEnd"/>
          </w:p>
        </w:tc>
        <w:tc>
          <w:tcPr>
            <w:tcW w:w="821" w:type="pct"/>
            <w:shd w:val="clear" w:color="auto" w:fill="auto"/>
            <w:noWrap/>
            <w:vAlign w:val="center"/>
          </w:tcPr>
          <w:p w14:paraId="55E69D3D" w14:textId="77777777" w:rsidR="009072CE" w:rsidRPr="00A07F29" w:rsidRDefault="009072CE" w:rsidP="009072CE">
            <w:pPr>
              <w:autoSpaceDE w:val="0"/>
              <w:autoSpaceDN w:val="0"/>
              <w:adjustRightInd w:val="0"/>
              <w:spacing w:after="0" w:line="240" w:lineRule="auto"/>
              <w:rPr>
                <w:rFonts w:ascii="Times New Roman" w:eastAsia="Calibri" w:hAnsi="Times New Roman" w:cs="Times New Roman"/>
                <w:color w:val="000000"/>
                <w:sz w:val="20"/>
                <w:szCs w:val="20"/>
              </w:rPr>
            </w:pPr>
            <w:proofErr w:type="spellStart"/>
            <w:r w:rsidRPr="00A07F29">
              <w:rPr>
                <w:rFonts w:ascii="Times New Roman" w:eastAsia="Calibri" w:hAnsi="Times New Roman" w:cs="Times New Roman"/>
                <w:i/>
                <w:iCs/>
                <w:color w:val="000000"/>
                <w:sz w:val="20"/>
                <w:szCs w:val="20"/>
              </w:rPr>
              <w:t>Papilio</w:t>
            </w:r>
            <w:proofErr w:type="spellEnd"/>
            <w:r w:rsidRPr="00A07F29">
              <w:rPr>
                <w:rFonts w:ascii="Times New Roman" w:eastAsia="Calibri" w:hAnsi="Times New Roman" w:cs="Times New Roman"/>
                <w:i/>
                <w:iCs/>
                <w:color w:val="000000"/>
                <w:sz w:val="20"/>
                <w:szCs w:val="20"/>
              </w:rPr>
              <w:t xml:space="preserve"> </w:t>
            </w:r>
            <w:proofErr w:type="spellStart"/>
            <w:r w:rsidRPr="00A07F29">
              <w:rPr>
                <w:rFonts w:ascii="Times New Roman" w:eastAsia="Calibri" w:hAnsi="Times New Roman" w:cs="Times New Roman"/>
                <w:i/>
                <w:iCs/>
                <w:color w:val="000000"/>
                <w:sz w:val="20"/>
                <w:szCs w:val="20"/>
              </w:rPr>
              <w:t>machaon</w:t>
            </w:r>
            <w:proofErr w:type="spellEnd"/>
            <w:r w:rsidRPr="00A07F29">
              <w:rPr>
                <w:rFonts w:ascii="Times New Roman" w:eastAsia="Calibri" w:hAnsi="Times New Roman" w:cs="Times New Roman"/>
                <w:i/>
                <w:iCs/>
                <w:color w:val="000000"/>
                <w:sz w:val="20"/>
                <w:szCs w:val="20"/>
              </w:rPr>
              <w:t xml:space="preserve"> </w:t>
            </w:r>
          </w:p>
        </w:tc>
        <w:tc>
          <w:tcPr>
            <w:tcW w:w="674" w:type="pct"/>
            <w:shd w:val="clear" w:color="auto" w:fill="auto"/>
            <w:noWrap/>
            <w:vAlign w:val="center"/>
          </w:tcPr>
          <w:p w14:paraId="0B2B0BA6" w14:textId="77777777" w:rsidR="009072CE" w:rsidRPr="00A07F29" w:rsidRDefault="009072CE" w:rsidP="009072CE">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w:t>
            </w:r>
          </w:p>
        </w:tc>
        <w:tc>
          <w:tcPr>
            <w:tcW w:w="595" w:type="pct"/>
            <w:shd w:val="clear" w:color="auto" w:fill="auto"/>
            <w:noWrap/>
            <w:vAlign w:val="center"/>
          </w:tcPr>
          <w:p w14:paraId="0D6A94A8" w14:textId="09185ABC" w:rsidR="009072CE" w:rsidRPr="00A07F29" w:rsidRDefault="00AB40F2" w:rsidP="009072CE">
            <w:pPr>
              <w:suppressAutoHyphens/>
              <w:spacing w:after="0" w:line="240" w:lineRule="auto"/>
              <w:rPr>
                <w:rFonts w:ascii="Times New Roman" w:eastAsia="Calibri" w:hAnsi="Times New Roman" w:cs="Times New Roman"/>
                <w:color w:val="000000"/>
                <w:sz w:val="20"/>
                <w:szCs w:val="20"/>
                <w:lang w:eastAsia="ar-SA"/>
              </w:rPr>
            </w:pPr>
            <w:r>
              <w:rPr>
                <w:rFonts w:ascii="Times New Roman" w:eastAsia="Calibri" w:hAnsi="Times New Roman" w:cs="Times New Roman"/>
                <w:color w:val="000000"/>
                <w:sz w:val="20"/>
                <w:szCs w:val="20"/>
                <w:lang w:eastAsia="ar-SA"/>
              </w:rPr>
              <w:t>L</w:t>
            </w:r>
            <w:r w:rsidR="009072CE" w:rsidRPr="00A07F29">
              <w:rPr>
                <w:rFonts w:ascii="Times New Roman" w:eastAsia="Calibri" w:hAnsi="Times New Roman" w:cs="Times New Roman"/>
                <w:color w:val="000000"/>
                <w:sz w:val="20"/>
                <w:szCs w:val="20"/>
                <w:lang w:eastAsia="ar-SA"/>
              </w:rPr>
              <w:t>SG 2</w:t>
            </w:r>
          </w:p>
        </w:tc>
        <w:tc>
          <w:tcPr>
            <w:tcW w:w="1045" w:type="pct"/>
            <w:shd w:val="clear" w:color="auto" w:fill="auto"/>
          </w:tcPr>
          <w:p w14:paraId="4CD5B118" w14:textId="042DBCFD" w:rsidR="009072CE" w:rsidRPr="00A07F29" w:rsidRDefault="009072CE"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Suga samērā bieži sastopama visā Latvijas teritorijā</w:t>
            </w:r>
            <w:r w:rsidR="00D44480">
              <w:rPr>
                <w:rStyle w:val="FootnoteReference"/>
                <w:rFonts w:ascii="Times New Roman" w:eastAsia="Calibri" w:hAnsi="Times New Roman" w:cs="Times New Roman"/>
                <w:color w:val="000000"/>
                <w:sz w:val="20"/>
                <w:szCs w:val="20"/>
                <w:lang w:eastAsia="ar-SA"/>
              </w:rPr>
              <w:footnoteReference w:id="39"/>
            </w:r>
            <w:r w:rsidRPr="00A07F29">
              <w:rPr>
                <w:rFonts w:ascii="Times New Roman" w:eastAsia="Calibri" w:hAnsi="Times New Roman" w:cs="Times New Roman"/>
                <w:color w:val="000000"/>
                <w:sz w:val="20"/>
                <w:szCs w:val="20"/>
                <w:lang w:eastAsia="ar-SA"/>
              </w:rPr>
              <w:t>.</w:t>
            </w:r>
          </w:p>
        </w:tc>
        <w:tc>
          <w:tcPr>
            <w:tcW w:w="971" w:type="pct"/>
            <w:shd w:val="clear" w:color="auto" w:fill="auto"/>
          </w:tcPr>
          <w:p w14:paraId="3CF7CB2C" w14:textId="77777777" w:rsidR="009072CE" w:rsidRPr="00A07F29" w:rsidRDefault="009072CE"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Samērā bieži sastopamā suga dažādos atklātos biotopos.</w:t>
            </w:r>
          </w:p>
        </w:tc>
      </w:tr>
      <w:tr w:rsidR="009072CE" w:rsidRPr="00A07F29" w14:paraId="79710805" w14:textId="77777777" w:rsidTr="0095136F">
        <w:trPr>
          <w:cantSplit/>
          <w:trHeight w:val="284"/>
        </w:trPr>
        <w:tc>
          <w:tcPr>
            <w:tcW w:w="894" w:type="pct"/>
            <w:shd w:val="clear" w:color="auto" w:fill="auto"/>
            <w:noWrap/>
            <w:vAlign w:val="center"/>
          </w:tcPr>
          <w:p w14:paraId="1819A435" w14:textId="77777777" w:rsidR="009072CE" w:rsidRPr="00A07F29" w:rsidRDefault="009072CE" w:rsidP="009072CE">
            <w:pPr>
              <w:autoSpaceDE w:val="0"/>
              <w:autoSpaceDN w:val="0"/>
              <w:adjustRightInd w:val="0"/>
              <w:spacing w:after="0" w:line="240" w:lineRule="auto"/>
              <w:jc w:val="both"/>
              <w:rPr>
                <w:rFonts w:ascii="Times New Roman" w:eastAsia="Calibri" w:hAnsi="Times New Roman" w:cs="Times New Roman"/>
                <w:color w:val="000000"/>
                <w:sz w:val="20"/>
                <w:szCs w:val="20"/>
              </w:rPr>
            </w:pPr>
            <w:proofErr w:type="spellStart"/>
            <w:r w:rsidRPr="00A07F29">
              <w:rPr>
                <w:rFonts w:ascii="Times New Roman" w:eastAsia="Calibri" w:hAnsi="Times New Roman" w:cs="Times New Roman"/>
                <w:color w:val="000000"/>
                <w:sz w:val="20"/>
                <w:szCs w:val="20"/>
              </w:rPr>
              <w:t>Zobspārnu</w:t>
            </w:r>
            <w:proofErr w:type="spellEnd"/>
            <w:r w:rsidRPr="00A07F29">
              <w:rPr>
                <w:rFonts w:ascii="Times New Roman" w:eastAsia="Calibri" w:hAnsi="Times New Roman" w:cs="Times New Roman"/>
                <w:color w:val="000000"/>
                <w:sz w:val="20"/>
                <w:szCs w:val="20"/>
              </w:rPr>
              <w:t xml:space="preserve"> </w:t>
            </w:r>
            <w:proofErr w:type="spellStart"/>
            <w:r w:rsidRPr="00A07F29">
              <w:rPr>
                <w:rFonts w:ascii="Times New Roman" w:eastAsia="Calibri" w:hAnsi="Times New Roman" w:cs="Times New Roman"/>
                <w:color w:val="000000"/>
                <w:sz w:val="20"/>
                <w:szCs w:val="20"/>
              </w:rPr>
              <w:t>sfings</w:t>
            </w:r>
            <w:proofErr w:type="spellEnd"/>
            <w:r w:rsidRPr="00A07F29">
              <w:rPr>
                <w:rFonts w:ascii="Times New Roman" w:eastAsia="Calibri" w:hAnsi="Times New Roman" w:cs="Times New Roman"/>
                <w:color w:val="000000"/>
                <w:sz w:val="20"/>
                <w:szCs w:val="20"/>
              </w:rPr>
              <w:t xml:space="preserve"> </w:t>
            </w:r>
          </w:p>
        </w:tc>
        <w:tc>
          <w:tcPr>
            <w:tcW w:w="821" w:type="pct"/>
            <w:shd w:val="clear" w:color="auto" w:fill="auto"/>
            <w:noWrap/>
            <w:vAlign w:val="center"/>
          </w:tcPr>
          <w:p w14:paraId="2ABD40D3" w14:textId="77777777" w:rsidR="009072CE" w:rsidRPr="00A07F29" w:rsidRDefault="009072CE" w:rsidP="009072CE">
            <w:pPr>
              <w:autoSpaceDE w:val="0"/>
              <w:autoSpaceDN w:val="0"/>
              <w:adjustRightInd w:val="0"/>
              <w:spacing w:after="0" w:line="240" w:lineRule="auto"/>
              <w:jc w:val="both"/>
              <w:rPr>
                <w:rFonts w:ascii="Times New Roman" w:eastAsia="Calibri" w:hAnsi="Times New Roman" w:cs="Times New Roman"/>
                <w:color w:val="000000"/>
                <w:sz w:val="20"/>
                <w:szCs w:val="20"/>
              </w:rPr>
            </w:pPr>
            <w:proofErr w:type="spellStart"/>
            <w:r w:rsidRPr="00A07F29">
              <w:rPr>
                <w:rFonts w:ascii="Times New Roman" w:eastAsia="Calibri" w:hAnsi="Times New Roman" w:cs="Times New Roman"/>
                <w:i/>
                <w:iCs/>
                <w:color w:val="000000"/>
                <w:sz w:val="20"/>
                <w:szCs w:val="20"/>
              </w:rPr>
              <w:t>Proserpinus</w:t>
            </w:r>
            <w:proofErr w:type="spellEnd"/>
            <w:r w:rsidRPr="00A07F29">
              <w:rPr>
                <w:rFonts w:ascii="Times New Roman" w:eastAsia="Calibri" w:hAnsi="Times New Roman" w:cs="Times New Roman"/>
                <w:i/>
                <w:iCs/>
                <w:color w:val="000000"/>
                <w:sz w:val="20"/>
                <w:szCs w:val="20"/>
              </w:rPr>
              <w:t xml:space="preserve"> </w:t>
            </w:r>
            <w:proofErr w:type="spellStart"/>
            <w:r w:rsidRPr="00A07F29">
              <w:rPr>
                <w:rFonts w:ascii="Times New Roman" w:eastAsia="Calibri" w:hAnsi="Times New Roman" w:cs="Times New Roman"/>
                <w:i/>
                <w:iCs/>
                <w:color w:val="000000"/>
                <w:sz w:val="20"/>
                <w:szCs w:val="20"/>
              </w:rPr>
              <w:t>proserpina</w:t>
            </w:r>
            <w:proofErr w:type="spellEnd"/>
            <w:r w:rsidRPr="00A07F29">
              <w:rPr>
                <w:rFonts w:ascii="Times New Roman" w:eastAsia="Calibri" w:hAnsi="Times New Roman" w:cs="Times New Roman"/>
                <w:i/>
                <w:iCs/>
                <w:color w:val="000000"/>
                <w:sz w:val="20"/>
                <w:szCs w:val="20"/>
              </w:rPr>
              <w:t xml:space="preserve"> </w:t>
            </w:r>
          </w:p>
        </w:tc>
        <w:tc>
          <w:tcPr>
            <w:tcW w:w="674" w:type="pct"/>
            <w:shd w:val="clear" w:color="auto" w:fill="auto"/>
            <w:noWrap/>
            <w:vAlign w:val="center"/>
          </w:tcPr>
          <w:p w14:paraId="396CA1A4" w14:textId="490FF8A4" w:rsidR="009072CE" w:rsidRPr="00A07F29" w:rsidRDefault="00844547"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 xml:space="preserve">BD </w:t>
            </w:r>
            <w:r w:rsidR="009072CE" w:rsidRPr="00A07F29">
              <w:rPr>
                <w:rFonts w:ascii="Times New Roman" w:eastAsia="Calibri" w:hAnsi="Times New Roman" w:cs="Times New Roman"/>
                <w:color w:val="000000"/>
                <w:sz w:val="20"/>
                <w:szCs w:val="20"/>
                <w:lang w:eastAsia="ar-SA"/>
              </w:rPr>
              <w:t>IV; ĪAS</w:t>
            </w:r>
          </w:p>
        </w:tc>
        <w:tc>
          <w:tcPr>
            <w:tcW w:w="595" w:type="pct"/>
            <w:shd w:val="clear" w:color="auto" w:fill="auto"/>
            <w:noWrap/>
            <w:vAlign w:val="center"/>
          </w:tcPr>
          <w:p w14:paraId="1781D2E4" w14:textId="77777777" w:rsidR="009072CE" w:rsidRPr="00A07F29" w:rsidRDefault="009072CE"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w:t>
            </w:r>
          </w:p>
        </w:tc>
        <w:tc>
          <w:tcPr>
            <w:tcW w:w="1045" w:type="pct"/>
            <w:shd w:val="clear" w:color="auto" w:fill="auto"/>
          </w:tcPr>
          <w:p w14:paraId="6A844526" w14:textId="78666CE5" w:rsidR="009072CE" w:rsidRPr="00A07F29" w:rsidRDefault="009072CE"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 xml:space="preserve">Latvijā suga atrasta tikai valsts </w:t>
            </w:r>
            <w:r w:rsidR="00CF37E0">
              <w:rPr>
                <w:rFonts w:ascii="Times New Roman" w:eastAsia="Calibri" w:hAnsi="Times New Roman" w:cs="Times New Roman"/>
                <w:color w:val="000000"/>
                <w:sz w:val="20"/>
                <w:szCs w:val="20"/>
                <w:lang w:eastAsia="ar-SA"/>
              </w:rPr>
              <w:t>A</w:t>
            </w:r>
            <w:r w:rsidRPr="00A07F29">
              <w:rPr>
                <w:rFonts w:ascii="Times New Roman" w:eastAsia="Calibri" w:hAnsi="Times New Roman" w:cs="Times New Roman"/>
                <w:color w:val="000000"/>
                <w:sz w:val="20"/>
                <w:szCs w:val="20"/>
                <w:lang w:eastAsia="ar-SA"/>
              </w:rPr>
              <w:t xml:space="preserve"> daļā (</w:t>
            </w:r>
            <w:proofErr w:type="spellStart"/>
            <w:r w:rsidRPr="00A07F29">
              <w:rPr>
                <w:rFonts w:ascii="Times New Roman" w:eastAsia="Calibri" w:hAnsi="Times New Roman" w:cs="Times New Roman"/>
                <w:color w:val="000000"/>
                <w:sz w:val="20"/>
                <w:szCs w:val="20"/>
                <w:lang w:eastAsia="ar-SA"/>
              </w:rPr>
              <w:t>Savenkovs</w:t>
            </w:r>
            <w:proofErr w:type="spellEnd"/>
            <w:r w:rsidR="00595898">
              <w:rPr>
                <w:rFonts w:ascii="Times New Roman" w:eastAsia="Calibri" w:hAnsi="Times New Roman" w:cs="Times New Roman"/>
                <w:color w:val="000000"/>
                <w:sz w:val="20"/>
                <w:szCs w:val="20"/>
                <w:lang w:eastAsia="ar-SA"/>
              </w:rPr>
              <w:t xml:space="preserve"> N.</w:t>
            </w:r>
            <w:r w:rsidRPr="00A07F29">
              <w:rPr>
                <w:rFonts w:ascii="Times New Roman" w:eastAsia="Calibri" w:hAnsi="Times New Roman" w:cs="Times New Roman"/>
                <w:color w:val="000000"/>
                <w:sz w:val="20"/>
                <w:szCs w:val="20"/>
                <w:lang w:eastAsia="ar-SA"/>
              </w:rPr>
              <w:t>, 2018).</w:t>
            </w:r>
          </w:p>
        </w:tc>
        <w:tc>
          <w:tcPr>
            <w:tcW w:w="971" w:type="pct"/>
            <w:shd w:val="clear" w:color="auto" w:fill="auto"/>
          </w:tcPr>
          <w:p w14:paraId="6F5DB837" w14:textId="558E2D33" w:rsidR="009072CE" w:rsidRPr="00A07F29" w:rsidRDefault="00BF0E06"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DA plāna</w:t>
            </w:r>
            <w:r w:rsidR="009072CE" w:rsidRPr="00A07F29">
              <w:rPr>
                <w:rFonts w:ascii="Times New Roman" w:eastAsia="Calibri" w:hAnsi="Times New Roman" w:cs="Times New Roman"/>
                <w:color w:val="000000"/>
                <w:sz w:val="20"/>
                <w:szCs w:val="20"/>
                <w:lang w:eastAsia="ar-SA"/>
              </w:rPr>
              <w:t xml:space="preserve"> izstrādes laikā suga netika konstatēta.</w:t>
            </w:r>
          </w:p>
        </w:tc>
      </w:tr>
      <w:tr w:rsidR="009072CE" w:rsidRPr="00A07F29" w14:paraId="100F29D6" w14:textId="77777777" w:rsidTr="0095136F">
        <w:trPr>
          <w:cantSplit/>
          <w:trHeight w:val="284"/>
        </w:trPr>
        <w:tc>
          <w:tcPr>
            <w:tcW w:w="894" w:type="pct"/>
            <w:shd w:val="clear" w:color="auto" w:fill="auto"/>
            <w:noWrap/>
            <w:vAlign w:val="center"/>
          </w:tcPr>
          <w:p w14:paraId="004D9358" w14:textId="77777777" w:rsidR="009072CE" w:rsidRPr="00A07F29" w:rsidRDefault="009072CE" w:rsidP="009072CE">
            <w:pPr>
              <w:autoSpaceDE w:val="0"/>
              <w:autoSpaceDN w:val="0"/>
              <w:adjustRightInd w:val="0"/>
              <w:spacing w:after="0" w:line="240" w:lineRule="auto"/>
              <w:rPr>
                <w:rFonts w:ascii="Times New Roman" w:eastAsia="Calibri" w:hAnsi="Times New Roman" w:cs="Times New Roman"/>
                <w:color w:val="000000"/>
                <w:sz w:val="20"/>
                <w:szCs w:val="20"/>
              </w:rPr>
            </w:pPr>
            <w:r w:rsidRPr="00A07F29">
              <w:rPr>
                <w:rFonts w:ascii="Times New Roman" w:eastAsia="Calibri" w:hAnsi="Times New Roman" w:cs="Times New Roman"/>
                <w:color w:val="000000"/>
                <w:sz w:val="20"/>
                <w:szCs w:val="20"/>
              </w:rPr>
              <w:t xml:space="preserve">Ģipseņu </w:t>
            </w:r>
            <w:proofErr w:type="spellStart"/>
            <w:r w:rsidRPr="00A07F29">
              <w:rPr>
                <w:rFonts w:ascii="Times New Roman" w:eastAsia="Calibri" w:hAnsi="Times New Roman" w:cs="Times New Roman"/>
                <w:color w:val="000000"/>
                <w:sz w:val="20"/>
                <w:szCs w:val="20"/>
              </w:rPr>
              <w:t>tinējkode</w:t>
            </w:r>
            <w:proofErr w:type="spellEnd"/>
            <w:r w:rsidRPr="00A07F29">
              <w:rPr>
                <w:rFonts w:ascii="Times New Roman" w:eastAsia="Calibri" w:hAnsi="Times New Roman" w:cs="Times New Roman"/>
                <w:color w:val="000000"/>
                <w:sz w:val="20"/>
                <w:szCs w:val="20"/>
              </w:rPr>
              <w:t xml:space="preserve"> </w:t>
            </w:r>
          </w:p>
        </w:tc>
        <w:tc>
          <w:tcPr>
            <w:tcW w:w="821" w:type="pct"/>
            <w:shd w:val="clear" w:color="auto" w:fill="auto"/>
            <w:noWrap/>
            <w:vAlign w:val="center"/>
          </w:tcPr>
          <w:p w14:paraId="3B1A3D42" w14:textId="77777777" w:rsidR="009072CE" w:rsidRPr="00A07F29" w:rsidRDefault="009072CE" w:rsidP="009072CE">
            <w:pPr>
              <w:autoSpaceDE w:val="0"/>
              <w:autoSpaceDN w:val="0"/>
              <w:adjustRightInd w:val="0"/>
              <w:spacing w:after="0" w:line="240" w:lineRule="auto"/>
              <w:rPr>
                <w:rFonts w:ascii="Times New Roman" w:eastAsia="Calibri" w:hAnsi="Times New Roman" w:cs="Times New Roman"/>
                <w:color w:val="000000"/>
                <w:sz w:val="20"/>
                <w:szCs w:val="20"/>
              </w:rPr>
            </w:pPr>
            <w:proofErr w:type="spellStart"/>
            <w:r w:rsidRPr="00A07F29">
              <w:rPr>
                <w:rFonts w:ascii="Times New Roman" w:eastAsia="Calibri" w:hAnsi="Times New Roman" w:cs="Times New Roman"/>
                <w:i/>
                <w:iCs/>
                <w:color w:val="000000"/>
                <w:sz w:val="20"/>
                <w:szCs w:val="20"/>
              </w:rPr>
              <w:t>Scythris</w:t>
            </w:r>
            <w:proofErr w:type="spellEnd"/>
            <w:r w:rsidRPr="00A07F29">
              <w:rPr>
                <w:rFonts w:ascii="Times New Roman" w:eastAsia="Calibri" w:hAnsi="Times New Roman" w:cs="Times New Roman"/>
                <w:i/>
                <w:iCs/>
                <w:color w:val="000000"/>
                <w:sz w:val="20"/>
                <w:szCs w:val="20"/>
              </w:rPr>
              <w:t xml:space="preserve"> </w:t>
            </w:r>
            <w:proofErr w:type="spellStart"/>
            <w:r w:rsidRPr="00A07F29">
              <w:rPr>
                <w:rFonts w:ascii="Times New Roman" w:eastAsia="Calibri" w:hAnsi="Times New Roman" w:cs="Times New Roman"/>
                <w:i/>
                <w:iCs/>
                <w:color w:val="000000"/>
                <w:sz w:val="20"/>
                <w:szCs w:val="20"/>
              </w:rPr>
              <w:t>emichi</w:t>
            </w:r>
            <w:proofErr w:type="spellEnd"/>
            <w:r w:rsidRPr="00A07F29">
              <w:rPr>
                <w:rFonts w:ascii="Times New Roman" w:eastAsia="Calibri" w:hAnsi="Times New Roman" w:cs="Times New Roman"/>
                <w:i/>
                <w:iCs/>
                <w:color w:val="000000"/>
                <w:sz w:val="20"/>
                <w:szCs w:val="20"/>
              </w:rPr>
              <w:t xml:space="preserve"> </w:t>
            </w:r>
          </w:p>
        </w:tc>
        <w:tc>
          <w:tcPr>
            <w:tcW w:w="674" w:type="pct"/>
            <w:shd w:val="clear" w:color="auto" w:fill="auto"/>
            <w:noWrap/>
            <w:vAlign w:val="center"/>
          </w:tcPr>
          <w:p w14:paraId="78ACDFD8" w14:textId="77777777" w:rsidR="009072CE" w:rsidRPr="00A07F29" w:rsidRDefault="009072CE" w:rsidP="009072CE">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w:t>
            </w:r>
          </w:p>
        </w:tc>
        <w:tc>
          <w:tcPr>
            <w:tcW w:w="595" w:type="pct"/>
            <w:shd w:val="clear" w:color="auto" w:fill="auto"/>
            <w:noWrap/>
            <w:vAlign w:val="center"/>
          </w:tcPr>
          <w:p w14:paraId="1B146C04" w14:textId="5B20EF74" w:rsidR="009072CE" w:rsidRPr="00A07F29" w:rsidRDefault="00595898" w:rsidP="009072CE">
            <w:pPr>
              <w:suppressAutoHyphens/>
              <w:spacing w:after="0" w:line="240" w:lineRule="auto"/>
              <w:rPr>
                <w:rFonts w:ascii="Times New Roman" w:eastAsia="Calibri" w:hAnsi="Times New Roman" w:cs="Times New Roman"/>
                <w:color w:val="000000"/>
                <w:sz w:val="20"/>
                <w:szCs w:val="20"/>
                <w:lang w:eastAsia="ar-SA"/>
              </w:rPr>
            </w:pPr>
            <w:r>
              <w:rPr>
                <w:rFonts w:ascii="Times New Roman" w:eastAsia="Calibri" w:hAnsi="Times New Roman" w:cs="Times New Roman"/>
                <w:color w:val="000000"/>
                <w:sz w:val="20"/>
                <w:szCs w:val="20"/>
                <w:lang w:eastAsia="ar-SA"/>
              </w:rPr>
              <w:t>L</w:t>
            </w:r>
            <w:r w:rsidR="009072CE" w:rsidRPr="00A07F29">
              <w:rPr>
                <w:rFonts w:ascii="Times New Roman" w:eastAsia="Calibri" w:hAnsi="Times New Roman" w:cs="Times New Roman"/>
                <w:color w:val="000000"/>
                <w:sz w:val="20"/>
                <w:szCs w:val="20"/>
                <w:lang w:eastAsia="ar-SA"/>
              </w:rPr>
              <w:t>SG 3</w:t>
            </w:r>
          </w:p>
        </w:tc>
        <w:tc>
          <w:tcPr>
            <w:tcW w:w="1045" w:type="pct"/>
            <w:shd w:val="clear" w:color="auto" w:fill="auto"/>
          </w:tcPr>
          <w:p w14:paraId="79808362" w14:textId="6075E3C5" w:rsidR="009072CE" w:rsidRPr="00A07F29" w:rsidRDefault="009072CE"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 xml:space="preserve">Reta suga, kas ir sastopama lokāli un </w:t>
            </w:r>
            <w:proofErr w:type="spellStart"/>
            <w:r w:rsidRPr="00A07F29">
              <w:rPr>
                <w:rFonts w:ascii="Times New Roman" w:eastAsia="Calibri" w:hAnsi="Times New Roman" w:cs="Times New Roman"/>
                <w:color w:val="000000"/>
                <w:sz w:val="20"/>
                <w:szCs w:val="20"/>
                <w:lang w:eastAsia="ar-SA"/>
              </w:rPr>
              <w:t>mazskaitlīgi</w:t>
            </w:r>
            <w:proofErr w:type="spellEnd"/>
            <w:r w:rsidRPr="00A07F29">
              <w:rPr>
                <w:rFonts w:ascii="Times New Roman" w:eastAsia="Calibri" w:hAnsi="Times New Roman" w:cs="Times New Roman"/>
                <w:color w:val="000000"/>
                <w:sz w:val="20"/>
                <w:szCs w:val="20"/>
                <w:lang w:eastAsia="ar-SA"/>
              </w:rPr>
              <w:t xml:space="preserve"> (</w:t>
            </w:r>
            <w:proofErr w:type="spellStart"/>
            <w:r w:rsidRPr="00A07F29">
              <w:rPr>
                <w:rFonts w:ascii="Times New Roman" w:eastAsia="Calibri" w:hAnsi="Times New Roman" w:cs="Times New Roman"/>
                <w:color w:val="000000"/>
                <w:sz w:val="20"/>
                <w:szCs w:val="20"/>
                <w:lang w:eastAsia="ar-SA"/>
              </w:rPr>
              <w:t>Savenkovs</w:t>
            </w:r>
            <w:proofErr w:type="spellEnd"/>
            <w:r w:rsidR="00595898">
              <w:rPr>
                <w:rFonts w:ascii="Times New Roman" w:eastAsia="Calibri" w:hAnsi="Times New Roman" w:cs="Times New Roman"/>
                <w:color w:val="000000"/>
                <w:sz w:val="20"/>
                <w:szCs w:val="20"/>
                <w:lang w:eastAsia="ar-SA"/>
              </w:rPr>
              <w:t xml:space="preserve"> N.</w:t>
            </w:r>
            <w:r w:rsidRPr="00A07F29">
              <w:rPr>
                <w:rFonts w:ascii="Times New Roman" w:eastAsia="Calibri" w:hAnsi="Times New Roman" w:cs="Times New Roman"/>
                <w:color w:val="000000"/>
                <w:sz w:val="20"/>
                <w:szCs w:val="20"/>
                <w:lang w:eastAsia="ar-SA"/>
              </w:rPr>
              <w:t>, Šulcs</w:t>
            </w:r>
            <w:r w:rsidR="00595898">
              <w:rPr>
                <w:rFonts w:ascii="Times New Roman" w:eastAsia="Calibri" w:hAnsi="Times New Roman" w:cs="Times New Roman"/>
                <w:color w:val="000000"/>
                <w:sz w:val="20"/>
                <w:szCs w:val="20"/>
                <w:lang w:eastAsia="ar-SA"/>
              </w:rPr>
              <w:t xml:space="preserve"> I.</w:t>
            </w:r>
            <w:r w:rsidRPr="00A07F29">
              <w:rPr>
                <w:rFonts w:ascii="Times New Roman" w:eastAsia="Calibri" w:hAnsi="Times New Roman" w:cs="Times New Roman"/>
                <w:color w:val="000000"/>
                <w:sz w:val="20"/>
                <w:szCs w:val="20"/>
                <w:lang w:eastAsia="ar-SA"/>
              </w:rPr>
              <w:t>, 2010).</w:t>
            </w:r>
          </w:p>
        </w:tc>
        <w:tc>
          <w:tcPr>
            <w:tcW w:w="971" w:type="pct"/>
            <w:shd w:val="clear" w:color="auto" w:fill="auto"/>
          </w:tcPr>
          <w:p w14:paraId="523D2DB4" w14:textId="4A68EE98" w:rsidR="009072CE" w:rsidRPr="00A07F29" w:rsidRDefault="00BF0E06"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DA plāna</w:t>
            </w:r>
            <w:r w:rsidR="009072CE" w:rsidRPr="00A07F29">
              <w:rPr>
                <w:rFonts w:ascii="Times New Roman" w:eastAsia="Calibri" w:hAnsi="Times New Roman" w:cs="Times New Roman"/>
                <w:color w:val="000000"/>
                <w:sz w:val="20"/>
                <w:szCs w:val="20"/>
                <w:lang w:eastAsia="ar-SA"/>
              </w:rPr>
              <w:t xml:space="preserve"> izstrādes laikā suga netika konstatēta.</w:t>
            </w:r>
          </w:p>
        </w:tc>
      </w:tr>
      <w:tr w:rsidR="009072CE" w:rsidRPr="00A07F29" w14:paraId="085F65B6" w14:textId="77777777" w:rsidTr="0095136F">
        <w:trPr>
          <w:cantSplit/>
          <w:trHeight w:val="284"/>
        </w:trPr>
        <w:tc>
          <w:tcPr>
            <w:tcW w:w="894" w:type="pct"/>
            <w:shd w:val="clear" w:color="auto" w:fill="auto"/>
            <w:noWrap/>
            <w:vAlign w:val="center"/>
          </w:tcPr>
          <w:p w14:paraId="30C4A93F" w14:textId="77777777" w:rsidR="009072CE" w:rsidRPr="00A07F29" w:rsidRDefault="009072CE" w:rsidP="009072CE">
            <w:pPr>
              <w:autoSpaceDE w:val="0"/>
              <w:autoSpaceDN w:val="0"/>
              <w:adjustRightInd w:val="0"/>
              <w:spacing w:after="0" w:line="240" w:lineRule="auto"/>
              <w:rPr>
                <w:rFonts w:ascii="Times New Roman" w:eastAsia="Calibri" w:hAnsi="Times New Roman" w:cs="Times New Roman"/>
                <w:color w:val="000000"/>
                <w:sz w:val="20"/>
                <w:szCs w:val="20"/>
              </w:rPr>
            </w:pPr>
            <w:proofErr w:type="spellStart"/>
            <w:r w:rsidRPr="00A07F29">
              <w:rPr>
                <w:rFonts w:ascii="Times New Roman" w:eastAsia="Calibri" w:hAnsi="Times New Roman" w:cs="Times New Roman"/>
                <w:color w:val="000000"/>
                <w:sz w:val="20"/>
                <w:szCs w:val="20"/>
              </w:rPr>
              <w:t>Esparsetu</w:t>
            </w:r>
            <w:proofErr w:type="spellEnd"/>
            <w:r w:rsidRPr="00A07F29">
              <w:rPr>
                <w:rFonts w:ascii="Times New Roman" w:eastAsia="Calibri" w:hAnsi="Times New Roman" w:cs="Times New Roman"/>
                <w:color w:val="000000"/>
                <w:sz w:val="20"/>
                <w:szCs w:val="20"/>
              </w:rPr>
              <w:t xml:space="preserve"> </w:t>
            </w:r>
            <w:proofErr w:type="spellStart"/>
            <w:r w:rsidRPr="00A07F29">
              <w:rPr>
                <w:rFonts w:ascii="Times New Roman" w:eastAsia="Calibri" w:hAnsi="Times New Roman" w:cs="Times New Roman"/>
                <w:color w:val="000000"/>
                <w:sz w:val="20"/>
                <w:szCs w:val="20"/>
              </w:rPr>
              <w:t>raibspārnis</w:t>
            </w:r>
            <w:proofErr w:type="spellEnd"/>
            <w:r w:rsidRPr="00A07F29">
              <w:rPr>
                <w:rFonts w:ascii="Times New Roman" w:eastAsia="Calibri" w:hAnsi="Times New Roman" w:cs="Times New Roman"/>
                <w:color w:val="000000"/>
                <w:sz w:val="20"/>
                <w:szCs w:val="20"/>
              </w:rPr>
              <w:t xml:space="preserve"> </w:t>
            </w:r>
          </w:p>
        </w:tc>
        <w:tc>
          <w:tcPr>
            <w:tcW w:w="821" w:type="pct"/>
            <w:shd w:val="clear" w:color="auto" w:fill="auto"/>
            <w:noWrap/>
            <w:vAlign w:val="center"/>
          </w:tcPr>
          <w:p w14:paraId="039D99B3" w14:textId="77777777" w:rsidR="009072CE" w:rsidRPr="00A07F29" w:rsidRDefault="009072CE" w:rsidP="009072CE">
            <w:pPr>
              <w:autoSpaceDE w:val="0"/>
              <w:autoSpaceDN w:val="0"/>
              <w:adjustRightInd w:val="0"/>
              <w:spacing w:after="0" w:line="240" w:lineRule="auto"/>
              <w:rPr>
                <w:rFonts w:ascii="Times New Roman" w:eastAsia="Calibri" w:hAnsi="Times New Roman" w:cs="Times New Roman"/>
                <w:color w:val="000000"/>
                <w:sz w:val="20"/>
                <w:szCs w:val="20"/>
              </w:rPr>
            </w:pPr>
            <w:proofErr w:type="spellStart"/>
            <w:r w:rsidRPr="00A07F29">
              <w:rPr>
                <w:rFonts w:ascii="Times New Roman" w:eastAsia="Calibri" w:hAnsi="Times New Roman" w:cs="Times New Roman"/>
                <w:i/>
                <w:iCs/>
                <w:color w:val="000000"/>
                <w:sz w:val="20"/>
                <w:szCs w:val="20"/>
              </w:rPr>
              <w:t>Zygaena</w:t>
            </w:r>
            <w:proofErr w:type="spellEnd"/>
            <w:r w:rsidRPr="00A07F29">
              <w:rPr>
                <w:rFonts w:ascii="Times New Roman" w:eastAsia="Calibri" w:hAnsi="Times New Roman" w:cs="Times New Roman"/>
                <w:i/>
                <w:iCs/>
                <w:color w:val="000000"/>
                <w:sz w:val="20"/>
                <w:szCs w:val="20"/>
              </w:rPr>
              <w:t xml:space="preserve"> </w:t>
            </w:r>
            <w:proofErr w:type="spellStart"/>
            <w:r w:rsidRPr="00A07F29">
              <w:rPr>
                <w:rFonts w:ascii="Times New Roman" w:eastAsia="Calibri" w:hAnsi="Times New Roman" w:cs="Times New Roman"/>
                <w:i/>
                <w:iCs/>
                <w:color w:val="000000"/>
                <w:sz w:val="20"/>
                <w:szCs w:val="20"/>
              </w:rPr>
              <w:t>carniolica</w:t>
            </w:r>
            <w:proofErr w:type="spellEnd"/>
            <w:r w:rsidRPr="00A07F29">
              <w:rPr>
                <w:rFonts w:ascii="Times New Roman" w:eastAsia="Calibri" w:hAnsi="Times New Roman" w:cs="Times New Roman"/>
                <w:i/>
                <w:iCs/>
                <w:color w:val="000000"/>
                <w:sz w:val="20"/>
                <w:szCs w:val="20"/>
              </w:rPr>
              <w:t xml:space="preserve"> </w:t>
            </w:r>
          </w:p>
        </w:tc>
        <w:tc>
          <w:tcPr>
            <w:tcW w:w="674" w:type="pct"/>
            <w:shd w:val="clear" w:color="auto" w:fill="auto"/>
            <w:noWrap/>
            <w:vAlign w:val="center"/>
          </w:tcPr>
          <w:p w14:paraId="501E2A43" w14:textId="04C29109" w:rsidR="009072CE" w:rsidRPr="00A07F29" w:rsidRDefault="009072CE" w:rsidP="009072CE">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ĪAS</w:t>
            </w:r>
          </w:p>
        </w:tc>
        <w:tc>
          <w:tcPr>
            <w:tcW w:w="595" w:type="pct"/>
            <w:shd w:val="clear" w:color="auto" w:fill="auto"/>
            <w:noWrap/>
            <w:vAlign w:val="center"/>
          </w:tcPr>
          <w:p w14:paraId="30483C0F" w14:textId="25AFD762" w:rsidR="009072CE" w:rsidRPr="00A07F29" w:rsidRDefault="00595898" w:rsidP="009072CE">
            <w:pPr>
              <w:suppressAutoHyphens/>
              <w:spacing w:after="0" w:line="240" w:lineRule="auto"/>
              <w:rPr>
                <w:rFonts w:ascii="Times New Roman" w:eastAsia="Calibri" w:hAnsi="Times New Roman" w:cs="Times New Roman"/>
                <w:color w:val="000000"/>
                <w:sz w:val="20"/>
                <w:szCs w:val="20"/>
                <w:lang w:eastAsia="ar-SA"/>
              </w:rPr>
            </w:pPr>
            <w:r>
              <w:rPr>
                <w:rFonts w:ascii="Times New Roman" w:eastAsia="Calibri" w:hAnsi="Times New Roman" w:cs="Times New Roman"/>
                <w:color w:val="000000"/>
                <w:sz w:val="20"/>
                <w:szCs w:val="20"/>
                <w:lang w:eastAsia="ar-SA"/>
              </w:rPr>
              <w:t>L</w:t>
            </w:r>
            <w:r w:rsidR="009072CE" w:rsidRPr="00A07F29">
              <w:rPr>
                <w:rFonts w:ascii="Times New Roman" w:eastAsia="Calibri" w:hAnsi="Times New Roman" w:cs="Times New Roman"/>
                <w:color w:val="000000"/>
                <w:sz w:val="20"/>
                <w:szCs w:val="20"/>
                <w:lang w:eastAsia="ar-SA"/>
              </w:rPr>
              <w:t>SG 1</w:t>
            </w:r>
          </w:p>
        </w:tc>
        <w:tc>
          <w:tcPr>
            <w:tcW w:w="1045" w:type="pct"/>
            <w:shd w:val="clear" w:color="auto" w:fill="auto"/>
          </w:tcPr>
          <w:p w14:paraId="5E34DE9E" w14:textId="327B3912" w:rsidR="009072CE" w:rsidRPr="00A07F29" w:rsidRDefault="009072CE"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Ļoti reta suga. Vienīgā populācija Latvijā bija zināma Šķaunes osā, pēdējie novērojumi 1987.</w:t>
            </w:r>
            <w:r w:rsidR="00595898">
              <w:rPr>
                <w:rFonts w:ascii="Times New Roman" w:eastAsia="Calibri" w:hAnsi="Times New Roman" w:cs="Times New Roman"/>
                <w:color w:val="000000"/>
                <w:sz w:val="20"/>
                <w:szCs w:val="20"/>
                <w:lang w:eastAsia="ar-SA"/>
              </w:rPr>
              <w:t> </w:t>
            </w:r>
            <w:r w:rsidRPr="00A07F29">
              <w:rPr>
                <w:rFonts w:ascii="Times New Roman" w:eastAsia="Calibri" w:hAnsi="Times New Roman" w:cs="Times New Roman"/>
                <w:color w:val="000000"/>
                <w:sz w:val="20"/>
                <w:szCs w:val="20"/>
                <w:lang w:eastAsia="ar-SA"/>
              </w:rPr>
              <w:t>gadā (</w:t>
            </w:r>
            <w:proofErr w:type="spellStart"/>
            <w:r w:rsidRPr="00A07F29">
              <w:rPr>
                <w:rFonts w:ascii="Times New Roman" w:eastAsia="Calibri" w:hAnsi="Times New Roman" w:cs="Times New Roman"/>
                <w:color w:val="000000"/>
                <w:sz w:val="20"/>
                <w:szCs w:val="20"/>
                <w:lang w:eastAsia="ar-SA"/>
              </w:rPr>
              <w:t>Savenkovs</w:t>
            </w:r>
            <w:proofErr w:type="spellEnd"/>
            <w:r w:rsidR="00595898">
              <w:rPr>
                <w:rFonts w:ascii="Times New Roman" w:eastAsia="Calibri" w:hAnsi="Times New Roman" w:cs="Times New Roman"/>
                <w:color w:val="000000"/>
                <w:sz w:val="20"/>
                <w:szCs w:val="20"/>
                <w:lang w:eastAsia="ar-SA"/>
              </w:rPr>
              <w:t xml:space="preserve"> N.</w:t>
            </w:r>
            <w:r w:rsidRPr="00A07F29">
              <w:rPr>
                <w:rFonts w:ascii="Times New Roman" w:eastAsia="Calibri" w:hAnsi="Times New Roman" w:cs="Times New Roman"/>
                <w:color w:val="000000"/>
                <w:sz w:val="20"/>
                <w:szCs w:val="20"/>
                <w:lang w:eastAsia="ar-SA"/>
              </w:rPr>
              <w:t>, 2018).</w:t>
            </w:r>
          </w:p>
        </w:tc>
        <w:tc>
          <w:tcPr>
            <w:tcW w:w="971" w:type="pct"/>
            <w:shd w:val="clear" w:color="auto" w:fill="auto"/>
          </w:tcPr>
          <w:p w14:paraId="2D4D4511" w14:textId="22972CF2" w:rsidR="009072CE" w:rsidRPr="00A07F29" w:rsidRDefault="009072CE"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Zināmi tikai vēsturiski dati (</w:t>
            </w:r>
            <w:proofErr w:type="spellStart"/>
            <w:r w:rsidRPr="00A07F29">
              <w:rPr>
                <w:rFonts w:ascii="Times New Roman" w:eastAsia="Calibri" w:hAnsi="Times New Roman" w:cs="Times New Roman"/>
                <w:color w:val="000000"/>
                <w:sz w:val="20"/>
                <w:szCs w:val="20"/>
                <w:lang w:eastAsia="ar-SA"/>
              </w:rPr>
              <w:t>Spuris</w:t>
            </w:r>
            <w:proofErr w:type="spellEnd"/>
            <w:r w:rsidR="002A67B7">
              <w:rPr>
                <w:rFonts w:ascii="Times New Roman" w:eastAsia="Calibri" w:hAnsi="Times New Roman" w:cs="Times New Roman"/>
                <w:color w:val="000000"/>
                <w:sz w:val="20"/>
                <w:szCs w:val="20"/>
                <w:lang w:eastAsia="ar-SA"/>
              </w:rPr>
              <w:t xml:space="preserve"> Z.</w:t>
            </w:r>
            <w:r w:rsidRPr="00A07F29">
              <w:rPr>
                <w:rFonts w:ascii="Times New Roman" w:eastAsia="Calibri" w:hAnsi="Times New Roman" w:cs="Times New Roman"/>
                <w:color w:val="000000"/>
                <w:sz w:val="20"/>
                <w:szCs w:val="20"/>
                <w:lang w:eastAsia="ar-SA"/>
              </w:rPr>
              <w:t xml:space="preserve">, 1998) par sugas sastopamību AAA teritorijā. </w:t>
            </w:r>
          </w:p>
        </w:tc>
      </w:tr>
      <w:tr w:rsidR="009072CE" w:rsidRPr="00A07F29" w14:paraId="42196645" w14:textId="77777777" w:rsidTr="009056A3">
        <w:trPr>
          <w:cantSplit/>
          <w:trHeight w:val="284"/>
        </w:trPr>
        <w:tc>
          <w:tcPr>
            <w:tcW w:w="5000" w:type="pct"/>
            <w:gridSpan w:val="6"/>
            <w:shd w:val="clear" w:color="auto" w:fill="EAF1DD"/>
            <w:noWrap/>
          </w:tcPr>
          <w:p w14:paraId="4ECDA400" w14:textId="77777777" w:rsidR="009072CE" w:rsidRPr="00A07F29" w:rsidRDefault="009072CE"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b/>
                <w:color w:val="000000"/>
                <w:sz w:val="20"/>
                <w:szCs w:val="20"/>
                <w:lang w:eastAsia="ar-SA"/>
              </w:rPr>
              <w:t>Pl</w:t>
            </w:r>
            <w:r w:rsidRPr="00A07F29">
              <w:rPr>
                <w:rFonts w:ascii="Times New Roman" w:eastAsia="Calibri" w:hAnsi="Times New Roman" w:cs="Times New Roman"/>
                <w:b/>
                <w:color w:val="000000"/>
                <w:spacing w:val="-1"/>
                <w:sz w:val="20"/>
                <w:szCs w:val="20"/>
                <w:lang w:eastAsia="ar-SA"/>
              </w:rPr>
              <w:t>ē</w:t>
            </w:r>
            <w:r w:rsidRPr="00A07F29">
              <w:rPr>
                <w:rFonts w:ascii="Times New Roman" w:eastAsia="Calibri" w:hAnsi="Times New Roman" w:cs="Times New Roman"/>
                <w:b/>
                <w:color w:val="000000"/>
                <w:spacing w:val="-1"/>
                <w:w w:val="99"/>
                <w:sz w:val="20"/>
                <w:szCs w:val="20"/>
                <w:lang w:eastAsia="ar-SA"/>
              </w:rPr>
              <w:t>v</w:t>
            </w:r>
            <w:r w:rsidRPr="00A07F29">
              <w:rPr>
                <w:rFonts w:ascii="Times New Roman" w:eastAsia="Calibri" w:hAnsi="Times New Roman" w:cs="Times New Roman"/>
                <w:b/>
                <w:color w:val="000000"/>
                <w:w w:val="99"/>
                <w:sz w:val="20"/>
                <w:szCs w:val="20"/>
                <w:lang w:eastAsia="ar-SA"/>
              </w:rPr>
              <w:t>s</w:t>
            </w:r>
            <w:r w:rsidRPr="00A07F29">
              <w:rPr>
                <w:rFonts w:ascii="Times New Roman" w:eastAsia="Calibri" w:hAnsi="Times New Roman" w:cs="Times New Roman"/>
                <w:b/>
                <w:color w:val="000000"/>
                <w:spacing w:val="1"/>
                <w:w w:val="99"/>
                <w:sz w:val="20"/>
                <w:szCs w:val="20"/>
                <w:lang w:eastAsia="ar-SA"/>
              </w:rPr>
              <w:t>p</w:t>
            </w:r>
            <w:r w:rsidRPr="00A07F29">
              <w:rPr>
                <w:rFonts w:ascii="Times New Roman" w:eastAsia="Calibri" w:hAnsi="Times New Roman" w:cs="Times New Roman"/>
                <w:b/>
                <w:color w:val="000000"/>
                <w:spacing w:val="-1"/>
                <w:w w:val="112"/>
                <w:sz w:val="20"/>
                <w:szCs w:val="20"/>
                <w:lang w:eastAsia="ar-SA"/>
              </w:rPr>
              <w:t>ā</w:t>
            </w:r>
            <w:r w:rsidRPr="00A07F29">
              <w:rPr>
                <w:rFonts w:ascii="Times New Roman" w:eastAsia="Calibri" w:hAnsi="Times New Roman" w:cs="Times New Roman"/>
                <w:b/>
                <w:color w:val="000000"/>
                <w:spacing w:val="2"/>
                <w:sz w:val="20"/>
                <w:szCs w:val="20"/>
                <w:lang w:eastAsia="ar-SA"/>
              </w:rPr>
              <w:t>r</w:t>
            </w:r>
            <w:r w:rsidRPr="00A07F29">
              <w:rPr>
                <w:rFonts w:ascii="Times New Roman" w:eastAsia="Calibri" w:hAnsi="Times New Roman" w:cs="Times New Roman"/>
                <w:b/>
                <w:color w:val="000000"/>
                <w:sz w:val="20"/>
                <w:szCs w:val="20"/>
                <w:lang w:eastAsia="ar-SA"/>
              </w:rPr>
              <w:t>ņi</w:t>
            </w:r>
            <w:r w:rsidRPr="00A07F29">
              <w:rPr>
                <w:rFonts w:ascii="Times New Roman" w:eastAsia="Calibri" w:hAnsi="Times New Roman" w:cs="Times New Roman"/>
                <w:b/>
                <w:color w:val="000000"/>
                <w:spacing w:val="1"/>
                <w:sz w:val="20"/>
                <w:szCs w:val="20"/>
                <w:lang w:eastAsia="ar-SA"/>
              </w:rPr>
              <w:t xml:space="preserve"> </w:t>
            </w:r>
            <w:proofErr w:type="spellStart"/>
            <w:r w:rsidRPr="00A07F29">
              <w:rPr>
                <w:rFonts w:ascii="Times New Roman" w:eastAsia="Calibri" w:hAnsi="Times New Roman" w:cs="Times New Roman"/>
                <w:b/>
                <w:color w:val="000000"/>
                <w:spacing w:val="-1"/>
                <w:sz w:val="20"/>
                <w:szCs w:val="20"/>
                <w:lang w:eastAsia="ar-SA"/>
              </w:rPr>
              <w:t>H</w:t>
            </w:r>
            <w:r w:rsidRPr="00A07F29">
              <w:rPr>
                <w:rFonts w:ascii="Times New Roman" w:eastAsia="Calibri" w:hAnsi="Times New Roman" w:cs="Times New Roman"/>
                <w:b/>
                <w:color w:val="000000"/>
                <w:spacing w:val="4"/>
                <w:sz w:val="20"/>
                <w:szCs w:val="20"/>
                <w:lang w:eastAsia="ar-SA"/>
              </w:rPr>
              <w:t>y</w:t>
            </w:r>
            <w:r w:rsidRPr="00A07F29">
              <w:rPr>
                <w:rFonts w:ascii="Times New Roman" w:eastAsia="Calibri" w:hAnsi="Times New Roman" w:cs="Times New Roman"/>
                <w:b/>
                <w:color w:val="000000"/>
                <w:spacing w:val="-3"/>
                <w:sz w:val="20"/>
                <w:szCs w:val="20"/>
                <w:lang w:eastAsia="ar-SA"/>
              </w:rPr>
              <w:t>m</w:t>
            </w:r>
            <w:r w:rsidRPr="00A07F29">
              <w:rPr>
                <w:rFonts w:ascii="Times New Roman" w:eastAsia="Calibri" w:hAnsi="Times New Roman" w:cs="Times New Roman"/>
                <w:b/>
                <w:color w:val="000000"/>
                <w:spacing w:val="2"/>
                <w:sz w:val="20"/>
                <w:szCs w:val="20"/>
                <w:lang w:eastAsia="ar-SA"/>
              </w:rPr>
              <w:t>e</w:t>
            </w:r>
            <w:r w:rsidRPr="00A07F29">
              <w:rPr>
                <w:rFonts w:ascii="Times New Roman" w:eastAsia="Calibri" w:hAnsi="Times New Roman" w:cs="Times New Roman"/>
                <w:b/>
                <w:color w:val="000000"/>
                <w:spacing w:val="-2"/>
                <w:sz w:val="20"/>
                <w:szCs w:val="20"/>
                <w:lang w:eastAsia="ar-SA"/>
              </w:rPr>
              <w:t>n</w:t>
            </w:r>
            <w:r w:rsidRPr="00A07F29">
              <w:rPr>
                <w:rFonts w:ascii="Times New Roman" w:eastAsia="Calibri" w:hAnsi="Times New Roman" w:cs="Times New Roman"/>
                <w:b/>
                <w:color w:val="000000"/>
                <w:spacing w:val="1"/>
                <w:sz w:val="20"/>
                <w:szCs w:val="20"/>
                <w:lang w:eastAsia="ar-SA"/>
              </w:rPr>
              <w:t>o</w:t>
            </w:r>
            <w:r w:rsidRPr="00A07F29">
              <w:rPr>
                <w:rFonts w:ascii="Times New Roman" w:eastAsia="Calibri" w:hAnsi="Times New Roman" w:cs="Times New Roman"/>
                <w:b/>
                <w:color w:val="000000"/>
                <w:spacing w:val="-2"/>
                <w:sz w:val="20"/>
                <w:szCs w:val="20"/>
                <w:lang w:eastAsia="ar-SA"/>
              </w:rPr>
              <w:t>p</w:t>
            </w:r>
            <w:r w:rsidRPr="00A07F29">
              <w:rPr>
                <w:rFonts w:ascii="Times New Roman" w:eastAsia="Calibri" w:hAnsi="Times New Roman" w:cs="Times New Roman"/>
                <w:b/>
                <w:color w:val="000000"/>
                <w:sz w:val="20"/>
                <w:szCs w:val="20"/>
                <w:lang w:eastAsia="ar-SA"/>
              </w:rPr>
              <w:t>t</w:t>
            </w:r>
            <w:r w:rsidRPr="00A07F29">
              <w:rPr>
                <w:rFonts w:ascii="Times New Roman" w:eastAsia="Calibri" w:hAnsi="Times New Roman" w:cs="Times New Roman"/>
                <w:b/>
                <w:color w:val="000000"/>
                <w:spacing w:val="2"/>
                <w:sz w:val="20"/>
                <w:szCs w:val="20"/>
                <w:lang w:eastAsia="ar-SA"/>
              </w:rPr>
              <w:t>e</w:t>
            </w:r>
            <w:r w:rsidRPr="00A07F29">
              <w:rPr>
                <w:rFonts w:ascii="Times New Roman" w:eastAsia="Calibri" w:hAnsi="Times New Roman" w:cs="Times New Roman"/>
                <w:b/>
                <w:color w:val="000000"/>
                <w:spacing w:val="-1"/>
                <w:sz w:val="20"/>
                <w:szCs w:val="20"/>
                <w:lang w:eastAsia="ar-SA"/>
              </w:rPr>
              <w:t>r</w:t>
            </w:r>
            <w:r w:rsidRPr="00A07F29">
              <w:rPr>
                <w:rFonts w:ascii="Times New Roman" w:eastAsia="Calibri" w:hAnsi="Times New Roman" w:cs="Times New Roman"/>
                <w:b/>
                <w:color w:val="000000"/>
                <w:sz w:val="20"/>
                <w:szCs w:val="20"/>
                <w:lang w:eastAsia="ar-SA"/>
              </w:rPr>
              <w:t>a</w:t>
            </w:r>
            <w:proofErr w:type="spellEnd"/>
          </w:p>
        </w:tc>
      </w:tr>
      <w:tr w:rsidR="009072CE" w:rsidRPr="00A07F29" w14:paraId="5C3C66D0" w14:textId="77777777" w:rsidTr="0095136F">
        <w:trPr>
          <w:cantSplit/>
          <w:trHeight w:val="284"/>
        </w:trPr>
        <w:tc>
          <w:tcPr>
            <w:tcW w:w="894" w:type="pct"/>
            <w:shd w:val="clear" w:color="auto" w:fill="auto"/>
            <w:noWrap/>
          </w:tcPr>
          <w:p w14:paraId="63754FD6" w14:textId="77777777" w:rsidR="009072CE" w:rsidRPr="00A07F29" w:rsidRDefault="009072CE" w:rsidP="009072CE">
            <w:pPr>
              <w:autoSpaceDE w:val="0"/>
              <w:autoSpaceDN w:val="0"/>
              <w:adjustRightInd w:val="0"/>
              <w:spacing w:after="0" w:line="240" w:lineRule="auto"/>
              <w:rPr>
                <w:rFonts w:ascii="Times New Roman" w:eastAsia="Calibri" w:hAnsi="Times New Roman" w:cs="Times New Roman"/>
                <w:color w:val="000000"/>
                <w:sz w:val="20"/>
                <w:szCs w:val="20"/>
              </w:rPr>
            </w:pPr>
            <w:proofErr w:type="spellStart"/>
            <w:r w:rsidRPr="00A07F29">
              <w:rPr>
                <w:rFonts w:ascii="Times New Roman" w:eastAsia="Calibri" w:hAnsi="Times New Roman" w:cs="Times New Roman"/>
                <w:color w:val="000000"/>
                <w:spacing w:val="-1"/>
                <w:sz w:val="20"/>
                <w:szCs w:val="20"/>
              </w:rPr>
              <w:t>Ga</w:t>
            </w:r>
            <w:r w:rsidRPr="00A07F29">
              <w:rPr>
                <w:rFonts w:ascii="Times New Roman" w:eastAsia="Calibri" w:hAnsi="Times New Roman" w:cs="Times New Roman"/>
                <w:color w:val="000000"/>
                <w:sz w:val="20"/>
                <w:szCs w:val="20"/>
              </w:rPr>
              <w:t>rl</w:t>
            </w:r>
            <w:r w:rsidRPr="00A07F29">
              <w:rPr>
                <w:rFonts w:ascii="Times New Roman" w:eastAsia="Calibri" w:hAnsi="Times New Roman" w:cs="Times New Roman"/>
                <w:color w:val="000000"/>
                <w:spacing w:val="1"/>
                <w:sz w:val="20"/>
                <w:szCs w:val="20"/>
              </w:rPr>
              <w:t>ūp</w:t>
            </w:r>
            <w:r w:rsidRPr="00A07F29">
              <w:rPr>
                <w:rFonts w:ascii="Times New Roman" w:eastAsia="Calibri" w:hAnsi="Times New Roman" w:cs="Times New Roman"/>
                <w:color w:val="000000"/>
                <w:spacing w:val="-1"/>
                <w:sz w:val="20"/>
                <w:szCs w:val="20"/>
              </w:rPr>
              <w:t>a</w:t>
            </w:r>
            <w:r w:rsidRPr="00A07F29">
              <w:rPr>
                <w:rFonts w:ascii="Times New Roman" w:eastAsia="Calibri" w:hAnsi="Times New Roman" w:cs="Times New Roman"/>
                <w:color w:val="000000"/>
                <w:sz w:val="20"/>
                <w:szCs w:val="20"/>
              </w:rPr>
              <w:t>s</w:t>
            </w:r>
            <w:proofErr w:type="spellEnd"/>
            <w:r w:rsidRPr="00A07F29">
              <w:rPr>
                <w:rFonts w:ascii="Times New Roman" w:eastAsia="Calibri" w:hAnsi="Times New Roman" w:cs="Times New Roman"/>
                <w:color w:val="000000"/>
                <w:spacing w:val="-4"/>
                <w:sz w:val="20"/>
                <w:szCs w:val="20"/>
              </w:rPr>
              <w:t xml:space="preserve"> </w:t>
            </w:r>
            <w:proofErr w:type="spellStart"/>
            <w:r w:rsidRPr="00A07F29">
              <w:rPr>
                <w:rFonts w:ascii="Times New Roman" w:eastAsia="Calibri" w:hAnsi="Times New Roman" w:cs="Times New Roman"/>
                <w:color w:val="000000"/>
                <w:sz w:val="20"/>
                <w:szCs w:val="20"/>
              </w:rPr>
              <w:t>r</w:t>
            </w:r>
            <w:r w:rsidRPr="00A07F29">
              <w:rPr>
                <w:rFonts w:ascii="Times New Roman" w:eastAsia="Calibri" w:hAnsi="Times New Roman" w:cs="Times New Roman"/>
                <w:color w:val="000000"/>
                <w:spacing w:val="-1"/>
                <w:sz w:val="20"/>
                <w:szCs w:val="20"/>
              </w:rPr>
              <w:t>acē</w:t>
            </w:r>
            <w:r w:rsidRPr="00A07F29">
              <w:rPr>
                <w:rFonts w:ascii="Times New Roman" w:eastAsia="Calibri" w:hAnsi="Times New Roman" w:cs="Times New Roman"/>
                <w:color w:val="000000"/>
                <w:sz w:val="20"/>
                <w:szCs w:val="20"/>
              </w:rPr>
              <w:t>jl</w:t>
            </w:r>
            <w:r w:rsidRPr="00A07F29">
              <w:rPr>
                <w:rFonts w:ascii="Times New Roman" w:eastAsia="Calibri" w:hAnsi="Times New Roman" w:cs="Times New Roman"/>
                <w:color w:val="000000"/>
                <w:spacing w:val="-1"/>
                <w:sz w:val="20"/>
                <w:szCs w:val="20"/>
              </w:rPr>
              <w:t>a</w:t>
            </w:r>
            <w:r w:rsidRPr="00A07F29">
              <w:rPr>
                <w:rFonts w:ascii="Times New Roman" w:eastAsia="Calibri" w:hAnsi="Times New Roman" w:cs="Times New Roman"/>
                <w:color w:val="000000"/>
                <w:spacing w:val="1"/>
                <w:sz w:val="20"/>
                <w:szCs w:val="20"/>
              </w:rPr>
              <w:t>p</w:t>
            </w:r>
            <w:r w:rsidRPr="00A07F29">
              <w:rPr>
                <w:rFonts w:ascii="Times New Roman" w:eastAsia="Calibri" w:hAnsi="Times New Roman" w:cs="Times New Roman"/>
                <w:color w:val="000000"/>
                <w:sz w:val="20"/>
                <w:szCs w:val="20"/>
              </w:rPr>
              <w:t>s</w:t>
            </w:r>
            <w:r w:rsidRPr="00A07F29">
              <w:rPr>
                <w:rFonts w:ascii="Times New Roman" w:eastAsia="Calibri" w:hAnsi="Times New Roman" w:cs="Times New Roman"/>
                <w:color w:val="000000"/>
                <w:spacing w:val="-1"/>
                <w:sz w:val="20"/>
                <w:szCs w:val="20"/>
              </w:rPr>
              <w:t>e</w:t>
            </w:r>
            <w:r w:rsidRPr="00A07F29">
              <w:rPr>
                <w:rFonts w:ascii="Times New Roman" w:eastAsia="Calibri" w:hAnsi="Times New Roman" w:cs="Times New Roman"/>
                <w:color w:val="000000"/>
                <w:spacing w:val="1"/>
                <w:sz w:val="20"/>
                <w:szCs w:val="20"/>
              </w:rPr>
              <w:t>n</w:t>
            </w:r>
            <w:r w:rsidRPr="00A07F29">
              <w:rPr>
                <w:rFonts w:ascii="Times New Roman" w:eastAsia="Calibri" w:hAnsi="Times New Roman" w:cs="Times New Roman"/>
                <w:color w:val="000000"/>
                <w:sz w:val="20"/>
                <w:szCs w:val="20"/>
              </w:rPr>
              <w:t>e</w:t>
            </w:r>
            <w:proofErr w:type="spellEnd"/>
          </w:p>
        </w:tc>
        <w:tc>
          <w:tcPr>
            <w:tcW w:w="821" w:type="pct"/>
            <w:shd w:val="clear" w:color="auto" w:fill="auto"/>
            <w:noWrap/>
          </w:tcPr>
          <w:p w14:paraId="2684BEBA" w14:textId="77777777" w:rsidR="009072CE" w:rsidRPr="00A07F29" w:rsidRDefault="009072CE" w:rsidP="009072CE">
            <w:pPr>
              <w:autoSpaceDE w:val="0"/>
              <w:autoSpaceDN w:val="0"/>
              <w:adjustRightInd w:val="0"/>
              <w:spacing w:after="0" w:line="240" w:lineRule="auto"/>
              <w:rPr>
                <w:rFonts w:ascii="Times New Roman" w:eastAsia="Calibri" w:hAnsi="Times New Roman" w:cs="Times New Roman"/>
                <w:i/>
                <w:iCs/>
                <w:color w:val="000000"/>
                <w:sz w:val="20"/>
                <w:szCs w:val="20"/>
              </w:rPr>
            </w:pPr>
            <w:proofErr w:type="spellStart"/>
            <w:r w:rsidRPr="00A07F29">
              <w:rPr>
                <w:rFonts w:ascii="Times New Roman" w:eastAsia="Calibri" w:hAnsi="Times New Roman" w:cs="Times New Roman"/>
                <w:i/>
                <w:color w:val="000000"/>
                <w:sz w:val="20"/>
                <w:szCs w:val="20"/>
              </w:rPr>
              <w:t>B</w:t>
            </w:r>
            <w:r w:rsidRPr="00A07F29">
              <w:rPr>
                <w:rFonts w:ascii="Times New Roman" w:eastAsia="Calibri" w:hAnsi="Times New Roman" w:cs="Times New Roman"/>
                <w:i/>
                <w:color w:val="000000"/>
                <w:spacing w:val="-1"/>
                <w:sz w:val="20"/>
                <w:szCs w:val="20"/>
              </w:rPr>
              <w:t>e</w:t>
            </w:r>
            <w:r w:rsidRPr="00A07F29">
              <w:rPr>
                <w:rFonts w:ascii="Times New Roman" w:eastAsia="Calibri" w:hAnsi="Times New Roman" w:cs="Times New Roman"/>
                <w:i/>
                <w:color w:val="000000"/>
                <w:sz w:val="20"/>
                <w:szCs w:val="20"/>
              </w:rPr>
              <w:t>m</w:t>
            </w:r>
            <w:r w:rsidRPr="00A07F29">
              <w:rPr>
                <w:rFonts w:ascii="Times New Roman" w:eastAsia="Calibri" w:hAnsi="Times New Roman" w:cs="Times New Roman"/>
                <w:i/>
                <w:color w:val="000000"/>
                <w:spacing w:val="1"/>
                <w:sz w:val="20"/>
                <w:szCs w:val="20"/>
              </w:rPr>
              <w:t>b</w:t>
            </w:r>
            <w:r w:rsidRPr="00A07F29">
              <w:rPr>
                <w:rFonts w:ascii="Times New Roman" w:eastAsia="Calibri" w:hAnsi="Times New Roman" w:cs="Times New Roman"/>
                <w:i/>
                <w:color w:val="000000"/>
                <w:sz w:val="20"/>
                <w:szCs w:val="20"/>
              </w:rPr>
              <w:t>ix</w:t>
            </w:r>
            <w:proofErr w:type="spellEnd"/>
            <w:r w:rsidRPr="00A07F29">
              <w:rPr>
                <w:rFonts w:ascii="Times New Roman" w:eastAsia="Calibri" w:hAnsi="Times New Roman" w:cs="Times New Roman"/>
                <w:i/>
                <w:color w:val="000000"/>
                <w:spacing w:val="-2"/>
                <w:sz w:val="20"/>
                <w:szCs w:val="20"/>
              </w:rPr>
              <w:t xml:space="preserve"> </w:t>
            </w:r>
            <w:proofErr w:type="spellStart"/>
            <w:r w:rsidRPr="00A07F29">
              <w:rPr>
                <w:rFonts w:ascii="Times New Roman" w:eastAsia="Calibri" w:hAnsi="Times New Roman" w:cs="Times New Roman"/>
                <w:i/>
                <w:color w:val="000000"/>
                <w:sz w:val="20"/>
                <w:szCs w:val="20"/>
              </w:rPr>
              <w:t>r</w:t>
            </w:r>
            <w:r w:rsidRPr="00A07F29">
              <w:rPr>
                <w:rFonts w:ascii="Times New Roman" w:eastAsia="Calibri" w:hAnsi="Times New Roman" w:cs="Times New Roman"/>
                <w:i/>
                <w:color w:val="000000"/>
                <w:spacing w:val="1"/>
                <w:sz w:val="20"/>
                <w:szCs w:val="20"/>
              </w:rPr>
              <w:t>o</w:t>
            </w:r>
            <w:r w:rsidRPr="00A07F29">
              <w:rPr>
                <w:rFonts w:ascii="Times New Roman" w:eastAsia="Calibri" w:hAnsi="Times New Roman" w:cs="Times New Roman"/>
                <w:i/>
                <w:color w:val="000000"/>
                <w:sz w:val="20"/>
                <w:szCs w:val="20"/>
              </w:rPr>
              <w:t>str</w:t>
            </w:r>
            <w:r w:rsidRPr="00A07F29">
              <w:rPr>
                <w:rFonts w:ascii="Times New Roman" w:eastAsia="Calibri" w:hAnsi="Times New Roman" w:cs="Times New Roman"/>
                <w:i/>
                <w:color w:val="000000"/>
                <w:spacing w:val="1"/>
                <w:sz w:val="20"/>
                <w:szCs w:val="20"/>
              </w:rPr>
              <w:t>a</w:t>
            </w:r>
            <w:r w:rsidRPr="00A07F29">
              <w:rPr>
                <w:rFonts w:ascii="Times New Roman" w:eastAsia="Calibri" w:hAnsi="Times New Roman" w:cs="Times New Roman"/>
                <w:i/>
                <w:color w:val="000000"/>
                <w:spacing w:val="-2"/>
                <w:sz w:val="20"/>
                <w:szCs w:val="20"/>
              </w:rPr>
              <w:t>t</w:t>
            </w:r>
            <w:r w:rsidRPr="00A07F29">
              <w:rPr>
                <w:rFonts w:ascii="Times New Roman" w:eastAsia="Calibri" w:hAnsi="Times New Roman" w:cs="Times New Roman"/>
                <w:i/>
                <w:color w:val="000000"/>
                <w:sz w:val="20"/>
                <w:szCs w:val="20"/>
              </w:rPr>
              <w:t>a</w:t>
            </w:r>
            <w:proofErr w:type="spellEnd"/>
          </w:p>
        </w:tc>
        <w:tc>
          <w:tcPr>
            <w:tcW w:w="674" w:type="pct"/>
            <w:shd w:val="clear" w:color="auto" w:fill="auto"/>
            <w:noWrap/>
          </w:tcPr>
          <w:p w14:paraId="4D95B452" w14:textId="3742B780" w:rsidR="009072CE" w:rsidRPr="00A07F29" w:rsidRDefault="009072CE" w:rsidP="009072CE">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ĪAS, MIK</w:t>
            </w:r>
          </w:p>
        </w:tc>
        <w:tc>
          <w:tcPr>
            <w:tcW w:w="595" w:type="pct"/>
            <w:shd w:val="clear" w:color="auto" w:fill="auto"/>
            <w:noWrap/>
          </w:tcPr>
          <w:p w14:paraId="033383F6" w14:textId="1CA417BC" w:rsidR="009072CE" w:rsidRPr="00A07F29" w:rsidRDefault="002A67B7" w:rsidP="009072CE">
            <w:pPr>
              <w:suppressAutoHyphens/>
              <w:spacing w:after="0" w:line="240" w:lineRule="auto"/>
              <w:rPr>
                <w:rFonts w:ascii="Times New Roman" w:eastAsia="Calibri" w:hAnsi="Times New Roman" w:cs="Times New Roman"/>
                <w:color w:val="000000"/>
                <w:sz w:val="20"/>
                <w:szCs w:val="20"/>
                <w:lang w:eastAsia="ar-SA"/>
              </w:rPr>
            </w:pPr>
            <w:r>
              <w:rPr>
                <w:rFonts w:ascii="Times New Roman" w:eastAsia="Calibri" w:hAnsi="Times New Roman" w:cs="Times New Roman"/>
                <w:color w:val="000000"/>
                <w:sz w:val="20"/>
                <w:szCs w:val="20"/>
                <w:lang w:eastAsia="ar-SA"/>
              </w:rPr>
              <w:t>L</w:t>
            </w:r>
            <w:r w:rsidR="009072CE" w:rsidRPr="00A07F29">
              <w:rPr>
                <w:rFonts w:ascii="Times New Roman" w:eastAsia="Calibri" w:hAnsi="Times New Roman" w:cs="Times New Roman"/>
                <w:color w:val="000000"/>
                <w:sz w:val="20"/>
                <w:szCs w:val="20"/>
                <w:lang w:eastAsia="ar-SA"/>
              </w:rPr>
              <w:t>SG 1</w:t>
            </w:r>
          </w:p>
        </w:tc>
        <w:tc>
          <w:tcPr>
            <w:tcW w:w="1045" w:type="pct"/>
            <w:shd w:val="clear" w:color="auto" w:fill="FFFFFF"/>
          </w:tcPr>
          <w:p w14:paraId="6A5A237F" w14:textId="06870EE6" w:rsidR="009072CE" w:rsidRPr="00A07F29" w:rsidRDefault="009072CE"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Samērā reti sastopama suga, galvenokārt izplatīta piejūras zemienē (</w:t>
            </w:r>
            <w:proofErr w:type="spellStart"/>
            <w:r w:rsidRPr="00A07F29">
              <w:rPr>
                <w:rFonts w:ascii="Times New Roman" w:eastAsia="Calibri" w:hAnsi="Times New Roman" w:cs="Times New Roman"/>
                <w:color w:val="000000"/>
                <w:sz w:val="20"/>
                <w:szCs w:val="20"/>
                <w:lang w:eastAsia="ar-SA"/>
              </w:rPr>
              <w:t>Spuris</w:t>
            </w:r>
            <w:proofErr w:type="spellEnd"/>
            <w:r w:rsidR="002A67B7">
              <w:rPr>
                <w:rFonts w:ascii="Times New Roman" w:eastAsia="Calibri" w:hAnsi="Times New Roman" w:cs="Times New Roman"/>
                <w:color w:val="000000"/>
                <w:sz w:val="20"/>
                <w:szCs w:val="20"/>
                <w:lang w:eastAsia="ar-SA"/>
              </w:rPr>
              <w:t xml:space="preserve"> Z.</w:t>
            </w:r>
            <w:r w:rsidRPr="00A07F29">
              <w:rPr>
                <w:rFonts w:ascii="Times New Roman" w:eastAsia="Calibri" w:hAnsi="Times New Roman" w:cs="Times New Roman"/>
                <w:color w:val="000000"/>
                <w:sz w:val="20"/>
                <w:szCs w:val="20"/>
                <w:lang w:eastAsia="ar-SA"/>
              </w:rPr>
              <w:t>, 1998).</w:t>
            </w:r>
          </w:p>
        </w:tc>
        <w:tc>
          <w:tcPr>
            <w:tcW w:w="971" w:type="pct"/>
            <w:shd w:val="clear" w:color="auto" w:fill="auto"/>
          </w:tcPr>
          <w:p w14:paraId="1F10A2A5" w14:textId="77777777" w:rsidR="009072CE" w:rsidRPr="00A07F29" w:rsidRDefault="009072CE"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Galvenokārt sastopama grants un smilšu karjeros.</w:t>
            </w:r>
          </w:p>
        </w:tc>
      </w:tr>
      <w:tr w:rsidR="009072CE" w:rsidRPr="00A07F29" w14:paraId="33E61098" w14:textId="77777777" w:rsidTr="0095136F">
        <w:trPr>
          <w:cantSplit/>
          <w:trHeight w:val="284"/>
        </w:trPr>
        <w:tc>
          <w:tcPr>
            <w:tcW w:w="894" w:type="pct"/>
            <w:shd w:val="clear" w:color="auto" w:fill="auto"/>
            <w:noWrap/>
          </w:tcPr>
          <w:p w14:paraId="14410F5C" w14:textId="77777777" w:rsidR="009072CE" w:rsidRPr="00A07F29" w:rsidRDefault="009072CE" w:rsidP="009072CE">
            <w:pPr>
              <w:autoSpaceDE w:val="0"/>
              <w:autoSpaceDN w:val="0"/>
              <w:adjustRightInd w:val="0"/>
              <w:spacing w:after="0" w:line="240" w:lineRule="auto"/>
              <w:rPr>
                <w:rFonts w:ascii="Times New Roman" w:eastAsia="Calibri" w:hAnsi="Times New Roman" w:cs="Times New Roman"/>
                <w:color w:val="000000"/>
                <w:sz w:val="20"/>
                <w:szCs w:val="20"/>
              </w:rPr>
            </w:pPr>
            <w:r w:rsidRPr="00A07F29">
              <w:rPr>
                <w:rFonts w:ascii="Times New Roman" w:eastAsia="Calibri" w:hAnsi="Times New Roman" w:cs="Times New Roman"/>
                <w:color w:val="000000"/>
                <w:sz w:val="20"/>
                <w:szCs w:val="20"/>
              </w:rPr>
              <w:t xml:space="preserve">Rūsganā meža skudra </w:t>
            </w:r>
          </w:p>
          <w:p w14:paraId="1EF6EF13" w14:textId="77777777" w:rsidR="009072CE" w:rsidRPr="00A07F29" w:rsidRDefault="009072CE" w:rsidP="009072CE">
            <w:pPr>
              <w:autoSpaceDE w:val="0"/>
              <w:autoSpaceDN w:val="0"/>
              <w:adjustRightInd w:val="0"/>
              <w:spacing w:after="0" w:line="240" w:lineRule="auto"/>
              <w:rPr>
                <w:rFonts w:ascii="Times New Roman" w:eastAsia="Calibri" w:hAnsi="Times New Roman" w:cs="Times New Roman"/>
                <w:color w:val="000000"/>
                <w:spacing w:val="-1"/>
                <w:sz w:val="20"/>
                <w:szCs w:val="20"/>
              </w:rPr>
            </w:pPr>
          </w:p>
        </w:tc>
        <w:tc>
          <w:tcPr>
            <w:tcW w:w="821" w:type="pct"/>
            <w:shd w:val="clear" w:color="auto" w:fill="auto"/>
            <w:noWrap/>
          </w:tcPr>
          <w:p w14:paraId="023E7DA7" w14:textId="77777777" w:rsidR="009072CE" w:rsidRPr="00A07F29" w:rsidRDefault="009072CE" w:rsidP="009072CE">
            <w:pPr>
              <w:autoSpaceDE w:val="0"/>
              <w:autoSpaceDN w:val="0"/>
              <w:adjustRightInd w:val="0"/>
              <w:spacing w:after="0" w:line="240" w:lineRule="auto"/>
              <w:rPr>
                <w:rFonts w:ascii="Times New Roman" w:eastAsia="Calibri" w:hAnsi="Times New Roman" w:cs="Times New Roman"/>
                <w:i/>
                <w:color w:val="000000"/>
                <w:sz w:val="20"/>
                <w:szCs w:val="20"/>
              </w:rPr>
            </w:pPr>
            <w:proofErr w:type="spellStart"/>
            <w:r w:rsidRPr="00A07F29">
              <w:rPr>
                <w:rFonts w:ascii="Times New Roman" w:eastAsia="Calibri" w:hAnsi="Times New Roman" w:cs="Times New Roman"/>
                <w:i/>
                <w:color w:val="000000"/>
                <w:sz w:val="20"/>
                <w:szCs w:val="20"/>
              </w:rPr>
              <w:t>Formica</w:t>
            </w:r>
            <w:proofErr w:type="spellEnd"/>
            <w:r w:rsidRPr="00A07F29">
              <w:rPr>
                <w:rFonts w:ascii="Times New Roman" w:eastAsia="Calibri" w:hAnsi="Times New Roman" w:cs="Times New Roman"/>
                <w:i/>
                <w:color w:val="000000"/>
                <w:sz w:val="20"/>
                <w:szCs w:val="20"/>
              </w:rPr>
              <w:t xml:space="preserve"> </w:t>
            </w:r>
            <w:proofErr w:type="spellStart"/>
            <w:r w:rsidRPr="00A07F29">
              <w:rPr>
                <w:rFonts w:ascii="Times New Roman" w:eastAsia="Calibri" w:hAnsi="Times New Roman" w:cs="Times New Roman"/>
                <w:i/>
                <w:color w:val="000000"/>
                <w:sz w:val="20"/>
                <w:szCs w:val="20"/>
              </w:rPr>
              <w:t>rufa</w:t>
            </w:r>
            <w:proofErr w:type="spellEnd"/>
          </w:p>
        </w:tc>
        <w:tc>
          <w:tcPr>
            <w:tcW w:w="674" w:type="pct"/>
            <w:shd w:val="clear" w:color="auto" w:fill="auto"/>
            <w:noWrap/>
          </w:tcPr>
          <w:p w14:paraId="326729AA" w14:textId="77777777" w:rsidR="009072CE" w:rsidRPr="00A07F29" w:rsidRDefault="009072CE" w:rsidP="009072CE">
            <w:pPr>
              <w:suppressAutoHyphens/>
              <w:spacing w:after="0" w:line="240" w:lineRule="auto"/>
              <w:rPr>
                <w:rFonts w:ascii="Times New Roman" w:eastAsia="Calibri" w:hAnsi="Times New Roman" w:cs="Times New Roman"/>
                <w:color w:val="000000"/>
                <w:sz w:val="20"/>
                <w:szCs w:val="20"/>
                <w:lang w:eastAsia="ar-SA"/>
              </w:rPr>
            </w:pPr>
          </w:p>
        </w:tc>
        <w:tc>
          <w:tcPr>
            <w:tcW w:w="595" w:type="pct"/>
            <w:shd w:val="clear" w:color="auto" w:fill="auto"/>
            <w:noWrap/>
          </w:tcPr>
          <w:p w14:paraId="3AB628DD" w14:textId="77777777" w:rsidR="009072CE" w:rsidRPr="00A07F29" w:rsidRDefault="009072CE" w:rsidP="009072CE">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IUCN (LR)</w:t>
            </w:r>
          </w:p>
        </w:tc>
        <w:tc>
          <w:tcPr>
            <w:tcW w:w="1045" w:type="pct"/>
            <w:shd w:val="clear" w:color="auto" w:fill="FFFFFF"/>
          </w:tcPr>
          <w:p w14:paraId="794A896A" w14:textId="77777777" w:rsidR="009072CE" w:rsidRPr="00A07F29" w:rsidRDefault="009072CE"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 xml:space="preserve">Bieži sastopama suga, izplatīta visā Latvijas teritorijā </w:t>
            </w:r>
          </w:p>
        </w:tc>
        <w:tc>
          <w:tcPr>
            <w:tcW w:w="971" w:type="pct"/>
            <w:shd w:val="clear" w:color="auto" w:fill="auto"/>
          </w:tcPr>
          <w:p w14:paraId="3B868D43" w14:textId="43967A35" w:rsidR="009072CE" w:rsidRPr="00A07F29" w:rsidRDefault="009072CE"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Ļoti bieži sastopam</w:t>
            </w:r>
            <w:r w:rsidR="002A67B7">
              <w:rPr>
                <w:rFonts w:ascii="Times New Roman" w:eastAsia="Calibri" w:hAnsi="Times New Roman" w:cs="Times New Roman"/>
                <w:color w:val="000000"/>
                <w:sz w:val="20"/>
                <w:szCs w:val="20"/>
                <w:lang w:eastAsia="ar-SA"/>
              </w:rPr>
              <w:t>a</w:t>
            </w:r>
            <w:r w:rsidRPr="00A07F29">
              <w:rPr>
                <w:rFonts w:ascii="Times New Roman" w:eastAsia="Calibri" w:hAnsi="Times New Roman" w:cs="Times New Roman"/>
                <w:color w:val="000000"/>
                <w:sz w:val="20"/>
                <w:szCs w:val="20"/>
                <w:lang w:eastAsia="ar-SA"/>
              </w:rPr>
              <w:t xml:space="preserve"> suga AAA teritorijā.</w:t>
            </w:r>
          </w:p>
        </w:tc>
      </w:tr>
      <w:tr w:rsidR="009072CE" w:rsidRPr="00A07F29" w14:paraId="51884919" w14:textId="77777777" w:rsidTr="0095136F">
        <w:trPr>
          <w:cantSplit/>
          <w:trHeight w:val="284"/>
        </w:trPr>
        <w:tc>
          <w:tcPr>
            <w:tcW w:w="894" w:type="pct"/>
            <w:shd w:val="clear" w:color="auto" w:fill="auto"/>
            <w:noWrap/>
          </w:tcPr>
          <w:p w14:paraId="1C17551D" w14:textId="77777777" w:rsidR="009072CE" w:rsidRPr="00A07F29" w:rsidRDefault="009072CE" w:rsidP="009072CE">
            <w:pPr>
              <w:autoSpaceDE w:val="0"/>
              <w:autoSpaceDN w:val="0"/>
              <w:adjustRightInd w:val="0"/>
              <w:spacing w:after="0" w:line="240" w:lineRule="auto"/>
              <w:rPr>
                <w:rFonts w:ascii="Times New Roman" w:eastAsia="Calibri" w:hAnsi="Times New Roman" w:cs="Times New Roman"/>
                <w:color w:val="000000"/>
                <w:spacing w:val="-1"/>
                <w:sz w:val="20"/>
                <w:szCs w:val="20"/>
              </w:rPr>
            </w:pPr>
            <w:r w:rsidRPr="00A07F29">
              <w:rPr>
                <w:rFonts w:ascii="Times New Roman" w:eastAsia="Calibri" w:hAnsi="Times New Roman" w:cs="Times New Roman"/>
                <w:color w:val="000000"/>
                <w:spacing w:val="1"/>
                <w:sz w:val="20"/>
                <w:szCs w:val="20"/>
              </w:rPr>
              <w:lastRenderedPageBreak/>
              <w:t>Spo</w:t>
            </w:r>
            <w:r w:rsidRPr="00A07F29">
              <w:rPr>
                <w:rFonts w:ascii="Times New Roman" w:eastAsia="Calibri" w:hAnsi="Times New Roman" w:cs="Times New Roman"/>
                <w:color w:val="000000"/>
                <w:spacing w:val="-1"/>
                <w:sz w:val="20"/>
                <w:szCs w:val="20"/>
              </w:rPr>
              <w:t>ž</w:t>
            </w:r>
            <w:r w:rsidRPr="00A07F29">
              <w:rPr>
                <w:rFonts w:ascii="Times New Roman" w:eastAsia="Calibri" w:hAnsi="Times New Roman" w:cs="Times New Roman"/>
                <w:color w:val="000000"/>
                <w:sz w:val="20"/>
                <w:szCs w:val="20"/>
              </w:rPr>
              <w:t>ā</w:t>
            </w:r>
            <w:r w:rsidRPr="00A07F29">
              <w:rPr>
                <w:rFonts w:ascii="Times New Roman" w:eastAsia="Calibri" w:hAnsi="Times New Roman" w:cs="Times New Roman"/>
                <w:color w:val="000000"/>
                <w:spacing w:val="-3"/>
                <w:sz w:val="20"/>
                <w:szCs w:val="20"/>
              </w:rPr>
              <w:t xml:space="preserve"> </w:t>
            </w:r>
            <w:r w:rsidRPr="00A07F29">
              <w:rPr>
                <w:rFonts w:ascii="Times New Roman" w:eastAsia="Calibri" w:hAnsi="Times New Roman" w:cs="Times New Roman"/>
                <w:color w:val="000000"/>
                <w:sz w:val="20"/>
                <w:szCs w:val="20"/>
              </w:rPr>
              <w:t>s</w:t>
            </w:r>
            <w:r w:rsidRPr="00A07F29">
              <w:rPr>
                <w:rFonts w:ascii="Times New Roman" w:eastAsia="Calibri" w:hAnsi="Times New Roman" w:cs="Times New Roman"/>
                <w:color w:val="000000"/>
                <w:spacing w:val="-1"/>
                <w:sz w:val="20"/>
                <w:szCs w:val="20"/>
              </w:rPr>
              <w:t>k</w:t>
            </w:r>
            <w:r w:rsidRPr="00A07F29">
              <w:rPr>
                <w:rFonts w:ascii="Times New Roman" w:eastAsia="Calibri" w:hAnsi="Times New Roman" w:cs="Times New Roman"/>
                <w:color w:val="000000"/>
                <w:spacing w:val="1"/>
                <w:sz w:val="20"/>
                <w:szCs w:val="20"/>
              </w:rPr>
              <w:t>ud</w:t>
            </w:r>
            <w:r w:rsidRPr="00A07F29">
              <w:rPr>
                <w:rFonts w:ascii="Times New Roman" w:eastAsia="Calibri" w:hAnsi="Times New Roman" w:cs="Times New Roman"/>
                <w:color w:val="000000"/>
                <w:sz w:val="20"/>
                <w:szCs w:val="20"/>
              </w:rPr>
              <w:t>ra</w:t>
            </w:r>
          </w:p>
        </w:tc>
        <w:tc>
          <w:tcPr>
            <w:tcW w:w="821" w:type="pct"/>
            <w:shd w:val="clear" w:color="auto" w:fill="auto"/>
            <w:noWrap/>
          </w:tcPr>
          <w:p w14:paraId="4628EE5C" w14:textId="77777777" w:rsidR="009072CE" w:rsidRPr="00A07F29" w:rsidRDefault="009072CE" w:rsidP="009072CE">
            <w:pPr>
              <w:autoSpaceDE w:val="0"/>
              <w:autoSpaceDN w:val="0"/>
              <w:adjustRightInd w:val="0"/>
              <w:spacing w:after="0" w:line="240" w:lineRule="auto"/>
              <w:rPr>
                <w:rFonts w:ascii="Times New Roman" w:eastAsia="Calibri" w:hAnsi="Times New Roman" w:cs="Times New Roman"/>
                <w:i/>
                <w:color w:val="000000"/>
                <w:sz w:val="20"/>
                <w:szCs w:val="20"/>
              </w:rPr>
            </w:pPr>
            <w:proofErr w:type="spellStart"/>
            <w:r w:rsidRPr="00A07F29">
              <w:rPr>
                <w:rFonts w:ascii="Times New Roman" w:eastAsia="Calibri" w:hAnsi="Times New Roman" w:cs="Times New Roman"/>
                <w:i/>
                <w:color w:val="000000"/>
                <w:spacing w:val="1"/>
                <w:sz w:val="20"/>
                <w:szCs w:val="20"/>
              </w:rPr>
              <w:t>La</w:t>
            </w:r>
            <w:r w:rsidRPr="00A07F29">
              <w:rPr>
                <w:rFonts w:ascii="Times New Roman" w:eastAsia="Calibri" w:hAnsi="Times New Roman" w:cs="Times New Roman"/>
                <w:i/>
                <w:color w:val="000000"/>
                <w:sz w:val="20"/>
                <w:szCs w:val="20"/>
              </w:rPr>
              <w:t>si</w:t>
            </w:r>
            <w:r w:rsidRPr="00A07F29">
              <w:rPr>
                <w:rFonts w:ascii="Times New Roman" w:eastAsia="Calibri" w:hAnsi="Times New Roman" w:cs="Times New Roman"/>
                <w:i/>
                <w:color w:val="000000"/>
                <w:spacing w:val="1"/>
                <w:sz w:val="20"/>
                <w:szCs w:val="20"/>
              </w:rPr>
              <w:t>u</w:t>
            </w:r>
            <w:r w:rsidRPr="00A07F29">
              <w:rPr>
                <w:rFonts w:ascii="Times New Roman" w:eastAsia="Calibri" w:hAnsi="Times New Roman" w:cs="Times New Roman"/>
                <w:i/>
                <w:color w:val="000000"/>
                <w:sz w:val="20"/>
                <w:szCs w:val="20"/>
              </w:rPr>
              <w:t>s</w:t>
            </w:r>
            <w:proofErr w:type="spellEnd"/>
            <w:r w:rsidRPr="00A07F29">
              <w:rPr>
                <w:rFonts w:ascii="Times New Roman" w:eastAsia="Calibri" w:hAnsi="Times New Roman" w:cs="Times New Roman"/>
                <w:i/>
                <w:color w:val="000000"/>
                <w:spacing w:val="-4"/>
                <w:sz w:val="20"/>
                <w:szCs w:val="20"/>
              </w:rPr>
              <w:t xml:space="preserve"> </w:t>
            </w:r>
            <w:proofErr w:type="spellStart"/>
            <w:r w:rsidRPr="00A07F29">
              <w:rPr>
                <w:rFonts w:ascii="Times New Roman" w:eastAsia="Calibri" w:hAnsi="Times New Roman" w:cs="Times New Roman"/>
                <w:i/>
                <w:color w:val="000000"/>
                <w:spacing w:val="-2"/>
                <w:sz w:val="20"/>
                <w:szCs w:val="20"/>
              </w:rPr>
              <w:t>f</w:t>
            </w:r>
            <w:r w:rsidRPr="00A07F29">
              <w:rPr>
                <w:rFonts w:ascii="Times New Roman" w:eastAsia="Calibri" w:hAnsi="Times New Roman" w:cs="Times New Roman"/>
                <w:i/>
                <w:color w:val="000000"/>
                <w:spacing w:val="1"/>
                <w:sz w:val="20"/>
                <w:szCs w:val="20"/>
              </w:rPr>
              <w:t>u</w:t>
            </w:r>
            <w:r w:rsidRPr="00A07F29">
              <w:rPr>
                <w:rFonts w:ascii="Times New Roman" w:eastAsia="Calibri" w:hAnsi="Times New Roman" w:cs="Times New Roman"/>
                <w:i/>
                <w:color w:val="000000"/>
                <w:sz w:val="20"/>
                <w:szCs w:val="20"/>
              </w:rPr>
              <w:t>l</w:t>
            </w:r>
            <w:r w:rsidRPr="00A07F29">
              <w:rPr>
                <w:rFonts w:ascii="Times New Roman" w:eastAsia="Calibri" w:hAnsi="Times New Roman" w:cs="Times New Roman"/>
                <w:i/>
                <w:color w:val="000000"/>
                <w:spacing w:val="-2"/>
                <w:sz w:val="20"/>
                <w:szCs w:val="20"/>
              </w:rPr>
              <w:t>i</w:t>
            </w:r>
            <w:r w:rsidRPr="00A07F29">
              <w:rPr>
                <w:rFonts w:ascii="Times New Roman" w:eastAsia="Calibri" w:hAnsi="Times New Roman" w:cs="Times New Roman"/>
                <w:i/>
                <w:color w:val="000000"/>
                <w:spacing w:val="1"/>
                <w:sz w:val="20"/>
                <w:szCs w:val="20"/>
              </w:rPr>
              <w:t>g</w:t>
            </w:r>
            <w:r w:rsidRPr="00A07F29">
              <w:rPr>
                <w:rFonts w:ascii="Times New Roman" w:eastAsia="Calibri" w:hAnsi="Times New Roman" w:cs="Times New Roman"/>
                <w:i/>
                <w:color w:val="000000"/>
                <w:sz w:val="20"/>
                <w:szCs w:val="20"/>
              </w:rPr>
              <w:t>i</w:t>
            </w:r>
            <w:r w:rsidRPr="00A07F29">
              <w:rPr>
                <w:rFonts w:ascii="Times New Roman" w:eastAsia="Calibri" w:hAnsi="Times New Roman" w:cs="Times New Roman"/>
                <w:i/>
                <w:color w:val="000000"/>
                <w:spacing w:val="-1"/>
                <w:sz w:val="20"/>
                <w:szCs w:val="20"/>
              </w:rPr>
              <w:t>n</w:t>
            </w:r>
            <w:r w:rsidRPr="00A07F29">
              <w:rPr>
                <w:rFonts w:ascii="Times New Roman" w:eastAsia="Calibri" w:hAnsi="Times New Roman" w:cs="Times New Roman"/>
                <w:i/>
                <w:color w:val="000000"/>
                <w:spacing w:val="1"/>
                <w:sz w:val="20"/>
                <w:szCs w:val="20"/>
              </w:rPr>
              <w:t>o</w:t>
            </w:r>
            <w:r w:rsidRPr="00A07F29">
              <w:rPr>
                <w:rFonts w:ascii="Times New Roman" w:eastAsia="Calibri" w:hAnsi="Times New Roman" w:cs="Times New Roman"/>
                <w:i/>
                <w:color w:val="000000"/>
                <w:sz w:val="20"/>
                <w:szCs w:val="20"/>
              </w:rPr>
              <w:t>s</w:t>
            </w:r>
            <w:r w:rsidRPr="00A07F29">
              <w:rPr>
                <w:rFonts w:ascii="Times New Roman" w:eastAsia="Calibri" w:hAnsi="Times New Roman" w:cs="Times New Roman"/>
                <w:i/>
                <w:color w:val="000000"/>
                <w:spacing w:val="1"/>
                <w:sz w:val="20"/>
                <w:szCs w:val="20"/>
              </w:rPr>
              <w:t>u</w:t>
            </w:r>
            <w:r w:rsidRPr="00A07F29">
              <w:rPr>
                <w:rFonts w:ascii="Times New Roman" w:eastAsia="Calibri" w:hAnsi="Times New Roman" w:cs="Times New Roman"/>
                <w:i/>
                <w:color w:val="000000"/>
                <w:sz w:val="20"/>
                <w:szCs w:val="20"/>
              </w:rPr>
              <w:t>s</w:t>
            </w:r>
            <w:proofErr w:type="spellEnd"/>
          </w:p>
        </w:tc>
        <w:tc>
          <w:tcPr>
            <w:tcW w:w="674" w:type="pct"/>
            <w:shd w:val="clear" w:color="auto" w:fill="auto"/>
            <w:noWrap/>
          </w:tcPr>
          <w:p w14:paraId="2B4D1B6F" w14:textId="158669F1" w:rsidR="009072CE" w:rsidRPr="00A07F29" w:rsidRDefault="009072CE" w:rsidP="009072CE">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ĪAS</w:t>
            </w:r>
          </w:p>
        </w:tc>
        <w:tc>
          <w:tcPr>
            <w:tcW w:w="595" w:type="pct"/>
            <w:shd w:val="clear" w:color="auto" w:fill="auto"/>
            <w:noWrap/>
          </w:tcPr>
          <w:p w14:paraId="48224D43" w14:textId="77777777" w:rsidR="009072CE" w:rsidRPr="00A07F29" w:rsidRDefault="009072CE" w:rsidP="009072CE">
            <w:pPr>
              <w:suppressAutoHyphens/>
              <w:spacing w:after="0" w:line="240" w:lineRule="auto"/>
              <w:rPr>
                <w:rFonts w:ascii="Times New Roman" w:eastAsia="Calibri" w:hAnsi="Times New Roman" w:cs="Times New Roman"/>
                <w:color w:val="000000"/>
                <w:sz w:val="20"/>
                <w:szCs w:val="20"/>
                <w:lang w:eastAsia="ar-SA"/>
              </w:rPr>
            </w:pPr>
          </w:p>
        </w:tc>
        <w:tc>
          <w:tcPr>
            <w:tcW w:w="1045" w:type="pct"/>
            <w:shd w:val="clear" w:color="auto" w:fill="FFFFFF"/>
          </w:tcPr>
          <w:p w14:paraId="66FAD84E" w14:textId="77777777" w:rsidR="009072CE" w:rsidRPr="00A07F29" w:rsidRDefault="009072CE"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 xml:space="preserve">Bieži sastopama suga, izplatīta visā Latvijas teritorijā </w:t>
            </w:r>
          </w:p>
        </w:tc>
        <w:tc>
          <w:tcPr>
            <w:tcW w:w="971" w:type="pct"/>
            <w:shd w:val="clear" w:color="auto" w:fill="auto"/>
          </w:tcPr>
          <w:p w14:paraId="404927CA" w14:textId="77777777" w:rsidR="009072CE" w:rsidRPr="00A07F29" w:rsidRDefault="009072CE"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AAA “Augšdaugava” teritorijā bieži sastopama suga. Piemērotas dzīvotnes parkos, alejās, atsevišķi stāvošos kokos un lapkoku mežos.</w:t>
            </w:r>
          </w:p>
        </w:tc>
      </w:tr>
      <w:tr w:rsidR="009072CE" w:rsidRPr="00A07F29" w14:paraId="0009B446" w14:textId="77777777" w:rsidTr="009056A3">
        <w:trPr>
          <w:cantSplit/>
          <w:trHeight w:val="284"/>
        </w:trPr>
        <w:tc>
          <w:tcPr>
            <w:tcW w:w="5000" w:type="pct"/>
            <w:gridSpan w:val="6"/>
            <w:shd w:val="clear" w:color="auto" w:fill="EAF1DD"/>
            <w:noWrap/>
            <w:vAlign w:val="center"/>
          </w:tcPr>
          <w:p w14:paraId="74692051" w14:textId="77777777" w:rsidR="009072CE" w:rsidRPr="00A07F29" w:rsidRDefault="009072CE" w:rsidP="009072CE">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b/>
                <w:color w:val="000000"/>
                <w:w w:val="99"/>
                <w:sz w:val="20"/>
                <w:szCs w:val="20"/>
                <w:lang w:eastAsia="ar-SA"/>
              </w:rPr>
              <w:t>Divspārņi</w:t>
            </w:r>
            <w:r w:rsidRPr="00A07F29">
              <w:rPr>
                <w:rFonts w:ascii="Times New Roman" w:eastAsia="Calibri" w:hAnsi="Times New Roman" w:cs="Times New Roman"/>
                <w:b/>
                <w:color w:val="000000"/>
                <w:spacing w:val="1"/>
                <w:sz w:val="20"/>
                <w:szCs w:val="20"/>
                <w:lang w:eastAsia="ar-SA"/>
              </w:rPr>
              <w:t xml:space="preserve"> </w:t>
            </w:r>
            <w:proofErr w:type="spellStart"/>
            <w:r w:rsidRPr="00A07F29">
              <w:rPr>
                <w:rFonts w:ascii="Times New Roman" w:eastAsia="Calibri" w:hAnsi="Times New Roman" w:cs="Times New Roman"/>
                <w:b/>
                <w:color w:val="000000"/>
                <w:sz w:val="20"/>
                <w:szCs w:val="20"/>
                <w:lang w:eastAsia="ar-SA"/>
              </w:rPr>
              <w:t>Di</w:t>
            </w:r>
            <w:r w:rsidRPr="00A07F29">
              <w:rPr>
                <w:rFonts w:ascii="Times New Roman" w:eastAsia="Calibri" w:hAnsi="Times New Roman" w:cs="Times New Roman"/>
                <w:b/>
                <w:color w:val="000000"/>
                <w:spacing w:val="-2"/>
                <w:sz w:val="20"/>
                <w:szCs w:val="20"/>
                <w:lang w:eastAsia="ar-SA"/>
              </w:rPr>
              <w:t>p</w:t>
            </w:r>
            <w:r w:rsidRPr="00A07F29">
              <w:rPr>
                <w:rFonts w:ascii="Times New Roman" w:eastAsia="Calibri" w:hAnsi="Times New Roman" w:cs="Times New Roman"/>
                <w:b/>
                <w:color w:val="000000"/>
                <w:spacing w:val="2"/>
                <w:sz w:val="20"/>
                <w:szCs w:val="20"/>
                <w:lang w:eastAsia="ar-SA"/>
              </w:rPr>
              <w:t>t</w:t>
            </w:r>
            <w:r w:rsidRPr="00A07F29">
              <w:rPr>
                <w:rFonts w:ascii="Times New Roman" w:eastAsia="Calibri" w:hAnsi="Times New Roman" w:cs="Times New Roman"/>
                <w:b/>
                <w:color w:val="000000"/>
                <w:spacing w:val="-1"/>
                <w:sz w:val="20"/>
                <w:szCs w:val="20"/>
                <w:lang w:eastAsia="ar-SA"/>
              </w:rPr>
              <w:t>er</w:t>
            </w:r>
            <w:r w:rsidRPr="00A07F29">
              <w:rPr>
                <w:rFonts w:ascii="Times New Roman" w:eastAsia="Calibri" w:hAnsi="Times New Roman" w:cs="Times New Roman"/>
                <w:b/>
                <w:color w:val="000000"/>
                <w:sz w:val="20"/>
                <w:szCs w:val="20"/>
                <w:lang w:eastAsia="ar-SA"/>
              </w:rPr>
              <w:t>a</w:t>
            </w:r>
            <w:proofErr w:type="spellEnd"/>
          </w:p>
        </w:tc>
      </w:tr>
      <w:tr w:rsidR="009072CE" w:rsidRPr="00A07F29" w14:paraId="17AC9887" w14:textId="77777777" w:rsidTr="0095136F">
        <w:trPr>
          <w:cantSplit/>
          <w:trHeight w:val="284"/>
        </w:trPr>
        <w:tc>
          <w:tcPr>
            <w:tcW w:w="894" w:type="pct"/>
            <w:shd w:val="clear" w:color="auto" w:fill="auto"/>
            <w:noWrap/>
            <w:vAlign w:val="center"/>
          </w:tcPr>
          <w:p w14:paraId="0F5583D3" w14:textId="77777777" w:rsidR="009072CE" w:rsidRPr="00A07F29" w:rsidRDefault="009072CE" w:rsidP="009072CE">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 xml:space="preserve">Dzeltenā </w:t>
            </w:r>
            <w:proofErr w:type="spellStart"/>
            <w:r w:rsidRPr="00A07F29">
              <w:rPr>
                <w:rFonts w:ascii="Times New Roman" w:eastAsia="Calibri" w:hAnsi="Times New Roman" w:cs="Times New Roman"/>
                <w:color w:val="000000"/>
                <w:sz w:val="20"/>
                <w:szCs w:val="20"/>
                <w:lang w:eastAsia="ar-SA"/>
              </w:rPr>
              <w:t>laupītājmuša</w:t>
            </w:r>
            <w:proofErr w:type="spellEnd"/>
          </w:p>
        </w:tc>
        <w:tc>
          <w:tcPr>
            <w:tcW w:w="821" w:type="pct"/>
            <w:shd w:val="clear" w:color="auto" w:fill="auto"/>
            <w:noWrap/>
            <w:vAlign w:val="center"/>
          </w:tcPr>
          <w:p w14:paraId="5EAEF770" w14:textId="77777777" w:rsidR="009072CE" w:rsidRPr="00A07F29" w:rsidRDefault="009072CE" w:rsidP="009072CE">
            <w:pPr>
              <w:suppressAutoHyphens/>
              <w:spacing w:after="0" w:line="240" w:lineRule="auto"/>
              <w:rPr>
                <w:rFonts w:ascii="Times New Roman" w:eastAsia="Calibri" w:hAnsi="Times New Roman" w:cs="Times New Roman"/>
                <w:i/>
                <w:iCs/>
                <w:color w:val="000000"/>
                <w:sz w:val="20"/>
                <w:szCs w:val="20"/>
                <w:lang w:eastAsia="ar-SA"/>
              </w:rPr>
            </w:pPr>
            <w:proofErr w:type="spellStart"/>
            <w:r w:rsidRPr="00A07F29">
              <w:rPr>
                <w:rFonts w:ascii="Times New Roman" w:eastAsia="Calibri" w:hAnsi="Times New Roman" w:cs="Times New Roman"/>
                <w:i/>
                <w:iCs/>
                <w:color w:val="000000"/>
                <w:sz w:val="20"/>
                <w:szCs w:val="20"/>
                <w:lang w:eastAsia="ar-SA"/>
              </w:rPr>
              <w:t>Laphria</w:t>
            </w:r>
            <w:proofErr w:type="spellEnd"/>
            <w:r w:rsidRPr="00A07F29">
              <w:rPr>
                <w:rFonts w:ascii="Times New Roman" w:eastAsia="Calibri" w:hAnsi="Times New Roman" w:cs="Times New Roman"/>
                <w:i/>
                <w:iCs/>
                <w:color w:val="000000"/>
                <w:sz w:val="20"/>
                <w:szCs w:val="20"/>
                <w:lang w:eastAsia="ar-SA"/>
              </w:rPr>
              <w:t xml:space="preserve"> </w:t>
            </w:r>
            <w:proofErr w:type="spellStart"/>
            <w:r w:rsidRPr="00A07F29">
              <w:rPr>
                <w:rFonts w:ascii="Times New Roman" w:eastAsia="Calibri" w:hAnsi="Times New Roman" w:cs="Times New Roman"/>
                <w:i/>
                <w:iCs/>
                <w:color w:val="000000"/>
                <w:sz w:val="20"/>
                <w:szCs w:val="20"/>
                <w:lang w:eastAsia="ar-SA"/>
              </w:rPr>
              <w:t>flava</w:t>
            </w:r>
            <w:proofErr w:type="spellEnd"/>
          </w:p>
        </w:tc>
        <w:tc>
          <w:tcPr>
            <w:tcW w:w="674" w:type="pct"/>
            <w:shd w:val="clear" w:color="auto" w:fill="auto"/>
            <w:noWrap/>
            <w:vAlign w:val="center"/>
          </w:tcPr>
          <w:p w14:paraId="79577D9D" w14:textId="77777777" w:rsidR="009072CE" w:rsidRPr="00A07F29" w:rsidRDefault="009072CE" w:rsidP="009072CE">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w:t>
            </w:r>
          </w:p>
        </w:tc>
        <w:tc>
          <w:tcPr>
            <w:tcW w:w="595" w:type="pct"/>
            <w:shd w:val="clear" w:color="auto" w:fill="auto"/>
            <w:noWrap/>
            <w:vAlign w:val="center"/>
          </w:tcPr>
          <w:p w14:paraId="2C7AD650" w14:textId="7141CB16" w:rsidR="009072CE" w:rsidRPr="00A07F29" w:rsidRDefault="00A12E2F" w:rsidP="009072CE">
            <w:pPr>
              <w:suppressAutoHyphens/>
              <w:spacing w:after="0" w:line="240" w:lineRule="auto"/>
              <w:rPr>
                <w:rFonts w:ascii="Times New Roman" w:eastAsia="Calibri" w:hAnsi="Times New Roman" w:cs="Times New Roman"/>
                <w:color w:val="000000"/>
                <w:sz w:val="20"/>
                <w:szCs w:val="20"/>
                <w:lang w:eastAsia="ar-SA"/>
              </w:rPr>
            </w:pPr>
            <w:r>
              <w:rPr>
                <w:rFonts w:ascii="Times New Roman" w:eastAsia="Calibri" w:hAnsi="Times New Roman" w:cs="Times New Roman"/>
                <w:color w:val="000000"/>
                <w:sz w:val="20"/>
                <w:szCs w:val="20"/>
                <w:lang w:eastAsia="ar-SA"/>
              </w:rPr>
              <w:t>L</w:t>
            </w:r>
            <w:r w:rsidR="009072CE" w:rsidRPr="00A07F29">
              <w:rPr>
                <w:rFonts w:ascii="Times New Roman" w:eastAsia="Calibri" w:hAnsi="Times New Roman" w:cs="Times New Roman"/>
                <w:color w:val="000000"/>
                <w:sz w:val="20"/>
                <w:szCs w:val="20"/>
                <w:lang w:eastAsia="ar-SA"/>
              </w:rPr>
              <w:t>SG 4</w:t>
            </w:r>
          </w:p>
        </w:tc>
        <w:tc>
          <w:tcPr>
            <w:tcW w:w="1045" w:type="pct"/>
            <w:shd w:val="clear" w:color="auto" w:fill="FFFFFF"/>
          </w:tcPr>
          <w:p w14:paraId="7F7C92A6" w14:textId="2C68D446" w:rsidR="009072CE" w:rsidRPr="00A07F29" w:rsidRDefault="009072CE"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Latvijā samērā reti sastopama suga, kas izklaidus sastopama visā valsts teritorijā (</w:t>
            </w:r>
            <w:proofErr w:type="spellStart"/>
            <w:r w:rsidRPr="00A07F29">
              <w:rPr>
                <w:rFonts w:ascii="Times New Roman" w:eastAsia="Calibri" w:hAnsi="Times New Roman" w:cs="Times New Roman"/>
                <w:color w:val="000000"/>
                <w:sz w:val="20"/>
                <w:szCs w:val="20"/>
                <w:lang w:eastAsia="ar-SA"/>
              </w:rPr>
              <w:t>Spuris</w:t>
            </w:r>
            <w:proofErr w:type="spellEnd"/>
            <w:r w:rsidR="00A12E2F">
              <w:rPr>
                <w:rFonts w:ascii="Times New Roman" w:eastAsia="Calibri" w:hAnsi="Times New Roman" w:cs="Times New Roman"/>
                <w:color w:val="000000"/>
                <w:sz w:val="20"/>
                <w:szCs w:val="20"/>
                <w:lang w:eastAsia="ar-SA"/>
              </w:rPr>
              <w:t xml:space="preserve"> Z.</w:t>
            </w:r>
            <w:r w:rsidRPr="00A07F29">
              <w:rPr>
                <w:rFonts w:ascii="Times New Roman" w:eastAsia="Calibri" w:hAnsi="Times New Roman" w:cs="Times New Roman"/>
                <w:color w:val="000000"/>
                <w:sz w:val="20"/>
                <w:szCs w:val="20"/>
                <w:lang w:eastAsia="ar-SA"/>
              </w:rPr>
              <w:t>, 1998).</w:t>
            </w:r>
          </w:p>
        </w:tc>
        <w:tc>
          <w:tcPr>
            <w:tcW w:w="971" w:type="pct"/>
            <w:shd w:val="clear" w:color="auto" w:fill="auto"/>
          </w:tcPr>
          <w:p w14:paraId="6912F778" w14:textId="77777777" w:rsidR="009072CE" w:rsidRPr="00A07F29" w:rsidRDefault="009072CE" w:rsidP="009072CE">
            <w:pPr>
              <w:suppressAutoHyphens/>
              <w:spacing w:after="0" w:line="240" w:lineRule="auto"/>
              <w:jc w:val="both"/>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Suga samērā bieži sastopama AAA teritorijā esošajos priežu mežu biotopos.</w:t>
            </w:r>
          </w:p>
        </w:tc>
      </w:tr>
    </w:tbl>
    <w:p w14:paraId="53643607" w14:textId="49554C13" w:rsidR="009072CE" w:rsidRPr="00A07F29" w:rsidRDefault="007C721C" w:rsidP="008E5FCF">
      <w:pPr>
        <w:shd w:val="clear" w:color="auto" w:fill="FFFFFF"/>
        <w:spacing w:before="120" w:after="0" w:line="240" w:lineRule="auto"/>
        <w:ind w:firstLine="851"/>
        <w:jc w:val="both"/>
        <w:rPr>
          <w:rFonts w:ascii="Times New Roman" w:eastAsia="Calibri" w:hAnsi="Times New Roman" w:cs="Times New Roman"/>
          <w:sz w:val="20"/>
        </w:rPr>
      </w:pPr>
      <w:r>
        <w:rPr>
          <w:rFonts w:ascii="Times New Roman" w:eastAsia="Calibri" w:hAnsi="Times New Roman" w:cs="Times New Roman"/>
          <w:b/>
          <w:bCs/>
          <w:spacing w:val="-1"/>
          <w:sz w:val="20"/>
        </w:rPr>
        <w:t>L</w:t>
      </w:r>
      <w:r w:rsidR="009072CE" w:rsidRPr="00A07F29">
        <w:rPr>
          <w:rFonts w:ascii="Times New Roman" w:eastAsia="Calibri" w:hAnsi="Times New Roman" w:cs="Times New Roman"/>
          <w:b/>
          <w:bCs/>
          <w:spacing w:val="-1"/>
          <w:sz w:val="20"/>
        </w:rPr>
        <w:t xml:space="preserve">SG </w:t>
      </w:r>
      <w:r w:rsidR="00F07017">
        <w:rPr>
          <w:rFonts w:ascii="Times New Roman" w:eastAsia="Calibri" w:hAnsi="Times New Roman" w:cs="Times New Roman"/>
          <w:spacing w:val="-1"/>
          <w:sz w:val="20"/>
        </w:rPr>
        <w:t>–</w:t>
      </w:r>
      <w:r w:rsidR="009072CE" w:rsidRPr="00A07F29">
        <w:rPr>
          <w:rFonts w:ascii="Times New Roman" w:eastAsia="Calibri" w:hAnsi="Times New Roman" w:cs="Times New Roman"/>
          <w:spacing w:val="-1"/>
          <w:sz w:val="20"/>
        </w:rPr>
        <w:t xml:space="preserve"> Latvijas Sarkanā grāmata (</w:t>
      </w:r>
      <w:proofErr w:type="spellStart"/>
      <w:r w:rsidR="009072CE" w:rsidRPr="00A07F29">
        <w:rPr>
          <w:rFonts w:ascii="Times New Roman" w:eastAsia="Calibri" w:hAnsi="Times New Roman" w:cs="Times New Roman"/>
          <w:spacing w:val="-1"/>
          <w:sz w:val="20"/>
        </w:rPr>
        <w:t>Spuris</w:t>
      </w:r>
      <w:proofErr w:type="spellEnd"/>
      <w:r w:rsidR="003708A0">
        <w:rPr>
          <w:rFonts w:ascii="Times New Roman" w:eastAsia="Calibri" w:hAnsi="Times New Roman" w:cs="Times New Roman"/>
          <w:spacing w:val="-1"/>
          <w:sz w:val="20"/>
        </w:rPr>
        <w:t xml:space="preserve"> Z.,</w:t>
      </w:r>
      <w:r w:rsidR="009072CE" w:rsidRPr="00A07F29">
        <w:rPr>
          <w:rFonts w:ascii="Times New Roman" w:eastAsia="Calibri" w:hAnsi="Times New Roman" w:cs="Times New Roman"/>
          <w:spacing w:val="-1"/>
          <w:sz w:val="20"/>
        </w:rPr>
        <w:t xml:space="preserve"> 1998). LSG tiek lietotas šādas apdraudēto sugu kategorijas: </w:t>
      </w:r>
      <w:r w:rsidR="00D36A74">
        <w:rPr>
          <w:rFonts w:ascii="Times New Roman" w:eastAsia="Calibri" w:hAnsi="Times New Roman" w:cs="Times New Roman"/>
          <w:b/>
          <w:bCs/>
          <w:sz w:val="20"/>
        </w:rPr>
        <w:t>1</w:t>
      </w:r>
      <w:r w:rsidR="009072CE" w:rsidRPr="00A07F29">
        <w:rPr>
          <w:rFonts w:ascii="Times New Roman" w:eastAsia="Calibri" w:hAnsi="Times New Roman" w:cs="Times New Roman"/>
          <w:sz w:val="20"/>
        </w:rPr>
        <w:t xml:space="preserve"> - izzūdošās sugas; </w:t>
      </w:r>
      <w:r w:rsidR="00D36A74">
        <w:rPr>
          <w:rFonts w:ascii="Times New Roman" w:eastAsia="Calibri" w:hAnsi="Times New Roman" w:cs="Times New Roman"/>
          <w:b/>
          <w:bCs/>
          <w:sz w:val="20"/>
        </w:rPr>
        <w:t>2</w:t>
      </w:r>
      <w:r w:rsidR="009072CE" w:rsidRPr="00A07F29">
        <w:rPr>
          <w:rFonts w:ascii="Times New Roman" w:eastAsia="Calibri" w:hAnsi="Times New Roman" w:cs="Times New Roman"/>
          <w:sz w:val="20"/>
        </w:rPr>
        <w:t xml:space="preserve"> </w:t>
      </w:r>
      <w:r w:rsidR="009072CE" w:rsidRPr="00A07F29">
        <w:rPr>
          <w:rFonts w:ascii="Times New Roman" w:eastAsia="Calibri" w:hAnsi="Times New Roman" w:cs="Times New Roman"/>
          <w:spacing w:val="-1"/>
          <w:sz w:val="20"/>
        </w:rPr>
        <w:t xml:space="preserve">- sarūkošās sugas; </w:t>
      </w:r>
      <w:r w:rsidR="00D36A74">
        <w:rPr>
          <w:rFonts w:ascii="Times New Roman" w:eastAsia="Calibri" w:hAnsi="Times New Roman" w:cs="Times New Roman"/>
          <w:b/>
          <w:bCs/>
          <w:spacing w:val="-1"/>
          <w:sz w:val="20"/>
        </w:rPr>
        <w:t>3</w:t>
      </w:r>
      <w:r w:rsidR="009072CE" w:rsidRPr="00A07F29">
        <w:rPr>
          <w:rFonts w:ascii="Times New Roman" w:eastAsia="Calibri" w:hAnsi="Times New Roman" w:cs="Times New Roman"/>
          <w:spacing w:val="-1"/>
          <w:sz w:val="20"/>
        </w:rPr>
        <w:t xml:space="preserve"> - retās sugas; </w:t>
      </w:r>
      <w:r w:rsidR="00D36A74">
        <w:rPr>
          <w:rFonts w:ascii="Times New Roman" w:eastAsia="Calibri" w:hAnsi="Times New Roman" w:cs="Times New Roman"/>
          <w:b/>
          <w:bCs/>
          <w:spacing w:val="-1"/>
          <w:sz w:val="20"/>
        </w:rPr>
        <w:t>4</w:t>
      </w:r>
      <w:r w:rsidR="009072CE" w:rsidRPr="00A07F29">
        <w:rPr>
          <w:rFonts w:ascii="Times New Roman" w:eastAsia="Calibri" w:hAnsi="Times New Roman" w:cs="Times New Roman"/>
          <w:spacing w:val="-1"/>
          <w:sz w:val="20"/>
        </w:rPr>
        <w:t xml:space="preserve"> - maz pazīstamās sugas.</w:t>
      </w:r>
    </w:p>
    <w:p w14:paraId="46799338" w14:textId="4868A8FF" w:rsidR="009072CE" w:rsidRDefault="00844547" w:rsidP="009072CE">
      <w:pPr>
        <w:autoSpaceDE w:val="0"/>
        <w:spacing w:after="0" w:line="240" w:lineRule="auto"/>
        <w:ind w:firstLine="851"/>
        <w:jc w:val="both"/>
        <w:rPr>
          <w:rFonts w:ascii="Times New Roman" w:eastAsia="Calibri" w:hAnsi="Times New Roman" w:cs="Times New Roman"/>
          <w:sz w:val="20"/>
        </w:rPr>
      </w:pPr>
      <w:r w:rsidRPr="00B02A78">
        <w:rPr>
          <w:rFonts w:ascii="Times New Roman" w:eastAsia="Calibri" w:hAnsi="Times New Roman" w:cs="Times New Roman"/>
          <w:b/>
          <w:bCs/>
          <w:sz w:val="20"/>
        </w:rPr>
        <w:t>BD</w:t>
      </w:r>
      <w:r w:rsidRPr="00A07F29">
        <w:rPr>
          <w:rFonts w:ascii="Times New Roman" w:eastAsia="Calibri" w:hAnsi="Times New Roman" w:cs="Times New Roman"/>
          <w:b/>
          <w:bCs/>
          <w:sz w:val="20"/>
        </w:rPr>
        <w:t xml:space="preserve"> </w:t>
      </w:r>
      <w:r w:rsidR="009072CE" w:rsidRPr="00A07F29">
        <w:rPr>
          <w:rFonts w:ascii="Times New Roman" w:eastAsia="Calibri" w:hAnsi="Times New Roman" w:cs="Times New Roman"/>
          <w:sz w:val="20"/>
        </w:rPr>
        <w:t xml:space="preserve">– </w:t>
      </w:r>
      <w:r w:rsidR="00F51740">
        <w:rPr>
          <w:rFonts w:ascii="Times New Roman" w:eastAsia="Calibri" w:hAnsi="Times New Roman" w:cs="Times New Roman"/>
          <w:sz w:val="20"/>
        </w:rPr>
        <w:t xml:space="preserve">Biotopu direktīva: </w:t>
      </w:r>
      <w:r w:rsidR="009072CE" w:rsidRPr="00A07F29">
        <w:rPr>
          <w:rFonts w:ascii="Times New Roman" w:eastAsia="Calibri" w:hAnsi="Times New Roman" w:cs="Times New Roman"/>
          <w:b/>
          <w:bCs/>
          <w:sz w:val="20"/>
        </w:rPr>
        <w:t xml:space="preserve">II </w:t>
      </w:r>
      <w:r w:rsidR="009072CE" w:rsidRPr="00A07F29">
        <w:rPr>
          <w:rFonts w:ascii="Times New Roman" w:eastAsia="Calibri" w:hAnsi="Times New Roman" w:cs="Times New Roman"/>
          <w:sz w:val="20"/>
        </w:rPr>
        <w:t xml:space="preserve">pielikums. Dzīvnieku un augu sugas, kas ir Kopienas interešu sfērā un kuru aizsardzībai nepieciešama īpaši aizsargājamo teritoriju nodalīšana. </w:t>
      </w:r>
      <w:r w:rsidR="009072CE" w:rsidRPr="00A07F29">
        <w:rPr>
          <w:rFonts w:ascii="Times New Roman" w:eastAsia="Calibri" w:hAnsi="Times New Roman" w:cs="Times New Roman"/>
          <w:b/>
          <w:bCs/>
          <w:sz w:val="20"/>
        </w:rPr>
        <w:t xml:space="preserve">* </w:t>
      </w:r>
      <w:r w:rsidR="009072CE" w:rsidRPr="00A07F29">
        <w:rPr>
          <w:rFonts w:ascii="Times New Roman" w:eastAsia="Calibri" w:hAnsi="Times New Roman" w:cs="Times New Roman"/>
          <w:sz w:val="20"/>
        </w:rPr>
        <w:t xml:space="preserve">- prioritāra suga; </w:t>
      </w:r>
      <w:r w:rsidR="009072CE" w:rsidRPr="00A07F29">
        <w:rPr>
          <w:rFonts w:ascii="Times New Roman" w:eastAsia="Calibri" w:hAnsi="Times New Roman" w:cs="Times New Roman"/>
          <w:b/>
          <w:bCs/>
          <w:sz w:val="20"/>
        </w:rPr>
        <w:t xml:space="preserve">IV </w:t>
      </w:r>
      <w:r w:rsidR="009072CE" w:rsidRPr="00A07F29">
        <w:rPr>
          <w:rFonts w:ascii="Times New Roman" w:eastAsia="Calibri" w:hAnsi="Times New Roman" w:cs="Times New Roman"/>
          <w:sz w:val="20"/>
        </w:rPr>
        <w:t xml:space="preserve">pielikums. Dzīvnieku un augu sugas, kas ir Kopienas interešu sfērā un kuru aizsardzībai nepieciešams stingrs aizsardzības režīms; </w:t>
      </w:r>
      <w:r w:rsidR="009072CE" w:rsidRPr="00A07F29">
        <w:rPr>
          <w:rFonts w:ascii="Times New Roman" w:eastAsia="Calibri" w:hAnsi="Times New Roman" w:cs="Times New Roman"/>
          <w:b/>
          <w:bCs/>
          <w:sz w:val="20"/>
        </w:rPr>
        <w:t>V</w:t>
      </w:r>
      <w:r w:rsidR="009072CE" w:rsidRPr="00A07F29">
        <w:rPr>
          <w:rFonts w:ascii="Times New Roman" w:eastAsia="Calibri" w:hAnsi="Times New Roman" w:cs="Times New Roman"/>
          <w:sz w:val="20"/>
        </w:rPr>
        <w:t xml:space="preserve"> pielikums. Dzīvnieku un augu sugas, kas ir Kopienas interešu sfērā un kuru iegūšana un ekspluatācija dabā var būt pieļaujama.</w:t>
      </w:r>
    </w:p>
    <w:p w14:paraId="41119BAB" w14:textId="743CDB9D" w:rsidR="009072CE" w:rsidRPr="00A07F29" w:rsidRDefault="009072CE" w:rsidP="009072CE">
      <w:pPr>
        <w:autoSpaceDE w:val="0"/>
        <w:autoSpaceDN w:val="0"/>
        <w:adjustRightInd w:val="0"/>
        <w:spacing w:after="0" w:line="240" w:lineRule="auto"/>
        <w:ind w:firstLine="851"/>
        <w:jc w:val="both"/>
        <w:rPr>
          <w:rFonts w:ascii="Times New Roman" w:eastAsia="Calibri" w:hAnsi="Times New Roman" w:cs="Times New Roman"/>
          <w:sz w:val="20"/>
        </w:rPr>
      </w:pPr>
      <w:r w:rsidRPr="00A07F29">
        <w:rPr>
          <w:rFonts w:ascii="Times New Roman" w:eastAsia="Calibri" w:hAnsi="Times New Roman" w:cs="Times New Roman"/>
          <w:b/>
          <w:bCs/>
          <w:sz w:val="20"/>
        </w:rPr>
        <w:t xml:space="preserve">Berne </w:t>
      </w:r>
      <w:r w:rsidR="00A349E9">
        <w:rPr>
          <w:rFonts w:ascii="Times New Roman" w:eastAsia="Calibri" w:hAnsi="Times New Roman" w:cs="Times New Roman"/>
          <w:sz w:val="20"/>
        </w:rPr>
        <w:t>–</w:t>
      </w:r>
      <w:r w:rsidRPr="00A07F29">
        <w:rPr>
          <w:rFonts w:ascii="Times New Roman" w:eastAsia="Calibri" w:hAnsi="Times New Roman" w:cs="Times New Roman"/>
          <w:sz w:val="20"/>
        </w:rPr>
        <w:t xml:space="preserve"> Bernes konvencija</w:t>
      </w:r>
      <w:r w:rsidR="00E55D2C">
        <w:rPr>
          <w:rFonts w:ascii="Times New Roman" w:eastAsia="Calibri" w:hAnsi="Times New Roman" w:cs="Times New Roman"/>
          <w:sz w:val="20"/>
        </w:rPr>
        <w:t>:</w:t>
      </w:r>
      <w:r w:rsidRPr="00A07F29">
        <w:rPr>
          <w:rFonts w:ascii="Times New Roman" w:eastAsia="Calibri" w:hAnsi="Times New Roman" w:cs="Times New Roman"/>
          <w:sz w:val="20"/>
        </w:rPr>
        <w:t xml:space="preserve"> </w:t>
      </w:r>
      <w:r w:rsidRPr="00A07F29">
        <w:rPr>
          <w:rFonts w:ascii="Times New Roman" w:eastAsia="Calibri" w:hAnsi="Times New Roman" w:cs="Times New Roman"/>
          <w:b/>
          <w:bCs/>
          <w:sz w:val="20"/>
        </w:rPr>
        <w:t xml:space="preserve">II </w:t>
      </w:r>
      <w:r w:rsidRPr="00A07F29">
        <w:rPr>
          <w:rFonts w:ascii="Times New Roman" w:eastAsia="Calibri" w:hAnsi="Times New Roman" w:cs="Times New Roman"/>
          <w:sz w:val="20"/>
        </w:rPr>
        <w:t>pielikums. Īpaši aizsargājamo dzīvnieku sugas, kuru aizsardzībai jāveido īpaši aizsargājama teritorija</w:t>
      </w:r>
      <w:r w:rsidR="00E55D2C">
        <w:rPr>
          <w:rFonts w:ascii="Times New Roman" w:eastAsia="Calibri" w:hAnsi="Times New Roman" w:cs="Times New Roman"/>
          <w:sz w:val="20"/>
        </w:rPr>
        <w:t>;</w:t>
      </w:r>
      <w:r w:rsidRPr="00A07F29">
        <w:rPr>
          <w:rFonts w:ascii="Times New Roman" w:eastAsia="Calibri" w:hAnsi="Times New Roman" w:cs="Times New Roman"/>
          <w:sz w:val="20"/>
        </w:rPr>
        <w:t xml:space="preserve"> </w:t>
      </w:r>
      <w:r w:rsidRPr="00A07F29">
        <w:rPr>
          <w:rFonts w:ascii="Times New Roman" w:eastAsia="Calibri" w:hAnsi="Times New Roman" w:cs="Times New Roman"/>
          <w:b/>
          <w:bCs/>
          <w:sz w:val="20"/>
        </w:rPr>
        <w:t xml:space="preserve">III </w:t>
      </w:r>
      <w:r w:rsidRPr="00A07F29">
        <w:rPr>
          <w:rFonts w:ascii="Times New Roman" w:eastAsia="Calibri" w:hAnsi="Times New Roman" w:cs="Times New Roman"/>
          <w:sz w:val="20"/>
        </w:rPr>
        <w:t xml:space="preserve">pielikums. Aizsargājamās dzīvnieku sugas, kuru aizsardzībai nav jāveido īpaši aizsargājama teritorija. </w:t>
      </w:r>
      <w:r w:rsidRPr="00A07F29">
        <w:rPr>
          <w:rFonts w:ascii="Times New Roman" w:eastAsia="Calibri" w:hAnsi="Times New Roman" w:cs="Times New Roman"/>
          <w:b/>
          <w:bCs/>
          <w:sz w:val="20"/>
        </w:rPr>
        <w:t xml:space="preserve">* </w:t>
      </w:r>
      <w:r w:rsidRPr="00A07F29">
        <w:rPr>
          <w:rFonts w:ascii="Times New Roman" w:eastAsia="Calibri" w:hAnsi="Times New Roman" w:cs="Times New Roman"/>
          <w:sz w:val="20"/>
        </w:rPr>
        <w:t xml:space="preserve">- atrunas par </w:t>
      </w:r>
      <w:r w:rsidR="00507FEF">
        <w:rPr>
          <w:rFonts w:ascii="Times New Roman" w:eastAsia="Calibri" w:hAnsi="Times New Roman" w:cs="Times New Roman"/>
          <w:sz w:val="20"/>
        </w:rPr>
        <w:t>Bernes</w:t>
      </w:r>
      <w:r w:rsidRPr="00A07F29">
        <w:rPr>
          <w:rFonts w:ascii="Times New Roman" w:eastAsia="Calibri" w:hAnsi="Times New Roman" w:cs="Times New Roman"/>
          <w:sz w:val="20"/>
        </w:rPr>
        <w:t xml:space="preserve"> </w:t>
      </w:r>
      <w:r w:rsidR="00507FEF">
        <w:rPr>
          <w:rFonts w:ascii="Times New Roman" w:eastAsia="Calibri" w:hAnsi="Times New Roman" w:cs="Times New Roman"/>
          <w:sz w:val="20"/>
        </w:rPr>
        <w:t>k</w:t>
      </w:r>
      <w:r w:rsidRPr="00A07F29">
        <w:rPr>
          <w:rFonts w:ascii="Times New Roman" w:eastAsia="Calibri" w:hAnsi="Times New Roman" w:cs="Times New Roman"/>
          <w:sz w:val="20"/>
        </w:rPr>
        <w:t>onvencijas par Eiropas dzīvās dabas un dabisko dzīvotņu aizsardzību pielikumiem, sugas aizsardzībai nav jāveido īpaši aizsargājama teritorija.</w:t>
      </w:r>
    </w:p>
    <w:p w14:paraId="5B8DBE2B" w14:textId="07B0E2F6" w:rsidR="009072CE" w:rsidRPr="00A07F29" w:rsidRDefault="009072CE" w:rsidP="009072CE">
      <w:pPr>
        <w:shd w:val="clear" w:color="auto" w:fill="FFFFFF"/>
        <w:spacing w:after="0" w:line="240" w:lineRule="auto"/>
        <w:ind w:firstLine="851"/>
        <w:jc w:val="both"/>
        <w:rPr>
          <w:rFonts w:ascii="Times New Roman" w:eastAsia="Calibri" w:hAnsi="Times New Roman" w:cs="Times New Roman"/>
          <w:sz w:val="20"/>
        </w:rPr>
      </w:pPr>
      <w:r w:rsidRPr="00A07F29">
        <w:rPr>
          <w:rFonts w:ascii="Times New Roman" w:eastAsia="Calibri" w:hAnsi="Times New Roman" w:cs="Times New Roman"/>
          <w:b/>
          <w:sz w:val="20"/>
        </w:rPr>
        <w:t xml:space="preserve">ĪAS </w:t>
      </w:r>
      <w:r w:rsidRPr="00A07F29">
        <w:rPr>
          <w:rFonts w:ascii="Times New Roman" w:eastAsia="Calibri" w:hAnsi="Times New Roman" w:cs="Times New Roman"/>
          <w:sz w:val="20"/>
        </w:rPr>
        <w:t>– īpaši aizsargājama suga,</w:t>
      </w:r>
      <w:r w:rsidR="003D1445">
        <w:rPr>
          <w:rFonts w:ascii="Times New Roman" w:eastAsia="Calibri" w:hAnsi="Times New Roman" w:cs="Times New Roman"/>
          <w:sz w:val="20"/>
        </w:rPr>
        <w:t xml:space="preserve"> </w:t>
      </w:r>
      <w:r w:rsidR="00F24B81">
        <w:rPr>
          <w:rFonts w:ascii="Times New Roman" w:eastAsia="Calibri" w:hAnsi="Times New Roman" w:cs="Times New Roman"/>
          <w:sz w:val="20"/>
        </w:rPr>
        <w:t>(</w:t>
      </w:r>
      <w:r w:rsidR="000F0E9B" w:rsidRPr="000F0E9B">
        <w:rPr>
          <w:rFonts w:ascii="Times New Roman" w:eastAsia="Calibri" w:hAnsi="Times New Roman" w:cs="Times New Roman"/>
          <w:sz w:val="20"/>
        </w:rPr>
        <w:t>atbilstoši MK 2000. gada 14. novembra noteikumu Nr. 396. ”Noteikumi par īpaši aizsargājamo sugu un ierobežoti izmantojamo īpaši aizsargājamo sugu sarakstu” 1. pielikumam)</w:t>
      </w:r>
      <w:r w:rsidR="003D1445">
        <w:rPr>
          <w:rFonts w:ascii="Times New Roman" w:eastAsia="Calibri" w:hAnsi="Times New Roman" w:cs="Times New Roman"/>
          <w:sz w:val="20"/>
        </w:rPr>
        <w:t>.</w:t>
      </w:r>
      <w:r w:rsidR="000F0E9B" w:rsidRPr="000F0E9B">
        <w:rPr>
          <w:rFonts w:ascii="Times New Roman" w:eastAsia="Calibri" w:hAnsi="Times New Roman" w:cs="Times New Roman"/>
          <w:sz w:val="20"/>
        </w:rPr>
        <w:t xml:space="preserve"> </w:t>
      </w:r>
    </w:p>
    <w:p w14:paraId="67C569A9" w14:textId="166990B9" w:rsidR="009072CE" w:rsidRPr="00A07F29" w:rsidRDefault="009072CE" w:rsidP="009072CE">
      <w:pPr>
        <w:spacing w:after="0" w:line="240" w:lineRule="auto"/>
        <w:ind w:firstLine="851"/>
        <w:jc w:val="both"/>
        <w:rPr>
          <w:rFonts w:ascii="Times New Roman" w:eastAsia="Calibri" w:hAnsi="Times New Roman" w:cs="Times New Roman"/>
          <w:sz w:val="20"/>
        </w:rPr>
      </w:pPr>
      <w:r w:rsidRPr="00A07F29">
        <w:rPr>
          <w:rFonts w:ascii="Times New Roman" w:eastAsia="Calibri" w:hAnsi="Times New Roman" w:cs="Times New Roman"/>
          <w:b/>
          <w:sz w:val="20"/>
        </w:rPr>
        <w:t xml:space="preserve">MIK </w:t>
      </w:r>
      <w:r w:rsidRPr="00A07F29">
        <w:rPr>
          <w:rFonts w:ascii="Times New Roman" w:eastAsia="Calibri" w:hAnsi="Times New Roman" w:cs="Times New Roman"/>
          <w:sz w:val="20"/>
        </w:rPr>
        <w:t xml:space="preserve">– </w:t>
      </w:r>
      <w:r w:rsidR="00290ECA" w:rsidRPr="00290ECA">
        <w:rPr>
          <w:rFonts w:ascii="Times New Roman" w:eastAsia="Calibri" w:hAnsi="Times New Roman" w:cs="Times New Roman"/>
          <w:sz w:val="20"/>
        </w:rPr>
        <w:t>sugas aizsardzībai veidojams mikroliegums (atbilstoši MK 2012. gada 18. decembra noteikumiem Nr. 940 “Noteikumi par mikroliegumu izveidošanas un apsaimniekošanas kārtību, to aizsardzību, kā arī mikroliegumu un to buferzonu noteikšanu” 1. pielikumam)</w:t>
      </w:r>
      <w:r w:rsidR="0027526A">
        <w:rPr>
          <w:rFonts w:ascii="Times New Roman" w:eastAsia="Calibri" w:hAnsi="Times New Roman" w:cs="Times New Roman"/>
          <w:sz w:val="20"/>
        </w:rPr>
        <w:t xml:space="preserve">. </w:t>
      </w:r>
    </w:p>
    <w:p w14:paraId="79D8F0C7" w14:textId="77777777" w:rsidR="004513EA" w:rsidRDefault="009072CE" w:rsidP="009072CE">
      <w:pPr>
        <w:shd w:val="clear" w:color="auto" w:fill="FFFFFF"/>
        <w:spacing w:after="0" w:line="240" w:lineRule="auto"/>
        <w:ind w:firstLine="851"/>
        <w:jc w:val="both"/>
        <w:rPr>
          <w:rFonts w:ascii="Times New Roman" w:eastAsia="Calibri" w:hAnsi="Times New Roman" w:cs="Times New Roman"/>
          <w:sz w:val="20"/>
        </w:rPr>
      </w:pPr>
      <w:r w:rsidRPr="00A07F29">
        <w:rPr>
          <w:rFonts w:ascii="Times New Roman" w:eastAsia="Calibri" w:hAnsi="Times New Roman" w:cs="Times New Roman"/>
          <w:b/>
          <w:bCs/>
          <w:sz w:val="20"/>
        </w:rPr>
        <w:t xml:space="preserve">MAB </w:t>
      </w:r>
      <w:r w:rsidR="004513EA">
        <w:rPr>
          <w:rFonts w:ascii="Times New Roman" w:eastAsia="Calibri" w:hAnsi="Times New Roman" w:cs="Times New Roman"/>
          <w:sz w:val="20"/>
        </w:rPr>
        <w:t>–</w:t>
      </w:r>
      <w:r w:rsidRPr="00A07F29">
        <w:rPr>
          <w:rFonts w:ascii="Times New Roman" w:eastAsia="Calibri" w:hAnsi="Times New Roman" w:cs="Times New Roman"/>
          <w:sz w:val="20"/>
        </w:rPr>
        <w:t xml:space="preserve"> </w:t>
      </w:r>
      <w:r w:rsidR="004513EA" w:rsidRPr="004513EA">
        <w:rPr>
          <w:rFonts w:ascii="Times New Roman" w:eastAsia="Calibri" w:hAnsi="Times New Roman" w:cs="Times New Roman"/>
          <w:sz w:val="20"/>
        </w:rPr>
        <w:t xml:space="preserve">mežaudžu atslēgas biotopu (= dabisku meža biotopu) sugas (Lārmanis V., u.c., 2000). </w:t>
      </w:r>
      <w:r w:rsidR="004513EA" w:rsidRPr="004513EA">
        <w:rPr>
          <w:rFonts w:ascii="Times New Roman" w:eastAsia="Calibri" w:hAnsi="Times New Roman" w:cs="Times New Roman"/>
          <w:b/>
          <w:bCs/>
          <w:sz w:val="20"/>
        </w:rPr>
        <w:t xml:space="preserve">BSS </w:t>
      </w:r>
      <w:r w:rsidR="004513EA" w:rsidRPr="004513EA">
        <w:rPr>
          <w:rFonts w:ascii="Times New Roman" w:eastAsia="Calibri" w:hAnsi="Times New Roman" w:cs="Times New Roman"/>
          <w:sz w:val="20"/>
        </w:rPr>
        <w:t xml:space="preserve">– Biotopu speciālistu suga, kuras pastāvēšana ir atkarīga no noteikta biotopa. Tā ir apdraudēta suga, kuras pastāvēšana ir atkarīga no ļoti specifiskiem (mežaudžu atslēgas) biotopiem un, kuras izzudīs, ja šie biotopi tiks apsaimniekoti sugu pastāvēšanai nepiemērotā veidā. </w:t>
      </w:r>
      <w:r w:rsidR="004513EA" w:rsidRPr="004513EA">
        <w:rPr>
          <w:rFonts w:ascii="Times New Roman" w:eastAsia="Calibri" w:hAnsi="Times New Roman" w:cs="Times New Roman"/>
          <w:b/>
          <w:bCs/>
          <w:sz w:val="20"/>
        </w:rPr>
        <w:t xml:space="preserve">IS </w:t>
      </w:r>
      <w:r w:rsidR="004513EA" w:rsidRPr="004513EA">
        <w:rPr>
          <w:rFonts w:ascii="Times New Roman" w:eastAsia="Calibri" w:hAnsi="Times New Roman" w:cs="Times New Roman"/>
          <w:sz w:val="20"/>
        </w:rPr>
        <w:t xml:space="preserve">– </w:t>
      </w:r>
      <w:proofErr w:type="spellStart"/>
      <w:r w:rsidR="004513EA" w:rsidRPr="004513EA">
        <w:rPr>
          <w:rFonts w:ascii="Times New Roman" w:eastAsia="Calibri" w:hAnsi="Times New Roman" w:cs="Times New Roman"/>
          <w:sz w:val="20"/>
        </w:rPr>
        <w:t>Indikatorsuga</w:t>
      </w:r>
      <w:proofErr w:type="spellEnd"/>
      <w:r w:rsidR="004513EA" w:rsidRPr="004513EA">
        <w:rPr>
          <w:rFonts w:ascii="Times New Roman" w:eastAsia="Calibri" w:hAnsi="Times New Roman" w:cs="Times New Roman"/>
          <w:sz w:val="20"/>
        </w:rPr>
        <w:t>, kam ir samērā augstas prasības pret dzīves vidi, bet ne tik augstas kā biotopu speciālistu sugām.</w:t>
      </w:r>
    </w:p>
    <w:p w14:paraId="5A373466" w14:textId="0BF62336" w:rsidR="009072CE" w:rsidRPr="00A07F29" w:rsidRDefault="009072CE" w:rsidP="009072CE">
      <w:pPr>
        <w:shd w:val="clear" w:color="auto" w:fill="FFFFFF"/>
        <w:spacing w:after="0" w:line="240" w:lineRule="auto"/>
        <w:ind w:firstLine="851"/>
        <w:jc w:val="both"/>
        <w:rPr>
          <w:rFonts w:ascii="Times New Roman" w:eastAsia="Calibri" w:hAnsi="Times New Roman" w:cs="Times New Roman"/>
          <w:color w:val="000000"/>
          <w:sz w:val="20"/>
        </w:rPr>
      </w:pPr>
      <w:r w:rsidRPr="00A07F29">
        <w:rPr>
          <w:rFonts w:ascii="Times New Roman" w:eastAsia="Calibri" w:hAnsi="Times New Roman" w:cs="Times New Roman"/>
          <w:b/>
          <w:bCs/>
          <w:color w:val="000000"/>
          <w:spacing w:val="1"/>
          <w:sz w:val="20"/>
        </w:rPr>
        <w:t>I</w:t>
      </w:r>
      <w:r w:rsidRPr="00A07F29">
        <w:rPr>
          <w:rFonts w:ascii="Times New Roman" w:eastAsia="Calibri" w:hAnsi="Times New Roman" w:cs="Times New Roman"/>
          <w:b/>
          <w:bCs/>
          <w:color w:val="000000"/>
          <w:spacing w:val="-1"/>
          <w:sz w:val="20"/>
        </w:rPr>
        <w:t>UC</w:t>
      </w:r>
      <w:r w:rsidRPr="00A07F29">
        <w:rPr>
          <w:rFonts w:ascii="Times New Roman" w:eastAsia="Calibri" w:hAnsi="Times New Roman" w:cs="Times New Roman"/>
          <w:b/>
          <w:bCs/>
          <w:color w:val="000000"/>
          <w:sz w:val="20"/>
        </w:rPr>
        <w:t xml:space="preserve">N </w:t>
      </w:r>
      <w:r w:rsidRPr="00A07F29">
        <w:rPr>
          <w:rFonts w:ascii="Times New Roman" w:eastAsia="Calibri" w:hAnsi="Times New Roman" w:cs="Times New Roman"/>
          <w:color w:val="000000"/>
          <w:sz w:val="20"/>
        </w:rPr>
        <w:t>– Pa</w:t>
      </w:r>
      <w:r w:rsidRPr="00A07F29">
        <w:rPr>
          <w:rFonts w:ascii="Times New Roman" w:eastAsia="Calibri" w:hAnsi="Times New Roman" w:cs="Times New Roman"/>
          <w:color w:val="000000"/>
          <w:spacing w:val="1"/>
          <w:sz w:val="20"/>
        </w:rPr>
        <w:t>s</w:t>
      </w:r>
      <w:r w:rsidRPr="00A07F29">
        <w:rPr>
          <w:rFonts w:ascii="Times New Roman" w:eastAsia="Calibri" w:hAnsi="Times New Roman" w:cs="Times New Roman"/>
          <w:color w:val="000000"/>
          <w:sz w:val="20"/>
        </w:rPr>
        <w:t>a</w:t>
      </w:r>
      <w:r w:rsidRPr="00A07F29">
        <w:rPr>
          <w:rFonts w:ascii="Times New Roman" w:eastAsia="Calibri" w:hAnsi="Times New Roman" w:cs="Times New Roman"/>
          <w:color w:val="000000"/>
          <w:spacing w:val="-2"/>
          <w:sz w:val="20"/>
        </w:rPr>
        <w:t>u</w:t>
      </w:r>
      <w:r w:rsidRPr="00A07F29">
        <w:rPr>
          <w:rFonts w:ascii="Times New Roman" w:eastAsia="Calibri" w:hAnsi="Times New Roman" w:cs="Times New Roman"/>
          <w:color w:val="000000"/>
          <w:spacing w:val="1"/>
          <w:sz w:val="20"/>
        </w:rPr>
        <w:t>l</w:t>
      </w:r>
      <w:r w:rsidRPr="00A07F29">
        <w:rPr>
          <w:rFonts w:ascii="Times New Roman" w:eastAsia="Calibri" w:hAnsi="Times New Roman" w:cs="Times New Roman"/>
          <w:color w:val="000000"/>
          <w:sz w:val="20"/>
        </w:rPr>
        <w:t>es</w:t>
      </w:r>
      <w:r w:rsidR="00085588">
        <w:rPr>
          <w:rFonts w:ascii="Times New Roman" w:eastAsia="Calibri" w:hAnsi="Times New Roman" w:cs="Times New Roman"/>
          <w:color w:val="000000"/>
          <w:spacing w:val="54"/>
          <w:sz w:val="20"/>
        </w:rPr>
        <w:t xml:space="preserve"> </w:t>
      </w:r>
      <w:r w:rsidRPr="00A07F29">
        <w:rPr>
          <w:rFonts w:ascii="Times New Roman" w:eastAsia="Calibri" w:hAnsi="Times New Roman" w:cs="Times New Roman"/>
          <w:color w:val="000000"/>
          <w:sz w:val="20"/>
        </w:rPr>
        <w:t>da</w:t>
      </w:r>
      <w:r w:rsidRPr="00A07F29">
        <w:rPr>
          <w:rFonts w:ascii="Times New Roman" w:eastAsia="Calibri" w:hAnsi="Times New Roman" w:cs="Times New Roman"/>
          <w:color w:val="000000"/>
          <w:spacing w:val="-2"/>
          <w:sz w:val="20"/>
        </w:rPr>
        <w:t>b</w:t>
      </w:r>
      <w:r w:rsidRPr="00A07F29">
        <w:rPr>
          <w:rFonts w:ascii="Times New Roman" w:eastAsia="Calibri" w:hAnsi="Times New Roman" w:cs="Times New Roman"/>
          <w:color w:val="000000"/>
          <w:sz w:val="20"/>
        </w:rPr>
        <w:t>as</w:t>
      </w:r>
      <w:r w:rsidR="00085588">
        <w:rPr>
          <w:rFonts w:ascii="Times New Roman" w:eastAsia="Calibri" w:hAnsi="Times New Roman" w:cs="Times New Roman"/>
          <w:color w:val="000000"/>
          <w:spacing w:val="54"/>
          <w:sz w:val="20"/>
        </w:rPr>
        <w:t xml:space="preserve"> </w:t>
      </w:r>
      <w:r w:rsidRPr="00A07F29">
        <w:rPr>
          <w:rFonts w:ascii="Times New Roman" w:eastAsia="Calibri" w:hAnsi="Times New Roman" w:cs="Times New Roman"/>
          <w:color w:val="000000"/>
          <w:sz w:val="20"/>
        </w:rPr>
        <w:t>a</w:t>
      </w:r>
      <w:r w:rsidRPr="00A07F29">
        <w:rPr>
          <w:rFonts w:ascii="Times New Roman" w:eastAsia="Calibri" w:hAnsi="Times New Roman" w:cs="Times New Roman"/>
          <w:color w:val="000000"/>
          <w:spacing w:val="1"/>
          <w:sz w:val="20"/>
        </w:rPr>
        <w:t>i</w:t>
      </w:r>
      <w:r w:rsidRPr="00A07F29">
        <w:rPr>
          <w:rFonts w:ascii="Times New Roman" w:eastAsia="Calibri" w:hAnsi="Times New Roman" w:cs="Times New Roman"/>
          <w:color w:val="000000"/>
          <w:spacing w:val="-2"/>
          <w:sz w:val="20"/>
        </w:rPr>
        <w:t>z</w:t>
      </w:r>
      <w:r w:rsidRPr="00A07F29">
        <w:rPr>
          <w:rFonts w:ascii="Times New Roman" w:eastAsia="Calibri" w:hAnsi="Times New Roman" w:cs="Times New Roman"/>
          <w:color w:val="000000"/>
          <w:spacing w:val="1"/>
          <w:sz w:val="20"/>
        </w:rPr>
        <w:t>s</w:t>
      </w:r>
      <w:r w:rsidRPr="00A07F29">
        <w:rPr>
          <w:rFonts w:ascii="Times New Roman" w:eastAsia="Calibri" w:hAnsi="Times New Roman" w:cs="Times New Roman"/>
          <w:color w:val="000000"/>
          <w:sz w:val="20"/>
        </w:rPr>
        <w:t>a</w:t>
      </w:r>
      <w:r w:rsidRPr="00A07F29">
        <w:rPr>
          <w:rFonts w:ascii="Times New Roman" w:eastAsia="Calibri" w:hAnsi="Times New Roman" w:cs="Times New Roman"/>
          <w:color w:val="000000"/>
          <w:spacing w:val="1"/>
          <w:sz w:val="20"/>
        </w:rPr>
        <w:t>r</w:t>
      </w:r>
      <w:r w:rsidRPr="00A07F29">
        <w:rPr>
          <w:rFonts w:ascii="Times New Roman" w:eastAsia="Calibri" w:hAnsi="Times New Roman" w:cs="Times New Roman"/>
          <w:color w:val="000000"/>
          <w:sz w:val="20"/>
        </w:rPr>
        <w:t>d</w:t>
      </w:r>
      <w:r w:rsidRPr="00A07F29">
        <w:rPr>
          <w:rFonts w:ascii="Times New Roman" w:eastAsia="Calibri" w:hAnsi="Times New Roman" w:cs="Times New Roman"/>
          <w:color w:val="000000"/>
          <w:spacing w:val="-2"/>
          <w:sz w:val="20"/>
        </w:rPr>
        <w:t>z</w:t>
      </w:r>
      <w:r w:rsidRPr="00A07F29">
        <w:rPr>
          <w:rFonts w:ascii="Times New Roman" w:eastAsia="Calibri" w:hAnsi="Times New Roman" w:cs="Times New Roman"/>
          <w:color w:val="000000"/>
          <w:spacing w:val="1"/>
          <w:sz w:val="20"/>
        </w:rPr>
        <w:t>ī</w:t>
      </w:r>
      <w:r w:rsidRPr="00A07F29">
        <w:rPr>
          <w:rFonts w:ascii="Times New Roman" w:eastAsia="Calibri" w:hAnsi="Times New Roman" w:cs="Times New Roman"/>
          <w:color w:val="000000"/>
          <w:spacing w:val="-2"/>
          <w:sz w:val="20"/>
        </w:rPr>
        <w:t>b</w:t>
      </w:r>
      <w:r w:rsidRPr="00A07F29">
        <w:rPr>
          <w:rFonts w:ascii="Times New Roman" w:eastAsia="Calibri" w:hAnsi="Times New Roman" w:cs="Times New Roman"/>
          <w:color w:val="000000"/>
          <w:sz w:val="20"/>
        </w:rPr>
        <w:t>as</w:t>
      </w:r>
      <w:r w:rsidR="00D65BBA" w:rsidRPr="00A07F29">
        <w:rPr>
          <w:rFonts w:ascii="Times New Roman" w:eastAsia="Calibri" w:hAnsi="Times New Roman" w:cs="Times New Roman"/>
          <w:color w:val="000000"/>
          <w:sz w:val="20"/>
        </w:rPr>
        <w:t xml:space="preserve"> </w:t>
      </w:r>
      <w:r w:rsidRPr="00A07F29">
        <w:rPr>
          <w:rFonts w:ascii="Times New Roman" w:eastAsia="Calibri" w:hAnsi="Times New Roman" w:cs="Times New Roman"/>
          <w:color w:val="000000"/>
          <w:spacing w:val="-2"/>
          <w:sz w:val="20"/>
        </w:rPr>
        <w:t>o</w:t>
      </w:r>
      <w:r w:rsidRPr="00A07F29">
        <w:rPr>
          <w:rFonts w:ascii="Times New Roman" w:eastAsia="Calibri" w:hAnsi="Times New Roman" w:cs="Times New Roman"/>
          <w:color w:val="000000"/>
          <w:spacing w:val="1"/>
          <w:sz w:val="20"/>
        </w:rPr>
        <w:t>r</w:t>
      </w:r>
      <w:r w:rsidRPr="00A07F29">
        <w:rPr>
          <w:rFonts w:ascii="Times New Roman" w:eastAsia="Calibri" w:hAnsi="Times New Roman" w:cs="Times New Roman"/>
          <w:color w:val="000000"/>
          <w:spacing w:val="-2"/>
          <w:sz w:val="20"/>
        </w:rPr>
        <w:t>g</w:t>
      </w:r>
      <w:r w:rsidRPr="00A07F29">
        <w:rPr>
          <w:rFonts w:ascii="Times New Roman" w:eastAsia="Calibri" w:hAnsi="Times New Roman" w:cs="Times New Roman"/>
          <w:color w:val="000000"/>
          <w:sz w:val="20"/>
        </w:rPr>
        <w:t>an</w:t>
      </w:r>
      <w:r w:rsidRPr="00A07F29">
        <w:rPr>
          <w:rFonts w:ascii="Times New Roman" w:eastAsia="Calibri" w:hAnsi="Times New Roman" w:cs="Times New Roman"/>
          <w:color w:val="000000"/>
          <w:spacing w:val="1"/>
          <w:sz w:val="20"/>
        </w:rPr>
        <w:t>i</w:t>
      </w:r>
      <w:r w:rsidRPr="00A07F29">
        <w:rPr>
          <w:rFonts w:ascii="Times New Roman" w:eastAsia="Calibri" w:hAnsi="Times New Roman" w:cs="Times New Roman"/>
          <w:color w:val="000000"/>
          <w:spacing w:val="-2"/>
          <w:sz w:val="20"/>
        </w:rPr>
        <w:t>z</w:t>
      </w:r>
      <w:r w:rsidRPr="00A07F29">
        <w:rPr>
          <w:rFonts w:ascii="Times New Roman" w:eastAsia="Calibri" w:hAnsi="Times New Roman" w:cs="Times New Roman"/>
          <w:color w:val="000000"/>
          <w:sz w:val="20"/>
        </w:rPr>
        <w:t>āc</w:t>
      </w:r>
      <w:r w:rsidRPr="00A07F29">
        <w:rPr>
          <w:rFonts w:ascii="Times New Roman" w:eastAsia="Calibri" w:hAnsi="Times New Roman" w:cs="Times New Roman"/>
          <w:color w:val="000000"/>
          <w:spacing w:val="-1"/>
          <w:sz w:val="20"/>
        </w:rPr>
        <w:t>i</w:t>
      </w:r>
      <w:r w:rsidRPr="00A07F29">
        <w:rPr>
          <w:rFonts w:ascii="Times New Roman" w:eastAsia="Calibri" w:hAnsi="Times New Roman" w:cs="Times New Roman"/>
          <w:color w:val="000000"/>
          <w:spacing w:val="1"/>
          <w:sz w:val="20"/>
        </w:rPr>
        <w:t>j</w:t>
      </w:r>
      <w:r w:rsidRPr="00A07F29">
        <w:rPr>
          <w:rFonts w:ascii="Times New Roman" w:eastAsia="Calibri" w:hAnsi="Times New Roman" w:cs="Times New Roman"/>
          <w:color w:val="000000"/>
          <w:spacing w:val="-2"/>
          <w:sz w:val="20"/>
        </w:rPr>
        <w:t>a</w:t>
      </w:r>
      <w:r w:rsidRPr="00A07F29">
        <w:rPr>
          <w:rFonts w:ascii="Times New Roman" w:eastAsia="Calibri" w:hAnsi="Times New Roman" w:cs="Times New Roman"/>
          <w:color w:val="000000"/>
          <w:sz w:val="20"/>
        </w:rPr>
        <w:t>s</w:t>
      </w:r>
      <w:r w:rsidR="00085588">
        <w:rPr>
          <w:rFonts w:ascii="Times New Roman" w:eastAsia="Calibri" w:hAnsi="Times New Roman" w:cs="Times New Roman"/>
          <w:color w:val="000000"/>
          <w:spacing w:val="54"/>
          <w:sz w:val="20"/>
        </w:rPr>
        <w:t xml:space="preserve"> </w:t>
      </w:r>
      <w:r w:rsidRPr="00A07F29">
        <w:rPr>
          <w:rFonts w:ascii="Times New Roman" w:eastAsia="Calibri" w:hAnsi="Times New Roman" w:cs="Times New Roman"/>
          <w:color w:val="000000"/>
          <w:spacing w:val="1"/>
          <w:sz w:val="20"/>
        </w:rPr>
        <w:t>(</w:t>
      </w:r>
      <w:proofErr w:type="spellStart"/>
      <w:r w:rsidR="007E6EB5">
        <w:rPr>
          <w:rFonts w:ascii="Times New Roman" w:eastAsia="Calibri" w:hAnsi="Times New Roman" w:cs="Times New Roman"/>
          <w:color w:val="000000"/>
          <w:spacing w:val="1"/>
          <w:sz w:val="20"/>
        </w:rPr>
        <w:t>Interna</w:t>
      </w:r>
      <w:r w:rsidR="00845441">
        <w:rPr>
          <w:rFonts w:ascii="Times New Roman" w:eastAsia="Calibri" w:hAnsi="Times New Roman" w:cs="Times New Roman"/>
          <w:color w:val="000000"/>
          <w:spacing w:val="1"/>
          <w:sz w:val="20"/>
        </w:rPr>
        <w:t>t</w:t>
      </w:r>
      <w:r w:rsidR="007E6EB5">
        <w:rPr>
          <w:rFonts w:ascii="Times New Roman" w:eastAsia="Calibri" w:hAnsi="Times New Roman" w:cs="Times New Roman"/>
          <w:color w:val="000000"/>
          <w:spacing w:val="1"/>
          <w:sz w:val="20"/>
        </w:rPr>
        <w:t>io</w:t>
      </w:r>
      <w:r w:rsidR="00AF2F1F">
        <w:rPr>
          <w:rFonts w:ascii="Times New Roman" w:eastAsia="Calibri" w:hAnsi="Times New Roman" w:cs="Times New Roman"/>
          <w:color w:val="000000"/>
          <w:spacing w:val="1"/>
          <w:sz w:val="20"/>
        </w:rPr>
        <w:t>nal</w:t>
      </w:r>
      <w:proofErr w:type="spellEnd"/>
      <w:r w:rsidR="00AF2F1F">
        <w:rPr>
          <w:rFonts w:ascii="Times New Roman" w:eastAsia="Calibri" w:hAnsi="Times New Roman" w:cs="Times New Roman"/>
          <w:color w:val="000000"/>
          <w:spacing w:val="1"/>
          <w:sz w:val="20"/>
        </w:rPr>
        <w:t xml:space="preserve"> </w:t>
      </w:r>
      <w:proofErr w:type="spellStart"/>
      <w:r w:rsidR="00AF2F1F" w:rsidRPr="00A07F29">
        <w:rPr>
          <w:rFonts w:ascii="Times New Roman" w:eastAsia="Calibri" w:hAnsi="Times New Roman" w:cs="Times New Roman"/>
          <w:color w:val="000000"/>
          <w:spacing w:val="-1"/>
          <w:sz w:val="20"/>
        </w:rPr>
        <w:t>U</w:t>
      </w:r>
      <w:r w:rsidR="00AF2F1F" w:rsidRPr="00A07F29">
        <w:rPr>
          <w:rFonts w:ascii="Times New Roman" w:eastAsia="Calibri" w:hAnsi="Times New Roman" w:cs="Times New Roman"/>
          <w:color w:val="000000"/>
          <w:sz w:val="20"/>
        </w:rPr>
        <w:t>n</w:t>
      </w:r>
      <w:r w:rsidR="00AF2F1F" w:rsidRPr="00A07F29">
        <w:rPr>
          <w:rFonts w:ascii="Times New Roman" w:eastAsia="Calibri" w:hAnsi="Times New Roman" w:cs="Times New Roman"/>
          <w:color w:val="000000"/>
          <w:spacing w:val="1"/>
          <w:sz w:val="20"/>
        </w:rPr>
        <w:t>i</w:t>
      </w:r>
      <w:r w:rsidR="00AF2F1F" w:rsidRPr="00A07F29">
        <w:rPr>
          <w:rFonts w:ascii="Times New Roman" w:eastAsia="Calibri" w:hAnsi="Times New Roman" w:cs="Times New Roman"/>
          <w:color w:val="000000"/>
          <w:sz w:val="20"/>
        </w:rPr>
        <w:t>on</w:t>
      </w:r>
      <w:proofErr w:type="spellEnd"/>
      <w:r w:rsidR="00AF2F1F" w:rsidRPr="00A07F29">
        <w:rPr>
          <w:rFonts w:ascii="Times New Roman" w:eastAsia="Calibri" w:hAnsi="Times New Roman" w:cs="Times New Roman"/>
          <w:color w:val="000000"/>
          <w:sz w:val="20"/>
        </w:rPr>
        <w:t xml:space="preserve"> </w:t>
      </w:r>
      <w:proofErr w:type="spellStart"/>
      <w:r w:rsidR="00AF2F1F">
        <w:rPr>
          <w:rFonts w:ascii="Times New Roman" w:eastAsia="Calibri" w:hAnsi="Times New Roman" w:cs="Times New Roman"/>
          <w:color w:val="000000"/>
          <w:sz w:val="20"/>
        </w:rPr>
        <w:t>for</w:t>
      </w:r>
      <w:proofErr w:type="spellEnd"/>
      <w:r w:rsidRPr="00A07F29">
        <w:rPr>
          <w:rFonts w:ascii="Times New Roman" w:eastAsia="Calibri" w:hAnsi="Times New Roman" w:cs="Times New Roman"/>
          <w:color w:val="000000"/>
          <w:sz w:val="20"/>
        </w:rPr>
        <w:t xml:space="preserve"> </w:t>
      </w:r>
      <w:proofErr w:type="spellStart"/>
      <w:r w:rsidRPr="00A07F29">
        <w:rPr>
          <w:rFonts w:ascii="Times New Roman" w:eastAsia="Calibri" w:hAnsi="Times New Roman" w:cs="Times New Roman"/>
          <w:color w:val="000000"/>
          <w:spacing w:val="-1"/>
          <w:sz w:val="20"/>
        </w:rPr>
        <w:t>C</w:t>
      </w:r>
      <w:r w:rsidRPr="00A07F29">
        <w:rPr>
          <w:rFonts w:ascii="Times New Roman" w:eastAsia="Calibri" w:hAnsi="Times New Roman" w:cs="Times New Roman"/>
          <w:color w:val="000000"/>
          <w:sz w:val="20"/>
        </w:rPr>
        <w:t>o</w:t>
      </w:r>
      <w:r w:rsidRPr="00A07F29">
        <w:rPr>
          <w:rFonts w:ascii="Times New Roman" w:eastAsia="Calibri" w:hAnsi="Times New Roman" w:cs="Times New Roman"/>
          <w:color w:val="000000"/>
          <w:spacing w:val="-2"/>
          <w:sz w:val="20"/>
        </w:rPr>
        <w:t>n</w:t>
      </w:r>
      <w:r w:rsidRPr="00A07F29">
        <w:rPr>
          <w:rFonts w:ascii="Times New Roman" w:eastAsia="Calibri" w:hAnsi="Times New Roman" w:cs="Times New Roman"/>
          <w:color w:val="000000"/>
          <w:spacing w:val="1"/>
          <w:sz w:val="20"/>
        </w:rPr>
        <w:t>s</w:t>
      </w:r>
      <w:r w:rsidRPr="00A07F29">
        <w:rPr>
          <w:rFonts w:ascii="Times New Roman" w:eastAsia="Calibri" w:hAnsi="Times New Roman" w:cs="Times New Roman"/>
          <w:color w:val="000000"/>
          <w:sz w:val="20"/>
        </w:rPr>
        <w:t>e</w:t>
      </w:r>
      <w:r w:rsidRPr="00A07F29">
        <w:rPr>
          <w:rFonts w:ascii="Times New Roman" w:eastAsia="Calibri" w:hAnsi="Times New Roman" w:cs="Times New Roman"/>
          <w:color w:val="000000"/>
          <w:spacing w:val="1"/>
          <w:sz w:val="20"/>
        </w:rPr>
        <w:t>r</w:t>
      </w:r>
      <w:r w:rsidRPr="00A07F29">
        <w:rPr>
          <w:rFonts w:ascii="Times New Roman" w:eastAsia="Calibri" w:hAnsi="Times New Roman" w:cs="Times New Roman"/>
          <w:color w:val="000000"/>
          <w:spacing w:val="-2"/>
          <w:sz w:val="20"/>
        </w:rPr>
        <w:t>v</w:t>
      </w:r>
      <w:r w:rsidRPr="00A07F29">
        <w:rPr>
          <w:rFonts w:ascii="Times New Roman" w:eastAsia="Calibri" w:hAnsi="Times New Roman" w:cs="Times New Roman"/>
          <w:color w:val="000000"/>
          <w:sz w:val="20"/>
        </w:rPr>
        <w:t>a</w:t>
      </w:r>
      <w:r w:rsidRPr="00A07F29">
        <w:rPr>
          <w:rFonts w:ascii="Times New Roman" w:eastAsia="Calibri" w:hAnsi="Times New Roman" w:cs="Times New Roman"/>
          <w:color w:val="000000"/>
          <w:spacing w:val="-1"/>
          <w:sz w:val="20"/>
        </w:rPr>
        <w:t>t</w:t>
      </w:r>
      <w:r w:rsidRPr="00A07F29">
        <w:rPr>
          <w:rFonts w:ascii="Times New Roman" w:eastAsia="Calibri" w:hAnsi="Times New Roman" w:cs="Times New Roman"/>
          <w:color w:val="000000"/>
          <w:spacing w:val="1"/>
          <w:sz w:val="20"/>
        </w:rPr>
        <w:t>i</w:t>
      </w:r>
      <w:r w:rsidRPr="00A07F29">
        <w:rPr>
          <w:rFonts w:ascii="Times New Roman" w:eastAsia="Calibri" w:hAnsi="Times New Roman" w:cs="Times New Roman"/>
          <w:color w:val="000000"/>
          <w:sz w:val="20"/>
        </w:rPr>
        <w:t>on</w:t>
      </w:r>
      <w:proofErr w:type="spellEnd"/>
      <w:r w:rsidR="00662F57">
        <w:rPr>
          <w:rFonts w:ascii="Times New Roman" w:eastAsia="Calibri" w:hAnsi="Times New Roman" w:cs="Times New Roman"/>
          <w:color w:val="000000"/>
          <w:sz w:val="20"/>
        </w:rPr>
        <w:t xml:space="preserve"> </w:t>
      </w:r>
      <w:proofErr w:type="spellStart"/>
      <w:r w:rsidR="00662F57">
        <w:rPr>
          <w:rFonts w:ascii="Times New Roman" w:eastAsia="Calibri" w:hAnsi="Times New Roman" w:cs="Times New Roman"/>
          <w:color w:val="000000"/>
          <w:sz w:val="20"/>
        </w:rPr>
        <w:t>of</w:t>
      </w:r>
      <w:proofErr w:type="spellEnd"/>
      <w:r w:rsidR="00662F57">
        <w:rPr>
          <w:rFonts w:ascii="Times New Roman" w:eastAsia="Calibri" w:hAnsi="Times New Roman" w:cs="Times New Roman"/>
          <w:color w:val="000000"/>
          <w:sz w:val="20"/>
        </w:rPr>
        <w:t xml:space="preserve"> Nature</w:t>
      </w:r>
      <w:r w:rsidRPr="00A07F29">
        <w:rPr>
          <w:rFonts w:ascii="Times New Roman" w:eastAsia="Calibri" w:hAnsi="Times New Roman" w:cs="Times New Roman"/>
          <w:color w:val="000000"/>
          <w:sz w:val="20"/>
        </w:rPr>
        <w:t>)</w:t>
      </w:r>
      <w:r w:rsidR="00085588">
        <w:rPr>
          <w:rFonts w:ascii="Times New Roman" w:eastAsia="Calibri" w:hAnsi="Times New Roman" w:cs="Times New Roman"/>
          <w:color w:val="000000"/>
          <w:spacing w:val="54"/>
          <w:sz w:val="20"/>
        </w:rPr>
        <w:t xml:space="preserve"> </w:t>
      </w:r>
      <w:r w:rsidRPr="00A07F29">
        <w:rPr>
          <w:rFonts w:ascii="Times New Roman" w:eastAsia="Calibri" w:hAnsi="Times New Roman" w:cs="Times New Roman"/>
          <w:color w:val="000000"/>
          <w:spacing w:val="-1"/>
          <w:sz w:val="20"/>
        </w:rPr>
        <w:t>A</w:t>
      </w:r>
      <w:r w:rsidRPr="00A07F29">
        <w:rPr>
          <w:rFonts w:ascii="Times New Roman" w:eastAsia="Calibri" w:hAnsi="Times New Roman" w:cs="Times New Roman"/>
          <w:color w:val="000000"/>
          <w:sz w:val="20"/>
        </w:rPr>
        <w:t>pd</w:t>
      </w:r>
      <w:r w:rsidRPr="00A07F29">
        <w:rPr>
          <w:rFonts w:ascii="Times New Roman" w:eastAsia="Calibri" w:hAnsi="Times New Roman" w:cs="Times New Roman"/>
          <w:color w:val="000000"/>
          <w:spacing w:val="1"/>
          <w:sz w:val="20"/>
        </w:rPr>
        <w:t>r</w:t>
      </w:r>
      <w:r w:rsidRPr="00A07F29">
        <w:rPr>
          <w:rFonts w:ascii="Times New Roman" w:eastAsia="Calibri" w:hAnsi="Times New Roman" w:cs="Times New Roman"/>
          <w:color w:val="000000"/>
          <w:spacing w:val="-2"/>
          <w:sz w:val="20"/>
        </w:rPr>
        <w:t>a</w:t>
      </w:r>
      <w:r w:rsidRPr="00A07F29">
        <w:rPr>
          <w:rFonts w:ascii="Times New Roman" w:eastAsia="Calibri" w:hAnsi="Times New Roman" w:cs="Times New Roman"/>
          <w:color w:val="000000"/>
          <w:sz w:val="20"/>
        </w:rPr>
        <w:t>ud</w:t>
      </w:r>
      <w:r w:rsidRPr="00A07F29">
        <w:rPr>
          <w:rFonts w:ascii="Times New Roman" w:eastAsia="Calibri" w:hAnsi="Times New Roman" w:cs="Times New Roman"/>
          <w:color w:val="000000"/>
          <w:spacing w:val="-2"/>
          <w:sz w:val="20"/>
        </w:rPr>
        <w:t>ē</w:t>
      </w:r>
      <w:r w:rsidRPr="00A07F29">
        <w:rPr>
          <w:rFonts w:ascii="Times New Roman" w:eastAsia="Calibri" w:hAnsi="Times New Roman" w:cs="Times New Roman"/>
          <w:color w:val="000000"/>
          <w:spacing w:val="1"/>
          <w:sz w:val="20"/>
        </w:rPr>
        <w:t>t</w:t>
      </w:r>
      <w:r w:rsidRPr="00A07F29">
        <w:rPr>
          <w:rFonts w:ascii="Times New Roman" w:eastAsia="Calibri" w:hAnsi="Times New Roman" w:cs="Times New Roman"/>
          <w:color w:val="000000"/>
          <w:sz w:val="20"/>
        </w:rPr>
        <w:t xml:space="preserve">o </w:t>
      </w:r>
      <w:r w:rsidRPr="00A07F29">
        <w:rPr>
          <w:rFonts w:ascii="Times New Roman" w:eastAsia="Calibri" w:hAnsi="Times New Roman" w:cs="Times New Roman"/>
          <w:color w:val="000000"/>
          <w:spacing w:val="1"/>
          <w:sz w:val="20"/>
        </w:rPr>
        <w:t>s</w:t>
      </w:r>
      <w:r w:rsidRPr="00A07F29">
        <w:rPr>
          <w:rFonts w:ascii="Times New Roman" w:eastAsia="Calibri" w:hAnsi="Times New Roman" w:cs="Times New Roman"/>
          <w:color w:val="000000"/>
          <w:sz w:val="20"/>
        </w:rPr>
        <w:t>u</w:t>
      </w:r>
      <w:r w:rsidRPr="00A07F29">
        <w:rPr>
          <w:rFonts w:ascii="Times New Roman" w:eastAsia="Calibri" w:hAnsi="Times New Roman" w:cs="Times New Roman"/>
          <w:color w:val="000000"/>
          <w:spacing w:val="-2"/>
          <w:sz w:val="20"/>
        </w:rPr>
        <w:t>g</w:t>
      </w:r>
      <w:r w:rsidRPr="00A07F29">
        <w:rPr>
          <w:rFonts w:ascii="Times New Roman" w:eastAsia="Calibri" w:hAnsi="Times New Roman" w:cs="Times New Roman"/>
          <w:color w:val="000000"/>
          <w:sz w:val="20"/>
        </w:rPr>
        <w:t xml:space="preserve">u </w:t>
      </w:r>
      <w:r w:rsidRPr="00A07F29">
        <w:rPr>
          <w:rFonts w:ascii="Times New Roman" w:eastAsia="Calibri" w:hAnsi="Times New Roman" w:cs="Times New Roman"/>
          <w:color w:val="000000"/>
          <w:spacing w:val="1"/>
          <w:sz w:val="20"/>
        </w:rPr>
        <w:t>s</w:t>
      </w:r>
      <w:r w:rsidRPr="00A07F29">
        <w:rPr>
          <w:rFonts w:ascii="Times New Roman" w:eastAsia="Calibri" w:hAnsi="Times New Roman" w:cs="Times New Roman"/>
          <w:color w:val="000000"/>
          <w:sz w:val="20"/>
        </w:rPr>
        <w:t>a</w:t>
      </w:r>
      <w:r w:rsidRPr="00A07F29">
        <w:rPr>
          <w:rFonts w:ascii="Times New Roman" w:eastAsia="Calibri" w:hAnsi="Times New Roman" w:cs="Times New Roman"/>
          <w:color w:val="000000"/>
          <w:spacing w:val="1"/>
          <w:sz w:val="20"/>
        </w:rPr>
        <w:t>r</w:t>
      </w:r>
      <w:r w:rsidRPr="00A07F29">
        <w:rPr>
          <w:rFonts w:ascii="Times New Roman" w:eastAsia="Calibri" w:hAnsi="Times New Roman" w:cs="Times New Roman"/>
          <w:color w:val="000000"/>
          <w:sz w:val="20"/>
        </w:rPr>
        <w:t>a</w:t>
      </w:r>
      <w:r w:rsidRPr="00A07F29">
        <w:rPr>
          <w:rFonts w:ascii="Times New Roman" w:eastAsia="Calibri" w:hAnsi="Times New Roman" w:cs="Times New Roman"/>
          <w:color w:val="000000"/>
          <w:spacing w:val="-2"/>
          <w:sz w:val="20"/>
        </w:rPr>
        <w:t>k</w:t>
      </w:r>
      <w:r w:rsidRPr="00A07F29">
        <w:rPr>
          <w:rFonts w:ascii="Times New Roman" w:eastAsia="Calibri" w:hAnsi="Times New Roman" w:cs="Times New Roman"/>
          <w:color w:val="000000"/>
          <w:spacing w:val="1"/>
          <w:sz w:val="20"/>
        </w:rPr>
        <w:t>s</w:t>
      </w:r>
      <w:r w:rsidRPr="00A07F29">
        <w:rPr>
          <w:rFonts w:ascii="Times New Roman" w:eastAsia="Calibri" w:hAnsi="Times New Roman" w:cs="Times New Roman"/>
          <w:color w:val="000000"/>
          <w:spacing w:val="-1"/>
          <w:sz w:val="20"/>
        </w:rPr>
        <w:t>t</w:t>
      </w:r>
      <w:r w:rsidRPr="00A07F29">
        <w:rPr>
          <w:rFonts w:ascii="Times New Roman" w:eastAsia="Calibri" w:hAnsi="Times New Roman" w:cs="Times New Roman"/>
          <w:color w:val="000000"/>
          <w:spacing w:val="1"/>
          <w:sz w:val="20"/>
        </w:rPr>
        <w:t>s</w:t>
      </w:r>
      <w:r w:rsidRPr="00A07F29">
        <w:rPr>
          <w:rFonts w:ascii="Times New Roman" w:eastAsia="Calibri" w:hAnsi="Times New Roman" w:cs="Times New Roman"/>
          <w:color w:val="000000"/>
          <w:sz w:val="20"/>
        </w:rPr>
        <w:t>:</w:t>
      </w:r>
      <w:r w:rsidR="00085588">
        <w:rPr>
          <w:rFonts w:ascii="Times New Roman" w:eastAsia="Calibri" w:hAnsi="Times New Roman" w:cs="Times New Roman"/>
          <w:color w:val="000000"/>
          <w:spacing w:val="4"/>
          <w:sz w:val="20"/>
        </w:rPr>
        <w:t xml:space="preserve"> </w:t>
      </w:r>
      <w:r w:rsidR="00085588">
        <w:rPr>
          <w:rFonts w:ascii="Times New Roman" w:eastAsia="Calibri" w:hAnsi="Times New Roman" w:cs="Times New Roman"/>
          <w:b/>
          <w:bCs/>
          <w:color w:val="000000"/>
          <w:spacing w:val="-1"/>
          <w:sz w:val="20"/>
        </w:rPr>
        <w:t>NE</w:t>
      </w:r>
      <w:r w:rsidR="00085588">
        <w:rPr>
          <w:rFonts w:ascii="Times New Roman" w:eastAsia="Calibri" w:hAnsi="Times New Roman" w:cs="Times New Roman"/>
          <w:b/>
          <w:bCs/>
          <w:color w:val="000000"/>
          <w:spacing w:val="2"/>
          <w:sz w:val="20"/>
        </w:rPr>
        <w:t xml:space="preserve"> </w:t>
      </w:r>
      <w:r w:rsidRPr="00A07F29">
        <w:rPr>
          <w:rFonts w:ascii="Times New Roman" w:eastAsia="Calibri" w:hAnsi="Times New Roman" w:cs="Times New Roman"/>
          <w:color w:val="000000"/>
          <w:spacing w:val="1"/>
          <w:sz w:val="20"/>
        </w:rPr>
        <w:t>(</w:t>
      </w:r>
      <w:proofErr w:type="spellStart"/>
      <w:r w:rsidRPr="00A07F29">
        <w:rPr>
          <w:rFonts w:ascii="Times New Roman" w:eastAsia="Calibri" w:hAnsi="Times New Roman" w:cs="Times New Roman"/>
          <w:color w:val="000000"/>
          <w:sz w:val="20"/>
        </w:rPr>
        <w:t>en</w:t>
      </w:r>
      <w:r w:rsidRPr="00A07F29">
        <w:rPr>
          <w:rFonts w:ascii="Times New Roman" w:eastAsia="Calibri" w:hAnsi="Times New Roman" w:cs="Times New Roman"/>
          <w:color w:val="000000"/>
          <w:spacing w:val="-2"/>
          <w:sz w:val="20"/>
        </w:rPr>
        <w:t>d</w:t>
      </w:r>
      <w:r w:rsidRPr="00A07F29">
        <w:rPr>
          <w:rFonts w:ascii="Times New Roman" w:eastAsia="Calibri" w:hAnsi="Times New Roman" w:cs="Times New Roman"/>
          <w:color w:val="000000"/>
          <w:sz w:val="20"/>
        </w:rPr>
        <w:t>an</w:t>
      </w:r>
      <w:r w:rsidRPr="00A07F29">
        <w:rPr>
          <w:rFonts w:ascii="Times New Roman" w:eastAsia="Calibri" w:hAnsi="Times New Roman" w:cs="Times New Roman"/>
          <w:color w:val="000000"/>
          <w:spacing w:val="-2"/>
          <w:sz w:val="20"/>
        </w:rPr>
        <w:t>g</w:t>
      </w:r>
      <w:r w:rsidRPr="00A07F29">
        <w:rPr>
          <w:rFonts w:ascii="Times New Roman" w:eastAsia="Calibri" w:hAnsi="Times New Roman" w:cs="Times New Roman"/>
          <w:color w:val="000000"/>
          <w:sz w:val="20"/>
        </w:rPr>
        <w:t>e</w:t>
      </w:r>
      <w:r w:rsidRPr="00A07F29">
        <w:rPr>
          <w:rFonts w:ascii="Times New Roman" w:eastAsia="Calibri" w:hAnsi="Times New Roman" w:cs="Times New Roman"/>
          <w:color w:val="000000"/>
          <w:spacing w:val="1"/>
          <w:sz w:val="20"/>
        </w:rPr>
        <w:t>r</w:t>
      </w:r>
      <w:r w:rsidRPr="00A07F29">
        <w:rPr>
          <w:rFonts w:ascii="Times New Roman" w:eastAsia="Calibri" w:hAnsi="Times New Roman" w:cs="Times New Roman"/>
          <w:color w:val="000000"/>
          <w:sz w:val="20"/>
        </w:rPr>
        <w:t>e</w:t>
      </w:r>
      <w:r w:rsidRPr="00A07F29">
        <w:rPr>
          <w:rFonts w:ascii="Times New Roman" w:eastAsia="Calibri" w:hAnsi="Times New Roman" w:cs="Times New Roman"/>
          <w:color w:val="000000"/>
          <w:spacing w:val="-2"/>
          <w:sz w:val="20"/>
        </w:rPr>
        <w:t>d</w:t>
      </w:r>
      <w:proofErr w:type="spellEnd"/>
      <w:r w:rsidRPr="00A07F29">
        <w:rPr>
          <w:rFonts w:ascii="Times New Roman" w:eastAsia="Calibri" w:hAnsi="Times New Roman" w:cs="Times New Roman"/>
          <w:color w:val="000000"/>
          <w:sz w:val="20"/>
        </w:rPr>
        <w:t>)</w:t>
      </w:r>
      <w:r w:rsidR="00085588">
        <w:rPr>
          <w:rFonts w:ascii="Times New Roman" w:eastAsia="Calibri" w:hAnsi="Times New Roman" w:cs="Times New Roman"/>
          <w:color w:val="000000"/>
          <w:spacing w:val="1"/>
          <w:sz w:val="20"/>
        </w:rPr>
        <w:t xml:space="preserve"> </w:t>
      </w:r>
      <w:r w:rsidRPr="00A07F29">
        <w:rPr>
          <w:rFonts w:ascii="Times New Roman" w:eastAsia="Calibri" w:hAnsi="Times New Roman" w:cs="Times New Roman"/>
          <w:color w:val="000000"/>
          <w:sz w:val="20"/>
        </w:rPr>
        <w:t>–</w:t>
      </w:r>
      <w:r w:rsidR="00085588">
        <w:rPr>
          <w:rFonts w:ascii="Times New Roman" w:eastAsia="Calibri" w:hAnsi="Times New Roman" w:cs="Times New Roman"/>
          <w:color w:val="000000"/>
          <w:spacing w:val="3"/>
          <w:sz w:val="20"/>
        </w:rPr>
        <w:t xml:space="preserve"> </w:t>
      </w:r>
      <w:r w:rsidRPr="00A07F29">
        <w:rPr>
          <w:rFonts w:ascii="Times New Roman" w:eastAsia="Calibri" w:hAnsi="Times New Roman" w:cs="Times New Roman"/>
          <w:color w:val="000000"/>
          <w:sz w:val="20"/>
        </w:rPr>
        <w:t>apd</w:t>
      </w:r>
      <w:r w:rsidRPr="00A07F29">
        <w:rPr>
          <w:rFonts w:ascii="Times New Roman" w:eastAsia="Calibri" w:hAnsi="Times New Roman" w:cs="Times New Roman"/>
          <w:color w:val="000000"/>
          <w:spacing w:val="1"/>
          <w:sz w:val="20"/>
        </w:rPr>
        <w:t>r</w:t>
      </w:r>
      <w:r w:rsidRPr="00A07F29">
        <w:rPr>
          <w:rFonts w:ascii="Times New Roman" w:eastAsia="Calibri" w:hAnsi="Times New Roman" w:cs="Times New Roman"/>
          <w:color w:val="000000"/>
          <w:sz w:val="20"/>
        </w:rPr>
        <w:t>aud</w:t>
      </w:r>
      <w:r w:rsidRPr="00A07F29">
        <w:rPr>
          <w:rFonts w:ascii="Times New Roman" w:eastAsia="Calibri" w:hAnsi="Times New Roman" w:cs="Times New Roman"/>
          <w:color w:val="000000"/>
          <w:spacing w:val="-2"/>
          <w:sz w:val="20"/>
        </w:rPr>
        <w:t>ē</w:t>
      </w:r>
      <w:r w:rsidRPr="00A07F29">
        <w:rPr>
          <w:rFonts w:ascii="Times New Roman" w:eastAsia="Calibri" w:hAnsi="Times New Roman" w:cs="Times New Roman"/>
          <w:color w:val="000000"/>
          <w:spacing w:val="1"/>
          <w:sz w:val="20"/>
        </w:rPr>
        <w:t>t</w:t>
      </w:r>
      <w:r w:rsidRPr="00A07F29">
        <w:rPr>
          <w:rFonts w:ascii="Times New Roman" w:eastAsia="Calibri" w:hAnsi="Times New Roman" w:cs="Times New Roman"/>
          <w:color w:val="000000"/>
          <w:sz w:val="20"/>
        </w:rPr>
        <w:t>a</w:t>
      </w:r>
      <w:r w:rsidR="00085588">
        <w:rPr>
          <w:rFonts w:ascii="Times New Roman" w:eastAsia="Calibri" w:hAnsi="Times New Roman" w:cs="Times New Roman"/>
          <w:color w:val="000000"/>
          <w:spacing w:val="3"/>
          <w:sz w:val="20"/>
        </w:rPr>
        <w:t xml:space="preserve"> </w:t>
      </w:r>
      <w:r w:rsidRPr="00A07F29">
        <w:rPr>
          <w:rFonts w:ascii="Times New Roman" w:eastAsia="Calibri" w:hAnsi="Times New Roman" w:cs="Times New Roman"/>
          <w:color w:val="000000"/>
          <w:spacing w:val="1"/>
          <w:sz w:val="20"/>
        </w:rPr>
        <w:t>s</w:t>
      </w:r>
      <w:r w:rsidRPr="00A07F29">
        <w:rPr>
          <w:rFonts w:ascii="Times New Roman" w:eastAsia="Calibri" w:hAnsi="Times New Roman" w:cs="Times New Roman"/>
          <w:color w:val="000000"/>
          <w:sz w:val="20"/>
        </w:rPr>
        <w:t>u</w:t>
      </w:r>
      <w:r w:rsidRPr="00A07F29">
        <w:rPr>
          <w:rFonts w:ascii="Times New Roman" w:eastAsia="Calibri" w:hAnsi="Times New Roman" w:cs="Times New Roman"/>
          <w:color w:val="000000"/>
          <w:spacing w:val="-2"/>
          <w:sz w:val="20"/>
        </w:rPr>
        <w:t>g</w:t>
      </w:r>
      <w:r w:rsidRPr="00A07F29">
        <w:rPr>
          <w:rFonts w:ascii="Times New Roman" w:eastAsia="Calibri" w:hAnsi="Times New Roman" w:cs="Times New Roman"/>
          <w:color w:val="000000"/>
          <w:sz w:val="20"/>
        </w:rPr>
        <w:t>a;</w:t>
      </w:r>
      <w:r w:rsidR="00D65BBA" w:rsidRPr="00A07F29">
        <w:rPr>
          <w:rFonts w:ascii="Times New Roman" w:eastAsia="Calibri" w:hAnsi="Times New Roman" w:cs="Times New Roman"/>
          <w:color w:val="000000"/>
          <w:sz w:val="20"/>
        </w:rPr>
        <w:t xml:space="preserve"> </w:t>
      </w:r>
      <w:r w:rsidRPr="00A07F29">
        <w:rPr>
          <w:rFonts w:ascii="Times New Roman" w:eastAsia="Calibri" w:hAnsi="Times New Roman" w:cs="Times New Roman"/>
          <w:b/>
          <w:bCs/>
          <w:color w:val="000000"/>
          <w:spacing w:val="-1"/>
          <w:sz w:val="20"/>
        </w:rPr>
        <w:t>V</w:t>
      </w:r>
      <w:r w:rsidRPr="00A07F29">
        <w:rPr>
          <w:rFonts w:ascii="Times New Roman" w:eastAsia="Calibri" w:hAnsi="Times New Roman" w:cs="Times New Roman"/>
          <w:b/>
          <w:bCs/>
          <w:color w:val="000000"/>
          <w:sz w:val="20"/>
        </w:rPr>
        <w:t>U</w:t>
      </w:r>
      <w:r w:rsidR="00085588">
        <w:rPr>
          <w:rFonts w:ascii="Times New Roman" w:eastAsia="Calibri" w:hAnsi="Times New Roman" w:cs="Times New Roman"/>
          <w:b/>
          <w:bCs/>
          <w:color w:val="000000"/>
          <w:spacing w:val="2"/>
          <w:sz w:val="20"/>
        </w:rPr>
        <w:t xml:space="preserve"> </w:t>
      </w:r>
      <w:r w:rsidRPr="00A07F29">
        <w:rPr>
          <w:rFonts w:ascii="Times New Roman" w:eastAsia="Calibri" w:hAnsi="Times New Roman" w:cs="Times New Roman"/>
          <w:color w:val="000000"/>
          <w:spacing w:val="1"/>
          <w:sz w:val="20"/>
        </w:rPr>
        <w:t>(</w:t>
      </w:r>
      <w:proofErr w:type="spellStart"/>
      <w:r w:rsidRPr="00A07F29">
        <w:rPr>
          <w:rFonts w:ascii="Times New Roman" w:eastAsia="Calibri" w:hAnsi="Times New Roman" w:cs="Times New Roman"/>
          <w:color w:val="000000"/>
          <w:spacing w:val="-2"/>
          <w:sz w:val="20"/>
        </w:rPr>
        <w:t>v</w:t>
      </w:r>
      <w:r w:rsidRPr="00A07F29">
        <w:rPr>
          <w:rFonts w:ascii="Times New Roman" w:eastAsia="Calibri" w:hAnsi="Times New Roman" w:cs="Times New Roman"/>
          <w:color w:val="000000"/>
          <w:sz w:val="20"/>
        </w:rPr>
        <w:t>u</w:t>
      </w:r>
      <w:r w:rsidRPr="00A07F29">
        <w:rPr>
          <w:rFonts w:ascii="Times New Roman" w:eastAsia="Calibri" w:hAnsi="Times New Roman" w:cs="Times New Roman"/>
          <w:color w:val="000000"/>
          <w:spacing w:val="1"/>
          <w:sz w:val="20"/>
        </w:rPr>
        <w:t>l</w:t>
      </w:r>
      <w:r w:rsidRPr="00A07F29">
        <w:rPr>
          <w:rFonts w:ascii="Times New Roman" w:eastAsia="Calibri" w:hAnsi="Times New Roman" w:cs="Times New Roman"/>
          <w:color w:val="000000"/>
          <w:sz w:val="20"/>
        </w:rPr>
        <w:t>ne</w:t>
      </w:r>
      <w:r w:rsidRPr="00A07F29">
        <w:rPr>
          <w:rFonts w:ascii="Times New Roman" w:eastAsia="Calibri" w:hAnsi="Times New Roman" w:cs="Times New Roman"/>
          <w:color w:val="000000"/>
          <w:spacing w:val="1"/>
          <w:sz w:val="20"/>
        </w:rPr>
        <w:t>r</w:t>
      </w:r>
      <w:r w:rsidRPr="00A07F29">
        <w:rPr>
          <w:rFonts w:ascii="Times New Roman" w:eastAsia="Calibri" w:hAnsi="Times New Roman" w:cs="Times New Roman"/>
          <w:color w:val="000000"/>
          <w:sz w:val="20"/>
        </w:rPr>
        <w:t>a</w:t>
      </w:r>
      <w:r w:rsidRPr="00A07F29">
        <w:rPr>
          <w:rFonts w:ascii="Times New Roman" w:eastAsia="Calibri" w:hAnsi="Times New Roman" w:cs="Times New Roman"/>
          <w:color w:val="000000"/>
          <w:spacing w:val="-2"/>
          <w:sz w:val="20"/>
        </w:rPr>
        <w:t>b</w:t>
      </w:r>
      <w:r w:rsidRPr="00A07F29">
        <w:rPr>
          <w:rFonts w:ascii="Times New Roman" w:eastAsia="Calibri" w:hAnsi="Times New Roman" w:cs="Times New Roman"/>
          <w:color w:val="000000"/>
          <w:spacing w:val="1"/>
          <w:sz w:val="20"/>
        </w:rPr>
        <w:t>l</w:t>
      </w:r>
      <w:r w:rsidRPr="00A07F29">
        <w:rPr>
          <w:rFonts w:ascii="Times New Roman" w:eastAsia="Calibri" w:hAnsi="Times New Roman" w:cs="Times New Roman"/>
          <w:color w:val="000000"/>
          <w:spacing w:val="-2"/>
          <w:sz w:val="20"/>
        </w:rPr>
        <w:t>e</w:t>
      </w:r>
      <w:proofErr w:type="spellEnd"/>
      <w:r w:rsidRPr="00A07F29">
        <w:rPr>
          <w:rFonts w:ascii="Times New Roman" w:eastAsia="Calibri" w:hAnsi="Times New Roman" w:cs="Times New Roman"/>
          <w:color w:val="000000"/>
          <w:sz w:val="20"/>
        </w:rPr>
        <w:t>)</w:t>
      </w:r>
      <w:r w:rsidR="00085588">
        <w:rPr>
          <w:rFonts w:ascii="Times New Roman" w:eastAsia="Calibri" w:hAnsi="Times New Roman" w:cs="Times New Roman"/>
          <w:color w:val="000000"/>
          <w:spacing w:val="4"/>
          <w:sz w:val="20"/>
        </w:rPr>
        <w:t xml:space="preserve"> </w:t>
      </w:r>
      <w:r w:rsidRPr="00A07F29">
        <w:rPr>
          <w:rFonts w:ascii="Times New Roman" w:eastAsia="Calibri" w:hAnsi="Times New Roman" w:cs="Times New Roman"/>
          <w:color w:val="000000"/>
          <w:sz w:val="20"/>
        </w:rPr>
        <w:t xml:space="preserve">– </w:t>
      </w:r>
      <w:r w:rsidRPr="00A07F29">
        <w:rPr>
          <w:rFonts w:ascii="Times New Roman" w:eastAsia="Calibri" w:hAnsi="Times New Roman" w:cs="Times New Roman"/>
          <w:color w:val="000000"/>
          <w:spacing w:val="3"/>
          <w:sz w:val="20"/>
        </w:rPr>
        <w:t>j</w:t>
      </w:r>
      <w:r w:rsidRPr="00A07F29">
        <w:rPr>
          <w:rFonts w:ascii="Times New Roman" w:eastAsia="Calibri" w:hAnsi="Times New Roman" w:cs="Times New Roman"/>
          <w:color w:val="000000"/>
          <w:sz w:val="20"/>
        </w:rPr>
        <w:t>ū</w:t>
      </w:r>
      <w:r w:rsidRPr="00A07F29">
        <w:rPr>
          <w:rFonts w:ascii="Times New Roman" w:eastAsia="Calibri" w:hAnsi="Times New Roman" w:cs="Times New Roman"/>
          <w:color w:val="000000"/>
          <w:spacing w:val="-1"/>
          <w:sz w:val="20"/>
        </w:rPr>
        <w:t>t</w:t>
      </w:r>
      <w:r w:rsidRPr="00A07F29">
        <w:rPr>
          <w:rFonts w:ascii="Times New Roman" w:eastAsia="Calibri" w:hAnsi="Times New Roman" w:cs="Times New Roman"/>
          <w:color w:val="000000"/>
          <w:spacing w:val="1"/>
          <w:sz w:val="20"/>
        </w:rPr>
        <w:t>ī</w:t>
      </w:r>
      <w:r w:rsidRPr="00A07F29">
        <w:rPr>
          <w:rFonts w:ascii="Times New Roman" w:eastAsia="Calibri" w:hAnsi="Times New Roman" w:cs="Times New Roman"/>
          <w:color w:val="000000"/>
          <w:spacing w:val="-2"/>
          <w:sz w:val="20"/>
        </w:rPr>
        <w:t>g</w:t>
      </w:r>
      <w:r w:rsidRPr="00A07F29">
        <w:rPr>
          <w:rFonts w:ascii="Times New Roman" w:eastAsia="Calibri" w:hAnsi="Times New Roman" w:cs="Times New Roman"/>
          <w:color w:val="000000"/>
          <w:sz w:val="20"/>
        </w:rPr>
        <w:t>a</w:t>
      </w:r>
      <w:r w:rsidR="00085588">
        <w:rPr>
          <w:rFonts w:ascii="Times New Roman" w:eastAsia="Calibri" w:hAnsi="Times New Roman" w:cs="Times New Roman"/>
          <w:color w:val="000000"/>
          <w:spacing w:val="3"/>
          <w:sz w:val="20"/>
        </w:rPr>
        <w:t xml:space="preserve"> </w:t>
      </w:r>
      <w:r w:rsidRPr="00A07F29">
        <w:rPr>
          <w:rFonts w:ascii="Times New Roman" w:eastAsia="Calibri" w:hAnsi="Times New Roman" w:cs="Times New Roman"/>
          <w:color w:val="000000"/>
          <w:spacing w:val="1"/>
          <w:sz w:val="20"/>
        </w:rPr>
        <w:t>s</w:t>
      </w:r>
      <w:r w:rsidRPr="00A07F29">
        <w:rPr>
          <w:rFonts w:ascii="Times New Roman" w:eastAsia="Calibri" w:hAnsi="Times New Roman" w:cs="Times New Roman"/>
          <w:color w:val="000000"/>
          <w:sz w:val="20"/>
        </w:rPr>
        <w:t>u</w:t>
      </w:r>
      <w:r w:rsidRPr="00A07F29">
        <w:rPr>
          <w:rFonts w:ascii="Times New Roman" w:eastAsia="Calibri" w:hAnsi="Times New Roman" w:cs="Times New Roman"/>
          <w:color w:val="000000"/>
          <w:spacing w:val="-2"/>
          <w:sz w:val="20"/>
        </w:rPr>
        <w:t>g</w:t>
      </w:r>
      <w:r w:rsidRPr="00A07F29">
        <w:rPr>
          <w:rFonts w:ascii="Times New Roman" w:eastAsia="Calibri" w:hAnsi="Times New Roman" w:cs="Times New Roman"/>
          <w:color w:val="000000"/>
          <w:sz w:val="20"/>
        </w:rPr>
        <w:t>a;</w:t>
      </w:r>
      <w:r w:rsidR="00D65BBA" w:rsidRPr="00A07F29">
        <w:rPr>
          <w:rFonts w:ascii="Times New Roman" w:eastAsia="Calibri" w:hAnsi="Times New Roman" w:cs="Times New Roman"/>
          <w:color w:val="000000"/>
          <w:sz w:val="20"/>
        </w:rPr>
        <w:t xml:space="preserve"> </w:t>
      </w:r>
      <w:r w:rsidRPr="00A07F29">
        <w:rPr>
          <w:rFonts w:ascii="Times New Roman" w:eastAsia="Calibri" w:hAnsi="Times New Roman" w:cs="Times New Roman"/>
          <w:b/>
          <w:bCs/>
          <w:color w:val="000000"/>
          <w:spacing w:val="-1"/>
          <w:sz w:val="20"/>
        </w:rPr>
        <w:t>L</w:t>
      </w:r>
      <w:r w:rsidRPr="00A07F29">
        <w:rPr>
          <w:rFonts w:ascii="Times New Roman" w:eastAsia="Calibri" w:hAnsi="Times New Roman" w:cs="Times New Roman"/>
          <w:b/>
          <w:bCs/>
          <w:color w:val="000000"/>
          <w:sz w:val="20"/>
        </w:rPr>
        <w:t>R</w:t>
      </w:r>
      <w:r w:rsidR="00085588">
        <w:rPr>
          <w:rFonts w:ascii="Times New Roman" w:eastAsia="Calibri" w:hAnsi="Times New Roman" w:cs="Times New Roman"/>
          <w:b/>
          <w:bCs/>
          <w:color w:val="000000"/>
          <w:spacing w:val="2"/>
          <w:sz w:val="20"/>
        </w:rPr>
        <w:t xml:space="preserve"> </w:t>
      </w:r>
      <w:r w:rsidRPr="00A07F29">
        <w:rPr>
          <w:rFonts w:ascii="Times New Roman" w:eastAsia="Calibri" w:hAnsi="Times New Roman" w:cs="Times New Roman"/>
          <w:color w:val="000000"/>
          <w:spacing w:val="1"/>
          <w:sz w:val="20"/>
        </w:rPr>
        <w:t>(</w:t>
      </w:r>
      <w:proofErr w:type="spellStart"/>
      <w:r w:rsidRPr="00A07F29">
        <w:rPr>
          <w:rFonts w:ascii="Times New Roman" w:eastAsia="Calibri" w:hAnsi="Times New Roman" w:cs="Times New Roman"/>
          <w:color w:val="000000"/>
          <w:spacing w:val="1"/>
          <w:sz w:val="20"/>
        </w:rPr>
        <w:t>l</w:t>
      </w:r>
      <w:r w:rsidRPr="00A07F29">
        <w:rPr>
          <w:rFonts w:ascii="Times New Roman" w:eastAsia="Calibri" w:hAnsi="Times New Roman" w:cs="Times New Roman"/>
          <w:color w:val="000000"/>
          <w:sz w:val="20"/>
        </w:rPr>
        <w:t>o</w:t>
      </w:r>
      <w:r w:rsidRPr="00A07F29">
        <w:rPr>
          <w:rFonts w:ascii="Times New Roman" w:eastAsia="Calibri" w:hAnsi="Times New Roman" w:cs="Times New Roman"/>
          <w:color w:val="000000"/>
          <w:spacing w:val="-1"/>
          <w:sz w:val="20"/>
        </w:rPr>
        <w:t>w</w:t>
      </w:r>
      <w:r w:rsidRPr="00A07F29">
        <w:rPr>
          <w:rFonts w:ascii="Times New Roman" w:eastAsia="Calibri" w:hAnsi="Times New Roman" w:cs="Times New Roman"/>
          <w:color w:val="000000"/>
          <w:sz w:val="20"/>
        </w:rPr>
        <w:t>er</w:t>
      </w:r>
      <w:proofErr w:type="spellEnd"/>
      <w:r w:rsidR="00085588">
        <w:rPr>
          <w:rFonts w:ascii="Times New Roman" w:eastAsia="Calibri" w:hAnsi="Times New Roman" w:cs="Times New Roman"/>
          <w:color w:val="000000"/>
          <w:spacing w:val="4"/>
          <w:sz w:val="20"/>
        </w:rPr>
        <w:t xml:space="preserve"> </w:t>
      </w:r>
      <w:r w:rsidRPr="00A07F29">
        <w:rPr>
          <w:rFonts w:ascii="Times New Roman" w:eastAsia="Calibri" w:hAnsi="Times New Roman" w:cs="Times New Roman"/>
          <w:color w:val="000000"/>
          <w:spacing w:val="1"/>
          <w:sz w:val="20"/>
        </w:rPr>
        <w:t>r</w:t>
      </w:r>
      <w:r w:rsidRPr="00A07F29">
        <w:rPr>
          <w:rFonts w:ascii="Times New Roman" w:eastAsia="Calibri" w:hAnsi="Times New Roman" w:cs="Times New Roman"/>
          <w:color w:val="000000"/>
          <w:spacing w:val="-1"/>
          <w:sz w:val="20"/>
        </w:rPr>
        <w:t>i</w:t>
      </w:r>
      <w:r w:rsidRPr="00A07F29">
        <w:rPr>
          <w:rFonts w:ascii="Times New Roman" w:eastAsia="Calibri" w:hAnsi="Times New Roman" w:cs="Times New Roman"/>
          <w:color w:val="000000"/>
          <w:spacing w:val="1"/>
          <w:sz w:val="20"/>
        </w:rPr>
        <w:t>s</w:t>
      </w:r>
      <w:r w:rsidRPr="00A07F29">
        <w:rPr>
          <w:rFonts w:ascii="Times New Roman" w:eastAsia="Calibri" w:hAnsi="Times New Roman" w:cs="Times New Roman"/>
          <w:color w:val="000000"/>
          <w:spacing w:val="-2"/>
          <w:sz w:val="20"/>
        </w:rPr>
        <w:t>k</w:t>
      </w:r>
      <w:r w:rsidRPr="00A07F29">
        <w:rPr>
          <w:rFonts w:ascii="Times New Roman" w:eastAsia="Calibri" w:hAnsi="Times New Roman" w:cs="Times New Roman"/>
          <w:color w:val="000000"/>
          <w:sz w:val="20"/>
        </w:rPr>
        <w:t>)</w:t>
      </w:r>
      <w:r w:rsidR="00085588">
        <w:rPr>
          <w:rFonts w:ascii="Times New Roman" w:eastAsia="Calibri" w:hAnsi="Times New Roman" w:cs="Times New Roman"/>
          <w:color w:val="000000"/>
          <w:spacing w:val="4"/>
          <w:sz w:val="20"/>
        </w:rPr>
        <w:t xml:space="preserve"> </w:t>
      </w:r>
      <w:r w:rsidRPr="00A07F29">
        <w:rPr>
          <w:rFonts w:ascii="Times New Roman" w:eastAsia="Calibri" w:hAnsi="Times New Roman" w:cs="Times New Roman"/>
          <w:color w:val="000000"/>
          <w:sz w:val="20"/>
        </w:rPr>
        <w:t>–</w:t>
      </w:r>
      <w:r w:rsidR="00085588">
        <w:rPr>
          <w:rFonts w:ascii="Times New Roman" w:eastAsia="Calibri" w:hAnsi="Times New Roman" w:cs="Times New Roman"/>
          <w:color w:val="000000"/>
          <w:spacing w:val="3"/>
          <w:sz w:val="20"/>
        </w:rPr>
        <w:t xml:space="preserve"> </w:t>
      </w:r>
      <w:r w:rsidRPr="00A07F29">
        <w:rPr>
          <w:rFonts w:ascii="Times New Roman" w:eastAsia="Calibri" w:hAnsi="Times New Roman" w:cs="Times New Roman"/>
          <w:color w:val="000000"/>
          <w:spacing w:val="-2"/>
          <w:sz w:val="20"/>
        </w:rPr>
        <w:t>z</w:t>
      </w:r>
      <w:r w:rsidRPr="00A07F29">
        <w:rPr>
          <w:rFonts w:ascii="Times New Roman" w:eastAsia="Calibri" w:hAnsi="Times New Roman" w:cs="Times New Roman"/>
          <w:color w:val="000000"/>
          <w:spacing w:val="3"/>
          <w:sz w:val="20"/>
        </w:rPr>
        <w:t>e</w:t>
      </w:r>
      <w:r w:rsidRPr="00A07F29">
        <w:rPr>
          <w:rFonts w:ascii="Times New Roman" w:eastAsia="Calibri" w:hAnsi="Times New Roman" w:cs="Times New Roman"/>
          <w:color w:val="000000"/>
          <w:spacing w:val="-4"/>
          <w:sz w:val="20"/>
        </w:rPr>
        <w:t>m</w:t>
      </w:r>
      <w:r w:rsidRPr="00A07F29">
        <w:rPr>
          <w:rFonts w:ascii="Times New Roman" w:eastAsia="Calibri" w:hAnsi="Times New Roman" w:cs="Times New Roman"/>
          <w:color w:val="000000"/>
          <w:spacing w:val="3"/>
          <w:sz w:val="20"/>
        </w:rPr>
        <w:t>ā</w:t>
      </w:r>
      <w:r w:rsidRPr="00A07F29">
        <w:rPr>
          <w:rFonts w:ascii="Times New Roman" w:eastAsia="Calibri" w:hAnsi="Times New Roman" w:cs="Times New Roman"/>
          <w:color w:val="000000"/>
          <w:spacing w:val="-2"/>
          <w:sz w:val="20"/>
        </w:rPr>
        <w:t>k</w:t>
      </w:r>
      <w:r w:rsidRPr="00A07F29">
        <w:rPr>
          <w:rFonts w:ascii="Times New Roman" w:eastAsia="Calibri" w:hAnsi="Times New Roman" w:cs="Times New Roman"/>
          <w:color w:val="000000"/>
          <w:sz w:val="20"/>
        </w:rPr>
        <w:t xml:space="preserve">s </w:t>
      </w:r>
      <w:r w:rsidRPr="00A07F29">
        <w:rPr>
          <w:rFonts w:ascii="Times New Roman" w:eastAsia="Calibri" w:hAnsi="Times New Roman" w:cs="Times New Roman"/>
          <w:color w:val="000000"/>
          <w:spacing w:val="1"/>
          <w:sz w:val="20"/>
        </w:rPr>
        <w:t>s</w:t>
      </w:r>
      <w:r w:rsidRPr="00A07F29">
        <w:rPr>
          <w:rFonts w:ascii="Times New Roman" w:eastAsia="Calibri" w:hAnsi="Times New Roman" w:cs="Times New Roman"/>
          <w:color w:val="000000"/>
          <w:sz w:val="20"/>
        </w:rPr>
        <w:t>u</w:t>
      </w:r>
      <w:r w:rsidRPr="00A07F29">
        <w:rPr>
          <w:rFonts w:ascii="Times New Roman" w:eastAsia="Calibri" w:hAnsi="Times New Roman" w:cs="Times New Roman"/>
          <w:color w:val="000000"/>
          <w:spacing w:val="-2"/>
          <w:sz w:val="20"/>
        </w:rPr>
        <w:t>g</w:t>
      </w:r>
      <w:r w:rsidRPr="00A07F29">
        <w:rPr>
          <w:rFonts w:ascii="Times New Roman" w:eastAsia="Calibri" w:hAnsi="Times New Roman" w:cs="Times New Roman"/>
          <w:color w:val="000000"/>
          <w:sz w:val="20"/>
        </w:rPr>
        <w:t>as</w:t>
      </w:r>
      <w:r w:rsidR="00085588">
        <w:rPr>
          <w:rFonts w:ascii="Times New Roman" w:eastAsia="Calibri" w:hAnsi="Times New Roman" w:cs="Times New Roman"/>
          <w:color w:val="000000"/>
          <w:spacing w:val="1"/>
          <w:sz w:val="20"/>
        </w:rPr>
        <w:t xml:space="preserve"> </w:t>
      </w:r>
      <w:r w:rsidRPr="00A07F29">
        <w:rPr>
          <w:rFonts w:ascii="Times New Roman" w:eastAsia="Calibri" w:hAnsi="Times New Roman" w:cs="Times New Roman"/>
          <w:color w:val="000000"/>
          <w:sz w:val="20"/>
        </w:rPr>
        <w:t>apd</w:t>
      </w:r>
      <w:r w:rsidRPr="00A07F29">
        <w:rPr>
          <w:rFonts w:ascii="Times New Roman" w:eastAsia="Calibri" w:hAnsi="Times New Roman" w:cs="Times New Roman"/>
          <w:color w:val="000000"/>
          <w:spacing w:val="-1"/>
          <w:sz w:val="20"/>
        </w:rPr>
        <w:t>r</w:t>
      </w:r>
      <w:r w:rsidRPr="00A07F29">
        <w:rPr>
          <w:rFonts w:ascii="Times New Roman" w:eastAsia="Calibri" w:hAnsi="Times New Roman" w:cs="Times New Roman"/>
          <w:color w:val="000000"/>
          <w:sz w:val="20"/>
        </w:rPr>
        <w:t>aud</w:t>
      </w:r>
      <w:r w:rsidRPr="00A07F29">
        <w:rPr>
          <w:rFonts w:ascii="Times New Roman" w:eastAsia="Calibri" w:hAnsi="Times New Roman" w:cs="Times New Roman"/>
          <w:color w:val="000000"/>
          <w:spacing w:val="-2"/>
          <w:sz w:val="20"/>
        </w:rPr>
        <w:t>ē</w:t>
      </w:r>
      <w:r w:rsidRPr="00A07F29">
        <w:rPr>
          <w:rFonts w:ascii="Times New Roman" w:eastAsia="Calibri" w:hAnsi="Times New Roman" w:cs="Times New Roman"/>
          <w:color w:val="000000"/>
          <w:spacing w:val="1"/>
          <w:sz w:val="20"/>
        </w:rPr>
        <w:t>j</w:t>
      </w:r>
      <w:r w:rsidRPr="00A07F29">
        <w:rPr>
          <w:rFonts w:ascii="Times New Roman" w:eastAsia="Calibri" w:hAnsi="Times New Roman" w:cs="Times New Roman"/>
          <w:color w:val="000000"/>
          <w:sz w:val="20"/>
        </w:rPr>
        <w:t>u</w:t>
      </w:r>
      <w:r w:rsidRPr="00A07F29">
        <w:rPr>
          <w:rFonts w:ascii="Times New Roman" w:eastAsia="Calibri" w:hAnsi="Times New Roman" w:cs="Times New Roman"/>
          <w:color w:val="000000"/>
          <w:spacing w:val="-4"/>
          <w:sz w:val="20"/>
        </w:rPr>
        <w:t>m</w:t>
      </w:r>
      <w:r w:rsidRPr="00A07F29">
        <w:rPr>
          <w:rFonts w:ascii="Times New Roman" w:eastAsia="Calibri" w:hAnsi="Times New Roman" w:cs="Times New Roman"/>
          <w:color w:val="000000"/>
          <w:spacing w:val="1"/>
          <w:sz w:val="20"/>
        </w:rPr>
        <w:t>s</w:t>
      </w:r>
      <w:r w:rsidRPr="00A07F29">
        <w:rPr>
          <w:rFonts w:ascii="Times New Roman" w:eastAsia="Calibri" w:hAnsi="Times New Roman" w:cs="Times New Roman"/>
          <w:color w:val="000000"/>
          <w:sz w:val="20"/>
        </w:rPr>
        <w:t>;</w:t>
      </w:r>
      <w:r w:rsidR="00085588">
        <w:rPr>
          <w:rFonts w:ascii="Times New Roman" w:eastAsia="Calibri" w:hAnsi="Times New Roman" w:cs="Times New Roman"/>
          <w:color w:val="000000"/>
          <w:spacing w:val="1"/>
          <w:sz w:val="20"/>
        </w:rPr>
        <w:t xml:space="preserve"> </w:t>
      </w:r>
      <w:r w:rsidRPr="00A07F29">
        <w:rPr>
          <w:rFonts w:ascii="Times New Roman" w:eastAsia="Calibri" w:hAnsi="Times New Roman" w:cs="Times New Roman"/>
          <w:b/>
          <w:bCs/>
          <w:color w:val="000000"/>
          <w:spacing w:val="-1"/>
          <w:sz w:val="20"/>
        </w:rPr>
        <w:t>D</w:t>
      </w:r>
      <w:r w:rsidRPr="00A07F29">
        <w:rPr>
          <w:rFonts w:ascii="Times New Roman" w:eastAsia="Calibri" w:hAnsi="Times New Roman" w:cs="Times New Roman"/>
          <w:b/>
          <w:bCs/>
          <w:color w:val="000000"/>
          <w:sz w:val="20"/>
        </w:rPr>
        <w:t>D</w:t>
      </w:r>
      <w:r w:rsidR="00085588">
        <w:rPr>
          <w:rFonts w:ascii="Times New Roman" w:eastAsia="Calibri" w:hAnsi="Times New Roman" w:cs="Times New Roman"/>
          <w:b/>
          <w:bCs/>
          <w:color w:val="000000"/>
          <w:spacing w:val="-1"/>
          <w:sz w:val="20"/>
        </w:rPr>
        <w:t xml:space="preserve"> </w:t>
      </w:r>
      <w:r w:rsidRPr="00A07F29">
        <w:rPr>
          <w:rFonts w:ascii="Times New Roman" w:eastAsia="Calibri" w:hAnsi="Times New Roman" w:cs="Times New Roman"/>
          <w:color w:val="000000"/>
          <w:spacing w:val="1"/>
          <w:sz w:val="20"/>
        </w:rPr>
        <w:t>(</w:t>
      </w:r>
      <w:proofErr w:type="spellStart"/>
      <w:r w:rsidRPr="00A07F29">
        <w:rPr>
          <w:rFonts w:ascii="Times New Roman" w:eastAsia="Calibri" w:hAnsi="Times New Roman" w:cs="Times New Roman"/>
          <w:color w:val="000000"/>
          <w:spacing w:val="-2"/>
          <w:sz w:val="20"/>
        </w:rPr>
        <w:t>d</w:t>
      </w:r>
      <w:r w:rsidRPr="00A07F29">
        <w:rPr>
          <w:rFonts w:ascii="Times New Roman" w:eastAsia="Calibri" w:hAnsi="Times New Roman" w:cs="Times New Roman"/>
          <w:color w:val="000000"/>
          <w:sz w:val="20"/>
        </w:rPr>
        <w:t>a</w:t>
      </w:r>
      <w:r w:rsidRPr="00A07F29">
        <w:rPr>
          <w:rFonts w:ascii="Times New Roman" w:eastAsia="Calibri" w:hAnsi="Times New Roman" w:cs="Times New Roman"/>
          <w:color w:val="000000"/>
          <w:spacing w:val="1"/>
          <w:sz w:val="20"/>
        </w:rPr>
        <w:t>t</w:t>
      </w:r>
      <w:r w:rsidRPr="00A07F29">
        <w:rPr>
          <w:rFonts w:ascii="Times New Roman" w:eastAsia="Calibri" w:hAnsi="Times New Roman" w:cs="Times New Roman"/>
          <w:color w:val="000000"/>
          <w:sz w:val="20"/>
        </w:rPr>
        <w:t>a</w:t>
      </w:r>
      <w:proofErr w:type="spellEnd"/>
      <w:r w:rsidR="00085588">
        <w:rPr>
          <w:rFonts w:ascii="Times New Roman" w:eastAsia="Calibri" w:hAnsi="Times New Roman" w:cs="Times New Roman"/>
          <w:color w:val="000000"/>
          <w:spacing w:val="1"/>
          <w:sz w:val="20"/>
        </w:rPr>
        <w:t xml:space="preserve"> </w:t>
      </w:r>
      <w:proofErr w:type="spellStart"/>
      <w:r w:rsidRPr="00A07F29">
        <w:rPr>
          <w:rFonts w:ascii="Times New Roman" w:eastAsia="Calibri" w:hAnsi="Times New Roman" w:cs="Times New Roman"/>
          <w:color w:val="000000"/>
          <w:spacing w:val="-2"/>
          <w:sz w:val="20"/>
        </w:rPr>
        <w:t>d</w:t>
      </w:r>
      <w:r w:rsidRPr="00A07F29">
        <w:rPr>
          <w:rFonts w:ascii="Times New Roman" w:eastAsia="Calibri" w:hAnsi="Times New Roman" w:cs="Times New Roman"/>
          <w:color w:val="000000"/>
          <w:sz w:val="20"/>
        </w:rPr>
        <w:t>e</w:t>
      </w:r>
      <w:r w:rsidRPr="00A07F29">
        <w:rPr>
          <w:rFonts w:ascii="Times New Roman" w:eastAsia="Calibri" w:hAnsi="Times New Roman" w:cs="Times New Roman"/>
          <w:color w:val="000000"/>
          <w:spacing w:val="-1"/>
          <w:sz w:val="20"/>
        </w:rPr>
        <w:t>f</w:t>
      </w:r>
      <w:r w:rsidRPr="00A07F29">
        <w:rPr>
          <w:rFonts w:ascii="Times New Roman" w:eastAsia="Calibri" w:hAnsi="Times New Roman" w:cs="Times New Roman"/>
          <w:color w:val="000000"/>
          <w:spacing w:val="1"/>
          <w:sz w:val="20"/>
        </w:rPr>
        <w:t>i</w:t>
      </w:r>
      <w:r w:rsidRPr="00A07F29">
        <w:rPr>
          <w:rFonts w:ascii="Times New Roman" w:eastAsia="Calibri" w:hAnsi="Times New Roman" w:cs="Times New Roman"/>
          <w:color w:val="000000"/>
          <w:spacing w:val="-2"/>
          <w:sz w:val="20"/>
        </w:rPr>
        <w:t>c</w:t>
      </w:r>
      <w:r w:rsidRPr="00A07F29">
        <w:rPr>
          <w:rFonts w:ascii="Times New Roman" w:eastAsia="Calibri" w:hAnsi="Times New Roman" w:cs="Times New Roman"/>
          <w:color w:val="000000"/>
          <w:spacing w:val="1"/>
          <w:sz w:val="20"/>
        </w:rPr>
        <w:t>i</w:t>
      </w:r>
      <w:r w:rsidRPr="00A07F29">
        <w:rPr>
          <w:rFonts w:ascii="Times New Roman" w:eastAsia="Calibri" w:hAnsi="Times New Roman" w:cs="Times New Roman"/>
          <w:color w:val="000000"/>
          <w:sz w:val="20"/>
        </w:rPr>
        <w:t>e</w:t>
      </w:r>
      <w:r w:rsidRPr="00A07F29">
        <w:rPr>
          <w:rFonts w:ascii="Times New Roman" w:eastAsia="Calibri" w:hAnsi="Times New Roman" w:cs="Times New Roman"/>
          <w:color w:val="000000"/>
          <w:spacing w:val="-2"/>
          <w:sz w:val="20"/>
        </w:rPr>
        <w:t>n</w:t>
      </w:r>
      <w:r w:rsidRPr="00A07F29">
        <w:rPr>
          <w:rFonts w:ascii="Times New Roman" w:eastAsia="Calibri" w:hAnsi="Times New Roman" w:cs="Times New Roman"/>
          <w:color w:val="000000"/>
          <w:spacing w:val="1"/>
          <w:sz w:val="20"/>
        </w:rPr>
        <w:t>t</w:t>
      </w:r>
      <w:proofErr w:type="spellEnd"/>
      <w:r w:rsidRPr="00A07F29">
        <w:rPr>
          <w:rFonts w:ascii="Times New Roman" w:eastAsia="Calibri" w:hAnsi="Times New Roman" w:cs="Times New Roman"/>
          <w:color w:val="000000"/>
          <w:sz w:val="20"/>
        </w:rPr>
        <w:t>)</w:t>
      </w:r>
      <w:r w:rsidR="00085588">
        <w:rPr>
          <w:rFonts w:ascii="Times New Roman" w:eastAsia="Calibri" w:hAnsi="Times New Roman" w:cs="Times New Roman"/>
          <w:color w:val="000000"/>
          <w:spacing w:val="1"/>
          <w:sz w:val="20"/>
        </w:rPr>
        <w:t xml:space="preserve"> </w:t>
      </w:r>
      <w:r w:rsidRPr="00A07F29">
        <w:rPr>
          <w:rFonts w:ascii="Times New Roman" w:eastAsia="Calibri" w:hAnsi="Times New Roman" w:cs="Times New Roman"/>
          <w:color w:val="000000"/>
          <w:sz w:val="20"/>
        </w:rPr>
        <w:t>–</w:t>
      </w:r>
      <w:r w:rsidR="00085588">
        <w:rPr>
          <w:rFonts w:ascii="Times New Roman" w:eastAsia="Calibri" w:hAnsi="Times New Roman" w:cs="Times New Roman"/>
          <w:color w:val="000000"/>
          <w:spacing w:val="-2"/>
          <w:sz w:val="20"/>
        </w:rPr>
        <w:t xml:space="preserve"> </w:t>
      </w:r>
      <w:r w:rsidRPr="00A07F29">
        <w:rPr>
          <w:rFonts w:ascii="Times New Roman" w:eastAsia="Calibri" w:hAnsi="Times New Roman" w:cs="Times New Roman"/>
          <w:color w:val="000000"/>
          <w:sz w:val="20"/>
        </w:rPr>
        <w:t>da</w:t>
      </w:r>
      <w:r w:rsidRPr="00A07F29">
        <w:rPr>
          <w:rFonts w:ascii="Times New Roman" w:eastAsia="Calibri" w:hAnsi="Times New Roman" w:cs="Times New Roman"/>
          <w:color w:val="000000"/>
          <w:spacing w:val="-1"/>
          <w:sz w:val="20"/>
        </w:rPr>
        <w:t>t</w:t>
      </w:r>
      <w:r w:rsidRPr="00A07F29">
        <w:rPr>
          <w:rFonts w:ascii="Times New Roman" w:eastAsia="Calibri" w:hAnsi="Times New Roman" w:cs="Times New Roman"/>
          <w:color w:val="000000"/>
          <w:sz w:val="20"/>
        </w:rPr>
        <w:t xml:space="preserve">u </w:t>
      </w:r>
      <w:r w:rsidRPr="00A07F29">
        <w:rPr>
          <w:rFonts w:ascii="Times New Roman" w:eastAsia="Calibri" w:hAnsi="Times New Roman" w:cs="Times New Roman"/>
          <w:color w:val="000000"/>
          <w:spacing w:val="-1"/>
          <w:sz w:val="20"/>
        </w:rPr>
        <w:t>t</w:t>
      </w:r>
      <w:r w:rsidRPr="00A07F29">
        <w:rPr>
          <w:rFonts w:ascii="Times New Roman" w:eastAsia="Calibri" w:hAnsi="Times New Roman" w:cs="Times New Roman"/>
          <w:color w:val="000000"/>
          <w:spacing w:val="1"/>
          <w:sz w:val="20"/>
        </w:rPr>
        <w:t>r</w:t>
      </w:r>
      <w:r w:rsidRPr="00A07F29">
        <w:rPr>
          <w:rFonts w:ascii="Times New Roman" w:eastAsia="Calibri" w:hAnsi="Times New Roman" w:cs="Times New Roman"/>
          <w:color w:val="000000"/>
          <w:sz w:val="20"/>
        </w:rPr>
        <w:t>ū</w:t>
      </w:r>
      <w:r w:rsidRPr="00A07F29">
        <w:rPr>
          <w:rFonts w:ascii="Times New Roman" w:eastAsia="Calibri" w:hAnsi="Times New Roman" w:cs="Times New Roman"/>
          <w:color w:val="000000"/>
          <w:spacing w:val="-2"/>
          <w:sz w:val="20"/>
        </w:rPr>
        <w:t>k</w:t>
      </w:r>
      <w:r w:rsidRPr="00A07F29">
        <w:rPr>
          <w:rFonts w:ascii="Times New Roman" w:eastAsia="Calibri" w:hAnsi="Times New Roman" w:cs="Times New Roman"/>
          <w:color w:val="000000"/>
          <w:sz w:val="20"/>
        </w:rPr>
        <w:t>u</w:t>
      </w:r>
      <w:r w:rsidRPr="00A07F29">
        <w:rPr>
          <w:rFonts w:ascii="Times New Roman" w:eastAsia="Calibri" w:hAnsi="Times New Roman" w:cs="Times New Roman"/>
          <w:color w:val="000000"/>
          <w:spacing w:val="-1"/>
          <w:sz w:val="20"/>
        </w:rPr>
        <w:t>m</w:t>
      </w:r>
      <w:r w:rsidRPr="00A07F29">
        <w:rPr>
          <w:rFonts w:ascii="Times New Roman" w:eastAsia="Calibri" w:hAnsi="Times New Roman" w:cs="Times New Roman"/>
          <w:color w:val="000000"/>
          <w:sz w:val="20"/>
        </w:rPr>
        <w:t>s</w:t>
      </w:r>
      <w:r w:rsidR="00085588">
        <w:rPr>
          <w:rFonts w:ascii="Times New Roman" w:eastAsia="Calibri" w:hAnsi="Times New Roman" w:cs="Times New Roman"/>
          <w:color w:val="000000"/>
          <w:spacing w:val="1"/>
          <w:sz w:val="20"/>
        </w:rPr>
        <w:t xml:space="preserve"> </w:t>
      </w:r>
      <w:r w:rsidRPr="00A07F29">
        <w:rPr>
          <w:rFonts w:ascii="Times New Roman" w:eastAsia="Calibri" w:hAnsi="Times New Roman" w:cs="Times New Roman"/>
          <w:color w:val="000000"/>
          <w:sz w:val="20"/>
        </w:rPr>
        <w:t>par</w:t>
      </w:r>
      <w:r w:rsidR="00085588">
        <w:rPr>
          <w:rFonts w:ascii="Times New Roman" w:eastAsia="Calibri" w:hAnsi="Times New Roman" w:cs="Times New Roman"/>
          <w:color w:val="000000"/>
          <w:spacing w:val="-1"/>
          <w:sz w:val="20"/>
        </w:rPr>
        <w:t xml:space="preserve"> </w:t>
      </w:r>
      <w:r w:rsidRPr="00A07F29">
        <w:rPr>
          <w:rFonts w:ascii="Times New Roman" w:eastAsia="Calibri" w:hAnsi="Times New Roman" w:cs="Times New Roman"/>
          <w:color w:val="000000"/>
          <w:spacing w:val="1"/>
          <w:sz w:val="20"/>
        </w:rPr>
        <w:t>s</w:t>
      </w:r>
      <w:r w:rsidRPr="00A07F29">
        <w:rPr>
          <w:rFonts w:ascii="Times New Roman" w:eastAsia="Calibri" w:hAnsi="Times New Roman" w:cs="Times New Roman"/>
          <w:color w:val="000000"/>
          <w:sz w:val="20"/>
        </w:rPr>
        <w:t>u</w:t>
      </w:r>
      <w:r w:rsidRPr="00A07F29">
        <w:rPr>
          <w:rFonts w:ascii="Times New Roman" w:eastAsia="Calibri" w:hAnsi="Times New Roman" w:cs="Times New Roman"/>
          <w:color w:val="000000"/>
          <w:spacing w:val="-2"/>
          <w:sz w:val="20"/>
        </w:rPr>
        <w:t>g</w:t>
      </w:r>
      <w:r w:rsidRPr="00A07F29">
        <w:rPr>
          <w:rFonts w:ascii="Times New Roman" w:eastAsia="Calibri" w:hAnsi="Times New Roman" w:cs="Times New Roman"/>
          <w:color w:val="000000"/>
          <w:sz w:val="20"/>
        </w:rPr>
        <w:t>u.</w:t>
      </w:r>
    </w:p>
    <w:p w14:paraId="12E20639" w14:textId="77777777" w:rsidR="009072CE" w:rsidRPr="00A07F29" w:rsidRDefault="009072CE" w:rsidP="009072CE">
      <w:pPr>
        <w:spacing w:after="120"/>
        <w:ind w:firstLine="851"/>
        <w:jc w:val="both"/>
        <w:rPr>
          <w:rFonts w:ascii="Times New Roman" w:eastAsia="Calibri" w:hAnsi="Times New Roman" w:cs="Calibri"/>
          <w:sz w:val="24"/>
        </w:rPr>
      </w:pPr>
    </w:p>
    <w:p w14:paraId="2FBACDC6" w14:textId="77777777" w:rsidR="0095136F" w:rsidRPr="00A07F29" w:rsidRDefault="0095136F" w:rsidP="002E60CE">
      <w:pPr>
        <w:keepNext/>
        <w:spacing w:after="120"/>
        <w:jc w:val="center"/>
        <w:rPr>
          <w:rFonts w:ascii="Times New Roman" w:eastAsia="Calibri" w:hAnsi="Times New Roman" w:cs="Calibri"/>
          <w:iCs/>
          <w:sz w:val="24"/>
        </w:rPr>
        <w:sectPr w:rsidR="0095136F" w:rsidRPr="00A07F29" w:rsidSect="00E1142E">
          <w:headerReference w:type="default" r:id="rId83"/>
          <w:footerReference w:type="default" r:id="rId84"/>
          <w:pgSz w:w="11906" w:h="16838"/>
          <w:pgMar w:top="1134" w:right="1134" w:bottom="1134" w:left="1418" w:header="454" w:footer="709" w:gutter="0"/>
          <w:cols w:space="708"/>
          <w:docGrid w:linePitch="360"/>
        </w:sectPr>
      </w:pPr>
    </w:p>
    <w:p w14:paraId="3C0B1A03" w14:textId="2065C469" w:rsidR="0095136F" w:rsidRPr="00A07F29" w:rsidRDefault="0095136F" w:rsidP="0095136F">
      <w:pPr>
        <w:keepNext/>
        <w:spacing w:after="120" w:line="240" w:lineRule="auto"/>
        <w:jc w:val="center"/>
        <w:rPr>
          <w:rFonts w:ascii="Times New Roman" w:eastAsia="Calibri" w:hAnsi="Times New Roman" w:cs="Calibri"/>
          <w:iCs/>
          <w:sz w:val="24"/>
        </w:rPr>
      </w:pPr>
      <w:r w:rsidRPr="00A07F29">
        <w:rPr>
          <w:rFonts w:ascii="Times New Roman" w:eastAsia="Calibri" w:hAnsi="Times New Roman" w:cs="Calibri"/>
          <w:iCs/>
          <w:sz w:val="24"/>
        </w:rPr>
        <w:lastRenderedPageBreak/>
        <w:t>4.7.1.2.</w:t>
      </w:r>
      <w:r w:rsidR="00E409EA">
        <w:rPr>
          <w:rFonts w:ascii="Times New Roman" w:eastAsia="Calibri" w:hAnsi="Times New Roman" w:cs="Calibri"/>
          <w:iCs/>
          <w:sz w:val="24"/>
        </w:rPr>
        <w:t> </w:t>
      </w:r>
      <w:r w:rsidRPr="00A07F29">
        <w:rPr>
          <w:rFonts w:ascii="Times New Roman" w:eastAsia="Calibri" w:hAnsi="Times New Roman" w:cs="Calibri"/>
          <w:iCs/>
          <w:sz w:val="24"/>
        </w:rPr>
        <w:t xml:space="preserve">tabula. Direktīvu pielikumos iekļauto kukaiņu sugu </w:t>
      </w:r>
      <w:r w:rsidR="006356B6" w:rsidRPr="00A07F29">
        <w:rPr>
          <w:rFonts w:ascii="Times New Roman" w:eastAsia="Calibri" w:hAnsi="Times New Roman" w:cs="Calibri"/>
          <w:iCs/>
          <w:sz w:val="24"/>
        </w:rPr>
        <w:t xml:space="preserve">aizsardzības stāvoklis, </w:t>
      </w:r>
      <w:r w:rsidRPr="00A07F29">
        <w:rPr>
          <w:rFonts w:ascii="Times New Roman" w:eastAsia="Calibri" w:hAnsi="Times New Roman" w:cs="Calibri"/>
          <w:iCs/>
          <w:sz w:val="24"/>
        </w:rPr>
        <w:t>populāciju lielums un dzīvotņu platība</w:t>
      </w:r>
    </w:p>
    <w:tbl>
      <w:tblPr>
        <w:tblW w:w="136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1"/>
        <w:gridCol w:w="2118"/>
        <w:gridCol w:w="580"/>
        <w:gridCol w:w="851"/>
        <w:gridCol w:w="850"/>
        <w:gridCol w:w="1702"/>
        <w:gridCol w:w="1559"/>
        <w:gridCol w:w="992"/>
        <w:gridCol w:w="1701"/>
        <w:gridCol w:w="1262"/>
        <w:gridCol w:w="1417"/>
      </w:tblGrid>
      <w:tr w:rsidR="0095136F" w:rsidRPr="00A07F29" w14:paraId="34BFD372" w14:textId="77777777" w:rsidTr="0095136F">
        <w:trPr>
          <w:jc w:val="center"/>
        </w:trPr>
        <w:tc>
          <w:tcPr>
            <w:tcW w:w="571" w:type="dxa"/>
            <w:vMerge w:val="restart"/>
            <w:shd w:val="clear" w:color="auto" w:fill="D6E3BC" w:themeFill="accent3" w:themeFillTint="66"/>
            <w:vAlign w:val="center"/>
          </w:tcPr>
          <w:p w14:paraId="10F1A66E" w14:textId="77777777" w:rsidR="0095136F" w:rsidRPr="00A07F29" w:rsidRDefault="0095136F" w:rsidP="004E3F0B">
            <w:pPr>
              <w:keepNext/>
              <w:suppressAutoHyphens/>
              <w:spacing w:after="0" w:line="240" w:lineRule="auto"/>
              <w:jc w:val="center"/>
              <w:rPr>
                <w:rFonts w:ascii="Times New Roman" w:eastAsia="Calibri" w:hAnsi="Times New Roman" w:cs="Times New Roman"/>
                <w:color w:val="000000"/>
                <w:sz w:val="20"/>
                <w:szCs w:val="20"/>
                <w:lang w:eastAsia="ar-SA"/>
              </w:rPr>
            </w:pPr>
            <w:proofErr w:type="spellStart"/>
            <w:r w:rsidRPr="00A07F29">
              <w:rPr>
                <w:rFonts w:ascii="Times New Roman" w:eastAsia="Calibri" w:hAnsi="Times New Roman" w:cs="Times New Roman"/>
                <w:color w:val="000000"/>
                <w:sz w:val="20"/>
                <w:szCs w:val="20"/>
                <w:lang w:eastAsia="ar-SA"/>
              </w:rPr>
              <w:t>Nr.p.k</w:t>
            </w:r>
            <w:proofErr w:type="spellEnd"/>
            <w:r w:rsidRPr="00A07F29">
              <w:rPr>
                <w:rFonts w:ascii="Times New Roman" w:eastAsia="Calibri" w:hAnsi="Times New Roman" w:cs="Times New Roman"/>
                <w:color w:val="000000"/>
                <w:sz w:val="20"/>
                <w:szCs w:val="20"/>
                <w:lang w:eastAsia="ar-SA"/>
              </w:rPr>
              <w:t>.</w:t>
            </w:r>
          </w:p>
        </w:tc>
        <w:tc>
          <w:tcPr>
            <w:tcW w:w="2118" w:type="dxa"/>
            <w:vMerge w:val="restart"/>
            <w:shd w:val="clear" w:color="auto" w:fill="D6E3BC" w:themeFill="accent3" w:themeFillTint="66"/>
            <w:vAlign w:val="center"/>
          </w:tcPr>
          <w:p w14:paraId="218A8C6D" w14:textId="77777777" w:rsidR="0095136F" w:rsidRPr="00A07F29" w:rsidRDefault="0095136F" w:rsidP="004E3F0B">
            <w:pPr>
              <w:keepNext/>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Sugas nosaukums (latviski un latīniski)</w:t>
            </w:r>
          </w:p>
        </w:tc>
        <w:tc>
          <w:tcPr>
            <w:tcW w:w="580" w:type="dxa"/>
            <w:vMerge w:val="restart"/>
            <w:shd w:val="clear" w:color="auto" w:fill="D6E3BC" w:themeFill="accent3" w:themeFillTint="66"/>
            <w:textDirection w:val="btLr"/>
          </w:tcPr>
          <w:p w14:paraId="5B39E97E" w14:textId="77777777" w:rsidR="0095136F" w:rsidRPr="00A07F29" w:rsidRDefault="0095136F" w:rsidP="004E3F0B">
            <w:pPr>
              <w:keepNext/>
              <w:suppressAutoHyphens/>
              <w:spacing w:after="0" w:line="240" w:lineRule="auto"/>
              <w:ind w:left="113" w:right="113"/>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Biotopu direktīvas pielikums</w:t>
            </w:r>
          </w:p>
        </w:tc>
        <w:tc>
          <w:tcPr>
            <w:tcW w:w="1701" w:type="dxa"/>
            <w:gridSpan w:val="2"/>
            <w:shd w:val="clear" w:color="auto" w:fill="D6E3BC" w:themeFill="accent3" w:themeFillTint="66"/>
            <w:vAlign w:val="center"/>
          </w:tcPr>
          <w:p w14:paraId="57BF73F1" w14:textId="77777777" w:rsidR="0095136F" w:rsidRPr="00A07F29" w:rsidRDefault="0095136F" w:rsidP="004E3F0B">
            <w:pPr>
              <w:keepNext/>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Sugas populācijas lielums teritorijā (eksemplāri)</w:t>
            </w:r>
          </w:p>
        </w:tc>
        <w:tc>
          <w:tcPr>
            <w:tcW w:w="1702" w:type="dxa"/>
            <w:vMerge w:val="restart"/>
            <w:shd w:val="clear" w:color="auto" w:fill="D6E3BC" w:themeFill="accent3" w:themeFillTint="66"/>
            <w:vAlign w:val="center"/>
          </w:tcPr>
          <w:p w14:paraId="66CFD757" w14:textId="77777777" w:rsidR="0095136F" w:rsidRPr="00A07F29" w:rsidRDefault="0095136F" w:rsidP="004E3F0B">
            <w:pPr>
              <w:keepNext/>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 xml:space="preserve">Teritorijā esošās sugas populācijas attiecība (%) pret sugas populāciju </w:t>
            </w:r>
            <w:proofErr w:type="spellStart"/>
            <w:r w:rsidRPr="00A07F29">
              <w:rPr>
                <w:rFonts w:ascii="Times New Roman" w:eastAsia="Calibri" w:hAnsi="Times New Roman" w:cs="Times New Roman"/>
                <w:i/>
                <w:color w:val="000000"/>
                <w:sz w:val="20"/>
                <w:szCs w:val="20"/>
                <w:lang w:eastAsia="ar-SA"/>
              </w:rPr>
              <w:t>Natura</w:t>
            </w:r>
            <w:proofErr w:type="spellEnd"/>
            <w:r w:rsidRPr="00A07F29">
              <w:rPr>
                <w:rFonts w:ascii="Times New Roman" w:eastAsia="Calibri" w:hAnsi="Times New Roman" w:cs="Times New Roman"/>
                <w:i/>
                <w:color w:val="000000"/>
                <w:sz w:val="20"/>
                <w:szCs w:val="20"/>
                <w:lang w:eastAsia="ar-SA"/>
              </w:rPr>
              <w:t xml:space="preserve"> 2000</w:t>
            </w:r>
            <w:r w:rsidRPr="00A07F29">
              <w:rPr>
                <w:rFonts w:ascii="Times New Roman" w:eastAsia="Calibri" w:hAnsi="Times New Roman" w:cs="Times New Roman"/>
                <w:color w:val="000000"/>
                <w:sz w:val="20"/>
                <w:szCs w:val="20"/>
                <w:lang w:eastAsia="ar-SA"/>
              </w:rPr>
              <w:t xml:space="preserve"> teritorijās Latvijā kopumā</w:t>
            </w:r>
          </w:p>
        </w:tc>
        <w:tc>
          <w:tcPr>
            <w:tcW w:w="1559" w:type="dxa"/>
            <w:vMerge w:val="restart"/>
            <w:shd w:val="clear" w:color="auto" w:fill="D6E3BC" w:themeFill="accent3" w:themeFillTint="66"/>
            <w:vAlign w:val="center"/>
          </w:tcPr>
          <w:p w14:paraId="4E8508EF" w14:textId="77777777" w:rsidR="0095136F" w:rsidRPr="00A07F29" w:rsidRDefault="0095136F" w:rsidP="004E3F0B">
            <w:pPr>
              <w:keepNext/>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Teritorijā esošās sugas populācijas attiecība (%) pret sugas populāciju valstī</w:t>
            </w:r>
          </w:p>
        </w:tc>
        <w:tc>
          <w:tcPr>
            <w:tcW w:w="992" w:type="dxa"/>
            <w:vMerge w:val="restart"/>
            <w:shd w:val="clear" w:color="auto" w:fill="D6E3BC" w:themeFill="accent3" w:themeFillTint="66"/>
            <w:vAlign w:val="center"/>
          </w:tcPr>
          <w:p w14:paraId="60B49AFB" w14:textId="77777777" w:rsidR="0095136F" w:rsidRPr="00A07F29" w:rsidRDefault="0095136F" w:rsidP="004E3F0B">
            <w:pPr>
              <w:keepNext/>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Sugas dzīvotnes platība (ha)</w:t>
            </w:r>
          </w:p>
        </w:tc>
        <w:tc>
          <w:tcPr>
            <w:tcW w:w="1701" w:type="dxa"/>
            <w:vMerge w:val="restart"/>
            <w:shd w:val="clear" w:color="auto" w:fill="D6E3BC" w:themeFill="accent3" w:themeFillTint="66"/>
            <w:vAlign w:val="center"/>
          </w:tcPr>
          <w:p w14:paraId="0BAA6714" w14:textId="77777777" w:rsidR="0095136F" w:rsidRPr="00A07F29" w:rsidRDefault="0095136F" w:rsidP="004E3F0B">
            <w:pPr>
              <w:keepNext/>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 xml:space="preserve">Sugas dzīvotnes platības attiecība (%) pret sugas dzīvotnes platību </w:t>
            </w:r>
            <w:proofErr w:type="spellStart"/>
            <w:r w:rsidRPr="00A07F29">
              <w:rPr>
                <w:rFonts w:ascii="Times New Roman" w:eastAsia="Calibri" w:hAnsi="Times New Roman" w:cs="Times New Roman"/>
                <w:i/>
                <w:color w:val="000000"/>
                <w:sz w:val="20"/>
                <w:szCs w:val="20"/>
                <w:lang w:eastAsia="ar-SA"/>
              </w:rPr>
              <w:t>Natura</w:t>
            </w:r>
            <w:proofErr w:type="spellEnd"/>
            <w:r w:rsidRPr="00A07F29">
              <w:rPr>
                <w:rFonts w:ascii="Times New Roman" w:eastAsia="Calibri" w:hAnsi="Times New Roman" w:cs="Times New Roman"/>
                <w:i/>
                <w:color w:val="000000"/>
                <w:sz w:val="20"/>
                <w:szCs w:val="20"/>
                <w:lang w:eastAsia="ar-SA"/>
              </w:rPr>
              <w:t xml:space="preserve"> 2000</w:t>
            </w:r>
            <w:r w:rsidRPr="00A07F29">
              <w:rPr>
                <w:rFonts w:ascii="Times New Roman" w:eastAsia="Calibri" w:hAnsi="Times New Roman" w:cs="Times New Roman"/>
                <w:color w:val="000000"/>
                <w:sz w:val="20"/>
                <w:szCs w:val="20"/>
                <w:lang w:eastAsia="ar-SA"/>
              </w:rPr>
              <w:t xml:space="preserve"> teritorijās Latvijā kopumā</w:t>
            </w:r>
          </w:p>
        </w:tc>
        <w:tc>
          <w:tcPr>
            <w:tcW w:w="1262" w:type="dxa"/>
            <w:vMerge w:val="restart"/>
            <w:shd w:val="clear" w:color="auto" w:fill="D6E3BC" w:themeFill="accent3" w:themeFillTint="66"/>
            <w:textDirection w:val="btLr"/>
            <w:vAlign w:val="center"/>
          </w:tcPr>
          <w:p w14:paraId="23412037" w14:textId="77777777" w:rsidR="0095136F" w:rsidRPr="00A07F29" w:rsidRDefault="0095136F" w:rsidP="004E3F0B">
            <w:pPr>
              <w:spacing w:after="0" w:line="240" w:lineRule="auto"/>
              <w:ind w:left="113" w:right="113"/>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Sugas labvēlīga aizsardzības stāvokļa novērtējums valstī kopumā (direktīvas pielikumos iekļautajām sugām informāciju norāda atbilstoši ETC datiem)</w:t>
            </w:r>
          </w:p>
        </w:tc>
        <w:tc>
          <w:tcPr>
            <w:tcW w:w="1417" w:type="dxa"/>
            <w:vMerge w:val="restart"/>
            <w:shd w:val="clear" w:color="auto" w:fill="D6E3BC" w:themeFill="accent3" w:themeFillTint="66"/>
            <w:textDirection w:val="btLr"/>
            <w:vAlign w:val="center"/>
          </w:tcPr>
          <w:p w14:paraId="147DAF6E" w14:textId="77777777" w:rsidR="0095136F" w:rsidRPr="00A07F29" w:rsidRDefault="0095136F" w:rsidP="004E3F0B">
            <w:pPr>
              <w:spacing w:after="0" w:line="240" w:lineRule="auto"/>
              <w:ind w:left="113" w:right="113"/>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Sugas labvēlīga aizsardzības stāvokļa novērtējums konkrētajā ĪADT (direktīvas pielikumos iekļautajām sugām informāciju norāda atbilstoši ETC kategorijām)</w:t>
            </w:r>
          </w:p>
        </w:tc>
      </w:tr>
      <w:tr w:rsidR="0095136F" w:rsidRPr="00A07F29" w14:paraId="58A7FAEB" w14:textId="77777777" w:rsidTr="006356B6">
        <w:trPr>
          <w:trHeight w:val="2410"/>
          <w:jc w:val="center"/>
        </w:trPr>
        <w:tc>
          <w:tcPr>
            <w:tcW w:w="571" w:type="dxa"/>
            <w:vMerge/>
          </w:tcPr>
          <w:p w14:paraId="3E1F9701" w14:textId="77777777" w:rsidR="0095136F" w:rsidRPr="00A07F29" w:rsidRDefault="0095136F" w:rsidP="004E3F0B">
            <w:pPr>
              <w:suppressAutoHyphens/>
              <w:spacing w:after="0" w:line="240" w:lineRule="auto"/>
              <w:jc w:val="center"/>
              <w:rPr>
                <w:rFonts w:ascii="Times New Roman" w:eastAsia="Calibri" w:hAnsi="Times New Roman" w:cs="Times New Roman"/>
                <w:color w:val="000000"/>
                <w:sz w:val="20"/>
                <w:szCs w:val="20"/>
                <w:lang w:eastAsia="ar-SA"/>
              </w:rPr>
            </w:pPr>
          </w:p>
        </w:tc>
        <w:tc>
          <w:tcPr>
            <w:tcW w:w="2118" w:type="dxa"/>
            <w:vMerge/>
          </w:tcPr>
          <w:p w14:paraId="5CF0CBFE" w14:textId="77777777" w:rsidR="0095136F" w:rsidRPr="00A07F29" w:rsidRDefault="0095136F" w:rsidP="004E3F0B">
            <w:pPr>
              <w:suppressAutoHyphens/>
              <w:spacing w:after="0" w:line="240" w:lineRule="auto"/>
              <w:jc w:val="center"/>
              <w:rPr>
                <w:rFonts w:ascii="Times New Roman" w:eastAsia="Calibri" w:hAnsi="Times New Roman" w:cs="Times New Roman"/>
                <w:color w:val="000000"/>
                <w:sz w:val="20"/>
                <w:szCs w:val="20"/>
                <w:lang w:eastAsia="ar-SA"/>
              </w:rPr>
            </w:pPr>
          </w:p>
        </w:tc>
        <w:tc>
          <w:tcPr>
            <w:tcW w:w="580" w:type="dxa"/>
            <w:vMerge/>
            <w:shd w:val="clear" w:color="auto" w:fill="C2D69B"/>
          </w:tcPr>
          <w:p w14:paraId="1CCEA5D1" w14:textId="77777777" w:rsidR="0095136F" w:rsidRPr="00A07F29" w:rsidRDefault="0095136F" w:rsidP="004E3F0B">
            <w:pPr>
              <w:suppressAutoHyphens/>
              <w:spacing w:after="0" w:line="240" w:lineRule="auto"/>
              <w:jc w:val="center"/>
              <w:rPr>
                <w:rFonts w:ascii="Times New Roman" w:eastAsia="Calibri" w:hAnsi="Times New Roman" w:cs="Times New Roman"/>
                <w:color w:val="000000"/>
                <w:sz w:val="20"/>
                <w:szCs w:val="20"/>
                <w:lang w:eastAsia="ar-SA"/>
              </w:rPr>
            </w:pPr>
          </w:p>
        </w:tc>
        <w:tc>
          <w:tcPr>
            <w:tcW w:w="851" w:type="dxa"/>
            <w:shd w:val="clear" w:color="auto" w:fill="D6E3BC" w:themeFill="accent3" w:themeFillTint="66"/>
            <w:vAlign w:val="center"/>
          </w:tcPr>
          <w:p w14:paraId="3EBC14E6" w14:textId="77777777" w:rsidR="0095136F" w:rsidRPr="00A07F29" w:rsidRDefault="0095136F" w:rsidP="004E3F0B">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Min.</w:t>
            </w:r>
          </w:p>
        </w:tc>
        <w:tc>
          <w:tcPr>
            <w:tcW w:w="850" w:type="dxa"/>
            <w:shd w:val="clear" w:color="auto" w:fill="D6E3BC" w:themeFill="accent3" w:themeFillTint="66"/>
            <w:vAlign w:val="center"/>
          </w:tcPr>
          <w:p w14:paraId="507A8A74" w14:textId="77777777" w:rsidR="0095136F" w:rsidRPr="00A07F29" w:rsidRDefault="0095136F" w:rsidP="004E3F0B">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Maks.</w:t>
            </w:r>
          </w:p>
        </w:tc>
        <w:tc>
          <w:tcPr>
            <w:tcW w:w="1702" w:type="dxa"/>
            <w:vMerge/>
            <w:vAlign w:val="center"/>
          </w:tcPr>
          <w:p w14:paraId="081E6840" w14:textId="77777777" w:rsidR="0095136F" w:rsidRPr="00A07F29" w:rsidRDefault="0095136F" w:rsidP="004E3F0B">
            <w:pPr>
              <w:suppressAutoHyphens/>
              <w:spacing w:after="0" w:line="240" w:lineRule="auto"/>
              <w:jc w:val="center"/>
              <w:rPr>
                <w:rFonts w:ascii="Times New Roman" w:eastAsia="Calibri" w:hAnsi="Times New Roman" w:cs="Times New Roman"/>
                <w:color w:val="000000"/>
                <w:sz w:val="20"/>
                <w:szCs w:val="20"/>
                <w:lang w:eastAsia="ar-SA"/>
              </w:rPr>
            </w:pPr>
          </w:p>
        </w:tc>
        <w:tc>
          <w:tcPr>
            <w:tcW w:w="1559" w:type="dxa"/>
            <w:vMerge/>
          </w:tcPr>
          <w:p w14:paraId="11920624" w14:textId="77777777" w:rsidR="0095136F" w:rsidRPr="00A07F29" w:rsidRDefault="0095136F" w:rsidP="004E3F0B">
            <w:pPr>
              <w:suppressAutoHyphens/>
              <w:spacing w:after="0" w:line="240" w:lineRule="auto"/>
              <w:jc w:val="center"/>
              <w:rPr>
                <w:rFonts w:ascii="Times New Roman" w:eastAsia="Calibri" w:hAnsi="Times New Roman" w:cs="Times New Roman"/>
                <w:color w:val="000000"/>
                <w:sz w:val="20"/>
                <w:szCs w:val="20"/>
                <w:lang w:eastAsia="ar-SA"/>
              </w:rPr>
            </w:pPr>
          </w:p>
        </w:tc>
        <w:tc>
          <w:tcPr>
            <w:tcW w:w="992" w:type="dxa"/>
            <w:vMerge/>
          </w:tcPr>
          <w:p w14:paraId="2A0250F8" w14:textId="77777777" w:rsidR="0095136F" w:rsidRPr="00A07F29" w:rsidRDefault="0095136F" w:rsidP="004E3F0B">
            <w:pPr>
              <w:suppressAutoHyphens/>
              <w:spacing w:after="0" w:line="240" w:lineRule="auto"/>
              <w:jc w:val="center"/>
              <w:rPr>
                <w:rFonts w:ascii="Times New Roman" w:eastAsia="Calibri" w:hAnsi="Times New Roman" w:cs="Times New Roman"/>
                <w:color w:val="000000"/>
                <w:sz w:val="20"/>
                <w:szCs w:val="20"/>
                <w:lang w:eastAsia="ar-SA"/>
              </w:rPr>
            </w:pPr>
          </w:p>
        </w:tc>
        <w:tc>
          <w:tcPr>
            <w:tcW w:w="1701" w:type="dxa"/>
            <w:vMerge/>
          </w:tcPr>
          <w:p w14:paraId="35E91548" w14:textId="77777777" w:rsidR="0095136F" w:rsidRPr="00A07F29" w:rsidRDefault="0095136F" w:rsidP="004E3F0B">
            <w:pPr>
              <w:suppressAutoHyphens/>
              <w:spacing w:after="0" w:line="240" w:lineRule="auto"/>
              <w:jc w:val="center"/>
              <w:rPr>
                <w:rFonts w:ascii="Times New Roman" w:eastAsia="Calibri" w:hAnsi="Times New Roman" w:cs="Times New Roman"/>
                <w:color w:val="000000"/>
                <w:sz w:val="20"/>
                <w:szCs w:val="20"/>
                <w:lang w:eastAsia="ar-SA"/>
              </w:rPr>
            </w:pPr>
          </w:p>
        </w:tc>
        <w:tc>
          <w:tcPr>
            <w:tcW w:w="1262" w:type="dxa"/>
            <w:vMerge/>
            <w:shd w:val="clear" w:color="auto" w:fill="FBD4B4" w:themeFill="accent6" w:themeFillTint="66"/>
          </w:tcPr>
          <w:p w14:paraId="49E2472B" w14:textId="77777777" w:rsidR="0095136F" w:rsidRPr="00A07F29" w:rsidRDefault="0095136F" w:rsidP="004E3F0B">
            <w:pPr>
              <w:suppressAutoHyphens/>
              <w:spacing w:after="0" w:line="240" w:lineRule="auto"/>
              <w:jc w:val="center"/>
              <w:rPr>
                <w:rFonts w:ascii="Times New Roman" w:eastAsia="Calibri" w:hAnsi="Times New Roman" w:cs="Times New Roman"/>
                <w:color w:val="000000"/>
                <w:sz w:val="20"/>
                <w:szCs w:val="20"/>
                <w:lang w:eastAsia="ar-SA"/>
              </w:rPr>
            </w:pPr>
          </w:p>
        </w:tc>
        <w:tc>
          <w:tcPr>
            <w:tcW w:w="1417" w:type="dxa"/>
            <w:vMerge/>
            <w:shd w:val="clear" w:color="auto" w:fill="FBD4B4" w:themeFill="accent6" w:themeFillTint="66"/>
          </w:tcPr>
          <w:p w14:paraId="08D11890" w14:textId="77777777" w:rsidR="0095136F" w:rsidRPr="00A07F29" w:rsidRDefault="0095136F" w:rsidP="004E3F0B">
            <w:pPr>
              <w:suppressAutoHyphens/>
              <w:spacing w:after="0" w:line="240" w:lineRule="auto"/>
              <w:jc w:val="center"/>
              <w:rPr>
                <w:rFonts w:ascii="Times New Roman" w:eastAsia="Calibri" w:hAnsi="Times New Roman" w:cs="Times New Roman"/>
                <w:color w:val="000000"/>
                <w:sz w:val="20"/>
                <w:szCs w:val="20"/>
                <w:lang w:eastAsia="ar-SA"/>
              </w:rPr>
            </w:pPr>
          </w:p>
        </w:tc>
      </w:tr>
      <w:tr w:rsidR="0095136F" w:rsidRPr="00A07F29" w14:paraId="0182564D" w14:textId="77777777" w:rsidTr="004E3F0B">
        <w:trPr>
          <w:jc w:val="center"/>
        </w:trPr>
        <w:tc>
          <w:tcPr>
            <w:tcW w:w="571" w:type="dxa"/>
          </w:tcPr>
          <w:p w14:paraId="3F51E276" w14:textId="77777777" w:rsidR="0095136F" w:rsidRPr="00A07F29" w:rsidRDefault="0095136F" w:rsidP="00F87589">
            <w:pPr>
              <w:numPr>
                <w:ilvl w:val="0"/>
                <w:numId w:val="22"/>
              </w:numPr>
              <w:suppressAutoHyphens/>
              <w:spacing w:after="0" w:line="240" w:lineRule="auto"/>
              <w:contextualSpacing/>
              <w:jc w:val="center"/>
              <w:rPr>
                <w:rFonts w:ascii="Times New Roman" w:eastAsia="Calibri" w:hAnsi="Times New Roman" w:cs="Times New Roman"/>
                <w:color w:val="000000"/>
                <w:sz w:val="20"/>
                <w:szCs w:val="20"/>
                <w:lang w:eastAsia="ar-SA"/>
              </w:rPr>
            </w:pPr>
          </w:p>
        </w:tc>
        <w:tc>
          <w:tcPr>
            <w:tcW w:w="2118" w:type="dxa"/>
            <w:shd w:val="clear" w:color="auto" w:fill="FFFFFF"/>
          </w:tcPr>
          <w:p w14:paraId="4369A195" w14:textId="77777777" w:rsidR="0095136F" w:rsidRPr="00A07F29" w:rsidRDefault="0095136F" w:rsidP="004E3F0B">
            <w:pPr>
              <w:suppressAutoHyphens/>
              <w:spacing w:after="0" w:line="240" w:lineRule="auto"/>
              <w:rPr>
                <w:rFonts w:ascii="Times New Roman" w:eastAsia="Calibri" w:hAnsi="Times New Roman" w:cs="Times New Roman"/>
                <w:color w:val="000000"/>
                <w:spacing w:val="1"/>
                <w:sz w:val="20"/>
                <w:szCs w:val="20"/>
                <w:lang w:eastAsia="ar-SA"/>
              </w:rPr>
            </w:pPr>
            <w:r w:rsidRPr="00A07F29">
              <w:rPr>
                <w:rFonts w:ascii="Times New Roman" w:eastAsia="Calibri" w:hAnsi="Times New Roman" w:cs="Times New Roman"/>
                <w:color w:val="000000"/>
                <w:sz w:val="20"/>
                <w:szCs w:val="20"/>
                <w:lang w:eastAsia="ar-SA"/>
              </w:rPr>
              <w:t xml:space="preserve">Zaļā </w:t>
            </w:r>
            <w:proofErr w:type="spellStart"/>
            <w:r w:rsidRPr="00A07F29">
              <w:rPr>
                <w:rFonts w:ascii="Times New Roman" w:eastAsia="Calibri" w:hAnsi="Times New Roman" w:cs="Times New Roman"/>
                <w:color w:val="000000"/>
                <w:sz w:val="20"/>
                <w:szCs w:val="20"/>
                <w:lang w:eastAsia="ar-SA"/>
              </w:rPr>
              <w:t>upjuspāre</w:t>
            </w:r>
            <w:proofErr w:type="spellEnd"/>
            <w:r w:rsidRPr="00A07F29">
              <w:rPr>
                <w:rFonts w:ascii="Times New Roman" w:eastAsia="Calibri" w:hAnsi="Times New Roman" w:cs="Times New Roman"/>
                <w:color w:val="000000"/>
                <w:sz w:val="20"/>
                <w:szCs w:val="20"/>
                <w:lang w:eastAsia="ar-SA"/>
              </w:rPr>
              <w:t xml:space="preserve"> </w:t>
            </w:r>
            <w:proofErr w:type="spellStart"/>
            <w:r w:rsidRPr="00A07F29">
              <w:rPr>
                <w:rFonts w:ascii="Times New Roman" w:eastAsia="Calibri" w:hAnsi="Times New Roman" w:cs="Times New Roman"/>
                <w:i/>
                <w:color w:val="000000"/>
                <w:sz w:val="20"/>
                <w:szCs w:val="20"/>
                <w:lang w:eastAsia="ar-SA"/>
              </w:rPr>
              <w:t>Ophiogomphus</w:t>
            </w:r>
            <w:proofErr w:type="spellEnd"/>
            <w:r w:rsidRPr="00A07F29">
              <w:rPr>
                <w:rFonts w:ascii="Times New Roman" w:eastAsia="Calibri" w:hAnsi="Times New Roman" w:cs="Times New Roman"/>
                <w:i/>
                <w:color w:val="000000"/>
                <w:sz w:val="20"/>
                <w:szCs w:val="20"/>
                <w:lang w:eastAsia="ar-SA"/>
              </w:rPr>
              <w:t xml:space="preserve"> </w:t>
            </w:r>
            <w:proofErr w:type="spellStart"/>
            <w:r w:rsidRPr="00A07F29">
              <w:rPr>
                <w:rFonts w:ascii="Times New Roman" w:eastAsia="Calibri" w:hAnsi="Times New Roman" w:cs="Times New Roman"/>
                <w:i/>
                <w:color w:val="000000"/>
                <w:sz w:val="20"/>
                <w:szCs w:val="20"/>
                <w:lang w:eastAsia="ar-SA"/>
              </w:rPr>
              <w:t>cecilia</w:t>
            </w:r>
            <w:proofErr w:type="spellEnd"/>
          </w:p>
        </w:tc>
        <w:tc>
          <w:tcPr>
            <w:tcW w:w="580" w:type="dxa"/>
            <w:shd w:val="clear" w:color="auto" w:fill="FFFFFF"/>
          </w:tcPr>
          <w:p w14:paraId="4668AD5E" w14:textId="77777777" w:rsidR="0095136F" w:rsidRPr="00A07F29" w:rsidRDefault="0095136F" w:rsidP="004E3F0B">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II</w:t>
            </w:r>
          </w:p>
        </w:tc>
        <w:tc>
          <w:tcPr>
            <w:tcW w:w="851" w:type="dxa"/>
            <w:shd w:val="clear" w:color="auto" w:fill="FFFFFF"/>
          </w:tcPr>
          <w:p w14:paraId="38CFB9A1" w14:textId="77777777" w:rsidR="0095136F" w:rsidRPr="00A07F29" w:rsidRDefault="0095136F" w:rsidP="004E3F0B">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500</w:t>
            </w:r>
          </w:p>
        </w:tc>
        <w:tc>
          <w:tcPr>
            <w:tcW w:w="850" w:type="dxa"/>
            <w:shd w:val="clear" w:color="auto" w:fill="FFFFFF"/>
          </w:tcPr>
          <w:p w14:paraId="14111E19" w14:textId="77777777" w:rsidR="0095136F" w:rsidRPr="00A07F29" w:rsidRDefault="0095136F" w:rsidP="004E3F0B">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1000</w:t>
            </w:r>
          </w:p>
        </w:tc>
        <w:tc>
          <w:tcPr>
            <w:tcW w:w="1702" w:type="dxa"/>
            <w:shd w:val="clear" w:color="auto" w:fill="FFFFFF"/>
          </w:tcPr>
          <w:p w14:paraId="6FBC58EE" w14:textId="77777777" w:rsidR="0095136F" w:rsidRPr="00A07F29" w:rsidRDefault="0095136F" w:rsidP="004E3F0B">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2 % ≥ p &gt; 0 %</w:t>
            </w:r>
          </w:p>
        </w:tc>
        <w:tc>
          <w:tcPr>
            <w:tcW w:w="1559" w:type="dxa"/>
            <w:shd w:val="clear" w:color="auto" w:fill="FFFFFF"/>
          </w:tcPr>
          <w:p w14:paraId="27AC96FA" w14:textId="77777777" w:rsidR="0095136F" w:rsidRPr="00A07F29" w:rsidRDefault="0095136F" w:rsidP="004E3F0B">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2 % ≥ p &gt; 0 %</w:t>
            </w:r>
          </w:p>
        </w:tc>
        <w:tc>
          <w:tcPr>
            <w:tcW w:w="992" w:type="dxa"/>
            <w:shd w:val="clear" w:color="auto" w:fill="FFFFFF"/>
          </w:tcPr>
          <w:p w14:paraId="2328B9AE" w14:textId="77777777" w:rsidR="0095136F" w:rsidRPr="00A07F29" w:rsidRDefault="0095136F" w:rsidP="004E3F0B">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47 ha</w:t>
            </w:r>
          </w:p>
        </w:tc>
        <w:tc>
          <w:tcPr>
            <w:tcW w:w="1701" w:type="dxa"/>
            <w:shd w:val="clear" w:color="auto" w:fill="FFFFFF"/>
          </w:tcPr>
          <w:p w14:paraId="6C681F46" w14:textId="77777777" w:rsidR="0095136F" w:rsidRPr="00A07F29" w:rsidRDefault="0095136F" w:rsidP="004E3F0B">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2 % ≥ p &gt; 0 %</w:t>
            </w:r>
          </w:p>
        </w:tc>
        <w:tc>
          <w:tcPr>
            <w:tcW w:w="1262" w:type="dxa"/>
            <w:shd w:val="clear" w:color="auto" w:fill="FFC000"/>
            <w:vAlign w:val="center"/>
          </w:tcPr>
          <w:p w14:paraId="7184C32D" w14:textId="77777777" w:rsidR="0095136F" w:rsidRPr="00A07F29" w:rsidRDefault="0095136F" w:rsidP="004E3F0B">
            <w:pPr>
              <w:suppressAutoHyphens/>
              <w:spacing w:after="0" w:line="240" w:lineRule="auto"/>
              <w:jc w:val="center"/>
              <w:rPr>
                <w:rFonts w:ascii="Times New Roman" w:eastAsia="Calibri" w:hAnsi="Times New Roman" w:cs="Times New Roman"/>
                <w:b/>
                <w:bCs/>
                <w:color w:val="000000"/>
                <w:sz w:val="20"/>
                <w:szCs w:val="20"/>
                <w:lang w:eastAsia="ar-SA"/>
              </w:rPr>
            </w:pPr>
            <w:r w:rsidRPr="00A07F29">
              <w:rPr>
                <w:rFonts w:ascii="Times New Roman" w:eastAsia="Calibri" w:hAnsi="Times New Roman" w:cs="Times New Roman"/>
                <w:b/>
                <w:bCs/>
                <w:color w:val="000000"/>
                <w:sz w:val="20"/>
                <w:szCs w:val="20"/>
                <w:lang w:eastAsia="ar-SA"/>
              </w:rPr>
              <w:t>U1X</w:t>
            </w:r>
          </w:p>
        </w:tc>
        <w:tc>
          <w:tcPr>
            <w:tcW w:w="1417" w:type="dxa"/>
            <w:shd w:val="clear" w:color="auto" w:fill="FFC000"/>
            <w:vAlign w:val="center"/>
          </w:tcPr>
          <w:p w14:paraId="0D409434" w14:textId="77777777" w:rsidR="0095136F" w:rsidRPr="00A07F29" w:rsidRDefault="0095136F" w:rsidP="004E3F0B">
            <w:pPr>
              <w:suppressAutoHyphens/>
              <w:spacing w:after="0" w:line="240" w:lineRule="auto"/>
              <w:jc w:val="center"/>
              <w:rPr>
                <w:rFonts w:ascii="Times New Roman" w:eastAsia="Calibri" w:hAnsi="Times New Roman" w:cs="Times New Roman"/>
                <w:b/>
                <w:bCs/>
                <w:color w:val="000000"/>
                <w:sz w:val="20"/>
                <w:szCs w:val="20"/>
                <w:lang w:eastAsia="ar-SA"/>
              </w:rPr>
            </w:pPr>
            <w:r w:rsidRPr="00A07F29">
              <w:rPr>
                <w:rFonts w:ascii="Times New Roman" w:eastAsia="Calibri" w:hAnsi="Times New Roman" w:cs="Times New Roman"/>
                <w:b/>
                <w:bCs/>
                <w:color w:val="000000"/>
                <w:sz w:val="20"/>
                <w:szCs w:val="20"/>
                <w:lang w:eastAsia="ar-SA"/>
              </w:rPr>
              <w:t>U1X</w:t>
            </w:r>
          </w:p>
        </w:tc>
      </w:tr>
      <w:tr w:rsidR="0095136F" w:rsidRPr="00A07F29" w14:paraId="213F5298" w14:textId="77777777" w:rsidTr="004E3F0B">
        <w:trPr>
          <w:jc w:val="center"/>
        </w:trPr>
        <w:tc>
          <w:tcPr>
            <w:tcW w:w="571" w:type="dxa"/>
          </w:tcPr>
          <w:p w14:paraId="00357F6C" w14:textId="77777777" w:rsidR="0095136F" w:rsidRPr="00A07F29" w:rsidRDefault="0095136F" w:rsidP="00F87589">
            <w:pPr>
              <w:numPr>
                <w:ilvl w:val="0"/>
                <w:numId w:val="22"/>
              </w:numPr>
              <w:suppressAutoHyphens/>
              <w:spacing w:after="0" w:line="240" w:lineRule="auto"/>
              <w:contextualSpacing/>
              <w:jc w:val="center"/>
              <w:rPr>
                <w:rFonts w:ascii="Times New Roman" w:eastAsia="Calibri" w:hAnsi="Times New Roman" w:cs="Times New Roman"/>
                <w:color w:val="000000"/>
                <w:sz w:val="20"/>
                <w:szCs w:val="20"/>
                <w:lang w:eastAsia="ar-SA"/>
              </w:rPr>
            </w:pPr>
          </w:p>
        </w:tc>
        <w:tc>
          <w:tcPr>
            <w:tcW w:w="2118" w:type="dxa"/>
            <w:shd w:val="clear" w:color="auto" w:fill="FFFFFF"/>
          </w:tcPr>
          <w:p w14:paraId="1F661599" w14:textId="77777777" w:rsidR="0095136F" w:rsidRPr="00A07F29" w:rsidRDefault="0095136F" w:rsidP="004E3F0B">
            <w:pPr>
              <w:suppressAutoHyphens/>
              <w:spacing w:after="0" w:line="240" w:lineRule="auto"/>
              <w:rPr>
                <w:rFonts w:ascii="Times New Roman" w:eastAsia="Calibri" w:hAnsi="Times New Roman" w:cs="Times New Roman"/>
                <w:color w:val="000000"/>
                <w:spacing w:val="1"/>
                <w:sz w:val="20"/>
                <w:szCs w:val="20"/>
                <w:lang w:eastAsia="ar-SA"/>
              </w:rPr>
            </w:pPr>
            <w:r w:rsidRPr="00A07F29">
              <w:rPr>
                <w:rFonts w:ascii="Times New Roman" w:eastAsia="Calibri" w:hAnsi="Times New Roman" w:cs="Times New Roman"/>
                <w:color w:val="000000"/>
                <w:sz w:val="20"/>
                <w:szCs w:val="20"/>
                <w:lang w:eastAsia="ar-SA"/>
              </w:rPr>
              <w:t xml:space="preserve">Zaļā </w:t>
            </w:r>
            <w:proofErr w:type="spellStart"/>
            <w:r w:rsidRPr="00A07F29">
              <w:rPr>
                <w:rFonts w:ascii="Times New Roman" w:eastAsia="Calibri" w:hAnsi="Times New Roman" w:cs="Times New Roman"/>
                <w:color w:val="000000"/>
                <w:sz w:val="20"/>
                <w:szCs w:val="20"/>
                <w:lang w:eastAsia="ar-SA"/>
              </w:rPr>
              <w:t>dižspāre</w:t>
            </w:r>
            <w:proofErr w:type="spellEnd"/>
            <w:r w:rsidRPr="00A07F29">
              <w:rPr>
                <w:rFonts w:ascii="Times New Roman" w:eastAsia="Calibri" w:hAnsi="Times New Roman" w:cs="Times New Roman"/>
                <w:i/>
                <w:color w:val="000000"/>
                <w:sz w:val="20"/>
                <w:szCs w:val="20"/>
                <w:lang w:eastAsia="ar-SA"/>
              </w:rPr>
              <w:t xml:space="preserve"> </w:t>
            </w:r>
            <w:proofErr w:type="spellStart"/>
            <w:r w:rsidRPr="00A07F29">
              <w:rPr>
                <w:rFonts w:ascii="Times New Roman" w:eastAsia="Calibri" w:hAnsi="Times New Roman" w:cs="Times New Roman"/>
                <w:i/>
                <w:color w:val="000000"/>
                <w:sz w:val="20"/>
                <w:szCs w:val="20"/>
                <w:lang w:eastAsia="ar-SA"/>
              </w:rPr>
              <w:t>A</w:t>
            </w:r>
            <w:r w:rsidRPr="00A07F29">
              <w:rPr>
                <w:rFonts w:ascii="Times New Roman" w:eastAsia="Calibri" w:hAnsi="Times New Roman" w:cs="Times New Roman"/>
                <w:i/>
                <w:color w:val="000000"/>
                <w:spacing w:val="-1"/>
                <w:sz w:val="20"/>
                <w:szCs w:val="20"/>
                <w:lang w:eastAsia="ar-SA"/>
              </w:rPr>
              <w:t>e</w:t>
            </w:r>
            <w:r w:rsidRPr="00A07F29">
              <w:rPr>
                <w:rFonts w:ascii="Times New Roman" w:eastAsia="Calibri" w:hAnsi="Times New Roman" w:cs="Times New Roman"/>
                <w:i/>
                <w:color w:val="000000"/>
                <w:sz w:val="20"/>
                <w:szCs w:val="20"/>
                <w:lang w:eastAsia="ar-SA"/>
              </w:rPr>
              <w:t>s</w:t>
            </w:r>
            <w:r w:rsidRPr="00A07F29">
              <w:rPr>
                <w:rFonts w:ascii="Times New Roman" w:eastAsia="Calibri" w:hAnsi="Times New Roman" w:cs="Times New Roman"/>
                <w:i/>
                <w:color w:val="000000"/>
                <w:spacing w:val="1"/>
                <w:sz w:val="20"/>
                <w:szCs w:val="20"/>
                <w:lang w:eastAsia="ar-SA"/>
              </w:rPr>
              <w:t>hn</w:t>
            </w:r>
            <w:r w:rsidRPr="00A07F29">
              <w:rPr>
                <w:rFonts w:ascii="Times New Roman" w:eastAsia="Calibri" w:hAnsi="Times New Roman" w:cs="Times New Roman"/>
                <w:i/>
                <w:color w:val="000000"/>
                <w:sz w:val="20"/>
                <w:szCs w:val="20"/>
                <w:lang w:eastAsia="ar-SA"/>
              </w:rPr>
              <w:t>a</w:t>
            </w:r>
            <w:proofErr w:type="spellEnd"/>
            <w:r w:rsidRPr="00A07F29">
              <w:rPr>
                <w:rFonts w:ascii="Times New Roman" w:eastAsia="Calibri" w:hAnsi="Times New Roman" w:cs="Times New Roman"/>
                <w:i/>
                <w:color w:val="000000"/>
                <w:spacing w:val="-1"/>
                <w:sz w:val="20"/>
                <w:szCs w:val="20"/>
                <w:lang w:eastAsia="ar-SA"/>
              </w:rPr>
              <w:t xml:space="preserve"> </w:t>
            </w:r>
            <w:proofErr w:type="spellStart"/>
            <w:r w:rsidRPr="00A07F29">
              <w:rPr>
                <w:rFonts w:ascii="Times New Roman" w:eastAsia="Calibri" w:hAnsi="Times New Roman" w:cs="Times New Roman"/>
                <w:i/>
                <w:color w:val="000000"/>
                <w:spacing w:val="-1"/>
                <w:sz w:val="20"/>
                <w:szCs w:val="20"/>
                <w:lang w:eastAsia="ar-SA"/>
              </w:rPr>
              <w:t>v</w:t>
            </w:r>
            <w:r w:rsidRPr="00A07F29">
              <w:rPr>
                <w:rFonts w:ascii="Times New Roman" w:eastAsia="Calibri" w:hAnsi="Times New Roman" w:cs="Times New Roman"/>
                <w:i/>
                <w:color w:val="000000"/>
                <w:sz w:val="20"/>
                <w:szCs w:val="20"/>
                <w:lang w:eastAsia="ar-SA"/>
              </w:rPr>
              <w:t>ir</w:t>
            </w:r>
            <w:r w:rsidRPr="00A07F29">
              <w:rPr>
                <w:rFonts w:ascii="Times New Roman" w:eastAsia="Calibri" w:hAnsi="Times New Roman" w:cs="Times New Roman"/>
                <w:i/>
                <w:color w:val="000000"/>
                <w:spacing w:val="-2"/>
                <w:sz w:val="20"/>
                <w:szCs w:val="20"/>
                <w:lang w:eastAsia="ar-SA"/>
              </w:rPr>
              <w:t>i</w:t>
            </w:r>
            <w:r w:rsidRPr="00A07F29">
              <w:rPr>
                <w:rFonts w:ascii="Times New Roman" w:eastAsia="Calibri" w:hAnsi="Times New Roman" w:cs="Times New Roman"/>
                <w:i/>
                <w:color w:val="000000"/>
                <w:spacing w:val="1"/>
                <w:sz w:val="20"/>
                <w:szCs w:val="20"/>
                <w:lang w:eastAsia="ar-SA"/>
              </w:rPr>
              <w:t>d</w:t>
            </w:r>
            <w:r w:rsidRPr="00A07F29">
              <w:rPr>
                <w:rFonts w:ascii="Times New Roman" w:eastAsia="Calibri" w:hAnsi="Times New Roman" w:cs="Times New Roman"/>
                <w:i/>
                <w:color w:val="000000"/>
                <w:sz w:val="20"/>
                <w:szCs w:val="20"/>
                <w:lang w:eastAsia="ar-SA"/>
              </w:rPr>
              <w:t>is</w:t>
            </w:r>
            <w:proofErr w:type="spellEnd"/>
          </w:p>
        </w:tc>
        <w:tc>
          <w:tcPr>
            <w:tcW w:w="580" w:type="dxa"/>
            <w:shd w:val="clear" w:color="auto" w:fill="FFFFFF"/>
          </w:tcPr>
          <w:p w14:paraId="2A5758DF" w14:textId="77777777" w:rsidR="0095136F" w:rsidRPr="00A07F29" w:rsidRDefault="0095136F" w:rsidP="004E3F0B">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IV</w:t>
            </w:r>
          </w:p>
        </w:tc>
        <w:tc>
          <w:tcPr>
            <w:tcW w:w="851" w:type="dxa"/>
            <w:shd w:val="clear" w:color="auto" w:fill="FFFFFF"/>
          </w:tcPr>
          <w:p w14:paraId="73F93F9F" w14:textId="77777777" w:rsidR="0095136F" w:rsidRPr="00A07F29" w:rsidRDefault="0095136F" w:rsidP="004E3F0B">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60</w:t>
            </w:r>
          </w:p>
        </w:tc>
        <w:tc>
          <w:tcPr>
            <w:tcW w:w="850" w:type="dxa"/>
            <w:shd w:val="clear" w:color="auto" w:fill="FFFFFF"/>
          </w:tcPr>
          <w:p w14:paraId="3C0AA415" w14:textId="77777777" w:rsidR="0095136F" w:rsidRPr="00A07F29" w:rsidRDefault="0095136F" w:rsidP="004E3F0B">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150</w:t>
            </w:r>
          </w:p>
        </w:tc>
        <w:tc>
          <w:tcPr>
            <w:tcW w:w="1702" w:type="dxa"/>
            <w:shd w:val="clear" w:color="auto" w:fill="FFFFFF"/>
          </w:tcPr>
          <w:p w14:paraId="7F459410" w14:textId="77777777" w:rsidR="0095136F" w:rsidRPr="00A07F29" w:rsidRDefault="0095136F" w:rsidP="004E3F0B">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2 % ≥ p &gt; 0 %</w:t>
            </w:r>
          </w:p>
        </w:tc>
        <w:tc>
          <w:tcPr>
            <w:tcW w:w="1559" w:type="dxa"/>
            <w:shd w:val="clear" w:color="auto" w:fill="FFFFFF"/>
          </w:tcPr>
          <w:p w14:paraId="2B4E333C" w14:textId="77777777" w:rsidR="0095136F" w:rsidRPr="00A07F29" w:rsidRDefault="0095136F" w:rsidP="004E3F0B">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2 % ≥ p &gt; 0 %</w:t>
            </w:r>
          </w:p>
        </w:tc>
        <w:tc>
          <w:tcPr>
            <w:tcW w:w="992" w:type="dxa"/>
            <w:shd w:val="clear" w:color="auto" w:fill="FFFFFF"/>
          </w:tcPr>
          <w:p w14:paraId="72103D5D" w14:textId="77777777" w:rsidR="0095136F" w:rsidRPr="00A07F29" w:rsidRDefault="0095136F" w:rsidP="004E3F0B">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8 ha</w:t>
            </w:r>
          </w:p>
        </w:tc>
        <w:tc>
          <w:tcPr>
            <w:tcW w:w="1701" w:type="dxa"/>
            <w:shd w:val="clear" w:color="auto" w:fill="FFFFFF"/>
          </w:tcPr>
          <w:p w14:paraId="740F1E4E" w14:textId="77777777" w:rsidR="0095136F" w:rsidRPr="00A07F29" w:rsidRDefault="0095136F" w:rsidP="004E3F0B">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2 % ≥ p &gt; 0 %</w:t>
            </w:r>
          </w:p>
        </w:tc>
        <w:tc>
          <w:tcPr>
            <w:tcW w:w="1262" w:type="dxa"/>
            <w:shd w:val="clear" w:color="auto" w:fill="FF0000"/>
            <w:vAlign w:val="center"/>
          </w:tcPr>
          <w:p w14:paraId="030A8A8E" w14:textId="77777777" w:rsidR="0095136F" w:rsidRPr="00A07F29" w:rsidRDefault="0095136F" w:rsidP="004E3F0B">
            <w:pPr>
              <w:suppressAutoHyphens/>
              <w:spacing w:after="0" w:line="240" w:lineRule="auto"/>
              <w:jc w:val="center"/>
              <w:rPr>
                <w:rFonts w:ascii="Times New Roman" w:eastAsia="Calibri" w:hAnsi="Times New Roman" w:cs="Times New Roman"/>
                <w:b/>
                <w:bCs/>
                <w:color w:val="000000"/>
                <w:sz w:val="20"/>
                <w:szCs w:val="20"/>
                <w:lang w:eastAsia="ar-SA"/>
              </w:rPr>
            </w:pPr>
            <w:r w:rsidRPr="00A07F29">
              <w:rPr>
                <w:rFonts w:ascii="Times New Roman" w:eastAsia="Calibri" w:hAnsi="Times New Roman" w:cs="Times New Roman"/>
                <w:b/>
                <w:bCs/>
                <w:color w:val="000000"/>
                <w:sz w:val="20"/>
                <w:szCs w:val="20"/>
                <w:lang w:eastAsia="ar-SA"/>
              </w:rPr>
              <w:t>U2X</w:t>
            </w:r>
          </w:p>
        </w:tc>
        <w:tc>
          <w:tcPr>
            <w:tcW w:w="1417" w:type="dxa"/>
            <w:shd w:val="clear" w:color="auto" w:fill="FFC000"/>
            <w:vAlign w:val="center"/>
          </w:tcPr>
          <w:p w14:paraId="46721292" w14:textId="77777777" w:rsidR="0095136F" w:rsidRPr="00A07F29" w:rsidRDefault="0095136F" w:rsidP="004E3F0B">
            <w:pPr>
              <w:suppressAutoHyphens/>
              <w:spacing w:after="0" w:line="240" w:lineRule="auto"/>
              <w:jc w:val="center"/>
              <w:rPr>
                <w:rFonts w:ascii="Times New Roman" w:eastAsia="Calibri" w:hAnsi="Times New Roman" w:cs="Times New Roman"/>
                <w:b/>
                <w:bCs/>
                <w:color w:val="000000"/>
                <w:sz w:val="20"/>
                <w:szCs w:val="20"/>
                <w:lang w:eastAsia="ar-SA"/>
              </w:rPr>
            </w:pPr>
            <w:r w:rsidRPr="00A07F29">
              <w:rPr>
                <w:rFonts w:ascii="Times New Roman" w:eastAsia="Calibri" w:hAnsi="Times New Roman" w:cs="Times New Roman"/>
                <w:b/>
                <w:bCs/>
                <w:color w:val="000000"/>
                <w:sz w:val="20"/>
                <w:szCs w:val="20"/>
                <w:lang w:eastAsia="ar-SA"/>
              </w:rPr>
              <w:t>U1X</w:t>
            </w:r>
          </w:p>
        </w:tc>
      </w:tr>
      <w:tr w:rsidR="0095136F" w:rsidRPr="00A07F29" w14:paraId="267A0DEC" w14:textId="77777777" w:rsidTr="004E3F0B">
        <w:trPr>
          <w:jc w:val="center"/>
        </w:trPr>
        <w:tc>
          <w:tcPr>
            <w:tcW w:w="571" w:type="dxa"/>
          </w:tcPr>
          <w:p w14:paraId="15505CC0" w14:textId="77777777" w:rsidR="0095136F" w:rsidRPr="00A07F29" w:rsidRDefault="0095136F" w:rsidP="00F87589">
            <w:pPr>
              <w:numPr>
                <w:ilvl w:val="0"/>
                <w:numId w:val="22"/>
              </w:numPr>
              <w:suppressAutoHyphens/>
              <w:spacing w:after="0" w:line="240" w:lineRule="auto"/>
              <w:contextualSpacing/>
              <w:jc w:val="center"/>
              <w:rPr>
                <w:rFonts w:ascii="Times New Roman" w:eastAsia="Calibri" w:hAnsi="Times New Roman" w:cs="Times New Roman"/>
                <w:color w:val="000000"/>
                <w:sz w:val="20"/>
                <w:szCs w:val="20"/>
                <w:lang w:eastAsia="ar-SA"/>
              </w:rPr>
            </w:pPr>
          </w:p>
        </w:tc>
        <w:tc>
          <w:tcPr>
            <w:tcW w:w="2118" w:type="dxa"/>
            <w:shd w:val="clear" w:color="auto" w:fill="FFFFFF"/>
          </w:tcPr>
          <w:p w14:paraId="4702E8D2" w14:textId="77777777" w:rsidR="0095136F" w:rsidRPr="00A07F29" w:rsidRDefault="0095136F" w:rsidP="004E3F0B">
            <w:pPr>
              <w:suppressAutoHyphens/>
              <w:spacing w:after="0" w:line="240" w:lineRule="auto"/>
              <w:rPr>
                <w:rFonts w:ascii="Times New Roman" w:eastAsia="Calibri" w:hAnsi="Times New Roman" w:cs="Times New Roman"/>
                <w:color w:val="000000"/>
                <w:spacing w:val="1"/>
                <w:sz w:val="20"/>
                <w:szCs w:val="20"/>
                <w:lang w:eastAsia="ar-SA"/>
              </w:rPr>
            </w:pPr>
            <w:proofErr w:type="spellStart"/>
            <w:r w:rsidRPr="00A07F29">
              <w:rPr>
                <w:rFonts w:ascii="Times New Roman" w:eastAsia="Calibri" w:hAnsi="Times New Roman" w:cs="Times New Roman"/>
                <w:color w:val="000000"/>
                <w:sz w:val="20"/>
                <w:szCs w:val="20"/>
                <w:lang w:eastAsia="ar-SA"/>
              </w:rPr>
              <w:t>Dzeltenkāju</w:t>
            </w:r>
            <w:proofErr w:type="spellEnd"/>
            <w:r w:rsidRPr="00A07F29">
              <w:rPr>
                <w:rFonts w:ascii="Times New Roman" w:eastAsia="Calibri" w:hAnsi="Times New Roman" w:cs="Times New Roman"/>
                <w:color w:val="000000"/>
                <w:sz w:val="20"/>
                <w:szCs w:val="20"/>
                <w:lang w:eastAsia="ar-SA"/>
              </w:rPr>
              <w:t xml:space="preserve"> </w:t>
            </w:r>
            <w:proofErr w:type="spellStart"/>
            <w:r w:rsidRPr="00A07F29">
              <w:rPr>
                <w:rFonts w:ascii="Times New Roman" w:eastAsia="Calibri" w:hAnsi="Times New Roman" w:cs="Times New Roman"/>
                <w:color w:val="000000"/>
                <w:sz w:val="20"/>
                <w:szCs w:val="20"/>
                <w:lang w:eastAsia="ar-SA"/>
              </w:rPr>
              <w:t>upjuspāre</w:t>
            </w:r>
            <w:proofErr w:type="spellEnd"/>
            <w:r w:rsidRPr="00A07F29">
              <w:rPr>
                <w:rFonts w:ascii="Times New Roman" w:eastAsia="Calibri" w:hAnsi="Times New Roman" w:cs="Times New Roman"/>
                <w:i/>
                <w:iCs/>
                <w:color w:val="000000"/>
                <w:sz w:val="20"/>
                <w:szCs w:val="20"/>
                <w:lang w:eastAsia="ar-SA"/>
              </w:rPr>
              <w:t xml:space="preserve"> </w:t>
            </w:r>
            <w:proofErr w:type="spellStart"/>
            <w:r w:rsidRPr="00A07F29">
              <w:rPr>
                <w:rFonts w:ascii="Times New Roman" w:eastAsia="Calibri" w:hAnsi="Times New Roman" w:cs="Times New Roman"/>
                <w:i/>
                <w:iCs/>
                <w:color w:val="000000"/>
                <w:sz w:val="20"/>
                <w:szCs w:val="20"/>
                <w:lang w:eastAsia="ar-SA"/>
              </w:rPr>
              <w:t>Gomphus</w:t>
            </w:r>
            <w:proofErr w:type="spellEnd"/>
            <w:r w:rsidRPr="00A07F29">
              <w:rPr>
                <w:rFonts w:ascii="Times New Roman" w:eastAsia="Calibri" w:hAnsi="Times New Roman" w:cs="Times New Roman"/>
                <w:i/>
                <w:iCs/>
                <w:color w:val="000000"/>
                <w:sz w:val="20"/>
                <w:szCs w:val="20"/>
                <w:lang w:eastAsia="ar-SA"/>
              </w:rPr>
              <w:t xml:space="preserve"> </w:t>
            </w:r>
            <w:proofErr w:type="spellStart"/>
            <w:r w:rsidRPr="00A07F29">
              <w:rPr>
                <w:rFonts w:ascii="Times New Roman" w:eastAsia="Calibri" w:hAnsi="Times New Roman" w:cs="Times New Roman"/>
                <w:i/>
                <w:iCs/>
                <w:color w:val="000000"/>
                <w:sz w:val="20"/>
                <w:szCs w:val="20"/>
                <w:lang w:eastAsia="ar-SA"/>
              </w:rPr>
              <w:t>flavipes</w:t>
            </w:r>
            <w:proofErr w:type="spellEnd"/>
          </w:p>
        </w:tc>
        <w:tc>
          <w:tcPr>
            <w:tcW w:w="580" w:type="dxa"/>
            <w:shd w:val="clear" w:color="auto" w:fill="FFFFFF"/>
          </w:tcPr>
          <w:p w14:paraId="55AAAD89" w14:textId="77777777" w:rsidR="0095136F" w:rsidRPr="00A07F29" w:rsidRDefault="0095136F" w:rsidP="004E3F0B">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IV</w:t>
            </w:r>
          </w:p>
        </w:tc>
        <w:tc>
          <w:tcPr>
            <w:tcW w:w="851" w:type="dxa"/>
            <w:shd w:val="clear" w:color="auto" w:fill="FFFFFF"/>
          </w:tcPr>
          <w:p w14:paraId="0FD0342B" w14:textId="77777777" w:rsidR="0095136F" w:rsidRPr="00A07F29" w:rsidRDefault="0095136F" w:rsidP="004E3F0B">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30</w:t>
            </w:r>
          </w:p>
        </w:tc>
        <w:tc>
          <w:tcPr>
            <w:tcW w:w="850" w:type="dxa"/>
            <w:shd w:val="clear" w:color="auto" w:fill="FFFFFF"/>
          </w:tcPr>
          <w:p w14:paraId="416E0F77" w14:textId="77777777" w:rsidR="0095136F" w:rsidRPr="00A07F29" w:rsidRDefault="0095136F" w:rsidP="004E3F0B">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500</w:t>
            </w:r>
          </w:p>
        </w:tc>
        <w:tc>
          <w:tcPr>
            <w:tcW w:w="1702" w:type="dxa"/>
            <w:shd w:val="clear" w:color="auto" w:fill="FFFFFF"/>
          </w:tcPr>
          <w:p w14:paraId="36542AC3" w14:textId="77777777" w:rsidR="0095136F" w:rsidRPr="00A07F29" w:rsidRDefault="0095136F" w:rsidP="004E3F0B">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100 % ≥ p &gt; 15 %</w:t>
            </w:r>
          </w:p>
        </w:tc>
        <w:tc>
          <w:tcPr>
            <w:tcW w:w="1559" w:type="dxa"/>
            <w:shd w:val="clear" w:color="auto" w:fill="FFFFFF"/>
          </w:tcPr>
          <w:p w14:paraId="55F94F35" w14:textId="77777777" w:rsidR="0095136F" w:rsidRPr="00A07F29" w:rsidRDefault="0095136F" w:rsidP="004E3F0B">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15 % ≥ p &gt; 2 %</w:t>
            </w:r>
          </w:p>
        </w:tc>
        <w:tc>
          <w:tcPr>
            <w:tcW w:w="992" w:type="dxa"/>
            <w:shd w:val="clear" w:color="auto" w:fill="FFFFFF"/>
          </w:tcPr>
          <w:p w14:paraId="58609253" w14:textId="77777777" w:rsidR="0095136F" w:rsidRPr="00A07F29" w:rsidRDefault="0095136F" w:rsidP="004E3F0B">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100 ha</w:t>
            </w:r>
          </w:p>
        </w:tc>
        <w:tc>
          <w:tcPr>
            <w:tcW w:w="1701" w:type="dxa"/>
            <w:shd w:val="clear" w:color="auto" w:fill="FFFFFF"/>
          </w:tcPr>
          <w:p w14:paraId="0BDA4D7A" w14:textId="77777777" w:rsidR="0095136F" w:rsidRPr="00A07F29" w:rsidRDefault="0095136F" w:rsidP="004E3F0B">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100 % ≥ p &gt; 15 %</w:t>
            </w:r>
          </w:p>
        </w:tc>
        <w:tc>
          <w:tcPr>
            <w:tcW w:w="1262" w:type="dxa"/>
            <w:shd w:val="clear" w:color="auto" w:fill="FFC000"/>
            <w:vAlign w:val="center"/>
          </w:tcPr>
          <w:p w14:paraId="50DAF432" w14:textId="461C0F62" w:rsidR="0095136F" w:rsidRPr="00A07F29" w:rsidRDefault="0095136F" w:rsidP="006356B6">
            <w:pPr>
              <w:suppressAutoHyphens/>
              <w:spacing w:after="0" w:line="240" w:lineRule="auto"/>
              <w:jc w:val="center"/>
              <w:rPr>
                <w:rFonts w:ascii="Times New Roman" w:eastAsia="Calibri" w:hAnsi="Times New Roman" w:cs="Times New Roman"/>
                <w:b/>
                <w:bCs/>
                <w:color w:val="000000"/>
                <w:sz w:val="20"/>
                <w:szCs w:val="20"/>
                <w:lang w:eastAsia="ar-SA"/>
              </w:rPr>
            </w:pPr>
            <w:r w:rsidRPr="00A07F29">
              <w:rPr>
                <w:rFonts w:ascii="Times New Roman" w:eastAsia="Calibri" w:hAnsi="Times New Roman" w:cs="Times New Roman"/>
                <w:b/>
                <w:bCs/>
                <w:color w:val="000000"/>
                <w:sz w:val="20"/>
                <w:szCs w:val="20"/>
                <w:lang w:eastAsia="ar-SA"/>
              </w:rPr>
              <w:t>U1</w:t>
            </w:r>
            <w:r w:rsidR="006356B6" w:rsidRPr="00A07F29">
              <w:rPr>
                <w:rFonts w:ascii="Times New Roman" w:eastAsia="Calibri" w:hAnsi="Times New Roman" w:cs="Times New Roman"/>
                <w:b/>
                <w:bCs/>
                <w:color w:val="000000"/>
                <w:sz w:val="20"/>
                <w:szCs w:val="20"/>
                <w:lang w:eastAsia="ar-SA"/>
              </w:rPr>
              <w:t>S</w:t>
            </w:r>
          </w:p>
        </w:tc>
        <w:tc>
          <w:tcPr>
            <w:tcW w:w="1417" w:type="dxa"/>
            <w:shd w:val="clear" w:color="auto" w:fill="FFC000"/>
            <w:vAlign w:val="center"/>
          </w:tcPr>
          <w:p w14:paraId="7AD708D0" w14:textId="259AD104" w:rsidR="0095136F" w:rsidRPr="00A07F29" w:rsidRDefault="0095136F" w:rsidP="006356B6">
            <w:pPr>
              <w:suppressAutoHyphens/>
              <w:spacing w:after="0" w:line="240" w:lineRule="auto"/>
              <w:jc w:val="center"/>
              <w:rPr>
                <w:rFonts w:ascii="Times New Roman" w:eastAsia="Calibri" w:hAnsi="Times New Roman" w:cs="Times New Roman"/>
                <w:b/>
                <w:bCs/>
                <w:color w:val="000000"/>
                <w:sz w:val="20"/>
                <w:szCs w:val="20"/>
                <w:lang w:eastAsia="ar-SA"/>
              </w:rPr>
            </w:pPr>
            <w:r w:rsidRPr="00A07F29">
              <w:rPr>
                <w:rFonts w:ascii="Times New Roman" w:eastAsia="Calibri" w:hAnsi="Times New Roman" w:cs="Times New Roman"/>
                <w:b/>
                <w:bCs/>
                <w:color w:val="000000"/>
                <w:sz w:val="20"/>
                <w:szCs w:val="20"/>
                <w:lang w:eastAsia="ar-SA"/>
              </w:rPr>
              <w:t>U1</w:t>
            </w:r>
            <w:r w:rsidR="006356B6" w:rsidRPr="00A07F29">
              <w:rPr>
                <w:rFonts w:ascii="Times New Roman" w:eastAsia="Calibri" w:hAnsi="Times New Roman" w:cs="Times New Roman"/>
                <w:b/>
                <w:bCs/>
                <w:color w:val="000000"/>
                <w:sz w:val="20"/>
                <w:szCs w:val="20"/>
                <w:lang w:eastAsia="ar-SA"/>
              </w:rPr>
              <w:t>S</w:t>
            </w:r>
          </w:p>
        </w:tc>
      </w:tr>
      <w:tr w:rsidR="0095136F" w:rsidRPr="00A07F29" w14:paraId="4681320C" w14:textId="77777777" w:rsidTr="004E3F0B">
        <w:trPr>
          <w:jc w:val="center"/>
        </w:trPr>
        <w:tc>
          <w:tcPr>
            <w:tcW w:w="571" w:type="dxa"/>
          </w:tcPr>
          <w:p w14:paraId="3374E20A" w14:textId="77777777" w:rsidR="0095136F" w:rsidRPr="00A07F29" w:rsidRDefault="0095136F" w:rsidP="00F87589">
            <w:pPr>
              <w:numPr>
                <w:ilvl w:val="0"/>
                <w:numId w:val="22"/>
              </w:numPr>
              <w:suppressAutoHyphens/>
              <w:spacing w:after="0" w:line="240" w:lineRule="auto"/>
              <w:contextualSpacing/>
              <w:jc w:val="center"/>
              <w:rPr>
                <w:rFonts w:ascii="Times New Roman" w:eastAsia="Calibri" w:hAnsi="Times New Roman" w:cs="Times New Roman"/>
                <w:color w:val="000000"/>
                <w:sz w:val="20"/>
                <w:szCs w:val="20"/>
                <w:lang w:eastAsia="ar-SA"/>
              </w:rPr>
            </w:pPr>
          </w:p>
        </w:tc>
        <w:tc>
          <w:tcPr>
            <w:tcW w:w="2118" w:type="dxa"/>
            <w:shd w:val="clear" w:color="auto" w:fill="FFFFFF"/>
          </w:tcPr>
          <w:p w14:paraId="2610622A" w14:textId="77777777" w:rsidR="0095136F" w:rsidRPr="00A07F29" w:rsidRDefault="0095136F" w:rsidP="004E3F0B">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iCs/>
                <w:color w:val="000000"/>
                <w:sz w:val="20"/>
                <w:szCs w:val="20"/>
                <w:lang w:eastAsia="ar-SA"/>
              </w:rPr>
              <w:t xml:space="preserve">Resnvēdera </w:t>
            </w:r>
            <w:proofErr w:type="spellStart"/>
            <w:r w:rsidRPr="00A07F29">
              <w:rPr>
                <w:rFonts w:ascii="Times New Roman" w:eastAsia="Calibri" w:hAnsi="Times New Roman" w:cs="Times New Roman"/>
                <w:iCs/>
                <w:color w:val="000000"/>
                <w:sz w:val="20"/>
                <w:szCs w:val="20"/>
                <w:lang w:eastAsia="ar-SA"/>
              </w:rPr>
              <w:t>purvuspāre</w:t>
            </w:r>
            <w:proofErr w:type="spellEnd"/>
            <w:r w:rsidRPr="00A07F29">
              <w:rPr>
                <w:rFonts w:ascii="Times New Roman" w:eastAsia="Calibri" w:hAnsi="Times New Roman" w:cs="Times New Roman"/>
                <w:i/>
                <w:iCs/>
                <w:color w:val="000000"/>
                <w:sz w:val="20"/>
                <w:szCs w:val="20"/>
                <w:lang w:eastAsia="ar-SA"/>
              </w:rPr>
              <w:t xml:space="preserve"> </w:t>
            </w:r>
            <w:proofErr w:type="spellStart"/>
            <w:r w:rsidRPr="00A07F29">
              <w:rPr>
                <w:rFonts w:ascii="Times New Roman" w:eastAsia="Calibri" w:hAnsi="Times New Roman" w:cs="Times New Roman"/>
                <w:i/>
                <w:iCs/>
                <w:color w:val="000000"/>
                <w:sz w:val="20"/>
                <w:szCs w:val="20"/>
                <w:lang w:eastAsia="ar-SA"/>
              </w:rPr>
              <w:t>Leucorrhinia</w:t>
            </w:r>
            <w:proofErr w:type="spellEnd"/>
            <w:r w:rsidRPr="00A07F29">
              <w:rPr>
                <w:rFonts w:ascii="Times New Roman" w:eastAsia="Calibri" w:hAnsi="Times New Roman" w:cs="Times New Roman"/>
                <w:i/>
                <w:iCs/>
                <w:color w:val="000000"/>
                <w:sz w:val="20"/>
                <w:szCs w:val="20"/>
                <w:lang w:eastAsia="ar-SA"/>
              </w:rPr>
              <w:t xml:space="preserve"> </w:t>
            </w:r>
            <w:proofErr w:type="spellStart"/>
            <w:r w:rsidRPr="00A07F29">
              <w:rPr>
                <w:rFonts w:ascii="Times New Roman" w:eastAsia="Calibri" w:hAnsi="Times New Roman" w:cs="Times New Roman"/>
                <w:i/>
                <w:iCs/>
                <w:color w:val="000000"/>
                <w:sz w:val="20"/>
                <w:szCs w:val="20"/>
                <w:lang w:eastAsia="ar-SA"/>
              </w:rPr>
              <w:t>caudalis</w:t>
            </w:r>
            <w:proofErr w:type="spellEnd"/>
          </w:p>
        </w:tc>
        <w:tc>
          <w:tcPr>
            <w:tcW w:w="580" w:type="dxa"/>
            <w:shd w:val="clear" w:color="auto" w:fill="FFFFFF"/>
          </w:tcPr>
          <w:p w14:paraId="5D92B880" w14:textId="77777777" w:rsidR="0095136F" w:rsidRPr="00A07F29" w:rsidRDefault="0095136F" w:rsidP="004E3F0B">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IV</w:t>
            </w:r>
          </w:p>
        </w:tc>
        <w:tc>
          <w:tcPr>
            <w:tcW w:w="851" w:type="dxa"/>
            <w:shd w:val="clear" w:color="auto" w:fill="FFFFFF"/>
          </w:tcPr>
          <w:p w14:paraId="60BCFF22" w14:textId="77777777" w:rsidR="0095136F" w:rsidRPr="00A07F29" w:rsidRDefault="0095136F" w:rsidP="004E3F0B">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366</w:t>
            </w:r>
          </w:p>
        </w:tc>
        <w:tc>
          <w:tcPr>
            <w:tcW w:w="850" w:type="dxa"/>
            <w:shd w:val="clear" w:color="auto" w:fill="FFFFFF"/>
          </w:tcPr>
          <w:p w14:paraId="4D94A620" w14:textId="77777777" w:rsidR="0095136F" w:rsidRPr="00A07F29" w:rsidRDefault="0095136F" w:rsidP="004E3F0B">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500</w:t>
            </w:r>
          </w:p>
        </w:tc>
        <w:tc>
          <w:tcPr>
            <w:tcW w:w="1702" w:type="dxa"/>
            <w:shd w:val="clear" w:color="auto" w:fill="FFFFFF"/>
          </w:tcPr>
          <w:p w14:paraId="5AB5ED3E" w14:textId="77777777" w:rsidR="0095136F" w:rsidRPr="00A07F29" w:rsidRDefault="0095136F" w:rsidP="004E3F0B">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2 % ≥ p &gt; 0 %</w:t>
            </w:r>
          </w:p>
        </w:tc>
        <w:tc>
          <w:tcPr>
            <w:tcW w:w="1559" w:type="dxa"/>
            <w:shd w:val="clear" w:color="auto" w:fill="FFFFFF"/>
          </w:tcPr>
          <w:p w14:paraId="105B58A4" w14:textId="77777777" w:rsidR="0095136F" w:rsidRPr="00A07F29" w:rsidRDefault="0095136F" w:rsidP="004E3F0B">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2 % ≥ p &gt; 0 %</w:t>
            </w:r>
          </w:p>
        </w:tc>
        <w:tc>
          <w:tcPr>
            <w:tcW w:w="992" w:type="dxa"/>
            <w:shd w:val="clear" w:color="auto" w:fill="FFFFFF"/>
          </w:tcPr>
          <w:p w14:paraId="1B643B63" w14:textId="77777777" w:rsidR="0095136F" w:rsidRPr="00A07F29" w:rsidRDefault="0095136F" w:rsidP="004E3F0B">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7 ha</w:t>
            </w:r>
          </w:p>
        </w:tc>
        <w:tc>
          <w:tcPr>
            <w:tcW w:w="1701" w:type="dxa"/>
            <w:shd w:val="clear" w:color="auto" w:fill="FFFFFF"/>
          </w:tcPr>
          <w:p w14:paraId="6F46F418" w14:textId="77777777" w:rsidR="0095136F" w:rsidRPr="00A07F29" w:rsidRDefault="0095136F" w:rsidP="004E3F0B">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2 % ≥ p &gt; 0 %</w:t>
            </w:r>
          </w:p>
        </w:tc>
        <w:tc>
          <w:tcPr>
            <w:tcW w:w="1262" w:type="dxa"/>
            <w:shd w:val="clear" w:color="auto" w:fill="FFC000"/>
            <w:vAlign w:val="center"/>
          </w:tcPr>
          <w:p w14:paraId="100F203A" w14:textId="77777777" w:rsidR="0095136F" w:rsidRPr="00A07F29" w:rsidRDefault="0095136F" w:rsidP="004E3F0B">
            <w:pPr>
              <w:suppressAutoHyphens/>
              <w:spacing w:after="0" w:line="240" w:lineRule="auto"/>
              <w:jc w:val="center"/>
              <w:rPr>
                <w:rFonts w:ascii="Times New Roman" w:eastAsia="Calibri" w:hAnsi="Times New Roman" w:cs="Times New Roman"/>
                <w:b/>
                <w:bCs/>
                <w:color w:val="000000"/>
                <w:sz w:val="20"/>
                <w:szCs w:val="20"/>
                <w:lang w:eastAsia="ar-SA"/>
              </w:rPr>
            </w:pPr>
            <w:r w:rsidRPr="00A07F29">
              <w:rPr>
                <w:rFonts w:ascii="Times New Roman" w:eastAsia="Calibri" w:hAnsi="Times New Roman" w:cs="Times New Roman"/>
                <w:b/>
                <w:bCs/>
                <w:color w:val="000000"/>
                <w:sz w:val="20"/>
                <w:szCs w:val="20"/>
                <w:lang w:eastAsia="ar-SA"/>
              </w:rPr>
              <w:t>U1X</w:t>
            </w:r>
          </w:p>
        </w:tc>
        <w:tc>
          <w:tcPr>
            <w:tcW w:w="1417" w:type="dxa"/>
            <w:shd w:val="clear" w:color="auto" w:fill="FFC000"/>
            <w:vAlign w:val="center"/>
          </w:tcPr>
          <w:p w14:paraId="2F540CF0" w14:textId="77777777" w:rsidR="0095136F" w:rsidRPr="00A07F29" w:rsidRDefault="0095136F" w:rsidP="004E3F0B">
            <w:pPr>
              <w:suppressAutoHyphens/>
              <w:spacing w:after="0" w:line="240" w:lineRule="auto"/>
              <w:jc w:val="center"/>
              <w:rPr>
                <w:rFonts w:ascii="Times New Roman" w:eastAsia="Calibri" w:hAnsi="Times New Roman" w:cs="Times New Roman"/>
                <w:b/>
                <w:bCs/>
                <w:color w:val="000000"/>
                <w:sz w:val="20"/>
                <w:szCs w:val="20"/>
                <w:lang w:eastAsia="ar-SA"/>
              </w:rPr>
            </w:pPr>
            <w:r w:rsidRPr="00A07F29">
              <w:rPr>
                <w:rFonts w:ascii="Times New Roman" w:eastAsia="Calibri" w:hAnsi="Times New Roman" w:cs="Times New Roman"/>
                <w:b/>
                <w:bCs/>
                <w:color w:val="000000"/>
                <w:sz w:val="20"/>
                <w:szCs w:val="20"/>
                <w:lang w:eastAsia="ar-SA"/>
              </w:rPr>
              <w:t>U1X</w:t>
            </w:r>
          </w:p>
        </w:tc>
      </w:tr>
      <w:tr w:rsidR="0095136F" w:rsidRPr="00A07F29" w14:paraId="15C16C34" w14:textId="77777777" w:rsidTr="004E3F0B">
        <w:trPr>
          <w:jc w:val="center"/>
        </w:trPr>
        <w:tc>
          <w:tcPr>
            <w:tcW w:w="571" w:type="dxa"/>
          </w:tcPr>
          <w:p w14:paraId="6569CE8C" w14:textId="77777777" w:rsidR="0095136F" w:rsidRPr="00A07F29" w:rsidRDefault="0095136F" w:rsidP="00F87589">
            <w:pPr>
              <w:numPr>
                <w:ilvl w:val="0"/>
                <w:numId w:val="22"/>
              </w:numPr>
              <w:suppressAutoHyphens/>
              <w:spacing w:after="0" w:line="240" w:lineRule="auto"/>
              <w:contextualSpacing/>
              <w:jc w:val="center"/>
              <w:rPr>
                <w:rFonts w:ascii="Times New Roman" w:eastAsia="Calibri" w:hAnsi="Times New Roman" w:cs="Times New Roman"/>
                <w:color w:val="000000"/>
                <w:sz w:val="20"/>
                <w:szCs w:val="20"/>
                <w:lang w:eastAsia="ar-SA"/>
              </w:rPr>
            </w:pPr>
          </w:p>
        </w:tc>
        <w:tc>
          <w:tcPr>
            <w:tcW w:w="2118" w:type="dxa"/>
            <w:shd w:val="clear" w:color="auto" w:fill="FFFFFF"/>
          </w:tcPr>
          <w:p w14:paraId="2725C90C" w14:textId="77777777" w:rsidR="0095136F" w:rsidRPr="00A07F29" w:rsidRDefault="0095136F" w:rsidP="004E3F0B">
            <w:pPr>
              <w:suppressAutoHyphens/>
              <w:spacing w:after="0" w:line="240" w:lineRule="auto"/>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iCs/>
                <w:color w:val="000000"/>
                <w:sz w:val="20"/>
                <w:szCs w:val="20"/>
                <w:lang w:eastAsia="ar-SA"/>
              </w:rPr>
              <w:t xml:space="preserve">Spilgtā </w:t>
            </w:r>
            <w:proofErr w:type="spellStart"/>
            <w:r w:rsidRPr="00A07F29">
              <w:rPr>
                <w:rFonts w:ascii="Times New Roman" w:eastAsia="Calibri" w:hAnsi="Times New Roman" w:cs="Times New Roman"/>
                <w:iCs/>
                <w:color w:val="000000"/>
                <w:sz w:val="20"/>
                <w:szCs w:val="20"/>
                <w:lang w:eastAsia="ar-SA"/>
              </w:rPr>
              <w:t>purvuspāre</w:t>
            </w:r>
            <w:proofErr w:type="spellEnd"/>
            <w:r w:rsidRPr="00A07F29">
              <w:rPr>
                <w:rFonts w:ascii="Times New Roman" w:eastAsia="Calibri" w:hAnsi="Times New Roman" w:cs="Times New Roman"/>
                <w:i/>
                <w:iCs/>
                <w:color w:val="000000"/>
                <w:sz w:val="20"/>
                <w:szCs w:val="20"/>
                <w:lang w:eastAsia="ar-SA"/>
              </w:rPr>
              <w:t xml:space="preserve"> </w:t>
            </w:r>
            <w:proofErr w:type="spellStart"/>
            <w:r w:rsidRPr="00A07F29">
              <w:rPr>
                <w:rFonts w:ascii="Times New Roman" w:eastAsia="Calibri" w:hAnsi="Times New Roman" w:cs="Times New Roman"/>
                <w:i/>
                <w:iCs/>
                <w:color w:val="000000"/>
                <w:sz w:val="20"/>
                <w:szCs w:val="20"/>
                <w:lang w:eastAsia="ar-SA"/>
              </w:rPr>
              <w:t>Leucorrhinia</w:t>
            </w:r>
            <w:proofErr w:type="spellEnd"/>
            <w:r w:rsidRPr="00A07F29">
              <w:rPr>
                <w:rFonts w:ascii="Times New Roman" w:eastAsia="Calibri" w:hAnsi="Times New Roman" w:cs="Times New Roman"/>
                <w:i/>
                <w:iCs/>
                <w:color w:val="000000"/>
                <w:sz w:val="20"/>
                <w:szCs w:val="20"/>
                <w:lang w:eastAsia="ar-SA"/>
              </w:rPr>
              <w:t xml:space="preserve"> </w:t>
            </w:r>
            <w:proofErr w:type="spellStart"/>
            <w:r w:rsidRPr="00A07F29">
              <w:rPr>
                <w:rFonts w:ascii="Times New Roman" w:eastAsia="Calibri" w:hAnsi="Times New Roman" w:cs="Times New Roman"/>
                <w:i/>
                <w:iCs/>
                <w:color w:val="000000"/>
                <w:sz w:val="20"/>
                <w:szCs w:val="20"/>
                <w:lang w:eastAsia="ar-SA"/>
              </w:rPr>
              <w:t>pectoralis</w:t>
            </w:r>
            <w:proofErr w:type="spellEnd"/>
          </w:p>
        </w:tc>
        <w:tc>
          <w:tcPr>
            <w:tcW w:w="580" w:type="dxa"/>
            <w:shd w:val="clear" w:color="auto" w:fill="FFFFFF"/>
          </w:tcPr>
          <w:p w14:paraId="6F9E9252" w14:textId="77777777" w:rsidR="0095136F" w:rsidRPr="00A07F29" w:rsidRDefault="0095136F" w:rsidP="004E3F0B">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II, IV</w:t>
            </w:r>
          </w:p>
        </w:tc>
        <w:tc>
          <w:tcPr>
            <w:tcW w:w="851" w:type="dxa"/>
            <w:shd w:val="clear" w:color="auto" w:fill="FFFFFF"/>
          </w:tcPr>
          <w:p w14:paraId="31604023" w14:textId="77777777" w:rsidR="0095136F" w:rsidRPr="00A07F29" w:rsidRDefault="0095136F" w:rsidP="004E3F0B">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510</w:t>
            </w:r>
          </w:p>
        </w:tc>
        <w:tc>
          <w:tcPr>
            <w:tcW w:w="850" w:type="dxa"/>
            <w:shd w:val="clear" w:color="auto" w:fill="FFFFFF"/>
          </w:tcPr>
          <w:p w14:paraId="54894B5E" w14:textId="77777777" w:rsidR="0095136F" w:rsidRPr="00A07F29" w:rsidRDefault="0095136F" w:rsidP="004E3F0B">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1000</w:t>
            </w:r>
          </w:p>
        </w:tc>
        <w:tc>
          <w:tcPr>
            <w:tcW w:w="1702" w:type="dxa"/>
            <w:shd w:val="clear" w:color="auto" w:fill="FFFFFF"/>
          </w:tcPr>
          <w:p w14:paraId="321D2805" w14:textId="77777777" w:rsidR="0095136F" w:rsidRPr="00A07F29" w:rsidRDefault="0095136F" w:rsidP="004E3F0B">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2 % ≥ p &gt; 0 %</w:t>
            </w:r>
          </w:p>
        </w:tc>
        <w:tc>
          <w:tcPr>
            <w:tcW w:w="1559" w:type="dxa"/>
            <w:shd w:val="clear" w:color="auto" w:fill="FFFFFF"/>
          </w:tcPr>
          <w:p w14:paraId="23951D9D" w14:textId="77777777" w:rsidR="0095136F" w:rsidRPr="00A07F29" w:rsidRDefault="0095136F" w:rsidP="004E3F0B">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2 % ≥ p &gt; 0 %</w:t>
            </w:r>
          </w:p>
        </w:tc>
        <w:tc>
          <w:tcPr>
            <w:tcW w:w="992" w:type="dxa"/>
            <w:shd w:val="clear" w:color="auto" w:fill="FFFFFF"/>
          </w:tcPr>
          <w:p w14:paraId="2A9DC2B0" w14:textId="77777777" w:rsidR="0095136F" w:rsidRPr="00A07F29" w:rsidRDefault="0095136F" w:rsidP="004E3F0B">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15 ha</w:t>
            </w:r>
          </w:p>
        </w:tc>
        <w:tc>
          <w:tcPr>
            <w:tcW w:w="1701" w:type="dxa"/>
            <w:shd w:val="clear" w:color="auto" w:fill="FFFFFF"/>
          </w:tcPr>
          <w:p w14:paraId="0142ABB0" w14:textId="77777777" w:rsidR="0095136F" w:rsidRPr="00A07F29" w:rsidRDefault="0095136F" w:rsidP="004E3F0B">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2 % ≥ p &gt; 0 %</w:t>
            </w:r>
          </w:p>
        </w:tc>
        <w:tc>
          <w:tcPr>
            <w:tcW w:w="1262" w:type="dxa"/>
            <w:shd w:val="clear" w:color="auto" w:fill="92D050"/>
            <w:vAlign w:val="center"/>
          </w:tcPr>
          <w:p w14:paraId="75C138EE" w14:textId="77777777" w:rsidR="0095136F" w:rsidRPr="00A07F29" w:rsidRDefault="0095136F" w:rsidP="004E3F0B">
            <w:pPr>
              <w:suppressAutoHyphens/>
              <w:spacing w:after="0" w:line="240" w:lineRule="auto"/>
              <w:jc w:val="center"/>
              <w:rPr>
                <w:rFonts w:ascii="Times New Roman" w:eastAsia="Calibri" w:hAnsi="Times New Roman" w:cs="Times New Roman"/>
                <w:b/>
                <w:bCs/>
                <w:color w:val="000000"/>
                <w:sz w:val="20"/>
                <w:szCs w:val="20"/>
                <w:lang w:eastAsia="ar-SA"/>
              </w:rPr>
            </w:pPr>
            <w:r w:rsidRPr="00A07F29">
              <w:rPr>
                <w:rFonts w:ascii="Times New Roman" w:eastAsia="Calibri" w:hAnsi="Times New Roman" w:cs="Times New Roman"/>
                <w:b/>
                <w:bCs/>
                <w:color w:val="000000"/>
                <w:sz w:val="20"/>
                <w:szCs w:val="20"/>
                <w:lang w:eastAsia="ar-SA"/>
              </w:rPr>
              <w:t>FVX</w:t>
            </w:r>
          </w:p>
        </w:tc>
        <w:tc>
          <w:tcPr>
            <w:tcW w:w="1417" w:type="dxa"/>
            <w:shd w:val="clear" w:color="auto" w:fill="92D050"/>
            <w:vAlign w:val="center"/>
          </w:tcPr>
          <w:p w14:paraId="10B1F2EF" w14:textId="77777777" w:rsidR="0095136F" w:rsidRPr="00A07F29" w:rsidRDefault="0095136F" w:rsidP="004E3F0B">
            <w:pPr>
              <w:suppressAutoHyphens/>
              <w:spacing w:after="0" w:line="240" w:lineRule="auto"/>
              <w:jc w:val="center"/>
              <w:rPr>
                <w:rFonts w:ascii="Times New Roman" w:eastAsia="Calibri" w:hAnsi="Times New Roman" w:cs="Times New Roman"/>
                <w:b/>
                <w:bCs/>
                <w:color w:val="000000"/>
                <w:sz w:val="20"/>
                <w:szCs w:val="20"/>
                <w:lang w:eastAsia="ar-SA"/>
              </w:rPr>
            </w:pPr>
            <w:r w:rsidRPr="00A07F29">
              <w:rPr>
                <w:rFonts w:ascii="Times New Roman" w:eastAsia="Calibri" w:hAnsi="Times New Roman" w:cs="Times New Roman"/>
                <w:b/>
                <w:bCs/>
                <w:color w:val="000000"/>
                <w:sz w:val="20"/>
                <w:szCs w:val="20"/>
                <w:lang w:eastAsia="ar-SA"/>
              </w:rPr>
              <w:t>FVX</w:t>
            </w:r>
          </w:p>
        </w:tc>
      </w:tr>
      <w:tr w:rsidR="0095136F" w:rsidRPr="00A07F29" w14:paraId="0860B16B" w14:textId="77777777" w:rsidTr="004E3F0B">
        <w:trPr>
          <w:jc w:val="center"/>
        </w:trPr>
        <w:tc>
          <w:tcPr>
            <w:tcW w:w="571" w:type="dxa"/>
          </w:tcPr>
          <w:p w14:paraId="3860D544" w14:textId="77777777" w:rsidR="0095136F" w:rsidRPr="00A07F29" w:rsidRDefault="0095136F" w:rsidP="00F87589">
            <w:pPr>
              <w:numPr>
                <w:ilvl w:val="0"/>
                <w:numId w:val="22"/>
              </w:numPr>
              <w:suppressAutoHyphens/>
              <w:spacing w:after="0" w:line="240" w:lineRule="auto"/>
              <w:contextualSpacing/>
              <w:jc w:val="center"/>
              <w:rPr>
                <w:rFonts w:ascii="Times New Roman" w:eastAsia="Calibri" w:hAnsi="Times New Roman" w:cs="Times New Roman"/>
                <w:color w:val="000000"/>
                <w:sz w:val="20"/>
                <w:szCs w:val="20"/>
                <w:lang w:eastAsia="ar-SA"/>
              </w:rPr>
            </w:pPr>
          </w:p>
        </w:tc>
        <w:tc>
          <w:tcPr>
            <w:tcW w:w="2118" w:type="dxa"/>
            <w:shd w:val="clear" w:color="auto" w:fill="FFFFFF"/>
          </w:tcPr>
          <w:p w14:paraId="75E26B64" w14:textId="77777777" w:rsidR="0095136F" w:rsidRPr="00A07F29" w:rsidRDefault="0095136F" w:rsidP="004E3F0B">
            <w:pPr>
              <w:suppressAutoHyphens/>
              <w:spacing w:after="0" w:line="240" w:lineRule="auto"/>
              <w:rPr>
                <w:rFonts w:ascii="Times New Roman" w:eastAsia="Calibri" w:hAnsi="Times New Roman" w:cs="Times New Roman"/>
                <w:iCs/>
                <w:color w:val="000000"/>
                <w:sz w:val="20"/>
                <w:szCs w:val="20"/>
                <w:lang w:eastAsia="ar-SA"/>
              </w:rPr>
            </w:pPr>
            <w:proofErr w:type="spellStart"/>
            <w:r w:rsidRPr="00A07F29">
              <w:rPr>
                <w:rFonts w:ascii="Times New Roman" w:eastAsia="Calibri" w:hAnsi="Times New Roman" w:cs="Times New Roman"/>
                <w:iCs/>
                <w:color w:val="000000"/>
                <w:sz w:val="20"/>
                <w:szCs w:val="20"/>
                <w:lang w:eastAsia="ar-SA"/>
              </w:rPr>
              <w:t>Raibgalvas</w:t>
            </w:r>
            <w:proofErr w:type="spellEnd"/>
            <w:r w:rsidRPr="00A07F29">
              <w:rPr>
                <w:rFonts w:ascii="Times New Roman" w:eastAsia="Calibri" w:hAnsi="Times New Roman" w:cs="Times New Roman"/>
                <w:iCs/>
                <w:color w:val="000000"/>
                <w:sz w:val="20"/>
                <w:szCs w:val="20"/>
                <w:lang w:eastAsia="ar-SA"/>
              </w:rPr>
              <w:t xml:space="preserve"> </w:t>
            </w:r>
            <w:proofErr w:type="spellStart"/>
            <w:r w:rsidRPr="00A07F29">
              <w:rPr>
                <w:rFonts w:ascii="Times New Roman" w:eastAsia="Calibri" w:hAnsi="Times New Roman" w:cs="Times New Roman"/>
                <w:iCs/>
                <w:color w:val="000000"/>
                <w:sz w:val="20"/>
                <w:szCs w:val="20"/>
                <w:lang w:eastAsia="ar-SA"/>
              </w:rPr>
              <w:t>purvuspāre</w:t>
            </w:r>
            <w:proofErr w:type="spellEnd"/>
          </w:p>
          <w:p w14:paraId="0A3EC56E" w14:textId="77777777" w:rsidR="0095136F" w:rsidRPr="00A07F29" w:rsidRDefault="0095136F" w:rsidP="004E3F0B">
            <w:pPr>
              <w:suppressAutoHyphens/>
              <w:spacing w:after="0" w:line="240" w:lineRule="auto"/>
              <w:rPr>
                <w:rFonts w:ascii="Times New Roman" w:eastAsia="Calibri" w:hAnsi="Times New Roman" w:cs="Times New Roman"/>
                <w:i/>
                <w:iCs/>
                <w:color w:val="000000"/>
                <w:sz w:val="20"/>
                <w:szCs w:val="20"/>
                <w:lang w:eastAsia="ar-SA"/>
              </w:rPr>
            </w:pPr>
            <w:proofErr w:type="spellStart"/>
            <w:r w:rsidRPr="00A07F29">
              <w:rPr>
                <w:rFonts w:ascii="Times New Roman" w:eastAsia="Calibri" w:hAnsi="Times New Roman" w:cs="Times New Roman"/>
                <w:i/>
                <w:iCs/>
                <w:color w:val="000000"/>
                <w:sz w:val="20"/>
                <w:szCs w:val="20"/>
                <w:lang w:eastAsia="ar-SA"/>
              </w:rPr>
              <w:t>Leucorrhinia</w:t>
            </w:r>
            <w:proofErr w:type="spellEnd"/>
          </w:p>
          <w:p w14:paraId="2528C83B" w14:textId="77777777" w:rsidR="0095136F" w:rsidRPr="00A07F29" w:rsidRDefault="0095136F" w:rsidP="004E3F0B">
            <w:pPr>
              <w:suppressAutoHyphens/>
              <w:spacing w:after="0" w:line="240" w:lineRule="auto"/>
              <w:rPr>
                <w:rFonts w:ascii="Times New Roman" w:eastAsia="Calibri" w:hAnsi="Times New Roman" w:cs="Times New Roman"/>
                <w:i/>
                <w:iCs/>
                <w:color w:val="000000"/>
                <w:sz w:val="20"/>
                <w:szCs w:val="20"/>
                <w:lang w:eastAsia="ar-SA"/>
              </w:rPr>
            </w:pPr>
            <w:proofErr w:type="spellStart"/>
            <w:r w:rsidRPr="00A07F29">
              <w:rPr>
                <w:rFonts w:ascii="Times New Roman" w:eastAsia="Calibri" w:hAnsi="Times New Roman" w:cs="Times New Roman"/>
                <w:i/>
                <w:iCs/>
                <w:color w:val="000000"/>
                <w:sz w:val="20"/>
                <w:szCs w:val="20"/>
                <w:lang w:eastAsia="ar-SA"/>
              </w:rPr>
              <w:t>albifrons</w:t>
            </w:r>
            <w:proofErr w:type="spellEnd"/>
          </w:p>
        </w:tc>
        <w:tc>
          <w:tcPr>
            <w:tcW w:w="580" w:type="dxa"/>
            <w:shd w:val="clear" w:color="auto" w:fill="FFFFFF"/>
          </w:tcPr>
          <w:p w14:paraId="28964CE9" w14:textId="77777777" w:rsidR="0095136F" w:rsidRPr="00A07F29" w:rsidRDefault="0095136F" w:rsidP="004E3F0B">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IV</w:t>
            </w:r>
          </w:p>
        </w:tc>
        <w:tc>
          <w:tcPr>
            <w:tcW w:w="851" w:type="dxa"/>
            <w:shd w:val="clear" w:color="auto" w:fill="FFFFFF"/>
          </w:tcPr>
          <w:p w14:paraId="29115971" w14:textId="77777777" w:rsidR="0095136F" w:rsidRPr="00A07F29" w:rsidRDefault="0095136F" w:rsidP="004E3F0B">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483</w:t>
            </w:r>
          </w:p>
        </w:tc>
        <w:tc>
          <w:tcPr>
            <w:tcW w:w="850" w:type="dxa"/>
            <w:shd w:val="clear" w:color="auto" w:fill="FFFFFF"/>
          </w:tcPr>
          <w:p w14:paraId="19A112E1" w14:textId="77777777" w:rsidR="0095136F" w:rsidRPr="00A07F29" w:rsidRDefault="0095136F" w:rsidP="004E3F0B">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750</w:t>
            </w:r>
          </w:p>
        </w:tc>
        <w:tc>
          <w:tcPr>
            <w:tcW w:w="1702" w:type="dxa"/>
            <w:shd w:val="clear" w:color="auto" w:fill="FFFFFF"/>
          </w:tcPr>
          <w:p w14:paraId="535DF883" w14:textId="77777777" w:rsidR="0095136F" w:rsidRPr="00A07F29" w:rsidRDefault="0095136F" w:rsidP="004E3F0B">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2 % ≥ p &gt; 0 %</w:t>
            </w:r>
          </w:p>
        </w:tc>
        <w:tc>
          <w:tcPr>
            <w:tcW w:w="1559" w:type="dxa"/>
            <w:shd w:val="clear" w:color="auto" w:fill="FFFFFF"/>
          </w:tcPr>
          <w:p w14:paraId="57138AF6" w14:textId="77777777" w:rsidR="0095136F" w:rsidRPr="00A07F29" w:rsidRDefault="0095136F" w:rsidP="004E3F0B">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2 % ≥ p &gt; 0 %</w:t>
            </w:r>
          </w:p>
        </w:tc>
        <w:tc>
          <w:tcPr>
            <w:tcW w:w="992" w:type="dxa"/>
            <w:shd w:val="clear" w:color="auto" w:fill="FFFFFF"/>
          </w:tcPr>
          <w:p w14:paraId="23C6E340" w14:textId="77777777" w:rsidR="0095136F" w:rsidRPr="00A07F29" w:rsidRDefault="0095136F" w:rsidP="004E3F0B">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10 ha</w:t>
            </w:r>
          </w:p>
        </w:tc>
        <w:tc>
          <w:tcPr>
            <w:tcW w:w="1701" w:type="dxa"/>
            <w:shd w:val="clear" w:color="auto" w:fill="FFFFFF"/>
          </w:tcPr>
          <w:p w14:paraId="2008C699" w14:textId="77777777" w:rsidR="0095136F" w:rsidRPr="00A07F29" w:rsidRDefault="0095136F" w:rsidP="004E3F0B">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2 % ≥ p &gt; 0 %</w:t>
            </w:r>
          </w:p>
        </w:tc>
        <w:tc>
          <w:tcPr>
            <w:tcW w:w="1262" w:type="dxa"/>
            <w:shd w:val="clear" w:color="auto" w:fill="FFC000"/>
            <w:vAlign w:val="center"/>
          </w:tcPr>
          <w:p w14:paraId="0BB7A5D7" w14:textId="77777777" w:rsidR="0095136F" w:rsidRPr="00A07F29" w:rsidRDefault="0095136F" w:rsidP="004E3F0B">
            <w:pPr>
              <w:suppressAutoHyphens/>
              <w:spacing w:after="0" w:line="240" w:lineRule="auto"/>
              <w:jc w:val="center"/>
              <w:rPr>
                <w:rFonts w:ascii="Times New Roman" w:eastAsia="Calibri" w:hAnsi="Times New Roman" w:cs="Times New Roman"/>
                <w:b/>
                <w:bCs/>
                <w:color w:val="000000"/>
                <w:sz w:val="20"/>
                <w:szCs w:val="20"/>
                <w:lang w:eastAsia="ar-SA"/>
              </w:rPr>
            </w:pPr>
            <w:r w:rsidRPr="00A07F29">
              <w:rPr>
                <w:rFonts w:ascii="Times New Roman" w:eastAsia="Calibri" w:hAnsi="Times New Roman" w:cs="Times New Roman"/>
                <w:b/>
                <w:bCs/>
                <w:color w:val="000000"/>
                <w:sz w:val="20"/>
                <w:szCs w:val="20"/>
                <w:lang w:eastAsia="ar-SA"/>
              </w:rPr>
              <w:t>U1X</w:t>
            </w:r>
          </w:p>
        </w:tc>
        <w:tc>
          <w:tcPr>
            <w:tcW w:w="1417" w:type="dxa"/>
            <w:shd w:val="clear" w:color="auto" w:fill="FFC000"/>
            <w:vAlign w:val="center"/>
          </w:tcPr>
          <w:p w14:paraId="1F61DCCF" w14:textId="77777777" w:rsidR="0095136F" w:rsidRPr="00A07F29" w:rsidRDefault="0095136F" w:rsidP="004E3F0B">
            <w:pPr>
              <w:suppressAutoHyphens/>
              <w:spacing w:after="0" w:line="240" w:lineRule="auto"/>
              <w:jc w:val="center"/>
              <w:rPr>
                <w:rFonts w:ascii="Times New Roman" w:eastAsia="Calibri" w:hAnsi="Times New Roman" w:cs="Times New Roman"/>
                <w:b/>
                <w:bCs/>
                <w:color w:val="000000"/>
                <w:sz w:val="20"/>
                <w:szCs w:val="20"/>
                <w:lang w:eastAsia="ar-SA"/>
              </w:rPr>
            </w:pPr>
            <w:r w:rsidRPr="00A07F29">
              <w:rPr>
                <w:rFonts w:ascii="Times New Roman" w:eastAsia="Calibri" w:hAnsi="Times New Roman" w:cs="Times New Roman"/>
                <w:b/>
                <w:bCs/>
                <w:color w:val="000000"/>
                <w:sz w:val="20"/>
                <w:szCs w:val="20"/>
                <w:lang w:eastAsia="ar-SA"/>
              </w:rPr>
              <w:t>U1X</w:t>
            </w:r>
          </w:p>
        </w:tc>
      </w:tr>
      <w:tr w:rsidR="0095136F" w:rsidRPr="00A07F29" w14:paraId="18EE7E08" w14:textId="77777777" w:rsidTr="004E3F0B">
        <w:trPr>
          <w:jc w:val="center"/>
        </w:trPr>
        <w:tc>
          <w:tcPr>
            <w:tcW w:w="571" w:type="dxa"/>
          </w:tcPr>
          <w:p w14:paraId="0082FC8A" w14:textId="77777777" w:rsidR="0095136F" w:rsidRPr="00A07F29" w:rsidRDefault="0095136F" w:rsidP="00F87589">
            <w:pPr>
              <w:numPr>
                <w:ilvl w:val="0"/>
                <w:numId w:val="22"/>
              </w:numPr>
              <w:suppressAutoHyphens/>
              <w:spacing w:after="0" w:line="240" w:lineRule="auto"/>
              <w:contextualSpacing/>
              <w:jc w:val="center"/>
              <w:rPr>
                <w:rFonts w:ascii="Times New Roman" w:eastAsia="Calibri" w:hAnsi="Times New Roman" w:cs="Times New Roman"/>
                <w:color w:val="000000"/>
                <w:sz w:val="20"/>
                <w:szCs w:val="20"/>
                <w:lang w:eastAsia="ar-SA"/>
              </w:rPr>
            </w:pPr>
          </w:p>
        </w:tc>
        <w:tc>
          <w:tcPr>
            <w:tcW w:w="2118" w:type="dxa"/>
            <w:shd w:val="clear" w:color="auto" w:fill="FFFFFF"/>
          </w:tcPr>
          <w:p w14:paraId="3C1EE31F" w14:textId="77777777" w:rsidR="0095136F" w:rsidRPr="00A07F29" w:rsidRDefault="0095136F" w:rsidP="004E3F0B">
            <w:pPr>
              <w:suppressAutoHyphens/>
              <w:spacing w:after="0" w:line="240" w:lineRule="auto"/>
              <w:rPr>
                <w:rFonts w:ascii="Times New Roman" w:eastAsia="Calibri" w:hAnsi="Times New Roman" w:cs="Times New Roman"/>
                <w:i/>
                <w:iCs/>
                <w:color w:val="000000"/>
                <w:sz w:val="20"/>
                <w:szCs w:val="20"/>
                <w:lang w:eastAsia="ar-SA"/>
              </w:rPr>
            </w:pPr>
            <w:r w:rsidRPr="00A07F29">
              <w:rPr>
                <w:rFonts w:ascii="Times New Roman" w:eastAsia="Calibri" w:hAnsi="Times New Roman" w:cs="Times New Roman"/>
                <w:iCs/>
                <w:color w:val="000000"/>
                <w:sz w:val="20"/>
                <w:szCs w:val="20"/>
                <w:lang w:eastAsia="ar-SA"/>
              </w:rPr>
              <w:t xml:space="preserve">Zirgskābeņu </w:t>
            </w:r>
            <w:proofErr w:type="spellStart"/>
            <w:r w:rsidRPr="00A07F29">
              <w:rPr>
                <w:rFonts w:ascii="Times New Roman" w:eastAsia="Calibri" w:hAnsi="Times New Roman" w:cs="Times New Roman"/>
                <w:iCs/>
                <w:color w:val="000000"/>
                <w:sz w:val="20"/>
                <w:szCs w:val="20"/>
                <w:lang w:eastAsia="ar-SA"/>
              </w:rPr>
              <w:t>zilenītis</w:t>
            </w:r>
            <w:proofErr w:type="spellEnd"/>
            <w:r w:rsidRPr="00A07F29">
              <w:rPr>
                <w:rFonts w:ascii="Times New Roman" w:eastAsia="Calibri" w:hAnsi="Times New Roman" w:cs="Times New Roman"/>
                <w:i/>
                <w:iCs/>
                <w:color w:val="000000"/>
                <w:sz w:val="20"/>
                <w:szCs w:val="20"/>
                <w:lang w:eastAsia="ar-SA"/>
              </w:rPr>
              <w:t xml:space="preserve"> </w:t>
            </w:r>
            <w:proofErr w:type="spellStart"/>
            <w:r w:rsidRPr="00A07F29">
              <w:rPr>
                <w:rFonts w:ascii="Times New Roman" w:eastAsia="Calibri" w:hAnsi="Times New Roman" w:cs="Times New Roman"/>
                <w:i/>
                <w:iCs/>
                <w:color w:val="000000"/>
                <w:sz w:val="20"/>
                <w:szCs w:val="20"/>
                <w:lang w:eastAsia="ar-SA"/>
              </w:rPr>
              <w:t>Lycaena</w:t>
            </w:r>
            <w:proofErr w:type="spellEnd"/>
            <w:r w:rsidRPr="00A07F29">
              <w:rPr>
                <w:rFonts w:ascii="Times New Roman" w:eastAsia="Calibri" w:hAnsi="Times New Roman" w:cs="Times New Roman"/>
                <w:i/>
                <w:iCs/>
                <w:color w:val="000000"/>
                <w:sz w:val="20"/>
                <w:szCs w:val="20"/>
                <w:lang w:eastAsia="ar-SA"/>
              </w:rPr>
              <w:t xml:space="preserve"> </w:t>
            </w:r>
            <w:proofErr w:type="spellStart"/>
            <w:r w:rsidRPr="00A07F29">
              <w:rPr>
                <w:rFonts w:ascii="Times New Roman" w:eastAsia="Calibri" w:hAnsi="Times New Roman" w:cs="Times New Roman"/>
                <w:i/>
                <w:iCs/>
                <w:color w:val="000000"/>
                <w:sz w:val="20"/>
                <w:szCs w:val="20"/>
                <w:lang w:eastAsia="ar-SA"/>
              </w:rPr>
              <w:t>dispar</w:t>
            </w:r>
            <w:proofErr w:type="spellEnd"/>
          </w:p>
        </w:tc>
        <w:tc>
          <w:tcPr>
            <w:tcW w:w="580" w:type="dxa"/>
            <w:shd w:val="clear" w:color="auto" w:fill="FFFFFF"/>
          </w:tcPr>
          <w:p w14:paraId="07FBDD74" w14:textId="77777777" w:rsidR="0095136F" w:rsidRPr="00A07F29" w:rsidRDefault="0095136F" w:rsidP="004E3F0B">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II</w:t>
            </w:r>
          </w:p>
        </w:tc>
        <w:tc>
          <w:tcPr>
            <w:tcW w:w="851" w:type="dxa"/>
            <w:shd w:val="clear" w:color="auto" w:fill="FFFFFF"/>
          </w:tcPr>
          <w:p w14:paraId="646B6B21" w14:textId="77777777" w:rsidR="0095136F" w:rsidRPr="00A07F29" w:rsidRDefault="0095136F" w:rsidP="004E3F0B">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250</w:t>
            </w:r>
          </w:p>
        </w:tc>
        <w:tc>
          <w:tcPr>
            <w:tcW w:w="850" w:type="dxa"/>
            <w:shd w:val="clear" w:color="auto" w:fill="FFFFFF"/>
          </w:tcPr>
          <w:p w14:paraId="07F9AF7A" w14:textId="77777777" w:rsidR="0095136F" w:rsidRPr="00A07F29" w:rsidRDefault="0095136F" w:rsidP="004E3F0B">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500</w:t>
            </w:r>
          </w:p>
        </w:tc>
        <w:tc>
          <w:tcPr>
            <w:tcW w:w="1702" w:type="dxa"/>
            <w:shd w:val="clear" w:color="auto" w:fill="FFFFFF"/>
          </w:tcPr>
          <w:p w14:paraId="10CD90AC" w14:textId="77777777" w:rsidR="0095136F" w:rsidRPr="00A07F29" w:rsidRDefault="0095136F" w:rsidP="004E3F0B">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2 % ≥ p &gt; 0 %</w:t>
            </w:r>
          </w:p>
        </w:tc>
        <w:tc>
          <w:tcPr>
            <w:tcW w:w="1559" w:type="dxa"/>
            <w:shd w:val="clear" w:color="auto" w:fill="FFFFFF"/>
          </w:tcPr>
          <w:p w14:paraId="3933D68C" w14:textId="77777777" w:rsidR="0095136F" w:rsidRPr="00A07F29" w:rsidRDefault="0095136F" w:rsidP="004E3F0B">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2 % ≥ p &gt; 0 %</w:t>
            </w:r>
          </w:p>
        </w:tc>
        <w:tc>
          <w:tcPr>
            <w:tcW w:w="992" w:type="dxa"/>
            <w:shd w:val="clear" w:color="auto" w:fill="FFFFFF"/>
          </w:tcPr>
          <w:p w14:paraId="14BA9E51" w14:textId="77777777" w:rsidR="0095136F" w:rsidRPr="00A07F29" w:rsidRDefault="0095136F" w:rsidP="004E3F0B">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100 ha</w:t>
            </w:r>
          </w:p>
        </w:tc>
        <w:tc>
          <w:tcPr>
            <w:tcW w:w="1701" w:type="dxa"/>
            <w:shd w:val="clear" w:color="auto" w:fill="FFFFFF"/>
          </w:tcPr>
          <w:p w14:paraId="56583AA7" w14:textId="77777777" w:rsidR="0095136F" w:rsidRPr="00A07F29" w:rsidRDefault="0095136F" w:rsidP="004E3F0B">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2 % ≥ p &gt; 0 %</w:t>
            </w:r>
          </w:p>
        </w:tc>
        <w:tc>
          <w:tcPr>
            <w:tcW w:w="1262" w:type="dxa"/>
            <w:shd w:val="clear" w:color="auto" w:fill="92D050"/>
            <w:vAlign w:val="center"/>
          </w:tcPr>
          <w:p w14:paraId="11CEFF79" w14:textId="77777777" w:rsidR="0095136F" w:rsidRPr="00A07F29" w:rsidRDefault="0095136F" w:rsidP="004E3F0B">
            <w:pPr>
              <w:suppressAutoHyphens/>
              <w:spacing w:after="0" w:line="240" w:lineRule="auto"/>
              <w:jc w:val="center"/>
              <w:rPr>
                <w:rFonts w:ascii="Times New Roman" w:eastAsia="Calibri" w:hAnsi="Times New Roman" w:cs="Times New Roman"/>
                <w:b/>
                <w:bCs/>
                <w:color w:val="000000"/>
                <w:sz w:val="20"/>
                <w:szCs w:val="20"/>
                <w:lang w:eastAsia="ar-SA"/>
              </w:rPr>
            </w:pPr>
            <w:r w:rsidRPr="00A07F29">
              <w:rPr>
                <w:rFonts w:ascii="Times New Roman" w:eastAsia="Calibri" w:hAnsi="Times New Roman" w:cs="Times New Roman"/>
                <w:b/>
                <w:bCs/>
                <w:color w:val="000000"/>
                <w:sz w:val="20"/>
                <w:szCs w:val="20"/>
                <w:lang w:eastAsia="ar-SA"/>
              </w:rPr>
              <w:t>FVX</w:t>
            </w:r>
          </w:p>
        </w:tc>
        <w:tc>
          <w:tcPr>
            <w:tcW w:w="1417" w:type="dxa"/>
            <w:shd w:val="clear" w:color="auto" w:fill="FFC000"/>
            <w:vAlign w:val="center"/>
          </w:tcPr>
          <w:p w14:paraId="4D2B8086" w14:textId="77777777" w:rsidR="0095136F" w:rsidRPr="00A07F29" w:rsidRDefault="0095136F" w:rsidP="004E3F0B">
            <w:pPr>
              <w:suppressAutoHyphens/>
              <w:spacing w:after="0" w:line="240" w:lineRule="auto"/>
              <w:jc w:val="center"/>
              <w:rPr>
                <w:rFonts w:ascii="Times New Roman" w:eastAsia="Calibri" w:hAnsi="Times New Roman" w:cs="Times New Roman"/>
                <w:b/>
                <w:bCs/>
                <w:color w:val="000000"/>
                <w:sz w:val="20"/>
                <w:szCs w:val="20"/>
                <w:lang w:eastAsia="ar-SA"/>
              </w:rPr>
            </w:pPr>
            <w:r w:rsidRPr="00A07F29">
              <w:rPr>
                <w:rFonts w:ascii="Times New Roman" w:eastAsia="Calibri" w:hAnsi="Times New Roman" w:cs="Times New Roman"/>
                <w:b/>
                <w:bCs/>
                <w:color w:val="000000"/>
                <w:sz w:val="20"/>
                <w:szCs w:val="20"/>
                <w:lang w:eastAsia="ar-SA"/>
              </w:rPr>
              <w:t>U1X</w:t>
            </w:r>
          </w:p>
        </w:tc>
      </w:tr>
      <w:tr w:rsidR="0095136F" w:rsidRPr="00A07F29" w14:paraId="4AB44855" w14:textId="77777777" w:rsidTr="004E3F0B">
        <w:trPr>
          <w:jc w:val="center"/>
        </w:trPr>
        <w:tc>
          <w:tcPr>
            <w:tcW w:w="571" w:type="dxa"/>
          </w:tcPr>
          <w:p w14:paraId="1065BB39" w14:textId="77777777" w:rsidR="0095136F" w:rsidRPr="00A07F29" w:rsidRDefault="0095136F" w:rsidP="00F87589">
            <w:pPr>
              <w:numPr>
                <w:ilvl w:val="0"/>
                <w:numId w:val="22"/>
              </w:numPr>
              <w:suppressAutoHyphens/>
              <w:spacing w:after="0" w:line="240" w:lineRule="auto"/>
              <w:contextualSpacing/>
              <w:jc w:val="center"/>
              <w:rPr>
                <w:rFonts w:ascii="Times New Roman" w:eastAsia="Calibri" w:hAnsi="Times New Roman" w:cs="Times New Roman"/>
                <w:color w:val="000000"/>
                <w:sz w:val="20"/>
                <w:szCs w:val="20"/>
                <w:lang w:eastAsia="ar-SA"/>
              </w:rPr>
            </w:pPr>
          </w:p>
        </w:tc>
        <w:tc>
          <w:tcPr>
            <w:tcW w:w="2118" w:type="dxa"/>
            <w:shd w:val="clear" w:color="auto" w:fill="FFFFFF"/>
          </w:tcPr>
          <w:p w14:paraId="29CC23AB" w14:textId="77777777" w:rsidR="0095136F" w:rsidRPr="00A07F29" w:rsidRDefault="0095136F" w:rsidP="004E3F0B">
            <w:pPr>
              <w:suppressAutoHyphens/>
              <w:spacing w:after="0" w:line="240" w:lineRule="auto"/>
              <w:rPr>
                <w:rFonts w:ascii="Times New Roman" w:eastAsia="Calibri" w:hAnsi="Times New Roman" w:cs="Times New Roman"/>
                <w:color w:val="000000"/>
                <w:spacing w:val="1"/>
                <w:sz w:val="20"/>
                <w:szCs w:val="20"/>
                <w:lang w:eastAsia="ar-SA"/>
              </w:rPr>
            </w:pPr>
            <w:proofErr w:type="spellStart"/>
            <w:r w:rsidRPr="00A07F29">
              <w:rPr>
                <w:rFonts w:ascii="Times New Roman" w:eastAsia="Calibri" w:hAnsi="Times New Roman" w:cs="Times New Roman"/>
                <w:i/>
                <w:iCs/>
                <w:color w:val="000000"/>
                <w:sz w:val="20"/>
                <w:szCs w:val="20"/>
                <w:lang w:eastAsia="ar-SA"/>
              </w:rPr>
              <w:t>Zobspārnu</w:t>
            </w:r>
            <w:proofErr w:type="spellEnd"/>
            <w:r w:rsidRPr="00A07F29">
              <w:rPr>
                <w:rFonts w:ascii="Times New Roman" w:eastAsia="Calibri" w:hAnsi="Times New Roman" w:cs="Times New Roman"/>
                <w:i/>
                <w:iCs/>
                <w:color w:val="000000"/>
                <w:sz w:val="20"/>
                <w:szCs w:val="20"/>
                <w:lang w:eastAsia="ar-SA"/>
              </w:rPr>
              <w:t xml:space="preserve"> sfings </w:t>
            </w:r>
            <w:proofErr w:type="spellStart"/>
            <w:r w:rsidRPr="00A07F29">
              <w:rPr>
                <w:rFonts w:ascii="Times New Roman" w:eastAsia="Calibri" w:hAnsi="Times New Roman" w:cs="Times New Roman"/>
                <w:i/>
                <w:iCs/>
                <w:color w:val="000000"/>
                <w:sz w:val="20"/>
                <w:szCs w:val="20"/>
                <w:lang w:eastAsia="ar-SA"/>
              </w:rPr>
              <w:t>Proserpinus</w:t>
            </w:r>
            <w:proofErr w:type="spellEnd"/>
            <w:r w:rsidRPr="00A07F29">
              <w:rPr>
                <w:rFonts w:ascii="Times New Roman" w:eastAsia="Calibri" w:hAnsi="Times New Roman" w:cs="Times New Roman"/>
                <w:i/>
                <w:iCs/>
                <w:color w:val="000000"/>
                <w:sz w:val="20"/>
                <w:szCs w:val="20"/>
                <w:lang w:eastAsia="ar-SA"/>
              </w:rPr>
              <w:t xml:space="preserve"> </w:t>
            </w:r>
            <w:proofErr w:type="spellStart"/>
            <w:r w:rsidRPr="00A07F29">
              <w:rPr>
                <w:rFonts w:ascii="Times New Roman" w:eastAsia="Calibri" w:hAnsi="Times New Roman" w:cs="Times New Roman"/>
                <w:i/>
                <w:iCs/>
                <w:color w:val="000000"/>
                <w:sz w:val="20"/>
                <w:szCs w:val="20"/>
                <w:lang w:eastAsia="ar-SA"/>
              </w:rPr>
              <w:t>proserpina</w:t>
            </w:r>
            <w:proofErr w:type="spellEnd"/>
          </w:p>
        </w:tc>
        <w:tc>
          <w:tcPr>
            <w:tcW w:w="580" w:type="dxa"/>
            <w:shd w:val="clear" w:color="auto" w:fill="FFFFFF"/>
          </w:tcPr>
          <w:p w14:paraId="1781262C" w14:textId="77777777" w:rsidR="0095136F" w:rsidRPr="00A07F29" w:rsidRDefault="0095136F" w:rsidP="004E3F0B">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IV</w:t>
            </w:r>
          </w:p>
        </w:tc>
        <w:tc>
          <w:tcPr>
            <w:tcW w:w="851" w:type="dxa"/>
            <w:shd w:val="clear" w:color="auto" w:fill="FFFFFF"/>
          </w:tcPr>
          <w:p w14:paraId="50A231A9" w14:textId="77777777" w:rsidR="0095136F" w:rsidRPr="00A07F29" w:rsidRDefault="0095136F" w:rsidP="004E3F0B">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w:t>
            </w:r>
          </w:p>
        </w:tc>
        <w:tc>
          <w:tcPr>
            <w:tcW w:w="850" w:type="dxa"/>
            <w:shd w:val="clear" w:color="auto" w:fill="FFFFFF"/>
          </w:tcPr>
          <w:p w14:paraId="79580BC3" w14:textId="77777777" w:rsidR="0095136F" w:rsidRPr="00A07F29" w:rsidRDefault="0095136F" w:rsidP="004E3F0B">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w:t>
            </w:r>
          </w:p>
        </w:tc>
        <w:tc>
          <w:tcPr>
            <w:tcW w:w="1702" w:type="dxa"/>
            <w:shd w:val="clear" w:color="auto" w:fill="FFFFFF"/>
          </w:tcPr>
          <w:p w14:paraId="41C84335" w14:textId="77777777" w:rsidR="0095136F" w:rsidRPr="00A07F29" w:rsidRDefault="0095136F" w:rsidP="004E3F0B">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w:t>
            </w:r>
          </w:p>
        </w:tc>
        <w:tc>
          <w:tcPr>
            <w:tcW w:w="1559" w:type="dxa"/>
            <w:shd w:val="clear" w:color="auto" w:fill="FFFFFF"/>
          </w:tcPr>
          <w:p w14:paraId="3AC71C66" w14:textId="77777777" w:rsidR="0095136F" w:rsidRPr="00A07F29" w:rsidRDefault="0095136F" w:rsidP="004E3F0B">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w:t>
            </w:r>
          </w:p>
        </w:tc>
        <w:tc>
          <w:tcPr>
            <w:tcW w:w="992" w:type="dxa"/>
            <w:shd w:val="clear" w:color="auto" w:fill="FFFFFF"/>
          </w:tcPr>
          <w:p w14:paraId="03994E39" w14:textId="77777777" w:rsidR="0095136F" w:rsidRPr="00A07F29" w:rsidRDefault="0095136F" w:rsidP="004E3F0B">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w:t>
            </w:r>
          </w:p>
        </w:tc>
        <w:tc>
          <w:tcPr>
            <w:tcW w:w="1701" w:type="dxa"/>
            <w:shd w:val="clear" w:color="auto" w:fill="FFFFFF"/>
          </w:tcPr>
          <w:p w14:paraId="2B5A9A07" w14:textId="77777777" w:rsidR="0095136F" w:rsidRPr="00A07F29" w:rsidRDefault="0095136F" w:rsidP="004E3F0B">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w:t>
            </w:r>
          </w:p>
        </w:tc>
        <w:tc>
          <w:tcPr>
            <w:tcW w:w="1262" w:type="dxa"/>
            <w:shd w:val="clear" w:color="auto" w:fill="A6A6A6" w:themeFill="background1" w:themeFillShade="A6"/>
            <w:vAlign w:val="center"/>
          </w:tcPr>
          <w:p w14:paraId="4DD3D6A8" w14:textId="77777777" w:rsidR="0095136F" w:rsidRPr="00A07F29" w:rsidRDefault="0095136F" w:rsidP="004E3F0B">
            <w:pPr>
              <w:suppressAutoHyphens/>
              <w:spacing w:after="0" w:line="240" w:lineRule="auto"/>
              <w:jc w:val="center"/>
              <w:rPr>
                <w:rFonts w:ascii="Times New Roman" w:eastAsia="Calibri" w:hAnsi="Times New Roman" w:cs="Times New Roman"/>
                <w:b/>
                <w:bCs/>
                <w:color w:val="000000"/>
                <w:sz w:val="20"/>
                <w:szCs w:val="20"/>
                <w:lang w:eastAsia="ar-SA"/>
              </w:rPr>
            </w:pPr>
            <w:r w:rsidRPr="00A07F29">
              <w:rPr>
                <w:rFonts w:ascii="Times New Roman" w:eastAsia="Calibri" w:hAnsi="Times New Roman" w:cs="Times New Roman"/>
                <w:b/>
                <w:bCs/>
                <w:color w:val="000000"/>
                <w:sz w:val="20"/>
                <w:szCs w:val="20"/>
                <w:lang w:eastAsia="ar-SA"/>
              </w:rPr>
              <w:t>XX</w:t>
            </w:r>
          </w:p>
        </w:tc>
        <w:tc>
          <w:tcPr>
            <w:tcW w:w="1417" w:type="dxa"/>
            <w:shd w:val="clear" w:color="auto" w:fill="A6A6A6" w:themeFill="background1" w:themeFillShade="A6"/>
            <w:vAlign w:val="center"/>
          </w:tcPr>
          <w:p w14:paraId="52DEDC3F" w14:textId="77777777" w:rsidR="0095136F" w:rsidRPr="00A07F29" w:rsidRDefault="0095136F" w:rsidP="004E3F0B">
            <w:pPr>
              <w:suppressAutoHyphens/>
              <w:spacing w:after="0" w:line="240" w:lineRule="auto"/>
              <w:jc w:val="center"/>
              <w:rPr>
                <w:rFonts w:ascii="Times New Roman" w:eastAsia="Calibri" w:hAnsi="Times New Roman" w:cs="Times New Roman"/>
                <w:b/>
                <w:bCs/>
                <w:color w:val="000000"/>
                <w:sz w:val="20"/>
                <w:szCs w:val="20"/>
                <w:lang w:eastAsia="ar-SA"/>
              </w:rPr>
            </w:pPr>
            <w:r w:rsidRPr="00A07F29">
              <w:rPr>
                <w:rFonts w:ascii="Times New Roman" w:eastAsia="Calibri" w:hAnsi="Times New Roman" w:cs="Times New Roman"/>
                <w:b/>
                <w:bCs/>
                <w:color w:val="000000"/>
                <w:sz w:val="20"/>
                <w:szCs w:val="20"/>
                <w:lang w:eastAsia="ar-SA"/>
              </w:rPr>
              <w:t>XX</w:t>
            </w:r>
          </w:p>
        </w:tc>
      </w:tr>
      <w:tr w:rsidR="0095136F" w:rsidRPr="00A07F29" w14:paraId="1CAEC616" w14:textId="77777777" w:rsidTr="004E3F0B">
        <w:trPr>
          <w:jc w:val="center"/>
        </w:trPr>
        <w:tc>
          <w:tcPr>
            <w:tcW w:w="571" w:type="dxa"/>
          </w:tcPr>
          <w:p w14:paraId="0147D0DB" w14:textId="77777777" w:rsidR="0095136F" w:rsidRPr="00A07F29" w:rsidRDefault="0095136F" w:rsidP="00F87589">
            <w:pPr>
              <w:numPr>
                <w:ilvl w:val="0"/>
                <w:numId w:val="22"/>
              </w:numPr>
              <w:suppressAutoHyphens/>
              <w:spacing w:after="0" w:line="240" w:lineRule="auto"/>
              <w:contextualSpacing/>
              <w:jc w:val="center"/>
              <w:rPr>
                <w:rFonts w:ascii="Times New Roman" w:eastAsia="Calibri" w:hAnsi="Times New Roman" w:cs="Times New Roman"/>
                <w:color w:val="000000"/>
                <w:sz w:val="20"/>
                <w:szCs w:val="20"/>
                <w:lang w:eastAsia="ar-SA"/>
              </w:rPr>
            </w:pPr>
          </w:p>
        </w:tc>
        <w:tc>
          <w:tcPr>
            <w:tcW w:w="2118" w:type="dxa"/>
            <w:shd w:val="clear" w:color="auto" w:fill="FFFFFF"/>
          </w:tcPr>
          <w:p w14:paraId="3B240B38" w14:textId="77777777" w:rsidR="0095136F" w:rsidRPr="00A07F29" w:rsidRDefault="0095136F" w:rsidP="004E3F0B">
            <w:pPr>
              <w:suppressAutoHyphens/>
              <w:spacing w:after="0" w:line="240" w:lineRule="auto"/>
              <w:rPr>
                <w:rFonts w:ascii="Times New Roman" w:eastAsia="Calibri" w:hAnsi="Times New Roman" w:cs="Times New Roman"/>
                <w:color w:val="000000"/>
                <w:spacing w:val="1"/>
                <w:sz w:val="20"/>
                <w:szCs w:val="20"/>
                <w:lang w:eastAsia="ar-SA"/>
              </w:rPr>
            </w:pPr>
            <w:proofErr w:type="spellStart"/>
            <w:r w:rsidRPr="00A07F29">
              <w:rPr>
                <w:rFonts w:ascii="Times New Roman" w:eastAsia="Calibri" w:hAnsi="Times New Roman" w:cs="Times New Roman"/>
                <w:color w:val="000000"/>
                <w:spacing w:val="1"/>
                <w:sz w:val="20"/>
                <w:szCs w:val="20"/>
                <w:lang w:eastAsia="ar-SA"/>
              </w:rPr>
              <w:t>Skabiosu</w:t>
            </w:r>
            <w:proofErr w:type="spellEnd"/>
            <w:r w:rsidRPr="00A07F29">
              <w:rPr>
                <w:rFonts w:ascii="Times New Roman" w:eastAsia="Calibri" w:hAnsi="Times New Roman" w:cs="Times New Roman"/>
                <w:color w:val="000000"/>
                <w:spacing w:val="1"/>
                <w:sz w:val="20"/>
                <w:szCs w:val="20"/>
                <w:lang w:eastAsia="ar-SA"/>
              </w:rPr>
              <w:t xml:space="preserve"> </w:t>
            </w:r>
            <w:proofErr w:type="spellStart"/>
            <w:r w:rsidRPr="00A07F29">
              <w:rPr>
                <w:rFonts w:ascii="Times New Roman" w:eastAsia="Calibri" w:hAnsi="Times New Roman" w:cs="Times New Roman"/>
                <w:color w:val="000000"/>
                <w:spacing w:val="1"/>
                <w:sz w:val="20"/>
                <w:szCs w:val="20"/>
                <w:lang w:eastAsia="ar-SA"/>
              </w:rPr>
              <w:t>pļavraibenis</w:t>
            </w:r>
            <w:proofErr w:type="spellEnd"/>
            <w:r w:rsidRPr="00A07F29">
              <w:rPr>
                <w:rFonts w:ascii="Times New Roman" w:eastAsia="Calibri" w:hAnsi="Times New Roman" w:cs="Times New Roman"/>
                <w:color w:val="000000"/>
                <w:spacing w:val="1"/>
                <w:sz w:val="20"/>
                <w:szCs w:val="20"/>
                <w:lang w:eastAsia="ar-SA"/>
              </w:rPr>
              <w:t xml:space="preserve"> </w:t>
            </w:r>
            <w:proofErr w:type="spellStart"/>
            <w:r w:rsidRPr="00A07F29">
              <w:rPr>
                <w:rFonts w:ascii="Times New Roman" w:eastAsia="Calibri" w:hAnsi="Times New Roman" w:cs="Times New Roman"/>
                <w:i/>
                <w:color w:val="000000"/>
                <w:sz w:val="20"/>
                <w:szCs w:val="20"/>
                <w:lang w:eastAsia="ar-SA"/>
              </w:rPr>
              <w:t>Euphydryas</w:t>
            </w:r>
            <w:proofErr w:type="spellEnd"/>
            <w:r w:rsidRPr="00A07F29">
              <w:rPr>
                <w:rFonts w:ascii="Times New Roman" w:eastAsia="Calibri" w:hAnsi="Times New Roman" w:cs="Times New Roman"/>
                <w:i/>
                <w:color w:val="000000"/>
                <w:sz w:val="20"/>
                <w:szCs w:val="20"/>
                <w:lang w:eastAsia="ar-SA"/>
              </w:rPr>
              <w:t xml:space="preserve"> </w:t>
            </w:r>
            <w:proofErr w:type="spellStart"/>
            <w:r w:rsidRPr="00A07F29">
              <w:rPr>
                <w:rFonts w:ascii="Times New Roman" w:eastAsia="Calibri" w:hAnsi="Times New Roman" w:cs="Times New Roman"/>
                <w:i/>
                <w:color w:val="000000"/>
                <w:sz w:val="20"/>
                <w:szCs w:val="20"/>
                <w:lang w:eastAsia="ar-SA"/>
              </w:rPr>
              <w:t>aurinia</w:t>
            </w:r>
            <w:proofErr w:type="spellEnd"/>
          </w:p>
        </w:tc>
        <w:tc>
          <w:tcPr>
            <w:tcW w:w="580" w:type="dxa"/>
            <w:shd w:val="clear" w:color="auto" w:fill="FFFFFF"/>
          </w:tcPr>
          <w:p w14:paraId="70CF3CE2" w14:textId="77777777" w:rsidR="0095136F" w:rsidRPr="00A07F29" w:rsidRDefault="0095136F" w:rsidP="004E3F0B">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II</w:t>
            </w:r>
          </w:p>
        </w:tc>
        <w:tc>
          <w:tcPr>
            <w:tcW w:w="851" w:type="dxa"/>
            <w:shd w:val="clear" w:color="auto" w:fill="FFFFFF"/>
          </w:tcPr>
          <w:p w14:paraId="595F91BA" w14:textId="77777777" w:rsidR="0095136F" w:rsidRPr="00A07F29" w:rsidRDefault="0095136F" w:rsidP="004E3F0B">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0</w:t>
            </w:r>
          </w:p>
        </w:tc>
        <w:tc>
          <w:tcPr>
            <w:tcW w:w="850" w:type="dxa"/>
            <w:shd w:val="clear" w:color="auto" w:fill="FFFFFF"/>
          </w:tcPr>
          <w:p w14:paraId="42666E80" w14:textId="77777777" w:rsidR="0095136F" w:rsidRPr="00A07F29" w:rsidRDefault="0095136F" w:rsidP="004E3F0B">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30</w:t>
            </w:r>
          </w:p>
        </w:tc>
        <w:tc>
          <w:tcPr>
            <w:tcW w:w="1702" w:type="dxa"/>
            <w:shd w:val="clear" w:color="auto" w:fill="FFFFFF"/>
          </w:tcPr>
          <w:p w14:paraId="6EAA0DD9" w14:textId="77777777" w:rsidR="0095136F" w:rsidRPr="00A07F29" w:rsidRDefault="0095136F" w:rsidP="004E3F0B">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2 % ≥ p &gt; 0 %</w:t>
            </w:r>
          </w:p>
        </w:tc>
        <w:tc>
          <w:tcPr>
            <w:tcW w:w="1559" w:type="dxa"/>
            <w:shd w:val="clear" w:color="auto" w:fill="FFFFFF"/>
          </w:tcPr>
          <w:p w14:paraId="0CE22683" w14:textId="77777777" w:rsidR="0095136F" w:rsidRPr="00A07F29" w:rsidRDefault="0095136F" w:rsidP="004E3F0B">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2 % ≥ p &gt; 0 %</w:t>
            </w:r>
          </w:p>
        </w:tc>
        <w:tc>
          <w:tcPr>
            <w:tcW w:w="992" w:type="dxa"/>
            <w:shd w:val="clear" w:color="auto" w:fill="FFFFFF"/>
          </w:tcPr>
          <w:p w14:paraId="5AEC19A0" w14:textId="77777777" w:rsidR="0095136F" w:rsidRPr="00A07F29" w:rsidRDefault="0095136F" w:rsidP="004E3F0B">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5.17 ha</w:t>
            </w:r>
          </w:p>
        </w:tc>
        <w:tc>
          <w:tcPr>
            <w:tcW w:w="1701" w:type="dxa"/>
            <w:shd w:val="clear" w:color="auto" w:fill="FFFFFF"/>
          </w:tcPr>
          <w:p w14:paraId="2E9FE525" w14:textId="77777777" w:rsidR="0095136F" w:rsidRPr="00A07F29" w:rsidRDefault="0095136F" w:rsidP="004E3F0B">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2 % ≥ p &gt; 0 %</w:t>
            </w:r>
          </w:p>
        </w:tc>
        <w:tc>
          <w:tcPr>
            <w:tcW w:w="1262" w:type="dxa"/>
            <w:shd w:val="clear" w:color="auto" w:fill="FFC000"/>
            <w:vAlign w:val="center"/>
          </w:tcPr>
          <w:p w14:paraId="472683FF" w14:textId="746C04F7" w:rsidR="0095136F" w:rsidRPr="00A07F29" w:rsidRDefault="0095136F" w:rsidP="006356B6">
            <w:pPr>
              <w:suppressAutoHyphens/>
              <w:spacing w:after="0" w:line="240" w:lineRule="auto"/>
              <w:jc w:val="center"/>
              <w:rPr>
                <w:rFonts w:ascii="Times New Roman" w:eastAsia="Calibri" w:hAnsi="Times New Roman" w:cs="Times New Roman"/>
                <w:b/>
                <w:bCs/>
                <w:color w:val="000000"/>
                <w:sz w:val="20"/>
                <w:szCs w:val="20"/>
                <w:lang w:eastAsia="ar-SA"/>
              </w:rPr>
            </w:pPr>
            <w:r w:rsidRPr="00A07F29">
              <w:rPr>
                <w:rFonts w:ascii="Times New Roman" w:eastAsia="Calibri" w:hAnsi="Times New Roman" w:cs="Times New Roman"/>
                <w:b/>
                <w:bCs/>
                <w:color w:val="000000"/>
                <w:sz w:val="20"/>
                <w:szCs w:val="20"/>
                <w:lang w:eastAsia="ar-SA"/>
              </w:rPr>
              <w:t>U1</w:t>
            </w:r>
            <w:r w:rsidR="006356B6" w:rsidRPr="00A07F29">
              <w:rPr>
                <w:rFonts w:ascii="Times New Roman" w:eastAsia="Calibri" w:hAnsi="Times New Roman" w:cs="Times New Roman"/>
                <w:b/>
                <w:bCs/>
                <w:color w:val="000000"/>
                <w:sz w:val="20"/>
                <w:szCs w:val="20"/>
                <w:lang w:eastAsia="ar-SA"/>
              </w:rPr>
              <w:t>S</w:t>
            </w:r>
          </w:p>
        </w:tc>
        <w:tc>
          <w:tcPr>
            <w:tcW w:w="1417" w:type="dxa"/>
            <w:shd w:val="clear" w:color="auto" w:fill="FFC000"/>
            <w:vAlign w:val="center"/>
          </w:tcPr>
          <w:p w14:paraId="2BA2B963" w14:textId="6F20AC4F" w:rsidR="0095136F" w:rsidRPr="00A07F29" w:rsidRDefault="0095136F" w:rsidP="006356B6">
            <w:pPr>
              <w:suppressAutoHyphens/>
              <w:spacing w:after="0" w:line="240" w:lineRule="auto"/>
              <w:jc w:val="center"/>
              <w:rPr>
                <w:rFonts w:ascii="Times New Roman" w:eastAsia="Calibri" w:hAnsi="Times New Roman" w:cs="Times New Roman"/>
                <w:b/>
                <w:bCs/>
                <w:color w:val="000000"/>
                <w:sz w:val="20"/>
                <w:szCs w:val="20"/>
                <w:lang w:eastAsia="ar-SA"/>
              </w:rPr>
            </w:pPr>
            <w:r w:rsidRPr="00A07F29">
              <w:rPr>
                <w:rFonts w:ascii="Times New Roman" w:eastAsia="Calibri" w:hAnsi="Times New Roman" w:cs="Times New Roman"/>
                <w:b/>
                <w:bCs/>
                <w:color w:val="000000"/>
                <w:sz w:val="20"/>
                <w:szCs w:val="20"/>
                <w:lang w:eastAsia="ar-SA"/>
              </w:rPr>
              <w:t>U1</w:t>
            </w:r>
            <w:r w:rsidR="006356B6" w:rsidRPr="00A07F29">
              <w:rPr>
                <w:rFonts w:ascii="Times New Roman" w:eastAsia="Calibri" w:hAnsi="Times New Roman" w:cs="Times New Roman"/>
                <w:b/>
                <w:bCs/>
                <w:color w:val="000000"/>
                <w:sz w:val="20"/>
                <w:szCs w:val="20"/>
                <w:lang w:eastAsia="ar-SA"/>
              </w:rPr>
              <w:t>S</w:t>
            </w:r>
          </w:p>
        </w:tc>
      </w:tr>
      <w:tr w:rsidR="0095136F" w:rsidRPr="00A07F29" w14:paraId="40A1CF56" w14:textId="77777777" w:rsidTr="004E3F0B">
        <w:trPr>
          <w:jc w:val="center"/>
        </w:trPr>
        <w:tc>
          <w:tcPr>
            <w:tcW w:w="571" w:type="dxa"/>
          </w:tcPr>
          <w:p w14:paraId="77F1F987" w14:textId="77777777" w:rsidR="0095136F" w:rsidRPr="00A07F29" w:rsidRDefault="0095136F" w:rsidP="00F87589">
            <w:pPr>
              <w:numPr>
                <w:ilvl w:val="0"/>
                <w:numId w:val="22"/>
              </w:numPr>
              <w:suppressAutoHyphens/>
              <w:spacing w:after="0" w:line="240" w:lineRule="auto"/>
              <w:contextualSpacing/>
              <w:jc w:val="center"/>
              <w:rPr>
                <w:rFonts w:ascii="Times New Roman" w:eastAsia="Calibri" w:hAnsi="Times New Roman" w:cs="Times New Roman"/>
                <w:color w:val="000000"/>
                <w:sz w:val="20"/>
                <w:szCs w:val="20"/>
                <w:lang w:eastAsia="ar-SA"/>
              </w:rPr>
            </w:pPr>
          </w:p>
        </w:tc>
        <w:tc>
          <w:tcPr>
            <w:tcW w:w="2118" w:type="dxa"/>
            <w:shd w:val="clear" w:color="auto" w:fill="FFFFFF"/>
          </w:tcPr>
          <w:p w14:paraId="18FEB172" w14:textId="77777777" w:rsidR="0095136F" w:rsidRPr="00A07F29" w:rsidRDefault="0095136F" w:rsidP="004E3F0B">
            <w:pPr>
              <w:suppressAutoHyphens/>
              <w:spacing w:after="0" w:line="240" w:lineRule="auto"/>
              <w:rPr>
                <w:rFonts w:ascii="Times New Roman" w:eastAsia="Calibri" w:hAnsi="Times New Roman" w:cs="Times New Roman"/>
                <w:color w:val="000000"/>
                <w:spacing w:val="1"/>
                <w:sz w:val="20"/>
                <w:szCs w:val="20"/>
                <w:lang w:eastAsia="ar-SA"/>
              </w:rPr>
            </w:pPr>
            <w:r w:rsidRPr="00A07F29">
              <w:rPr>
                <w:rFonts w:ascii="Times New Roman" w:eastAsia="Calibri" w:hAnsi="Times New Roman" w:cs="Times New Roman"/>
                <w:color w:val="000000"/>
                <w:spacing w:val="1"/>
                <w:sz w:val="20"/>
                <w:szCs w:val="20"/>
                <w:lang w:eastAsia="ar-SA"/>
              </w:rPr>
              <w:t xml:space="preserve">Šneidera </w:t>
            </w:r>
            <w:proofErr w:type="spellStart"/>
            <w:r w:rsidRPr="00A07F29">
              <w:rPr>
                <w:rFonts w:ascii="Times New Roman" w:eastAsia="Calibri" w:hAnsi="Times New Roman" w:cs="Times New Roman"/>
                <w:color w:val="000000"/>
                <w:spacing w:val="1"/>
                <w:sz w:val="20"/>
                <w:szCs w:val="20"/>
                <w:lang w:eastAsia="ar-SA"/>
              </w:rPr>
              <w:t>mizmīlis</w:t>
            </w:r>
            <w:proofErr w:type="spellEnd"/>
            <w:r w:rsidRPr="00A07F29">
              <w:rPr>
                <w:rFonts w:ascii="Times New Roman" w:eastAsia="Calibri" w:hAnsi="Times New Roman" w:cs="Times New Roman"/>
                <w:color w:val="000000"/>
                <w:spacing w:val="1"/>
                <w:sz w:val="20"/>
                <w:szCs w:val="20"/>
                <w:lang w:eastAsia="ar-SA"/>
              </w:rPr>
              <w:t xml:space="preserve"> </w:t>
            </w:r>
            <w:r w:rsidRPr="00A07F29">
              <w:rPr>
                <w:rFonts w:ascii="Times New Roman" w:eastAsia="Calibri" w:hAnsi="Times New Roman" w:cs="Times New Roman"/>
                <w:i/>
                <w:color w:val="000000"/>
                <w:spacing w:val="1"/>
                <w:sz w:val="20"/>
                <w:szCs w:val="20"/>
                <w:lang w:eastAsia="ar-SA"/>
              </w:rPr>
              <w:t xml:space="preserve">Boros </w:t>
            </w:r>
            <w:proofErr w:type="spellStart"/>
            <w:r w:rsidRPr="00A07F29">
              <w:rPr>
                <w:rFonts w:ascii="Times New Roman" w:eastAsia="Calibri" w:hAnsi="Times New Roman" w:cs="Times New Roman"/>
                <w:i/>
                <w:color w:val="000000"/>
                <w:spacing w:val="1"/>
                <w:sz w:val="20"/>
                <w:szCs w:val="20"/>
                <w:lang w:eastAsia="ar-SA"/>
              </w:rPr>
              <w:t>schneideri</w:t>
            </w:r>
            <w:proofErr w:type="spellEnd"/>
          </w:p>
        </w:tc>
        <w:tc>
          <w:tcPr>
            <w:tcW w:w="580" w:type="dxa"/>
            <w:shd w:val="clear" w:color="auto" w:fill="FFFFFF"/>
          </w:tcPr>
          <w:p w14:paraId="7DEA3090" w14:textId="77777777" w:rsidR="0095136F" w:rsidRPr="00A07F29" w:rsidRDefault="0095136F" w:rsidP="004E3F0B">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II</w:t>
            </w:r>
          </w:p>
        </w:tc>
        <w:tc>
          <w:tcPr>
            <w:tcW w:w="851" w:type="dxa"/>
            <w:shd w:val="clear" w:color="auto" w:fill="FFFFFF"/>
          </w:tcPr>
          <w:p w14:paraId="1C55EF76" w14:textId="77777777" w:rsidR="0095136F" w:rsidRPr="00A07F29" w:rsidRDefault="0095136F" w:rsidP="004E3F0B">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 xml:space="preserve">29 340 </w:t>
            </w:r>
          </w:p>
        </w:tc>
        <w:tc>
          <w:tcPr>
            <w:tcW w:w="850" w:type="dxa"/>
            <w:shd w:val="clear" w:color="auto" w:fill="FFFFFF"/>
          </w:tcPr>
          <w:p w14:paraId="27D0521E" w14:textId="77777777" w:rsidR="0095136F" w:rsidRPr="00A07F29" w:rsidRDefault="0095136F" w:rsidP="004E3F0B">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88 020</w:t>
            </w:r>
          </w:p>
        </w:tc>
        <w:tc>
          <w:tcPr>
            <w:tcW w:w="1702" w:type="dxa"/>
            <w:shd w:val="clear" w:color="auto" w:fill="FFFFFF"/>
          </w:tcPr>
          <w:p w14:paraId="7DEB10FA" w14:textId="77777777" w:rsidR="0095136F" w:rsidRPr="00A07F29" w:rsidRDefault="0095136F" w:rsidP="004E3F0B">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15 % ≥ p &gt; 2 %</w:t>
            </w:r>
          </w:p>
        </w:tc>
        <w:tc>
          <w:tcPr>
            <w:tcW w:w="1559" w:type="dxa"/>
            <w:shd w:val="clear" w:color="auto" w:fill="FFFFFF"/>
          </w:tcPr>
          <w:p w14:paraId="3DF73CFC" w14:textId="77777777" w:rsidR="0095136F" w:rsidRPr="00A07F29" w:rsidRDefault="0095136F" w:rsidP="004E3F0B">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15 % ≥ p &gt; 2 %</w:t>
            </w:r>
          </w:p>
        </w:tc>
        <w:tc>
          <w:tcPr>
            <w:tcW w:w="992" w:type="dxa"/>
            <w:shd w:val="clear" w:color="auto" w:fill="FFFFFF"/>
          </w:tcPr>
          <w:p w14:paraId="50EB5441" w14:textId="77777777" w:rsidR="0095136F" w:rsidRPr="00A07F29" w:rsidRDefault="0095136F" w:rsidP="004E3F0B">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978 ha</w:t>
            </w:r>
          </w:p>
        </w:tc>
        <w:tc>
          <w:tcPr>
            <w:tcW w:w="1701" w:type="dxa"/>
            <w:shd w:val="clear" w:color="auto" w:fill="FFFFFF"/>
          </w:tcPr>
          <w:p w14:paraId="6F0C311B" w14:textId="77777777" w:rsidR="0095136F" w:rsidRPr="00A07F29" w:rsidRDefault="0095136F" w:rsidP="004E3F0B">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15 % ≥ p &gt; 2 %</w:t>
            </w:r>
          </w:p>
        </w:tc>
        <w:tc>
          <w:tcPr>
            <w:tcW w:w="1262" w:type="dxa"/>
            <w:shd w:val="clear" w:color="auto" w:fill="FFC000"/>
            <w:vAlign w:val="center"/>
          </w:tcPr>
          <w:p w14:paraId="41C4BD70" w14:textId="4CFFF9DA" w:rsidR="0095136F" w:rsidRPr="00A07F29" w:rsidRDefault="0095136F" w:rsidP="006356B6">
            <w:pPr>
              <w:suppressAutoHyphens/>
              <w:spacing w:after="0" w:line="240" w:lineRule="auto"/>
              <w:jc w:val="center"/>
              <w:rPr>
                <w:rFonts w:ascii="Times New Roman" w:eastAsia="Calibri" w:hAnsi="Times New Roman" w:cs="Times New Roman"/>
                <w:b/>
                <w:bCs/>
                <w:color w:val="000000"/>
                <w:sz w:val="20"/>
                <w:szCs w:val="20"/>
                <w:lang w:eastAsia="ar-SA"/>
              </w:rPr>
            </w:pPr>
            <w:r w:rsidRPr="00A07F29">
              <w:rPr>
                <w:rFonts w:ascii="Times New Roman" w:eastAsia="Calibri" w:hAnsi="Times New Roman" w:cs="Times New Roman"/>
                <w:b/>
                <w:bCs/>
                <w:color w:val="000000"/>
                <w:sz w:val="20"/>
                <w:szCs w:val="20"/>
                <w:lang w:eastAsia="ar-SA"/>
              </w:rPr>
              <w:t>U1</w:t>
            </w:r>
            <w:r w:rsidR="006356B6" w:rsidRPr="00A07F29">
              <w:rPr>
                <w:rFonts w:ascii="Times New Roman" w:eastAsia="Calibri" w:hAnsi="Times New Roman" w:cs="Times New Roman"/>
                <w:b/>
                <w:bCs/>
                <w:color w:val="000000"/>
                <w:sz w:val="20"/>
                <w:szCs w:val="20"/>
                <w:lang w:eastAsia="ar-SA"/>
              </w:rPr>
              <w:t>S</w:t>
            </w:r>
          </w:p>
        </w:tc>
        <w:tc>
          <w:tcPr>
            <w:tcW w:w="1417" w:type="dxa"/>
            <w:shd w:val="clear" w:color="auto" w:fill="92D050"/>
            <w:vAlign w:val="center"/>
          </w:tcPr>
          <w:p w14:paraId="33A4496E" w14:textId="1CF1B20B" w:rsidR="0095136F" w:rsidRPr="00A07F29" w:rsidRDefault="0095136F" w:rsidP="006356B6">
            <w:pPr>
              <w:suppressAutoHyphens/>
              <w:spacing w:after="0" w:line="240" w:lineRule="auto"/>
              <w:jc w:val="center"/>
              <w:rPr>
                <w:rFonts w:ascii="Times New Roman" w:eastAsia="Calibri" w:hAnsi="Times New Roman" w:cs="Times New Roman"/>
                <w:b/>
                <w:bCs/>
                <w:color w:val="000000"/>
                <w:sz w:val="20"/>
                <w:szCs w:val="20"/>
                <w:lang w:eastAsia="ar-SA"/>
              </w:rPr>
            </w:pPr>
            <w:r w:rsidRPr="00A07F29">
              <w:rPr>
                <w:rFonts w:ascii="Times New Roman" w:eastAsia="Calibri" w:hAnsi="Times New Roman" w:cs="Times New Roman"/>
                <w:b/>
                <w:bCs/>
                <w:color w:val="000000"/>
                <w:sz w:val="20"/>
                <w:szCs w:val="20"/>
                <w:lang w:eastAsia="ar-SA"/>
              </w:rPr>
              <w:t>FV</w:t>
            </w:r>
            <w:r w:rsidR="006356B6" w:rsidRPr="00A07F29">
              <w:rPr>
                <w:rFonts w:ascii="Times New Roman" w:eastAsia="Calibri" w:hAnsi="Times New Roman" w:cs="Times New Roman"/>
                <w:b/>
                <w:bCs/>
                <w:color w:val="000000"/>
                <w:sz w:val="20"/>
                <w:szCs w:val="20"/>
                <w:lang w:eastAsia="ar-SA"/>
              </w:rPr>
              <w:t>D</w:t>
            </w:r>
          </w:p>
        </w:tc>
      </w:tr>
      <w:tr w:rsidR="0095136F" w:rsidRPr="00A07F29" w14:paraId="3A407A60" w14:textId="77777777" w:rsidTr="004E3F0B">
        <w:trPr>
          <w:jc w:val="center"/>
        </w:trPr>
        <w:tc>
          <w:tcPr>
            <w:tcW w:w="571" w:type="dxa"/>
          </w:tcPr>
          <w:p w14:paraId="1A9BEFEF" w14:textId="77777777" w:rsidR="0095136F" w:rsidRPr="00A07F29" w:rsidRDefault="0095136F" w:rsidP="00F87589">
            <w:pPr>
              <w:numPr>
                <w:ilvl w:val="0"/>
                <w:numId w:val="22"/>
              </w:numPr>
              <w:suppressAutoHyphens/>
              <w:spacing w:after="0" w:line="240" w:lineRule="auto"/>
              <w:contextualSpacing/>
              <w:jc w:val="center"/>
              <w:rPr>
                <w:rFonts w:ascii="Times New Roman" w:eastAsia="Calibri" w:hAnsi="Times New Roman" w:cs="Times New Roman"/>
                <w:color w:val="000000"/>
                <w:sz w:val="20"/>
                <w:szCs w:val="20"/>
                <w:lang w:eastAsia="ar-SA"/>
              </w:rPr>
            </w:pPr>
          </w:p>
        </w:tc>
        <w:tc>
          <w:tcPr>
            <w:tcW w:w="2118" w:type="dxa"/>
            <w:shd w:val="clear" w:color="auto" w:fill="FFFFFF"/>
          </w:tcPr>
          <w:p w14:paraId="6B50678F" w14:textId="77777777" w:rsidR="0095136F" w:rsidRPr="00A07F29" w:rsidRDefault="0095136F" w:rsidP="004E3F0B">
            <w:pPr>
              <w:suppressAutoHyphens/>
              <w:spacing w:after="0" w:line="240" w:lineRule="auto"/>
              <w:rPr>
                <w:rFonts w:ascii="Times New Roman" w:eastAsia="Calibri" w:hAnsi="Times New Roman" w:cs="Times New Roman"/>
                <w:color w:val="000000"/>
                <w:spacing w:val="1"/>
                <w:sz w:val="20"/>
                <w:szCs w:val="20"/>
                <w:lang w:eastAsia="ar-SA"/>
              </w:rPr>
            </w:pPr>
            <w:r w:rsidRPr="00A07F29">
              <w:rPr>
                <w:rFonts w:ascii="Times New Roman" w:eastAsia="Calibri" w:hAnsi="Times New Roman" w:cs="Times New Roman"/>
                <w:color w:val="000000"/>
                <w:spacing w:val="1"/>
                <w:sz w:val="20"/>
                <w:szCs w:val="20"/>
                <w:lang w:eastAsia="ar-SA"/>
              </w:rPr>
              <w:t xml:space="preserve">Platā </w:t>
            </w:r>
            <w:proofErr w:type="spellStart"/>
            <w:r w:rsidRPr="00A07F29">
              <w:rPr>
                <w:rFonts w:ascii="Times New Roman" w:eastAsia="Calibri" w:hAnsi="Times New Roman" w:cs="Times New Roman"/>
                <w:color w:val="000000"/>
                <w:spacing w:val="1"/>
                <w:sz w:val="20"/>
                <w:szCs w:val="20"/>
                <w:lang w:eastAsia="ar-SA"/>
              </w:rPr>
              <w:t>airvabole</w:t>
            </w:r>
            <w:proofErr w:type="spellEnd"/>
          </w:p>
          <w:p w14:paraId="06A1BA96" w14:textId="77777777" w:rsidR="0095136F" w:rsidRPr="00A07F29" w:rsidRDefault="0095136F" w:rsidP="004E3F0B">
            <w:pPr>
              <w:suppressAutoHyphens/>
              <w:spacing w:after="0" w:line="240" w:lineRule="auto"/>
              <w:rPr>
                <w:rFonts w:ascii="Times New Roman" w:eastAsia="Calibri" w:hAnsi="Times New Roman" w:cs="Times New Roman"/>
                <w:i/>
                <w:color w:val="000000"/>
                <w:spacing w:val="1"/>
                <w:sz w:val="20"/>
                <w:szCs w:val="20"/>
                <w:lang w:eastAsia="ar-SA"/>
              </w:rPr>
            </w:pPr>
            <w:proofErr w:type="spellStart"/>
            <w:r w:rsidRPr="00A07F29">
              <w:rPr>
                <w:rFonts w:ascii="Times New Roman" w:eastAsia="Calibri" w:hAnsi="Times New Roman" w:cs="Times New Roman"/>
                <w:i/>
                <w:color w:val="000000"/>
                <w:spacing w:val="1"/>
                <w:sz w:val="20"/>
                <w:szCs w:val="20"/>
                <w:lang w:eastAsia="ar-SA"/>
              </w:rPr>
              <w:t>Dytiscus</w:t>
            </w:r>
            <w:proofErr w:type="spellEnd"/>
            <w:r w:rsidRPr="00A07F29">
              <w:rPr>
                <w:rFonts w:ascii="Times New Roman" w:eastAsia="Calibri" w:hAnsi="Times New Roman" w:cs="Times New Roman"/>
                <w:i/>
                <w:color w:val="000000"/>
                <w:spacing w:val="1"/>
                <w:sz w:val="20"/>
                <w:szCs w:val="20"/>
                <w:lang w:eastAsia="ar-SA"/>
              </w:rPr>
              <w:t xml:space="preserve"> </w:t>
            </w:r>
            <w:proofErr w:type="spellStart"/>
            <w:r w:rsidRPr="00A07F29">
              <w:rPr>
                <w:rFonts w:ascii="Times New Roman" w:eastAsia="Calibri" w:hAnsi="Times New Roman" w:cs="Times New Roman"/>
                <w:i/>
                <w:color w:val="000000"/>
                <w:spacing w:val="1"/>
                <w:sz w:val="20"/>
                <w:szCs w:val="20"/>
                <w:lang w:eastAsia="ar-SA"/>
              </w:rPr>
              <w:t>latissimus</w:t>
            </w:r>
            <w:proofErr w:type="spellEnd"/>
          </w:p>
        </w:tc>
        <w:tc>
          <w:tcPr>
            <w:tcW w:w="580" w:type="dxa"/>
            <w:shd w:val="clear" w:color="auto" w:fill="FFFFFF"/>
          </w:tcPr>
          <w:p w14:paraId="057FB3AF" w14:textId="77777777" w:rsidR="0095136F" w:rsidRPr="00A07F29" w:rsidRDefault="0095136F" w:rsidP="004E3F0B">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II</w:t>
            </w:r>
          </w:p>
        </w:tc>
        <w:tc>
          <w:tcPr>
            <w:tcW w:w="851" w:type="dxa"/>
            <w:shd w:val="clear" w:color="auto" w:fill="FFFFFF"/>
          </w:tcPr>
          <w:p w14:paraId="0F1CF3FA" w14:textId="77777777" w:rsidR="0095136F" w:rsidRPr="00A07F29" w:rsidRDefault="0095136F" w:rsidP="004E3F0B">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700</w:t>
            </w:r>
          </w:p>
        </w:tc>
        <w:tc>
          <w:tcPr>
            <w:tcW w:w="850" w:type="dxa"/>
            <w:shd w:val="clear" w:color="auto" w:fill="FFFFFF"/>
          </w:tcPr>
          <w:p w14:paraId="64C88886" w14:textId="77777777" w:rsidR="0095136F" w:rsidRPr="00A07F29" w:rsidRDefault="0095136F" w:rsidP="004E3F0B">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7000</w:t>
            </w:r>
          </w:p>
        </w:tc>
        <w:tc>
          <w:tcPr>
            <w:tcW w:w="1702" w:type="dxa"/>
            <w:shd w:val="clear" w:color="auto" w:fill="FFFFFF"/>
          </w:tcPr>
          <w:p w14:paraId="7C2A5A30" w14:textId="77777777" w:rsidR="0095136F" w:rsidRPr="00A07F29" w:rsidRDefault="0095136F" w:rsidP="004E3F0B">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2 % ≥ p &gt; 0 %</w:t>
            </w:r>
          </w:p>
        </w:tc>
        <w:tc>
          <w:tcPr>
            <w:tcW w:w="1559" w:type="dxa"/>
            <w:shd w:val="clear" w:color="auto" w:fill="FFFFFF"/>
          </w:tcPr>
          <w:p w14:paraId="7FD2D7A6" w14:textId="77777777" w:rsidR="0095136F" w:rsidRPr="00A07F29" w:rsidRDefault="0095136F" w:rsidP="004E3F0B">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2 % ≥ p &gt; 0 %</w:t>
            </w:r>
          </w:p>
        </w:tc>
        <w:tc>
          <w:tcPr>
            <w:tcW w:w="992" w:type="dxa"/>
            <w:shd w:val="clear" w:color="auto" w:fill="FFFFFF"/>
          </w:tcPr>
          <w:p w14:paraId="56A7F104" w14:textId="77777777" w:rsidR="0095136F" w:rsidRPr="00A07F29" w:rsidRDefault="0095136F" w:rsidP="004E3F0B">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3.5 ha</w:t>
            </w:r>
          </w:p>
        </w:tc>
        <w:tc>
          <w:tcPr>
            <w:tcW w:w="1701" w:type="dxa"/>
            <w:shd w:val="clear" w:color="auto" w:fill="FFFFFF"/>
          </w:tcPr>
          <w:p w14:paraId="03D60E15" w14:textId="77777777" w:rsidR="0095136F" w:rsidRPr="00A07F29" w:rsidRDefault="0095136F" w:rsidP="004E3F0B">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2 % ≥ p &gt; 0 %</w:t>
            </w:r>
          </w:p>
        </w:tc>
        <w:tc>
          <w:tcPr>
            <w:tcW w:w="1262" w:type="dxa"/>
            <w:shd w:val="clear" w:color="auto" w:fill="FFC000"/>
            <w:vAlign w:val="center"/>
          </w:tcPr>
          <w:p w14:paraId="45E6F71F" w14:textId="77777777" w:rsidR="0095136F" w:rsidRPr="00A07F29" w:rsidRDefault="0095136F" w:rsidP="004E3F0B">
            <w:pPr>
              <w:suppressAutoHyphens/>
              <w:spacing w:after="0" w:line="240" w:lineRule="auto"/>
              <w:jc w:val="center"/>
              <w:rPr>
                <w:rFonts w:ascii="Times New Roman" w:eastAsia="Calibri" w:hAnsi="Times New Roman" w:cs="Times New Roman"/>
                <w:b/>
                <w:bCs/>
                <w:color w:val="000000"/>
                <w:sz w:val="20"/>
                <w:szCs w:val="20"/>
                <w:lang w:eastAsia="ar-SA"/>
              </w:rPr>
            </w:pPr>
            <w:r w:rsidRPr="00A07F29">
              <w:rPr>
                <w:rFonts w:ascii="Times New Roman" w:eastAsia="Calibri" w:hAnsi="Times New Roman" w:cs="Times New Roman"/>
                <w:b/>
                <w:bCs/>
                <w:color w:val="000000"/>
                <w:sz w:val="20"/>
                <w:szCs w:val="20"/>
                <w:lang w:eastAsia="ar-SA"/>
              </w:rPr>
              <w:t>U1I</w:t>
            </w:r>
          </w:p>
        </w:tc>
        <w:tc>
          <w:tcPr>
            <w:tcW w:w="1417" w:type="dxa"/>
            <w:shd w:val="clear" w:color="auto" w:fill="FFC000"/>
            <w:vAlign w:val="center"/>
          </w:tcPr>
          <w:p w14:paraId="48A342A4" w14:textId="28CA84ED" w:rsidR="0095136F" w:rsidRPr="00A07F29" w:rsidRDefault="0095136F" w:rsidP="006356B6">
            <w:pPr>
              <w:suppressAutoHyphens/>
              <w:spacing w:after="0" w:line="240" w:lineRule="auto"/>
              <w:jc w:val="center"/>
              <w:rPr>
                <w:rFonts w:ascii="Times New Roman" w:eastAsia="Calibri" w:hAnsi="Times New Roman" w:cs="Times New Roman"/>
                <w:b/>
                <w:bCs/>
                <w:color w:val="000000"/>
                <w:sz w:val="20"/>
                <w:szCs w:val="20"/>
                <w:lang w:eastAsia="ar-SA"/>
              </w:rPr>
            </w:pPr>
            <w:r w:rsidRPr="00A07F29">
              <w:rPr>
                <w:rFonts w:ascii="Times New Roman" w:eastAsia="Calibri" w:hAnsi="Times New Roman" w:cs="Times New Roman"/>
                <w:b/>
                <w:bCs/>
                <w:color w:val="000000"/>
                <w:sz w:val="20"/>
                <w:szCs w:val="20"/>
                <w:lang w:eastAsia="ar-SA"/>
              </w:rPr>
              <w:t>U1</w:t>
            </w:r>
            <w:r w:rsidR="006356B6" w:rsidRPr="00A07F29">
              <w:rPr>
                <w:rFonts w:ascii="Times New Roman" w:eastAsia="Calibri" w:hAnsi="Times New Roman" w:cs="Times New Roman"/>
                <w:b/>
                <w:bCs/>
                <w:color w:val="000000"/>
                <w:sz w:val="20"/>
                <w:szCs w:val="20"/>
                <w:lang w:eastAsia="ar-SA"/>
              </w:rPr>
              <w:t>S</w:t>
            </w:r>
          </w:p>
        </w:tc>
      </w:tr>
      <w:tr w:rsidR="0095136F" w:rsidRPr="00A07F29" w14:paraId="32C9AAEC" w14:textId="77777777" w:rsidTr="004E3F0B">
        <w:trPr>
          <w:jc w:val="center"/>
        </w:trPr>
        <w:tc>
          <w:tcPr>
            <w:tcW w:w="571" w:type="dxa"/>
          </w:tcPr>
          <w:p w14:paraId="56A384D3" w14:textId="77777777" w:rsidR="0095136F" w:rsidRPr="00A07F29" w:rsidRDefault="0095136F" w:rsidP="00F87589">
            <w:pPr>
              <w:numPr>
                <w:ilvl w:val="0"/>
                <w:numId w:val="22"/>
              </w:numPr>
              <w:suppressAutoHyphens/>
              <w:spacing w:after="0" w:line="240" w:lineRule="auto"/>
              <w:contextualSpacing/>
              <w:jc w:val="center"/>
              <w:rPr>
                <w:rFonts w:ascii="Times New Roman" w:eastAsia="Calibri" w:hAnsi="Times New Roman" w:cs="Times New Roman"/>
                <w:color w:val="000000"/>
                <w:sz w:val="20"/>
                <w:szCs w:val="20"/>
                <w:lang w:eastAsia="ar-SA"/>
              </w:rPr>
            </w:pPr>
          </w:p>
        </w:tc>
        <w:tc>
          <w:tcPr>
            <w:tcW w:w="2118" w:type="dxa"/>
            <w:shd w:val="clear" w:color="auto" w:fill="FFFFFF"/>
          </w:tcPr>
          <w:p w14:paraId="5A2B6539" w14:textId="77777777" w:rsidR="0095136F" w:rsidRPr="00A07F29" w:rsidRDefault="0095136F" w:rsidP="004E3F0B">
            <w:pPr>
              <w:suppressAutoHyphens/>
              <w:spacing w:after="0" w:line="240" w:lineRule="auto"/>
              <w:rPr>
                <w:rFonts w:ascii="Times New Roman" w:eastAsia="Calibri" w:hAnsi="Times New Roman" w:cs="Times New Roman"/>
                <w:color w:val="000000"/>
                <w:spacing w:val="1"/>
                <w:sz w:val="20"/>
                <w:szCs w:val="20"/>
                <w:lang w:eastAsia="ar-SA"/>
              </w:rPr>
            </w:pPr>
            <w:r w:rsidRPr="00A07F29">
              <w:rPr>
                <w:rFonts w:ascii="Times New Roman" w:eastAsia="Calibri" w:hAnsi="Times New Roman" w:cs="Times New Roman"/>
                <w:color w:val="000000"/>
                <w:sz w:val="20"/>
                <w:szCs w:val="20"/>
                <w:lang w:eastAsia="ar-SA"/>
              </w:rPr>
              <w:t xml:space="preserve">Lapkoku </w:t>
            </w:r>
            <w:proofErr w:type="spellStart"/>
            <w:r w:rsidRPr="00A07F29">
              <w:rPr>
                <w:rFonts w:ascii="Times New Roman" w:eastAsia="Calibri" w:hAnsi="Times New Roman" w:cs="Times New Roman"/>
                <w:color w:val="000000"/>
                <w:sz w:val="20"/>
                <w:szCs w:val="20"/>
                <w:lang w:eastAsia="ar-SA"/>
              </w:rPr>
              <w:t>praulgrauzis</w:t>
            </w:r>
            <w:proofErr w:type="spellEnd"/>
            <w:r w:rsidRPr="00A07F29">
              <w:rPr>
                <w:rFonts w:ascii="Times New Roman" w:eastAsia="Calibri" w:hAnsi="Times New Roman" w:cs="Times New Roman"/>
                <w:i/>
                <w:color w:val="000000"/>
                <w:sz w:val="20"/>
                <w:szCs w:val="20"/>
                <w:lang w:eastAsia="ar-SA"/>
              </w:rPr>
              <w:t xml:space="preserve"> </w:t>
            </w:r>
            <w:proofErr w:type="spellStart"/>
            <w:r w:rsidRPr="00A07F29">
              <w:rPr>
                <w:rFonts w:ascii="Times New Roman" w:eastAsia="Calibri" w:hAnsi="Times New Roman" w:cs="Times New Roman"/>
                <w:i/>
                <w:color w:val="000000"/>
                <w:sz w:val="20"/>
                <w:szCs w:val="20"/>
                <w:lang w:eastAsia="ar-SA"/>
              </w:rPr>
              <w:t>Osm</w:t>
            </w:r>
            <w:r w:rsidRPr="00A07F29">
              <w:rPr>
                <w:rFonts w:ascii="Times New Roman" w:eastAsia="Calibri" w:hAnsi="Times New Roman" w:cs="Times New Roman"/>
                <w:i/>
                <w:color w:val="000000"/>
                <w:spacing w:val="1"/>
                <w:sz w:val="20"/>
                <w:szCs w:val="20"/>
                <w:lang w:eastAsia="ar-SA"/>
              </w:rPr>
              <w:t>od</w:t>
            </w:r>
            <w:r w:rsidRPr="00A07F29">
              <w:rPr>
                <w:rFonts w:ascii="Times New Roman" w:eastAsia="Calibri" w:hAnsi="Times New Roman" w:cs="Times New Roman"/>
                <w:i/>
                <w:color w:val="000000"/>
                <w:spacing w:val="-1"/>
                <w:sz w:val="20"/>
                <w:szCs w:val="20"/>
                <w:lang w:eastAsia="ar-SA"/>
              </w:rPr>
              <w:t>e</w:t>
            </w:r>
            <w:r w:rsidRPr="00A07F29">
              <w:rPr>
                <w:rFonts w:ascii="Times New Roman" w:eastAsia="Calibri" w:hAnsi="Times New Roman" w:cs="Times New Roman"/>
                <w:i/>
                <w:color w:val="000000"/>
                <w:sz w:val="20"/>
                <w:szCs w:val="20"/>
                <w:lang w:eastAsia="ar-SA"/>
              </w:rPr>
              <w:t>rma</w:t>
            </w:r>
            <w:proofErr w:type="spellEnd"/>
            <w:r w:rsidRPr="00A07F29">
              <w:rPr>
                <w:rFonts w:ascii="Times New Roman" w:eastAsia="Calibri" w:hAnsi="Times New Roman" w:cs="Times New Roman"/>
                <w:i/>
                <w:color w:val="000000"/>
                <w:spacing w:val="-6"/>
                <w:sz w:val="20"/>
                <w:szCs w:val="20"/>
                <w:lang w:eastAsia="ar-SA"/>
              </w:rPr>
              <w:t xml:space="preserve"> </w:t>
            </w:r>
            <w:proofErr w:type="spellStart"/>
            <w:r w:rsidRPr="00A07F29">
              <w:rPr>
                <w:rFonts w:ascii="Times New Roman" w:eastAsia="Calibri" w:hAnsi="Times New Roman" w:cs="Times New Roman"/>
                <w:i/>
                <w:color w:val="000000"/>
                <w:spacing w:val="-1"/>
                <w:sz w:val="20"/>
                <w:szCs w:val="20"/>
                <w:lang w:eastAsia="ar-SA"/>
              </w:rPr>
              <w:t>barnabita</w:t>
            </w:r>
            <w:proofErr w:type="spellEnd"/>
          </w:p>
        </w:tc>
        <w:tc>
          <w:tcPr>
            <w:tcW w:w="580" w:type="dxa"/>
            <w:shd w:val="clear" w:color="auto" w:fill="FFFFFF"/>
          </w:tcPr>
          <w:p w14:paraId="4DD71BFD" w14:textId="77777777" w:rsidR="0095136F" w:rsidRPr="00A07F29" w:rsidRDefault="0095136F" w:rsidP="004E3F0B">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II*, IV</w:t>
            </w:r>
          </w:p>
        </w:tc>
        <w:tc>
          <w:tcPr>
            <w:tcW w:w="851" w:type="dxa"/>
            <w:shd w:val="clear" w:color="auto" w:fill="FFFFFF"/>
          </w:tcPr>
          <w:p w14:paraId="5059A269" w14:textId="77777777" w:rsidR="0095136F" w:rsidRPr="00A07F29" w:rsidRDefault="0095136F" w:rsidP="004E3F0B">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30</w:t>
            </w:r>
          </w:p>
        </w:tc>
        <w:tc>
          <w:tcPr>
            <w:tcW w:w="850" w:type="dxa"/>
            <w:shd w:val="clear" w:color="auto" w:fill="FFFFFF"/>
          </w:tcPr>
          <w:p w14:paraId="19B86665" w14:textId="77777777" w:rsidR="0095136F" w:rsidRPr="00A07F29" w:rsidRDefault="0095136F" w:rsidP="004E3F0B">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600</w:t>
            </w:r>
          </w:p>
        </w:tc>
        <w:tc>
          <w:tcPr>
            <w:tcW w:w="1702" w:type="dxa"/>
            <w:shd w:val="clear" w:color="auto" w:fill="FFFFFF"/>
          </w:tcPr>
          <w:p w14:paraId="523CF8C6" w14:textId="77777777" w:rsidR="0095136F" w:rsidRPr="00A07F29" w:rsidRDefault="0095136F" w:rsidP="004E3F0B">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2 % ≥ p &gt; 0 %</w:t>
            </w:r>
          </w:p>
        </w:tc>
        <w:tc>
          <w:tcPr>
            <w:tcW w:w="1559" w:type="dxa"/>
            <w:shd w:val="clear" w:color="auto" w:fill="FFFFFF"/>
          </w:tcPr>
          <w:p w14:paraId="082093BB" w14:textId="77777777" w:rsidR="0095136F" w:rsidRPr="00A07F29" w:rsidRDefault="0095136F" w:rsidP="004E3F0B">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2 % ≥ p &gt; 0 %</w:t>
            </w:r>
          </w:p>
        </w:tc>
        <w:tc>
          <w:tcPr>
            <w:tcW w:w="992" w:type="dxa"/>
            <w:shd w:val="clear" w:color="auto" w:fill="FFFFFF"/>
          </w:tcPr>
          <w:p w14:paraId="64D03191" w14:textId="77777777" w:rsidR="0095136F" w:rsidRPr="00A07F29" w:rsidRDefault="0095136F" w:rsidP="004E3F0B">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11 ha</w:t>
            </w:r>
          </w:p>
        </w:tc>
        <w:tc>
          <w:tcPr>
            <w:tcW w:w="1701" w:type="dxa"/>
            <w:shd w:val="clear" w:color="auto" w:fill="FFFFFF"/>
          </w:tcPr>
          <w:p w14:paraId="220A7034" w14:textId="77777777" w:rsidR="0095136F" w:rsidRPr="00A07F29" w:rsidRDefault="0095136F" w:rsidP="004E3F0B">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2 % ≥ p &gt; 0 %</w:t>
            </w:r>
          </w:p>
        </w:tc>
        <w:tc>
          <w:tcPr>
            <w:tcW w:w="1262" w:type="dxa"/>
            <w:shd w:val="clear" w:color="auto" w:fill="FF0000"/>
            <w:vAlign w:val="center"/>
          </w:tcPr>
          <w:p w14:paraId="057F3D48" w14:textId="77777777" w:rsidR="0095136F" w:rsidRPr="00A07F29" w:rsidRDefault="0095136F" w:rsidP="004E3F0B">
            <w:pPr>
              <w:suppressAutoHyphens/>
              <w:spacing w:after="0" w:line="240" w:lineRule="auto"/>
              <w:jc w:val="center"/>
              <w:rPr>
                <w:rFonts w:ascii="Times New Roman" w:eastAsia="Calibri" w:hAnsi="Times New Roman" w:cs="Times New Roman"/>
                <w:b/>
                <w:bCs/>
                <w:color w:val="000000"/>
                <w:sz w:val="20"/>
                <w:szCs w:val="20"/>
                <w:lang w:eastAsia="ar-SA"/>
              </w:rPr>
            </w:pPr>
            <w:r w:rsidRPr="00A07F29">
              <w:rPr>
                <w:rFonts w:ascii="Times New Roman" w:eastAsia="Calibri" w:hAnsi="Times New Roman" w:cs="Times New Roman"/>
                <w:b/>
                <w:bCs/>
                <w:color w:val="000000"/>
                <w:sz w:val="20"/>
                <w:szCs w:val="20"/>
                <w:lang w:eastAsia="ar-SA"/>
              </w:rPr>
              <w:t>U2X</w:t>
            </w:r>
          </w:p>
        </w:tc>
        <w:tc>
          <w:tcPr>
            <w:tcW w:w="1417" w:type="dxa"/>
            <w:shd w:val="clear" w:color="auto" w:fill="FF0000"/>
            <w:vAlign w:val="center"/>
          </w:tcPr>
          <w:p w14:paraId="7D5EA415" w14:textId="77777777" w:rsidR="0095136F" w:rsidRPr="00A07F29" w:rsidRDefault="0095136F" w:rsidP="004E3F0B">
            <w:pPr>
              <w:suppressAutoHyphens/>
              <w:spacing w:after="0" w:line="240" w:lineRule="auto"/>
              <w:jc w:val="center"/>
              <w:rPr>
                <w:rFonts w:ascii="Times New Roman" w:eastAsia="Calibri" w:hAnsi="Times New Roman" w:cs="Times New Roman"/>
                <w:b/>
                <w:bCs/>
                <w:color w:val="000000"/>
                <w:sz w:val="20"/>
                <w:szCs w:val="20"/>
                <w:lang w:eastAsia="ar-SA"/>
              </w:rPr>
            </w:pPr>
            <w:r w:rsidRPr="00A07F29">
              <w:rPr>
                <w:rFonts w:ascii="Times New Roman" w:eastAsia="Calibri" w:hAnsi="Times New Roman" w:cs="Times New Roman"/>
                <w:b/>
                <w:bCs/>
                <w:color w:val="000000"/>
                <w:sz w:val="20"/>
                <w:szCs w:val="20"/>
                <w:lang w:eastAsia="ar-SA"/>
              </w:rPr>
              <w:t>U2X</w:t>
            </w:r>
          </w:p>
        </w:tc>
      </w:tr>
      <w:tr w:rsidR="0095136F" w:rsidRPr="00A07F29" w14:paraId="729D4DAB" w14:textId="77777777" w:rsidTr="004E3F0B">
        <w:trPr>
          <w:jc w:val="center"/>
        </w:trPr>
        <w:tc>
          <w:tcPr>
            <w:tcW w:w="571" w:type="dxa"/>
          </w:tcPr>
          <w:p w14:paraId="7DAEEBC8" w14:textId="77777777" w:rsidR="0095136F" w:rsidRPr="00A07F29" w:rsidRDefault="0095136F" w:rsidP="00F87589">
            <w:pPr>
              <w:numPr>
                <w:ilvl w:val="0"/>
                <w:numId w:val="22"/>
              </w:numPr>
              <w:suppressAutoHyphens/>
              <w:spacing w:after="0" w:line="240" w:lineRule="auto"/>
              <w:contextualSpacing/>
              <w:jc w:val="center"/>
              <w:rPr>
                <w:rFonts w:ascii="Times New Roman" w:eastAsia="Calibri" w:hAnsi="Times New Roman" w:cs="Times New Roman"/>
                <w:color w:val="000000"/>
                <w:sz w:val="20"/>
                <w:szCs w:val="20"/>
                <w:lang w:eastAsia="ar-SA"/>
              </w:rPr>
            </w:pPr>
          </w:p>
        </w:tc>
        <w:tc>
          <w:tcPr>
            <w:tcW w:w="2118" w:type="dxa"/>
            <w:shd w:val="clear" w:color="auto" w:fill="FFFFFF"/>
          </w:tcPr>
          <w:p w14:paraId="3A9865DF" w14:textId="77777777" w:rsidR="0095136F" w:rsidRPr="00A07F29" w:rsidRDefault="0095136F" w:rsidP="004E3F0B">
            <w:pPr>
              <w:suppressAutoHyphens/>
              <w:spacing w:after="0" w:line="240" w:lineRule="auto"/>
              <w:rPr>
                <w:rFonts w:ascii="Times New Roman" w:eastAsia="Calibri" w:hAnsi="Times New Roman" w:cs="Times New Roman"/>
                <w:color w:val="000000"/>
                <w:sz w:val="20"/>
                <w:szCs w:val="20"/>
                <w:lang w:eastAsia="ar-SA"/>
              </w:rPr>
            </w:pPr>
            <w:proofErr w:type="spellStart"/>
            <w:r w:rsidRPr="00A07F29">
              <w:rPr>
                <w:rFonts w:ascii="Times New Roman" w:eastAsia="Calibri" w:hAnsi="Times New Roman" w:cs="Times New Roman"/>
                <w:iCs/>
                <w:color w:val="000000"/>
                <w:sz w:val="20"/>
                <w:szCs w:val="20"/>
                <w:lang w:eastAsia="ar-SA"/>
              </w:rPr>
              <w:t>Mannerheima</w:t>
            </w:r>
            <w:proofErr w:type="spellEnd"/>
            <w:r w:rsidRPr="00A07F29">
              <w:rPr>
                <w:rFonts w:ascii="Times New Roman" w:eastAsia="Calibri" w:hAnsi="Times New Roman" w:cs="Times New Roman"/>
                <w:iCs/>
                <w:color w:val="000000"/>
                <w:sz w:val="20"/>
                <w:szCs w:val="20"/>
                <w:lang w:eastAsia="ar-SA"/>
              </w:rPr>
              <w:t xml:space="preserve"> īsspārnis</w:t>
            </w:r>
            <w:r w:rsidRPr="00A07F29">
              <w:rPr>
                <w:rFonts w:ascii="Times New Roman" w:eastAsia="Calibri" w:hAnsi="Times New Roman" w:cs="Times New Roman"/>
                <w:i/>
                <w:iCs/>
                <w:color w:val="000000"/>
                <w:sz w:val="20"/>
                <w:szCs w:val="20"/>
                <w:lang w:eastAsia="ar-SA"/>
              </w:rPr>
              <w:t xml:space="preserve"> </w:t>
            </w:r>
            <w:proofErr w:type="spellStart"/>
            <w:r w:rsidRPr="00A07F29">
              <w:rPr>
                <w:rFonts w:ascii="Times New Roman" w:eastAsia="Calibri" w:hAnsi="Times New Roman" w:cs="Times New Roman"/>
                <w:i/>
                <w:iCs/>
                <w:color w:val="000000"/>
                <w:sz w:val="20"/>
                <w:szCs w:val="20"/>
                <w:lang w:eastAsia="ar-SA"/>
              </w:rPr>
              <w:t>Oxyporus</w:t>
            </w:r>
            <w:proofErr w:type="spellEnd"/>
            <w:r w:rsidRPr="00A07F29">
              <w:rPr>
                <w:rFonts w:ascii="Times New Roman" w:eastAsia="Calibri" w:hAnsi="Times New Roman" w:cs="Times New Roman"/>
                <w:i/>
                <w:iCs/>
                <w:color w:val="000000"/>
                <w:sz w:val="20"/>
                <w:szCs w:val="20"/>
                <w:lang w:eastAsia="ar-SA"/>
              </w:rPr>
              <w:t xml:space="preserve"> </w:t>
            </w:r>
            <w:proofErr w:type="spellStart"/>
            <w:r w:rsidRPr="00A07F29">
              <w:rPr>
                <w:rFonts w:ascii="Times New Roman" w:eastAsia="Calibri" w:hAnsi="Times New Roman" w:cs="Times New Roman"/>
                <w:i/>
                <w:iCs/>
                <w:color w:val="000000"/>
                <w:sz w:val="20"/>
                <w:szCs w:val="20"/>
                <w:lang w:eastAsia="ar-SA"/>
              </w:rPr>
              <w:t>mannerheimii</w:t>
            </w:r>
            <w:proofErr w:type="spellEnd"/>
          </w:p>
        </w:tc>
        <w:tc>
          <w:tcPr>
            <w:tcW w:w="580" w:type="dxa"/>
            <w:shd w:val="clear" w:color="auto" w:fill="FFFFFF"/>
          </w:tcPr>
          <w:p w14:paraId="0388EC90" w14:textId="77777777" w:rsidR="0095136F" w:rsidRPr="00A07F29" w:rsidRDefault="0095136F" w:rsidP="004E3F0B">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II</w:t>
            </w:r>
          </w:p>
        </w:tc>
        <w:tc>
          <w:tcPr>
            <w:tcW w:w="851" w:type="dxa"/>
            <w:shd w:val="clear" w:color="auto" w:fill="FFFFFF"/>
          </w:tcPr>
          <w:p w14:paraId="36E80DE8" w14:textId="77777777" w:rsidR="0095136F" w:rsidRPr="00A07F29" w:rsidRDefault="0095136F" w:rsidP="004E3F0B">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10</w:t>
            </w:r>
          </w:p>
        </w:tc>
        <w:tc>
          <w:tcPr>
            <w:tcW w:w="850" w:type="dxa"/>
            <w:shd w:val="clear" w:color="auto" w:fill="FFFFFF"/>
          </w:tcPr>
          <w:p w14:paraId="7F6A3C98" w14:textId="77777777" w:rsidR="0095136F" w:rsidRPr="00A07F29" w:rsidRDefault="0095136F" w:rsidP="004E3F0B">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100</w:t>
            </w:r>
          </w:p>
        </w:tc>
        <w:tc>
          <w:tcPr>
            <w:tcW w:w="1702" w:type="dxa"/>
            <w:shd w:val="clear" w:color="auto" w:fill="FFFFFF"/>
          </w:tcPr>
          <w:p w14:paraId="29A37FB7" w14:textId="77777777" w:rsidR="0095136F" w:rsidRPr="00A07F29" w:rsidRDefault="0095136F" w:rsidP="004E3F0B">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15 % ≥ p &gt; 2 %</w:t>
            </w:r>
          </w:p>
        </w:tc>
        <w:tc>
          <w:tcPr>
            <w:tcW w:w="1559" w:type="dxa"/>
            <w:shd w:val="clear" w:color="auto" w:fill="FFFFFF"/>
          </w:tcPr>
          <w:p w14:paraId="006769EC" w14:textId="77777777" w:rsidR="0095136F" w:rsidRPr="00A07F29" w:rsidRDefault="0095136F" w:rsidP="004E3F0B">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15 % ≥ p &gt; 2 %</w:t>
            </w:r>
          </w:p>
        </w:tc>
        <w:tc>
          <w:tcPr>
            <w:tcW w:w="992" w:type="dxa"/>
            <w:shd w:val="clear" w:color="auto" w:fill="FFFFFF"/>
          </w:tcPr>
          <w:p w14:paraId="1A573F6E" w14:textId="77777777" w:rsidR="0095136F" w:rsidRPr="00A07F29" w:rsidRDefault="0095136F" w:rsidP="004E3F0B">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70 ha</w:t>
            </w:r>
          </w:p>
        </w:tc>
        <w:tc>
          <w:tcPr>
            <w:tcW w:w="1701" w:type="dxa"/>
            <w:shd w:val="clear" w:color="auto" w:fill="FFFFFF"/>
          </w:tcPr>
          <w:p w14:paraId="20291763" w14:textId="77777777" w:rsidR="0095136F" w:rsidRPr="00A07F29" w:rsidRDefault="0095136F" w:rsidP="004E3F0B">
            <w:pPr>
              <w:suppressAutoHyphens/>
              <w:spacing w:after="0" w:line="240" w:lineRule="auto"/>
              <w:jc w:val="center"/>
              <w:rPr>
                <w:rFonts w:ascii="Times New Roman" w:eastAsia="Calibri" w:hAnsi="Times New Roman" w:cs="Times New Roman"/>
                <w:color w:val="000000"/>
                <w:sz w:val="20"/>
                <w:szCs w:val="20"/>
                <w:lang w:eastAsia="ar-SA"/>
              </w:rPr>
            </w:pPr>
            <w:r w:rsidRPr="00A07F29">
              <w:rPr>
                <w:rFonts w:ascii="Times New Roman" w:eastAsia="Calibri" w:hAnsi="Times New Roman" w:cs="Times New Roman"/>
                <w:color w:val="000000"/>
                <w:sz w:val="20"/>
                <w:szCs w:val="20"/>
                <w:lang w:eastAsia="ar-SA"/>
              </w:rPr>
              <w:t>15 % ≥ p &gt; 2 %</w:t>
            </w:r>
          </w:p>
        </w:tc>
        <w:tc>
          <w:tcPr>
            <w:tcW w:w="1262" w:type="dxa"/>
            <w:shd w:val="clear" w:color="auto" w:fill="A6A6A6" w:themeFill="background1" w:themeFillShade="A6"/>
            <w:vAlign w:val="center"/>
          </w:tcPr>
          <w:p w14:paraId="6372EA31" w14:textId="77777777" w:rsidR="0095136F" w:rsidRPr="00A07F29" w:rsidRDefault="0095136F" w:rsidP="004E3F0B">
            <w:pPr>
              <w:suppressAutoHyphens/>
              <w:spacing w:after="0" w:line="240" w:lineRule="auto"/>
              <w:jc w:val="center"/>
              <w:rPr>
                <w:rFonts w:ascii="Times New Roman" w:eastAsia="Calibri" w:hAnsi="Times New Roman" w:cs="Times New Roman"/>
                <w:b/>
                <w:bCs/>
                <w:color w:val="000000"/>
                <w:sz w:val="20"/>
                <w:szCs w:val="20"/>
                <w:lang w:eastAsia="ar-SA"/>
              </w:rPr>
            </w:pPr>
            <w:r w:rsidRPr="00A07F29">
              <w:rPr>
                <w:rFonts w:ascii="Times New Roman" w:eastAsia="Calibri" w:hAnsi="Times New Roman" w:cs="Times New Roman"/>
                <w:b/>
                <w:bCs/>
                <w:color w:val="000000"/>
                <w:sz w:val="20"/>
                <w:szCs w:val="20"/>
                <w:lang w:eastAsia="ar-SA"/>
              </w:rPr>
              <w:t>XX</w:t>
            </w:r>
          </w:p>
        </w:tc>
        <w:tc>
          <w:tcPr>
            <w:tcW w:w="1417" w:type="dxa"/>
            <w:shd w:val="clear" w:color="auto" w:fill="A6A6A6" w:themeFill="background1" w:themeFillShade="A6"/>
            <w:vAlign w:val="center"/>
          </w:tcPr>
          <w:p w14:paraId="4A8F32D1" w14:textId="77777777" w:rsidR="0095136F" w:rsidRPr="00A07F29" w:rsidRDefault="0095136F" w:rsidP="004E3F0B">
            <w:pPr>
              <w:suppressAutoHyphens/>
              <w:spacing w:after="0" w:line="240" w:lineRule="auto"/>
              <w:jc w:val="center"/>
              <w:rPr>
                <w:rFonts w:ascii="Times New Roman" w:eastAsia="Calibri" w:hAnsi="Times New Roman" w:cs="Times New Roman"/>
                <w:b/>
                <w:bCs/>
                <w:color w:val="000000"/>
                <w:sz w:val="20"/>
                <w:szCs w:val="20"/>
                <w:lang w:eastAsia="ar-SA"/>
              </w:rPr>
            </w:pPr>
            <w:r w:rsidRPr="00A07F29">
              <w:rPr>
                <w:rFonts w:ascii="Times New Roman" w:eastAsia="Calibri" w:hAnsi="Times New Roman" w:cs="Times New Roman"/>
                <w:b/>
                <w:bCs/>
                <w:color w:val="000000"/>
                <w:sz w:val="20"/>
                <w:szCs w:val="20"/>
                <w:lang w:eastAsia="ar-SA"/>
              </w:rPr>
              <w:t>XX</w:t>
            </w:r>
          </w:p>
        </w:tc>
      </w:tr>
    </w:tbl>
    <w:p w14:paraId="4735EBB9" w14:textId="77777777" w:rsidR="0095136F" w:rsidRPr="00A07F29" w:rsidRDefault="0095136F" w:rsidP="0095136F">
      <w:pPr>
        <w:keepNext/>
        <w:spacing w:before="120" w:after="120"/>
        <w:jc w:val="both"/>
        <w:rPr>
          <w:rFonts w:ascii="Times New Roman" w:eastAsia="Calibri" w:hAnsi="Times New Roman" w:cs="Times New Roman"/>
          <w:b/>
          <w:sz w:val="20"/>
          <w:szCs w:val="20"/>
        </w:rPr>
      </w:pPr>
      <w:r w:rsidRPr="00A07F29">
        <w:rPr>
          <w:rFonts w:ascii="Times New Roman" w:eastAsia="Calibri" w:hAnsi="Times New Roman" w:cs="Times New Roman"/>
          <w:b/>
          <w:sz w:val="20"/>
          <w:szCs w:val="20"/>
        </w:rPr>
        <w:t>Paskaidrojumi un apzīmējumi</w:t>
      </w:r>
    </w:p>
    <w:p w14:paraId="7AA0F245" w14:textId="3F204F39" w:rsidR="0095136F" w:rsidRPr="00A07F29" w:rsidRDefault="0095136F" w:rsidP="0095136F">
      <w:pPr>
        <w:spacing w:after="120"/>
        <w:jc w:val="both"/>
        <w:rPr>
          <w:rFonts w:ascii="Times New Roman" w:eastAsia="Calibri" w:hAnsi="Times New Roman" w:cs="Times New Roman"/>
          <w:sz w:val="16"/>
          <w:szCs w:val="16"/>
        </w:rPr>
      </w:pPr>
      <w:r w:rsidRPr="00A07F29">
        <w:rPr>
          <w:rFonts w:ascii="Times New Roman" w:eastAsia="Calibri" w:hAnsi="Times New Roman" w:cs="Times New Roman"/>
          <w:b/>
          <w:sz w:val="16"/>
          <w:szCs w:val="16"/>
        </w:rPr>
        <w:t>*</w:t>
      </w:r>
      <w:r w:rsidR="00333937" w:rsidRPr="00333937">
        <w:rPr>
          <w:rFonts w:ascii="Times New Roman" w:eastAsia="Calibri" w:hAnsi="Times New Roman" w:cs="Times New Roman"/>
          <w:b/>
          <w:sz w:val="16"/>
          <w:szCs w:val="16"/>
        </w:rPr>
        <w:t xml:space="preserve"> Aizsardzības stāvokļa novērtējums atbilstoši ziņojumā Eiropas Komisijai </w:t>
      </w:r>
      <w:r w:rsidR="00333937" w:rsidRPr="00333937">
        <w:rPr>
          <w:rFonts w:ascii="Times New Roman" w:eastAsia="Calibri" w:hAnsi="Times New Roman" w:cs="Times New Roman"/>
          <w:b/>
          <w:bCs/>
          <w:iCs/>
          <w:sz w:val="16"/>
          <w:szCs w:val="16"/>
        </w:rPr>
        <w:t>par ES nozīmes biotopu (dzīvotņu) un sugu aizsardzības stāvokli Latvijā, novērtējums par 20</w:t>
      </w:r>
      <w:r w:rsidR="00B478AE">
        <w:rPr>
          <w:rFonts w:ascii="Times New Roman" w:eastAsia="Calibri" w:hAnsi="Times New Roman" w:cs="Times New Roman"/>
          <w:b/>
          <w:bCs/>
          <w:iCs/>
          <w:sz w:val="16"/>
          <w:szCs w:val="16"/>
        </w:rPr>
        <w:t>1</w:t>
      </w:r>
      <w:r w:rsidR="00333937" w:rsidRPr="00333937">
        <w:rPr>
          <w:rFonts w:ascii="Times New Roman" w:eastAsia="Calibri" w:hAnsi="Times New Roman" w:cs="Times New Roman"/>
          <w:b/>
          <w:bCs/>
          <w:iCs/>
          <w:sz w:val="16"/>
          <w:szCs w:val="16"/>
        </w:rPr>
        <w:t>3. – 2018. gada periodu (ES ziņojums, 2019) lietotajiem apzīmējumiem</w:t>
      </w:r>
      <w:r w:rsidR="00333937" w:rsidRPr="00333937">
        <w:rPr>
          <w:rFonts w:ascii="Times New Roman" w:eastAsia="Calibri" w:hAnsi="Times New Roman" w:cs="Times New Roman"/>
          <w:b/>
          <w:sz w:val="16"/>
          <w:szCs w:val="16"/>
        </w:rPr>
        <w:t xml:space="preserve"> (tikai direktīvu pielikumos iekļautajām sugām)</w:t>
      </w:r>
      <w:r w:rsidRPr="00A07F29">
        <w:rPr>
          <w:rFonts w:ascii="Times New Roman" w:eastAsia="Calibri" w:hAnsi="Times New Roman" w:cs="Times New Roman"/>
          <w:b/>
          <w:sz w:val="16"/>
          <w:szCs w:val="16"/>
        </w:rPr>
        <w:t>:</w:t>
      </w:r>
    </w:p>
    <w:tbl>
      <w:tblPr>
        <w:tblStyle w:val="TableGrid"/>
        <w:tblW w:w="0" w:type="auto"/>
        <w:tblLook w:val="04A0" w:firstRow="1" w:lastRow="0" w:firstColumn="1" w:lastColumn="0" w:noHBand="0" w:noVBand="1"/>
      </w:tblPr>
      <w:tblGrid>
        <w:gridCol w:w="704"/>
        <w:gridCol w:w="8646"/>
      </w:tblGrid>
      <w:tr w:rsidR="0095136F" w:rsidRPr="00A07F29" w14:paraId="12372651" w14:textId="77777777" w:rsidTr="004E3F0B">
        <w:tc>
          <w:tcPr>
            <w:tcW w:w="704" w:type="dxa"/>
            <w:tcBorders>
              <w:top w:val="single" w:sz="4" w:space="0" w:color="auto"/>
              <w:left w:val="single" w:sz="4" w:space="0" w:color="auto"/>
              <w:bottom w:val="single" w:sz="4" w:space="0" w:color="auto"/>
              <w:right w:val="single" w:sz="4" w:space="0" w:color="auto"/>
            </w:tcBorders>
            <w:shd w:val="clear" w:color="auto" w:fill="92D050"/>
          </w:tcPr>
          <w:p w14:paraId="0B7B27A6" w14:textId="77777777" w:rsidR="0095136F" w:rsidRPr="00A07F29" w:rsidRDefault="0095136F" w:rsidP="004E3F0B">
            <w:pPr>
              <w:spacing w:after="120"/>
              <w:jc w:val="both"/>
              <w:rPr>
                <w:rFonts w:ascii="Times New Roman" w:eastAsia="Calibri" w:hAnsi="Times New Roman" w:cs="Times New Roman"/>
                <w:sz w:val="16"/>
                <w:szCs w:val="16"/>
                <w:shd w:val="clear" w:color="auto" w:fill="FFC000"/>
              </w:rPr>
            </w:pPr>
          </w:p>
        </w:tc>
        <w:tc>
          <w:tcPr>
            <w:tcW w:w="8646" w:type="dxa"/>
            <w:tcBorders>
              <w:top w:val="nil"/>
              <w:left w:val="single" w:sz="4" w:space="0" w:color="auto"/>
              <w:bottom w:val="nil"/>
              <w:right w:val="nil"/>
            </w:tcBorders>
            <w:hideMark/>
          </w:tcPr>
          <w:p w14:paraId="0EACB20C" w14:textId="77777777" w:rsidR="0095136F" w:rsidRPr="00A07F29" w:rsidRDefault="0095136F" w:rsidP="004E3F0B">
            <w:pPr>
              <w:spacing w:after="120"/>
              <w:jc w:val="both"/>
              <w:rPr>
                <w:rFonts w:ascii="Times New Roman" w:eastAsia="Calibri" w:hAnsi="Times New Roman" w:cs="Times New Roman"/>
                <w:sz w:val="16"/>
                <w:szCs w:val="16"/>
                <w:shd w:val="clear" w:color="auto" w:fill="FFC000"/>
              </w:rPr>
            </w:pPr>
            <w:r w:rsidRPr="00A07F29">
              <w:rPr>
                <w:rFonts w:ascii="Times New Roman" w:eastAsia="Calibri" w:hAnsi="Times New Roman" w:cs="Times New Roman"/>
                <w:sz w:val="16"/>
                <w:szCs w:val="16"/>
                <w:shd w:val="clear" w:color="auto" w:fill="FFFFFF"/>
              </w:rPr>
              <w:t>FV</w:t>
            </w:r>
            <w:r w:rsidRPr="00A07F29">
              <w:rPr>
                <w:rFonts w:ascii="Times New Roman" w:eastAsia="Calibri" w:hAnsi="Times New Roman" w:cs="Times New Roman"/>
                <w:sz w:val="16"/>
                <w:szCs w:val="16"/>
              </w:rPr>
              <w:t>: Aizsardzības stāvoklis labvēlīgs (</w:t>
            </w:r>
            <w:proofErr w:type="spellStart"/>
            <w:r w:rsidRPr="00A07F29">
              <w:rPr>
                <w:rFonts w:ascii="Times New Roman" w:eastAsia="Calibri" w:hAnsi="Times New Roman" w:cs="Times New Roman"/>
                <w:sz w:val="16"/>
                <w:szCs w:val="16"/>
              </w:rPr>
              <w:t>Favourable</w:t>
            </w:r>
            <w:proofErr w:type="spellEnd"/>
            <w:r w:rsidRPr="00A07F29">
              <w:rPr>
                <w:rFonts w:ascii="Times New Roman" w:eastAsia="Calibri" w:hAnsi="Times New Roman" w:cs="Times New Roman"/>
                <w:sz w:val="16"/>
                <w:szCs w:val="16"/>
              </w:rPr>
              <w:t>);</w:t>
            </w:r>
          </w:p>
        </w:tc>
      </w:tr>
      <w:tr w:rsidR="0095136F" w:rsidRPr="00A07F29" w14:paraId="324F8340" w14:textId="77777777" w:rsidTr="004E3F0B">
        <w:tc>
          <w:tcPr>
            <w:tcW w:w="704" w:type="dxa"/>
            <w:tcBorders>
              <w:top w:val="single" w:sz="4" w:space="0" w:color="auto"/>
              <w:left w:val="single" w:sz="4" w:space="0" w:color="auto"/>
              <w:bottom w:val="single" w:sz="4" w:space="0" w:color="auto"/>
              <w:right w:val="single" w:sz="4" w:space="0" w:color="auto"/>
            </w:tcBorders>
            <w:shd w:val="clear" w:color="auto" w:fill="FFC000"/>
          </w:tcPr>
          <w:p w14:paraId="68C5AE7D" w14:textId="77777777" w:rsidR="0095136F" w:rsidRPr="00A07F29" w:rsidRDefault="0095136F" w:rsidP="004E3F0B">
            <w:pPr>
              <w:spacing w:after="120"/>
              <w:jc w:val="both"/>
              <w:rPr>
                <w:rFonts w:ascii="Times New Roman" w:eastAsia="Calibri" w:hAnsi="Times New Roman" w:cs="Times New Roman"/>
                <w:sz w:val="16"/>
                <w:szCs w:val="16"/>
                <w:shd w:val="clear" w:color="auto" w:fill="FFC000"/>
              </w:rPr>
            </w:pPr>
          </w:p>
        </w:tc>
        <w:tc>
          <w:tcPr>
            <w:tcW w:w="8646" w:type="dxa"/>
            <w:tcBorders>
              <w:top w:val="nil"/>
              <w:left w:val="single" w:sz="4" w:space="0" w:color="auto"/>
              <w:bottom w:val="nil"/>
              <w:right w:val="nil"/>
            </w:tcBorders>
            <w:hideMark/>
          </w:tcPr>
          <w:p w14:paraId="02C3F30A" w14:textId="77777777" w:rsidR="0095136F" w:rsidRPr="00A07F29" w:rsidRDefault="0095136F" w:rsidP="004E3F0B">
            <w:pPr>
              <w:spacing w:after="120"/>
              <w:jc w:val="both"/>
              <w:rPr>
                <w:rFonts w:ascii="Times New Roman" w:eastAsia="Calibri" w:hAnsi="Times New Roman" w:cs="Times New Roman"/>
                <w:sz w:val="16"/>
                <w:szCs w:val="16"/>
              </w:rPr>
            </w:pPr>
            <w:r w:rsidRPr="00A07F29">
              <w:rPr>
                <w:rFonts w:ascii="Times New Roman" w:eastAsia="Calibri" w:hAnsi="Times New Roman" w:cs="Times New Roman"/>
                <w:sz w:val="16"/>
                <w:szCs w:val="16"/>
              </w:rPr>
              <w:t>U1: Aizsardzības stāvoklis nelabvēlīgs-nepietiekams (</w:t>
            </w:r>
            <w:proofErr w:type="spellStart"/>
            <w:r w:rsidRPr="00A07F29">
              <w:rPr>
                <w:rFonts w:ascii="Times New Roman" w:eastAsia="Calibri" w:hAnsi="Times New Roman" w:cs="Times New Roman"/>
                <w:sz w:val="16"/>
                <w:szCs w:val="16"/>
              </w:rPr>
              <w:t>Unfavourable-Inadequate</w:t>
            </w:r>
            <w:proofErr w:type="spellEnd"/>
            <w:r w:rsidRPr="00A07F29">
              <w:rPr>
                <w:rFonts w:ascii="Times New Roman" w:eastAsia="Calibri" w:hAnsi="Times New Roman" w:cs="Times New Roman"/>
                <w:sz w:val="16"/>
                <w:szCs w:val="16"/>
              </w:rPr>
              <w:t xml:space="preserve">); </w:t>
            </w:r>
          </w:p>
        </w:tc>
      </w:tr>
      <w:tr w:rsidR="0095136F" w:rsidRPr="00A07F29" w14:paraId="74052F2E" w14:textId="77777777" w:rsidTr="004E3F0B">
        <w:tc>
          <w:tcPr>
            <w:tcW w:w="704" w:type="dxa"/>
            <w:tcBorders>
              <w:top w:val="single" w:sz="4" w:space="0" w:color="auto"/>
              <w:left w:val="single" w:sz="4" w:space="0" w:color="auto"/>
              <w:bottom w:val="single" w:sz="4" w:space="0" w:color="auto"/>
              <w:right w:val="single" w:sz="4" w:space="0" w:color="auto"/>
            </w:tcBorders>
            <w:shd w:val="clear" w:color="auto" w:fill="FF0000"/>
          </w:tcPr>
          <w:p w14:paraId="2F6B0612" w14:textId="77777777" w:rsidR="0095136F" w:rsidRPr="00A07F29" w:rsidRDefault="0095136F" w:rsidP="004E3F0B">
            <w:pPr>
              <w:spacing w:after="120"/>
              <w:jc w:val="both"/>
              <w:rPr>
                <w:rFonts w:ascii="Times New Roman" w:eastAsia="Calibri" w:hAnsi="Times New Roman" w:cs="Times New Roman"/>
                <w:sz w:val="16"/>
                <w:szCs w:val="16"/>
                <w:shd w:val="clear" w:color="auto" w:fill="FFC000"/>
              </w:rPr>
            </w:pPr>
          </w:p>
        </w:tc>
        <w:tc>
          <w:tcPr>
            <w:tcW w:w="8646" w:type="dxa"/>
            <w:tcBorders>
              <w:top w:val="nil"/>
              <w:left w:val="single" w:sz="4" w:space="0" w:color="auto"/>
              <w:bottom w:val="nil"/>
              <w:right w:val="nil"/>
            </w:tcBorders>
            <w:hideMark/>
          </w:tcPr>
          <w:p w14:paraId="37D4A686" w14:textId="77777777" w:rsidR="0095136F" w:rsidRPr="00A07F29" w:rsidRDefault="0095136F" w:rsidP="004E3F0B">
            <w:pPr>
              <w:spacing w:after="120"/>
              <w:jc w:val="both"/>
              <w:rPr>
                <w:rFonts w:ascii="Times New Roman" w:eastAsia="Calibri" w:hAnsi="Times New Roman" w:cs="Times New Roman"/>
                <w:sz w:val="16"/>
                <w:szCs w:val="16"/>
              </w:rPr>
            </w:pPr>
            <w:r w:rsidRPr="00A07F29">
              <w:rPr>
                <w:rFonts w:ascii="Times New Roman" w:eastAsia="Calibri" w:hAnsi="Times New Roman" w:cs="Times New Roman"/>
                <w:sz w:val="16"/>
                <w:szCs w:val="16"/>
              </w:rPr>
              <w:t>U2: Aizsardzības stāvoklis nelabvēlīgs-slikts (</w:t>
            </w:r>
            <w:proofErr w:type="spellStart"/>
            <w:r w:rsidRPr="00A07F29">
              <w:rPr>
                <w:rFonts w:ascii="Times New Roman" w:eastAsia="Calibri" w:hAnsi="Times New Roman" w:cs="Times New Roman"/>
                <w:sz w:val="16"/>
                <w:szCs w:val="16"/>
              </w:rPr>
              <w:t>Unfavourable</w:t>
            </w:r>
            <w:proofErr w:type="spellEnd"/>
            <w:r w:rsidRPr="00A07F29">
              <w:rPr>
                <w:rFonts w:ascii="Times New Roman" w:eastAsia="Calibri" w:hAnsi="Times New Roman" w:cs="Times New Roman"/>
                <w:sz w:val="16"/>
                <w:szCs w:val="16"/>
              </w:rPr>
              <w:t>-Bad);</w:t>
            </w:r>
          </w:p>
        </w:tc>
      </w:tr>
      <w:tr w:rsidR="0095136F" w:rsidRPr="00A07F29" w14:paraId="041E8E1C" w14:textId="77777777" w:rsidTr="004E3F0B">
        <w:tc>
          <w:tcPr>
            <w:tcW w:w="70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05EFE303" w14:textId="77777777" w:rsidR="0095136F" w:rsidRPr="00A07F29" w:rsidRDefault="0095136F" w:rsidP="004E3F0B">
            <w:pPr>
              <w:spacing w:after="120"/>
              <w:jc w:val="both"/>
              <w:rPr>
                <w:rFonts w:ascii="Times New Roman" w:eastAsia="Calibri" w:hAnsi="Times New Roman" w:cs="Times New Roman"/>
                <w:sz w:val="16"/>
                <w:szCs w:val="16"/>
                <w:shd w:val="clear" w:color="auto" w:fill="FFC000"/>
              </w:rPr>
            </w:pPr>
          </w:p>
        </w:tc>
        <w:tc>
          <w:tcPr>
            <w:tcW w:w="8646" w:type="dxa"/>
            <w:tcBorders>
              <w:top w:val="nil"/>
              <w:left w:val="single" w:sz="4" w:space="0" w:color="auto"/>
              <w:bottom w:val="nil"/>
              <w:right w:val="nil"/>
            </w:tcBorders>
            <w:hideMark/>
          </w:tcPr>
          <w:p w14:paraId="5EE4A1C3" w14:textId="77777777" w:rsidR="0095136F" w:rsidRPr="00A07F29" w:rsidRDefault="0095136F" w:rsidP="004E3F0B">
            <w:pPr>
              <w:spacing w:after="120"/>
              <w:jc w:val="both"/>
              <w:rPr>
                <w:rFonts w:ascii="Times New Roman" w:eastAsia="Calibri" w:hAnsi="Times New Roman" w:cs="Times New Roman"/>
                <w:sz w:val="16"/>
                <w:szCs w:val="16"/>
              </w:rPr>
            </w:pPr>
            <w:r w:rsidRPr="00A07F29">
              <w:rPr>
                <w:rFonts w:ascii="Times New Roman" w:eastAsia="Calibri" w:hAnsi="Times New Roman" w:cs="Times New Roman"/>
                <w:sz w:val="16"/>
                <w:szCs w:val="16"/>
              </w:rPr>
              <w:t>XX: Aizsardzības stāvoklis nezināms (</w:t>
            </w:r>
            <w:proofErr w:type="spellStart"/>
            <w:r w:rsidRPr="00A07F29">
              <w:rPr>
                <w:rFonts w:ascii="Times New Roman" w:eastAsia="Calibri" w:hAnsi="Times New Roman" w:cs="Times New Roman"/>
                <w:sz w:val="16"/>
                <w:szCs w:val="16"/>
              </w:rPr>
              <w:t>Unknown</w:t>
            </w:r>
            <w:proofErr w:type="spellEnd"/>
            <w:r w:rsidRPr="00A07F29">
              <w:rPr>
                <w:rFonts w:ascii="Times New Roman" w:eastAsia="Calibri" w:hAnsi="Times New Roman" w:cs="Times New Roman"/>
                <w:sz w:val="16"/>
                <w:szCs w:val="16"/>
              </w:rPr>
              <w:t>)</w:t>
            </w:r>
          </w:p>
        </w:tc>
      </w:tr>
    </w:tbl>
    <w:p w14:paraId="233E7A9A" w14:textId="6DEAD552" w:rsidR="0095136F" w:rsidRPr="00A07F29" w:rsidRDefault="0095136F" w:rsidP="0095136F">
      <w:pPr>
        <w:spacing w:before="120" w:after="120"/>
        <w:jc w:val="both"/>
        <w:rPr>
          <w:rFonts w:ascii="Times New Roman" w:eastAsia="Calibri" w:hAnsi="Times New Roman" w:cs="Times New Roman"/>
          <w:color w:val="000000" w:themeColor="text1"/>
          <w:sz w:val="16"/>
          <w:szCs w:val="16"/>
        </w:rPr>
      </w:pPr>
      <w:r w:rsidRPr="00A07F29">
        <w:rPr>
          <w:rFonts w:ascii="Times New Roman" w:eastAsia="Calibri" w:hAnsi="Times New Roman" w:cs="Times New Roman"/>
          <w:b/>
          <w:sz w:val="16"/>
          <w:szCs w:val="16"/>
        </w:rPr>
        <w:t>Apzīmējumi aizsardzības stāvokļa tendencei:</w:t>
      </w:r>
      <w:r w:rsidRPr="00A07F29">
        <w:rPr>
          <w:rFonts w:ascii="Times New Roman" w:eastAsia="Calibri" w:hAnsi="Times New Roman" w:cs="Times New Roman"/>
          <w:sz w:val="16"/>
          <w:szCs w:val="16"/>
        </w:rPr>
        <w:t xml:space="preserve"> </w:t>
      </w:r>
      <w:r w:rsidRPr="00A07F29">
        <w:rPr>
          <w:rFonts w:ascii="Times New Roman" w:eastAsia="Calibri" w:hAnsi="Times New Roman" w:cs="Times New Roman"/>
          <w:b/>
          <w:sz w:val="16"/>
          <w:szCs w:val="16"/>
        </w:rPr>
        <w:t>I</w:t>
      </w:r>
      <w:r w:rsidRPr="00A07F29">
        <w:rPr>
          <w:rFonts w:ascii="Times New Roman" w:eastAsia="Calibri" w:hAnsi="Times New Roman" w:cs="Times New Roman"/>
          <w:sz w:val="16"/>
          <w:szCs w:val="16"/>
        </w:rPr>
        <w:t xml:space="preserve"> </w:t>
      </w:r>
      <w:r w:rsidRPr="00A07F29">
        <w:rPr>
          <w:rFonts w:ascii="Cambria Math" w:eastAsia="Calibri" w:hAnsi="Cambria Math" w:cs="Cambria Math"/>
          <w:sz w:val="16"/>
          <w:szCs w:val="16"/>
        </w:rPr>
        <w:t>‐</w:t>
      </w:r>
      <w:r w:rsidRPr="00A07F29">
        <w:rPr>
          <w:rFonts w:ascii="Times New Roman" w:eastAsia="Calibri" w:hAnsi="Times New Roman" w:cs="Times New Roman"/>
          <w:sz w:val="16"/>
          <w:szCs w:val="16"/>
        </w:rPr>
        <w:t xml:space="preserve"> uzlabojas</w:t>
      </w:r>
      <w:r w:rsidR="006356B6" w:rsidRPr="00A07F29">
        <w:rPr>
          <w:rFonts w:ascii="Times New Roman" w:eastAsia="Calibri" w:hAnsi="Times New Roman" w:cs="Times New Roman"/>
          <w:sz w:val="16"/>
          <w:szCs w:val="16"/>
        </w:rPr>
        <w:t>,</w:t>
      </w:r>
      <w:r w:rsidRPr="00A07F29">
        <w:rPr>
          <w:rFonts w:ascii="Times New Roman" w:eastAsia="Calibri" w:hAnsi="Times New Roman" w:cs="Times New Roman"/>
          <w:sz w:val="16"/>
          <w:szCs w:val="16"/>
        </w:rPr>
        <w:t xml:space="preserve"> </w:t>
      </w:r>
      <w:r w:rsidRPr="00A07F29">
        <w:rPr>
          <w:rFonts w:ascii="Times New Roman" w:eastAsia="Calibri" w:hAnsi="Times New Roman" w:cs="Times New Roman"/>
          <w:b/>
          <w:sz w:val="16"/>
          <w:szCs w:val="16"/>
        </w:rPr>
        <w:t>D</w:t>
      </w:r>
      <w:r w:rsidRPr="00A07F29">
        <w:rPr>
          <w:rFonts w:ascii="Times New Roman" w:eastAsia="Calibri" w:hAnsi="Times New Roman" w:cs="Times New Roman"/>
          <w:sz w:val="16"/>
          <w:szCs w:val="16"/>
        </w:rPr>
        <w:t xml:space="preserve"> </w:t>
      </w:r>
      <w:r w:rsidRPr="00A07F29">
        <w:rPr>
          <w:rFonts w:ascii="Cambria Math" w:eastAsia="Calibri" w:hAnsi="Cambria Math" w:cs="Cambria Math"/>
          <w:sz w:val="16"/>
          <w:szCs w:val="16"/>
        </w:rPr>
        <w:t>‐</w:t>
      </w:r>
      <w:r w:rsidRPr="00A07F29">
        <w:rPr>
          <w:rFonts w:ascii="Times New Roman" w:eastAsia="Calibri" w:hAnsi="Times New Roman" w:cs="Times New Roman"/>
          <w:sz w:val="16"/>
          <w:szCs w:val="16"/>
        </w:rPr>
        <w:t xml:space="preserve"> pasliktinās</w:t>
      </w:r>
      <w:r w:rsidR="006356B6" w:rsidRPr="00A07F29">
        <w:rPr>
          <w:rFonts w:ascii="Times New Roman" w:eastAsia="Calibri" w:hAnsi="Times New Roman" w:cs="Times New Roman"/>
          <w:sz w:val="16"/>
          <w:szCs w:val="16"/>
        </w:rPr>
        <w:t>,</w:t>
      </w:r>
      <w:r w:rsidRPr="00A07F29">
        <w:rPr>
          <w:rFonts w:ascii="Times New Roman" w:eastAsia="Calibri" w:hAnsi="Times New Roman" w:cs="Times New Roman"/>
          <w:sz w:val="16"/>
          <w:szCs w:val="16"/>
        </w:rPr>
        <w:t xml:space="preserve"> </w:t>
      </w:r>
      <w:r w:rsidRPr="00A07F29">
        <w:rPr>
          <w:rFonts w:ascii="Times New Roman" w:eastAsia="Calibri" w:hAnsi="Times New Roman" w:cs="Times New Roman"/>
          <w:b/>
          <w:sz w:val="16"/>
          <w:szCs w:val="16"/>
        </w:rPr>
        <w:t>S</w:t>
      </w:r>
      <w:r w:rsidRPr="00A07F29">
        <w:rPr>
          <w:rFonts w:ascii="Times New Roman" w:eastAsia="Calibri" w:hAnsi="Times New Roman" w:cs="Times New Roman"/>
          <w:sz w:val="16"/>
          <w:szCs w:val="16"/>
        </w:rPr>
        <w:t xml:space="preserve"> </w:t>
      </w:r>
      <w:r w:rsidRPr="00A07F29">
        <w:rPr>
          <w:rFonts w:ascii="Cambria Math" w:eastAsia="Calibri" w:hAnsi="Cambria Math" w:cs="Cambria Math"/>
          <w:sz w:val="16"/>
          <w:szCs w:val="16"/>
        </w:rPr>
        <w:t>‐</w:t>
      </w:r>
      <w:r w:rsidRPr="00A07F29">
        <w:rPr>
          <w:rFonts w:ascii="Times New Roman" w:eastAsia="Calibri" w:hAnsi="Times New Roman" w:cs="Times New Roman"/>
          <w:sz w:val="16"/>
          <w:szCs w:val="16"/>
        </w:rPr>
        <w:t xml:space="preserve"> stabils</w:t>
      </w:r>
      <w:r w:rsidR="006356B6" w:rsidRPr="00A07F29">
        <w:rPr>
          <w:rFonts w:ascii="Times New Roman" w:eastAsia="Calibri" w:hAnsi="Times New Roman" w:cs="Times New Roman"/>
          <w:sz w:val="16"/>
          <w:szCs w:val="16"/>
        </w:rPr>
        <w:t>,</w:t>
      </w:r>
      <w:r w:rsidRPr="00A07F29">
        <w:rPr>
          <w:rFonts w:ascii="Times New Roman" w:eastAsia="Calibri" w:hAnsi="Times New Roman" w:cs="Times New Roman"/>
          <w:sz w:val="16"/>
          <w:szCs w:val="16"/>
        </w:rPr>
        <w:t xml:space="preserve"> </w:t>
      </w:r>
      <w:r w:rsidR="006356B6" w:rsidRPr="00A07F29">
        <w:rPr>
          <w:rFonts w:ascii="Times New Roman" w:eastAsia="Calibri" w:hAnsi="Times New Roman" w:cs="Times New Roman"/>
          <w:b/>
          <w:sz w:val="16"/>
          <w:szCs w:val="16"/>
        </w:rPr>
        <w:t>X</w:t>
      </w:r>
      <w:r w:rsidR="006356B6" w:rsidRPr="00A07F29">
        <w:rPr>
          <w:rFonts w:ascii="Times New Roman" w:eastAsia="Calibri" w:hAnsi="Times New Roman" w:cs="Times New Roman"/>
          <w:sz w:val="16"/>
          <w:szCs w:val="16"/>
        </w:rPr>
        <w:t xml:space="preserve"> </w:t>
      </w:r>
      <w:r w:rsidRPr="00A07F29">
        <w:rPr>
          <w:rFonts w:ascii="Times New Roman" w:eastAsia="Calibri" w:hAnsi="Times New Roman" w:cs="Times New Roman"/>
          <w:sz w:val="16"/>
          <w:szCs w:val="16"/>
        </w:rPr>
        <w:t>nezināms</w:t>
      </w:r>
    </w:p>
    <w:p w14:paraId="2EF222CA" w14:textId="77777777" w:rsidR="0095136F" w:rsidRPr="00A07F29" w:rsidRDefault="0095136F" w:rsidP="0095136F"/>
    <w:p w14:paraId="1E842712" w14:textId="77777777" w:rsidR="0095136F" w:rsidRPr="00A07F29" w:rsidRDefault="0095136F" w:rsidP="004B36F4">
      <w:pPr>
        <w:pStyle w:val="Heading3"/>
        <w:spacing w:before="120" w:after="120" w:line="240" w:lineRule="auto"/>
        <w:jc w:val="center"/>
        <w:rPr>
          <w:lang w:eastAsia="ja-JP"/>
        </w:rPr>
        <w:sectPr w:rsidR="0095136F" w:rsidRPr="00A07F29" w:rsidSect="0095136F">
          <w:pgSz w:w="16838" w:h="11906" w:orient="landscape"/>
          <w:pgMar w:top="1418" w:right="1134" w:bottom="1134" w:left="1134" w:header="709" w:footer="709" w:gutter="0"/>
          <w:cols w:space="708"/>
          <w:docGrid w:linePitch="360"/>
        </w:sectPr>
      </w:pPr>
    </w:p>
    <w:p w14:paraId="71249361" w14:textId="143D9DFF" w:rsidR="009072CE" w:rsidRPr="00A07F29" w:rsidRDefault="009072CE" w:rsidP="004B36F4">
      <w:pPr>
        <w:pStyle w:val="Heading3"/>
        <w:spacing w:before="120" w:after="120" w:line="240" w:lineRule="auto"/>
        <w:jc w:val="center"/>
        <w:rPr>
          <w:b w:val="0"/>
          <w:lang w:eastAsia="ja-JP"/>
        </w:rPr>
      </w:pPr>
      <w:bookmarkStart w:id="80" w:name="_Toc183434015"/>
      <w:r w:rsidRPr="00A07F29">
        <w:rPr>
          <w:lang w:eastAsia="ja-JP"/>
        </w:rPr>
        <w:lastRenderedPageBreak/>
        <w:t>4.</w:t>
      </w:r>
      <w:r w:rsidR="007C1C9F" w:rsidRPr="00A07F29">
        <w:rPr>
          <w:lang w:eastAsia="ja-JP"/>
        </w:rPr>
        <w:t>7</w:t>
      </w:r>
      <w:r w:rsidRPr="00A07F29">
        <w:rPr>
          <w:lang w:eastAsia="ja-JP"/>
        </w:rPr>
        <w:t>.2. Gliemji</w:t>
      </w:r>
      <w:bookmarkEnd w:id="80"/>
    </w:p>
    <w:p w14:paraId="2B1FC011" w14:textId="2E4751B0" w:rsidR="009072CE" w:rsidRPr="00A07F29" w:rsidRDefault="009072CE" w:rsidP="001854E4">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AAA “Augšdaugava” ir viena no </w:t>
      </w:r>
      <w:proofErr w:type="spellStart"/>
      <w:r w:rsidRPr="00A07F29">
        <w:rPr>
          <w:rFonts w:ascii="Times New Roman" w:eastAsia="Calibri" w:hAnsi="Times New Roman" w:cs="Calibri"/>
          <w:sz w:val="24"/>
        </w:rPr>
        <w:t>nedaudzajām</w:t>
      </w:r>
      <w:proofErr w:type="spellEnd"/>
      <w:r w:rsidRPr="00A07F29">
        <w:rPr>
          <w:rFonts w:ascii="Times New Roman" w:eastAsia="Calibri" w:hAnsi="Times New Roman" w:cs="Calibri"/>
          <w:sz w:val="24"/>
        </w:rPr>
        <w:t xml:space="preserve"> ĪADT Latvijā, kurā gliemju fauna ir apzināta salīdzinoši labi. Vislabāk ir izpētīta sauszemes gliemežu fauna. Pirmā informācija par gliemju faunu, kas ir attiecināma uz Augšdaugavas teritoriju, ir publicēta 1932.</w:t>
      </w:r>
      <w:r w:rsidR="00186C55">
        <w:rPr>
          <w:rFonts w:ascii="Times New Roman" w:eastAsia="Calibri" w:hAnsi="Times New Roman" w:cs="Calibri"/>
          <w:sz w:val="24"/>
        </w:rPr>
        <w:t> </w:t>
      </w:r>
      <w:r w:rsidRPr="00A07F29">
        <w:rPr>
          <w:rFonts w:ascii="Times New Roman" w:eastAsia="Calibri" w:hAnsi="Times New Roman" w:cs="Calibri"/>
          <w:sz w:val="24"/>
        </w:rPr>
        <w:t>gadā (Pētersons</w:t>
      </w:r>
      <w:r w:rsidR="006F4E12">
        <w:rPr>
          <w:rFonts w:ascii="Times New Roman" w:eastAsia="Calibri" w:hAnsi="Times New Roman" w:cs="Calibri"/>
          <w:sz w:val="24"/>
        </w:rPr>
        <w:t xml:space="preserve"> H.,</w:t>
      </w:r>
      <w:r w:rsidRPr="00A07F29">
        <w:rPr>
          <w:rFonts w:ascii="Times New Roman" w:eastAsia="Calibri" w:hAnsi="Times New Roman" w:cs="Calibri"/>
          <w:sz w:val="24"/>
        </w:rPr>
        <w:t xml:space="preserve"> 1932). Toreizējais Skolu muzejs, kas atradās Rīgā, organizēja ekspedīciju pa Daugavu ar mērķi ievākt materiālu Daugavas izstādei. Šajā ekspedīcijā piedalījās pirmais latviešu </w:t>
      </w:r>
      <w:proofErr w:type="spellStart"/>
      <w:r w:rsidRPr="00A07F29">
        <w:rPr>
          <w:rFonts w:ascii="Times New Roman" w:eastAsia="Calibri" w:hAnsi="Times New Roman" w:cs="Calibri"/>
          <w:sz w:val="24"/>
        </w:rPr>
        <w:t>malakologs</w:t>
      </w:r>
      <w:proofErr w:type="spellEnd"/>
      <w:r w:rsidRPr="00A07F29">
        <w:rPr>
          <w:rFonts w:ascii="Times New Roman" w:eastAsia="Calibri" w:hAnsi="Times New Roman" w:cs="Calibri"/>
          <w:sz w:val="24"/>
        </w:rPr>
        <w:t xml:space="preserve"> Haralds Pētersons, kurš veica gliemju faunas izpēti Daugavā un tās krastos. Daugavas augštecē materiāls tika ievākts divās vietās: Krāslavā un pie </w:t>
      </w:r>
      <w:proofErr w:type="spellStart"/>
      <w:r w:rsidRPr="00A07F29">
        <w:rPr>
          <w:rFonts w:ascii="Times New Roman" w:eastAsia="Calibri" w:hAnsi="Times New Roman" w:cs="Calibri"/>
          <w:sz w:val="24"/>
        </w:rPr>
        <w:t>Jezupovas</w:t>
      </w:r>
      <w:proofErr w:type="spellEnd"/>
      <w:r w:rsidRPr="00A07F29">
        <w:rPr>
          <w:rFonts w:ascii="Times New Roman" w:eastAsia="Calibri" w:hAnsi="Times New Roman" w:cs="Calibri"/>
          <w:sz w:val="24"/>
        </w:rPr>
        <w:t>. H.</w:t>
      </w:r>
      <w:r w:rsidR="00CE13E2">
        <w:rPr>
          <w:rFonts w:ascii="Times New Roman" w:eastAsia="Calibri" w:hAnsi="Times New Roman" w:cs="Calibri"/>
          <w:sz w:val="24"/>
        </w:rPr>
        <w:t> </w:t>
      </w:r>
      <w:r w:rsidRPr="00A07F29">
        <w:rPr>
          <w:rFonts w:ascii="Times New Roman" w:eastAsia="Calibri" w:hAnsi="Times New Roman" w:cs="Calibri"/>
          <w:sz w:val="24"/>
        </w:rPr>
        <w:t>Pētersons bija konstatējis 19 gliemju sugas (</w:t>
      </w:r>
      <w:r w:rsidR="00CE13E2">
        <w:rPr>
          <w:rFonts w:ascii="Times New Roman" w:eastAsia="Calibri" w:hAnsi="Times New Roman" w:cs="Calibri"/>
          <w:sz w:val="24"/>
        </w:rPr>
        <w:t>septiņas</w:t>
      </w:r>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sz w:val="24"/>
        </w:rPr>
        <w:t>ūdensgliemju</w:t>
      </w:r>
      <w:proofErr w:type="spellEnd"/>
      <w:r w:rsidRPr="00A07F29">
        <w:rPr>
          <w:rFonts w:ascii="Times New Roman" w:eastAsia="Calibri" w:hAnsi="Times New Roman" w:cs="Calibri"/>
          <w:sz w:val="24"/>
        </w:rPr>
        <w:t xml:space="preserve"> un 12 sauszemes gliemežu sugas).</w:t>
      </w:r>
    </w:p>
    <w:p w14:paraId="7C180D96" w14:textId="42FDFB0B" w:rsidR="009072CE" w:rsidRPr="00A07F29" w:rsidRDefault="009072CE" w:rsidP="001854E4">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Plašāks gliemju faunas pētījums ir veikts no 1991.</w:t>
      </w:r>
      <w:r w:rsidR="00CE13E2">
        <w:rPr>
          <w:rFonts w:ascii="Times New Roman" w:eastAsia="Calibri" w:hAnsi="Times New Roman" w:cs="Calibri"/>
          <w:sz w:val="24"/>
        </w:rPr>
        <w:t> – </w:t>
      </w:r>
      <w:r w:rsidRPr="00A07F29">
        <w:rPr>
          <w:rFonts w:ascii="Times New Roman" w:eastAsia="Calibri" w:hAnsi="Times New Roman" w:cs="Calibri"/>
          <w:sz w:val="24"/>
        </w:rPr>
        <w:t>1997.</w:t>
      </w:r>
      <w:r w:rsidR="00CE13E2">
        <w:rPr>
          <w:rFonts w:ascii="Times New Roman" w:eastAsia="Calibri" w:hAnsi="Times New Roman" w:cs="Calibri"/>
          <w:sz w:val="24"/>
        </w:rPr>
        <w:t> </w:t>
      </w:r>
      <w:r w:rsidRPr="00A07F29">
        <w:rPr>
          <w:rFonts w:ascii="Times New Roman" w:eastAsia="Calibri" w:hAnsi="Times New Roman" w:cs="Calibri"/>
          <w:sz w:val="24"/>
        </w:rPr>
        <w:t>gadam. Šajā laikā Latvijas Dabas muzeja darbinieki organizēja daudzas kompleksas Augšdaugavas dabas izpētes ekspedīcijas, kurās tika veikta arī gliemju faunas izpēte un materiāla ievākšana. Materiāls bija ievākts 11 dažādās vietās Daugavas labajā krastā. Publicēti ir dati tikai par sauszemes gliemežu faunu (</w:t>
      </w:r>
      <w:proofErr w:type="spellStart"/>
      <w:r w:rsidRPr="00A07F29">
        <w:rPr>
          <w:rFonts w:ascii="Times New Roman" w:eastAsia="Calibri" w:hAnsi="Times New Roman" w:cs="Calibri"/>
          <w:sz w:val="24"/>
        </w:rPr>
        <w:t>Pilāte</w:t>
      </w:r>
      <w:proofErr w:type="spellEnd"/>
      <w:r w:rsidR="008F28E6">
        <w:rPr>
          <w:rFonts w:ascii="Times New Roman" w:eastAsia="Calibri" w:hAnsi="Times New Roman" w:cs="Calibri"/>
          <w:sz w:val="24"/>
        </w:rPr>
        <w:t xml:space="preserve"> D.,</w:t>
      </w:r>
      <w:r w:rsidRPr="00A07F29">
        <w:rPr>
          <w:rFonts w:ascii="Times New Roman" w:eastAsia="Calibri" w:hAnsi="Times New Roman" w:cs="Calibri"/>
          <w:sz w:val="24"/>
        </w:rPr>
        <w:t xml:space="preserve"> 1997). Šo ekspedīciju laikā bija konstatētas 50 sauszemes gliemežu sugas, no kurām pirmo reizi Latvijā Naujenes jeb </w:t>
      </w:r>
      <w:proofErr w:type="spellStart"/>
      <w:r w:rsidRPr="00A07F29">
        <w:rPr>
          <w:rFonts w:ascii="Times New Roman" w:eastAsia="Calibri" w:hAnsi="Times New Roman" w:cs="Calibri"/>
          <w:sz w:val="24"/>
        </w:rPr>
        <w:t>Jezupovas</w:t>
      </w:r>
      <w:proofErr w:type="spellEnd"/>
      <w:r w:rsidRPr="00A07F29">
        <w:rPr>
          <w:rFonts w:ascii="Times New Roman" w:eastAsia="Calibri" w:hAnsi="Times New Roman" w:cs="Calibri"/>
          <w:sz w:val="24"/>
        </w:rPr>
        <w:t xml:space="preserve"> gravā bija konstatēts </w:t>
      </w:r>
      <w:proofErr w:type="spellStart"/>
      <w:r w:rsidRPr="00A07F29">
        <w:rPr>
          <w:rFonts w:ascii="Times New Roman" w:eastAsia="Calibri" w:hAnsi="Times New Roman" w:cs="Calibri"/>
          <w:sz w:val="24"/>
        </w:rPr>
        <w:t>liellūpas</w:t>
      </w:r>
      <w:proofErr w:type="spellEnd"/>
      <w:r w:rsidRPr="00A07F29">
        <w:rPr>
          <w:rFonts w:ascii="Times New Roman" w:eastAsia="Calibri" w:hAnsi="Times New Roman" w:cs="Calibri"/>
          <w:sz w:val="24"/>
        </w:rPr>
        <w:t xml:space="preserve"> vīngliemezis </w:t>
      </w:r>
      <w:proofErr w:type="spellStart"/>
      <w:r w:rsidRPr="00A07F29">
        <w:rPr>
          <w:rFonts w:ascii="Times New Roman" w:eastAsia="Calibri" w:hAnsi="Times New Roman" w:cs="Calibri"/>
          <w:i/>
          <w:sz w:val="24"/>
        </w:rPr>
        <w:t>Isognomostoma</w:t>
      </w:r>
      <w:proofErr w:type="spellEnd"/>
      <w:r w:rsidRPr="00A07F29">
        <w:rPr>
          <w:rFonts w:ascii="Times New Roman" w:eastAsia="Calibri" w:hAnsi="Times New Roman" w:cs="Calibri"/>
          <w:i/>
          <w:sz w:val="24"/>
        </w:rPr>
        <w:t xml:space="preserve"> </w:t>
      </w:r>
      <w:proofErr w:type="spellStart"/>
      <w:r w:rsidRPr="00A07F29">
        <w:rPr>
          <w:rFonts w:ascii="Times New Roman" w:eastAsia="Calibri" w:hAnsi="Times New Roman" w:cs="Calibri"/>
          <w:i/>
          <w:sz w:val="24"/>
        </w:rPr>
        <w:t>isognomostomus</w:t>
      </w:r>
      <w:proofErr w:type="spellEnd"/>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sz w:val="24"/>
        </w:rPr>
        <w:t>Pilāte</w:t>
      </w:r>
      <w:proofErr w:type="spellEnd"/>
      <w:r w:rsidR="004A1706">
        <w:rPr>
          <w:rFonts w:ascii="Times New Roman" w:eastAsia="Calibri" w:hAnsi="Times New Roman" w:cs="Calibri"/>
          <w:sz w:val="24"/>
        </w:rPr>
        <w:t xml:space="preserve"> D.,</w:t>
      </w:r>
      <w:r w:rsidRPr="00A07F29">
        <w:rPr>
          <w:rFonts w:ascii="Times New Roman" w:eastAsia="Calibri" w:hAnsi="Times New Roman" w:cs="Calibri"/>
          <w:sz w:val="24"/>
        </w:rPr>
        <w:t xml:space="preserve"> </w:t>
      </w:r>
      <w:proofErr w:type="spellStart"/>
      <w:r w:rsidR="004A1706">
        <w:rPr>
          <w:rFonts w:ascii="Times New Roman" w:eastAsia="Calibri" w:hAnsi="Times New Roman" w:cs="Calibri"/>
          <w:sz w:val="24"/>
        </w:rPr>
        <w:t>et</w:t>
      </w:r>
      <w:proofErr w:type="spellEnd"/>
      <w:r w:rsidR="00690B99">
        <w:rPr>
          <w:rFonts w:ascii="Times New Roman" w:eastAsia="Calibri" w:hAnsi="Times New Roman" w:cs="Calibri"/>
          <w:sz w:val="24"/>
        </w:rPr>
        <w:t xml:space="preserve"> </w:t>
      </w:r>
      <w:proofErr w:type="spellStart"/>
      <w:r w:rsidR="004A1706">
        <w:rPr>
          <w:rFonts w:ascii="Times New Roman" w:eastAsia="Calibri" w:hAnsi="Times New Roman" w:cs="Calibri"/>
          <w:sz w:val="24"/>
        </w:rPr>
        <w:t>al</w:t>
      </w:r>
      <w:proofErr w:type="spellEnd"/>
      <w:r w:rsidR="004A1706">
        <w:rPr>
          <w:rFonts w:ascii="Times New Roman" w:eastAsia="Calibri" w:hAnsi="Times New Roman" w:cs="Calibri"/>
          <w:sz w:val="24"/>
        </w:rPr>
        <w:t>.,</w:t>
      </w:r>
      <w:r w:rsidRPr="00A07F29">
        <w:rPr>
          <w:rFonts w:ascii="Times New Roman" w:eastAsia="Calibri" w:hAnsi="Times New Roman" w:cs="Calibri"/>
          <w:sz w:val="24"/>
        </w:rPr>
        <w:t xml:space="preserve"> 1994). </w:t>
      </w:r>
    </w:p>
    <w:p w14:paraId="41CE2349" w14:textId="44ACBA79" w:rsidR="009072CE" w:rsidRPr="00A07F29" w:rsidRDefault="009072CE" w:rsidP="001854E4">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No 2002.</w:t>
      </w:r>
      <w:r w:rsidR="00690B99">
        <w:rPr>
          <w:rFonts w:ascii="Times New Roman" w:eastAsia="Calibri" w:hAnsi="Times New Roman" w:cs="Calibri"/>
          <w:sz w:val="24"/>
        </w:rPr>
        <w:t> </w:t>
      </w:r>
      <w:r w:rsidRPr="00A07F29">
        <w:rPr>
          <w:rFonts w:ascii="Times New Roman" w:eastAsia="Calibri" w:hAnsi="Times New Roman" w:cs="Calibri"/>
          <w:sz w:val="24"/>
        </w:rPr>
        <w:t xml:space="preserve">gada datus par gliemju faunu ir vācis Raimonds </w:t>
      </w:r>
      <w:proofErr w:type="spellStart"/>
      <w:r w:rsidRPr="00A07F29">
        <w:rPr>
          <w:rFonts w:ascii="Times New Roman" w:eastAsia="Calibri" w:hAnsi="Times New Roman" w:cs="Calibri"/>
          <w:sz w:val="24"/>
        </w:rPr>
        <w:t>Cibuļskis</w:t>
      </w:r>
      <w:proofErr w:type="spellEnd"/>
      <w:r w:rsidRPr="00A07F29">
        <w:rPr>
          <w:rFonts w:ascii="Times New Roman" w:eastAsia="Calibri" w:hAnsi="Times New Roman" w:cs="Calibri"/>
          <w:sz w:val="24"/>
        </w:rPr>
        <w:t xml:space="preserve">. Dati ir izmantoti DP “Daugavas loki” </w:t>
      </w:r>
      <w:r w:rsidR="00BF0E06" w:rsidRPr="00A07F29">
        <w:rPr>
          <w:rFonts w:ascii="Times New Roman" w:eastAsia="Calibri" w:hAnsi="Times New Roman" w:cs="Calibri"/>
          <w:sz w:val="24"/>
        </w:rPr>
        <w:t>DA plāna</w:t>
      </w:r>
      <w:r w:rsidRPr="00A07F29">
        <w:rPr>
          <w:rFonts w:ascii="Times New Roman" w:eastAsia="Calibri" w:hAnsi="Times New Roman" w:cs="Calibri"/>
          <w:sz w:val="24"/>
        </w:rPr>
        <w:t xml:space="preserve"> izstrādes vajadzībām (Bāra</w:t>
      </w:r>
      <w:r w:rsidR="00690B99">
        <w:rPr>
          <w:rFonts w:ascii="Times New Roman" w:eastAsia="Calibri" w:hAnsi="Times New Roman" w:cs="Calibri"/>
          <w:sz w:val="24"/>
        </w:rPr>
        <w:t xml:space="preserve"> J.,</w:t>
      </w:r>
      <w:r w:rsidRPr="00A07F29">
        <w:rPr>
          <w:rFonts w:ascii="Times New Roman" w:eastAsia="Calibri" w:hAnsi="Times New Roman" w:cs="Calibri"/>
          <w:sz w:val="24"/>
        </w:rPr>
        <w:t xml:space="preserve"> 2010). Pēc 2007.</w:t>
      </w:r>
      <w:r w:rsidR="00690B99">
        <w:rPr>
          <w:rFonts w:ascii="Times New Roman" w:eastAsia="Calibri" w:hAnsi="Times New Roman" w:cs="Calibri"/>
          <w:sz w:val="24"/>
        </w:rPr>
        <w:t> </w:t>
      </w:r>
      <w:r w:rsidRPr="00A07F29">
        <w:rPr>
          <w:rFonts w:ascii="Times New Roman" w:eastAsia="Calibri" w:hAnsi="Times New Roman" w:cs="Calibri"/>
          <w:sz w:val="24"/>
        </w:rPr>
        <w:t>gada dati par gliemju sugām ir iegūti atsevišķos pētījumos, kā arī DU studentiem izstrādājot prakses un studiju darbus (</w:t>
      </w:r>
      <w:proofErr w:type="spellStart"/>
      <w:r w:rsidRPr="00A07F29">
        <w:rPr>
          <w:rFonts w:ascii="Times New Roman" w:eastAsia="Calibri" w:hAnsi="Times New Roman" w:cs="Calibri"/>
          <w:sz w:val="24"/>
        </w:rPr>
        <w:t>Pilāte</w:t>
      </w:r>
      <w:proofErr w:type="spellEnd"/>
      <w:r w:rsidR="00690B99">
        <w:rPr>
          <w:rFonts w:ascii="Times New Roman" w:eastAsia="Calibri" w:hAnsi="Times New Roman" w:cs="Calibri"/>
          <w:sz w:val="24"/>
        </w:rPr>
        <w:t xml:space="preserve"> D.,</w:t>
      </w:r>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sz w:val="24"/>
        </w:rPr>
        <w:t>et</w:t>
      </w:r>
      <w:proofErr w:type="spellEnd"/>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sz w:val="24"/>
        </w:rPr>
        <w:t>al</w:t>
      </w:r>
      <w:proofErr w:type="spellEnd"/>
      <w:r w:rsidRPr="00A07F29">
        <w:rPr>
          <w:rFonts w:ascii="Times New Roman" w:eastAsia="Calibri" w:hAnsi="Times New Roman" w:cs="Calibri"/>
          <w:sz w:val="24"/>
        </w:rPr>
        <w:t>.</w:t>
      </w:r>
      <w:r w:rsidR="00690B99">
        <w:rPr>
          <w:rFonts w:ascii="Times New Roman" w:eastAsia="Calibri" w:hAnsi="Times New Roman" w:cs="Calibri"/>
          <w:sz w:val="24"/>
        </w:rPr>
        <w:t>,</w:t>
      </w:r>
      <w:r w:rsidRPr="00A07F29">
        <w:rPr>
          <w:rFonts w:ascii="Times New Roman" w:eastAsia="Calibri" w:hAnsi="Times New Roman" w:cs="Calibri"/>
          <w:sz w:val="24"/>
        </w:rPr>
        <w:t xml:space="preserve"> 2014). </w:t>
      </w:r>
    </w:p>
    <w:p w14:paraId="1C2C81A9" w14:textId="508C69E9" w:rsidR="009072CE" w:rsidRPr="00A07F29" w:rsidRDefault="009072CE" w:rsidP="001854E4">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AAA “Augšdaugava” ir konstatētas 84 gliemju sugas, no kurām 28 ir saldūdens sugas</w:t>
      </w:r>
      <w:r w:rsidR="00D65BBA" w:rsidRPr="00A07F29">
        <w:rPr>
          <w:rFonts w:ascii="Times New Roman" w:eastAsia="Calibri" w:hAnsi="Times New Roman" w:cs="Calibri"/>
          <w:sz w:val="24"/>
        </w:rPr>
        <w:t xml:space="preserve"> </w:t>
      </w:r>
      <w:r w:rsidRPr="00A07F29">
        <w:rPr>
          <w:rFonts w:ascii="Times New Roman" w:eastAsia="Calibri" w:hAnsi="Times New Roman" w:cs="Calibri"/>
          <w:sz w:val="24"/>
        </w:rPr>
        <w:t>(</w:t>
      </w:r>
      <w:r w:rsidR="006E01B9">
        <w:rPr>
          <w:rFonts w:ascii="Times New Roman" w:eastAsia="Calibri" w:hAnsi="Times New Roman" w:cs="Calibri"/>
          <w:sz w:val="24"/>
        </w:rPr>
        <w:t xml:space="preserve">skat. </w:t>
      </w:r>
      <w:r w:rsidRPr="00A07F29">
        <w:rPr>
          <w:rFonts w:ascii="Times New Roman" w:eastAsia="Times New Roman" w:hAnsi="Times New Roman" w:cs="Times New Roman"/>
          <w:sz w:val="24"/>
          <w:szCs w:val="24"/>
          <w:lang w:eastAsia="lv-LV"/>
        </w:rPr>
        <w:t>4.</w:t>
      </w:r>
      <w:r w:rsidR="000330C2" w:rsidRPr="00A07F29">
        <w:rPr>
          <w:rFonts w:ascii="Times New Roman" w:eastAsia="Times New Roman" w:hAnsi="Times New Roman" w:cs="Times New Roman"/>
          <w:sz w:val="24"/>
          <w:szCs w:val="24"/>
          <w:lang w:eastAsia="lv-LV"/>
        </w:rPr>
        <w:t>7</w:t>
      </w:r>
      <w:r w:rsidRPr="00A07F29">
        <w:rPr>
          <w:rFonts w:ascii="Times New Roman" w:eastAsia="Times New Roman" w:hAnsi="Times New Roman" w:cs="Times New Roman"/>
          <w:sz w:val="24"/>
          <w:szCs w:val="24"/>
          <w:lang w:eastAsia="lv-LV"/>
        </w:rPr>
        <w:t>.2.1</w:t>
      </w:r>
      <w:r w:rsidRPr="00A07F29">
        <w:rPr>
          <w:rFonts w:ascii="Times New Roman" w:eastAsia="Calibri" w:hAnsi="Times New Roman" w:cs="Calibri"/>
          <w:sz w:val="24"/>
        </w:rPr>
        <w:t>.</w:t>
      </w:r>
      <w:r w:rsidR="006E01B9">
        <w:rPr>
          <w:rFonts w:ascii="Times New Roman" w:eastAsia="Calibri" w:hAnsi="Times New Roman" w:cs="Calibri"/>
          <w:sz w:val="24"/>
        </w:rPr>
        <w:t> </w:t>
      </w:r>
      <w:r w:rsidRPr="00A07F29">
        <w:rPr>
          <w:rFonts w:ascii="Times New Roman" w:eastAsia="Calibri" w:hAnsi="Times New Roman" w:cs="Calibri"/>
          <w:sz w:val="24"/>
        </w:rPr>
        <w:t>tabula un 4.</w:t>
      </w:r>
      <w:r w:rsidR="00BB667A" w:rsidRPr="00A07F29">
        <w:rPr>
          <w:rFonts w:ascii="Times New Roman" w:eastAsia="Calibri" w:hAnsi="Times New Roman" w:cs="Calibri"/>
          <w:sz w:val="24"/>
        </w:rPr>
        <w:t>8</w:t>
      </w:r>
      <w:r w:rsidRPr="00A07F29">
        <w:rPr>
          <w:rFonts w:ascii="Times New Roman" w:eastAsia="Calibri" w:hAnsi="Times New Roman" w:cs="Calibri"/>
          <w:sz w:val="24"/>
        </w:rPr>
        <w:t>.</w:t>
      </w:r>
      <w:r w:rsidR="006E01B9">
        <w:rPr>
          <w:rFonts w:ascii="Times New Roman" w:eastAsia="Calibri" w:hAnsi="Times New Roman" w:cs="Calibri"/>
          <w:sz w:val="24"/>
        </w:rPr>
        <w:t> </w:t>
      </w:r>
      <w:r w:rsidRPr="00A07F29">
        <w:rPr>
          <w:rFonts w:ascii="Times New Roman" w:eastAsia="Calibri" w:hAnsi="Times New Roman" w:cs="Calibri"/>
          <w:sz w:val="24"/>
        </w:rPr>
        <w:t xml:space="preserve">pielikums). Sugu skaits varētu būt lielāks uz kailgliemežu un </w:t>
      </w:r>
      <w:proofErr w:type="spellStart"/>
      <w:r w:rsidRPr="00A07F29">
        <w:rPr>
          <w:rFonts w:ascii="Times New Roman" w:eastAsia="Calibri" w:hAnsi="Times New Roman" w:cs="Calibri"/>
          <w:sz w:val="24"/>
        </w:rPr>
        <w:t>sīkgliemeņu</w:t>
      </w:r>
      <w:proofErr w:type="spellEnd"/>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sz w:val="24"/>
        </w:rPr>
        <w:t>taksonu</w:t>
      </w:r>
      <w:proofErr w:type="spellEnd"/>
      <w:r w:rsidRPr="00A07F29">
        <w:rPr>
          <w:rFonts w:ascii="Times New Roman" w:eastAsia="Calibri" w:hAnsi="Times New Roman" w:cs="Calibri"/>
          <w:sz w:val="24"/>
        </w:rPr>
        <w:t xml:space="preserve"> grupu rēķina. </w:t>
      </w:r>
    </w:p>
    <w:p w14:paraId="7276F793" w14:textId="107AF135" w:rsidR="009072CE" w:rsidRPr="00A07F29" w:rsidRDefault="0092556E" w:rsidP="001854E4">
      <w:pPr>
        <w:spacing w:after="120" w:line="240" w:lineRule="auto"/>
        <w:ind w:firstLine="851"/>
        <w:jc w:val="both"/>
        <w:rPr>
          <w:rFonts w:ascii="Times New Roman" w:eastAsia="Times New Roman" w:hAnsi="Times New Roman" w:cs="Times New Roman"/>
          <w:sz w:val="24"/>
          <w:szCs w:val="24"/>
          <w:lang w:eastAsia="lv-LV"/>
        </w:rPr>
      </w:pPr>
      <w:proofErr w:type="spellStart"/>
      <w:r w:rsidRPr="00A07F29">
        <w:rPr>
          <w:rFonts w:ascii="Times New Roman" w:eastAsia="Calibri" w:hAnsi="Times New Roman" w:cs="Calibri"/>
          <w:i/>
          <w:sz w:val="24"/>
        </w:rPr>
        <w:t>Natura</w:t>
      </w:r>
      <w:proofErr w:type="spellEnd"/>
      <w:r w:rsidR="009072CE" w:rsidRPr="00A07F29">
        <w:rPr>
          <w:rFonts w:ascii="Times New Roman" w:eastAsia="Calibri" w:hAnsi="Times New Roman" w:cs="Calibri"/>
          <w:i/>
          <w:sz w:val="24"/>
        </w:rPr>
        <w:t xml:space="preserve"> 2000</w:t>
      </w:r>
      <w:r w:rsidR="009072CE" w:rsidRPr="00A07F29">
        <w:rPr>
          <w:rFonts w:ascii="Times New Roman" w:eastAsia="Calibri" w:hAnsi="Times New Roman" w:cs="Calibri"/>
          <w:sz w:val="24"/>
        </w:rPr>
        <w:t xml:space="preserve"> </w:t>
      </w:r>
      <w:r w:rsidR="000330C2" w:rsidRPr="00A07F29">
        <w:rPr>
          <w:rFonts w:ascii="Times New Roman" w:eastAsia="Calibri" w:hAnsi="Times New Roman" w:cs="Calibri"/>
          <w:sz w:val="24"/>
        </w:rPr>
        <w:t xml:space="preserve">teritoriju monitoringa ietvaros </w:t>
      </w:r>
      <w:r w:rsidR="009072CE" w:rsidRPr="00A07F29">
        <w:rPr>
          <w:rFonts w:ascii="Times New Roman" w:eastAsia="Calibri" w:hAnsi="Times New Roman" w:cs="Calibri"/>
          <w:sz w:val="24"/>
        </w:rPr>
        <w:t>no 2017.</w:t>
      </w:r>
      <w:r w:rsidR="00691FB8">
        <w:rPr>
          <w:rFonts w:ascii="Times New Roman" w:eastAsia="Calibri" w:hAnsi="Times New Roman" w:cs="Calibri"/>
          <w:sz w:val="24"/>
        </w:rPr>
        <w:t> </w:t>
      </w:r>
      <w:r w:rsidR="009072CE" w:rsidRPr="00A07F29">
        <w:rPr>
          <w:rFonts w:ascii="Times New Roman" w:eastAsia="Calibri" w:hAnsi="Times New Roman" w:cs="Calibri"/>
          <w:sz w:val="24"/>
        </w:rPr>
        <w:t xml:space="preserve">gada </w:t>
      </w:r>
      <w:r w:rsidR="000330C2" w:rsidRPr="00A07F29">
        <w:rPr>
          <w:rFonts w:ascii="Times New Roman" w:eastAsia="Calibri" w:hAnsi="Times New Roman" w:cs="Calibri"/>
          <w:sz w:val="24"/>
        </w:rPr>
        <w:t>AAA “Augšdaugava” uz</w:t>
      </w:r>
      <w:r w:rsidR="009072CE" w:rsidRPr="00A07F29">
        <w:rPr>
          <w:rFonts w:ascii="Times New Roman" w:eastAsia="Calibri" w:hAnsi="Times New Roman" w:cs="Calibri"/>
          <w:sz w:val="24"/>
        </w:rPr>
        <w:t xml:space="preserve">sākts </w:t>
      </w:r>
      <w:proofErr w:type="spellStart"/>
      <w:r w:rsidR="009072CE" w:rsidRPr="00A07F29">
        <w:rPr>
          <w:rFonts w:ascii="Times New Roman" w:eastAsia="Calibri" w:hAnsi="Times New Roman" w:cs="Calibri"/>
          <w:sz w:val="24"/>
        </w:rPr>
        <w:t>pumpurgliemežu</w:t>
      </w:r>
      <w:proofErr w:type="spellEnd"/>
      <w:r w:rsidR="009072CE" w:rsidRPr="00A07F29">
        <w:rPr>
          <w:rFonts w:ascii="Times New Roman" w:eastAsia="Calibri" w:hAnsi="Times New Roman" w:cs="Calibri"/>
          <w:sz w:val="24"/>
        </w:rPr>
        <w:t xml:space="preserve"> </w:t>
      </w:r>
      <w:proofErr w:type="spellStart"/>
      <w:r w:rsidR="009072CE" w:rsidRPr="00A07F29">
        <w:rPr>
          <w:rFonts w:ascii="Times New Roman" w:eastAsia="Calibri" w:hAnsi="Times New Roman" w:cs="Calibri"/>
          <w:i/>
          <w:sz w:val="24"/>
        </w:rPr>
        <w:t>Vertigo</w:t>
      </w:r>
      <w:proofErr w:type="spellEnd"/>
      <w:r w:rsidR="009072CE" w:rsidRPr="00A07F29">
        <w:rPr>
          <w:rFonts w:ascii="Times New Roman" w:eastAsia="Calibri" w:hAnsi="Times New Roman" w:cs="Calibri"/>
          <w:i/>
          <w:sz w:val="24"/>
        </w:rPr>
        <w:t xml:space="preserve"> </w:t>
      </w:r>
      <w:proofErr w:type="spellStart"/>
      <w:r w:rsidR="009072CE" w:rsidRPr="00A07F29">
        <w:rPr>
          <w:rFonts w:ascii="Times New Roman" w:eastAsia="Calibri" w:hAnsi="Times New Roman" w:cs="Calibri"/>
          <w:i/>
          <w:sz w:val="24"/>
        </w:rPr>
        <w:t>angustior</w:t>
      </w:r>
      <w:proofErr w:type="spellEnd"/>
      <w:r w:rsidR="009072CE" w:rsidRPr="00A07F29">
        <w:rPr>
          <w:rFonts w:ascii="Times New Roman" w:eastAsia="Calibri" w:hAnsi="Times New Roman" w:cs="Calibri"/>
          <w:sz w:val="24"/>
        </w:rPr>
        <w:t xml:space="preserve"> un </w:t>
      </w:r>
      <w:proofErr w:type="spellStart"/>
      <w:r w:rsidR="009072CE" w:rsidRPr="00A07F29">
        <w:rPr>
          <w:rFonts w:ascii="Times New Roman" w:eastAsia="Calibri" w:hAnsi="Times New Roman" w:cs="Calibri"/>
          <w:i/>
          <w:sz w:val="24"/>
        </w:rPr>
        <w:t>V.geyeri</w:t>
      </w:r>
      <w:proofErr w:type="spellEnd"/>
      <w:r w:rsidR="009072CE" w:rsidRPr="00A07F29">
        <w:rPr>
          <w:rFonts w:ascii="Times New Roman" w:eastAsia="Calibri" w:hAnsi="Times New Roman" w:cs="Calibri"/>
          <w:i/>
          <w:sz w:val="24"/>
        </w:rPr>
        <w:t>,</w:t>
      </w:r>
      <w:r w:rsidR="009072CE" w:rsidRPr="00A07F29">
        <w:rPr>
          <w:rFonts w:ascii="Times New Roman" w:eastAsia="Calibri" w:hAnsi="Times New Roman" w:cs="Calibri"/>
          <w:sz w:val="24"/>
        </w:rPr>
        <w:t xml:space="preserve"> un biezās </w:t>
      </w:r>
      <w:proofErr w:type="spellStart"/>
      <w:r w:rsidR="009072CE" w:rsidRPr="00A07F29">
        <w:rPr>
          <w:rFonts w:ascii="Times New Roman" w:eastAsia="Calibri" w:hAnsi="Times New Roman" w:cs="Calibri"/>
          <w:sz w:val="24"/>
        </w:rPr>
        <w:t>upespērlenes</w:t>
      </w:r>
      <w:proofErr w:type="spellEnd"/>
      <w:r w:rsidR="009072CE" w:rsidRPr="00A07F29">
        <w:rPr>
          <w:rFonts w:ascii="Times New Roman" w:eastAsia="Calibri" w:hAnsi="Times New Roman" w:cs="Calibri"/>
          <w:sz w:val="24"/>
        </w:rPr>
        <w:t xml:space="preserve"> </w:t>
      </w:r>
      <w:proofErr w:type="spellStart"/>
      <w:r w:rsidR="009072CE" w:rsidRPr="00A07F29">
        <w:rPr>
          <w:rFonts w:ascii="Times New Roman" w:eastAsia="Calibri" w:hAnsi="Times New Roman" w:cs="Calibri"/>
          <w:i/>
          <w:sz w:val="24"/>
        </w:rPr>
        <w:t>Unio</w:t>
      </w:r>
      <w:proofErr w:type="spellEnd"/>
      <w:r w:rsidR="009072CE" w:rsidRPr="00A07F29">
        <w:rPr>
          <w:rFonts w:ascii="Times New Roman" w:eastAsia="Calibri" w:hAnsi="Times New Roman" w:cs="Calibri"/>
          <w:i/>
          <w:sz w:val="24"/>
        </w:rPr>
        <w:t xml:space="preserve"> </w:t>
      </w:r>
      <w:proofErr w:type="spellStart"/>
      <w:r w:rsidR="009072CE" w:rsidRPr="00A07F29">
        <w:rPr>
          <w:rFonts w:ascii="Times New Roman" w:eastAsia="Calibri" w:hAnsi="Times New Roman" w:cs="Calibri"/>
          <w:i/>
          <w:sz w:val="24"/>
        </w:rPr>
        <w:t>crassus</w:t>
      </w:r>
      <w:proofErr w:type="spellEnd"/>
      <w:r w:rsidR="009072CE" w:rsidRPr="00A07F29">
        <w:rPr>
          <w:rFonts w:ascii="Times New Roman" w:eastAsia="Calibri" w:hAnsi="Times New Roman" w:cs="Calibri"/>
          <w:sz w:val="24"/>
        </w:rPr>
        <w:t xml:space="preserve"> monitorings.</w:t>
      </w:r>
    </w:p>
    <w:p w14:paraId="2420E349" w14:textId="578425BD" w:rsidR="009072CE" w:rsidRPr="00A07F29" w:rsidRDefault="001854E4" w:rsidP="001854E4">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DA plāna izstrādes ietvaros AAA “Augšdaugava” t</w:t>
      </w:r>
      <w:r w:rsidR="009072CE" w:rsidRPr="00A07F29">
        <w:rPr>
          <w:rFonts w:ascii="Times New Roman" w:eastAsia="Calibri" w:hAnsi="Times New Roman" w:cs="Calibri"/>
          <w:sz w:val="24"/>
        </w:rPr>
        <w:t>eritorijas apsekošana veikta 2019.</w:t>
      </w:r>
      <w:r w:rsidR="00691FB8">
        <w:rPr>
          <w:rFonts w:ascii="Times New Roman" w:eastAsia="Calibri" w:hAnsi="Times New Roman" w:cs="Calibri"/>
          <w:sz w:val="24"/>
        </w:rPr>
        <w:t> </w:t>
      </w:r>
      <w:r w:rsidR="009072CE" w:rsidRPr="00A07F29">
        <w:rPr>
          <w:rFonts w:ascii="Times New Roman" w:eastAsia="Calibri" w:hAnsi="Times New Roman" w:cs="Calibri"/>
          <w:sz w:val="24"/>
        </w:rPr>
        <w:t>gada augustā un septembrī. Dzīvotņu apsekošana veikta diennakts gaišajā laikā, dažādos klimatiskajos laika apstākļos – siltā laikā gan lietainos, gan saulainos apstākļos.</w:t>
      </w:r>
      <w:r w:rsidRPr="00A07F29">
        <w:rPr>
          <w:rFonts w:ascii="Times New Roman" w:eastAsia="Calibri" w:hAnsi="Times New Roman" w:cs="Calibri"/>
          <w:sz w:val="24"/>
        </w:rPr>
        <w:t xml:space="preserve"> </w:t>
      </w:r>
      <w:r w:rsidR="009072CE" w:rsidRPr="00A07F29">
        <w:rPr>
          <w:rFonts w:ascii="Times New Roman" w:eastAsia="Calibri" w:hAnsi="Times New Roman" w:cs="Calibri"/>
          <w:sz w:val="24"/>
        </w:rPr>
        <w:t xml:space="preserve">Galvenā uzmanība ir veltīta </w:t>
      </w:r>
      <w:r w:rsidR="00F549F5" w:rsidRPr="00A07F29">
        <w:rPr>
          <w:rFonts w:ascii="Times New Roman" w:eastAsia="Calibri" w:hAnsi="Times New Roman" w:cs="Calibri"/>
          <w:sz w:val="24"/>
        </w:rPr>
        <w:t>Biotopu direktīvas</w:t>
      </w:r>
      <w:r w:rsidR="009072CE" w:rsidRPr="00A07F29">
        <w:rPr>
          <w:rFonts w:ascii="Times New Roman" w:eastAsia="Calibri" w:hAnsi="Times New Roman" w:cs="Calibri"/>
          <w:sz w:val="24"/>
        </w:rPr>
        <w:t xml:space="preserve"> II pielikumā ierakstīto gliemežu sugu zināmo un potenciālo dzīvotņu inventarizācijai, jo vismazāk informācijas </w:t>
      </w:r>
      <w:r w:rsidRPr="00A07F29">
        <w:rPr>
          <w:rFonts w:ascii="Times New Roman" w:eastAsia="Calibri" w:hAnsi="Times New Roman" w:cs="Calibri"/>
          <w:sz w:val="24"/>
        </w:rPr>
        <w:t xml:space="preserve">ir </w:t>
      </w:r>
      <w:r w:rsidR="009072CE" w:rsidRPr="00A07F29">
        <w:rPr>
          <w:rFonts w:ascii="Times New Roman" w:eastAsia="Calibri" w:hAnsi="Times New Roman" w:cs="Calibri"/>
          <w:sz w:val="24"/>
        </w:rPr>
        <w:t>par šo sugu sastopamību teritorijā. Sugu klātbūtne pārbaudīta periodā, kad to populācijas sasniedz maksimumu.</w:t>
      </w:r>
    </w:p>
    <w:p w14:paraId="1CBC2C28" w14:textId="4A99F14C" w:rsidR="009072CE" w:rsidRPr="00A07F29" w:rsidRDefault="009072CE" w:rsidP="001854E4">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Pirms potenciālo dzīvotņu apsekošanas dabā, </w:t>
      </w:r>
      <w:proofErr w:type="spellStart"/>
      <w:r w:rsidRPr="00A07F29">
        <w:rPr>
          <w:rFonts w:ascii="Times New Roman" w:eastAsia="Calibri" w:hAnsi="Times New Roman" w:cs="Calibri"/>
          <w:sz w:val="24"/>
        </w:rPr>
        <w:t>kamerāli</w:t>
      </w:r>
      <w:proofErr w:type="spellEnd"/>
      <w:r w:rsidRPr="00A07F29">
        <w:rPr>
          <w:rFonts w:ascii="Times New Roman" w:eastAsia="Calibri" w:hAnsi="Times New Roman" w:cs="Calibri"/>
          <w:sz w:val="24"/>
        </w:rPr>
        <w:t xml:space="preserve"> </w:t>
      </w:r>
      <w:r w:rsidR="001854E4" w:rsidRPr="00A07F29">
        <w:rPr>
          <w:rFonts w:ascii="Times New Roman" w:eastAsia="Calibri" w:hAnsi="Times New Roman" w:cs="Calibri"/>
          <w:sz w:val="24"/>
        </w:rPr>
        <w:t xml:space="preserve">tika </w:t>
      </w:r>
      <w:r w:rsidRPr="00A07F29">
        <w:rPr>
          <w:rFonts w:ascii="Times New Roman" w:eastAsia="Calibri" w:hAnsi="Times New Roman" w:cs="Calibri"/>
          <w:sz w:val="24"/>
        </w:rPr>
        <w:t>veikta dabas ekspertu (D.</w:t>
      </w:r>
      <w:r w:rsidR="0074696E">
        <w:rPr>
          <w:rFonts w:ascii="Times New Roman" w:eastAsia="Calibri" w:hAnsi="Times New Roman" w:cs="Calibri"/>
          <w:sz w:val="24"/>
        </w:rPr>
        <w:t> </w:t>
      </w:r>
      <w:proofErr w:type="spellStart"/>
      <w:r w:rsidRPr="00A07F29">
        <w:rPr>
          <w:rFonts w:ascii="Times New Roman" w:eastAsia="Calibri" w:hAnsi="Times New Roman" w:cs="Calibri"/>
          <w:sz w:val="24"/>
        </w:rPr>
        <w:t>Krasnopoļskas</w:t>
      </w:r>
      <w:proofErr w:type="spellEnd"/>
      <w:r w:rsidRPr="00A07F29">
        <w:rPr>
          <w:rFonts w:ascii="Times New Roman" w:eastAsia="Calibri" w:hAnsi="Times New Roman" w:cs="Calibri"/>
          <w:sz w:val="24"/>
        </w:rPr>
        <w:t>, I.</w:t>
      </w:r>
      <w:r w:rsidR="0074696E">
        <w:rPr>
          <w:rFonts w:ascii="Times New Roman" w:eastAsia="Calibri" w:hAnsi="Times New Roman" w:cs="Calibri"/>
          <w:sz w:val="24"/>
        </w:rPr>
        <w:t> </w:t>
      </w:r>
      <w:r w:rsidRPr="00A07F29">
        <w:rPr>
          <w:rFonts w:ascii="Times New Roman" w:eastAsia="Calibri" w:hAnsi="Times New Roman" w:cs="Calibri"/>
          <w:sz w:val="24"/>
        </w:rPr>
        <w:t>Svilānes, P.</w:t>
      </w:r>
      <w:r w:rsidR="0074696E">
        <w:rPr>
          <w:rFonts w:ascii="Times New Roman" w:eastAsia="Calibri" w:hAnsi="Times New Roman" w:cs="Calibri"/>
          <w:sz w:val="24"/>
        </w:rPr>
        <w:t> </w:t>
      </w:r>
      <w:proofErr w:type="spellStart"/>
      <w:r w:rsidRPr="00A07F29">
        <w:rPr>
          <w:rFonts w:ascii="Times New Roman" w:eastAsia="Calibri" w:hAnsi="Times New Roman" w:cs="Calibri"/>
          <w:sz w:val="24"/>
        </w:rPr>
        <w:t>Evarta-Bundera</w:t>
      </w:r>
      <w:proofErr w:type="spellEnd"/>
      <w:r w:rsidRPr="00A07F29">
        <w:rPr>
          <w:rFonts w:ascii="Times New Roman" w:eastAsia="Calibri" w:hAnsi="Times New Roman" w:cs="Calibri"/>
          <w:sz w:val="24"/>
        </w:rPr>
        <w:t>, G.</w:t>
      </w:r>
      <w:r w:rsidR="0074696E">
        <w:rPr>
          <w:rFonts w:ascii="Times New Roman" w:eastAsia="Calibri" w:hAnsi="Times New Roman" w:cs="Calibri"/>
          <w:sz w:val="24"/>
        </w:rPr>
        <w:t> </w:t>
      </w:r>
      <w:proofErr w:type="spellStart"/>
      <w:r w:rsidRPr="00A07F29">
        <w:rPr>
          <w:rFonts w:ascii="Times New Roman" w:eastAsia="Calibri" w:hAnsi="Times New Roman" w:cs="Calibri"/>
          <w:sz w:val="24"/>
        </w:rPr>
        <w:t>Evartes-Bunderes</w:t>
      </w:r>
      <w:proofErr w:type="spellEnd"/>
      <w:r w:rsidRPr="00A07F29">
        <w:rPr>
          <w:rFonts w:ascii="Times New Roman" w:eastAsia="Calibri" w:hAnsi="Times New Roman" w:cs="Calibri"/>
          <w:sz w:val="24"/>
        </w:rPr>
        <w:t>, A.</w:t>
      </w:r>
      <w:r w:rsidR="0074696E">
        <w:rPr>
          <w:rFonts w:ascii="Times New Roman" w:eastAsia="Calibri" w:hAnsi="Times New Roman" w:cs="Calibri"/>
          <w:sz w:val="24"/>
        </w:rPr>
        <w:t> </w:t>
      </w:r>
      <w:r w:rsidRPr="00A07F29">
        <w:rPr>
          <w:rFonts w:ascii="Times New Roman" w:eastAsia="Calibri" w:hAnsi="Times New Roman" w:cs="Calibri"/>
          <w:sz w:val="24"/>
        </w:rPr>
        <w:t xml:space="preserve">Bojāres) projekta </w:t>
      </w:r>
      <w:r w:rsidRPr="00E44115">
        <w:rPr>
          <w:rFonts w:ascii="Times New Roman" w:eastAsia="Calibri" w:hAnsi="Times New Roman" w:cs="Calibri"/>
          <w:i/>
          <w:iCs/>
          <w:sz w:val="24"/>
        </w:rPr>
        <w:t>Dabas skaitīšana</w:t>
      </w:r>
      <w:r w:rsidRPr="00A07F29">
        <w:rPr>
          <w:rFonts w:ascii="Times New Roman" w:eastAsia="Calibri" w:hAnsi="Times New Roman" w:cs="Calibri"/>
          <w:sz w:val="24"/>
        </w:rPr>
        <w:t xml:space="preserve"> laikā veiktās zālāju, mežu un purvu kartēšanas anketu izvērtēšana un atlase. Kopumā apsekošanai </w:t>
      </w:r>
      <w:r w:rsidR="001854E4" w:rsidRPr="00A07F29">
        <w:rPr>
          <w:rFonts w:ascii="Times New Roman" w:eastAsia="Calibri" w:hAnsi="Times New Roman" w:cs="Calibri"/>
          <w:sz w:val="24"/>
        </w:rPr>
        <w:t xml:space="preserve">tika </w:t>
      </w:r>
      <w:r w:rsidRPr="00A07F29">
        <w:rPr>
          <w:rFonts w:ascii="Times New Roman" w:eastAsia="Calibri" w:hAnsi="Times New Roman" w:cs="Calibri"/>
          <w:sz w:val="24"/>
        </w:rPr>
        <w:t xml:space="preserve">atlasīti 30 biotopi, kuri </w:t>
      </w:r>
      <w:proofErr w:type="spellStart"/>
      <w:r w:rsidRPr="00A07F29">
        <w:rPr>
          <w:rFonts w:ascii="Times New Roman" w:eastAsia="Calibri" w:hAnsi="Times New Roman" w:cs="Calibri"/>
          <w:sz w:val="24"/>
        </w:rPr>
        <w:t>kamerāli</w:t>
      </w:r>
      <w:proofErr w:type="spellEnd"/>
      <w:r w:rsidRPr="00A07F29">
        <w:rPr>
          <w:rFonts w:ascii="Times New Roman" w:eastAsia="Calibri" w:hAnsi="Times New Roman" w:cs="Calibri"/>
          <w:sz w:val="24"/>
        </w:rPr>
        <w:t xml:space="preserve"> tika atzīti par iespējamām </w:t>
      </w:r>
      <w:r w:rsidR="00F91135">
        <w:rPr>
          <w:rFonts w:ascii="Times New Roman" w:eastAsia="Calibri" w:hAnsi="Times New Roman" w:cs="Calibri"/>
          <w:sz w:val="24"/>
        </w:rPr>
        <w:t>Biotopu</w:t>
      </w:r>
      <w:r w:rsidRPr="00A07F29">
        <w:rPr>
          <w:rFonts w:ascii="Times New Roman" w:eastAsia="Calibri" w:hAnsi="Times New Roman" w:cs="Calibri"/>
          <w:sz w:val="24"/>
        </w:rPr>
        <w:t xml:space="preserve"> direktīvas II pielikumā ierakstīto gliemežu sugu dzīvotnēm. Atkārtoti </w:t>
      </w:r>
      <w:r w:rsidR="001854E4" w:rsidRPr="00A07F29">
        <w:rPr>
          <w:rFonts w:ascii="Times New Roman" w:eastAsia="Calibri" w:hAnsi="Times New Roman" w:cs="Calibri"/>
          <w:sz w:val="24"/>
        </w:rPr>
        <w:t>tika</w:t>
      </w:r>
      <w:r w:rsidRPr="00A07F29">
        <w:rPr>
          <w:rFonts w:ascii="Times New Roman" w:eastAsia="Calibri" w:hAnsi="Times New Roman" w:cs="Calibri"/>
          <w:sz w:val="24"/>
        </w:rPr>
        <w:t xml:space="preserve"> apsekotas piecas vietas, kurās 2017.</w:t>
      </w:r>
      <w:r w:rsidR="00F91135">
        <w:rPr>
          <w:rFonts w:ascii="Times New Roman" w:eastAsia="Calibri" w:hAnsi="Times New Roman" w:cs="Calibri"/>
          <w:sz w:val="24"/>
        </w:rPr>
        <w:t> </w:t>
      </w:r>
      <w:r w:rsidRPr="00A07F29">
        <w:rPr>
          <w:rFonts w:ascii="Times New Roman" w:eastAsia="Calibri" w:hAnsi="Times New Roman" w:cs="Calibri"/>
          <w:sz w:val="24"/>
        </w:rPr>
        <w:t xml:space="preserve">gadā bija veikts </w:t>
      </w:r>
      <w:proofErr w:type="spellStart"/>
      <w:r w:rsidR="0092556E" w:rsidRPr="00A07F29">
        <w:rPr>
          <w:rFonts w:ascii="Times New Roman" w:eastAsia="Calibri" w:hAnsi="Times New Roman" w:cs="Calibri"/>
          <w:i/>
          <w:sz w:val="24"/>
        </w:rPr>
        <w:t>Natura</w:t>
      </w:r>
      <w:proofErr w:type="spellEnd"/>
      <w:r w:rsidRPr="00A07F29">
        <w:rPr>
          <w:rFonts w:ascii="Times New Roman" w:eastAsia="Calibri" w:hAnsi="Times New Roman" w:cs="Calibri"/>
          <w:i/>
          <w:sz w:val="24"/>
        </w:rPr>
        <w:t xml:space="preserve"> 2000</w:t>
      </w:r>
      <w:r w:rsidRPr="00A07F29">
        <w:rPr>
          <w:rFonts w:ascii="Times New Roman" w:eastAsia="Calibri" w:hAnsi="Times New Roman" w:cs="Calibri"/>
          <w:sz w:val="24"/>
        </w:rPr>
        <w:t xml:space="preserve"> teritoriju monitorings</w:t>
      </w:r>
      <w:r w:rsidR="00F91135">
        <w:rPr>
          <w:rStyle w:val="FootnoteReference"/>
          <w:rFonts w:ascii="Times New Roman" w:eastAsia="Calibri" w:hAnsi="Times New Roman" w:cs="Calibri"/>
          <w:sz w:val="24"/>
        </w:rPr>
        <w:footnoteReference w:id="40"/>
      </w:r>
      <w:r w:rsidRPr="00A07F29">
        <w:rPr>
          <w:rFonts w:ascii="Times New Roman" w:eastAsia="Calibri" w:hAnsi="Times New Roman" w:cs="Calibri"/>
          <w:sz w:val="24"/>
        </w:rPr>
        <w:t>. Pārējām ĪA</w:t>
      </w:r>
      <w:r w:rsidR="00AF38CA">
        <w:rPr>
          <w:rFonts w:ascii="Times New Roman" w:eastAsia="Calibri" w:hAnsi="Times New Roman" w:cs="Calibri"/>
          <w:sz w:val="24"/>
        </w:rPr>
        <w:t xml:space="preserve"> sug</w:t>
      </w:r>
      <w:r w:rsidR="0011718D">
        <w:rPr>
          <w:rFonts w:ascii="Times New Roman" w:eastAsia="Calibri" w:hAnsi="Times New Roman" w:cs="Calibri"/>
          <w:sz w:val="24"/>
        </w:rPr>
        <w:t>ām</w:t>
      </w:r>
      <w:r w:rsidRPr="00A07F29">
        <w:rPr>
          <w:rFonts w:ascii="Times New Roman" w:eastAsia="Calibri" w:hAnsi="Times New Roman" w:cs="Calibri"/>
          <w:sz w:val="24"/>
        </w:rPr>
        <w:t xml:space="preserve"> dzīvotņu kvalitāte novērtēta to zināmajās atradnēs.</w:t>
      </w:r>
    </w:p>
    <w:p w14:paraId="79F6BCB1" w14:textId="77777777" w:rsidR="009072CE" w:rsidRPr="00A07F29" w:rsidRDefault="009072CE" w:rsidP="001854E4">
      <w:pPr>
        <w:spacing w:after="120" w:line="240" w:lineRule="auto"/>
        <w:ind w:firstLine="851"/>
        <w:jc w:val="both"/>
        <w:rPr>
          <w:rFonts w:ascii="Times New Roman" w:eastAsia="Calibri" w:hAnsi="Times New Roman" w:cs="Calibri"/>
          <w:sz w:val="24"/>
        </w:rPr>
      </w:pPr>
    </w:p>
    <w:p w14:paraId="09B1BB0E" w14:textId="77777777" w:rsidR="009072CE" w:rsidRPr="00A07F29" w:rsidRDefault="009072CE" w:rsidP="00B910EA">
      <w:pPr>
        <w:spacing w:after="120"/>
        <w:jc w:val="center"/>
        <w:rPr>
          <w:rFonts w:ascii="Times New Roman" w:eastAsia="Calibri" w:hAnsi="Times New Roman" w:cs="Calibri"/>
          <w:sz w:val="24"/>
        </w:rPr>
      </w:pPr>
      <w:r w:rsidRPr="00A07F29">
        <w:rPr>
          <w:noProof/>
          <w:lang w:eastAsia="lv-LV"/>
        </w:rPr>
        <w:lastRenderedPageBreak/>
        <w:drawing>
          <wp:inline distT="0" distB="0" distL="0" distR="0" wp14:anchorId="3268CDCA" wp14:editId="630DA1ED">
            <wp:extent cx="5731510" cy="1670050"/>
            <wp:effectExtent l="0" t="0" r="2540" b="6350"/>
            <wp:docPr id="918145584" name="Attēls 918145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18145584"/>
                    <pic:cNvPicPr/>
                  </pic:nvPicPr>
                  <pic:blipFill>
                    <a:blip r:embed="rId85">
                      <a:extLst>
                        <a:ext uri="{28A0092B-C50C-407E-A947-70E740481C1C}">
                          <a14:useLocalDpi xmlns:a14="http://schemas.microsoft.com/office/drawing/2010/main"/>
                        </a:ext>
                      </a:extLst>
                    </a:blip>
                    <a:stretch>
                      <a:fillRect/>
                    </a:stretch>
                  </pic:blipFill>
                  <pic:spPr>
                    <a:xfrm>
                      <a:off x="0" y="0"/>
                      <a:ext cx="5731510" cy="1670050"/>
                    </a:xfrm>
                    <a:prstGeom prst="rect">
                      <a:avLst/>
                    </a:prstGeom>
                  </pic:spPr>
                </pic:pic>
              </a:graphicData>
            </a:graphic>
          </wp:inline>
        </w:drawing>
      </w:r>
    </w:p>
    <w:p w14:paraId="0261B92B" w14:textId="1298ECC9" w:rsidR="009072CE" w:rsidRPr="004D1702" w:rsidRDefault="009072CE" w:rsidP="001854E4">
      <w:pPr>
        <w:spacing w:after="120" w:line="240" w:lineRule="auto"/>
        <w:ind w:left="284"/>
        <w:jc w:val="both"/>
        <w:rPr>
          <w:rFonts w:ascii="Times New Roman" w:eastAsia="Calibri" w:hAnsi="Times New Roman" w:cs="Calibri"/>
          <w:sz w:val="20"/>
          <w:szCs w:val="20"/>
        </w:rPr>
      </w:pPr>
      <w:r w:rsidRPr="004D1702">
        <w:rPr>
          <w:rFonts w:ascii="Times New Roman" w:eastAsia="Calibri" w:hAnsi="Times New Roman" w:cs="Calibri"/>
          <w:sz w:val="20"/>
          <w:szCs w:val="20"/>
        </w:rPr>
        <w:t>4.</w:t>
      </w:r>
      <w:r w:rsidR="001854E4" w:rsidRPr="004D1702">
        <w:rPr>
          <w:rFonts w:ascii="Times New Roman" w:eastAsia="Calibri" w:hAnsi="Times New Roman" w:cs="Calibri"/>
          <w:sz w:val="20"/>
          <w:szCs w:val="20"/>
        </w:rPr>
        <w:t>7.</w:t>
      </w:r>
      <w:r w:rsidRPr="004D1702">
        <w:rPr>
          <w:rFonts w:ascii="Times New Roman" w:eastAsia="Calibri" w:hAnsi="Times New Roman" w:cs="Calibri"/>
          <w:sz w:val="20"/>
          <w:szCs w:val="20"/>
        </w:rPr>
        <w:t>2.1.</w:t>
      </w:r>
      <w:r w:rsidR="004D1702" w:rsidRPr="004D1702">
        <w:rPr>
          <w:rFonts w:ascii="Times New Roman" w:eastAsia="Calibri" w:hAnsi="Times New Roman" w:cs="Calibri"/>
          <w:sz w:val="20"/>
          <w:szCs w:val="20"/>
        </w:rPr>
        <w:t> </w:t>
      </w:r>
      <w:r w:rsidRPr="004D1702">
        <w:rPr>
          <w:rFonts w:ascii="Times New Roman" w:eastAsia="Calibri" w:hAnsi="Times New Roman" w:cs="Calibri"/>
          <w:sz w:val="20"/>
          <w:szCs w:val="20"/>
        </w:rPr>
        <w:t>att</w:t>
      </w:r>
      <w:r w:rsidR="004D1702" w:rsidRPr="004D1702">
        <w:rPr>
          <w:rFonts w:ascii="Times New Roman" w:eastAsia="Calibri" w:hAnsi="Times New Roman" w:cs="Calibri"/>
          <w:sz w:val="20"/>
          <w:szCs w:val="20"/>
        </w:rPr>
        <w:t>ēls</w:t>
      </w:r>
      <w:r w:rsidRPr="004D1702">
        <w:rPr>
          <w:rFonts w:ascii="Times New Roman" w:eastAsia="Calibri" w:hAnsi="Times New Roman" w:cs="Calibri"/>
          <w:sz w:val="20"/>
          <w:szCs w:val="20"/>
        </w:rPr>
        <w:t>. AAA “Augšdaugava” 2019.</w:t>
      </w:r>
      <w:r w:rsidR="004D1702" w:rsidRPr="004D1702">
        <w:rPr>
          <w:rFonts w:ascii="Times New Roman" w:eastAsia="Calibri" w:hAnsi="Times New Roman" w:cs="Calibri"/>
          <w:sz w:val="20"/>
          <w:szCs w:val="20"/>
        </w:rPr>
        <w:t> </w:t>
      </w:r>
      <w:r w:rsidRPr="004D1702">
        <w:rPr>
          <w:rFonts w:ascii="Times New Roman" w:eastAsia="Calibri" w:hAnsi="Times New Roman" w:cs="Calibri"/>
          <w:sz w:val="20"/>
          <w:szCs w:val="20"/>
        </w:rPr>
        <w:t>gadā apsekotās īpaši aizsargājamo gliemju sugu esošās un potenciālās dzīvotnes.</w:t>
      </w:r>
    </w:p>
    <w:p w14:paraId="7A09591F" w14:textId="42CD3E45" w:rsidR="009072CE" w:rsidRPr="00A07F29" w:rsidRDefault="009072CE" w:rsidP="001854E4">
      <w:pPr>
        <w:spacing w:after="120" w:line="240" w:lineRule="auto"/>
        <w:ind w:firstLine="851"/>
        <w:jc w:val="both"/>
        <w:rPr>
          <w:rFonts w:ascii="Times New Roman" w:eastAsia="Calibri" w:hAnsi="Times New Roman" w:cs="Calibri"/>
          <w:sz w:val="24"/>
        </w:rPr>
      </w:pPr>
      <w:r w:rsidRPr="008B4498">
        <w:rPr>
          <w:rFonts w:ascii="Times New Roman" w:eastAsia="Calibri" w:hAnsi="Times New Roman" w:cs="Calibri"/>
          <w:sz w:val="24"/>
        </w:rPr>
        <w:t>Materiāls ievākts,</w:t>
      </w:r>
      <w:r w:rsidRPr="00A07F29">
        <w:rPr>
          <w:rFonts w:ascii="Times New Roman" w:eastAsia="Calibri" w:hAnsi="Times New Roman" w:cs="Calibri"/>
          <w:sz w:val="24"/>
        </w:rPr>
        <w:t xml:space="preserve"> izmantojot tā saucamo sijātās augsnes tilpuma metodi (</w:t>
      </w:r>
      <w:proofErr w:type="spellStart"/>
      <w:r w:rsidRPr="00A07F29">
        <w:rPr>
          <w:rFonts w:ascii="Times New Roman" w:eastAsia="Calibri" w:hAnsi="Times New Roman" w:cs="Calibri"/>
          <w:sz w:val="24"/>
        </w:rPr>
        <w:t>Valovirta</w:t>
      </w:r>
      <w:proofErr w:type="spellEnd"/>
      <w:r w:rsidR="00D1017B">
        <w:rPr>
          <w:rFonts w:ascii="Times New Roman" w:eastAsia="Calibri" w:hAnsi="Times New Roman" w:cs="Calibri"/>
          <w:sz w:val="24"/>
        </w:rPr>
        <w:t xml:space="preserve"> I.,</w:t>
      </w:r>
      <w:r w:rsidRPr="00A07F29">
        <w:rPr>
          <w:rFonts w:ascii="Times New Roman" w:eastAsia="Calibri" w:hAnsi="Times New Roman" w:cs="Calibri"/>
          <w:sz w:val="24"/>
        </w:rPr>
        <w:t xml:space="preserve"> 1996) – ar </w:t>
      </w:r>
      <w:proofErr w:type="spellStart"/>
      <w:r w:rsidRPr="00A07F29">
        <w:rPr>
          <w:rFonts w:ascii="Times New Roman" w:eastAsia="Calibri" w:hAnsi="Times New Roman" w:cs="Calibri"/>
          <w:sz w:val="24"/>
        </w:rPr>
        <w:t>malakoloģisko</w:t>
      </w:r>
      <w:proofErr w:type="spellEnd"/>
      <w:r w:rsidRPr="00A07F29">
        <w:rPr>
          <w:rFonts w:ascii="Times New Roman" w:eastAsia="Calibri" w:hAnsi="Times New Roman" w:cs="Calibri"/>
          <w:sz w:val="24"/>
        </w:rPr>
        <w:t xml:space="preserve"> sietu (sieta acu izmērs 10</w:t>
      </w:r>
      <w:r w:rsidR="0036755B">
        <w:rPr>
          <w:rFonts w:ascii="Times New Roman" w:eastAsia="Calibri" w:hAnsi="Times New Roman" w:cs="Calibri"/>
          <w:sz w:val="24"/>
        </w:rPr>
        <w:t> </w:t>
      </w:r>
      <w:r w:rsidRPr="00A07F29">
        <w:rPr>
          <w:rFonts w:ascii="Times New Roman" w:eastAsia="Calibri" w:hAnsi="Times New Roman" w:cs="Calibri"/>
          <w:sz w:val="24"/>
        </w:rPr>
        <w:t>x</w:t>
      </w:r>
      <w:r w:rsidR="0036755B">
        <w:rPr>
          <w:rFonts w:ascii="Times New Roman" w:eastAsia="Calibri" w:hAnsi="Times New Roman" w:cs="Calibri"/>
          <w:sz w:val="24"/>
        </w:rPr>
        <w:t> </w:t>
      </w:r>
      <w:r w:rsidRPr="00A07F29">
        <w:rPr>
          <w:rFonts w:ascii="Times New Roman" w:eastAsia="Calibri" w:hAnsi="Times New Roman" w:cs="Calibri"/>
          <w:sz w:val="24"/>
        </w:rPr>
        <w:t>10mm) iesijājot 3</w:t>
      </w:r>
      <w:r w:rsidR="0036755B">
        <w:rPr>
          <w:rFonts w:ascii="Times New Roman" w:eastAsia="Calibri" w:hAnsi="Times New Roman" w:cs="Calibri"/>
          <w:sz w:val="24"/>
        </w:rPr>
        <w:t> – </w:t>
      </w:r>
      <w:r w:rsidRPr="00A07F29">
        <w:rPr>
          <w:rFonts w:ascii="Times New Roman" w:eastAsia="Calibri" w:hAnsi="Times New Roman" w:cs="Calibri"/>
          <w:sz w:val="24"/>
        </w:rPr>
        <w:t>6</w:t>
      </w:r>
      <w:r w:rsidR="0036755B">
        <w:rPr>
          <w:rFonts w:ascii="Times New Roman" w:eastAsia="Calibri" w:hAnsi="Times New Roman" w:cs="Calibri"/>
          <w:sz w:val="24"/>
        </w:rPr>
        <w:t xml:space="preserve"> </w:t>
      </w:r>
      <w:r w:rsidRPr="00A07F29">
        <w:rPr>
          <w:rFonts w:ascii="Times New Roman" w:eastAsia="Calibri" w:hAnsi="Times New Roman" w:cs="Calibri"/>
          <w:sz w:val="24"/>
        </w:rPr>
        <w:t xml:space="preserve">litrus zemsedzi. Paraugi nogādāti laboratorijā, kur tie izžāvēti </w:t>
      </w:r>
      <w:proofErr w:type="spellStart"/>
      <w:r w:rsidRPr="00A07F29">
        <w:rPr>
          <w:rFonts w:ascii="Times New Roman" w:eastAsia="Calibri" w:hAnsi="Times New Roman" w:cs="Calibri"/>
          <w:sz w:val="24"/>
        </w:rPr>
        <w:t>gaissausi</w:t>
      </w:r>
      <w:proofErr w:type="spellEnd"/>
      <w:r w:rsidRPr="00A07F29">
        <w:rPr>
          <w:rFonts w:ascii="Times New Roman" w:eastAsia="Calibri" w:hAnsi="Times New Roman" w:cs="Calibri"/>
          <w:sz w:val="24"/>
        </w:rPr>
        <w:t>, pēc tam izsijāti ar augsnes sietiem (sietu acu izmēri: 5</w:t>
      </w:r>
      <w:r w:rsidR="00452470">
        <w:rPr>
          <w:rFonts w:ascii="Times New Roman" w:eastAsia="Calibri" w:hAnsi="Times New Roman" w:cs="Calibri"/>
          <w:sz w:val="24"/>
        </w:rPr>
        <w:t> </w:t>
      </w:r>
      <w:r w:rsidRPr="00A07F29">
        <w:rPr>
          <w:rFonts w:ascii="Times New Roman" w:eastAsia="Calibri" w:hAnsi="Times New Roman" w:cs="Calibri"/>
          <w:sz w:val="24"/>
        </w:rPr>
        <w:t>mm, 3</w:t>
      </w:r>
      <w:r w:rsidR="00452470">
        <w:rPr>
          <w:rFonts w:ascii="Times New Roman" w:eastAsia="Calibri" w:hAnsi="Times New Roman" w:cs="Calibri"/>
          <w:sz w:val="24"/>
        </w:rPr>
        <w:t> </w:t>
      </w:r>
      <w:r w:rsidRPr="00A07F29">
        <w:rPr>
          <w:rFonts w:ascii="Times New Roman" w:eastAsia="Calibri" w:hAnsi="Times New Roman" w:cs="Calibri"/>
          <w:sz w:val="24"/>
        </w:rPr>
        <w:t>mm, 2</w:t>
      </w:r>
      <w:r w:rsidR="00452470">
        <w:rPr>
          <w:rFonts w:ascii="Times New Roman" w:eastAsia="Calibri" w:hAnsi="Times New Roman" w:cs="Calibri"/>
          <w:sz w:val="24"/>
        </w:rPr>
        <w:t> </w:t>
      </w:r>
      <w:r w:rsidRPr="00A07F29">
        <w:rPr>
          <w:rFonts w:ascii="Times New Roman" w:eastAsia="Calibri" w:hAnsi="Times New Roman" w:cs="Calibri"/>
          <w:sz w:val="24"/>
        </w:rPr>
        <w:t>mm un 1</w:t>
      </w:r>
      <w:r w:rsidR="00452470">
        <w:rPr>
          <w:rFonts w:ascii="Times New Roman" w:eastAsia="Calibri" w:hAnsi="Times New Roman" w:cs="Calibri"/>
          <w:sz w:val="24"/>
        </w:rPr>
        <w:t> </w:t>
      </w:r>
      <w:r w:rsidRPr="00A07F29">
        <w:rPr>
          <w:rFonts w:ascii="Times New Roman" w:eastAsia="Calibri" w:hAnsi="Times New Roman" w:cs="Calibri"/>
          <w:sz w:val="24"/>
        </w:rPr>
        <w:t xml:space="preserve">mm). No katras izsijātās frakcijas izlasītas gliemežu čaulas un noteiktas sugas. Saldūdens gliemju sugas noteiktas dabā, ūdenstilpju apsekošanas laikā. Sugas noteiktas, izmantojot gliemju sugu noteicēju (Rudzīte </w:t>
      </w:r>
      <w:r w:rsidR="00D1017B">
        <w:rPr>
          <w:rFonts w:ascii="Times New Roman" w:eastAsia="Calibri" w:hAnsi="Times New Roman" w:cs="Calibri"/>
          <w:sz w:val="24"/>
        </w:rPr>
        <w:t xml:space="preserve">M., </w:t>
      </w:r>
      <w:r w:rsidRPr="00A07F29">
        <w:rPr>
          <w:rFonts w:ascii="Times New Roman" w:eastAsia="Calibri" w:hAnsi="Times New Roman" w:cs="Calibri"/>
          <w:sz w:val="24"/>
        </w:rPr>
        <w:t>u.c.</w:t>
      </w:r>
      <w:r w:rsidR="00D1017B">
        <w:rPr>
          <w:rFonts w:ascii="Times New Roman" w:eastAsia="Calibri" w:hAnsi="Times New Roman" w:cs="Calibri"/>
          <w:sz w:val="24"/>
        </w:rPr>
        <w:t xml:space="preserve">, </w:t>
      </w:r>
      <w:r w:rsidRPr="00A07F29">
        <w:rPr>
          <w:rFonts w:ascii="Times New Roman" w:eastAsia="Calibri" w:hAnsi="Times New Roman" w:cs="Calibri"/>
          <w:sz w:val="24"/>
        </w:rPr>
        <w:t xml:space="preserve">2010). </w:t>
      </w:r>
    </w:p>
    <w:p w14:paraId="53ACE470" w14:textId="4C8CE589" w:rsidR="009072CE" w:rsidRPr="00A07F29" w:rsidRDefault="009072CE" w:rsidP="001854E4">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Papildus ir apkopoti dati un informācija no </w:t>
      </w:r>
      <w:r w:rsidRPr="00DE79BE">
        <w:rPr>
          <w:rFonts w:ascii="Times New Roman" w:eastAsia="Calibri" w:hAnsi="Times New Roman" w:cs="Calibri"/>
          <w:sz w:val="24"/>
        </w:rPr>
        <w:t>D</w:t>
      </w:r>
      <w:r w:rsidR="00DE79BE" w:rsidRPr="00DE79BE">
        <w:rPr>
          <w:rFonts w:ascii="Times New Roman" w:eastAsia="Calibri" w:hAnsi="Times New Roman" w:cs="Calibri"/>
          <w:sz w:val="24"/>
        </w:rPr>
        <w:t>U</w:t>
      </w:r>
      <w:r w:rsidRPr="00A07F29">
        <w:rPr>
          <w:rFonts w:ascii="Times New Roman" w:eastAsia="Calibri" w:hAnsi="Times New Roman" w:cs="Calibri"/>
          <w:sz w:val="24"/>
        </w:rPr>
        <w:t xml:space="preserve"> Dabas zinātņu un tehnoloģiju institūta gliemju kolekcijas, studentu (</w:t>
      </w:r>
      <w:proofErr w:type="spellStart"/>
      <w:r w:rsidRPr="00A07F29">
        <w:rPr>
          <w:rFonts w:ascii="Times New Roman" w:eastAsia="Calibri" w:hAnsi="Times New Roman" w:cs="Calibri"/>
          <w:sz w:val="24"/>
        </w:rPr>
        <w:t>Gurčonoks</w:t>
      </w:r>
      <w:proofErr w:type="spellEnd"/>
      <w:r w:rsidR="00D1017B">
        <w:rPr>
          <w:rFonts w:ascii="Times New Roman" w:eastAsia="Calibri" w:hAnsi="Times New Roman" w:cs="Calibri"/>
          <w:sz w:val="24"/>
        </w:rPr>
        <w:t xml:space="preserve"> I.,</w:t>
      </w:r>
      <w:r w:rsidRPr="00A07F29">
        <w:rPr>
          <w:rFonts w:ascii="Times New Roman" w:eastAsia="Calibri" w:hAnsi="Times New Roman" w:cs="Calibri"/>
          <w:sz w:val="24"/>
        </w:rPr>
        <w:t xml:space="preserve"> 2013, Jakubāne</w:t>
      </w:r>
      <w:r w:rsidR="00342CD2">
        <w:rPr>
          <w:rFonts w:ascii="Times New Roman" w:eastAsia="Calibri" w:hAnsi="Times New Roman" w:cs="Calibri"/>
          <w:sz w:val="24"/>
        </w:rPr>
        <w:t xml:space="preserve"> I.</w:t>
      </w:r>
      <w:r w:rsidR="00DC0065">
        <w:rPr>
          <w:rFonts w:ascii="Times New Roman" w:eastAsia="Calibri" w:hAnsi="Times New Roman" w:cs="Calibri"/>
          <w:sz w:val="24"/>
        </w:rPr>
        <w:t>,</w:t>
      </w:r>
      <w:r w:rsidRPr="00A07F29">
        <w:rPr>
          <w:rFonts w:ascii="Times New Roman" w:eastAsia="Calibri" w:hAnsi="Times New Roman" w:cs="Calibri"/>
          <w:sz w:val="24"/>
        </w:rPr>
        <w:t xml:space="preserve"> 2014) veiktajiem studiju darbiem un </w:t>
      </w:r>
      <w:proofErr w:type="spellStart"/>
      <w:r w:rsidR="0092556E" w:rsidRPr="00A07F29">
        <w:rPr>
          <w:rFonts w:ascii="Times New Roman" w:eastAsia="Calibri" w:hAnsi="Times New Roman" w:cs="Calibri"/>
          <w:i/>
          <w:sz w:val="24"/>
        </w:rPr>
        <w:t>Natura</w:t>
      </w:r>
      <w:proofErr w:type="spellEnd"/>
      <w:r w:rsidRPr="00A07F29">
        <w:rPr>
          <w:rFonts w:ascii="Times New Roman" w:eastAsia="Calibri" w:hAnsi="Times New Roman" w:cs="Calibri"/>
          <w:i/>
          <w:sz w:val="24"/>
        </w:rPr>
        <w:t xml:space="preserve"> 2000</w:t>
      </w:r>
      <w:r w:rsidRPr="00A07F29">
        <w:rPr>
          <w:rFonts w:ascii="Times New Roman" w:eastAsia="Calibri" w:hAnsi="Times New Roman" w:cs="Calibri"/>
          <w:sz w:val="24"/>
        </w:rPr>
        <w:t xml:space="preserve"> teritoriju monitoringa anketām (</w:t>
      </w:r>
      <w:proofErr w:type="spellStart"/>
      <w:r w:rsidR="0092556E" w:rsidRPr="00A07F29">
        <w:rPr>
          <w:rFonts w:ascii="Times New Roman" w:eastAsia="Calibri" w:hAnsi="Times New Roman" w:cs="Calibri"/>
          <w:i/>
          <w:sz w:val="24"/>
        </w:rPr>
        <w:t>Natura</w:t>
      </w:r>
      <w:proofErr w:type="spellEnd"/>
      <w:r w:rsidRPr="00A07F29">
        <w:rPr>
          <w:rFonts w:ascii="Times New Roman" w:eastAsia="Calibri" w:hAnsi="Times New Roman" w:cs="Calibri"/>
          <w:i/>
          <w:sz w:val="24"/>
        </w:rPr>
        <w:t xml:space="preserve"> 2000</w:t>
      </w:r>
      <w:r w:rsidRPr="00A07F29">
        <w:rPr>
          <w:rFonts w:ascii="Times New Roman" w:eastAsia="Calibri" w:hAnsi="Times New Roman" w:cs="Calibri"/>
          <w:sz w:val="24"/>
        </w:rPr>
        <w:t xml:space="preserve"> teritoriju bezmugurkaulnieku monitoringa anketas: Jakubāne</w:t>
      </w:r>
      <w:r w:rsidR="00503A4B">
        <w:rPr>
          <w:rFonts w:ascii="Times New Roman" w:eastAsia="Calibri" w:hAnsi="Times New Roman" w:cs="Calibri"/>
          <w:sz w:val="24"/>
        </w:rPr>
        <w:t xml:space="preserve"> I.,</w:t>
      </w:r>
      <w:r w:rsidRPr="00A07F29">
        <w:rPr>
          <w:rFonts w:ascii="Times New Roman" w:eastAsia="Calibri" w:hAnsi="Times New Roman" w:cs="Calibri"/>
          <w:sz w:val="24"/>
        </w:rPr>
        <w:t xml:space="preserve"> 2016, Jakubāne</w:t>
      </w:r>
      <w:r w:rsidR="00503A4B">
        <w:rPr>
          <w:rFonts w:ascii="Times New Roman" w:eastAsia="Calibri" w:hAnsi="Times New Roman" w:cs="Calibri"/>
          <w:sz w:val="24"/>
        </w:rPr>
        <w:t xml:space="preserve"> I.</w:t>
      </w:r>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sz w:val="24"/>
        </w:rPr>
        <w:t>Pilāte</w:t>
      </w:r>
      <w:proofErr w:type="spellEnd"/>
      <w:r w:rsidR="00503A4B">
        <w:rPr>
          <w:rFonts w:ascii="Times New Roman" w:eastAsia="Calibri" w:hAnsi="Times New Roman" w:cs="Calibri"/>
          <w:sz w:val="24"/>
        </w:rPr>
        <w:t xml:space="preserve"> D</w:t>
      </w:r>
      <w:r w:rsidR="00364069">
        <w:rPr>
          <w:rFonts w:ascii="Times New Roman" w:eastAsia="Calibri" w:hAnsi="Times New Roman" w:cs="Calibri"/>
          <w:sz w:val="24"/>
        </w:rPr>
        <w:t>.,</w:t>
      </w:r>
      <w:r w:rsidRPr="00A07F29">
        <w:rPr>
          <w:rFonts w:ascii="Times New Roman" w:eastAsia="Calibri" w:hAnsi="Times New Roman" w:cs="Calibri"/>
          <w:sz w:val="24"/>
        </w:rPr>
        <w:t xml:space="preserve"> 2017). Izmantoti R. </w:t>
      </w:r>
      <w:proofErr w:type="spellStart"/>
      <w:r w:rsidRPr="00A07F29">
        <w:rPr>
          <w:rFonts w:ascii="Times New Roman" w:eastAsia="Calibri" w:hAnsi="Times New Roman" w:cs="Calibri"/>
          <w:sz w:val="24"/>
        </w:rPr>
        <w:t>Cibuļska</w:t>
      </w:r>
      <w:proofErr w:type="spellEnd"/>
      <w:r w:rsidRPr="00A07F29">
        <w:rPr>
          <w:rFonts w:ascii="Times New Roman" w:eastAsia="Calibri" w:hAnsi="Times New Roman" w:cs="Calibri"/>
          <w:sz w:val="24"/>
        </w:rPr>
        <w:t xml:space="preserve"> dati, kas bija ievākti </w:t>
      </w:r>
      <w:r w:rsidR="00BF0E06" w:rsidRPr="00A07F29">
        <w:rPr>
          <w:rFonts w:ascii="Times New Roman" w:eastAsia="Calibri" w:hAnsi="Times New Roman" w:cs="Calibri"/>
          <w:sz w:val="24"/>
        </w:rPr>
        <w:t>DP</w:t>
      </w:r>
      <w:r w:rsidRPr="00A07F29">
        <w:rPr>
          <w:rFonts w:ascii="Times New Roman" w:eastAsia="Calibri" w:hAnsi="Times New Roman" w:cs="Calibri"/>
          <w:sz w:val="24"/>
        </w:rPr>
        <w:t xml:space="preserve"> “Daugavas loki” </w:t>
      </w:r>
      <w:r w:rsidR="00BF0E06" w:rsidRPr="00A07F29">
        <w:rPr>
          <w:rFonts w:ascii="Times New Roman" w:eastAsia="Calibri" w:hAnsi="Times New Roman" w:cs="Calibri"/>
          <w:sz w:val="24"/>
        </w:rPr>
        <w:t>DA plāna</w:t>
      </w:r>
      <w:r w:rsidRPr="00A07F29">
        <w:rPr>
          <w:rFonts w:ascii="Times New Roman" w:eastAsia="Calibri" w:hAnsi="Times New Roman" w:cs="Calibri"/>
          <w:sz w:val="24"/>
        </w:rPr>
        <w:t xml:space="preserve"> izstrādes vajadzībām (Bāra</w:t>
      </w:r>
      <w:r w:rsidR="00364069">
        <w:rPr>
          <w:rFonts w:ascii="Times New Roman" w:eastAsia="Calibri" w:hAnsi="Times New Roman" w:cs="Calibri"/>
          <w:sz w:val="24"/>
        </w:rPr>
        <w:t xml:space="preserve"> J.,</w:t>
      </w:r>
      <w:r w:rsidRPr="00A07F29">
        <w:rPr>
          <w:rFonts w:ascii="Times New Roman" w:eastAsia="Calibri" w:hAnsi="Times New Roman" w:cs="Calibri"/>
          <w:sz w:val="24"/>
        </w:rPr>
        <w:t xml:space="preserve"> 2010). Izmantota </w:t>
      </w:r>
      <w:r w:rsidR="00511AA1" w:rsidRPr="00A07F29">
        <w:rPr>
          <w:rFonts w:ascii="Times New Roman" w:eastAsia="Calibri" w:hAnsi="Times New Roman" w:cs="Calibri"/>
          <w:sz w:val="24"/>
        </w:rPr>
        <w:t>DAP</w:t>
      </w:r>
      <w:r w:rsidRPr="00A07F29">
        <w:rPr>
          <w:rFonts w:ascii="Times New Roman" w:eastAsia="Calibri" w:hAnsi="Times New Roman" w:cs="Calibri"/>
          <w:sz w:val="24"/>
        </w:rPr>
        <w:t xml:space="preserve"> </w:t>
      </w:r>
      <w:r w:rsidR="00DE79BE" w:rsidRPr="00DE79BE">
        <w:rPr>
          <w:rFonts w:ascii="Times New Roman" w:eastAsia="Calibri" w:hAnsi="Times New Roman" w:cs="Calibri"/>
          <w:sz w:val="24"/>
        </w:rPr>
        <w:t>DDPS</w:t>
      </w:r>
      <w:r w:rsidRPr="00DE79BE">
        <w:rPr>
          <w:rFonts w:ascii="Times New Roman" w:eastAsia="Calibri" w:hAnsi="Times New Roman" w:cs="Calibri"/>
          <w:sz w:val="24"/>
        </w:rPr>
        <w:t xml:space="preserve"> </w:t>
      </w:r>
      <w:r w:rsidR="00DE79BE" w:rsidRPr="00DE79BE">
        <w:rPr>
          <w:rFonts w:ascii="Times New Roman" w:eastAsia="Calibri" w:hAnsi="Times New Roman" w:cs="Calibri"/>
          <w:sz w:val="24"/>
        </w:rPr>
        <w:t>“</w:t>
      </w:r>
      <w:r w:rsidRPr="00DE79BE">
        <w:rPr>
          <w:rFonts w:ascii="Times New Roman" w:eastAsia="Calibri" w:hAnsi="Times New Roman" w:cs="Calibri"/>
          <w:sz w:val="24"/>
        </w:rPr>
        <w:t>Ozols” atrodamā informācija par reto un īpaši aizsargājamo</w:t>
      </w:r>
      <w:r w:rsidRPr="00A07F29">
        <w:rPr>
          <w:rFonts w:ascii="Times New Roman" w:eastAsia="Calibri" w:hAnsi="Times New Roman" w:cs="Calibri"/>
          <w:sz w:val="24"/>
        </w:rPr>
        <w:t xml:space="preserve"> sugu atradnēm dotajā teritorijā.</w:t>
      </w:r>
    </w:p>
    <w:p w14:paraId="2AC475EE" w14:textId="18C43CC7" w:rsidR="009072CE" w:rsidRPr="00A07F29" w:rsidRDefault="009072CE" w:rsidP="001854E4">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Divas </w:t>
      </w:r>
      <w:proofErr w:type="spellStart"/>
      <w:r w:rsidRPr="00A07F29">
        <w:rPr>
          <w:rFonts w:ascii="Times New Roman" w:eastAsia="Calibri" w:hAnsi="Times New Roman" w:cs="Calibri"/>
          <w:i/>
          <w:sz w:val="24"/>
        </w:rPr>
        <w:t>Vertigo</w:t>
      </w:r>
      <w:proofErr w:type="spellEnd"/>
      <w:r w:rsidRPr="00A07F29">
        <w:rPr>
          <w:rFonts w:ascii="Times New Roman" w:eastAsia="Calibri" w:hAnsi="Times New Roman" w:cs="Calibri"/>
          <w:i/>
          <w:sz w:val="24"/>
        </w:rPr>
        <w:t xml:space="preserve"> </w:t>
      </w:r>
      <w:proofErr w:type="spellStart"/>
      <w:r w:rsidRPr="00A07F29">
        <w:rPr>
          <w:rFonts w:ascii="Times New Roman" w:eastAsia="Calibri" w:hAnsi="Times New Roman" w:cs="Calibri"/>
          <w:i/>
          <w:sz w:val="24"/>
        </w:rPr>
        <w:t>angustior</w:t>
      </w:r>
      <w:proofErr w:type="spellEnd"/>
      <w:r w:rsidRPr="00A07F29">
        <w:rPr>
          <w:rFonts w:ascii="Times New Roman" w:eastAsia="Calibri" w:hAnsi="Times New Roman" w:cs="Calibri"/>
          <w:sz w:val="24"/>
        </w:rPr>
        <w:t xml:space="preserve"> vēsturiski zināmās atradnes ir novērtētas kā neatbilstošas dzīvotnes, kurās sugas esība atkārtoti nebija pierādīta. Pēc 2019.</w:t>
      </w:r>
      <w:r w:rsidR="001403C7">
        <w:rPr>
          <w:rFonts w:ascii="Times New Roman" w:eastAsia="Calibri" w:hAnsi="Times New Roman" w:cs="Calibri"/>
          <w:sz w:val="24"/>
        </w:rPr>
        <w:t> </w:t>
      </w:r>
      <w:r w:rsidRPr="00A07F29">
        <w:rPr>
          <w:rFonts w:ascii="Times New Roman" w:eastAsia="Calibri" w:hAnsi="Times New Roman" w:cs="Calibri"/>
          <w:sz w:val="24"/>
        </w:rPr>
        <w:t xml:space="preserve">gadā veiktajiem </w:t>
      </w:r>
      <w:proofErr w:type="spellStart"/>
      <w:r w:rsidRPr="00A07F29">
        <w:rPr>
          <w:rFonts w:ascii="Times New Roman" w:eastAsia="Calibri" w:hAnsi="Times New Roman" w:cs="Calibri"/>
          <w:sz w:val="24"/>
        </w:rPr>
        <w:t>apsekojumiem</w:t>
      </w:r>
      <w:proofErr w:type="spellEnd"/>
      <w:r w:rsidRPr="00A07F29">
        <w:rPr>
          <w:rFonts w:ascii="Times New Roman" w:eastAsia="Calibri" w:hAnsi="Times New Roman" w:cs="Calibri"/>
          <w:sz w:val="24"/>
        </w:rPr>
        <w:t xml:space="preserve"> teritorijā ir zināmas trīs sugas atradnes, no kurām divas (Krāslavas novadā palieņu zālājā pie Dziļā ezera un mitrā zālājā periodiski izžūstošās augsnēs pie </w:t>
      </w:r>
      <w:proofErr w:type="spellStart"/>
      <w:r w:rsidRPr="00A07F29">
        <w:rPr>
          <w:rFonts w:ascii="Times New Roman" w:eastAsia="Calibri" w:hAnsi="Times New Roman" w:cs="Calibri"/>
          <w:sz w:val="24"/>
        </w:rPr>
        <w:t>Rudņas</w:t>
      </w:r>
      <w:proofErr w:type="spellEnd"/>
      <w:r w:rsidRPr="00A07F29">
        <w:rPr>
          <w:rFonts w:ascii="Times New Roman" w:eastAsia="Calibri" w:hAnsi="Times New Roman" w:cs="Calibri"/>
          <w:sz w:val="24"/>
        </w:rPr>
        <w:t xml:space="preserve"> netālu no Lielajiem Muļķiem) ir teritorijai jaunas atradnes. Abās atradnēs populācija ir vitāla un </w:t>
      </w:r>
      <w:proofErr w:type="spellStart"/>
      <w:r w:rsidRPr="00A07F29">
        <w:rPr>
          <w:rFonts w:ascii="Times New Roman" w:eastAsia="Calibri" w:hAnsi="Times New Roman" w:cs="Calibri"/>
          <w:sz w:val="24"/>
        </w:rPr>
        <w:t>daudzskaitlīga</w:t>
      </w:r>
      <w:proofErr w:type="spellEnd"/>
      <w:r w:rsidRPr="00A07F29">
        <w:rPr>
          <w:rFonts w:ascii="Times New Roman" w:eastAsia="Calibri" w:hAnsi="Times New Roman" w:cs="Calibri"/>
          <w:sz w:val="24"/>
        </w:rPr>
        <w:t xml:space="preserve">. Atkārtota sugas esība ir apstiprināta palieņu zālājā pie Skaistas upītes netālu no </w:t>
      </w:r>
      <w:proofErr w:type="spellStart"/>
      <w:r w:rsidRPr="00A07F29">
        <w:rPr>
          <w:rFonts w:ascii="Times New Roman" w:eastAsia="Calibri" w:hAnsi="Times New Roman" w:cs="Calibri"/>
          <w:sz w:val="24"/>
        </w:rPr>
        <w:t>Galviņiem</w:t>
      </w:r>
      <w:proofErr w:type="spellEnd"/>
      <w:r w:rsidRPr="00A07F29">
        <w:rPr>
          <w:rFonts w:ascii="Times New Roman" w:eastAsia="Calibri" w:hAnsi="Times New Roman" w:cs="Calibri"/>
          <w:sz w:val="24"/>
        </w:rPr>
        <w:t>. Populācija ir neliela, bet stabila.</w:t>
      </w:r>
    </w:p>
    <w:p w14:paraId="4DECEBC0" w14:textId="29F530A9" w:rsidR="009072CE" w:rsidRPr="00A07F29" w:rsidRDefault="009072CE" w:rsidP="001854E4">
      <w:pPr>
        <w:spacing w:after="120" w:line="240" w:lineRule="auto"/>
        <w:ind w:firstLine="851"/>
        <w:jc w:val="both"/>
        <w:rPr>
          <w:rFonts w:ascii="Times New Roman" w:eastAsia="Calibri" w:hAnsi="Times New Roman" w:cs="Calibri"/>
          <w:sz w:val="24"/>
          <w:szCs w:val="24"/>
        </w:rPr>
      </w:pPr>
      <w:r w:rsidRPr="00A07F29">
        <w:rPr>
          <w:rFonts w:ascii="Times New Roman" w:eastAsia="Calibri" w:hAnsi="Times New Roman" w:cs="Calibri"/>
          <w:sz w:val="24"/>
          <w:szCs w:val="24"/>
        </w:rPr>
        <w:t>Pēc 2019.</w:t>
      </w:r>
      <w:r w:rsidR="00DE334F">
        <w:rPr>
          <w:rFonts w:ascii="Times New Roman" w:eastAsia="Calibri" w:hAnsi="Times New Roman" w:cs="Calibri"/>
          <w:sz w:val="24"/>
          <w:szCs w:val="24"/>
        </w:rPr>
        <w:t> </w:t>
      </w:r>
      <w:r w:rsidRPr="00A07F29">
        <w:rPr>
          <w:rFonts w:ascii="Times New Roman" w:eastAsia="Calibri" w:hAnsi="Times New Roman" w:cs="Calibri"/>
          <w:sz w:val="24"/>
          <w:szCs w:val="24"/>
        </w:rPr>
        <w:t xml:space="preserve">gadā veiktās apsekošanas, AAA “Augšdaugava” ir zināmas četras </w:t>
      </w:r>
      <w:proofErr w:type="spellStart"/>
      <w:r w:rsidRPr="00A07F29">
        <w:rPr>
          <w:rFonts w:ascii="Times New Roman" w:eastAsia="Calibri" w:hAnsi="Times New Roman" w:cs="Calibri"/>
          <w:i/>
          <w:iCs/>
          <w:sz w:val="24"/>
          <w:szCs w:val="24"/>
        </w:rPr>
        <w:t>Vertigo</w:t>
      </w:r>
      <w:proofErr w:type="spellEnd"/>
      <w:r w:rsidRPr="00A07F29">
        <w:rPr>
          <w:rFonts w:ascii="Times New Roman" w:eastAsia="Calibri" w:hAnsi="Times New Roman" w:cs="Calibri"/>
          <w:i/>
          <w:iCs/>
          <w:sz w:val="24"/>
          <w:szCs w:val="24"/>
        </w:rPr>
        <w:t xml:space="preserve"> </w:t>
      </w:r>
      <w:proofErr w:type="spellStart"/>
      <w:r w:rsidRPr="00A07F29">
        <w:rPr>
          <w:rFonts w:ascii="Times New Roman" w:eastAsia="Calibri" w:hAnsi="Times New Roman" w:cs="Calibri"/>
          <w:i/>
          <w:iCs/>
          <w:sz w:val="24"/>
          <w:szCs w:val="24"/>
        </w:rPr>
        <w:t>geyeri</w:t>
      </w:r>
      <w:proofErr w:type="spellEnd"/>
      <w:r w:rsidRPr="00A07F29">
        <w:rPr>
          <w:rFonts w:ascii="Times New Roman" w:eastAsia="Calibri" w:hAnsi="Times New Roman" w:cs="Calibri"/>
          <w:sz w:val="24"/>
          <w:szCs w:val="24"/>
        </w:rPr>
        <w:t xml:space="preserve"> atradnes</w:t>
      </w:r>
      <w:r w:rsidR="123F929E" w:rsidRPr="00A07F29">
        <w:rPr>
          <w:rFonts w:ascii="Times New Roman" w:eastAsia="Calibri" w:hAnsi="Times New Roman" w:cs="Calibri"/>
          <w:sz w:val="24"/>
          <w:szCs w:val="24"/>
        </w:rPr>
        <w:t>,</w:t>
      </w:r>
      <w:r w:rsidRPr="00A07F29">
        <w:rPr>
          <w:rFonts w:ascii="Times New Roman" w:eastAsia="Calibri" w:hAnsi="Times New Roman" w:cs="Calibri"/>
          <w:sz w:val="24"/>
          <w:szCs w:val="24"/>
        </w:rPr>
        <w:t xml:space="preserve"> no kurām viena ir vēsturiski zināmā atradne Krāslavas novadā pie </w:t>
      </w:r>
      <w:proofErr w:type="spellStart"/>
      <w:r w:rsidRPr="00A07F29">
        <w:rPr>
          <w:rFonts w:ascii="Times New Roman" w:eastAsia="Calibri" w:hAnsi="Times New Roman" w:cs="Calibri"/>
          <w:sz w:val="24"/>
          <w:szCs w:val="24"/>
        </w:rPr>
        <w:t>Dūnekļa</w:t>
      </w:r>
      <w:proofErr w:type="spellEnd"/>
      <w:r w:rsidRPr="00A07F29">
        <w:rPr>
          <w:rFonts w:ascii="Times New Roman" w:eastAsia="Calibri" w:hAnsi="Times New Roman" w:cs="Calibri"/>
          <w:sz w:val="24"/>
          <w:szCs w:val="24"/>
        </w:rPr>
        <w:t xml:space="preserve"> ezera. Sugas dzīvotnes teritorijā ir saistītas ar tādiem biotopiem, kā </w:t>
      </w:r>
      <w:r w:rsidR="00804798" w:rsidRPr="00A07F29">
        <w:rPr>
          <w:rFonts w:ascii="Times New Roman" w:eastAsia="Calibri" w:hAnsi="Times New Roman" w:cs="Calibri"/>
          <w:sz w:val="24"/>
          <w:szCs w:val="24"/>
        </w:rPr>
        <w:t>7140</w:t>
      </w:r>
      <w:r w:rsidR="00CD7841">
        <w:rPr>
          <w:rFonts w:ascii="Times New Roman" w:eastAsia="Calibri" w:hAnsi="Times New Roman" w:cs="Calibri"/>
          <w:sz w:val="24"/>
          <w:szCs w:val="24"/>
        </w:rPr>
        <w:t> </w:t>
      </w:r>
      <w:r w:rsidR="00804798" w:rsidRPr="00A07F29">
        <w:rPr>
          <w:rFonts w:ascii="Times New Roman" w:eastAsia="Calibri" w:hAnsi="Times New Roman" w:cs="Calibri"/>
          <w:i/>
          <w:iCs/>
          <w:sz w:val="24"/>
          <w:szCs w:val="24"/>
        </w:rPr>
        <w:t>P</w:t>
      </w:r>
      <w:r w:rsidRPr="00A07F29">
        <w:rPr>
          <w:rFonts w:ascii="Times New Roman" w:eastAsia="Calibri" w:hAnsi="Times New Roman" w:cs="Calibri"/>
          <w:i/>
          <w:iCs/>
          <w:sz w:val="24"/>
          <w:szCs w:val="24"/>
        </w:rPr>
        <w:t>ārejas purvi un slīkšņas</w:t>
      </w:r>
      <w:r w:rsidRPr="00A07F29">
        <w:rPr>
          <w:rFonts w:ascii="Times New Roman" w:eastAsia="Calibri" w:hAnsi="Times New Roman" w:cs="Calibri"/>
          <w:sz w:val="24"/>
          <w:szCs w:val="24"/>
        </w:rPr>
        <w:t xml:space="preserve"> un </w:t>
      </w:r>
      <w:r w:rsidR="00804798" w:rsidRPr="00A07F29">
        <w:rPr>
          <w:rFonts w:ascii="Times New Roman" w:eastAsia="Calibri" w:hAnsi="Times New Roman" w:cs="Calibri"/>
          <w:sz w:val="24"/>
          <w:szCs w:val="24"/>
        </w:rPr>
        <w:t>6450</w:t>
      </w:r>
      <w:r w:rsidR="00CD7841">
        <w:rPr>
          <w:rFonts w:ascii="Times New Roman" w:eastAsia="Calibri" w:hAnsi="Times New Roman" w:cs="Calibri"/>
          <w:sz w:val="24"/>
          <w:szCs w:val="24"/>
        </w:rPr>
        <w:t> </w:t>
      </w:r>
      <w:r w:rsidR="00CE1464" w:rsidRPr="00A07F29">
        <w:rPr>
          <w:rFonts w:ascii="Times New Roman" w:eastAsia="Calibri" w:hAnsi="Times New Roman" w:cs="Calibri"/>
          <w:i/>
          <w:iCs/>
          <w:sz w:val="24"/>
          <w:szCs w:val="24"/>
        </w:rPr>
        <w:t xml:space="preserve">Palieņu </w:t>
      </w:r>
      <w:r w:rsidRPr="00A07F29">
        <w:rPr>
          <w:rFonts w:ascii="Times New Roman" w:eastAsia="Calibri" w:hAnsi="Times New Roman" w:cs="Calibri"/>
          <w:i/>
          <w:iCs/>
          <w:sz w:val="24"/>
          <w:szCs w:val="24"/>
        </w:rPr>
        <w:t>zālāji</w:t>
      </w:r>
      <w:r w:rsidRPr="00A07F29">
        <w:rPr>
          <w:rFonts w:ascii="Times New Roman" w:eastAsia="Calibri" w:hAnsi="Times New Roman" w:cs="Calibri"/>
          <w:sz w:val="24"/>
          <w:szCs w:val="24"/>
        </w:rPr>
        <w:t xml:space="preserve">. </w:t>
      </w:r>
    </w:p>
    <w:p w14:paraId="151CF8BF" w14:textId="4D272096" w:rsidR="009072CE" w:rsidRPr="00A07F29" w:rsidRDefault="009072CE" w:rsidP="001854E4">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Vēsturiskā </w:t>
      </w:r>
      <w:proofErr w:type="spellStart"/>
      <w:r w:rsidRPr="00A07F29">
        <w:rPr>
          <w:rFonts w:ascii="Times New Roman" w:eastAsia="Calibri" w:hAnsi="Times New Roman" w:cs="Calibri"/>
          <w:i/>
          <w:sz w:val="24"/>
        </w:rPr>
        <w:t>Vertigo</w:t>
      </w:r>
      <w:proofErr w:type="spellEnd"/>
      <w:r w:rsidRPr="00A07F29">
        <w:rPr>
          <w:rFonts w:ascii="Times New Roman" w:eastAsia="Calibri" w:hAnsi="Times New Roman" w:cs="Calibri"/>
          <w:i/>
          <w:sz w:val="24"/>
        </w:rPr>
        <w:t xml:space="preserve"> </w:t>
      </w:r>
      <w:proofErr w:type="spellStart"/>
      <w:r w:rsidRPr="00A07F29">
        <w:rPr>
          <w:rFonts w:ascii="Times New Roman" w:eastAsia="Calibri" w:hAnsi="Times New Roman" w:cs="Calibri"/>
          <w:i/>
          <w:sz w:val="24"/>
        </w:rPr>
        <w:t>geyeri</w:t>
      </w:r>
      <w:proofErr w:type="spellEnd"/>
      <w:r w:rsidRPr="00A07F29">
        <w:rPr>
          <w:rFonts w:ascii="Times New Roman" w:eastAsia="Calibri" w:hAnsi="Times New Roman" w:cs="Calibri"/>
          <w:sz w:val="24"/>
        </w:rPr>
        <w:t xml:space="preserve"> atradne Naujenes gravā ir svītrojama, jo gravas </w:t>
      </w:r>
      <w:proofErr w:type="spellStart"/>
      <w:r w:rsidRPr="00A07F29">
        <w:rPr>
          <w:rFonts w:ascii="Times New Roman" w:eastAsia="Calibri" w:hAnsi="Times New Roman" w:cs="Calibri"/>
          <w:sz w:val="24"/>
        </w:rPr>
        <w:t>apsekojumos</w:t>
      </w:r>
      <w:proofErr w:type="spellEnd"/>
      <w:r w:rsidRPr="00A07F29">
        <w:rPr>
          <w:rFonts w:ascii="Times New Roman" w:eastAsia="Calibri" w:hAnsi="Times New Roman" w:cs="Calibri"/>
          <w:sz w:val="24"/>
        </w:rPr>
        <w:t xml:space="preserve"> suga atkārtoti nav konstatēta. Sugas konstatēšanas fakts Naujenes gravā (</w:t>
      </w:r>
      <w:proofErr w:type="spellStart"/>
      <w:r w:rsidRPr="00A07F29">
        <w:rPr>
          <w:rFonts w:ascii="Times New Roman" w:eastAsia="Calibri" w:hAnsi="Times New Roman" w:cs="Calibri"/>
          <w:sz w:val="24"/>
        </w:rPr>
        <w:t>Pilāte</w:t>
      </w:r>
      <w:proofErr w:type="spellEnd"/>
      <w:r w:rsidR="00B95A0D">
        <w:rPr>
          <w:rFonts w:ascii="Times New Roman" w:eastAsia="Calibri" w:hAnsi="Times New Roman" w:cs="Calibri"/>
          <w:sz w:val="24"/>
        </w:rPr>
        <w:t xml:space="preserve"> D.,</w:t>
      </w:r>
      <w:r w:rsidRPr="00A07F29">
        <w:rPr>
          <w:rFonts w:ascii="Times New Roman" w:eastAsia="Calibri" w:hAnsi="Times New Roman" w:cs="Calibri"/>
          <w:sz w:val="24"/>
        </w:rPr>
        <w:t xml:space="preserve"> 1997) klasificējams kā gadījuma atradums.</w:t>
      </w:r>
    </w:p>
    <w:p w14:paraId="137F829E" w14:textId="60700344" w:rsidR="009072CE" w:rsidRPr="00A07F29" w:rsidRDefault="009072CE" w:rsidP="001854E4">
      <w:pPr>
        <w:spacing w:after="120" w:line="240" w:lineRule="auto"/>
        <w:ind w:firstLine="851"/>
        <w:jc w:val="both"/>
        <w:rPr>
          <w:rFonts w:ascii="Times New Roman" w:eastAsia="Calibri" w:hAnsi="Times New Roman" w:cs="Calibri"/>
          <w:iCs/>
          <w:sz w:val="24"/>
        </w:rPr>
      </w:pPr>
      <w:r w:rsidRPr="00A07F29">
        <w:rPr>
          <w:rFonts w:ascii="Times New Roman" w:eastAsia="Calibri" w:hAnsi="Times New Roman" w:cs="Calibri"/>
          <w:sz w:val="24"/>
        </w:rPr>
        <w:t xml:space="preserve">Visu teritorijā </w:t>
      </w:r>
      <w:r w:rsidRPr="00DE79BE">
        <w:rPr>
          <w:rFonts w:ascii="Times New Roman" w:eastAsia="Calibri" w:hAnsi="Times New Roman" w:cs="Calibri"/>
          <w:sz w:val="24"/>
        </w:rPr>
        <w:t xml:space="preserve">sastopamo </w:t>
      </w:r>
      <w:r w:rsidR="00726522" w:rsidRPr="00DE79BE">
        <w:rPr>
          <w:rFonts w:ascii="Times New Roman" w:eastAsia="Calibri" w:hAnsi="Times New Roman" w:cs="Calibri"/>
          <w:sz w:val="24"/>
        </w:rPr>
        <w:t>īpaši aizsargājamu</w:t>
      </w:r>
      <w:r w:rsidR="00726522" w:rsidRPr="00A07F29">
        <w:rPr>
          <w:rFonts w:ascii="Times New Roman" w:eastAsia="Calibri" w:hAnsi="Times New Roman" w:cs="Calibri"/>
          <w:sz w:val="24"/>
        </w:rPr>
        <w:t xml:space="preserve"> sugu</w:t>
      </w:r>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sz w:val="24"/>
        </w:rPr>
        <w:t>vārpstiņgliemežu</w:t>
      </w:r>
      <w:proofErr w:type="spellEnd"/>
      <w:r w:rsidRPr="00A07F29">
        <w:rPr>
          <w:rFonts w:ascii="Times New Roman" w:eastAsia="Calibri" w:hAnsi="Times New Roman" w:cs="Calibri"/>
          <w:sz w:val="24"/>
        </w:rPr>
        <w:t xml:space="preserve"> sugu dzīvotnes AAA “Augšdaugava” ir saistītas ar </w:t>
      </w:r>
      <w:r w:rsidR="00726522" w:rsidRPr="00A07F29">
        <w:rPr>
          <w:rFonts w:ascii="Times New Roman" w:eastAsia="Calibri" w:hAnsi="Times New Roman" w:cs="Calibri"/>
          <w:sz w:val="24"/>
        </w:rPr>
        <w:t>9180*</w:t>
      </w:r>
      <w:r w:rsidR="00EC6DD2">
        <w:rPr>
          <w:rFonts w:ascii="Times New Roman" w:eastAsia="Calibri" w:hAnsi="Times New Roman" w:cs="Calibri"/>
          <w:sz w:val="24"/>
        </w:rPr>
        <w:t> </w:t>
      </w:r>
      <w:r w:rsidR="00CE1464" w:rsidRPr="00A07F29">
        <w:rPr>
          <w:rFonts w:ascii="Times New Roman" w:eastAsia="Calibri" w:hAnsi="Times New Roman" w:cs="Calibri"/>
          <w:i/>
          <w:iCs/>
          <w:sz w:val="24"/>
        </w:rPr>
        <w:t xml:space="preserve">Nogāžu </w:t>
      </w:r>
      <w:r w:rsidRPr="00A07F29">
        <w:rPr>
          <w:rFonts w:ascii="Times New Roman" w:eastAsia="Calibri" w:hAnsi="Times New Roman" w:cs="Calibri"/>
          <w:i/>
          <w:iCs/>
          <w:sz w:val="24"/>
        </w:rPr>
        <w:t>un gravu mežu</w:t>
      </w:r>
      <w:r w:rsidRPr="00A07F29">
        <w:rPr>
          <w:rFonts w:ascii="Times New Roman" w:eastAsia="Calibri" w:hAnsi="Times New Roman" w:cs="Calibri"/>
          <w:sz w:val="24"/>
        </w:rPr>
        <w:t xml:space="preserve">, kā arī ar </w:t>
      </w:r>
      <w:r w:rsidR="00726522" w:rsidRPr="00A07F29">
        <w:rPr>
          <w:rFonts w:ascii="Times New Roman" w:eastAsia="Calibri" w:hAnsi="Times New Roman" w:cs="Calibri"/>
          <w:sz w:val="24"/>
        </w:rPr>
        <w:t>9050</w:t>
      </w:r>
      <w:r w:rsidR="00EC6DD2">
        <w:rPr>
          <w:rFonts w:ascii="Times New Roman" w:eastAsia="Calibri" w:hAnsi="Times New Roman" w:cs="Calibri"/>
          <w:sz w:val="24"/>
        </w:rPr>
        <w:t> </w:t>
      </w:r>
      <w:r w:rsidR="00CE1464" w:rsidRPr="00A07F29">
        <w:rPr>
          <w:rFonts w:ascii="Times New Roman" w:eastAsia="Calibri" w:hAnsi="Times New Roman" w:cs="Calibri"/>
          <w:i/>
          <w:iCs/>
          <w:sz w:val="24"/>
        </w:rPr>
        <w:t xml:space="preserve">Lakstaugiem </w:t>
      </w:r>
      <w:r w:rsidRPr="00A07F29">
        <w:rPr>
          <w:rFonts w:ascii="Times New Roman" w:eastAsia="Calibri" w:hAnsi="Times New Roman" w:cs="Calibri"/>
          <w:i/>
          <w:iCs/>
          <w:sz w:val="24"/>
        </w:rPr>
        <w:t>bagātu egļu mežu</w:t>
      </w:r>
      <w:r w:rsidR="00D65BBA" w:rsidRPr="00A07F29">
        <w:rPr>
          <w:rFonts w:ascii="Times New Roman" w:eastAsia="Calibri" w:hAnsi="Times New Roman" w:cs="Calibri"/>
          <w:sz w:val="24"/>
        </w:rPr>
        <w:t xml:space="preserve"> </w:t>
      </w:r>
      <w:r w:rsidRPr="00A07F29">
        <w:rPr>
          <w:rFonts w:ascii="Times New Roman" w:eastAsia="Calibri" w:hAnsi="Times New Roman" w:cs="Calibri"/>
          <w:sz w:val="24"/>
        </w:rPr>
        <w:t xml:space="preserve">biotopiem. Visdažādākā </w:t>
      </w:r>
      <w:proofErr w:type="spellStart"/>
      <w:r w:rsidRPr="00A07F29">
        <w:rPr>
          <w:rFonts w:ascii="Times New Roman" w:eastAsia="Calibri" w:hAnsi="Times New Roman" w:cs="Calibri"/>
          <w:sz w:val="24"/>
        </w:rPr>
        <w:t>vārpstiņgliemežu</w:t>
      </w:r>
      <w:proofErr w:type="spellEnd"/>
      <w:r w:rsidRPr="00A07F29">
        <w:rPr>
          <w:rFonts w:ascii="Times New Roman" w:eastAsia="Calibri" w:hAnsi="Times New Roman" w:cs="Calibri"/>
          <w:sz w:val="24"/>
        </w:rPr>
        <w:t xml:space="preserve"> fauna ir Naujenes gravā un Lazdukalna gravā, kur koncentrējas visvairāk ar meža biotopiem saistīto </w:t>
      </w:r>
      <w:r w:rsidRPr="00DE79BE">
        <w:rPr>
          <w:rFonts w:ascii="Times New Roman" w:eastAsia="Calibri" w:hAnsi="Times New Roman" w:cs="Calibri"/>
          <w:sz w:val="24"/>
        </w:rPr>
        <w:t>īpaši aizsargājamo</w:t>
      </w:r>
      <w:r w:rsidRPr="00A07F29">
        <w:rPr>
          <w:rFonts w:ascii="Times New Roman" w:eastAsia="Calibri" w:hAnsi="Times New Roman" w:cs="Calibri"/>
          <w:sz w:val="24"/>
        </w:rPr>
        <w:t xml:space="preserve"> gliemežu sugu, tajā skaitā mazais </w:t>
      </w:r>
      <w:proofErr w:type="spellStart"/>
      <w:r w:rsidRPr="00A07F29">
        <w:rPr>
          <w:rFonts w:ascii="Times New Roman" w:eastAsia="Calibri" w:hAnsi="Times New Roman" w:cs="Calibri"/>
          <w:sz w:val="24"/>
        </w:rPr>
        <w:t>torņgliemezis</w:t>
      </w:r>
      <w:proofErr w:type="spellEnd"/>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i/>
          <w:sz w:val="24"/>
        </w:rPr>
        <w:t>Merdigera</w:t>
      </w:r>
      <w:proofErr w:type="spellEnd"/>
      <w:r w:rsidRPr="00A07F29">
        <w:rPr>
          <w:rFonts w:ascii="Times New Roman" w:eastAsia="Calibri" w:hAnsi="Times New Roman" w:cs="Calibri"/>
          <w:i/>
          <w:sz w:val="24"/>
        </w:rPr>
        <w:t xml:space="preserve"> </w:t>
      </w:r>
      <w:proofErr w:type="spellStart"/>
      <w:r w:rsidRPr="00A07F29">
        <w:rPr>
          <w:rFonts w:ascii="Times New Roman" w:eastAsia="Calibri" w:hAnsi="Times New Roman" w:cs="Calibri"/>
          <w:i/>
          <w:sz w:val="24"/>
        </w:rPr>
        <w:t>obscura</w:t>
      </w:r>
      <w:proofErr w:type="spellEnd"/>
      <w:r w:rsidRPr="00A07F29">
        <w:rPr>
          <w:rFonts w:ascii="Times New Roman" w:eastAsia="Calibri" w:hAnsi="Times New Roman" w:cs="Calibri"/>
          <w:sz w:val="24"/>
        </w:rPr>
        <w:t xml:space="preserve"> un </w:t>
      </w:r>
      <w:proofErr w:type="spellStart"/>
      <w:r w:rsidRPr="00A07F29">
        <w:rPr>
          <w:rFonts w:ascii="Times New Roman" w:eastAsia="Calibri" w:hAnsi="Times New Roman" w:cs="Calibri"/>
          <w:sz w:val="24"/>
        </w:rPr>
        <w:t>liellūpas</w:t>
      </w:r>
      <w:proofErr w:type="spellEnd"/>
      <w:r w:rsidRPr="00A07F29">
        <w:rPr>
          <w:rFonts w:ascii="Times New Roman" w:eastAsia="Calibri" w:hAnsi="Times New Roman" w:cs="Calibri"/>
          <w:sz w:val="24"/>
        </w:rPr>
        <w:t xml:space="preserve"> vīngliemezis </w:t>
      </w:r>
      <w:proofErr w:type="spellStart"/>
      <w:r w:rsidRPr="00A07F29">
        <w:rPr>
          <w:rFonts w:ascii="Times New Roman" w:eastAsia="Calibri" w:hAnsi="Times New Roman" w:cs="Calibri"/>
          <w:i/>
          <w:iCs/>
          <w:sz w:val="24"/>
        </w:rPr>
        <w:t>Isognomostoma</w:t>
      </w:r>
      <w:proofErr w:type="spellEnd"/>
      <w:r w:rsidRPr="00A07F29">
        <w:rPr>
          <w:rFonts w:ascii="Times New Roman" w:eastAsia="Calibri" w:hAnsi="Times New Roman" w:cs="Calibri"/>
          <w:i/>
          <w:iCs/>
          <w:sz w:val="24"/>
        </w:rPr>
        <w:t xml:space="preserve"> </w:t>
      </w:r>
      <w:proofErr w:type="spellStart"/>
      <w:r w:rsidRPr="00A07F29">
        <w:rPr>
          <w:rFonts w:ascii="Times New Roman" w:eastAsia="Calibri" w:hAnsi="Times New Roman" w:cs="Calibri"/>
          <w:i/>
          <w:iCs/>
          <w:sz w:val="24"/>
        </w:rPr>
        <w:t>isognomostomos</w:t>
      </w:r>
      <w:proofErr w:type="spellEnd"/>
      <w:r w:rsidRPr="00A07F29">
        <w:rPr>
          <w:rFonts w:ascii="Times New Roman" w:eastAsia="Calibri" w:hAnsi="Times New Roman" w:cs="Calibri"/>
          <w:iCs/>
          <w:sz w:val="24"/>
        </w:rPr>
        <w:t xml:space="preserve">. Teritorijā (DP “Daugavas loki”) atrodas visas </w:t>
      </w:r>
      <w:proofErr w:type="spellStart"/>
      <w:r w:rsidRPr="00A07F29">
        <w:rPr>
          <w:rFonts w:ascii="Times New Roman" w:eastAsia="Calibri" w:hAnsi="Times New Roman" w:cs="Calibri"/>
          <w:iCs/>
          <w:sz w:val="24"/>
        </w:rPr>
        <w:t>liellūpas</w:t>
      </w:r>
      <w:proofErr w:type="spellEnd"/>
      <w:r w:rsidRPr="00A07F29">
        <w:rPr>
          <w:rFonts w:ascii="Times New Roman" w:eastAsia="Calibri" w:hAnsi="Times New Roman" w:cs="Calibri"/>
          <w:iCs/>
          <w:sz w:val="24"/>
        </w:rPr>
        <w:t xml:space="preserve"> vīngliemeža zināmās atradnes Latvijā (</w:t>
      </w:r>
      <w:proofErr w:type="spellStart"/>
      <w:r w:rsidRPr="00A07F29">
        <w:rPr>
          <w:rFonts w:ascii="Times New Roman" w:eastAsia="Calibri" w:hAnsi="Times New Roman" w:cs="Calibri"/>
          <w:iCs/>
          <w:sz w:val="24"/>
        </w:rPr>
        <w:t>Pilāte</w:t>
      </w:r>
      <w:proofErr w:type="spellEnd"/>
      <w:r w:rsidR="00060392">
        <w:rPr>
          <w:rFonts w:ascii="Times New Roman" w:eastAsia="Calibri" w:hAnsi="Times New Roman" w:cs="Calibri"/>
          <w:iCs/>
          <w:sz w:val="24"/>
        </w:rPr>
        <w:t xml:space="preserve"> D.,</w:t>
      </w:r>
      <w:r w:rsidRPr="00A07F29">
        <w:rPr>
          <w:rFonts w:ascii="Times New Roman" w:eastAsia="Calibri" w:hAnsi="Times New Roman" w:cs="Calibri"/>
          <w:iCs/>
          <w:sz w:val="24"/>
        </w:rPr>
        <w:t xml:space="preserve"> </w:t>
      </w:r>
      <w:proofErr w:type="spellStart"/>
      <w:r w:rsidRPr="00A07F29">
        <w:rPr>
          <w:rFonts w:ascii="Times New Roman" w:eastAsia="Calibri" w:hAnsi="Times New Roman" w:cs="Calibri"/>
          <w:iCs/>
          <w:sz w:val="24"/>
        </w:rPr>
        <w:t>et</w:t>
      </w:r>
      <w:proofErr w:type="spellEnd"/>
      <w:r w:rsidRPr="00A07F29">
        <w:rPr>
          <w:rFonts w:ascii="Times New Roman" w:eastAsia="Calibri" w:hAnsi="Times New Roman" w:cs="Calibri"/>
          <w:iCs/>
          <w:sz w:val="24"/>
        </w:rPr>
        <w:t xml:space="preserve"> </w:t>
      </w:r>
      <w:proofErr w:type="spellStart"/>
      <w:r w:rsidRPr="00A07F29">
        <w:rPr>
          <w:rFonts w:ascii="Times New Roman" w:eastAsia="Calibri" w:hAnsi="Times New Roman" w:cs="Calibri"/>
          <w:iCs/>
          <w:sz w:val="24"/>
        </w:rPr>
        <w:t>al</w:t>
      </w:r>
      <w:proofErr w:type="spellEnd"/>
      <w:r w:rsidRPr="00A07F29">
        <w:rPr>
          <w:rFonts w:ascii="Times New Roman" w:eastAsia="Calibri" w:hAnsi="Times New Roman" w:cs="Calibri"/>
          <w:iCs/>
          <w:sz w:val="24"/>
        </w:rPr>
        <w:t>.</w:t>
      </w:r>
      <w:r w:rsidR="00060392">
        <w:rPr>
          <w:rFonts w:ascii="Times New Roman" w:eastAsia="Calibri" w:hAnsi="Times New Roman" w:cs="Calibri"/>
          <w:iCs/>
          <w:sz w:val="24"/>
        </w:rPr>
        <w:t>,</w:t>
      </w:r>
      <w:r w:rsidRPr="00A07F29">
        <w:rPr>
          <w:rFonts w:ascii="Times New Roman" w:eastAsia="Calibri" w:hAnsi="Times New Roman" w:cs="Calibri"/>
          <w:iCs/>
          <w:sz w:val="24"/>
        </w:rPr>
        <w:t xml:space="preserve"> 2014).</w:t>
      </w:r>
    </w:p>
    <w:p w14:paraId="1DC2A8F7" w14:textId="77777777" w:rsidR="009072CE" w:rsidRPr="00A07F29" w:rsidRDefault="009072CE" w:rsidP="001854E4">
      <w:pPr>
        <w:spacing w:after="120" w:line="240" w:lineRule="auto"/>
        <w:ind w:firstLine="851"/>
        <w:jc w:val="both"/>
        <w:rPr>
          <w:rFonts w:ascii="Times New Roman" w:eastAsia="Calibri" w:hAnsi="Times New Roman" w:cs="Calibri"/>
          <w:iCs/>
          <w:sz w:val="24"/>
        </w:rPr>
      </w:pPr>
      <w:r w:rsidRPr="00A07F29">
        <w:rPr>
          <w:rFonts w:ascii="Times New Roman" w:eastAsia="Calibri" w:hAnsi="Times New Roman" w:cs="Calibri"/>
          <w:iCs/>
          <w:sz w:val="24"/>
        </w:rPr>
        <w:lastRenderedPageBreak/>
        <w:t xml:space="preserve">Lielais </w:t>
      </w:r>
      <w:proofErr w:type="spellStart"/>
      <w:r w:rsidRPr="00A07F29">
        <w:rPr>
          <w:rFonts w:ascii="Times New Roman" w:eastAsia="Calibri" w:hAnsi="Times New Roman" w:cs="Calibri"/>
          <w:iCs/>
          <w:sz w:val="24"/>
        </w:rPr>
        <w:t>gludgliemezis</w:t>
      </w:r>
      <w:proofErr w:type="spellEnd"/>
      <w:r w:rsidRPr="00A07F29">
        <w:rPr>
          <w:rFonts w:ascii="Times New Roman" w:eastAsia="Calibri" w:hAnsi="Times New Roman" w:cs="Calibri"/>
          <w:iCs/>
          <w:sz w:val="24"/>
        </w:rPr>
        <w:t xml:space="preserve"> </w:t>
      </w:r>
      <w:proofErr w:type="spellStart"/>
      <w:r w:rsidRPr="00A07F29">
        <w:rPr>
          <w:rFonts w:ascii="Times New Roman" w:eastAsia="Calibri" w:hAnsi="Times New Roman" w:cs="Calibri"/>
          <w:i/>
          <w:iCs/>
          <w:sz w:val="24"/>
        </w:rPr>
        <w:t>Cochlicopa</w:t>
      </w:r>
      <w:proofErr w:type="spellEnd"/>
      <w:r w:rsidRPr="00A07F29">
        <w:rPr>
          <w:rFonts w:ascii="Times New Roman" w:eastAsia="Calibri" w:hAnsi="Times New Roman" w:cs="Calibri"/>
          <w:i/>
          <w:iCs/>
          <w:sz w:val="24"/>
        </w:rPr>
        <w:t xml:space="preserve"> </w:t>
      </w:r>
      <w:proofErr w:type="spellStart"/>
      <w:r w:rsidRPr="00A07F29">
        <w:rPr>
          <w:rFonts w:ascii="Times New Roman" w:eastAsia="Calibri" w:hAnsi="Times New Roman" w:cs="Calibri"/>
          <w:i/>
          <w:iCs/>
          <w:sz w:val="24"/>
        </w:rPr>
        <w:t>nitens</w:t>
      </w:r>
      <w:proofErr w:type="spellEnd"/>
      <w:r w:rsidRPr="00A07F29">
        <w:rPr>
          <w:rFonts w:ascii="Times New Roman" w:eastAsia="Calibri" w:hAnsi="Times New Roman" w:cs="Calibri"/>
          <w:iCs/>
          <w:sz w:val="24"/>
        </w:rPr>
        <w:t xml:space="preserve"> teritorijā sastopams salīdzinoši reti. Lielā </w:t>
      </w:r>
      <w:proofErr w:type="spellStart"/>
      <w:r w:rsidRPr="00A07F29">
        <w:rPr>
          <w:rFonts w:ascii="Times New Roman" w:eastAsia="Calibri" w:hAnsi="Times New Roman" w:cs="Calibri"/>
          <w:iCs/>
          <w:sz w:val="24"/>
        </w:rPr>
        <w:t>gludgliemeža</w:t>
      </w:r>
      <w:proofErr w:type="spellEnd"/>
      <w:r w:rsidRPr="00A07F29">
        <w:rPr>
          <w:rFonts w:ascii="Times New Roman" w:eastAsia="Calibri" w:hAnsi="Times New Roman" w:cs="Calibri"/>
          <w:iCs/>
          <w:sz w:val="24"/>
        </w:rPr>
        <w:t xml:space="preserve"> dzīvotnes ir saistītas galvenokārt ar palieņu zālājiem, suga sastopama arī mitrās vietās ūdenstilpju piekrastē.</w:t>
      </w:r>
    </w:p>
    <w:p w14:paraId="4FD8BCBC" w14:textId="7ABCF7FE" w:rsidR="009072CE" w:rsidRPr="00A07F29" w:rsidRDefault="009072CE" w:rsidP="001854E4">
      <w:pPr>
        <w:spacing w:after="120" w:line="240" w:lineRule="auto"/>
        <w:ind w:firstLine="851"/>
        <w:jc w:val="both"/>
        <w:rPr>
          <w:rFonts w:ascii="Times New Roman" w:eastAsia="Calibri" w:hAnsi="Times New Roman" w:cs="Calibri"/>
          <w:iCs/>
          <w:sz w:val="24"/>
        </w:rPr>
      </w:pPr>
      <w:r w:rsidRPr="00DE79BE">
        <w:rPr>
          <w:rFonts w:ascii="Times New Roman" w:eastAsia="Calibri" w:hAnsi="Times New Roman" w:cs="Calibri"/>
          <w:iCs/>
          <w:sz w:val="24"/>
        </w:rPr>
        <w:t>Īpaši aizsargājamo</w:t>
      </w:r>
      <w:r w:rsidRPr="00A07F29">
        <w:rPr>
          <w:rFonts w:ascii="Times New Roman" w:eastAsia="Calibri" w:hAnsi="Times New Roman" w:cs="Calibri"/>
          <w:iCs/>
          <w:sz w:val="24"/>
        </w:rPr>
        <w:t xml:space="preserve"> saldūdens gliemju sugu dzīvotnes ir upju straujteces. Biezā </w:t>
      </w:r>
      <w:proofErr w:type="spellStart"/>
      <w:r w:rsidRPr="00A07F29">
        <w:rPr>
          <w:rFonts w:ascii="Times New Roman" w:eastAsia="Calibri" w:hAnsi="Times New Roman" w:cs="Calibri"/>
          <w:iCs/>
          <w:sz w:val="24"/>
        </w:rPr>
        <w:t>perlamutrene</w:t>
      </w:r>
      <w:proofErr w:type="spellEnd"/>
      <w:r w:rsidRPr="00A07F29">
        <w:rPr>
          <w:rFonts w:ascii="Times New Roman" w:eastAsia="Calibri" w:hAnsi="Times New Roman" w:cs="Calibri"/>
          <w:iCs/>
          <w:sz w:val="24"/>
        </w:rPr>
        <w:t xml:space="preserve"> </w:t>
      </w:r>
      <w:proofErr w:type="spellStart"/>
      <w:r w:rsidRPr="00A07F29">
        <w:rPr>
          <w:rFonts w:ascii="Times New Roman" w:eastAsia="Calibri" w:hAnsi="Times New Roman" w:cs="Calibri"/>
          <w:i/>
          <w:iCs/>
          <w:sz w:val="24"/>
        </w:rPr>
        <w:t>Unio</w:t>
      </w:r>
      <w:proofErr w:type="spellEnd"/>
      <w:r w:rsidRPr="00A07F29">
        <w:rPr>
          <w:rFonts w:ascii="Times New Roman" w:eastAsia="Calibri" w:hAnsi="Times New Roman" w:cs="Calibri"/>
          <w:i/>
          <w:iCs/>
          <w:sz w:val="24"/>
        </w:rPr>
        <w:t xml:space="preserve"> </w:t>
      </w:r>
      <w:proofErr w:type="spellStart"/>
      <w:r w:rsidRPr="00A07F29">
        <w:rPr>
          <w:rFonts w:ascii="Times New Roman" w:eastAsia="Calibri" w:hAnsi="Times New Roman" w:cs="Calibri"/>
          <w:i/>
          <w:iCs/>
          <w:sz w:val="24"/>
        </w:rPr>
        <w:t>crassus</w:t>
      </w:r>
      <w:proofErr w:type="spellEnd"/>
      <w:r w:rsidRPr="00A07F29">
        <w:rPr>
          <w:rFonts w:ascii="Times New Roman" w:eastAsia="Calibri" w:hAnsi="Times New Roman" w:cs="Calibri"/>
          <w:iCs/>
          <w:sz w:val="24"/>
        </w:rPr>
        <w:t xml:space="preserve"> ir ierakstīta </w:t>
      </w:r>
      <w:r w:rsidR="00013590" w:rsidRPr="00A07F29">
        <w:rPr>
          <w:rFonts w:ascii="Times New Roman" w:eastAsia="Calibri" w:hAnsi="Times New Roman" w:cs="Calibri"/>
          <w:iCs/>
          <w:sz w:val="24"/>
        </w:rPr>
        <w:t>Biotopu direktīva</w:t>
      </w:r>
      <w:r w:rsidRPr="00A07F29">
        <w:rPr>
          <w:rFonts w:ascii="Times New Roman" w:eastAsia="Calibri" w:hAnsi="Times New Roman" w:cs="Calibri"/>
          <w:iCs/>
          <w:sz w:val="24"/>
        </w:rPr>
        <w:t xml:space="preserve">s II un IV pielikumā, tā ir suga, kurai veidojami mikroliegumi. Biezās </w:t>
      </w:r>
      <w:proofErr w:type="spellStart"/>
      <w:r w:rsidRPr="00A07F29">
        <w:rPr>
          <w:rFonts w:ascii="Times New Roman" w:eastAsia="Calibri" w:hAnsi="Times New Roman" w:cs="Calibri"/>
          <w:iCs/>
          <w:sz w:val="24"/>
        </w:rPr>
        <w:t>perlamutrenes</w:t>
      </w:r>
      <w:proofErr w:type="spellEnd"/>
      <w:r w:rsidRPr="00A07F29">
        <w:rPr>
          <w:rFonts w:ascii="Times New Roman" w:eastAsia="Calibri" w:hAnsi="Times New Roman" w:cs="Calibri"/>
          <w:iCs/>
          <w:sz w:val="24"/>
        </w:rPr>
        <w:t xml:space="preserve"> vitālas populācijas ir sastopamas Daugavā un vienā no lielākajām pietekām – </w:t>
      </w:r>
      <w:proofErr w:type="spellStart"/>
      <w:r w:rsidRPr="00A07F29">
        <w:rPr>
          <w:rFonts w:ascii="Times New Roman" w:eastAsia="Calibri" w:hAnsi="Times New Roman" w:cs="Calibri"/>
          <w:iCs/>
          <w:sz w:val="24"/>
        </w:rPr>
        <w:t>Indricā</w:t>
      </w:r>
      <w:proofErr w:type="spellEnd"/>
      <w:r w:rsidRPr="00A07F29">
        <w:rPr>
          <w:rFonts w:ascii="Times New Roman" w:eastAsia="Calibri" w:hAnsi="Times New Roman" w:cs="Calibri"/>
          <w:iCs/>
          <w:sz w:val="24"/>
        </w:rPr>
        <w:t xml:space="preserve">. </w:t>
      </w:r>
      <w:proofErr w:type="spellStart"/>
      <w:r w:rsidRPr="00A07F29">
        <w:rPr>
          <w:rFonts w:ascii="Times New Roman" w:eastAsia="Calibri" w:hAnsi="Times New Roman" w:cs="Calibri"/>
          <w:iCs/>
          <w:sz w:val="24"/>
        </w:rPr>
        <w:t>Rudņā</w:t>
      </w:r>
      <w:proofErr w:type="spellEnd"/>
      <w:r w:rsidRPr="00A07F29">
        <w:rPr>
          <w:rFonts w:ascii="Times New Roman" w:eastAsia="Calibri" w:hAnsi="Times New Roman" w:cs="Calibri"/>
          <w:iCs/>
          <w:sz w:val="24"/>
        </w:rPr>
        <w:t xml:space="preserve"> suga nav konstatēta posmā virs Tartaka ezera. </w:t>
      </w:r>
      <w:proofErr w:type="spellStart"/>
      <w:r w:rsidRPr="00A07F29">
        <w:rPr>
          <w:rFonts w:ascii="Times New Roman" w:eastAsia="Calibri" w:hAnsi="Times New Roman" w:cs="Calibri"/>
          <w:iCs/>
          <w:sz w:val="24"/>
        </w:rPr>
        <w:t>Poguļankā</w:t>
      </w:r>
      <w:proofErr w:type="spellEnd"/>
      <w:r w:rsidRPr="00A07F29">
        <w:rPr>
          <w:rFonts w:ascii="Times New Roman" w:eastAsia="Calibri" w:hAnsi="Times New Roman" w:cs="Calibri"/>
          <w:iCs/>
          <w:sz w:val="24"/>
        </w:rPr>
        <w:t xml:space="preserve"> ir atrastas tukšas gliemeņu čaulas. Skaistā suga nav konstatēta.</w:t>
      </w:r>
    </w:p>
    <w:p w14:paraId="48CD4A31" w14:textId="77777777" w:rsidR="009072CE" w:rsidRPr="00A07F29" w:rsidRDefault="009072CE" w:rsidP="001854E4">
      <w:pPr>
        <w:spacing w:after="120" w:line="240" w:lineRule="auto"/>
        <w:ind w:firstLine="851"/>
        <w:jc w:val="both"/>
        <w:rPr>
          <w:rFonts w:ascii="Times New Roman" w:eastAsia="Calibri" w:hAnsi="Times New Roman" w:cs="Calibri"/>
          <w:iCs/>
          <w:sz w:val="24"/>
        </w:rPr>
      </w:pPr>
      <w:proofErr w:type="spellStart"/>
      <w:r w:rsidRPr="00A07F29">
        <w:rPr>
          <w:rFonts w:ascii="Times New Roman" w:eastAsia="Calibri" w:hAnsi="Times New Roman" w:cs="Calibri"/>
          <w:iCs/>
          <w:sz w:val="24"/>
        </w:rPr>
        <w:t>Daudzskaitlīgas</w:t>
      </w:r>
      <w:proofErr w:type="spellEnd"/>
      <w:r w:rsidRPr="00A07F29">
        <w:rPr>
          <w:rFonts w:ascii="Times New Roman" w:eastAsia="Calibri" w:hAnsi="Times New Roman" w:cs="Calibri"/>
          <w:iCs/>
          <w:sz w:val="24"/>
        </w:rPr>
        <w:t xml:space="preserve"> </w:t>
      </w:r>
      <w:proofErr w:type="spellStart"/>
      <w:r w:rsidRPr="00A07F29">
        <w:rPr>
          <w:rFonts w:ascii="Times New Roman" w:eastAsia="Calibri" w:hAnsi="Times New Roman" w:cs="Calibri"/>
          <w:i/>
          <w:iCs/>
          <w:sz w:val="24"/>
        </w:rPr>
        <w:t>Ancylus</w:t>
      </w:r>
      <w:proofErr w:type="spellEnd"/>
      <w:r w:rsidRPr="00A07F29">
        <w:rPr>
          <w:rFonts w:ascii="Times New Roman" w:eastAsia="Calibri" w:hAnsi="Times New Roman" w:cs="Calibri"/>
          <w:i/>
          <w:iCs/>
          <w:sz w:val="24"/>
        </w:rPr>
        <w:t xml:space="preserve"> </w:t>
      </w:r>
      <w:proofErr w:type="spellStart"/>
      <w:r w:rsidRPr="00A07F29">
        <w:rPr>
          <w:rFonts w:ascii="Times New Roman" w:eastAsia="Calibri" w:hAnsi="Times New Roman" w:cs="Calibri"/>
          <w:i/>
          <w:iCs/>
          <w:sz w:val="24"/>
        </w:rPr>
        <w:t>fluviatilis</w:t>
      </w:r>
      <w:proofErr w:type="spellEnd"/>
      <w:r w:rsidRPr="00A07F29">
        <w:rPr>
          <w:rFonts w:ascii="Times New Roman" w:eastAsia="Calibri" w:hAnsi="Times New Roman" w:cs="Calibri"/>
          <w:iCs/>
          <w:sz w:val="24"/>
        </w:rPr>
        <w:t xml:space="preserve"> populācijas ir sastopamas </w:t>
      </w:r>
      <w:proofErr w:type="spellStart"/>
      <w:r w:rsidRPr="00A07F29">
        <w:rPr>
          <w:rFonts w:ascii="Times New Roman" w:eastAsia="Calibri" w:hAnsi="Times New Roman" w:cs="Calibri"/>
          <w:iCs/>
          <w:sz w:val="24"/>
        </w:rPr>
        <w:t>Indricā</w:t>
      </w:r>
      <w:proofErr w:type="spellEnd"/>
      <w:r w:rsidRPr="00A07F29">
        <w:rPr>
          <w:rFonts w:ascii="Times New Roman" w:eastAsia="Calibri" w:hAnsi="Times New Roman" w:cs="Calibri"/>
          <w:iCs/>
          <w:sz w:val="24"/>
        </w:rPr>
        <w:t xml:space="preserve"> un </w:t>
      </w:r>
      <w:proofErr w:type="spellStart"/>
      <w:r w:rsidRPr="00A07F29">
        <w:rPr>
          <w:rFonts w:ascii="Times New Roman" w:eastAsia="Calibri" w:hAnsi="Times New Roman" w:cs="Calibri"/>
          <w:iCs/>
          <w:sz w:val="24"/>
        </w:rPr>
        <w:t>Rudņā</w:t>
      </w:r>
      <w:proofErr w:type="spellEnd"/>
      <w:r w:rsidRPr="00A07F29">
        <w:rPr>
          <w:rFonts w:ascii="Times New Roman" w:eastAsia="Calibri" w:hAnsi="Times New Roman" w:cs="Calibri"/>
          <w:iCs/>
          <w:sz w:val="24"/>
        </w:rPr>
        <w:t xml:space="preserve">. Šī suga ir raksturīga nelielām upēm. Daugavā bieži ir sastopama </w:t>
      </w:r>
      <w:proofErr w:type="spellStart"/>
      <w:r w:rsidRPr="00A07F29">
        <w:rPr>
          <w:rFonts w:ascii="Times New Roman" w:eastAsia="Calibri" w:hAnsi="Times New Roman" w:cs="Calibri"/>
          <w:i/>
          <w:iCs/>
          <w:sz w:val="24"/>
        </w:rPr>
        <w:t>Theodoxus</w:t>
      </w:r>
      <w:proofErr w:type="spellEnd"/>
      <w:r w:rsidRPr="00A07F29">
        <w:rPr>
          <w:rFonts w:ascii="Times New Roman" w:eastAsia="Calibri" w:hAnsi="Times New Roman" w:cs="Calibri"/>
          <w:i/>
          <w:iCs/>
          <w:sz w:val="24"/>
        </w:rPr>
        <w:t xml:space="preserve"> </w:t>
      </w:r>
      <w:proofErr w:type="spellStart"/>
      <w:r w:rsidRPr="00A07F29">
        <w:rPr>
          <w:rFonts w:ascii="Times New Roman" w:eastAsia="Calibri" w:hAnsi="Times New Roman" w:cs="Calibri"/>
          <w:i/>
          <w:iCs/>
          <w:sz w:val="24"/>
        </w:rPr>
        <w:t>fluviatilis</w:t>
      </w:r>
      <w:proofErr w:type="spellEnd"/>
      <w:r w:rsidRPr="00A07F29">
        <w:rPr>
          <w:rFonts w:ascii="Times New Roman" w:eastAsia="Calibri" w:hAnsi="Times New Roman" w:cs="Calibri"/>
          <w:iCs/>
          <w:sz w:val="24"/>
        </w:rPr>
        <w:t>, kas ir raksturīga suga lielākām upēm.</w:t>
      </w:r>
    </w:p>
    <w:p w14:paraId="62A308F1" w14:textId="6FF27C92" w:rsidR="009072CE" w:rsidRPr="00A07F29" w:rsidRDefault="009072CE" w:rsidP="001854E4">
      <w:pPr>
        <w:keepNext/>
        <w:keepLines/>
        <w:spacing w:before="240" w:after="120" w:line="240" w:lineRule="auto"/>
        <w:jc w:val="center"/>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4.</w:t>
      </w:r>
      <w:r w:rsidR="00C96B50" w:rsidRPr="00A07F29">
        <w:rPr>
          <w:rFonts w:ascii="Times New Roman" w:eastAsia="Times New Roman" w:hAnsi="Times New Roman" w:cs="Times New Roman"/>
          <w:sz w:val="24"/>
          <w:szCs w:val="24"/>
          <w:lang w:eastAsia="lv-LV"/>
        </w:rPr>
        <w:t>7</w:t>
      </w:r>
      <w:r w:rsidRPr="00A07F29">
        <w:rPr>
          <w:rFonts w:ascii="Times New Roman" w:eastAsia="Times New Roman" w:hAnsi="Times New Roman" w:cs="Times New Roman"/>
          <w:sz w:val="24"/>
          <w:szCs w:val="24"/>
          <w:lang w:eastAsia="lv-LV"/>
        </w:rPr>
        <w:t>.2.1.</w:t>
      </w:r>
      <w:r w:rsidR="00251C86">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 xml:space="preserve">tabula. AAA </w:t>
      </w:r>
      <w:r w:rsidR="00251C86">
        <w:rPr>
          <w:rFonts w:ascii="Times New Roman" w:eastAsia="Times New Roman" w:hAnsi="Times New Roman" w:cs="Times New Roman"/>
          <w:sz w:val="24"/>
          <w:szCs w:val="24"/>
          <w:lang w:eastAsia="lv-LV"/>
        </w:rPr>
        <w:t>“</w:t>
      </w:r>
      <w:r w:rsidRPr="00A07F29">
        <w:rPr>
          <w:rFonts w:ascii="Times New Roman" w:eastAsia="Times New Roman" w:hAnsi="Times New Roman" w:cs="Times New Roman"/>
          <w:sz w:val="24"/>
          <w:szCs w:val="24"/>
          <w:lang w:eastAsia="lv-LV"/>
        </w:rPr>
        <w:t>Augšdaugava” konstatētās gliemju sugas</w:t>
      </w:r>
    </w:p>
    <w:tbl>
      <w:tblPr>
        <w:tblW w:w="84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4"/>
        <w:gridCol w:w="2728"/>
        <w:gridCol w:w="2693"/>
        <w:gridCol w:w="2410"/>
      </w:tblGrid>
      <w:tr w:rsidR="009072CE" w:rsidRPr="00A07F29" w14:paraId="292CCDDE" w14:textId="77777777" w:rsidTr="009056A3">
        <w:trPr>
          <w:trHeight w:val="528"/>
          <w:jc w:val="center"/>
        </w:trPr>
        <w:tc>
          <w:tcPr>
            <w:tcW w:w="644" w:type="dxa"/>
            <w:shd w:val="clear" w:color="auto" w:fill="D6E3BC"/>
            <w:vAlign w:val="center"/>
          </w:tcPr>
          <w:p w14:paraId="0B474529" w14:textId="48B16B95" w:rsidR="009072CE" w:rsidRPr="00A07F29" w:rsidRDefault="009072CE" w:rsidP="009072CE">
            <w:pPr>
              <w:keepNext/>
              <w:keepLines/>
              <w:spacing w:after="0" w:line="240" w:lineRule="auto"/>
              <w:rPr>
                <w:rFonts w:ascii="Times New Roman" w:eastAsia="Times New Roman" w:hAnsi="Times New Roman" w:cs="Times New Roman"/>
                <w:sz w:val="20"/>
                <w:szCs w:val="20"/>
                <w:lang w:eastAsia="lv-LV"/>
              </w:rPr>
            </w:pPr>
            <w:proofErr w:type="spellStart"/>
            <w:r w:rsidRPr="00A07F29">
              <w:rPr>
                <w:rFonts w:ascii="Times New Roman" w:eastAsia="Times New Roman" w:hAnsi="Times New Roman" w:cs="Times New Roman"/>
                <w:sz w:val="20"/>
                <w:szCs w:val="20"/>
                <w:lang w:eastAsia="lv-LV"/>
              </w:rPr>
              <w:t>Npk</w:t>
            </w:r>
            <w:proofErr w:type="spellEnd"/>
            <w:r w:rsidRPr="00A07F29">
              <w:rPr>
                <w:rFonts w:ascii="Times New Roman" w:eastAsia="Times New Roman" w:hAnsi="Times New Roman" w:cs="Times New Roman"/>
                <w:sz w:val="20"/>
                <w:szCs w:val="20"/>
                <w:lang w:eastAsia="lv-LV"/>
              </w:rPr>
              <w:t>.</w:t>
            </w:r>
          </w:p>
        </w:tc>
        <w:tc>
          <w:tcPr>
            <w:tcW w:w="2728" w:type="dxa"/>
            <w:shd w:val="clear" w:color="auto" w:fill="D6E3BC"/>
            <w:vAlign w:val="center"/>
          </w:tcPr>
          <w:p w14:paraId="4834FF53" w14:textId="77777777" w:rsidR="009072CE" w:rsidRPr="00A07F29" w:rsidRDefault="009072CE" w:rsidP="009072CE">
            <w:pPr>
              <w:keepNext/>
              <w:keepLines/>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Sugas zinātniskais nosaukums</w:t>
            </w:r>
          </w:p>
        </w:tc>
        <w:tc>
          <w:tcPr>
            <w:tcW w:w="2693" w:type="dxa"/>
            <w:shd w:val="clear" w:color="auto" w:fill="D6E3BC"/>
            <w:vAlign w:val="center"/>
          </w:tcPr>
          <w:p w14:paraId="3433ED4B" w14:textId="77777777" w:rsidR="009072CE" w:rsidRPr="00A07F29" w:rsidRDefault="009072CE" w:rsidP="009072CE">
            <w:pPr>
              <w:keepNext/>
              <w:keepLines/>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Sugas latviskais nosaukums</w:t>
            </w:r>
          </w:p>
        </w:tc>
        <w:tc>
          <w:tcPr>
            <w:tcW w:w="2410" w:type="dxa"/>
            <w:shd w:val="clear" w:color="auto" w:fill="D6E3BC"/>
            <w:vAlign w:val="center"/>
          </w:tcPr>
          <w:p w14:paraId="47231D6E" w14:textId="77777777" w:rsidR="009072CE" w:rsidRPr="00A07F29" w:rsidRDefault="009072CE" w:rsidP="009072CE">
            <w:pPr>
              <w:keepNext/>
              <w:keepLines/>
              <w:spacing w:after="0" w:line="240" w:lineRule="auto"/>
              <w:rPr>
                <w:rFonts w:ascii="Times New Roman" w:eastAsia="Times New Roman" w:hAnsi="Times New Roman" w:cs="Times New Roman"/>
                <w:sz w:val="20"/>
                <w:szCs w:val="20"/>
                <w:vertAlign w:val="superscript"/>
                <w:lang w:eastAsia="lv-LV"/>
              </w:rPr>
            </w:pPr>
            <w:r w:rsidRPr="00A07F29">
              <w:rPr>
                <w:rFonts w:ascii="Times New Roman" w:eastAsia="Times New Roman" w:hAnsi="Times New Roman" w:cs="Times New Roman"/>
                <w:bCs/>
                <w:color w:val="000000"/>
                <w:sz w:val="20"/>
                <w:szCs w:val="20"/>
                <w:lang w:eastAsia="lv-LV"/>
              </w:rPr>
              <w:t>Sugas stāvoklis Latvijā</w:t>
            </w:r>
            <w:r w:rsidRPr="00A07F29">
              <w:rPr>
                <w:rFonts w:ascii="Times New Roman" w:eastAsia="Times New Roman" w:hAnsi="Times New Roman" w:cs="Times New Roman"/>
                <w:bCs/>
                <w:color w:val="000000"/>
                <w:sz w:val="20"/>
                <w:szCs w:val="20"/>
                <w:vertAlign w:val="superscript"/>
                <w:lang w:eastAsia="lv-LV"/>
              </w:rPr>
              <w:t>*</w:t>
            </w:r>
          </w:p>
        </w:tc>
      </w:tr>
      <w:tr w:rsidR="009072CE" w:rsidRPr="00A07F29" w14:paraId="2C56598B" w14:textId="77777777" w:rsidTr="009056A3">
        <w:trPr>
          <w:trHeight w:val="264"/>
          <w:jc w:val="center"/>
        </w:trPr>
        <w:tc>
          <w:tcPr>
            <w:tcW w:w="8475" w:type="dxa"/>
            <w:gridSpan w:val="4"/>
            <w:shd w:val="clear" w:color="auto" w:fill="E7E6E6"/>
            <w:noWrap/>
            <w:vAlign w:val="center"/>
          </w:tcPr>
          <w:p w14:paraId="36E28D5F" w14:textId="77777777" w:rsidR="009072CE" w:rsidRPr="00A07F29" w:rsidRDefault="009072CE" w:rsidP="009072CE">
            <w:pPr>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Saldūdens gliemeži</w:t>
            </w:r>
          </w:p>
        </w:tc>
      </w:tr>
      <w:tr w:rsidR="009072CE" w:rsidRPr="00A07F29" w14:paraId="0B090E9B" w14:textId="77777777" w:rsidTr="009056A3">
        <w:trPr>
          <w:trHeight w:val="264"/>
          <w:jc w:val="center"/>
        </w:trPr>
        <w:tc>
          <w:tcPr>
            <w:tcW w:w="644" w:type="dxa"/>
            <w:shd w:val="clear" w:color="auto" w:fill="auto"/>
            <w:noWrap/>
            <w:vAlign w:val="center"/>
          </w:tcPr>
          <w:p w14:paraId="07B5EFC8"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1.</w:t>
            </w:r>
          </w:p>
        </w:tc>
        <w:tc>
          <w:tcPr>
            <w:tcW w:w="2728" w:type="dxa"/>
            <w:shd w:val="clear" w:color="auto" w:fill="auto"/>
            <w:noWrap/>
            <w:vAlign w:val="center"/>
          </w:tcPr>
          <w:p w14:paraId="69BC8DAA" w14:textId="77777777" w:rsidR="009072CE" w:rsidRPr="00A07F29" w:rsidRDefault="009072CE" w:rsidP="009072CE">
            <w:pPr>
              <w:spacing w:after="0" w:line="240" w:lineRule="auto"/>
              <w:rPr>
                <w:rFonts w:ascii="Times New Roman" w:eastAsia="Times New Roman" w:hAnsi="Times New Roman" w:cs="Times New Roman"/>
                <w:i/>
                <w:iCs/>
                <w:sz w:val="20"/>
                <w:szCs w:val="20"/>
                <w:lang w:eastAsia="lv-LV"/>
              </w:rPr>
            </w:pPr>
            <w:proofErr w:type="spellStart"/>
            <w:r w:rsidRPr="00A07F29">
              <w:rPr>
                <w:rFonts w:ascii="Times New Roman" w:eastAsia="Times New Roman" w:hAnsi="Times New Roman" w:cs="Times New Roman"/>
                <w:i/>
                <w:iCs/>
                <w:sz w:val="20"/>
                <w:szCs w:val="20"/>
                <w:lang w:eastAsia="lv-LV"/>
              </w:rPr>
              <w:t>Acroloxus</w:t>
            </w:r>
            <w:proofErr w:type="spellEnd"/>
            <w:r w:rsidRPr="00A07F29">
              <w:rPr>
                <w:rFonts w:ascii="Times New Roman" w:eastAsia="Times New Roman" w:hAnsi="Times New Roman" w:cs="Times New Roman"/>
                <w:i/>
                <w:iCs/>
                <w:sz w:val="20"/>
                <w:szCs w:val="20"/>
                <w:lang w:eastAsia="lv-LV"/>
              </w:rPr>
              <w:t xml:space="preserve"> </w:t>
            </w:r>
            <w:proofErr w:type="spellStart"/>
            <w:r w:rsidRPr="00A07F29">
              <w:rPr>
                <w:rFonts w:ascii="Times New Roman" w:eastAsia="Times New Roman" w:hAnsi="Times New Roman" w:cs="Times New Roman"/>
                <w:i/>
                <w:iCs/>
                <w:sz w:val="20"/>
                <w:szCs w:val="20"/>
                <w:lang w:eastAsia="lv-LV"/>
              </w:rPr>
              <w:t>lacustris</w:t>
            </w:r>
            <w:proofErr w:type="spellEnd"/>
          </w:p>
        </w:tc>
        <w:tc>
          <w:tcPr>
            <w:tcW w:w="2693" w:type="dxa"/>
            <w:shd w:val="clear" w:color="auto" w:fill="auto"/>
            <w:noWrap/>
            <w:vAlign w:val="center"/>
          </w:tcPr>
          <w:p w14:paraId="0193B3F0"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Ezera micīte</w:t>
            </w:r>
          </w:p>
        </w:tc>
        <w:tc>
          <w:tcPr>
            <w:tcW w:w="2410" w:type="dxa"/>
            <w:shd w:val="clear" w:color="auto" w:fill="auto"/>
            <w:noWrap/>
            <w:vAlign w:val="center"/>
          </w:tcPr>
          <w:p w14:paraId="1A6AB75C"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Bieži</w:t>
            </w:r>
          </w:p>
        </w:tc>
      </w:tr>
      <w:tr w:rsidR="009072CE" w:rsidRPr="00A07F29" w14:paraId="70A7E5AB" w14:textId="77777777" w:rsidTr="009056A3">
        <w:trPr>
          <w:trHeight w:val="264"/>
          <w:jc w:val="center"/>
        </w:trPr>
        <w:tc>
          <w:tcPr>
            <w:tcW w:w="644" w:type="dxa"/>
            <w:shd w:val="clear" w:color="auto" w:fill="auto"/>
            <w:noWrap/>
            <w:vAlign w:val="center"/>
          </w:tcPr>
          <w:p w14:paraId="7582088A"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2.</w:t>
            </w:r>
          </w:p>
        </w:tc>
        <w:tc>
          <w:tcPr>
            <w:tcW w:w="2728" w:type="dxa"/>
            <w:shd w:val="clear" w:color="auto" w:fill="auto"/>
            <w:noWrap/>
            <w:vAlign w:val="center"/>
          </w:tcPr>
          <w:p w14:paraId="188E8F7B" w14:textId="77777777" w:rsidR="009072CE" w:rsidRPr="00A07F29" w:rsidRDefault="009072CE" w:rsidP="009072CE">
            <w:pPr>
              <w:spacing w:after="0" w:line="240" w:lineRule="auto"/>
              <w:rPr>
                <w:rFonts w:ascii="Times New Roman" w:eastAsia="Times New Roman" w:hAnsi="Times New Roman" w:cs="Times New Roman"/>
                <w:i/>
                <w:iCs/>
                <w:sz w:val="20"/>
                <w:szCs w:val="20"/>
                <w:lang w:eastAsia="lv-LV"/>
              </w:rPr>
            </w:pPr>
            <w:proofErr w:type="spellStart"/>
            <w:r w:rsidRPr="00A07F29">
              <w:rPr>
                <w:rFonts w:ascii="Times New Roman" w:eastAsia="Times New Roman" w:hAnsi="Times New Roman" w:cs="Times New Roman"/>
                <w:i/>
                <w:iCs/>
                <w:sz w:val="20"/>
                <w:szCs w:val="20"/>
                <w:lang w:eastAsia="lv-LV"/>
              </w:rPr>
              <w:t>Ancylus</w:t>
            </w:r>
            <w:proofErr w:type="spellEnd"/>
            <w:r w:rsidRPr="00A07F29">
              <w:rPr>
                <w:rFonts w:ascii="Times New Roman" w:eastAsia="Times New Roman" w:hAnsi="Times New Roman" w:cs="Times New Roman"/>
                <w:i/>
                <w:iCs/>
                <w:sz w:val="20"/>
                <w:szCs w:val="20"/>
                <w:lang w:eastAsia="lv-LV"/>
              </w:rPr>
              <w:t xml:space="preserve"> </w:t>
            </w:r>
            <w:proofErr w:type="spellStart"/>
            <w:r w:rsidRPr="00A07F29">
              <w:rPr>
                <w:rFonts w:ascii="Times New Roman" w:eastAsia="Times New Roman" w:hAnsi="Times New Roman" w:cs="Times New Roman"/>
                <w:i/>
                <w:iCs/>
                <w:sz w:val="20"/>
                <w:szCs w:val="20"/>
                <w:lang w:eastAsia="lv-LV"/>
              </w:rPr>
              <w:t>fluviatilis</w:t>
            </w:r>
            <w:proofErr w:type="spellEnd"/>
          </w:p>
        </w:tc>
        <w:tc>
          <w:tcPr>
            <w:tcW w:w="2693" w:type="dxa"/>
            <w:shd w:val="clear" w:color="auto" w:fill="auto"/>
            <w:noWrap/>
            <w:vAlign w:val="center"/>
          </w:tcPr>
          <w:p w14:paraId="30232EC9"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Upes micīte</w:t>
            </w:r>
          </w:p>
        </w:tc>
        <w:tc>
          <w:tcPr>
            <w:tcW w:w="2410" w:type="dxa"/>
            <w:shd w:val="clear" w:color="auto" w:fill="auto"/>
            <w:noWrap/>
            <w:vAlign w:val="center"/>
          </w:tcPr>
          <w:p w14:paraId="50C6AB56"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Ne bieži</w:t>
            </w:r>
          </w:p>
        </w:tc>
      </w:tr>
      <w:tr w:rsidR="009072CE" w:rsidRPr="00A07F29" w14:paraId="01AB7EA4" w14:textId="77777777" w:rsidTr="009056A3">
        <w:trPr>
          <w:trHeight w:val="264"/>
          <w:jc w:val="center"/>
        </w:trPr>
        <w:tc>
          <w:tcPr>
            <w:tcW w:w="644" w:type="dxa"/>
            <w:shd w:val="clear" w:color="auto" w:fill="auto"/>
            <w:noWrap/>
            <w:vAlign w:val="center"/>
          </w:tcPr>
          <w:p w14:paraId="7422D2BF"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3.</w:t>
            </w:r>
          </w:p>
        </w:tc>
        <w:tc>
          <w:tcPr>
            <w:tcW w:w="2728" w:type="dxa"/>
            <w:shd w:val="clear" w:color="auto" w:fill="auto"/>
            <w:noWrap/>
            <w:vAlign w:val="center"/>
          </w:tcPr>
          <w:p w14:paraId="76FBCC84" w14:textId="77777777" w:rsidR="009072CE" w:rsidRPr="00A07F29" w:rsidRDefault="009072CE" w:rsidP="009072CE">
            <w:pPr>
              <w:spacing w:after="0" w:line="240" w:lineRule="auto"/>
              <w:rPr>
                <w:rFonts w:ascii="Times New Roman" w:eastAsia="Times New Roman" w:hAnsi="Times New Roman" w:cs="Times New Roman"/>
                <w:i/>
                <w:iCs/>
                <w:sz w:val="20"/>
                <w:szCs w:val="20"/>
                <w:lang w:eastAsia="lv-LV"/>
              </w:rPr>
            </w:pPr>
            <w:proofErr w:type="spellStart"/>
            <w:r w:rsidRPr="00A07F29">
              <w:rPr>
                <w:rFonts w:ascii="Times New Roman" w:eastAsia="Times New Roman" w:hAnsi="Times New Roman" w:cs="Times New Roman"/>
                <w:i/>
                <w:iCs/>
                <w:sz w:val="20"/>
                <w:szCs w:val="20"/>
                <w:lang w:eastAsia="lv-LV"/>
              </w:rPr>
              <w:t>Anisus</w:t>
            </w:r>
            <w:proofErr w:type="spellEnd"/>
            <w:r w:rsidRPr="00A07F29">
              <w:rPr>
                <w:rFonts w:ascii="Times New Roman" w:eastAsia="Times New Roman" w:hAnsi="Times New Roman" w:cs="Times New Roman"/>
                <w:i/>
                <w:iCs/>
                <w:sz w:val="20"/>
                <w:szCs w:val="20"/>
                <w:lang w:eastAsia="lv-LV"/>
              </w:rPr>
              <w:t xml:space="preserve"> </w:t>
            </w:r>
            <w:proofErr w:type="spellStart"/>
            <w:r w:rsidRPr="00A07F29">
              <w:rPr>
                <w:rFonts w:ascii="Times New Roman" w:eastAsia="Times New Roman" w:hAnsi="Times New Roman" w:cs="Times New Roman"/>
                <w:i/>
                <w:iCs/>
                <w:sz w:val="20"/>
                <w:szCs w:val="20"/>
                <w:lang w:eastAsia="lv-LV"/>
              </w:rPr>
              <w:t>spirorbis</w:t>
            </w:r>
            <w:proofErr w:type="spellEnd"/>
          </w:p>
        </w:tc>
        <w:tc>
          <w:tcPr>
            <w:tcW w:w="2693" w:type="dxa"/>
            <w:shd w:val="clear" w:color="auto" w:fill="auto"/>
            <w:noWrap/>
            <w:vAlign w:val="center"/>
          </w:tcPr>
          <w:p w14:paraId="34E1C9C8"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proofErr w:type="spellStart"/>
            <w:r w:rsidRPr="00A07F29">
              <w:rPr>
                <w:rFonts w:ascii="Times New Roman" w:eastAsia="Times New Roman" w:hAnsi="Times New Roman" w:cs="Times New Roman"/>
                <w:sz w:val="20"/>
                <w:szCs w:val="20"/>
                <w:lang w:eastAsia="lv-LV"/>
              </w:rPr>
              <w:t>Lūpainā</w:t>
            </w:r>
            <w:proofErr w:type="spellEnd"/>
            <w:r w:rsidRPr="00A07F29">
              <w:rPr>
                <w:rFonts w:ascii="Times New Roman" w:eastAsia="Times New Roman" w:hAnsi="Times New Roman" w:cs="Times New Roman"/>
                <w:sz w:val="20"/>
                <w:szCs w:val="20"/>
                <w:lang w:eastAsia="lv-LV"/>
              </w:rPr>
              <w:t xml:space="preserve"> </w:t>
            </w:r>
            <w:proofErr w:type="spellStart"/>
            <w:r w:rsidRPr="00A07F29">
              <w:rPr>
                <w:rFonts w:ascii="Times New Roman" w:eastAsia="Times New Roman" w:hAnsi="Times New Roman" w:cs="Times New Roman"/>
                <w:sz w:val="20"/>
                <w:szCs w:val="20"/>
                <w:lang w:eastAsia="lv-LV"/>
              </w:rPr>
              <w:t>ūdensspolīte</w:t>
            </w:r>
            <w:proofErr w:type="spellEnd"/>
          </w:p>
        </w:tc>
        <w:tc>
          <w:tcPr>
            <w:tcW w:w="2410" w:type="dxa"/>
            <w:shd w:val="clear" w:color="auto" w:fill="auto"/>
            <w:vAlign w:val="center"/>
          </w:tcPr>
          <w:p w14:paraId="5506D1CD"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Samērā bieži</w:t>
            </w:r>
          </w:p>
        </w:tc>
      </w:tr>
      <w:tr w:rsidR="009072CE" w:rsidRPr="00A07F29" w14:paraId="65DDF428" w14:textId="77777777" w:rsidTr="009056A3">
        <w:trPr>
          <w:trHeight w:val="264"/>
          <w:jc w:val="center"/>
        </w:trPr>
        <w:tc>
          <w:tcPr>
            <w:tcW w:w="644" w:type="dxa"/>
            <w:shd w:val="clear" w:color="auto" w:fill="auto"/>
            <w:noWrap/>
            <w:vAlign w:val="center"/>
          </w:tcPr>
          <w:p w14:paraId="2B2612E6"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4.</w:t>
            </w:r>
          </w:p>
        </w:tc>
        <w:tc>
          <w:tcPr>
            <w:tcW w:w="2728" w:type="dxa"/>
            <w:shd w:val="clear" w:color="auto" w:fill="auto"/>
            <w:noWrap/>
            <w:vAlign w:val="center"/>
          </w:tcPr>
          <w:p w14:paraId="6EAFD9AC" w14:textId="77777777" w:rsidR="009072CE" w:rsidRPr="00A07F29" w:rsidRDefault="009072CE" w:rsidP="009072CE">
            <w:pPr>
              <w:spacing w:after="0" w:line="240" w:lineRule="auto"/>
              <w:rPr>
                <w:rFonts w:ascii="Times New Roman" w:eastAsia="Times New Roman" w:hAnsi="Times New Roman" w:cs="Times New Roman"/>
                <w:i/>
                <w:iCs/>
                <w:sz w:val="20"/>
                <w:szCs w:val="20"/>
                <w:lang w:eastAsia="lv-LV"/>
              </w:rPr>
            </w:pPr>
            <w:proofErr w:type="spellStart"/>
            <w:r w:rsidRPr="00A07F29">
              <w:rPr>
                <w:rFonts w:ascii="Times New Roman" w:eastAsia="Times New Roman" w:hAnsi="Times New Roman" w:cs="Times New Roman"/>
                <w:i/>
                <w:iCs/>
                <w:sz w:val="20"/>
                <w:szCs w:val="20"/>
                <w:lang w:eastAsia="lv-LV"/>
              </w:rPr>
              <w:t>Aplexa</w:t>
            </w:r>
            <w:proofErr w:type="spellEnd"/>
            <w:r w:rsidRPr="00A07F29">
              <w:rPr>
                <w:rFonts w:ascii="Times New Roman" w:eastAsia="Times New Roman" w:hAnsi="Times New Roman" w:cs="Times New Roman"/>
                <w:i/>
                <w:iCs/>
                <w:sz w:val="20"/>
                <w:szCs w:val="20"/>
                <w:lang w:eastAsia="lv-LV"/>
              </w:rPr>
              <w:t xml:space="preserve"> </w:t>
            </w:r>
            <w:proofErr w:type="spellStart"/>
            <w:r w:rsidRPr="00A07F29">
              <w:rPr>
                <w:rFonts w:ascii="Times New Roman" w:eastAsia="Times New Roman" w:hAnsi="Times New Roman" w:cs="Times New Roman"/>
                <w:i/>
                <w:iCs/>
                <w:sz w:val="20"/>
                <w:szCs w:val="20"/>
                <w:lang w:eastAsia="lv-LV"/>
              </w:rPr>
              <w:t>hypnorum</w:t>
            </w:r>
            <w:proofErr w:type="spellEnd"/>
          </w:p>
        </w:tc>
        <w:tc>
          <w:tcPr>
            <w:tcW w:w="2693" w:type="dxa"/>
            <w:shd w:val="clear" w:color="auto" w:fill="auto"/>
            <w:noWrap/>
            <w:vAlign w:val="center"/>
          </w:tcPr>
          <w:p w14:paraId="6B3E7D57"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proofErr w:type="spellStart"/>
            <w:r w:rsidRPr="00A07F29">
              <w:rPr>
                <w:rFonts w:ascii="Times New Roman" w:eastAsia="Times New Roman" w:hAnsi="Times New Roman" w:cs="Times New Roman"/>
                <w:sz w:val="20"/>
                <w:szCs w:val="20"/>
                <w:lang w:eastAsia="lv-LV"/>
              </w:rPr>
              <w:t>Dūkstāja</w:t>
            </w:r>
            <w:proofErr w:type="spellEnd"/>
            <w:r w:rsidRPr="00A07F29">
              <w:rPr>
                <w:rFonts w:ascii="Times New Roman" w:eastAsia="Times New Roman" w:hAnsi="Times New Roman" w:cs="Times New Roman"/>
                <w:sz w:val="20"/>
                <w:szCs w:val="20"/>
                <w:lang w:eastAsia="lv-LV"/>
              </w:rPr>
              <w:t xml:space="preserve"> </w:t>
            </w:r>
            <w:proofErr w:type="spellStart"/>
            <w:r w:rsidRPr="00A07F29">
              <w:rPr>
                <w:rFonts w:ascii="Times New Roman" w:eastAsia="Times New Roman" w:hAnsi="Times New Roman" w:cs="Times New Roman"/>
                <w:sz w:val="20"/>
                <w:szCs w:val="20"/>
                <w:lang w:eastAsia="lv-LV"/>
              </w:rPr>
              <w:t>kreiļgliemezis</w:t>
            </w:r>
            <w:proofErr w:type="spellEnd"/>
          </w:p>
        </w:tc>
        <w:tc>
          <w:tcPr>
            <w:tcW w:w="2410" w:type="dxa"/>
            <w:shd w:val="clear" w:color="auto" w:fill="auto"/>
            <w:vAlign w:val="center"/>
          </w:tcPr>
          <w:p w14:paraId="575B5523"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Samērā bieži</w:t>
            </w:r>
          </w:p>
        </w:tc>
      </w:tr>
      <w:tr w:rsidR="009072CE" w:rsidRPr="00A07F29" w14:paraId="7EE17433" w14:textId="77777777" w:rsidTr="009056A3">
        <w:trPr>
          <w:trHeight w:val="264"/>
          <w:jc w:val="center"/>
        </w:trPr>
        <w:tc>
          <w:tcPr>
            <w:tcW w:w="644" w:type="dxa"/>
            <w:shd w:val="clear" w:color="auto" w:fill="auto"/>
            <w:noWrap/>
            <w:vAlign w:val="center"/>
          </w:tcPr>
          <w:p w14:paraId="0EEC9793"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5.</w:t>
            </w:r>
          </w:p>
        </w:tc>
        <w:tc>
          <w:tcPr>
            <w:tcW w:w="2728" w:type="dxa"/>
            <w:shd w:val="clear" w:color="auto" w:fill="auto"/>
            <w:noWrap/>
            <w:vAlign w:val="center"/>
          </w:tcPr>
          <w:p w14:paraId="257F8B3D" w14:textId="77777777" w:rsidR="009072CE" w:rsidRPr="00A07F29" w:rsidRDefault="009072CE" w:rsidP="009072CE">
            <w:pPr>
              <w:spacing w:after="0" w:line="240" w:lineRule="auto"/>
              <w:rPr>
                <w:rFonts w:ascii="Times New Roman" w:eastAsia="Times New Roman" w:hAnsi="Times New Roman" w:cs="Times New Roman"/>
                <w:i/>
                <w:iCs/>
                <w:sz w:val="20"/>
                <w:szCs w:val="20"/>
                <w:lang w:eastAsia="lv-LV"/>
              </w:rPr>
            </w:pPr>
            <w:proofErr w:type="spellStart"/>
            <w:r w:rsidRPr="00A07F29">
              <w:rPr>
                <w:rFonts w:ascii="Times New Roman" w:eastAsia="Times New Roman" w:hAnsi="Times New Roman" w:cs="Times New Roman"/>
                <w:i/>
                <w:iCs/>
                <w:sz w:val="20"/>
                <w:szCs w:val="20"/>
                <w:lang w:eastAsia="lv-LV"/>
              </w:rPr>
              <w:t>Bathyomphalus</w:t>
            </w:r>
            <w:proofErr w:type="spellEnd"/>
            <w:r w:rsidRPr="00A07F29">
              <w:rPr>
                <w:rFonts w:ascii="Times New Roman" w:eastAsia="Times New Roman" w:hAnsi="Times New Roman" w:cs="Times New Roman"/>
                <w:i/>
                <w:iCs/>
                <w:sz w:val="20"/>
                <w:szCs w:val="20"/>
                <w:lang w:eastAsia="lv-LV"/>
              </w:rPr>
              <w:t xml:space="preserve"> </w:t>
            </w:r>
            <w:proofErr w:type="spellStart"/>
            <w:r w:rsidRPr="00A07F29">
              <w:rPr>
                <w:rFonts w:ascii="Times New Roman" w:eastAsia="Times New Roman" w:hAnsi="Times New Roman" w:cs="Times New Roman"/>
                <w:i/>
                <w:iCs/>
                <w:sz w:val="20"/>
                <w:szCs w:val="20"/>
                <w:lang w:eastAsia="lv-LV"/>
              </w:rPr>
              <w:t>contortus</w:t>
            </w:r>
            <w:proofErr w:type="spellEnd"/>
          </w:p>
        </w:tc>
        <w:tc>
          <w:tcPr>
            <w:tcW w:w="2693" w:type="dxa"/>
            <w:shd w:val="clear" w:color="auto" w:fill="auto"/>
            <w:noWrap/>
            <w:vAlign w:val="center"/>
          </w:tcPr>
          <w:p w14:paraId="290D7CC7"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 xml:space="preserve">Ciešā </w:t>
            </w:r>
            <w:proofErr w:type="spellStart"/>
            <w:r w:rsidRPr="00A07F29">
              <w:rPr>
                <w:rFonts w:ascii="Times New Roman" w:eastAsia="Times New Roman" w:hAnsi="Times New Roman" w:cs="Times New Roman"/>
                <w:sz w:val="20"/>
                <w:szCs w:val="20"/>
                <w:lang w:eastAsia="lv-LV"/>
              </w:rPr>
              <w:t>ūdensspolīte</w:t>
            </w:r>
            <w:proofErr w:type="spellEnd"/>
          </w:p>
        </w:tc>
        <w:tc>
          <w:tcPr>
            <w:tcW w:w="2410" w:type="dxa"/>
            <w:shd w:val="clear" w:color="auto" w:fill="auto"/>
            <w:vAlign w:val="center"/>
          </w:tcPr>
          <w:p w14:paraId="05789B10"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Bieži</w:t>
            </w:r>
          </w:p>
        </w:tc>
      </w:tr>
      <w:tr w:rsidR="009072CE" w:rsidRPr="00A07F29" w14:paraId="03BBB7D8" w14:textId="77777777" w:rsidTr="009056A3">
        <w:trPr>
          <w:trHeight w:val="264"/>
          <w:jc w:val="center"/>
        </w:trPr>
        <w:tc>
          <w:tcPr>
            <w:tcW w:w="644" w:type="dxa"/>
            <w:shd w:val="clear" w:color="auto" w:fill="auto"/>
            <w:noWrap/>
            <w:vAlign w:val="center"/>
          </w:tcPr>
          <w:p w14:paraId="2A33BBFE"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6.</w:t>
            </w:r>
          </w:p>
        </w:tc>
        <w:tc>
          <w:tcPr>
            <w:tcW w:w="2728" w:type="dxa"/>
            <w:shd w:val="clear" w:color="auto" w:fill="auto"/>
            <w:noWrap/>
            <w:vAlign w:val="center"/>
          </w:tcPr>
          <w:p w14:paraId="1DBFD5AB" w14:textId="77777777" w:rsidR="009072CE" w:rsidRPr="00A07F29" w:rsidRDefault="009072CE" w:rsidP="009072CE">
            <w:pPr>
              <w:spacing w:after="0" w:line="240" w:lineRule="auto"/>
              <w:rPr>
                <w:rFonts w:ascii="Times New Roman" w:eastAsia="Times New Roman" w:hAnsi="Times New Roman" w:cs="Times New Roman"/>
                <w:i/>
                <w:iCs/>
                <w:sz w:val="20"/>
                <w:szCs w:val="20"/>
                <w:lang w:eastAsia="lv-LV"/>
              </w:rPr>
            </w:pPr>
            <w:proofErr w:type="spellStart"/>
            <w:r w:rsidRPr="00A07F29">
              <w:rPr>
                <w:rFonts w:ascii="Times New Roman" w:eastAsia="Times New Roman" w:hAnsi="Times New Roman" w:cs="Times New Roman"/>
                <w:i/>
                <w:iCs/>
                <w:sz w:val="20"/>
                <w:szCs w:val="20"/>
                <w:lang w:eastAsia="lv-LV"/>
              </w:rPr>
              <w:t>Bithynia</w:t>
            </w:r>
            <w:proofErr w:type="spellEnd"/>
            <w:r w:rsidRPr="00A07F29">
              <w:rPr>
                <w:rFonts w:ascii="Times New Roman" w:eastAsia="Times New Roman" w:hAnsi="Times New Roman" w:cs="Times New Roman"/>
                <w:i/>
                <w:iCs/>
                <w:sz w:val="20"/>
                <w:szCs w:val="20"/>
                <w:lang w:eastAsia="lv-LV"/>
              </w:rPr>
              <w:t xml:space="preserve"> </w:t>
            </w:r>
            <w:proofErr w:type="spellStart"/>
            <w:r w:rsidRPr="00A07F29">
              <w:rPr>
                <w:rFonts w:ascii="Times New Roman" w:eastAsia="Times New Roman" w:hAnsi="Times New Roman" w:cs="Times New Roman"/>
                <w:i/>
                <w:iCs/>
                <w:sz w:val="20"/>
                <w:szCs w:val="20"/>
                <w:lang w:eastAsia="lv-LV"/>
              </w:rPr>
              <w:t>tentaculata</w:t>
            </w:r>
            <w:proofErr w:type="spellEnd"/>
          </w:p>
        </w:tc>
        <w:tc>
          <w:tcPr>
            <w:tcW w:w="2693" w:type="dxa"/>
            <w:shd w:val="clear" w:color="auto" w:fill="auto"/>
            <w:noWrap/>
            <w:vAlign w:val="center"/>
          </w:tcPr>
          <w:p w14:paraId="6374C527"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 xml:space="preserve">Parastā </w:t>
            </w:r>
            <w:proofErr w:type="spellStart"/>
            <w:r w:rsidRPr="00A07F29">
              <w:rPr>
                <w:rFonts w:ascii="Times New Roman" w:eastAsia="Times New Roman" w:hAnsi="Times New Roman" w:cs="Times New Roman"/>
                <w:sz w:val="20"/>
                <w:szCs w:val="20"/>
                <w:lang w:eastAsia="lv-LV"/>
              </w:rPr>
              <w:t>bitīnija</w:t>
            </w:r>
            <w:proofErr w:type="spellEnd"/>
          </w:p>
        </w:tc>
        <w:tc>
          <w:tcPr>
            <w:tcW w:w="2410" w:type="dxa"/>
            <w:shd w:val="clear" w:color="auto" w:fill="auto"/>
            <w:noWrap/>
            <w:vAlign w:val="center"/>
          </w:tcPr>
          <w:p w14:paraId="11BC66AD"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Ļoti bieži</w:t>
            </w:r>
          </w:p>
        </w:tc>
      </w:tr>
      <w:tr w:rsidR="009072CE" w:rsidRPr="00A07F29" w14:paraId="20467CF7" w14:textId="77777777" w:rsidTr="009056A3">
        <w:trPr>
          <w:trHeight w:val="264"/>
          <w:jc w:val="center"/>
        </w:trPr>
        <w:tc>
          <w:tcPr>
            <w:tcW w:w="644" w:type="dxa"/>
            <w:shd w:val="clear" w:color="auto" w:fill="auto"/>
            <w:noWrap/>
            <w:vAlign w:val="center"/>
          </w:tcPr>
          <w:p w14:paraId="53888766"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7.</w:t>
            </w:r>
          </w:p>
        </w:tc>
        <w:tc>
          <w:tcPr>
            <w:tcW w:w="2728" w:type="dxa"/>
            <w:shd w:val="clear" w:color="auto" w:fill="auto"/>
            <w:noWrap/>
            <w:vAlign w:val="center"/>
          </w:tcPr>
          <w:p w14:paraId="37BF3B28" w14:textId="77777777" w:rsidR="009072CE" w:rsidRPr="00A07F29" w:rsidRDefault="009072CE" w:rsidP="009072CE">
            <w:pPr>
              <w:spacing w:after="0" w:line="240" w:lineRule="auto"/>
              <w:rPr>
                <w:rFonts w:ascii="Times New Roman" w:eastAsia="Times New Roman" w:hAnsi="Times New Roman" w:cs="Times New Roman"/>
                <w:i/>
                <w:iCs/>
                <w:sz w:val="20"/>
                <w:szCs w:val="20"/>
                <w:lang w:eastAsia="lv-LV"/>
              </w:rPr>
            </w:pPr>
            <w:proofErr w:type="spellStart"/>
            <w:r w:rsidRPr="00A07F29">
              <w:rPr>
                <w:rFonts w:ascii="Times New Roman" w:eastAsia="Times New Roman" w:hAnsi="Times New Roman" w:cs="Times New Roman"/>
                <w:i/>
                <w:iCs/>
                <w:sz w:val="20"/>
                <w:szCs w:val="20"/>
                <w:lang w:eastAsia="lv-LV"/>
              </w:rPr>
              <w:t>Bithynia</w:t>
            </w:r>
            <w:proofErr w:type="spellEnd"/>
            <w:r w:rsidRPr="00A07F29">
              <w:rPr>
                <w:rFonts w:ascii="Times New Roman" w:eastAsia="Times New Roman" w:hAnsi="Times New Roman" w:cs="Times New Roman"/>
                <w:i/>
                <w:iCs/>
                <w:sz w:val="20"/>
                <w:szCs w:val="20"/>
                <w:lang w:eastAsia="lv-LV"/>
              </w:rPr>
              <w:t xml:space="preserve"> </w:t>
            </w:r>
            <w:proofErr w:type="spellStart"/>
            <w:r w:rsidRPr="00A07F29">
              <w:rPr>
                <w:rFonts w:ascii="Times New Roman" w:eastAsia="Times New Roman" w:hAnsi="Times New Roman" w:cs="Times New Roman"/>
                <w:i/>
                <w:iCs/>
                <w:sz w:val="20"/>
                <w:szCs w:val="20"/>
                <w:lang w:eastAsia="lv-LV"/>
              </w:rPr>
              <w:t>leachii</w:t>
            </w:r>
            <w:proofErr w:type="spellEnd"/>
          </w:p>
        </w:tc>
        <w:tc>
          <w:tcPr>
            <w:tcW w:w="2693" w:type="dxa"/>
            <w:shd w:val="clear" w:color="auto" w:fill="auto"/>
            <w:noWrap/>
            <w:vAlign w:val="center"/>
          </w:tcPr>
          <w:p w14:paraId="3E4D44F9"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 xml:space="preserve">Mazā </w:t>
            </w:r>
            <w:proofErr w:type="spellStart"/>
            <w:r w:rsidRPr="00A07F29">
              <w:rPr>
                <w:rFonts w:ascii="Times New Roman" w:eastAsia="Times New Roman" w:hAnsi="Times New Roman" w:cs="Times New Roman"/>
                <w:sz w:val="20"/>
                <w:szCs w:val="20"/>
                <w:lang w:eastAsia="lv-LV"/>
              </w:rPr>
              <w:t>bitīnija</w:t>
            </w:r>
            <w:proofErr w:type="spellEnd"/>
          </w:p>
        </w:tc>
        <w:tc>
          <w:tcPr>
            <w:tcW w:w="2410" w:type="dxa"/>
            <w:shd w:val="clear" w:color="auto" w:fill="auto"/>
            <w:noWrap/>
            <w:vAlign w:val="center"/>
          </w:tcPr>
          <w:p w14:paraId="355BDD53"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Samērā bieži</w:t>
            </w:r>
          </w:p>
        </w:tc>
      </w:tr>
      <w:tr w:rsidR="009072CE" w:rsidRPr="00A07F29" w14:paraId="53D7BBA9" w14:textId="77777777" w:rsidTr="009056A3">
        <w:trPr>
          <w:trHeight w:val="264"/>
          <w:jc w:val="center"/>
        </w:trPr>
        <w:tc>
          <w:tcPr>
            <w:tcW w:w="644" w:type="dxa"/>
            <w:shd w:val="clear" w:color="auto" w:fill="auto"/>
            <w:noWrap/>
            <w:vAlign w:val="center"/>
          </w:tcPr>
          <w:p w14:paraId="4B34D1F7"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8.</w:t>
            </w:r>
          </w:p>
        </w:tc>
        <w:tc>
          <w:tcPr>
            <w:tcW w:w="2728" w:type="dxa"/>
            <w:shd w:val="clear" w:color="auto" w:fill="auto"/>
            <w:noWrap/>
            <w:vAlign w:val="center"/>
          </w:tcPr>
          <w:p w14:paraId="4467E073" w14:textId="77777777" w:rsidR="009072CE" w:rsidRPr="00A07F29" w:rsidRDefault="009072CE" w:rsidP="009072CE">
            <w:pPr>
              <w:spacing w:after="0" w:line="240" w:lineRule="auto"/>
              <w:rPr>
                <w:rFonts w:ascii="Times New Roman" w:eastAsia="Times New Roman" w:hAnsi="Times New Roman" w:cs="Times New Roman"/>
                <w:i/>
                <w:iCs/>
                <w:sz w:val="20"/>
                <w:szCs w:val="20"/>
                <w:lang w:eastAsia="lv-LV"/>
              </w:rPr>
            </w:pPr>
            <w:proofErr w:type="spellStart"/>
            <w:r w:rsidRPr="00A07F29">
              <w:rPr>
                <w:rFonts w:ascii="Times New Roman" w:eastAsia="Times New Roman" w:hAnsi="Times New Roman" w:cs="Times New Roman"/>
                <w:i/>
                <w:iCs/>
                <w:sz w:val="20"/>
                <w:szCs w:val="20"/>
                <w:lang w:eastAsia="lv-LV"/>
              </w:rPr>
              <w:t>Galba</w:t>
            </w:r>
            <w:proofErr w:type="spellEnd"/>
            <w:r w:rsidRPr="00A07F29">
              <w:rPr>
                <w:rFonts w:ascii="Times New Roman" w:eastAsia="Times New Roman" w:hAnsi="Times New Roman" w:cs="Times New Roman"/>
                <w:i/>
                <w:iCs/>
                <w:sz w:val="20"/>
                <w:szCs w:val="20"/>
                <w:lang w:eastAsia="lv-LV"/>
              </w:rPr>
              <w:t xml:space="preserve"> </w:t>
            </w:r>
            <w:proofErr w:type="spellStart"/>
            <w:r w:rsidRPr="00A07F29">
              <w:rPr>
                <w:rFonts w:ascii="Times New Roman" w:eastAsia="Times New Roman" w:hAnsi="Times New Roman" w:cs="Times New Roman"/>
                <w:i/>
                <w:iCs/>
                <w:sz w:val="20"/>
                <w:szCs w:val="20"/>
                <w:lang w:eastAsia="lv-LV"/>
              </w:rPr>
              <w:t>truncatula</w:t>
            </w:r>
            <w:proofErr w:type="spellEnd"/>
          </w:p>
        </w:tc>
        <w:tc>
          <w:tcPr>
            <w:tcW w:w="2693" w:type="dxa"/>
            <w:shd w:val="clear" w:color="auto" w:fill="auto"/>
            <w:noWrap/>
            <w:vAlign w:val="center"/>
          </w:tcPr>
          <w:p w14:paraId="601A6EF2"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 xml:space="preserve">Mazais </w:t>
            </w:r>
            <w:proofErr w:type="spellStart"/>
            <w:r w:rsidRPr="00A07F29">
              <w:rPr>
                <w:rFonts w:ascii="Times New Roman" w:eastAsia="Times New Roman" w:hAnsi="Times New Roman" w:cs="Times New Roman"/>
                <w:sz w:val="20"/>
                <w:szCs w:val="20"/>
                <w:lang w:eastAsia="lv-LV"/>
              </w:rPr>
              <w:t>dīķgliemezis</w:t>
            </w:r>
            <w:proofErr w:type="spellEnd"/>
          </w:p>
        </w:tc>
        <w:tc>
          <w:tcPr>
            <w:tcW w:w="2410" w:type="dxa"/>
            <w:shd w:val="clear" w:color="auto" w:fill="auto"/>
            <w:noWrap/>
            <w:vAlign w:val="center"/>
          </w:tcPr>
          <w:p w14:paraId="711F2B94"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Bieži</w:t>
            </w:r>
          </w:p>
        </w:tc>
      </w:tr>
      <w:tr w:rsidR="009072CE" w:rsidRPr="00A07F29" w14:paraId="6AF47735" w14:textId="77777777" w:rsidTr="009056A3">
        <w:trPr>
          <w:trHeight w:val="264"/>
          <w:jc w:val="center"/>
        </w:trPr>
        <w:tc>
          <w:tcPr>
            <w:tcW w:w="644" w:type="dxa"/>
            <w:shd w:val="clear" w:color="auto" w:fill="auto"/>
            <w:noWrap/>
            <w:vAlign w:val="center"/>
          </w:tcPr>
          <w:p w14:paraId="164715A5"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9.</w:t>
            </w:r>
          </w:p>
        </w:tc>
        <w:tc>
          <w:tcPr>
            <w:tcW w:w="2728" w:type="dxa"/>
            <w:shd w:val="clear" w:color="auto" w:fill="auto"/>
            <w:noWrap/>
            <w:vAlign w:val="center"/>
          </w:tcPr>
          <w:p w14:paraId="401606DA" w14:textId="77777777" w:rsidR="009072CE" w:rsidRPr="00A07F29" w:rsidRDefault="009072CE" w:rsidP="009072CE">
            <w:pPr>
              <w:spacing w:after="0" w:line="240" w:lineRule="auto"/>
              <w:rPr>
                <w:rFonts w:ascii="Times New Roman" w:eastAsia="Times New Roman" w:hAnsi="Times New Roman" w:cs="Times New Roman"/>
                <w:i/>
                <w:iCs/>
                <w:sz w:val="20"/>
                <w:szCs w:val="20"/>
                <w:lang w:eastAsia="lv-LV"/>
              </w:rPr>
            </w:pPr>
            <w:proofErr w:type="spellStart"/>
            <w:r w:rsidRPr="00A07F29">
              <w:rPr>
                <w:rFonts w:ascii="Times New Roman" w:eastAsia="Times New Roman" w:hAnsi="Times New Roman" w:cs="Times New Roman"/>
                <w:i/>
                <w:iCs/>
                <w:sz w:val="20"/>
                <w:szCs w:val="20"/>
                <w:lang w:eastAsia="lv-LV"/>
              </w:rPr>
              <w:t>Gyraulus</w:t>
            </w:r>
            <w:proofErr w:type="spellEnd"/>
            <w:r w:rsidRPr="00A07F29">
              <w:rPr>
                <w:rFonts w:ascii="Times New Roman" w:eastAsia="Times New Roman" w:hAnsi="Times New Roman" w:cs="Times New Roman"/>
                <w:i/>
                <w:iCs/>
                <w:sz w:val="20"/>
                <w:szCs w:val="20"/>
                <w:lang w:eastAsia="lv-LV"/>
              </w:rPr>
              <w:t xml:space="preserve"> </w:t>
            </w:r>
            <w:proofErr w:type="spellStart"/>
            <w:r w:rsidRPr="00A07F29">
              <w:rPr>
                <w:rFonts w:ascii="Times New Roman" w:eastAsia="Times New Roman" w:hAnsi="Times New Roman" w:cs="Times New Roman"/>
                <w:i/>
                <w:iCs/>
                <w:sz w:val="20"/>
                <w:szCs w:val="20"/>
                <w:lang w:eastAsia="lv-LV"/>
              </w:rPr>
              <w:t>albus</w:t>
            </w:r>
            <w:proofErr w:type="spellEnd"/>
          </w:p>
        </w:tc>
        <w:tc>
          <w:tcPr>
            <w:tcW w:w="2693" w:type="dxa"/>
            <w:shd w:val="clear" w:color="auto" w:fill="auto"/>
            <w:noWrap/>
            <w:vAlign w:val="center"/>
          </w:tcPr>
          <w:p w14:paraId="28119D9B"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 xml:space="preserve">Baltā </w:t>
            </w:r>
            <w:proofErr w:type="spellStart"/>
            <w:r w:rsidRPr="00A07F29">
              <w:rPr>
                <w:rFonts w:ascii="Times New Roman" w:eastAsia="Times New Roman" w:hAnsi="Times New Roman" w:cs="Times New Roman"/>
                <w:sz w:val="20"/>
                <w:szCs w:val="20"/>
                <w:lang w:eastAsia="lv-LV"/>
              </w:rPr>
              <w:t>ūdensspolīte</w:t>
            </w:r>
            <w:proofErr w:type="spellEnd"/>
          </w:p>
        </w:tc>
        <w:tc>
          <w:tcPr>
            <w:tcW w:w="2410" w:type="dxa"/>
            <w:shd w:val="clear" w:color="auto" w:fill="auto"/>
            <w:noWrap/>
            <w:vAlign w:val="center"/>
          </w:tcPr>
          <w:p w14:paraId="46D816EE"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Samērā bieži</w:t>
            </w:r>
          </w:p>
        </w:tc>
      </w:tr>
      <w:tr w:rsidR="009072CE" w:rsidRPr="00A07F29" w14:paraId="3A39148B" w14:textId="77777777" w:rsidTr="009056A3">
        <w:trPr>
          <w:trHeight w:val="264"/>
          <w:jc w:val="center"/>
        </w:trPr>
        <w:tc>
          <w:tcPr>
            <w:tcW w:w="644" w:type="dxa"/>
            <w:shd w:val="clear" w:color="auto" w:fill="auto"/>
            <w:noWrap/>
            <w:vAlign w:val="center"/>
          </w:tcPr>
          <w:p w14:paraId="3F8E28C9"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10.</w:t>
            </w:r>
          </w:p>
        </w:tc>
        <w:tc>
          <w:tcPr>
            <w:tcW w:w="2728" w:type="dxa"/>
            <w:shd w:val="clear" w:color="auto" w:fill="auto"/>
            <w:noWrap/>
            <w:vAlign w:val="center"/>
          </w:tcPr>
          <w:p w14:paraId="4BBF7CAA" w14:textId="77777777" w:rsidR="009072CE" w:rsidRPr="00A07F29" w:rsidRDefault="009072CE" w:rsidP="009072CE">
            <w:pPr>
              <w:spacing w:after="0" w:line="240" w:lineRule="auto"/>
              <w:rPr>
                <w:rFonts w:ascii="Times New Roman" w:eastAsia="Times New Roman" w:hAnsi="Times New Roman" w:cs="Times New Roman"/>
                <w:i/>
                <w:iCs/>
                <w:sz w:val="20"/>
                <w:szCs w:val="20"/>
                <w:lang w:eastAsia="lv-LV"/>
              </w:rPr>
            </w:pPr>
            <w:proofErr w:type="spellStart"/>
            <w:r w:rsidRPr="00A07F29">
              <w:rPr>
                <w:rFonts w:ascii="Times New Roman" w:eastAsia="Times New Roman" w:hAnsi="Times New Roman" w:cs="Times New Roman"/>
                <w:i/>
                <w:iCs/>
                <w:sz w:val="20"/>
                <w:szCs w:val="20"/>
                <w:lang w:eastAsia="lv-LV"/>
              </w:rPr>
              <w:t>Gyraulus</w:t>
            </w:r>
            <w:proofErr w:type="spellEnd"/>
            <w:r w:rsidRPr="00A07F29">
              <w:rPr>
                <w:rFonts w:ascii="Times New Roman" w:eastAsia="Times New Roman" w:hAnsi="Times New Roman" w:cs="Times New Roman"/>
                <w:i/>
                <w:iCs/>
                <w:sz w:val="20"/>
                <w:szCs w:val="20"/>
                <w:lang w:eastAsia="lv-LV"/>
              </w:rPr>
              <w:t xml:space="preserve"> </w:t>
            </w:r>
            <w:proofErr w:type="spellStart"/>
            <w:r w:rsidRPr="00A07F29">
              <w:rPr>
                <w:rFonts w:ascii="Times New Roman" w:eastAsia="Times New Roman" w:hAnsi="Times New Roman" w:cs="Times New Roman"/>
                <w:i/>
                <w:iCs/>
                <w:sz w:val="20"/>
                <w:szCs w:val="20"/>
                <w:lang w:eastAsia="lv-LV"/>
              </w:rPr>
              <w:t>crista</w:t>
            </w:r>
            <w:proofErr w:type="spellEnd"/>
          </w:p>
        </w:tc>
        <w:tc>
          <w:tcPr>
            <w:tcW w:w="2693" w:type="dxa"/>
            <w:shd w:val="clear" w:color="auto" w:fill="auto"/>
            <w:noWrap/>
            <w:vAlign w:val="center"/>
          </w:tcPr>
          <w:p w14:paraId="0C1E50D7"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 xml:space="preserve">Ribainā </w:t>
            </w:r>
            <w:proofErr w:type="spellStart"/>
            <w:r w:rsidRPr="00A07F29">
              <w:rPr>
                <w:rFonts w:ascii="Times New Roman" w:eastAsia="Times New Roman" w:hAnsi="Times New Roman" w:cs="Times New Roman"/>
                <w:sz w:val="20"/>
                <w:szCs w:val="20"/>
                <w:lang w:eastAsia="lv-LV"/>
              </w:rPr>
              <w:t>ūdensspolīte</w:t>
            </w:r>
            <w:proofErr w:type="spellEnd"/>
          </w:p>
        </w:tc>
        <w:tc>
          <w:tcPr>
            <w:tcW w:w="2410" w:type="dxa"/>
            <w:shd w:val="clear" w:color="auto" w:fill="auto"/>
            <w:noWrap/>
            <w:vAlign w:val="center"/>
          </w:tcPr>
          <w:p w14:paraId="020FFBBC"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Reti</w:t>
            </w:r>
          </w:p>
        </w:tc>
      </w:tr>
      <w:tr w:rsidR="009072CE" w:rsidRPr="00A07F29" w14:paraId="36E2585B" w14:textId="77777777" w:rsidTr="009056A3">
        <w:trPr>
          <w:trHeight w:val="264"/>
          <w:jc w:val="center"/>
        </w:trPr>
        <w:tc>
          <w:tcPr>
            <w:tcW w:w="644" w:type="dxa"/>
            <w:shd w:val="clear" w:color="auto" w:fill="auto"/>
            <w:noWrap/>
            <w:vAlign w:val="center"/>
          </w:tcPr>
          <w:p w14:paraId="3AD5E9A5"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11.</w:t>
            </w:r>
          </w:p>
        </w:tc>
        <w:tc>
          <w:tcPr>
            <w:tcW w:w="2728" w:type="dxa"/>
            <w:shd w:val="clear" w:color="auto" w:fill="auto"/>
            <w:noWrap/>
            <w:vAlign w:val="center"/>
          </w:tcPr>
          <w:p w14:paraId="3B7144EB" w14:textId="77777777" w:rsidR="009072CE" w:rsidRPr="00A07F29" w:rsidRDefault="009072CE" w:rsidP="009072CE">
            <w:pPr>
              <w:spacing w:after="0" w:line="240" w:lineRule="auto"/>
              <w:rPr>
                <w:rFonts w:ascii="Times New Roman" w:eastAsia="Times New Roman" w:hAnsi="Times New Roman" w:cs="Times New Roman"/>
                <w:i/>
                <w:iCs/>
                <w:sz w:val="20"/>
                <w:szCs w:val="20"/>
                <w:lang w:eastAsia="lv-LV"/>
              </w:rPr>
            </w:pPr>
            <w:proofErr w:type="spellStart"/>
            <w:r w:rsidRPr="00A07F29">
              <w:rPr>
                <w:rFonts w:ascii="Times New Roman" w:eastAsia="Times New Roman" w:hAnsi="Times New Roman" w:cs="Times New Roman"/>
                <w:i/>
                <w:iCs/>
                <w:sz w:val="20"/>
                <w:szCs w:val="20"/>
                <w:lang w:eastAsia="lv-LV"/>
              </w:rPr>
              <w:t>Lithoglyphus</w:t>
            </w:r>
            <w:proofErr w:type="spellEnd"/>
            <w:r w:rsidRPr="00A07F29">
              <w:rPr>
                <w:rFonts w:ascii="Times New Roman" w:eastAsia="Times New Roman" w:hAnsi="Times New Roman" w:cs="Times New Roman"/>
                <w:i/>
                <w:iCs/>
                <w:sz w:val="20"/>
                <w:szCs w:val="20"/>
                <w:lang w:eastAsia="lv-LV"/>
              </w:rPr>
              <w:t xml:space="preserve"> </w:t>
            </w:r>
            <w:proofErr w:type="spellStart"/>
            <w:r w:rsidRPr="00A07F29">
              <w:rPr>
                <w:rFonts w:ascii="Times New Roman" w:eastAsia="Times New Roman" w:hAnsi="Times New Roman" w:cs="Times New Roman"/>
                <w:i/>
                <w:iCs/>
                <w:sz w:val="20"/>
                <w:szCs w:val="20"/>
                <w:lang w:eastAsia="lv-LV"/>
              </w:rPr>
              <w:t>naticoides</w:t>
            </w:r>
            <w:proofErr w:type="spellEnd"/>
          </w:p>
        </w:tc>
        <w:tc>
          <w:tcPr>
            <w:tcW w:w="2693" w:type="dxa"/>
            <w:shd w:val="clear" w:color="auto" w:fill="auto"/>
            <w:noWrap/>
            <w:vAlign w:val="center"/>
          </w:tcPr>
          <w:p w14:paraId="036DCD62"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 xml:space="preserve">Upes </w:t>
            </w:r>
            <w:proofErr w:type="spellStart"/>
            <w:r w:rsidRPr="00A07F29">
              <w:rPr>
                <w:rFonts w:ascii="Times New Roman" w:eastAsia="Times New Roman" w:hAnsi="Times New Roman" w:cs="Times New Roman"/>
                <w:sz w:val="20"/>
                <w:szCs w:val="20"/>
                <w:lang w:eastAsia="lv-LV"/>
              </w:rPr>
              <w:t>akmeņgliemezis</w:t>
            </w:r>
            <w:proofErr w:type="spellEnd"/>
          </w:p>
        </w:tc>
        <w:tc>
          <w:tcPr>
            <w:tcW w:w="2410" w:type="dxa"/>
            <w:shd w:val="clear" w:color="auto" w:fill="auto"/>
            <w:noWrap/>
            <w:vAlign w:val="center"/>
          </w:tcPr>
          <w:p w14:paraId="266CCC32"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Ne bieži</w:t>
            </w:r>
          </w:p>
        </w:tc>
      </w:tr>
      <w:tr w:rsidR="009072CE" w:rsidRPr="00A07F29" w14:paraId="3879A574" w14:textId="77777777" w:rsidTr="009056A3">
        <w:trPr>
          <w:trHeight w:val="264"/>
          <w:jc w:val="center"/>
        </w:trPr>
        <w:tc>
          <w:tcPr>
            <w:tcW w:w="644" w:type="dxa"/>
            <w:shd w:val="clear" w:color="auto" w:fill="auto"/>
            <w:noWrap/>
            <w:vAlign w:val="center"/>
          </w:tcPr>
          <w:p w14:paraId="24646BC2"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12.</w:t>
            </w:r>
          </w:p>
        </w:tc>
        <w:tc>
          <w:tcPr>
            <w:tcW w:w="2728" w:type="dxa"/>
            <w:shd w:val="clear" w:color="auto" w:fill="auto"/>
            <w:noWrap/>
            <w:vAlign w:val="center"/>
          </w:tcPr>
          <w:p w14:paraId="3B86BD01" w14:textId="77777777" w:rsidR="009072CE" w:rsidRPr="00A07F29" w:rsidRDefault="009072CE" w:rsidP="009072CE">
            <w:pPr>
              <w:spacing w:after="0" w:line="240" w:lineRule="auto"/>
              <w:rPr>
                <w:rFonts w:ascii="Times New Roman" w:eastAsia="Times New Roman" w:hAnsi="Times New Roman" w:cs="Times New Roman"/>
                <w:i/>
                <w:iCs/>
                <w:sz w:val="20"/>
                <w:szCs w:val="20"/>
                <w:lang w:eastAsia="lv-LV"/>
              </w:rPr>
            </w:pPr>
            <w:proofErr w:type="spellStart"/>
            <w:r w:rsidRPr="00A07F29">
              <w:rPr>
                <w:rFonts w:ascii="Times New Roman" w:eastAsia="Times New Roman" w:hAnsi="Times New Roman" w:cs="Times New Roman"/>
                <w:i/>
                <w:iCs/>
                <w:sz w:val="20"/>
                <w:szCs w:val="20"/>
                <w:lang w:eastAsia="lv-LV"/>
              </w:rPr>
              <w:t>Lymnaea</w:t>
            </w:r>
            <w:proofErr w:type="spellEnd"/>
            <w:r w:rsidRPr="00A07F29">
              <w:rPr>
                <w:rFonts w:ascii="Times New Roman" w:eastAsia="Times New Roman" w:hAnsi="Times New Roman" w:cs="Times New Roman"/>
                <w:i/>
                <w:iCs/>
                <w:sz w:val="20"/>
                <w:szCs w:val="20"/>
                <w:lang w:eastAsia="lv-LV"/>
              </w:rPr>
              <w:t xml:space="preserve"> </w:t>
            </w:r>
            <w:proofErr w:type="spellStart"/>
            <w:r w:rsidRPr="00A07F29">
              <w:rPr>
                <w:rFonts w:ascii="Times New Roman" w:eastAsia="Times New Roman" w:hAnsi="Times New Roman" w:cs="Times New Roman"/>
                <w:i/>
                <w:iCs/>
                <w:sz w:val="20"/>
                <w:szCs w:val="20"/>
                <w:lang w:eastAsia="lv-LV"/>
              </w:rPr>
              <w:t>stagnalis</w:t>
            </w:r>
            <w:proofErr w:type="spellEnd"/>
          </w:p>
        </w:tc>
        <w:tc>
          <w:tcPr>
            <w:tcW w:w="2693" w:type="dxa"/>
            <w:shd w:val="clear" w:color="auto" w:fill="auto"/>
            <w:noWrap/>
            <w:vAlign w:val="center"/>
          </w:tcPr>
          <w:p w14:paraId="3B0DACCD"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 xml:space="preserve">Lielais </w:t>
            </w:r>
            <w:proofErr w:type="spellStart"/>
            <w:r w:rsidRPr="00A07F29">
              <w:rPr>
                <w:rFonts w:ascii="Times New Roman" w:eastAsia="Times New Roman" w:hAnsi="Times New Roman" w:cs="Times New Roman"/>
                <w:sz w:val="20"/>
                <w:szCs w:val="20"/>
                <w:lang w:eastAsia="lv-LV"/>
              </w:rPr>
              <w:t>dīķgliemezis</w:t>
            </w:r>
            <w:proofErr w:type="spellEnd"/>
          </w:p>
        </w:tc>
        <w:tc>
          <w:tcPr>
            <w:tcW w:w="2410" w:type="dxa"/>
            <w:shd w:val="clear" w:color="auto" w:fill="auto"/>
            <w:noWrap/>
            <w:vAlign w:val="center"/>
          </w:tcPr>
          <w:p w14:paraId="16AAFB5C"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Ļoti bieži</w:t>
            </w:r>
          </w:p>
        </w:tc>
      </w:tr>
      <w:tr w:rsidR="009072CE" w:rsidRPr="00A07F29" w14:paraId="6A3686FA" w14:textId="77777777" w:rsidTr="009056A3">
        <w:trPr>
          <w:trHeight w:val="264"/>
          <w:jc w:val="center"/>
        </w:trPr>
        <w:tc>
          <w:tcPr>
            <w:tcW w:w="644" w:type="dxa"/>
            <w:shd w:val="clear" w:color="auto" w:fill="auto"/>
            <w:noWrap/>
            <w:vAlign w:val="center"/>
          </w:tcPr>
          <w:p w14:paraId="2DCD335A"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13.</w:t>
            </w:r>
          </w:p>
        </w:tc>
        <w:tc>
          <w:tcPr>
            <w:tcW w:w="2728" w:type="dxa"/>
            <w:shd w:val="clear" w:color="auto" w:fill="auto"/>
            <w:noWrap/>
            <w:vAlign w:val="center"/>
          </w:tcPr>
          <w:p w14:paraId="3437BFDD" w14:textId="77777777" w:rsidR="009072CE" w:rsidRPr="00A07F29" w:rsidRDefault="009072CE" w:rsidP="009072CE">
            <w:pPr>
              <w:spacing w:after="0" w:line="240" w:lineRule="auto"/>
              <w:rPr>
                <w:rFonts w:ascii="Times New Roman" w:eastAsia="Times New Roman" w:hAnsi="Times New Roman" w:cs="Times New Roman"/>
                <w:i/>
                <w:iCs/>
                <w:sz w:val="20"/>
                <w:szCs w:val="20"/>
                <w:lang w:eastAsia="lv-LV"/>
              </w:rPr>
            </w:pPr>
            <w:proofErr w:type="spellStart"/>
            <w:r w:rsidRPr="00A07F29">
              <w:rPr>
                <w:rFonts w:ascii="Times New Roman" w:eastAsia="Times New Roman" w:hAnsi="Times New Roman" w:cs="Times New Roman"/>
                <w:i/>
                <w:iCs/>
                <w:sz w:val="20"/>
                <w:szCs w:val="20"/>
                <w:lang w:eastAsia="lv-LV"/>
              </w:rPr>
              <w:t>Planorbarius</w:t>
            </w:r>
            <w:proofErr w:type="spellEnd"/>
            <w:r w:rsidRPr="00A07F29">
              <w:rPr>
                <w:rFonts w:ascii="Times New Roman" w:eastAsia="Times New Roman" w:hAnsi="Times New Roman" w:cs="Times New Roman"/>
                <w:i/>
                <w:iCs/>
                <w:sz w:val="20"/>
                <w:szCs w:val="20"/>
                <w:lang w:eastAsia="lv-LV"/>
              </w:rPr>
              <w:t xml:space="preserve"> </w:t>
            </w:r>
            <w:proofErr w:type="spellStart"/>
            <w:r w:rsidRPr="00A07F29">
              <w:rPr>
                <w:rFonts w:ascii="Times New Roman" w:eastAsia="Times New Roman" w:hAnsi="Times New Roman" w:cs="Times New Roman"/>
                <w:i/>
                <w:iCs/>
                <w:sz w:val="20"/>
                <w:szCs w:val="20"/>
                <w:lang w:eastAsia="lv-LV"/>
              </w:rPr>
              <w:t>corneus</w:t>
            </w:r>
            <w:proofErr w:type="spellEnd"/>
          </w:p>
        </w:tc>
        <w:tc>
          <w:tcPr>
            <w:tcW w:w="2693" w:type="dxa"/>
            <w:shd w:val="clear" w:color="auto" w:fill="auto"/>
            <w:noWrap/>
            <w:vAlign w:val="center"/>
          </w:tcPr>
          <w:p w14:paraId="59C855A7"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 xml:space="preserve">Lielā </w:t>
            </w:r>
            <w:proofErr w:type="spellStart"/>
            <w:r w:rsidRPr="00A07F29">
              <w:rPr>
                <w:rFonts w:ascii="Times New Roman" w:eastAsia="Times New Roman" w:hAnsi="Times New Roman" w:cs="Times New Roman"/>
                <w:sz w:val="20"/>
                <w:szCs w:val="20"/>
                <w:lang w:eastAsia="lv-LV"/>
              </w:rPr>
              <w:t>ūdensspolīte</w:t>
            </w:r>
            <w:proofErr w:type="spellEnd"/>
          </w:p>
        </w:tc>
        <w:tc>
          <w:tcPr>
            <w:tcW w:w="2410" w:type="dxa"/>
            <w:shd w:val="clear" w:color="auto" w:fill="auto"/>
            <w:noWrap/>
            <w:vAlign w:val="center"/>
          </w:tcPr>
          <w:p w14:paraId="758AD5BC"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Ļoti bieži</w:t>
            </w:r>
          </w:p>
        </w:tc>
      </w:tr>
      <w:tr w:rsidR="009072CE" w:rsidRPr="00A07F29" w14:paraId="540637A5" w14:textId="77777777" w:rsidTr="009056A3">
        <w:trPr>
          <w:trHeight w:val="264"/>
          <w:jc w:val="center"/>
        </w:trPr>
        <w:tc>
          <w:tcPr>
            <w:tcW w:w="644" w:type="dxa"/>
            <w:shd w:val="clear" w:color="auto" w:fill="auto"/>
            <w:noWrap/>
            <w:vAlign w:val="center"/>
          </w:tcPr>
          <w:p w14:paraId="48E5246C"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14.</w:t>
            </w:r>
          </w:p>
        </w:tc>
        <w:tc>
          <w:tcPr>
            <w:tcW w:w="2728" w:type="dxa"/>
            <w:shd w:val="clear" w:color="auto" w:fill="auto"/>
            <w:noWrap/>
            <w:vAlign w:val="center"/>
          </w:tcPr>
          <w:p w14:paraId="19B329E4" w14:textId="77777777" w:rsidR="009072CE" w:rsidRPr="00A07F29" w:rsidRDefault="009072CE" w:rsidP="009072CE">
            <w:pPr>
              <w:spacing w:after="0" w:line="240" w:lineRule="auto"/>
              <w:rPr>
                <w:rFonts w:ascii="Times New Roman" w:eastAsia="Times New Roman" w:hAnsi="Times New Roman" w:cs="Times New Roman"/>
                <w:i/>
                <w:iCs/>
                <w:sz w:val="20"/>
                <w:szCs w:val="20"/>
                <w:lang w:eastAsia="lv-LV"/>
              </w:rPr>
            </w:pPr>
            <w:proofErr w:type="spellStart"/>
            <w:r w:rsidRPr="00A07F29">
              <w:rPr>
                <w:rFonts w:ascii="Times New Roman" w:eastAsia="Times New Roman" w:hAnsi="Times New Roman" w:cs="Times New Roman"/>
                <w:i/>
                <w:iCs/>
                <w:sz w:val="20"/>
                <w:szCs w:val="20"/>
                <w:lang w:eastAsia="lv-LV"/>
              </w:rPr>
              <w:t>Planorbis</w:t>
            </w:r>
            <w:proofErr w:type="spellEnd"/>
            <w:r w:rsidRPr="00A07F29">
              <w:rPr>
                <w:rFonts w:ascii="Times New Roman" w:eastAsia="Times New Roman" w:hAnsi="Times New Roman" w:cs="Times New Roman"/>
                <w:i/>
                <w:iCs/>
                <w:sz w:val="20"/>
                <w:szCs w:val="20"/>
                <w:lang w:eastAsia="lv-LV"/>
              </w:rPr>
              <w:t xml:space="preserve"> </w:t>
            </w:r>
            <w:proofErr w:type="spellStart"/>
            <w:r w:rsidRPr="00A07F29">
              <w:rPr>
                <w:rFonts w:ascii="Times New Roman" w:eastAsia="Times New Roman" w:hAnsi="Times New Roman" w:cs="Times New Roman"/>
                <w:i/>
                <w:iCs/>
                <w:sz w:val="20"/>
                <w:szCs w:val="20"/>
                <w:lang w:eastAsia="lv-LV"/>
              </w:rPr>
              <w:t>planorbis</w:t>
            </w:r>
            <w:proofErr w:type="spellEnd"/>
          </w:p>
        </w:tc>
        <w:tc>
          <w:tcPr>
            <w:tcW w:w="2693" w:type="dxa"/>
            <w:shd w:val="clear" w:color="auto" w:fill="auto"/>
            <w:noWrap/>
            <w:vAlign w:val="center"/>
          </w:tcPr>
          <w:p w14:paraId="095ABD77"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proofErr w:type="spellStart"/>
            <w:r w:rsidRPr="00A07F29">
              <w:rPr>
                <w:rFonts w:ascii="Times New Roman" w:eastAsia="Times New Roman" w:hAnsi="Times New Roman" w:cs="Times New Roman"/>
                <w:sz w:val="20"/>
                <w:szCs w:val="20"/>
                <w:lang w:eastAsia="lv-LV"/>
              </w:rPr>
              <w:t>Dūkstāja</w:t>
            </w:r>
            <w:proofErr w:type="spellEnd"/>
            <w:r w:rsidRPr="00A07F29">
              <w:rPr>
                <w:rFonts w:ascii="Times New Roman" w:eastAsia="Times New Roman" w:hAnsi="Times New Roman" w:cs="Times New Roman"/>
                <w:sz w:val="20"/>
                <w:szCs w:val="20"/>
                <w:lang w:eastAsia="lv-LV"/>
              </w:rPr>
              <w:t xml:space="preserve"> </w:t>
            </w:r>
            <w:proofErr w:type="spellStart"/>
            <w:r w:rsidRPr="00A07F29">
              <w:rPr>
                <w:rFonts w:ascii="Times New Roman" w:eastAsia="Times New Roman" w:hAnsi="Times New Roman" w:cs="Times New Roman"/>
                <w:sz w:val="20"/>
                <w:szCs w:val="20"/>
                <w:lang w:eastAsia="lv-LV"/>
              </w:rPr>
              <w:t>ūdensspolīte</w:t>
            </w:r>
            <w:proofErr w:type="spellEnd"/>
          </w:p>
        </w:tc>
        <w:tc>
          <w:tcPr>
            <w:tcW w:w="2410" w:type="dxa"/>
            <w:shd w:val="clear" w:color="auto" w:fill="auto"/>
            <w:noWrap/>
            <w:vAlign w:val="center"/>
          </w:tcPr>
          <w:p w14:paraId="79232318"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Ļoti bieži</w:t>
            </w:r>
          </w:p>
        </w:tc>
      </w:tr>
      <w:tr w:rsidR="009072CE" w:rsidRPr="00A07F29" w14:paraId="6D816C2B" w14:textId="77777777" w:rsidTr="009056A3">
        <w:trPr>
          <w:trHeight w:val="264"/>
          <w:jc w:val="center"/>
        </w:trPr>
        <w:tc>
          <w:tcPr>
            <w:tcW w:w="644" w:type="dxa"/>
            <w:shd w:val="clear" w:color="auto" w:fill="auto"/>
            <w:noWrap/>
            <w:vAlign w:val="center"/>
          </w:tcPr>
          <w:p w14:paraId="0D918C63"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15.</w:t>
            </w:r>
          </w:p>
        </w:tc>
        <w:tc>
          <w:tcPr>
            <w:tcW w:w="2728" w:type="dxa"/>
            <w:shd w:val="clear" w:color="auto" w:fill="auto"/>
            <w:noWrap/>
            <w:vAlign w:val="center"/>
          </w:tcPr>
          <w:p w14:paraId="23C36478" w14:textId="77777777" w:rsidR="009072CE" w:rsidRPr="00A07F29" w:rsidRDefault="009072CE" w:rsidP="009072CE">
            <w:pPr>
              <w:spacing w:after="0" w:line="240" w:lineRule="auto"/>
              <w:rPr>
                <w:rFonts w:ascii="Times New Roman" w:eastAsia="Times New Roman" w:hAnsi="Times New Roman" w:cs="Times New Roman"/>
                <w:i/>
                <w:iCs/>
                <w:sz w:val="20"/>
                <w:szCs w:val="20"/>
                <w:lang w:eastAsia="lv-LV"/>
              </w:rPr>
            </w:pPr>
            <w:proofErr w:type="spellStart"/>
            <w:r w:rsidRPr="00A07F29">
              <w:rPr>
                <w:rFonts w:ascii="Times New Roman" w:eastAsia="Times New Roman" w:hAnsi="Times New Roman" w:cs="Times New Roman"/>
                <w:i/>
                <w:iCs/>
                <w:sz w:val="20"/>
                <w:szCs w:val="20"/>
                <w:lang w:eastAsia="lv-LV"/>
              </w:rPr>
              <w:t>Radix</w:t>
            </w:r>
            <w:proofErr w:type="spellEnd"/>
            <w:r w:rsidRPr="00A07F29">
              <w:rPr>
                <w:rFonts w:ascii="Times New Roman" w:eastAsia="Times New Roman" w:hAnsi="Times New Roman" w:cs="Times New Roman"/>
                <w:i/>
                <w:iCs/>
                <w:sz w:val="20"/>
                <w:szCs w:val="20"/>
                <w:lang w:eastAsia="lv-LV"/>
              </w:rPr>
              <w:t xml:space="preserve"> </w:t>
            </w:r>
            <w:proofErr w:type="spellStart"/>
            <w:r w:rsidRPr="00A07F29">
              <w:rPr>
                <w:rFonts w:ascii="Times New Roman" w:eastAsia="Times New Roman" w:hAnsi="Times New Roman" w:cs="Times New Roman"/>
                <w:i/>
                <w:iCs/>
                <w:sz w:val="20"/>
                <w:szCs w:val="20"/>
                <w:lang w:eastAsia="lv-LV"/>
              </w:rPr>
              <w:t>ampla</w:t>
            </w:r>
            <w:proofErr w:type="spellEnd"/>
          </w:p>
        </w:tc>
        <w:tc>
          <w:tcPr>
            <w:tcW w:w="2693" w:type="dxa"/>
            <w:shd w:val="clear" w:color="auto" w:fill="auto"/>
            <w:noWrap/>
            <w:vAlign w:val="center"/>
          </w:tcPr>
          <w:p w14:paraId="19F21368"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proofErr w:type="spellStart"/>
            <w:r w:rsidRPr="00A07F29">
              <w:rPr>
                <w:rFonts w:ascii="Times New Roman" w:eastAsia="Times New Roman" w:hAnsi="Times New Roman" w:cs="Times New Roman"/>
                <w:sz w:val="20"/>
                <w:szCs w:val="20"/>
                <w:lang w:eastAsia="lv-LV"/>
              </w:rPr>
              <w:t>Dīķgliemezis</w:t>
            </w:r>
            <w:proofErr w:type="spellEnd"/>
          </w:p>
        </w:tc>
        <w:tc>
          <w:tcPr>
            <w:tcW w:w="2410" w:type="dxa"/>
            <w:shd w:val="clear" w:color="auto" w:fill="auto"/>
            <w:noWrap/>
            <w:vAlign w:val="center"/>
          </w:tcPr>
          <w:p w14:paraId="76DF3F04"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Sastopama bieži</w:t>
            </w:r>
          </w:p>
        </w:tc>
      </w:tr>
      <w:tr w:rsidR="009072CE" w:rsidRPr="00A07F29" w14:paraId="0A092470" w14:textId="77777777" w:rsidTr="009056A3">
        <w:trPr>
          <w:trHeight w:val="264"/>
          <w:jc w:val="center"/>
        </w:trPr>
        <w:tc>
          <w:tcPr>
            <w:tcW w:w="644" w:type="dxa"/>
            <w:shd w:val="clear" w:color="auto" w:fill="auto"/>
            <w:noWrap/>
            <w:vAlign w:val="center"/>
          </w:tcPr>
          <w:p w14:paraId="191FA73B"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16.</w:t>
            </w:r>
          </w:p>
        </w:tc>
        <w:tc>
          <w:tcPr>
            <w:tcW w:w="2728" w:type="dxa"/>
            <w:shd w:val="clear" w:color="auto" w:fill="auto"/>
            <w:noWrap/>
            <w:vAlign w:val="center"/>
          </w:tcPr>
          <w:p w14:paraId="6E5F54C7" w14:textId="77777777" w:rsidR="009072CE" w:rsidRPr="00A07F29" w:rsidRDefault="009072CE" w:rsidP="009072CE">
            <w:pPr>
              <w:spacing w:after="0" w:line="240" w:lineRule="auto"/>
              <w:rPr>
                <w:rFonts w:ascii="Times New Roman" w:eastAsia="Times New Roman" w:hAnsi="Times New Roman" w:cs="Times New Roman"/>
                <w:i/>
                <w:iCs/>
                <w:sz w:val="20"/>
                <w:szCs w:val="20"/>
                <w:lang w:eastAsia="lv-LV"/>
              </w:rPr>
            </w:pPr>
            <w:proofErr w:type="spellStart"/>
            <w:r w:rsidRPr="00A07F29">
              <w:rPr>
                <w:rFonts w:ascii="Times New Roman" w:eastAsia="Times New Roman" w:hAnsi="Times New Roman" w:cs="Times New Roman"/>
                <w:i/>
                <w:iCs/>
                <w:sz w:val="20"/>
                <w:szCs w:val="20"/>
                <w:lang w:eastAsia="lv-LV"/>
              </w:rPr>
              <w:t>Radix</w:t>
            </w:r>
            <w:proofErr w:type="spellEnd"/>
            <w:r w:rsidRPr="00A07F29">
              <w:rPr>
                <w:rFonts w:ascii="Times New Roman" w:eastAsia="Times New Roman" w:hAnsi="Times New Roman" w:cs="Times New Roman"/>
                <w:i/>
                <w:iCs/>
                <w:sz w:val="20"/>
                <w:szCs w:val="20"/>
                <w:lang w:eastAsia="lv-LV"/>
              </w:rPr>
              <w:t xml:space="preserve"> </w:t>
            </w:r>
            <w:proofErr w:type="spellStart"/>
            <w:r w:rsidRPr="00A07F29">
              <w:rPr>
                <w:rFonts w:ascii="Times New Roman" w:eastAsia="Times New Roman" w:hAnsi="Times New Roman" w:cs="Times New Roman"/>
                <w:i/>
                <w:iCs/>
                <w:sz w:val="20"/>
                <w:szCs w:val="20"/>
                <w:lang w:eastAsia="lv-LV"/>
              </w:rPr>
              <w:t>labiata</w:t>
            </w:r>
            <w:proofErr w:type="spellEnd"/>
          </w:p>
        </w:tc>
        <w:tc>
          <w:tcPr>
            <w:tcW w:w="2693" w:type="dxa"/>
            <w:shd w:val="clear" w:color="auto" w:fill="auto"/>
            <w:noWrap/>
            <w:vAlign w:val="center"/>
          </w:tcPr>
          <w:p w14:paraId="5A444808"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 xml:space="preserve">Iegarenais </w:t>
            </w:r>
            <w:proofErr w:type="spellStart"/>
            <w:r w:rsidRPr="00A07F29">
              <w:rPr>
                <w:rFonts w:ascii="Times New Roman" w:eastAsia="Times New Roman" w:hAnsi="Times New Roman" w:cs="Times New Roman"/>
                <w:sz w:val="20"/>
                <w:szCs w:val="20"/>
                <w:lang w:eastAsia="lv-LV"/>
              </w:rPr>
              <w:t>dīķgliemezis</w:t>
            </w:r>
            <w:proofErr w:type="spellEnd"/>
          </w:p>
        </w:tc>
        <w:tc>
          <w:tcPr>
            <w:tcW w:w="2410" w:type="dxa"/>
            <w:shd w:val="clear" w:color="auto" w:fill="auto"/>
            <w:noWrap/>
            <w:vAlign w:val="center"/>
          </w:tcPr>
          <w:p w14:paraId="088C50EC"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Izplatība skaidrojama</w:t>
            </w:r>
          </w:p>
        </w:tc>
      </w:tr>
      <w:tr w:rsidR="009072CE" w:rsidRPr="00A07F29" w14:paraId="4E1498F9" w14:textId="77777777" w:rsidTr="009056A3">
        <w:trPr>
          <w:trHeight w:val="264"/>
          <w:jc w:val="center"/>
        </w:trPr>
        <w:tc>
          <w:tcPr>
            <w:tcW w:w="644" w:type="dxa"/>
            <w:shd w:val="clear" w:color="auto" w:fill="auto"/>
            <w:noWrap/>
            <w:vAlign w:val="center"/>
          </w:tcPr>
          <w:p w14:paraId="1BC780BB"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17.</w:t>
            </w:r>
          </w:p>
        </w:tc>
        <w:tc>
          <w:tcPr>
            <w:tcW w:w="2728" w:type="dxa"/>
            <w:shd w:val="clear" w:color="auto" w:fill="auto"/>
            <w:noWrap/>
            <w:vAlign w:val="center"/>
          </w:tcPr>
          <w:p w14:paraId="4FA24792" w14:textId="77777777" w:rsidR="009072CE" w:rsidRPr="00A07F29" w:rsidRDefault="009072CE" w:rsidP="009072CE">
            <w:pPr>
              <w:spacing w:after="0" w:line="240" w:lineRule="auto"/>
              <w:rPr>
                <w:rFonts w:ascii="Times New Roman" w:eastAsia="Times New Roman" w:hAnsi="Times New Roman" w:cs="Times New Roman"/>
                <w:i/>
                <w:iCs/>
                <w:sz w:val="20"/>
                <w:szCs w:val="20"/>
                <w:lang w:eastAsia="lv-LV"/>
              </w:rPr>
            </w:pPr>
            <w:proofErr w:type="spellStart"/>
            <w:r w:rsidRPr="00A07F29">
              <w:rPr>
                <w:rFonts w:ascii="Times New Roman" w:eastAsia="Times New Roman" w:hAnsi="Times New Roman" w:cs="Times New Roman"/>
                <w:i/>
                <w:iCs/>
                <w:sz w:val="20"/>
                <w:szCs w:val="20"/>
                <w:lang w:eastAsia="lv-LV"/>
              </w:rPr>
              <w:t>Segmentina</w:t>
            </w:r>
            <w:proofErr w:type="spellEnd"/>
            <w:r w:rsidRPr="00A07F29">
              <w:rPr>
                <w:rFonts w:ascii="Times New Roman" w:eastAsia="Times New Roman" w:hAnsi="Times New Roman" w:cs="Times New Roman"/>
                <w:i/>
                <w:iCs/>
                <w:sz w:val="20"/>
                <w:szCs w:val="20"/>
                <w:lang w:eastAsia="lv-LV"/>
              </w:rPr>
              <w:t xml:space="preserve"> </w:t>
            </w:r>
            <w:proofErr w:type="spellStart"/>
            <w:r w:rsidRPr="00A07F29">
              <w:rPr>
                <w:rFonts w:ascii="Times New Roman" w:eastAsia="Times New Roman" w:hAnsi="Times New Roman" w:cs="Times New Roman"/>
                <w:i/>
                <w:iCs/>
                <w:sz w:val="20"/>
                <w:szCs w:val="20"/>
                <w:lang w:eastAsia="lv-LV"/>
              </w:rPr>
              <w:t>nitida</w:t>
            </w:r>
            <w:proofErr w:type="spellEnd"/>
          </w:p>
        </w:tc>
        <w:tc>
          <w:tcPr>
            <w:tcW w:w="2693" w:type="dxa"/>
            <w:shd w:val="clear" w:color="auto" w:fill="auto"/>
            <w:noWrap/>
            <w:vAlign w:val="center"/>
          </w:tcPr>
          <w:p w14:paraId="1FA08A60"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 xml:space="preserve">Mirdzošā </w:t>
            </w:r>
            <w:proofErr w:type="spellStart"/>
            <w:r w:rsidRPr="00A07F29">
              <w:rPr>
                <w:rFonts w:ascii="Times New Roman" w:eastAsia="Times New Roman" w:hAnsi="Times New Roman" w:cs="Times New Roman"/>
                <w:sz w:val="20"/>
                <w:szCs w:val="20"/>
                <w:lang w:eastAsia="lv-LV"/>
              </w:rPr>
              <w:t>ūdensspolīte</w:t>
            </w:r>
            <w:proofErr w:type="spellEnd"/>
          </w:p>
        </w:tc>
        <w:tc>
          <w:tcPr>
            <w:tcW w:w="2410" w:type="dxa"/>
            <w:shd w:val="clear" w:color="auto" w:fill="auto"/>
            <w:noWrap/>
            <w:vAlign w:val="center"/>
          </w:tcPr>
          <w:p w14:paraId="6CE952A6"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Ne bieži</w:t>
            </w:r>
          </w:p>
        </w:tc>
      </w:tr>
      <w:tr w:rsidR="009072CE" w:rsidRPr="00A07F29" w14:paraId="1338F69F" w14:textId="77777777" w:rsidTr="009056A3">
        <w:trPr>
          <w:trHeight w:val="264"/>
          <w:jc w:val="center"/>
        </w:trPr>
        <w:tc>
          <w:tcPr>
            <w:tcW w:w="644" w:type="dxa"/>
            <w:shd w:val="clear" w:color="auto" w:fill="auto"/>
            <w:noWrap/>
            <w:vAlign w:val="center"/>
          </w:tcPr>
          <w:p w14:paraId="073D6D3D"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18.</w:t>
            </w:r>
          </w:p>
        </w:tc>
        <w:tc>
          <w:tcPr>
            <w:tcW w:w="2728" w:type="dxa"/>
            <w:shd w:val="clear" w:color="auto" w:fill="auto"/>
            <w:noWrap/>
            <w:vAlign w:val="center"/>
          </w:tcPr>
          <w:p w14:paraId="5A947C66" w14:textId="77777777" w:rsidR="009072CE" w:rsidRPr="00A07F29" w:rsidRDefault="009072CE" w:rsidP="009072CE">
            <w:pPr>
              <w:spacing w:after="0" w:line="240" w:lineRule="auto"/>
              <w:rPr>
                <w:rFonts w:ascii="Times New Roman" w:eastAsia="Times New Roman" w:hAnsi="Times New Roman" w:cs="Times New Roman"/>
                <w:i/>
                <w:iCs/>
                <w:sz w:val="20"/>
                <w:szCs w:val="20"/>
                <w:lang w:eastAsia="lv-LV"/>
              </w:rPr>
            </w:pPr>
            <w:proofErr w:type="spellStart"/>
            <w:r w:rsidRPr="00A07F29">
              <w:rPr>
                <w:rFonts w:ascii="Times New Roman" w:eastAsia="Times New Roman" w:hAnsi="Times New Roman" w:cs="Times New Roman"/>
                <w:i/>
                <w:iCs/>
                <w:sz w:val="20"/>
                <w:szCs w:val="20"/>
                <w:lang w:eastAsia="lv-LV"/>
              </w:rPr>
              <w:t>Stagnicola</w:t>
            </w:r>
            <w:proofErr w:type="spellEnd"/>
            <w:r w:rsidRPr="00A07F29">
              <w:rPr>
                <w:rFonts w:ascii="Times New Roman" w:eastAsia="Times New Roman" w:hAnsi="Times New Roman" w:cs="Times New Roman"/>
                <w:i/>
                <w:iCs/>
                <w:sz w:val="20"/>
                <w:szCs w:val="20"/>
                <w:lang w:eastAsia="lv-LV"/>
              </w:rPr>
              <w:t xml:space="preserve"> </w:t>
            </w:r>
            <w:proofErr w:type="spellStart"/>
            <w:r w:rsidRPr="00A07F29">
              <w:rPr>
                <w:rFonts w:ascii="Times New Roman" w:eastAsia="Times New Roman" w:hAnsi="Times New Roman" w:cs="Times New Roman"/>
                <w:i/>
                <w:iCs/>
                <w:sz w:val="20"/>
                <w:szCs w:val="20"/>
                <w:lang w:eastAsia="lv-LV"/>
              </w:rPr>
              <w:t>fuscus</w:t>
            </w:r>
            <w:proofErr w:type="spellEnd"/>
          </w:p>
        </w:tc>
        <w:tc>
          <w:tcPr>
            <w:tcW w:w="2693" w:type="dxa"/>
            <w:shd w:val="clear" w:color="auto" w:fill="auto"/>
            <w:noWrap/>
            <w:vAlign w:val="center"/>
          </w:tcPr>
          <w:p w14:paraId="0D753A96"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proofErr w:type="spellStart"/>
            <w:r w:rsidRPr="00A07F29">
              <w:rPr>
                <w:rFonts w:ascii="Times New Roman" w:eastAsia="Times New Roman" w:hAnsi="Times New Roman" w:cs="Times New Roman"/>
                <w:sz w:val="20"/>
                <w:szCs w:val="20"/>
                <w:lang w:eastAsia="lv-LV"/>
              </w:rPr>
              <w:t>Peļķene</w:t>
            </w:r>
            <w:proofErr w:type="spellEnd"/>
            <w:r w:rsidRPr="00A07F29">
              <w:rPr>
                <w:rFonts w:ascii="Times New Roman" w:eastAsia="Times New Roman" w:hAnsi="Times New Roman" w:cs="Times New Roman"/>
                <w:sz w:val="20"/>
                <w:szCs w:val="20"/>
                <w:lang w:eastAsia="lv-LV"/>
              </w:rPr>
              <w:t xml:space="preserve"> </w:t>
            </w:r>
          </w:p>
        </w:tc>
        <w:tc>
          <w:tcPr>
            <w:tcW w:w="2410" w:type="dxa"/>
            <w:shd w:val="clear" w:color="auto" w:fill="auto"/>
            <w:noWrap/>
            <w:vAlign w:val="center"/>
          </w:tcPr>
          <w:p w14:paraId="655544B0"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Izplatība skaidrojama</w:t>
            </w:r>
          </w:p>
        </w:tc>
      </w:tr>
      <w:tr w:rsidR="009072CE" w:rsidRPr="00A07F29" w14:paraId="7B131131" w14:textId="77777777" w:rsidTr="009056A3">
        <w:trPr>
          <w:trHeight w:val="264"/>
          <w:jc w:val="center"/>
        </w:trPr>
        <w:tc>
          <w:tcPr>
            <w:tcW w:w="644" w:type="dxa"/>
            <w:shd w:val="clear" w:color="auto" w:fill="auto"/>
            <w:noWrap/>
            <w:vAlign w:val="center"/>
          </w:tcPr>
          <w:p w14:paraId="0B59EDB5"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19.</w:t>
            </w:r>
          </w:p>
        </w:tc>
        <w:tc>
          <w:tcPr>
            <w:tcW w:w="2728" w:type="dxa"/>
            <w:shd w:val="clear" w:color="auto" w:fill="auto"/>
            <w:noWrap/>
            <w:vAlign w:val="center"/>
          </w:tcPr>
          <w:p w14:paraId="1400F839" w14:textId="77777777" w:rsidR="009072CE" w:rsidRPr="00A07F29" w:rsidRDefault="009072CE" w:rsidP="009072CE">
            <w:pPr>
              <w:spacing w:after="0" w:line="240" w:lineRule="auto"/>
              <w:rPr>
                <w:rFonts w:ascii="Times New Roman" w:eastAsia="Times New Roman" w:hAnsi="Times New Roman" w:cs="Times New Roman"/>
                <w:i/>
                <w:iCs/>
                <w:sz w:val="20"/>
                <w:szCs w:val="20"/>
                <w:lang w:eastAsia="lv-LV"/>
              </w:rPr>
            </w:pPr>
            <w:proofErr w:type="spellStart"/>
            <w:r w:rsidRPr="00A07F29">
              <w:rPr>
                <w:rFonts w:ascii="Times New Roman" w:eastAsia="Times New Roman" w:hAnsi="Times New Roman" w:cs="Times New Roman"/>
                <w:i/>
                <w:iCs/>
                <w:sz w:val="20"/>
                <w:szCs w:val="20"/>
                <w:lang w:eastAsia="lv-LV"/>
              </w:rPr>
              <w:t>Theodoxus</w:t>
            </w:r>
            <w:proofErr w:type="spellEnd"/>
            <w:r w:rsidRPr="00A07F29">
              <w:rPr>
                <w:rFonts w:ascii="Times New Roman" w:eastAsia="Times New Roman" w:hAnsi="Times New Roman" w:cs="Times New Roman"/>
                <w:i/>
                <w:iCs/>
                <w:sz w:val="20"/>
                <w:szCs w:val="20"/>
                <w:lang w:eastAsia="lv-LV"/>
              </w:rPr>
              <w:t xml:space="preserve"> </w:t>
            </w:r>
            <w:proofErr w:type="spellStart"/>
            <w:r w:rsidRPr="00A07F29">
              <w:rPr>
                <w:rFonts w:ascii="Times New Roman" w:eastAsia="Times New Roman" w:hAnsi="Times New Roman" w:cs="Times New Roman"/>
                <w:i/>
                <w:iCs/>
                <w:sz w:val="20"/>
                <w:szCs w:val="20"/>
                <w:lang w:eastAsia="lv-LV"/>
              </w:rPr>
              <w:t>fluviatilis</w:t>
            </w:r>
            <w:proofErr w:type="spellEnd"/>
          </w:p>
        </w:tc>
        <w:tc>
          <w:tcPr>
            <w:tcW w:w="2693" w:type="dxa"/>
            <w:shd w:val="clear" w:color="auto" w:fill="auto"/>
            <w:noWrap/>
            <w:vAlign w:val="center"/>
          </w:tcPr>
          <w:p w14:paraId="043F506B"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 xml:space="preserve">Upes </w:t>
            </w:r>
            <w:proofErr w:type="spellStart"/>
            <w:r w:rsidRPr="00A07F29">
              <w:rPr>
                <w:rFonts w:ascii="Times New Roman" w:eastAsia="Times New Roman" w:hAnsi="Times New Roman" w:cs="Times New Roman"/>
                <w:sz w:val="20"/>
                <w:szCs w:val="20"/>
                <w:lang w:eastAsia="lv-LV"/>
              </w:rPr>
              <w:t>raibgliemezis</w:t>
            </w:r>
            <w:proofErr w:type="spellEnd"/>
          </w:p>
        </w:tc>
        <w:tc>
          <w:tcPr>
            <w:tcW w:w="2410" w:type="dxa"/>
            <w:shd w:val="clear" w:color="auto" w:fill="auto"/>
            <w:noWrap/>
            <w:vAlign w:val="center"/>
          </w:tcPr>
          <w:p w14:paraId="0BFCC4B5"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Ne bieži</w:t>
            </w:r>
          </w:p>
        </w:tc>
      </w:tr>
      <w:tr w:rsidR="009072CE" w:rsidRPr="00A07F29" w14:paraId="4CD00D62" w14:textId="77777777" w:rsidTr="009056A3">
        <w:trPr>
          <w:trHeight w:val="264"/>
          <w:jc w:val="center"/>
        </w:trPr>
        <w:tc>
          <w:tcPr>
            <w:tcW w:w="644" w:type="dxa"/>
            <w:shd w:val="clear" w:color="auto" w:fill="auto"/>
            <w:noWrap/>
            <w:vAlign w:val="center"/>
          </w:tcPr>
          <w:p w14:paraId="258782E8"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20.</w:t>
            </w:r>
          </w:p>
        </w:tc>
        <w:tc>
          <w:tcPr>
            <w:tcW w:w="2728" w:type="dxa"/>
            <w:shd w:val="clear" w:color="auto" w:fill="auto"/>
            <w:noWrap/>
            <w:vAlign w:val="center"/>
          </w:tcPr>
          <w:p w14:paraId="5AB5CCBB" w14:textId="77777777" w:rsidR="009072CE" w:rsidRPr="00A07F29" w:rsidRDefault="009072CE" w:rsidP="009072CE">
            <w:pPr>
              <w:spacing w:after="0" w:line="240" w:lineRule="auto"/>
              <w:rPr>
                <w:rFonts w:ascii="Times New Roman" w:eastAsia="Times New Roman" w:hAnsi="Times New Roman" w:cs="Times New Roman"/>
                <w:i/>
                <w:iCs/>
                <w:sz w:val="20"/>
                <w:szCs w:val="20"/>
                <w:lang w:eastAsia="lv-LV"/>
              </w:rPr>
            </w:pPr>
            <w:proofErr w:type="spellStart"/>
            <w:r w:rsidRPr="00A07F29">
              <w:rPr>
                <w:rFonts w:ascii="Times New Roman" w:eastAsia="Times New Roman" w:hAnsi="Times New Roman" w:cs="Times New Roman"/>
                <w:i/>
                <w:iCs/>
                <w:sz w:val="20"/>
                <w:szCs w:val="20"/>
                <w:lang w:eastAsia="lv-LV"/>
              </w:rPr>
              <w:t>Valvata</w:t>
            </w:r>
            <w:proofErr w:type="spellEnd"/>
            <w:r w:rsidRPr="00A07F29">
              <w:rPr>
                <w:rFonts w:ascii="Times New Roman" w:eastAsia="Times New Roman" w:hAnsi="Times New Roman" w:cs="Times New Roman"/>
                <w:i/>
                <w:iCs/>
                <w:sz w:val="20"/>
                <w:szCs w:val="20"/>
                <w:lang w:eastAsia="lv-LV"/>
              </w:rPr>
              <w:t xml:space="preserve"> </w:t>
            </w:r>
            <w:proofErr w:type="spellStart"/>
            <w:r w:rsidRPr="00A07F29">
              <w:rPr>
                <w:rFonts w:ascii="Times New Roman" w:eastAsia="Times New Roman" w:hAnsi="Times New Roman" w:cs="Times New Roman"/>
                <w:i/>
                <w:iCs/>
                <w:sz w:val="20"/>
                <w:szCs w:val="20"/>
                <w:lang w:eastAsia="lv-LV"/>
              </w:rPr>
              <w:t>piscinalis</w:t>
            </w:r>
            <w:proofErr w:type="spellEnd"/>
          </w:p>
        </w:tc>
        <w:tc>
          <w:tcPr>
            <w:tcW w:w="2693" w:type="dxa"/>
            <w:shd w:val="clear" w:color="auto" w:fill="auto"/>
            <w:noWrap/>
            <w:vAlign w:val="center"/>
          </w:tcPr>
          <w:p w14:paraId="0B7C0298"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 xml:space="preserve">Plakanā </w:t>
            </w:r>
            <w:proofErr w:type="spellStart"/>
            <w:r w:rsidRPr="00A07F29">
              <w:rPr>
                <w:rFonts w:ascii="Times New Roman" w:eastAsia="Times New Roman" w:hAnsi="Times New Roman" w:cs="Times New Roman"/>
                <w:sz w:val="20"/>
                <w:szCs w:val="20"/>
                <w:lang w:eastAsia="lv-LV"/>
              </w:rPr>
              <w:t>valvāta</w:t>
            </w:r>
            <w:proofErr w:type="spellEnd"/>
          </w:p>
        </w:tc>
        <w:tc>
          <w:tcPr>
            <w:tcW w:w="2410" w:type="dxa"/>
            <w:shd w:val="clear" w:color="auto" w:fill="auto"/>
            <w:noWrap/>
            <w:vAlign w:val="center"/>
          </w:tcPr>
          <w:p w14:paraId="2F7C40D6"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Ļoti bieži</w:t>
            </w:r>
          </w:p>
        </w:tc>
      </w:tr>
      <w:tr w:rsidR="009072CE" w:rsidRPr="00A07F29" w14:paraId="556066A6" w14:textId="77777777" w:rsidTr="009056A3">
        <w:trPr>
          <w:trHeight w:val="264"/>
          <w:jc w:val="center"/>
        </w:trPr>
        <w:tc>
          <w:tcPr>
            <w:tcW w:w="644" w:type="dxa"/>
            <w:shd w:val="clear" w:color="auto" w:fill="auto"/>
            <w:noWrap/>
            <w:vAlign w:val="center"/>
          </w:tcPr>
          <w:p w14:paraId="649E58EB"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21.</w:t>
            </w:r>
          </w:p>
        </w:tc>
        <w:tc>
          <w:tcPr>
            <w:tcW w:w="2728" w:type="dxa"/>
            <w:shd w:val="clear" w:color="auto" w:fill="auto"/>
            <w:noWrap/>
            <w:vAlign w:val="center"/>
          </w:tcPr>
          <w:p w14:paraId="29C613ED" w14:textId="77777777" w:rsidR="009072CE" w:rsidRPr="00A07F29" w:rsidRDefault="009072CE" w:rsidP="009072CE">
            <w:pPr>
              <w:spacing w:after="0" w:line="240" w:lineRule="auto"/>
              <w:rPr>
                <w:rFonts w:ascii="Times New Roman" w:eastAsia="Times New Roman" w:hAnsi="Times New Roman" w:cs="Times New Roman"/>
                <w:i/>
                <w:iCs/>
                <w:sz w:val="20"/>
                <w:szCs w:val="20"/>
                <w:lang w:eastAsia="lv-LV"/>
              </w:rPr>
            </w:pPr>
            <w:proofErr w:type="spellStart"/>
            <w:r w:rsidRPr="00A07F29">
              <w:rPr>
                <w:rFonts w:ascii="Times New Roman" w:eastAsia="Times New Roman" w:hAnsi="Times New Roman" w:cs="Times New Roman"/>
                <w:i/>
                <w:iCs/>
                <w:sz w:val="20"/>
                <w:szCs w:val="20"/>
                <w:lang w:eastAsia="lv-LV"/>
              </w:rPr>
              <w:t>Viviparus</w:t>
            </w:r>
            <w:proofErr w:type="spellEnd"/>
            <w:r w:rsidRPr="00A07F29">
              <w:rPr>
                <w:rFonts w:ascii="Times New Roman" w:eastAsia="Times New Roman" w:hAnsi="Times New Roman" w:cs="Times New Roman"/>
                <w:i/>
                <w:iCs/>
                <w:sz w:val="20"/>
                <w:szCs w:val="20"/>
                <w:lang w:eastAsia="lv-LV"/>
              </w:rPr>
              <w:t xml:space="preserve"> </w:t>
            </w:r>
            <w:proofErr w:type="spellStart"/>
            <w:r w:rsidRPr="00A07F29">
              <w:rPr>
                <w:rFonts w:ascii="Times New Roman" w:eastAsia="Times New Roman" w:hAnsi="Times New Roman" w:cs="Times New Roman"/>
                <w:i/>
                <w:iCs/>
                <w:sz w:val="20"/>
                <w:szCs w:val="20"/>
                <w:lang w:eastAsia="lv-LV"/>
              </w:rPr>
              <w:t>contectus</w:t>
            </w:r>
            <w:proofErr w:type="spellEnd"/>
          </w:p>
        </w:tc>
        <w:tc>
          <w:tcPr>
            <w:tcW w:w="2693" w:type="dxa"/>
            <w:shd w:val="clear" w:color="auto" w:fill="auto"/>
            <w:noWrap/>
            <w:vAlign w:val="center"/>
          </w:tcPr>
          <w:p w14:paraId="2EF73BCC"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 xml:space="preserve">Ezera </w:t>
            </w:r>
            <w:proofErr w:type="spellStart"/>
            <w:r w:rsidRPr="00A07F29">
              <w:rPr>
                <w:rFonts w:ascii="Times New Roman" w:eastAsia="Times New Roman" w:hAnsi="Times New Roman" w:cs="Times New Roman"/>
                <w:sz w:val="20"/>
                <w:szCs w:val="20"/>
                <w:lang w:eastAsia="lv-LV"/>
              </w:rPr>
              <w:t>lielvāciņgliemezis</w:t>
            </w:r>
            <w:proofErr w:type="spellEnd"/>
          </w:p>
        </w:tc>
        <w:tc>
          <w:tcPr>
            <w:tcW w:w="2410" w:type="dxa"/>
            <w:shd w:val="clear" w:color="auto" w:fill="auto"/>
            <w:noWrap/>
            <w:vAlign w:val="center"/>
          </w:tcPr>
          <w:p w14:paraId="5DBDCCA3"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Bieži</w:t>
            </w:r>
          </w:p>
        </w:tc>
      </w:tr>
      <w:tr w:rsidR="009072CE" w:rsidRPr="00A07F29" w14:paraId="134CE65E" w14:textId="77777777" w:rsidTr="009056A3">
        <w:trPr>
          <w:trHeight w:val="264"/>
          <w:jc w:val="center"/>
        </w:trPr>
        <w:tc>
          <w:tcPr>
            <w:tcW w:w="644" w:type="dxa"/>
            <w:shd w:val="clear" w:color="auto" w:fill="auto"/>
            <w:noWrap/>
            <w:vAlign w:val="center"/>
          </w:tcPr>
          <w:p w14:paraId="6E4EDB8C"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22.</w:t>
            </w:r>
          </w:p>
        </w:tc>
        <w:tc>
          <w:tcPr>
            <w:tcW w:w="2728" w:type="dxa"/>
            <w:shd w:val="clear" w:color="auto" w:fill="auto"/>
            <w:noWrap/>
            <w:vAlign w:val="center"/>
          </w:tcPr>
          <w:p w14:paraId="6249839E" w14:textId="77777777" w:rsidR="009072CE" w:rsidRPr="00A07F29" w:rsidRDefault="009072CE" w:rsidP="009072CE">
            <w:pPr>
              <w:spacing w:after="0" w:line="240" w:lineRule="auto"/>
              <w:rPr>
                <w:rFonts w:ascii="Times New Roman" w:eastAsia="Times New Roman" w:hAnsi="Times New Roman" w:cs="Times New Roman"/>
                <w:i/>
                <w:iCs/>
                <w:sz w:val="20"/>
                <w:szCs w:val="20"/>
                <w:lang w:eastAsia="lv-LV"/>
              </w:rPr>
            </w:pPr>
            <w:proofErr w:type="spellStart"/>
            <w:r w:rsidRPr="00A07F29">
              <w:rPr>
                <w:rFonts w:ascii="Times New Roman" w:eastAsia="Times New Roman" w:hAnsi="Times New Roman" w:cs="Times New Roman"/>
                <w:i/>
                <w:iCs/>
                <w:sz w:val="20"/>
                <w:szCs w:val="20"/>
                <w:lang w:eastAsia="lv-LV"/>
              </w:rPr>
              <w:t>Viviparus</w:t>
            </w:r>
            <w:proofErr w:type="spellEnd"/>
            <w:r w:rsidRPr="00A07F29">
              <w:rPr>
                <w:rFonts w:ascii="Times New Roman" w:eastAsia="Times New Roman" w:hAnsi="Times New Roman" w:cs="Times New Roman"/>
                <w:i/>
                <w:iCs/>
                <w:sz w:val="20"/>
                <w:szCs w:val="20"/>
                <w:lang w:eastAsia="lv-LV"/>
              </w:rPr>
              <w:t xml:space="preserve"> </w:t>
            </w:r>
            <w:proofErr w:type="spellStart"/>
            <w:r w:rsidRPr="00A07F29">
              <w:rPr>
                <w:rFonts w:ascii="Times New Roman" w:eastAsia="Times New Roman" w:hAnsi="Times New Roman" w:cs="Times New Roman"/>
                <w:i/>
                <w:iCs/>
                <w:sz w:val="20"/>
                <w:szCs w:val="20"/>
                <w:lang w:eastAsia="lv-LV"/>
              </w:rPr>
              <w:t>viviparus</w:t>
            </w:r>
            <w:proofErr w:type="spellEnd"/>
          </w:p>
        </w:tc>
        <w:tc>
          <w:tcPr>
            <w:tcW w:w="2693" w:type="dxa"/>
            <w:shd w:val="clear" w:color="auto" w:fill="auto"/>
            <w:noWrap/>
            <w:vAlign w:val="center"/>
          </w:tcPr>
          <w:p w14:paraId="394B24AF"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 xml:space="preserve">Upes </w:t>
            </w:r>
            <w:proofErr w:type="spellStart"/>
            <w:r w:rsidRPr="00A07F29">
              <w:rPr>
                <w:rFonts w:ascii="Times New Roman" w:eastAsia="Times New Roman" w:hAnsi="Times New Roman" w:cs="Times New Roman"/>
                <w:sz w:val="20"/>
                <w:szCs w:val="20"/>
                <w:lang w:eastAsia="lv-LV"/>
              </w:rPr>
              <w:t>lielvāciņgliemezis</w:t>
            </w:r>
            <w:proofErr w:type="spellEnd"/>
          </w:p>
        </w:tc>
        <w:tc>
          <w:tcPr>
            <w:tcW w:w="2410" w:type="dxa"/>
            <w:shd w:val="clear" w:color="auto" w:fill="auto"/>
            <w:noWrap/>
            <w:vAlign w:val="center"/>
          </w:tcPr>
          <w:p w14:paraId="12CB10B7"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Bieži</w:t>
            </w:r>
          </w:p>
        </w:tc>
      </w:tr>
      <w:tr w:rsidR="009072CE" w:rsidRPr="00A07F29" w14:paraId="77FAE33B" w14:textId="77777777" w:rsidTr="009056A3">
        <w:trPr>
          <w:trHeight w:val="264"/>
          <w:jc w:val="center"/>
        </w:trPr>
        <w:tc>
          <w:tcPr>
            <w:tcW w:w="8475" w:type="dxa"/>
            <w:gridSpan w:val="4"/>
            <w:shd w:val="clear" w:color="auto" w:fill="E7E6E6"/>
            <w:noWrap/>
            <w:vAlign w:val="center"/>
          </w:tcPr>
          <w:p w14:paraId="082E6C3C" w14:textId="77777777" w:rsidR="009072CE" w:rsidRPr="00A07F29" w:rsidRDefault="009072CE" w:rsidP="009072CE">
            <w:pPr>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Sauszemes gliemeži</w:t>
            </w:r>
          </w:p>
        </w:tc>
      </w:tr>
      <w:tr w:rsidR="009072CE" w:rsidRPr="00A07F29" w14:paraId="4B3F4B1B" w14:textId="77777777" w:rsidTr="009056A3">
        <w:trPr>
          <w:trHeight w:val="264"/>
          <w:jc w:val="center"/>
        </w:trPr>
        <w:tc>
          <w:tcPr>
            <w:tcW w:w="644" w:type="dxa"/>
            <w:shd w:val="clear" w:color="auto" w:fill="auto"/>
            <w:noWrap/>
            <w:vAlign w:val="center"/>
          </w:tcPr>
          <w:p w14:paraId="6EEC396E"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23.</w:t>
            </w:r>
          </w:p>
        </w:tc>
        <w:tc>
          <w:tcPr>
            <w:tcW w:w="2728" w:type="dxa"/>
            <w:shd w:val="clear" w:color="auto" w:fill="auto"/>
            <w:noWrap/>
            <w:vAlign w:val="center"/>
          </w:tcPr>
          <w:p w14:paraId="7764197C" w14:textId="77777777" w:rsidR="009072CE" w:rsidRPr="00A07F29" w:rsidRDefault="009072CE" w:rsidP="009072CE">
            <w:pPr>
              <w:spacing w:after="0" w:line="240" w:lineRule="auto"/>
              <w:rPr>
                <w:rFonts w:ascii="Times New Roman" w:eastAsia="Arial Unicode MS" w:hAnsi="Times New Roman" w:cs="Times New Roman"/>
                <w:i/>
                <w:sz w:val="20"/>
                <w:szCs w:val="20"/>
                <w:lang w:eastAsia="lv-LV"/>
              </w:rPr>
            </w:pPr>
            <w:proofErr w:type="spellStart"/>
            <w:r w:rsidRPr="00A07F29">
              <w:rPr>
                <w:rFonts w:ascii="Times New Roman" w:eastAsia="Times New Roman" w:hAnsi="Times New Roman" w:cs="Times New Roman"/>
                <w:i/>
                <w:iCs/>
                <w:sz w:val="20"/>
                <w:szCs w:val="20"/>
                <w:lang w:eastAsia="lv-LV"/>
              </w:rPr>
              <w:t>Acanthinula</w:t>
            </w:r>
            <w:proofErr w:type="spellEnd"/>
            <w:r w:rsidRPr="00A07F29">
              <w:rPr>
                <w:rFonts w:ascii="Times New Roman" w:eastAsia="Times New Roman" w:hAnsi="Times New Roman" w:cs="Times New Roman"/>
                <w:i/>
                <w:iCs/>
                <w:sz w:val="20"/>
                <w:szCs w:val="20"/>
                <w:lang w:eastAsia="lv-LV"/>
              </w:rPr>
              <w:t xml:space="preserve"> </w:t>
            </w:r>
            <w:proofErr w:type="spellStart"/>
            <w:r w:rsidRPr="00A07F29">
              <w:rPr>
                <w:rFonts w:ascii="Times New Roman" w:eastAsia="Times New Roman" w:hAnsi="Times New Roman" w:cs="Times New Roman"/>
                <w:i/>
                <w:iCs/>
                <w:sz w:val="20"/>
                <w:szCs w:val="20"/>
                <w:lang w:eastAsia="lv-LV"/>
              </w:rPr>
              <w:t>aculeata</w:t>
            </w:r>
            <w:proofErr w:type="spellEnd"/>
          </w:p>
        </w:tc>
        <w:tc>
          <w:tcPr>
            <w:tcW w:w="2693" w:type="dxa"/>
            <w:shd w:val="clear" w:color="auto" w:fill="auto"/>
            <w:noWrap/>
            <w:vAlign w:val="center"/>
          </w:tcPr>
          <w:p w14:paraId="563292DF" w14:textId="77777777" w:rsidR="009072CE" w:rsidRPr="00A07F29" w:rsidRDefault="009072CE" w:rsidP="009072CE">
            <w:pPr>
              <w:spacing w:after="0" w:line="240" w:lineRule="auto"/>
              <w:rPr>
                <w:rFonts w:ascii="Times New Roman" w:eastAsia="Arial Unicode MS" w:hAnsi="Times New Roman" w:cs="Times New Roman"/>
                <w:sz w:val="20"/>
                <w:szCs w:val="20"/>
                <w:lang w:eastAsia="lv-LV"/>
              </w:rPr>
            </w:pPr>
            <w:r w:rsidRPr="00A07F29">
              <w:rPr>
                <w:rFonts w:ascii="Times New Roman" w:eastAsia="Arial Unicode MS" w:hAnsi="Times New Roman" w:cs="Times New Roman"/>
                <w:sz w:val="20"/>
                <w:szCs w:val="20"/>
                <w:lang w:eastAsia="lv-LV"/>
              </w:rPr>
              <w:t xml:space="preserve">Mazais </w:t>
            </w:r>
            <w:proofErr w:type="spellStart"/>
            <w:r w:rsidRPr="00A07F29">
              <w:rPr>
                <w:rFonts w:ascii="Times New Roman" w:eastAsia="Arial Unicode MS" w:hAnsi="Times New Roman" w:cs="Times New Roman"/>
                <w:sz w:val="20"/>
                <w:szCs w:val="20"/>
                <w:lang w:eastAsia="lv-LV"/>
              </w:rPr>
              <w:t>dzeloņgliemezis</w:t>
            </w:r>
            <w:proofErr w:type="spellEnd"/>
          </w:p>
        </w:tc>
        <w:tc>
          <w:tcPr>
            <w:tcW w:w="2410" w:type="dxa"/>
            <w:shd w:val="clear" w:color="auto" w:fill="auto"/>
            <w:noWrap/>
            <w:vAlign w:val="center"/>
          </w:tcPr>
          <w:p w14:paraId="6D395358"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Samērā bieži</w:t>
            </w:r>
          </w:p>
        </w:tc>
      </w:tr>
      <w:tr w:rsidR="009072CE" w:rsidRPr="00A07F29" w14:paraId="7BDD9389" w14:textId="77777777" w:rsidTr="009056A3">
        <w:trPr>
          <w:trHeight w:val="264"/>
          <w:jc w:val="center"/>
        </w:trPr>
        <w:tc>
          <w:tcPr>
            <w:tcW w:w="644" w:type="dxa"/>
            <w:shd w:val="clear" w:color="auto" w:fill="auto"/>
            <w:noWrap/>
            <w:vAlign w:val="center"/>
          </w:tcPr>
          <w:p w14:paraId="563139A0"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24.</w:t>
            </w:r>
          </w:p>
        </w:tc>
        <w:tc>
          <w:tcPr>
            <w:tcW w:w="2728" w:type="dxa"/>
            <w:shd w:val="clear" w:color="auto" w:fill="auto"/>
            <w:noWrap/>
            <w:vAlign w:val="center"/>
          </w:tcPr>
          <w:p w14:paraId="397CA1C4" w14:textId="77777777" w:rsidR="009072CE" w:rsidRPr="00A07F29" w:rsidRDefault="009072CE" w:rsidP="009072CE">
            <w:pPr>
              <w:spacing w:after="0" w:line="240" w:lineRule="auto"/>
              <w:rPr>
                <w:rFonts w:ascii="Times New Roman" w:eastAsia="Times New Roman" w:hAnsi="Times New Roman" w:cs="Times New Roman"/>
                <w:i/>
                <w:iCs/>
                <w:sz w:val="20"/>
                <w:szCs w:val="20"/>
                <w:lang w:eastAsia="lv-LV"/>
              </w:rPr>
            </w:pPr>
            <w:proofErr w:type="spellStart"/>
            <w:r w:rsidRPr="00A07F29">
              <w:rPr>
                <w:rFonts w:ascii="Times New Roman" w:eastAsia="Times New Roman" w:hAnsi="Times New Roman" w:cs="Times New Roman"/>
                <w:i/>
                <w:iCs/>
                <w:sz w:val="20"/>
                <w:szCs w:val="20"/>
                <w:lang w:eastAsia="lv-LV"/>
              </w:rPr>
              <w:t>Aegopinella</w:t>
            </w:r>
            <w:proofErr w:type="spellEnd"/>
            <w:r w:rsidRPr="00A07F29">
              <w:rPr>
                <w:rFonts w:ascii="Times New Roman" w:eastAsia="Times New Roman" w:hAnsi="Times New Roman" w:cs="Times New Roman"/>
                <w:i/>
                <w:iCs/>
                <w:sz w:val="20"/>
                <w:szCs w:val="20"/>
                <w:lang w:eastAsia="lv-LV"/>
              </w:rPr>
              <w:t xml:space="preserve"> </w:t>
            </w:r>
            <w:proofErr w:type="spellStart"/>
            <w:r w:rsidRPr="00A07F29">
              <w:rPr>
                <w:rFonts w:ascii="Times New Roman" w:eastAsia="Times New Roman" w:hAnsi="Times New Roman" w:cs="Times New Roman"/>
                <w:i/>
                <w:iCs/>
                <w:sz w:val="20"/>
                <w:szCs w:val="20"/>
                <w:lang w:eastAsia="lv-LV"/>
              </w:rPr>
              <w:t>nitidula</w:t>
            </w:r>
            <w:proofErr w:type="spellEnd"/>
          </w:p>
        </w:tc>
        <w:tc>
          <w:tcPr>
            <w:tcW w:w="2693" w:type="dxa"/>
            <w:shd w:val="clear" w:color="auto" w:fill="auto"/>
            <w:noWrap/>
            <w:vAlign w:val="center"/>
          </w:tcPr>
          <w:p w14:paraId="7D56B298" w14:textId="77777777" w:rsidR="009072CE" w:rsidRPr="00A07F29" w:rsidRDefault="009072CE" w:rsidP="009072CE">
            <w:pPr>
              <w:spacing w:after="0" w:line="240" w:lineRule="auto"/>
              <w:rPr>
                <w:rFonts w:ascii="Times New Roman" w:eastAsia="Arial Unicode MS" w:hAnsi="Times New Roman" w:cs="Times New Roman"/>
                <w:sz w:val="20"/>
                <w:szCs w:val="20"/>
                <w:lang w:eastAsia="lv-LV"/>
              </w:rPr>
            </w:pPr>
            <w:r w:rsidRPr="00A07F29">
              <w:rPr>
                <w:rFonts w:ascii="Times New Roman" w:eastAsia="Arial Unicode MS" w:hAnsi="Times New Roman" w:cs="Times New Roman"/>
                <w:sz w:val="20"/>
                <w:szCs w:val="20"/>
                <w:lang w:eastAsia="lv-LV"/>
              </w:rPr>
              <w:t xml:space="preserve">Sārtā </w:t>
            </w:r>
            <w:proofErr w:type="spellStart"/>
            <w:r w:rsidRPr="00A07F29">
              <w:rPr>
                <w:rFonts w:ascii="Times New Roman" w:eastAsia="Arial Unicode MS" w:hAnsi="Times New Roman" w:cs="Times New Roman"/>
                <w:sz w:val="20"/>
                <w:szCs w:val="20"/>
                <w:lang w:eastAsia="lv-LV"/>
              </w:rPr>
              <w:t>gludspolīte</w:t>
            </w:r>
            <w:proofErr w:type="spellEnd"/>
          </w:p>
        </w:tc>
        <w:tc>
          <w:tcPr>
            <w:tcW w:w="2410" w:type="dxa"/>
            <w:shd w:val="clear" w:color="auto" w:fill="auto"/>
            <w:noWrap/>
            <w:vAlign w:val="center"/>
          </w:tcPr>
          <w:p w14:paraId="020E5B9F"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Skaidrojama</w:t>
            </w:r>
          </w:p>
        </w:tc>
      </w:tr>
      <w:tr w:rsidR="009072CE" w:rsidRPr="00A07F29" w14:paraId="16033710" w14:textId="77777777" w:rsidTr="009056A3">
        <w:trPr>
          <w:trHeight w:val="264"/>
          <w:jc w:val="center"/>
        </w:trPr>
        <w:tc>
          <w:tcPr>
            <w:tcW w:w="644" w:type="dxa"/>
            <w:shd w:val="clear" w:color="auto" w:fill="auto"/>
            <w:noWrap/>
            <w:vAlign w:val="center"/>
          </w:tcPr>
          <w:p w14:paraId="7E71F87D"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25.</w:t>
            </w:r>
          </w:p>
        </w:tc>
        <w:tc>
          <w:tcPr>
            <w:tcW w:w="2728" w:type="dxa"/>
            <w:shd w:val="clear" w:color="auto" w:fill="auto"/>
            <w:noWrap/>
            <w:vAlign w:val="center"/>
          </w:tcPr>
          <w:p w14:paraId="7556BEC8" w14:textId="77777777" w:rsidR="009072CE" w:rsidRPr="00A07F29" w:rsidRDefault="009072CE" w:rsidP="009072CE">
            <w:pPr>
              <w:spacing w:after="0" w:line="240" w:lineRule="auto"/>
              <w:rPr>
                <w:rFonts w:ascii="Times New Roman" w:eastAsia="Times New Roman" w:hAnsi="Times New Roman" w:cs="Times New Roman"/>
                <w:i/>
                <w:iCs/>
                <w:sz w:val="20"/>
                <w:szCs w:val="20"/>
                <w:lang w:eastAsia="lv-LV"/>
              </w:rPr>
            </w:pPr>
            <w:proofErr w:type="spellStart"/>
            <w:r w:rsidRPr="00A07F29">
              <w:rPr>
                <w:rFonts w:ascii="Times New Roman" w:eastAsia="Times New Roman" w:hAnsi="Times New Roman" w:cs="Times New Roman"/>
                <w:i/>
                <w:iCs/>
                <w:sz w:val="20"/>
                <w:szCs w:val="20"/>
                <w:lang w:eastAsia="lv-LV"/>
              </w:rPr>
              <w:t>Aegopinella</w:t>
            </w:r>
            <w:proofErr w:type="spellEnd"/>
            <w:r w:rsidRPr="00A07F29">
              <w:rPr>
                <w:rFonts w:ascii="Times New Roman" w:eastAsia="Times New Roman" w:hAnsi="Times New Roman" w:cs="Times New Roman"/>
                <w:i/>
                <w:iCs/>
                <w:sz w:val="20"/>
                <w:szCs w:val="20"/>
                <w:lang w:eastAsia="lv-LV"/>
              </w:rPr>
              <w:t xml:space="preserve"> </w:t>
            </w:r>
            <w:proofErr w:type="spellStart"/>
            <w:r w:rsidRPr="00A07F29">
              <w:rPr>
                <w:rFonts w:ascii="Times New Roman" w:eastAsia="Times New Roman" w:hAnsi="Times New Roman" w:cs="Times New Roman"/>
                <w:i/>
                <w:iCs/>
                <w:sz w:val="20"/>
                <w:szCs w:val="20"/>
                <w:lang w:eastAsia="lv-LV"/>
              </w:rPr>
              <w:t>pura</w:t>
            </w:r>
            <w:proofErr w:type="spellEnd"/>
          </w:p>
        </w:tc>
        <w:tc>
          <w:tcPr>
            <w:tcW w:w="2693" w:type="dxa"/>
            <w:shd w:val="clear" w:color="auto" w:fill="auto"/>
            <w:noWrap/>
            <w:vAlign w:val="center"/>
          </w:tcPr>
          <w:p w14:paraId="1BE1E3BD" w14:textId="77777777" w:rsidR="009072CE" w:rsidRPr="00A07F29" w:rsidRDefault="009072CE" w:rsidP="009072CE">
            <w:pPr>
              <w:spacing w:after="0" w:line="240" w:lineRule="auto"/>
              <w:rPr>
                <w:rFonts w:ascii="Times New Roman" w:eastAsia="Arial Unicode MS" w:hAnsi="Times New Roman" w:cs="Times New Roman"/>
                <w:sz w:val="20"/>
                <w:szCs w:val="20"/>
                <w:lang w:eastAsia="lv-LV"/>
              </w:rPr>
            </w:pPr>
            <w:r w:rsidRPr="00A07F29">
              <w:rPr>
                <w:rFonts w:ascii="Times New Roman" w:eastAsia="Arial Unicode MS" w:hAnsi="Times New Roman" w:cs="Times New Roman"/>
                <w:sz w:val="20"/>
                <w:szCs w:val="20"/>
                <w:lang w:eastAsia="lv-LV"/>
              </w:rPr>
              <w:t xml:space="preserve">Mazā </w:t>
            </w:r>
            <w:proofErr w:type="spellStart"/>
            <w:r w:rsidRPr="00A07F29">
              <w:rPr>
                <w:rFonts w:ascii="Times New Roman" w:eastAsia="Arial Unicode MS" w:hAnsi="Times New Roman" w:cs="Times New Roman"/>
                <w:sz w:val="20"/>
                <w:szCs w:val="20"/>
                <w:lang w:eastAsia="lv-LV"/>
              </w:rPr>
              <w:t>gludspolīte</w:t>
            </w:r>
            <w:proofErr w:type="spellEnd"/>
          </w:p>
        </w:tc>
        <w:tc>
          <w:tcPr>
            <w:tcW w:w="2410" w:type="dxa"/>
            <w:shd w:val="clear" w:color="auto" w:fill="auto"/>
            <w:noWrap/>
            <w:vAlign w:val="center"/>
          </w:tcPr>
          <w:p w14:paraId="43EA7E7C"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Samērā bieži</w:t>
            </w:r>
          </w:p>
        </w:tc>
      </w:tr>
      <w:tr w:rsidR="009072CE" w:rsidRPr="00A07F29" w14:paraId="620A3371" w14:textId="77777777" w:rsidTr="009056A3">
        <w:trPr>
          <w:trHeight w:val="264"/>
          <w:jc w:val="center"/>
        </w:trPr>
        <w:tc>
          <w:tcPr>
            <w:tcW w:w="644" w:type="dxa"/>
            <w:shd w:val="clear" w:color="auto" w:fill="auto"/>
            <w:noWrap/>
            <w:vAlign w:val="center"/>
          </w:tcPr>
          <w:p w14:paraId="14641664"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26.</w:t>
            </w:r>
          </w:p>
        </w:tc>
        <w:tc>
          <w:tcPr>
            <w:tcW w:w="2728" w:type="dxa"/>
            <w:shd w:val="clear" w:color="auto" w:fill="auto"/>
            <w:vAlign w:val="center"/>
          </w:tcPr>
          <w:p w14:paraId="5EBBA8EF" w14:textId="77777777" w:rsidR="009072CE" w:rsidRPr="00A07F29" w:rsidRDefault="009072CE" w:rsidP="009072CE">
            <w:pPr>
              <w:spacing w:after="0" w:line="240" w:lineRule="auto"/>
              <w:rPr>
                <w:rFonts w:ascii="Times New Roman" w:eastAsia="Times New Roman" w:hAnsi="Times New Roman" w:cs="Times New Roman"/>
                <w:i/>
                <w:iCs/>
                <w:sz w:val="20"/>
                <w:szCs w:val="20"/>
                <w:lang w:eastAsia="lv-LV"/>
              </w:rPr>
            </w:pPr>
            <w:proofErr w:type="spellStart"/>
            <w:r w:rsidRPr="00A07F29">
              <w:rPr>
                <w:rFonts w:ascii="Times New Roman" w:eastAsia="Times New Roman" w:hAnsi="Times New Roman" w:cs="Times New Roman"/>
                <w:i/>
                <w:iCs/>
                <w:sz w:val="20"/>
                <w:szCs w:val="20"/>
                <w:lang w:eastAsia="lv-LV"/>
              </w:rPr>
              <w:t>Arianta</w:t>
            </w:r>
            <w:proofErr w:type="spellEnd"/>
            <w:r w:rsidRPr="00A07F29">
              <w:rPr>
                <w:rFonts w:ascii="Times New Roman" w:eastAsia="Times New Roman" w:hAnsi="Times New Roman" w:cs="Times New Roman"/>
                <w:i/>
                <w:iCs/>
                <w:sz w:val="20"/>
                <w:szCs w:val="20"/>
                <w:lang w:eastAsia="lv-LV"/>
              </w:rPr>
              <w:t xml:space="preserve"> </w:t>
            </w:r>
            <w:proofErr w:type="spellStart"/>
            <w:r w:rsidRPr="00A07F29">
              <w:rPr>
                <w:rFonts w:ascii="Times New Roman" w:eastAsia="Times New Roman" w:hAnsi="Times New Roman" w:cs="Times New Roman"/>
                <w:i/>
                <w:iCs/>
                <w:sz w:val="20"/>
                <w:szCs w:val="20"/>
                <w:lang w:eastAsia="lv-LV"/>
              </w:rPr>
              <w:t>arbustorum</w:t>
            </w:r>
            <w:proofErr w:type="spellEnd"/>
          </w:p>
        </w:tc>
        <w:tc>
          <w:tcPr>
            <w:tcW w:w="2693" w:type="dxa"/>
            <w:shd w:val="clear" w:color="auto" w:fill="auto"/>
            <w:vAlign w:val="center"/>
          </w:tcPr>
          <w:p w14:paraId="604CB1EA" w14:textId="77777777" w:rsidR="009072CE" w:rsidRPr="00A07F29" w:rsidRDefault="009072CE" w:rsidP="009072CE">
            <w:pPr>
              <w:spacing w:after="0" w:line="240" w:lineRule="auto"/>
              <w:rPr>
                <w:rFonts w:ascii="Times New Roman" w:eastAsia="Arial Unicode MS" w:hAnsi="Times New Roman" w:cs="Times New Roman"/>
                <w:sz w:val="20"/>
                <w:szCs w:val="20"/>
                <w:lang w:eastAsia="lv-LV"/>
              </w:rPr>
            </w:pPr>
            <w:r w:rsidRPr="00A07F29">
              <w:rPr>
                <w:rFonts w:ascii="Times New Roman" w:eastAsia="Arial Unicode MS" w:hAnsi="Times New Roman" w:cs="Times New Roman"/>
                <w:sz w:val="20"/>
                <w:szCs w:val="20"/>
                <w:lang w:eastAsia="lv-LV"/>
              </w:rPr>
              <w:t>Raibais vīngliemezis</w:t>
            </w:r>
          </w:p>
        </w:tc>
        <w:tc>
          <w:tcPr>
            <w:tcW w:w="2410" w:type="dxa"/>
            <w:shd w:val="clear" w:color="auto" w:fill="auto"/>
            <w:noWrap/>
            <w:vAlign w:val="center"/>
          </w:tcPr>
          <w:p w14:paraId="795236B8"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Ļoti bieži</w:t>
            </w:r>
          </w:p>
        </w:tc>
      </w:tr>
      <w:tr w:rsidR="009072CE" w:rsidRPr="00A07F29" w14:paraId="1264415D" w14:textId="77777777" w:rsidTr="009056A3">
        <w:trPr>
          <w:trHeight w:val="264"/>
          <w:jc w:val="center"/>
        </w:trPr>
        <w:tc>
          <w:tcPr>
            <w:tcW w:w="644" w:type="dxa"/>
            <w:tcBorders>
              <w:bottom w:val="single" w:sz="4" w:space="0" w:color="auto"/>
            </w:tcBorders>
            <w:shd w:val="clear" w:color="auto" w:fill="auto"/>
            <w:noWrap/>
            <w:vAlign w:val="center"/>
          </w:tcPr>
          <w:p w14:paraId="3C6466F8"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27.</w:t>
            </w:r>
          </w:p>
        </w:tc>
        <w:tc>
          <w:tcPr>
            <w:tcW w:w="2728" w:type="dxa"/>
            <w:tcBorders>
              <w:bottom w:val="single" w:sz="4" w:space="0" w:color="auto"/>
            </w:tcBorders>
            <w:shd w:val="clear" w:color="auto" w:fill="auto"/>
            <w:vAlign w:val="center"/>
          </w:tcPr>
          <w:p w14:paraId="72CF07AA" w14:textId="77777777" w:rsidR="009072CE" w:rsidRPr="00A07F29" w:rsidRDefault="009072CE" w:rsidP="009072CE">
            <w:pPr>
              <w:spacing w:after="0" w:line="240" w:lineRule="auto"/>
              <w:rPr>
                <w:rFonts w:ascii="Times New Roman" w:eastAsia="Times New Roman" w:hAnsi="Times New Roman" w:cs="Times New Roman"/>
                <w:i/>
                <w:iCs/>
                <w:sz w:val="20"/>
                <w:szCs w:val="20"/>
                <w:lang w:eastAsia="lv-LV"/>
              </w:rPr>
            </w:pPr>
            <w:proofErr w:type="spellStart"/>
            <w:r w:rsidRPr="00A07F29">
              <w:rPr>
                <w:rFonts w:ascii="Times New Roman" w:eastAsia="Times New Roman" w:hAnsi="Times New Roman" w:cs="Times New Roman"/>
                <w:i/>
                <w:iCs/>
                <w:sz w:val="20"/>
                <w:szCs w:val="20"/>
                <w:lang w:eastAsia="lv-LV"/>
              </w:rPr>
              <w:t>Arion</w:t>
            </w:r>
            <w:proofErr w:type="spellEnd"/>
            <w:r w:rsidRPr="00A07F29">
              <w:rPr>
                <w:rFonts w:ascii="Times New Roman" w:eastAsia="Times New Roman" w:hAnsi="Times New Roman" w:cs="Times New Roman"/>
                <w:i/>
                <w:iCs/>
                <w:sz w:val="20"/>
                <w:szCs w:val="20"/>
                <w:lang w:eastAsia="lv-LV"/>
              </w:rPr>
              <w:t xml:space="preserve"> </w:t>
            </w:r>
            <w:proofErr w:type="spellStart"/>
            <w:r w:rsidRPr="00A07F29">
              <w:rPr>
                <w:rFonts w:ascii="Times New Roman" w:eastAsia="Times New Roman" w:hAnsi="Times New Roman" w:cs="Times New Roman"/>
                <w:i/>
                <w:iCs/>
                <w:sz w:val="20"/>
                <w:szCs w:val="20"/>
                <w:lang w:eastAsia="lv-LV"/>
              </w:rPr>
              <w:t>circumscriptus</w:t>
            </w:r>
            <w:proofErr w:type="spellEnd"/>
          </w:p>
        </w:tc>
        <w:tc>
          <w:tcPr>
            <w:tcW w:w="2693" w:type="dxa"/>
            <w:tcBorders>
              <w:bottom w:val="single" w:sz="4" w:space="0" w:color="auto"/>
            </w:tcBorders>
            <w:shd w:val="clear" w:color="auto" w:fill="auto"/>
            <w:vAlign w:val="center"/>
          </w:tcPr>
          <w:p w14:paraId="0B660138" w14:textId="77777777" w:rsidR="009072CE" w:rsidRPr="00A07F29" w:rsidRDefault="009072CE" w:rsidP="009072CE">
            <w:pPr>
              <w:spacing w:after="0" w:line="240" w:lineRule="auto"/>
              <w:rPr>
                <w:rFonts w:ascii="Times New Roman" w:eastAsia="Arial Unicode MS" w:hAnsi="Times New Roman" w:cs="Times New Roman"/>
                <w:sz w:val="20"/>
                <w:szCs w:val="20"/>
                <w:lang w:eastAsia="lv-LV"/>
              </w:rPr>
            </w:pPr>
            <w:r w:rsidRPr="00A07F29">
              <w:rPr>
                <w:rFonts w:ascii="Times New Roman" w:eastAsia="Arial Unicode MS" w:hAnsi="Times New Roman" w:cs="Times New Roman"/>
                <w:sz w:val="20"/>
                <w:szCs w:val="20"/>
                <w:lang w:eastAsia="lv-LV"/>
              </w:rPr>
              <w:t>Joslainais kailgliemezis</w:t>
            </w:r>
          </w:p>
        </w:tc>
        <w:tc>
          <w:tcPr>
            <w:tcW w:w="2410" w:type="dxa"/>
            <w:tcBorders>
              <w:bottom w:val="single" w:sz="4" w:space="0" w:color="auto"/>
            </w:tcBorders>
            <w:shd w:val="clear" w:color="auto" w:fill="auto"/>
            <w:noWrap/>
            <w:vAlign w:val="center"/>
          </w:tcPr>
          <w:p w14:paraId="63496994"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Bieži</w:t>
            </w:r>
          </w:p>
        </w:tc>
      </w:tr>
      <w:tr w:rsidR="009072CE" w:rsidRPr="00A07F29" w14:paraId="77DB7995" w14:textId="77777777" w:rsidTr="009056A3">
        <w:trPr>
          <w:trHeight w:val="249"/>
          <w:jc w:val="center"/>
        </w:trPr>
        <w:tc>
          <w:tcPr>
            <w:tcW w:w="644" w:type="dxa"/>
            <w:tcBorders>
              <w:top w:val="single" w:sz="4" w:space="0" w:color="auto"/>
              <w:left w:val="single" w:sz="4" w:space="0" w:color="auto"/>
              <w:bottom w:val="single" w:sz="4" w:space="0" w:color="auto"/>
              <w:right w:val="single" w:sz="4" w:space="0" w:color="auto"/>
            </w:tcBorders>
            <w:shd w:val="clear" w:color="auto" w:fill="auto"/>
            <w:noWrap/>
          </w:tcPr>
          <w:p w14:paraId="2B2C4429"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28.</w:t>
            </w:r>
          </w:p>
        </w:tc>
        <w:tc>
          <w:tcPr>
            <w:tcW w:w="2728" w:type="dxa"/>
            <w:tcBorders>
              <w:top w:val="single" w:sz="4" w:space="0" w:color="auto"/>
              <w:left w:val="single" w:sz="4" w:space="0" w:color="auto"/>
              <w:bottom w:val="single" w:sz="4" w:space="0" w:color="auto"/>
              <w:right w:val="single" w:sz="4" w:space="0" w:color="auto"/>
            </w:tcBorders>
            <w:shd w:val="clear" w:color="auto" w:fill="auto"/>
            <w:vAlign w:val="center"/>
          </w:tcPr>
          <w:p w14:paraId="5C3F9549" w14:textId="77777777" w:rsidR="009072CE" w:rsidRPr="00A07F29" w:rsidRDefault="009072CE" w:rsidP="009072CE">
            <w:pPr>
              <w:spacing w:after="0" w:line="240" w:lineRule="auto"/>
              <w:rPr>
                <w:rFonts w:ascii="Times New Roman" w:eastAsia="Times New Roman" w:hAnsi="Times New Roman" w:cs="Times New Roman"/>
                <w:iCs/>
                <w:sz w:val="20"/>
                <w:szCs w:val="20"/>
                <w:vertAlign w:val="superscript"/>
                <w:lang w:eastAsia="lv-LV"/>
              </w:rPr>
            </w:pPr>
            <w:proofErr w:type="spellStart"/>
            <w:r w:rsidRPr="00A07F29">
              <w:rPr>
                <w:rFonts w:ascii="Times New Roman" w:eastAsia="Times New Roman" w:hAnsi="Times New Roman" w:cs="Times New Roman"/>
                <w:i/>
                <w:iCs/>
                <w:sz w:val="20"/>
                <w:szCs w:val="20"/>
                <w:lang w:eastAsia="lv-LV"/>
              </w:rPr>
              <w:t>Arion</w:t>
            </w:r>
            <w:proofErr w:type="spellEnd"/>
            <w:r w:rsidRPr="00A07F29">
              <w:rPr>
                <w:rFonts w:ascii="Times New Roman" w:eastAsia="Times New Roman" w:hAnsi="Times New Roman" w:cs="Times New Roman"/>
                <w:i/>
                <w:iCs/>
                <w:sz w:val="20"/>
                <w:szCs w:val="20"/>
                <w:lang w:eastAsia="lv-LV"/>
              </w:rPr>
              <w:t xml:space="preserve"> subfuscus</w:t>
            </w:r>
            <w:r w:rsidRPr="00A07F29">
              <w:rPr>
                <w:rFonts w:ascii="Times New Roman" w:eastAsia="Times New Roman" w:hAnsi="Times New Roman" w:cs="Times New Roman"/>
                <w:iCs/>
                <w:sz w:val="20"/>
                <w:szCs w:val="20"/>
                <w:vertAlign w:val="superscript"/>
                <w:lang w:eastAsia="lv-LV"/>
              </w:rPr>
              <w:t>2</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0E4EFACC"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Rūsganais kailgliemezis</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F81F75"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Bieži</w:t>
            </w:r>
          </w:p>
        </w:tc>
      </w:tr>
      <w:tr w:rsidR="009072CE" w:rsidRPr="00A07F29" w14:paraId="3840A685" w14:textId="77777777" w:rsidTr="009056A3">
        <w:trPr>
          <w:trHeight w:val="264"/>
          <w:jc w:val="center"/>
        </w:trPr>
        <w:tc>
          <w:tcPr>
            <w:tcW w:w="644" w:type="dxa"/>
            <w:tcBorders>
              <w:top w:val="single" w:sz="4" w:space="0" w:color="auto"/>
            </w:tcBorders>
            <w:shd w:val="clear" w:color="auto" w:fill="auto"/>
            <w:noWrap/>
            <w:vAlign w:val="center"/>
          </w:tcPr>
          <w:p w14:paraId="39D43E2B"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29.</w:t>
            </w:r>
          </w:p>
        </w:tc>
        <w:tc>
          <w:tcPr>
            <w:tcW w:w="2728" w:type="dxa"/>
            <w:tcBorders>
              <w:top w:val="single" w:sz="4" w:space="0" w:color="auto"/>
            </w:tcBorders>
            <w:shd w:val="clear" w:color="auto" w:fill="auto"/>
            <w:vAlign w:val="center"/>
          </w:tcPr>
          <w:p w14:paraId="1E61C6F9" w14:textId="77777777" w:rsidR="009072CE" w:rsidRPr="00A07F29" w:rsidRDefault="009072CE" w:rsidP="009072CE">
            <w:pPr>
              <w:spacing w:after="0" w:line="240" w:lineRule="auto"/>
              <w:rPr>
                <w:rFonts w:ascii="Times New Roman" w:eastAsia="Times New Roman" w:hAnsi="Times New Roman" w:cs="Times New Roman"/>
                <w:i/>
                <w:iCs/>
                <w:sz w:val="20"/>
                <w:szCs w:val="20"/>
                <w:lang w:eastAsia="lv-LV"/>
              </w:rPr>
            </w:pPr>
            <w:proofErr w:type="spellStart"/>
            <w:r w:rsidRPr="00A07F29">
              <w:rPr>
                <w:rFonts w:ascii="Times New Roman" w:eastAsia="Times New Roman" w:hAnsi="Times New Roman" w:cs="Times New Roman"/>
                <w:i/>
                <w:iCs/>
                <w:sz w:val="20"/>
                <w:szCs w:val="20"/>
                <w:lang w:eastAsia="lv-LV"/>
              </w:rPr>
              <w:t>Bulgarica</w:t>
            </w:r>
            <w:proofErr w:type="spellEnd"/>
            <w:r w:rsidRPr="00A07F29">
              <w:rPr>
                <w:rFonts w:ascii="Times New Roman" w:eastAsia="Times New Roman" w:hAnsi="Times New Roman" w:cs="Times New Roman"/>
                <w:i/>
                <w:iCs/>
                <w:sz w:val="20"/>
                <w:szCs w:val="20"/>
                <w:lang w:eastAsia="lv-LV"/>
              </w:rPr>
              <w:t xml:space="preserve"> </w:t>
            </w:r>
            <w:proofErr w:type="spellStart"/>
            <w:r w:rsidRPr="00A07F29">
              <w:rPr>
                <w:rFonts w:ascii="Times New Roman" w:eastAsia="Times New Roman" w:hAnsi="Times New Roman" w:cs="Times New Roman"/>
                <w:i/>
                <w:iCs/>
                <w:sz w:val="20"/>
                <w:szCs w:val="20"/>
                <w:lang w:eastAsia="lv-LV"/>
              </w:rPr>
              <w:t>cana</w:t>
            </w:r>
            <w:proofErr w:type="spellEnd"/>
          </w:p>
        </w:tc>
        <w:tc>
          <w:tcPr>
            <w:tcW w:w="2693" w:type="dxa"/>
            <w:tcBorders>
              <w:top w:val="single" w:sz="4" w:space="0" w:color="auto"/>
            </w:tcBorders>
            <w:shd w:val="clear" w:color="auto" w:fill="auto"/>
            <w:vAlign w:val="center"/>
          </w:tcPr>
          <w:p w14:paraId="281AFFA5" w14:textId="77777777" w:rsidR="009072CE" w:rsidRPr="00A07F29" w:rsidRDefault="009072CE" w:rsidP="009072CE">
            <w:pPr>
              <w:spacing w:after="0" w:line="240" w:lineRule="auto"/>
              <w:rPr>
                <w:rFonts w:ascii="Times New Roman" w:eastAsia="Arial Unicode MS" w:hAnsi="Times New Roman" w:cs="Times New Roman"/>
                <w:sz w:val="20"/>
                <w:szCs w:val="20"/>
                <w:lang w:eastAsia="lv-LV"/>
              </w:rPr>
            </w:pPr>
            <w:r w:rsidRPr="00A07F29">
              <w:rPr>
                <w:rFonts w:ascii="Times New Roman" w:eastAsia="Times New Roman" w:hAnsi="Times New Roman" w:cs="Times New Roman"/>
                <w:sz w:val="20"/>
                <w:szCs w:val="20"/>
                <w:lang w:eastAsia="lv-LV"/>
              </w:rPr>
              <w:t xml:space="preserve">Pelēkais </w:t>
            </w:r>
            <w:proofErr w:type="spellStart"/>
            <w:r w:rsidRPr="00A07F29">
              <w:rPr>
                <w:rFonts w:ascii="Times New Roman" w:eastAsia="Times New Roman" w:hAnsi="Times New Roman" w:cs="Times New Roman"/>
                <w:sz w:val="20"/>
                <w:szCs w:val="20"/>
                <w:lang w:eastAsia="lv-LV"/>
              </w:rPr>
              <w:t>vārpstiņgliemezis</w:t>
            </w:r>
            <w:proofErr w:type="spellEnd"/>
          </w:p>
        </w:tc>
        <w:tc>
          <w:tcPr>
            <w:tcW w:w="2410" w:type="dxa"/>
            <w:tcBorders>
              <w:top w:val="single" w:sz="4" w:space="0" w:color="auto"/>
            </w:tcBorders>
            <w:shd w:val="clear" w:color="auto" w:fill="auto"/>
            <w:noWrap/>
            <w:vAlign w:val="center"/>
          </w:tcPr>
          <w:p w14:paraId="2ECE37D5"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Ne bieži</w:t>
            </w:r>
          </w:p>
        </w:tc>
      </w:tr>
      <w:tr w:rsidR="009072CE" w:rsidRPr="00A07F29" w14:paraId="5B8363F0" w14:textId="77777777" w:rsidTr="009056A3">
        <w:trPr>
          <w:trHeight w:val="264"/>
          <w:jc w:val="center"/>
        </w:trPr>
        <w:tc>
          <w:tcPr>
            <w:tcW w:w="644" w:type="dxa"/>
            <w:shd w:val="clear" w:color="auto" w:fill="auto"/>
            <w:noWrap/>
            <w:vAlign w:val="center"/>
          </w:tcPr>
          <w:p w14:paraId="23410260"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30.</w:t>
            </w:r>
          </w:p>
        </w:tc>
        <w:tc>
          <w:tcPr>
            <w:tcW w:w="2728" w:type="dxa"/>
            <w:shd w:val="clear" w:color="auto" w:fill="auto"/>
            <w:vAlign w:val="center"/>
          </w:tcPr>
          <w:p w14:paraId="1004F059" w14:textId="77777777" w:rsidR="009072CE" w:rsidRPr="00A07F29" w:rsidRDefault="009072CE" w:rsidP="009072CE">
            <w:pPr>
              <w:spacing w:after="0" w:line="240" w:lineRule="auto"/>
              <w:rPr>
                <w:rFonts w:ascii="Times New Roman" w:eastAsia="Times New Roman" w:hAnsi="Times New Roman" w:cs="Times New Roman"/>
                <w:i/>
                <w:sz w:val="20"/>
                <w:szCs w:val="20"/>
                <w:lang w:eastAsia="lv-LV"/>
              </w:rPr>
            </w:pPr>
            <w:proofErr w:type="spellStart"/>
            <w:r w:rsidRPr="00A07F29">
              <w:rPr>
                <w:rFonts w:ascii="Times New Roman" w:eastAsia="Times New Roman" w:hAnsi="Times New Roman" w:cs="Times New Roman"/>
                <w:i/>
                <w:iCs/>
                <w:sz w:val="20"/>
                <w:szCs w:val="20"/>
                <w:lang w:eastAsia="lv-LV"/>
              </w:rPr>
              <w:t>Carychium</w:t>
            </w:r>
            <w:proofErr w:type="spellEnd"/>
            <w:r w:rsidRPr="00A07F29">
              <w:rPr>
                <w:rFonts w:ascii="Times New Roman" w:eastAsia="Times New Roman" w:hAnsi="Times New Roman" w:cs="Times New Roman"/>
                <w:i/>
                <w:iCs/>
                <w:sz w:val="20"/>
                <w:szCs w:val="20"/>
                <w:lang w:eastAsia="lv-LV"/>
              </w:rPr>
              <w:t xml:space="preserve"> minimum </w:t>
            </w:r>
          </w:p>
        </w:tc>
        <w:tc>
          <w:tcPr>
            <w:tcW w:w="2693" w:type="dxa"/>
            <w:shd w:val="clear" w:color="auto" w:fill="auto"/>
            <w:vAlign w:val="center"/>
          </w:tcPr>
          <w:p w14:paraId="28854726"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 xml:space="preserve">Resnais </w:t>
            </w:r>
            <w:proofErr w:type="spellStart"/>
            <w:r w:rsidRPr="00A07F29">
              <w:rPr>
                <w:rFonts w:ascii="Times New Roman" w:eastAsia="Times New Roman" w:hAnsi="Times New Roman" w:cs="Times New Roman"/>
                <w:sz w:val="20"/>
                <w:szCs w:val="20"/>
                <w:lang w:eastAsia="lv-LV"/>
              </w:rPr>
              <w:t>sīkgliemezis</w:t>
            </w:r>
            <w:proofErr w:type="spellEnd"/>
          </w:p>
        </w:tc>
        <w:tc>
          <w:tcPr>
            <w:tcW w:w="2410" w:type="dxa"/>
            <w:shd w:val="clear" w:color="auto" w:fill="auto"/>
            <w:noWrap/>
            <w:vAlign w:val="center"/>
          </w:tcPr>
          <w:p w14:paraId="1C0734DB"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 xml:space="preserve">Bieži </w:t>
            </w:r>
          </w:p>
        </w:tc>
      </w:tr>
      <w:tr w:rsidR="009072CE" w:rsidRPr="00A07F29" w14:paraId="091B08B4" w14:textId="77777777" w:rsidTr="009056A3">
        <w:trPr>
          <w:trHeight w:val="264"/>
          <w:jc w:val="center"/>
        </w:trPr>
        <w:tc>
          <w:tcPr>
            <w:tcW w:w="644" w:type="dxa"/>
            <w:shd w:val="clear" w:color="auto" w:fill="auto"/>
            <w:noWrap/>
            <w:vAlign w:val="center"/>
          </w:tcPr>
          <w:p w14:paraId="5A9DD8BC"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31.</w:t>
            </w:r>
          </w:p>
        </w:tc>
        <w:tc>
          <w:tcPr>
            <w:tcW w:w="2728" w:type="dxa"/>
            <w:shd w:val="clear" w:color="auto" w:fill="auto"/>
            <w:noWrap/>
            <w:vAlign w:val="center"/>
          </w:tcPr>
          <w:p w14:paraId="7490895F" w14:textId="77777777" w:rsidR="009072CE" w:rsidRPr="00A07F29" w:rsidRDefault="009072CE" w:rsidP="009072CE">
            <w:pPr>
              <w:spacing w:after="0" w:line="240" w:lineRule="auto"/>
              <w:rPr>
                <w:rFonts w:ascii="Times New Roman" w:eastAsia="Times New Roman" w:hAnsi="Times New Roman" w:cs="Times New Roman"/>
                <w:i/>
                <w:iCs/>
                <w:sz w:val="20"/>
                <w:szCs w:val="20"/>
                <w:lang w:eastAsia="lv-LV"/>
              </w:rPr>
            </w:pPr>
            <w:proofErr w:type="spellStart"/>
            <w:r w:rsidRPr="00A07F29">
              <w:rPr>
                <w:rFonts w:ascii="Times New Roman" w:eastAsia="Times New Roman" w:hAnsi="Times New Roman" w:cs="Times New Roman"/>
                <w:i/>
                <w:iCs/>
                <w:sz w:val="20"/>
                <w:szCs w:val="20"/>
                <w:lang w:eastAsia="lv-LV"/>
              </w:rPr>
              <w:t>Carychium</w:t>
            </w:r>
            <w:proofErr w:type="spellEnd"/>
            <w:r w:rsidRPr="00A07F29">
              <w:rPr>
                <w:rFonts w:ascii="Times New Roman" w:eastAsia="Times New Roman" w:hAnsi="Times New Roman" w:cs="Times New Roman"/>
                <w:i/>
                <w:iCs/>
                <w:sz w:val="20"/>
                <w:szCs w:val="20"/>
                <w:lang w:eastAsia="lv-LV"/>
              </w:rPr>
              <w:t xml:space="preserve"> </w:t>
            </w:r>
            <w:proofErr w:type="spellStart"/>
            <w:r w:rsidRPr="00A07F29">
              <w:rPr>
                <w:rFonts w:ascii="Times New Roman" w:eastAsia="Times New Roman" w:hAnsi="Times New Roman" w:cs="Times New Roman"/>
                <w:i/>
                <w:iCs/>
                <w:sz w:val="20"/>
                <w:szCs w:val="20"/>
                <w:lang w:eastAsia="lv-LV"/>
              </w:rPr>
              <w:t>tridentatum</w:t>
            </w:r>
            <w:proofErr w:type="spellEnd"/>
          </w:p>
        </w:tc>
        <w:tc>
          <w:tcPr>
            <w:tcW w:w="2693" w:type="dxa"/>
            <w:shd w:val="clear" w:color="auto" w:fill="auto"/>
            <w:noWrap/>
            <w:vAlign w:val="center"/>
          </w:tcPr>
          <w:p w14:paraId="67F302FC"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 xml:space="preserve">Slaidais </w:t>
            </w:r>
            <w:proofErr w:type="spellStart"/>
            <w:r w:rsidRPr="00A07F29">
              <w:rPr>
                <w:rFonts w:ascii="Times New Roman" w:eastAsia="Times New Roman" w:hAnsi="Times New Roman" w:cs="Times New Roman"/>
                <w:sz w:val="20"/>
                <w:szCs w:val="20"/>
                <w:lang w:eastAsia="lv-LV"/>
              </w:rPr>
              <w:t>sīkgliemezis</w:t>
            </w:r>
            <w:proofErr w:type="spellEnd"/>
          </w:p>
        </w:tc>
        <w:tc>
          <w:tcPr>
            <w:tcW w:w="2410" w:type="dxa"/>
            <w:shd w:val="clear" w:color="auto" w:fill="auto"/>
            <w:noWrap/>
            <w:vAlign w:val="center"/>
          </w:tcPr>
          <w:p w14:paraId="70C678F3"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Bieži</w:t>
            </w:r>
          </w:p>
        </w:tc>
      </w:tr>
      <w:tr w:rsidR="009072CE" w:rsidRPr="00A07F29" w14:paraId="6EC2A87F" w14:textId="77777777" w:rsidTr="009056A3">
        <w:trPr>
          <w:trHeight w:val="264"/>
          <w:jc w:val="center"/>
        </w:trPr>
        <w:tc>
          <w:tcPr>
            <w:tcW w:w="644" w:type="dxa"/>
            <w:shd w:val="clear" w:color="auto" w:fill="auto"/>
            <w:noWrap/>
            <w:vAlign w:val="center"/>
          </w:tcPr>
          <w:p w14:paraId="6D298FC5"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32.</w:t>
            </w:r>
          </w:p>
        </w:tc>
        <w:tc>
          <w:tcPr>
            <w:tcW w:w="2728" w:type="dxa"/>
            <w:shd w:val="clear" w:color="auto" w:fill="auto"/>
            <w:noWrap/>
            <w:vAlign w:val="center"/>
          </w:tcPr>
          <w:p w14:paraId="6E7D631D" w14:textId="77777777" w:rsidR="009072CE" w:rsidRPr="00A07F29" w:rsidRDefault="009072CE" w:rsidP="009072CE">
            <w:pPr>
              <w:spacing w:after="0" w:line="240" w:lineRule="auto"/>
              <w:rPr>
                <w:rFonts w:ascii="Times New Roman" w:eastAsia="Times New Roman" w:hAnsi="Times New Roman" w:cs="Times New Roman"/>
                <w:i/>
                <w:iCs/>
                <w:sz w:val="20"/>
                <w:szCs w:val="20"/>
                <w:lang w:eastAsia="lv-LV"/>
              </w:rPr>
            </w:pPr>
            <w:proofErr w:type="spellStart"/>
            <w:r w:rsidRPr="00A07F29">
              <w:rPr>
                <w:rFonts w:ascii="Times New Roman" w:eastAsia="Times New Roman" w:hAnsi="Times New Roman" w:cs="Times New Roman"/>
                <w:i/>
                <w:iCs/>
                <w:sz w:val="20"/>
                <w:szCs w:val="20"/>
                <w:lang w:eastAsia="lv-LV"/>
              </w:rPr>
              <w:t>Cepaea</w:t>
            </w:r>
            <w:proofErr w:type="spellEnd"/>
            <w:r w:rsidRPr="00A07F29">
              <w:rPr>
                <w:rFonts w:ascii="Times New Roman" w:eastAsia="Times New Roman" w:hAnsi="Times New Roman" w:cs="Times New Roman"/>
                <w:i/>
                <w:iCs/>
                <w:sz w:val="20"/>
                <w:szCs w:val="20"/>
                <w:lang w:eastAsia="lv-LV"/>
              </w:rPr>
              <w:t xml:space="preserve"> </w:t>
            </w:r>
            <w:proofErr w:type="spellStart"/>
            <w:r w:rsidRPr="00A07F29">
              <w:rPr>
                <w:rFonts w:ascii="Times New Roman" w:eastAsia="Times New Roman" w:hAnsi="Times New Roman" w:cs="Times New Roman"/>
                <w:i/>
                <w:iCs/>
                <w:sz w:val="20"/>
                <w:szCs w:val="20"/>
                <w:lang w:eastAsia="lv-LV"/>
              </w:rPr>
              <w:t>hortensis</w:t>
            </w:r>
            <w:proofErr w:type="spellEnd"/>
          </w:p>
        </w:tc>
        <w:tc>
          <w:tcPr>
            <w:tcW w:w="2693" w:type="dxa"/>
            <w:shd w:val="clear" w:color="auto" w:fill="auto"/>
            <w:noWrap/>
            <w:vAlign w:val="center"/>
          </w:tcPr>
          <w:p w14:paraId="5B5034C3"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Dārza vīngliemezis</w:t>
            </w:r>
          </w:p>
        </w:tc>
        <w:tc>
          <w:tcPr>
            <w:tcW w:w="2410" w:type="dxa"/>
            <w:shd w:val="clear" w:color="auto" w:fill="auto"/>
            <w:noWrap/>
            <w:vAlign w:val="center"/>
          </w:tcPr>
          <w:p w14:paraId="2F0505F7"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Samērā bieži</w:t>
            </w:r>
          </w:p>
        </w:tc>
      </w:tr>
      <w:tr w:rsidR="009072CE" w:rsidRPr="00A07F29" w14:paraId="33F7EEF3" w14:textId="77777777" w:rsidTr="009056A3">
        <w:trPr>
          <w:trHeight w:val="264"/>
          <w:jc w:val="center"/>
        </w:trPr>
        <w:tc>
          <w:tcPr>
            <w:tcW w:w="644" w:type="dxa"/>
            <w:shd w:val="clear" w:color="auto" w:fill="auto"/>
            <w:noWrap/>
            <w:vAlign w:val="center"/>
          </w:tcPr>
          <w:p w14:paraId="3CC71330"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lastRenderedPageBreak/>
              <w:t>33.</w:t>
            </w:r>
          </w:p>
        </w:tc>
        <w:tc>
          <w:tcPr>
            <w:tcW w:w="2728" w:type="dxa"/>
            <w:shd w:val="clear" w:color="auto" w:fill="auto"/>
            <w:noWrap/>
            <w:vAlign w:val="center"/>
          </w:tcPr>
          <w:p w14:paraId="3C37E670" w14:textId="77777777" w:rsidR="009072CE" w:rsidRPr="00A07F29" w:rsidRDefault="009072CE" w:rsidP="009072CE">
            <w:pPr>
              <w:spacing w:after="0" w:line="240" w:lineRule="auto"/>
              <w:rPr>
                <w:rFonts w:ascii="Times New Roman" w:eastAsia="Times New Roman" w:hAnsi="Times New Roman" w:cs="Times New Roman"/>
                <w:i/>
                <w:iCs/>
                <w:sz w:val="20"/>
                <w:szCs w:val="20"/>
                <w:lang w:eastAsia="lv-LV"/>
              </w:rPr>
            </w:pPr>
            <w:proofErr w:type="spellStart"/>
            <w:r w:rsidRPr="00A07F29">
              <w:rPr>
                <w:rFonts w:ascii="Times New Roman" w:eastAsia="Times New Roman" w:hAnsi="Times New Roman" w:cs="Times New Roman"/>
                <w:i/>
                <w:iCs/>
                <w:sz w:val="20"/>
                <w:szCs w:val="20"/>
                <w:lang w:eastAsia="lv-LV"/>
              </w:rPr>
              <w:t>Clausilia</w:t>
            </w:r>
            <w:proofErr w:type="spellEnd"/>
            <w:r w:rsidRPr="00A07F29">
              <w:rPr>
                <w:rFonts w:ascii="Times New Roman" w:eastAsia="Times New Roman" w:hAnsi="Times New Roman" w:cs="Times New Roman"/>
                <w:i/>
                <w:iCs/>
                <w:sz w:val="20"/>
                <w:szCs w:val="20"/>
                <w:lang w:eastAsia="lv-LV"/>
              </w:rPr>
              <w:t xml:space="preserve"> </w:t>
            </w:r>
            <w:proofErr w:type="spellStart"/>
            <w:r w:rsidRPr="00A07F29">
              <w:rPr>
                <w:rFonts w:ascii="Times New Roman" w:eastAsia="Times New Roman" w:hAnsi="Times New Roman" w:cs="Times New Roman"/>
                <w:i/>
                <w:iCs/>
                <w:sz w:val="20"/>
                <w:szCs w:val="20"/>
                <w:lang w:eastAsia="lv-LV"/>
              </w:rPr>
              <w:t>cruciata</w:t>
            </w:r>
            <w:proofErr w:type="spellEnd"/>
          </w:p>
        </w:tc>
        <w:tc>
          <w:tcPr>
            <w:tcW w:w="2693" w:type="dxa"/>
            <w:shd w:val="clear" w:color="auto" w:fill="auto"/>
            <w:noWrap/>
            <w:vAlign w:val="center"/>
          </w:tcPr>
          <w:p w14:paraId="479033E6"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proofErr w:type="spellStart"/>
            <w:r w:rsidRPr="00A07F29">
              <w:rPr>
                <w:rFonts w:ascii="Times New Roman" w:eastAsia="Times New Roman" w:hAnsi="Times New Roman" w:cs="Times New Roman"/>
                <w:sz w:val="20"/>
                <w:szCs w:val="20"/>
                <w:lang w:eastAsia="lv-LV"/>
              </w:rPr>
              <w:t>Asribu</w:t>
            </w:r>
            <w:proofErr w:type="spellEnd"/>
            <w:r w:rsidRPr="00A07F29">
              <w:rPr>
                <w:rFonts w:ascii="Times New Roman" w:eastAsia="Times New Roman" w:hAnsi="Times New Roman" w:cs="Times New Roman"/>
                <w:sz w:val="20"/>
                <w:szCs w:val="20"/>
                <w:lang w:eastAsia="lv-LV"/>
              </w:rPr>
              <w:t xml:space="preserve"> </w:t>
            </w:r>
            <w:proofErr w:type="spellStart"/>
            <w:r w:rsidRPr="00A07F29">
              <w:rPr>
                <w:rFonts w:ascii="Times New Roman" w:eastAsia="Times New Roman" w:hAnsi="Times New Roman" w:cs="Times New Roman"/>
                <w:sz w:val="20"/>
                <w:szCs w:val="20"/>
                <w:lang w:eastAsia="lv-LV"/>
              </w:rPr>
              <w:t>vārpstiņgliemezis</w:t>
            </w:r>
            <w:proofErr w:type="spellEnd"/>
          </w:p>
        </w:tc>
        <w:tc>
          <w:tcPr>
            <w:tcW w:w="2410" w:type="dxa"/>
            <w:shd w:val="clear" w:color="auto" w:fill="auto"/>
            <w:noWrap/>
            <w:vAlign w:val="center"/>
          </w:tcPr>
          <w:p w14:paraId="0223D6E6"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Reti</w:t>
            </w:r>
          </w:p>
        </w:tc>
      </w:tr>
      <w:tr w:rsidR="009072CE" w:rsidRPr="00A07F29" w14:paraId="40836545" w14:textId="77777777" w:rsidTr="009056A3">
        <w:trPr>
          <w:trHeight w:val="264"/>
          <w:jc w:val="center"/>
        </w:trPr>
        <w:tc>
          <w:tcPr>
            <w:tcW w:w="644" w:type="dxa"/>
            <w:shd w:val="clear" w:color="auto" w:fill="auto"/>
            <w:noWrap/>
            <w:vAlign w:val="center"/>
          </w:tcPr>
          <w:p w14:paraId="4996BF5D"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34.</w:t>
            </w:r>
          </w:p>
        </w:tc>
        <w:tc>
          <w:tcPr>
            <w:tcW w:w="2728" w:type="dxa"/>
            <w:shd w:val="clear" w:color="auto" w:fill="auto"/>
            <w:noWrap/>
            <w:vAlign w:val="center"/>
          </w:tcPr>
          <w:p w14:paraId="37383085" w14:textId="77777777" w:rsidR="009072CE" w:rsidRPr="00A07F29" w:rsidRDefault="009072CE" w:rsidP="009072CE">
            <w:pPr>
              <w:spacing w:after="0" w:line="240" w:lineRule="auto"/>
              <w:rPr>
                <w:rFonts w:ascii="Times New Roman" w:eastAsia="Times New Roman" w:hAnsi="Times New Roman" w:cs="Times New Roman"/>
                <w:i/>
                <w:iCs/>
                <w:sz w:val="20"/>
                <w:szCs w:val="20"/>
                <w:lang w:eastAsia="lv-LV"/>
              </w:rPr>
            </w:pPr>
            <w:proofErr w:type="spellStart"/>
            <w:r w:rsidRPr="00A07F29">
              <w:rPr>
                <w:rFonts w:ascii="Times New Roman" w:eastAsia="Times New Roman" w:hAnsi="Times New Roman" w:cs="Times New Roman"/>
                <w:i/>
                <w:iCs/>
                <w:sz w:val="20"/>
                <w:szCs w:val="20"/>
                <w:lang w:eastAsia="lv-LV"/>
              </w:rPr>
              <w:t>Clausilia</w:t>
            </w:r>
            <w:proofErr w:type="spellEnd"/>
            <w:r w:rsidRPr="00A07F29">
              <w:rPr>
                <w:rFonts w:ascii="Times New Roman" w:eastAsia="Times New Roman" w:hAnsi="Times New Roman" w:cs="Times New Roman"/>
                <w:i/>
                <w:iCs/>
                <w:sz w:val="20"/>
                <w:szCs w:val="20"/>
                <w:lang w:eastAsia="lv-LV"/>
              </w:rPr>
              <w:t xml:space="preserve"> </w:t>
            </w:r>
            <w:proofErr w:type="spellStart"/>
            <w:r w:rsidRPr="00A07F29">
              <w:rPr>
                <w:rFonts w:ascii="Times New Roman" w:eastAsia="Times New Roman" w:hAnsi="Times New Roman" w:cs="Times New Roman"/>
                <w:i/>
                <w:iCs/>
                <w:sz w:val="20"/>
                <w:szCs w:val="20"/>
                <w:lang w:eastAsia="lv-LV"/>
              </w:rPr>
              <w:t>dubia</w:t>
            </w:r>
            <w:proofErr w:type="spellEnd"/>
          </w:p>
        </w:tc>
        <w:tc>
          <w:tcPr>
            <w:tcW w:w="2693" w:type="dxa"/>
            <w:shd w:val="clear" w:color="auto" w:fill="auto"/>
            <w:noWrap/>
            <w:vAlign w:val="center"/>
          </w:tcPr>
          <w:p w14:paraId="01AA4113"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proofErr w:type="spellStart"/>
            <w:r w:rsidRPr="00A07F29">
              <w:rPr>
                <w:rFonts w:ascii="Times New Roman" w:eastAsia="Times New Roman" w:hAnsi="Times New Roman" w:cs="Times New Roman"/>
                <w:sz w:val="20"/>
                <w:szCs w:val="20"/>
                <w:lang w:eastAsia="lv-LV"/>
              </w:rPr>
              <w:t>Margainais</w:t>
            </w:r>
            <w:proofErr w:type="spellEnd"/>
            <w:r w:rsidRPr="00A07F29">
              <w:rPr>
                <w:rFonts w:ascii="Times New Roman" w:eastAsia="Times New Roman" w:hAnsi="Times New Roman" w:cs="Times New Roman"/>
                <w:sz w:val="20"/>
                <w:szCs w:val="20"/>
                <w:lang w:eastAsia="lv-LV"/>
              </w:rPr>
              <w:t xml:space="preserve"> </w:t>
            </w:r>
            <w:proofErr w:type="spellStart"/>
            <w:r w:rsidRPr="00A07F29">
              <w:rPr>
                <w:rFonts w:ascii="Times New Roman" w:eastAsia="Times New Roman" w:hAnsi="Times New Roman" w:cs="Times New Roman"/>
                <w:sz w:val="20"/>
                <w:szCs w:val="20"/>
                <w:lang w:eastAsia="lv-LV"/>
              </w:rPr>
              <w:t>vārpstiņgliemezis</w:t>
            </w:r>
            <w:proofErr w:type="spellEnd"/>
          </w:p>
        </w:tc>
        <w:tc>
          <w:tcPr>
            <w:tcW w:w="2410" w:type="dxa"/>
            <w:shd w:val="clear" w:color="auto" w:fill="auto"/>
            <w:noWrap/>
            <w:vAlign w:val="center"/>
          </w:tcPr>
          <w:p w14:paraId="7B8F38CF"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Ne bieži</w:t>
            </w:r>
          </w:p>
        </w:tc>
      </w:tr>
      <w:tr w:rsidR="009072CE" w:rsidRPr="00A07F29" w14:paraId="6146115C" w14:textId="77777777" w:rsidTr="009056A3">
        <w:trPr>
          <w:trHeight w:val="264"/>
          <w:jc w:val="center"/>
        </w:trPr>
        <w:tc>
          <w:tcPr>
            <w:tcW w:w="644" w:type="dxa"/>
            <w:shd w:val="clear" w:color="auto" w:fill="auto"/>
            <w:noWrap/>
            <w:vAlign w:val="center"/>
          </w:tcPr>
          <w:p w14:paraId="0BD0E80E"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35.</w:t>
            </w:r>
          </w:p>
        </w:tc>
        <w:tc>
          <w:tcPr>
            <w:tcW w:w="2728" w:type="dxa"/>
            <w:shd w:val="clear" w:color="auto" w:fill="auto"/>
            <w:noWrap/>
            <w:vAlign w:val="center"/>
          </w:tcPr>
          <w:p w14:paraId="68630859" w14:textId="77777777" w:rsidR="009072CE" w:rsidRPr="00A07F29" w:rsidRDefault="009072CE" w:rsidP="009072CE">
            <w:pPr>
              <w:spacing w:after="0" w:line="240" w:lineRule="auto"/>
              <w:rPr>
                <w:rFonts w:ascii="Times New Roman" w:eastAsia="Times New Roman" w:hAnsi="Times New Roman" w:cs="Times New Roman"/>
                <w:i/>
                <w:iCs/>
                <w:sz w:val="20"/>
                <w:szCs w:val="20"/>
                <w:lang w:eastAsia="lv-LV"/>
              </w:rPr>
            </w:pPr>
            <w:proofErr w:type="spellStart"/>
            <w:r w:rsidRPr="00A07F29">
              <w:rPr>
                <w:rFonts w:ascii="Times New Roman" w:eastAsia="Times New Roman" w:hAnsi="Times New Roman" w:cs="Times New Roman"/>
                <w:i/>
                <w:iCs/>
                <w:sz w:val="20"/>
                <w:szCs w:val="20"/>
                <w:lang w:eastAsia="lv-LV"/>
              </w:rPr>
              <w:t>Clausilia</w:t>
            </w:r>
            <w:proofErr w:type="spellEnd"/>
            <w:r w:rsidRPr="00A07F29">
              <w:rPr>
                <w:rFonts w:ascii="Times New Roman" w:eastAsia="Times New Roman" w:hAnsi="Times New Roman" w:cs="Times New Roman"/>
                <w:i/>
                <w:iCs/>
                <w:sz w:val="20"/>
                <w:szCs w:val="20"/>
                <w:lang w:eastAsia="lv-LV"/>
              </w:rPr>
              <w:t xml:space="preserve"> </w:t>
            </w:r>
            <w:proofErr w:type="spellStart"/>
            <w:r w:rsidRPr="00A07F29">
              <w:rPr>
                <w:rFonts w:ascii="Times New Roman" w:eastAsia="Times New Roman" w:hAnsi="Times New Roman" w:cs="Times New Roman"/>
                <w:i/>
                <w:iCs/>
                <w:sz w:val="20"/>
                <w:szCs w:val="20"/>
                <w:lang w:eastAsia="lv-LV"/>
              </w:rPr>
              <w:t>pumila</w:t>
            </w:r>
            <w:proofErr w:type="spellEnd"/>
          </w:p>
        </w:tc>
        <w:tc>
          <w:tcPr>
            <w:tcW w:w="2693" w:type="dxa"/>
            <w:shd w:val="clear" w:color="auto" w:fill="auto"/>
            <w:noWrap/>
            <w:vAlign w:val="center"/>
          </w:tcPr>
          <w:p w14:paraId="3A441F11"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proofErr w:type="spellStart"/>
            <w:r w:rsidRPr="00A07F29">
              <w:rPr>
                <w:rFonts w:ascii="Times New Roman" w:eastAsia="Times New Roman" w:hAnsi="Times New Roman" w:cs="Times New Roman"/>
                <w:sz w:val="20"/>
                <w:szCs w:val="20"/>
                <w:lang w:eastAsia="lv-LV"/>
              </w:rPr>
              <w:t>Vālīšveida</w:t>
            </w:r>
            <w:proofErr w:type="spellEnd"/>
            <w:r w:rsidRPr="00A07F29">
              <w:rPr>
                <w:rFonts w:ascii="Times New Roman" w:eastAsia="Times New Roman" w:hAnsi="Times New Roman" w:cs="Times New Roman"/>
                <w:sz w:val="20"/>
                <w:szCs w:val="20"/>
                <w:lang w:eastAsia="lv-LV"/>
              </w:rPr>
              <w:t xml:space="preserve"> </w:t>
            </w:r>
            <w:proofErr w:type="spellStart"/>
            <w:r w:rsidRPr="00A07F29">
              <w:rPr>
                <w:rFonts w:ascii="Times New Roman" w:eastAsia="Times New Roman" w:hAnsi="Times New Roman" w:cs="Times New Roman"/>
                <w:sz w:val="20"/>
                <w:szCs w:val="20"/>
                <w:lang w:eastAsia="lv-LV"/>
              </w:rPr>
              <w:t>vārpstiņgliemezis</w:t>
            </w:r>
            <w:proofErr w:type="spellEnd"/>
          </w:p>
        </w:tc>
        <w:tc>
          <w:tcPr>
            <w:tcW w:w="2410" w:type="dxa"/>
            <w:shd w:val="clear" w:color="auto" w:fill="auto"/>
            <w:noWrap/>
            <w:vAlign w:val="center"/>
          </w:tcPr>
          <w:p w14:paraId="626895C2"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Ne bieži</w:t>
            </w:r>
          </w:p>
        </w:tc>
      </w:tr>
      <w:tr w:rsidR="009072CE" w:rsidRPr="00A07F29" w14:paraId="409DE204" w14:textId="77777777" w:rsidTr="009056A3">
        <w:trPr>
          <w:trHeight w:val="264"/>
          <w:jc w:val="center"/>
        </w:trPr>
        <w:tc>
          <w:tcPr>
            <w:tcW w:w="644" w:type="dxa"/>
            <w:shd w:val="clear" w:color="auto" w:fill="auto"/>
            <w:noWrap/>
            <w:vAlign w:val="center"/>
          </w:tcPr>
          <w:p w14:paraId="5814E71D"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36.</w:t>
            </w:r>
          </w:p>
        </w:tc>
        <w:tc>
          <w:tcPr>
            <w:tcW w:w="2728" w:type="dxa"/>
            <w:shd w:val="clear" w:color="auto" w:fill="auto"/>
            <w:noWrap/>
            <w:vAlign w:val="center"/>
          </w:tcPr>
          <w:p w14:paraId="34F32491" w14:textId="77777777" w:rsidR="009072CE" w:rsidRPr="00A07F29" w:rsidRDefault="009072CE" w:rsidP="009072CE">
            <w:pPr>
              <w:spacing w:after="0" w:line="240" w:lineRule="auto"/>
              <w:rPr>
                <w:rFonts w:ascii="Times New Roman" w:eastAsia="Times New Roman" w:hAnsi="Times New Roman" w:cs="Times New Roman"/>
                <w:i/>
                <w:iCs/>
                <w:sz w:val="20"/>
                <w:szCs w:val="20"/>
                <w:lang w:eastAsia="lv-LV"/>
              </w:rPr>
            </w:pPr>
            <w:proofErr w:type="spellStart"/>
            <w:r w:rsidRPr="00A07F29">
              <w:rPr>
                <w:rFonts w:ascii="Times New Roman" w:eastAsia="Times New Roman" w:hAnsi="Times New Roman" w:cs="Times New Roman"/>
                <w:i/>
                <w:iCs/>
                <w:sz w:val="20"/>
                <w:szCs w:val="20"/>
                <w:lang w:eastAsia="lv-LV"/>
              </w:rPr>
              <w:t>Cochlicopa</w:t>
            </w:r>
            <w:proofErr w:type="spellEnd"/>
            <w:r w:rsidRPr="00A07F29">
              <w:rPr>
                <w:rFonts w:ascii="Times New Roman" w:eastAsia="Times New Roman" w:hAnsi="Times New Roman" w:cs="Times New Roman"/>
                <w:i/>
                <w:iCs/>
                <w:sz w:val="20"/>
                <w:szCs w:val="20"/>
                <w:lang w:eastAsia="lv-LV"/>
              </w:rPr>
              <w:t xml:space="preserve"> </w:t>
            </w:r>
            <w:proofErr w:type="spellStart"/>
            <w:r w:rsidRPr="00A07F29">
              <w:rPr>
                <w:rFonts w:ascii="Times New Roman" w:eastAsia="Times New Roman" w:hAnsi="Times New Roman" w:cs="Times New Roman"/>
                <w:i/>
                <w:iCs/>
                <w:sz w:val="20"/>
                <w:szCs w:val="20"/>
                <w:lang w:eastAsia="lv-LV"/>
              </w:rPr>
              <w:t>lubrica</w:t>
            </w:r>
            <w:proofErr w:type="spellEnd"/>
          </w:p>
        </w:tc>
        <w:tc>
          <w:tcPr>
            <w:tcW w:w="2693" w:type="dxa"/>
            <w:shd w:val="clear" w:color="auto" w:fill="auto"/>
            <w:noWrap/>
            <w:vAlign w:val="center"/>
          </w:tcPr>
          <w:p w14:paraId="6ECEB121"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 xml:space="preserve">Parastais </w:t>
            </w:r>
            <w:proofErr w:type="spellStart"/>
            <w:r w:rsidRPr="00A07F29">
              <w:rPr>
                <w:rFonts w:ascii="Times New Roman" w:eastAsia="Times New Roman" w:hAnsi="Times New Roman" w:cs="Times New Roman"/>
                <w:sz w:val="20"/>
                <w:szCs w:val="20"/>
                <w:lang w:eastAsia="lv-LV"/>
              </w:rPr>
              <w:t>gludgliemezis</w:t>
            </w:r>
            <w:proofErr w:type="spellEnd"/>
          </w:p>
        </w:tc>
        <w:tc>
          <w:tcPr>
            <w:tcW w:w="2410" w:type="dxa"/>
            <w:shd w:val="clear" w:color="auto" w:fill="auto"/>
            <w:noWrap/>
            <w:vAlign w:val="center"/>
          </w:tcPr>
          <w:p w14:paraId="0A6E32C2"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Ļoti bieži</w:t>
            </w:r>
          </w:p>
        </w:tc>
      </w:tr>
      <w:tr w:rsidR="009072CE" w:rsidRPr="00A07F29" w14:paraId="1D55AD4D" w14:textId="77777777" w:rsidTr="009056A3">
        <w:trPr>
          <w:trHeight w:val="264"/>
          <w:jc w:val="center"/>
        </w:trPr>
        <w:tc>
          <w:tcPr>
            <w:tcW w:w="644" w:type="dxa"/>
            <w:shd w:val="clear" w:color="auto" w:fill="auto"/>
            <w:noWrap/>
            <w:vAlign w:val="center"/>
          </w:tcPr>
          <w:p w14:paraId="03F48D5F"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37.</w:t>
            </w:r>
          </w:p>
        </w:tc>
        <w:tc>
          <w:tcPr>
            <w:tcW w:w="2728" w:type="dxa"/>
            <w:shd w:val="clear" w:color="auto" w:fill="auto"/>
            <w:noWrap/>
            <w:vAlign w:val="center"/>
          </w:tcPr>
          <w:p w14:paraId="57E027CA" w14:textId="77777777" w:rsidR="009072CE" w:rsidRPr="00A07F29" w:rsidRDefault="009072CE" w:rsidP="009072CE">
            <w:pPr>
              <w:spacing w:after="0" w:line="240" w:lineRule="auto"/>
              <w:rPr>
                <w:rFonts w:ascii="Times New Roman" w:eastAsia="Times New Roman" w:hAnsi="Times New Roman" w:cs="Times New Roman"/>
                <w:i/>
                <w:iCs/>
                <w:sz w:val="20"/>
                <w:szCs w:val="20"/>
                <w:lang w:eastAsia="lv-LV"/>
              </w:rPr>
            </w:pPr>
            <w:proofErr w:type="spellStart"/>
            <w:r w:rsidRPr="00A07F29">
              <w:rPr>
                <w:rFonts w:ascii="Times New Roman" w:eastAsia="Times New Roman" w:hAnsi="Times New Roman" w:cs="Times New Roman"/>
                <w:i/>
                <w:iCs/>
                <w:sz w:val="20"/>
                <w:szCs w:val="20"/>
                <w:lang w:eastAsia="lv-LV"/>
              </w:rPr>
              <w:t>Cochlicopa</w:t>
            </w:r>
            <w:proofErr w:type="spellEnd"/>
            <w:r w:rsidRPr="00A07F29">
              <w:rPr>
                <w:rFonts w:ascii="Times New Roman" w:eastAsia="Times New Roman" w:hAnsi="Times New Roman" w:cs="Times New Roman"/>
                <w:i/>
                <w:iCs/>
                <w:sz w:val="20"/>
                <w:szCs w:val="20"/>
                <w:lang w:eastAsia="lv-LV"/>
              </w:rPr>
              <w:t xml:space="preserve"> </w:t>
            </w:r>
            <w:proofErr w:type="spellStart"/>
            <w:r w:rsidRPr="00A07F29">
              <w:rPr>
                <w:rFonts w:ascii="Times New Roman" w:eastAsia="Times New Roman" w:hAnsi="Times New Roman" w:cs="Times New Roman"/>
                <w:i/>
                <w:iCs/>
                <w:sz w:val="20"/>
                <w:szCs w:val="20"/>
                <w:lang w:eastAsia="lv-LV"/>
              </w:rPr>
              <w:t>lubricella</w:t>
            </w:r>
            <w:proofErr w:type="spellEnd"/>
          </w:p>
        </w:tc>
        <w:tc>
          <w:tcPr>
            <w:tcW w:w="2693" w:type="dxa"/>
            <w:shd w:val="clear" w:color="auto" w:fill="auto"/>
            <w:noWrap/>
            <w:vAlign w:val="center"/>
          </w:tcPr>
          <w:p w14:paraId="4D6345A7"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 xml:space="preserve">Mazais </w:t>
            </w:r>
            <w:proofErr w:type="spellStart"/>
            <w:r w:rsidRPr="00A07F29">
              <w:rPr>
                <w:rFonts w:ascii="Times New Roman" w:eastAsia="Times New Roman" w:hAnsi="Times New Roman" w:cs="Times New Roman"/>
                <w:sz w:val="20"/>
                <w:szCs w:val="20"/>
                <w:lang w:eastAsia="lv-LV"/>
              </w:rPr>
              <w:t>gludgliemezis</w:t>
            </w:r>
            <w:proofErr w:type="spellEnd"/>
          </w:p>
        </w:tc>
        <w:tc>
          <w:tcPr>
            <w:tcW w:w="2410" w:type="dxa"/>
            <w:shd w:val="clear" w:color="auto" w:fill="auto"/>
            <w:noWrap/>
            <w:vAlign w:val="center"/>
          </w:tcPr>
          <w:p w14:paraId="7473E644"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Ne bieži</w:t>
            </w:r>
          </w:p>
        </w:tc>
      </w:tr>
      <w:tr w:rsidR="009072CE" w:rsidRPr="00A07F29" w14:paraId="0E4D7A8F" w14:textId="77777777" w:rsidTr="009056A3">
        <w:trPr>
          <w:trHeight w:val="264"/>
          <w:jc w:val="center"/>
        </w:trPr>
        <w:tc>
          <w:tcPr>
            <w:tcW w:w="644" w:type="dxa"/>
            <w:shd w:val="clear" w:color="auto" w:fill="auto"/>
            <w:noWrap/>
            <w:vAlign w:val="center"/>
          </w:tcPr>
          <w:p w14:paraId="7AE61A57"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38.</w:t>
            </w:r>
          </w:p>
        </w:tc>
        <w:tc>
          <w:tcPr>
            <w:tcW w:w="2728" w:type="dxa"/>
            <w:shd w:val="clear" w:color="auto" w:fill="auto"/>
            <w:noWrap/>
            <w:vAlign w:val="center"/>
          </w:tcPr>
          <w:p w14:paraId="688D84B9" w14:textId="77777777" w:rsidR="009072CE" w:rsidRPr="00A07F29" w:rsidRDefault="009072CE" w:rsidP="009072CE">
            <w:pPr>
              <w:spacing w:after="0" w:line="240" w:lineRule="auto"/>
              <w:rPr>
                <w:rFonts w:ascii="Times New Roman" w:eastAsia="Times New Roman" w:hAnsi="Times New Roman" w:cs="Times New Roman"/>
                <w:i/>
                <w:iCs/>
                <w:sz w:val="20"/>
                <w:szCs w:val="20"/>
                <w:lang w:eastAsia="lv-LV"/>
              </w:rPr>
            </w:pPr>
            <w:proofErr w:type="spellStart"/>
            <w:r w:rsidRPr="00A07F29">
              <w:rPr>
                <w:rFonts w:ascii="Times New Roman" w:eastAsia="Times New Roman" w:hAnsi="Times New Roman" w:cs="Times New Roman"/>
                <w:i/>
                <w:iCs/>
                <w:sz w:val="20"/>
                <w:szCs w:val="20"/>
                <w:lang w:eastAsia="lv-LV"/>
              </w:rPr>
              <w:t>Cochlicopa</w:t>
            </w:r>
            <w:proofErr w:type="spellEnd"/>
            <w:r w:rsidRPr="00A07F29">
              <w:rPr>
                <w:rFonts w:ascii="Times New Roman" w:eastAsia="Times New Roman" w:hAnsi="Times New Roman" w:cs="Times New Roman"/>
                <w:i/>
                <w:iCs/>
                <w:sz w:val="20"/>
                <w:szCs w:val="20"/>
                <w:lang w:eastAsia="lv-LV"/>
              </w:rPr>
              <w:t xml:space="preserve"> </w:t>
            </w:r>
            <w:proofErr w:type="spellStart"/>
            <w:r w:rsidRPr="00A07F29">
              <w:rPr>
                <w:rFonts w:ascii="Times New Roman" w:eastAsia="Times New Roman" w:hAnsi="Times New Roman" w:cs="Times New Roman"/>
                <w:i/>
                <w:iCs/>
                <w:sz w:val="20"/>
                <w:szCs w:val="20"/>
                <w:lang w:eastAsia="lv-LV"/>
              </w:rPr>
              <w:t>nitens</w:t>
            </w:r>
            <w:proofErr w:type="spellEnd"/>
          </w:p>
        </w:tc>
        <w:tc>
          <w:tcPr>
            <w:tcW w:w="2693" w:type="dxa"/>
            <w:shd w:val="clear" w:color="auto" w:fill="auto"/>
            <w:noWrap/>
            <w:vAlign w:val="center"/>
          </w:tcPr>
          <w:p w14:paraId="182996A2"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 xml:space="preserve">Lielais </w:t>
            </w:r>
            <w:proofErr w:type="spellStart"/>
            <w:r w:rsidRPr="00A07F29">
              <w:rPr>
                <w:rFonts w:ascii="Times New Roman" w:eastAsia="Times New Roman" w:hAnsi="Times New Roman" w:cs="Times New Roman"/>
                <w:sz w:val="20"/>
                <w:szCs w:val="20"/>
                <w:lang w:eastAsia="lv-LV"/>
              </w:rPr>
              <w:t>gludgliemezis</w:t>
            </w:r>
            <w:proofErr w:type="spellEnd"/>
          </w:p>
        </w:tc>
        <w:tc>
          <w:tcPr>
            <w:tcW w:w="2410" w:type="dxa"/>
            <w:shd w:val="clear" w:color="auto" w:fill="auto"/>
            <w:noWrap/>
            <w:vAlign w:val="center"/>
          </w:tcPr>
          <w:p w14:paraId="0E848E23"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Ne bieži</w:t>
            </w:r>
          </w:p>
        </w:tc>
      </w:tr>
      <w:tr w:rsidR="009072CE" w:rsidRPr="00A07F29" w14:paraId="14C73524" w14:textId="77777777" w:rsidTr="009056A3">
        <w:trPr>
          <w:trHeight w:val="264"/>
          <w:jc w:val="center"/>
        </w:trPr>
        <w:tc>
          <w:tcPr>
            <w:tcW w:w="644" w:type="dxa"/>
            <w:shd w:val="clear" w:color="auto" w:fill="auto"/>
            <w:noWrap/>
            <w:vAlign w:val="center"/>
          </w:tcPr>
          <w:p w14:paraId="4D636902"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39.</w:t>
            </w:r>
          </w:p>
        </w:tc>
        <w:tc>
          <w:tcPr>
            <w:tcW w:w="2728" w:type="dxa"/>
            <w:shd w:val="clear" w:color="auto" w:fill="auto"/>
            <w:noWrap/>
            <w:vAlign w:val="center"/>
          </w:tcPr>
          <w:p w14:paraId="79C0603E" w14:textId="77777777" w:rsidR="009072CE" w:rsidRPr="00A07F29" w:rsidRDefault="009072CE" w:rsidP="009072CE">
            <w:pPr>
              <w:spacing w:after="0" w:line="240" w:lineRule="auto"/>
              <w:rPr>
                <w:rFonts w:ascii="Times New Roman" w:eastAsia="Times New Roman" w:hAnsi="Times New Roman" w:cs="Times New Roman"/>
                <w:i/>
                <w:iCs/>
                <w:sz w:val="20"/>
                <w:szCs w:val="20"/>
                <w:lang w:eastAsia="lv-LV"/>
              </w:rPr>
            </w:pPr>
            <w:proofErr w:type="spellStart"/>
            <w:r w:rsidRPr="00A07F29">
              <w:rPr>
                <w:rFonts w:ascii="Times New Roman" w:eastAsia="Times New Roman" w:hAnsi="Times New Roman" w:cs="Times New Roman"/>
                <w:i/>
                <w:iCs/>
                <w:sz w:val="20"/>
                <w:szCs w:val="20"/>
                <w:lang w:eastAsia="lv-LV"/>
              </w:rPr>
              <w:t>Cochlodina</w:t>
            </w:r>
            <w:proofErr w:type="spellEnd"/>
            <w:r w:rsidRPr="00A07F29">
              <w:rPr>
                <w:rFonts w:ascii="Times New Roman" w:eastAsia="Times New Roman" w:hAnsi="Times New Roman" w:cs="Times New Roman"/>
                <w:i/>
                <w:iCs/>
                <w:sz w:val="20"/>
                <w:szCs w:val="20"/>
                <w:lang w:eastAsia="lv-LV"/>
              </w:rPr>
              <w:t xml:space="preserve"> </w:t>
            </w:r>
            <w:proofErr w:type="spellStart"/>
            <w:r w:rsidRPr="00A07F29">
              <w:rPr>
                <w:rFonts w:ascii="Times New Roman" w:eastAsia="Times New Roman" w:hAnsi="Times New Roman" w:cs="Times New Roman"/>
                <w:i/>
                <w:iCs/>
                <w:sz w:val="20"/>
                <w:szCs w:val="20"/>
                <w:lang w:eastAsia="lv-LV"/>
              </w:rPr>
              <w:t>laminata</w:t>
            </w:r>
            <w:proofErr w:type="spellEnd"/>
          </w:p>
        </w:tc>
        <w:tc>
          <w:tcPr>
            <w:tcW w:w="2693" w:type="dxa"/>
            <w:shd w:val="clear" w:color="auto" w:fill="auto"/>
            <w:noWrap/>
            <w:vAlign w:val="center"/>
          </w:tcPr>
          <w:p w14:paraId="643927A7"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 xml:space="preserve">Gludais </w:t>
            </w:r>
            <w:proofErr w:type="spellStart"/>
            <w:r w:rsidRPr="00A07F29">
              <w:rPr>
                <w:rFonts w:ascii="Times New Roman" w:eastAsia="Times New Roman" w:hAnsi="Times New Roman" w:cs="Times New Roman"/>
                <w:sz w:val="20"/>
                <w:szCs w:val="20"/>
                <w:lang w:eastAsia="lv-LV"/>
              </w:rPr>
              <w:t>vārpstiņgliemezis</w:t>
            </w:r>
            <w:proofErr w:type="spellEnd"/>
          </w:p>
        </w:tc>
        <w:tc>
          <w:tcPr>
            <w:tcW w:w="2410" w:type="dxa"/>
            <w:shd w:val="clear" w:color="auto" w:fill="auto"/>
            <w:noWrap/>
            <w:vAlign w:val="center"/>
          </w:tcPr>
          <w:p w14:paraId="7FB318B1"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Bieži</w:t>
            </w:r>
          </w:p>
        </w:tc>
      </w:tr>
      <w:tr w:rsidR="009072CE" w:rsidRPr="00A07F29" w14:paraId="5BB891DD" w14:textId="77777777" w:rsidTr="009056A3">
        <w:trPr>
          <w:trHeight w:val="264"/>
          <w:jc w:val="center"/>
        </w:trPr>
        <w:tc>
          <w:tcPr>
            <w:tcW w:w="644" w:type="dxa"/>
            <w:shd w:val="clear" w:color="auto" w:fill="auto"/>
            <w:noWrap/>
            <w:vAlign w:val="center"/>
          </w:tcPr>
          <w:p w14:paraId="394E5CDA"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40.</w:t>
            </w:r>
          </w:p>
        </w:tc>
        <w:tc>
          <w:tcPr>
            <w:tcW w:w="2728" w:type="dxa"/>
            <w:shd w:val="clear" w:color="auto" w:fill="auto"/>
            <w:noWrap/>
            <w:vAlign w:val="center"/>
          </w:tcPr>
          <w:p w14:paraId="0E4CE892" w14:textId="77777777" w:rsidR="009072CE" w:rsidRPr="00A07F29" w:rsidRDefault="009072CE" w:rsidP="009072CE">
            <w:pPr>
              <w:spacing w:after="0" w:line="240" w:lineRule="auto"/>
              <w:rPr>
                <w:rFonts w:ascii="Times New Roman" w:eastAsia="Times New Roman" w:hAnsi="Times New Roman" w:cs="Times New Roman"/>
                <w:i/>
                <w:iCs/>
                <w:sz w:val="20"/>
                <w:szCs w:val="20"/>
                <w:lang w:eastAsia="lv-LV"/>
              </w:rPr>
            </w:pPr>
            <w:proofErr w:type="spellStart"/>
            <w:r w:rsidRPr="00A07F29">
              <w:rPr>
                <w:rFonts w:ascii="Times New Roman" w:eastAsia="Times New Roman" w:hAnsi="Times New Roman" w:cs="Times New Roman"/>
                <w:i/>
                <w:iCs/>
                <w:sz w:val="20"/>
                <w:szCs w:val="20"/>
                <w:lang w:eastAsia="lv-LV"/>
              </w:rPr>
              <w:t>Cochlodina</w:t>
            </w:r>
            <w:proofErr w:type="spellEnd"/>
            <w:r w:rsidRPr="00A07F29">
              <w:rPr>
                <w:rFonts w:ascii="Times New Roman" w:eastAsia="Times New Roman" w:hAnsi="Times New Roman" w:cs="Times New Roman"/>
                <w:i/>
                <w:iCs/>
                <w:sz w:val="20"/>
                <w:szCs w:val="20"/>
                <w:lang w:eastAsia="lv-LV"/>
              </w:rPr>
              <w:t xml:space="preserve"> </w:t>
            </w:r>
            <w:proofErr w:type="spellStart"/>
            <w:r w:rsidRPr="00A07F29">
              <w:rPr>
                <w:rFonts w:ascii="Times New Roman" w:eastAsia="Times New Roman" w:hAnsi="Times New Roman" w:cs="Times New Roman"/>
                <w:i/>
                <w:iCs/>
                <w:sz w:val="20"/>
                <w:szCs w:val="20"/>
                <w:lang w:eastAsia="lv-LV"/>
              </w:rPr>
              <w:t>orthostoma</w:t>
            </w:r>
            <w:proofErr w:type="spellEnd"/>
          </w:p>
        </w:tc>
        <w:tc>
          <w:tcPr>
            <w:tcW w:w="2693" w:type="dxa"/>
            <w:shd w:val="clear" w:color="auto" w:fill="auto"/>
            <w:noWrap/>
            <w:vAlign w:val="center"/>
          </w:tcPr>
          <w:p w14:paraId="3782E68E"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proofErr w:type="spellStart"/>
            <w:r w:rsidRPr="00A07F29">
              <w:rPr>
                <w:rFonts w:ascii="Times New Roman" w:eastAsia="Times New Roman" w:hAnsi="Times New Roman" w:cs="Times New Roman"/>
                <w:sz w:val="20"/>
                <w:szCs w:val="20"/>
                <w:lang w:eastAsia="lv-LV"/>
              </w:rPr>
              <w:t>Taisnmutes</w:t>
            </w:r>
            <w:proofErr w:type="spellEnd"/>
            <w:r w:rsidRPr="00A07F29">
              <w:rPr>
                <w:rFonts w:ascii="Times New Roman" w:eastAsia="Times New Roman" w:hAnsi="Times New Roman" w:cs="Times New Roman"/>
                <w:sz w:val="20"/>
                <w:szCs w:val="20"/>
                <w:lang w:eastAsia="lv-LV"/>
              </w:rPr>
              <w:t xml:space="preserve"> </w:t>
            </w:r>
            <w:proofErr w:type="spellStart"/>
            <w:r w:rsidRPr="00A07F29">
              <w:rPr>
                <w:rFonts w:ascii="Times New Roman" w:eastAsia="Times New Roman" w:hAnsi="Times New Roman" w:cs="Times New Roman"/>
                <w:sz w:val="20"/>
                <w:szCs w:val="20"/>
                <w:lang w:eastAsia="lv-LV"/>
              </w:rPr>
              <w:t>vārpstiņgliemezis</w:t>
            </w:r>
            <w:proofErr w:type="spellEnd"/>
          </w:p>
        </w:tc>
        <w:tc>
          <w:tcPr>
            <w:tcW w:w="2410" w:type="dxa"/>
            <w:shd w:val="clear" w:color="auto" w:fill="auto"/>
            <w:noWrap/>
            <w:vAlign w:val="center"/>
          </w:tcPr>
          <w:p w14:paraId="33D3B44C"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Reti</w:t>
            </w:r>
          </w:p>
        </w:tc>
      </w:tr>
      <w:tr w:rsidR="009072CE" w:rsidRPr="00A07F29" w14:paraId="79ED83ED" w14:textId="77777777" w:rsidTr="009056A3">
        <w:trPr>
          <w:trHeight w:val="264"/>
          <w:jc w:val="center"/>
        </w:trPr>
        <w:tc>
          <w:tcPr>
            <w:tcW w:w="644" w:type="dxa"/>
            <w:shd w:val="clear" w:color="auto" w:fill="auto"/>
            <w:noWrap/>
            <w:vAlign w:val="center"/>
          </w:tcPr>
          <w:p w14:paraId="52C0A559"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41.</w:t>
            </w:r>
          </w:p>
        </w:tc>
        <w:tc>
          <w:tcPr>
            <w:tcW w:w="2728" w:type="dxa"/>
            <w:shd w:val="clear" w:color="auto" w:fill="auto"/>
            <w:noWrap/>
            <w:vAlign w:val="center"/>
          </w:tcPr>
          <w:p w14:paraId="43942DE9" w14:textId="77777777" w:rsidR="009072CE" w:rsidRPr="00A07F29" w:rsidRDefault="009072CE" w:rsidP="009072CE">
            <w:pPr>
              <w:spacing w:after="0" w:line="240" w:lineRule="auto"/>
              <w:rPr>
                <w:rFonts w:ascii="Times New Roman" w:eastAsia="Times New Roman" w:hAnsi="Times New Roman" w:cs="Times New Roman"/>
                <w:i/>
                <w:iCs/>
                <w:sz w:val="20"/>
                <w:szCs w:val="20"/>
                <w:lang w:eastAsia="lv-LV"/>
              </w:rPr>
            </w:pPr>
            <w:proofErr w:type="spellStart"/>
            <w:r w:rsidRPr="00A07F29">
              <w:rPr>
                <w:rFonts w:ascii="Times New Roman" w:eastAsia="Times New Roman" w:hAnsi="Times New Roman" w:cs="Times New Roman"/>
                <w:i/>
                <w:iCs/>
                <w:sz w:val="20"/>
                <w:szCs w:val="20"/>
                <w:lang w:eastAsia="lv-LV"/>
              </w:rPr>
              <w:t>Columella</w:t>
            </w:r>
            <w:proofErr w:type="spellEnd"/>
            <w:r w:rsidRPr="00A07F29">
              <w:rPr>
                <w:rFonts w:ascii="Times New Roman" w:eastAsia="Times New Roman" w:hAnsi="Times New Roman" w:cs="Times New Roman"/>
                <w:i/>
                <w:iCs/>
                <w:sz w:val="20"/>
                <w:szCs w:val="20"/>
                <w:lang w:eastAsia="lv-LV"/>
              </w:rPr>
              <w:t xml:space="preserve"> </w:t>
            </w:r>
            <w:proofErr w:type="spellStart"/>
            <w:r w:rsidRPr="00A07F29">
              <w:rPr>
                <w:rFonts w:ascii="Times New Roman" w:eastAsia="Times New Roman" w:hAnsi="Times New Roman" w:cs="Times New Roman"/>
                <w:i/>
                <w:iCs/>
                <w:sz w:val="20"/>
                <w:szCs w:val="20"/>
                <w:lang w:eastAsia="lv-LV"/>
              </w:rPr>
              <w:t>aspera</w:t>
            </w:r>
            <w:proofErr w:type="spellEnd"/>
          </w:p>
        </w:tc>
        <w:tc>
          <w:tcPr>
            <w:tcW w:w="2693" w:type="dxa"/>
            <w:shd w:val="clear" w:color="auto" w:fill="auto"/>
            <w:noWrap/>
            <w:vAlign w:val="center"/>
          </w:tcPr>
          <w:p w14:paraId="26B210AC"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 xml:space="preserve">Zemais </w:t>
            </w:r>
            <w:proofErr w:type="spellStart"/>
            <w:r w:rsidRPr="00A07F29">
              <w:rPr>
                <w:rFonts w:ascii="Times New Roman" w:eastAsia="Times New Roman" w:hAnsi="Times New Roman" w:cs="Times New Roman"/>
                <w:sz w:val="20"/>
                <w:szCs w:val="20"/>
                <w:lang w:eastAsia="lv-LV"/>
              </w:rPr>
              <w:t>veltņgliemezis</w:t>
            </w:r>
            <w:proofErr w:type="spellEnd"/>
          </w:p>
        </w:tc>
        <w:tc>
          <w:tcPr>
            <w:tcW w:w="2410" w:type="dxa"/>
            <w:shd w:val="clear" w:color="auto" w:fill="auto"/>
            <w:noWrap/>
            <w:vAlign w:val="center"/>
          </w:tcPr>
          <w:p w14:paraId="183665D6"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Samērā bieži</w:t>
            </w:r>
          </w:p>
        </w:tc>
      </w:tr>
      <w:tr w:rsidR="009072CE" w:rsidRPr="00A07F29" w14:paraId="7779C1EE" w14:textId="77777777" w:rsidTr="009056A3">
        <w:trPr>
          <w:trHeight w:val="264"/>
          <w:jc w:val="center"/>
        </w:trPr>
        <w:tc>
          <w:tcPr>
            <w:tcW w:w="644" w:type="dxa"/>
            <w:shd w:val="clear" w:color="auto" w:fill="auto"/>
            <w:noWrap/>
            <w:vAlign w:val="center"/>
          </w:tcPr>
          <w:p w14:paraId="27EB1C5A"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42.</w:t>
            </w:r>
          </w:p>
        </w:tc>
        <w:tc>
          <w:tcPr>
            <w:tcW w:w="2728" w:type="dxa"/>
            <w:shd w:val="clear" w:color="auto" w:fill="auto"/>
            <w:noWrap/>
            <w:vAlign w:val="center"/>
          </w:tcPr>
          <w:p w14:paraId="01AB68EA" w14:textId="77777777" w:rsidR="009072CE" w:rsidRPr="00A07F29" w:rsidRDefault="009072CE" w:rsidP="009072CE">
            <w:pPr>
              <w:spacing w:after="0" w:line="240" w:lineRule="auto"/>
              <w:rPr>
                <w:rFonts w:ascii="Times New Roman" w:eastAsia="Times New Roman" w:hAnsi="Times New Roman" w:cs="Times New Roman"/>
                <w:i/>
                <w:iCs/>
                <w:sz w:val="20"/>
                <w:szCs w:val="20"/>
                <w:lang w:eastAsia="lv-LV"/>
              </w:rPr>
            </w:pPr>
            <w:proofErr w:type="spellStart"/>
            <w:r w:rsidRPr="00A07F29">
              <w:rPr>
                <w:rFonts w:ascii="Times New Roman" w:eastAsia="Times New Roman" w:hAnsi="Times New Roman" w:cs="Times New Roman"/>
                <w:i/>
                <w:iCs/>
                <w:sz w:val="20"/>
                <w:szCs w:val="20"/>
                <w:lang w:eastAsia="lv-LV"/>
              </w:rPr>
              <w:t>Columella</w:t>
            </w:r>
            <w:proofErr w:type="spellEnd"/>
            <w:r w:rsidRPr="00A07F29">
              <w:rPr>
                <w:rFonts w:ascii="Times New Roman" w:eastAsia="Times New Roman" w:hAnsi="Times New Roman" w:cs="Times New Roman"/>
                <w:i/>
                <w:iCs/>
                <w:sz w:val="20"/>
                <w:szCs w:val="20"/>
                <w:lang w:eastAsia="lv-LV"/>
              </w:rPr>
              <w:t xml:space="preserve"> </w:t>
            </w:r>
            <w:proofErr w:type="spellStart"/>
            <w:r w:rsidRPr="00A07F29">
              <w:rPr>
                <w:rFonts w:ascii="Times New Roman" w:eastAsia="Times New Roman" w:hAnsi="Times New Roman" w:cs="Times New Roman"/>
                <w:i/>
                <w:iCs/>
                <w:sz w:val="20"/>
                <w:szCs w:val="20"/>
                <w:lang w:eastAsia="lv-LV"/>
              </w:rPr>
              <w:t>edentula</w:t>
            </w:r>
            <w:proofErr w:type="spellEnd"/>
          </w:p>
        </w:tc>
        <w:tc>
          <w:tcPr>
            <w:tcW w:w="2693" w:type="dxa"/>
            <w:shd w:val="clear" w:color="auto" w:fill="auto"/>
            <w:noWrap/>
            <w:vAlign w:val="center"/>
          </w:tcPr>
          <w:p w14:paraId="27E47FAC"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 xml:space="preserve">Bezzobu </w:t>
            </w:r>
            <w:proofErr w:type="spellStart"/>
            <w:r w:rsidRPr="00A07F29">
              <w:rPr>
                <w:rFonts w:ascii="Times New Roman" w:eastAsia="Times New Roman" w:hAnsi="Times New Roman" w:cs="Times New Roman"/>
                <w:sz w:val="20"/>
                <w:szCs w:val="20"/>
                <w:lang w:eastAsia="lv-LV"/>
              </w:rPr>
              <w:t>veltņgliemezis</w:t>
            </w:r>
            <w:proofErr w:type="spellEnd"/>
          </w:p>
        </w:tc>
        <w:tc>
          <w:tcPr>
            <w:tcW w:w="2410" w:type="dxa"/>
            <w:shd w:val="clear" w:color="auto" w:fill="auto"/>
            <w:noWrap/>
            <w:vAlign w:val="center"/>
          </w:tcPr>
          <w:p w14:paraId="0402B8D7"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Ļoti bieži</w:t>
            </w:r>
          </w:p>
        </w:tc>
      </w:tr>
      <w:tr w:rsidR="009072CE" w:rsidRPr="00A07F29" w14:paraId="7033B200" w14:textId="77777777" w:rsidTr="009056A3">
        <w:trPr>
          <w:trHeight w:val="264"/>
          <w:jc w:val="center"/>
        </w:trPr>
        <w:tc>
          <w:tcPr>
            <w:tcW w:w="644" w:type="dxa"/>
            <w:shd w:val="clear" w:color="auto" w:fill="auto"/>
            <w:noWrap/>
            <w:vAlign w:val="center"/>
          </w:tcPr>
          <w:p w14:paraId="1511BFA6"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43.</w:t>
            </w:r>
          </w:p>
        </w:tc>
        <w:tc>
          <w:tcPr>
            <w:tcW w:w="2728" w:type="dxa"/>
            <w:shd w:val="clear" w:color="auto" w:fill="auto"/>
            <w:noWrap/>
            <w:vAlign w:val="center"/>
          </w:tcPr>
          <w:p w14:paraId="64F20444" w14:textId="77777777" w:rsidR="009072CE" w:rsidRPr="00A07F29" w:rsidRDefault="009072CE" w:rsidP="009072CE">
            <w:pPr>
              <w:spacing w:after="0" w:line="240" w:lineRule="auto"/>
              <w:rPr>
                <w:rFonts w:ascii="Times New Roman" w:eastAsia="Times New Roman" w:hAnsi="Times New Roman" w:cs="Times New Roman"/>
                <w:i/>
                <w:iCs/>
                <w:sz w:val="20"/>
                <w:szCs w:val="20"/>
                <w:lang w:eastAsia="lv-LV"/>
              </w:rPr>
            </w:pPr>
            <w:proofErr w:type="spellStart"/>
            <w:r w:rsidRPr="00A07F29">
              <w:rPr>
                <w:rFonts w:ascii="Times New Roman" w:eastAsia="Times New Roman" w:hAnsi="Times New Roman" w:cs="Times New Roman"/>
                <w:i/>
                <w:iCs/>
                <w:sz w:val="20"/>
                <w:szCs w:val="20"/>
                <w:lang w:eastAsia="lv-LV"/>
              </w:rPr>
              <w:t>Discus</w:t>
            </w:r>
            <w:proofErr w:type="spellEnd"/>
            <w:r w:rsidRPr="00A07F29">
              <w:rPr>
                <w:rFonts w:ascii="Times New Roman" w:eastAsia="Times New Roman" w:hAnsi="Times New Roman" w:cs="Times New Roman"/>
                <w:i/>
                <w:iCs/>
                <w:sz w:val="20"/>
                <w:szCs w:val="20"/>
                <w:lang w:eastAsia="lv-LV"/>
              </w:rPr>
              <w:t xml:space="preserve"> </w:t>
            </w:r>
            <w:proofErr w:type="spellStart"/>
            <w:r w:rsidRPr="00A07F29">
              <w:rPr>
                <w:rFonts w:ascii="Times New Roman" w:eastAsia="Times New Roman" w:hAnsi="Times New Roman" w:cs="Times New Roman"/>
                <w:i/>
                <w:iCs/>
                <w:sz w:val="20"/>
                <w:szCs w:val="20"/>
                <w:lang w:eastAsia="lv-LV"/>
              </w:rPr>
              <w:t>ruderatus</w:t>
            </w:r>
            <w:proofErr w:type="spellEnd"/>
          </w:p>
        </w:tc>
        <w:tc>
          <w:tcPr>
            <w:tcW w:w="2693" w:type="dxa"/>
            <w:shd w:val="clear" w:color="auto" w:fill="auto"/>
            <w:noWrap/>
            <w:vAlign w:val="center"/>
          </w:tcPr>
          <w:p w14:paraId="339A910D"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 xml:space="preserve">Brūnā </w:t>
            </w:r>
            <w:proofErr w:type="spellStart"/>
            <w:r w:rsidRPr="00A07F29">
              <w:rPr>
                <w:rFonts w:ascii="Times New Roman" w:eastAsia="Times New Roman" w:hAnsi="Times New Roman" w:cs="Times New Roman"/>
                <w:sz w:val="20"/>
                <w:szCs w:val="20"/>
                <w:lang w:eastAsia="lv-LV"/>
              </w:rPr>
              <w:t>rievspolīte</w:t>
            </w:r>
            <w:proofErr w:type="spellEnd"/>
          </w:p>
        </w:tc>
        <w:tc>
          <w:tcPr>
            <w:tcW w:w="2410" w:type="dxa"/>
            <w:shd w:val="clear" w:color="auto" w:fill="auto"/>
            <w:noWrap/>
            <w:vAlign w:val="center"/>
          </w:tcPr>
          <w:p w14:paraId="4BBB6C39"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Bieži</w:t>
            </w:r>
          </w:p>
        </w:tc>
      </w:tr>
      <w:tr w:rsidR="009072CE" w:rsidRPr="00A07F29" w14:paraId="3A9B5BC2" w14:textId="77777777" w:rsidTr="009056A3">
        <w:trPr>
          <w:trHeight w:val="264"/>
          <w:jc w:val="center"/>
        </w:trPr>
        <w:tc>
          <w:tcPr>
            <w:tcW w:w="644" w:type="dxa"/>
            <w:shd w:val="clear" w:color="auto" w:fill="auto"/>
            <w:noWrap/>
            <w:vAlign w:val="center"/>
          </w:tcPr>
          <w:p w14:paraId="0A40AE67"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44.</w:t>
            </w:r>
          </w:p>
        </w:tc>
        <w:tc>
          <w:tcPr>
            <w:tcW w:w="2728" w:type="dxa"/>
            <w:shd w:val="clear" w:color="auto" w:fill="auto"/>
            <w:noWrap/>
            <w:vAlign w:val="center"/>
          </w:tcPr>
          <w:p w14:paraId="6E6F5765" w14:textId="77777777" w:rsidR="009072CE" w:rsidRPr="00A07F29" w:rsidRDefault="009072CE" w:rsidP="009072CE">
            <w:pPr>
              <w:spacing w:after="0" w:line="240" w:lineRule="auto"/>
              <w:rPr>
                <w:rFonts w:ascii="Times New Roman" w:eastAsia="Times New Roman" w:hAnsi="Times New Roman" w:cs="Times New Roman"/>
                <w:i/>
                <w:iCs/>
                <w:sz w:val="20"/>
                <w:szCs w:val="20"/>
                <w:lang w:eastAsia="lv-LV"/>
              </w:rPr>
            </w:pPr>
            <w:proofErr w:type="spellStart"/>
            <w:r w:rsidRPr="00A07F29">
              <w:rPr>
                <w:rFonts w:ascii="Times New Roman" w:eastAsia="Times New Roman" w:hAnsi="Times New Roman" w:cs="Times New Roman"/>
                <w:i/>
                <w:iCs/>
                <w:sz w:val="20"/>
                <w:szCs w:val="20"/>
                <w:lang w:eastAsia="lv-LV"/>
              </w:rPr>
              <w:t>Euconulus</w:t>
            </w:r>
            <w:proofErr w:type="spellEnd"/>
            <w:r w:rsidRPr="00A07F29">
              <w:rPr>
                <w:rFonts w:ascii="Times New Roman" w:eastAsia="Times New Roman" w:hAnsi="Times New Roman" w:cs="Times New Roman"/>
                <w:i/>
                <w:iCs/>
                <w:sz w:val="20"/>
                <w:szCs w:val="20"/>
                <w:lang w:eastAsia="lv-LV"/>
              </w:rPr>
              <w:t xml:space="preserve"> </w:t>
            </w:r>
            <w:proofErr w:type="spellStart"/>
            <w:r w:rsidRPr="00A07F29">
              <w:rPr>
                <w:rFonts w:ascii="Times New Roman" w:eastAsia="Times New Roman" w:hAnsi="Times New Roman" w:cs="Times New Roman"/>
                <w:i/>
                <w:iCs/>
                <w:sz w:val="20"/>
                <w:szCs w:val="20"/>
                <w:lang w:eastAsia="lv-LV"/>
              </w:rPr>
              <w:t>alderi</w:t>
            </w:r>
            <w:proofErr w:type="spellEnd"/>
          </w:p>
        </w:tc>
        <w:tc>
          <w:tcPr>
            <w:tcW w:w="2693" w:type="dxa"/>
            <w:shd w:val="clear" w:color="auto" w:fill="auto"/>
            <w:noWrap/>
            <w:vAlign w:val="center"/>
          </w:tcPr>
          <w:p w14:paraId="40789D73"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 xml:space="preserve">Tumšā </w:t>
            </w:r>
            <w:proofErr w:type="spellStart"/>
            <w:r w:rsidRPr="00A07F29">
              <w:rPr>
                <w:rFonts w:ascii="Times New Roman" w:eastAsia="Times New Roman" w:hAnsi="Times New Roman" w:cs="Times New Roman"/>
                <w:sz w:val="20"/>
                <w:szCs w:val="20"/>
                <w:lang w:eastAsia="lv-LV"/>
              </w:rPr>
              <w:t>konusspolīte</w:t>
            </w:r>
            <w:proofErr w:type="spellEnd"/>
          </w:p>
        </w:tc>
        <w:tc>
          <w:tcPr>
            <w:tcW w:w="2410" w:type="dxa"/>
            <w:shd w:val="clear" w:color="auto" w:fill="auto"/>
            <w:noWrap/>
            <w:vAlign w:val="center"/>
          </w:tcPr>
          <w:p w14:paraId="6E3D2402"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Bieži</w:t>
            </w:r>
          </w:p>
        </w:tc>
      </w:tr>
      <w:tr w:rsidR="009072CE" w:rsidRPr="00A07F29" w14:paraId="7065F350" w14:textId="77777777" w:rsidTr="009056A3">
        <w:trPr>
          <w:trHeight w:val="264"/>
          <w:jc w:val="center"/>
        </w:trPr>
        <w:tc>
          <w:tcPr>
            <w:tcW w:w="644" w:type="dxa"/>
            <w:shd w:val="clear" w:color="auto" w:fill="auto"/>
            <w:noWrap/>
            <w:vAlign w:val="center"/>
          </w:tcPr>
          <w:p w14:paraId="751C0534"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45.</w:t>
            </w:r>
          </w:p>
        </w:tc>
        <w:tc>
          <w:tcPr>
            <w:tcW w:w="2728" w:type="dxa"/>
            <w:shd w:val="clear" w:color="auto" w:fill="auto"/>
            <w:noWrap/>
            <w:vAlign w:val="center"/>
          </w:tcPr>
          <w:p w14:paraId="4F009307" w14:textId="77777777" w:rsidR="009072CE" w:rsidRPr="00A07F29" w:rsidRDefault="009072CE" w:rsidP="009072CE">
            <w:pPr>
              <w:spacing w:after="0" w:line="240" w:lineRule="auto"/>
              <w:rPr>
                <w:rFonts w:ascii="Times New Roman" w:eastAsia="Times New Roman" w:hAnsi="Times New Roman" w:cs="Times New Roman"/>
                <w:i/>
                <w:sz w:val="20"/>
                <w:szCs w:val="20"/>
                <w:lang w:eastAsia="lv-LV"/>
              </w:rPr>
            </w:pPr>
            <w:proofErr w:type="spellStart"/>
            <w:r w:rsidRPr="00A07F29">
              <w:rPr>
                <w:rFonts w:ascii="Times New Roman" w:eastAsia="Times New Roman" w:hAnsi="Times New Roman" w:cs="Times New Roman"/>
                <w:i/>
                <w:iCs/>
                <w:sz w:val="20"/>
                <w:szCs w:val="20"/>
                <w:lang w:eastAsia="lv-LV"/>
              </w:rPr>
              <w:t>Euconulus</w:t>
            </w:r>
            <w:proofErr w:type="spellEnd"/>
            <w:r w:rsidRPr="00A07F29">
              <w:rPr>
                <w:rFonts w:ascii="Times New Roman" w:eastAsia="Times New Roman" w:hAnsi="Times New Roman" w:cs="Times New Roman"/>
                <w:i/>
                <w:iCs/>
                <w:sz w:val="20"/>
                <w:szCs w:val="20"/>
                <w:lang w:eastAsia="lv-LV"/>
              </w:rPr>
              <w:t xml:space="preserve"> </w:t>
            </w:r>
            <w:proofErr w:type="spellStart"/>
            <w:r w:rsidRPr="00A07F29">
              <w:rPr>
                <w:rFonts w:ascii="Times New Roman" w:eastAsia="Times New Roman" w:hAnsi="Times New Roman" w:cs="Times New Roman"/>
                <w:i/>
                <w:iCs/>
                <w:sz w:val="20"/>
                <w:szCs w:val="20"/>
                <w:lang w:eastAsia="lv-LV"/>
              </w:rPr>
              <w:t>fulvus</w:t>
            </w:r>
            <w:proofErr w:type="spellEnd"/>
            <w:r w:rsidRPr="00A07F29">
              <w:rPr>
                <w:rFonts w:ascii="Times New Roman" w:eastAsia="Times New Roman" w:hAnsi="Times New Roman" w:cs="Times New Roman"/>
                <w:i/>
                <w:iCs/>
                <w:sz w:val="20"/>
                <w:szCs w:val="20"/>
                <w:lang w:eastAsia="lv-LV"/>
              </w:rPr>
              <w:t xml:space="preserve"> </w:t>
            </w:r>
          </w:p>
        </w:tc>
        <w:tc>
          <w:tcPr>
            <w:tcW w:w="2693" w:type="dxa"/>
            <w:shd w:val="clear" w:color="auto" w:fill="auto"/>
            <w:noWrap/>
            <w:vAlign w:val="center"/>
          </w:tcPr>
          <w:p w14:paraId="64154630"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 xml:space="preserve">Gaišā </w:t>
            </w:r>
            <w:proofErr w:type="spellStart"/>
            <w:r w:rsidRPr="00A07F29">
              <w:rPr>
                <w:rFonts w:ascii="Times New Roman" w:eastAsia="Times New Roman" w:hAnsi="Times New Roman" w:cs="Times New Roman"/>
                <w:sz w:val="20"/>
                <w:szCs w:val="20"/>
                <w:lang w:eastAsia="lv-LV"/>
              </w:rPr>
              <w:t>konusspolīte</w:t>
            </w:r>
            <w:proofErr w:type="spellEnd"/>
          </w:p>
        </w:tc>
        <w:tc>
          <w:tcPr>
            <w:tcW w:w="2410" w:type="dxa"/>
            <w:shd w:val="clear" w:color="auto" w:fill="auto"/>
            <w:noWrap/>
            <w:vAlign w:val="center"/>
          </w:tcPr>
          <w:p w14:paraId="1F3286B1"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Bieži</w:t>
            </w:r>
          </w:p>
        </w:tc>
      </w:tr>
      <w:tr w:rsidR="009072CE" w:rsidRPr="00A07F29" w14:paraId="5FB5ABA4" w14:textId="77777777" w:rsidTr="009056A3">
        <w:trPr>
          <w:trHeight w:val="264"/>
          <w:jc w:val="center"/>
        </w:trPr>
        <w:tc>
          <w:tcPr>
            <w:tcW w:w="644" w:type="dxa"/>
            <w:shd w:val="clear" w:color="auto" w:fill="auto"/>
            <w:noWrap/>
            <w:vAlign w:val="center"/>
          </w:tcPr>
          <w:p w14:paraId="12343B0D"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46.</w:t>
            </w:r>
          </w:p>
        </w:tc>
        <w:tc>
          <w:tcPr>
            <w:tcW w:w="2728" w:type="dxa"/>
            <w:shd w:val="clear" w:color="auto" w:fill="auto"/>
            <w:noWrap/>
            <w:vAlign w:val="center"/>
          </w:tcPr>
          <w:p w14:paraId="78CA2647" w14:textId="77777777" w:rsidR="009072CE" w:rsidRPr="00A07F29" w:rsidRDefault="009072CE" w:rsidP="009072CE">
            <w:pPr>
              <w:spacing w:after="0" w:line="240" w:lineRule="auto"/>
              <w:rPr>
                <w:rFonts w:ascii="Times New Roman" w:eastAsia="Times New Roman" w:hAnsi="Times New Roman" w:cs="Times New Roman"/>
                <w:i/>
                <w:iCs/>
                <w:sz w:val="20"/>
                <w:szCs w:val="20"/>
                <w:lang w:eastAsia="lv-LV"/>
              </w:rPr>
            </w:pPr>
            <w:proofErr w:type="spellStart"/>
            <w:r w:rsidRPr="00A07F29">
              <w:rPr>
                <w:rFonts w:ascii="Times New Roman" w:eastAsia="Times New Roman" w:hAnsi="Times New Roman" w:cs="Times New Roman"/>
                <w:i/>
                <w:iCs/>
                <w:sz w:val="20"/>
                <w:szCs w:val="20"/>
                <w:lang w:eastAsia="lv-LV"/>
              </w:rPr>
              <w:t>Euomphalia</w:t>
            </w:r>
            <w:proofErr w:type="spellEnd"/>
            <w:r w:rsidRPr="00A07F29">
              <w:rPr>
                <w:rFonts w:ascii="Times New Roman" w:eastAsia="Times New Roman" w:hAnsi="Times New Roman" w:cs="Times New Roman"/>
                <w:i/>
                <w:iCs/>
                <w:sz w:val="20"/>
                <w:szCs w:val="20"/>
                <w:lang w:eastAsia="lv-LV"/>
              </w:rPr>
              <w:t xml:space="preserve"> </w:t>
            </w:r>
            <w:proofErr w:type="spellStart"/>
            <w:r w:rsidRPr="00A07F29">
              <w:rPr>
                <w:rFonts w:ascii="Times New Roman" w:eastAsia="Times New Roman" w:hAnsi="Times New Roman" w:cs="Times New Roman"/>
                <w:i/>
                <w:iCs/>
                <w:sz w:val="20"/>
                <w:szCs w:val="20"/>
                <w:lang w:eastAsia="lv-LV"/>
              </w:rPr>
              <w:t>strigella</w:t>
            </w:r>
            <w:proofErr w:type="spellEnd"/>
          </w:p>
        </w:tc>
        <w:tc>
          <w:tcPr>
            <w:tcW w:w="2693" w:type="dxa"/>
            <w:shd w:val="clear" w:color="auto" w:fill="auto"/>
            <w:noWrap/>
            <w:vAlign w:val="center"/>
          </w:tcPr>
          <w:p w14:paraId="7E2B79B6"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proofErr w:type="spellStart"/>
            <w:r w:rsidRPr="00A07F29">
              <w:rPr>
                <w:rFonts w:ascii="Times New Roman" w:eastAsia="Times New Roman" w:hAnsi="Times New Roman" w:cs="Times New Roman"/>
                <w:sz w:val="20"/>
                <w:szCs w:val="20"/>
                <w:lang w:eastAsia="lv-LV"/>
              </w:rPr>
              <w:t>Skrajmeža</w:t>
            </w:r>
            <w:proofErr w:type="spellEnd"/>
            <w:r w:rsidRPr="00A07F29">
              <w:rPr>
                <w:rFonts w:ascii="Times New Roman" w:eastAsia="Times New Roman" w:hAnsi="Times New Roman" w:cs="Times New Roman"/>
                <w:sz w:val="20"/>
                <w:szCs w:val="20"/>
                <w:lang w:eastAsia="lv-LV"/>
              </w:rPr>
              <w:t xml:space="preserve"> vīngliemezis</w:t>
            </w:r>
          </w:p>
        </w:tc>
        <w:tc>
          <w:tcPr>
            <w:tcW w:w="2410" w:type="dxa"/>
            <w:shd w:val="clear" w:color="auto" w:fill="auto"/>
            <w:noWrap/>
            <w:vAlign w:val="center"/>
          </w:tcPr>
          <w:p w14:paraId="64E92823"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Ne bieži</w:t>
            </w:r>
          </w:p>
        </w:tc>
      </w:tr>
      <w:tr w:rsidR="009072CE" w:rsidRPr="00A07F29" w14:paraId="640C8EB1" w14:textId="77777777" w:rsidTr="009056A3">
        <w:trPr>
          <w:trHeight w:val="264"/>
          <w:jc w:val="center"/>
        </w:trPr>
        <w:tc>
          <w:tcPr>
            <w:tcW w:w="644" w:type="dxa"/>
            <w:shd w:val="clear" w:color="auto" w:fill="auto"/>
            <w:noWrap/>
            <w:vAlign w:val="center"/>
          </w:tcPr>
          <w:p w14:paraId="5786A61E"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47.</w:t>
            </w:r>
          </w:p>
        </w:tc>
        <w:tc>
          <w:tcPr>
            <w:tcW w:w="2728" w:type="dxa"/>
            <w:shd w:val="clear" w:color="auto" w:fill="auto"/>
            <w:noWrap/>
            <w:vAlign w:val="center"/>
          </w:tcPr>
          <w:p w14:paraId="639FAA2F" w14:textId="77777777" w:rsidR="009072CE" w:rsidRPr="00A07F29" w:rsidRDefault="009072CE" w:rsidP="009072CE">
            <w:pPr>
              <w:spacing w:after="0" w:line="240" w:lineRule="auto"/>
              <w:rPr>
                <w:rFonts w:ascii="Times New Roman" w:eastAsia="Times New Roman" w:hAnsi="Times New Roman" w:cs="Times New Roman"/>
                <w:i/>
                <w:iCs/>
                <w:sz w:val="20"/>
                <w:szCs w:val="20"/>
                <w:lang w:eastAsia="lv-LV"/>
              </w:rPr>
            </w:pPr>
            <w:proofErr w:type="spellStart"/>
            <w:r w:rsidRPr="00A07F29">
              <w:rPr>
                <w:rFonts w:ascii="Times New Roman" w:eastAsia="Times New Roman" w:hAnsi="Times New Roman" w:cs="Times New Roman"/>
                <w:i/>
                <w:iCs/>
                <w:sz w:val="20"/>
                <w:szCs w:val="20"/>
                <w:lang w:eastAsia="lv-LV"/>
              </w:rPr>
              <w:t>Fruticicola</w:t>
            </w:r>
            <w:proofErr w:type="spellEnd"/>
            <w:r w:rsidRPr="00A07F29">
              <w:rPr>
                <w:rFonts w:ascii="Times New Roman" w:eastAsia="Times New Roman" w:hAnsi="Times New Roman" w:cs="Times New Roman"/>
                <w:i/>
                <w:iCs/>
                <w:sz w:val="20"/>
                <w:szCs w:val="20"/>
                <w:lang w:eastAsia="lv-LV"/>
              </w:rPr>
              <w:t xml:space="preserve"> </w:t>
            </w:r>
            <w:proofErr w:type="spellStart"/>
            <w:r w:rsidRPr="00A07F29">
              <w:rPr>
                <w:rFonts w:ascii="Times New Roman" w:eastAsia="Times New Roman" w:hAnsi="Times New Roman" w:cs="Times New Roman"/>
                <w:i/>
                <w:iCs/>
                <w:sz w:val="20"/>
                <w:szCs w:val="20"/>
                <w:lang w:eastAsia="lv-LV"/>
              </w:rPr>
              <w:t>fruticum</w:t>
            </w:r>
            <w:proofErr w:type="spellEnd"/>
          </w:p>
        </w:tc>
        <w:tc>
          <w:tcPr>
            <w:tcW w:w="2693" w:type="dxa"/>
            <w:shd w:val="clear" w:color="auto" w:fill="auto"/>
            <w:noWrap/>
            <w:vAlign w:val="center"/>
          </w:tcPr>
          <w:p w14:paraId="7F50AC61"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 xml:space="preserve">Eiropas </w:t>
            </w:r>
            <w:proofErr w:type="spellStart"/>
            <w:r w:rsidRPr="00A07F29">
              <w:rPr>
                <w:rFonts w:ascii="Times New Roman" w:eastAsia="Times New Roman" w:hAnsi="Times New Roman" w:cs="Times New Roman"/>
                <w:sz w:val="20"/>
                <w:szCs w:val="20"/>
                <w:lang w:eastAsia="lv-LV"/>
              </w:rPr>
              <w:t>krūmgliemezis</w:t>
            </w:r>
            <w:proofErr w:type="spellEnd"/>
          </w:p>
        </w:tc>
        <w:tc>
          <w:tcPr>
            <w:tcW w:w="2410" w:type="dxa"/>
            <w:shd w:val="clear" w:color="auto" w:fill="auto"/>
            <w:noWrap/>
            <w:vAlign w:val="center"/>
          </w:tcPr>
          <w:p w14:paraId="54F2073D"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Ļoti bieži</w:t>
            </w:r>
          </w:p>
        </w:tc>
      </w:tr>
      <w:tr w:rsidR="009072CE" w:rsidRPr="00A07F29" w14:paraId="4DEEA6F8" w14:textId="77777777" w:rsidTr="009056A3">
        <w:trPr>
          <w:trHeight w:val="264"/>
          <w:jc w:val="center"/>
        </w:trPr>
        <w:tc>
          <w:tcPr>
            <w:tcW w:w="644" w:type="dxa"/>
            <w:shd w:val="clear" w:color="auto" w:fill="auto"/>
            <w:noWrap/>
            <w:vAlign w:val="center"/>
          </w:tcPr>
          <w:p w14:paraId="50CB0CD8"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48.</w:t>
            </w:r>
          </w:p>
        </w:tc>
        <w:tc>
          <w:tcPr>
            <w:tcW w:w="2728" w:type="dxa"/>
            <w:shd w:val="clear" w:color="auto" w:fill="auto"/>
            <w:noWrap/>
            <w:vAlign w:val="center"/>
          </w:tcPr>
          <w:p w14:paraId="18B88D91" w14:textId="77777777" w:rsidR="009072CE" w:rsidRPr="00A07F29" w:rsidRDefault="009072CE" w:rsidP="009072CE">
            <w:pPr>
              <w:spacing w:after="0" w:line="240" w:lineRule="auto"/>
              <w:rPr>
                <w:rFonts w:ascii="Times New Roman" w:eastAsia="Times New Roman" w:hAnsi="Times New Roman" w:cs="Times New Roman"/>
                <w:i/>
                <w:iCs/>
                <w:sz w:val="20"/>
                <w:szCs w:val="20"/>
                <w:lang w:eastAsia="lv-LV"/>
              </w:rPr>
            </w:pPr>
            <w:proofErr w:type="spellStart"/>
            <w:r w:rsidRPr="00A07F29">
              <w:rPr>
                <w:rFonts w:ascii="Times New Roman" w:eastAsia="Times New Roman" w:hAnsi="Times New Roman" w:cs="Times New Roman"/>
                <w:i/>
                <w:iCs/>
                <w:sz w:val="20"/>
                <w:szCs w:val="20"/>
                <w:lang w:eastAsia="lv-LV"/>
              </w:rPr>
              <w:t>Helix</w:t>
            </w:r>
            <w:proofErr w:type="spellEnd"/>
            <w:r w:rsidRPr="00A07F29">
              <w:rPr>
                <w:rFonts w:ascii="Times New Roman" w:eastAsia="Times New Roman" w:hAnsi="Times New Roman" w:cs="Times New Roman"/>
                <w:i/>
                <w:iCs/>
                <w:sz w:val="20"/>
                <w:szCs w:val="20"/>
                <w:lang w:eastAsia="lv-LV"/>
              </w:rPr>
              <w:t xml:space="preserve"> </w:t>
            </w:r>
            <w:proofErr w:type="spellStart"/>
            <w:r w:rsidRPr="00A07F29">
              <w:rPr>
                <w:rFonts w:ascii="Times New Roman" w:eastAsia="Times New Roman" w:hAnsi="Times New Roman" w:cs="Times New Roman"/>
                <w:i/>
                <w:iCs/>
                <w:sz w:val="20"/>
                <w:szCs w:val="20"/>
                <w:lang w:eastAsia="lv-LV"/>
              </w:rPr>
              <w:t>pomatia</w:t>
            </w:r>
            <w:proofErr w:type="spellEnd"/>
          </w:p>
        </w:tc>
        <w:tc>
          <w:tcPr>
            <w:tcW w:w="2693" w:type="dxa"/>
            <w:shd w:val="clear" w:color="auto" w:fill="auto"/>
            <w:noWrap/>
            <w:vAlign w:val="center"/>
          </w:tcPr>
          <w:p w14:paraId="7B1BB802"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Parka vīngliemezis</w:t>
            </w:r>
          </w:p>
        </w:tc>
        <w:tc>
          <w:tcPr>
            <w:tcW w:w="2410" w:type="dxa"/>
            <w:shd w:val="clear" w:color="auto" w:fill="auto"/>
            <w:noWrap/>
            <w:vAlign w:val="center"/>
          </w:tcPr>
          <w:p w14:paraId="716F17BD"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Samērā bieži</w:t>
            </w:r>
          </w:p>
        </w:tc>
      </w:tr>
      <w:tr w:rsidR="009072CE" w:rsidRPr="00A07F29" w14:paraId="16180295" w14:textId="77777777" w:rsidTr="009056A3">
        <w:trPr>
          <w:trHeight w:val="264"/>
          <w:jc w:val="center"/>
        </w:trPr>
        <w:tc>
          <w:tcPr>
            <w:tcW w:w="644" w:type="dxa"/>
            <w:shd w:val="clear" w:color="auto" w:fill="auto"/>
            <w:noWrap/>
            <w:vAlign w:val="center"/>
          </w:tcPr>
          <w:p w14:paraId="578854EE"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49.</w:t>
            </w:r>
          </w:p>
        </w:tc>
        <w:tc>
          <w:tcPr>
            <w:tcW w:w="2728" w:type="dxa"/>
            <w:shd w:val="clear" w:color="auto" w:fill="auto"/>
            <w:noWrap/>
            <w:vAlign w:val="center"/>
          </w:tcPr>
          <w:p w14:paraId="242F0A53" w14:textId="77777777" w:rsidR="009072CE" w:rsidRPr="00A07F29" w:rsidRDefault="009072CE" w:rsidP="009072CE">
            <w:pPr>
              <w:spacing w:after="0" w:line="240" w:lineRule="auto"/>
              <w:rPr>
                <w:rFonts w:ascii="Times New Roman" w:eastAsia="Times New Roman" w:hAnsi="Times New Roman" w:cs="Times New Roman"/>
                <w:i/>
                <w:iCs/>
                <w:sz w:val="20"/>
                <w:szCs w:val="20"/>
                <w:lang w:eastAsia="lv-LV"/>
              </w:rPr>
            </w:pPr>
            <w:proofErr w:type="spellStart"/>
            <w:r w:rsidRPr="00A07F29">
              <w:rPr>
                <w:rFonts w:ascii="Times New Roman" w:eastAsia="Times New Roman" w:hAnsi="Times New Roman" w:cs="Times New Roman"/>
                <w:i/>
                <w:iCs/>
                <w:sz w:val="20"/>
                <w:szCs w:val="20"/>
                <w:lang w:eastAsia="lv-LV"/>
              </w:rPr>
              <w:t>Laciniaria</w:t>
            </w:r>
            <w:proofErr w:type="spellEnd"/>
            <w:r w:rsidRPr="00A07F29">
              <w:rPr>
                <w:rFonts w:ascii="Times New Roman" w:eastAsia="Times New Roman" w:hAnsi="Times New Roman" w:cs="Times New Roman"/>
                <w:i/>
                <w:iCs/>
                <w:sz w:val="20"/>
                <w:szCs w:val="20"/>
                <w:lang w:eastAsia="lv-LV"/>
              </w:rPr>
              <w:t xml:space="preserve"> </w:t>
            </w:r>
            <w:proofErr w:type="spellStart"/>
            <w:r w:rsidRPr="00A07F29">
              <w:rPr>
                <w:rFonts w:ascii="Times New Roman" w:eastAsia="Times New Roman" w:hAnsi="Times New Roman" w:cs="Times New Roman"/>
                <w:i/>
                <w:iCs/>
                <w:sz w:val="20"/>
                <w:szCs w:val="20"/>
                <w:lang w:eastAsia="lv-LV"/>
              </w:rPr>
              <w:t>plicata</w:t>
            </w:r>
            <w:proofErr w:type="spellEnd"/>
          </w:p>
        </w:tc>
        <w:tc>
          <w:tcPr>
            <w:tcW w:w="2693" w:type="dxa"/>
            <w:shd w:val="clear" w:color="auto" w:fill="auto"/>
            <w:noWrap/>
            <w:vAlign w:val="center"/>
          </w:tcPr>
          <w:p w14:paraId="3BABE027"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proofErr w:type="spellStart"/>
            <w:r w:rsidRPr="00A07F29">
              <w:rPr>
                <w:rFonts w:ascii="Times New Roman" w:eastAsia="Times New Roman" w:hAnsi="Times New Roman" w:cs="Times New Roman"/>
                <w:sz w:val="20"/>
                <w:szCs w:val="20"/>
                <w:lang w:eastAsia="lv-LV"/>
              </w:rPr>
              <w:t>Kroklūpas</w:t>
            </w:r>
            <w:proofErr w:type="spellEnd"/>
            <w:r w:rsidRPr="00A07F29">
              <w:rPr>
                <w:rFonts w:ascii="Times New Roman" w:eastAsia="Times New Roman" w:hAnsi="Times New Roman" w:cs="Times New Roman"/>
                <w:sz w:val="20"/>
                <w:szCs w:val="20"/>
                <w:lang w:eastAsia="lv-LV"/>
              </w:rPr>
              <w:t xml:space="preserve"> </w:t>
            </w:r>
            <w:proofErr w:type="spellStart"/>
            <w:r w:rsidRPr="00A07F29">
              <w:rPr>
                <w:rFonts w:ascii="Times New Roman" w:eastAsia="Times New Roman" w:hAnsi="Times New Roman" w:cs="Times New Roman"/>
                <w:sz w:val="20"/>
                <w:szCs w:val="20"/>
                <w:lang w:eastAsia="lv-LV"/>
              </w:rPr>
              <w:t>vārpstiņgliemezis</w:t>
            </w:r>
            <w:proofErr w:type="spellEnd"/>
          </w:p>
        </w:tc>
        <w:tc>
          <w:tcPr>
            <w:tcW w:w="2410" w:type="dxa"/>
            <w:shd w:val="clear" w:color="auto" w:fill="auto"/>
            <w:noWrap/>
            <w:vAlign w:val="center"/>
          </w:tcPr>
          <w:p w14:paraId="4BC31561"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Samērā bieži</w:t>
            </w:r>
          </w:p>
        </w:tc>
      </w:tr>
      <w:tr w:rsidR="009072CE" w:rsidRPr="00A07F29" w14:paraId="26313165" w14:textId="77777777" w:rsidTr="009056A3">
        <w:trPr>
          <w:trHeight w:val="264"/>
          <w:jc w:val="center"/>
        </w:trPr>
        <w:tc>
          <w:tcPr>
            <w:tcW w:w="644" w:type="dxa"/>
            <w:shd w:val="clear" w:color="auto" w:fill="auto"/>
            <w:noWrap/>
            <w:vAlign w:val="center"/>
          </w:tcPr>
          <w:p w14:paraId="3227C786"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50.</w:t>
            </w:r>
          </w:p>
        </w:tc>
        <w:tc>
          <w:tcPr>
            <w:tcW w:w="2728" w:type="dxa"/>
            <w:shd w:val="clear" w:color="auto" w:fill="auto"/>
            <w:noWrap/>
            <w:vAlign w:val="center"/>
          </w:tcPr>
          <w:p w14:paraId="3B1E3EC4" w14:textId="77777777" w:rsidR="009072CE" w:rsidRPr="00A07F29" w:rsidRDefault="009072CE" w:rsidP="009072CE">
            <w:pPr>
              <w:spacing w:after="0" w:line="240" w:lineRule="auto"/>
              <w:rPr>
                <w:rFonts w:ascii="Times New Roman" w:eastAsia="Times New Roman" w:hAnsi="Times New Roman" w:cs="Times New Roman"/>
                <w:i/>
                <w:iCs/>
                <w:sz w:val="20"/>
                <w:szCs w:val="20"/>
                <w:lang w:eastAsia="lv-LV"/>
              </w:rPr>
            </w:pPr>
            <w:proofErr w:type="spellStart"/>
            <w:r w:rsidRPr="00A07F29">
              <w:rPr>
                <w:rFonts w:ascii="Times New Roman" w:eastAsia="Times New Roman" w:hAnsi="Times New Roman" w:cs="Times New Roman"/>
                <w:i/>
                <w:iCs/>
                <w:sz w:val="20"/>
                <w:szCs w:val="20"/>
                <w:lang w:eastAsia="lv-LV"/>
              </w:rPr>
              <w:t>Isognomostoma</w:t>
            </w:r>
            <w:proofErr w:type="spellEnd"/>
            <w:r w:rsidRPr="00A07F29">
              <w:rPr>
                <w:rFonts w:ascii="Times New Roman" w:eastAsia="Times New Roman" w:hAnsi="Times New Roman" w:cs="Times New Roman"/>
                <w:i/>
                <w:iCs/>
                <w:sz w:val="20"/>
                <w:szCs w:val="20"/>
                <w:lang w:eastAsia="lv-LV"/>
              </w:rPr>
              <w:t xml:space="preserve"> </w:t>
            </w:r>
            <w:proofErr w:type="spellStart"/>
            <w:r w:rsidRPr="00A07F29">
              <w:rPr>
                <w:rFonts w:ascii="Times New Roman" w:eastAsia="Times New Roman" w:hAnsi="Times New Roman" w:cs="Times New Roman"/>
                <w:i/>
                <w:iCs/>
                <w:sz w:val="20"/>
                <w:szCs w:val="20"/>
                <w:lang w:eastAsia="lv-LV"/>
              </w:rPr>
              <w:t>isognomostomus</w:t>
            </w:r>
            <w:proofErr w:type="spellEnd"/>
          </w:p>
        </w:tc>
        <w:tc>
          <w:tcPr>
            <w:tcW w:w="2693" w:type="dxa"/>
            <w:shd w:val="clear" w:color="auto" w:fill="auto"/>
            <w:noWrap/>
            <w:vAlign w:val="center"/>
          </w:tcPr>
          <w:p w14:paraId="125AABF0"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proofErr w:type="spellStart"/>
            <w:r w:rsidRPr="00A07F29">
              <w:rPr>
                <w:rFonts w:ascii="Times New Roman" w:eastAsia="Times New Roman" w:hAnsi="Times New Roman" w:cs="Times New Roman"/>
                <w:sz w:val="20"/>
                <w:szCs w:val="20"/>
                <w:lang w:eastAsia="lv-LV"/>
              </w:rPr>
              <w:t>Liellūpas</w:t>
            </w:r>
            <w:proofErr w:type="spellEnd"/>
            <w:r w:rsidRPr="00A07F29">
              <w:rPr>
                <w:rFonts w:ascii="Times New Roman" w:eastAsia="Times New Roman" w:hAnsi="Times New Roman" w:cs="Times New Roman"/>
                <w:sz w:val="20"/>
                <w:szCs w:val="20"/>
                <w:lang w:eastAsia="lv-LV"/>
              </w:rPr>
              <w:t xml:space="preserve"> vīngliemezis</w:t>
            </w:r>
          </w:p>
        </w:tc>
        <w:tc>
          <w:tcPr>
            <w:tcW w:w="2410" w:type="dxa"/>
            <w:shd w:val="clear" w:color="auto" w:fill="auto"/>
            <w:noWrap/>
            <w:vAlign w:val="center"/>
          </w:tcPr>
          <w:p w14:paraId="3B82DBA6"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LV trīs atradnes</w:t>
            </w:r>
          </w:p>
        </w:tc>
      </w:tr>
      <w:tr w:rsidR="009072CE" w:rsidRPr="00A07F29" w14:paraId="603BDEC9" w14:textId="77777777" w:rsidTr="009056A3">
        <w:trPr>
          <w:trHeight w:val="264"/>
          <w:jc w:val="center"/>
        </w:trPr>
        <w:tc>
          <w:tcPr>
            <w:tcW w:w="644" w:type="dxa"/>
            <w:shd w:val="clear" w:color="auto" w:fill="auto"/>
            <w:noWrap/>
            <w:vAlign w:val="center"/>
          </w:tcPr>
          <w:p w14:paraId="4840AB1C"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51.</w:t>
            </w:r>
          </w:p>
        </w:tc>
        <w:tc>
          <w:tcPr>
            <w:tcW w:w="2728" w:type="dxa"/>
            <w:shd w:val="clear" w:color="auto" w:fill="auto"/>
            <w:noWrap/>
          </w:tcPr>
          <w:p w14:paraId="73F12C95" w14:textId="77777777" w:rsidR="009072CE" w:rsidRPr="00A07F29" w:rsidRDefault="009072CE" w:rsidP="009072CE">
            <w:pPr>
              <w:spacing w:after="0" w:line="240" w:lineRule="auto"/>
              <w:rPr>
                <w:rFonts w:ascii="Times New Roman" w:eastAsia="Times New Roman" w:hAnsi="Times New Roman" w:cs="Times New Roman"/>
                <w:i/>
                <w:iCs/>
                <w:sz w:val="20"/>
                <w:szCs w:val="20"/>
                <w:lang w:eastAsia="lv-LV"/>
              </w:rPr>
            </w:pPr>
            <w:proofErr w:type="spellStart"/>
            <w:r w:rsidRPr="00A07F29">
              <w:rPr>
                <w:rFonts w:ascii="Times New Roman" w:eastAsia="Times New Roman" w:hAnsi="Times New Roman" w:cs="Times New Roman"/>
                <w:i/>
                <w:iCs/>
                <w:sz w:val="20"/>
                <w:szCs w:val="20"/>
                <w:lang w:eastAsia="lv-LV"/>
              </w:rPr>
              <w:t>Macrogastra</w:t>
            </w:r>
            <w:proofErr w:type="spellEnd"/>
            <w:r w:rsidRPr="00A07F29">
              <w:rPr>
                <w:rFonts w:ascii="Times New Roman" w:eastAsia="Times New Roman" w:hAnsi="Times New Roman" w:cs="Times New Roman"/>
                <w:i/>
                <w:iCs/>
                <w:sz w:val="20"/>
                <w:szCs w:val="20"/>
                <w:lang w:eastAsia="lv-LV"/>
              </w:rPr>
              <w:t xml:space="preserve"> </w:t>
            </w:r>
            <w:proofErr w:type="spellStart"/>
            <w:r w:rsidRPr="00A07F29">
              <w:rPr>
                <w:rFonts w:ascii="Times New Roman" w:eastAsia="Times New Roman" w:hAnsi="Times New Roman" w:cs="Times New Roman"/>
                <w:i/>
                <w:iCs/>
                <w:sz w:val="20"/>
                <w:szCs w:val="20"/>
                <w:lang w:eastAsia="lv-LV"/>
              </w:rPr>
              <w:t>plicatula</w:t>
            </w:r>
            <w:proofErr w:type="spellEnd"/>
          </w:p>
        </w:tc>
        <w:tc>
          <w:tcPr>
            <w:tcW w:w="2693" w:type="dxa"/>
            <w:shd w:val="clear" w:color="auto" w:fill="auto"/>
            <w:noWrap/>
          </w:tcPr>
          <w:p w14:paraId="0648410D"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 xml:space="preserve">Krokainais </w:t>
            </w:r>
            <w:proofErr w:type="spellStart"/>
            <w:r w:rsidRPr="00A07F29">
              <w:rPr>
                <w:rFonts w:ascii="Times New Roman" w:eastAsia="Times New Roman" w:hAnsi="Times New Roman" w:cs="Times New Roman"/>
                <w:sz w:val="20"/>
                <w:szCs w:val="20"/>
                <w:lang w:eastAsia="lv-LV"/>
              </w:rPr>
              <w:t>vārpstiņgliemezis</w:t>
            </w:r>
            <w:proofErr w:type="spellEnd"/>
          </w:p>
        </w:tc>
        <w:tc>
          <w:tcPr>
            <w:tcW w:w="2410" w:type="dxa"/>
            <w:shd w:val="clear" w:color="auto" w:fill="auto"/>
            <w:noWrap/>
          </w:tcPr>
          <w:p w14:paraId="1CF43903"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Samērā bieži</w:t>
            </w:r>
          </w:p>
        </w:tc>
      </w:tr>
      <w:tr w:rsidR="009072CE" w:rsidRPr="00A07F29" w14:paraId="20BFF339" w14:textId="77777777" w:rsidTr="009056A3">
        <w:trPr>
          <w:trHeight w:val="264"/>
          <w:jc w:val="center"/>
        </w:trPr>
        <w:tc>
          <w:tcPr>
            <w:tcW w:w="644" w:type="dxa"/>
            <w:shd w:val="clear" w:color="auto" w:fill="auto"/>
            <w:noWrap/>
            <w:vAlign w:val="center"/>
          </w:tcPr>
          <w:p w14:paraId="73DEB5C9"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52.</w:t>
            </w:r>
          </w:p>
        </w:tc>
        <w:tc>
          <w:tcPr>
            <w:tcW w:w="2728" w:type="dxa"/>
            <w:shd w:val="clear" w:color="auto" w:fill="auto"/>
            <w:noWrap/>
            <w:vAlign w:val="center"/>
          </w:tcPr>
          <w:p w14:paraId="41F0C805" w14:textId="77777777" w:rsidR="009072CE" w:rsidRPr="00A07F29" w:rsidRDefault="009072CE" w:rsidP="009072CE">
            <w:pPr>
              <w:spacing w:after="0" w:line="240" w:lineRule="auto"/>
              <w:rPr>
                <w:rFonts w:ascii="Times New Roman" w:eastAsia="Times New Roman" w:hAnsi="Times New Roman" w:cs="Times New Roman"/>
                <w:i/>
                <w:iCs/>
                <w:sz w:val="20"/>
                <w:szCs w:val="20"/>
                <w:lang w:eastAsia="lv-LV"/>
              </w:rPr>
            </w:pPr>
            <w:proofErr w:type="spellStart"/>
            <w:r w:rsidRPr="00A07F29">
              <w:rPr>
                <w:rFonts w:ascii="Times New Roman" w:eastAsia="Times New Roman" w:hAnsi="Times New Roman" w:cs="Times New Roman"/>
                <w:i/>
                <w:iCs/>
                <w:sz w:val="20"/>
                <w:szCs w:val="20"/>
                <w:lang w:eastAsia="lv-LV"/>
              </w:rPr>
              <w:t>Macrogastra</w:t>
            </w:r>
            <w:proofErr w:type="spellEnd"/>
            <w:r w:rsidRPr="00A07F29">
              <w:rPr>
                <w:rFonts w:ascii="Times New Roman" w:eastAsia="Times New Roman" w:hAnsi="Times New Roman" w:cs="Times New Roman"/>
                <w:i/>
                <w:iCs/>
                <w:sz w:val="20"/>
                <w:szCs w:val="20"/>
                <w:lang w:eastAsia="lv-LV"/>
              </w:rPr>
              <w:t xml:space="preserve"> </w:t>
            </w:r>
            <w:proofErr w:type="spellStart"/>
            <w:r w:rsidRPr="00A07F29">
              <w:rPr>
                <w:rFonts w:ascii="Times New Roman" w:eastAsia="Times New Roman" w:hAnsi="Times New Roman" w:cs="Times New Roman"/>
                <w:i/>
                <w:iCs/>
                <w:sz w:val="20"/>
                <w:szCs w:val="20"/>
                <w:lang w:eastAsia="lv-LV"/>
              </w:rPr>
              <w:t>ventricosa</w:t>
            </w:r>
            <w:proofErr w:type="spellEnd"/>
          </w:p>
        </w:tc>
        <w:tc>
          <w:tcPr>
            <w:tcW w:w="2693" w:type="dxa"/>
            <w:shd w:val="clear" w:color="auto" w:fill="auto"/>
            <w:noWrap/>
            <w:vAlign w:val="center"/>
          </w:tcPr>
          <w:p w14:paraId="4D364627"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 xml:space="preserve">Vēderainais </w:t>
            </w:r>
            <w:proofErr w:type="spellStart"/>
            <w:r w:rsidRPr="00A07F29">
              <w:rPr>
                <w:rFonts w:ascii="Times New Roman" w:eastAsia="Times New Roman" w:hAnsi="Times New Roman" w:cs="Times New Roman"/>
                <w:sz w:val="20"/>
                <w:szCs w:val="20"/>
                <w:lang w:eastAsia="lv-LV"/>
              </w:rPr>
              <w:t>vārpstiņgliemezis</w:t>
            </w:r>
            <w:proofErr w:type="spellEnd"/>
          </w:p>
        </w:tc>
        <w:tc>
          <w:tcPr>
            <w:tcW w:w="2410" w:type="dxa"/>
            <w:shd w:val="clear" w:color="auto" w:fill="auto"/>
            <w:noWrap/>
            <w:vAlign w:val="center"/>
          </w:tcPr>
          <w:p w14:paraId="362E13F2"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Bieži</w:t>
            </w:r>
          </w:p>
        </w:tc>
      </w:tr>
      <w:tr w:rsidR="009072CE" w:rsidRPr="00A07F29" w14:paraId="2F99599D" w14:textId="77777777" w:rsidTr="009056A3">
        <w:trPr>
          <w:trHeight w:val="264"/>
          <w:jc w:val="center"/>
        </w:trPr>
        <w:tc>
          <w:tcPr>
            <w:tcW w:w="644" w:type="dxa"/>
            <w:shd w:val="clear" w:color="auto" w:fill="auto"/>
            <w:noWrap/>
            <w:vAlign w:val="center"/>
          </w:tcPr>
          <w:p w14:paraId="7EE2900B"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53.</w:t>
            </w:r>
          </w:p>
        </w:tc>
        <w:tc>
          <w:tcPr>
            <w:tcW w:w="2728" w:type="dxa"/>
            <w:shd w:val="clear" w:color="auto" w:fill="auto"/>
            <w:noWrap/>
            <w:vAlign w:val="center"/>
          </w:tcPr>
          <w:p w14:paraId="54BCFAFE" w14:textId="77777777" w:rsidR="009072CE" w:rsidRPr="00A07F29" w:rsidRDefault="009072CE" w:rsidP="009072CE">
            <w:pPr>
              <w:spacing w:after="0" w:line="240" w:lineRule="auto"/>
              <w:rPr>
                <w:rFonts w:ascii="Times New Roman" w:eastAsia="Times New Roman" w:hAnsi="Times New Roman" w:cs="Times New Roman"/>
                <w:i/>
                <w:iCs/>
                <w:sz w:val="20"/>
                <w:szCs w:val="20"/>
                <w:lang w:eastAsia="lv-LV"/>
              </w:rPr>
            </w:pPr>
            <w:proofErr w:type="spellStart"/>
            <w:r w:rsidRPr="00A07F29">
              <w:rPr>
                <w:rFonts w:ascii="Times New Roman" w:eastAsia="Times New Roman" w:hAnsi="Times New Roman" w:cs="Times New Roman"/>
                <w:i/>
                <w:iCs/>
                <w:sz w:val="20"/>
                <w:szCs w:val="20"/>
                <w:lang w:eastAsia="lv-LV"/>
              </w:rPr>
              <w:t>Merdigera</w:t>
            </w:r>
            <w:proofErr w:type="spellEnd"/>
            <w:r w:rsidRPr="00A07F29">
              <w:rPr>
                <w:rFonts w:ascii="Times New Roman" w:eastAsia="Times New Roman" w:hAnsi="Times New Roman" w:cs="Times New Roman"/>
                <w:i/>
                <w:iCs/>
                <w:sz w:val="20"/>
                <w:szCs w:val="20"/>
                <w:lang w:eastAsia="lv-LV"/>
              </w:rPr>
              <w:t xml:space="preserve"> </w:t>
            </w:r>
            <w:proofErr w:type="spellStart"/>
            <w:r w:rsidRPr="00A07F29">
              <w:rPr>
                <w:rFonts w:ascii="Times New Roman" w:eastAsia="Times New Roman" w:hAnsi="Times New Roman" w:cs="Times New Roman"/>
                <w:i/>
                <w:iCs/>
                <w:sz w:val="20"/>
                <w:szCs w:val="20"/>
                <w:lang w:eastAsia="lv-LV"/>
              </w:rPr>
              <w:t>obscura</w:t>
            </w:r>
            <w:proofErr w:type="spellEnd"/>
          </w:p>
        </w:tc>
        <w:tc>
          <w:tcPr>
            <w:tcW w:w="2693" w:type="dxa"/>
            <w:shd w:val="clear" w:color="auto" w:fill="auto"/>
            <w:noWrap/>
            <w:vAlign w:val="center"/>
          </w:tcPr>
          <w:p w14:paraId="70F5CBFF"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 xml:space="preserve">Mazais </w:t>
            </w:r>
            <w:proofErr w:type="spellStart"/>
            <w:r w:rsidRPr="00A07F29">
              <w:rPr>
                <w:rFonts w:ascii="Times New Roman" w:eastAsia="Times New Roman" w:hAnsi="Times New Roman" w:cs="Times New Roman"/>
                <w:sz w:val="20"/>
                <w:szCs w:val="20"/>
                <w:lang w:eastAsia="lv-LV"/>
              </w:rPr>
              <w:t>torņgliemezis</w:t>
            </w:r>
            <w:proofErr w:type="spellEnd"/>
          </w:p>
        </w:tc>
        <w:tc>
          <w:tcPr>
            <w:tcW w:w="2410" w:type="dxa"/>
            <w:shd w:val="clear" w:color="auto" w:fill="auto"/>
            <w:noWrap/>
            <w:vAlign w:val="center"/>
          </w:tcPr>
          <w:p w14:paraId="209FDACB"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Samērā bieži</w:t>
            </w:r>
          </w:p>
        </w:tc>
      </w:tr>
      <w:tr w:rsidR="009072CE" w:rsidRPr="00A07F29" w14:paraId="606D484B" w14:textId="77777777" w:rsidTr="009056A3">
        <w:trPr>
          <w:trHeight w:val="264"/>
          <w:jc w:val="center"/>
        </w:trPr>
        <w:tc>
          <w:tcPr>
            <w:tcW w:w="644" w:type="dxa"/>
            <w:shd w:val="clear" w:color="auto" w:fill="auto"/>
            <w:noWrap/>
            <w:vAlign w:val="center"/>
          </w:tcPr>
          <w:p w14:paraId="290FBAE5"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54.</w:t>
            </w:r>
          </w:p>
        </w:tc>
        <w:tc>
          <w:tcPr>
            <w:tcW w:w="2728" w:type="dxa"/>
            <w:shd w:val="clear" w:color="auto" w:fill="auto"/>
            <w:noWrap/>
            <w:vAlign w:val="center"/>
          </w:tcPr>
          <w:p w14:paraId="5B81BB61" w14:textId="77777777" w:rsidR="009072CE" w:rsidRPr="00A07F29" w:rsidRDefault="009072CE" w:rsidP="009072CE">
            <w:pPr>
              <w:spacing w:after="0" w:line="240" w:lineRule="auto"/>
              <w:rPr>
                <w:rFonts w:ascii="Times New Roman" w:eastAsia="Times New Roman" w:hAnsi="Times New Roman" w:cs="Times New Roman"/>
                <w:i/>
                <w:sz w:val="20"/>
                <w:szCs w:val="20"/>
                <w:lang w:eastAsia="lv-LV"/>
              </w:rPr>
            </w:pPr>
            <w:proofErr w:type="spellStart"/>
            <w:r w:rsidRPr="00A07F29">
              <w:rPr>
                <w:rFonts w:ascii="Times New Roman" w:eastAsia="Times New Roman" w:hAnsi="Times New Roman" w:cs="Times New Roman"/>
                <w:i/>
                <w:iCs/>
                <w:sz w:val="20"/>
                <w:szCs w:val="20"/>
                <w:lang w:eastAsia="lv-LV"/>
              </w:rPr>
              <w:t>Nesovitrea</w:t>
            </w:r>
            <w:proofErr w:type="spellEnd"/>
            <w:r w:rsidRPr="00A07F29">
              <w:rPr>
                <w:rFonts w:ascii="Times New Roman" w:eastAsia="Times New Roman" w:hAnsi="Times New Roman" w:cs="Times New Roman"/>
                <w:i/>
                <w:iCs/>
                <w:sz w:val="20"/>
                <w:szCs w:val="20"/>
                <w:lang w:eastAsia="lv-LV"/>
              </w:rPr>
              <w:t xml:space="preserve"> </w:t>
            </w:r>
            <w:proofErr w:type="spellStart"/>
            <w:r w:rsidRPr="00A07F29">
              <w:rPr>
                <w:rFonts w:ascii="Times New Roman" w:eastAsia="Times New Roman" w:hAnsi="Times New Roman" w:cs="Times New Roman"/>
                <w:i/>
                <w:iCs/>
                <w:sz w:val="20"/>
                <w:szCs w:val="20"/>
                <w:lang w:eastAsia="lv-LV"/>
              </w:rPr>
              <w:t>hammonis</w:t>
            </w:r>
            <w:proofErr w:type="spellEnd"/>
            <w:r w:rsidRPr="00A07F29">
              <w:rPr>
                <w:rFonts w:ascii="Times New Roman" w:eastAsia="Times New Roman" w:hAnsi="Times New Roman" w:cs="Times New Roman"/>
                <w:i/>
                <w:iCs/>
                <w:sz w:val="20"/>
                <w:szCs w:val="20"/>
                <w:lang w:eastAsia="lv-LV"/>
              </w:rPr>
              <w:t xml:space="preserve"> </w:t>
            </w:r>
          </w:p>
        </w:tc>
        <w:tc>
          <w:tcPr>
            <w:tcW w:w="2693" w:type="dxa"/>
            <w:shd w:val="clear" w:color="auto" w:fill="auto"/>
            <w:noWrap/>
            <w:vAlign w:val="center"/>
          </w:tcPr>
          <w:p w14:paraId="1AFE706D"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 xml:space="preserve">Brūnā </w:t>
            </w:r>
            <w:proofErr w:type="spellStart"/>
            <w:r w:rsidRPr="00A07F29">
              <w:rPr>
                <w:rFonts w:ascii="Times New Roman" w:eastAsia="Times New Roman" w:hAnsi="Times New Roman" w:cs="Times New Roman"/>
                <w:sz w:val="20"/>
                <w:szCs w:val="20"/>
                <w:lang w:eastAsia="lv-LV"/>
              </w:rPr>
              <w:t>rievspolīte</w:t>
            </w:r>
            <w:proofErr w:type="spellEnd"/>
          </w:p>
        </w:tc>
        <w:tc>
          <w:tcPr>
            <w:tcW w:w="2410" w:type="dxa"/>
            <w:shd w:val="clear" w:color="auto" w:fill="auto"/>
            <w:noWrap/>
            <w:vAlign w:val="center"/>
          </w:tcPr>
          <w:p w14:paraId="2E2BC690"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Ļoti bieži</w:t>
            </w:r>
          </w:p>
        </w:tc>
      </w:tr>
      <w:tr w:rsidR="009072CE" w:rsidRPr="00A07F29" w14:paraId="09EDA6E8" w14:textId="77777777" w:rsidTr="009056A3">
        <w:trPr>
          <w:trHeight w:val="264"/>
          <w:jc w:val="center"/>
        </w:trPr>
        <w:tc>
          <w:tcPr>
            <w:tcW w:w="644" w:type="dxa"/>
            <w:shd w:val="clear" w:color="auto" w:fill="auto"/>
            <w:noWrap/>
            <w:vAlign w:val="center"/>
          </w:tcPr>
          <w:p w14:paraId="5B7B581C"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55.</w:t>
            </w:r>
          </w:p>
        </w:tc>
        <w:tc>
          <w:tcPr>
            <w:tcW w:w="2728" w:type="dxa"/>
            <w:shd w:val="clear" w:color="auto" w:fill="auto"/>
            <w:noWrap/>
            <w:vAlign w:val="center"/>
          </w:tcPr>
          <w:p w14:paraId="25F01579" w14:textId="77777777" w:rsidR="009072CE" w:rsidRPr="00A07F29" w:rsidRDefault="009072CE" w:rsidP="009072CE">
            <w:pPr>
              <w:spacing w:after="0" w:line="240" w:lineRule="auto"/>
              <w:rPr>
                <w:rFonts w:ascii="Times New Roman" w:eastAsia="Times New Roman" w:hAnsi="Times New Roman" w:cs="Times New Roman"/>
                <w:i/>
                <w:iCs/>
                <w:sz w:val="20"/>
                <w:szCs w:val="20"/>
                <w:lang w:eastAsia="lv-LV"/>
              </w:rPr>
            </w:pPr>
            <w:proofErr w:type="spellStart"/>
            <w:r w:rsidRPr="00A07F29">
              <w:rPr>
                <w:rFonts w:ascii="Times New Roman" w:eastAsia="Times New Roman" w:hAnsi="Times New Roman" w:cs="Times New Roman"/>
                <w:i/>
                <w:iCs/>
                <w:sz w:val="20"/>
                <w:szCs w:val="20"/>
                <w:lang w:eastAsia="lv-LV"/>
              </w:rPr>
              <w:t>Nesovitrea</w:t>
            </w:r>
            <w:proofErr w:type="spellEnd"/>
            <w:r w:rsidRPr="00A07F29">
              <w:rPr>
                <w:rFonts w:ascii="Times New Roman" w:eastAsia="Times New Roman" w:hAnsi="Times New Roman" w:cs="Times New Roman"/>
                <w:i/>
                <w:iCs/>
                <w:sz w:val="20"/>
                <w:szCs w:val="20"/>
                <w:lang w:eastAsia="lv-LV"/>
              </w:rPr>
              <w:t xml:space="preserve"> </w:t>
            </w:r>
            <w:proofErr w:type="spellStart"/>
            <w:r w:rsidRPr="00A07F29">
              <w:rPr>
                <w:rFonts w:ascii="Times New Roman" w:eastAsia="Times New Roman" w:hAnsi="Times New Roman" w:cs="Times New Roman"/>
                <w:i/>
                <w:iCs/>
                <w:sz w:val="20"/>
                <w:szCs w:val="20"/>
                <w:lang w:eastAsia="lv-LV"/>
              </w:rPr>
              <w:t>petronella</w:t>
            </w:r>
            <w:proofErr w:type="spellEnd"/>
            <w:r w:rsidRPr="00A07F29">
              <w:rPr>
                <w:rFonts w:ascii="Times New Roman" w:eastAsia="Times New Roman" w:hAnsi="Times New Roman" w:cs="Times New Roman"/>
                <w:i/>
                <w:iCs/>
                <w:sz w:val="20"/>
                <w:szCs w:val="20"/>
                <w:lang w:eastAsia="lv-LV"/>
              </w:rPr>
              <w:t xml:space="preserve"> </w:t>
            </w:r>
          </w:p>
        </w:tc>
        <w:tc>
          <w:tcPr>
            <w:tcW w:w="2693" w:type="dxa"/>
            <w:shd w:val="clear" w:color="auto" w:fill="auto"/>
            <w:noWrap/>
            <w:vAlign w:val="center"/>
          </w:tcPr>
          <w:p w14:paraId="06747AA2"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 xml:space="preserve">Blāvā </w:t>
            </w:r>
            <w:proofErr w:type="spellStart"/>
            <w:r w:rsidRPr="00A07F29">
              <w:rPr>
                <w:rFonts w:ascii="Times New Roman" w:eastAsia="Times New Roman" w:hAnsi="Times New Roman" w:cs="Times New Roman"/>
                <w:sz w:val="20"/>
                <w:szCs w:val="20"/>
                <w:lang w:eastAsia="lv-LV"/>
              </w:rPr>
              <w:t>rievspolīte</w:t>
            </w:r>
            <w:proofErr w:type="spellEnd"/>
          </w:p>
        </w:tc>
        <w:tc>
          <w:tcPr>
            <w:tcW w:w="2410" w:type="dxa"/>
            <w:shd w:val="clear" w:color="auto" w:fill="auto"/>
            <w:noWrap/>
            <w:vAlign w:val="center"/>
          </w:tcPr>
          <w:p w14:paraId="3D914AC1"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Samērā bieži</w:t>
            </w:r>
          </w:p>
        </w:tc>
      </w:tr>
      <w:tr w:rsidR="009072CE" w:rsidRPr="00A07F29" w14:paraId="2A3E6319" w14:textId="77777777" w:rsidTr="009056A3">
        <w:trPr>
          <w:trHeight w:val="264"/>
          <w:jc w:val="center"/>
        </w:trPr>
        <w:tc>
          <w:tcPr>
            <w:tcW w:w="644" w:type="dxa"/>
            <w:shd w:val="clear" w:color="auto" w:fill="auto"/>
            <w:noWrap/>
            <w:vAlign w:val="center"/>
          </w:tcPr>
          <w:p w14:paraId="7D28CF1F"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56.</w:t>
            </w:r>
          </w:p>
        </w:tc>
        <w:tc>
          <w:tcPr>
            <w:tcW w:w="2728" w:type="dxa"/>
            <w:shd w:val="clear" w:color="auto" w:fill="auto"/>
            <w:noWrap/>
            <w:vAlign w:val="center"/>
          </w:tcPr>
          <w:p w14:paraId="219EC4FC" w14:textId="77777777" w:rsidR="009072CE" w:rsidRPr="00A07F29" w:rsidRDefault="009072CE" w:rsidP="009072CE">
            <w:pPr>
              <w:spacing w:after="0" w:line="240" w:lineRule="auto"/>
              <w:rPr>
                <w:rFonts w:ascii="Times New Roman" w:eastAsia="Times New Roman" w:hAnsi="Times New Roman" w:cs="Times New Roman"/>
                <w:i/>
                <w:iCs/>
                <w:sz w:val="20"/>
                <w:szCs w:val="20"/>
                <w:lang w:eastAsia="lv-LV"/>
              </w:rPr>
            </w:pPr>
            <w:proofErr w:type="spellStart"/>
            <w:r w:rsidRPr="00A07F29">
              <w:rPr>
                <w:rFonts w:ascii="Times New Roman" w:eastAsia="Times New Roman" w:hAnsi="Times New Roman" w:cs="Times New Roman"/>
                <w:i/>
                <w:iCs/>
                <w:sz w:val="20"/>
                <w:szCs w:val="20"/>
                <w:lang w:eastAsia="lv-LV"/>
              </w:rPr>
              <w:t>Oxyloma</w:t>
            </w:r>
            <w:proofErr w:type="spellEnd"/>
            <w:r w:rsidRPr="00A07F29">
              <w:rPr>
                <w:rFonts w:ascii="Times New Roman" w:eastAsia="Times New Roman" w:hAnsi="Times New Roman" w:cs="Times New Roman"/>
                <w:i/>
                <w:iCs/>
                <w:sz w:val="20"/>
                <w:szCs w:val="20"/>
                <w:lang w:eastAsia="lv-LV"/>
              </w:rPr>
              <w:t xml:space="preserve"> </w:t>
            </w:r>
            <w:proofErr w:type="spellStart"/>
            <w:r w:rsidRPr="00A07F29">
              <w:rPr>
                <w:rFonts w:ascii="Times New Roman" w:eastAsia="Times New Roman" w:hAnsi="Times New Roman" w:cs="Times New Roman"/>
                <w:i/>
                <w:iCs/>
                <w:sz w:val="20"/>
                <w:szCs w:val="20"/>
                <w:lang w:eastAsia="lv-LV"/>
              </w:rPr>
              <w:t>elegans</w:t>
            </w:r>
            <w:proofErr w:type="spellEnd"/>
          </w:p>
        </w:tc>
        <w:tc>
          <w:tcPr>
            <w:tcW w:w="2693" w:type="dxa"/>
            <w:shd w:val="clear" w:color="auto" w:fill="auto"/>
            <w:noWrap/>
            <w:vAlign w:val="center"/>
          </w:tcPr>
          <w:p w14:paraId="62F7C09A"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 xml:space="preserve">Krastmalas </w:t>
            </w:r>
            <w:proofErr w:type="spellStart"/>
            <w:r w:rsidRPr="00A07F29">
              <w:rPr>
                <w:rFonts w:ascii="Times New Roman" w:eastAsia="Times New Roman" w:hAnsi="Times New Roman" w:cs="Times New Roman"/>
                <w:sz w:val="20"/>
                <w:szCs w:val="20"/>
                <w:lang w:eastAsia="lv-LV"/>
              </w:rPr>
              <w:t>dzintargliemezis</w:t>
            </w:r>
            <w:proofErr w:type="spellEnd"/>
          </w:p>
        </w:tc>
        <w:tc>
          <w:tcPr>
            <w:tcW w:w="2410" w:type="dxa"/>
            <w:shd w:val="clear" w:color="auto" w:fill="auto"/>
            <w:noWrap/>
            <w:vAlign w:val="center"/>
          </w:tcPr>
          <w:p w14:paraId="55A4B19B"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Samērā bieži</w:t>
            </w:r>
          </w:p>
        </w:tc>
      </w:tr>
      <w:tr w:rsidR="009072CE" w:rsidRPr="00A07F29" w14:paraId="50B0587E" w14:textId="77777777" w:rsidTr="009056A3">
        <w:trPr>
          <w:trHeight w:val="264"/>
          <w:jc w:val="center"/>
        </w:trPr>
        <w:tc>
          <w:tcPr>
            <w:tcW w:w="644" w:type="dxa"/>
            <w:shd w:val="clear" w:color="auto" w:fill="auto"/>
            <w:noWrap/>
            <w:vAlign w:val="center"/>
          </w:tcPr>
          <w:p w14:paraId="366C7D1D"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57.</w:t>
            </w:r>
          </w:p>
        </w:tc>
        <w:tc>
          <w:tcPr>
            <w:tcW w:w="2728" w:type="dxa"/>
            <w:shd w:val="clear" w:color="auto" w:fill="auto"/>
            <w:noWrap/>
            <w:vAlign w:val="center"/>
          </w:tcPr>
          <w:p w14:paraId="7B08A2DD" w14:textId="77777777" w:rsidR="009072CE" w:rsidRPr="00A07F29" w:rsidRDefault="009072CE" w:rsidP="009072CE">
            <w:pPr>
              <w:spacing w:after="0" w:line="240" w:lineRule="auto"/>
              <w:rPr>
                <w:rFonts w:ascii="Times New Roman" w:eastAsia="Times New Roman" w:hAnsi="Times New Roman" w:cs="Times New Roman"/>
                <w:i/>
                <w:iCs/>
                <w:sz w:val="20"/>
                <w:szCs w:val="20"/>
                <w:lang w:eastAsia="lv-LV"/>
              </w:rPr>
            </w:pPr>
            <w:proofErr w:type="spellStart"/>
            <w:r w:rsidRPr="00A07F29">
              <w:rPr>
                <w:rFonts w:ascii="Times New Roman" w:eastAsia="Times New Roman" w:hAnsi="Times New Roman" w:cs="Times New Roman"/>
                <w:i/>
                <w:iCs/>
                <w:sz w:val="20"/>
                <w:szCs w:val="20"/>
                <w:lang w:eastAsia="lv-LV"/>
              </w:rPr>
              <w:t>Perforatella</w:t>
            </w:r>
            <w:proofErr w:type="spellEnd"/>
            <w:r w:rsidRPr="00A07F29">
              <w:rPr>
                <w:rFonts w:ascii="Times New Roman" w:eastAsia="Times New Roman" w:hAnsi="Times New Roman" w:cs="Times New Roman"/>
                <w:i/>
                <w:iCs/>
                <w:sz w:val="20"/>
                <w:szCs w:val="20"/>
                <w:lang w:eastAsia="lv-LV"/>
              </w:rPr>
              <w:t xml:space="preserve"> </w:t>
            </w:r>
            <w:proofErr w:type="spellStart"/>
            <w:r w:rsidRPr="00A07F29">
              <w:rPr>
                <w:rFonts w:ascii="Times New Roman" w:eastAsia="Times New Roman" w:hAnsi="Times New Roman" w:cs="Times New Roman"/>
                <w:i/>
                <w:iCs/>
                <w:sz w:val="20"/>
                <w:szCs w:val="20"/>
                <w:lang w:eastAsia="lv-LV"/>
              </w:rPr>
              <w:t>bidentata</w:t>
            </w:r>
            <w:proofErr w:type="spellEnd"/>
          </w:p>
        </w:tc>
        <w:tc>
          <w:tcPr>
            <w:tcW w:w="2693" w:type="dxa"/>
            <w:shd w:val="clear" w:color="auto" w:fill="auto"/>
            <w:noWrap/>
            <w:vAlign w:val="center"/>
          </w:tcPr>
          <w:p w14:paraId="155CF69E"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proofErr w:type="spellStart"/>
            <w:r w:rsidRPr="00A07F29">
              <w:rPr>
                <w:rFonts w:ascii="Times New Roman" w:eastAsia="Times New Roman" w:hAnsi="Times New Roman" w:cs="Times New Roman"/>
                <w:sz w:val="20"/>
                <w:szCs w:val="20"/>
                <w:lang w:eastAsia="lv-LV"/>
              </w:rPr>
              <w:t>Divzobu</w:t>
            </w:r>
            <w:proofErr w:type="spellEnd"/>
            <w:r w:rsidRPr="00A07F29">
              <w:rPr>
                <w:rFonts w:ascii="Times New Roman" w:eastAsia="Times New Roman" w:hAnsi="Times New Roman" w:cs="Times New Roman"/>
                <w:sz w:val="20"/>
                <w:szCs w:val="20"/>
                <w:lang w:eastAsia="lv-LV"/>
              </w:rPr>
              <w:t xml:space="preserve"> vīngliemezis</w:t>
            </w:r>
          </w:p>
        </w:tc>
        <w:tc>
          <w:tcPr>
            <w:tcW w:w="2410" w:type="dxa"/>
            <w:shd w:val="clear" w:color="auto" w:fill="auto"/>
            <w:noWrap/>
            <w:vAlign w:val="center"/>
          </w:tcPr>
          <w:p w14:paraId="2A6DC877"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Bieži</w:t>
            </w:r>
          </w:p>
        </w:tc>
      </w:tr>
      <w:tr w:rsidR="009072CE" w:rsidRPr="00A07F29" w14:paraId="3060BFE4" w14:textId="77777777" w:rsidTr="009056A3">
        <w:trPr>
          <w:trHeight w:val="264"/>
          <w:jc w:val="center"/>
        </w:trPr>
        <w:tc>
          <w:tcPr>
            <w:tcW w:w="644" w:type="dxa"/>
            <w:shd w:val="clear" w:color="auto" w:fill="auto"/>
            <w:noWrap/>
            <w:vAlign w:val="center"/>
          </w:tcPr>
          <w:p w14:paraId="183FBCC2"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58.</w:t>
            </w:r>
          </w:p>
        </w:tc>
        <w:tc>
          <w:tcPr>
            <w:tcW w:w="2728" w:type="dxa"/>
            <w:shd w:val="clear" w:color="auto" w:fill="auto"/>
            <w:noWrap/>
            <w:vAlign w:val="center"/>
          </w:tcPr>
          <w:p w14:paraId="60390FED" w14:textId="77777777" w:rsidR="009072CE" w:rsidRPr="00A07F29" w:rsidRDefault="009072CE" w:rsidP="009072CE">
            <w:pPr>
              <w:spacing w:after="0" w:line="240" w:lineRule="auto"/>
              <w:rPr>
                <w:rFonts w:ascii="Times New Roman" w:eastAsia="Times New Roman" w:hAnsi="Times New Roman" w:cs="Times New Roman"/>
                <w:i/>
                <w:iCs/>
                <w:sz w:val="20"/>
                <w:szCs w:val="20"/>
                <w:lang w:eastAsia="lv-LV"/>
              </w:rPr>
            </w:pPr>
            <w:proofErr w:type="spellStart"/>
            <w:r w:rsidRPr="00A07F29">
              <w:rPr>
                <w:rFonts w:ascii="Times New Roman" w:eastAsia="Times New Roman" w:hAnsi="Times New Roman" w:cs="Times New Roman"/>
                <w:i/>
                <w:iCs/>
                <w:sz w:val="20"/>
                <w:szCs w:val="20"/>
                <w:lang w:eastAsia="lv-LV"/>
              </w:rPr>
              <w:t>Platyla</w:t>
            </w:r>
            <w:proofErr w:type="spellEnd"/>
            <w:r w:rsidRPr="00A07F29">
              <w:rPr>
                <w:rFonts w:ascii="Times New Roman" w:eastAsia="Times New Roman" w:hAnsi="Times New Roman" w:cs="Times New Roman"/>
                <w:i/>
                <w:iCs/>
                <w:sz w:val="20"/>
                <w:szCs w:val="20"/>
                <w:lang w:eastAsia="lv-LV"/>
              </w:rPr>
              <w:t xml:space="preserve"> </w:t>
            </w:r>
            <w:proofErr w:type="spellStart"/>
            <w:r w:rsidRPr="00A07F29">
              <w:rPr>
                <w:rFonts w:ascii="Times New Roman" w:eastAsia="Times New Roman" w:hAnsi="Times New Roman" w:cs="Times New Roman"/>
                <w:i/>
                <w:iCs/>
                <w:sz w:val="20"/>
                <w:szCs w:val="20"/>
                <w:lang w:eastAsia="lv-LV"/>
              </w:rPr>
              <w:t>polita</w:t>
            </w:r>
            <w:proofErr w:type="spellEnd"/>
          </w:p>
        </w:tc>
        <w:tc>
          <w:tcPr>
            <w:tcW w:w="2693" w:type="dxa"/>
            <w:shd w:val="clear" w:color="auto" w:fill="auto"/>
            <w:noWrap/>
            <w:vAlign w:val="center"/>
          </w:tcPr>
          <w:p w14:paraId="0824F2CF"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 xml:space="preserve">Gludais </w:t>
            </w:r>
            <w:proofErr w:type="spellStart"/>
            <w:r w:rsidRPr="00A07F29">
              <w:rPr>
                <w:rFonts w:ascii="Times New Roman" w:eastAsia="Times New Roman" w:hAnsi="Times New Roman" w:cs="Times New Roman"/>
                <w:sz w:val="20"/>
                <w:szCs w:val="20"/>
                <w:lang w:eastAsia="lv-LV"/>
              </w:rPr>
              <w:t>adatgliemezis</w:t>
            </w:r>
            <w:proofErr w:type="spellEnd"/>
          </w:p>
        </w:tc>
        <w:tc>
          <w:tcPr>
            <w:tcW w:w="2410" w:type="dxa"/>
            <w:shd w:val="clear" w:color="auto" w:fill="auto"/>
            <w:noWrap/>
            <w:vAlign w:val="center"/>
          </w:tcPr>
          <w:p w14:paraId="0C839E68"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Reti</w:t>
            </w:r>
          </w:p>
        </w:tc>
      </w:tr>
      <w:tr w:rsidR="009072CE" w:rsidRPr="00A07F29" w14:paraId="511CB256" w14:textId="77777777" w:rsidTr="009056A3">
        <w:trPr>
          <w:trHeight w:val="264"/>
          <w:jc w:val="center"/>
        </w:trPr>
        <w:tc>
          <w:tcPr>
            <w:tcW w:w="644" w:type="dxa"/>
            <w:shd w:val="clear" w:color="auto" w:fill="auto"/>
            <w:noWrap/>
            <w:vAlign w:val="center"/>
          </w:tcPr>
          <w:p w14:paraId="0AAE6BF1"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59.</w:t>
            </w:r>
          </w:p>
        </w:tc>
        <w:tc>
          <w:tcPr>
            <w:tcW w:w="2728" w:type="dxa"/>
            <w:shd w:val="clear" w:color="auto" w:fill="auto"/>
            <w:noWrap/>
            <w:vAlign w:val="center"/>
          </w:tcPr>
          <w:p w14:paraId="606FB56B" w14:textId="77777777" w:rsidR="009072CE" w:rsidRPr="00A07F29" w:rsidRDefault="009072CE" w:rsidP="009072CE">
            <w:pPr>
              <w:spacing w:after="0" w:line="240" w:lineRule="auto"/>
              <w:rPr>
                <w:rFonts w:ascii="Times New Roman" w:eastAsia="Times New Roman" w:hAnsi="Times New Roman" w:cs="Times New Roman"/>
                <w:i/>
                <w:iCs/>
                <w:sz w:val="20"/>
                <w:szCs w:val="20"/>
                <w:lang w:eastAsia="lv-LV"/>
              </w:rPr>
            </w:pPr>
            <w:proofErr w:type="spellStart"/>
            <w:r w:rsidRPr="00A07F29">
              <w:rPr>
                <w:rFonts w:ascii="Times New Roman" w:eastAsia="Times New Roman" w:hAnsi="Times New Roman" w:cs="Times New Roman"/>
                <w:i/>
                <w:iCs/>
                <w:sz w:val="20"/>
                <w:szCs w:val="20"/>
                <w:lang w:eastAsia="lv-LV"/>
              </w:rPr>
              <w:t>Pseudotrichia</w:t>
            </w:r>
            <w:proofErr w:type="spellEnd"/>
            <w:r w:rsidRPr="00A07F29">
              <w:rPr>
                <w:rFonts w:ascii="Times New Roman" w:eastAsia="Times New Roman" w:hAnsi="Times New Roman" w:cs="Times New Roman"/>
                <w:i/>
                <w:iCs/>
                <w:sz w:val="20"/>
                <w:szCs w:val="20"/>
                <w:lang w:eastAsia="lv-LV"/>
              </w:rPr>
              <w:t xml:space="preserve"> </w:t>
            </w:r>
            <w:proofErr w:type="spellStart"/>
            <w:r w:rsidRPr="00A07F29">
              <w:rPr>
                <w:rFonts w:ascii="Times New Roman" w:eastAsia="Times New Roman" w:hAnsi="Times New Roman" w:cs="Times New Roman"/>
                <w:i/>
                <w:iCs/>
                <w:sz w:val="20"/>
                <w:szCs w:val="20"/>
                <w:lang w:eastAsia="lv-LV"/>
              </w:rPr>
              <w:t>rubiginosa</w:t>
            </w:r>
            <w:proofErr w:type="spellEnd"/>
          </w:p>
        </w:tc>
        <w:tc>
          <w:tcPr>
            <w:tcW w:w="2693" w:type="dxa"/>
            <w:shd w:val="clear" w:color="auto" w:fill="auto"/>
            <w:noWrap/>
            <w:vAlign w:val="center"/>
          </w:tcPr>
          <w:p w14:paraId="388FC4E7"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Krastmalas vīngliemezis</w:t>
            </w:r>
          </w:p>
        </w:tc>
        <w:tc>
          <w:tcPr>
            <w:tcW w:w="2410" w:type="dxa"/>
            <w:shd w:val="clear" w:color="auto" w:fill="auto"/>
            <w:noWrap/>
            <w:vAlign w:val="center"/>
          </w:tcPr>
          <w:p w14:paraId="7E81B57F"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Samērā bieži</w:t>
            </w:r>
          </w:p>
        </w:tc>
      </w:tr>
      <w:tr w:rsidR="009072CE" w:rsidRPr="00A07F29" w14:paraId="3660E238" w14:textId="77777777" w:rsidTr="009056A3">
        <w:trPr>
          <w:trHeight w:val="264"/>
          <w:jc w:val="center"/>
        </w:trPr>
        <w:tc>
          <w:tcPr>
            <w:tcW w:w="644" w:type="dxa"/>
            <w:shd w:val="clear" w:color="auto" w:fill="auto"/>
            <w:noWrap/>
            <w:vAlign w:val="center"/>
          </w:tcPr>
          <w:p w14:paraId="54F267FB"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60.</w:t>
            </w:r>
          </w:p>
        </w:tc>
        <w:tc>
          <w:tcPr>
            <w:tcW w:w="2728" w:type="dxa"/>
            <w:shd w:val="clear" w:color="auto" w:fill="auto"/>
            <w:noWrap/>
            <w:vAlign w:val="center"/>
          </w:tcPr>
          <w:p w14:paraId="728BE0BF" w14:textId="77777777" w:rsidR="009072CE" w:rsidRPr="00A07F29" w:rsidRDefault="009072CE" w:rsidP="009072CE">
            <w:pPr>
              <w:spacing w:after="0" w:line="240" w:lineRule="auto"/>
              <w:rPr>
                <w:rFonts w:ascii="Times New Roman" w:eastAsia="Times New Roman" w:hAnsi="Times New Roman" w:cs="Times New Roman"/>
                <w:i/>
                <w:iCs/>
                <w:sz w:val="20"/>
                <w:szCs w:val="20"/>
                <w:lang w:eastAsia="lv-LV"/>
              </w:rPr>
            </w:pPr>
            <w:proofErr w:type="spellStart"/>
            <w:r w:rsidRPr="00A07F29">
              <w:rPr>
                <w:rFonts w:ascii="Times New Roman" w:eastAsia="Times New Roman" w:hAnsi="Times New Roman" w:cs="Times New Roman"/>
                <w:i/>
                <w:iCs/>
                <w:sz w:val="20"/>
                <w:szCs w:val="20"/>
                <w:lang w:eastAsia="lv-LV"/>
              </w:rPr>
              <w:t>Punctum</w:t>
            </w:r>
            <w:proofErr w:type="spellEnd"/>
            <w:r w:rsidRPr="00A07F29">
              <w:rPr>
                <w:rFonts w:ascii="Times New Roman" w:eastAsia="Times New Roman" w:hAnsi="Times New Roman" w:cs="Times New Roman"/>
                <w:i/>
                <w:iCs/>
                <w:sz w:val="20"/>
                <w:szCs w:val="20"/>
                <w:lang w:eastAsia="lv-LV"/>
              </w:rPr>
              <w:t xml:space="preserve"> </w:t>
            </w:r>
            <w:proofErr w:type="spellStart"/>
            <w:r w:rsidRPr="00A07F29">
              <w:rPr>
                <w:rFonts w:ascii="Times New Roman" w:eastAsia="Times New Roman" w:hAnsi="Times New Roman" w:cs="Times New Roman"/>
                <w:i/>
                <w:iCs/>
                <w:sz w:val="20"/>
                <w:szCs w:val="20"/>
                <w:lang w:eastAsia="lv-LV"/>
              </w:rPr>
              <w:t>pygmaeum</w:t>
            </w:r>
            <w:proofErr w:type="spellEnd"/>
          </w:p>
        </w:tc>
        <w:tc>
          <w:tcPr>
            <w:tcW w:w="2693" w:type="dxa"/>
            <w:shd w:val="clear" w:color="auto" w:fill="auto"/>
            <w:noWrap/>
            <w:vAlign w:val="center"/>
          </w:tcPr>
          <w:p w14:paraId="7B39F40C"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 xml:space="preserve">Mazais </w:t>
            </w:r>
            <w:proofErr w:type="spellStart"/>
            <w:r w:rsidRPr="00A07F29">
              <w:rPr>
                <w:rFonts w:ascii="Times New Roman" w:eastAsia="Times New Roman" w:hAnsi="Times New Roman" w:cs="Times New Roman"/>
                <w:sz w:val="20"/>
                <w:szCs w:val="20"/>
                <w:lang w:eastAsia="lv-LV"/>
              </w:rPr>
              <w:t>punktgliemezis</w:t>
            </w:r>
            <w:proofErr w:type="spellEnd"/>
          </w:p>
        </w:tc>
        <w:tc>
          <w:tcPr>
            <w:tcW w:w="2410" w:type="dxa"/>
            <w:shd w:val="clear" w:color="auto" w:fill="auto"/>
            <w:noWrap/>
            <w:vAlign w:val="center"/>
          </w:tcPr>
          <w:p w14:paraId="79546984"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Ļoti bieži</w:t>
            </w:r>
          </w:p>
        </w:tc>
      </w:tr>
      <w:tr w:rsidR="009072CE" w:rsidRPr="00A07F29" w14:paraId="78C271EF" w14:textId="77777777" w:rsidTr="009056A3">
        <w:trPr>
          <w:trHeight w:val="264"/>
          <w:jc w:val="center"/>
        </w:trPr>
        <w:tc>
          <w:tcPr>
            <w:tcW w:w="644" w:type="dxa"/>
            <w:shd w:val="clear" w:color="auto" w:fill="auto"/>
            <w:noWrap/>
            <w:vAlign w:val="center"/>
          </w:tcPr>
          <w:p w14:paraId="3DD33C29"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61.</w:t>
            </w:r>
          </w:p>
        </w:tc>
        <w:tc>
          <w:tcPr>
            <w:tcW w:w="2728" w:type="dxa"/>
            <w:shd w:val="clear" w:color="auto" w:fill="auto"/>
            <w:noWrap/>
            <w:vAlign w:val="center"/>
          </w:tcPr>
          <w:p w14:paraId="6BB7C51D" w14:textId="77777777" w:rsidR="009072CE" w:rsidRPr="00A07F29" w:rsidRDefault="009072CE" w:rsidP="009072CE">
            <w:pPr>
              <w:spacing w:after="0" w:line="240" w:lineRule="auto"/>
              <w:rPr>
                <w:rFonts w:ascii="Times New Roman" w:eastAsia="Times New Roman" w:hAnsi="Times New Roman" w:cs="Times New Roman"/>
                <w:i/>
                <w:iCs/>
                <w:sz w:val="20"/>
                <w:szCs w:val="20"/>
                <w:lang w:eastAsia="lv-LV"/>
              </w:rPr>
            </w:pPr>
            <w:proofErr w:type="spellStart"/>
            <w:r w:rsidRPr="00A07F29">
              <w:rPr>
                <w:rFonts w:ascii="Times New Roman" w:eastAsia="Times New Roman" w:hAnsi="Times New Roman" w:cs="Times New Roman"/>
                <w:i/>
                <w:iCs/>
                <w:sz w:val="20"/>
                <w:szCs w:val="20"/>
                <w:lang w:eastAsia="lv-LV"/>
              </w:rPr>
              <w:t>Pupilla</w:t>
            </w:r>
            <w:proofErr w:type="spellEnd"/>
            <w:r w:rsidRPr="00A07F29">
              <w:rPr>
                <w:rFonts w:ascii="Times New Roman" w:eastAsia="Times New Roman" w:hAnsi="Times New Roman" w:cs="Times New Roman"/>
                <w:i/>
                <w:iCs/>
                <w:sz w:val="20"/>
                <w:szCs w:val="20"/>
                <w:lang w:eastAsia="lv-LV"/>
              </w:rPr>
              <w:t xml:space="preserve"> </w:t>
            </w:r>
            <w:proofErr w:type="spellStart"/>
            <w:r w:rsidRPr="00A07F29">
              <w:rPr>
                <w:rFonts w:ascii="Times New Roman" w:eastAsia="Times New Roman" w:hAnsi="Times New Roman" w:cs="Times New Roman"/>
                <w:i/>
                <w:iCs/>
                <w:sz w:val="20"/>
                <w:szCs w:val="20"/>
                <w:lang w:eastAsia="lv-LV"/>
              </w:rPr>
              <w:t>muscorum</w:t>
            </w:r>
            <w:proofErr w:type="spellEnd"/>
          </w:p>
        </w:tc>
        <w:tc>
          <w:tcPr>
            <w:tcW w:w="2693" w:type="dxa"/>
            <w:shd w:val="clear" w:color="auto" w:fill="auto"/>
            <w:noWrap/>
            <w:vAlign w:val="center"/>
          </w:tcPr>
          <w:p w14:paraId="0411C9AC"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 xml:space="preserve">Sūnu </w:t>
            </w:r>
            <w:proofErr w:type="spellStart"/>
            <w:r w:rsidRPr="00A07F29">
              <w:rPr>
                <w:rFonts w:ascii="Times New Roman" w:eastAsia="Times New Roman" w:hAnsi="Times New Roman" w:cs="Times New Roman"/>
                <w:sz w:val="20"/>
                <w:szCs w:val="20"/>
                <w:lang w:eastAsia="lv-LV"/>
              </w:rPr>
              <w:t>cilindrgliemezis</w:t>
            </w:r>
            <w:proofErr w:type="spellEnd"/>
          </w:p>
        </w:tc>
        <w:tc>
          <w:tcPr>
            <w:tcW w:w="2410" w:type="dxa"/>
            <w:shd w:val="clear" w:color="auto" w:fill="auto"/>
            <w:noWrap/>
            <w:vAlign w:val="center"/>
          </w:tcPr>
          <w:p w14:paraId="397280C2"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Ne bieži</w:t>
            </w:r>
          </w:p>
        </w:tc>
      </w:tr>
      <w:tr w:rsidR="009072CE" w:rsidRPr="00A07F29" w14:paraId="5A35A22D" w14:textId="77777777" w:rsidTr="009056A3">
        <w:trPr>
          <w:trHeight w:val="264"/>
          <w:jc w:val="center"/>
        </w:trPr>
        <w:tc>
          <w:tcPr>
            <w:tcW w:w="644" w:type="dxa"/>
            <w:shd w:val="clear" w:color="auto" w:fill="auto"/>
            <w:noWrap/>
            <w:vAlign w:val="center"/>
          </w:tcPr>
          <w:p w14:paraId="5699C766"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62.</w:t>
            </w:r>
          </w:p>
        </w:tc>
        <w:tc>
          <w:tcPr>
            <w:tcW w:w="2728" w:type="dxa"/>
            <w:shd w:val="clear" w:color="auto" w:fill="auto"/>
            <w:noWrap/>
            <w:vAlign w:val="center"/>
          </w:tcPr>
          <w:p w14:paraId="64836B58" w14:textId="77777777" w:rsidR="009072CE" w:rsidRPr="00A07F29" w:rsidRDefault="009072CE" w:rsidP="009072CE">
            <w:pPr>
              <w:spacing w:after="0" w:line="240" w:lineRule="auto"/>
              <w:rPr>
                <w:rFonts w:ascii="Times New Roman" w:eastAsia="Times New Roman" w:hAnsi="Times New Roman" w:cs="Times New Roman"/>
                <w:i/>
                <w:iCs/>
                <w:sz w:val="20"/>
                <w:szCs w:val="20"/>
                <w:lang w:eastAsia="lv-LV"/>
              </w:rPr>
            </w:pPr>
            <w:proofErr w:type="spellStart"/>
            <w:r w:rsidRPr="00A07F29">
              <w:rPr>
                <w:rFonts w:ascii="Times New Roman" w:eastAsia="Times New Roman" w:hAnsi="Times New Roman" w:cs="Times New Roman"/>
                <w:i/>
                <w:iCs/>
                <w:sz w:val="20"/>
                <w:szCs w:val="20"/>
                <w:lang w:eastAsia="lv-LV"/>
              </w:rPr>
              <w:t>Ruthenica</w:t>
            </w:r>
            <w:proofErr w:type="spellEnd"/>
            <w:r w:rsidRPr="00A07F29">
              <w:rPr>
                <w:rFonts w:ascii="Times New Roman" w:eastAsia="Times New Roman" w:hAnsi="Times New Roman" w:cs="Times New Roman"/>
                <w:i/>
                <w:iCs/>
                <w:sz w:val="20"/>
                <w:szCs w:val="20"/>
                <w:lang w:eastAsia="lv-LV"/>
              </w:rPr>
              <w:t xml:space="preserve"> </w:t>
            </w:r>
            <w:proofErr w:type="spellStart"/>
            <w:r w:rsidRPr="00A07F29">
              <w:rPr>
                <w:rFonts w:ascii="Times New Roman" w:eastAsia="Times New Roman" w:hAnsi="Times New Roman" w:cs="Times New Roman"/>
                <w:i/>
                <w:iCs/>
                <w:sz w:val="20"/>
                <w:szCs w:val="20"/>
                <w:lang w:eastAsia="lv-LV"/>
              </w:rPr>
              <w:t>filograna</w:t>
            </w:r>
            <w:proofErr w:type="spellEnd"/>
          </w:p>
        </w:tc>
        <w:tc>
          <w:tcPr>
            <w:tcW w:w="2693" w:type="dxa"/>
            <w:shd w:val="clear" w:color="auto" w:fill="auto"/>
            <w:noWrap/>
            <w:vAlign w:val="center"/>
          </w:tcPr>
          <w:p w14:paraId="20BA0043"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 xml:space="preserve">Graciozais </w:t>
            </w:r>
            <w:proofErr w:type="spellStart"/>
            <w:r w:rsidRPr="00A07F29">
              <w:rPr>
                <w:rFonts w:ascii="Times New Roman" w:eastAsia="Times New Roman" w:hAnsi="Times New Roman" w:cs="Times New Roman"/>
                <w:sz w:val="20"/>
                <w:szCs w:val="20"/>
                <w:lang w:eastAsia="lv-LV"/>
              </w:rPr>
              <w:t>vārpstiņgliemezis</w:t>
            </w:r>
            <w:proofErr w:type="spellEnd"/>
          </w:p>
        </w:tc>
        <w:tc>
          <w:tcPr>
            <w:tcW w:w="2410" w:type="dxa"/>
            <w:shd w:val="clear" w:color="auto" w:fill="auto"/>
            <w:noWrap/>
            <w:vAlign w:val="center"/>
          </w:tcPr>
          <w:p w14:paraId="1AA8D665"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Ne bieži</w:t>
            </w:r>
          </w:p>
        </w:tc>
      </w:tr>
      <w:tr w:rsidR="009072CE" w:rsidRPr="00A07F29" w14:paraId="3CB29452" w14:textId="77777777" w:rsidTr="009056A3">
        <w:trPr>
          <w:trHeight w:val="264"/>
          <w:jc w:val="center"/>
        </w:trPr>
        <w:tc>
          <w:tcPr>
            <w:tcW w:w="644" w:type="dxa"/>
            <w:shd w:val="clear" w:color="auto" w:fill="auto"/>
            <w:noWrap/>
            <w:vAlign w:val="center"/>
          </w:tcPr>
          <w:p w14:paraId="569B8F1C"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63.</w:t>
            </w:r>
          </w:p>
        </w:tc>
        <w:tc>
          <w:tcPr>
            <w:tcW w:w="2728" w:type="dxa"/>
            <w:shd w:val="clear" w:color="auto" w:fill="auto"/>
            <w:noWrap/>
            <w:vAlign w:val="center"/>
          </w:tcPr>
          <w:p w14:paraId="28CDFB31" w14:textId="77777777" w:rsidR="009072CE" w:rsidRPr="00A07F29" w:rsidRDefault="009072CE" w:rsidP="009072CE">
            <w:pPr>
              <w:spacing w:after="0" w:line="240" w:lineRule="auto"/>
              <w:rPr>
                <w:rFonts w:ascii="Times New Roman" w:eastAsia="Times New Roman" w:hAnsi="Times New Roman" w:cs="Times New Roman"/>
                <w:i/>
                <w:iCs/>
                <w:sz w:val="20"/>
                <w:szCs w:val="20"/>
                <w:lang w:eastAsia="lv-LV"/>
              </w:rPr>
            </w:pPr>
            <w:proofErr w:type="spellStart"/>
            <w:r w:rsidRPr="00A07F29">
              <w:rPr>
                <w:rFonts w:ascii="Times New Roman" w:eastAsia="Times New Roman" w:hAnsi="Times New Roman" w:cs="Times New Roman"/>
                <w:i/>
                <w:iCs/>
                <w:sz w:val="20"/>
                <w:szCs w:val="20"/>
                <w:lang w:eastAsia="lv-LV"/>
              </w:rPr>
              <w:t>Succinea</w:t>
            </w:r>
            <w:proofErr w:type="spellEnd"/>
            <w:r w:rsidRPr="00A07F29">
              <w:rPr>
                <w:rFonts w:ascii="Times New Roman" w:eastAsia="Times New Roman" w:hAnsi="Times New Roman" w:cs="Times New Roman"/>
                <w:i/>
                <w:iCs/>
                <w:sz w:val="20"/>
                <w:szCs w:val="20"/>
                <w:lang w:eastAsia="lv-LV"/>
              </w:rPr>
              <w:t xml:space="preserve"> </w:t>
            </w:r>
            <w:proofErr w:type="spellStart"/>
            <w:r w:rsidRPr="00A07F29">
              <w:rPr>
                <w:rFonts w:ascii="Times New Roman" w:eastAsia="Times New Roman" w:hAnsi="Times New Roman" w:cs="Times New Roman"/>
                <w:i/>
                <w:iCs/>
                <w:sz w:val="20"/>
                <w:szCs w:val="20"/>
                <w:lang w:eastAsia="lv-LV"/>
              </w:rPr>
              <w:t>oblonga</w:t>
            </w:r>
            <w:proofErr w:type="spellEnd"/>
          </w:p>
        </w:tc>
        <w:tc>
          <w:tcPr>
            <w:tcW w:w="2693" w:type="dxa"/>
            <w:shd w:val="clear" w:color="auto" w:fill="auto"/>
            <w:noWrap/>
            <w:vAlign w:val="center"/>
          </w:tcPr>
          <w:p w14:paraId="012A4E5D"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 xml:space="preserve">Slaidais </w:t>
            </w:r>
            <w:proofErr w:type="spellStart"/>
            <w:r w:rsidRPr="00A07F29">
              <w:rPr>
                <w:rFonts w:ascii="Times New Roman" w:eastAsia="Times New Roman" w:hAnsi="Times New Roman" w:cs="Times New Roman"/>
                <w:sz w:val="20"/>
                <w:szCs w:val="20"/>
                <w:lang w:eastAsia="lv-LV"/>
              </w:rPr>
              <w:t>dzintargliemezis</w:t>
            </w:r>
            <w:proofErr w:type="spellEnd"/>
          </w:p>
        </w:tc>
        <w:tc>
          <w:tcPr>
            <w:tcW w:w="2410" w:type="dxa"/>
            <w:shd w:val="clear" w:color="auto" w:fill="auto"/>
            <w:noWrap/>
            <w:vAlign w:val="center"/>
          </w:tcPr>
          <w:p w14:paraId="4F0CE4CE"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Bieži</w:t>
            </w:r>
          </w:p>
        </w:tc>
      </w:tr>
      <w:tr w:rsidR="009072CE" w:rsidRPr="00A07F29" w14:paraId="076C9D15" w14:textId="77777777" w:rsidTr="009056A3">
        <w:trPr>
          <w:trHeight w:val="264"/>
          <w:jc w:val="center"/>
        </w:trPr>
        <w:tc>
          <w:tcPr>
            <w:tcW w:w="644" w:type="dxa"/>
            <w:shd w:val="clear" w:color="auto" w:fill="auto"/>
            <w:noWrap/>
            <w:vAlign w:val="center"/>
          </w:tcPr>
          <w:p w14:paraId="29F0D8CB"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64.</w:t>
            </w:r>
          </w:p>
        </w:tc>
        <w:tc>
          <w:tcPr>
            <w:tcW w:w="2728" w:type="dxa"/>
            <w:shd w:val="clear" w:color="auto" w:fill="auto"/>
            <w:noWrap/>
            <w:vAlign w:val="center"/>
          </w:tcPr>
          <w:p w14:paraId="17B9B6C5" w14:textId="77777777" w:rsidR="009072CE" w:rsidRPr="00A07F29" w:rsidRDefault="009072CE" w:rsidP="009072CE">
            <w:pPr>
              <w:spacing w:after="0" w:line="240" w:lineRule="auto"/>
              <w:rPr>
                <w:rFonts w:ascii="Times New Roman" w:eastAsia="Times New Roman" w:hAnsi="Times New Roman" w:cs="Times New Roman"/>
                <w:i/>
                <w:iCs/>
                <w:sz w:val="20"/>
                <w:szCs w:val="20"/>
                <w:lang w:eastAsia="lv-LV"/>
              </w:rPr>
            </w:pPr>
            <w:proofErr w:type="spellStart"/>
            <w:r w:rsidRPr="00A07F29">
              <w:rPr>
                <w:rFonts w:ascii="Times New Roman" w:eastAsia="Times New Roman" w:hAnsi="Times New Roman" w:cs="Times New Roman"/>
                <w:i/>
                <w:iCs/>
                <w:sz w:val="20"/>
                <w:szCs w:val="20"/>
                <w:lang w:eastAsia="lv-LV"/>
              </w:rPr>
              <w:t>Succinea</w:t>
            </w:r>
            <w:proofErr w:type="spellEnd"/>
            <w:r w:rsidRPr="00A07F29">
              <w:rPr>
                <w:rFonts w:ascii="Times New Roman" w:eastAsia="Times New Roman" w:hAnsi="Times New Roman" w:cs="Times New Roman"/>
                <w:i/>
                <w:iCs/>
                <w:sz w:val="20"/>
                <w:szCs w:val="20"/>
                <w:lang w:eastAsia="lv-LV"/>
              </w:rPr>
              <w:t xml:space="preserve"> </w:t>
            </w:r>
            <w:proofErr w:type="spellStart"/>
            <w:r w:rsidRPr="00A07F29">
              <w:rPr>
                <w:rFonts w:ascii="Times New Roman" w:eastAsia="Times New Roman" w:hAnsi="Times New Roman" w:cs="Times New Roman"/>
                <w:i/>
                <w:iCs/>
                <w:sz w:val="20"/>
                <w:szCs w:val="20"/>
                <w:lang w:eastAsia="lv-LV"/>
              </w:rPr>
              <w:t>putris</w:t>
            </w:r>
            <w:proofErr w:type="spellEnd"/>
          </w:p>
        </w:tc>
        <w:tc>
          <w:tcPr>
            <w:tcW w:w="2693" w:type="dxa"/>
            <w:shd w:val="clear" w:color="auto" w:fill="auto"/>
            <w:noWrap/>
            <w:vAlign w:val="center"/>
          </w:tcPr>
          <w:p w14:paraId="4AA560EF"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 xml:space="preserve">Parastais </w:t>
            </w:r>
            <w:proofErr w:type="spellStart"/>
            <w:r w:rsidRPr="00A07F29">
              <w:rPr>
                <w:rFonts w:ascii="Times New Roman" w:eastAsia="Times New Roman" w:hAnsi="Times New Roman" w:cs="Times New Roman"/>
                <w:sz w:val="20"/>
                <w:szCs w:val="20"/>
                <w:lang w:eastAsia="lv-LV"/>
              </w:rPr>
              <w:t>dzintargliemezis</w:t>
            </w:r>
            <w:proofErr w:type="spellEnd"/>
          </w:p>
        </w:tc>
        <w:tc>
          <w:tcPr>
            <w:tcW w:w="2410" w:type="dxa"/>
            <w:shd w:val="clear" w:color="auto" w:fill="auto"/>
            <w:noWrap/>
            <w:vAlign w:val="center"/>
          </w:tcPr>
          <w:p w14:paraId="45848199"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 xml:space="preserve">Ļoti bieži </w:t>
            </w:r>
          </w:p>
        </w:tc>
      </w:tr>
      <w:tr w:rsidR="009072CE" w:rsidRPr="00A07F29" w14:paraId="6A3B29EB" w14:textId="77777777" w:rsidTr="009056A3">
        <w:trPr>
          <w:trHeight w:val="264"/>
          <w:jc w:val="center"/>
        </w:trPr>
        <w:tc>
          <w:tcPr>
            <w:tcW w:w="644" w:type="dxa"/>
            <w:shd w:val="clear" w:color="auto" w:fill="auto"/>
            <w:noWrap/>
            <w:vAlign w:val="center"/>
          </w:tcPr>
          <w:p w14:paraId="6CD2E194"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65.</w:t>
            </w:r>
          </w:p>
        </w:tc>
        <w:tc>
          <w:tcPr>
            <w:tcW w:w="2728" w:type="dxa"/>
            <w:shd w:val="clear" w:color="auto" w:fill="auto"/>
            <w:noWrap/>
            <w:vAlign w:val="center"/>
          </w:tcPr>
          <w:p w14:paraId="7124D862" w14:textId="77777777" w:rsidR="009072CE" w:rsidRPr="00A07F29" w:rsidRDefault="009072CE" w:rsidP="009072CE">
            <w:pPr>
              <w:spacing w:after="0" w:line="240" w:lineRule="auto"/>
              <w:rPr>
                <w:rFonts w:ascii="Times New Roman" w:eastAsia="Times New Roman" w:hAnsi="Times New Roman" w:cs="Times New Roman"/>
                <w:i/>
                <w:iCs/>
                <w:sz w:val="20"/>
                <w:szCs w:val="20"/>
                <w:lang w:eastAsia="lv-LV"/>
              </w:rPr>
            </w:pPr>
            <w:proofErr w:type="spellStart"/>
            <w:r w:rsidRPr="00A07F29">
              <w:rPr>
                <w:rFonts w:ascii="Times New Roman" w:eastAsia="Times New Roman" w:hAnsi="Times New Roman" w:cs="Times New Roman"/>
                <w:i/>
                <w:iCs/>
                <w:sz w:val="20"/>
                <w:szCs w:val="20"/>
                <w:lang w:eastAsia="lv-LV"/>
              </w:rPr>
              <w:t>Trochulus</w:t>
            </w:r>
            <w:proofErr w:type="spellEnd"/>
            <w:r w:rsidRPr="00A07F29">
              <w:rPr>
                <w:rFonts w:ascii="Times New Roman" w:eastAsia="Times New Roman" w:hAnsi="Times New Roman" w:cs="Times New Roman"/>
                <w:i/>
                <w:iCs/>
                <w:sz w:val="20"/>
                <w:szCs w:val="20"/>
                <w:lang w:eastAsia="lv-LV"/>
              </w:rPr>
              <w:t xml:space="preserve"> </w:t>
            </w:r>
            <w:proofErr w:type="spellStart"/>
            <w:r w:rsidRPr="00A07F29">
              <w:rPr>
                <w:rFonts w:ascii="Times New Roman" w:eastAsia="Times New Roman" w:hAnsi="Times New Roman" w:cs="Times New Roman"/>
                <w:i/>
                <w:iCs/>
                <w:sz w:val="20"/>
                <w:szCs w:val="20"/>
                <w:lang w:eastAsia="lv-LV"/>
              </w:rPr>
              <w:t>hispidus</w:t>
            </w:r>
            <w:proofErr w:type="spellEnd"/>
          </w:p>
        </w:tc>
        <w:tc>
          <w:tcPr>
            <w:tcW w:w="2693" w:type="dxa"/>
            <w:shd w:val="clear" w:color="auto" w:fill="auto"/>
            <w:noWrap/>
            <w:vAlign w:val="center"/>
          </w:tcPr>
          <w:p w14:paraId="2D8E1DEA"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 xml:space="preserve">Parastais </w:t>
            </w:r>
            <w:proofErr w:type="spellStart"/>
            <w:r w:rsidRPr="00A07F29">
              <w:rPr>
                <w:rFonts w:ascii="Times New Roman" w:eastAsia="Times New Roman" w:hAnsi="Times New Roman" w:cs="Times New Roman"/>
                <w:sz w:val="20"/>
                <w:szCs w:val="20"/>
                <w:lang w:eastAsia="lv-LV"/>
              </w:rPr>
              <w:t>matiņgliemezis</w:t>
            </w:r>
            <w:proofErr w:type="spellEnd"/>
          </w:p>
        </w:tc>
        <w:tc>
          <w:tcPr>
            <w:tcW w:w="2410" w:type="dxa"/>
            <w:shd w:val="clear" w:color="auto" w:fill="auto"/>
            <w:noWrap/>
            <w:vAlign w:val="center"/>
          </w:tcPr>
          <w:p w14:paraId="401E6CA7"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Ļoti bieži</w:t>
            </w:r>
          </w:p>
        </w:tc>
      </w:tr>
      <w:tr w:rsidR="009072CE" w:rsidRPr="00A07F29" w14:paraId="20E199C3" w14:textId="77777777" w:rsidTr="009056A3">
        <w:trPr>
          <w:trHeight w:val="264"/>
          <w:jc w:val="center"/>
        </w:trPr>
        <w:tc>
          <w:tcPr>
            <w:tcW w:w="644" w:type="dxa"/>
            <w:shd w:val="clear" w:color="auto" w:fill="auto"/>
            <w:noWrap/>
            <w:vAlign w:val="center"/>
          </w:tcPr>
          <w:p w14:paraId="7AC401BF"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66.</w:t>
            </w:r>
          </w:p>
        </w:tc>
        <w:tc>
          <w:tcPr>
            <w:tcW w:w="2728" w:type="dxa"/>
            <w:shd w:val="clear" w:color="auto" w:fill="auto"/>
            <w:noWrap/>
            <w:vAlign w:val="center"/>
          </w:tcPr>
          <w:p w14:paraId="4C83F35F" w14:textId="77777777" w:rsidR="009072CE" w:rsidRPr="00A07F29" w:rsidRDefault="009072CE" w:rsidP="009072CE">
            <w:pPr>
              <w:spacing w:after="0" w:line="240" w:lineRule="auto"/>
              <w:rPr>
                <w:rFonts w:ascii="Times New Roman" w:eastAsia="Times New Roman" w:hAnsi="Times New Roman" w:cs="Times New Roman"/>
                <w:i/>
                <w:iCs/>
                <w:sz w:val="20"/>
                <w:szCs w:val="20"/>
                <w:lang w:eastAsia="lv-LV"/>
              </w:rPr>
            </w:pPr>
            <w:proofErr w:type="spellStart"/>
            <w:r w:rsidRPr="00A07F29">
              <w:rPr>
                <w:rFonts w:ascii="Times New Roman" w:eastAsia="Times New Roman" w:hAnsi="Times New Roman" w:cs="Times New Roman"/>
                <w:i/>
                <w:iCs/>
                <w:sz w:val="20"/>
                <w:szCs w:val="20"/>
                <w:lang w:eastAsia="lv-LV"/>
              </w:rPr>
              <w:t>Vallonia</w:t>
            </w:r>
            <w:proofErr w:type="spellEnd"/>
            <w:r w:rsidRPr="00A07F29">
              <w:rPr>
                <w:rFonts w:ascii="Times New Roman" w:eastAsia="Times New Roman" w:hAnsi="Times New Roman" w:cs="Times New Roman"/>
                <w:i/>
                <w:iCs/>
                <w:sz w:val="20"/>
                <w:szCs w:val="20"/>
                <w:lang w:eastAsia="lv-LV"/>
              </w:rPr>
              <w:t xml:space="preserve"> </w:t>
            </w:r>
            <w:proofErr w:type="spellStart"/>
            <w:r w:rsidRPr="00A07F29">
              <w:rPr>
                <w:rFonts w:ascii="Times New Roman" w:eastAsia="Times New Roman" w:hAnsi="Times New Roman" w:cs="Times New Roman"/>
                <w:i/>
                <w:iCs/>
                <w:sz w:val="20"/>
                <w:szCs w:val="20"/>
                <w:lang w:eastAsia="lv-LV"/>
              </w:rPr>
              <w:t>costata</w:t>
            </w:r>
            <w:proofErr w:type="spellEnd"/>
          </w:p>
        </w:tc>
        <w:tc>
          <w:tcPr>
            <w:tcW w:w="2693" w:type="dxa"/>
            <w:shd w:val="clear" w:color="auto" w:fill="auto"/>
            <w:noWrap/>
            <w:vAlign w:val="center"/>
          </w:tcPr>
          <w:p w14:paraId="7D1C6E6E"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 xml:space="preserve">Ribainais </w:t>
            </w:r>
            <w:proofErr w:type="spellStart"/>
            <w:r w:rsidRPr="00A07F29">
              <w:rPr>
                <w:rFonts w:ascii="Times New Roman" w:eastAsia="Times New Roman" w:hAnsi="Times New Roman" w:cs="Times New Roman"/>
                <w:sz w:val="20"/>
                <w:szCs w:val="20"/>
                <w:lang w:eastAsia="lv-LV"/>
              </w:rPr>
              <w:t>zāļgliemezis</w:t>
            </w:r>
            <w:proofErr w:type="spellEnd"/>
          </w:p>
        </w:tc>
        <w:tc>
          <w:tcPr>
            <w:tcW w:w="2410" w:type="dxa"/>
            <w:shd w:val="clear" w:color="auto" w:fill="auto"/>
            <w:noWrap/>
            <w:vAlign w:val="center"/>
          </w:tcPr>
          <w:p w14:paraId="46C579E1"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Bieži</w:t>
            </w:r>
          </w:p>
        </w:tc>
      </w:tr>
      <w:tr w:rsidR="009072CE" w:rsidRPr="00A07F29" w14:paraId="5FD52411" w14:textId="77777777" w:rsidTr="009056A3">
        <w:trPr>
          <w:trHeight w:val="264"/>
          <w:jc w:val="center"/>
        </w:trPr>
        <w:tc>
          <w:tcPr>
            <w:tcW w:w="644" w:type="dxa"/>
            <w:shd w:val="clear" w:color="auto" w:fill="auto"/>
            <w:noWrap/>
            <w:vAlign w:val="center"/>
          </w:tcPr>
          <w:p w14:paraId="09D48C55"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67.</w:t>
            </w:r>
          </w:p>
        </w:tc>
        <w:tc>
          <w:tcPr>
            <w:tcW w:w="2728" w:type="dxa"/>
            <w:shd w:val="clear" w:color="auto" w:fill="auto"/>
            <w:noWrap/>
            <w:vAlign w:val="center"/>
          </w:tcPr>
          <w:p w14:paraId="3A185F16" w14:textId="77777777" w:rsidR="009072CE" w:rsidRPr="00A07F29" w:rsidRDefault="009072CE" w:rsidP="009072CE">
            <w:pPr>
              <w:spacing w:after="0" w:line="240" w:lineRule="auto"/>
              <w:rPr>
                <w:rFonts w:ascii="Times New Roman" w:eastAsia="Times New Roman" w:hAnsi="Times New Roman" w:cs="Times New Roman"/>
                <w:i/>
                <w:iCs/>
                <w:sz w:val="20"/>
                <w:szCs w:val="20"/>
                <w:lang w:eastAsia="lv-LV"/>
              </w:rPr>
            </w:pPr>
            <w:proofErr w:type="spellStart"/>
            <w:r w:rsidRPr="00A07F29">
              <w:rPr>
                <w:rFonts w:ascii="Times New Roman" w:eastAsia="Times New Roman" w:hAnsi="Times New Roman" w:cs="Times New Roman"/>
                <w:i/>
                <w:iCs/>
                <w:sz w:val="20"/>
                <w:szCs w:val="20"/>
                <w:lang w:eastAsia="lv-LV"/>
              </w:rPr>
              <w:t>Vallonia</w:t>
            </w:r>
            <w:proofErr w:type="spellEnd"/>
            <w:r w:rsidRPr="00A07F29">
              <w:rPr>
                <w:rFonts w:ascii="Times New Roman" w:eastAsia="Times New Roman" w:hAnsi="Times New Roman" w:cs="Times New Roman"/>
                <w:i/>
                <w:iCs/>
                <w:sz w:val="20"/>
                <w:szCs w:val="20"/>
                <w:lang w:eastAsia="lv-LV"/>
              </w:rPr>
              <w:t xml:space="preserve"> </w:t>
            </w:r>
            <w:proofErr w:type="spellStart"/>
            <w:r w:rsidRPr="00A07F29">
              <w:rPr>
                <w:rFonts w:ascii="Times New Roman" w:eastAsia="Times New Roman" w:hAnsi="Times New Roman" w:cs="Times New Roman"/>
                <w:i/>
                <w:iCs/>
                <w:sz w:val="20"/>
                <w:szCs w:val="20"/>
                <w:lang w:eastAsia="lv-LV"/>
              </w:rPr>
              <w:t>pulchella</w:t>
            </w:r>
            <w:proofErr w:type="spellEnd"/>
          </w:p>
        </w:tc>
        <w:tc>
          <w:tcPr>
            <w:tcW w:w="2693" w:type="dxa"/>
            <w:shd w:val="clear" w:color="auto" w:fill="auto"/>
            <w:noWrap/>
            <w:vAlign w:val="center"/>
          </w:tcPr>
          <w:p w14:paraId="5404B066"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 xml:space="preserve">Gludais </w:t>
            </w:r>
            <w:proofErr w:type="spellStart"/>
            <w:r w:rsidRPr="00A07F29">
              <w:rPr>
                <w:rFonts w:ascii="Times New Roman" w:eastAsia="Times New Roman" w:hAnsi="Times New Roman" w:cs="Times New Roman"/>
                <w:sz w:val="20"/>
                <w:szCs w:val="20"/>
                <w:lang w:eastAsia="lv-LV"/>
              </w:rPr>
              <w:t>zāļgliemezis</w:t>
            </w:r>
            <w:proofErr w:type="spellEnd"/>
          </w:p>
        </w:tc>
        <w:tc>
          <w:tcPr>
            <w:tcW w:w="2410" w:type="dxa"/>
            <w:shd w:val="clear" w:color="auto" w:fill="auto"/>
            <w:noWrap/>
            <w:vAlign w:val="center"/>
          </w:tcPr>
          <w:p w14:paraId="52F017FD"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Bieži</w:t>
            </w:r>
          </w:p>
        </w:tc>
      </w:tr>
      <w:tr w:rsidR="009072CE" w:rsidRPr="00A07F29" w14:paraId="531AFB43" w14:textId="77777777" w:rsidTr="009056A3">
        <w:trPr>
          <w:trHeight w:val="264"/>
          <w:jc w:val="center"/>
        </w:trPr>
        <w:tc>
          <w:tcPr>
            <w:tcW w:w="644" w:type="dxa"/>
            <w:shd w:val="clear" w:color="auto" w:fill="auto"/>
            <w:noWrap/>
            <w:vAlign w:val="center"/>
          </w:tcPr>
          <w:p w14:paraId="0ED5943E"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68.</w:t>
            </w:r>
          </w:p>
        </w:tc>
        <w:tc>
          <w:tcPr>
            <w:tcW w:w="2728" w:type="dxa"/>
            <w:shd w:val="clear" w:color="auto" w:fill="auto"/>
            <w:noWrap/>
            <w:vAlign w:val="center"/>
          </w:tcPr>
          <w:p w14:paraId="32A4CFDD" w14:textId="77777777" w:rsidR="009072CE" w:rsidRPr="00A07F29" w:rsidRDefault="009072CE" w:rsidP="009072CE">
            <w:pPr>
              <w:spacing w:after="0" w:line="240" w:lineRule="auto"/>
              <w:rPr>
                <w:rFonts w:ascii="Times New Roman" w:eastAsia="Times New Roman" w:hAnsi="Times New Roman" w:cs="Times New Roman"/>
                <w:i/>
                <w:iCs/>
                <w:sz w:val="20"/>
                <w:szCs w:val="20"/>
                <w:lang w:eastAsia="lv-LV"/>
              </w:rPr>
            </w:pPr>
            <w:proofErr w:type="spellStart"/>
            <w:r w:rsidRPr="00A07F29">
              <w:rPr>
                <w:rFonts w:ascii="Times New Roman" w:eastAsia="Times New Roman" w:hAnsi="Times New Roman" w:cs="Times New Roman"/>
                <w:i/>
                <w:iCs/>
                <w:sz w:val="20"/>
                <w:szCs w:val="20"/>
                <w:lang w:eastAsia="lv-LV"/>
              </w:rPr>
              <w:t>Vertigo</w:t>
            </w:r>
            <w:proofErr w:type="spellEnd"/>
            <w:r w:rsidRPr="00A07F29">
              <w:rPr>
                <w:rFonts w:ascii="Times New Roman" w:eastAsia="Times New Roman" w:hAnsi="Times New Roman" w:cs="Times New Roman"/>
                <w:i/>
                <w:iCs/>
                <w:sz w:val="20"/>
                <w:szCs w:val="20"/>
                <w:lang w:eastAsia="lv-LV"/>
              </w:rPr>
              <w:t xml:space="preserve"> </w:t>
            </w:r>
            <w:proofErr w:type="spellStart"/>
            <w:r w:rsidRPr="00A07F29">
              <w:rPr>
                <w:rFonts w:ascii="Times New Roman" w:eastAsia="Times New Roman" w:hAnsi="Times New Roman" w:cs="Times New Roman"/>
                <w:i/>
                <w:iCs/>
                <w:sz w:val="20"/>
                <w:szCs w:val="20"/>
                <w:lang w:eastAsia="lv-LV"/>
              </w:rPr>
              <w:t>alpestris</w:t>
            </w:r>
            <w:proofErr w:type="spellEnd"/>
          </w:p>
        </w:tc>
        <w:tc>
          <w:tcPr>
            <w:tcW w:w="2693" w:type="dxa"/>
            <w:shd w:val="clear" w:color="auto" w:fill="auto"/>
            <w:noWrap/>
            <w:vAlign w:val="center"/>
          </w:tcPr>
          <w:p w14:paraId="77C713BE"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 xml:space="preserve">Augstkalnu </w:t>
            </w:r>
            <w:proofErr w:type="spellStart"/>
            <w:r w:rsidRPr="00A07F29">
              <w:rPr>
                <w:rFonts w:ascii="Times New Roman" w:eastAsia="Times New Roman" w:hAnsi="Times New Roman" w:cs="Times New Roman"/>
                <w:sz w:val="20"/>
                <w:szCs w:val="20"/>
                <w:lang w:eastAsia="lv-LV"/>
              </w:rPr>
              <w:t>pumpurgliemezis</w:t>
            </w:r>
            <w:proofErr w:type="spellEnd"/>
          </w:p>
        </w:tc>
        <w:tc>
          <w:tcPr>
            <w:tcW w:w="2410" w:type="dxa"/>
            <w:shd w:val="clear" w:color="auto" w:fill="auto"/>
            <w:noWrap/>
            <w:vAlign w:val="center"/>
          </w:tcPr>
          <w:p w14:paraId="2B4D64A6"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Ne bieži</w:t>
            </w:r>
          </w:p>
        </w:tc>
      </w:tr>
      <w:tr w:rsidR="009072CE" w:rsidRPr="00A07F29" w14:paraId="69475CD5" w14:textId="77777777" w:rsidTr="009056A3">
        <w:trPr>
          <w:trHeight w:val="264"/>
          <w:jc w:val="center"/>
        </w:trPr>
        <w:tc>
          <w:tcPr>
            <w:tcW w:w="644" w:type="dxa"/>
            <w:shd w:val="clear" w:color="auto" w:fill="auto"/>
            <w:noWrap/>
            <w:vAlign w:val="center"/>
          </w:tcPr>
          <w:p w14:paraId="4D2613B4"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69.</w:t>
            </w:r>
          </w:p>
        </w:tc>
        <w:tc>
          <w:tcPr>
            <w:tcW w:w="2728" w:type="dxa"/>
            <w:shd w:val="clear" w:color="auto" w:fill="auto"/>
            <w:noWrap/>
            <w:vAlign w:val="center"/>
          </w:tcPr>
          <w:p w14:paraId="48CEBC7A" w14:textId="77777777" w:rsidR="009072CE" w:rsidRPr="00A07F29" w:rsidRDefault="009072CE" w:rsidP="009072CE">
            <w:pPr>
              <w:spacing w:after="0" w:line="240" w:lineRule="auto"/>
              <w:rPr>
                <w:rFonts w:ascii="Times New Roman" w:eastAsia="Times New Roman" w:hAnsi="Times New Roman" w:cs="Times New Roman"/>
                <w:i/>
                <w:iCs/>
                <w:sz w:val="20"/>
                <w:szCs w:val="20"/>
                <w:lang w:eastAsia="lv-LV"/>
              </w:rPr>
            </w:pPr>
            <w:proofErr w:type="spellStart"/>
            <w:r w:rsidRPr="00A07F29">
              <w:rPr>
                <w:rFonts w:ascii="Times New Roman" w:eastAsia="Times New Roman" w:hAnsi="Times New Roman" w:cs="Times New Roman"/>
                <w:i/>
                <w:iCs/>
                <w:sz w:val="20"/>
                <w:szCs w:val="20"/>
                <w:lang w:eastAsia="lv-LV"/>
              </w:rPr>
              <w:t>Vertigo</w:t>
            </w:r>
            <w:proofErr w:type="spellEnd"/>
            <w:r w:rsidRPr="00A07F29">
              <w:rPr>
                <w:rFonts w:ascii="Times New Roman" w:eastAsia="Times New Roman" w:hAnsi="Times New Roman" w:cs="Times New Roman"/>
                <w:i/>
                <w:iCs/>
                <w:sz w:val="20"/>
                <w:szCs w:val="20"/>
                <w:lang w:eastAsia="lv-LV"/>
              </w:rPr>
              <w:t xml:space="preserve"> </w:t>
            </w:r>
            <w:proofErr w:type="spellStart"/>
            <w:r w:rsidRPr="00A07F29">
              <w:rPr>
                <w:rFonts w:ascii="Times New Roman" w:eastAsia="Times New Roman" w:hAnsi="Times New Roman" w:cs="Times New Roman"/>
                <w:i/>
                <w:iCs/>
                <w:sz w:val="20"/>
                <w:szCs w:val="20"/>
                <w:lang w:eastAsia="lv-LV"/>
              </w:rPr>
              <w:t>angustior</w:t>
            </w:r>
            <w:proofErr w:type="spellEnd"/>
          </w:p>
        </w:tc>
        <w:tc>
          <w:tcPr>
            <w:tcW w:w="2693" w:type="dxa"/>
            <w:shd w:val="clear" w:color="auto" w:fill="auto"/>
            <w:noWrap/>
            <w:vAlign w:val="center"/>
          </w:tcPr>
          <w:p w14:paraId="3E21773A"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 xml:space="preserve">Slaidais </w:t>
            </w:r>
            <w:proofErr w:type="spellStart"/>
            <w:r w:rsidRPr="00A07F29">
              <w:rPr>
                <w:rFonts w:ascii="Times New Roman" w:eastAsia="Times New Roman" w:hAnsi="Times New Roman" w:cs="Times New Roman"/>
                <w:sz w:val="20"/>
                <w:szCs w:val="20"/>
                <w:lang w:eastAsia="lv-LV"/>
              </w:rPr>
              <w:t>pumpurgliemezis</w:t>
            </w:r>
            <w:proofErr w:type="spellEnd"/>
          </w:p>
        </w:tc>
        <w:tc>
          <w:tcPr>
            <w:tcW w:w="2410" w:type="dxa"/>
            <w:shd w:val="clear" w:color="auto" w:fill="auto"/>
            <w:noWrap/>
            <w:vAlign w:val="center"/>
          </w:tcPr>
          <w:p w14:paraId="24E7BCEB"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Ne bieži</w:t>
            </w:r>
          </w:p>
        </w:tc>
      </w:tr>
      <w:tr w:rsidR="009072CE" w:rsidRPr="00A07F29" w14:paraId="6395999D" w14:textId="77777777" w:rsidTr="009056A3">
        <w:trPr>
          <w:trHeight w:val="264"/>
          <w:jc w:val="center"/>
        </w:trPr>
        <w:tc>
          <w:tcPr>
            <w:tcW w:w="644" w:type="dxa"/>
            <w:shd w:val="clear" w:color="auto" w:fill="auto"/>
            <w:noWrap/>
            <w:vAlign w:val="center"/>
          </w:tcPr>
          <w:p w14:paraId="71C152EF"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70.</w:t>
            </w:r>
          </w:p>
        </w:tc>
        <w:tc>
          <w:tcPr>
            <w:tcW w:w="2728" w:type="dxa"/>
            <w:shd w:val="clear" w:color="auto" w:fill="auto"/>
            <w:noWrap/>
            <w:vAlign w:val="center"/>
          </w:tcPr>
          <w:p w14:paraId="209788D2" w14:textId="77777777" w:rsidR="009072CE" w:rsidRPr="00A07F29" w:rsidRDefault="009072CE" w:rsidP="009072CE">
            <w:pPr>
              <w:spacing w:after="0" w:line="240" w:lineRule="auto"/>
              <w:rPr>
                <w:rFonts w:ascii="Times New Roman" w:eastAsia="Times New Roman" w:hAnsi="Times New Roman" w:cs="Times New Roman"/>
                <w:i/>
                <w:iCs/>
                <w:sz w:val="20"/>
                <w:szCs w:val="20"/>
                <w:lang w:eastAsia="lv-LV"/>
              </w:rPr>
            </w:pPr>
            <w:proofErr w:type="spellStart"/>
            <w:r w:rsidRPr="00A07F29">
              <w:rPr>
                <w:rFonts w:ascii="Times New Roman" w:eastAsia="Times New Roman" w:hAnsi="Times New Roman" w:cs="Times New Roman"/>
                <w:i/>
                <w:iCs/>
                <w:sz w:val="20"/>
                <w:szCs w:val="20"/>
                <w:lang w:eastAsia="lv-LV"/>
              </w:rPr>
              <w:t>Vertigo</w:t>
            </w:r>
            <w:proofErr w:type="spellEnd"/>
            <w:r w:rsidRPr="00A07F29">
              <w:rPr>
                <w:rFonts w:ascii="Times New Roman" w:eastAsia="Times New Roman" w:hAnsi="Times New Roman" w:cs="Times New Roman"/>
                <w:i/>
                <w:iCs/>
                <w:sz w:val="20"/>
                <w:szCs w:val="20"/>
                <w:lang w:eastAsia="lv-LV"/>
              </w:rPr>
              <w:t xml:space="preserve"> </w:t>
            </w:r>
            <w:proofErr w:type="spellStart"/>
            <w:r w:rsidRPr="00A07F29">
              <w:rPr>
                <w:rFonts w:ascii="Times New Roman" w:eastAsia="Times New Roman" w:hAnsi="Times New Roman" w:cs="Times New Roman"/>
                <w:i/>
                <w:iCs/>
                <w:sz w:val="20"/>
                <w:szCs w:val="20"/>
                <w:lang w:eastAsia="lv-LV"/>
              </w:rPr>
              <w:t>antivertigo</w:t>
            </w:r>
            <w:proofErr w:type="spellEnd"/>
          </w:p>
        </w:tc>
        <w:tc>
          <w:tcPr>
            <w:tcW w:w="2693" w:type="dxa"/>
            <w:shd w:val="clear" w:color="auto" w:fill="auto"/>
            <w:noWrap/>
            <w:vAlign w:val="center"/>
          </w:tcPr>
          <w:p w14:paraId="7068ACA3"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 xml:space="preserve">Purvu </w:t>
            </w:r>
            <w:proofErr w:type="spellStart"/>
            <w:r w:rsidRPr="00A07F29">
              <w:rPr>
                <w:rFonts w:ascii="Times New Roman" w:eastAsia="Times New Roman" w:hAnsi="Times New Roman" w:cs="Times New Roman"/>
                <w:sz w:val="20"/>
                <w:szCs w:val="20"/>
                <w:lang w:eastAsia="lv-LV"/>
              </w:rPr>
              <w:t>pumpurgliemezis</w:t>
            </w:r>
            <w:proofErr w:type="spellEnd"/>
          </w:p>
        </w:tc>
        <w:tc>
          <w:tcPr>
            <w:tcW w:w="2410" w:type="dxa"/>
            <w:shd w:val="clear" w:color="auto" w:fill="auto"/>
            <w:noWrap/>
            <w:vAlign w:val="center"/>
          </w:tcPr>
          <w:p w14:paraId="7AB3ECEF"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Bieži</w:t>
            </w:r>
          </w:p>
        </w:tc>
      </w:tr>
      <w:tr w:rsidR="009072CE" w:rsidRPr="00A07F29" w14:paraId="6A6C3BEA" w14:textId="77777777" w:rsidTr="009056A3">
        <w:trPr>
          <w:trHeight w:val="264"/>
          <w:jc w:val="center"/>
        </w:trPr>
        <w:tc>
          <w:tcPr>
            <w:tcW w:w="644" w:type="dxa"/>
            <w:shd w:val="clear" w:color="auto" w:fill="auto"/>
            <w:noWrap/>
            <w:vAlign w:val="center"/>
          </w:tcPr>
          <w:p w14:paraId="7D33018F"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71.</w:t>
            </w:r>
          </w:p>
        </w:tc>
        <w:tc>
          <w:tcPr>
            <w:tcW w:w="2728" w:type="dxa"/>
            <w:shd w:val="clear" w:color="auto" w:fill="auto"/>
            <w:noWrap/>
            <w:vAlign w:val="center"/>
          </w:tcPr>
          <w:p w14:paraId="28CFCFE0" w14:textId="77777777" w:rsidR="009072CE" w:rsidRPr="00A07F29" w:rsidRDefault="009072CE" w:rsidP="009072CE">
            <w:pPr>
              <w:spacing w:after="0" w:line="240" w:lineRule="auto"/>
              <w:rPr>
                <w:rFonts w:ascii="Times New Roman" w:eastAsia="Times New Roman" w:hAnsi="Times New Roman" w:cs="Times New Roman"/>
                <w:i/>
                <w:iCs/>
                <w:sz w:val="20"/>
                <w:szCs w:val="20"/>
                <w:lang w:eastAsia="lv-LV"/>
              </w:rPr>
            </w:pPr>
            <w:proofErr w:type="spellStart"/>
            <w:r w:rsidRPr="00A07F29">
              <w:rPr>
                <w:rFonts w:ascii="Times New Roman" w:eastAsia="Times New Roman" w:hAnsi="Times New Roman" w:cs="Times New Roman"/>
                <w:i/>
                <w:iCs/>
                <w:sz w:val="20"/>
                <w:szCs w:val="20"/>
                <w:lang w:eastAsia="lv-LV"/>
              </w:rPr>
              <w:t>Vertigo</w:t>
            </w:r>
            <w:proofErr w:type="spellEnd"/>
            <w:r w:rsidRPr="00A07F29">
              <w:rPr>
                <w:rFonts w:ascii="Times New Roman" w:eastAsia="Times New Roman" w:hAnsi="Times New Roman" w:cs="Times New Roman"/>
                <w:i/>
                <w:iCs/>
                <w:sz w:val="20"/>
                <w:szCs w:val="20"/>
                <w:lang w:eastAsia="lv-LV"/>
              </w:rPr>
              <w:t xml:space="preserve"> </w:t>
            </w:r>
            <w:proofErr w:type="spellStart"/>
            <w:r w:rsidRPr="00A07F29">
              <w:rPr>
                <w:rFonts w:ascii="Times New Roman" w:eastAsia="Times New Roman" w:hAnsi="Times New Roman" w:cs="Times New Roman"/>
                <w:i/>
                <w:iCs/>
                <w:sz w:val="20"/>
                <w:szCs w:val="20"/>
                <w:lang w:eastAsia="lv-LV"/>
              </w:rPr>
              <w:t>geyeri</w:t>
            </w:r>
            <w:proofErr w:type="spellEnd"/>
          </w:p>
        </w:tc>
        <w:tc>
          <w:tcPr>
            <w:tcW w:w="2693" w:type="dxa"/>
            <w:shd w:val="clear" w:color="auto" w:fill="auto"/>
            <w:noWrap/>
            <w:vAlign w:val="center"/>
          </w:tcPr>
          <w:p w14:paraId="476680D8"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proofErr w:type="spellStart"/>
            <w:r w:rsidRPr="00A07F29">
              <w:rPr>
                <w:rFonts w:ascii="Times New Roman" w:eastAsia="Times New Roman" w:hAnsi="Times New Roman" w:cs="Times New Roman"/>
                <w:sz w:val="20"/>
                <w:szCs w:val="20"/>
                <w:lang w:eastAsia="lv-LV"/>
              </w:rPr>
              <w:t>Četrzobu</w:t>
            </w:r>
            <w:proofErr w:type="spellEnd"/>
            <w:r w:rsidRPr="00A07F29">
              <w:rPr>
                <w:rFonts w:ascii="Times New Roman" w:eastAsia="Times New Roman" w:hAnsi="Times New Roman" w:cs="Times New Roman"/>
                <w:sz w:val="20"/>
                <w:szCs w:val="20"/>
                <w:lang w:eastAsia="lv-LV"/>
              </w:rPr>
              <w:t xml:space="preserve"> </w:t>
            </w:r>
            <w:proofErr w:type="spellStart"/>
            <w:r w:rsidRPr="00A07F29">
              <w:rPr>
                <w:rFonts w:ascii="Times New Roman" w:eastAsia="Times New Roman" w:hAnsi="Times New Roman" w:cs="Times New Roman"/>
                <w:sz w:val="20"/>
                <w:szCs w:val="20"/>
                <w:lang w:eastAsia="lv-LV"/>
              </w:rPr>
              <w:t>pumpurgliemezis</w:t>
            </w:r>
            <w:proofErr w:type="spellEnd"/>
          </w:p>
        </w:tc>
        <w:tc>
          <w:tcPr>
            <w:tcW w:w="2410" w:type="dxa"/>
            <w:shd w:val="clear" w:color="auto" w:fill="auto"/>
            <w:noWrap/>
            <w:vAlign w:val="center"/>
          </w:tcPr>
          <w:p w14:paraId="4269A859"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Ne bieži</w:t>
            </w:r>
          </w:p>
        </w:tc>
      </w:tr>
      <w:tr w:rsidR="009072CE" w:rsidRPr="00A07F29" w14:paraId="5AAD5722" w14:textId="77777777" w:rsidTr="009056A3">
        <w:trPr>
          <w:trHeight w:val="264"/>
          <w:jc w:val="center"/>
        </w:trPr>
        <w:tc>
          <w:tcPr>
            <w:tcW w:w="644" w:type="dxa"/>
            <w:shd w:val="clear" w:color="auto" w:fill="auto"/>
            <w:noWrap/>
            <w:vAlign w:val="center"/>
          </w:tcPr>
          <w:p w14:paraId="55437B30"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72.</w:t>
            </w:r>
          </w:p>
        </w:tc>
        <w:tc>
          <w:tcPr>
            <w:tcW w:w="2728" w:type="dxa"/>
            <w:shd w:val="clear" w:color="auto" w:fill="auto"/>
            <w:noWrap/>
            <w:vAlign w:val="center"/>
          </w:tcPr>
          <w:p w14:paraId="18D9D1F5" w14:textId="77777777" w:rsidR="009072CE" w:rsidRPr="00A07F29" w:rsidRDefault="009072CE" w:rsidP="009072CE">
            <w:pPr>
              <w:spacing w:after="0" w:line="240" w:lineRule="auto"/>
              <w:rPr>
                <w:rFonts w:ascii="Times New Roman" w:eastAsia="Times New Roman" w:hAnsi="Times New Roman" w:cs="Times New Roman"/>
                <w:i/>
                <w:iCs/>
                <w:sz w:val="20"/>
                <w:szCs w:val="20"/>
                <w:lang w:eastAsia="lv-LV"/>
              </w:rPr>
            </w:pPr>
            <w:proofErr w:type="spellStart"/>
            <w:r w:rsidRPr="00A07F29">
              <w:rPr>
                <w:rFonts w:ascii="Times New Roman" w:eastAsia="Times New Roman" w:hAnsi="Times New Roman" w:cs="Times New Roman"/>
                <w:i/>
                <w:iCs/>
                <w:sz w:val="20"/>
                <w:szCs w:val="20"/>
                <w:lang w:eastAsia="lv-LV"/>
              </w:rPr>
              <w:t>Vertigo</w:t>
            </w:r>
            <w:proofErr w:type="spellEnd"/>
            <w:r w:rsidRPr="00A07F29">
              <w:rPr>
                <w:rFonts w:ascii="Times New Roman" w:eastAsia="Times New Roman" w:hAnsi="Times New Roman" w:cs="Times New Roman"/>
                <w:i/>
                <w:iCs/>
                <w:sz w:val="20"/>
                <w:szCs w:val="20"/>
                <w:lang w:eastAsia="lv-LV"/>
              </w:rPr>
              <w:t xml:space="preserve"> </w:t>
            </w:r>
            <w:proofErr w:type="spellStart"/>
            <w:r w:rsidRPr="00A07F29">
              <w:rPr>
                <w:rFonts w:ascii="Times New Roman" w:eastAsia="Times New Roman" w:hAnsi="Times New Roman" w:cs="Times New Roman"/>
                <w:i/>
                <w:iCs/>
                <w:sz w:val="20"/>
                <w:szCs w:val="20"/>
                <w:lang w:eastAsia="lv-LV"/>
              </w:rPr>
              <w:t>pusilla</w:t>
            </w:r>
            <w:proofErr w:type="spellEnd"/>
          </w:p>
        </w:tc>
        <w:tc>
          <w:tcPr>
            <w:tcW w:w="2693" w:type="dxa"/>
            <w:shd w:val="clear" w:color="auto" w:fill="auto"/>
            <w:noWrap/>
            <w:vAlign w:val="center"/>
          </w:tcPr>
          <w:p w14:paraId="77585E98"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 xml:space="preserve">Kreisais </w:t>
            </w:r>
            <w:proofErr w:type="spellStart"/>
            <w:r w:rsidRPr="00A07F29">
              <w:rPr>
                <w:rFonts w:ascii="Times New Roman" w:eastAsia="Times New Roman" w:hAnsi="Times New Roman" w:cs="Times New Roman"/>
                <w:sz w:val="20"/>
                <w:szCs w:val="20"/>
                <w:lang w:eastAsia="lv-LV"/>
              </w:rPr>
              <w:t>pumpurgliemezis</w:t>
            </w:r>
            <w:proofErr w:type="spellEnd"/>
          </w:p>
        </w:tc>
        <w:tc>
          <w:tcPr>
            <w:tcW w:w="2410" w:type="dxa"/>
            <w:shd w:val="clear" w:color="auto" w:fill="auto"/>
            <w:noWrap/>
            <w:vAlign w:val="center"/>
          </w:tcPr>
          <w:p w14:paraId="1431EF13"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Samērā bieži</w:t>
            </w:r>
          </w:p>
        </w:tc>
      </w:tr>
      <w:tr w:rsidR="009072CE" w:rsidRPr="00A07F29" w14:paraId="7AE5BE18" w14:textId="77777777" w:rsidTr="009056A3">
        <w:trPr>
          <w:trHeight w:val="264"/>
          <w:jc w:val="center"/>
        </w:trPr>
        <w:tc>
          <w:tcPr>
            <w:tcW w:w="644" w:type="dxa"/>
            <w:shd w:val="clear" w:color="auto" w:fill="auto"/>
            <w:noWrap/>
            <w:vAlign w:val="center"/>
          </w:tcPr>
          <w:p w14:paraId="46F4AC23"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73.</w:t>
            </w:r>
          </w:p>
        </w:tc>
        <w:tc>
          <w:tcPr>
            <w:tcW w:w="2728" w:type="dxa"/>
            <w:shd w:val="clear" w:color="auto" w:fill="auto"/>
            <w:noWrap/>
            <w:vAlign w:val="center"/>
          </w:tcPr>
          <w:p w14:paraId="337C8D10" w14:textId="77777777" w:rsidR="009072CE" w:rsidRPr="00A07F29" w:rsidRDefault="009072CE" w:rsidP="009072CE">
            <w:pPr>
              <w:spacing w:after="0" w:line="240" w:lineRule="auto"/>
              <w:rPr>
                <w:rFonts w:ascii="Times New Roman" w:eastAsia="Times New Roman" w:hAnsi="Times New Roman" w:cs="Times New Roman"/>
                <w:i/>
                <w:iCs/>
                <w:sz w:val="20"/>
                <w:szCs w:val="20"/>
                <w:lang w:eastAsia="lv-LV"/>
              </w:rPr>
            </w:pPr>
            <w:proofErr w:type="spellStart"/>
            <w:r w:rsidRPr="00A07F29">
              <w:rPr>
                <w:rFonts w:ascii="Times New Roman" w:eastAsia="Times New Roman" w:hAnsi="Times New Roman" w:cs="Times New Roman"/>
                <w:i/>
                <w:iCs/>
                <w:sz w:val="20"/>
                <w:szCs w:val="20"/>
                <w:lang w:eastAsia="lv-LV"/>
              </w:rPr>
              <w:t>Vertigo</w:t>
            </w:r>
            <w:proofErr w:type="spellEnd"/>
            <w:r w:rsidRPr="00A07F29">
              <w:rPr>
                <w:rFonts w:ascii="Times New Roman" w:eastAsia="Times New Roman" w:hAnsi="Times New Roman" w:cs="Times New Roman"/>
                <w:i/>
                <w:iCs/>
                <w:sz w:val="20"/>
                <w:szCs w:val="20"/>
                <w:lang w:eastAsia="lv-LV"/>
              </w:rPr>
              <w:t xml:space="preserve"> </w:t>
            </w:r>
            <w:proofErr w:type="spellStart"/>
            <w:r w:rsidRPr="00A07F29">
              <w:rPr>
                <w:rFonts w:ascii="Times New Roman" w:eastAsia="Times New Roman" w:hAnsi="Times New Roman" w:cs="Times New Roman"/>
                <w:i/>
                <w:iCs/>
                <w:sz w:val="20"/>
                <w:szCs w:val="20"/>
                <w:lang w:eastAsia="lv-LV"/>
              </w:rPr>
              <w:t>pygmaea</w:t>
            </w:r>
            <w:proofErr w:type="spellEnd"/>
          </w:p>
        </w:tc>
        <w:tc>
          <w:tcPr>
            <w:tcW w:w="2693" w:type="dxa"/>
            <w:shd w:val="clear" w:color="auto" w:fill="auto"/>
            <w:noWrap/>
            <w:vAlign w:val="center"/>
          </w:tcPr>
          <w:p w14:paraId="4C3C6A31"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 xml:space="preserve">Mazais </w:t>
            </w:r>
            <w:proofErr w:type="spellStart"/>
            <w:r w:rsidRPr="00A07F29">
              <w:rPr>
                <w:rFonts w:ascii="Times New Roman" w:eastAsia="Times New Roman" w:hAnsi="Times New Roman" w:cs="Times New Roman"/>
                <w:sz w:val="20"/>
                <w:szCs w:val="20"/>
                <w:lang w:eastAsia="lv-LV"/>
              </w:rPr>
              <w:t>pumpurgliemezis</w:t>
            </w:r>
            <w:proofErr w:type="spellEnd"/>
          </w:p>
        </w:tc>
        <w:tc>
          <w:tcPr>
            <w:tcW w:w="2410" w:type="dxa"/>
            <w:shd w:val="clear" w:color="auto" w:fill="auto"/>
            <w:noWrap/>
            <w:vAlign w:val="center"/>
          </w:tcPr>
          <w:p w14:paraId="44C2A94D"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Ne bieži</w:t>
            </w:r>
          </w:p>
        </w:tc>
      </w:tr>
      <w:tr w:rsidR="009072CE" w:rsidRPr="00A07F29" w14:paraId="431C8E26" w14:textId="77777777" w:rsidTr="009056A3">
        <w:trPr>
          <w:trHeight w:val="264"/>
          <w:jc w:val="center"/>
        </w:trPr>
        <w:tc>
          <w:tcPr>
            <w:tcW w:w="644" w:type="dxa"/>
            <w:shd w:val="clear" w:color="auto" w:fill="auto"/>
            <w:noWrap/>
            <w:vAlign w:val="center"/>
          </w:tcPr>
          <w:p w14:paraId="5ABA97BA"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74.</w:t>
            </w:r>
          </w:p>
        </w:tc>
        <w:tc>
          <w:tcPr>
            <w:tcW w:w="2728" w:type="dxa"/>
            <w:shd w:val="clear" w:color="auto" w:fill="auto"/>
            <w:noWrap/>
            <w:vAlign w:val="center"/>
          </w:tcPr>
          <w:p w14:paraId="435BA1E6" w14:textId="77777777" w:rsidR="009072CE" w:rsidRPr="00A07F29" w:rsidRDefault="009072CE" w:rsidP="009072CE">
            <w:pPr>
              <w:spacing w:after="0" w:line="240" w:lineRule="auto"/>
              <w:rPr>
                <w:rFonts w:ascii="Times New Roman" w:eastAsia="Times New Roman" w:hAnsi="Times New Roman" w:cs="Times New Roman"/>
                <w:i/>
                <w:iCs/>
                <w:sz w:val="20"/>
                <w:szCs w:val="20"/>
                <w:lang w:eastAsia="lv-LV"/>
              </w:rPr>
            </w:pPr>
            <w:proofErr w:type="spellStart"/>
            <w:r w:rsidRPr="00A07F29">
              <w:rPr>
                <w:rFonts w:ascii="Times New Roman" w:eastAsia="Times New Roman" w:hAnsi="Times New Roman" w:cs="Times New Roman"/>
                <w:i/>
                <w:iCs/>
                <w:sz w:val="20"/>
                <w:szCs w:val="20"/>
                <w:lang w:eastAsia="lv-LV"/>
              </w:rPr>
              <w:t>Vertigo</w:t>
            </w:r>
            <w:proofErr w:type="spellEnd"/>
            <w:r w:rsidRPr="00A07F29">
              <w:rPr>
                <w:rFonts w:ascii="Times New Roman" w:eastAsia="Times New Roman" w:hAnsi="Times New Roman" w:cs="Times New Roman"/>
                <w:i/>
                <w:iCs/>
                <w:sz w:val="20"/>
                <w:szCs w:val="20"/>
                <w:lang w:eastAsia="lv-LV"/>
              </w:rPr>
              <w:t xml:space="preserve"> </w:t>
            </w:r>
            <w:proofErr w:type="spellStart"/>
            <w:r w:rsidRPr="00A07F29">
              <w:rPr>
                <w:rFonts w:ascii="Times New Roman" w:eastAsia="Times New Roman" w:hAnsi="Times New Roman" w:cs="Times New Roman"/>
                <w:i/>
                <w:iCs/>
                <w:sz w:val="20"/>
                <w:szCs w:val="20"/>
                <w:lang w:eastAsia="lv-LV"/>
              </w:rPr>
              <w:t>ronnebyensis</w:t>
            </w:r>
            <w:proofErr w:type="spellEnd"/>
          </w:p>
        </w:tc>
        <w:tc>
          <w:tcPr>
            <w:tcW w:w="2693" w:type="dxa"/>
            <w:shd w:val="clear" w:color="auto" w:fill="auto"/>
            <w:noWrap/>
            <w:vAlign w:val="center"/>
          </w:tcPr>
          <w:p w14:paraId="2D5EBA8A"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 xml:space="preserve">Ziemeļu </w:t>
            </w:r>
            <w:proofErr w:type="spellStart"/>
            <w:r w:rsidRPr="00A07F29">
              <w:rPr>
                <w:rFonts w:ascii="Times New Roman" w:eastAsia="Times New Roman" w:hAnsi="Times New Roman" w:cs="Times New Roman"/>
                <w:sz w:val="20"/>
                <w:szCs w:val="20"/>
                <w:lang w:eastAsia="lv-LV"/>
              </w:rPr>
              <w:t>pumpurgliemezis</w:t>
            </w:r>
            <w:proofErr w:type="spellEnd"/>
          </w:p>
        </w:tc>
        <w:tc>
          <w:tcPr>
            <w:tcW w:w="2410" w:type="dxa"/>
            <w:shd w:val="clear" w:color="auto" w:fill="auto"/>
            <w:noWrap/>
            <w:vAlign w:val="center"/>
          </w:tcPr>
          <w:p w14:paraId="26270CA3"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Samērā bieži</w:t>
            </w:r>
          </w:p>
        </w:tc>
      </w:tr>
      <w:tr w:rsidR="009072CE" w:rsidRPr="00A07F29" w14:paraId="00AE4613" w14:textId="77777777" w:rsidTr="009056A3">
        <w:trPr>
          <w:trHeight w:val="264"/>
          <w:jc w:val="center"/>
        </w:trPr>
        <w:tc>
          <w:tcPr>
            <w:tcW w:w="644" w:type="dxa"/>
            <w:shd w:val="clear" w:color="auto" w:fill="auto"/>
            <w:noWrap/>
            <w:vAlign w:val="center"/>
          </w:tcPr>
          <w:p w14:paraId="398625D7"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75.</w:t>
            </w:r>
          </w:p>
        </w:tc>
        <w:tc>
          <w:tcPr>
            <w:tcW w:w="2728" w:type="dxa"/>
            <w:shd w:val="clear" w:color="auto" w:fill="auto"/>
            <w:noWrap/>
            <w:vAlign w:val="center"/>
          </w:tcPr>
          <w:p w14:paraId="6A66815E" w14:textId="77777777" w:rsidR="009072CE" w:rsidRPr="00A07F29" w:rsidRDefault="009072CE" w:rsidP="009072CE">
            <w:pPr>
              <w:spacing w:after="0" w:line="240" w:lineRule="auto"/>
              <w:rPr>
                <w:rFonts w:ascii="Times New Roman" w:eastAsia="Times New Roman" w:hAnsi="Times New Roman" w:cs="Times New Roman"/>
                <w:i/>
                <w:iCs/>
                <w:sz w:val="20"/>
                <w:szCs w:val="20"/>
                <w:lang w:eastAsia="lv-LV"/>
              </w:rPr>
            </w:pPr>
            <w:proofErr w:type="spellStart"/>
            <w:r w:rsidRPr="00A07F29">
              <w:rPr>
                <w:rFonts w:ascii="Times New Roman" w:eastAsia="Times New Roman" w:hAnsi="Times New Roman" w:cs="Times New Roman"/>
                <w:i/>
                <w:iCs/>
                <w:sz w:val="20"/>
                <w:szCs w:val="20"/>
                <w:lang w:eastAsia="lv-LV"/>
              </w:rPr>
              <w:t>Vertigo</w:t>
            </w:r>
            <w:proofErr w:type="spellEnd"/>
            <w:r w:rsidRPr="00A07F29">
              <w:rPr>
                <w:rFonts w:ascii="Times New Roman" w:eastAsia="Times New Roman" w:hAnsi="Times New Roman" w:cs="Times New Roman"/>
                <w:i/>
                <w:iCs/>
                <w:sz w:val="20"/>
                <w:szCs w:val="20"/>
                <w:lang w:eastAsia="lv-LV"/>
              </w:rPr>
              <w:t xml:space="preserve"> </w:t>
            </w:r>
            <w:proofErr w:type="spellStart"/>
            <w:r w:rsidRPr="00A07F29">
              <w:rPr>
                <w:rFonts w:ascii="Times New Roman" w:eastAsia="Times New Roman" w:hAnsi="Times New Roman" w:cs="Times New Roman"/>
                <w:i/>
                <w:iCs/>
                <w:sz w:val="20"/>
                <w:szCs w:val="20"/>
                <w:lang w:eastAsia="lv-LV"/>
              </w:rPr>
              <w:t>substriata</w:t>
            </w:r>
            <w:proofErr w:type="spellEnd"/>
            <w:r w:rsidRPr="00A07F29">
              <w:rPr>
                <w:rFonts w:ascii="Times New Roman" w:eastAsia="Times New Roman" w:hAnsi="Times New Roman" w:cs="Times New Roman"/>
                <w:i/>
                <w:iCs/>
                <w:sz w:val="20"/>
                <w:szCs w:val="20"/>
                <w:lang w:eastAsia="lv-LV"/>
              </w:rPr>
              <w:t xml:space="preserve"> </w:t>
            </w:r>
          </w:p>
        </w:tc>
        <w:tc>
          <w:tcPr>
            <w:tcW w:w="2693" w:type="dxa"/>
            <w:shd w:val="clear" w:color="auto" w:fill="auto"/>
            <w:noWrap/>
            <w:vAlign w:val="center"/>
          </w:tcPr>
          <w:p w14:paraId="797DF24C"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 xml:space="preserve">Svītrainais </w:t>
            </w:r>
            <w:proofErr w:type="spellStart"/>
            <w:r w:rsidRPr="00A07F29">
              <w:rPr>
                <w:rFonts w:ascii="Times New Roman" w:eastAsia="Times New Roman" w:hAnsi="Times New Roman" w:cs="Times New Roman"/>
                <w:sz w:val="20"/>
                <w:szCs w:val="20"/>
                <w:lang w:eastAsia="lv-LV"/>
              </w:rPr>
              <w:t>pumpurgliemezis</w:t>
            </w:r>
            <w:proofErr w:type="spellEnd"/>
          </w:p>
        </w:tc>
        <w:tc>
          <w:tcPr>
            <w:tcW w:w="2410" w:type="dxa"/>
            <w:shd w:val="clear" w:color="auto" w:fill="auto"/>
            <w:noWrap/>
            <w:vAlign w:val="center"/>
          </w:tcPr>
          <w:p w14:paraId="6FC5572D"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Ļoti bieži</w:t>
            </w:r>
          </w:p>
        </w:tc>
      </w:tr>
      <w:tr w:rsidR="009072CE" w:rsidRPr="00A07F29" w14:paraId="1A389582" w14:textId="77777777" w:rsidTr="009056A3">
        <w:trPr>
          <w:trHeight w:val="264"/>
          <w:jc w:val="center"/>
        </w:trPr>
        <w:tc>
          <w:tcPr>
            <w:tcW w:w="644" w:type="dxa"/>
            <w:shd w:val="clear" w:color="auto" w:fill="auto"/>
            <w:noWrap/>
            <w:vAlign w:val="center"/>
          </w:tcPr>
          <w:p w14:paraId="38C2E998"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76.</w:t>
            </w:r>
          </w:p>
        </w:tc>
        <w:tc>
          <w:tcPr>
            <w:tcW w:w="2728" w:type="dxa"/>
            <w:shd w:val="clear" w:color="auto" w:fill="auto"/>
            <w:noWrap/>
            <w:vAlign w:val="center"/>
          </w:tcPr>
          <w:p w14:paraId="288849E2" w14:textId="77777777" w:rsidR="009072CE" w:rsidRPr="00A07F29" w:rsidRDefault="009072CE" w:rsidP="009072CE">
            <w:pPr>
              <w:spacing w:after="0" w:line="240" w:lineRule="auto"/>
              <w:rPr>
                <w:rFonts w:ascii="Times New Roman" w:eastAsia="Times New Roman" w:hAnsi="Times New Roman" w:cs="Times New Roman"/>
                <w:i/>
                <w:iCs/>
                <w:sz w:val="20"/>
                <w:szCs w:val="20"/>
                <w:lang w:eastAsia="lv-LV"/>
              </w:rPr>
            </w:pPr>
            <w:proofErr w:type="spellStart"/>
            <w:r w:rsidRPr="00A07F29">
              <w:rPr>
                <w:rFonts w:ascii="Times New Roman" w:eastAsia="Times New Roman" w:hAnsi="Times New Roman" w:cs="Times New Roman"/>
                <w:i/>
                <w:iCs/>
                <w:sz w:val="20"/>
                <w:szCs w:val="20"/>
                <w:lang w:eastAsia="lv-LV"/>
              </w:rPr>
              <w:t>Vitrea</w:t>
            </w:r>
            <w:proofErr w:type="spellEnd"/>
            <w:r w:rsidRPr="00A07F29">
              <w:rPr>
                <w:rFonts w:ascii="Times New Roman" w:eastAsia="Times New Roman" w:hAnsi="Times New Roman" w:cs="Times New Roman"/>
                <w:i/>
                <w:iCs/>
                <w:sz w:val="20"/>
                <w:szCs w:val="20"/>
                <w:lang w:eastAsia="lv-LV"/>
              </w:rPr>
              <w:t xml:space="preserve"> </w:t>
            </w:r>
            <w:proofErr w:type="spellStart"/>
            <w:r w:rsidRPr="00A07F29">
              <w:rPr>
                <w:rFonts w:ascii="Times New Roman" w:eastAsia="Times New Roman" w:hAnsi="Times New Roman" w:cs="Times New Roman"/>
                <w:i/>
                <w:iCs/>
                <w:sz w:val="20"/>
                <w:szCs w:val="20"/>
                <w:lang w:eastAsia="lv-LV"/>
              </w:rPr>
              <w:t>crystallina</w:t>
            </w:r>
            <w:proofErr w:type="spellEnd"/>
          </w:p>
        </w:tc>
        <w:tc>
          <w:tcPr>
            <w:tcW w:w="2693" w:type="dxa"/>
            <w:shd w:val="clear" w:color="auto" w:fill="auto"/>
            <w:noWrap/>
            <w:vAlign w:val="center"/>
          </w:tcPr>
          <w:p w14:paraId="0F8723FE"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 xml:space="preserve">Parastā </w:t>
            </w:r>
            <w:proofErr w:type="spellStart"/>
            <w:r w:rsidRPr="00A07F29">
              <w:rPr>
                <w:rFonts w:ascii="Times New Roman" w:eastAsia="Times New Roman" w:hAnsi="Times New Roman" w:cs="Times New Roman"/>
                <w:sz w:val="20"/>
                <w:szCs w:val="20"/>
                <w:lang w:eastAsia="lv-LV"/>
              </w:rPr>
              <w:t>kristālspolīte</w:t>
            </w:r>
            <w:proofErr w:type="spellEnd"/>
          </w:p>
        </w:tc>
        <w:tc>
          <w:tcPr>
            <w:tcW w:w="2410" w:type="dxa"/>
            <w:shd w:val="clear" w:color="auto" w:fill="auto"/>
            <w:noWrap/>
            <w:vAlign w:val="center"/>
          </w:tcPr>
          <w:p w14:paraId="4E7C864A"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Samērā bieži</w:t>
            </w:r>
          </w:p>
        </w:tc>
      </w:tr>
      <w:tr w:rsidR="009072CE" w:rsidRPr="00A07F29" w14:paraId="49F29CC8" w14:textId="77777777" w:rsidTr="009056A3">
        <w:trPr>
          <w:trHeight w:val="264"/>
          <w:jc w:val="center"/>
        </w:trPr>
        <w:tc>
          <w:tcPr>
            <w:tcW w:w="644" w:type="dxa"/>
            <w:shd w:val="clear" w:color="auto" w:fill="auto"/>
            <w:noWrap/>
            <w:vAlign w:val="center"/>
          </w:tcPr>
          <w:p w14:paraId="07CC60CA"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77.</w:t>
            </w:r>
          </w:p>
        </w:tc>
        <w:tc>
          <w:tcPr>
            <w:tcW w:w="2728" w:type="dxa"/>
            <w:shd w:val="clear" w:color="auto" w:fill="auto"/>
            <w:noWrap/>
            <w:vAlign w:val="center"/>
          </w:tcPr>
          <w:p w14:paraId="46A9E093" w14:textId="77777777" w:rsidR="009072CE" w:rsidRPr="00A07F29" w:rsidRDefault="009072CE" w:rsidP="009072CE">
            <w:pPr>
              <w:spacing w:after="0" w:line="240" w:lineRule="auto"/>
              <w:rPr>
                <w:rFonts w:ascii="Times New Roman" w:eastAsia="Times New Roman" w:hAnsi="Times New Roman" w:cs="Times New Roman"/>
                <w:i/>
                <w:iCs/>
                <w:sz w:val="20"/>
                <w:szCs w:val="20"/>
                <w:lang w:eastAsia="lv-LV"/>
              </w:rPr>
            </w:pPr>
            <w:proofErr w:type="spellStart"/>
            <w:r w:rsidRPr="00A07F29">
              <w:rPr>
                <w:rFonts w:ascii="Times New Roman" w:eastAsia="Times New Roman" w:hAnsi="Times New Roman" w:cs="Times New Roman"/>
                <w:i/>
                <w:iCs/>
                <w:sz w:val="20"/>
                <w:szCs w:val="20"/>
                <w:lang w:eastAsia="lv-LV"/>
              </w:rPr>
              <w:t>Vitrina</w:t>
            </w:r>
            <w:proofErr w:type="spellEnd"/>
            <w:r w:rsidRPr="00A07F29">
              <w:rPr>
                <w:rFonts w:ascii="Times New Roman" w:eastAsia="Times New Roman" w:hAnsi="Times New Roman" w:cs="Times New Roman"/>
                <w:i/>
                <w:iCs/>
                <w:sz w:val="20"/>
                <w:szCs w:val="20"/>
                <w:lang w:eastAsia="lv-LV"/>
              </w:rPr>
              <w:t xml:space="preserve"> </w:t>
            </w:r>
            <w:proofErr w:type="spellStart"/>
            <w:r w:rsidRPr="00A07F29">
              <w:rPr>
                <w:rFonts w:ascii="Times New Roman" w:eastAsia="Times New Roman" w:hAnsi="Times New Roman" w:cs="Times New Roman"/>
                <w:i/>
                <w:iCs/>
                <w:sz w:val="20"/>
                <w:szCs w:val="20"/>
                <w:lang w:eastAsia="lv-LV"/>
              </w:rPr>
              <w:t>pellucida</w:t>
            </w:r>
            <w:proofErr w:type="spellEnd"/>
          </w:p>
        </w:tc>
        <w:tc>
          <w:tcPr>
            <w:tcW w:w="2693" w:type="dxa"/>
            <w:shd w:val="clear" w:color="auto" w:fill="auto"/>
            <w:noWrap/>
            <w:vAlign w:val="center"/>
          </w:tcPr>
          <w:p w14:paraId="7E195445"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 xml:space="preserve">Lodveida </w:t>
            </w:r>
            <w:proofErr w:type="spellStart"/>
            <w:r w:rsidRPr="00A07F29">
              <w:rPr>
                <w:rFonts w:ascii="Times New Roman" w:eastAsia="Times New Roman" w:hAnsi="Times New Roman" w:cs="Times New Roman"/>
                <w:sz w:val="20"/>
                <w:szCs w:val="20"/>
                <w:lang w:eastAsia="lv-LV"/>
              </w:rPr>
              <w:t>stiklgliemezis</w:t>
            </w:r>
            <w:proofErr w:type="spellEnd"/>
          </w:p>
        </w:tc>
        <w:tc>
          <w:tcPr>
            <w:tcW w:w="2410" w:type="dxa"/>
            <w:shd w:val="clear" w:color="auto" w:fill="auto"/>
            <w:noWrap/>
            <w:vAlign w:val="center"/>
          </w:tcPr>
          <w:p w14:paraId="2CC2D859"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Bieži</w:t>
            </w:r>
          </w:p>
        </w:tc>
      </w:tr>
      <w:tr w:rsidR="009072CE" w:rsidRPr="00A07F29" w14:paraId="71F8A5D9" w14:textId="77777777" w:rsidTr="009056A3">
        <w:trPr>
          <w:trHeight w:val="264"/>
          <w:jc w:val="center"/>
        </w:trPr>
        <w:tc>
          <w:tcPr>
            <w:tcW w:w="644" w:type="dxa"/>
            <w:shd w:val="clear" w:color="auto" w:fill="auto"/>
            <w:noWrap/>
            <w:vAlign w:val="center"/>
          </w:tcPr>
          <w:p w14:paraId="7B75854F"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78.</w:t>
            </w:r>
          </w:p>
        </w:tc>
        <w:tc>
          <w:tcPr>
            <w:tcW w:w="2728" w:type="dxa"/>
            <w:shd w:val="clear" w:color="auto" w:fill="auto"/>
            <w:noWrap/>
            <w:vAlign w:val="center"/>
          </w:tcPr>
          <w:p w14:paraId="6688340A" w14:textId="77777777" w:rsidR="009072CE" w:rsidRPr="00A07F29" w:rsidRDefault="009072CE" w:rsidP="009072CE">
            <w:pPr>
              <w:spacing w:after="0" w:line="240" w:lineRule="auto"/>
              <w:rPr>
                <w:rFonts w:ascii="Times New Roman" w:eastAsia="Times New Roman" w:hAnsi="Times New Roman" w:cs="Times New Roman"/>
                <w:i/>
                <w:iCs/>
                <w:sz w:val="20"/>
                <w:szCs w:val="20"/>
                <w:lang w:eastAsia="lv-LV"/>
              </w:rPr>
            </w:pPr>
            <w:proofErr w:type="spellStart"/>
            <w:r w:rsidRPr="00A07F29">
              <w:rPr>
                <w:rFonts w:ascii="Times New Roman" w:eastAsia="Times New Roman" w:hAnsi="Times New Roman" w:cs="Times New Roman"/>
                <w:i/>
                <w:iCs/>
                <w:sz w:val="20"/>
                <w:szCs w:val="20"/>
                <w:lang w:eastAsia="lv-LV"/>
              </w:rPr>
              <w:t>Zonitoides</w:t>
            </w:r>
            <w:proofErr w:type="spellEnd"/>
            <w:r w:rsidRPr="00A07F29">
              <w:rPr>
                <w:rFonts w:ascii="Times New Roman" w:eastAsia="Times New Roman" w:hAnsi="Times New Roman" w:cs="Times New Roman"/>
                <w:i/>
                <w:iCs/>
                <w:sz w:val="20"/>
                <w:szCs w:val="20"/>
                <w:lang w:eastAsia="lv-LV"/>
              </w:rPr>
              <w:t xml:space="preserve"> </w:t>
            </w:r>
            <w:proofErr w:type="spellStart"/>
            <w:r w:rsidRPr="00A07F29">
              <w:rPr>
                <w:rFonts w:ascii="Times New Roman" w:eastAsia="Times New Roman" w:hAnsi="Times New Roman" w:cs="Times New Roman"/>
                <w:i/>
                <w:iCs/>
                <w:sz w:val="20"/>
                <w:szCs w:val="20"/>
                <w:lang w:eastAsia="lv-LV"/>
              </w:rPr>
              <w:t>nitidus</w:t>
            </w:r>
            <w:proofErr w:type="spellEnd"/>
          </w:p>
        </w:tc>
        <w:tc>
          <w:tcPr>
            <w:tcW w:w="2693" w:type="dxa"/>
            <w:shd w:val="clear" w:color="auto" w:fill="auto"/>
            <w:noWrap/>
            <w:vAlign w:val="center"/>
          </w:tcPr>
          <w:p w14:paraId="124145B8"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 xml:space="preserve">Mirdzošā </w:t>
            </w:r>
            <w:proofErr w:type="spellStart"/>
            <w:r w:rsidRPr="00A07F29">
              <w:rPr>
                <w:rFonts w:ascii="Times New Roman" w:eastAsia="Times New Roman" w:hAnsi="Times New Roman" w:cs="Times New Roman"/>
                <w:sz w:val="20"/>
                <w:szCs w:val="20"/>
                <w:lang w:eastAsia="lv-LV"/>
              </w:rPr>
              <w:t>zemesspolīte</w:t>
            </w:r>
            <w:proofErr w:type="spellEnd"/>
          </w:p>
        </w:tc>
        <w:tc>
          <w:tcPr>
            <w:tcW w:w="2410" w:type="dxa"/>
            <w:shd w:val="clear" w:color="auto" w:fill="auto"/>
            <w:noWrap/>
            <w:vAlign w:val="center"/>
          </w:tcPr>
          <w:p w14:paraId="6D1C4E67"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Bieži</w:t>
            </w:r>
          </w:p>
        </w:tc>
      </w:tr>
      <w:tr w:rsidR="009072CE" w:rsidRPr="00A07F29" w14:paraId="64129804" w14:textId="77777777" w:rsidTr="009056A3">
        <w:trPr>
          <w:trHeight w:val="264"/>
          <w:jc w:val="center"/>
        </w:trPr>
        <w:tc>
          <w:tcPr>
            <w:tcW w:w="8475" w:type="dxa"/>
            <w:gridSpan w:val="4"/>
            <w:shd w:val="clear" w:color="auto" w:fill="E7E6E6"/>
            <w:noWrap/>
            <w:vAlign w:val="center"/>
          </w:tcPr>
          <w:p w14:paraId="6AFF6D57" w14:textId="77777777" w:rsidR="009072CE" w:rsidRPr="00A07F29" w:rsidRDefault="009072CE" w:rsidP="009072CE">
            <w:pPr>
              <w:spacing w:after="0" w:line="240" w:lineRule="auto"/>
              <w:jc w:val="center"/>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Saldūdens gliemenes</w:t>
            </w:r>
          </w:p>
        </w:tc>
      </w:tr>
      <w:tr w:rsidR="009072CE" w:rsidRPr="00A07F29" w14:paraId="36F9E77C" w14:textId="77777777" w:rsidTr="009056A3">
        <w:trPr>
          <w:trHeight w:val="264"/>
          <w:jc w:val="center"/>
        </w:trPr>
        <w:tc>
          <w:tcPr>
            <w:tcW w:w="644" w:type="dxa"/>
            <w:shd w:val="clear" w:color="auto" w:fill="auto"/>
            <w:noWrap/>
            <w:vAlign w:val="center"/>
          </w:tcPr>
          <w:p w14:paraId="385EC392"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79.</w:t>
            </w:r>
          </w:p>
        </w:tc>
        <w:tc>
          <w:tcPr>
            <w:tcW w:w="2728" w:type="dxa"/>
            <w:shd w:val="clear" w:color="auto" w:fill="auto"/>
            <w:noWrap/>
            <w:vAlign w:val="center"/>
          </w:tcPr>
          <w:p w14:paraId="26818405" w14:textId="77777777" w:rsidR="009072CE" w:rsidRPr="00A07F29" w:rsidRDefault="009072CE" w:rsidP="009072CE">
            <w:pPr>
              <w:spacing w:after="0" w:line="240" w:lineRule="auto"/>
              <w:rPr>
                <w:rFonts w:ascii="Times New Roman" w:eastAsia="Times New Roman" w:hAnsi="Times New Roman" w:cs="Times New Roman"/>
                <w:i/>
                <w:iCs/>
                <w:sz w:val="20"/>
                <w:szCs w:val="20"/>
                <w:lang w:eastAsia="lv-LV"/>
              </w:rPr>
            </w:pPr>
            <w:proofErr w:type="spellStart"/>
            <w:r w:rsidRPr="00A07F29">
              <w:rPr>
                <w:rFonts w:ascii="Times New Roman" w:eastAsia="Times New Roman" w:hAnsi="Times New Roman" w:cs="Times New Roman"/>
                <w:i/>
                <w:iCs/>
                <w:sz w:val="20"/>
                <w:szCs w:val="20"/>
                <w:lang w:eastAsia="lv-LV"/>
              </w:rPr>
              <w:t>Dreissena</w:t>
            </w:r>
            <w:proofErr w:type="spellEnd"/>
            <w:r w:rsidRPr="00A07F29">
              <w:rPr>
                <w:rFonts w:ascii="Times New Roman" w:eastAsia="Times New Roman" w:hAnsi="Times New Roman" w:cs="Times New Roman"/>
                <w:i/>
                <w:iCs/>
                <w:sz w:val="20"/>
                <w:szCs w:val="20"/>
                <w:lang w:eastAsia="lv-LV"/>
              </w:rPr>
              <w:t xml:space="preserve"> </w:t>
            </w:r>
            <w:proofErr w:type="spellStart"/>
            <w:r w:rsidRPr="00A07F29">
              <w:rPr>
                <w:rFonts w:ascii="Times New Roman" w:eastAsia="Times New Roman" w:hAnsi="Times New Roman" w:cs="Times New Roman"/>
                <w:i/>
                <w:iCs/>
                <w:sz w:val="20"/>
                <w:szCs w:val="20"/>
                <w:lang w:eastAsia="lv-LV"/>
              </w:rPr>
              <w:t>polymorpha</w:t>
            </w:r>
            <w:proofErr w:type="spellEnd"/>
          </w:p>
        </w:tc>
        <w:tc>
          <w:tcPr>
            <w:tcW w:w="2693" w:type="dxa"/>
            <w:shd w:val="clear" w:color="auto" w:fill="auto"/>
            <w:noWrap/>
            <w:vAlign w:val="center"/>
          </w:tcPr>
          <w:p w14:paraId="51B26E56"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 xml:space="preserve">Mainīgā </w:t>
            </w:r>
            <w:proofErr w:type="spellStart"/>
            <w:r w:rsidRPr="00A07F29">
              <w:rPr>
                <w:rFonts w:ascii="Times New Roman" w:eastAsia="Times New Roman" w:hAnsi="Times New Roman" w:cs="Times New Roman"/>
                <w:sz w:val="20"/>
                <w:szCs w:val="20"/>
                <w:lang w:eastAsia="lv-LV"/>
              </w:rPr>
              <w:t>sēdgliemene</w:t>
            </w:r>
            <w:proofErr w:type="spellEnd"/>
            <w:r w:rsidRPr="00A07F29">
              <w:rPr>
                <w:rFonts w:ascii="Times New Roman" w:eastAsia="Times New Roman" w:hAnsi="Times New Roman" w:cs="Times New Roman"/>
                <w:sz w:val="20"/>
                <w:szCs w:val="20"/>
                <w:lang w:eastAsia="lv-LV"/>
              </w:rPr>
              <w:t xml:space="preserve">, </w:t>
            </w:r>
            <w:proofErr w:type="spellStart"/>
            <w:r w:rsidRPr="00A07F29">
              <w:rPr>
                <w:rFonts w:ascii="Times New Roman" w:eastAsia="Times New Roman" w:hAnsi="Times New Roman" w:cs="Times New Roman"/>
                <w:sz w:val="20"/>
                <w:szCs w:val="20"/>
                <w:lang w:eastAsia="lv-LV"/>
              </w:rPr>
              <w:t>dreisena</w:t>
            </w:r>
            <w:proofErr w:type="spellEnd"/>
          </w:p>
        </w:tc>
        <w:tc>
          <w:tcPr>
            <w:tcW w:w="2410" w:type="dxa"/>
            <w:shd w:val="clear" w:color="auto" w:fill="auto"/>
            <w:noWrap/>
            <w:vAlign w:val="center"/>
          </w:tcPr>
          <w:p w14:paraId="453FADC3"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Ļoti bieži</w:t>
            </w:r>
          </w:p>
        </w:tc>
      </w:tr>
      <w:tr w:rsidR="009072CE" w:rsidRPr="00A07F29" w14:paraId="53B44A54" w14:textId="77777777" w:rsidTr="009056A3">
        <w:trPr>
          <w:trHeight w:val="264"/>
          <w:jc w:val="center"/>
        </w:trPr>
        <w:tc>
          <w:tcPr>
            <w:tcW w:w="644" w:type="dxa"/>
            <w:shd w:val="clear" w:color="auto" w:fill="auto"/>
            <w:noWrap/>
            <w:vAlign w:val="center"/>
          </w:tcPr>
          <w:p w14:paraId="2C324B20"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80.</w:t>
            </w:r>
          </w:p>
        </w:tc>
        <w:tc>
          <w:tcPr>
            <w:tcW w:w="2728" w:type="dxa"/>
            <w:shd w:val="clear" w:color="auto" w:fill="auto"/>
            <w:noWrap/>
            <w:vAlign w:val="center"/>
          </w:tcPr>
          <w:p w14:paraId="2078E49E" w14:textId="77777777" w:rsidR="009072CE" w:rsidRPr="00A07F29" w:rsidRDefault="009072CE" w:rsidP="009072CE">
            <w:pPr>
              <w:spacing w:after="0" w:line="240" w:lineRule="auto"/>
              <w:rPr>
                <w:rFonts w:ascii="Times New Roman" w:eastAsia="Times New Roman" w:hAnsi="Times New Roman" w:cs="Times New Roman"/>
                <w:i/>
                <w:sz w:val="20"/>
                <w:szCs w:val="20"/>
                <w:lang w:eastAsia="lv-LV"/>
              </w:rPr>
            </w:pPr>
            <w:proofErr w:type="spellStart"/>
            <w:r w:rsidRPr="00A07F29">
              <w:rPr>
                <w:rFonts w:ascii="Times New Roman" w:eastAsia="Times New Roman" w:hAnsi="Times New Roman" w:cs="Times New Roman"/>
                <w:i/>
                <w:iCs/>
                <w:sz w:val="20"/>
                <w:szCs w:val="20"/>
                <w:lang w:eastAsia="lv-LV"/>
              </w:rPr>
              <w:t>Pisidium</w:t>
            </w:r>
            <w:proofErr w:type="spellEnd"/>
            <w:r w:rsidRPr="00A07F29">
              <w:rPr>
                <w:rFonts w:ascii="Times New Roman" w:eastAsia="Times New Roman" w:hAnsi="Times New Roman" w:cs="Times New Roman"/>
                <w:i/>
                <w:iCs/>
                <w:sz w:val="20"/>
                <w:szCs w:val="20"/>
                <w:lang w:eastAsia="lv-LV"/>
              </w:rPr>
              <w:t xml:space="preserve"> </w:t>
            </w:r>
            <w:proofErr w:type="spellStart"/>
            <w:r w:rsidRPr="00A07F29">
              <w:rPr>
                <w:rFonts w:ascii="Times New Roman" w:eastAsia="Times New Roman" w:hAnsi="Times New Roman" w:cs="Times New Roman"/>
                <w:i/>
                <w:iCs/>
                <w:sz w:val="20"/>
                <w:szCs w:val="20"/>
                <w:lang w:eastAsia="lv-LV"/>
              </w:rPr>
              <w:t>sp</w:t>
            </w:r>
            <w:proofErr w:type="spellEnd"/>
            <w:r w:rsidRPr="00A07F29">
              <w:rPr>
                <w:rFonts w:ascii="Times New Roman" w:eastAsia="Times New Roman" w:hAnsi="Times New Roman" w:cs="Times New Roman"/>
                <w:i/>
                <w:iCs/>
                <w:sz w:val="20"/>
                <w:szCs w:val="20"/>
                <w:lang w:eastAsia="lv-LV"/>
              </w:rPr>
              <w:t>.</w:t>
            </w:r>
          </w:p>
        </w:tc>
        <w:tc>
          <w:tcPr>
            <w:tcW w:w="2693" w:type="dxa"/>
            <w:shd w:val="clear" w:color="auto" w:fill="auto"/>
            <w:noWrap/>
            <w:vAlign w:val="center"/>
          </w:tcPr>
          <w:p w14:paraId="58E73AA4"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proofErr w:type="spellStart"/>
            <w:r w:rsidRPr="00A07F29">
              <w:rPr>
                <w:rFonts w:ascii="Times New Roman" w:eastAsia="Times New Roman" w:hAnsi="Times New Roman" w:cs="Times New Roman"/>
                <w:sz w:val="20"/>
                <w:szCs w:val="20"/>
                <w:lang w:eastAsia="lv-LV"/>
              </w:rPr>
              <w:t>Sīkgliemenes</w:t>
            </w:r>
            <w:proofErr w:type="spellEnd"/>
          </w:p>
        </w:tc>
        <w:tc>
          <w:tcPr>
            <w:tcW w:w="2410" w:type="dxa"/>
            <w:shd w:val="clear" w:color="auto" w:fill="auto"/>
            <w:noWrap/>
            <w:vAlign w:val="center"/>
          </w:tcPr>
          <w:p w14:paraId="39C19D17"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 Bieži</w:t>
            </w:r>
          </w:p>
        </w:tc>
      </w:tr>
      <w:tr w:rsidR="009072CE" w:rsidRPr="00A07F29" w14:paraId="61EFA6DC" w14:textId="77777777" w:rsidTr="009056A3">
        <w:trPr>
          <w:trHeight w:val="264"/>
          <w:jc w:val="center"/>
        </w:trPr>
        <w:tc>
          <w:tcPr>
            <w:tcW w:w="644" w:type="dxa"/>
            <w:shd w:val="clear" w:color="auto" w:fill="auto"/>
            <w:noWrap/>
            <w:vAlign w:val="center"/>
          </w:tcPr>
          <w:p w14:paraId="46946397"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lastRenderedPageBreak/>
              <w:t>81.</w:t>
            </w:r>
          </w:p>
        </w:tc>
        <w:tc>
          <w:tcPr>
            <w:tcW w:w="2728" w:type="dxa"/>
            <w:shd w:val="clear" w:color="auto" w:fill="auto"/>
            <w:noWrap/>
            <w:vAlign w:val="center"/>
          </w:tcPr>
          <w:p w14:paraId="45BD60FC" w14:textId="77777777" w:rsidR="009072CE" w:rsidRPr="00A07F29" w:rsidRDefault="009072CE" w:rsidP="009072CE">
            <w:pPr>
              <w:spacing w:after="0" w:line="240" w:lineRule="auto"/>
              <w:rPr>
                <w:rFonts w:ascii="Times New Roman" w:eastAsia="Times New Roman" w:hAnsi="Times New Roman" w:cs="Times New Roman"/>
                <w:i/>
                <w:iCs/>
                <w:sz w:val="20"/>
                <w:szCs w:val="20"/>
                <w:lang w:eastAsia="lv-LV"/>
              </w:rPr>
            </w:pPr>
            <w:proofErr w:type="spellStart"/>
            <w:r w:rsidRPr="00A07F29">
              <w:rPr>
                <w:rFonts w:ascii="Times New Roman" w:eastAsia="Times New Roman" w:hAnsi="Times New Roman" w:cs="Times New Roman"/>
                <w:i/>
                <w:iCs/>
                <w:sz w:val="20"/>
                <w:szCs w:val="20"/>
                <w:lang w:eastAsia="lv-LV"/>
              </w:rPr>
              <w:t>Pseuanodonta</w:t>
            </w:r>
            <w:proofErr w:type="spellEnd"/>
            <w:r w:rsidRPr="00A07F29">
              <w:rPr>
                <w:rFonts w:ascii="Times New Roman" w:eastAsia="Times New Roman" w:hAnsi="Times New Roman" w:cs="Times New Roman"/>
                <w:i/>
                <w:iCs/>
                <w:sz w:val="20"/>
                <w:szCs w:val="20"/>
                <w:lang w:eastAsia="lv-LV"/>
              </w:rPr>
              <w:t xml:space="preserve"> </w:t>
            </w:r>
            <w:proofErr w:type="spellStart"/>
            <w:r w:rsidRPr="00A07F29">
              <w:rPr>
                <w:rFonts w:ascii="Times New Roman" w:eastAsia="Times New Roman" w:hAnsi="Times New Roman" w:cs="Times New Roman"/>
                <w:i/>
                <w:iCs/>
                <w:sz w:val="20"/>
                <w:szCs w:val="20"/>
                <w:lang w:eastAsia="lv-LV"/>
              </w:rPr>
              <w:t>complanata</w:t>
            </w:r>
            <w:proofErr w:type="spellEnd"/>
          </w:p>
        </w:tc>
        <w:tc>
          <w:tcPr>
            <w:tcW w:w="2693" w:type="dxa"/>
            <w:shd w:val="clear" w:color="auto" w:fill="auto"/>
            <w:noWrap/>
            <w:vAlign w:val="center"/>
          </w:tcPr>
          <w:p w14:paraId="0D3E882E"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Upes bezzobe</w:t>
            </w:r>
          </w:p>
        </w:tc>
        <w:tc>
          <w:tcPr>
            <w:tcW w:w="2410" w:type="dxa"/>
            <w:shd w:val="clear" w:color="auto" w:fill="auto"/>
            <w:noWrap/>
            <w:vAlign w:val="center"/>
          </w:tcPr>
          <w:p w14:paraId="32FAFE04"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Ne bieži</w:t>
            </w:r>
          </w:p>
        </w:tc>
      </w:tr>
      <w:tr w:rsidR="009072CE" w:rsidRPr="00A07F29" w14:paraId="7E190831" w14:textId="77777777" w:rsidTr="009056A3">
        <w:trPr>
          <w:trHeight w:val="264"/>
          <w:jc w:val="center"/>
        </w:trPr>
        <w:tc>
          <w:tcPr>
            <w:tcW w:w="644" w:type="dxa"/>
            <w:shd w:val="clear" w:color="auto" w:fill="auto"/>
            <w:noWrap/>
            <w:vAlign w:val="center"/>
          </w:tcPr>
          <w:p w14:paraId="41E123BB"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82.</w:t>
            </w:r>
          </w:p>
        </w:tc>
        <w:tc>
          <w:tcPr>
            <w:tcW w:w="2728" w:type="dxa"/>
            <w:shd w:val="clear" w:color="auto" w:fill="auto"/>
            <w:noWrap/>
            <w:vAlign w:val="center"/>
          </w:tcPr>
          <w:p w14:paraId="7524A6A8" w14:textId="77777777" w:rsidR="009072CE" w:rsidRPr="00A07F29" w:rsidRDefault="009072CE" w:rsidP="009072CE">
            <w:pPr>
              <w:spacing w:after="0" w:line="240" w:lineRule="auto"/>
              <w:rPr>
                <w:rFonts w:ascii="Times New Roman" w:eastAsia="Times New Roman" w:hAnsi="Times New Roman" w:cs="Times New Roman"/>
                <w:i/>
                <w:iCs/>
                <w:sz w:val="20"/>
                <w:szCs w:val="20"/>
                <w:lang w:eastAsia="lv-LV"/>
              </w:rPr>
            </w:pPr>
            <w:proofErr w:type="spellStart"/>
            <w:r w:rsidRPr="00A07F29">
              <w:rPr>
                <w:rFonts w:ascii="Times New Roman" w:eastAsia="Times New Roman" w:hAnsi="Times New Roman" w:cs="Times New Roman"/>
                <w:i/>
                <w:iCs/>
                <w:sz w:val="20"/>
                <w:szCs w:val="20"/>
                <w:lang w:eastAsia="lv-LV"/>
              </w:rPr>
              <w:t>Unio</w:t>
            </w:r>
            <w:proofErr w:type="spellEnd"/>
            <w:r w:rsidRPr="00A07F29">
              <w:rPr>
                <w:rFonts w:ascii="Times New Roman" w:eastAsia="Times New Roman" w:hAnsi="Times New Roman" w:cs="Times New Roman"/>
                <w:i/>
                <w:iCs/>
                <w:sz w:val="20"/>
                <w:szCs w:val="20"/>
                <w:lang w:eastAsia="lv-LV"/>
              </w:rPr>
              <w:t xml:space="preserve"> </w:t>
            </w:r>
            <w:proofErr w:type="spellStart"/>
            <w:r w:rsidRPr="00A07F29">
              <w:rPr>
                <w:rFonts w:ascii="Times New Roman" w:eastAsia="Times New Roman" w:hAnsi="Times New Roman" w:cs="Times New Roman"/>
                <w:i/>
                <w:iCs/>
                <w:sz w:val="20"/>
                <w:szCs w:val="20"/>
                <w:lang w:eastAsia="lv-LV"/>
              </w:rPr>
              <w:t>crassus</w:t>
            </w:r>
            <w:proofErr w:type="spellEnd"/>
          </w:p>
        </w:tc>
        <w:tc>
          <w:tcPr>
            <w:tcW w:w="2693" w:type="dxa"/>
            <w:shd w:val="clear" w:color="auto" w:fill="auto"/>
            <w:noWrap/>
            <w:vAlign w:val="center"/>
          </w:tcPr>
          <w:p w14:paraId="1A1A6030"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 xml:space="preserve">Biezā </w:t>
            </w:r>
            <w:proofErr w:type="spellStart"/>
            <w:r w:rsidRPr="00A07F29">
              <w:rPr>
                <w:rFonts w:ascii="Times New Roman" w:eastAsia="Times New Roman" w:hAnsi="Times New Roman" w:cs="Times New Roman"/>
                <w:sz w:val="20"/>
                <w:szCs w:val="20"/>
                <w:lang w:eastAsia="lv-LV"/>
              </w:rPr>
              <w:t>perlamutrene</w:t>
            </w:r>
            <w:proofErr w:type="spellEnd"/>
          </w:p>
        </w:tc>
        <w:tc>
          <w:tcPr>
            <w:tcW w:w="2410" w:type="dxa"/>
            <w:shd w:val="clear" w:color="auto" w:fill="auto"/>
            <w:noWrap/>
            <w:vAlign w:val="center"/>
          </w:tcPr>
          <w:p w14:paraId="00E8CD4F"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Ne bieži</w:t>
            </w:r>
          </w:p>
        </w:tc>
      </w:tr>
      <w:tr w:rsidR="009072CE" w:rsidRPr="00A07F29" w14:paraId="006CC3A5" w14:textId="77777777" w:rsidTr="009056A3">
        <w:trPr>
          <w:trHeight w:val="264"/>
          <w:jc w:val="center"/>
        </w:trPr>
        <w:tc>
          <w:tcPr>
            <w:tcW w:w="644" w:type="dxa"/>
            <w:shd w:val="clear" w:color="auto" w:fill="auto"/>
            <w:noWrap/>
            <w:vAlign w:val="center"/>
          </w:tcPr>
          <w:p w14:paraId="215C3E5C"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83.</w:t>
            </w:r>
          </w:p>
        </w:tc>
        <w:tc>
          <w:tcPr>
            <w:tcW w:w="2728" w:type="dxa"/>
            <w:shd w:val="clear" w:color="auto" w:fill="auto"/>
            <w:noWrap/>
            <w:vAlign w:val="center"/>
          </w:tcPr>
          <w:p w14:paraId="6AD1067E" w14:textId="77777777" w:rsidR="009072CE" w:rsidRPr="00A07F29" w:rsidRDefault="009072CE" w:rsidP="009072CE">
            <w:pPr>
              <w:spacing w:after="0" w:line="240" w:lineRule="auto"/>
              <w:rPr>
                <w:rFonts w:ascii="Times New Roman" w:eastAsia="Times New Roman" w:hAnsi="Times New Roman" w:cs="Times New Roman"/>
                <w:i/>
                <w:iCs/>
                <w:sz w:val="20"/>
                <w:szCs w:val="20"/>
                <w:lang w:eastAsia="lv-LV"/>
              </w:rPr>
            </w:pPr>
            <w:proofErr w:type="spellStart"/>
            <w:r w:rsidRPr="00A07F29">
              <w:rPr>
                <w:rFonts w:ascii="Times New Roman" w:eastAsia="Times New Roman" w:hAnsi="Times New Roman" w:cs="Times New Roman"/>
                <w:i/>
                <w:iCs/>
                <w:sz w:val="20"/>
                <w:szCs w:val="20"/>
                <w:lang w:eastAsia="lv-LV"/>
              </w:rPr>
              <w:t>Unio</w:t>
            </w:r>
            <w:proofErr w:type="spellEnd"/>
            <w:r w:rsidRPr="00A07F29">
              <w:rPr>
                <w:rFonts w:ascii="Times New Roman" w:eastAsia="Times New Roman" w:hAnsi="Times New Roman" w:cs="Times New Roman"/>
                <w:i/>
                <w:iCs/>
                <w:sz w:val="20"/>
                <w:szCs w:val="20"/>
                <w:lang w:eastAsia="lv-LV"/>
              </w:rPr>
              <w:t xml:space="preserve"> </w:t>
            </w:r>
            <w:proofErr w:type="spellStart"/>
            <w:r w:rsidRPr="00A07F29">
              <w:rPr>
                <w:rFonts w:ascii="Times New Roman" w:eastAsia="Times New Roman" w:hAnsi="Times New Roman" w:cs="Times New Roman"/>
                <w:i/>
                <w:iCs/>
                <w:sz w:val="20"/>
                <w:szCs w:val="20"/>
                <w:lang w:eastAsia="lv-LV"/>
              </w:rPr>
              <w:t>pictorum</w:t>
            </w:r>
            <w:proofErr w:type="spellEnd"/>
          </w:p>
        </w:tc>
        <w:tc>
          <w:tcPr>
            <w:tcW w:w="2693" w:type="dxa"/>
            <w:shd w:val="clear" w:color="auto" w:fill="auto"/>
            <w:noWrap/>
            <w:vAlign w:val="center"/>
          </w:tcPr>
          <w:p w14:paraId="6FF2FD04"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 xml:space="preserve">Slaidā </w:t>
            </w:r>
            <w:proofErr w:type="spellStart"/>
            <w:r w:rsidRPr="00A07F29">
              <w:rPr>
                <w:rFonts w:ascii="Times New Roman" w:eastAsia="Times New Roman" w:hAnsi="Times New Roman" w:cs="Times New Roman"/>
                <w:sz w:val="20"/>
                <w:szCs w:val="20"/>
                <w:lang w:eastAsia="lv-LV"/>
              </w:rPr>
              <w:t>perlamutrene</w:t>
            </w:r>
            <w:proofErr w:type="spellEnd"/>
          </w:p>
        </w:tc>
        <w:tc>
          <w:tcPr>
            <w:tcW w:w="2410" w:type="dxa"/>
            <w:shd w:val="clear" w:color="auto" w:fill="auto"/>
            <w:noWrap/>
            <w:vAlign w:val="center"/>
          </w:tcPr>
          <w:p w14:paraId="57E17C5C"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Samērā bieži</w:t>
            </w:r>
          </w:p>
        </w:tc>
      </w:tr>
      <w:tr w:rsidR="009072CE" w:rsidRPr="00A07F29" w14:paraId="09F5C9DC" w14:textId="77777777" w:rsidTr="009056A3">
        <w:trPr>
          <w:trHeight w:val="264"/>
          <w:jc w:val="center"/>
        </w:trPr>
        <w:tc>
          <w:tcPr>
            <w:tcW w:w="644" w:type="dxa"/>
            <w:shd w:val="clear" w:color="auto" w:fill="auto"/>
            <w:noWrap/>
            <w:vAlign w:val="center"/>
          </w:tcPr>
          <w:p w14:paraId="679A4BD5"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84.</w:t>
            </w:r>
          </w:p>
        </w:tc>
        <w:tc>
          <w:tcPr>
            <w:tcW w:w="2728" w:type="dxa"/>
            <w:shd w:val="clear" w:color="auto" w:fill="auto"/>
            <w:noWrap/>
            <w:vAlign w:val="center"/>
          </w:tcPr>
          <w:p w14:paraId="255C21BE" w14:textId="77777777" w:rsidR="009072CE" w:rsidRPr="00A07F29" w:rsidRDefault="009072CE" w:rsidP="009072CE">
            <w:pPr>
              <w:spacing w:after="0" w:line="240" w:lineRule="auto"/>
              <w:rPr>
                <w:rFonts w:ascii="Times New Roman" w:eastAsia="Times New Roman" w:hAnsi="Times New Roman" w:cs="Times New Roman"/>
                <w:i/>
                <w:iCs/>
                <w:sz w:val="20"/>
                <w:szCs w:val="20"/>
                <w:lang w:eastAsia="lv-LV"/>
              </w:rPr>
            </w:pPr>
            <w:proofErr w:type="spellStart"/>
            <w:r w:rsidRPr="00A07F29">
              <w:rPr>
                <w:rFonts w:ascii="Times New Roman" w:eastAsia="Times New Roman" w:hAnsi="Times New Roman" w:cs="Times New Roman"/>
                <w:i/>
                <w:iCs/>
                <w:sz w:val="20"/>
                <w:szCs w:val="20"/>
                <w:lang w:eastAsia="lv-LV"/>
              </w:rPr>
              <w:t>Unio</w:t>
            </w:r>
            <w:proofErr w:type="spellEnd"/>
            <w:r w:rsidRPr="00A07F29">
              <w:rPr>
                <w:rFonts w:ascii="Times New Roman" w:eastAsia="Times New Roman" w:hAnsi="Times New Roman" w:cs="Times New Roman"/>
                <w:i/>
                <w:iCs/>
                <w:sz w:val="20"/>
                <w:szCs w:val="20"/>
                <w:lang w:eastAsia="lv-LV"/>
              </w:rPr>
              <w:t xml:space="preserve"> </w:t>
            </w:r>
            <w:proofErr w:type="spellStart"/>
            <w:r w:rsidRPr="00A07F29">
              <w:rPr>
                <w:rFonts w:ascii="Times New Roman" w:eastAsia="Times New Roman" w:hAnsi="Times New Roman" w:cs="Times New Roman"/>
                <w:i/>
                <w:iCs/>
                <w:sz w:val="20"/>
                <w:szCs w:val="20"/>
                <w:lang w:eastAsia="lv-LV"/>
              </w:rPr>
              <w:t>tumidus</w:t>
            </w:r>
            <w:proofErr w:type="spellEnd"/>
          </w:p>
        </w:tc>
        <w:tc>
          <w:tcPr>
            <w:tcW w:w="2693" w:type="dxa"/>
            <w:shd w:val="clear" w:color="auto" w:fill="auto"/>
            <w:noWrap/>
            <w:vAlign w:val="center"/>
          </w:tcPr>
          <w:p w14:paraId="5A874286"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 xml:space="preserve">Ķīļveida </w:t>
            </w:r>
            <w:proofErr w:type="spellStart"/>
            <w:r w:rsidRPr="00A07F29">
              <w:rPr>
                <w:rFonts w:ascii="Times New Roman" w:eastAsia="Times New Roman" w:hAnsi="Times New Roman" w:cs="Times New Roman"/>
                <w:sz w:val="20"/>
                <w:szCs w:val="20"/>
                <w:lang w:eastAsia="lv-LV"/>
              </w:rPr>
              <w:t>perlamutrene</w:t>
            </w:r>
            <w:proofErr w:type="spellEnd"/>
          </w:p>
        </w:tc>
        <w:tc>
          <w:tcPr>
            <w:tcW w:w="2410" w:type="dxa"/>
            <w:shd w:val="clear" w:color="auto" w:fill="auto"/>
            <w:noWrap/>
            <w:vAlign w:val="center"/>
          </w:tcPr>
          <w:p w14:paraId="120FF9FB" w14:textId="77777777" w:rsidR="009072CE" w:rsidRPr="00A07F29" w:rsidRDefault="009072CE" w:rsidP="009072CE">
            <w:pPr>
              <w:spacing w:after="0" w:line="240" w:lineRule="auto"/>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Bieži</w:t>
            </w:r>
          </w:p>
        </w:tc>
      </w:tr>
    </w:tbl>
    <w:p w14:paraId="0038AD72" w14:textId="75B0122E" w:rsidR="009072CE" w:rsidRPr="00A07F29" w:rsidRDefault="009072CE" w:rsidP="00C96B50">
      <w:pPr>
        <w:autoSpaceDE w:val="0"/>
        <w:autoSpaceDN w:val="0"/>
        <w:adjustRightInd w:val="0"/>
        <w:spacing w:before="120" w:after="0" w:line="240" w:lineRule="auto"/>
        <w:jc w:val="both"/>
        <w:rPr>
          <w:rFonts w:ascii="Times New Roman" w:eastAsia="Times New Roman" w:hAnsi="Times New Roman" w:cs="Calibri"/>
          <w:sz w:val="20"/>
          <w:szCs w:val="20"/>
          <w:lang w:eastAsia="lv-LV"/>
        </w:rPr>
      </w:pPr>
      <w:r w:rsidRPr="00A07F29">
        <w:rPr>
          <w:rFonts w:ascii="Times New Roman" w:eastAsia="Times New Roman" w:hAnsi="Times New Roman" w:cs="Times New Roman"/>
          <w:spacing w:val="-1"/>
          <w:sz w:val="20"/>
          <w:szCs w:val="20"/>
          <w:lang w:eastAsia="lv-LV"/>
        </w:rPr>
        <w:t xml:space="preserve">* </w:t>
      </w:r>
      <w:r w:rsidRPr="00A07F29">
        <w:rPr>
          <w:rFonts w:ascii="Times New Roman" w:eastAsia="Times New Roman" w:hAnsi="Times New Roman" w:cs="Calibri"/>
          <w:sz w:val="20"/>
          <w:szCs w:val="20"/>
          <w:lang w:eastAsia="lv-LV"/>
        </w:rPr>
        <w:t xml:space="preserve">Rudzīte M., </w:t>
      </w:r>
      <w:proofErr w:type="spellStart"/>
      <w:r w:rsidRPr="00A07F29">
        <w:rPr>
          <w:rFonts w:ascii="Times New Roman" w:eastAsia="Times New Roman" w:hAnsi="Times New Roman" w:cs="Calibri"/>
          <w:sz w:val="20"/>
          <w:szCs w:val="20"/>
          <w:lang w:eastAsia="lv-LV"/>
        </w:rPr>
        <w:t>Boikova</w:t>
      </w:r>
      <w:proofErr w:type="spellEnd"/>
      <w:r w:rsidRPr="00A07F29">
        <w:rPr>
          <w:rFonts w:ascii="Times New Roman" w:eastAsia="Times New Roman" w:hAnsi="Times New Roman" w:cs="Calibri"/>
          <w:sz w:val="20"/>
          <w:szCs w:val="20"/>
          <w:lang w:eastAsia="lv-LV"/>
        </w:rPr>
        <w:t xml:space="preserve"> E., </w:t>
      </w:r>
      <w:proofErr w:type="spellStart"/>
      <w:r w:rsidRPr="00A07F29">
        <w:rPr>
          <w:rFonts w:ascii="Times New Roman" w:eastAsia="Times New Roman" w:hAnsi="Times New Roman" w:cs="Calibri"/>
          <w:sz w:val="20"/>
          <w:szCs w:val="20"/>
          <w:lang w:eastAsia="lv-LV"/>
        </w:rPr>
        <w:t>Dreijers</w:t>
      </w:r>
      <w:proofErr w:type="spellEnd"/>
      <w:r w:rsidRPr="00A07F29">
        <w:rPr>
          <w:rFonts w:ascii="Times New Roman" w:eastAsia="Times New Roman" w:hAnsi="Times New Roman" w:cs="Calibri"/>
          <w:sz w:val="20"/>
          <w:szCs w:val="20"/>
          <w:lang w:eastAsia="lv-LV"/>
        </w:rPr>
        <w:t xml:space="preserve"> E., Jakubāne I., </w:t>
      </w:r>
      <w:proofErr w:type="spellStart"/>
      <w:r w:rsidRPr="00A07F29">
        <w:rPr>
          <w:rFonts w:ascii="Times New Roman" w:eastAsia="Times New Roman" w:hAnsi="Times New Roman" w:cs="Calibri"/>
          <w:sz w:val="20"/>
          <w:szCs w:val="20"/>
          <w:lang w:eastAsia="lv-LV"/>
        </w:rPr>
        <w:t>Jermakovs</w:t>
      </w:r>
      <w:proofErr w:type="spellEnd"/>
      <w:r w:rsidRPr="00A07F29">
        <w:rPr>
          <w:rFonts w:ascii="Times New Roman" w:eastAsia="Times New Roman" w:hAnsi="Times New Roman" w:cs="Calibri"/>
          <w:sz w:val="20"/>
          <w:szCs w:val="20"/>
          <w:lang w:eastAsia="lv-LV"/>
        </w:rPr>
        <w:t xml:space="preserve"> V., </w:t>
      </w:r>
      <w:proofErr w:type="spellStart"/>
      <w:r w:rsidRPr="00A07F29">
        <w:rPr>
          <w:rFonts w:ascii="Times New Roman" w:eastAsia="Times New Roman" w:hAnsi="Times New Roman" w:cs="Calibri"/>
          <w:sz w:val="20"/>
          <w:szCs w:val="20"/>
          <w:lang w:eastAsia="lv-LV"/>
        </w:rPr>
        <w:t>Parele</w:t>
      </w:r>
      <w:proofErr w:type="spellEnd"/>
      <w:r w:rsidRPr="00A07F29">
        <w:rPr>
          <w:rFonts w:ascii="Times New Roman" w:eastAsia="Times New Roman" w:hAnsi="Times New Roman" w:cs="Calibri"/>
          <w:sz w:val="20"/>
          <w:szCs w:val="20"/>
          <w:lang w:eastAsia="lv-LV"/>
        </w:rPr>
        <w:t xml:space="preserve"> E., </w:t>
      </w:r>
      <w:proofErr w:type="spellStart"/>
      <w:r w:rsidRPr="00A07F29">
        <w:rPr>
          <w:rFonts w:ascii="Times New Roman" w:eastAsia="Times New Roman" w:hAnsi="Times New Roman" w:cs="Calibri"/>
          <w:sz w:val="20"/>
          <w:szCs w:val="20"/>
          <w:lang w:eastAsia="lv-LV"/>
        </w:rPr>
        <w:t>Pilāte</w:t>
      </w:r>
      <w:proofErr w:type="spellEnd"/>
      <w:r w:rsidRPr="00A07F29">
        <w:rPr>
          <w:rFonts w:ascii="Times New Roman" w:eastAsia="Times New Roman" w:hAnsi="Times New Roman" w:cs="Calibri"/>
          <w:sz w:val="20"/>
          <w:szCs w:val="20"/>
          <w:lang w:eastAsia="lv-LV"/>
        </w:rPr>
        <w:t xml:space="preserve"> D., Rudzītis M. 2018. </w:t>
      </w:r>
      <w:proofErr w:type="spellStart"/>
      <w:r w:rsidRPr="00A07F29">
        <w:rPr>
          <w:rFonts w:ascii="Times New Roman" w:eastAsia="Times New Roman" w:hAnsi="Times New Roman" w:cs="Calibri"/>
          <w:sz w:val="20"/>
          <w:szCs w:val="20"/>
          <w:lang w:eastAsia="lv-LV"/>
        </w:rPr>
        <w:t>Distribution</w:t>
      </w:r>
      <w:proofErr w:type="spellEnd"/>
      <w:r w:rsidRPr="00A07F29">
        <w:rPr>
          <w:rFonts w:ascii="Times New Roman" w:eastAsia="Times New Roman" w:hAnsi="Times New Roman" w:cs="Calibri"/>
          <w:sz w:val="20"/>
          <w:szCs w:val="20"/>
          <w:lang w:eastAsia="lv-LV"/>
        </w:rPr>
        <w:t xml:space="preserve"> </w:t>
      </w:r>
      <w:proofErr w:type="spellStart"/>
      <w:r w:rsidRPr="00A07F29">
        <w:rPr>
          <w:rFonts w:ascii="Times New Roman" w:eastAsia="Times New Roman" w:hAnsi="Times New Roman" w:cs="Calibri"/>
          <w:sz w:val="20"/>
          <w:szCs w:val="20"/>
          <w:lang w:eastAsia="lv-LV"/>
        </w:rPr>
        <w:t>and</w:t>
      </w:r>
      <w:proofErr w:type="spellEnd"/>
      <w:r w:rsidRPr="00A07F29">
        <w:rPr>
          <w:rFonts w:ascii="Times New Roman" w:eastAsia="Times New Roman" w:hAnsi="Times New Roman" w:cs="Calibri"/>
          <w:sz w:val="20"/>
          <w:szCs w:val="20"/>
          <w:lang w:eastAsia="lv-LV"/>
        </w:rPr>
        <w:t xml:space="preserve"> </w:t>
      </w:r>
      <w:proofErr w:type="spellStart"/>
      <w:r w:rsidRPr="00A07F29">
        <w:rPr>
          <w:rFonts w:ascii="Times New Roman" w:eastAsia="Times New Roman" w:hAnsi="Times New Roman" w:cs="Calibri"/>
          <w:sz w:val="20"/>
          <w:szCs w:val="20"/>
          <w:lang w:eastAsia="lv-LV"/>
        </w:rPr>
        <w:t>protection</w:t>
      </w:r>
      <w:proofErr w:type="spellEnd"/>
      <w:r w:rsidRPr="00A07F29">
        <w:rPr>
          <w:rFonts w:ascii="Times New Roman" w:eastAsia="Times New Roman" w:hAnsi="Times New Roman" w:cs="Calibri"/>
          <w:sz w:val="20"/>
          <w:szCs w:val="20"/>
          <w:lang w:eastAsia="lv-LV"/>
        </w:rPr>
        <w:t xml:space="preserve"> </w:t>
      </w:r>
      <w:proofErr w:type="spellStart"/>
      <w:r w:rsidRPr="00A07F29">
        <w:rPr>
          <w:rFonts w:ascii="Times New Roman" w:eastAsia="Times New Roman" w:hAnsi="Times New Roman" w:cs="Calibri"/>
          <w:sz w:val="20"/>
          <w:szCs w:val="20"/>
          <w:lang w:eastAsia="lv-LV"/>
        </w:rPr>
        <w:t>of</w:t>
      </w:r>
      <w:proofErr w:type="spellEnd"/>
      <w:r w:rsidRPr="00A07F29">
        <w:rPr>
          <w:rFonts w:ascii="Times New Roman" w:eastAsia="Times New Roman" w:hAnsi="Times New Roman" w:cs="Calibri"/>
          <w:sz w:val="20"/>
          <w:szCs w:val="20"/>
          <w:lang w:eastAsia="lv-LV"/>
        </w:rPr>
        <w:t xml:space="preserve"> </w:t>
      </w:r>
      <w:proofErr w:type="spellStart"/>
      <w:r w:rsidRPr="00A07F29">
        <w:rPr>
          <w:rFonts w:ascii="Times New Roman" w:eastAsia="Times New Roman" w:hAnsi="Times New Roman" w:cs="Calibri"/>
          <w:sz w:val="20"/>
          <w:szCs w:val="20"/>
          <w:lang w:eastAsia="lv-LV"/>
        </w:rPr>
        <w:t>the</w:t>
      </w:r>
      <w:proofErr w:type="spellEnd"/>
      <w:r w:rsidRPr="00A07F29">
        <w:rPr>
          <w:rFonts w:ascii="Times New Roman" w:eastAsia="Times New Roman" w:hAnsi="Times New Roman" w:cs="Calibri"/>
          <w:sz w:val="20"/>
          <w:szCs w:val="20"/>
          <w:lang w:eastAsia="lv-LV"/>
        </w:rPr>
        <w:t xml:space="preserve"> </w:t>
      </w:r>
      <w:proofErr w:type="spellStart"/>
      <w:r w:rsidRPr="00A07F29">
        <w:rPr>
          <w:rFonts w:ascii="Times New Roman" w:eastAsia="Times New Roman" w:hAnsi="Times New Roman" w:cs="Calibri"/>
          <w:sz w:val="20"/>
          <w:szCs w:val="20"/>
          <w:lang w:eastAsia="lv-LV"/>
        </w:rPr>
        <w:t>molluscs</w:t>
      </w:r>
      <w:proofErr w:type="spellEnd"/>
      <w:r w:rsidRPr="00A07F29">
        <w:rPr>
          <w:rFonts w:ascii="Times New Roman" w:eastAsia="Times New Roman" w:hAnsi="Times New Roman" w:cs="Calibri"/>
          <w:sz w:val="20"/>
          <w:szCs w:val="20"/>
          <w:lang w:eastAsia="lv-LV"/>
        </w:rPr>
        <w:t xml:space="preserve"> </w:t>
      </w:r>
      <w:proofErr w:type="spellStart"/>
      <w:r w:rsidRPr="00A07F29">
        <w:rPr>
          <w:rFonts w:ascii="Times New Roman" w:eastAsia="Times New Roman" w:hAnsi="Times New Roman" w:cs="Calibri"/>
          <w:sz w:val="20"/>
          <w:szCs w:val="20"/>
          <w:lang w:eastAsia="lv-LV"/>
        </w:rPr>
        <w:t>of</w:t>
      </w:r>
      <w:proofErr w:type="spellEnd"/>
      <w:r w:rsidRPr="00A07F29">
        <w:rPr>
          <w:rFonts w:ascii="Times New Roman" w:eastAsia="Times New Roman" w:hAnsi="Times New Roman" w:cs="Calibri"/>
          <w:sz w:val="20"/>
          <w:szCs w:val="20"/>
          <w:lang w:eastAsia="lv-LV"/>
        </w:rPr>
        <w:t xml:space="preserve"> Latvia. </w:t>
      </w:r>
      <w:proofErr w:type="spellStart"/>
      <w:r w:rsidRPr="00A07F29">
        <w:rPr>
          <w:rFonts w:ascii="Times New Roman" w:eastAsia="Times New Roman" w:hAnsi="Times New Roman" w:cs="Calibri"/>
          <w:i/>
          <w:sz w:val="20"/>
          <w:szCs w:val="20"/>
          <w:lang w:eastAsia="lv-LV"/>
        </w:rPr>
        <w:t>Schr.Malakozool</w:t>
      </w:r>
      <w:proofErr w:type="spellEnd"/>
      <w:r w:rsidRPr="00A07F29">
        <w:rPr>
          <w:rFonts w:ascii="Times New Roman" w:eastAsia="Times New Roman" w:hAnsi="Times New Roman" w:cs="Calibri"/>
          <w:i/>
          <w:sz w:val="20"/>
          <w:szCs w:val="20"/>
          <w:lang w:eastAsia="lv-LV"/>
        </w:rPr>
        <w:t xml:space="preserve">. </w:t>
      </w:r>
      <w:r w:rsidRPr="00A07F29">
        <w:rPr>
          <w:rFonts w:ascii="Times New Roman" w:eastAsia="Times New Roman" w:hAnsi="Times New Roman" w:cs="Calibri"/>
          <w:sz w:val="20"/>
          <w:szCs w:val="20"/>
          <w:lang w:eastAsia="lv-LV"/>
        </w:rPr>
        <w:t>30: 19-28</w:t>
      </w:r>
    </w:p>
    <w:p w14:paraId="7EB65F8D" w14:textId="77777777" w:rsidR="00C96B50" w:rsidRPr="00A07F29" w:rsidRDefault="00C96B50" w:rsidP="00C96B50">
      <w:pPr>
        <w:autoSpaceDE w:val="0"/>
        <w:autoSpaceDN w:val="0"/>
        <w:adjustRightInd w:val="0"/>
        <w:spacing w:before="120" w:after="0" w:line="240" w:lineRule="auto"/>
        <w:jc w:val="both"/>
        <w:rPr>
          <w:rFonts w:ascii="Times New Roman" w:eastAsia="Times New Roman" w:hAnsi="Times New Roman" w:cs="Times New Roman"/>
          <w:spacing w:val="-1"/>
          <w:sz w:val="20"/>
          <w:szCs w:val="20"/>
          <w:lang w:eastAsia="lv-LV"/>
        </w:rPr>
      </w:pPr>
    </w:p>
    <w:p w14:paraId="7950C955" w14:textId="79F033AF" w:rsidR="009072CE" w:rsidRPr="00A07F29" w:rsidRDefault="009072CE" w:rsidP="00C96B50">
      <w:pPr>
        <w:spacing w:after="120" w:line="240" w:lineRule="auto"/>
        <w:ind w:firstLine="851"/>
        <w:jc w:val="both"/>
        <w:rPr>
          <w:rFonts w:ascii="Times New Roman" w:eastAsia="Calibri" w:hAnsi="Times New Roman" w:cs="Calibri"/>
          <w:iCs/>
          <w:sz w:val="24"/>
        </w:rPr>
      </w:pPr>
      <w:r w:rsidRPr="00A07F29">
        <w:rPr>
          <w:rFonts w:ascii="Times New Roman" w:eastAsia="Calibri" w:hAnsi="Times New Roman" w:cs="Calibri"/>
          <w:sz w:val="24"/>
        </w:rPr>
        <w:t>AAA “Augšdaugava” ir sastopamas 20 gliemju sugas ar dabas aizsardzības nozīmi (</w:t>
      </w:r>
      <w:r w:rsidR="006F069F">
        <w:rPr>
          <w:rFonts w:ascii="Times New Roman" w:eastAsia="Calibri" w:hAnsi="Times New Roman" w:cs="Calibri"/>
          <w:sz w:val="24"/>
        </w:rPr>
        <w:t xml:space="preserve">skat. </w:t>
      </w:r>
      <w:r w:rsidRPr="00A07F29">
        <w:rPr>
          <w:rFonts w:ascii="Times New Roman" w:eastAsia="Calibri" w:hAnsi="Times New Roman" w:cs="Calibri"/>
          <w:sz w:val="24"/>
        </w:rPr>
        <w:t>4.</w:t>
      </w:r>
      <w:r w:rsidR="00C96B50" w:rsidRPr="00A07F29">
        <w:rPr>
          <w:rFonts w:ascii="Times New Roman" w:eastAsia="Calibri" w:hAnsi="Times New Roman" w:cs="Calibri"/>
          <w:sz w:val="24"/>
        </w:rPr>
        <w:t>7</w:t>
      </w:r>
      <w:r w:rsidRPr="00A07F29">
        <w:rPr>
          <w:rFonts w:ascii="Times New Roman" w:eastAsia="Calibri" w:hAnsi="Times New Roman" w:cs="Calibri"/>
          <w:sz w:val="24"/>
        </w:rPr>
        <w:t>.2.2.</w:t>
      </w:r>
      <w:r w:rsidR="00C96B50" w:rsidRPr="00A07F29">
        <w:rPr>
          <w:rFonts w:ascii="Times New Roman" w:eastAsia="Calibri" w:hAnsi="Times New Roman" w:cs="Calibri"/>
          <w:sz w:val="24"/>
        </w:rPr>
        <w:t> </w:t>
      </w:r>
      <w:r w:rsidRPr="00A07F29">
        <w:rPr>
          <w:rFonts w:ascii="Times New Roman" w:eastAsia="Calibri" w:hAnsi="Times New Roman" w:cs="Calibri"/>
          <w:sz w:val="24"/>
        </w:rPr>
        <w:t>tab</w:t>
      </w:r>
      <w:r w:rsidR="006F069F">
        <w:rPr>
          <w:rFonts w:ascii="Times New Roman" w:eastAsia="Calibri" w:hAnsi="Times New Roman" w:cs="Calibri"/>
          <w:sz w:val="24"/>
        </w:rPr>
        <w:t>ula</w:t>
      </w:r>
      <w:r w:rsidRPr="00A07F29">
        <w:rPr>
          <w:rFonts w:ascii="Times New Roman" w:eastAsia="Calibri" w:hAnsi="Times New Roman" w:cs="Calibri"/>
          <w:sz w:val="24"/>
        </w:rPr>
        <w:t xml:space="preserve">). No tām četras sugas – </w:t>
      </w:r>
      <w:proofErr w:type="spellStart"/>
      <w:r w:rsidRPr="00A07F29">
        <w:rPr>
          <w:rFonts w:ascii="Times New Roman" w:eastAsia="Calibri" w:hAnsi="Times New Roman" w:cs="Calibri"/>
          <w:i/>
          <w:sz w:val="24"/>
        </w:rPr>
        <w:t>Helix</w:t>
      </w:r>
      <w:proofErr w:type="spellEnd"/>
      <w:r w:rsidRPr="00A07F29">
        <w:rPr>
          <w:rFonts w:ascii="Times New Roman" w:eastAsia="Calibri" w:hAnsi="Times New Roman" w:cs="Calibri"/>
          <w:i/>
          <w:sz w:val="24"/>
        </w:rPr>
        <w:t xml:space="preserve"> </w:t>
      </w:r>
      <w:proofErr w:type="spellStart"/>
      <w:r w:rsidRPr="00A07F29">
        <w:rPr>
          <w:rFonts w:ascii="Times New Roman" w:eastAsia="Calibri" w:hAnsi="Times New Roman" w:cs="Calibri"/>
          <w:i/>
          <w:sz w:val="24"/>
        </w:rPr>
        <w:t>pomatia</w:t>
      </w:r>
      <w:proofErr w:type="spellEnd"/>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i/>
          <w:sz w:val="24"/>
        </w:rPr>
        <w:t>Unio</w:t>
      </w:r>
      <w:proofErr w:type="spellEnd"/>
      <w:r w:rsidRPr="00A07F29">
        <w:rPr>
          <w:rFonts w:ascii="Times New Roman" w:eastAsia="Calibri" w:hAnsi="Times New Roman" w:cs="Calibri"/>
          <w:i/>
          <w:sz w:val="24"/>
        </w:rPr>
        <w:t xml:space="preserve"> </w:t>
      </w:r>
      <w:proofErr w:type="spellStart"/>
      <w:r w:rsidRPr="00A07F29">
        <w:rPr>
          <w:rFonts w:ascii="Times New Roman" w:eastAsia="Calibri" w:hAnsi="Times New Roman" w:cs="Calibri"/>
          <w:i/>
          <w:sz w:val="24"/>
        </w:rPr>
        <w:t>crassus</w:t>
      </w:r>
      <w:proofErr w:type="spellEnd"/>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i/>
          <w:sz w:val="24"/>
        </w:rPr>
        <w:t>Vertigo</w:t>
      </w:r>
      <w:proofErr w:type="spellEnd"/>
      <w:r w:rsidRPr="00A07F29">
        <w:rPr>
          <w:rFonts w:ascii="Times New Roman" w:eastAsia="Calibri" w:hAnsi="Times New Roman" w:cs="Calibri"/>
          <w:i/>
          <w:sz w:val="24"/>
        </w:rPr>
        <w:t xml:space="preserve"> </w:t>
      </w:r>
      <w:proofErr w:type="spellStart"/>
      <w:r w:rsidRPr="00A07F29">
        <w:rPr>
          <w:rFonts w:ascii="Times New Roman" w:eastAsia="Calibri" w:hAnsi="Times New Roman" w:cs="Calibri"/>
          <w:i/>
          <w:sz w:val="24"/>
        </w:rPr>
        <w:t>angustior</w:t>
      </w:r>
      <w:proofErr w:type="spellEnd"/>
      <w:r w:rsidRPr="00A07F29">
        <w:rPr>
          <w:rFonts w:ascii="Times New Roman" w:eastAsia="Calibri" w:hAnsi="Times New Roman" w:cs="Calibri"/>
          <w:sz w:val="24"/>
        </w:rPr>
        <w:t xml:space="preserve"> un </w:t>
      </w:r>
      <w:proofErr w:type="spellStart"/>
      <w:r w:rsidRPr="00A07F29">
        <w:rPr>
          <w:rFonts w:ascii="Times New Roman" w:eastAsia="Calibri" w:hAnsi="Times New Roman" w:cs="Calibri"/>
          <w:i/>
          <w:sz w:val="24"/>
        </w:rPr>
        <w:t>V</w:t>
      </w:r>
      <w:r w:rsidRPr="00A07F29">
        <w:rPr>
          <w:rFonts w:ascii="Times New Roman" w:eastAsia="Calibri" w:hAnsi="Times New Roman" w:cs="Calibri"/>
          <w:sz w:val="24"/>
        </w:rPr>
        <w:t>.</w:t>
      </w:r>
      <w:r w:rsidRPr="00A07F29">
        <w:rPr>
          <w:rFonts w:ascii="Times New Roman" w:eastAsia="Calibri" w:hAnsi="Times New Roman" w:cs="Calibri"/>
          <w:i/>
          <w:sz w:val="24"/>
        </w:rPr>
        <w:t>geyeri</w:t>
      </w:r>
      <w:proofErr w:type="spellEnd"/>
      <w:r w:rsidRPr="00A07F29">
        <w:rPr>
          <w:rFonts w:ascii="Times New Roman" w:eastAsia="Calibri" w:hAnsi="Times New Roman" w:cs="Calibri"/>
          <w:sz w:val="24"/>
        </w:rPr>
        <w:t xml:space="preserve"> ir ierakstītas </w:t>
      </w:r>
      <w:r w:rsidR="00013590" w:rsidRPr="00A07F29">
        <w:rPr>
          <w:rFonts w:ascii="Times New Roman" w:eastAsia="Calibri" w:hAnsi="Times New Roman" w:cs="Calibri"/>
          <w:sz w:val="24"/>
        </w:rPr>
        <w:t>Biotopu direktīvas</w:t>
      </w:r>
      <w:r w:rsidRPr="00A07F29">
        <w:rPr>
          <w:rFonts w:ascii="Times New Roman" w:eastAsia="Calibri" w:hAnsi="Times New Roman" w:cs="Calibri"/>
          <w:sz w:val="24"/>
        </w:rPr>
        <w:t xml:space="preserve"> II, IV un V pielikumā.</w:t>
      </w:r>
      <w:r w:rsidR="00D65BBA" w:rsidRPr="00A07F29">
        <w:rPr>
          <w:rFonts w:ascii="Times New Roman" w:eastAsia="Calibri" w:hAnsi="Times New Roman" w:cs="Calibri"/>
          <w:sz w:val="24"/>
        </w:rPr>
        <w:t xml:space="preserve"> </w:t>
      </w:r>
      <w:r w:rsidRPr="00A07F29">
        <w:rPr>
          <w:rFonts w:ascii="Times New Roman" w:eastAsia="Calibri" w:hAnsi="Times New Roman" w:cs="Calibri"/>
          <w:sz w:val="24"/>
        </w:rPr>
        <w:t xml:space="preserve">Parka vīngliemezis ir ierakstīts arī Bernes konvencijas III pielikumā. Biotopu direktīvas II pielikumā ierakstītās gliemju sugas ir </w:t>
      </w:r>
      <w:r w:rsidRPr="00DE79BE">
        <w:rPr>
          <w:rFonts w:ascii="Times New Roman" w:eastAsia="Calibri" w:hAnsi="Times New Roman" w:cs="Calibri"/>
          <w:sz w:val="24"/>
        </w:rPr>
        <w:t xml:space="preserve">Latvijā īpaši aizsargājamas sugas, kuras ir arī mikroliegumu sugas. Bez šīm sugām teritorijā ir sastopamas vēl 13 īpaši aizsargājamās sugas, no kurām </w:t>
      </w:r>
      <w:proofErr w:type="spellStart"/>
      <w:r w:rsidRPr="00DE79BE">
        <w:rPr>
          <w:rFonts w:ascii="Times New Roman" w:eastAsia="Calibri" w:hAnsi="Times New Roman" w:cs="Calibri"/>
          <w:sz w:val="24"/>
        </w:rPr>
        <w:t>asribu</w:t>
      </w:r>
      <w:proofErr w:type="spellEnd"/>
      <w:r w:rsidRPr="00DE79BE">
        <w:rPr>
          <w:rFonts w:ascii="Times New Roman" w:eastAsia="Calibri" w:hAnsi="Times New Roman" w:cs="Calibri"/>
          <w:sz w:val="24"/>
        </w:rPr>
        <w:t xml:space="preserve"> </w:t>
      </w:r>
      <w:proofErr w:type="spellStart"/>
      <w:r w:rsidRPr="00DE79BE">
        <w:rPr>
          <w:rFonts w:ascii="Times New Roman" w:eastAsia="Calibri" w:hAnsi="Times New Roman" w:cs="Calibri"/>
          <w:sz w:val="24"/>
        </w:rPr>
        <w:t>vārpstiņgliemezis</w:t>
      </w:r>
      <w:proofErr w:type="spellEnd"/>
      <w:r w:rsidRPr="00DE79BE">
        <w:rPr>
          <w:rFonts w:ascii="Times New Roman" w:eastAsia="Calibri" w:hAnsi="Times New Roman" w:cs="Calibri"/>
          <w:sz w:val="24"/>
        </w:rPr>
        <w:t xml:space="preserve"> </w:t>
      </w:r>
      <w:proofErr w:type="spellStart"/>
      <w:r w:rsidRPr="00DE79BE">
        <w:rPr>
          <w:rFonts w:ascii="Times New Roman" w:eastAsia="Calibri" w:hAnsi="Times New Roman" w:cs="Calibri"/>
          <w:i/>
          <w:sz w:val="24"/>
        </w:rPr>
        <w:t>Clausilia</w:t>
      </w:r>
      <w:proofErr w:type="spellEnd"/>
      <w:r w:rsidRPr="00DE79BE">
        <w:rPr>
          <w:rFonts w:ascii="Times New Roman" w:eastAsia="Calibri" w:hAnsi="Times New Roman" w:cs="Calibri"/>
          <w:i/>
          <w:sz w:val="24"/>
        </w:rPr>
        <w:t xml:space="preserve"> </w:t>
      </w:r>
      <w:proofErr w:type="spellStart"/>
      <w:r w:rsidRPr="00DE79BE">
        <w:rPr>
          <w:rFonts w:ascii="Times New Roman" w:eastAsia="Calibri" w:hAnsi="Times New Roman" w:cs="Calibri"/>
          <w:i/>
          <w:sz w:val="24"/>
        </w:rPr>
        <w:t>cruciate</w:t>
      </w:r>
      <w:proofErr w:type="spellEnd"/>
      <w:r w:rsidRPr="00A07F29">
        <w:rPr>
          <w:rFonts w:ascii="Times New Roman" w:eastAsia="Calibri" w:hAnsi="Times New Roman" w:cs="Calibri"/>
          <w:sz w:val="24"/>
        </w:rPr>
        <w:t xml:space="preserve"> un </w:t>
      </w:r>
      <w:proofErr w:type="spellStart"/>
      <w:r w:rsidRPr="00A07F29">
        <w:rPr>
          <w:rFonts w:ascii="Times New Roman" w:eastAsia="Calibri" w:hAnsi="Times New Roman" w:cs="Calibri"/>
          <w:sz w:val="24"/>
        </w:rPr>
        <w:t>liellūpas</w:t>
      </w:r>
      <w:proofErr w:type="spellEnd"/>
      <w:r w:rsidRPr="00A07F29">
        <w:rPr>
          <w:rFonts w:ascii="Times New Roman" w:eastAsia="Calibri" w:hAnsi="Times New Roman" w:cs="Calibri"/>
          <w:sz w:val="24"/>
        </w:rPr>
        <w:t xml:space="preserve"> vīngliemezis </w:t>
      </w:r>
      <w:proofErr w:type="spellStart"/>
      <w:r w:rsidRPr="00A07F29">
        <w:rPr>
          <w:rFonts w:ascii="Times New Roman" w:eastAsia="Calibri" w:hAnsi="Times New Roman" w:cs="Calibri"/>
          <w:i/>
          <w:sz w:val="24"/>
        </w:rPr>
        <w:t>Isognomostoma</w:t>
      </w:r>
      <w:proofErr w:type="spellEnd"/>
      <w:r w:rsidRPr="00A07F29">
        <w:rPr>
          <w:rFonts w:ascii="Times New Roman" w:eastAsia="Calibri" w:hAnsi="Times New Roman" w:cs="Calibri"/>
          <w:i/>
          <w:sz w:val="24"/>
        </w:rPr>
        <w:t xml:space="preserve"> </w:t>
      </w:r>
      <w:proofErr w:type="spellStart"/>
      <w:r w:rsidRPr="00A07F29">
        <w:rPr>
          <w:rFonts w:ascii="Times New Roman" w:eastAsia="Calibri" w:hAnsi="Times New Roman" w:cs="Calibri"/>
          <w:i/>
          <w:sz w:val="24"/>
        </w:rPr>
        <w:t>isognomostomus</w:t>
      </w:r>
      <w:proofErr w:type="spellEnd"/>
      <w:r w:rsidRPr="00A07F29">
        <w:rPr>
          <w:rFonts w:ascii="Times New Roman" w:eastAsia="Calibri" w:hAnsi="Times New Roman" w:cs="Calibri"/>
          <w:sz w:val="24"/>
        </w:rPr>
        <w:t xml:space="preserve"> ir mikroliegumu sugas. Trīs sugas – </w:t>
      </w:r>
      <w:proofErr w:type="spellStart"/>
      <w:r w:rsidRPr="00A07F29">
        <w:rPr>
          <w:rFonts w:ascii="Times New Roman" w:eastAsia="Calibri" w:hAnsi="Times New Roman" w:cs="Calibri"/>
          <w:i/>
          <w:iCs/>
          <w:sz w:val="24"/>
        </w:rPr>
        <w:t>Gyraulus</w:t>
      </w:r>
      <w:proofErr w:type="spellEnd"/>
      <w:r w:rsidRPr="00A07F29">
        <w:rPr>
          <w:rFonts w:ascii="Times New Roman" w:eastAsia="Calibri" w:hAnsi="Times New Roman" w:cs="Calibri"/>
          <w:i/>
          <w:iCs/>
          <w:sz w:val="24"/>
        </w:rPr>
        <w:t xml:space="preserve"> </w:t>
      </w:r>
      <w:proofErr w:type="spellStart"/>
      <w:r w:rsidRPr="00A07F29">
        <w:rPr>
          <w:rFonts w:ascii="Times New Roman" w:eastAsia="Calibri" w:hAnsi="Times New Roman" w:cs="Calibri"/>
          <w:i/>
          <w:iCs/>
          <w:sz w:val="24"/>
        </w:rPr>
        <w:t>crista</w:t>
      </w:r>
      <w:proofErr w:type="spellEnd"/>
      <w:r w:rsidRPr="00A07F29">
        <w:rPr>
          <w:rFonts w:ascii="Times New Roman" w:eastAsia="Calibri" w:hAnsi="Times New Roman" w:cs="Calibri"/>
          <w:iCs/>
          <w:sz w:val="24"/>
        </w:rPr>
        <w:t xml:space="preserve">, </w:t>
      </w:r>
      <w:proofErr w:type="spellStart"/>
      <w:r w:rsidRPr="00A07F29">
        <w:rPr>
          <w:rFonts w:ascii="Times New Roman" w:eastAsia="Calibri" w:hAnsi="Times New Roman" w:cs="Calibri"/>
          <w:i/>
          <w:iCs/>
          <w:sz w:val="24"/>
        </w:rPr>
        <w:t>Pseuanodonta</w:t>
      </w:r>
      <w:proofErr w:type="spellEnd"/>
      <w:r w:rsidRPr="00A07F29">
        <w:rPr>
          <w:rFonts w:ascii="Times New Roman" w:eastAsia="Calibri" w:hAnsi="Times New Roman" w:cs="Calibri"/>
          <w:i/>
          <w:iCs/>
          <w:sz w:val="24"/>
        </w:rPr>
        <w:t xml:space="preserve"> </w:t>
      </w:r>
      <w:proofErr w:type="spellStart"/>
      <w:r w:rsidRPr="00A07F29">
        <w:rPr>
          <w:rFonts w:ascii="Times New Roman" w:eastAsia="Calibri" w:hAnsi="Times New Roman" w:cs="Calibri"/>
          <w:i/>
          <w:iCs/>
          <w:sz w:val="24"/>
        </w:rPr>
        <w:t>complanata</w:t>
      </w:r>
      <w:proofErr w:type="spellEnd"/>
      <w:r w:rsidRPr="00A07F29">
        <w:rPr>
          <w:rFonts w:ascii="Times New Roman" w:eastAsia="Calibri" w:hAnsi="Times New Roman" w:cs="Calibri"/>
          <w:iCs/>
          <w:sz w:val="24"/>
        </w:rPr>
        <w:t xml:space="preserve">, </w:t>
      </w:r>
      <w:proofErr w:type="spellStart"/>
      <w:r w:rsidRPr="00A07F29">
        <w:rPr>
          <w:rFonts w:ascii="Times New Roman" w:eastAsia="Calibri" w:hAnsi="Times New Roman" w:cs="Calibri"/>
          <w:i/>
          <w:iCs/>
          <w:sz w:val="24"/>
        </w:rPr>
        <w:t>Vertigo</w:t>
      </w:r>
      <w:proofErr w:type="spellEnd"/>
      <w:r w:rsidRPr="00A07F29">
        <w:rPr>
          <w:rFonts w:ascii="Times New Roman" w:eastAsia="Calibri" w:hAnsi="Times New Roman" w:cs="Calibri"/>
          <w:i/>
          <w:iCs/>
          <w:sz w:val="24"/>
        </w:rPr>
        <w:t xml:space="preserve"> </w:t>
      </w:r>
      <w:proofErr w:type="spellStart"/>
      <w:r w:rsidRPr="00A07F29">
        <w:rPr>
          <w:rFonts w:ascii="Times New Roman" w:eastAsia="Calibri" w:hAnsi="Times New Roman" w:cs="Calibri"/>
          <w:i/>
          <w:iCs/>
          <w:sz w:val="24"/>
        </w:rPr>
        <w:t>ronnebyensis</w:t>
      </w:r>
      <w:proofErr w:type="spellEnd"/>
      <w:r w:rsidRPr="00A07F29">
        <w:rPr>
          <w:rFonts w:ascii="Times New Roman" w:eastAsia="Calibri" w:hAnsi="Times New Roman" w:cs="Calibri"/>
          <w:iCs/>
          <w:sz w:val="24"/>
        </w:rPr>
        <w:t xml:space="preserve"> Latvijā ir ierakstītas aktualizētajā apdraudēto un reti sastopamo sugu sarakstā (Rudzīte</w:t>
      </w:r>
      <w:r w:rsidR="00885F54">
        <w:rPr>
          <w:rFonts w:ascii="Times New Roman" w:eastAsia="Calibri" w:hAnsi="Times New Roman" w:cs="Calibri"/>
          <w:iCs/>
          <w:sz w:val="24"/>
        </w:rPr>
        <w:t xml:space="preserve"> M.,</w:t>
      </w:r>
      <w:r w:rsidRPr="00A07F29">
        <w:rPr>
          <w:rFonts w:ascii="Times New Roman" w:eastAsia="Calibri" w:hAnsi="Times New Roman" w:cs="Calibri"/>
          <w:iCs/>
          <w:sz w:val="24"/>
        </w:rPr>
        <w:t xml:space="preserve"> </w:t>
      </w:r>
      <w:proofErr w:type="spellStart"/>
      <w:r w:rsidRPr="00A07F29">
        <w:rPr>
          <w:rFonts w:ascii="Times New Roman" w:eastAsia="Calibri" w:hAnsi="Times New Roman" w:cs="Calibri"/>
          <w:iCs/>
          <w:sz w:val="24"/>
        </w:rPr>
        <w:t>et</w:t>
      </w:r>
      <w:proofErr w:type="spellEnd"/>
      <w:r w:rsidRPr="00A07F29">
        <w:rPr>
          <w:rFonts w:ascii="Times New Roman" w:eastAsia="Calibri" w:hAnsi="Times New Roman" w:cs="Calibri"/>
          <w:iCs/>
          <w:sz w:val="24"/>
        </w:rPr>
        <w:t xml:space="preserve"> </w:t>
      </w:r>
      <w:proofErr w:type="spellStart"/>
      <w:r w:rsidRPr="00A07F29">
        <w:rPr>
          <w:rFonts w:ascii="Times New Roman" w:eastAsia="Calibri" w:hAnsi="Times New Roman" w:cs="Calibri"/>
          <w:iCs/>
          <w:sz w:val="24"/>
        </w:rPr>
        <w:t>al</w:t>
      </w:r>
      <w:proofErr w:type="spellEnd"/>
      <w:r w:rsidRPr="00A07F29">
        <w:rPr>
          <w:rFonts w:ascii="Times New Roman" w:eastAsia="Calibri" w:hAnsi="Times New Roman" w:cs="Calibri"/>
          <w:iCs/>
          <w:sz w:val="24"/>
        </w:rPr>
        <w:t>.</w:t>
      </w:r>
      <w:r w:rsidR="00885F54">
        <w:rPr>
          <w:rFonts w:ascii="Times New Roman" w:eastAsia="Calibri" w:hAnsi="Times New Roman" w:cs="Calibri"/>
          <w:iCs/>
          <w:sz w:val="24"/>
        </w:rPr>
        <w:t>,</w:t>
      </w:r>
      <w:r w:rsidRPr="00A07F29">
        <w:rPr>
          <w:rFonts w:ascii="Times New Roman" w:eastAsia="Calibri" w:hAnsi="Times New Roman" w:cs="Calibri"/>
          <w:iCs/>
          <w:sz w:val="24"/>
        </w:rPr>
        <w:t xml:space="preserve"> 2018).</w:t>
      </w:r>
    </w:p>
    <w:p w14:paraId="2B48BF97" w14:textId="2E500D32" w:rsidR="009072CE" w:rsidRPr="00A07F29" w:rsidRDefault="009072CE" w:rsidP="00C96B50">
      <w:pPr>
        <w:spacing w:before="240" w:after="120" w:line="240" w:lineRule="auto"/>
        <w:jc w:val="center"/>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4.</w:t>
      </w:r>
      <w:r w:rsidR="00C96B50" w:rsidRPr="00A07F29">
        <w:rPr>
          <w:rFonts w:ascii="Times New Roman" w:eastAsia="Times New Roman" w:hAnsi="Times New Roman" w:cs="Times New Roman"/>
          <w:sz w:val="24"/>
          <w:szCs w:val="24"/>
          <w:lang w:eastAsia="lv-LV"/>
        </w:rPr>
        <w:t>7</w:t>
      </w:r>
      <w:r w:rsidRPr="00A07F29">
        <w:rPr>
          <w:rFonts w:ascii="Times New Roman" w:eastAsia="Times New Roman" w:hAnsi="Times New Roman" w:cs="Times New Roman"/>
          <w:sz w:val="24"/>
          <w:szCs w:val="24"/>
          <w:lang w:eastAsia="lv-LV"/>
        </w:rPr>
        <w:t>.2.2.</w:t>
      </w:r>
      <w:r w:rsidR="00885F54">
        <w:rPr>
          <w:rFonts w:ascii="Times New Roman" w:eastAsia="Times New Roman" w:hAnsi="Times New Roman" w:cs="Times New Roman"/>
          <w:sz w:val="24"/>
          <w:szCs w:val="24"/>
          <w:lang w:eastAsia="lv-LV"/>
        </w:rPr>
        <w:t> </w:t>
      </w:r>
      <w:r w:rsidR="00C96B50" w:rsidRPr="00A07F29">
        <w:rPr>
          <w:rFonts w:ascii="Times New Roman" w:eastAsia="Times New Roman" w:hAnsi="Times New Roman" w:cs="Times New Roman"/>
          <w:sz w:val="24"/>
          <w:szCs w:val="24"/>
          <w:lang w:eastAsia="lv-LV"/>
        </w:rPr>
        <w:t xml:space="preserve">tabula. </w:t>
      </w:r>
      <w:r w:rsidRPr="00A07F29">
        <w:rPr>
          <w:rFonts w:ascii="Times New Roman" w:eastAsia="Times New Roman" w:hAnsi="Times New Roman" w:cs="Times New Roman"/>
          <w:sz w:val="24"/>
          <w:szCs w:val="24"/>
          <w:lang w:eastAsia="lv-LV"/>
        </w:rPr>
        <w:t xml:space="preserve">Gliemji AAA </w:t>
      </w:r>
      <w:r w:rsidR="00885F54">
        <w:rPr>
          <w:rFonts w:ascii="Times New Roman" w:eastAsia="Times New Roman" w:hAnsi="Times New Roman" w:cs="Times New Roman"/>
          <w:sz w:val="24"/>
          <w:szCs w:val="24"/>
          <w:lang w:eastAsia="lv-LV"/>
        </w:rPr>
        <w:t>“</w:t>
      </w:r>
      <w:r w:rsidRPr="00A07F29">
        <w:rPr>
          <w:rFonts w:ascii="Times New Roman" w:eastAsia="Times New Roman" w:hAnsi="Times New Roman" w:cs="Times New Roman"/>
          <w:sz w:val="24"/>
          <w:szCs w:val="24"/>
          <w:lang w:eastAsia="lv-LV"/>
        </w:rPr>
        <w:t>Augšdaugava</w:t>
      </w:r>
      <w:r w:rsidR="00885F54">
        <w:rPr>
          <w:rFonts w:ascii="Times New Roman" w:eastAsia="Times New Roman" w:hAnsi="Times New Roman" w:cs="Times New Roman"/>
          <w:sz w:val="24"/>
          <w:szCs w:val="24"/>
          <w:lang w:eastAsia="lv-LV"/>
        </w:rPr>
        <w:t>”</w:t>
      </w:r>
      <w:r w:rsidRPr="00A07F29">
        <w:rPr>
          <w:rFonts w:ascii="Times New Roman" w:eastAsia="Times New Roman" w:hAnsi="Times New Roman" w:cs="Times New Roman"/>
          <w:sz w:val="24"/>
          <w:szCs w:val="24"/>
          <w:lang w:eastAsia="lv-LV"/>
        </w:rPr>
        <w:t xml:space="preserve"> ar dabas aizsardzības nozīmi</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984"/>
        <w:gridCol w:w="2268"/>
        <w:gridCol w:w="1418"/>
        <w:gridCol w:w="1417"/>
        <w:gridCol w:w="1701"/>
      </w:tblGrid>
      <w:tr w:rsidR="009072CE" w:rsidRPr="00A07F29" w14:paraId="6C8B7294" w14:textId="77777777" w:rsidTr="009056A3">
        <w:tc>
          <w:tcPr>
            <w:tcW w:w="534" w:type="dxa"/>
            <w:vMerge w:val="restart"/>
          </w:tcPr>
          <w:p w14:paraId="6D47C755" w14:textId="77777777" w:rsidR="009072CE" w:rsidRPr="00A07F29" w:rsidRDefault="009072CE" w:rsidP="009072CE">
            <w:pPr>
              <w:spacing w:after="0" w:line="240" w:lineRule="auto"/>
              <w:rPr>
                <w:rFonts w:ascii="Times New Roman" w:eastAsia="Calibri" w:hAnsi="Times New Roman" w:cs="Times New Roman"/>
                <w:sz w:val="20"/>
                <w:szCs w:val="20"/>
              </w:rPr>
            </w:pPr>
          </w:p>
          <w:p w14:paraId="75B707A1" w14:textId="77777777" w:rsidR="009072CE" w:rsidRPr="00A07F29" w:rsidRDefault="009072CE" w:rsidP="009072CE">
            <w:pPr>
              <w:spacing w:after="0" w:line="240" w:lineRule="auto"/>
              <w:rPr>
                <w:rFonts w:ascii="Times New Roman" w:eastAsia="Calibri" w:hAnsi="Times New Roman" w:cs="Times New Roman"/>
                <w:sz w:val="20"/>
                <w:szCs w:val="20"/>
              </w:rPr>
            </w:pPr>
            <w:proofErr w:type="spellStart"/>
            <w:r w:rsidRPr="00A07F29">
              <w:rPr>
                <w:rFonts w:ascii="Times New Roman" w:eastAsia="Calibri" w:hAnsi="Times New Roman" w:cs="Times New Roman"/>
                <w:sz w:val="20"/>
                <w:szCs w:val="20"/>
              </w:rPr>
              <w:t>Nr.p.k</w:t>
            </w:r>
            <w:proofErr w:type="spellEnd"/>
            <w:r w:rsidRPr="00A07F29">
              <w:rPr>
                <w:rFonts w:ascii="Times New Roman" w:eastAsia="Calibri" w:hAnsi="Times New Roman" w:cs="Times New Roman"/>
                <w:sz w:val="20"/>
                <w:szCs w:val="20"/>
              </w:rPr>
              <w:t>.</w:t>
            </w:r>
          </w:p>
        </w:tc>
        <w:tc>
          <w:tcPr>
            <w:tcW w:w="1984" w:type="dxa"/>
            <w:vMerge w:val="restart"/>
          </w:tcPr>
          <w:p w14:paraId="09ACA028" w14:textId="77777777" w:rsidR="009072CE" w:rsidRPr="00A07F29" w:rsidRDefault="009072CE" w:rsidP="009072CE">
            <w:pPr>
              <w:spacing w:after="0" w:line="240" w:lineRule="auto"/>
              <w:rPr>
                <w:rFonts w:ascii="Times New Roman" w:eastAsia="Calibri" w:hAnsi="Times New Roman" w:cs="Times New Roman"/>
                <w:sz w:val="20"/>
                <w:szCs w:val="20"/>
              </w:rPr>
            </w:pPr>
            <w:r w:rsidRPr="00A07F29">
              <w:rPr>
                <w:rFonts w:ascii="Times New Roman" w:eastAsia="Calibri" w:hAnsi="Times New Roman" w:cs="Times New Roman"/>
                <w:sz w:val="20"/>
                <w:szCs w:val="20"/>
              </w:rPr>
              <w:t xml:space="preserve">Sugas nosaukums latviski </w:t>
            </w:r>
          </w:p>
        </w:tc>
        <w:tc>
          <w:tcPr>
            <w:tcW w:w="2268" w:type="dxa"/>
            <w:vMerge w:val="restart"/>
          </w:tcPr>
          <w:p w14:paraId="3E88CAF7" w14:textId="77777777" w:rsidR="009072CE" w:rsidRPr="00A07F29" w:rsidRDefault="009072CE" w:rsidP="009072CE">
            <w:pPr>
              <w:spacing w:after="0" w:line="240" w:lineRule="auto"/>
              <w:rPr>
                <w:rFonts w:ascii="Times New Roman" w:eastAsia="Calibri" w:hAnsi="Times New Roman" w:cs="Times New Roman"/>
                <w:sz w:val="20"/>
                <w:szCs w:val="20"/>
              </w:rPr>
            </w:pPr>
            <w:r w:rsidRPr="00A07F29">
              <w:rPr>
                <w:rFonts w:ascii="Times New Roman" w:eastAsia="Calibri" w:hAnsi="Times New Roman" w:cs="Times New Roman"/>
                <w:sz w:val="20"/>
                <w:szCs w:val="20"/>
              </w:rPr>
              <w:t>Sugas nosaukums latīniski</w:t>
            </w:r>
          </w:p>
        </w:tc>
        <w:tc>
          <w:tcPr>
            <w:tcW w:w="2835" w:type="dxa"/>
            <w:gridSpan w:val="2"/>
          </w:tcPr>
          <w:p w14:paraId="20DF348F" w14:textId="77777777" w:rsidR="009072CE" w:rsidRPr="00A07F29" w:rsidRDefault="009072CE" w:rsidP="009072CE">
            <w:pPr>
              <w:spacing w:after="0" w:line="240" w:lineRule="auto"/>
              <w:rPr>
                <w:rFonts w:ascii="Times New Roman" w:eastAsia="Calibri" w:hAnsi="Times New Roman" w:cs="Times New Roman"/>
                <w:sz w:val="20"/>
                <w:szCs w:val="20"/>
              </w:rPr>
            </w:pPr>
            <w:r w:rsidRPr="00A07F29">
              <w:rPr>
                <w:rFonts w:ascii="Times New Roman" w:eastAsia="Calibri" w:hAnsi="Times New Roman" w:cs="Times New Roman"/>
                <w:sz w:val="20"/>
                <w:szCs w:val="20"/>
              </w:rPr>
              <w:t>Sugas aizsardzības statuss valstī</w:t>
            </w:r>
          </w:p>
        </w:tc>
        <w:tc>
          <w:tcPr>
            <w:tcW w:w="1701" w:type="dxa"/>
            <w:vMerge w:val="restart"/>
          </w:tcPr>
          <w:p w14:paraId="2DF008B9" w14:textId="77777777" w:rsidR="009072CE" w:rsidRPr="00A07F29" w:rsidRDefault="009072CE" w:rsidP="009072CE">
            <w:pPr>
              <w:spacing w:after="0" w:line="240" w:lineRule="auto"/>
              <w:rPr>
                <w:rFonts w:ascii="Times New Roman" w:eastAsia="Calibri" w:hAnsi="Times New Roman" w:cs="Times New Roman"/>
                <w:sz w:val="20"/>
                <w:szCs w:val="20"/>
              </w:rPr>
            </w:pPr>
            <w:r w:rsidRPr="00A07F29">
              <w:rPr>
                <w:rFonts w:ascii="Times New Roman" w:eastAsia="Calibri" w:hAnsi="Times New Roman" w:cs="Times New Roman"/>
                <w:sz w:val="20"/>
                <w:szCs w:val="20"/>
              </w:rPr>
              <w:t>Sugas labvēlīga aizsardzības stāvokļa novērtējums valstī kopumā (atbilstoši ETC datiem, tikai direktīvu pielikumos iekļautajām sugām)</w:t>
            </w:r>
          </w:p>
        </w:tc>
      </w:tr>
      <w:tr w:rsidR="009072CE" w:rsidRPr="00A07F29" w14:paraId="5A20E82C" w14:textId="77777777" w:rsidTr="009056A3">
        <w:tc>
          <w:tcPr>
            <w:tcW w:w="534" w:type="dxa"/>
            <w:vMerge/>
          </w:tcPr>
          <w:p w14:paraId="3CB77BA5" w14:textId="77777777" w:rsidR="009072CE" w:rsidRPr="00A07F29" w:rsidRDefault="009072CE" w:rsidP="009072CE">
            <w:pPr>
              <w:spacing w:after="0" w:line="240" w:lineRule="auto"/>
              <w:rPr>
                <w:rFonts w:ascii="Times New Roman" w:eastAsia="Calibri" w:hAnsi="Times New Roman" w:cs="Times New Roman"/>
                <w:sz w:val="20"/>
                <w:szCs w:val="20"/>
              </w:rPr>
            </w:pPr>
          </w:p>
        </w:tc>
        <w:tc>
          <w:tcPr>
            <w:tcW w:w="1984" w:type="dxa"/>
            <w:vMerge/>
          </w:tcPr>
          <w:p w14:paraId="660F47B9" w14:textId="77777777" w:rsidR="009072CE" w:rsidRPr="00A07F29" w:rsidRDefault="009072CE" w:rsidP="009072CE">
            <w:pPr>
              <w:spacing w:after="0" w:line="240" w:lineRule="auto"/>
              <w:rPr>
                <w:rFonts w:ascii="Times New Roman" w:eastAsia="Calibri" w:hAnsi="Times New Roman" w:cs="Times New Roman"/>
                <w:sz w:val="20"/>
                <w:szCs w:val="20"/>
              </w:rPr>
            </w:pPr>
          </w:p>
        </w:tc>
        <w:tc>
          <w:tcPr>
            <w:tcW w:w="2268" w:type="dxa"/>
            <w:vMerge/>
          </w:tcPr>
          <w:p w14:paraId="733F7BCA" w14:textId="77777777" w:rsidR="009072CE" w:rsidRPr="00A07F29" w:rsidRDefault="009072CE" w:rsidP="009072CE">
            <w:pPr>
              <w:spacing w:after="0" w:line="240" w:lineRule="auto"/>
              <w:rPr>
                <w:rFonts w:ascii="Times New Roman" w:eastAsia="Calibri" w:hAnsi="Times New Roman" w:cs="Times New Roman"/>
                <w:sz w:val="20"/>
                <w:szCs w:val="20"/>
              </w:rPr>
            </w:pPr>
          </w:p>
        </w:tc>
        <w:tc>
          <w:tcPr>
            <w:tcW w:w="1418" w:type="dxa"/>
          </w:tcPr>
          <w:p w14:paraId="052A76F8" w14:textId="39A9E1F3" w:rsidR="009072CE" w:rsidRPr="00A07F29" w:rsidRDefault="009072CE" w:rsidP="004B2042">
            <w:pPr>
              <w:spacing w:after="0" w:line="240" w:lineRule="auto"/>
              <w:rPr>
                <w:rFonts w:ascii="Times New Roman" w:eastAsia="Calibri" w:hAnsi="Times New Roman" w:cs="Times New Roman"/>
                <w:sz w:val="20"/>
                <w:szCs w:val="20"/>
              </w:rPr>
            </w:pPr>
            <w:r w:rsidRPr="00A07F29">
              <w:rPr>
                <w:rFonts w:ascii="Times New Roman" w:eastAsia="Calibri" w:hAnsi="Times New Roman" w:cs="Times New Roman"/>
                <w:sz w:val="20"/>
                <w:szCs w:val="20"/>
              </w:rPr>
              <w:t xml:space="preserve">Īpaši aizsargājama suga (ar </w:t>
            </w:r>
            <w:r w:rsidRPr="00A07F29">
              <w:rPr>
                <w:rFonts w:ascii="Times New Roman" w:eastAsia="Calibri" w:hAnsi="Times New Roman" w:cs="Times New Roman"/>
                <w:sz w:val="20"/>
                <w:szCs w:val="20"/>
                <w:vertAlign w:val="superscript"/>
              </w:rPr>
              <w:t>1</w:t>
            </w:r>
            <w:r w:rsidRPr="00A07F29">
              <w:rPr>
                <w:rFonts w:ascii="Times New Roman" w:eastAsia="Calibri" w:hAnsi="Times New Roman" w:cs="Times New Roman"/>
                <w:sz w:val="20"/>
                <w:szCs w:val="20"/>
              </w:rPr>
              <w:t xml:space="preserve"> atzīmēt mikroliegumu sugas)</w:t>
            </w:r>
          </w:p>
        </w:tc>
        <w:tc>
          <w:tcPr>
            <w:tcW w:w="1417" w:type="dxa"/>
          </w:tcPr>
          <w:p w14:paraId="4922B234" w14:textId="77777777" w:rsidR="009072CE" w:rsidRPr="00A07F29" w:rsidRDefault="009072CE" w:rsidP="009072CE">
            <w:pPr>
              <w:spacing w:after="0" w:line="240" w:lineRule="auto"/>
              <w:rPr>
                <w:rFonts w:ascii="Times New Roman" w:eastAsia="Calibri" w:hAnsi="Times New Roman" w:cs="Times New Roman"/>
                <w:sz w:val="20"/>
                <w:szCs w:val="20"/>
              </w:rPr>
            </w:pPr>
            <w:r w:rsidRPr="00A07F29">
              <w:rPr>
                <w:rFonts w:ascii="Times New Roman" w:eastAsia="Calibri" w:hAnsi="Times New Roman" w:cs="Times New Roman"/>
                <w:sz w:val="20"/>
                <w:szCs w:val="20"/>
              </w:rPr>
              <w:t>Putnu vai Biotopu direktīvu pielikumos iekļauta suga (ar * atzīmē prioritārās sugas)</w:t>
            </w:r>
          </w:p>
        </w:tc>
        <w:tc>
          <w:tcPr>
            <w:tcW w:w="1701" w:type="dxa"/>
            <w:vMerge/>
          </w:tcPr>
          <w:p w14:paraId="531B51E0" w14:textId="77777777" w:rsidR="009072CE" w:rsidRPr="00A07F29" w:rsidRDefault="009072CE" w:rsidP="009072CE">
            <w:pPr>
              <w:spacing w:after="0" w:line="240" w:lineRule="auto"/>
              <w:rPr>
                <w:rFonts w:ascii="Times New Roman" w:eastAsia="Calibri" w:hAnsi="Times New Roman" w:cs="Times New Roman"/>
                <w:sz w:val="20"/>
                <w:szCs w:val="20"/>
              </w:rPr>
            </w:pPr>
          </w:p>
        </w:tc>
      </w:tr>
      <w:tr w:rsidR="009072CE" w:rsidRPr="00A07F29" w14:paraId="732C3151" w14:textId="77777777" w:rsidTr="005D2CFD">
        <w:tc>
          <w:tcPr>
            <w:tcW w:w="534" w:type="dxa"/>
          </w:tcPr>
          <w:p w14:paraId="3B77CC1B" w14:textId="4A253B9B" w:rsidR="009072CE" w:rsidRPr="00A07F29" w:rsidRDefault="00E4038B" w:rsidP="009072CE">
            <w:pPr>
              <w:spacing w:after="0" w:line="240" w:lineRule="auto"/>
              <w:rPr>
                <w:rFonts w:ascii="Times New Roman" w:eastAsia="Calibri" w:hAnsi="Times New Roman" w:cs="Times New Roman"/>
                <w:sz w:val="20"/>
                <w:szCs w:val="20"/>
              </w:rPr>
            </w:pPr>
            <w:r w:rsidRPr="00A07F29">
              <w:rPr>
                <w:rFonts w:ascii="Times New Roman" w:eastAsia="Calibri" w:hAnsi="Times New Roman" w:cs="Times New Roman"/>
                <w:sz w:val="20"/>
                <w:szCs w:val="20"/>
              </w:rPr>
              <w:t>1.</w:t>
            </w:r>
          </w:p>
        </w:tc>
        <w:tc>
          <w:tcPr>
            <w:tcW w:w="1984" w:type="dxa"/>
            <w:vAlign w:val="center"/>
          </w:tcPr>
          <w:p w14:paraId="7DDE05C4" w14:textId="77777777" w:rsidR="009072CE" w:rsidRPr="00A07F29" w:rsidRDefault="009072CE" w:rsidP="009072CE">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 xml:space="preserve">slaidais </w:t>
            </w:r>
            <w:proofErr w:type="spellStart"/>
            <w:r w:rsidRPr="00A07F29">
              <w:rPr>
                <w:rFonts w:ascii="Times New Roman" w:eastAsia="Calibri" w:hAnsi="Times New Roman" w:cs="Times New Roman"/>
                <w:sz w:val="20"/>
                <w:szCs w:val="20"/>
              </w:rPr>
              <w:t>pumpurgliemezis</w:t>
            </w:r>
            <w:proofErr w:type="spellEnd"/>
          </w:p>
        </w:tc>
        <w:tc>
          <w:tcPr>
            <w:tcW w:w="2268" w:type="dxa"/>
            <w:vAlign w:val="center"/>
          </w:tcPr>
          <w:p w14:paraId="499027DD" w14:textId="77777777" w:rsidR="009072CE" w:rsidRPr="00A07F29" w:rsidRDefault="009072CE" w:rsidP="009072CE">
            <w:pPr>
              <w:spacing w:after="0" w:line="240" w:lineRule="auto"/>
              <w:jc w:val="center"/>
              <w:rPr>
                <w:rFonts w:ascii="Times New Roman" w:eastAsia="Calibri" w:hAnsi="Times New Roman" w:cs="Times New Roman"/>
                <w:i/>
                <w:sz w:val="20"/>
                <w:szCs w:val="20"/>
              </w:rPr>
            </w:pPr>
            <w:proofErr w:type="spellStart"/>
            <w:r w:rsidRPr="00A07F29">
              <w:rPr>
                <w:rFonts w:ascii="Times New Roman" w:eastAsia="Calibri" w:hAnsi="Times New Roman" w:cs="Times New Roman"/>
                <w:bCs/>
                <w:i/>
                <w:sz w:val="20"/>
                <w:szCs w:val="20"/>
                <w:shd w:val="clear" w:color="auto" w:fill="FFFFFF"/>
              </w:rPr>
              <w:t>Vertigo</w:t>
            </w:r>
            <w:proofErr w:type="spellEnd"/>
            <w:r w:rsidRPr="00A07F29">
              <w:rPr>
                <w:rFonts w:ascii="Times New Roman" w:eastAsia="Calibri" w:hAnsi="Times New Roman" w:cs="Times New Roman"/>
                <w:bCs/>
                <w:i/>
                <w:sz w:val="20"/>
                <w:szCs w:val="20"/>
                <w:shd w:val="clear" w:color="auto" w:fill="FFFFFF"/>
              </w:rPr>
              <w:t xml:space="preserve"> </w:t>
            </w:r>
            <w:proofErr w:type="spellStart"/>
            <w:r w:rsidRPr="00A07F29">
              <w:rPr>
                <w:rFonts w:ascii="Times New Roman" w:eastAsia="Calibri" w:hAnsi="Times New Roman" w:cs="Times New Roman"/>
                <w:bCs/>
                <w:i/>
                <w:sz w:val="20"/>
                <w:szCs w:val="20"/>
                <w:shd w:val="clear" w:color="auto" w:fill="FFFFFF"/>
              </w:rPr>
              <w:t>angustior</w:t>
            </w:r>
            <w:proofErr w:type="spellEnd"/>
          </w:p>
        </w:tc>
        <w:tc>
          <w:tcPr>
            <w:tcW w:w="1418" w:type="dxa"/>
            <w:vAlign w:val="center"/>
          </w:tcPr>
          <w:p w14:paraId="3A562646" w14:textId="77777777" w:rsidR="009072CE" w:rsidRPr="00A07F29" w:rsidRDefault="009072CE" w:rsidP="009072CE">
            <w:pPr>
              <w:spacing w:after="0" w:line="240" w:lineRule="auto"/>
              <w:jc w:val="center"/>
              <w:rPr>
                <w:rFonts w:ascii="Times New Roman" w:eastAsia="Calibri" w:hAnsi="Times New Roman" w:cs="Times New Roman"/>
                <w:sz w:val="20"/>
                <w:szCs w:val="20"/>
                <w:vertAlign w:val="superscript"/>
              </w:rPr>
            </w:pPr>
            <w:r w:rsidRPr="00A07F29">
              <w:rPr>
                <w:rFonts w:ascii="Times New Roman" w:eastAsia="Calibri" w:hAnsi="Times New Roman" w:cs="Times New Roman"/>
                <w:sz w:val="20"/>
                <w:szCs w:val="20"/>
              </w:rPr>
              <w:t>ĪAS</w:t>
            </w:r>
            <w:r w:rsidRPr="00A07F29">
              <w:rPr>
                <w:rFonts w:ascii="Times New Roman" w:eastAsia="Calibri" w:hAnsi="Times New Roman" w:cs="Times New Roman"/>
                <w:sz w:val="20"/>
                <w:szCs w:val="20"/>
                <w:vertAlign w:val="superscript"/>
              </w:rPr>
              <w:t>1</w:t>
            </w:r>
          </w:p>
        </w:tc>
        <w:tc>
          <w:tcPr>
            <w:tcW w:w="1417" w:type="dxa"/>
            <w:vAlign w:val="center"/>
          </w:tcPr>
          <w:p w14:paraId="16070EDE" w14:textId="77777777" w:rsidR="009072CE" w:rsidRPr="00A07F29" w:rsidRDefault="009072CE" w:rsidP="009072CE">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BD II; IUCN NT; RL(2)</w:t>
            </w:r>
          </w:p>
        </w:tc>
        <w:tc>
          <w:tcPr>
            <w:tcW w:w="1701" w:type="dxa"/>
            <w:shd w:val="clear" w:color="auto" w:fill="FF0000"/>
            <w:vAlign w:val="center"/>
          </w:tcPr>
          <w:p w14:paraId="27D22069" w14:textId="77777777" w:rsidR="009072CE" w:rsidRPr="00A07F29" w:rsidRDefault="009072CE" w:rsidP="009072CE">
            <w:pPr>
              <w:spacing w:after="0" w:line="240" w:lineRule="auto"/>
              <w:jc w:val="center"/>
              <w:rPr>
                <w:rFonts w:ascii="Times New Roman" w:eastAsia="Calibri" w:hAnsi="Times New Roman" w:cs="Times New Roman"/>
                <w:b/>
                <w:sz w:val="20"/>
                <w:szCs w:val="20"/>
              </w:rPr>
            </w:pPr>
            <w:r w:rsidRPr="00A07F29">
              <w:rPr>
                <w:rFonts w:ascii="Times New Roman" w:eastAsia="Calibri" w:hAnsi="Times New Roman" w:cs="Times New Roman"/>
                <w:b/>
                <w:sz w:val="20"/>
                <w:szCs w:val="20"/>
              </w:rPr>
              <w:t>U2</w:t>
            </w:r>
          </w:p>
          <w:p w14:paraId="433213BE" w14:textId="77777777" w:rsidR="009072CE" w:rsidRPr="00A07F29" w:rsidRDefault="009072CE" w:rsidP="009072CE">
            <w:pPr>
              <w:spacing w:after="0" w:line="240" w:lineRule="auto"/>
              <w:jc w:val="center"/>
              <w:rPr>
                <w:rFonts w:ascii="Times New Roman" w:eastAsia="Calibri" w:hAnsi="Times New Roman" w:cs="Times New Roman"/>
                <w:sz w:val="20"/>
                <w:szCs w:val="20"/>
              </w:rPr>
            </w:pPr>
          </w:p>
        </w:tc>
      </w:tr>
      <w:tr w:rsidR="009072CE" w:rsidRPr="00A07F29" w14:paraId="2B4502EB" w14:textId="77777777" w:rsidTr="005D2CFD">
        <w:tc>
          <w:tcPr>
            <w:tcW w:w="534" w:type="dxa"/>
          </w:tcPr>
          <w:p w14:paraId="016CF3B4" w14:textId="0C93C799" w:rsidR="009072CE" w:rsidRPr="00A07F29" w:rsidRDefault="00E4038B" w:rsidP="009072CE">
            <w:pPr>
              <w:spacing w:after="0" w:line="240" w:lineRule="auto"/>
              <w:rPr>
                <w:rFonts w:ascii="Times New Roman" w:eastAsia="Calibri" w:hAnsi="Times New Roman" w:cs="Times New Roman"/>
                <w:sz w:val="20"/>
                <w:szCs w:val="20"/>
              </w:rPr>
            </w:pPr>
            <w:r w:rsidRPr="00A07F29">
              <w:rPr>
                <w:rFonts w:ascii="Times New Roman" w:eastAsia="Calibri" w:hAnsi="Times New Roman" w:cs="Times New Roman"/>
                <w:sz w:val="20"/>
                <w:szCs w:val="20"/>
              </w:rPr>
              <w:t>2.</w:t>
            </w:r>
          </w:p>
        </w:tc>
        <w:tc>
          <w:tcPr>
            <w:tcW w:w="1984" w:type="dxa"/>
            <w:vAlign w:val="center"/>
          </w:tcPr>
          <w:p w14:paraId="4BCDFCDB" w14:textId="77777777" w:rsidR="009072CE" w:rsidRPr="00A07F29" w:rsidRDefault="009072CE" w:rsidP="009072CE">
            <w:pPr>
              <w:spacing w:after="0" w:line="240" w:lineRule="auto"/>
              <w:jc w:val="center"/>
              <w:rPr>
                <w:rFonts w:ascii="Times New Roman" w:eastAsia="Calibri" w:hAnsi="Times New Roman" w:cs="Times New Roman"/>
                <w:sz w:val="20"/>
                <w:szCs w:val="20"/>
              </w:rPr>
            </w:pPr>
            <w:proofErr w:type="spellStart"/>
            <w:r w:rsidRPr="00A07F29">
              <w:rPr>
                <w:rFonts w:ascii="Times New Roman" w:eastAsia="Calibri" w:hAnsi="Times New Roman" w:cs="Times New Roman"/>
                <w:sz w:val="20"/>
                <w:szCs w:val="20"/>
              </w:rPr>
              <w:t>četrzobu</w:t>
            </w:r>
            <w:proofErr w:type="spellEnd"/>
            <w:r w:rsidRPr="00A07F29">
              <w:rPr>
                <w:rFonts w:ascii="Times New Roman" w:eastAsia="Calibri" w:hAnsi="Times New Roman" w:cs="Times New Roman"/>
                <w:sz w:val="20"/>
                <w:szCs w:val="20"/>
              </w:rPr>
              <w:t xml:space="preserve"> </w:t>
            </w:r>
            <w:proofErr w:type="spellStart"/>
            <w:r w:rsidRPr="00A07F29">
              <w:rPr>
                <w:rFonts w:ascii="Times New Roman" w:eastAsia="Calibri" w:hAnsi="Times New Roman" w:cs="Times New Roman"/>
                <w:sz w:val="20"/>
                <w:szCs w:val="20"/>
              </w:rPr>
              <w:t>pumpurgliemezis</w:t>
            </w:r>
            <w:proofErr w:type="spellEnd"/>
          </w:p>
        </w:tc>
        <w:tc>
          <w:tcPr>
            <w:tcW w:w="2268" w:type="dxa"/>
            <w:vAlign w:val="center"/>
          </w:tcPr>
          <w:p w14:paraId="386A4DCE" w14:textId="77777777" w:rsidR="009072CE" w:rsidRPr="00A07F29" w:rsidRDefault="009072CE" w:rsidP="009072CE">
            <w:pPr>
              <w:spacing w:after="0" w:line="240" w:lineRule="auto"/>
              <w:jc w:val="center"/>
              <w:rPr>
                <w:rFonts w:ascii="Times New Roman" w:eastAsia="Calibri" w:hAnsi="Times New Roman" w:cs="Times New Roman"/>
                <w:i/>
                <w:sz w:val="20"/>
                <w:szCs w:val="20"/>
              </w:rPr>
            </w:pPr>
            <w:proofErr w:type="spellStart"/>
            <w:r w:rsidRPr="00A07F29">
              <w:rPr>
                <w:rFonts w:ascii="Times New Roman" w:eastAsia="Calibri" w:hAnsi="Times New Roman" w:cs="Times New Roman"/>
                <w:i/>
                <w:iCs/>
                <w:sz w:val="20"/>
                <w:szCs w:val="20"/>
                <w:shd w:val="clear" w:color="auto" w:fill="FFFFFF"/>
              </w:rPr>
              <w:t>Vertigo</w:t>
            </w:r>
            <w:proofErr w:type="spellEnd"/>
            <w:r w:rsidRPr="00A07F29">
              <w:rPr>
                <w:rFonts w:ascii="Times New Roman" w:eastAsia="Calibri" w:hAnsi="Times New Roman" w:cs="Times New Roman"/>
                <w:i/>
                <w:iCs/>
                <w:sz w:val="20"/>
                <w:szCs w:val="20"/>
                <w:shd w:val="clear" w:color="auto" w:fill="FFFFFF"/>
              </w:rPr>
              <w:t xml:space="preserve"> </w:t>
            </w:r>
            <w:proofErr w:type="spellStart"/>
            <w:r w:rsidRPr="00A07F29">
              <w:rPr>
                <w:rFonts w:ascii="Times New Roman" w:eastAsia="Calibri" w:hAnsi="Times New Roman" w:cs="Times New Roman"/>
                <w:i/>
                <w:iCs/>
                <w:sz w:val="20"/>
                <w:szCs w:val="20"/>
                <w:shd w:val="clear" w:color="auto" w:fill="FFFFFF"/>
              </w:rPr>
              <w:t>geyeri</w:t>
            </w:r>
            <w:proofErr w:type="spellEnd"/>
          </w:p>
        </w:tc>
        <w:tc>
          <w:tcPr>
            <w:tcW w:w="1418" w:type="dxa"/>
            <w:vAlign w:val="center"/>
          </w:tcPr>
          <w:p w14:paraId="61379A85" w14:textId="77777777" w:rsidR="009072CE" w:rsidRPr="00A07F29" w:rsidRDefault="009072CE" w:rsidP="009072CE">
            <w:pPr>
              <w:spacing w:after="0" w:line="240" w:lineRule="auto"/>
              <w:jc w:val="center"/>
              <w:rPr>
                <w:rFonts w:ascii="Times New Roman" w:eastAsia="Calibri" w:hAnsi="Times New Roman" w:cs="Times New Roman"/>
                <w:sz w:val="20"/>
                <w:szCs w:val="20"/>
                <w:vertAlign w:val="superscript"/>
              </w:rPr>
            </w:pPr>
            <w:r w:rsidRPr="00A07F29">
              <w:rPr>
                <w:rFonts w:ascii="Times New Roman" w:eastAsia="Calibri" w:hAnsi="Times New Roman" w:cs="Times New Roman"/>
                <w:sz w:val="20"/>
                <w:szCs w:val="20"/>
              </w:rPr>
              <w:t>ĪAS</w:t>
            </w:r>
            <w:r w:rsidRPr="00A07F29">
              <w:rPr>
                <w:rFonts w:ascii="Times New Roman" w:eastAsia="Calibri" w:hAnsi="Times New Roman" w:cs="Times New Roman"/>
                <w:sz w:val="20"/>
                <w:szCs w:val="20"/>
                <w:vertAlign w:val="superscript"/>
              </w:rPr>
              <w:t>1</w:t>
            </w:r>
          </w:p>
        </w:tc>
        <w:tc>
          <w:tcPr>
            <w:tcW w:w="1417" w:type="dxa"/>
            <w:vAlign w:val="center"/>
          </w:tcPr>
          <w:p w14:paraId="2D2FD37C" w14:textId="77777777" w:rsidR="009072CE" w:rsidRPr="00A07F29" w:rsidRDefault="009072CE" w:rsidP="009072CE">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BD II; IUCN LC; RL (2)</w:t>
            </w:r>
          </w:p>
        </w:tc>
        <w:tc>
          <w:tcPr>
            <w:tcW w:w="1701" w:type="dxa"/>
            <w:shd w:val="clear" w:color="auto" w:fill="FF0000"/>
            <w:vAlign w:val="center"/>
          </w:tcPr>
          <w:p w14:paraId="1ED0F67E" w14:textId="77777777" w:rsidR="009072CE" w:rsidRPr="00A07F29" w:rsidRDefault="009072CE" w:rsidP="009072CE">
            <w:pPr>
              <w:spacing w:after="0" w:line="240" w:lineRule="auto"/>
              <w:jc w:val="center"/>
              <w:rPr>
                <w:rFonts w:ascii="Times New Roman" w:eastAsia="Calibri" w:hAnsi="Times New Roman" w:cs="Times New Roman"/>
                <w:b/>
                <w:sz w:val="20"/>
                <w:szCs w:val="20"/>
              </w:rPr>
            </w:pPr>
            <w:r w:rsidRPr="00A07F29">
              <w:rPr>
                <w:rFonts w:ascii="Times New Roman" w:eastAsia="Calibri" w:hAnsi="Times New Roman" w:cs="Times New Roman"/>
                <w:b/>
                <w:sz w:val="20"/>
                <w:szCs w:val="20"/>
              </w:rPr>
              <w:t>U2</w:t>
            </w:r>
          </w:p>
          <w:p w14:paraId="518D0D53" w14:textId="77777777" w:rsidR="009072CE" w:rsidRPr="00A07F29" w:rsidRDefault="009072CE" w:rsidP="009072CE">
            <w:pPr>
              <w:spacing w:after="0" w:line="240" w:lineRule="auto"/>
              <w:jc w:val="center"/>
              <w:rPr>
                <w:rFonts w:ascii="Times New Roman" w:eastAsia="Calibri" w:hAnsi="Times New Roman" w:cs="Times New Roman"/>
                <w:b/>
                <w:sz w:val="20"/>
                <w:szCs w:val="20"/>
              </w:rPr>
            </w:pPr>
          </w:p>
        </w:tc>
      </w:tr>
      <w:tr w:rsidR="009072CE" w:rsidRPr="00A07F29" w14:paraId="1981B0DA" w14:textId="77777777" w:rsidTr="005D2CFD">
        <w:tc>
          <w:tcPr>
            <w:tcW w:w="534" w:type="dxa"/>
          </w:tcPr>
          <w:p w14:paraId="118DBC14" w14:textId="359938F2" w:rsidR="009072CE" w:rsidRPr="00A07F29" w:rsidRDefault="00E4038B" w:rsidP="009072CE">
            <w:pPr>
              <w:spacing w:after="0" w:line="240" w:lineRule="auto"/>
              <w:rPr>
                <w:rFonts w:ascii="Times New Roman" w:eastAsia="Calibri" w:hAnsi="Times New Roman" w:cs="Times New Roman"/>
                <w:sz w:val="20"/>
                <w:szCs w:val="20"/>
              </w:rPr>
            </w:pPr>
            <w:r w:rsidRPr="00A07F29">
              <w:rPr>
                <w:rFonts w:ascii="Times New Roman" w:eastAsia="Calibri" w:hAnsi="Times New Roman" w:cs="Times New Roman"/>
                <w:sz w:val="20"/>
                <w:szCs w:val="20"/>
              </w:rPr>
              <w:t>3.</w:t>
            </w:r>
          </w:p>
        </w:tc>
        <w:tc>
          <w:tcPr>
            <w:tcW w:w="1984" w:type="dxa"/>
            <w:vAlign w:val="center"/>
          </w:tcPr>
          <w:p w14:paraId="0575026B" w14:textId="77777777" w:rsidR="009072CE" w:rsidRPr="00A07F29" w:rsidRDefault="009072CE" w:rsidP="009072CE">
            <w:pPr>
              <w:spacing w:after="0" w:line="240" w:lineRule="auto"/>
              <w:jc w:val="center"/>
              <w:rPr>
                <w:rFonts w:ascii="Times New Roman" w:eastAsia="Calibri" w:hAnsi="Times New Roman" w:cs="Times New Roman"/>
                <w:sz w:val="20"/>
                <w:shd w:val="clear" w:color="auto" w:fill="FFFFFF"/>
              </w:rPr>
            </w:pPr>
            <w:r w:rsidRPr="00A07F29">
              <w:rPr>
                <w:rFonts w:ascii="Times New Roman" w:eastAsia="Calibri" w:hAnsi="Times New Roman" w:cs="Times New Roman"/>
                <w:sz w:val="20"/>
                <w:shd w:val="clear" w:color="auto" w:fill="FFFFFF"/>
              </w:rPr>
              <w:t>parka vīngliemezis</w:t>
            </w:r>
          </w:p>
        </w:tc>
        <w:tc>
          <w:tcPr>
            <w:tcW w:w="2268" w:type="dxa"/>
            <w:vAlign w:val="center"/>
          </w:tcPr>
          <w:p w14:paraId="74EA6A5B" w14:textId="77777777" w:rsidR="009072CE" w:rsidRPr="00A07F29" w:rsidRDefault="009072CE" w:rsidP="009072CE">
            <w:pPr>
              <w:spacing w:after="0" w:line="240" w:lineRule="auto"/>
              <w:jc w:val="center"/>
              <w:rPr>
                <w:rFonts w:ascii="Times New Roman" w:eastAsia="Calibri" w:hAnsi="Times New Roman" w:cs="Times New Roman"/>
                <w:i/>
                <w:sz w:val="20"/>
              </w:rPr>
            </w:pPr>
            <w:proofErr w:type="spellStart"/>
            <w:r w:rsidRPr="00A07F29">
              <w:rPr>
                <w:rFonts w:ascii="Times New Roman" w:eastAsia="Calibri" w:hAnsi="Times New Roman" w:cs="Times New Roman"/>
                <w:i/>
                <w:sz w:val="20"/>
              </w:rPr>
              <w:t>Helix</w:t>
            </w:r>
            <w:proofErr w:type="spellEnd"/>
            <w:r w:rsidRPr="00A07F29">
              <w:rPr>
                <w:rFonts w:ascii="Times New Roman" w:eastAsia="Calibri" w:hAnsi="Times New Roman" w:cs="Times New Roman"/>
                <w:i/>
                <w:sz w:val="20"/>
              </w:rPr>
              <w:t xml:space="preserve"> </w:t>
            </w:r>
            <w:proofErr w:type="spellStart"/>
            <w:r w:rsidRPr="00A07F29">
              <w:rPr>
                <w:rFonts w:ascii="Times New Roman" w:eastAsia="Calibri" w:hAnsi="Times New Roman" w:cs="Times New Roman"/>
                <w:i/>
                <w:sz w:val="20"/>
              </w:rPr>
              <w:t>pomatia</w:t>
            </w:r>
            <w:proofErr w:type="spellEnd"/>
          </w:p>
        </w:tc>
        <w:tc>
          <w:tcPr>
            <w:tcW w:w="1418" w:type="dxa"/>
            <w:vAlign w:val="center"/>
          </w:tcPr>
          <w:p w14:paraId="5FFF1AB2" w14:textId="77777777" w:rsidR="009072CE" w:rsidRPr="00A07F29" w:rsidRDefault="009072CE" w:rsidP="009072CE">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ĪAS</w:t>
            </w:r>
          </w:p>
        </w:tc>
        <w:tc>
          <w:tcPr>
            <w:tcW w:w="1417" w:type="dxa"/>
            <w:vAlign w:val="center"/>
          </w:tcPr>
          <w:p w14:paraId="58AFFF65" w14:textId="77777777" w:rsidR="009072CE" w:rsidRPr="00A07F29" w:rsidRDefault="009072CE" w:rsidP="009072CE">
            <w:pPr>
              <w:spacing w:after="0" w:line="240" w:lineRule="auto"/>
              <w:jc w:val="center"/>
              <w:rPr>
                <w:rFonts w:ascii="Times New Roman" w:eastAsia="Calibri" w:hAnsi="Times New Roman" w:cs="Times New Roman"/>
                <w:b/>
                <w:sz w:val="20"/>
                <w:szCs w:val="20"/>
              </w:rPr>
            </w:pPr>
            <w:r w:rsidRPr="00A07F29">
              <w:rPr>
                <w:rFonts w:ascii="Times New Roman" w:eastAsia="Calibri" w:hAnsi="Times New Roman" w:cs="Times New Roman"/>
                <w:sz w:val="20"/>
                <w:szCs w:val="20"/>
              </w:rPr>
              <w:t>BD V; Berne III; IUCN LC</w:t>
            </w:r>
          </w:p>
        </w:tc>
        <w:tc>
          <w:tcPr>
            <w:tcW w:w="1701" w:type="dxa"/>
            <w:shd w:val="clear" w:color="auto" w:fill="92D050"/>
            <w:vAlign w:val="center"/>
          </w:tcPr>
          <w:p w14:paraId="72E5B2A2" w14:textId="77777777" w:rsidR="009072CE" w:rsidRPr="00A07F29" w:rsidRDefault="009072CE" w:rsidP="009072CE">
            <w:pPr>
              <w:spacing w:after="0" w:line="240" w:lineRule="auto"/>
              <w:jc w:val="center"/>
              <w:rPr>
                <w:rFonts w:ascii="Times New Roman" w:eastAsia="Calibri" w:hAnsi="Times New Roman" w:cs="Times New Roman"/>
                <w:b/>
                <w:sz w:val="20"/>
                <w:szCs w:val="20"/>
              </w:rPr>
            </w:pPr>
            <w:r w:rsidRPr="00A07F29">
              <w:rPr>
                <w:rFonts w:ascii="Times New Roman" w:eastAsia="Calibri" w:hAnsi="Times New Roman" w:cs="Times New Roman"/>
                <w:b/>
                <w:sz w:val="20"/>
                <w:szCs w:val="20"/>
              </w:rPr>
              <w:t>FV</w:t>
            </w:r>
          </w:p>
          <w:p w14:paraId="7102F519" w14:textId="77777777" w:rsidR="009072CE" w:rsidRPr="00A07F29" w:rsidRDefault="009072CE" w:rsidP="009072CE">
            <w:pPr>
              <w:spacing w:after="0" w:line="240" w:lineRule="auto"/>
              <w:jc w:val="center"/>
              <w:rPr>
                <w:rFonts w:ascii="Times New Roman" w:eastAsia="Calibri" w:hAnsi="Times New Roman" w:cs="Times New Roman"/>
                <w:b/>
                <w:sz w:val="20"/>
                <w:szCs w:val="20"/>
              </w:rPr>
            </w:pPr>
          </w:p>
        </w:tc>
      </w:tr>
      <w:tr w:rsidR="009072CE" w:rsidRPr="00A07F29" w14:paraId="2505EC30" w14:textId="77777777" w:rsidTr="005D2CFD">
        <w:tc>
          <w:tcPr>
            <w:tcW w:w="534" w:type="dxa"/>
          </w:tcPr>
          <w:p w14:paraId="1F6A5CE9" w14:textId="43476F86" w:rsidR="009072CE" w:rsidRPr="00A07F29" w:rsidRDefault="00E4038B" w:rsidP="009072CE">
            <w:pPr>
              <w:spacing w:after="0" w:line="240" w:lineRule="auto"/>
              <w:rPr>
                <w:rFonts w:ascii="Times New Roman" w:eastAsia="Calibri" w:hAnsi="Times New Roman" w:cs="Times New Roman"/>
                <w:sz w:val="20"/>
                <w:szCs w:val="20"/>
              </w:rPr>
            </w:pPr>
            <w:r w:rsidRPr="00A07F29">
              <w:rPr>
                <w:rFonts w:ascii="Times New Roman" w:eastAsia="Calibri" w:hAnsi="Times New Roman" w:cs="Times New Roman"/>
                <w:sz w:val="20"/>
                <w:szCs w:val="20"/>
              </w:rPr>
              <w:t>4.</w:t>
            </w:r>
          </w:p>
        </w:tc>
        <w:tc>
          <w:tcPr>
            <w:tcW w:w="1984" w:type="dxa"/>
            <w:vAlign w:val="center"/>
          </w:tcPr>
          <w:p w14:paraId="4E7B1595" w14:textId="77777777" w:rsidR="009072CE" w:rsidRPr="00A07F29" w:rsidRDefault="009072CE" w:rsidP="009072CE">
            <w:pPr>
              <w:spacing w:after="0" w:line="240" w:lineRule="auto"/>
              <w:jc w:val="center"/>
              <w:rPr>
                <w:rFonts w:ascii="Times New Roman" w:eastAsia="Calibri" w:hAnsi="Times New Roman" w:cs="Times New Roman"/>
                <w:i/>
                <w:iCs/>
                <w:sz w:val="20"/>
                <w:szCs w:val="20"/>
              </w:rPr>
            </w:pPr>
            <w:r w:rsidRPr="00A07F29">
              <w:rPr>
                <w:rFonts w:ascii="Times New Roman" w:eastAsia="Calibri" w:hAnsi="Times New Roman" w:cs="Times New Roman"/>
                <w:sz w:val="20"/>
                <w:szCs w:val="20"/>
              </w:rPr>
              <w:t xml:space="preserve">biezā </w:t>
            </w:r>
            <w:proofErr w:type="spellStart"/>
            <w:r w:rsidRPr="00A07F29">
              <w:rPr>
                <w:rFonts w:ascii="Times New Roman" w:eastAsia="Calibri" w:hAnsi="Times New Roman" w:cs="Times New Roman"/>
                <w:sz w:val="20"/>
                <w:szCs w:val="20"/>
              </w:rPr>
              <w:t>perlamutrene</w:t>
            </w:r>
            <w:proofErr w:type="spellEnd"/>
          </w:p>
        </w:tc>
        <w:tc>
          <w:tcPr>
            <w:tcW w:w="2268" w:type="dxa"/>
            <w:vAlign w:val="center"/>
          </w:tcPr>
          <w:p w14:paraId="62F7E525" w14:textId="77777777" w:rsidR="009072CE" w:rsidRPr="00A07F29" w:rsidRDefault="009072CE" w:rsidP="009072CE">
            <w:pPr>
              <w:spacing w:after="0" w:line="240" w:lineRule="auto"/>
              <w:jc w:val="center"/>
              <w:rPr>
                <w:rFonts w:ascii="Times New Roman" w:eastAsia="Calibri" w:hAnsi="Times New Roman" w:cs="Times New Roman"/>
                <w:sz w:val="20"/>
                <w:szCs w:val="20"/>
              </w:rPr>
            </w:pPr>
            <w:proofErr w:type="spellStart"/>
            <w:r w:rsidRPr="00A07F29">
              <w:rPr>
                <w:rFonts w:ascii="Times New Roman" w:eastAsia="Calibri" w:hAnsi="Times New Roman" w:cs="Times New Roman"/>
                <w:i/>
                <w:iCs/>
                <w:sz w:val="20"/>
                <w:szCs w:val="20"/>
              </w:rPr>
              <w:t>Unio</w:t>
            </w:r>
            <w:proofErr w:type="spellEnd"/>
            <w:r w:rsidRPr="00A07F29">
              <w:rPr>
                <w:rFonts w:ascii="Times New Roman" w:eastAsia="Calibri" w:hAnsi="Times New Roman" w:cs="Times New Roman"/>
                <w:i/>
                <w:iCs/>
                <w:sz w:val="20"/>
                <w:szCs w:val="20"/>
              </w:rPr>
              <w:t xml:space="preserve"> </w:t>
            </w:r>
            <w:proofErr w:type="spellStart"/>
            <w:r w:rsidRPr="00A07F29">
              <w:rPr>
                <w:rFonts w:ascii="Times New Roman" w:eastAsia="Calibri" w:hAnsi="Times New Roman" w:cs="Times New Roman"/>
                <w:i/>
                <w:iCs/>
                <w:sz w:val="20"/>
                <w:szCs w:val="20"/>
              </w:rPr>
              <w:t>crassus</w:t>
            </w:r>
            <w:proofErr w:type="spellEnd"/>
          </w:p>
        </w:tc>
        <w:tc>
          <w:tcPr>
            <w:tcW w:w="1418" w:type="dxa"/>
            <w:vAlign w:val="center"/>
          </w:tcPr>
          <w:p w14:paraId="5B1EAB7C" w14:textId="77777777" w:rsidR="009072CE" w:rsidRPr="00A07F29" w:rsidRDefault="009072CE" w:rsidP="009072CE">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ĪAS</w:t>
            </w:r>
            <w:r w:rsidRPr="00A07F29">
              <w:rPr>
                <w:rFonts w:ascii="Times New Roman" w:eastAsia="Calibri" w:hAnsi="Times New Roman" w:cs="Times New Roman"/>
                <w:sz w:val="20"/>
                <w:szCs w:val="20"/>
                <w:vertAlign w:val="superscript"/>
              </w:rPr>
              <w:t>1</w:t>
            </w:r>
          </w:p>
        </w:tc>
        <w:tc>
          <w:tcPr>
            <w:tcW w:w="1417" w:type="dxa"/>
            <w:vAlign w:val="center"/>
          </w:tcPr>
          <w:p w14:paraId="42A5953B" w14:textId="77777777" w:rsidR="009072CE" w:rsidRPr="00A07F29" w:rsidRDefault="009072CE" w:rsidP="009072CE">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BD II,IV; IUCN EN,</w:t>
            </w:r>
          </w:p>
          <w:p w14:paraId="655AC276" w14:textId="77777777" w:rsidR="009072CE" w:rsidRPr="00A07F29" w:rsidRDefault="009072CE" w:rsidP="009072CE">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RL (2)</w:t>
            </w:r>
          </w:p>
        </w:tc>
        <w:tc>
          <w:tcPr>
            <w:tcW w:w="1701" w:type="dxa"/>
            <w:shd w:val="clear" w:color="auto" w:fill="FFC000"/>
            <w:vAlign w:val="center"/>
          </w:tcPr>
          <w:p w14:paraId="65E31463" w14:textId="77777777" w:rsidR="009072CE" w:rsidRPr="00A07F29" w:rsidRDefault="009072CE" w:rsidP="009072CE">
            <w:pPr>
              <w:spacing w:after="0" w:line="240" w:lineRule="auto"/>
              <w:jc w:val="center"/>
              <w:rPr>
                <w:rFonts w:ascii="Times New Roman" w:eastAsia="Calibri" w:hAnsi="Times New Roman" w:cs="Times New Roman"/>
                <w:b/>
                <w:sz w:val="20"/>
                <w:szCs w:val="20"/>
              </w:rPr>
            </w:pPr>
            <w:r w:rsidRPr="00A07F29">
              <w:rPr>
                <w:rFonts w:ascii="Times New Roman" w:eastAsia="Calibri" w:hAnsi="Times New Roman" w:cs="Times New Roman"/>
                <w:b/>
                <w:sz w:val="20"/>
                <w:szCs w:val="20"/>
              </w:rPr>
              <w:t>U1</w:t>
            </w:r>
          </w:p>
          <w:p w14:paraId="53920CE7" w14:textId="77777777" w:rsidR="009072CE" w:rsidRPr="00A07F29" w:rsidRDefault="009072CE" w:rsidP="009072CE">
            <w:pPr>
              <w:spacing w:after="0" w:line="240" w:lineRule="auto"/>
              <w:jc w:val="center"/>
              <w:rPr>
                <w:rFonts w:ascii="Times New Roman" w:eastAsia="Calibri" w:hAnsi="Times New Roman" w:cs="Times New Roman"/>
                <w:sz w:val="20"/>
                <w:szCs w:val="20"/>
              </w:rPr>
            </w:pPr>
          </w:p>
        </w:tc>
      </w:tr>
      <w:tr w:rsidR="009072CE" w:rsidRPr="00A07F29" w14:paraId="1BE74A68" w14:textId="77777777" w:rsidTr="009056A3">
        <w:tc>
          <w:tcPr>
            <w:tcW w:w="534" w:type="dxa"/>
          </w:tcPr>
          <w:p w14:paraId="6F42A0FC" w14:textId="3C40484C" w:rsidR="009072CE" w:rsidRPr="00A07F29" w:rsidRDefault="00E4038B" w:rsidP="009072CE">
            <w:pPr>
              <w:spacing w:after="0" w:line="240" w:lineRule="auto"/>
              <w:rPr>
                <w:rFonts w:ascii="Times New Roman" w:eastAsia="Calibri" w:hAnsi="Times New Roman" w:cs="Times New Roman"/>
                <w:sz w:val="20"/>
                <w:szCs w:val="20"/>
              </w:rPr>
            </w:pPr>
            <w:r w:rsidRPr="00A07F29">
              <w:rPr>
                <w:rFonts w:ascii="Times New Roman" w:eastAsia="Calibri" w:hAnsi="Times New Roman" w:cs="Times New Roman"/>
                <w:sz w:val="20"/>
                <w:szCs w:val="20"/>
              </w:rPr>
              <w:t>5.</w:t>
            </w:r>
          </w:p>
        </w:tc>
        <w:tc>
          <w:tcPr>
            <w:tcW w:w="1984" w:type="dxa"/>
            <w:vAlign w:val="center"/>
          </w:tcPr>
          <w:p w14:paraId="6A26E28C" w14:textId="77777777" w:rsidR="009072CE" w:rsidRPr="00A07F29" w:rsidRDefault="009072CE" w:rsidP="009072CE">
            <w:pPr>
              <w:spacing w:after="0" w:line="240" w:lineRule="auto"/>
              <w:jc w:val="center"/>
              <w:rPr>
                <w:rFonts w:ascii="Times New Roman" w:eastAsia="Calibri" w:hAnsi="Times New Roman" w:cs="Times New Roman"/>
                <w:i/>
                <w:iCs/>
                <w:sz w:val="20"/>
                <w:szCs w:val="20"/>
              </w:rPr>
            </w:pPr>
            <w:r w:rsidRPr="00A07F29">
              <w:rPr>
                <w:rFonts w:ascii="Times New Roman" w:eastAsia="Calibri" w:hAnsi="Times New Roman" w:cs="Times New Roman"/>
                <w:sz w:val="20"/>
                <w:szCs w:val="20"/>
              </w:rPr>
              <w:t>upes micīte</w:t>
            </w:r>
          </w:p>
        </w:tc>
        <w:tc>
          <w:tcPr>
            <w:tcW w:w="2268" w:type="dxa"/>
            <w:vAlign w:val="center"/>
          </w:tcPr>
          <w:p w14:paraId="70CE1090" w14:textId="77777777" w:rsidR="009072CE" w:rsidRPr="00A07F29" w:rsidRDefault="009072CE" w:rsidP="009072CE">
            <w:pPr>
              <w:spacing w:after="0" w:line="240" w:lineRule="auto"/>
              <w:jc w:val="center"/>
              <w:rPr>
                <w:rFonts w:ascii="Times New Roman" w:eastAsia="Calibri" w:hAnsi="Times New Roman" w:cs="Times New Roman"/>
                <w:sz w:val="20"/>
                <w:szCs w:val="20"/>
              </w:rPr>
            </w:pPr>
            <w:proofErr w:type="spellStart"/>
            <w:r w:rsidRPr="00A07F29">
              <w:rPr>
                <w:rFonts w:ascii="Times New Roman" w:eastAsia="Calibri" w:hAnsi="Times New Roman" w:cs="Times New Roman"/>
                <w:i/>
                <w:iCs/>
                <w:sz w:val="20"/>
                <w:szCs w:val="20"/>
              </w:rPr>
              <w:t>Ancylus</w:t>
            </w:r>
            <w:proofErr w:type="spellEnd"/>
            <w:r w:rsidRPr="00A07F29">
              <w:rPr>
                <w:rFonts w:ascii="Times New Roman" w:eastAsia="Calibri" w:hAnsi="Times New Roman" w:cs="Times New Roman"/>
                <w:i/>
                <w:iCs/>
                <w:sz w:val="20"/>
                <w:szCs w:val="20"/>
              </w:rPr>
              <w:t xml:space="preserve"> </w:t>
            </w:r>
            <w:proofErr w:type="spellStart"/>
            <w:r w:rsidRPr="00A07F29">
              <w:rPr>
                <w:rFonts w:ascii="Times New Roman" w:eastAsia="Calibri" w:hAnsi="Times New Roman" w:cs="Times New Roman"/>
                <w:i/>
                <w:iCs/>
                <w:sz w:val="20"/>
                <w:szCs w:val="20"/>
              </w:rPr>
              <w:t>fluviatilis</w:t>
            </w:r>
            <w:proofErr w:type="spellEnd"/>
          </w:p>
        </w:tc>
        <w:tc>
          <w:tcPr>
            <w:tcW w:w="1418" w:type="dxa"/>
            <w:vAlign w:val="center"/>
          </w:tcPr>
          <w:p w14:paraId="2C5E603F" w14:textId="77777777" w:rsidR="009072CE" w:rsidRPr="00A07F29" w:rsidRDefault="009072CE" w:rsidP="009072CE">
            <w:pPr>
              <w:spacing w:after="0" w:line="240" w:lineRule="auto"/>
              <w:jc w:val="center"/>
              <w:rPr>
                <w:rFonts w:ascii="Times New Roman" w:eastAsia="Calibri" w:hAnsi="Times New Roman" w:cs="Times New Roman"/>
                <w:sz w:val="20"/>
                <w:szCs w:val="20"/>
                <w:vertAlign w:val="superscript"/>
              </w:rPr>
            </w:pPr>
            <w:r w:rsidRPr="00A07F29">
              <w:rPr>
                <w:rFonts w:ascii="Times New Roman" w:eastAsia="Calibri" w:hAnsi="Times New Roman" w:cs="Times New Roman"/>
                <w:sz w:val="20"/>
                <w:szCs w:val="20"/>
              </w:rPr>
              <w:t>ĪAS</w:t>
            </w:r>
          </w:p>
        </w:tc>
        <w:tc>
          <w:tcPr>
            <w:tcW w:w="1417" w:type="dxa"/>
            <w:vAlign w:val="center"/>
          </w:tcPr>
          <w:p w14:paraId="3B9F1526" w14:textId="77777777" w:rsidR="009072CE" w:rsidRPr="00A07F29" w:rsidRDefault="009072CE" w:rsidP="009072CE">
            <w:pPr>
              <w:spacing w:after="0" w:line="240" w:lineRule="auto"/>
              <w:jc w:val="center"/>
              <w:rPr>
                <w:rFonts w:ascii="Times New Roman" w:eastAsia="Calibri" w:hAnsi="Times New Roman" w:cs="Times New Roman"/>
                <w:sz w:val="20"/>
                <w:szCs w:val="20"/>
              </w:rPr>
            </w:pPr>
          </w:p>
        </w:tc>
        <w:tc>
          <w:tcPr>
            <w:tcW w:w="1701" w:type="dxa"/>
            <w:vAlign w:val="center"/>
          </w:tcPr>
          <w:p w14:paraId="60FB187C" w14:textId="77777777" w:rsidR="009072CE" w:rsidRPr="00A07F29" w:rsidRDefault="009072CE" w:rsidP="009072CE">
            <w:pPr>
              <w:spacing w:after="0" w:line="240" w:lineRule="auto"/>
              <w:jc w:val="center"/>
              <w:rPr>
                <w:rFonts w:ascii="Times New Roman" w:eastAsia="Calibri" w:hAnsi="Times New Roman" w:cs="Times New Roman"/>
                <w:b/>
                <w:sz w:val="20"/>
                <w:szCs w:val="20"/>
              </w:rPr>
            </w:pPr>
          </w:p>
        </w:tc>
      </w:tr>
      <w:tr w:rsidR="009072CE" w:rsidRPr="00A07F29" w14:paraId="406C9894" w14:textId="77777777" w:rsidTr="009056A3">
        <w:tc>
          <w:tcPr>
            <w:tcW w:w="534" w:type="dxa"/>
          </w:tcPr>
          <w:p w14:paraId="131E26D7" w14:textId="06758BA5" w:rsidR="009072CE" w:rsidRPr="00A07F29" w:rsidRDefault="00E4038B" w:rsidP="009072CE">
            <w:pPr>
              <w:spacing w:after="0" w:line="240" w:lineRule="auto"/>
              <w:rPr>
                <w:rFonts w:ascii="Times New Roman" w:eastAsia="Calibri" w:hAnsi="Times New Roman" w:cs="Times New Roman"/>
                <w:sz w:val="20"/>
                <w:szCs w:val="20"/>
              </w:rPr>
            </w:pPr>
            <w:r w:rsidRPr="00A07F29">
              <w:rPr>
                <w:rFonts w:ascii="Times New Roman" w:eastAsia="Calibri" w:hAnsi="Times New Roman" w:cs="Times New Roman"/>
                <w:sz w:val="20"/>
                <w:szCs w:val="20"/>
              </w:rPr>
              <w:t>6.</w:t>
            </w:r>
          </w:p>
        </w:tc>
        <w:tc>
          <w:tcPr>
            <w:tcW w:w="1984" w:type="dxa"/>
            <w:vAlign w:val="center"/>
          </w:tcPr>
          <w:p w14:paraId="06C4BC48" w14:textId="77777777" w:rsidR="009072CE" w:rsidRPr="00A07F29" w:rsidRDefault="009072CE" w:rsidP="009072CE">
            <w:pPr>
              <w:spacing w:after="0" w:line="240" w:lineRule="auto"/>
              <w:jc w:val="center"/>
              <w:rPr>
                <w:rFonts w:ascii="Times New Roman" w:eastAsia="Calibri" w:hAnsi="Times New Roman" w:cs="Times New Roman"/>
                <w:i/>
                <w:iCs/>
                <w:sz w:val="20"/>
                <w:szCs w:val="20"/>
              </w:rPr>
            </w:pPr>
            <w:r w:rsidRPr="00A07F29">
              <w:rPr>
                <w:rFonts w:ascii="Times New Roman" w:eastAsia="Calibri" w:hAnsi="Times New Roman" w:cs="Times New Roman"/>
                <w:sz w:val="20"/>
                <w:szCs w:val="20"/>
              </w:rPr>
              <w:t xml:space="preserve">pelēkais </w:t>
            </w:r>
            <w:proofErr w:type="spellStart"/>
            <w:r w:rsidRPr="00A07F29">
              <w:rPr>
                <w:rFonts w:ascii="Times New Roman" w:eastAsia="Calibri" w:hAnsi="Times New Roman" w:cs="Times New Roman"/>
                <w:sz w:val="20"/>
                <w:szCs w:val="20"/>
              </w:rPr>
              <w:t>vārpstiņgliemezis</w:t>
            </w:r>
            <w:proofErr w:type="spellEnd"/>
          </w:p>
        </w:tc>
        <w:tc>
          <w:tcPr>
            <w:tcW w:w="2268" w:type="dxa"/>
            <w:vAlign w:val="center"/>
          </w:tcPr>
          <w:p w14:paraId="4477D625" w14:textId="77777777" w:rsidR="009072CE" w:rsidRPr="00A07F29" w:rsidRDefault="009072CE" w:rsidP="009072CE">
            <w:pPr>
              <w:spacing w:after="0" w:line="240" w:lineRule="auto"/>
              <w:jc w:val="center"/>
              <w:rPr>
                <w:rFonts w:ascii="Times New Roman" w:eastAsia="Arial Unicode MS" w:hAnsi="Times New Roman" w:cs="Times New Roman"/>
                <w:sz w:val="20"/>
                <w:szCs w:val="20"/>
              </w:rPr>
            </w:pPr>
            <w:proofErr w:type="spellStart"/>
            <w:r w:rsidRPr="00A07F29">
              <w:rPr>
                <w:rFonts w:ascii="Times New Roman" w:eastAsia="Calibri" w:hAnsi="Times New Roman" w:cs="Times New Roman"/>
                <w:i/>
                <w:iCs/>
                <w:sz w:val="20"/>
                <w:szCs w:val="20"/>
              </w:rPr>
              <w:t>Bulgarica</w:t>
            </w:r>
            <w:proofErr w:type="spellEnd"/>
            <w:r w:rsidRPr="00A07F29">
              <w:rPr>
                <w:rFonts w:ascii="Times New Roman" w:eastAsia="Calibri" w:hAnsi="Times New Roman" w:cs="Times New Roman"/>
                <w:i/>
                <w:iCs/>
                <w:sz w:val="20"/>
                <w:szCs w:val="20"/>
              </w:rPr>
              <w:t xml:space="preserve"> </w:t>
            </w:r>
            <w:proofErr w:type="spellStart"/>
            <w:r w:rsidRPr="00A07F29">
              <w:rPr>
                <w:rFonts w:ascii="Times New Roman" w:eastAsia="Calibri" w:hAnsi="Times New Roman" w:cs="Times New Roman"/>
                <w:i/>
                <w:iCs/>
                <w:sz w:val="20"/>
                <w:szCs w:val="20"/>
              </w:rPr>
              <w:t>cana</w:t>
            </w:r>
            <w:proofErr w:type="spellEnd"/>
          </w:p>
        </w:tc>
        <w:tc>
          <w:tcPr>
            <w:tcW w:w="1418" w:type="dxa"/>
            <w:vAlign w:val="center"/>
          </w:tcPr>
          <w:p w14:paraId="445F27ED" w14:textId="77777777" w:rsidR="009072CE" w:rsidRPr="00A07F29" w:rsidRDefault="009072CE" w:rsidP="009072CE">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ĪAS</w:t>
            </w:r>
          </w:p>
        </w:tc>
        <w:tc>
          <w:tcPr>
            <w:tcW w:w="1417" w:type="dxa"/>
            <w:vAlign w:val="center"/>
          </w:tcPr>
          <w:p w14:paraId="118B8AD0" w14:textId="77777777" w:rsidR="009072CE" w:rsidRPr="00A07F29" w:rsidRDefault="009072CE" w:rsidP="009072CE">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RL (3), IUCN LC MAB</w:t>
            </w:r>
          </w:p>
        </w:tc>
        <w:tc>
          <w:tcPr>
            <w:tcW w:w="1701" w:type="dxa"/>
            <w:vAlign w:val="center"/>
          </w:tcPr>
          <w:p w14:paraId="31590DA1" w14:textId="77777777" w:rsidR="009072CE" w:rsidRPr="00A07F29" w:rsidRDefault="009072CE" w:rsidP="009072CE">
            <w:pPr>
              <w:spacing w:after="0" w:line="240" w:lineRule="auto"/>
              <w:jc w:val="center"/>
              <w:rPr>
                <w:rFonts w:ascii="Times New Roman" w:eastAsia="Calibri" w:hAnsi="Times New Roman" w:cs="Times New Roman"/>
                <w:b/>
                <w:sz w:val="20"/>
                <w:szCs w:val="20"/>
              </w:rPr>
            </w:pPr>
          </w:p>
        </w:tc>
      </w:tr>
      <w:tr w:rsidR="009072CE" w:rsidRPr="00A07F29" w14:paraId="1F55A9C0" w14:textId="77777777" w:rsidTr="009056A3">
        <w:tc>
          <w:tcPr>
            <w:tcW w:w="534" w:type="dxa"/>
          </w:tcPr>
          <w:p w14:paraId="21263D5C" w14:textId="147C1A2B" w:rsidR="009072CE" w:rsidRPr="00A07F29" w:rsidRDefault="00E4038B" w:rsidP="009072CE">
            <w:pPr>
              <w:spacing w:after="0" w:line="240" w:lineRule="auto"/>
              <w:rPr>
                <w:rFonts w:ascii="Times New Roman" w:eastAsia="Calibri" w:hAnsi="Times New Roman" w:cs="Times New Roman"/>
                <w:sz w:val="20"/>
                <w:szCs w:val="20"/>
              </w:rPr>
            </w:pPr>
            <w:r w:rsidRPr="00A07F29">
              <w:rPr>
                <w:rFonts w:ascii="Times New Roman" w:eastAsia="Calibri" w:hAnsi="Times New Roman" w:cs="Times New Roman"/>
                <w:sz w:val="20"/>
                <w:szCs w:val="20"/>
              </w:rPr>
              <w:t>7.</w:t>
            </w:r>
          </w:p>
        </w:tc>
        <w:tc>
          <w:tcPr>
            <w:tcW w:w="1984" w:type="dxa"/>
            <w:vAlign w:val="center"/>
          </w:tcPr>
          <w:p w14:paraId="530CB2DC" w14:textId="77777777" w:rsidR="009072CE" w:rsidRPr="00A07F29" w:rsidRDefault="009072CE" w:rsidP="009072CE">
            <w:pPr>
              <w:spacing w:after="0" w:line="240" w:lineRule="auto"/>
              <w:jc w:val="center"/>
              <w:rPr>
                <w:rFonts w:ascii="Times New Roman" w:eastAsia="Calibri" w:hAnsi="Times New Roman" w:cs="Times New Roman"/>
                <w:i/>
                <w:iCs/>
                <w:sz w:val="20"/>
                <w:szCs w:val="20"/>
              </w:rPr>
            </w:pPr>
            <w:proofErr w:type="spellStart"/>
            <w:r w:rsidRPr="00A07F29">
              <w:rPr>
                <w:rFonts w:ascii="Times New Roman" w:eastAsia="Calibri" w:hAnsi="Times New Roman" w:cs="Times New Roman"/>
                <w:sz w:val="20"/>
                <w:szCs w:val="20"/>
              </w:rPr>
              <w:t>asribu</w:t>
            </w:r>
            <w:proofErr w:type="spellEnd"/>
            <w:r w:rsidRPr="00A07F29">
              <w:rPr>
                <w:rFonts w:ascii="Times New Roman" w:eastAsia="Calibri" w:hAnsi="Times New Roman" w:cs="Times New Roman"/>
                <w:sz w:val="20"/>
                <w:szCs w:val="20"/>
              </w:rPr>
              <w:t xml:space="preserve"> </w:t>
            </w:r>
            <w:proofErr w:type="spellStart"/>
            <w:r w:rsidRPr="00A07F29">
              <w:rPr>
                <w:rFonts w:ascii="Times New Roman" w:eastAsia="Calibri" w:hAnsi="Times New Roman" w:cs="Times New Roman"/>
                <w:sz w:val="20"/>
                <w:szCs w:val="20"/>
              </w:rPr>
              <w:t>vārpstiņgliemezis</w:t>
            </w:r>
            <w:proofErr w:type="spellEnd"/>
          </w:p>
        </w:tc>
        <w:tc>
          <w:tcPr>
            <w:tcW w:w="2268" w:type="dxa"/>
            <w:vAlign w:val="center"/>
          </w:tcPr>
          <w:p w14:paraId="293683DB" w14:textId="77777777" w:rsidR="009072CE" w:rsidRPr="00A07F29" w:rsidRDefault="009072CE" w:rsidP="009072CE">
            <w:pPr>
              <w:spacing w:after="0" w:line="240" w:lineRule="auto"/>
              <w:jc w:val="center"/>
              <w:rPr>
                <w:rFonts w:ascii="Times New Roman" w:eastAsia="Calibri" w:hAnsi="Times New Roman" w:cs="Times New Roman"/>
                <w:sz w:val="20"/>
                <w:szCs w:val="20"/>
              </w:rPr>
            </w:pPr>
            <w:proofErr w:type="spellStart"/>
            <w:r w:rsidRPr="00A07F29">
              <w:rPr>
                <w:rFonts w:ascii="Times New Roman" w:eastAsia="Calibri" w:hAnsi="Times New Roman" w:cs="Times New Roman"/>
                <w:i/>
                <w:iCs/>
                <w:sz w:val="20"/>
                <w:szCs w:val="20"/>
              </w:rPr>
              <w:t>Clausilia</w:t>
            </w:r>
            <w:proofErr w:type="spellEnd"/>
            <w:r w:rsidRPr="00A07F29">
              <w:rPr>
                <w:rFonts w:ascii="Times New Roman" w:eastAsia="Calibri" w:hAnsi="Times New Roman" w:cs="Times New Roman"/>
                <w:i/>
                <w:iCs/>
                <w:sz w:val="20"/>
                <w:szCs w:val="20"/>
              </w:rPr>
              <w:t xml:space="preserve"> </w:t>
            </w:r>
            <w:proofErr w:type="spellStart"/>
            <w:r w:rsidRPr="00A07F29">
              <w:rPr>
                <w:rFonts w:ascii="Times New Roman" w:eastAsia="Calibri" w:hAnsi="Times New Roman" w:cs="Times New Roman"/>
                <w:i/>
                <w:iCs/>
                <w:sz w:val="20"/>
                <w:szCs w:val="20"/>
              </w:rPr>
              <w:t>cruciata</w:t>
            </w:r>
            <w:proofErr w:type="spellEnd"/>
          </w:p>
        </w:tc>
        <w:tc>
          <w:tcPr>
            <w:tcW w:w="1418" w:type="dxa"/>
            <w:vAlign w:val="center"/>
          </w:tcPr>
          <w:p w14:paraId="2B6D2B8C" w14:textId="77777777" w:rsidR="009072CE" w:rsidRPr="00A07F29" w:rsidRDefault="009072CE" w:rsidP="009072CE">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ĪAS</w:t>
            </w:r>
            <w:r w:rsidRPr="00A07F29">
              <w:rPr>
                <w:rFonts w:ascii="Times New Roman" w:eastAsia="Calibri" w:hAnsi="Times New Roman" w:cs="Times New Roman"/>
                <w:sz w:val="20"/>
                <w:szCs w:val="20"/>
                <w:vertAlign w:val="superscript"/>
              </w:rPr>
              <w:t>1</w:t>
            </w:r>
          </w:p>
        </w:tc>
        <w:tc>
          <w:tcPr>
            <w:tcW w:w="1417" w:type="dxa"/>
            <w:vAlign w:val="center"/>
          </w:tcPr>
          <w:p w14:paraId="162C5C2C" w14:textId="77777777" w:rsidR="009072CE" w:rsidRPr="00A07F29" w:rsidRDefault="009072CE" w:rsidP="009072CE">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RL (3), IUCN LC MAB</w:t>
            </w:r>
          </w:p>
        </w:tc>
        <w:tc>
          <w:tcPr>
            <w:tcW w:w="1701" w:type="dxa"/>
            <w:vAlign w:val="center"/>
          </w:tcPr>
          <w:p w14:paraId="3ED8D44F" w14:textId="77777777" w:rsidR="009072CE" w:rsidRPr="00A07F29" w:rsidRDefault="009072CE" w:rsidP="009072CE">
            <w:pPr>
              <w:spacing w:after="0" w:line="240" w:lineRule="auto"/>
              <w:jc w:val="center"/>
              <w:rPr>
                <w:rFonts w:ascii="Times New Roman" w:eastAsia="Calibri" w:hAnsi="Times New Roman" w:cs="Times New Roman"/>
                <w:b/>
                <w:sz w:val="20"/>
                <w:szCs w:val="20"/>
              </w:rPr>
            </w:pPr>
          </w:p>
        </w:tc>
      </w:tr>
      <w:tr w:rsidR="009072CE" w:rsidRPr="00A07F29" w14:paraId="04DD4DCE" w14:textId="77777777" w:rsidTr="009056A3">
        <w:tc>
          <w:tcPr>
            <w:tcW w:w="534" w:type="dxa"/>
          </w:tcPr>
          <w:p w14:paraId="345DF66E" w14:textId="631FAC03" w:rsidR="009072CE" w:rsidRPr="00A07F29" w:rsidRDefault="00E4038B" w:rsidP="009072CE">
            <w:pPr>
              <w:spacing w:after="0" w:line="240" w:lineRule="auto"/>
              <w:rPr>
                <w:rFonts w:ascii="Times New Roman" w:eastAsia="Calibri" w:hAnsi="Times New Roman" w:cs="Times New Roman"/>
                <w:sz w:val="20"/>
                <w:szCs w:val="20"/>
              </w:rPr>
            </w:pPr>
            <w:r w:rsidRPr="00A07F29">
              <w:rPr>
                <w:rFonts w:ascii="Times New Roman" w:eastAsia="Calibri" w:hAnsi="Times New Roman" w:cs="Times New Roman"/>
                <w:sz w:val="20"/>
                <w:szCs w:val="20"/>
              </w:rPr>
              <w:t>8.</w:t>
            </w:r>
          </w:p>
        </w:tc>
        <w:tc>
          <w:tcPr>
            <w:tcW w:w="1984" w:type="dxa"/>
            <w:vAlign w:val="center"/>
          </w:tcPr>
          <w:p w14:paraId="13C39EF9" w14:textId="77777777" w:rsidR="009072CE" w:rsidRPr="00A07F29" w:rsidRDefault="009072CE" w:rsidP="009072CE">
            <w:pPr>
              <w:spacing w:after="0" w:line="240" w:lineRule="auto"/>
              <w:jc w:val="center"/>
              <w:rPr>
                <w:rFonts w:ascii="Times New Roman" w:eastAsia="Calibri" w:hAnsi="Times New Roman" w:cs="Times New Roman"/>
                <w:i/>
                <w:iCs/>
                <w:sz w:val="20"/>
                <w:szCs w:val="20"/>
              </w:rPr>
            </w:pPr>
            <w:proofErr w:type="spellStart"/>
            <w:r w:rsidRPr="00A07F29">
              <w:rPr>
                <w:rFonts w:ascii="Times New Roman" w:eastAsia="Calibri" w:hAnsi="Times New Roman" w:cs="Times New Roman"/>
                <w:sz w:val="20"/>
                <w:szCs w:val="20"/>
              </w:rPr>
              <w:t>margainais</w:t>
            </w:r>
            <w:proofErr w:type="spellEnd"/>
            <w:r w:rsidRPr="00A07F29">
              <w:rPr>
                <w:rFonts w:ascii="Times New Roman" w:eastAsia="Calibri" w:hAnsi="Times New Roman" w:cs="Times New Roman"/>
                <w:sz w:val="20"/>
                <w:szCs w:val="20"/>
              </w:rPr>
              <w:t xml:space="preserve"> </w:t>
            </w:r>
            <w:proofErr w:type="spellStart"/>
            <w:r w:rsidRPr="00A07F29">
              <w:rPr>
                <w:rFonts w:ascii="Times New Roman" w:eastAsia="Calibri" w:hAnsi="Times New Roman" w:cs="Times New Roman"/>
                <w:sz w:val="20"/>
                <w:szCs w:val="20"/>
              </w:rPr>
              <w:t>vārpstiņgliemezis</w:t>
            </w:r>
            <w:proofErr w:type="spellEnd"/>
          </w:p>
        </w:tc>
        <w:tc>
          <w:tcPr>
            <w:tcW w:w="2268" w:type="dxa"/>
            <w:vAlign w:val="center"/>
          </w:tcPr>
          <w:p w14:paraId="52B67519" w14:textId="77777777" w:rsidR="009072CE" w:rsidRPr="00A07F29" w:rsidRDefault="009072CE" w:rsidP="009072CE">
            <w:pPr>
              <w:spacing w:after="0" w:line="240" w:lineRule="auto"/>
              <w:jc w:val="center"/>
              <w:rPr>
                <w:rFonts w:ascii="Times New Roman" w:eastAsia="Calibri" w:hAnsi="Times New Roman" w:cs="Times New Roman"/>
                <w:sz w:val="20"/>
                <w:szCs w:val="20"/>
              </w:rPr>
            </w:pPr>
            <w:proofErr w:type="spellStart"/>
            <w:r w:rsidRPr="00A07F29">
              <w:rPr>
                <w:rFonts w:ascii="Times New Roman" w:eastAsia="Calibri" w:hAnsi="Times New Roman" w:cs="Times New Roman"/>
                <w:i/>
                <w:iCs/>
                <w:sz w:val="20"/>
                <w:szCs w:val="20"/>
              </w:rPr>
              <w:t>Clausilia</w:t>
            </w:r>
            <w:proofErr w:type="spellEnd"/>
            <w:r w:rsidRPr="00A07F29">
              <w:rPr>
                <w:rFonts w:ascii="Times New Roman" w:eastAsia="Calibri" w:hAnsi="Times New Roman" w:cs="Times New Roman"/>
                <w:i/>
                <w:iCs/>
                <w:sz w:val="20"/>
                <w:szCs w:val="20"/>
              </w:rPr>
              <w:t xml:space="preserve"> </w:t>
            </w:r>
            <w:proofErr w:type="spellStart"/>
            <w:r w:rsidRPr="00A07F29">
              <w:rPr>
                <w:rFonts w:ascii="Times New Roman" w:eastAsia="Calibri" w:hAnsi="Times New Roman" w:cs="Times New Roman"/>
                <w:i/>
                <w:iCs/>
                <w:sz w:val="20"/>
                <w:szCs w:val="20"/>
              </w:rPr>
              <w:t>dubia</w:t>
            </w:r>
            <w:proofErr w:type="spellEnd"/>
          </w:p>
        </w:tc>
        <w:tc>
          <w:tcPr>
            <w:tcW w:w="1418" w:type="dxa"/>
            <w:vAlign w:val="center"/>
          </w:tcPr>
          <w:p w14:paraId="3CB7143A" w14:textId="77777777" w:rsidR="009072CE" w:rsidRPr="00A07F29" w:rsidRDefault="009072CE" w:rsidP="009072CE">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ĪAS</w:t>
            </w:r>
          </w:p>
        </w:tc>
        <w:tc>
          <w:tcPr>
            <w:tcW w:w="1417" w:type="dxa"/>
            <w:vAlign w:val="center"/>
          </w:tcPr>
          <w:p w14:paraId="568FCE3C" w14:textId="77777777" w:rsidR="009072CE" w:rsidRPr="00A07F29" w:rsidRDefault="009072CE" w:rsidP="009072CE">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RL (3), IUCN LC MAB</w:t>
            </w:r>
          </w:p>
        </w:tc>
        <w:tc>
          <w:tcPr>
            <w:tcW w:w="1701" w:type="dxa"/>
            <w:vAlign w:val="center"/>
          </w:tcPr>
          <w:p w14:paraId="65E7B37A" w14:textId="77777777" w:rsidR="009072CE" w:rsidRPr="00A07F29" w:rsidRDefault="009072CE" w:rsidP="009072CE">
            <w:pPr>
              <w:spacing w:after="0" w:line="240" w:lineRule="auto"/>
              <w:jc w:val="center"/>
              <w:rPr>
                <w:rFonts w:ascii="Times New Roman" w:eastAsia="Calibri" w:hAnsi="Times New Roman" w:cs="Times New Roman"/>
                <w:b/>
                <w:sz w:val="20"/>
                <w:szCs w:val="20"/>
              </w:rPr>
            </w:pPr>
          </w:p>
        </w:tc>
      </w:tr>
      <w:tr w:rsidR="009072CE" w:rsidRPr="00A07F29" w14:paraId="06398452" w14:textId="77777777" w:rsidTr="009056A3">
        <w:tc>
          <w:tcPr>
            <w:tcW w:w="534" w:type="dxa"/>
          </w:tcPr>
          <w:p w14:paraId="38FE7C54" w14:textId="735216AE" w:rsidR="009072CE" w:rsidRPr="00A07F29" w:rsidRDefault="00E4038B" w:rsidP="009072CE">
            <w:pPr>
              <w:spacing w:after="0" w:line="240" w:lineRule="auto"/>
              <w:rPr>
                <w:rFonts w:ascii="Times New Roman" w:eastAsia="Calibri" w:hAnsi="Times New Roman" w:cs="Times New Roman"/>
                <w:sz w:val="20"/>
                <w:szCs w:val="20"/>
              </w:rPr>
            </w:pPr>
            <w:r w:rsidRPr="00A07F29">
              <w:rPr>
                <w:rFonts w:ascii="Times New Roman" w:eastAsia="Calibri" w:hAnsi="Times New Roman" w:cs="Times New Roman"/>
                <w:sz w:val="20"/>
                <w:szCs w:val="20"/>
              </w:rPr>
              <w:t>9.</w:t>
            </w:r>
          </w:p>
        </w:tc>
        <w:tc>
          <w:tcPr>
            <w:tcW w:w="1984" w:type="dxa"/>
            <w:vAlign w:val="center"/>
          </w:tcPr>
          <w:p w14:paraId="15F4679A" w14:textId="77777777" w:rsidR="009072CE" w:rsidRPr="00A07F29" w:rsidRDefault="009072CE" w:rsidP="009072CE">
            <w:pPr>
              <w:spacing w:after="0" w:line="240" w:lineRule="auto"/>
              <w:jc w:val="center"/>
              <w:rPr>
                <w:rFonts w:ascii="Times New Roman" w:eastAsia="Calibri" w:hAnsi="Times New Roman" w:cs="Times New Roman"/>
                <w:i/>
                <w:iCs/>
                <w:sz w:val="20"/>
                <w:szCs w:val="20"/>
              </w:rPr>
            </w:pPr>
            <w:proofErr w:type="spellStart"/>
            <w:r w:rsidRPr="00A07F29">
              <w:rPr>
                <w:rFonts w:ascii="Times New Roman" w:eastAsia="Calibri" w:hAnsi="Times New Roman" w:cs="Times New Roman"/>
                <w:sz w:val="20"/>
                <w:szCs w:val="20"/>
              </w:rPr>
              <w:t>vālīšveida</w:t>
            </w:r>
            <w:proofErr w:type="spellEnd"/>
            <w:r w:rsidRPr="00A07F29">
              <w:rPr>
                <w:rFonts w:ascii="Times New Roman" w:eastAsia="Calibri" w:hAnsi="Times New Roman" w:cs="Times New Roman"/>
                <w:sz w:val="20"/>
                <w:szCs w:val="20"/>
              </w:rPr>
              <w:t xml:space="preserve"> </w:t>
            </w:r>
            <w:proofErr w:type="spellStart"/>
            <w:r w:rsidRPr="00A07F29">
              <w:rPr>
                <w:rFonts w:ascii="Times New Roman" w:eastAsia="Calibri" w:hAnsi="Times New Roman" w:cs="Times New Roman"/>
                <w:sz w:val="20"/>
                <w:szCs w:val="20"/>
              </w:rPr>
              <w:t>vārpstiņgliemezis</w:t>
            </w:r>
            <w:proofErr w:type="spellEnd"/>
          </w:p>
        </w:tc>
        <w:tc>
          <w:tcPr>
            <w:tcW w:w="2268" w:type="dxa"/>
            <w:vAlign w:val="center"/>
          </w:tcPr>
          <w:p w14:paraId="5C37448D" w14:textId="77777777" w:rsidR="009072CE" w:rsidRPr="00A07F29" w:rsidRDefault="009072CE" w:rsidP="009072CE">
            <w:pPr>
              <w:spacing w:after="0" w:line="240" w:lineRule="auto"/>
              <w:jc w:val="center"/>
              <w:rPr>
                <w:rFonts w:ascii="Times New Roman" w:eastAsia="Calibri" w:hAnsi="Times New Roman" w:cs="Times New Roman"/>
                <w:sz w:val="20"/>
                <w:szCs w:val="20"/>
              </w:rPr>
            </w:pPr>
            <w:proofErr w:type="spellStart"/>
            <w:r w:rsidRPr="00A07F29">
              <w:rPr>
                <w:rFonts w:ascii="Times New Roman" w:eastAsia="Calibri" w:hAnsi="Times New Roman" w:cs="Times New Roman"/>
                <w:i/>
                <w:iCs/>
                <w:sz w:val="20"/>
                <w:szCs w:val="20"/>
              </w:rPr>
              <w:t>Clausilia</w:t>
            </w:r>
            <w:proofErr w:type="spellEnd"/>
            <w:r w:rsidRPr="00A07F29">
              <w:rPr>
                <w:rFonts w:ascii="Times New Roman" w:eastAsia="Calibri" w:hAnsi="Times New Roman" w:cs="Times New Roman"/>
                <w:i/>
                <w:iCs/>
                <w:sz w:val="20"/>
                <w:szCs w:val="20"/>
              </w:rPr>
              <w:t xml:space="preserve"> </w:t>
            </w:r>
            <w:proofErr w:type="spellStart"/>
            <w:r w:rsidRPr="00A07F29">
              <w:rPr>
                <w:rFonts w:ascii="Times New Roman" w:eastAsia="Calibri" w:hAnsi="Times New Roman" w:cs="Times New Roman"/>
                <w:i/>
                <w:iCs/>
                <w:sz w:val="20"/>
                <w:szCs w:val="20"/>
              </w:rPr>
              <w:t>pumila</w:t>
            </w:r>
            <w:proofErr w:type="spellEnd"/>
          </w:p>
        </w:tc>
        <w:tc>
          <w:tcPr>
            <w:tcW w:w="1418" w:type="dxa"/>
            <w:vAlign w:val="center"/>
          </w:tcPr>
          <w:p w14:paraId="4F4DCB9C" w14:textId="77777777" w:rsidR="009072CE" w:rsidRPr="00A07F29" w:rsidRDefault="009072CE" w:rsidP="009072CE">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ĪAS</w:t>
            </w:r>
          </w:p>
        </w:tc>
        <w:tc>
          <w:tcPr>
            <w:tcW w:w="1417" w:type="dxa"/>
            <w:vAlign w:val="center"/>
          </w:tcPr>
          <w:p w14:paraId="7688F935" w14:textId="77777777" w:rsidR="009072CE" w:rsidRPr="00A07F29" w:rsidRDefault="009072CE" w:rsidP="009072CE">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RL (3), IUCN LC MAB</w:t>
            </w:r>
          </w:p>
        </w:tc>
        <w:tc>
          <w:tcPr>
            <w:tcW w:w="1701" w:type="dxa"/>
            <w:vAlign w:val="center"/>
          </w:tcPr>
          <w:p w14:paraId="7FCD68C7" w14:textId="77777777" w:rsidR="009072CE" w:rsidRPr="00A07F29" w:rsidRDefault="009072CE" w:rsidP="009072CE">
            <w:pPr>
              <w:spacing w:after="0" w:line="240" w:lineRule="auto"/>
              <w:jc w:val="center"/>
              <w:rPr>
                <w:rFonts w:ascii="Times New Roman" w:eastAsia="Calibri" w:hAnsi="Times New Roman" w:cs="Times New Roman"/>
                <w:b/>
                <w:sz w:val="20"/>
                <w:szCs w:val="20"/>
              </w:rPr>
            </w:pPr>
          </w:p>
        </w:tc>
      </w:tr>
      <w:tr w:rsidR="009072CE" w:rsidRPr="00A07F29" w14:paraId="3010C661" w14:textId="77777777" w:rsidTr="009056A3">
        <w:tc>
          <w:tcPr>
            <w:tcW w:w="534" w:type="dxa"/>
          </w:tcPr>
          <w:p w14:paraId="6795F229" w14:textId="14E07940" w:rsidR="009072CE" w:rsidRPr="00A07F29" w:rsidRDefault="00E4038B" w:rsidP="009072CE">
            <w:pPr>
              <w:spacing w:after="0" w:line="240" w:lineRule="auto"/>
              <w:rPr>
                <w:rFonts w:ascii="Times New Roman" w:eastAsia="Calibri" w:hAnsi="Times New Roman" w:cs="Times New Roman"/>
                <w:sz w:val="20"/>
                <w:szCs w:val="20"/>
              </w:rPr>
            </w:pPr>
            <w:r w:rsidRPr="00A07F29">
              <w:rPr>
                <w:rFonts w:ascii="Times New Roman" w:eastAsia="Calibri" w:hAnsi="Times New Roman" w:cs="Times New Roman"/>
                <w:sz w:val="20"/>
                <w:szCs w:val="20"/>
              </w:rPr>
              <w:t>10.</w:t>
            </w:r>
          </w:p>
        </w:tc>
        <w:tc>
          <w:tcPr>
            <w:tcW w:w="1984" w:type="dxa"/>
            <w:vAlign w:val="center"/>
          </w:tcPr>
          <w:p w14:paraId="7E780DD2" w14:textId="77777777" w:rsidR="009072CE" w:rsidRPr="00A07F29" w:rsidRDefault="009072CE" w:rsidP="009072CE">
            <w:pPr>
              <w:spacing w:after="0" w:line="240" w:lineRule="auto"/>
              <w:jc w:val="center"/>
              <w:rPr>
                <w:rFonts w:ascii="Times New Roman" w:eastAsia="Calibri" w:hAnsi="Times New Roman" w:cs="Times New Roman"/>
                <w:i/>
                <w:iCs/>
                <w:sz w:val="20"/>
                <w:szCs w:val="20"/>
              </w:rPr>
            </w:pPr>
            <w:r w:rsidRPr="00A07F29">
              <w:rPr>
                <w:rFonts w:ascii="Times New Roman" w:eastAsia="Calibri" w:hAnsi="Times New Roman" w:cs="Times New Roman"/>
                <w:sz w:val="20"/>
                <w:szCs w:val="20"/>
              </w:rPr>
              <w:t xml:space="preserve">lielais </w:t>
            </w:r>
            <w:proofErr w:type="spellStart"/>
            <w:r w:rsidRPr="00A07F29">
              <w:rPr>
                <w:rFonts w:ascii="Times New Roman" w:eastAsia="Calibri" w:hAnsi="Times New Roman" w:cs="Times New Roman"/>
                <w:sz w:val="20"/>
                <w:szCs w:val="20"/>
              </w:rPr>
              <w:t>gludgliemezis</w:t>
            </w:r>
            <w:proofErr w:type="spellEnd"/>
          </w:p>
        </w:tc>
        <w:tc>
          <w:tcPr>
            <w:tcW w:w="2268" w:type="dxa"/>
            <w:vAlign w:val="center"/>
          </w:tcPr>
          <w:p w14:paraId="5EB725F3" w14:textId="77777777" w:rsidR="009072CE" w:rsidRPr="00A07F29" w:rsidRDefault="009072CE" w:rsidP="009072CE">
            <w:pPr>
              <w:spacing w:after="0" w:line="240" w:lineRule="auto"/>
              <w:jc w:val="center"/>
              <w:rPr>
                <w:rFonts w:ascii="Times New Roman" w:eastAsia="Calibri" w:hAnsi="Times New Roman" w:cs="Times New Roman"/>
                <w:sz w:val="20"/>
                <w:szCs w:val="20"/>
              </w:rPr>
            </w:pPr>
            <w:proofErr w:type="spellStart"/>
            <w:r w:rsidRPr="00A07F29">
              <w:rPr>
                <w:rFonts w:ascii="Times New Roman" w:eastAsia="Calibri" w:hAnsi="Times New Roman" w:cs="Times New Roman"/>
                <w:i/>
                <w:iCs/>
                <w:sz w:val="20"/>
                <w:szCs w:val="20"/>
              </w:rPr>
              <w:t>Cochlicopa</w:t>
            </w:r>
            <w:proofErr w:type="spellEnd"/>
            <w:r w:rsidRPr="00A07F29">
              <w:rPr>
                <w:rFonts w:ascii="Times New Roman" w:eastAsia="Calibri" w:hAnsi="Times New Roman" w:cs="Times New Roman"/>
                <w:i/>
                <w:iCs/>
                <w:sz w:val="20"/>
                <w:szCs w:val="20"/>
              </w:rPr>
              <w:t xml:space="preserve"> </w:t>
            </w:r>
            <w:proofErr w:type="spellStart"/>
            <w:r w:rsidRPr="00A07F29">
              <w:rPr>
                <w:rFonts w:ascii="Times New Roman" w:eastAsia="Calibri" w:hAnsi="Times New Roman" w:cs="Times New Roman"/>
                <w:i/>
                <w:iCs/>
                <w:sz w:val="20"/>
                <w:szCs w:val="20"/>
              </w:rPr>
              <w:t>nitens</w:t>
            </w:r>
            <w:proofErr w:type="spellEnd"/>
          </w:p>
        </w:tc>
        <w:tc>
          <w:tcPr>
            <w:tcW w:w="1418" w:type="dxa"/>
            <w:vAlign w:val="center"/>
          </w:tcPr>
          <w:p w14:paraId="3337D470" w14:textId="77777777" w:rsidR="009072CE" w:rsidRPr="00A07F29" w:rsidRDefault="009072CE" w:rsidP="009072CE">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ĪAS</w:t>
            </w:r>
          </w:p>
        </w:tc>
        <w:tc>
          <w:tcPr>
            <w:tcW w:w="1417" w:type="dxa"/>
            <w:vAlign w:val="center"/>
          </w:tcPr>
          <w:p w14:paraId="7FDD9B82" w14:textId="77777777" w:rsidR="009072CE" w:rsidRPr="00A07F29" w:rsidRDefault="009072CE" w:rsidP="009072CE">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RL (3), IUCN</w:t>
            </w:r>
          </w:p>
          <w:p w14:paraId="73A3CDB9" w14:textId="77777777" w:rsidR="009072CE" w:rsidRPr="00A07F29" w:rsidRDefault="009072CE" w:rsidP="009072CE">
            <w:pPr>
              <w:autoSpaceDE w:val="0"/>
              <w:autoSpaceDN w:val="0"/>
              <w:adjustRightInd w:val="0"/>
              <w:spacing w:after="0" w:line="240" w:lineRule="auto"/>
              <w:jc w:val="center"/>
              <w:rPr>
                <w:rFonts w:ascii="Minion Pro" w:eastAsia="Times New Roman" w:hAnsi="Minion Pro" w:cs="Minion Pro"/>
                <w:color w:val="000000"/>
                <w:sz w:val="18"/>
                <w:szCs w:val="18"/>
                <w:lang w:eastAsia="lv-LV"/>
              </w:rPr>
            </w:pPr>
            <w:r w:rsidRPr="00A07F29">
              <w:rPr>
                <w:rFonts w:ascii="Minion Pro" w:eastAsia="Times New Roman" w:hAnsi="Minion Pro" w:cs="Minion Pro"/>
                <w:color w:val="000000"/>
                <w:sz w:val="18"/>
                <w:szCs w:val="18"/>
                <w:lang w:eastAsia="lv-LV"/>
              </w:rPr>
              <w:t>LR/LC ver 2.3</w:t>
            </w:r>
          </w:p>
        </w:tc>
        <w:tc>
          <w:tcPr>
            <w:tcW w:w="1701" w:type="dxa"/>
            <w:vAlign w:val="center"/>
          </w:tcPr>
          <w:p w14:paraId="6E182A04" w14:textId="77777777" w:rsidR="009072CE" w:rsidRPr="00A07F29" w:rsidRDefault="009072CE" w:rsidP="009072CE">
            <w:pPr>
              <w:spacing w:after="0" w:line="240" w:lineRule="auto"/>
              <w:jc w:val="center"/>
              <w:rPr>
                <w:rFonts w:ascii="Times New Roman" w:eastAsia="Calibri" w:hAnsi="Times New Roman" w:cs="Times New Roman"/>
                <w:b/>
                <w:sz w:val="20"/>
                <w:szCs w:val="20"/>
              </w:rPr>
            </w:pPr>
          </w:p>
        </w:tc>
      </w:tr>
      <w:tr w:rsidR="009072CE" w:rsidRPr="00A07F29" w14:paraId="70CBF42D" w14:textId="77777777" w:rsidTr="009056A3">
        <w:tc>
          <w:tcPr>
            <w:tcW w:w="534" w:type="dxa"/>
          </w:tcPr>
          <w:p w14:paraId="0E973283" w14:textId="22CF324E" w:rsidR="009072CE" w:rsidRPr="00A07F29" w:rsidRDefault="00E4038B" w:rsidP="009072CE">
            <w:pPr>
              <w:spacing w:after="0" w:line="240" w:lineRule="auto"/>
              <w:rPr>
                <w:rFonts w:ascii="Times New Roman" w:eastAsia="Calibri" w:hAnsi="Times New Roman" w:cs="Times New Roman"/>
                <w:sz w:val="20"/>
                <w:szCs w:val="20"/>
              </w:rPr>
            </w:pPr>
            <w:r w:rsidRPr="00A07F29">
              <w:rPr>
                <w:rFonts w:ascii="Times New Roman" w:eastAsia="Calibri" w:hAnsi="Times New Roman" w:cs="Times New Roman"/>
                <w:sz w:val="20"/>
                <w:szCs w:val="20"/>
              </w:rPr>
              <w:t>11.</w:t>
            </w:r>
          </w:p>
        </w:tc>
        <w:tc>
          <w:tcPr>
            <w:tcW w:w="1984" w:type="dxa"/>
            <w:vAlign w:val="center"/>
          </w:tcPr>
          <w:p w14:paraId="597972B4" w14:textId="77777777" w:rsidR="009072CE" w:rsidRPr="00A07F29" w:rsidRDefault="009072CE" w:rsidP="009072CE">
            <w:pPr>
              <w:spacing w:after="0" w:line="240" w:lineRule="auto"/>
              <w:jc w:val="center"/>
              <w:rPr>
                <w:rFonts w:ascii="Times New Roman" w:eastAsia="Calibri" w:hAnsi="Times New Roman" w:cs="Times New Roman"/>
                <w:i/>
                <w:iCs/>
                <w:sz w:val="20"/>
                <w:szCs w:val="20"/>
              </w:rPr>
            </w:pPr>
            <w:proofErr w:type="spellStart"/>
            <w:r w:rsidRPr="00A07F29">
              <w:rPr>
                <w:rFonts w:ascii="Times New Roman" w:eastAsia="Calibri" w:hAnsi="Times New Roman" w:cs="Times New Roman"/>
                <w:sz w:val="20"/>
                <w:szCs w:val="20"/>
              </w:rPr>
              <w:t>taisnmutes</w:t>
            </w:r>
            <w:proofErr w:type="spellEnd"/>
            <w:r w:rsidRPr="00A07F29">
              <w:rPr>
                <w:rFonts w:ascii="Times New Roman" w:eastAsia="Calibri" w:hAnsi="Times New Roman" w:cs="Times New Roman"/>
                <w:sz w:val="20"/>
                <w:szCs w:val="20"/>
              </w:rPr>
              <w:t xml:space="preserve"> </w:t>
            </w:r>
            <w:proofErr w:type="spellStart"/>
            <w:r w:rsidRPr="00A07F29">
              <w:rPr>
                <w:rFonts w:ascii="Times New Roman" w:eastAsia="Calibri" w:hAnsi="Times New Roman" w:cs="Times New Roman"/>
                <w:sz w:val="20"/>
                <w:szCs w:val="20"/>
              </w:rPr>
              <w:t>vārpstiņgliemezis</w:t>
            </w:r>
            <w:proofErr w:type="spellEnd"/>
          </w:p>
        </w:tc>
        <w:tc>
          <w:tcPr>
            <w:tcW w:w="2268" w:type="dxa"/>
            <w:vAlign w:val="center"/>
          </w:tcPr>
          <w:p w14:paraId="23323630" w14:textId="77777777" w:rsidR="009072CE" w:rsidRPr="00A07F29" w:rsidRDefault="009072CE" w:rsidP="009072CE">
            <w:pPr>
              <w:spacing w:after="0" w:line="240" w:lineRule="auto"/>
              <w:jc w:val="center"/>
              <w:rPr>
                <w:rFonts w:ascii="Times New Roman" w:eastAsia="Calibri" w:hAnsi="Times New Roman" w:cs="Times New Roman"/>
                <w:sz w:val="20"/>
                <w:szCs w:val="20"/>
              </w:rPr>
            </w:pPr>
            <w:proofErr w:type="spellStart"/>
            <w:r w:rsidRPr="00A07F29">
              <w:rPr>
                <w:rFonts w:ascii="Times New Roman" w:eastAsia="Calibri" w:hAnsi="Times New Roman" w:cs="Times New Roman"/>
                <w:i/>
                <w:iCs/>
                <w:sz w:val="20"/>
                <w:szCs w:val="20"/>
              </w:rPr>
              <w:t>Cochlodina</w:t>
            </w:r>
            <w:proofErr w:type="spellEnd"/>
            <w:r w:rsidRPr="00A07F29">
              <w:rPr>
                <w:rFonts w:ascii="Times New Roman" w:eastAsia="Calibri" w:hAnsi="Times New Roman" w:cs="Times New Roman"/>
                <w:i/>
                <w:iCs/>
                <w:sz w:val="20"/>
                <w:szCs w:val="20"/>
              </w:rPr>
              <w:t xml:space="preserve"> </w:t>
            </w:r>
            <w:proofErr w:type="spellStart"/>
            <w:r w:rsidRPr="00A07F29">
              <w:rPr>
                <w:rFonts w:ascii="Times New Roman" w:eastAsia="Calibri" w:hAnsi="Times New Roman" w:cs="Times New Roman"/>
                <w:i/>
                <w:iCs/>
                <w:sz w:val="20"/>
                <w:szCs w:val="20"/>
              </w:rPr>
              <w:t>orthostoma</w:t>
            </w:r>
            <w:proofErr w:type="spellEnd"/>
          </w:p>
        </w:tc>
        <w:tc>
          <w:tcPr>
            <w:tcW w:w="1418" w:type="dxa"/>
            <w:vAlign w:val="center"/>
          </w:tcPr>
          <w:p w14:paraId="58559E43" w14:textId="77777777" w:rsidR="009072CE" w:rsidRPr="00A07F29" w:rsidRDefault="009072CE" w:rsidP="009072CE">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ĪAS</w:t>
            </w:r>
          </w:p>
        </w:tc>
        <w:tc>
          <w:tcPr>
            <w:tcW w:w="1417" w:type="dxa"/>
            <w:vAlign w:val="center"/>
          </w:tcPr>
          <w:p w14:paraId="67A54D79" w14:textId="77777777" w:rsidR="009072CE" w:rsidRPr="00A07F29" w:rsidRDefault="009072CE" w:rsidP="009072CE">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RL (3), IUCN LC, MAB</w:t>
            </w:r>
          </w:p>
        </w:tc>
        <w:tc>
          <w:tcPr>
            <w:tcW w:w="1701" w:type="dxa"/>
            <w:vAlign w:val="center"/>
          </w:tcPr>
          <w:p w14:paraId="4B9A12B1" w14:textId="77777777" w:rsidR="009072CE" w:rsidRPr="00A07F29" w:rsidRDefault="009072CE" w:rsidP="009072CE">
            <w:pPr>
              <w:spacing w:after="0" w:line="240" w:lineRule="auto"/>
              <w:jc w:val="center"/>
              <w:rPr>
                <w:rFonts w:ascii="Times New Roman" w:eastAsia="Calibri" w:hAnsi="Times New Roman" w:cs="Times New Roman"/>
                <w:b/>
                <w:sz w:val="20"/>
                <w:szCs w:val="20"/>
              </w:rPr>
            </w:pPr>
          </w:p>
        </w:tc>
      </w:tr>
      <w:tr w:rsidR="009072CE" w:rsidRPr="00A07F29" w14:paraId="2820020E" w14:textId="77777777" w:rsidTr="009056A3">
        <w:tc>
          <w:tcPr>
            <w:tcW w:w="534" w:type="dxa"/>
          </w:tcPr>
          <w:p w14:paraId="5B63676B" w14:textId="25627074" w:rsidR="009072CE" w:rsidRPr="00A07F29" w:rsidRDefault="00E4038B" w:rsidP="009072CE">
            <w:pPr>
              <w:spacing w:after="0" w:line="240" w:lineRule="auto"/>
              <w:rPr>
                <w:rFonts w:ascii="Times New Roman" w:eastAsia="Calibri" w:hAnsi="Times New Roman" w:cs="Times New Roman"/>
                <w:sz w:val="20"/>
                <w:szCs w:val="20"/>
              </w:rPr>
            </w:pPr>
            <w:r w:rsidRPr="00A07F29">
              <w:rPr>
                <w:rFonts w:ascii="Times New Roman" w:eastAsia="Calibri" w:hAnsi="Times New Roman" w:cs="Times New Roman"/>
                <w:sz w:val="20"/>
                <w:szCs w:val="20"/>
              </w:rPr>
              <w:t>12.</w:t>
            </w:r>
          </w:p>
        </w:tc>
        <w:tc>
          <w:tcPr>
            <w:tcW w:w="1984" w:type="dxa"/>
            <w:vAlign w:val="center"/>
          </w:tcPr>
          <w:p w14:paraId="0F83647E" w14:textId="77777777" w:rsidR="009072CE" w:rsidRPr="00A07F29" w:rsidRDefault="009072CE" w:rsidP="009072CE">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rPr>
              <w:t xml:space="preserve">ribainā </w:t>
            </w:r>
            <w:proofErr w:type="spellStart"/>
            <w:r w:rsidRPr="00A07F29">
              <w:rPr>
                <w:rFonts w:ascii="Times New Roman" w:eastAsia="Calibri" w:hAnsi="Times New Roman" w:cs="Times New Roman"/>
                <w:sz w:val="20"/>
              </w:rPr>
              <w:t>ūdensspolīte</w:t>
            </w:r>
            <w:proofErr w:type="spellEnd"/>
          </w:p>
        </w:tc>
        <w:tc>
          <w:tcPr>
            <w:tcW w:w="2268" w:type="dxa"/>
            <w:vAlign w:val="center"/>
          </w:tcPr>
          <w:p w14:paraId="3EB2E979" w14:textId="77777777" w:rsidR="009072CE" w:rsidRPr="00A07F29" w:rsidRDefault="009072CE" w:rsidP="009072CE">
            <w:pPr>
              <w:spacing w:after="0" w:line="240" w:lineRule="auto"/>
              <w:jc w:val="center"/>
              <w:rPr>
                <w:rFonts w:ascii="Times New Roman" w:eastAsia="Calibri" w:hAnsi="Times New Roman" w:cs="Times New Roman"/>
                <w:i/>
                <w:iCs/>
                <w:sz w:val="20"/>
                <w:szCs w:val="20"/>
              </w:rPr>
            </w:pPr>
            <w:proofErr w:type="spellStart"/>
            <w:r w:rsidRPr="00A07F29">
              <w:rPr>
                <w:rFonts w:ascii="Times New Roman" w:eastAsia="Calibri" w:hAnsi="Times New Roman" w:cs="Times New Roman"/>
                <w:i/>
                <w:iCs/>
                <w:sz w:val="20"/>
              </w:rPr>
              <w:t>Gyraulus</w:t>
            </w:r>
            <w:proofErr w:type="spellEnd"/>
            <w:r w:rsidRPr="00A07F29">
              <w:rPr>
                <w:rFonts w:ascii="Times New Roman" w:eastAsia="Calibri" w:hAnsi="Times New Roman" w:cs="Times New Roman"/>
                <w:i/>
                <w:iCs/>
                <w:sz w:val="20"/>
              </w:rPr>
              <w:t xml:space="preserve"> </w:t>
            </w:r>
            <w:proofErr w:type="spellStart"/>
            <w:r w:rsidRPr="00A07F29">
              <w:rPr>
                <w:rFonts w:ascii="Times New Roman" w:eastAsia="Calibri" w:hAnsi="Times New Roman" w:cs="Times New Roman"/>
                <w:i/>
                <w:iCs/>
                <w:sz w:val="20"/>
              </w:rPr>
              <w:t>crista</w:t>
            </w:r>
            <w:proofErr w:type="spellEnd"/>
          </w:p>
        </w:tc>
        <w:tc>
          <w:tcPr>
            <w:tcW w:w="1418" w:type="dxa"/>
            <w:vAlign w:val="center"/>
          </w:tcPr>
          <w:p w14:paraId="70B3AD88" w14:textId="77777777" w:rsidR="009072CE" w:rsidRPr="00A07F29" w:rsidRDefault="009072CE" w:rsidP="009072CE">
            <w:pPr>
              <w:spacing w:after="0" w:line="240" w:lineRule="auto"/>
              <w:jc w:val="center"/>
              <w:rPr>
                <w:rFonts w:ascii="Times New Roman" w:eastAsia="Calibri" w:hAnsi="Times New Roman" w:cs="Times New Roman"/>
                <w:sz w:val="20"/>
                <w:szCs w:val="20"/>
              </w:rPr>
            </w:pPr>
          </w:p>
        </w:tc>
        <w:tc>
          <w:tcPr>
            <w:tcW w:w="1417" w:type="dxa"/>
            <w:vAlign w:val="center"/>
          </w:tcPr>
          <w:p w14:paraId="38152DCC" w14:textId="77777777" w:rsidR="009072CE" w:rsidRPr="00A07F29" w:rsidRDefault="009072CE" w:rsidP="009072CE">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RL (3), IUCN LC</w:t>
            </w:r>
          </w:p>
        </w:tc>
        <w:tc>
          <w:tcPr>
            <w:tcW w:w="1701" w:type="dxa"/>
            <w:vAlign w:val="center"/>
          </w:tcPr>
          <w:p w14:paraId="1F8ABA76" w14:textId="77777777" w:rsidR="009072CE" w:rsidRPr="00A07F29" w:rsidRDefault="009072CE" w:rsidP="009072CE">
            <w:pPr>
              <w:spacing w:after="0" w:line="240" w:lineRule="auto"/>
              <w:jc w:val="center"/>
              <w:rPr>
                <w:rFonts w:ascii="Times New Roman" w:eastAsia="Calibri" w:hAnsi="Times New Roman" w:cs="Times New Roman"/>
                <w:b/>
                <w:sz w:val="20"/>
                <w:szCs w:val="20"/>
              </w:rPr>
            </w:pPr>
          </w:p>
        </w:tc>
      </w:tr>
      <w:tr w:rsidR="009072CE" w:rsidRPr="00A07F29" w14:paraId="49BAB134" w14:textId="77777777" w:rsidTr="009056A3">
        <w:tc>
          <w:tcPr>
            <w:tcW w:w="534" w:type="dxa"/>
          </w:tcPr>
          <w:p w14:paraId="6EFBADF9" w14:textId="0121CB92" w:rsidR="009072CE" w:rsidRPr="00A07F29" w:rsidRDefault="00E4038B" w:rsidP="009072CE">
            <w:pPr>
              <w:spacing w:after="0" w:line="240" w:lineRule="auto"/>
              <w:rPr>
                <w:rFonts w:ascii="Times New Roman" w:eastAsia="Calibri" w:hAnsi="Times New Roman" w:cs="Times New Roman"/>
                <w:sz w:val="20"/>
                <w:szCs w:val="20"/>
              </w:rPr>
            </w:pPr>
            <w:r w:rsidRPr="00A07F29">
              <w:rPr>
                <w:rFonts w:ascii="Times New Roman" w:eastAsia="Calibri" w:hAnsi="Times New Roman" w:cs="Times New Roman"/>
                <w:sz w:val="20"/>
                <w:szCs w:val="20"/>
              </w:rPr>
              <w:t>13.</w:t>
            </w:r>
          </w:p>
        </w:tc>
        <w:tc>
          <w:tcPr>
            <w:tcW w:w="1984" w:type="dxa"/>
            <w:vAlign w:val="center"/>
          </w:tcPr>
          <w:p w14:paraId="484E0FF5" w14:textId="77777777" w:rsidR="009072CE" w:rsidRPr="00A07F29" w:rsidRDefault="009072CE" w:rsidP="009072CE">
            <w:pPr>
              <w:spacing w:after="0" w:line="240" w:lineRule="auto"/>
              <w:jc w:val="center"/>
              <w:rPr>
                <w:rFonts w:ascii="Times New Roman" w:eastAsia="Calibri" w:hAnsi="Times New Roman" w:cs="Times New Roman"/>
                <w:i/>
                <w:iCs/>
                <w:sz w:val="20"/>
                <w:szCs w:val="20"/>
              </w:rPr>
            </w:pPr>
            <w:proofErr w:type="spellStart"/>
            <w:r w:rsidRPr="00A07F29">
              <w:rPr>
                <w:rFonts w:ascii="Times New Roman" w:eastAsia="Calibri" w:hAnsi="Times New Roman" w:cs="Times New Roman"/>
                <w:sz w:val="20"/>
                <w:szCs w:val="20"/>
              </w:rPr>
              <w:t>liellūpas</w:t>
            </w:r>
            <w:proofErr w:type="spellEnd"/>
            <w:r w:rsidRPr="00A07F29">
              <w:rPr>
                <w:rFonts w:ascii="Times New Roman" w:eastAsia="Calibri" w:hAnsi="Times New Roman" w:cs="Times New Roman"/>
                <w:sz w:val="20"/>
                <w:szCs w:val="20"/>
              </w:rPr>
              <w:t xml:space="preserve"> vīngliemezis</w:t>
            </w:r>
          </w:p>
        </w:tc>
        <w:tc>
          <w:tcPr>
            <w:tcW w:w="2268" w:type="dxa"/>
            <w:vAlign w:val="center"/>
          </w:tcPr>
          <w:p w14:paraId="75C7166C" w14:textId="77777777" w:rsidR="009072CE" w:rsidRPr="00A07F29" w:rsidRDefault="009072CE" w:rsidP="009072CE">
            <w:pPr>
              <w:spacing w:after="0" w:line="240" w:lineRule="auto"/>
              <w:jc w:val="center"/>
              <w:rPr>
                <w:rFonts w:ascii="Times New Roman" w:eastAsia="Calibri" w:hAnsi="Times New Roman" w:cs="Times New Roman"/>
                <w:sz w:val="20"/>
                <w:szCs w:val="20"/>
              </w:rPr>
            </w:pPr>
            <w:proofErr w:type="spellStart"/>
            <w:r w:rsidRPr="00A07F29">
              <w:rPr>
                <w:rFonts w:ascii="Times New Roman" w:eastAsia="Calibri" w:hAnsi="Times New Roman" w:cs="Times New Roman"/>
                <w:i/>
                <w:iCs/>
                <w:sz w:val="20"/>
                <w:szCs w:val="20"/>
              </w:rPr>
              <w:t>Isognomostoma</w:t>
            </w:r>
            <w:proofErr w:type="spellEnd"/>
            <w:r w:rsidRPr="00A07F29">
              <w:rPr>
                <w:rFonts w:ascii="Times New Roman" w:eastAsia="Calibri" w:hAnsi="Times New Roman" w:cs="Times New Roman"/>
                <w:i/>
                <w:iCs/>
                <w:sz w:val="20"/>
                <w:szCs w:val="20"/>
              </w:rPr>
              <w:t xml:space="preserve"> </w:t>
            </w:r>
            <w:proofErr w:type="spellStart"/>
            <w:r w:rsidRPr="00A07F29">
              <w:rPr>
                <w:rFonts w:ascii="Times New Roman" w:eastAsia="Calibri" w:hAnsi="Times New Roman" w:cs="Times New Roman"/>
                <w:i/>
                <w:iCs/>
                <w:sz w:val="20"/>
                <w:szCs w:val="20"/>
              </w:rPr>
              <w:t>isognomostomus</w:t>
            </w:r>
            <w:proofErr w:type="spellEnd"/>
          </w:p>
        </w:tc>
        <w:tc>
          <w:tcPr>
            <w:tcW w:w="1418" w:type="dxa"/>
            <w:vAlign w:val="center"/>
          </w:tcPr>
          <w:p w14:paraId="71B42711" w14:textId="77777777" w:rsidR="009072CE" w:rsidRPr="00A07F29" w:rsidRDefault="009072CE" w:rsidP="009072CE">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ĪAS</w:t>
            </w:r>
            <w:r w:rsidRPr="00A07F29">
              <w:rPr>
                <w:rFonts w:ascii="Times New Roman" w:eastAsia="Calibri" w:hAnsi="Times New Roman" w:cs="Times New Roman"/>
                <w:sz w:val="20"/>
                <w:szCs w:val="20"/>
                <w:vertAlign w:val="superscript"/>
              </w:rPr>
              <w:t>1</w:t>
            </w:r>
          </w:p>
        </w:tc>
        <w:tc>
          <w:tcPr>
            <w:tcW w:w="1417" w:type="dxa"/>
            <w:vAlign w:val="center"/>
          </w:tcPr>
          <w:p w14:paraId="274B9E81" w14:textId="77777777" w:rsidR="009072CE" w:rsidRPr="00A07F29" w:rsidRDefault="009072CE" w:rsidP="009072CE">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RL (3), IUCN LC, MAB</w:t>
            </w:r>
          </w:p>
        </w:tc>
        <w:tc>
          <w:tcPr>
            <w:tcW w:w="1701" w:type="dxa"/>
            <w:vAlign w:val="center"/>
          </w:tcPr>
          <w:p w14:paraId="1B0C80EC" w14:textId="77777777" w:rsidR="009072CE" w:rsidRPr="00A07F29" w:rsidRDefault="009072CE" w:rsidP="009072CE">
            <w:pPr>
              <w:spacing w:after="0" w:line="240" w:lineRule="auto"/>
              <w:jc w:val="center"/>
              <w:rPr>
                <w:rFonts w:ascii="Times New Roman" w:eastAsia="Calibri" w:hAnsi="Times New Roman" w:cs="Times New Roman"/>
                <w:b/>
                <w:sz w:val="20"/>
                <w:szCs w:val="20"/>
              </w:rPr>
            </w:pPr>
          </w:p>
        </w:tc>
      </w:tr>
      <w:tr w:rsidR="009072CE" w:rsidRPr="00A07F29" w14:paraId="6D332F00" w14:textId="77777777" w:rsidTr="009056A3">
        <w:tc>
          <w:tcPr>
            <w:tcW w:w="534" w:type="dxa"/>
          </w:tcPr>
          <w:p w14:paraId="1A2CFF12" w14:textId="67545815" w:rsidR="009072CE" w:rsidRPr="00A07F29" w:rsidRDefault="00E4038B" w:rsidP="009072CE">
            <w:pPr>
              <w:spacing w:after="0" w:line="240" w:lineRule="auto"/>
              <w:rPr>
                <w:rFonts w:ascii="Times New Roman" w:eastAsia="Calibri" w:hAnsi="Times New Roman" w:cs="Times New Roman"/>
                <w:sz w:val="20"/>
                <w:szCs w:val="20"/>
              </w:rPr>
            </w:pPr>
            <w:r w:rsidRPr="00A07F29">
              <w:rPr>
                <w:rFonts w:ascii="Times New Roman" w:eastAsia="Calibri" w:hAnsi="Times New Roman" w:cs="Times New Roman"/>
                <w:sz w:val="20"/>
                <w:szCs w:val="20"/>
              </w:rPr>
              <w:lastRenderedPageBreak/>
              <w:t>14.</w:t>
            </w:r>
          </w:p>
        </w:tc>
        <w:tc>
          <w:tcPr>
            <w:tcW w:w="1984" w:type="dxa"/>
            <w:vAlign w:val="center"/>
          </w:tcPr>
          <w:p w14:paraId="4B420D96" w14:textId="77777777" w:rsidR="009072CE" w:rsidRPr="00A07F29" w:rsidRDefault="009072CE" w:rsidP="009072CE">
            <w:pPr>
              <w:spacing w:after="0" w:line="240" w:lineRule="auto"/>
              <w:jc w:val="center"/>
              <w:rPr>
                <w:rFonts w:ascii="Times New Roman" w:eastAsia="Calibri" w:hAnsi="Times New Roman" w:cs="Times New Roman"/>
                <w:i/>
                <w:iCs/>
                <w:sz w:val="20"/>
                <w:szCs w:val="20"/>
              </w:rPr>
            </w:pPr>
            <w:r w:rsidRPr="00A07F29">
              <w:rPr>
                <w:rFonts w:ascii="Times New Roman" w:eastAsia="Calibri" w:hAnsi="Times New Roman" w:cs="Times New Roman"/>
                <w:sz w:val="20"/>
                <w:szCs w:val="20"/>
              </w:rPr>
              <w:t xml:space="preserve">mazais </w:t>
            </w:r>
            <w:proofErr w:type="spellStart"/>
            <w:r w:rsidRPr="00A07F29">
              <w:rPr>
                <w:rFonts w:ascii="Times New Roman" w:eastAsia="Calibri" w:hAnsi="Times New Roman" w:cs="Times New Roman"/>
                <w:sz w:val="20"/>
                <w:szCs w:val="20"/>
              </w:rPr>
              <w:t>torņgliemezis</w:t>
            </w:r>
            <w:proofErr w:type="spellEnd"/>
          </w:p>
        </w:tc>
        <w:tc>
          <w:tcPr>
            <w:tcW w:w="2268" w:type="dxa"/>
            <w:vAlign w:val="center"/>
          </w:tcPr>
          <w:p w14:paraId="4010083D" w14:textId="77777777" w:rsidR="009072CE" w:rsidRPr="00A07F29" w:rsidRDefault="009072CE" w:rsidP="009072CE">
            <w:pPr>
              <w:spacing w:after="0" w:line="240" w:lineRule="auto"/>
              <w:jc w:val="center"/>
              <w:rPr>
                <w:rFonts w:ascii="Times New Roman" w:eastAsia="Calibri" w:hAnsi="Times New Roman" w:cs="Times New Roman"/>
                <w:sz w:val="20"/>
                <w:szCs w:val="20"/>
              </w:rPr>
            </w:pPr>
            <w:proofErr w:type="spellStart"/>
            <w:r w:rsidRPr="00A07F29">
              <w:rPr>
                <w:rFonts w:ascii="Times New Roman" w:eastAsia="Calibri" w:hAnsi="Times New Roman" w:cs="Times New Roman"/>
                <w:i/>
                <w:iCs/>
                <w:sz w:val="20"/>
                <w:szCs w:val="20"/>
              </w:rPr>
              <w:t>Merdigera</w:t>
            </w:r>
            <w:proofErr w:type="spellEnd"/>
            <w:r w:rsidRPr="00A07F29">
              <w:rPr>
                <w:rFonts w:ascii="Times New Roman" w:eastAsia="Calibri" w:hAnsi="Times New Roman" w:cs="Times New Roman"/>
                <w:i/>
                <w:iCs/>
                <w:sz w:val="20"/>
                <w:szCs w:val="20"/>
              </w:rPr>
              <w:t xml:space="preserve"> </w:t>
            </w:r>
            <w:proofErr w:type="spellStart"/>
            <w:r w:rsidRPr="00A07F29">
              <w:rPr>
                <w:rFonts w:ascii="Times New Roman" w:eastAsia="Calibri" w:hAnsi="Times New Roman" w:cs="Times New Roman"/>
                <w:i/>
                <w:iCs/>
                <w:sz w:val="20"/>
                <w:szCs w:val="20"/>
              </w:rPr>
              <w:t>obscura</w:t>
            </w:r>
            <w:proofErr w:type="spellEnd"/>
          </w:p>
        </w:tc>
        <w:tc>
          <w:tcPr>
            <w:tcW w:w="1418" w:type="dxa"/>
            <w:vAlign w:val="center"/>
          </w:tcPr>
          <w:p w14:paraId="4218D058" w14:textId="77777777" w:rsidR="009072CE" w:rsidRPr="00A07F29" w:rsidRDefault="009072CE" w:rsidP="009072CE">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ĪAS</w:t>
            </w:r>
          </w:p>
        </w:tc>
        <w:tc>
          <w:tcPr>
            <w:tcW w:w="1417" w:type="dxa"/>
            <w:vAlign w:val="center"/>
          </w:tcPr>
          <w:p w14:paraId="4CFDA50C" w14:textId="77777777" w:rsidR="009072CE" w:rsidRPr="00A07F29" w:rsidRDefault="009072CE" w:rsidP="009072CE">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RL (3), IUCN LC, MAB</w:t>
            </w:r>
          </w:p>
        </w:tc>
        <w:tc>
          <w:tcPr>
            <w:tcW w:w="1701" w:type="dxa"/>
            <w:vAlign w:val="center"/>
          </w:tcPr>
          <w:p w14:paraId="39B19879" w14:textId="77777777" w:rsidR="009072CE" w:rsidRPr="00A07F29" w:rsidRDefault="009072CE" w:rsidP="009072CE">
            <w:pPr>
              <w:spacing w:after="0" w:line="240" w:lineRule="auto"/>
              <w:jc w:val="center"/>
              <w:rPr>
                <w:rFonts w:ascii="Times New Roman" w:eastAsia="Calibri" w:hAnsi="Times New Roman" w:cs="Times New Roman"/>
                <w:b/>
                <w:sz w:val="20"/>
                <w:szCs w:val="20"/>
              </w:rPr>
            </w:pPr>
          </w:p>
        </w:tc>
      </w:tr>
      <w:tr w:rsidR="009072CE" w:rsidRPr="00A07F29" w14:paraId="01994C5C" w14:textId="77777777" w:rsidTr="009056A3">
        <w:tc>
          <w:tcPr>
            <w:tcW w:w="534" w:type="dxa"/>
          </w:tcPr>
          <w:p w14:paraId="5F9EF30E" w14:textId="363AF321" w:rsidR="009072CE" w:rsidRPr="00A07F29" w:rsidRDefault="00E4038B" w:rsidP="009072CE">
            <w:pPr>
              <w:spacing w:after="0" w:line="240" w:lineRule="auto"/>
              <w:rPr>
                <w:rFonts w:ascii="Times New Roman" w:eastAsia="Calibri" w:hAnsi="Times New Roman" w:cs="Times New Roman"/>
                <w:sz w:val="20"/>
                <w:szCs w:val="20"/>
              </w:rPr>
            </w:pPr>
            <w:r w:rsidRPr="00A07F29">
              <w:rPr>
                <w:rFonts w:ascii="Times New Roman" w:eastAsia="Calibri" w:hAnsi="Times New Roman" w:cs="Times New Roman"/>
                <w:sz w:val="20"/>
                <w:szCs w:val="20"/>
              </w:rPr>
              <w:t>15.</w:t>
            </w:r>
          </w:p>
        </w:tc>
        <w:tc>
          <w:tcPr>
            <w:tcW w:w="1984" w:type="dxa"/>
            <w:vAlign w:val="center"/>
          </w:tcPr>
          <w:p w14:paraId="6FDF5B31" w14:textId="77777777" w:rsidR="009072CE" w:rsidRPr="00A07F29" w:rsidRDefault="009072CE" w:rsidP="009072CE">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 xml:space="preserve">gludais </w:t>
            </w:r>
            <w:proofErr w:type="spellStart"/>
            <w:r w:rsidRPr="00A07F29">
              <w:rPr>
                <w:rFonts w:ascii="Times New Roman" w:eastAsia="Calibri" w:hAnsi="Times New Roman" w:cs="Times New Roman"/>
                <w:sz w:val="20"/>
                <w:szCs w:val="20"/>
              </w:rPr>
              <w:t>adatgliemezis</w:t>
            </w:r>
            <w:proofErr w:type="spellEnd"/>
          </w:p>
        </w:tc>
        <w:tc>
          <w:tcPr>
            <w:tcW w:w="2268" w:type="dxa"/>
            <w:vAlign w:val="center"/>
          </w:tcPr>
          <w:p w14:paraId="66BA5159" w14:textId="77777777" w:rsidR="009072CE" w:rsidRPr="00A07F29" w:rsidRDefault="009072CE" w:rsidP="009072CE">
            <w:pPr>
              <w:spacing w:after="0" w:line="240" w:lineRule="auto"/>
              <w:jc w:val="center"/>
              <w:rPr>
                <w:rFonts w:ascii="Times New Roman" w:eastAsia="Calibri" w:hAnsi="Times New Roman" w:cs="Times New Roman"/>
                <w:i/>
                <w:sz w:val="20"/>
                <w:szCs w:val="20"/>
              </w:rPr>
            </w:pPr>
            <w:proofErr w:type="spellStart"/>
            <w:r w:rsidRPr="00A07F29">
              <w:rPr>
                <w:rFonts w:ascii="Times New Roman" w:eastAsia="Calibri" w:hAnsi="Times New Roman" w:cs="Times New Roman"/>
                <w:i/>
                <w:iCs/>
                <w:sz w:val="20"/>
                <w:szCs w:val="20"/>
                <w:shd w:val="clear" w:color="auto" w:fill="FFFFFF"/>
              </w:rPr>
              <w:t>Platyla</w:t>
            </w:r>
            <w:proofErr w:type="spellEnd"/>
            <w:r w:rsidRPr="00A07F29">
              <w:rPr>
                <w:rFonts w:ascii="Times New Roman" w:eastAsia="Calibri" w:hAnsi="Times New Roman" w:cs="Times New Roman"/>
                <w:i/>
                <w:iCs/>
                <w:sz w:val="20"/>
                <w:szCs w:val="20"/>
                <w:shd w:val="clear" w:color="auto" w:fill="FFFFFF"/>
              </w:rPr>
              <w:t xml:space="preserve"> </w:t>
            </w:r>
            <w:proofErr w:type="spellStart"/>
            <w:r w:rsidRPr="00A07F29">
              <w:rPr>
                <w:rFonts w:ascii="Times New Roman" w:eastAsia="Calibri" w:hAnsi="Times New Roman" w:cs="Times New Roman"/>
                <w:i/>
                <w:iCs/>
                <w:sz w:val="20"/>
                <w:szCs w:val="20"/>
                <w:shd w:val="clear" w:color="auto" w:fill="FFFFFF"/>
              </w:rPr>
              <w:t>polita</w:t>
            </w:r>
            <w:proofErr w:type="spellEnd"/>
          </w:p>
        </w:tc>
        <w:tc>
          <w:tcPr>
            <w:tcW w:w="1418" w:type="dxa"/>
            <w:vAlign w:val="center"/>
          </w:tcPr>
          <w:p w14:paraId="14CFA890" w14:textId="77777777" w:rsidR="009072CE" w:rsidRPr="00A07F29" w:rsidRDefault="009072CE" w:rsidP="009072CE">
            <w:pPr>
              <w:spacing w:after="0" w:line="240" w:lineRule="auto"/>
              <w:jc w:val="center"/>
              <w:rPr>
                <w:rFonts w:ascii="Times New Roman" w:eastAsia="Calibri" w:hAnsi="Times New Roman" w:cs="Times New Roman"/>
                <w:sz w:val="20"/>
                <w:szCs w:val="20"/>
                <w:vertAlign w:val="superscript"/>
              </w:rPr>
            </w:pPr>
            <w:r w:rsidRPr="00A07F29">
              <w:rPr>
                <w:rFonts w:ascii="Times New Roman" w:eastAsia="Calibri" w:hAnsi="Times New Roman" w:cs="Times New Roman"/>
                <w:sz w:val="20"/>
                <w:szCs w:val="20"/>
              </w:rPr>
              <w:t>ĪAS</w:t>
            </w:r>
          </w:p>
        </w:tc>
        <w:tc>
          <w:tcPr>
            <w:tcW w:w="1417" w:type="dxa"/>
            <w:vAlign w:val="center"/>
          </w:tcPr>
          <w:p w14:paraId="7D825EFF" w14:textId="77777777" w:rsidR="009072CE" w:rsidRPr="00A07F29" w:rsidRDefault="009072CE" w:rsidP="009072CE">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RL (3), IUCN LC</w:t>
            </w:r>
          </w:p>
        </w:tc>
        <w:tc>
          <w:tcPr>
            <w:tcW w:w="1701" w:type="dxa"/>
            <w:vAlign w:val="center"/>
          </w:tcPr>
          <w:p w14:paraId="0D834FCE" w14:textId="77777777" w:rsidR="009072CE" w:rsidRPr="00A07F29" w:rsidRDefault="009072CE" w:rsidP="009072CE">
            <w:pPr>
              <w:spacing w:after="0" w:line="240" w:lineRule="auto"/>
              <w:jc w:val="center"/>
              <w:rPr>
                <w:rFonts w:ascii="Times New Roman" w:eastAsia="Calibri" w:hAnsi="Times New Roman" w:cs="Times New Roman"/>
                <w:b/>
                <w:sz w:val="20"/>
                <w:szCs w:val="20"/>
              </w:rPr>
            </w:pPr>
          </w:p>
        </w:tc>
      </w:tr>
      <w:tr w:rsidR="009072CE" w:rsidRPr="00A07F29" w14:paraId="530A71EF" w14:textId="77777777" w:rsidTr="009056A3">
        <w:tc>
          <w:tcPr>
            <w:tcW w:w="534" w:type="dxa"/>
          </w:tcPr>
          <w:p w14:paraId="71131393" w14:textId="774B4F21" w:rsidR="009072CE" w:rsidRPr="00A07F29" w:rsidRDefault="00E4038B" w:rsidP="009072CE">
            <w:pPr>
              <w:spacing w:after="0" w:line="240" w:lineRule="auto"/>
              <w:rPr>
                <w:rFonts w:ascii="Times New Roman" w:eastAsia="Calibri" w:hAnsi="Times New Roman" w:cs="Times New Roman"/>
                <w:sz w:val="20"/>
                <w:szCs w:val="20"/>
              </w:rPr>
            </w:pPr>
            <w:r w:rsidRPr="00A07F29">
              <w:rPr>
                <w:rFonts w:ascii="Times New Roman" w:eastAsia="Calibri" w:hAnsi="Times New Roman" w:cs="Times New Roman"/>
                <w:sz w:val="20"/>
                <w:szCs w:val="20"/>
              </w:rPr>
              <w:t>16.</w:t>
            </w:r>
          </w:p>
        </w:tc>
        <w:tc>
          <w:tcPr>
            <w:tcW w:w="1984" w:type="dxa"/>
            <w:vAlign w:val="center"/>
          </w:tcPr>
          <w:p w14:paraId="03E2EA6A" w14:textId="77777777" w:rsidR="009072CE" w:rsidRPr="00A07F29" w:rsidRDefault="009072CE" w:rsidP="009072CE">
            <w:pPr>
              <w:spacing w:after="0" w:line="240" w:lineRule="auto"/>
              <w:jc w:val="center"/>
              <w:rPr>
                <w:rFonts w:ascii="Times New Roman" w:eastAsia="Calibri" w:hAnsi="Times New Roman" w:cs="Times New Roman"/>
                <w:sz w:val="20"/>
              </w:rPr>
            </w:pPr>
            <w:r w:rsidRPr="00A07F29">
              <w:rPr>
                <w:rFonts w:ascii="Times New Roman" w:eastAsia="Calibri" w:hAnsi="Times New Roman" w:cs="Times New Roman"/>
                <w:sz w:val="20"/>
              </w:rPr>
              <w:t>upes bezzobe</w:t>
            </w:r>
          </w:p>
        </w:tc>
        <w:tc>
          <w:tcPr>
            <w:tcW w:w="2268" w:type="dxa"/>
            <w:vAlign w:val="center"/>
          </w:tcPr>
          <w:p w14:paraId="334794D6" w14:textId="77777777" w:rsidR="009072CE" w:rsidRPr="00A07F29" w:rsidRDefault="009072CE" w:rsidP="009072CE">
            <w:pPr>
              <w:spacing w:after="0" w:line="240" w:lineRule="auto"/>
              <w:jc w:val="center"/>
              <w:rPr>
                <w:rFonts w:ascii="Times New Roman" w:eastAsia="Calibri" w:hAnsi="Times New Roman" w:cs="Times New Roman"/>
                <w:i/>
                <w:iCs/>
                <w:sz w:val="20"/>
                <w:szCs w:val="20"/>
              </w:rPr>
            </w:pPr>
            <w:proofErr w:type="spellStart"/>
            <w:r w:rsidRPr="00A07F29">
              <w:rPr>
                <w:rFonts w:ascii="Times New Roman" w:eastAsia="Calibri" w:hAnsi="Times New Roman" w:cs="Times New Roman"/>
                <w:i/>
                <w:iCs/>
                <w:sz w:val="20"/>
                <w:szCs w:val="20"/>
              </w:rPr>
              <w:t>Pseudanodonta</w:t>
            </w:r>
            <w:proofErr w:type="spellEnd"/>
            <w:r w:rsidRPr="00A07F29">
              <w:rPr>
                <w:rFonts w:ascii="Times New Roman" w:eastAsia="Calibri" w:hAnsi="Times New Roman" w:cs="Times New Roman"/>
                <w:i/>
                <w:iCs/>
                <w:sz w:val="20"/>
                <w:szCs w:val="20"/>
              </w:rPr>
              <w:t xml:space="preserve"> </w:t>
            </w:r>
            <w:proofErr w:type="spellStart"/>
            <w:r w:rsidRPr="00A07F29">
              <w:rPr>
                <w:rFonts w:ascii="Times New Roman" w:eastAsia="Calibri" w:hAnsi="Times New Roman" w:cs="Times New Roman"/>
                <w:i/>
                <w:iCs/>
                <w:sz w:val="20"/>
                <w:szCs w:val="20"/>
              </w:rPr>
              <w:t>complanata</w:t>
            </w:r>
            <w:proofErr w:type="spellEnd"/>
          </w:p>
        </w:tc>
        <w:tc>
          <w:tcPr>
            <w:tcW w:w="1418" w:type="dxa"/>
            <w:vAlign w:val="center"/>
          </w:tcPr>
          <w:p w14:paraId="5C25B5A6" w14:textId="77777777" w:rsidR="009072CE" w:rsidRPr="00A07F29" w:rsidRDefault="009072CE" w:rsidP="009072CE">
            <w:pPr>
              <w:spacing w:after="0" w:line="240" w:lineRule="auto"/>
              <w:jc w:val="center"/>
              <w:rPr>
                <w:rFonts w:ascii="Times New Roman" w:eastAsia="Calibri" w:hAnsi="Times New Roman" w:cs="Times New Roman"/>
                <w:sz w:val="20"/>
                <w:szCs w:val="20"/>
              </w:rPr>
            </w:pPr>
          </w:p>
        </w:tc>
        <w:tc>
          <w:tcPr>
            <w:tcW w:w="1417" w:type="dxa"/>
            <w:vAlign w:val="center"/>
          </w:tcPr>
          <w:p w14:paraId="2DB68E54" w14:textId="77777777" w:rsidR="009072CE" w:rsidRPr="00A07F29" w:rsidRDefault="009072CE" w:rsidP="009072CE">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RL (3), IUCN VU</w:t>
            </w:r>
          </w:p>
        </w:tc>
        <w:tc>
          <w:tcPr>
            <w:tcW w:w="1701" w:type="dxa"/>
            <w:vAlign w:val="center"/>
          </w:tcPr>
          <w:p w14:paraId="4F7EEB01" w14:textId="77777777" w:rsidR="009072CE" w:rsidRPr="00A07F29" w:rsidRDefault="009072CE" w:rsidP="009072CE">
            <w:pPr>
              <w:spacing w:after="0" w:line="240" w:lineRule="auto"/>
              <w:jc w:val="center"/>
              <w:rPr>
                <w:rFonts w:ascii="Times New Roman" w:eastAsia="Calibri" w:hAnsi="Times New Roman" w:cs="Times New Roman"/>
                <w:b/>
                <w:sz w:val="20"/>
                <w:szCs w:val="20"/>
              </w:rPr>
            </w:pPr>
          </w:p>
        </w:tc>
      </w:tr>
      <w:tr w:rsidR="009072CE" w:rsidRPr="00A07F29" w14:paraId="1F1847AC" w14:textId="77777777" w:rsidTr="009056A3">
        <w:tc>
          <w:tcPr>
            <w:tcW w:w="534" w:type="dxa"/>
          </w:tcPr>
          <w:p w14:paraId="52C1BF3B" w14:textId="0A9DBE92" w:rsidR="009072CE" w:rsidRPr="00A07F29" w:rsidRDefault="00E4038B" w:rsidP="009072CE">
            <w:pPr>
              <w:spacing w:after="0" w:line="240" w:lineRule="auto"/>
              <w:rPr>
                <w:rFonts w:ascii="Times New Roman" w:eastAsia="Calibri" w:hAnsi="Times New Roman" w:cs="Times New Roman"/>
                <w:sz w:val="20"/>
                <w:szCs w:val="20"/>
              </w:rPr>
            </w:pPr>
            <w:r w:rsidRPr="00A07F29">
              <w:rPr>
                <w:rFonts w:ascii="Times New Roman" w:eastAsia="Calibri" w:hAnsi="Times New Roman" w:cs="Times New Roman"/>
                <w:sz w:val="20"/>
                <w:szCs w:val="20"/>
              </w:rPr>
              <w:t>17.</w:t>
            </w:r>
          </w:p>
        </w:tc>
        <w:tc>
          <w:tcPr>
            <w:tcW w:w="1984" w:type="dxa"/>
            <w:vAlign w:val="center"/>
          </w:tcPr>
          <w:p w14:paraId="6DD2195E" w14:textId="77777777" w:rsidR="009072CE" w:rsidRPr="00A07F29" w:rsidRDefault="009072CE" w:rsidP="009072CE">
            <w:pPr>
              <w:spacing w:after="0" w:line="240" w:lineRule="auto"/>
              <w:jc w:val="center"/>
              <w:rPr>
                <w:rFonts w:ascii="Times New Roman" w:eastAsia="Calibri" w:hAnsi="Times New Roman" w:cs="Times New Roman"/>
                <w:i/>
                <w:iCs/>
                <w:sz w:val="20"/>
                <w:szCs w:val="20"/>
              </w:rPr>
            </w:pPr>
            <w:r w:rsidRPr="00A07F29">
              <w:rPr>
                <w:rFonts w:ascii="Times New Roman" w:eastAsia="Calibri" w:hAnsi="Times New Roman" w:cs="Times New Roman"/>
                <w:sz w:val="20"/>
                <w:szCs w:val="20"/>
              </w:rPr>
              <w:t xml:space="preserve">graciozais </w:t>
            </w:r>
            <w:proofErr w:type="spellStart"/>
            <w:r w:rsidRPr="00A07F29">
              <w:rPr>
                <w:rFonts w:ascii="Times New Roman" w:eastAsia="Calibri" w:hAnsi="Times New Roman" w:cs="Times New Roman"/>
                <w:sz w:val="20"/>
                <w:szCs w:val="20"/>
              </w:rPr>
              <w:t>vārpstiņgliemezis</w:t>
            </w:r>
            <w:proofErr w:type="spellEnd"/>
          </w:p>
        </w:tc>
        <w:tc>
          <w:tcPr>
            <w:tcW w:w="2268" w:type="dxa"/>
            <w:vAlign w:val="center"/>
          </w:tcPr>
          <w:p w14:paraId="30240A4F" w14:textId="77777777" w:rsidR="009072CE" w:rsidRPr="00A07F29" w:rsidRDefault="009072CE" w:rsidP="009072CE">
            <w:pPr>
              <w:spacing w:after="0" w:line="240" w:lineRule="auto"/>
              <w:jc w:val="center"/>
              <w:rPr>
                <w:rFonts w:ascii="Times New Roman" w:eastAsia="Calibri" w:hAnsi="Times New Roman" w:cs="Times New Roman"/>
                <w:sz w:val="20"/>
                <w:szCs w:val="20"/>
              </w:rPr>
            </w:pPr>
            <w:proofErr w:type="spellStart"/>
            <w:r w:rsidRPr="00A07F29">
              <w:rPr>
                <w:rFonts w:ascii="Times New Roman" w:eastAsia="Calibri" w:hAnsi="Times New Roman" w:cs="Times New Roman"/>
                <w:i/>
                <w:iCs/>
                <w:sz w:val="20"/>
                <w:szCs w:val="20"/>
              </w:rPr>
              <w:t>Ruthenica</w:t>
            </w:r>
            <w:proofErr w:type="spellEnd"/>
            <w:r w:rsidRPr="00A07F29">
              <w:rPr>
                <w:rFonts w:ascii="Times New Roman" w:eastAsia="Calibri" w:hAnsi="Times New Roman" w:cs="Times New Roman"/>
                <w:i/>
                <w:iCs/>
                <w:sz w:val="20"/>
                <w:szCs w:val="20"/>
              </w:rPr>
              <w:t xml:space="preserve"> </w:t>
            </w:r>
            <w:proofErr w:type="spellStart"/>
            <w:r w:rsidRPr="00A07F29">
              <w:rPr>
                <w:rFonts w:ascii="Times New Roman" w:eastAsia="Calibri" w:hAnsi="Times New Roman" w:cs="Times New Roman"/>
                <w:i/>
                <w:iCs/>
                <w:sz w:val="20"/>
                <w:szCs w:val="20"/>
              </w:rPr>
              <w:t>filograna</w:t>
            </w:r>
            <w:proofErr w:type="spellEnd"/>
          </w:p>
        </w:tc>
        <w:tc>
          <w:tcPr>
            <w:tcW w:w="1418" w:type="dxa"/>
            <w:vAlign w:val="center"/>
          </w:tcPr>
          <w:p w14:paraId="71AC468C" w14:textId="77777777" w:rsidR="009072CE" w:rsidRPr="00A07F29" w:rsidRDefault="009072CE" w:rsidP="009072CE">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ĪAS</w:t>
            </w:r>
          </w:p>
        </w:tc>
        <w:tc>
          <w:tcPr>
            <w:tcW w:w="1417" w:type="dxa"/>
            <w:vAlign w:val="center"/>
          </w:tcPr>
          <w:p w14:paraId="791B5E7E" w14:textId="77777777" w:rsidR="009072CE" w:rsidRPr="00A07F29" w:rsidRDefault="009072CE" w:rsidP="009072CE">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RL (3), IUCN LC, MAB</w:t>
            </w:r>
          </w:p>
        </w:tc>
        <w:tc>
          <w:tcPr>
            <w:tcW w:w="1701" w:type="dxa"/>
            <w:vAlign w:val="center"/>
          </w:tcPr>
          <w:p w14:paraId="2A050EDF" w14:textId="77777777" w:rsidR="009072CE" w:rsidRPr="00A07F29" w:rsidRDefault="009072CE" w:rsidP="009072CE">
            <w:pPr>
              <w:spacing w:after="0" w:line="240" w:lineRule="auto"/>
              <w:jc w:val="center"/>
              <w:rPr>
                <w:rFonts w:ascii="Times New Roman" w:eastAsia="Calibri" w:hAnsi="Times New Roman" w:cs="Times New Roman"/>
                <w:b/>
                <w:sz w:val="20"/>
                <w:szCs w:val="20"/>
              </w:rPr>
            </w:pPr>
          </w:p>
        </w:tc>
      </w:tr>
      <w:tr w:rsidR="009072CE" w:rsidRPr="00A07F29" w14:paraId="2E343A34" w14:textId="77777777" w:rsidTr="009056A3">
        <w:tc>
          <w:tcPr>
            <w:tcW w:w="534" w:type="dxa"/>
          </w:tcPr>
          <w:p w14:paraId="01824FFB" w14:textId="65FE1CED" w:rsidR="009072CE" w:rsidRPr="00A07F29" w:rsidRDefault="00E4038B" w:rsidP="009072CE">
            <w:pPr>
              <w:spacing w:after="0" w:line="240" w:lineRule="auto"/>
              <w:rPr>
                <w:rFonts w:ascii="Times New Roman" w:eastAsia="Calibri" w:hAnsi="Times New Roman" w:cs="Times New Roman"/>
                <w:sz w:val="20"/>
                <w:szCs w:val="20"/>
              </w:rPr>
            </w:pPr>
            <w:r w:rsidRPr="00A07F29">
              <w:rPr>
                <w:rFonts w:ascii="Times New Roman" w:eastAsia="Calibri" w:hAnsi="Times New Roman" w:cs="Times New Roman"/>
                <w:sz w:val="20"/>
                <w:szCs w:val="20"/>
              </w:rPr>
              <w:t>18.</w:t>
            </w:r>
          </w:p>
        </w:tc>
        <w:tc>
          <w:tcPr>
            <w:tcW w:w="1984" w:type="dxa"/>
            <w:vAlign w:val="center"/>
          </w:tcPr>
          <w:p w14:paraId="7F42F006" w14:textId="77777777" w:rsidR="009072CE" w:rsidRPr="00A07F29" w:rsidRDefault="009072CE" w:rsidP="009072CE">
            <w:pPr>
              <w:spacing w:after="0" w:line="240" w:lineRule="auto"/>
              <w:jc w:val="center"/>
              <w:rPr>
                <w:rFonts w:ascii="Times New Roman" w:eastAsia="Calibri" w:hAnsi="Times New Roman" w:cs="Times New Roman"/>
                <w:i/>
                <w:iCs/>
                <w:sz w:val="20"/>
                <w:szCs w:val="20"/>
              </w:rPr>
            </w:pPr>
            <w:r w:rsidRPr="00A07F29">
              <w:rPr>
                <w:rFonts w:ascii="Times New Roman" w:eastAsia="Calibri" w:hAnsi="Times New Roman" w:cs="Times New Roman"/>
                <w:sz w:val="20"/>
                <w:szCs w:val="20"/>
              </w:rPr>
              <w:t xml:space="preserve">mirdzošā </w:t>
            </w:r>
            <w:proofErr w:type="spellStart"/>
            <w:r w:rsidRPr="00A07F29">
              <w:rPr>
                <w:rFonts w:ascii="Times New Roman" w:eastAsia="Calibri" w:hAnsi="Times New Roman" w:cs="Times New Roman"/>
                <w:sz w:val="20"/>
                <w:szCs w:val="20"/>
              </w:rPr>
              <w:t>ūdensspolīte</w:t>
            </w:r>
            <w:proofErr w:type="spellEnd"/>
          </w:p>
        </w:tc>
        <w:tc>
          <w:tcPr>
            <w:tcW w:w="2268" w:type="dxa"/>
            <w:vAlign w:val="center"/>
          </w:tcPr>
          <w:p w14:paraId="45FF1DF3" w14:textId="77777777" w:rsidR="009072CE" w:rsidRPr="00A07F29" w:rsidRDefault="009072CE" w:rsidP="009072CE">
            <w:pPr>
              <w:spacing w:after="0" w:line="240" w:lineRule="auto"/>
              <w:jc w:val="center"/>
              <w:rPr>
                <w:rFonts w:ascii="Times New Roman" w:eastAsia="Calibri" w:hAnsi="Times New Roman" w:cs="Times New Roman"/>
                <w:sz w:val="20"/>
                <w:szCs w:val="20"/>
              </w:rPr>
            </w:pPr>
            <w:proofErr w:type="spellStart"/>
            <w:r w:rsidRPr="00A07F29">
              <w:rPr>
                <w:rFonts w:ascii="Times New Roman" w:eastAsia="Calibri" w:hAnsi="Times New Roman" w:cs="Times New Roman"/>
                <w:i/>
                <w:iCs/>
                <w:sz w:val="20"/>
                <w:szCs w:val="20"/>
              </w:rPr>
              <w:t>Segmentina</w:t>
            </w:r>
            <w:proofErr w:type="spellEnd"/>
            <w:r w:rsidRPr="00A07F29">
              <w:rPr>
                <w:rFonts w:ascii="Times New Roman" w:eastAsia="Calibri" w:hAnsi="Times New Roman" w:cs="Times New Roman"/>
                <w:i/>
                <w:iCs/>
                <w:sz w:val="20"/>
                <w:szCs w:val="20"/>
              </w:rPr>
              <w:t xml:space="preserve"> </w:t>
            </w:r>
            <w:proofErr w:type="spellStart"/>
            <w:r w:rsidRPr="00A07F29">
              <w:rPr>
                <w:rFonts w:ascii="Times New Roman" w:eastAsia="Calibri" w:hAnsi="Times New Roman" w:cs="Times New Roman"/>
                <w:i/>
                <w:iCs/>
                <w:sz w:val="20"/>
                <w:szCs w:val="20"/>
              </w:rPr>
              <w:t>nitida</w:t>
            </w:r>
            <w:proofErr w:type="spellEnd"/>
          </w:p>
        </w:tc>
        <w:tc>
          <w:tcPr>
            <w:tcW w:w="1418" w:type="dxa"/>
            <w:vAlign w:val="center"/>
          </w:tcPr>
          <w:p w14:paraId="672CDDC0" w14:textId="77777777" w:rsidR="009072CE" w:rsidRPr="00A07F29" w:rsidRDefault="009072CE" w:rsidP="009072CE">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ĪAS</w:t>
            </w:r>
          </w:p>
        </w:tc>
        <w:tc>
          <w:tcPr>
            <w:tcW w:w="1417" w:type="dxa"/>
            <w:vAlign w:val="center"/>
          </w:tcPr>
          <w:p w14:paraId="3F43ECDC" w14:textId="77777777" w:rsidR="009072CE" w:rsidRPr="00A07F29" w:rsidRDefault="009072CE" w:rsidP="009072CE">
            <w:pPr>
              <w:spacing w:after="0" w:line="240" w:lineRule="auto"/>
              <w:jc w:val="center"/>
              <w:rPr>
                <w:rFonts w:ascii="Times New Roman" w:eastAsia="Calibri" w:hAnsi="Times New Roman" w:cs="Times New Roman"/>
                <w:sz w:val="20"/>
                <w:szCs w:val="20"/>
              </w:rPr>
            </w:pPr>
          </w:p>
        </w:tc>
        <w:tc>
          <w:tcPr>
            <w:tcW w:w="1701" w:type="dxa"/>
            <w:vAlign w:val="center"/>
          </w:tcPr>
          <w:p w14:paraId="2BE29328" w14:textId="77777777" w:rsidR="009072CE" w:rsidRPr="00A07F29" w:rsidRDefault="009072CE" w:rsidP="009072CE">
            <w:pPr>
              <w:spacing w:after="0" w:line="240" w:lineRule="auto"/>
              <w:jc w:val="center"/>
              <w:rPr>
                <w:rFonts w:ascii="Times New Roman" w:eastAsia="Calibri" w:hAnsi="Times New Roman" w:cs="Times New Roman"/>
                <w:b/>
                <w:sz w:val="20"/>
                <w:szCs w:val="20"/>
              </w:rPr>
            </w:pPr>
          </w:p>
        </w:tc>
      </w:tr>
      <w:tr w:rsidR="009072CE" w:rsidRPr="00A07F29" w14:paraId="6F0E1581" w14:textId="77777777" w:rsidTr="009056A3">
        <w:tc>
          <w:tcPr>
            <w:tcW w:w="534" w:type="dxa"/>
          </w:tcPr>
          <w:p w14:paraId="24A99A1C" w14:textId="6E691950" w:rsidR="009072CE" w:rsidRPr="00A07F29" w:rsidRDefault="00E4038B" w:rsidP="009072CE">
            <w:pPr>
              <w:spacing w:after="0" w:line="240" w:lineRule="auto"/>
              <w:rPr>
                <w:rFonts w:ascii="Times New Roman" w:eastAsia="Calibri" w:hAnsi="Times New Roman" w:cs="Times New Roman"/>
                <w:sz w:val="20"/>
                <w:szCs w:val="20"/>
              </w:rPr>
            </w:pPr>
            <w:r w:rsidRPr="00A07F29">
              <w:rPr>
                <w:rFonts w:ascii="Times New Roman" w:eastAsia="Calibri" w:hAnsi="Times New Roman" w:cs="Times New Roman"/>
                <w:sz w:val="20"/>
                <w:szCs w:val="20"/>
              </w:rPr>
              <w:t>19.</w:t>
            </w:r>
          </w:p>
        </w:tc>
        <w:tc>
          <w:tcPr>
            <w:tcW w:w="1984" w:type="dxa"/>
            <w:vAlign w:val="center"/>
          </w:tcPr>
          <w:p w14:paraId="1989E703" w14:textId="77777777" w:rsidR="009072CE" w:rsidRPr="00A07F29" w:rsidRDefault="009072CE" w:rsidP="009072CE">
            <w:pPr>
              <w:spacing w:after="0" w:line="240" w:lineRule="auto"/>
              <w:jc w:val="center"/>
              <w:rPr>
                <w:rFonts w:ascii="Times New Roman" w:eastAsia="Calibri" w:hAnsi="Times New Roman" w:cs="Times New Roman"/>
                <w:i/>
                <w:iCs/>
                <w:sz w:val="20"/>
                <w:szCs w:val="20"/>
              </w:rPr>
            </w:pPr>
            <w:r w:rsidRPr="00A07F29">
              <w:rPr>
                <w:rFonts w:ascii="Times New Roman" w:eastAsia="Calibri" w:hAnsi="Times New Roman" w:cs="Times New Roman"/>
                <w:sz w:val="20"/>
                <w:szCs w:val="20"/>
              </w:rPr>
              <w:t xml:space="preserve">upes </w:t>
            </w:r>
            <w:proofErr w:type="spellStart"/>
            <w:r w:rsidRPr="00A07F29">
              <w:rPr>
                <w:rFonts w:ascii="Times New Roman" w:eastAsia="Calibri" w:hAnsi="Times New Roman" w:cs="Times New Roman"/>
                <w:sz w:val="20"/>
                <w:szCs w:val="20"/>
              </w:rPr>
              <w:t>raibgliemezis</w:t>
            </w:r>
            <w:proofErr w:type="spellEnd"/>
          </w:p>
        </w:tc>
        <w:tc>
          <w:tcPr>
            <w:tcW w:w="2268" w:type="dxa"/>
            <w:vAlign w:val="center"/>
          </w:tcPr>
          <w:p w14:paraId="5A701277" w14:textId="77777777" w:rsidR="009072CE" w:rsidRPr="00A07F29" w:rsidRDefault="009072CE" w:rsidP="009072CE">
            <w:pPr>
              <w:spacing w:after="0" w:line="240" w:lineRule="auto"/>
              <w:jc w:val="center"/>
              <w:rPr>
                <w:rFonts w:ascii="Times New Roman" w:eastAsia="Calibri" w:hAnsi="Times New Roman" w:cs="Times New Roman"/>
                <w:sz w:val="20"/>
                <w:szCs w:val="20"/>
              </w:rPr>
            </w:pPr>
            <w:proofErr w:type="spellStart"/>
            <w:r w:rsidRPr="00A07F29">
              <w:rPr>
                <w:rFonts w:ascii="Times New Roman" w:eastAsia="Calibri" w:hAnsi="Times New Roman" w:cs="Times New Roman"/>
                <w:i/>
                <w:iCs/>
                <w:sz w:val="20"/>
                <w:szCs w:val="20"/>
              </w:rPr>
              <w:t>Theodoxus</w:t>
            </w:r>
            <w:proofErr w:type="spellEnd"/>
            <w:r w:rsidRPr="00A07F29">
              <w:rPr>
                <w:rFonts w:ascii="Times New Roman" w:eastAsia="Calibri" w:hAnsi="Times New Roman" w:cs="Times New Roman"/>
                <w:i/>
                <w:iCs/>
                <w:sz w:val="20"/>
                <w:szCs w:val="20"/>
              </w:rPr>
              <w:t xml:space="preserve"> </w:t>
            </w:r>
            <w:proofErr w:type="spellStart"/>
            <w:r w:rsidRPr="00A07F29">
              <w:rPr>
                <w:rFonts w:ascii="Times New Roman" w:eastAsia="Calibri" w:hAnsi="Times New Roman" w:cs="Times New Roman"/>
                <w:i/>
                <w:iCs/>
                <w:sz w:val="20"/>
                <w:szCs w:val="20"/>
              </w:rPr>
              <w:t>fluviatilis</w:t>
            </w:r>
            <w:proofErr w:type="spellEnd"/>
          </w:p>
        </w:tc>
        <w:tc>
          <w:tcPr>
            <w:tcW w:w="1418" w:type="dxa"/>
            <w:vAlign w:val="center"/>
          </w:tcPr>
          <w:p w14:paraId="188137CC" w14:textId="77777777" w:rsidR="009072CE" w:rsidRPr="00A07F29" w:rsidRDefault="009072CE" w:rsidP="009072CE">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ĪAS</w:t>
            </w:r>
          </w:p>
        </w:tc>
        <w:tc>
          <w:tcPr>
            <w:tcW w:w="1417" w:type="dxa"/>
            <w:vAlign w:val="center"/>
          </w:tcPr>
          <w:p w14:paraId="30465B69" w14:textId="77777777" w:rsidR="009072CE" w:rsidRPr="00A07F29" w:rsidRDefault="009072CE" w:rsidP="009072CE">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RL (2), IUCN LC</w:t>
            </w:r>
          </w:p>
        </w:tc>
        <w:tc>
          <w:tcPr>
            <w:tcW w:w="1701" w:type="dxa"/>
            <w:vAlign w:val="center"/>
          </w:tcPr>
          <w:p w14:paraId="162D9DDE" w14:textId="77777777" w:rsidR="009072CE" w:rsidRPr="00A07F29" w:rsidRDefault="009072CE" w:rsidP="009072CE">
            <w:pPr>
              <w:spacing w:after="0" w:line="240" w:lineRule="auto"/>
              <w:jc w:val="center"/>
              <w:rPr>
                <w:rFonts w:ascii="Times New Roman" w:eastAsia="Calibri" w:hAnsi="Times New Roman" w:cs="Times New Roman"/>
                <w:b/>
                <w:sz w:val="20"/>
                <w:szCs w:val="20"/>
              </w:rPr>
            </w:pPr>
          </w:p>
        </w:tc>
      </w:tr>
      <w:tr w:rsidR="009072CE" w:rsidRPr="00A07F29" w14:paraId="7EB2D0EF" w14:textId="77777777" w:rsidTr="009056A3">
        <w:tc>
          <w:tcPr>
            <w:tcW w:w="534" w:type="dxa"/>
          </w:tcPr>
          <w:p w14:paraId="0A5BD720" w14:textId="10C03E01" w:rsidR="009072CE" w:rsidRPr="00A07F29" w:rsidRDefault="00E4038B" w:rsidP="009072CE">
            <w:pPr>
              <w:spacing w:after="0" w:line="240" w:lineRule="auto"/>
              <w:rPr>
                <w:rFonts w:ascii="Times New Roman" w:eastAsia="Calibri" w:hAnsi="Times New Roman" w:cs="Times New Roman"/>
                <w:sz w:val="20"/>
                <w:szCs w:val="20"/>
              </w:rPr>
            </w:pPr>
            <w:r w:rsidRPr="00A07F29">
              <w:rPr>
                <w:rFonts w:ascii="Times New Roman" w:eastAsia="Calibri" w:hAnsi="Times New Roman" w:cs="Times New Roman"/>
                <w:sz w:val="20"/>
                <w:szCs w:val="20"/>
              </w:rPr>
              <w:t>20.</w:t>
            </w:r>
          </w:p>
        </w:tc>
        <w:tc>
          <w:tcPr>
            <w:tcW w:w="1984" w:type="dxa"/>
            <w:vAlign w:val="center"/>
          </w:tcPr>
          <w:p w14:paraId="0058916A" w14:textId="77777777" w:rsidR="009072CE" w:rsidRPr="00A07F29" w:rsidRDefault="009072CE" w:rsidP="009072CE">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rPr>
              <w:t xml:space="preserve">ziemeļu </w:t>
            </w:r>
            <w:proofErr w:type="spellStart"/>
            <w:r w:rsidRPr="00A07F29">
              <w:rPr>
                <w:rFonts w:ascii="Times New Roman" w:eastAsia="Calibri" w:hAnsi="Times New Roman" w:cs="Times New Roman"/>
                <w:sz w:val="20"/>
              </w:rPr>
              <w:t>pumpurgliemezis</w:t>
            </w:r>
            <w:proofErr w:type="spellEnd"/>
          </w:p>
        </w:tc>
        <w:tc>
          <w:tcPr>
            <w:tcW w:w="2268" w:type="dxa"/>
            <w:vAlign w:val="center"/>
          </w:tcPr>
          <w:p w14:paraId="60CF381E" w14:textId="77777777" w:rsidR="009072CE" w:rsidRPr="00A07F29" w:rsidRDefault="009072CE" w:rsidP="009072CE">
            <w:pPr>
              <w:spacing w:after="0" w:line="240" w:lineRule="auto"/>
              <w:jc w:val="center"/>
              <w:rPr>
                <w:rFonts w:ascii="Times New Roman" w:eastAsia="Calibri" w:hAnsi="Times New Roman" w:cs="Times New Roman"/>
                <w:i/>
                <w:iCs/>
                <w:sz w:val="20"/>
                <w:szCs w:val="20"/>
              </w:rPr>
            </w:pPr>
            <w:proofErr w:type="spellStart"/>
            <w:r w:rsidRPr="00A07F29">
              <w:rPr>
                <w:rFonts w:ascii="Times New Roman" w:eastAsia="Calibri" w:hAnsi="Times New Roman" w:cs="Times New Roman"/>
                <w:i/>
                <w:iCs/>
                <w:sz w:val="20"/>
                <w:szCs w:val="20"/>
              </w:rPr>
              <w:t>Vertigo</w:t>
            </w:r>
            <w:proofErr w:type="spellEnd"/>
            <w:r w:rsidRPr="00A07F29">
              <w:rPr>
                <w:rFonts w:ascii="Times New Roman" w:eastAsia="Calibri" w:hAnsi="Times New Roman" w:cs="Times New Roman"/>
                <w:i/>
                <w:iCs/>
                <w:sz w:val="20"/>
                <w:szCs w:val="20"/>
              </w:rPr>
              <w:t xml:space="preserve"> </w:t>
            </w:r>
            <w:proofErr w:type="spellStart"/>
            <w:r w:rsidRPr="00A07F29">
              <w:rPr>
                <w:rFonts w:ascii="Times New Roman" w:eastAsia="Calibri" w:hAnsi="Times New Roman" w:cs="Times New Roman"/>
                <w:i/>
                <w:iCs/>
                <w:sz w:val="20"/>
                <w:szCs w:val="20"/>
              </w:rPr>
              <w:t>ronnebyensis</w:t>
            </w:r>
            <w:proofErr w:type="spellEnd"/>
          </w:p>
        </w:tc>
        <w:tc>
          <w:tcPr>
            <w:tcW w:w="1418" w:type="dxa"/>
            <w:vAlign w:val="center"/>
          </w:tcPr>
          <w:p w14:paraId="08A8C1FA" w14:textId="77777777" w:rsidR="009072CE" w:rsidRPr="00A07F29" w:rsidRDefault="009072CE" w:rsidP="009072CE">
            <w:pPr>
              <w:spacing w:after="0" w:line="240" w:lineRule="auto"/>
              <w:jc w:val="center"/>
              <w:rPr>
                <w:rFonts w:ascii="Times New Roman" w:eastAsia="Calibri" w:hAnsi="Times New Roman" w:cs="Times New Roman"/>
                <w:sz w:val="20"/>
                <w:szCs w:val="20"/>
              </w:rPr>
            </w:pPr>
          </w:p>
        </w:tc>
        <w:tc>
          <w:tcPr>
            <w:tcW w:w="1417" w:type="dxa"/>
            <w:vAlign w:val="center"/>
          </w:tcPr>
          <w:p w14:paraId="4D2644F9" w14:textId="77777777" w:rsidR="009072CE" w:rsidRPr="00A07F29" w:rsidRDefault="009072CE" w:rsidP="009072CE">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RL (4), IUCN LC</w:t>
            </w:r>
          </w:p>
        </w:tc>
        <w:tc>
          <w:tcPr>
            <w:tcW w:w="1701" w:type="dxa"/>
            <w:vAlign w:val="center"/>
          </w:tcPr>
          <w:p w14:paraId="5030E44A" w14:textId="77777777" w:rsidR="009072CE" w:rsidRPr="00A07F29" w:rsidRDefault="009072CE" w:rsidP="009072CE">
            <w:pPr>
              <w:spacing w:after="0" w:line="240" w:lineRule="auto"/>
              <w:jc w:val="center"/>
              <w:rPr>
                <w:rFonts w:ascii="Times New Roman" w:eastAsia="Calibri" w:hAnsi="Times New Roman" w:cs="Times New Roman"/>
                <w:b/>
                <w:sz w:val="20"/>
                <w:szCs w:val="20"/>
              </w:rPr>
            </w:pPr>
          </w:p>
        </w:tc>
      </w:tr>
    </w:tbl>
    <w:p w14:paraId="2D0649CD" w14:textId="77777777" w:rsidR="009072CE" w:rsidRPr="00A07F29" w:rsidRDefault="009072CE" w:rsidP="009072CE">
      <w:pPr>
        <w:spacing w:after="120"/>
        <w:ind w:firstLine="851"/>
        <w:jc w:val="both"/>
        <w:rPr>
          <w:rFonts w:ascii="Times New Roman" w:eastAsia="Times New Roman" w:hAnsi="Times New Roman" w:cs="Times New Roman"/>
          <w:sz w:val="20"/>
          <w:szCs w:val="20"/>
          <w:lang w:eastAsia="lv-LV"/>
        </w:rPr>
      </w:pPr>
    </w:p>
    <w:p w14:paraId="776F4271" w14:textId="77777777" w:rsidR="00E4038B" w:rsidRPr="00A07F29" w:rsidRDefault="00E4038B" w:rsidP="00E4038B">
      <w:pPr>
        <w:spacing w:after="120"/>
        <w:jc w:val="both"/>
        <w:rPr>
          <w:rFonts w:ascii="Times New Roman" w:eastAsia="Calibri" w:hAnsi="Times New Roman" w:cs="Times New Roman"/>
          <w:b/>
          <w:sz w:val="20"/>
          <w:szCs w:val="20"/>
        </w:rPr>
      </w:pPr>
      <w:r w:rsidRPr="00A07F29">
        <w:rPr>
          <w:rFonts w:ascii="Times New Roman" w:eastAsia="Calibri" w:hAnsi="Times New Roman" w:cs="Times New Roman"/>
          <w:b/>
          <w:sz w:val="20"/>
          <w:szCs w:val="20"/>
        </w:rPr>
        <w:t xml:space="preserve">Paskaidrojumi un apzīmējumi </w:t>
      </w:r>
    </w:p>
    <w:p w14:paraId="0254D3FA" w14:textId="6E8CEC66" w:rsidR="00E4038B" w:rsidRPr="00B1365F" w:rsidRDefault="00E4038B" w:rsidP="00E4038B">
      <w:pPr>
        <w:spacing w:after="120"/>
        <w:jc w:val="both"/>
        <w:rPr>
          <w:rFonts w:ascii="Times New Roman" w:eastAsia="Calibri" w:hAnsi="Times New Roman" w:cs="Times New Roman"/>
          <w:b/>
          <w:sz w:val="16"/>
          <w:szCs w:val="16"/>
        </w:rPr>
      </w:pPr>
      <w:r w:rsidRPr="00A07F29">
        <w:rPr>
          <w:rFonts w:ascii="Times New Roman" w:eastAsia="Calibri" w:hAnsi="Times New Roman" w:cs="Times New Roman"/>
          <w:b/>
          <w:sz w:val="16"/>
          <w:szCs w:val="16"/>
        </w:rPr>
        <w:t>*</w:t>
      </w:r>
      <w:r w:rsidR="0048374E" w:rsidRPr="0048374E">
        <w:rPr>
          <w:rFonts w:ascii="Times New Roman" w:eastAsia="Calibri" w:hAnsi="Times New Roman" w:cs="Times New Roman"/>
          <w:b/>
          <w:sz w:val="16"/>
          <w:szCs w:val="16"/>
        </w:rPr>
        <w:t xml:space="preserve"> Aizsardzības stāvokļa novērtējums atbilstoši ziņojumā Eiropas Komisijai </w:t>
      </w:r>
      <w:r w:rsidR="0048374E" w:rsidRPr="0048374E">
        <w:rPr>
          <w:rFonts w:ascii="Times New Roman" w:eastAsia="Calibri" w:hAnsi="Times New Roman" w:cs="Times New Roman"/>
          <w:b/>
          <w:bCs/>
          <w:iCs/>
          <w:sz w:val="16"/>
          <w:szCs w:val="16"/>
        </w:rPr>
        <w:t>par ES nozīmes biotopu (dzīvotņu) un sugu aizsardzības stāvokli Latvijā, novērtējums par 20</w:t>
      </w:r>
      <w:r w:rsidR="004B634E">
        <w:rPr>
          <w:rFonts w:ascii="Times New Roman" w:eastAsia="Calibri" w:hAnsi="Times New Roman" w:cs="Times New Roman"/>
          <w:b/>
          <w:bCs/>
          <w:iCs/>
          <w:sz w:val="16"/>
          <w:szCs w:val="16"/>
        </w:rPr>
        <w:t>1</w:t>
      </w:r>
      <w:r w:rsidR="0048374E" w:rsidRPr="0048374E">
        <w:rPr>
          <w:rFonts w:ascii="Times New Roman" w:eastAsia="Calibri" w:hAnsi="Times New Roman" w:cs="Times New Roman"/>
          <w:b/>
          <w:bCs/>
          <w:iCs/>
          <w:sz w:val="16"/>
          <w:szCs w:val="16"/>
        </w:rPr>
        <w:t>3. – 2018. gada periodu (ES ziņojums, 2019) lietotajiem apzīmējumiem</w:t>
      </w:r>
      <w:r w:rsidR="0048374E" w:rsidRPr="0048374E">
        <w:rPr>
          <w:rFonts w:ascii="Times New Roman" w:eastAsia="Calibri" w:hAnsi="Times New Roman" w:cs="Times New Roman"/>
          <w:b/>
          <w:sz w:val="16"/>
          <w:szCs w:val="16"/>
        </w:rPr>
        <w:t xml:space="preserve"> (tikai direktīvu pielikumos iekļautajām sugām)</w:t>
      </w:r>
      <w:r w:rsidR="00E979CD">
        <w:rPr>
          <w:rFonts w:ascii="Times New Roman" w:eastAsia="Calibri" w:hAnsi="Times New Roman" w:cs="Times New Roman"/>
          <w:b/>
          <w:sz w:val="16"/>
          <w:szCs w:val="16"/>
        </w:rPr>
        <w:t>:</w:t>
      </w:r>
    </w:p>
    <w:tbl>
      <w:tblPr>
        <w:tblStyle w:val="TableGrid"/>
        <w:tblW w:w="0" w:type="auto"/>
        <w:tblLook w:val="04A0" w:firstRow="1" w:lastRow="0" w:firstColumn="1" w:lastColumn="0" w:noHBand="0" w:noVBand="1"/>
      </w:tblPr>
      <w:tblGrid>
        <w:gridCol w:w="704"/>
        <w:gridCol w:w="8645"/>
      </w:tblGrid>
      <w:tr w:rsidR="00E4038B" w:rsidRPr="00A07F29" w14:paraId="4A41192B" w14:textId="77777777" w:rsidTr="0073666A">
        <w:tc>
          <w:tcPr>
            <w:tcW w:w="704" w:type="dxa"/>
            <w:tcBorders>
              <w:top w:val="single" w:sz="4" w:space="0" w:color="auto"/>
              <w:left w:val="single" w:sz="4" w:space="0" w:color="auto"/>
              <w:bottom w:val="single" w:sz="4" w:space="0" w:color="auto"/>
              <w:right w:val="single" w:sz="4" w:space="0" w:color="auto"/>
            </w:tcBorders>
            <w:shd w:val="clear" w:color="auto" w:fill="92D050"/>
          </w:tcPr>
          <w:p w14:paraId="0B54D918" w14:textId="77777777" w:rsidR="00E4038B" w:rsidRPr="00A07F29" w:rsidRDefault="00E4038B" w:rsidP="0073666A">
            <w:pPr>
              <w:spacing w:after="120"/>
              <w:jc w:val="both"/>
              <w:rPr>
                <w:rFonts w:ascii="Times New Roman" w:eastAsia="Calibri" w:hAnsi="Times New Roman" w:cs="Times New Roman"/>
                <w:sz w:val="16"/>
                <w:szCs w:val="16"/>
                <w:shd w:val="clear" w:color="auto" w:fill="FFC000"/>
              </w:rPr>
            </w:pPr>
          </w:p>
        </w:tc>
        <w:tc>
          <w:tcPr>
            <w:tcW w:w="8646" w:type="dxa"/>
            <w:tcBorders>
              <w:top w:val="nil"/>
              <w:left w:val="single" w:sz="4" w:space="0" w:color="auto"/>
              <w:bottom w:val="nil"/>
              <w:right w:val="nil"/>
            </w:tcBorders>
            <w:hideMark/>
          </w:tcPr>
          <w:p w14:paraId="511914D5" w14:textId="77777777" w:rsidR="00E4038B" w:rsidRPr="00A07F29" w:rsidRDefault="00E4038B" w:rsidP="0073666A">
            <w:pPr>
              <w:spacing w:after="120"/>
              <w:jc w:val="both"/>
              <w:rPr>
                <w:rFonts w:ascii="Times New Roman" w:eastAsia="Calibri" w:hAnsi="Times New Roman" w:cs="Times New Roman"/>
                <w:sz w:val="16"/>
                <w:szCs w:val="16"/>
                <w:shd w:val="clear" w:color="auto" w:fill="FFC000"/>
              </w:rPr>
            </w:pPr>
            <w:r w:rsidRPr="00A07F29">
              <w:rPr>
                <w:rFonts w:ascii="Times New Roman" w:eastAsia="Calibri" w:hAnsi="Times New Roman" w:cs="Times New Roman"/>
                <w:sz w:val="16"/>
                <w:szCs w:val="16"/>
                <w:shd w:val="clear" w:color="auto" w:fill="FFFFFF"/>
              </w:rPr>
              <w:t>FV</w:t>
            </w:r>
            <w:r w:rsidRPr="00A07F29">
              <w:rPr>
                <w:rFonts w:ascii="Times New Roman" w:eastAsia="Calibri" w:hAnsi="Times New Roman" w:cs="Times New Roman"/>
                <w:sz w:val="16"/>
                <w:szCs w:val="16"/>
              </w:rPr>
              <w:t>: Aizsardzības stāvoklis labvēlīgs (</w:t>
            </w:r>
            <w:proofErr w:type="spellStart"/>
            <w:r w:rsidRPr="00A07F29">
              <w:rPr>
                <w:rFonts w:ascii="Times New Roman" w:eastAsia="Calibri" w:hAnsi="Times New Roman" w:cs="Times New Roman"/>
                <w:sz w:val="16"/>
                <w:szCs w:val="16"/>
              </w:rPr>
              <w:t>Favourable</w:t>
            </w:r>
            <w:proofErr w:type="spellEnd"/>
            <w:r w:rsidRPr="00A07F29">
              <w:rPr>
                <w:rFonts w:ascii="Times New Roman" w:eastAsia="Calibri" w:hAnsi="Times New Roman" w:cs="Times New Roman"/>
                <w:sz w:val="16"/>
                <w:szCs w:val="16"/>
              </w:rPr>
              <w:t>);</w:t>
            </w:r>
          </w:p>
        </w:tc>
      </w:tr>
      <w:tr w:rsidR="00E4038B" w:rsidRPr="00A07F29" w14:paraId="1688F327" w14:textId="77777777" w:rsidTr="0073666A">
        <w:tc>
          <w:tcPr>
            <w:tcW w:w="704" w:type="dxa"/>
            <w:tcBorders>
              <w:top w:val="single" w:sz="4" w:space="0" w:color="auto"/>
              <w:left w:val="single" w:sz="4" w:space="0" w:color="auto"/>
              <w:bottom w:val="single" w:sz="4" w:space="0" w:color="auto"/>
              <w:right w:val="single" w:sz="4" w:space="0" w:color="auto"/>
            </w:tcBorders>
            <w:shd w:val="clear" w:color="auto" w:fill="FFC000"/>
          </w:tcPr>
          <w:p w14:paraId="3E6F6375" w14:textId="77777777" w:rsidR="00E4038B" w:rsidRPr="00A07F29" w:rsidRDefault="00E4038B" w:rsidP="0073666A">
            <w:pPr>
              <w:spacing w:after="120"/>
              <w:jc w:val="both"/>
              <w:rPr>
                <w:rFonts w:ascii="Times New Roman" w:eastAsia="Calibri" w:hAnsi="Times New Roman" w:cs="Times New Roman"/>
                <w:sz w:val="16"/>
                <w:szCs w:val="16"/>
                <w:shd w:val="clear" w:color="auto" w:fill="FFC000"/>
              </w:rPr>
            </w:pPr>
          </w:p>
        </w:tc>
        <w:tc>
          <w:tcPr>
            <w:tcW w:w="8646" w:type="dxa"/>
            <w:tcBorders>
              <w:top w:val="nil"/>
              <w:left w:val="single" w:sz="4" w:space="0" w:color="auto"/>
              <w:bottom w:val="nil"/>
              <w:right w:val="nil"/>
            </w:tcBorders>
            <w:hideMark/>
          </w:tcPr>
          <w:p w14:paraId="52475B5D" w14:textId="77777777" w:rsidR="00E4038B" w:rsidRPr="00A07F29" w:rsidRDefault="00E4038B" w:rsidP="0073666A">
            <w:pPr>
              <w:spacing w:after="120"/>
              <w:jc w:val="both"/>
              <w:rPr>
                <w:rFonts w:ascii="Times New Roman" w:eastAsia="Calibri" w:hAnsi="Times New Roman" w:cs="Times New Roman"/>
                <w:sz w:val="16"/>
                <w:szCs w:val="16"/>
              </w:rPr>
            </w:pPr>
            <w:r w:rsidRPr="00A07F29">
              <w:rPr>
                <w:rFonts w:ascii="Times New Roman" w:eastAsia="Calibri" w:hAnsi="Times New Roman" w:cs="Times New Roman"/>
                <w:sz w:val="16"/>
                <w:szCs w:val="16"/>
              </w:rPr>
              <w:t>U1: Aizsardzības stāvoklis nelabvēlīgs-nepietiekams (</w:t>
            </w:r>
            <w:proofErr w:type="spellStart"/>
            <w:r w:rsidRPr="00A07F29">
              <w:rPr>
                <w:rFonts w:ascii="Times New Roman" w:eastAsia="Calibri" w:hAnsi="Times New Roman" w:cs="Times New Roman"/>
                <w:sz w:val="16"/>
                <w:szCs w:val="16"/>
              </w:rPr>
              <w:t>Unfavourable-Inadequate</w:t>
            </w:r>
            <w:proofErr w:type="spellEnd"/>
            <w:r w:rsidRPr="00A07F29">
              <w:rPr>
                <w:rFonts w:ascii="Times New Roman" w:eastAsia="Calibri" w:hAnsi="Times New Roman" w:cs="Times New Roman"/>
                <w:sz w:val="16"/>
                <w:szCs w:val="16"/>
              </w:rPr>
              <w:t xml:space="preserve">); </w:t>
            </w:r>
          </w:p>
        </w:tc>
      </w:tr>
      <w:tr w:rsidR="00E4038B" w:rsidRPr="00A07F29" w14:paraId="4B7D5E81" w14:textId="77777777" w:rsidTr="0073666A">
        <w:tc>
          <w:tcPr>
            <w:tcW w:w="704" w:type="dxa"/>
            <w:tcBorders>
              <w:top w:val="single" w:sz="4" w:space="0" w:color="auto"/>
              <w:left w:val="single" w:sz="4" w:space="0" w:color="auto"/>
              <w:bottom w:val="single" w:sz="4" w:space="0" w:color="auto"/>
              <w:right w:val="single" w:sz="4" w:space="0" w:color="auto"/>
            </w:tcBorders>
            <w:shd w:val="clear" w:color="auto" w:fill="FF0000"/>
          </w:tcPr>
          <w:p w14:paraId="1EE4D605" w14:textId="77777777" w:rsidR="00E4038B" w:rsidRPr="00A07F29" w:rsidRDefault="00E4038B" w:rsidP="0073666A">
            <w:pPr>
              <w:spacing w:after="120"/>
              <w:jc w:val="both"/>
              <w:rPr>
                <w:rFonts w:ascii="Times New Roman" w:eastAsia="Calibri" w:hAnsi="Times New Roman" w:cs="Times New Roman"/>
                <w:sz w:val="16"/>
                <w:szCs w:val="16"/>
                <w:shd w:val="clear" w:color="auto" w:fill="FFC000"/>
              </w:rPr>
            </w:pPr>
          </w:p>
        </w:tc>
        <w:tc>
          <w:tcPr>
            <w:tcW w:w="8646" w:type="dxa"/>
            <w:tcBorders>
              <w:top w:val="nil"/>
              <w:left w:val="single" w:sz="4" w:space="0" w:color="auto"/>
              <w:bottom w:val="nil"/>
              <w:right w:val="nil"/>
            </w:tcBorders>
            <w:hideMark/>
          </w:tcPr>
          <w:p w14:paraId="4BF32FCB" w14:textId="77777777" w:rsidR="00E4038B" w:rsidRPr="00A07F29" w:rsidRDefault="00E4038B" w:rsidP="0073666A">
            <w:pPr>
              <w:spacing w:after="120"/>
              <w:jc w:val="both"/>
              <w:rPr>
                <w:rFonts w:ascii="Times New Roman" w:eastAsia="Calibri" w:hAnsi="Times New Roman" w:cs="Times New Roman"/>
                <w:sz w:val="16"/>
                <w:szCs w:val="16"/>
              </w:rPr>
            </w:pPr>
            <w:r w:rsidRPr="00A07F29">
              <w:rPr>
                <w:rFonts w:ascii="Times New Roman" w:eastAsia="Calibri" w:hAnsi="Times New Roman" w:cs="Times New Roman"/>
                <w:sz w:val="16"/>
                <w:szCs w:val="16"/>
              </w:rPr>
              <w:t>U2: Aizsardzības stāvoklis nelabvēlīgs-slikts (</w:t>
            </w:r>
            <w:proofErr w:type="spellStart"/>
            <w:r w:rsidRPr="00A07F29">
              <w:rPr>
                <w:rFonts w:ascii="Times New Roman" w:eastAsia="Calibri" w:hAnsi="Times New Roman" w:cs="Times New Roman"/>
                <w:sz w:val="16"/>
                <w:szCs w:val="16"/>
              </w:rPr>
              <w:t>Unfavourable</w:t>
            </w:r>
            <w:proofErr w:type="spellEnd"/>
            <w:r w:rsidRPr="00A07F29">
              <w:rPr>
                <w:rFonts w:ascii="Times New Roman" w:eastAsia="Calibri" w:hAnsi="Times New Roman" w:cs="Times New Roman"/>
                <w:sz w:val="16"/>
                <w:szCs w:val="16"/>
              </w:rPr>
              <w:t>-Bad);</w:t>
            </w:r>
          </w:p>
        </w:tc>
      </w:tr>
      <w:tr w:rsidR="00E4038B" w:rsidRPr="00A07F29" w14:paraId="4D03E68C" w14:textId="77777777" w:rsidTr="0073666A">
        <w:tc>
          <w:tcPr>
            <w:tcW w:w="70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239F59F3" w14:textId="77777777" w:rsidR="00E4038B" w:rsidRPr="00A07F29" w:rsidRDefault="00E4038B" w:rsidP="0073666A">
            <w:pPr>
              <w:spacing w:after="120"/>
              <w:jc w:val="both"/>
              <w:rPr>
                <w:rFonts w:ascii="Times New Roman" w:eastAsia="Calibri" w:hAnsi="Times New Roman" w:cs="Times New Roman"/>
                <w:sz w:val="16"/>
                <w:szCs w:val="16"/>
                <w:shd w:val="clear" w:color="auto" w:fill="FFC000"/>
              </w:rPr>
            </w:pPr>
          </w:p>
        </w:tc>
        <w:tc>
          <w:tcPr>
            <w:tcW w:w="8646" w:type="dxa"/>
            <w:tcBorders>
              <w:top w:val="nil"/>
              <w:left w:val="single" w:sz="4" w:space="0" w:color="auto"/>
              <w:bottom w:val="nil"/>
              <w:right w:val="nil"/>
            </w:tcBorders>
            <w:hideMark/>
          </w:tcPr>
          <w:p w14:paraId="334A8603" w14:textId="77777777" w:rsidR="00E4038B" w:rsidRPr="00A07F29" w:rsidRDefault="00E4038B" w:rsidP="0073666A">
            <w:pPr>
              <w:spacing w:after="120"/>
              <w:jc w:val="both"/>
              <w:rPr>
                <w:rFonts w:ascii="Times New Roman" w:eastAsia="Calibri" w:hAnsi="Times New Roman" w:cs="Times New Roman"/>
                <w:sz w:val="16"/>
                <w:szCs w:val="16"/>
              </w:rPr>
            </w:pPr>
            <w:r w:rsidRPr="00A07F29">
              <w:rPr>
                <w:rFonts w:ascii="Times New Roman" w:eastAsia="Calibri" w:hAnsi="Times New Roman" w:cs="Times New Roman"/>
                <w:sz w:val="16"/>
                <w:szCs w:val="16"/>
              </w:rPr>
              <w:t>XX: Aizsardzības stāvoklis nezināms (</w:t>
            </w:r>
            <w:proofErr w:type="spellStart"/>
            <w:r w:rsidRPr="00A07F29">
              <w:rPr>
                <w:rFonts w:ascii="Times New Roman" w:eastAsia="Calibri" w:hAnsi="Times New Roman" w:cs="Times New Roman"/>
                <w:sz w:val="16"/>
                <w:szCs w:val="16"/>
              </w:rPr>
              <w:t>Unknown</w:t>
            </w:r>
            <w:proofErr w:type="spellEnd"/>
            <w:r w:rsidRPr="00A07F29">
              <w:rPr>
                <w:rFonts w:ascii="Times New Roman" w:eastAsia="Calibri" w:hAnsi="Times New Roman" w:cs="Times New Roman"/>
                <w:sz w:val="16"/>
                <w:szCs w:val="16"/>
              </w:rPr>
              <w:t>)</w:t>
            </w:r>
          </w:p>
        </w:tc>
      </w:tr>
    </w:tbl>
    <w:p w14:paraId="70F7C57A" w14:textId="5B7B2640" w:rsidR="00E4038B" w:rsidRPr="00A07F29" w:rsidRDefault="00E4038B" w:rsidP="00E4038B">
      <w:pPr>
        <w:spacing w:after="120"/>
        <w:jc w:val="both"/>
        <w:rPr>
          <w:rFonts w:ascii="Times New Roman" w:eastAsia="Calibri" w:hAnsi="Times New Roman" w:cs="Times New Roman"/>
          <w:sz w:val="16"/>
          <w:szCs w:val="16"/>
        </w:rPr>
      </w:pPr>
      <w:r w:rsidRPr="00A07F29">
        <w:rPr>
          <w:rFonts w:ascii="Times New Roman" w:eastAsia="Calibri" w:hAnsi="Times New Roman" w:cs="Times New Roman"/>
          <w:b/>
          <w:sz w:val="16"/>
          <w:szCs w:val="16"/>
        </w:rPr>
        <w:t>Apzīmējumi aizsardzības stāvokļa tendencei:</w:t>
      </w:r>
      <w:r w:rsidRPr="00A07F29">
        <w:rPr>
          <w:rFonts w:ascii="Times New Roman" w:eastAsia="Calibri" w:hAnsi="Times New Roman" w:cs="Times New Roman"/>
          <w:sz w:val="16"/>
          <w:szCs w:val="16"/>
        </w:rPr>
        <w:t xml:space="preserve"> I </w:t>
      </w:r>
      <w:r w:rsidRPr="00A07F29">
        <w:rPr>
          <w:rFonts w:ascii="Cambria Math" w:eastAsia="Calibri" w:hAnsi="Cambria Math" w:cs="Cambria Math"/>
          <w:sz w:val="16"/>
          <w:szCs w:val="16"/>
        </w:rPr>
        <w:t>‐</w:t>
      </w:r>
      <w:r w:rsidRPr="00A07F29">
        <w:rPr>
          <w:rFonts w:ascii="Times New Roman" w:eastAsia="Calibri" w:hAnsi="Times New Roman" w:cs="Times New Roman"/>
          <w:sz w:val="16"/>
          <w:szCs w:val="16"/>
        </w:rPr>
        <w:t xml:space="preserve"> uzlabojas</w:t>
      </w:r>
      <w:r w:rsidR="00D65BBA" w:rsidRPr="00A07F29">
        <w:rPr>
          <w:rFonts w:ascii="Times New Roman" w:eastAsia="Calibri" w:hAnsi="Times New Roman" w:cs="Times New Roman"/>
          <w:sz w:val="16"/>
          <w:szCs w:val="16"/>
        </w:rPr>
        <w:t xml:space="preserve"> </w:t>
      </w:r>
      <w:r w:rsidRPr="00A07F29">
        <w:rPr>
          <w:rFonts w:ascii="Times New Roman" w:eastAsia="Calibri" w:hAnsi="Times New Roman" w:cs="Times New Roman"/>
          <w:sz w:val="16"/>
          <w:szCs w:val="16"/>
        </w:rPr>
        <w:t xml:space="preserve">D </w:t>
      </w:r>
      <w:r w:rsidRPr="00A07F29">
        <w:rPr>
          <w:rFonts w:ascii="Cambria Math" w:eastAsia="Calibri" w:hAnsi="Cambria Math" w:cs="Cambria Math"/>
          <w:sz w:val="16"/>
          <w:szCs w:val="16"/>
        </w:rPr>
        <w:t>‐</w:t>
      </w:r>
      <w:r w:rsidRPr="00A07F29">
        <w:rPr>
          <w:rFonts w:ascii="Times New Roman" w:eastAsia="Calibri" w:hAnsi="Times New Roman" w:cs="Times New Roman"/>
          <w:sz w:val="16"/>
          <w:szCs w:val="16"/>
        </w:rPr>
        <w:t xml:space="preserve"> pasliktinās</w:t>
      </w:r>
      <w:r w:rsidR="00D65BBA" w:rsidRPr="00A07F29">
        <w:rPr>
          <w:rFonts w:ascii="Times New Roman" w:eastAsia="Calibri" w:hAnsi="Times New Roman" w:cs="Times New Roman"/>
          <w:sz w:val="16"/>
          <w:szCs w:val="16"/>
        </w:rPr>
        <w:t xml:space="preserve"> </w:t>
      </w:r>
      <w:r w:rsidRPr="00A07F29">
        <w:rPr>
          <w:rFonts w:ascii="Times New Roman" w:eastAsia="Calibri" w:hAnsi="Times New Roman" w:cs="Times New Roman"/>
          <w:sz w:val="16"/>
          <w:szCs w:val="16"/>
        </w:rPr>
        <w:t xml:space="preserve">S </w:t>
      </w:r>
      <w:r w:rsidRPr="00A07F29">
        <w:rPr>
          <w:rFonts w:ascii="Cambria Math" w:eastAsia="Calibri" w:hAnsi="Cambria Math" w:cs="Cambria Math"/>
          <w:sz w:val="16"/>
          <w:szCs w:val="16"/>
        </w:rPr>
        <w:t>‐</w:t>
      </w:r>
      <w:r w:rsidRPr="00A07F29">
        <w:rPr>
          <w:rFonts w:ascii="Times New Roman" w:eastAsia="Calibri" w:hAnsi="Times New Roman" w:cs="Times New Roman"/>
          <w:sz w:val="16"/>
          <w:szCs w:val="16"/>
        </w:rPr>
        <w:t xml:space="preserve"> stabils</w:t>
      </w:r>
      <w:r w:rsidR="00D65BBA" w:rsidRPr="00A07F29">
        <w:rPr>
          <w:rFonts w:ascii="Times New Roman" w:eastAsia="Calibri" w:hAnsi="Times New Roman" w:cs="Times New Roman"/>
          <w:sz w:val="16"/>
          <w:szCs w:val="16"/>
        </w:rPr>
        <w:t xml:space="preserve"> </w:t>
      </w:r>
      <w:r w:rsidRPr="00A07F29">
        <w:rPr>
          <w:rFonts w:ascii="Times New Roman" w:eastAsia="Calibri" w:hAnsi="Times New Roman" w:cs="Times New Roman"/>
          <w:sz w:val="16"/>
          <w:szCs w:val="16"/>
        </w:rPr>
        <w:t>x nezināms</w:t>
      </w:r>
    </w:p>
    <w:p w14:paraId="2924355F" w14:textId="6D83C1BD" w:rsidR="00B87404" w:rsidRPr="00A07F29" w:rsidRDefault="00B87404" w:rsidP="00B87404">
      <w:pPr>
        <w:spacing w:after="120"/>
        <w:ind w:right="75"/>
        <w:jc w:val="both"/>
        <w:rPr>
          <w:rFonts w:ascii="Times New Roman" w:eastAsia="Calibri" w:hAnsi="Times New Roman" w:cs="Times New Roman"/>
          <w:sz w:val="16"/>
          <w:szCs w:val="16"/>
        </w:rPr>
      </w:pPr>
      <w:r w:rsidRPr="00A07F29">
        <w:rPr>
          <w:rFonts w:ascii="Times New Roman" w:eastAsia="Calibri" w:hAnsi="Times New Roman" w:cs="Times New Roman"/>
          <w:b/>
          <w:spacing w:val="-3"/>
          <w:sz w:val="16"/>
          <w:szCs w:val="16"/>
        </w:rPr>
        <w:t>B</w:t>
      </w:r>
      <w:r w:rsidRPr="00A07F29">
        <w:rPr>
          <w:rFonts w:ascii="Times New Roman" w:eastAsia="Calibri" w:hAnsi="Times New Roman" w:cs="Times New Roman"/>
          <w:b/>
          <w:sz w:val="16"/>
          <w:szCs w:val="16"/>
        </w:rPr>
        <w:t>D</w:t>
      </w:r>
      <w:r w:rsidRPr="00A07F29">
        <w:rPr>
          <w:rFonts w:ascii="Times New Roman" w:eastAsia="Calibri" w:hAnsi="Times New Roman" w:cs="Times New Roman"/>
          <w:b/>
          <w:spacing w:val="7"/>
          <w:sz w:val="16"/>
          <w:szCs w:val="16"/>
        </w:rPr>
        <w:t xml:space="preserve"> </w:t>
      </w:r>
      <w:r w:rsidR="008E322B">
        <w:rPr>
          <w:rFonts w:ascii="Times New Roman" w:eastAsia="Calibri" w:hAnsi="Times New Roman" w:cs="Times New Roman"/>
          <w:sz w:val="16"/>
          <w:szCs w:val="16"/>
        </w:rPr>
        <w:t>–</w:t>
      </w:r>
      <w:r w:rsidRPr="00A07F29">
        <w:rPr>
          <w:rFonts w:ascii="Times New Roman" w:eastAsia="Calibri" w:hAnsi="Times New Roman" w:cs="Times New Roman"/>
          <w:spacing w:val="5"/>
          <w:sz w:val="16"/>
          <w:szCs w:val="16"/>
        </w:rPr>
        <w:t xml:space="preserve"> </w:t>
      </w:r>
      <w:r w:rsidR="008E322B">
        <w:rPr>
          <w:rFonts w:ascii="Times New Roman" w:eastAsia="Calibri" w:hAnsi="Times New Roman" w:cs="Times New Roman"/>
          <w:spacing w:val="1"/>
          <w:sz w:val="16"/>
          <w:szCs w:val="16"/>
        </w:rPr>
        <w:t>Biotopu direktīva</w:t>
      </w:r>
      <w:r w:rsidRPr="00A07F29">
        <w:rPr>
          <w:rFonts w:ascii="Times New Roman" w:eastAsia="Calibri" w:hAnsi="Times New Roman" w:cs="Times New Roman"/>
          <w:sz w:val="16"/>
          <w:szCs w:val="16"/>
        </w:rPr>
        <w:t>:</w:t>
      </w:r>
      <w:r w:rsidRPr="00A07F29">
        <w:rPr>
          <w:rFonts w:ascii="Times New Roman" w:eastAsia="Calibri" w:hAnsi="Times New Roman" w:cs="Times New Roman"/>
          <w:spacing w:val="2"/>
          <w:sz w:val="16"/>
          <w:szCs w:val="16"/>
        </w:rPr>
        <w:t xml:space="preserve"> </w:t>
      </w:r>
      <w:r w:rsidRPr="00A07F29">
        <w:rPr>
          <w:rFonts w:ascii="Times New Roman" w:eastAsia="Calibri" w:hAnsi="Times New Roman" w:cs="Times New Roman"/>
          <w:b/>
          <w:sz w:val="16"/>
          <w:szCs w:val="16"/>
        </w:rPr>
        <w:t>II</w:t>
      </w:r>
      <w:r w:rsidRPr="00A07F29">
        <w:rPr>
          <w:rFonts w:ascii="Times New Roman" w:eastAsia="Calibri" w:hAnsi="Times New Roman" w:cs="Times New Roman"/>
          <w:b/>
          <w:spacing w:val="5"/>
          <w:sz w:val="16"/>
          <w:szCs w:val="16"/>
        </w:rPr>
        <w:t xml:space="preserve"> </w:t>
      </w:r>
      <w:r w:rsidRPr="00A07F29">
        <w:rPr>
          <w:rFonts w:ascii="Times New Roman" w:eastAsia="Calibri" w:hAnsi="Times New Roman" w:cs="Times New Roman"/>
          <w:sz w:val="16"/>
          <w:szCs w:val="16"/>
        </w:rPr>
        <w:t>–</w:t>
      </w:r>
      <w:r w:rsidRPr="00A07F29">
        <w:rPr>
          <w:rFonts w:ascii="Times New Roman" w:eastAsia="Calibri" w:hAnsi="Times New Roman" w:cs="Times New Roman"/>
          <w:spacing w:val="5"/>
          <w:sz w:val="16"/>
          <w:szCs w:val="16"/>
        </w:rPr>
        <w:t xml:space="preserve"> </w:t>
      </w:r>
      <w:r w:rsidRPr="00A07F29">
        <w:rPr>
          <w:rFonts w:ascii="Times New Roman" w:eastAsia="Calibri" w:hAnsi="Times New Roman" w:cs="Times New Roman"/>
          <w:spacing w:val="-1"/>
          <w:sz w:val="16"/>
          <w:szCs w:val="16"/>
        </w:rPr>
        <w:t>I</w:t>
      </w:r>
      <w:r w:rsidRPr="00A07F29">
        <w:rPr>
          <w:rFonts w:ascii="Times New Roman" w:eastAsia="Calibri" w:hAnsi="Times New Roman" w:cs="Times New Roman"/>
          <w:sz w:val="16"/>
          <w:szCs w:val="16"/>
        </w:rPr>
        <w:t>I</w:t>
      </w:r>
      <w:r w:rsidRPr="00A07F29">
        <w:rPr>
          <w:rFonts w:ascii="Times New Roman" w:eastAsia="Calibri" w:hAnsi="Times New Roman" w:cs="Times New Roman"/>
          <w:spacing w:val="2"/>
          <w:sz w:val="16"/>
          <w:szCs w:val="16"/>
        </w:rPr>
        <w:t xml:space="preserve"> </w:t>
      </w:r>
      <w:r w:rsidRPr="00A07F29">
        <w:rPr>
          <w:rFonts w:ascii="Times New Roman" w:eastAsia="Calibri" w:hAnsi="Times New Roman" w:cs="Times New Roman"/>
          <w:sz w:val="16"/>
          <w:szCs w:val="16"/>
        </w:rPr>
        <w:t>p</w:t>
      </w:r>
      <w:r w:rsidRPr="00A07F29">
        <w:rPr>
          <w:rFonts w:ascii="Times New Roman" w:eastAsia="Calibri" w:hAnsi="Times New Roman" w:cs="Times New Roman"/>
          <w:spacing w:val="1"/>
          <w:sz w:val="16"/>
          <w:szCs w:val="16"/>
        </w:rPr>
        <w:t>i</w:t>
      </w:r>
      <w:r w:rsidRPr="00A07F29">
        <w:rPr>
          <w:rFonts w:ascii="Times New Roman" w:eastAsia="Calibri" w:hAnsi="Times New Roman" w:cs="Times New Roman"/>
          <w:spacing w:val="-1"/>
          <w:sz w:val="16"/>
          <w:szCs w:val="16"/>
        </w:rPr>
        <w:t>e</w:t>
      </w:r>
      <w:r w:rsidRPr="00A07F29">
        <w:rPr>
          <w:rFonts w:ascii="Times New Roman" w:eastAsia="Calibri" w:hAnsi="Times New Roman" w:cs="Times New Roman"/>
          <w:spacing w:val="1"/>
          <w:sz w:val="16"/>
          <w:szCs w:val="16"/>
        </w:rPr>
        <w:t>l</w:t>
      </w:r>
      <w:r w:rsidRPr="00A07F29">
        <w:rPr>
          <w:rFonts w:ascii="Times New Roman" w:eastAsia="Calibri" w:hAnsi="Times New Roman" w:cs="Times New Roman"/>
          <w:spacing w:val="3"/>
          <w:sz w:val="16"/>
          <w:szCs w:val="16"/>
        </w:rPr>
        <w:t>i</w:t>
      </w:r>
      <w:r w:rsidRPr="00A07F29">
        <w:rPr>
          <w:rFonts w:ascii="Times New Roman" w:eastAsia="Calibri" w:hAnsi="Times New Roman" w:cs="Times New Roman"/>
          <w:spacing w:val="-2"/>
          <w:sz w:val="16"/>
          <w:szCs w:val="16"/>
        </w:rPr>
        <w:t>k</w:t>
      </w:r>
      <w:r w:rsidRPr="00A07F29">
        <w:rPr>
          <w:rFonts w:ascii="Times New Roman" w:eastAsia="Calibri" w:hAnsi="Times New Roman" w:cs="Times New Roman"/>
          <w:spacing w:val="2"/>
          <w:sz w:val="16"/>
          <w:szCs w:val="16"/>
        </w:rPr>
        <w:t>u</w:t>
      </w:r>
      <w:r w:rsidRPr="00A07F29">
        <w:rPr>
          <w:rFonts w:ascii="Times New Roman" w:eastAsia="Calibri" w:hAnsi="Times New Roman" w:cs="Times New Roman"/>
          <w:spacing w:val="-2"/>
          <w:sz w:val="16"/>
          <w:szCs w:val="16"/>
        </w:rPr>
        <w:t>m</w:t>
      </w:r>
      <w:r w:rsidRPr="00A07F29">
        <w:rPr>
          <w:rFonts w:ascii="Times New Roman" w:eastAsia="Calibri" w:hAnsi="Times New Roman" w:cs="Times New Roman"/>
          <w:sz w:val="16"/>
          <w:szCs w:val="16"/>
        </w:rPr>
        <w:t>s.</w:t>
      </w:r>
      <w:r w:rsidRPr="00A07F29">
        <w:rPr>
          <w:rFonts w:ascii="Times New Roman" w:eastAsia="Calibri" w:hAnsi="Times New Roman" w:cs="Times New Roman"/>
          <w:spacing w:val="1"/>
          <w:sz w:val="16"/>
          <w:szCs w:val="16"/>
        </w:rPr>
        <w:t xml:space="preserve"> </w:t>
      </w:r>
      <w:r w:rsidRPr="00A07F29">
        <w:rPr>
          <w:rFonts w:ascii="Times New Roman" w:eastAsia="Calibri" w:hAnsi="Times New Roman" w:cs="Times New Roman"/>
          <w:sz w:val="16"/>
          <w:szCs w:val="16"/>
        </w:rPr>
        <w:t>D</w:t>
      </w:r>
      <w:r w:rsidRPr="00A07F29">
        <w:rPr>
          <w:rFonts w:ascii="Times New Roman" w:eastAsia="Calibri" w:hAnsi="Times New Roman" w:cs="Times New Roman"/>
          <w:spacing w:val="-1"/>
          <w:sz w:val="16"/>
          <w:szCs w:val="16"/>
        </w:rPr>
        <w:t>z</w:t>
      </w:r>
      <w:r w:rsidRPr="00A07F29">
        <w:rPr>
          <w:rFonts w:ascii="Times New Roman" w:eastAsia="Calibri" w:hAnsi="Times New Roman" w:cs="Times New Roman"/>
          <w:spacing w:val="1"/>
          <w:sz w:val="16"/>
          <w:szCs w:val="16"/>
        </w:rPr>
        <w:t>ī</w:t>
      </w:r>
      <w:r w:rsidRPr="00A07F29">
        <w:rPr>
          <w:rFonts w:ascii="Times New Roman" w:eastAsia="Calibri" w:hAnsi="Times New Roman" w:cs="Times New Roman"/>
          <w:sz w:val="16"/>
          <w:szCs w:val="16"/>
        </w:rPr>
        <w:t>vn</w:t>
      </w:r>
      <w:r w:rsidRPr="00A07F29">
        <w:rPr>
          <w:rFonts w:ascii="Times New Roman" w:eastAsia="Calibri" w:hAnsi="Times New Roman" w:cs="Times New Roman"/>
          <w:spacing w:val="1"/>
          <w:sz w:val="16"/>
          <w:szCs w:val="16"/>
        </w:rPr>
        <w:t>i</w:t>
      </w:r>
      <w:r w:rsidRPr="00A07F29">
        <w:rPr>
          <w:rFonts w:ascii="Times New Roman" w:eastAsia="Calibri" w:hAnsi="Times New Roman" w:cs="Times New Roman"/>
          <w:spacing w:val="2"/>
          <w:sz w:val="16"/>
          <w:szCs w:val="16"/>
        </w:rPr>
        <w:t>e</w:t>
      </w:r>
      <w:r w:rsidRPr="00A07F29">
        <w:rPr>
          <w:rFonts w:ascii="Times New Roman" w:eastAsia="Calibri" w:hAnsi="Times New Roman" w:cs="Times New Roman"/>
          <w:spacing w:val="-2"/>
          <w:sz w:val="16"/>
          <w:szCs w:val="16"/>
        </w:rPr>
        <w:t>k</w:t>
      </w:r>
      <w:r w:rsidRPr="00A07F29">
        <w:rPr>
          <w:rFonts w:ascii="Times New Roman" w:eastAsia="Calibri" w:hAnsi="Times New Roman" w:cs="Times New Roman"/>
          <w:sz w:val="16"/>
          <w:szCs w:val="16"/>
        </w:rPr>
        <w:t>u un</w:t>
      </w:r>
      <w:r w:rsidRPr="00A07F29">
        <w:rPr>
          <w:rFonts w:ascii="Times New Roman" w:eastAsia="Calibri" w:hAnsi="Times New Roman" w:cs="Times New Roman"/>
          <w:spacing w:val="6"/>
          <w:sz w:val="16"/>
          <w:szCs w:val="16"/>
        </w:rPr>
        <w:t xml:space="preserve"> </w:t>
      </w:r>
      <w:r w:rsidRPr="00A07F29">
        <w:rPr>
          <w:rFonts w:ascii="Times New Roman" w:eastAsia="Calibri" w:hAnsi="Times New Roman" w:cs="Times New Roman"/>
          <w:spacing w:val="-1"/>
          <w:sz w:val="16"/>
          <w:szCs w:val="16"/>
        </w:rPr>
        <w:t>a</w:t>
      </w:r>
      <w:r w:rsidRPr="00A07F29">
        <w:rPr>
          <w:rFonts w:ascii="Times New Roman" w:eastAsia="Calibri" w:hAnsi="Times New Roman" w:cs="Times New Roman"/>
          <w:spacing w:val="2"/>
          <w:sz w:val="16"/>
          <w:szCs w:val="16"/>
        </w:rPr>
        <w:t>u</w:t>
      </w:r>
      <w:r w:rsidRPr="00A07F29">
        <w:rPr>
          <w:rFonts w:ascii="Times New Roman" w:eastAsia="Calibri" w:hAnsi="Times New Roman" w:cs="Times New Roman"/>
          <w:sz w:val="16"/>
          <w:szCs w:val="16"/>
        </w:rPr>
        <w:t>gu</w:t>
      </w:r>
      <w:r w:rsidRPr="00A07F29">
        <w:rPr>
          <w:rFonts w:ascii="Times New Roman" w:eastAsia="Calibri" w:hAnsi="Times New Roman" w:cs="Times New Roman"/>
          <w:spacing w:val="3"/>
          <w:sz w:val="16"/>
          <w:szCs w:val="16"/>
        </w:rPr>
        <w:t xml:space="preserve"> </w:t>
      </w:r>
      <w:r w:rsidRPr="00A07F29">
        <w:rPr>
          <w:rFonts w:ascii="Times New Roman" w:eastAsia="Calibri" w:hAnsi="Times New Roman" w:cs="Times New Roman"/>
          <w:sz w:val="16"/>
          <w:szCs w:val="16"/>
        </w:rPr>
        <w:t>s</w:t>
      </w:r>
      <w:r w:rsidRPr="00A07F29">
        <w:rPr>
          <w:rFonts w:ascii="Times New Roman" w:eastAsia="Calibri" w:hAnsi="Times New Roman" w:cs="Times New Roman"/>
          <w:spacing w:val="2"/>
          <w:sz w:val="16"/>
          <w:szCs w:val="16"/>
        </w:rPr>
        <w:t>u</w:t>
      </w:r>
      <w:r w:rsidRPr="00A07F29">
        <w:rPr>
          <w:rFonts w:ascii="Times New Roman" w:eastAsia="Calibri" w:hAnsi="Times New Roman" w:cs="Times New Roman"/>
          <w:spacing w:val="-5"/>
          <w:sz w:val="16"/>
          <w:szCs w:val="16"/>
        </w:rPr>
        <w:t>g</w:t>
      </w:r>
      <w:r w:rsidRPr="00A07F29">
        <w:rPr>
          <w:rFonts w:ascii="Times New Roman" w:eastAsia="Calibri" w:hAnsi="Times New Roman" w:cs="Times New Roman"/>
          <w:spacing w:val="-1"/>
          <w:sz w:val="16"/>
          <w:szCs w:val="16"/>
        </w:rPr>
        <w:t>a</w:t>
      </w:r>
      <w:r w:rsidRPr="00A07F29">
        <w:rPr>
          <w:rFonts w:ascii="Times New Roman" w:eastAsia="Calibri" w:hAnsi="Times New Roman" w:cs="Times New Roman"/>
          <w:sz w:val="16"/>
          <w:szCs w:val="16"/>
        </w:rPr>
        <w:t>s,</w:t>
      </w:r>
      <w:r w:rsidRPr="00A07F29">
        <w:rPr>
          <w:rFonts w:ascii="Times New Roman" w:eastAsia="Calibri" w:hAnsi="Times New Roman" w:cs="Times New Roman"/>
          <w:spacing w:val="4"/>
          <w:sz w:val="16"/>
          <w:szCs w:val="16"/>
        </w:rPr>
        <w:t xml:space="preserve"> </w:t>
      </w:r>
      <w:r w:rsidRPr="00A07F29">
        <w:rPr>
          <w:rFonts w:ascii="Times New Roman" w:eastAsia="Calibri" w:hAnsi="Times New Roman" w:cs="Times New Roman"/>
          <w:sz w:val="16"/>
          <w:szCs w:val="16"/>
        </w:rPr>
        <w:t>k</w:t>
      </w:r>
      <w:r w:rsidRPr="00A07F29">
        <w:rPr>
          <w:rFonts w:ascii="Times New Roman" w:eastAsia="Calibri" w:hAnsi="Times New Roman" w:cs="Times New Roman"/>
          <w:spacing w:val="-1"/>
          <w:sz w:val="16"/>
          <w:szCs w:val="16"/>
        </w:rPr>
        <w:t>a</w:t>
      </w:r>
      <w:r w:rsidRPr="00A07F29">
        <w:rPr>
          <w:rFonts w:ascii="Times New Roman" w:eastAsia="Calibri" w:hAnsi="Times New Roman" w:cs="Times New Roman"/>
          <w:sz w:val="16"/>
          <w:szCs w:val="16"/>
        </w:rPr>
        <w:t>s</w:t>
      </w:r>
      <w:r w:rsidRPr="00A07F29">
        <w:rPr>
          <w:rFonts w:ascii="Times New Roman" w:eastAsia="Calibri" w:hAnsi="Times New Roman" w:cs="Times New Roman"/>
          <w:spacing w:val="4"/>
          <w:sz w:val="16"/>
          <w:szCs w:val="16"/>
        </w:rPr>
        <w:t xml:space="preserve"> </w:t>
      </w:r>
      <w:r w:rsidRPr="00A07F29">
        <w:rPr>
          <w:rFonts w:ascii="Times New Roman" w:eastAsia="Calibri" w:hAnsi="Times New Roman" w:cs="Times New Roman"/>
          <w:spacing w:val="1"/>
          <w:sz w:val="16"/>
          <w:szCs w:val="16"/>
        </w:rPr>
        <w:t>i</w:t>
      </w:r>
      <w:r w:rsidRPr="00A07F29">
        <w:rPr>
          <w:rFonts w:ascii="Times New Roman" w:eastAsia="Calibri" w:hAnsi="Times New Roman" w:cs="Times New Roman"/>
          <w:sz w:val="16"/>
          <w:szCs w:val="16"/>
        </w:rPr>
        <w:t>r</w:t>
      </w:r>
      <w:r w:rsidRPr="00A07F29">
        <w:rPr>
          <w:rFonts w:ascii="Times New Roman" w:eastAsia="Calibri" w:hAnsi="Times New Roman" w:cs="Times New Roman"/>
          <w:spacing w:val="8"/>
          <w:sz w:val="16"/>
          <w:szCs w:val="16"/>
        </w:rPr>
        <w:t xml:space="preserve"> </w:t>
      </w:r>
      <w:r w:rsidRPr="00A07F29">
        <w:rPr>
          <w:rFonts w:ascii="Times New Roman" w:eastAsia="Calibri" w:hAnsi="Times New Roman" w:cs="Times New Roman"/>
          <w:spacing w:val="-3"/>
          <w:sz w:val="16"/>
          <w:szCs w:val="16"/>
        </w:rPr>
        <w:t>K</w:t>
      </w:r>
      <w:r w:rsidRPr="00A07F29">
        <w:rPr>
          <w:rFonts w:ascii="Times New Roman" w:eastAsia="Calibri" w:hAnsi="Times New Roman" w:cs="Times New Roman"/>
          <w:sz w:val="16"/>
          <w:szCs w:val="16"/>
        </w:rPr>
        <w:t>op</w:t>
      </w:r>
      <w:r w:rsidRPr="00A07F29">
        <w:rPr>
          <w:rFonts w:ascii="Times New Roman" w:eastAsia="Calibri" w:hAnsi="Times New Roman" w:cs="Times New Roman"/>
          <w:spacing w:val="1"/>
          <w:sz w:val="16"/>
          <w:szCs w:val="16"/>
        </w:rPr>
        <w:t>i</w:t>
      </w:r>
      <w:r w:rsidRPr="00A07F29">
        <w:rPr>
          <w:rFonts w:ascii="Times New Roman" w:eastAsia="Calibri" w:hAnsi="Times New Roman" w:cs="Times New Roman"/>
          <w:spacing w:val="-1"/>
          <w:sz w:val="16"/>
          <w:szCs w:val="16"/>
        </w:rPr>
        <w:t>e</w:t>
      </w:r>
      <w:r w:rsidRPr="00A07F29">
        <w:rPr>
          <w:rFonts w:ascii="Times New Roman" w:eastAsia="Calibri" w:hAnsi="Times New Roman" w:cs="Times New Roman"/>
          <w:spacing w:val="2"/>
          <w:sz w:val="16"/>
          <w:szCs w:val="16"/>
        </w:rPr>
        <w:t>n</w:t>
      </w:r>
      <w:r w:rsidRPr="00A07F29">
        <w:rPr>
          <w:rFonts w:ascii="Times New Roman" w:eastAsia="Calibri" w:hAnsi="Times New Roman" w:cs="Times New Roman"/>
          <w:spacing w:val="-1"/>
          <w:sz w:val="16"/>
          <w:szCs w:val="16"/>
        </w:rPr>
        <w:t>a</w:t>
      </w:r>
      <w:r w:rsidRPr="00A07F29">
        <w:rPr>
          <w:rFonts w:ascii="Times New Roman" w:eastAsia="Calibri" w:hAnsi="Times New Roman" w:cs="Times New Roman"/>
          <w:sz w:val="16"/>
          <w:szCs w:val="16"/>
        </w:rPr>
        <w:t xml:space="preserve">s </w:t>
      </w:r>
      <w:r w:rsidRPr="00A07F29">
        <w:rPr>
          <w:rFonts w:ascii="Times New Roman" w:eastAsia="Calibri" w:hAnsi="Times New Roman" w:cs="Times New Roman"/>
          <w:spacing w:val="1"/>
          <w:sz w:val="16"/>
          <w:szCs w:val="16"/>
        </w:rPr>
        <w:t>i</w:t>
      </w:r>
      <w:r w:rsidRPr="00A07F29">
        <w:rPr>
          <w:rFonts w:ascii="Times New Roman" w:eastAsia="Calibri" w:hAnsi="Times New Roman" w:cs="Times New Roman"/>
          <w:sz w:val="16"/>
          <w:szCs w:val="16"/>
        </w:rPr>
        <w:t>n</w:t>
      </w:r>
      <w:r w:rsidRPr="00A07F29">
        <w:rPr>
          <w:rFonts w:ascii="Times New Roman" w:eastAsia="Calibri" w:hAnsi="Times New Roman" w:cs="Times New Roman"/>
          <w:spacing w:val="1"/>
          <w:sz w:val="16"/>
          <w:szCs w:val="16"/>
        </w:rPr>
        <w:t>t</w:t>
      </w:r>
      <w:r w:rsidRPr="00A07F29">
        <w:rPr>
          <w:rFonts w:ascii="Times New Roman" w:eastAsia="Calibri" w:hAnsi="Times New Roman" w:cs="Times New Roman"/>
          <w:spacing w:val="-1"/>
          <w:sz w:val="16"/>
          <w:szCs w:val="16"/>
        </w:rPr>
        <w:t>ere</w:t>
      </w:r>
      <w:r w:rsidRPr="00A07F29">
        <w:rPr>
          <w:rFonts w:ascii="Times New Roman" w:eastAsia="Calibri" w:hAnsi="Times New Roman" w:cs="Times New Roman"/>
          <w:sz w:val="16"/>
          <w:szCs w:val="16"/>
        </w:rPr>
        <w:t>šu</w:t>
      </w:r>
      <w:r w:rsidRPr="00A07F29">
        <w:rPr>
          <w:rFonts w:ascii="Times New Roman" w:eastAsia="Calibri" w:hAnsi="Times New Roman" w:cs="Times New Roman"/>
          <w:spacing w:val="2"/>
          <w:sz w:val="16"/>
          <w:szCs w:val="16"/>
        </w:rPr>
        <w:t xml:space="preserve"> </w:t>
      </w:r>
      <w:r w:rsidRPr="00A07F29">
        <w:rPr>
          <w:rFonts w:ascii="Times New Roman" w:eastAsia="Calibri" w:hAnsi="Times New Roman" w:cs="Times New Roman"/>
          <w:sz w:val="16"/>
          <w:szCs w:val="16"/>
        </w:rPr>
        <w:t>s</w:t>
      </w:r>
      <w:r w:rsidRPr="00A07F29">
        <w:rPr>
          <w:rFonts w:ascii="Times New Roman" w:eastAsia="Calibri" w:hAnsi="Times New Roman" w:cs="Times New Roman"/>
          <w:spacing w:val="-1"/>
          <w:sz w:val="16"/>
          <w:szCs w:val="16"/>
        </w:rPr>
        <w:t>fēr</w:t>
      </w:r>
      <w:r w:rsidRPr="00A07F29">
        <w:rPr>
          <w:rFonts w:ascii="Times New Roman" w:eastAsia="Calibri" w:hAnsi="Times New Roman" w:cs="Times New Roman"/>
          <w:sz w:val="16"/>
          <w:szCs w:val="16"/>
        </w:rPr>
        <w:t>ā</w:t>
      </w:r>
      <w:r w:rsidRPr="00A07F29">
        <w:rPr>
          <w:rFonts w:ascii="Times New Roman" w:eastAsia="Calibri" w:hAnsi="Times New Roman" w:cs="Times New Roman"/>
          <w:spacing w:val="3"/>
          <w:sz w:val="16"/>
          <w:szCs w:val="16"/>
        </w:rPr>
        <w:t xml:space="preserve"> </w:t>
      </w:r>
      <w:r w:rsidRPr="00A07F29">
        <w:rPr>
          <w:rFonts w:ascii="Times New Roman" w:eastAsia="Calibri" w:hAnsi="Times New Roman" w:cs="Times New Roman"/>
          <w:sz w:val="16"/>
          <w:szCs w:val="16"/>
        </w:rPr>
        <w:t>un</w:t>
      </w:r>
      <w:r w:rsidRPr="00A07F29">
        <w:rPr>
          <w:rFonts w:ascii="Times New Roman" w:eastAsia="Calibri" w:hAnsi="Times New Roman" w:cs="Times New Roman"/>
          <w:spacing w:val="6"/>
          <w:sz w:val="16"/>
          <w:szCs w:val="16"/>
        </w:rPr>
        <w:t xml:space="preserve"> </w:t>
      </w:r>
      <w:r w:rsidRPr="00A07F29">
        <w:rPr>
          <w:rFonts w:ascii="Times New Roman" w:eastAsia="Calibri" w:hAnsi="Times New Roman" w:cs="Times New Roman"/>
          <w:spacing w:val="-2"/>
          <w:sz w:val="16"/>
          <w:szCs w:val="16"/>
        </w:rPr>
        <w:t>k</w:t>
      </w:r>
      <w:r w:rsidRPr="00A07F29">
        <w:rPr>
          <w:rFonts w:ascii="Times New Roman" w:eastAsia="Calibri" w:hAnsi="Times New Roman" w:cs="Times New Roman"/>
          <w:sz w:val="16"/>
          <w:szCs w:val="16"/>
        </w:rPr>
        <w:t>u</w:t>
      </w:r>
      <w:r w:rsidRPr="00A07F29">
        <w:rPr>
          <w:rFonts w:ascii="Times New Roman" w:eastAsia="Calibri" w:hAnsi="Times New Roman" w:cs="Times New Roman"/>
          <w:spacing w:val="-1"/>
          <w:sz w:val="16"/>
          <w:szCs w:val="16"/>
        </w:rPr>
        <w:t>r</w:t>
      </w:r>
      <w:r w:rsidRPr="00A07F29">
        <w:rPr>
          <w:rFonts w:ascii="Times New Roman" w:eastAsia="Calibri" w:hAnsi="Times New Roman" w:cs="Times New Roman"/>
          <w:sz w:val="16"/>
          <w:szCs w:val="16"/>
        </w:rPr>
        <w:t>u</w:t>
      </w:r>
      <w:r w:rsidRPr="00A07F29">
        <w:rPr>
          <w:rFonts w:ascii="Times New Roman" w:eastAsia="Calibri" w:hAnsi="Times New Roman" w:cs="Times New Roman"/>
          <w:spacing w:val="4"/>
          <w:sz w:val="16"/>
          <w:szCs w:val="16"/>
        </w:rPr>
        <w:t xml:space="preserve"> </w:t>
      </w:r>
      <w:r w:rsidRPr="00A07F29">
        <w:rPr>
          <w:rFonts w:ascii="Times New Roman" w:eastAsia="Calibri" w:hAnsi="Times New Roman" w:cs="Times New Roman"/>
          <w:spacing w:val="-1"/>
          <w:sz w:val="16"/>
          <w:szCs w:val="16"/>
        </w:rPr>
        <w:t>a</w:t>
      </w:r>
      <w:r w:rsidRPr="00A07F29">
        <w:rPr>
          <w:rFonts w:ascii="Times New Roman" w:eastAsia="Calibri" w:hAnsi="Times New Roman" w:cs="Times New Roman"/>
          <w:spacing w:val="1"/>
          <w:sz w:val="16"/>
          <w:szCs w:val="16"/>
        </w:rPr>
        <w:t>i</w:t>
      </w:r>
      <w:r w:rsidRPr="00A07F29">
        <w:rPr>
          <w:rFonts w:ascii="Times New Roman" w:eastAsia="Calibri" w:hAnsi="Times New Roman" w:cs="Times New Roman"/>
          <w:spacing w:val="-1"/>
          <w:sz w:val="16"/>
          <w:szCs w:val="16"/>
        </w:rPr>
        <w:t>z</w:t>
      </w:r>
      <w:r w:rsidRPr="00A07F29">
        <w:rPr>
          <w:rFonts w:ascii="Times New Roman" w:eastAsia="Calibri" w:hAnsi="Times New Roman" w:cs="Times New Roman"/>
          <w:sz w:val="16"/>
          <w:szCs w:val="16"/>
        </w:rPr>
        <w:t>s</w:t>
      </w:r>
      <w:r w:rsidRPr="00A07F29">
        <w:rPr>
          <w:rFonts w:ascii="Times New Roman" w:eastAsia="Calibri" w:hAnsi="Times New Roman" w:cs="Times New Roman"/>
          <w:spacing w:val="-1"/>
          <w:sz w:val="16"/>
          <w:szCs w:val="16"/>
        </w:rPr>
        <w:t>ar</w:t>
      </w:r>
      <w:r w:rsidRPr="00A07F29">
        <w:rPr>
          <w:rFonts w:ascii="Times New Roman" w:eastAsia="Calibri" w:hAnsi="Times New Roman" w:cs="Times New Roman"/>
          <w:spacing w:val="2"/>
          <w:sz w:val="16"/>
          <w:szCs w:val="16"/>
        </w:rPr>
        <w:t>d</w:t>
      </w:r>
      <w:r w:rsidRPr="00A07F29">
        <w:rPr>
          <w:rFonts w:ascii="Times New Roman" w:eastAsia="Calibri" w:hAnsi="Times New Roman" w:cs="Times New Roman"/>
          <w:spacing w:val="-1"/>
          <w:sz w:val="16"/>
          <w:szCs w:val="16"/>
        </w:rPr>
        <w:t>z</w:t>
      </w:r>
      <w:r w:rsidRPr="00A07F29">
        <w:rPr>
          <w:rFonts w:ascii="Times New Roman" w:eastAsia="Calibri" w:hAnsi="Times New Roman" w:cs="Times New Roman"/>
          <w:spacing w:val="1"/>
          <w:sz w:val="16"/>
          <w:szCs w:val="16"/>
        </w:rPr>
        <w:t>ī</w:t>
      </w:r>
      <w:r w:rsidRPr="00A07F29">
        <w:rPr>
          <w:rFonts w:ascii="Times New Roman" w:eastAsia="Calibri" w:hAnsi="Times New Roman" w:cs="Times New Roman"/>
          <w:sz w:val="16"/>
          <w:szCs w:val="16"/>
        </w:rPr>
        <w:t>b</w:t>
      </w:r>
      <w:r w:rsidRPr="00A07F29">
        <w:rPr>
          <w:rFonts w:ascii="Times New Roman" w:eastAsia="Calibri" w:hAnsi="Times New Roman" w:cs="Times New Roman"/>
          <w:spacing w:val="-1"/>
          <w:sz w:val="16"/>
          <w:szCs w:val="16"/>
        </w:rPr>
        <w:t>a</w:t>
      </w:r>
      <w:r w:rsidRPr="00A07F29">
        <w:rPr>
          <w:rFonts w:ascii="Times New Roman" w:eastAsia="Calibri" w:hAnsi="Times New Roman" w:cs="Times New Roman"/>
          <w:sz w:val="16"/>
          <w:szCs w:val="16"/>
        </w:rPr>
        <w:t>i</w:t>
      </w:r>
      <w:r w:rsidRPr="00A07F29">
        <w:rPr>
          <w:rFonts w:ascii="Times New Roman" w:eastAsia="Calibri" w:hAnsi="Times New Roman" w:cs="Times New Roman"/>
          <w:spacing w:val="2"/>
          <w:sz w:val="16"/>
          <w:szCs w:val="16"/>
        </w:rPr>
        <w:t xml:space="preserve"> </w:t>
      </w:r>
      <w:r w:rsidRPr="00A07F29">
        <w:rPr>
          <w:rFonts w:ascii="Times New Roman" w:eastAsia="Calibri" w:hAnsi="Times New Roman" w:cs="Times New Roman"/>
          <w:sz w:val="16"/>
          <w:szCs w:val="16"/>
        </w:rPr>
        <w:t>n</w:t>
      </w:r>
      <w:r w:rsidRPr="00A07F29">
        <w:rPr>
          <w:rFonts w:ascii="Times New Roman" w:eastAsia="Calibri" w:hAnsi="Times New Roman" w:cs="Times New Roman"/>
          <w:spacing w:val="-1"/>
          <w:sz w:val="16"/>
          <w:szCs w:val="16"/>
        </w:rPr>
        <w:t>e</w:t>
      </w:r>
      <w:r w:rsidRPr="00A07F29">
        <w:rPr>
          <w:rFonts w:ascii="Times New Roman" w:eastAsia="Calibri" w:hAnsi="Times New Roman" w:cs="Times New Roman"/>
          <w:sz w:val="16"/>
          <w:szCs w:val="16"/>
        </w:rPr>
        <w:t>p</w:t>
      </w:r>
      <w:r w:rsidRPr="00A07F29">
        <w:rPr>
          <w:rFonts w:ascii="Times New Roman" w:eastAsia="Calibri" w:hAnsi="Times New Roman" w:cs="Times New Roman"/>
          <w:spacing w:val="1"/>
          <w:sz w:val="16"/>
          <w:szCs w:val="16"/>
        </w:rPr>
        <w:t>i</w:t>
      </w:r>
      <w:r w:rsidRPr="00A07F29">
        <w:rPr>
          <w:rFonts w:ascii="Times New Roman" w:eastAsia="Calibri" w:hAnsi="Times New Roman" w:cs="Times New Roman"/>
          <w:spacing w:val="-1"/>
          <w:sz w:val="16"/>
          <w:szCs w:val="16"/>
        </w:rPr>
        <w:t>ec</w:t>
      </w:r>
      <w:r w:rsidRPr="00A07F29">
        <w:rPr>
          <w:rFonts w:ascii="Times New Roman" w:eastAsia="Calibri" w:hAnsi="Times New Roman" w:cs="Times New Roman"/>
          <w:spacing w:val="1"/>
          <w:sz w:val="16"/>
          <w:szCs w:val="16"/>
        </w:rPr>
        <w:t>i</w:t>
      </w:r>
      <w:r w:rsidRPr="00A07F29">
        <w:rPr>
          <w:rFonts w:ascii="Times New Roman" w:eastAsia="Calibri" w:hAnsi="Times New Roman" w:cs="Times New Roman"/>
          <w:spacing w:val="-1"/>
          <w:sz w:val="16"/>
          <w:szCs w:val="16"/>
        </w:rPr>
        <w:t>e</w:t>
      </w:r>
      <w:r w:rsidRPr="00A07F29">
        <w:rPr>
          <w:rFonts w:ascii="Times New Roman" w:eastAsia="Calibri" w:hAnsi="Times New Roman" w:cs="Times New Roman"/>
          <w:spacing w:val="3"/>
          <w:sz w:val="16"/>
          <w:szCs w:val="16"/>
        </w:rPr>
        <w:t>š</w:t>
      </w:r>
      <w:r w:rsidRPr="00A07F29">
        <w:rPr>
          <w:rFonts w:ascii="Times New Roman" w:eastAsia="Calibri" w:hAnsi="Times New Roman" w:cs="Times New Roman"/>
          <w:spacing w:val="2"/>
          <w:sz w:val="16"/>
          <w:szCs w:val="16"/>
        </w:rPr>
        <w:t>a</w:t>
      </w:r>
      <w:r w:rsidRPr="00A07F29">
        <w:rPr>
          <w:rFonts w:ascii="Times New Roman" w:eastAsia="Calibri" w:hAnsi="Times New Roman" w:cs="Times New Roman"/>
          <w:spacing w:val="-2"/>
          <w:sz w:val="16"/>
          <w:szCs w:val="16"/>
        </w:rPr>
        <w:t>m</w:t>
      </w:r>
      <w:r w:rsidRPr="00A07F29">
        <w:rPr>
          <w:rFonts w:ascii="Times New Roman" w:eastAsia="Calibri" w:hAnsi="Times New Roman" w:cs="Times New Roman"/>
          <w:sz w:val="16"/>
          <w:szCs w:val="16"/>
        </w:rPr>
        <w:t>a</w:t>
      </w:r>
      <w:r w:rsidRPr="00A07F29">
        <w:rPr>
          <w:rFonts w:ascii="Times New Roman" w:eastAsia="Calibri" w:hAnsi="Times New Roman" w:cs="Times New Roman"/>
          <w:spacing w:val="2"/>
          <w:sz w:val="16"/>
          <w:szCs w:val="16"/>
        </w:rPr>
        <w:t xml:space="preserve"> </w:t>
      </w:r>
      <w:r w:rsidRPr="00A07F29">
        <w:rPr>
          <w:rFonts w:ascii="Times New Roman" w:eastAsia="Calibri" w:hAnsi="Times New Roman" w:cs="Times New Roman"/>
          <w:spacing w:val="1"/>
          <w:sz w:val="16"/>
          <w:szCs w:val="16"/>
        </w:rPr>
        <w:t>ī</w:t>
      </w:r>
      <w:r w:rsidRPr="00A07F29">
        <w:rPr>
          <w:rFonts w:ascii="Times New Roman" w:eastAsia="Calibri" w:hAnsi="Times New Roman" w:cs="Times New Roman"/>
          <w:sz w:val="16"/>
          <w:szCs w:val="16"/>
        </w:rPr>
        <w:t>p</w:t>
      </w:r>
      <w:r w:rsidRPr="00A07F29">
        <w:rPr>
          <w:rFonts w:ascii="Times New Roman" w:eastAsia="Calibri" w:hAnsi="Times New Roman" w:cs="Times New Roman"/>
          <w:spacing w:val="-1"/>
          <w:sz w:val="16"/>
          <w:szCs w:val="16"/>
        </w:rPr>
        <w:t>a</w:t>
      </w:r>
      <w:r w:rsidRPr="00A07F29">
        <w:rPr>
          <w:rFonts w:ascii="Times New Roman" w:eastAsia="Calibri" w:hAnsi="Times New Roman" w:cs="Times New Roman"/>
          <w:sz w:val="16"/>
          <w:szCs w:val="16"/>
        </w:rPr>
        <w:t>ši</w:t>
      </w:r>
      <w:r w:rsidRPr="00A07F29">
        <w:rPr>
          <w:rFonts w:ascii="Times New Roman" w:eastAsia="Calibri" w:hAnsi="Times New Roman" w:cs="Times New Roman"/>
          <w:spacing w:val="4"/>
          <w:sz w:val="16"/>
          <w:szCs w:val="16"/>
        </w:rPr>
        <w:t xml:space="preserve"> </w:t>
      </w:r>
      <w:r w:rsidRPr="00A07F29">
        <w:rPr>
          <w:rFonts w:ascii="Times New Roman" w:eastAsia="Calibri" w:hAnsi="Times New Roman" w:cs="Times New Roman"/>
          <w:spacing w:val="-1"/>
          <w:sz w:val="16"/>
          <w:szCs w:val="16"/>
        </w:rPr>
        <w:t>a</w:t>
      </w:r>
      <w:r w:rsidRPr="00A07F29">
        <w:rPr>
          <w:rFonts w:ascii="Times New Roman" w:eastAsia="Calibri" w:hAnsi="Times New Roman" w:cs="Times New Roman"/>
          <w:spacing w:val="1"/>
          <w:sz w:val="16"/>
          <w:szCs w:val="16"/>
        </w:rPr>
        <w:t>i</w:t>
      </w:r>
      <w:r w:rsidRPr="00A07F29">
        <w:rPr>
          <w:rFonts w:ascii="Times New Roman" w:eastAsia="Calibri" w:hAnsi="Times New Roman" w:cs="Times New Roman"/>
          <w:spacing w:val="-1"/>
          <w:sz w:val="16"/>
          <w:szCs w:val="16"/>
        </w:rPr>
        <w:t>z</w:t>
      </w:r>
      <w:r w:rsidRPr="00A07F29">
        <w:rPr>
          <w:rFonts w:ascii="Times New Roman" w:eastAsia="Calibri" w:hAnsi="Times New Roman" w:cs="Times New Roman"/>
          <w:sz w:val="16"/>
          <w:szCs w:val="16"/>
        </w:rPr>
        <w:t>s</w:t>
      </w:r>
      <w:r w:rsidRPr="00A07F29">
        <w:rPr>
          <w:rFonts w:ascii="Times New Roman" w:eastAsia="Calibri" w:hAnsi="Times New Roman" w:cs="Times New Roman"/>
          <w:spacing w:val="-1"/>
          <w:sz w:val="16"/>
          <w:szCs w:val="16"/>
        </w:rPr>
        <w:t>a</w:t>
      </w:r>
      <w:r w:rsidRPr="00A07F29">
        <w:rPr>
          <w:rFonts w:ascii="Times New Roman" w:eastAsia="Calibri" w:hAnsi="Times New Roman" w:cs="Times New Roman"/>
          <w:spacing w:val="2"/>
          <w:sz w:val="16"/>
          <w:szCs w:val="16"/>
        </w:rPr>
        <w:t>r</w:t>
      </w:r>
      <w:r w:rsidRPr="00A07F29">
        <w:rPr>
          <w:rFonts w:ascii="Times New Roman" w:eastAsia="Calibri" w:hAnsi="Times New Roman" w:cs="Times New Roman"/>
          <w:spacing w:val="-2"/>
          <w:sz w:val="16"/>
          <w:szCs w:val="16"/>
        </w:rPr>
        <w:t>g</w:t>
      </w:r>
      <w:r w:rsidRPr="00A07F29">
        <w:rPr>
          <w:rFonts w:ascii="Times New Roman" w:eastAsia="Calibri" w:hAnsi="Times New Roman" w:cs="Times New Roman"/>
          <w:spacing w:val="2"/>
          <w:sz w:val="16"/>
          <w:szCs w:val="16"/>
        </w:rPr>
        <w:t>ā</w:t>
      </w:r>
      <w:r w:rsidRPr="00A07F29">
        <w:rPr>
          <w:rFonts w:ascii="Times New Roman" w:eastAsia="Calibri" w:hAnsi="Times New Roman" w:cs="Times New Roman"/>
          <w:spacing w:val="1"/>
          <w:sz w:val="16"/>
          <w:szCs w:val="16"/>
        </w:rPr>
        <w:t>j</w:t>
      </w:r>
      <w:r w:rsidRPr="00A07F29">
        <w:rPr>
          <w:rFonts w:ascii="Times New Roman" w:eastAsia="Calibri" w:hAnsi="Times New Roman" w:cs="Times New Roman"/>
          <w:spacing w:val="2"/>
          <w:sz w:val="16"/>
          <w:szCs w:val="16"/>
        </w:rPr>
        <w:t>a</w:t>
      </w:r>
      <w:r w:rsidRPr="00A07F29">
        <w:rPr>
          <w:rFonts w:ascii="Times New Roman" w:eastAsia="Calibri" w:hAnsi="Times New Roman" w:cs="Times New Roman"/>
          <w:spacing w:val="-2"/>
          <w:sz w:val="16"/>
          <w:szCs w:val="16"/>
        </w:rPr>
        <w:t>m</w:t>
      </w:r>
      <w:r w:rsidRPr="00A07F29">
        <w:rPr>
          <w:rFonts w:ascii="Times New Roman" w:eastAsia="Calibri" w:hAnsi="Times New Roman" w:cs="Times New Roman"/>
          <w:sz w:val="16"/>
          <w:szCs w:val="16"/>
        </w:rPr>
        <w:t>o</w:t>
      </w:r>
      <w:r w:rsidRPr="00A07F29">
        <w:rPr>
          <w:rFonts w:ascii="Times New Roman" w:eastAsia="Calibri" w:hAnsi="Times New Roman" w:cs="Times New Roman"/>
          <w:spacing w:val="2"/>
          <w:sz w:val="16"/>
          <w:szCs w:val="16"/>
        </w:rPr>
        <w:t xml:space="preserve"> </w:t>
      </w:r>
      <w:r w:rsidRPr="00A07F29">
        <w:rPr>
          <w:rFonts w:ascii="Times New Roman" w:eastAsia="Calibri" w:hAnsi="Times New Roman" w:cs="Times New Roman"/>
          <w:spacing w:val="1"/>
          <w:sz w:val="16"/>
          <w:szCs w:val="16"/>
        </w:rPr>
        <w:t>t</w:t>
      </w:r>
      <w:r w:rsidRPr="00A07F29">
        <w:rPr>
          <w:rFonts w:ascii="Times New Roman" w:eastAsia="Calibri" w:hAnsi="Times New Roman" w:cs="Times New Roman"/>
          <w:spacing w:val="-1"/>
          <w:sz w:val="16"/>
          <w:szCs w:val="16"/>
        </w:rPr>
        <w:t>er</w:t>
      </w:r>
      <w:r w:rsidRPr="00A07F29">
        <w:rPr>
          <w:rFonts w:ascii="Times New Roman" w:eastAsia="Calibri" w:hAnsi="Times New Roman" w:cs="Times New Roman"/>
          <w:spacing w:val="1"/>
          <w:sz w:val="16"/>
          <w:szCs w:val="16"/>
        </w:rPr>
        <w:t>it</w:t>
      </w:r>
      <w:r w:rsidRPr="00A07F29">
        <w:rPr>
          <w:rFonts w:ascii="Times New Roman" w:eastAsia="Calibri" w:hAnsi="Times New Roman" w:cs="Times New Roman"/>
          <w:sz w:val="16"/>
          <w:szCs w:val="16"/>
        </w:rPr>
        <w:t>o</w:t>
      </w:r>
      <w:r w:rsidRPr="00A07F29">
        <w:rPr>
          <w:rFonts w:ascii="Times New Roman" w:eastAsia="Calibri" w:hAnsi="Times New Roman" w:cs="Times New Roman"/>
          <w:spacing w:val="-1"/>
          <w:sz w:val="16"/>
          <w:szCs w:val="16"/>
        </w:rPr>
        <w:t>r</w:t>
      </w:r>
      <w:r w:rsidRPr="00A07F29">
        <w:rPr>
          <w:rFonts w:ascii="Times New Roman" w:eastAsia="Calibri" w:hAnsi="Times New Roman" w:cs="Times New Roman"/>
          <w:spacing w:val="1"/>
          <w:sz w:val="16"/>
          <w:szCs w:val="16"/>
        </w:rPr>
        <w:t>ij</w:t>
      </w:r>
      <w:r w:rsidRPr="00A07F29">
        <w:rPr>
          <w:rFonts w:ascii="Times New Roman" w:eastAsia="Calibri" w:hAnsi="Times New Roman" w:cs="Times New Roman"/>
          <w:sz w:val="16"/>
          <w:szCs w:val="16"/>
        </w:rPr>
        <w:t>u</w:t>
      </w:r>
      <w:r w:rsidRPr="00A07F29">
        <w:rPr>
          <w:rFonts w:ascii="Times New Roman" w:eastAsia="Calibri" w:hAnsi="Times New Roman" w:cs="Times New Roman"/>
          <w:spacing w:val="2"/>
          <w:sz w:val="16"/>
          <w:szCs w:val="16"/>
        </w:rPr>
        <w:t xml:space="preserve"> </w:t>
      </w:r>
      <w:r w:rsidRPr="00A07F29">
        <w:rPr>
          <w:rFonts w:ascii="Times New Roman" w:eastAsia="Calibri" w:hAnsi="Times New Roman" w:cs="Times New Roman"/>
          <w:sz w:val="16"/>
          <w:szCs w:val="16"/>
        </w:rPr>
        <w:t>nod</w:t>
      </w:r>
      <w:r w:rsidRPr="00A07F29">
        <w:rPr>
          <w:rFonts w:ascii="Times New Roman" w:eastAsia="Calibri" w:hAnsi="Times New Roman" w:cs="Times New Roman"/>
          <w:spacing w:val="-1"/>
          <w:sz w:val="16"/>
          <w:szCs w:val="16"/>
        </w:rPr>
        <w:t>a</w:t>
      </w:r>
      <w:r w:rsidRPr="00A07F29">
        <w:rPr>
          <w:rFonts w:ascii="Times New Roman" w:eastAsia="Calibri" w:hAnsi="Times New Roman" w:cs="Times New Roman"/>
          <w:spacing w:val="1"/>
          <w:sz w:val="16"/>
          <w:szCs w:val="16"/>
        </w:rPr>
        <w:t>lī</w:t>
      </w:r>
      <w:r w:rsidRPr="00A07F29">
        <w:rPr>
          <w:rFonts w:ascii="Times New Roman" w:eastAsia="Calibri" w:hAnsi="Times New Roman" w:cs="Times New Roman"/>
          <w:sz w:val="16"/>
          <w:szCs w:val="16"/>
        </w:rPr>
        <w:t>š</w:t>
      </w:r>
      <w:r w:rsidRPr="00A07F29">
        <w:rPr>
          <w:rFonts w:ascii="Times New Roman" w:eastAsia="Calibri" w:hAnsi="Times New Roman" w:cs="Times New Roman"/>
          <w:spacing w:val="-1"/>
          <w:sz w:val="16"/>
          <w:szCs w:val="16"/>
        </w:rPr>
        <w:t>a</w:t>
      </w:r>
      <w:r w:rsidRPr="00A07F29">
        <w:rPr>
          <w:rFonts w:ascii="Times New Roman" w:eastAsia="Calibri" w:hAnsi="Times New Roman" w:cs="Times New Roman"/>
          <w:sz w:val="16"/>
          <w:szCs w:val="16"/>
        </w:rPr>
        <w:t>n</w:t>
      </w:r>
      <w:r w:rsidRPr="00A07F29">
        <w:rPr>
          <w:rFonts w:ascii="Times New Roman" w:eastAsia="Calibri" w:hAnsi="Times New Roman" w:cs="Times New Roman"/>
          <w:spacing w:val="-1"/>
          <w:sz w:val="16"/>
          <w:szCs w:val="16"/>
        </w:rPr>
        <w:t>a</w:t>
      </w:r>
      <w:r w:rsidRPr="00A07F29">
        <w:rPr>
          <w:rFonts w:ascii="Times New Roman" w:eastAsia="Calibri" w:hAnsi="Times New Roman" w:cs="Times New Roman"/>
          <w:sz w:val="16"/>
          <w:szCs w:val="16"/>
        </w:rPr>
        <w:t xml:space="preserve">. </w:t>
      </w:r>
      <w:r w:rsidRPr="00A07F29">
        <w:rPr>
          <w:rFonts w:ascii="Times New Roman" w:eastAsia="Calibri" w:hAnsi="Times New Roman" w:cs="Times New Roman"/>
          <w:b/>
          <w:sz w:val="16"/>
          <w:szCs w:val="16"/>
        </w:rPr>
        <w:t>*</w:t>
      </w:r>
      <w:r w:rsidRPr="00A07F29">
        <w:rPr>
          <w:rFonts w:ascii="Times New Roman" w:eastAsia="Calibri" w:hAnsi="Times New Roman" w:cs="Times New Roman"/>
          <w:b/>
          <w:spacing w:val="2"/>
          <w:sz w:val="16"/>
          <w:szCs w:val="16"/>
        </w:rPr>
        <w:t xml:space="preserve"> </w:t>
      </w:r>
      <w:r w:rsidRPr="00A07F29">
        <w:rPr>
          <w:rFonts w:ascii="Times New Roman" w:eastAsia="Calibri" w:hAnsi="Times New Roman" w:cs="Times New Roman"/>
          <w:sz w:val="16"/>
          <w:szCs w:val="16"/>
        </w:rPr>
        <w:t>- p</w:t>
      </w:r>
      <w:r w:rsidRPr="00A07F29">
        <w:rPr>
          <w:rFonts w:ascii="Times New Roman" w:eastAsia="Calibri" w:hAnsi="Times New Roman" w:cs="Times New Roman"/>
          <w:spacing w:val="-1"/>
          <w:sz w:val="16"/>
          <w:szCs w:val="16"/>
        </w:rPr>
        <w:t>r</w:t>
      </w:r>
      <w:r w:rsidRPr="00A07F29">
        <w:rPr>
          <w:rFonts w:ascii="Times New Roman" w:eastAsia="Calibri" w:hAnsi="Times New Roman" w:cs="Times New Roman"/>
          <w:spacing w:val="1"/>
          <w:sz w:val="16"/>
          <w:szCs w:val="16"/>
        </w:rPr>
        <w:t>i</w:t>
      </w:r>
      <w:r w:rsidRPr="00A07F29">
        <w:rPr>
          <w:rFonts w:ascii="Times New Roman" w:eastAsia="Calibri" w:hAnsi="Times New Roman" w:cs="Times New Roman"/>
          <w:sz w:val="16"/>
          <w:szCs w:val="16"/>
        </w:rPr>
        <w:t>o</w:t>
      </w:r>
      <w:r w:rsidRPr="00A07F29">
        <w:rPr>
          <w:rFonts w:ascii="Times New Roman" w:eastAsia="Calibri" w:hAnsi="Times New Roman" w:cs="Times New Roman"/>
          <w:spacing w:val="-1"/>
          <w:sz w:val="16"/>
          <w:szCs w:val="16"/>
        </w:rPr>
        <w:t>r</w:t>
      </w:r>
      <w:r w:rsidRPr="00A07F29">
        <w:rPr>
          <w:rFonts w:ascii="Times New Roman" w:eastAsia="Calibri" w:hAnsi="Times New Roman" w:cs="Times New Roman"/>
          <w:spacing w:val="1"/>
          <w:sz w:val="16"/>
          <w:szCs w:val="16"/>
        </w:rPr>
        <w:t>it</w:t>
      </w:r>
      <w:r w:rsidRPr="00A07F29">
        <w:rPr>
          <w:rFonts w:ascii="Times New Roman" w:eastAsia="Calibri" w:hAnsi="Times New Roman" w:cs="Times New Roman"/>
          <w:spacing w:val="-1"/>
          <w:sz w:val="16"/>
          <w:szCs w:val="16"/>
        </w:rPr>
        <w:t>ār</w:t>
      </w:r>
      <w:r w:rsidRPr="00A07F29">
        <w:rPr>
          <w:rFonts w:ascii="Times New Roman" w:eastAsia="Calibri" w:hAnsi="Times New Roman" w:cs="Times New Roman"/>
          <w:sz w:val="16"/>
          <w:szCs w:val="16"/>
        </w:rPr>
        <w:t>a</w:t>
      </w:r>
      <w:r w:rsidRPr="00A07F29">
        <w:rPr>
          <w:rFonts w:ascii="Times New Roman" w:eastAsia="Calibri" w:hAnsi="Times New Roman" w:cs="Times New Roman"/>
          <w:spacing w:val="-3"/>
          <w:sz w:val="16"/>
          <w:szCs w:val="16"/>
        </w:rPr>
        <w:t xml:space="preserve"> </w:t>
      </w:r>
      <w:r w:rsidRPr="00A07F29">
        <w:rPr>
          <w:rFonts w:ascii="Times New Roman" w:eastAsia="Calibri" w:hAnsi="Times New Roman" w:cs="Times New Roman"/>
          <w:sz w:val="16"/>
          <w:szCs w:val="16"/>
        </w:rPr>
        <w:t>s</w:t>
      </w:r>
      <w:r w:rsidRPr="00A07F29">
        <w:rPr>
          <w:rFonts w:ascii="Times New Roman" w:eastAsia="Calibri" w:hAnsi="Times New Roman" w:cs="Times New Roman"/>
          <w:spacing w:val="2"/>
          <w:sz w:val="16"/>
          <w:szCs w:val="16"/>
        </w:rPr>
        <w:t>u</w:t>
      </w:r>
      <w:r w:rsidRPr="00A07F29">
        <w:rPr>
          <w:rFonts w:ascii="Times New Roman" w:eastAsia="Calibri" w:hAnsi="Times New Roman" w:cs="Times New Roman"/>
          <w:spacing w:val="-2"/>
          <w:sz w:val="16"/>
          <w:szCs w:val="16"/>
        </w:rPr>
        <w:t>g</w:t>
      </w:r>
      <w:r w:rsidRPr="00A07F29">
        <w:rPr>
          <w:rFonts w:ascii="Times New Roman" w:eastAsia="Calibri" w:hAnsi="Times New Roman" w:cs="Times New Roman"/>
          <w:spacing w:val="-1"/>
          <w:sz w:val="16"/>
          <w:szCs w:val="16"/>
        </w:rPr>
        <w:t>a</w:t>
      </w:r>
      <w:r w:rsidRPr="00A07F29">
        <w:rPr>
          <w:rFonts w:ascii="Times New Roman" w:eastAsia="Calibri" w:hAnsi="Times New Roman" w:cs="Times New Roman"/>
          <w:sz w:val="16"/>
          <w:szCs w:val="16"/>
        </w:rPr>
        <w:t xml:space="preserve">; </w:t>
      </w:r>
      <w:r w:rsidRPr="00A07F29">
        <w:rPr>
          <w:rFonts w:ascii="Times New Roman" w:eastAsia="Calibri" w:hAnsi="Times New Roman" w:cs="Times New Roman"/>
          <w:b/>
          <w:sz w:val="16"/>
          <w:szCs w:val="16"/>
        </w:rPr>
        <w:t>IV</w:t>
      </w:r>
      <w:r w:rsidRPr="00A07F29">
        <w:rPr>
          <w:rFonts w:ascii="Times New Roman" w:eastAsia="Calibri" w:hAnsi="Times New Roman" w:cs="Times New Roman"/>
          <w:b/>
          <w:spacing w:val="-1"/>
          <w:sz w:val="16"/>
          <w:szCs w:val="16"/>
        </w:rPr>
        <w:t xml:space="preserve"> </w:t>
      </w:r>
      <w:r w:rsidRPr="00A07F29">
        <w:rPr>
          <w:rFonts w:ascii="Times New Roman" w:eastAsia="Calibri" w:hAnsi="Times New Roman" w:cs="Times New Roman"/>
          <w:sz w:val="16"/>
          <w:szCs w:val="16"/>
        </w:rPr>
        <w:t>–</w:t>
      </w:r>
      <w:r w:rsidRPr="00A07F29">
        <w:rPr>
          <w:rFonts w:ascii="Times New Roman" w:eastAsia="Calibri" w:hAnsi="Times New Roman" w:cs="Times New Roman"/>
          <w:spacing w:val="1"/>
          <w:sz w:val="16"/>
          <w:szCs w:val="16"/>
        </w:rPr>
        <w:t xml:space="preserve"> </w:t>
      </w:r>
      <w:r w:rsidRPr="00A07F29">
        <w:rPr>
          <w:rFonts w:ascii="Times New Roman" w:eastAsia="Calibri" w:hAnsi="Times New Roman" w:cs="Times New Roman"/>
          <w:spacing w:val="-3"/>
          <w:sz w:val="16"/>
          <w:szCs w:val="16"/>
        </w:rPr>
        <w:t>I</w:t>
      </w:r>
      <w:r w:rsidRPr="00A07F29">
        <w:rPr>
          <w:rFonts w:ascii="Times New Roman" w:eastAsia="Calibri" w:hAnsi="Times New Roman" w:cs="Times New Roman"/>
          <w:sz w:val="16"/>
          <w:szCs w:val="16"/>
        </w:rPr>
        <w:t>V</w:t>
      </w:r>
      <w:r w:rsidRPr="00A07F29">
        <w:rPr>
          <w:rFonts w:ascii="Times New Roman" w:eastAsia="Calibri" w:hAnsi="Times New Roman" w:cs="Times New Roman"/>
          <w:spacing w:val="-1"/>
          <w:sz w:val="16"/>
          <w:szCs w:val="16"/>
        </w:rPr>
        <w:t xml:space="preserve"> </w:t>
      </w:r>
      <w:r w:rsidRPr="00A07F29">
        <w:rPr>
          <w:rFonts w:ascii="Times New Roman" w:eastAsia="Calibri" w:hAnsi="Times New Roman" w:cs="Times New Roman"/>
          <w:sz w:val="16"/>
          <w:szCs w:val="16"/>
        </w:rPr>
        <w:t>p</w:t>
      </w:r>
      <w:r w:rsidRPr="00A07F29">
        <w:rPr>
          <w:rFonts w:ascii="Times New Roman" w:eastAsia="Calibri" w:hAnsi="Times New Roman" w:cs="Times New Roman"/>
          <w:spacing w:val="1"/>
          <w:sz w:val="16"/>
          <w:szCs w:val="16"/>
        </w:rPr>
        <w:t>i</w:t>
      </w:r>
      <w:r w:rsidRPr="00A07F29">
        <w:rPr>
          <w:rFonts w:ascii="Times New Roman" w:eastAsia="Calibri" w:hAnsi="Times New Roman" w:cs="Times New Roman"/>
          <w:spacing w:val="-1"/>
          <w:sz w:val="16"/>
          <w:szCs w:val="16"/>
        </w:rPr>
        <w:t>e</w:t>
      </w:r>
      <w:r w:rsidRPr="00A07F29">
        <w:rPr>
          <w:rFonts w:ascii="Times New Roman" w:eastAsia="Calibri" w:hAnsi="Times New Roman" w:cs="Times New Roman"/>
          <w:spacing w:val="1"/>
          <w:sz w:val="16"/>
          <w:szCs w:val="16"/>
        </w:rPr>
        <w:t>li</w:t>
      </w:r>
      <w:r w:rsidRPr="00A07F29">
        <w:rPr>
          <w:rFonts w:ascii="Times New Roman" w:eastAsia="Calibri" w:hAnsi="Times New Roman" w:cs="Times New Roman"/>
          <w:spacing w:val="-2"/>
          <w:sz w:val="16"/>
          <w:szCs w:val="16"/>
        </w:rPr>
        <w:t>k</w:t>
      </w:r>
      <w:r w:rsidRPr="00A07F29">
        <w:rPr>
          <w:rFonts w:ascii="Times New Roman" w:eastAsia="Calibri" w:hAnsi="Times New Roman" w:cs="Times New Roman"/>
          <w:spacing w:val="2"/>
          <w:sz w:val="16"/>
          <w:szCs w:val="16"/>
        </w:rPr>
        <w:t>u</w:t>
      </w:r>
      <w:r w:rsidRPr="00A07F29">
        <w:rPr>
          <w:rFonts w:ascii="Times New Roman" w:eastAsia="Calibri" w:hAnsi="Times New Roman" w:cs="Times New Roman"/>
          <w:spacing w:val="-2"/>
          <w:sz w:val="16"/>
          <w:szCs w:val="16"/>
        </w:rPr>
        <w:t>m</w:t>
      </w:r>
      <w:r w:rsidRPr="00A07F29">
        <w:rPr>
          <w:rFonts w:ascii="Times New Roman" w:eastAsia="Calibri" w:hAnsi="Times New Roman" w:cs="Times New Roman"/>
          <w:sz w:val="16"/>
          <w:szCs w:val="16"/>
        </w:rPr>
        <w:t>s.</w:t>
      </w:r>
      <w:r w:rsidRPr="00A07F29">
        <w:rPr>
          <w:rFonts w:ascii="Times New Roman" w:eastAsia="Calibri" w:hAnsi="Times New Roman" w:cs="Times New Roman"/>
          <w:spacing w:val="-3"/>
          <w:sz w:val="16"/>
          <w:szCs w:val="16"/>
        </w:rPr>
        <w:t xml:space="preserve"> </w:t>
      </w:r>
      <w:r w:rsidRPr="00A07F29">
        <w:rPr>
          <w:rFonts w:ascii="Times New Roman" w:eastAsia="Calibri" w:hAnsi="Times New Roman" w:cs="Times New Roman"/>
          <w:sz w:val="16"/>
          <w:szCs w:val="16"/>
        </w:rPr>
        <w:t>D</w:t>
      </w:r>
      <w:r w:rsidRPr="00A07F29">
        <w:rPr>
          <w:rFonts w:ascii="Times New Roman" w:eastAsia="Calibri" w:hAnsi="Times New Roman" w:cs="Times New Roman"/>
          <w:spacing w:val="-1"/>
          <w:sz w:val="16"/>
          <w:szCs w:val="16"/>
        </w:rPr>
        <w:t>z</w:t>
      </w:r>
      <w:r w:rsidRPr="00A07F29">
        <w:rPr>
          <w:rFonts w:ascii="Times New Roman" w:eastAsia="Calibri" w:hAnsi="Times New Roman" w:cs="Times New Roman"/>
          <w:spacing w:val="1"/>
          <w:sz w:val="16"/>
          <w:szCs w:val="16"/>
        </w:rPr>
        <w:t>ī</w:t>
      </w:r>
      <w:r w:rsidRPr="00A07F29">
        <w:rPr>
          <w:rFonts w:ascii="Times New Roman" w:eastAsia="Calibri" w:hAnsi="Times New Roman" w:cs="Times New Roman"/>
          <w:sz w:val="16"/>
          <w:szCs w:val="16"/>
        </w:rPr>
        <w:t>vn</w:t>
      </w:r>
      <w:r w:rsidRPr="00A07F29">
        <w:rPr>
          <w:rFonts w:ascii="Times New Roman" w:eastAsia="Calibri" w:hAnsi="Times New Roman" w:cs="Times New Roman"/>
          <w:spacing w:val="1"/>
          <w:sz w:val="16"/>
          <w:szCs w:val="16"/>
        </w:rPr>
        <w:t>i</w:t>
      </w:r>
      <w:r w:rsidRPr="00A07F29">
        <w:rPr>
          <w:rFonts w:ascii="Times New Roman" w:eastAsia="Calibri" w:hAnsi="Times New Roman" w:cs="Times New Roman"/>
          <w:spacing w:val="2"/>
          <w:sz w:val="16"/>
          <w:szCs w:val="16"/>
        </w:rPr>
        <w:t>e</w:t>
      </w:r>
      <w:r w:rsidRPr="00A07F29">
        <w:rPr>
          <w:rFonts w:ascii="Times New Roman" w:eastAsia="Calibri" w:hAnsi="Times New Roman" w:cs="Times New Roman"/>
          <w:spacing w:val="-2"/>
          <w:sz w:val="16"/>
          <w:szCs w:val="16"/>
        </w:rPr>
        <w:t>k</w:t>
      </w:r>
      <w:r w:rsidRPr="00A07F29">
        <w:rPr>
          <w:rFonts w:ascii="Times New Roman" w:eastAsia="Calibri" w:hAnsi="Times New Roman" w:cs="Times New Roman"/>
          <w:sz w:val="16"/>
          <w:szCs w:val="16"/>
        </w:rPr>
        <w:t>u</w:t>
      </w:r>
      <w:r w:rsidRPr="00A07F29">
        <w:rPr>
          <w:rFonts w:ascii="Times New Roman" w:eastAsia="Calibri" w:hAnsi="Times New Roman" w:cs="Times New Roman"/>
          <w:spacing w:val="-5"/>
          <w:sz w:val="16"/>
          <w:szCs w:val="16"/>
        </w:rPr>
        <w:t xml:space="preserve"> </w:t>
      </w:r>
      <w:r w:rsidRPr="00A07F29">
        <w:rPr>
          <w:rFonts w:ascii="Times New Roman" w:eastAsia="Calibri" w:hAnsi="Times New Roman" w:cs="Times New Roman"/>
          <w:sz w:val="16"/>
          <w:szCs w:val="16"/>
        </w:rPr>
        <w:t xml:space="preserve">un </w:t>
      </w:r>
      <w:r w:rsidRPr="00A07F29">
        <w:rPr>
          <w:rFonts w:ascii="Times New Roman" w:eastAsia="Calibri" w:hAnsi="Times New Roman" w:cs="Times New Roman"/>
          <w:spacing w:val="-1"/>
          <w:sz w:val="16"/>
          <w:szCs w:val="16"/>
        </w:rPr>
        <w:t>a</w:t>
      </w:r>
      <w:r w:rsidRPr="00A07F29">
        <w:rPr>
          <w:rFonts w:ascii="Times New Roman" w:eastAsia="Calibri" w:hAnsi="Times New Roman" w:cs="Times New Roman"/>
          <w:spacing w:val="2"/>
          <w:sz w:val="16"/>
          <w:szCs w:val="16"/>
        </w:rPr>
        <w:t>u</w:t>
      </w:r>
      <w:r w:rsidRPr="00A07F29">
        <w:rPr>
          <w:rFonts w:ascii="Times New Roman" w:eastAsia="Calibri" w:hAnsi="Times New Roman" w:cs="Times New Roman"/>
          <w:spacing w:val="-5"/>
          <w:sz w:val="16"/>
          <w:szCs w:val="16"/>
        </w:rPr>
        <w:t>g</w:t>
      </w:r>
      <w:r w:rsidRPr="00A07F29">
        <w:rPr>
          <w:rFonts w:ascii="Times New Roman" w:eastAsia="Calibri" w:hAnsi="Times New Roman" w:cs="Times New Roman"/>
          <w:sz w:val="16"/>
          <w:szCs w:val="16"/>
        </w:rPr>
        <w:t>u</w:t>
      </w:r>
      <w:r w:rsidRPr="00A07F29">
        <w:rPr>
          <w:rFonts w:ascii="Times New Roman" w:eastAsia="Calibri" w:hAnsi="Times New Roman" w:cs="Times New Roman"/>
          <w:spacing w:val="-2"/>
          <w:sz w:val="16"/>
          <w:szCs w:val="16"/>
        </w:rPr>
        <w:t xml:space="preserve"> </w:t>
      </w:r>
      <w:r w:rsidRPr="00A07F29">
        <w:rPr>
          <w:rFonts w:ascii="Times New Roman" w:eastAsia="Calibri" w:hAnsi="Times New Roman" w:cs="Times New Roman"/>
          <w:sz w:val="16"/>
          <w:szCs w:val="16"/>
        </w:rPr>
        <w:t>s</w:t>
      </w:r>
      <w:r w:rsidRPr="00A07F29">
        <w:rPr>
          <w:rFonts w:ascii="Times New Roman" w:eastAsia="Calibri" w:hAnsi="Times New Roman" w:cs="Times New Roman"/>
          <w:spacing w:val="2"/>
          <w:sz w:val="16"/>
          <w:szCs w:val="16"/>
        </w:rPr>
        <w:t>u</w:t>
      </w:r>
      <w:r w:rsidRPr="00A07F29">
        <w:rPr>
          <w:rFonts w:ascii="Times New Roman" w:eastAsia="Calibri" w:hAnsi="Times New Roman" w:cs="Times New Roman"/>
          <w:spacing w:val="-2"/>
          <w:sz w:val="16"/>
          <w:szCs w:val="16"/>
        </w:rPr>
        <w:t>g</w:t>
      </w:r>
      <w:r w:rsidRPr="00A07F29">
        <w:rPr>
          <w:rFonts w:ascii="Times New Roman" w:eastAsia="Calibri" w:hAnsi="Times New Roman" w:cs="Times New Roman"/>
          <w:spacing w:val="-1"/>
          <w:sz w:val="16"/>
          <w:szCs w:val="16"/>
        </w:rPr>
        <w:t>a</w:t>
      </w:r>
      <w:r w:rsidRPr="00A07F29">
        <w:rPr>
          <w:rFonts w:ascii="Times New Roman" w:eastAsia="Calibri" w:hAnsi="Times New Roman" w:cs="Times New Roman"/>
          <w:sz w:val="16"/>
          <w:szCs w:val="16"/>
        </w:rPr>
        <w:t xml:space="preserve">s, </w:t>
      </w:r>
      <w:r w:rsidRPr="00A07F29">
        <w:rPr>
          <w:rFonts w:ascii="Times New Roman" w:eastAsia="Calibri" w:hAnsi="Times New Roman" w:cs="Times New Roman"/>
          <w:spacing w:val="-2"/>
          <w:sz w:val="16"/>
          <w:szCs w:val="16"/>
        </w:rPr>
        <w:t>k</w:t>
      </w:r>
      <w:r w:rsidRPr="00A07F29">
        <w:rPr>
          <w:rFonts w:ascii="Times New Roman" w:eastAsia="Calibri" w:hAnsi="Times New Roman" w:cs="Times New Roman"/>
          <w:spacing w:val="-1"/>
          <w:sz w:val="16"/>
          <w:szCs w:val="16"/>
        </w:rPr>
        <w:t>a</w:t>
      </w:r>
      <w:r w:rsidRPr="00A07F29">
        <w:rPr>
          <w:rFonts w:ascii="Times New Roman" w:eastAsia="Calibri" w:hAnsi="Times New Roman" w:cs="Times New Roman"/>
          <w:sz w:val="16"/>
          <w:szCs w:val="16"/>
        </w:rPr>
        <w:t>s</w:t>
      </w:r>
      <w:r w:rsidRPr="00A07F29">
        <w:rPr>
          <w:rFonts w:ascii="Times New Roman" w:eastAsia="Calibri" w:hAnsi="Times New Roman" w:cs="Times New Roman"/>
          <w:spacing w:val="1"/>
          <w:sz w:val="16"/>
          <w:szCs w:val="16"/>
        </w:rPr>
        <w:t xml:space="preserve"> i</w:t>
      </w:r>
      <w:r w:rsidRPr="00A07F29">
        <w:rPr>
          <w:rFonts w:ascii="Times New Roman" w:eastAsia="Calibri" w:hAnsi="Times New Roman" w:cs="Times New Roman"/>
          <w:sz w:val="16"/>
          <w:szCs w:val="16"/>
        </w:rPr>
        <w:t>r</w:t>
      </w:r>
      <w:r w:rsidRPr="00A07F29">
        <w:rPr>
          <w:rFonts w:ascii="Times New Roman" w:eastAsia="Calibri" w:hAnsi="Times New Roman" w:cs="Times New Roman"/>
          <w:spacing w:val="1"/>
          <w:sz w:val="16"/>
          <w:szCs w:val="16"/>
        </w:rPr>
        <w:t xml:space="preserve"> </w:t>
      </w:r>
      <w:r w:rsidRPr="00A07F29">
        <w:rPr>
          <w:rFonts w:ascii="Times New Roman" w:eastAsia="Calibri" w:hAnsi="Times New Roman" w:cs="Times New Roman"/>
          <w:spacing w:val="-3"/>
          <w:sz w:val="16"/>
          <w:szCs w:val="16"/>
        </w:rPr>
        <w:t>K</w:t>
      </w:r>
      <w:r w:rsidRPr="00A07F29">
        <w:rPr>
          <w:rFonts w:ascii="Times New Roman" w:eastAsia="Calibri" w:hAnsi="Times New Roman" w:cs="Times New Roman"/>
          <w:sz w:val="16"/>
          <w:szCs w:val="16"/>
        </w:rPr>
        <w:t>op</w:t>
      </w:r>
      <w:r w:rsidRPr="00A07F29">
        <w:rPr>
          <w:rFonts w:ascii="Times New Roman" w:eastAsia="Calibri" w:hAnsi="Times New Roman" w:cs="Times New Roman"/>
          <w:spacing w:val="3"/>
          <w:sz w:val="16"/>
          <w:szCs w:val="16"/>
        </w:rPr>
        <w:t>i</w:t>
      </w:r>
      <w:r w:rsidRPr="00A07F29">
        <w:rPr>
          <w:rFonts w:ascii="Times New Roman" w:eastAsia="Calibri" w:hAnsi="Times New Roman" w:cs="Times New Roman"/>
          <w:spacing w:val="2"/>
          <w:sz w:val="16"/>
          <w:szCs w:val="16"/>
        </w:rPr>
        <w:t>e</w:t>
      </w:r>
      <w:r w:rsidRPr="00A07F29">
        <w:rPr>
          <w:rFonts w:ascii="Times New Roman" w:eastAsia="Calibri" w:hAnsi="Times New Roman" w:cs="Times New Roman"/>
          <w:sz w:val="16"/>
          <w:szCs w:val="16"/>
        </w:rPr>
        <w:t>n</w:t>
      </w:r>
      <w:r w:rsidRPr="00A07F29">
        <w:rPr>
          <w:rFonts w:ascii="Times New Roman" w:eastAsia="Calibri" w:hAnsi="Times New Roman" w:cs="Times New Roman"/>
          <w:spacing w:val="-1"/>
          <w:sz w:val="16"/>
          <w:szCs w:val="16"/>
        </w:rPr>
        <w:t>a</w:t>
      </w:r>
      <w:r w:rsidRPr="00A07F29">
        <w:rPr>
          <w:rFonts w:ascii="Times New Roman" w:eastAsia="Calibri" w:hAnsi="Times New Roman" w:cs="Times New Roman"/>
          <w:sz w:val="16"/>
          <w:szCs w:val="16"/>
        </w:rPr>
        <w:t>s</w:t>
      </w:r>
      <w:r w:rsidRPr="00A07F29">
        <w:rPr>
          <w:rFonts w:ascii="Times New Roman" w:eastAsia="Calibri" w:hAnsi="Times New Roman" w:cs="Times New Roman"/>
          <w:spacing w:val="-3"/>
          <w:sz w:val="16"/>
          <w:szCs w:val="16"/>
        </w:rPr>
        <w:t xml:space="preserve"> </w:t>
      </w:r>
      <w:r w:rsidRPr="00A07F29">
        <w:rPr>
          <w:rFonts w:ascii="Times New Roman" w:eastAsia="Calibri" w:hAnsi="Times New Roman" w:cs="Times New Roman"/>
          <w:spacing w:val="1"/>
          <w:sz w:val="16"/>
          <w:szCs w:val="16"/>
        </w:rPr>
        <w:t>i</w:t>
      </w:r>
      <w:r w:rsidRPr="00A07F29">
        <w:rPr>
          <w:rFonts w:ascii="Times New Roman" w:eastAsia="Calibri" w:hAnsi="Times New Roman" w:cs="Times New Roman"/>
          <w:sz w:val="16"/>
          <w:szCs w:val="16"/>
        </w:rPr>
        <w:t>n</w:t>
      </w:r>
      <w:r w:rsidRPr="00A07F29">
        <w:rPr>
          <w:rFonts w:ascii="Times New Roman" w:eastAsia="Calibri" w:hAnsi="Times New Roman" w:cs="Times New Roman"/>
          <w:spacing w:val="1"/>
          <w:sz w:val="16"/>
          <w:szCs w:val="16"/>
        </w:rPr>
        <w:t>t</w:t>
      </w:r>
      <w:r w:rsidRPr="00A07F29">
        <w:rPr>
          <w:rFonts w:ascii="Times New Roman" w:eastAsia="Calibri" w:hAnsi="Times New Roman" w:cs="Times New Roman"/>
          <w:spacing w:val="-1"/>
          <w:sz w:val="16"/>
          <w:szCs w:val="16"/>
        </w:rPr>
        <w:t>ere</w:t>
      </w:r>
      <w:r w:rsidRPr="00A07F29">
        <w:rPr>
          <w:rFonts w:ascii="Times New Roman" w:eastAsia="Calibri" w:hAnsi="Times New Roman" w:cs="Times New Roman"/>
          <w:sz w:val="16"/>
          <w:szCs w:val="16"/>
        </w:rPr>
        <w:t>šu</w:t>
      </w:r>
      <w:r w:rsidRPr="00A07F29">
        <w:rPr>
          <w:rFonts w:ascii="Times New Roman" w:eastAsia="Calibri" w:hAnsi="Times New Roman" w:cs="Times New Roman"/>
          <w:spacing w:val="-2"/>
          <w:sz w:val="16"/>
          <w:szCs w:val="16"/>
        </w:rPr>
        <w:t xml:space="preserve"> </w:t>
      </w:r>
      <w:r w:rsidRPr="00A07F29">
        <w:rPr>
          <w:rFonts w:ascii="Times New Roman" w:eastAsia="Calibri" w:hAnsi="Times New Roman" w:cs="Times New Roman"/>
          <w:sz w:val="16"/>
          <w:szCs w:val="16"/>
        </w:rPr>
        <w:t>s</w:t>
      </w:r>
      <w:r w:rsidRPr="00A07F29">
        <w:rPr>
          <w:rFonts w:ascii="Times New Roman" w:eastAsia="Calibri" w:hAnsi="Times New Roman" w:cs="Times New Roman"/>
          <w:spacing w:val="-1"/>
          <w:sz w:val="16"/>
          <w:szCs w:val="16"/>
        </w:rPr>
        <w:t>fēr</w:t>
      </w:r>
      <w:r w:rsidRPr="00A07F29">
        <w:rPr>
          <w:rFonts w:ascii="Times New Roman" w:eastAsia="Calibri" w:hAnsi="Times New Roman" w:cs="Times New Roman"/>
          <w:sz w:val="16"/>
          <w:szCs w:val="16"/>
        </w:rPr>
        <w:t>ā</w:t>
      </w:r>
      <w:r w:rsidRPr="00A07F29">
        <w:rPr>
          <w:rFonts w:ascii="Times New Roman" w:eastAsia="Calibri" w:hAnsi="Times New Roman" w:cs="Times New Roman"/>
          <w:spacing w:val="-1"/>
          <w:sz w:val="16"/>
          <w:szCs w:val="16"/>
        </w:rPr>
        <w:t xml:space="preserve"> </w:t>
      </w:r>
      <w:r w:rsidRPr="00A07F29">
        <w:rPr>
          <w:rFonts w:ascii="Times New Roman" w:eastAsia="Calibri" w:hAnsi="Times New Roman" w:cs="Times New Roman"/>
          <w:sz w:val="16"/>
          <w:szCs w:val="16"/>
        </w:rPr>
        <w:t xml:space="preserve">un </w:t>
      </w:r>
      <w:r w:rsidRPr="00A07F29">
        <w:rPr>
          <w:rFonts w:ascii="Times New Roman" w:eastAsia="Calibri" w:hAnsi="Times New Roman" w:cs="Times New Roman"/>
          <w:spacing w:val="-2"/>
          <w:sz w:val="16"/>
          <w:szCs w:val="16"/>
        </w:rPr>
        <w:t>k</w:t>
      </w:r>
      <w:r w:rsidRPr="00A07F29">
        <w:rPr>
          <w:rFonts w:ascii="Times New Roman" w:eastAsia="Calibri" w:hAnsi="Times New Roman" w:cs="Times New Roman"/>
          <w:spacing w:val="2"/>
          <w:sz w:val="16"/>
          <w:szCs w:val="16"/>
        </w:rPr>
        <w:t>ur</w:t>
      </w:r>
      <w:r w:rsidRPr="00A07F29">
        <w:rPr>
          <w:rFonts w:ascii="Times New Roman" w:eastAsia="Calibri" w:hAnsi="Times New Roman" w:cs="Times New Roman"/>
          <w:sz w:val="16"/>
          <w:szCs w:val="16"/>
        </w:rPr>
        <w:t xml:space="preserve">u </w:t>
      </w:r>
      <w:r w:rsidRPr="00A07F29">
        <w:rPr>
          <w:rFonts w:ascii="Times New Roman" w:eastAsia="Calibri" w:hAnsi="Times New Roman" w:cs="Times New Roman"/>
          <w:spacing w:val="-1"/>
          <w:sz w:val="16"/>
          <w:szCs w:val="16"/>
        </w:rPr>
        <w:t>a</w:t>
      </w:r>
      <w:r w:rsidRPr="00A07F29">
        <w:rPr>
          <w:rFonts w:ascii="Times New Roman" w:eastAsia="Calibri" w:hAnsi="Times New Roman" w:cs="Times New Roman"/>
          <w:spacing w:val="1"/>
          <w:sz w:val="16"/>
          <w:szCs w:val="16"/>
        </w:rPr>
        <w:t>i</w:t>
      </w:r>
      <w:r w:rsidRPr="00A07F29">
        <w:rPr>
          <w:rFonts w:ascii="Times New Roman" w:eastAsia="Calibri" w:hAnsi="Times New Roman" w:cs="Times New Roman"/>
          <w:spacing w:val="-1"/>
          <w:sz w:val="16"/>
          <w:szCs w:val="16"/>
        </w:rPr>
        <w:t>z</w:t>
      </w:r>
      <w:r w:rsidRPr="00A07F29">
        <w:rPr>
          <w:rFonts w:ascii="Times New Roman" w:eastAsia="Calibri" w:hAnsi="Times New Roman" w:cs="Times New Roman"/>
          <w:sz w:val="16"/>
          <w:szCs w:val="16"/>
        </w:rPr>
        <w:t>s</w:t>
      </w:r>
      <w:r w:rsidRPr="00A07F29">
        <w:rPr>
          <w:rFonts w:ascii="Times New Roman" w:eastAsia="Calibri" w:hAnsi="Times New Roman" w:cs="Times New Roman"/>
          <w:spacing w:val="-1"/>
          <w:sz w:val="16"/>
          <w:szCs w:val="16"/>
        </w:rPr>
        <w:t>ar</w:t>
      </w:r>
      <w:r w:rsidRPr="00A07F29">
        <w:rPr>
          <w:rFonts w:ascii="Times New Roman" w:eastAsia="Calibri" w:hAnsi="Times New Roman" w:cs="Times New Roman"/>
          <w:spacing w:val="2"/>
          <w:sz w:val="16"/>
          <w:szCs w:val="16"/>
        </w:rPr>
        <w:t>d</w:t>
      </w:r>
      <w:r w:rsidRPr="00A07F29">
        <w:rPr>
          <w:rFonts w:ascii="Times New Roman" w:eastAsia="Calibri" w:hAnsi="Times New Roman" w:cs="Times New Roman"/>
          <w:spacing w:val="-1"/>
          <w:sz w:val="16"/>
          <w:szCs w:val="16"/>
        </w:rPr>
        <w:t>z</w:t>
      </w:r>
      <w:r w:rsidRPr="00A07F29">
        <w:rPr>
          <w:rFonts w:ascii="Times New Roman" w:eastAsia="Calibri" w:hAnsi="Times New Roman" w:cs="Times New Roman"/>
          <w:spacing w:val="1"/>
          <w:sz w:val="16"/>
          <w:szCs w:val="16"/>
        </w:rPr>
        <w:t>ī</w:t>
      </w:r>
      <w:r w:rsidRPr="00A07F29">
        <w:rPr>
          <w:rFonts w:ascii="Times New Roman" w:eastAsia="Calibri" w:hAnsi="Times New Roman" w:cs="Times New Roman"/>
          <w:sz w:val="16"/>
          <w:szCs w:val="16"/>
        </w:rPr>
        <w:t>b</w:t>
      </w:r>
      <w:r w:rsidRPr="00A07F29">
        <w:rPr>
          <w:rFonts w:ascii="Times New Roman" w:eastAsia="Calibri" w:hAnsi="Times New Roman" w:cs="Times New Roman"/>
          <w:spacing w:val="-1"/>
          <w:sz w:val="16"/>
          <w:szCs w:val="16"/>
        </w:rPr>
        <w:t>a</w:t>
      </w:r>
      <w:r w:rsidRPr="00A07F29">
        <w:rPr>
          <w:rFonts w:ascii="Times New Roman" w:eastAsia="Calibri" w:hAnsi="Times New Roman" w:cs="Times New Roman"/>
          <w:sz w:val="16"/>
          <w:szCs w:val="16"/>
        </w:rPr>
        <w:t>i</w:t>
      </w:r>
      <w:r w:rsidRPr="00A07F29">
        <w:rPr>
          <w:rFonts w:ascii="Times New Roman" w:eastAsia="Calibri" w:hAnsi="Times New Roman" w:cs="Times New Roman"/>
          <w:spacing w:val="3"/>
          <w:sz w:val="16"/>
          <w:szCs w:val="16"/>
        </w:rPr>
        <w:t xml:space="preserve"> </w:t>
      </w:r>
      <w:r w:rsidRPr="00A07F29">
        <w:rPr>
          <w:rFonts w:ascii="Times New Roman" w:eastAsia="Calibri" w:hAnsi="Times New Roman" w:cs="Times New Roman"/>
          <w:sz w:val="16"/>
          <w:szCs w:val="16"/>
        </w:rPr>
        <w:t>n</w:t>
      </w:r>
      <w:r w:rsidRPr="00A07F29">
        <w:rPr>
          <w:rFonts w:ascii="Times New Roman" w:eastAsia="Calibri" w:hAnsi="Times New Roman" w:cs="Times New Roman"/>
          <w:spacing w:val="-1"/>
          <w:sz w:val="16"/>
          <w:szCs w:val="16"/>
        </w:rPr>
        <w:t>e</w:t>
      </w:r>
      <w:r w:rsidRPr="00A07F29">
        <w:rPr>
          <w:rFonts w:ascii="Times New Roman" w:eastAsia="Calibri" w:hAnsi="Times New Roman" w:cs="Times New Roman"/>
          <w:sz w:val="16"/>
          <w:szCs w:val="16"/>
        </w:rPr>
        <w:t>p</w:t>
      </w:r>
      <w:r w:rsidRPr="00A07F29">
        <w:rPr>
          <w:rFonts w:ascii="Times New Roman" w:eastAsia="Calibri" w:hAnsi="Times New Roman" w:cs="Times New Roman"/>
          <w:spacing w:val="1"/>
          <w:sz w:val="16"/>
          <w:szCs w:val="16"/>
        </w:rPr>
        <w:t>i</w:t>
      </w:r>
      <w:r w:rsidRPr="00A07F29">
        <w:rPr>
          <w:rFonts w:ascii="Times New Roman" w:eastAsia="Calibri" w:hAnsi="Times New Roman" w:cs="Times New Roman"/>
          <w:spacing w:val="-1"/>
          <w:sz w:val="16"/>
          <w:szCs w:val="16"/>
        </w:rPr>
        <w:t>ec</w:t>
      </w:r>
      <w:r w:rsidRPr="00A07F29">
        <w:rPr>
          <w:rFonts w:ascii="Times New Roman" w:eastAsia="Calibri" w:hAnsi="Times New Roman" w:cs="Times New Roman"/>
          <w:spacing w:val="1"/>
          <w:sz w:val="16"/>
          <w:szCs w:val="16"/>
        </w:rPr>
        <w:t>i</w:t>
      </w:r>
      <w:r w:rsidRPr="00A07F29">
        <w:rPr>
          <w:rFonts w:ascii="Times New Roman" w:eastAsia="Calibri" w:hAnsi="Times New Roman" w:cs="Times New Roman"/>
          <w:spacing w:val="-1"/>
          <w:sz w:val="16"/>
          <w:szCs w:val="16"/>
        </w:rPr>
        <w:t>e</w:t>
      </w:r>
      <w:r w:rsidRPr="00A07F29">
        <w:rPr>
          <w:rFonts w:ascii="Times New Roman" w:eastAsia="Calibri" w:hAnsi="Times New Roman" w:cs="Times New Roman"/>
          <w:spacing w:val="3"/>
          <w:sz w:val="16"/>
          <w:szCs w:val="16"/>
        </w:rPr>
        <w:t>š</w:t>
      </w:r>
      <w:r w:rsidRPr="00A07F29">
        <w:rPr>
          <w:rFonts w:ascii="Times New Roman" w:eastAsia="Calibri" w:hAnsi="Times New Roman" w:cs="Times New Roman"/>
          <w:spacing w:val="2"/>
          <w:sz w:val="16"/>
          <w:szCs w:val="16"/>
        </w:rPr>
        <w:t>a</w:t>
      </w:r>
      <w:r w:rsidRPr="00A07F29">
        <w:rPr>
          <w:rFonts w:ascii="Times New Roman" w:eastAsia="Calibri" w:hAnsi="Times New Roman" w:cs="Times New Roman"/>
          <w:spacing w:val="1"/>
          <w:sz w:val="16"/>
          <w:szCs w:val="16"/>
        </w:rPr>
        <w:t>m</w:t>
      </w:r>
      <w:r w:rsidRPr="00A07F29">
        <w:rPr>
          <w:rFonts w:ascii="Times New Roman" w:eastAsia="Calibri" w:hAnsi="Times New Roman" w:cs="Times New Roman"/>
          <w:sz w:val="16"/>
          <w:szCs w:val="16"/>
        </w:rPr>
        <w:t>s</w:t>
      </w:r>
      <w:r w:rsidRPr="00A07F29">
        <w:rPr>
          <w:rFonts w:ascii="Times New Roman" w:eastAsia="Calibri" w:hAnsi="Times New Roman" w:cs="Times New Roman"/>
          <w:spacing w:val="3"/>
          <w:sz w:val="16"/>
          <w:szCs w:val="16"/>
        </w:rPr>
        <w:t xml:space="preserve"> </w:t>
      </w:r>
      <w:r w:rsidRPr="00A07F29">
        <w:rPr>
          <w:rFonts w:ascii="Times New Roman" w:eastAsia="Calibri" w:hAnsi="Times New Roman" w:cs="Times New Roman"/>
          <w:sz w:val="16"/>
          <w:szCs w:val="16"/>
        </w:rPr>
        <w:t>s</w:t>
      </w:r>
      <w:r w:rsidRPr="00A07F29">
        <w:rPr>
          <w:rFonts w:ascii="Times New Roman" w:eastAsia="Calibri" w:hAnsi="Times New Roman" w:cs="Times New Roman"/>
          <w:spacing w:val="1"/>
          <w:sz w:val="16"/>
          <w:szCs w:val="16"/>
        </w:rPr>
        <w:t>ti</w:t>
      </w:r>
      <w:r w:rsidRPr="00A07F29">
        <w:rPr>
          <w:rFonts w:ascii="Times New Roman" w:eastAsia="Calibri" w:hAnsi="Times New Roman" w:cs="Times New Roman"/>
          <w:sz w:val="16"/>
          <w:szCs w:val="16"/>
        </w:rPr>
        <w:t>n</w:t>
      </w:r>
      <w:r w:rsidRPr="00A07F29">
        <w:rPr>
          <w:rFonts w:ascii="Times New Roman" w:eastAsia="Calibri" w:hAnsi="Times New Roman" w:cs="Times New Roman"/>
          <w:spacing w:val="-2"/>
          <w:sz w:val="16"/>
          <w:szCs w:val="16"/>
        </w:rPr>
        <w:t>g</w:t>
      </w:r>
      <w:r w:rsidRPr="00A07F29">
        <w:rPr>
          <w:rFonts w:ascii="Times New Roman" w:eastAsia="Calibri" w:hAnsi="Times New Roman" w:cs="Times New Roman"/>
          <w:spacing w:val="-1"/>
          <w:sz w:val="16"/>
          <w:szCs w:val="16"/>
        </w:rPr>
        <w:t>r</w:t>
      </w:r>
      <w:r w:rsidRPr="00A07F29">
        <w:rPr>
          <w:rFonts w:ascii="Times New Roman" w:eastAsia="Calibri" w:hAnsi="Times New Roman" w:cs="Times New Roman"/>
          <w:sz w:val="16"/>
          <w:szCs w:val="16"/>
        </w:rPr>
        <w:t>s</w:t>
      </w:r>
      <w:r w:rsidRPr="00A07F29">
        <w:rPr>
          <w:rFonts w:ascii="Times New Roman" w:eastAsia="Calibri" w:hAnsi="Times New Roman" w:cs="Times New Roman"/>
          <w:spacing w:val="2"/>
          <w:sz w:val="16"/>
          <w:szCs w:val="16"/>
        </w:rPr>
        <w:t xml:space="preserve"> </w:t>
      </w:r>
      <w:r w:rsidRPr="00A07F29">
        <w:rPr>
          <w:rFonts w:ascii="Times New Roman" w:eastAsia="Calibri" w:hAnsi="Times New Roman" w:cs="Times New Roman"/>
          <w:spacing w:val="-1"/>
          <w:sz w:val="16"/>
          <w:szCs w:val="16"/>
        </w:rPr>
        <w:t>a</w:t>
      </w:r>
      <w:r w:rsidRPr="00A07F29">
        <w:rPr>
          <w:rFonts w:ascii="Times New Roman" w:eastAsia="Calibri" w:hAnsi="Times New Roman" w:cs="Times New Roman"/>
          <w:spacing w:val="1"/>
          <w:sz w:val="16"/>
          <w:szCs w:val="16"/>
        </w:rPr>
        <w:t>i</w:t>
      </w:r>
      <w:r w:rsidRPr="00A07F29">
        <w:rPr>
          <w:rFonts w:ascii="Times New Roman" w:eastAsia="Calibri" w:hAnsi="Times New Roman" w:cs="Times New Roman"/>
          <w:spacing w:val="-1"/>
          <w:sz w:val="16"/>
          <w:szCs w:val="16"/>
        </w:rPr>
        <w:t>z</w:t>
      </w:r>
      <w:r w:rsidRPr="00A07F29">
        <w:rPr>
          <w:rFonts w:ascii="Times New Roman" w:eastAsia="Calibri" w:hAnsi="Times New Roman" w:cs="Times New Roman"/>
          <w:sz w:val="16"/>
          <w:szCs w:val="16"/>
        </w:rPr>
        <w:t>s</w:t>
      </w:r>
      <w:r w:rsidRPr="00A07F29">
        <w:rPr>
          <w:rFonts w:ascii="Times New Roman" w:eastAsia="Calibri" w:hAnsi="Times New Roman" w:cs="Times New Roman"/>
          <w:spacing w:val="-1"/>
          <w:sz w:val="16"/>
          <w:szCs w:val="16"/>
        </w:rPr>
        <w:t>ar</w:t>
      </w:r>
      <w:r w:rsidRPr="00A07F29">
        <w:rPr>
          <w:rFonts w:ascii="Times New Roman" w:eastAsia="Calibri" w:hAnsi="Times New Roman" w:cs="Times New Roman"/>
          <w:spacing w:val="2"/>
          <w:sz w:val="16"/>
          <w:szCs w:val="16"/>
        </w:rPr>
        <w:t>d</w:t>
      </w:r>
      <w:r w:rsidRPr="00A07F29">
        <w:rPr>
          <w:rFonts w:ascii="Times New Roman" w:eastAsia="Calibri" w:hAnsi="Times New Roman" w:cs="Times New Roman"/>
          <w:spacing w:val="-1"/>
          <w:sz w:val="16"/>
          <w:szCs w:val="16"/>
        </w:rPr>
        <w:t>z</w:t>
      </w:r>
      <w:r w:rsidRPr="00A07F29">
        <w:rPr>
          <w:rFonts w:ascii="Times New Roman" w:eastAsia="Calibri" w:hAnsi="Times New Roman" w:cs="Times New Roman"/>
          <w:spacing w:val="1"/>
          <w:sz w:val="16"/>
          <w:szCs w:val="16"/>
        </w:rPr>
        <w:t>ī</w:t>
      </w:r>
      <w:r w:rsidRPr="00A07F29">
        <w:rPr>
          <w:rFonts w:ascii="Times New Roman" w:eastAsia="Calibri" w:hAnsi="Times New Roman" w:cs="Times New Roman"/>
          <w:sz w:val="16"/>
          <w:szCs w:val="16"/>
        </w:rPr>
        <w:t>b</w:t>
      </w:r>
      <w:r w:rsidRPr="00A07F29">
        <w:rPr>
          <w:rFonts w:ascii="Times New Roman" w:eastAsia="Calibri" w:hAnsi="Times New Roman" w:cs="Times New Roman"/>
          <w:spacing w:val="-1"/>
          <w:sz w:val="16"/>
          <w:szCs w:val="16"/>
        </w:rPr>
        <w:t>a</w:t>
      </w:r>
      <w:r w:rsidRPr="00A07F29">
        <w:rPr>
          <w:rFonts w:ascii="Times New Roman" w:eastAsia="Calibri" w:hAnsi="Times New Roman" w:cs="Times New Roman"/>
          <w:sz w:val="16"/>
          <w:szCs w:val="16"/>
        </w:rPr>
        <w:t>s</w:t>
      </w:r>
      <w:r w:rsidRPr="00A07F29">
        <w:rPr>
          <w:rFonts w:ascii="Times New Roman" w:eastAsia="Calibri" w:hAnsi="Times New Roman" w:cs="Times New Roman"/>
          <w:spacing w:val="2"/>
          <w:sz w:val="16"/>
          <w:szCs w:val="16"/>
        </w:rPr>
        <w:t xml:space="preserve"> </w:t>
      </w:r>
      <w:r w:rsidRPr="00A07F29">
        <w:rPr>
          <w:rFonts w:ascii="Times New Roman" w:eastAsia="Calibri" w:hAnsi="Times New Roman" w:cs="Times New Roman"/>
          <w:spacing w:val="-1"/>
          <w:sz w:val="16"/>
          <w:szCs w:val="16"/>
        </w:rPr>
        <w:t>r</w:t>
      </w:r>
      <w:r w:rsidRPr="00A07F29">
        <w:rPr>
          <w:rFonts w:ascii="Times New Roman" w:eastAsia="Calibri" w:hAnsi="Times New Roman" w:cs="Times New Roman"/>
          <w:spacing w:val="2"/>
          <w:sz w:val="16"/>
          <w:szCs w:val="16"/>
        </w:rPr>
        <w:t>ež</w:t>
      </w:r>
      <w:r w:rsidRPr="00A07F29">
        <w:rPr>
          <w:rFonts w:ascii="Times New Roman" w:eastAsia="Calibri" w:hAnsi="Times New Roman" w:cs="Times New Roman"/>
          <w:spacing w:val="1"/>
          <w:sz w:val="16"/>
          <w:szCs w:val="16"/>
        </w:rPr>
        <w:t>ī</w:t>
      </w:r>
      <w:r w:rsidRPr="00A07F29">
        <w:rPr>
          <w:rFonts w:ascii="Times New Roman" w:eastAsia="Calibri" w:hAnsi="Times New Roman" w:cs="Times New Roman"/>
          <w:spacing w:val="-2"/>
          <w:sz w:val="16"/>
          <w:szCs w:val="16"/>
        </w:rPr>
        <w:t>m</w:t>
      </w:r>
      <w:r w:rsidRPr="00A07F29">
        <w:rPr>
          <w:rFonts w:ascii="Times New Roman" w:eastAsia="Calibri" w:hAnsi="Times New Roman" w:cs="Times New Roman"/>
          <w:sz w:val="16"/>
          <w:szCs w:val="16"/>
        </w:rPr>
        <w:t>s;</w:t>
      </w:r>
      <w:r w:rsidRPr="00A07F29">
        <w:rPr>
          <w:rFonts w:ascii="Times New Roman" w:eastAsia="Calibri" w:hAnsi="Times New Roman" w:cs="Times New Roman"/>
          <w:spacing w:val="6"/>
          <w:sz w:val="16"/>
          <w:szCs w:val="16"/>
        </w:rPr>
        <w:t xml:space="preserve"> </w:t>
      </w:r>
      <w:r w:rsidRPr="00A07F29">
        <w:rPr>
          <w:rFonts w:ascii="Times New Roman" w:eastAsia="Calibri" w:hAnsi="Times New Roman" w:cs="Times New Roman"/>
          <w:b/>
          <w:sz w:val="16"/>
          <w:szCs w:val="16"/>
        </w:rPr>
        <w:t>V</w:t>
      </w:r>
      <w:r w:rsidRPr="00A07F29">
        <w:rPr>
          <w:rFonts w:ascii="Times New Roman" w:eastAsia="Calibri" w:hAnsi="Times New Roman" w:cs="Times New Roman"/>
          <w:b/>
          <w:spacing w:val="5"/>
          <w:sz w:val="16"/>
          <w:szCs w:val="16"/>
        </w:rPr>
        <w:t xml:space="preserve"> </w:t>
      </w:r>
      <w:r w:rsidRPr="00A07F29">
        <w:rPr>
          <w:rFonts w:ascii="Times New Roman" w:eastAsia="Calibri" w:hAnsi="Times New Roman" w:cs="Times New Roman"/>
          <w:sz w:val="16"/>
          <w:szCs w:val="16"/>
        </w:rPr>
        <w:t>–</w:t>
      </w:r>
      <w:r w:rsidRPr="00A07F29">
        <w:rPr>
          <w:rFonts w:ascii="Times New Roman" w:eastAsia="Calibri" w:hAnsi="Times New Roman" w:cs="Times New Roman"/>
          <w:spacing w:val="5"/>
          <w:sz w:val="16"/>
          <w:szCs w:val="16"/>
        </w:rPr>
        <w:t xml:space="preserve"> </w:t>
      </w:r>
      <w:r w:rsidRPr="00A07F29">
        <w:rPr>
          <w:rFonts w:ascii="Times New Roman" w:eastAsia="Calibri" w:hAnsi="Times New Roman" w:cs="Times New Roman"/>
          <w:sz w:val="16"/>
          <w:szCs w:val="16"/>
        </w:rPr>
        <w:t>V</w:t>
      </w:r>
      <w:r w:rsidRPr="00A07F29">
        <w:rPr>
          <w:rFonts w:ascii="Times New Roman" w:eastAsia="Calibri" w:hAnsi="Times New Roman" w:cs="Times New Roman"/>
          <w:spacing w:val="5"/>
          <w:sz w:val="16"/>
          <w:szCs w:val="16"/>
        </w:rPr>
        <w:t xml:space="preserve"> </w:t>
      </w:r>
      <w:r w:rsidRPr="00A07F29">
        <w:rPr>
          <w:rFonts w:ascii="Times New Roman" w:eastAsia="Calibri" w:hAnsi="Times New Roman" w:cs="Times New Roman"/>
          <w:sz w:val="16"/>
          <w:szCs w:val="16"/>
        </w:rPr>
        <w:t>p</w:t>
      </w:r>
      <w:r w:rsidRPr="00A07F29">
        <w:rPr>
          <w:rFonts w:ascii="Times New Roman" w:eastAsia="Calibri" w:hAnsi="Times New Roman" w:cs="Times New Roman"/>
          <w:spacing w:val="1"/>
          <w:sz w:val="16"/>
          <w:szCs w:val="16"/>
        </w:rPr>
        <w:t>i</w:t>
      </w:r>
      <w:r w:rsidRPr="00A07F29">
        <w:rPr>
          <w:rFonts w:ascii="Times New Roman" w:eastAsia="Calibri" w:hAnsi="Times New Roman" w:cs="Times New Roman"/>
          <w:spacing w:val="-1"/>
          <w:sz w:val="16"/>
          <w:szCs w:val="16"/>
        </w:rPr>
        <w:t>e</w:t>
      </w:r>
      <w:r w:rsidRPr="00A07F29">
        <w:rPr>
          <w:rFonts w:ascii="Times New Roman" w:eastAsia="Calibri" w:hAnsi="Times New Roman" w:cs="Times New Roman"/>
          <w:spacing w:val="1"/>
          <w:sz w:val="16"/>
          <w:szCs w:val="16"/>
        </w:rPr>
        <w:t>li</w:t>
      </w:r>
      <w:r w:rsidRPr="00A07F29">
        <w:rPr>
          <w:rFonts w:ascii="Times New Roman" w:eastAsia="Calibri" w:hAnsi="Times New Roman" w:cs="Times New Roman"/>
          <w:spacing w:val="-2"/>
          <w:sz w:val="16"/>
          <w:szCs w:val="16"/>
        </w:rPr>
        <w:t>k</w:t>
      </w:r>
      <w:r w:rsidRPr="00A07F29">
        <w:rPr>
          <w:rFonts w:ascii="Times New Roman" w:eastAsia="Calibri" w:hAnsi="Times New Roman" w:cs="Times New Roman"/>
          <w:spacing w:val="2"/>
          <w:sz w:val="16"/>
          <w:szCs w:val="16"/>
        </w:rPr>
        <w:t>u</w:t>
      </w:r>
      <w:r w:rsidRPr="00A07F29">
        <w:rPr>
          <w:rFonts w:ascii="Times New Roman" w:eastAsia="Calibri" w:hAnsi="Times New Roman" w:cs="Times New Roman"/>
          <w:spacing w:val="-2"/>
          <w:sz w:val="16"/>
          <w:szCs w:val="16"/>
        </w:rPr>
        <w:t>m</w:t>
      </w:r>
      <w:r w:rsidRPr="00A07F29">
        <w:rPr>
          <w:rFonts w:ascii="Times New Roman" w:eastAsia="Calibri" w:hAnsi="Times New Roman" w:cs="Times New Roman"/>
          <w:sz w:val="16"/>
          <w:szCs w:val="16"/>
        </w:rPr>
        <w:t>s.</w:t>
      </w:r>
      <w:r w:rsidRPr="00A07F29">
        <w:rPr>
          <w:rFonts w:ascii="Times New Roman" w:eastAsia="Calibri" w:hAnsi="Times New Roman" w:cs="Times New Roman"/>
          <w:spacing w:val="1"/>
          <w:sz w:val="16"/>
          <w:szCs w:val="16"/>
        </w:rPr>
        <w:t xml:space="preserve"> </w:t>
      </w:r>
      <w:r w:rsidRPr="00A07F29">
        <w:rPr>
          <w:rFonts w:ascii="Times New Roman" w:eastAsia="Calibri" w:hAnsi="Times New Roman" w:cs="Times New Roman"/>
          <w:spacing w:val="2"/>
          <w:sz w:val="16"/>
          <w:szCs w:val="16"/>
        </w:rPr>
        <w:t>D</w:t>
      </w:r>
      <w:r w:rsidRPr="00A07F29">
        <w:rPr>
          <w:rFonts w:ascii="Times New Roman" w:eastAsia="Calibri" w:hAnsi="Times New Roman" w:cs="Times New Roman"/>
          <w:spacing w:val="-1"/>
          <w:sz w:val="16"/>
          <w:szCs w:val="16"/>
        </w:rPr>
        <w:t>z</w:t>
      </w:r>
      <w:r w:rsidRPr="00A07F29">
        <w:rPr>
          <w:rFonts w:ascii="Times New Roman" w:eastAsia="Calibri" w:hAnsi="Times New Roman" w:cs="Times New Roman"/>
          <w:spacing w:val="1"/>
          <w:sz w:val="16"/>
          <w:szCs w:val="16"/>
        </w:rPr>
        <w:t>ī</w:t>
      </w:r>
      <w:r w:rsidRPr="00A07F29">
        <w:rPr>
          <w:rFonts w:ascii="Times New Roman" w:eastAsia="Calibri" w:hAnsi="Times New Roman" w:cs="Times New Roman"/>
          <w:sz w:val="16"/>
          <w:szCs w:val="16"/>
        </w:rPr>
        <w:t>vn</w:t>
      </w:r>
      <w:r w:rsidRPr="00A07F29">
        <w:rPr>
          <w:rFonts w:ascii="Times New Roman" w:eastAsia="Calibri" w:hAnsi="Times New Roman" w:cs="Times New Roman"/>
          <w:spacing w:val="1"/>
          <w:sz w:val="16"/>
          <w:szCs w:val="16"/>
        </w:rPr>
        <w:t>i</w:t>
      </w:r>
      <w:r w:rsidRPr="00A07F29">
        <w:rPr>
          <w:rFonts w:ascii="Times New Roman" w:eastAsia="Calibri" w:hAnsi="Times New Roman" w:cs="Times New Roman"/>
          <w:spacing w:val="-1"/>
          <w:sz w:val="16"/>
          <w:szCs w:val="16"/>
        </w:rPr>
        <w:t>e</w:t>
      </w:r>
      <w:r w:rsidRPr="00A07F29">
        <w:rPr>
          <w:rFonts w:ascii="Times New Roman" w:eastAsia="Calibri" w:hAnsi="Times New Roman" w:cs="Times New Roman"/>
          <w:spacing w:val="-2"/>
          <w:sz w:val="16"/>
          <w:szCs w:val="16"/>
        </w:rPr>
        <w:t>k</w:t>
      </w:r>
      <w:r w:rsidRPr="00A07F29">
        <w:rPr>
          <w:rFonts w:ascii="Times New Roman" w:eastAsia="Calibri" w:hAnsi="Times New Roman" w:cs="Times New Roman"/>
          <w:sz w:val="16"/>
          <w:szCs w:val="16"/>
        </w:rPr>
        <w:t>u un</w:t>
      </w:r>
      <w:r w:rsidRPr="00A07F29">
        <w:rPr>
          <w:rFonts w:ascii="Times New Roman" w:eastAsia="Calibri" w:hAnsi="Times New Roman" w:cs="Times New Roman"/>
          <w:spacing w:val="4"/>
          <w:sz w:val="16"/>
          <w:szCs w:val="16"/>
        </w:rPr>
        <w:t xml:space="preserve"> </w:t>
      </w:r>
      <w:r w:rsidRPr="00A07F29">
        <w:rPr>
          <w:rFonts w:ascii="Times New Roman" w:eastAsia="Calibri" w:hAnsi="Times New Roman" w:cs="Times New Roman"/>
          <w:spacing w:val="-1"/>
          <w:sz w:val="16"/>
          <w:szCs w:val="16"/>
        </w:rPr>
        <w:t>a</w:t>
      </w:r>
      <w:r w:rsidRPr="00A07F29">
        <w:rPr>
          <w:rFonts w:ascii="Times New Roman" w:eastAsia="Calibri" w:hAnsi="Times New Roman" w:cs="Times New Roman"/>
          <w:spacing w:val="2"/>
          <w:sz w:val="16"/>
          <w:szCs w:val="16"/>
        </w:rPr>
        <w:t>u</w:t>
      </w:r>
      <w:r w:rsidRPr="00A07F29">
        <w:rPr>
          <w:rFonts w:ascii="Times New Roman" w:eastAsia="Calibri" w:hAnsi="Times New Roman" w:cs="Times New Roman"/>
          <w:spacing w:val="-2"/>
          <w:sz w:val="16"/>
          <w:szCs w:val="16"/>
        </w:rPr>
        <w:t>g</w:t>
      </w:r>
      <w:r w:rsidRPr="00A07F29">
        <w:rPr>
          <w:rFonts w:ascii="Times New Roman" w:eastAsia="Calibri" w:hAnsi="Times New Roman" w:cs="Times New Roman"/>
          <w:sz w:val="16"/>
          <w:szCs w:val="16"/>
        </w:rPr>
        <w:t>u</w:t>
      </w:r>
      <w:r w:rsidRPr="00A07F29">
        <w:rPr>
          <w:rFonts w:ascii="Times New Roman" w:eastAsia="Calibri" w:hAnsi="Times New Roman" w:cs="Times New Roman"/>
          <w:spacing w:val="3"/>
          <w:sz w:val="16"/>
          <w:szCs w:val="16"/>
        </w:rPr>
        <w:t xml:space="preserve"> </w:t>
      </w:r>
      <w:r w:rsidRPr="00A07F29">
        <w:rPr>
          <w:rFonts w:ascii="Times New Roman" w:eastAsia="Calibri" w:hAnsi="Times New Roman" w:cs="Times New Roman"/>
          <w:sz w:val="16"/>
          <w:szCs w:val="16"/>
        </w:rPr>
        <w:t>s</w:t>
      </w:r>
      <w:r w:rsidRPr="00A07F29">
        <w:rPr>
          <w:rFonts w:ascii="Times New Roman" w:eastAsia="Calibri" w:hAnsi="Times New Roman" w:cs="Times New Roman"/>
          <w:spacing w:val="2"/>
          <w:sz w:val="16"/>
          <w:szCs w:val="16"/>
        </w:rPr>
        <w:t>u</w:t>
      </w:r>
      <w:r w:rsidRPr="00A07F29">
        <w:rPr>
          <w:rFonts w:ascii="Times New Roman" w:eastAsia="Calibri" w:hAnsi="Times New Roman" w:cs="Times New Roman"/>
          <w:spacing w:val="-2"/>
          <w:sz w:val="16"/>
          <w:szCs w:val="16"/>
        </w:rPr>
        <w:t>g</w:t>
      </w:r>
      <w:r w:rsidRPr="00A07F29">
        <w:rPr>
          <w:rFonts w:ascii="Times New Roman" w:eastAsia="Calibri" w:hAnsi="Times New Roman" w:cs="Times New Roman"/>
          <w:spacing w:val="-1"/>
          <w:sz w:val="16"/>
          <w:szCs w:val="16"/>
        </w:rPr>
        <w:t>a</w:t>
      </w:r>
      <w:r w:rsidRPr="00A07F29">
        <w:rPr>
          <w:rFonts w:ascii="Times New Roman" w:eastAsia="Calibri" w:hAnsi="Times New Roman" w:cs="Times New Roman"/>
          <w:sz w:val="16"/>
          <w:szCs w:val="16"/>
        </w:rPr>
        <w:t xml:space="preserve">s, </w:t>
      </w:r>
      <w:r w:rsidRPr="00A07F29">
        <w:rPr>
          <w:rFonts w:ascii="Times New Roman" w:eastAsia="Calibri" w:hAnsi="Times New Roman" w:cs="Times New Roman"/>
          <w:spacing w:val="-2"/>
          <w:sz w:val="16"/>
          <w:szCs w:val="16"/>
        </w:rPr>
        <w:t>k</w:t>
      </w:r>
      <w:r w:rsidRPr="00A07F29">
        <w:rPr>
          <w:rFonts w:ascii="Times New Roman" w:eastAsia="Calibri" w:hAnsi="Times New Roman" w:cs="Times New Roman"/>
          <w:spacing w:val="-1"/>
          <w:sz w:val="16"/>
          <w:szCs w:val="16"/>
        </w:rPr>
        <w:t>a</w:t>
      </w:r>
      <w:r w:rsidRPr="00A07F29">
        <w:rPr>
          <w:rFonts w:ascii="Times New Roman" w:eastAsia="Calibri" w:hAnsi="Times New Roman" w:cs="Times New Roman"/>
          <w:sz w:val="16"/>
          <w:szCs w:val="16"/>
        </w:rPr>
        <w:t>s</w:t>
      </w:r>
      <w:r w:rsidRPr="00A07F29">
        <w:rPr>
          <w:rFonts w:ascii="Times New Roman" w:eastAsia="Calibri" w:hAnsi="Times New Roman" w:cs="Times New Roman"/>
          <w:spacing w:val="-2"/>
          <w:sz w:val="16"/>
          <w:szCs w:val="16"/>
        </w:rPr>
        <w:t xml:space="preserve"> </w:t>
      </w:r>
      <w:r w:rsidRPr="00A07F29">
        <w:rPr>
          <w:rFonts w:ascii="Times New Roman" w:eastAsia="Calibri" w:hAnsi="Times New Roman" w:cs="Times New Roman"/>
          <w:spacing w:val="1"/>
          <w:sz w:val="16"/>
          <w:szCs w:val="16"/>
        </w:rPr>
        <w:t>i</w:t>
      </w:r>
      <w:r w:rsidRPr="00A07F29">
        <w:rPr>
          <w:rFonts w:ascii="Times New Roman" w:eastAsia="Calibri" w:hAnsi="Times New Roman" w:cs="Times New Roman"/>
          <w:sz w:val="16"/>
          <w:szCs w:val="16"/>
        </w:rPr>
        <w:t>r</w:t>
      </w:r>
      <w:r w:rsidRPr="00A07F29">
        <w:rPr>
          <w:rFonts w:ascii="Times New Roman" w:eastAsia="Calibri" w:hAnsi="Times New Roman" w:cs="Times New Roman"/>
          <w:spacing w:val="1"/>
          <w:sz w:val="16"/>
          <w:szCs w:val="16"/>
        </w:rPr>
        <w:t xml:space="preserve"> </w:t>
      </w:r>
      <w:r w:rsidRPr="00A07F29">
        <w:rPr>
          <w:rFonts w:ascii="Times New Roman" w:eastAsia="Calibri" w:hAnsi="Times New Roman" w:cs="Times New Roman"/>
          <w:sz w:val="16"/>
          <w:szCs w:val="16"/>
        </w:rPr>
        <w:t>Kop</w:t>
      </w:r>
      <w:r w:rsidRPr="00A07F29">
        <w:rPr>
          <w:rFonts w:ascii="Times New Roman" w:eastAsia="Calibri" w:hAnsi="Times New Roman" w:cs="Times New Roman"/>
          <w:spacing w:val="1"/>
          <w:sz w:val="16"/>
          <w:szCs w:val="16"/>
        </w:rPr>
        <w:t>i</w:t>
      </w:r>
      <w:r w:rsidRPr="00A07F29">
        <w:rPr>
          <w:rFonts w:ascii="Times New Roman" w:eastAsia="Calibri" w:hAnsi="Times New Roman" w:cs="Times New Roman"/>
          <w:spacing w:val="-1"/>
          <w:sz w:val="16"/>
          <w:szCs w:val="16"/>
        </w:rPr>
        <w:t>e</w:t>
      </w:r>
      <w:r w:rsidRPr="00A07F29">
        <w:rPr>
          <w:rFonts w:ascii="Times New Roman" w:eastAsia="Calibri" w:hAnsi="Times New Roman" w:cs="Times New Roman"/>
          <w:sz w:val="16"/>
          <w:szCs w:val="16"/>
        </w:rPr>
        <w:t>n</w:t>
      </w:r>
      <w:r w:rsidRPr="00A07F29">
        <w:rPr>
          <w:rFonts w:ascii="Times New Roman" w:eastAsia="Calibri" w:hAnsi="Times New Roman" w:cs="Times New Roman"/>
          <w:spacing w:val="-1"/>
          <w:sz w:val="16"/>
          <w:szCs w:val="16"/>
        </w:rPr>
        <w:t>a</w:t>
      </w:r>
      <w:r w:rsidRPr="00A07F29">
        <w:rPr>
          <w:rFonts w:ascii="Times New Roman" w:eastAsia="Calibri" w:hAnsi="Times New Roman" w:cs="Times New Roman"/>
          <w:sz w:val="16"/>
          <w:szCs w:val="16"/>
        </w:rPr>
        <w:t>s</w:t>
      </w:r>
      <w:r w:rsidRPr="00A07F29">
        <w:rPr>
          <w:rFonts w:ascii="Times New Roman" w:eastAsia="Calibri" w:hAnsi="Times New Roman" w:cs="Times New Roman"/>
          <w:spacing w:val="-6"/>
          <w:sz w:val="16"/>
          <w:szCs w:val="16"/>
        </w:rPr>
        <w:t xml:space="preserve"> </w:t>
      </w:r>
      <w:r w:rsidRPr="00A07F29">
        <w:rPr>
          <w:rFonts w:ascii="Times New Roman" w:eastAsia="Calibri" w:hAnsi="Times New Roman" w:cs="Times New Roman"/>
          <w:spacing w:val="1"/>
          <w:sz w:val="16"/>
          <w:szCs w:val="16"/>
        </w:rPr>
        <w:t>i</w:t>
      </w:r>
      <w:r w:rsidRPr="00A07F29">
        <w:rPr>
          <w:rFonts w:ascii="Times New Roman" w:eastAsia="Calibri" w:hAnsi="Times New Roman" w:cs="Times New Roman"/>
          <w:sz w:val="16"/>
          <w:szCs w:val="16"/>
        </w:rPr>
        <w:t>n</w:t>
      </w:r>
      <w:r w:rsidRPr="00A07F29">
        <w:rPr>
          <w:rFonts w:ascii="Times New Roman" w:eastAsia="Calibri" w:hAnsi="Times New Roman" w:cs="Times New Roman"/>
          <w:spacing w:val="1"/>
          <w:sz w:val="16"/>
          <w:szCs w:val="16"/>
        </w:rPr>
        <w:t>t</w:t>
      </w:r>
      <w:r w:rsidRPr="00A07F29">
        <w:rPr>
          <w:rFonts w:ascii="Times New Roman" w:eastAsia="Calibri" w:hAnsi="Times New Roman" w:cs="Times New Roman"/>
          <w:spacing w:val="-1"/>
          <w:sz w:val="16"/>
          <w:szCs w:val="16"/>
        </w:rPr>
        <w:t>e</w:t>
      </w:r>
      <w:r w:rsidRPr="00A07F29">
        <w:rPr>
          <w:rFonts w:ascii="Times New Roman" w:eastAsia="Calibri" w:hAnsi="Times New Roman" w:cs="Times New Roman"/>
          <w:spacing w:val="2"/>
          <w:sz w:val="16"/>
          <w:szCs w:val="16"/>
        </w:rPr>
        <w:t>r</w:t>
      </w:r>
      <w:r w:rsidRPr="00A07F29">
        <w:rPr>
          <w:rFonts w:ascii="Times New Roman" w:eastAsia="Calibri" w:hAnsi="Times New Roman" w:cs="Times New Roman"/>
          <w:spacing w:val="-1"/>
          <w:sz w:val="16"/>
          <w:szCs w:val="16"/>
        </w:rPr>
        <w:t>e</w:t>
      </w:r>
      <w:r w:rsidRPr="00A07F29">
        <w:rPr>
          <w:rFonts w:ascii="Times New Roman" w:eastAsia="Calibri" w:hAnsi="Times New Roman" w:cs="Times New Roman"/>
          <w:sz w:val="16"/>
          <w:szCs w:val="16"/>
        </w:rPr>
        <w:t>šu</w:t>
      </w:r>
      <w:r w:rsidRPr="00A07F29">
        <w:rPr>
          <w:rFonts w:ascii="Times New Roman" w:eastAsia="Calibri" w:hAnsi="Times New Roman" w:cs="Times New Roman"/>
          <w:spacing w:val="-2"/>
          <w:sz w:val="16"/>
          <w:szCs w:val="16"/>
        </w:rPr>
        <w:t xml:space="preserve"> </w:t>
      </w:r>
      <w:r w:rsidRPr="00A07F29">
        <w:rPr>
          <w:rFonts w:ascii="Times New Roman" w:eastAsia="Calibri" w:hAnsi="Times New Roman" w:cs="Times New Roman"/>
          <w:sz w:val="16"/>
          <w:szCs w:val="16"/>
        </w:rPr>
        <w:t>s</w:t>
      </w:r>
      <w:r w:rsidRPr="00A07F29">
        <w:rPr>
          <w:rFonts w:ascii="Times New Roman" w:eastAsia="Calibri" w:hAnsi="Times New Roman" w:cs="Times New Roman"/>
          <w:spacing w:val="-1"/>
          <w:sz w:val="16"/>
          <w:szCs w:val="16"/>
        </w:rPr>
        <w:t>fēr</w:t>
      </w:r>
      <w:r w:rsidRPr="00A07F29">
        <w:rPr>
          <w:rFonts w:ascii="Times New Roman" w:eastAsia="Calibri" w:hAnsi="Times New Roman" w:cs="Times New Roman"/>
          <w:sz w:val="16"/>
          <w:szCs w:val="16"/>
        </w:rPr>
        <w:t>ā</w:t>
      </w:r>
      <w:r w:rsidRPr="00A07F29">
        <w:rPr>
          <w:rFonts w:ascii="Times New Roman" w:eastAsia="Calibri" w:hAnsi="Times New Roman" w:cs="Times New Roman"/>
          <w:spacing w:val="-4"/>
          <w:sz w:val="16"/>
          <w:szCs w:val="16"/>
        </w:rPr>
        <w:t xml:space="preserve"> </w:t>
      </w:r>
      <w:r w:rsidRPr="00A07F29">
        <w:rPr>
          <w:rFonts w:ascii="Times New Roman" w:eastAsia="Calibri" w:hAnsi="Times New Roman" w:cs="Times New Roman"/>
          <w:sz w:val="16"/>
          <w:szCs w:val="16"/>
        </w:rPr>
        <w:t xml:space="preserve">un </w:t>
      </w:r>
      <w:r w:rsidRPr="00A07F29">
        <w:rPr>
          <w:rFonts w:ascii="Times New Roman" w:eastAsia="Calibri" w:hAnsi="Times New Roman" w:cs="Times New Roman"/>
          <w:spacing w:val="-2"/>
          <w:sz w:val="16"/>
          <w:szCs w:val="16"/>
        </w:rPr>
        <w:t>k</w:t>
      </w:r>
      <w:r w:rsidRPr="00A07F29">
        <w:rPr>
          <w:rFonts w:ascii="Times New Roman" w:eastAsia="Calibri" w:hAnsi="Times New Roman" w:cs="Times New Roman"/>
          <w:spacing w:val="2"/>
          <w:sz w:val="16"/>
          <w:szCs w:val="16"/>
        </w:rPr>
        <w:t>u</w:t>
      </w:r>
      <w:r w:rsidRPr="00A07F29">
        <w:rPr>
          <w:rFonts w:ascii="Times New Roman" w:eastAsia="Calibri" w:hAnsi="Times New Roman" w:cs="Times New Roman"/>
          <w:spacing w:val="-1"/>
          <w:sz w:val="16"/>
          <w:szCs w:val="16"/>
        </w:rPr>
        <w:t>r</w:t>
      </w:r>
      <w:r w:rsidRPr="00A07F29">
        <w:rPr>
          <w:rFonts w:ascii="Times New Roman" w:eastAsia="Calibri" w:hAnsi="Times New Roman" w:cs="Times New Roman"/>
          <w:sz w:val="16"/>
          <w:szCs w:val="16"/>
        </w:rPr>
        <w:t>u</w:t>
      </w:r>
      <w:r w:rsidRPr="00A07F29">
        <w:rPr>
          <w:rFonts w:ascii="Times New Roman" w:eastAsia="Calibri" w:hAnsi="Times New Roman" w:cs="Times New Roman"/>
          <w:spacing w:val="-4"/>
          <w:sz w:val="16"/>
          <w:szCs w:val="16"/>
        </w:rPr>
        <w:t xml:space="preserve"> </w:t>
      </w:r>
      <w:r w:rsidRPr="00A07F29">
        <w:rPr>
          <w:rFonts w:ascii="Times New Roman" w:eastAsia="Calibri" w:hAnsi="Times New Roman" w:cs="Times New Roman"/>
          <w:spacing w:val="1"/>
          <w:sz w:val="16"/>
          <w:szCs w:val="16"/>
        </w:rPr>
        <w:t>i</w:t>
      </w:r>
      <w:r w:rsidRPr="00A07F29">
        <w:rPr>
          <w:rFonts w:ascii="Times New Roman" w:eastAsia="Calibri" w:hAnsi="Times New Roman" w:cs="Times New Roman"/>
          <w:spacing w:val="2"/>
          <w:sz w:val="16"/>
          <w:szCs w:val="16"/>
        </w:rPr>
        <w:t>e</w:t>
      </w:r>
      <w:r w:rsidRPr="00A07F29">
        <w:rPr>
          <w:rFonts w:ascii="Times New Roman" w:eastAsia="Calibri" w:hAnsi="Times New Roman" w:cs="Times New Roman"/>
          <w:spacing w:val="-2"/>
          <w:sz w:val="16"/>
          <w:szCs w:val="16"/>
        </w:rPr>
        <w:t>g</w:t>
      </w:r>
      <w:r w:rsidRPr="00A07F29">
        <w:rPr>
          <w:rFonts w:ascii="Times New Roman" w:eastAsia="Calibri" w:hAnsi="Times New Roman" w:cs="Times New Roman"/>
          <w:sz w:val="16"/>
          <w:szCs w:val="16"/>
        </w:rPr>
        <w:t>ūš</w:t>
      </w:r>
      <w:r w:rsidRPr="00A07F29">
        <w:rPr>
          <w:rFonts w:ascii="Times New Roman" w:eastAsia="Calibri" w:hAnsi="Times New Roman" w:cs="Times New Roman"/>
          <w:spacing w:val="-1"/>
          <w:sz w:val="16"/>
          <w:szCs w:val="16"/>
        </w:rPr>
        <w:t>a</w:t>
      </w:r>
      <w:r w:rsidRPr="00A07F29">
        <w:rPr>
          <w:rFonts w:ascii="Times New Roman" w:eastAsia="Calibri" w:hAnsi="Times New Roman" w:cs="Times New Roman"/>
          <w:spacing w:val="2"/>
          <w:sz w:val="16"/>
          <w:szCs w:val="16"/>
        </w:rPr>
        <w:t>n</w:t>
      </w:r>
      <w:r w:rsidRPr="00A07F29">
        <w:rPr>
          <w:rFonts w:ascii="Times New Roman" w:eastAsia="Calibri" w:hAnsi="Times New Roman" w:cs="Times New Roman"/>
          <w:sz w:val="16"/>
          <w:szCs w:val="16"/>
        </w:rPr>
        <w:t>a</w:t>
      </w:r>
      <w:r w:rsidRPr="00A07F29">
        <w:rPr>
          <w:rFonts w:ascii="Times New Roman" w:eastAsia="Calibri" w:hAnsi="Times New Roman" w:cs="Times New Roman"/>
          <w:spacing w:val="-6"/>
          <w:sz w:val="16"/>
          <w:szCs w:val="16"/>
        </w:rPr>
        <w:t xml:space="preserve"> </w:t>
      </w:r>
      <w:r w:rsidRPr="00A07F29">
        <w:rPr>
          <w:rFonts w:ascii="Times New Roman" w:eastAsia="Calibri" w:hAnsi="Times New Roman" w:cs="Times New Roman"/>
          <w:spacing w:val="2"/>
          <w:sz w:val="16"/>
          <w:szCs w:val="16"/>
        </w:rPr>
        <w:t>u</w:t>
      </w:r>
      <w:r w:rsidRPr="00A07F29">
        <w:rPr>
          <w:rFonts w:ascii="Times New Roman" w:eastAsia="Calibri" w:hAnsi="Times New Roman" w:cs="Times New Roman"/>
          <w:sz w:val="16"/>
          <w:szCs w:val="16"/>
        </w:rPr>
        <w:t>n</w:t>
      </w:r>
      <w:r w:rsidRPr="00A07F29">
        <w:rPr>
          <w:rFonts w:ascii="Times New Roman" w:eastAsia="Calibri" w:hAnsi="Times New Roman" w:cs="Times New Roman"/>
          <w:spacing w:val="-2"/>
          <w:sz w:val="16"/>
          <w:szCs w:val="16"/>
        </w:rPr>
        <w:t xml:space="preserve"> </w:t>
      </w:r>
      <w:r w:rsidRPr="00A07F29">
        <w:rPr>
          <w:rFonts w:ascii="Times New Roman" w:eastAsia="Calibri" w:hAnsi="Times New Roman" w:cs="Times New Roman"/>
          <w:spacing w:val="-1"/>
          <w:sz w:val="16"/>
          <w:szCs w:val="16"/>
        </w:rPr>
        <w:t>e</w:t>
      </w:r>
      <w:r w:rsidRPr="00A07F29">
        <w:rPr>
          <w:rFonts w:ascii="Times New Roman" w:eastAsia="Calibri" w:hAnsi="Times New Roman" w:cs="Times New Roman"/>
          <w:spacing w:val="-2"/>
          <w:sz w:val="16"/>
          <w:szCs w:val="16"/>
        </w:rPr>
        <w:t>k</w:t>
      </w:r>
      <w:r w:rsidRPr="00A07F29">
        <w:rPr>
          <w:rFonts w:ascii="Times New Roman" w:eastAsia="Calibri" w:hAnsi="Times New Roman" w:cs="Times New Roman"/>
          <w:sz w:val="16"/>
          <w:szCs w:val="16"/>
        </w:rPr>
        <w:t>sp</w:t>
      </w:r>
      <w:r w:rsidRPr="00A07F29">
        <w:rPr>
          <w:rFonts w:ascii="Times New Roman" w:eastAsia="Calibri" w:hAnsi="Times New Roman" w:cs="Times New Roman"/>
          <w:spacing w:val="1"/>
          <w:sz w:val="16"/>
          <w:szCs w:val="16"/>
        </w:rPr>
        <w:t>l</w:t>
      </w:r>
      <w:r w:rsidRPr="00A07F29">
        <w:rPr>
          <w:rFonts w:ascii="Times New Roman" w:eastAsia="Calibri" w:hAnsi="Times New Roman" w:cs="Times New Roman"/>
          <w:sz w:val="16"/>
          <w:szCs w:val="16"/>
        </w:rPr>
        <w:t>u</w:t>
      </w:r>
      <w:r w:rsidRPr="00A07F29">
        <w:rPr>
          <w:rFonts w:ascii="Times New Roman" w:eastAsia="Calibri" w:hAnsi="Times New Roman" w:cs="Times New Roman"/>
          <w:spacing w:val="-1"/>
          <w:sz w:val="16"/>
          <w:szCs w:val="16"/>
        </w:rPr>
        <w:t>a</w:t>
      </w:r>
      <w:r w:rsidRPr="00A07F29">
        <w:rPr>
          <w:rFonts w:ascii="Times New Roman" w:eastAsia="Calibri" w:hAnsi="Times New Roman" w:cs="Times New Roman"/>
          <w:spacing w:val="3"/>
          <w:sz w:val="16"/>
          <w:szCs w:val="16"/>
        </w:rPr>
        <w:t>t</w:t>
      </w:r>
      <w:r w:rsidRPr="00A07F29">
        <w:rPr>
          <w:rFonts w:ascii="Times New Roman" w:eastAsia="Calibri" w:hAnsi="Times New Roman" w:cs="Times New Roman"/>
          <w:spacing w:val="-1"/>
          <w:sz w:val="16"/>
          <w:szCs w:val="16"/>
        </w:rPr>
        <w:t>āc</w:t>
      </w:r>
      <w:r w:rsidRPr="00A07F29">
        <w:rPr>
          <w:rFonts w:ascii="Times New Roman" w:eastAsia="Calibri" w:hAnsi="Times New Roman" w:cs="Times New Roman"/>
          <w:spacing w:val="1"/>
          <w:sz w:val="16"/>
          <w:szCs w:val="16"/>
        </w:rPr>
        <w:t>ij</w:t>
      </w:r>
      <w:r w:rsidRPr="00A07F29">
        <w:rPr>
          <w:rFonts w:ascii="Times New Roman" w:eastAsia="Calibri" w:hAnsi="Times New Roman" w:cs="Times New Roman"/>
          <w:sz w:val="16"/>
          <w:szCs w:val="16"/>
        </w:rPr>
        <w:t>a</w:t>
      </w:r>
      <w:r w:rsidRPr="00A07F29">
        <w:rPr>
          <w:rFonts w:ascii="Times New Roman" w:eastAsia="Calibri" w:hAnsi="Times New Roman" w:cs="Times New Roman"/>
          <w:spacing w:val="-6"/>
          <w:sz w:val="16"/>
          <w:szCs w:val="16"/>
        </w:rPr>
        <w:t xml:space="preserve"> </w:t>
      </w:r>
      <w:r w:rsidRPr="00A07F29">
        <w:rPr>
          <w:rFonts w:ascii="Times New Roman" w:eastAsia="Calibri" w:hAnsi="Times New Roman" w:cs="Times New Roman"/>
          <w:sz w:val="16"/>
          <w:szCs w:val="16"/>
        </w:rPr>
        <w:t>d</w:t>
      </w:r>
      <w:r w:rsidRPr="00A07F29">
        <w:rPr>
          <w:rFonts w:ascii="Times New Roman" w:eastAsia="Calibri" w:hAnsi="Times New Roman" w:cs="Times New Roman"/>
          <w:spacing w:val="-1"/>
          <w:sz w:val="16"/>
          <w:szCs w:val="16"/>
        </w:rPr>
        <w:t>a</w:t>
      </w:r>
      <w:r w:rsidRPr="00A07F29">
        <w:rPr>
          <w:rFonts w:ascii="Times New Roman" w:eastAsia="Calibri" w:hAnsi="Times New Roman" w:cs="Times New Roman"/>
          <w:spacing w:val="2"/>
          <w:sz w:val="16"/>
          <w:szCs w:val="16"/>
        </w:rPr>
        <w:t>b</w:t>
      </w:r>
      <w:r w:rsidRPr="00A07F29">
        <w:rPr>
          <w:rFonts w:ascii="Times New Roman" w:eastAsia="Calibri" w:hAnsi="Times New Roman" w:cs="Times New Roman"/>
          <w:sz w:val="16"/>
          <w:szCs w:val="16"/>
        </w:rPr>
        <w:t>ā</w:t>
      </w:r>
      <w:r w:rsidRPr="00A07F29">
        <w:rPr>
          <w:rFonts w:ascii="Times New Roman" w:eastAsia="Calibri" w:hAnsi="Times New Roman" w:cs="Times New Roman"/>
          <w:spacing w:val="-3"/>
          <w:sz w:val="16"/>
          <w:szCs w:val="16"/>
        </w:rPr>
        <w:t xml:space="preserve"> </w:t>
      </w:r>
      <w:r w:rsidRPr="00A07F29">
        <w:rPr>
          <w:rFonts w:ascii="Times New Roman" w:eastAsia="Calibri" w:hAnsi="Times New Roman" w:cs="Times New Roman"/>
          <w:sz w:val="16"/>
          <w:szCs w:val="16"/>
        </w:rPr>
        <w:t>v</w:t>
      </w:r>
      <w:r w:rsidRPr="00A07F29">
        <w:rPr>
          <w:rFonts w:ascii="Times New Roman" w:eastAsia="Calibri" w:hAnsi="Times New Roman" w:cs="Times New Roman"/>
          <w:spacing w:val="2"/>
          <w:sz w:val="16"/>
          <w:szCs w:val="16"/>
        </w:rPr>
        <w:t>a</w:t>
      </w:r>
      <w:r w:rsidRPr="00A07F29">
        <w:rPr>
          <w:rFonts w:ascii="Times New Roman" w:eastAsia="Calibri" w:hAnsi="Times New Roman" w:cs="Times New Roman"/>
          <w:sz w:val="16"/>
          <w:szCs w:val="16"/>
        </w:rPr>
        <w:t>r būt</w:t>
      </w:r>
      <w:r w:rsidRPr="00A07F29">
        <w:rPr>
          <w:rFonts w:ascii="Times New Roman" w:eastAsia="Calibri" w:hAnsi="Times New Roman" w:cs="Times New Roman"/>
          <w:spacing w:val="-2"/>
          <w:sz w:val="16"/>
          <w:szCs w:val="16"/>
        </w:rPr>
        <w:t xml:space="preserve"> </w:t>
      </w:r>
      <w:r w:rsidRPr="00A07F29">
        <w:rPr>
          <w:rFonts w:ascii="Times New Roman" w:eastAsia="Calibri" w:hAnsi="Times New Roman" w:cs="Times New Roman"/>
          <w:w w:val="99"/>
          <w:sz w:val="16"/>
          <w:szCs w:val="16"/>
        </w:rPr>
        <w:t>p</w:t>
      </w:r>
      <w:r w:rsidRPr="00A07F29">
        <w:rPr>
          <w:rFonts w:ascii="Times New Roman" w:eastAsia="Calibri" w:hAnsi="Times New Roman" w:cs="Times New Roman"/>
          <w:spacing w:val="1"/>
          <w:sz w:val="16"/>
          <w:szCs w:val="16"/>
        </w:rPr>
        <w:t>i</w:t>
      </w:r>
      <w:r w:rsidRPr="00A07F29">
        <w:rPr>
          <w:rFonts w:ascii="Times New Roman" w:eastAsia="Calibri" w:hAnsi="Times New Roman" w:cs="Times New Roman"/>
          <w:spacing w:val="-1"/>
          <w:sz w:val="16"/>
          <w:szCs w:val="16"/>
        </w:rPr>
        <w:t>eļa</w:t>
      </w:r>
      <w:r w:rsidRPr="00A07F29">
        <w:rPr>
          <w:rFonts w:ascii="Times New Roman" w:eastAsia="Calibri" w:hAnsi="Times New Roman" w:cs="Times New Roman"/>
          <w:w w:val="99"/>
          <w:sz w:val="16"/>
          <w:szCs w:val="16"/>
        </w:rPr>
        <w:t>u</w:t>
      </w:r>
      <w:r w:rsidRPr="00A07F29">
        <w:rPr>
          <w:rFonts w:ascii="Times New Roman" w:eastAsia="Calibri" w:hAnsi="Times New Roman" w:cs="Times New Roman"/>
          <w:spacing w:val="1"/>
          <w:sz w:val="16"/>
          <w:szCs w:val="16"/>
        </w:rPr>
        <w:t>j</w:t>
      </w:r>
      <w:r w:rsidRPr="00A07F29">
        <w:rPr>
          <w:rFonts w:ascii="Times New Roman" w:eastAsia="Calibri" w:hAnsi="Times New Roman" w:cs="Times New Roman"/>
          <w:spacing w:val="-1"/>
          <w:sz w:val="16"/>
          <w:szCs w:val="16"/>
        </w:rPr>
        <w:t>a</w:t>
      </w:r>
      <w:r w:rsidRPr="00A07F29">
        <w:rPr>
          <w:rFonts w:ascii="Times New Roman" w:eastAsia="Calibri" w:hAnsi="Times New Roman" w:cs="Times New Roman"/>
          <w:spacing w:val="1"/>
          <w:sz w:val="16"/>
          <w:szCs w:val="16"/>
        </w:rPr>
        <w:t>m</w:t>
      </w:r>
      <w:r w:rsidRPr="00A07F29">
        <w:rPr>
          <w:rFonts w:ascii="Times New Roman" w:eastAsia="Calibri" w:hAnsi="Times New Roman" w:cs="Times New Roman"/>
          <w:spacing w:val="-1"/>
          <w:sz w:val="16"/>
          <w:szCs w:val="16"/>
        </w:rPr>
        <w:t>a</w:t>
      </w:r>
      <w:r w:rsidRPr="00A07F29">
        <w:rPr>
          <w:rFonts w:ascii="Times New Roman" w:eastAsia="Calibri" w:hAnsi="Times New Roman" w:cs="Times New Roman"/>
          <w:w w:val="99"/>
          <w:sz w:val="16"/>
          <w:szCs w:val="16"/>
        </w:rPr>
        <w:t>.</w:t>
      </w:r>
    </w:p>
    <w:p w14:paraId="346518A3" w14:textId="6453D41F" w:rsidR="00E4038B" w:rsidRPr="00A07F29" w:rsidRDefault="00E4038B" w:rsidP="00E4038B">
      <w:pPr>
        <w:spacing w:after="120"/>
        <w:ind w:right="79"/>
        <w:jc w:val="both"/>
        <w:rPr>
          <w:rFonts w:ascii="Times New Roman" w:eastAsia="Calibri" w:hAnsi="Times New Roman" w:cs="Times New Roman"/>
          <w:sz w:val="16"/>
          <w:szCs w:val="16"/>
        </w:rPr>
      </w:pPr>
      <w:r w:rsidRPr="00A07F29">
        <w:rPr>
          <w:rFonts w:ascii="Times New Roman" w:eastAsia="Calibri" w:hAnsi="Times New Roman" w:cs="Times New Roman"/>
          <w:b/>
          <w:spacing w:val="2"/>
          <w:sz w:val="16"/>
          <w:szCs w:val="16"/>
        </w:rPr>
        <w:t>B</w:t>
      </w:r>
      <w:r w:rsidRPr="00A07F29">
        <w:rPr>
          <w:rFonts w:ascii="Times New Roman" w:eastAsia="Calibri" w:hAnsi="Times New Roman" w:cs="Times New Roman"/>
          <w:b/>
          <w:sz w:val="16"/>
          <w:szCs w:val="16"/>
        </w:rPr>
        <w:t>er</w:t>
      </w:r>
      <w:r w:rsidRPr="00A07F29">
        <w:rPr>
          <w:rFonts w:ascii="Times New Roman" w:eastAsia="Calibri" w:hAnsi="Times New Roman" w:cs="Times New Roman"/>
          <w:b/>
          <w:spacing w:val="-3"/>
          <w:sz w:val="16"/>
          <w:szCs w:val="16"/>
        </w:rPr>
        <w:t>n</w:t>
      </w:r>
      <w:r w:rsidRPr="00A07F29">
        <w:rPr>
          <w:rFonts w:ascii="Times New Roman" w:eastAsia="Calibri" w:hAnsi="Times New Roman" w:cs="Times New Roman"/>
          <w:b/>
          <w:sz w:val="16"/>
          <w:szCs w:val="16"/>
        </w:rPr>
        <w:t>e</w:t>
      </w:r>
      <w:r w:rsidRPr="00A07F29">
        <w:rPr>
          <w:rFonts w:ascii="Times New Roman" w:eastAsia="Calibri" w:hAnsi="Times New Roman" w:cs="Times New Roman"/>
          <w:b/>
          <w:spacing w:val="3"/>
          <w:sz w:val="16"/>
          <w:szCs w:val="16"/>
        </w:rPr>
        <w:t xml:space="preserve"> </w:t>
      </w:r>
      <w:r w:rsidR="005712BE">
        <w:rPr>
          <w:rFonts w:ascii="Times New Roman" w:eastAsia="Calibri" w:hAnsi="Times New Roman" w:cs="Times New Roman"/>
          <w:sz w:val="16"/>
          <w:szCs w:val="16"/>
        </w:rPr>
        <w:t>–</w:t>
      </w:r>
      <w:r w:rsidRPr="00A07F29">
        <w:rPr>
          <w:rFonts w:ascii="Times New Roman" w:eastAsia="Calibri" w:hAnsi="Times New Roman" w:cs="Times New Roman"/>
          <w:spacing w:val="54"/>
          <w:sz w:val="16"/>
          <w:szCs w:val="16"/>
        </w:rPr>
        <w:t xml:space="preserve"> </w:t>
      </w:r>
      <w:r w:rsidRPr="00A07F29">
        <w:rPr>
          <w:rFonts w:ascii="Times New Roman" w:eastAsia="Calibri" w:hAnsi="Times New Roman" w:cs="Times New Roman"/>
          <w:spacing w:val="-1"/>
          <w:sz w:val="16"/>
          <w:szCs w:val="16"/>
        </w:rPr>
        <w:t>B</w:t>
      </w:r>
      <w:r w:rsidRPr="00A07F29">
        <w:rPr>
          <w:rFonts w:ascii="Times New Roman" w:eastAsia="Calibri" w:hAnsi="Times New Roman" w:cs="Times New Roman"/>
          <w:sz w:val="16"/>
          <w:szCs w:val="16"/>
        </w:rPr>
        <w:t>e</w:t>
      </w:r>
      <w:r w:rsidRPr="00A07F29">
        <w:rPr>
          <w:rFonts w:ascii="Times New Roman" w:eastAsia="Calibri" w:hAnsi="Times New Roman" w:cs="Times New Roman"/>
          <w:spacing w:val="1"/>
          <w:sz w:val="16"/>
          <w:szCs w:val="16"/>
        </w:rPr>
        <w:t>r</w:t>
      </w:r>
      <w:r w:rsidRPr="00A07F29">
        <w:rPr>
          <w:rFonts w:ascii="Times New Roman" w:eastAsia="Calibri" w:hAnsi="Times New Roman" w:cs="Times New Roman"/>
          <w:sz w:val="16"/>
          <w:szCs w:val="16"/>
        </w:rPr>
        <w:t xml:space="preserve">nes </w:t>
      </w:r>
      <w:r w:rsidRPr="00A07F29">
        <w:rPr>
          <w:rFonts w:ascii="Times New Roman" w:eastAsia="Calibri" w:hAnsi="Times New Roman" w:cs="Times New Roman"/>
          <w:spacing w:val="-2"/>
          <w:sz w:val="16"/>
          <w:szCs w:val="16"/>
        </w:rPr>
        <w:t>k</w:t>
      </w:r>
      <w:r w:rsidRPr="00A07F29">
        <w:rPr>
          <w:rFonts w:ascii="Times New Roman" w:eastAsia="Calibri" w:hAnsi="Times New Roman" w:cs="Times New Roman"/>
          <w:sz w:val="16"/>
          <w:szCs w:val="16"/>
        </w:rPr>
        <w:t>on</w:t>
      </w:r>
      <w:r w:rsidRPr="00A07F29">
        <w:rPr>
          <w:rFonts w:ascii="Times New Roman" w:eastAsia="Calibri" w:hAnsi="Times New Roman" w:cs="Times New Roman"/>
          <w:spacing w:val="-2"/>
          <w:sz w:val="16"/>
          <w:szCs w:val="16"/>
        </w:rPr>
        <w:t>v</w:t>
      </w:r>
      <w:r w:rsidRPr="00A07F29">
        <w:rPr>
          <w:rFonts w:ascii="Times New Roman" w:eastAsia="Calibri" w:hAnsi="Times New Roman" w:cs="Times New Roman"/>
          <w:sz w:val="16"/>
          <w:szCs w:val="16"/>
        </w:rPr>
        <w:t>enc</w:t>
      </w:r>
      <w:r w:rsidRPr="00A07F29">
        <w:rPr>
          <w:rFonts w:ascii="Times New Roman" w:eastAsia="Calibri" w:hAnsi="Times New Roman" w:cs="Times New Roman"/>
          <w:spacing w:val="-1"/>
          <w:sz w:val="16"/>
          <w:szCs w:val="16"/>
        </w:rPr>
        <w:t>i</w:t>
      </w:r>
      <w:r w:rsidRPr="00A07F29">
        <w:rPr>
          <w:rFonts w:ascii="Times New Roman" w:eastAsia="Calibri" w:hAnsi="Times New Roman" w:cs="Times New Roman"/>
          <w:spacing w:val="1"/>
          <w:sz w:val="16"/>
          <w:szCs w:val="16"/>
        </w:rPr>
        <w:t>j</w:t>
      </w:r>
      <w:r w:rsidRPr="00A07F29">
        <w:rPr>
          <w:rFonts w:ascii="Times New Roman" w:eastAsia="Calibri" w:hAnsi="Times New Roman" w:cs="Times New Roman"/>
          <w:sz w:val="16"/>
          <w:szCs w:val="16"/>
        </w:rPr>
        <w:t>a</w:t>
      </w:r>
      <w:r w:rsidR="00B87404" w:rsidRPr="00A07F29">
        <w:rPr>
          <w:rFonts w:ascii="Times New Roman" w:eastAsia="Calibri" w:hAnsi="Times New Roman" w:cs="Times New Roman"/>
          <w:sz w:val="16"/>
          <w:szCs w:val="16"/>
        </w:rPr>
        <w:t>:</w:t>
      </w:r>
      <w:r w:rsidR="005A01F6" w:rsidRPr="00A07F29">
        <w:t xml:space="preserve"> </w:t>
      </w:r>
      <w:r w:rsidR="005A01F6" w:rsidRPr="00A07F29">
        <w:rPr>
          <w:rFonts w:ascii="Times New Roman" w:eastAsia="Calibri" w:hAnsi="Times New Roman" w:cs="Times New Roman"/>
          <w:b/>
          <w:sz w:val="16"/>
          <w:szCs w:val="16"/>
        </w:rPr>
        <w:t>III</w:t>
      </w:r>
      <w:r w:rsidR="005A01F6" w:rsidRPr="00A07F29">
        <w:rPr>
          <w:rFonts w:ascii="Times New Roman" w:eastAsia="Calibri" w:hAnsi="Times New Roman" w:cs="Times New Roman"/>
          <w:sz w:val="16"/>
          <w:szCs w:val="16"/>
        </w:rPr>
        <w:t xml:space="preserve"> </w:t>
      </w:r>
      <w:r w:rsidR="00B87404" w:rsidRPr="00A07F29">
        <w:rPr>
          <w:rFonts w:ascii="Times New Roman" w:eastAsia="Calibri" w:hAnsi="Times New Roman" w:cs="Times New Roman"/>
          <w:sz w:val="16"/>
          <w:szCs w:val="16"/>
        </w:rPr>
        <w:t xml:space="preserve">– III </w:t>
      </w:r>
      <w:r w:rsidR="005A01F6" w:rsidRPr="00A07F29">
        <w:rPr>
          <w:rFonts w:ascii="Times New Roman" w:eastAsia="Calibri" w:hAnsi="Times New Roman" w:cs="Times New Roman"/>
          <w:sz w:val="16"/>
          <w:szCs w:val="16"/>
        </w:rPr>
        <w:t>pielikums</w:t>
      </w:r>
      <w:r w:rsidR="00B87404" w:rsidRPr="00A07F29">
        <w:rPr>
          <w:rFonts w:ascii="Times New Roman" w:eastAsia="Calibri" w:hAnsi="Times New Roman" w:cs="Times New Roman"/>
          <w:sz w:val="16"/>
          <w:szCs w:val="16"/>
        </w:rPr>
        <w:t>.</w:t>
      </w:r>
      <w:r w:rsidR="005A01F6" w:rsidRPr="00A07F29">
        <w:rPr>
          <w:rFonts w:ascii="Times New Roman" w:eastAsia="Calibri" w:hAnsi="Times New Roman" w:cs="Times New Roman"/>
          <w:sz w:val="16"/>
          <w:szCs w:val="16"/>
        </w:rPr>
        <w:t xml:space="preserve"> </w:t>
      </w:r>
      <w:r w:rsidR="00B87404" w:rsidRPr="00A07F29">
        <w:rPr>
          <w:rFonts w:ascii="Times New Roman" w:eastAsia="Calibri" w:hAnsi="Times New Roman" w:cs="Times New Roman"/>
          <w:sz w:val="16"/>
          <w:szCs w:val="16"/>
        </w:rPr>
        <w:t>A</w:t>
      </w:r>
      <w:r w:rsidR="005A01F6" w:rsidRPr="00A07F29">
        <w:rPr>
          <w:rFonts w:ascii="Times New Roman" w:eastAsia="Calibri" w:hAnsi="Times New Roman" w:cs="Times New Roman"/>
          <w:sz w:val="16"/>
          <w:szCs w:val="16"/>
        </w:rPr>
        <w:t>izsargājamās dzīvnieku sugas, kuru aizsardzībai nav jāveido īpaši aizsargājama teritorija</w:t>
      </w:r>
      <w:r w:rsidR="00B87404" w:rsidRPr="00A07F29">
        <w:rPr>
          <w:rFonts w:ascii="Times New Roman" w:eastAsia="Calibri" w:hAnsi="Times New Roman" w:cs="Times New Roman"/>
          <w:sz w:val="16"/>
          <w:szCs w:val="16"/>
        </w:rPr>
        <w:t>.</w:t>
      </w:r>
    </w:p>
    <w:p w14:paraId="2CB49F59" w14:textId="454DFD38" w:rsidR="00E4038B" w:rsidRPr="00A07F29" w:rsidRDefault="00E4038B" w:rsidP="00B87404">
      <w:pPr>
        <w:spacing w:after="120"/>
        <w:ind w:right="238"/>
        <w:jc w:val="both"/>
        <w:rPr>
          <w:rFonts w:ascii="Times New Roman" w:eastAsia="Calibri" w:hAnsi="Times New Roman" w:cs="Times New Roman"/>
          <w:sz w:val="16"/>
          <w:szCs w:val="16"/>
        </w:rPr>
      </w:pPr>
      <w:r w:rsidRPr="00A07F29">
        <w:rPr>
          <w:rFonts w:ascii="Times New Roman" w:eastAsia="Calibri" w:hAnsi="Times New Roman" w:cs="Times New Roman"/>
          <w:b/>
          <w:sz w:val="16"/>
          <w:szCs w:val="16"/>
        </w:rPr>
        <w:t xml:space="preserve">ĪAS </w:t>
      </w:r>
      <w:r w:rsidRPr="00A07F29">
        <w:rPr>
          <w:rFonts w:ascii="Times New Roman" w:eastAsia="Calibri" w:hAnsi="Times New Roman" w:cs="Times New Roman"/>
          <w:sz w:val="16"/>
          <w:szCs w:val="16"/>
        </w:rPr>
        <w:t>–</w:t>
      </w:r>
      <w:r w:rsidRPr="00A07F29">
        <w:rPr>
          <w:rFonts w:ascii="Times New Roman" w:eastAsia="Calibri" w:hAnsi="Times New Roman" w:cs="Times New Roman"/>
          <w:spacing w:val="-2"/>
          <w:sz w:val="16"/>
          <w:szCs w:val="16"/>
        </w:rPr>
        <w:t xml:space="preserve"> </w:t>
      </w:r>
      <w:r w:rsidR="00C673AE">
        <w:rPr>
          <w:rFonts w:ascii="Times New Roman" w:eastAsia="Calibri" w:hAnsi="Times New Roman" w:cs="Times New Roman"/>
          <w:spacing w:val="-2"/>
          <w:sz w:val="16"/>
          <w:szCs w:val="16"/>
        </w:rPr>
        <w:t>īpaši aizsar</w:t>
      </w:r>
      <w:r w:rsidR="00102EBD">
        <w:rPr>
          <w:rFonts w:ascii="Times New Roman" w:eastAsia="Calibri" w:hAnsi="Times New Roman" w:cs="Times New Roman"/>
          <w:spacing w:val="-2"/>
          <w:sz w:val="16"/>
          <w:szCs w:val="16"/>
        </w:rPr>
        <w:t>gājama suga</w:t>
      </w:r>
      <w:r w:rsidR="00E979CD">
        <w:rPr>
          <w:rFonts w:ascii="Times New Roman" w:eastAsia="Calibri" w:hAnsi="Times New Roman" w:cs="Times New Roman"/>
          <w:sz w:val="20"/>
        </w:rPr>
        <w:t xml:space="preserve"> </w:t>
      </w:r>
      <w:r w:rsidR="00220B52">
        <w:rPr>
          <w:rFonts w:ascii="Times New Roman" w:eastAsia="Calibri" w:hAnsi="Times New Roman" w:cs="Times New Roman"/>
          <w:sz w:val="20"/>
        </w:rPr>
        <w:t>(</w:t>
      </w:r>
      <w:r w:rsidR="00E979CD" w:rsidRPr="00E979CD">
        <w:rPr>
          <w:rFonts w:ascii="Times New Roman" w:eastAsia="Calibri" w:hAnsi="Times New Roman" w:cs="Times New Roman"/>
          <w:spacing w:val="-2"/>
          <w:sz w:val="16"/>
          <w:szCs w:val="16"/>
        </w:rPr>
        <w:t>atbilstoši MK 2000. gada 14. novembra noteikumu Nr. 396. ”Noteikumi par īpaši aizsargājamo sugu un ierobežoti izmantojamo īpaši aizsargājamo sugu sarakstu”</w:t>
      </w:r>
      <w:r w:rsidR="00B63B6A">
        <w:rPr>
          <w:rFonts w:ascii="Times New Roman" w:eastAsia="Calibri" w:hAnsi="Times New Roman" w:cs="Times New Roman"/>
          <w:spacing w:val="-2"/>
          <w:sz w:val="16"/>
          <w:szCs w:val="16"/>
        </w:rPr>
        <w:t>),</w:t>
      </w:r>
      <w:r w:rsidR="00102EBD">
        <w:rPr>
          <w:rFonts w:ascii="Times New Roman" w:eastAsia="Calibri" w:hAnsi="Times New Roman" w:cs="Times New Roman"/>
          <w:spacing w:val="-2"/>
          <w:sz w:val="16"/>
          <w:szCs w:val="16"/>
        </w:rPr>
        <w:t xml:space="preserve"> </w:t>
      </w:r>
      <w:r w:rsidR="00B63B6A" w:rsidRPr="00A07F29">
        <w:rPr>
          <w:rFonts w:ascii="Times New Roman" w:eastAsia="Calibri" w:hAnsi="Times New Roman" w:cs="Times New Roman"/>
          <w:sz w:val="16"/>
          <w:szCs w:val="16"/>
        </w:rPr>
        <w:t xml:space="preserve">ar </w:t>
      </w:r>
      <w:r w:rsidR="00B63B6A" w:rsidRPr="00A07F29">
        <w:rPr>
          <w:rFonts w:ascii="Times New Roman" w:eastAsia="Calibri" w:hAnsi="Times New Roman" w:cs="Times New Roman"/>
          <w:sz w:val="16"/>
          <w:szCs w:val="16"/>
          <w:vertAlign w:val="superscript"/>
        </w:rPr>
        <w:t>1</w:t>
      </w:r>
      <w:r w:rsidR="00B63B6A" w:rsidRPr="00A07F29">
        <w:rPr>
          <w:rFonts w:ascii="Times New Roman" w:eastAsia="Calibri" w:hAnsi="Times New Roman" w:cs="Times New Roman"/>
          <w:sz w:val="16"/>
          <w:szCs w:val="16"/>
        </w:rPr>
        <w:t xml:space="preserve"> atzīmētas sugas, kuru aizsardzībai var veidot mikroliegumus </w:t>
      </w:r>
      <w:r w:rsidR="003E76A6">
        <w:rPr>
          <w:rFonts w:ascii="Times New Roman" w:eastAsia="Calibri" w:hAnsi="Times New Roman" w:cs="Times New Roman"/>
          <w:sz w:val="16"/>
          <w:szCs w:val="16"/>
        </w:rPr>
        <w:t>(</w:t>
      </w:r>
      <w:r w:rsidR="003E76A6" w:rsidRPr="003E76A6">
        <w:rPr>
          <w:rFonts w:ascii="Times New Roman" w:eastAsia="Calibri" w:hAnsi="Times New Roman" w:cs="Times New Roman"/>
          <w:sz w:val="16"/>
          <w:szCs w:val="16"/>
        </w:rPr>
        <w:t>atbilstoši MK 2012. gada 18. decembra noteikumiem Nr. 940 “Noteikumi par mikroliegumu izveidošanas un apsaimniekošanas kārtību, to aizsardzību, kā arī mikroliegumu un to buferzonu noteikšanu”</w:t>
      </w:r>
      <w:r w:rsidR="0039753E">
        <w:rPr>
          <w:rFonts w:ascii="Times New Roman" w:eastAsia="Calibri" w:hAnsi="Times New Roman" w:cs="Times New Roman"/>
          <w:sz w:val="16"/>
          <w:szCs w:val="16"/>
        </w:rPr>
        <w:t>.</w:t>
      </w:r>
    </w:p>
    <w:p w14:paraId="30FA7460" w14:textId="5B1D5031" w:rsidR="00B87404" w:rsidRPr="00A07F29" w:rsidRDefault="00B87404" w:rsidP="00C96B50">
      <w:pPr>
        <w:spacing w:after="120"/>
        <w:jc w:val="both"/>
        <w:rPr>
          <w:rFonts w:ascii="Times New Roman" w:eastAsia="Calibri" w:hAnsi="Times New Roman" w:cs="Times New Roman"/>
          <w:sz w:val="16"/>
          <w:szCs w:val="16"/>
        </w:rPr>
      </w:pPr>
      <w:r w:rsidRPr="00A07F29">
        <w:rPr>
          <w:rFonts w:ascii="Times New Roman" w:eastAsia="Calibri" w:hAnsi="Times New Roman" w:cs="Times New Roman"/>
          <w:b/>
          <w:sz w:val="16"/>
          <w:szCs w:val="16"/>
        </w:rPr>
        <w:t>IUCN</w:t>
      </w:r>
      <w:r w:rsidRPr="00A07F29">
        <w:rPr>
          <w:rFonts w:ascii="Times New Roman" w:eastAsia="Calibri" w:hAnsi="Times New Roman" w:cs="Times New Roman"/>
          <w:sz w:val="16"/>
          <w:szCs w:val="16"/>
        </w:rPr>
        <w:t xml:space="preserve"> – Pasaules dabas aizsardzības organizācijas (</w:t>
      </w:r>
      <w:proofErr w:type="spellStart"/>
      <w:r w:rsidR="00BB1836" w:rsidRPr="00BB1836">
        <w:rPr>
          <w:rFonts w:ascii="Times New Roman" w:eastAsia="Calibri" w:hAnsi="Times New Roman" w:cs="Times New Roman"/>
          <w:sz w:val="16"/>
          <w:szCs w:val="16"/>
        </w:rPr>
        <w:t>International</w:t>
      </w:r>
      <w:proofErr w:type="spellEnd"/>
      <w:r w:rsidR="00BB1836" w:rsidRPr="00BB1836">
        <w:rPr>
          <w:rFonts w:ascii="Times New Roman" w:eastAsia="Calibri" w:hAnsi="Times New Roman" w:cs="Times New Roman"/>
          <w:sz w:val="16"/>
          <w:szCs w:val="16"/>
        </w:rPr>
        <w:t xml:space="preserve"> </w:t>
      </w:r>
      <w:proofErr w:type="spellStart"/>
      <w:r w:rsidR="00BB1836" w:rsidRPr="00BB1836">
        <w:rPr>
          <w:rFonts w:ascii="Times New Roman" w:eastAsia="Calibri" w:hAnsi="Times New Roman" w:cs="Times New Roman"/>
          <w:sz w:val="16"/>
          <w:szCs w:val="16"/>
        </w:rPr>
        <w:t>Union</w:t>
      </w:r>
      <w:proofErr w:type="spellEnd"/>
      <w:r w:rsidR="00BB1836" w:rsidRPr="00BB1836">
        <w:rPr>
          <w:rFonts w:ascii="Times New Roman" w:eastAsia="Calibri" w:hAnsi="Times New Roman" w:cs="Times New Roman"/>
          <w:sz w:val="16"/>
          <w:szCs w:val="16"/>
        </w:rPr>
        <w:t xml:space="preserve"> </w:t>
      </w:r>
      <w:proofErr w:type="spellStart"/>
      <w:r w:rsidR="00BB1836" w:rsidRPr="00BB1836">
        <w:rPr>
          <w:rFonts w:ascii="Times New Roman" w:eastAsia="Calibri" w:hAnsi="Times New Roman" w:cs="Times New Roman"/>
          <w:sz w:val="16"/>
          <w:szCs w:val="16"/>
        </w:rPr>
        <w:t>for</w:t>
      </w:r>
      <w:proofErr w:type="spellEnd"/>
      <w:r w:rsidR="00BB1836" w:rsidRPr="00BB1836">
        <w:rPr>
          <w:rFonts w:ascii="Times New Roman" w:eastAsia="Calibri" w:hAnsi="Times New Roman" w:cs="Times New Roman"/>
          <w:sz w:val="16"/>
          <w:szCs w:val="16"/>
        </w:rPr>
        <w:t xml:space="preserve"> </w:t>
      </w:r>
      <w:proofErr w:type="spellStart"/>
      <w:r w:rsidR="00BB1836" w:rsidRPr="00BB1836">
        <w:rPr>
          <w:rFonts w:ascii="Times New Roman" w:eastAsia="Calibri" w:hAnsi="Times New Roman" w:cs="Times New Roman"/>
          <w:sz w:val="16"/>
          <w:szCs w:val="16"/>
        </w:rPr>
        <w:t>Conservation</w:t>
      </w:r>
      <w:proofErr w:type="spellEnd"/>
      <w:r w:rsidR="00BB1836" w:rsidRPr="00BB1836">
        <w:rPr>
          <w:rFonts w:ascii="Times New Roman" w:eastAsia="Calibri" w:hAnsi="Times New Roman" w:cs="Times New Roman"/>
          <w:sz w:val="16"/>
          <w:szCs w:val="16"/>
        </w:rPr>
        <w:t xml:space="preserve"> </w:t>
      </w:r>
      <w:proofErr w:type="spellStart"/>
      <w:r w:rsidR="00BB1836" w:rsidRPr="00BB1836">
        <w:rPr>
          <w:rFonts w:ascii="Times New Roman" w:eastAsia="Calibri" w:hAnsi="Times New Roman" w:cs="Times New Roman"/>
          <w:sz w:val="16"/>
          <w:szCs w:val="16"/>
        </w:rPr>
        <w:t>of</w:t>
      </w:r>
      <w:proofErr w:type="spellEnd"/>
      <w:r w:rsidR="00BB1836" w:rsidRPr="00BB1836">
        <w:rPr>
          <w:rFonts w:ascii="Times New Roman" w:eastAsia="Calibri" w:hAnsi="Times New Roman" w:cs="Times New Roman"/>
          <w:sz w:val="16"/>
          <w:szCs w:val="16"/>
        </w:rPr>
        <w:t xml:space="preserve"> Nature</w:t>
      </w:r>
      <w:r w:rsidRPr="00A07F29">
        <w:rPr>
          <w:rFonts w:ascii="Times New Roman" w:eastAsia="Calibri" w:hAnsi="Times New Roman" w:cs="Times New Roman"/>
          <w:sz w:val="16"/>
          <w:szCs w:val="16"/>
        </w:rPr>
        <w:t xml:space="preserve">; Red List </w:t>
      </w:r>
      <w:proofErr w:type="spellStart"/>
      <w:r w:rsidRPr="00A07F29">
        <w:rPr>
          <w:rFonts w:ascii="Times New Roman" w:eastAsia="Calibri" w:hAnsi="Times New Roman" w:cs="Times New Roman"/>
          <w:sz w:val="16"/>
          <w:szCs w:val="16"/>
        </w:rPr>
        <w:t>version</w:t>
      </w:r>
      <w:proofErr w:type="spellEnd"/>
      <w:r w:rsidRPr="00A07F29">
        <w:rPr>
          <w:rFonts w:ascii="Times New Roman" w:eastAsia="Calibri" w:hAnsi="Times New Roman" w:cs="Times New Roman"/>
          <w:sz w:val="16"/>
          <w:szCs w:val="16"/>
        </w:rPr>
        <w:t xml:space="preserve"> 3.1.; IUCN 2017) apdraudēto sugu sarakstā ierakstīta suga un kategorija: </w:t>
      </w:r>
      <w:r w:rsidRPr="00A07F29">
        <w:rPr>
          <w:rFonts w:ascii="Times New Roman" w:eastAsia="Calibri" w:hAnsi="Times New Roman" w:cs="Times New Roman"/>
          <w:b/>
          <w:sz w:val="16"/>
          <w:szCs w:val="16"/>
        </w:rPr>
        <w:t>EN</w:t>
      </w:r>
      <w:r w:rsidRPr="00A07F29">
        <w:rPr>
          <w:rFonts w:ascii="Times New Roman" w:eastAsia="Calibri" w:hAnsi="Times New Roman" w:cs="Times New Roman"/>
          <w:sz w:val="16"/>
          <w:szCs w:val="16"/>
        </w:rPr>
        <w:t xml:space="preserve"> (</w:t>
      </w:r>
      <w:proofErr w:type="spellStart"/>
      <w:r w:rsidRPr="00A07F29">
        <w:rPr>
          <w:rFonts w:ascii="Times New Roman" w:eastAsia="Calibri" w:hAnsi="Times New Roman" w:cs="Times New Roman"/>
          <w:sz w:val="16"/>
          <w:szCs w:val="16"/>
        </w:rPr>
        <w:t>endangered</w:t>
      </w:r>
      <w:proofErr w:type="spellEnd"/>
      <w:r w:rsidRPr="00A07F29">
        <w:rPr>
          <w:rFonts w:ascii="Times New Roman" w:eastAsia="Calibri" w:hAnsi="Times New Roman" w:cs="Times New Roman"/>
          <w:sz w:val="16"/>
          <w:szCs w:val="16"/>
        </w:rPr>
        <w:t xml:space="preserve">) – apdraudēta suga; </w:t>
      </w:r>
      <w:r w:rsidRPr="00A07F29">
        <w:rPr>
          <w:rFonts w:ascii="Times New Roman" w:eastAsia="Calibri" w:hAnsi="Times New Roman" w:cs="Times New Roman"/>
          <w:b/>
          <w:sz w:val="16"/>
          <w:szCs w:val="16"/>
        </w:rPr>
        <w:t>VU</w:t>
      </w:r>
      <w:r w:rsidRPr="00A07F29">
        <w:rPr>
          <w:rFonts w:ascii="Times New Roman" w:eastAsia="Calibri" w:hAnsi="Times New Roman" w:cs="Times New Roman"/>
          <w:sz w:val="16"/>
          <w:szCs w:val="16"/>
        </w:rPr>
        <w:t xml:space="preserve"> (</w:t>
      </w:r>
      <w:proofErr w:type="spellStart"/>
      <w:r w:rsidRPr="00A07F29">
        <w:rPr>
          <w:rFonts w:ascii="Times New Roman" w:eastAsia="Calibri" w:hAnsi="Times New Roman" w:cs="Times New Roman"/>
          <w:sz w:val="16"/>
          <w:szCs w:val="16"/>
        </w:rPr>
        <w:t>vulnerable</w:t>
      </w:r>
      <w:proofErr w:type="spellEnd"/>
      <w:r w:rsidRPr="00A07F29">
        <w:rPr>
          <w:rFonts w:ascii="Times New Roman" w:eastAsia="Calibri" w:hAnsi="Times New Roman" w:cs="Times New Roman"/>
          <w:sz w:val="16"/>
          <w:szCs w:val="16"/>
        </w:rPr>
        <w:t xml:space="preserve">) – jūtīga suga; </w:t>
      </w:r>
      <w:r w:rsidRPr="00A07F29">
        <w:rPr>
          <w:rFonts w:ascii="Times New Roman" w:eastAsia="Calibri" w:hAnsi="Times New Roman" w:cs="Times New Roman"/>
          <w:b/>
          <w:sz w:val="16"/>
          <w:szCs w:val="16"/>
        </w:rPr>
        <w:t>NT</w:t>
      </w:r>
      <w:r w:rsidRPr="00A07F29">
        <w:rPr>
          <w:rFonts w:ascii="Times New Roman" w:eastAsia="Calibri" w:hAnsi="Times New Roman" w:cs="Times New Roman"/>
          <w:sz w:val="16"/>
          <w:szCs w:val="16"/>
        </w:rPr>
        <w:t xml:space="preserve"> (near </w:t>
      </w:r>
      <w:proofErr w:type="spellStart"/>
      <w:r w:rsidRPr="00A07F29">
        <w:rPr>
          <w:rFonts w:ascii="Times New Roman" w:eastAsia="Calibri" w:hAnsi="Times New Roman" w:cs="Times New Roman"/>
          <w:sz w:val="16"/>
          <w:szCs w:val="16"/>
        </w:rPr>
        <w:t>threatened</w:t>
      </w:r>
      <w:proofErr w:type="spellEnd"/>
      <w:r w:rsidR="00B910EA" w:rsidRPr="00A07F29">
        <w:rPr>
          <w:rFonts w:ascii="Times New Roman" w:eastAsia="Calibri" w:hAnsi="Times New Roman" w:cs="Times New Roman"/>
          <w:sz w:val="16"/>
          <w:szCs w:val="16"/>
        </w:rPr>
        <w:t>)</w:t>
      </w:r>
      <w:r w:rsidRPr="00A07F29">
        <w:rPr>
          <w:rFonts w:ascii="Times New Roman" w:eastAsia="Calibri" w:hAnsi="Times New Roman" w:cs="Times New Roman"/>
          <w:sz w:val="16"/>
          <w:szCs w:val="16"/>
        </w:rPr>
        <w:t xml:space="preserve"> – gandrīz apdraudēta; </w:t>
      </w:r>
      <w:r w:rsidRPr="00A07F29">
        <w:rPr>
          <w:rFonts w:ascii="Times New Roman" w:eastAsia="Calibri" w:hAnsi="Times New Roman" w:cs="Times New Roman"/>
          <w:b/>
          <w:sz w:val="16"/>
          <w:szCs w:val="16"/>
        </w:rPr>
        <w:t>LC</w:t>
      </w:r>
      <w:r w:rsidRPr="00A07F29">
        <w:rPr>
          <w:rFonts w:ascii="Times New Roman" w:eastAsia="Calibri" w:hAnsi="Times New Roman" w:cs="Times New Roman"/>
          <w:sz w:val="16"/>
          <w:szCs w:val="16"/>
        </w:rPr>
        <w:t xml:space="preserve"> (</w:t>
      </w:r>
      <w:proofErr w:type="spellStart"/>
      <w:r w:rsidRPr="00A07F29">
        <w:rPr>
          <w:rFonts w:ascii="Times New Roman" w:eastAsia="Calibri" w:hAnsi="Times New Roman" w:cs="Times New Roman"/>
          <w:sz w:val="16"/>
          <w:szCs w:val="16"/>
        </w:rPr>
        <w:t>least</w:t>
      </w:r>
      <w:proofErr w:type="spellEnd"/>
      <w:r w:rsidRPr="00A07F29">
        <w:rPr>
          <w:rFonts w:ascii="Times New Roman" w:eastAsia="Calibri" w:hAnsi="Times New Roman" w:cs="Times New Roman"/>
          <w:sz w:val="16"/>
          <w:szCs w:val="16"/>
        </w:rPr>
        <w:t xml:space="preserve"> </w:t>
      </w:r>
      <w:proofErr w:type="spellStart"/>
      <w:r w:rsidRPr="00A07F29">
        <w:rPr>
          <w:rFonts w:ascii="Times New Roman" w:eastAsia="Calibri" w:hAnsi="Times New Roman" w:cs="Times New Roman"/>
          <w:sz w:val="16"/>
          <w:szCs w:val="16"/>
        </w:rPr>
        <w:t>concern</w:t>
      </w:r>
      <w:proofErr w:type="spellEnd"/>
      <w:r w:rsidRPr="00A07F29">
        <w:rPr>
          <w:rFonts w:ascii="Times New Roman" w:eastAsia="Calibri" w:hAnsi="Times New Roman" w:cs="Times New Roman"/>
          <w:sz w:val="16"/>
          <w:szCs w:val="16"/>
        </w:rPr>
        <w:t xml:space="preserve">) – vismazāk apdraudēta; </w:t>
      </w:r>
      <w:r w:rsidRPr="00A07F29">
        <w:rPr>
          <w:rFonts w:ascii="Times New Roman" w:eastAsia="Calibri" w:hAnsi="Times New Roman" w:cs="Times New Roman"/>
          <w:b/>
          <w:sz w:val="16"/>
          <w:szCs w:val="16"/>
        </w:rPr>
        <w:t>DD</w:t>
      </w:r>
      <w:r w:rsidRPr="00A07F29">
        <w:rPr>
          <w:rFonts w:ascii="Times New Roman" w:eastAsia="Calibri" w:hAnsi="Times New Roman" w:cs="Times New Roman"/>
          <w:sz w:val="16"/>
          <w:szCs w:val="16"/>
        </w:rPr>
        <w:t xml:space="preserve"> (</w:t>
      </w:r>
      <w:proofErr w:type="spellStart"/>
      <w:r w:rsidRPr="00A07F29">
        <w:rPr>
          <w:rFonts w:ascii="Times New Roman" w:eastAsia="Calibri" w:hAnsi="Times New Roman" w:cs="Times New Roman"/>
          <w:sz w:val="16"/>
          <w:szCs w:val="16"/>
        </w:rPr>
        <w:t>data</w:t>
      </w:r>
      <w:proofErr w:type="spellEnd"/>
      <w:r w:rsidRPr="00A07F29">
        <w:rPr>
          <w:rFonts w:ascii="Times New Roman" w:eastAsia="Calibri" w:hAnsi="Times New Roman" w:cs="Times New Roman"/>
          <w:sz w:val="16"/>
          <w:szCs w:val="16"/>
        </w:rPr>
        <w:t xml:space="preserve"> </w:t>
      </w:r>
      <w:proofErr w:type="spellStart"/>
      <w:r w:rsidRPr="00A07F29">
        <w:rPr>
          <w:rFonts w:ascii="Times New Roman" w:eastAsia="Calibri" w:hAnsi="Times New Roman" w:cs="Times New Roman"/>
          <w:sz w:val="16"/>
          <w:szCs w:val="16"/>
        </w:rPr>
        <w:t>deficient</w:t>
      </w:r>
      <w:proofErr w:type="spellEnd"/>
      <w:r w:rsidRPr="00A07F29">
        <w:rPr>
          <w:rFonts w:ascii="Times New Roman" w:eastAsia="Calibri" w:hAnsi="Times New Roman" w:cs="Times New Roman"/>
          <w:sz w:val="16"/>
          <w:szCs w:val="16"/>
        </w:rPr>
        <w:t xml:space="preserve">) – trūkst datu par sugu; </w:t>
      </w:r>
    </w:p>
    <w:p w14:paraId="099E9FB4" w14:textId="0F602F58" w:rsidR="00B87404" w:rsidRPr="00A07F29" w:rsidRDefault="00B87404" w:rsidP="00C96B50">
      <w:pPr>
        <w:spacing w:after="120"/>
        <w:jc w:val="both"/>
        <w:rPr>
          <w:rFonts w:ascii="Times New Roman" w:eastAsia="Times New Roman" w:hAnsi="Times New Roman" w:cs="Times New Roman"/>
          <w:sz w:val="24"/>
          <w:szCs w:val="24"/>
          <w:lang w:eastAsia="lv-LV"/>
        </w:rPr>
      </w:pPr>
      <w:r w:rsidRPr="00A07F29">
        <w:rPr>
          <w:rFonts w:ascii="Times New Roman" w:eastAsia="Calibri" w:hAnsi="Times New Roman" w:cs="Times New Roman"/>
          <w:b/>
          <w:sz w:val="16"/>
          <w:szCs w:val="16"/>
        </w:rPr>
        <w:t>RL</w:t>
      </w:r>
      <w:r w:rsidRPr="00A07F29">
        <w:rPr>
          <w:rFonts w:ascii="Times New Roman" w:eastAsia="Calibri" w:hAnsi="Times New Roman" w:cs="Times New Roman"/>
          <w:sz w:val="16"/>
          <w:szCs w:val="16"/>
        </w:rPr>
        <w:t xml:space="preserve"> – Latvijā apdraudēto un reti sastopamo sugu kategorija (Rudzīte</w:t>
      </w:r>
      <w:r w:rsidR="0039753E">
        <w:rPr>
          <w:rFonts w:ascii="Times New Roman" w:eastAsia="Calibri" w:hAnsi="Times New Roman" w:cs="Times New Roman"/>
          <w:sz w:val="16"/>
          <w:szCs w:val="16"/>
        </w:rPr>
        <w:t xml:space="preserve"> M.,</w:t>
      </w:r>
      <w:r w:rsidRPr="00A07F29">
        <w:rPr>
          <w:rFonts w:ascii="Times New Roman" w:eastAsia="Calibri" w:hAnsi="Times New Roman" w:cs="Times New Roman"/>
          <w:sz w:val="16"/>
          <w:szCs w:val="16"/>
        </w:rPr>
        <w:t xml:space="preserve"> </w:t>
      </w:r>
      <w:proofErr w:type="spellStart"/>
      <w:r w:rsidRPr="00A07F29">
        <w:rPr>
          <w:rFonts w:ascii="Times New Roman" w:eastAsia="Calibri" w:hAnsi="Times New Roman" w:cs="Times New Roman"/>
          <w:sz w:val="16"/>
          <w:szCs w:val="16"/>
        </w:rPr>
        <w:t>et</w:t>
      </w:r>
      <w:proofErr w:type="spellEnd"/>
      <w:r w:rsidRPr="00A07F29">
        <w:rPr>
          <w:rFonts w:ascii="Times New Roman" w:eastAsia="Calibri" w:hAnsi="Times New Roman" w:cs="Times New Roman"/>
          <w:sz w:val="16"/>
          <w:szCs w:val="16"/>
        </w:rPr>
        <w:t xml:space="preserve"> </w:t>
      </w:r>
      <w:proofErr w:type="spellStart"/>
      <w:r w:rsidRPr="00A07F29">
        <w:rPr>
          <w:rFonts w:ascii="Times New Roman" w:eastAsia="Calibri" w:hAnsi="Times New Roman" w:cs="Times New Roman"/>
          <w:sz w:val="16"/>
          <w:szCs w:val="16"/>
        </w:rPr>
        <w:t>al</w:t>
      </w:r>
      <w:proofErr w:type="spellEnd"/>
      <w:r w:rsidRPr="00A07F29">
        <w:rPr>
          <w:rFonts w:ascii="Times New Roman" w:eastAsia="Calibri" w:hAnsi="Times New Roman" w:cs="Times New Roman"/>
          <w:sz w:val="16"/>
          <w:szCs w:val="16"/>
        </w:rPr>
        <w:t>.</w:t>
      </w:r>
      <w:r w:rsidR="0039753E">
        <w:rPr>
          <w:rFonts w:ascii="Times New Roman" w:eastAsia="Calibri" w:hAnsi="Times New Roman" w:cs="Times New Roman"/>
          <w:sz w:val="16"/>
          <w:szCs w:val="16"/>
        </w:rPr>
        <w:t xml:space="preserve">, </w:t>
      </w:r>
      <w:r w:rsidRPr="00A07F29">
        <w:rPr>
          <w:rFonts w:ascii="Times New Roman" w:eastAsia="Calibri" w:hAnsi="Times New Roman" w:cs="Times New Roman"/>
          <w:sz w:val="16"/>
          <w:szCs w:val="16"/>
        </w:rPr>
        <w:t>2018).</w:t>
      </w:r>
    </w:p>
    <w:p w14:paraId="6FBCE3C4" w14:textId="08366088" w:rsidR="009072CE" w:rsidRPr="00A07F29" w:rsidRDefault="009072CE" w:rsidP="00C96B50">
      <w:pPr>
        <w:spacing w:before="120" w:after="120" w:line="240" w:lineRule="auto"/>
        <w:ind w:firstLine="851"/>
        <w:jc w:val="both"/>
        <w:rPr>
          <w:rFonts w:ascii="Times New Roman" w:eastAsia="Times New Roman" w:hAnsi="Times New Roman" w:cs="Times New Roman"/>
          <w:iCs/>
          <w:sz w:val="24"/>
          <w:szCs w:val="24"/>
          <w:lang w:eastAsia="lv-LV"/>
        </w:rPr>
      </w:pPr>
      <w:r w:rsidRPr="00A07F29">
        <w:rPr>
          <w:rFonts w:ascii="Times New Roman" w:eastAsia="Times New Roman" w:hAnsi="Times New Roman" w:cs="Times New Roman"/>
          <w:sz w:val="24"/>
          <w:szCs w:val="24"/>
          <w:lang w:eastAsia="lv-LV"/>
        </w:rPr>
        <w:t xml:space="preserve">Salīdzinoši visbiežāk no </w:t>
      </w:r>
      <w:proofErr w:type="spellStart"/>
      <w:r w:rsidRPr="00A07F29">
        <w:rPr>
          <w:rFonts w:ascii="Times New Roman" w:eastAsia="Times New Roman" w:hAnsi="Times New Roman" w:cs="Times New Roman"/>
          <w:sz w:val="24"/>
          <w:szCs w:val="24"/>
          <w:lang w:eastAsia="lv-LV"/>
        </w:rPr>
        <w:t>vārpstiņgliemežiem</w:t>
      </w:r>
      <w:proofErr w:type="spellEnd"/>
      <w:r w:rsidRPr="00A07F29">
        <w:rPr>
          <w:rFonts w:ascii="Times New Roman" w:eastAsia="Times New Roman" w:hAnsi="Times New Roman" w:cs="Times New Roman"/>
          <w:sz w:val="24"/>
          <w:szCs w:val="24"/>
          <w:lang w:eastAsia="lv-LV"/>
        </w:rPr>
        <w:t xml:space="preserve"> teritorijā ir sastopamas divas sugas – graciozais </w:t>
      </w:r>
      <w:proofErr w:type="spellStart"/>
      <w:r w:rsidRPr="00A07F29">
        <w:rPr>
          <w:rFonts w:ascii="Times New Roman" w:eastAsia="Times New Roman" w:hAnsi="Times New Roman" w:cs="Times New Roman"/>
          <w:sz w:val="24"/>
          <w:szCs w:val="24"/>
          <w:lang w:eastAsia="lv-LV"/>
        </w:rPr>
        <w:t>vārpstiņgliemezis</w:t>
      </w:r>
      <w:proofErr w:type="spellEnd"/>
      <w:r w:rsidRPr="00A07F29">
        <w:rPr>
          <w:rFonts w:ascii="Times New Roman" w:eastAsia="Times New Roman" w:hAnsi="Times New Roman" w:cs="Times New Roman"/>
          <w:sz w:val="24"/>
          <w:szCs w:val="24"/>
          <w:lang w:eastAsia="lv-LV"/>
        </w:rPr>
        <w:t xml:space="preserve"> </w:t>
      </w:r>
      <w:proofErr w:type="spellStart"/>
      <w:r w:rsidRPr="00A07F29">
        <w:rPr>
          <w:rFonts w:ascii="Times New Roman" w:eastAsia="Times New Roman" w:hAnsi="Times New Roman" w:cs="Times New Roman"/>
          <w:i/>
          <w:sz w:val="24"/>
          <w:szCs w:val="24"/>
          <w:lang w:eastAsia="lv-LV"/>
        </w:rPr>
        <w:t>Ruthenica</w:t>
      </w:r>
      <w:proofErr w:type="spellEnd"/>
      <w:r w:rsidRPr="00A07F29">
        <w:rPr>
          <w:rFonts w:ascii="Times New Roman" w:eastAsia="Times New Roman" w:hAnsi="Times New Roman" w:cs="Times New Roman"/>
          <w:i/>
          <w:sz w:val="24"/>
          <w:szCs w:val="24"/>
          <w:lang w:eastAsia="lv-LV"/>
        </w:rPr>
        <w:t xml:space="preserve"> </w:t>
      </w:r>
      <w:proofErr w:type="spellStart"/>
      <w:r w:rsidRPr="00A07F29">
        <w:rPr>
          <w:rFonts w:ascii="Times New Roman" w:eastAsia="Times New Roman" w:hAnsi="Times New Roman" w:cs="Times New Roman"/>
          <w:i/>
          <w:sz w:val="24"/>
          <w:szCs w:val="24"/>
          <w:lang w:eastAsia="lv-LV"/>
        </w:rPr>
        <w:t>filograna</w:t>
      </w:r>
      <w:proofErr w:type="spellEnd"/>
      <w:r w:rsidRPr="00A07F29">
        <w:rPr>
          <w:rFonts w:ascii="Times New Roman" w:eastAsia="Times New Roman" w:hAnsi="Times New Roman" w:cs="Times New Roman"/>
          <w:sz w:val="24"/>
          <w:szCs w:val="24"/>
          <w:lang w:eastAsia="lv-LV"/>
        </w:rPr>
        <w:t xml:space="preserve"> un </w:t>
      </w:r>
      <w:proofErr w:type="spellStart"/>
      <w:r w:rsidRPr="00A07F29">
        <w:rPr>
          <w:rFonts w:ascii="Times New Roman" w:eastAsia="Times New Roman" w:hAnsi="Times New Roman" w:cs="Times New Roman"/>
          <w:sz w:val="24"/>
          <w:szCs w:val="24"/>
          <w:lang w:eastAsia="lv-LV"/>
        </w:rPr>
        <w:t>vālīšveida</w:t>
      </w:r>
      <w:proofErr w:type="spellEnd"/>
      <w:r w:rsidRPr="00A07F29">
        <w:rPr>
          <w:rFonts w:ascii="Times New Roman" w:eastAsia="Times New Roman" w:hAnsi="Times New Roman" w:cs="Times New Roman"/>
          <w:sz w:val="24"/>
          <w:szCs w:val="24"/>
          <w:lang w:eastAsia="lv-LV"/>
        </w:rPr>
        <w:t xml:space="preserve"> </w:t>
      </w:r>
      <w:proofErr w:type="spellStart"/>
      <w:r w:rsidRPr="00A07F29">
        <w:rPr>
          <w:rFonts w:ascii="Times New Roman" w:eastAsia="Times New Roman" w:hAnsi="Times New Roman" w:cs="Times New Roman"/>
          <w:sz w:val="24"/>
          <w:szCs w:val="24"/>
          <w:lang w:eastAsia="lv-LV"/>
        </w:rPr>
        <w:t>vārpstiņgliemezis</w:t>
      </w:r>
      <w:proofErr w:type="spellEnd"/>
      <w:r w:rsidRPr="00A07F29">
        <w:rPr>
          <w:rFonts w:ascii="Times New Roman" w:eastAsia="Times New Roman" w:hAnsi="Times New Roman" w:cs="Times New Roman"/>
          <w:sz w:val="24"/>
          <w:szCs w:val="24"/>
          <w:lang w:eastAsia="lv-LV"/>
        </w:rPr>
        <w:t xml:space="preserve"> </w:t>
      </w:r>
      <w:proofErr w:type="spellStart"/>
      <w:r w:rsidRPr="00A07F29">
        <w:rPr>
          <w:rFonts w:ascii="Times New Roman" w:eastAsia="Times New Roman" w:hAnsi="Times New Roman" w:cs="Times New Roman"/>
          <w:i/>
          <w:sz w:val="24"/>
          <w:szCs w:val="24"/>
          <w:lang w:eastAsia="lv-LV"/>
        </w:rPr>
        <w:t>Clausilia</w:t>
      </w:r>
      <w:proofErr w:type="spellEnd"/>
      <w:r w:rsidRPr="00A07F29">
        <w:rPr>
          <w:rFonts w:ascii="Times New Roman" w:eastAsia="Times New Roman" w:hAnsi="Times New Roman" w:cs="Times New Roman"/>
          <w:i/>
          <w:sz w:val="24"/>
          <w:szCs w:val="24"/>
          <w:lang w:eastAsia="lv-LV"/>
        </w:rPr>
        <w:t xml:space="preserve"> </w:t>
      </w:r>
      <w:proofErr w:type="spellStart"/>
      <w:r w:rsidRPr="00A07F29">
        <w:rPr>
          <w:rFonts w:ascii="Times New Roman" w:eastAsia="Times New Roman" w:hAnsi="Times New Roman" w:cs="Times New Roman"/>
          <w:i/>
          <w:sz w:val="24"/>
          <w:szCs w:val="24"/>
          <w:lang w:eastAsia="lv-LV"/>
        </w:rPr>
        <w:t>pumila</w:t>
      </w:r>
      <w:proofErr w:type="spellEnd"/>
      <w:r w:rsidRPr="00A07F29">
        <w:rPr>
          <w:rFonts w:ascii="Times New Roman" w:eastAsia="Times New Roman" w:hAnsi="Times New Roman" w:cs="Times New Roman"/>
          <w:sz w:val="24"/>
          <w:szCs w:val="24"/>
          <w:lang w:eastAsia="lv-LV"/>
        </w:rPr>
        <w:t xml:space="preserve">. Pārējās </w:t>
      </w:r>
      <w:r w:rsidRPr="00D2145C">
        <w:rPr>
          <w:rFonts w:ascii="Times New Roman" w:eastAsia="Times New Roman" w:hAnsi="Times New Roman" w:cs="Times New Roman"/>
          <w:sz w:val="24"/>
          <w:szCs w:val="24"/>
          <w:lang w:eastAsia="lv-LV"/>
        </w:rPr>
        <w:t>īpaši aizsargājamās</w:t>
      </w:r>
      <w:r w:rsidRPr="00A07F29">
        <w:rPr>
          <w:rFonts w:ascii="Times New Roman" w:eastAsia="Times New Roman" w:hAnsi="Times New Roman" w:cs="Times New Roman"/>
          <w:sz w:val="24"/>
          <w:szCs w:val="24"/>
          <w:lang w:eastAsia="lv-LV"/>
        </w:rPr>
        <w:t xml:space="preserve"> </w:t>
      </w:r>
      <w:proofErr w:type="spellStart"/>
      <w:r w:rsidRPr="00A07F29">
        <w:rPr>
          <w:rFonts w:ascii="Times New Roman" w:eastAsia="Times New Roman" w:hAnsi="Times New Roman" w:cs="Times New Roman"/>
          <w:sz w:val="24"/>
          <w:szCs w:val="24"/>
          <w:lang w:eastAsia="lv-LV"/>
        </w:rPr>
        <w:t>vārpstiņgliemežu</w:t>
      </w:r>
      <w:proofErr w:type="spellEnd"/>
      <w:r w:rsidRPr="00A07F29">
        <w:rPr>
          <w:rFonts w:ascii="Times New Roman" w:eastAsia="Times New Roman" w:hAnsi="Times New Roman" w:cs="Times New Roman"/>
          <w:sz w:val="24"/>
          <w:szCs w:val="24"/>
          <w:lang w:eastAsia="lv-LV"/>
        </w:rPr>
        <w:t xml:space="preserve"> sugas ir sastopamas reti vai ļoti reti. Diskutējama ir </w:t>
      </w:r>
      <w:proofErr w:type="spellStart"/>
      <w:r w:rsidRPr="00A07F29">
        <w:rPr>
          <w:rFonts w:ascii="Times New Roman" w:eastAsia="Times New Roman" w:hAnsi="Times New Roman" w:cs="Times New Roman"/>
          <w:sz w:val="24"/>
          <w:szCs w:val="24"/>
          <w:lang w:eastAsia="lv-LV"/>
        </w:rPr>
        <w:t>skrajribu</w:t>
      </w:r>
      <w:proofErr w:type="spellEnd"/>
      <w:r w:rsidRPr="00A07F29">
        <w:rPr>
          <w:rFonts w:ascii="Times New Roman" w:eastAsia="Times New Roman" w:hAnsi="Times New Roman" w:cs="Times New Roman"/>
          <w:sz w:val="24"/>
          <w:szCs w:val="24"/>
          <w:lang w:eastAsia="lv-LV"/>
        </w:rPr>
        <w:t xml:space="preserve"> </w:t>
      </w:r>
      <w:proofErr w:type="spellStart"/>
      <w:r w:rsidRPr="00A07F29">
        <w:rPr>
          <w:rFonts w:ascii="Times New Roman" w:eastAsia="Times New Roman" w:hAnsi="Times New Roman" w:cs="Times New Roman"/>
          <w:sz w:val="24"/>
          <w:szCs w:val="24"/>
          <w:lang w:eastAsia="lv-LV"/>
        </w:rPr>
        <w:t>vārpstiņgliemeža</w:t>
      </w:r>
      <w:proofErr w:type="spellEnd"/>
      <w:r w:rsidRPr="00A07F29">
        <w:rPr>
          <w:rFonts w:ascii="Times New Roman" w:eastAsia="Times New Roman" w:hAnsi="Times New Roman" w:cs="Times New Roman"/>
          <w:sz w:val="24"/>
          <w:szCs w:val="24"/>
          <w:lang w:eastAsia="lv-LV"/>
        </w:rPr>
        <w:t xml:space="preserve"> </w:t>
      </w:r>
      <w:proofErr w:type="spellStart"/>
      <w:r w:rsidRPr="00A07F29">
        <w:rPr>
          <w:rFonts w:ascii="Times New Roman" w:eastAsia="Times New Roman" w:hAnsi="Times New Roman" w:cs="Times New Roman"/>
          <w:i/>
          <w:sz w:val="24"/>
          <w:szCs w:val="24"/>
          <w:lang w:eastAsia="lv-LV"/>
        </w:rPr>
        <w:t>Macrogastra</w:t>
      </w:r>
      <w:proofErr w:type="spellEnd"/>
      <w:r w:rsidRPr="00A07F29">
        <w:rPr>
          <w:rFonts w:ascii="Times New Roman" w:eastAsia="Times New Roman" w:hAnsi="Times New Roman" w:cs="Times New Roman"/>
          <w:i/>
          <w:sz w:val="24"/>
          <w:szCs w:val="24"/>
          <w:lang w:eastAsia="lv-LV"/>
        </w:rPr>
        <w:t xml:space="preserve"> </w:t>
      </w:r>
      <w:proofErr w:type="spellStart"/>
      <w:r w:rsidRPr="00A07F29">
        <w:rPr>
          <w:rFonts w:ascii="Times New Roman" w:eastAsia="Times New Roman" w:hAnsi="Times New Roman" w:cs="Times New Roman"/>
          <w:i/>
          <w:sz w:val="24"/>
          <w:szCs w:val="24"/>
          <w:lang w:eastAsia="lv-LV"/>
        </w:rPr>
        <w:t>borealis</w:t>
      </w:r>
      <w:proofErr w:type="spellEnd"/>
      <w:r w:rsidRPr="00A07F29">
        <w:rPr>
          <w:rFonts w:ascii="Times New Roman" w:eastAsia="Times New Roman" w:hAnsi="Times New Roman" w:cs="Times New Roman"/>
          <w:sz w:val="24"/>
          <w:szCs w:val="24"/>
          <w:lang w:eastAsia="lv-LV"/>
        </w:rPr>
        <w:t xml:space="preserve"> sastopamība teritorijā. Ziņas par šo sugu atrodamas </w:t>
      </w:r>
      <w:r w:rsidR="00D2145C" w:rsidRPr="00D2145C">
        <w:rPr>
          <w:rFonts w:ascii="Times New Roman" w:eastAsia="Times New Roman" w:hAnsi="Times New Roman" w:cs="Times New Roman"/>
          <w:sz w:val="24"/>
          <w:szCs w:val="24"/>
          <w:lang w:eastAsia="lv-LV"/>
        </w:rPr>
        <w:t>DDPS</w:t>
      </w:r>
      <w:r w:rsidRPr="00D2145C">
        <w:rPr>
          <w:rFonts w:ascii="Times New Roman" w:eastAsia="Times New Roman" w:hAnsi="Times New Roman" w:cs="Times New Roman"/>
          <w:sz w:val="24"/>
          <w:szCs w:val="24"/>
          <w:lang w:eastAsia="lv-LV"/>
        </w:rPr>
        <w:t xml:space="preserve"> “Ozols”.</w:t>
      </w:r>
      <w:r w:rsidRPr="00A07F29">
        <w:rPr>
          <w:rFonts w:ascii="Times New Roman" w:eastAsia="Times New Roman" w:hAnsi="Times New Roman" w:cs="Times New Roman"/>
          <w:sz w:val="24"/>
          <w:szCs w:val="24"/>
          <w:lang w:eastAsia="lv-LV"/>
        </w:rPr>
        <w:t xml:space="preserve"> Ziņotājs ir anonīms, tāpēc nav iespējams pārbaudīt, vai suga ir noteikta pareizi. Ļoti bieži ir gadījumi, kad </w:t>
      </w:r>
      <w:proofErr w:type="spellStart"/>
      <w:r w:rsidRPr="00A07F29">
        <w:rPr>
          <w:rFonts w:ascii="Times New Roman" w:eastAsia="Times New Roman" w:hAnsi="Times New Roman" w:cs="Times New Roman"/>
          <w:sz w:val="24"/>
          <w:szCs w:val="24"/>
          <w:lang w:eastAsia="lv-LV"/>
        </w:rPr>
        <w:t>skrajribu</w:t>
      </w:r>
      <w:proofErr w:type="spellEnd"/>
      <w:r w:rsidRPr="00A07F29">
        <w:rPr>
          <w:rFonts w:ascii="Times New Roman" w:eastAsia="Times New Roman" w:hAnsi="Times New Roman" w:cs="Times New Roman"/>
          <w:sz w:val="24"/>
          <w:szCs w:val="24"/>
          <w:lang w:eastAsia="lv-LV"/>
        </w:rPr>
        <w:t xml:space="preserve"> </w:t>
      </w:r>
      <w:proofErr w:type="spellStart"/>
      <w:r w:rsidRPr="00A07F29">
        <w:rPr>
          <w:rFonts w:ascii="Times New Roman" w:eastAsia="Times New Roman" w:hAnsi="Times New Roman" w:cs="Times New Roman"/>
          <w:sz w:val="24"/>
          <w:szCs w:val="24"/>
          <w:lang w:eastAsia="lv-LV"/>
        </w:rPr>
        <w:t>vārpstiņgliemezi</w:t>
      </w:r>
      <w:proofErr w:type="spellEnd"/>
      <w:r w:rsidRPr="00A07F29">
        <w:rPr>
          <w:rFonts w:ascii="Times New Roman" w:eastAsia="Times New Roman" w:hAnsi="Times New Roman" w:cs="Times New Roman"/>
          <w:sz w:val="24"/>
          <w:szCs w:val="24"/>
          <w:lang w:eastAsia="lv-LV"/>
        </w:rPr>
        <w:t xml:space="preserve"> sajauc ar krokaino </w:t>
      </w:r>
      <w:proofErr w:type="spellStart"/>
      <w:r w:rsidRPr="00A07F29">
        <w:rPr>
          <w:rFonts w:ascii="Times New Roman" w:eastAsia="Times New Roman" w:hAnsi="Times New Roman" w:cs="Times New Roman"/>
          <w:sz w:val="24"/>
          <w:szCs w:val="24"/>
          <w:lang w:eastAsia="lv-LV"/>
        </w:rPr>
        <w:t>vārpstiņgliemezi</w:t>
      </w:r>
      <w:proofErr w:type="spellEnd"/>
      <w:r w:rsidRPr="00A07F29">
        <w:rPr>
          <w:rFonts w:ascii="Times New Roman" w:eastAsia="Times New Roman" w:hAnsi="Times New Roman" w:cs="Times New Roman"/>
          <w:sz w:val="24"/>
          <w:szCs w:val="24"/>
          <w:lang w:eastAsia="lv-LV"/>
        </w:rPr>
        <w:t xml:space="preserve"> </w:t>
      </w:r>
      <w:r w:rsidRPr="00A07F29">
        <w:rPr>
          <w:rFonts w:ascii="Times New Roman" w:eastAsia="Times New Roman" w:hAnsi="Times New Roman" w:cs="Times New Roman"/>
          <w:i/>
          <w:sz w:val="24"/>
          <w:szCs w:val="24"/>
          <w:lang w:eastAsia="lv-LV"/>
        </w:rPr>
        <w:t xml:space="preserve">M. </w:t>
      </w:r>
      <w:proofErr w:type="spellStart"/>
      <w:r w:rsidRPr="00A07F29">
        <w:rPr>
          <w:rFonts w:ascii="Times New Roman" w:eastAsia="Times New Roman" w:hAnsi="Times New Roman" w:cs="Times New Roman"/>
          <w:i/>
          <w:sz w:val="24"/>
          <w:szCs w:val="24"/>
          <w:lang w:eastAsia="lv-LV"/>
        </w:rPr>
        <w:t>plicatula</w:t>
      </w:r>
      <w:proofErr w:type="spellEnd"/>
      <w:r w:rsidRPr="00A07F29">
        <w:rPr>
          <w:rFonts w:ascii="Times New Roman" w:eastAsia="Times New Roman" w:hAnsi="Times New Roman" w:cs="Times New Roman"/>
          <w:sz w:val="24"/>
          <w:szCs w:val="24"/>
          <w:lang w:eastAsia="lv-LV"/>
        </w:rPr>
        <w:t xml:space="preserve">. Vitālas </w:t>
      </w:r>
      <w:proofErr w:type="spellStart"/>
      <w:r w:rsidRPr="00A07F29">
        <w:rPr>
          <w:rFonts w:ascii="Times New Roman" w:eastAsia="Times New Roman" w:hAnsi="Times New Roman" w:cs="Times New Roman"/>
          <w:sz w:val="24"/>
          <w:szCs w:val="24"/>
          <w:lang w:eastAsia="lv-LV"/>
        </w:rPr>
        <w:t>vārpstiņgliemežu</w:t>
      </w:r>
      <w:proofErr w:type="spellEnd"/>
      <w:r w:rsidRPr="00A07F29">
        <w:rPr>
          <w:rFonts w:ascii="Times New Roman" w:eastAsia="Times New Roman" w:hAnsi="Times New Roman" w:cs="Times New Roman"/>
          <w:sz w:val="24"/>
          <w:szCs w:val="24"/>
          <w:lang w:eastAsia="lv-LV"/>
        </w:rPr>
        <w:t xml:space="preserve"> populācijas ir Naujenes gravā un Lazdukalna gravā, kur koncentrējas visvairāk ar meža biotopiem saistīto </w:t>
      </w:r>
      <w:r w:rsidRPr="00D2145C">
        <w:rPr>
          <w:rFonts w:ascii="Times New Roman" w:eastAsia="Times New Roman" w:hAnsi="Times New Roman" w:cs="Times New Roman"/>
          <w:sz w:val="24"/>
          <w:szCs w:val="24"/>
          <w:lang w:eastAsia="lv-LV"/>
        </w:rPr>
        <w:t>īpaši aizsargājamo</w:t>
      </w:r>
      <w:r w:rsidRPr="00A07F29">
        <w:rPr>
          <w:rFonts w:ascii="Times New Roman" w:eastAsia="Times New Roman" w:hAnsi="Times New Roman" w:cs="Times New Roman"/>
          <w:sz w:val="24"/>
          <w:szCs w:val="24"/>
          <w:lang w:eastAsia="lv-LV"/>
        </w:rPr>
        <w:t xml:space="preserve"> gliemežu sugu, tajā skaitā mazais </w:t>
      </w:r>
      <w:proofErr w:type="spellStart"/>
      <w:r w:rsidRPr="00A07F29">
        <w:rPr>
          <w:rFonts w:ascii="Times New Roman" w:eastAsia="Times New Roman" w:hAnsi="Times New Roman" w:cs="Times New Roman"/>
          <w:sz w:val="24"/>
          <w:szCs w:val="24"/>
          <w:lang w:eastAsia="lv-LV"/>
        </w:rPr>
        <w:t>torņgliemezis</w:t>
      </w:r>
      <w:proofErr w:type="spellEnd"/>
      <w:r w:rsidRPr="00A07F29">
        <w:rPr>
          <w:rFonts w:ascii="Times New Roman" w:eastAsia="Times New Roman" w:hAnsi="Times New Roman" w:cs="Times New Roman"/>
          <w:sz w:val="24"/>
          <w:szCs w:val="24"/>
          <w:lang w:eastAsia="lv-LV"/>
        </w:rPr>
        <w:t xml:space="preserve"> </w:t>
      </w:r>
      <w:proofErr w:type="spellStart"/>
      <w:r w:rsidRPr="00A07F29">
        <w:rPr>
          <w:rFonts w:ascii="Times New Roman" w:eastAsia="Times New Roman" w:hAnsi="Times New Roman" w:cs="Times New Roman"/>
          <w:i/>
          <w:sz w:val="24"/>
          <w:szCs w:val="24"/>
          <w:lang w:eastAsia="lv-LV"/>
        </w:rPr>
        <w:t>Merdigera</w:t>
      </w:r>
      <w:proofErr w:type="spellEnd"/>
      <w:r w:rsidRPr="00A07F29">
        <w:rPr>
          <w:rFonts w:ascii="Times New Roman" w:eastAsia="Times New Roman" w:hAnsi="Times New Roman" w:cs="Times New Roman"/>
          <w:i/>
          <w:sz w:val="24"/>
          <w:szCs w:val="24"/>
          <w:lang w:eastAsia="lv-LV"/>
        </w:rPr>
        <w:t xml:space="preserve"> </w:t>
      </w:r>
      <w:proofErr w:type="spellStart"/>
      <w:r w:rsidRPr="00A07F29">
        <w:rPr>
          <w:rFonts w:ascii="Times New Roman" w:eastAsia="Times New Roman" w:hAnsi="Times New Roman" w:cs="Times New Roman"/>
          <w:i/>
          <w:sz w:val="24"/>
          <w:szCs w:val="24"/>
          <w:lang w:eastAsia="lv-LV"/>
        </w:rPr>
        <w:t>obscura</w:t>
      </w:r>
      <w:proofErr w:type="spellEnd"/>
      <w:r w:rsidRPr="00A07F29">
        <w:rPr>
          <w:rFonts w:ascii="Times New Roman" w:eastAsia="Times New Roman" w:hAnsi="Times New Roman" w:cs="Times New Roman"/>
          <w:sz w:val="24"/>
          <w:szCs w:val="24"/>
          <w:lang w:eastAsia="lv-LV"/>
        </w:rPr>
        <w:t xml:space="preserve"> un </w:t>
      </w:r>
      <w:proofErr w:type="spellStart"/>
      <w:r w:rsidRPr="00A07F29">
        <w:rPr>
          <w:rFonts w:ascii="Times New Roman" w:eastAsia="Times New Roman" w:hAnsi="Times New Roman" w:cs="Times New Roman"/>
          <w:sz w:val="24"/>
          <w:szCs w:val="24"/>
          <w:lang w:eastAsia="lv-LV"/>
        </w:rPr>
        <w:t>liellūpas</w:t>
      </w:r>
      <w:proofErr w:type="spellEnd"/>
      <w:r w:rsidRPr="00A07F29">
        <w:rPr>
          <w:rFonts w:ascii="Times New Roman" w:eastAsia="Times New Roman" w:hAnsi="Times New Roman" w:cs="Times New Roman"/>
          <w:sz w:val="24"/>
          <w:szCs w:val="24"/>
          <w:lang w:eastAsia="lv-LV"/>
        </w:rPr>
        <w:t xml:space="preserve"> vīngliemezis </w:t>
      </w:r>
      <w:proofErr w:type="spellStart"/>
      <w:r w:rsidRPr="00A07F29">
        <w:rPr>
          <w:rFonts w:ascii="Times New Roman" w:eastAsia="Times New Roman" w:hAnsi="Times New Roman" w:cs="Times New Roman"/>
          <w:i/>
          <w:iCs/>
          <w:sz w:val="24"/>
          <w:szCs w:val="24"/>
          <w:lang w:eastAsia="lv-LV"/>
        </w:rPr>
        <w:t>Isognomostoma</w:t>
      </w:r>
      <w:proofErr w:type="spellEnd"/>
      <w:r w:rsidRPr="00A07F29">
        <w:rPr>
          <w:rFonts w:ascii="Times New Roman" w:eastAsia="Times New Roman" w:hAnsi="Times New Roman" w:cs="Times New Roman"/>
          <w:i/>
          <w:iCs/>
          <w:sz w:val="24"/>
          <w:szCs w:val="24"/>
          <w:lang w:eastAsia="lv-LV"/>
        </w:rPr>
        <w:t xml:space="preserve"> </w:t>
      </w:r>
      <w:proofErr w:type="spellStart"/>
      <w:r w:rsidRPr="00A07F29">
        <w:rPr>
          <w:rFonts w:ascii="Times New Roman" w:eastAsia="Times New Roman" w:hAnsi="Times New Roman" w:cs="Times New Roman"/>
          <w:i/>
          <w:iCs/>
          <w:sz w:val="24"/>
          <w:szCs w:val="24"/>
          <w:lang w:eastAsia="lv-LV"/>
        </w:rPr>
        <w:t>isognomostomus</w:t>
      </w:r>
      <w:proofErr w:type="spellEnd"/>
      <w:r w:rsidRPr="00A07F29">
        <w:rPr>
          <w:rFonts w:ascii="Times New Roman" w:eastAsia="Times New Roman" w:hAnsi="Times New Roman" w:cs="Times New Roman"/>
          <w:iCs/>
          <w:sz w:val="24"/>
          <w:szCs w:val="24"/>
          <w:lang w:eastAsia="lv-LV"/>
        </w:rPr>
        <w:t xml:space="preserve">. Mazā </w:t>
      </w:r>
      <w:proofErr w:type="spellStart"/>
      <w:r w:rsidRPr="00A07F29">
        <w:rPr>
          <w:rFonts w:ascii="Times New Roman" w:eastAsia="Times New Roman" w:hAnsi="Times New Roman" w:cs="Times New Roman"/>
          <w:iCs/>
          <w:sz w:val="24"/>
          <w:szCs w:val="24"/>
          <w:lang w:eastAsia="lv-LV"/>
        </w:rPr>
        <w:t>torņgliemeža</w:t>
      </w:r>
      <w:proofErr w:type="spellEnd"/>
      <w:r w:rsidRPr="00A07F29">
        <w:rPr>
          <w:rFonts w:ascii="Times New Roman" w:eastAsia="Times New Roman" w:hAnsi="Times New Roman" w:cs="Times New Roman"/>
          <w:iCs/>
          <w:sz w:val="24"/>
          <w:szCs w:val="24"/>
          <w:lang w:eastAsia="lv-LV"/>
        </w:rPr>
        <w:t xml:space="preserve"> </w:t>
      </w:r>
      <w:proofErr w:type="spellStart"/>
      <w:r w:rsidRPr="00A07F29">
        <w:rPr>
          <w:rFonts w:ascii="Times New Roman" w:eastAsia="Times New Roman" w:hAnsi="Times New Roman" w:cs="Times New Roman"/>
          <w:iCs/>
          <w:sz w:val="24"/>
          <w:szCs w:val="24"/>
          <w:lang w:eastAsia="lv-LV"/>
        </w:rPr>
        <w:t>popoulācija</w:t>
      </w:r>
      <w:proofErr w:type="spellEnd"/>
      <w:r w:rsidRPr="00A07F29">
        <w:rPr>
          <w:rFonts w:ascii="Times New Roman" w:eastAsia="Times New Roman" w:hAnsi="Times New Roman" w:cs="Times New Roman"/>
          <w:iCs/>
          <w:sz w:val="24"/>
          <w:szCs w:val="24"/>
          <w:lang w:eastAsia="lv-LV"/>
        </w:rPr>
        <w:t xml:space="preserve"> teritorijā ir ļoti maza un sastopamība ir ļoti reta. </w:t>
      </w:r>
      <w:proofErr w:type="spellStart"/>
      <w:r w:rsidRPr="00A07F29">
        <w:rPr>
          <w:rFonts w:ascii="Times New Roman" w:eastAsia="Times New Roman" w:hAnsi="Times New Roman" w:cs="Times New Roman"/>
          <w:iCs/>
          <w:sz w:val="24"/>
          <w:szCs w:val="24"/>
          <w:lang w:eastAsia="lv-LV"/>
        </w:rPr>
        <w:t>Liellūpas</w:t>
      </w:r>
      <w:proofErr w:type="spellEnd"/>
      <w:r w:rsidRPr="00A07F29">
        <w:rPr>
          <w:rFonts w:ascii="Times New Roman" w:eastAsia="Times New Roman" w:hAnsi="Times New Roman" w:cs="Times New Roman"/>
          <w:iCs/>
          <w:sz w:val="24"/>
          <w:szCs w:val="24"/>
          <w:lang w:eastAsia="lv-LV"/>
        </w:rPr>
        <w:t xml:space="preserve"> vīngliemeža populācijas ir vitālas un stabilas. Lielais </w:t>
      </w:r>
      <w:proofErr w:type="spellStart"/>
      <w:r w:rsidRPr="00A07F29">
        <w:rPr>
          <w:rFonts w:ascii="Times New Roman" w:eastAsia="Times New Roman" w:hAnsi="Times New Roman" w:cs="Times New Roman"/>
          <w:iCs/>
          <w:sz w:val="24"/>
          <w:szCs w:val="24"/>
          <w:lang w:eastAsia="lv-LV"/>
        </w:rPr>
        <w:t>gludgliemezis</w:t>
      </w:r>
      <w:proofErr w:type="spellEnd"/>
      <w:r w:rsidRPr="00A07F29">
        <w:rPr>
          <w:rFonts w:ascii="Times New Roman" w:eastAsia="Times New Roman" w:hAnsi="Times New Roman" w:cs="Times New Roman"/>
          <w:iCs/>
          <w:sz w:val="24"/>
          <w:szCs w:val="24"/>
          <w:lang w:eastAsia="lv-LV"/>
        </w:rPr>
        <w:t xml:space="preserve"> </w:t>
      </w:r>
      <w:proofErr w:type="spellStart"/>
      <w:r w:rsidRPr="00A07F29">
        <w:rPr>
          <w:rFonts w:ascii="Times New Roman" w:eastAsia="Times New Roman" w:hAnsi="Times New Roman" w:cs="Times New Roman"/>
          <w:i/>
          <w:iCs/>
          <w:sz w:val="24"/>
          <w:szCs w:val="24"/>
          <w:lang w:eastAsia="lv-LV"/>
        </w:rPr>
        <w:t>Cochlicopa</w:t>
      </w:r>
      <w:proofErr w:type="spellEnd"/>
      <w:r w:rsidRPr="00A07F29">
        <w:rPr>
          <w:rFonts w:ascii="Times New Roman" w:eastAsia="Times New Roman" w:hAnsi="Times New Roman" w:cs="Times New Roman"/>
          <w:i/>
          <w:iCs/>
          <w:sz w:val="24"/>
          <w:szCs w:val="24"/>
          <w:lang w:eastAsia="lv-LV"/>
        </w:rPr>
        <w:t xml:space="preserve"> </w:t>
      </w:r>
      <w:proofErr w:type="spellStart"/>
      <w:r w:rsidRPr="00A07F29">
        <w:rPr>
          <w:rFonts w:ascii="Times New Roman" w:eastAsia="Times New Roman" w:hAnsi="Times New Roman" w:cs="Times New Roman"/>
          <w:i/>
          <w:iCs/>
          <w:sz w:val="24"/>
          <w:szCs w:val="24"/>
          <w:lang w:eastAsia="lv-LV"/>
        </w:rPr>
        <w:t>nitens</w:t>
      </w:r>
      <w:proofErr w:type="spellEnd"/>
      <w:r w:rsidR="00972CC9">
        <w:rPr>
          <w:rFonts w:ascii="Times New Roman" w:eastAsia="Times New Roman" w:hAnsi="Times New Roman" w:cs="Times New Roman"/>
          <w:iCs/>
          <w:sz w:val="24"/>
          <w:szCs w:val="24"/>
          <w:lang w:eastAsia="lv-LV"/>
        </w:rPr>
        <w:t xml:space="preserve"> – </w:t>
      </w:r>
      <w:r w:rsidRPr="00A07F29">
        <w:rPr>
          <w:rFonts w:ascii="Times New Roman" w:eastAsia="Times New Roman" w:hAnsi="Times New Roman" w:cs="Times New Roman"/>
          <w:iCs/>
          <w:sz w:val="24"/>
          <w:szCs w:val="24"/>
          <w:lang w:eastAsia="lv-LV"/>
        </w:rPr>
        <w:t xml:space="preserve">teritorijā suga sastopama salīdzinoši reti, populācijas ir nelielas. </w:t>
      </w:r>
    </w:p>
    <w:p w14:paraId="3C7ADA3A" w14:textId="77777777" w:rsidR="009072CE" w:rsidRPr="00A07F29" w:rsidRDefault="009072CE" w:rsidP="00C96B50">
      <w:pPr>
        <w:spacing w:after="120" w:line="240" w:lineRule="auto"/>
        <w:ind w:firstLine="851"/>
        <w:jc w:val="both"/>
        <w:rPr>
          <w:rFonts w:ascii="Times New Roman" w:eastAsia="Times New Roman" w:hAnsi="Times New Roman" w:cs="Times New Roman"/>
          <w:iCs/>
          <w:sz w:val="24"/>
          <w:szCs w:val="24"/>
          <w:lang w:eastAsia="lv-LV"/>
        </w:rPr>
      </w:pPr>
      <w:r w:rsidRPr="00A07F29">
        <w:rPr>
          <w:rFonts w:ascii="Times New Roman" w:eastAsia="Times New Roman" w:hAnsi="Times New Roman" w:cs="Times New Roman"/>
          <w:iCs/>
          <w:sz w:val="24"/>
          <w:szCs w:val="24"/>
          <w:lang w:eastAsia="lv-LV"/>
        </w:rPr>
        <w:t xml:space="preserve">Biezās </w:t>
      </w:r>
      <w:proofErr w:type="spellStart"/>
      <w:r w:rsidRPr="00A07F29">
        <w:rPr>
          <w:rFonts w:ascii="Times New Roman" w:eastAsia="Times New Roman" w:hAnsi="Times New Roman" w:cs="Times New Roman"/>
          <w:iCs/>
          <w:sz w:val="24"/>
          <w:szCs w:val="24"/>
          <w:lang w:eastAsia="lv-LV"/>
        </w:rPr>
        <w:t>perlamutrenes</w:t>
      </w:r>
      <w:proofErr w:type="spellEnd"/>
      <w:r w:rsidRPr="00A07F29">
        <w:rPr>
          <w:rFonts w:ascii="Times New Roman" w:eastAsia="Times New Roman" w:hAnsi="Times New Roman" w:cs="Times New Roman"/>
          <w:iCs/>
          <w:sz w:val="24"/>
          <w:szCs w:val="24"/>
          <w:lang w:eastAsia="lv-LV"/>
        </w:rPr>
        <w:t xml:space="preserve"> populācija AAA “Augšdaugava” ir stabila un vitāla. </w:t>
      </w:r>
      <w:proofErr w:type="spellStart"/>
      <w:r w:rsidRPr="00A07F29">
        <w:rPr>
          <w:rFonts w:ascii="Times New Roman" w:eastAsia="Times New Roman" w:hAnsi="Times New Roman" w:cs="Times New Roman"/>
          <w:iCs/>
          <w:sz w:val="24"/>
          <w:szCs w:val="24"/>
          <w:lang w:eastAsia="lv-LV"/>
        </w:rPr>
        <w:t>Daudzskaitlīgas</w:t>
      </w:r>
      <w:proofErr w:type="spellEnd"/>
      <w:r w:rsidRPr="00A07F29">
        <w:rPr>
          <w:rFonts w:ascii="Times New Roman" w:eastAsia="Times New Roman" w:hAnsi="Times New Roman" w:cs="Times New Roman"/>
          <w:iCs/>
          <w:sz w:val="24"/>
          <w:szCs w:val="24"/>
          <w:lang w:eastAsia="lv-LV"/>
        </w:rPr>
        <w:t xml:space="preserve"> ir </w:t>
      </w:r>
      <w:proofErr w:type="spellStart"/>
      <w:r w:rsidRPr="00A07F29">
        <w:rPr>
          <w:rFonts w:ascii="Times New Roman" w:eastAsia="Times New Roman" w:hAnsi="Times New Roman" w:cs="Times New Roman"/>
          <w:i/>
          <w:iCs/>
          <w:sz w:val="24"/>
          <w:szCs w:val="24"/>
          <w:lang w:eastAsia="lv-LV"/>
        </w:rPr>
        <w:t>Ancylus</w:t>
      </w:r>
      <w:proofErr w:type="spellEnd"/>
      <w:r w:rsidRPr="00A07F29">
        <w:rPr>
          <w:rFonts w:ascii="Times New Roman" w:eastAsia="Times New Roman" w:hAnsi="Times New Roman" w:cs="Times New Roman"/>
          <w:i/>
          <w:iCs/>
          <w:sz w:val="24"/>
          <w:szCs w:val="24"/>
          <w:lang w:eastAsia="lv-LV"/>
        </w:rPr>
        <w:t xml:space="preserve"> </w:t>
      </w:r>
      <w:proofErr w:type="spellStart"/>
      <w:r w:rsidRPr="00A07F29">
        <w:rPr>
          <w:rFonts w:ascii="Times New Roman" w:eastAsia="Times New Roman" w:hAnsi="Times New Roman" w:cs="Times New Roman"/>
          <w:i/>
          <w:iCs/>
          <w:sz w:val="24"/>
          <w:szCs w:val="24"/>
          <w:lang w:eastAsia="lv-LV"/>
        </w:rPr>
        <w:t>fluviatilis</w:t>
      </w:r>
      <w:proofErr w:type="spellEnd"/>
      <w:r w:rsidRPr="00A07F29">
        <w:rPr>
          <w:rFonts w:ascii="Times New Roman" w:eastAsia="Times New Roman" w:hAnsi="Times New Roman" w:cs="Times New Roman"/>
          <w:iCs/>
          <w:sz w:val="24"/>
          <w:szCs w:val="24"/>
          <w:lang w:eastAsia="lv-LV"/>
        </w:rPr>
        <w:t xml:space="preserve"> un </w:t>
      </w:r>
      <w:proofErr w:type="spellStart"/>
      <w:r w:rsidRPr="00A07F29">
        <w:rPr>
          <w:rFonts w:ascii="Times New Roman" w:eastAsia="Times New Roman" w:hAnsi="Times New Roman" w:cs="Times New Roman"/>
          <w:i/>
          <w:iCs/>
          <w:sz w:val="24"/>
          <w:szCs w:val="24"/>
          <w:lang w:eastAsia="lv-LV"/>
        </w:rPr>
        <w:t>Theodoxus</w:t>
      </w:r>
      <w:proofErr w:type="spellEnd"/>
      <w:r w:rsidRPr="00A07F29">
        <w:rPr>
          <w:rFonts w:ascii="Times New Roman" w:eastAsia="Times New Roman" w:hAnsi="Times New Roman" w:cs="Times New Roman"/>
          <w:i/>
          <w:iCs/>
          <w:sz w:val="24"/>
          <w:szCs w:val="24"/>
          <w:lang w:eastAsia="lv-LV"/>
        </w:rPr>
        <w:t xml:space="preserve"> </w:t>
      </w:r>
      <w:proofErr w:type="spellStart"/>
      <w:r w:rsidRPr="00A07F29">
        <w:rPr>
          <w:rFonts w:ascii="Times New Roman" w:eastAsia="Times New Roman" w:hAnsi="Times New Roman" w:cs="Times New Roman"/>
          <w:i/>
          <w:iCs/>
          <w:sz w:val="24"/>
          <w:szCs w:val="24"/>
          <w:lang w:eastAsia="lv-LV"/>
        </w:rPr>
        <w:t>fluviatilis</w:t>
      </w:r>
      <w:proofErr w:type="spellEnd"/>
      <w:r w:rsidRPr="00A07F29">
        <w:rPr>
          <w:rFonts w:ascii="Times New Roman" w:eastAsia="Times New Roman" w:hAnsi="Times New Roman" w:cs="Times New Roman"/>
          <w:iCs/>
          <w:sz w:val="24"/>
          <w:szCs w:val="24"/>
          <w:lang w:eastAsia="lv-LV"/>
        </w:rPr>
        <w:t xml:space="preserve"> populācijas.</w:t>
      </w:r>
    </w:p>
    <w:p w14:paraId="5012BF02" w14:textId="394BEBF1" w:rsidR="009072CE" w:rsidRPr="00A07F29" w:rsidRDefault="009072CE" w:rsidP="00C96B50">
      <w:pPr>
        <w:spacing w:after="120" w:line="240" w:lineRule="auto"/>
        <w:ind w:firstLine="851"/>
        <w:jc w:val="both"/>
        <w:rPr>
          <w:rFonts w:ascii="Times New Roman" w:eastAsia="Times New Roman" w:hAnsi="Times New Roman" w:cs="Times New Roman"/>
          <w:iCs/>
          <w:sz w:val="24"/>
          <w:szCs w:val="24"/>
          <w:lang w:eastAsia="lv-LV"/>
        </w:rPr>
      </w:pPr>
      <w:r w:rsidRPr="00A07F29">
        <w:rPr>
          <w:rFonts w:ascii="Times New Roman" w:eastAsia="Times New Roman" w:hAnsi="Times New Roman" w:cs="Times New Roman"/>
          <w:sz w:val="24"/>
          <w:szCs w:val="24"/>
          <w:lang w:eastAsia="lv-LV"/>
        </w:rPr>
        <w:lastRenderedPageBreak/>
        <w:t>Direktīvu pielikumos ierakstīto gliemju sugu populāciju lielums</w:t>
      </w:r>
      <w:r w:rsidRPr="00A07F29">
        <w:rPr>
          <w:rFonts w:ascii="Times New Roman" w:eastAsia="Times New Roman" w:hAnsi="Times New Roman" w:cs="Times New Roman"/>
          <w:iCs/>
          <w:sz w:val="24"/>
          <w:szCs w:val="24"/>
          <w:lang w:eastAsia="lv-LV"/>
        </w:rPr>
        <w:t xml:space="preserve"> ir vērtēts 1</w:t>
      </w:r>
      <w:r w:rsidR="00972CC9">
        <w:rPr>
          <w:rFonts w:ascii="Times New Roman" w:eastAsia="Times New Roman" w:hAnsi="Times New Roman" w:cs="Times New Roman"/>
          <w:iCs/>
          <w:sz w:val="24"/>
          <w:szCs w:val="24"/>
          <w:lang w:eastAsia="lv-LV"/>
        </w:rPr>
        <w:t> </w:t>
      </w:r>
      <w:r w:rsidRPr="00A07F29">
        <w:rPr>
          <w:rFonts w:ascii="Times New Roman" w:eastAsia="Times New Roman" w:hAnsi="Times New Roman" w:cs="Times New Roman"/>
          <w:iCs/>
          <w:sz w:val="24"/>
          <w:szCs w:val="24"/>
          <w:lang w:eastAsia="lv-LV"/>
        </w:rPr>
        <w:t>x</w:t>
      </w:r>
      <w:r w:rsidR="00972CC9">
        <w:rPr>
          <w:rFonts w:ascii="Times New Roman" w:eastAsia="Times New Roman" w:hAnsi="Times New Roman" w:cs="Times New Roman"/>
          <w:iCs/>
          <w:sz w:val="24"/>
          <w:szCs w:val="24"/>
          <w:lang w:eastAsia="lv-LV"/>
        </w:rPr>
        <w:t> </w:t>
      </w:r>
      <w:r w:rsidRPr="00A07F29">
        <w:rPr>
          <w:rFonts w:ascii="Times New Roman" w:eastAsia="Times New Roman" w:hAnsi="Times New Roman" w:cs="Times New Roman"/>
          <w:iCs/>
          <w:sz w:val="24"/>
          <w:szCs w:val="24"/>
          <w:lang w:eastAsia="lv-LV"/>
        </w:rPr>
        <w:t>1</w:t>
      </w:r>
      <w:r w:rsidR="00972CC9">
        <w:rPr>
          <w:rFonts w:ascii="Times New Roman" w:eastAsia="Times New Roman" w:hAnsi="Times New Roman" w:cs="Times New Roman"/>
          <w:iCs/>
          <w:sz w:val="24"/>
          <w:szCs w:val="24"/>
          <w:lang w:eastAsia="lv-LV"/>
        </w:rPr>
        <w:t> </w:t>
      </w:r>
      <w:r w:rsidRPr="00A07F29">
        <w:rPr>
          <w:rFonts w:ascii="Times New Roman" w:eastAsia="Times New Roman" w:hAnsi="Times New Roman" w:cs="Times New Roman"/>
          <w:iCs/>
          <w:sz w:val="24"/>
          <w:szCs w:val="24"/>
          <w:lang w:eastAsia="lv-LV"/>
        </w:rPr>
        <w:t>km tīklā, kā attiecībā uz gliemjiem norādīts</w:t>
      </w:r>
      <w:r w:rsidRPr="00A07F29">
        <w:rPr>
          <w:rFonts w:ascii="Times New Roman" w:eastAsia="Times New Roman" w:hAnsi="Times New Roman" w:cs="Times New Roman"/>
          <w:sz w:val="24"/>
          <w:szCs w:val="24"/>
          <w:lang w:eastAsia="lv-LV"/>
        </w:rPr>
        <w:t xml:space="preserve"> ziņojuma </w:t>
      </w:r>
      <w:proofErr w:type="spellStart"/>
      <w:r w:rsidRPr="00A07F29">
        <w:rPr>
          <w:rFonts w:ascii="Times New Roman" w:eastAsia="Times New Roman" w:hAnsi="Times New Roman" w:cs="Times New Roman"/>
          <w:sz w:val="24"/>
          <w:szCs w:val="24"/>
          <w:lang w:eastAsia="lv-LV"/>
        </w:rPr>
        <w:t>Article</w:t>
      </w:r>
      <w:proofErr w:type="spellEnd"/>
      <w:r w:rsidRPr="00A07F29">
        <w:rPr>
          <w:rFonts w:ascii="Times New Roman" w:eastAsia="Times New Roman" w:hAnsi="Times New Roman" w:cs="Times New Roman"/>
          <w:sz w:val="24"/>
          <w:szCs w:val="24"/>
          <w:lang w:eastAsia="lv-LV"/>
        </w:rPr>
        <w:t xml:space="preserve"> 17 sagatavošanas vadlīnijās (DG </w:t>
      </w:r>
      <w:proofErr w:type="spellStart"/>
      <w:r w:rsidRPr="00A07F29">
        <w:rPr>
          <w:rFonts w:ascii="Times New Roman" w:eastAsia="Times New Roman" w:hAnsi="Times New Roman" w:cs="Times New Roman"/>
          <w:sz w:val="24"/>
          <w:szCs w:val="24"/>
          <w:lang w:eastAsia="lv-LV"/>
        </w:rPr>
        <w:t>Environment</w:t>
      </w:r>
      <w:proofErr w:type="spellEnd"/>
      <w:r w:rsidR="00F218D7">
        <w:rPr>
          <w:rFonts w:ascii="Times New Roman" w:eastAsia="Times New Roman" w:hAnsi="Times New Roman" w:cs="Times New Roman"/>
          <w:sz w:val="24"/>
          <w:szCs w:val="24"/>
          <w:lang w:eastAsia="lv-LV"/>
        </w:rPr>
        <w:t>,</w:t>
      </w:r>
      <w:r w:rsidRPr="00A07F29">
        <w:rPr>
          <w:rFonts w:ascii="Times New Roman" w:eastAsia="Times New Roman" w:hAnsi="Times New Roman" w:cs="Times New Roman"/>
          <w:sz w:val="24"/>
          <w:szCs w:val="24"/>
          <w:lang w:eastAsia="lv-LV"/>
        </w:rPr>
        <w:t xml:space="preserve"> 2017). Šobrīd ir iespējams norādīt minimālos populāciju lielumus (</w:t>
      </w:r>
      <w:r w:rsidR="00A2717B">
        <w:rPr>
          <w:rFonts w:ascii="Times New Roman" w:eastAsia="Times New Roman" w:hAnsi="Times New Roman" w:cs="Times New Roman"/>
          <w:sz w:val="24"/>
          <w:szCs w:val="24"/>
          <w:lang w:eastAsia="lv-LV"/>
        </w:rPr>
        <w:t xml:space="preserve">skat. </w:t>
      </w:r>
      <w:r w:rsidRPr="00A07F29">
        <w:rPr>
          <w:rFonts w:ascii="Times New Roman" w:eastAsia="Times New Roman" w:hAnsi="Times New Roman" w:cs="Times New Roman"/>
          <w:sz w:val="24"/>
          <w:szCs w:val="24"/>
          <w:lang w:eastAsia="lv-LV"/>
        </w:rPr>
        <w:t>4.</w:t>
      </w:r>
      <w:r w:rsidR="00C96B50" w:rsidRPr="00A07F29">
        <w:rPr>
          <w:rFonts w:ascii="Times New Roman" w:eastAsia="Times New Roman" w:hAnsi="Times New Roman" w:cs="Times New Roman"/>
          <w:sz w:val="24"/>
          <w:szCs w:val="24"/>
          <w:lang w:eastAsia="lv-LV"/>
        </w:rPr>
        <w:t>7</w:t>
      </w:r>
      <w:r w:rsidRPr="00A07F29">
        <w:rPr>
          <w:rFonts w:ascii="Times New Roman" w:eastAsia="Times New Roman" w:hAnsi="Times New Roman" w:cs="Times New Roman"/>
          <w:sz w:val="24"/>
          <w:szCs w:val="24"/>
          <w:lang w:eastAsia="lv-LV"/>
        </w:rPr>
        <w:t>.2.3.</w:t>
      </w:r>
      <w:r w:rsidR="00A2717B">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tab</w:t>
      </w:r>
      <w:r w:rsidR="00A2717B">
        <w:rPr>
          <w:rFonts w:ascii="Times New Roman" w:eastAsia="Times New Roman" w:hAnsi="Times New Roman" w:cs="Times New Roman"/>
          <w:sz w:val="24"/>
          <w:szCs w:val="24"/>
          <w:lang w:eastAsia="lv-LV"/>
        </w:rPr>
        <w:t>ula</w:t>
      </w:r>
      <w:r w:rsidRPr="00A07F29">
        <w:rPr>
          <w:rFonts w:ascii="Times New Roman" w:eastAsia="Times New Roman" w:hAnsi="Times New Roman" w:cs="Times New Roman"/>
          <w:sz w:val="24"/>
          <w:szCs w:val="24"/>
          <w:lang w:eastAsia="lv-LV"/>
        </w:rPr>
        <w:t xml:space="preserve">). Datu trūkuma dēļ nav zināmas </w:t>
      </w:r>
      <w:r w:rsidR="007B5318">
        <w:rPr>
          <w:rFonts w:ascii="Times New Roman" w:eastAsia="Times New Roman" w:hAnsi="Times New Roman" w:cs="Times New Roman"/>
          <w:sz w:val="24"/>
          <w:szCs w:val="24"/>
          <w:lang w:eastAsia="lv-LV"/>
        </w:rPr>
        <w:t xml:space="preserve">Biotopu </w:t>
      </w:r>
      <w:r w:rsidRPr="00A07F29">
        <w:rPr>
          <w:rFonts w:ascii="Times New Roman" w:eastAsia="Times New Roman" w:hAnsi="Times New Roman" w:cs="Times New Roman"/>
          <w:sz w:val="24"/>
          <w:szCs w:val="24"/>
          <w:lang w:eastAsia="lv-LV"/>
        </w:rPr>
        <w:t xml:space="preserve">direktīvas II pielikumā ierakstīto gliemju sugu populāciju attiecība pret sugas populācijām valstī. Sugu dzīvotņu platības attiecība pret sugas dzīvotnes platību </w:t>
      </w:r>
      <w:proofErr w:type="spellStart"/>
      <w:r w:rsidR="0092556E" w:rsidRPr="00A07F29">
        <w:rPr>
          <w:rFonts w:ascii="Times New Roman" w:eastAsia="Times New Roman" w:hAnsi="Times New Roman" w:cs="Times New Roman"/>
          <w:i/>
          <w:sz w:val="24"/>
          <w:szCs w:val="24"/>
          <w:lang w:eastAsia="lv-LV"/>
        </w:rPr>
        <w:t>Natura</w:t>
      </w:r>
      <w:proofErr w:type="spellEnd"/>
      <w:r w:rsidRPr="00A07F29">
        <w:rPr>
          <w:rFonts w:ascii="Times New Roman" w:eastAsia="Times New Roman" w:hAnsi="Times New Roman" w:cs="Times New Roman"/>
          <w:i/>
          <w:sz w:val="24"/>
          <w:szCs w:val="24"/>
          <w:lang w:eastAsia="lv-LV"/>
        </w:rPr>
        <w:t xml:space="preserve"> 2000</w:t>
      </w:r>
      <w:r w:rsidRPr="00A07F29">
        <w:rPr>
          <w:rFonts w:ascii="Times New Roman" w:eastAsia="Times New Roman" w:hAnsi="Times New Roman" w:cs="Times New Roman"/>
          <w:sz w:val="24"/>
          <w:szCs w:val="24"/>
          <w:lang w:eastAsia="lv-LV"/>
        </w:rPr>
        <w:t xml:space="preserve"> teritorijās Latvijā kopumā būs skaidrojama pēc projekta Dabas skaitīšana pabeigšanas.</w:t>
      </w:r>
    </w:p>
    <w:p w14:paraId="7A3684B1" w14:textId="57BCE1A5" w:rsidR="009072CE" w:rsidRPr="00A07F29" w:rsidRDefault="009072CE" w:rsidP="00C96B50">
      <w:pPr>
        <w:spacing w:before="240" w:after="120" w:line="240" w:lineRule="auto"/>
        <w:jc w:val="center"/>
        <w:rPr>
          <w:rFonts w:ascii="Times New Roman" w:eastAsia="Calibri" w:hAnsi="Times New Roman" w:cs="Times New Roman"/>
          <w:b/>
          <w:sz w:val="24"/>
          <w:szCs w:val="24"/>
        </w:rPr>
      </w:pPr>
      <w:r w:rsidRPr="00A07F29">
        <w:rPr>
          <w:rFonts w:ascii="Times New Roman" w:eastAsia="Calibri" w:hAnsi="Times New Roman" w:cs="Times New Roman"/>
          <w:iCs/>
          <w:sz w:val="24"/>
          <w:szCs w:val="24"/>
        </w:rPr>
        <w:t>4.</w:t>
      </w:r>
      <w:r w:rsidR="00C96B50" w:rsidRPr="00A07F29">
        <w:rPr>
          <w:rFonts w:ascii="Times New Roman" w:eastAsia="Calibri" w:hAnsi="Times New Roman" w:cs="Times New Roman"/>
          <w:iCs/>
          <w:sz w:val="24"/>
          <w:szCs w:val="24"/>
        </w:rPr>
        <w:t>7</w:t>
      </w:r>
      <w:r w:rsidRPr="00A07F29">
        <w:rPr>
          <w:rFonts w:ascii="Times New Roman" w:eastAsia="Calibri" w:hAnsi="Times New Roman" w:cs="Times New Roman"/>
          <w:iCs/>
          <w:sz w:val="24"/>
          <w:szCs w:val="24"/>
        </w:rPr>
        <w:t>.2.3.</w:t>
      </w:r>
      <w:r w:rsidR="001C392E">
        <w:rPr>
          <w:rFonts w:ascii="Times New Roman" w:eastAsia="Calibri" w:hAnsi="Times New Roman" w:cs="Times New Roman"/>
          <w:iCs/>
          <w:sz w:val="24"/>
          <w:szCs w:val="24"/>
        </w:rPr>
        <w:t> </w:t>
      </w:r>
      <w:r w:rsidRPr="00A07F29">
        <w:rPr>
          <w:rFonts w:ascii="Times New Roman" w:eastAsia="Calibri" w:hAnsi="Times New Roman" w:cs="Times New Roman"/>
          <w:iCs/>
          <w:sz w:val="24"/>
          <w:szCs w:val="24"/>
        </w:rPr>
        <w:t>tabula</w:t>
      </w:r>
      <w:r w:rsidR="00C96B50" w:rsidRPr="00A07F29">
        <w:rPr>
          <w:rFonts w:ascii="Times New Roman" w:eastAsia="Calibri" w:hAnsi="Times New Roman" w:cs="Times New Roman"/>
          <w:iCs/>
          <w:sz w:val="24"/>
          <w:szCs w:val="24"/>
        </w:rPr>
        <w:t>.</w:t>
      </w:r>
      <w:r w:rsidRPr="00A07F29">
        <w:rPr>
          <w:rFonts w:ascii="Times New Roman" w:eastAsia="Calibri" w:hAnsi="Times New Roman" w:cs="Times New Roman"/>
          <w:iCs/>
          <w:sz w:val="24"/>
          <w:szCs w:val="24"/>
        </w:rPr>
        <w:t xml:space="preserve"> </w:t>
      </w:r>
      <w:r w:rsidRPr="00A07F29">
        <w:rPr>
          <w:rFonts w:ascii="Times New Roman" w:eastAsia="Calibri" w:hAnsi="Times New Roman" w:cs="Times New Roman"/>
          <w:sz w:val="24"/>
          <w:szCs w:val="24"/>
        </w:rPr>
        <w:t>Direktīvu pielikumos iekļauto gliemju sugu populāciju lielums un sugu dzīvotņu platība</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2268"/>
        <w:gridCol w:w="708"/>
        <w:gridCol w:w="851"/>
        <w:gridCol w:w="1134"/>
        <w:gridCol w:w="1276"/>
        <w:gridCol w:w="1134"/>
        <w:gridCol w:w="1383"/>
      </w:tblGrid>
      <w:tr w:rsidR="009072CE" w:rsidRPr="00A07F29" w14:paraId="797862F4" w14:textId="77777777" w:rsidTr="009056A3">
        <w:tc>
          <w:tcPr>
            <w:tcW w:w="534" w:type="dxa"/>
          </w:tcPr>
          <w:p w14:paraId="0684B9E8" w14:textId="77777777" w:rsidR="009072CE" w:rsidRPr="00A07F29" w:rsidRDefault="009072CE" w:rsidP="009072CE">
            <w:pPr>
              <w:spacing w:after="0" w:line="240" w:lineRule="auto"/>
              <w:rPr>
                <w:rFonts w:ascii="Times New Roman" w:eastAsia="Calibri" w:hAnsi="Times New Roman" w:cs="Times New Roman"/>
                <w:sz w:val="20"/>
                <w:szCs w:val="20"/>
              </w:rPr>
            </w:pPr>
            <w:proofErr w:type="spellStart"/>
            <w:r w:rsidRPr="00A07F29">
              <w:rPr>
                <w:rFonts w:ascii="Times New Roman" w:eastAsia="Calibri" w:hAnsi="Times New Roman" w:cs="Times New Roman"/>
                <w:sz w:val="20"/>
                <w:szCs w:val="20"/>
              </w:rPr>
              <w:t>Nr.p.k</w:t>
            </w:r>
            <w:proofErr w:type="spellEnd"/>
            <w:r w:rsidRPr="00A07F29">
              <w:rPr>
                <w:rFonts w:ascii="Times New Roman" w:eastAsia="Calibri" w:hAnsi="Times New Roman" w:cs="Times New Roman"/>
                <w:sz w:val="20"/>
                <w:szCs w:val="20"/>
              </w:rPr>
              <w:t>.</w:t>
            </w:r>
          </w:p>
        </w:tc>
        <w:tc>
          <w:tcPr>
            <w:tcW w:w="2268" w:type="dxa"/>
          </w:tcPr>
          <w:p w14:paraId="2CDCB620" w14:textId="77777777" w:rsidR="009072CE" w:rsidRPr="00A07F29" w:rsidRDefault="009072CE" w:rsidP="009072CE">
            <w:pPr>
              <w:spacing w:after="0" w:line="240" w:lineRule="auto"/>
              <w:rPr>
                <w:rFonts w:ascii="Times New Roman" w:eastAsia="Calibri" w:hAnsi="Times New Roman" w:cs="Times New Roman"/>
                <w:sz w:val="20"/>
                <w:szCs w:val="20"/>
              </w:rPr>
            </w:pPr>
            <w:r w:rsidRPr="00A07F29">
              <w:rPr>
                <w:rFonts w:ascii="Times New Roman" w:eastAsia="Calibri" w:hAnsi="Times New Roman" w:cs="Times New Roman"/>
                <w:sz w:val="20"/>
                <w:szCs w:val="20"/>
              </w:rPr>
              <w:t>Sugas nosaukums (latviski un latīniski)</w:t>
            </w:r>
          </w:p>
        </w:tc>
        <w:tc>
          <w:tcPr>
            <w:tcW w:w="1559" w:type="dxa"/>
            <w:gridSpan w:val="2"/>
          </w:tcPr>
          <w:p w14:paraId="2A43AFFC" w14:textId="77777777" w:rsidR="009072CE" w:rsidRPr="00A07F29" w:rsidRDefault="009072CE" w:rsidP="009072CE">
            <w:pPr>
              <w:spacing w:after="0" w:line="240" w:lineRule="auto"/>
              <w:rPr>
                <w:rFonts w:ascii="Times New Roman" w:eastAsia="Calibri" w:hAnsi="Times New Roman" w:cs="Times New Roman"/>
                <w:sz w:val="20"/>
                <w:szCs w:val="20"/>
              </w:rPr>
            </w:pPr>
            <w:r w:rsidRPr="00A07F29">
              <w:rPr>
                <w:rFonts w:ascii="Times New Roman" w:eastAsia="Calibri" w:hAnsi="Times New Roman" w:cs="Times New Roman"/>
                <w:sz w:val="20"/>
                <w:szCs w:val="20"/>
              </w:rPr>
              <w:t>Sugas populācijas</w:t>
            </w:r>
          </w:p>
          <w:p w14:paraId="01C31F88" w14:textId="28A57E92" w:rsidR="009072CE" w:rsidRPr="00A07F29" w:rsidRDefault="009072CE" w:rsidP="009072CE">
            <w:pPr>
              <w:spacing w:after="0" w:line="240" w:lineRule="auto"/>
              <w:rPr>
                <w:rFonts w:ascii="Times New Roman" w:eastAsia="Calibri" w:hAnsi="Times New Roman" w:cs="Times New Roman"/>
                <w:sz w:val="20"/>
                <w:szCs w:val="20"/>
              </w:rPr>
            </w:pPr>
            <w:r w:rsidRPr="00A07F29">
              <w:rPr>
                <w:rFonts w:ascii="Times New Roman" w:eastAsia="Calibri" w:hAnsi="Times New Roman" w:cs="Times New Roman"/>
                <w:sz w:val="20"/>
                <w:szCs w:val="20"/>
              </w:rPr>
              <w:t>lielums (1</w:t>
            </w:r>
            <w:r w:rsidR="001C392E">
              <w:rPr>
                <w:rFonts w:ascii="Times New Roman" w:eastAsia="Calibri" w:hAnsi="Times New Roman" w:cs="Times New Roman"/>
                <w:sz w:val="20"/>
                <w:szCs w:val="20"/>
              </w:rPr>
              <w:t> </w:t>
            </w:r>
            <w:r w:rsidRPr="00A07F29">
              <w:rPr>
                <w:rFonts w:ascii="Times New Roman" w:eastAsia="Calibri" w:hAnsi="Times New Roman" w:cs="Times New Roman"/>
                <w:sz w:val="20"/>
                <w:szCs w:val="20"/>
              </w:rPr>
              <w:t>x</w:t>
            </w:r>
            <w:r w:rsidR="001C392E">
              <w:rPr>
                <w:rFonts w:ascii="Times New Roman" w:eastAsia="Calibri" w:hAnsi="Times New Roman" w:cs="Times New Roman"/>
                <w:sz w:val="20"/>
                <w:szCs w:val="20"/>
              </w:rPr>
              <w:t> </w:t>
            </w:r>
            <w:r w:rsidRPr="00A07F29">
              <w:rPr>
                <w:rFonts w:ascii="Times New Roman" w:eastAsia="Calibri" w:hAnsi="Times New Roman" w:cs="Times New Roman"/>
                <w:sz w:val="20"/>
                <w:szCs w:val="20"/>
              </w:rPr>
              <w:t>1</w:t>
            </w:r>
            <w:r w:rsidR="001C392E">
              <w:rPr>
                <w:rFonts w:ascii="Times New Roman" w:eastAsia="Calibri" w:hAnsi="Times New Roman" w:cs="Times New Roman"/>
                <w:sz w:val="20"/>
                <w:szCs w:val="20"/>
              </w:rPr>
              <w:t> </w:t>
            </w:r>
            <w:r w:rsidRPr="00A07F29">
              <w:rPr>
                <w:rFonts w:ascii="Times New Roman" w:eastAsia="Calibri" w:hAnsi="Times New Roman" w:cs="Times New Roman"/>
                <w:sz w:val="20"/>
                <w:szCs w:val="20"/>
              </w:rPr>
              <w:t>km tīkls) teritorijā</w:t>
            </w:r>
          </w:p>
        </w:tc>
        <w:tc>
          <w:tcPr>
            <w:tcW w:w="1134" w:type="dxa"/>
          </w:tcPr>
          <w:p w14:paraId="359D54BC" w14:textId="174AD4B2" w:rsidR="009072CE" w:rsidRPr="00A07F29" w:rsidRDefault="009072CE" w:rsidP="009072CE">
            <w:pPr>
              <w:spacing w:after="0" w:line="240" w:lineRule="auto"/>
              <w:rPr>
                <w:rFonts w:ascii="Times New Roman" w:eastAsia="Calibri" w:hAnsi="Times New Roman" w:cs="Times New Roman"/>
                <w:sz w:val="20"/>
                <w:szCs w:val="20"/>
              </w:rPr>
            </w:pPr>
            <w:r w:rsidRPr="00A07F29">
              <w:rPr>
                <w:rFonts w:ascii="Times New Roman" w:eastAsia="Calibri" w:hAnsi="Times New Roman" w:cs="Times New Roman"/>
                <w:sz w:val="20"/>
                <w:szCs w:val="20"/>
              </w:rPr>
              <w:t xml:space="preserve">Teritorijā esošās sugas populācijas attiecība (%) pret sugas populāciju </w:t>
            </w:r>
            <w:proofErr w:type="spellStart"/>
            <w:r w:rsidR="0092556E" w:rsidRPr="00A07F29">
              <w:rPr>
                <w:rFonts w:ascii="Times New Roman" w:eastAsia="Calibri" w:hAnsi="Times New Roman" w:cs="Times New Roman"/>
                <w:i/>
                <w:sz w:val="20"/>
                <w:szCs w:val="20"/>
              </w:rPr>
              <w:t>Natura</w:t>
            </w:r>
            <w:proofErr w:type="spellEnd"/>
            <w:r w:rsidRPr="00A07F29">
              <w:rPr>
                <w:rFonts w:ascii="Times New Roman" w:eastAsia="Calibri" w:hAnsi="Times New Roman" w:cs="Times New Roman"/>
                <w:i/>
                <w:sz w:val="20"/>
                <w:szCs w:val="20"/>
              </w:rPr>
              <w:t xml:space="preserve"> 2000</w:t>
            </w:r>
            <w:r w:rsidRPr="00A07F29">
              <w:rPr>
                <w:rFonts w:ascii="Times New Roman" w:eastAsia="Calibri" w:hAnsi="Times New Roman" w:cs="Times New Roman"/>
                <w:sz w:val="20"/>
                <w:szCs w:val="20"/>
              </w:rPr>
              <w:t xml:space="preserve"> teritorijās Latvijā kopumā</w:t>
            </w:r>
          </w:p>
        </w:tc>
        <w:tc>
          <w:tcPr>
            <w:tcW w:w="1276" w:type="dxa"/>
          </w:tcPr>
          <w:p w14:paraId="6FC89034" w14:textId="77777777" w:rsidR="009072CE" w:rsidRPr="00A07F29" w:rsidRDefault="009072CE" w:rsidP="009072CE">
            <w:pPr>
              <w:spacing w:after="0" w:line="240" w:lineRule="auto"/>
              <w:rPr>
                <w:rFonts w:ascii="Times New Roman" w:eastAsia="Calibri" w:hAnsi="Times New Roman" w:cs="Times New Roman"/>
                <w:sz w:val="20"/>
                <w:szCs w:val="20"/>
              </w:rPr>
            </w:pPr>
            <w:r w:rsidRPr="00A07F29">
              <w:rPr>
                <w:rFonts w:ascii="Times New Roman" w:eastAsia="Calibri" w:hAnsi="Times New Roman" w:cs="Times New Roman"/>
                <w:sz w:val="20"/>
                <w:szCs w:val="20"/>
              </w:rPr>
              <w:t>Teritorijā esošās sugas populācijas attiecība (%) pret sugas populāciju valstī</w:t>
            </w:r>
          </w:p>
        </w:tc>
        <w:tc>
          <w:tcPr>
            <w:tcW w:w="1134" w:type="dxa"/>
          </w:tcPr>
          <w:p w14:paraId="7C511EE9" w14:textId="77777777" w:rsidR="009072CE" w:rsidRPr="00A07F29" w:rsidRDefault="009072CE" w:rsidP="009072CE">
            <w:pPr>
              <w:spacing w:after="0" w:line="240" w:lineRule="auto"/>
              <w:rPr>
                <w:rFonts w:ascii="Times New Roman" w:eastAsia="Calibri" w:hAnsi="Times New Roman" w:cs="Times New Roman"/>
                <w:sz w:val="20"/>
                <w:szCs w:val="20"/>
              </w:rPr>
            </w:pPr>
            <w:r w:rsidRPr="00A07F29">
              <w:rPr>
                <w:rFonts w:ascii="Times New Roman" w:eastAsia="Calibri" w:hAnsi="Times New Roman" w:cs="Times New Roman"/>
                <w:sz w:val="20"/>
                <w:szCs w:val="20"/>
              </w:rPr>
              <w:t>Sugas dzīvotnes platība (ha)</w:t>
            </w:r>
          </w:p>
        </w:tc>
        <w:tc>
          <w:tcPr>
            <w:tcW w:w="1383" w:type="dxa"/>
          </w:tcPr>
          <w:p w14:paraId="4F1BD2F2" w14:textId="2CCE736D" w:rsidR="009072CE" w:rsidRPr="00A07F29" w:rsidRDefault="009072CE" w:rsidP="009072CE">
            <w:pPr>
              <w:spacing w:after="0" w:line="240" w:lineRule="auto"/>
              <w:rPr>
                <w:rFonts w:ascii="Times New Roman" w:eastAsia="Calibri" w:hAnsi="Times New Roman" w:cs="Times New Roman"/>
                <w:sz w:val="20"/>
                <w:szCs w:val="20"/>
              </w:rPr>
            </w:pPr>
            <w:r w:rsidRPr="00A07F29">
              <w:rPr>
                <w:rFonts w:ascii="Times New Roman" w:eastAsia="Calibri" w:hAnsi="Times New Roman" w:cs="Times New Roman"/>
                <w:sz w:val="20"/>
                <w:szCs w:val="20"/>
              </w:rPr>
              <w:t xml:space="preserve">Sugas dzīvotnes platības attiecība (%) pret sugas dzīvotnes platību </w:t>
            </w:r>
            <w:proofErr w:type="spellStart"/>
            <w:r w:rsidR="0092556E" w:rsidRPr="00A07F29">
              <w:rPr>
                <w:rFonts w:ascii="Times New Roman" w:eastAsia="Calibri" w:hAnsi="Times New Roman" w:cs="Times New Roman"/>
                <w:i/>
                <w:sz w:val="20"/>
                <w:szCs w:val="20"/>
              </w:rPr>
              <w:t>Natura</w:t>
            </w:r>
            <w:proofErr w:type="spellEnd"/>
            <w:r w:rsidRPr="00A07F29">
              <w:rPr>
                <w:rFonts w:ascii="Times New Roman" w:eastAsia="Calibri" w:hAnsi="Times New Roman" w:cs="Times New Roman"/>
                <w:i/>
                <w:sz w:val="20"/>
                <w:szCs w:val="20"/>
              </w:rPr>
              <w:t xml:space="preserve"> 2000</w:t>
            </w:r>
            <w:r w:rsidRPr="00A07F29">
              <w:rPr>
                <w:rFonts w:ascii="Times New Roman" w:eastAsia="Calibri" w:hAnsi="Times New Roman" w:cs="Times New Roman"/>
                <w:sz w:val="20"/>
                <w:szCs w:val="20"/>
              </w:rPr>
              <w:t xml:space="preserve"> teritorijās Latvijā kopumā</w:t>
            </w:r>
          </w:p>
        </w:tc>
      </w:tr>
      <w:tr w:rsidR="009072CE" w:rsidRPr="00A07F29" w14:paraId="59BAD155" w14:textId="77777777" w:rsidTr="009056A3">
        <w:tc>
          <w:tcPr>
            <w:tcW w:w="534" w:type="dxa"/>
          </w:tcPr>
          <w:p w14:paraId="1A793111" w14:textId="77777777" w:rsidR="009072CE" w:rsidRPr="00A07F29" w:rsidRDefault="009072CE" w:rsidP="009072CE">
            <w:pPr>
              <w:spacing w:after="0" w:line="240" w:lineRule="auto"/>
              <w:rPr>
                <w:rFonts w:ascii="Times New Roman" w:eastAsia="Calibri" w:hAnsi="Times New Roman" w:cs="Times New Roman"/>
                <w:sz w:val="20"/>
                <w:szCs w:val="20"/>
              </w:rPr>
            </w:pPr>
          </w:p>
        </w:tc>
        <w:tc>
          <w:tcPr>
            <w:tcW w:w="2268" w:type="dxa"/>
          </w:tcPr>
          <w:p w14:paraId="365C078F" w14:textId="77777777" w:rsidR="009072CE" w:rsidRPr="00A07F29" w:rsidRDefault="009072CE" w:rsidP="009072CE">
            <w:pPr>
              <w:spacing w:after="0" w:line="240" w:lineRule="auto"/>
              <w:rPr>
                <w:rFonts w:ascii="Times New Roman" w:eastAsia="Calibri" w:hAnsi="Times New Roman" w:cs="Times New Roman"/>
                <w:sz w:val="20"/>
                <w:szCs w:val="20"/>
              </w:rPr>
            </w:pPr>
          </w:p>
        </w:tc>
        <w:tc>
          <w:tcPr>
            <w:tcW w:w="708" w:type="dxa"/>
          </w:tcPr>
          <w:p w14:paraId="039ABD23" w14:textId="77777777" w:rsidR="009072CE" w:rsidRPr="00A07F29" w:rsidRDefault="009072CE" w:rsidP="009072CE">
            <w:pPr>
              <w:spacing w:after="0" w:line="240" w:lineRule="auto"/>
              <w:rPr>
                <w:rFonts w:ascii="Times New Roman" w:eastAsia="Calibri" w:hAnsi="Times New Roman" w:cs="Times New Roman"/>
                <w:sz w:val="20"/>
                <w:szCs w:val="20"/>
              </w:rPr>
            </w:pPr>
            <w:r w:rsidRPr="00A07F29">
              <w:rPr>
                <w:rFonts w:ascii="Times New Roman" w:eastAsia="Calibri" w:hAnsi="Times New Roman" w:cs="Times New Roman"/>
                <w:sz w:val="20"/>
                <w:szCs w:val="20"/>
              </w:rPr>
              <w:t>Min.</w:t>
            </w:r>
          </w:p>
        </w:tc>
        <w:tc>
          <w:tcPr>
            <w:tcW w:w="851" w:type="dxa"/>
          </w:tcPr>
          <w:p w14:paraId="6256A66E" w14:textId="77777777" w:rsidR="009072CE" w:rsidRPr="00A07F29" w:rsidRDefault="009072CE" w:rsidP="009072CE">
            <w:pPr>
              <w:spacing w:after="0" w:line="240" w:lineRule="auto"/>
              <w:rPr>
                <w:rFonts w:ascii="Times New Roman" w:eastAsia="Calibri" w:hAnsi="Times New Roman" w:cs="Times New Roman"/>
                <w:sz w:val="20"/>
                <w:szCs w:val="20"/>
              </w:rPr>
            </w:pPr>
            <w:r w:rsidRPr="00A07F29">
              <w:rPr>
                <w:rFonts w:ascii="Times New Roman" w:eastAsia="Calibri" w:hAnsi="Times New Roman" w:cs="Times New Roman"/>
                <w:sz w:val="20"/>
                <w:szCs w:val="20"/>
              </w:rPr>
              <w:t>Maks.</w:t>
            </w:r>
          </w:p>
        </w:tc>
        <w:tc>
          <w:tcPr>
            <w:tcW w:w="1134" w:type="dxa"/>
          </w:tcPr>
          <w:p w14:paraId="313BA513" w14:textId="77777777" w:rsidR="009072CE" w:rsidRPr="00A07F29" w:rsidRDefault="009072CE" w:rsidP="009072CE">
            <w:pPr>
              <w:spacing w:after="0" w:line="240" w:lineRule="auto"/>
              <w:rPr>
                <w:rFonts w:ascii="Times New Roman" w:eastAsia="Calibri" w:hAnsi="Times New Roman" w:cs="Times New Roman"/>
                <w:sz w:val="20"/>
                <w:szCs w:val="20"/>
              </w:rPr>
            </w:pPr>
          </w:p>
        </w:tc>
        <w:tc>
          <w:tcPr>
            <w:tcW w:w="1276" w:type="dxa"/>
          </w:tcPr>
          <w:p w14:paraId="58389EF2" w14:textId="77777777" w:rsidR="009072CE" w:rsidRPr="00A07F29" w:rsidRDefault="009072CE" w:rsidP="009072CE">
            <w:pPr>
              <w:spacing w:after="0" w:line="240" w:lineRule="auto"/>
              <w:rPr>
                <w:rFonts w:ascii="Times New Roman" w:eastAsia="Calibri" w:hAnsi="Times New Roman" w:cs="Times New Roman"/>
                <w:sz w:val="20"/>
                <w:szCs w:val="20"/>
              </w:rPr>
            </w:pPr>
          </w:p>
        </w:tc>
        <w:tc>
          <w:tcPr>
            <w:tcW w:w="1134" w:type="dxa"/>
          </w:tcPr>
          <w:p w14:paraId="0F3689FA" w14:textId="77777777" w:rsidR="009072CE" w:rsidRPr="00A07F29" w:rsidRDefault="009072CE" w:rsidP="009072CE">
            <w:pPr>
              <w:spacing w:after="0" w:line="240" w:lineRule="auto"/>
              <w:rPr>
                <w:rFonts w:ascii="Times New Roman" w:eastAsia="Calibri" w:hAnsi="Times New Roman" w:cs="Times New Roman"/>
                <w:sz w:val="20"/>
                <w:szCs w:val="20"/>
              </w:rPr>
            </w:pPr>
          </w:p>
        </w:tc>
        <w:tc>
          <w:tcPr>
            <w:tcW w:w="1383" w:type="dxa"/>
          </w:tcPr>
          <w:p w14:paraId="3A57EA0D" w14:textId="77777777" w:rsidR="009072CE" w:rsidRPr="00A07F29" w:rsidRDefault="009072CE" w:rsidP="009072CE">
            <w:pPr>
              <w:spacing w:after="0" w:line="240" w:lineRule="auto"/>
              <w:rPr>
                <w:rFonts w:ascii="Times New Roman" w:eastAsia="Calibri" w:hAnsi="Times New Roman" w:cs="Times New Roman"/>
                <w:sz w:val="20"/>
                <w:szCs w:val="20"/>
              </w:rPr>
            </w:pPr>
          </w:p>
        </w:tc>
      </w:tr>
      <w:tr w:rsidR="009072CE" w:rsidRPr="00A07F29" w14:paraId="45423141" w14:textId="77777777" w:rsidTr="009056A3">
        <w:tc>
          <w:tcPr>
            <w:tcW w:w="534" w:type="dxa"/>
          </w:tcPr>
          <w:p w14:paraId="6EFD9732" w14:textId="273AEC4B" w:rsidR="009072CE" w:rsidRPr="00A07F29" w:rsidRDefault="005D2CFD" w:rsidP="009072CE">
            <w:pPr>
              <w:spacing w:after="0" w:line="240" w:lineRule="auto"/>
              <w:rPr>
                <w:rFonts w:ascii="Times New Roman" w:eastAsia="Calibri" w:hAnsi="Times New Roman" w:cs="Times New Roman"/>
                <w:sz w:val="20"/>
                <w:szCs w:val="20"/>
              </w:rPr>
            </w:pPr>
            <w:r w:rsidRPr="00A07F29">
              <w:rPr>
                <w:rFonts w:ascii="Times New Roman" w:eastAsia="Calibri" w:hAnsi="Times New Roman" w:cs="Times New Roman"/>
                <w:sz w:val="20"/>
                <w:szCs w:val="20"/>
              </w:rPr>
              <w:t>1.</w:t>
            </w:r>
          </w:p>
        </w:tc>
        <w:tc>
          <w:tcPr>
            <w:tcW w:w="2268" w:type="dxa"/>
          </w:tcPr>
          <w:p w14:paraId="119E59E5" w14:textId="77777777" w:rsidR="009072CE" w:rsidRPr="00A07F29" w:rsidRDefault="009072CE" w:rsidP="009072CE">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 xml:space="preserve">slaidais </w:t>
            </w:r>
            <w:proofErr w:type="spellStart"/>
            <w:r w:rsidRPr="00A07F29">
              <w:rPr>
                <w:rFonts w:ascii="Times New Roman" w:eastAsia="Calibri" w:hAnsi="Times New Roman" w:cs="Times New Roman"/>
                <w:sz w:val="20"/>
                <w:szCs w:val="20"/>
              </w:rPr>
              <w:t>pumpurgliemezis</w:t>
            </w:r>
            <w:proofErr w:type="spellEnd"/>
          </w:p>
          <w:p w14:paraId="02EB5C12" w14:textId="77777777" w:rsidR="009072CE" w:rsidRPr="00A07F29" w:rsidRDefault="009072CE" w:rsidP="009072CE">
            <w:pPr>
              <w:spacing w:after="0" w:line="240" w:lineRule="auto"/>
              <w:jc w:val="center"/>
              <w:rPr>
                <w:rFonts w:ascii="Times New Roman" w:eastAsia="Calibri" w:hAnsi="Times New Roman" w:cs="Times New Roman"/>
                <w:sz w:val="20"/>
                <w:szCs w:val="20"/>
              </w:rPr>
            </w:pPr>
            <w:proofErr w:type="spellStart"/>
            <w:r w:rsidRPr="00A07F29">
              <w:rPr>
                <w:rFonts w:ascii="Times New Roman" w:eastAsia="Calibri" w:hAnsi="Times New Roman" w:cs="Times New Roman"/>
                <w:bCs/>
                <w:i/>
                <w:sz w:val="20"/>
                <w:szCs w:val="20"/>
                <w:shd w:val="clear" w:color="auto" w:fill="FFFFFF"/>
              </w:rPr>
              <w:t>Vertigo</w:t>
            </w:r>
            <w:proofErr w:type="spellEnd"/>
            <w:r w:rsidRPr="00A07F29">
              <w:rPr>
                <w:rFonts w:ascii="Times New Roman" w:eastAsia="Calibri" w:hAnsi="Times New Roman" w:cs="Times New Roman"/>
                <w:bCs/>
                <w:i/>
                <w:sz w:val="20"/>
                <w:szCs w:val="20"/>
                <w:shd w:val="clear" w:color="auto" w:fill="FFFFFF"/>
              </w:rPr>
              <w:t xml:space="preserve"> </w:t>
            </w:r>
            <w:proofErr w:type="spellStart"/>
            <w:r w:rsidRPr="00A07F29">
              <w:rPr>
                <w:rFonts w:ascii="Times New Roman" w:eastAsia="Calibri" w:hAnsi="Times New Roman" w:cs="Times New Roman"/>
                <w:bCs/>
                <w:i/>
                <w:sz w:val="20"/>
                <w:szCs w:val="20"/>
                <w:shd w:val="clear" w:color="auto" w:fill="FFFFFF"/>
              </w:rPr>
              <w:t>angustior</w:t>
            </w:r>
            <w:proofErr w:type="spellEnd"/>
          </w:p>
        </w:tc>
        <w:tc>
          <w:tcPr>
            <w:tcW w:w="708" w:type="dxa"/>
          </w:tcPr>
          <w:p w14:paraId="1A37C2A8" w14:textId="77777777" w:rsidR="009072CE" w:rsidRPr="00A07F29" w:rsidRDefault="009072CE" w:rsidP="009072CE">
            <w:pPr>
              <w:spacing w:after="0" w:line="240" w:lineRule="auto"/>
              <w:rPr>
                <w:rFonts w:ascii="Times New Roman" w:eastAsia="Calibri" w:hAnsi="Times New Roman" w:cs="Times New Roman"/>
                <w:sz w:val="20"/>
                <w:szCs w:val="20"/>
              </w:rPr>
            </w:pPr>
            <w:r w:rsidRPr="00A07F29">
              <w:rPr>
                <w:rFonts w:ascii="Times New Roman" w:eastAsia="Calibri" w:hAnsi="Times New Roman" w:cs="Times New Roman"/>
                <w:sz w:val="20"/>
                <w:szCs w:val="20"/>
              </w:rPr>
              <w:t>3</w:t>
            </w:r>
          </w:p>
        </w:tc>
        <w:tc>
          <w:tcPr>
            <w:tcW w:w="851" w:type="dxa"/>
          </w:tcPr>
          <w:p w14:paraId="68336FA3" w14:textId="77777777" w:rsidR="009072CE" w:rsidRPr="00A07F29" w:rsidRDefault="009072CE" w:rsidP="009072CE">
            <w:pPr>
              <w:spacing w:after="0" w:line="240" w:lineRule="auto"/>
              <w:rPr>
                <w:rFonts w:ascii="Times New Roman" w:eastAsia="Calibri" w:hAnsi="Times New Roman" w:cs="Times New Roman"/>
                <w:sz w:val="20"/>
                <w:szCs w:val="20"/>
              </w:rPr>
            </w:pPr>
            <w:r w:rsidRPr="00A07F29">
              <w:rPr>
                <w:rFonts w:ascii="Times New Roman" w:eastAsia="Calibri" w:hAnsi="Times New Roman" w:cs="Times New Roman"/>
                <w:sz w:val="20"/>
                <w:szCs w:val="20"/>
              </w:rPr>
              <w:t>3</w:t>
            </w:r>
          </w:p>
        </w:tc>
        <w:tc>
          <w:tcPr>
            <w:tcW w:w="1134" w:type="dxa"/>
          </w:tcPr>
          <w:p w14:paraId="184EB16F" w14:textId="7C3C5658" w:rsidR="009072CE" w:rsidRPr="00A07F29" w:rsidRDefault="009072CE" w:rsidP="009072CE">
            <w:pPr>
              <w:spacing w:after="0" w:line="240" w:lineRule="auto"/>
              <w:rPr>
                <w:rFonts w:ascii="Times New Roman" w:eastAsia="Calibri" w:hAnsi="Times New Roman" w:cs="Times New Roman"/>
                <w:sz w:val="20"/>
                <w:szCs w:val="20"/>
              </w:rPr>
            </w:pPr>
            <w:r w:rsidRPr="00A07F29">
              <w:rPr>
                <w:rFonts w:ascii="Times New Roman" w:eastAsia="Calibri" w:hAnsi="Times New Roman" w:cs="Times New Roman"/>
                <w:sz w:val="20"/>
                <w:szCs w:val="20"/>
              </w:rPr>
              <w:t>23</w:t>
            </w:r>
            <w:r w:rsidR="00BD231B">
              <w:rPr>
                <w:rFonts w:ascii="Times New Roman" w:eastAsia="Calibri" w:hAnsi="Times New Roman" w:cs="Times New Roman"/>
                <w:sz w:val="20"/>
                <w:szCs w:val="20"/>
              </w:rPr>
              <w:t> </w:t>
            </w:r>
            <w:r w:rsidRPr="00A07F29">
              <w:rPr>
                <w:rFonts w:ascii="Times New Roman" w:eastAsia="Calibri" w:hAnsi="Times New Roman" w:cs="Times New Roman"/>
                <w:sz w:val="20"/>
                <w:szCs w:val="20"/>
              </w:rPr>
              <w:t>%</w:t>
            </w:r>
          </w:p>
        </w:tc>
        <w:tc>
          <w:tcPr>
            <w:tcW w:w="1276" w:type="dxa"/>
          </w:tcPr>
          <w:p w14:paraId="1DF9B469" w14:textId="2253D761" w:rsidR="009072CE" w:rsidRPr="00A07F29" w:rsidRDefault="009072CE" w:rsidP="009072CE">
            <w:pPr>
              <w:spacing w:after="0" w:line="240" w:lineRule="auto"/>
              <w:rPr>
                <w:rFonts w:ascii="Times New Roman" w:eastAsia="Calibri" w:hAnsi="Times New Roman" w:cs="Times New Roman"/>
                <w:sz w:val="20"/>
                <w:szCs w:val="20"/>
              </w:rPr>
            </w:pPr>
            <w:r w:rsidRPr="00A07F29">
              <w:rPr>
                <w:rFonts w:ascii="Times New Roman" w:eastAsia="Calibri" w:hAnsi="Times New Roman" w:cs="Times New Roman"/>
                <w:sz w:val="20"/>
                <w:szCs w:val="20"/>
              </w:rPr>
              <w:t>23</w:t>
            </w:r>
            <w:r w:rsidR="00BD231B">
              <w:rPr>
                <w:rFonts w:ascii="Times New Roman" w:eastAsia="Calibri" w:hAnsi="Times New Roman" w:cs="Times New Roman"/>
                <w:sz w:val="20"/>
                <w:szCs w:val="20"/>
              </w:rPr>
              <w:t> </w:t>
            </w:r>
            <w:r w:rsidRPr="00A07F29">
              <w:rPr>
                <w:rFonts w:ascii="Times New Roman" w:eastAsia="Calibri" w:hAnsi="Times New Roman" w:cs="Times New Roman"/>
                <w:sz w:val="20"/>
                <w:szCs w:val="20"/>
              </w:rPr>
              <w:t>%</w:t>
            </w:r>
          </w:p>
        </w:tc>
        <w:tc>
          <w:tcPr>
            <w:tcW w:w="1134" w:type="dxa"/>
          </w:tcPr>
          <w:p w14:paraId="0F8AE5C2" w14:textId="77777777" w:rsidR="009072CE" w:rsidRPr="00A07F29" w:rsidRDefault="009072CE" w:rsidP="009072CE">
            <w:pPr>
              <w:spacing w:after="0" w:line="240" w:lineRule="auto"/>
              <w:rPr>
                <w:rFonts w:ascii="Times New Roman" w:eastAsia="Calibri" w:hAnsi="Times New Roman" w:cs="Times New Roman"/>
                <w:sz w:val="20"/>
                <w:szCs w:val="20"/>
              </w:rPr>
            </w:pPr>
            <w:r w:rsidRPr="00A07F29">
              <w:t>~ 18</w:t>
            </w:r>
          </w:p>
        </w:tc>
        <w:tc>
          <w:tcPr>
            <w:tcW w:w="1383" w:type="dxa"/>
          </w:tcPr>
          <w:p w14:paraId="5E9CED23" w14:textId="77777777" w:rsidR="009072CE" w:rsidRPr="00A07F29" w:rsidRDefault="009072CE" w:rsidP="009072CE">
            <w:pPr>
              <w:spacing w:after="0" w:line="240" w:lineRule="auto"/>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r>
      <w:tr w:rsidR="009072CE" w:rsidRPr="00A07F29" w14:paraId="7897B2CA" w14:textId="77777777" w:rsidTr="009056A3">
        <w:tc>
          <w:tcPr>
            <w:tcW w:w="534" w:type="dxa"/>
          </w:tcPr>
          <w:p w14:paraId="176866C7" w14:textId="62CEBD4F" w:rsidR="009072CE" w:rsidRPr="00A07F29" w:rsidRDefault="005D2CFD" w:rsidP="009072CE">
            <w:pPr>
              <w:spacing w:after="0" w:line="240" w:lineRule="auto"/>
              <w:rPr>
                <w:rFonts w:ascii="Times New Roman" w:eastAsia="Calibri" w:hAnsi="Times New Roman" w:cs="Times New Roman"/>
                <w:sz w:val="20"/>
                <w:szCs w:val="20"/>
              </w:rPr>
            </w:pPr>
            <w:r w:rsidRPr="00A07F29">
              <w:rPr>
                <w:rFonts w:ascii="Times New Roman" w:eastAsia="Calibri" w:hAnsi="Times New Roman" w:cs="Times New Roman"/>
                <w:sz w:val="20"/>
                <w:szCs w:val="20"/>
              </w:rPr>
              <w:t>2.</w:t>
            </w:r>
          </w:p>
        </w:tc>
        <w:tc>
          <w:tcPr>
            <w:tcW w:w="2268" w:type="dxa"/>
          </w:tcPr>
          <w:p w14:paraId="1B3BA3CE" w14:textId="77777777" w:rsidR="009072CE" w:rsidRPr="00A07F29" w:rsidRDefault="009072CE" w:rsidP="009072CE">
            <w:pPr>
              <w:spacing w:after="0" w:line="240" w:lineRule="auto"/>
              <w:jc w:val="center"/>
              <w:rPr>
                <w:rFonts w:ascii="Times New Roman" w:eastAsia="Calibri" w:hAnsi="Times New Roman" w:cs="Times New Roman"/>
                <w:sz w:val="20"/>
                <w:szCs w:val="20"/>
              </w:rPr>
            </w:pPr>
            <w:proofErr w:type="spellStart"/>
            <w:r w:rsidRPr="00A07F29">
              <w:rPr>
                <w:rFonts w:ascii="Times New Roman" w:eastAsia="Calibri" w:hAnsi="Times New Roman" w:cs="Times New Roman"/>
                <w:sz w:val="20"/>
                <w:szCs w:val="20"/>
              </w:rPr>
              <w:t>četrzobu</w:t>
            </w:r>
            <w:proofErr w:type="spellEnd"/>
            <w:r w:rsidRPr="00A07F29">
              <w:rPr>
                <w:rFonts w:ascii="Times New Roman" w:eastAsia="Calibri" w:hAnsi="Times New Roman" w:cs="Times New Roman"/>
                <w:sz w:val="20"/>
                <w:szCs w:val="20"/>
              </w:rPr>
              <w:t xml:space="preserve"> </w:t>
            </w:r>
            <w:proofErr w:type="spellStart"/>
            <w:r w:rsidRPr="00A07F29">
              <w:rPr>
                <w:rFonts w:ascii="Times New Roman" w:eastAsia="Calibri" w:hAnsi="Times New Roman" w:cs="Times New Roman"/>
                <w:sz w:val="20"/>
                <w:szCs w:val="20"/>
              </w:rPr>
              <w:t>pumpurgliemezis</w:t>
            </w:r>
            <w:proofErr w:type="spellEnd"/>
          </w:p>
          <w:p w14:paraId="5A07E290" w14:textId="77777777" w:rsidR="009072CE" w:rsidRPr="00A07F29" w:rsidRDefault="009072CE" w:rsidP="009072CE">
            <w:pPr>
              <w:spacing w:after="0" w:line="240" w:lineRule="auto"/>
              <w:jc w:val="center"/>
              <w:rPr>
                <w:rFonts w:ascii="Times New Roman" w:eastAsia="Calibri" w:hAnsi="Times New Roman" w:cs="Times New Roman"/>
                <w:sz w:val="20"/>
                <w:szCs w:val="20"/>
              </w:rPr>
            </w:pPr>
            <w:proofErr w:type="spellStart"/>
            <w:r w:rsidRPr="00A07F29">
              <w:rPr>
                <w:rFonts w:ascii="Times New Roman" w:eastAsia="Calibri" w:hAnsi="Times New Roman" w:cs="Times New Roman"/>
                <w:i/>
                <w:iCs/>
                <w:sz w:val="20"/>
                <w:szCs w:val="20"/>
                <w:shd w:val="clear" w:color="auto" w:fill="FFFFFF"/>
              </w:rPr>
              <w:t>Vertigo</w:t>
            </w:r>
            <w:proofErr w:type="spellEnd"/>
            <w:r w:rsidRPr="00A07F29">
              <w:rPr>
                <w:rFonts w:ascii="Times New Roman" w:eastAsia="Calibri" w:hAnsi="Times New Roman" w:cs="Times New Roman"/>
                <w:i/>
                <w:iCs/>
                <w:sz w:val="20"/>
                <w:szCs w:val="20"/>
                <w:shd w:val="clear" w:color="auto" w:fill="FFFFFF"/>
              </w:rPr>
              <w:t xml:space="preserve"> </w:t>
            </w:r>
            <w:proofErr w:type="spellStart"/>
            <w:r w:rsidRPr="00A07F29">
              <w:rPr>
                <w:rFonts w:ascii="Times New Roman" w:eastAsia="Calibri" w:hAnsi="Times New Roman" w:cs="Times New Roman"/>
                <w:i/>
                <w:iCs/>
                <w:sz w:val="20"/>
                <w:szCs w:val="20"/>
                <w:shd w:val="clear" w:color="auto" w:fill="FFFFFF"/>
              </w:rPr>
              <w:t>geyeri</w:t>
            </w:r>
            <w:proofErr w:type="spellEnd"/>
          </w:p>
        </w:tc>
        <w:tc>
          <w:tcPr>
            <w:tcW w:w="708" w:type="dxa"/>
          </w:tcPr>
          <w:p w14:paraId="7B8B8826" w14:textId="77777777" w:rsidR="009072CE" w:rsidRPr="00A07F29" w:rsidRDefault="009072CE" w:rsidP="009072CE">
            <w:pPr>
              <w:spacing w:after="0" w:line="240" w:lineRule="auto"/>
              <w:rPr>
                <w:rFonts w:ascii="Times New Roman" w:eastAsia="Calibri" w:hAnsi="Times New Roman" w:cs="Times New Roman"/>
                <w:sz w:val="20"/>
                <w:szCs w:val="20"/>
              </w:rPr>
            </w:pPr>
            <w:r w:rsidRPr="00A07F29">
              <w:rPr>
                <w:rFonts w:ascii="Times New Roman" w:eastAsia="Calibri" w:hAnsi="Times New Roman" w:cs="Times New Roman"/>
                <w:sz w:val="20"/>
                <w:szCs w:val="20"/>
              </w:rPr>
              <w:t>4</w:t>
            </w:r>
          </w:p>
        </w:tc>
        <w:tc>
          <w:tcPr>
            <w:tcW w:w="851" w:type="dxa"/>
          </w:tcPr>
          <w:p w14:paraId="32F311D7" w14:textId="77777777" w:rsidR="009072CE" w:rsidRPr="00A07F29" w:rsidRDefault="009072CE" w:rsidP="009072CE">
            <w:pPr>
              <w:spacing w:after="0" w:line="240" w:lineRule="auto"/>
              <w:rPr>
                <w:rFonts w:ascii="Times New Roman" w:eastAsia="Calibri" w:hAnsi="Times New Roman" w:cs="Times New Roman"/>
                <w:sz w:val="20"/>
                <w:szCs w:val="20"/>
              </w:rPr>
            </w:pPr>
            <w:r w:rsidRPr="00A07F29">
              <w:rPr>
                <w:rFonts w:ascii="Times New Roman" w:eastAsia="Calibri" w:hAnsi="Times New Roman" w:cs="Times New Roman"/>
                <w:sz w:val="20"/>
                <w:szCs w:val="20"/>
              </w:rPr>
              <w:t>4</w:t>
            </w:r>
          </w:p>
        </w:tc>
        <w:tc>
          <w:tcPr>
            <w:tcW w:w="1134" w:type="dxa"/>
          </w:tcPr>
          <w:p w14:paraId="32003EA5" w14:textId="31C970F2" w:rsidR="009072CE" w:rsidRPr="00A07F29" w:rsidRDefault="009072CE" w:rsidP="009072CE">
            <w:pPr>
              <w:spacing w:after="0" w:line="240" w:lineRule="auto"/>
              <w:rPr>
                <w:rFonts w:ascii="Times New Roman" w:eastAsia="Calibri" w:hAnsi="Times New Roman" w:cs="Times New Roman"/>
                <w:sz w:val="20"/>
                <w:szCs w:val="20"/>
              </w:rPr>
            </w:pPr>
            <w:r w:rsidRPr="00A07F29">
              <w:rPr>
                <w:rFonts w:ascii="Times New Roman" w:eastAsia="Calibri" w:hAnsi="Times New Roman" w:cs="Times New Roman"/>
                <w:sz w:val="20"/>
                <w:szCs w:val="20"/>
              </w:rPr>
              <w:t>13</w:t>
            </w:r>
            <w:r w:rsidR="00BD231B">
              <w:rPr>
                <w:rFonts w:ascii="Times New Roman" w:eastAsia="Calibri" w:hAnsi="Times New Roman" w:cs="Times New Roman"/>
                <w:sz w:val="20"/>
                <w:szCs w:val="20"/>
              </w:rPr>
              <w:t> </w:t>
            </w:r>
            <w:r w:rsidRPr="00A07F29">
              <w:rPr>
                <w:rFonts w:ascii="Times New Roman" w:eastAsia="Calibri" w:hAnsi="Times New Roman" w:cs="Times New Roman"/>
                <w:sz w:val="20"/>
                <w:szCs w:val="20"/>
              </w:rPr>
              <w:t>%</w:t>
            </w:r>
          </w:p>
        </w:tc>
        <w:tc>
          <w:tcPr>
            <w:tcW w:w="1276" w:type="dxa"/>
          </w:tcPr>
          <w:p w14:paraId="4E701C1A" w14:textId="057A59F7" w:rsidR="009072CE" w:rsidRPr="00A07F29" w:rsidRDefault="009072CE" w:rsidP="009072CE">
            <w:pPr>
              <w:spacing w:after="0" w:line="240" w:lineRule="auto"/>
              <w:rPr>
                <w:rFonts w:ascii="Times New Roman" w:eastAsia="Calibri" w:hAnsi="Times New Roman" w:cs="Times New Roman"/>
                <w:sz w:val="20"/>
                <w:szCs w:val="20"/>
              </w:rPr>
            </w:pPr>
            <w:r w:rsidRPr="00A07F29">
              <w:rPr>
                <w:rFonts w:ascii="Times New Roman" w:eastAsia="Calibri" w:hAnsi="Times New Roman" w:cs="Times New Roman"/>
                <w:sz w:val="20"/>
                <w:szCs w:val="20"/>
              </w:rPr>
              <w:t>13</w:t>
            </w:r>
            <w:r w:rsidR="00BD231B">
              <w:rPr>
                <w:rFonts w:ascii="Times New Roman" w:eastAsia="Calibri" w:hAnsi="Times New Roman" w:cs="Times New Roman"/>
                <w:sz w:val="20"/>
                <w:szCs w:val="20"/>
              </w:rPr>
              <w:t> </w:t>
            </w:r>
            <w:r w:rsidRPr="00A07F29">
              <w:rPr>
                <w:rFonts w:ascii="Times New Roman" w:eastAsia="Calibri" w:hAnsi="Times New Roman" w:cs="Times New Roman"/>
                <w:sz w:val="20"/>
                <w:szCs w:val="20"/>
              </w:rPr>
              <w:t>%</w:t>
            </w:r>
          </w:p>
        </w:tc>
        <w:tc>
          <w:tcPr>
            <w:tcW w:w="1134" w:type="dxa"/>
          </w:tcPr>
          <w:p w14:paraId="3DF2FB52" w14:textId="77777777" w:rsidR="009072CE" w:rsidRPr="00A07F29" w:rsidRDefault="009072CE" w:rsidP="009072CE">
            <w:pPr>
              <w:spacing w:after="0" w:line="240" w:lineRule="auto"/>
              <w:rPr>
                <w:rFonts w:ascii="Times New Roman" w:eastAsia="Calibri" w:hAnsi="Times New Roman" w:cs="Times New Roman"/>
                <w:sz w:val="20"/>
                <w:szCs w:val="20"/>
              </w:rPr>
            </w:pPr>
            <w:r w:rsidRPr="00A07F29">
              <w:t>~ 23</w:t>
            </w:r>
          </w:p>
        </w:tc>
        <w:tc>
          <w:tcPr>
            <w:tcW w:w="1383" w:type="dxa"/>
          </w:tcPr>
          <w:p w14:paraId="2DA04584" w14:textId="77777777" w:rsidR="009072CE" w:rsidRPr="00A07F29" w:rsidRDefault="009072CE" w:rsidP="009072CE">
            <w:pPr>
              <w:spacing w:after="0" w:line="240" w:lineRule="auto"/>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r>
      <w:tr w:rsidR="009072CE" w:rsidRPr="00A07F29" w14:paraId="012A3383" w14:textId="77777777" w:rsidTr="009056A3">
        <w:tc>
          <w:tcPr>
            <w:tcW w:w="534" w:type="dxa"/>
          </w:tcPr>
          <w:p w14:paraId="6EB2E76A" w14:textId="564E5238" w:rsidR="009072CE" w:rsidRPr="00A07F29" w:rsidRDefault="005D2CFD" w:rsidP="009072CE">
            <w:pPr>
              <w:spacing w:after="0" w:line="240" w:lineRule="auto"/>
              <w:rPr>
                <w:rFonts w:ascii="Times New Roman" w:eastAsia="Calibri" w:hAnsi="Times New Roman" w:cs="Times New Roman"/>
                <w:sz w:val="20"/>
                <w:szCs w:val="20"/>
              </w:rPr>
            </w:pPr>
            <w:r w:rsidRPr="00A07F29">
              <w:rPr>
                <w:rFonts w:ascii="Times New Roman" w:eastAsia="Calibri" w:hAnsi="Times New Roman" w:cs="Times New Roman"/>
                <w:sz w:val="20"/>
                <w:szCs w:val="20"/>
              </w:rPr>
              <w:t>3.</w:t>
            </w:r>
          </w:p>
        </w:tc>
        <w:tc>
          <w:tcPr>
            <w:tcW w:w="2268" w:type="dxa"/>
          </w:tcPr>
          <w:p w14:paraId="6064CD69" w14:textId="77777777" w:rsidR="009072CE" w:rsidRPr="00A07F29" w:rsidRDefault="009072CE" w:rsidP="009072CE">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 xml:space="preserve">biezā </w:t>
            </w:r>
            <w:proofErr w:type="spellStart"/>
            <w:r w:rsidRPr="00A07F29">
              <w:rPr>
                <w:rFonts w:ascii="Times New Roman" w:eastAsia="Calibri" w:hAnsi="Times New Roman" w:cs="Times New Roman"/>
                <w:sz w:val="20"/>
                <w:szCs w:val="20"/>
              </w:rPr>
              <w:t>perlamutrene</w:t>
            </w:r>
            <w:proofErr w:type="spellEnd"/>
          </w:p>
          <w:p w14:paraId="16291162" w14:textId="77777777" w:rsidR="009072CE" w:rsidRPr="00A07F29" w:rsidRDefault="009072CE" w:rsidP="009072CE">
            <w:pPr>
              <w:spacing w:after="0" w:line="240" w:lineRule="auto"/>
              <w:jc w:val="center"/>
              <w:rPr>
                <w:rFonts w:ascii="Times New Roman" w:eastAsia="Calibri" w:hAnsi="Times New Roman" w:cs="Times New Roman"/>
                <w:sz w:val="20"/>
                <w:shd w:val="clear" w:color="auto" w:fill="FFFFFF"/>
              </w:rPr>
            </w:pPr>
            <w:proofErr w:type="spellStart"/>
            <w:r w:rsidRPr="00A07F29">
              <w:rPr>
                <w:rFonts w:ascii="Times New Roman" w:eastAsia="Calibri" w:hAnsi="Times New Roman" w:cs="Times New Roman"/>
                <w:i/>
                <w:iCs/>
                <w:sz w:val="20"/>
                <w:szCs w:val="20"/>
              </w:rPr>
              <w:t>Unio</w:t>
            </w:r>
            <w:proofErr w:type="spellEnd"/>
            <w:r w:rsidRPr="00A07F29">
              <w:rPr>
                <w:rFonts w:ascii="Times New Roman" w:eastAsia="Calibri" w:hAnsi="Times New Roman" w:cs="Times New Roman"/>
                <w:i/>
                <w:iCs/>
                <w:sz w:val="20"/>
                <w:szCs w:val="20"/>
              </w:rPr>
              <w:t xml:space="preserve"> </w:t>
            </w:r>
            <w:proofErr w:type="spellStart"/>
            <w:r w:rsidRPr="00A07F29">
              <w:rPr>
                <w:rFonts w:ascii="Times New Roman" w:eastAsia="Calibri" w:hAnsi="Times New Roman" w:cs="Times New Roman"/>
                <w:i/>
                <w:iCs/>
                <w:sz w:val="20"/>
                <w:szCs w:val="20"/>
              </w:rPr>
              <w:t>crassus</w:t>
            </w:r>
            <w:proofErr w:type="spellEnd"/>
          </w:p>
        </w:tc>
        <w:tc>
          <w:tcPr>
            <w:tcW w:w="708" w:type="dxa"/>
          </w:tcPr>
          <w:p w14:paraId="408CA715" w14:textId="77777777" w:rsidR="009072CE" w:rsidRPr="00A07F29" w:rsidRDefault="009072CE" w:rsidP="009072CE">
            <w:pPr>
              <w:spacing w:after="0" w:line="240" w:lineRule="auto"/>
              <w:rPr>
                <w:rFonts w:ascii="Times New Roman" w:eastAsia="Calibri" w:hAnsi="Times New Roman" w:cs="Times New Roman"/>
                <w:sz w:val="20"/>
                <w:szCs w:val="20"/>
              </w:rPr>
            </w:pPr>
            <w:r w:rsidRPr="00A07F29">
              <w:rPr>
                <w:rFonts w:ascii="Times New Roman" w:eastAsia="Calibri" w:hAnsi="Times New Roman" w:cs="Times New Roman"/>
                <w:sz w:val="20"/>
                <w:szCs w:val="20"/>
              </w:rPr>
              <w:t>5</w:t>
            </w:r>
          </w:p>
        </w:tc>
        <w:tc>
          <w:tcPr>
            <w:tcW w:w="851" w:type="dxa"/>
          </w:tcPr>
          <w:p w14:paraId="6EF2993B" w14:textId="77777777" w:rsidR="009072CE" w:rsidRPr="00A07F29" w:rsidRDefault="009072CE" w:rsidP="009072CE">
            <w:pPr>
              <w:spacing w:after="0" w:line="240" w:lineRule="auto"/>
              <w:rPr>
                <w:rFonts w:ascii="Times New Roman" w:eastAsia="Calibri" w:hAnsi="Times New Roman" w:cs="Times New Roman"/>
                <w:sz w:val="20"/>
                <w:szCs w:val="20"/>
              </w:rPr>
            </w:pPr>
            <w:r w:rsidRPr="00A07F29">
              <w:rPr>
                <w:rFonts w:ascii="Times New Roman" w:eastAsia="Calibri" w:hAnsi="Times New Roman" w:cs="Times New Roman"/>
                <w:sz w:val="20"/>
                <w:szCs w:val="20"/>
              </w:rPr>
              <w:t>5</w:t>
            </w:r>
          </w:p>
        </w:tc>
        <w:tc>
          <w:tcPr>
            <w:tcW w:w="1134" w:type="dxa"/>
          </w:tcPr>
          <w:p w14:paraId="6BED6D02" w14:textId="17FEBAE0" w:rsidR="009072CE" w:rsidRPr="00A07F29" w:rsidRDefault="009072CE" w:rsidP="009072CE">
            <w:pPr>
              <w:spacing w:after="0" w:line="240" w:lineRule="auto"/>
              <w:rPr>
                <w:rFonts w:ascii="Times New Roman" w:eastAsia="Calibri" w:hAnsi="Times New Roman" w:cs="Times New Roman"/>
                <w:sz w:val="20"/>
                <w:szCs w:val="20"/>
              </w:rPr>
            </w:pPr>
            <w:r w:rsidRPr="00A07F29">
              <w:rPr>
                <w:rFonts w:ascii="Times New Roman" w:eastAsia="Calibri" w:hAnsi="Times New Roman" w:cs="Times New Roman"/>
                <w:sz w:val="20"/>
                <w:szCs w:val="20"/>
              </w:rPr>
              <w:t>5</w:t>
            </w:r>
            <w:r w:rsidR="00BD231B">
              <w:rPr>
                <w:rFonts w:ascii="Times New Roman" w:eastAsia="Calibri" w:hAnsi="Times New Roman" w:cs="Times New Roman"/>
                <w:sz w:val="20"/>
                <w:szCs w:val="20"/>
              </w:rPr>
              <w:t> </w:t>
            </w:r>
            <w:r w:rsidRPr="00A07F29">
              <w:rPr>
                <w:rFonts w:ascii="Times New Roman" w:eastAsia="Calibri" w:hAnsi="Times New Roman" w:cs="Times New Roman"/>
                <w:sz w:val="20"/>
                <w:szCs w:val="20"/>
              </w:rPr>
              <w:t>%</w:t>
            </w:r>
          </w:p>
        </w:tc>
        <w:tc>
          <w:tcPr>
            <w:tcW w:w="1276" w:type="dxa"/>
          </w:tcPr>
          <w:p w14:paraId="0E7BDA3E" w14:textId="41DA1546" w:rsidR="009072CE" w:rsidRPr="00A07F29" w:rsidRDefault="009072CE" w:rsidP="009072CE">
            <w:pPr>
              <w:spacing w:after="0" w:line="240" w:lineRule="auto"/>
              <w:rPr>
                <w:rFonts w:ascii="Times New Roman" w:eastAsia="Calibri" w:hAnsi="Times New Roman" w:cs="Times New Roman"/>
                <w:sz w:val="20"/>
                <w:szCs w:val="20"/>
              </w:rPr>
            </w:pPr>
            <w:r w:rsidRPr="00A07F29">
              <w:rPr>
                <w:rFonts w:ascii="Times New Roman" w:eastAsia="Calibri" w:hAnsi="Times New Roman" w:cs="Times New Roman"/>
                <w:sz w:val="20"/>
                <w:szCs w:val="20"/>
              </w:rPr>
              <w:t>5</w:t>
            </w:r>
            <w:r w:rsidR="00BD231B">
              <w:rPr>
                <w:rFonts w:ascii="Times New Roman" w:eastAsia="Calibri" w:hAnsi="Times New Roman" w:cs="Times New Roman"/>
                <w:sz w:val="20"/>
                <w:szCs w:val="20"/>
              </w:rPr>
              <w:t> </w:t>
            </w:r>
            <w:r w:rsidRPr="00A07F29">
              <w:rPr>
                <w:rFonts w:ascii="Times New Roman" w:eastAsia="Calibri" w:hAnsi="Times New Roman" w:cs="Times New Roman"/>
                <w:sz w:val="20"/>
                <w:szCs w:val="20"/>
              </w:rPr>
              <w:t>%</w:t>
            </w:r>
          </w:p>
        </w:tc>
        <w:tc>
          <w:tcPr>
            <w:tcW w:w="1134" w:type="dxa"/>
          </w:tcPr>
          <w:p w14:paraId="40704162" w14:textId="77777777" w:rsidR="009072CE" w:rsidRPr="00A07F29" w:rsidRDefault="009072CE" w:rsidP="009072CE">
            <w:pPr>
              <w:spacing w:after="0" w:line="240" w:lineRule="auto"/>
              <w:rPr>
                <w:rFonts w:ascii="Times New Roman" w:eastAsia="Calibri" w:hAnsi="Times New Roman" w:cs="Times New Roman"/>
                <w:sz w:val="20"/>
                <w:szCs w:val="20"/>
              </w:rPr>
            </w:pPr>
            <w:r w:rsidRPr="00A07F29">
              <w:t>~ 1344</w:t>
            </w:r>
          </w:p>
        </w:tc>
        <w:tc>
          <w:tcPr>
            <w:tcW w:w="1383" w:type="dxa"/>
          </w:tcPr>
          <w:p w14:paraId="2D8923AB" w14:textId="77777777" w:rsidR="009072CE" w:rsidRPr="00A07F29" w:rsidRDefault="009072CE" w:rsidP="009072CE">
            <w:pPr>
              <w:spacing w:after="0" w:line="240" w:lineRule="auto"/>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r>
      <w:tr w:rsidR="009072CE" w:rsidRPr="00A07F29" w14:paraId="60AB0D2D" w14:textId="77777777" w:rsidTr="009056A3">
        <w:tc>
          <w:tcPr>
            <w:tcW w:w="534" w:type="dxa"/>
          </w:tcPr>
          <w:p w14:paraId="4B06DAA4" w14:textId="5C1C0F59" w:rsidR="009072CE" w:rsidRPr="00A07F29" w:rsidRDefault="005D2CFD" w:rsidP="009072CE">
            <w:pPr>
              <w:spacing w:after="0" w:line="240" w:lineRule="auto"/>
              <w:rPr>
                <w:rFonts w:ascii="Times New Roman" w:eastAsia="Calibri" w:hAnsi="Times New Roman" w:cs="Times New Roman"/>
                <w:sz w:val="20"/>
                <w:szCs w:val="20"/>
              </w:rPr>
            </w:pPr>
            <w:r w:rsidRPr="00A07F29">
              <w:rPr>
                <w:rFonts w:ascii="Times New Roman" w:eastAsia="Calibri" w:hAnsi="Times New Roman" w:cs="Times New Roman"/>
                <w:sz w:val="20"/>
                <w:szCs w:val="20"/>
              </w:rPr>
              <w:t>4.</w:t>
            </w:r>
          </w:p>
        </w:tc>
        <w:tc>
          <w:tcPr>
            <w:tcW w:w="2268" w:type="dxa"/>
          </w:tcPr>
          <w:p w14:paraId="60FEAC4E" w14:textId="77777777" w:rsidR="009072CE" w:rsidRPr="00A07F29" w:rsidRDefault="009072CE" w:rsidP="009072CE">
            <w:pPr>
              <w:spacing w:after="0" w:line="240" w:lineRule="auto"/>
              <w:jc w:val="center"/>
              <w:rPr>
                <w:rFonts w:ascii="Times New Roman" w:eastAsia="Calibri" w:hAnsi="Times New Roman" w:cs="Times New Roman"/>
                <w:sz w:val="20"/>
                <w:shd w:val="clear" w:color="auto" w:fill="FFFFFF"/>
              </w:rPr>
            </w:pPr>
            <w:r w:rsidRPr="00A07F29">
              <w:rPr>
                <w:rFonts w:ascii="Times New Roman" w:eastAsia="Calibri" w:hAnsi="Times New Roman" w:cs="Times New Roman"/>
                <w:sz w:val="20"/>
                <w:shd w:val="clear" w:color="auto" w:fill="FFFFFF"/>
              </w:rPr>
              <w:t>parka vīngliemezis</w:t>
            </w:r>
          </w:p>
          <w:p w14:paraId="252512C4" w14:textId="77777777" w:rsidR="009072CE" w:rsidRPr="00A07F29" w:rsidRDefault="009072CE" w:rsidP="009072CE">
            <w:pPr>
              <w:spacing w:after="0" w:line="240" w:lineRule="auto"/>
              <w:jc w:val="center"/>
              <w:rPr>
                <w:rFonts w:ascii="Times New Roman" w:eastAsia="Calibri" w:hAnsi="Times New Roman" w:cs="Times New Roman"/>
                <w:sz w:val="20"/>
                <w:szCs w:val="20"/>
              </w:rPr>
            </w:pPr>
            <w:proofErr w:type="spellStart"/>
            <w:r w:rsidRPr="00A07F29">
              <w:rPr>
                <w:rFonts w:ascii="Times New Roman" w:eastAsia="Calibri" w:hAnsi="Times New Roman" w:cs="Times New Roman"/>
                <w:i/>
                <w:sz w:val="20"/>
              </w:rPr>
              <w:t>Helix</w:t>
            </w:r>
            <w:proofErr w:type="spellEnd"/>
            <w:r w:rsidRPr="00A07F29">
              <w:rPr>
                <w:rFonts w:ascii="Times New Roman" w:eastAsia="Calibri" w:hAnsi="Times New Roman" w:cs="Times New Roman"/>
                <w:i/>
                <w:sz w:val="20"/>
              </w:rPr>
              <w:t xml:space="preserve"> </w:t>
            </w:r>
            <w:proofErr w:type="spellStart"/>
            <w:r w:rsidRPr="00A07F29">
              <w:rPr>
                <w:rFonts w:ascii="Times New Roman" w:eastAsia="Calibri" w:hAnsi="Times New Roman" w:cs="Times New Roman"/>
                <w:i/>
                <w:sz w:val="20"/>
              </w:rPr>
              <w:t>pomatia</w:t>
            </w:r>
            <w:proofErr w:type="spellEnd"/>
          </w:p>
        </w:tc>
        <w:tc>
          <w:tcPr>
            <w:tcW w:w="708" w:type="dxa"/>
          </w:tcPr>
          <w:p w14:paraId="1A4DA84C" w14:textId="77777777" w:rsidR="009072CE" w:rsidRPr="00A07F29" w:rsidRDefault="009072CE" w:rsidP="009072CE">
            <w:pPr>
              <w:spacing w:after="0" w:line="240" w:lineRule="auto"/>
              <w:rPr>
                <w:rFonts w:ascii="Times New Roman" w:eastAsia="Calibri" w:hAnsi="Times New Roman" w:cs="Times New Roman"/>
                <w:sz w:val="20"/>
                <w:szCs w:val="20"/>
              </w:rPr>
            </w:pPr>
            <w:r w:rsidRPr="00A07F29">
              <w:rPr>
                <w:rFonts w:ascii="Times New Roman" w:eastAsia="Calibri" w:hAnsi="Times New Roman" w:cs="Times New Roman"/>
                <w:sz w:val="20"/>
                <w:szCs w:val="20"/>
              </w:rPr>
              <w:t>200</w:t>
            </w:r>
          </w:p>
        </w:tc>
        <w:tc>
          <w:tcPr>
            <w:tcW w:w="851" w:type="dxa"/>
          </w:tcPr>
          <w:p w14:paraId="303E1CD7" w14:textId="77777777" w:rsidR="009072CE" w:rsidRPr="00A07F29" w:rsidRDefault="009072CE" w:rsidP="009072CE">
            <w:pPr>
              <w:spacing w:after="0" w:line="240" w:lineRule="auto"/>
              <w:rPr>
                <w:rFonts w:ascii="Times New Roman" w:eastAsia="Calibri" w:hAnsi="Times New Roman" w:cs="Times New Roman"/>
                <w:sz w:val="20"/>
                <w:szCs w:val="20"/>
              </w:rPr>
            </w:pPr>
            <w:r w:rsidRPr="00A07F29">
              <w:rPr>
                <w:rFonts w:ascii="Times New Roman" w:eastAsia="Calibri" w:hAnsi="Times New Roman" w:cs="Times New Roman"/>
                <w:sz w:val="20"/>
                <w:szCs w:val="20"/>
              </w:rPr>
              <w:t>400</w:t>
            </w:r>
          </w:p>
        </w:tc>
        <w:tc>
          <w:tcPr>
            <w:tcW w:w="1134" w:type="dxa"/>
          </w:tcPr>
          <w:p w14:paraId="59E5248B" w14:textId="77777777" w:rsidR="009072CE" w:rsidRPr="00A07F29" w:rsidRDefault="009072CE" w:rsidP="009072CE">
            <w:pPr>
              <w:spacing w:after="0" w:line="240" w:lineRule="auto"/>
              <w:rPr>
                <w:rFonts w:ascii="Times New Roman" w:eastAsia="Calibri" w:hAnsi="Times New Roman" w:cs="Times New Roman"/>
                <w:sz w:val="20"/>
                <w:szCs w:val="20"/>
              </w:rPr>
            </w:pPr>
            <w:r w:rsidRPr="00A07F29">
              <w:rPr>
                <w:rFonts w:ascii="Times New Roman" w:eastAsia="Calibri" w:hAnsi="Times New Roman" w:cs="Times New Roman"/>
                <w:sz w:val="20"/>
                <w:szCs w:val="20"/>
              </w:rPr>
              <w:t>Nav datu</w:t>
            </w:r>
          </w:p>
        </w:tc>
        <w:tc>
          <w:tcPr>
            <w:tcW w:w="1276" w:type="dxa"/>
          </w:tcPr>
          <w:p w14:paraId="46B7CA6D" w14:textId="77777777" w:rsidR="009072CE" w:rsidRPr="00A07F29" w:rsidRDefault="009072CE" w:rsidP="009072CE">
            <w:pPr>
              <w:spacing w:after="0" w:line="240" w:lineRule="auto"/>
              <w:rPr>
                <w:rFonts w:ascii="Times New Roman" w:eastAsia="Calibri" w:hAnsi="Times New Roman" w:cs="Times New Roman"/>
                <w:sz w:val="20"/>
                <w:szCs w:val="20"/>
              </w:rPr>
            </w:pPr>
            <w:r w:rsidRPr="00A07F29">
              <w:rPr>
                <w:rFonts w:ascii="Times New Roman" w:eastAsia="Calibri" w:hAnsi="Times New Roman" w:cs="Times New Roman"/>
                <w:sz w:val="20"/>
                <w:szCs w:val="20"/>
              </w:rPr>
              <w:t>&gt;1</w:t>
            </w:r>
          </w:p>
        </w:tc>
        <w:tc>
          <w:tcPr>
            <w:tcW w:w="1134" w:type="dxa"/>
          </w:tcPr>
          <w:p w14:paraId="13DDA0F3" w14:textId="77777777" w:rsidR="009072CE" w:rsidRPr="00A07F29" w:rsidRDefault="009072CE" w:rsidP="009072CE">
            <w:pPr>
              <w:spacing w:after="0" w:line="240" w:lineRule="auto"/>
              <w:rPr>
                <w:rFonts w:ascii="Times New Roman" w:eastAsia="Calibri" w:hAnsi="Times New Roman" w:cs="Times New Roman"/>
                <w:sz w:val="20"/>
                <w:szCs w:val="20"/>
              </w:rPr>
            </w:pPr>
            <w:r w:rsidRPr="00A07F29">
              <w:rPr>
                <w:rFonts w:ascii="Times New Roman" w:eastAsia="Calibri" w:hAnsi="Times New Roman" w:cs="Times New Roman"/>
                <w:sz w:val="20"/>
                <w:szCs w:val="20"/>
              </w:rPr>
              <w:t>~ 40 000</w:t>
            </w:r>
          </w:p>
        </w:tc>
        <w:tc>
          <w:tcPr>
            <w:tcW w:w="1383" w:type="dxa"/>
          </w:tcPr>
          <w:p w14:paraId="38744C97" w14:textId="77777777" w:rsidR="009072CE" w:rsidRPr="00A07F29" w:rsidRDefault="009072CE" w:rsidP="009072CE">
            <w:pPr>
              <w:spacing w:after="0" w:line="240" w:lineRule="auto"/>
              <w:rPr>
                <w:rFonts w:ascii="Times New Roman" w:eastAsia="Calibri" w:hAnsi="Times New Roman" w:cs="Times New Roman"/>
                <w:sz w:val="20"/>
                <w:szCs w:val="20"/>
              </w:rPr>
            </w:pPr>
            <w:r w:rsidRPr="00A07F29">
              <w:rPr>
                <w:rFonts w:ascii="Times New Roman" w:eastAsia="Calibri" w:hAnsi="Times New Roman" w:cs="Times New Roman"/>
                <w:sz w:val="20"/>
                <w:szCs w:val="20"/>
              </w:rPr>
              <w:t>~ 5</w:t>
            </w:r>
          </w:p>
        </w:tc>
      </w:tr>
    </w:tbl>
    <w:p w14:paraId="1D256CC3" w14:textId="77777777" w:rsidR="009072CE" w:rsidRPr="00A07F29" w:rsidRDefault="009072CE" w:rsidP="009072CE">
      <w:pPr>
        <w:tabs>
          <w:tab w:val="left" w:pos="720"/>
        </w:tabs>
        <w:suppressAutoHyphens/>
        <w:autoSpaceDN w:val="0"/>
        <w:spacing w:after="240" w:line="240" w:lineRule="auto"/>
        <w:contextualSpacing/>
        <w:jc w:val="both"/>
        <w:rPr>
          <w:rFonts w:ascii="Times New Roman" w:eastAsia="Calibri" w:hAnsi="Times New Roman" w:cs="Times New Roman"/>
          <w:kern w:val="2"/>
          <w:sz w:val="24"/>
          <w:szCs w:val="24"/>
          <w:lang w:eastAsia="ar-SA"/>
        </w:rPr>
      </w:pPr>
    </w:p>
    <w:p w14:paraId="3FCA4085" w14:textId="77777777" w:rsidR="009072CE" w:rsidRPr="00A07F29" w:rsidRDefault="009072CE" w:rsidP="00C96B50">
      <w:pPr>
        <w:spacing w:after="120" w:line="240" w:lineRule="auto"/>
        <w:ind w:firstLine="720"/>
        <w:jc w:val="both"/>
        <w:rPr>
          <w:rFonts w:ascii="Times New Roman" w:eastAsia="Calibri" w:hAnsi="Times New Roman" w:cs="Times New Roman"/>
          <w:iCs/>
          <w:sz w:val="24"/>
          <w:szCs w:val="24"/>
        </w:rPr>
      </w:pPr>
      <w:r w:rsidRPr="00A07F29">
        <w:rPr>
          <w:rFonts w:ascii="Times New Roman" w:eastAsia="Calibri" w:hAnsi="Times New Roman" w:cs="Times New Roman"/>
          <w:iCs/>
          <w:sz w:val="24"/>
          <w:szCs w:val="24"/>
        </w:rPr>
        <w:t xml:space="preserve">Teritorijā </w:t>
      </w:r>
      <w:r w:rsidRPr="00755E09">
        <w:rPr>
          <w:rFonts w:ascii="Times New Roman" w:eastAsia="Calibri" w:hAnsi="Times New Roman" w:cs="Times New Roman"/>
          <w:iCs/>
          <w:sz w:val="24"/>
          <w:szCs w:val="24"/>
        </w:rPr>
        <w:t>īpaši aizsargājamo</w:t>
      </w:r>
      <w:r w:rsidRPr="00A07F29">
        <w:rPr>
          <w:rFonts w:ascii="Times New Roman" w:eastAsia="Calibri" w:hAnsi="Times New Roman" w:cs="Times New Roman"/>
          <w:iCs/>
          <w:sz w:val="24"/>
          <w:szCs w:val="24"/>
        </w:rPr>
        <w:t xml:space="preserve"> sauszemes gliemežu dzīvotnes ir saistītas ar zālājiem pie ūdenstilpēm, pārejas purviem, nogāžu un gravu mežiem. Saldūdens sugas ir saistītas ar straujtecēm, atsevišķu sugu dzīvotnes ir dažāda veida mitraines ūdenstilpju piekrastē vai purvos. </w:t>
      </w:r>
    </w:p>
    <w:p w14:paraId="4D19F353" w14:textId="51A15927" w:rsidR="009072CE" w:rsidRPr="00A07F29" w:rsidRDefault="009072CE" w:rsidP="00C96B50">
      <w:pPr>
        <w:spacing w:after="120" w:line="240" w:lineRule="auto"/>
        <w:ind w:firstLine="720"/>
        <w:jc w:val="both"/>
        <w:rPr>
          <w:rFonts w:ascii="Times New Roman" w:eastAsia="Calibri" w:hAnsi="Times New Roman" w:cs="Times New Roman"/>
          <w:iCs/>
          <w:sz w:val="24"/>
          <w:szCs w:val="24"/>
        </w:rPr>
      </w:pPr>
      <w:r w:rsidRPr="00A07F29">
        <w:rPr>
          <w:rFonts w:ascii="Times New Roman" w:eastAsia="Calibri" w:hAnsi="Times New Roman" w:cs="Times New Roman"/>
          <w:iCs/>
          <w:sz w:val="24"/>
          <w:szCs w:val="24"/>
        </w:rPr>
        <w:t xml:space="preserve">Slaidā </w:t>
      </w:r>
      <w:proofErr w:type="spellStart"/>
      <w:r w:rsidRPr="00A07F29">
        <w:rPr>
          <w:rFonts w:ascii="Times New Roman" w:eastAsia="Calibri" w:hAnsi="Times New Roman" w:cs="Times New Roman"/>
          <w:iCs/>
          <w:sz w:val="24"/>
          <w:szCs w:val="24"/>
        </w:rPr>
        <w:t>pumpurgliemeža</w:t>
      </w:r>
      <w:proofErr w:type="spellEnd"/>
      <w:r w:rsidRPr="00A07F29">
        <w:rPr>
          <w:rFonts w:ascii="Times New Roman" w:eastAsia="Calibri" w:hAnsi="Times New Roman" w:cs="Times New Roman"/>
          <w:iCs/>
          <w:sz w:val="24"/>
          <w:szCs w:val="24"/>
        </w:rPr>
        <w:t xml:space="preserve"> </w:t>
      </w:r>
      <w:proofErr w:type="spellStart"/>
      <w:r w:rsidRPr="00A07F29">
        <w:rPr>
          <w:rFonts w:ascii="Times New Roman" w:eastAsia="Calibri" w:hAnsi="Times New Roman" w:cs="Times New Roman"/>
          <w:i/>
          <w:iCs/>
          <w:sz w:val="24"/>
          <w:szCs w:val="24"/>
        </w:rPr>
        <w:t>Vertigo</w:t>
      </w:r>
      <w:proofErr w:type="spellEnd"/>
      <w:r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angustior</w:t>
      </w:r>
      <w:proofErr w:type="spellEnd"/>
      <w:r w:rsidRPr="00A07F29">
        <w:rPr>
          <w:rFonts w:ascii="Times New Roman" w:eastAsia="Calibri" w:hAnsi="Times New Roman" w:cs="Times New Roman"/>
          <w:iCs/>
          <w:sz w:val="24"/>
          <w:szCs w:val="24"/>
        </w:rPr>
        <w:t xml:space="preserve"> vēsturiski zināmā atradne pie Skaistas upītes Krāslavas novadā (</w:t>
      </w:r>
      <w:r w:rsidR="004519D8">
        <w:rPr>
          <w:rFonts w:ascii="Times New Roman" w:eastAsia="Calibri" w:hAnsi="Times New Roman" w:cs="Times New Roman"/>
          <w:iCs/>
          <w:sz w:val="24"/>
          <w:szCs w:val="24"/>
        </w:rPr>
        <w:t>koordinātas</w:t>
      </w:r>
      <w:r w:rsidR="009A227F">
        <w:rPr>
          <w:rFonts w:ascii="Times New Roman" w:eastAsia="Calibri" w:hAnsi="Times New Roman" w:cs="Times New Roman"/>
          <w:iCs/>
          <w:sz w:val="24"/>
          <w:szCs w:val="24"/>
        </w:rPr>
        <w:t>:</w:t>
      </w:r>
      <w:r w:rsidR="004519D8">
        <w:rPr>
          <w:rFonts w:ascii="Times New Roman" w:eastAsia="Calibri" w:hAnsi="Times New Roman" w:cs="Times New Roman"/>
          <w:iCs/>
          <w:sz w:val="24"/>
          <w:szCs w:val="24"/>
        </w:rPr>
        <w:t xml:space="preserve"> </w:t>
      </w:r>
      <w:r w:rsidRPr="00A07F29">
        <w:rPr>
          <w:rFonts w:ascii="Times New Roman" w:eastAsia="Calibri" w:hAnsi="Times New Roman" w:cs="Times New Roman"/>
          <w:iCs/>
          <w:sz w:val="24"/>
          <w:szCs w:val="24"/>
        </w:rPr>
        <w:t>x</w:t>
      </w:r>
      <w:r w:rsidR="004519D8">
        <w:rPr>
          <w:rFonts w:ascii="Times New Roman" w:eastAsia="Calibri" w:hAnsi="Times New Roman" w:cs="Times New Roman"/>
          <w:iCs/>
          <w:sz w:val="24"/>
          <w:szCs w:val="24"/>
        </w:rPr>
        <w:t> </w:t>
      </w:r>
      <w:r w:rsidRPr="00A07F29">
        <w:rPr>
          <w:rFonts w:ascii="Times New Roman" w:eastAsia="Calibri" w:hAnsi="Times New Roman" w:cs="Times New Roman"/>
          <w:iCs/>
          <w:sz w:val="24"/>
          <w:szCs w:val="24"/>
        </w:rPr>
        <w:t>700107; y</w:t>
      </w:r>
      <w:r w:rsidR="004519D8">
        <w:rPr>
          <w:rFonts w:ascii="Times New Roman" w:eastAsia="Calibri" w:hAnsi="Times New Roman" w:cs="Times New Roman"/>
          <w:iCs/>
          <w:sz w:val="24"/>
          <w:szCs w:val="24"/>
        </w:rPr>
        <w:t> </w:t>
      </w:r>
      <w:r w:rsidRPr="00A07F29">
        <w:rPr>
          <w:rFonts w:ascii="Times New Roman" w:eastAsia="Calibri" w:hAnsi="Times New Roman" w:cs="Times New Roman"/>
          <w:iCs/>
          <w:sz w:val="24"/>
          <w:szCs w:val="24"/>
        </w:rPr>
        <w:t xml:space="preserve">197760) ir palieņu zālājs. </w:t>
      </w:r>
      <w:proofErr w:type="spellStart"/>
      <w:r w:rsidRPr="00A07F29">
        <w:rPr>
          <w:rFonts w:ascii="Times New Roman" w:eastAsia="Calibri" w:hAnsi="Times New Roman" w:cs="Times New Roman"/>
          <w:iCs/>
          <w:sz w:val="24"/>
          <w:szCs w:val="24"/>
        </w:rPr>
        <w:t>Paraugošanas</w:t>
      </w:r>
      <w:proofErr w:type="spellEnd"/>
      <w:r w:rsidRPr="00A07F29">
        <w:rPr>
          <w:rFonts w:ascii="Times New Roman" w:eastAsia="Calibri" w:hAnsi="Times New Roman" w:cs="Times New Roman"/>
          <w:iCs/>
          <w:sz w:val="24"/>
          <w:szCs w:val="24"/>
        </w:rPr>
        <w:t xml:space="preserve"> vietā saimnieciskā darbība netiek veikta, tā pamazām aizaug un zālājā notiek mērena bebra darbība. Pozitīva bebra darbība ir tajā ziņā, ka, nograužot krūmus un kokus, dzīvotne strauji neaizaug. Negatīva bebra ietekme ir saistāma ar kanālu veidošanu un hidroloģiskā režīma maiņu, kas var rezultēties ar dzīvotnes iznīcināšanu izslīcināšanas dēļ. Iespējams, ka bebra darbības rezultātā ir izzudusi viena vēsturiski zināmā sugas atradne (</w:t>
      </w:r>
      <w:r w:rsidR="00BD7AEC">
        <w:rPr>
          <w:rFonts w:ascii="Times New Roman" w:eastAsia="Calibri" w:hAnsi="Times New Roman" w:cs="Times New Roman"/>
          <w:iCs/>
          <w:sz w:val="24"/>
          <w:szCs w:val="24"/>
        </w:rPr>
        <w:t xml:space="preserve">skat. </w:t>
      </w:r>
      <w:r w:rsidRPr="00A07F29">
        <w:rPr>
          <w:rFonts w:ascii="Times New Roman" w:eastAsia="Calibri" w:hAnsi="Times New Roman" w:cs="Times New Roman"/>
          <w:iCs/>
          <w:sz w:val="24"/>
          <w:szCs w:val="24"/>
        </w:rPr>
        <w:t>4.</w:t>
      </w:r>
      <w:r w:rsidR="001E1C67" w:rsidRPr="00A07F29">
        <w:rPr>
          <w:rFonts w:ascii="Times New Roman" w:eastAsia="Calibri" w:hAnsi="Times New Roman" w:cs="Times New Roman"/>
          <w:iCs/>
          <w:sz w:val="24"/>
          <w:szCs w:val="24"/>
        </w:rPr>
        <w:t>7</w:t>
      </w:r>
      <w:r w:rsidRPr="00A07F29">
        <w:rPr>
          <w:rFonts w:ascii="Times New Roman" w:eastAsia="Calibri" w:hAnsi="Times New Roman" w:cs="Times New Roman"/>
          <w:iCs/>
          <w:sz w:val="24"/>
          <w:szCs w:val="24"/>
        </w:rPr>
        <w:t>.2.4.</w:t>
      </w:r>
      <w:r w:rsidR="00BD7AEC">
        <w:rPr>
          <w:rFonts w:ascii="Times New Roman" w:eastAsia="Calibri" w:hAnsi="Times New Roman" w:cs="Times New Roman"/>
          <w:iCs/>
          <w:sz w:val="24"/>
          <w:szCs w:val="24"/>
        </w:rPr>
        <w:t> </w:t>
      </w:r>
      <w:r w:rsidRPr="00A07F29">
        <w:rPr>
          <w:rFonts w:ascii="Times New Roman" w:eastAsia="Calibri" w:hAnsi="Times New Roman" w:cs="Times New Roman"/>
          <w:iCs/>
          <w:sz w:val="24"/>
          <w:szCs w:val="24"/>
        </w:rPr>
        <w:t>tab</w:t>
      </w:r>
      <w:r w:rsidR="00BD7AEC">
        <w:rPr>
          <w:rFonts w:ascii="Times New Roman" w:eastAsia="Calibri" w:hAnsi="Times New Roman" w:cs="Times New Roman"/>
          <w:iCs/>
          <w:sz w:val="24"/>
          <w:szCs w:val="24"/>
        </w:rPr>
        <w:t>ula</w:t>
      </w:r>
      <w:r w:rsidRPr="00A07F29">
        <w:rPr>
          <w:rFonts w:ascii="Times New Roman" w:eastAsia="Calibri" w:hAnsi="Times New Roman" w:cs="Times New Roman"/>
          <w:iCs/>
          <w:sz w:val="24"/>
          <w:szCs w:val="24"/>
        </w:rPr>
        <w:t>).</w:t>
      </w:r>
    </w:p>
    <w:p w14:paraId="34AB7EAD" w14:textId="01D2DC7D" w:rsidR="009072CE" w:rsidRPr="00A07F29" w:rsidRDefault="009072CE" w:rsidP="00C96B50">
      <w:pPr>
        <w:keepNext/>
        <w:spacing w:before="240" w:after="120" w:line="240" w:lineRule="auto"/>
        <w:jc w:val="center"/>
        <w:rPr>
          <w:rFonts w:ascii="Times New Roman" w:eastAsia="Calibri" w:hAnsi="Times New Roman" w:cs="Times New Roman"/>
          <w:sz w:val="24"/>
          <w:szCs w:val="24"/>
        </w:rPr>
      </w:pPr>
      <w:r w:rsidRPr="00A07F29">
        <w:rPr>
          <w:rFonts w:ascii="Times New Roman" w:eastAsia="Calibri" w:hAnsi="Times New Roman" w:cs="Times New Roman"/>
          <w:iCs/>
          <w:sz w:val="24"/>
          <w:szCs w:val="24"/>
        </w:rPr>
        <w:t>4.</w:t>
      </w:r>
      <w:r w:rsidR="00C96B50" w:rsidRPr="00A07F29">
        <w:rPr>
          <w:rFonts w:ascii="Times New Roman" w:eastAsia="Calibri" w:hAnsi="Times New Roman" w:cs="Times New Roman"/>
          <w:iCs/>
          <w:sz w:val="24"/>
          <w:szCs w:val="24"/>
        </w:rPr>
        <w:t>7</w:t>
      </w:r>
      <w:r w:rsidRPr="00A07F29">
        <w:rPr>
          <w:rFonts w:ascii="Times New Roman" w:eastAsia="Calibri" w:hAnsi="Times New Roman" w:cs="Times New Roman"/>
          <w:iCs/>
          <w:sz w:val="24"/>
          <w:szCs w:val="24"/>
        </w:rPr>
        <w:t>.2.4.</w:t>
      </w:r>
      <w:r w:rsidR="00BD7AEC">
        <w:rPr>
          <w:rFonts w:ascii="Times New Roman" w:eastAsia="Calibri" w:hAnsi="Times New Roman" w:cs="Times New Roman"/>
          <w:iCs/>
          <w:sz w:val="24"/>
          <w:szCs w:val="24"/>
        </w:rPr>
        <w:t> </w:t>
      </w:r>
      <w:r w:rsidRPr="00A07F29">
        <w:rPr>
          <w:rFonts w:ascii="Times New Roman" w:eastAsia="Calibri" w:hAnsi="Times New Roman" w:cs="Times New Roman"/>
          <w:iCs/>
          <w:sz w:val="24"/>
          <w:szCs w:val="24"/>
        </w:rPr>
        <w:t xml:space="preserve">tabula. </w:t>
      </w:r>
      <w:r w:rsidRPr="00A07F29">
        <w:rPr>
          <w:rFonts w:ascii="Times New Roman" w:eastAsia="Calibri" w:hAnsi="Times New Roman" w:cs="Times New Roman"/>
          <w:sz w:val="24"/>
          <w:szCs w:val="24"/>
        </w:rPr>
        <w:t xml:space="preserve">ES Direktīvu pielikumos ierakstīto </w:t>
      </w:r>
      <w:proofErr w:type="spellStart"/>
      <w:r w:rsidRPr="00A07F29">
        <w:rPr>
          <w:rFonts w:ascii="Times New Roman" w:eastAsia="Calibri" w:hAnsi="Times New Roman" w:cs="Times New Roman"/>
          <w:sz w:val="24"/>
          <w:szCs w:val="24"/>
        </w:rPr>
        <w:t>pumpurgliemežu</w:t>
      </w:r>
      <w:proofErr w:type="spellEnd"/>
      <w:r w:rsidRPr="00A07F29">
        <w:rPr>
          <w:rFonts w:ascii="Times New Roman" w:eastAsia="Calibri" w:hAnsi="Times New Roman" w:cs="Times New Roman"/>
          <w:sz w:val="24"/>
          <w:szCs w:val="24"/>
        </w:rPr>
        <w:t xml:space="preserve"> sugu atradņu raksturojums</w:t>
      </w:r>
    </w:p>
    <w:tbl>
      <w:tblPr>
        <w:tblW w:w="8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877"/>
        <w:gridCol w:w="851"/>
        <w:gridCol w:w="2185"/>
        <w:gridCol w:w="1134"/>
        <w:gridCol w:w="2322"/>
      </w:tblGrid>
      <w:tr w:rsidR="009072CE" w:rsidRPr="00A07F29" w14:paraId="32C8C433" w14:textId="77777777" w:rsidTr="009056A3">
        <w:trPr>
          <w:trHeight w:val="300"/>
          <w:jc w:val="center"/>
        </w:trPr>
        <w:tc>
          <w:tcPr>
            <w:tcW w:w="711" w:type="dxa"/>
            <w:vMerge w:val="restart"/>
            <w:shd w:val="clear" w:color="auto" w:fill="auto"/>
            <w:noWrap/>
            <w:vAlign w:val="center"/>
          </w:tcPr>
          <w:p w14:paraId="32360EA5" w14:textId="77777777" w:rsidR="009072CE" w:rsidRPr="00A07F29" w:rsidRDefault="009072CE" w:rsidP="00C96B50">
            <w:pPr>
              <w:keepNext/>
              <w:spacing w:after="0" w:line="240" w:lineRule="auto"/>
              <w:jc w:val="center"/>
              <w:rPr>
                <w:rFonts w:ascii="Times New Roman" w:hAnsi="Times New Roman" w:cs="Times New Roman"/>
                <w:sz w:val="20"/>
                <w:szCs w:val="20"/>
              </w:rPr>
            </w:pPr>
            <w:proofErr w:type="spellStart"/>
            <w:r w:rsidRPr="00A07F29">
              <w:rPr>
                <w:rFonts w:ascii="Times New Roman" w:hAnsi="Times New Roman" w:cs="Times New Roman"/>
                <w:sz w:val="20"/>
                <w:szCs w:val="20"/>
              </w:rPr>
              <w:t>N.p.k</w:t>
            </w:r>
            <w:proofErr w:type="spellEnd"/>
            <w:r w:rsidRPr="00A07F29">
              <w:rPr>
                <w:rFonts w:ascii="Times New Roman" w:hAnsi="Times New Roman" w:cs="Times New Roman"/>
                <w:sz w:val="20"/>
                <w:szCs w:val="20"/>
              </w:rPr>
              <w:t>.</w:t>
            </w:r>
          </w:p>
        </w:tc>
        <w:tc>
          <w:tcPr>
            <w:tcW w:w="1728" w:type="dxa"/>
            <w:gridSpan w:val="2"/>
            <w:shd w:val="clear" w:color="auto" w:fill="auto"/>
            <w:noWrap/>
            <w:vAlign w:val="center"/>
          </w:tcPr>
          <w:p w14:paraId="5EDCA3EF" w14:textId="77777777" w:rsidR="009072CE" w:rsidRPr="00A07F29" w:rsidRDefault="009072CE" w:rsidP="00C96B50">
            <w:pPr>
              <w:keepNext/>
              <w:spacing w:after="0" w:line="240" w:lineRule="auto"/>
              <w:jc w:val="center"/>
              <w:rPr>
                <w:rFonts w:ascii="Times New Roman" w:hAnsi="Times New Roman" w:cs="Times New Roman"/>
                <w:sz w:val="20"/>
                <w:szCs w:val="20"/>
              </w:rPr>
            </w:pPr>
            <w:r w:rsidRPr="00A07F29">
              <w:rPr>
                <w:rFonts w:ascii="Times New Roman" w:hAnsi="Times New Roman" w:cs="Times New Roman"/>
                <w:sz w:val="20"/>
                <w:szCs w:val="20"/>
              </w:rPr>
              <w:t>Koordinātas</w:t>
            </w:r>
          </w:p>
        </w:tc>
        <w:tc>
          <w:tcPr>
            <w:tcW w:w="2185" w:type="dxa"/>
            <w:vMerge w:val="restart"/>
            <w:shd w:val="clear" w:color="auto" w:fill="auto"/>
            <w:noWrap/>
            <w:vAlign w:val="center"/>
          </w:tcPr>
          <w:p w14:paraId="5189F96A" w14:textId="77777777" w:rsidR="009072CE" w:rsidRPr="00A07F29" w:rsidRDefault="009072CE" w:rsidP="00C96B50">
            <w:pPr>
              <w:keepNext/>
              <w:spacing w:after="0" w:line="240" w:lineRule="auto"/>
              <w:jc w:val="center"/>
              <w:rPr>
                <w:rFonts w:ascii="Times New Roman" w:hAnsi="Times New Roman" w:cs="Times New Roman"/>
                <w:sz w:val="20"/>
                <w:szCs w:val="20"/>
              </w:rPr>
            </w:pPr>
            <w:r w:rsidRPr="00A07F29">
              <w:rPr>
                <w:rFonts w:ascii="Times New Roman" w:hAnsi="Times New Roman" w:cs="Times New Roman"/>
                <w:sz w:val="20"/>
                <w:szCs w:val="20"/>
              </w:rPr>
              <w:t>Atradnes statuss</w:t>
            </w:r>
          </w:p>
        </w:tc>
        <w:tc>
          <w:tcPr>
            <w:tcW w:w="1134" w:type="dxa"/>
            <w:vMerge w:val="restart"/>
            <w:shd w:val="clear" w:color="auto" w:fill="auto"/>
            <w:noWrap/>
            <w:vAlign w:val="center"/>
          </w:tcPr>
          <w:p w14:paraId="35323F6F" w14:textId="77777777" w:rsidR="009072CE" w:rsidRPr="00A07F29" w:rsidRDefault="009072CE" w:rsidP="00C96B50">
            <w:pPr>
              <w:keepNext/>
              <w:spacing w:after="0" w:line="240" w:lineRule="auto"/>
              <w:jc w:val="center"/>
              <w:rPr>
                <w:rFonts w:ascii="Times New Roman" w:hAnsi="Times New Roman" w:cs="Times New Roman"/>
                <w:sz w:val="20"/>
                <w:szCs w:val="20"/>
              </w:rPr>
            </w:pPr>
            <w:r w:rsidRPr="00A07F29">
              <w:rPr>
                <w:rFonts w:ascii="Times New Roman" w:hAnsi="Times New Roman" w:cs="Times New Roman"/>
                <w:sz w:val="20"/>
                <w:szCs w:val="20"/>
              </w:rPr>
              <w:t>ES Biotopa kods</w:t>
            </w:r>
          </w:p>
        </w:tc>
        <w:tc>
          <w:tcPr>
            <w:tcW w:w="2322" w:type="dxa"/>
            <w:vMerge w:val="restart"/>
            <w:vAlign w:val="center"/>
          </w:tcPr>
          <w:p w14:paraId="63B85CB0" w14:textId="77777777" w:rsidR="009072CE" w:rsidRPr="00A07F29" w:rsidRDefault="009072CE" w:rsidP="00C96B50">
            <w:pPr>
              <w:keepNext/>
              <w:spacing w:after="0" w:line="240" w:lineRule="auto"/>
              <w:jc w:val="center"/>
              <w:rPr>
                <w:rFonts w:ascii="Times New Roman" w:hAnsi="Times New Roman" w:cs="Times New Roman"/>
                <w:color w:val="000000"/>
                <w:sz w:val="20"/>
                <w:szCs w:val="20"/>
              </w:rPr>
            </w:pPr>
            <w:r w:rsidRPr="00A07F29">
              <w:rPr>
                <w:rFonts w:ascii="Times New Roman" w:hAnsi="Times New Roman" w:cs="Times New Roman"/>
                <w:color w:val="000000"/>
                <w:sz w:val="20"/>
                <w:szCs w:val="20"/>
              </w:rPr>
              <w:t>Dzīvotnes kvalitāte/ietekmējošais faktors</w:t>
            </w:r>
          </w:p>
        </w:tc>
      </w:tr>
      <w:tr w:rsidR="009072CE" w:rsidRPr="00A07F29" w14:paraId="3CEA6E83" w14:textId="77777777" w:rsidTr="009056A3">
        <w:trPr>
          <w:trHeight w:val="300"/>
          <w:jc w:val="center"/>
        </w:trPr>
        <w:tc>
          <w:tcPr>
            <w:tcW w:w="711" w:type="dxa"/>
            <w:vMerge/>
            <w:shd w:val="clear" w:color="auto" w:fill="auto"/>
            <w:noWrap/>
            <w:vAlign w:val="center"/>
          </w:tcPr>
          <w:p w14:paraId="5B1BA075" w14:textId="77777777" w:rsidR="009072CE" w:rsidRPr="00A07F29" w:rsidRDefault="009072CE" w:rsidP="00371B4F">
            <w:pPr>
              <w:keepNext/>
              <w:spacing w:after="0" w:line="240" w:lineRule="auto"/>
              <w:jc w:val="center"/>
              <w:rPr>
                <w:rFonts w:ascii="Times New Roman" w:hAnsi="Times New Roman" w:cs="Times New Roman"/>
                <w:sz w:val="20"/>
                <w:szCs w:val="20"/>
              </w:rPr>
            </w:pPr>
          </w:p>
        </w:tc>
        <w:tc>
          <w:tcPr>
            <w:tcW w:w="877" w:type="dxa"/>
            <w:shd w:val="clear" w:color="auto" w:fill="auto"/>
            <w:noWrap/>
            <w:vAlign w:val="center"/>
          </w:tcPr>
          <w:p w14:paraId="4DE790BB" w14:textId="77777777" w:rsidR="009072CE" w:rsidRPr="00A07F29" w:rsidRDefault="009072CE" w:rsidP="00371B4F">
            <w:pPr>
              <w:keepNext/>
              <w:spacing w:after="0" w:line="240" w:lineRule="auto"/>
              <w:jc w:val="center"/>
              <w:rPr>
                <w:rFonts w:ascii="Times New Roman" w:hAnsi="Times New Roman" w:cs="Times New Roman"/>
                <w:sz w:val="20"/>
                <w:szCs w:val="20"/>
              </w:rPr>
            </w:pPr>
            <w:r w:rsidRPr="00A07F29">
              <w:rPr>
                <w:rFonts w:ascii="Times New Roman" w:hAnsi="Times New Roman" w:cs="Times New Roman"/>
                <w:sz w:val="20"/>
                <w:szCs w:val="20"/>
              </w:rPr>
              <w:t>X</w:t>
            </w:r>
          </w:p>
        </w:tc>
        <w:tc>
          <w:tcPr>
            <w:tcW w:w="851" w:type="dxa"/>
            <w:shd w:val="clear" w:color="auto" w:fill="auto"/>
            <w:noWrap/>
            <w:vAlign w:val="center"/>
          </w:tcPr>
          <w:p w14:paraId="47A822CF" w14:textId="77777777" w:rsidR="009072CE" w:rsidRPr="00A07F29" w:rsidRDefault="009072CE" w:rsidP="00371B4F">
            <w:pPr>
              <w:keepNext/>
              <w:spacing w:after="0" w:line="240" w:lineRule="auto"/>
              <w:jc w:val="center"/>
              <w:rPr>
                <w:rFonts w:ascii="Times New Roman" w:hAnsi="Times New Roman" w:cs="Times New Roman"/>
                <w:sz w:val="20"/>
                <w:szCs w:val="20"/>
              </w:rPr>
            </w:pPr>
            <w:r w:rsidRPr="00A07F29">
              <w:rPr>
                <w:rFonts w:ascii="Times New Roman" w:hAnsi="Times New Roman" w:cs="Times New Roman"/>
                <w:sz w:val="20"/>
                <w:szCs w:val="20"/>
              </w:rPr>
              <w:t>Y</w:t>
            </w:r>
          </w:p>
        </w:tc>
        <w:tc>
          <w:tcPr>
            <w:tcW w:w="2185" w:type="dxa"/>
            <w:vMerge/>
            <w:shd w:val="clear" w:color="auto" w:fill="auto"/>
            <w:noWrap/>
            <w:vAlign w:val="center"/>
          </w:tcPr>
          <w:p w14:paraId="184C46FA" w14:textId="77777777" w:rsidR="009072CE" w:rsidRPr="00A07F29" w:rsidRDefault="009072CE" w:rsidP="00371B4F">
            <w:pPr>
              <w:keepNext/>
              <w:spacing w:after="0" w:line="240" w:lineRule="auto"/>
              <w:jc w:val="center"/>
              <w:rPr>
                <w:rFonts w:ascii="Times New Roman" w:hAnsi="Times New Roman" w:cs="Times New Roman"/>
                <w:sz w:val="20"/>
                <w:szCs w:val="20"/>
              </w:rPr>
            </w:pPr>
          </w:p>
        </w:tc>
        <w:tc>
          <w:tcPr>
            <w:tcW w:w="1134" w:type="dxa"/>
            <w:vMerge/>
            <w:shd w:val="clear" w:color="auto" w:fill="auto"/>
            <w:noWrap/>
            <w:vAlign w:val="center"/>
          </w:tcPr>
          <w:p w14:paraId="414BAE40" w14:textId="77777777" w:rsidR="009072CE" w:rsidRPr="00A07F29" w:rsidRDefault="009072CE" w:rsidP="00371B4F">
            <w:pPr>
              <w:keepNext/>
              <w:spacing w:after="0" w:line="240" w:lineRule="auto"/>
              <w:jc w:val="center"/>
              <w:rPr>
                <w:rFonts w:ascii="Times New Roman" w:hAnsi="Times New Roman" w:cs="Times New Roman"/>
                <w:sz w:val="20"/>
                <w:szCs w:val="20"/>
              </w:rPr>
            </w:pPr>
          </w:p>
        </w:tc>
        <w:tc>
          <w:tcPr>
            <w:tcW w:w="2322" w:type="dxa"/>
            <w:vMerge/>
          </w:tcPr>
          <w:p w14:paraId="0F68A764" w14:textId="77777777" w:rsidR="009072CE" w:rsidRPr="00A07F29" w:rsidRDefault="009072CE" w:rsidP="00371B4F">
            <w:pPr>
              <w:keepNext/>
              <w:spacing w:after="0" w:line="240" w:lineRule="auto"/>
              <w:jc w:val="center"/>
              <w:rPr>
                <w:rFonts w:ascii="Times New Roman" w:hAnsi="Times New Roman" w:cs="Times New Roman"/>
                <w:color w:val="000000"/>
                <w:sz w:val="20"/>
                <w:szCs w:val="20"/>
              </w:rPr>
            </w:pPr>
          </w:p>
        </w:tc>
      </w:tr>
      <w:tr w:rsidR="009072CE" w:rsidRPr="00A07F29" w14:paraId="2F02E743" w14:textId="77777777" w:rsidTr="009056A3">
        <w:trPr>
          <w:trHeight w:val="300"/>
          <w:jc w:val="center"/>
        </w:trPr>
        <w:tc>
          <w:tcPr>
            <w:tcW w:w="711" w:type="dxa"/>
            <w:shd w:val="clear" w:color="auto" w:fill="auto"/>
            <w:noWrap/>
            <w:vAlign w:val="center"/>
          </w:tcPr>
          <w:p w14:paraId="089E6080" w14:textId="77777777" w:rsidR="009072CE" w:rsidRPr="00A07F29" w:rsidRDefault="009072CE" w:rsidP="009072CE">
            <w:pPr>
              <w:spacing w:after="0" w:line="240" w:lineRule="auto"/>
              <w:jc w:val="center"/>
              <w:rPr>
                <w:rFonts w:ascii="Times New Roman" w:hAnsi="Times New Roman" w:cs="Times New Roman"/>
                <w:sz w:val="20"/>
                <w:szCs w:val="20"/>
              </w:rPr>
            </w:pPr>
            <w:r w:rsidRPr="00A07F29">
              <w:rPr>
                <w:rFonts w:ascii="Times New Roman" w:hAnsi="Times New Roman" w:cs="Times New Roman"/>
                <w:sz w:val="20"/>
                <w:szCs w:val="20"/>
              </w:rPr>
              <w:t>1.</w:t>
            </w:r>
          </w:p>
        </w:tc>
        <w:tc>
          <w:tcPr>
            <w:tcW w:w="877" w:type="dxa"/>
            <w:shd w:val="clear" w:color="auto" w:fill="auto"/>
            <w:noWrap/>
            <w:vAlign w:val="center"/>
            <w:hideMark/>
          </w:tcPr>
          <w:p w14:paraId="3EE8B7DC" w14:textId="77777777" w:rsidR="009072CE" w:rsidRPr="00A07F29" w:rsidRDefault="009072CE" w:rsidP="009072CE">
            <w:pPr>
              <w:spacing w:after="0" w:line="240" w:lineRule="auto"/>
              <w:jc w:val="center"/>
              <w:rPr>
                <w:rFonts w:ascii="Times New Roman" w:hAnsi="Times New Roman" w:cs="Times New Roman"/>
                <w:sz w:val="20"/>
                <w:szCs w:val="20"/>
              </w:rPr>
            </w:pPr>
            <w:r w:rsidRPr="00A07F29">
              <w:rPr>
                <w:rFonts w:ascii="Times New Roman" w:hAnsi="Times New Roman" w:cs="Times New Roman"/>
                <w:sz w:val="20"/>
                <w:szCs w:val="20"/>
              </w:rPr>
              <w:t>701676</w:t>
            </w:r>
          </w:p>
        </w:tc>
        <w:tc>
          <w:tcPr>
            <w:tcW w:w="851" w:type="dxa"/>
            <w:shd w:val="clear" w:color="auto" w:fill="auto"/>
            <w:noWrap/>
            <w:vAlign w:val="center"/>
            <w:hideMark/>
          </w:tcPr>
          <w:p w14:paraId="00E256F5" w14:textId="77777777" w:rsidR="009072CE" w:rsidRPr="00A07F29" w:rsidRDefault="009072CE" w:rsidP="009072CE">
            <w:pPr>
              <w:spacing w:after="0" w:line="240" w:lineRule="auto"/>
              <w:jc w:val="center"/>
              <w:rPr>
                <w:rFonts w:ascii="Times New Roman" w:hAnsi="Times New Roman" w:cs="Times New Roman"/>
                <w:sz w:val="20"/>
                <w:szCs w:val="20"/>
              </w:rPr>
            </w:pPr>
            <w:r w:rsidRPr="00A07F29">
              <w:rPr>
                <w:rFonts w:ascii="Times New Roman" w:hAnsi="Times New Roman" w:cs="Times New Roman"/>
                <w:sz w:val="20"/>
                <w:szCs w:val="20"/>
              </w:rPr>
              <w:t>196954</w:t>
            </w:r>
          </w:p>
        </w:tc>
        <w:tc>
          <w:tcPr>
            <w:tcW w:w="2185" w:type="dxa"/>
            <w:shd w:val="clear" w:color="auto" w:fill="auto"/>
            <w:noWrap/>
            <w:vAlign w:val="center"/>
          </w:tcPr>
          <w:p w14:paraId="062E94ED" w14:textId="77777777" w:rsidR="009072CE" w:rsidRPr="00A07F29" w:rsidRDefault="009072CE" w:rsidP="009072CE">
            <w:pPr>
              <w:spacing w:after="0" w:line="240" w:lineRule="auto"/>
              <w:jc w:val="center"/>
              <w:rPr>
                <w:rFonts w:ascii="Times New Roman" w:hAnsi="Times New Roman" w:cs="Times New Roman"/>
                <w:sz w:val="20"/>
                <w:szCs w:val="20"/>
              </w:rPr>
            </w:pPr>
            <w:r w:rsidRPr="00A07F29">
              <w:rPr>
                <w:rFonts w:ascii="Times New Roman" w:hAnsi="Times New Roman" w:cs="Times New Roman"/>
                <w:sz w:val="20"/>
                <w:szCs w:val="20"/>
              </w:rPr>
              <w:t xml:space="preserve">Zināma </w:t>
            </w:r>
            <w:proofErr w:type="spellStart"/>
            <w:r w:rsidRPr="00A07F29">
              <w:rPr>
                <w:rFonts w:ascii="Times New Roman" w:hAnsi="Times New Roman" w:cs="Times New Roman"/>
                <w:i/>
                <w:color w:val="000000"/>
                <w:sz w:val="20"/>
                <w:szCs w:val="20"/>
              </w:rPr>
              <w:t>Vertigo</w:t>
            </w:r>
            <w:proofErr w:type="spellEnd"/>
            <w:r w:rsidRPr="00A07F29">
              <w:rPr>
                <w:rFonts w:ascii="Times New Roman" w:hAnsi="Times New Roman" w:cs="Times New Roman"/>
                <w:i/>
                <w:color w:val="000000"/>
                <w:sz w:val="20"/>
                <w:szCs w:val="20"/>
              </w:rPr>
              <w:t xml:space="preserve"> </w:t>
            </w:r>
            <w:proofErr w:type="spellStart"/>
            <w:r w:rsidRPr="00A07F29">
              <w:rPr>
                <w:rFonts w:ascii="Times New Roman" w:hAnsi="Times New Roman" w:cs="Times New Roman"/>
                <w:i/>
                <w:color w:val="000000"/>
                <w:sz w:val="20"/>
                <w:szCs w:val="20"/>
              </w:rPr>
              <w:t>geyeri</w:t>
            </w:r>
            <w:proofErr w:type="spellEnd"/>
            <w:r w:rsidRPr="00A07F29">
              <w:rPr>
                <w:rFonts w:ascii="Times New Roman" w:hAnsi="Times New Roman" w:cs="Times New Roman"/>
                <w:color w:val="000000"/>
                <w:sz w:val="20"/>
                <w:szCs w:val="20"/>
              </w:rPr>
              <w:t xml:space="preserve"> </w:t>
            </w:r>
            <w:r w:rsidRPr="00A07F29">
              <w:rPr>
                <w:rFonts w:ascii="Times New Roman" w:hAnsi="Times New Roman" w:cs="Times New Roman"/>
                <w:sz w:val="20"/>
                <w:szCs w:val="20"/>
              </w:rPr>
              <w:t>atradne</w:t>
            </w:r>
          </w:p>
        </w:tc>
        <w:tc>
          <w:tcPr>
            <w:tcW w:w="1134" w:type="dxa"/>
            <w:shd w:val="clear" w:color="auto" w:fill="auto"/>
            <w:noWrap/>
            <w:vAlign w:val="center"/>
          </w:tcPr>
          <w:p w14:paraId="44140A1C" w14:textId="77777777" w:rsidR="009072CE" w:rsidRPr="00A07F29" w:rsidRDefault="009072CE" w:rsidP="009072CE">
            <w:pPr>
              <w:spacing w:after="0" w:line="240" w:lineRule="auto"/>
              <w:jc w:val="center"/>
              <w:rPr>
                <w:rFonts w:ascii="Times New Roman" w:hAnsi="Times New Roman" w:cs="Times New Roman"/>
                <w:sz w:val="20"/>
                <w:szCs w:val="20"/>
              </w:rPr>
            </w:pPr>
            <w:r w:rsidRPr="00A07F29">
              <w:rPr>
                <w:rFonts w:ascii="Times New Roman" w:hAnsi="Times New Roman" w:cs="Times New Roman"/>
                <w:sz w:val="20"/>
                <w:szCs w:val="20"/>
              </w:rPr>
              <w:t>7140-1</w:t>
            </w:r>
          </w:p>
        </w:tc>
        <w:tc>
          <w:tcPr>
            <w:tcW w:w="2322" w:type="dxa"/>
            <w:vAlign w:val="center"/>
          </w:tcPr>
          <w:p w14:paraId="4FD4BA7B" w14:textId="77777777" w:rsidR="009072CE" w:rsidRPr="00A07F29" w:rsidRDefault="009072CE" w:rsidP="009072CE">
            <w:pPr>
              <w:spacing w:after="0" w:line="240" w:lineRule="auto"/>
              <w:jc w:val="center"/>
              <w:rPr>
                <w:rFonts w:ascii="Times New Roman" w:hAnsi="Times New Roman" w:cs="Times New Roman"/>
                <w:color w:val="000000"/>
                <w:sz w:val="20"/>
                <w:szCs w:val="20"/>
              </w:rPr>
            </w:pPr>
            <w:r w:rsidRPr="00A07F29">
              <w:rPr>
                <w:rFonts w:ascii="Times New Roman" w:hAnsi="Times New Roman" w:cs="Times New Roman"/>
                <w:color w:val="000000"/>
                <w:sz w:val="20"/>
                <w:szCs w:val="20"/>
              </w:rPr>
              <w:t>Laba</w:t>
            </w:r>
          </w:p>
        </w:tc>
      </w:tr>
      <w:tr w:rsidR="009072CE" w:rsidRPr="00A07F29" w14:paraId="28044954" w14:textId="77777777" w:rsidTr="009056A3">
        <w:trPr>
          <w:trHeight w:val="300"/>
          <w:jc w:val="center"/>
        </w:trPr>
        <w:tc>
          <w:tcPr>
            <w:tcW w:w="711" w:type="dxa"/>
            <w:shd w:val="clear" w:color="auto" w:fill="auto"/>
            <w:noWrap/>
            <w:vAlign w:val="center"/>
          </w:tcPr>
          <w:p w14:paraId="1D6EC25E" w14:textId="77777777" w:rsidR="009072CE" w:rsidRPr="00A07F29" w:rsidRDefault="009072CE" w:rsidP="009072CE">
            <w:pPr>
              <w:spacing w:after="0" w:line="240" w:lineRule="auto"/>
              <w:jc w:val="center"/>
              <w:rPr>
                <w:rFonts w:ascii="Times New Roman" w:hAnsi="Times New Roman" w:cs="Times New Roman"/>
                <w:sz w:val="20"/>
                <w:szCs w:val="20"/>
              </w:rPr>
            </w:pPr>
            <w:r w:rsidRPr="00A07F29">
              <w:rPr>
                <w:rFonts w:ascii="Times New Roman" w:hAnsi="Times New Roman" w:cs="Times New Roman"/>
                <w:sz w:val="20"/>
                <w:szCs w:val="20"/>
              </w:rPr>
              <w:t>2.</w:t>
            </w:r>
          </w:p>
        </w:tc>
        <w:tc>
          <w:tcPr>
            <w:tcW w:w="877" w:type="dxa"/>
            <w:shd w:val="clear" w:color="auto" w:fill="auto"/>
            <w:noWrap/>
            <w:vAlign w:val="center"/>
            <w:hideMark/>
          </w:tcPr>
          <w:p w14:paraId="3D235F7F" w14:textId="77777777" w:rsidR="009072CE" w:rsidRPr="00A07F29" w:rsidRDefault="009072CE" w:rsidP="009072CE">
            <w:pPr>
              <w:spacing w:after="0" w:line="240" w:lineRule="auto"/>
              <w:jc w:val="center"/>
              <w:rPr>
                <w:rFonts w:ascii="Times New Roman" w:hAnsi="Times New Roman" w:cs="Times New Roman"/>
                <w:sz w:val="20"/>
                <w:szCs w:val="20"/>
              </w:rPr>
            </w:pPr>
            <w:r w:rsidRPr="00A07F29">
              <w:rPr>
                <w:rFonts w:ascii="Times New Roman" w:hAnsi="Times New Roman" w:cs="Times New Roman"/>
                <w:sz w:val="20"/>
                <w:szCs w:val="20"/>
              </w:rPr>
              <w:t>706124</w:t>
            </w:r>
          </w:p>
        </w:tc>
        <w:tc>
          <w:tcPr>
            <w:tcW w:w="851" w:type="dxa"/>
            <w:shd w:val="clear" w:color="auto" w:fill="auto"/>
            <w:noWrap/>
            <w:vAlign w:val="center"/>
            <w:hideMark/>
          </w:tcPr>
          <w:p w14:paraId="111372B1" w14:textId="77777777" w:rsidR="009072CE" w:rsidRPr="00A07F29" w:rsidRDefault="009072CE" w:rsidP="009072CE">
            <w:pPr>
              <w:spacing w:after="0" w:line="240" w:lineRule="auto"/>
              <w:jc w:val="center"/>
              <w:rPr>
                <w:rFonts w:ascii="Times New Roman" w:hAnsi="Times New Roman" w:cs="Times New Roman"/>
                <w:sz w:val="20"/>
                <w:szCs w:val="20"/>
              </w:rPr>
            </w:pPr>
            <w:r w:rsidRPr="00A07F29">
              <w:rPr>
                <w:rFonts w:ascii="Times New Roman" w:hAnsi="Times New Roman" w:cs="Times New Roman"/>
                <w:sz w:val="20"/>
                <w:szCs w:val="20"/>
              </w:rPr>
              <w:t>189341</w:t>
            </w:r>
          </w:p>
        </w:tc>
        <w:tc>
          <w:tcPr>
            <w:tcW w:w="2185" w:type="dxa"/>
            <w:shd w:val="clear" w:color="auto" w:fill="auto"/>
            <w:noWrap/>
            <w:vAlign w:val="center"/>
          </w:tcPr>
          <w:p w14:paraId="3223A4D4" w14:textId="77777777" w:rsidR="009072CE" w:rsidRPr="00A07F29" w:rsidRDefault="009072CE" w:rsidP="009072CE">
            <w:pPr>
              <w:spacing w:after="0" w:line="240" w:lineRule="auto"/>
              <w:jc w:val="center"/>
              <w:rPr>
                <w:rFonts w:ascii="Times New Roman" w:hAnsi="Times New Roman" w:cs="Times New Roman"/>
                <w:sz w:val="20"/>
                <w:szCs w:val="20"/>
              </w:rPr>
            </w:pPr>
            <w:r w:rsidRPr="00A07F29">
              <w:rPr>
                <w:rFonts w:ascii="Times New Roman" w:hAnsi="Times New Roman" w:cs="Times New Roman"/>
                <w:sz w:val="20"/>
                <w:szCs w:val="20"/>
              </w:rPr>
              <w:t xml:space="preserve">Jauna </w:t>
            </w:r>
            <w:r w:rsidRPr="00A07F29">
              <w:rPr>
                <w:rFonts w:ascii="Times New Roman" w:hAnsi="Times New Roman" w:cs="Times New Roman"/>
                <w:i/>
                <w:color w:val="000000"/>
                <w:sz w:val="20"/>
                <w:szCs w:val="20"/>
              </w:rPr>
              <w:t xml:space="preserve">V. </w:t>
            </w:r>
            <w:proofErr w:type="spellStart"/>
            <w:r w:rsidRPr="00A07F29">
              <w:rPr>
                <w:rFonts w:ascii="Times New Roman" w:hAnsi="Times New Roman" w:cs="Times New Roman"/>
                <w:i/>
                <w:color w:val="000000"/>
                <w:sz w:val="20"/>
                <w:szCs w:val="20"/>
              </w:rPr>
              <w:t>geyeri</w:t>
            </w:r>
            <w:proofErr w:type="spellEnd"/>
            <w:r w:rsidRPr="00A07F29">
              <w:rPr>
                <w:rFonts w:ascii="Times New Roman" w:hAnsi="Times New Roman" w:cs="Times New Roman"/>
                <w:sz w:val="20"/>
                <w:szCs w:val="20"/>
              </w:rPr>
              <w:t xml:space="preserve"> atradne</w:t>
            </w:r>
          </w:p>
        </w:tc>
        <w:tc>
          <w:tcPr>
            <w:tcW w:w="1134" w:type="dxa"/>
            <w:shd w:val="clear" w:color="auto" w:fill="auto"/>
            <w:noWrap/>
            <w:vAlign w:val="center"/>
          </w:tcPr>
          <w:p w14:paraId="1C771928" w14:textId="77777777" w:rsidR="009072CE" w:rsidRPr="00A07F29" w:rsidRDefault="009072CE" w:rsidP="009072CE">
            <w:pPr>
              <w:spacing w:after="0" w:line="240" w:lineRule="auto"/>
              <w:jc w:val="center"/>
              <w:rPr>
                <w:rFonts w:ascii="Times New Roman" w:hAnsi="Times New Roman" w:cs="Times New Roman"/>
                <w:sz w:val="20"/>
                <w:szCs w:val="20"/>
              </w:rPr>
            </w:pPr>
            <w:r w:rsidRPr="00A07F29">
              <w:rPr>
                <w:rFonts w:ascii="Times New Roman" w:hAnsi="Times New Roman" w:cs="Times New Roman"/>
                <w:sz w:val="20"/>
                <w:szCs w:val="20"/>
              </w:rPr>
              <w:t>7140-1</w:t>
            </w:r>
          </w:p>
        </w:tc>
        <w:tc>
          <w:tcPr>
            <w:tcW w:w="2322" w:type="dxa"/>
          </w:tcPr>
          <w:p w14:paraId="200CD997" w14:textId="77777777" w:rsidR="009072CE" w:rsidRPr="00A07F29" w:rsidRDefault="009072CE" w:rsidP="009072CE">
            <w:pPr>
              <w:spacing w:after="0" w:line="240" w:lineRule="auto"/>
              <w:rPr>
                <w:rFonts w:ascii="Times New Roman" w:hAnsi="Times New Roman" w:cs="Times New Roman"/>
                <w:color w:val="000000"/>
                <w:sz w:val="20"/>
                <w:szCs w:val="20"/>
              </w:rPr>
            </w:pPr>
            <w:r w:rsidRPr="00A07F29">
              <w:rPr>
                <w:rFonts w:ascii="Times New Roman" w:hAnsi="Times New Roman" w:cs="Times New Roman"/>
                <w:color w:val="000000"/>
                <w:sz w:val="20"/>
                <w:szCs w:val="20"/>
              </w:rPr>
              <w:t>Aizaug ar mežu</w:t>
            </w:r>
          </w:p>
        </w:tc>
      </w:tr>
      <w:tr w:rsidR="009072CE" w:rsidRPr="00A07F29" w14:paraId="423B0E53" w14:textId="77777777" w:rsidTr="009056A3">
        <w:trPr>
          <w:trHeight w:val="300"/>
          <w:jc w:val="center"/>
        </w:trPr>
        <w:tc>
          <w:tcPr>
            <w:tcW w:w="711" w:type="dxa"/>
            <w:shd w:val="clear" w:color="auto" w:fill="auto"/>
            <w:noWrap/>
            <w:vAlign w:val="center"/>
          </w:tcPr>
          <w:p w14:paraId="477DDC54" w14:textId="77777777" w:rsidR="009072CE" w:rsidRPr="00A07F29" w:rsidRDefault="009072CE" w:rsidP="009072CE">
            <w:pPr>
              <w:spacing w:after="0" w:line="240" w:lineRule="auto"/>
              <w:jc w:val="center"/>
              <w:rPr>
                <w:rFonts w:ascii="Times New Roman" w:hAnsi="Times New Roman" w:cs="Times New Roman"/>
                <w:sz w:val="20"/>
                <w:szCs w:val="20"/>
              </w:rPr>
            </w:pPr>
            <w:r w:rsidRPr="00A07F29">
              <w:rPr>
                <w:rFonts w:ascii="Times New Roman" w:hAnsi="Times New Roman" w:cs="Times New Roman"/>
                <w:sz w:val="20"/>
                <w:szCs w:val="20"/>
              </w:rPr>
              <w:t>3.</w:t>
            </w:r>
          </w:p>
        </w:tc>
        <w:tc>
          <w:tcPr>
            <w:tcW w:w="877" w:type="dxa"/>
            <w:shd w:val="clear" w:color="auto" w:fill="auto"/>
            <w:noWrap/>
            <w:vAlign w:val="center"/>
          </w:tcPr>
          <w:p w14:paraId="427A60ED" w14:textId="77777777" w:rsidR="009072CE" w:rsidRPr="00A07F29" w:rsidRDefault="009072CE" w:rsidP="009072CE">
            <w:pPr>
              <w:spacing w:after="0" w:line="240" w:lineRule="auto"/>
              <w:jc w:val="center"/>
              <w:rPr>
                <w:rFonts w:ascii="Times New Roman" w:hAnsi="Times New Roman" w:cs="Times New Roman"/>
                <w:sz w:val="20"/>
                <w:szCs w:val="20"/>
              </w:rPr>
            </w:pPr>
            <w:r w:rsidRPr="00A07F29">
              <w:rPr>
                <w:rFonts w:ascii="Times New Roman" w:hAnsi="Times New Roman" w:cs="Times New Roman"/>
                <w:sz w:val="20"/>
                <w:szCs w:val="20"/>
              </w:rPr>
              <w:t>676972</w:t>
            </w:r>
          </w:p>
        </w:tc>
        <w:tc>
          <w:tcPr>
            <w:tcW w:w="851" w:type="dxa"/>
            <w:shd w:val="clear" w:color="auto" w:fill="auto"/>
            <w:noWrap/>
            <w:vAlign w:val="center"/>
          </w:tcPr>
          <w:p w14:paraId="6BE538D7" w14:textId="77777777" w:rsidR="009072CE" w:rsidRPr="00A07F29" w:rsidRDefault="009072CE" w:rsidP="009072CE">
            <w:pPr>
              <w:spacing w:after="0" w:line="240" w:lineRule="auto"/>
              <w:jc w:val="center"/>
              <w:rPr>
                <w:rFonts w:ascii="Times New Roman" w:hAnsi="Times New Roman" w:cs="Times New Roman"/>
                <w:sz w:val="20"/>
                <w:szCs w:val="20"/>
              </w:rPr>
            </w:pPr>
            <w:r w:rsidRPr="00A07F29">
              <w:rPr>
                <w:rFonts w:ascii="Times New Roman" w:hAnsi="Times New Roman" w:cs="Times New Roman"/>
                <w:sz w:val="20"/>
                <w:szCs w:val="20"/>
              </w:rPr>
              <w:t>193425</w:t>
            </w:r>
          </w:p>
        </w:tc>
        <w:tc>
          <w:tcPr>
            <w:tcW w:w="2185" w:type="dxa"/>
            <w:shd w:val="clear" w:color="auto" w:fill="auto"/>
            <w:noWrap/>
            <w:vAlign w:val="center"/>
          </w:tcPr>
          <w:p w14:paraId="53C27AA7" w14:textId="77777777" w:rsidR="009072CE" w:rsidRPr="00A07F29" w:rsidRDefault="009072CE" w:rsidP="009072CE">
            <w:pPr>
              <w:spacing w:after="0" w:line="240" w:lineRule="auto"/>
              <w:jc w:val="center"/>
              <w:rPr>
                <w:rFonts w:ascii="Times New Roman" w:hAnsi="Times New Roman" w:cs="Times New Roman"/>
                <w:sz w:val="20"/>
                <w:szCs w:val="20"/>
              </w:rPr>
            </w:pPr>
            <w:r w:rsidRPr="00A07F29">
              <w:rPr>
                <w:rFonts w:ascii="Times New Roman" w:hAnsi="Times New Roman" w:cs="Times New Roman"/>
                <w:sz w:val="20"/>
                <w:szCs w:val="20"/>
              </w:rPr>
              <w:t xml:space="preserve">Jauna </w:t>
            </w:r>
            <w:r w:rsidRPr="00A07F29">
              <w:rPr>
                <w:rFonts w:ascii="Times New Roman" w:hAnsi="Times New Roman" w:cs="Times New Roman"/>
                <w:i/>
                <w:color w:val="000000"/>
                <w:sz w:val="20"/>
                <w:szCs w:val="20"/>
              </w:rPr>
              <w:t xml:space="preserve">V. </w:t>
            </w:r>
            <w:proofErr w:type="spellStart"/>
            <w:r w:rsidRPr="00A07F29">
              <w:rPr>
                <w:rFonts w:ascii="Times New Roman" w:hAnsi="Times New Roman" w:cs="Times New Roman"/>
                <w:i/>
                <w:color w:val="000000"/>
                <w:sz w:val="20"/>
                <w:szCs w:val="20"/>
              </w:rPr>
              <w:t>geyeri</w:t>
            </w:r>
            <w:proofErr w:type="spellEnd"/>
            <w:r w:rsidRPr="00A07F29">
              <w:rPr>
                <w:rFonts w:ascii="Times New Roman" w:hAnsi="Times New Roman" w:cs="Times New Roman"/>
                <w:sz w:val="20"/>
                <w:szCs w:val="20"/>
              </w:rPr>
              <w:t xml:space="preserve"> atradne</w:t>
            </w:r>
          </w:p>
        </w:tc>
        <w:tc>
          <w:tcPr>
            <w:tcW w:w="1134" w:type="dxa"/>
            <w:shd w:val="clear" w:color="auto" w:fill="auto"/>
            <w:noWrap/>
            <w:vAlign w:val="center"/>
          </w:tcPr>
          <w:p w14:paraId="66E83DE5" w14:textId="77777777" w:rsidR="009072CE" w:rsidRPr="00A07F29" w:rsidRDefault="009072CE" w:rsidP="009072CE">
            <w:pPr>
              <w:spacing w:after="0" w:line="240" w:lineRule="auto"/>
              <w:jc w:val="center"/>
              <w:rPr>
                <w:rFonts w:ascii="Times New Roman" w:hAnsi="Times New Roman" w:cs="Times New Roman"/>
                <w:sz w:val="20"/>
                <w:szCs w:val="20"/>
              </w:rPr>
            </w:pPr>
            <w:r w:rsidRPr="00A07F29">
              <w:rPr>
                <w:rFonts w:ascii="Times New Roman" w:hAnsi="Times New Roman" w:cs="Times New Roman"/>
                <w:sz w:val="20"/>
                <w:szCs w:val="20"/>
              </w:rPr>
              <w:t>7140-1</w:t>
            </w:r>
          </w:p>
        </w:tc>
        <w:tc>
          <w:tcPr>
            <w:tcW w:w="2322" w:type="dxa"/>
          </w:tcPr>
          <w:p w14:paraId="769B633D" w14:textId="77777777" w:rsidR="009072CE" w:rsidRPr="00A07F29" w:rsidRDefault="009072CE" w:rsidP="009072CE">
            <w:pPr>
              <w:spacing w:after="0" w:line="240" w:lineRule="auto"/>
              <w:rPr>
                <w:rFonts w:ascii="Times New Roman" w:hAnsi="Times New Roman" w:cs="Times New Roman"/>
                <w:color w:val="000000"/>
                <w:sz w:val="20"/>
                <w:szCs w:val="20"/>
              </w:rPr>
            </w:pPr>
            <w:r w:rsidRPr="00A07F29">
              <w:rPr>
                <w:rFonts w:ascii="Times New Roman" w:hAnsi="Times New Roman" w:cs="Times New Roman"/>
                <w:color w:val="000000"/>
                <w:sz w:val="20"/>
                <w:szCs w:val="20"/>
              </w:rPr>
              <w:t>Bebru darbība biotopa perifērijā</w:t>
            </w:r>
          </w:p>
        </w:tc>
      </w:tr>
      <w:tr w:rsidR="009072CE" w:rsidRPr="00A07F29" w14:paraId="10285693" w14:textId="77777777" w:rsidTr="009056A3">
        <w:trPr>
          <w:trHeight w:val="300"/>
          <w:jc w:val="center"/>
        </w:trPr>
        <w:tc>
          <w:tcPr>
            <w:tcW w:w="711" w:type="dxa"/>
            <w:shd w:val="clear" w:color="auto" w:fill="auto"/>
            <w:noWrap/>
            <w:vAlign w:val="center"/>
          </w:tcPr>
          <w:p w14:paraId="6EA16708" w14:textId="77777777" w:rsidR="009072CE" w:rsidRPr="00A07F29" w:rsidRDefault="009072CE" w:rsidP="009072CE">
            <w:pPr>
              <w:spacing w:after="0" w:line="240" w:lineRule="auto"/>
              <w:jc w:val="center"/>
              <w:rPr>
                <w:rFonts w:ascii="Times New Roman" w:hAnsi="Times New Roman" w:cs="Times New Roman"/>
                <w:sz w:val="20"/>
                <w:szCs w:val="20"/>
              </w:rPr>
            </w:pPr>
            <w:r w:rsidRPr="00A07F29">
              <w:rPr>
                <w:rFonts w:ascii="Times New Roman" w:hAnsi="Times New Roman" w:cs="Times New Roman"/>
                <w:sz w:val="20"/>
                <w:szCs w:val="20"/>
              </w:rPr>
              <w:lastRenderedPageBreak/>
              <w:t>4.</w:t>
            </w:r>
          </w:p>
        </w:tc>
        <w:tc>
          <w:tcPr>
            <w:tcW w:w="877" w:type="dxa"/>
            <w:shd w:val="clear" w:color="auto" w:fill="auto"/>
            <w:noWrap/>
            <w:vAlign w:val="center"/>
          </w:tcPr>
          <w:p w14:paraId="40FA98CA" w14:textId="77777777" w:rsidR="009072CE" w:rsidRPr="00A07F29" w:rsidRDefault="009072CE" w:rsidP="009072CE">
            <w:pPr>
              <w:spacing w:after="0" w:line="240" w:lineRule="auto"/>
              <w:jc w:val="center"/>
              <w:rPr>
                <w:rFonts w:ascii="Times New Roman" w:hAnsi="Times New Roman" w:cs="Times New Roman"/>
                <w:sz w:val="20"/>
                <w:szCs w:val="20"/>
              </w:rPr>
            </w:pPr>
            <w:r w:rsidRPr="00A07F29">
              <w:rPr>
                <w:rFonts w:ascii="Times New Roman" w:hAnsi="Times New Roman" w:cs="Times New Roman"/>
                <w:sz w:val="20"/>
                <w:szCs w:val="20"/>
              </w:rPr>
              <w:t>686740</w:t>
            </w:r>
          </w:p>
        </w:tc>
        <w:tc>
          <w:tcPr>
            <w:tcW w:w="851" w:type="dxa"/>
            <w:shd w:val="clear" w:color="auto" w:fill="auto"/>
            <w:noWrap/>
            <w:vAlign w:val="center"/>
          </w:tcPr>
          <w:p w14:paraId="68C45306" w14:textId="77777777" w:rsidR="009072CE" w:rsidRPr="00A07F29" w:rsidRDefault="009072CE" w:rsidP="009072CE">
            <w:pPr>
              <w:spacing w:after="0" w:line="240" w:lineRule="auto"/>
              <w:jc w:val="center"/>
              <w:rPr>
                <w:rFonts w:ascii="Times New Roman" w:hAnsi="Times New Roman" w:cs="Times New Roman"/>
                <w:sz w:val="20"/>
                <w:szCs w:val="20"/>
              </w:rPr>
            </w:pPr>
            <w:r w:rsidRPr="00A07F29">
              <w:rPr>
                <w:rFonts w:ascii="Times New Roman" w:hAnsi="Times New Roman" w:cs="Times New Roman"/>
                <w:sz w:val="20"/>
                <w:szCs w:val="20"/>
              </w:rPr>
              <w:t>199188</w:t>
            </w:r>
          </w:p>
        </w:tc>
        <w:tc>
          <w:tcPr>
            <w:tcW w:w="2185" w:type="dxa"/>
            <w:shd w:val="clear" w:color="auto" w:fill="auto"/>
            <w:noWrap/>
            <w:vAlign w:val="center"/>
          </w:tcPr>
          <w:p w14:paraId="4EB1FE9F" w14:textId="77777777" w:rsidR="009072CE" w:rsidRPr="00A07F29" w:rsidRDefault="009072CE" w:rsidP="009072CE">
            <w:pPr>
              <w:spacing w:after="0" w:line="240" w:lineRule="auto"/>
              <w:jc w:val="center"/>
              <w:rPr>
                <w:rFonts w:ascii="Times New Roman" w:hAnsi="Times New Roman" w:cs="Times New Roman"/>
                <w:sz w:val="20"/>
                <w:szCs w:val="20"/>
              </w:rPr>
            </w:pPr>
            <w:r w:rsidRPr="00A07F29">
              <w:rPr>
                <w:rFonts w:ascii="Times New Roman" w:hAnsi="Times New Roman" w:cs="Times New Roman"/>
                <w:sz w:val="20"/>
                <w:szCs w:val="20"/>
              </w:rPr>
              <w:t xml:space="preserve">Jauna </w:t>
            </w:r>
            <w:r w:rsidRPr="00A07F29">
              <w:rPr>
                <w:rFonts w:ascii="Times New Roman" w:hAnsi="Times New Roman" w:cs="Times New Roman"/>
                <w:i/>
                <w:color w:val="000000"/>
                <w:sz w:val="20"/>
                <w:szCs w:val="20"/>
              </w:rPr>
              <w:t xml:space="preserve">V. </w:t>
            </w:r>
            <w:proofErr w:type="spellStart"/>
            <w:r w:rsidRPr="00A07F29">
              <w:rPr>
                <w:rFonts w:ascii="Times New Roman" w:hAnsi="Times New Roman" w:cs="Times New Roman"/>
                <w:i/>
                <w:color w:val="000000"/>
                <w:sz w:val="20"/>
                <w:szCs w:val="20"/>
              </w:rPr>
              <w:t>angustior</w:t>
            </w:r>
            <w:proofErr w:type="spellEnd"/>
            <w:r w:rsidRPr="00A07F29">
              <w:rPr>
                <w:rFonts w:ascii="Times New Roman" w:hAnsi="Times New Roman" w:cs="Times New Roman"/>
                <w:sz w:val="20"/>
                <w:szCs w:val="20"/>
              </w:rPr>
              <w:t xml:space="preserve"> atradne</w:t>
            </w:r>
          </w:p>
        </w:tc>
        <w:tc>
          <w:tcPr>
            <w:tcW w:w="1134" w:type="dxa"/>
            <w:shd w:val="clear" w:color="auto" w:fill="auto"/>
            <w:noWrap/>
            <w:vAlign w:val="center"/>
          </w:tcPr>
          <w:p w14:paraId="1D81F3C1" w14:textId="77777777" w:rsidR="009072CE" w:rsidRPr="00A07F29" w:rsidRDefault="009072CE" w:rsidP="009072CE">
            <w:pPr>
              <w:spacing w:after="0" w:line="240" w:lineRule="auto"/>
              <w:jc w:val="center"/>
              <w:rPr>
                <w:rFonts w:ascii="Times New Roman" w:hAnsi="Times New Roman" w:cs="Times New Roman"/>
                <w:sz w:val="20"/>
                <w:szCs w:val="20"/>
              </w:rPr>
            </w:pPr>
            <w:r w:rsidRPr="00A07F29">
              <w:rPr>
                <w:rFonts w:ascii="Times New Roman" w:hAnsi="Times New Roman" w:cs="Times New Roman"/>
                <w:sz w:val="20"/>
                <w:szCs w:val="20"/>
              </w:rPr>
              <w:t>6410</w:t>
            </w:r>
          </w:p>
        </w:tc>
        <w:tc>
          <w:tcPr>
            <w:tcW w:w="2322" w:type="dxa"/>
          </w:tcPr>
          <w:p w14:paraId="1D70EC5C" w14:textId="77777777" w:rsidR="009072CE" w:rsidRPr="00A07F29" w:rsidRDefault="009072CE" w:rsidP="009072CE">
            <w:pPr>
              <w:spacing w:after="0" w:line="240" w:lineRule="auto"/>
              <w:rPr>
                <w:rFonts w:ascii="Times New Roman" w:hAnsi="Times New Roman" w:cs="Times New Roman"/>
                <w:color w:val="000000"/>
                <w:sz w:val="20"/>
                <w:szCs w:val="20"/>
              </w:rPr>
            </w:pPr>
            <w:r w:rsidRPr="00A07F29">
              <w:rPr>
                <w:rFonts w:ascii="Times New Roman" w:hAnsi="Times New Roman" w:cs="Times New Roman"/>
                <w:color w:val="000000"/>
                <w:sz w:val="20"/>
                <w:szCs w:val="20"/>
              </w:rPr>
              <w:t>Aizaug ar mežu</w:t>
            </w:r>
          </w:p>
        </w:tc>
      </w:tr>
      <w:tr w:rsidR="009072CE" w:rsidRPr="00A07F29" w14:paraId="02AC2732" w14:textId="77777777" w:rsidTr="009056A3">
        <w:trPr>
          <w:trHeight w:val="300"/>
          <w:jc w:val="center"/>
        </w:trPr>
        <w:tc>
          <w:tcPr>
            <w:tcW w:w="711" w:type="dxa"/>
            <w:shd w:val="clear" w:color="auto" w:fill="auto"/>
            <w:noWrap/>
            <w:vAlign w:val="center"/>
          </w:tcPr>
          <w:p w14:paraId="768DEE03" w14:textId="77777777" w:rsidR="009072CE" w:rsidRPr="00A07F29" w:rsidRDefault="009072CE" w:rsidP="009072CE">
            <w:pPr>
              <w:spacing w:after="0" w:line="240" w:lineRule="auto"/>
              <w:jc w:val="center"/>
              <w:rPr>
                <w:rFonts w:ascii="Times New Roman" w:hAnsi="Times New Roman" w:cs="Times New Roman"/>
                <w:sz w:val="20"/>
                <w:szCs w:val="20"/>
              </w:rPr>
            </w:pPr>
            <w:r w:rsidRPr="00A07F29">
              <w:rPr>
                <w:rFonts w:ascii="Times New Roman" w:hAnsi="Times New Roman" w:cs="Times New Roman"/>
                <w:sz w:val="20"/>
                <w:szCs w:val="20"/>
              </w:rPr>
              <w:t>5.</w:t>
            </w:r>
          </w:p>
        </w:tc>
        <w:tc>
          <w:tcPr>
            <w:tcW w:w="877" w:type="dxa"/>
            <w:shd w:val="clear" w:color="auto" w:fill="auto"/>
            <w:noWrap/>
            <w:vAlign w:val="center"/>
          </w:tcPr>
          <w:p w14:paraId="3DF0D42A" w14:textId="77777777" w:rsidR="009072CE" w:rsidRPr="00A07F29" w:rsidRDefault="009072CE" w:rsidP="009072CE">
            <w:pPr>
              <w:spacing w:after="0" w:line="240" w:lineRule="auto"/>
              <w:jc w:val="center"/>
              <w:rPr>
                <w:rFonts w:ascii="Times New Roman" w:hAnsi="Times New Roman" w:cs="Times New Roman"/>
                <w:sz w:val="20"/>
                <w:szCs w:val="20"/>
              </w:rPr>
            </w:pPr>
            <w:r w:rsidRPr="00A07F29">
              <w:rPr>
                <w:rFonts w:ascii="Times New Roman" w:hAnsi="Times New Roman" w:cs="Times New Roman"/>
                <w:sz w:val="20"/>
                <w:szCs w:val="20"/>
              </w:rPr>
              <w:t>712633</w:t>
            </w:r>
          </w:p>
        </w:tc>
        <w:tc>
          <w:tcPr>
            <w:tcW w:w="851" w:type="dxa"/>
            <w:shd w:val="clear" w:color="auto" w:fill="auto"/>
            <w:noWrap/>
            <w:vAlign w:val="center"/>
          </w:tcPr>
          <w:p w14:paraId="5B081876" w14:textId="77777777" w:rsidR="009072CE" w:rsidRPr="00A07F29" w:rsidRDefault="009072CE" w:rsidP="009072CE">
            <w:pPr>
              <w:spacing w:after="0" w:line="240" w:lineRule="auto"/>
              <w:jc w:val="center"/>
              <w:rPr>
                <w:rFonts w:ascii="Times New Roman" w:hAnsi="Times New Roman" w:cs="Times New Roman"/>
                <w:sz w:val="20"/>
                <w:szCs w:val="20"/>
              </w:rPr>
            </w:pPr>
            <w:r w:rsidRPr="00A07F29">
              <w:rPr>
                <w:rFonts w:ascii="Times New Roman" w:hAnsi="Times New Roman" w:cs="Times New Roman"/>
                <w:sz w:val="20"/>
                <w:szCs w:val="20"/>
              </w:rPr>
              <w:t>195051</w:t>
            </w:r>
          </w:p>
        </w:tc>
        <w:tc>
          <w:tcPr>
            <w:tcW w:w="2185" w:type="dxa"/>
            <w:shd w:val="clear" w:color="auto" w:fill="auto"/>
            <w:noWrap/>
            <w:vAlign w:val="center"/>
          </w:tcPr>
          <w:p w14:paraId="609F5276" w14:textId="77777777" w:rsidR="009072CE" w:rsidRPr="00A07F29" w:rsidRDefault="009072CE" w:rsidP="009072CE">
            <w:pPr>
              <w:spacing w:after="0" w:line="240" w:lineRule="auto"/>
              <w:jc w:val="center"/>
              <w:rPr>
                <w:rFonts w:ascii="Times New Roman" w:hAnsi="Times New Roman" w:cs="Times New Roman"/>
                <w:sz w:val="20"/>
                <w:szCs w:val="20"/>
              </w:rPr>
            </w:pPr>
            <w:r w:rsidRPr="00A07F29">
              <w:rPr>
                <w:rFonts w:ascii="Times New Roman" w:hAnsi="Times New Roman" w:cs="Times New Roman"/>
                <w:sz w:val="20"/>
                <w:szCs w:val="20"/>
              </w:rPr>
              <w:t xml:space="preserve">Jauna </w:t>
            </w:r>
            <w:r w:rsidRPr="00A07F29">
              <w:rPr>
                <w:rFonts w:ascii="Times New Roman" w:hAnsi="Times New Roman" w:cs="Times New Roman"/>
                <w:i/>
                <w:color w:val="000000"/>
                <w:sz w:val="20"/>
                <w:szCs w:val="20"/>
              </w:rPr>
              <w:t xml:space="preserve">V. </w:t>
            </w:r>
            <w:proofErr w:type="spellStart"/>
            <w:r w:rsidRPr="00A07F29">
              <w:rPr>
                <w:rFonts w:ascii="Times New Roman" w:hAnsi="Times New Roman" w:cs="Times New Roman"/>
                <w:i/>
                <w:color w:val="000000"/>
                <w:sz w:val="20"/>
                <w:szCs w:val="20"/>
              </w:rPr>
              <w:t>angustior</w:t>
            </w:r>
            <w:proofErr w:type="spellEnd"/>
            <w:r w:rsidRPr="00A07F29">
              <w:rPr>
                <w:rFonts w:ascii="Times New Roman" w:hAnsi="Times New Roman" w:cs="Times New Roman"/>
                <w:color w:val="000000"/>
                <w:sz w:val="20"/>
                <w:szCs w:val="20"/>
              </w:rPr>
              <w:t xml:space="preserve"> un </w:t>
            </w:r>
            <w:r w:rsidRPr="00A07F29">
              <w:rPr>
                <w:rFonts w:ascii="Times New Roman" w:hAnsi="Times New Roman" w:cs="Times New Roman"/>
                <w:i/>
                <w:color w:val="000000"/>
                <w:sz w:val="20"/>
                <w:szCs w:val="20"/>
              </w:rPr>
              <w:t xml:space="preserve">V. </w:t>
            </w:r>
            <w:proofErr w:type="spellStart"/>
            <w:r w:rsidRPr="00A07F29">
              <w:rPr>
                <w:rFonts w:ascii="Times New Roman" w:hAnsi="Times New Roman" w:cs="Times New Roman"/>
                <w:i/>
                <w:color w:val="000000"/>
                <w:sz w:val="20"/>
                <w:szCs w:val="20"/>
              </w:rPr>
              <w:t>geyeri</w:t>
            </w:r>
            <w:proofErr w:type="spellEnd"/>
            <w:r w:rsidRPr="00A07F29">
              <w:rPr>
                <w:rFonts w:ascii="Times New Roman" w:hAnsi="Times New Roman" w:cs="Times New Roman"/>
                <w:sz w:val="20"/>
                <w:szCs w:val="20"/>
              </w:rPr>
              <w:t xml:space="preserve"> atradne</w:t>
            </w:r>
          </w:p>
        </w:tc>
        <w:tc>
          <w:tcPr>
            <w:tcW w:w="1134" w:type="dxa"/>
            <w:shd w:val="clear" w:color="auto" w:fill="auto"/>
            <w:noWrap/>
            <w:vAlign w:val="center"/>
          </w:tcPr>
          <w:p w14:paraId="5B2B72C6" w14:textId="77777777" w:rsidR="009072CE" w:rsidRPr="00A07F29" w:rsidRDefault="009072CE" w:rsidP="009072CE">
            <w:pPr>
              <w:spacing w:after="0" w:line="240" w:lineRule="auto"/>
              <w:jc w:val="center"/>
              <w:rPr>
                <w:rFonts w:ascii="Times New Roman" w:hAnsi="Times New Roman" w:cs="Times New Roman"/>
                <w:sz w:val="20"/>
                <w:szCs w:val="20"/>
              </w:rPr>
            </w:pPr>
            <w:r w:rsidRPr="00A07F29">
              <w:rPr>
                <w:rFonts w:ascii="Times New Roman" w:hAnsi="Times New Roman" w:cs="Times New Roman"/>
                <w:sz w:val="20"/>
                <w:szCs w:val="20"/>
              </w:rPr>
              <w:t>6450</w:t>
            </w:r>
          </w:p>
        </w:tc>
        <w:tc>
          <w:tcPr>
            <w:tcW w:w="2322" w:type="dxa"/>
          </w:tcPr>
          <w:p w14:paraId="2CDF0413" w14:textId="77777777" w:rsidR="009072CE" w:rsidRPr="00A07F29" w:rsidRDefault="009072CE" w:rsidP="009072CE">
            <w:pPr>
              <w:spacing w:after="0" w:line="240" w:lineRule="auto"/>
              <w:rPr>
                <w:rFonts w:ascii="Times New Roman" w:hAnsi="Times New Roman" w:cs="Times New Roman"/>
                <w:color w:val="000000"/>
                <w:sz w:val="20"/>
                <w:szCs w:val="20"/>
              </w:rPr>
            </w:pPr>
            <w:r w:rsidRPr="00A07F29">
              <w:rPr>
                <w:rFonts w:ascii="Times New Roman" w:hAnsi="Times New Roman" w:cs="Times New Roman"/>
                <w:color w:val="000000"/>
                <w:sz w:val="20"/>
                <w:szCs w:val="20"/>
              </w:rPr>
              <w:t>Bebru darbība</w:t>
            </w:r>
          </w:p>
        </w:tc>
      </w:tr>
      <w:tr w:rsidR="009072CE" w:rsidRPr="00A07F29" w14:paraId="344450D0" w14:textId="77777777" w:rsidTr="009056A3">
        <w:trPr>
          <w:trHeight w:val="300"/>
          <w:jc w:val="center"/>
        </w:trPr>
        <w:tc>
          <w:tcPr>
            <w:tcW w:w="711" w:type="dxa"/>
            <w:shd w:val="clear" w:color="auto" w:fill="auto"/>
            <w:noWrap/>
            <w:vAlign w:val="center"/>
          </w:tcPr>
          <w:p w14:paraId="216857EC" w14:textId="77777777" w:rsidR="009072CE" w:rsidRPr="00A07F29" w:rsidRDefault="009072CE" w:rsidP="009072CE">
            <w:pPr>
              <w:spacing w:after="0" w:line="240" w:lineRule="auto"/>
              <w:jc w:val="center"/>
              <w:rPr>
                <w:rFonts w:ascii="Times New Roman" w:hAnsi="Times New Roman" w:cs="Times New Roman"/>
                <w:sz w:val="20"/>
                <w:szCs w:val="20"/>
              </w:rPr>
            </w:pPr>
            <w:r w:rsidRPr="00A07F29">
              <w:rPr>
                <w:rFonts w:ascii="Times New Roman" w:hAnsi="Times New Roman" w:cs="Times New Roman"/>
                <w:sz w:val="20"/>
                <w:szCs w:val="20"/>
              </w:rPr>
              <w:t>6.</w:t>
            </w:r>
          </w:p>
        </w:tc>
        <w:tc>
          <w:tcPr>
            <w:tcW w:w="877" w:type="dxa"/>
            <w:shd w:val="clear" w:color="auto" w:fill="auto"/>
            <w:noWrap/>
            <w:vAlign w:val="center"/>
          </w:tcPr>
          <w:p w14:paraId="3B01B967" w14:textId="77777777" w:rsidR="009072CE" w:rsidRPr="00A07F29" w:rsidRDefault="009072CE" w:rsidP="009072CE">
            <w:pPr>
              <w:spacing w:after="0" w:line="240" w:lineRule="auto"/>
              <w:jc w:val="center"/>
              <w:rPr>
                <w:rFonts w:ascii="Times New Roman" w:hAnsi="Times New Roman" w:cs="Times New Roman"/>
                <w:sz w:val="20"/>
                <w:szCs w:val="20"/>
              </w:rPr>
            </w:pPr>
            <w:r w:rsidRPr="00A07F29">
              <w:rPr>
                <w:rFonts w:ascii="Times New Roman" w:hAnsi="Times New Roman" w:cs="Times New Roman"/>
                <w:sz w:val="20"/>
                <w:szCs w:val="20"/>
              </w:rPr>
              <w:t>681647</w:t>
            </w:r>
          </w:p>
        </w:tc>
        <w:tc>
          <w:tcPr>
            <w:tcW w:w="851" w:type="dxa"/>
            <w:shd w:val="clear" w:color="auto" w:fill="auto"/>
            <w:noWrap/>
            <w:vAlign w:val="center"/>
          </w:tcPr>
          <w:p w14:paraId="4C326588" w14:textId="77777777" w:rsidR="009072CE" w:rsidRPr="00A07F29" w:rsidRDefault="009072CE" w:rsidP="009072CE">
            <w:pPr>
              <w:spacing w:after="0" w:line="240" w:lineRule="auto"/>
              <w:jc w:val="center"/>
              <w:rPr>
                <w:rFonts w:ascii="Times New Roman" w:hAnsi="Times New Roman" w:cs="Times New Roman"/>
                <w:sz w:val="20"/>
                <w:szCs w:val="20"/>
              </w:rPr>
            </w:pPr>
            <w:r w:rsidRPr="00A07F29">
              <w:rPr>
                <w:rFonts w:ascii="Times New Roman" w:hAnsi="Times New Roman" w:cs="Times New Roman"/>
                <w:sz w:val="20"/>
                <w:szCs w:val="20"/>
              </w:rPr>
              <w:t>194712</w:t>
            </w:r>
          </w:p>
        </w:tc>
        <w:tc>
          <w:tcPr>
            <w:tcW w:w="2185" w:type="dxa"/>
            <w:shd w:val="clear" w:color="auto" w:fill="auto"/>
            <w:noWrap/>
            <w:vAlign w:val="center"/>
          </w:tcPr>
          <w:p w14:paraId="446DE653" w14:textId="77777777" w:rsidR="009072CE" w:rsidRPr="00A07F29" w:rsidRDefault="009072CE" w:rsidP="009072CE">
            <w:pPr>
              <w:spacing w:after="0" w:line="240" w:lineRule="auto"/>
              <w:jc w:val="center"/>
              <w:rPr>
                <w:rFonts w:ascii="Times New Roman" w:hAnsi="Times New Roman" w:cs="Times New Roman"/>
                <w:sz w:val="20"/>
                <w:szCs w:val="20"/>
              </w:rPr>
            </w:pPr>
            <w:r w:rsidRPr="00A07F29">
              <w:rPr>
                <w:rFonts w:ascii="Times New Roman" w:hAnsi="Times New Roman" w:cs="Times New Roman"/>
                <w:sz w:val="20"/>
                <w:szCs w:val="20"/>
              </w:rPr>
              <w:t xml:space="preserve">Vēsturiska </w:t>
            </w:r>
            <w:r w:rsidRPr="00A07F29">
              <w:rPr>
                <w:rFonts w:ascii="Times New Roman" w:hAnsi="Times New Roman" w:cs="Times New Roman"/>
                <w:i/>
                <w:color w:val="000000"/>
                <w:sz w:val="20"/>
                <w:szCs w:val="20"/>
              </w:rPr>
              <w:t>V</w:t>
            </w:r>
            <w:r w:rsidRPr="00A07F29">
              <w:rPr>
                <w:rFonts w:ascii="Times New Roman" w:hAnsi="Times New Roman" w:cs="Times New Roman"/>
                <w:color w:val="000000"/>
                <w:sz w:val="20"/>
                <w:szCs w:val="20"/>
              </w:rPr>
              <w:t>.</w:t>
            </w:r>
            <w:r w:rsidRPr="00A07F29">
              <w:rPr>
                <w:rFonts w:ascii="Times New Roman" w:hAnsi="Times New Roman" w:cs="Times New Roman"/>
                <w:i/>
                <w:color w:val="000000"/>
                <w:sz w:val="20"/>
                <w:szCs w:val="20"/>
              </w:rPr>
              <w:t xml:space="preserve"> </w:t>
            </w:r>
            <w:proofErr w:type="spellStart"/>
            <w:r w:rsidRPr="00A07F29">
              <w:rPr>
                <w:rFonts w:ascii="Times New Roman" w:hAnsi="Times New Roman" w:cs="Times New Roman"/>
                <w:i/>
                <w:color w:val="000000"/>
                <w:sz w:val="20"/>
                <w:szCs w:val="20"/>
              </w:rPr>
              <w:t>angustior</w:t>
            </w:r>
            <w:proofErr w:type="spellEnd"/>
            <w:r w:rsidRPr="00A07F29">
              <w:rPr>
                <w:rFonts w:ascii="Times New Roman" w:hAnsi="Times New Roman" w:cs="Times New Roman"/>
                <w:i/>
                <w:color w:val="000000"/>
                <w:sz w:val="20"/>
                <w:szCs w:val="20"/>
              </w:rPr>
              <w:t xml:space="preserve"> </w:t>
            </w:r>
            <w:r w:rsidRPr="00A07F29">
              <w:rPr>
                <w:rFonts w:ascii="Times New Roman" w:hAnsi="Times New Roman" w:cs="Times New Roman"/>
                <w:sz w:val="20"/>
                <w:szCs w:val="20"/>
              </w:rPr>
              <w:t>atradne</w:t>
            </w:r>
          </w:p>
        </w:tc>
        <w:tc>
          <w:tcPr>
            <w:tcW w:w="1134" w:type="dxa"/>
            <w:shd w:val="clear" w:color="auto" w:fill="auto"/>
            <w:noWrap/>
            <w:vAlign w:val="center"/>
          </w:tcPr>
          <w:p w14:paraId="4729E8C6" w14:textId="77777777" w:rsidR="009072CE" w:rsidRPr="00A07F29" w:rsidRDefault="009072CE" w:rsidP="009072CE">
            <w:pPr>
              <w:spacing w:after="0" w:line="240" w:lineRule="auto"/>
              <w:jc w:val="center"/>
              <w:rPr>
                <w:rFonts w:ascii="Times New Roman" w:hAnsi="Times New Roman" w:cs="Times New Roman"/>
                <w:sz w:val="20"/>
                <w:szCs w:val="20"/>
              </w:rPr>
            </w:pPr>
            <w:r w:rsidRPr="00A07F29">
              <w:rPr>
                <w:rFonts w:ascii="Times New Roman" w:hAnsi="Times New Roman" w:cs="Times New Roman"/>
                <w:sz w:val="20"/>
                <w:szCs w:val="20"/>
              </w:rPr>
              <w:t>-</w:t>
            </w:r>
          </w:p>
        </w:tc>
        <w:tc>
          <w:tcPr>
            <w:tcW w:w="2322" w:type="dxa"/>
          </w:tcPr>
          <w:p w14:paraId="2DD3DFFA" w14:textId="77777777" w:rsidR="009072CE" w:rsidRPr="00A07F29" w:rsidRDefault="009072CE" w:rsidP="009072CE">
            <w:pPr>
              <w:spacing w:after="0" w:line="240" w:lineRule="auto"/>
              <w:jc w:val="center"/>
              <w:rPr>
                <w:rFonts w:ascii="Times New Roman" w:hAnsi="Times New Roman" w:cs="Times New Roman"/>
                <w:sz w:val="20"/>
                <w:szCs w:val="20"/>
              </w:rPr>
            </w:pPr>
            <w:r w:rsidRPr="00A07F29">
              <w:rPr>
                <w:rFonts w:ascii="Times New Roman" w:hAnsi="Times New Roman" w:cs="Times New Roman"/>
                <w:color w:val="000000"/>
                <w:sz w:val="20"/>
                <w:szCs w:val="20"/>
              </w:rPr>
              <w:t>Sugas esība nav pierādīta; ap norādīto koordinātu notiek intensīva lauksaimnieciskā darbība</w:t>
            </w:r>
          </w:p>
        </w:tc>
      </w:tr>
      <w:tr w:rsidR="009072CE" w:rsidRPr="00A07F29" w14:paraId="7A888643" w14:textId="77777777" w:rsidTr="009056A3">
        <w:trPr>
          <w:trHeight w:val="300"/>
          <w:jc w:val="center"/>
        </w:trPr>
        <w:tc>
          <w:tcPr>
            <w:tcW w:w="711" w:type="dxa"/>
            <w:shd w:val="clear" w:color="auto" w:fill="auto"/>
            <w:noWrap/>
            <w:vAlign w:val="center"/>
          </w:tcPr>
          <w:p w14:paraId="3BDD10FB" w14:textId="77777777" w:rsidR="009072CE" w:rsidRPr="00A07F29" w:rsidRDefault="009072CE" w:rsidP="009072CE">
            <w:pPr>
              <w:spacing w:after="0" w:line="240" w:lineRule="auto"/>
              <w:jc w:val="center"/>
              <w:rPr>
                <w:rFonts w:ascii="Times New Roman" w:hAnsi="Times New Roman" w:cs="Times New Roman"/>
                <w:sz w:val="20"/>
                <w:szCs w:val="20"/>
              </w:rPr>
            </w:pPr>
            <w:r w:rsidRPr="00A07F29">
              <w:rPr>
                <w:rFonts w:ascii="Times New Roman" w:hAnsi="Times New Roman" w:cs="Times New Roman"/>
                <w:sz w:val="20"/>
                <w:szCs w:val="20"/>
              </w:rPr>
              <w:t>7.</w:t>
            </w:r>
          </w:p>
        </w:tc>
        <w:tc>
          <w:tcPr>
            <w:tcW w:w="877" w:type="dxa"/>
            <w:shd w:val="clear" w:color="auto" w:fill="auto"/>
            <w:noWrap/>
            <w:vAlign w:val="center"/>
          </w:tcPr>
          <w:p w14:paraId="2AE149B9" w14:textId="77777777" w:rsidR="009072CE" w:rsidRPr="00A07F29" w:rsidRDefault="009072CE" w:rsidP="009072CE">
            <w:pPr>
              <w:spacing w:after="0" w:line="240" w:lineRule="auto"/>
              <w:jc w:val="center"/>
              <w:rPr>
                <w:rFonts w:ascii="Times New Roman" w:hAnsi="Times New Roman" w:cs="Times New Roman"/>
                <w:sz w:val="20"/>
                <w:szCs w:val="20"/>
              </w:rPr>
            </w:pPr>
            <w:r w:rsidRPr="00A07F29">
              <w:rPr>
                <w:rFonts w:ascii="Times New Roman" w:hAnsi="Times New Roman" w:cs="Times New Roman"/>
                <w:sz w:val="20"/>
                <w:szCs w:val="20"/>
              </w:rPr>
              <w:t>700107</w:t>
            </w:r>
          </w:p>
        </w:tc>
        <w:tc>
          <w:tcPr>
            <w:tcW w:w="851" w:type="dxa"/>
            <w:shd w:val="clear" w:color="auto" w:fill="auto"/>
            <w:noWrap/>
            <w:vAlign w:val="center"/>
          </w:tcPr>
          <w:p w14:paraId="1FD5FE33" w14:textId="77777777" w:rsidR="009072CE" w:rsidRPr="00A07F29" w:rsidRDefault="009072CE" w:rsidP="009072CE">
            <w:pPr>
              <w:spacing w:after="0" w:line="240" w:lineRule="auto"/>
              <w:jc w:val="center"/>
              <w:rPr>
                <w:rFonts w:ascii="Times New Roman" w:hAnsi="Times New Roman" w:cs="Times New Roman"/>
                <w:sz w:val="20"/>
                <w:szCs w:val="20"/>
              </w:rPr>
            </w:pPr>
            <w:r w:rsidRPr="00A07F29">
              <w:rPr>
                <w:rFonts w:ascii="Times New Roman" w:hAnsi="Times New Roman" w:cs="Times New Roman"/>
                <w:sz w:val="20"/>
                <w:szCs w:val="20"/>
              </w:rPr>
              <w:t>197760</w:t>
            </w:r>
          </w:p>
        </w:tc>
        <w:tc>
          <w:tcPr>
            <w:tcW w:w="2185" w:type="dxa"/>
            <w:shd w:val="clear" w:color="auto" w:fill="auto"/>
            <w:noWrap/>
            <w:vAlign w:val="center"/>
          </w:tcPr>
          <w:p w14:paraId="6F85A2A5" w14:textId="77777777" w:rsidR="009072CE" w:rsidRPr="00A07F29" w:rsidRDefault="009072CE" w:rsidP="009072CE">
            <w:pPr>
              <w:spacing w:after="0" w:line="240" w:lineRule="auto"/>
              <w:jc w:val="center"/>
              <w:rPr>
                <w:rFonts w:ascii="Times New Roman" w:hAnsi="Times New Roman" w:cs="Times New Roman"/>
                <w:sz w:val="20"/>
                <w:szCs w:val="20"/>
              </w:rPr>
            </w:pPr>
            <w:r w:rsidRPr="00A07F29">
              <w:rPr>
                <w:rFonts w:ascii="Times New Roman" w:hAnsi="Times New Roman" w:cs="Times New Roman"/>
                <w:sz w:val="20"/>
                <w:szCs w:val="20"/>
              </w:rPr>
              <w:t xml:space="preserve">Vēsturiska </w:t>
            </w:r>
            <w:r w:rsidRPr="00A07F29">
              <w:rPr>
                <w:rFonts w:ascii="Times New Roman" w:hAnsi="Times New Roman" w:cs="Times New Roman"/>
                <w:i/>
                <w:color w:val="000000"/>
                <w:sz w:val="20"/>
                <w:szCs w:val="20"/>
              </w:rPr>
              <w:t>V</w:t>
            </w:r>
            <w:r w:rsidRPr="00A07F29">
              <w:rPr>
                <w:rFonts w:ascii="Times New Roman" w:hAnsi="Times New Roman" w:cs="Times New Roman"/>
                <w:color w:val="000000"/>
                <w:sz w:val="20"/>
                <w:szCs w:val="20"/>
              </w:rPr>
              <w:t>.</w:t>
            </w:r>
            <w:r w:rsidRPr="00A07F29">
              <w:rPr>
                <w:rFonts w:ascii="Times New Roman" w:hAnsi="Times New Roman" w:cs="Times New Roman"/>
                <w:i/>
                <w:color w:val="000000"/>
                <w:sz w:val="20"/>
                <w:szCs w:val="20"/>
              </w:rPr>
              <w:t xml:space="preserve"> </w:t>
            </w:r>
            <w:proofErr w:type="spellStart"/>
            <w:r w:rsidRPr="00A07F29">
              <w:rPr>
                <w:rFonts w:ascii="Times New Roman" w:hAnsi="Times New Roman" w:cs="Times New Roman"/>
                <w:i/>
                <w:color w:val="000000"/>
                <w:sz w:val="20"/>
                <w:szCs w:val="20"/>
              </w:rPr>
              <w:t>angustior</w:t>
            </w:r>
            <w:proofErr w:type="spellEnd"/>
            <w:r w:rsidRPr="00A07F29">
              <w:rPr>
                <w:rFonts w:ascii="Times New Roman" w:hAnsi="Times New Roman" w:cs="Times New Roman"/>
                <w:i/>
                <w:color w:val="000000"/>
                <w:sz w:val="20"/>
                <w:szCs w:val="20"/>
              </w:rPr>
              <w:t xml:space="preserve"> </w:t>
            </w:r>
            <w:r w:rsidRPr="00A07F29">
              <w:rPr>
                <w:rFonts w:ascii="Times New Roman" w:hAnsi="Times New Roman" w:cs="Times New Roman"/>
                <w:sz w:val="20"/>
                <w:szCs w:val="20"/>
              </w:rPr>
              <w:t>atradne</w:t>
            </w:r>
          </w:p>
        </w:tc>
        <w:tc>
          <w:tcPr>
            <w:tcW w:w="1134" w:type="dxa"/>
            <w:shd w:val="clear" w:color="auto" w:fill="auto"/>
            <w:noWrap/>
            <w:vAlign w:val="center"/>
          </w:tcPr>
          <w:p w14:paraId="74BD9604" w14:textId="77777777" w:rsidR="009072CE" w:rsidRPr="00A07F29" w:rsidRDefault="009072CE" w:rsidP="009072CE">
            <w:pPr>
              <w:spacing w:after="0" w:line="240" w:lineRule="auto"/>
              <w:jc w:val="center"/>
              <w:rPr>
                <w:rFonts w:ascii="Times New Roman" w:hAnsi="Times New Roman" w:cs="Times New Roman"/>
                <w:sz w:val="20"/>
                <w:szCs w:val="20"/>
              </w:rPr>
            </w:pPr>
            <w:r w:rsidRPr="00A07F29">
              <w:rPr>
                <w:rFonts w:ascii="Times New Roman" w:hAnsi="Times New Roman" w:cs="Times New Roman"/>
                <w:sz w:val="20"/>
                <w:szCs w:val="20"/>
              </w:rPr>
              <w:t>6450</w:t>
            </w:r>
          </w:p>
        </w:tc>
        <w:tc>
          <w:tcPr>
            <w:tcW w:w="2322" w:type="dxa"/>
          </w:tcPr>
          <w:p w14:paraId="2830FDE2" w14:textId="77777777" w:rsidR="009072CE" w:rsidRPr="00A07F29" w:rsidRDefault="009072CE" w:rsidP="009072CE">
            <w:pPr>
              <w:spacing w:after="0" w:line="240" w:lineRule="auto"/>
              <w:jc w:val="center"/>
              <w:rPr>
                <w:rFonts w:ascii="Times New Roman" w:hAnsi="Times New Roman" w:cs="Times New Roman"/>
                <w:color w:val="00B050"/>
                <w:sz w:val="20"/>
                <w:szCs w:val="20"/>
              </w:rPr>
            </w:pPr>
            <w:r w:rsidRPr="00A07F29">
              <w:rPr>
                <w:rFonts w:ascii="Times New Roman" w:hAnsi="Times New Roman" w:cs="Times New Roman"/>
                <w:color w:val="000000"/>
                <w:sz w:val="20"/>
                <w:szCs w:val="20"/>
              </w:rPr>
              <w:t xml:space="preserve">Aizaug, bebru darbība; ieviešas Kanādas </w:t>
            </w:r>
            <w:proofErr w:type="spellStart"/>
            <w:r w:rsidRPr="00A07F29">
              <w:rPr>
                <w:rFonts w:ascii="Times New Roman" w:hAnsi="Times New Roman" w:cs="Times New Roman"/>
                <w:color w:val="000000"/>
                <w:sz w:val="20"/>
                <w:szCs w:val="20"/>
              </w:rPr>
              <w:t>zeltslotiņa</w:t>
            </w:r>
            <w:proofErr w:type="spellEnd"/>
            <w:r w:rsidRPr="00A07F29">
              <w:rPr>
                <w:rFonts w:ascii="Times New Roman" w:hAnsi="Times New Roman" w:cs="Times New Roman"/>
                <w:color w:val="000000"/>
                <w:sz w:val="20"/>
                <w:szCs w:val="20"/>
              </w:rPr>
              <w:t xml:space="preserve"> (+)</w:t>
            </w:r>
          </w:p>
        </w:tc>
      </w:tr>
      <w:tr w:rsidR="009072CE" w:rsidRPr="00A07F29" w14:paraId="514FCD5D" w14:textId="77777777" w:rsidTr="009056A3">
        <w:trPr>
          <w:trHeight w:val="300"/>
          <w:jc w:val="center"/>
        </w:trPr>
        <w:tc>
          <w:tcPr>
            <w:tcW w:w="711" w:type="dxa"/>
            <w:shd w:val="clear" w:color="auto" w:fill="auto"/>
            <w:noWrap/>
            <w:vAlign w:val="center"/>
          </w:tcPr>
          <w:p w14:paraId="6293BD43" w14:textId="77777777" w:rsidR="009072CE" w:rsidRPr="00A07F29" w:rsidRDefault="009072CE" w:rsidP="009072CE">
            <w:pPr>
              <w:spacing w:after="0" w:line="240" w:lineRule="auto"/>
              <w:jc w:val="center"/>
              <w:rPr>
                <w:rFonts w:ascii="Times New Roman" w:hAnsi="Times New Roman" w:cs="Times New Roman"/>
                <w:sz w:val="20"/>
                <w:szCs w:val="20"/>
              </w:rPr>
            </w:pPr>
            <w:r w:rsidRPr="00A07F29">
              <w:rPr>
                <w:rFonts w:ascii="Times New Roman" w:hAnsi="Times New Roman" w:cs="Times New Roman"/>
                <w:sz w:val="20"/>
                <w:szCs w:val="20"/>
              </w:rPr>
              <w:t>8.</w:t>
            </w:r>
          </w:p>
        </w:tc>
        <w:tc>
          <w:tcPr>
            <w:tcW w:w="877" w:type="dxa"/>
            <w:shd w:val="clear" w:color="auto" w:fill="auto"/>
            <w:noWrap/>
            <w:vAlign w:val="center"/>
          </w:tcPr>
          <w:p w14:paraId="58D0962B" w14:textId="77777777" w:rsidR="009072CE" w:rsidRPr="00A07F29" w:rsidRDefault="009072CE" w:rsidP="009072CE">
            <w:pPr>
              <w:spacing w:after="0" w:line="240" w:lineRule="auto"/>
              <w:jc w:val="center"/>
              <w:rPr>
                <w:rFonts w:ascii="Times New Roman" w:hAnsi="Times New Roman" w:cs="Times New Roman"/>
                <w:sz w:val="20"/>
                <w:szCs w:val="20"/>
              </w:rPr>
            </w:pPr>
            <w:r w:rsidRPr="00A07F29">
              <w:rPr>
                <w:rFonts w:ascii="Times New Roman" w:hAnsi="Times New Roman" w:cs="Times New Roman"/>
                <w:sz w:val="20"/>
                <w:szCs w:val="20"/>
              </w:rPr>
              <w:t>671653</w:t>
            </w:r>
          </w:p>
        </w:tc>
        <w:tc>
          <w:tcPr>
            <w:tcW w:w="851" w:type="dxa"/>
            <w:shd w:val="clear" w:color="auto" w:fill="auto"/>
            <w:noWrap/>
            <w:vAlign w:val="center"/>
          </w:tcPr>
          <w:p w14:paraId="551DDFDD" w14:textId="77777777" w:rsidR="009072CE" w:rsidRPr="00A07F29" w:rsidRDefault="009072CE" w:rsidP="009072CE">
            <w:pPr>
              <w:spacing w:after="0" w:line="240" w:lineRule="auto"/>
              <w:jc w:val="center"/>
              <w:rPr>
                <w:rFonts w:ascii="Times New Roman" w:hAnsi="Times New Roman" w:cs="Times New Roman"/>
                <w:sz w:val="20"/>
                <w:szCs w:val="20"/>
              </w:rPr>
            </w:pPr>
            <w:r w:rsidRPr="00A07F29">
              <w:rPr>
                <w:rFonts w:ascii="Times New Roman" w:hAnsi="Times New Roman" w:cs="Times New Roman"/>
                <w:sz w:val="20"/>
                <w:szCs w:val="20"/>
              </w:rPr>
              <w:t>199679</w:t>
            </w:r>
          </w:p>
        </w:tc>
        <w:tc>
          <w:tcPr>
            <w:tcW w:w="2185" w:type="dxa"/>
            <w:shd w:val="clear" w:color="auto" w:fill="auto"/>
            <w:noWrap/>
            <w:vAlign w:val="center"/>
          </w:tcPr>
          <w:p w14:paraId="7621FEDE" w14:textId="77777777" w:rsidR="009072CE" w:rsidRPr="00A07F29" w:rsidRDefault="009072CE" w:rsidP="009072CE">
            <w:pPr>
              <w:spacing w:after="0" w:line="240" w:lineRule="auto"/>
              <w:jc w:val="center"/>
              <w:rPr>
                <w:rFonts w:ascii="Times New Roman" w:hAnsi="Times New Roman" w:cs="Times New Roman"/>
                <w:sz w:val="20"/>
                <w:szCs w:val="20"/>
              </w:rPr>
            </w:pPr>
            <w:r w:rsidRPr="00A07F29">
              <w:rPr>
                <w:rFonts w:ascii="Times New Roman" w:hAnsi="Times New Roman" w:cs="Times New Roman"/>
                <w:sz w:val="20"/>
                <w:szCs w:val="20"/>
              </w:rPr>
              <w:t xml:space="preserve">Vēsturiska </w:t>
            </w:r>
            <w:r w:rsidRPr="00A07F29">
              <w:rPr>
                <w:rFonts w:ascii="Times New Roman" w:hAnsi="Times New Roman" w:cs="Times New Roman"/>
                <w:i/>
                <w:color w:val="000000"/>
                <w:sz w:val="20"/>
                <w:szCs w:val="20"/>
              </w:rPr>
              <w:t>V</w:t>
            </w:r>
            <w:r w:rsidRPr="00A07F29">
              <w:rPr>
                <w:rFonts w:ascii="Times New Roman" w:hAnsi="Times New Roman" w:cs="Times New Roman"/>
                <w:color w:val="000000"/>
                <w:sz w:val="20"/>
                <w:szCs w:val="20"/>
              </w:rPr>
              <w:t>.</w:t>
            </w:r>
            <w:r w:rsidRPr="00A07F29">
              <w:rPr>
                <w:rFonts w:ascii="Times New Roman" w:hAnsi="Times New Roman" w:cs="Times New Roman"/>
                <w:i/>
                <w:color w:val="000000"/>
                <w:sz w:val="20"/>
                <w:szCs w:val="20"/>
              </w:rPr>
              <w:t xml:space="preserve"> </w:t>
            </w:r>
            <w:proofErr w:type="spellStart"/>
            <w:r w:rsidRPr="00A07F29">
              <w:rPr>
                <w:rFonts w:ascii="Times New Roman" w:hAnsi="Times New Roman" w:cs="Times New Roman"/>
                <w:i/>
                <w:color w:val="000000"/>
                <w:sz w:val="20"/>
                <w:szCs w:val="20"/>
              </w:rPr>
              <w:t>angustior</w:t>
            </w:r>
            <w:proofErr w:type="spellEnd"/>
            <w:r w:rsidRPr="00A07F29">
              <w:rPr>
                <w:rFonts w:ascii="Times New Roman" w:hAnsi="Times New Roman" w:cs="Times New Roman"/>
                <w:i/>
                <w:color w:val="000000"/>
                <w:sz w:val="20"/>
                <w:szCs w:val="20"/>
              </w:rPr>
              <w:t xml:space="preserve"> </w:t>
            </w:r>
            <w:r w:rsidRPr="00A07F29">
              <w:rPr>
                <w:rFonts w:ascii="Times New Roman" w:hAnsi="Times New Roman" w:cs="Times New Roman"/>
                <w:sz w:val="20"/>
                <w:szCs w:val="20"/>
              </w:rPr>
              <w:t>atradne</w:t>
            </w:r>
          </w:p>
        </w:tc>
        <w:tc>
          <w:tcPr>
            <w:tcW w:w="1134" w:type="dxa"/>
            <w:shd w:val="clear" w:color="auto" w:fill="auto"/>
            <w:noWrap/>
            <w:vAlign w:val="center"/>
          </w:tcPr>
          <w:p w14:paraId="113B85D5" w14:textId="77777777" w:rsidR="009072CE" w:rsidRPr="00A07F29" w:rsidRDefault="009072CE" w:rsidP="009072CE">
            <w:pPr>
              <w:spacing w:after="0" w:line="240" w:lineRule="auto"/>
              <w:jc w:val="center"/>
              <w:rPr>
                <w:rFonts w:ascii="Times New Roman" w:hAnsi="Times New Roman" w:cs="Times New Roman"/>
                <w:sz w:val="20"/>
                <w:szCs w:val="20"/>
              </w:rPr>
            </w:pPr>
            <w:r w:rsidRPr="00A07F29">
              <w:rPr>
                <w:rFonts w:ascii="Times New Roman" w:hAnsi="Times New Roman" w:cs="Times New Roman"/>
                <w:sz w:val="20"/>
                <w:szCs w:val="20"/>
              </w:rPr>
              <w:t>-</w:t>
            </w:r>
          </w:p>
        </w:tc>
        <w:tc>
          <w:tcPr>
            <w:tcW w:w="2322" w:type="dxa"/>
            <w:vAlign w:val="center"/>
          </w:tcPr>
          <w:p w14:paraId="338A0788" w14:textId="77777777" w:rsidR="009072CE" w:rsidRPr="00A07F29" w:rsidRDefault="009072CE" w:rsidP="009072CE">
            <w:pPr>
              <w:spacing w:after="0" w:line="240" w:lineRule="auto"/>
              <w:jc w:val="center"/>
              <w:rPr>
                <w:rFonts w:ascii="Times New Roman" w:hAnsi="Times New Roman" w:cs="Times New Roman"/>
                <w:sz w:val="20"/>
                <w:szCs w:val="20"/>
              </w:rPr>
            </w:pPr>
            <w:r w:rsidRPr="00A07F29">
              <w:rPr>
                <w:rFonts w:ascii="Times New Roman" w:hAnsi="Times New Roman" w:cs="Times New Roman"/>
                <w:sz w:val="20"/>
                <w:szCs w:val="20"/>
              </w:rPr>
              <w:t xml:space="preserve">Atkārtota sugas </w:t>
            </w:r>
            <w:r w:rsidRPr="00A07F29">
              <w:rPr>
                <w:rFonts w:ascii="Times New Roman" w:hAnsi="Times New Roman" w:cs="Times New Roman"/>
                <w:color w:val="000000"/>
                <w:sz w:val="20"/>
                <w:szCs w:val="20"/>
              </w:rPr>
              <w:t>esība nav pierādīta;</w:t>
            </w:r>
            <w:r w:rsidRPr="00A07F29">
              <w:rPr>
                <w:rFonts w:ascii="Times New Roman" w:hAnsi="Times New Roman" w:cs="Times New Roman"/>
                <w:sz w:val="20"/>
                <w:szCs w:val="20"/>
              </w:rPr>
              <w:t xml:space="preserve"> </w:t>
            </w:r>
            <w:proofErr w:type="spellStart"/>
            <w:r w:rsidRPr="00A07F29">
              <w:rPr>
                <w:rFonts w:ascii="Times New Roman" w:hAnsi="Times New Roman" w:cs="Times New Roman"/>
                <w:sz w:val="20"/>
                <w:szCs w:val="20"/>
              </w:rPr>
              <w:t>bebraine</w:t>
            </w:r>
            <w:proofErr w:type="spellEnd"/>
          </w:p>
        </w:tc>
      </w:tr>
    </w:tbl>
    <w:p w14:paraId="22F602F4" w14:textId="28BC9D2C" w:rsidR="009072CE" w:rsidRDefault="00C22546" w:rsidP="002A4060">
      <w:pPr>
        <w:spacing w:after="0" w:line="240" w:lineRule="auto"/>
        <w:ind w:firstLine="567"/>
        <w:jc w:val="both"/>
        <w:rPr>
          <w:rFonts w:ascii="Times New Roman" w:eastAsia="Calibri" w:hAnsi="Times New Roman" w:cs="Times New Roman"/>
          <w:iCs/>
          <w:sz w:val="16"/>
          <w:szCs w:val="16"/>
        </w:rPr>
      </w:pPr>
      <w:r>
        <w:rPr>
          <w:rFonts w:ascii="Times New Roman" w:eastAsia="Calibri" w:hAnsi="Times New Roman" w:cs="Times New Roman"/>
          <w:iCs/>
          <w:sz w:val="16"/>
          <w:szCs w:val="16"/>
        </w:rPr>
        <w:t xml:space="preserve"> ES Biotopa kods: </w:t>
      </w:r>
      <w:r w:rsidR="00BC142D">
        <w:rPr>
          <w:rFonts w:ascii="Times New Roman" w:eastAsia="Calibri" w:hAnsi="Times New Roman" w:cs="Times New Roman"/>
          <w:iCs/>
          <w:sz w:val="16"/>
          <w:szCs w:val="16"/>
        </w:rPr>
        <w:t xml:space="preserve">7140-1 </w:t>
      </w:r>
      <w:r w:rsidR="00BC142D" w:rsidRPr="00C22546">
        <w:rPr>
          <w:rFonts w:ascii="Times New Roman" w:eastAsia="Calibri" w:hAnsi="Times New Roman" w:cs="Times New Roman"/>
          <w:i/>
          <w:sz w:val="16"/>
          <w:szCs w:val="16"/>
        </w:rPr>
        <w:t>Pārejas purvi un slīk</w:t>
      </w:r>
      <w:r w:rsidR="00210EEC" w:rsidRPr="00C22546">
        <w:rPr>
          <w:rFonts w:ascii="Times New Roman" w:eastAsia="Calibri" w:hAnsi="Times New Roman" w:cs="Times New Roman"/>
          <w:i/>
          <w:sz w:val="16"/>
          <w:szCs w:val="16"/>
        </w:rPr>
        <w:t>šņas</w:t>
      </w:r>
      <w:r w:rsidR="001D1923">
        <w:rPr>
          <w:rFonts w:ascii="Times New Roman" w:eastAsia="Calibri" w:hAnsi="Times New Roman" w:cs="Times New Roman"/>
          <w:i/>
          <w:sz w:val="16"/>
          <w:szCs w:val="16"/>
        </w:rPr>
        <w:t xml:space="preserve"> (1.variants)</w:t>
      </w:r>
      <w:r w:rsidR="00210EEC">
        <w:rPr>
          <w:rFonts w:ascii="Times New Roman" w:eastAsia="Calibri" w:hAnsi="Times New Roman" w:cs="Times New Roman"/>
          <w:iCs/>
          <w:sz w:val="16"/>
          <w:szCs w:val="16"/>
        </w:rPr>
        <w:t xml:space="preserve">, 6410 </w:t>
      </w:r>
      <w:r w:rsidR="00210EEC" w:rsidRPr="00C22546">
        <w:rPr>
          <w:rFonts w:ascii="Times New Roman" w:eastAsia="Calibri" w:hAnsi="Times New Roman" w:cs="Times New Roman"/>
          <w:i/>
          <w:sz w:val="16"/>
          <w:szCs w:val="16"/>
        </w:rPr>
        <w:t>Mitri zālāji</w:t>
      </w:r>
      <w:r w:rsidR="00C1613C" w:rsidRPr="00C22546">
        <w:rPr>
          <w:rFonts w:ascii="Times New Roman" w:eastAsia="Calibri" w:hAnsi="Times New Roman" w:cs="Times New Roman"/>
          <w:i/>
          <w:sz w:val="16"/>
          <w:szCs w:val="16"/>
        </w:rPr>
        <w:t xml:space="preserve"> periodiski izžūstošās augsnēs</w:t>
      </w:r>
      <w:r w:rsidR="00C1613C">
        <w:rPr>
          <w:rFonts w:ascii="Times New Roman" w:eastAsia="Calibri" w:hAnsi="Times New Roman" w:cs="Times New Roman"/>
          <w:iCs/>
          <w:sz w:val="16"/>
          <w:szCs w:val="16"/>
        </w:rPr>
        <w:t xml:space="preserve">, 6450 </w:t>
      </w:r>
      <w:r w:rsidR="00C1613C" w:rsidRPr="00C22546">
        <w:rPr>
          <w:rFonts w:ascii="Times New Roman" w:eastAsia="Calibri" w:hAnsi="Times New Roman" w:cs="Times New Roman"/>
          <w:i/>
          <w:sz w:val="16"/>
          <w:szCs w:val="16"/>
        </w:rPr>
        <w:t>Palieņu zālāji</w:t>
      </w:r>
    </w:p>
    <w:p w14:paraId="08740A4B" w14:textId="77777777" w:rsidR="002A4060" w:rsidRPr="002A4060" w:rsidRDefault="002A4060" w:rsidP="002A4060">
      <w:pPr>
        <w:spacing w:after="0" w:line="240" w:lineRule="auto"/>
        <w:ind w:firstLine="567"/>
        <w:jc w:val="both"/>
        <w:rPr>
          <w:rFonts w:ascii="Times New Roman" w:eastAsia="Calibri" w:hAnsi="Times New Roman" w:cs="Times New Roman"/>
          <w:iCs/>
          <w:sz w:val="16"/>
          <w:szCs w:val="16"/>
        </w:rPr>
      </w:pPr>
    </w:p>
    <w:p w14:paraId="52DC1618" w14:textId="012B3FEC" w:rsidR="009072CE" w:rsidRPr="00A07F29" w:rsidRDefault="009072CE" w:rsidP="00371B4F">
      <w:pPr>
        <w:spacing w:after="120" w:line="240" w:lineRule="auto"/>
        <w:ind w:firstLine="720"/>
        <w:jc w:val="both"/>
        <w:rPr>
          <w:rFonts w:ascii="Times New Roman" w:eastAsia="Times New Roman" w:hAnsi="Times New Roman" w:cs="Times New Roman"/>
          <w:sz w:val="24"/>
          <w:szCs w:val="24"/>
          <w:lang w:eastAsia="lv-LV"/>
        </w:rPr>
      </w:pPr>
      <w:r w:rsidRPr="00A07F29">
        <w:rPr>
          <w:rFonts w:ascii="Times New Roman" w:eastAsia="Calibri" w:hAnsi="Times New Roman" w:cs="Times New Roman"/>
          <w:iCs/>
          <w:sz w:val="24"/>
          <w:szCs w:val="24"/>
        </w:rPr>
        <w:t xml:space="preserve">Atradne pie </w:t>
      </w:r>
      <w:proofErr w:type="spellStart"/>
      <w:r w:rsidRPr="00A07F29">
        <w:rPr>
          <w:rFonts w:ascii="Times New Roman" w:eastAsia="Calibri" w:hAnsi="Times New Roman" w:cs="Times New Roman"/>
          <w:iCs/>
          <w:sz w:val="24"/>
          <w:szCs w:val="24"/>
        </w:rPr>
        <w:t>Rudņas</w:t>
      </w:r>
      <w:proofErr w:type="spellEnd"/>
      <w:r w:rsidRPr="00A07F29">
        <w:rPr>
          <w:rFonts w:ascii="Times New Roman" w:eastAsia="Calibri" w:hAnsi="Times New Roman" w:cs="Times New Roman"/>
          <w:iCs/>
          <w:sz w:val="24"/>
          <w:szCs w:val="24"/>
        </w:rPr>
        <w:t xml:space="preserve"> (</w:t>
      </w:r>
      <w:r w:rsidR="00742EC7">
        <w:rPr>
          <w:rFonts w:ascii="Times New Roman" w:eastAsia="Calibri" w:hAnsi="Times New Roman" w:cs="Times New Roman"/>
          <w:iCs/>
          <w:sz w:val="24"/>
          <w:szCs w:val="24"/>
        </w:rPr>
        <w:t>koordināt</w:t>
      </w:r>
      <w:r w:rsidR="009A227F">
        <w:rPr>
          <w:rFonts w:ascii="Times New Roman" w:eastAsia="Calibri" w:hAnsi="Times New Roman" w:cs="Times New Roman"/>
          <w:iCs/>
          <w:sz w:val="24"/>
          <w:szCs w:val="24"/>
        </w:rPr>
        <w:t>a</w:t>
      </w:r>
      <w:r w:rsidR="00742EC7">
        <w:rPr>
          <w:rFonts w:ascii="Times New Roman" w:eastAsia="Calibri" w:hAnsi="Times New Roman" w:cs="Times New Roman"/>
          <w:iCs/>
          <w:sz w:val="24"/>
          <w:szCs w:val="24"/>
        </w:rPr>
        <w:t>s</w:t>
      </w:r>
      <w:r w:rsidR="009A227F">
        <w:rPr>
          <w:rFonts w:ascii="Times New Roman" w:eastAsia="Calibri" w:hAnsi="Times New Roman" w:cs="Times New Roman"/>
          <w:iCs/>
          <w:sz w:val="24"/>
          <w:szCs w:val="24"/>
        </w:rPr>
        <w:t>:</w:t>
      </w:r>
      <w:r w:rsidR="00742EC7">
        <w:rPr>
          <w:rFonts w:ascii="Times New Roman" w:eastAsia="Calibri" w:hAnsi="Times New Roman" w:cs="Times New Roman"/>
          <w:iCs/>
          <w:sz w:val="24"/>
          <w:szCs w:val="24"/>
        </w:rPr>
        <w:t xml:space="preserve"> </w:t>
      </w:r>
      <w:r w:rsidRPr="00A07F29">
        <w:rPr>
          <w:rFonts w:ascii="Times New Roman" w:eastAsia="Calibri" w:hAnsi="Times New Roman" w:cs="Times New Roman"/>
          <w:iCs/>
          <w:sz w:val="24"/>
          <w:szCs w:val="24"/>
        </w:rPr>
        <w:t>x</w:t>
      </w:r>
      <w:r w:rsidR="009A227F">
        <w:rPr>
          <w:rFonts w:ascii="Times New Roman" w:eastAsia="Calibri" w:hAnsi="Times New Roman" w:cs="Times New Roman"/>
          <w:iCs/>
          <w:sz w:val="24"/>
          <w:szCs w:val="24"/>
        </w:rPr>
        <w:t> </w:t>
      </w:r>
      <w:r w:rsidRPr="00A07F29">
        <w:rPr>
          <w:rFonts w:ascii="Times New Roman" w:eastAsia="Calibri" w:hAnsi="Times New Roman" w:cs="Times New Roman"/>
          <w:iCs/>
          <w:sz w:val="24"/>
          <w:szCs w:val="24"/>
        </w:rPr>
        <w:t>686740; y</w:t>
      </w:r>
      <w:r w:rsidR="004514A5">
        <w:rPr>
          <w:rFonts w:ascii="Times New Roman" w:eastAsia="Calibri" w:hAnsi="Times New Roman" w:cs="Times New Roman"/>
          <w:iCs/>
          <w:sz w:val="24"/>
          <w:szCs w:val="24"/>
        </w:rPr>
        <w:t> </w:t>
      </w:r>
      <w:r w:rsidRPr="00A07F29">
        <w:rPr>
          <w:rFonts w:ascii="Times New Roman" w:eastAsia="Calibri" w:hAnsi="Times New Roman" w:cs="Times New Roman"/>
          <w:iCs/>
          <w:sz w:val="24"/>
          <w:szCs w:val="24"/>
        </w:rPr>
        <w:t xml:space="preserve">199188) atbilst </w:t>
      </w:r>
      <w:r w:rsidRPr="00A07F29">
        <w:rPr>
          <w:rFonts w:ascii="Times New Roman" w:eastAsia="Times New Roman" w:hAnsi="Times New Roman" w:cs="Times New Roman"/>
          <w:sz w:val="24"/>
          <w:szCs w:val="24"/>
          <w:lang w:eastAsia="lv-LV"/>
        </w:rPr>
        <w:t>mitra zālāja periodiski izžūstošās augsnēs biotopam. Šajā dzīvotnē aktīva saimnieciskā darbība nenotiek, kā rezultātā tā pamazām aizaug. Blakus sugas dzīvotnei ir izrakts dīķis, kura ietekmi hidroloģiskā režīma izmainīšanā grūti novērtēt.</w:t>
      </w:r>
    </w:p>
    <w:p w14:paraId="60486D2F" w14:textId="2CB00B99" w:rsidR="009072CE" w:rsidRPr="00A07F29" w:rsidRDefault="009072CE" w:rsidP="00371B4F">
      <w:pPr>
        <w:spacing w:after="120" w:line="240" w:lineRule="auto"/>
        <w:ind w:firstLine="720"/>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Atradnē pie Dziļā ezera (</w:t>
      </w:r>
      <w:r w:rsidR="004514A5">
        <w:rPr>
          <w:rFonts w:ascii="Times New Roman" w:eastAsia="Times New Roman" w:hAnsi="Times New Roman" w:cs="Times New Roman"/>
          <w:sz w:val="24"/>
          <w:szCs w:val="24"/>
          <w:lang w:eastAsia="lv-LV"/>
        </w:rPr>
        <w:t xml:space="preserve">koordinātas: </w:t>
      </w:r>
      <w:r w:rsidRPr="00A07F29">
        <w:rPr>
          <w:rFonts w:ascii="Times New Roman" w:eastAsia="Times New Roman" w:hAnsi="Times New Roman" w:cs="Times New Roman"/>
          <w:sz w:val="24"/>
          <w:szCs w:val="24"/>
          <w:lang w:eastAsia="lv-LV"/>
        </w:rPr>
        <w:t>x</w:t>
      </w:r>
      <w:r w:rsidR="004514A5">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712633; y</w:t>
      </w:r>
      <w:r w:rsidR="004514A5">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 xml:space="preserve">195051) sastopamas divas ES </w:t>
      </w:r>
      <w:r w:rsidRPr="00A07F29">
        <w:rPr>
          <w:rFonts w:ascii="Times New Roman" w:eastAsia="Calibri" w:hAnsi="Times New Roman" w:cs="Times New Roman"/>
          <w:sz w:val="24"/>
          <w:szCs w:val="24"/>
        </w:rPr>
        <w:t>Biotopu direktīv</w:t>
      </w:r>
      <w:r w:rsidR="21E28183" w:rsidRPr="00A07F29">
        <w:rPr>
          <w:rFonts w:ascii="Times New Roman" w:eastAsia="Calibri" w:hAnsi="Times New Roman" w:cs="Times New Roman"/>
          <w:sz w:val="24"/>
          <w:szCs w:val="24"/>
        </w:rPr>
        <w:t>as</w:t>
      </w:r>
      <w:r w:rsidRPr="00A07F29">
        <w:rPr>
          <w:rFonts w:ascii="Times New Roman" w:eastAsia="Calibri" w:hAnsi="Times New Roman" w:cs="Times New Roman"/>
          <w:sz w:val="24"/>
          <w:szCs w:val="24"/>
        </w:rPr>
        <w:t xml:space="preserve"> pielikumos ierakstītās sugas – slaidais </w:t>
      </w:r>
      <w:proofErr w:type="spellStart"/>
      <w:r w:rsidRPr="00A07F29">
        <w:rPr>
          <w:rFonts w:ascii="Times New Roman" w:eastAsia="Calibri" w:hAnsi="Times New Roman" w:cs="Times New Roman"/>
          <w:sz w:val="24"/>
          <w:szCs w:val="24"/>
        </w:rPr>
        <w:t>pumpurgliemezis</w:t>
      </w:r>
      <w:proofErr w:type="spellEnd"/>
      <w:r w:rsidRPr="00A07F29">
        <w:rPr>
          <w:rFonts w:ascii="Times New Roman" w:eastAsia="Calibri" w:hAnsi="Times New Roman" w:cs="Times New Roman"/>
          <w:sz w:val="24"/>
          <w:szCs w:val="24"/>
        </w:rPr>
        <w:t xml:space="preserve"> un </w:t>
      </w:r>
      <w:proofErr w:type="spellStart"/>
      <w:r w:rsidRPr="00A07F29">
        <w:rPr>
          <w:rFonts w:ascii="Times New Roman" w:eastAsia="Calibri" w:hAnsi="Times New Roman" w:cs="Times New Roman"/>
          <w:sz w:val="24"/>
          <w:szCs w:val="24"/>
        </w:rPr>
        <w:t>četrzobu</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pumpurgliemezis</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i/>
          <w:iCs/>
          <w:sz w:val="24"/>
          <w:szCs w:val="24"/>
        </w:rPr>
        <w:t>Vertigo</w:t>
      </w:r>
      <w:proofErr w:type="spellEnd"/>
      <w:r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geyeri</w:t>
      </w:r>
      <w:proofErr w:type="spellEnd"/>
      <w:r w:rsidRPr="00A07F29">
        <w:rPr>
          <w:rFonts w:ascii="Times New Roman" w:eastAsia="Calibri" w:hAnsi="Times New Roman" w:cs="Times New Roman"/>
          <w:sz w:val="24"/>
          <w:szCs w:val="24"/>
        </w:rPr>
        <w:t xml:space="preserve">). Dzīvotne ir labas kvalitātes (piemērota </w:t>
      </w:r>
      <w:proofErr w:type="spellStart"/>
      <w:r w:rsidRPr="00A07F29">
        <w:rPr>
          <w:rFonts w:ascii="Times New Roman" w:eastAsia="Calibri" w:hAnsi="Times New Roman" w:cs="Times New Roman"/>
          <w:sz w:val="24"/>
          <w:szCs w:val="24"/>
        </w:rPr>
        <w:t>pumpurgliemežu</w:t>
      </w:r>
      <w:proofErr w:type="spellEnd"/>
      <w:r w:rsidRPr="00A07F29">
        <w:rPr>
          <w:rFonts w:ascii="Times New Roman" w:eastAsia="Calibri" w:hAnsi="Times New Roman" w:cs="Times New Roman"/>
          <w:sz w:val="24"/>
          <w:szCs w:val="24"/>
        </w:rPr>
        <w:t xml:space="preserve"> ekoloģiskajām prasībām) palieņu zālājs, kurā notiek minimāla saimnieciskā darbība. Palienē reizēm tiek ielaisti lopi, galvenokārt sīklopi. Par to liecina neliela izbradāšana. Pļaušana netiek veikta.</w:t>
      </w:r>
      <w:r w:rsidRPr="00A07F29">
        <w:rPr>
          <w:rFonts w:ascii="Times New Roman" w:eastAsia="Times New Roman" w:hAnsi="Times New Roman" w:cs="Times New Roman"/>
          <w:sz w:val="24"/>
          <w:szCs w:val="24"/>
          <w:lang w:eastAsia="lv-LV"/>
        </w:rPr>
        <w:t xml:space="preserve"> Par bebra darbību liecina kanāli, taču tā neietekmē hidroloģisko režīmu.</w:t>
      </w:r>
    </w:p>
    <w:p w14:paraId="55919571" w14:textId="7A5E5D7F" w:rsidR="009072CE" w:rsidRPr="00A07F29" w:rsidRDefault="009072CE" w:rsidP="00371B4F">
      <w:pPr>
        <w:spacing w:after="120" w:line="240" w:lineRule="auto"/>
        <w:ind w:firstLine="720"/>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 xml:space="preserve">Pārējās trīs teritorijā zināmās </w:t>
      </w:r>
      <w:proofErr w:type="spellStart"/>
      <w:r w:rsidRPr="00A07F29">
        <w:rPr>
          <w:rFonts w:ascii="Times New Roman" w:eastAsia="Times New Roman" w:hAnsi="Times New Roman" w:cs="Times New Roman"/>
          <w:sz w:val="24"/>
          <w:szCs w:val="24"/>
          <w:lang w:eastAsia="lv-LV"/>
        </w:rPr>
        <w:t>četrzobu</w:t>
      </w:r>
      <w:proofErr w:type="spellEnd"/>
      <w:r w:rsidRPr="00A07F29">
        <w:rPr>
          <w:rFonts w:ascii="Times New Roman" w:eastAsia="Times New Roman" w:hAnsi="Times New Roman" w:cs="Times New Roman"/>
          <w:sz w:val="24"/>
          <w:szCs w:val="24"/>
          <w:lang w:eastAsia="lv-LV"/>
        </w:rPr>
        <w:t xml:space="preserve"> </w:t>
      </w:r>
      <w:proofErr w:type="spellStart"/>
      <w:r w:rsidRPr="00A07F29">
        <w:rPr>
          <w:rFonts w:ascii="Times New Roman" w:eastAsia="Times New Roman" w:hAnsi="Times New Roman" w:cs="Times New Roman"/>
          <w:sz w:val="24"/>
          <w:szCs w:val="24"/>
          <w:lang w:eastAsia="lv-LV"/>
        </w:rPr>
        <w:t>pumpurgliemeža</w:t>
      </w:r>
      <w:proofErr w:type="spellEnd"/>
      <w:r w:rsidRPr="00A07F29">
        <w:rPr>
          <w:rFonts w:ascii="Times New Roman" w:eastAsia="Times New Roman" w:hAnsi="Times New Roman" w:cs="Times New Roman"/>
          <w:sz w:val="24"/>
          <w:szCs w:val="24"/>
          <w:lang w:eastAsia="lv-LV"/>
        </w:rPr>
        <w:t xml:space="preserve"> dzīvotnes ir saistītas ar biotopu – pārejas purvi un slīkšņas.</w:t>
      </w:r>
      <w:r w:rsidR="00D65BBA" w:rsidRPr="00A07F29">
        <w:rPr>
          <w:rFonts w:ascii="Times New Roman" w:eastAsia="Times New Roman" w:hAnsi="Times New Roman" w:cs="Times New Roman"/>
          <w:sz w:val="24"/>
          <w:szCs w:val="24"/>
          <w:lang w:eastAsia="lv-LV"/>
        </w:rPr>
        <w:t xml:space="preserve"> </w:t>
      </w:r>
      <w:r w:rsidRPr="00A07F29">
        <w:rPr>
          <w:rFonts w:ascii="Times New Roman" w:eastAsia="Times New Roman" w:hAnsi="Times New Roman" w:cs="Times New Roman"/>
          <w:sz w:val="24"/>
          <w:szCs w:val="24"/>
          <w:lang w:eastAsia="lv-LV"/>
        </w:rPr>
        <w:t xml:space="preserve">Sugas dzīvotne Krāslavas novadā pie </w:t>
      </w:r>
      <w:proofErr w:type="spellStart"/>
      <w:r w:rsidRPr="00A07F29">
        <w:rPr>
          <w:rFonts w:ascii="Times New Roman" w:eastAsia="Times New Roman" w:hAnsi="Times New Roman" w:cs="Times New Roman"/>
          <w:sz w:val="24"/>
          <w:szCs w:val="24"/>
          <w:lang w:eastAsia="lv-LV"/>
        </w:rPr>
        <w:t>Dūnekļa</w:t>
      </w:r>
      <w:proofErr w:type="spellEnd"/>
      <w:r w:rsidRPr="00A07F29">
        <w:rPr>
          <w:rFonts w:ascii="Times New Roman" w:eastAsia="Times New Roman" w:hAnsi="Times New Roman" w:cs="Times New Roman"/>
          <w:sz w:val="24"/>
          <w:szCs w:val="24"/>
          <w:lang w:eastAsia="lv-LV"/>
        </w:rPr>
        <w:t xml:space="preserve"> ezera (</w:t>
      </w:r>
      <w:r w:rsidR="000E1D14">
        <w:rPr>
          <w:rFonts w:ascii="Times New Roman" w:eastAsia="Times New Roman" w:hAnsi="Times New Roman" w:cs="Times New Roman"/>
          <w:sz w:val="24"/>
          <w:szCs w:val="24"/>
          <w:lang w:eastAsia="lv-LV"/>
        </w:rPr>
        <w:t xml:space="preserve">koordinātas: </w:t>
      </w:r>
      <w:r w:rsidRPr="00A07F29">
        <w:rPr>
          <w:rFonts w:ascii="Times New Roman" w:eastAsia="Times New Roman" w:hAnsi="Times New Roman" w:cs="Times New Roman"/>
          <w:sz w:val="24"/>
          <w:szCs w:val="24"/>
          <w:lang w:eastAsia="lv-LV"/>
        </w:rPr>
        <w:t>x</w:t>
      </w:r>
      <w:r w:rsidR="000E1D14">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701676; y</w:t>
      </w:r>
      <w:r w:rsidR="000E1D14">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196954) ir ļoti labā kvalitātē. Dzīvotne pārejas purvā pie Vilnīšu ezera (</w:t>
      </w:r>
      <w:proofErr w:type="spellStart"/>
      <w:r w:rsidRPr="00A07F29">
        <w:rPr>
          <w:rFonts w:ascii="Times New Roman" w:eastAsia="Times New Roman" w:hAnsi="Times New Roman" w:cs="Times New Roman"/>
          <w:sz w:val="24"/>
          <w:szCs w:val="24"/>
          <w:lang w:eastAsia="lv-LV"/>
        </w:rPr>
        <w:t>Krivojes</w:t>
      </w:r>
      <w:proofErr w:type="spellEnd"/>
      <w:r w:rsidRPr="00A07F29">
        <w:rPr>
          <w:rFonts w:ascii="Times New Roman" w:eastAsia="Times New Roman" w:hAnsi="Times New Roman" w:cs="Times New Roman"/>
          <w:sz w:val="24"/>
          <w:szCs w:val="24"/>
          <w:lang w:eastAsia="lv-LV"/>
        </w:rPr>
        <w:t xml:space="preserve"> </w:t>
      </w:r>
      <w:proofErr w:type="spellStart"/>
      <w:r w:rsidRPr="00A07F29">
        <w:rPr>
          <w:rFonts w:ascii="Times New Roman" w:eastAsia="Times New Roman" w:hAnsi="Times New Roman" w:cs="Times New Roman"/>
          <w:sz w:val="24"/>
          <w:szCs w:val="24"/>
          <w:lang w:eastAsia="lv-LV"/>
        </w:rPr>
        <w:t>ez</w:t>
      </w:r>
      <w:proofErr w:type="spellEnd"/>
      <w:r w:rsidRPr="00A07F29">
        <w:rPr>
          <w:rFonts w:ascii="Times New Roman" w:eastAsia="Times New Roman" w:hAnsi="Times New Roman" w:cs="Times New Roman"/>
          <w:sz w:val="24"/>
          <w:szCs w:val="24"/>
          <w:lang w:eastAsia="lv-LV"/>
        </w:rPr>
        <w:t>.) ir stipri aizaugusi (</w:t>
      </w:r>
      <w:r w:rsidR="00142B6D">
        <w:rPr>
          <w:rFonts w:ascii="Times New Roman" w:eastAsia="Times New Roman" w:hAnsi="Times New Roman" w:cs="Times New Roman"/>
          <w:sz w:val="24"/>
          <w:szCs w:val="24"/>
          <w:lang w:eastAsia="lv-LV"/>
        </w:rPr>
        <w:t xml:space="preserve">koordinātas: </w:t>
      </w:r>
      <w:r w:rsidRPr="00A07F29">
        <w:rPr>
          <w:rFonts w:ascii="Times New Roman" w:eastAsia="Times New Roman" w:hAnsi="Times New Roman" w:cs="Times New Roman"/>
          <w:sz w:val="24"/>
          <w:szCs w:val="24"/>
          <w:lang w:eastAsia="lv-LV"/>
        </w:rPr>
        <w:t>x</w:t>
      </w:r>
      <w:r w:rsidR="00142B6D">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706124, y</w:t>
      </w:r>
      <w:r w:rsidR="00142B6D">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189341). Dzīvotnes kvalitāte atradnē Daugavpils novadā (</w:t>
      </w:r>
      <w:r w:rsidR="00142B6D">
        <w:rPr>
          <w:rFonts w:ascii="Times New Roman" w:eastAsia="Times New Roman" w:hAnsi="Times New Roman" w:cs="Times New Roman"/>
          <w:sz w:val="24"/>
          <w:szCs w:val="24"/>
          <w:lang w:eastAsia="lv-LV"/>
        </w:rPr>
        <w:t xml:space="preserve">koordinātas: </w:t>
      </w:r>
      <w:r w:rsidRPr="00A07F29">
        <w:rPr>
          <w:rFonts w:ascii="Times New Roman" w:eastAsia="Times New Roman" w:hAnsi="Times New Roman" w:cs="Times New Roman"/>
          <w:sz w:val="24"/>
          <w:szCs w:val="24"/>
          <w:lang w:eastAsia="lv-LV"/>
        </w:rPr>
        <w:t>x</w:t>
      </w:r>
      <w:r w:rsidR="00142B6D">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676972; y</w:t>
      </w:r>
      <w:r w:rsidR="00142B6D">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193425) ir apmierinoša, taču biotopa perifērijā notiek aktīva bebru darbība, kā rezultātā bija apgrūtināta visa pārejas purva apsekošana paaugstināta ūdens līmeņa dēļ.</w:t>
      </w:r>
    </w:p>
    <w:p w14:paraId="34FA0D45" w14:textId="77777777" w:rsidR="009072CE" w:rsidRPr="00A07F29" w:rsidRDefault="009072CE" w:rsidP="00371B4F">
      <w:pPr>
        <w:spacing w:after="120" w:line="240" w:lineRule="auto"/>
        <w:ind w:firstLine="720"/>
        <w:jc w:val="both"/>
        <w:rPr>
          <w:rFonts w:ascii="Times New Roman" w:eastAsia="Calibri" w:hAnsi="Times New Roman" w:cs="Times New Roman"/>
          <w:iCs/>
          <w:sz w:val="24"/>
          <w:szCs w:val="24"/>
        </w:rPr>
      </w:pPr>
      <w:r w:rsidRPr="00755E09">
        <w:rPr>
          <w:rFonts w:ascii="Times New Roman" w:eastAsia="Times New Roman" w:hAnsi="Times New Roman" w:cs="Times New Roman"/>
          <w:sz w:val="24"/>
          <w:szCs w:val="24"/>
          <w:lang w:eastAsia="lv-LV"/>
        </w:rPr>
        <w:t>Īpaši aizsargājamo</w:t>
      </w:r>
      <w:r w:rsidRPr="00A07F29">
        <w:rPr>
          <w:rFonts w:ascii="Times New Roman" w:eastAsia="Times New Roman" w:hAnsi="Times New Roman" w:cs="Times New Roman"/>
          <w:sz w:val="24"/>
          <w:szCs w:val="24"/>
          <w:lang w:eastAsia="lv-LV"/>
        </w:rPr>
        <w:t xml:space="preserve"> meža sugu dzīvotnes (nogāžu un gravu mežu biotopi) šobrīd ir labā kvalitātē un atbilst sugu ekoloģiskajām prasībām. </w:t>
      </w:r>
    </w:p>
    <w:p w14:paraId="77DBE0D6" w14:textId="77777777" w:rsidR="009072CE" w:rsidRPr="00A07F29" w:rsidRDefault="009072CE" w:rsidP="00371B4F">
      <w:pPr>
        <w:spacing w:after="120" w:line="240" w:lineRule="auto"/>
        <w:ind w:firstLine="720"/>
        <w:jc w:val="both"/>
        <w:rPr>
          <w:rFonts w:ascii="Times New Roman" w:eastAsia="Calibri" w:hAnsi="Times New Roman" w:cs="Times New Roman"/>
          <w:iCs/>
          <w:sz w:val="24"/>
          <w:szCs w:val="24"/>
        </w:rPr>
      </w:pPr>
      <w:r w:rsidRPr="00A07F29">
        <w:rPr>
          <w:rFonts w:ascii="Times New Roman" w:eastAsia="Calibri" w:hAnsi="Times New Roman" w:cs="Times New Roman"/>
          <w:iCs/>
          <w:sz w:val="24"/>
          <w:szCs w:val="24"/>
        </w:rPr>
        <w:t xml:space="preserve">Straujteču sugu dzīvotņu kvalitāte vairumā gadījumu šobrīd ir laba. Dažās vietās ir novērots upju piesārņojums ar atkritumiem, īpaši </w:t>
      </w:r>
      <w:proofErr w:type="spellStart"/>
      <w:r w:rsidRPr="00A07F29">
        <w:rPr>
          <w:rFonts w:ascii="Times New Roman" w:eastAsia="Calibri" w:hAnsi="Times New Roman" w:cs="Times New Roman"/>
          <w:iCs/>
          <w:sz w:val="24"/>
          <w:szCs w:val="24"/>
        </w:rPr>
        <w:t>Rudņā</w:t>
      </w:r>
      <w:proofErr w:type="spellEnd"/>
      <w:r w:rsidRPr="00A07F29">
        <w:rPr>
          <w:rFonts w:ascii="Times New Roman" w:eastAsia="Calibri" w:hAnsi="Times New Roman" w:cs="Times New Roman"/>
          <w:iCs/>
          <w:sz w:val="24"/>
          <w:szCs w:val="24"/>
        </w:rPr>
        <w:t>.</w:t>
      </w:r>
    </w:p>
    <w:p w14:paraId="494D6A9A" w14:textId="77777777" w:rsidR="009072CE" w:rsidRPr="00A07F29" w:rsidRDefault="009072CE" w:rsidP="009072CE">
      <w:pPr>
        <w:spacing w:after="120"/>
        <w:ind w:firstLine="851"/>
        <w:jc w:val="both"/>
        <w:rPr>
          <w:rFonts w:ascii="Times New Roman" w:eastAsia="Times New Roman" w:hAnsi="Times New Roman" w:cs="Times New Roman"/>
          <w:sz w:val="24"/>
          <w:szCs w:val="24"/>
          <w:lang w:eastAsia="lv-LV"/>
        </w:rPr>
      </w:pPr>
    </w:p>
    <w:p w14:paraId="39FF6F56" w14:textId="258CB6EA" w:rsidR="009072CE" w:rsidRPr="00A07F29" w:rsidRDefault="009072CE" w:rsidP="004B36F4">
      <w:pPr>
        <w:pStyle w:val="Heading2"/>
        <w:spacing w:before="120" w:after="120"/>
        <w:ind w:firstLine="0"/>
        <w:jc w:val="center"/>
        <w:rPr>
          <w:rFonts w:ascii="Times New Roman" w:hAnsi="Times New Roman"/>
          <w:b w:val="0"/>
          <w:iCs w:val="0"/>
        </w:rPr>
      </w:pPr>
      <w:bookmarkStart w:id="81" w:name="_Toc183434016"/>
      <w:r w:rsidRPr="00A07F29">
        <w:rPr>
          <w:rFonts w:ascii="Times New Roman" w:hAnsi="Times New Roman"/>
          <w:i w:val="0"/>
        </w:rPr>
        <w:t>4.</w:t>
      </w:r>
      <w:r w:rsidR="001E1C67" w:rsidRPr="00A07F29">
        <w:rPr>
          <w:rFonts w:ascii="Times New Roman" w:hAnsi="Times New Roman"/>
          <w:i w:val="0"/>
        </w:rPr>
        <w:t>8</w:t>
      </w:r>
      <w:r w:rsidRPr="00A07F29">
        <w:rPr>
          <w:rFonts w:ascii="Times New Roman" w:hAnsi="Times New Roman"/>
          <w:i w:val="0"/>
        </w:rPr>
        <w:t>. Abinieku un rāpuļu sugas</w:t>
      </w:r>
      <w:bookmarkEnd w:id="81"/>
    </w:p>
    <w:p w14:paraId="333B3B59" w14:textId="23D12E32" w:rsidR="009072CE" w:rsidRPr="00A07F29" w:rsidRDefault="009072CE" w:rsidP="00B910EA">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AAA </w:t>
      </w:r>
      <w:r w:rsidR="00F34BCB">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Augšdaugava” ir nozīmīga Latvijas teritorija reto </w:t>
      </w:r>
      <w:proofErr w:type="spellStart"/>
      <w:r w:rsidRPr="00A07F29">
        <w:rPr>
          <w:rFonts w:ascii="Times New Roman" w:eastAsia="Calibri" w:hAnsi="Times New Roman" w:cs="Times New Roman"/>
          <w:sz w:val="24"/>
          <w:szCs w:val="24"/>
        </w:rPr>
        <w:t>herpetofaunas</w:t>
      </w:r>
      <w:proofErr w:type="spellEnd"/>
      <w:r w:rsidRPr="00A07F29">
        <w:rPr>
          <w:rFonts w:ascii="Times New Roman" w:eastAsia="Calibri" w:hAnsi="Times New Roman" w:cs="Times New Roman"/>
          <w:sz w:val="24"/>
          <w:szCs w:val="24"/>
        </w:rPr>
        <w:t xml:space="preserve"> sugu populāciju aizsardzībai, jo tajā ir daudz reto abinieku un rāpuļu sugu populāciju un to </w:t>
      </w:r>
      <w:proofErr w:type="spellStart"/>
      <w:r w:rsidRPr="00A07F29">
        <w:rPr>
          <w:rFonts w:ascii="Times New Roman" w:eastAsia="Calibri" w:hAnsi="Times New Roman" w:cs="Times New Roman"/>
          <w:sz w:val="24"/>
          <w:szCs w:val="24"/>
        </w:rPr>
        <w:t>mazpārveidoto</w:t>
      </w:r>
      <w:proofErr w:type="spellEnd"/>
      <w:r w:rsidRPr="00A07F29">
        <w:rPr>
          <w:rFonts w:ascii="Times New Roman" w:eastAsia="Calibri" w:hAnsi="Times New Roman" w:cs="Times New Roman"/>
          <w:sz w:val="24"/>
          <w:szCs w:val="24"/>
        </w:rPr>
        <w:t xml:space="preserve"> dzīvotņu. AAA </w:t>
      </w:r>
      <w:r w:rsidR="004D7930">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Augšdaugava” teritorija atrodas Latvijas pašos </w:t>
      </w:r>
      <w:r w:rsidR="00755E09">
        <w:rPr>
          <w:rFonts w:ascii="Times New Roman" w:eastAsia="Calibri" w:hAnsi="Times New Roman" w:cs="Times New Roman"/>
          <w:sz w:val="24"/>
          <w:szCs w:val="24"/>
        </w:rPr>
        <w:t>DA</w:t>
      </w:r>
      <w:r w:rsidRPr="00A07F29">
        <w:rPr>
          <w:rFonts w:ascii="Times New Roman" w:eastAsia="Calibri" w:hAnsi="Times New Roman" w:cs="Times New Roman"/>
          <w:sz w:val="24"/>
          <w:szCs w:val="24"/>
        </w:rPr>
        <w:t xml:space="preserve">, kas ļauj AAA </w:t>
      </w:r>
      <w:r w:rsidR="0002291B">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Augšdaugava” abinieku un rāpuļu nelielām </w:t>
      </w:r>
      <w:r w:rsidR="00755E09">
        <w:rPr>
          <w:rFonts w:ascii="Times New Roman" w:eastAsia="Calibri" w:hAnsi="Times New Roman" w:cs="Times New Roman"/>
          <w:sz w:val="24"/>
          <w:szCs w:val="24"/>
        </w:rPr>
        <w:t>Z</w:t>
      </w:r>
      <w:r w:rsidRPr="00A07F29">
        <w:rPr>
          <w:rFonts w:ascii="Times New Roman" w:eastAsia="Calibri" w:hAnsi="Times New Roman" w:cs="Times New Roman"/>
          <w:sz w:val="24"/>
          <w:szCs w:val="24"/>
        </w:rPr>
        <w:t xml:space="preserve"> populācijām kontaktēties ar stiprākām </w:t>
      </w:r>
      <w:r w:rsidR="00755E09">
        <w:rPr>
          <w:rFonts w:ascii="Times New Roman" w:eastAsia="Calibri" w:hAnsi="Times New Roman" w:cs="Times New Roman"/>
          <w:sz w:val="24"/>
          <w:szCs w:val="24"/>
        </w:rPr>
        <w:t>D</w:t>
      </w:r>
      <w:r w:rsidRPr="00A07F29">
        <w:rPr>
          <w:rFonts w:ascii="Times New Roman" w:eastAsia="Calibri" w:hAnsi="Times New Roman" w:cs="Times New Roman"/>
          <w:sz w:val="24"/>
          <w:szCs w:val="24"/>
        </w:rPr>
        <w:t xml:space="preserve"> populācijām Baltkrievijā.</w:t>
      </w:r>
    </w:p>
    <w:p w14:paraId="02609150" w14:textId="6E7856C5" w:rsidR="009072CE" w:rsidRPr="00A07F29" w:rsidRDefault="009072CE" w:rsidP="00B910EA">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Abinieku un rāpuļu lauka pētījumi </w:t>
      </w:r>
      <w:r w:rsidR="00BF0E06" w:rsidRPr="00A07F29">
        <w:rPr>
          <w:rFonts w:ascii="Times New Roman" w:eastAsia="Calibri" w:hAnsi="Times New Roman" w:cs="Times New Roman"/>
          <w:sz w:val="24"/>
          <w:szCs w:val="24"/>
        </w:rPr>
        <w:t>DA plāna</w:t>
      </w:r>
      <w:r w:rsidRPr="00A07F29">
        <w:rPr>
          <w:rFonts w:ascii="Times New Roman" w:eastAsia="Calibri" w:hAnsi="Times New Roman" w:cs="Times New Roman"/>
          <w:sz w:val="24"/>
          <w:szCs w:val="24"/>
        </w:rPr>
        <w:t>m veikti 2018.</w:t>
      </w:r>
      <w:r w:rsidR="0002291B">
        <w:rPr>
          <w:rFonts w:ascii="Times New Roman" w:eastAsia="Calibri" w:hAnsi="Times New Roman" w:cs="Times New Roman"/>
          <w:sz w:val="24"/>
          <w:szCs w:val="24"/>
        </w:rPr>
        <w:t> – </w:t>
      </w:r>
      <w:r w:rsidRPr="00A07F29">
        <w:rPr>
          <w:rFonts w:ascii="Times New Roman" w:eastAsia="Calibri" w:hAnsi="Times New Roman" w:cs="Times New Roman"/>
          <w:sz w:val="24"/>
          <w:szCs w:val="24"/>
        </w:rPr>
        <w:t>2019.</w:t>
      </w:r>
      <w:r w:rsidR="00B910EA" w:rsidRPr="00A07F29">
        <w:rPr>
          <w:rFonts w:ascii="Times New Roman" w:eastAsia="Calibri" w:hAnsi="Times New Roman" w:cs="Times New Roman"/>
          <w:sz w:val="24"/>
          <w:szCs w:val="24"/>
        </w:rPr>
        <w:t> </w:t>
      </w:r>
      <w:r w:rsidRPr="00A07F29">
        <w:rPr>
          <w:rFonts w:ascii="Times New Roman" w:eastAsia="Calibri" w:hAnsi="Times New Roman" w:cs="Times New Roman"/>
          <w:sz w:val="24"/>
          <w:szCs w:val="24"/>
        </w:rPr>
        <w:t>gados. 2018.</w:t>
      </w:r>
      <w:r w:rsidR="00B910EA" w:rsidRPr="00A07F29">
        <w:rPr>
          <w:rFonts w:ascii="Times New Roman" w:eastAsia="Calibri" w:hAnsi="Times New Roman" w:cs="Times New Roman"/>
          <w:sz w:val="24"/>
          <w:szCs w:val="24"/>
        </w:rPr>
        <w:t> </w:t>
      </w:r>
      <w:r w:rsidRPr="00A07F29">
        <w:rPr>
          <w:rFonts w:ascii="Times New Roman" w:eastAsia="Calibri" w:hAnsi="Times New Roman" w:cs="Times New Roman"/>
          <w:sz w:val="24"/>
          <w:szCs w:val="24"/>
        </w:rPr>
        <w:t>gada aprīlī-augustā veiktas 18 apsekošanas, 2019.</w:t>
      </w:r>
      <w:r w:rsidR="00B910EA" w:rsidRPr="00A07F29">
        <w:rPr>
          <w:rFonts w:ascii="Times New Roman" w:eastAsia="Calibri" w:hAnsi="Times New Roman" w:cs="Times New Roman"/>
          <w:sz w:val="24"/>
          <w:szCs w:val="24"/>
        </w:rPr>
        <w:t> </w:t>
      </w:r>
      <w:r w:rsidRPr="00A07F29">
        <w:rPr>
          <w:rFonts w:ascii="Times New Roman" w:eastAsia="Calibri" w:hAnsi="Times New Roman" w:cs="Times New Roman"/>
          <w:sz w:val="24"/>
          <w:szCs w:val="24"/>
        </w:rPr>
        <w:t>gada martā - augustā veiktas 32 apsekošanas. Vienas apsekošanas ilgums ~ 6</w:t>
      </w:r>
      <w:r w:rsidR="00081168">
        <w:rPr>
          <w:rFonts w:ascii="Times New Roman" w:eastAsia="Calibri" w:hAnsi="Times New Roman" w:cs="Times New Roman"/>
          <w:sz w:val="24"/>
          <w:szCs w:val="24"/>
        </w:rPr>
        <w:t> – </w:t>
      </w:r>
      <w:r w:rsidRPr="00A07F29">
        <w:rPr>
          <w:rFonts w:ascii="Times New Roman" w:eastAsia="Calibri" w:hAnsi="Times New Roman" w:cs="Times New Roman"/>
          <w:sz w:val="24"/>
          <w:szCs w:val="24"/>
        </w:rPr>
        <w:t>8</w:t>
      </w:r>
      <w:r w:rsidR="00081168">
        <w:rPr>
          <w:rFonts w:ascii="Times New Roman" w:eastAsia="Calibri" w:hAnsi="Times New Roman" w:cs="Times New Roman"/>
          <w:sz w:val="24"/>
          <w:szCs w:val="24"/>
        </w:rPr>
        <w:t xml:space="preserve"> </w:t>
      </w:r>
      <w:r w:rsidRPr="00A07F29">
        <w:rPr>
          <w:rFonts w:ascii="Times New Roman" w:eastAsia="Calibri" w:hAnsi="Times New Roman" w:cs="Times New Roman"/>
          <w:sz w:val="24"/>
          <w:szCs w:val="24"/>
        </w:rPr>
        <w:t xml:space="preserve">stundas. Papildus tika izmantoti sugu ekspertu </w:t>
      </w:r>
      <w:proofErr w:type="spellStart"/>
      <w:r w:rsidRPr="00A07F29">
        <w:rPr>
          <w:rFonts w:ascii="Times New Roman" w:eastAsia="Calibri" w:hAnsi="Times New Roman" w:cs="Times New Roman"/>
          <w:sz w:val="24"/>
          <w:szCs w:val="24"/>
        </w:rPr>
        <w:t>herpetologu</w:t>
      </w:r>
      <w:proofErr w:type="spellEnd"/>
      <w:r w:rsidRPr="00A07F29">
        <w:rPr>
          <w:rFonts w:ascii="Times New Roman" w:eastAsia="Calibri" w:hAnsi="Times New Roman" w:cs="Times New Roman"/>
          <w:sz w:val="24"/>
          <w:szCs w:val="24"/>
        </w:rPr>
        <w:t xml:space="preserve"> Dr.biol. Andra </w:t>
      </w:r>
      <w:proofErr w:type="spellStart"/>
      <w:r w:rsidRPr="00A07F29">
        <w:rPr>
          <w:rFonts w:ascii="Times New Roman" w:eastAsia="Calibri" w:hAnsi="Times New Roman" w:cs="Times New Roman"/>
          <w:sz w:val="24"/>
          <w:szCs w:val="24"/>
        </w:rPr>
        <w:t>Čeirāna</w:t>
      </w:r>
      <w:proofErr w:type="spellEnd"/>
      <w:r w:rsidRPr="00A07F29">
        <w:rPr>
          <w:rFonts w:ascii="Times New Roman" w:eastAsia="Calibri" w:hAnsi="Times New Roman" w:cs="Times New Roman"/>
          <w:sz w:val="24"/>
          <w:szCs w:val="24"/>
        </w:rPr>
        <w:t xml:space="preserve">, Dr.biol. Aijas Pupiņas un Dr. biol. Mihaila Pupiņa daudzu gadu novērojumi, publikāciju, monitoringu un datu bāžu dati. </w:t>
      </w:r>
    </w:p>
    <w:p w14:paraId="08FF7B1F" w14:textId="39C43756" w:rsidR="00470405" w:rsidRPr="00A07F29" w:rsidRDefault="009072CE" w:rsidP="00C8161B">
      <w:pPr>
        <w:spacing w:after="120" w:line="240" w:lineRule="auto"/>
        <w:ind w:firstLine="851"/>
        <w:jc w:val="both"/>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lastRenderedPageBreak/>
        <w:t xml:space="preserve">AAA </w:t>
      </w:r>
      <w:r w:rsidR="00980E1A">
        <w:rPr>
          <w:rFonts w:ascii="Times New Roman" w:eastAsia="Times New Roman" w:hAnsi="Times New Roman" w:cs="Times New Roman"/>
          <w:color w:val="000000"/>
          <w:sz w:val="24"/>
          <w:szCs w:val="24"/>
        </w:rPr>
        <w:t>“</w:t>
      </w:r>
      <w:r w:rsidRPr="00A07F29">
        <w:rPr>
          <w:rFonts w:ascii="Times New Roman" w:eastAsia="Times New Roman" w:hAnsi="Times New Roman" w:cs="Times New Roman"/>
          <w:color w:val="000000"/>
          <w:sz w:val="24"/>
          <w:szCs w:val="24"/>
        </w:rPr>
        <w:t xml:space="preserve">Augšdaugava” konstatētas Latvijā </w:t>
      </w:r>
      <w:r w:rsidRPr="00755E09">
        <w:rPr>
          <w:rFonts w:ascii="Times New Roman" w:eastAsia="Times New Roman" w:hAnsi="Times New Roman" w:cs="Times New Roman"/>
          <w:color w:val="000000"/>
          <w:sz w:val="24"/>
          <w:szCs w:val="24"/>
        </w:rPr>
        <w:t>īpaši aizsargājamās</w:t>
      </w:r>
      <w:r w:rsidRPr="00A07F29">
        <w:rPr>
          <w:rFonts w:ascii="Times New Roman" w:eastAsia="Times New Roman" w:hAnsi="Times New Roman" w:cs="Times New Roman"/>
          <w:color w:val="000000"/>
          <w:sz w:val="24"/>
          <w:szCs w:val="24"/>
        </w:rPr>
        <w:t xml:space="preserve"> un ļoti reti sastopamās sugas </w:t>
      </w:r>
      <w:proofErr w:type="spellStart"/>
      <w:r w:rsidRPr="00A07F29">
        <w:rPr>
          <w:rFonts w:ascii="Times New Roman" w:eastAsia="Times New Roman" w:hAnsi="Times New Roman" w:cs="Times New Roman"/>
          <w:color w:val="000000"/>
          <w:sz w:val="24"/>
          <w:szCs w:val="24"/>
        </w:rPr>
        <w:t>sarkanvēdera</w:t>
      </w:r>
      <w:proofErr w:type="spellEnd"/>
      <w:r w:rsidRPr="00A07F29">
        <w:rPr>
          <w:rFonts w:ascii="Times New Roman" w:eastAsia="Times New Roman" w:hAnsi="Times New Roman" w:cs="Times New Roman"/>
          <w:color w:val="000000"/>
          <w:sz w:val="24"/>
          <w:szCs w:val="24"/>
        </w:rPr>
        <w:t xml:space="preserve"> </w:t>
      </w:r>
      <w:proofErr w:type="spellStart"/>
      <w:r w:rsidRPr="00A07F29">
        <w:rPr>
          <w:rFonts w:ascii="Times New Roman" w:eastAsia="Times New Roman" w:hAnsi="Times New Roman" w:cs="Times New Roman"/>
          <w:color w:val="000000"/>
          <w:sz w:val="24"/>
          <w:szCs w:val="24"/>
        </w:rPr>
        <w:t>ugunskrupis</w:t>
      </w:r>
      <w:proofErr w:type="spellEnd"/>
      <w:r w:rsidRPr="00A07F29">
        <w:rPr>
          <w:rFonts w:ascii="Times New Roman" w:eastAsia="Times New Roman" w:hAnsi="Times New Roman" w:cs="Times New Roman"/>
          <w:color w:val="000000"/>
          <w:sz w:val="24"/>
          <w:szCs w:val="24"/>
        </w:rPr>
        <w:t xml:space="preserve"> </w:t>
      </w:r>
      <w:proofErr w:type="spellStart"/>
      <w:r w:rsidRPr="00A07F29">
        <w:rPr>
          <w:rFonts w:ascii="Times New Roman" w:eastAsia="Times New Roman" w:hAnsi="Times New Roman" w:cs="Times New Roman"/>
          <w:i/>
          <w:color w:val="000000"/>
          <w:sz w:val="24"/>
          <w:szCs w:val="24"/>
        </w:rPr>
        <w:t>Bombina</w:t>
      </w:r>
      <w:proofErr w:type="spellEnd"/>
      <w:r w:rsidRPr="00A07F29">
        <w:rPr>
          <w:rFonts w:ascii="Times New Roman" w:eastAsia="Times New Roman" w:hAnsi="Times New Roman" w:cs="Times New Roman"/>
          <w:i/>
          <w:color w:val="000000"/>
          <w:sz w:val="24"/>
          <w:szCs w:val="24"/>
        </w:rPr>
        <w:t xml:space="preserve"> </w:t>
      </w:r>
      <w:proofErr w:type="spellStart"/>
      <w:r w:rsidRPr="00A07F29">
        <w:rPr>
          <w:rFonts w:ascii="Times New Roman" w:eastAsia="Times New Roman" w:hAnsi="Times New Roman" w:cs="Times New Roman"/>
          <w:i/>
          <w:color w:val="000000"/>
          <w:sz w:val="24"/>
          <w:szCs w:val="24"/>
        </w:rPr>
        <w:t>bombina</w:t>
      </w:r>
      <w:proofErr w:type="spellEnd"/>
      <w:r w:rsidRPr="00A07F29">
        <w:rPr>
          <w:rFonts w:ascii="Times New Roman" w:eastAsia="Times New Roman" w:hAnsi="Times New Roman" w:cs="Times New Roman"/>
          <w:color w:val="000000"/>
          <w:sz w:val="24"/>
          <w:szCs w:val="24"/>
        </w:rPr>
        <w:t xml:space="preserve"> un lielais tritons </w:t>
      </w:r>
      <w:proofErr w:type="spellStart"/>
      <w:r w:rsidRPr="00A07F29">
        <w:rPr>
          <w:rFonts w:ascii="Times New Roman" w:eastAsia="Times New Roman" w:hAnsi="Times New Roman" w:cs="Times New Roman"/>
          <w:i/>
          <w:iCs/>
          <w:color w:val="000000"/>
          <w:sz w:val="24"/>
          <w:szCs w:val="24"/>
        </w:rPr>
        <w:t>Triturus</w:t>
      </w:r>
      <w:proofErr w:type="spellEnd"/>
      <w:r w:rsidRPr="00A07F29">
        <w:rPr>
          <w:rFonts w:ascii="Times New Roman" w:eastAsia="Times New Roman" w:hAnsi="Times New Roman" w:cs="Times New Roman"/>
          <w:i/>
          <w:iCs/>
          <w:color w:val="000000"/>
          <w:sz w:val="24"/>
          <w:szCs w:val="24"/>
        </w:rPr>
        <w:t xml:space="preserve"> </w:t>
      </w:r>
      <w:proofErr w:type="spellStart"/>
      <w:r w:rsidRPr="00A07F29">
        <w:rPr>
          <w:rFonts w:ascii="Times New Roman" w:eastAsia="Times New Roman" w:hAnsi="Times New Roman" w:cs="Times New Roman"/>
          <w:i/>
          <w:iCs/>
          <w:color w:val="000000"/>
          <w:sz w:val="24"/>
          <w:szCs w:val="24"/>
        </w:rPr>
        <w:t>cristatus</w:t>
      </w:r>
      <w:proofErr w:type="spellEnd"/>
      <w:r w:rsidRPr="00A07F29">
        <w:rPr>
          <w:rFonts w:ascii="Times New Roman" w:eastAsia="Times New Roman" w:hAnsi="Times New Roman" w:cs="Times New Roman"/>
          <w:color w:val="000000"/>
          <w:sz w:val="24"/>
          <w:szCs w:val="24"/>
        </w:rPr>
        <w:t xml:space="preserve">. AAA </w:t>
      </w:r>
      <w:r w:rsidR="00980E1A">
        <w:rPr>
          <w:rFonts w:ascii="Times New Roman" w:eastAsia="Times New Roman" w:hAnsi="Times New Roman" w:cs="Times New Roman"/>
          <w:color w:val="000000"/>
          <w:sz w:val="24"/>
          <w:szCs w:val="24"/>
        </w:rPr>
        <w:t>“</w:t>
      </w:r>
      <w:r w:rsidRPr="00A07F29">
        <w:rPr>
          <w:rFonts w:ascii="Times New Roman" w:eastAsia="Times New Roman" w:hAnsi="Times New Roman" w:cs="Times New Roman"/>
          <w:color w:val="000000"/>
          <w:sz w:val="24"/>
          <w:szCs w:val="24"/>
        </w:rPr>
        <w:t xml:space="preserve">Augšdaugava” ir it īpaši liela nozīme visas Eiropas </w:t>
      </w:r>
      <w:proofErr w:type="spellStart"/>
      <w:r w:rsidRPr="00A07F29">
        <w:rPr>
          <w:rFonts w:ascii="Times New Roman" w:eastAsia="Times New Roman" w:hAnsi="Times New Roman" w:cs="Times New Roman"/>
          <w:color w:val="000000"/>
          <w:sz w:val="24"/>
          <w:szCs w:val="24"/>
        </w:rPr>
        <w:t>sarkanvēdera</w:t>
      </w:r>
      <w:proofErr w:type="spellEnd"/>
      <w:r w:rsidRPr="00A07F29">
        <w:rPr>
          <w:rFonts w:ascii="Times New Roman" w:eastAsia="Times New Roman" w:hAnsi="Times New Roman" w:cs="Times New Roman"/>
          <w:color w:val="000000"/>
          <w:sz w:val="24"/>
          <w:szCs w:val="24"/>
        </w:rPr>
        <w:t xml:space="preserve"> </w:t>
      </w:r>
      <w:proofErr w:type="spellStart"/>
      <w:r w:rsidRPr="00A07F29">
        <w:rPr>
          <w:rFonts w:ascii="Times New Roman" w:eastAsia="Times New Roman" w:hAnsi="Times New Roman" w:cs="Times New Roman"/>
          <w:color w:val="000000"/>
          <w:sz w:val="24"/>
          <w:szCs w:val="24"/>
        </w:rPr>
        <w:t>ugunskrupju</w:t>
      </w:r>
      <w:proofErr w:type="spellEnd"/>
      <w:r w:rsidRPr="00A07F29">
        <w:rPr>
          <w:rFonts w:ascii="Times New Roman" w:eastAsia="Times New Roman" w:hAnsi="Times New Roman" w:cs="Times New Roman"/>
          <w:color w:val="000000"/>
          <w:sz w:val="24"/>
          <w:szCs w:val="24"/>
        </w:rPr>
        <w:t xml:space="preserve"> populācijas aizsardzībā, jo šeit atrodas </w:t>
      </w:r>
      <w:proofErr w:type="spellStart"/>
      <w:r w:rsidRPr="00A07F29">
        <w:rPr>
          <w:rFonts w:ascii="Times New Roman" w:eastAsia="Times New Roman" w:hAnsi="Times New Roman" w:cs="Times New Roman"/>
          <w:color w:val="000000"/>
          <w:sz w:val="24"/>
          <w:szCs w:val="24"/>
        </w:rPr>
        <w:t>sarkanvēdera</w:t>
      </w:r>
      <w:proofErr w:type="spellEnd"/>
      <w:r w:rsidRPr="00A07F29">
        <w:rPr>
          <w:rFonts w:ascii="Times New Roman" w:eastAsia="Times New Roman" w:hAnsi="Times New Roman" w:cs="Times New Roman"/>
          <w:color w:val="000000"/>
          <w:sz w:val="24"/>
          <w:szCs w:val="24"/>
        </w:rPr>
        <w:t xml:space="preserve"> </w:t>
      </w:r>
      <w:proofErr w:type="spellStart"/>
      <w:r w:rsidRPr="00A07F29">
        <w:rPr>
          <w:rFonts w:ascii="Times New Roman" w:eastAsia="Times New Roman" w:hAnsi="Times New Roman" w:cs="Times New Roman"/>
          <w:color w:val="000000"/>
          <w:sz w:val="24"/>
          <w:szCs w:val="24"/>
        </w:rPr>
        <w:t>ugunskrupju</w:t>
      </w:r>
      <w:proofErr w:type="spellEnd"/>
      <w:r w:rsidRPr="00A07F29">
        <w:rPr>
          <w:rFonts w:ascii="Times New Roman" w:eastAsia="Times New Roman" w:hAnsi="Times New Roman" w:cs="Times New Roman"/>
          <w:color w:val="000000"/>
          <w:sz w:val="24"/>
          <w:szCs w:val="24"/>
        </w:rPr>
        <w:t xml:space="preserve"> visas Eiropas populācijas areāla</w:t>
      </w:r>
      <w:r w:rsidR="00755E09">
        <w:rPr>
          <w:rFonts w:ascii="Times New Roman" w:eastAsia="Times New Roman" w:hAnsi="Times New Roman" w:cs="Times New Roman"/>
          <w:color w:val="000000"/>
          <w:sz w:val="24"/>
          <w:szCs w:val="24"/>
        </w:rPr>
        <w:t xml:space="preserve"> Z</w:t>
      </w:r>
      <w:r w:rsidRPr="00A07F29">
        <w:rPr>
          <w:rFonts w:ascii="Times New Roman" w:eastAsia="Times New Roman" w:hAnsi="Times New Roman" w:cs="Times New Roman"/>
          <w:color w:val="000000"/>
          <w:sz w:val="24"/>
          <w:szCs w:val="24"/>
        </w:rPr>
        <w:t xml:space="preserve"> robeža (Kuzmin </w:t>
      </w:r>
      <w:r w:rsidR="00686341">
        <w:rPr>
          <w:rFonts w:ascii="Times New Roman" w:eastAsia="Times New Roman" w:hAnsi="Times New Roman" w:cs="Times New Roman"/>
          <w:color w:val="000000"/>
          <w:sz w:val="24"/>
          <w:szCs w:val="24"/>
        </w:rPr>
        <w:t xml:space="preserve">S. L., </w:t>
      </w:r>
      <w:proofErr w:type="spellStart"/>
      <w:r w:rsidRPr="00A07F29">
        <w:rPr>
          <w:rFonts w:ascii="Times New Roman" w:eastAsia="Times New Roman" w:hAnsi="Times New Roman" w:cs="Times New Roman"/>
          <w:color w:val="000000"/>
          <w:sz w:val="24"/>
          <w:szCs w:val="24"/>
        </w:rPr>
        <w:t>et</w:t>
      </w:r>
      <w:proofErr w:type="spellEnd"/>
      <w:r w:rsidRPr="00A07F29">
        <w:rPr>
          <w:rFonts w:ascii="Times New Roman" w:eastAsia="Times New Roman" w:hAnsi="Times New Roman" w:cs="Times New Roman"/>
          <w:color w:val="000000"/>
          <w:sz w:val="24"/>
          <w:szCs w:val="24"/>
        </w:rPr>
        <w:t xml:space="preserve"> al.</w:t>
      </w:r>
      <w:r w:rsidR="00686341">
        <w:rPr>
          <w:rFonts w:ascii="Times New Roman" w:eastAsia="Times New Roman" w:hAnsi="Times New Roman" w:cs="Times New Roman"/>
          <w:color w:val="000000"/>
          <w:sz w:val="24"/>
          <w:szCs w:val="24"/>
        </w:rPr>
        <w:t>,</w:t>
      </w:r>
      <w:r w:rsidRPr="00A07F29">
        <w:rPr>
          <w:rFonts w:ascii="Times New Roman" w:eastAsia="Times New Roman" w:hAnsi="Times New Roman" w:cs="Times New Roman"/>
          <w:color w:val="000000"/>
          <w:sz w:val="24"/>
          <w:szCs w:val="24"/>
        </w:rPr>
        <w:t xml:space="preserve"> 2008).</w:t>
      </w:r>
      <w:r w:rsidR="00470405" w:rsidRPr="00A07F29">
        <w:rPr>
          <w:rFonts w:ascii="Times New Roman" w:eastAsia="Times New Roman" w:hAnsi="Times New Roman" w:cs="Times New Roman"/>
          <w:color w:val="000000"/>
          <w:sz w:val="24"/>
          <w:szCs w:val="24"/>
        </w:rPr>
        <w:t xml:space="preserve"> </w:t>
      </w:r>
      <w:proofErr w:type="spellStart"/>
      <w:r w:rsidR="00470405" w:rsidRPr="00A07F29">
        <w:rPr>
          <w:rFonts w:ascii="Times New Roman" w:eastAsia="Times New Roman" w:hAnsi="Times New Roman" w:cs="Times New Roman"/>
          <w:color w:val="000000"/>
          <w:sz w:val="24"/>
          <w:szCs w:val="24"/>
        </w:rPr>
        <w:t>Sarkanvēdera</w:t>
      </w:r>
      <w:proofErr w:type="spellEnd"/>
      <w:r w:rsidR="00470405" w:rsidRPr="00A07F29">
        <w:rPr>
          <w:rFonts w:ascii="Times New Roman" w:eastAsia="Times New Roman" w:hAnsi="Times New Roman" w:cs="Times New Roman"/>
          <w:color w:val="000000"/>
          <w:sz w:val="24"/>
          <w:szCs w:val="24"/>
        </w:rPr>
        <w:t xml:space="preserve"> </w:t>
      </w:r>
      <w:proofErr w:type="spellStart"/>
      <w:r w:rsidR="00470405" w:rsidRPr="00A07F29">
        <w:rPr>
          <w:rFonts w:ascii="Times New Roman" w:eastAsia="Times New Roman" w:hAnsi="Times New Roman" w:cs="Times New Roman"/>
          <w:color w:val="000000"/>
          <w:sz w:val="24"/>
          <w:szCs w:val="24"/>
        </w:rPr>
        <w:t>ugunskrupis</w:t>
      </w:r>
      <w:proofErr w:type="spellEnd"/>
      <w:r w:rsidR="00470405" w:rsidRPr="00A07F29">
        <w:rPr>
          <w:rFonts w:ascii="Times New Roman" w:eastAsia="Times New Roman" w:hAnsi="Times New Roman" w:cs="Times New Roman"/>
          <w:color w:val="000000"/>
          <w:sz w:val="24"/>
          <w:szCs w:val="24"/>
        </w:rPr>
        <w:t xml:space="preserve"> un lielais tritons ir Biotopu direktīvas II pielikuma sugas un ir iekļauti MK 2000.gada 14.novembra noteikumos Nr. 396 </w:t>
      </w:r>
      <w:r w:rsidR="00600BA4">
        <w:rPr>
          <w:rFonts w:ascii="Times New Roman" w:eastAsia="Times New Roman" w:hAnsi="Times New Roman" w:cs="Times New Roman"/>
          <w:color w:val="000000"/>
          <w:sz w:val="24"/>
          <w:szCs w:val="24"/>
        </w:rPr>
        <w:t>“</w:t>
      </w:r>
      <w:r w:rsidR="00470405" w:rsidRPr="00A07F29">
        <w:rPr>
          <w:rFonts w:ascii="Times New Roman" w:eastAsia="Times New Roman" w:hAnsi="Times New Roman" w:cs="Times New Roman"/>
          <w:color w:val="000000"/>
          <w:sz w:val="24"/>
          <w:szCs w:val="24"/>
        </w:rPr>
        <w:t xml:space="preserve">Noteikumi par īpaši aizsargājamo sugu un ierobežoti izmantojamo īpaši aizsargājamo sugu sarakstu”, to aizsardzībai var veidot mikroliegumus. </w:t>
      </w:r>
    </w:p>
    <w:p w14:paraId="43F4FDED" w14:textId="4866D8F8" w:rsidR="00C8161B" w:rsidRPr="00A07F29" w:rsidRDefault="00C8161B" w:rsidP="00C8161B">
      <w:pPr>
        <w:spacing w:after="120" w:line="240" w:lineRule="auto"/>
        <w:ind w:firstLine="851"/>
        <w:jc w:val="both"/>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 xml:space="preserve">AAA </w:t>
      </w:r>
      <w:r w:rsidR="00600BA4">
        <w:rPr>
          <w:rFonts w:ascii="Times New Roman" w:eastAsia="Times New Roman" w:hAnsi="Times New Roman" w:cs="Times New Roman"/>
          <w:color w:val="000000"/>
          <w:sz w:val="24"/>
          <w:szCs w:val="24"/>
        </w:rPr>
        <w:t>“</w:t>
      </w:r>
      <w:r w:rsidRPr="00A07F29">
        <w:rPr>
          <w:rFonts w:ascii="Times New Roman" w:eastAsia="Times New Roman" w:hAnsi="Times New Roman" w:cs="Times New Roman"/>
          <w:color w:val="000000"/>
          <w:sz w:val="24"/>
          <w:szCs w:val="24"/>
        </w:rPr>
        <w:t xml:space="preserve">Augšdaugava” ir sastopamas arī Latvijā samērā retas sugas brūnais </w:t>
      </w:r>
      <w:proofErr w:type="spellStart"/>
      <w:r w:rsidRPr="00A07F29">
        <w:rPr>
          <w:rFonts w:ascii="Times New Roman" w:eastAsia="Times New Roman" w:hAnsi="Times New Roman" w:cs="Times New Roman"/>
          <w:color w:val="000000"/>
          <w:sz w:val="24"/>
          <w:szCs w:val="24"/>
        </w:rPr>
        <w:t>varžukrupis</w:t>
      </w:r>
      <w:proofErr w:type="spellEnd"/>
      <w:r w:rsidRPr="00A07F29">
        <w:rPr>
          <w:rFonts w:ascii="Times New Roman" w:eastAsia="Times New Roman" w:hAnsi="Times New Roman" w:cs="Times New Roman"/>
          <w:color w:val="000000"/>
          <w:sz w:val="24"/>
          <w:szCs w:val="24"/>
        </w:rPr>
        <w:t xml:space="preserve"> </w:t>
      </w:r>
      <w:proofErr w:type="spellStart"/>
      <w:r w:rsidRPr="00A07F29">
        <w:rPr>
          <w:rFonts w:ascii="Times New Roman" w:eastAsia="Times New Roman" w:hAnsi="Times New Roman" w:cs="Times New Roman"/>
          <w:i/>
          <w:iCs/>
          <w:color w:val="000000"/>
          <w:sz w:val="24"/>
          <w:szCs w:val="24"/>
        </w:rPr>
        <w:t>Pelobates</w:t>
      </w:r>
      <w:proofErr w:type="spellEnd"/>
      <w:r w:rsidRPr="00A07F29">
        <w:rPr>
          <w:rFonts w:ascii="Times New Roman" w:eastAsia="Times New Roman" w:hAnsi="Times New Roman" w:cs="Times New Roman"/>
          <w:i/>
          <w:iCs/>
          <w:color w:val="000000"/>
          <w:sz w:val="24"/>
          <w:szCs w:val="24"/>
        </w:rPr>
        <w:t xml:space="preserve"> </w:t>
      </w:r>
      <w:proofErr w:type="spellStart"/>
      <w:r w:rsidRPr="00A07F29">
        <w:rPr>
          <w:rFonts w:ascii="Times New Roman" w:eastAsia="Times New Roman" w:hAnsi="Times New Roman" w:cs="Times New Roman"/>
          <w:i/>
          <w:iCs/>
          <w:color w:val="000000"/>
          <w:sz w:val="24"/>
          <w:szCs w:val="24"/>
        </w:rPr>
        <w:t>fuscus</w:t>
      </w:r>
      <w:proofErr w:type="spellEnd"/>
      <w:r w:rsidRPr="00A07F29">
        <w:rPr>
          <w:rFonts w:ascii="Times New Roman" w:eastAsia="Times New Roman" w:hAnsi="Times New Roman" w:cs="Times New Roman"/>
          <w:color w:val="000000"/>
          <w:sz w:val="24"/>
          <w:szCs w:val="24"/>
        </w:rPr>
        <w:t xml:space="preserve">, zaļais krupis </w:t>
      </w:r>
      <w:proofErr w:type="spellStart"/>
      <w:r w:rsidRPr="00A07F29">
        <w:rPr>
          <w:rFonts w:ascii="Times New Roman" w:eastAsia="Times New Roman" w:hAnsi="Times New Roman" w:cs="Times New Roman"/>
          <w:i/>
          <w:iCs/>
          <w:color w:val="000000"/>
          <w:sz w:val="24"/>
          <w:szCs w:val="24"/>
        </w:rPr>
        <w:t>Bufotes</w:t>
      </w:r>
      <w:proofErr w:type="spellEnd"/>
      <w:r w:rsidRPr="00A07F29">
        <w:rPr>
          <w:rFonts w:ascii="Times New Roman" w:eastAsia="Times New Roman" w:hAnsi="Times New Roman" w:cs="Times New Roman"/>
          <w:i/>
          <w:iCs/>
          <w:color w:val="000000"/>
          <w:sz w:val="24"/>
          <w:szCs w:val="24"/>
        </w:rPr>
        <w:t xml:space="preserve"> (</w:t>
      </w:r>
      <w:proofErr w:type="spellStart"/>
      <w:r w:rsidRPr="00A07F29">
        <w:rPr>
          <w:rFonts w:ascii="Times New Roman" w:eastAsia="Times New Roman" w:hAnsi="Times New Roman" w:cs="Times New Roman"/>
          <w:i/>
          <w:iCs/>
          <w:color w:val="000000"/>
          <w:sz w:val="24"/>
          <w:szCs w:val="24"/>
        </w:rPr>
        <w:t>Bufo</w:t>
      </w:r>
      <w:proofErr w:type="spellEnd"/>
      <w:r w:rsidRPr="00A07F29">
        <w:rPr>
          <w:rFonts w:ascii="Times New Roman" w:eastAsia="Times New Roman" w:hAnsi="Times New Roman" w:cs="Times New Roman"/>
          <w:i/>
          <w:iCs/>
          <w:color w:val="000000"/>
          <w:sz w:val="24"/>
          <w:szCs w:val="24"/>
        </w:rPr>
        <w:t xml:space="preserve">) </w:t>
      </w:r>
      <w:proofErr w:type="spellStart"/>
      <w:r w:rsidRPr="00A07F29">
        <w:rPr>
          <w:rFonts w:ascii="Times New Roman" w:eastAsia="Times New Roman" w:hAnsi="Times New Roman" w:cs="Times New Roman"/>
          <w:i/>
          <w:iCs/>
          <w:color w:val="000000"/>
          <w:sz w:val="24"/>
          <w:szCs w:val="24"/>
        </w:rPr>
        <w:t>viridis</w:t>
      </w:r>
      <w:proofErr w:type="spellEnd"/>
      <w:r w:rsidRPr="00A07F29">
        <w:rPr>
          <w:rFonts w:ascii="Times New Roman" w:eastAsia="Times New Roman" w:hAnsi="Times New Roman" w:cs="Times New Roman"/>
          <w:color w:val="000000"/>
          <w:sz w:val="24"/>
          <w:szCs w:val="24"/>
        </w:rPr>
        <w:t xml:space="preserve"> un sila ķirzaka </w:t>
      </w:r>
      <w:proofErr w:type="spellStart"/>
      <w:r w:rsidRPr="00A07F29">
        <w:rPr>
          <w:rFonts w:ascii="Times New Roman" w:eastAsia="Times New Roman" w:hAnsi="Times New Roman" w:cs="Times New Roman"/>
          <w:i/>
          <w:iCs/>
          <w:color w:val="000000"/>
          <w:sz w:val="24"/>
          <w:szCs w:val="24"/>
        </w:rPr>
        <w:t>Lacerta</w:t>
      </w:r>
      <w:proofErr w:type="spellEnd"/>
      <w:r w:rsidRPr="00A07F29">
        <w:rPr>
          <w:rFonts w:ascii="Times New Roman" w:eastAsia="Times New Roman" w:hAnsi="Times New Roman" w:cs="Times New Roman"/>
          <w:i/>
          <w:iCs/>
          <w:color w:val="000000"/>
          <w:sz w:val="24"/>
          <w:szCs w:val="24"/>
        </w:rPr>
        <w:t xml:space="preserve"> </w:t>
      </w:r>
      <w:proofErr w:type="spellStart"/>
      <w:r w:rsidRPr="00A07F29">
        <w:rPr>
          <w:rFonts w:ascii="Times New Roman" w:eastAsia="Times New Roman" w:hAnsi="Times New Roman" w:cs="Times New Roman"/>
          <w:i/>
          <w:iCs/>
          <w:color w:val="000000"/>
          <w:sz w:val="24"/>
          <w:szCs w:val="24"/>
        </w:rPr>
        <w:t>agilis</w:t>
      </w:r>
      <w:proofErr w:type="spellEnd"/>
      <w:r w:rsidRPr="00A07F29">
        <w:rPr>
          <w:rFonts w:ascii="Times New Roman" w:eastAsia="Times New Roman" w:hAnsi="Times New Roman" w:cs="Times New Roman"/>
          <w:color w:val="000000"/>
          <w:sz w:val="24"/>
          <w:szCs w:val="24"/>
        </w:rPr>
        <w:t>.</w:t>
      </w:r>
    </w:p>
    <w:p w14:paraId="76267CA6" w14:textId="1B52D267" w:rsidR="009072CE" w:rsidRPr="00A07F29" w:rsidRDefault="009072CE" w:rsidP="00B910EA">
      <w:pPr>
        <w:spacing w:after="120" w:line="240" w:lineRule="auto"/>
        <w:ind w:firstLine="851"/>
        <w:jc w:val="both"/>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themeColor="text1"/>
          <w:sz w:val="24"/>
          <w:szCs w:val="24"/>
        </w:rPr>
        <w:t xml:space="preserve">Ļoti iespējams, </w:t>
      </w:r>
      <w:r w:rsidR="00B910EA" w:rsidRPr="00A07F29">
        <w:rPr>
          <w:rFonts w:ascii="Times New Roman" w:eastAsia="Times New Roman" w:hAnsi="Times New Roman" w:cs="Times New Roman"/>
          <w:color w:val="000000" w:themeColor="text1"/>
          <w:sz w:val="24"/>
          <w:szCs w:val="24"/>
        </w:rPr>
        <w:t xml:space="preserve">ka </w:t>
      </w:r>
      <w:r w:rsidRPr="00A07F29">
        <w:rPr>
          <w:rFonts w:ascii="Times New Roman" w:eastAsia="Times New Roman" w:hAnsi="Times New Roman" w:cs="Times New Roman"/>
          <w:color w:val="000000" w:themeColor="text1"/>
          <w:sz w:val="24"/>
          <w:szCs w:val="24"/>
        </w:rPr>
        <w:t xml:space="preserve">teritorijā mīt arī purva bruņurupucis </w:t>
      </w:r>
      <w:proofErr w:type="spellStart"/>
      <w:r w:rsidRPr="00A07F29">
        <w:rPr>
          <w:rFonts w:ascii="Times New Roman" w:eastAsia="Times New Roman" w:hAnsi="Times New Roman" w:cs="Times New Roman"/>
          <w:i/>
          <w:iCs/>
          <w:color w:val="000000" w:themeColor="text1"/>
          <w:sz w:val="24"/>
          <w:szCs w:val="24"/>
        </w:rPr>
        <w:t>Emys</w:t>
      </w:r>
      <w:proofErr w:type="spellEnd"/>
      <w:r w:rsidRPr="00A07F29">
        <w:rPr>
          <w:rFonts w:ascii="Times New Roman" w:eastAsia="Times New Roman" w:hAnsi="Times New Roman" w:cs="Times New Roman"/>
          <w:i/>
          <w:iCs/>
          <w:color w:val="000000" w:themeColor="text1"/>
          <w:sz w:val="24"/>
          <w:szCs w:val="24"/>
        </w:rPr>
        <w:t xml:space="preserve"> </w:t>
      </w:r>
      <w:proofErr w:type="spellStart"/>
      <w:r w:rsidRPr="00A07F29">
        <w:rPr>
          <w:rFonts w:ascii="Times New Roman" w:eastAsia="Times New Roman" w:hAnsi="Times New Roman" w:cs="Times New Roman"/>
          <w:i/>
          <w:iCs/>
          <w:color w:val="000000" w:themeColor="text1"/>
          <w:sz w:val="24"/>
          <w:szCs w:val="24"/>
        </w:rPr>
        <w:t>orbicularis</w:t>
      </w:r>
      <w:proofErr w:type="spellEnd"/>
      <w:r w:rsidRPr="00A07F29">
        <w:rPr>
          <w:rFonts w:ascii="Times New Roman" w:eastAsia="Times New Roman" w:hAnsi="Times New Roman" w:cs="Times New Roman"/>
          <w:color w:val="000000" w:themeColor="text1"/>
          <w:sz w:val="24"/>
          <w:szCs w:val="24"/>
        </w:rPr>
        <w:t>, jo sugas trīs tuvākās atradnes (viena</w:t>
      </w:r>
      <w:r w:rsidR="000234FC">
        <w:rPr>
          <w:rFonts w:ascii="Times New Roman" w:eastAsia="Times New Roman" w:hAnsi="Times New Roman" w:cs="Times New Roman"/>
          <w:color w:val="000000" w:themeColor="text1"/>
          <w:sz w:val="24"/>
          <w:szCs w:val="24"/>
        </w:rPr>
        <w:t xml:space="preserve"> no tām </w:t>
      </w:r>
      <w:r w:rsidRPr="00A07F29">
        <w:rPr>
          <w:rFonts w:ascii="Times New Roman" w:eastAsia="Times New Roman" w:hAnsi="Times New Roman" w:cs="Times New Roman"/>
          <w:color w:val="000000" w:themeColor="text1"/>
          <w:sz w:val="24"/>
          <w:szCs w:val="24"/>
        </w:rPr>
        <w:t>augstākas ticamības pakāpes atradne, 2010.</w:t>
      </w:r>
      <w:r w:rsidR="00B910EA" w:rsidRPr="00A07F29">
        <w:rPr>
          <w:rFonts w:ascii="Times New Roman" w:eastAsia="Times New Roman" w:hAnsi="Times New Roman" w:cs="Times New Roman"/>
          <w:color w:val="000000" w:themeColor="text1"/>
          <w:sz w:val="24"/>
          <w:szCs w:val="24"/>
        </w:rPr>
        <w:t> </w:t>
      </w:r>
      <w:r w:rsidRPr="00A07F29">
        <w:rPr>
          <w:rFonts w:ascii="Times New Roman" w:eastAsia="Times New Roman" w:hAnsi="Times New Roman" w:cs="Times New Roman"/>
          <w:color w:val="000000" w:themeColor="text1"/>
          <w:sz w:val="24"/>
          <w:szCs w:val="24"/>
        </w:rPr>
        <w:t>g</w:t>
      </w:r>
      <w:r w:rsidR="009A3D39">
        <w:rPr>
          <w:rFonts w:ascii="Times New Roman" w:eastAsia="Times New Roman" w:hAnsi="Times New Roman" w:cs="Times New Roman"/>
          <w:color w:val="000000" w:themeColor="text1"/>
          <w:sz w:val="24"/>
          <w:szCs w:val="24"/>
        </w:rPr>
        <w:t>adā</w:t>
      </w:r>
      <w:r w:rsidRPr="00A07F29">
        <w:rPr>
          <w:rFonts w:ascii="Times New Roman" w:eastAsia="Times New Roman" w:hAnsi="Times New Roman" w:cs="Times New Roman"/>
          <w:color w:val="000000" w:themeColor="text1"/>
          <w:sz w:val="24"/>
          <w:szCs w:val="24"/>
        </w:rPr>
        <w:t xml:space="preserve"> tika atrasta veca mātīte, kas gāja dēt olas) atrodas pieguļošā teritorijā 1</w:t>
      </w:r>
      <w:r w:rsidR="009A3D39">
        <w:rPr>
          <w:rFonts w:ascii="Times New Roman" w:eastAsia="Times New Roman" w:hAnsi="Times New Roman" w:cs="Times New Roman"/>
          <w:color w:val="000000" w:themeColor="text1"/>
          <w:sz w:val="24"/>
          <w:szCs w:val="24"/>
        </w:rPr>
        <w:t> – </w:t>
      </w:r>
      <w:r w:rsidRPr="00A07F29">
        <w:rPr>
          <w:rFonts w:ascii="Times New Roman" w:eastAsia="Times New Roman" w:hAnsi="Times New Roman" w:cs="Times New Roman"/>
          <w:color w:val="000000" w:themeColor="text1"/>
          <w:sz w:val="24"/>
          <w:szCs w:val="24"/>
        </w:rPr>
        <w:t>2</w:t>
      </w:r>
      <w:r w:rsidR="009A3D39">
        <w:rPr>
          <w:rFonts w:ascii="Times New Roman" w:eastAsia="Times New Roman" w:hAnsi="Times New Roman" w:cs="Times New Roman"/>
          <w:color w:val="000000" w:themeColor="text1"/>
          <w:sz w:val="24"/>
          <w:szCs w:val="24"/>
        </w:rPr>
        <w:t> </w:t>
      </w:r>
      <w:r w:rsidRPr="00A07F29">
        <w:rPr>
          <w:rFonts w:ascii="Times New Roman" w:eastAsia="Times New Roman" w:hAnsi="Times New Roman" w:cs="Times New Roman"/>
          <w:color w:val="000000" w:themeColor="text1"/>
          <w:sz w:val="24"/>
          <w:szCs w:val="24"/>
        </w:rPr>
        <w:t xml:space="preserve">km attālumā no AAA </w:t>
      </w:r>
      <w:r w:rsidR="0049607C">
        <w:rPr>
          <w:rFonts w:ascii="Times New Roman" w:eastAsia="Times New Roman" w:hAnsi="Times New Roman" w:cs="Times New Roman"/>
          <w:color w:val="000000" w:themeColor="text1"/>
          <w:sz w:val="24"/>
          <w:szCs w:val="24"/>
        </w:rPr>
        <w:t>“</w:t>
      </w:r>
      <w:r w:rsidRPr="00A07F29">
        <w:rPr>
          <w:rFonts w:ascii="Times New Roman" w:eastAsia="Times New Roman" w:hAnsi="Times New Roman" w:cs="Times New Roman"/>
          <w:color w:val="000000" w:themeColor="text1"/>
          <w:sz w:val="24"/>
          <w:szCs w:val="24"/>
        </w:rPr>
        <w:t>Augšdaugava” robežām)</w:t>
      </w:r>
      <w:r w:rsidR="00470405" w:rsidRPr="00A07F29">
        <w:rPr>
          <w:rFonts w:ascii="Times New Roman" w:eastAsia="Times New Roman" w:hAnsi="Times New Roman" w:cs="Times New Roman"/>
          <w:color w:val="000000" w:themeColor="text1"/>
          <w:sz w:val="24"/>
          <w:szCs w:val="24"/>
        </w:rPr>
        <w:t>.</w:t>
      </w:r>
      <w:r w:rsidRPr="00A07F29">
        <w:rPr>
          <w:rFonts w:ascii="Times New Roman" w:eastAsia="Times New Roman" w:hAnsi="Times New Roman" w:cs="Times New Roman"/>
          <w:color w:val="000000" w:themeColor="text1"/>
          <w:sz w:val="24"/>
          <w:szCs w:val="24"/>
        </w:rPr>
        <w:t xml:space="preserve"> Latvijā sugas </w:t>
      </w:r>
      <w:proofErr w:type="spellStart"/>
      <w:r w:rsidRPr="00A07F29">
        <w:rPr>
          <w:rFonts w:ascii="Times New Roman" w:eastAsia="Times New Roman" w:hAnsi="Times New Roman" w:cs="Times New Roman"/>
          <w:color w:val="000000" w:themeColor="text1"/>
          <w:sz w:val="24"/>
          <w:szCs w:val="24"/>
        </w:rPr>
        <w:t>vienpatņi</w:t>
      </w:r>
      <w:proofErr w:type="spellEnd"/>
      <w:r w:rsidRPr="00A07F29">
        <w:rPr>
          <w:rFonts w:ascii="Times New Roman" w:eastAsia="Times New Roman" w:hAnsi="Times New Roman" w:cs="Times New Roman"/>
          <w:color w:val="000000" w:themeColor="text1"/>
          <w:sz w:val="24"/>
          <w:szCs w:val="24"/>
        </w:rPr>
        <w:t xml:space="preserve"> atrasti visā teritorijā,</w:t>
      </w:r>
      <w:r w:rsidR="00972561">
        <w:rPr>
          <w:rFonts w:ascii="Times New Roman" w:eastAsia="Times New Roman" w:hAnsi="Times New Roman" w:cs="Times New Roman"/>
          <w:color w:val="000000" w:themeColor="text1"/>
          <w:sz w:val="24"/>
          <w:szCs w:val="24"/>
        </w:rPr>
        <w:t xml:space="preserve"> savukārt</w:t>
      </w:r>
      <w:r w:rsidRPr="00A07F29">
        <w:rPr>
          <w:rFonts w:ascii="Times New Roman" w:eastAsia="Times New Roman" w:hAnsi="Times New Roman" w:cs="Times New Roman"/>
          <w:color w:val="000000" w:themeColor="text1"/>
          <w:sz w:val="24"/>
          <w:szCs w:val="24"/>
        </w:rPr>
        <w:t xml:space="preserve"> </w:t>
      </w:r>
      <w:proofErr w:type="spellStart"/>
      <w:r w:rsidRPr="00A07F29">
        <w:rPr>
          <w:rFonts w:ascii="Times New Roman" w:eastAsia="Times New Roman" w:hAnsi="Times New Roman" w:cs="Times New Roman"/>
          <w:color w:val="000000" w:themeColor="text1"/>
          <w:sz w:val="24"/>
          <w:szCs w:val="24"/>
        </w:rPr>
        <w:t>eDNS</w:t>
      </w:r>
      <w:proofErr w:type="spellEnd"/>
      <w:r w:rsidRPr="00A07F29">
        <w:rPr>
          <w:rFonts w:ascii="Times New Roman" w:eastAsia="Times New Roman" w:hAnsi="Times New Roman" w:cs="Times New Roman"/>
          <w:color w:val="000000" w:themeColor="text1"/>
          <w:sz w:val="24"/>
          <w:szCs w:val="24"/>
        </w:rPr>
        <w:t xml:space="preserve"> </w:t>
      </w:r>
      <w:r w:rsidR="00CF69C7">
        <w:rPr>
          <w:rFonts w:ascii="Times New Roman" w:eastAsia="Times New Roman" w:hAnsi="Times New Roman" w:cs="Times New Roman"/>
          <w:color w:val="000000" w:themeColor="text1"/>
          <w:sz w:val="24"/>
          <w:szCs w:val="24"/>
        </w:rPr>
        <w:t xml:space="preserve">monitoringa ietvaros kopumā </w:t>
      </w:r>
      <w:r w:rsidRPr="00A07F29">
        <w:rPr>
          <w:rFonts w:ascii="Times New Roman" w:eastAsia="Times New Roman" w:hAnsi="Times New Roman" w:cs="Times New Roman"/>
          <w:color w:val="000000" w:themeColor="text1"/>
          <w:sz w:val="24"/>
          <w:szCs w:val="24"/>
        </w:rPr>
        <w:t xml:space="preserve">apstiprinātas </w:t>
      </w:r>
      <w:r w:rsidR="00CF69C7">
        <w:rPr>
          <w:rFonts w:ascii="Times New Roman" w:eastAsia="Times New Roman" w:hAnsi="Times New Roman" w:cs="Times New Roman"/>
          <w:color w:val="000000" w:themeColor="text1"/>
          <w:sz w:val="24"/>
          <w:szCs w:val="24"/>
        </w:rPr>
        <w:t xml:space="preserve">četras </w:t>
      </w:r>
      <w:r w:rsidRPr="00A07F29">
        <w:rPr>
          <w:rFonts w:ascii="Times New Roman" w:eastAsia="Times New Roman" w:hAnsi="Times New Roman" w:cs="Times New Roman"/>
          <w:color w:val="000000" w:themeColor="text1"/>
          <w:sz w:val="24"/>
          <w:szCs w:val="24"/>
        </w:rPr>
        <w:t>populācijas</w:t>
      </w:r>
      <w:r w:rsidR="004C2CB8">
        <w:rPr>
          <w:rFonts w:ascii="Times New Roman" w:eastAsia="Times New Roman" w:hAnsi="Times New Roman" w:cs="Times New Roman"/>
          <w:color w:val="000000" w:themeColor="text1"/>
          <w:sz w:val="24"/>
          <w:szCs w:val="24"/>
        </w:rPr>
        <w:t>, kas</w:t>
      </w:r>
      <w:r w:rsidRPr="00A07F29">
        <w:rPr>
          <w:rFonts w:ascii="Times New Roman" w:eastAsia="Times New Roman" w:hAnsi="Times New Roman" w:cs="Times New Roman"/>
          <w:color w:val="000000" w:themeColor="text1"/>
          <w:sz w:val="24"/>
          <w:szCs w:val="24"/>
        </w:rPr>
        <w:t xml:space="preserve"> eksistē valsts centrālajā daļā (</w:t>
      </w:r>
      <w:r w:rsidR="00EC4D23">
        <w:rPr>
          <w:rFonts w:ascii="Times New Roman" w:eastAsia="Times New Roman" w:hAnsi="Times New Roman" w:cs="Times New Roman"/>
          <w:color w:val="000000" w:themeColor="text1"/>
          <w:sz w:val="24"/>
          <w:szCs w:val="24"/>
        </w:rPr>
        <w:t>viena</w:t>
      </w:r>
      <w:r w:rsidRPr="00A07F29">
        <w:rPr>
          <w:rFonts w:ascii="Times New Roman" w:eastAsia="Times New Roman" w:hAnsi="Times New Roman" w:cs="Times New Roman"/>
          <w:color w:val="000000" w:themeColor="text1"/>
          <w:sz w:val="24"/>
          <w:szCs w:val="24"/>
        </w:rPr>
        <w:t xml:space="preserve"> populācija Apguldē) un </w:t>
      </w:r>
      <w:r w:rsidR="000A72D3">
        <w:rPr>
          <w:rFonts w:ascii="Times New Roman" w:eastAsia="Times New Roman" w:hAnsi="Times New Roman" w:cs="Times New Roman"/>
          <w:color w:val="000000" w:themeColor="text1"/>
          <w:sz w:val="24"/>
          <w:szCs w:val="24"/>
        </w:rPr>
        <w:t>DA</w:t>
      </w:r>
      <w:r w:rsidRPr="00A07F29">
        <w:rPr>
          <w:rFonts w:ascii="Times New Roman" w:eastAsia="Times New Roman" w:hAnsi="Times New Roman" w:cs="Times New Roman"/>
          <w:color w:val="000000" w:themeColor="text1"/>
          <w:sz w:val="24"/>
          <w:szCs w:val="24"/>
        </w:rPr>
        <w:t xml:space="preserve"> (</w:t>
      </w:r>
      <w:r w:rsidR="00EC4D23">
        <w:rPr>
          <w:rFonts w:ascii="Times New Roman" w:eastAsia="Times New Roman" w:hAnsi="Times New Roman" w:cs="Times New Roman"/>
          <w:color w:val="000000" w:themeColor="text1"/>
          <w:sz w:val="24"/>
          <w:szCs w:val="24"/>
        </w:rPr>
        <w:t>trīs</w:t>
      </w:r>
      <w:r w:rsidRPr="00A07F29">
        <w:rPr>
          <w:rFonts w:ascii="Times New Roman" w:eastAsia="Times New Roman" w:hAnsi="Times New Roman" w:cs="Times New Roman"/>
          <w:color w:val="000000" w:themeColor="text1"/>
          <w:sz w:val="24"/>
          <w:szCs w:val="24"/>
        </w:rPr>
        <w:t xml:space="preserve"> </w:t>
      </w:r>
      <w:proofErr w:type="spellStart"/>
      <w:r w:rsidRPr="00A07F29">
        <w:rPr>
          <w:rFonts w:ascii="Times New Roman" w:eastAsia="Times New Roman" w:hAnsi="Times New Roman" w:cs="Times New Roman"/>
          <w:color w:val="000000" w:themeColor="text1"/>
          <w:sz w:val="24"/>
          <w:szCs w:val="24"/>
        </w:rPr>
        <w:t>reintroducētas</w:t>
      </w:r>
      <w:proofErr w:type="spellEnd"/>
      <w:r w:rsidRPr="00A07F29">
        <w:rPr>
          <w:rFonts w:ascii="Times New Roman" w:eastAsia="Times New Roman" w:hAnsi="Times New Roman" w:cs="Times New Roman"/>
          <w:color w:val="000000" w:themeColor="text1"/>
          <w:sz w:val="24"/>
          <w:szCs w:val="24"/>
        </w:rPr>
        <w:t xml:space="preserve"> populācijas DP Silene) (</w:t>
      </w:r>
      <w:proofErr w:type="spellStart"/>
      <w:r w:rsidRPr="00A07F29">
        <w:rPr>
          <w:rFonts w:ascii="Times New Roman" w:eastAsia="Times New Roman" w:hAnsi="Times New Roman" w:cs="Times New Roman"/>
          <w:color w:val="000000" w:themeColor="text1"/>
          <w:sz w:val="24"/>
          <w:szCs w:val="24"/>
        </w:rPr>
        <w:t>Meeske</w:t>
      </w:r>
      <w:proofErr w:type="spellEnd"/>
      <w:r w:rsidRPr="00A07F29">
        <w:rPr>
          <w:rFonts w:ascii="Times New Roman" w:eastAsia="Times New Roman" w:hAnsi="Times New Roman" w:cs="Times New Roman"/>
          <w:color w:val="000000" w:themeColor="text1"/>
          <w:sz w:val="24"/>
          <w:szCs w:val="24"/>
        </w:rPr>
        <w:t xml:space="preserve"> </w:t>
      </w:r>
      <w:r w:rsidR="00686341">
        <w:rPr>
          <w:rFonts w:ascii="Times New Roman" w:eastAsia="Times New Roman" w:hAnsi="Times New Roman" w:cs="Times New Roman"/>
          <w:color w:val="000000" w:themeColor="text1"/>
          <w:sz w:val="24"/>
          <w:szCs w:val="24"/>
        </w:rPr>
        <w:t xml:space="preserve">A. C. M., </w:t>
      </w:r>
      <w:proofErr w:type="spellStart"/>
      <w:r w:rsidR="00686341">
        <w:rPr>
          <w:rFonts w:ascii="Times New Roman" w:eastAsia="Times New Roman" w:hAnsi="Times New Roman" w:cs="Times New Roman"/>
          <w:color w:val="000000" w:themeColor="text1"/>
          <w:sz w:val="24"/>
          <w:szCs w:val="24"/>
        </w:rPr>
        <w:t>e</w:t>
      </w:r>
      <w:r w:rsidRPr="00A07F29">
        <w:rPr>
          <w:rFonts w:ascii="Times New Roman" w:eastAsia="Times New Roman" w:hAnsi="Times New Roman" w:cs="Times New Roman"/>
          <w:color w:val="000000" w:themeColor="text1"/>
          <w:sz w:val="24"/>
          <w:szCs w:val="24"/>
        </w:rPr>
        <w:t>t</w:t>
      </w:r>
      <w:proofErr w:type="spellEnd"/>
      <w:r w:rsidRPr="00A07F29">
        <w:rPr>
          <w:rFonts w:ascii="Times New Roman" w:eastAsia="Times New Roman" w:hAnsi="Times New Roman" w:cs="Times New Roman"/>
          <w:color w:val="000000" w:themeColor="text1"/>
          <w:sz w:val="24"/>
          <w:szCs w:val="24"/>
        </w:rPr>
        <w:t xml:space="preserve"> al.</w:t>
      </w:r>
      <w:r w:rsidR="00686341">
        <w:rPr>
          <w:rFonts w:ascii="Times New Roman" w:eastAsia="Times New Roman" w:hAnsi="Times New Roman" w:cs="Times New Roman"/>
          <w:color w:val="000000" w:themeColor="text1"/>
          <w:sz w:val="24"/>
          <w:szCs w:val="24"/>
        </w:rPr>
        <w:t>,</w:t>
      </w:r>
      <w:r w:rsidRPr="00A07F29">
        <w:rPr>
          <w:rFonts w:ascii="Times New Roman" w:eastAsia="Times New Roman" w:hAnsi="Times New Roman" w:cs="Times New Roman"/>
          <w:color w:val="000000" w:themeColor="text1"/>
          <w:sz w:val="24"/>
          <w:szCs w:val="24"/>
        </w:rPr>
        <w:t xml:space="preserve"> 2006; </w:t>
      </w:r>
      <w:proofErr w:type="spellStart"/>
      <w:r w:rsidRPr="00A07F29">
        <w:rPr>
          <w:rFonts w:ascii="Times New Roman" w:eastAsia="Times New Roman" w:hAnsi="Times New Roman" w:cs="Times New Roman"/>
          <w:color w:val="000000" w:themeColor="text1"/>
          <w:sz w:val="24"/>
          <w:szCs w:val="24"/>
        </w:rPr>
        <w:t>Pupins</w:t>
      </w:r>
      <w:proofErr w:type="spellEnd"/>
      <w:r w:rsidR="00686341">
        <w:rPr>
          <w:rFonts w:ascii="Times New Roman" w:eastAsia="Times New Roman" w:hAnsi="Times New Roman" w:cs="Times New Roman"/>
          <w:color w:val="000000" w:themeColor="text1"/>
          <w:sz w:val="24"/>
          <w:szCs w:val="24"/>
        </w:rPr>
        <w:t xml:space="preserve"> M.,</w:t>
      </w:r>
      <w:r w:rsidRPr="00A07F29">
        <w:rPr>
          <w:rFonts w:ascii="Times New Roman" w:eastAsia="Times New Roman" w:hAnsi="Times New Roman" w:cs="Times New Roman"/>
          <w:color w:val="000000" w:themeColor="text1"/>
          <w:sz w:val="24"/>
          <w:szCs w:val="24"/>
        </w:rPr>
        <w:t xml:space="preserve"> </w:t>
      </w:r>
      <w:proofErr w:type="spellStart"/>
      <w:r w:rsidRPr="00A07F29">
        <w:rPr>
          <w:rFonts w:ascii="Times New Roman" w:eastAsia="Times New Roman" w:hAnsi="Times New Roman" w:cs="Times New Roman"/>
          <w:color w:val="000000" w:themeColor="text1"/>
          <w:sz w:val="24"/>
          <w:szCs w:val="24"/>
        </w:rPr>
        <w:t>et</w:t>
      </w:r>
      <w:proofErr w:type="spellEnd"/>
      <w:r w:rsidRPr="00A07F29">
        <w:rPr>
          <w:rFonts w:ascii="Times New Roman" w:eastAsia="Times New Roman" w:hAnsi="Times New Roman" w:cs="Times New Roman"/>
          <w:color w:val="000000" w:themeColor="text1"/>
          <w:sz w:val="24"/>
          <w:szCs w:val="24"/>
        </w:rPr>
        <w:t xml:space="preserve"> </w:t>
      </w:r>
      <w:proofErr w:type="spellStart"/>
      <w:r w:rsidRPr="00A07F29">
        <w:rPr>
          <w:rFonts w:ascii="Times New Roman" w:eastAsia="Times New Roman" w:hAnsi="Times New Roman" w:cs="Times New Roman"/>
          <w:color w:val="000000" w:themeColor="text1"/>
          <w:sz w:val="24"/>
          <w:szCs w:val="24"/>
        </w:rPr>
        <w:t>al</w:t>
      </w:r>
      <w:proofErr w:type="spellEnd"/>
      <w:r w:rsidRPr="00A07F29">
        <w:rPr>
          <w:rFonts w:ascii="Times New Roman" w:eastAsia="Times New Roman" w:hAnsi="Times New Roman" w:cs="Times New Roman"/>
          <w:color w:val="000000" w:themeColor="text1"/>
          <w:sz w:val="24"/>
          <w:szCs w:val="24"/>
        </w:rPr>
        <w:t>.</w:t>
      </w:r>
      <w:r w:rsidR="00686341">
        <w:rPr>
          <w:rFonts w:ascii="Times New Roman" w:eastAsia="Times New Roman" w:hAnsi="Times New Roman" w:cs="Times New Roman"/>
          <w:color w:val="000000" w:themeColor="text1"/>
          <w:sz w:val="24"/>
          <w:szCs w:val="24"/>
        </w:rPr>
        <w:t>,</w:t>
      </w:r>
      <w:r w:rsidRPr="00A07F29">
        <w:rPr>
          <w:rFonts w:ascii="Times New Roman" w:eastAsia="Times New Roman" w:hAnsi="Times New Roman" w:cs="Times New Roman"/>
          <w:color w:val="000000" w:themeColor="text1"/>
          <w:sz w:val="24"/>
          <w:szCs w:val="24"/>
        </w:rPr>
        <w:t xml:space="preserve"> 2010, 2017 u.c.). </w:t>
      </w:r>
    </w:p>
    <w:p w14:paraId="3D88D8F4" w14:textId="423DED05" w:rsidR="009072CE" w:rsidRPr="00A07F29" w:rsidRDefault="009072CE" w:rsidP="00470405">
      <w:pPr>
        <w:spacing w:after="120" w:line="240" w:lineRule="auto"/>
        <w:ind w:firstLine="851"/>
        <w:jc w:val="both"/>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 xml:space="preserve">Teritorijā atrodas arī biotopi, kas atbilst smilšu krupja </w:t>
      </w:r>
      <w:proofErr w:type="spellStart"/>
      <w:r w:rsidRPr="00A07F29">
        <w:rPr>
          <w:rFonts w:ascii="Times New Roman" w:eastAsia="Times New Roman" w:hAnsi="Times New Roman" w:cs="Times New Roman"/>
          <w:i/>
          <w:color w:val="000000"/>
          <w:sz w:val="24"/>
          <w:szCs w:val="24"/>
        </w:rPr>
        <w:t>Epidalea</w:t>
      </w:r>
      <w:proofErr w:type="spellEnd"/>
      <w:r w:rsidRPr="00A07F29">
        <w:rPr>
          <w:rFonts w:ascii="Times New Roman" w:eastAsia="Times New Roman" w:hAnsi="Times New Roman" w:cs="Times New Roman"/>
          <w:i/>
          <w:color w:val="000000"/>
          <w:sz w:val="24"/>
          <w:szCs w:val="24"/>
        </w:rPr>
        <w:t xml:space="preserve"> </w:t>
      </w:r>
      <w:proofErr w:type="spellStart"/>
      <w:r w:rsidRPr="00A07F29">
        <w:rPr>
          <w:rFonts w:ascii="Times New Roman" w:eastAsia="Times New Roman" w:hAnsi="Times New Roman" w:cs="Times New Roman"/>
          <w:i/>
          <w:color w:val="000000"/>
          <w:sz w:val="24"/>
          <w:szCs w:val="24"/>
        </w:rPr>
        <w:t>calamita</w:t>
      </w:r>
      <w:proofErr w:type="spellEnd"/>
      <w:r w:rsidRPr="00A07F29">
        <w:rPr>
          <w:rFonts w:ascii="Times New Roman" w:eastAsia="Times New Roman" w:hAnsi="Times New Roman" w:cs="Times New Roman"/>
          <w:color w:val="000000"/>
          <w:sz w:val="24"/>
          <w:szCs w:val="24"/>
        </w:rPr>
        <w:t xml:space="preserve"> un gludenās čūskas </w:t>
      </w:r>
      <w:proofErr w:type="spellStart"/>
      <w:r w:rsidRPr="00A07F29">
        <w:rPr>
          <w:rFonts w:ascii="Times New Roman" w:eastAsia="Times New Roman" w:hAnsi="Times New Roman" w:cs="Times New Roman"/>
          <w:i/>
          <w:color w:val="000000"/>
          <w:sz w:val="24"/>
          <w:szCs w:val="24"/>
        </w:rPr>
        <w:t>Coronella</w:t>
      </w:r>
      <w:proofErr w:type="spellEnd"/>
      <w:r w:rsidRPr="00A07F29">
        <w:rPr>
          <w:rFonts w:ascii="Times New Roman" w:eastAsia="Times New Roman" w:hAnsi="Times New Roman" w:cs="Times New Roman"/>
          <w:i/>
          <w:color w:val="000000"/>
          <w:sz w:val="24"/>
          <w:szCs w:val="24"/>
        </w:rPr>
        <w:t xml:space="preserve"> </w:t>
      </w:r>
      <w:proofErr w:type="spellStart"/>
      <w:r w:rsidRPr="00A07F29">
        <w:rPr>
          <w:rFonts w:ascii="Times New Roman" w:eastAsia="Times New Roman" w:hAnsi="Times New Roman" w:cs="Times New Roman"/>
          <w:i/>
          <w:color w:val="000000"/>
          <w:sz w:val="24"/>
          <w:szCs w:val="24"/>
        </w:rPr>
        <w:t>austriaca</w:t>
      </w:r>
      <w:proofErr w:type="spellEnd"/>
      <w:r w:rsidRPr="00A07F29">
        <w:rPr>
          <w:rFonts w:ascii="Times New Roman" w:eastAsia="Times New Roman" w:hAnsi="Times New Roman" w:cs="Times New Roman"/>
          <w:color w:val="000000"/>
          <w:sz w:val="24"/>
          <w:szCs w:val="24"/>
        </w:rPr>
        <w:t xml:space="preserve"> prasībām (A.</w:t>
      </w:r>
      <w:r w:rsidR="009612C8">
        <w:rPr>
          <w:rFonts w:ascii="Times New Roman" w:eastAsia="Times New Roman" w:hAnsi="Times New Roman" w:cs="Times New Roman"/>
          <w:color w:val="000000"/>
          <w:sz w:val="24"/>
          <w:szCs w:val="24"/>
        </w:rPr>
        <w:t> </w:t>
      </w:r>
      <w:proofErr w:type="spellStart"/>
      <w:r w:rsidRPr="00A07F29">
        <w:rPr>
          <w:rFonts w:ascii="Times New Roman" w:eastAsia="Times New Roman" w:hAnsi="Times New Roman" w:cs="Times New Roman"/>
          <w:color w:val="000000"/>
          <w:sz w:val="24"/>
          <w:szCs w:val="24"/>
        </w:rPr>
        <w:t>Čeirāns</w:t>
      </w:r>
      <w:proofErr w:type="spellEnd"/>
      <w:r w:rsidRPr="00A07F29">
        <w:rPr>
          <w:rFonts w:ascii="Times New Roman" w:eastAsia="Times New Roman" w:hAnsi="Times New Roman" w:cs="Times New Roman"/>
          <w:color w:val="000000"/>
          <w:sz w:val="24"/>
          <w:szCs w:val="24"/>
        </w:rPr>
        <w:t xml:space="preserve">, pers. </w:t>
      </w:r>
      <w:proofErr w:type="spellStart"/>
      <w:r w:rsidRPr="00A07F29">
        <w:rPr>
          <w:rFonts w:ascii="Times New Roman" w:eastAsia="Times New Roman" w:hAnsi="Times New Roman" w:cs="Times New Roman"/>
          <w:color w:val="000000"/>
          <w:sz w:val="24"/>
          <w:szCs w:val="24"/>
        </w:rPr>
        <w:t>kom</w:t>
      </w:r>
      <w:proofErr w:type="spellEnd"/>
      <w:r w:rsidRPr="00A07F29">
        <w:rPr>
          <w:rFonts w:ascii="Times New Roman" w:eastAsia="Times New Roman" w:hAnsi="Times New Roman" w:cs="Times New Roman"/>
          <w:color w:val="000000"/>
          <w:sz w:val="24"/>
          <w:szCs w:val="24"/>
        </w:rPr>
        <w:t>.), iespējams, šīs sugas tiks konstatētas turpmākos gados vai izplatīsies no Baltkrievijas.</w:t>
      </w:r>
    </w:p>
    <w:p w14:paraId="3A22BFEE" w14:textId="387F2B22" w:rsidR="009072CE" w:rsidRPr="00A07F29" w:rsidRDefault="009072CE" w:rsidP="00B910EA">
      <w:pPr>
        <w:spacing w:after="120" w:line="240" w:lineRule="auto"/>
        <w:ind w:firstLine="851"/>
        <w:jc w:val="both"/>
        <w:rPr>
          <w:rFonts w:ascii="Times New Roman" w:eastAsia="Calibri" w:hAnsi="Times New Roman" w:cs="Times New Roman"/>
          <w:sz w:val="24"/>
          <w:szCs w:val="24"/>
        </w:rPr>
      </w:pPr>
      <w:r w:rsidRPr="00A07F29">
        <w:rPr>
          <w:rFonts w:ascii="Times New Roman" w:eastAsia="Times New Roman" w:hAnsi="Times New Roman" w:cs="Times New Roman"/>
          <w:color w:val="000000" w:themeColor="text1"/>
          <w:sz w:val="24"/>
          <w:szCs w:val="24"/>
        </w:rPr>
        <w:t xml:space="preserve">Dati par </w:t>
      </w:r>
      <w:r w:rsidRPr="000A72D3">
        <w:rPr>
          <w:rFonts w:ascii="Times New Roman" w:eastAsia="Times New Roman" w:hAnsi="Times New Roman" w:cs="Times New Roman"/>
          <w:color w:val="000000" w:themeColor="text1"/>
          <w:sz w:val="24"/>
          <w:szCs w:val="24"/>
        </w:rPr>
        <w:t>Latvijas īpaši aizsargājamo</w:t>
      </w:r>
      <w:r w:rsidRPr="00A07F29">
        <w:rPr>
          <w:rFonts w:ascii="Times New Roman" w:eastAsia="Times New Roman" w:hAnsi="Times New Roman" w:cs="Times New Roman"/>
          <w:color w:val="000000" w:themeColor="text1"/>
          <w:sz w:val="24"/>
          <w:szCs w:val="24"/>
        </w:rPr>
        <w:t xml:space="preserve"> sugu abinieku un rāpuļu aizsardzības statusu un stāvokli Latvijā ir apkopoti 4.</w:t>
      </w:r>
      <w:r w:rsidR="00C8161B" w:rsidRPr="00A07F29">
        <w:rPr>
          <w:rFonts w:ascii="Times New Roman" w:eastAsia="Times New Roman" w:hAnsi="Times New Roman" w:cs="Times New Roman"/>
          <w:color w:val="000000" w:themeColor="text1"/>
          <w:sz w:val="24"/>
          <w:szCs w:val="24"/>
        </w:rPr>
        <w:t>8</w:t>
      </w:r>
      <w:r w:rsidRPr="00A07F29">
        <w:rPr>
          <w:rFonts w:ascii="Times New Roman" w:eastAsia="Times New Roman" w:hAnsi="Times New Roman" w:cs="Times New Roman"/>
          <w:color w:val="000000" w:themeColor="text1"/>
          <w:sz w:val="24"/>
          <w:szCs w:val="24"/>
        </w:rPr>
        <w:t>.1.</w:t>
      </w:r>
      <w:r w:rsidR="009612C8">
        <w:rPr>
          <w:rFonts w:ascii="Times New Roman" w:eastAsia="Times New Roman" w:hAnsi="Times New Roman" w:cs="Times New Roman"/>
          <w:color w:val="000000" w:themeColor="text1"/>
          <w:sz w:val="24"/>
          <w:szCs w:val="24"/>
        </w:rPr>
        <w:t> </w:t>
      </w:r>
      <w:r w:rsidRPr="00A07F29">
        <w:rPr>
          <w:rFonts w:ascii="Times New Roman" w:eastAsia="Times New Roman" w:hAnsi="Times New Roman" w:cs="Times New Roman"/>
          <w:color w:val="000000" w:themeColor="text1"/>
          <w:sz w:val="24"/>
          <w:szCs w:val="24"/>
        </w:rPr>
        <w:t>tabulā, dzīvotņu karte – 4.</w:t>
      </w:r>
      <w:r w:rsidR="00220812" w:rsidRPr="00A07F29">
        <w:rPr>
          <w:rFonts w:ascii="Times New Roman" w:eastAsia="Times New Roman" w:hAnsi="Times New Roman" w:cs="Times New Roman"/>
          <w:color w:val="000000" w:themeColor="text1"/>
          <w:sz w:val="24"/>
          <w:szCs w:val="24"/>
        </w:rPr>
        <w:t>9</w:t>
      </w:r>
      <w:r w:rsidRPr="00A07F29">
        <w:rPr>
          <w:rFonts w:ascii="Times New Roman" w:eastAsia="Times New Roman" w:hAnsi="Times New Roman" w:cs="Times New Roman"/>
          <w:color w:val="000000" w:themeColor="text1"/>
          <w:sz w:val="24"/>
          <w:szCs w:val="24"/>
        </w:rPr>
        <w:t>.</w:t>
      </w:r>
      <w:r w:rsidR="009612C8">
        <w:rPr>
          <w:rFonts w:ascii="Times New Roman" w:eastAsia="Times New Roman" w:hAnsi="Times New Roman" w:cs="Times New Roman"/>
          <w:color w:val="000000" w:themeColor="text1"/>
          <w:sz w:val="24"/>
          <w:szCs w:val="24"/>
        </w:rPr>
        <w:t> </w:t>
      </w:r>
      <w:r w:rsidRPr="00A07F29">
        <w:rPr>
          <w:rFonts w:ascii="Times New Roman" w:eastAsia="Times New Roman" w:hAnsi="Times New Roman" w:cs="Times New Roman"/>
          <w:color w:val="000000" w:themeColor="text1"/>
          <w:sz w:val="24"/>
          <w:szCs w:val="24"/>
        </w:rPr>
        <w:t>pielikumā.</w:t>
      </w:r>
    </w:p>
    <w:p w14:paraId="6229D983" w14:textId="6CDD9092" w:rsidR="009072CE" w:rsidRPr="00A07F29" w:rsidRDefault="009072CE" w:rsidP="005A4DB2">
      <w:pPr>
        <w:suppressAutoHyphens/>
        <w:spacing w:before="360" w:after="120" w:line="240" w:lineRule="auto"/>
        <w:jc w:val="center"/>
        <w:rPr>
          <w:rFonts w:ascii="Times New Roman" w:eastAsia="Calibri" w:hAnsi="Times New Roman" w:cs="Times New Roman"/>
          <w:sz w:val="24"/>
          <w:szCs w:val="24"/>
          <w:lang w:eastAsia="ar-SA"/>
        </w:rPr>
      </w:pPr>
      <w:r w:rsidRPr="00A07F29">
        <w:rPr>
          <w:rFonts w:ascii="Times New Roman" w:eastAsia="Calibri" w:hAnsi="Times New Roman" w:cs="Times New Roman"/>
          <w:sz w:val="24"/>
          <w:szCs w:val="24"/>
          <w:lang w:eastAsia="ar-SA"/>
        </w:rPr>
        <w:t>4.</w:t>
      </w:r>
      <w:r w:rsidR="00C8161B" w:rsidRPr="00A07F29">
        <w:rPr>
          <w:rFonts w:ascii="Times New Roman" w:eastAsia="Calibri" w:hAnsi="Times New Roman" w:cs="Times New Roman"/>
          <w:sz w:val="24"/>
          <w:szCs w:val="24"/>
          <w:lang w:eastAsia="ar-SA"/>
        </w:rPr>
        <w:t>8</w:t>
      </w:r>
      <w:r w:rsidRPr="00A07F29">
        <w:rPr>
          <w:rFonts w:ascii="Times New Roman" w:eastAsia="Calibri" w:hAnsi="Times New Roman" w:cs="Times New Roman"/>
          <w:sz w:val="24"/>
          <w:szCs w:val="24"/>
          <w:lang w:eastAsia="ar-SA"/>
        </w:rPr>
        <w:t>.1.</w:t>
      </w:r>
      <w:r w:rsidR="009612C8">
        <w:rPr>
          <w:rFonts w:ascii="Times New Roman" w:eastAsia="Calibri" w:hAnsi="Times New Roman" w:cs="Times New Roman"/>
          <w:sz w:val="24"/>
          <w:szCs w:val="24"/>
          <w:lang w:eastAsia="ar-SA"/>
        </w:rPr>
        <w:t> </w:t>
      </w:r>
      <w:r w:rsidRPr="00A07F29">
        <w:rPr>
          <w:rFonts w:ascii="Times New Roman" w:eastAsia="Calibri" w:hAnsi="Times New Roman" w:cs="Times New Roman"/>
          <w:sz w:val="24"/>
          <w:szCs w:val="24"/>
          <w:lang w:eastAsia="ar-SA"/>
        </w:rPr>
        <w:t xml:space="preserve">tabula. </w:t>
      </w:r>
      <w:r w:rsidR="00C8161B" w:rsidRPr="00A07F29">
        <w:rPr>
          <w:rFonts w:ascii="Times New Roman" w:eastAsia="Calibri" w:hAnsi="Times New Roman" w:cs="Times New Roman"/>
          <w:sz w:val="24"/>
          <w:szCs w:val="24"/>
          <w:lang w:eastAsia="ar-SA"/>
        </w:rPr>
        <w:t xml:space="preserve">AAA </w:t>
      </w:r>
      <w:r w:rsidR="009612C8">
        <w:rPr>
          <w:rFonts w:ascii="Times New Roman" w:eastAsia="Calibri" w:hAnsi="Times New Roman" w:cs="Times New Roman"/>
          <w:sz w:val="24"/>
          <w:szCs w:val="24"/>
          <w:lang w:eastAsia="ar-SA"/>
        </w:rPr>
        <w:t>“</w:t>
      </w:r>
      <w:r w:rsidR="00C8161B" w:rsidRPr="00A07F29">
        <w:rPr>
          <w:rFonts w:ascii="Times New Roman" w:eastAsia="Calibri" w:hAnsi="Times New Roman" w:cs="Times New Roman"/>
          <w:sz w:val="24"/>
          <w:szCs w:val="24"/>
          <w:lang w:eastAsia="ar-SA"/>
        </w:rPr>
        <w:t xml:space="preserve">Augšdaugava” konstatēto </w:t>
      </w:r>
      <w:r w:rsidRPr="00A07F29">
        <w:rPr>
          <w:rFonts w:ascii="Times New Roman" w:eastAsia="Calibri" w:hAnsi="Times New Roman" w:cs="Times New Roman"/>
          <w:sz w:val="24"/>
          <w:szCs w:val="24"/>
          <w:lang w:eastAsia="ar-SA"/>
        </w:rPr>
        <w:t xml:space="preserve">abinieku </w:t>
      </w:r>
      <w:r w:rsidR="00C8161B" w:rsidRPr="00A07F29">
        <w:rPr>
          <w:rFonts w:ascii="Times New Roman" w:eastAsia="Calibri" w:hAnsi="Times New Roman" w:cs="Times New Roman"/>
          <w:sz w:val="24"/>
          <w:szCs w:val="24"/>
          <w:lang w:eastAsia="ar-SA"/>
        </w:rPr>
        <w:t xml:space="preserve">un rāpuļu </w:t>
      </w:r>
      <w:r w:rsidRPr="00A07F29">
        <w:rPr>
          <w:rFonts w:ascii="Times New Roman" w:eastAsia="Calibri" w:hAnsi="Times New Roman" w:cs="Times New Roman"/>
          <w:sz w:val="24"/>
          <w:szCs w:val="24"/>
          <w:lang w:eastAsia="ar-SA"/>
        </w:rPr>
        <w:t xml:space="preserve">sugu aizsardzības statuss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96"/>
        <w:gridCol w:w="2095"/>
        <w:gridCol w:w="2018"/>
        <w:gridCol w:w="1708"/>
        <w:gridCol w:w="1927"/>
      </w:tblGrid>
      <w:tr w:rsidR="009072CE" w:rsidRPr="00A07F29" w14:paraId="613C628C" w14:textId="77777777" w:rsidTr="009056A3">
        <w:trPr>
          <w:cantSplit/>
          <w:trHeight w:val="284"/>
          <w:tblHeader/>
        </w:trPr>
        <w:tc>
          <w:tcPr>
            <w:tcW w:w="854" w:type="pct"/>
            <w:shd w:val="clear" w:color="auto" w:fill="C2D69B" w:themeFill="accent3" w:themeFillTint="99"/>
            <w:vAlign w:val="center"/>
            <w:hideMark/>
          </w:tcPr>
          <w:p w14:paraId="7A8A5E70" w14:textId="77777777" w:rsidR="009072CE" w:rsidRPr="00A07F29" w:rsidRDefault="009072CE" w:rsidP="009072CE">
            <w:pPr>
              <w:spacing w:before="120" w:after="120"/>
              <w:contextualSpacing/>
              <w:jc w:val="center"/>
              <w:rPr>
                <w:rFonts w:ascii="Times New Roman" w:eastAsia="Times New Roman" w:hAnsi="Times New Roman" w:cs="Times New Roman"/>
                <w:b/>
                <w:color w:val="000000"/>
                <w:sz w:val="20"/>
                <w:lang w:eastAsia="en-GB"/>
              </w:rPr>
            </w:pPr>
            <w:r w:rsidRPr="00A07F29">
              <w:rPr>
                <w:rFonts w:ascii="Times New Roman" w:eastAsia="Times New Roman" w:hAnsi="Times New Roman" w:cs="Times New Roman"/>
                <w:b/>
                <w:color w:val="000000"/>
                <w:sz w:val="20"/>
                <w:lang w:eastAsia="en-GB"/>
              </w:rPr>
              <w:t>Sugas nosaukums latviski</w:t>
            </w:r>
          </w:p>
        </w:tc>
        <w:tc>
          <w:tcPr>
            <w:tcW w:w="1121" w:type="pct"/>
            <w:shd w:val="clear" w:color="auto" w:fill="C2D69B" w:themeFill="accent3" w:themeFillTint="99"/>
            <w:vAlign w:val="center"/>
            <w:hideMark/>
          </w:tcPr>
          <w:p w14:paraId="2955E573" w14:textId="77777777" w:rsidR="009072CE" w:rsidRPr="00A07F29" w:rsidRDefault="009072CE" w:rsidP="009072CE">
            <w:pPr>
              <w:spacing w:before="120" w:after="120"/>
              <w:contextualSpacing/>
              <w:jc w:val="center"/>
              <w:rPr>
                <w:rFonts w:ascii="Times New Roman" w:eastAsia="Times New Roman" w:hAnsi="Times New Roman" w:cs="Times New Roman"/>
                <w:b/>
                <w:color w:val="000000"/>
                <w:sz w:val="20"/>
                <w:lang w:eastAsia="en-GB"/>
              </w:rPr>
            </w:pPr>
            <w:r w:rsidRPr="00A07F29">
              <w:rPr>
                <w:rFonts w:ascii="Times New Roman" w:eastAsia="Times New Roman" w:hAnsi="Times New Roman" w:cs="Times New Roman"/>
                <w:b/>
                <w:color w:val="000000"/>
                <w:sz w:val="20"/>
                <w:lang w:eastAsia="en-GB"/>
              </w:rPr>
              <w:t>Sugas nosaukums latīniski</w:t>
            </w:r>
          </w:p>
        </w:tc>
        <w:tc>
          <w:tcPr>
            <w:tcW w:w="1080" w:type="pct"/>
            <w:shd w:val="clear" w:color="auto" w:fill="C2D69B" w:themeFill="accent3" w:themeFillTint="99"/>
            <w:vAlign w:val="center"/>
            <w:hideMark/>
          </w:tcPr>
          <w:p w14:paraId="5F5042DE" w14:textId="77777777" w:rsidR="009072CE" w:rsidRPr="00A07F29" w:rsidRDefault="009072CE" w:rsidP="009072CE">
            <w:pPr>
              <w:spacing w:before="120" w:after="120"/>
              <w:contextualSpacing/>
              <w:jc w:val="center"/>
              <w:rPr>
                <w:rFonts w:ascii="Times New Roman" w:eastAsia="Times New Roman" w:hAnsi="Times New Roman" w:cs="Times New Roman"/>
                <w:b/>
                <w:color w:val="000000"/>
                <w:sz w:val="20"/>
                <w:lang w:eastAsia="en-GB"/>
              </w:rPr>
            </w:pPr>
            <w:r w:rsidRPr="00A07F29">
              <w:rPr>
                <w:rFonts w:ascii="Times New Roman" w:eastAsia="Times New Roman" w:hAnsi="Times New Roman" w:cs="Times New Roman"/>
                <w:b/>
                <w:color w:val="000000"/>
                <w:sz w:val="20"/>
                <w:lang w:eastAsia="en-GB"/>
              </w:rPr>
              <w:t>Aizsardzības statuss Latvijā *</w:t>
            </w:r>
          </w:p>
        </w:tc>
        <w:tc>
          <w:tcPr>
            <w:tcW w:w="914" w:type="pct"/>
            <w:tcBorders>
              <w:bottom w:val="single" w:sz="4" w:space="0" w:color="auto"/>
            </w:tcBorders>
            <w:shd w:val="clear" w:color="auto" w:fill="C2D69B" w:themeFill="accent3" w:themeFillTint="99"/>
            <w:vAlign w:val="center"/>
            <w:hideMark/>
          </w:tcPr>
          <w:p w14:paraId="2522338A" w14:textId="77777777" w:rsidR="009072CE" w:rsidRPr="00A07F29" w:rsidRDefault="009072CE" w:rsidP="009072CE">
            <w:pPr>
              <w:spacing w:before="120" w:after="120"/>
              <w:contextualSpacing/>
              <w:jc w:val="center"/>
              <w:rPr>
                <w:rFonts w:ascii="Times New Roman" w:eastAsia="Times New Roman" w:hAnsi="Times New Roman" w:cs="Times New Roman"/>
                <w:b/>
                <w:color w:val="000000"/>
                <w:sz w:val="20"/>
                <w:lang w:eastAsia="en-GB"/>
              </w:rPr>
            </w:pPr>
            <w:r w:rsidRPr="00A07F29">
              <w:rPr>
                <w:rFonts w:ascii="Times New Roman" w:eastAsia="Times New Roman" w:hAnsi="Times New Roman" w:cs="Times New Roman"/>
                <w:b/>
                <w:color w:val="000000"/>
                <w:sz w:val="20"/>
                <w:lang w:eastAsia="en-GB"/>
              </w:rPr>
              <w:t>Cits statuss *</w:t>
            </w:r>
          </w:p>
        </w:tc>
        <w:tc>
          <w:tcPr>
            <w:tcW w:w="1031" w:type="pct"/>
            <w:tcBorders>
              <w:bottom w:val="single" w:sz="4" w:space="0" w:color="auto"/>
            </w:tcBorders>
            <w:shd w:val="clear" w:color="auto" w:fill="C2D69B" w:themeFill="accent3" w:themeFillTint="99"/>
            <w:vAlign w:val="center"/>
          </w:tcPr>
          <w:p w14:paraId="2C1FF666" w14:textId="77777777" w:rsidR="009072CE" w:rsidRPr="00A07F29" w:rsidRDefault="009072CE" w:rsidP="009072CE">
            <w:pPr>
              <w:spacing w:before="120" w:after="120"/>
              <w:contextualSpacing/>
              <w:jc w:val="center"/>
              <w:rPr>
                <w:rFonts w:ascii="Times New Roman" w:eastAsia="Times New Roman" w:hAnsi="Times New Roman" w:cs="Times New Roman"/>
                <w:b/>
                <w:color w:val="000000"/>
                <w:sz w:val="20"/>
                <w:lang w:eastAsia="en-GB"/>
              </w:rPr>
            </w:pPr>
            <w:r w:rsidRPr="00A07F29">
              <w:rPr>
                <w:rFonts w:ascii="Times New Roman" w:eastAsia="Times New Roman" w:hAnsi="Times New Roman" w:cs="Times New Roman"/>
                <w:b/>
                <w:color w:val="000000"/>
                <w:sz w:val="20"/>
                <w:lang w:eastAsia="en-GB"/>
              </w:rPr>
              <w:t xml:space="preserve">Sugas stāvoklis Latvijā </w:t>
            </w:r>
            <w:r w:rsidRPr="00A07F29">
              <w:rPr>
                <w:rFonts w:ascii="Times New Roman" w:eastAsia="Times New Roman" w:hAnsi="Times New Roman" w:cs="Times New Roman"/>
                <w:b/>
                <w:bCs/>
                <w:color w:val="000000"/>
                <w:szCs w:val="14"/>
                <w:vertAlign w:val="superscript"/>
              </w:rPr>
              <w:t>1</w:t>
            </w:r>
          </w:p>
        </w:tc>
      </w:tr>
      <w:tr w:rsidR="009072CE" w:rsidRPr="00A07F29" w14:paraId="07F44BF6" w14:textId="77777777" w:rsidTr="009056A3">
        <w:trPr>
          <w:cantSplit/>
          <w:trHeight w:val="284"/>
        </w:trPr>
        <w:tc>
          <w:tcPr>
            <w:tcW w:w="5000" w:type="pct"/>
            <w:gridSpan w:val="5"/>
            <w:shd w:val="clear" w:color="auto" w:fill="D6E3BC" w:themeFill="accent3" w:themeFillTint="66"/>
            <w:noWrap/>
            <w:vAlign w:val="center"/>
          </w:tcPr>
          <w:p w14:paraId="649D773D" w14:textId="77777777" w:rsidR="009072CE" w:rsidRPr="00A07F29" w:rsidRDefault="009072CE" w:rsidP="009072CE">
            <w:pPr>
              <w:spacing w:before="120" w:after="120"/>
              <w:contextualSpacing/>
              <w:jc w:val="center"/>
              <w:rPr>
                <w:rFonts w:ascii="Times New Roman" w:hAnsi="Times New Roman" w:cs="Times New Roman"/>
                <w:color w:val="000000"/>
                <w:sz w:val="20"/>
              </w:rPr>
            </w:pPr>
            <w:r w:rsidRPr="00A07F29">
              <w:rPr>
                <w:rFonts w:ascii="Times New Roman" w:hAnsi="Times New Roman" w:cs="Times New Roman"/>
                <w:b/>
                <w:spacing w:val="2"/>
                <w:sz w:val="20"/>
              </w:rPr>
              <w:t xml:space="preserve">Abinieki </w:t>
            </w:r>
            <w:proofErr w:type="spellStart"/>
            <w:r w:rsidRPr="00A07F29">
              <w:rPr>
                <w:rFonts w:ascii="Times New Roman" w:hAnsi="Times New Roman" w:cs="Times New Roman"/>
                <w:b/>
                <w:i/>
                <w:spacing w:val="2"/>
                <w:sz w:val="20"/>
              </w:rPr>
              <w:t>Amphibia</w:t>
            </w:r>
            <w:proofErr w:type="spellEnd"/>
          </w:p>
        </w:tc>
      </w:tr>
      <w:tr w:rsidR="009072CE" w:rsidRPr="00A07F29" w14:paraId="6540F436" w14:textId="77777777" w:rsidTr="009056A3">
        <w:trPr>
          <w:cantSplit/>
          <w:trHeight w:val="284"/>
        </w:trPr>
        <w:tc>
          <w:tcPr>
            <w:tcW w:w="5000" w:type="pct"/>
            <w:gridSpan w:val="5"/>
            <w:shd w:val="clear" w:color="auto" w:fill="D6E3BC" w:themeFill="accent3" w:themeFillTint="66"/>
            <w:noWrap/>
            <w:vAlign w:val="center"/>
          </w:tcPr>
          <w:p w14:paraId="4212C5F4" w14:textId="77777777" w:rsidR="009072CE" w:rsidRPr="00A07F29" w:rsidRDefault="009072CE" w:rsidP="009072CE">
            <w:pPr>
              <w:spacing w:before="120" w:after="120"/>
              <w:contextualSpacing/>
              <w:rPr>
                <w:rFonts w:ascii="Times New Roman" w:hAnsi="Times New Roman" w:cs="Times New Roman"/>
                <w:color w:val="000000"/>
                <w:sz w:val="20"/>
              </w:rPr>
            </w:pPr>
            <w:r w:rsidRPr="00A07F29">
              <w:rPr>
                <w:rFonts w:ascii="Times New Roman" w:hAnsi="Times New Roman" w:cs="Times New Roman"/>
                <w:b/>
                <w:spacing w:val="2"/>
                <w:sz w:val="20"/>
              </w:rPr>
              <w:t xml:space="preserve">Astainie abinieki </w:t>
            </w:r>
            <w:proofErr w:type="spellStart"/>
            <w:r w:rsidRPr="00A07F29">
              <w:rPr>
                <w:rFonts w:ascii="Times New Roman" w:hAnsi="Times New Roman" w:cs="Times New Roman"/>
                <w:b/>
                <w:i/>
                <w:spacing w:val="2"/>
                <w:sz w:val="20"/>
              </w:rPr>
              <w:t>Caudata</w:t>
            </w:r>
            <w:proofErr w:type="spellEnd"/>
          </w:p>
        </w:tc>
      </w:tr>
      <w:tr w:rsidR="009072CE" w:rsidRPr="00A07F29" w14:paraId="0E9AB00F" w14:textId="77777777" w:rsidTr="009056A3">
        <w:trPr>
          <w:cantSplit/>
          <w:trHeight w:val="284"/>
        </w:trPr>
        <w:tc>
          <w:tcPr>
            <w:tcW w:w="5000" w:type="pct"/>
            <w:gridSpan w:val="5"/>
            <w:shd w:val="clear" w:color="auto" w:fill="EAF1DD" w:themeFill="accent3" w:themeFillTint="33"/>
            <w:noWrap/>
            <w:vAlign w:val="center"/>
          </w:tcPr>
          <w:p w14:paraId="07E59BE7" w14:textId="77777777" w:rsidR="009072CE" w:rsidRPr="00A07F29" w:rsidRDefault="009072CE" w:rsidP="009072CE">
            <w:pPr>
              <w:spacing w:before="120" w:after="120"/>
              <w:contextualSpacing/>
              <w:rPr>
                <w:rFonts w:ascii="Times New Roman" w:hAnsi="Times New Roman" w:cs="Times New Roman"/>
                <w:color w:val="000000"/>
                <w:sz w:val="20"/>
              </w:rPr>
            </w:pPr>
            <w:r w:rsidRPr="00A07F29">
              <w:rPr>
                <w:rFonts w:ascii="Times New Roman" w:hAnsi="Times New Roman" w:cs="Times New Roman"/>
                <w:b/>
                <w:bCs/>
                <w:sz w:val="20"/>
              </w:rPr>
              <w:t>Salamandru dzimta</w:t>
            </w:r>
            <w:r w:rsidRPr="00A07F29">
              <w:rPr>
                <w:rFonts w:ascii="Times New Roman" w:hAnsi="Times New Roman" w:cs="Times New Roman"/>
                <w:b/>
                <w:sz w:val="20"/>
              </w:rPr>
              <w:t xml:space="preserve"> </w:t>
            </w:r>
            <w:proofErr w:type="spellStart"/>
            <w:r w:rsidRPr="00A07F29">
              <w:rPr>
                <w:rFonts w:ascii="Times New Roman" w:hAnsi="Times New Roman" w:cs="Times New Roman"/>
                <w:b/>
                <w:i/>
                <w:sz w:val="20"/>
              </w:rPr>
              <w:t>Salamandridae</w:t>
            </w:r>
            <w:proofErr w:type="spellEnd"/>
          </w:p>
        </w:tc>
      </w:tr>
      <w:tr w:rsidR="009072CE" w:rsidRPr="00A07F29" w14:paraId="10329DA0" w14:textId="77777777" w:rsidTr="009056A3">
        <w:trPr>
          <w:cantSplit/>
          <w:trHeight w:val="284"/>
        </w:trPr>
        <w:tc>
          <w:tcPr>
            <w:tcW w:w="854" w:type="pct"/>
            <w:shd w:val="clear" w:color="auto" w:fill="auto"/>
            <w:noWrap/>
          </w:tcPr>
          <w:p w14:paraId="5F60D955" w14:textId="77777777" w:rsidR="009072CE" w:rsidRPr="00A07F29" w:rsidRDefault="009072CE" w:rsidP="009072CE">
            <w:pPr>
              <w:spacing w:before="120" w:after="120"/>
              <w:contextualSpacing/>
              <w:rPr>
                <w:rFonts w:ascii="Times New Roman" w:hAnsi="Times New Roman" w:cs="Times New Roman"/>
                <w:sz w:val="20"/>
              </w:rPr>
            </w:pPr>
            <w:r w:rsidRPr="00A07F29">
              <w:rPr>
                <w:rFonts w:ascii="Times New Roman" w:hAnsi="Times New Roman" w:cs="Times New Roman"/>
                <w:sz w:val="20"/>
              </w:rPr>
              <w:t>Lielais tritons</w:t>
            </w:r>
          </w:p>
        </w:tc>
        <w:tc>
          <w:tcPr>
            <w:tcW w:w="1121" w:type="pct"/>
            <w:shd w:val="clear" w:color="auto" w:fill="auto"/>
            <w:noWrap/>
          </w:tcPr>
          <w:p w14:paraId="217E8053" w14:textId="77777777" w:rsidR="009072CE" w:rsidRPr="00A07F29" w:rsidRDefault="009072CE" w:rsidP="009072CE">
            <w:pPr>
              <w:spacing w:before="120" w:after="120"/>
              <w:contextualSpacing/>
              <w:rPr>
                <w:rFonts w:ascii="Times New Roman" w:hAnsi="Times New Roman" w:cs="Times New Roman"/>
                <w:i/>
                <w:sz w:val="20"/>
              </w:rPr>
            </w:pPr>
            <w:proofErr w:type="spellStart"/>
            <w:r w:rsidRPr="00A07F29">
              <w:rPr>
                <w:rFonts w:ascii="Times New Roman" w:hAnsi="Times New Roman" w:cs="Times New Roman"/>
                <w:i/>
                <w:sz w:val="20"/>
              </w:rPr>
              <w:t>Triturus</w:t>
            </w:r>
            <w:proofErr w:type="spellEnd"/>
            <w:r w:rsidRPr="00A07F29">
              <w:rPr>
                <w:rFonts w:ascii="Times New Roman" w:hAnsi="Times New Roman" w:cs="Times New Roman"/>
                <w:i/>
                <w:sz w:val="20"/>
              </w:rPr>
              <w:t xml:space="preserve"> </w:t>
            </w:r>
            <w:proofErr w:type="spellStart"/>
            <w:r w:rsidRPr="00A07F29">
              <w:rPr>
                <w:rFonts w:ascii="Times New Roman" w:hAnsi="Times New Roman" w:cs="Times New Roman"/>
                <w:i/>
                <w:sz w:val="20"/>
              </w:rPr>
              <w:t>cristatus</w:t>
            </w:r>
            <w:proofErr w:type="spellEnd"/>
            <w:r w:rsidRPr="00A07F29">
              <w:rPr>
                <w:rFonts w:ascii="Times New Roman" w:hAnsi="Times New Roman" w:cs="Times New Roman"/>
                <w:i/>
                <w:sz w:val="20"/>
              </w:rPr>
              <w:t xml:space="preserve"> (Laur.)</w:t>
            </w:r>
          </w:p>
        </w:tc>
        <w:tc>
          <w:tcPr>
            <w:tcW w:w="1080" w:type="pct"/>
            <w:shd w:val="clear" w:color="auto" w:fill="auto"/>
            <w:noWrap/>
          </w:tcPr>
          <w:p w14:paraId="0D0DBFF4" w14:textId="77777777" w:rsidR="009072CE" w:rsidRPr="00A07F29" w:rsidRDefault="009072CE" w:rsidP="009072CE">
            <w:pPr>
              <w:spacing w:before="120" w:after="120"/>
              <w:contextualSpacing/>
              <w:rPr>
                <w:rFonts w:ascii="Times New Roman" w:hAnsi="Times New Roman" w:cs="Times New Roman"/>
                <w:sz w:val="20"/>
              </w:rPr>
            </w:pPr>
            <w:r w:rsidRPr="00A07F29">
              <w:rPr>
                <w:rFonts w:ascii="Times New Roman" w:hAnsi="Times New Roman" w:cs="Times New Roman"/>
                <w:sz w:val="20"/>
              </w:rPr>
              <w:t>ĪAS</w:t>
            </w:r>
          </w:p>
          <w:p w14:paraId="6389B846" w14:textId="77777777" w:rsidR="009072CE" w:rsidRPr="00A07F29" w:rsidRDefault="009072CE" w:rsidP="009072CE">
            <w:pPr>
              <w:spacing w:before="120" w:after="120"/>
              <w:contextualSpacing/>
              <w:rPr>
                <w:rFonts w:ascii="Times New Roman" w:hAnsi="Times New Roman" w:cs="Times New Roman"/>
                <w:sz w:val="20"/>
              </w:rPr>
            </w:pPr>
            <w:r w:rsidRPr="00A07F29">
              <w:rPr>
                <w:rFonts w:ascii="Times New Roman" w:hAnsi="Times New Roman" w:cs="Times New Roman"/>
                <w:sz w:val="20"/>
              </w:rPr>
              <w:t>MLS</w:t>
            </w:r>
          </w:p>
        </w:tc>
        <w:tc>
          <w:tcPr>
            <w:tcW w:w="914" w:type="pct"/>
            <w:shd w:val="clear" w:color="auto" w:fill="auto"/>
            <w:noWrap/>
          </w:tcPr>
          <w:p w14:paraId="356F3DF5" w14:textId="7658C25A" w:rsidR="009072CE" w:rsidRPr="00A07F29" w:rsidRDefault="00800DC2" w:rsidP="009072CE">
            <w:pPr>
              <w:spacing w:before="120" w:after="120"/>
              <w:contextualSpacing/>
              <w:rPr>
                <w:rFonts w:ascii="Times New Roman" w:hAnsi="Times New Roman" w:cs="Times New Roman"/>
                <w:color w:val="000000"/>
                <w:sz w:val="20"/>
              </w:rPr>
            </w:pPr>
            <w:r>
              <w:rPr>
                <w:rFonts w:ascii="Times New Roman" w:hAnsi="Times New Roman" w:cs="Times New Roman"/>
                <w:color w:val="000000"/>
                <w:sz w:val="20"/>
              </w:rPr>
              <w:t>L</w:t>
            </w:r>
            <w:r w:rsidR="009072CE" w:rsidRPr="00A07F29">
              <w:rPr>
                <w:rFonts w:ascii="Times New Roman" w:hAnsi="Times New Roman" w:cs="Times New Roman"/>
                <w:color w:val="000000"/>
                <w:sz w:val="20"/>
              </w:rPr>
              <w:t>SG 2</w:t>
            </w:r>
          </w:p>
          <w:p w14:paraId="07A8A265" w14:textId="617DF2C9" w:rsidR="009072CE" w:rsidRPr="00A07F29" w:rsidRDefault="00E40F9E" w:rsidP="009072CE">
            <w:pPr>
              <w:spacing w:before="120" w:after="120"/>
              <w:contextualSpacing/>
              <w:rPr>
                <w:rFonts w:ascii="Times New Roman" w:hAnsi="Times New Roman" w:cs="Times New Roman"/>
                <w:color w:val="000000"/>
                <w:sz w:val="20"/>
              </w:rPr>
            </w:pPr>
            <w:r>
              <w:rPr>
                <w:rFonts w:ascii="Times New Roman" w:hAnsi="Times New Roman" w:cs="Times New Roman"/>
                <w:color w:val="000000"/>
                <w:sz w:val="20"/>
              </w:rPr>
              <w:t>B</w:t>
            </w:r>
            <w:r w:rsidR="009072CE" w:rsidRPr="00A07F29">
              <w:rPr>
                <w:rFonts w:ascii="Times New Roman" w:hAnsi="Times New Roman" w:cs="Times New Roman"/>
                <w:color w:val="000000"/>
                <w:sz w:val="20"/>
              </w:rPr>
              <w:t>D II; IV</w:t>
            </w:r>
          </w:p>
          <w:p w14:paraId="6B6AAD9E" w14:textId="47700AA9" w:rsidR="009072CE" w:rsidRPr="00A07F29" w:rsidRDefault="009072CE" w:rsidP="009072CE">
            <w:pPr>
              <w:spacing w:before="120" w:after="120"/>
              <w:contextualSpacing/>
              <w:rPr>
                <w:rFonts w:ascii="Times New Roman" w:hAnsi="Times New Roman" w:cs="Times New Roman"/>
                <w:color w:val="000000"/>
                <w:sz w:val="20"/>
              </w:rPr>
            </w:pPr>
            <w:r w:rsidRPr="00A07F29">
              <w:rPr>
                <w:rFonts w:ascii="Times New Roman" w:hAnsi="Times New Roman" w:cs="Times New Roman"/>
                <w:color w:val="000000"/>
                <w:sz w:val="20"/>
              </w:rPr>
              <w:t>B</w:t>
            </w:r>
            <w:r w:rsidR="00686D57">
              <w:rPr>
                <w:rFonts w:ascii="Times New Roman" w:hAnsi="Times New Roman" w:cs="Times New Roman"/>
                <w:color w:val="000000"/>
                <w:sz w:val="20"/>
              </w:rPr>
              <w:t>erne</w:t>
            </w:r>
            <w:r w:rsidRPr="00A07F29">
              <w:rPr>
                <w:rFonts w:ascii="Times New Roman" w:hAnsi="Times New Roman" w:cs="Times New Roman"/>
                <w:color w:val="000000"/>
                <w:sz w:val="20"/>
              </w:rPr>
              <w:t xml:space="preserve"> II</w:t>
            </w:r>
          </w:p>
          <w:p w14:paraId="769377B0" w14:textId="77777777" w:rsidR="009072CE" w:rsidRPr="00A07F29" w:rsidRDefault="009072CE" w:rsidP="009072CE">
            <w:pPr>
              <w:spacing w:before="120" w:after="120"/>
              <w:contextualSpacing/>
              <w:rPr>
                <w:rFonts w:ascii="Times New Roman" w:hAnsi="Times New Roman" w:cs="Times New Roman"/>
                <w:color w:val="000000"/>
                <w:sz w:val="20"/>
              </w:rPr>
            </w:pPr>
            <w:r w:rsidRPr="00A07F29">
              <w:rPr>
                <w:rFonts w:ascii="Times New Roman" w:hAnsi="Times New Roman" w:cs="Times New Roman"/>
                <w:color w:val="000000"/>
                <w:sz w:val="20"/>
              </w:rPr>
              <w:t>IUCN 3.1</w:t>
            </w:r>
          </w:p>
        </w:tc>
        <w:tc>
          <w:tcPr>
            <w:tcW w:w="1031" w:type="pct"/>
            <w:shd w:val="clear" w:color="auto" w:fill="auto"/>
          </w:tcPr>
          <w:p w14:paraId="12638D5B" w14:textId="77777777" w:rsidR="009072CE" w:rsidRPr="00A07F29" w:rsidRDefault="009072CE" w:rsidP="009072CE">
            <w:pPr>
              <w:spacing w:before="120" w:after="120"/>
              <w:contextualSpacing/>
              <w:rPr>
                <w:rFonts w:ascii="Times New Roman" w:hAnsi="Times New Roman" w:cs="Times New Roman"/>
                <w:color w:val="000000"/>
                <w:sz w:val="20"/>
              </w:rPr>
            </w:pPr>
            <w:r w:rsidRPr="00A07F29">
              <w:rPr>
                <w:rFonts w:ascii="Times New Roman" w:hAnsi="Times New Roman" w:cs="Times New Roman"/>
                <w:color w:val="000000"/>
                <w:sz w:val="20"/>
              </w:rPr>
              <w:t>U1x</w:t>
            </w:r>
          </w:p>
        </w:tc>
      </w:tr>
      <w:tr w:rsidR="009072CE" w:rsidRPr="00A07F29" w14:paraId="216C27E3" w14:textId="77777777" w:rsidTr="009056A3">
        <w:trPr>
          <w:cantSplit/>
          <w:trHeight w:val="284"/>
        </w:trPr>
        <w:tc>
          <w:tcPr>
            <w:tcW w:w="5000" w:type="pct"/>
            <w:gridSpan w:val="5"/>
            <w:shd w:val="clear" w:color="auto" w:fill="D6E3BC" w:themeFill="accent3" w:themeFillTint="66"/>
            <w:noWrap/>
            <w:vAlign w:val="center"/>
          </w:tcPr>
          <w:p w14:paraId="00D5B422" w14:textId="77777777" w:rsidR="009072CE" w:rsidRPr="00A07F29" w:rsidRDefault="009072CE" w:rsidP="009072CE">
            <w:pPr>
              <w:spacing w:before="120" w:after="120"/>
              <w:contextualSpacing/>
              <w:rPr>
                <w:rFonts w:ascii="Times New Roman" w:hAnsi="Times New Roman" w:cs="Times New Roman"/>
                <w:color w:val="000000"/>
                <w:sz w:val="20"/>
              </w:rPr>
            </w:pPr>
            <w:r w:rsidRPr="00A07F29">
              <w:rPr>
                <w:rFonts w:ascii="Times New Roman" w:hAnsi="Times New Roman" w:cs="Times New Roman"/>
                <w:b/>
                <w:spacing w:val="2"/>
                <w:sz w:val="20"/>
              </w:rPr>
              <w:t xml:space="preserve">Bezastainie abinieki </w:t>
            </w:r>
            <w:proofErr w:type="spellStart"/>
            <w:r w:rsidRPr="00A07F29">
              <w:rPr>
                <w:rFonts w:ascii="Times New Roman" w:hAnsi="Times New Roman" w:cs="Times New Roman"/>
                <w:b/>
                <w:i/>
                <w:spacing w:val="2"/>
                <w:sz w:val="20"/>
              </w:rPr>
              <w:t>Anura</w:t>
            </w:r>
            <w:proofErr w:type="spellEnd"/>
          </w:p>
        </w:tc>
      </w:tr>
      <w:tr w:rsidR="009072CE" w:rsidRPr="00A07F29" w14:paraId="1D19D16C" w14:textId="77777777" w:rsidTr="009056A3">
        <w:trPr>
          <w:cantSplit/>
          <w:trHeight w:val="284"/>
        </w:trPr>
        <w:tc>
          <w:tcPr>
            <w:tcW w:w="5000" w:type="pct"/>
            <w:gridSpan w:val="5"/>
            <w:shd w:val="clear" w:color="auto" w:fill="EAF1DD" w:themeFill="accent3" w:themeFillTint="33"/>
            <w:noWrap/>
            <w:vAlign w:val="center"/>
          </w:tcPr>
          <w:p w14:paraId="4D42F766" w14:textId="77777777" w:rsidR="009072CE" w:rsidRPr="00A07F29" w:rsidRDefault="009072CE" w:rsidP="009072CE">
            <w:pPr>
              <w:spacing w:before="120" w:after="120"/>
              <w:contextualSpacing/>
              <w:rPr>
                <w:rFonts w:ascii="Times New Roman" w:hAnsi="Times New Roman" w:cs="Times New Roman"/>
                <w:color w:val="000000"/>
                <w:sz w:val="20"/>
              </w:rPr>
            </w:pPr>
            <w:proofErr w:type="spellStart"/>
            <w:r w:rsidRPr="00A07F29">
              <w:rPr>
                <w:rFonts w:ascii="Times New Roman" w:hAnsi="Times New Roman" w:cs="Times New Roman"/>
                <w:b/>
                <w:bCs/>
                <w:sz w:val="20"/>
              </w:rPr>
              <w:t>Ugunskrupju</w:t>
            </w:r>
            <w:proofErr w:type="spellEnd"/>
            <w:r w:rsidRPr="00A07F29">
              <w:rPr>
                <w:rFonts w:ascii="Times New Roman" w:hAnsi="Times New Roman" w:cs="Times New Roman"/>
                <w:b/>
                <w:bCs/>
                <w:sz w:val="20"/>
              </w:rPr>
              <w:t xml:space="preserve"> dzimta</w:t>
            </w:r>
            <w:r w:rsidRPr="00A07F29">
              <w:rPr>
                <w:rFonts w:ascii="Times New Roman" w:hAnsi="Times New Roman" w:cs="Times New Roman"/>
                <w:b/>
                <w:bCs/>
                <w:i/>
                <w:sz w:val="20"/>
              </w:rPr>
              <w:t xml:space="preserve"> </w:t>
            </w:r>
            <w:proofErr w:type="spellStart"/>
            <w:r w:rsidRPr="00A07F29">
              <w:rPr>
                <w:rFonts w:ascii="Times New Roman" w:hAnsi="Times New Roman" w:cs="Times New Roman"/>
                <w:b/>
                <w:bCs/>
                <w:i/>
                <w:sz w:val="20"/>
              </w:rPr>
              <w:t>Bombinatoridae</w:t>
            </w:r>
            <w:proofErr w:type="spellEnd"/>
          </w:p>
        </w:tc>
      </w:tr>
      <w:tr w:rsidR="009072CE" w:rsidRPr="00A07F29" w14:paraId="5CB4870D" w14:textId="77777777" w:rsidTr="009056A3">
        <w:trPr>
          <w:cantSplit/>
          <w:trHeight w:val="284"/>
        </w:trPr>
        <w:tc>
          <w:tcPr>
            <w:tcW w:w="854" w:type="pct"/>
            <w:shd w:val="clear" w:color="auto" w:fill="auto"/>
            <w:noWrap/>
          </w:tcPr>
          <w:p w14:paraId="0283D170" w14:textId="77777777" w:rsidR="009072CE" w:rsidRPr="00A07F29" w:rsidRDefault="009072CE" w:rsidP="009072CE">
            <w:pPr>
              <w:spacing w:before="120" w:after="120"/>
              <w:contextualSpacing/>
              <w:rPr>
                <w:rFonts w:ascii="Times New Roman" w:hAnsi="Times New Roman" w:cs="Times New Roman"/>
                <w:color w:val="000000"/>
                <w:sz w:val="20"/>
              </w:rPr>
            </w:pPr>
            <w:proofErr w:type="spellStart"/>
            <w:r w:rsidRPr="00A07F29">
              <w:rPr>
                <w:rFonts w:ascii="Times New Roman" w:hAnsi="Times New Roman" w:cs="Times New Roman"/>
                <w:spacing w:val="-1"/>
                <w:sz w:val="20"/>
              </w:rPr>
              <w:t>Sarkanvēdera</w:t>
            </w:r>
            <w:proofErr w:type="spellEnd"/>
            <w:r w:rsidRPr="00A07F29">
              <w:rPr>
                <w:rFonts w:ascii="Times New Roman" w:hAnsi="Times New Roman" w:cs="Times New Roman"/>
                <w:spacing w:val="-1"/>
                <w:sz w:val="20"/>
              </w:rPr>
              <w:t xml:space="preserve"> </w:t>
            </w:r>
            <w:proofErr w:type="spellStart"/>
            <w:r w:rsidRPr="00A07F29">
              <w:rPr>
                <w:rFonts w:ascii="Times New Roman" w:hAnsi="Times New Roman" w:cs="Times New Roman"/>
                <w:spacing w:val="-1"/>
                <w:sz w:val="20"/>
              </w:rPr>
              <w:t>ugunskrupis</w:t>
            </w:r>
            <w:proofErr w:type="spellEnd"/>
          </w:p>
        </w:tc>
        <w:tc>
          <w:tcPr>
            <w:tcW w:w="1121" w:type="pct"/>
            <w:shd w:val="clear" w:color="auto" w:fill="auto"/>
            <w:noWrap/>
          </w:tcPr>
          <w:p w14:paraId="160667D1" w14:textId="77777777" w:rsidR="009072CE" w:rsidRPr="00A07F29" w:rsidRDefault="009072CE" w:rsidP="009072CE">
            <w:pPr>
              <w:spacing w:before="120" w:after="120"/>
              <w:contextualSpacing/>
              <w:rPr>
                <w:rFonts w:ascii="Times New Roman" w:hAnsi="Times New Roman" w:cs="Times New Roman"/>
                <w:i/>
                <w:iCs/>
                <w:color w:val="000000"/>
                <w:sz w:val="20"/>
              </w:rPr>
            </w:pPr>
            <w:proofErr w:type="spellStart"/>
            <w:r w:rsidRPr="00A07F29">
              <w:rPr>
                <w:rFonts w:ascii="Times New Roman" w:hAnsi="Times New Roman" w:cs="Times New Roman"/>
                <w:i/>
                <w:sz w:val="20"/>
              </w:rPr>
              <w:t>Bombina</w:t>
            </w:r>
            <w:proofErr w:type="spellEnd"/>
            <w:r w:rsidRPr="00A07F29">
              <w:rPr>
                <w:rFonts w:ascii="Times New Roman" w:hAnsi="Times New Roman" w:cs="Times New Roman"/>
                <w:i/>
                <w:sz w:val="20"/>
              </w:rPr>
              <w:t xml:space="preserve"> </w:t>
            </w:r>
            <w:proofErr w:type="spellStart"/>
            <w:r w:rsidRPr="00A07F29">
              <w:rPr>
                <w:rFonts w:ascii="Times New Roman" w:hAnsi="Times New Roman" w:cs="Times New Roman"/>
                <w:i/>
                <w:sz w:val="20"/>
              </w:rPr>
              <w:t>bombina</w:t>
            </w:r>
            <w:proofErr w:type="spellEnd"/>
            <w:r w:rsidRPr="00A07F29">
              <w:rPr>
                <w:rFonts w:ascii="Times New Roman" w:hAnsi="Times New Roman" w:cs="Times New Roman"/>
                <w:i/>
                <w:sz w:val="20"/>
              </w:rPr>
              <w:t xml:space="preserve"> (L.)</w:t>
            </w:r>
          </w:p>
        </w:tc>
        <w:tc>
          <w:tcPr>
            <w:tcW w:w="1080" w:type="pct"/>
            <w:shd w:val="clear" w:color="auto" w:fill="auto"/>
            <w:noWrap/>
          </w:tcPr>
          <w:p w14:paraId="0EC98443" w14:textId="77777777" w:rsidR="009072CE" w:rsidRPr="00A07F29" w:rsidRDefault="009072CE" w:rsidP="009072CE">
            <w:pPr>
              <w:spacing w:before="120" w:after="120"/>
              <w:contextualSpacing/>
              <w:rPr>
                <w:rFonts w:ascii="Times New Roman" w:hAnsi="Times New Roman" w:cs="Times New Roman"/>
                <w:sz w:val="20"/>
              </w:rPr>
            </w:pPr>
            <w:r w:rsidRPr="00A07F29">
              <w:rPr>
                <w:rFonts w:ascii="Times New Roman" w:hAnsi="Times New Roman" w:cs="Times New Roman"/>
                <w:sz w:val="20"/>
              </w:rPr>
              <w:t>ĪAS</w:t>
            </w:r>
          </w:p>
          <w:p w14:paraId="63E3C5D2" w14:textId="77777777" w:rsidR="009072CE" w:rsidRPr="00A07F29" w:rsidRDefault="009072CE" w:rsidP="009072CE">
            <w:pPr>
              <w:spacing w:before="120" w:after="120"/>
              <w:contextualSpacing/>
              <w:rPr>
                <w:rFonts w:ascii="Times New Roman" w:hAnsi="Times New Roman" w:cs="Times New Roman"/>
                <w:sz w:val="20"/>
              </w:rPr>
            </w:pPr>
            <w:r w:rsidRPr="00A07F29">
              <w:rPr>
                <w:rFonts w:ascii="Times New Roman" w:hAnsi="Times New Roman" w:cs="Times New Roman"/>
                <w:sz w:val="20"/>
              </w:rPr>
              <w:t>MLS</w:t>
            </w:r>
          </w:p>
          <w:p w14:paraId="3428EE12" w14:textId="77777777" w:rsidR="009072CE" w:rsidRPr="00A07F29" w:rsidRDefault="009072CE" w:rsidP="009072CE">
            <w:pPr>
              <w:spacing w:before="120" w:after="120"/>
              <w:contextualSpacing/>
              <w:rPr>
                <w:rFonts w:ascii="Times New Roman" w:hAnsi="Times New Roman" w:cs="Times New Roman"/>
                <w:color w:val="000000"/>
                <w:sz w:val="20"/>
              </w:rPr>
            </w:pPr>
          </w:p>
        </w:tc>
        <w:tc>
          <w:tcPr>
            <w:tcW w:w="914" w:type="pct"/>
            <w:shd w:val="clear" w:color="auto" w:fill="auto"/>
            <w:noWrap/>
          </w:tcPr>
          <w:p w14:paraId="2141E7C8" w14:textId="4624FF5D" w:rsidR="009072CE" w:rsidRPr="00A07F29" w:rsidRDefault="00800DC2" w:rsidP="009072CE">
            <w:pPr>
              <w:spacing w:before="120" w:after="120"/>
              <w:contextualSpacing/>
              <w:rPr>
                <w:rFonts w:ascii="Times New Roman" w:hAnsi="Times New Roman" w:cs="Times New Roman"/>
                <w:sz w:val="20"/>
              </w:rPr>
            </w:pPr>
            <w:r>
              <w:rPr>
                <w:rFonts w:ascii="Times New Roman" w:hAnsi="Times New Roman" w:cs="Times New Roman"/>
                <w:sz w:val="20"/>
              </w:rPr>
              <w:t>L</w:t>
            </w:r>
            <w:r w:rsidR="009072CE" w:rsidRPr="00A07F29">
              <w:rPr>
                <w:rFonts w:ascii="Times New Roman" w:hAnsi="Times New Roman" w:cs="Times New Roman"/>
                <w:sz w:val="20"/>
              </w:rPr>
              <w:t>SG 1</w:t>
            </w:r>
          </w:p>
          <w:p w14:paraId="7865A2D1" w14:textId="71B391BE" w:rsidR="009072CE" w:rsidRPr="00A07F29" w:rsidRDefault="00E40F9E" w:rsidP="009072CE">
            <w:pPr>
              <w:spacing w:before="120" w:after="120"/>
              <w:contextualSpacing/>
              <w:rPr>
                <w:rFonts w:ascii="Times New Roman" w:hAnsi="Times New Roman" w:cs="Times New Roman"/>
                <w:sz w:val="20"/>
              </w:rPr>
            </w:pPr>
            <w:r>
              <w:rPr>
                <w:rFonts w:ascii="Times New Roman" w:hAnsi="Times New Roman" w:cs="Times New Roman"/>
                <w:sz w:val="20"/>
              </w:rPr>
              <w:t>B</w:t>
            </w:r>
            <w:r w:rsidR="009072CE" w:rsidRPr="00A07F29">
              <w:rPr>
                <w:rFonts w:ascii="Times New Roman" w:hAnsi="Times New Roman" w:cs="Times New Roman"/>
                <w:sz w:val="20"/>
              </w:rPr>
              <w:t>D II;IV</w:t>
            </w:r>
          </w:p>
          <w:p w14:paraId="6E2430D9" w14:textId="1A31C02A" w:rsidR="009072CE" w:rsidRPr="00A07F29" w:rsidRDefault="009072CE" w:rsidP="009072CE">
            <w:pPr>
              <w:spacing w:before="120" w:after="120"/>
              <w:contextualSpacing/>
              <w:rPr>
                <w:rFonts w:ascii="Times New Roman" w:hAnsi="Times New Roman" w:cs="Times New Roman"/>
                <w:sz w:val="20"/>
              </w:rPr>
            </w:pPr>
            <w:r w:rsidRPr="00A07F29">
              <w:rPr>
                <w:rFonts w:ascii="Times New Roman" w:hAnsi="Times New Roman" w:cs="Times New Roman"/>
                <w:sz w:val="20"/>
              </w:rPr>
              <w:t>B</w:t>
            </w:r>
            <w:r w:rsidR="00686D57">
              <w:rPr>
                <w:rFonts w:ascii="Times New Roman" w:hAnsi="Times New Roman" w:cs="Times New Roman"/>
                <w:sz w:val="20"/>
              </w:rPr>
              <w:t>erne</w:t>
            </w:r>
            <w:r w:rsidRPr="00A07F29">
              <w:rPr>
                <w:rFonts w:ascii="Times New Roman" w:hAnsi="Times New Roman" w:cs="Times New Roman"/>
                <w:sz w:val="20"/>
              </w:rPr>
              <w:t xml:space="preserve"> II </w:t>
            </w:r>
          </w:p>
          <w:p w14:paraId="7D72D7A9" w14:textId="77777777" w:rsidR="009072CE" w:rsidRPr="00A07F29" w:rsidRDefault="009072CE" w:rsidP="009072CE">
            <w:pPr>
              <w:spacing w:before="120" w:after="120"/>
              <w:contextualSpacing/>
              <w:rPr>
                <w:rFonts w:ascii="Times New Roman" w:hAnsi="Times New Roman" w:cs="Times New Roman"/>
                <w:color w:val="000000"/>
                <w:sz w:val="20"/>
              </w:rPr>
            </w:pPr>
            <w:r w:rsidRPr="00A07F29">
              <w:rPr>
                <w:rFonts w:ascii="Times New Roman" w:hAnsi="Times New Roman" w:cs="Times New Roman"/>
                <w:color w:val="000000"/>
              </w:rPr>
              <w:t>IUCN 3.1</w:t>
            </w:r>
          </w:p>
        </w:tc>
        <w:tc>
          <w:tcPr>
            <w:tcW w:w="1031" w:type="pct"/>
          </w:tcPr>
          <w:p w14:paraId="39C85EB6" w14:textId="77777777" w:rsidR="009072CE" w:rsidRPr="00A07F29" w:rsidRDefault="009072CE" w:rsidP="009072CE">
            <w:pPr>
              <w:spacing w:before="120" w:after="120"/>
              <w:contextualSpacing/>
              <w:rPr>
                <w:rFonts w:ascii="Times New Roman" w:hAnsi="Times New Roman" w:cs="Times New Roman"/>
                <w:sz w:val="20"/>
              </w:rPr>
            </w:pPr>
            <w:r w:rsidRPr="00A07F29">
              <w:rPr>
                <w:rFonts w:ascii="Times New Roman" w:hAnsi="Times New Roman" w:cs="Times New Roman"/>
                <w:sz w:val="20"/>
              </w:rPr>
              <w:t>U1x</w:t>
            </w:r>
          </w:p>
          <w:p w14:paraId="56E650BF" w14:textId="77777777" w:rsidR="009072CE" w:rsidRPr="00A07F29" w:rsidRDefault="009072CE" w:rsidP="009072CE">
            <w:pPr>
              <w:spacing w:before="120" w:after="120"/>
              <w:contextualSpacing/>
              <w:rPr>
                <w:rFonts w:ascii="Times New Roman" w:hAnsi="Times New Roman" w:cs="Times New Roman"/>
                <w:sz w:val="20"/>
              </w:rPr>
            </w:pPr>
          </w:p>
        </w:tc>
      </w:tr>
      <w:tr w:rsidR="009072CE" w:rsidRPr="00A07F29" w14:paraId="6F301E95" w14:textId="77777777" w:rsidTr="009056A3">
        <w:trPr>
          <w:cantSplit/>
          <w:trHeight w:val="284"/>
        </w:trPr>
        <w:tc>
          <w:tcPr>
            <w:tcW w:w="5000" w:type="pct"/>
            <w:gridSpan w:val="5"/>
            <w:shd w:val="clear" w:color="auto" w:fill="EAF1DD" w:themeFill="accent3" w:themeFillTint="33"/>
            <w:noWrap/>
            <w:vAlign w:val="center"/>
          </w:tcPr>
          <w:p w14:paraId="14ADEB7F" w14:textId="77777777" w:rsidR="009072CE" w:rsidRPr="00A07F29" w:rsidRDefault="009072CE" w:rsidP="009072CE">
            <w:pPr>
              <w:spacing w:before="120" w:after="120"/>
              <w:contextualSpacing/>
              <w:rPr>
                <w:rFonts w:ascii="Times New Roman" w:hAnsi="Times New Roman" w:cs="Times New Roman"/>
                <w:color w:val="000000"/>
                <w:sz w:val="20"/>
              </w:rPr>
            </w:pPr>
            <w:proofErr w:type="spellStart"/>
            <w:r w:rsidRPr="00A07F29">
              <w:rPr>
                <w:rFonts w:ascii="Times New Roman" w:hAnsi="Times New Roman" w:cs="Times New Roman"/>
                <w:b/>
                <w:bCs/>
                <w:sz w:val="20"/>
              </w:rPr>
              <w:t>Varžukrupju</w:t>
            </w:r>
            <w:proofErr w:type="spellEnd"/>
            <w:r w:rsidRPr="00A07F29">
              <w:rPr>
                <w:rFonts w:ascii="Times New Roman" w:hAnsi="Times New Roman" w:cs="Times New Roman"/>
                <w:b/>
                <w:bCs/>
                <w:sz w:val="20"/>
              </w:rPr>
              <w:t xml:space="preserve"> dzimta </w:t>
            </w:r>
            <w:proofErr w:type="spellStart"/>
            <w:r w:rsidRPr="00A07F29">
              <w:rPr>
                <w:rFonts w:ascii="Times New Roman" w:hAnsi="Times New Roman" w:cs="Times New Roman"/>
                <w:b/>
                <w:bCs/>
                <w:i/>
                <w:sz w:val="20"/>
              </w:rPr>
              <w:t>Pelobatidae</w:t>
            </w:r>
            <w:proofErr w:type="spellEnd"/>
          </w:p>
        </w:tc>
      </w:tr>
      <w:tr w:rsidR="009072CE" w:rsidRPr="00A07F29" w14:paraId="4F788D75" w14:textId="77777777" w:rsidTr="009056A3">
        <w:trPr>
          <w:cantSplit/>
          <w:trHeight w:val="284"/>
        </w:trPr>
        <w:tc>
          <w:tcPr>
            <w:tcW w:w="854" w:type="pct"/>
            <w:shd w:val="clear" w:color="auto" w:fill="auto"/>
            <w:noWrap/>
          </w:tcPr>
          <w:p w14:paraId="241223DB" w14:textId="77777777" w:rsidR="009072CE" w:rsidRPr="00A07F29" w:rsidRDefault="009072CE" w:rsidP="009072CE">
            <w:pPr>
              <w:spacing w:before="120" w:after="120"/>
              <w:contextualSpacing/>
              <w:rPr>
                <w:rFonts w:ascii="Times New Roman" w:hAnsi="Times New Roman" w:cs="Times New Roman"/>
                <w:spacing w:val="-1"/>
                <w:sz w:val="20"/>
              </w:rPr>
            </w:pPr>
            <w:r w:rsidRPr="00A07F29">
              <w:rPr>
                <w:rFonts w:ascii="Times New Roman" w:hAnsi="Times New Roman" w:cs="Times New Roman"/>
                <w:spacing w:val="-1"/>
                <w:sz w:val="20"/>
              </w:rPr>
              <w:t xml:space="preserve">Brūnais </w:t>
            </w:r>
            <w:proofErr w:type="spellStart"/>
            <w:r w:rsidRPr="00A07F29">
              <w:rPr>
                <w:rFonts w:ascii="Times New Roman" w:hAnsi="Times New Roman" w:cs="Times New Roman"/>
                <w:spacing w:val="-1"/>
                <w:sz w:val="20"/>
              </w:rPr>
              <w:t>varžukrupis</w:t>
            </w:r>
            <w:proofErr w:type="spellEnd"/>
          </w:p>
        </w:tc>
        <w:tc>
          <w:tcPr>
            <w:tcW w:w="1121" w:type="pct"/>
            <w:shd w:val="clear" w:color="auto" w:fill="auto"/>
            <w:noWrap/>
          </w:tcPr>
          <w:p w14:paraId="66F6476C" w14:textId="77777777" w:rsidR="009072CE" w:rsidRPr="00A07F29" w:rsidRDefault="009072CE" w:rsidP="009072CE">
            <w:pPr>
              <w:spacing w:before="120" w:after="120"/>
              <w:contextualSpacing/>
              <w:rPr>
                <w:rFonts w:ascii="Times New Roman" w:hAnsi="Times New Roman" w:cs="Times New Roman"/>
                <w:i/>
                <w:sz w:val="20"/>
              </w:rPr>
            </w:pPr>
            <w:proofErr w:type="spellStart"/>
            <w:r w:rsidRPr="00A07F29">
              <w:rPr>
                <w:rFonts w:ascii="Times New Roman" w:hAnsi="Times New Roman" w:cs="Times New Roman"/>
                <w:i/>
                <w:sz w:val="20"/>
              </w:rPr>
              <w:t>Pelobates</w:t>
            </w:r>
            <w:proofErr w:type="spellEnd"/>
            <w:r w:rsidRPr="00A07F29">
              <w:rPr>
                <w:rFonts w:ascii="Times New Roman" w:hAnsi="Times New Roman" w:cs="Times New Roman"/>
                <w:i/>
                <w:sz w:val="20"/>
              </w:rPr>
              <w:t xml:space="preserve"> </w:t>
            </w:r>
            <w:proofErr w:type="spellStart"/>
            <w:r w:rsidRPr="00A07F29">
              <w:rPr>
                <w:rFonts w:ascii="Times New Roman" w:hAnsi="Times New Roman" w:cs="Times New Roman"/>
                <w:i/>
                <w:sz w:val="20"/>
              </w:rPr>
              <w:t>fuscus</w:t>
            </w:r>
            <w:proofErr w:type="spellEnd"/>
            <w:r w:rsidRPr="00A07F29">
              <w:rPr>
                <w:rFonts w:ascii="Times New Roman" w:hAnsi="Times New Roman" w:cs="Times New Roman"/>
                <w:i/>
                <w:sz w:val="20"/>
              </w:rPr>
              <w:t xml:space="preserve"> (Laur.)</w:t>
            </w:r>
          </w:p>
        </w:tc>
        <w:tc>
          <w:tcPr>
            <w:tcW w:w="1080" w:type="pct"/>
            <w:shd w:val="clear" w:color="auto" w:fill="auto"/>
            <w:noWrap/>
          </w:tcPr>
          <w:p w14:paraId="111EE349" w14:textId="77777777" w:rsidR="009072CE" w:rsidRPr="00A07F29" w:rsidRDefault="009072CE" w:rsidP="009072CE">
            <w:pPr>
              <w:spacing w:before="120" w:after="120"/>
              <w:contextualSpacing/>
              <w:rPr>
                <w:rFonts w:ascii="Times New Roman" w:hAnsi="Times New Roman" w:cs="Times New Roman"/>
                <w:sz w:val="20"/>
              </w:rPr>
            </w:pPr>
            <w:r w:rsidRPr="00A07F29">
              <w:rPr>
                <w:rFonts w:ascii="Times New Roman" w:hAnsi="Times New Roman" w:cs="Times New Roman"/>
                <w:sz w:val="20"/>
              </w:rPr>
              <w:t>ĪAS</w:t>
            </w:r>
          </w:p>
        </w:tc>
        <w:tc>
          <w:tcPr>
            <w:tcW w:w="914" w:type="pct"/>
            <w:shd w:val="clear" w:color="auto" w:fill="auto"/>
            <w:noWrap/>
          </w:tcPr>
          <w:p w14:paraId="69023452" w14:textId="1465789E" w:rsidR="009072CE" w:rsidRPr="00A07F29" w:rsidRDefault="00800DC2" w:rsidP="009072CE">
            <w:pPr>
              <w:spacing w:before="120" w:after="120"/>
              <w:contextualSpacing/>
              <w:rPr>
                <w:rFonts w:ascii="Times New Roman" w:hAnsi="Times New Roman" w:cs="Times New Roman"/>
                <w:sz w:val="20"/>
              </w:rPr>
            </w:pPr>
            <w:r>
              <w:rPr>
                <w:rFonts w:ascii="Times New Roman" w:hAnsi="Times New Roman" w:cs="Times New Roman"/>
                <w:sz w:val="20"/>
              </w:rPr>
              <w:t>L</w:t>
            </w:r>
            <w:r w:rsidR="009072CE" w:rsidRPr="00A07F29">
              <w:rPr>
                <w:rFonts w:ascii="Times New Roman" w:hAnsi="Times New Roman" w:cs="Times New Roman"/>
                <w:sz w:val="20"/>
              </w:rPr>
              <w:t>SG 4</w:t>
            </w:r>
          </w:p>
          <w:p w14:paraId="149E0E99" w14:textId="2917C5F5" w:rsidR="009072CE" w:rsidRPr="00A07F29" w:rsidRDefault="00E40F9E" w:rsidP="009072CE">
            <w:pPr>
              <w:spacing w:before="120" w:after="120"/>
              <w:contextualSpacing/>
              <w:rPr>
                <w:rFonts w:ascii="Times New Roman" w:hAnsi="Times New Roman" w:cs="Times New Roman"/>
                <w:sz w:val="20"/>
              </w:rPr>
            </w:pPr>
            <w:r>
              <w:rPr>
                <w:rFonts w:ascii="Times New Roman" w:hAnsi="Times New Roman" w:cs="Times New Roman"/>
                <w:sz w:val="20"/>
              </w:rPr>
              <w:t>B</w:t>
            </w:r>
            <w:r w:rsidR="009072CE" w:rsidRPr="00A07F29">
              <w:rPr>
                <w:rFonts w:ascii="Times New Roman" w:hAnsi="Times New Roman" w:cs="Times New Roman"/>
                <w:sz w:val="20"/>
              </w:rPr>
              <w:t>D IV</w:t>
            </w:r>
          </w:p>
          <w:p w14:paraId="0EA2D123" w14:textId="071CE492" w:rsidR="009072CE" w:rsidRPr="00A07F29" w:rsidRDefault="009072CE" w:rsidP="009072CE">
            <w:pPr>
              <w:spacing w:before="120" w:after="120"/>
              <w:contextualSpacing/>
              <w:rPr>
                <w:rFonts w:ascii="Times New Roman" w:hAnsi="Times New Roman" w:cs="Times New Roman"/>
                <w:sz w:val="20"/>
              </w:rPr>
            </w:pPr>
            <w:r w:rsidRPr="00A07F29">
              <w:rPr>
                <w:rFonts w:ascii="Times New Roman" w:hAnsi="Times New Roman" w:cs="Times New Roman"/>
                <w:sz w:val="20"/>
              </w:rPr>
              <w:t>B</w:t>
            </w:r>
            <w:r w:rsidR="00686D57">
              <w:rPr>
                <w:rFonts w:ascii="Times New Roman" w:hAnsi="Times New Roman" w:cs="Times New Roman"/>
                <w:sz w:val="20"/>
              </w:rPr>
              <w:t>erne</w:t>
            </w:r>
            <w:r w:rsidRPr="00A07F29">
              <w:rPr>
                <w:rFonts w:ascii="Times New Roman" w:hAnsi="Times New Roman" w:cs="Times New Roman"/>
                <w:sz w:val="20"/>
              </w:rPr>
              <w:t xml:space="preserve"> II</w:t>
            </w:r>
          </w:p>
          <w:p w14:paraId="173DDF1E" w14:textId="77777777" w:rsidR="009072CE" w:rsidRPr="00A07F29" w:rsidRDefault="009072CE" w:rsidP="009072CE">
            <w:pPr>
              <w:spacing w:before="120" w:after="120"/>
              <w:contextualSpacing/>
              <w:rPr>
                <w:rFonts w:ascii="Times New Roman" w:hAnsi="Times New Roman" w:cs="Times New Roman"/>
                <w:sz w:val="20"/>
              </w:rPr>
            </w:pPr>
            <w:r w:rsidRPr="00A07F29">
              <w:rPr>
                <w:rFonts w:ascii="Times New Roman" w:hAnsi="Times New Roman" w:cs="Times New Roman"/>
                <w:sz w:val="20"/>
              </w:rPr>
              <w:t>IUCN 3.1</w:t>
            </w:r>
          </w:p>
        </w:tc>
        <w:tc>
          <w:tcPr>
            <w:tcW w:w="1031" w:type="pct"/>
            <w:shd w:val="clear" w:color="auto" w:fill="auto"/>
          </w:tcPr>
          <w:p w14:paraId="3BA54C9A" w14:textId="77777777" w:rsidR="009072CE" w:rsidRPr="00A07F29" w:rsidRDefault="009072CE" w:rsidP="009072CE">
            <w:pPr>
              <w:spacing w:before="120" w:after="120"/>
              <w:contextualSpacing/>
              <w:rPr>
                <w:rFonts w:ascii="Times New Roman" w:hAnsi="Times New Roman" w:cs="Times New Roman"/>
                <w:color w:val="000000"/>
                <w:sz w:val="20"/>
              </w:rPr>
            </w:pPr>
            <w:r w:rsidRPr="00A07F29">
              <w:rPr>
                <w:rFonts w:ascii="Times New Roman" w:hAnsi="Times New Roman" w:cs="Times New Roman"/>
                <w:sz w:val="20"/>
              </w:rPr>
              <w:t>U1x</w:t>
            </w:r>
          </w:p>
        </w:tc>
      </w:tr>
      <w:tr w:rsidR="009072CE" w:rsidRPr="00A07F29" w14:paraId="0EA36556" w14:textId="77777777" w:rsidTr="009056A3">
        <w:trPr>
          <w:cantSplit/>
          <w:trHeight w:val="284"/>
        </w:trPr>
        <w:tc>
          <w:tcPr>
            <w:tcW w:w="5000" w:type="pct"/>
            <w:gridSpan w:val="5"/>
            <w:shd w:val="clear" w:color="auto" w:fill="EAF1DD" w:themeFill="accent3" w:themeFillTint="33"/>
            <w:noWrap/>
            <w:vAlign w:val="center"/>
          </w:tcPr>
          <w:p w14:paraId="5ED78F5A" w14:textId="77777777" w:rsidR="009072CE" w:rsidRPr="00A07F29" w:rsidRDefault="009072CE" w:rsidP="009072CE">
            <w:pPr>
              <w:spacing w:before="120" w:after="120"/>
              <w:contextualSpacing/>
              <w:rPr>
                <w:rFonts w:ascii="Times New Roman" w:hAnsi="Times New Roman" w:cs="Times New Roman"/>
                <w:color w:val="000000"/>
                <w:sz w:val="20"/>
              </w:rPr>
            </w:pPr>
            <w:r w:rsidRPr="00A07F29">
              <w:rPr>
                <w:rFonts w:ascii="Times New Roman" w:hAnsi="Times New Roman" w:cs="Times New Roman"/>
                <w:b/>
                <w:bCs/>
                <w:sz w:val="20"/>
              </w:rPr>
              <w:t>Krupju dzimta</w:t>
            </w:r>
            <w:r w:rsidRPr="00A07F29">
              <w:rPr>
                <w:rFonts w:ascii="Times New Roman" w:hAnsi="Times New Roman" w:cs="Times New Roman"/>
                <w:b/>
                <w:bCs/>
                <w:i/>
                <w:sz w:val="20"/>
              </w:rPr>
              <w:t xml:space="preserve"> </w:t>
            </w:r>
            <w:proofErr w:type="spellStart"/>
            <w:r w:rsidRPr="00A07F29">
              <w:rPr>
                <w:rFonts w:ascii="Times New Roman" w:hAnsi="Times New Roman" w:cs="Times New Roman"/>
                <w:b/>
                <w:bCs/>
                <w:i/>
                <w:iCs/>
                <w:sz w:val="20"/>
              </w:rPr>
              <w:t>Bufonidae</w:t>
            </w:r>
            <w:proofErr w:type="spellEnd"/>
          </w:p>
        </w:tc>
      </w:tr>
      <w:tr w:rsidR="009072CE" w:rsidRPr="00A07F29" w14:paraId="3CD2C2E5" w14:textId="77777777" w:rsidTr="009056A3">
        <w:trPr>
          <w:cantSplit/>
          <w:trHeight w:val="284"/>
        </w:trPr>
        <w:tc>
          <w:tcPr>
            <w:tcW w:w="854" w:type="pct"/>
            <w:shd w:val="clear" w:color="auto" w:fill="auto"/>
            <w:noWrap/>
          </w:tcPr>
          <w:p w14:paraId="2D734E77" w14:textId="77777777" w:rsidR="009072CE" w:rsidRPr="00A07F29" w:rsidRDefault="009072CE" w:rsidP="009072CE">
            <w:pPr>
              <w:autoSpaceDE w:val="0"/>
              <w:autoSpaceDN w:val="0"/>
              <w:adjustRightInd w:val="0"/>
              <w:spacing w:before="120" w:after="120" w:line="240" w:lineRule="auto"/>
              <w:contextualSpacing/>
              <w:rPr>
                <w:rFonts w:ascii="Times New Roman" w:hAnsi="Times New Roman" w:cs="Times New Roman"/>
                <w:color w:val="000000"/>
                <w:sz w:val="20"/>
                <w:szCs w:val="20"/>
              </w:rPr>
            </w:pPr>
            <w:r w:rsidRPr="00A07F29">
              <w:rPr>
                <w:rFonts w:ascii="Times New Roman" w:hAnsi="Times New Roman" w:cs="Times New Roman"/>
                <w:color w:val="000000"/>
                <w:sz w:val="20"/>
                <w:szCs w:val="20"/>
              </w:rPr>
              <w:lastRenderedPageBreak/>
              <w:t>Zaļais krupis</w:t>
            </w:r>
          </w:p>
        </w:tc>
        <w:tc>
          <w:tcPr>
            <w:tcW w:w="1121" w:type="pct"/>
            <w:shd w:val="clear" w:color="auto" w:fill="auto"/>
            <w:noWrap/>
          </w:tcPr>
          <w:p w14:paraId="3B95E3E0" w14:textId="77777777" w:rsidR="009072CE" w:rsidRPr="00A07F29" w:rsidRDefault="009072CE" w:rsidP="009072CE">
            <w:pPr>
              <w:autoSpaceDE w:val="0"/>
              <w:autoSpaceDN w:val="0"/>
              <w:adjustRightInd w:val="0"/>
              <w:spacing w:before="120" w:after="120" w:line="240" w:lineRule="auto"/>
              <w:contextualSpacing/>
              <w:rPr>
                <w:rFonts w:ascii="Times New Roman" w:hAnsi="Times New Roman" w:cs="Times New Roman"/>
                <w:i/>
                <w:iCs/>
                <w:color w:val="000000"/>
                <w:sz w:val="20"/>
                <w:szCs w:val="20"/>
              </w:rPr>
            </w:pPr>
            <w:proofErr w:type="spellStart"/>
            <w:r w:rsidRPr="00A07F29">
              <w:rPr>
                <w:rFonts w:ascii="Times New Roman" w:hAnsi="Times New Roman" w:cs="Times New Roman"/>
                <w:i/>
                <w:iCs/>
                <w:color w:val="000000"/>
                <w:sz w:val="20"/>
                <w:szCs w:val="20"/>
              </w:rPr>
              <w:t>Bufotes</w:t>
            </w:r>
            <w:proofErr w:type="spellEnd"/>
            <w:r w:rsidRPr="00A07F29">
              <w:rPr>
                <w:rFonts w:ascii="Times New Roman" w:hAnsi="Times New Roman" w:cs="Times New Roman"/>
                <w:i/>
                <w:iCs/>
                <w:color w:val="000000"/>
                <w:sz w:val="20"/>
                <w:szCs w:val="20"/>
              </w:rPr>
              <w:t xml:space="preserve"> </w:t>
            </w:r>
            <w:proofErr w:type="spellStart"/>
            <w:r w:rsidRPr="00A07F29">
              <w:rPr>
                <w:rFonts w:ascii="Times New Roman" w:hAnsi="Times New Roman" w:cs="Times New Roman"/>
                <w:i/>
                <w:iCs/>
                <w:color w:val="000000"/>
                <w:sz w:val="20"/>
                <w:szCs w:val="20"/>
              </w:rPr>
              <w:t>viridis</w:t>
            </w:r>
            <w:proofErr w:type="spellEnd"/>
            <w:r w:rsidRPr="00A07F29">
              <w:rPr>
                <w:rFonts w:ascii="Times New Roman" w:hAnsi="Times New Roman" w:cs="Times New Roman"/>
                <w:i/>
                <w:iCs/>
                <w:color w:val="000000"/>
                <w:sz w:val="20"/>
                <w:szCs w:val="20"/>
              </w:rPr>
              <w:t xml:space="preserve"> (Laur.)</w:t>
            </w:r>
          </w:p>
        </w:tc>
        <w:tc>
          <w:tcPr>
            <w:tcW w:w="1080" w:type="pct"/>
            <w:shd w:val="clear" w:color="auto" w:fill="auto"/>
            <w:noWrap/>
          </w:tcPr>
          <w:p w14:paraId="0053EE82" w14:textId="77777777" w:rsidR="009072CE" w:rsidRPr="00A07F29" w:rsidRDefault="009072CE" w:rsidP="009072CE">
            <w:pPr>
              <w:spacing w:before="120" w:after="120"/>
              <w:contextualSpacing/>
              <w:rPr>
                <w:rFonts w:ascii="Times New Roman" w:hAnsi="Times New Roman" w:cs="Times New Roman"/>
                <w:color w:val="000000"/>
                <w:sz w:val="20"/>
              </w:rPr>
            </w:pPr>
            <w:r w:rsidRPr="00A07F29">
              <w:rPr>
                <w:rFonts w:ascii="Times New Roman" w:hAnsi="Times New Roman" w:cs="Times New Roman"/>
                <w:color w:val="000000"/>
                <w:sz w:val="20"/>
              </w:rPr>
              <w:t>ĪAS</w:t>
            </w:r>
          </w:p>
          <w:p w14:paraId="2EF19472" w14:textId="77777777" w:rsidR="009072CE" w:rsidRPr="00A07F29" w:rsidRDefault="009072CE" w:rsidP="009072CE">
            <w:pPr>
              <w:spacing w:before="120" w:after="120"/>
              <w:contextualSpacing/>
              <w:rPr>
                <w:rFonts w:ascii="Times New Roman" w:hAnsi="Times New Roman" w:cs="Times New Roman"/>
                <w:color w:val="000000"/>
                <w:sz w:val="20"/>
              </w:rPr>
            </w:pPr>
          </w:p>
        </w:tc>
        <w:tc>
          <w:tcPr>
            <w:tcW w:w="914" w:type="pct"/>
            <w:shd w:val="clear" w:color="auto" w:fill="auto"/>
            <w:noWrap/>
          </w:tcPr>
          <w:p w14:paraId="04D89B22" w14:textId="13D0F31C" w:rsidR="009072CE" w:rsidRPr="00A07F29" w:rsidRDefault="00800DC2" w:rsidP="009072CE">
            <w:pPr>
              <w:spacing w:before="120" w:after="120"/>
              <w:contextualSpacing/>
              <w:rPr>
                <w:rFonts w:ascii="Times New Roman" w:hAnsi="Times New Roman" w:cs="Times New Roman"/>
                <w:color w:val="000000"/>
                <w:sz w:val="20"/>
              </w:rPr>
            </w:pPr>
            <w:r>
              <w:rPr>
                <w:rFonts w:ascii="Times New Roman" w:hAnsi="Times New Roman" w:cs="Times New Roman"/>
                <w:color w:val="000000"/>
                <w:sz w:val="20"/>
              </w:rPr>
              <w:t>L</w:t>
            </w:r>
            <w:r w:rsidR="009072CE" w:rsidRPr="00A07F29">
              <w:rPr>
                <w:rFonts w:ascii="Times New Roman" w:hAnsi="Times New Roman" w:cs="Times New Roman"/>
                <w:color w:val="000000"/>
                <w:sz w:val="20"/>
              </w:rPr>
              <w:t>SG 3</w:t>
            </w:r>
          </w:p>
          <w:p w14:paraId="04C40E51" w14:textId="1DC105A9" w:rsidR="009072CE" w:rsidRPr="00A07F29" w:rsidRDefault="00E40F9E" w:rsidP="009072CE">
            <w:pPr>
              <w:spacing w:before="120" w:after="120"/>
              <w:contextualSpacing/>
              <w:rPr>
                <w:rFonts w:ascii="Times New Roman" w:hAnsi="Times New Roman" w:cs="Times New Roman"/>
                <w:color w:val="000000"/>
                <w:sz w:val="20"/>
              </w:rPr>
            </w:pPr>
            <w:r>
              <w:rPr>
                <w:rFonts w:ascii="Times New Roman" w:hAnsi="Times New Roman" w:cs="Times New Roman"/>
                <w:color w:val="000000"/>
                <w:sz w:val="20"/>
              </w:rPr>
              <w:t>B</w:t>
            </w:r>
            <w:r w:rsidR="009072CE" w:rsidRPr="00A07F29">
              <w:rPr>
                <w:rFonts w:ascii="Times New Roman" w:hAnsi="Times New Roman" w:cs="Times New Roman"/>
                <w:color w:val="000000"/>
                <w:sz w:val="20"/>
              </w:rPr>
              <w:t>D IV</w:t>
            </w:r>
          </w:p>
          <w:p w14:paraId="7065FE48" w14:textId="6181CB9E" w:rsidR="009072CE" w:rsidRPr="00A07F29" w:rsidRDefault="009072CE" w:rsidP="009072CE">
            <w:pPr>
              <w:spacing w:before="120" w:after="120"/>
              <w:contextualSpacing/>
              <w:rPr>
                <w:rFonts w:ascii="Times New Roman" w:hAnsi="Times New Roman" w:cs="Times New Roman"/>
                <w:color w:val="000000"/>
                <w:sz w:val="20"/>
              </w:rPr>
            </w:pPr>
            <w:r w:rsidRPr="00A07F29">
              <w:rPr>
                <w:rFonts w:ascii="Times New Roman" w:hAnsi="Times New Roman" w:cs="Times New Roman"/>
                <w:color w:val="000000"/>
                <w:sz w:val="20"/>
              </w:rPr>
              <w:t>B</w:t>
            </w:r>
            <w:r w:rsidR="00686D57">
              <w:rPr>
                <w:rFonts w:ascii="Times New Roman" w:hAnsi="Times New Roman" w:cs="Times New Roman"/>
                <w:color w:val="000000"/>
                <w:sz w:val="20"/>
              </w:rPr>
              <w:t>erne</w:t>
            </w:r>
            <w:r w:rsidRPr="00A07F29">
              <w:rPr>
                <w:rFonts w:ascii="Times New Roman" w:hAnsi="Times New Roman" w:cs="Times New Roman"/>
                <w:color w:val="000000"/>
                <w:sz w:val="20"/>
              </w:rPr>
              <w:t xml:space="preserve"> II</w:t>
            </w:r>
          </w:p>
          <w:p w14:paraId="13D90D97" w14:textId="77777777" w:rsidR="009072CE" w:rsidRPr="00A07F29" w:rsidRDefault="009072CE" w:rsidP="009072CE">
            <w:pPr>
              <w:spacing w:before="120" w:after="120"/>
              <w:contextualSpacing/>
              <w:rPr>
                <w:rFonts w:ascii="Times New Roman" w:hAnsi="Times New Roman" w:cs="Times New Roman"/>
                <w:color w:val="000000"/>
                <w:sz w:val="20"/>
              </w:rPr>
            </w:pPr>
            <w:r w:rsidRPr="00A07F29">
              <w:rPr>
                <w:rFonts w:ascii="Times New Roman" w:hAnsi="Times New Roman" w:cs="Times New Roman"/>
                <w:color w:val="000000"/>
                <w:sz w:val="20"/>
              </w:rPr>
              <w:t>IUCN 3.1</w:t>
            </w:r>
          </w:p>
        </w:tc>
        <w:tc>
          <w:tcPr>
            <w:tcW w:w="1031" w:type="pct"/>
            <w:shd w:val="clear" w:color="auto" w:fill="auto"/>
          </w:tcPr>
          <w:p w14:paraId="08EB1008" w14:textId="77777777" w:rsidR="009072CE" w:rsidRPr="00A07F29" w:rsidRDefault="009072CE" w:rsidP="009072CE">
            <w:pPr>
              <w:spacing w:before="120" w:after="120"/>
              <w:contextualSpacing/>
              <w:rPr>
                <w:rFonts w:ascii="Times New Roman" w:hAnsi="Times New Roman" w:cs="Times New Roman"/>
                <w:sz w:val="20"/>
              </w:rPr>
            </w:pPr>
            <w:r w:rsidRPr="00A07F29">
              <w:rPr>
                <w:rFonts w:ascii="Times New Roman" w:hAnsi="Times New Roman" w:cs="Times New Roman"/>
                <w:sz w:val="20"/>
              </w:rPr>
              <w:t>U1x</w:t>
            </w:r>
          </w:p>
        </w:tc>
      </w:tr>
      <w:tr w:rsidR="009072CE" w:rsidRPr="00A07F29" w14:paraId="14F92D90" w14:textId="77777777" w:rsidTr="009056A3">
        <w:trPr>
          <w:cantSplit/>
          <w:trHeight w:val="284"/>
        </w:trPr>
        <w:tc>
          <w:tcPr>
            <w:tcW w:w="5000" w:type="pct"/>
            <w:gridSpan w:val="5"/>
            <w:shd w:val="clear" w:color="auto" w:fill="EAF1DD" w:themeFill="accent3" w:themeFillTint="33"/>
            <w:noWrap/>
            <w:vAlign w:val="center"/>
          </w:tcPr>
          <w:p w14:paraId="7C8BA9AC" w14:textId="77777777" w:rsidR="009072CE" w:rsidRPr="00A07F29" w:rsidRDefault="009072CE" w:rsidP="009072CE">
            <w:pPr>
              <w:spacing w:before="120" w:after="120"/>
              <w:contextualSpacing/>
              <w:jc w:val="center"/>
              <w:rPr>
                <w:rFonts w:ascii="Times New Roman" w:hAnsi="Times New Roman" w:cs="Times New Roman"/>
                <w:color w:val="000000"/>
                <w:sz w:val="20"/>
              </w:rPr>
            </w:pPr>
            <w:r w:rsidRPr="00A07F29">
              <w:rPr>
                <w:rFonts w:ascii="Times New Roman" w:hAnsi="Times New Roman" w:cs="Times New Roman"/>
                <w:b/>
                <w:bCs/>
                <w:sz w:val="20"/>
              </w:rPr>
              <w:t>Rāpuļi</w:t>
            </w:r>
            <w:r w:rsidRPr="00A07F29">
              <w:rPr>
                <w:rFonts w:ascii="Times New Roman" w:hAnsi="Times New Roman" w:cs="Times New Roman"/>
                <w:b/>
                <w:i/>
                <w:sz w:val="20"/>
              </w:rPr>
              <w:t xml:space="preserve"> </w:t>
            </w:r>
            <w:proofErr w:type="spellStart"/>
            <w:r w:rsidRPr="00A07F29">
              <w:rPr>
                <w:rFonts w:ascii="Times New Roman" w:hAnsi="Times New Roman" w:cs="Times New Roman"/>
                <w:b/>
                <w:bCs/>
                <w:i/>
                <w:iCs/>
                <w:sz w:val="20"/>
              </w:rPr>
              <w:t>Reptilia</w:t>
            </w:r>
            <w:proofErr w:type="spellEnd"/>
          </w:p>
        </w:tc>
      </w:tr>
      <w:tr w:rsidR="009072CE" w:rsidRPr="00A07F29" w14:paraId="0FE92155" w14:textId="77777777" w:rsidTr="009056A3">
        <w:trPr>
          <w:cantSplit/>
          <w:trHeight w:val="307"/>
        </w:trPr>
        <w:tc>
          <w:tcPr>
            <w:tcW w:w="5000" w:type="pct"/>
            <w:gridSpan w:val="5"/>
            <w:shd w:val="clear" w:color="auto" w:fill="EAF1DD" w:themeFill="accent3" w:themeFillTint="33"/>
            <w:noWrap/>
            <w:vAlign w:val="center"/>
          </w:tcPr>
          <w:p w14:paraId="3655AD61" w14:textId="77777777" w:rsidR="009072CE" w:rsidRPr="00A07F29" w:rsidRDefault="009072CE" w:rsidP="009072CE">
            <w:pPr>
              <w:spacing w:before="120" w:after="120"/>
              <w:contextualSpacing/>
              <w:rPr>
                <w:rFonts w:ascii="Times New Roman" w:hAnsi="Times New Roman" w:cs="Times New Roman"/>
                <w:b/>
                <w:bCs/>
                <w:sz w:val="20"/>
              </w:rPr>
            </w:pPr>
            <w:proofErr w:type="spellStart"/>
            <w:r w:rsidRPr="00A07F29">
              <w:rPr>
                <w:rFonts w:ascii="Times New Roman" w:hAnsi="Times New Roman" w:cs="Times New Roman"/>
                <w:b/>
                <w:bCs/>
                <w:sz w:val="20"/>
              </w:rPr>
              <w:t>Zvīņaiņi</w:t>
            </w:r>
            <w:proofErr w:type="spellEnd"/>
            <w:r w:rsidRPr="00A07F29">
              <w:rPr>
                <w:rFonts w:ascii="Times New Roman" w:hAnsi="Times New Roman" w:cs="Times New Roman"/>
                <w:b/>
                <w:bCs/>
                <w:sz w:val="20"/>
              </w:rPr>
              <w:t xml:space="preserve"> </w:t>
            </w:r>
            <w:proofErr w:type="spellStart"/>
            <w:r w:rsidRPr="00A07F29">
              <w:rPr>
                <w:rFonts w:ascii="Times New Roman" w:hAnsi="Times New Roman" w:cs="Times New Roman"/>
                <w:b/>
                <w:bCs/>
                <w:i/>
                <w:sz w:val="20"/>
              </w:rPr>
              <w:t>Squamata</w:t>
            </w:r>
            <w:proofErr w:type="spellEnd"/>
          </w:p>
        </w:tc>
      </w:tr>
      <w:tr w:rsidR="009072CE" w:rsidRPr="00A07F29" w14:paraId="7409D19B" w14:textId="77777777" w:rsidTr="009056A3">
        <w:trPr>
          <w:cantSplit/>
          <w:trHeight w:val="284"/>
        </w:trPr>
        <w:tc>
          <w:tcPr>
            <w:tcW w:w="5000" w:type="pct"/>
            <w:gridSpan w:val="5"/>
            <w:shd w:val="clear" w:color="auto" w:fill="EAF1DD" w:themeFill="accent3" w:themeFillTint="33"/>
            <w:noWrap/>
            <w:vAlign w:val="center"/>
          </w:tcPr>
          <w:p w14:paraId="7DB06B1A" w14:textId="77777777" w:rsidR="009072CE" w:rsidRPr="00A07F29" w:rsidRDefault="009072CE" w:rsidP="009072CE">
            <w:pPr>
              <w:spacing w:before="120" w:after="120"/>
              <w:contextualSpacing/>
              <w:rPr>
                <w:rFonts w:ascii="Times New Roman" w:hAnsi="Times New Roman" w:cs="Times New Roman"/>
                <w:color w:val="000000"/>
                <w:sz w:val="20"/>
              </w:rPr>
            </w:pPr>
            <w:r w:rsidRPr="00A07F29">
              <w:rPr>
                <w:rFonts w:ascii="Times New Roman" w:hAnsi="Times New Roman" w:cs="Times New Roman"/>
                <w:b/>
                <w:bCs/>
                <w:sz w:val="20"/>
              </w:rPr>
              <w:t>Ķirzaku dzimta</w:t>
            </w:r>
            <w:r w:rsidRPr="00A07F29">
              <w:rPr>
                <w:rFonts w:ascii="Times New Roman" w:hAnsi="Times New Roman" w:cs="Times New Roman"/>
                <w:b/>
                <w:i/>
                <w:sz w:val="20"/>
              </w:rPr>
              <w:t xml:space="preserve"> </w:t>
            </w:r>
            <w:proofErr w:type="spellStart"/>
            <w:r w:rsidRPr="00A07F29">
              <w:rPr>
                <w:rFonts w:ascii="Times New Roman" w:hAnsi="Times New Roman" w:cs="Times New Roman"/>
                <w:b/>
                <w:bCs/>
                <w:i/>
                <w:iCs/>
                <w:sz w:val="20"/>
              </w:rPr>
              <w:t>Lacertidae</w:t>
            </w:r>
            <w:proofErr w:type="spellEnd"/>
          </w:p>
        </w:tc>
      </w:tr>
      <w:tr w:rsidR="009072CE" w:rsidRPr="00A07F29" w14:paraId="3CEE90C9" w14:textId="77777777" w:rsidTr="009056A3">
        <w:trPr>
          <w:cantSplit/>
          <w:trHeight w:val="284"/>
        </w:trPr>
        <w:tc>
          <w:tcPr>
            <w:tcW w:w="854" w:type="pct"/>
            <w:shd w:val="clear" w:color="auto" w:fill="auto"/>
            <w:noWrap/>
          </w:tcPr>
          <w:p w14:paraId="37BB2F9B" w14:textId="77777777" w:rsidR="009072CE" w:rsidRPr="00A07F29" w:rsidRDefault="009072CE" w:rsidP="009072CE">
            <w:pPr>
              <w:spacing w:before="120" w:after="120"/>
              <w:contextualSpacing/>
              <w:rPr>
                <w:rFonts w:ascii="Times New Roman" w:hAnsi="Times New Roman" w:cs="Times New Roman"/>
                <w:sz w:val="20"/>
              </w:rPr>
            </w:pPr>
            <w:r w:rsidRPr="00A07F29">
              <w:rPr>
                <w:rFonts w:ascii="Times New Roman" w:hAnsi="Times New Roman" w:cs="Times New Roman"/>
                <w:sz w:val="20"/>
              </w:rPr>
              <w:t>Sila ķirzaka</w:t>
            </w:r>
          </w:p>
        </w:tc>
        <w:tc>
          <w:tcPr>
            <w:tcW w:w="1121" w:type="pct"/>
            <w:shd w:val="clear" w:color="auto" w:fill="auto"/>
            <w:noWrap/>
          </w:tcPr>
          <w:p w14:paraId="231E105F" w14:textId="77777777" w:rsidR="009072CE" w:rsidRPr="00A07F29" w:rsidRDefault="009072CE" w:rsidP="009072CE">
            <w:pPr>
              <w:spacing w:before="120" w:after="120"/>
              <w:contextualSpacing/>
              <w:rPr>
                <w:rFonts w:ascii="Times New Roman" w:hAnsi="Times New Roman" w:cs="Times New Roman"/>
                <w:i/>
                <w:sz w:val="20"/>
              </w:rPr>
            </w:pPr>
            <w:proofErr w:type="spellStart"/>
            <w:r w:rsidRPr="00A07F29">
              <w:rPr>
                <w:rFonts w:ascii="Times New Roman" w:hAnsi="Times New Roman" w:cs="Times New Roman"/>
                <w:i/>
                <w:iCs/>
                <w:sz w:val="20"/>
              </w:rPr>
              <w:t>Lacerta</w:t>
            </w:r>
            <w:proofErr w:type="spellEnd"/>
            <w:r w:rsidRPr="00A07F29">
              <w:rPr>
                <w:rFonts w:ascii="Times New Roman" w:hAnsi="Times New Roman" w:cs="Times New Roman"/>
                <w:i/>
                <w:iCs/>
                <w:sz w:val="20"/>
              </w:rPr>
              <w:t xml:space="preserve"> </w:t>
            </w:r>
            <w:proofErr w:type="spellStart"/>
            <w:r w:rsidRPr="00A07F29">
              <w:rPr>
                <w:rFonts w:ascii="Times New Roman" w:hAnsi="Times New Roman" w:cs="Times New Roman"/>
                <w:i/>
                <w:iCs/>
                <w:sz w:val="20"/>
              </w:rPr>
              <w:t>agilis</w:t>
            </w:r>
            <w:proofErr w:type="spellEnd"/>
            <w:r w:rsidRPr="00A07F29">
              <w:rPr>
                <w:rFonts w:ascii="Times New Roman" w:hAnsi="Times New Roman" w:cs="Times New Roman"/>
                <w:i/>
                <w:iCs/>
                <w:sz w:val="20"/>
              </w:rPr>
              <w:t xml:space="preserve"> (L.)</w:t>
            </w:r>
          </w:p>
        </w:tc>
        <w:tc>
          <w:tcPr>
            <w:tcW w:w="1080" w:type="pct"/>
            <w:shd w:val="clear" w:color="auto" w:fill="auto"/>
            <w:noWrap/>
          </w:tcPr>
          <w:p w14:paraId="5366D5CA" w14:textId="77777777" w:rsidR="009072CE" w:rsidRPr="00A07F29" w:rsidRDefault="009072CE" w:rsidP="009072CE">
            <w:pPr>
              <w:spacing w:before="120" w:after="120"/>
              <w:contextualSpacing/>
              <w:rPr>
                <w:rFonts w:ascii="Times New Roman" w:hAnsi="Times New Roman" w:cs="Times New Roman"/>
                <w:sz w:val="20"/>
              </w:rPr>
            </w:pPr>
            <w:r w:rsidRPr="00A07F29">
              <w:rPr>
                <w:rFonts w:ascii="Times New Roman" w:hAnsi="Times New Roman" w:cs="Times New Roman"/>
                <w:sz w:val="20"/>
              </w:rPr>
              <w:t>ĪAS</w:t>
            </w:r>
          </w:p>
          <w:p w14:paraId="2B2498F3" w14:textId="77777777" w:rsidR="009072CE" w:rsidRPr="00A07F29" w:rsidRDefault="009072CE" w:rsidP="009072CE">
            <w:pPr>
              <w:spacing w:before="120" w:after="120"/>
              <w:contextualSpacing/>
              <w:rPr>
                <w:rFonts w:ascii="Times New Roman" w:hAnsi="Times New Roman" w:cs="Times New Roman"/>
                <w:sz w:val="20"/>
              </w:rPr>
            </w:pPr>
          </w:p>
        </w:tc>
        <w:tc>
          <w:tcPr>
            <w:tcW w:w="914" w:type="pct"/>
            <w:shd w:val="clear" w:color="auto" w:fill="auto"/>
            <w:noWrap/>
          </w:tcPr>
          <w:p w14:paraId="360C71B4" w14:textId="520B2501" w:rsidR="009072CE" w:rsidRPr="00A07F29" w:rsidRDefault="00800DC2" w:rsidP="009072CE">
            <w:pPr>
              <w:spacing w:before="120" w:after="120"/>
              <w:contextualSpacing/>
              <w:rPr>
                <w:rFonts w:ascii="Times New Roman" w:hAnsi="Times New Roman" w:cs="Times New Roman"/>
                <w:color w:val="000000"/>
                <w:sz w:val="20"/>
              </w:rPr>
            </w:pPr>
            <w:r>
              <w:rPr>
                <w:rFonts w:ascii="Times New Roman" w:hAnsi="Times New Roman" w:cs="Times New Roman"/>
                <w:color w:val="000000"/>
                <w:sz w:val="20"/>
              </w:rPr>
              <w:t>L</w:t>
            </w:r>
            <w:r w:rsidR="009072CE" w:rsidRPr="00A07F29">
              <w:rPr>
                <w:rFonts w:ascii="Times New Roman" w:hAnsi="Times New Roman" w:cs="Times New Roman"/>
                <w:color w:val="000000"/>
                <w:sz w:val="20"/>
              </w:rPr>
              <w:t>SG 3</w:t>
            </w:r>
          </w:p>
          <w:p w14:paraId="1672CE8D" w14:textId="34BBBC36" w:rsidR="009072CE" w:rsidRPr="00A07F29" w:rsidRDefault="00E40F9E" w:rsidP="009072CE">
            <w:pPr>
              <w:spacing w:before="120" w:after="120"/>
              <w:contextualSpacing/>
              <w:rPr>
                <w:rFonts w:ascii="Times New Roman" w:hAnsi="Times New Roman" w:cs="Times New Roman"/>
                <w:color w:val="000000"/>
                <w:sz w:val="20"/>
              </w:rPr>
            </w:pPr>
            <w:r>
              <w:rPr>
                <w:rFonts w:ascii="Times New Roman" w:hAnsi="Times New Roman" w:cs="Times New Roman"/>
                <w:color w:val="000000"/>
                <w:sz w:val="20"/>
              </w:rPr>
              <w:t>B</w:t>
            </w:r>
            <w:r w:rsidR="009072CE" w:rsidRPr="00A07F29">
              <w:rPr>
                <w:rFonts w:ascii="Times New Roman" w:hAnsi="Times New Roman" w:cs="Times New Roman"/>
                <w:color w:val="000000"/>
                <w:sz w:val="20"/>
              </w:rPr>
              <w:t>D IV</w:t>
            </w:r>
          </w:p>
          <w:p w14:paraId="4D6AA7A0" w14:textId="0B072E02" w:rsidR="009072CE" w:rsidRPr="00A07F29" w:rsidRDefault="009072CE" w:rsidP="009072CE">
            <w:pPr>
              <w:spacing w:before="120" w:after="120"/>
              <w:contextualSpacing/>
              <w:rPr>
                <w:rFonts w:ascii="Times New Roman" w:hAnsi="Times New Roman" w:cs="Times New Roman"/>
                <w:color w:val="000000"/>
                <w:sz w:val="20"/>
              </w:rPr>
            </w:pPr>
            <w:r w:rsidRPr="00A07F29">
              <w:rPr>
                <w:rFonts w:ascii="Times New Roman" w:hAnsi="Times New Roman" w:cs="Times New Roman"/>
                <w:color w:val="000000"/>
                <w:sz w:val="20"/>
              </w:rPr>
              <w:t>B</w:t>
            </w:r>
            <w:r w:rsidR="00686D57">
              <w:rPr>
                <w:rFonts w:ascii="Times New Roman" w:hAnsi="Times New Roman" w:cs="Times New Roman"/>
                <w:color w:val="000000"/>
                <w:sz w:val="20"/>
              </w:rPr>
              <w:t>erne</w:t>
            </w:r>
            <w:r w:rsidRPr="00A07F29">
              <w:rPr>
                <w:rFonts w:ascii="Times New Roman" w:hAnsi="Times New Roman" w:cs="Times New Roman"/>
                <w:color w:val="000000"/>
                <w:sz w:val="20"/>
              </w:rPr>
              <w:t xml:space="preserve"> II </w:t>
            </w:r>
          </w:p>
          <w:p w14:paraId="0FAD8C01" w14:textId="77777777" w:rsidR="009072CE" w:rsidRPr="00A07F29" w:rsidRDefault="009072CE" w:rsidP="009072CE">
            <w:pPr>
              <w:spacing w:before="120" w:after="120"/>
              <w:contextualSpacing/>
              <w:rPr>
                <w:rFonts w:ascii="Times New Roman" w:hAnsi="Times New Roman" w:cs="Times New Roman"/>
                <w:color w:val="000000"/>
                <w:sz w:val="20"/>
              </w:rPr>
            </w:pPr>
            <w:r w:rsidRPr="00A07F29">
              <w:rPr>
                <w:rFonts w:ascii="Times New Roman" w:hAnsi="Times New Roman" w:cs="Times New Roman"/>
                <w:color w:val="000000"/>
                <w:sz w:val="20"/>
              </w:rPr>
              <w:t>IUCN 3.1</w:t>
            </w:r>
          </w:p>
        </w:tc>
        <w:tc>
          <w:tcPr>
            <w:tcW w:w="1031" w:type="pct"/>
            <w:shd w:val="clear" w:color="auto" w:fill="auto"/>
          </w:tcPr>
          <w:p w14:paraId="0FE0C4E7" w14:textId="77777777" w:rsidR="009072CE" w:rsidRPr="00A07F29" w:rsidRDefault="009072CE" w:rsidP="009072CE">
            <w:pPr>
              <w:spacing w:before="120" w:after="120"/>
              <w:contextualSpacing/>
              <w:rPr>
                <w:rFonts w:ascii="Times New Roman" w:hAnsi="Times New Roman" w:cs="Times New Roman"/>
                <w:color w:val="000000"/>
                <w:sz w:val="20"/>
              </w:rPr>
            </w:pPr>
            <w:r w:rsidRPr="00A07F29">
              <w:rPr>
                <w:rFonts w:ascii="Times New Roman" w:hAnsi="Times New Roman" w:cs="Times New Roman"/>
                <w:color w:val="000000"/>
                <w:sz w:val="20"/>
              </w:rPr>
              <w:t>U1x</w:t>
            </w:r>
          </w:p>
        </w:tc>
      </w:tr>
    </w:tbl>
    <w:p w14:paraId="273531B5" w14:textId="77777777" w:rsidR="009072CE" w:rsidRPr="00A07F29" w:rsidRDefault="009072CE" w:rsidP="009072CE">
      <w:pPr>
        <w:shd w:val="clear" w:color="auto" w:fill="FFFFFF"/>
        <w:spacing w:before="120" w:after="120"/>
        <w:rPr>
          <w:rFonts w:ascii="Times New Roman" w:hAnsi="Times New Roman" w:cs="Times New Roman"/>
          <w:b/>
          <w:bCs/>
          <w:spacing w:val="-1"/>
          <w:sz w:val="20"/>
        </w:rPr>
      </w:pPr>
      <w:r w:rsidRPr="00A07F29">
        <w:rPr>
          <w:rFonts w:ascii="Times New Roman" w:hAnsi="Times New Roman" w:cs="Times New Roman"/>
          <w:b/>
          <w:bCs/>
          <w:spacing w:val="-1"/>
          <w:sz w:val="20"/>
        </w:rPr>
        <w:t>* Apzīmējumi</w:t>
      </w:r>
    </w:p>
    <w:p w14:paraId="3EC0B98E" w14:textId="2E3E710C" w:rsidR="009072CE" w:rsidRPr="00A07F29" w:rsidRDefault="009072CE" w:rsidP="009072CE">
      <w:pPr>
        <w:autoSpaceDE w:val="0"/>
        <w:autoSpaceDN w:val="0"/>
        <w:adjustRightInd w:val="0"/>
        <w:spacing w:after="0" w:line="240" w:lineRule="auto"/>
        <w:ind w:left="1134" w:hanging="567"/>
        <w:jc w:val="both"/>
        <w:rPr>
          <w:rFonts w:ascii="Times New Roman" w:hAnsi="Times New Roman" w:cs="Times New Roman"/>
          <w:sz w:val="20"/>
        </w:rPr>
      </w:pPr>
      <w:r w:rsidRPr="00A07F29">
        <w:rPr>
          <w:rFonts w:ascii="Times New Roman" w:hAnsi="Times New Roman" w:cs="Times New Roman"/>
          <w:b/>
          <w:bCs/>
          <w:sz w:val="20"/>
        </w:rPr>
        <w:t>B</w:t>
      </w:r>
      <w:r w:rsidR="00686D57">
        <w:rPr>
          <w:rFonts w:ascii="Times New Roman" w:hAnsi="Times New Roman" w:cs="Times New Roman"/>
          <w:b/>
          <w:bCs/>
          <w:sz w:val="20"/>
        </w:rPr>
        <w:t>erne</w:t>
      </w:r>
      <w:r w:rsidRPr="00A07F29">
        <w:rPr>
          <w:rFonts w:ascii="Times New Roman" w:hAnsi="Times New Roman" w:cs="Times New Roman"/>
          <w:b/>
          <w:bCs/>
          <w:sz w:val="20"/>
        </w:rPr>
        <w:t xml:space="preserve"> </w:t>
      </w:r>
      <w:r w:rsidR="00686D57">
        <w:rPr>
          <w:rFonts w:ascii="Times New Roman" w:hAnsi="Times New Roman" w:cs="Times New Roman"/>
          <w:sz w:val="20"/>
        </w:rPr>
        <w:t>–</w:t>
      </w:r>
      <w:r w:rsidRPr="00A07F29">
        <w:rPr>
          <w:rFonts w:ascii="Times New Roman" w:hAnsi="Times New Roman" w:cs="Times New Roman"/>
          <w:sz w:val="20"/>
        </w:rPr>
        <w:t xml:space="preserve"> Bernes konvencija</w:t>
      </w:r>
      <w:r w:rsidR="00686D57">
        <w:rPr>
          <w:rFonts w:ascii="Times New Roman" w:hAnsi="Times New Roman" w:cs="Times New Roman"/>
          <w:sz w:val="20"/>
        </w:rPr>
        <w:t>:</w:t>
      </w:r>
      <w:r w:rsidRPr="00A07F29">
        <w:rPr>
          <w:rFonts w:ascii="Times New Roman" w:hAnsi="Times New Roman" w:cs="Times New Roman"/>
          <w:sz w:val="20"/>
        </w:rPr>
        <w:t xml:space="preserve"> </w:t>
      </w:r>
      <w:r w:rsidRPr="00A07F29">
        <w:rPr>
          <w:rFonts w:ascii="Times New Roman" w:hAnsi="Times New Roman" w:cs="Times New Roman"/>
          <w:b/>
          <w:bCs/>
          <w:sz w:val="20"/>
        </w:rPr>
        <w:t>II</w:t>
      </w:r>
      <w:r w:rsidRPr="00A07F29">
        <w:rPr>
          <w:rFonts w:ascii="Times New Roman" w:hAnsi="Times New Roman" w:cs="Times New Roman"/>
          <w:bCs/>
          <w:sz w:val="20"/>
        </w:rPr>
        <w:t xml:space="preserve"> </w:t>
      </w:r>
      <w:r w:rsidRPr="00A07F29">
        <w:rPr>
          <w:rFonts w:ascii="Times New Roman" w:hAnsi="Times New Roman" w:cs="Times New Roman"/>
          <w:sz w:val="20"/>
        </w:rPr>
        <w:t xml:space="preserve">pielikums. Īpaši aizsargājamo dzīvnieku sugas, kuru aizsardzībai jāveido īpaši aizsargājama teritorija. </w:t>
      </w:r>
      <w:r w:rsidRPr="00A07F29">
        <w:rPr>
          <w:rFonts w:ascii="Times New Roman" w:hAnsi="Times New Roman" w:cs="Times New Roman"/>
          <w:b/>
          <w:bCs/>
          <w:sz w:val="20"/>
        </w:rPr>
        <w:t>III</w:t>
      </w:r>
      <w:r w:rsidRPr="00A07F29">
        <w:rPr>
          <w:rFonts w:ascii="Times New Roman" w:hAnsi="Times New Roman" w:cs="Times New Roman"/>
          <w:bCs/>
          <w:sz w:val="20"/>
        </w:rPr>
        <w:t xml:space="preserve"> </w:t>
      </w:r>
      <w:r w:rsidRPr="00A07F29">
        <w:rPr>
          <w:rFonts w:ascii="Times New Roman" w:hAnsi="Times New Roman" w:cs="Times New Roman"/>
          <w:sz w:val="20"/>
        </w:rPr>
        <w:t>pielikums. Aizsargājamās dzīvnieku sugas, kuru aizsardzībai nav jāveido īpaši aizsargājama teritorija.</w:t>
      </w:r>
    </w:p>
    <w:p w14:paraId="029B5D66" w14:textId="677779E7" w:rsidR="009072CE" w:rsidRPr="00A07F29" w:rsidRDefault="00617E7F" w:rsidP="009072CE">
      <w:pPr>
        <w:autoSpaceDE w:val="0"/>
        <w:spacing w:after="0" w:line="240" w:lineRule="auto"/>
        <w:ind w:left="1134" w:hanging="567"/>
        <w:jc w:val="both"/>
        <w:rPr>
          <w:rFonts w:ascii="Times New Roman" w:hAnsi="Times New Roman" w:cs="Times New Roman"/>
          <w:sz w:val="20"/>
        </w:rPr>
      </w:pPr>
      <w:r>
        <w:rPr>
          <w:rFonts w:ascii="Times New Roman" w:hAnsi="Times New Roman" w:cs="Times New Roman"/>
          <w:b/>
          <w:bCs/>
          <w:sz w:val="20"/>
        </w:rPr>
        <w:t>B</w:t>
      </w:r>
      <w:r w:rsidR="009072CE" w:rsidRPr="00A07F29">
        <w:rPr>
          <w:rFonts w:ascii="Times New Roman" w:hAnsi="Times New Roman" w:cs="Times New Roman"/>
          <w:b/>
          <w:bCs/>
          <w:sz w:val="20"/>
        </w:rPr>
        <w:t xml:space="preserve">D </w:t>
      </w:r>
      <w:r w:rsidR="009072CE" w:rsidRPr="00A07F29">
        <w:rPr>
          <w:rFonts w:ascii="Times New Roman" w:hAnsi="Times New Roman" w:cs="Times New Roman"/>
          <w:sz w:val="20"/>
        </w:rPr>
        <w:t xml:space="preserve">– </w:t>
      </w:r>
      <w:r>
        <w:rPr>
          <w:rFonts w:ascii="Times New Roman" w:hAnsi="Times New Roman" w:cs="Times New Roman"/>
          <w:sz w:val="20"/>
        </w:rPr>
        <w:t xml:space="preserve">Biotopu direktīva: </w:t>
      </w:r>
      <w:r w:rsidR="009072CE" w:rsidRPr="00A07F29">
        <w:rPr>
          <w:rFonts w:ascii="Times New Roman" w:hAnsi="Times New Roman" w:cs="Times New Roman"/>
          <w:b/>
          <w:bCs/>
          <w:sz w:val="20"/>
        </w:rPr>
        <w:t>II</w:t>
      </w:r>
      <w:r w:rsidR="009072CE" w:rsidRPr="00A07F29">
        <w:rPr>
          <w:rFonts w:ascii="Times New Roman" w:hAnsi="Times New Roman" w:cs="Times New Roman"/>
          <w:bCs/>
          <w:sz w:val="20"/>
        </w:rPr>
        <w:t xml:space="preserve"> </w:t>
      </w:r>
      <w:r w:rsidR="009072CE" w:rsidRPr="00A07F29">
        <w:rPr>
          <w:rFonts w:ascii="Times New Roman" w:hAnsi="Times New Roman" w:cs="Times New Roman"/>
          <w:sz w:val="20"/>
        </w:rPr>
        <w:t xml:space="preserve">pielikums. Dzīvnieku un augu sugas, kas ir Kopienas interešu sfērā un kuru aizsardzībai nepieciešama īpaši aizsargājamo teritoriju nodalīšana; </w:t>
      </w:r>
      <w:r w:rsidR="009072CE" w:rsidRPr="00A07F29">
        <w:rPr>
          <w:rFonts w:ascii="Times New Roman" w:hAnsi="Times New Roman" w:cs="Times New Roman"/>
          <w:b/>
          <w:bCs/>
          <w:sz w:val="20"/>
        </w:rPr>
        <w:t>IV</w:t>
      </w:r>
      <w:r w:rsidR="009072CE" w:rsidRPr="00A07F29">
        <w:rPr>
          <w:rFonts w:ascii="Times New Roman" w:hAnsi="Times New Roman" w:cs="Times New Roman"/>
          <w:bCs/>
          <w:sz w:val="20"/>
        </w:rPr>
        <w:t xml:space="preserve"> </w:t>
      </w:r>
      <w:r w:rsidR="009072CE" w:rsidRPr="00A07F29">
        <w:rPr>
          <w:rFonts w:ascii="Times New Roman" w:hAnsi="Times New Roman" w:cs="Times New Roman"/>
          <w:sz w:val="20"/>
        </w:rPr>
        <w:t>pielikums. Dzīvnieku un augu sugas, kas ir Kopienas interešu sfērā un kuru aizsardzībai nepieciešams stingrs aizsardzības režīms.</w:t>
      </w:r>
    </w:p>
    <w:p w14:paraId="1D5AB93F" w14:textId="41A4CA66" w:rsidR="009072CE" w:rsidRPr="00A07F29" w:rsidRDefault="009072CE" w:rsidP="009072CE">
      <w:pPr>
        <w:shd w:val="clear" w:color="auto" w:fill="FFFFFF"/>
        <w:spacing w:after="0" w:line="240" w:lineRule="auto"/>
        <w:ind w:left="1134" w:hanging="567"/>
        <w:jc w:val="both"/>
        <w:rPr>
          <w:rFonts w:ascii="Times New Roman" w:hAnsi="Times New Roman" w:cs="Times New Roman"/>
          <w:color w:val="000000"/>
          <w:sz w:val="20"/>
        </w:rPr>
      </w:pPr>
      <w:r w:rsidRPr="00A07F29">
        <w:rPr>
          <w:rFonts w:ascii="Times New Roman" w:hAnsi="Times New Roman" w:cs="Times New Roman"/>
          <w:b/>
          <w:bCs/>
          <w:color w:val="000000"/>
          <w:spacing w:val="1"/>
          <w:sz w:val="20"/>
        </w:rPr>
        <w:t>I</w:t>
      </w:r>
      <w:r w:rsidRPr="00A07F29">
        <w:rPr>
          <w:rFonts w:ascii="Times New Roman" w:hAnsi="Times New Roman" w:cs="Times New Roman"/>
          <w:b/>
          <w:bCs/>
          <w:color w:val="000000"/>
          <w:spacing w:val="-1"/>
          <w:sz w:val="20"/>
        </w:rPr>
        <w:t>UC</w:t>
      </w:r>
      <w:r w:rsidRPr="00A07F29">
        <w:rPr>
          <w:rFonts w:ascii="Times New Roman" w:hAnsi="Times New Roman" w:cs="Times New Roman"/>
          <w:b/>
          <w:bCs/>
          <w:color w:val="000000"/>
          <w:sz w:val="20"/>
        </w:rPr>
        <w:t xml:space="preserve">N </w:t>
      </w:r>
      <w:r w:rsidRPr="00A07F29">
        <w:rPr>
          <w:rFonts w:ascii="Times New Roman" w:hAnsi="Times New Roman" w:cs="Times New Roman"/>
          <w:color w:val="000000"/>
          <w:sz w:val="20"/>
        </w:rPr>
        <w:t>–</w:t>
      </w:r>
      <w:r w:rsidR="0012263A" w:rsidRPr="0012263A">
        <w:rPr>
          <w:rFonts w:ascii="Times New Roman" w:eastAsia="Calibri" w:hAnsi="Times New Roman" w:cs="Times New Roman"/>
          <w:sz w:val="16"/>
          <w:szCs w:val="16"/>
        </w:rPr>
        <w:t xml:space="preserve"> </w:t>
      </w:r>
      <w:r w:rsidR="0012263A" w:rsidRPr="0012263A">
        <w:rPr>
          <w:rFonts w:ascii="Times New Roman" w:hAnsi="Times New Roman" w:cs="Times New Roman"/>
          <w:color w:val="000000"/>
          <w:sz w:val="20"/>
        </w:rPr>
        <w:t>Pasaules dabas aizsardzības organizācijas (</w:t>
      </w:r>
      <w:proofErr w:type="spellStart"/>
      <w:r w:rsidR="0012263A" w:rsidRPr="0012263A">
        <w:rPr>
          <w:rFonts w:ascii="Times New Roman" w:hAnsi="Times New Roman" w:cs="Times New Roman"/>
          <w:color w:val="000000"/>
          <w:sz w:val="20"/>
        </w:rPr>
        <w:t>International</w:t>
      </w:r>
      <w:proofErr w:type="spellEnd"/>
      <w:r w:rsidR="0012263A" w:rsidRPr="0012263A">
        <w:rPr>
          <w:rFonts w:ascii="Times New Roman" w:hAnsi="Times New Roman" w:cs="Times New Roman"/>
          <w:color w:val="000000"/>
          <w:sz w:val="20"/>
        </w:rPr>
        <w:t xml:space="preserve"> </w:t>
      </w:r>
      <w:proofErr w:type="spellStart"/>
      <w:r w:rsidR="0012263A" w:rsidRPr="0012263A">
        <w:rPr>
          <w:rFonts w:ascii="Times New Roman" w:hAnsi="Times New Roman" w:cs="Times New Roman"/>
          <w:color w:val="000000"/>
          <w:sz w:val="20"/>
        </w:rPr>
        <w:t>Union</w:t>
      </w:r>
      <w:proofErr w:type="spellEnd"/>
      <w:r w:rsidR="0012263A" w:rsidRPr="0012263A">
        <w:rPr>
          <w:rFonts w:ascii="Times New Roman" w:hAnsi="Times New Roman" w:cs="Times New Roman"/>
          <w:color w:val="000000"/>
          <w:sz w:val="20"/>
        </w:rPr>
        <w:t xml:space="preserve"> </w:t>
      </w:r>
      <w:proofErr w:type="spellStart"/>
      <w:r w:rsidR="0012263A" w:rsidRPr="0012263A">
        <w:rPr>
          <w:rFonts w:ascii="Times New Roman" w:hAnsi="Times New Roman" w:cs="Times New Roman"/>
          <w:color w:val="000000"/>
          <w:sz w:val="20"/>
        </w:rPr>
        <w:t>for</w:t>
      </w:r>
      <w:proofErr w:type="spellEnd"/>
      <w:r w:rsidR="0012263A" w:rsidRPr="0012263A">
        <w:rPr>
          <w:rFonts w:ascii="Times New Roman" w:hAnsi="Times New Roman" w:cs="Times New Roman"/>
          <w:color w:val="000000"/>
          <w:sz w:val="20"/>
        </w:rPr>
        <w:t xml:space="preserve"> </w:t>
      </w:r>
      <w:proofErr w:type="spellStart"/>
      <w:r w:rsidR="0012263A" w:rsidRPr="0012263A">
        <w:rPr>
          <w:rFonts w:ascii="Times New Roman" w:hAnsi="Times New Roman" w:cs="Times New Roman"/>
          <w:color w:val="000000"/>
          <w:sz w:val="20"/>
        </w:rPr>
        <w:t>Conservation</w:t>
      </w:r>
      <w:proofErr w:type="spellEnd"/>
      <w:r w:rsidR="0012263A" w:rsidRPr="0012263A">
        <w:rPr>
          <w:rFonts w:ascii="Times New Roman" w:hAnsi="Times New Roman" w:cs="Times New Roman"/>
          <w:color w:val="000000"/>
          <w:sz w:val="20"/>
        </w:rPr>
        <w:t xml:space="preserve"> </w:t>
      </w:r>
      <w:proofErr w:type="spellStart"/>
      <w:r w:rsidR="0012263A" w:rsidRPr="0012263A">
        <w:rPr>
          <w:rFonts w:ascii="Times New Roman" w:hAnsi="Times New Roman" w:cs="Times New Roman"/>
          <w:color w:val="000000"/>
          <w:sz w:val="20"/>
        </w:rPr>
        <w:t>of</w:t>
      </w:r>
      <w:proofErr w:type="spellEnd"/>
      <w:r w:rsidR="0012263A" w:rsidRPr="0012263A">
        <w:rPr>
          <w:rFonts w:ascii="Times New Roman" w:hAnsi="Times New Roman" w:cs="Times New Roman"/>
          <w:color w:val="000000"/>
          <w:sz w:val="20"/>
        </w:rPr>
        <w:t xml:space="preserve"> Nature; Red List </w:t>
      </w:r>
      <w:proofErr w:type="spellStart"/>
      <w:r w:rsidR="0012263A" w:rsidRPr="0012263A">
        <w:rPr>
          <w:rFonts w:ascii="Times New Roman" w:hAnsi="Times New Roman" w:cs="Times New Roman"/>
          <w:color w:val="000000"/>
          <w:sz w:val="20"/>
        </w:rPr>
        <w:t>version</w:t>
      </w:r>
      <w:proofErr w:type="spellEnd"/>
      <w:r w:rsidR="0012263A" w:rsidRPr="0012263A">
        <w:rPr>
          <w:rFonts w:ascii="Times New Roman" w:hAnsi="Times New Roman" w:cs="Times New Roman"/>
          <w:color w:val="000000"/>
          <w:sz w:val="20"/>
        </w:rPr>
        <w:t xml:space="preserve"> 3.1.; IUCN 2017)</w:t>
      </w:r>
      <w:r w:rsidR="00FA465F">
        <w:rPr>
          <w:rFonts w:ascii="Times New Roman" w:hAnsi="Times New Roman" w:cs="Times New Roman"/>
          <w:color w:val="000000"/>
          <w:sz w:val="20"/>
        </w:rPr>
        <w:t>.</w:t>
      </w:r>
    </w:p>
    <w:p w14:paraId="3C81594A" w14:textId="2CC35EB0" w:rsidR="009072CE" w:rsidRPr="00A07F29" w:rsidRDefault="009072CE" w:rsidP="009072CE">
      <w:pPr>
        <w:shd w:val="clear" w:color="auto" w:fill="FFFFFF"/>
        <w:spacing w:after="0" w:line="240" w:lineRule="auto"/>
        <w:ind w:left="1134" w:hanging="567"/>
        <w:jc w:val="both"/>
        <w:rPr>
          <w:rFonts w:ascii="Times New Roman" w:hAnsi="Times New Roman" w:cs="Times New Roman"/>
          <w:sz w:val="20"/>
        </w:rPr>
      </w:pPr>
      <w:r w:rsidRPr="00A07F29">
        <w:rPr>
          <w:rFonts w:ascii="Times New Roman" w:hAnsi="Times New Roman" w:cs="Times New Roman"/>
          <w:b/>
          <w:sz w:val="20"/>
        </w:rPr>
        <w:t xml:space="preserve">ĪAS </w:t>
      </w:r>
      <w:r w:rsidRPr="00A07F29">
        <w:rPr>
          <w:rFonts w:ascii="Times New Roman" w:hAnsi="Times New Roman" w:cs="Times New Roman"/>
          <w:sz w:val="20"/>
        </w:rPr>
        <w:t xml:space="preserve">– īpaši aizsargājama suga </w:t>
      </w:r>
      <w:r w:rsidR="0034659D">
        <w:rPr>
          <w:rFonts w:ascii="Times New Roman" w:hAnsi="Times New Roman" w:cs="Times New Roman"/>
          <w:sz w:val="20"/>
        </w:rPr>
        <w:t>(atbilstoši</w:t>
      </w:r>
      <w:r w:rsidRPr="00A07F29">
        <w:rPr>
          <w:rFonts w:ascii="Times New Roman" w:hAnsi="Times New Roman" w:cs="Times New Roman"/>
          <w:sz w:val="20"/>
        </w:rPr>
        <w:t xml:space="preserve"> MK 2000. gada 14. novembra noteikumiem Nr. 396 </w:t>
      </w:r>
      <w:r w:rsidR="0071738F">
        <w:rPr>
          <w:rFonts w:ascii="Times New Roman" w:hAnsi="Times New Roman" w:cs="Times New Roman"/>
          <w:sz w:val="20"/>
        </w:rPr>
        <w:t>“</w:t>
      </w:r>
      <w:r w:rsidRPr="00A07F29">
        <w:rPr>
          <w:rFonts w:ascii="Times New Roman" w:hAnsi="Times New Roman" w:cs="Times New Roman"/>
          <w:sz w:val="20"/>
        </w:rPr>
        <w:t>Noteikumi par īpaši aizsargājamo sugu un ierobežoti izmantojamo īpaši aizsargājamo sugu sarakstu”</w:t>
      </w:r>
      <w:r w:rsidR="0071738F">
        <w:rPr>
          <w:rFonts w:ascii="Times New Roman" w:hAnsi="Times New Roman" w:cs="Times New Roman"/>
          <w:sz w:val="20"/>
        </w:rPr>
        <w:t xml:space="preserve"> pielikumiem)</w:t>
      </w:r>
      <w:r w:rsidRPr="00A07F29">
        <w:rPr>
          <w:rFonts w:ascii="Times New Roman" w:hAnsi="Times New Roman" w:cs="Times New Roman"/>
          <w:sz w:val="20"/>
        </w:rPr>
        <w:t xml:space="preserve">. </w:t>
      </w:r>
    </w:p>
    <w:p w14:paraId="494B4D97" w14:textId="1FA61249" w:rsidR="009072CE" w:rsidRPr="00A07F29" w:rsidRDefault="009072CE" w:rsidP="009072CE">
      <w:pPr>
        <w:spacing w:after="0" w:line="240" w:lineRule="auto"/>
        <w:ind w:left="1134" w:hanging="567"/>
        <w:jc w:val="both"/>
        <w:rPr>
          <w:rFonts w:ascii="Times New Roman" w:hAnsi="Times New Roman" w:cs="Times New Roman"/>
          <w:sz w:val="20"/>
        </w:rPr>
      </w:pPr>
      <w:r w:rsidRPr="00A07F29">
        <w:rPr>
          <w:rFonts w:ascii="Times New Roman" w:hAnsi="Times New Roman" w:cs="Times New Roman"/>
          <w:b/>
          <w:sz w:val="20"/>
        </w:rPr>
        <w:t xml:space="preserve">MLS </w:t>
      </w:r>
      <w:r w:rsidRPr="00A07F29">
        <w:rPr>
          <w:rFonts w:ascii="Times New Roman" w:hAnsi="Times New Roman" w:cs="Times New Roman"/>
          <w:sz w:val="20"/>
        </w:rPr>
        <w:t>– sugas aizsardzībai veidojams mikroliegums</w:t>
      </w:r>
      <w:r w:rsidR="0071738F">
        <w:rPr>
          <w:rFonts w:ascii="Times New Roman" w:hAnsi="Times New Roman" w:cs="Times New Roman"/>
          <w:sz w:val="20"/>
        </w:rPr>
        <w:t xml:space="preserve"> (atbilstoši</w:t>
      </w:r>
      <w:r w:rsidRPr="00A07F29">
        <w:rPr>
          <w:rFonts w:ascii="Times New Roman" w:hAnsi="Times New Roman" w:cs="Times New Roman"/>
          <w:sz w:val="20"/>
        </w:rPr>
        <w:t xml:space="preserve"> </w:t>
      </w:r>
      <w:r w:rsidR="0071738F">
        <w:rPr>
          <w:rFonts w:ascii="Times New Roman" w:hAnsi="Times New Roman" w:cs="Times New Roman"/>
          <w:sz w:val="20"/>
        </w:rPr>
        <w:t>MK</w:t>
      </w:r>
      <w:r w:rsidRPr="00A07F29">
        <w:rPr>
          <w:rFonts w:ascii="Times New Roman" w:hAnsi="Times New Roman" w:cs="Times New Roman"/>
          <w:sz w:val="20"/>
        </w:rPr>
        <w:t xml:space="preserve"> 2012. gada 18. decembra noteikum</w:t>
      </w:r>
      <w:r w:rsidR="00686D57">
        <w:rPr>
          <w:rFonts w:ascii="Times New Roman" w:hAnsi="Times New Roman" w:cs="Times New Roman"/>
          <w:sz w:val="20"/>
        </w:rPr>
        <w:t>u</w:t>
      </w:r>
      <w:r w:rsidRPr="00A07F29">
        <w:rPr>
          <w:rFonts w:ascii="Times New Roman" w:hAnsi="Times New Roman" w:cs="Times New Roman"/>
          <w:sz w:val="20"/>
        </w:rPr>
        <w:t xml:space="preserve"> Nr.</w:t>
      </w:r>
      <w:r w:rsidR="0071738F">
        <w:rPr>
          <w:rFonts w:ascii="Times New Roman" w:hAnsi="Times New Roman" w:cs="Times New Roman"/>
          <w:sz w:val="20"/>
        </w:rPr>
        <w:t> </w:t>
      </w:r>
      <w:r w:rsidRPr="00A07F29">
        <w:rPr>
          <w:rFonts w:ascii="Times New Roman" w:hAnsi="Times New Roman" w:cs="Times New Roman"/>
          <w:sz w:val="20"/>
        </w:rPr>
        <w:t xml:space="preserve">940 </w:t>
      </w:r>
      <w:r w:rsidR="0071738F">
        <w:rPr>
          <w:rFonts w:ascii="Times New Roman" w:hAnsi="Times New Roman" w:cs="Times New Roman"/>
          <w:sz w:val="20"/>
        </w:rPr>
        <w:t>“</w:t>
      </w:r>
      <w:r w:rsidRPr="00A07F29">
        <w:rPr>
          <w:rFonts w:ascii="Times New Roman" w:hAnsi="Times New Roman" w:cs="Times New Roman"/>
          <w:sz w:val="20"/>
        </w:rPr>
        <w:t>Noteikumi par mikroliegumu izveidošanas un apsaimniekošanas kārtību, to aizsardzību, kā arī mikroliegumu un to buferzonu noteikšanu”</w:t>
      </w:r>
      <w:r w:rsidR="00686D57">
        <w:rPr>
          <w:rFonts w:ascii="Times New Roman" w:hAnsi="Times New Roman" w:cs="Times New Roman"/>
          <w:sz w:val="20"/>
        </w:rPr>
        <w:t xml:space="preserve"> pielikumam)</w:t>
      </w:r>
      <w:r w:rsidRPr="00A07F29">
        <w:rPr>
          <w:rFonts w:ascii="Times New Roman" w:hAnsi="Times New Roman" w:cs="Times New Roman"/>
          <w:sz w:val="20"/>
        </w:rPr>
        <w:t>.</w:t>
      </w:r>
    </w:p>
    <w:p w14:paraId="68EC6E4C" w14:textId="4F72DAA8" w:rsidR="009072CE" w:rsidRPr="00A07F29" w:rsidRDefault="002B780D" w:rsidP="009072CE">
      <w:pPr>
        <w:spacing w:after="0" w:line="240" w:lineRule="auto"/>
        <w:ind w:left="1134" w:hanging="567"/>
        <w:jc w:val="both"/>
        <w:rPr>
          <w:rFonts w:ascii="Times New Roman" w:eastAsia="Times New Roman" w:hAnsi="Times New Roman" w:cs="Times New Roman"/>
          <w:color w:val="000000"/>
          <w:sz w:val="20"/>
        </w:rPr>
      </w:pPr>
      <w:r>
        <w:rPr>
          <w:rFonts w:ascii="Times New Roman" w:hAnsi="Times New Roman" w:cs="Times New Roman"/>
          <w:b/>
          <w:bCs/>
          <w:spacing w:val="-1"/>
          <w:sz w:val="20"/>
        </w:rPr>
        <w:t>L</w:t>
      </w:r>
      <w:r w:rsidR="009072CE" w:rsidRPr="00A07F29">
        <w:rPr>
          <w:rFonts w:ascii="Times New Roman" w:hAnsi="Times New Roman" w:cs="Times New Roman"/>
          <w:b/>
          <w:bCs/>
          <w:spacing w:val="-1"/>
          <w:sz w:val="20"/>
        </w:rPr>
        <w:t xml:space="preserve">SG </w:t>
      </w:r>
      <w:r w:rsidR="009072CE" w:rsidRPr="00A07F29">
        <w:rPr>
          <w:rFonts w:ascii="Times New Roman" w:hAnsi="Times New Roman" w:cs="Times New Roman"/>
          <w:spacing w:val="-1"/>
          <w:sz w:val="20"/>
        </w:rPr>
        <w:t>– Latvijas Sarkanā grāmata (2003) (</w:t>
      </w:r>
      <w:r w:rsidR="009072CE" w:rsidRPr="00A07F29">
        <w:rPr>
          <w:rFonts w:ascii="Times New Roman" w:hAnsi="Times New Roman" w:cs="Times New Roman"/>
          <w:bCs/>
          <w:sz w:val="20"/>
        </w:rPr>
        <w:t>0</w:t>
      </w:r>
      <w:r w:rsidR="009072CE" w:rsidRPr="00A07F29">
        <w:rPr>
          <w:rFonts w:ascii="Times New Roman" w:hAnsi="Times New Roman" w:cs="Times New Roman"/>
          <w:sz w:val="20"/>
        </w:rPr>
        <w:t xml:space="preserve"> - izzūdošās sugas; </w:t>
      </w:r>
      <w:r w:rsidR="009072CE" w:rsidRPr="00A07F29">
        <w:rPr>
          <w:rFonts w:ascii="Times New Roman" w:hAnsi="Times New Roman" w:cs="Times New Roman"/>
          <w:bCs/>
          <w:sz w:val="20"/>
        </w:rPr>
        <w:t>1</w:t>
      </w:r>
      <w:r w:rsidR="009072CE" w:rsidRPr="00A07F29">
        <w:rPr>
          <w:rFonts w:ascii="Times New Roman" w:hAnsi="Times New Roman" w:cs="Times New Roman"/>
          <w:sz w:val="20"/>
        </w:rPr>
        <w:t xml:space="preserve"> </w:t>
      </w:r>
      <w:r w:rsidR="009072CE" w:rsidRPr="00A07F29">
        <w:rPr>
          <w:rFonts w:ascii="Times New Roman" w:hAnsi="Times New Roman" w:cs="Times New Roman"/>
          <w:spacing w:val="-1"/>
          <w:sz w:val="20"/>
        </w:rPr>
        <w:t xml:space="preserve">- sarūkošās sugas; </w:t>
      </w:r>
      <w:r w:rsidR="009072CE" w:rsidRPr="00A07F29">
        <w:rPr>
          <w:rFonts w:ascii="Times New Roman" w:hAnsi="Times New Roman" w:cs="Times New Roman"/>
          <w:bCs/>
          <w:spacing w:val="-1"/>
          <w:sz w:val="20"/>
        </w:rPr>
        <w:t>2</w:t>
      </w:r>
      <w:r w:rsidR="009072CE" w:rsidRPr="00A07F29">
        <w:rPr>
          <w:rFonts w:ascii="Times New Roman" w:hAnsi="Times New Roman" w:cs="Times New Roman"/>
          <w:spacing w:val="-1"/>
          <w:sz w:val="20"/>
        </w:rPr>
        <w:t xml:space="preserve"> - retās sugas; </w:t>
      </w:r>
      <w:r w:rsidR="009072CE" w:rsidRPr="00A07F29">
        <w:rPr>
          <w:rFonts w:ascii="Times New Roman" w:hAnsi="Times New Roman" w:cs="Times New Roman"/>
          <w:bCs/>
          <w:spacing w:val="-1"/>
          <w:sz w:val="20"/>
        </w:rPr>
        <w:t>3</w:t>
      </w:r>
      <w:r w:rsidR="009072CE" w:rsidRPr="00A07F29">
        <w:rPr>
          <w:rFonts w:ascii="Times New Roman" w:hAnsi="Times New Roman" w:cs="Times New Roman"/>
          <w:spacing w:val="-1"/>
          <w:sz w:val="20"/>
        </w:rPr>
        <w:t xml:space="preserve"> - maz pazīstamās sugas).</w:t>
      </w:r>
    </w:p>
    <w:p w14:paraId="51504EA6" w14:textId="2E72E8BE" w:rsidR="009072CE" w:rsidRPr="00A07F29" w:rsidRDefault="009072CE" w:rsidP="009072CE">
      <w:pPr>
        <w:spacing w:after="0" w:line="240" w:lineRule="auto"/>
        <w:ind w:left="1134" w:hanging="567"/>
        <w:jc w:val="both"/>
        <w:rPr>
          <w:rFonts w:ascii="Times New Roman" w:eastAsia="Times New Roman" w:hAnsi="Times New Roman" w:cs="Times New Roman"/>
          <w:color w:val="000000"/>
          <w:sz w:val="20"/>
        </w:rPr>
      </w:pPr>
      <w:r w:rsidRPr="00A07F29">
        <w:rPr>
          <w:rFonts w:ascii="Times New Roman" w:eastAsia="Times New Roman" w:hAnsi="Times New Roman" w:cs="Times New Roman"/>
          <w:b/>
          <w:color w:val="000000"/>
          <w:sz w:val="20"/>
          <w:vertAlign w:val="superscript"/>
        </w:rPr>
        <w:t>1</w:t>
      </w:r>
      <w:r w:rsidRPr="00A07F29">
        <w:rPr>
          <w:rFonts w:ascii="Times New Roman" w:eastAsia="Times New Roman" w:hAnsi="Times New Roman" w:cs="Times New Roman"/>
          <w:color w:val="000000"/>
          <w:sz w:val="20"/>
          <w:vertAlign w:val="superscript"/>
        </w:rPr>
        <w:t xml:space="preserve"> </w:t>
      </w:r>
      <w:r w:rsidRPr="00A07F29">
        <w:rPr>
          <w:rFonts w:ascii="Times New Roman" w:hAnsi="Times New Roman" w:cs="Times New Roman"/>
          <w:spacing w:val="-1"/>
          <w:sz w:val="20"/>
        </w:rPr>
        <w:t xml:space="preserve">– </w:t>
      </w:r>
      <w:r w:rsidR="0025412C">
        <w:rPr>
          <w:rFonts w:ascii="Times New Roman" w:hAnsi="Times New Roman" w:cs="Times New Roman"/>
          <w:spacing w:val="-1"/>
          <w:sz w:val="20"/>
        </w:rPr>
        <w:t>Aizsardzības stāvokļa</w:t>
      </w:r>
      <w:r w:rsidR="00E95102">
        <w:rPr>
          <w:rFonts w:ascii="Times New Roman" w:hAnsi="Times New Roman" w:cs="Times New Roman"/>
          <w:spacing w:val="-1"/>
          <w:sz w:val="20"/>
        </w:rPr>
        <w:t xml:space="preserve"> novērtējums atbilstoši </w:t>
      </w:r>
      <w:r w:rsidR="00E95102">
        <w:rPr>
          <w:rFonts w:ascii="Times New Roman" w:eastAsia="Times New Roman" w:hAnsi="Times New Roman" w:cs="Times New Roman"/>
          <w:color w:val="000000"/>
          <w:sz w:val="20"/>
        </w:rPr>
        <w:t>z</w:t>
      </w:r>
      <w:r w:rsidRPr="00A07F29">
        <w:rPr>
          <w:rFonts w:ascii="Times New Roman" w:eastAsia="Times New Roman" w:hAnsi="Times New Roman" w:cs="Times New Roman"/>
          <w:color w:val="000000"/>
          <w:sz w:val="20"/>
        </w:rPr>
        <w:t>iņojum</w:t>
      </w:r>
      <w:r w:rsidR="00E95102">
        <w:rPr>
          <w:rFonts w:ascii="Times New Roman" w:eastAsia="Times New Roman" w:hAnsi="Times New Roman" w:cs="Times New Roman"/>
          <w:color w:val="000000"/>
          <w:sz w:val="20"/>
        </w:rPr>
        <w:t>ā</w:t>
      </w:r>
      <w:r w:rsidRPr="00A07F29">
        <w:rPr>
          <w:rFonts w:ascii="Times New Roman" w:eastAsia="Times New Roman" w:hAnsi="Times New Roman" w:cs="Times New Roman"/>
          <w:color w:val="000000"/>
          <w:sz w:val="20"/>
        </w:rPr>
        <w:t xml:space="preserve"> Eiropas Komisijai par </w:t>
      </w:r>
      <w:r w:rsidR="00E95102">
        <w:rPr>
          <w:rFonts w:ascii="Times New Roman" w:eastAsia="Times New Roman" w:hAnsi="Times New Roman" w:cs="Times New Roman"/>
          <w:color w:val="000000"/>
          <w:sz w:val="20"/>
        </w:rPr>
        <w:t xml:space="preserve">ES </w:t>
      </w:r>
      <w:r w:rsidRPr="00A07F29">
        <w:rPr>
          <w:rFonts w:ascii="Times New Roman" w:eastAsia="Times New Roman" w:hAnsi="Times New Roman" w:cs="Times New Roman"/>
          <w:color w:val="000000"/>
          <w:sz w:val="20"/>
        </w:rPr>
        <w:t>biotopu (dzīvotņu) un sugu aizsardzības stāvokli Latvijā</w:t>
      </w:r>
      <w:r w:rsidR="002621E3">
        <w:rPr>
          <w:rFonts w:ascii="Times New Roman" w:eastAsia="Times New Roman" w:hAnsi="Times New Roman" w:cs="Times New Roman"/>
          <w:color w:val="000000"/>
          <w:sz w:val="20"/>
        </w:rPr>
        <w:t>, n</w:t>
      </w:r>
      <w:r w:rsidRPr="00A07F29">
        <w:rPr>
          <w:rFonts w:ascii="Times New Roman" w:eastAsia="Times New Roman" w:hAnsi="Times New Roman" w:cs="Times New Roman"/>
          <w:color w:val="000000"/>
          <w:sz w:val="20"/>
        </w:rPr>
        <w:t>ovērtējums par 2013.‐2018. gada periodu</w:t>
      </w:r>
      <w:r w:rsidR="002621E3">
        <w:rPr>
          <w:rFonts w:ascii="Times New Roman" w:eastAsia="Times New Roman" w:hAnsi="Times New Roman" w:cs="Times New Roman"/>
          <w:color w:val="000000"/>
          <w:sz w:val="20"/>
        </w:rPr>
        <w:t xml:space="preserve"> (ES ziņojums, 2019)</w:t>
      </w:r>
      <w:r w:rsidRPr="00A07F29">
        <w:rPr>
          <w:rFonts w:ascii="Times New Roman" w:eastAsia="Times New Roman" w:hAnsi="Times New Roman" w:cs="Times New Roman"/>
          <w:color w:val="000000"/>
          <w:sz w:val="20"/>
        </w:rPr>
        <w:t xml:space="preserve">. </w:t>
      </w:r>
      <w:r w:rsidRPr="00A07F29">
        <w:rPr>
          <w:rFonts w:ascii="Times New Roman" w:eastAsia="Times New Roman" w:hAnsi="Times New Roman" w:cs="Times New Roman"/>
          <w:b/>
          <w:bCs/>
          <w:color w:val="000000"/>
          <w:sz w:val="20"/>
        </w:rPr>
        <w:t>FV</w:t>
      </w:r>
      <w:r w:rsidRPr="00A07F29">
        <w:rPr>
          <w:rFonts w:ascii="Times New Roman" w:eastAsia="Times New Roman" w:hAnsi="Times New Roman" w:cs="Times New Roman"/>
          <w:color w:val="000000"/>
          <w:sz w:val="20"/>
        </w:rPr>
        <w:t>: Aizsardzības stāvoklis labvēlīgs (</w:t>
      </w:r>
      <w:proofErr w:type="spellStart"/>
      <w:r w:rsidRPr="00A07F29">
        <w:rPr>
          <w:rFonts w:ascii="Times New Roman" w:eastAsia="Times New Roman" w:hAnsi="Times New Roman" w:cs="Times New Roman"/>
          <w:color w:val="000000"/>
          <w:sz w:val="20"/>
        </w:rPr>
        <w:t>Favourable</w:t>
      </w:r>
      <w:proofErr w:type="spellEnd"/>
      <w:r w:rsidRPr="00A07F29">
        <w:rPr>
          <w:rFonts w:ascii="Times New Roman" w:eastAsia="Times New Roman" w:hAnsi="Times New Roman" w:cs="Times New Roman"/>
          <w:color w:val="000000"/>
          <w:sz w:val="20"/>
        </w:rPr>
        <w:t xml:space="preserve">); </w:t>
      </w:r>
      <w:r w:rsidRPr="00A07F29">
        <w:rPr>
          <w:rFonts w:ascii="Times New Roman" w:eastAsia="Times New Roman" w:hAnsi="Times New Roman" w:cs="Times New Roman"/>
          <w:b/>
          <w:bCs/>
          <w:color w:val="000000"/>
          <w:sz w:val="20"/>
        </w:rPr>
        <w:t>U1</w:t>
      </w:r>
      <w:r w:rsidRPr="00A07F29">
        <w:rPr>
          <w:rFonts w:ascii="Times New Roman" w:eastAsia="Times New Roman" w:hAnsi="Times New Roman" w:cs="Times New Roman"/>
          <w:color w:val="000000"/>
          <w:sz w:val="20"/>
        </w:rPr>
        <w:t>: Aizsardzības stāvoklis nelabvēlīgs‐nepietiekams (</w:t>
      </w:r>
      <w:proofErr w:type="spellStart"/>
      <w:r w:rsidRPr="00A07F29">
        <w:rPr>
          <w:rFonts w:ascii="Times New Roman" w:eastAsia="Times New Roman" w:hAnsi="Times New Roman" w:cs="Times New Roman"/>
          <w:color w:val="000000"/>
          <w:sz w:val="20"/>
        </w:rPr>
        <w:t>Unfavourable‐Inadequate</w:t>
      </w:r>
      <w:proofErr w:type="spellEnd"/>
      <w:r w:rsidRPr="00A07F29">
        <w:rPr>
          <w:rFonts w:ascii="Times New Roman" w:eastAsia="Times New Roman" w:hAnsi="Times New Roman" w:cs="Times New Roman"/>
          <w:color w:val="000000"/>
          <w:sz w:val="20"/>
        </w:rPr>
        <w:t xml:space="preserve">); </w:t>
      </w:r>
      <w:r w:rsidRPr="00A07F29">
        <w:rPr>
          <w:rFonts w:ascii="Times New Roman" w:eastAsia="Times New Roman" w:hAnsi="Times New Roman" w:cs="Times New Roman"/>
          <w:b/>
          <w:bCs/>
          <w:color w:val="000000"/>
          <w:sz w:val="20"/>
        </w:rPr>
        <w:t>U2</w:t>
      </w:r>
      <w:r w:rsidRPr="00A07F29">
        <w:rPr>
          <w:rFonts w:ascii="Times New Roman" w:eastAsia="Times New Roman" w:hAnsi="Times New Roman" w:cs="Times New Roman"/>
          <w:color w:val="000000"/>
          <w:sz w:val="20"/>
        </w:rPr>
        <w:t>: Aizsardzības stāvoklis nelabvēlīgs‐slikts (</w:t>
      </w:r>
      <w:proofErr w:type="spellStart"/>
      <w:r w:rsidRPr="00A07F29">
        <w:rPr>
          <w:rFonts w:ascii="Times New Roman" w:eastAsia="Times New Roman" w:hAnsi="Times New Roman" w:cs="Times New Roman"/>
          <w:color w:val="000000"/>
          <w:sz w:val="20"/>
        </w:rPr>
        <w:t>Unfavourable</w:t>
      </w:r>
      <w:proofErr w:type="spellEnd"/>
      <w:r w:rsidRPr="00A07F29">
        <w:rPr>
          <w:rFonts w:ascii="Times New Roman" w:eastAsia="Times New Roman" w:hAnsi="Times New Roman" w:cs="Times New Roman"/>
          <w:color w:val="000000"/>
          <w:sz w:val="20"/>
        </w:rPr>
        <w:t xml:space="preserve">‐Bad); </w:t>
      </w:r>
      <w:r w:rsidRPr="00A07F29">
        <w:rPr>
          <w:rFonts w:ascii="Times New Roman" w:eastAsia="Times New Roman" w:hAnsi="Times New Roman" w:cs="Times New Roman"/>
          <w:b/>
          <w:bCs/>
          <w:color w:val="000000"/>
          <w:sz w:val="20"/>
        </w:rPr>
        <w:t>XX</w:t>
      </w:r>
      <w:r w:rsidRPr="00A07F29">
        <w:rPr>
          <w:rFonts w:ascii="Times New Roman" w:eastAsia="Times New Roman" w:hAnsi="Times New Roman" w:cs="Times New Roman"/>
          <w:color w:val="000000"/>
          <w:sz w:val="20"/>
        </w:rPr>
        <w:t>: Aizsardzības stāvoklis nezināms (</w:t>
      </w:r>
      <w:proofErr w:type="spellStart"/>
      <w:r w:rsidRPr="00A07F29">
        <w:rPr>
          <w:rFonts w:ascii="Times New Roman" w:eastAsia="Times New Roman" w:hAnsi="Times New Roman" w:cs="Times New Roman"/>
          <w:color w:val="000000"/>
          <w:sz w:val="20"/>
        </w:rPr>
        <w:t>Unknown</w:t>
      </w:r>
      <w:proofErr w:type="spellEnd"/>
      <w:r w:rsidRPr="00A07F29">
        <w:rPr>
          <w:rFonts w:ascii="Times New Roman" w:eastAsia="Times New Roman" w:hAnsi="Times New Roman" w:cs="Times New Roman"/>
          <w:color w:val="000000"/>
          <w:sz w:val="20"/>
        </w:rPr>
        <w:t xml:space="preserve">). Apzīmējumi aizsardzības stāvokļa tendencei ‐ </w:t>
      </w:r>
      <w:r w:rsidRPr="00A07F29">
        <w:rPr>
          <w:rFonts w:ascii="Times New Roman" w:eastAsia="Times New Roman" w:hAnsi="Times New Roman" w:cs="Times New Roman"/>
          <w:b/>
          <w:bCs/>
          <w:color w:val="000000"/>
          <w:sz w:val="20"/>
        </w:rPr>
        <w:t xml:space="preserve">+ </w:t>
      </w:r>
      <w:r w:rsidRPr="00A07F29">
        <w:rPr>
          <w:rFonts w:ascii="Times New Roman" w:eastAsia="Times New Roman" w:hAnsi="Times New Roman" w:cs="Times New Roman"/>
          <w:color w:val="000000"/>
          <w:sz w:val="20"/>
        </w:rPr>
        <w:t xml:space="preserve">‐ uzlabojas; </w:t>
      </w:r>
      <w:r w:rsidRPr="00A07F29">
        <w:rPr>
          <w:rFonts w:ascii="Times New Roman" w:eastAsia="Times New Roman" w:hAnsi="Times New Roman" w:cs="Times New Roman"/>
          <w:b/>
          <w:bCs/>
          <w:color w:val="000000"/>
          <w:sz w:val="20"/>
        </w:rPr>
        <w:t>-</w:t>
      </w:r>
      <w:r w:rsidRPr="00A07F29">
        <w:rPr>
          <w:rFonts w:ascii="Times New Roman" w:eastAsia="Times New Roman" w:hAnsi="Times New Roman" w:cs="Times New Roman"/>
          <w:color w:val="000000"/>
          <w:sz w:val="20"/>
        </w:rPr>
        <w:t xml:space="preserve">‐ pasliktinās; </w:t>
      </w:r>
      <w:r w:rsidRPr="00A07F29">
        <w:rPr>
          <w:rFonts w:ascii="Times New Roman" w:eastAsia="Times New Roman" w:hAnsi="Times New Roman" w:cs="Times New Roman"/>
          <w:b/>
          <w:bCs/>
          <w:color w:val="000000"/>
          <w:sz w:val="20"/>
        </w:rPr>
        <w:t xml:space="preserve">= </w:t>
      </w:r>
      <w:r w:rsidRPr="00A07F29">
        <w:rPr>
          <w:rFonts w:ascii="Times New Roman" w:eastAsia="Times New Roman" w:hAnsi="Times New Roman" w:cs="Times New Roman"/>
          <w:color w:val="000000"/>
          <w:sz w:val="20"/>
        </w:rPr>
        <w:t xml:space="preserve">‐ stabils, </w:t>
      </w:r>
      <w:r w:rsidRPr="00A07F29">
        <w:rPr>
          <w:rFonts w:ascii="Times New Roman" w:eastAsia="Times New Roman" w:hAnsi="Times New Roman" w:cs="Times New Roman"/>
          <w:b/>
          <w:bCs/>
          <w:color w:val="000000"/>
          <w:sz w:val="20"/>
        </w:rPr>
        <w:t xml:space="preserve">x </w:t>
      </w:r>
      <w:r w:rsidRPr="00A07F29">
        <w:rPr>
          <w:rFonts w:ascii="Times New Roman" w:eastAsia="Times New Roman" w:hAnsi="Times New Roman" w:cs="Times New Roman"/>
          <w:color w:val="000000"/>
          <w:sz w:val="20"/>
        </w:rPr>
        <w:t>‐ nezināms</w:t>
      </w:r>
    </w:p>
    <w:p w14:paraId="505F84AC" w14:textId="795D1FA5" w:rsidR="00220812" w:rsidRPr="00A07F29" w:rsidRDefault="00C27AF4" w:rsidP="00A826C0">
      <w:pPr>
        <w:keepNext/>
        <w:spacing w:before="240" w:after="120" w:line="240" w:lineRule="auto"/>
        <w:jc w:val="center"/>
        <w:rPr>
          <w:rFonts w:ascii="Times New Roman" w:eastAsia="Times New Roman" w:hAnsi="Times New Roman" w:cs="Times New Roman"/>
          <w:sz w:val="24"/>
          <w:szCs w:val="24"/>
        </w:rPr>
      </w:pPr>
      <w:r w:rsidRPr="00A07F29">
        <w:rPr>
          <w:rFonts w:ascii="Times New Roman" w:eastAsia="Calibri" w:hAnsi="Times New Roman" w:cs="Times New Roman"/>
          <w:iCs/>
          <w:sz w:val="24"/>
          <w:szCs w:val="24"/>
        </w:rPr>
        <w:t>4.</w:t>
      </w:r>
      <w:r w:rsidR="002264A5" w:rsidRPr="00A07F29">
        <w:rPr>
          <w:rFonts w:ascii="Times New Roman" w:eastAsia="Calibri" w:hAnsi="Times New Roman" w:cs="Times New Roman"/>
          <w:iCs/>
          <w:sz w:val="24"/>
          <w:szCs w:val="24"/>
        </w:rPr>
        <w:t>8</w:t>
      </w:r>
      <w:r w:rsidRPr="00A07F29">
        <w:rPr>
          <w:rFonts w:ascii="Times New Roman" w:eastAsia="Calibri" w:hAnsi="Times New Roman" w:cs="Times New Roman"/>
          <w:iCs/>
          <w:sz w:val="24"/>
          <w:szCs w:val="24"/>
        </w:rPr>
        <w:t>.2.</w:t>
      </w:r>
      <w:r w:rsidR="00AF4F21">
        <w:rPr>
          <w:rFonts w:ascii="Times New Roman" w:eastAsia="Calibri" w:hAnsi="Times New Roman" w:cs="Times New Roman"/>
          <w:iCs/>
          <w:sz w:val="24"/>
          <w:szCs w:val="24"/>
        </w:rPr>
        <w:t> </w:t>
      </w:r>
      <w:r w:rsidRPr="00A07F29">
        <w:rPr>
          <w:rFonts w:ascii="Times New Roman" w:eastAsia="Calibri" w:hAnsi="Times New Roman" w:cs="Times New Roman"/>
          <w:iCs/>
          <w:sz w:val="24"/>
          <w:szCs w:val="24"/>
        </w:rPr>
        <w:t>tabula</w:t>
      </w:r>
      <w:r w:rsidR="002264A5" w:rsidRPr="00A07F29">
        <w:rPr>
          <w:rFonts w:ascii="Times New Roman" w:eastAsia="Calibri" w:hAnsi="Times New Roman" w:cs="Times New Roman"/>
          <w:iCs/>
          <w:sz w:val="24"/>
          <w:szCs w:val="24"/>
        </w:rPr>
        <w:t>.</w:t>
      </w:r>
      <w:r w:rsidRPr="00A07F29">
        <w:rPr>
          <w:rFonts w:ascii="Times New Roman" w:eastAsia="Calibri" w:hAnsi="Times New Roman" w:cs="Times New Roman"/>
          <w:iCs/>
          <w:sz w:val="24"/>
          <w:szCs w:val="24"/>
        </w:rPr>
        <w:t xml:space="preserve"> </w:t>
      </w:r>
      <w:r w:rsidRPr="00A07F29">
        <w:rPr>
          <w:rFonts w:ascii="Times New Roman" w:eastAsia="Calibri" w:hAnsi="Times New Roman" w:cs="Times New Roman"/>
          <w:sz w:val="24"/>
          <w:szCs w:val="24"/>
        </w:rPr>
        <w:t>Direktīvu pielikumos iekļauto abinieku un rāpuļu sugu populāciju lielums un sugu dzīvotņu platība</w:t>
      </w:r>
    </w:p>
    <w:tbl>
      <w:tblPr>
        <w:tblW w:w="9204" w:type="dxa"/>
        <w:tblCellMar>
          <w:left w:w="0" w:type="dxa"/>
          <w:right w:w="0" w:type="dxa"/>
        </w:tblCellMar>
        <w:tblLook w:val="04A0" w:firstRow="1" w:lastRow="0" w:firstColumn="1" w:lastColumn="0" w:noHBand="0" w:noVBand="1"/>
      </w:tblPr>
      <w:tblGrid>
        <w:gridCol w:w="554"/>
        <w:gridCol w:w="2226"/>
        <w:gridCol w:w="840"/>
        <w:gridCol w:w="711"/>
        <w:gridCol w:w="1266"/>
        <w:gridCol w:w="1261"/>
        <w:gridCol w:w="836"/>
        <w:gridCol w:w="1510"/>
      </w:tblGrid>
      <w:tr w:rsidR="00A826C0" w:rsidRPr="00A07F29" w14:paraId="0B4B4FB4" w14:textId="77777777" w:rsidTr="00A826C0">
        <w:trPr>
          <w:cantSplit/>
          <w:trHeight w:val="2547"/>
        </w:trPr>
        <w:tc>
          <w:tcPr>
            <w:tcW w:w="55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3CE1B11" w14:textId="77777777" w:rsidR="00220812" w:rsidRPr="00A07F29" w:rsidRDefault="00220812" w:rsidP="00A826C0">
            <w:pPr>
              <w:keepNext/>
              <w:spacing w:after="0" w:line="240" w:lineRule="auto"/>
              <w:rPr>
                <w:rFonts w:ascii="Times New Roman" w:eastAsia="Times New Roman" w:hAnsi="Times New Roman" w:cs="Times New Roman"/>
                <w:sz w:val="20"/>
                <w:szCs w:val="20"/>
              </w:rPr>
            </w:pPr>
            <w:r w:rsidRPr="00A07F29">
              <w:rPr>
                <w:rFonts w:ascii="Times New Roman" w:eastAsia="Times New Roman" w:hAnsi="Times New Roman" w:cs="Times New Roman"/>
                <w:sz w:val="20"/>
                <w:szCs w:val="20"/>
              </w:rPr>
              <w:t>Nr.</w:t>
            </w:r>
          </w:p>
          <w:p w14:paraId="7B71A674" w14:textId="2513CDE2" w:rsidR="00220812" w:rsidRPr="00A07F29" w:rsidRDefault="00220812" w:rsidP="00A826C0">
            <w:pPr>
              <w:keepNext/>
              <w:spacing w:after="0" w:line="240" w:lineRule="auto"/>
              <w:rPr>
                <w:rFonts w:ascii="Times New Roman" w:eastAsia="Times New Roman" w:hAnsi="Times New Roman" w:cs="Times New Roman"/>
                <w:sz w:val="24"/>
                <w:szCs w:val="24"/>
              </w:rPr>
            </w:pPr>
            <w:r w:rsidRPr="00A07F29">
              <w:rPr>
                <w:rFonts w:ascii="Times New Roman" w:eastAsia="Times New Roman" w:hAnsi="Times New Roman" w:cs="Times New Roman"/>
                <w:sz w:val="20"/>
                <w:szCs w:val="20"/>
              </w:rPr>
              <w:t>p.k.</w:t>
            </w:r>
          </w:p>
        </w:tc>
        <w:tc>
          <w:tcPr>
            <w:tcW w:w="22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20BA687" w14:textId="77777777" w:rsidR="00220812" w:rsidRPr="00A07F29" w:rsidRDefault="00220812" w:rsidP="00A826C0">
            <w:pPr>
              <w:keepNext/>
              <w:spacing w:after="0" w:line="240" w:lineRule="auto"/>
              <w:rPr>
                <w:rFonts w:ascii="Times New Roman" w:eastAsia="Times New Roman" w:hAnsi="Times New Roman" w:cs="Times New Roman"/>
                <w:sz w:val="24"/>
                <w:szCs w:val="24"/>
              </w:rPr>
            </w:pPr>
            <w:r w:rsidRPr="00A07F29">
              <w:rPr>
                <w:rFonts w:ascii="Times New Roman" w:eastAsia="Times New Roman" w:hAnsi="Times New Roman" w:cs="Times New Roman"/>
                <w:sz w:val="20"/>
                <w:szCs w:val="20"/>
              </w:rPr>
              <w:t>Sugas nosaukums (latviski un latīniski)</w:t>
            </w:r>
          </w:p>
        </w:tc>
        <w:tc>
          <w:tcPr>
            <w:tcW w:w="1551"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extDirection w:val="btLr"/>
            <w:vAlign w:val="center"/>
            <w:hideMark/>
          </w:tcPr>
          <w:p w14:paraId="3DD2CA4B" w14:textId="6610B879" w:rsidR="00220812" w:rsidRPr="00A07F29" w:rsidRDefault="00220812" w:rsidP="00A826C0">
            <w:pPr>
              <w:keepNext/>
              <w:spacing w:after="0" w:line="240" w:lineRule="auto"/>
              <w:ind w:left="113" w:right="113"/>
              <w:rPr>
                <w:rFonts w:ascii="Times New Roman" w:eastAsia="Times New Roman" w:hAnsi="Times New Roman" w:cs="Times New Roman"/>
                <w:sz w:val="24"/>
                <w:szCs w:val="24"/>
              </w:rPr>
            </w:pPr>
            <w:r w:rsidRPr="00A07F29">
              <w:rPr>
                <w:rFonts w:ascii="Times New Roman" w:eastAsia="Times New Roman" w:hAnsi="Times New Roman" w:cs="Times New Roman"/>
                <w:sz w:val="20"/>
                <w:szCs w:val="20"/>
              </w:rPr>
              <w:t>Sugas populācijas lielums teritorijā (eksemplāri)</w:t>
            </w:r>
          </w:p>
        </w:tc>
        <w:tc>
          <w:tcPr>
            <w:tcW w:w="1266" w:type="dxa"/>
            <w:tcBorders>
              <w:top w:val="single" w:sz="8" w:space="0" w:color="auto"/>
              <w:left w:val="nil"/>
              <w:bottom w:val="single" w:sz="8" w:space="0" w:color="auto"/>
              <w:right w:val="single" w:sz="8" w:space="0" w:color="auto"/>
            </w:tcBorders>
            <w:tcMar>
              <w:top w:w="0" w:type="dxa"/>
              <w:left w:w="108" w:type="dxa"/>
              <w:bottom w:w="0" w:type="dxa"/>
              <w:right w:w="108" w:type="dxa"/>
            </w:tcMar>
            <w:textDirection w:val="btLr"/>
            <w:vAlign w:val="center"/>
            <w:hideMark/>
          </w:tcPr>
          <w:p w14:paraId="5AA762C1" w14:textId="77777777" w:rsidR="00220812" w:rsidRPr="00A07F29" w:rsidRDefault="00220812" w:rsidP="00A826C0">
            <w:pPr>
              <w:keepNext/>
              <w:spacing w:after="0" w:line="240" w:lineRule="auto"/>
              <w:ind w:left="113" w:right="113"/>
              <w:rPr>
                <w:rFonts w:ascii="Times New Roman" w:eastAsia="Times New Roman" w:hAnsi="Times New Roman" w:cs="Times New Roman"/>
                <w:sz w:val="24"/>
                <w:szCs w:val="24"/>
              </w:rPr>
            </w:pPr>
            <w:r w:rsidRPr="00A07F29">
              <w:rPr>
                <w:rFonts w:ascii="Times New Roman" w:eastAsia="Times New Roman" w:hAnsi="Times New Roman" w:cs="Times New Roman"/>
                <w:sz w:val="20"/>
                <w:szCs w:val="20"/>
              </w:rPr>
              <w:t xml:space="preserve">Teritorijā esošās sugas populācijas attiecība (%) pret sugas populāciju </w:t>
            </w:r>
            <w:proofErr w:type="spellStart"/>
            <w:r w:rsidRPr="00A07F29">
              <w:rPr>
                <w:rFonts w:ascii="Times New Roman" w:eastAsia="Times New Roman" w:hAnsi="Times New Roman" w:cs="Times New Roman"/>
                <w:i/>
                <w:sz w:val="20"/>
                <w:szCs w:val="20"/>
              </w:rPr>
              <w:t>Natura</w:t>
            </w:r>
            <w:proofErr w:type="spellEnd"/>
            <w:r w:rsidRPr="00A07F29">
              <w:rPr>
                <w:rFonts w:ascii="Times New Roman" w:eastAsia="Times New Roman" w:hAnsi="Times New Roman" w:cs="Times New Roman"/>
                <w:i/>
                <w:sz w:val="20"/>
                <w:szCs w:val="20"/>
              </w:rPr>
              <w:t xml:space="preserve"> 2000</w:t>
            </w:r>
            <w:r w:rsidRPr="00A07F29">
              <w:rPr>
                <w:rFonts w:ascii="Times New Roman" w:eastAsia="Times New Roman" w:hAnsi="Times New Roman" w:cs="Times New Roman"/>
                <w:sz w:val="20"/>
                <w:szCs w:val="20"/>
              </w:rPr>
              <w:t xml:space="preserve"> teritorijās Latvijā kopumā</w:t>
            </w:r>
          </w:p>
        </w:tc>
        <w:tc>
          <w:tcPr>
            <w:tcW w:w="1261" w:type="dxa"/>
            <w:tcBorders>
              <w:top w:val="single" w:sz="8" w:space="0" w:color="auto"/>
              <w:left w:val="nil"/>
              <w:bottom w:val="single" w:sz="8" w:space="0" w:color="auto"/>
              <w:right w:val="single" w:sz="8" w:space="0" w:color="auto"/>
            </w:tcBorders>
            <w:tcMar>
              <w:top w:w="0" w:type="dxa"/>
              <w:left w:w="108" w:type="dxa"/>
              <w:bottom w:w="0" w:type="dxa"/>
              <w:right w:w="108" w:type="dxa"/>
            </w:tcMar>
            <w:textDirection w:val="btLr"/>
            <w:vAlign w:val="center"/>
            <w:hideMark/>
          </w:tcPr>
          <w:p w14:paraId="62847934" w14:textId="77777777" w:rsidR="00220812" w:rsidRPr="00A07F29" w:rsidRDefault="00220812" w:rsidP="00A826C0">
            <w:pPr>
              <w:keepNext/>
              <w:spacing w:after="0" w:line="240" w:lineRule="auto"/>
              <w:ind w:left="113" w:right="113"/>
              <w:rPr>
                <w:rFonts w:ascii="Times New Roman" w:eastAsia="Times New Roman" w:hAnsi="Times New Roman" w:cs="Times New Roman"/>
                <w:sz w:val="24"/>
                <w:szCs w:val="24"/>
              </w:rPr>
            </w:pPr>
            <w:r w:rsidRPr="00A07F29">
              <w:rPr>
                <w:rFonts w:ascii="Times New Roman" w:eastAsia="Times New Roman" w:hAnsi="Times New Roman" w:cs="Times New Roman"/>
                <w:sz w:val="20"/>
                <w:szCs w:val="20"/>
              </w:rPr>
              <w:t>Teritorijā esošās sugas populācijas attiecība (%) pret sugas populāciju valstī</w:t>
            </w:r>
          </w:p>
        </w:tc>
        <w:tc>
          <w:tcPr>
            <w:tcW w:w="836" w:type="dxa"/>
            <w:tcBorders>
              <w:top w:val="single" w:sz="8" w:space="0" w:color="auto"/>
              <w:left w:val="nil"/>
              <w:bottom w:val="single" w:sz="8" w:space="0" w:color="auto"/>
              <w:right w:val="single" w:sz="8" w:space="0" w:color="auto"/>
            </w:tcBorders>
            <w:tcMar>
              <w:top w:w="0" w:type="dxa"/>
              <w:left w:w="108" w:type="dxa"/>
              <w:bottom w:w="0" w:type="dxa"/>
              <w:right w:w="108" w:type="dxa"/>
            </w:tcMar>
            <w:textDirection w:val="btLr"/>
            <w:vAlign w:val="center"/>
            <w:hideMark/>
          </w:tcPr>
          <w:p w14:paraId="0F2A99BC" w14:textId="77777777" w:rsidR="00220812" w:rsidRPr="00A07F29" w:rsidRDefault="00220812" w:rsidP="00A826C0">
            <w:pPr>
              <w:keepNext/>
              <w:spacing w:after="0" w:line="240" w:lineRule="auto"/>
              <w:ind w:left="113" w:right="113"/>
              <w:rPr>
                <w:rFonts w:ascii="Times New Roman" w:eastAsia="Times New Roman" w:hAnsi="Times New Roman" w:cs="Times New Roman"/>
                <w:sz w:val="24"/>
                <w:szCs w:val="24"/>
              </w:rPr>
            </w:pPr>
            <w:r w:rsidRPr="00A07F29">
              <w:rPr>
                <w:rFonts w:ascii="Times New Roman" w:eastAsia="Times New Roman" w:hAnsi="Times New Roman" w:cs="Times New Roman"/>
                <w:sz w:val="20"/>
                <w:szCs w:val="20"/>
              </w:rPr>
              <w:t>Sugas dzīvotnes platība (ha)</w:t>
            </w:r>
          </w:p>
        </w:tc>
        <w:tc>
          <w:tcPr>
            <w:tcW w:w="1510" w:type="dxa"/>
            <w:tcBorders>
              <w:top w:val="single" w:sz="8" w:space="0" w:color="auto"/>
              <w:left w:val="nil"/>
              <w:bottom w:val="single" w:sz="8" w:space="0" w:color="auto"/>
              <w:right w:val="single" w:sz="8" w:space="0" w:color="auto"/>
            </w:tcBorders>
            <w:tcMar>
              <w:top w:w="0" w:type="dxa"/>
              <w:left w:w="108" w:type="dxa"/>
              <w:bottom w:w="0" w:type="dxa"/>
              <w:right w:w="108" w:type="dxa"/>
            </w:tcMar>
            <w:textDirection w:val="btLr"/>
            <w:vAlign w:val="center"/>
            <w:hideMark/>
          </w:tcPr>
          <w:p w14:paraId="70586C9A" w14:textId="77777777" w:rsidR="00220812" w:rsidRPr="00A07F29" w:rsidRDefault="00220812" w:rsidP="00A826C0">
            <w:pPr>
              <w:keepNext/>
              <w:spacing w:after="0" w:line="240" w:lineRule="auto"/>
              <w:ind w:left="113" w:right="113"/>
              <w:rPr>
                <w:rFonts w:ascii="Times New Roman" w:eastAsia="Times New Roman" w:hAnsi="Times New Roman" w:cs="Times New Roman"/>
                <w:sz w:val="24"/>
                <w:szCs w:val="24"/>
              </w:rPr>
            </w:pPr>
            <w:r w:rsidRPr="00A07F29">
              <w:rPr>
                <w:rFonts w:ascii="Times New Roman" w:eastAsia="Times New Roman" w:hAnsi="Times New Roman" w:cs="Times New Roman"/>
                <w:sz w:val="20"/>
                <w:szCs w:val="20"/>
              </w:rPr>
              <w:t xml:space="preserve">Sugas dzīvotnes platības attiecība (%) pret sugas dzīvotnes platību </w:t>
            </w:r>
            <w:proofErr w:type="spellStart"/>
            <w:r w:rsidRPr="00A07F29">
              <w:rPr>
                <w:rFonts w:ascii="Times New Roman" w:eastAsia="Times New Roman" w:hAnsi="Times New Roman" w:cs="Times New Roman"/>
                <w:i/>
                <w:sz w:val="20"/>
                <w:szCs w:val="20"/>
              </w:rPr>
              <w:t>Natura</w:t>
            </w:r>
            <w:proofErr w:type="spellEnd"/>
            <w:r w:rsidRPr="00A07F29">
              <w:rPr>
                <w:rFonts w:ascii="Times New Roman" w:eastAsia="Times New Roman" w:hAnsi="Times New Roman" w:cs="Times New Roman"/>
                <w:i/>
                <w:sz w:val="20"/>
                <w:szCs w:val="20"/>
              </w:rPr>
              <w:t xml:space="preserve"> 2000</w:t>
            </w:r>
            <w:r w:rsidRPr="00A07F29">
              <w:rPr>
                <w:rFonts w:ascii="Times New Roman" w:eastAsia="Times New Roman" w:hAnsi="Times New Roman" w:cs="Times New Roman"/>
                <w:sz w:val="20"/>
                <w:szCs w:val="20"/>
              </w:rPr>
              <w:t xml:space="preserve"> teritorijās Latvijā kopumā</w:t>
            </w:r>
          </w:p>
        </w:tc>
      </w:tr>
      <w:tr w:rsidR="00A826C0" w:rsidRPr="00A07F29" w14:paraId="2ED3222D" w14:textId="77777777" w:rsidTr="00A826C0">
        <w:tc>
          <w:tcPr>
            <w:tcW w:w="5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3D5453" w14:textId="77777777" w:rsidR="00220812" w:rsidRPr="00A07F29" w:rsidRDefault="00220812" w:rsidP="00A826C0">
            <w:pPr>
              <w:keepNext/>
              <w:spacing w:after="0" w:line="240" w:lineRule="auto"/>
              <w:rPr>
                <w:rFonts w:ascii="Times New Roman" w:eastAsia="Times New Roman" w:hAnsi="Times New Roman" w:cs="Times New Roman"/>
                <w:sz w:val="24"/>
                <w:szCs w:val="24"/>
              </w:rPr>
            </w:pPr>
            <w:r w:rsidRPr="00A07F29">
              <w:rPr>
                <w:rFonts w:ascii="Times New Roman" w:eastAsia="Times New Roman" w:hAnsi="Times New Roman" w:cs="Times New Roman"/>
                <w:sz w:val="20"/>
                <w:szCs w:val="20"/>
              </w:rPr>
              <w:t> </w:t>
            </w:r>
          </w:p>
        </w:tc>
        <w:tc>
          <w:tcPr>
            <w:tcW w:w="2226" w:type="dxa"/>
            <w:tcBorders>
              <w:top w:val="nil"/>
              <w:left w:val="nil"/>
              <w:bottom w:val="single" w:sz="8" w:space="0" w:color="auto"/>
              <w:right w:val="single" w:sz="8" w:space="0" w:color="auto"/>
            </w:tcBorders>
            <w:tcMar>
              <w:top w:w="0" w:type="dxa"/>
              <w:left w:w="108" w:type="dxa"/>
              <w:bottom w:w="0" w:type="dxa"/>
              <w:right w:w="108" w:type="dxa"/>
            </w:tcMar>
            <w:hideMark/>
          </w:tcPr>
          <w:p w14:paraId="42D8ED3D" w14:textId="77777777" w:rsidR="00220812" w:rsidRPr="00A07F29" w:rsidRDefault="00220812" w:rsidP="00A826C0">
            <w:pPr>
              <w:keepNext/>
              <w:spacing w:after="0" w:line="240" w:lineRule="auto"/>
              <w:rPr>
                <w:rFonts w:ascii="Times New Roman" w:eastAsia="Times New Roman" w:hAnsi="Times New Roman" w:cs="Times New Roman"/>
                <w:sz w:val="24"/>
                <w:szCs w:val="24"/>
              </w:rPr>
            </w:pPr>
            <w:r w:rsidRPr="00A07F29">
              <w:rPr>
                <w:rFonts w:ascii="Times New Roman" w:eastAsia="Times New Roman" w:hAnsi="Times New Roman" w:cs="Times New Roman"/>
                <w:sz w:val="20"/>
                <w:szCs w:val="20"/>
              </w:rPr>
              <w:t> </w:t>
            </w:r>
          </w:p>
        </w:tc>
        <w:tc>
          <w:tcPr>
            <w:tcW w:w="840" w:type="dxa"/>
            <w:tcBorders>
              <w:top w:val="nil"/>
              <w:left w:val="nil"/>
              <w:bottom w:val="single" w:sz="8" w:space="0" w:color="auto"/>
              <w:right w:val="single" w:sz="8" w:space="0" w:color="auto"/>
            </w:tcBorders>
            <w:tcMar>
              <w:top w:w="0" w:type="dxa"/>
              <w:left w:w="108" w:type="dxa"/>
              <w:bottom w:w="0" w:type="dxa"/>
              <w:right w:w="108" w:type="dxa"/>
            </w:tcMar>
            <w:hideMark/>
          </w:tcPr>
          <w:p w14:paraId="17120505" w14:textId="77777777" w:rsidR="00220812" w:rsidRPr="00A07F29" w:rsidRDefault="00220812" w:rsidP="00A826C0">
            <w:pPr>
              <w:keepNext/>
              <w:spacing w:after="0" w:line="240" w:lineRule="auto"/>
              <w:rPr>
                <w:rFonts w:ascii="Times New Roman" w:eastAsia="Times New Roman" w:hAnsi="Times New Roman" w:cs="Times New Roman"/>
                <w:sz w:val="24"/>
                <w:szCs w:val="24"/>
              </w:rPr>
            </w:pPr>
            <w:r w:rsidRPr="00A07F29">
              <w:rPr>
                <w:rFonts w:ascii="Times New Roman" w:eastAsia="Times New Roman" w:hAnsi="Times New Roman" w:cs="Times New Roman"/>
                <w:sz w:val="20"/>
                <w:szCs w:val="20"/>
              </w:rPr>
              <w:t>Min.</w:t>
            </w:r>
          </w:p>
        </w:tc>
        <w:tc>
          <w:tcPr>
            <w:tcW w:w="711" w:type="dxa"/>
            <w:tcBorders>
              <w:top w:val="nil"/>
              <w:left w:val="nil"/>
              <w:bottom w:val="single" w:sz="8" w:space="0" w:color="auto"/>
              <w:right w:val="single" w:sz="8" w:space="0" w:color="auto"/>
            </w:tcBorders>
            <w:tcMar>
              <w:top w:w="0" w:type="dxa"/>
              <w:left w:w="108" w:type="dxa"/>
              <w:bottom w:w="0" w:type="dxa"/>
              <w:right w:w="108" w:type="dxa"/>
            </w:tcMar>
            <w:hideMark/>
          </w:tcPr>
          <w:p w14:paraId="29574BB6" w14:textId="77777777" w:rsidR="00220812" w:rsidRPr="00A07F29" w:rsidRDefault="00220812" w:rsidP="00A826C0">
            <w:pPr>
              <w:keepNext/>
              <w:spacing w:after="0" w:line="240" w:lineRule="auto"/>
              <w:rPr>
                <w:rFonts w:ascii="Times New Roman" w:eastAsia="Times New Roman" w:hAnsi="Times New Roman" w:cs="Times New Roman"/>
                <w:sz w:val="24"/>
                <w:szCs w:val="24"/>
              </w:rPr>
            </w:pPr>
            <w:r w:rsidRPr="00A07F29">
              <w:rPr>
                <w:rFonts w:ascii="Times New Roman" w:eastAsia="Times New Roman" w:hAnsi="Times New Roman" w:cs="Times New Roman"/>
                <w:sz w:val="20"/>
                <w:szCs w:val="20"/>
              </w:rPr>
              <w:t>Maks.</w:t>
            </w: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14:paraId="1500561E" w14:textId="77777777" w:rsidR="00220812" w:rsidRPr="00A07F29" w:rsidRDefault="00220812" w:rsidP="00A826C0">
            <w:pPr>
              <w:keepNext/>
              <w:spacing w:after="0" w:line="240" w:lineRule="auto"/>
              <w:rPr>
                <w:rFonts w:ascii="Times New Roman" w:eastAsia="Times New Roman" w:hAnsi="Times New Roman" w:cs="Times New Roman"/>
                <w:sz w:val="24"/>
                <w:szCs w:val="24"/>
              </w:rPr>
            </w:pPr>
            <w:r w:rsidRPr="00A07F29">
              <w:rPr>
                <w:rFonts w:ascii="Times New Roman" w:eastAsia="Times New Roman" w:hAnsi="Times New Roman" w:cs="Times New Roman"/>
                <w:sz w:val="20"/>
                <w:szCs w:val="20"/>
              </w:rPr>
              <w:t> </w:t>
            </w:r>
          </w:p>
        </w:tc>
        <w:tc>
          <w:tcPr>
            <w:tcW w:w="1261" w:type="dxa"/>
            <w:tcBorders>
              <w:top w:val="nil"/>
              <w:left w:val="nil"/>
              <w:bottom w:val="single" w:sz="8" w:space="0" w:color="auto"/>
              <w:right w:val="single" w:sz="8" w:space="0" w:color="auto"/>
            </w:tcBorders>
            <w:tcMar>
              <w:top w:w="0" w:type="dxa"/>
              <w:left w:w="108" w:type="dxa"/>
              <w:bottom w:w="0" w:type="dxa"/>
              <w:right w:w="108" w:type="dxa"/>
            </w:tcMar>
            <w:hideMark/>
          </w:tcPr>
          <w:p w14:paraId="48F47DF0" w14:textId="77777777" w:rsidR="00220812" w:rsidRPr="00A07F29" w:rsidRDefault="00220812" w:rsidP="00A826C0">
            <w:pPr>
              <w:keepNext/>
              <w:spacing w:after="0" w:line="240" w:lineRule="auto"/>
              <w:rPr>
                <w:rFonts w:ascii="Times New Roman" w:eastAsia="Times New Roman" w:hAnsi="Times New Roman" w:cs="Times New Roman"/>
                <w:sz w:val="24"/>
                <w:szCs w:val="24"/>
              </w:rPr>
            </w:pPr>
            <w:r w:rsidRPr="00A07F29">
              <w:rPr>
                <w:rFonts w:ascii="Times New Roman" w:eastAsia="Times New Roman" w:hAnsi="Times New Roman" w:cs="Times New Roman"/>
                <w:sz w:val="20"/>
                <w:szCs w:val="20"/>
              </w:rPr>
              <w:t> </w:t>
            </w:r>
          </w:p>
        </w:tc>
        <w:tc>
          <w:tcPr>
            <w:tcW w:w="836" w:type="dxa"/>
            <w:tcBorders>
              <w:top w:val="nil"/>
              <w:left w:val="nil"/>
              <w:bottom w:val="single" w:sz="8" w:space="0" w:color="auto"/>
              <w:right w:val="single" w:sz="8" w:space="0" w:color="auto"/>
            </w:tcBorders>
            <w:tcMar>
              <w:top w:w="0" w:type="dxa"/>
              <w:left w:w="108" w:type="dxa"/>
              <w:bottom w:w="0" w:type="dxa"/>
              <w:right w:w="108" w:type="dxa"/>
            </w:tcMar>
            <w:hideMark/>
          </w:tcPr>
          <w:p w14:paraId="66902D23" w14:textId="77777777" w:rsidR="00220812" w:rsidRPr="00A07F29" w:rsidRDefault="00220812" w:rsidP="00A826C0">
            <w:pPr>
              <w:keepNext/>
              <w:spacing w:after="0" w:line="240" w:lineRule="auto"/>
              <w:rPr>
                <w:rFonts w:ascii="Times New Roman" w:eastAsia="Times New Roman" w:hAnsi="Times New Roman" w:cs="Times New Roman"/>
                <w:sz w:val="24"/>
                <w:szCs w:val="24"/>
              </w:rPr>
            </w:pPr>
            <w:r w:rsidRPr="00A07F29">
              <w:rPr>
                <w:rFonts w:ascii="Times New Roman" w:eastAsia="Times New Roman" w:hAnsi="Times New Roman" w:cs="Times New Roman"/>
                <w:sz w:val="20"/>
                <w:szCs w:val="20"/>
              </w:rPr>
              <w:t> </w:t>
            </w:r>
          </w:p>
        </w:tc>
        <w:tc>
          <w:tcPr>
            <w:tcW w:w="1510" w:type="dxa"/>
            <w:tcBorders>
              <w:top w:val="nil"/>
              <w:left w:val="nil"/>
              <w:bottom w:val="single" w:sz="8" w:space="0" w:color="auto"/>
              <w:right w:val="single" w:sz="8" w:space="0" w:color="auto"/>
            </w:tcBorders>
            <w:tcMar>
              <w:top w:w="0" w:type="dxa"/>
              <w:left w:w="108" w:type="dxa"/>
              <w:bottom w:w="0" w:type="dxa"/>
              <w:right w:w="108" w:type="dxa"/>
            </w:tcMar>
            <w:hideMark/>
          </w:tcPr>
          <w:p w14:paraId="44208675" w14:textId="77777777" w:rsidR="00220812" w:rsidRPr="00A07F29" w:rsidRDefault="00220812" w:rsidP="00A826C0">
            <w:pPr>
              <w:keepNext/>
              <w:spacing w:after="0" w:line="240" w:lineRule="auto"/>
              <w:rPr>
                <w:rFonts w:ascii="Times New Roman" w:eastAsia="Times New Roman" w:hAnsi="Times New Roman" w:cs="Times New Roman"/>
                <w:sz w:val="24"/>
                <w:szCs w:val="24"/>
              </w:rPr>
            </w:pPr>
            <w:r w:rsidRPr="00A07F29">
              <w:rPr>
                <w:rFonts w:ascii="Times New Roman" w:eastAsia="Times New Roman" w:hAnsi="Times New Roman" w:cs="Times New Roman"/>
                <w:sz w:val="20"/>
                <w:szCs w:val="20"/>
              </w:rPr>
              <w:t> </w:t>
            </w:r>
          </w:p>
        </w:tc>
      </w:tr>
      <w:tr w:rsidR="00A826C0" w:rsidRPr="00A07F29" w14:paraId="3C1668F3" w14:textId="77777777" w:rsidTr="00A826C0">
        <w:tc>
          <w:tcPr>
            <w:tcW w:w="5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D2F2DC" w14:textId="77777777" w:rsidR="00220812" w:rsidRPr="00A07F29" w:rsidRDefault="00220812" w:rsidP="00A826C0">
            <w:pPr>
              <w:keepNext/>
              <w:spacing w:after="0" w:line="240" w:lineRule="auto"/>
              <w:rPr>
                <w:rFonts w:ascii="Times New Roman" w:eastAsia="Times New Roman" w:hAnsi="Times New Roman" w:cs="Times New Roman"/>
                <w:sz w:val="24"/>
                <w:szCs w:val="24"/>
              </w:rPr>
            </w:pPr>
            <w:r w:rsidRPr="00A07F29">
              <w:rPr>
                <w:rFonts w:ascii="Times New Roman" w:eastAsia="Times New Roman" w:hAnsi="Times New Roman" w:cs="Times New Roman"/>
                <w:sz w:val="20"/>
                <w:szCs w:val="20"/>
              </w:rPr>
              <w:t>1.</w:t>
            </w:r>
          </w:p>
        </w:tc>
        <w:tc>
          <w:tcPr>
            <w:tcW w:w="2226" w:type="dxa"/>
            <w:tcBorders>
              <w:top w:val="nil"/>
              <w:left w:val="nil"/>
              <w:bottom w:val="single" w:sz="8" w:space="0" w:color="auto"/>
              <w:right w:val="single" w:sz="8" w:space="0" w:color="auto"/>
            </w:tcBorders>
            <w:tcMar>
              <w:top w:w="0" w:type="dxa"/>
              <w:left w:w="108" w:type="dxa"/>
              <w:bottom w:w="0" w:type="dxa"/>
              <w:right w:w="108" w:type="dxa"/>
            </w:tcMar>
            <w:hideMark/>
          </w:tcPr>
          <w:p w14:paraId="2C5FBBBC" w14:textId="77777777" w:rsidR="00220812" w:rsidRPr="00A07F29" w:rsidRDefault="00220812" w:rsidP="00A826C0">
            <w:pPr>
              <w:keepNext/>
              <w:spacing w:after="0" w:line="240" w:lineRule="auto"/>
              <w:rPr>
                <w:rFonts w:ascii="Times New Roman" w:eastAsia="Times New Roman" w:hAnsi="Times New Roman" w:cs="Times New Roman"/>
                <w:sz w:val="20"/>
                <w:szCs w:val="20"/>
              </w:rPr>
            </w:pPr>
            <w:r w:rsidRPr="00A07F29">
              <w:rPr>
                <w:rFonts w:ascii="Times New Roman" w:eastAsia="Times New Roman" w:hAnsi="Times New Roman" w:cs="Times New Roman"/>
                <w:sz w:val="20"/>
                <w:szCs w:val="20"/>
              </w:rPr>
              <w:t xml:space="preserve">Lielais tritons </w:t>
            </w:r>
          </w:p>
          <w:p w14:paraId="5BBBCBF2" w14:textId="28DFB661" w:rsidR="00220812" w:rsidRPr="00A07F29" w:rsidRDefault="00220812" w:rsidP="00A826C0">
            <w:pPr>
              <w:keepNext/>
              <w:spacing w:after="0" w:line="240" w:lineRule="auto"/>
              <w:rPr>
                <w:rFonts w:ascii="Times New Roman" w:eastAsia="Times New Roman" w:hAnsi="Times New Roman" w:cs="Times New Roman"/>
                <w:sz w:val="24"/>
                <w:szCs w:val="24"/>
              </w:rPr>
            </w:pPr>
            <w:proofErr w:type="spellStart"/>
            <w:r w:rsidRPr="00A07F29">
              <w:rPr>
                <w:rFonts w:ascii="Times New Roman" w:eastAsia="Times New Roman" w:hAnsi="Times New Roman" w:cs="Times New Roman"/>
                <w:i/>
                <w:iCs/>
                <w:sz w:val="20"/>
                <w:szCs w:val="20"/>
              </w:rPr>
              <w:t>Triturus</w:t>
            </w:r>
            <w:proofErr w:type="spellEnd"/>
            <w:r w:rsidRPr="00A07F29">
              <w:rPr>
                <w:rFonts w:ascii="Times New Roman" w:eastAsia="Times New Roman" w:hAnsi="Times New Roman" w:cs="Times New Roman"/>
                <w:i/>
                <w:iCs/>
                <w:sz w:val="20"/>
                <w:szCs w:val="20"/>
              </w:rPr>
              <w:t xml:space="preserve"> </w:t>
            </w:r>
            <w:proofErr w:type="spellStart"/>
            <w:r w:rsidRPr="00A07F29">
              <w:rPr>
                <w:rFonts w:ascii="Times New Roman" w:eastAsia="Times New Roman" w:hAnsi="Times New Roman" w:cs="Times New Roman"/>
                <w:i/>
                <w:iCs/>
                <w:sz w:val="20"/>
                <w:szCs w:val="20"/>
              </w:rPr>
              <w:t>cristatus</w:t>
            </w:r>
            <w:proofErr w:type="spellEnd"/>
            <w:r w:rsidRPr="00A07F29">
              <w:rPr>
                <w:rFonts w:ascii="Times New Roman" w:eastAsia="Times New Roman" w:hAnsi="Times New Roman" w:cs="Times New Roman"/>
                <w:i/>
                <w:iCs/>
                <w:sz w:val="20"/>
                <w:szCs w:val="20"/>
              </w:rPr>
              <w:t xml:space="preserve"> </w:t>
            </w:r>
            <w:r w:rsidRPr="00A07F29">
              <w:rPr>
                <w:rFonts w:ascii="Times New Roman" w:eastAsia="Times New Roman" w:hAnsi="Times New Roman" w:cs="Times New Roman"/>
                <w:sz w:val="20"/>
                <w:szCs w:val="20"/>
              </w:rPr>
              <w:t>(Laur.)</w:t>
            </w:r>
          </w:p>
        </w:tc>
        <w:tc>
          <w:tcPr>
            <w:tcW w:w="840" w:type="dxa"/>
            <w:tcBorders>
              <w:top w:val="nil"/>
              <w:left w:val="nil"/>
              <w:bottom w:val="single" w:sz="8" w:space="0" w:color="auto"/>
              <w:right w:val="single" w:sz="8" w:space="0" w:color="auto"/>
            </w:tcBorders>
            <w:tcMar>
              <w:top w:w="0" w:type="dxa"/>
              <w:left w:w="108" w:type="dxa"/>
              <w:bottom w:w="0" w:type="dxa"/>
              <w:right w:w="108" w:type="dxa"/>
            </w:tcMar>
            <w:hideMark/>
          </w:tcPr>
          <w:p w14:paraId="4E8BDDA7" w14:textId="77777777" w:rsidR="00220812" w:rsidRPr="00A07F29" w:rsidRDefault="00220812" w:rsidP="00A826C0">
            <w:pPr>
              <w:keepNext/>
              <w:spacing w:after="0" w:line="240" w:lineRule="auto"/>
              <w:rPr>
                <w:rFonts w:ascii="Times New Roman" w:eastAsia="Times New Roman" w:hAnsi="Times New Roman" w:cs="Times New Roman"/>
                <w:sz w:val="24"/>
                <w:szCs w:val="24"/>
              </w:rPr>
            </w:pPr>
            <w:r w:rsidRPr="00A07F29">
              <w:rPr>
                <w:rFonts w:ascii="Times New Roman" w:eastAsia="Times New Roman" w:hAnsi="Times New Roman" w:cs="Times New Roman"/>
                <w:sz w:val="20"/>
                <w:szCs w:val="20"/>
              </w:rPr>
              <w:t>390</w:t>
            </w:r>
          </w:p>
        </w:tc>
        <w:tc>
          <w:tcPr>
            <w:tcW w:w="711" w:type="dxa"/>
            <w:tcBorders>
              <w:top w:val="nil"/>
              <w:left w:val="nil"/>
              <w:bottom w:val="single" w:sz="8" w:space="0" w:color="auto"/>
              <w:right w:val="single" w:sz="8" w:space="0" w:color="auto"/>
            </w:tcBorders>
            <w:tcMar>
              <w:top w:w="0" w:type="dxa"/>
              <w:left w:w="108" w:type="dxa"/>
              <w:bottom w:w="0" w:type="dxa"/>
              <w:right w:w="108" w:type="dxa"/>
            </w:tcMar>
            <w:hideMark/>
          </w:tcPr>
          <w:p w14:paraId="66C3283B" w14:textId="77777777" w:rsidR="00220812" w:rsidRPr="00A07F29" w:rsidRDefault="00220812" w:rsidP="00A826C0">
            <w:pPr>
              <w:keepNext/>
              <w:spacing w:after="0" w:line="240" w:lineRule="auto"/>
              <w:rPr>
                <w:rFonts w:ascii="Times New Roman" w:eastAsia="Times New Roman" w:hAnsi="Times New Roman" w:cs="Times New Roman"/>
                <w:sz w:val="24"/>
                <w:szCs w:val="24"/>
              </w:rPr>
            </w:pPr>
            <w:r w:rsidRPr="00A07F29">
              <w:rPr>
                <w:rFonts w:ascii="Times New Roman" w:eastAsia="Times New Roman" w:hAnsi="Times New Roman" w:cs="Times New Roman"/>
                <w:sz w:val="20"/>
                <w:szCs w:val="20"/>
              </w:rPr>
              <w:t>650</w:t>
            </w: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14:paraId="67EB5418" w14:textId="1494E0A4" w:rsidR="00220812" w:rsidRPr="00A07F29" w:rsidRDefault="00220812" w:rsidP="00A826C0">
            <w:pPr>
              <w:keepNext/>
              <w:spacing w:after="0" w:line="240" w:lineRule="auto"/>
              <w:rPr>
                <w:rFonts w:ascii="Times New Roman" w:eastAsia="Times New Roman" w:hAnsi="Times New Roman" w:cs="Times New Roman"/>
                <w:sz w:val="24"/>
                <w:szCs w:val="24"/>
              </w:rPr>
            </w:pPr>
            <w:r w:rsidRPr="00A07F29">
              <w:rPr>
                <w:rFonts w:ascii="Times New Roman" w:eastAsia="Times New Roman" w:hAnsi="Times New Roman" w:cs="Times New Roman"/>
                <w:sz w:val="20"/>
                <w:szCs w:val="20"/>
              </w:rPr>
              <w:t>3</w:t>
            </w:r>
            <w:r w:rsidR="003059A7">
              <w:rPr>
                <w:rFonts w:ascii="Times New Roman" w:eastAsia="Times New Roman" w:hAnsi="Times New Roman" w:cs="Times New Roman"/>
                <w:sz w:val="20"/>
                <w:szCs w:val="20"/>
              </w:rPr>
              <w:t> </w:t>
            </w:r>
            <w:r w:rsidRPr="00A07F29">
              <w:rPr>
                <w:rFonts w:ascii="Times New Roman" w:eastAsia="Times New Roman" w:hAnsi="Times New Roman" w:cs="Times New Roman"/>
                <w:sz w:val="20"/>
                <w:szCs w:val="20"/>
              </w:rPr>
              <w:t>% ≥p&gt;0</w:t>
            </w:r>
            <w:r w:rsidR="003059A7">
              <w:rPr>
                <w:rFonts w:ascii="Times New Roman" w:eastAsia="Times New Roman" w:hAnsi="Times New Roman" w:cs="Times New Roman"/>
                <w:sz w:val="20"/>
                <w:szCs w:val="20"/>
              </w:rPr>
              <w:t> </w:t>
            </w:r>
            <w:r w:rsidRPr="00A07F29">
              <w:rPr>
                <w:rFonts w:ascii="Times New Roman" w:eastAsia="Times New Roman" w:hAnsi="Times New Roman" w:cs="Times New Roman"/>
                <w:sz w:val="20"/>
                <w:szCs w:val="20"/>
              </w:rPr>
              <w:t>%</w:t>
            </w:r>
          </w:p>
        </w:tc>
        <w:tc>
          <w:tcPr>
            <w:tcW w:w="1261" w:type="dxa"/>
            <w:tcBorders>
              <w:top w:val="nil"/>
              <w:left w:val="nil"/>
              <w:bottom w:val="single" w:sz="8" w:space="0" w:color="auto"/>
              <w:right w:val="single" w:sz="8" w:space="0" w:color="auto"/>
            </w:tcBorders>
            <w:tcMar>
              <w:top w:w="0" w:type="dxa"/>
              <w:left w:w="108" w:type="dxa"/>
              <w:bottom w:w="0" w:type="dxa"/>
              <w:right w:w="108" w:type="dxa"/>
            </w:tcMar>
            <w:hideMark/>
          </w:tcPr>
          <w:p w14:paraId="4A0615CD" w14:textId="1155849C" w:rsidR="00220812" w:rsidRPr="00A07F29" w:rsidRDefault="00220812" w:rsidP="00A826C0">
            <w:pPr>
              <w:keepNext/>
              <w:spacing w:after="0" w:line="240" w:lineRule="auto"/>
              <w:rPr>
                <w:rFonts w:ascii="Times New Roman" w:eastAsia="Times New Roman" w:hAnsi="Times New Roman" w:cs="Times New Roman"/>
                <w:sz w:val="24"/>
                <w:szCs w:val="24"/>
              </w:rPr>
            </w:pPr>
            <w:r w:rsidRPr="00A07F29">
              <w:rPr>
                <w:rFonts w:ascii="Times New Roman" w:eastAsia="Times New Roman" w:hAnsi="Times New Roman" w:cs="Times New Roman"/>
                <w:sz w:val="20"/>
                <w:szCs w:val="20"/>
              </w:rPr>
              <w:t>2</w:t>
            </w:r>
            <w:r w:rsidR="003059A7">
              <w:rPr>
                <w:rFonts w:ascii="Times New Roman" w:eastAsia="Times New Roman" w:hAnsi="Times New Roman" w:cs="Times New Roman"/>
                <w:sz w:val="20"/>
                <w:szCs w:val="20"/>
              </w:rPr>
              <w:t> </w:t>
            </w:r>
            <w:r w:rsidRPr="00A07F29">
              <w:rPr>
                <w:rFonts w:ascii="Times New Roman" w:eastAsia="Times New Roman" w:hAnsi="Times New Roman" w:cs="Times New Roman"/>
                <w:sz w:val="20"/>
                <w:szCs w:val="20"/>
              </w:rPr>
              <w:t>%≥p&gt;0</w:t>
            </w:r>
            <w:r w:rsidR="003059A7">
              <w:rPr>
                <w:rFonts w:ascii="Times New Roman" w:eastAsia="Times New Roman" w:hAnsi="Times New Roman" w:cs="Times New Roman"/>
                <w:sz w:val="20"/>
                <w:szCs w:val="20"/>
              </w:rPr>
              <w:t> </w:t>
            </w:r>
            <w:r w:rsidRPr="00A07F29">
              <w:rPr>
                <w:rFonts w:ascii="Times New Roman" w:eastAsia="Times New Roman" w:hAnsi="Times New Roman" w:cs="Times New Roman"/>
                <w:sz w:val="20"/>
                <w:szCs w:val="20"/>
              </w:rPr>
              <w:t>%</w:t>
            </w:r>
          </w:p>
        </w:tc>
        <w:tc>
          <w:tcPr>
            <w:tcW w:w="836" w:type="dxa"/>
            <w:tcBorders>
              <w:top w:val="nil"/>
              <w:left w:val="nil"/>
              <w:bottom w:val="single" w:sz="8" w:space="0" w:color="auto"/>
              <w:right w:val="single" w:sz="8" w:space="0" w:color="auto"/>
            </w:tcBorders>
            <w:tcMar>
              <w:top w:w="0" w:type="dxa"/>
              <w:left w:w="108" w:type="dxa"/>
              <w:bottom w:w="0" w:type="dxa"/>
              <w:right w:w="108" w:type="dxa"/>
            </w:tcMar>
            <w:hideMark/>
          </w:tcPr>
          <w:p w14:paraId="667F47B1" w14:textId="77777777" w:rsidR="00220812" w:rsidRPr="00A07F29" w:rsidRDefault="00220812" w:rsidP="00A826C0">
            <w:pPr>
              <w:keepNext/>
              <w:spacing w:after="0" w:line="240" w:lineRule="auto"/>
              <w:rPr>
                <w:rFonts w:ascii="Times New Roman" w:eastAsia="Times New Roman" w:hAnsi="Times New Roman" w:cs="Times New Roman"/>
                <w:sz w:val="24"/>
                <w:szCs w:val="24"/>
              </w:rPr>
            </w:pPr>
            <w:r w:rsidRPr="00A07F29">
              <w:rPr>
                <w:rFonts w:ascii="Times New Roman" w:eastAsia="Times New Roman" w:hAnsi="Times New Roman" w:cs="Times New Roman"/>
                <w:sz w:val="20"/>
                <w:szCs w:val="20"/>
              </w:rPr>
              <w:t>41</w:t>
            </w:r>
          </w:p>
        </w:tc>
        <w:tc>
          <w:tcPr>
            <w:tcW w:w="1510" w:type="dxa"/>
            <w:tcBorders>
              <w:top w:val="nil"/>
              <w:left w:val="nil"/>
              <w:bottom w:val="single" w:sz="8" w:space="0" w:color="auto"/>
              <w:right w:val="single" w:sz="8" w:space="0" w:color="auto"/>
            </w:tcBorders>
            <w:tcMar>
              <w:top w:w="0" w:type="dxa"/>
              <w:left w:w="108" w:type="dxa"/>
              <w:bottom w:w="0" w:type="dxa"/>
              <w:right w:w="108" w:type="dxa"/>
            </w:tcMar>
            <w:hideMark/>
          </w:tcPr>
          <w:p w14:paraId="3BEE328F" w14:textId="6F15FE65" w:rsidR="00220812" w:rsidRPr="00A07F29" w:rsidRDefault="00220812" w:rsidP="00A826C0">
            <w:pPr>
              <w:keepNext/>
              <w:spacing w:after="0" w:line="240" w:lineRule="auto"/>
              <w:rPr>
                <w:rFonts w:ascii="Times New Roman" w:eastAsia="Times New Roman" w:hAnsi="Times New Roman" w:cs="Times New Roman"/>
                <w:sz w:val="24"/>
                <w:szCs w:val="24"/>
              </w:rPr>
            </w:pPr>
            <w:r w:rsidRPr="00A07F29">
              <w:rPr>
                <w:rFonts w:ascii="Times New Roman" w:eastAsia="Times New Roman" w:hAnsi="Times New Roman" w:cs="Times New Roman"/>
                <w:sz w:val="20"/>
                <w:szCs w:val="20"/>
              </w:rPr>
              <w:t>3</w:t>
            </w:r>
            <w:r w:rsidR="003059A7">
              <w:rPr>
                <w:rFonts w:ascii="Times New Roman" w:eastAsia="Times New Roman" w:hAnsi="Times New Roman" w:cs="Times New Roman"/>
                <w:sz w:val="20"/>
                <w:szCs w:val="20"/>
              </w:rPr>
              <w:t> </w:t>
            </w:r>
            <w:r w:rsidRPr="00A07F29">
              <w:rPr>
                <w:rFonts w:ascii="Times New Roman" w:eastAsia="Times New Roman" w:hAnsi="Times New Roman" w:cs="Times New Roman"/>
                <w:sz w:val="20"/>
                <w:szCs w:val="20"/>
              </w:rPr>
              <w:t>% ≥p &gt;</w:t>
            </w:r>
            <w:r w:rsidR="00B20171">
              <w:rPr>
                <w:rFonts w:ascii="Times New Roman" w:eastAsia="Times New Roman" w:hAnsi="Times New Roman" w:cs="Times New Roman"/>
                <w:sz w:val="20"/>
                <w:szCs w:val="20"/>
              </w:rPr>
              <w:t xml:space="preserve"> </w:t>
            </w:r>
            <w:r w:rsidRPr="00A07F29">
              <w:rPr>
                <w:rFonts w:ascii="Times New Roman" w:eastAsia="Times New Roman" w:hAnsi="Times New Roman" w:cs="Times New Roman"/>
                <w:sz w:val="20"/>
                <w:szCs w:val="20"/>
              </w:rPr>
              <w:t>0</w:t>
            </w:r>
            <w:r w:rsidR="003059A7">
              <w:rPr>
                <w:rFonts w:ascii="Times New Roman" w:eastAsia="Times New Roman" w:hAnsi="Times New Roman" w:cs="Times New Roman"/>
                <w:sz w:val="20"/>
                <w:szCs w:val="20"/>
              </w:rPr>
              <w:t> </w:t>
            </w:r>
            <w:r w:rsidRPr="00A07F29">
              <w:rPr>
                <w:rFonts w:ascii="Times New Roman" w:eastAsia="Times New Roman" w:hAnsi="Times New Roman" w:cs="Times New Roman"/>
                <w:sz w:val="20"/>
                <w:szCs w:val="20"/>
              </w:rPr>
              <w:t>%</w:t>
            </w:r>
          </w:p>
        </w:tc>
      </w:tr>
      <w:tr w:rsidR="00A826C0" w:rsidRPr="00A07F29" w14:paraId="06819437" w14:textId="77777777" w:rsidTr="00A826C0">
        <w:tc>
          <w:tcPr>
            <w:tcW w:w="5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C4F351" w14:textId="77777777" w:rsidR="00220812" w:rsidRPr="00A07F29" w:rsidRDefault="00220812" w:rsidP="00A826C0">
            <w:pPr>
              <w:spacing w:after="0" w:line="240" w:lineRule="auto"/>
              <w:rPr>
                <w:rFonts w:ascii="Times New Roman" w:eastAsia="Times New Roman" w:hAnsi="Times New Roman" w:cs="Times New Roman"/>
                <w:sz w:val="24"/>
                <w:szCs w:val="24"/>
              </w:rPr>
            </w:pPr>
            <w:r w:rsidRPr="00A07F29">
              <w:rPr>
                <w:rFonts w:ascii="Times New Roman" w:eastAsia="Times New Roman" w:hAnsi="Times New Roman" w:cs="Times New Roman"/>
                <w:sz w:val="20"/>
                <w:szCs w:val="20"/>
              </w:rPr>
              <w:t>2.</w:t>
            </w:r>
          </w:p>
        </w:tc>
        <w:tc>
          <w:tcPr>
            <w:tcW w:w="2226" w:type="dxa"/>
            <w:tcBorders>
              <w:top w:val="nil"/>
              <w:left w:val="nil"/>
              <w:bottom w:val="single" w:sz="8" w:space="0" w:color="auto"/>
              <w:right w:val="single" w:sz="8" w:space="0" w:color="auto"/>
            </w:tcBorders>
            <w:tcMar>
              <w:top w:w="0" w:type="dxa"/>
              <w:left w:w="108" w:type="dxa"/>
              <w:bottom w:w="0" w:type="dxa"/>
              <w:right w:w="108" w:type="dxa"/>
            </w:tcMar>
            <w:hideMark/>
          </w:tcPr>
          <w:p w14:paraId="2B1D0B04" w14:textId="77777777" w:rsidR="00A826C0" w:rsidRPr="00A07F29" w:rsidRDefault="00220812" w:rsidP="00A826C0">
            <w:pPr>
              <w:spacing w:after="0" w:line="240" w:lineRule="auto"/>
              <w:rPr>
                <w:rFonts w:ascii="Times New Roman" w:eastAsia="Times New Roman" w:hAnsi="Times New Roman" w:cs="Times New Roman"/>
                <w:sz w:val="20"/>
                <w:szCs w:val="20"/>
              </w:rPr>
            </w:pPr>
            <w:proofErr w:type="spellStart"/>
            <w:r w:rsidRPr="00A07F29">
              <w:rPr>
                <w:rFonts w:ascii="Times New Roman" w:eastAsia="Times New Roman" w:hAnsi="Times New Roman" w:cs="Times New Roman"/>
                <w:sz w:val="20"/>
                <w:szCs w:val="20"/>
              </w:rPr>
              <w:t>Sarkanvēdera</w:t>
            </w:r>
            <w:proofErr w:type="spellEnd"/>
            <w:r w:rsidRPr="00A07F29">
              <w:rPr>
                <w:rFonts w:ascii="Times New Roman" w:eastAsia="Times New Roman" w:hAnsi="Times New Roman" w:cs="Times New Roman"/>
                <w:sz w:val="20"/>
                <w:szCs w:val="20"/>
              </w:rPr>
              <w:t xml:space="preserve"> </w:t>
            </w:r>
            <w:proofErr w:type="spellStart"/>
            <w:r w:rsidRPr="00A07F29">
              <w:rPr>
                <w:rFonts w:ascii="Times New Roman" w:eastAsia="Times New Roman" w:hAnsi="Times New Roman" w:cs="Times New Roman"/>
                <w:sz w:val="20"/>
                <w:szCs w:val="20"/>
              </w:rPr>
              <w:t>ugunskrupis</w:t>
            </w:r>
            <w:proofErr w:type="spellEnd"/>
          </w:p>
          <w:p w14:paraId="18B73761" w14:textId="0E48BE7F" w:rsidR="00220812" w:rsidRPr="00A07F29" w:rsidRDefault="00220812" w:rsidP="00A826C0">
            <w:pPr>
              <w:spacing w:after="0" w:line="240" w:lineRule="auto"/>
              <w:rPr>
                <w:rFonts w:ascii="Times New Roman" w:eastAsia="Times New Roman" w:hAnsi="Times New Roman" w:cs="Times New Roman"/>
                <w:sz w:val="24"/>
                <w:szCs w:val="24"/>
              </w:rPr>
            </w:pPr>
            <w:proofErr w:type="spellStart"/>
            <w:r w:rsidRPr="00A07F29">
              <w:rPr>
                <w:rFonts w:ascii="Times New Roman" w:eastAsia="Times New Roman" w:hAnsi="Times New Roman" w:cs="Times New Roman"/>
                <w:i/>
                <w:iCs/>
                <w:sz w:val="20"/>
                <w:szCs w:val="20"/>
              </w:rPr>
              <w:lastRenderedPageBreak/>
              <w:t>Bombina</w:t>
            </w:r>
            <w:proofErr w:type="spellEnd"/>
            <w:r w:rsidRPr="00A07F29">
              <w:rPr>
                <w:rFonts w:ascii="Times New Roman" w:eastAsia="Times New Roman" w:hAnsi="Times New Roman" w:cs="Times New Roman"/>
                <w:i/>
                <w:iCs/>
                <w:sz w:val="20"/>
                <w:szCs w:val="20"/>
              </w:rPr>
              <w:t xml:space="preserve"> </w:t>
            </w:r>
            <w:proofErr w:type="spellStart"/>
            <w:r w:rsidRPr="00A07F29">
              <w:rPr>
                <w:rFonts w:ascii="Times New Roman" w:eastAsia="Times New Roman" w:hAnsi="Times New Roman" w:cs="Times New Roman"/>
                <w:i/>
                <w:iCs/>
                <w:sz w:val="20"/>
                <w:szCs w:val="20"/>
              </w:rPr>
              <w:t>bombina</w:t>
            </w:r>
            <w:proofErr w:type="spellEnd"/>
            <w:r w:rsidRPr="00A07F29">
              <w:rPr>
                <w:rFonts w:ascii="Times New Roman" w:eastAsia="Times New Roman" w:hAnsi="Times New Roman" w:cs="Times New Roman"/>
                <w:i/>
                <w:iCs/>
                <w:sz w:val="20"/>
                <w:szCs w:val="20"/>
              </w:rPr>
              <w:t xml:space="preserve"> </w:t>
            </w:r>
            <w:r w:rsidRPr="00A07F29">
              <w:rPr>
                <w:rFonts w:ascii="Times New Roman" w:eastAsia="Times New Roman" w:hAnsi="Times New Roman" w:cs="Times New Roman"/>
                <w:sz w:val="20"/>
                <w:szCs w:val="20"/>
              </w:rPr>
              <w:t xml:space="preserve">(L.) </w:t>
            </w:r>
          </w:p>
        </w:tc>
        <w:tc>
          <w:tcPr>
            <w:tcW w:w="840" w:type="dxa"/>
            <w:tcBorders>
              <w:top w:val="nil"/>
              <w:left w:val="nil"/>
              <w:bottom w:val="single" w:sz="8" w:space="0" w:color="auto"/>
              <w:right w:val="single" w:sz="8" w:space="0" w:color="auto"/>
            </w:tcBorders>
            <w:tcMar>
              <w:top w:w="0" w:type="dxa"/>
              <w:left w:w="108" w:type="dxa"/>
              <w:bottom w:w="0" w:type="dxa"/>
              <w:right w:w="108" w:type="dxa"/>
            </w:tcMar>
            <w:hideMark/>
          </w:tcPr>
          <w:p w14:paraId="47D44C9E" w14:textId="77777777" w:rsidR="00220812" w:rsidRPr="00A07F29" w:rsidRDefault="00220812" w:rsidP="00A826C0">
            <w:pPr>
              <w:spacing w:after="0" w:line="240" w:lineRule="auto"/>
              <w:rPr>
                <w:rFonts w:ascii="Times New Roman" w:eastAsia="Times New Roman" w:hAnsi="Times New Roman" w:cs="Times New Roman"/>
                <w:sz w:val="24"/>
                <w:szCs w:val="24"/>
              </w:rPr>
            </w:pPr>
            <w:r w:rsidRPr="00A07F29">
              <w:rPr>
                <w:rFonts w:ascii="Times New Roman" w:eastAsia="Times New Roman" w:hAnsi="Times New Roman" w:cs="Times New Roman"/>
                <w:sz w:val="20"/>
                <w:szCs w:val="20"/>
              </w:rPr>
              <w:lastRenderedPageBreak/>
              <w:t>170</w:t>
            </w:r>
          </w:p>
        </w:tc>
        <w:tc>
          <w:tcPr>
            <w:tcW w:w="711" w:type="dxa"/>
            <w:tcBorders>
              <w:top w:val="nil"/>
              <w:left w:val="nil"/>
              <w:bottom w:val="single" w:sz="8" w:space="0" w:color="auto"/>
              <w:right w:val="single" w:sz="8" w:space="0" w:color="auto"/>
            </w:tcBorders>
            <w:tcMar>
              <w:top w:w="0" w:type="dxa"/>
              <w:left w:w="108" w:type="dxa"/>
              <w:bottom w:w="0" w:type="dxa"/>
              <w:right w:w="108" w:type="dxa"/>
            </w:tcMar>
            <w:hideMark/>
          </w:tcPr>
          <w:p w14:paraId="368C3512" w14:textId="77777777" w:rsidR="00220812" w:rsidRPr="00A07F29" w:rsidRDefault="00220812" w:rsidP="00A826C0">
            <w:pPr>
              <w:spacing w:after="0" w:line="240" w:lineRule="auto"/>
              <w:rPr>
                <w:rFonts w:ascii="Times New Roman" w:eastAsia="Times New Roman" w:hAnsi="Times New Roman" w:cs="Times New Roman"/>
                <w:sz w:val="24"/>
                <w:szCs w:val="24"/>
              </w:rPr>
            </w:pPr>
            <w:r w:rsidRPr="00A07F29">
              <w:rPr>
                <w:rFonts w:ascii="Times New Roman" w:eastAsia="Times New Roman" w:hAnsi="Times New Roman" w:cs="Times New Roman"/>
                <w:sz w:val="20"/>
                <w:szCs w:val="20"/>
              </w:rPr>
              <w:t>680</w:t>
            </w: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14:paraId="3BDCCE0E" w14:textId="76DE409C" w:rsidR="00220812" w:rsidRPr="00A07F29" w:rsidRDefault="00220812" w:rsidP="00A826C0">
            <w:pPr>
              <w:spacing w:after="0" w:line="240" w:lineRule="auto"/>
              <w:rPr>
                <w:rFonts w:ascii="Times New Roman" w:eastAsia="Times New Roman" w:hAnsi="Times New Roman" w:cs="Times New Roman"/>
                <w:sz w:val="24"/>
                <w:szCs w:val="24"/>
              </w:rPr>
            </w:pPr>
            <w:r w:rsidRPr="00A07F29">
              <w:rPr>
                <w:rFonts w:ascii="Times New Roman" w:eastAsia="Times New Roman" w:hAnsi="Times New Roman" w:cs="Times New Roman"/>
                <w:sz w:val="20"/>
                <w:szCs w:val="20"/>
              </w:rPr>
              <w:t>5</w:t>
            </w:r>
            <w:r w:rsidR="003059A7">
              <w:rPr>
                <w:rFonts w:ascii="Times New Roman" w:eastAsia="Times New Roman" w:hAnsi="Times New Roman" w:cs="Times New Roman"/>
                <w:sz w:val="20"/>
                <w:szCs w:val="20"/>
              </w:rPr>
              <w:t> </w:t>
            </w:r>
            <w:r w:rsidRPr="00A07F29">
              <w:rPr>
                <w:rFonts w:ascii="Times New Roman" w:eastAsia="Times New Roman" w:hAnsi="Times New Roman" w:cs="Times New Roman"/>
                <w:sz w:val="20"/>
                <w:szCs w:val="20"/>
              </w:rPr>
              <w:t>%≥p&gt;0</w:t>
            </w:r>
            <w:r w:rsidR="003059A7">
              <w:rPr>
                <w:rFonts w:ascii="Times New Roman" w:eastAsia="Times New Roman" w:hAnsi="Times New Roman" w:cs="Times New Roman"/>
                <w:sz w:val="20"/>
                <w:szCs w:val="20"/>
              </w:rPr>
              <w:t> </w:t>
            </w:r>
            <w:r w:rsidRPr="00A07F29">
              <w:rPr>
                <w:rFonts w:ascii="Times New Roman" w:eastAsia="Times New Roman" w:hAnsi="Times New Roman" w:cs="Times New Roman"/>
                <w:sz w:val="20"/>
                <w:szCs w:val="20"/>
              </w:rPr>
              <w:t>%</w:t>
            </w:r>
          </w:p>
        </w:tc>
        <w:tc>
          <w:tcPr>
            <w:tcW w:w="1261" w:type="dxa"/>
            <w:tcBorders>
              <w:top w:val="nil"/>
              <w:left w:val="nil"/>
              <w:bottom w:val="single" w:sz="8" w:space="0" w:color="auto"/>
              <w:right w:val="single" w:sz="8" w:space="0" w:color="auto"/>
            </w:tcBorders>
            <w:tcMar>
              <w:top w:w="0" w:type="dxa"/>
              <w:left w:w="108" w:type="dxa"/>
              <w:bottom w:w="0" w:type="dxa"/>
              <w:right w:w="108" w:type="dxa"/>
            </w:tcMar>
            <w:hideMark/>
          </w:tcPr>
          <w:p w14:paraId="20D9B2C0" w14:textId="551F443C" w:rsidR="00220812" w:rsidRPr="00A07F29" w:rsidRDefault="00220812" w:rsidP="00A826C0">
            <w:pPr>
              <w:spacing w:after="0" w:line="240" w:lineRule="auto"/>
              <w:rPr>
                <w:rFonts w:ascii="Times New Roman" w:eastAsia="Times New Roman" w:hAnsi="Times New Roman" w:cs="Times New Roman"/>
                <w:sz w:val="24"/>
                <w:szCs w:val="24"/>
              </w:rPr>
            </w:pPr>
            <w:r w:rsidRPr="00A07F29">
              <w:rPr>
                <w:rFonts w:ascii="Times New Roman" w:eastAsia="Times New Roman" w:hAnsi="Times New Roman" w:cs="Times New Roman"/>
                <w:sz w:val="20"/>
                <w:szCs w:val="20"/>
              </w:rPr>
              <w:t>4</w:t>
            </w:r>
            <w:r w:rsidR="003059A7">
              <w:rPr>
                <w:rFonts w:ascii="Times New Roman" w:eastAsia="Times New Roman" w:hAnsi="Times New Roman" w:cs="Times New Roman"/>
                <w:sz w:val="20"/>
                <w:szCs w:val="20"/>
              </w:rPr>
              <w:t> </w:t>
            </w:r>
            <w:r w:rsidRPr="00A07F29">
              <w:rPr>
                <w:rFonts w:ascii="Times New Roman" w:eastAsia="Times New Roman" w:hAnsi="Times New Roman" w:cs="Times New Roman"/>
                <w:sz w:val="20"/>
                <w:szCs w:val="20"/>
              </w:rPr>
              <w:t>%≥p&gt;0</w:t>
            </w:r>
            <w:r w:rsidR="003059A7">
              <w:rPr>
                <w:rFonts w:ascii="Times New Roman" w:eastAsia="Times New Roman" w:hAnsi="Times New Roman" w:cs="Times New Roman"/>
                <w:sz w:val="20"/>
                <w:szCs w:val="20"/>
              </w:rPr>
              <w:t> </w:t>
            </w:r>
            <w:r w:rsidRPr="00A07F29">
              <w:rPr>
                <w:rFonts w:ascii="Times New Roman" w:eastAsia="Times New Roman" w:hAnsi="Times New Roman" w:cs="Times New Roman"/>
                <w:sz w:val="20"/>
                <w:szCs w:val="20"/>
              </w:rPr>
              <w:t>%</w:t>
            </w:r>
          </w:p>
        </w:tc>
        <w:tc>
          <w:tcPr>
            <w:tcW w:w="836" w:type="dxa"/>
            <w:tcBorders>
              <w:top w:val="nil"/>
              <w:left w:val="nil"/>
              <w:bottom w:val="single" w:sz="8" w:space="0" w:color="auto"/>
              <w:right w:val="single" w:sz="8" w:space="0" w:color="auto"/>
            </w:tcBorders>
            <w:tcMar>
              <w:top w:w="0" w:type="dxa"/>
              <w:left w:w="108" w:type="dxa"/>
              <w:bottom w:w="0" w:type="dxa"/>
              <w:right w:w="108" w:type="dxa"/>
            </w:tcMar>
            <w:hideMark/>
          </w:tcPr>
          <w:p w14:paraId="5AAB240C" w14:textId="77777777" w:rsidR="00220812" w:rsidRPr="00A07F29" w:rsidRDefault="00220812" w:rsidP="00A826C0">
            <w:pPr>
              <w:spacing w:after="0" w:line="240" w:lineRule="auto"/>
              <w:rPr>
                <w:rFonts w:ascii="Times New Roman" w:eastAsia="Times New Roman" w:hAnsi="Times New Roman" w:cs="Times New Roman"/>
                <w:sz w:val="24"/>
                <w:szCs w:val="24"/>
              </w:rPr>
            </w:pPr>
            <w:r w:rsidRPr="00A07F29">
              <w:rPr>
                <w:rFonts w:ascii="Times New Roman" w:eastAsia="Times New Roman" w:hAnsi="Times New Roman" w:cs="Times New Roman"/>
                <w:sz w:val="20"/>
                <w:szCs w:val="20"/>
              </w:rPr>
              <w:t>54</w:t>
            </w:r>
          </w:p>
        </w:tc>
        <w:tc>
          <w:tcPr>
            <w:tcW w:w="1510" w:type="dxa"/>
            <w:tcBorders>
              <w:top w:val="nil"/>
              <w:left w:val="nil"/>
              <w:bottom w:val="single" w:sz="8" w:space="0" w:color="auto"/>
              <w:right w:val="single" w:sz="8" w:space="0" w:color="auto"/>
            </w:tcBorders>
            <w:tcMar>
              <w:top w:w="0" w:type="dxa"/>
              <w:left w:w="108" w:type="dxa"/>
              <w:bottom w:w="0" w:type="dxa"/>
              <w:right w:w="108" w:type="dxa"/>
            </w:tcMar>
            <w:hideMark/>
          </w:tcPr>
          <w:p w14:paraId="7292D851" w14:textId="7D91BD7B" w:rsidR="00220812" w:rsidRPr="00A07F29" w:rsidRDefault="00220812" w:rsidP="00A826C0">
            <w:pPr>
              <w:spacing w:after="0" w:line="240" w:lineRule="auto"/>
              <w:rPr>
                <w:rFonts w:ascii="Times New Roman" w:eastAsia="Times New Roman" w:hAnsi="Times New Roman" w:cs="Times New Roman"/>
                <w:sz w:val="24"/>
                <w:szCs w:val="24"/>
              </w:rPr>
            </w:pPr>
            <w:r w:rsidRPr="00A07F29">
              <w:rPr>
                <w:rFonts w:ascii="Times New Roman" w:eastAsia="Times New Roman" w:hAnsi="Times New Roman" w:cs="Times New Roman"/>
                <w:sz w:val="20"/>
                <w:szCs w:val="20"/>
              </w:rPr>
              <w:t>5</w:t>
            </w:r>
            <w:r w:rsidR="003059A7">
              <w:rPr>
                <w:rFonts w:ascii="Times New Roman" w:eastAsia="Times New Roman" w:hAnsi="Times New Roman" w:cs="Times New Roman"/>
                <w:sz w:val="20"/>
                <w:szCs w:val="20"/>
              </w:rPr>
              <w:t> </w:t>
            </w:r>
            <w:r w:rsidRPr="00A07F29">
              <w:rPr>
                <w:rFonts w:ascii="Times New Roman" w:eastAsia="Times New Roman" w:hAnsi="Times New Roman" w:cs="Times New Roman"/>
                <w:sz w:val="20"/>
                <w:szCs w:val="20"/>
              </w:rPr>
              <w:t>% ≥ p &gt; 0</w:t>
            </w:r>
            <w:r w:rsidR="003059A7">
              <w:rPr>
                <w:rFonts w:ascii="Times New Roman" w:eastAsia="Times New Roman" w:hAnsi="Times New Roman" w:cs="Times New Roman"/>
                <w:sz w:val="20"/>
                <w:szCs w:val="20"/>
              </w:rPr>
              <w:t> </w:t>
            </w:r>
            <w:r w:rsidRPr="00A07F29">
              <w:rPr>
                <w:rFonts w:ascii="Times New Roman" w:eastAsia="Times New Roman" w:hAnsi="Times New Roman" w:cs="Times New Roman"/>
                <w:sz w:val="20"/>
                <w:szCs w:val="20"/>
              </w:rPr>
              <w:t>%</w:t>
            </w:r>
          </w:p>
        </w:tc>
      </w:tr>
      <w:tr w:rsidR="00A826C0" w:rsidRPr="00A07F29" w14:paraId="3379D739" w14:textId="77777777" w:rsidTr="00A826C0">
        <w:tc>
          <w:tcPr>
            <w:tcW w:w="5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1FADF7" w14:textId="77777777" w:rsidR="00220812" w:rsidRPr="00A07F29" w:rsidRDefault="00220812" w:rsidP="00A826C0">
            <w:pPr>
              <w:spacing w:after="0" w:line="240" w:lineRule="auto"/>
              <w:rPr>
                <w:rFonts w:ascii="Times New Roman" w:eastAsia="Times New Roman" w:hAnsi="Times New Roman" w:cs="Times New Roman"/>
                <w:sz w:val="24"/>
                <w:szCs w:val="24"/>
              </w:rPr>
            </w:pPr>
            <w:r w:rsidRPr="00A07F29">
              <w:rPr>
                <w:rFonts w:ascii="Times New Roman" w:eastAsia="Times New Roman" w:hAnsi="Times New Roman" w:cs="Times New Roman"/>
                <w:sz w:val="20"/>
                <w:szCs w:val="20"/>
              </w:rPr>
              <w:t>3.</w:t>
            </w:r>
          </w:p>
        </w:tc>
        <w:tc>
          <w:tcPr>
            <w:tcW w:w="2226" w:type="dxa"/>
            <w:tcBorders>
              <w:top w:val="nil"/>
              <w:left w:val="nil"/>
              <w:bottom w:val="single" w:sz="8" w:space="0" w:color="auto"/>
              <w:right w:val="single" w:sz="8" w:space="0" w:color="auto"/>
            </w:tcBorders>
            <w:tcMar>
              <w:top w:w="0" w:type="dxa"/>
              <w:left w:w="108" w:type="dxa"/>
              <w:bottom w:w="0" w:type="dxa"/>
              <w:right w:w="108" w:type="dxa"/>
            </w:tcMar>
            <w:hideMark/>
          </w:tcPr>
          <w:p w14:paraId="69FA1CFC" w14:textId="77777777" w:rsidR="00A826C0" w:rsidRPr="00A07F29" w:rsidRDefault="00220812" w:rsidP="00A826C0">
            <w:pPr>
              <w:spacing w:after="0" w:line="240" w:lineRule="auto"/>
              <w:rPr>
                <w:rFonts w:ascii="Times New Roman" w:eastAsia="Times New Roman" w:hAnsi="Times New Roman" w:cs="Times New Roman"/>
                <w:color w:val="000000"/>
                <w:sz w:val="20"/>
                <w:szCs w:val="20"/>
                <w:shd w:val="clear" w:color="auto" w:fill="FFFFFF"/>
              </w:rPr>
            </w:pPr>
            <w:r w:rsidRPr="00A07F29">
              <w:rPr>
                <w:rFonts w:ascii="Times New Roman" w:eastAsia="Times New Roman" w:hAnsi="Times New Roman" w:cs="Times New Roman"/>
                <w:color w:val="000000"/>
                <w:sz w:val="20"/>
                <w:szCs w:val="20"/>
                <w:shd w:val="clear" w:color="auto" w:fill="FFFFFF"/>
              </w:rPr>
              <w:t xml:space="preserve">Brūnais </w:t>
            </w:r>
            <w:proofErr w:type="spellStart"/>
            <w:r w:rsidRPr="00A07F29">
              <w:rPr>
                <w:rFonts w:ascii="Times New Roman" w:eastAsia="Times New Roman" w:hAnsi="Times New Roman" w:cs="Times New Roman"/>
                <w:color w:val="000000"/>
                <w:sz w:val="20"/>
                <w:szCs w:val="20"/>
                <w:shd w:val="clear" w:color="auto" w:fill="FFFFFF"/>
              </w:rPr>
              <w:t>varžukrupis</w:t>
            </w:r>
            <w:proofErr w:type="spellEnd"/>
          </w:p>
          <w:p w14:paraId="3E61A81C" w14:textId="574F4709" w:rsidR="00220812" w:rsidRPr="00A07F29" w:rsidRDefault="00220812" w:rsidP="00A826C0">
            <w:pPr>
              <w:spacing w:after="0" w:line="240" w:lineRule="auto"/>
              <w:rPr>
                <w:rFonts w:ascii="Times New Roman" w:eastAsia="Times New Roman" w:hAnsi="Times New Roman" w:cs="Times New Roman"/>
                <w:sz w:val="24"/>
                <w:szCs w:val="24"/>
              </w:rPr>
            </w:pPr>
            <w:proofErr w:type="spellStart"/>
            <w:r w:rsidRPr="00A07F29">
              <w:rPr>
                <w:rFonts w:ascii="Times New Roman" w:eastAsia="Times New Roman" w:hAnsi="Times New Roman" w:cs="Times New Roman"/>
                <w:i/>
                <w:iCs/>
                <w:color w:val="000000"/>
                <w:sz w:val="20"/>
                <w:szCs w:val="20"/>
                <w:shd w:val="clear" w:color="auto" w:fill="FFFFFF"/>
              </w:rPr>
              <w:t>Pelobates</w:t>
            </w:r>
            <w:proofErr w:type="spellEnd"/>
            <w:r w:rsidRPr="00A07F29">
              <w:rPr>
                <w:rFonts w:ascii="Times New Roman" w:eastAsia="Times New Roman" w:hAnsi="Times New Roman" w:cs="Times New Roman"/>
                <w:i/>
                <w:iCs/>
                <w:color w:val="000000"/>
                <w:sz w:val="20"/>
                <w:szCs w:val="20"/>
                <w:shd w:val="clear" w:color="auto" w:fill="FFFFFF"/>
              </w:rPr>
              <w:t xml:space="preserve"> </w:t>
            </w:r>
            <w:proofErr w:type="spellStart"/>
            <w:r w:rsidRPr="00A07F29">
              <w:rPr>
                <w:rFonts w:ascii="Times New Roman" w:eastAsia="Times New Roman" w:hAnsi="Times New Roman" w:cs="Times New Roman"/>
                <w:i/>
                <w:iCs/>
                <w:color w:val="000000"/>
                <w:sz w:val="20"/>
                <w:szCs w:val="20"/>
                <w:shd w:val="clear" w:color="auto" w:fill="FFFFFF"/>
              </w:rPr>
              <w:t>fuscus</w:t>
            </w:r>
            <w:proofErr w:type="spellEnd"/>
            <w:r w:rsidRPr="00A07F29">
              <w:rPr>
                <w:rFonts w:ascii="Times New Roman" w:eastAsia="Times New Roman" w:hAnsi="Times New Roman" w:cs="Times New Roman"/>
                <w:color w:val="000000"/>
                <w:sz w:val="20"/>
                <w:szCs w:val="20"/>
                <w:shd w:val="clear" w:color="auto" w:fill="FFFFFF"/>
              </w:rPr>
              <w:t xml:space="preserve"> (Laur.) </w:t>
            </w:r>
          </w:p>
        </w:tc>
        <w:tc>
          <w:tcPr>
            <w:tcW w:w="840" w:type="dxa"/>
            <w:tcBorders>
              <w:top w:val="nil"/>
              <w:left w:val="nil"/>
              <w:bottom w:val="single" w:sz="8" w:space="0" w:color="auto"/>
              <w:right w:val="single" w:sz="8" w:space="0" w:color="auto"/>
            </w:tcBorders>
            <w:tcMar>
              <w:top w:w="0" w:type="dxa"/>
              <w:left w:w="108" w:type="dxa"/>
              <w:bottom w:w="0" w:type="dxa"/>
              <w:right w:w="108" w:type="dxa"/>
            </w:tcMar>
            <w:hideMark/>
          </w:tcPr>
          <w:p w14:paraId="437B09AC" w14:textId="77777777" w:rsidR="00220812" w:rsidRPr="00A07F29" w:rsidRDefault="00220812" w:rsidP="00A826C0">
            <w:pPr>
              <w:spacing w:after="0" w:line="240" w:lineRule="auto"/>
              <w:rPr>
                <w:rFonts w:ascii="Times New Roman" w:eastAsia="Times New Roman" w:hAnsi="Times New Roman" w:cs="Times New Roman"/>
                <w:sz w:val="24"/>
                <w:szCs w:val="24"/>
              </w:rPr>
            </w:pPr>
            <w:r w:rsidRPr="00A07F29">
              <w:rPr>
                <w:rFonts w:ascii="Times New Roman" w:eastAsia="Times New Roman" w:hAnsi="Times New Roman" w:cs="Times New Roman"/>
                <w:sz w:val="20"/>
                <w:szCs w:val="20"/>
              </w:rPr>
              <w:t>240</w:t>
            </w:r>
          </w:p>
        </w:tc>
        <w:tc>
          <w:tcPr>
            <w:tcW w:w="711" w:type="dxa"/>
            <w:tcBorders>
              <w:top w:val="nil"/>
              <w:left w:val="nil"/>
              <w:bottom w:val="single" w:sz="8" w:space="0" w:color="auto"/>
              <w:right w:val="single" w:sz="8" w:space="0" w:color="auto"/>
            </w:tcBorders>
            <w:tcMar>
              <w:top w:w="0" w:type="dxa"/>
              <w:left w:w="108" w:type="dxa"/>
              <w:bottom w:w="0" w:type="dxa"/>
              <w:right w:w="108" w:type="dxa"/>
            </w:tcMar>
            <w:hideMark/>
          </w:tcPr>
          <w:p w14:paraId="622EDA9B" w14:textId="77777777" w:rsidR="00220812" w:rsidRPr="00A07F29" w:rsidRDefault="00220812" w:rsidP="00A826C0">
            <w:pPr>
              <w:spacing w:after="0" w:line="240" w:lineRule="auto"/>
              <w:rPr>
                <w:rFonts w:ascii="Times New Roman" w:eastAsia="Times New Roman" w:hAnsi="Times New Roman" w:cs="Times New Roman"/>
                <w:sz w:val="24"/>
                <w:szCs w:val="24"/>
              </w:rPr>
            </w:pPr>
            <w:r w:rsidRPr="00A07F29">
              <w:rPr>
                <w:rFonts w:ascii="Times New Roman" w:eastAsia="Times New Roman" w:hAnsi="Times New Roman" w:cs="Times New Roman"/>
                <w:sz w:val="20"/>
                <w:szCs w:val="20"/>
              </w:rPr>
              <w:t>720</w:t>
            </w: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14:paraId="3A856552" w14:textId="118C18C9" w:rsidR="00220812" w:rsidRPr="00A07F29" w:rsidRDefault="00220812" w:rsidP="00A826C0">
            <w:pPr>
              <w:spacing w:after="0" w:line="240" w:lineRule="auto"/>
              <w:rPr>
                <w:rFonts w:ascii="Times New Roman" w:eastAsia="Times New Roman" w:hAnsi="Times New Roman" w:cs="Times New Roman"/>
                <w:sz w:val="24"/>
                <w:szCs w:val="24"/>
              </w:rPr>
            </w:pPr>
            <w:r w:rsidRPr="00A07F29">
              <w:rPr>
                <w:rFonts w:ascii="Times New Roman" w:eastAsia="Times New Roman" w:hAnsi="Times New Roman" w:cs="Times New Roman"/>
                <w:sz w:val="20"/>
                <w:szCs w:val="20"/>
              </w:rPr>
              <w:t>3</w:t>
            </w:r>
            <w:r w:rsidR="003059A7">
              <w:rPr>
                <w:rFonts w:ascii="Times New Roman" w:eastAsia="Times New Roman" w:hAnsi="Times New Roman" w:cs="Times New Roman"/>
                <w:sz w:val="20"/>
                <w:szCs w:val="20"/>
              </w:rPr>
              <w:t> </w:t>
            </w:r>
            <w:r w:rsidRPr="00A07F29">
              <w:rPr>
                <w:rFonts w:ascii="Times New Roman" w:eastAsia="Times New Roman" w:hAnsi="Times New Roman" w:cs="Times New Roman"/>
                <w:sz w:val="20"/>
                <w:szCs w:val="20"/>
              </w:rPr>
              <w:t>%≥p&gt;0</w:t>
            </w:r>
            <w:r w:rsidR="003059A7">
              <w:rPr>
                <w:rFonts w:ascii="Times New Roman" w:eastAsia="Times New Roman" w:hAnsi="Times New Roman" w:cs="Times New Roman"/>
                <w:sz w:val="20"/>
                <w:szCs w:val="20"/>
              </w:rPr>
              <w:t> </w:t>
            </w:r>
            <w:r w:rsidRPr="00A07F29">
              <w:rPr>
                <w:rFonts w:ascii="Times New Roman" w:eastAsia="Times New Roman" w:hAnsi="Times New Roman" w:cs="Times New Roman"/>
                <w:sz w:val="20"/>
                <w:szCs w:val="20"/>
              </w:rPr>
              <w:t>%</w:t>
            </w:r>
          </w:p>
        </w:tc>
        <w:tc>
          <w:tcPr>
            <w:tcW w:w="1261" w:type="dxa"/>
            <w:tcBorders>
              <w:top w:val="nil"/>
              <w:left w:val="nil"/>
              <w:bottom w:val="single" w:sz="8" w:space="0" w:color="auto"/>
              <w:right w:val="single" w:sz="8" w:space="0" w:color="auto"/>
            </w:tcBorders>
            <w:tcMar>
              <w:top w:w="0" w:type="dxa"/>
              <w:left w:w="108" w:type="dxa"/>
              <w:bottom w:w="0" w:type="dxa"/>
              <w:right w:w="108" w:type="dxa"/>
            </w:tcMar>
            <w:hideMark/>
          </w:tcPr>
          <w:p w14:paraId="2A8CBBAE" w14:textId="5ECFDE36" w:rsidR="00220812" w:rsidRPr="00A07F29" w:rsidRDefault="00220812" w:rsidP="00A826C0">
            <w:pPr>
              <w:spacing w:after="0" w:line="240" w:lineRule="auto"/>
              <w:rPr>
                <w:rFonts w:ascii="Times New Roman" w:eastAsia="Times New Roman" w:hAnsi="Times New Roman" w:cs="Times New Roman"/>
                <w:sz w:val="24"/>
                <w:szCs w:val="24"/>
              </w:rPr>
            </w:pPr>
            <w:r w:rsidRPr="00A07F29">
              <w:rPr>
                <w:rFonts w:ascii="Times New Roman" w:eastAsia="Times New Roman" w:hAnsi="Times New Roman" w:cs="Times New Roman"/>
                <w:sz w:val="20"/>
                <w:szCs w:val="20"/>
              </w:rPr>
              <w:t>2</w:t>
            </w:r>
            <w:r w:rsidR="003059A7">
              <w:rPr>
                <w:rFonts w:ascii="Times New Roman" w:eastAsia="Times New Roman" w:hAnsi="Times New Roman" w:cs="Times New Roman"/>
                <w:sz w:val="20"/>
                <w:szCs w:val="20"/>
              </w:rPr>
              <w:t> </w:t>
            </w:r>
            <w:r w:rsidRPr="00A07F29">
              <w:rPr>
                <w:rFonts w:ascii="Times New Roman" w:eastAsia="Times New Roman" w:hAnsi="Times New Roman" w:cs="Times New Roman"/>
                <w:sz w:val="20"/>
                <w:szCs w:val="20"/>
              </w:rPr>
              <w:t>%≥p&gt;0</w:t>
            </w:r>
            <w:r w:rsidR="003059A7">
              <w:rPr>
                <w:rFonts w:ascii="Times New Roman" w:eastAsia="Times New Roman" w:hAnsi="Times New Roman" w:cs="Times New Roman"/>
                <w:sz w:val="20"/>
                <w:szCs w:val="20"/>
              </w:rPr>
              <w:t> </w:t>
            </w:r>
            <w:r w:rsidRPr="00A07F29">
              <w:rPr>
                <w:rFonts w:ascii="Times New Roman" w:eastAsia="Times New Roman" w:hAnsi="Times New Roman" w:cs="Times New Roman"/>
                <w:sz w:val="20"/>
                <w:szCs w:val="20"/>
              </w:rPr>
              <w:t>%</w:t>
            </w:r>
          </w:p>
        </w:tc>
        <w:tc>
          <w:tcPr>
            <w:tcW w:w="836" w:type="dxa"/>
            <w:tcBorders>
              <w:top w:val="nil"/>
              <w:left w:val="nil"/>
              <w:bottom w:val="single" w:sz="8" w:space="0" w:color="auto"/>
              <w:right w:val="single" w:sz="8" w:space="0" w:color="auto"/>
            </w:tcBorders>
            <w:tcMar>
              <w:top w:w="0" w:type="dxa"/>
              <w:left w:w="108" w:type="dxa"/>
              <w:bottom w:w="0" w:type="dxa"/>
              <w:right w:w="108" w:type="dxa"/>
            </w:tcMar>
            <w:hideMark/>
          </w:tcPr>
          <w:p w14:paraId="7408C139" w14:textId="77777777" w:rsidR="00220812" w:rsidRPr="00A07F29" w:rsidRDefault="00220812" w:rsidP="00A826C0">
            <w:pPr>
              <w:spacing w:after="0" w:line="240" w:lineRule="auto"/>
              <w:rPr>
                <w:rFonts w:ascii="Times New Roman" w:eastAsia="Times New Roman" w:hAnsi="Times New Roman" w:cs="Times New Roman"/>
                <w:sz w:val="24"/>
                <w:szCs w:val="24"/>
              </w:rPr>
            </w:pPr>
            <w:r w:rsidRPr="00A07F29">
              <w:rPr>
                <w:rFonts w:ascii="Times New Roman" w:eastAsia="Times New Roman" w:hAnsi="Times New Roman" w:cs="Times New Roman"/>
                <w:sz w:val="20"/>
                <w:szCs w:val="20"/>
              </w:rPr>
              <w:t>76</w:t>
            </w:r>
          </w:p>
        </w:tc>
        <w:tc>
          <w:tcPr>
            <w:tcW w:w="1510" w:type="dxa"/>
            <w:tcBorders>
              <w:top w:val="nil"/>
              <w:left w:val="nil"/>
              <w:bottom w:val="single" w:sz="8" w:space="0" w:color="auto"/>
              <w:right w:val="single" w:sz="8" w:space="0" w:color="auto"/>
            </w:tcBorders>
            <w:tcMar>
              <w:top w:w="0" w:type="dxa"/>
              <w:left w:w="108" w:type="dxa"/>
              <w:bottom w:w="0" w:type="dxa"/>
              <w:right w:w="108" w:type="dxa"/>
            </w:tcMar>
            <w:hideMark/>
          </w:tcPr>
          <w:p w14:paraId="0EE99EB2" w14:textId="581ABDCA" w:rsidR="00220812" w:rsidRPr="00A07F29" w:rsidRDefault="00220812" w:rsidP="00A826C0">
            <w:pPr>
              <w:spacing w:after="0" w:line="240" w:lineRule="auto"/>
              <w:rPr>
                <w:rFonts w:ascii="Times New Roman" w:eastAsia="Times New Roman" w:hAnsi="Times New Roman" w:cs="Times New Roman"/>
                <w:sz w:val="24"/>
                <w:szCs w:val="24"/>
              </w:rPr>
            </w:pPr>
            <w:r w:rsidRPr="00A07F29">
              <w:rPr>
                <w:rFonts w:ascii="Times New Roman" w:eastAsia="Times New Roman" w:hAnsi="Times New Roman" w:cs="Times New Roman"/>
                <w:sz w:val="20"/>
                <w:szCs w:val="20"/>
              </w:rPr>
              <w:t>3</w:t>
            </w:r>
            <w:r w:rsidR="00A90600">
              <w:rPr>
                <w:rFonts w:ascii="Times New Roman" w:eastAsia="Times New Roman" w:hAnsi="Times New Roman" w:cs="Times New Roman"/>
                <w:sz w:val="20"/>
                <w:szCs w:val="20"/>
              </w:rPr>
              <w:t> </w:t>
            </w:r>
            <w:r w:rsidRPr="00A07F29">
              <w:rPr>
                <w:rFonts w:ascii="Times New Roman" w:eastAsia="Times New Roman" w:hAnsi="Times New Roman" w:cs="Times New Roman"/>
                <w:sz w:val="20"/>
                <w:szCs w:val="20"/>
              </w:rPr>
              <w:t>% ≥ p &gt; 0</w:t>
            </w:r>
            <w:r w:rsidR="00A90600">
              <w:rPr>
                <w:rFonts w:ascii="Times New Roman" w:eastAsia="Times New Roman" w:hAnsi="Times New Roman" w:cs="Times New Roman"/>
                <w:sz w:val="20"/>
                <w:szCs w:val="20"/>
              </w:rPr>
              <w:t> </w:t>
            </w:r>
            <w:r w:rsidRPr="00A07F29">
              <w:rPr>
                <w:rFonts w:ascii="Times New Roman" w:eastAsia="Times New Roman" w:hAnsi="Times New Roman" w:cs="Times New Roman"/>
                <w:sz w:val="20"/>
                <w:szCs w:val="20"/>
              </w:rPr>
              <w:t>%</w:t>
            </w:r>
          </w:p>
        </w:tc>
      </w:tr>
      <w:tr w:rsidR="00A826C0" w:rsidRPr="00A07F29" w14:paraId="308790A6" w14:textId="77777777" w:rsidTr="00A826C0">
        <w:tc>
          <w:tcPr>
            <w:tcW w:w="5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428743" w14:textId="77777777" w:rsidR="00220812" w:rsidRPr="00A07F29" w:rsidRDefault="00220812" w:rsidP="00A826C0">
            <w:pPr>
              <w:spacing w:after="0" w:line="240" w:lineRule="auto"/>
              <w:rPr>
                <w:rFonts w:ascii="Times New Roman" w:eastAsia="Times New Roman" w:hAnsi="Times New Roman" w:cs="Times New Roman"/>
                <w:sz w:val="24"/>
                <w:szCs w:val="24"/>
              </w:rPr>
            </w:pPr>
            <w:r w:rsidRPr="00A07F29">
              <w:rPr>
                <w:rFonts w:ascii="Times New Roman" w:eastAsia="Times New Roman" w:hAnsi="Times New Roman" w:cs="Times New Roman"/>
                <w:sz w:val="20"/>
                <w:szCs w:val="20"/>
              </w:rPr>
              <w:t>4.</w:t>
            </w:r>
          </w:p>
        </w:tc>
        <w:tc>
          <w:tcPr>
            <w:tcW w:w="2226" w:type="dxa"/>
            <w:tcBorders>
              <w:top w:val="nil"/>
              <w:left w:val="nil"/>
              <w:bottom w:val="single" w:sz="8" w:space="0" w:color="auto"/>
              <w:right w:val="single" w:sz="8" w:space="0" w:color="auto"/>
            </w:tcBorders>
            <w:tcMar>
              <w:top w:w="0" w:type="dxa"/>
              <w:left w:w="108" w:type="dxa"/>
              <w:bottom w:w="0" w:type="dxa"/>
              <w:right w:w="108" w:type="dxa"/>
            </w:tcMar>
            <w:hideMark/>
          </w:tcPr>
          <w:p w14:paraId="5BBEA802" w14:textId="77777777" w:rsidR="00A826C0" w:rsidRPr="00A07F29" w:rsidRDefault="00220812" w:rsidP="00A826C0">
            <w:pPr>
              <w:spacing w:after="0" w:line="240" w:lineRule="auto"/>
              <w:rPr>
                <w:rFonts w:ascii="Times New Roman" w:eastAsia="Times New Roman" w:hAnsi="Times New Roman" w:cs="Times New Roman"/>
                <w:color w:val="000000"/>
                <w:sz w:val="20"/>
                <w:szCs w:val="20"/>
                <w:shd w:val="clear" w:color="auto" w:fill="FFFFFF"/>
              </w:rPr>
            </w:pPr>
            <w:r w:rsidRPr="00A07F29">
              <w:rPr>
                <w:rFonts w:ascii="Times New Roman" w:eastAsia="Times New Roman" w:hAnsi="Times New Roman" w:cs="Times New Roman"/>
                <w:color w:val="000000"/>
                <w:sz w:val="20"/>
                <w:szCs w:val="20"/>
                <w:shd w:val="clear" w:color="auto" w:fill="FFFFFF"/>
              </w:rPr>
              <w:t>Zaļais krupis</w:t>
            </w:r>
          </w:p>
          <w:p w14:paraId="674C0235" w14:textId="5487CF6D" w:rsidR="00220812" w:rsidRPr="00A07F29" w:rsidRDefault="00220812" w:rsidP="00A826C0">
            <w:pPr>
              <w:spacing w:after="0" w:line="240" w:lineRule="auto"/>
              <w:rPr>
                <w:rFonts w:ascii="Times New Roman" w:eastAsia="Times New Roman" w:hAnsi="Times New Roman" w:cs="Times New Roman"/>
                <w:sz w:val="24"/>
                <w:szCs w:val="24"/>
              </w:rPr>
            </w:pPr>
            <w:proofErr w:type="spellStart"/>
            <w:r w:rsidRPr="00A07F29">
              <w:rPr>
                <w:rFonts w:ascii="Times New Roman" w:eastAsia="Times New Roman" w:hAnsi="Times New Roman" w:cs="Times New Roman"/>
                <w:i/>
                <w:iCs/>
                <w:color w:val="000000"/>
                <w:sz w:val="20"/>
                <w:szCs w:val="20"/>
                <w:shd w:val="clear" w:color="auto" w:fill="FFFFFF"/>
              </w:rPr>
              <w:t>Bufotes</w:t>
            </w:r>
            <w:proofErr w:type="spellEnd"/>
            <w:r w:rsidRPr="00A07F29">
              <w:rPr>
                <w:rFonts w:ascii="Times New Roman" w:eastAsia="Times New Roman" w:hAnsi="Times New Roman" w:cs="Times New Roman"/>
                <w:i/>
                <w:iCs/>
                <w:color w:val="000000"/>
                <w:sz w:val="20"/>
                <w:szCs w:val="20"/>
                <w:shd w:val="clear" w:color="auto" w:fill="FFFFFF"/>
              </w:rPr>
              <w:t xml:space="preserve"> </w:t>
            </w:r>
            <w:proofErr w:type="spellStart"/>
            <w:r w:rsidRPr="00A07F29">
              <w:rPr>
                <w:rFonts w:ascii="Times New Roman" w:eastAsia="Times New Roman" w:hAnsi="Times New Roman" w:cs="Times New Roman"/>
                <w:i/>
                <w:iCs/>
                <w:color w:val="000000"/>
                <w:sz w:val="20"/>
                <w:szCs w:val="20"/>
                <w:shd w:val="clear" w:color="auto" w:fill="FFFFFF"/>
              </w:rPr>
              <w:t>viridis</w:t>
            </w:r>
            <w:proofErr w:type="spellEnd"/>
            <w:r w:rsidRPr="00A07F29">
              <w:rPr>
                <w:rFonts w:ascii="Times New Roman" w:eastAsia="Times New Roman" w:hAnsi="Times New Roman" w:cs="Times New Roman"/>
                <w:color w:val="000000"/>
                <w:sz w:val="20"/>
                <w:szCs w:val="20"/>
                <w:shd w:val="clear" w:color="auto" w:fill="FFFFFF"/>
              </w:rPr>
              <w:t xml:space="preserve"> (Laur.)</w:t>
            </w:r>
          </w:p>
        </w:tc>
        <w:tc>
          <w:tcPr>
            <w:tcW w:w="840" w:type="dxa"/>
            <w:tcBorders>
              <w:top w:val="nil"/>
              <w:left w:val="nil"/>
              <w:bottom w:val="single" w:sz="8" w:space="0" w:color="auto"/>
              <w:right w:val="single" w:sz="8" w:space="0" w:color="auto"/>
            </w:tcBorders>
            <w:tcMar>
              <w:top w:w="0" w:type="dxa"/>
              <w:left w:w="108" w:type="dxa"/>
              <w:bottom w:w="0" w:type="dxa"/>
              <w:right w:w="108" w:type="dxa"/>
            </w:tcMar>
            <w:hideMark/>
          </w:tcPr>
          <w:p w14:paraId="69FDA888" w14:textId="77777777" w:rsidR="00220812" w:rsidRPr="00A07F29" w:rsidRDefault="00220812" w:rsidP="00A826C0">
            <w:pPr>
              <w:spacing w:after="0" w:line="240" w:lineRule="auto"/>
              <w:rPr>
                <w:rFonts w:ascii="Times New Roman" w:eastAsia="Times New Roman" w:hAnsi="Times New Roman" w:cs="Times New Roman"/>
                <w:sz w:val="24"/>
                <w:szCs w:val="24"/>
              </w:rPr>
            </w:pPr>
            <w:r w:rsidRPr="00A07F29">
              <w:rPr>
                <w:rFonts w:ascii="Times New Roman" w:eastAsia="Times New Roman" w:hAnsi="Times New Roman" w:cs="Times New Roman"/>
                <w:sz w:val="20"/>
                <w:szCs w:val="20"/>
              </w:rPr>
              <w:t>140</w:t>
            </w:r>
          </w:p>
        </w:tc>
        <w:tc>
          <w:tcPr>
            <w:tcW w:w="711" w:type="dxa"/>
            <w:tcBorders>
              <w:top w:val="nil"/>
              <w:left w:val="nil"/>
              <w:bottom w:val="single" w:sz="8" w:space="0" w:color="auto"/>
              <w:right w:val="single" w:sz="8" w:space="0" w:color="auto"/>
            </w:tcBorders>
            <w:tcMar>
              <w:top w:w="0" w:type="dxa"/>
              <w:left w:w="108" w:type="dxa"/>
              <w:bottom w:w="0" w:type="dxa"/>
              <w:right w:w="108" w:type="dxa"/>
            </w:tcMar>
            <w:hideMark/>
          </w:tcPr>
          <w:p w14:paraId="43375E38" w14:textId="77777777" w:rsidR="00220812" w:rsidRPr="00A07F29" w:rsidRDefault="00220812" w:rsidP="00A826C0">
            <w:pPr>
              <w:spacing w:after="0" w:line="240" w:lineRule="auto"/>
              <w:rPr>
                <w:rFonts w:ascii="Times New Roman" w:eastAsia="Times New Roman" w:hAnsi="Times New Roman" w:cs="Times New Roman"/>
                <w:sz w:val="24"/>
                <w:szCs w:val="24"/>
              </w:rPr>
            </w:pPr>
            <w:r w:rsidRPr="00A07F29">
              <w:rPr>
                <w:rFonts w:ascii="Times New Roman" w:eastAsia="Times New Roman" w:hAnsi="Times New Roman" w:cs="Times New Roman"/>
                <w:sz w:val="20"/>
                <w:szCs w:val="20"/>
              </w:rPr>
              <w:t>210</w:t>
            </w: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14:paraId="3E266B00" w14:textId="74A4985F" w:rsidR="00220812" w:rsidRPr="00A07F29" w:rsidRDefault="00220812" w:rsidP="00A826C0">
            <w:pPr>
              <w:spacing w:after="0" w:line="240" w:lineRule="auto"/>
              <w:rPr>
                <w:rFonts w:ascii="Times New Roman" w:eastAsia="Times New Roman" w:hAnsi="Times New Roman" w:cs="Times New Roman"/>
                <w:sz w:val="24"/>
                <w:szCs w:val="24"/>
              </w:rPr>
            </w:pPr>
            <w:r w:rsidRPr="00A07F29">
              <w:rPr>
                <w:rFonts w:ascii="Times New Roman" w:eastAsia="Times New Roman" w:hAnsi="Times New Roman" w:cs="Times New Roman"/>
                <w:sz w:val="20"/>
                <w:szCs w:val="20"/>
              </w:rPr>
              <w:t>2</w:t>
            </w:r>
            <w:r w:rsidR="003059A7">
              <w:rPr>
                <w:rFonts w:ascii="Times New Roman" w:eastAsia="Times New Roman" w:hAnsi="Times New Roman" w:cs="Times New Roman"/>
                <w:sz w:val="20"/>
                <w:szCs w:val="20"/>
              </w:rPr>
              <w:t> </w:t>
            </w:r>
            <w:r w:rsidRPr="00A07F29">
              <w:rPr>
                <w:rFonts w:ascii="Times New Roman" w:eastAsia="Times New Roman" w:hAnsi="Times New Roman" w:cs="Times New Roman"/>
                <w:sz w:val="20"/>
                <w:szCs w:val="20"/>
              </w:rPr>
              <w:t>%≥p&gt;0</w:t>
            </w:r>
            <w:r w:rsidR="003059A7">
              <w:rPr>
                <w:rFonts w:ascii="Times New Roman" w:eastAsia="Times New Roman" w:hAnsi="Times New Roman" w:cs="Times New Roman"/>
                <w:sz w:val="20"/>
                <w:szCs w:val="20"/>
              </w:rPr>
              <w:t> </w:t>
            </w:r>
            <w:r w:rsidRPr="00A07F29">
              <w:rPr>
                <w:rFonts w:ascii="Times New Roman" w:eastAsia="Times New Roman" w:hAnsi="Times New Roman" w:cs="Times New Roman"/>
                <w:sz w:val="20"/>
                <w:szCs w:val="20"/>
              </w:rPr>
              <w:t>%</w:t>
            </w:r>
          </w:p>
        </w:tc>
        <w:tc>
          <w:tcPr>
            <w:tcW w:w="1261" w:type="dxa"/>
            <w:tcBorders>
              <w:top w:val="nil"/>
              <w:left w:val="nil"/>
              <w:bottom w:val="single" w:sz="8" w:space="0" w:color="auto"/>
              <w:right w:val="single" w:sz="8" w:space="0" w:color="auto"/>
            </w:tcBorders>
            <w:tcMar>
              <w:top w:w="0" w:type="dxa"/>
              <w:left w:w="108" w:type="dxa"/>
              <w:bottom w:w="0" w:type="dxa"/>
              <w:right w:w="108" w:type="dxa"/>
            </w:tcMar>
            <w:hideMark/>
          </w:tcPr>
          <w:p w14:paraId="62E3C4FA" w14:textId="6D2343BE" w:rsidR="00220812" w:rsidRPr="00A07F29" w:rsidRDefault="00220812" w:rsidP="00A826C0">
            <w:pPr>
              <w:spacing w:after="0" w:line="240" w:lineRule="auto"/>
              <w:rPr>
                <w:rFonts w:ascii="Times New Roman" w:eastAsia="Times New Roman" w:hAnsi="Times New Roman" w:cs="Times New Roman"/>
                <w:sz w:val="24"/>
                <w:szCs w:val="24"/>
              </w:rPr>
            </w:pPr>
            <w:r w:rsidRPr="00A07F29">
              <w:rPr>
                <w:rFonts w:ascii="Times New Roman" w:eastAsia="Times New Roman" w:hAnsi="Times New Roman" w:cs="Times New Roman"/>
                <w:sz w:val="20"/>
                <w:szCs w:val="20"/>
              </w:rPr>
              <w:t>1</w:t>
            </w:r>
            <w:r w:rsidR="003059A7">
              <w:rPr>
                <w:rFonts w:ascii="Times New Roman" w:eastAsia="Times New Roman" w:hAnsi="Times New Roman" w:cs="Times New Roman"/>
                <w:sz w:val="20"/>
                <w:szCs w:val="20"/>
              </w:rPr>
              <w:t> </w:t>
            </w:r>
            <w:r w:rsidRPr="00A07F29">
              <w:rPr>
                <w:rFonts w:ascii="Times New Roman" w:eastAsia="Times New Roman" w:hAnsi="Times New Roman" w:cs="Times New Roman"/>
                <w:sz w:val="20"/>
                <w:szCs w:val="20"/>
              </w:rPr>
              <w:t>%≥p&gt;0</w:t>
            </w:r>
            <w:r w:rsidR="003059A7">
              <w:rPr>
                <w:rFonts w:ascii="Times New Roman" w:eastAsia="Times New Roman" w:hAnsi="Times New Roman" w:cs="Times New Roman"/>
                <w:sz w:val="20"/>
                <w:szCs w:val="20"/>
              </w:rPr>
              <w:t> </w:t>
            </w:r>
            <w:r w:rsidRPr="00A07F29">
              <w:rPr>
                <w:rFonts w:ascii="Times New Roman" w:eastAsia="Times New Roman" w:hAnsi="Times New Roman" w:cs="Times New Roman"/>
                <w:sz w:val="20"/>
                <w:szCs w:val="20"/>
              </w:rPr>
              <w:t>%</w:t>
            </w:r>
          </w:p>
        </w:tc>
        <w:tc>
          <w:tcPr>
            <w:tcW w:w="836" w:type="dxa"/>
            <w:tcBorders>
              <w:top w:val="nil"/>
              <w:left w:val="nil"/>
              <w:bottom w:val="single" w:sz="8" w:space="0" w:color="auto"/>
              <w:right w:val="single" w:sz="8" w:space="0" w:color="auto"/>
            </w:tcBorders>
            <w:tcMar>
              <w:top w:w="0" w:type="dxa"/>
              <w:left w:w="108" w:type="dxa"/>
              <w:bottom w:w="0" w:type="dxa"/>
              <w:right w:w="108" w:type="dxa"/>
            </w:tcMar>
            <w:hideMark/>
          </w:tcPr>
          <w:p w14:paraId="57088CD3" w14:textId="77777777" w:rsidR="00220812" w:rsidRPr="00A07F29" w:rsidRDefault="00220812" w:rsidP="00A826C0">
            <w:pPr>
              <w:spacing w:after="0" w:line="240" w:lineRule="auto"/>
              <w:rPr>
                <w:rFonts w:ascii="Times New Roman" w:eastAsia="Times New Roman" w:hAnsi="Times New Roman" w:cs="Times New Roman"/>
                <w:sz w:val="24"/>
                <w:szCs w:val="24"/>
              </w:rPr>
            </w:pPr>
            <w:r w:rsidRPr="00A07F29">
              <w:rPr>
                <w:rFonts w:ascii="Times New Roman" w:eastAsia="Times New Roman" w:hAnsi="Times New Roman" w:cs="Times New Roman"/>
                <w:sz w:val="20"/>
                <w:szCs w:val="20"/>
              </w:rPr>
              <w:t>22</w:t>
            </w:r>
          </w:p>
        </w:tc>
        <w:tc>
          <w:tcPr>
            <w:tcW w:w="1510" w:type="dxa"/>
            <w:tcBorders>
              <w:top w:val="nil"/>
              <w:left w:val="nil"/>
              <w:bottom w:val="single" w:sz="8" w:space="0" w:color="auto"/>
              <w:right w:val="single" w:sz="8" w:space="0" w:color="auto"/>
            </w:tcBorders>
            <w:tcMar>
              <w:top w:w="0" w:type="dxa"/>
              <w:left w:w="108" w:type="dxa"/>
              <w:bottom w:w="0" w:type="dxa"/>
              <w:right w:w="108" w:type="dxa"/>
            </w:tcMar>
            <w:hideMark/>
          </w:tcPr>
          <w:p w14:paraId="7E0F6AF7" w14:textId="279E31A8" w:rsidR="00220812" w:rsidRPr="00A07F29" w:rsidRDefault="00220812" w:rsidP="00A826C0">
            <w:pPr>
              <w:spacing w:after="0" w:line="240" w:lineRule="auto"/>
              <w:rPr>
                <w:rFonts w:ascii="Times New Roman" w:eastAsia="Times New Roman" w:hAnsi="Times New Roman" w:cs="Times New Roman"/>
                <w:sz w:val="24"/>
                <w:szCs w:val="24"/>
              </w:rPr>
            </w:pPr>
            <w:r w:rsidRPr="00A07F29">
              <w:rPr>
                <w:rFonts w:ascii="Times New Roman" w:eastAsia="Times New Roman" w:hAnsi="Times New Roman" w:cs="Times New Roman"/>
                <w:sz w:val="20"/>
                <w:szCs w:val="20"/>
              </w:rPr>
              <w:t>2</w:t>
            </w:r>
            <w:r w:rsidR="00A90600">
              <w:rPr>
                <w:rFonts w:ascii="Times New Roman" w:eastAsia="Times New Roman" w:hAnsi="Times New Roman" w:cs="Times New Roman"/>
                <w:sz w:val="20"/>
                <w:szCs w:val="20"/>
              </w:rPr>
              <w:t> </w:t>
            </w:r>
            <w:r w:rsidRPr="00A07F29">
              <w:rPr>
                <w:rFonts w:ascii="Times New Roman" w:eastAsia="Times New Roman" w:hAnsi="Times New Roman" w:cs="Times New Roman"/>
                <w:sz w:val="20"/>
                <w:szCs w:val="20"/>
              </w:rPr>
              <w:t>% ≥ p &gt; 0</w:t>
            </w:r>
            <w:r w:rsidR="00A90600">
              <w:rPr>
                <w:rFonts w:ascii="Times New Roman" w:eastAsia="Times New Roman" w:hAnsi="Times New Roman" w:cs="Times New Roman"/>
                <w:sz w:val="20"/>
                <w:szCs w:val="20"/>
              </w:rPr>
              <w:t> </w:t>
            </w:r>
            <w:r w:rsidRPr="00A07F29">
              <w:rPr>
                <w:rFonts w:ascii="Times New Roman" w:eastAsia="Times New Roman" w:hAnsi="Times New Roman" w:cs="Times New Roman"/>
                <w:sz w:val="20"/>
                <w:szCs w:val="20"/>
              </w:rPr>
              <w:t>%</w:t>
            </w:r>
          </w:p>
        </w:tc>
      </w:tr>
      <w:tr w:rsidR="00A826C0" w:rsidRPr="00A07F29" w14:paraId="7BD6A5F3" w14:textId="77777777" w:rsidTr="00A826C0">
        <w:tc>
          <w:tcPr>
            <w:tcW w:w="5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C50127" w14:textId="77777777" w:rsidR="00220812" w:rsidRPr="00A07F29" w:rsidRDefault="00220812" w:rsidP="00A826C0">
            <w:pPr>
              <w:spacing w:after="0" w:line="240" w:lineRule="auto"/>
              <w:rPr>
                <w:rFonts w:ascii="Times New Roman" w:eastAsia="Times New Roman" w:hAnsi="Times New Roman" w:cs="Times New Roman"/>
                <w:sz w:val="24"/>
                <w:szCs w:val="24"/>
              </w:rPr>
            </w:pPr>
            <w:r w:rsidRPr="00A07F29">
              <w:rPr>
                <w:rFonts w:ascii="Times New Roman" w:eastAsia="Times New Roman" w:hAnsi="Times New Roman" w:cs="Times New Roman"/>
                <w:sz w:val="20"/>
                <w:szCs w:val="20"/>
              </w:rPr>
              <w:t>5.</w:t>
            </w:r>
          </w:p>
        </w:tc>
        <w:tc>
          <w:tcPr>
            <w:tcW w:w="2226" w:type="dxa"/>
            <w:tcBorders>
              <w:top w:val="nil"/>
              <w:left w:val="nil"/>
              <w:bottom w:val="single" w:sz="8" w:space="0" w:color="auto"/>
              <w:right w:val="single" w:sz="8" w:space="0" w:color="auto"/>
            </w:tcBorders>
            <w:tcMar>
              <w:top w:w="0" w:type="dxa"/>
              <w:left w:w="108" w:type="dxa"/>
              <w:bottom w:w="0" w:type="dxa"/>
              <w:right w:w="108" w:type="dxa"/>
            </w:tcMar>
            <w:hideMark/>
          </w:tcPr>
          <w:p w14:paraId="40EF546C" w14:textId="77777777" w:rsidR="00A826C0" w:rsidRPr="00A07F29" w:rsidRDefault="00220812" w:rsidP="00A826C0">
            <w:pPr>
              <w:spacing w:after="0" w:line="240" w:lineRule="auto"/>
              <w:rPr>
                <w:rFonts w:ascii="Times New Roman" w:eastAsia="Times New Roman" w:hAnsi="Times New Roman" w:cs="Times New Roman"/>
                <w:sz w:val="20"/>
                <w:szCs w:val="20"/>
              </w:rPr>
            </w:pPr>
            <w:r w:rsidRPr="00A07F29">
              <w:rPr>
                <w:rFonts w:ascii="Times New Roman" w:eastAsia="Times New Roman" w:hAnsi="Times New Roman" w:cs="Times New Roman"/>
                <w:sz w:val="20"/>
                <w:szCs w:val="20"/>
              </w:rPr>
              <w:t>Sila ķirzaka</w:t>
            </w:r>
          </w:p>
          <w:p w14:paraId="2FCA0EA2" w14:textId="60A9EBE1" w:rsidR="00220812" w:rsidRPr="00A07F29" w:rsidRDefault="00220812" w:rsidP="00A826C0">
            <w:pPr>
              <w:spacing w:after="0" w:line="240" w:lineRule="auto"/>
              <w:rPr>
                <w:rFonts w:ascii="Times New Roman" w:eastAsia="Times New Roman" w:hAnsi="Times New Roman" w:cs="Times New Roman"/>
                <w:sz w:val="24"/>
                <w:szCs w:val="24"/>
              </w:rPr>
            </w:pPr>
            <w:proofErr w:type="spellStart"/>
            <w:r w:rsidRPr="00A07F29">
              <w:rPr>
                <w:rFonts w:ascii="Times New Roman" w:eastAsia="Times New Roman" w:hAnsi="Times New Roman" w:cs="Times New Roman"/>
                <w:i/>
                <w:iCs/>
                <w:sz w:val="20"/>
                <w:szCs w:val="20"/>
              </w:rPr>
              <w:t>Lacerta</w:t>
            </w:r>
            <w:proofErr w:type="spellEnd"/>
            <w:r w:rsidRPr="00A07F29">
              <w:rPr>
                <w:rFonts w:ascii="Times New Roman" w:eastAsia="Times New Roman" w:hAnsi="Times New Roman" w:cs="Times New Roman"/>
                <w:i/>
                <w:iCs/>
                <w:sz w:val="20"/>
                <w:szCs w:val="20"/>
              </w:rPr>
              <w:t xml:space="preserve"> </w:t>
            </w:r>
            <w:proofErr w:type="spellStart"/>
            <w:r w:rsidRPr="00A07F29">
              <w:rPr>
                <w:rFonts w:ascii="Times New Roman" w:eastAsia="Times New Roman" w:hAnsi="Times New Roman" w:cs="Times New Roman"/>
                <w:i/>
                <w:iCs/>
                <w:sz w:val="20"/>
                <w:szCs w:val="20"/>
              </w:rPr>
              <w:t>agilis</w:t>
            </w:r>
            <w:proofErr w:type="spellEnd"/>
            <w:r w:rsidRPr="00A07F29">
              <w:rPr>
                <w:rFonts w:ascii="Times New Roman" w:eastAsia="Times New Roman" w:hAnsi="Times New Roman" w:cs="Times New Roman"/>
                <w:sz w:val="20"/>
                <w:szCs w:val="20"/>
              </w:rPr>
              <w:t xml:space="preserve"> (L.) </w:t>
            </w:r>
          </w:p>
        </w:tc>
        <w:tc>
          <w:tcPr>
            <w:tcW w:w="840" w:type="dxa"/>
            <w:tcBorders>
              <w:top w:val="nil"/>
              <w:left w:val="nil"/>
              <w:bottom w:val="single" w:sz="8" w:space="0" w:color="auto"/>
              <w:right w:val="single" w:sz="8" w:space="0" w:color="auto"/>
            </w:tcBorders>
            <w:tcMar>
              <w:top w:w="0" w:type="dxa"/>
              <w:left w:w="108" w:type="dxa"/>
              <w:bottom w:w="0" w:type="dxa"/>
              <w:right w:w="108" w:type="dxa"/>
            </w:tcMar>
            <w:hideMark/>
          </w:tcPr>
          <w:p w14:paraId="75A0320B" w14:textId="77777777" w:rsidR="00220812" w:rsidRPr="00A07F29" w:rsidRDefault="00220812" w:rsidP="00A826C0">
            <w:pPr>
              <w:spacing w:after="0" w:line="240" w:lineRule="auto"/>
              <w:rPr>
                <w:rFonts w:ascii="Times New Roman" w:eastAsia="Times New Roman" w:hAnsi="Times New Roman" w:cs="Times New Roman"/>
                <w:sz w:val="24"/>
                <w:szCs w:val="24"/>
              </w:rPr>
            </w:pPr>
            <w:r w:rsidRPr="00A07F29">
              <w:rPr>
                <w:rFonts w:ascii="Times New Roman" w:eastAsia="Times New Roman" w:hAnsi="Times New Roman" w:cs="Times New Roman"/>
                <w:sz w:val="20"/>
                <w:szCs w:val="20"/>
              </w:rPr>
              <w:t>820</w:t>
            </w:r>
          </w:p>
        </w:tc>
        <w:tc>
          <w:tcPr>
            <w:tcW w:w="711" w:type="dxa"/>
            <w:tcBorders>
              <w:top w:val="nil"/>
              <w:left w:val="nil"/>
              <w:bottom w:val="single" w:sz="8" w:space="0" w:color="auto"/>
              <w:right w:val="single" w:sz="8" w:space="0" w:color="auto"/>
            </w:tcBorders>
            <w:tcMar>
              <w:top w:w="0" w:type="dxa"/>
              <w:left w:w="108" w:type="dxa"/>
              <w:bottom w:w="0" w:type="dxa"/>
              <w:right w:w="108" w:type="dxa"/>
            </w:tcMar>
            <w:hideMark/>
          </w:tcPr>
          <w:p w14:paraId="1DACBDFE" w14:textId="77777777" w:rsidR="00220812" w:rsidRPr="00A07F29" w:rsidRDefault="00220812" w:rsidP="00A826C0">
            <w:pPr>
              <w:spacing w:after="0" w:line="240" w:lineRule="auto"/>
              <w:rPr>
                <w:rFonts w:ascii="Times New Roman" w:eastAsia="Times New Roman" w:hAnsi="Times New Roman" w:cs="Times New Roman"/>
                <w:sz w:val="24"/>
                <w:szCs w:val="24"/>
              </w:rPr>
            </w:pPr>
            <w:r w:rsidRPr="00A07F29">
              <w:rPr>
                <w:rFonts w:ascii="Times New Roman" w:eastAsia="Times New Roman" w:hAnsi="Times New Roman" w:cs="Times New Roman"/>
                <w:sz w:val="20"/>
                <w:szCs w:val="20"/>
              </w:rPr>
              <w:t>2460</w:t>
            </w: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14:paraId="070185A1" w14:textId="08D6DC5C" w:rsidR="00220812" w:rsidRPr="00A07F29" w:rsidRDefault="00220812" w:rsidP="00A826C0">
            <w:pPr>
              <w:spacing w:after="0" w:line="240" w:lineRule="auto"/>
              <w:rPr>
                <w:rFonts w:ascii="Times New Roman" w:eastAsia="Times New Roman" w:hAnsi="Times New Roman" w:cs="Times New Roman"/>
                <w:sz w:val="24"/>
                <w:szCs w:val="24"/>
              </w:rPr>
            </w:pPr>
            <w:r w:rsidRPr="00A07F29">
              <w:rPr>
                <w:rFonts w:ascii="Times New Roman" w:eastAsia="Times New Roman" w:hAnsi="Times New Roman" w:cs="Times New Roman"/>
                <w:sz w:val="20"/>
                <w:szCs w:val="20"/>
              </w:rPr>
              <w:t>3</w:t>
            </w:r>
            <w:r w:rsidR="003059A7">
              <w:rPr>
                <w:rFonts w:ascii="Times New Roman" w:eastAsia="Times New Roman" w:hAnsi="Times New Roman" w:cs="Times New Roman"/>
                <w:sz w:val="20"/>
                <w:szCs w:val="20"/>
              </w:rPr>
              <w:t> </w:t>
            </w:r>
            <w:r w:rsidRPr="00A07F29">
              <w:rPr>
                <w:rFonts w:ascii="Times New Roman" w:eastAsia="Times New Roman" w:hAnsi="Times New Roman" w:cs="Times New Roman"/>
                <w:sz w:val="20"/>
                <w:szCs w:val="20"/>
              </w:rPr>
              <w:t>%≥p&gt;0</w:t>
            </w:r>
            <w:r w:rsidR="003059A7">
              <w:rPr>
                <w:rFonts w:ascii="Times New Roman" w:eastAsia="Times New Roman" w:hAnsi="Times New Roman" w:cs="Times New Roman"/>
                <w:sz w:val="20"/>
                <w:szCs w:val="20"/>
              </w:rPr>
              <w:t> </w:t>
            </w:r>
            <w:r w:rsidRPr="00A07F29">
              <w:rPr>
                <w:rFonts w:ascii="Times New Roman" w:eastAsia="Times New Roman" w:hAnsi="Times New Roman" w:cs="Times New Roman"/>
                <w:sz w:val="20"/>
                <w:szCs w:val="20"/>
              </w:rPr>
              <w:t>%</w:t>
            </w:r>
          </w:p>
        </w:tc>
        <w:tc>
          <w:tcPr>
            <w:tcW w:w="1261" w:type="dxa"/>
            <w:tcBorders>
              <w:top w:val="nil"/>
              <w:left w:val="nil"/>
              <w:bottom w:val="single" w:sz="8" w:space="0" w:color="auto"/>
              <w:right w:val="single" w:sz="8" w:space="0" w:color="auto"/>
            </w:tcBorders>
            <w:tcMar>
              <w:top w:w="0" w:type="dxa"/>
              <w:left w:w="108" w:type="dxa"/>
              <w:bottom w:w="0" w:type="dxa"/>
              <w:right w:w="108" w:type="dxa"/>
            </w:tcMar>
            <w:hideMark/>
          </w:tcPr>
          <w:p w14:paraId="6070287C" w14:textId="04EF6DD7" w:rsidR="00220812" w:rsidRPr="00A07F29" w:rsidRDefault="00220812" w:rsidP="00A826C0">
            <w:pPr>
              <w:spacing w:after="0" w:line="240" w:lineRule="auto"/>
              <w:rPr>
                <w:rFonts w:ascii="Times New Roman" w:eastAsia="Times New Roman" w:hAnsi="Times New Roman" w:cs="Times New Roman"/>
                <w:sz w:val="24"/>
                <w:szCs w:val="24"/>
              </w:rPr>
            </w:pPr>
            <w:r w:rsidRPr="00A07F29">
              <w:rPr>
                <w:rFonts w:ascii="Times New Roman" w:eastAsia="Times New Roman" w:hAnsi="Times New Roman" w:cs="Times New Roman"/>
                <w:sz w:val="20"/>
                <w:szCs w:val="20"/>
              </w:rPr>
              <w:t>2</w:t>
            </w:r>
            <w:r w:rsidR="00A90600">
              <w:rPr>
                <w:rFonts w:ascii="Times New Roman" w:eastAsia="Times New Roman" w:hAnsi="Times New Roman" w:cs="Times New Roman"/>
                <w:sz w:val="20"/>
                <w:szCs w:val="20"/>
              </w:rPr>
              <w:t> </w:t>
            </w:r>
            <w:r w:rsidRPr="00A07F29">
              <w:rPr>
                <w:rFonts w:ascii="Times New Roman" w:eastAsia="Times New Roman" w:hAnsi="Times New Roman" w:cs="Times New Roman"/>
                <w:sz w:val="20"/>
                <w:szCs w:val="20"/>
              </w:rPr>
              <w:t>%≥p&gt;0</w:t>
            </w:r>
            <w:r w:rsidR="00A90600">
              <w:rPr>
                <w:rFonts w:ascii="Times New Roman" w:eastAsia="Times New Roman" w:hAnsi="Times New Roman" w:cs="Times New Roman"/>
                <w:sz w:val="20"/>
                <w:szCs w:val="20"/>
              </w:rPr>
              <w:t> </w:t>
            </w:r>
            <w:r w:rsidRPr="00A07F29">
              <w:rPr>
                <w:rFonts w:ascii="Times New Roman" w:eastAsia="Times New Roman" w:hAnsi="Times New Roman" w:cs="Times New Roman"/>
                <w:sz w:val="20"/>
                <w:szCs w:val="20"/>
              </w:rPr>
              <w:t>%</w:t>
            </w:r>
          </w:p>
        </w:tc>
        <w:tc>
          <w:tcPr>
            <w:tcW w:w="836" w:type="dxa"/>
            <w:tcBorders>
              <w:top w:val="nil"/>
              <w:left w:val="nil"/>
              <w:bottom w:val="single" w:sz="8" w:space="0" w:color="auto"/>
              <w:right w:val="single" w:sz="8" w:space="0" w:color="auto"/>
            </w:tcBorders>
            <w:tcMar>
              <w:top w:w="0" w:type="dxa"/>
              <w:left w:w="108" w:type="dxa"/>
              <w:bottom w:w="0" w:type="dxa"/>
              <w:right w:w="108" w:type="dxa"/>
            </w:tcMar>
            <w:hideMark/>
          </w:tcPr>
          <w:p w14:paraId="49CE0353" w14:textId="77777777" w:rsidR="00220812" w:rsidRPr="00A07F29" w:rsidRDefault="00220812" w:rsidP="00A826C0">
            <w:pPr>
              <w:spacing w:after="0" w:line="240" w:lineRule="auto"/>
              <w:rPr>
                <w:rFonts w:ascii="Times New Roman" w:eastAsia="Times New Roman" w:hAnsi="Times New Roman" w:cs="Times New Roman"/>
                <w:sz w:val="24"/>
                <w:szCs w:val="24"/>
              </w:rPr>
            </w:pPr>
            <w:r w:rsidRPr="00A07F29">
              <w:rPr>
                <w:rFonts w:ascii="Times New Roman" w:eastAsia="Times New Roman" w:hAnsi="Times New Roman" w:cs="Times New Roman"/>
                <w:sz w:val="20"/>
                <w:szCs w:val="20"/>
              </w:rPr>
              <w:t>260</w:t>
            </w:r>
          </w:p>
        </w:tc>
        <w:tc>
          <w:tcPr>
            <w:tcW w:w="1510" w:type="dxa"/>
            <w:tcBorders>
              <w:top w:val="nil"/>
              <w:left w:val="nil"/>
              <w:bottom w:val="single" w:sz="8" w:space="0" w:color="auto"/>
              <w:right w:val="single" w:sz="8" w:space="0" w:color="auto"/>
            </w:tcBorders>
            <w:tcMar>
              <w:top w:w="0" w:type="dxa"/>
              <w:left w:w="108" w:type="dxa"/>
              <w:bottom w:w="0" w:type="dxa"/>
              <w:right w:w="108" w:type="dxa"/>
            </w:tcMar>
            <w:hideMark/>
          </w:tcPr>
          <w:p w14:paraId="7F625EAA" w14:textId="7EBC9AAD" w:rsidR="00220812" w:rsidRPr="00A07F29" w:rsidRDefault="00220812" w:rsidP="00A826C0">
            <w:pPr>
              <w:spacing w:after="0" w:line="240" w:lineRule="auto"/>
              <w:rPr>
                <w:rFonts w:ascii="Times New Roman" w:eastAsia="Times New Roman" w:hAnsi="Times New Roman" w:cs="Times New Roman"/>
                <w:sz w:val="24"/>
                <w:szCs w:val="24"/>
              </w:rPr>
            </w:pPr>
            <w:r w:rsidRPr="00A07F29">
              <w:rPr>
                <w:rFonts w:ascii="Times New Roman" w:eastAsia="Times New Roman" w:hAnsi="Times New Roman" w:cs="Times New Roman"/>
                <w:sz w:val="20"/>
                <w:szCs w:val="20"/>
              </w:rPr>
              <w:t>3</w:t>
            </w:r>
            <w:r w:rsidR="00A90600">
              <w:rPr>
                <w:rFonts w:ascii="Times New Roman" w:eastAsia="Times New Roman" w:hAnsi="Times New Roman" w:cs="Times New Roman"/>
                <w:sz w:val="20"/>
                <w:szCs w:val="20"/>
              </w:rPr>
              <w:t> </w:t>
            </w:r>
            <w:r w:rsidRPr="00A07F29">
              <w:rPr>
                <w:rFonts w:ascii="Times New Roman" w:eastAsia="Times New Roman" w:hAnsi="Times New Roman" w:cs="Times New Roman"/>
                <w:sz w:val="20"/>
                <w:szCs w:val="20"/>
              </w:rPr>
              <w:t>% ≥ p &gt; 0</w:t>
            </w:r>
            <w:r w:rsidR="00A90600">
              <w:rPr>
                <w:rFonts w:ascii="Times New Roman" w:eastAsia="Times New Roman" w:hAnsi="Times New Roman" w:cs="Times New Roman"/>
                <w:sz w:val="20"/>
                <w:szCs w:val="20"/>
              </w:rPr>
              <w:t> </w:t>
            </w:r>
            <w:r w:rsidRPr="00A07F29">
              <w:rPr>
                <w:rFonts w:ascii="Times New Roman" w:eastAsia="Times New Roman" w:hAnsi="Times New Roman" w:cs="Times New Roman"/>
                <w:sz w:val="20"/>
                <w:szCs w:val="20"/>
              </w:rPr>
              <w:t>%</w:t>
            </w:r>
          </w:p>
        </w:tc>
      </w:tr>
    </w:tbl>
    <w:p w14:paraId="399033ED" w14:textId="77777777" w:rsidR="00485E98" w:rsidRPr="00A07F29" w:rsidRDefault="00485E98" w:rsidP="00667EFE">
      <w:pPr>
        <w:spacing w:after="120" w:line="240" w:lineRule="auto"/>
        <w:rPr>
          <w:rFonts w:ascii="Times New Roman" w:eastAsia="Times New Roman" w:hAnsi="Times New Roman" w:cs="Times New Roman"/>
          <w:b/>
          <w:i/>
          <w:color w:val="000000"/>
          <w:sz w:val="24"/>
          <w:szCs w:val="24"/>
        </w:rPr>
      </w:pPr>
    </w:p>
    <w:p w14:paraId="636DFF7A" w14:textId="5E2481B0" w:rsidR="009072CE" w:rsidRPr="00A07F29" w:rsidRDefault="009072CE" w:rsidP="00667EFE">
      <w:pPr>
        <w:spacing w:after="120" w:line="240" w:lineRule="auto"/>
        <w:rPr>
          <w:rFonts w:ascii="Times New Roman" w:eastAsia="Times New Roman" w:hAnsi="Times New Roman" w:cs="Times New Roman"/>
          <w:b/>
          <w:i/>
          <w:color w:val="000000"/>
          <w:sz w:val="24"/>
          <w:szCs w:val="24"/>
        </w:rPr>
      </w:pPr>
      <w:r w:rsidRPr="000A0E0C">
        <w:rPr>
          <w:rFonts w:ascii="Times New Roman" w:eastAsia="Times New Roman" w:hAnsi="Times New Roman" w:cs="Times New Roman"/>
          <w:b/>
          <w:i/>
          <w:color w:val="000000"/>
          <w:sz w:val="24"/>
          <w:szCs w:val="24"/>
        </w:rPr>
        <w:t>Īpaši aizsargājamo</w:t>
      </w:r>
      <w:r w:rsidRPr="00A07F29">
        <w:rPr>
          <w:rFonts w:ascii="Times New Roman" w:eastAsia="Times New Roman" w:hAnsi="Times New Roman" w:cs="Times New Roman"/>
          <w:b/>
          <w:i/>
          <w:color w:val="000000"/>
          <w:sz w:val="24"/>
          <w:szCs w:val="24"/>
        </w:rPr>
        <w:t xml:space="preserve"> sugu bioloģiskais novērtējums</w:t>
      </w:r>
    </w:p>
    <w:p w14:paraId="0DEECE74" w14:textId="601D45A9" w:rsidR="009072CE" w:rsidRPr="00A07F29" w:rsidRDefault="009072CE" w:rsidP="0038474F">
      <w:pPr>
        <w:spacing w:after="120" w:line="240" w:lineRule="auto"/>
        <w:ind w:firstLine="851"/>
        <w:jc w:val="both"/>
        <w:rPr>
          <w:rFonts w:ascii="Times New Roman" w:eastAsia="Times New Roman" w:hAnsi="Times New Roman" w:cs="Times New Roman"/>
          <w:color w:val="000000"/>
          <w:sz w:val="24"/>
          <w:szCs w:val="24"/>
        </w:rPr>
      </w:pPr>
      <w:r w:rsidRPr="00A07F29">
        <w:rPr>
          <w:rFonts w:ascii="Times New Roman" w:eastAsia="Calibri" w:hAnsi="Times New Roman" w:cs="Times New Roman"/>
          <w:noProof/>
          <w:sz w:val="24"/>
          <w:szCs w:val="24"/>
          <w:lang w:eastAsia="lv-LV"/>
        </w:rPr>
        <mc:AlternateContent>
          <mc:Choice Requires="wps">
            <w:drawing>
              <wp:anchor distT="0" distB="0" distL="114300" distR="114300" simplePos="0" relativeHeight="251658240" behindDoc="0" locked="0" layoutInCell="1" allowOverlap="1" wp14:anchorId="42F0C2F0" wp14:editId="76DCD743">
                <wp:simplePos x="0" y="0"/>
                <wp:positionH relativeFrom="margin">
                  <wp:align>right</wp:align>
                </wp:positionH>
                <wp:positionV relativeFrom="paragraph">
                  <wp:posOffset>7620</wp:posOffset>
                </wp:positionV>
                <wp:extent cx="3097530" cy="2315210"/>
                <wp:effectExtent l="0" t="0" r="0" b="0"/>
                <wp:wrapSquare wrapText="bothSides"/>
                <wp:docPr id="918145566" name="Text Box 19"/>
                <wp:cNvGraphicFramePr/>
                <a:graphic xmlns:a="http://schemas.openxmlformats.org/drawingml/2006/main">
                  <a:graphicData uri="http://schemas.microsoft.com/office/word/2010/wordprocessingShape">
                    <wps:wsp>
                      <wps:cNvSpPr txBox="1"/>
                      <wps:spPr>
                        <a:xfrm>
                          <a:off x="0" y="0"/>
                          <a:ext cx="3097530" cy="2315210"/>
                        </a:xfrm>
                        <a:prstGeom prst="rect">
                          <a:avLst/>
                        </a:prstGeom>
                        <a:noFill/>
                        <a:ln w="6350">
                          <a:noFill/>
                        </a:ln>
                        <a:effectLst/>
                      </wps:spPr>
                      <wps:txbx>
                        <w:txbxContent>
                          <w:p w14:paraId="5E0FB1FA" w14:textId="77777777" w:rsidR="0003144C" w:rsidRPr="00A07F29" w:rsidRDefault="0003144C" w:rsidP="009072CE">
                            <w:pPr>
                              <w:rPr>
                                <w:rFonts w:cs="Calibri"/>
                                <w:sz w:val="20"/>
                              </w:rPr>
                            </w:pPr>
                            <w:bookmarkStart w:id="82" w:name="_Hlk39663749"/>
                            <w:bookmarkEnd w:id="82"/>
                            <w:r w:rsidRPr="00A07F29">
                              <w:rPr>
                                <w:rFonts w:cs="Calibri"/>
                                <w:noProof/>
                                <w:sz w:val="20"/>
                                <w:lang w:eastAsia="lv-LV"/>
                              </w:rPr>
                              <w:drawing>
                                <wp:inline distT="0" distB="0" distL="0" distR="0" wp14:anchorId="36C4E193" wp14:editId="5FF73D2E">
                                  <wp:extent cx="3006651" cy="1756437"/>
                                  <wp:effectExtent l="0" t="0" r="3810" b="0"/>
                                  <wp:docPr id="918145594"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030457" cy="1770344"/>
                                          </a:xfrm>
                                          <a:prstGeom prst="rect">
                                            <a:avLst/>
                                          </a:prstGeom>
                                          <a:noFill/>
                                          <a:ln>
                                            <a:noFill/>
                                          </a:ln>
                                        </pic:spPr>
                                      </pic:pic>
                                    </a:graphicData>
                                  </a:graphic>
                                </wp:inline>
                              </w:drawing>
                            </w:r>
                          </w:p>
                          <w:p w14:paraId="1B2BB557" w14:textId="3C590600" w:rsidR="0003144C" w:rsidRPr="00E96260" w:rsidRDefault="0003144C" w:rsidP="009072CE">
                            <w:pPr>
                              <w:rPr>
                                <w:rFonts w:ascii="Times New Roman" w:hAnsi="Times New Roman" w:cs="Times New Roman"/>
                                <w:sz w:val="20"/>
                                <w:szCs w:val="20"/>
                              </w:rPr>
                            </w:pPr>
                            <w:r w:rsidRPr="00E96260">
                              <w:rPr>
                                <w:rFonts w:ascii="Times New Roman" w:eastAsia="Times New Roman" w:hAnsi="Times New Roman" w:cs="Times New Roman"/>
                                <w:color w:val="000000"/>
                                <w:sz w:val="20"/>
                                <w:szCs w:val="20"/>
                              </w:rPr>
                              <w:t>4.8.</w:t>
                            </w:r>
                            <w:r w:rsidRPr="00E96260">
                              <w:rPr>
                                <w:rFonts w:ascii="Times New Roman" w:hAnsi="Times New Roman" w:cs="Times New Roman"/>
                                <w:sz w:val="20"/>
                                <w:szCs w:val="20"/>
                              </w:rPr>
                              <w:t>1. attēls. Lielais tritons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F0C2F0" id="_x0000_t202" coordsize="21600,21600" o:spt="202" path="m,l,21600r21600,l21600,xe">
                <v:stroke joinstyle="miter"/>
                <v:path gradientshapeok="t" o:connecttype="rect"/>
              </v:shapetype>
              <v:shape id="Text Box 19" o:spid="_x0000_s1026" type="#_x0000_t202" style="position:absolute;left:0;text-align:left;margin-left:192.7pt;margin-top:.6pt;width:243.9pt;height:182.3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" filled="f" stroked="f" strokeweight=".5pt">
                <v:textbox>
                  <w:txbxContent>
                    <w:p w14:paraId="5E0FB1FA" w14:textId="77777777" w:rsidR="0003144C" w:rsidRPr="00A07F29" w:rsidRDefault="0003144C" w:rsidP="009072CE">
                      <w:pPr>
                        <w:rPr>
                          <w:rFonts w:cs="Calibri"/>
                          <w:sz w:val="20"/>
                        </w:rPr>
                      </w:pPr>
                      <w:bookmarkStart w:id="83" w:name="_Hlk39663749"/>
                      <w:bookmarkEnd w:id="83"/>
                      <w:r w:rsidRPr="00A07F29">
                        <w:rPr>
                          <w:rFonts w:cs="Calibri"/>
                          <w:noProof/>
                          <w:sz w:val="20"/>
                          <w:lang w:eastAsia="lv-LV"/>
                        </w:rPr>
                        <w:drawing>
                          <wp:inline distT="0" distB="0" distL="0" distR="0" wp14:anchorId="36C4E193" wp14:editId="5FF73D2E">
                            <wp:extent cx="3006651" cy="1756437"/>
                            <wp:effectExtent l="0" t="0" r="3810" b="0"/>
                            <wp:docPr id="918145594"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030457" cy="1770344"/>
                                    </a:xfrm>
                                    <a:prstGeom prst="rect">
                                      <a:avLst/>
                                    </a:prstGeom>
                                    <a:noFill/>
                                    <a:ln>
                                      <a:noFill/>
                                    </a:ln>
                                  </pic:spPr>
                                </pic:pic>
                              </a:graphicData>
                            </a:graphic>
                          </wp:inline>
                        </w:drawing>
                      </w:r>
                    </w:p>
                    <w:p w14:paraId="1B2BB557" w14:textId="3C590600" w:rsidR="0003144C" w:rsidRPr="00E96260" w:rsidRDefault="0003144C" w:rsidP="009072CE">
                      <w:pPr>
                        <w:rPr>
                          <w:rFonts w:ascii="Times New Roman" w:hAnsi="Times New Roman" w:cs="Times New Roman"/>
                          <w:sz w:val="20"/>
                          <w:szCs w:val="20"/>
                        </w:rPr>
                      </w:pPr>
                      <w:r w:rsidRPr="00E96260">
                        <w:rPr>
                          <w:rFonts w:ascii="Times New Roman" w:eastAsia="Times New Roman" w:hAnsi="Times New Roman" w:cs="Times New Roman"/>
                          <w:color w:val="000000"/>
                          <w:sz w:val="20"/>
                          <w:szCs w:val="20"/>
                        </w:rPr>
                        <w:t>4.8.</w:t>
                      </w:r>
                      <w:r w:rsidRPr="00E96260">
                        <w:rPr>
                          <w:rFonts w:ascii="Times New Roman" w:hAnsi="Times New Roman" w:cs="Times New Roman"/>
                          <w:sz w:val="20"/>
                          <w:szCs w:val="20"/>
                        </w:rPr>
                        <w:t>1. attēls. Lielais tritons</w:t>
                      </w:r>
                    </w:p>
                  </w:txbxContent>
                </v:textbox>
                <w10:wrap type="square" anchorx="margin"/>
              </v:shape>
            </w:pict>
          </mc:Fallback>
        </mc:AlternateContent>
      </w:r>
      <w:r w:rsidRPr="00A07F29">
        <w:rPr>
          <w:rFonts w:ascii="Times New Roman" w:eastAsia="Times New Roman" w:hAnsi="Times New Roman" w:cs="Times New Roman"/>
          <w:b/>
          <w:color w:val="000000"/>
          <w:sz w:val="24"/>
          <w:szCs w:val="24"/>
        </w:rPr>
        <w:t>Lielais tritons</w:t>
      </w:r>
      <w:r w:rsidRPr="00A07F29">
        <w:rPr>
          <w:rFonts w:ascii="Times New Roman" w:eastAsia="Times New Roman" w:hAnsi="Times New Roman" w:cs="Times New Roman"/>
          <w:color w:val="000000"/>
          <w:sz w:val="24"/>
          <w:szCs w:val="24"/>
        </w:rPr>
        <w:t xml:space="preserve"> (</w:t>
      </w:r>
      <w:r w:rsidR="00E96260">
        <w:rPr>
          <w:rFonts w:ascii="Times New Roman" w:eastAsia="Times New Roman" w:hAnsi="Times New Roman" w:cs="Times New Roman"/>
          <w:color w:val="000000"/>
          <w:sz w:val="24"/>
          <w:szCs w:val="24"/>
        </w:rPr>
        <w:t xml:space="preserve">skat. </w:t>
      </w:r>
      <w:r w:rsidRPr="00A07F29">
        <w:rPr>
          <w:rFonts w:ascii="Times New Roman" w:eastAsia="Times New Roman" w:hAnsi="Times New Roman" w:cs="Times New Roman"/>
          <w:color w:val="000000"/>
          <w:sz w:val="24"/>
          <w:szCs w:val="24"/>
        </w:rPr>
        <w:t>4.</w:t>
      </w:r>
      <w:r w:rsidR="00D46BD9" w:rsidRPr="00A07F29">
        <w:rPr>
          <w:rFonts w:ascii="Times New Roman" w:eastAsia="Times New Roman" w:hAnsi="Times New Roman" w:cs="Times New Roman"/>
          <w:color w:val="000000"/>
          <w:sz w:val="24"/>
          <w:szCs w:val="24"/>
        </w:rPr>
        <w:t>8</w:t>
      </w:r>
      <w:r w:rsidRPr="00A07F29">
        <w:rPr>
          <w:rFonts w:ascii="Times New Roman" w:eastAsia="Times New Roman" w:hAnsi="Times New Roman" w:cs="Times New Roman"/>
          <w:color w:val="000000"/>
          <w:sz w:val="24"/>
          <w:szCs w:val="24"/>
        </w:rPr>
        <w:t>.1.</w:t>
      </w:r>
      <w:r w:rsidR="00E96260">
        <w:rPr>
          <w:rFonts w:ascii="Times New Roman" w:eastAsia="Times New Roman" w:hAnsi="Times New Roman" w:cs="Times New Roman"/>
          <w:color w:val="000000"/>
          <w:sz w:val="24"/>
          <w:szCs w:val="24"/>
        </w:rPr>
        <w:t> </w:t>
      </w:r>
      <w:r w:rsidRPr="00A07F29">
        <w:rPr>
          <w:rFonts w:ascii="Times New Roman" w:eastAsia="Times New Roman" w:hAnsi="Times New Roman" w:cs="Times New Roman"/>
          <w:color w:val="000000"/>
          <w:sz w:val="24"/>
          <w:szCs w:val="24"/>
        </w:rPr>
        <w:t>att</w:t>
      </w:r>
      <w:r w:rsidR="00E96260">
        <w:rPr>
          <w:rFonts w:ascii="Times New Roman" w:eastAsia="Times New Roman" w:hAnsi="Times New Roman" w:cs="Times New Roman"/>
          <w:color w:val="000000"/>
          <w:sz w:val="24"/>
          <w:szCs w:val="24"/>
        </w:rPr>
        <w:t>ēls</w:t>
      </w:r>
      <w:r w:rsidRPr="00A07F29">
        <w:rPr>
          <w:rFonts w:ascii="Times New Roman" w:eastAsia="Times New Roman" w:hAnsi="Times New Roman" w:cs="Times New Roman"/>
          <w:color w:val="000000"/>
          <w:sz w:val="24"/>
          <w:szCs w:val="24"/>
        </w:rPr>
        <w:t xml:space="preserve">) sastopams lielākoties AAA “Augšdaugava” DA daļā, bet ļoti reti un ļoti nevienmērīgi. Populācija ir stipri fragmentēta. Sugas dzīvotnes ir jaukti meži, arī parki, krūmāji, upes ielejas netālu no mitrām vietām: purviem, dīķiem. Dienas laiku pavada alās, zem koku saknēm, sūnās. Vairošanās ūdenstilpes ir nelielas, labi aizaugušas ar ūdens augiem, apsauļotas: dīķi, </w:t>
      </w:r>
      <w:proofErr w:type="spellStart"/>
      <w:r w:rsidRPr="00A07F29">
        <w:rPr>
          <w:rFonts w:ascii="Times New Roman" w:eastAsia="Times New Roman" w:hAnsi="Times New Roman" w:cs="Times New Roman"/>
          <w:color w:val="000000"/>
          <w:sz w:val="24"/>
          <w:szCs w:val="24"/>
        </w:rPr>
        <w:t>bebraines</w:t>
      </w:r>
      <w:proofErr w:type="spellEnd"/>
      <w:r w:rsidRPr="00A07F29">
        <w:rPr>
          <w:rFonts w:ascii="Times New Roman" w:eastAsia="Times New Roman" w:hAnsi="Times New Roman" w:cs="Times New Roman"/>
          <w:color w:val="000000"/>
          <w:sz w:val="24"/>
          <w:szCs w:val="24"/>
        </w:rPr>
        <w:t xml:space="preserve">, bebru appludinātie grāvji, lielākoties bez zivīm. Hibernācijas </w:t>
      </w:r>
      <w:proofErr w:type="spellStart"/>
      <w:r w:rsidRPr="00A07F29">
        <w:rPr>
          <w:rFonts w:ascii="Times New Roman" w:eastAsia="Times New Roman" w:hAnsi="Times New Roman" w:cs="Times New Roman"/>
          <w:color w:val="000000"/>
          <w:sz w:val="24"/>
          <w:szCs w:val="24"/>
        </w:rPr>
        <w:t>mikrobiotopi</w:t>
      </w:r>
      <w:proofErr w:type="spellEnd"/>
      <w:r w:rsidRPr="00A07F29">
        <w:rPr>
          <w:rFonts w:ascii="Times New Roman" w:eastAsia="Times New Roman" w:hAnsi="Times New Roman" w:cs="Times New Roman"/>
          <w:color w:val="000000"/>
          <w:sz w:val="24"/>
          <w:szCs w:val="24"/>
        </w:rPr>
        <w:t xml:space="preserve"> ir grauzēju alas, celmi, zaru kaudzes, pagrabi. Populācija ir apdraudēta visā AAA “Augšdaugava” teritorijā.</w:t>
      </w:r>
    </w:p>
    <w:p w14:paraId="2BA0F68C" w14:textId="7196B77D" w:rsidR="009072CE" w:rsidRPr="00A07F29" w:rsidRDefault="009072CE" w:rsidP="00D321DD">
      <w:pPr>
        <w:spacing w:after="120" w:line="240" w:lineRule="auto"/>
        <w:ind w:firstLine="851"/>
        <w:jc w:val="both"/>
        <w:rPr>
          <w:rFonts w:ascii="Times New Roman" w:eastAsia="Times New Roman" w:hAnsi="Times New Roman" w:cs="Times New Roman"/>
          <w:color w:val="000000"/>
          <w:sz w:val="24"/>
          <w:szCs w:val="24"/>
        </w:rPr>
      </w:pPr>
      <w:proofErr w:type="spellStart"/>
      <w:r w:rsidRPr="00A07F29">
        <w:rPr>
          <w:rFonts w:ascii="Times New Roman" w:eastAsia="Times New Roman" w:hAnsi="Times New Roman" w:cs="Times New Roman"/>
          <w:b/>
          <w:color w:val="000000"/>
          <w:sz w:val="24"/>
          <w:szCs w:val="24"/>
        </w:rPr>
        <w:t>Sarkanvēdera</w:t>
      </w:r>
      <w:proofErr w:type="spellEnd"/>
      <w:r w:rsidRPr="00A07F29">
        <w:rPr>
          <w:rFonts w:ascii="Times New Roman" w:eastAsia="Times New Roman" w:hAnsi="Times New Roman" w:cs="Times New Roman"/>
          <w:b/>
          <w:color w:val="000000"/>
          <w:sz w:val="24"/>
          <w:szCs w:val="24"/>
        </w:rPr>
        <w:t xml:space="preserve"> </w:t>
      </w:r>
      <w:proofErr w:type="spellStart"/>
      <w:r w:rsidRPr="00A07F29">
        <w:rPr>
          <w:rFonts w:ascii="Times New Roman" w:eastAsia="Times New Roman" w:hAnsi="Times New Roman" w:cs="Times New Roman"/>
          <w:b/>
          <w:color w:val="000000"/>
          <w:sz w:val="24"/>
          <w:szCs w:val="24"/>
        </w:rPr>
        <w:t>ugunskrupis</w:t>
      </w:r>
      <w:proofErr w:type="spellEnd"/>
      <w:r w:rsidRPr="00A07F29">
        <w:rPr>
          <w:rFonts w:ascii="Times New Roman" w:eastAsia="Times New Roman" w:hAnsi="Times New Roman" w:cs="Times New Roman"/>
          <w:color w:val="000000"/>
          <w:sz w:val="24"/>
          <w:szCs w:val="24"/>
        </w:rPr>
        <w:t xml:space="preserve"> (</w:t>
      </w:r>
      <w:r w:rsidR="00717232">
        <w:rPr>
          <w:rFonts w:ascii="Times New Roman" w:eastAsia="Times New Roman" w:hAnsi="Times New Roman" w:cs="Times New Roman"/>
          <w:color w:val="000000"/>
          <w:sz w:val="24"/>
          <w:szCs w:val="24"/>
        </w:rPr>
        <w:t xml:space="preserve">skat. </w:t>
      </w:r>
      <w:r w:rsidRPr="00A07F29">
        <w:rPr>
          <w:rFonts w:ascii="Times New Roman" w:eastAsia="Times New Roman" w:hAnsi="Times New Roman" w:cs="Times New Roman"/>
          <w:color w:val="000000"/>
          <w:sz w:val="24"/>
          <w:szCs w:val="24"/>
        </w:rPr>
        <w:t>4.</w:t>
      </w:r>
      <w:r w:rsidR="00D46BD9" w:rsidRPr="00A07F29">
        <w:rPr>
          <w:rFonts w:ascii="Times New Roman" w:eastAsia="Times New Roman" w:hAnsi="Times New Roman" w:cs="Times New Roman"/>
          <w:color w:val="000000"/>
          <w:sz w:val="24"/>
          <w:szCs w:val="24"/>
        </w:rPr>
        <w:t>8</w:t>
      </w:r>
      <w:r w:rsidRPr="00A07F29">
        <w:rPr>
          <w:rFonts w:ascii="Times New Roman" w:eastAsia="Times New Roman" w:hAnsi="Times New Roman" w:cs="Times New Roman"/>
          <w:color w:val="000000"/>
          <w:sz w:val="24"/>
          <w:szCs w:val="24"/>
        </w:rPr>
        <w:t>.2.</w:t>
      </w:r>
      <w:r w:rsidR="00717232">
        <w:rPr>
          <w:rFonts w:ascii="Times New Roman" w:eastAsia="Times New Roman" w:hAnsi="Times New Roman" w:cs="Times New Roman"/>
          <w:color w:val="000000"/>
          <w:sz w:val="24"/>
          <w:szCs w:val="24"/>
        </w:rPr>
        <w:t> </w:t>
      </w:r>
      <w:r w:rsidRPr="00A07F29">
        <w:rPr>
          <w:rFonts w:ascii="Times New Roman" w:eastAsia="Times New Roman" w:hAnsi="Times New Roman" w:cs="Times New Roman"/>
          <w:color w:val="000000"/>
          <w:sz w:val="24"/>
          <w:szCs w:val="24"/>
        </w:rPr>
        <w:t>att</w:t>
      </w:r>
      <w:r w:rsidR="00717232">
        <w:rPr>
          <w:rFonts w:ascii="Times New Roman" w:eastAsia="Times New Roman" w:hAnsi="Times New Roman" w:cs="Times New Roman"/>
          <w:color w:val="000000"/>
          <w:sz w:val="24"/>
          <w:szCs w:val="24"/>
        </w:rPr>
        <w:t>ēls</w:t>
      </w:r>
      <w:r w:rsidRPr="00A07F29">
        <w:rPr>
          <w:rFonts w:ascii="Times New Roman" w:eastAsia="Times New Roman" w:hAnsi="Times New Roman" w:cs="Times New Roman"/>
          <w:color w:val="000000"/>
          <w:sz w:val="24"/>
          <w:szCs w:val="24"/>
        </w:rPr>
        <w:t xml:space="preserve">) konstatēts tikai AAA “Augšdaugava” centra </w:t>
      </w:r>
      <w:r w:rsidR="000A0E0C">
        <w:rPr>
          <w:rFonts w:ascii="Times New Roman" w:eastAsia="Times New Roman" w:hAnsi="Times New Roman" w:cs="Times New Roman"/>
          <w:color w:val="000000"/>
          <w:sz w:val="24"/>
          <w:szCs w:val="24"/>
        </w:rPr>
        <w:t>D</w:t>
      </w:r>
      <w:r w:rsidRPr="00A07F29">
        <w:rPr>
          <w:rFonts w:ascii="Times New Roman" w:eastAsia="Times New Roman" w:hAnsi="Times New Roman" w:cs="Times New Roman"/>
          <w:color w:val="000000"/>
          <w:sz w:val="24"/>
          <w:szCs w:val="24"/>
        </w:rPr>
        <w:t xml:space="preserve"> daļā netālu no Kaplavas (populācijas Kaplava, </w:t>
      </w:r>
      <w:proofErr w:type="spellStart"/>
      <w:r w:rsidRPr="00A07F29">
        <w:rPr>
          <w:rFonts w:ascii="Times New Roman" w:eastAsia="Times New Roman" w:hAnsi="Times New Roman" w:cs="Times New Roman"/>
          <w:color w:val="000000"/>
          <w:sz w:val="24"/>
          <w:szCs w:val="24"/>
        </w:rPr>
        <w:t>Matuliški</w:t>
      </w:r>
      <w:proofErr w:type="spellEnd"/>
      <w:r w:rsidRPr="00A07F29">
        <w:rPr>
          <w:rFonts w:ascii="Times New Roman" w:eastAsia="Times New Roman" w:hAnsi="Times New Roman" w:cs="Times New Roman"/>
          <w:color w:val="000000"/>
          <w:sz w:val="24"/>
          <w:szCs w:val="24"/>
        </w:rPr>
        <w:t xml:space="preserve">, </w:t>
      </w:r>
      <w:proofErr w:type="spellStart"/>
      <w:r w:rsidRPr="00A07F29">
        <w:rPr>
          <w:rFonts w:ascii="Times New Roman" w:eastAsia="Times New Roman" w:hAnsi="Times New Roman" w:cs="Times New Roman"/>
          <w:color w:val="000000"/>
          <w:sz w:val="24"/>
          <w:szCs w:val="24"/>
        </w:rPr>
        <w:t>Stašališki</w:t>
      </w:r>
      <w:proofErr w:type="spellEnd"/>
      <w:r w:rsidRPr="00A07F29">
        <w:rPr>
          <w:rFonts w:ascii="Times New Roman" w:eastAsia="Times New Roman" w:hAnsi="Times New Roman" w:cs="Times New Roman"/>
          <w:color w:val="000000"/>
          <w:sz w:val="24"/>
          <w:szCs w:val="24"/>
        </w:rPr>
        <w:t xml:space="preserve">), taču prognozējamas jaunas atradnes teritorijas </w:t>
      </w:r>
      <w:r w:rsidR="000A0E0C">
        <w:rPr>
          <w:rFonts w:ascii="Times New Roman" w:eastAsia="Times New Roman" w:hAnsi="Times New Roman" w:cs="Times New Roman"/>
          <w:color w:val="000000"/>
          <w:sz w:val="24"/>
          <w:szCs w:val="24"/>
        </w:rPr>
        <w:t>D</w:t>
      </w:r>
      <w:r w:rsidRPr="00A07F29">
        <w:rPr>
          <w:rFonts w:ascii="Times New Roman" w:eastAsia="Times New Roman" w:hAnsi="Times New Roman" w:cs="Times New Roman"/>
          <w:color w:val="000000"/>
          <w:sz w:val="24"/>
          <w:szCs w:val="24"/>
        </w:rPr>
        <w:t xml:space="preserve"> un </w:t>
      </w:r>
      <w:proofErr w:type="spellStart"/>
      <w:r w:rsidRPr="00A07F29">
        <w:rPr>
          <w:rFonts w:ascii="Times New Roman" w:eastAsia="Times New Roman" w:hAnsi="Times New Roman" w:cs="Times New Roman"/>
          <w:color w:val="000000"/>
          <w:sz w:val="24"/>
          <w:szCs w:val="24"/>
        </w:rPr>
        <w:t>metapopulācija</w:t>
      </w:r>
      <w:proofErr w:type="spellEnd"/>
      <w:r w:rsidRPr="00A07F29">
        <w:rPr>
          <w:rFonts w:ascii="Times New Roman" w:eastAsia="Times New Roman" w:hAnsi="Times New Roman" w:cs="Times New Roman"/>
          <w:color w:val="000000"/>
          <w:sz w:val="24"/>
          <w:szCs w:val="24"/>
        </w:rPr>
        <w:t xml:space="preserve"> ar Baltkrievijas populāciju. Sugas dzīvotnes ir nelieli pastāvīgie vai izžūstoši dīķi, grāvji, lielo dīķu lagūnas, ar mālainu pamatu un ar bagātu ūdens veģetāciju, labi apsauļoti. Pēc nārsta var arī pārvietoties uz citām ūdenstilpēm. Hibernācijas </w:t>
      </w:r>
      <w:proofErr w:type="spellStart"/>
      <w:r w:rsidRPr="00A07F29">
        <w:rPr>
          <w:rFonts w:ascii="Times New Roman" w:eastAsia="Times New Roman" w:hAnsi="Times New Roman" w:cs="Times New Roman"/>
          <w:color w:val="000000"/>
          <w:sz w:val="24"/>
          <w:szCs w:val="24"/>
        </w:rPr>
        <w:t>mikrobiotopi</w:t>
      </w:r>
      <w:proofErr w:type="spellEnd"/>
      <w:r w:rsidRPr="00A07F29">
        <w:rPr>
          <w:rFonts w:ascii="Times New Roman" w:eastAsia="Times New Roman" w:hAnsi="Times New Roman" w:cs="Times New Roman"/>
          <w:color w:val="000000"/>
          <w:sz w:val="24"/>
          <w:szCs w:val="24"/>
        </w:rPr>
        <w:t xml:space="preserve"> ir grauzēju un kurmju alas, vecie celmi, pagrabi. Populācija AAA “Augšdaugava” ir uz izzušanas robežas.</w:t>
      </w:r>
    </w:p>
    <w:tbl>
      <w:tblPr>
        <w:tblStyle w:val="TableGrid"/>
        <w:tblW w:w="0" w:type="auto"/>
        <w:tblLook w:val="04A0" w:firstRow="1" w:lastRow="0" w:firstColumn="1" w:lastColumn="0" w:noHBand="0" w:noVBand="1"/>
      </w:tblPr>
      <w:tblGrid>
        <w:gridCol w:w="4716"/>
        <w:gridCol w:w="4628"/>
      </w:tblGrid>
      <w:tr w:rsidR="00A826C0" w:rsidRPr="00A07F29" w14:paraId="3DEBCDAA" w14:textId="77777777" w:rsidTr="63C42FA1">
        <w:tc>
          <w:tcPr>
            <w:tcW w:w="4716" w:type="dxa"/>
            <w:tcBorders>
              <w:top w:val="nil"/>
              <w:left w:val="nil"/>
              <w:bottom w:val="nil"/>
              <w:right w:val="nil"/>
            </w:tcBorders>
          </w:tcPr>
          <w:p w14:paraId="0BF4EC75" w14:textId="77777777" w:rsidR="00A826C0" w:rsidRPr="00A07F29" w:rsidRDefault="00A826C0" w:rsidP="0010451C">
            <w:pPr>
              <w:spacing w:line="288" w:lineRule="auto"/>
              <w:jc w:val="both"/>
              <w:rPr>
                <w:rFonts w:ascii="Times New Roman" w:eastAsia="Times New Roman" w:hAnsi="Times New Roman" w:cs="Times New Roman"/>
                <w:b/>
                <w:color w:val="000000"/>
                <w:sz w:val="24"/>
                <w:szCs w:val="24"/>
              </w:rPr>
            </w:pPr>
            <w:r w:rsidRPr="00A07F29">
              <w:rPr>
                <w:rFonts w:cs="Calibri"/>
                <w:noProof/>
                <w:sz w:val="20"/>
                <w:lang w:eastAsia="lv-LV"/>
              </w:rPr>
              <w:drawing>
                <wp:inline distT="0" distB="0" distL="0" distR="0" wp14:anchorId="6F0B260E" wp14:editId="19BFD5FC">
                  <wp:extent cx="2857500" cy="2232152"/>
                  <wp:effectExtent l="0" t="0" r="0" b="0"/>
                  <wp:docPr id="91814553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861676" cy="2235414"/>
                          </a:xfrm>
                          <a:prstGeom prst="rect">
                            <a:avLst/>
                          </a:prstGeom>
                          <a:noFill/>
                          <a:ln>
                            <a:noFill/>
                          </a:ln>
                        </pic:spPr>
                      </pic:pic>
                    </a:graphicData>
                  </a:graphic>
                </wp:inline>
              </w:drawing>
            </w:r>
          </w:p>
        </w:tc>
        <w:tc>
          <w:tcPr>
            <w:tcW w:w="4628" w:type="dxa"/>
            <w:tcBorders>
              <w:top w:val="nil"/>
              <w:left w:val="nil"/>
              <w:bottom w:val="nil"/>
              <w:right w:val="nil"/>
            </w:tcBorders>
          </w:tcPr>
          <w:p w14:paraId="4E200850" w14:textId="77777777" w:rsidR="00A826C0" w:rsidRPr="00A07F29" w:rsidRDefault="00A826C0" w:rsidP="0010451C">
            <w:pPr>
              <w:spacing w:line="288" w:lineRule="auto"/>
              <w:jc w:val="both"/>
              <w:rPr>
                <w:rFonts w:ascii="Times New Roman" w:eastAsia="Times New Roman" w:hAnsi="Times New Roman" w:cs="Times New Roman"/>
                <w:b/>
                <w:color w:val="000000"/>
                <w:sz w:val="24"/>
                <w:szCs w:val="24"/>
              </w:rPr>
            </w:pPr>
            <w:r w:rsidRPr="00A07F29">
              <w:rPr>
                <w:rFonts w:cs="Calibri"/>
                <w:noProof/>
                <w:sz w:val="20"/>
                <w:lang w:eastAsia="lv-LV"/>
              </w:rPr>
              <w:drawing>
                <wp:inline distT="0" distB="0" distL="0" distR="0" wp14:anchorId="6F80D16D" wp14:editId="3BEF3B3C">
                  <wp:extent cx="2093525" cy="2235200"/>
                  <wp:effectExtent l="0" t="0" r="0" b="0"/>
                  <wp:docPr id="918145542"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88">
                            <a:extLst>
                              <a:ext uri="{28A0092B-C50C-407E-A947-70E740481C1C}">
                                <a14:useLocalDpi xmlns:a14="http://schemas.microsoft.com/office/drawing/2010/main" val="0"/>
                              </a:ext>
                            </a:extLst>
                          </a:blip>
                          <a:srcRect l="3033" t="5970" r="-3033" b="6468"/>
                          <a:stretch/>
                        </pic:blipFill>
                        <pic:spPr bwMode="auto">
                          <a:xfrm>
                            <a:off x="0" y="0"/>
                            <a:ext cx="2103319" cy="224565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826C0" w:rsidRPr="00A07F29" w14:paraId="4D6677B4" w14:textId="77777777" w:rsidTr="63C42FA1">
        <w:tc>
          <w:tcPr>
            <w:tcW w:w="9344" w:type="dxa"/>
            <w:gridSpan w:val="2"/>
            <w:tcBorders>
              <w:top w:val="nil"/>
              <w:left w:val="nil"/>
              <w:bottom w:val="nil"/>
              <w:right w:val="nil"/>
            </w:tcBorders>
          </w:tcPr>
          <w:p w14:paraId="1A3DBC1E" w14:textId="1300E55B" w:rsidR="00A826C0" w:rsidRPr="00DB5AC2" w:rsidRDefault="00A826C0" w:rsidP="0010451C">
            <w:pPr>
              <w:spacing w:line="288" w:lineRule="auto"/>
              <w:jc w:val="both"/>
              <w:rPr>
                <w:rFonts w:ascii="Times New Roman" w:eastAsia="Times New Roman" w:hAnsi="Times New Roman" w:cs="Times New Roman"/>
                <w:b/>
                <w:color w:val="000000"/>
                <w:sz w:val="20"/>
                <w:szCs w:val="20"/>
              </w:rPr>
            </w:pPr>
            <w:r w:rsidRPr="00DB5AC2">
              <w:rPr>
                <w:rFonts w:ascii="Times New Roman" w:eastAsia="Times New Roman" w:hAnsi="Times New Roman" w:cs="Times New Roman"/>
                <w:color w:val="000000"/>
                <w:sz w:val="20"/>
                <w:szCs w:val="20"/>
              </w:rPr>
              <w:t>4.8.</w:t>
            </w:r>
            <w:r w:rsidRPr="00DB5AC2">
              <w:rPr>
                <w:rFonts w:ascii="Times New Roman" w:hAnsi="Times New Roman" w:cs="Times New Roman"/>
                <w:sz w:val="20"/>
                <w:szCs w:val="20"/>
              </w:rPr>
              <w:t>2.</w:t>
            </w:r>
            <w:r w:rsidR="00DB5AC2" w:rsidRPr="00DB5AC2">
              <w:rPr>
                <w:rFonts w:ascii="Times New Roman" w:hAnsi="Times New Roman" w:cs="Times New Roman"/>
                <w:sz w:val="20"/>
                <w:szCs w:val="20"/>
              </w:rPr>
              <w:t> </w:t>
            </w:r>
            <w:r w:rsidRPr="00DB5AC2">
              <w:rPr>
                <w:rFonts w:ascii="Times New Roman" w:hAnsi="Times New Roman" w:cs="Times New Roman"/>
                <w:sz w:val="20"/>
                <w:szCs w:val="20"/>
              </w:rPr>
              <w:t xml:space="preserve">attēls. </w:t>
            </w:r>
            <w:proofErr w:type="spellStart"/>
            <w:r w:rsidRPr="00DB5AC2">
              <w:rPr>
                <w:rFonts w:ascii="Times New Roman" w:hAnsi="Times New Roman" w:cs="Times New Roman"/>
                <w:sz w:val="20"/>
                <w:szCs w:val="20"/>
              </w:rPr>
              <w:t>Sarkanvēdera</w:t>
            </w:r>
            <w:proofErr w:type="spellEnd"/>
            <w:r w:rsidRPr="00DB5AC2">
              <w:rPr>
                <w:rFonts w:ascii="Times New Roman" w:hAnsi="Times New Roman" w:cs="Times New Roman"/>
                <w:sz w:val="20"/>
                <w:szCs w:val="20"/>
              </w:rPr>
              <w:t xml:space="preserve"> </w:t>
            </w:r>
            <w:proofErr w:type="spellStart"/>
            <w:r w:rsidRPr="00DB5AC2">
              <w:rPr>
                <w:rFonts w:ascii="Times New Roman" w:hAnsi="Times New Roman" w:cs="Times New Roman"/>
                <w:sz w:val="20"/>
                <w:szCs w:val="20"/>
              </w:rPr>
              <w:t>ugunskrupis</w:t>
            </w:r>
            <w:proofErr w:type="spellEnd"/>
          </w:p>
        </w:tc>
      </w:tr>
    </w:tbl>
    <w:p w14:paraId="4E02DC09" w14:textId="522B5CD1" w:rsidR="00D321DD" w:rsidRPr="00A07F29" w:rsidRDefault="00D321DD" w:rsidP="00A826C0">
      <w:pPr>
        <w:spacing w:after="120" w:line="240" w:lineRule="auto"/>
        <w:jc w:val="both"/>
        <w:rPr>
          <w:rFonts w:ascii="Times New Roman" w:eastAsia="Times New Roman" w:hAnsi="Times New Roman" w:cs="Times New Roman"/>
          <w:b/>
          <w:color w:val="000000"/>
          <w:sz w:val="24"/>
          <w:szCs w:val="24"/>
        </w:rPr>
      </w:pPr>
    </w:p>
    <w:p w14:paraId="69284FE7" w14:textId="55363672" w:rsidR="00A826C0" w:rsidRPr="00A07F29" w:rsidRDefault="009072CE" w:rsidP="00D321DD">
      <w:pPr>
        <w:spacing w:after="120" w:line="240" w:lineRule="auto"/>
        <w:ind w:firstLine="851"/>
        <w:jc w:val="both"/>
        <w:rPr>
          <w:rFonts w:ascii="Times New Roman" w:eastAsia="Times New Roman" w:hAnsi="Times New Roman" w:cs="Times New Roman"/>
          <w:b/>
          <w:color w:val="000000"/>
          <w:sz w:val="24"/>
          <w:szCs w:val="24"/>
        </w:rPr>
      </w:pPr>
      <w:r w:rsidRPr="00A07F29">
        <w:rPr>
          <w:rFonts w:ascii="Times New Roman" w:eastAsia="Times New Roman" w:hAnsi="Times New Roman" w:cs="Times New Roman"/>
          <w:b/>
          <w:color w:val="000000"/>
          <w:sz w:val="24"/>
          <w:szCs w:val="24"/>
        </w:rPr>
        <w:t xml:space="preserve">Brūnais </w:t>
      </w:r>
      <w:proofErr w:type="spellStart"/>
      <w:r w:rsidRPr="00A07F29">
        <w:rPr>
          <w:rFonts w:ascii="Times New Roman" w:eastAsia="Times New Roman" w:hAnsi="Times New Roman" w:cs="Times New Roman"/>
          <w:b/>
          <w:color w:val="000000"/>
          <w:sz w:val="24"/>
          <w:szCs w:val="24"/>
        </w:rPr>
        <w:t>varžukrupis</w:t>
      </w:r>
      <w:proofErr w:type="spellEnd"/>
      <w:r w:rsidRPr="00A07F29">
        <w:rPr>
          <w:rFonts w:ascii="Times New Roman" w:eastAsia="Times New Roman" w:hAnsi="Times New Roman" w:cs="Times New Roman"/>
          <w:color w:val="000000"/>
          <w:sz w:val="24"/>
          <w:szCs w:val="24"/>
        </w:rPr>
        <w:t xml:space="preserve"> (</w:t>
      </w:r>
      <w:r w:rsidR="00DB5AC2">
        <w:rPr>
          <w:rFonts w:ascii="Times New Roman" w:eastAsia="Times New Roman" w:hAnsi="Times New Roman" w:cs="Times New Roman"/>
          <w:color w:val="000000"/>
          <w:sz w:val="24"/>
          <w:szCs w:val="24"/>
        </w:rPr>
        <w:t xml:space="preserve">skat. </w:t>
      </w:r>
      <w:r w:rsidRPr="00A07F29">
        <w:rPr>
          <w:rFonts w:ascii="Times New Roman" w:eastAsia="Times New Roman" w:hAnsi="Times New Roman" w:cs="Times New Roman"/>
          <w:color w:val="000000"/>
          <w:sz w:val="24"/>
          <w:szCs w:val="24"/>
        </w:rPr>
        <w:t>4.</w:t>
      </w:r>
      <w:r w:rsidR="0038474F" w:rsidRPr="00A07F29">
        <w:rPr>
          <w:rFonts w:ascii="Times New Roman" w:eastAsia="Times New Roman" w:hAnsi="Times New Roman" w:cs="Times New Roman"/>
          <w:color w:val="000000"/>
          <w:sz w:val="24"/>
          <w:szCs w:val="24"/>
        </w:rPr>
        <w:t>8</w:t>
      </w:r>
      <w:r w:rsidRPr="00A07F29">
        <w:rPr>
          <w:rFonts w:ascii="Times New Roman" w:eastAsia="Times New Roman" w:hAnsi="Times New Roman" w:cs="Times New Roman"/>
          <w:color w:val="000000"/>
          <w:sz w:val="24"/>
          <w:szCs w:val="24"/>
        </w:rPr>
        <w:t>.3.</w:t>
      </w:r>
      <w:r w:rsidR="00DB5AC2">
        <w:rPr>
          <w:rFonts w:ascii="Times New Roman" w:eastAsia="Times New Roman" w:hAnsi="Times New Roman" w:cs="Times New Roman"/>
          <w:color w:val="000000"/>
          <w:sz w:val="24"/>
          <w:szCs w:val="24"/>
        </w:rPr>
        <w:t> </w:t>
      </w:r>
      <w:r w:rsidRPr="00A07F29">
        <w:rPr>
          <w:rFonts w:ascii="Times New Roman" w:eastAsia="Times New Roman" w:hAnsi="Times New Roman" w:cs="Times New Roman"/>
          <w:color w:val="000000"/>
          <w:sz w:val="24"/>
          <w:szCs w:val="24"/>
        </w:rPr>
        <w:t>att</w:t>
      </w:r>
      <w:r w:rsidR="00DB5AC2">
        <w:rPr>
          <w:rFonts w:ascii="Times New Roman" w:eastAsia="Times New Roman" w:hAnsi="Times New Roman" w:cs="Times New Roman"/>
          <w:color w:val="000000"/>
          <w:sz w:val="24"/>
          <w:szCs w:val="24"/>
        </w:rPr>
        <w:t>ēls</w:t>
      </w:r>
      <w:r w:rsidRPr="00A07F29">
        <w:rPr>
          <w:rFonts w:ascii="Times New Roman" w:eastAsia="Times New Roman" w:hAnsi="Times New Roman" w:cs="Times New Roman"/>
          <w:color w:val="000000"/>
          <w:sz w:val="24"/>
          <w:szCs w:val="24"/>
        </w:rPr>
        <w:t xml:space="preserve">) reģistrēts AAA “Augšdaugava” visā teritorijā. Sugas dzīvotnes ir jaukti meži, krūmāji, mežmalas, pļavas, dārzi, lauki. Izvairās no akmeņainas augsnes. Vairošanās ūdenstilpes ir nelieli aizauguši dīķi. Hibernācijas </w:t>
      </w:r>
      <w:proofErr w:type="spellStart"/>
      <w:r w:rsidRPr="00A07F29">
        <w:rPr>
          <w:rFonts w:ascii="Times New Roman" w:eastAsia="Times New Roman" w:hAnsi="Times New Roman" w:cs="Times New Roman"/>
          <w:color w:val="000000"/>
          <w:sz w:val="24"/>
          <w:szCs w:val="24"/>
        </w:rPr>
        <w:t>mikrobiotopi</w:t>
      </w:r>
      <w:proofErr w:type="spellEnd"/>
      <w:r w:rsidRPr="00A07F29">
        <w:rPr>
          <w:rFonts w:ascii="Times New Roman" w:eastAsia="Times New Roman" w:hAnsi="Times New Roman" w:cs="Times New Roman"/>
          <w:color w:val="000000"/>
          <w:sz w:val="24"/>
          <w:szCs w:val="24"/>
        </w:rPr>
        <w:t xml:space="preserve"> ir grauzēju </w:t>
      </w:r>
      <w:r w:rsidRPr="00A07F29">
        <w:rPr>
          <w:rFonts w:ascii="Times New Roman" w:eastAsia="Times New Roman" w:hAnsi="Times New Roman" w:cs="Times New Roman"/>
          <w:color w:val="000000"/>
          <w:sz w:val="24"/>
          <w:szCs w:val="24"/>
        </w:rPr>
        <w:lastRenderedPageBreak/>
        <w:t>alas, vai pavada ziemu, ierokoties zemē. AAA “Augšdaugava” sastopams fragmentēti, populācija ir apdraudēta.</w:t>
      </w:r>
      <w:r w:rsidRPr="00A07F29">
        <w:rPr>
          <w:rFonts w:cs="Calibri"/>
          <w:sz w:val="24"/>
          <w:szCs w:val="24"/>
        </w:rPr>
        <w:t xml:space="preserve"> </w:t>
      </w:r>
    </w:p>
    <w:p w14:paraId="69C0F111" w14:textId="1D3F36A3" w:rsidR="004144A6" w:rsidRPr="00A07F29" w:rsidRDefault="004144A6" w:rsidP="00D321DD">
      <w:pPr>
        <w:spacing w:after="240" w:line="240" w:lineRule="auto"/>
        <w:ind w:firstLine="851"/>
        <w:jc w:val="both"/>
        <w:rPr>
          <w:rFonts w:ascii="Times New Roman" w:eastAsia="Times New Roman" w:hAnsi="Times New Roman" w:cs="Times New Roman"/>
          <w:color w:val="000000"/>
          <w:sz w:val="24"/>
          <w:szCs w:val="24"/>
        </w:rPr>
      </w:pPr>
      <w:r w:rsidRPr="00A07F29">
        <w:rPr>
          <w:rFonts w:ascii="Times New Roman" w:eastAsia="Times New Roman" w:hAnsi="Times New Roman" w:cs="Times New Roman"/>
          <w:b/>
          <w:color w:val="000000"/>
          <w:sz w:val="24"/>
          <w:szCs w:val="24"/>
        </w:rPr>
        <w:t>Zaļais krupis</w:t>
      </w:r>
      <w:r w:rsidRPr="00A07F29">
        <w:rPr>
          <w:rFonts w:ascii="Times New Roman" w:eastAsia="Times New Roman" w:hAnsi="Times New Roman" w:cs="Times New Roman"/>
          <w:color w:val="000000"/>
          <w:sz w:val="24"/>
          <w:szCs w:val="24"/>
        </w:rPr>
        <w:t xml:space="preserve"> (</w:t>
      </w:r>
      <w:r w:rsidR="00621C45">
        <w:rPr>
          <w:rFonts w:ascii="Times New Roman" w:eastAsia="Times New Roman" w:hAnsi="Times New Roman" w:cs="Times New Roman"/>
          <w:color w:val="000000"/>
          <w:sz w:val="24"/>
          <w:szCs w:val="24"/>
        </w:rPr>
        <w:t xml:space="preserve">skat. </w:t>
      </w:r>
      <w:r w:rsidRPr="00A07F29">
        <w:rPr>
          <w:rFonts w:ascii="Times New Roman" w:eastAsia="Times New Roman" w:hAnsi="Times New Roman" w:cs="Times New Roman"/>
          <w:color w:val="000000"/>
          <w:sz w:val="24"/>
          <w:szCs w:val="24"/>
        </w:rPr>
        <w:t>4.8.4.</w:t>
      </w:r>
      <w:r w:rsidR="00621C45">
        <w:rPr>
          <w:rFonts w:ascii="Times New Roman" w:eastAsia="Times New Roman" w:hAnsi="Times New Roman" w:cs="Times New Roman"/>
          <w:color w:val="000000"/>
          <w:sz w:val="24"/>
          <w:szCs w:val="24"/>
        </w:rPr>
        <w:t> </w:t>
      </w:r>
      <w:r w:rsidRPr="00A07F29">
        <w:rPr>
          <w:rFonts w:ascii="Times New Roman" w:eastAsia="Times New Roman" w:hAnsi="Times New Roman" w:cs="Times New Roman"/>
          <w:color w:val="000000"/>
          <w:sz w:val="24"/>
          <w:szCs w:val="24"/>
        </w:rPr>
        <w:t>att</w:t>
      </w:r>
      <w:r w:rsidR="00621C45">
        <w:rPr>
          <w:rFonts w:ascii="Times New Roman" w:eastAsia="Times New Roman" w:hAnsi="Times New Roman" w:cs="Times New Roman"/>
          <w:color w:val="000000"/>
          <w:sz w:val="24"/>
          <w:szCs w:val="24"/>
        </w:rPr>
        <w:t>ēls</w:t>
      </w:r>
      <w:r w:rsidRPr="00A07F29">
        <w:rPr>
          <w:rFonts w:ascii="Times New Roman" w:eastAsia="Times New Roman" w:hAnsi="Times New Roman" w:cs="Times New Roman"/>
          <w:color w:val="000000"/>
          <w:sz w:val="24"/>
          <w:szCs w:val="24"/>
        </w:rPr>
        <w:t>) sastopams AAA “Augšdaugava” tikai dažās cilvēku apdzīvotās vietās ciematos, pilsētās vai netālu no apdzīvotām vietām.</w:t>
      </w:r>
      <w:r w:rsidRPr="00A07F29">
        <w:rPr>
          <w:rFonts w:ascii="Times New Roman" w:eastAsia="Calibri" w:hAnsi="Times New Roman" w:cs="Times New Roman"/>
          <w:sz w:val="24"/>
          <w:szCs w:val="20"/>
          <w:lang w:eastAsia="ar-SA"/>
        </w:rPr>
        <w:t xml:space="preserve"> </w:t>
      </w:r>
      <w:r w:rsidRPr="00A07F29">
        <w:rPr>
          <w:rFonts w:ascii="Times New Roman" w:eastAsia="Times New Roman" w:hAnsi="Times New Roman" w:cs="Times New Roman"/>
          <w:color w:val="000000"/>
          <w:sz w:val="24"/>
          <w:szCs w:val="24"/>
        </w:rPr>
        <w:t xml:space="preserve">Sugas dzīvotnes ir krūmāji, pļavas, dārzi, lauki. Vairošanās biotopi ir dīķi, lāmas, grāvji. Hibernācijas </w:t>
      </w:r>
      <w:proofErr w:type="spellStart"/>
      <w:r w:rsidRPr="00A07F29">
        <w:rPr>
          <w:rFonts w:ascii="Times New Roman" w:eastAsia="Times New Roman" w:hAnsi="Times New Roman" w:cs="Times New Roman"/>
          <w:color w:val="000000"/>
          <w:sz w:val="24"/>
          <w:szCs w:val="24"/>
        </w:rPr>
        <w:t>mikrobiotopi</w:t>
      </w:r>
      <w:proofErr w:type="spellEnd"/>
      <w:r w:rsidRPr="00A07F29">
        <w:rPr>
          <w:rFonts w:ascii="Times New Roman" w:eastAsia="Times New Roman" w:hAnsi="Times New Roman" w:cs="Times New Roman"/>
          <w:color w:val="000000"/>
          <w:sz w:val="24"/>
          <w:szCs w:val="24"/>
        </w:rPr>
        <w:t xml:space="preserve"> ir grauzēju alas, bedres, akmeņu čupas, vai pavada ziemu, ierokoties zemē. AAA “Augšdaugava” ir ļoti rets, populācija apdraudēta visā AAA teritorijā.</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7"/>
        <w:gridCol w:w="4907"/>
      </w:tblGrid>
      <w:tr w:rsidR="0038474F" w:rsidRPr="00A07F29" w14:paraId="606B965B" w14:textId="77777777" w:rsidTr="63C42FA1">
        <w:trPr>
          <w:jc w:val="center"/>
        </w:trPr>
        <w:tc>
          <w:tcPr>
            <w:tcW w:w="4672" w:type="dxa"/>
          </w:tcPr>
          <w:p w14:paraId="42C83F0C" w14:textId="64A7ACDC" w:rsidR="0038474F" w:rsidRPr="00A07F29" w:rsidRDefault="0038474F" w:rsidP="009072CE">
            <w:pPr>
              <w:spacing w:line="288" w:lineRule="auto"/>
              <w:jc w:val="both"/>
              <w:rPr>
                <w:rFonts w:ascii="Times New Roman" w:eastAsia="Times New Roman" w:hAnsi="Times New Roman" w:cs="Times New Roman"/>
                <w:color w:val="000000"/>
                <w:sz w:val="24"/>
                <w:szCs w:val="24"/>
              </w:rPr>
            </w:pPr>
            <w:r w:rsidRPr="00A07F29">
              <w:rPr>
                <w:rFonts w:cs="Calibri"/>
                <w:noProof/>
                <w:sz w:val="20"/>
                <w:lang w:eastAsia="lv-LV"/>
              </w:rPr>
              <w:drawing>
                <wp:inline distT="0" distB="0" distL="0" distR="0" wp14:anchorId="6F887513" wp14:editId="215EE263">
                  <wp:extent cx="2486641" cy="1815192"/>
                  <wp:effectExtent l="0" t="0" r="9525" b="0"/>
                  <wp:docPr id="918145548"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9" cstate="email">
                            <a:extLst>
                              <a:ext uri="{28A0092B-C50C-407E-A947-70E740481C1C}">
                                <a14:useLocalDpi xmlns:a14="http://schemas.microsoft.com/office/drawing/2010/main"/>
                              </a:ext>
                            </a:extLst>
                          </a:blip>
                          <a:srcRect/>
                          <a:stretch>
                            <a:fillRect/>
                          </a:stretch>
                        </pic:blipFill>
                        <pic:spPr bwMode="auto">
                          <a:xfrm>
                            <a:off x="0" y="0"/>
                            <a:ext cx="2547127" cy="1859345"/>
                          </a:xfrm>
                          <a:prstGeom prst="rect">
                            <a:avLst/>
                          </a:prstGeom>
                          <a:noFill/>
                          <a:ln>
                            <a:noFill/>
                          </a:ln>
                        </pic:spPr>
                      </pic:pic>
                    </a:graphicData>
                  </a:graphic>
                </wp:inline>
              </w:drawing>
            </w:r>
          </w:p>
        </w:tc>
        <w:tc>
          <w:tcPr>
            <w:tcW w:w="4672" w:type="dxa"/>
          </w:tcPr>
          <w:p w14:paraId="17277977" w14:textId="6DB5C49E" w:rsidR="0038474F" w:rsidRPr="00A07F29" w:rsidRDefault="0038474F" w:rsidP="009072CE">
            <w:pPr>
              <w:spacing w:line="288" w:lineRule="auto"/>
              <w:jc w:val="both"/>
              <w:rPr>
                <w:rFonts w:ascii="Times New Roman" w:eastAsia="Times New Roman" w:hAnsi="Times New Roman" w:cs="Times New Roman"/>
                <w:color w:val="000000"/>
                <w:sz w:val="24"/>
                <w:szCs w:val="24"/>
              </w:rPr>
            </w:pPr>
            <w:r w:rsidRPr="00A07F29">
              <w:rPr>
                <w:rFonts w:cs="Calibri"/>
                <w:noProof/>
                <w:sz w:val="20"/>
                <w:lang w:eastAsia="lv-LV"/>
              </w:rPr>
              <w:drawing>
                <wp:inline distT="0" distB="0" distL="0" distR="0" wp14:anchorId="7144C7F9" wp14:editId="501FA829">
                  <wp:extent cx="2979202" cy="1792975"/>
                  <wp:effectExtent l="0" t="0" r="0" b="0"/>
                  <wp:docPr id="918145549"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002426" cy="1806952"/>
                          </a:xfrm>
                          <a:prstGeom prst="rect">
                            <a:avLst/>
                          </a:prstGeom>
                          <a:noFill/>
                          <a:ln>
                            <a:noFill/>
                          </a:ln>
                        </pic:spPr>
                      </pic:pic>
                    </a:graphicData>
                  </a:graphic>
                </wp:inline>
              </w:drawing>
            </w:r>
          </w:p>
        </w:tc>
      </w:tr>
      <w:tr w:rsidR="0038474F" w:rsidRPr="00A07F29" w14:paraId="07BE2AD9" w14:textId="77777777" w:rsidTr="63C42FA1">
        <w:trPr>
          <w:jc w:val="center"/>
        </w:trPr>
        <w:tc>
          <w:tcPr>
            <w:tcW w:w="4672" w:type="dxa"/>
          </w:tcPr>
          <w:p w14:paraId="1A740FE1" w14:textId="6719D001" w:rsidR="0038474F" w:rsidRPr="00F52FE3" w:rsidRDefault="0038474F" w:rsidP="004144A6">
            <w:pPr>
              <w:spacing w:line="288" w:lineRule="auto"/>
              <w:jc w:val="both"/>
              <w:rPr>
                <w:rFonts w:ascii="Times New Roman" w:eastAsia="Times New Roman" w:hAnsi="Times New Roman" w:cs="Times New Roman"/>
                <w:color w:val="000000"/>
                <w:sz w:val="20"/>
                <w:szCs w:val="20"/>
              </w:rPr>
            </w:pPr>
            <w:r w:rsidRPr="00F52FE3">
              <w:rPr>
                <w:rFonts w:ascii="Times New Roman" w:eastAsia="Times New Roman" w:hAnsi="Times New Roman" w:cs="Times New Roman"/>
                <w:color w:val="000000"/>
                <w:sz w:val="20"/>
                <w:szCs w:val="20"/>
              </w:rPr>
              <w:t>4.</w:t>
            </w:r>
            <w:r w:rsidR="004144A6" w:rsidRPr="00F52FE3">
              <w:rPr>
                <w:rFonts w:ascii="Times New Roman" w:eastAsia="Times New Roman" w:hAnsi="Times New Roman" w:cs="Times New Roman"/>
                <w:color w:val="000000"/>
                <w:sz w:val="20"/>
                <w:szCs w:val="20"/>
              </w:rPr>
              <w:t>8</w:t>
            </w:r>
            <w:r w:rsidRPr="00F52FE3">
              <w:rPr>
                <w:rFonts w:ascii="Times New Roman" w:eastAsia="Times New Roman" w:hAnsi="Times New Roman" w:cs="Times New Roman"/>
                <w:color w:val="000000"/>
                <w:sz w:val="20"/>
                <w:szCs w:val="20"/>
              </w:rPr>
              <w:t>.3.</w:t>
            </w:r>
            <w:r w:rsidR="00F52FE3" w:rsidRPr="00F52FE3">
              <w:rPr>
                <w:rFonts w:ascii="Times New Roman" w:eastAsia="Times New Roman" w:hAnsi="Times New Roman" w:cs="Times New Roman"/>
                <w:color w:val="000000"/>
                <w:sz w:val="20"/>
                <w:szCs w:val="20"/>
              </w:rPr>
              <w:t> </w:t>
            </w:r>
            <w:r w:rsidRPr="00F52FE3">
              <w:rPr>
                <w:rFonts w:ascii="Times New Roman" w:eastAsia="Times New Roman" w:hAnsi="Times New Roman" w:cs="Times New Roman"/>
                <w:color w:val="000000"/>
                <w:sz w:val="20"/>
                <w:szCs w:val="20"/>
              </w:rPr>
              <w:t xml:space="preserve">attēls. Brūnais </w:t>
            </w:r>
            <w:proofErr w:type="spellStart"/>
            <w:r w:rsidRPr="00F52FE3">
              <w:rPr>
                <w:rFonts w:ascii="Times New Roman" w:eastAsia="Times New Roman" w:hAnsi="Times New Roman" w:cs="Times New Roman"/>
                <w:color w:val="000000"/>
                <w:sz w:val="20"/>
                <w:szCs w:val="20"/>
              </w:rPr>
              <w:t>varžukrupis</w:t>
            </w:r>
            <w:proofErr w:type="spellEnd"/>
          </w:p>
        </w:tc>
        <w:tc>
          <w:tcPr>
            <w:tcW w:w="4672" w:type="dxa"/>
          </w:tcPr>
          <w:p w14:paraId="7191F703" w14:textId="644D9F09" w:rsidR="0038474F" w:rsidRPr="00F52FE3" w:rsidRDefault="0038474F" w:rsidP="004144A6">
            <w:pPr>
              <w:spacing w:line="288" w:lineRule="auto"/>
              <w:jc w:val="both"/>
              <w:rPr>
                <w:rFonts w:ascii="Times New Roman" w:eastAsia="Times New Roman" w:hAnsi="Times New Roman" w:cs="Times New Roman"/>
                <w:color w:val="000000"/>
                <w:sz w:val="20"/>
                <w:szCs w:val="20"/>
              </w:rPr>
            </w:pPr>
            <w:r w:rsidRPr="00F52FE3">
              <w:rPr>
                <w:rFonts w:ascii="Times New Roman" w:eastAsia="Times New Roman" w:hAnsi="Times New Roman" w:cs="Times New Roman"/>
                <w:color w:val="000000"/>
                <w:sz w:val="20"/>
                <w:szCs w:val="20"/>
              </w:rPr>
              <w:t>4.</w:t>
            </w:r>
            <w:r w:rsidR="004144A6" w:rsidRPr="00F52FE3">
              <w:rPr>
                <w:rFonts w:ascii="Times New Roman" w:eastAsia="Times New Roman" w:hAnsi="Times New Roman" w:cs="Times New Roman"/>
                <w:color w:val="000000"/>
                <w:sz w:val="20"/>
                <w:szCs w:val="20"/>
              </w:rPr>
              <w:t>8</w:t>
            </w:r>
            <w:r w:rsidRPr="00F52FE3">
              <w:rPr>
                <w:rFonts w:ascii="Times New Roman" w:eastAsia="Times New Roman" w:hAnsi="Times New Roman" w:cs="Times New Roman"/>
                <w:color w:val="000000"/>
                <w:sz w:val="20"/>
                <w:szCs w:val="20"/>
              </w:rPr>
              <w:t>.</w:t>
            </w:r>
            <w:r w:rsidRPr="00F52FE3">
              <w:rPr>
                <w:rFonts w:ascii="Times New Roman" w:hAnsi="Times New Roman" w:cs="Times New Roman"/>
                <w:sz w:val="20"/>
                <w:szCs w:val="20"/>
              </w:rPr>
              <w:t>4.</w:t>
            </w:r>
            <w:r w:rsidR="00F52FE3" w:rsidRPr="00F52FE3">
              <w:rPr>
                <w:rFonts w:ascii="Times New Roman" w:hAnsi="Times New Roman" w:cs="Times New Roman"/>
                <w:sz w:val="20"/>
                <w:szCs w:val="20"/>
              </w:rPr>
              <w:t> </w:t>
            </w:r>
            <w:r w:rsidRPr="00F52FE3">
              <w:rPr>
                <w:rFonts w:ascii="Times New Roman" w:hAnsi="Times New Roman" w:cs="Times New Roman"/>
                <w:sz w:val="20"/>
                <w:szCs w:val="20"/>
              </w:rPr>
              <w:t>attēls. Zaļais krupis</w:t>
            </w:r>
          </w:p>
        </w:tc>
      </w:tr>
    </w:tbl>
    <w:p w14:paraId="61194004" w14:textId="5655356C" w:rsidR="00D321DD" w:rsidRPr="00A07F29" w:rsidRDefault="00D321DD" w:rsidP="00D321DD">
      <w:pPr>
        <w:spacing w:after="120" w:line="240" w:lineRule="auto"/>
        <w:ind w:firstLine="851"/>
        <w:jc w:val="both"/>
        <w:rPr>
          <w:rFonts w:ascii="Times New Roman" w:eastAsia="Times New Roman" w:hAnsi="Times New Roman" w:cs="Times New Roman"/>
          <w:color w:val="000000"/>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9"/>
        <w:gridCol w:w="5505"/>
      </w:tblGrid>
      <w:tr w:rsidR="00731AFB" w:rsidRPr="00A07F29" w14:paraId="70DEF153" w14:textId="77777777" w:rsidTr="63C42FA1">
        <w:trPr>
          <w:trHeight w:val="4100"/>
        </w:trPr>
        <w:tc>
          <w:tcPr>
            <w:tcW w:w="3849" w:type="dxa"/>
            <w:vMerge w:val="restart"/>
          </w:tcPr>
          <w:p w14:paraId="591429FD" w14:textId="163D6224" w:rsidR="00D321DD" w:rsidRPr="00A07F29" w:rsidRDefault="00D321DD" w:rsidP="00D321DD">
            <w:pPr>
              <w:spacing w:after="120"/>
              <w:ind w:firstLine="877"/>
              <w:jc w:val="both"/>
              <w:rPr>
                <w:rFonts w:ascii="Times New Roman" w:eastAsia="Times New Roman" w:hAnsi="Times New Roman" w:cs="Times New Roman"/>
                <w:color w:val="000000"/>
                <w:sz w:val="24"/>
                <w:szCs w:val="24"/>
              </w:rPr>
            </w:pPr>
            <w:r w:rsidRPr="00A07F29">
              <w:rPr>
                <w:rFonts w:ascii="Times New Roman" w:eastAsia="Times New Roman" w:hAnsi="Times New Roman" w:cs="Times New Roman"/>
                <w:b/>
                <w:color w:val="000000"/>
                <w:sz w:val="24"/>
                <w:szCs w:val="24"/>
              </w:rPr>
              <w:t>Sila ķirzaka</w:t>
            </w:r>
            <w:r w:rsidRPr="00A07F29">
              <w:rPr>
                <w:rFonts w:ascii="Times New Roman" w:eastAsia="Times New Roman" w:hAnsi="Times New Roman" w:cs="Times New Roman"/>
                <w:color w:val="000000"/>
                <w:sz w:val="24"/>
                <w:szCs w:val="24"/>
              </w:rPr>
              <w:t xml:space="preserve"> (</w:t>
            </w:r>
            <w:r w:rsidR="00F52FE3">
              <w:rPr>
                <w:rFonts w:ascii="Times New Roman" w:eastAsia="Times New Roman" w:hAnsi="Times New Roman" w:cs="Times New Roman"/>
                <w:color w:val="000000"/>
                <w:sz w:val="24"/>
                <w:szCs w:val="24"/>
              </w:rPr>
              <w:t xml:space="preserve">skat. </w:t>
            </w:r>
            <w:r w:rsidRPr="00A07F29">
              <w:rPr>
                <w:rFonts w:ascii="Times New Roman" w:eastAsia="Times New Roman" w:hAnsi="Times New Roman" w:cs="Times New Roman"/>
                <w:color w:val="000000"/>
                <w:sz w:val="24"/>
                <w:szCs w:val="24"/>
              </w:rPr>
              <w:t>4.8.5.att</w:t>
            </w:r>
            <w:r w:rsidR="00F52FE3">
              <w:rPr>
                <w:rFonts w:ascii="Times New Roman" w:eastAsia="Times New Roman" w:hAnsi="Times New Roman" w:cs="Times New Roman"/>
                <w:color w:val="000000"/>
                <w:sz w:val="24"/>
                <w:szCs w:val="24"/>
              </w:rPr>
              <w:t>ēls</w:t>
            </w:r>
            <w:r w:rsidRPr="00A07F29">
              <w:rPr>
                <w:rFonts w:ascii="Times New Roman" w:eastAsia="Times New Roman" w:hAnsi="Times New Roman" w:cs="Times New Roman"/>
                <w:color w:val="000000"/>
                <w:sz w:val="24"/>
                <w:szCs w:val="24"/>
              </w:rPr>
              <w:t xml:space="preserve">) sastopama gandrīz visā AAA “Augšdaugava” teritorijā, bet ļoti nevienmērīgi, populācijas ir fragmentētas un ļoti nelielas. Vairākums populāciju atrodas tuvu Daugavai AAA </w:t>
            </w:r>
            <w:r w:rsidR="000A0E0C">
              <w:rPr>
                <w:rFonts w:ascii="Times New Roman" w:eastAsia="Times New Roman" w:hAnsi="Times New Roman" w:cs="Times New Roman"/>
                <w:color w:val="000000"/>
                <w:sz w:val="24"/>
                <w:szCs w:val="24"/>
              </w:rPr>
              <w:t>ZR</w:t>
            </w:r>
            <w:r w:rsidRPr="00A07F29">
              <w:rPr>
                <w:rFonts w:ascii="Times New Roman" w:eastAsia="Times New Roman" w:hAnsi="Times New Roman" w:cs="Times New Roman"/>
                <w:color w:val="000000"/>
                <w:sz w:val="24"/>
                <w:szCs w:val="24"/>
              </w:rPr>
              <w:t xml:space="preserve"> daļā. Sila ķirzakas dzīvotne ir sausie smilšainie biotopi: sausas </w:t>
            </w:r>
            <w:proofErr w:type="spellStart"/>
            <w:r w:rsidRPr="00A07F29">
              <w:rPr>
                <w:rFonts w:ascii="Times New Roman" w:eastAsia="Times New Roman" w:hAnsi="Times New Roman" w:cs="Times New Roman"/>
                <w:color w:val="000000"/>
                <w:sz w:val="24"/>
                <w:szCs w:val="24"/>
              </w:rPr>
              <w:t>kserofītu</w:t>
            </w:r>
            <w:proofErr w:type="spellEnd"/>
            <w:r w:rsidRPr="00A07F29">
              <w:rPr>
                <w:rFonts w:ascii="Times New Roman" w:eastAsia="Times New Roman" w:hAnsi="Times New Roman" w:cs="Times New Roman"/>
                <w:color w:val="000000"/>
                <w:sz w:val="24"/>
                <w:szCs w:val="24"/>
              </w:rPr>
              <w:t xml:space="preserve"> pļavas, priežu mežu mežmalas un izcirtumi, ceļu nomales. Hibernācijas </w:t>
            </w:r>
            <w:proofErr w:type="spellStart"/>
            <w:r w:rsidRPr="00A07F29">
              <w:rPr>
                <w:rFonts w:ascii="Times New Roman" w:eastAsia="Times New Roman" w:hAnsi="Times New Roman" w:cs="Times New Roman"/>
                <w:color w:val="000000"/>
                <w:sz w:val="24"/>
                <w:szCs w:val="24"/>
              </w:rPr>
              <w:t>mikrobiotopi</w:t>
            </w:r>
            <w:proofErr w:type="spellEnd"/>
            <w:r w:rsidRPr="00A07F29">
              <w:rPr>
                <w:rFonts w:ascii="Times New Roman" w:eastAsia="Times New Roman" w:hAnsi="Times New Roman" w:cs="Times New Roman"/>
                <w:color w:val="000000"/>
                <w:sz w:val="24"/>
                <w:szCs w:val="24"/>
              </w:rPr>
              <w:t xml:space="preserve"> ir alas, bedres, akmeņu čupas, celmi. Sila ķirzakas populācija apdraudēta visā AAA “Augšdaugava” teritorijā sakarā ar biotopu aizaugšanu.</w:t>
            </w:r>
          </w:p>
        </w:tc>
        <w:tc>
          <w:tcPr>
            <w:tcW w:w="5505" w:type="dxa"/>
            <w:vAlign w:val="bottom"/>
          </w:tcPr>
          <w:p w14:paraId="759BB0EA" w14:textId="1EBD5508" w:rsidR="00D321DD" w:rsidRPr="00A07F29" w:rsidRDefault="00731AFB" w:rsidP="00731AFB">
            <w:pPr>
              <w:spacing w:after="120"/>
              <w:ind w:firstLine="293"/>
              <w:jc w:val="both"/>
              <w:rPr>
                <w:rFonts w:ascii="Times New Roman" w:eastAsia="Times New Roman" w:hAnsi="Times New Roman" w:cs="Times New Roman"/>
                <w:color w:val="000000"/>
                <w:sz w:val="24"/>
                <w:szCs w:val="24"/>
              </w:rPr>
            </w:pPr>
            <w:r w:rsidRPr="00A07F29">
              <w:rPr>
                <w:noProof/>
                <w:lang w:eastAsia="lv-LV"/>
              </w:rPr>
              <w:drawing>
                <wp:inline distT="0" distB="0" distL="0" distR="0" wp14:anchorId="722D413B" wp14:editId="2D3E0656">
                  <wp:extent cx="3068341" cy="2113707"/>
                  <wp:effectExtent l="0" t="0" r="0" b="1270"/>
                  <wp:docPr id="17037178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145597" name="Picture 36"/>
                          <pic:cNvPicPr>
                            <a:picLocks noChangeAspect="1"/>
                          </pic:cNvPicPr>
                        </pic:nvPicPr>
                        <pic:blipFill>
                          <a:blip r:embed="rId91" cstate="email">
                            <a:extLst>
                              <a:ext uri="{28A0092B-C50C-407E-A947-70E740481C1C}">
                                <a14:useLocalDpi xmlns:a14="http://schemas.microsoft.com/office/drawing/2010/main" val="0"/>
                              </a:ext>
                            </a:extLst>
                          </a:blip>
                          <a:srcRect/>
                          <a:stretch>
                            <a:fillRect/>
                          </a:stretch>
                        </pic:blipFill>
                        <pic:spPr bwMode="auto">
                          <a:xfrm>
                            <a:off x="0" y="0"/>
                            <a:ext cx="3109097" cy="2141783"/>
                          </a:xfrm>
                          <a:prstGeom prst="rect">
                            <a:avLst/>
                          </a:prstGeom>
                          <a:noFill/>
                          <a:ln>
                            <a:noFill/>
                          </a:ln>
                        </pic:spPr>
                      </pic:pic>
                    </a:graphicData>
                  </a:graphic>
                </wp:inline>
              </w:drawing>
            </w:r>
          </w:p>
        </w:tc>
      </w:tr>
      <w:tr w:rsidR="00731AFB" w:rsidRPr="00A07F29" w14:paraId="7E13506D" w14:textId="77777777" w:rsidTr="63C42FA1">
        <w:tc>
          <w:tcPr>
            <w:tcW w:w="3849" w:type="dxa"/>
            <w:vMerge/>
          </w:tcPr>
          <w:p w14:paraId="33DCE1C8" w14:textId="77777777" w:rsidR="00D321DD" w:rsidRPr="00A07F29" w:rsidRDefault="00D321DD" w:rsidP="004144A6">
            <w:pPr>
              <w:spacing w:after="120"/>
              <w:jc w:val="both"/>
              <w:rPr>
                <w:rFonts w:ascii="Times New Roman" w:eastAsia="Times New Roman" w:hAnsi="Times New Roman" w:cs="Times New Roman"/>
                <w:color w:val="000000"/>
                <w:sz w:val="24"/>
                <w:szCs w:val="24"/>
              </w:rPr>
            </w:pPr>
          </w:p>
        </w:tc>
        <w:tc>
          <w:tcPr>
            <w:tcW w:w="5505" w:type="dxa"/>
          </w:tcPr>
          <w:p w14:paraId="3BCE8D66" w14:textId="1C361216" w:rsidR="00D321DD" w:rsidRPr="006C526C" w:rsidRDefault="00D321DD" w:rsidP="00731AFB">
            <w:pPr>
              <w:ind w:firstLine="293"/>
              <w:rPr>
                <w:rFonts w:ascii="Times New Roman" w:eastAsia="Times New Roman" w:hAnsi="Times New Roman" w:cs="Times New Roman"/>
                <w:color w:val="000000"/>
                <w:sz w:val="20"/>
                <w:szCs w:val="20"/>
              </w:rPr>
            </w:pPr>
            <w:r w:rsidRPr="006C526C">
              <w:rPr>
                <w:rFonts w:ascii="Times New Roman" w:eastAsia="Times New Roman" w:hAnsi="Times New Roman" w:cs="Times New Roman"/>
                <w:color w:val="000000"/>
                <w:sz w:val="20"/>
                <w:szCs w:val="20"/>
              </w:rPr>
              <w:t>4.8.5.</w:t>
            </w:r>
            <w:r w:rsidR="006C526C" w:rsidRPr="006C526C">
              <w:rPr>
                <w:rFonts w:ascii="Times New Roman" w:eastAsia="Times New Roman" w:hAnsi="Times New Roman" w:cs="Times New Roman"/>
                <w:color w:val="000000"/>
                <w:sz w:val="20"/>
                <w:szCs w:val="20"/>
              </w:rPr>
              <w:t> </w:t>
            </w:r>
            <w:r w:rsidRPr="006C526C">
              <w:rPr>
                <w:rFonts w:ascii="Times New Roman" w:eastAsia="Times New Roman" w:hAnsi="Times New Roman" w:cs="Times New Roman"/>
                <w:color w:val="000000"/>
                <w:sz w:val="20"/>
                <w:szCs w:val="20"/>
              </w:rPr>
              <w:t>att</w:t>
            </w:r>
            <w:r w:rsidR="006C526C" w:rsidRPr="006C526C">
              <w:rPr>
                <w:rFonts w:ascii="Times New Roman" w:eastAsia="Times New Roman" w:hAnsi="Times New Roman" w:cs="Times New Roman"/>
                <w:color w:val="000000"/>
                <w:sz w:val="20"/>
                <w:szCs w:val="20"/>
              </w:rPr>
              <w:t>ēls</w:t>
            </w:r>
            <w:r w:rsidRPr="006C526C">
              <w:rPr>
                <w:rFonts w:ascii="Times New Roman" w:eastAsia="Times New Roman" w:hAnsi="Times New Roman" w:cs="Times New Roman"/>
                <w:color w:val="000000"/>
                <w:sz w:val="20"/>
                <w:szCs w:val="20"/>
              </w:rPr>
              <w:t xml:space="preserve"> Sila ķirzaka</w:t>
            </w:r>
          </w:p>
        </w:tc>
      </w:tr>
    </w:tbl>
    <w:p w14:paraId="3726F05C" w14:textId="1D430FBD" w:rsidR="009072CE" w:rsidRPr="00A07F29" w:rsidRDefault="009072CE" w:rsidP="00731AFB">
      <w:pPr>
        <w:spacing w:before="360" w:after="120" w:line="240" w:lineRule="auto"/>
        <w:rPr>
          <w:rFonts w:ascii="Times New Roman" w:eastAsia="Times New Roman" w:hAnsi="Times New Roman" w:cs="Times New Roman"/>
          <w:b/>
          <w:bCs/>
          <w:i/>
          <w:color w:val="000000"/>
          <w:sz w:val="24"/>
          <w:szCs w:val="24"/>
        </w:rPr>
      </w:pPr>
      <w:proofErr w:type="spellStart"/>
      <w:r w:rsidRPr="00A07F29">
        <w:rPr>
          <w:rFonts w:ascii="Times New Roman" w:eastAsia="Times New Roman" w:hAnsi="Times New Roman" w:cs="Times New Roman"/>
          <w:b/>
          <w:bCs/>
          <w:i/>
          <w:color w:val="000000"/>
          <w:sz w:val="24"/>
          <w:szCs w:val="24"/>
        </w:rPr>
        <w:t>Herpetofaunas</w:t>
      </w:r>
      <w:proofErr w:type="spellEnd"/>
      <w:r w:rsidRPr="00A07F29">
        <w:rPr>
          <w:rFonts w:ascii="Times New Roman" w:eastAsia="Times New Roman" w:hAnsi="Times New Roman" w:cs="Times New Roman"/>
          <w:b/>
          <w:bCs/>
          <w:i/>
          <w:color w:val="000000"/>
          <w:sz w:val="24"/>
          <w:szCs w:val="24"/>
        </w:rPr>
        <w:t xml:space="preserve"> </w:t>
      </w:r>
      <w:r w:rsidR="00E06DC9" w:rsidRPr="00A07F29">
        <w:rPr>
          <w:rFonts w:ascii="Times New Roman" w:eastAsia="Times New Roman" w:hAnsi="Times New Roman" w:cs="Times New Roman"/>
          <w:b/>
          <w:bCs/>
          <w:i/>
          <w:color w:val="000000"/>
          <w:sz w:val="24"/>
          <w:szCs w:val="24"/>
        </w:rPr>
        <w:t xml:space="preserve">nozīme un </w:t>
      </w:r>
      <w:r w:rsidRPr="00A07F29">
        <w:rPr>
          <w:rFonts w:ascii="Times New Roman" w:eastAsia="Times New Roman" w:hAnsi="Times New Roman" w:cs="Times New Roman"/>
          <w:b/>
          <w:bCs/>
          <w:i/>
          <w:color w:val="000000"/>
          <w:sz w:val="24"/>
          <w:szCs w:val="24"/>
        </w:rPr>
        <w:t>sugas ietekmējošie faktori</w:t>
      </w:r>
    </w:p>
    <w:p w14:paraId="123C5275" w14:textId="4EFB58EB" w:rsidR="00E06DC9" w:rsidRPr="00A07F29" w:rsidRDefault="00E06DC9" w:rsidP="00E06DC9">
      <w:pPr>
        <w:spacing w:after="0" w:line="240" w:lineRule="auto"/>
        <w:ind w:firstLine="851"/>
        <w:jc w:val="both"/>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 xml:space="preserve">Abinieku un rāpuļu sugas ir nozīmīga AAA “Augšdaugava” sauszemes un ūdens ekosistēmu sastāvdaļa, kas veicina citu sugu eksistenci. Abinieki un rāpuļi kalpo par barību citām </w:t>
      </w:r>
      <w:proofErr w:type="spellStart"/>
      <w:r w:rsidRPr="00A07F29">
        <w:rPr>
          <w:rFonts w:ascii="Times New Roman" w:eastAsia="Times New Roman" w:hAnsi="Times New Roman" w:cs="Times New Roman"/>
          <w:color w:val="000000"/>
          <w:sz w:val="24"/>
          <w:szCs w:val="24"/>
        </w:rPr>
        <w:t>herpetofaunas</w:t>
      </w:r>
      <w:proofErr w:type="spellEnd"/>
      <w:r w:rsidRPr="00A07F29">
        <w:rPr>
          <w:rFonts w:ascii="Times New Roman" w:eastAsia="Times New Roman" w:hAnsi="Times New Roman" w:cs="Times New Roman"/>
          <w:color w:val="000000"/>
          <w:sz w:val="24"/>
          <w:szCs w:val="24"/>
        </w:rPr>
        <w:t>, zivju, putnu un zīdītāju sugām. Lielākoties abinieki un rāpuļi barojas ar bezmugurkaulniekiem, tostarp, kaitīgiem lauksaimniecībai. Daži abinieki var pārnest cilvēkiem un citiem dzīvniekiem bīstamus parazītus.</w:t>
      </w:r>
      <w:r w:rsidR="00430CCD" w:rsidRPr="00A07F29">
        <w:rPr>
          <w:rFonts w:ascii="Times New Roman" w:eastAsia="Times New Roman" w:hAnsi="Times New Roman" w:cs="Times New Roman"/>
          <w:color w:val="000000"/>
          <w:sz w:val="24"/>
          <w:szCs w:val="24"/>
        </w:rPr>
        <w:t xml:space="preserve"> </w:t>
      </w:r>
      <w:r w:rsidRPr="00A07F29">
        <w:rPr>
          <w:rFonts w:ascii="Times New Roman" w:eastAsia="Times New Roman" w:hAnsi="Times New Roman" w:cs="Times New Roman"/>
          <w:color w:val="000000"/>
          <w:sz w:val="24"/>
          <w:szCs w:val="24"/>
        </w:rPr>
        <w:t>Abinieku un rāpuļu sugas ietekmējošie faktori un to analīze dota 4.8.3. un 4.8.4.</w:t>
      </w:r>
      <w:r w:rsidR="00C46666">
        <w:rPr>
          <w:rFonts w:ascii="Times New Roman" w:eastAsia="Times New Roman" w:hAnsi="Times New Roman" w:cs="Times New Roman"/>
          <w:color w:val="000000"/>
          <w:sz w:val="24"/>
          <w:szCs w:val="24"/>
        </w:rPr>
        <w:t> </w:t>
      </w:r>
      <w:r w:rsidRPr="00A07F29">
        <w:rPr>
          <w:rFonts w:ascii="Times New Roman" w:eastAsia="Times New Roman" w:hAnsi="Times New Roman" w:cs="Times New Roman"/>
          <w:color w:val="000000"/>
          <w:sz w:val="24"/>
          <w:szCs w:val="24"/>
        </w:rPr>
        <w:t>tabulā</w:t>
      </w:r>
      <w:r w:rsidR="00C46666">
        <w:rPr>
          <w:rFonts w:ascii="Times New Roman" w:eastAsia="Times New Roman" w:hAnsi="Times New Roman" w:cs="Times New Roman"/>
          <w:color w:val="000000"/>
          <w:sz w:val="24"/>
          <w:szCs w:val="24"/>
        </w:rPr>
        <w:t>.</w:t>
      </w:r>
    </w:p>
    <w:p w14:paraId="7E71520A" w14:textId="77777777" w:rsidR="00430CCD" w:rsidRPr="00A07F29" w:rsidRDefault="00430CCD" w:rsidP="00E06DC9">
      <w:pPr>
        <w:spacing w:after="0" w:line="240" w:lineRule="auto"/>
        <w:ind w:firstLine="851"/>
        <w:jc w:val="both"/>
        <w:rPr>
          <w:rFonts w:ascii="Times New Roman" w:eastAsia="Times New Roman" w:hAnsi="Times New Roman" w:cs="Times New Roman"/>
          <w:color w:val="000000"/>
          <w:sz w:val="24"/>
          <w:szCs w:val="24"/>
        </w:rPr>
      </w:pPr>
    </w:p>
    <w:p w14:paraId="5A25DE42" w14:textId="1B8F0ADC" w:rsidR="00F7373A" w:rsidRPr="00A07F29" w:rsidRDefault="009072CE" w:rsidP="00E06DC9">
      <w:pPr>
        <w:keepNext/>
        <w:spacing w:after="0" w:line="240" w:lineRule="auto"/>
        <w:jc w:val="center"/>
        <w:rPr>
          <w:rFonts w:ascii="Times New Roman" w:eastAsia="Times New Roman" w:hAnsi="Times New Roman" w:cs="Times New Roman"/>
          <w:color w:val="000000"/>
          <w:szCs w:val="24"/>
        </w:rPr>
      </w:pPr>
      <w:r w:rsidRPr="00A07F29">
        <w:rPr>
          <w:rFonts w:ascii="Times New Roman" w:eastAsia="Times New Roman" w:hAnsi="Times New Roman" w:cs="Times New Roman"/>
          <w:color w:val="000000"/>
          <w:sz w:val="24"/>
          <w:szCs w:val="24"/>
        </w:rPr>
        <w:lastRenderedPageBreak/>
        <w:t>4.</w:t>
      </w:r>
      <w:r w:rsidR="00F7373A" w:rsidRPr="00A07F29">
        <w:rPr>
          <w:rFonts w:ascii="Times New Roman" w:eastAsia="Times New Roman" w:hAnsi="Times New Roman" w:cs="Times New Roman"/>
          <w:color w:val="000000"/>
          <w:sz w:val="24"/>
          <w:szCs w:val="24"/>
        </w:rPr>
        <w:t>8</w:t>
      </w:r>
      <w:r w:rsidRPr="00A07F29">
        <w:rPr>
          <w:rFonts w:ascii="Times New Roman" w:eastAsia="Times New Roman" w:hAnsi="Times New Roman" w:cs="Times New Roman"/>
          <w:color w:val="000000"/>
          <w:sz w:val="24"/>
          <w:szCs w:val="24"/>
        </w:rPr>
        <w:t>.</w:t>
      </w:r>
      <w:r w:rsidR="004E75B0" w:rsidRPr="00A07F29">
        <w:rPr>
          <w:rFonts w:ascii="Times New Roman" w:eastAsia="Times New Roman" w:hAnsi="Times New Roman" w:cs="Times New Roman"/>
          <w:color w:val="000000"/>
          <w:sz w:val="24"/>
          <w:szCs w:val="24"/>
        </w:rPr>
        <w:t>3</w:t>
      </w:r>
      <w:r w:rsidRPr="00A07F29">
        <w:rPr>
          <w:rFonts w:ascii="Times New Roman" w:eastAsia="Times New Roman" w:hAnsi="Times New Roman" w:cs="Times New Roman"/>
          <w:color w:val="000000"/>
          <w:sz w:val="24"/>
          <w:szCs w:val="24"/>
        </w:rPr>
        <w:t>.</w:t>
      </w:r>
      <w:r w:rsidR="00C46666">
        <w:rPr>
          <w:rFonts w:ascii="Times New Roman" w:eastAsia="Times New Roman" w:hAnsi="Times New Roman" w:cs="Times New Roman"/>
          <w:color w:val="000000"/>
          <w:sz w:val="24"/>
          <w:szCs w:val="24"/>
        </w:rPr>
        <w:t> </w:t>
      </w:r>
      <w:r w:rsidRPr="00A07F29">
        <w:rPr>
          <w:rFonts w:ascii="Times New Roman" w:eastAsia="Times New Roman" w:hAnsi="Times New Roman" w:cs="Times New Roman"/>
          <w:color w:val="000000"/>
          <w:sz w:val="24"/>
          <w:szCs w:val="24"/>
        </w:rPr>
        <w:t xml:space="preserve">tabula. Esošie un potenciālie </w:t>
      </w:r>
      <w:proofErr w:type="spellStart"/>
      <w:r w:rsidRPr="00A07F29">
        <w:rPr>
          <w:rFonts w:ascii="Times New Roman" w:eastAsia="Times New Roman" w:hAnsi="Times New Roman" w:cs="Times New Roman"/>
          <w:color w:val="000000"/>
          <w:sz w:val="24"/>
          <w:szCs w:val="24"/>
        </w:rPr>
        <w:t>herpetofaunai</w:t>
      </w:r>
      <w:proofErr w:type="spellEnd"/>
      <w:r w:rsidRPr="00A07F29">
        <w:rPr>
          <w:rFonts w:ascii="Times New Roman" w:eastAsia="Times New Roman" w:hAnsi="Times New Roman" w:cs="Times New Roman"/>
          <w:color w:val="000000"/>
          <w:sz w:val="24"/>
          <w:szCs w:val="24"/>
        </w:rPr>
        <w:t xml:space="preserve"> apdraudošie faktori apsekotajā teritorijā un to ietekmes vērtējums</w:t>
      </w:r>
    </w:p>
    <w:p w14:paraId="6BDFD069" w14:textId="2ADFC27E" w:rsidR="009072CE" w:rsidRPr="00A07F29" w:rsidRDefault="009072CE" w:rsidP="00E06DC9">
      <w:pPr>
        <w:keepNext/>
        <w:spacing w:after="120" w:line="240" w:lineRule="auto"/>
        <w:jc w:val="center"/>
        <w:rPr>
          <w:rFonts w:ascii="Times New Roman" w:eastAsia="Times New Roman" w:hAnsi="Times New Roman" w:cs="Times New Roman"/>
          <w:color w:val="000000"/>
          <w:szCs w:val="24"/>
        </w:rPr>
      </w:pPr>
      <w:r w:rsidRPr="00A07F29">
        <w:rPr>
          <w:rFonts w:ascii="Times New Roman" w:eastAsia="Times New Roman" w:hAnsi="Times New Roman" w:cs="Times New Roman"/>
          <w:color w:val="000000"/>
          <w:szCs w:val="24"/>
        </w:rPr>
        <w:t>(</w:t>
      </w:r>
      <w:r w:rsidRPr="00A07F29">
        <w:rPr>
          <w:rFonts w:ascii="Times New Roman" w:eastAsia="Times New Roman" w:hAnsi="Times New Roman" w:cs="Times New Roman"/>
          <w:i/>
          <w:color w:val="000000"/>
          <w:szCs w:val="24"/>
        </w:rPr>
        <w:t xml:space="preserve">nav apzīmējuma </w:t>
      </w:r>
      <w:r w:rsidR="0001563C">
        <w:rPr>
          <w:rFonts w:ascii="Times New Roman" w:eastAsia="Times New Roman" w:hAnsi="Times New Roman" w:cs="Times New Roman"/>
          <w:i/>
          <w:color w:val="000000"/>
          <w:szCs w:val="24"/>
        </w:rPr>
        <w:t>–</w:t>
      </w:r>
      <w:r w:rsidRPr="00A07F29">
        <w:rPr>
          <w:rFonts w:ascii="Times New Roman" w:eastAsia="Times New Roman" w:hAnsi="Times New Roman" w:cs="Times New Roman"/>
          <w:i/>
          <w:color w:val="000000"/>
          <w:szCs w:val="24"/>
        </w:rPr>
        <w:t xml:space="preserve"> nav bīstams, *</w:t>
      </w:r>
      <w:r w:rsidR="00E06DC9" w:rsidRPr="00A07F29">
        <w:rPr>
          <w:rFonts w:ascii="Times New Roman" w:eastAsia="Times New Roman" w:hAnsi="Times New Roman" w:cs="Times New Roman"/>
          <w:i/>
          <w:color w:val="000000"/>
          <w:szCs w:val="24"/>
        </w:rPr>
        <w:t xml:space="preserve"> </w:t>
      </w:r>
      <w:r w:rsidRPr="00A07F29">
        <w:rPr>
          <w:rFonts w:ascii="Times New Roman" w:eastAsia="Times New Roman" w:hAnsi="Times New Roman" w:cs="Times New Roman"/>
          <w:i/>
          <w:color w:val="000000"/>
          <w:szCs w:val="24"/>
        </w:rPr>
        <w:t>-</w:t>
      </w:r>
      <w:r w:rsidR="0001563C">
        <w:rPr>
          <w:rFonts w:ascii="Times New Roman" w:eastAsia="Times New Roman" w:hAnsi="Times New Roman" w:cs="Times New Roman"/>
          <w:i/>
          <w:color w:val="000000"/>
          <w:szCs w:val="24"/>
        </w:rPr>
        <w:t xml:space="preserve"> </w:t>
      </w:r>
      <w:r w:rsidRPr="00A07F29">
        <w:rPr>
          <w:rFonts w:ascii="Times New Roman" w:eastAsia="Times New Roman" w:hAnsi="Times New Roman" w:cs="Times New Roman"/>
          <w:i/>
          <w:color w:val="000000"/>
          <w:szCs w:val="24"/>
        </w:rPr>
        <w:t>bīstams, **</w:t>
      </w:r>
      <w:r w:rsidR="00E06DC9" w:rsidRPr="00A07F29">
        <w:rPr>
          <w:rFonts w:ascii="Times New Roman" w:eastAsia="Times New Roman" w:hAnsi="Times New Roman" w:cs="Times New Roman"/>
          <w:i/>
          <w:color w:val="000000"/>
          <w:szCs w:val="24"/>
        </w:rPr>
        <w:t xml:space="preserve"> </w:t>
      </w:r>
      <w:r w:rsidRPr="00A07F29">
        <w:rPr>
          <w:rFonts w:ascii="Times New Roman" w:eastAsia="Times New Roman" w:hAnsi="Times New Roman" w:cs="Times New Roman"/>
          <w:i/>
          <w:color w:val="000000"/>
          <w:szCs w:val="24"/>
        </w:rPr>
        <w:t>-</w:t>
      </w:r>
      <w:r w:rsidR="0001563C">
        <w:rPr>
          <w:rFonts w:ascii="Times New Roman" w:eastAsia="Times New Roman" w:hAnsi="Times New Roman" w:cs="Times New Roman"/>
          <w:i/>
          <w:color w:val="000000"/>
          <w:szCs w:val="24"/>
        </w:rPr>
        <w:t xml:space="preserve"> </w:t>
      </w:r>
      <w:r w:rsidRPr="00A07F29">
        <w:rPr>
          <w:rFonts w:ascii="Times New Roman" w:eastAsia="Times New Roman" w:hAnsi="Times New Roman" w:cs="Times New Roman"/>
          <w:i/>
          <w:color w:val="000000"/>
          <w:szCs w:val="24"/>
        </w:rPr>
        <w:t xml:space="preserve">ļoti bīstams, </w:t>
      </w:r>
      <w:r w:rsidRPr="00A07F29">
        <w:rPr>
          <w:rFonts w:ascii="Times New Roman" w:eastAsia="Times New Roman" w:hAnsi="Times New Roman" w:cs="Times New Roman"/>
          <w:b/>
          <w:i/>
          <w:color w:val="000000"/>
          <w:szCs w:val="24"/>
        </w:rPr>
        <w:t>***</w:t>
      </w:r>
      <w:r w:rsidR="00E06DC9" w:rsidRPr="00A07F29">
        <w:rPr>
          <w:rFonts w:ascii="Times New Roman" w:eastAsia="Times New Roman" w:hAnsi="Times New Roman" w:cs="Times New Roman"/>
          <w:b/>
          <w:i/>
          <w:color w:val="000000"/>
          <w:szCs w:val="24"/>
        </w:rPr>
        <w:t xml:space="preserve"> </w:t>
      </w:r>
      <w:r w:rsidRPr="00A07F29">
        <w:rPr>
          <w:rFonts w:ascii="Times New Roman" w:eastAsia="Times New Roman" w:hAnsi="Times New Roman" w:cs="Times New Roman"/>
          <w:b/>
          <w:i/>
          <w:color w:val="000000"/>
          <w:szCs w:val="24"/>
        </w:rPr>
        <w:t>-</w:t>
      </w:r>
      <w:r w:rsidR="0001563C">
        <w:rPr>
          <w:rFonts w:ascii="Times New Roman" w:eastAsia="Times New Roman" w:hAnsi="Times New Roman" w:cs="Times New Roman"/>
          <w:b/>
          <w:i/>
          <w:color w:val="000000"/>
          <w:szCs w:val="24"/>
        </w:rPr>
        <w:t xml:space="preserve"> </w:t>
      </w:r>
      <w:r w:rsidRPr="00A07F29">
        <w:rPr>
          <w:rFonts w:ascii="Times New Roman" w:eastAsia="Times New Roman" w:hAnsi="Times New Roman" w:cs="Times New Roman"/>
          <w:i/>
          <w:color w:val="000000"/>
          <w:szCs w:val="24"/>
        </w:rPr>
        <w:t>apdraud populāciju eksistenci</w:t>
      </w:r>
      <w:r w:rsidRPr="00A07F29">
        <w:rPr>
          <w:rFonts w:ascii="Times New Roman" w:eastAsia="Times New Roman" w:hAnsi="Times New Roman" w:cs="Times New Roman"/>
          <w:color w:val="000000"/>
          <w:szCs w:val="24"/>
        </w:rPr>
        <w:t>)</w:t>
      </w:r>
    </w:p>
    <w:tbl>
      <w:tblPr>
        <w:tblStyle w:val="TableGrid"/>
        <w:tblW w:w="0" w:type="auto"/>
        <w:jc w:val="center"/>
        <w:tblLook w:val="04A0" w:firstRow="1" w:lastRow="0" w:firstColumn="1" w:lastColumn="0" w:noHBand="0" w:noVBand="1"/>
      </w:tblPr>
      <w:tblGrid>
        <w:gridCol w:w="3314"/>
        <w:gridCol w:w="840"/>
        <w:gridCol w:w="1536"/>
        <w:gridCol w:w="1366"/>
        <w:gridCol w:w="828"/>
        <w:gridCol w:w="938"/>
      </w:tblGrid>
      <w:tr w:rsidR="009072CE" w:rsidRPr="00A07F29" w14:paraId="7DAA83E5" w14:textId="77777777" w:rsidTr="00E06DC9">
        <w:trPr>
          <w:jc w:val="center"/>
        </w:trPr>
        <w:tc>
          <w:tcPr>
            <w:tcW w:w="3314" w:type="dxa"/>
            <w:shd w:val="clear" w:color="auto" w:fill="D6E3BC"/>
          </w:tcPr>
          <w:p w14:paraId="044B47EE" w14:textId="77777777" w:rsidR="009072CE" w:rsidRPr="00A07F29" w:rsidRDefault="009072CE" w:rsidP="009072CE">
            <w:pPr>
              <w:rPr>
                <w:rFonts w:ascii="Times New Roman" w:eastAsia="Times New Roman" w:hAnsi="Times New Roman" w:cs="Times New Roman"/>
                <w:b/>
                <w:lang w:eastAsia="lv-LV"/>
              </w:rPr>
            </w:pPr>
            <w:r w:rsidRPr="00A07F29">
              <w:rPr>
                <w:rFonts w:ascii="Times New Roman" w:eastAsia="Times New Roman" w:hAnsi="Times New Roman" w:cs="Times New Roman"/>
                <w:b/>
                <w:lang w:eastAsia="lv-LV"/>
              </w:rPr>
              <w:t>Negatīvi ietekmējošie faktori</w:t>
            </w:r>
          </w:p>
        </w:tc>
        <w:tc>
          <w:tcPr>
            <w:tcW w:w="825" w:type="dxa"/>
            <w:shd w:val="clear" w:color="auto" w:fill="D6E3BC"/>
          </w:tcPr>
          <w:p w14:paraId="57132BA2" w14:textId="77777777" w:rsidR="009072CE" w:rsidRPr="00A07F29" w:rsidRDefault="009072CE" w:rsidP="009072CE">
            <w:pPr>
              <w:rPr>
                <w:rFonts w:ascii="Times New Roman" w:eastAsia="Times New Roman" w:hAnsi="Times New Roman" w:cs="Times New Roman"/>
                <w:b/>
                <w:lang w:eastAsia="lv-LV"/>
              </w:rPr>
            </w:pPr>
            <w:r w:rsidRPr="00A07F29">
              <w:rPr>
                <w:rFonts w:ascii="Times New Roman" w:eastAsia="Times New Roman" w:hAnsi="Times New Roman" w:cs="Times New Roman"/>
                <w:b/>
                <w:lang w:eastAsia="lv-LV"/>
              </w:rPr>
              <w:t>Lielais tritons</w:t>
            </w:r>
          </w:p>
        </w:tc>
        <w:tc>
          <w:tcPr>
            <w:tcW w:w="1470" w:type="dxa"/>
            <w:shd w:val="clear" w:color="auto" w:fill="D6E3BC"/>
          </w:tcPr>
          <w:p w14:paraId="157DCC35" w14:textId="77777777" w:rsidR="009072CE" w:rsidRPr="00A07F29" w:rsidRDefault="009072CE" w:rsidP="009072CE">
            <w:pPr>
              <w:rPr>
                <w:rFonts w:ascii="Times New Roman" w:eastAsia="Times New Roman" w:hAnsi="Times New Roman" w:cs="Times New Roman"/>
                <w:b/>
                <w:lang w:eastAsia="lv-LV"/>
              </w:rPr>
            </w:pPr>
            <w:proofErr w:type="spellStart"/>
            <w:r w:rsidRPr="00A07F29">
              <w:rPr>
                <w:rFonts w:ascii="Times New Roman" w:eastAsia="Times New Roman" w:hAnsi="Times New Roman" w:cs="Times New Roman"/>
                <w:b/>
                <w:lang w:eastAsia="lv-LV"/>
              </w:rPr>
              <w:t>Sarkanvēdera</w:t>
            </w:r>
            <w:proofErr w:type="spellEnd"/>
            <w:r w:rsidRPr="00A07F29">
              <w:rPr>
                <w:rFonts w:ascii="Times New Roman" w:eastAsia="Times New Roman" w:hAnsi="Times New Roman" w:cs="Times New Roman"/>
                <w:b/>
                <w:lang w:eastAsia="lv-LV"/>
              </w:rPr>
              <w:t xml:space="preserve"> </w:t>
            </w:r>
            <w:proofErr w:type="spellStart"/>
            <w:r w:rsidRPr="00A07F29">
              <w:rPr>
                <w:rFonts w:ascii="Times New Roman" w:eastAsia="Times New Roman" w:hAnsi="Times New Roman" w:cs="Times New Roman"/>
                <w:b/>
                <w:lang w:eastAsia="lv-LV"/>
              </w:rPr>
              <w:t>ugunskrupis</w:t>
            </w:r>
            <w:proofErr w:type="spellEnd"/>
          </w:p>
        </w:tc>
        <w:tc>
          <w:tcPr>
            <w:tcW w:w="1275" w:type="dxa"/>
            <w:shd w:val="clear" w:color="auto" w:fill="D6E3BC"/>
          </w:tcPr>
          <w:p w14:paraId="160FC561" w14:textId="77777777" w:rsidR="009072CE" w:rsidRPr="00A07F29" w:rsidRDefault="009072CE" w:rsidP="009072CE">
            <w:pPr>
              <w:rPr>
                <w:rFonts w:ascii="Times New Roman" w:eastAsia="Times New Roman" w:hAnsi="Times New Roman" w:cs="Times New Roman"/>
                <w:b/>
                <w:lang w:eastAsia="lv-LV"/>
              </w:rPr>
            </w:pPr>
            <w:r w:rsidRPr="00A07F29">
              <w:rPr>
                <w:rFonts w:ascii="Times New Roman" w:eastAsia="Times New Roman" w:hAnsi="Times New Roman" w:cs="Times New Roman"/>
                <w:b/>
                <w:lang w:eastAsia="lv-LV"/>
              </w:rPr>
              <w:t xml:space="preserve">Brūnais </w:t>
            </w:r>
            <w:proofErr w:type="spellStart"/>
            <w:r w:rsidRPr="00A07F29">
              <w:rPr>
                <w:rFonts w:ascii="Times New Roman" w:eastAsia="Times New Roman" w:hAnsi="Times New Roman" w:cs="Times New Roman"/>
                <w:b/>
                <w:lang w:eastAsia="lv-LV"/>
              </w:rPr>
              <w:t>varžukrupis</w:t>
            </w:r>
            <w:proofErr w:type="spellEnd"/>
          </w:p>
        </w:tc>
        <w:tc>
          <w:tcPr>
            <w:tcW w:w="778" w:type="dxa"/>
            <w:shd w:val="clear" w:color="auto" w:fill="D6E3BC"/>
          </w:tcPr>
          <w:p w14:paraId="7613CF96" w14:textId="77777777" w:rsidR="009072CE" w:rsidRPr="00A07F29" w:rsidRDefault="009072CE" w:rsidP="009072CE">
            <w:pPr>
              <w:rPr>
                <w:rFonts w:ascii="Times New Roman" w:eastAsia="Times New Roman" w:hAnsi="Times New Roman" w:cs="Times New Roman"/>
                <w:b/>
                <w:lang w:eastAsia="lv-LV"/>
              </w:rPr>
            </w:pPr>
            <w:r w:rsidRPr="00A07F29">
              <w:rPr>
                <w:rFonts w:ascii="Times New Roman" w:eastAsia="Times New Roman" w:hAnsi="Times New Roman" w:cs="Times New Roman"/>
                <w:b/>
                <w:lang w:eastAsia="lv-LV"/>
              </w:rPr>
              <w:t>Zaļais krupis</w:t>
            </w:r>
          </w:p>
        </w:tc>
        <w:tc>
          <w:tcPr>
            <w:tcW w:w="865" w:type="dxa"/>
            <w:shd w:val="clear" w:color="auto" w:fill="D6E3BC"/>
          </w:tcPr>
          <w:p w14:paraId="710F93EB" w14:textId="77777777" w:rsidR="009072CE" w:rsidRPr="00A07F29" w:rsidRDefault="009072CE" w:rsidP="009072CE">
            <w:pPr>
              <w:rPr>
                <w:rFonts w:ascii="Times New Roman" w:eastAsia="Times New Roman" w:hAnsi="Times New Roman" w:cs="Times New Roman"/>
                <w:b/>
                <w:lang w:eastAsia="lv-LV"/>
              </w:rPr>
            </w:pPr>
            <w:r w:rsidRPr="00A07F29">
              <w:rPr>
                <w:rFonts w:ascii="Times New Roman" w:eastAsia="Times New Roman" w:hAnsi="Times New Roman" w:cs="Times New Roman"/>
                <w:b/>
                <w:lang w:eastAsia="lv-LV"/>
              </w:rPr>
              <w:t>Sila ķirzaka</w:t>
            </w:r>
          </w:p>
        </w:tc>
      </w:tr>
      <w:tr w:rsidR="009072CE" w:rsidRPr="00A07F29" w14:paraId="4CA23429" w14:textId="77777777" w:rsidTr="00E06DC9">
        <w:trPr>
          <w:jc w:val="center"/>
        </w:trPr>
        <w:tc>
          <w:tcPr>
            <w:tcW w:w="8527" w:type="dxa"/>
            <w:gridSpan w:val="6"/>
            <w:shd w:val="clear" w:color="auto" w:fill="EAF1DD"/>
          </w:tcPr>
          <w:p w14:paraId="1192ED31" w14:textId="77777777" w:rsidR="009072CE" w:rsidRPr="00A07F29" w:rsidRDefault="009072CE" w:rsidP="009072CE">
            <w:pPr>
              <w:rPr>
                <w:rFonts w:ascii="Times New Roman" w:eastAsia="Times New Roman" w:hAnsi="Times New Roman" w:cs="Times New Roman"/>
                <w:lang w:eastAsia="lv-LV"/>
              </w:rPr>
            </w:pPr>
            <w:r w:rsidRPr="00A07F29">
              <w:rPr>
                <w:rFonts w:ascii="Times New Roman" w:eastAsia="Times New Roman" w:hAnsi="Times New Roman" w:cs="Times New Roman"/>
                <w:b/>
                <w:lang w:eastAsia="lv-LV"/>
              </w:rPr>
              <w:t>Dzīvotnes negatīvi ietekmējošie faktori</w:t>
            </w:r>
          </w:p>
        </w:tc>
      </w:tr>
      <w:tr w:rsidR="009072CE" w:rsidRPr="00A07F29" w14:paraId="4630ADD2" w14:textId="77777777" w:rsidTr="00E06DC9">
        <w:trPr>
          <w:jc w:val="center"/>
        </w:trPr>
        <w:tc>
          <w:tcPr>
            <w:tcW w:w="3314" w:type="dxa"/>
            <w:shd w:val="clear" w:color="auto" w:fill="EAF1DD"/>
          </w:tcPr>
          <w:p w14:paraId="05B7EE0D" w14:textId="77777777" w:rsidR="009072CE" w:rsidRPr="00A07F29" w:rsidRDefault="009072CE" w:rsidP="009072CE">
            <w:pPr>
              <w:rPr>
                <w:rFonts w:ascii="Times New Roman" w:eastAsia="Times New Roman" w:hAnsi="Times New Roman" w:cs="Times New Roman"/>
                <w:lang w:eastAsia="lv-LV"/>
              </w:rPr>
            </w:pPr>
            <w:r w:rsidRPr="00A07F29">
              <w:rPr>
                <w:rFonts w:ascii="Times New Roman" w:eastAsia="Times New Roman" w:hAnsi="Times New Roman" w:cs="Times New Roman"/>
                <w:lang w:eastAsia="lv-LV"/>
              </w:rPr>
              <w:t>meliorācija</w:t>
            </w:r>
          </w:p>
        </w:tc>
        <w:tc>
          <w:tcPr>
            <w:tcW w:w="825" w:type="dxa"/>
          </w:tcPr>
          <w:p w14:paraId="7C342470" w14:textId="77777777" w:rsidR="009072CE" w:rsidRPr="00A07F29" w:rsidRDefault="009072CE" w:rsidP="009072CE">
            <w:pPr>
              <w:rPr>
                <w:rFonts w:ascii="Times New Roman" w:eastAsia="Times New Roman" w:hAnsi="Times New Roman" w:cs="Times New Roman"/>
                <w:lang w:eastAsia="lv-LV"/>
              </w:rPr>
            </w:pPr>
            <w:r w:rsidRPr="00A07F29">
              <w:rPr>
                <w:rFonts w:ascii="Times New Roman" w:eastAsia="Times New Roman" w:hAnsi="Times New Roman" w:cs="Times New Roman"/>
                <w:lang w:eastAsia="lv-LV"/>
              </w:rPr>
              <w:t>**</w:t>
            </w:r>
          </w:p>
        </w:tc>
        <w:tc>
          <w:tcPr>
            <w:tcW w:w="1470" w:type="dxa"/>
          </w:tcPr>
          <w:p w14:paraId="7766D3F8" w14:textId="77777777" w:rsidR="009072CE" w:rsidRPr="00A07F29" w:rsidRDefault="009072CE" w:rsidP="009072CE">
            <w:pPr>
              <w:rPr>
                <w:rFonts w:ascii="Times New Roman" w:eastAsia="Times New Roman" w:hAnsi="Times New Roman" w:cs="Times New Roman"/>
                <w:b/>
                <w:lang w:eastAsia="lv-LV"/>
              </w:rPr>
            </w:pPr>
            <w:r w:rsidRPr="00A07F29">
              <w:rPr>
                <w:rFonts w:ascii="Times New Roman" w:eastAsia="Times New Roman" w:hAnsi="Times New Roman" w:cs="Times New Roman"/>
                <w:b/>
                <w:lang w:eastAsia="lv-LV"/>
              </w:rPr>
              <w:t>***</w:t>
            </w:r>
          </w:p>
        </w:tc>
        <w:tc>
          <w:tcPr>
            <w:tcW w:w="1275" w:type="dxa"/>
          </w:tcPr>
          <w:p w14:paraId="3EDED7E4" w14:textId="77777777" w:rsidR="009072CE" w:rsidRPr="00A07F29" w:rsidRDefault="009072CE" w:rsidP="009072CE">
            <w:pPr>
              <w:rPr>
                <w:rFonts w:ascii="Times New Roman" w:eastAsia="Times New Roman" w:hAnsi="Times New Roman" w:cs="Times New Roman"/>
                <w:lang w:eastAsia="lv-LV"/>
              </w:rPr>
            </w:pPr>
            <w:r w:rsidRPr="00A07F29">
              <w:rPr>
                <w:rFonts w:ascii="Times New Roman" w:eastAsia="Times New Roman" w:hAnsi="Times New Roman" w:cs="Times New Roman"/>
                <w:lang w:eastAsia="lv-LV"/>
              </w:rPr>
              <w:t>**</w:t>
            </w:r>
          </w:p>
        </w:tc>
        <w:tc>
          <w:tcPr>
            <w:tcW w:w="778" w:type="dxa"/>
          </w:tcPr>
          <w:p w14:paraId="060D16FB" w14:textId="77777777" w:rsidR="009072CE" w:rsidRPr="00A07F29" w:rsidRDefault="009072CE" w:rsidP="009072CE">
            <w:pPr>
              <w:rPr>
                <w:rFonts w:ascii="Times New Roman" w:eastAsia="Times New Roman" w:hAnsi="Times New Roman" w:cs="Times New Roman"/>
                <w:lang w:eastAsia="lv-LV"/>
              </w:rPr>
            </w:pPr>
            <w:r w:rsidRPr="00A07F29">
              <w:rPr>
                <w:rFonts w:ascii="Times New Roman" w:eastAsia="Times New Roman" w:hAnsi="Times New Roman" w:cs="Times New Roman"/>
                <w:lang w:eastAsia="lv-LV"/>
              </w:rPr>
              <w:t>**</w:t>
            </w:r>
          </w:p>
        </w:tc>
        <w:tc>
          <w:tcPr>
            <w:tcW w:w="865" w:type="dxa"/>
          </w:tcPr>
          <w:p w14:paraId="3F3743CC" w14:textId="77777777" w:rsidR="009072CE" w:rsidRPr="00A07F29" w:rsidRDefault="009072CE" w:rsidP="009072CE">
            <w:pPr>
              <w:rPr>
                <w:rFonts w:ascii="Times New Roman" w:eastAsia="Times New Roman" w:hAnsi="Times New Roman" w:cs="Times New Roman"/>
                <w:lang w:eastAsia="lv-LV"/>
              </w:rPr>
            </w:pPr>
          </w:p>
        </w:tc>
      </w:tr>
      <w:tr w:rsidR="009072CE" w:rsidRPr="00A07F29" w14:paraId="5D54AC06" w14:textId="77777777" w:rsidTr="00E06DC9">
        <w:trPr>
          <w:jc w:val="center"/>
        </w:trPr>
        <w:tc>
          <w:tcPr>
            <w:tcW w:w="3314" w:type="dxa"/>
            <w:shd w:val="clear" w:color="auto" w:fill="EAF1DD"/>
          </w:tcPr>
          <w:p w14:paraId="54891A6B" w14:textId="77777777" w:rsidR="009072CE" w:rsidRPr="00A07F29" w:rsidRDefault="009072CE" w:rsidP="009072CE">
            <w:pPr>
              <w:rPr>
                <w:rFonts w:ascii="Times New Roman" w:eastAsia="Times New Roman" w:hAnsi="Times New Roman" w:cs="Times New Roman"/>
                <w:lang w:eastAsia="lv-LV"/>
              </w:rPr>
            </w:pPr>
            <w:r w:rsidRPr="00A07F29">
              <w:rPr>
                <w:rFonts w:ascii="Times New Roman" w:eastAsia="Times New Roman" w:hAnsi="Times New Roman" w:cs="Times New Roman"/>
                <w:lang w:eastAsia="lv-LV"/>
              </w:rPr>
              <w:t>bebru iznīcināšana</w:t>
            </w:r>
          </w:p>
        </w:tc>
        <w:tc>
          <w:tcPr>
            <w:tcW w:w="825" w:type="dxa"/>
          </w:tcPr>
          <w:p w14:paraId="2AC75F80" w14:textId="77777777" w:rsidR="009072CE" w:rsidRPr="00A07F29" w:rsidRDefault="009072CE" w:rsidP="009072CE">
            <w:pPr>
              <w:rPr>
                <w:rFonts w:ascii="Times New Roman" w:eastAsia="Times New Roman" w:hAnsi="Times New Roman" w:cs="Times New Roman"/>
                <w:lang w:eastAsia="lv-LV"/>
              </w:rPr>
            </w:pPr>
            <w:r w:rsidRPr="00A07F29">
              <w:rPr>
                <w:rFonts w:ascii="Times New Roman" w:eastAsia="Times New Roman" w:hAnsi="Times New Roman" w:cs="Times New Roman"/>
                <w:lang w:eastAsia="lv-LV"/>
              </w:rPr>
              <w:t>**</w:t>
            </w:r>
          </w:p>
        </w:tc>
        <w:tc>
          <w:tcPr>
            <w:tcW w:w="1470" w:type="dxa"/>
          </w:tcPr>
          <w:p w14:paraId="3DA7892B" w14:textId="77777777" w:rsidR="009072CE" w:rsidRPr="00A07F29" w:rsidRDefault="009072CE" w:rsidP="009072CE">
            <w:pPr>
              <w:rPr>
                <w:rFonts w:ascii="Times New Roman" w:eastAsia="Times New Roman" w:hAnsi="Times New Roman" w:cs="Times New Roman"/>
                <w:b/>
                <w:lang w:eastAsia="lv-LV"/>
              </w:rPr>
            </w:pPr>
            <w:r w:rsidRPr="00A07F29">
              <w:rPr>
                <w:rFonts w:ascii="Times New Roman" w:eastAsia="Times New Roman" w:hAnsi="Times New Roman" w:cs="Times New Roman"/>
                <w:b/>
                <w:lang w:eastAsia="lv-LV"/>
              </w:rPr>
              <w:t>***</w:t>
            </w:r>
          </w:p>
        </w:tc>
        <w:tc>
          <w:tcPr>
            <w:tcW w:w="1275" w:type="dxa"/>
          </w:tcPr>
          <w:p w14:paraId="5F45FE07" w14:textId="77777777" w:rsidR="009072CE" w:rsidRPr="00A07F29" w:rsidRDefault="009072CE" w:rsidP="009072CE">
            <w:pPr>
              <w:rPr>
                <w:rFonts w:ascii="Times New Roman" w:eastAsia="Times New Roman" w:hAnsi="Times New Roman" w:cs="Times New Roman"/>
                <w:lang w:eastAsia="lv-LV"/>
              </w:rPr>
            </w:pPr>
            <w:r w:rsidRPr="00A07F29">
              <w:rPr>
                <w:rFonts w:ascii="Times New Roman" w:eastAsia="Times New Roman" w:hAnsi="Times New Roman" w:cs="Times New Roman"/>
                <w:lang w:eastAsia="lv-LV"/>
              </w:rPr>
              <w:t>**</w:t>
            </w:r>
          </w:p>
        </w:tc>
        <w:tc>
          <w:tcPr>
            <w:tcW w:w="778" w:type="dxa"/>
          </w:tcPr>
          <w:p w14:paraId="1B2F305B" w14:textId="77777777" w:rsidR="009072CE" w:rsidRPr="00A07F29" w:rsidRDefault="009072CE" w:rsidP="009072CE">
            <w:pPr>
              <w:rPr>
                <w:rFonts w:ascii="Times New Roman" w:eastAsia="Times New Roman" w:hAnsi="Times New Roman" w:cs="Times New Roman"/>
                <w:lang w:eastAsia="lv-LV"/>
              </w:rPr>
            </w:pPr>
            <w:r w:rsidRPr="00A07F29">
              <w:rPr>
                <w:rFonts w:ascii="Times New Roman" w:eastAsia="Times New Roman" w:hAnsi="Times New Roman" w:cs="Times New Roman"/>
                <w:lang w:eastAsia="lv-LV"/>
              </w:rPr>
              <w:t>**</w:t>
            </w:r>
          </w:p>
        </w:tc>
        <w:tc>
          <w:tcPr>
            <w:tcW w:w="865" w:type="dxa"/>
          </w:tcPr>
          <w:p w14:paraId="7C5ED66A" w14:textId="77777777" w:rsidR="009072CE" w:rsidRPr="00A07F29" w:rsidRDefault="009072CE" w:rsidP="009072CE">
            <w:pPr>
              <w:rPr>
                <w:rFonts w:ascii="Times New Roman" w:eastAsia="Times New Roman" w:hAnsi="Times New Roman" w:cs="Times New Roman"/>
                <w:lang w:eastAsia="lv-LV"/>
              </w:rPr>
            </w:pPr>
          </w:p>
        </w:tc>
      </w:tr>
      <w:tr w:rsidR="009072CE" w:rsidRPr="00A07F29" w14:paraId="5CE20608" w14:textId="77777777" w:rsidTr="00E06DC9">
        <w:trPr>
          <w:jc w:val="center"/>
        </w:trPr>
        <w:tc>
          <w:tcPr>
            <w:tcW w:w="3314" w:type="dxa"/>
            <w:shd w:val="clear" w:color="auto" w:fill="EAF1DD"/>
          </w:tcPr>
          <w:p w14:paraId="1458446A" w14:textId="77777777" w:rsidR="009072CE" w:rsidRPr="00A07F29" w:rsidRDefault="009072CE" w:rsidP="009072CE">
            <w:pPr>
              <w:rPr>
                <w:rFonts w:ascii="Times New Roman" w:eastAsia="Times New Roman" w:hAnsi="Times New Roman" w:cs="Times New Roman"/>
                <w:lang w:eastAsia="lv-LV"/>
              </w:rPr>
            </w:pPr>
            <w:r w:rsidRPr="00A07F29">
              <w:rPr>
                <w:rFonts w:ascii="Times New Roman" w:eastAsia="Times New Roman" w:hAnsi="Times New Roman" w:cs="Times New Roman"/>
                <w:lang w:eastAsia="lv-LV"/>
              </w:rPr>
              <w:t>ķīmiskā mēslojuma izmantošana un piesārņošana</w:t>
            </w:r>
          </w:p>
        </w:tc>
        <w:tc>
          <w:tcPr>
            <w:tcW w:w="825" w:type="dxa"/>
          </w:tcPr>
          <w:p w14:paraId="19454F02" w14:textId="77777777" w:rsidR="009072CE" w:rsidRPr="00A07F29" w:rsidRDefault="009072CE" w:rsidP="009072CE">
            <w:pPr>
              <w:rPr>
                <w:rFonts w:ascii="Times New Roman" w:eastAsia="Times New Roman" w:hAnsi="Times New Roman" w:cs="Times New Roman"/>
                <w:lang w:eastAsia="lv-LV"/>
              </w:rPr>
            </w:pPr>
            <w:r w:rsidRPr="00A07F29">
              <w:rPr>
                <w:rFonts w:ascii="Times New Roman" w:eastAsia="Times New Roman" w:hAnsi="Times New Roman" w:cs="Times New Roman"/>
                <w:lang w:eastAsia="lv-LV"/>
              </w:rPr>
              <w:t>**</w:t>
            </w:r>
          </w:p>
        </w:tc>
        <w:tc>
          <w:tcPr>
            <w:tcW w:w="1470" w:type="dxa"/>
          </w:tcPr>
          <w:p w14:paraId="12F4B18F" w14:textId="77777777" w:rsidR="009072CE" w:rsidRPr="00A07F29" w:rsidRDefault="009072CE" w:rsidP="009072CE">
            <w:pPr>
              <w:rPr>
                <w:rFonts w:ascii="Times New Roman" w:eastAsia="Times New Roman" w:hAnsi="Times New Roman" w:cs="Times New Roman"/>
                <w:b/>
                <w:lang w:eastAsia="lv-LV"/>
              </w:rPr>
            </w:pPr>
            <w:r w:rsidRPr="00A07F29">
              <w:rPr>
                <w:rFonts w:ascii="Times New Roman" w:eastAsia="Times New Roman" w:hAnsi="Times New Roman" w:cs="Times New Roman"/>
                <w:b/>
                <w:lang w:eastAsia="lv-LV"/>
              </w:rPr>
              <w:t>***</w:t>
            </w:r>
          </w:p>
        </w:tc>
        <w:tc>
          <w:tcPr>
            <w:tcW w:w="1275" w:type="dxa"/>
          </w:tcPr>
          <w:p w14:paraId="504C6668" w14:textId="77777777" w:rsidR="009072CE" w:rsidRPr="00A07F29" w:rsidRDefault="009072CE" w:rsidP="009072CE">
            <w:pPr>
              <w:rPr>
                <w:rFonts w:ascii="Times New Roman" w:eastAsia="Times New Roman" w:hAnsi="Times New Roman" w:cs="Times New Roman"/>
                <w:lang w:eastAsia="lv-LV"/>
              </w:rPr>
            </w:pPr>
            <w:r w:rsidRPr="00A07F29">
              <w:rPr>
                <w:rFonts w:ascii="Times New Roman" w:eastAsia="Times New Roman" w:hAnsi="Times New Roman" w:cs="Times New Roman"/>
                <w:lang w:eastAsia="lv-LV"/>
              </w:rPr>
              <w:t>**</w:t>
            </w:r>
          </w:p>
        </w:tc>
        <w:tc>
          <w:tcPr>
            <w:tcW w:w="778" w:type="dxa"/>
          </w:tcPr>
          <w:p w14:paraId="1E018B1C" w14:textId="77777777" w:rsidR="009072CE" w:rsidRPr="00A07F29" w:rsidRDefault="009072CE" w:rsidP="009072CE">
            <w:pPr>
              <w:rPr>
                <w:rFonts w:ascii="Times New Roman" w:eastAsia="Times New Roman" w:hAnsi="Times New Roman" w:cs="Times New Roman"/>
                <w:lang w:eastAsia="lv-LV"/>
              </w:rPr>
            </w:pPr>
            <w:r w:rsidRPr="00A07F29">
              <w:rPr>
                <w:rFonts w:ascii="Times New Roman" w:eastAsia="Times New Roman" w:hAnsi="Times New Roman" w:cs="Times New Roman"/>
                <w:lang w:eastAsia="lv-LV"/>
              </w:rPr>
              <w:t>**</w:t>
            </w:r>
          </w:p>
        </w:tc>
        <w:tc>
          <w:tcPr>
            <w:tcW w:w="865" w:type="dxa"/>
          </w:tcPr>
          <w:p w14:paraId="3C427728" w14:textId="77777777" w:rsidR="009072CE" w:rsidRPr="00A07F29" w:rsidRDefault="009072CE" w:rsidP="009072CE">
            <w:pPr>
              <w:rPr>
                <w:rFonts w:ascii="Times New Roman" w:eastAsia="Times New Roman" w:hAnsi="Times New Roman" w:cs="Times New Roman"/>
                <w:lang w:eastAsia="lv-LV"/>
              </w:rPr>
            </w:pPr>
            <w:r w:rsidRPr="00A07F29">
              <w:rPr>
                <w:rFonts w:ascii="Times New Roman" w:eastAsia="Times New Roman" w:hAnsi="Times New Roman" w:cs="Times New Roman"/>
                <w:lang w:eastAsia="lv-LV"/>
              </w:rPr>
              <w:t>**</w:t>
            </w:r>
          </w:p>
        </w:tc>
      </w:tr>
      <w:tr w:rsidR="009072CE" w:rsidRPr="00A07F29" w14:paraId="720FD8E2" w14:textId="77777777" w:rsidTr="00E06DC9">
        <w:trPr>
          <w:jc w:val="center"/>
        </w:trPr>
        <w:tc>
          <w:tcPr>
            <w:tcW w:w="3314" w:type="dxa"/>
            <w:shd w:val="clear" w:color="auto" w:fill="EAF1DD"/>
          </w:tcPr>
          <w:p w14:paraId="660E4C34" w14:textId="77777777" w:rsidR="009072CE" w:rsidRPr="00A07F29" w:rsidRDefault="009072CE" w:rsidP="009072CE">
            <w:pPr>
              <w:rPr>
                <w:rFonts w:ascii="Times New Roman" w:eastAsia="Times New Roman" w:hAnsi="Times New Roman" w:cs="Times New Roman"/>
                <w:lang w:eastAsia="lv-LV"/>
              </w:rPr>
            </w:pPr>
            <w:r w:rsidRPr="00A07F29">
              <w:rPr>
                <w:rFonts w:ascii="Times New Roman" w:eastAsia="Times New Roman" w:hAnsi="Times New Roman" w:cs="Times New Roman"/>
                <w:lang w:eastAsia="lv-LV"/>
              </w:rPr>
              <w:t>ceļu, apdzīvotu vietu būvēšana</w:t>
            </w:r>
          </w:p>
        </w:tc>
        <w:tc>
          <w:tcPr>
            <w:tcW w:w="825" w:type="dxa"/>
          </w:tcPr>
          <w:p w14:paraId="4D8E44ED" w14:textId="77777777" w:rsidR="009072CE" w:rsidRPr="00A07F29" w:rsidRDefault="009072CE" w:rsidP="009072CE">
            <w:pPr>
              <w:rPr>
                <w:rFonts w:ascii="Times New Roman" w:eastAsia="Times New Roman" w:hAnsi="Times New Roman" w:cs="Times New Roman"/>
                <w:lang w:eastAsia="lv-LV"/>
              </w:rPr>
            </w:pPr>
            <w:r w:rsidRPr="00A07F29">
              <w:rPr>
                <w:rFonts w:ascii="Times New Roman" w:eastAsia="Times New Roman" w:hAnsi="Times New Roman" w:cs="Times New Roman"/>
                <w:lang w:eastAsia="lv-LV"/>
              </w:rPr>
              <w:t>**</w:t>
            </w:r>
          </w:p>
        </w:tc>
        <w:tc>
          <w:tcPr>
            <w:tcW w:w="1470" w:type="dxa"/>
          </w:tcPr>
          <w:p w14:paraId="65F7105C" w14:textId="77777777" w:rsidR="009072CE" w:rsidRPr="00A07F29" w:rsidRDefault="009072CE" w:rsidP="009072CE">
            <w:pPr>
              <w:rPr>
                <w:rFonts w:ascii="Times New Roman" w:eastAsia="Times New Roman" w:hAnsi="Times New Roman" w:cs="Times New Roman"/>
                <w:lang w:eastAsia="lv-LV"/>
              </w:rPr>
            </w:pPr>
            <w:r w:rsidRPr="00A07F29">
              <w:rPr>
                <w:rFonts w:ascii="Times New Roman" w:eastAsia="Times New Roman" w:hAnsi="Times New Roman" w:cs="Times New Roman"/>
                <w:lang w:eastAsia="lv-LV"/>
              </w:rPr>
              <w:t>**</w:t>
            </w:r>
          </w:p>
        </w:tc>
        <w:tc>
          <w:tcPr>
            <w:tcW w:w="1275" w:type="dxa"/>
          </w:tcPr>
          <w:p w14:paraId="523B9893" w14:textId="77777777" w:rsidR="009072CE" w:rsidRPr="00A07F29" w:rsidRDefault="009072CE" w:rsidP="009072CE">
            <w:pPr>
              <w:rPr>
                <w:rFonts w:ascii="Times New Roman" w:eastAsia="Times New Roman" w:hAnsi="Times New Roman" w:cs="Times New Roman"/>
                <w:lang w:eastAsia="lv-LV"/>
              </w:rPr>
            </w:pPr>
            <w:r w:rsidRPr="00A07F29">
              <w:rPr>
                <w:rFonts w:ascii="Times New Roman" w:eastAsia="Times New Roman" w:hAnsi="Times New Roman" w:cs="Times New Roman"/>
                <w:lang w:eastAsia="lv-LV"/>
              </w:rPr>
              <w:t>**</w:t>
            </w:r>
          </w:p>
        </w:tc>
        <w:tc>
          <w:tcPr>
            <w:tcW w:w="778" w:type="dxa"/>
          </w:tcPr>
          <w:p w14:paraId="5359229B" w14:textId="77777777" w:rsidR="009072CE" w:rsidRPr="00A07F29" w:rsidRDefault="009072CE" w:rsidP="009072CE">
            <w:pPr>
              <w:rPr>
                <w:rFonts w:ascii="Times New Roman" w:eastAsia="Times New Roman" w:hAnsi="Times New Roman" w:cs="Times New Roman"/>
                <w:lang w:eastAsia="lv-LV"/>
              </w:rPr>
            </w:pPr>
            <w:r w:rsidRPr="00A07F29">
              <w:rPr>
                <w:rFonts w:ascii="Times New Roman" w:eastAsia="Times New Roman" w:hAnsi="Times New Roman" w:cs="Times New Roman"/>
                <w:lang w:eastAsia="lv-LV"/>
              </w:rPr>
              <w:t>*</w:t>
            </w:r>
          </w:p>
        </w:tc>
        <w:tc>
          <w:tcPr>
            <w:tcW w:w="865" w:type="dxa"/>
          </w:tcPr>
          <w:p w14:paraId="1D918108" w14:textId="77777777" w:rsidR="009072CE" w:rsidRPr="00A07F29" w:rsidRDefault="009072CE" w:rsidP="009072CE">
            <w:pPr>
              <w:rPr>
                <w:rFonts w:ascii="Times New Roman" w:eastAsia="Times New Roman" w:hAnsi="Times New Roman" w:cs="Times New Roman"/>
                <w:lang w:eastAsia="lv-LV"/>
              </w:rPr>
            </w:pPr>
            <w:r w:rsidRPr="00A07F29">
              <w:rPr>
                <w:rFonts w:ascii="Times New Roman" w:eastAsia="Times New Roman" w:hAnsi="Times New Roman" w:cs="Times New Roman"/>
                <w:lang w:eastAsia="lv-LV"/>
              </w:rPr>
              <w:t>*</w:t>
            </w:r>
          </w:p>
        </w:tc>
      </w:tr>
      <w:tr w:rsidR="009072CE" w:rsidRPr="00A07F29" w14:paraId="647F9248" w14:textId="77777777" w:rsidTr="00E06DC9">
        <w:trPr>
          <w:jc w:val="center"/>
        </w:trPr>
        <w:tc>
          <w:tcPr>
            <w:tcW w:w="3314" w:type="dxa"/>
            <w:shd w:val="clear" w:color="auto" w:fill="EAF1DD"/>
          </w:tcPr>
          <w:p w14:paraId="65005328" w14:textId="77777777" w:rsidR="009072CE" w:rsidRPr="00A07F29" w:rsidRDefault="009072CE" w:rsidP="009072CE">
            <w:pPr>
              <w:rPr>
                <w:rFonts w:ascii="Times New Roman" w:eastAsia="Times New Roman" w:hAnsi="Times New Roman" w:cs="Times New Roman"/>
                <w:lang w:eastAsia="lv-LV"/>
              </w:rPr>
            </w:pPr>
            <w:r w:rsidRPr="00A07F29">
              <w:rPr>
                <w:rFonts w:ascii="Times New Roman" w:eastAsia="Times New Roman" w:hAnsi="Times New Roman" w:cs="Times New Roman"/>
                <w:lang w:eastAsia="lv-LV"/>
              </w:rPr>
              <w:t>dīķu modernizācija</w:t>
            </w:r>
          </w:p>
        </w:tc>
        <w:tc>
          <w:tcPr>
            <w:tcW w:w="825" w:type="dxa"/>
          </w:tcPr>
          <w:p w14:paraId="58830583" w14:textId="77777777" w:rsidR="009072CE" w:rsidRPr="00A07F29" w:rsidRDefault="009072CE" w:rsidP="009072CE">
            <w:pPr>
              <w:rPr>
                <w:rFonts w:ascii="Times New Roman" w:eastAsia="Times New Roman" w:hAnsi="Times New Roman" w:cs="Times New Roman"/>
                <w:lang w:eastAsia="lv-LV"/>
              </w:rPr>
            </w:pPr>
            <w:r w:rsidRPr="00A07F29">
              <w:rPr>
                <w:rFonts w:ascii="Times New Roman" w:eastAsia="Times New Roman" w:hAnsi="Times New Roman" w:cs="Times New Roman"/>
                <w:lang w:eastAsia="lv-LV"/>
              </w:rPr>
              <w:t>**</w:t>
            </w:r>
          </w:p>
        </w:tc>
        <w:tc>
          <w:tcPr>
            <w:tcW w:w="1470" w:type="dxa"/>
          </w:tcPr>
          <w:p w14:paraId="35776694" w14:textId="77777777" w:rsidR="009072CE" w:rsidRPr="00A07F29" w:rsidRDefault="009072CE" w:rsidP="009072CE">
            <w:pPr>
              <w:rPr>
                <w:rFonts w:ascii="Times New Roman" w:eastAsia="Times New Roman" w:hAnsi="Times New Roman" w:cs="Times New Roman"/>
                <w:b/>
                <w:lang w:eastAsia="lv-LV"/>
              </w:rPr>
            </w:pPr>
            <w:r w:rsidRPr="00A07F29">
              <w:rPr>
                <w:rFonts w:ascii="Times New Roman" w:eastAsia="Times New Roman" w:hAnsi="Times New Roman" w:cs="Times New Roman"/>
                <w:b/>
                <w:lang w:eastAsia="lv-LV"/>
              </w:rPr>
              <w:t>***</w:t>
            </w:r>
          </w:p>
        </w:tc>
        <w:tc>
          <w:tcPr>
            <w:tcW w:w="1275" w:type="dxa"/>
          </w:tcPr>
          <w:p w14:paraId="40A71C80" w14:textId="77777777" w:rsidR="009072CE" w:rsidRPr="00A07F29" w:rsidRDefault="009072CE" w:rsidP="009072CE">
            <w:pPr>
              <w:rPr>
                <w:rFonts w:ascii="Times New Roman" w:eastAsia="Times New Roman" w:hAnsi="Times New Roman" w:cs="Times New Roman"/>
                <w:lang w:eastAsia="lv-LV"/>
              </w:rPr>
            </w:pPr>
            <w:r w:rsidRPr="00A07F29">
              <w:rPr>
                <w:rFonts w:ascii="Times New Roman" w:eastAsia="Times New Roman" w:hAnsi="Times New Roman" w:cs="Times New Roman"/>
                <w:lang w:eastAsia="lv-LV"/>
              </w:rPr>
              <w:t>**</w:t>
            </w:r>
          </w:p>
        </w:tc>
        <w:tc>
          <w:tcPr>
            <w:tcW w:w="778" w:type="dxa"/>
          </w:tcPr>
          <w:p w14:paraId="65FD2115" w14:textId="77777777" w:rsidR="009072CE" w:rsidRPr="00A07F29" w:rsidRDefault="009072CE" w:rsidP="009072CE">
            <w:pPr>
              <w:rPr>
                <w:rFonts w:ascii="Times New Roman" w:eastAsia="Times New Roman" w:hAnsi="Times New Roman" w:cs="Times New Roman"/>
                <w:lang w:eastAsia="lv-LV"/>
              </w:rPr>
            </w:pPr>
            <w:r w:rsidRPr="00A07F29">
              <w:rPr>
                <w:rFonts w:ascii="Times New Roman" w:eastAsia="Times New Roman" w:hAnsi="Times New Roman" w:cs="Times New Roman"/>
                <w:lang w:eastAsia="lv-LV"/>
              </w:rPr>
              <w:t>**</w:t>
            </w:r>
          </w:p>
        </w:tc>
        <w:tc>
          <w:tcPr>
            <w:tcW w:w="865" w:type="dxa"/>
          </w:tcPr>
          <w:p w14:paraId="3AEB0084" w14:textId="77777777" w:rsidR="009072CE" w:rsidRPr="00A07F29" w:rsidRDefault="009072CE" w:rsidP="009072CE">
            <w:pPr>
              <w:rPr>
                <w:rFonts w:ascii="Times New Roman" w:eastAsia="Times New Roman" w:hAnsi="Times New Roman" w:cs="Times New Roman"/>
                <w:lang w:eastAsia="lv-LV"/>
              </w:rPr>
            </w:pPr>
          </w:p>
        </w:tc>
      </w:tr>
      <w:tr w:rsidR="009072CE" w:rsidRPr="00A07F29" w14:paraId="3575952E" w14:textId="77777777" w:rsidTr="00E06DC9">
        <w:trPr>
          <w:jc w:val="center"/>
        </w:trPr>
        <w:tc>
          <w:tcPr>
            <w:tcW w:w="3314" w:type="dxa"/>
            <w:shd w:val="clear" w:color="auto" w:fill="EAF1DD"/>
          </w:tcPr>
          <w:p w14:paraId="0D1BB531" w14:textId="77777777" w:rsidR="009072CE" w:rsidRPr="00A07F29" w:rsidRDefault="009072CE" w:rsidP="009072CE">
            <w:pPr>
              <w:rPr>
                <w:rFonts w:ascii="Times New Roman" w:eastAsia="Times New Roman" w:hAnsi="Times New Roman" w:cs="Times New Roman"/>
                <w:lang w:eastAsia="lv-LV"/>
              </w:rPr>
            </w:pPr>
            <w:r w:rsidRPr="00A07F29">
              <w:rPr>
                <w:rFonts w:ascii="Times New Roman" w:eastAsia="Times New Roman" w:hAnsi="Times New Roman" w:cs="Times New Roman"/>
                <w:lang w:eastAsia="lv-LV"/>
              </w:rPr>
              <w:t>biotopu aizaugšana</w:t>
            </w:r>
          </w:p>
        </w:tc>
        <w:tc>
          <w:tcPr>
            <w:tcW w:w="825" w:type="dxa"/>
          </w:tcPr>
          <w:p w14:paraId="7B02D4E4" w14:textId="77777777" w:rsidR="009072CE" w:rsidRPr="00A07F29" w:rsidRDefault="009072CE" w:rsidP="009072CE">
            <w:pPr>
              <w:rPr>
                <w:rFonts w:ascii="Times New Roman" w:eastAsia="Times New Roman" w:hAnsi="Times New Roman" w:cs="Times New Roman"/>
                <w:lang w:eastAsia="lv-LV"/>
              </w:rPr>
            </w:pPr>
            <w:r w:rsidRPr="00A07F29">
              <w:rPr>
                <w:rFonts w:ascii="Times New Roman" w:eastAsia="Times New Roman" w:hAnsi="Times New Roman" w:cs="Times New Roman"/>
                <w:lang w:eastAsia="lv-LV"/>
              </w:rPr>
              <w:t>**</w:t>
            </w:r>
          </w:p>
        </w:tc>
        <w:tc>
          <w:tcPr>
            <w:tcW w:w="1470" w:type="dxa"/>
          </w:tcPr>
          <w:p w14:paraId="36AE2298" w14:textId="77777777" w:rsidR="009072CE" w:rsidRPr="00A07F29" w:rsidRDefault="009072CE" w:rsidP="009072CE">
            <w:pPr>
              <w:rPr>
                <w:rFonts w:ascii="Times New Roman" w:eastAsia="Times New Roman" w:hAnsi="Times New Roman" w:cs="Times New Roman"/>
                <w:b/>
                <w:lang w:eastAsia="lv-LV"/>
              </w:rPr>
            </w:pPr>
            <w:r w:rsidRPr="00A07F29">
              <w:rPr>
                <w:rFonts w:ascii="Times New Roman" w:eastAsia="Times New Roman" w:hAnsi="Times New Roman" w:cs="Times New Roman"/>
                <w:b/>
                <w:lang w:eastAsia="lv-LV"/>
              </w:rPr>
              <w:t>***</w:t>
            </w:r>
          </w:p>
        </w:tc>
        <w:tc>
          <w:tcPr>
            <w:tcW w:w="1275" w:type="dxa"/>
          </w:tcPr>
          <w:p w14:paraId="5171ED1F" w14:textId="77777777" w:rsidR="009072CE" w:rsidRPr="00A07F29" w:rsidRDefault="009072CE" w:rsidP="009072CE">
            <w:pPr>
              <w:rPr>
                <w:rFonts w:ascii="Times New Roman" w:eastAsia="Times New Roman" w:hAnsi="Times New Roman" w:cs="Times New Roman"/>
                <w:lang w:eastAsia="lv-LV"/>
              </w:rPr>
            </w:pPr>
            <w:r w:rsidRPr="00A07F29">
              <w:rPr>
                <w:rFonts w:ascii="Times New Roman" w:eastAsia="Times New Roman" w:hAnsi="Times New Roman" w:cs="Times New Roman"/>
                <w:lang w:eastAsia="lv-LV"/>
              </w:rPr>
              <w:t>**</w:t>
            </w:r>
          </w:p>
        </w:tc>
        <w:tc>
          <w:tcPr>
            <w:tcW w:w="778" w:type="dxa"/>
          </w:tcPr>
          <w:p w14:paraId="1AA2982E" w14:textId="77777777" w:rsidR="009072CE" w:rsidRPr="00A07F29" w:rsidRDefault="009072CE" w:rsidP="009072CE">
            <w:pPr>
              <w:rPr>
                <w:rFonts w:ascii="Times New Roman" w:eastAsia="Times New Roman" w:hAnsi="Times New Roman" w:cs="Times New Roman"/>
                <w:lang w:eastAsia="lv-LV"/>
              </w:rPr>
            </w:pPr>
            <w:r w:rsidRPr="00A07F29">
              <w:rPr>
                <w:rFonts w:ascii="Times New Roman" w:eastAsia="Times New Roman" w:hAnsi="Times New Roman" w:cs="Times New Roman"/>
                <w:lang w:eastAsia="lv-LV"/>
              </w:rPr>
              <w:t>**</w:t>
            </w:r>
          </w:p>
        </w:tc>
        <w:tc>
          <w:tcPr>
            <w:tcW w:w="865" w:type="dxa"/>
          </w:tcPr>
          <w:p w14:paraId="6AB4CEFC" w14:textId="77777777" w:rsidR="009072CE" w:rsidRPr="00A07F29" w:rsidRDefault="009072CE" w:rsidP="009072CE">
            <w:pPr>
              <w:rPr>
                <w:rFonts w:ascii="Times New Roman" w:eastAsia="Times New Roman" w:hAnsi="Times New Roman" w:cs="Times New Roman"/>
                <w:lang w:eastAsia="lv-LV"/>
              </w:rPr>
            </w:pPr>
            <w:r w:rsidRPr="00A07F29">
              <w:rPr>
                <w:rFonts w:ascii="Times New Roman" w:eastAsia="Times New Roman" w:hAnsi="Times New Roman" w:cs="Times New Roman"/>
                <w:lang w:eastAsia="lv-LV"/>
              </w:rPr>
              <w:t>**</w:t>
            </w:r>
          </w:p>
        </w:tc>
      </w:tr>
      <w:tr w:rsidR="009072CE" w:rsidRPr="00A07F29" w14:paraId="444BD5D9" w14:textId="77777777" w:rsidTr="00E06DC9">
        <w:trPr>
          <w:jc w:val="center"/>
        </w:trPr>
        <w:tc>
          <w:tcPr>
            <w:tcW w:w="3314" w:type="dxa"/>
            <w:shd w:val="clear" w:color="auto" w:fill="EAF1DD"/>
          </w:tcPr>
          <w:p w14:paraId="7AE8D44F" w14:textId="77777777" w:rsidR="009072CE" w:rsidRPr="00A07F29" w:rsidRDefault="009072CE" w:rsidP="009072CE">
            <w:pPr>
              <w:rPr>
                <w:rFonts w:ascii="Times New Roman" w:eastAsia="Times New Roman" w:hAnsi="Times New Roman" w:cs="Times New Roman"/>
                <w:lang w:eastAsia="lv-LV"/>
              </w:rPr>
            </w:pPr>
            <w:r w:rsidRPr="00A07F29">
              <w:rPr>
                <w:rFonts w:ascii="Times New Roman" w:eastAsia="Times New Roman" w:hAnsi="Times New Roman" w:cs="Times New Roman"/>
                <w:lang w:eastAsia="lv-LV"/>
              </w:rPr>
              <w:t>dīķu nolaišana un izžūšana</w:t>
            </w:r>
          </w:p>
        </w:tc>
        <w:tc>
          <w:tcPr>
            <w:tcW w:w="825" w:type="dxa"/>
          </w:tcPr>
          <w:p w14:paraId="5125C94B" w14:textId="77777777" w:rsidR="009072CE" w:rsidRPr="00A07F29" w:rsidRDefault="009072CE" w:rsidP="009072CE">
            <w:pPr>
              <w:rPr>
                <w:rFonts w:ascii="Times New Roman" w:eastAsia="Times New Roman" w:hAnsi="Times New Roman" w:cs="Times New Roman"/>
                <w:lang w:eastAsia="lv-LV"/>
              </w:rPr>
            </w:pPr>
            <w:r w:rsidRPr="00A07F29">
              <w:rPr>
                <w:rFonts w:ascii="Times New Roman" w:eastAsia="Times New Roman" w:hAnsi="Times New Roman" w:cs="Times New Roman"/>
                <w:lang w:eastAsia="lv-LV"/>
              </w:rPr>
              <w:t>**</w:t>
            </w:r>
          </w:p>
        </w:tc>
        <w:tc>
          <w:tcPr>
            <w:tcW w:w="1470" w:type="dxa"/>
          </w:tcPr>
          <w:p w14:paraId="31A81FFC" w14:textId="77777777" w:rsidR="009072CE" w:rsidRPr="00A07F29" w:rsidRDefault="009072CE" w:rsidP="009072CE">
            <w:pPr>
              <w:rPr>
                <w:rFonts w:ascii="Times New Roman" w:eastAsia="Times New Roman" w:hAnsi="Times New Roman" w:cs="Times New Roman"/>
                <w:b/>
                <w:lang w:eastAsia="lv-LV"/>
              </w:rPr>
            </w:pPr>
            <w:r w:rsidRPr="00A07F29">
              <w:rPr>
                <w:rFonts w:ascii="Times New Roman" w:eastAsia="Times New Roman" w:hAnsi="Times New Roman" w:cs="Times New Roman"/>
                <w:b/>
                <w:lang w:eastAsia="lv-LV"/>
              </w:rPr>
              <w:t>***</w:t>
            </w:r>
          </w:p>
        </w:tc>
        <w:tc>
          <w:tcPr>
            <w:tcW w:w="1275" w:type="dxa"/>
          </w:tcPr>
          <w:p w14:paraId="19DFC2F1" w14:textId="77777777" w:rsidR="009072CE" w:rsidRPr="00A07F29" w:rsidRDefault="009072CE" w:rsidP="009072CE">
            <w:pPr>
              <w:rPr>
                <w:rFonts w:ascii="Times New Roman" w:eastAsia="Times New Roman" w:hAnsi="Times New Roman" w:cs="Times New Roman"/>
                <w:lang w:eastAsia="lv-LV"/>
              </w:rPr>
            </w:pPr>
            <w:r w:rsidRPr="00A07F29">
              <w:rPr>
                <w:rFonts w:ascii="Times New Roman" w:eastAsia="Times New Roman" w:hAnsi="Times New Roman" w:cs="Times New Roman"/>
                <w:lang w:eastAsia="lv-LV"/>
              </w:rPr>
              <w:t>**</w:t>
            </w:r>
          </w:p>
        </w:tc>
        <w:tc>
          <w:tcPr>
            <w:tcW w:w="778" w:type="dxa"/>
          </w:tcPr>
          <w:p w14:paraId="38465A76" w14:textId="77777777" w:rsidR="009072CE" w:rsidRPr="00A07F29" w:rsidRDefault="009072CE" w:rsidP="009072CE">
            <w:pPr>
              <w:rPr>
                <w:rFonts w:ascii="Times New Roman" w:eastAsia="Times New Roman" w:hAnsi="Times New Roman" w:cs="Times New Roman"/>
                <w:lang w:eastAsia="lv-LV"/>
              </w:rPr>
            </w:pPr>
            <w:r w:rsidRPr="00A07F29">
              <w:rPr>
                <w:rFonts w:ascii="Times New Roman" w:eastAsia="Times New Roman" w:hAnsi="Times New Roman" w:cs="Times New Roman"/>
                <w:lang w:eastAsia="lv-LV"/>
              </w:rPr>
              <w:t>**</w:t>
            </w:r>
          </w:p>
        </w:tc>
        <w:tc>
          <w:tcPr>
            <w:tcW w:w="865" w:type="dxa"/>
          </w:tcPr>
          <w:p w14:paraId="7E094292" w14:textId="77777777" w:rsidR="009072CE" w:rsidRPr="00A07F29" w:rsidRDefault="009072CE" w:rsidP="009072CE">
            <w:pPr>
              <w:rPr>
                <w:rFonts w:ascii="Times New Roman" w:eastAsia="Times New Roman" w:hAnsi="Times New Roman" w:cs="Times New Roman"/>
                <w:lang w:eastAsia="lv-LV"/>
              </w:rPr>
            </w:pPr>
          </w:p>
        </w:tc>
      </w:tr>
      <w:tr w:rsidR="009072CE" w:rsidRPr="00A07F29" w14:paraId="487D692F" w14:textId="77777777" w:rsidTr="00E06DC9">
        <w:trPr>
          <w:jc w:val="center"/>
        </w:trPr>
        <w:tc>
          <w:tcPr>
            <w:tcW w:w="3314" w:type="dxa"/>
            <w:shd w:val="clear" w:color="auto" w:fill="EAF1DD"/>
          </w:tcPr>
          <w:p w14:paraId="2C57B495" w14:textId="77777777" w:rsidR="009072CE" w:rsidRPr="00A07F29" w:rsidRDefault="009072CE" w:rsidP="009072CE">
            <w:pPr>
              <w:rPr>
                <w:rFonts w:ascii="Times New Roman" w:eastAsia="Times New Roman" w:hAnsi="Times New Roman" w:cs="Times New Roman"/>
                <w:lang w:eastAsia="lv-LV"/>
              </w:rPr>
            </w:pPr>
            <w:r w:rsidRPr="00A07F29">
              <w:rPr>
                <w:rFonts w:ascii="Times New Roman" w:eastAsia="Times New Roman" w:hAnsi="Times New Roman" w:cs="Times New Roman"/>
                <w:lang w:eastAsia="lv-LV"/>
              </w:rPr>
              <w:t>pļavu uzaršana</w:t>
            </w:r>
          </w:p>
        </w:tc>
        <w:tc>
          <w:tcPr>
            <w:tcW w:w="825" w:type="dxa"/>
          </w:tcPr>
          <w:p w14:paraId="3BB78E4C" w14:textId="77777777" w:rsidR="009072CE" w:rsidRPr="00A07F29" w:rsidRDefault="009072CE" w:rsidP="009072CE">
            <w:pPr>
              <w:rPr>
                <w:rFonts w:ascii="Times New Roman" w:eastAsia="Times New Roman" w:hAnsi="Times New Roman" w:cs="Times New Roman"/>
                <w:lang w:eastAsia="lv-LV"/>
              </w:rPr>
            </w:pPr>
            <w:r w:rsidRPr="00A07F29">
              <w:rPr>
                <w:rFonts w:ascii="Times New Roman" w:eastAsia="Times New Roman" w:hAnsi="Times New Roman" w:cs="Times New Roman"/>
                <w:lang w:eastAsia="lv-LV"/>
              </w:rPr>
              <w:t>**</w:t>
            </w:r>
          </w:p>
        </w:tc>
        <w:tc>
          <w:tcPr>
            <w:tcW w:w="1470" w:type="dxa"/>
          </w:tcPr>
          <w:p w14:paraId="0BDACF1B" w14:textId="77777777" w:rsidR="009072CE" w:rsidRPr="00A07F29" w:rsidRDefault="009072CE" w:rsidP="009072CE">
            <w:pPr>
              <w:rPr>
                <w:rFonts w:ascii="Times New Roman" w:eastAsia="Times New Roman" w:hAnsi="Times New Roman" w:cs="Times New Roman"/>
                <w:lang w:eastAsia="lv-LV"/>
              </w:rPr>
            </w:pPr>
            <w:r w:rsidRPr="00A07F29">
              <w:rPr>
                <w:rFonts w:ascii="Times New Roman" w:eastAsia="Times New Roman" w:hAnsi="Times New Roman" w:cs="Times New Roman"/>
                <w:lang w:eastAsia="lv-LV"/>
              </w:rPr>
              <w:t>*</w:t>
            </w:r>
          </w:p>
        </w:tc>
        <w:tc>
          <w:tcPr>
            <w:tcW w:w="1275" w:type="dxa"/>
          </w:tcPr>
          <w:p w14:paraId="6447FBF3" w14:textId="77777777" w:rsidR="009072CE" w:rsidRPr="00A07F29" w:rsidRDefault="009072CE" w:rsidP="009072CE">
            <w:pPr>
              <w:rPr>
                <w:rFonts w:ascii="Times New Roman" w:eastAsia="Times New Roman" w:hAnsi="Times New Roman" w:cs="Times New Roman"/>
                <w:lang w:eastAsia="lv-LV"/>
              </w:rPr>
            </w:pPr>
            <w:r w:rsidRPr="00A07F29">
              <w:rPr>
                <w:rFonts w:ascii="Times New Roman" w:eastAsia="Times New Roman" w:hAnsi="Times New Roman" w:cs="Times New Roman"/>
                <w:lang w:eastAsia="lv-LV"/>
              </w:rPr>
              <w:t>**</w:t>
            </w:r>
          </w:p>
        </w:tc>
        <w:tc>
          <w:tcPr>
            <w:tcW w:w="778" w:type="dxa"/>
          </w:tcPr>
          <w:p w14:paraId="38997B82" w14:textId="77777777" w:rsidR="009072CE" w:rsidRPr="00A07F29" w:rsidRDefault="009072CE" w:rsidP="009072CE">
            <w:pPr>
              <w:rPr>
                <w:rFonts w:ascii="Times New Roman" w:eastAsia="Times New Roman" w:hAnsi="Times New Roman" w:cs="Times New Roman"/>
                <w:lang w:eastAsia="lv-LV"/>
              </w:rPr>
            </w:pPr>
            <w:r w:rsidRPr="00A07F29">
              <w:rPr>
                <w:rFonts w:ascii="Times New Roman" w:eastAsia="Times New Roman" w:hAnsi="Times New Roman" w:cs="Times New Roman"/>
                <w:lang w:eastAsia="lv-LV"/>
              </w:rPr>
              <w:t>**</w:t>
            </w:r>
          </w:p>
        </w:tc>
        <w:tc>
          <w:tcPr>
            <w:tcW w:w="865" w:type="dxa"/>
          </w:tcPr>
          <w:p w14:paraId="73240915" w14:textId="77777777" w:rsidR="009072CE" w:rsidRPr="00A07F29" w:rsidRDefault="009072CE" w:rsidP="009072CE">
            <w:pPr>
              <w:rPr>
                <w:rFonts w:ascii="Times New Roman" w:eastAsia="Times New Roman" w:hAnsi="Times New Roman" w:cs="Times New Roman"/>
                <w:lang w:eastAsia="lv-LV"/>
              </w:rPr>
            </w:pPr>
            <w:r w:rsidRPr="00A07F29">
              <w:rPr>
                <w:rFonts w:ascii="Times New Roman" w:eastAsia="Times New Roman" w:hAnsi="Times New Roman" w:cs="Times New Roman"/>
                <w:lang w:eastAsia="lv-LV"/>
              </w:rPr>
              <w:t>*</w:t>
            </w:r>
          </w:p>
        </w:tc>
      </w:tr>
      <w:tr w:rsidR="009072CE" w:rsidRPr="00A07F29" w14:paraId="3C0D7564" w14:textId="77777777" w:rsidTr="00E06DC9">
        <w:trPr>
          <w:jc w:val="center"/>
        </w:trPr>
        <w:tc>
          <w:tcPr>
            <w:tcW w:w="8527" w:type="dxa"/>
            <w:gridSpan w:val="6"/>
            <w:shd w:val="clear" w:color="auto" w:fill="EAF1DD"/>
          </w:tcPr>
          <w:p w14:paraId="0E3901F9" w14:textId="77777777" w:rsidR="009072CE" w:rsidRPr="00A07F29" w:rsidRDefault="009072CE" w:rsidP="009072CE">
            <w:pPr>
              <w:rPr>
                <w:rFonts w:ascii="Times New Roman" w:eastAsia="Times New Roman" w:hAnsi="Times New Roman" w:cs="Times New Roman"/>
                <w:lang w:eastAsia="lv-LV"/>
              </w:rPr>
            </w:pPr>
            <w:r w:rsidRPr="00A07F29">
              <w:rPr>
                <w:rFonts w:ascii="Times New Roman" w:eastAsia="Times New Roman" w:hAnsi="Times New Roman" w:cs="Times New Roman"/>
                <w:b/>
                <w:lang w:eastAsia="lv-LV"/>
              </w:rPr>
              <w:t>Populācijas negatīvi ietekmējošie faktori</w:t>
            </w:r>
          </w:p>
        </w:tc>
      </w:tr>
      <w:tr w:rsidR="009072CE" w:rsidRPr="00A07F29" w14:paraId="42B84909" w14:textId="77777777" w:rsidTr="00E06DC9">
        <w:trPr>
          <w:jc w:val="center"/>
        </w:trPr>
        <w:tc>
          <w:tcPr>
            <w:tcW w:w="3314" w:type="dxa"/>
            <w:shd w:val="clear" w:color="auto" w:fill="EAF1DD"/>
          </w:tcPr>
          <w:p w14:paraId="6B5D3F30" w14:textId="77777777" w:rsidR="009072CE" w:rsidRPr="00A07F29" w:rsidRDefault="009072CE" w:rsidP="009072CE">
            <w:pPr>
              <w:rPr>
                <w:rFonts w:ascii="Times New Roman" w:eastAsia="Times New Roman" w:hAnsi="Times New Roman" w:cs="Times New Roman"/>
                <w:lang w:eastAsia="lv-LV"/>
              </w:rPr>
            </w:pPr>
            <w:r w:rsidRPr="00A07F29">
              <w:rPr>
                <w:rFonts w:ascii="Times New Roman" w:eastAsia="Times New Roman" w:hAnsi="Times New Roman" w:cs="Times New Roman"/>
                <w:lang w:eastAsia="lv-LV"/>
              </w:rPr>
              <w:t>populāciju izretināšanās</w:t>
            </w:r>
          </w:p>
        </w:tc>
        <w:tc>
          <w:tcPr>
            <w:tcW w:w="825" w:type="dxa"/>
          </w:tcPr>
          <w:p w14:paraId="734E07AD" w14:textId="77777777" w:rsidR="009072CE" w:rsidRPr="00A07F29" w:rsidRDefault="009072CE" w:rsidP="009072CE">
            <w:pPr>
              <w:rPr>
                <w:rFonts w:ascii="Times New Roman" w:eastAsia="Times New Roman" w:hAnsi="Times New Roman" w:cs="Times New Roman"/>
                <w:lang w:eastAsia="lv-LV"/>
              </w:rPr>
            </w:pPr>
            <w:r w:rsidRPr="00A07F29">
              <w:rPr>
                <w:rFonts w:ascii="Times New Roman" w:eastAsia="Times New Roman" w:hAnsi="Times New Roman" w:cs="Times New Roman"/>
                <w:lang w:eastAsia="lv-LV"/>
              </w:rPr>
              <w:t>**</w:t>
            </w:r>
          </w:p>
        </w:tc>
        <w:tc>
          <w:tcPr>
            <w:tcW w:w="1470" w:type="dxa"/>
          </w:tcPr>
          <w:p w14:paraId="13895FC7" w14:textId="77777777" w:rsidR="009072CE" w:rsidRPr="00A07F29" w:rsidRDefault="009072CE" w:rsidP="009072CE">
            <w:pPr>
              <w:rPr>
                <w:rFonts w:ascii="Times New Roman" w:eastAsia="Times New Roman" w:hAnsi="Times New Roman" w:cs="Times New Roman"/>
                <w:b/>
                <w:lang w:eastAsia="lv-LV"/>
              </w:rPr>
            </w:pPr>
            <w:r w:rsidRPr="00A07F29">
              <w:rPr>
                <w:rFonts w:ascii="Times New Roman" w:eastAsia="Times New Roman" w:hAnsi="Times New Roman" w:cs="Times New Roman"/>
                <w:b/>
                <w:lang w:eastAsia="lv-LV"/>
              </w:rPr>
              <w:t>***</w:t>
            </w:r>
          </w:p>
        </w:tc>
        <w:tc>
          <w:tcPr>
            <w:tcW w:w="1275" w:type="dxa"/>
          </w:tcPr>
          <w:p w14:paraId="182C0660" w14:textId="77777777" w:rsidR="009072CE" w:rsidRPr="00A07F29" w:rsidRDefault="009072CE" w:rsidP="009072CE">
            <w:pPr>
              <w:rPr>
                <w:rFonts w:ascii="Times New Roman" w:eastAsia="Times New Roman" w:hAnsi="Times New Roman" w:cs="Times New Roman"/>
                <w:lang w:eastAsia="lv-LV"/>
              </w:rPr>
            </w:pPr>
            <w:r w:rsidRPr="00A07F29">
              <w:rPr>
                <w:rFonts w:ascii="Times New Roman" w:eastAsia="Times New Roman" w:hAnsi="Times New Roman" w:cs="Times New Roman"/>
                <w:lang w:eastAsia="lv-LV"/>
              </w:rPr>
              <w:t>**</w:t>
            </w:r>
          </w:p>
        </w:tc>
        <w:tc>
          <w:tcPr>
            <w:tcW w:w="778" w:type="dxa"/>
          </w:tcPr>
          <w:p w14:paraId="6BFD4360" w14:textId="77777777" w:rsidR="009072CE" w:rsidRPr="00A07F29" w:rsidRDefault="009072CE" w:rsidP="009072CE">
            <w:pPr>
              <w:rPr>
                <w:rFonts w:ascii="Times New Roman" w:eastAsia="Times New Roman" w:hAnsi="Times New Roman" w:cs="Times New Roman"/>
                <w:lang w:eastAsia="lv-LV"/>
              </w:rPr>
            </w:pPr>
            <w:r w:rsidRPr="00A07F29">
              <w:rPr>
                <w:rFonts w:ascii="Times New Roman" w:eastAsia="Times New Roman" w:hAnsi="Times New Roman" w:cs="Times New Roman"/>
                <w:lang w:eastAsia="lv-LV"/>
              </w:rPr>
              <w:t>**</w:t>
            </w:r>
          </w:p>
        </w:tc>
        <w:tc>
          <w:tcPr>
            <w:tcW w:w="865" w:type="dxa"/>
          </w:tcPr>
          <w:p w14:paraId="6E0EA40C" w14:textId="77777777" w:rsidR="009072CE" w:rsidRPr="00A07F29" w:rsidRDefault="009072CE" w:rsidP="009072CE">
            <w:pPr>
              <w:rPr>
                <w:rFonts w:ascii="Times New Roman" w:eastAsia="Times New Roman" w:hAnsi="Times New Roman" w:cs="Times New Roman"/>
                <w:lang w:eastAsia="lv-LV"/>
              </w:rPr>
            </w:pPr>
            <w:r w:rsidRPr="00A07F29">
              <w:rPr>
                <w:rFonts w:ascii="Times New Roman" w:eastAsia="Times New Roman" w:hAnsi="Times New Roman" w:cs="Times New Roman"/>
                <w:lang w:eastAsia="lv-LV"/>
              </w:rPr>
              <w:t>**</w:t>
            </w:r>
          </w:p>
        </w:tc>
      </w:tr>
      <w:tr w:rsidR="009072CE" w:rsidRPr="00A07F29" w14:paraId="7E037FCB" w14:textId="77777777" w:rsidTr="00E06DC9">
        <w:trPr>
          <w:jc w:val="center"/>
        </w:trPr>
        <w:tc>
          <w:tcPr>
            <w:tcW w:w="3314" w:type="dxa"/>
            <w:shd w:val="clear" w:color="auto" w:fill="EAF1DD"/>
          </w:tcPr>
          <w:p w14:paraId="32D6AEAB" w14:textId="77777777" w:rsidR="009072CE" w:rsidRPr="00A07F29" w:rsidRDefault="009072CE" w:rsidP="009072CE">
            <w:pPr>
              <w:rPr>
                <w:rFonts w:ascii="Times New Roman" w:eastAsia="Times New Roman" w:hAnsi="Times New Roman" w:cs="Times New Roman"/>
                <w:lang w:eastAsia="lv-LV"/>
              </w:rPr>
            </w:pPr>
            <w:r w:rsidRPr="00A07F29">
              <w:rPr>
                <w:rFonts w:ascii="Times New Roman" w:eastAsia="Times New Roman" w:hAnsi="Times New Roman" w:cs="Times New Roman"/>
                <w:lang w:eastAsia="lv-LV"/>
              </w:rPr>
              <w:t>bojāeja uz ceļiem</w:t>
            </w:r>
          </w:p>
        </w:tc>
        <w:tc>
          <w:tcPr>
            <w:tcW w:w="825" w:type="dxa"/>
          </w:tcPr>
          <w:p w14:paraId="70F7AC23" w14:textId="77777777" w:rsidR="009072CE" w:rsidRPr="00A07F29" w:rsidRDefault="009072CE" w:rsidP="009072CE">
            <w:pPr>
              <w:rPr>
                <w:rFonts w:ascii="Times New Roman" w:eastAsia="Times New Roman" w:hAnsi="Times New Roman" w:cs="Times New Roman"/>
                <w:lang w:eastAsia="lv-LV"/>
              </w:rPr>
            </w:pPr>
            <w:r w:rsidRPr="00A07F29">
              <w:rPr>
                <w:rFonts w:ascii="Times New Roman" w:eastAsia="Times New Roman" w:hAnsi="Times New Roman" w:cs="Times New Roman"/>
                <w:lang w:eastAsia="lv-LV"/>
              </w:rPr>
              <w:t>**</w:t>
            </w:r>
          </w:p>
        </w:tc>
        <w:tc>
          <w:tcPr>
            <w:tcW w:w="1470" w:type="dxa"/>
          </w:tcPr>
          <w:p w14:paraId="6893A8A2" w14:textId="77777777" w:rsidR="009072CE" w:rsidRPr="00A07F29" w:rsidRDefault="009072CE" w:rsidP="009072CE">
            <w:pPr>
              <w:rPr>
                <w:rFonts w:ascii="Times New Roman" w:eastAsia="Times New Roman" w:hAnsi="Times New Roman" w:cs="Times New Roman"/>
                <w:lang w:eastAsia="lv-LV"/>
              </w:rPr>
            </w:pPr>
            <w:r w:rsidRPr="00A07F29">
              <w:rPr>
                <w:rFonts w:ascii="Times New Roman" w:eastAsia="Times New Roman" w:hAnsi="Times New Roman" w:cs="Times New Roman"/>
                <w:lang w:eastAsia="lv-LV"/>
              </w:rPr>
              <w:t>**</w:t>
            </w:r>
          </w:p>
        </w:tc>
        <w:tc>
          <w:tcPr>
            <w:tcW w:w="1275" w:type="dxa"/>
          </w:tcPr>
          <w:p w14:paraId="03B93AAD" w14:textId="77777777" w:rsidR="009072CE" w:rsidRPr="00A07F29" w:rsidRDefault="009072CE" w:rsidP="009072CE">
            <w:pPr>
              <w:rPr>
                <w:rFonts w:ascii="Times New Roman" w:eastAsia="Times New Roman" w:hAnsi="Times New Roman" w:cs="Times New Roman"/>
                <w:lang w:eastAsia="lv-LV"/>
              </w:rPr>
            </w:pPr>
            <w:r w:rsidRPr="00A07F29">
              <w:rPr>
                <w:rFonts w:ascii="Times New Roman" w:eastAsia="Times New Roman" w:hAnsi="Times New Roman" w:cs="Times New Roman"/>
                <w:lang w:eastAsia="lv-LV"/>
              </w:rPr>
              <w:t>*</w:t>
            </w:r>
          </w:p>
        </w:tc>
        <w:tc>
          <w:tcPr>
            <w:tcW w:w="778" w:type="dxa"/>
          </w:tcPr>
          <w:p w14:paraId="740CC0EE" w14:textId="77777777" w:rsidR="009072CE" w:rsidRPr="00A07F29" w:rsidRDefault="009072CE" w:rsidP="009072CE">
            <w:pPr>
              <w:rPr>
                <w:rFonts w:ascii="Times New Roman" w:eastAsia="Times New Roman" w:hAnsi="Times New Roman" w:cs="Times New Roman"/>
                <w:lang w:eastAsia="lv-LV"/>
              </w:rPr>
            </w:pPr>
            <w:r w:rsidRPr="00A07F29">
              <w:rPr>
                <w:rFonts w:ascii="Times New Roman" w:eastAsia="Times New Roman" w:hAnsi="Times New Roman" w:cs="Times New Roman"/>
                <w:lang w:eastAsia="lv-LV"/>
              </w:rPr>
              <w:t>**</w:t>
            </w:r>
          </w:p>
        </w:tc>
        <w:tc>
          <w:tcPr>
            <w:tcW w:w="865" w:type="dxa"/>
          </w:tcPr>
          <w:p w14:paraId="2852729B" w14:textId="77777777" w:rsidR="009072CE" w:rsidRPr="00A07F29" w:rsidRDefault="009072CE" w:rsidP="009072CE">
            <w:pPr>
              <w:rPr>
                <w:rFonts w:ascii="Times New Roman" w:eastAsia="Times New Roman" w:hAnsi="Times New Roman" w:cs="Times New Roman"/>
                <w:lang w:eastAsia="lv-LV"/>
              </w:rPr>
            </w:pPr>
            <w:r w:rsidRPr="00A07F29">
              <w:rPr>
                <w:rFonts w:ascii="Times New Roman" w:eastAsia="Times New Roman" w:hAnsi="Times New Roman" w:cs="Times New Roman"/>
                <w:lang w:eastAsia="lv-LV"/>
              </w:rPr>
              <w:t>*</w:t>
            </w:r>
          </w:p>
        </w:tc>
      </w:tr>
      <w:tr w:rsidR="009072CE" w:rsidRPr="00A07F29" w14:paraId="60801CD4" w14:textId="77777777" w:rsidTr="00E06DC9">
        <w:trPr>
          <w:jc w:val="center"/>
        </w:trPr>
        <w:tc>
          <w:tcPr>
            <w:tcW w:w="3314" w:type="dxa"/>
            <w:shd w:val="clear" w:color="auto" w:fill="EAF1DD"/>
          </w:tcPr>
          <w:p w14:paraId="674A86A1" w14:textId="77777777" w:rsidR="009072CE" w:rsidRPr="00A07F29" w:rsidRDefault="009072CE" w:rsidP="009072CE">
            <w:pPr>
              <w:rPr>
                <w:rFonts w:ascii="Times New Roman" w:eastAsia="Times New Roman" w:hAnsi="Times New Roman" w:cs="Times New Roman"/>
                <w:lang w:eastAsia="lv-LV"/>
              </w:rPr>
            </w:pPr>
            <w:r w:rsidRPr="00A07F29">
              <w:rPr>
                <w:rFonts w:ascii="Times New Roman" w:eastAsia="Times New Roman" w:hAnsi="Times New Roman" w:cs="Times New Roman"/>
                <w:lang w:eastAsia="lv-LV"/>
              </w:rPr>
              <w:t>nekontrolēta zivju introdukcija</w:t>
            </w:r>
          </w:p>
        </w:tc>
        <w:tc>
          <w:tcPr>
            <w:tcW w:w="825" w:type="dxa"/>
          </w:tcPr>
          <w:p w14:paraId="311BC04E" w14:textId="77777777" w:rsidR="009072CE" w:rsidRPr="00A07F29" w:rsidRDefault="009072CE" w:rsidP="009072CE">
            <w:pPr>
              <w:rPr>
                <w:rFonts w:ascii="Times New Roman" w:eastAsia="Times New Roman" w:hAnsi="Times New Roman" w:cs="Times New Roman"/>
                <w:lang w:eastAsia="lv-LV"/>
              </w:rPr>
            </w:pPr>
            <w:r w:rsidRPr="00A07F29">
              <w:rPr>
                <w:rFonts w:ascii="Times New Roman" w:eastAsia="Times New Roman" w:hAnsi="Times New Roman" w:cs="Times New Roman"/>
                <w:lang w:eastAsia="lv-LV"/>
              </w:rPr>
              <w:t>**</w:t>
            </w:r>
          </w:p>
        </w:tc>
        <w:tc>
          <w:tcPr>
            <w:tcW w:w="1470" w:type="dxa"/>
          </w:tcPr>
          <w:p w14:paraId="10AD46CE" w14:textId="77777777" w:rsidR="009072CE" w:rsidRPr="00A07F29" w:rsidRDefault="009072CE" w:rsidP="009072CE">
            <w:pPr>
              <w:rPr>
                <w:rFonts w:ascii="Times New Roman" w:eastAsia="Times New Roman" w:hAnsi="Times New Roman" w:cs="Times New Roman"/>
                <w:b/>
                <w:lang w:eastAsia="lv-LV"/>
              </w:rPr>
            </w:pPr>
            <w:r w:rsidRPr="00A07F29">
              <w:rPr>
                <w:rFonts w:ascii="Times New Roman" w:eastAsia="Times New Roman" w:hAnsi="Times New Roman" w:cs="Times New Roman"/>
                <w:b/>
                <w:lang w:eastAsia="lv-LV"/>
              </w:rPr>
              <w:t>***</w:t>
            </w:r>
          </w:p>
        </w:tc>
        <w:tc>
          <w:tcPr>
            <w:tcW w:w="1275" w:type="dxa"/>
          </w:tcPr>
          <w:p w14:paraId="628217D6" w14:textId="77777777" w:rsidR="009072CE" w:rsidRPr="00A07F29" w:rsidRDefault="009072CE" w:rsidP="009072CE">
            <w:pPr>
              <w:rPr>
                <w:rFonts w:ascii="Times New Roman" w:eastAsia="Times New Roman" w:hAnsi="Times New Roman" w:cs="Times New Roman"/>
                <w:lang w:eastAsia="lv-LV"/>
              </w:rPr>
            </w:pPr>
            <w:r w:rsidRPr="00A07F29">
              <w:rPr>
                <w:rFonts w:ascii="Times New Roman" w:eastAsia="Times New Roman" w:hAnsi="Times New Roman" w:cs="Times New Roman"/>
                <w:lang w:eastAsia="lv-LV"/>
              </w:rPr>
              <w:t>**</w:t>
            </w:r>
          </w:p>
        </w:tc>
        <w:tc>
          <w:tcPr>
            <w:tcW w:w="778" w:type="dxa"/>
          </w:tcPr>
          <w:p w14:paraId="33D96621" w14:textId="77777777" w:rsidR="009072CE" w:rsidRPr="00A07F29" w:rsidRDefault="009072CE" w:rsidP="009072CE">
            <w:pPr>
              <w:rPr>
                <w:rFonts w:ascii="Times New Roman" w:eastAsia="Times New Roman" w:hAnsi="Times New Roman" w:cs="Times New Roman"/>
                <w:lang w:eastAsia="lv-LV"/>
              </w:rPr>
            </w:pPr>
            <w:r w:rsidRPr="00A07F29">
              <w:rPr>
                <w:rFonts w:ascii="Times New Roman" w:eastAsia="Times New Roman" w:hAnsi="Times New Roman" w:cs="Times New Roman"/>
                <w:lang w:eastAsia="lv-LV"/>
              </w:rPr>
              <w:t>**</w:t>
            </w:r>
          </w:p>
        </w:tc>
        <w:tc>
          <w:tcPr>
            <w:tcW w:w="865" w:type="dxa"/>
          </w:tcPr>
          <w:p w14:paraId="362FBD5B" w14:textId="77777777" w:rsidR="009072CE" w:rsidRPr="00A07F29" w:rsidRDefault="009072CE" w:rsidP="009072CE">
            <w:pPr>
              <w:rPr>
                <w:rFonts w:ascii="Times New Roman" w:eastAsia="Times New Roman" w:hAnsi="Times New Roman" w:cs="Times New Roman"/>
                <w:lang w:eastAsia="lv-LV"/>
              </w:rPr>
            </w:pPr>
          </w:p>
        </w:tc>
      </w:tr>
      <w:tr w:rsidR="009072CE" w:rsidRPr="00A07F29" w14:paraId="1EBC8794" w14:textId="77777777" w:rsidTr="00E06DC9">
        <w:trPr>
          <w:jc w:val="center"/>
        </w:trPr>
        <w:tc>
          <w:tcPr>
            <w:tcW w:w="3314" w:type="dxa"/>
            <w:shd w:val="clear" w:color="auto" w:fill="EAF1DD"/>
          </w:tcPr>
          <w:p w14:paraId="2DDEE9E0" w14:textId="77777777" w:rsidR="009072CE" w:rsidRPr="00A07F29" w:rsidRDefault="009072CE" w:rsidP="009072CE">
            <w:pPr>
              <w:rPr>
                <w:rFonts w:ascii="Times New Roman" w:eastAsia="Times New Roman" w:hAnsi="Times New Roman" w:cs="Times New Roman"/>
                <w:lang w:eastAsia="lv-LV"/>
              </w:rPr>
            </w:pPr>
            <w:proofErr w:type="spellStart"/>
            <w:r w:rsidRPr="00A07F29">
              <w:rPr>
                <w:rFonts w:ascii="Times New Roman" w:eastAsia="Times New Roman" w:hAnsi="Times New Roman" w:cs="Times New Roman"/>
                <w:lang w:eastAsia="lv-LV"/>
              </w:rPr>
              <w:t>invazīvo</w:t>
            </w:r>
            <w:proofErr w:type="spellEnd"/>
            <w:r w:rsidRPr="00A07F29">
              <w:rPr>
                <w:rFonts w:ascii="Times New Roman" w:eastAsia="Times New Roman" w:hAnsi="Times New Roman" w:cs="Times New Roman"/>
                <w:lang w:eastAsia="lv-LV"/>
              </w:rPr>
              <w:t xml:space="preserve"> zivju sugu (</w:t>
            </w:r>
            <w:proofErr w:type="spellStart"/>
            <w:r w:rsidRPr="00A07F29">
              <w:rPr>
                <w:rFonts w:ascii="Times New Roman" w:eastAsia="Times New Roman" w:hAnsi="Times New Roman" w:cs="Times New Roman"/>
                <w:lang w:eastAsia="lv-LV"/>
              </w:rPr>
              <w:t>rotans</w:t>
            </w:r>
            <w:proofErr w:type="spellEnd"/>
            <w:r w:rsidRPr="00A07F29">
              <w:rPr>
                <w:rFonts w:ascii="Times New Roman" w:eastAsia="Times New Roman" w:hAnsi="Times New Roman" w:cs="Times New Roman"/>
                <w:lang w:eastAsia="lv-LV"/>
              </w:rPr>
              <w:t xml:space="preserve"> </w:t>
            </w:r>
            <w:proofErr w:type="spellStart"/>
            <w:r w:rsidRPr="00A07F29">
              <w:rPr>
                <w:rFonts w:ascii="Times New Roman" w:eastAsia="Times New Roman" w:hAnsi="Times New Roman" w:cs="Times New Roman"/>
                <w:i/>
                <w:lang w:eastAsia="lv-LV"/>
              </w:rPr>
              <w:t>Perccottus</w:t>
            </w:r>
            <w:proofErr w:type="spellEnd"/>
            <w:r w:rsidRPr="00A07F29">
              <w:rPr>
                <w:rFonts w:ascii="Times New Roman" w:eastAsia="Times New Roman" w:hAnsi="Times New Roman" w:cs="Times New Roman"/>
                <w:i/>
                <w:lang w:eastAsia="lv-LV"/>
              </w:rPr>
              <w:t xml:space="preserve"> </w:t>
            </w:r>
            <w:proofErr w:type="spellStart"/>
            <w:r w:rsidRPr="00A07F29">
              <w:rPr>
                <w:rFonts w:ascii="Times New Roman" w:eastAsia="Times New Roman" w:hAnsi="Times New Roman" w:cs="Times New Roman"/>
                <w:i/>
                <w:lang w:eastAsia="lv-LV"/>
              </w:rPr>
              <w:t>glenii</w:t>
            </w:r>
            <w:proofErr w:type="spellEnd"/>
            <w:r w:rsidRPr="00A07F29">
              <w:rPr>
                <w:rFonts w:ascii="Times New Roman" w:eastAsia="Times New Roman" w:hAnsi="Times New Roman" w:cs="Times New Roman"/>
                <w:lang w:eastAsia="lv-LV"/>
              </w:rPr>
              <w:t>) introdukcija</w:t>
            </w:r>
          </w:p>
        </w:tc>
        <w:tc>
          <w:tcPr>
            <w:tcW w:w="825" w:type="dxa"/>
          </w:tcPr>
          <w:p w14:paraId="5BBF0FB0" w14:textId="77777777" w:rsidR="009072CE" w:rsidRPr="00A07F29" w:rsidRDefault="009072CE" w:rsidP="009072CE">
            <w:pPr>
              <w:rPr>
                <w:rFonts w:ascii="Times New Roman" w:eastAsia="Times New Roman" w:hAnsi="Times New Roman" w:cs="Times New Roman"/>
                <w:lang w:eastAsia="lv-LV"/>
              </w:rPr>
            </w:pPr>
            <w:r w:rsidRPr="00A07F29">
              <w:rPr>
                <w:rFonts w:ascii="Times New Roman" w:eastAsia="Times New Roman" w:hAnsi="Times New Roman" w:cs="Times New Roman"/>
                <w:lang w:eastAsia="lv-LV"/>
              </w:rPr>
              <w:t>**</w:t>
            </w:r>
          </w:p>
        </w:tc>
        <w:tc>
          <w:tcPr>
            <w:tcW w:w="1470" w:type="dxa"/>
          </w:tcPr>
          <w:p w14:paraId="4BC9C08F" w14:textId="77777777" w:rsidR="009072CE" w:rsidRPr="00A07F29" w:rsidRDefault="009072CE" w:rsidP="009072CE">
            <w:pPr>
              <w:rPr>
                <w:rFonts w:ascii="Times New Roman" w:eastAsia="Times New Roman" w:hAnsi="Times New Roman" w:cs="Times New Roman"/>
                <w:b/>
                <w:lang w:eastAsia="lv-LV"/>
              </w:rPr>
            </w:pPr>
            <w:r w:rsidRPr="00A07F29">
              <w:rPr>
                <w:rFonts w:ascii="Times New Roman" w:eastAsia="Times New Roman" w:hAnsi="Times New Roman" w:cs="Times New Roman"/>
                <w:b/>
                <w:lang w:eastAsia="lv-LV"/>
              </w:rPr>
              <w:t>***</w:t>
            </w:r>
          </w:p>
        </w:tc>
        <w:tc>
          <w:tcPr>
            <w:tcW w:w="1275" w:type="dxa"/>
          </w:tcPr>
          <w:p w14:paraId="15ECFDD3" w14:textId="77777777" w:rsidR="009072CE" w:rsidRPr="00A07F29" w:rsidRDefault="009072CE" w:rsidP="009072CE">
            <w:pPr>
              <w:rPr>
                <w:rFonts w:ascii="Times New Roman" w:eastAsia="Times New Roman" w:hAnsi="Times New Roman" w:cs="Times New Roman"/>
                <w:lang w:eastAsia="lv-LV"/>
              </w:rPr>
            </w:pPr>
            <w:r w:rsidRPr="00A07F29">
              <w:rPr>
                <w:rFonts w:ascii="Times New Roman" w:eastAsia="Times New Roman" w:hAnsi="Times New Roman" w:cs="Times New Roman"/>
                <w:lang w:eastAsia="lv-LV"/>
              </w:rPr>
              <w:t>**</w:t>
            </w:r>
          </w:p>
        </w:tc>
        <w:tc>
          <w:tcPr>
            <w:tcW w:w="778" w:type="dxa"/>
          </w:tcPr>
          <w:p w14:paraId="3FD25341" w14:textId="77777777" w:rsidR="009072CE" w:rsidRPr="00A07F29" w:rsidRDefault="009072CE" w:rsidP="009072CE">
            <w:pPr>
              <w:rPr>
                <w:rFonts w:ascii="Times New Roman" w:eastAsia="Times New Roman" w:hAnsi="Times New Roman" w:cs="Times New Roman"/>
                <w:lang w:eastAsia="lv-LV"/>
              </w:rPr>
            </w:pPr>
            <w:r w:rsidRPr="00A07F29">
              <w:rPr>
                <w:rFonts w:ascii="Times New Roman" w:eastAsia="Times New Roman" w:hAnsi="Times New Roman" w:cs="Times New Roman"/>
                <w:lang w:eastAsia="lv-LV"/>
              </w:rPr>
              <w:t>**</w:t>
            </w:r>
          </w:p>
        </w:tc>
        <w:tc>
          <w:tcPr>
            <w:tcW w:w="865" w:type="dxa"/>
          </w:tcPr>
          <w:p w14:paraId="02D0C905" w14:textId="77777777" w:rsidR="009072CE" w:rsidRPr="00A07F29" w:rsidRDefault="009072CE" w:rsidP="009072CE">
            <w:pPr>
              <w:rPr>
                <w:rFonts w:ascii="Times New Roman" w:eastAsia="Times New Roman" w:hAnsi="Times New Roman" w:cs="Times New Roman"/>
                <w:lang w:eastAsia="lv-LV"/>
              </w:rPr>
            </w:pPr>
          </w:p>
        </w:tc>
      </w:tr>
      <w:tr w:rsidR="009072CE" w:rsidRPr="00A07F29" w14:paraId="30B20CEE" w14:textId="77777777" w:rsidTr="00E06DC9">
        <w:trPr>
          <w:jc w:val="center"/>
        </w:trPr>
        <w:tc>
          <w:tcPr>
            <w:tcW w:w="3314" w:type="dxa"/>
            <w:shd w:val="clear" w:color="auto" w:fill="EAF1DD"/>
          </w:tcPr>
          <w:p w14:paraId="41AA0C8A" w14:textId="77777777" w:rsidR="009072CE" w:rsidRPr="00A07F29" w:rsidRDefault="009072CE" w:rsidP="009072CE">
            <w:pPr>
              <w:rPr>
                <w:rFonts w:ascii="Times New Roman" w:eastAsia="Times New Roman" w:hAnsi="Times New Roman" w:cs="Times New Roman"/>
                <w:lang w:eastAsia="lv-LV"/>
              </w:rPr>
            </w:pPr>
            <w:proofErr w:type="spellStart"/>
            <w:r w:rsidRPr="00A07F29">
              <w:rPr>
                <w:rFonts w:ascii="Times New Roman" w:eastAsia="Times New Roman" w:hAnsi="Times New Roman" w:cs="Times New Roman"/>
                <w:lang w:eastAsia="lv-LV"/>
              </w:rPr>
              <w:t>invazīvie</w:t>
            </w:r>
            <w:proofErr w:type="spellEnd"/>
            <w:r w:rsidRPr="00A07F29">
              <w:rPr>
                <w:rFonts w:ascii="Times New Roman" w:eastAsia="Times New Roman" w:hAnsi="Times New Roman" w:cs="Times New Roman"/>
                <w:lang w:eastAsia="lv-LV"/>
              </w:rPr>
              <w:t xml:space="preserve"> zīdītāji (jenotsuns </w:t>
            </w:r>
            <w:proofErr w:type="spellStart"/>
            <w:r w:rsidRPr="00A07F29">
              <w:rPr>
                <w:rFonts w:ascii="Times New Roman" w:eastAsia="Times New Roman" w:hAnsi="Times New Roman" w:cs="Times New Roman"/>
                <w:i/>
                <w:lang w:eastAsia="lv-LV"/>
              </w:rPr>
              <w:t>Nyctereutes</w:t>
            </w:r>
            <w:proofErr w:type="spellEnd"/>
            <w:r w:rsidRPr="00A07F29">
              <w:rPr>
                <w:rFonts w:ascii="Times New Roman" w:eastAsia="Times New Roman" w:hAnsi="Times New Roman" w:cs="Times New Roman"/>
                <w:i/>
                <w:lang w:eastAsia="lv-LV"/>
              </w:rPr>
              <w:t xml:space="preserve"> </w:t>
            </w:r>
            <w:proofErr w:type="spellStart"/>
            <w:r w:rsidRPr="00A07F29">
              <w:rPr>
                <w:rFonts w:ascii="Times New Roman" w:eastAsia="Times New Roman" w:hAnsi="Times New Roman" w:cs="Times New Roman"/>
                <w:i/>
                <w:lang w:eastAsia="lv-LV"/>
              </w:rPr>
              <w:t>procyonoides</w:t>
            </w:r>
            <w:proofErr w:type="spellEnd"/>
            <w:r w:rsidRPr="00A07F29">
              <w:rPr>
                <w:rFonts w:ascii="Times New Roman" w:eastAsia="Times New Roman" w:hAnsi="Times New Roman" w:cs="Times New Roman"/>
                <w:lang w:eastAsia="lv-LV"/>
              </w:rPr>
              <w:t xml:space="preserve">, Amerikas ūdele </w:t>
            </w:r>
            <w:proofErr w:type="spellStart"/>
            <w:r w:rsidRPr="00A07F29">
              <w:rPr>
                <w:rFonts w:ascii="Times New Roman" w:eastAsia="Times New Roman" w:hAnsi="Times New Roman" w:cs="Times New Roman"/>
                <w:i/>
                <w:lang w:eastAsia="lv-LV"/>
              </w:rPr>
              <w:t>Neovison</w:t>
            </w:r>
            <w:proofErr w:type="spellEnd"/>
            <w:r w:rsidRPr="00A07F29">
              <w:rPr>
                <w:rFonts w:ascii="Times New Roman" w:eastAsia="Times New Roman" w:hAnsi="Times New Roman" w:cs="Times New Roman"/>
                <w:lang w:eastAsia="lv-LV"/>
              </w:rPr>
              <w:t xml:space="preserve"> </w:t>
            </w:r>
            <w:proofErr w:type="spellStart"/>
            <w:r w:rsidRPr="00A07F29">
              <w:rPr>
                <w:rFonts w:ascii="Times New Roman" w:eastAsia="Times New Roman" w:hAnsi="Times New Roman" w:cs="Times New Roman"/>
                <w:i/>
                <w:lang w:eastAsia="lv-LV"/>
              </w:rPr>
              <w:t>vison</w:t>
            </w:r>
            <w:proofErr w:type="spellEnd"/>
            <w:r w:rsidRPr="00A07F29">
              <w:rPr>
                <w:rFonts w:ascii="Times New Roman" w:eastAsia="Times New Roman" w:hAnsi="Times New Roman" w:cs="Times New Roman"/>
                <w:lang w:eastAsia="lv-LV"/>
              </w:rPr>
              <w:t>)</w:t>
            </w:r>
          </w:p>
        </w:tc>
        <w:tc>
          <w:tcPr>
            <w:tcW w:w="825" w:type="dxa"/>
          </w:tcPr>
          <w:p w14:paraId="33AFD776" w14:textId="77777777" w:rsidR="009072CE" w:rsidRPr="00A07F29" w:rsidRDefault="009072CE" w:rsidP="009072CE">
            <w:pPr>
              <w:rPr>
                <w:rFonts w:ascii="Times New Roman" w:eastAsia="Times New Roman" w:hAnsi="Times New Roman" w:cs="Times New Roman"/>
                <w:lang w:eastAsia="lv-LV"/>
              </w:rPr>
            </w:pPr>
            <w:r w:rsidRPr="00A07F29">
              <w:rPr>
                <w:rFonts w:ascii="Times New Roman" w:eastAsia="Times New Roman" w:hAnsi="Times New Roman" w:cs="Times New Roman"/>
                <w:lang w:eastAsia="lv-LV"/>
              </w:rPr>
              <w:t>**</w:t>
            </w:r>
          </w:p>
        </w:tc>
        <w:tc>
          <w:tcPr>
            <w:tcW w:w="1470" w:type="dxa"/>
          </w:tcPr>
          <w:p w14:paraId="7BE98EB9" w14:textId="77777777" w:rsidR="009072CE" w:rsidRPr="00A07F29" w:rsidRDefault="009072CE" w:rsidP="009072CE">
            <w:pPr>
              <w:rPr>
                <w:rFonts w:ascii="Times New Roman" w:eastAsia="Times New Roman" w:hAnsi="Times New Roman" w:cs="Times New Roman"/>
                <w:lang w:eastAsia="lv-LV"/>
              </w:rPr>
            </w:pPr>
            <w:r w:rsidRPr="00A07F29">
              <w:rPr>
                <w:rFonts w:ascii="Times New Roman" w:eastAsia="Times New Roman" w:hAnsi="Times New Roman" w:cs="Times New Roman"/>
                <w:lang w:eastAsia="lv-LV"/>
              </w:rPr>
              <w:t>*</w:t>
            </w:r>
          </w:p>
        </w:tc>
        <w:tc>
          <w:tcPr>
            <w:tcW w:w="1275" w:type="dxa"/>
          </w:tcPr>
          <w:p w14:paraId="4A154CA3" w14:textId="77777777" w:rsidR="009072CE" w:rsidRPr="00A07F29" w:rsidRDefault="009072CE" w:rsidP="009072CE">
            <w:pPr>
              <w:rPr>
                <w:rFonts w:ascii="Times New Roman" w:eastAsia="Times New Roman" w:hAnsi="Times New Roman" w:cs="Times New Roman"/>
                <w:lang w:eastAsia="lv-LV"/>
              </w:rPr>
            </w:pPr>
            <w:r w:rsidRPr="00A07F29">
              <w:rPr>
                <w:rFonts w:ascii="Times New Roman" w:eastAsia="Times New Roman" w:hAnsi="Times New Roman" w:cs="Times New Roman"/>
                <w:lang w:eastAsia="lv-LV"/>
              </w:rPr>
              <w:t>**</w:t>
            </w:r>
          </w:p>
        </w:tc>
        <w:tc>
          <w:tcPr>
            <w:tcW w:w="778" w:type="dxa"/>
          </w:tcPr>
          <w:p w14:paraId="2E29E5C1" w14:textId="77777777" w:rsidR="009072CE" w:rsidRPr="00A07F29" w:rsidRDefault="009072CE" w:rsidP="009072CE">
            <w:pPr>
              <w:rPr>
                <w:rFonts w:ascii="Times New Roman" w:eastAsia="Times New Roman" w:hAnsi="Times New Roman" w:cs="Times New Roman"/>
                <w:lang w:eastAsia="lv-LV"/>
              </w:rPr>
            </w:pPr>
            <w:r w:rsidRPr="00A07F29">
              <w:rPr>
                <w:rFonts w:ascii="Times New Roman" w:eastAsia="Times New Roman" w:hAnsi="Times New Roman" w:cs="Times New Roman"/>
                <w:lang w:eastAsia="lv-LV"/>
              </w:rPr>
              <w:t>*</w:t>
            </w:r>
          </w:p>
        </w:tc>
        <w:tc>
          <w:tcPr>
            <w:tcW w:w="865" w:type="dxa"/>
          </w:tcPr>
          <w:p w14:paraId="185FDD1B" w14:textId="77777777" w:rsidR="009072CE" w:rsidRPr="00A07F29" w:rsidRDefault="009072CE" w:rsidP="009072CE">
            <w:pPr>
              <w:rPr>
                <w:rFonts w:ascii="Times New Roman" w:eastAsia="Times New Roman" w:hAnsi="Times New Roman" w:cs="Times New Roman"/>
                <w:lang w:eastAsia="lv-LV"/>
              </w:rPr>
            </w:pPr>
            <w:r w:rsidRPr="00A07F29">
              <w:rPr>
                <w:rFonts w:ascii="Times New Roman" w:eastAsia="Times New Roman" w:hAnsi="Times New Roman" w:cs="Times New Roman"/>
                <w:lang w:eastAsia="lv-LV"/>
              </w:rPr>
              <w:t>**</w:t>
            </w:r>
          </w:p>
        </w:tc>
      </w:tr>
      <w:tr w:rsidR="009072CE" w:rsidRPr="00A07F29" w14:paraId="3AABAD85" w14:textId="77777777" w:rsidTr="00E06DC9">
        <w:trPr>
          <w:jc w:val="center"/>
        </w:trPr>
        <w:tc>
          <w:tcPr>
            <w:tcW w:w="3314" w:type="dxa"/>
            <w:shd w:val="clear" w:color="auto" w:fill="EAF1DD"/>
          </w:tcPr>
          <w:p w14:paraId="39A6E22D" w14:textId="77777777" w:rsidR="009072CE" w:rsidRPr="00A07F29" w:rsidRDefault="009072CE" w:rsidP="009072CE">
            <w:pPr>
              <w:rPr>
                <w:rFonts w:ascii="Times New Roman" w:eastAsia="Times New Roman" w:hAnsi="Times New Roman" w:cs="Times New Roman"/>
                <w:lang w:eastAsia="lv-LV"/>
              </w:rPr>
            </w:pPr>
            <w:r w:rsidRPr="00A07F29">
              <w:rPr>
                <w:rFonts w:ascii="Times New Roman" w:eastAsia="Times New Roman" w:hAnsi="Times New Roman" w:cs="Times New Roman"/>
                <w:lang w:eastAsia="lv-LV"/>
              </w:rPr>
              <w:t>jaunas slimības (</w:t>
            </w:r>
            <w:proofErr w:type="spellStart"/>
            <w:r w:rsidRPr="00A07F29">
              <w:rPr>
                <w:rFonts w:ascii="Times New Roman" w:eastAsia="Times New Roman" w:hAnsi="Times New Roman" w:cs="Times New Roman"/>
                <w:i/>
                <w:lang w:eastAsia="lv-LV"/>
              </w:rPr>
              <w:t>Batrachochytrium</w:t>
            </w:r>
            <w:proofErr w:type="spellEnd"/>
            <w:r w:rsidRPr="00A07F29">
              <w:rPr>
                <w:rFonts w:ascii="Times New Roman" w:eastAsia="Times New Roman" w:hAnsi="Times New Roman" w:cs="Times New Roman"/>
                <w:i/>
                <w:lang w:eastAsia="lv-LV"/>
              </w:rPr>
              <w:t xml:space="preserve"> </w:t>
            </w:r>
            <w:proofErr w:type="spellStart"/>
            <w:r w:rsidRPr="00A07F29">
              <w:rPr>
                <w:rFonts w:ascii="Times New Roman" w:eastAsia="Times New Roman" w:hAnsi="Times New Roman" w:cs="Times New Roman"/>
                <w:i/>
                <w:lang w:eastAsia="lv-LV"/>
              </w:rPr>
              <w:t>dendrobatidis</w:t>
            </w:r>
            <w:proofErr w:type="spellEnd"/>
            <w:r w:rsidRPr="00A07F29">
              <w:rPr>
                <w:rFonts w:ascii="Times New Roman" w:eastAsia="Times New Roman" w:hAnsi="Times New Roman" w:cs="Times New Roman"/>
                <w:lang w:eastAsia="lv-LV"/>
              </w:rPr>
              <w:t xml:space="preserve"> u.c.) un parazīti</w:t>
            </w:r>
          </w:p>
        </w:tc>
        <w:tc>
          <w:tcPr>
            <w:tcW w:w="825" w:type="dxa"/>
          </w:tcPr>
          <w:p w14:paraId="523F9869" w14:textId="77777777" w:rsidR="009072CE" w:rsidRPr="00A07F29" w:rsidRDefault="009072CE" w:rsidP="009072CE">
            <w:pPr>
              <w:rPr>
                <w:rFonts w:ascii="Times New Roman" w:eastAsia="Times New Roman" w:hAnsi="Times New Roman" w:cs="Times New Roman"/>
                <w:lang w:eastAsia="lv-LV"/>
              </w:rPr>
            </w:pPr>
            <w:r w:rsidRPr="00A07F29">
              <w:rPr>
                <w:rFonts w:ascii="Times New Roman" w:eastAsia="Times New Roman" w:hAnsi="Times New Roman" w:cs="Times New Roman"/>
                <w:lang w:eastAsia="lv-LV"/>
              </w:rPr>
              <w:t>**</w:t>
            </w:r>
          </w:p>
        </w:tc>
        <w:tc>
          <w:tcPr>
            <w:tcW w:w="1470" w:type="dxa"/>
          </w:tcPr>
          <w:p w14:paraId="6CC6D998" w14:textId="77777777" w:rsidR="009072CE" w:rsidRPr="00A07F29" w:rsidRDefault="009072CE" w:rsidP="009072CE">
            <w:pPr>
              <w:rPr>
                <w:rFonts w:ascii="Times New Roman" w:eastAsia="Times New Roman" w:hAnsi="Times New Roman" w:cs="Times New Roman"/>
                <w:lang w:eastAsia="lv-LV"/>
              </w:rPr>
            </w:pPr>
            <w:r w:rsidRPr="00A07F29">
              <w:rPr>
                <w:rFonts w:ascii="Times New Roman" w:eastAsia="Times New Roman" w:hAnsi="Times New Roman" w:cs="Times New Roman"/>
                <w:lang w:eastAsia="lv-LV"/>
              </w:rPr>
              <w:t>**</w:t>
            </w:r>
          </w:p>
        </w:tc>
        <w:tc>
          <w:tcPr>
            <w:tcW w:w="1275" w:type="dxa"/>
          </w:tcPr>
          <w:p w14:paraId="23969A2D" w14:textId="77777777" w:rsidR="009072CE" w:rsidRPr="00A07F29" w:rsidRDefault="009072CE" w:rsidP="009072CE">
            <w:pPr>
              <w:rPr>
                <w:rFonts w:ascii="Times New Roman" w:eastAsia="Times New Roman" w:hAnsi="Times New Roman" w:cs="Times New Roman"/>
                <w:lang w:eastAsia="lv-LV"/>
              </w:rPr>
            </w:pPr>
            <w:r w:rsidRPr="00A07F29">
              <w:rPr>
                <w:rFonts w:ascii="Times New Roman" w:eastAsia="Times New Roman" w:hAnsi="Times New Roman" w:cs="Times New Roman"/>
                <w:lang w:eastAsia="lv-LV"/>
              </w:rPr>
              <w:t>**</w:t>
            </w:r>
          </w:p>
        </w:tc>
        <w:tc>
          <w:tcPr>
            <w:tcW w:w="778" w:type="dxa"/>
          </w:tcPr>
          <w:p w14:paraId="63A570DC" w14:textId="77777777" w:rsidR="009072CE" w:rsidRPr="00A07F29" w:rsidRDefault="009072CE" w:rsidP="009072CE">
            <w:pPr>
              <w:rPr>
                <w:rFonts w:ascii="Times New Roman" w:eastAsia="Times New Roman" w:hAnsi="Times New Roman" w:cs="Times New Roman"/>
                <w:lang w:eastAsia="lv-LV"/>
              </w:rPr>
            </w:pPr>
            <w:r w:rsidRPr="00A07F29">
              <w:rPr>
                <w:rFonts w:ascii="Times New Roman" w:eastAsia="Times New Roman" w:hAnsi="Times New Roman" w:cs="Times New Roman"/>
                <w:lang w:eastAsia="lv-LV"/>
              </w:rPr>
              <w:t>**</w:t>
            </w:r>
          </w:p>
        </w:tc>
        <w:tc>
          <w:tcPr>
            <w:tcW w:w="865" w:type="dxa"/>
          </w:tcPr>
          <w:p w14:paraId="5CE790D2" w14:textId="77777777" w:rsidR="009072CE" w:rsidRPr="00A07F29" w:rsidRDefault="009072CE" w:rsidP="009072CE">
            <w:pPr>
              <w:rPr>
                <w:rFonts w:ascii="Times New Roman" w:eastAsia="Times New Roman" w:hAnsi="Times New Roman" w:cs="Times New Roman"/>
                <w:lang w:eastAsia="lv-LV"/>
              </w:rPr>
            </w:pPr>
          </w:p>
        </w:tc>
      </w:tr>
      <w:tr w:rsidR="009072CE" w:rsidRPr="00A07F29" w14:paraId="0BE1152B" w14:textId="77777777" w:rsidTr="00E06DC9">
        <w:trPr>
          <w:jc w:val="center"/>
        </w:trPr>
        <w:tc>
          <w:tcPr>
            <w:tcW w:w="3314" w:type="dxa"/>
            <w:shd w:val="clear" w:color="auto" w:fill="EAF1DD"/>
          </w:tcPr>
          <w:p w14:paraId="672C8A00" w14:textId="77777777" w:rsidR="009072CE" w:rsidRPr="00A07F29" w:rsidRDefault="009072CE" w:rsidP="009072CE">
            <w:pPr>
              <w:rPr>
                <w:rFonts w:ascii="Times New Roman" w:eastAsia="Times New Roman" w:hAnsi="Times New Roman" w:cs="Times New Roman"/>
                <w:lang w:eastAsia="lv-LV"/>
              </w:rPr>
            </w:pPr>
            <w:r w:rsidRPr="00A07F29">
              <w:rPr>
                <w:rFonts w:ascii="Times New Roman" w:eastAsia="Times New Roman" w:hAnsi="Times New Roman" w:cs="Times New Roman"/>
                <w:lang w:eastAsia="lv-LV"/>
              </w:rPr>
              <w:t>kūlas dedzināšana pavasarī</w:t>
            </w:r>
          </w:p>
        </w:tc>
        <w:tc>
          <w:tcPr>
            <w:tcW w:w="825" w:type="dxa"/>
          </w:tcPr>
          <w:p w14:paraId="32B7152A" w14:textId="77777777" w:rsidR="009072CE" w:rsidRPr="00A07F29" w:rsidRDefault="009072CE" w:rsidP="009072CE">
            <w:pPr>
              <w:rPr>
                <w:rFonts w:ascii="Times New Roman" w:eastAsia="Times New Roman" w:hAnsi="Times New Roman" w:cs="Times New Roman"/>
                <w:lang w:eastAsia="lv-LV"/>
              </w:rPr>
            </w:pPr>
            <w:r w:rsidRPr="00A07F29">
              <w:rPr>
                <w:rFonts w:ascii="Times New Roman" w:eastAsia="Times New Roman" w:hAnsi="Times New Roman" w:cs="Times New Roman"/>
                <w:lang w:eastAsia="lv-LV"/>
              </w:rPr>
              <w:t>**</w:t>
            </w:r>
          </w:p>
        </w:tc>
        <w:tc>
          <w:tcPr>
            <w:tcW w:w="1470" w:type="dxa"/>
          </w:tcPr>
          <w:p w14:paraId="34B3CD11" w14:textId="77777777" w:rsidR="009072CE" w:rsidRPr="00A07F29" w:rsidRDefault="009072CE" w:rsidP="009072CE">
            <w:pPr>
              <w:rPr>
                <w:rFonts w:ascii="Times New Roman" w:eastAsia="Times New Roman" w:hAnsi="Times New Roman" w:cs="Times New Roman"/>
                <w:b/>
                <w:lang w:eastAsia="lv-LV"/>
              </w:rPr>
            </w:pPr>
            <w:r w:rsidRPr="00A07F29">
              <w:rPr>
                <w:rFonts w:ascii="Times New Roman" w:eastAsia="Times New Roman" w:hAnsi="Times New Roman" w:cs="Times New Roman"/>
                <w:b/>
                <w:lang w:eastAsia="lv-LV"/>
              </w:rPr>
              <w:t>***</w:t>
            </w:r>
          </w:p>
        </w:tc>
        <w:tc>
          <w:tcPr>
            <w:tcW w:w="1275" w:type="dxa"/>
          </w:tcPr>
          <w:p w14:paraId="70CED2B9" w14:textId="77777777" w:rsidR="009072CE" w:rsidRPr="00A07F29" w:rsidRDefault="009072CE" w:rsidP="009072CE">
            <w:pPr>
              <w:rPr>
                <w:rFonts w:ascii="Times New Roman" w:eastAsia="Times New Roman" w:hAnsi="Times New Roman" w:cs="Times New Roman"/>
                <w:lang w:eastAsia="lv-LV"/>
              </w:rPr>
            </w:pPr>
            <w:r w:rsidRPr="00A07F29">
              <w:rPr>
                <w:rFonts w:ascii="Times New Roman" w:eastAsia="Times New Roman" w:hAnsi="Times New Roman" w:cs="Times New Roman"/>
                <w:lang w:eastAsia="lv-LV"/>
              </w:rPr>
              <w:t>**</w:t>
            </w:r>
          </w:p>
        </w:tc>
        <w:tc>
          <w:tcPr>
            <w:tcW w:w="778" w:type="dxa"/>
          </w:tcPr>
          <w:p w14:paraId="49770356" w14:textId="77777777" w:rsidR="009072CE" w:rsidRPr="00A07F29" w:rsidRDefault="009072CE" w:rsidP="009072CE">
            <w:pPr>
              <w:rPr>
                <w:rFonts w:ascii="Times New Roman" w:eastAsia="Times New Roman" w:hAnsi="Times New Roman" w:cs="Times New Roman"/>
                <w:lang w:eastAsia="lv-LV"/>
              </w:rPr>
            </w:pPr>
            <w:r w:rsidRPr="00A07F29">
              <w:rPr>
                <w:rFonts w:ascii="Times New Roman" w:eastAsia="Times New Roman" w:hAnsi="Times New Roman" w:cs="Times New Roman"/>
                <w:lang w:eastAsia="lv-LV"/>
              </w:rPr>
              <w:t>**</w:t>
            </w:r>
          </w:p>
        </w:tc>
        <w:tc>
          <w:tcPr>
            <w:tcW w:w="865" w:type="dxa"/>
          </w:tcPr>
          <w:p w14:paraId="75C7C518" w14:textId="77777777" w:rsidR="009072CE" w:rsidRPr="00A07F29" w:rsidRDefault="009072CE" w:rsidP="009072CE">
            <w:pPr>
              <w:rPr>
                <w:rFonts w:ascii="Times New Roman" w:eastAsia="Times New Roman" w:hAnsi="Times New Roman" w:cs="Times New Roman"/>
                <w:lang w:eastAsia="lv-LV"/>
              </w:rPr>
            </w:pPr>
            <w:r w:rsidRPr="00A07F29">
              <w:rPr>
                <w:rFonts w:ascii="Times New Roman" w:eastAsia="Times New Roman" w:hAnsi="Times New Roman" w:cs="Times New Roman"/>
                <w:lang w:eastAsia="lv-LV"/>
              </w:rPr>
              <w:t>**</w:t>
            </w:r>
          </w:p>
        </w:tc>
      </w:tr>
    </w:tbl>
    <w:p w14:paraId="54F5D861" w14:textId="77777777" w:rsidR="009072CE" w:rsidRPr="00A07F29" w:rsidRDefault="009072CE" w:rsidP="009072CE">
      <w:pPr>
        <w:jc w:val="both"/>
        <w:rPr>
          <w:rFonts w:ascii="Times New Roman" w:eastAsia="Times New Roman" w:hAnsi="Times New Roman" w:cs="Times New Roman"/>
          <w:b/>
          <w:color w:val="000000"/>
          <w:sz w:val="24"/>
          <w:szCs w:val="24"/>
        </w:rPr>
      </w:pPr>
    </w:p>
    <w:p w14:paraId="701AE535" w14:textId="65D2B361" w:rsidR="009072CE" w:rsidRPr="00A07F29" w:rsidRDefault="009072CE" w:rsidP="00E06DC9">
      <w:pPr>
        <w:spacing w:after="120" w:line="240" w:lineRule="auto"/>
        <w:jc w:val="center"/>
        <w:rPr>
          <w:rFonts w:ascii="Times New Roman" w:eastAsia="Times New Roman" w:hAnsi="Times New Roman" w:cs="Times New Roman"/>
          <w:b/>
          <w:color w:val="000000"/>
          <w:sz w:val="24"/>
          <w:szCs w:val="24"/>
        </w:rPr>
      </w:pPr>
      <w:r w:rsidRPr="00A07F29">
        <w:rPr>
          <w:rFonts w:ascii="Times New Roman" w:eastAsia="Times New Roman" w:hAnsi="Times New Roman" w:cs="Times New Roman"/>
          <w:color w:val="000000"/>
          <w:sz w:val="24"/>
          <w:szCs w:val="24"/>
        </w:rPr>
        <w:t>4.</w:t>
      </w:r>
      <w:r w:rsidR="00E06DC9" w:rsidRPr="00A07F29">
        <w:rPr>
          <w:rFonts w:ascii="Times New Roman" w:eastAsia="Times New Roman" w:hAnsi="Times New Roman" w:cs="Times New Roman"/>
          <w:color w:val="000000"/>
          <w:sz w:val="24"/>
          <w:szCs w:val="24"/>
        </w:rPr>
        <w:t>8</w:t>
      </w:r>
      <w:r w:rsidRPr="00A07F29">
        <w:rPr>
          <w:rFonts w:ascii="Times New Roman" w:eastAsia="Times New Roman" w:hAnsi="Times New Roman" w:cs="Times New Roman"/>
          <w:color w:val="000000"/>
          <w:sz w:val="24"/>
          <w:szCs w:val="24"/>
        </w:rPr>
        <w:t>.</w:t>
      </w:r>
      <w:r w:rsidR="004E75B0" w:rsidRPr="00A07F29">
        <w:rPr>
          <w:rFonts w:ascii="Times New Roman" w:eastAsia="Times New Roman" w:hAnsi="Times New Roman" w:cs="Times New Roman"/>
          <w:color w:val="000000"/>
          <w:sz w:val="24"/>
          <w:szCs w:val="24"/>
        </w:rPr>
        <w:t>4</w:t>
      </w:r>
      <w:r w:rsidRPr="00A07F29">
        <w:rPr>
          <w:rFonts w:ascii="Times New Roman" w:eastAsia="Times New Roman" w:hAnsi="Times New Roman" w:cs="Times New Roman"/>
          <w:color w:val="000000"/>
          <w:sz w:val="24"/>
          <w:szCs w:val="24"/>
        </w:rPr>
        <w:t>.</w:t>
      </w:r>
      <w:r w:rsidR="0095739B">
        <w:rPr>
          <w:rFonts w:ascii="Times New Roman" w:eastAsia="Times New Roman" w:hAnsi="Times New Roman" w:cs="Times New Roman"/>
          <w:color w:val="000000"/>
          <w:sz w:val="24"/>
          <w:szCs w:val="24"/>
        </w:rPr>
        <w:t> </w:t>
      </w:r>
      <w:r w:rsidRPr="00A07F29">
        <w:rPr>
          <w:rFonts w:ascii="Times New Roman" w:eastAsia="Times New Roman" w:hAnsi="Times New Roman" w:cs="Times New Roman"/>
          <w:color w:val="000000"/>
          <w:sz w:val="24"/>
          <w:szCs w:val="24"/>
        </w:rPr>
        <w:t>tabula.</w:t>
      </w:r>
      <w:r w:rsidRPr="00A07F29">
        <w:rPr>
          <w:rFonts w:ascii="Times New Roman" w:eastAsia="Times New Roman" w:hAnsi="Times New Roman" w:cs="Times New Roman"/>
          <w:b/>
          <w:color w:val="000000"/>
          <w:sz w:val="24"/>
          <w:szCs w:val="24"/>
        </w:rPr>
        <w:t xml:space="preserve"> </w:t>
      </w:r>
      <w:r w:rsidRPr="00A07F29">
        <w:rPr>
          <w:rFonts w:ascii="Times New Roman" w:eastAsia="Times New Roman" w:hAnsi="Times New Roman" w:cs="Times New Roman"/>
          <w:color w:val="000000"/>
          <w:sz w:val="24"/>
          <w:szCs w:val="24"/>
        </w:rPr>
        <w:t>Pozitīvo un negatīvo ietekmju analīze.</w:t>
      </w:r>
    </w:p>
    <w:tbl>
      <w:tblPr>
        <w:tblStyle w:val="TableGrid"/>
        <w:tblW w:w="9067" w:type="dxa"/>
        <w:jc w:val="center"/>
        <w:tblLayout w:type="fixed"/>
        <w:tblLook w:val="04A0" w:firstRow="1" w:lastRow="0" w:firstColumn="1" w:lastColumn="0" w:noHBand="0" w:noVBand="1"/>
      </w:tblPr>
      <w:tblGrid>
        <w:gridCol w:w="2131"/>
        <w:gridCol w:w="3534"/>
        <w:gridCol w:w="3402"/>
      </w:tblGrid>
      <w:tr w:rsidR="009072CE" w:rsidRPr="00A07F29" w14:paraId="43B25ED2" w14:textId="77777777" w:rsidTr="00E06DC9">
        <w:trPr>
          <w:jc w:val="center"/>
        </w:trPr>
        <w:tc>
          <w:tcPr>
            <w:tcW w:w="2131" w:type="dxa"/>
            <w:shd w:val="clear" w:color="auto" w:fill="C2D69B"/>
          </w:tcPr>
          <w:p w14:paraId="52D82694" w14:textId="77777777" w:rsidR="009072CE" w:rsidRPr="00A07F29" w:rsidRDefault="009072CE" w:rsidP="009072CE">
            <w:pPr>
              <w:contextualSpacing/>
              <w:rPr>
                <w:rFonts w:ascii="Times New Roman" w:eastAsia="Times New Roman" w:hAnsi="Times New Roman" w:cs="Times New Roman"/>
                <w:b/>
                <w:color w:val="000000"/>
                <w:sz w:val="20"/>
                <w:szCs w:val="20"/>
              </w:rPr>
            </w:pPr>
            <w:r w:rsidRPr="00A07F29">
              <w:rPr>
                <w:rFonts w:ascii="Times New Roman" w:eastAsia="Times New Roman" w:hAnsi="Times New Roman" w:cs="Times New Roman"/>
                <w:b/>
                <w:color w:val="000000"/>
                <w:sz w:val="20"/>
                <w:szCs w:val="20"/>
              </w:rPr>
              <w:t>Faktors</w:t>
            </w:r>
          </w:p>
        </w:tc>
        <w:tc>
          <w:tcPr>
            <w:tcW w:w="3534" w:type="dxa"/>
            <w:shd w:val="clear" w:color="auto" w:fill="C2D69B"/>
          </w:tcPr>
          <w:p w14:paraId="494CCD36" w14:textId="77777777" w:rsidR="009072CE" w:rsidRPr="00A07F29" w:rsidRDefault="009072CE" w:rsidP="009072CE">
            <w:pPr>
              <w:contextualSpacing/>
              <w:rPr>
                <w:rFonts w:ascii="Times New Roman" w:eastAsia="Times New Roman" w:hAnsi="Times New Roman" w:cs="Times New Roman"/>
                <w:b/>
                <w:color w:val="000000"/>
                <w:sz w:val="20"/>
                <w:szCs w:val="20"/>
              </w:rPr>
            </w:pPr>
            <w:r w:rsidRPr="00A07F29">
              <w:rPr>
                <w:rFonts w:ascii="Times New Roman" w:eastAsia="Times New Roman" w:hAnsi="Times New Roman" w:cs="Times New Roman"/>
                <w:b/>
                <w:color w:val="000000"/>
                <w:sz w:val="20"/>
                <w:szCs w:val="20"/>
              </w:rPr>
              <w:t>Pozitīva ietekme</w:t>
            </w:r>
          </w:p>
        </w:tc>
        <w:tc>
          <w:tcPr>
            <w:tcW w:w="3402" w:type="dxa"/>
            <w:shd w:val="clear" w:color="auto" w:fill="C2D69B"/>
          </w:tcPr>
          <w:p w14:paraId="22697B78" w14:textId="77777777" w:rsidR="009072CE" w:rsidRPr="00A07F29" w:rsidRDefault="009072CE" w:rsidP="009072CE">
            <w:pPr>
              <w:contextualSpacing/>
              <w:rPr>
                <w:rFonts w:ascii="Times New Roman" w:eastAsia="Times New Roman" w:hAnsi="Times New Roman" w:cs="Times New Roman"/>
                <w:b/>
                <w:color w:val="000000"/>
                <w:sz w:val="20"/>
                <w:szCs w:val="20"/>
              </w:rPr>
            </w:pPr>
            <w:r w:rsidRPr="00A07F29">
              <w:rPr>
                <w:rFonts w:ascii="Times New Roman" w:eastAsia="Times New Roman" w:hAnsi="Times New Roman" w:cs="Times New Roman"/>
                <w:b/>
                <w:color w:val="000000"/>
                <w:sz w:val="20"/>
                <w:szCs w:val="20"/>
              </w:rPr>
              <w:t>Negatīva ietekme</w:t>
            </w:r>
          </w:p>
        </w:tc>
      </w:tr>
      <w:tr w:rsidR="009072CE" w:rsidRPr="00A07F29" w14:paraId="0481D5EB" w14:textId="77777777" w:rsidTr="00E06DC9">
        <w:trPr>
          <w:jc w:val="center"/>
        </w:trPr>
        <w:tc>
          <w:tcPr>
            <w:tcW w:w="9067" w:type="dxa"/>
            <w:gridSpan w:val="3"/>
            <w:shd w:val="clear" w:color="auto" w:fill="D6E3BC"/>
          </w:tcPr>
          <w:p w14:paraId="2CEC68EB" w14:textId="77777777" w:rsidR="009072CE" w:rsidRPr="00A07F29" w:rsidRDefault="009072CE" w:rsidP="009072CE">
            <w:pPr>
              <w:contextualSpacing/>
              <w:rPr>
                <w:rFonts w:ascii="Times New Roman" w:eastAsia="Times New Roman" w:hAnsi="Times New Roman" w:cs="Times New Roman"/>
                <w:b/>
                <w:color w:val="000000"/>
                <w:sz w:val="20"/>
                <w:szCs w:val="20"/>
              </w:rPr>
            </w:pPr>
            <w:r w:rsidRPr="00A07F29">
              <w:rPr>
                <w:rFonts w:ascii="Times New Roman" w:eastAsia="Times New Roman" w:hAnsi="Times New Roman" w:cs="Times New Roman"/>
                <w:b/>
                <w:color w:val="000000"/>
                <w:sz w:val="20"/>
                <w:szCs w:val="20"/>
              </w:rPr>
              <w:t>Dabiskie ārējie faktori</w:t>
            </w:r>
          </w:p>
        </w:tc>
      </w:tr>
      <w:tr w:rsidR="009072CE" w:rsidRPr="00A07F29" w14:paraId="24ECF039" w14:textId="77777777" w:rsidTr="00E06DC9">
        <w:trPr>
          <w:jc w:val="center"/>
        </w:trPr>
        <w:tc>
          <w:tcPr>
            <w:tcW w:w="2131" w:type="dxa"/>
            <w:shd w:val="clear" w:color="auto" w:fill="EAF1DD"/>
          </w:tcPr>
          <w:p w14:paraId="03F843FC" w14:textId="77777777" w:rsidR="009072CE" w:rsidRPr="00A07F29" w:rsidRDefault="009072CE" w:rsidP="009072CE">
            <w:pPr>
              <w:contextualSpacing/>
              <w:rPr>
                <w:rFonts w:ascii="Times New Roman" w:eastAsia="Times New Roman" w:hAnsi="Times New Roman" w:cs="Times New Roman"/>
                <w:color w:val="000000"/>
                <w:sz w:val="20"/>
                <w:szCs w:val="20"/>
              </w:rPr>
            </w:pPr>
            <w:r w:rsidRPr="00A07F29">
              <w:rPr>
                <w:rFonts w:ascii="Times New Roman" w:eastAsia="Times New Roman" w:hAnsi="Times New Roman" w:cs="Times New Roman"/>
                <w:color w:val="000000"/>
                <w:sz w:val="20"/>
                <w:szCs w:val="20"/>
              </w:rPr>
              <w:t>Klimata pasiltināšanās</w:t>
            </w:r>
          </w:p>
        </w:tc>
        <w:tc>
          <w:tcPr>
            <w:tcW w:w="3534" w:type="dxa"/>
          </w:tcPr>
          <w:p w14:paraId="6654C315" w14:textId="77777777" w:rsidR="009072CE" w:rsidRPr="00A07F29" w:rsidRDefault="009072CE" w:rsidP="009072CE">
            <w:pPr>
              <w:contextualSpacing/>
              <w:rPr>
                <w:rFonts w:ascii="Times New Roman" w:eastAsia="Times New Roman" w:hAnsi="Times New Roman" w:cs="Times New Roman"/>
                <w:color w:val="000000"/>
                <w:sz w:val="20"/>
                <w:szCs w:val="20"/>
              </w:rPr>
            </w:pPr>
            <w:r w:rsidRPr="00A07F29">
              <w:rPr>
                <w:rFonts w:ascii="Times New Roman" w:eastAsia="Times New Roman" w:hAnsi="Times New Roman" w:cs="Times New Roman"/>
                <w:color w:val="000000"/>
                <w:sz w:val="20"/>
                <w:szCs w:val="20"/>
              </w:rPr>
              <w:t xml:space="preserve">Samazinās </w:t>
            </w:r>
            <w:proofErr w:type="spellStart"/>
            <w:r w:rsidRPr="00A07F29">
              <w:rPr>
                <w:rFonts w:ascii="Times New Roman" w:eastAsia="Times New Roman" w:hAnsi="Times New Roman" w:cs="Times New Roman"/>
                <w:color w:val="000000"/>
                <w:sz w:val="20"/>
                <w:szCs w:val="20"/>
              </w:rPr>
              <w:t>herpetofaunas</w:t>
            </w:r>
            <w:proofErr w:type="spellEnd"/>
            <w:r w:rsidRPr="00A07F29">
              <w:rPr>
                <w:rFonts w:ascii="Times New Roman" w:eastAsia="Times New Roman" w:hAnsi="Times New Roman" w:cs="Times New Roman"/>
                <w:color w:val="000000"/>
                <w:sz w:val="20"/>
                <w:szCs w:val="20"/>
              </w:rPr>
              <w:t xml:space="preserve"> sugu mirstība hibernācijas periodā.</w:t>
            </w:r>
          </w:p>
          <w:p w14:paraId="5CCCE0BB" w14:textId="77777777" w:rsidR="009072CE" w:rsidRPr="00A07F29" w:rsidRDefault="009072CE" w:rsidP="009072CE">
            <w:pPr>
              <w:contextualSpacing/>
              <w:rPr>
                <w:rFonts w:ascii="Times New Roman" w:eastAsia="Times New Roman" w:hAnsi="Times New Roman" w:cs="Times New Roman"/>
                <w:color w:val="000000"/>
                <w:sz w:val="20"/>
                <w:szCs w:val="20"/>
              </w:rPr>
            </w:pPr>
            <w:r w:rsidRPr="00A07F29">
              <w:rPr>
                <w:rFonts w:ascii="Times New Roman" w:eastAsia="Times New Roman" w:hAnsi="Times New Roman" w:cs="Times New Roman"/>
                <w:color w:val="000000"/>
                <w:sz w:val="20"/>
                <w:szCs w:val="20"/>
              </w:rPr>
              <w:t xml:space="preserve">Dienvidu sugām veidojas labvēlīgi </w:t>
            </w:r>
            <w:proofErr w:type="spellStart"/>
            <w:r w:rsidRPr="00A07F29">
              <w:rPr>
                <w:rFonts w:ascii="Times New Roman" w:eastAsia="Times New Roman" w:hAnsi="Times New Roman" w:cs="Times New Roman"/>
                <w:color w:val="000000"/>
                <w:sz w:val="20"/>
                <w:szCs w:val="20"/>
              </w:rPr>
              <w:t>mikroklimatiskie</w:t>
            </w:r>
            <w:proofErr w:type="spellEnd"/>
            <w:r w:rsidRPr="00A07F29">
              <w:rPr>
                <w:rFonts w:ascii="Times New Roman" w:eastAsia="Times New Roman" w:hAnsi="Times New Roman" w:cs="Times New Roman"/>
                <w:color w:val="000000"/>
                <w:sz w:val="20"/>
                <w:szCs w:val="20"/>
              </w:rPr>
              <w:t xml:space="preserve"> apstākļi.</w:t>
            </w:r>
          </w:p>
          <w:p w14:paraId="3AD6598C" w14:textId="77777777" w:rsidR="009072CE" w:rsidRPr="00A07F29" w:rsidRDefault="009072CE" w:rsidP="009072CE">
            <w:pPr>
              <w:contextualSpacing/>
              <w:rPr>
                <w:rFonts w:ascii="Times New Roman" w:eastAsia="Times New Roman" w:hAnsi="Times New Roman" w:cs="Times New Roman"/>
                <w:color w:val="000000"/>
                <w:sz w:val="20"/>
                <w:szCs w:val="20"/>
              </w:rPr>
            </w:pPr>
          </w:p>
        </w:tc>
        <w:tc>
          <w:tcPr>
            <w:tcW w:w="3402" w:type="dxa"/>
          </w:tcPr>
          <w:p w14:paraId="4C36341D" w14:textId="77777777" w:rsidR="009072CE" w:rsidRPr="00A07F29" w:rsidRDefault="009072CE" w:rsidP="009072CE">
            <w:pPr>
              <w:contextualSpacing/>
              <w:rPr>
                <w:rFonts w:ascii="Times New Roman" w:eastAsia="Times New Roman" w:hAnsi="Times New Roman" w:cs="Times New Roman"/>
                <w:color w:val="000000"/>
                <w:sz w:val="20"/>
                <w:szCs w:val="20"/>
              </w:rPr>
            </w:pPr>
            <w:r w:rsidRPr="00A07F29">
              <w:rPr>
                <w:rFonts w:ascii="Times New Roman" w:eastAsia="Times New Roman" w:hAnsi="Times New Roman" w:cs="Times New Roman"/>
                <w:color w:val="000000"/>
                <w:sz w:val="20"/>
                <w:szCs w:val="20"/>
              </w:rPr>
              <w:t>Abinieku un rāpuļu biotopi ātrāk aizaug</w:t>
            </w:r>
            <w:r w:rsidRPr="00A07F29">
              <w:rPr>
                <w:rFonts w:ascii="Times New Roman" w:hAnsi="Times New Roman" w:cs="Times New Roman"/>
                <w:szCs w:val="20"/>
                <w:lang w:eastAsia="ar-SA"/>
              </w:rPr>
              <w:t xml:space="preserve"> </w:t>
            </w:r>
            <w:r w:rsidRPr="00A07F29">
              <w:rPr>
                <w:rFonts w:ascii="Times New Roman" w:eastAsia="Times New Roman" w:hAnsi="Times New Roman" w:cs="Times New Roman"/>
                <w:color w:val="000000"/>
                <w:sz w:val="20"/>
                <w:szCs w:val="20"/>
              </w:rPr>
              <w:t xml:space="preserve">dabiskās </w:t>
            </w:r>
            <w:proofErr w:type="spellStart"/>
            <w:r w:rsidRPr="00A07F29">
              <w:rPr>
                <w:rFonts w:ascii="Times New Roman" w:eastAsia="Times New Roman" w:hAnsi="Times New Roman" w:cs="Times New Roman"/>
                <w:color w:val="000000"/>
                <w:sz w:val="20"/>
                <w:szCs w:val="20"/>
              </w:rPr>
              <w:t>sukcesijas</w:t>
            </w:r>
            <w:proofErr w:type="spellEnd"/>
            <w:r w:rsidRPr="00A07F29">
              <w:rPr>
                <w:rFonts w:ascii="Times New Roman" w:eastAsia="Times New Roman" w:hAnsi="Times New Roman" w:cs="Times New Roman"/>
                <w:color w:val="000000"/>
                <w:sz w:val="20"/>
                <w:szCs w:val="20"/>
              </w:rPr>
              <w:t xml:space="preserve"> rezultātā, kļūst auksti un ēnaini, nepiemēroti sugām.</w:t>
            </w:r>
          </w:p>
          <w:p w14:paraId="567A17B9" w14:textId="77777777" w:rsidR="009072CE" w:rsidRPr="00A07F29" w:rsidRDefault="009072CE" w:rsidP="009072CE">
            <w:pPr>
              <w:contextualSpacing/>
              <w:rPr>
                <w:rFonts w:ascii="Times New Roman" w:eastAsia="Times New Roman" w:hAnsi="Times New Roman" w:cs="Times New Roman"/>
                <w:color w:val="000000"/>
                <w:sz w:val="20"/>
                <w:szCs w:val="20"/>
              </w:rPr>
            </w:pPr>
            <w:r w:rsidRPr="00A07F29">
              <w:rPr>
                <w:rFonts w:ascii="Times New Roman" w:eastAsia="Times New Roman" w:hAnsi="Times New Roman" w:cs="Times New Roman"/>
                <w:color w:val="000000"/>
                <w:sz w:val="20"/>
                <w:szCs w:val="20"/>
              </w:rPr>
              <w:t>Dīķos samazinās ūdens līmenis līdz izžūšanai.</w:t>
            </w:r>
          </w:p>
        </w:tc>
      </w:tr>
      <w:tr w:rsidR="009072CE" w:rsidRPr="00A07F29" w14:paraId="14884F21" w14:textId="77777777" w:rsidTr="00E06DC9">
        <w:trPr>
          <w:jc w:val="center"/>
        </w:trPr>
        <w:tc>
          <w:tcPr>
            <w:tcW w:w="9067" w:type="dxa"/>
            <w:gridSpan w:val="3"/>
            <w:shd w:val="clear" w:color="auto" w:fill="D6E3BC"/>
          </w:tcPr>
          <w:p w14:paraId="30C87048" w14:textId="77777777" w:rsidR="009072CE" w:rsidRPr="00A07F29" w:rsidRDefault="009072CE" w:rsidP="009072CE">
            <w:pPr>
              <w:contextualSpacing/>
              <w:rPr>
                <w:rFonts w:ascii="Times New Roman" w:eastAsia="Times New Roman" w:hAnsi="Times New Roman" w:cs="Times New Roman"/>
                <w:color w:val="000000"/>
                <w:sz w:val="20"/>
                <w:szCs w:val="20"/>
              </w:rPr>
            </w:pPr>
            <w:r w:rsidRPr="00A07F29">
              <w:rPr>
                <w:rFonts w:ascii="Times New Roman" w:eastAsia="Times New Roman" w:hAnsi="Times New Roman" w:cs="Times New Roman"/>
                <w:b/>
                <w:color w:val="000000"/>
                <w:sz w:val="20"/>
                <w:szCs w:val="20"/>
              </w:rPr>
              <w:t>Antropogēnie iekšējie faktori</w:t>
            </w:r>
          </w:p>
        </w:tc>
      </w:tr>
      <w:tr w:rsidR="009072CE" w:rsidRPr="00A07F29" w14:paraId="6292BA44" w14:textId="77777777" w:rsidTr="00E06DC9">
        <w:trPr>
          <w:jc w:val="center"/>
        </w:trPr>
        <w:tc>
          <w:tcPr>
            <w:tcW w:w="2131" w:type="dxa"/>
            <w:shd w:val="clear" w:color="auto" w:fill="EAF1DD"/>
          </w:tcPr>
          <w:p w14:paraId="4C5057B7" w14:textId="77777777" w:rsidR="009072CE" w:rsidRPr="00A07F29" w:rsidRDefault="009072CE" w:rsidP="009072CE">
            <w:pPr>
              <w:contextualSpacing/>
              <w:rPr>
                <w:rFonts w:ascii="Times New Roman" w:eastAsia="Times New Roman" w:hAnsi="Times New Roman" w:cs="Times New Roman"/>
                <w:color w:val="000000"/>
                <w:sz w:val="20"/>
                <w:szCs w:val="20"/>
              </w:rPr>
            </w:pPr>
            <w:r w:rsidRPr="00A07F29">
              <w:rPr>
                <w:rFonts w:ascii="Times New Roman" w:eastAsia="Times New Roman" w:hAnsi="Times New Roman" w:cs="Times New Roman"/>
                <w:color w:val="000000"/>
                <w:sz w:val="20"/>
                <w:szCs w:val="20"/>
              </w:rPr>
              <w:t>Mežu izciršanas darbi un meža un citu ceļu būvēšana</w:t>
            </w:r>
          </w:p>
        </w:tc>
        <w:tc>
          <w:tcPr>
            <w:tcW w:w="3534" w:type="dxa"/>
          </w:tcPr>
          <w:p w14:paraId="4141E032" w14:textId="5F388978" w:rsidR="009072CE" w:rsidRPr="00A07F29" w:rsidRDefault="009072CE" w:rsidP="009072CE">
            <w:pPr>
              <w:contextualSpacing/>
              <w:rPr>
                <w:rFonts w:ascii="Times New Roman" w:eastAsia="Times New Roman" w:hAnsi="Times New Roman" w:cs="Times New Roman"/>
                <w:color w:val="000000"/>
                <w:sz w:val="20"/>
                <w:szCs w:val="20"/>
              </w:rPr>
            </w:pPr>
            <w:r w:rsidRPr="00A07F29">
              <w:rPr>
                <w:rFonts w:ascii="Times New Roman" w:eastAsia="Times New Roman" w:hAnsi="Times New Roman" w:cs="Times New Roman"/>
                <w:color w:val="000000"/>
                <w:sz w:val="20"/>
                <w:szCs w:val="20"/>
              </w:rPr>
              <w:t>Izcirtumos veidojas atklāti un moza</w:t>
            </w:r>
            <w:r w:rsidR="00E06DC9" w:rsidRPr="00A07F29">
              <w:rPr>
                <w:rFonts w:ascii="Times New Roman" w:eastAsia="Times New Roman" w:hAnsi="Times New Roman" w:cs="Times New Roman"/>
                <w:color w:val="000000"/>
                <w:sz w:val="20"/>
                <w:szCs w:val="20"/>
              </w:rPr>
              <w:t>īkveida</w:t>
            </w:r>
            <w:r w:rsidRPr="00A07F29">
              <w:rPr>
                <w:rFonts w:ascii="Times New Roman" w:eastAsia="Times New Roman" w:hAnsi="Times New Roman" w:cs="Times New Roman"/>
                <w:color w:val="000000"/>
                <w:sz w:val="20"/>
                <w:szCs w:val="20"/>
              </w:rPr>
              <w:t xml:space="preserve"> biotopi, kas atbilst daudzu </w:t>
            </w:r>
            <w:proofErr w:type="spellStart"/>
            <w:r w:rsidRPr="00A07F29">
              <w:rPr>
                <w:rFonts w:ascii="Times New Roman" w:eastAsia="Times New Roman" w:hAnsi="Times New Roman" w:cs="Times New Roman"/>
                <w:color w:val="000000"/>
                <w:sz w:val="20"/>
                <w:szCs w:val="20"/>
              </w:rPr>
              <w:t>siltummīlošo</w:t>
            </w:r>
            <w:proofErr w:type="spellEnd"/>
            <w:r w:rsidRPr="00A07F29">
              <w:rPr>
                <w:rFonts w:ascii="Times New Roman" w:eastAsia="Times New Roman" w:hAnsi="Times New Roman" w:cs="Times New Roman"/>
                <w:color w:val="000000"/>
                <w:sz w:val="20"/>
                <w:szCs w:val="20"/>
              </w:rPr>
              <w:t xml:space="preserve"> rāpuļu un abinieku sugu vajadzībām.</w:t>
            </w:r>
          </w:p>
          <w:p w14:paraId="1742BA67" w14:textId="77777777" w:rsidR="009072CE" w:rsidRPr="00A07F29" w:rsidRDefault="009072CE" w:rsidP="009072CE">
            <w:pPr>
              <w:contextualSpacing/>
              <w:rPr>
                <w:rFonts w:ascii="Times New Roman" w:eastAsia="Times New Roman" w:hAnsi="Times New Roman" w:cs="Times New Roman"/>
                <w:color w:val="000000"/>
                <w:sz w:val="20"/>
                <w:szCs w:val="20"/>
              </w:rPr>
            </w:pPr>
            <w:r w:rsidRPr="00A07F29">
              <w:rPr>
                <w:rFonts w:ascii="Times New Roman" w:eastAsia="Times New Roman" w:hAnsi="Times New Roman" w:cs="Times New Roman"/>
                <w:color w:val="000000"/>
                <w:sz w:val="20"/>
                <w:szCs w:val="20"/>
              </w:rPr>
              <w:t xml:space="preserve">Meža ceļi kalpo kā </w:t>
            </w:r>
            <w:proofErr w:type="spellStart"/>
            <w:r w:rsidRPr="00A07F29">
              <w:rPr>
                <w:rFonts w:ascii="Times New Roman" w:eastAsia="Times New Roman" w:hAnsi="Times New Roman" w:cs="Times New Roman"/>
                <w:color w:val="000000"/>
                <w:sz w:val="20"/>
                <w:szCs w:val="20"/>
              </w:rPr>
              <w:t>siltummīlošo</w:t>
            </w:r>
            <w:proofErr w:type="spellEnd"/>
            <w:r w:rsidRPr="00A07F29">
              <w:rPr>
                <w:rFonts w:ascii="Times New Roman" w:eastAsia="Times New Roman" w:hAnsi="Times New Roman" w:cs="Times New Roman"/>
                <w:color w:val="000000"/>
                <w:sz w:val="20"/>
                <w:szCs w:val="20"/>
              </w:rPr>
              <w:t xml:space="preserve"> sugu izplatības koridori.</w:t>
            </w:r>
          </w:p>
          <w:p w14:paraId="75F5CBE5" w14:textId="77777777" w:rsidR="009072CE" w:rsidRPr="00A07F29" w:rsidRDefault="009072CE" w:rsidP="009072CE">
            <w:pPr>
              <w:contextualSpacing/>
              <w:rPr>
                <w:rFonts w:ascii="Times New Roman" w:eastAsia="Times New Roman" w:hAnsi="Times New Roman" w:cs="Times New Roman"/>
                <w:color w:val="000000"/>
                <w:sz w:val="20"/>
                <w:szCs w:val="20"/>
              </w:rPr>
            </w:pPr>
            <w:r w:rsidRPr="00A07F29">
              <w:rPr>
                <w:rFonts w:ascii="Times New Roman" w:eastAsia="Times New Roman" w:hAnsi="Times New Roman" w:cs="Times New Roman"/>
                <w:color w:val="000000"/>
                <w:sz w:val="20"/>
                <w:szCs w:val="20"/>
              </w:rPr>
              <w:t xml:space="preserve">Ceļa grāvji kalpo par </w:t>
            </w:r>
            <w:proofErr w:type="spellStart"/>
            <w:r w:rsidRPr="00A07F29">
              <w:rPr>
                <w:rFonts w:ascii="Times New Roman" w:eastAsia="Times New Roman" w:hAnsi="Times New Roman" w:cs="Times New Roman"/>
                <w:color w:val="000000"/>
                <w:sz w:val="20"/>
                <w:szCs w:val="20"/>
              </w:rPr>
              <w:t>pieceļa</w:t>
            </w:r>
            <w:proofErr w:type="spellEnd"/>
            <w:r w:rsidRPr="00A07F29">
              <w:rPr>
                <w:rFonts w:ascii="Times New Roman" w:eastAsia="Times New Roman" w:hAnsi="Times New Roman" w:cs="Times New Roman"/>
                <w:color w:val="000000"/>
                <w:sz w:val="20"/>
                <w:szCs w:val="20"/>
              </w:rPr>
              <w:t xml:space="preserve"> ūdenstilpēm un abinieku izplatīšanās koridoriem. </w:t>
            </w:r>
          </w:p>
        </w:tc>
        <w:tc>
          <w:tcPr>
            <w:tcW w:w="3402" w:type="dxa"/>
          </w:tcPr>
          <w:p w14:paraId="719BFF28" w14:textId="484B176E" w:rsidR="009072CE" w:rsidRPr="00A07F29" w:rsidRDefault="00CC3A19" w:rsidP="009072CE">
            <w:pPr>
              <w:contextualSpacing/>
              <w:rPr>
                <w:rFonts w:ascii="Times New Roman" w:eastAsia="Times New Roman" w:hAnsi="Times New Roman" w:cs="Times New Roman"/>
                <w:color w:val="000000"/>
                <w:sz w:val="20"/>
                <w:szCs w:val="20"/>
              </w:rPr>
            </w:pPr>
            <w:r w:rsidRPr="00A07F29">
              <w:rPr>
                <w:rFonts w:ascii="Times New Roman" w:eastAsia="Times New Roman" w:hAnsi="Times New Roman" w:cs="Times New Roman"/>
                <w:color w:val="000000"/>
                <w:sz w:val="20"/>
                <w:szCs w:val="20"/>
              </w:rPr>
              <w:t>Mežizstrādes u.c. apmeklējumu</w:t>
            </w:r>
            <w:r w:rsidR="009072CE" w:rsidRPr="00A07F29">
              <w:rPr>
                <w:rFonts w:ascii="Times New Roman" w:eastAsia="Times New Roman" w:hAnsi="Times New Roman" w:cs="Times New Roman"/>
                <w:color w:val="000000"/>
                <w:sz w:val="20"/>
                <w:szCs w:val="20"/>
              </w:rPr>
              <w:t xml:space="preserve"> laikā meži tiek piesārņoti ar strādnieku un braucēju organiskajiem un sadzīves atkritumiem (stikla un plastikāta pudeles, plastikāts), kas arī var būt iemesls dzīvnieku traumēšanai</w:t>
            </w:r>
            <w:r w:rsidR="001057F0">
              <w:rPr>
                <w:rFonts w:ascii="Times New Roman" w:eastAsia="Times New Roman" w:hAnsi="Times New Roman" w:cs="Times New Roman"/>
                <w:color w:val="000000"/>
                <w:sz w:val="20"/>
                <w:szCs w:val="20"/>
              </w:rPr>
              <w:t>,</w:t>
            </w:r>
            <w:r w:rsidR="009072CE" w:rsidRPr="00A07F29">
              <w:rPr>
                <w:rFonts w:ascii="Times New Roman" w:eastAsia="Times New Roman" w:hAnsi="Times New Roman" w:cs="Times New Roman"/>
                <w:color w:val="000000"/>
                <w:sz w:val="20"/>
                <w:szCs w:val="20"/>
              </w:rPr>
              <w:t xml:space="preserve"> un meža un kūlas ugunsgrēkiem.</w:t>
            </w:r>
          </w:p>
          <w:p w14:paraId="0898A230" w14:textId="77777777" w:rsidR="009072CE" w:rsidRPr="00A07F29" w:rsidRDefault="009072CE" w:rsidP="009072CE">
            <w:pPr>
              <w:contextualSpacing/>
              <w:rPr>
                <w:rFonts w:ascii="Times New Roman" w:eastAsia="Times New Roman" w:hAnsi="Times New Roman" w:cs="Times New Roman"/>
                <w:color w:val="000000"/>
                <w:sz w:val="20"/>
                <w:szCs w:val="20"/>
              </w:rPr>
            </w:pPr>
            <w:r w:rsidRPr="00A07F29">
              <w:rPr>
                <w:rFonts w:ascii="Times New Roman" w:eastAsia="Times New Roman" w:hAnsi="Times New Roman" w:cs="Times New Roman"/>
                <w:color w:val="000000"/>
                <w:sz w:val="20"/>
                <w:szCs w:val="20"/>
              </w:rPr>
              <w:t>Dzīvnieki iet bojā uz ceļiem.</w:t>
            </w:r>
          </w:p>
        </w:tc>
      </w:tr>
      <w:tr w:rsidR="009072CE" w:rsidRPr="00A07F29" w14:paraId="07B25784" w14:textId="77777777" w:rsidTr="00E06DC9">
        <w:trPr>
          <w:jc w:val="center"/>
        </w:trPr>
        <w:tc>
          <w:tcPr>
            <w:tcW w:w="2131" w:type="dxa"/>
            <w:shd w:val="clear" w:color="auto" w:fill="EAF1DD"/>
          </w:tcPr>
          <w:p w14:paraId="3200B0B3" w14:textId="77777777" w:rsidR="009072CE" w:rsidRPr="00A07F29" w:rsidRDefault="009072CE" w:rsidP="009072CE">
            <w:pPr>
              <w:contextualSpacing/>
              <w:rPr>
                <w:rFonts w:ascii="Times New Roman" w:eastAsia="Times New Roman" w:hAnsi="Times New Roman" w:cs="Times New Roman"/>
                <w:color w:val="000000"/>
                <w:sz w:val="20"/>
                <w:szCs w:val="20"/>
              </w:rPr>
            </w:pPr>
            <w:r w:rsidRPr="00A07F29">
              <w:rPr>
                <w:rFonts w:ascii="Times New Roman" w:eastAsia="Times New Roman" w:hAnsi="Times New Roman" w:cs="Times New Roman"/>
                <w:color w:val="000000"/>
                <w:sz w:val="20"/>
                <w:szCs w:val="20"/>
              </w:rPr>
              <w:t>Lauksaimniecība</w:t>
            </w:r>
          </w:p>
        </w:tc>
        <w:tc>
          <w:tcPr>
            <w:tcW w:w="3534" w:type="dxa"/>
          </w:tcPr>
          <w:p w14:paraId="5F878F61" w14:textId="77777777" w:rsidR="009072CE" w:rsidRPr="00A07F29" w:rsidRDefault="009072CE" w:rsidP="009072CE">
            <w:pPr>
              <w:contextualSpacing/>
              <w:rPr>
                <w:rFonts w:ascii="Times New Roman" w:eastAsia="Times New Roman" w:hAnsi="Times New Roman" w:cs="Times New Roman"/>
                <w:color w:val="000000"/>
                <w:sz w:val="20"/>
                <w:szCs w:val="20"/>
              </w:rPr>
            </w:pPr>
            <w:r w:rsidRPr="00A07F29">
              <w:rPr>
                <w:rFonts w:ascii="Times New Roman" w:eastAsia="Times New Roman" w:hAnsi="Times New Roman" w:cs="Times New Roman"/>
                <w:color w:val="000000"/>
                <w:sz w:val="20"/>
                <w:szCs w:val="20"/>
              </w:rPr>
              <w:t>Samazinās biotopu aizaugšanas tempi un tiek uzturētas sugām nepieciešamās atklātās un daļēji atklātās teritorijās.</w:t>
            </w:r>
          </w:p>
        </w:tc>
        <w:tc>
          <w:tcPr>
            <w:tcW w:w="3402" w:type="dxa"/>
          </w:tcPr>
          <w:p w14:paraId="6E945999" w14:textId="77777777" w:rsidR="009072CE" w:rsidRPr="00A07F29" w:rsidRDefault="009072CE" w:rsidP="009072CE">
            <w:pPr>
              <w:contextualSpacing/>
              <w:rPr>
                <w:rFonts w:ascii="Times New Roman" w:eastAsia="Times New Roman" w:hAnsi="Times New Roman" w:cs="Times New Roman"/>
                <w:color w:val="000000"/>
                <w:sz w:val="20"/>
                <w:szCs w:val="20"/>
              </w:rPr>
            </w:pPr>
            <w:r w:rsidRPr="00A07F29">
              <w:rPr>
                <w:rFonts w:ascii="Times New Roman" w:eastAsia="Times New Roman" w:hAnsi="Times New Roman" w:cs="Times New Roman"/>
                <w:color w:val="000000"/>
                <w:sz w:val="20"/>
                <w:szCs w:val="20"/>
              </w:rPr>
              <w:t>Mēslojuma izmantošana var kaitēt sugām, biotopi ātrāk aizaug.</w:t>
            </w:r>
          </w:p>
          <w:p w14:paraId="4C3E28DC" w14:textId="77777777" w:rsidR="009072CE" w:rsidRPr="00A07F29" w:rsidRDefault="009072CE" w:rsidP="009072CE">
            <w:pPr>
              <w:contextualSpacing/>
              <w:rPr>
                <w:rFonts w:ascii="Times New Roman" w:eastAsia="Times New Roman" w:hAnsi="Times New Roman" w:cs="Times New Roman"/>
                <w:color w:val="000000"/>
                <w:sz w:val="20"/>
                <w:szCs w:val="20"/>
              </w:rPr>
            </w:pPr>
          </w:p>
        </w:tc>
      </w:tr>
      <w:tr w:rsidR="009072CE" w:rsidRPr="00A07F29" w14:paraId="00F26B58" w14:textId="77777777" w:rsidTr="00E06DC9">
        <w:trPr>
          <w:jc w:val="center"/>
        </w:trPr>
        <w:tc>
          <w:tcPr>
            <w:tcW w:w="2131" w:type="dxa"/>
            <w:shd w:val="clear" w:color="auto" w:fill="EAF1DD"/>
          </w:tcPr>
          <w:p w14:paraId="5FD42364" w14:textId="77777777" w:rsidR="009072CE" w:rsidRPr="00A07F29" w:rsidRDefault="009072CE" w:rsidP="009072CE">
            <w:pPr>
              <w:contextualSpacing/>
              <w:rPr>
                <w:rFonts w:ascii="Times New Roman" w:eastAsia="Times New Roman" w:hAnsi="Times New Roman" w:cs="Times New Roman"/>
                <w:color w:val="000000"/>
                <w:sz w:val="20"/>
                <w:szCs w:val="20"/>
              </w:rPr>
            </w:pPr>
            <w:r w:rsidRPr="00A07F29">
              <w:rPr>
                <w:rFonts w:ascii="Times New Roman" w:eastAsia="Times New Roman" w:hAnsi="Times New Roman" w:cs="Times New Roman"/>
                <w:color w:val="000000"/>
                <w:sz w:val="20"/>
                <w:szCs w:val="20"/>
              </w:rPr>
              <w:t>Meliorācija</w:t>
            </w:r>
          </w:p>
        </w:tc>
        <w:tc>
          <w:tcPr>
            <w:tcW w:w="3534" w:type="dxa"/>
          </w:tcPr>
          <w:p w14:paraId="685E9542" w14:textId="77777777" w:rsidR="009072CE" w:rsidRPr="00A07F29" w:rsidRDefault="009072CE" w:rsidP="009072CE">
            <w:pPr>
              <w:contextualSpacing/>
              <w:rPr>
                <w:rFonts w:ascii="Times New Roman" w:eastAsia="Times New Roman" w:hAnsi="Times New Roman" w:cs="Times New Roman"/>
                <w:color w:val="000000"/>
                <w:sz w:val="20"/>
                <w:szCs w:val="20"/>
              </w:rPr>
            </w:pPr>
            <w:r w:rsidRPr="00A07F29">
              <w:rPr>
                <w:rFonts w:ascii="Times New Roman" w:eastAsia="Times New Roman" w:hAnsi="Times New Roman" w:cs="Times New Roman"/>
                <w:color w:val="000000"/>
                <w:sz w:val="20"/>
                <w:szCs w:val="20"/>
              </w:rPr>
              <w:t xml:space="preserve">Var palielināties sauso biotopu platības, kas atbilst </w:t>
            </w:r>
            <w:proofErr w:type="spellStart"/>
            <w:r w:rsidRPr="00A07F29">
              <w:rPr>
                <w:rFonts w:ascii="Times New Roman" w:eastAsia="Times New Roman" w:hAnsi="Times New Roman" w:cs="Times New Roman"/>
                <w:color w:val="000000"/>
                <w:sz w:val="20"/>
                <w:szCs w:val="20"/>
              </w:rPr>
              <w:t>siltummīlošo</w:t>
            </w:r>
            <w:proofErr w:type="spellEnd"/>
            <w:r w:rsidRPr="00A07F29">
              <w:rPr>
                <w:rFonts w:ascii="Times New Roman" w:eastAsia="Times New Roman" w:hAnsi="Times New Roman" w:cs="Times New Roman"/>
                <w:color w:val="000000"/>
                <w:sz w:val="20"/>
                <w:szCs w:val="20"/>
              </w:rPr>
              <w:t xml:space="preserve"> sugu prasībām. </w:t>
            </w:r>
          </w:p>
        </w:tc>
        <w:tc>
          <w:tcPr>
            <w:tcW w:w="3402" w:type="dxa"/>
          </w:tcPr>
          <w:p w14:paraId="0F90EE54" w14:textId="77777777" w:rsidR="009072CE" w:rsidRPr="00A07F29" w:rsidRDefault="009072CE" w:rsidP="009072CE">
            <w:pPr>
              <w:contextualSpacing/>
              <w:rPr>
                <w:rFonts w:ascii="Times New Roman" w:eastAsia="Times New Roman" w:hAnsi="Times New Roman" w:cs="Times New Roman"/>
                <w:color w:val="000000"/>
                <w:sz w:val="20"/>
                <w:szCs w:val="20"/>
              </w:rPr>
            </w:pPr>
            <w:r w:rsidRPr="00A07F29">
              <w:rPr>
                <w:rFonts w:ascii="Times New Roman" w:eastAsia="Times New Roman" w:hAnsi="Times New Roman" w:cs="Times New Roman"/>
                <w:color w:val="000000"/>
                <w:sz w:val="20"/>
                <w:szCs w:val="20"/>
              </w:rPr>
              <w:t>Izžūst mitraines un nelielas ūdenstilpes.</w:t>
            </w:r>
          </w:p>
          <w:p w14:paraId="4613CED4" w14:textId="77777777" w:rsidR="009072CE" w:rsidRPr="00A07F29" w:rsidRDefault="009072CE" w:rsidP="009072CE">
            <w:pPr>
              <w:contextualSpacing/>
              <w:rPr>
                <w:rFonts w:ascii="Times New Roman" w:eastAsia="Times New Roman" w:hAnsi="Times New Roman" w:cs="Times New Roman"/>
                <w:color w:val="000000"/>
                <w:sz w:val="20"/>
                <w:szCs w:val="20"/>
              </w:rPr>
            </w:pPr>
            <w:r w:rsidRPr="00A07F29">
              <w:rPr>
                <w:rFonts w:ascii="Times New Roman" w:eastAsia="Times New Roman" w:hAnsi="Times New Roman" w:cs="Times New Roman"/>
                <w:color w:val="000000"/>
                <w:sz w:val="20"/>
                <w:szCs w:val="20"/>
              </w:rPr>
              <w:t>Dīķos samazinās ūdens līmenis līdz izžūšanai.</w:t>
            </w:r>
          </w:p>
        </w:tc>
      </w:tr>
      <w:tr w:rsidR="009072CE" w:rsidRPr="00A07F29" w14:paraId="3F1D79CC" w14:textId="77777777" w:rsidTr="00E06DC9">
        <w:trPr>
          <w:jc w:val="center"/>
        </w:trPr>
        <w:tc>
          <w:tcPr>
            <w:tcW w:w="2131" w:type="dxa"/>
            <w:shd w:val="clear" w:color="auto" w:fill="EAF1DD"/>
          </w:tcPr>
          <w:p w14:paraId="6F0CB7A7" w14:textId="77777777" w:rsidR="009072CE" w:rsidRPr="00A07F29" w:rsidRDefault="009072CE" w:rsidP="009072CE">
            <w:pPr>
              <w:contextualSpacing/>
              <w:rPr>
                <w:rFonts w:ascii="Times New Roman" w:eastAsia="Times New Roman" w:hAnsi="Times New Roman" w:cs="Times New Roman"/>
                <w:color w:val="000000"/>
                <w:sz w:val="20"/>
                <w:szCs w:val="20"/>
              </w:rPr>
            </w:pPr>
            <w:r w:rsidRPr="00A07F29">
              <w:rPr>
                <w:rFonts w:ascii="Times New Roman" w:eastAsia="Times New Roman" w:hAnsi="Times New Roman" w:cs="Times New Roman"/>
                <w:color w:val="000000"/>
                <w:sz w:val="20"/>
                <w:szCs w:val="20"/>
              </w:rPr>
              <w:lastRenderedPageBreak/>
              <w:t>Jauno sugu introdukcija</w:t>
            </w:r>
          </w:p>
        </w:tc>
        <w:tc>
          <w:tcPr>
            <w:tcW w:w="3534" w:type="dxa"/>
          </w:tcPr>
          <w:p w14:paraId="55EE73B6" w14:textId="1D5FF1DD" w:rsidR="009072CE" w:rsidRPr="00A07F29" w:rsidRDefault="009072CE" w:rsidP="009072CE">
            <w:pPr>
              <w:contextualSpacing/>
              <w:rPr>
                <w:rFonts w:ascii="Times New Roman" w:eastAsia="Times New Roman" w:hAnsi="Times New Roman" w:cs="Times New Roman"/>
                <w:color w:val="000000"/>
                <w:sz w:val="20"/>
                <w:szCs w:val="20"/>
              </w:rPr>
            </w:pPr>
            <w:r w:rsidRPr="00A07F29">
              <w:rPr>
                <w:rFonts w:ascii="Times New Roman" w:eastAsia="Times New Roman" w:hAnsi="Times New Roman" w:cs="Times New Roman"/>
                <w:color w:val="000000"/>
                <w:sz w:val="20"/>
                <w:szCs w:val="20"/>
              </w:rPr>
              <w:t>Introducēt</w:t>
            </w:r>
            <w:r w:rsidR="008F716C" w:rsidRPr="00A07F29">
              <w:rPr>
                <w:rFonts w:ascii="Times New Roman" w:eastAsia="Times New Roman" w:hAnsi="Times New Roman" w:cs="Times New Roman"/>
                <w:color w:val="000000"/>
                <w:sz w:val="20"/>
                <w:szCs w:val="20"/>
              </w:rPr>
              <w:t>ai</w:t>
            </w:r>
            <w:r w:rsidRPr="00A07F29">
              <w:rPr>
                <w:rFonts w:ascii="Times New Roman" w:eastAsia="Times New Roman" w:hAnsi="Times New Roman" w:cs="Times New Roman"/>
                <w:color w:val="000000"/>
                <w:sz w:val="20"/>
                <w:szCs w:val="20"/>
              </w:rPr>
              <w:t xml:space="preserve">s </w:t>
            </w:r>
            <w:proofErr w:type="spellStart"/>
            <w:r w:rsidRPr="00A07F29">
              <w:rPr>
                <w:rFonts w:ascii="Times New Roman" w:eastAsia="Times New Roman" w:hAnsi="Times New Roman" w:cs="Times New Roman"/>
                <w:color w:val="000000"/>
                <w:sz w:val="20"/>
                <w:szCs w:val="20"/>
              </w:rPr>
              <w:t>rotans</w:t>
            </w:r>
            <w:proofErr w:type="spellEnd"/>
            <w:r w:rsidRPr="00A07F29">
              <w:rPr>
                <w:rFonts w:ascii="Times New Roman" w:eastAsia="Times New Roman" w:hAnsi="Times New Roman" w:cs="Times New Roman"/>
                <w:color w:val="000000"/>
                <w:sz w:val="20"/>
                <w:szCs w:val="20"/>
              </w:rPr>
              <w:t xml:space="preserve"> var kalpot par papildus barības resursu zalkšiem un ūdens abiniekiem (</w:t>
            </w:r>
            <w:proofErr w:type="spellStart"/>
            <w:r w:rsidRPr="00A07F29">
              <w:rPr>
                <w:rFonts w:ascii="Times New Roman" w:eastAsia="Times New Roman" w:hAnsi="Times New Roman" w:cs="Times New Roman"/>
                <w:color w:val="000000"/>
                <w:sz w:val="20"/>
                <w:szCs w:val="20"/>
              </w:rPr>
              <w:t>rotana</w:t>
            </w:r>
            <w:proofErr w:type="spellEnd"/>
            <w:r w:rsidRPr="00A07F29">
              <w:rPr>
                <w:rFonts w:ascii="Times New Roman" w:eastAsia="Times New Roman" w:hAnsi="Times New Roman" w:cs="Times New Roman"/>
                <w:color w:val="000000"/>
                <w:sz w:val="20"/>
                <w:szCs w:val="20"/>
              </w:rPr>
              <w:t xml:space="preserve"> mazuļi) (</w:t>
            </w:r>
            <w:proofErr w:type="spellStart"/>
            <w:r w:rsidRPr="00A07F29">
              <w:rPr>
                <w:rFonts w:ascii="Times New Roman" w:eastAsia="Times New Roman" w:hAnsi="Times New Roman" w:cs="Times New Roman"/>
                <w:color w:val="000000"/>
                <w:sz w:val="20"/>
                <w:szCs w:val="20"/>
              </w:rPr>
              <w:t>Pupins</w:t>
            </w:r>
            <w:proofErr w:type="spellEnd"/>
            <w:r w:rsidR="000264F3">
              <w:rPr>
                <w:rFonts w:ascii="Times New Roman" w:eastAsia="Times New Roman" w:hAnsi="Times New Roman" w:cs="Times New Roman"/>
                <w:color w:val="000000"/>
                <w:sz w:val="20"/>
                <w:szCs w:val="20"/>
              </w:rPr>
              <w:t xml:space="preserve"> M.</w:t>
            </w:r>
            <w:r w:rsidRPr="00A07F29">
              <w:rPr>
                <w:rFonts w:ascii="Times New Roman" w:eastAsia="Times New Roman" w:hAnsi="Times New Roman" w:cs="Times New Roman"/>
                <w:color w:val="000000"/>
                <w:sz w:val="20"/>
                <w:szCs w:val="20"/>
              </w:rPr>
              <w:t xml:space="preserve">, </w:t>
            </w:r>
            <w:proofErr w:type="spellStart"/>
            <w:r w:rsidRPr="00A07F29">
              <w:rPr>
                <w:rFonts w:ascii="Times New Roman" w:eastAsia="Times New Roman" w:hAnsi="Times New Roman" w:cs="Times New Roman"/>
                <w:color w:val="000000"/>
                <w:sz w:val="20"/>
                <w:szCs w:val="20"/>
              </w:rPr>
              <w:t>Pupina</w:t>
            </w:r>
            <w:proofErr w:type="spellEnd"/>
            <w:r w:rsidR="000264F3">
              <w:rPr>
                <w:rFonts w:ascii="Times New Roman" w:eastAsia="Times New Roman" w:hAnsi="Times New Roman" w:cs="Times New Roman"/>
                <w:color w:val="000000"/>
                <w:sz w:val="20"/>
                <w:szCs w:val="20"/>
              </w:rPr>
              <w:t xml:space="preserve"> A.,</w:t>
            </w:r>
            <w:r w:rsidRPr="00A07F29">
              <w:rPr>
                <w:rFonts w:ascii="Times New Roman" w:eastAsia="Times New Roman" w:hAnsi="Times New Roman" w:cs="Times New Roman"/>
                <w:color w:val="000000"/>
                <w:sz w:val="20"/>
                <w:szCs w:val="20"/>
              </w:rPr>
              <w:t xml:space="preserve"> 2018).</w:t>
            </w:r>
          </w:p>
        </w:tc>
        <w:tc>
          <w:tcPr>
            <w:tcW w:w="3402" w:type="dxa"/>
          </w:tcPr>
          <w:p w14:paraId="37D9DDAA" w14:textId="04C9632F" w:rsidR="009072CE" w:rsidRPr="00A07F29" w:rsidRDefault="009072CE" w:rsidP="009072CE">
            <w:pPr>
              <w:contextualSpacing/>
              <w:rPr>
                <w:rFonts w:ascii="Times New Roman" w:eastAsia="Times New Roman" w:hAnsi="Times New Roman" w:cs="Times New Roman"/>
                <w:color w:val="000000"/>
                <w:sz w:val="20"/>
                <w:szCs w:val="20"/>
              </w:rPr>
            </w:pPr>
            <w:r w:rsidRPr="00A07F29">
              <w:rPr>
                <w:rFonts w:ascii="Times New Roman" w:eastAsia="Times New Roman" w:hAnsi="Times New Roman" w:cs="Times New Roman"/>
                <w:color w:val="000000"/>
                <w:sz w:val="20"/>
                <w:szCs w:val="20"/>
              </w:rPr>
              <w:t>Introducēt</w:t>
            </w:r>
            <w:r w:rsidR="008F716C" w:rsidRPr="00A07F29">
              <w:rPr>
                <w:rFonts w:ascii="Times New Roman" w:eastAsia="Times New Roman" w:hAnsi="Times New Roman" w:cs="Times New Roman"/>
                <w:color w:val="000000"/>
                <w:sz w:val="20"/>
                <w:szCs w:val="20"/>
              </w:rPr>
              <w:t>ai</w:t>
            </w:r>
            <w:r w:rsidRPr="00A07F29">
              <w:rPr>
                <w:rFonts w:ascii="Times New Roman" w:eastAsia="Times New Roman" w:hAnsi="Times New Roman" w:cs="Times New Roman"/>
                <w:color w:val="000000"/>
                <w:sz w:val="20"/>
                <w:szCs w:val="20"/>
              </w:rPr>
              <w:t xml:space="preserve">s </w:t>
            </w:r>
            <w:proofErr w:type="spellStart"/>
            <w:r w:rsidRPr="00A07F29">
              <w:rPr>
                <w:rFonts w:ascii="Times New Roman" w:eastAsia="Times New Roman" w:hAnsi="Times New Roman" w:cs="Times New Roman"/>
                <w:color w:val="000000"/>
                <w:sz w:val="20"/>
                <w:szCs w:val="20"/>
              </w:rPr>
              <w:t>rotans</w:t>
            </w:r>
            <w:proofErr w:type="spellEnd"/>
            <w:r w:rsidRPr="00A07F29">
              <w:rPr>
                <w:rFonts w:ascii="Times New Roman" w:eastAsia="Times New Roman" w:hAnsi="Times New Roman" w:cs="Times New Roman"/>
                <w:color w:val="000000"/>
                <w:sz w:val="20"/>
                <w:szCs w:val="20"/>
              </w:rPr>
              <w:t xml:space="preserve"> apdraud abiniekus k</w:t>
            </w:r>
            <w:r w:rsidR="00AA5F5F">
              <w:rPr>
                <w:rFonts w:ascii="Times New Roman" w:eastAsia="Times New Roman" w:hAnsi="Times New Roman" w:cs="Times New Roman"/>
                <w:color w:val="000000"/>
                <w:sz w:val="20"/>
                <w:szCs w:val="20"/>
              </w:rPr>
              <w:t>ā</w:t>
            </w:r>
            <w:r w:rsidRPr="00A07F29">
              <w:rPr>
                <w:rFonts w:ascii="Times New Roman" w:eastAsia="Times New Roman" w:hAnsi="Times New Roman" w:cs="Times New Roman"/>
                <w:color w:val="000000"/>
                <w:sz w:val="20"/>
                <w:szCs w:val="20"/>
              </w:rPr>
              <w:t xml:space="preserve"> plēsējs un zalkšus k</w:t>
            </w:r>
            <w:r w:rsidR="008F716C" w:rsidRPr="00A07F29">
              <w:rPr>
                <w:rFonts w:ascii="Times New Roman" w:eastAsia="Times New Roman" w:hAnsi="Times New Roman" w:cs="Times New Roman"/>
                <w:color w:val="000000"/>
                <w:sz w:val="20"/>
                <w:szCs w:val="20"/>
              </w:rPr>
              <w:t>ā</w:t>
            </w:r>
            <w:r w:rsidRPr="00A07F29">
              <w:rPr>
                <w:rFonts w:ascii="Times New Roman" w:eastAsia="Times New Roman" w:hAnsi="Times New Roman" w:cs="Times New Roman"/>
                <w:color w:val="000000"/>
                <w:sz w:val="20"/>
                <w:szCs w:val="20"/>
              </w:rPr>
              <w:t xml:space="preserve"> </w:t>
            </w:r>
            <w:r w:rsidR="00CC3A19" w:rsidRPr="00A07F29">
              <w:rPr>
                <w:rFonts w:ascii="Times New Roman" w:eastAsia="Times New Roman" w:hAnsi="Times New Roman" w:cs="Times New Roman"/>
                <w:color w:val="000000"/>
                <w:sz w:val="20"/>
                <w:szCs w:val="20"/>
              </w:rPr>
              <w:t xml:space="preserve">jaunu </w:t>
            </w:r>
            <w:r w:rsidRPr="00A07F29">
              <w:rPr>
                <w:rFonts w:ascii="Times New Roman" w:eastAsia="Times New Roman" w:hAnsi="Times New Roman" w:cs="Times New Roman"/>
                <w:color w:val="000000"/>
                <w:sz w:val="20"/>
                <w:szCs w:val="20"/>
              </w:rPr>
              <w:t xml:space="preserve">parazītu </w:t>
            </w:r>
            <w:r w:rsidR="00CC3A19" w:rsidRPr="00A07F29">
              <w:rPr>
                <w:rFonts w:ascii="Times New Roman" w:eastAsia="Times New Roman" w:hAnsi="Times New Roman" w:cs="Times New Roman"/>
                <w:color w:val="000000"/>
                <w:sz w:val="20"/>
                <w:szCs w:val="20"/>
              </w:rPr>
              <w:t>pārnēsātājs</w:t>
            </w:r>
            <w:r w:rsidRPr="00A07F29">
              <w:rPr>
                <w:rFonts w:ascii="Times New Roman" w:eastAsia="Times New Roman" w:hAnsi="Times New Roman" w:cs="Times New Roman"/>
                <w:color w:val="000000"/>
                <w:sz w:val="20"/>
                <w:szCs w:val="20"/>
              </w:rPr>
              <w:t>.</w:t>
            </w:r>
          </w:p>
          <w:p w14:paraId="3C19A6B6" w14:textId="3F266982" w:rsidR="009072CE" w:rsidRPr="00A07F29" w:rsidRDefault="009072CE" w:rsidP="009072CE">
            <w:pPr>
              <w:contextualSpacing/>
              <w:rPr>
                <w:rFonts w:ascii="Times New Roman" w:eastAsia="Times New Roman" w:hAnsi="Times New Roman" w:cs="Times New Roman"/>
                <w:color w:val="000000"/>
                <w:sz w:val="20"/>
                <w:szCs w:val="20"/>
              </w:rPr>
            </w:pPr>
            <w:r w:rsidRPr="00A07F29">
              <w:rPr>
                <w:rFonts w:ascii="Times New Roman" w:eastAsia="Times New Roman" w:hAnsi="Times New Roman" w:cs="Times New Roman"/>
                <w:color w:val="000000"/>
                <w:sz w:val="20"/>
                <w:szCs w:val="20"/>
              </w:rPr>
              <w:t xml:space="preserve">Introducētie jenotsuns un Amerikas ūdele ir efektīvi </w:t>
            </w:r>
            <w:proofErr w:type="spellStart"/>
            <w:r w:rsidRPr="00A07F29">
              <w:rPr>
                <w:rFonts w:ascii="Times New Roman" w:eastAsia="Times New Roman" w:hAnsi="Times New Roman" w:cs="Times New Roman"/>
                <w:color w:val="000000"/>
                <w:sz w:val="20"/>
                <w:szCs w:val="20"/>
              </w:rPr>
              <w:t>herpetof</w:t>
            </w:r>
            <w:r w:rsidR="008F716C" w:rsidRPr="00A07F29">
              <w:rPr>
                <w:rFonts w:ascii="Times New Roman" w:eastAsia="Times New Roman" w:hAnsi="Times New Roman" w:cs="Times New Roman"/>
                <w:color w:val="000000"/>
                <w:sz w:val="20"/>
                <w:szCs w:val="20"/>
              </w:rPr>
              <w:t>ā</w:t>
            </w:r>
            <w:r w:rsidRPr="00A07F29">
              <w:rPr>
                <w:rFonts w:ascii="Times New Roman" w:eastAsia="Times New Roman" w:hAnsi="Times New Roman" w:cs="Times New Roman"/>
                <w:color w:val="000000"/>
                <w:sz w:val="20"/>
                <w:szCs w:val="20"/>
              </w:rPr>
              <w:t>gi</w:t>
            </w:r>
            <w:proofErr w:type="spellEnd"/>
            <w:r w:rsidRPr="00A07F29">
              <w:rPr>
                <w:rFonts w:ascii="Times New Roman" w:eastAsia="Times New Roman" w:hAnsi="Times New Roman" w:cs="Times New Roman"/>
                <w:color w:val="000000"/>
                <w:sz w:val="20"/>
                <w:szCs w:val="20"/>
              </w:rPr>
              <w:t>.</w:t>
            </w:r>
          </w:p>
        </w:tc>
      </w:tr>
      <w:tr w:rsidR="009072CE" w:rsidRPr="00A07F29" w14:paraId="005E1DF7" w14:textId="77777777" w:rsidTr="00E06DC9">
        <w:trPr>
          <w:jc w:val="center"/>
        </w:trPr>
        <w:tc>
          <w:tcPr>
            <w:tcW w:w="9067" w:type="dxa"/>
            <w:gridSpan w:val="3"/>
            <w:shd w:val="clear" w:color="auto" w:fill="D6E3BC"/>
          </w:tcPr>
          <w:p w14:paraId="68D64D3D" w14:textId="77777777" w:rsidR="009072CE" w:rsidRPr="00A07F29" w:rsidRDefault="009072CE" w:rsidP="009072CE">
            <w:pPr>
              <w:contextualSpacing/>
              <w:rPr>
                <w:rFonts w:ascii="Times New Roman" w:eastAsia="Times New Roman" w:hAnsi="Times New Roman" w:cs="Times New Roman"/>
                <w:color w:val="000000"/>
                <w:sz w:val="20"/>
                <w:szCs w:val="20"/>
              </w:rPr>
            </w:pPr>
            <w:r w:rsidRPr="00A07F29">
              <w:rPr>
                <w:rFonts w:ascii="Times New Roman" w:eastAsia="Times New Roman" w:hAnsi="Times New Roman" w:cs="Times New Roman"/>
                <w:b/>
                <w:color w:val="000000"/>
                <w:sz w:val="20"/>
                <w:szCs w:val="20"/>
              </w:rPr>
              <w:t>Antropogēnie ārējie faktori</w:t>
            </w:r>
          </w:p>
        </w:tc>
      </w:tr>
      <w:tr w:rsidR="009072CE" w:rsidRPr="00A07F29" w14:paraId="144954BF" w14:textId="77777777" w:rsidTr="00E06DC9">
        <w:trPr>
          <w:jc w:val="center"/>
        </w:trPr>
        <w:tc>
          <w:tcPr>
            <w:tcW w:w="2131" w:type="dxa"/>
            <w:shd w:val="clear" w:color="auto" w:fill="EAF1DD"/>
          </w:tcPr>
          <w:p w14:paraId="35B0496C" w14:textId="77777777" w:rsidR="009072CE" w:rsidRPr="00A07F29" w:rsidRDefault="009072CE" w:rsidP="009072CE">
            <w:pPr>
              <w:contextualSpacing/>
              <w:rPr>
                <w:rFonts w:ascii="Times New Roman" w:eastAsia="Times New Roman" w:hAnsi="Times New Roman" w:cs="Times New Roman"/>
                <w:color w:val="000000"/>
                <w:sz w:val="20"/>
                <w:szCs w:val="20"/>
              </w:rPr>
            </w:pPr>
            <w:r w:rsidRPr="00A07F29">
              <w:rPr>
                <w:rFonts w:ascii="Times New Roman" w:eastAsia="Times New Roman" w:hAnsi="Times New Roman" w:cs="Times New Roman"/>
                <w:color w:val="000000"/>
                <w:sz w:val="20"/>
                <w:szCs w:val="20"/>
              </w:rPr>
              <w:t xml:space="preserve">Atrašanās pierobežas joslā </w:t>
            </w:r>
          </w:p>
        </w:tc>
        <w:tc>
          <w:tcPr>
            <w:tcW w:w="3534" w:type="dxa"/>
          </w:tcPr>
          <w:p w14:paraId="46FD9305" w14:textId="77777777" w:rsidR="009072CE" w:rsidRPr="00A07F29" w:rsidRDefault="009072CE" w:rsidP="009072CE">
            <w:pPr>
              <w:contextualSpacing/>
              <w:rPr>
                <w:rFonts w:ascii="Times New Roman" w:eastAsia="Times New Roman" w:hAnsi="Times New Roman" w:cs="Times New Roman"/>
                <w:color w:val="000000"/>
                <w:sz w:val="20"/>
                <w:szCs w:val="20"/>
              </w:rPr>
            </w:pPr>
            <w:r w:rsidRPr="00A07F29">
              <w:rPr>
                <w:rFonts w:ascii="Times New Roman" w:eastAsia="Times New Roman" w:hAnsi="Times New Roman" w:cs="Times New Roman"/>
                <w:color w:val="000000"/>
                <w:sz w:val="20"/>
                <w:szCs w:val="20"/>
              </w:rPr>
              <w:t>Pierobežas joslas režīms nodrošina sugu papildus aizsardzību un ierobežo apmeklētāju skaitu.</w:t>
            </w:r>
          </w:p>
        </w:tc>
        <w:tc>
          <w:tcPr>
            <w:tcW w:w="3402" w:type="dxa"/>
          </w:tcPr>
          <w:p w14:paraId="08FE066E" w14:textId="77777777" w:rsidR="009072CE" w:rsidRPr="00A07F29" w:rsidRDefault="009072CE" w:rsidP="009072CE">
            <w:pPr>
              <w:contextualSpacing/>
              <w:rPr>
                <w:rFonts w:ascii="Times New Roman" w:eastAsia="Times New Roman" w:hAnsi="Times New Roman" w:cs="Times New Roman"/>
                <w:color w:val="000000"/>
                <w:sz w:val="20"/>
                <w:szCs w:val="20"/>
              </w:rPr>
            </w:pPr>
            <w:r w:rsidRPr="00A07F29">
              <w:rPr>
                <w:rFonts w:ascii="Times New Roman" w:eastAsia="Times New Roman" w:hAnsi="Times New Roman" w:cs="Times New Roman"/>
                <w:color w:val="000000"/>
                <w:sz w:val="20"/>
                <w:szCs w:val="20"/>
              </w:rPr>
              <w:t>Pierobežas brīdinošās lentes pēc nolietošanās netiek aizvietotas un savāktas, tās tiek atstātas sugu biotopos, piesārņojot tos.</w:t>
            </w:r>
          </w:p>
        </w:tc>
      </w:tr>
    </w:tbl>
    <w:p w14:paraId="5C44F25C" w14:textId="77777777" w:rsidR="009072CE" w:rsidRPr="00A07F29" w:rsidRDefault="009072CE" w:rsidP="009072CE">
      <w:pPr>
        <w:jc w:val="both"/>
        <w:rPr>
          <w:rFonts w:ascii="Times New Roman" w:eastAsia="Times New Roman" w:hAnsi="Times New Roman" w:cs="Times New Roman"/>
          <w:color w:val="000000"/>
          <w:sz w:val="24"/>
          <w:szCs w:val="24"/>
        </w:rPr>
      </w:pPr>
    </w:p>
    <w:p w14:paraId="29AF648C" w14:textId="7E30616D" w:rsidR="009072CE" w:rsidRPr="00A07F29" w:rsidRDefault="009072CE" w:rsidP="00665A15">
      <w:pPr>
        <w:pStyle w:val="Heading2"/>
        <w:spacing w:before="120" w:after="120"/>
        <w:ind w:firstLine="0"/>
        <w:jc w:val="center"/>
        <w:rPr>
          <w:rFonts w:ascii="Times New Roman" w:hAnsi="Times New Roman"/>
          <w:b w:val="0"/>
          <w:bCs w:val="0"/>
        </w:rPr>
      </w:pPr>
      <w:bookmarkStart w:id="84" w:name="_Toc183434017"/>
      <w:r w:rsidRPr="00A07F29">
        <w:rPr>
          <w:rFonts w:ascii="Times New Roman" w:hAnsi="Times New Roman"/>
          <w:i w:val="0"/>
        </w:rPr>
        <w:t>4.</w:t>
      </w:r>
      <w:r w:rsidR="00FE7FE5" w:rsidRPr="00A07F29">
        <w:rPr>
          <w:rFonts w:ascii="Times New Roman" w:hAnsi="Times New Roman"/>
          <w:i w:val="0"/>
        </w:rPr>
        <w:t>9</w:t>
      </w:r>
      <w:r w:rsidRPr="00A07F29">
        <w:rPr>
          <w:rFonts w:ascii="Times New Roman" w:hAnsi="Times New Roman"/>
          <w:i w:val="0"/>
        </w:rPr>
        <w:t>. Zivju sugas</w:t>
      </w:r>
      <w:bookmarkEnd w:id="84"/>
    </w:p>
    <w:p w14:paraId="60C685EC" w14:textId="694297EC" w:rsidR="00F71740" w:rsidRPr="00A07F29" w:rsidRDefault="00F71740" w:rsidP="00F71740">
      <w:pPr>
        <w:spacing w:after="120" w:line="240" w:lineRule="auto"/>
        <w:jc w:val="both"/>
        <w:rPr>
          <w:rFonts w:ascii="Times New Roman" w:eastAsia="Calibri" w:hAnsi="Times New Roman" w:cs="Times New Roman"/>
          <w:b/>
          <w:i/>
          <w:sz w:val="24"/>
          <w:szCs w:val="24"/>
        </w:rPr>
      </w:pPr>
      <w:r w:rsidRPr="008E460D">
        <w:rPr>
          <w:rFonts w:ascii="Times New Roman" w:eastAsia="Calibri" w:hAnsi="Times New Roman" w:cs="Times New Roman"/>
          <w:b/>
          <w:i/>
          <w:sz w:val="24"/>
          <w:szCs w:val="24"/>
        </w:rPr>
        <w:t>Upēs konstatētās</w:t>
      </w:r>
      <w:r w:rsidRPr="00A07F29">
        <w:rPr>
          <w:rFonts w:ascii="Times New Roman" w:eastAsia="Calibri" w:hAnsi="Times New Roman" w:cs="Times New Roman"/>
          <w:b/>
          <w:i/>
          <w:sz w:val="24"/>
          <w:szCs w:val="24"/>
        </w:rPr>
        <w:t xml:space="preserve"> zivju sugas</w:t>
      </w:r>
    </w:p>
    <w:p w14:paraId="62B7BB29" w14:textId="256A8BB2" w:rsidR="00F71740" w:rsidRPr="00A07F29" w:rsidRDefault="009072CE" w:rsidP="00FE7FE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Pavisam kopā teritorijas upēs konstatētas zivju </w:t>
      </w:r>
      <w:r w:rsidR="00FE7FE5" w:rsidRPr="00A07F29">
        <w:rPr>
          <w:rFonts w:ascii="Times New Roman" w:eastAsia="Calibri" w:hAnsi="Times New Roman" w:cs="Times New Roman"/>
          <w:sz w:val="24"/>
          <w:szCs w:val="24"/>
        </w:rPr>
        <w:t xml:space="preserve">un </w:t>
      </w:r>
      <w:proofErr w:type="spellStart"/>
      <w:r w:rsidR="00FE7FE5" w:rsidRPr="00A07F29">
        <w:rPr>
          <w:rFonts w:ascii="Times New Roman" w:eastAsia="Calibri" w:hAnsi="Times New Roman" w:cs="Times New Roman"/>
          <w:sz w:val="24"/>
          <w:szCs w:val="24"/>
        </w:rPr>
        <w:t>apaļmutnieku</w:t>
      </w:r>
      <w:proofErr w:type="spellEnd"/>
      <w:r w:rsidR="00FE7FE5" w:rsidRPr="00A07F29">
        <w:rPr>
          <w:rFonts w:ascii="Times New Roman" w:eastAsia="Calibri" w:hAnsi="Times New Roman" w:cs="Times New Roman"/>
          <w:sz w:val="24"/>
          <w:szCs w:val="24"/>
        </w:rPr>
        <w:t xml:space="preserve"> </w:t>
      </w:r>
      <w:r w:rsidRPr="00A07F29">
        <w:rPr>
          <w:rFonts w:ascii="Times New Roman" w:eastAsia="Calibri" w:hAnsi="Times New Roman" w:cs="Times New Roman"/>
          <w:sz w:val="24"/>
          <w:szCs w:val="24"/>
        </w:rPr>
        <w:t xml:space="preserve">sugas: plaudis </w:t>
      </w:r>
      <w:proofErr w:type="spellStart"/>
      <w:r w:rsidRPr="00A07F29">
        <w:rPr>
          <w:rFonts w:ascii="Times New Roman" w:eastAsia="Calibri" w:hAnsi="Times New Roman" w:cs="Times New Roman"/>
          <w:i/>
          <w:sz w:val="24"/>
          <w:szCs w:val="24"/>
        </w:rPr>
        <w:t>Abramis</w:t>
      </w:r>
      <w:proofErr w:type="spellEnd"/>
      <w:r w:rsidRPr="00A07F29">
        <w:rPr>
          <w:rFonts w:ascii="Times New Roman" w:eastAsia="Calibri" w:hAnsi="Times New Roman" w:cs="Times New Roman"/>
          <w:i/>
          <w:sz w:val="24"/>
          <w:szCs w:val="24"/>
        </w:rPr>
        <w:t xml:space="preserve"> </w:t>
      </w:r>
      <w:proofErr w:type="spellStart"/>
      <w:r w:rsidRPr="00A07F29">
        <w:rPr>
          <w:rFonts w:ascii="Times New Roman" w:eastAsia="Calibri" w:hAnsi="Times New Roman" w:cs="Times New Roman"/>
          <w:i/>
          <w:sz w:val="24"/>
          <w:szCs w:val="24"/>
        </w:rPr>
        <w:t>brama</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pavīķe</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i/>
          <w:sz w:val="24"/>
          <w:szCs w:val="24"/>
        </w:rPr>
        <w:t>Alburnoides</w:t>
      </w:r>
      <w:proofErr w:type="spellEnd"/>
      <w:r w:rsidRPr="00A07F29">
        <w:rPr>
          <w:rFonts w:ascii="Times New Roman" w:eastAsia="Calibri" w:hAnsi="Times New Roman" w:cs="Times New Roman"/>
          <w:i/>
          <w:sz w:val="24"/>
          <w:szCs w:val="24"/>
        </w:rPr>
        <w:t xml:space="preserve"> </w:t>
      </w:r>
      <w:proofErr w:type="spellStart"/>
      <w:r w:rsidRPr="00A07F29">
        <w:rPr>
          <w:rFonts w:ascii="Times New Roman" w:eastAsia="Calibri" w:hAnsi="Times New Roman" w:cs="Times New Roman"/>
          <w:i/>
          <w:sz w:val="24"/>
          <w:szCs w:val="24"/>
        </w:rPr>
        <w:t>bipunctatus</w:t>
      </w:r>
      <w:proofErr w:type="spellEnd"/>
      <w:r w:rsidRPr="00A07F29">
        <w:rPr>
          <w:rFonts w:ascii="Times New Roman" w:eastAsia="Calibri" w:hAnsi="Times New Roman" w:cs="Times New Roman"/>
          <w:sz w:val="24"/>
          <w:szCs w:val="24"/>
        </w:rPr>
        <w:t xml:space="preserve">, vīķe </w:t>
      </w:r>
      <w:proofErr w:type="spellStart"/>
      <w:r w:rsidRPr="00A07F29">
        <w:rPr>
          <w:rFonts w:ascii="Times New Roman" w:eastAsia="Calibri" w:hAnsi="Times New Roman" w:cs="Times New Roman"/>
          <w:i/>
          <w:sz w:val="24"/>
          <w:szCs w:val="24"/>
        </w:rPr>
        <w:t>Alburnus</w:t>
      </w:r>
      <w:proofErr w:type="spellEnd"/>
      <w:r w:rsidRPr="00A07F29">
        <w:rPr>
          <w:rFonts w:ascii="Times New Roman" w:eastAsia="Calibri" w:hAnsi="Times New Roman" w:cs="Times New Roman"/>
          <w:i/>
          <w:sz w:val="24"/>
          <w:szCs w:val="24"/>
        </w:rPr>
        <w:t xml:space="preserve"> </w:t>
      </w:r>
      <w:proofErr w:type="spellStart"/>
      <w:r w:rsidRPr="00A07F29">
        <w:rPr>
          <w:rFonts w:ascii="Times New Roman" w:eastAsia="Calibri" w:hAnsi="Times New Roman" w:cs="Times New Roman"/>
          <w:i/>
          <w:sz w:val="24"/>
          <w:szCs w:val="24"/>
        </w:rPr>
        <w:t>alburbus</w:t>
      </w:r>
      <w:proofErr w:type="spellEnd"/>
      <w:r w:rsidRPr="00A07F29">
        <w:rPr>
          <w:rFonts w:ascii="Times New Roman" w:eastAsia="Calibri" w:hAnsi="Times New Roman" w:cs="Times New Roman"/>
          <w:sz w:val="24"/>
          <w:szCs w:val="24"/>
        </w:rPr>
        <w:t xml:space="preserve">, bārdainais akmeņgrauzis </w:t>
      </w:r>
      <w:proofErr w:type="spellStart"/>
      <w:r w:rsidRPr="00A07F29">
        <w:rPr>
          <w:rFonts w:ascii="Times New Roman" w:eastAsia="Calibri" w:hAnsi="Times New Roman" w:cs="Times New Roman"/>
          <w:i/>
          <w:sz w:val="24"/>
          <w:szCs w:val="24"/>
        </w:rPr>
        <w:t>Barbatula</w:t>
      </w:r>
      <w:proofErr w:type="spellEnd"/>
      <w:r w:rsidRPr="00A07F29">
        <w:rPr>
          <w:rFonts w:ascii="Times New Roman" w:eastAsia="Calibri" w:hAnsi="Times New Roman" w:cs="Times New Roman"/>
          <w:i/>
          <w:sz w:val="24"/>
          <w:szCs w:val="24"/>
        </w:rPr>
        <w:t xml:space="preserve"> </w:t>
      </w:r>
      <w:proofErr w:type="spellStart"/>
      <w:r w:rsidRPr="00A07F29">
        <w:rPr>
          <w:rFonts w:ascii="Times New Roman" w:eastAsia="Calibri" w:hAnsi="Times New Roman" w:cs="Times New Roman"/>
          <w:i/>
          <w:sz w:val="24"/>
          <w:szCs w:val="24"/>
        </w:rPr>
        <w:t>barbatula</w:t>
      </w:r>
      <w:proofErr w:type="spellEnd"/>
      <w:r w:rsidRPr="00A07F29">
        <w:rPr>
          <w:rFonts w:ascii="Times New Roman" w:eastAsia="Calibri" w:hAnsi="Times New Roman" w:cs="Times New Roman"/>
          <w:sz w:val="24"/>
          <w:szCs w:val="24"/>
        </w:rPr>
        <w:t xml:space="preserve">, plicis </w:t>
      </w:r>
      <w:proofErr w:type="spellStart"/>
      <w:r w:rsidRPr="00A07F29">
        <w:rPr>
          <w:rFonts w:ascii="Times New Roman" w:eastAsia="Calibri" w:hAnsi="Times New Roman" w:cs="Times New Roman"/>
          <w:i/>
          <w:sz w:val="24"/>
          <w:szCs w:val="24"/>
        </w:rPr>
        <w:t>Blicca</w:t>
      </w:r>
      <w:proofErr w:type="spellEnd"/>
      <w:r w:rsidRPr="00A07F29">
        <w:rPr>
          <w:rFonts w:ascii="Times New Roman" w:eastAsia="Calibri" w:hAnsi="Times New Roman" w:cs="Times New Roman"/>
          <w:i/>
          <w:sz w:val="24"/>
          <w:szCs w:val="24"/>
        </w:rPr>
        <w:t xml:space="preserve"> </w:t>
      </w:r>
      <w:proofErr w:type="spellStart"/>
      <w:r w:rsidRPr="00A07F29">
        <w:rPr>
          <w:rFonts w:ascii="Times New Roman" w:eastAsia="Calibri" w:hAnsi="Times New Roman" w:cs="Times New Roman"/>
          <w:i/>
          <w:sz w:val="24"/>
          <w:szCs w:val="24"/>
        </w:rPr>
        <w:t>bjoerkna</w:t>
      </w:r>
      <w:proofErr w:type="spellEnd"/>
      <w:r w:rsidRPr="00A07F29">
        <w:rPr>
          <w:rFonts w:ascii="Times New Roman" w:eastAsia="Calibri" w:hAnsi="Times New Roman" w:cs="Times New Roman"/>
          <w:sz w:val="24"/>
          <w:szCs w:val="24"/>
        </w:rPr>
        <w:t xml:space="preserve">, karūsa </w:t>
      </w:r>
      <w:proofErr w:type="spellStart"/>
      <w:r w:rsidRPr="00A07F29">
        <w:rPr>
          <w:rFonts w:ascii="Times New Roman" w:eastAsia="Calibri" w:hAnsi="Times New Roman" w:cs="Times New Roman"/>
          <w:i/>
          <w:sz w:val="24"/>
          <w:szCs w:val="24"/>
        </w:rPr>
        <w:t>Carassius</w:t>
      </w:r>
      <w:proofErr w:type="spellEnd"/>
      <w:r w:rsidRPr="00A07F29">
        <w:rPr>
          <w:rFonts w:ascii="Times New Roman" w:eastAsia="Calibri" w:hAnsi="Times New Roman" w:cs="Times New Roman"/>
          <w:i/>
          <w:sz w:val="24"/>
          <w:szCs w:val="24"/>
        </w:rPr>
        <w:t xml:space="preserve"> </w:t>
      </w:r>
      <w:proofErr w:type="spellStart"/>
      <w:r w:rsidRPr="00A07F29">
        <w:rPr>
          <w:rFonts w:ascii="Times New Roman" w:eastAsia="Calibri" w:hAnsi="Times New Roman" w:cs="Times New Roman"/>
          <w:i/>
          <w:sz w:val="24"/>
          <w:szCs w:val="24"/>
        </w:rPr>
        <w:t>carassius</w:t>
      </w:r>
      <w:proofErr w:type="spellEnd"/>
      <w:r w:rsidRPr="00A07F29">
        <w:rPr>
          <w:rFonts w:ascii="Times New Roman" w:eastAsia="Calibri" w:hAnsi="Times New Roman" w:cs="Times New Roman"/>
          <w:sz w:val="24"/>
          <w:szCs w:val="24"/>
        </w:rPr>
        <w:t xml:space="preserve">, sudrabkarūsa </w:t>
      </w:r>
      <w:proofErr w:type="spellStart"/>
      <w:r w:rsidRPr="00A07F29">
        <w:rPr>
          <w:rFonts w:ascii="Times New Roman" w:eastAsia="Calibri" w:hAnsi="Times New Roman" w:cs="Times New Roman"/>
          <w:i/>
          <w:sz w:val="24"/>
          <w:szCs w:val="24"/>
        </w:rPr>
        <w:t>Carassius</w:t>
      </w:r>
      <w:proofErr w:type="spellEnd"/>
      <w:r w:rsidRPr="00A07F29">
        <w:rPr>
          <w:rFonts w:ascii="Times New Roman" w:eastAsia="Calibri" w:hAnsi="Times New Roman" w:cs="Times New Roman"/>
          <w:i/>
          <w:sz w:val="24"/>
          <w:szCs w:val="24"/>
        </w:rPr>
        <w:t xml:space="preserve"> </w:t>
      </w:r>
      <w:proofErr w:type="spellStart"/>
      <w:r w:rsidRPr="00A07F29">
        <w:rPr>
          <w:rFonts w:ascii="Times New Roman" w:eastAsia="Calibri" w:hAnsi="Times New Roman" w:cs="Times New Roman"/>
          <w:i/>
          <w:sz w:val="24"/>
          <w:szCs w:val="24"/>
        </w:rPr>
        <w:t>gibelio</w:t>
      </w:r>
      <w:proofErr w:type="spellEnd"/>
      <w:r w:rsidRPr="00A07F29">
        <w:rPr>
          <w:rFonts w:ascii="Times New Roman" w:eastAsia="Calibri" w:hAnsi="Times New Roman" w:cs="Times New Roman"/>
          <w:sz w:val="24"/>
          <w:szCs w:val="24"/>
        </w:rPr>
        <w:t xml:space="preserve">, akmeņgrauzis </w:t>
      </w:r>
      <w:proofErr w:type="spellStart"/>
      <w:r w:rsidRPr="00A07F29">
        <w:rPr>
          <w:rFonts w:ascii="Times New Roman" w:eastAsia="Calibri" w:hAnsi="Times New Roman" w:cs="Times New Roman"/>
          <w:i/>
          <w:sz w:val="24"/>
          <w:szCs w:val="24"/>
        </w:rPr>
        <w:t>Cobitis</w:t>
      </w:r>
      <w:proofErr w:type="spellEnd"/>
      <w:r w:rsidRPr="00A07F29">
        <w:rPr>
          <w:rFonts w:ascii="Times New Roman" w:eastAsia="Calibri" w:hAnsi="Times New Roman" w:cs="Times New Roman"/>
          <w:i/>
          <w:sz w:val="24"/>
          <w:szCs w:val="24"/>
        </w:rPr>
        <w:t xml:space="preserve"> </w:t>
      </w:r>
      <w:proofErr w:type="spellStart"/>
      <w:r w:rsidRPr="00A07F29">
        <w:rPr>
          <w:rFonts w:ascii="Times New Roman" w:eastAsia="Calibri" w:hAnsi="Times New Roman" w:cs="Times New Roman"/>
          <w:i/>
          <w:sz w:val="24"/>
          <w:szCs w:val="24"/>
        </w:rPr>
        <w:t>taenia</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platgalve</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i/>
          <w:sz w:val="24"/>
          <w:szCs w:val="24"/>
        </w:rPr>
        <w:t>Cottus</w:t>
      </w:r>
      <w:proofErr w:type="spellEnd"/>
      <w:r w:rsidRPr="00A07F29">
        <w:rPr>
          <w:rFonts w:ascii="Times New Roman" w:eastAsia="Calibri" w:hAnsi="Times New Roman" w:cs="Times New Roman"/>
          <w:i/>
          <w:sz w:val="24"/>
          <w:szCs w:val="24"/>
        </w:rPr>
        <w:t xml:space="preserve"> </w:t>
      </w:r>
      <w:proofErr w:type="spellStart"/>
      <w:r w:rsidRPr="00A07F29">
        <w:rPr>
          <w:rFonts w:ascii="Times New Roman" w:eastAsia="Calibri" w:hAnsi="Times New Roman" w:cs="Times New Roman"/>
          <w:i/>
          <w:sz w:val="24"/>
          <w:szCs w:val="24"/>
        </w:rPr>
        <w:t>gobio</w:t>
      </w:r>
      <w:proofErr w:type="spellEnd"/>
      <w:r w:rsidRPr="00A07F29">
        <w:rPr>
          <w:rFonts w:ascii="Times New Roman" w:eastAsia="Calibri" w:hAnsi="Times New Roman" w:cs="Times New Roman"/>
          <w:sz w:val="24"/>
          <w:szCs w:val="24"/>
        </w:rPr>
        <w:t xml:space="preserve">, līdaka </w:t>
      </w:r>
      <w:proofErr w:type="spellStart"/>
      <w:r w:rsidRPr="00A07F29">
        <w:rPr>
          <w:rFonts w:ascii="Times New Roman" w:eastAsia="Calibri" w:hAnsi="Times New Roman" w:cs="Times New Roman"/>
          <w:i/>
          <w:sz w:val="24"/>
          <w:szCs w:val="24"/>
        </w:rPr>
        <w:t>Esox</w:t>
      </w:r>
      <w:proofErr w:type="spellEnd"/>
      <w:r w:rsidRPr="00A07F29">
        <w:rPr>
          <w:rFonts w:ascii="Times New Roman" w:eastAsia="Calibri" w:hAnsi="Times New Roman" w:cs="Times New Roman"/>
          <w:i/>
          <w:sz w:val="24"/>
          <w:szCs w:val="24"/>
        </w:rPr>
        <w:t xml:space="preserve"> </w:t>
      </w:r>
      <w:proofErr w:type="spellStart"/>
      <w:r w:rsidRPr="00A07F29">
        <w:rPr>
          <w:rFonts w:ascii="Times New Roman" w:eastAsia="Calibri" w:hAnsi="Times New Roman" w:cs="Times New Roman"/>
          <w:i/>
          <w:sz w:val="24"/>
          <w:szCs w:val="24"/>
        </w:rPr>
        <w:t>lucius</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trīsadatu</w:t>
      </w:r>
      <w:proofErr w:type="spellEnd"/>
      <w:r w:rsidRPr="00A07F29">
        <w:rPr>
          <w:rFonts w:ascii="Times New Roman" w:eastAsia="Calibri" w:hAnsi="Times New Roman" w:cs="Times New Roman"/>
          <w:sz w:val="24"/>
          <w:szCs w:val="24"/>
        </w:rPr>
        <w:t xml:space="preserve"> stagars </w:t>
      </w:r>
      <w:proofErr w:type="spellStart"/>
      <w:r w:rsidRPr="00A07F29">
        <w:rPr>
          <w:rFonts w:ascii="Times New Roman" w:eastAsia="Calibri" w:hAnsi="Times New Roman" w:cs="Times New Roman"/>
          <w:i/>
          <w:sz w:val="24"/>
          <w:szCs w:val="24"/>
        </w:rPr>
        <w:t>Gasterosteus</w:t>
      </w:r>
      <w:proofErr w:type="spellEnd"/>
      <w:r w:rsidRPr="00A07F29">
        <w:rPr>
          <w:rFonts w:ascii="Times New Roman" w:eastAsia="Calibri" w:hAnsi="Times New Roman" w:cs="Times New Roman"/>
          <w:i/>
          <w:sz w:val="24"/>
          <w:szCs w:val="24"/>
        </w:rPr>
        <w:t xml:space="preserve"> </w:t>
      </w:r>
      <w:proofErr w:type="spellStart"/>
      <w:r w:rsidRPr="00A07F29">
        <w:rPr>
          <w:rFonts w:ascii="Times New Roman" w:eastAsia="Calibri" w:hAnsi="Times New Roman" w:cs="Times New Roman"/>
          <w:i/>
          <w:sz w:val="24"/>
          <w:szCs w:val="24"/>
        </w:rPr>
        <w:t>aculeatus</w:t>
      </w:r>
      <w:proofErr w:type="spellEnd"/>
      <w:r w:rsidRPr="00A07F29">
        <w:rPr>
          <w:rFonts w:ascii="Times New Roman" w:eastAsia="Calibri" w:hAnsi="Times New Roman" w:cs="Times New Roman"/>
          <w:sz w:val="24"/>
          <w:szCs w:val="24"/>
        </w:rPr>
        <w:t xml:space="preserve">, grundulis </w:t>
      </w:r>
      <w:proofErr w:type="spellStart"/>
      <w:r w:rsidRPr="00A07F29">
        <w:rPr>
          <w:rFonts w:ascii="Times New Roman" w:eastAsia="Calibri" w:hAnsi="Times New Roman" w:cs="Times New Roman"/>
          <w:i/>
          <w:sz w:val="24"/>
          <w:szCs w:val="24"/>
        </w:rPr>
        <w:t>Gobio</w:t>
      </w:r>
      <w:proofErr w:type="spellEnd"/>
      <w:r w:rsidRPr="00A07F29">
        <w:rPr>
          <w:rFonts w:ascii="Times New Roman" w:eastAsia="Calibri" w:hAnsi="Times New Roman" w:cs="Times New Roman"/>
          <w:i/>
          <w:sz w:val="24"/>
          <w:szCs w:val="24"/>
        </w:rPr>
        <w:t xml:space="preserve"> </w:t>
      </w:r>
      <w:proofErr w:type="spellStart"/>
      <w:r w:rsidRPr="00A07F29">
        <w:rPr>
          <w:rFonts w:ascii="Times New Roman" w:eastAsia="Calibri" w:hAnsi="Times New Roman" w:cs="Times New Roman"/>
          <w:i/>
          <w:sz w:val="24"/>
          <w:szCs w:val="24"/>
        </w:rPr>
        <w:t>gobio</w:t>
      </w:r>
      <w:proofErr w:type="spellEnd"/>
      <w:r w:rsidRPr="00A07F29">
        <w:rPr>
          <w:rFonts w:ascii="Times New Roman" w:eastAsia="Calibri" w:hAnsi="Times New Roman" w:cs="Times New Roman"/>
          <w:sz w:val="24"/>
          <w:szCs w:val="24"/>
        </w:rPr>
        <w:t xml:space="preserve">, strauta nēģis </w:t>
      </w:r>
      <w:proofErr w:type="spellStart"/>
      <w:r w:rsidRPr="00A07F29">
        <w:rPr>
          <w:rFonts w:ascii="Times New Roman" w:eastAsia="Calibri" w:hAnsi="Times New Roman" w:cs="Times New Roman"/>
          <w:i/>
          <w:sz w:val="24"/>
          <w:szCs w:val="24"/>
        </w:rPr>
        <w:t>Lampetera</w:t>
      </w:r>
      <w:proofErr w:type="spellEnd"/>
      <w:r w:rsidRPr="00A07F29">
        <w:rPr>
          <w:rFonts w:ascii="Times New Roman" w:eastAsia="Calibri" w:hAnsi="Times New Roman" w:cs="Times New Roman"/>
          <w:i/>
          <w:sz w:val="24"/>
          <w:szCs w:val="24"/>
        </w:rPr>
        <w:t xml:space="preserve"> </w:t>
      </w:r>
      <w:proofErr w:type="spellStart"/>
      <w:r w:rsidRPr="00A07F29">
        <w:rPr>
          <w:rFonts w:ascii="Times New Roman" w:eastAsia="Calibri" w:hAnsi="Times New Roman" w:cs="Times New Roman"/>
          <w:i/>
          <w:sz w:val="24"/>
          <w:szCs w:val="24"/>
        </w:rPr>
        <w:t>planeri</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ausleja</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i/>
          <w:sz w:val="24"/>
          <w:szCs w:val="24"/>
        </w:rPr>
        <w:t>Leucaspius</w:t>
      </w:r>
      <w:proofErr w:type="spellEnd"/>
      <w:r w:rsidRPr="00A07F29">
        <w:rPr>
          <w:rFonts w:ascii="Times New Roman" w:eastAsia="Calibri" w:hAnsi="Times New Roman" w:cs="Times New Roman"/>
          <w:i/>
          <w:sz w:val="24"/>
          <w:szCs w:val="24"/>
        </w:rPr>
        <w:t xml:space="preserve"> </w:t>
      </w:r>
      <w:proofErr w:type="spellStart"/>
      <w:r w:rsidRPr="00A07F29">
        <w:rPr>
          <w:rFonts w:ascii="Times New Roman" w:eastAsia="Calibri" w:hAnsi="Times New Roman" w:cs="Times New Roman"/>
          <w:i/>
          <w:sz w:val="24"/>
          <w:szCs w:val="24"/>
        </w:rPr>
        <w:t>delineatus</w:t>
      </w:r>
      <w:proofErr w:type="spellEnd"/>
      <w:r w:rsidRPr="00A07F29">
        <w:rPr>
          <w:rFonts w:ascii="Times New Roman" w:eastAsia="Calibri" w:hAnsi="Times New Roman" w:cs="Times New Roman"/>
          <w:sz w:val="24"/>
          <w:szCs w:val="24"/>
        </w:rPr>
        <w:t xml:space="preserve">, sapals </w:t>
      </w:r>
      <w:proofErr w:type="spellStart"/>
      <w:r w:rsidRPr="00A07F29">
        <w:rPr>
          <w:rFonts w:ascii="Times New Roman" w:eastAsia="Calibri" w:hAnsi="Times New Roman" w:cs="Times New Roman"/>
          <w:i/>
          <w:sz w:val="24"/>
          <w:szCs w:val="24"/>
        </w:rPr>
        <w:t>Leuciscus</w:t>
      </w:r>
      <w:proofErr w:type="spellEnd"/>
      <w:r w:rsidRPr="00A07F29">
        <w:rPr>
          <w:rFonts w:ascii="Times New Roman" w:eastAsia="Calibri" w:hAnsi="Times New Roman" w:cs="Times New Roman"/>
          <w:i/>
          <w:sz w:val="24"/>
          <w:szCs w:val="24"/>
        </w:rPr>
        <w:t xml:space="preserve"> </w:t>
      </w:r>
      <w:proofErr w:type="spellStart"/>
      <w:r w:rsidRPr="00A07F29">
        <w:rPr>
          <w:rFonts w:ascii="Times New Roman" w:eastAsia="Calibri" w:hAnsi="Times New Roman" w:cs="Times New Roman"/>
          <w:i/>
          <w:sz w:val="24"/>
          <w:szCs w:val="24"/>
        </w:rPr>
        <w:t>cephalus</w:t>
      </w:r>
      <w:proofErr w:type="spellEnd"/>
      <w:r w:rsidRPr="00A07F29">
        <w:rPr>
          <w:rFonts w:ascii="Times New Roman" w:eastAsia="Calibri" w:hAnsi="Times New Roman" w:cs="Times New Roman"/>
          <w:sz w:val="24"/>
          <w:szCs w:val="24"/>
        </w:rPr>
        <w:t xml:space="preserve">, ālants </w:t>
      </w:r>
      <w:proofErr w:type="spellStart"/>
      <w:r w:rsidRPr="00A07F29">
        <w:rPr>
          <w:rFonts w:ascii="Times New Roman" w:eastAsia="Calibri" w:hAnsi="Times New Roman" w:cs="Times New Roman"/>
          <w:i/>
          <w:sz w:val="24"/>
          <w:szCs w:val="24"/>
        </w:rPr>
        <w:t>Leuciscus</w:t>
      </w:r>
      <w:proofErr w:type="spellEnd"/>
      <w:r w:rsidRPr="00A07F29">
        <w:rPr>
          <w:rFonts w:ascii="Times New Roman" w:eastAsia="Calibri" w:hAnsi="Times New Roman" w:cs="Times New Roman"/>
          <w:i/>
          <w:sz w:val="24"/>
          <w:szCs w:val="24"/>
        </w:rPr>
        <w:t xml:space="preserve"> </w:t>
      </w:r>
      <w:proofErr w:type="spellStart"/>
      <w:r w:rsidRPr="00A07F29">
        <w:rPr>
          <w:rFonts w:ascii="Times New Roman" w:eastAsia="Calibri" w:hAnsi="Times New Roman" w:cs="Times New Roman"/>
          <w:i/>
          <w:sz w:val="24"/>
          <w:szCs w:val="24"/>
        </w:rPr>
        <w:t>idus</w:t>
      </w:r>
      <w:proofErr w:type="spellEnd"/>
      <w:r w:rsidRPr="00A07F29">
        <w:rPr>
          <w:rFonts w:ascii="Times New Roman" w:eastAsia="Calibri" w:hAnsi="Times New Roman" w:cs="Times New Roman"/>
          <w:sz w:val="24"/>
          <w:szCs w:val="24"/>
        </w:rPr>
        <w:t xml:space="preserve">, baltais sapals </w:t>
      </w:r>
      <w:proofErr w:type="spellStart"/>
      <w:r w:rsidRPr="00A07F29">
        <w:rPr>
          <w:rFonts w:ascii="Times New Roman" w:eastAsia="Calibri" w:hAnsi="Times New Roman" w:cs="Times New Roman"/>
          <w:i/>
          <w:sz w:val="24"/>
          <w:szCs w:val="24"/>
        </w:rPr>
        <w:t>Leuciscus</w:t>
      </w:r>
      <w:proofErr w:type="spellEnd"/>
      <w:r w:rsidRPr="00A07F29">
        <w:rPr>
          <w:rFonts w:ascii="Times New Roman" w:eastAsia="Calibri" w:hAnsi="Times New Roman" w:cs="Times New Roman"/>
          <w:i/>
          <w:sz w:val="24"/>
          <w:szCs w:val="24"/>
        </w:rPr>
        <w:t xml:space="preserve"> </w:t>
      </w:r>
      <w:proofErr w:type="spellStart"/>
      <w:r w:rsidRPr="00A07F29">
        <w:rPr>
          <w:rFonts w:ascii="Times New Roman" w:eastAsia="Calibri" w:hAnsi="Times New Roman" w:cs="Times New Roman"/>
          <w:i/>
          <w:sz w:val="24"/>
          <w:szCs w:val="24"/>
        </w:rPr>
        <w:t>leuciscus</w:t>
      </w:r>
      <w:proofErr w:type="spellEnd"/>
      <w:r w:rsidRPr="00A07F29">
        <w:rPr>
          <w:rFonts w:ascii="Times New Roman" w:eastAsia="Calibri" w:hAnsi="Times New Roman" w:cs="Times New Roman"/>
          <w:sz w:val="24"/>
          <w:szCs w:val="24"/>
        </w:rPr>
        <w:t xml:space="preserve">, vēdzele </w:t>
      </w:r>
      <w:proofErr w:type="spellStart"/>
      <w:r w:rsidRPr="00A07F29">
        <w:rPr>
          <w:rFonts w:ascii="Times New Roman" w:eastAsia="Calibri" w:hAnsi="Times New Roman" w:cs="Times New Roman"/>
          <w:i/>
          <w:sz w:val="24"/>
          <w:szCs w:val="24"/>
        </w:rPr>
        <w:t>Lota</w:t>
      </w:r>
      <w:proofErr w:type="spellEnd"/>
      <w:r w:rsidRPr="00A07F29">
        <w:rPr>
          <w:rFonts w:ascii="Times New Roman" w:eastAsia="Calibri" w:hAnsi="Times New Roman" w:cs="Times New Roman"/>
          <w:i/>
          <w:sz w:val="24"/>
          <w:szCs w:val="24"/>
        </w:rPr>
        <w:t xml:space="preserve"> </w:t>
      </w:r>
      <w:proofErr w:type="spellStart"/>
      <w:r w:rsidRPr="00A07F29">
        <w:rPr>
          <w:rFonts w:ascii="Times New Roman" w:eastAsia="Calibri" w:hAnsi="Times New Roman" w:cs="Times New Roman"/>
          <w:i/>
          <w:sz w:val="24"/>
          <w:szCs w:val="24"/>
        </w:rPr>
        <w:t>lota</w:t>
      </w:r>
      <w:proofErr w:type="spellEnd"/>
      <w:r w:rsidRPr="00A07F29">
        <w:rPr>
          <w:rFonts w:ascii="Times New Roman" w:eastAsia="Calibri" w:hAnsi="Times New Roman" w:cs="Times New Roman"/>
          <w:sz w:val="24"/>
          <w:szCs w:val="24"/>
        </w:rPr>
        <w:t xml:space="preserve">, asaris </w:t>
      </w:r>
      <w:proofErr w:type="spellStart"/>
      <w:r w:rsidRPr="00A07F29">
        <w:rPr>
          <w:rFonts w:ascii="Times New Roman" w:eastAsia="Calibri" w:hAnsi="Times New Roman" w:cs="Times New Roman"/>
          <w:i/>
          <w:sz w:val="24"/>
          <w:szCs w:val="24"/>
        </w:rPr>
        <w:t>Perca</w:t>
      </w:r>
      <w:proofErr w:type="spellEnd"/>
      <w:r w:rsidRPr="00A07F29">
        <w:rPr>
          <w:rFonts w:ascii="Times New Roman" w:eastAsia="Calibri" w:hAnsi="Times New Roman" w:cs="Times New Roman"/>
          <w:i/>
          <w:sz w:val="24"/>
          <w:szCs w:val="24"/>
        </w:rPr>
        <w:t xml:space="preserve"> </w:t>
      </w:r>
      <w:proofErr w:type="spellStart"/>
      <w:r w:rsidRPr="00A07F29">
        <w:rPr>
          <w:rFonts w:ascii="Times New Roman" w:eastAsia="Calibri" w:hAnsi="Times New Roman" w:cs="Times New Roman"/>
          <w:i/>
          <w:sz w:val="24"/>
          <w:szCs w:val="24"/>
        </w:rPr>
        <w:t>fluviatilis</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rotans</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i/>
          <w:sz w:val="24"/>
          <w:szCs w:val="24"/>
        </w:rPr>
        <w:t>Percottus</w:t>
      </w:r>
      <w:proofErr w:type="spellEnd"/>
      <w:r w:rsidRPr="00A07F29">
        <w:rPr>
          <w:rFonts w:ascii="Times New Roman" w:eastAsia="Calibri" w:hAnsi="Times New Roman" w:cs="Times New Roman"/>
          <w:i/>
          <w:sz w:val="24"/>
          <w:szCs w:val="24"/>
        </w:rPr>
        <w:t xml:space="preserve"> </w:t>
      </w:r>
      <w:proofErr w:type="spellStart"/>
      <w:r w:rsidRPr="00A07F29">
        <w:rPr>
          <w:rFonts w:ascii="Times New Roman" w:eastAsia="Calibri" w:hAnsi="Times New Roman" w:cs="Times New Roman"/>
          <w:i/>
          <w:sz w:val="24"/>
          <w:szCs w:val="24"/>
        </w:rPr>
        <w:t>glenii</w:t>
      </w:r>
      <w:proofErr w:type="spellEnd"/>
      <w:r w:rsidRPr="00A07F29">
        <w:rPr>
          <w:rFonts w:ascii="Times New Roman" w:eastAsia="Calibri" w:hAnsi="Times New Roman" w:cs="Times New Roman"/>
          <w:sz w:val="24"/>
          <w:szCs w:val="24"/>
        </w:rPr>
        <w:t xml:space="preserve">, mailīte </w:t>
      </w:r>
      <w:proofErr w:type="spellStart"/>
      <w:r w:rsidRPr="00A07F29">
        <w:rPr>
          <w:rFonts w:ascii="Times New Roman" w:eastAsia="Calibri" w:hAnsi="Times New Roman" w:cs="Times New Roman"/>
          <w:i/>
          <w:sz w:val="24"/>
          <w:szCs w:val="24"/>
        </w:rPr>
        <w:t>Phoxinus</w:t>
      </w:r>
      <w:proofErr w:type="spellEnd"/>
      <w:r w:rsidRPr="00A07F29">
        <w:rPr>
          <w:rFonts w:ascii="Times New Roman" w:eastAsia="Calibri" w:hAnsi="Times New Roman" w:cs="Times New Roman"/>
          <w:i/>
          <w:sz w:val="24"/>
          <w:szCs w:val="24"/>
        </w:rPr>
        <w:t xml:space="preserve"> </w:t>
      </w:r>
      <w:proofErr w:type="spellStart"/>
      <w:r w:rsidRPr="00A07F29">
        <w:rPr>
          <w:rFonts w:ascii="Times New Roman" w:eastAsia="Calibri" w:hAnsi="Times New Roman" w:cs="Times New Roman"/>
          <w:i/>
          <w:sz w:val="24"/>
          <w:szCs w:val="24"/>
        </w:rPr>
        <w:t>phoxinus</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spidiļķis</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i/>
          <w:sz w:val="24"/>
          <w:szCs w:val="24"/>
        </w:rPr>
        <w:t>Rhodeus</w:t>
      </w:r>
      <w:proofErr w:type="spellEnd"/>
      <w:r w:rsidRPr="00A07F29">
        <w:rPr>
          <w:rFonts w:ascii="Times New Roman" w:eastAsia="Calibri" w:hAnsi="Times New Roman" w:cs="Times New Roman"/>
          <w:i/>
          <w:sz w:val="24"/>
          <w:szCs w:val="24"/>
        </w:rPr>
        <w:t xml:space="preserve"> </w:t>
      </w:r>
      <w:proofErr w:type="spellStart"/>
      <w:r w:rsidRPr="00A07F29">
        <w:rPr>
          <w:rFonts w:ascii="Times New Roman" w:eastAsia="Calibri" w:hAnsi="Times New Roman" w:cs="Times New Roman"/>
          <w:i/>
          <w:sz w:val="24"/>
          <w:szCs w:val="24"/>
        </w:rPr>
        <w:t>sericeus</w:t>
      </w:r>
      <w:proofErr w:type="spellEnd"/>
      <w:r w:rsidRPr="00A07F29">
        <w:rPr>
          <w:rFonts w:ascii="Times New Roman" w:eastAsia="Calibri" w:hAnsi="Times New Roman" w:cs="Times New Roman"/>
          <w:i/>
          <w:sz w:val="24"/>
          <w:szCs w:val="24"/>
        </w:rPr>
        <w:t xml:space="preserve"> </w:t>
      </w:r>
      <w:proofErr w:type="spellStart"/>
      <w:r w:rsidRPr="00A07F29">
        <w:rPr>
          <w:rFonts w:ascii="Times New Roman" w:eastAsia="Calibri" w:hAnsi="Times New Roman" w:cs="Times New Roman"/>
          <w:i/>
          <w:sz w:val="24"/>
          <w:szCs w:val="24"/>
        </w:rPr>
        <w:t>amarus</w:t>
      </w:r>
      <w:proofErr w:type="spellEnd"/>
      <w:r w:rsidRPr="00A07F29">
        <w:rPr>
          <w:rFonts w:ascii="Times New Roman" w:eastAsia="Calibri" w:hAnsi="Times New Roman" w:cs="Times New Roman"/>
          <w:sz w:val="24"/>
          <w:szCs w:val="24"/>
        </w:rPr>
        <w:t xml:space="preserve">, rauda </w:t>
      </w:r>
      <w:proofErr w:type="spellStart"/>
      <w:r w:rsidRPr="00A07F29">
        <w:rPr>
          <w:rFonts w:ascii="Times New Roman" w:eastAsia="Calibri" w:hAnsi="Times New Roman" w:cs="Times New Roman"/>
          <w:i/>
          <w:sz w:val="24"/>
          <w:szCs w:val="24"/>
        </w:rPr>
        <w:t>Rutilus</w:t>
      </w:r>
      <w:proofErr w:type="spellEnd"/>
      <w:r w:rsidRPr="00A07F29">
        <w:rPr>
          <w:rFonts w:ascii="Times New Roman" w:eastAsia="Calibri" w:hAnsi="Times New Roman" w:cs="Times New Roman"/>
          <w:i/>
          <w:sz w:val="24"/>
          <w:szCs w:val="24"/>
        </w:rPr>
        <w:t xml:space="preserve"> </w:t>
      </w:r>
      <w:proofErr w:type="spellStart"/>
      <w:r w:rsidRPr="00A07F29">
        <w:rPr>
          <w:rFonts w:ascii="Times New Roman" w:eastAsia="Calibri" w:hAnsi="Times New Roman" w:cs="Times New Roman"/>
          <w:i/>
          <w:sz w:val="24"/>
          <w:szCs w:val="24"/>
        </w:rPr>
        <w:t>rutilus</w:t>
      </w:r>
      <w:proofErr w:type="spellEnd"/>
      <w:r w:rsidRPr="00A07F29">
        <w:rPr>
          <w:rFonts w:ascii="Times New Roman" w:eastAsia="Calibri" w:hAnsi="Times New Roman" w:cs="Times New Roman"/>
          <w:sz w:val="24"/>
          <w:szCs w:val="24"/>
        </w:rPr>
        <w:t xml:space="preserve">, rudulis </w:t>
      </w:r>
      <w:proofErr w:type="spellStart"/>
      <w:r w:rsidRPr="00A07F29">
        <w:rPr>
          <w:rFonts w:ascii="Times New Roman" w:eastAsia="Calibri" w:hAnsi="Times New Roman" w:cs="Times New Roman"/>
          <w:i/>
          <w:sz w:val="24"/>
          <w:szCs w:val="24"/>
        </w:rPr>
        <w:t>Scardinius</w:t>
      </w:r>
      <w:proofErr w:type="spellEnd"/>
      <w:r w:rsidRPr="00A07F29">
        <w:rPr>
          <w:rFonts w:ascii="Times New Roman" w:eastAsia="Calibri" w:hAnsi="Times New Roman" w:cs="Times New Roman"/>
          <w:i/>
          <w:sz w:val="24"/>
          <w:szCs w:val="24"/>
        </w:rPr>
        <w:t xml:space="preserve"> </w:t>
      </w:r>
      <w:proofErr w:type="spellStart"/>
      <w:r w:rsidRPr="00A07F29">
        <w:rPr>
          <w:rFonts w:ascii="Times New Roman" w:eastAsia="Calibri" w:hAnsi="Times New Roman" w:cs="Times New Roman"/>
          <w:i/>
          <w:sz w:val="24"/>
          <w:szCs w:val="24"/>
        </w:rPr>
        <w:t>erythrophthalmus</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sams</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i/>
          <w:sz w:val="24"/>
          <w:szCs w:val="24"/>
        </w:rPr>
        <w:t>Silurus</w:t>
      </w:r>
      <w:proofErr w:type="spellEnd"/>
      <w:r w:rsidRPr="00A07F29">
        <w:rPr>
          <w:rFonts w:ascii="Times New Roman" w:eastAsia="Calibri" w:hAnsi="Times New Roman" w:cs="Times New Roman"/>
          <w:i/>
          <w:sz w:val="24"/>
          <w:szCs w:val="24"/>
        </w:rPr>
        <w:t xml:space="preserve"> </w:t>
      </w:r>
      <w:proofErr w:type="spellStart"/>
      <w:r w:rsidRPr="00A07F29">
        <w:rPr>
          <w:rFonts w:ascii="Times New Roman" w:eastAsia="Calibri" w:hAnsi="Times New Roman" w:cs="Times New Roman"/>
          <w:i/>
          <w:sz w:val="24"/>
          <w:szCs w:val="24"/>
        </w:rPr>
        <w:t>glanis</w:t>
      </w:r>
      <w:proofErr w:type="spellEnd"/>
      <w:r w:rsidRPr="00A07F29">
        <w:rPr>
          <w:rFonts w:ascii="Times New Roman" w:eastAsia="Calibri" w:hAnsi="Times New Roman" w:cs="Times New Roman"/>
          <w:sz w:val="24"/>
          <w:szCs w:val="24"/>
        </w:rPr>
        <w:t xml:space="preserve">, līnis </w:t>
      </w:r>
      <w:proofErr w:type="spellStart"/>
      <w:r w:rsidRPr="00A07F29">
        <w:rPr>
          <w:rFonts w:ascii="Times New Roman" w:eastAsia="Calibri" w:hAnsi="Times New Roman" w:cs="Times New Roman"/>
          <w:i/>
          <w:sz w:val="24"/>
          <w:szCs w:val="24"/>
        </w:rPr>
        <w:t>Tinca</w:t>
      </w:r>
      <w:proofErr w:type="spellEnd"/>
      <w:r w:rsidRPr="00A07F29">
        <w:rPr>
          <w:rFonts w:ascii="Times New Roman" w:eastAsia="Calibri" w:hAnsi="Times New Roman" w:cs="Times New Roman"/>
          <w:i/>
          <w:sz w:val="24"/>
          <w:szCs w:val="24"/>
        </w:rPr>
        <w:t xml:space="preserve"> </w:t>
      </w:r>
      <w:proofErr w:type="spellStart"/>
      <w:r w:rsidRPr="00A07F29">
        <w:rPr>
          <w:rFonts w:ascii="Times New Roman" w:eastAsia="Calibri" w:hAnsi="Times New Roman" w:cs="Times New Roman"/>
          <w:i/>
          <w:sz w:val="24"/>
          <w:szCs w:val="24"/>
        </w:rPr>
        <w:t>tinca</w:t>
      </w:r>
      <w:proofErr w:type="spellEnd"/>
      <w:r w:rsidRPr="00A07F29">
        <w:rPr>
          <w:rFonts w:ascii="Times New Roman" w:eastAsia="Calibri" w:hAnsi="Times New Roman" w:cs="Times New Roman"/>
          <w:sz w:val="24"/>
          <w:szCs w:val="24"/>
        </w:rPr>
        <w:t xml:space="preserve">, vimba </w:t>
      </w:r>
      <w:proofErr w:type="spellStart"/>
      <w:r w:rsidRPr="00A07F29">
        <w:rPr>
          <w:rFonts w:ascii="Times New Roman" w:eastAsia="Calibri" w:hAnsi="Times New Roman" w:cs="Times New Roman"/>
          <w:i/>
          <w:sz w:val="24"/>
          <w:szCs w:val="24"/>
        </w:rPr>
        <w:t>Vimba</w:t>
      </w:r>
      <w:proofErr w:type="spellEnd"/>
      <w:r w:rsidRPr="00A07F29">
        <w:rPr>
          <w:rFonts w:ascii="Times New Roman" w:eastAsia="Calibri" w:hAnsi="Times New Roman" w:cs="Times New Roman"/>
          <w:i/>
          <w:sz w:val="24"/>
          <w:szCs w:val="24"/>
        </w:rPr>
        <w:t xml:space="preserve"> </w:t>
      </w:r>
      <w:proofErr w:type="spellStart"/>
      <w:r w:rsidRPr="00A07F29">
        <w:rPr>
          <w:rFonts w:ascii="Times New Roman" w:eastAsia="Calibri" w:hAnsi="Times New Roman" w:cs="Times New Roman"/>
          <w:i/>
          <w:sz w:val="24"/>
          <w:szCs w:val="24"/>
        </w:rPr>
        <w:t>vimba</w:t>
      </w:r>
      <w:proofErr w:type="spellEnd"/>
      <w:r w:rsidRPr="00A07F29">
        <w:rPr>
          <w:rFonts w:ascii="Times New Roman" w:eastAsia="Calibri" w:hAnsi="Times New Roman" w:cs="Times New Roman"/>
          <w:sz w:val="24"/>
          <w:szCs w:val="24"/>
        </w:rPr>
        <w:t>.</w:t>
      </w:r>
      <w:r w:rsidR="00441A9B" w:rsidRPr="00A07F29">
        <w:rPr>
          <w:rFonts w:ascii="Times New Roman" w:eastAsia="Calibri" w:hAnsi="Times New Roman" w:cs="Times New Roman"/>
          <w:sz w:val="24"/>
          <w:szCs w:val="24"/>
        </w:rPr>
        <w:t xml:space="preserve"> </w:t>
      </w:r>
      <w:r w:rsidRPr="00A07F29">
        <w:rPr>
          <w:rFonts w:ascii="Times New Roman" w:eastAsia="Calibri" w:hAnsi="Times New Roman" w:cs="Times New Roman"/>
          <w:sz w:val="24"/>
          <w:szCs w:val="24"/>
        </w:rPr>
        <w:t xml:space="preserve">Monitoringā nav ticis konstatēts, bet zvejā samērā regulāri tiek noķerts zandarts </w:t>
      </w:r>
      <w:proofErr w:type="spellStart"/>
      <w:r w:rsidRPr="00A07F29">
        <w:rPr>
          <w:rFonts w:ascii="Times New Roman" w:eastAsia="Calibri" w:hAnsi="Times New Roman" w:cs="Times New Roman"/>
          <w:i/>
          <w:sz w:val="24"/>
          <w:szCs w:val="24"/>
        </w:rPr>
        <w:t>Sander</w:t>
      </w:r>
      <w:proofErr w:type="spellEnd"/>
      <w:r w:rsidRPr="00A07F29">
        <w:rPr>
          <w:rFonts w:ascii="Times New Roman" w:eastAsia="Calibri" w:hAnsi="Times New Roman" w:cs="Times New Roman"/>
          <w:i/>
          <w:sz w:val="24"/>
          <w:szCs w:val="24"/>
        </w:rPr>
        <w:t xml:space="preserve"> </w:t>
      </w:r>
      <w:proofErr w:type="spellStart"/>
      <w:r w:rsidRPr="00A07F29">
        <w:rPr>
          <w:rFonts w:ascii="Times New Roman" w:eastAsia="Calibri" w:hAnsi="Times New Roman" w:cs="Times New Roman"/>
          <w:i/>
          <w:sz w:val="24"/>
          <w:szCs w:val="24"/>
        </w:rPr>
        <w:t>lucioperca</w:t>
      </w:r>
      <w:proofErr w:type="spellEnd"/>
      <w:r w:rsidRPr="00A07F29">
        <w:rPr>
          <w:rFonts w:ascii="Times New Roman" w:eastAsia="Calibri" w:hAnsi="Times New Roman" w:cs="Times New Roman"/>
          <w:sz w:val="24"/>
          <w:szCs w:val="24"/>
        </w:rPr>
        <w:t>.</w:t>
      </w:r>
    </w:p>
    <w:p w14:paraId="6DA2CD37" w14:textId="2B642A17" w:rsidR="009072CE" w:rsidRPr="00A07F29" w:rsidRDefault="009072CE" w:rsidP="00FE7FE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AAA “Augšdaugava” upēs lielākā daļa no </w:t>
      </w:r>
      <w:r w:rsidR="00726522" w:rsidRPr="00A07F29">
        <w:rPr>
          <w:rFonts w:ascii="Times New Roman" w:eastAsia="Calibri" w:hAnsi="Times New Roman" w:cs="Times New Roman"/>
          <w:sz w:val="24"/>
          <w:szCs w:val="24"/>
        </w:rPr>
        <w:t>Biotopu direktīvas</w:t>
      </w:r>
      <w:r w:rsidRPr="00A07F29">
        <w:rPr>
          <w:rFonts w:ascii="Times New Roman" w:eastAsia="Calibri" w:hAnsi="Times New Roman" w:cs="Times New Roman"/>
          <w:sz w:val="24"/>
          <w:szCs w:val="24"/>
        </w:rPr>
        <w:t xml:space="preserve"> sugām ticamāk nav sastopamas, jo </w:t>
      </w:r>
      <w:proofErr w:type="spellStart"/>
      <w:r w:rsidRPr="00A07F29">
        <w:rPr>
          <w:rFonts w:ascii="Times New Roman" w:eastAsia="Calibri" w:hAnsi="Times New Roman" w:cs="Times New Roman"/>
          <w:sz w:val="24"/>
          <w:szCs w:val="24"/>
        </w:rPr>
        <w:t>anadromo</w:t>
      </w:r>
      <w:proofErr w:type="spellEnd"/>
      <w:r w:rsidRPr="00A07F29">
        <w:rPr>
          <w:rFonts w:ascii="Times New Roman" w:eastAsia="Calibri" w:hAnsi="Times New Roman" w:cs="Times New Roman"/>
          <w:sz w:val="24"/>
          <w:szCs w:val="24"/>
        </w:rPr>
        <w:t xml:space="preserve"> zivju sugu migrācija uz Daugavas augšteci nav iespējama </w:t>
      </w:r>
      <w:r w:rsidR="00FE7FE5" w:rsidRPr="00A07F29">
        <w:rPr>
          <w:rFonts w:ascii="Times New Roman" w:eastAsia="Calibri" w:hAnsi="Times New Roman" w:cs="Times New Roman"/>
          <w:sz w:val="24"/>
          <w:szCs w:val="24"/>
        </w:rPr>
        <w:t xml:space="preserve">uzbūvēto </w:t>
      </w:r>
      <w:r w:rsidRPr="00A07F29">
        <w:rPr>
          <w:rFonts w:ascii="Times New Roman" w:eastAsia="Calibri" w:hAnsi="Times New Roman" w:cs="Times New Roman"/>
          <w:sz w:val="24"/>
          <w:szCs w:val="24"/>
        </w:rPr>
        <w:t xml:space="preserve">hidroelektrostaciju aizsprostu </w:t>
      </w:r>
      <w:r w:rsidR="00FE7FE5" w:rsidRPr="00A07F29">
        <w:rPr>
          <w:rFonts w:ascii="Times New Roman" w:eastAsia="Calibri" w:hAnsi="Times New Roman" w:cs="Times New Roman"/>
          <w:sz w:val="24"/>
          <w:szCs w:val="24"/>
        </w:rPr>
        <w:t>dēļ</w:t>
      </w:r>
      <w:r w:rsidRPr="00A07F29">
        <w:rPr>
          <w:rFonts w:ascii="Times New Roman" w:eastAsia="Calibri" w:hAnsi="Times New Roman" w:cs="Times New Roman"/>
          <w:sz w:val="24"/>
          <w:szCs w:val="24"/>
        </w:rPr>
        <w:t xml:space="preserve">. Pļaviņu HES ūdenskrātuvē izveidojusies neliela vimbas populācija, kuras mazuļi un pieaugušie īpatņi uzturas Daugavā, bet nārsts norisinās Daugavas straujtecēs augšpus HES ietekmes zonas un lielākajās pietekās. </w:t>
      </w:r>
    </w:p>
    <w:p w14:paraId="19A79910" w14:textId="0BAC8B73" w:rsidR="009072CE" w:rsidRPr="00A07F29" w:rsidRDefault="009072CE" w:rsidP="00FE7FE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Pēdējos gados Augšdaugavā konstatēts arī </w:t>
      </w:r>
      <w:proofErr w:type="spellStart"/>
      <w:r w:rsidRPr="00A07F29">
        <w:rPr>
          <w:rFonts w:ascii="Times New Roman" w:eastAsia="Calibri" w:hAnsi="Times New Roman" w:cs="Times New Roman"/>
          <w:sz w:val="24"/>
          <w:szCs w:val="24"/>
        </w:rPr>
        <w:t>spidiļķis</w:t>
      </w:r>
      <w:proofErr w:type="spellEnd"/>
      <w:r w:rsidRPr="00A07F29">
        <w:rPr>
          <w:rFonts w:ascii="Times New Roman" w:eastAsia="Calibri" w:hAnsi="Times New Roman" w:cs="Times New Roman"/>
          <w:sz w:val="24"/>
          <w:szCs w:val="24"/>
        </w:rPr>
        <w:t xml:space="preserve">, kas </w:t>
      </w:r>
      <w:proofErr w:type="spellStart"/>
      <w:r w:rsidRPr="00A07F29">
        <w:rPr>
          <w:rFonts w:ascii="Times New Roman" w:eastAsia="Calibri" w:hAnsi="Times New Roman" w:cs="Times New Roman"/>
          <w:sz w:val="24"/>
          <w:szCs w:val="24"/>
        </w:rPr>
        <w:t>Austrumlatvijā</w:t>
      </w:r>
      <w:proofErr w:type="spellEnd"/>
      <w:r w:rsidRPr="00A07F29">
        <w:rPr>
          <w:rFonts w:ascii="Times New Roman" w:eastAsia="Calibri" w:hAnsi="Times New Roman" w:cs="Times New Roman"/>
          <w:sz w:val="24"/>
          <w:szCs w:val="24"/>
        </w:rPr>
        <w:t xml:space="preserve"> nebija noķerts periodā no 1992.</w:t>
      </w:r>
      <w:r w:rsidR="000756D2">
        <w:rPr>
          <w:rFonts w:ascii="Times New Roman" w:eastAsia="Calibri" w:hAnsi="Times New Roman" w:cs="Times New Roman"/>
          <w:sz w:val="24"/>
          <w:szCs w:val="24"/>
        </w:rPr>
        <w:t> </w:t>
      </w:r>
      <w:r w:rsidR="00111F76">
        <w:rPr>
          <w:rFonts w:ascii="Times New Roman" w:eastAsia="Calibri" w:hAnsi="Times New Roman" w:cs="Times New Roman"/>
          <w:sz w:val="24"/>
          <w:szCs w:val="24"/>
        </w:rPr>
        <w:t>–</w:t>
      </w:r>
      <w:r w:rsidR="000756D2">
        <w:rPr>
          <w:rFonts w:ascii="Times New Roman" w:eastAsia="Calibri" w:hAnsi="Times New Roman" w:cs="Times New Roman"/>
          <w:sz w:val="24"/>
          <w:szCs w:val="24"/>
        </w:rPr>
        <w:t> </w:t>
      </w:r>
      <w:r w:rsidRPr="00A07F29">
        <w:rPr>
          <w:rFonts w:ascii="Times New Roman" w:eastAsia="Calibri" w:hAnsi="Times New Roman" w:cs="Times New Roman"/>
          <w:sz w:val="24"/>
          <w:szCs w:val="24"/>
        </w:rPr>
        <w:t>2013.</w:t>
      </w:r>
      <w:r w:rsidR="00111F76">
        <w:rPr>
          <w:rFonts w:ascii="Times New Roman" w:eastAsia="Calibri" w:hAnsi="Times New Roman" w:cs="Times New Roman"/>
          <w:sz w:val="24"/>
          <w:szCs w:val="24"/>
        </w:rPr>
        <w:t> </w:t>
      </w:r>
      <w:r w:rsidRPr="00A07F29">
        <w:rPr>
          <w:rFonts w:ascii="Times New Roman" w:eastAsia="Calibri" w:hAnsi="Times New Roman" w:cs="Times New Roman"/>
          <w:sz w:val="24"/>
          <w:szCs w:val="24"/>
        </w:rPr>
        <w:t>g</w:t>
      </w:r>
      <w:r w:rsidR="00111F76">
        <w:rPr>
          <w:rFonts w:ascii="Times New Roman" w:eastAsia="Calibri" w:hAnsi="Times New Roman" w:cs="Times New Roman"/>
          <w:sz w:val="24"/>
          <w:szCs w:val="24"/>
        </w:rPr>
        <w:t>adam</w:t>
      </w:r>
      <w:r w:rsidRPr="00A07F29">
        <w:rPr>
          <w:rFonts w:ascii="Times New Roman" w:eastAsia="Calibri" w:hAnsi="Times New Roman" w:cs="Times New Roman"/>
          <w:sz w:val="24"/>
          <w:szCs w:val="24"/>
        </w:rPr>
        <w:t xml:space="preserve">. Iespējams, ka </w:t>
      </w:r>
      <w:proofErr w:type="spellStart"/>
      <w:r w:rsidRPr="00A07F29">
        <w:rPr>
          <w:rFonts w:ascii="Times New Roman" w:eastAsia="Calibri" w:hAnsi="Times New Roman" w:cs="Times New Roman"/>
          <w:sz w:val="24"/>
          <w:szCs w:val="24"/>
        </w:rPr>
        <w:t>spidiļķis</w:t>
      </w:r>
      <w:proofErr w:type="spellEnd"/>
      <w:r w:rsidRPr="00A07F29">
        <w:rPr>
          <w:rFonts w:ascii="Times New Roman" w:eastAsia="Calibri" w:hAnsi="Times New Roman" w:cs="Times New Roman"/>
          <w:sz w:val="24"/>
          <w:szCs w:val="24"/>
        </w:rPr>
        <w:t xml:space="preserve"> teritorijā ievests, pārvadājot un ūdenstilpēs ielaižot zivis no dīķsaimniecībām. </w:t>
      </w:r>
      <w:proofErr w:type="spellStart"/>
      <w:r w:rsidRPr="00A07F29">
        <w:rPr>
          <w:rFonts w:ascii="Times New Roman" w:eastAsia="Calibri" w:hAnsi="Times New Roman" w:cs="Times New Roman"/>
          <w:sz w:val="24"/>
          <w:szCs w:val="24"/>
        </w:rPr>
        <w:t>Spidiļķis</w:t>
      </w:r>
      <w:proofErr w:type="spellEnd"/>
      <w:r w:rsidRPr="00A07F29">
        <w:rPr>
          <w:rFonts w:ascii="Times New Roman" w:eastAsia="Calibri" w:hAnsi="Times New Roman" w:cs="Times New Roman"/>
          <w:sz w:val="24"/>
          <w:szCs w:val="24"/>
        </w:rPr>
        <w:t xml:space="preserve"> ir </w:t>
      </w:r>
      <w:proofErr w:type="spellStart"/>
      <w:r w:rsidRPr="00A07F29">
        <w:rPr>
          <w:rFonts w:ascii="Times New Roman" w:eastAsia="Calibri" w:hAnsi="Times New Roman" w:cs="Times New Roman"/>
          <w:sz w:val="24"/>
          <w:szCs w:val="24"/>
        </w:rPr>
        <w:t>siltūdens</w:t>
      </w:r>
      <w:proofErr w:type="spellEnd"/>
      <w:r w:rsidRPr="00A07F29">
        <w:rPr>
          <w:rFonts w:ascii="Times New Roman" w:eastAsia="Calibri" w:hAnsi="Times New Roman" w:cs="Times New Roman"/>
          <w:sz w:val="24"/>
          <w:szCs w:val="24"/>
        </w:rPr>
        <w:t xml:space="preserve"> zivju suga, tā īpatņu skaits populācijās un izplatības areāls ZA virzienā varētu pieaugt.</w:t>
      </w:r>
    </w:p>
    <w:p w14:paraId="704466F8" w14:textId="24D95CFE" w:rsidR="004423DE" w:rsidRPr="00A07F29" w:rsidRDefault="00FE7FE5" w:rsidP="004423DE">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AAA “Augšdaugava” </w:t>
      </w:r>
      <w:r w:rsidR="009072CE" w:rsidRPr="00A07F29">
        <w:rPr>
          <w:rFonts w:ascii="Times New Roman" w:eastAsia="Calibri" w:hAnsi="Times New Roman" w:cs="Times New Roman"/>
          <w:sz w:val="24"/>
          <w:szCs w:val="24"/>
        </w:rPr>
        <w:t>sastopama</w:t>
      </w:r>
      <w:r w:rsidR="008F716C" w:rsidRPr="00A07F29">
        <w:rPr>
          <w:rFonts w:ascii="Times New Roman" w:eastAsia="Calibri" w:hAnsi="Times New Roman" w:cs="Times New Roman"/>
          <w:sz w:val="24"/>
          <w:szCs w:val="24"/>
        </w:rPr>
        <w:t xml:space="preserve"> </w:t>
      </w:r>
      <w:r w:rsidR="009072CE" w:rsidRPr="00A07F29">
        <w:rPr>
          <w:rFonts w:ascii="Times New Roman" w:eastAsia="Calibri" w:hAnsi="Times New Roman" w:cs="Times New Roman"/>
          <w:sz w:val="24"/>
          <w:szCs w:val="24"/>
        </w:rPr>
        <w:t xml:space="preserve">Latvijā </w:t>
      </w:r>
      <w:r w:rsidRPr="00A07F29">
        <w:rPr>
          <w:rFonts w:ascii="Times New Roman" w:eastAsia="Calibri" w:hAnsi="Times New Roman" w:cs="Times New Roman"/>
          <w:sz w:val="24"/>
          <w:szCs w:val="24"/>
        </w:rPr>
        <w:t xml:space="preserve">īpaši aizsargājamā </w:t>
      </w:r>
      <w:r w:rsidR="008F716C" w:rsidRPr="00A07F29">
        <w:rPr>
          <w:rFonts w:ascii="Times New Roman" w:eastAsia="Calibri" w:hAnsi="Times New Roman" w:cs="Times New Roman"/>
          <w:sz w:val="24"/>
          <w:szCs w:val="24"/>
        </w:rPr>
        <w:t xml:space="preserve">salate </w:t>
      </w:r>
      <w:proofErr w:type="spellStart"/>
      <w:r w:rsidR="008F716C" w:rsidRPr="00A07F29">
        <w:rPr>
          <w:rFonts w:ascii="Times New Roman" w:eastAsia="Calibri" w:hAnsi="Times New Roman" w:cs="Times New Roman"/>
          <w:i/>
          <w:sz w:val="24"/>
          <w:szCs w:val="24"/>
        </w:rPr>
        <w:t>Aspius</w:t>
      </w:r>
      <w:proofErr w:type="spellEnd"/>
      <w:r w:rsidR="008F716C" w:rsidRPr="00A07F29">
        <w:rPr>
          <w:rFonts w:ascii="Times New Roman" w:eastAsia="Calibri" w:hAnsi="Times New Roman" w:cs="Times New Roman"/>
          <w:i/>
          <w:sz w:val="24"/>
          <w:szCs w:val="24"/>
        </w:rPr>
        <w:t xml:space="preserve"> </w:t>
      </w:r>
      <w:proofErr w:type="spellStart"/>
      <w:r w:rsidR="008F716C" w:rsidRPr="00A07F29">
        <w:rPr>
          <w:rFonts w:ascii="Times New Roman" w:eastAsia="Calibri" w:hAnsi="Times New Roman" w:cs="Times New Roman"/>
          <w:i/>
          <w:sz w:val="24"/>
          <w:szCs w:val="24"/>
        </w:rPr>
        <w:t>aspius</w:t>
      </w:r>
      <w:proofErr w:type="spellEnd"/>
      <w:r w:rsidRPr="00A07F29">
        <w:rPr>
          <w:rFonts w:ascii="Times New Roman" w:eastAsia="Calibri" w:hAnsi="Times New Roman" w:cs="Times New Roman"/>
          <w:sz w:val="24"/>
          <w:szCs w:val="24"/>
        </w:rPr>
        <w:t xml:space="preserve">, </w:t>
      </w:r>
      <w:r w:rsidR="00A648DC">
        <w:rPr>
          <w:rFonts w:ascii="Times New Roman" w:eastAsia="Calibri" w:hAnsi="Times New Roman" w:cs="Times New Roman"/>
          <w:sz w:val="24"/>
          <w:szCs w:val="24"/>
        </w:rPr>
        <w:t>piecas</w:t>
      </w:r>
      <w:r w:rsidRPr="00A07F29">
        <w:rPr>
          <w:rFonts w:ascii="Times New Roman" w:eastAsia="Calibri" w:hAnsi="Times New Roman" w:cs="Times New Roman"/>
          <w:sz w:val="24"/>
          <w:szCs w:val="24"/>
        </w:rPr>
        <w:t xml:space="preserve"> </w:t>
      </w:r>
      <w:r w:rsidR="00726522" w:rsidRPr="00A07F29">
        <w:rPr>
          <w:rFonts w:ascii="Times New Roman" w:eastAsia="Calibri" w:hAnsi="Times New Roman" w:cs="Times New Roman"/>
          <w:sz w:val="24"/>
          <w:szCs w:val="24"/>
        </w:rPr>
        <w:t>Biotopu d</w:t>
      </w:r>
      <w:r w:rsidR="009072CE" w:rsidRPr="00A07F29">
        <w:rPr>
          <w:rFonts w:ascii="Times New Roman" w:eastAsia="Calibri" w:hAnsi="Times New Roman" w:cs="Times New Roman"/>
          <w:sz w:val="24"/>
          <w:szCs w:val="24"/>
        </w:rPr>
        <w:t>irektīvas sugas (</w:t>
      </w:r>
      <w:r w:rsidR="0062044A">
        <w:rPr>
          <w:rFonts w:ascii="Times New Roman" w:eastAsia="Calibri" w:hAnsi="Times New Roman" w:cs="Times New Roman"/>
          <w:sz w:val="24"/>
          <w:szCs w:val="24"/>
        </w:rPr>
        <w:t xml:space="preserve">skat. </w:t>
      </w:r>
      <w:r w:rsidR="009072CE" w:rsidRPr="00A07F29">
        <w:rPr>
          <w:rFonts w:ascii="Times New Roman" w:eastAsia="Calibri" w:hAnsi="Times New Roman" w:cs="Times New Roman"/>
          <w:sz w:val="24"/>
          <w:szCs w:val="24"/>
        </w:rPr>
        <w:t>4.</w:t>
      </w:r>
      <w:r w:rsidR="000264F3">
        <w:rPr>
          <w:rFonts w:ascii="Times New Roman" w:eastAsia="Calibri" w:hAnsi="Times New Roman" w:cs="Times New Roman"/>
          <w:sz w:val="24"/>
          <w:szCs w:val="24"/>
        </w:rPr>
        <w:t>9</w:t>
      </w:r>
      <w:r w:rsidR="009072CE" w:rsidRPr="00A07F29">
        <w:rPr>
          <w:rFonts w:ascii="Times New Roman" w:eastAsia="Calibri" w:hAnsi="Times New Roman" w:cs="Times New Roman"/>
          <w:sz w:val="24"/>
          <w:szCs w:val="24"/>
        </w:rPr>
        <w:t>.1.</w:t>
      </w:r>
      <w:r w:rsidR="000264F3">
        <w:rPr>
          <w:rFonts w:ascii="Times New Roman" w:eastAsia="Calibri" w:hAnsi="Times New Roman" w:cs="Times New Roman"/>
          <w:sz w:val="24"/>
          <w:szCs w:val="24"/>
        </w:rPr>
        <w:t>, 4.9</w:t>
      </w:r>
      <w:r w:rsidR="004423DE" w:rsidRPr="00A07F29">
        <w:rPr>
          <w:rFonts w:ascii="Times New Roman" w:eastAsia="Calibri" w:hAnsi="Times New Roman" w:cs="Times New Roman"/>
          <w:sz w:val="24"/>
          <w:szCs w:val="24"/>
        </w:rPr>
        <w:t>.2.</w:t>
      </w:r>
      <w:r w:rsidR="000264F3">
        <w:rPr>
          <w:rFonts w:ascii="Times New Roman" w:eastAsia="Calibri" w:hAnsi="Times New Roman" w:cs="Times New Roman"/>
          <w:sz w:val="24"/>
          <w:szCs w:val="24"/>
        </w:rPr>
        <w:t>, 4.9</w:t>
      </w:r>
      <w:r w:rsidR="00713D12" w:rsidRPr="00A07F29">
        <w:rPr>
          <w:rFonts w:ascii="Times New Roman" w:eastAsia="Calibri" w:hAnsi="Times New Roman" w:cs="Times New Roman"/>
          <w:sz w:val="24"/>
          <w:szCs w:val="24"/>
        </w:rPr>
        <w:t>.3.</w:t>
      </w:r>
      <w:r w:rsidR="0062044A">
        <w:rPr>
          <w:rFonts w:ascii="Times New Roman" w:eastAsia="Calibri" w:hAnsi="Times New Roman" w:cs="Times New Roman"/>
          <w:sz w:val="24"/>
          <w:szCs w:val="24"/>
        </w:rPr>
        <w:t> </w:t>
      </w:r>
      <w:r w:rsidR="009072CE" w:rsidRPr="00A07F29">
        <w:rPr>
          <w:rFonts w:ascii="Times New Roman" w:eastAsia="Calibri" w:hAnsi="Times New Roman" w:cs="Times New Roman"/>
          <w:sz w:val="24"/>
          <w:szCs w:val="24"/>
        </w:rPr>
        <w:t>tabula)</w:t>
      </w:r>
      <w:r w:rsidRPr="00A07F29">
        <w:rPr>
          <w:rFonts w:ascii="Times New Roman" w:eastAsia="Calibri" w:hAnsi="Times New Roman" w:cs="Times New Roman"/>
          <w:sz w:val="24"/>
          <w:szCs w:val="24"/>
        </w:rPr>
        <w:t xml:space="preserve">, kā arī Latvijas Sarkanajā grāmatā iekļautais </w:t>
      </w:r>
      <w:proofErr w:type="spellStart"/>
      <w:r w:rsidRPr="00A07F29">
        <w:rPr>
          <w:rFonts w:ascii="Times New Roman" w:eastAsia="Calibri" w:hAnsi="Times New Roman" w:cs="Times New Roman"/>
          <w:sz w:val="24"/>
          <w:szCs w:val="24"/>
        </w:rPr>
        <w:t>sams</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i/>
          <w:iCs/>
          <w:sz w:val="24"/>
          <w:szCs w:val="24"/>
        </w:rPr>
        <w:t>Silurus</w:t>
      </w:r>
      <w:proofErr w:type="spellEnd"/>
      <w:r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glanis</w:t>
      </w:r>
      <w:proofErr w:type="spellEnd"/>
      <w:r w:rsidRPr="00A07F29">
        <w:rPr>
          <w:rFonts w:ascii="Times New Roman" w:eastAsia="Calibri" w:hAnsi="Times New Roman" w:cs="Times New Roman"/>
          <w:sz w:val="24"/>
          <w:szCs w:val="24"/>
        </w:rPr>
        <w:t xml:space="preserve">. </w:t>
      </w:r>
      <w:r w:rsidR="004423DE" w:rsidRPr="00A07F29">
        <w:rPr>
          <w:rFonts w:ascii="Times New Roman" w:eastAsia="Calibri" w:hAnsi="Times New Roman" w:cs="Times New Roman"/>
          <w:sz w:val="24"/>
          <w:szCs w:val="24"/>
        </w:rPr>
        <w:t xml:space="preserve">Biežāk sastopami strauta nēģis un </w:t>
      </w:r>
      <w:proofErr w:type="spellStart"/>
      <w:r w:rsidR="004423DE" w:rsidRPr="00A07F29">
        <w:rPr>
          <w:rFonts w:ascii="Times New Roman" w:eastAsia="Calibri" w:hAnsi="Times New Roman" w:cs="Times New Roman"/>
          <w:sz w:val="24"/>
          <w:szCs w:val="24"/>
        </w:rPr>
        <w:t>platgalve</w:t>
      </w:r>
      <w:proofErr w:type="spellEnd"/>
      <w:r w:rsidR="004423DE" w:rsidRPr="00A07F29">
        <w:rPr>
          <w:rFonts w:ascii="Times New Roman" w:eastAsia="Calibri" w:hAnsi="Times New Roman" w:cs="Times New Roman"/>
          <w:sz w:val="24"/>
          <w:szCs w:val="24"/>
        </w:rPr>
        <w:t xml:space="preserve">, bet salate un </w:t>
      </w:r>
      <w:proofErr w:type="spellStart"/>
      <w:r w:rsidR="004423DE" w:rsidRPr="00A07F29">
        <w:rPr>
          <w:rFonts w:ascii="Times New Roman" w:eastAsia="Calibri" w:hAnsi="Times New Roman" w:cs="Times New Roman"/>
          <w:sz w:val="24"/>
          <w:szCs w:val="24"/>
        </w:rPr>
        <w:t>spidiļķis</w:t>
      </w:r>
      <w:proofErr w:type="spellEnd"/>
      <w:r w:rsidR="004423DE" w:rsidRPr="00A07F29">
        <w:rPr>
          <w:rFonts w:ascii="Times New Roman" w:eastAsia="Calibri" w:hAnsi="Times New Roman" w:cs="Times New Roman"/>
          <w:sz w:val="24"/>
          <w:szCs w:val="24"/>
        </w:rPr>
        <w:t xml:space="preserve"> – tikai teritorijas lielākajā upē Daugavā.</w:t>
      </w:r>
    </w:p>
    <w:p w14:paraId="3942AB9A" w14:textId="54AF54B3" w:rsidR="009072CE" w:rsidRPr="00A07F29" w:rsidRDefault="009072CE" w:rsidP="00FE7FE5">
      <w:pPr>
        <w:spacing w:before="240" w:after="120" w:line="240" w:lineRule="auto"/>
        <w:jc w:val="center"/>
        <w:rPr>
          <w:rFonts w:ascii="Times New Roman" w:eastAsia="Calibri" w:hAnsi="Times New Roman" w:cs="Times New Roman"/>
          <w:sz w:val="24"/>
          <w:szCs w:val="24"/>
        </w:rPr>
      </w:pPr>
      <w:r w:rsidRPr="00A07F29">
        <w:rPr>
          <w:rFonts w:ascii="Times New Roman" w:eastAsia="Calibri" w:hAnsi="Times New Roman" w:cs="Times New Roman"/>
          <w:sz w:val="24"/>
          <w:szCs w:val="24"/>
        </w:rPr>
        <w:t>4.</w:t>
      </w:r>
      <w:r w:rsidR="000264F3">
        <w:rPr>
          <w:rFonts w:ascii="Times New Roman" w:eastAsia="Calibri" w:hAnsi="Times New Roman" w:cs="Times New Roman"/>
          <w:sz w:val="24"/>
          <w:szCs w:val="24"/>
        </w:rPr>
        <w:t>9</w:t>
      </w:r>
      <w:r w:rsidRPr="00A07F29">
        <w:rPr>
          <w:rFonts w:ascii="Times New Roman" w:eastAsia="Calibri" w:hAnsi="Times New Roman" w:cs="Times New Roman"/>
          <w:sz w:val="24"/>
          <w:szCs w:val="24"/>
        </w:rPr>
        <w:t>.1.</w:t>
      </w:r>
      <w:r w:rsidR="0062044A">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tabula. AAA “Augšdaugava” sastopamās </w:t>
      </w:r>
      <w:r w:rsidR="00FE7FE5" w:rsidRPr="00A07F29">
        <w:rPr>
          <w:rFonts w:ascii="Times New Roman" w:eastAsia="Calibri" w:hAnsi="Times New Roman" w:cs="Times New Roman"/>
          <w:sz w:val="24"/>
          <w:szCs w:val="24"/>
        </w:rPr>
        <w:t>Biotopu direktīvas</w:t>
      </w:r>
      <w:r w:rsidRPr="00A07F29">
        <w:rPr>
          <w:rFonts w:ascii="Times New Roman" w:eastAsia="Calibri" w:hAnsi="Times New Roman" w:cs="Times New Roman"/>
          <w:sz w:val="24"/>
          <w:szCs w:val="24"/>
        </w:rPr>
        <w:t xml:space="preserve"> zivju un nēģu sugas</w:t>
      </w:r>
    </w:p>
    <w:tbl>
      <w:tblPr>
        <w:tblStyle w:val="Reatabula4"/>
        <w:tblW w:w="0" w:type="auto"/>
        <w:jc w:val="center"/>
        <w:tblLayout w:type="fixed"/>
        <w:tblLook w:val="04A0" w:firstRow="1" w:lastRow="0" w:firstColumn="1" w:lastColumn="0" w:noHBand="0" w:noVBand="1"/>
      </w:tblPr>
      <w:tblGrid>
        <w:gridCol w:w="2065"/>
        <w:gridCol w:w="2041"/>
        <w:gridCol w:w="1109"/>
        <w:gridCol w:w="900"/>
        <w:gridCol w:w="1170"/>
        <w:gridCol w:w="810"/>
        <w:gridCol w:w="921"/>
      </w:tblGrid>
      <w:tr w:rsidR="009072CE" w:rsidRPr="00A07F29" w14:paraId="0F24D680" w14:textId="77777777" w:rsidTr="00485E98">
        <w:trPr>
          <w:jc w:val="center"/>
        </w:trPr>
        <w:tc>
          <w:tcPr>
            <w:tcW w:w="4106" w:type="dxa"/>
            <w:gridSpan w:val="2"/>
            <w:shd w:val="clear" w:color="auto" w:fill="D6E3BC" w:themeFill="accent3" w:themeFillTint="66"/>
          </w:tcPr>
          <w:p w14:paraId="4DBDFFE5" w14:textId="77777777" w:rsidR="009072CE" w:rsidRPr="00A07F29" w:rsidRDefault="009072CE" w:rsidP="009072CE">
            <w:pPr>
              <w:rPr>
                <w:rFonts w:ascii="Times New Roman" w:eastAsia="Calibri" w:hAnsi="Times New Roman" w:cs="Times New Roman"/>
              </w:rPr>
            </w:pPr>
            <w:r w:rsidRPr="00A07F29">
              <w:rPr>
                <w:rFonts w:ascii="Times New Roman" w:eastAsia="Calibri" w:hAnsi="Times New Roman" w:cs="Times New Roman"/>
              </w:rPr>
              <w:t>Suga</w:t>
            </w:r>
          </w:p>
        </w:tc>
        <w:tc>
          <w:tcPr>
            <w:tcW w:w="4910" w:type="dxa"/>
            <w:gridSpan w:val="5"/>
            <w:shd w:val="clear" w:color="auto" w:fill="D6E3BC" w:themeFill="accent3" w:themeFillTint="66"/>
          </w:tcPr>
          <w:p w14:paraId="0D0EE2F0" w14:textId="77777777" w:rsidR="009072CE" w:rsidRPr="00A07F29" w:rsidRDefault="009072CE" w:rsidP="009072CE">
            <w:pPr>
              <w:rPr>
                <w:rFonts w:ascii="Times New Roman" w:eastAsia="Calibri" w:hAnsi="Times New Roman" w:cs="Times New Roman"/>
              </w:rPr>
            </w:pPr>
            <w:r w:rsidRPr="00A07F29">
              <w:rPr>
                <w:rFonts w:ascii="Times New Roman" w:eastAsia="Calibri" w:hAnsi="Times New Roman" w:cs="Times New Roman"/>
              </w:rPr>
              <w:t>Upe</w:t>
            </w:r>
          </w:p>
        </w:tc>
      </w:tr>
      <w:tr w:rsidR="009072CE" w:rsidRPr="00A07F29" w14:paraId="3D169359" w14:textId="77777777" w:rsidTr="00485E98">
        <w:trPr>
          <w:jc w:val="center"/>
        </w:trPr>
        <w:tc>
          <w:tcPr>
            <w:tcW w:w="4106" w:type="dxa"/>
            <w:gridSpan w:val="2"/>
            <w:shd w:val="clear" w:color="auto" w:fill="D6E3BC" w:themeFill="accent3" w:themeFillTint="66"/>
          </w:tcPr>
          <w:p w14:paraId="1345A0A7" w14:textId="77777777" w:rsidR="009072CE" w:rsidRPr="00A07F29" w:rsidRDefault="009072CE" w:rsidP="009072CE">
            <w:pPr>
              <w:jc w:val="center"/>
              <w:rPr>
                <w:rFonts w:ascii="Times New Roman" w:eastAsia="Calibri" w:hAnsi="Times New Roman" w:cs="Times New Roman"/>
              </w:rPr>
            </w:pPr>
            <w:r w:rsidRPr="00A07F29">
              <w:rPr>
                <w:rFonts w:ascii="Times New Roman" w:eastAsia="Calibri" w:hAnsi="Times New Roman" w:cs="Times New Roman"/>
              </w:rPr>
              <w:t>Nosaukums</w:t>
            </w:r>
          </w:p>
        </w:tc>
        <w:tc>
          <w:tcPr>
            <w:tcW w:w="1109" w:type="dxa"/>
            <w:shd w:val="clear" w:color="auto" w:fill="D6E3BC" w:themeFill="accent3" w:themeFillTint="66"/>
          </w:tcPr>
          <w:p w14:paraId="7130EA53" w14:textId="77777777" w:rsidR="009072CE" w:rsidRPr="00A07F29" w:rsidRDefault="009072CE" w:rsidP="009072CE">
            <w:pPr>
              <w:rPr>
                <w:rFonts w:ascii="Times New Roman" w:eastAsia="Calibri" w:hAnsi="Times New Roman" w:cs="Times New Roman"/>
              </w:rPr>
            </w:pPr>
            <w:r w:rsidRPr="00A07F29">
              <w:rPr>
                <w:rFonts w:ascii="Times New Roman" w:eastAsia="Calibri" w:hAnsi="Times New Roman" w:cs="Times New Roman"/>
              </w:rPr>
              <w:t>Daugava</w:t>
            </w:r>
          </w:p>
        </w:tc>
        <w:tc>
          <w:tcPr>
            <w:tcW w:w="900" w:type="dxa"/>
            <w:shd w:val="clear" w:color="auto" w:fill="D6E3BC" w:themeFill="accent3" w:themeFillTint="66"/>
          </w:tcPr>
          <w:p w14:paraId="7C9A732D" w14:textId="77777777" w:rsidR="009072CE" w:rsidRPr="00A07F29" w:rsidRDefault="009072CE" w:rsidP="009072CE">
            <w:pPr>
              <w:rPr>
                <w:rFonts w:ascii="Times New Roman" w:eastAsia="Calibri" w:hAnsi="Times New Roman" w:cs="Times New Roman"/>
              </w:rPr>
            </w:pPr>
            <w:proofErr w:type="spellStart"/>
            <w:r w:rsidRPr="00A07F29">
              <w:rPr>
                <w:rFonts w:ascii="Times New Roman" w:eastAsia="Calibri" w:hAnsi="Times New Roman" w:cs="Times New Roman"/>
              </w:rPr>
              <w:t>Indrica</w:t>
            </w:r>
            <w:proofErr w:type="spellEnd"/>
          </w:p>
        </w:tc>
        <w:tc>
          <w:tcPr>
            <w:tcW w:w="1170" w:type="dxa"/>
            <w:shd w:val="clear" w:color="auto" w:fill="D6E3BC" w:themeFill="accent3" w:themeFillTint="66"/>
          </w:tcPr>
          <w:p w14:paraId="4C417D75" w14:textId="77777777" w:rsidR="009072CE" w:rsidRPr="00A07F29" w:rsidRDefault="009072CE" w:rsidP="009072CE">
            <w:pPr>
              <w:rPr>
                <w:rFonts w:ascii="Times New Roman" w:eastAsia="Calibri" w:hAnsi="Times New Roman" w:cs="Times New Roman"/>
              </w:rPr>
            </w:pPr>
            <w:proofErr w:type="spellStart"/>
            <w:r w:rsidRPr="00A07F29">
              <w:rPr>
                <w:rFonts w:ascii="Times New Roman" w:eastAsia="Calibri" w:hAnsi="Times New Roman" w:cs="Times New Roman"/>
              </w:rPr>
              <w:t>Poguļanka</w:t>
            </w:r>
            <w:proofErr w:type="spellEnd"/>
          </w:p>
        </w:tc>
        <w:tc>
          <w:tcPr>
            <w:tcW w:w="810" w:type="dxa"/>
            <w:shd w:val="clear" w:color="auto" w:fill="D6E3BC" w:themeFill="accent3" w:themeFillTint="66"/>
          </w:tcPr>
          <w:p w14:paraId="0776D1F1" w14:textId="77777777" w:rsidR="009072CE" w:rsidRPr="00A07F29" w:rsidRDefault="009072CE" w:rsidP="009072CE">
            <w:pPr>
              <w:rPr>
                <w:rFonts w:ascii="Times New Roman" w:eastAsia="Calibri" w:hAnsi="Times New Roman" w:cs="Times New Roman"/>
              </w:rPr>
            </w:pPr>
            <w:proofErr w:type="spellStart"/>
            <w:r w:rsidRPr="00A07F29">
              <w:rPr>
                <w:rFonts w:ascii="Times New Roman" w:eastAsia="Calibri" w:hAnsi="Times New Roman" w:cs="Times New Roman"/>
              </w:rPr>
              <w:t>Rudņa</w:t>
            </w:r>
            <w:proofErr w:type="spellEnd"/>
          </w:p>
        </w:tc>
        <w:tc>
          <w:tcPr>
            <w:tcW w:w="921" w:type="dxa"/>
            <w:shd w:val="clear" w:color="auto" w:fill="D6E3BC" w:themeFill="accent3" w:themeFillTint="66"/>
          </w:tcPr>
          <w:p w14:paraId="7460B542" w14:textId="77777777" w:rsidR="009072CE" w:rsidRPr="00A07F29" w:rsidRDefault="009072CE" w:rsidP="009072CE">
            <w:pPr>
              <w:rPr>
                <w:rFonts w:ascii="Times New Roman" w:eastAsia="Calibri" w:hAnsi="Times New Roman" w:cs="Times New Roman"/>
              </w:rPr>
            </w:pPr>
            <w:r w:rsidRPr="00A07F29">
              <w:rPr>
                <w:rFonts w:ascii="Times New Roman" w:eastAsia="Calibri" w:hAnsi="Times New Roman" w:cs="Times New Roman"/>
              </w:rPr>
              <w:t>Skaista</w:t>
            </w:r>
          </w:p>
        </w:tc>
      </w:tr>
      <w:tr w:rsidR="009072CE" w:rsidRPr="00A07F29" w14:paraId="1BC9F7B1" w14:textId="77777777" w:rsidTr="00485E98">
        <w:trPr>
          <w:jc w:val="center"/>
        </w:trPr>
        <w:tc>
          <w:tcPr>
            <w:tcW w:w="2065" w:type="dxa"/>
          </w:tcPr>
          <w:p w14:paraId="261F863D" w14:textId="77777777" w:rsidR="009072CE" w:rsidRPr="00A07F29" w:rsidRDefault="009072CE" w:rsidP="009072CE">
            <w:pPr>
              <w:rPr>
                <w:rFonts w:ascii="Times New Roman" w:eastAsia="Calibri" w:hAnsi="Times New Roman" w:cs="Times New Roman"/>
              </w:rPr>
            </w:pPr>
            <w:r w:rsidRPr="00A07F29">
              <w:rPr>
                <w:rFonts w:ascii="Times New Roman" w:eastAsia="Calibri" w:hAnsi="Times New Roman" w:cs="Times New Roman"/>
              </w:rPr>
              <w:t>Salate</w:t>
            </w:r>
          </w:p>
        </w:tc>
        <w:tc>
          <w:tcPr>
            <w:tcW w:w="2041" w:type="dxa"/>
          </w:tcPr>
          <w:p w14:paraId="226DA1E3" w14:textId="77777777" w:rsidR="009072CE" w:rsidRPr="00A07F29" w:rsidRDefault="009072CE" w:rsidP="009072CE">
            <w:pPr>
              <w:rPr>
                <w:rFonts w:ascii="Times New Roman" w:eastAsia="Calibri" w:hAnsi="Times New Roman" w:cs="Times New Roman"/>
                <w:i/>
              </w:rPr>
            </w:pPr>
            <w:proofErr w:type="spellStart"/>
            <w:r w:rsidRPr="00A07F29">
              <w:rPr>
                <w:rFonts w:ascii="Times New Roman" w:eastAsia="Calibri" w:hAnsi="Times New Roman" w:cs="Times New Roman"/>
                <w:i/>
              </w:rPr>
              <w:t>Aspius</w:t>
            </w:r>
            <w:proofErr w:type="spellEnd"/>
            <w:r w:rsidRPr="00A07F29">
              <w:rPr>
                <w:rFonts w:ascii="Times New Roman" w:eastAsia="Calibri" w:hAnsi="Times New Roman" w:cs="Times New Roman"/>
                <w:i/>
              </w:rPr>
              <w:t xml:space="preserve"> </w:t>
            </w:r>
            <w:proofErr w:type="spellStart"/>
            <w:r w:rsidRPr="00A07F29">
              <w:rPr>
                <w:rFonts w:ascii="Times New Roman" w:eastAsia="Calibri" w:hAnsi="Times New Roman" w:cs="Times New Roman"/>
                <w:i/>
              </w:rPr>
              <w:t>aspius</w:t>
            </w:r>
            <w:proofErr w:type="spellEnd"/>
          </w:p>
        </w:tc>
        <w:tc>
          <w:tcPr>
            <w:tcW w:w="1109" w:type="dxa"/>
          </w:tcPr>
          <w:p w14:paraId="62E83F21" w14:textId="77777777" w:rsidR="009072CE" w:rsidRPr="00A07F29" w:rsidRDefault="009072CE" w:rsidP="009072CE">
            <w:pPr>
              <w:rPr>
                <w:rFonts w:ascii="Times New Roman" w:eastAsia="Calibri" w:hAnsi="Times New Roman" w:cs="Times New Roman"/>
              </w:rPr>
            </w:pPr>
            <w:r w:rsidRPr="00A07F29">
              <w:rPr>
                <w:rFonts w:ascii="Times New Roman" w:eastAsia="Calibri" w:hAnsi="Times New Roman" w:cs="Times New Roman"/>
              </w:rPr>
              <w:t>+</w:t>
            </w:r>
          </w:p>
        </w:tc>
        <w:tc>
          <w:tcPr>
            <w:tcW w:w="900" w:type="dxa"/>
          </w:tcPr>
          <w:p w14:paraId="02CAC1A3" w14:textId="77777777" w:rsidR="009072CE" w:rsidRPr="00A07F29" w:rsidRDefault="009072CE" w:rsidP="009072CE">
            <w:pPr>
              <w:rPr>
                <w:rFonts w:ascii="Times New Roman" w:eastAsia="Calibri" w:hAnsi="Times New Roman" w:cs="Times New Roman"/>
              </w:rPr>
            </w:pPr>
          </w:p>
        </w:tc>
        <w:tc>
          <w:tcPr>
            <w:tcW w:w="1170" w:type="dxa"/>
          </w:tcPr>
          <w:p w14:paraId="37734C3A" w14:textId="77777777" w:rsidR="009072CE" w:rsidRPr="00A07F29" w:rsidRDefault="009072CE" w:rsidP="009072CE">
            <w:pPr>
              <w:rPr>
                <w:rFonts w:ascii="Times New Roman" w:eastAsia="Calibri" w:hAnsi="Times New Roman" w:cs="Times New Roman"/>
              </w:rPr>
            </w:pPr>
          </w:p>
        </w:tc>
        <w:tc>
          <w:tcPr>
            <w:tcW w:w="810" w:type="dxa"/>
          </w:tcPr>
          <w:p w14:paraId="5D4027E2" w14:textId="77777777" w:rsidR="009072CE" w:rsidRPr="00A07F29" w:rsidRDefault="009072CE" w:rsidP="009072CE">
            <w:pPr>
              <w:rPr>
                <w:rFonts w:ascii="Times New Roman" w:eastAsia="Calibri" w:hAnsi="Times New Roman" w:cs="Times New Roman"/>
              </w:rPr>
            </w:pPr>
          </w:p>
        </w:tc>
        <w:tc>
          <w:tcPr>
            <w:tcW w:w="921" w:type="dxa"/>
          </w:tcPr>
          <w:p w14:paraId="0146FFA4" w14:textId="77777777" w:rsidR="009072CE" w:rsidRPr="00A07F29" w:rsidRDefault="009072CE" w:rsidP="009072CE">
            <w:pPr>
              <w:rPr>
                <w:rFonts w:ascii="Times New Roman" w:eastAsia="Calibri" w:hAnsi="Times New Roman" w:cs="Times New Roman"/>
              </w:rPr>
            </w:pPr>
          </w:p>
        </w:tc>
      </w:tr>
      <w:tr w:rsidR="009072CE" w:rsidRPr="00A07F29" w14:paraId="2C809317" w14:textId="77777777" w:rsidTr="00485E98">
        <w:trPr>
          <w:jc w:val="center"/>
        </w:trPr>
        <w:tc>
          <w:tcPr>
            <w:tcW w:w="2065" w:type="dxa"/>
          </w:tcPr>
          <w:p w14:paraId="2E301539" w14:textId="77777777" w:rsidR="009072CE" w:rsidRPr="00A07F29" w:rsidRDefault="009072CE" w:rsidP="009072CE">
            <w:pPr>
              <w:rPr>
                <w:rFonts w:ascii="Times New Roman" w:eastAsia="Calibri" w:hAnsi="Times New Roman" w:cs="Times New Roman"/>
              </w:rPr>
            </w:pPr>
            <w:r w:rsidRPr="00A07F29">
              <w:rPr>
                <w:rFonts w:ascii="Times New Roman" w:eastAsia="Calibri" w:hAnsi="Times New Roman" w:cs="Times New Roman"/>
              </w:rPr>
              <w:t>Akmeņgrauzis</w:t>
            </w:r>
          </w:p>
        </w:tc>
        <w:tc>
          <w:tcPr>
            <w:tcW w:w="2041" w:type="dxa"/>
          </w:tcPr>
          <w:p w14:paraId="05AAFB79" w14:textId="77777777" w:rsidR="009072CE" w:rsidRPr="00A07F29" w:rsidRDefault="009072CE" w:rsidP="009072CE">
            <w:pPr>
              <w:rPr>
                <w:rFonts w:ascii="Times New Roman" w:eastAsia="Calibri" w:hAnsi="Times New Roman" w:cs="Times New Roman"/>
                <w:i/>
              </w:rPr>
            </w:pPr>
            <w:proofErr w:type="spellStart"/>
            <w:r w:rsidRPr="00A07F29">
              <w:rPr>
                <w:rFonts w:ascii="Times New Roman" w:eastAsia="Calibri" w:hAnsi="Times New Roman" w:cs="Times New Roman"/>
                <w:i/>
              </w:rPr>
              <w:t>Cobitis</w:t>
            </w:r>
            <w:proofErr w:type="spellEnd"/>
            <w:r w:rsidRPr="00A07F29">
              <w:rPr>
                <w:rFonts w:ascii="Times New Roman" w:eastAsia="Calibri" w:hAnsi="Times New Roman" w:cs="Times New Roman"/>
                <w:i/>
              </w:rPr>
              <w:t xml:space="preserve"> </w:t>
            </w:r>
            <w:proofErr w:type="spellStart"/>
            <w:r w:rsidRPr="00A07F29">
              <w:rPr>
                <w:rFonts w:ascii="Times New Roman" w:eastAsia="Calibri" w:hAnsi="Times New Roman" w:cs="Times New Roman"/>
                <w:i/>
              </w:rPr>
              <w:t>taenia</w:t>
            </w:r>
            <w:proofErr w:type="spellEnd"/>
          </w:p>
        </w:tc>
        <w:tc>
          <w:tcPr>
            <w:tcW w:w="1109" w:type="dxa"/>
          </w:tcPr>
          <w:p w14:paraId="0B7DFEEE" w14:textId="77777777" w:rsidR="009072CE" w:rsidRPr="00A07F29" w:rsidRDefault="009072CE" w:rsidP="009072CE">
            <w:pPr>
              <w:rPr>
                <w:rFonts w:ascii="Times New Roman" w:eastAsia="Calibri" w:hAnsi="Times New Roman" w:cs="Times New Roman"/>
              </w:rPr>
            </w:pPr>
            <w:r w:rsidRPr="00A07F29">
              <w:rPr>
                <w:rFonts w:ascii="Times New Roman" w:eastAsia="Calibri" w:hAnsi="Times New Roman" w:cs="Times New Roman"/>
              </w:rPr>
              <w:t>+</w:t>
            </w:r>
          </w:p>
        </w:tc>
        <w:tc>
          <w:tcPr>
            <w:tcW w:w="900" w:type="dxa"/>
          </w:tcPr>
          <w:p w14:paraId="7BA9A180" w14:textId="77777777" w:rsidR="009072CE" w:rsidRPr="00A07F29" w:rsidRDefault="009072CE" w:rsidP="009072CE">
            <w:pPr>
              <w:rPr>
                <w:rFonts w:ascii="Times New Roman" w:eastAsia="Calibri" w:hAnsi="Times New Roman" w:cs="Times New Roman"/>
              </w:rPr>
            </w:pPr>
            <w:r w:rsidRPr="00A07F29">
              <w:rPr>
                <w:rFonts w:ascii="Times New Roman" w:eastAsia="Calibri" w:hAnsi="Times New Roman" w:cs="Times New Roman"/>
              </w:rPr>
              <w:t>+</w:t>
            </w:r>
          </w:p>
        </w:tc>
        <w:tc>
          <w:tcPr>
            <w:tcW w:w="1170" w:type="dxa"/>
          </w:tcPr>
          <w:p w14:paraId="35A59410" w14:textId="77777777" w:rsidR="009072CE" w:rsidRPr="00A07F29" w:rsidRDefault="009072CE" w:rsidP="009072CE">
            <w:pPr>
              <w:rPr>
                <w:rFonts w:ascii="Times New Roman" w:eastAsia="Calibri" w:hAnsi="Times New Roman" w:cs="Times New Roman"/>
              </w:rPr>
            </w:pPr>
          </w:p>
        </w:tc>
        <w:tc>
          <w:tcPr>
            <w:tcW w:w="810" w:type="dxa"/>
          </w:tcPr>
          <w:p w14:paraId="2C2E02E7" w14:textId="77777777" w:rsidR="009072CE" w:rsidRPr="00A07F29" w:rsidRDefault="009072CE" w:rsidP="009072CE">
            <w:pPr>
              <w:rPr>
                <w:rFonts w:ascii="Times New Roman" w:eastAsia="Calibri" w:hAnsi="Times New Roman" w:cs="Times New Roman"/>
              </w:rPr>
            </w:pPr>
          </w:p>
        </w:tc>
        <w:tc>
          <w:tcPr>
            <w:tcW w:w="921" w:type="dxa"/>
          </w:tcPr>
          <w:p w14:paraId="7C3230A1" w14:textId="77777777" w:rsidR="009072CE" w:rsidRPr="00A07F29" w:rsidRDefault="009072CE" w:rsidP="009072CE">
            <w:pPr>
              <w:rPr>
                <w:rFonts w:ascii="Times New Roman" w:eastAsia="Calibri" w:hAnsi="Times New Roman" w:cs="Times New Roman"/>
              </w:rPr>
            </w:pPr>
          </w:p>
        </w:tc>
      </w:tr>
      <w:tr w:rsidR="009072CE" w:rsidRPr="00A07F29" w14:paraId="78308231" w14:textId="77777777" w:rsidTr="00485E98">
        <w:trPr>
          <w:jc w:val="center"/>
        </w:trPr>
        <w:tc>
          <w:tcPr>
            <w:tcW w:w="2065" w:type="dxa"/>
          </w:tcPr>
          <w:p w14:paraId="5B97A3E8" w14:textId="77777777" w:rsidR="009072CE" w:rsidRPr="00A07F29" w:rsidRDefault="009072CE" w:rsidP="009072CE">
            <w:pPr>
              <w:rPr>
                <w:rFonts w:ascii="Times New Roman" w:eastAsia="Calibri" w:hAnsi="Times New Roman" w:cs="Times New Roman"/>
              </w:rPr>
            </w:pPr>
            <w:proofErr w:type="spellStart"/>
            <w:r w:rsidRPr="00A07F29">
              <w:rPr>
                <w:rFonts w:ascii="Times New Roman" w:eastAsia="Calibri" w:hAnsi="Times New Roman" w:cs="Times New Roman"/>
              </w:rPr>
              <w:t>Platgalve</w:t>
            </w:r>
            <w:proofErr w:type="spellEnd"/>
          </w:p>
        </w:tc>
        <w:tc>
          <w:tcPr>
            <w:tcW w:w="2041" w:type="dxa"/>
          </w:tcPr>
          <w:p w14:paraId="6377F137" w14:textId="77777777" w:rsidR="009072CE" w:rsidRPr="00A07F29" w:rsidRDefault="009072CE" w:rsidP="009072CE">
            <w:pPr>
              <w:rPr>
                <w:rFonts w:ascii="Times New Roman" w:eastAsia="Calibri" w:hAnsi="Times New Roman" w:cs="Times New Roman"/>
                <w:i/>
              </w:rPr>
            </w:pPr>
            <w:proofErr w:type="spellStart"/>
            <w:r w:rsidRPr="00A07F29">
              <w:rPr>
                <w:rFonts w:ascii="Times New Roman" w:eastAsia="Calibri" w:hAnsi="Times New Roman" w:cs="Times New Roman"/>
                <w:i/>
              </w:rPr>
              <w:t>Cottus</w:t>
            </w:r>
            <w:proofErr w:type="spellEnd"/>
            <w:r w:rsidRPr="00A07F29">
              <w:rPr>
                <w:rFonts w:ascii="Times New Roman" w:eastAsia="Calibri" w:hAnsi="Times New Roman" w:cs="Times New Roman"/>
                <w:i/>
              </w:rPr>
              <w:t xml:space="preserve"> </w:t>
            </w:r>
            <w:proofErr w:type="spellStart"/>
            <w:r w:rsidRPr="00A07F29">
              <w:rPr>
                <w:rFonts w:ascii="Times New Roman" w:eastAsia="Calibri" w:hAnsi="Times New Roman" w:cs="Times New Roman"/>
                <w:i/>
              </w:rPr>
              <w:t>gobio</w:t>
            </w:r>
            <w:proofErr w:type="spellEnd"/>
          </w:p>
        </w:tc>
        <w:tc>
          <w:tcPr>
            <w:tcW w:w="1109" w:type="dxa"/>
          </w:tcPr>
          <w:p w14:paraId="0B6DC771" w14:textId="77777777" w:rsidR="009072CE" w:rsidRPr="00A07F29" w:rsidRDefault="009072CE" w:rsidP="009072CE">
            <w:pPr>
              <w:rPr>
                <w:rFonts w:ascii="Times New Roman" w:eastAsia="Calibri" w:hAnsi="Times New Roman" w:cs="Times New Roman"/>
              </w:rPr>
            </w:pPr>
            <w:r w:rsidRPr="00A07F29">
              <w:rPr>
                <w:rFonts w:ascii="Times New Roman" w:eastAsia="Calibri" w:hAnsi="Times New Roman" w:cs="Times New Roman"/>
              </w:rPr>
              <w:t>+</w:t>
            </w:r>
          </w:p>
        </w:tc>
        <w:tc>
          <w:tcPr>
            <w:tcW w:w="900" w:type="dxa"/>
          </w:tcPr>
          <w:p w14:paraId="0D88E237" w14:textId="77777777" w:rsidR="009072CE" w:rsidRPr="00A07F29" w:rsidRDefault="009072CE" w:rsidP="009072CE">
            <w:pPr>
              <w:rPr>
                <w:rFonts w:ascii="Times New Roman" w:eastAsia="Calibri" w:hAnsi="Times New Roman" w:cs="Times New Roman"/>
              </w:rPr>
            </w:pPr>
            <w:r w:rsidRPr="00A07F29">
              <w:rPr>
                <w:rFonts w:ascii="Times New Roman" w:eastAsia="Calibri" w:hAnsi="Times New Roman" w:cs="Times New Roman"/>
              </w:rPr>
              <w:t>+</w:t>
            </w:r>
          </w:p>
        </w:tc>
        <w:tc>
          <w:tcPr>
            <w:tcW w:w="1170" w:type="dxa"/>
          </w:tcPr>
          <w:p w14:paraId="575B193E" w14:textId="77777777" w:rsidR="009072CE" w:rsidRPr="00A07F29" w:rsidRDefault="009072CE" w:rsidP="009072CE">
            <w:pPr>
              <w:rPr>
                <w:rFonts w:ascii="Times New Roman" w:eastAsia="Calibri" w:hAnsi="Times New Roman" w:cs="Times New Roman"/>
              </w:rPr>
            </w:pPr>
          </w:p>
        </w:tc>
        <w:tc>
          <w:tcPr>
            <w:tcW w:w="810" w:type="dxa"/>
          </w:tcPr>
          <w:p w14:paraId="5CE44161" w14:textId="77777777" w:rsidR="009072CE" w:rsidRPr="00A07F29" w:rsidRDefault="009072CE" w:rsidP="009072CE">
            <w:pPr>
              <w:rPr>
                <w:rFonts w:ascii="Times New Roman" w:eastAsia="Calibri" w:hAnsi="Times New Roman" w:cs="Times New Roman"/>
              </w:rPr>
            </w:pPr>
            <w:r w:rsidRPr="00A07F29">
              <w:rPr>
                <w:rFonts w:ascii="Times New Roman" w:eastAsia="Calibri" w:hAnsi="Times New Roman" w:cs="Times New Roman"/>
              </w:rPr>
              <w:t>+</w:t>
            </w:r>
          </w:p>
        </w:tc>
        <w:tc>
          <w:tcPr>
            <w:tcW w:w="921" w:type="dxa"/>
          </w:tcPr>
          <w:p w14:paraId="3BAD089F" w14:textId="77777777" w:rsidR="009072CE" w:rsidRPr="00A07F29" w:rsidRDefault="009072CE" w:rsidP="009072CE">
            <w:pPr>
              <w:rPr>
                <w:rFonts w:ascii="Times New Roman" w:eastAsia="Calibri" w:hAnsi="Times New Roman" w:cs="Times New Roman"/>
              </w:rPr>
            </w:pPr>
          </w:p>
        </w:tc>
      </w:tr>
      <w:tr w:rsidR="009072CE" w:rsidRPr="00A07F29" w14:paraId="3721B997" w14:textId="77777777" w:rsidTr="00485E98">
        <w:trPr>
          <w:jc w:val="center"/>
        </w:trPr>
        <w:tc>
          <w:tcPr>
            <w:tcW w:w="2065" w:type="dxa"/>
          </w:tcPr>
          <w:p w14:paraId="77FF881C" w14:textId="77777777" w:rsidR="009072CE" w:rsidRPr="00A07F29" w:rsidRDefault="009072CE" w:rsidP="009072CE">
            <w:pPr>
              <w:rPr>
                <w:rFonts w:ascii="Times New Roman" w:eastAsia="Calibri" w:hAnsi="Times New Roman" w:cs="Times New Roman"/>
              </w:rPr>
            </w:pPr>
            <w:r w:rsidRPr="00A07F29">
              <w:rPr>
                <w:rFonts w:ascii="Times New Roman" w:eastAsia="Calibri" w:hAnsi="Times New Roman" w:cs="Times New Roman"/>
              </w:rPr>
              <w:t>Strauta nēģis</w:t>
            </w:r>
          </w:p>
        </w:tc>
        <w:tc>
          <w:tcPr>
            <w:tcW w:w="2041" w:type="dxa"/>
          </w:tcPr>
          <w:p w14:paraId="2115932F" w14:textId="77777777" w:rsidR="009072CE" w:rsidRPr="00A07F29" w:rsidRDefault="009072CE" w:rsidP="009072CE">
            <w:pPr>
              <w:rPr>
                <w:rFonts w:ascii="Times New Roman" w:eastAsia="Calibri" w:hAnsi="Times New Roman" w:cs="Times New Roman"/>
                <w:i/>
              </w:rPr>
            </w:pPr>
            <w:proofErr w:type="spellStart"/>
            <w:r w:rsidRPr="00A07F29">
              <w:rPr>
                <w:rFonts w:ascii="Times New Roman" w:eastAsia="Calibri" w:hAnsi="Times New Roman" w:cs="Times New Roman"/>
                <w:i/>
              </w:rPr>
              <w:t>Lampetra</w:t>
            </w:r>
            <w:proofErr w:type="spellEnd"/>
            <w:r w:rsidRPr="00A07F29">
              <w:rPr>
                <w:rFonts w:ascii="Times New Roman" w:eastAsia="Calibri" w:hAnsi="Times New Roman" w:cs="Times New Roman"/>
                <w:i/>
              </w:rPr>
              <w:t xml:space="preserve"> </w:t>
            </w:r>
            <w:proofErr w:type="spellStart"/>
            <w:r w:rsidRPr="00A07F29">
              <w:rPr>
                <w:rFonts w:ascii="Times New Roman" w:eastAsia="Calibri" w:hAnsi="Times New Roman" w:cs="Times New Roman"/>
                <w:i/>
              </w:rPr>
              <w:t>planeri</w:t>
            </w:r>
            <w:proofErr w:type="spellEnd"/>
          </w:p>
        </w:tc>
        <w:tc>
          <w:tcPr>
            <w:tcW w:w="1109" w:type="dxa"/>
          </w:tcPr>
          <w:p w14:paraId="53BC3309" w14:textId="77777777" w:rsidR="009072CE" w:rsidRPr="00A07F29" w:rsidRDefault="009072CE" w:rsidP="009072CE">
            <w:pPr>
              <w:rPr>
                <w:rFonts w:ascii="Times New Roman" w:eastAsia="Calibri" w:hAnsi="Times New Roman" w:cs="Times New Roman"/>
              </w:rPr>
            </w:pPr>
            <w:r w:rsidRPr="00A07F29">
              <w:rPr>
                <w:rFonts w:ascii="Times New Roman" w:eastAsia="Calibri" w:hAnsi="Times New Roman" w:cs="Times New Roman"/>
              </w:rPr>
              <w:t>+</w:t>
            </w:r>
          </w:p>
        </w:tc>
        <w:tc>
          <w:tcPr>
            <w:tcW w:w="900" w:type="dxa"/>
          </w:tcPr>
          <w:p w14:paraId="75FECC9D" w14:textId="77777777" w:rsidR="009072CE" w:rsidRPr="00A07F29" w:rsidRDefault="009072CE" w:rsidP="009072CE">
            <w:pPr>
              <w:rPr>
                <w:rFonts w:ascii="Times New Roman" w:eastAsia="Calibri" w:hAnsi="Times New Roman" w:cs="Times New Roman"/>
              </w:rPr>
            </w:pPr>
          </w:p>
        </w:tc>
        <w:tc>
          <w:tcPr>
            <w:tcW w:w="1170" w:type="dxa"/>
          </w:tcPr>
          <w:p w14:paraId="4AFC95E6" w14:textId="77777777" w:rsidR="009072CE" w:rsidRPr="00A07F29" w:rsidRDefault="009072CE" w:rsidP="009072CE">
            <w:pPr>
              <w:rPr>
                <w:rFonts w:ascii="Times New Roman" w:eastAsia="Calibri" w:hAnsi="Times New Roman" w:cs="Times New Roman"/>
              </w:rPr>
            </w:pPr>
            <w:r w:rsidRPr="00A07F29">
              <w:rPr>
                <w:rFonts w:ascii="Times New Roman" w:eastAsia="Calibri" w:hAnsi="Times New Roman" w:cs="Times New Roman"/>
              </w:rPr>
              <w:t>+</w:t>
            </w:r>
          </w:p>
        </w:tc>
        <w:tc>
          <w:tcPr>
            <w:tcW w:w="810" w:type="dxa"/>
          </w:tcPr>
          <w:p w14:paraId="570F83ED" w14:textId="77777777" w:rsidR="009072CE" w:rsidRPr="00A07F29" w:rsidRDefault="009072CE" w:rsidP="009072CE">
            <w:pPr>
              <w:rPr>
                <w:rFonts w:ascii="Times New Roman" w:eastAsia="Calibri" w:hAnsi="Times New Roman" w:cs="Times New Roman"/>
              </w:rPr>
            </w:pPr>
            <w:r w:rsidRPr="00A07F29">
              <w:rPr>
                <w:rFonts w:ascii="Times New Roman" w:eastAsia="Calibri" w:hAnsi="Times New Roman" w:cs="Times New Roman"/>
              </w:rPr>
              <w:t>+</w:t>
            </w:r>
          </w:p>
        </w:tc>
        <w:tc>
          <w:tcPr>
            <w:tcW w:w="921" w:type="dxa"/>
          </w:tcPr>
          <w:p w14:paraId="0945001B" w14:textId="77777777" w:rsidR="009072CE" w:rsidRPr="00A07F29" w:rsidRDefault="009072CE" w:rsidP="009072CE">
            <w:pPr>
              <w:rPr>
                <w:rFonts w:ascii="Times New Roman" w:eastAsia="Calibri" w:hAnsi="Times New Roman" w:cs="Times New Roman"/>
              </w:rPr>
            </w:pPr>
            <w:r w:rsidRPr="00A07F29">
              <w:rPr>
                <w:rFonts w:ascii="Times New Roman" w:eastAsia="Calibri" w:hAnsi="Times New Roman" w:cs="Times New Roman"/>
              </w:rPr>
              <w:t>+</w:t>
            </w:r>
          </w:p>
        </w:tc>
      </w:tr>
      <w:tr w:rsidR="009072CE" w:rsidRPr="00A07F29" w14:paraId="2F7670B3" w14:textId="77777777" w:rsidTr="00485E98">
        <w:trPr>
          <w:jc w:val="center"/>
        </w:trPr>
        <w:tc>
          <w:tcPr>
            <w:tcW w:w="2065" w:type="dxa"/>
          </w:tcPr>
          <w:p w14:paraId="23D9AF06" w14:textId="77777777" w:rsidR="009072CE" w:rsidRPr="00A07F29" w:rsidRDefault="009072CE" w:rsidP="009072CE">
            <w:pPr>
              <w:rPr>
                <w:rFonts w:ascii="Times New Roman" w:eastAsia="Calibri" w:hAnsi="Times New Roman" w:cs="Times New Roman"/>
              </w:rPr>
            </w:pPr>
            <w:proofErr w:type="spellStart"/>
            <w:r w:rsidRPr="00A07F29">
              <w:rPr>
                <w:rFonts w:ascii="Times New Roman" w:eastAsia="Calibri" w:hAnsi="Times New Roman" w:cs="Times New Roman"/>
              </w:rPr>
              <w:t>Spidiļķis</w:t>
            </w:r>
            <w:proofErr w:type="spellEnd"/>
          </w:p>
        </w:tc>
        <w:tc>
          <w:tcPr>
            <w:tcW w:w="2041" w:type="dxa"/>
          </w:tcPr>
          <w:p w14:paraId="711C327F" w14:textId="77777777" w:rsidR="009072CE" w:rsidRPr="00A07F29" w:rsidRDefault="009072CE" w:rsidP="009072CE">
            <w:pPr>
              <w:rPr>
                <w:rFonts w:ascii="Times New Roman" w:eastAsia="Calibri" w:hAnsi="Times New Roman" w:cs="Times New Roman"/>
                <w:i/>
              </w:rPr>
            </w:pPr>
            <w:proofErr w:type="spellStart"/>
            <w:r w:rsidRPr="00A07F29">
              <w:rPr>
                <w:rFonts w:ascii="Times New Roman" w:eastAsia="Calibri" w:hAnsi="Times New Roman" w:cs="Times New Roman"/>
                <w:i/>
              </w:rPr>
              <w:t>Rhodeus</w:t>
            </w:r>
            <w:proofErr w:type="spellEnd"/>
            <w:r w:rsidRPr="00A07F29">
              <w:rPr>
                <w:rFonts w:ascii="Times New Roman" w:eastAsia="Calibri" w:hAnsi="Times New Roman" w:cs="Times New Roman"/>
                <w:i/>
              </w:rPr>
              <w:t xml:space="preserve"> </w:t>
            </w:r>
            <w:proofErr w:type="spellStart"/>
            <w:r w:rsidRPr="00A07F29">
              <w:rPr>
                <w:rFonts w:ascii="Times New Roman" w:eastAsia="Calibri" w:hAnsi="Times New Roman" w:cs="Times New Roman"/>
                <w:i/>
              </w:rPr>
              <w:t>sericeus</w:t>
            </w:r>
            <w:proofErr w:type="spellEnd"/>
            <w:r w:rsidRPr="00A07F29">
              <w:rPr>
                <w:rFonts w:ascii="Times New Roman" w:eastAsia="Calibri" w:hAnsi="Times New Roman" w:cs="Times New Roman"/>
                <w:i/>
              </w:rPr>
              <w:t xml:space="preserve"> </w:t>
            </w:r>
            <w:proofErr w:type="spellStart"/>
            <w:r w:rsidRPr="00A07F29">
              <w:rPr>
                <w:rFonts w:ascii="Times New Roman" w:eastAsia="Calibri" w:hAnsi="Times New Roman" w:cs="Times New Roman"/>
                <w:i/>
              </w:rPr>
              <w:t>amarus</w:t>
            </w:r>
            <w:proofErr w:type="spellEnd"/>
          </w:p>
        </w:tc>
        <w:tc>
          <w:tcPr>
            <w:tcW w:w="1109" w:type="dxa"/>
          </w:tcPr>
          <w:p w14:paraId="61CA309D" w14:textId="77777777" w:rsidR="009072CE" w:rsidRPr="00A07F29" w:rsidRDefault="009072CE" w:rsidP="009072CE">
            <w:pPr>
              <w:rPr>
                <w:rFonts w:ascii="Times New Roman" w:eastAsia="Calibri" w:hAnsi="Times New Roman" w:cs="Times New Roman"/>
              </w:rPr>
            </w:pPr>
            <w:r w:rsidRPr="00A07F29">
              <w:rPr>
                <w:rFonts w:ascii="Times New Roman" w:eastAsia="Calibri" w:hAnsi="Times New Roman" w:cs="Times New Roman"/>
              </w:rPr>
              <w:t>+</w:t>
            </w:r>
          </w:p>
        </w:tc>
        <w:tc>
          <w:tcPr>
            <w:tcW w:w="900" w:type="dxa"/>
          </w:tcPr>
          <w:p w14:paraId="24B7E841" w14:textId="77777777" w:rsidR="009072CE" w:rsidRPr="00A07F29" w:rsidRDefault="009072CE" w:rsidP="009072CE">
            <w:pPr>
              <w:rPr>
                <w:rFonts w:ascii="Times New Roman" w:eastAsia="Calibri" w:hAnsi="Times New Roman" w:cs="Times New Roman"/>
              </w:rPr>
            </w:pPr>
          </w:p>
        </w:tc>
        <w:tc>
          <w:tcPr>
            <w:tcW w:w="1170" w:type="dxa"/>
          </w:tcPr>
          <w:p w14:paraId="3E55CAB3" w14:textId="77777777" w:rsidR="009072CE" w:rsidRPr="00A07F29" w:rsidRDefault="009072CE" w:rsidP="009072CE">
            <w:pPr>
              <w:rPr>
                <w:rFonts w:ascii="Times New Roman" w:eastAsia="Calibri" w:hAnsi="Times New Roman" w:cs="Times New Roman"/>
              </w:rPr>
            </w:pPr>
          </w:p>
        </w:tc>
        <w:tc>
          <w:tcPr>
            <w:tcW w:w="810" w:type="dxa"/>
          </w:tcPr>
          <w:p w14:paraId="7C4DFAA2" w14:textId="77777777" w:rsidR="009072CE" w:rsidRPr="00A07F29" w:rsidRDefault="009072CE" w:rsidP="009072CE">
            <w:pPr>
              <w:rPr>
                <w:rFonts w:ascii="Times New Roman" w:eastAsia="Calibri" w:hAnsi="Times New Roman" w:cs="Times New Roman"/>
              </w:rPr>
            </w:pPr>
          </w:p>
        </w:tc>
        <w:tc>
          <w:tcPr>
            <w:tcW w:w="921" w:type="dxa"/>
          </w:tcPr>
          <w:p w14:paraId="56950F3D" w14:textId="77777777" w:rsidR="009072CE" w:rsidRPr="00A07F29" w:rsidRDefault="009072CE" w:rsidP="009072CE">
            <w:pPr>
              <w:rPr>
                <w:rFonts w:ascii="Times New Roman" w:eastAsia="Calibri" w:hAnsi="Times New Roman" w:cs="Times New Roman"/>
              </w:rPr>
            </w:pPr>
          </w:p>
        </w:tc>
      </w:tr>
    </w:tbl>
    <w:p w14:paraId="210B51A5" w14:textId="77777777" w:rsidR="004423DE" w:rsidRPr="00A07F29" w:rsidRDefault="004423DE" w:rsidP="004423DE">
      <w:pPr>
        <w:spacing w:after="120" w:line="240" w:lineRule="auto"/>
        <w:ind w:firstLine="851"/>
        <w:jc w:val="both"/>
        <w:rPr>
          <w:rFonts w:ascii="Times New Roman" w:eastAsia="Calibri" w:hAnsi="Times New Roman" w:cs="Times New Roman"/>
          <w:sz w:val="24"/>
          <w:szCs w:val="24"/>
        </w:rPr>
      </w:pPr>
    </w:p>
    <w:p w14:paraId="5E5F240F" w14:textId="24A11752" w:rsidR="004423DE" w:rsidRPr="00A07F29" w:rsidRDefault="004423DE" w:rsidP="004423DE">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Divās teritorijas upēs </w:t>
      </w:r>
      <w:r w:rsidR="00943E3B">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Daugavā un </w:t>
      </w:r>
      <w:proofErr w:type="spellStart"/>
      <w:r w:rsidRPr="00A07F29">
        <w:rPr>
          <w:rFonts w:ascii="Times New Roman" w:eastAsia="Calibri" w:hAnsi="Times New Roman" w:cs="Times New Roman"/>
          <w:sz w:val="24"/>
          <w:szCs w:val="24"/>
        </w:rPr>
        <w:t>Rudņā</w:t>
      </w:r>
      <w:proofErr w:type="spellEnd"/>
      <w:r w:rsidRPr="00A07F29">
        <w:rPr>
          <w:rFonts w:ascii="Times New Roman" w:eastAsia="Calibri" w:hAnsi="Times New Roman" w:cs="Times New Roman"/>
          <w:sz w:val="24"/>
          <w:szCs w:val="24"/>
        </w:rPr>
        <w:t xml:space="preserve"> konstatēta </w:t>
      </w:r>
      <w:proofErr w:type="spellStart"/>
      <w:r w:rsidRPr="00A07F29">
        <w:rPr>
          <w:rFonts w:ascii="Times New Roman" w:eastAsia="Calibri" w:hAnsi="Times New Roman" w:cs="Times New Roman"/>
          <w:sz w:val="24"/>
          <w:szCs w:val="24"/>
        </w:rPr>
        <w:t>invazīva</w:t>
      </w:r>
      <w:proofErr w:type="spellEnd"/>
      <w:r w:rsidRPr="00A07F29">
        <w:rPr>
          <w:rFonts w:ascii="Times New Roman" w:eastAsia="Calibri" w:hAnsi="Times New Roman" w:cs="Times New Roman"/>
          <w:sz w:val="24"/>
          <w:szCs w:val="24"/>
        </w:rPr>
        <w:t xml:space="preserve"> zivju suga </w:t>
      </w:r>
      <w:proofErr w:type="spellStart"/>
      <w:r w:rsidRPr="00A07F29">
        <w:rPr>
          <w:rFonts w:ascii="Times New Roman" w:eastAsia="Calibri" w:hAnsi="Times New Roman" w:cs="Times New Roman"/>
          <w:sz w:val="24"/>
          <w:szCs w:val="24"/>
        </w:rPr>
        <w:t>rotans</w:t>
      </w:r>
      <w:proofErr w:type="spellEnd"/>
      <w:r w:rsidRPr="00A07F29">
        <w:rPr>
          <w:rFonts w:ascii="Times New Roman" w:eastAsia="Calibri" w:hAnsi="Times New Roman" w:cs="Times New Roman"/>
          <w:sz w:val="24"/>
          <w:szCs w:val="24"/>
        </w:rPr>
        <w:t>.</w:t>
      </w:r>
    </w:p>
    <w:p w14:paraId="02F72ABF" w14:textId="3711A4F5" w:rsidR="004423DE" w:rsidRPr="00A07F29" w:rsidRDefault="004423DE" w:rsidP="004423DE">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lastRenderedPageBreak/>
        <w:t xml:space="preserve">Potenciāli AAA “Augšdaugava” upēs var būt sastopama arī pīkste </w:t>
      </w:r>
      <w:proofErr w:type="spellStart"/>
      <w:r w:rsidRPr="00A07F29">
        <w:rPr>
          <w:rFonts w:ascii="Times New Roman" w:eastAsia="Calibri" w:hAnsi="Times New Roman" w:cs="Times New Roman"/>
          <w:i/>
          <w:sz w:val="24"/>
          <w:szCs w:val="24"/>
        </w:rPr>
        <w:t>Misgurnus</w:t>
      </w:r>
      <w:proofErr w:type="spellEnd"/>
      <w:r w:rsidRPr="00A07F29">
        <w:rPr>
          <w:rFonts w:ascii="Times New Roman" w:eastAsia="Calibri" w:hAnsi="Times New Roman" w:cs="Times New Roman"/>
          <w:i/>
          <w:sz w:val="24"/>
          <w:szCs w:val="24"/>
        </w:rPr>
        <w:t xml:space="preserve"> </w:t>
      </w:r>
      <w:proofErr w:type="spellStart"/>
      <w:r w:rsidRPr="00A07F29">
        <w:rPr>
          <w:rFonts w:ascii="Times New Roman" w:eastAsia="Calibri" w:hAnsi="Times New Roman" w:cs="Times New Roman"/>
          <w:i/>
          <w:sz w:val="24"/>
          <w:szCs w:val="24"/>
        </w:rPr>
        <w:t>fossilis</w:t>
      </w:r>
      <w:proofErr w:type="spellEnd"/>
      <w:r w:rsidRPr="00A07F29">
        <w:rPr>
          <w:rFonts w:ascii="Times New Roman" w:eastAsia="Calibri" w:hAnsi="Times New Roman" w:cs="Times New Roman"/>
          <w:sz w:val="24"/>
          <w:szCs w:val="24"/>
        </w:rPr>
        <w:t>.</w:t>
      </w:r>
    </w:p>
    <w:p w14:paraId="588CE762" w14:textId="77777777" w:rsidR="00EA4099" w:rsidRPr="00A07F29" w:rsidRDefault="00EA4099" w:rsidP="00EA4099">
      <w:pPr>
        <w:keepNext/>
        <w:spacing w:after="0" w:line="240" w:lineRule="auto"/>
        <w:ind w:firstLine="851"/>
        <w:jc w:val="center"/>
        <w:rPr>
          <w:rFonts w:ascii="Times New Roman" w:eastAsia="Calibri" w:hAnsi="Times New Roman" w:cs="Times New Roman"/>
          <w:sz w:val="16"/>
          <w:szCs w:val="16"/>
        </w:rPr>
      </w:pPr>
    </w:p>
    <w:p w14:paraId="6786C5D2" w14:textId="15CD74A0" w:rsidR="00EA4099" w:rsidRPr="00A07F29" w:rsidRDefault="00EA4099" w:rsidP="00EA4099">
      <w:pPr>
        <w:keepNext/>
        <w:spacing w:after="120" w:line="240" w:lineRule="auto"/>
        <w:ind w:firstLine="851"/>
        <w:jc w:val="center"/>
        <w:rPr>
          <w:rFonts w:ascii="Times New Roman" w:eastAsia="Calibri" w:hAnsi="Times New Roman" w:cs="Times New Roman"/>
          <w:sz w:val="24"/>
          <w:szCs w:val="24"/>
        </w:rPr>
      </w:pPr>
      <w:r w:rsidRPr="00A07F29">
        <w:rPr>
          <w:rFonts w:ascii="Times New Roman" w:eastAsia="Calibri" w:hAnsi="Times New Roman" w:cs="Times New Roman"/>
          <w:sz w:val="24"/>
          <w:szCs w:val="24"/>
        </w:rPr>
        <w:t>4</w:t>
      </w:r>
      <w:r w:rsidR="000264F3">
        <w:rPr>
          <w:rFonts w:ascii="Times New Roman" w:eastAsia="Calibri" w:hAnsi="Times New Roman" w:cs="Times New Roman"/>
          <w:sz w:val="24"/>
          <w:szCs w:val="24"/>
        </w:rPr>
        <w:t>.9</w:t>
      </w:r>
      <w:r w:rsidRPr="00A07F29">
        <w:rPr>
          <w:rFonts w:ascii="Times New Roman" w:eastAsia="Calibri" w:hAnsi="Times New Roman" w:cs="Times New Roman"/>
          <w:sz w:val="24"/>
          <w:szCs w:val="24"/>
        </w:rPr>
        <w:t>.2.</w:t>
      </w:r>
      <w:r w:rsidR="00943E3B">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tabula. Aizsargājamās zivju un </w:t>
      </w:r>
      <w:proofErr w:type="spellStart"/>
      <w:r w:rsidRPr="00A07F29">
        <w:rPr>
          <w:rFonts w:ascii="Times New Roman" w:eastAsia="Calibri" w:hAnsi="Times New Roman" w:cs="Times New Roman"/>
          <w:sz w:val="24"/>
          <w:szCs w:val="24"/>
        </w:rPr>
        <w:t>apaļmutnieku</w:t>
      </w:r>
      <w:proofErr w:type="spellEnd"/>
      <w:r w:rsidRPr="00A07F29">
        <w:rPr>
          <w:rFonts w:ascii="Times New Roman" w:eastAsia="Calibri" w:hAnsi="Times New Roman" w:cs="Times New Roman"/>
          <w:sz w:val="24"/>
          <w:szCs w:val="24"/>
        </w:rPr>
        <w:t xml:space="preserve"> sugas AAA “Augšdaugava”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0"/>
        <w:gridCol w:w="2095"/>
        <w:gridCol w:w="2018"/>
        <w:gridCol w:w="1708"/>
        <w:gridCol w:w="1923"/>
      </w:tblGrid>
      <w:tr w:rsidR="00EA4099" w:rsidRPr="00A07F29" w14:paraId="6DC4ACE7" w14:textId="77777777" w:rsidTr="00C1759B">
        <w:trPr>
          <w:cantSplit/>
          <w:trHeight w:val="284"/>
          <w:tblHeader/>
        </w:trPr>
        <w:tc>
          <w:tcPr>
            <w:tcW w:w="856" w:type="pct"/>
            <w:shd w:val="clear" w:color="auto" w:fill="D6E3BC" w:themeFill="accent3" w:themeFillTint="66"/>
            <w:vAlign w:val="center"/>
            <w:hideMark/>
          </w:tcPr>
          <w:p w14:paraId="385FFD47" w14:textId="77777777" w:rsidR="00EA4099" w:rsidRPr="00A07F29" w:rsidRDefault="00EA4099" w:rsidP="00C1759B">
            <w:pPr>
              <w:keepNext/>
              <w:spacing w:before="120" w:after="120"/>
              <w:contextualSpacing/>
              <w:jc w:val="center"/>
              <w:rPr>
                <w:rFonts w:ascii="Times New Roman" w:eastAsia="Times New Roman" w:hAnsi="Times New Roman" w:cs="Times New Roman"/>
                <w:b/>
                <w:color w:val="000000"/>
                <w:sz w:val="20"/>
                <w:lang w:eastAsia="en-GB"/>
              </w:rPr>
            </w:pPr>
            <w:r w:rsidRPr="00A07F29">
              <w:rPr>
                <w:rFonts w:ascii="Times New Roman" w:eastAsia="Times New Roman" w:hAnsi="Times New Roman" w:cs="Times New Roman"/>
                <w:b/>
                <w:color w:val="000000"/>
                <w:sz w:val="20"/>
                <w:lang w:eastAsia="en-GB"/>
              </w:rPr>
              <w:t>Sugas nosaukums latviski</w:t>
            </w:r>
          </w:p>
        </w:tc>
        <w:tc>
          <w:tcPr>
            <w:tcW w:w="1121" w:type="pct"/>
            <w:shd w:val="clear" w:color="auto" w:fill="D6E3BC" w:themeFill="accent3" w:themeFillTint="66"/>
            <w:vAlign w:val="center"/>
            <w:hideMark/>
          </w:tcPr>
          <w:p w14:paraId="55846D86" w14:textId="77777777" w:rsidR="00EA4099" w:rsidRPr="00A07F29" w:rsidRDefault="00EA4099" w:rsidP="00C1759B">
            <w:pPr>
              <w:keepNext/>
              <w:spacing w:before="120" w:after="120"/>
              <w:contextualSpacing/>
              <w:jc w:val="center"/>
              <w:rPr>
                <w:rFonts w:ascii="Times New Roman" w:eastAsia="Times New Roman" w:hAnsi="Times New Roman" w:cs="Times New Roman"/>
                <w:b/>
                <w:color w:val="000000"/>
                <w:sz w:val="20"/>
                <w:lang w:eastAsia="en-GB"/>
              </w:rPr>
            </w:pPr>
            <w:r w:rsidRPr="00A07F29">
              <w:rPr>
                <w:rFonts w:ascii="Times New Roman" w:eastAsia="Times New Roman" w:hAnsi="Times New Roman" w:cs="Times New Roman"/>
                <w:b/>
                <w:color w:val="000000"/>
                <w:sz w:val="20"/>
                <w:lang w:eastAsia="en-GB"/>
              </w:rPr>
              <w:t>Sugas nosaukums latīniski</w:t>
            </w:r>
          </w:p>
        </w:tc>
        <w:tc>
          <w:tcPr>
            <w:tcW w:w="1080" w:type="pct"/>
            <w:shd w:val="clear" w:color="auto" w:fill="D6E3BC" w:themeFill="accent3" w:themeFillTint="66"/>
            <w:vAlign w:val="center"/>
            <w:hideMark/>
          </w:tcPr>
          <w:p w14:paraId="546A9AA0" w14:textId="77777777" w:rsidR="00EA4099" w:rsidRPr="00A07F29" w:rsidRDefault="00EA4099" w:rsidP="00C1759B">
            <w:pPr>
              <w:keepNext/>
              <w:spacing w:before="120" w:after="120"/>
              <w:contextualSpacing/>
              <w:jc w:val="center"/>
              <w:rPr>
                <w:rFonts w:ascii="Times New Roman" w:eastAsia="Times New Roman" w:hAnsi="Times New Roman" w:cs="Times New Roman"/>
                <w:b/>
                <w:color w:val="000000"/>
                <w:sz w:val="20"/>
                <w:lang w:eastAsia="en-GB"/>
              </w:rPr>
            </w:pPr>
            <w:r w:rsidRPr="00A07F29">
              <w:rPr>
                <w:rFonts w:ascii="Times New Roman" w:eastAsia="Times New Roman" w:hAnsi="Times New Roman" w:cs="Times New Roman"/>
                <w:b/>
                <w:color w:val="000000"/>
                <w:sz w:val="20"/>
                <w:lang w:eastAsia="en-GB"/>
              </w:rPr>
              <w:t>Aizsardzības statuss Latvijā</w:t>
            </w:r>
          </w:p>
        </w:tc>
        <w:tc>
          <w:tcPr>
            <w:tcW w:w="914" w:type="pct"/>
            <w:tcBorders>
              <w:bottom w:val="single" w:sz="4" w:space="0" w:color="auto"/>
            </w:tcBorders>
            <w:shd w:val="clear" w:color="auto" w:fill="D6E3BC" w:themeFill="accent3" w:themeFillTint="66"/>
            <w:vAlign w:val="center"/>
            <w:hideMark/>
          </w:tcPr>
          <w:p w14:paraId="18BACA03" w14:textId="77777777" w:rsidR="00EA4099" w:rsidRPr="00A07F29" w:rsidRDefault="00EA4099" w:rsidP="00C1759B">
            <w:pPr>
              <w:keepNext/>
              <w:spacing w:before="120" w:after="120"/>
              <w:contextualSpacing/>
              <w:jc w:val="center"/>
              <w:rPr>
                <w:rFonts w:ascii="Times New Roman" w:eastAsia="Times New Roman" w:hAnsi="Times New Roman" w:cs="Times New Roman"/>
                <w:b/>
                <w:color w:val="000000"/>
                <w:sz w:val="20"/>
                <w:lang w:eastAsia="en-GB"/>
              </w:rPr>
            </w:pPr>
            <w:r w:rsidRPr="00A07F29">
              <w:rPr>
                <w:rFonts w:ascii="Times New Roman" w:eastAsia="Times New Roman" w:hAnsi="Times New Roman" w:cs="Times New Roman"/>
                <w:b/>
                <w:color w:val="000000"/>
                <w:sz w:val="20"/>
                <w:lang w:eastAsia="en-GB"/>
              </w:rPr>
              <w:t>Cits statuss</w:t>
            </w:r>
          </w:p>
        </w:tc>
        <w:tc>
          <w:tcPr>
            <w:tcW w:w="1029" w:type="pct"/>
            <w:tcBorders>
              <w:bottom w:val="single" w:sz="4" w:space="0" w:color="auto"/>
            </w:tcBorders>
            <w:shd w:val="clear" w:color="auto" w:fill="D6E3BC" w:themeFill="accent3" w:themeFillTint="66"/>
            <w:vAlign w:val="center"/>
          </w:tcPr>
          <w:p w14:paraId="50E49F6B" w14:textId="77777777" w:rsidR="00EA4099" w:rsidRPr="00A07F29" w:rsidRDefault="00EA4099" w:rsidP="00C1759B">
            <w:pPr>
              <w:keepNext/>
              <w:spacing w:before="120" w:after="120"/>
              <w:contextualSpacing/>
              <w:jc w:val="center"/>
              <w:rPr>
                <w:rFonts w:ascii="Times New Roman" w:eastAsia="Times New Roman" w:hAnsi="Times New Roman" w:cs="Times New Roman"/>
                <w:b/>
                <w:color w:val="000000"/>
                <w:sz w:val="20"/>
                <w:lang w:eastAsia="en-GB"/>
              </w:rPr>
            </w:pPr>
            <w:r w:rsidRPr="00A07F29">
              <w:rPr>
                <w:rFonts w:ascii="Times New Roman" w:eastAsia="Times New Roman" w:hAnsi="Times New Roman" w:cs="Times New Roman"/>
                <w:b/>
                <w:color w:val="000000"/>
                <w:sz w:val="20"/>
                <w:lang w:eastAsia="en-GB"/>
              </w:rPr>
              <w:t xml:space="preserve">Sugas stāvoklis Latvijā </w:t>
            </w:r>
            <w:r w:rsidRPr="00A07F29">
              <w:rPr>
                <w:rFonts w:ascii="Times New Roman" w:eastAsia="Times New Roman" w:hAnsi="Times New Roman" w:cs="Times New Roman"/>
                <w:b/>
                <w:bCs/>
                <w:color w:val="000000"/>
                <w:szCs w:val="14"/>
                <w:vertAlign w:val="superscript"/>
              </w:rPr>
              <w:t>1</w:t>
            </w:r>
          </w:p>
        </w:tc>
      </w:tr>
      <w:tr w:rsidR="00EA4099" w:rsidRPr="00A07F29" w14:paraId="7F45B474" w14:textId="77777777" w:rsidTr="00C1759B">
        <w:trPr>
          <w:cantSplit/>
          <w:trHeight w:val="284"/>
        </w:trPr>
        <w:tc>
          <w:tcPr>
            <w:tcW w:w="856" w:type="pct"/>
            <w:shd w:val="clear" w:color="auto" w:fill="auto"/>
            <w:noWrap/>
          </w:tcPr>
          <w:p w14:paraId="2D29FC60" w14:textId="77777777" w:rsidR="00EA4099" w:rsidRPr="00A07F29" w:rsidRDefault="00EA4099" w:rsidP="00C1759B">
            <w:pPr>
              <w:spacing w:before="120" w:after="120"/>
              <w:contextualSpacing/>
              <w:rPr>
                <w:rFonts w:ascii="Times New Roman" w:hAnsi="Times New Roman" w:cs="Times New Roman"/>
                <w:sz w:val="20"/>
              </w:rPr>
            </w:pPr>
            <w:r w:rsidRPr="00A07F29">
              <w:rPr>
                <w:rFonts w:ascii="Times New Roman" w:hAnsi="Times New Roman" w:cs="Times New Roman"/>
                <w:sz w:val="20"/>
              </w:rPr>
              <w:t>Akmeņgrauzis</w:t>
            </w:r>
          </w:p>
        </w:tc>
        <w:tc>
          <w:tcPr>
            <w:tcW w:w="1121" w:type="pct"/>
            <w:shd w:val="clear" w:color="auto" w:fill="auto"/>
            <w:noWrap/>
          </w:tcPr>
          <w:p w14:paraId="3EC3BC6D" w14:textId="77777777" w:rsidR="00EA4099" w:rsidRPr="00A07F29" w:rsidRDefault="00EA4099" w:rsidP="00C1759B">
            <w:pPr>
              <w:spacing w:before="120" w:after="120"/>
              <w:contextualSpacing/>
              <w:rPr>
                <w:rFonts w:ascii="Times New Roman" w:hAnsi="Times New Roman" w:cs="Times New Roman"/>
                <w:i/>
                <w:sz w:val="20"/>
              </w:rPr>
            </w:pPr>
            <w:proofErr w:type="spellStart"/>
            <w:r w:rsidRPr="00A07F29">
              <w:rPr>
                <w:rFonts w:ascii="Times New Roman" w:hAnsi="Times New Roman" w:cs="Times New Roman"/>
                <w:i/>
                <w:sz w:val="20"/>
              </w:rPr>
              <w:t>Cobitis</w:t>
            </w:r>
            <w:proofErr w:type="spellEnd"/>
            <w:r w:rsidRPr="00A07F29">
              <w:rPr>
                <w:rFonts w:ascii="Times New Roman" w:hAnsi="Times New Roman" w:cs="Times New Roman"/>
                <w:i/>
                <w:sz w:val="20"/>
              </w:rPr>
              <w:t xml:space="preserve"> </w:t>
            </w:r>
            <w:proofErr w:type="spellStart"/>
            <w:r w:rsidRPr="00A07F29">
              <w:rPr>
                <w:rFonts w:ascii="Times New Roman" w:hAnsi="Times New Roman" w:cs="Times New Roman"/>
                <w:i/>
                <w:sz w:val="20"/>
              </w:rPr>
              <w:t>taenia</w:t>
            </w:r>
            <w:proofErr w:type="spellEnd"/>
          </w:p>
        </w:tc>
        <w:tc>
          <w:tcPr>
            <w:tcW w:w="1080" w:type="pct"/>
            <w:shd w:val="clear" w:color="auto" w:fill="auto"/>
            <w:noWrap/>
          </w:tcPr>
          <w:p w14:paraId="76207B5C" w14:textId="77777777" w:rsidR="00EA4099" w:rsidRPr="00A07F29" w:rsidRDefault="00EA4099" w:rsidP="00C1759B">
            <w:pPr>
              <w:spacing w:before="120" w:after="120"/>
              <w:contextualSpacing/>
              <w:rPr>
                <w:rFonts w:ascii="Times New Roman" w:hAnsi="Times New Roman" w:cs="Times New Roman"/>
                <w:sz w:val="20"/>
              </w:rPr>
            </w:pPr>
          </w:p>
        </w:tc>
        <w:tc>
          <w:tcPr>
            <w:tcW w:w="914" w:type="pct"/>
            <w:shd w:val="clear" w:color="auto" w:fill="auto"/>
            <w:noWrap/>
          </w:tcPr>
          <w:p w14:paraId="5729697D" w14:textId="33E72EA2" w:rsidR="00EA4099" w:rsidRPr="00A07F29" w:rsidRDefault="00ED143B" w:rsidP="00C1759B">
            <w:pPr>
              <w:spacing w:before="120" w:after="120"/>
              <w:contextualSpacing/>
              <w:rPr>
                <w:rFonts w:ascii="Times New Roman" w:hAnsi="Times New Roman" w:cs="Times New Roman"/>
                <w:color w:val="000000"/>
                <w:sz w:val="20"/>
              </w:rPr>
            </w:pPr>
            <w:r>
              <w:rPr>
                <w:rFonts w:ascii="Times New Roman" w:hAnsi="Times New Roman" w:cs="Times New Roman"/>
                <w:color w:val="000000"/>
                <w:sz w:val="20"/>
              </w:rPr>
              <w:t>B</w:t>
            </w:r>
            <w:r w:rsidR="00EA4099" w:rsidRPr="00A07F29">
              <w:rPr>
                <w:rFonts w:ascii="Times New Roman" w:hAnsi="Times New Roman" w:cs="Times New Roman"/>
                <w:color w:val="000000"/>
                <w:sz w:val="20"/>
              </w:rPr>
              <w:t>D II</w:t>
            </w:r>
          </w:p>
        </w:tc>
        <w:tc>
          <w:tcPr>
            <w:tcW w:w="1029" w:type="pct"/>
            <w:shd w:val="clear" w:color="auto" w:fill="auto"/>
          </w:tcPr>
          <w:p w14:paraId="6AC0BDFE" w14:textId="77777777" w:rsidR="00EA4099" w:rsidRPr="00A07F29" w:rsidRDefault="00EA4099" w:rsidP="00C1759B">
            <w:pPr>
              <w:spacing w:before="120" w:after="120"/>
              <w:contextualSpacing/>
              <w:rPr>
                <w:rFonts w:ascii="Times New Roman" w:hAnsi="Times New Roman" w:cs="Times New Roman"/>
                <w:color w:val="000000"/>
                <w:sz w:val="20"/>
              </w:rPr>
            </w:pPr>
            <w:r w:rsidRPr="00A07F29">
              <w:rPr>
                <w:rFonts w:ascii="Times New Roman" w:hAnsi="Times New Roman" w:cs="Times New Roman"/>
                <w:color w:val="000000"/>
                <w:sz w:val="20"/>
              </w:rPr>
              <w:t>FV</w:t>
            </w:r>
          </w:p>
        </w:tc>
      </w:tr>
      <w:tr w:rsidR="00EA4099" w:rsidRPr="00A07F29" w14:paraId="24E9D22F" w14:textId="77777777" w:rsidTr="00C1759B">
        <w:trPr>
          <w:cantSplit/>
          <w:trHeight w:val="284"/>
        </w:trPr>
        <w:tc>
          <w:tcPr>
            <w:tcW w:w="856" w:type="pct"/>
            <w:shd w:val="clear" w:color="auto" w:fill="auto"/>
            <w:noWrap/>
          </w:tcPr>
          <w:p w14:paraId="3028B7A9" w14:textId="77777777" w:rsidR="00EA4099" w:rsidRPr="00A07F29" w:rsidRDefault="00EA4099" w:rsidP="00C1759B">
            <w:pPr>
              <w:spacing w:before="120" w:after="120"/>
              <w:contextualSpacing/>
              <w:rPr>
                <w:rFonts w:ascii="Times New Roman" w:hAnsi="Times New Roman" w:cs="Times New Roman"/>
                <w:sz w:val="20"/>
              </w:rPr>
            </w:pPr>
            <w:proofErr w:type="spellStart"/>
            <w:r w:rsidRPr="00A07F29">
              <w:rPr>
                <w:rFonts w:ascii="Times New Roman" w:hAnsi="Times New Roman" w:cs="Times New Roman"/>
                <w:sz w:val="20"/>
              </w:rPr>
              <w:t>Platgalve</w:t>
            </w:r>
            <w:proofErr w:type="spellEnd"/>
          </w:p>
        </w:tc>
        <w:tc>
          <w:tcPr>
            <w:tcW w:w="1121" w:type="pct"/>
            <w:shd w:val="clear" w:color="auto" w:fill="auto"/>
            <w:noWrap/>
          </w:tcPr>
          <w:p w14:paraId="251A8911" w14:textId="77777777" w:rsidR="00EA4099" w:rsidRPr="00A07F29" w:rsidRDefault="00EA4099" w:rsidP="00C1759B">
            <w:pPr>
              <w:spacing w:before="120" w:after="120"/>
              <w:contextualSpacing/>
              <w:rPr>
                <w:rFonts w:ascii="Times New Roman" w:hAnsi="Times New Roman" w:cs="Times New Roman"/>
                <w:i/>
                <w:sz w:val="20"/>
              </w:rPr>
            </w:pPr>
            <w:proofErr w:type="spellStart"/>
            <w:r w:rsidRPr="00A07F29">
              <w:rPr>
                <w:rFonts w:ascii="Times New Roman" w:hAnsi="Times New Roman" w:cs="Times New Roman"/>
                <w:i/>
                <w:sz w:val="20"/>
              </w:rPr>
              <w:t>Cottus</w:t>
            </w:r>
            <w:proofErr w:type="spellEnd"/>
            <w:r w:rsidRPr="00A07F29">
              <w:rPr>
                <w:rFonts w:ascii="Times New Roman" w:hAnsi="Times New Roman" w:cs="Times New Roman"/>
                <w:i/>
                <w:sz w:val="20"/>
              </w:rPr>
              <w:t xml:space="preserve"> </w:t>
            </w:r>
            <w:proofErr w:type="spellStart"/>
            <w:r w:rsidRPr="00A07F29">
              <w:rPr>
                <w:rFonts w:ascii="Times New Roman" w:hAnsi="Times New Roman" w:cs="Times New Roman"/>
                <w:i/>
                <w:sz w:val="20"/>
              </w:rPr>
              <w:t>gobio</w:t>
            </w:r>
            <w:proofErr w:type="spellEnd"/>
          </w:p>
        </w:tc>
        <w:tc>
          <w:tcPr>
            <w:tcW w:w="1080" w:type="pct"/>
            <w:shd w:val="clear" w:color="auto" w:fill="auto"/>
            <w:noWrap/>
          </w:tcPr>
          <w:p w14:paraId="06090D46" w14:textId="77777777" w:rsidR="00EA4099" w:rsidRPr="00A07F29" w:rsidRDefault="00EA4099" w:rsidP="00C1759B">
            <w:pPr>
              <w:spacing w:before="120" w:after="120"/>
              <w:contextualSpacing/>
              <w:rPr>
                <w:rFonts w:ascii="Times New Roman" w:hAnsi="Times New Roman" w:cs="Times New Roman"/>
                <w:sz w:val="20"/>
              </w:rPr>
            </w:pPr>
          </w:p>
        </w:tc>
        <w:tc>
          <w:tcPr>
            <w:tcW w:w="914" w:type="pct"/>
            <w:shd w:val="clear" w:color="auto" w:fill="auto"/>
            <w:noWrap/>
          </w:tcPr>
          <w:p w14:paraId="244EDD78" w14:textId="1F157CE8" w:rsidR="00EA4099" w:rsidRPr="00A07F29" w:rsidRDefault="00445C73" w:rsidP="00C1759B">
            <w:pPr>
              <w:spacing w:before="120" w:after="120"/>
              <w:contextualSpacing/>
              <w:rPr>
                <w:rFonts w:ascii="Times New Roman" w:hAnsi="Times New Roman" w:cs="Times New Roman"/>
                <w:color w:val="000000"/>
                <w:sz w:val="20"/>
              </w:rPr>
            </w:pPr>
            <w:r>
              <w:rPr>
                <w:rFonts w:ascii="Times New Roman" w:hAnsi="Times New Roman" w:cs="Times New Roman"/>
                <w:color w:val="000000"/>
                <w:sz w:val="20"/>
              </w:rPr>
              <w:t>B</w:t>
            </w:r>
            <w:r w:rsidR="00EA4099" w:rsidRPr="00A07F29">
              <w:rPr>
                <w:rFonts w:ascii="Times New Roman" w:hAnsi="Times New Roman" w:cs="Times New Roman"/>
                <w:color w:val="000000"/>
                <w:sz w:val="20"/>
              </w:rPr>
              <w:t>D II</w:t>
            </w:r>
          </w:p>
        </w:tc>
        <w:tc>
          <w:tcPr>
            <w:tcW w:w="1029" w:type="pct"/>
            <w:shd w:val="clear" w:color="auto" w:fill="auto"/>
          </w:tcPr>
          <w:p w14:paraId="0093106D" w14:textId="77777777" w:rsidR="00EA4099" w:rsidRPr="00A07F29" w:rsidRDefault="00EA4099" w:rsidP="00C1759B">
            <w:pPr>
              <w:spacing w:before="120" w:after="120"/>
              <w:contextualSpacing/>
              <w:rPr>
                <w:rFonts w:ascii="Times New Roman" w:hAnsi="Times New Roman" w:cs="Times New Roman"/>
                <w:color w:val="000000"/>
                <w:sz w:val="20"/>
              </w:rPr>
            </w:pPr>
            <w:r w:rsidRPr="00A07F29">
              <w:rPr>
                <w:rFonts w:ascii="Times New Roman" w:hAnsi="Times New Roman" w:cs="Times New Roman"/>
                <w:color w:val="000000"/>
                <w:sz w:val="20"/>
              </w:rPr>
              <w:t>U2=</w:t>
            </w:r>
          </w:p>
        </w:tc>
      </w:tr>
      <w:tr w:rsidR="00EA4099" w:rsidRPr="00A07F29" w14:paraId="3189E822" w14:textId="77777777" w:rsidTr="00C1759B">
        <w:trPr>
          <w:cantSplit/>
          <w:trHeight w:val="284"/>
        </w:trPr>
        <w:tc>
          <w:tcPr>
            <w:tcW w:w="856" w:type="pct"/>
            <w:shd w:val="clear" w:color="auto" w:fill="auto"/>
            <w:noWrap/>
          </w:tcPr>
          <w:p w14:paraId="39310B79" w14:textId="77777777" w:rsidR="00EA4099" w:rsidRPr="00A07F29" w:rsidRDefault="00EA4099" w:rsidP="00C1759B">
            <w:pPr>
              <w:spacing w:before="120" w:after="120"/>
              <w:contextualSpacing/>
              <w:rPr>
                <w:rFonts w:ascii="Times New Roman" w:hAnsi="Times New Roman" w:cs="Times New Roman"/>
                <w:sz w:val="20"/>
              </w:rPr>
            </w:pPr>
            <w:r w:rsidRPr="00A07F29">
              <w:rPr>
                <w:rFonts w:ascii="Times New Roman" w:hAnsi="Times New Roman" w:cs="Times New Roman"/>
                <w:sz w:val="20"/>
              </w:rPr>
              <w:t>Salate</w:t>
            </w:r>
          </w:p>
        </w:tc>
        <w:tc>
          <w:tcPr>
            <w:tcW w:w="1121" w:type="pct"/>
            <w:shd w:val="clear" w:color="auto" w:fill="auto"/>
            <w:noWrap/>
          </w:tcPr>
          <w:p w14:paraId="2992015B" w14:textId="77777777" w:rsidR="00EA4099" w:rsidRPr="00A07F29" w:rsidRDefault="00EA4099" w:rsidP="00C1759B">
            <w:pPr>
              <w:spacing w:before="120" w:after="120"/>
              <w:contextualSpacing/>
              <w:rPr>
                <w:rFonts w:ascii="Times New Roman" w:hAnsi="Times New Roman" w:cs="Times New Roman"/>
                <w:i/>
                <w:sz w:val="20"/>
              </w:rPr>
            </w:pPr>
            <w:proofErr w:type="spellStart"/>
            <w:r w:rsidRPr="00A07F29">
              <w:rPr>
                <w:rFonts w:ascii="Times New Roman" w:hAnsi="Times New Roman" w:cs="Times New Roman"/>
                <w:i/>
                <w:sz w:val="20"/>
              </w:rPr>
              <w:t>Aspius</w:t>
            </w:r>
            <w:proofErr w:type="spellEnd"/>
            <w:r w:rsidRPr="00A07F29">
              <w:rPr>
                <w:rFonts w:ascii="Times New Roman" w:hAnsi="Times New Roman" w:cs="Times New Roman"/>
                <w:i/>
                <w:sz w:val="20"/>
              </w:rPr>
              <w:t xml:space="preserve"> </w:t>
            </w:r>
            <w:proofErr w:type="spellStart"/>
            <w:r w:rsidRPr="00A07F29">
              <w:rPr>
                <w:rFonts w:ascii="Times New Roman" w:hAnsi="Times New Roman" w:cs="Times New Roman"/>
                <w:i/>
                <w:sz w:val="20"/>
              </w:rPr>
              <w:t>aspius</w:t>
            </w:r>
            <w:proofErr w:type="spellEnd"/>
          </w:p>
        </w:tc>
        <w:tc>
          <w:tcPr>
            <w:tcW w:w="1080" w:type="pct"/>
            <w:shd w:val="clear" w:color="auto" w:fill="auto"/>
            <w:noWrap/>
          </w:tcPr>
          <w:p w14:paraId="614ABA80" w14:textId="77777777" w:rsidR="00EA4099" w:rsidRPr="00A07F29" w:rsidRDefault="00EA4099" w:rsidP="00C1759B">
            <w:pPr>
              <w:spacing w:before="120" w:after="120"/>
              <w:contextualSpacing/>
              <w:rPr>
                <w:rFonts w:ascii="Times New Roman" w:hAnsi="Times New Roman" w:cs="Times New Roman"/>
                <w:sz w:val="20"/>
              </w:rPr>
            </w:pPr>
            <w:r w:rsidRPr="00A07F29">
              <w:rPr>
                <w:rFonts w:ascii="Times New Roman" w:hAnsi="Times New Roman" w:cs="Times New Roman"/>
                <w:sz w:val="20"/>
              </w:rPr>
              <w:t>ĪAS</w:t>
            </w:r>
          </w:p>
        </w:tc>
        <w:tc>
          <w:tcPr>
            <w:tcW w:w="914" w:type="pct"/>
            <w:shd w:val="clear" w:color="auto" w:fill="auto"/>
            <w:noWrap/>
          </w:tcPr>
          <w:p w14:paraId="0AE1B46B" w14:textId="5000B533" w:rsidR="00EA4099" w:rsidRPr="00A07F29" w:rsidRDefault="00445C73" w:rsidP="00C1759B">
            <w:pPr>
              <w:spacing w:before="120" w:after="120"/>
              <w:contextualSpacing/>
              <w:rPr>
                <w:rFonts w:ascii="Times New Roman" w:hAnsi="Times New Roman" w:cs="Times New Roman"/>
                <w:color w:val="000000"/>
                <w:sz w:val="20"/>
              </w:rPr>
            </w:pPr>
            <w:r>
              <w:rPr>
                <w:rFonts w:ascii="Times New Roman" w:hAnsi="Times New Roman" w:cs="Times New Roman"/>
                <w:color w:val="000000"/>
                <w:sz w:val="20"/>
              </w:rPr>
              <w:t>B</w:t>
            </w:r>
            <w:r w:rsidR="00EA4099" w:rsidRPr="00A07F29">
              <w:rPr>
                <w:rFonts w:ascii="Times New Roman" w:hAnsi="Times New Roman" w:cs="Times New Roman"/>
                <w:color w:val="000000"/>
                <w:sz w:val="20"/>
              </w:rPr>
              <w:t>D II</w:t>
            </w:r>
          </w:p>
        </w:tc>
        <w:tc>
          <w:tcPr>
            <w:tcW w:w="1029" w:type="pct"/>
            <w:shd w:val="clear" w:color="auto" w:fill="auto"/>
          </w:tcPr>
          <w:p w14:paraId="0FD32046" w14:textId="77777777" w:rsidR="00EA4099" w:rsidRPr="00A07F29" w:rsidRDefault="00EA4099" w:rsidP="00C1759B">
            <w:pPr>
              <w:spacing w:before="120" w:after="120"/>
              <w:contextualSpacing/>
              <w:rPr>
                <w:rFonts w:ascii="Times New Roman" w:hAnsi="Times New Roman" w:cs="Times New Roman"/>
                <w:color w:val="000000"/>
                <w:sz w:val="20"/>
              </w:rPr>
            </w:pPr>
            <w:r w:rsidRPr="00A07F29">
              <w:rPr>
                <w:rFonts w:ascii="Times New Roman" w:hAnsi="Times New Roman" w:cs="Times New Roman"/>
                <w:color w:val="000000"/>
                <w:sz w:val="20"/>
              </w:rPr>
              <w:t>FV</w:t>
            </w:r>
          </w:p>
        </w:tc>
      </w:tr>
      <w:tr w:rsidR="00EA4099" w:rsidRPr="00A07F29" w14:paraId="6FAD9EC8" w14:textId="77777777" w:rsidTr="00C1759B">
        <w:trPr>
          <w:cantSplit/>
          <w:trHeight w:val="284"/>
        </w:trPr>
        <w:tc>
          <w:tcPr>
            <w:tcW w:w="856" w:type="pct"/>
            <w:shd w:val="clear" w:color="auto" w:fill="auto"/>
            <w:noWrap/>
          </w:tcPr>
          <w:p w14:paraId="129B3DDD" w14:textId="77777777" w:rsidR="00EA4099" w:rsidRPr="00A07F29" w:rsidRDefault="00EA4099" w:rsidP="00C1759B">
            <w:pPr>
              <w:spacing w:before="120" w:after="120"/>
              <w:contextualSpacing/>
              <w:rPr>
                <w:rFonts w:ascii="Times New Roman" w:hAnsi="Times New Roman" w:cs="Times New Roman"/>
                <w:sz w:val="20"/>
              </w:rPr>
            </w:pPr>
            <w:proofErr w:type="spellStart"/>
            <w:r w:rsidRPr="00A07F29">
              <w:rPr>
                <w:rFonts w:ascii="Times New Roman" w:hAnsi="Times New Roman" w:cs="Times New Roman"/>
                <w:sz w:val="20"/>
              </w:rPr>
              <w:t>Spidiļķis</w:t>
            </w:r>
            <w:proofErr w:type="spellEnd"/>
          </w:p>
        </w:tc>
        <w:tc>
          <w:tcPr>
            <w:tcW w:w="1121" w:type="pct"/>
            <w:shd w:val="clear" w:color="auto" w:fill="auto"/>
            <w:noWrap/>
          </w:tcPr>
          <w:p w14:paraId="68A11522" w14:textId="77777777" w:rsidR="00EA4099" w:rsidRPr="00A07F29" w:rsidRDefault="00EA4099" w:rsidP="00C1759B">
            <w:pPr>
              <w:spacing w:before="120" w:after="120"/>
              <w:contextualSpacing/>
              <w:rPr>
                <w:rFonts w:ascii="Times New Roman" w:hAnsi="Times New Roman" w:cs="Times New Roman"/>
                <w:i/>
                <w:sz w:val="20"/>
              </w:rPr>
            </w:pPr>
            <w:proofErr w:type="spellStart"/>
            <w:r w:rsidRPr="00A07F29">
              <w:rPr>
                <w:rFonts w:ascii="Times New Roman" w:hAnsi="Times New Roman" w:cs="Times New Roman"/>
                <w:i/>
                <w:sz w:val="20"/>
              </w:rPr>
              <w:t>Rhodeus</w:t>
            </w:r>
            <w:proofErr w:type="spellEnd"/>
            <w:r w:rsidRPr="00A07F29">
              <w:rPr>
                <w:rFonts w:ascii="Times New Roman" w:hAnsi="Times New Roman" w:cs="Times New Roman"/>
                <w:i/>
                <w:sz w:val="20"/>
              </w:rPr>
              <w:t xml:space="preserve"> </w:t>
            </w:r>
            <w:proofErr w:type="spellStart"/>
            <w:r w:rsidRPr="00A07F29">
              <w:rPr>
                <w:rFonts w:ascii="Times New Roman" w:hAnsi="Times New Roman" w:cs="Times New Roman"/>
                <w:i/>
                <w:sz w:val="20"/>
              </w:rPr>
              <w:t>amarus</w:t>
            </w:r>
            <w:proofErr w:type="spellEnd"/>
          </w:p>
        </w:tc>
        <w:tc>
          <w:tcPr>
            <w:tcW w:w="1080" w:type="pct"/>
            <w:shd w:val="clear" w:color="auto" w:fill="auto"/>
            <w:noWrap/>
          </w:tcPr>
          <w:p w14:paraId="06B4AEFE" w14:textId="77777777" w:rsidR="00EA4099" w:rsidRPr="00A07F29" w:rsidRDefault="00EA4099" w:rsidP="00C1759B">
            <w:pPr>
              <w:spacing w:before="120" w:after="120"/>
              <w:contextualSpacing/>
              <w:rPr>
                <w:rFonts w:ascii="Times New Roman" w:hAnsi="Times New Roman" w:cs="Times New Roman"/>
                <w:sz w:val="20"/>
              </w:rPr>
            </w:pPr>
          </w:p>
        </w:tc>
        <w:tc>
          <w:tcPr>
            <w:tcW w:w="914" w:type="pct"/>
            <w:shd w:val="clear" w:color="auto" w:fill="auto"/>
            <w:noWrap/>
          </w:tcPr>
          <w:p w14:paraId="5CAA007E" w14:textId="5DB4C7B7" w:rsidR="00EA4099" w:rsidRPr="00A07F29" w:rsidRDefault="00445C73" w:rsidP="00C1759B">
            <w:pPr>
              <w:spacing w:before="120" w:after="120"/>
              <w:contextualSpacing/>
              <w:rPr>
                <w:rFonts w:ascii="Times New Roman" w:hAnsi="Times New Roman" w:cs="Times New Roman"/>
                <w:color w:val="000000"/>
                <w:sz w:val="20"/>
              </w:rPr>
            </w:pPr>
            <w:r>
              <w:rPr>
                <w:rFonts w:ascii="Times New Roman" w:hAnsi="Times New Roman" w:cs="Times New Roman"/>
                <w:color w:val="000000"/>
                <w:sz w:val="20"/>
              </w:rPr>
              <w:t>B</w:t>
            </w:r>
            <w:r w:rsidR="00EA4099" w:rsidRPr="00A07F29">
              <w:rPr>
                <w:rFonts w:ascii="Times New Roman" w:hAnsi="Times New Roman" w:cs="Times New Roman"/>
                <w:color w:val="000000"/>
                <w:sz w:val="20"/>
              </w:rPr>
              <w:t>D II</w:t>
            </w:r>
          </w:p>
        </w:tc>
        <w:tc>
          <w:tcPr>
            <w:tcW w:w="1029" w:type="pct"/>
            <w:shd w:val="clear" w:color="auto" w:fill="auto"/>
          </w:tcPr>
          <w:p w14:paraId="00E1C0C9" w14:textId="77777777" w:rsidR="00EA4099" w:rsidRPr="00A07F29" w:rsidRDefault="00EA4099" w:rsidP="00C1759B">
            <w:pPr>
              <w:spacing w:before="120" w:after="120"/>
              <w:contextualSpacing/>
              <w:rPr>
                <w:rFonts w:ascii="Times New Roman" w:hAnsi="Times New Roman" w:cs="Times New Roman"/>
                <w:color w:val="000000"/>
                <w:sz w:val="20"/>
              </w:rPr>
            </w:pPr>
            <w:r w:rsidRPr="00A07F29">
              <w:rPr>
                <w:rFonts w:ascii="Times New Roman" w:hAnsi="Times New Roman" w:cs="Times New Roman"/>
                <w:color w:val="000000"/>
                <w:sz w:val="20"/>
              </w:rPr>
              <w:t>FV</w:t>
            </w:r>
          </w:p>
        </w:tc>
      </w:tr>
      <w:tr w:rsidR="00EA4099" w:rsidRPr="00A07F29" w14:paraId="44273EC0" w14:textId="77777777" w:rsidTr="00C1759B">
        <w:trPr>
          <w:cantSplit/>
          <w:trHeight w:val="284"/>
        </w:trPr>
        <w:tc>
          <w:tcPr>
            <w:tcW w:w="856" w:type="pct"/>
            <w:shd w:val="clear" w:color="auto" w:fill="auto"/>
            <w:noWrap/>
          </w:tcPr>
          <w:p w14:paraId="72B14E99" w14:textId="77777777" w:rsidR="00EA4099" w:rsidRPr="00A07F29" w:rsidRDefault="00EA4099" w:rsidP="00C1759B">
            <w:pPr>
              <w:spacing w:before="120" w:after="120"/>
              <w:contextualSpacing/>
              <w:rPr>
                <w:rFonts w:ascii="Times New Roman" w:hAnsi="Times New Roman" w:cs="Times New Roman"/>
                <w:sz w:val="20"/>
              </w:rPr>
            </w:pPr>
            <w:r w:rsidRPr="00A07F29">
              <w:rPr>
                <w:rFonts w:ascii="Times New Roman" w:hAnsi="Times New Roman" w:cs="Times New Roman"/>
                <w:sz w:val="20"/>
              </w:rPr>
              <w:t>Strauta nēģis</w:t>
            </w:r>
          </w:p>
        </w:tc>
        <w:tc>
          <w:tcPr>
            <w:tcW w:w="1121" w:type="pct"/>
            <w:shd w:val="clear" w:color="auto" w:fill="auto"/>
            <w:noWrap/>
          </w:tcPr>
          <w:p w14:paraId="17213733" w14:textId="77777777" w:rsidR="00EA4099" w:rsidRPr="00A07F29" w:rsidRDefault="00EA4099" w:rsidP="00C1759B">
            <w:pPr>
              <w:spacing w:before="120" w:after="120"/>
              <w:contextualSpacing/>
              <w:rPr>
                <w:rFonts w:ascii="Times New Roman" w:hAnsi="Times New Roman" w:cs="Times New Roman"/>
                <w:i/>
                <w:sz w:val="20"/>
              </w:rPr>
            </w:pPr>
            <w:proofErr w:type="spellStart"/>
            <w:r w:rsidRPr="00A07F29">
              <w:rPr>
                <w:rFonts w:ascii="Times New Roman" w:hAnsi="Times New Roman" w:cs="Times New Roman"/>
                <w:i/>
                <w:sz w:val="20"/>
              </w:rPr>
              <w:t>Lampetra</w:t>
            </w:r>
            <w:proofErr w:type="spellEnd"/>
            <w:r w:rsidRPr="00A07F29">
              <w:rPr>
                <w:rFonts w:ascii="Times New Roman" w:hAnsi="Times New Roman" w:cs="Times New Roman"/>
                <w:i/>
                <w:sz w:val="20"/>
              </w:rPr>
              <w:t xml:space="preserve"> </w:t>
            </w:r>
            <w:proofErr w:type="spellStart"/>
            <w:r w:rsidRPr="00A07F29">
              <w:rPr>
                <w:rFonts w:ascii="Times New Roman" w:hAnsi="Times New Roman" w:cs="Times New Roman"/>
                <w:i/>
                <w:sz w:val="20"/>
              </w:rPr>
              <w:t>planeri</w:t>
            </w:r>
            <w:proofErr w:type="spellEnd"/>
          </w:p>
        </w:tc>
        <w:tc>
          <w:tcPr>
            <w:tcW w:w="1080" w:type="pct"/>
            <w:shd w:val="clear" w:color="auto" w:fill="auto"/>
            <w:noWrap/>
          </w:tcPr>
          <w:p w14:paraId="704F5D7E" w14:textId="77777777" w:rsidR="00EA4099" w:rsidRPr="00A07F29" w:rsidRDefault="00EA4099" w:rsidP="00C1759B">
            <w:pPr>
              <w:spacing w:before="120" w:after="120"/>
              <w:contextualSpacing/>
              <w:rPr>
                <w:rFonts w:ascii="Times New Roman" w:hAnsi="Times New Roman" w:cs="Times New Roman"/>
                <w:sz w:val="20"/>
              </w:rPr>
            </w:pPr>
          </w:p>
        </w:tc>
        <w:tc>
          <w:tcPr>
            <w:tcW w:w="914" w:type="pct"/>
            <w:shd w:val="clear" w:color="auto" w:fill="auto"/>
            <w:noWrap/>
          </w:tcPr>
          <w:p w14:paraId="2FC28CEE" w14:textId="78556D4D" w:rsidR="00EA4099" w:rsidRPr="00A07F29" w:rsidRDefault="00445C73" w:rsidP="00C1759B">
            <w:pPr>
              <w:spacing w:before="120" w:after="120"/>
              <w:contextualSpacing/>
              <w:rPr>
                <w:rFonts w:ascii="Times New Roman" w:hAnsi="Times New Roman" w:cs="Times New Roman"/>
                <w:color w:val="000000"/>
                <w:sz w:val="20"/>
              </w:rPr>
            </w:pPr>
            <w:r>
              <w:rPr>
                <w:rFonts w:ascii="Times New Roman" w:hAnsi="Times New Roman" w:cs="Times New Roman"/>
                <w:color w:val="000000"/>
                <w:sz w:val="20"/>
              </w:rPr>
              <w:t>B</w:t>
            </w:r>
            <w:r w:rsidR="00EA4099" w:rsidRPr="00A07F29">
              <w:rPr>
                <w:rFonts w:ascii="Times New Roman" w:hAnsi="Times New Roman" w:cs="Times New Roman"/>
                <w:color w:val="000000"/>
                <w:sz w:val="20"/>
              </w:rPr>
              <w:t>D II</w:t>
            </w:r>
          </w:p>
        </w:tc>
        <w:tc>
          <w:tcPr>
            <w:tcW w:w="1029" w:type="pct"/>
            <w:shd w:val="clear" w:color="auto" w:fill="auto"/>
          </w:tcPr>
          <w:p w14:paraId="55A55E80" w14:textId="77777777" w:rsidR="00EA4099" w:rsidRPr="00A07F29" w:rsidRDefault="00EA4099" w:rsidP="00C1759B">
            <w:pPr>
              <w:spacing w:before="120" w:after="120"/>
              <w:contextualSpacing/>
              <w:rPr>
                <w:rFonts w:ascii="Times New Roman" w:hAnsi="Times New Roman" w:cs="Times New Roman"/>
                <w:color w:val="000000"/>
                <w:sz w:val="20"/>
              </w:rPr>
            </w:pPr>
            <w:r w:rsidRPr="00A07F29">
              <w:rPr>
                <w:rFonts w:ascii="Times New Roman" w:hAnsi="Times New Roman" w:cs="Times New Roman"/>
                <w:color w:val="000000"/>
                <w:sz w:val="20"/>
              </w:rPr>
              <w:t>FV</w:t>
            </w:r>
          </w:p>
        </w:tc>
      </w:tr>
      <w:tr w:rsidR="00EA4099" w:rsidRPr="00A07F29" w14:paraId="5B40A091" w14:textId="77777777" w:rsidTr="00C1759B">
        <w:trPr>
          <w:cantSplit/>
          <w:trHeight w:val="284"/>
        </w:trPr>
        <w:tc>
          <w:tcPr>
            <w:tcW w:w="856" w:type="pct"/>
            <w:shd w:val="clear" w:color="auto" w:fill="auto"/>
            <w:noWrap/>
          </w:tcPr>
          <w:p w14:paraId="309F14F5" w14:textId="77777777" w:rsidR="00EA4099" w:rsidRPr="00A07F29" w:rsidRDefault="00EA4099" w:rsidP="00C1759B">
            <w:pPr>
              <w:spacing w:before="120" w:after="120"/>
              <w:contextualSpacing/>
              <w:rPr>
                <w:rFonts w:ascii="Times New Roman" w:hAnsi="Times New Roman" w:cs="Times New Roman"/>
                <w:sz w:val="20"/>
              </w:rPr>
            </w:pPr>
            <w:proofErr w:type="spellStart"/>
            <w:r w:rsidRPr="00A07F29">
              <w:rPr>
                <w:rFonts w:ascii="Times New Roman" w:hAnsi="Times New Roman" w:cs="Times New Roman"/>
                <w:sz w:val="20"/>
              </w:rPr>
              <w:t>Sams</w:t>
            </w:r>
            <w:proofErr w:type="spellEnd"/>
          </w:p>
        </w:tc>
        <w:tc>
          <w:tcPr>
            <w:tcW w:w="1121" w:type="pct"/>
            <w:shd w:val="clear" w:color="auto" w:fill="auto"/>
            <w:noWrap/>
          </w:tcPr>
          <w:p w14:paraId="61F3C03C" w14:textId="77777777" w:rsidR="00EA4099" w:rsidRPr="00A07F29" w:rsidRDefault="00EA4099" w:rsidP="00C1759B">
            <w:pPr>
              <w:spacing w:before="120" w:after="120"/>
              <w:contextualSpacing/>
              <w:rPr>
                <w:rFonts w:ascii="Times New Roman" w:hAnsi="Times New Roman" w:cs="Times New Roman"/>
                <w:i/>
                <w:sz w:val="20"/>
              </w:rPr>
            </w:pPr>
            <w:proofErr w:type="spellStart"/>
            <w:r w:rsidRPr="00A07F29">
              <w:rPr>
                <w:rFonts w:ascii="Times New Roman" w:hAnsi="Times New Roman" w:cs="Times New Roman"/>
                <w:i/>
                <w:sz w:val="20"/>
              </w:rPr>
              <w:t>Silurus</w:t>
            </w:r>
            <w:proofErr w:type="spellEnd"/>
            <w:r w:rsidRPr="00A07F29">
              <w:rPr>
                <w:rFonts w:ascii="Times New Roman" w:hAnsi="Times New Roman" w:cs="Times New Roman"/>
                <w:i/>
                <w:sz w:val="20"/>
              </w:rPr>
              <w:t xml:space="preserve"> </w:t>
            </w:r>
            <w:proofErr w:type="spellStart"/>
            <w:r w:rsidRPr="00A07F29">
              <w:rPr>
                <w:rFonts w:ascii="Times New Roman" w:hAnsi="Times New Roman" w:cs="Times New Roman"/>
                <w:i/>
                <w:sz w:val="20"/>
              </w:rPr>
              <w:t>glanis</w:t>
            </w:r>
            <w:proofErr w:type="spellEnd"/>
          </w:p>
        </w:tc>
        <w:tc>
          <w:tcPr>
            <w:tcW w:w="1080" w:type="pct"/>
            <w:shd w:val="clear" w:color="auto" w:fill="auto"/>
            <w:noWrap/>
          </w:tcPr>
          <w:p w14:paraId="5F22B7B4" w14:textId="77777777" w:rsidR="00EA4099" w:rsidRPr="00A07F29" w:rsidRDefault="00EA4099" w:rsidP="00C1759B">
            <w:pPr>
              <w:spacing w:before="120" w:after="120"/>
              <w:contextualSpacing/>
              <w:rPr>
                <w:rFonts w:ascii="Times New Roman" w:hAnsi="Times New Roman" w:cs="Times New Roman"/>
                <w:sz w:val="20"/>
              </w:rPr>
            </w:pPr>
          </w:p>
        </w:tc>
        <w:tc>
          <w:tcPr>
            <w:tcW w:w="914" w:type="pct"/>
            <w:shd w:val="clear" w:color="auto" w:fill="auto"/>
            <w:noWrap/>
          </w:tcPr>
          <w:p w14:paraId="51EE6289" w14:textId="4F4B3C50" w:rsidR="00EA4099" w:rsidRPr="00A07F29" w:rsidRDefault="00ED143B" w:rsidP="00C1759B">
            <w:pPr>
              <w:spacing w:before="120" w:after="120"/>
              <w:contextualSpacing/>
              <w:rPr>
                <w:rFonts w:ascii="Times New Roman" w:hAnsi="Times New Roman" w:cs="Times New Roman"/>
                <w:color w:val="000000"/>
                <w:sz w:val="20"/>
              </w:rPr>
            </w:pPr>
            <w:r>
              <w:rPr>
                <w:rFonts w:ascii="Times New Roman" w:hAnsi="Times New Roman" w:cs="Times New Roman"/>
                <w:color w:val="000000"/>
                <w:sz w:val="20"/>
              </w:rPr>
              <w:t>L</w:t>
            </w:r>
            <w:r w:rsidR="00EA4099" w:rsidRPr="00A07F29">
              <w:rPr>
                <w:rFonts w:ascii="Times New Roman" w:hAnsi="Times New Roman" w:cs="Times New Roman"/>
                <w:color w:val="000000"/>
                <w:sz w:val="20"/>
              </w:rPr>
              <w:t>SG 3</w:t>
            </w:r>
          </w:p>
        </w:tc>
        <w:tc>
          <w:tcPr>
            <w:tcW w:w="1029" w:type="pct"/>
            <w:shd w:val="clear" w:color="auto" w:fill="auto"/>
          </w:tcPr>
          <w:p w14:paraId="4146FC0F" w14:textId="77777777" w:rsidR="00EA4099" w:rsidRPr="00A07F29" w:rsidRDefault="00EA4099" w:rsidP="00C1759B">
            <w:pPr>
              <w:spacing w:before="120" w:after="120"/>
              <w:contextualSpacing/>
              <w:rPr>
                <w:rFonts w:ascii="Times New Roman" w:hAnsi="Times New Roman" w:cs="Times New Roman"/>
                <w:color w:val="000000"/>
                <w:sz w:val="20"/>
              </w:rPr>
            </w:pPr>
          </w:p>
        </w:tc>
      </w:tr>
    </w:tbl>
    <w:p w14:paraId="595CC1B3" w14:textId="77777777" w:rsidR="00EA4099" w:rsidRPr="00A07F29" w:rsidRDefault="00EA4099" w:rsidP="00EA4099">
      <w:pPr>
        <w:spacing w:before="120" w:after="12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 xml:space="preserve">Apzīmējumi: </w:t>
      </w:r>
    </w:p>
    <w:p w14:paraId="567FE6DD" w14:textId="6854A395" w:rsidR="00EA4099" w:rsidRPr="00A07F29" w:rsidRDefault="00445C73" w:rsidP="00EA4099">
      <w:pPr>
        <w:autoSpaceDE w:val="0"/>
        <w:spacing w:before="120" w:after="120"/>
        <w:jc w:val="both"/>
        <w:rPr>
          <w:rFonts w:ascii="Times New Roman" w:hAnsi="Times New Roman" w:cs="Times New Roman"/>
          <w:sz w:val="16"/>
          <w:szCs w:val="16"/>
        </w:rPr>
      </w:pPr>
      <w:r>
        <w:rPr>
          <w:rFonts w:ascii="Times New Roman" w:hAnsi="Times New Roman" w:cs="Times New Roman"/>
          <w:b/>
          <w:bCs/>
          <w:sz w:val="16"/>
          <w:szCs w:val="16"/>
        </w:rPr>
        <w:t>B</w:t>
      </w:r>
      <w:r w:rsidR="00EA4099" w:rsidRPr="00A07F29">
        <w:rPr>
          <w:rFonts w:ascii="Times New Roman" w:hAnsi="Times New Roman" w:cs="Times New Roman"/>
          <w:b/>
          <w:bCs/>
          <w:sz w:val="16"/>
          <w:szCs w:val="16"/>
        </w:rPr>
        <w:t xml:space="preserve">D </w:t>
      </w:r>
      <w:r w:rsidR="00EA4099" w:rsidRPr="00A07F29">
        <w:rPr>
          <w:rFonts w:ascii="Times New Roman" w:hAnsi="Times New Roman" w:cs="Times New Roman"/>
          <w:sz w:val="16"/>
          <w:szCs w:val="16"/>
        </w:rPr>
        <w:t xml:space="preserve">– </w:t>
      </w:r>
      <w:r>
        <w:rPr>
          <w:rFonts w:ascii="Times New Roman" w:hAnsi="Times New Roman" w:cs="Times New Roman"/>
          <w:sz w:val="16"/>
          <w:szCs w:val="16"/>
        </w:rPr>
        <w:t>Biotopu direktīva</w:t>
      </w:r>
      <w:r w:rsidR="001B16B2">
        <w:rPr>
          <w:rFonts w:ascii="Times New Roman" w:hAnsi="Times New Roman" w:cs="Times New Roman"/>
          <w:sz w:val="16"/>
          <w:szCs w:val="16"/>
        </w:rPr>
        <w:t xml:space="preserve">: </w:t>
      </w:r>
      <w:r w:rsidR="00EA4099" w:rsidRPr="00F26634">
        <w:rPr>
          <w:rFonts w:ascii="Times New Roman" w:hAnsi="Times New Roman" w:cs="Times New Roman"/>
          <w:b/>
          <w:sz w:val="16"/>
          <w:szCs w:val="16"/>
        </w:rPr>
        <w:t>II</w:t>
      </w:r>
      <w:r w:rsidR="00EA4099" w:rsidRPr="00A07F29">
        <w:rPr>
          <w:rFonts w:ascii="Times New Roman" w:hAnsi="Times New Roman" w:cs="Times New Roman"/>
          <w:bCs/>
          <w:sz w:val="16"/>
          <w:szCs w:val="16"/>
        </w:rPr>
        <w:t xml:space="preserve"> </w:t>
      </w:r>
      <w:r w:rsidR="00EA4099" w:rsidRPr="00A07F29">
        <w:rPr>
          <w:rFonts w:ascii="Times New Roman" w:hAnsi="Times New Roman" w:cs="Times New Roman"/>
          <w:sz w:val="16"/>
          <w:szCs w:val="16"/>
        </w:rPr>
        <w:t xml:space="preserve">pielikums. Dzīvnieku un augu sugas, kas ir Kopienas interešu sfērā un kuru aizsardzībai nepieciešama īpaši aizsargājamo teritoriju nodalīšana; </w:t>
      </w:r>
      <w:r w:rsidR="00EA4099" w:rsidRPr="00F26634">
        <w:rPr>
          <w:rFonts w:ascii="Times New Roman" w:hAnsi="Times New Roman" w:cs="Times New Roman"/>
          <w:b/>
          <w:sz w:val="16"/>
          <w:szCs w:val="16"/>
        </w:rPr>
        <w:t>IV</w:t>
      </w:r>
      <w:r w:rsidR="00EA4099" w:rsidRPr="00A07F29">
        <w:rPr>
          <w:rFonts w:ascii="Times New Roman" w:hAnsi="Times New Roman" w:cs="Times New Roman"/>
          <w:bCs/>
          <w:sz w:val="16"/>
          <w:szCs w:val="16"/>
        </w:rPr>
        <w:t xml:space="preserve"> </w:t>
      </w:r>
      <w:r w:rsidR="00EA4099" w:rsidRPr="00A07F29">
        <w:rPr>
          <w:rFonts w:ascii="Times New Roman" w:hAnsi="Times New Roman" w:cs="Times New Roman"/>
          <w:sz w:val="16"/>
          <w:szCs w:val="16"/>
        </w:rPr>
        <w:t>pielikums. Dzīvnieku un augu sugas, kas ir Kopienas interešu sfērā un kuru aizsardzībai nepieciešams stingrs aizsardzības režīms.</w:t>
      </w:r>
    </w:p>
    <w:p w14:paraId="03C88946" w14:textId="04D074AA" w:rsidR="00EA4099" w:rsidRDefault="00EA4099" w:rsidP="00EA4099">
      <w:pPr>
        <w:shd w:val="clear" w:color="auto" w:fill="FFFFFF"/>
        <w:spacing w:before="120" w:after="120"/>
        <w:jc w:val="both"/>
        <w:rPr>
          <w:rFonts w:ascii="Times New Roman" w:hAnsi="Times New Roman" w:cs="Times New Roman"/>
          <w:sz w:val="16"/>
          <w:szCs w:val="16"/>
        </w:rPr>
      </w:pPr>
      <w:r w:rsidRPr="00A07F29">
        <w:rPr>
          <w:rFonts w:ascii="Times New Roman" w:hAnsi="Times New Roman" w:cs="Times New Roman"/>
          <w:b/>
          <w:sz w:val="16"/>
          <w:szCs w:val="16"/>
        </w:rPr>
        <w:t xml:space="preserve">ĪAS </w:t>
      </w:r>
      <w:r w:rsidRPr="00A07F29">
        <w:rPr>
          <w:rFonts w:ascii="Times New Roman" w:hAnsi="Times New Roman" w:cs="Times New Roman"/>
          <w:sz w:val="16"/>
          <w:szCs w:val="16"/>
        </w:rPr>
        <w:t xml:space="preserve">– īpaši aizsargājama suga </w:t>
      </w:r>
      <w:r w:rsidR="00FB6CBC">
        <w:rPr>
          <w:rFonts w:ascii="Times New Roman" w:hAnsi="Times New Roman" w:cs="Times New Roman"/>
          <w:sz w:val="16"/>
          <w:szCs w:val="16"/>
        </w:rPr>
        <w:t>(</w:t>
      </w:r>
      <w:r w:rsidR="00FB6CBC" w:rsidRPr="00FB6CBC">
        <w:rPr>
          <w:rFonts w:ascii="Times New Roman" w:hAnsi="Times New Roman" w:cs="Times New Roman"/>
          <w:sz w:val="16"/>
          <w:szCs w:val="16"/>
        </w:rPr>
        <w:t>atbilstoši MK 2000. gada 14. novembra noteikumiem Nr. 396 “Noteikumi par īpaši aizsargājamo sugu un ierobežoti izmantojamo īpaši aizsargājamo sugu sarakstu” pielikumiem</w:t>
      </w:r>
      <w:r w:rsidR="00FB6CBC">
        <w:rPr>
          <w:rFonts w:ascii="Times New Roman" w:hAnsi="Times New Roman" w:cs="Times New Roman"/>
          <w:sz w:val="16"/>
          <w:szCs w:val="16"/>
        </w:rPr>
        <w:t>)</w:t>
      </w:r>
      <w:r w:rsidR="00774618">
        <w:rPr>
          <w:rFonts w:ascii="Times New Roman" w:hAnsi="Times New Roman" w:cs="Times New Roman"/>
          <w:sz w:val="16"/>
          <w:szCs w:val="16"/>
        </w:rPr>
        <w:t>.</w:t>
      </w:r>
      <w:r w:rsidR="00FB6CBC" w:rsidRPr="00FB6CBC">
        <w:rPr>
          <w:rFonts w:ascii="Times New Roman" w:hAnsi="Times New Roman" w:cs="Times New Roman"/>
          <w:sz w:val="16"/>
          <w:szCs w:val="16"/>
        </w:rPr>
        <w:t xml:space="preserve"> </w:t>
      </w:r>
    </w:p>
    <w:p w14:paraId="5CAEF3EF" w14:textId="63B1AA57" w:rsidR="00774618" w:rsidRPr="00A07F29" w:rsidRDefault="00774618" w:rsidP="00EA4099">
      <w:pPr>
        <w:shd w:val="clear" w:color="auto" w:fill="FFFFFF"/>
        <w:spacing w:before="120" w:after="120"/>
        <w:jc w:val="both"/>
        <w:rPr>
          <w:rFonts w:ascii="Times New Roman" w:hAnsi="Times New Roman" w:cs="Times New Roman"/>
          <w:sz w:val="16"/>
          <w:szCs w:val="16"/>
        </w:rPr>
      </w:pPr>
      <w:r w:rsidRPr="00F26634">
        <w:rPr>
          <w:rFonts w:ascii="Times New Roman" w:hAnsi="Times New Roman" w:cs="Times New Roman"/>
          <w:b/>
          <w:bCs/>
          <w:sz w:val="16"/>
          <w:szCs w:val="16"/>
        </w:rPr>
        <w:t>LSG</w:t>
      </w:r>
      <w:r>
        <w:rPr>
          <w:rFonts w:ascii="Times New Roman" w:hAnsi="Times New Roman" w:cs="Times New Roman"/>
          <w:sz w:val="16"/>
          <w:szCs w:val="16"/>
        </w:rPr>
        <w:t xml:space="preserve"> – Latvijas Sarkanā grāmata</w:t>
      </w:r>
      <w:r w:rsidR="0008438C">
        <w:rPr>
          <w:rFonts w:ascii="Times New Roman" w:hAnsi="Times New Roman" w:cs="Times New Roman"/>
          <w:sz w:val="16"/>
          <w:szCs w:val="16"/>
        </w:rPr>
        <w:t xml:space="preserve"> </w:t>
      </w:r>
      <w:r w:rsidR="0008438C" w:rsidRPr="0008438C">
        <w:rPr>
          <w:rFonts w:ascii="Times New Roman" w:hAnsi="Times New Roman" w:cs="Times New Roman"/>
          <w:sz w:val="16"/>
          <w:szCs w:val="16"/>
        </w:rPr>
        <w:t>(</w:t>
      </w:r>
      <w:r w:rsidR="0008438C" w:rsidRPr="0008438C">
        <w:rPr>
          <w:rFonts w:ascii="Times New Roman" w:hAnsi="Times New Roman" w:cs="Times New Roman"/>
          <w:bCs/>
          <w:sz w:val="16"/>
          <w:szCs w:val="16"/>
        </w:rPr>
        <w:t>3</w:t>
      </w:r>
      <w:r w:rsidR="0008438C" w:rsidRPr="0008438C">
        <w:rPr>
          <w:rFonts w:ascii="Times New Roman" w:hAnsi="Times New Roman" w:cs="Times New Roman"/>
          <w:sz w:val="16"/>
          <w:szCs w:val="16"/>
        </w:rPr>
        <w:t xml:space="preserve"> - maz pazīstamās sugas).</w:t>
      </w:r>
    </w:p>
    <w:p w14:paraId="4F5F6F0A" w14:textId="27879CAF" w:rsidR="00EA4099" w:rsidRPr="00027343" w:rsidRDefault="00EA4099" w:rsidP="00027343">
      <w:pPr>
        <w:spacing w:before="120" w:after="120"/>
        <w:jc w:val="both"/>
        <w:rPr>
          <w:rFonts w:ascii="Times New Roman" w:hAnsi="Times New Roman" w:cs="Times New Roman"/>
          <w:spacing w:val="-1"/>
          <w:sz w:val="16"/>
          <w:szCs w:val="16"/>
        </w:rPr>
      </w:pPr>
      <w:r w:rsidRPr="00A07F29">
        <w:rPr>
          <w:rFonts w:ascii="Times New Roman" w:eastAsia="Times New Roman" w:hAnsi="Times New Roman" w:cs="Times New Roman"/>
          <w:b/>
          <w:color w:val="000000"/>
          <w:sz w:val="16"/>
          <w:szCs w:val="16"/>
          <w:vertAlign w:val="superscript"/>
        </w:rPr>
        <w:t>1</w:t>
      </w:r>
      <w:r w:rsidRPr="00A07F29">
        <w:rPr>
          <w:rFonts w:ascii="Times New Roman" w:eastAsia="Times New Roman" w:hAnsi="Times New Roman" w:cs="Times New Roman"/>
          <w:color w:val="000000"/>
          <w:sz w:val="16"/>
          <w:szCs w:val="16"/>
          <w:vertAlign w:val="superscript"/>
        </w:rPr>
        <w:t xml:space="preserve"> </w:t>
      </w:r>
      <w:r w:rsidRPr="00A07F29">
        <w:rPr>
          <w:rFonts w:ascii="Times New Roman" w:hAnsi="Times New Roman" w:cs="Times New Roman"/>
          <w:spacing w:val="-1"/>
          <w:sz w:val="16"/>
          <w:szCs w:val="16"/>
        </w:rPr>
        <w:t xml:space="preserve">– </w:t>
      </w:r>
      <w:r w:rsidR="00277F5E" w:rsidRPr="00277F5E">
        <w:rPr>
          <w:rFonts w:ascii="Times New Roman" w:hAnsi="Times New Roman" w:cs="Times New Roman"/>
          <w:spacing w:val="-1"/>
          <w:sz w:val="16"/>
          <w:szCs w:val="16"/>
        </w:rPr>
        <w:t>Aizsardzības stāvokļa novērtējums atbilstoši ziņojumā Eiropas Komisijai par ES biotopu (dzīvotņu) un sugu aizsardzības stāvokli Latvijā, novērtējums par 2013.‐2018.</w:t>
      </w:r>
      <w:r w:rsidR="007430AE">
        <w:rPr>
          <w:rFonts w:ascii="Times New Roman" w:hAnsi="Times New Roman" w:cs="Times New Roman"/>
          <w:spacing w:val="-1"/>
          <w:sz w:val="16"/>
          <w:szCs w:val="16"/>
        </w:rPr>
        <w:t> </w:t>
      </w:r>
      <w:r w:rsidR="00277F5E" w:rsidRPr="00277F5E">
        <w:rPr>
          <w:rFonts w:ascii="Times New Roman" w:hAnsi="Times New Roman" w:cs="Times New Roman"/>
          <w:spacing w:val="-1"/>
          <w:sz w:val="16"/>
          <w:szCs w:val="16"/>
        </w:rPr>
        <w:t xml:space="preserve">gada periodu (ES ziņojums, 2019). </w:t>
      </w:r>
      <w:r w:rsidR="00277F5E" w:rsidRPr="00277F5E">
        <w:rPr>
          <w:rFonts w:ascii="Times New Roman" w:hAnsi="Times New Roman" w:cs="Times New Roman"/>
          <w:b/>
          <w:bCs/>
          <w:spacing w:val="-1"/>
          <w:sz w:val="16"/>
          <w:szCs w:val="16"/>
        </w:rPr>
        <w:t>FV</w:t>
      </w:r>
      <w:r w:rsidR="00277F5E" w:rsidRPr="00277F5E">
        <w:rPr>
          <w:rFonts w:ascii="Times New Roman" w:hAnsi="Times New Roman" w:cs="Times New Roman"/>
          <w:spacing w:val="-1"/>
          <w:sz w:val="16"/>
          <w:szCs w:val="16"/>
        </w:rPr>
        <w:t>: Aizsardzības stāvoklis labvēlīgs (</w:t>
      </w:r>
      <w:proofErr w:type="spellStart"/>
      <w:r w:rsidR="00277F5E" w:rsidRPr="00277F5E">
        <w:rPr>
          <w:rFonts w:ascii="Times New Roman" w:hAnsi="Times New Roman" w:cs="Times New Roman"/>
          <w:spacing w:val="-1"/>
          <w:sz w:val="16"/>
          <w:szCs w:val="16"/>
        </w:rPr>
        <w:t>Favourable</w:t>
      </w:r>
      <w:proofErr w:type="spellEnd"/>
      <w:r w:rsidR="00277F5E" w:rsidRPr="00277F5E">
        <w:rPr>
          <w:rFonts w:ascii="Times New Roman" w:hAnsi="Times New Roman" w:cs="Times New Roman"/>
          <w:spacing w:val="-1"/>
          <w:sz w:val="16"/>
          <w:szCs w:val="16"/>
        </w:rPr>
        <w:t xml:space="preserve">); </w:t>
      </w:r>
      <w:r w:rsidR="00277F5E" w:rsidRPr="00277F5E">
        <w:rPr>
          <w:rFonts w:ascii="Times New Roman" w:hAnsi="Times New Roman" w:cs="Times New Roman"/>
          <w:b/>
          <w:bCs/>
          <w:spacing w:val="-1"/>
          <w:sz w:val="16"/>
          <w:szCs w:val="16"/>
        </w:rPr>
        <w:t>U1</w:t>
      </w:r>
      <w:r w:rsidR="00277F5E" w:rsidRPr="00277F5E">
        <w:rPr>
          <w:rFonts w:ascii="Times New Roman" w:hAnsi="Times New Roman" w:cs="Times New Roman"/>
          <w:spacing w:val="-1"/>
          <w:sz w:val="16"/>
          <w:szCs w:val="16"/>
        </w:rPr>
        <w:t>: Aizsardzības stāvoklis nelabvēlīgs‐nepietiekams (</w:t>
      </w:r>
      <w:proofErr w:type="spellStart"/>
      <w:r w:rsidR="00277F5E" w:rsidRPr="00277F5E">
        <w:rPr>
          <w:rFonts w:ascii="Times New Roman" w:hAnsi="Times New Roman" w:cs="Times New Roman"/>
          <w:spacing w:val="-1"/>
          <w:sz w:val="16"/>
          <w:szCs w:val="16"/>
        </w:rPr>
        <w:t>Unfavourable‐Inadequate</w:t>
      </w:r>
      <w:proofErr w:type="spellEnd"/>
      <w:r w:rsidR="00277F5E" w:rsidRPr="00277F5E">
        <w:rPr>
          <w:rFonts w:ascii="Times New Roman" w:hAnsi="Times New Roman" w:cs="Times New Roman"/>
          <w:spacing w:val="-1"/>
          <w:sz w:val="16"/>
          <w:szCs w:val="16"/>
        </w:rPr>
        <w:t xml:space="preserve">); </w:t>
      </w:r>
      <w:r w:rsidR="00277F5E" w:rsidRPr="00277F5E">
        <w:rPr>
          <w:rFonts w:ascii="Times New Roman" w:hAnsi="Times New Roman" w:cs="Times New Roman"/>
          <w:b/>
          <w:bCs/>
          <w:spacing w:val="-1"/>
          <w:sz w:val="16"/>
          <w:szCs w:val="16"/>
        </w:rPr>
        <w:t>U2</w:t>
      </w:r>
      <w:r w:rsidR="00277F5E" w:rsidRPr="00277F5E">
        <w:rPr>
          <w:rFonts w:ascii="Times New Roman" w:hAnsi="Times New Roman" w:cs="Times New Roman"/>
          <w:spacing w:val="-1"/>
          <w:sz w:val="16"/>
          <w:szCs w:val="16"/>
        </w:rPr>
        <w:t>: Aizsardzības stāvoklis nelabvēlīgs‐slikts (</w:t>
      </w:r>
      <w:proofErr w:type="spellStart"/>
      <w:r w:rsidR="00277F5E" w:rsidRPr="00277F5E">
        <w:rPr>
          <w:rFonts w:ascii="Times New Roman" w:hAnsi="Times New Roman" w:cs="Times New Roman"/>
          <w:spacing w:val="-1"/>
          <w:sz w:val="16"/>
          <w:szCs w:val="16"/>
        </w:rPr>
        <w:t>Unfavourable</w:t>
      </w:r>
      <w:proofErr w:type="spellEnd"/>
      <w:r w:rsidR="00277F5E" w:rsidRPr="00277F5E">
        <w:rPr>
          <w:rFonts w:ascii="Times New Roman" w:hAnsi="Times New Roman" w:cs="Times New Roman"/>
          <w:spacing w:val="-1"/>
          <w:sz w:val="16"/>
          <w:szCs w:val="16"/>
        </w:rPr>
        <w:t xml:space="preserve">‐Bad); </w:t>
      </w:r>
      <w:r w:rsidR="00277F5E" w:rsidRPr="00277F5E">
        <w:rPr>
          <w:rFonts w:ascii="Times New Roman" w:hAnsi="Times New Roman" w:cs="Times New Roman"/>
          <w:b/>
          <w:bCs/>
          <w:spacing w:val="-1"/>
          <w:sz w:val="16"/>
          <w:szCs w:val="16"/>
        </w:rPr>
        <w:t>XX</w:t>
      </w:r>
      <w:r w:rsidR="00277F5E" w:rsidRPr="00277F5E">
        <w:rPr>
          <w:rFonts w:ascii="Times New Roman" w:hAnsi="Times New Roman" w:cs="Times New Roman"/>
          <w:spacing w:val="-1"/>
          <w:sz w:val="16"/>
          <w:szCs w:val="16"/>
        </w:rPr>
        <w:t>: Aizsardzības stāvoklis nezināms (</w:t>
      </w:r>
      <w:proofErr w:type="spellStart"/>
      <w:r w:rsidR="00277F5E" w:rsidRPr="00277F5E">
        <w:rPr>
          <w:rFonts w:ascii="Times New Roman" w:hAnsi="Times New Roman" w:cs="Times New Roman"/>
          <w:spacing w:val="-1"/>
          <w:sz w:val="16"/>
          <w:szCs w:val="16"/>
        </w:rPr>
        <w:t>Unknown</w:t>
      </w:r>
      <w:proofErr w:type="spellEnd"/>
      <w:r w:rsidR="00277F5E" w:rsidRPr="00277F5E">
        <w:rPr>
          <w:rFonts w:ascii="Times New Roman" w:hAnsi="Times New Roman" w:cs="Times New Roman"/>
          <w:spacing w:val="-1"/>
          <w:sz w:val="16"/>
          <w:szCs w:val="16"/>
        </w:rPr>
        <w:t xml:space="preserve">). Apzīmējumi aizsardzības stāvokļa tendencei ‐ </w:t>
      </w:r>
      <w:r w:rsidR="00277F5E" w:rsidRPr="00277F5E">
        <w:rPr>
          <w:rFonts w:ascii="Times New Roman" w:hAnsi="Times New Roman" w:cs="Times New Roman"/>
          <w:b/>
          <w:bCs/>
          <w:spacing w:val="-1"/>
          <w:sz w:val="16"/>
          <w:szCs w:val="16"/>
        </w:rPr>
        <w:t xml:space="preserve">+ </w:t>
      </w:r>
      <w:r w:rsidR="00277F5E" w:rsidRPr="00277F5E">
        <w:rPr>
          <w:rFonts w:ascii="Times New Roman" w:hAnsi="Times New Roman" w:cs="Times New Roman"/>
          <w:spacing w:val="-1"/>
          <w:sz w:val="16"/>
          <w:szCs w:val="16"/>
        </w:rPr>
        <w:t xml:space="preserve">‐ uzlabojas; </w:t>
      </w:r>
      <w:r w:rsidR="00277F5E" w:rsidRPr="00277F5E">
        <w:rPr>
          <w:rFonts w:ascii="Times New Roman" w:hAnsi="Times New Roman" w:cs="Times New Roman"/>
          <w:b/>
          <w:bCs/>
          <w:spacing w:val="-1"/>
          <w:sz w:val="16"/>
          <w:szCs w:val="16"/>
        </w:rPr>
        <w:t>-</w:t>
      </w:r>
      <w:r w:rsidR="00277F5E" w:rsidRPr="00277F5E">
        <w:rPr>
          <w:rFonts w:ascii="Times New Roman" w:hAnsi="Times New Roman" w:cs="Times New Roman"/>
          <w:spacing w:val="-1"/>
          <w:sz w:val="16"/>
          <w:szCs w:val="16"/>
        </w:rPr>
        <w:t xml:space="preserve">‐ pasliktinās; </w:t>
      </w:r>
      <w:r w:rsidR="00277F5E" w:rsidRPr="00277F5E">
        <w:rPr>
          <w:rFonts w:ascii="Times New Roman" w:hAnsi="Times New Roman" w:cs="Times New Roman"/>
          <w:b/>
          <w:bCs/>
          <w:spacing w:val="-1"/>
          <w:sz w:val="16"/>
          <w:szCs w:val="16"/>
        </w:rPr>
        <w:t xml:space="preserve">= </w:t>
      </w:r>
      <w:r w:rsidR="00277F5E" w:rsidRPr="00277F5E">
        <w:rPr>
          <w:rFonts w:ascii="Times New Roman" w:hAnsi="Times New Roman" w:cs="Times New Roman"/>
          <w:spacing w:val="-1"/>
          <w:sz w:val="16"/>
          <w:szCs w:val="16"/>
        </w:rPr>
        <w:t xml:space="preserve">‐ stabils, </w:t>
      </w:r>
      <w:r w:rsidR="00277F5E" w:rsidRPr="00277F5E">
        <w:rPr>
          <w:rFonts w:ascii="Times New Roman" w:hAnsi="Times New Roman" w:cs="Times New Roman"/>
          <w:b/>
          <w:bCs/>
          <w:spacing w:val="-1"/>
          <w:sz w:val="16"/>
          <w:szCs w:val="16"/>
        </w:rPr>
        <w:t xml:space="preserve">x </w:t>
      </w:r>
      <w:r w:rsidR="00277F5E" w:rsidRPr="00277F5E">
        <w:rPr>
          <w:rFonts w:ascii="Times New Roman" w:hAnsi="Times New Roman" w:cs="Times New Roman"/>
          <w:spacing w:val="-1"/>
          <w:sz w:val="16"/>
          <w:szCs w:val="16"/>
        </w:rPr>
        <w:t>‐ nezināms</w:t>
      </w:r>
      <w:r w:rsidR="00027343">
        <w:rPr>
          <w:rFonts w:ascii="Times New Roman" w:hAnsi="Times New Roman" w:cs="Times New Roman"/>
          <w:spacing w:val="-1"/>
          <w:sz w:val="16"/>
          <w:szCs w:val="16"/>
        </w:rPr>
        <w:t>.</w:t>
      </w:r>
    </w:p>
    <w:p w14:paraId="28E61F0B" w14:textId="43D37EB3" w:rsidR="00EA4099" w:rsidRPr="00A07F29" w:rsidRDefault="00EA4099" w:rsidP="00EA4099">
      <w:pPr>
        <w:spacing w:before="240" w:after="120" w:line="240" w:lineRule="auto"/>
        <w:jc w:val="center"/>
        <w:rPr>
          <w:rFonts w:ascii="Times New Roman" w:eastAsia="Calibri" w:hAnsi="Times New Roman" w:cs="Times New Roman"/>
          <w:sz w:val="24"/>
          <w:szCs w:val="24"/>
        </w:rPr>
      </w:pPr>
      <w:r w:rsidRPr="00A07F29">
        <w:rPr>
          <w:rFonts w:ascii="Times New Roman" w:eastAsia="Calibri" w:hAnsi="Times New Roman" w:cs="Times New Roman"/>
          <w:sz w:val="24"/>
          <w:szCs w:val="24"/>
        </w:rPr>
        <w:t>4</w:t>
      </w:r>
      <w:r w:rsidR="000264F3">
        <w:rPr>
          <w:rFonts w:ascii="Times New Roman" w:eastAsia="Calibri" w:hAnsi="Times New Roman" w:cs="Times New Roman"/>
          <w:sz w:val="24"/>
          <w:szCs w:val="24"/>
        </w:rPr>
        <w:t>.9</w:t>
      </w:r>
      <w:r w:rsidRPr="00A07F29">
        <w:rPr>
          <w:rFonts w:ascii="Times New Roman" w:eastAsia="Calibri" w:hAnsi="Times New Roman" w:cs="Times New Roman"/>
          <w:sz w:val="24"/>
          <w:szCs w:val="24"/>
        </w:rPr>
        <w:t>.3.</w:t>
      </w:r>
      <w:r w:rsidR="00027343">
        <w:rPr>
          <w:rFonts w:ascii="Times New Roman" w:eastAsia="Calibri" w:hAnsi="Times New Roman" w:cs="Times New Roman"/>
          <w:sz w:val="24"/>
          <w:szCs w:val="24"/>
        </w:rPr>
        <w:t> </w:t>
      </w:r>
      <w:r w:rsidRPr="00A07F29">
        <w:rPr>
          <w:rFonts w:ascii="Times New Roman" w:eastAsia="Calibri" w:hAnsi="Times New Roman" w:cs="Times New Roman"/>
          <w:sz w:val="24"/>
          <w:szCs w:val="24"/>
        </w:rPr>
        <w:t>tabula. Biotopu direktīvas pielikumos iekļauto zivju sugu populāciju lielums un dzīvotņu platība</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729"/>
        <w:gridCol w:w="851"/>
        <w:gridCol w:w="1134"/>
        <w:gridCol w:w="1247"/>
        <w:gridCol w:w="1276"/>
        <w:gridCol w:w="1134"/>
        <w:gridCol w:w="1383"/>
      </w:tblGrid>
      <w:tr w:rsidR="00EA4099" w:rsidRPr="00A07F29" w14:paraId="4035BA7F" w14:textId="77777777" w:rsidTr="00C1759B">
        <w:tc>
          <w:tcPr>
            <w:tcW w:w="534" w:type="dxa"/>
          </w:tcPr>
          <w:p w14:paraId="1F41C144" w14:textId="77777777" w:rsidR="00EA4099" w:rsidRPr="00A07F29" w:rsidRDefault="00EA4099" w:rsidP="00C1759B">
            <w:pPr>
              <w:spacing w:after="0" w:line="240" w:lineRule="auto"/>
              <w:rPr>
                <w:rFonts w:ascii="Times New Roman" w:eastAsia="Calibri" w:hAnsi="Times New Roman" w:cs="Times New Roman"/>
                <w:sz w:val="20"/>
                <w:szCs w:val="20"/>
              </w:rPr>
            </w:pPr>
            <w:proofErr w:type="spellStart"/>
            <w:r w:rsidRPr="00A07F29">
              <w:rPr>
                <w:rFonts w:ascii="Times New Roman" w:eastAsia="Calibri" w:hAnsi="Times New Roman" w:cs="Times New Roman"/>
                <w:sz w:val="20"/>
                <w:szCs w:val="20"/>
              </w:rPr>
              <w:t>Nr.p.k</w:t>
            </w:r>
            <w:proofErr w:type="spellEnd"/>
            <w:r w:rsidRPr="00A07F29">
              <w:rPr>
                <w:rFonts w:ascii="Times New Roman" w:eastAsia="Calibri" w:hAnsi="Times New Roman" w:cs="Times New Roman"/>
                <w:sz w:val="20"/>
                <w:szCs w:val="20"/>
              </w:rPr>
              <w:t>.</w:t>
            </w:r>
          </w:p>
        </w:tc>
        <w:tc>
          <w:tcPr>
            <w:tcW w:w="1729" w:type="dxa"/>
          </w:tcPr>
          <w:p w14:paraId="38A00021" w14:textId="77777777" w:rsidR="00EA4099" w:rsidRPr="00A07F29" w:rsidRDefault="00EA4099" w:rsidP="00C1759B">
            <w:pPr>
              <w:spacing w:after="0" w:line="240" w:lineRule="auto"/>
              <w:rPr>
                <w:rFonts w:ascii="Times New Roman" w:eastAsia="Calibri" w:hAnsi="Times New Roman" w:cs="Times New Roman"/>
                <w:sz w:val="20"/>
                <w:szCs w:val="20"/>
              </w:rPr>
            </w:pPr>
            <w:r w:rsidRPr="00A07F29">
              <w:rPr>
                <w:rFonts w:ascii="Times New Roman" w:eastAsia="Calibri" w:hAnsi="Times New Roman" w:cs="Times New Roman"/>
                <w:sz w:val="20"/>
                <w:szCs w:val="20"/>
              </w:rPr>
              <w:t>Sugas nosaukums (latviski un latīniski)</w:t>
            </w:r>
          </w:p>
        </w:tc>
        <w:tc>
          <w:tcPr>
            <w:tcW w:w="1985" w:type="dxa"/>
            <w:gridSpan w:val="2"/>
          </w:tcPr>
          <w:p w14:paraId="6D31D531" w14:textId="77777777" w:rsidR="00EA4099" w:rsidRPr="00A07F29" w:rsidRDefault="00EA4099" w:rsidP="00C1759B">
            <w:pPr>
              <w:spacing w:after="0" w:line="240" w:lineRule="auto"/>
              <w:rPr>
                <w:rFonts w:ascii="Times New Roman" w:eastAsia="Calibri" w:hAnsi="Times New Roman" w:cs="Times New Roman"/>
                <w:sz w:val="20"/>
                <w:szCs w:val="20"/>
              </w:rPr>
            </w:pPr>
            <w:r w:rsidRPr="00A07F29">
              <w:rPr>
                <w:rFonts w:ascii="Times New Roman" w:eastAsia="Calibri" w:hAnsi="Times New Roman" w:cs="Times New Roman"/>
                <w:sz w:val="20"/>
                <w:szCs w:val="20"/>
              </w:rPr>
              <w:t>Sugas populācijas</w:t>
            </w:r>
          </w:p>
          <w:p w14:paraId="2BCCA586" w14:textId="77777777" w:rsidR="00EA4099" w:rsidRPr="00A07F29" w:rsidRDefault="00EA4099" w:rsidP="00C1759B">
            <w:pPr>
              <w:spacing w:after="0" w:line="240" w:lineRule="auto"/>
              <w:rPr>
                <w:rFonts w:ascii="Times New Roman" w:eastAsia="Calibri" w:hAnsi="Times New Roman" w:cs="Times New Roman"/>
                <w:sz w:val="20"/>
                <w:szCs w:val="20"/>
              </w:rPr>
            </w:pPr>
            <w:r w:rsidRPr="00A07F29">
              <w:rPr>
                <w:rFonts w:ascii="Times New Roman" w:eastAsia="Calibri" w:hAnsi="Times New Roman" w:cs="Times New Roman"/>
                <w:sz w:val="20"/>
                <w:szCs w:val="20"/>
              </w:rPr>
              <w:t>lielums teritorijā</w:t>
            </w:r>
          </w:p>
        </w:tc>
        <w:tc>
          <w:tcPr>
            <w:tcW w:w="1247" w:type="dxa"/>
          </w:tcPr>
          <w:p w14:paraId="64F6CEBC" w14:textId="77777777" w:rsidR="00EA4099" w:rsidRPr="00A07F29" w:rsidRDefault="00EA4099" w:rsidP="00C1759B">
            <w:pPr>
              <w:spacing w:after="0" w:line="240" w:lineRule="auto"/>
              <w:rPr>
                <w:rFonts w:ascii="Times New Roman" w:eastAsia="Calibri" w:hAnsi="Times New Roman" w:cs="Times New Roman"/>
                <w:sz w:val="20"/>
                <w:szCs w:val="20"/>
              </w:rPr>
            </w:pPr>
            <w:r w:rsidRPr="00A07F29">
              <w:rPr>
                <w:rFonts w:ascii="Times New Roman" w:eastAsia="Calibri" w:hAnsi="Times New Roman" w:cs="Times New Roman"/>
                <w:sz w:val="20"/>
                <w:szCs w:val="20"/>
              </w:rPr>
              <w:t xml:space="preserve">Teritorijā esošās sugas populācijas attiecība (%) pret sugas populāciju </w:t>
            </w:r>
            <w:proofErr w:type="spellStart"/>
            <w:r w:rsidRPr="005C456B">
              <w:rPr>
                <w:rFonts w:ascii="Times New Roman" w:eastAsia="Calibri" w:hAnsi="Times New Roman" w:cs="Times New Roman"/>
                <w:i/>
                <w:iCs/>
                <w:sz w:val="20"/>
                <w:szCs w:val="20"/>
              </w:rPr>
              <w:t>Natura</w:t>
            </w:r>
            <w:proofErr w:type="spellEnd"/>
            <w:r w:rsidRPr="005C456B">
              <w:rPr>
                <w:rFonts w:ascii="Times New Roman" w:eastAsia="Calibri" w:hAnsi="Times New Roman" w:cs="Times New Roman"/>
                <w:i/>
                <w:iCs/>
                <w:sz w:val="20"/>
                <w:szCs w:val="20"/>
              </w:rPr>
              <w:t xml:space="preserve"> 2000</w:t>
            </w:r>
            <w:r w:rsidRPr="00A07F29">
              <w:rPr>
                <w:rFonts w:ascii="Times New Roman" w:eastAsia="Calibri" w:hAnsi="Times New Roman" w:cs="Times New Roman"/>
                <w:sz w:val="20"/>
                <w:szCs w:val="20"/>
              </w:rPr>
              <w:t xml:space="preserve"> teritorijās Latvijā kopumā</w:t>
            </w:r>
          </w:p>
        </w:tc>
        <w:tc>
          <w:tcPr>
            <w:tcW w:w="1276" w:type="dxa"/>
          </w:tcPr>
          <w:p w14:paraId="6B65DFF4" w14:textId="77777777" w:rsidR="00EA4099" w:rsidRPr="00A07F29" w:rsidRDefault="00EA4099" w:rsidP="00C1759B">
            <w:pPr>
              <w:spacing w:after="0" w:line="240" w:lineRule="auto"/>
              <w:rPr>
                <w:rFonts w:ascii="Times New Roman" w:eastAsia="Calibri" w:hAnsi="Times New Roman" w:cs="Times New Roman"/>
                <w:sz w:val="20"/>
                <w:szCs w:val="20"/>
              </w:rPr>
            </w:pPr>
            <w:r w:rsidRPr="00A07F29">
              <w:rPr>
                <w:rFonts w:ascii="Times New Roman" w:eastAsia="Calibri" w:hAnsi="Times New Roman" w:cs="Times New Roman"/>
                <w:sz w:val="20"/>
                <w:szCs w:val="20"/>
              </w:rPr>
              <w:t>Teritorijā esošās sugas populācijas attiecība (%) pret sugas populāciju valstī</w:t>
            </w:r>
          </w:p>
        </w:tc>
        <w:tc>
          <w:tcPr>
            <w:tcW w:w="1134" w:type="dxa"/>
          </w:tcPr>
          <w:p w14:paraId="3E4D95CB" w14:textId="77777777" w:rsidR="00EA4099" w:rsidRPr="00A07F29" w:rsidRDefault="00EA4099" w:rsidP="00C1759B">
            <w:pPr>
              <w:spacing w:after="0" w:line="240" w:lineRule="auto"/>
              <w:rPr>
                <w:rFonts w:ascii="Times New Roman" w:eastAsia="Calibri" w:hAnsi="Times New Roman" w:cs="Times New Roman"/>
                <w:sz w:val="20"/>
                <w:szCs w:val="20"/>
              </w:rPr>
            </w:pPr>
            <w:r w:rsidRPr="00A07F29">
              <w:rPr>
                <w:rFonts w:ascii="Times New Roman" w:eastAsia="Calibri" w:hAnsi="Times New Roman" w:cs="Times New Roman"/>
                <w:sz w:val="20"/>
                <w:szCs w:val="20"/>
              </w:rPr>
              <w:t>Sugas dzīvotnes platība (ha)</w:t>
            </w:r>
          </w:p>
        </w:tc>
        <w:tc>
          <w:tcPr>
            <w:tcW w:w="1383" w:type="dxa"/>
          </w:tcPr>
          <w:p w14:paraId="417853DA" w14:textId="77777777" w:rsidR="00EA4099" w:rsidRPr="00A07F29" w:rsidRDefault="00EA4099" w:rsidP="00C1759B">
            <w:pPr>
              <w:spacing w:after="0" w:line="240" w:lineRule="auto"/>
              <w:rPr>
                <w:rFonts w:ascii="Times New Roman" w:eastAsia="Calibri" w:hAnsi="Times New Roman" w:cs="Times New Roman"/>
                <w:sz w:val="20"/>
                <w:szCs w:val="20"/>
              </w:rPr>
            </w:pPr>
            <w:r w:rsidRPr="00A07F29">
              <w:rPr>
                <w:rFonts w:ascii="Times New Roman" w:eastAsia="Calibri" w:hAnsi="Times New Roman" w:cs="Times New Roman"/>
                <w:sz w:val="20"/>
                <w:szCs w:val="20"/>
              </w:rPr>
              <w:t xml:space="preserve">Sugas dzīvotnes platības attiecība (%) pret sugas dzīvotnes platību </w:t>
            </w:r>
            <w:proofErr w:type="spellStart"/>
            <w:r w:rsidRPr="005C456B">
              <w:rPr>
                <w:rFonts w:ascii="Times New Roman" w:eastAsia="Calibri" w:hAnsi="Times New Roman" w:cs="Times New Roman"/>
                <w:i/>
                <w:iCs/>
                <w:sz w:val="20"/>
                <w:szCs w:val="20"/>
              </w:rPr>
              <w:t>Natura</w:t>
            </w:r>
            <w:proofErr w:type="spellEnd"/>
            <w:r w:rsidRPr="005C456B">
              <w:rPr>
                <w:rFonts w:ascii="Times New Roman" w:eastAsia="Calibri" w:hAnsi="Times New Roman" w:cs="Times New Roman"/>
                <w:i/>
                <w:iCs/>
                <w:sz w:val="20"/>
                <w:szCs w:val="20"/>
              </w:rPr>
              <w:t xml:space="preserve"> 2000</w:t>
            </w:r>
            <w:r w:rsidRPr="00A07F29">
              <w:rPr>
                <w:rFonts w:ascii="Times New Roman" w:eastAsia="Calibri" w:hAnsi="Times New Roman" w:cs="Times New Roman"/>
                <w:sz w:val="20"/>
                <w:szCs w:val="20"/>
              </w:rPr>
              <w:t xml:space="preserve"> teritorijās Latvijā kopumā</w:t>
            </w:r>
          </w:p>
        </w:tc>
      </w:tr>
      <w:tr w:rsidR="00EA4099" w:rsidRPr="00A07F29" w14:paraId="73A5D261" w14:textId="77777777" w:rsidTr="00C1759B">
        <w:tc>
          <w:tcPr>
            <w:tcW w:w="534" w:type="dxa"/>
          </w:tcPr>
          <w:p w14:paraId="68406DFB" w14:textId="77777777" w:rsidR="00EA4099" w:rsidRPr="00A07F29" w:rsidRDefault="00EA4099" w:rsidP="00C1759B">
            <w:pPr>
              <w:spacing w:after="0" w:line="240" w:lineRule="auto"/>
              <w:rPr>
                <w:rFonts w:ascii="Times New Roman" w:eastAsia="Calibri" w:hAnsi="Times New Roman" w:cs="Times New Roman"/>
                <w:sz w:val="20"/>
                <w:szCs w:val="20"/>
              </w:rPr>
            </w:pPr>
          </w:p>
        </w:tc>
        <w:tc>
          <w:tcPr>
            <w:tcW w:w="1729" w:type="dxa"/>
          </w:tcPr>
          <w:p w14:paraId="0AC819D7" w14:textId="77777777" w:rsidR="00EA4099" w:rsidRPr="00A07F29" w:rsidRDefault="00EA4099" w:rsidP="00C1759B">
            <w:pPr>
              <w:spacing w:after="0" w:line="240" w:lineRule="auto"/>
              <w:rPr>
                <w:rFonts w:ascii="Times New Roman" w:eastAsia="Calibri" w:hAnsi="Times New Roman" w:cs="Times New Roman"/>
                <w:sz w:val="20"/>
                <w:szCs w:val="20"/>
              </w:rPr>
            </w:pPr>
          </w:p>
        </w:tc>
        <w:tc>
          <w:tcPr>
            <w:tcW w:w="851" w:type="dxa"/>
          </w:tcPr>
          <w:p w14:paraId="399416E9" w14:textId="77777777" w:rsidR="00EA4099" w:rsidRPr="00A07F29" w:rsidRDefault="00EA4099" w:rsidP="00C1759B">
            <w:pPr>
              <w:spacing w:after="0" w:line="240" w:lineRule="auto"/>
              <w:rPr>
                <w:rFonts w:ascii="Times New Roman" w:eastAsia="Calibri" w:hAnsi="Times New Roman" w:cs="Times New Roman"/>
                <w:sz w:val="20"/>
                <w:szCs w:val="20"/>
              </w:rPr>
            </w:pPr>
            <w:r w:rsidRPr="00A07F29">
              <w:rPr>
                <w:rFonts w:ascii="Times New Roman" w:eastAsia="Calibri" w:hAnsi="Times New Roman" w:cs="Times New Roman"/>
                <w:sz w:val="20"/>
                <w:szCs w:val="20"/>
              </w:rPr>
              <w:t>Min.</w:t>
            </w:r>
          </w:p>
        </w:tc>
        <w:tc>
          <w:tcPr>
            <w:tcW w:w="1134" w:type="dxa"/>
          </w:tcPr>
          <w:p w14:paraId="013FBF44" w14:textId="77777777" w:rsidR="00EA4099" w:rsidRPr="00A07F29" w:rsidRDefault="00EA4099" w:rsidP="00C1759B">
            <w:pPr>
              <w:spacing w:after="0" w:line="240" w:lineRule="auto"/>
              <w:rPr>
                <w:rFonts w:ascii="Times New Roman" w:eastAsia="Calibri" w:hAnsi="Times New Roman" w:cs="Times New Roman"/>
                <w:sz w:val="20"/>
                <w:szCs w:val="20"/>
              </w:rPr>
            </w:pPr>
            <w:r w:rsidRPr="00A07F29">
              <w:rPr>
                <w:rFonts w:ascii="Times New Roman" w:eastAsia="Calibri" w:hAnsi="Times New Roman" w:cs="Times New Roman"/>
                <w:sz w:val="20"/>
                <w:szCs w:val="20"/>
              </w:rPr>
              <w:t>Maks.</w:t>
            </w:r>
          </w:p>
        </w:tc>
        <w:tc>
          <w:tcPr>
            <w:tcW w:w="1247" w:type="dxa"/>
          </w:tcPr>
          <w:p w14:paraId="05994649" w14:textId="77777777" w:rsidR="00EA4099" w:rsidRPr="00A07F29" w:rsidRDefault="00EA4099" w:rsidP="00C1759B">
            <w:pPr>
              <w:spacing w:after="0" w:line="240" w:lineRule="auto"/>
              <w:rPr>
                <w:rFonts w:ascii="Times New Roman" w:eastAsia="Calibri" w:hAnsi="Times New Roman" w:cs="Times New Roman"/>
                <w:sz w:val="20"/>
                <w:szCs w:val="20"/>
              </w:rPr>
            </w:pPr>
          </w:p>
        </w:tc>
        <w:tc>
          <w:tcPr>
            <w:tcW w:w="1276" w:type="dxa"/>
          </w:tcPr>
          <w:p w14:paraId="642A02EF" w14:textId="77777777" w:rsidR="00EA4099" w:rsidRPr="00A07F29" w:rsidRDefault="00EA4099" w:rsidP="00C1759B">
            <w:pPr>
              <w:spacing w:after="0" w:line="240" w:lineRule="auto"/>
              <w:rPr>
                <w:rFonts w:ascii="Times New Roman" w:eastAsia="Calibri" w:hAnsi="Times New Roman" w:cs="Times New Roman"/>
                <w:sz w:val="20"/>
                <w:szCs w:val="20"/>
              </w:rPr>
            </w:pPr>
          </w:p>
        </w:tc>
        <w:tc>
          <w:tcPr>
            <w:tcW w:w="1134" w:type="dxa"/>
          </w:tcPr>
          <w:p w14:paraId="3ABF7ACD" w14:textId="77777777" w:rsidR="00EA4099" w:rsidRPr="00A07F29" w:rsidRDefault="00EA4099" w:rsidP="00C1759B">
            <w:pPr>
              <w:spacing w:after="0" w:line="240" w:lineRule="auto"/>
              <w:rPr>
                <w:rFonts w:ascii="Times New Roman" w:eastAsia="Calibri" w:hAnsi="Times New Roman" w:cs="Times New Roman"/>
                <w:sz w:val="20"/>
                <w:szCs w:val="20"/>
              </w:rPr>
            </w:pPr>
          </w:p>
        </w:tc>
        <w:tc>
          <w:tcPr>
            <w:tcW w:w="1383" w:type="dxa"/>
          </w:tcPr>
          <w:p w14:paraId="5ED6DB3E" w14:textId="77777777" w:rsidR="00EA4099" w:rsidRPr="00A07F29" w:rsidRDefault="00EA4099" w:rsidP="00C1759B">
            <w:pPr>
              <w:spacing w:after="0" w:line="240" w:lineRule="auto"/>
              <w:rPr>
                <w:rFonts w:ascii="Times New Roman" w:eastAsia="Calibri" w:hAnsi="Times New Roman" w:cs="Times New Roman"/>
                <w:sz w:val="20"/>
                <w:szCs w:val="20"/>
              </w:rPr>
            </w:pPr>
          </w:p>
        </w:tc>
      </w:tr>
      <w:tr w:rsidR="00EA4099" w:rsidRPr="00A07F29" w14:paraId="6A4973B3" w14:textId="77777777" w:rsidTr="00C1759B">
        <w:tc>
          <w:tcPr>
            <w:tcW w:w="534" w:type="dxa"/>
          </w:tcPr>
          <w:p w14:paraId="3B84D2EB" w14:textId="77777777" w:rsidR="00EA4099" w:rsidRPr="00A07F29" w:rsidRDefault="00EA4099" w:rsidP="00C1759B">
            <w:pPr>
              <w:spacing w:after="0" w:line="240" w:lineRule="auto"/>
              <w:rPr>
                <w:rFonts w:ascii="Times New Roman" w:eastAsia="Calibri" w:hAnsi="Times New Roman" w:cs="Times New Roman"/>
                <w:sz w:val="20"/>
                <w:szCs w:val="20"/>
              </w:rPr>
            </w:pPr>
            <w:r w:rsidRPr="00A07F29">
              <w:rPr>
                <w:rFonts w:ascii="Times New Roman" w:eastAsia="Calibri" w:hAnsi="Times New Roman" w:cs="Times New Roman"/>
                <w:sz w:val="20"/>
                <w:szCs w:val="20"/>
              </w:rPr>
              <w:t>1.</w:t>
            </w:r>
          </w:p>
        </w:tc>
        <w:tc>
          <w:tcPr>
            <w:tcW w:w="1729" w:type="dxa"/>
          </w:tcPr>
          <w:p w14:paraId="719C48A0" w14:textId="77777777" w:rsidR="00EA4099" w:rsidRPr="00A07F29" w:rsidRDefault="00EA4099" w:rsidP="00C1759B">
            <w:pPr>
              <w:spacing w:after="0" w:line="240" w:lineRule="auto"/>
              <w:rPr>
                <w:rFonts w:ascii="Times New Roman" w:eastAsia="Calibri" w:hAnsi="Times New Roman" w:cs="Times New Roman"/>
                <w:bCs/>
                <w:spacing w:val="-1"/>
                <w:sz w:val="20"/>
                <w:szCs w:val="20"/>
                <w:lang w:eastAsia="ar-SA"/>
              </w:rPr>
            </w:pPr>
            <w:r w:rsidRPr="00A07F29">
              <w:rPr>
                <w:rFonts w:ascii="Times New Roman" w:eastAsia="Calibri" w:hAnsi="Times New Roman" w:cs="Times New Roman"/>
                <w:bCs/>
                <w:spacing w:val="-1"/>
                <w:sz w:val="20"/>
                <w:szCs w:val="20"/>
                <w:lang w:eastAsia="ar-SA"/>
              </w:rPr>
              <w:t xml:space="preserve">Akmeņgrauzis, </w:t>
            </w:r>
          </w:p>
          <w:p w14:paraId="139B185D" w14:textId="77777777" w:rsidR="00EA4099" w:rsidRPr="00A07F29" w:rsidRDefault="00EA4099" w:rsidP="00C1759B">
            <w:pPr>
              <w:spacing w:after="0" w:line="240" w:lineRule="auto"/>
              <w:rPr>
                <w:rFonts w:ascii="Times New Roman" w:eastAsia="Calibri" w:hAnsi="Times New Roman" w:cs="Times New Roman"/>
                <w:sz w:val="20"/>
                <w:szCs w:val="20"/>
              </w:rPr>
            </w:pPr>
            <w:proofErr w:type="spellStart"/>
            <w:r w:rsidRPr="00A07F29">
              <w:rPr>
                <w:rFonts w:ascii="Times New Roman" w:eastAsia="Calibri" w:hAnsi="Times New Roman" w:cs="Times New Roman"/>
                <w:bCs/>
                <w:i/>
                <w:spacing w:val="-1"/>
                <w:sz w:val="20"/>
                <w:szCs w:val="20"/>
                <w:lang w:eastAsia="ar-SA"/>
              </w:rPr>
              <w:t>Cobitis</w:t>
            </w:r>
            <w:proofErr w:type="spellEnd"/>
            <w:r w:rsidRPr="00A07F29">
              <w:rPr>
                <w:rFonts w:ascii="Times New Roman" w:eastAsia="Calibri" w:hAnsi="Times New Roman" w:cs="Times New Roman"/>
                <w:bCs/>
                <w:i/>
                <w:spacing w:val="-1"/>
                <w:sz w:val="20"/>
                <w:szCs w:val="20"/>
                <w:lang w:eastAsia="ar-SA"/>
              </w:rPr>
              <w:t xml:space="preserve"> </w:t>
            </w:r>
            <w:proofErr w:type="spellStart"/>
            <w:r w:rsidRPr="00A07F29">
              <w:rPr>
                <w:rFonts w:ascii="Times New Roman" w:eastAsia="Calibri" w:hAnsi="Times New Roman" w:cs="Times New Roman"/>
                <w:bCs/>
                <w:i/>
                <w:spacing w:val="-1"/>
                <w:sz w:val="20"/>
                <w:szCs w:val="20"/>
                <w:lang w:eastAsia="ar-SA"/>
              </w:rPr>
              <w:t>taenia</w:t>
            </w:r>
            <w:proofErr w:type="spellEnd"/>
          </w:p>
        </w:tc>
        <w:tc>
          <w:tcPr>
            <w:tcW w:w="851" w:type="dxa"/>
          </w:tcPr>
          <w:p w14:paraId="4002738A" w14:textId="77777777" w:rsidR="00EA4099" w:rsidRPr="00A07F29" w:rsidRDefault="00EA4099" w:rsidP="00C1759B">
            <w:pPr>
              <w:spacing w:after="0" w:line="240" w:lineRule="auto"/>
              <w:rPr>
                <w:rFonts w:ascii="Times New Roman" w:eastAsia="Calibri" w:hAnsi="Times New Roman" w:cs="Times New Roman"/>
                <w:sz w:val="20"/>
                <w:szCs w:val="20"/>
              </w:rPr>
            </w:pPr>
            <w:r w:rsidRPr="00A07F29">
              <w:t>1100</w:t>
            </w:r>
          </w:p>
        </w:tc>
        <w:tc>
          <w:tcPr>
            <w:tcW w:w="1134" w:type="dxa"/>
          </w:tcPr>
          <w:p w14:paraId="3917411C" w14:textId="77777777" w:rsidR="00EA4099" w:rsidRPr="00A07F29" w:rsidRDefault="00EA4099" w:rsidP="00C1759B">
            <w:pPr>
              <w:spacing w:after="0" w:line="240" w:lineRule="auto"/>
              <w:rPr>
                <w:rFonts w:ascii="Times New Roman" w:eastAsia="Calibri" w:hAnsi="Times New Roman" w:cs="Times New Roman"/>
                <w:sz w:val="20"/>
                <w:szCs w:val="20"/>
              </w:rPr>
            </w:pPr>
            <w:r w:rsidRPr="00A07F29">
              <w:t>53300</w:t>
            </w:r>
          </w:p>
        </w:tc>
        <w:tc>
          <w:tcPr>
            <w:tcW w:w="1247" w:type="dxa"/>
          </w:tcPr>
          <w:p w14:paraId="4C29B00E" w14:textId="77777777" w:rsidR="00EA4099" w:rsidRPr="00A07F29" w:rsidRDefault="00EA4099" w:rsidP="00C1759B">
            <w:pPr>
              <w:spacing w:after="0" w:line="240" w:lineRule="auto"/>
              <w:rPr>
                <w:rFonts w:ascii="Times New Roman" w:eastAsia="Calibri" w:hAnsi="Times New Roman" w:cs="Times New Roman"/>
                <w:sz w:val="20"/>
                <w:szCs w:val="20"/>
              </w:rPr>
            </w:pPr>
            <w:r w:rsidRPr="00A07F29">
              <w:t>2,3</w:t>
            </w:r>
          </w:p>
        </w:tc>
        <w:tc>
          <w:tcPr>
            <w:tcW w:w="1276" w:type="dxa"/>
          </w:tcPr>
          <w:p w14:paraId="7653DD9A" w14:textId="77777777" w:rsidR="00EA4099" w:rsidRPr="00A07F29" w:rsidRDefault="00EA4099" w:rsidP="00C1759B">
            <w:pPr>
              <w:spacing w:after="0" w:line="240" w:lineRule="auto"/>
              <w:rPr>
                <w:rFonts w:ascii="Times New Roman" w:eastAsia="Calibri" w:hAnsi="Times New Roman" w:cs="Times New Roman"/>
                <w:sz w:val="20"/>
                <w:szCs w:val="20"/>
              </w:rPr>
            </w:pPr>
            <w:r w:rsidRPr="00A07F29">
              <w:t>0,3</w:t>
            </w:r>
          </w:p>
        </w:tc>
        <w:tc>
          <w:tcPr>
            <w:tcW w:w="1134" w:type="dxa"/>
          </w:tcPr>
          <w:p w14:paraId="0A6958F5" w14:textId="77777777" w:rsidR="00EA4099" w:rsidRPr="00A07F29" w:rsidRDefault="00EA4099" w:rsidP="00C1759B">
            <w:pPr>
              <w:spacing w:after="0" w:line="240" w:lineRule="auto"/>
              <w:rPr>
                <w:rFonts w:ascii="Times New Roman" w:eastAsia="Calibri" w:hAnsi="Times New Roman" w:cs="Times New Roman"/>
                <w:sz w:val="20"/>
                <w:szCs w:val="20"/>
              </w:rPr>
            </w:pPr>
            <w:r w:rsidRPr="00A07F29">
              <w:t>228</w:t>
            </w:r>
          </w:p>
        </w:tc>
        <w:tc>
          <w:tcPr>
            <w:tcW w:w="1383" w:type="dxa"/>
          </w:tcPr>
          <w:p w14:paraId="068653CC" w14:textId="77777777" w:rsidR="00EA4099" w:rsidRPr="00A07F29" w:rsidRDefault="00EA4099" w:rsidP="00C1759B">
            <w:pPr>
              <w:spacing w:after="0" w:line="240" w:lineRule="auto"/>
              <w:rPr>
                <w:rFonts w:ascii="Times New Roman" w:eastAsia="Calibri" w:hAnsi="Times New Roman" w:cs="Times New Roman"/>
                <w:sz w:val="20"/>
                <w:szCs w:val="20"/>
              </w:rPr>
            </w:pPr>
            <w:r w:rsidRPr="00A07F29">
              <w:t>1,2</w:t>
            </w:r>
          </w:p>
        </w:tc>
      </w:tr>
      <w:tr w:rsidR="00EA4099" w:rsidRPr="00A07F29" w14:paraId="65F13DF1" w14:textId="77777777" w:rsidTr="00C1759B">
        <w:tc>
          <w:tcPr>
            <w:tcW w:w="534" w:type="dxa"/>
          </w:tcPr>
          <w:p w14:paraId="1EE89BE1" w14:textId="77777777" w:rsidR="00EA4099" w:rsidRPr="00A07F29" w:rsidRDefault="00EA4099" w:rsidP="00C1759B">
            <w:pPr>
              <w:spacing w:after="0" w:line="240" w:lineRule="auto"/>
              <w:rPr>
                <w:rFonts w:ascii="Times New Roman" w:eastAsia="Calibri" w:hAnsi="Times New Roman" w:cs="Times New Roman"/>
                <w:sz w:val="20"/>
                <w:szCs w:val="20"/>
              </w:rPr>
            </w:pPr>
            <w:r w:rsidRPr="00A07F29">
              <w:rPr>
                <w:rFonts w:ascii="Times New Roman" w:eastAsia="Calibri" w:hAnsi="Times New Roman" w:cs="Times New Roman"/>
                <w:sz w:val="20"/>
                <w:szCs w:val="20"/>
              </w:rPr>
              <w:t>2.</w:t>
            </w:r>
          </w:p>
        </w:tc>
        <w:tc>
          <w:tcPr>
            <w:tcW w:w="1729" w:type="dxa"/>
          </w:tcPr>
          <w:p w14:paraId="5CB0D842" w14:textId="77777777" w:rsidR="00EA4099" w:rsidRPr="00A07F29" w:rsidRDefault="00EA4099" w:rsidP="00C1759B">
            <w:pPr>
              <w:spacing w:after="0" w:line="240" w:lineRule="auto"/>
              <w:rPr>
                <w:rFonts w:ascii="Times New Roman" w:eastAsia="Calibri" w:hAnsi="Times New Roman" w:cs="Times New Roman"/>
                <w:bCs/>
                <w:spacing w:val="-1"/>
                <w:sz w:val="20"/>
                <w:szCs w:val="20"/>
                <w:lang w:eastAsia="ar-SA"/>
              </w:rPr>
            </w:pPr>
            <w:proofErr w:type="spellStart"/>
            <w:r w:rsidRPr="00A07F29">
              <w:rPr>
                <w:rFonts w:ascii="Times New Roman" w:eastAsia="Calibri" w:hAnsi="Times New Roman" w:cs="Times New Roman"/>
                <w:bCs/>
                <w:spacing w:val="-1"/>
                <w:sz w:val="20"/>
                <w:szCs w:val="20"/>
                <w:lang w:eastAsia="ar-SA"/>
              </w:rPr>
              <w:t>Platgalve</w:t>
            </w:r>
            <w:proofErr w:type="spellEnd"/>
            <w:r w:rsidRPr="00A07F29">
              <w:rPr>
                <w:rFonts w:ascii="Times New Roman" w:eastAsia="Calibri" w:hAnsi="Times New Roman" w:cs="Times New Roman"/>
                <w:bCs/>
                <w:spacing w:val="-1"/>
                <w:sz w:val="20"/>
                <w:szCs w:val="20"/>
                <w:lang w:eastAsia="ar-SA"/>
              </w:rPr>
              <w:t xml:space="preserve">, </w:t>
            </w:r>
          </w:p>
          <w:p w14:paraId="07654DCC" w14:textId="77777777" w:rsidR="00EA4099" w:rsidRPr="00A07F29" w:rsidRDefault="00EA4099" w:rsidP="00C1759B">
            <w:pPr>
              <w:shd w:val="clear" w:color="auto" w:fill="FFFFFF"/>
              <w:suppressAutoHyphens/>
              <w:spacing w:after="0" w:line="240" w:lineRule="auto"/>
              <w:rPr>
                <w:rFonts w:ascii="Times New Roman" w:eastAsia="Calibri" w:hAnsi="Times New Roman" w:cs="Times New Roman"/>
                <w:sz w:val="20"/>
                <w:szCs w:val="20"/>
              </w:rPr>
            </w:pPr>
            <w:proofErr w:type="spellStart"/>
            <w:r w:rsidRPr="00A07F29">
              <w:rPr>
                <w:rFonts w:ascii="Times New Roman" w:eastAsia="Calibri" w:hAnsi="Times New Roman" w:cs="Times New Roman"/>
                <w:bCs/>
                <w:i/>
                <w:spacing w:val="-1"/>
                <w:sz w:val="20"/>
                <w:szCs w:val="20"/>
                <w:lang w:eastAsia="ar-SA"/>
              </w:rPr>
              <w:t>Cottus</w:t>
            </w:r>
            <w:proofErr w:type="spellEnd"/>
            <w:r w:rsidRPr="00A07F29">
              <w:rPr>
                <w:rFonts w:ascii="Times New Roman" w:eastAsia="Calibri" w:hAnsi="Times New Roman" w:cs="Times New Roman"/>
                <w:bCs/>
                <w:i/>
                <w:spacing w:val="-1"/>
                <w:sz w:val="20"/>
                <w:szCs w:val="20"/>
                <w:lang w:eastAsia="ar-SA"/>
              </w:rPr>
              <w:t xml:space="preserve"> </w:t>
            </w:r>
            <w:proofErr w:type="spellStart"/>
            <w:r w:rsidRPr="00A07F29">
              <w:rPr>
                <w:rFonts w:ascii="Times New Roman" w:eastAsia="Calibri" w:hAnsi="Times New Roman" w:cs="Times New Roman"/>
                <w:bCs/>
                <w:i/>
                <w:spacing w:val="-1"/>
                <w:sz w:val="20"/>
                <w:szCs w:val="20"/>
                <w:lang w:eastAsia="ar-SA"/>
              </w:rPr>
              <w:t>gobio</w:t>
            </w:r>
            <w:proofErr w:type="spellEnd"/>
          </w:p>
        </w:tc>
        <w:tc>
          <w:tcPr>
            <w:tcW w:w="851" w:type="dxa"/>
          </w:tcPr>
          <w:p w14:paraId="54663B36" w14:textId="77777777" w:rsidR="00EA4099" w:rsidRPr="00A07F29" w:rsidRDefault="00EA4099" w:rsidP="00C1759B">
            <w:pPr>
              <w:spacing w:after="0" w:line="240" w:lineRule="auto"/>
              <w:rPr>
                <w:rFonts w:ascii="Times New Roman" w:eastAsia="Calibri" w:hAnsi="Times New Roman" w:cs="Times New Roman"/>
                <w:sz w:val="20"/>
                <w:szCs w:val="20"/>
              </w:rPr>
            </w:pPr>
            <w:r w:rsidRPr="00A07F29">
              <w:t>8000</w:t>
            </w:r>
          </w:p>
        </w:tc>
        <w:tc>
          <w:tcPr>
            <w:tcW w:w="1134" w:type="dxa"/>
          </w:tcPr>
          <w:p w14:paraId="70FA77FB" w14:textId="77777777" w:rsidR="00EA4099" w:rsidRPr="00A07F29" w:rsidRDefault="00EA4099" w:rsidP="00C1759B">
            <w:pPr>
              <w:spacing w:after="0" w:line="240" w:lineRule="auto"/>
              <w:rPr>
                <w:rFonts w:ascii="Times New Roman" w:eastAsia="Calibri" w:hAnsi="Times New Roman" w:cs="Times New Roman"/>
                <w:sz w:val="20"/>
                <w:szCs w:val="20"/>
              </w:rPr>
            </w:pPr>
            <w:r w:rsidRPr="00A07F29">
              <w:t>387000</w:t>
            </w:r>
          </w:p>
        </w:tc>
        <w:tc>
          <w:tcPr>
            <w:tcW w:w="1247" w:type="dxa"/>
          </w:tcPr>
          <w:p w14:paraId="53D9D191" w14:textId="77777777" w:rsidR="00EA4099" w:rsidRPr="00A07F29" w:rsidRDefault="00EA4099" w:rsidP="00C1759B">
            <w:pPr>
              <w:spacing w:after="0" w:line="240" w:lineRule="auto"/>
              <w:rPr>
                <w:rFonts w:ascii="Times New Roman" w:eastAsia="Calibri" w:hAnsi="Times New Roman" w:cs="Times New Roman"/>
                <w:sz w:val="20"/>
                <w:szCs w:val="20"/>
              </w:rPr>
            </w:pPr>
            <w:r w:rsidRPr="00A07F29">
              <w:t>3,4</w:t>
            </w:r>
          </w:p>
        </w:tc>
        <w:tc>
          <w:tcPr>
            <w:tcW w:w="1276" w:type="dxa"/>
          </w:tcPr>
          <w:p w14:paraId="66498B67" w14:textId="77777777" w:rsidR="00EA4099" w:rsidRPr="00A07F29" w:rsidRDefault="00EA4099" w:rsidP="00C1759B">
            <w:pPr>
              <w:spacing w:after="0" w:line="240" w:lineRule="auto"/>
              <w:rPr>
                <w:rFonts w:ascii="Times New Roman" w:eastAsia="Calibri" w:hAnsi="Times New Roman" w:cs="Times New Roman"/>
                <w:sz w:val="20"/>
                <w:szCs w:val="20"/>
              </w:rPr>
            </w:pPr>
            <w:r w:rsidRPr="00A07F29">
              <w:t>0,3</w:t>
            </w:r>
          </w:p>
        </w:tc>
        <w:tc>
          <w:tcPr>
            <w:tcW w:w="1134" w:type="dxa"/>
          </w:tcPr>
          <w:p w14:paraId="2E75E58E" w14:textId="77777777" w:rsidR="00EA4099" w:rsidRPr="00A07F29" w:rsidRDefault="00EA4099" w:rsidP="00C1759B">
            <w:pPr>
              <w:spacing w:after="0" w:line="240" w:lineRule="auto"/>
              <w:rPr>
                <w:rFonts w:ascii="Times New Roman" w:eastAsia="Calibri" w:hAnsi="Times New Roman" w:cs="Times New Roman"/>
                <w:sz w:val="20"/>
                <w:szCs w:val="20"/>
              </w:rPr>
            </w:pPr>
            <w:r w:rsidRPr="00A07F29">
              <w:t>228</w:t>
            </w:r>
          </w:p>
        </w:tc>
        <w:tc>
          <w:tcPr>
            <w:tcW w:w="1383" w:type="dxa"/>
          </w:tcPr>
          <w:p w14:paraId="7BF44B14" w14:textId="77777777" w:rsidR="00EA4099" w:rsidRPr="00A07F29" w:rsidRDefault="00EA4099" w:rsidP="00C1759B">
            <w:pPr>
              <w:spacing w:after="0" w:line="240" w:lineRule="auto"/>
              <w:rPr>
                <w:rFonts w:ascii="Times New Roman" w:eastAsia="Calibri" w:hAnsi="Times New Roman" w:cs="Times New Roman"/>
                <w:sz w:val="20"/>
                <w:szCs w:val="20"/>
              </w:rPr>
            </w:pPr>
            <w:r w:rsidRPr="00A07F29">
              <w:t>3,4</w:t>
            </w:r>
          </w:p>
        </w:tc>
      </w:tr>
      <w:tr w:rsidR="00EA4099" w:rsidRPr="00A07F29" w14:paraId="08EE7D04" w14:textId="77777777" w:rsidTr="00C1759B">
        <w:tc>
          <w:tcPr>
            <w:tcW w:w="534" w:type="dxa"/>
          </w:tcPr>
          <w:p w14:paraId="72E2342B" w14:textId="77777777" w:rsidR="00EA4099" w:rsidRPr="00A07F29" w:rsidRDefault="00EA4099" w:rsidP="00C1759B">
            <w:pPr>
              <w:spacing w:after="0" w:line="240" w:lineRule="auto"/>
              <w:rPr>
                <w:rFonts w:ascii="Times New Roman" w:eastAsia="Calibri" w:hAnsi="Times New Roman" w:cs="Times New Roman"/>
                <w:sz w:val="20"/>
                <w:szCs w:val="20"/>
              </w:rPr>
            </w:pPr>
            <w:r w:rsidRPr="00A07F29">
              <w:rPr>
                <w:rFonts w:ascii="Times New Roman" w:eastAsia="Calibri" w:hAnsi="Times New Roman" w:cs="Times New Roman"/>
                <w:sz w:val="20"/>
                <w:szCs w:val="20"/>
              </w:rPr>
              <w:t>3.</w:t>
            </w:r>
          </w:p>
        </w:tc>
        <w:tc>
          <w:tcPr>
            <w:tcW w:w="1729" w:type="dxa"/>
          </w:tcPr>
          <w:p w14:paraId="6AF84BDB" w14:textId="77777777" w:rsidR="00EA4099" w:rsidRPr="00A07F29" w:rsidRDefault="00EA4099" w:rsidP="00C1759B">
            <w:pPr>
              <w:shd w:val="clear" w:color="auto" w:fill="FFFFFF"/>
              <w:suppressAutoHyphens/>
              <w:spacing w:after="0" w:line="240" w:lineRule="auto"/>
              <w:rPr>
                <w:rFonts w:ascii="Times New Roman" w:eastAsia="Calibri" w:hAnsi="Times New Roman" w:cs="Times New Roman"/>
                <w:bCs/>
                <w:spacing w:val="-1"/>
                <w:sz w:val="20"/>
                <w:szCs w:val="20"/>
                <w:lang w:eastAsia="ar-SA"/>
              </w:rPr>
            </w:pPr>
            <w:r w:rsidRPr="00A07F29">
              <w:rPr>
                <w:rFonts w:ascii="Times New Roman" w:eastAsia="Calibri" w:hAnsi="Times New Roman" w:cs="Times New Roman"/>
                <w:bCs/>
                <w:spacing w:val="-1"/>
                <w:sz w:val="20"/>
                <w:szCs w:val="20"/>
                <w:lang w:eastAsia="ar-SA"/>
              </w:rPr>
              <w:t>Salate</w:t>
            </w:r>
          </w:p>
          <w:p w14:paraId="528302AC" w14:textId="77777777" w:rsidR="00EA4099" w:rsidRPr="00A07F29" w:rsidRDefault="00EA4099" w:rsidP="00C1759B">
            <w:pPr>
              <w:shd w:val="clear" w:color="auto" w:fill="FFFFFF"/>
              <w:suppressAutoHyphens/>
              <w:spacing w:after="0" w:line="240" w:lineRule="auto"/>
              <w:rPr>
                <w:rFonts w:ascii="Times New Roman" w:eastAsia="Calibri" w:hAnsi="Times New Roman" w:cs="Times New Roman"/>
                <w:sz w:val="20"/>
                <w:shd w:val="clear" w:color="auto" w:fill="FFFFFF"/>
              </w:rPr>
            </w:pPr>
            <w:proofErr w:type="spellStart"/>
            <w:r w:rsidRPr="00A07F29">
              <w:rPr>
                <w:rFonts w:ascii="Times New Roman" w:eastAsia="Calibri" w:hAnsi="Times New Roman" w:cs="Times New Roman"/>
                <w:bCs/>
                <w:i/>
                <w:spacing w:val="-1"/>
                <w:sz w:val="20"/>
                <w:szCs w:val="20"/>
                <w:lang w:eastAsia="ar-SA"/>
              </w:rPr>
              <w:t>Aspius</w:t>
            </w:r>
            <w:proofErr w:type="spellEnd"/>
            <w:r w:rsidRPr="00A07F29">
              <w:rPr>
                <w:rFonts w:ascii="Times New Roman" w:eastAsia="Calibri" w:hAnsi="Times New Roman" w:cs="Times New Roman"/>
                <w:bCs/>
                <w:i/>
                <w:spacing w:val="-1"/>
                <w:sz w:val="20"/>
                <w:szCs w:val="20"/>
                <w:lang w:eastAsia="ar-SA"/>
              </w:rPr>
              <w:t xml:space="preserve"> </w:t>
            </w:r>
            <w:proofErr w:type="spellStart"/>
            <w:r w:rsidRPr="00A07F29">
              <w:rPr>
                <w:rFonts w:ascii="Times New Roman" w:eastAsia="Calibri" w:hAnsi="Times New Roman" w:cs="Times New Roman"/>
                <w:bCs/>
                <w:i/>
                <w:spacing w:val="-1"/>
                <w:sz w:val="20"/>
                <w:szCs w:val="20"/>
                <w:lang w:eastAsia="ar-SA"/>
              </w:rPr>
              <w:t>aspius</w:t>
            </w:r>
            <w:proofErr w:type="spellEnd"/>
          </w:p>
        </w:tc>
        <w:tc>
          <w:tcPr>
            <w:tcW w:w="851" w:type="dxa"/>
          </w:tcPr>
          <w:p w14:paraId="070A72E7" w14:textId="77777777" w:rsidR="00EA4099" w:rsidRPr="00A07F29" w:rsidRDefault="00EA4099" w:rsidP="00C1759B">
            <w:pPr>
              <w:spacing w:after="0" w:line="240" w:lineRule="auto"/>
              <w:rPr>
                <w:rFonts w:ascii="Times New Roman" w:eastAsia="Calibri" w:hAnsi="Times New Roman" w:cs="Times New Roman"/>
                <w:sz w:val="20"/>
                <w:szCs w:val="20"/>
              </w:rPr>
            </w:pPr>
            <w:r w:rsidRPr="00A07F29">
              <w:t>1200</w:t>
            </w:r>
          </w:p>
        </w:tc>
        <w:tc>
          <w:tcPr>
            <w:tcW w:w="1134" w:type="dxa"/>
          </w:tcPr>
          <w:p w14:paraId="36E6C968" w14:textId="77777777" w:rsidR="00EA4099" w:rsidRPr="00A07F29" w:rsidRDefault="00EA4099" w:rsidP="00C1759B">
            <w:pPr>
              <w:spacing w:after="0" w:line="240" w:lineRule="auto"/>
              <w:rPr>
                <w:rFonts w:ascii="Times New Roman" w:eastAsia="Calibri" w:hAnsi="Times New Roman" w:cs="Times New Roman"/>
                <w:sz w:val="20"/>
                <w:szCs w:val="20"/>
              </w:rPr>
            </w:pPr>
            <w:r w:rsidRPr="00A07F29">
              <w:t>8900</w:t>
            </w:r>
          </w:p>
        </w:tc>
        <w:tc>
          <w:tcPr>
            <w:tcW w:w="1247" w:type="dxa"/>
          </w:tcPr>
          <w:p w14:paraId="4EC96B2E" w14:textId="77777777" w:rsidR="00EA4099" w:rsidRPr="00A07F29" w:rsidRDefault="00EA4099" w:rsidP="00C1759B">
            <w:pPr>
              <w:spacing w:after="0" w:line="240" w:lineRule="auto"/>
              <w:rPr>
                <w:rFonts w:ascii="Times New Roman" w:eastAsia="Calibri" w:hAnsi="Times New Roman" w:cs="Times New Roman"/>
                <w:sz w:val="20"/>
                <w:szCs w:val="20"/>
              </w:rPr>
            </w:pPr>
            <w:r w:rsidRPr="00A07F29">
              <w:t>14,7</w:t>
            </w:r>
          </w:p>
        </w:tc>
        <w:tc>
          <w:tcPr>
            <w:tcW w:w="1276" w:type="dxa"/>
          </w:tcPr>
          <w:p w14:paraId="202199BB" w14:textId="77777777" w:rsidR="00EA4099" w:rsidRPr="00A07F29" w:rsidRDefault="00EA4099" w:rsidP="00C1759B">
            <w:pPr>
              <w:spacing w:after="0" w:line="240" w:lineRule="auto"/>
              <w:rPr>
                <w:rFonts w:ascii="Times New Roman" w:eastAsia="Calibri" w:hAnsi="Times New Roman" w:cs="Times New Roman"/>
                <w:sz w:val="20"/>
                <w:szCs w:val="20"/>
              </w:rPr>
            </w:pPr>
            <w:r w:rsidRPr="00A07F29">
              <w:t>1,7</w:t>
            </w:r>
          </w:p>
        </w:tc>
        <w:tc>
          <w:tcPr>
            <w:tcW w:w="1134" w:type="dxa"/>
          </w:tcPr>
          <w:p w14:paraId="4413627D" w14:textId="77777777" w:rsidR="00EA4099" w:rsidRPr="00A07F29" w:rsidRDefault="00EA4099" w:rsidP="00C1759B">
            <w:pPr>
              <w:spacing w:after="0" w:line="240" w:lineRule="auto"/>
              <w:rPr>
                <w:rFonts w:ascii="Times New Roman" w:eastAsia="Calibri" w:hAnsi="Times New Roman" w:cs="Times New Roman"/>
                <w:sz w:val="20"/>
                <w:szCs w:val="20"/>
              </w:rPr>
            </w:pPr>
            <w:r w:rsidRPr="00A07F29">
              <w:t>1480</w:t>
            </w:r>
          </w:p>
        </w:tc>
        <w:tc>
          <w:tcPr>
            <w:tcW w:w="1383" w:type="dxa"/>
          </w:tcPr>
          <w:p w14:paraId="36B64128" w14:textId="77777777" w:rsidR="00EA4099" w:rsidRPr="00A07F29" w:rsidRDefault="00EA4099" w:rsidP="00C1759B">
            <w:pPr>
              <w:spacing w:after="0" w:line="240" w:lineRule="auto"/>
              <w:rPr>
                <w:rFonts w:ascii="Times New Roman" w:eastAsia="Calibri" w:hAnsi="Times New Roman" w:cs="Times New Roman"/>
                <w:sz w:val="20"/>
                <w:szCs w:val="20"/>
              </w:rPr>
            </w:pPr>
            <w:r w:rsidRPr="00A07F29">
              <w:t>22,1</w:t>
            </w:r>
          </w:p>
        </w:tc>
      </w:tr>
      <w:tr w:rsidR="00EA4099" w:rsidRPr="00A07F29" w14:paraId="1E79BACD" w14:textId="77777777" w:rsidTr="00C1759B">
        <w:tc>
          <w:tcPr>
            <w:tcW w:w="534" w:type="dxa"/>
          </w:tcPr>
          <w:p w14:paraId="403EC1FE" w14:textId="77777777" w:rsidR="00EA4099" w:rsidRPr="00A07F29" w:rsidRDefault="00EA4099" w:rsidP="00C1759B">
            <w:pPr>
              <w:spacing w:after="0" w:line="240" w:lineRule="auto"/>
              <w:rPr>
                <w:rFonts w:ascii="Times New Roman" w:eastAsia="Calibri" w:hAnsi="Times New Roman" w:cs="Times New Roman"/>
                <w:sz w:val="20"/>
                <w:szCs w:val="20"/>
              </w:rPr>
            </w:pPr>
            <w:r w:rsidRPr="00A07F29">
              <w:rPr>
                <w:rFonts w:ascii="Times New Roman" w:eastAsia="Calibri" w:hAnsi="Times New Roman" w:cs="Times New Roman"/>
                <w:sz w:val="20"/>
                <w:szCs w:val="20"/>
              </w:rPr>
              <w:t>4.</w:t>
            </w:r>
          </w:p>
        </w:tc>
        <w:tc>
          <w:tcPr>
            <w:tcW w:w="1729" w:type="dxa"/>
          </w:tcPr>
          <w:p w14:paraId="42A50850" w14:textId="77777777" w:rsidR="00EA4099" w:rsidRPr="00A07F29" w:rsidRDefault="00EA4099" w:rsidP="00C1759B">
            <w:pPr>
              <w:shd w:val="clear" w:color="auto" w:fill="FFFFFF"/>
              <w:suppressAutoHyphens/>
              <w:spacing w:after="0" w:line="240" w:lineRule="auto"/>
              <w:rPr>
                <w:rFonts w:ascii="Times New Roman" w:eastAsia="Calibri" w:hAnsi="Times New Roman" w:cs="Times New Roman"/>
                <w:bCs/>
                <w:spacing w:val="-1"/>
                <w:sz w:val="20"/>
                <w:szCs w:val="20"/>
                <w:lang w:eastAsia="ar-SA"/>
              </w:rPr>
            </w:pPr>
            <w:proofErr w:type="spellStart"/>
            <w:r w:rsidRPr="00A07F29">
              <w:rPr>
                <w:rFonts w:ascii="Times New Roman" w:eastAsia="Calibri" w:hAnsi="Times New Roman" w:cs="Times New Roman"/>
                <w:bCs/>
                <w:spacing w:val="-1"/>
                <w:sz w:val="20"/>
                <w:szCs w:val="20"/>
                <w:lang w:eastAsia="ar-SA"/>
              </w:rPr>
              <w:t>Spidiļķis</w:t>
            </w:r>
            <w:proofErr w:type="spellEnd"/>
            <w:r w:rsidRPr="00A07F29">
              <w:rPr>
                <w:rFonts w:ascii="Times New Roman" w:eastAsia="Calibri" w:hAnsi="Times New Roman" w:cs="Times New Roman"/>
                <w:bCs/>
                <w:spacing w:val="-1"/>
                <w:sz w:val="20"/>
                <w:szCs w:val="20"/>
                <w:lang w:eastAsia="ar-SA"/>
              </w:rPr>
              <w:t>,</w:t>
            </w:r>
          </w:p>
          <w:p w14:paraId="503CB323" w14:textId="77777777" w:rsidR="00EA4099" w:rsidRPr="00A07F29" w:rsidRDefault="00EA4099" w:rsidP="00C1759B">
            <w:pPr>
              <w:spacing w:after="0" w:line="240" w:lineRule="auto"/>
              <w:rPr>
                <w:rFonts w:ascii="Times New Roman" w:eastAsia="Calibri" w:hAnsi="Times New Roman" w:cs="Times New Roman"/>
                <w:i/>
                <w:sz w:val="20"/>
                <w:szCs w:val="20"/>
              </w:rPr>
            </w:pPr>
            <w:proofErr w:type="spellStart"/>
            <w:r w:rsidRPr="00A07F29">
              <w:rPr>
                <w:rFonts w:ascii="Times New Roman" w:eastAsia="Calibri" w:hAnsi="Times New Roman" w:cs="Times New Roman"/>
                <w:bCs/>
                <w:i/>
                <w:spacing w:val="-1"/>
                <w:sz w:val="20"/>
                <w:szCs w:val="20"/>
                <w:lang w:eastAsia="ar-SA"/>
              </w:rPr>
              <w:t>Rhodeus</w:t>
            </w:r>
            <w:proofErr w:type="spellEnd"/>
            <w:r w:rsidRPr="00A07F29">
              <w:rPr>
                <w:rFonts w:ascii="Times New Roman" w:eastAsia="Calibri" w:hAnsi="Times New Roman" w:cs="Times New Roman"/>
                <w:bCs/>
                <w:i/>
                <w:spacing w:val="-1"/>
                <w:sz w:val="20"/>
                <w:szCs w:val="20"/>
                <w:lang w:eastAsia="ar-SA"/>
              </w:rPr>
              <w:t xml:space="preserve"> </w:t>
            </w:r>
            <w:proofErr w:type="spellStart"/>
            <w:r w:rsidRPr="00A07F29">
              <w:rPr>
                <w:rFonts w:ascii="Times New Roman" w:eastAsia="Calibri" w:hAnsi="Times New Roman" w:cs="Times New Roman"/>
                <w:bCs/>
                <w:i/>
                <w:spacing w:val="-1"/>
                <w:sz w:val="20"/>
                <w:szCs w:val="20"/>
                <w:lang w:eastAsia="ar-SA"/>
              </w:rPr>
              <w:t>amarus</w:t>
            </w:r>
            <w:proofErr w:type="spellEnd"/>
          </w:p>
        </w:tc>
        <w:tc>
          <w:tcPr>
            <w:tcW w:w="851" w:type="dxa"/>
          </w:tcPr>
          <w:p w14:paraId="43B129E5" w14:textId="77777777" w:rsidR="00EA4099" w:rsidRPr="00A07F29" w:rsidRDefault="00EA4099" w:rsidP="00C1759B">
            <w:pPr>
              <w:spacing w:after="0" w:line="240" w:lineRule="auto"/>
              <w:rPr>
                <w:rFonts w:ascii="Times New Roman" w:eastAsia="Calibri" w:hAnsi="Times New Roman" w:cs="Times New Roman"/>
                <w:sz w:val="20"/>
                <w:szCs w:val="20"/>
              </w:rPr>
            </w:pPr>
            <w:r w:rsidRPr="00A07F29">
              <w:t>300</w:t>
            </w:r>
          </w:p>
        </w:tc>
        <w:tc>
          <w:tcPr>
            <w:tcW w:w="1134" w:type="dxa"/>
          </w:tcPr>
          <w:p w14:paraId="7EA10A68" w14:textId="77777777" w:rsidR="00EA4099" w:rsidRPr="00A07F29" w:rsidRDefault="00EA4099" w:rsidP="00C1759B">
            <w:pPr>
              <w:spacing w:after="0" w:line="240" w:lineRule="auto"/>
              <w:rPr>
                <w:rFonts w:ascii="Times New Roman" w:eastAsia="Calibri" w:hAnsi="Times New Roman" w:cs="Times New Roman"/>
                <w:sz w:val="20"/>
                <w:szCs w:val="20"/>
              </w:rPr>
            </w:pPr>
            <w:r w:rsidRPr="00A07F29">
              <w:t>31000</w:t>
            </w:r>
          </w:p>
        </w:tc>
        <w:tc>
          <w:tcPr>
            <w:tcW w:w="1247" w:type="dxa"/>
          </w:tcPr>
          <w:p w14:paraId="03193E48" w14:textId="77777777" w:rsidR="00EA4099" w:rsidRPr="00A07F29" w:rsidRDefault="00EA4099" w:rsidP="00C1759B">
            <w:pPr>
              <w:spacing w:after="0" w:line="240" w:lineRule="auto"/>
              <w:rPr>
                <w:rFonts w:ascii="Times New Roman" w:eastAsia="Calibri" w:hAnsi="Times New Roman" w:cs="Times New Roman"/>
                <w:sz w:val="20"/>
                <w:szCs w:val="20"/>
              </w:rPr>
            </w:pPr>
            <w:r w:rsidRPr="00A07F29">
              <w:t>0,7</w:t>
            </w:r>
          </w:p>
        </w:tc>
        <w:tc>
          <w:tcPr>
            <w:tcW w:w="1276" w:type="dxa"/>
          </w:tcPr>
          <w:p w14:paraId="7A77056D" w14:textId="77777777" w:rsidR="00EA4099" w:rsidRPr="00A07F29" w:rsidRDefault="00EA4099" w:rsidP="00C1759B">
            <w:pPr>
              <w:spacing w:after="0" w:line="240" w:lineRule="auto"/>
              <w:rPr>
                <w:rFonts w:ascii="Times New Roman" w:eastAsia="Calibri" w:hAnsi="Times New Roman" w:cs="Times New Roman"/>
                <w:sz w:val="20"/>
                <w:szCs w:val="20"/>
              </w:rPr>
            </w:pPr>
            <w:r w:rsidRPr="00A07F29">
              <w:t>0,1</w:t>
            </w:r>
          </w:p>
        </w:tc>
        <w:tc>
          <w:tcPr>
            <w:tcW w:w="1134" w:type="dxa"/>
          </w:tcPr>
          <w:p w14:paraId="43182C6C" w14:textId="77777777" w:rsidR="00EA4099" w:rsidRPr="00A07F29" w:rsidRDefault="00EA4099" w:rsidP="00C1759B">
            <w:pPr>
              <w:spacing w:after="0" w:line="240" w:lineRule="auto"/>
              <w:rPr>
                <w:rFonts w:ascii="Times New Roman" w:eastAsia="Calibri" w:hAnsi="Times New Roman" w:cs="Times New Roman"/>
                <w:sz w:val="20"/>
                <w:szCs w:val="20"/>
              </w:rPr>
            </w:pPr>
            <w:r w:rsidRPr="00A07F29">
              <w:t>150</w:t>
            </w:r>
          </w:p>
        </w:tc>
        <w:tc>
          <w:tcPr>
            <w:tcW w:w="1383" w:type="dxa"/>
          </w:tcPr>
          <w:p w14:paraId="116D0587" w14:textId="77777777" w:rsidR="00EA4099" w:rsidRPr="00A07F29" w:rsidRDefault="00EA4099" w:rsidP="00C1759B">
            <w:pPr>
              <w:spacing w:after="0" w:line="240" w:lineRule="auto"/>
              <w:rPr>
                <w:rFonts w:ascii="Times New Roman" w:eastAsia="Calibri" w:hAnsi="Times New Roman" w:cs="Times New Roman"/>
                <w:sz w:val="20"/>
                <w:szCs w:val="20"/>
              </w:rPr>
            </w:pPr>
            <w:r w:rsidRPr="00A07F29">
              <w:t>0,8</w:t>
            </w:r>
          </w:p>
        </w:tc>
      </w:tr>
      <w:tr w:rsidR="00EA4099" w:rsidRPr="00A07F29" w14:paraId="0CC7F029" w14:textId="77777777" w:rsidTr="00C1759B">
        <w:tc>
          <w:tcPr>
            <w:tcW w:w="534" w:type="dxa"/>
          </w:tcPr>
          <w:p w14:paraId="3F000B23" w14:textId="77777777" w:rsidR="00EA4099" w:rsidRPr="00A07F29" w:rsidRDefault="00EA4099" w:rsidP="00C1759B">
            <w:pPr>
              <w:spacing w:after="0" w:line="240" w:lineRule="auto"/>
              <w:rPr>
                <w:rFonts w:ascii="Times New Roman" w:eastAsia="Calibri" w:hAnsi="Times New Roman" w:cs="Times New Roman"/>
                <w:sz w:val="20"/>
                <w:szCs w:val="20"/>
              </w:rPr>
            </w:pPr>
            <w:r w:rsidRPr="00A07F29">
              <w:rPr>
                <w:rFonts w:ascii="Times New Roman" w:eastAsia="Calibri" w:hAnsi="Times New Roman" w:cs="Times New Roman"/>
                <w:sz w:val="20"/>
                <w:szCs w:val="20"/>
              </w:rPr>
              <w:t>5.</w:t>
            </w:r>
          </w:p>
        </w:tc>
        <w:tc>
          <w:tcPr>
            <w:tcW w:w="1729" w:type="dxa"/>
          </w:tcPr>
          <w:p w14:paraId="7FB80E2F" w14:textId="77777777" w:rsidR="00EA4099" w:rsidRPr="00A07F29" w:rsidRDefault="00EA4099" w:rsidP="00C1759B">
            <w:pPr>
              <w:spacing w:after="0" w:line="240" w:lineRule="auto"/>
              <w:rPr>
                <w:rFonts w:ascii="Times New Roman" w:eastAsia="Calibri" w:hAnsi="Times New Roman" w:cs="Times New Roman"/>
                <w:sz w:val="20"/>
                <w:szCs w:val="20"/>
              </w:rPr>
            </w:pPr>
            <w:r w:rsidRPr="00A07F29">
              <w:rPr>
                <w:rFonts w:ascii="Times New Roman" w:eastAsia="Calibri" w:hAnsi="Times New Roman" w:cs="Times New Roman"/>
                <w:sz w:val="20"/>
                <w:szCs w:val="20"/>
              </w:rPr>
              <w:t>Strauta nēģis,</w:t>
            </w:r>
          </w:p>
          <w:p w14:paraId="5305246C" w14:textId="77777777" w:rsidR="00EA4099" w:rsidRPr="00A07F29" w:rsidRDefault="00EA4099" w:rsidP="00C1759B">
            <w:pPr>
              <w:spacing w:after="0" w:line="240" w:lineRule="auto"/>
              <w:rPr>
                <w:rFonts w:ascii="Times New Roman" w:eastAsia="Calibri" w:hAnsi="Times New Roman" w:cs="Times New Roman"/>
                <w:sz w:val="20"/>
                <w:szCs w:val="20"/>
              </w:rPr>
            </w:pPr>
            <w:proofErr w:type="spellStart"/>
            <w:r w:rsidRPr="00A07F29">
              <w:rPr>
                <w:rFonts w:ascii="Times New Roman" w:eastAsia="Calibri" w:hAnsi="Times New Roman" w:cs="Times New Roman"/>
                <w:i/>
                <w:sz w:val="20"/>
                <w:szCs w:val="20"/>
              </w:rPr>
              <w:t>Lampetra</w:t>
            </w:r>
            <w:proofErr w:type="spellEnd"/>
            <w:r w:rsidRPr="00A07F29">
              <w:rPr>
                <w:rFonts w:ascii="Times New Roman" w:eastAsia="Calibri" w:hAnsi="Times New Roman" w:cs="Times New Roman"/>
                <w:i/>
                <w:sz w:val="20"/>
                <w:szCs w:val="20"/>
              </w:rPr>
              <w:t xml:space="preserve"> </w:t>
            </w:r>
            <w:proofErr w:type="spellStart"/>
            <w:r w:rsidRPr="00A07F29">
              <w:rPr>
                <w:rFonts w:ascii="Times New Roman" w:eastAsia="Calibri" w:hAnsi="Times New Roman" w:cs="Times New Roman"/>
                <w:i/>
                <w:sz w:val="20"/>
                <w:szCs w:val="20"/>
              </w:rPr>
              <w:t>planeri</w:t>
            </w:r>
            <w:proofErr w:type="spellEnd"/>
          </w:p>
        </w:tc>
        <w:tc>
          <w:tcPr>
            <w:tcW w:w="851" w:type="dxa"/>
          </w:tcPr>
          <w:p w14:paraId="07532D1D" w14:textId="77777777" w:rsidR="00EA4099" w:rsidRPr="00A07F29" w:rsidRDefault="00EA4099" w:rsidP="00C1759B">
            <w:pPr>
              <w:spacing w:after="0" w:line="240" w:lineRule="auto"/>
              <w:rPr>
                <w:rFonts w:ascii="Times New Roman" w:eastAsia="Calibri" w:hAnsi="Times New Roman" w:cs="Times New Roman"/>
                <w:sz w:val="20"/>
                <w:szCs w:val="20"/>
              </w:rPr>
            </w:pPr>
            <w:r w:rsidRPr="00A07F29">
              <w:t>500</w:t>
            </w:r>
          </w:p>
        </w:tc>
        <w:tc>
          <w:tcPr>
            <w:tcW w:w="1134" w:type="dxa"/>
          </w:tcPr>
          <w:p w14:paraId="1CF657E7" w14:textId="77777777" w:rsidR="00EA4099" w:rsidRPr="00A07F29" w:rsidRDefault="00EA4099" w:rsidP="00C1759B">
            <w:pPr>
              <w:spacing w:after="0" w:line="240" w:lineRule="auto"/>
              <w:rPr>
                <w:rFonts w:ascii="Times New Roman" w:eastAsia="Calibri" w:hAnsi="Times New Roman" w:cs="Times New Roman"/>
                <w:sz w:val="20"/>
                <w:szCs w:val="20"/>
              </w:rPr>
            </w:pPr>
            <w:r w:rsidRPr="00A07F29">
              <w:t>6100</w:t>
            </w:r>
          </w:p>
        </w:tc>
        <w:tc>
          <w:tcPr>
            <w:tcW w:w="1247" w:type="dxa"/>
          </w:tcPr>
          <w:p w14:paraId="3196EC65" w14:textId="77777777" w:rsidR="00EA4099" w:rsidRPr="00A07F29" w:rsidRDefault="00EA4099" w:rsidP="00C1759B">
            <w:pPr>
              <w:spacing w:after="0" w:line="240" w:lineRule="auto"/>
              <w:rPr>
                <w:rFonts w:ascii="Times New Roman" w:eastAsia="Calibri" w:hAnsi="Times New Roman" w:cs="Times New Roman"/>
                <w:sz w:val="20"/>
                <w:szCs w:val="20"/>
              </w:rPr>
            </w:pPr>
            <w:r w:rsidRPr="00A07F29">
              <w:t>2,6</w:t>
            </w:r>
          </w:p>
        </w:tc>
        <w:tc>
          <w:tcPr>
            <w:tcW w:w="1276" w:type="dxa"/>
          </w:tcPr>
          <w:p w14:paraId="05F7B05E" w14:textId="77777777" w:rsidR="00EA4099" w:rsidRPr="00A07F29" w:rsidRDefault="00EA4099" w:rsidP="00C1759B">
            <w:pPr>
              <w:spacing w:after="0" w:line="240" w:lineRule="auto"/>
              <w:rPr>
                <w:rFonts w:ascii="Times New Roman" w:eastAsia="Calibri" w:hAnsi="Times New Roman" w:cs="Times New Roman"/>
                <w:sz w:val="20"/>
                <w:szCs w:val="20"/>
              </w:rPr>
            </w:pPr>
            <w:r w:rsidRPr="00A07F29">
              <w:t>0,2</w:t>
            </w:r>
          </w:p>
        </w:tc>
        <w:tc>
          <w:tcPr>
            <w:tcW w:w="1134" w:type="dxa"/>
          </w:tcPr>
          <w:p w14:paraId="0A35B92E" w14:textId="77777777" w:rsidR="00EA4099" w:rsidRPr="00A07F29" w:rsidRDefault="00EA4099" w:rsidP="00C1759B">
            <w:pPr>
              <w:spacing w:after="0" w:line="240" w:lineRule="auto"/>
              <w:rPr>
                <w:rFonts w:ascii="Times New Roman" w:eastAsia="Calibri" w:hAnsi="Times New Roman" w:cs="Times New Roman"/>
                <w:sz w:val="20"/>
                <w:szCs w:val="20"/>
              </w:rPr>
            </w:pPr>
            <w:r w:rsidRPr="00A07F29">
              <w:t>198</w:t>
            </w:r>
          </w:p>
        </w:tc>
        <w:tc>
          <w:tcPr>
            <w:tcW w:w="1383" w:type="dxa"/>
          </w:tcPr>
          <w:p w14:paraId="4A0DC193" w14:textId="77777777" w:rsidR="00EA4099" w:rsidRPr="00A07F29" w:rsidRDefault="00EA4099" w:rsidP="00C1759B">
            <w:pPr>
              <w:spacing w:after="0" w:line="240" w:lineRule="auto"/>
              <w:rPr>
                <w:rFonts w:ascii="Times New Roman" w:eastAsia="Calibri" w:hAnsi="Times New Roman" w:cs="Times New Roman"/>
                <w:sz w:val="20"/>
                <w:szCs w:val="20"/>
              </w:rPr>
            </w:pPr>
            <w:r w:rsidRPr="00A07F29">
              <w:t>4,8</w:t>
            </w:r>
          </w:p>
        </w:tc>
      </w:tr>
    </w:tbl>
    <w:p w14:paraId="63ABF045" w14:textId="4FCDAEF4" w:rsidR="009072CE" w:rsidRPr="00A07F29" w:rsidRDefault="009072CE" w:rsidP="004423DE">
      <w:pPr>
        <w:spacing w:before="240" w:after="120" w:line="240" w:lineRule="auto"/>
        <w:jc w:val="both"/>
        <w:rPr>
          <w:rFonts w:ascii="Times New Roman" w:eastAsia="Calibri" w:hAnsi="Times New Roman" w:cs="Times New Roman"/>
          <w:b/>
          <w:sz w:val="24"/>
          <w:szCs w:val="24"/>
        </w:rPr>
      </w:pPr>
      <w:r w:rsidRPr="00A07F29">
        <w:rPr>
          <w:rFonts w:ascii="Times New Roman" w:eastAsia="Calibri" w:hAnsi="Times New Roman" w:cs="Times New Roman"/>
          <w:b/>
          <w:sz w:val="24"/>
          <w:szCs w:val="24"/>
        </w:rPr>
        <w:t xml:space="preserve">Salate </w:t>
      </w:r>
      <w:proofErr w:type="spellStart"/>
      <w:r w:rsidRPr="00A07F29">
        <w:rPr>
          <w:rFonts w:ascii="Times New Roman" w:eastAsia="Calibri" w:hAnsi="Times New Roman" w:cs="Times New Roman"/>
          <w:b/>
          <w:i/>
          <w:iCs/>
          <w:sz w:val="24"/>
          <w:szCs w:val="24"/>
        </w:rPr>
        <w:t>Aspius</w:t>
      </w:r>
      <w:proofErr w:type="spellEnd"/>
      <w:r w:rsidRPr="00A07F29">
        <w:rPr>
          <w:rFonts w:ascii="Times New Roman" w:eastAsia="Calibri" w:hAnsi="Times New Roman" w:cs="Times New Roman"/>
          <w:b/>
          <w:i/>
          <w:iCs/>
          <w:sz w:val="24"/>
          <w:szCs w:val="24"/>
        </w:rPr>
        <w:t xml:space="preserve"> </w:t>
      </w:r>
      <w:proofErr w:type="spellStart"/>
      <w:r w:rsidRPr="00A07F29">
        <w:rPr>
          <w:rFonts w:ascii="Times New Roman" w:eastAsia="Calibri" w:hAnsi="Times New Roman" w:cs="Times New Roman"/>
          <w:b/>
          <w:i/>
          <w:iCs/>
          <w:sz w:val="24"/>
          <w:szCs w:val="24"/>
        </w:rPr>
        <w:t>aspius</w:t>
      </w:r>
      <w:proofErr w:type="spellEnd"/>
    </w:p>
    <w:p w14:paraId="25E89616" w14:textId="45C2E2D5" w:rsidR="009072CE" w:rsidRPr="00A07F29" w:rsidRDefault="009072CE" w:rsidP="009072CE">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Latvijā salate sastopama lielākajās upēs </w:t>
      </w:r>
      <w:r w:rsidR="0059524B" w:rsidRPr="00A07F29">
        <w:rPr>
          <w:rFonts w:ascii="Times New Roman" w:eastAsia="Calibri" w:hAnsi="Times New Roman" w:cs="Times New Roman"/>
          <w:sz w:val="24"/>
          <w:szCs w:val="24"/>
        </w:rPr>
        <w:t xml:space="preserve">– Gaujā, Daugavā, Ventā </w:t>
      </w:r>
      <w:r w:rsidRPr="00A07F29">
        <w:rPr>
          <w:rFonts w:ascii="Times New Roman" w:eastAsia="Calibri" w:hAnsi="Times New Roman" w:cs="Times New Roman"/>
          <w:sz w:val="24"/>
          <w:szCs w:val="24"/>
        </w:rPr>
        <w:t xml:space="preserve">un atsevišķās to pietekās, bet iespējams arī Irbē un Salacā, attiecīgi arī ĪADT, kas noteiktas šajās upēs. Sugas </w:t>
      </w:r>
      <w:r w:rsidRPr="00A07F29">
        <w:rPr>
          <w:rFonts w:ascii="Times New Roman" w:eastAsia="Calibri" w:hAnsi="Times New Roman" w:cs="Times New Roman"/>
          <w:sz w:val="24"/>
          <w:szCs w:val="24"/>
        </w:rPr>
        <w:lastRenderedPageBreak/>
        <w:t>izplatības areāls daudzkārt pārsniedz tās izplatības areālu ārpus aizsargājamām teritorijām, tāpēc</w:t>
      </w:r>
      <w:r w:rsidRPr="00A07F29">
        <w:t xml:space="preserve"> </w:t>
      </w:r>
      <w:r w:rsidRPr="00A07F29">
        <w:rPr>
          <w:rFonts w:ascii="Times New Roman" w:eastAsia="Calibri" w:hAnsi="Times New Roman" w:cs="Times New Roman"/>
          <w:sz w:val="24"/>
          <w:szCs w:val="24"/>
        </w:rPr>
        <w:t>AAA “Augšdaugava” nav noteicošas nozīmes tās aizsardzībā.</w:t>
      </w:r>
      <w:r w:rsidR="004423DE" w:rsidRPr="00A07F29">
        <w:rPr>
          <w:rFonts w:ascii="Times New Roman" w:eastAsia="Calibri" w:hAnsi="Times New Roman" w:cs="Times New Roman"/>
          <w:sz w:val="24"/>
          <w:szCs w:val="24"/>
        </w:rPr>
        <w:t xml:space="preserve"> </w:t>
      </w:r>
      <w:r w:rsidRPr="00A07F29">
        <w:rPr>
          <w:rFonts w:ascii="Times New Roman" w:eastAsia="Calibri" w:hAnsi="Times New Roman" w:cs="Times New Roman"/>
          <w:sz w:val="24"/>
          <w:szCs w:val="24"/>
        </w:rPr>
        <w:t>Sugas aizsardzības stāvoklis atzīts par labvēlīgu</w:t>
      </w:r>
      <w:r w:rsidR="004423DE" w:rsidRPr="00A07F29">
        <w:rPr>
          <w:rFonts w:ascii="Times New Roman" w:eastAsia="Calibri" w:hAnsi="Times New Roman" w:cs="Times New Roman"/>
          <w:sz w:val="24"/>
          <w:szCs w:val="24"/>
        </w:rPr>
        <w:t xml:space="preserve"> (</w:t>
      </w:r>
      <w:r w:rsidR="006F7E9C">
        <w:rPr>
          <w:rFonts w:ascii="Times New Roman" w:eastAsia="Calibri" w:hAnsi="Times New Roman" w:cs="Times New Roman"/>
          <w:sz w:val="24"/>
          <w:szCs w:val="24"/>
        </w:rPr>
        <w:t xml:space="preserve">skat. </w:t>
      </w:r>
      <w:r w:rsidR="004423DE" w:rsidRPr="00A07F29">
        <w:rPr>
          <w:rFonts w:ascii="Times New Roman" w:eastAsia="Calibri" w:hAnsi="Times New Roman" w:cs="Times New Roman"/>
          <w:sz w:val="24"/>
          <w:szCs w:val="24"/>
        </w:rPr>
        <w:t>4</w:t>
      </w:r>
      <w:r w:rsidR="000264F3">
        <w:rPr>
          <w:rFonts w:ascii="Times New Roman" w:eastAsia="Calibri" w:hAnsi="Times New Roman" w:cs="Times New Roman"/>
          <w:sz w:val="24"/>
          <w:szCs w:val="24"/>
        </w:rPr>
        <w:t>.9</w:t>
      </w:r>
      <w:r w:rsidR="004423DE" w:rsidRPr="00A07F29">
        <w:rPr>
          <w:rFonts w:ascii="Times New Roman" w:eastAsia="Calibri" w:hAnsi="Times New Roman" w:cs="Times New Roman"/>
          <w:sz w:val="24"/>
          <w:szCs w:val="24"/>
        </w:rPr>
        <w:t>.2.</w:t>
      </w:r>
      <w:r w:rsidR="006F7E9C">
        <w:rPr>
          <w:rFonts w:ascii="Times New Roman" w:eastAsia="Calibri" w:hAnsi="Times New Roman" w:cs="Times New Roman"/>
          <w:sz w:val="24"/>
          <w:szCs w:val="24"/>
        </w:rPr>
        <w:t> </w:t>
      </w:r>
      <w:r w:rsidR="004423DE" w:rsidRPr="00A07F29">
        <w:rPr>
          <w:rFonts w:ascii="Times New Roman" w:eastAsia="Calibri" w:hAnsi="Times New Roman" w:cs="Times New Roman"/>
          <w:sz w:val="24"/>
          <w:szCs w:val="24"/>
        </w:rPr>
        <w:t>tab</w:t>
      </w:r>
      <w:r w:rsidR="006F7E9C">
        <w:rPr>
          <w:rFonts w:ascii="Times New Roman" w:eastAsia="Calibri" w:hAnsi="Times New Roman" w:cs="Times New Roman"/>
          <w:sz w:val="24"/>
          <w:szCs w:val="24"/>
        </w:rPr>
        <w:t>ula</w:t>
      </w:r>
      <w:r w:rsidR="004423DE" w:rsidRPr="00A07F29">
        <w:rPr>
          <w:rFonts w:ascii="Times New Roman" w:eastAsia="Calibri" w:hAnsi="Times New Roman" w:cs="Times New Roman"/>
          <w:sz w:val="24"/>
          <w:szCs w:val="24"/>
        </w:rPr>
        <w:t>).</w:t>
      </w:r>
    </w:p>
    <w:p w14:paraId="66D28123" w14:textId="77777777" w:rsidR="009072CE" w:rsidRPr="00A07F29" w:rsidRDefault="009072CE" w:rsidP="004423DE">
      <w:pPr>
        <w:spacing w:before="240" w:after="120" w:line="240" w:lineRule="auto"/>
        <w:jc w:val="both"/>
        <w:rPr>
          <w:rFonts w:ascii="Times New Roman" w:eastAsia="Calibri" w:hAnsi="Times New Roman" w:cs="Times New Roman"/>
          <w:b/>
          <w:sz w:val="24"/>
          <w:szCs w:val="24"/>
        </w:rPr>
      </w:pPr>
      <w:r w:rsidRPr="00A07F29">
        <w:rPr>
          <w:rFonts w:ascii="Times New Roman" w:eastAsia="Calibri" w:hAnsi="Times New Roman" w:cs="Times New Roman"/>
          <w:b/>
          <w:sz w:val="24"/>
          <w:szCs w:val="24"/>
        </w:rPr>
        <w:t xml:space="preserve">Akmeņgrauzis </w:t>
      </w:r>
      <w:proofErr w:type="spellStart"/>
      <w:r w:rsidRPr="00A07F29">
        <w:rPr>
          <w:rFonts w:ascii="Times New Roman" w:eastAsia="Calibri" w:hAnsi="Times New Roman" w:cs="Times New Roman"/>
          <w:b/>
          <w:i/>
          <w:sz w:val="24"/>
          <w:szCs w:val="24"/>
        </w:rPr>
        <w:t>Cobitis</w:t>
      </w:r>
      <w:proofErr w:type="spellEnd"/>
      <w:r w:rsidRPr="00A07F29">
        <w:rPr>
          <w:rFonts w:ascii="Times New Roman" w:eastAsia="Calibri" w:hAnsi="Times New Roman" w:cs="Times New Roman"/>
          <w:b/>
          <w:i/>
          <w:sz w:val="24"/>
          <w:szCs w:val="24"/>
        </w:rPr>
        <w:t xml:space="preserve"> </w:t>
      </w:r>
      <w:proofErr w:type="spellStart"/>
      <w:r w:rsidRPr="00A07F29">
        <w:rPr>
          <w:rFonts w:ascii="Times New Roman" w:eastAsia="Calibri" w:hAnsi="Times New Roman" w:cs="Times New Roman"/>
          <w:b/>
          <w:i/>
          <w:sz w:val="24"/>
          <w:szCs w:val="24"/>
        </w:rPr>
        <w:t>taenia</w:t>
      </w:r>
      <w:proofErr w:type="spellEnd"/>
    </w:p>
    <w:p w14:paraId="07BCECBD" w14:textId="3933C324" w:rsidR="009072CE" w:rsidRPr="00A07F29" w:rsidRDefault="009072CE" w:rsidP="009072CE">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Akmeņgrauzis sastopams visā Latvijas teritorijā. Latvijā suga laikā no 1992.</w:t>
      </w:r>
      <w:r w:rsidR="005337DD">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5337DD">
        <w:rPr>
          <w:rFonts w:ascii="Times New Roman" w:eastAsia="Calibri" w:hAnsi="Times New Roman" w:cs="Times New Roman"/>
          <w:sz w:val="24"/>
          <w:szCs w:val="24"/>
        </w:rPr>
        <w:t> </w:t>
      </w:r>
      <w:r w:rsidRPr="00A07F29">
        <w:rPr>
          <w:rFonts w:ascii="Times New Roman" w:eastAsia="Calibri" w:hAnsi="Times New Roman" w:cs="Times New Roman"/>
          <w:sz w:val="24"/>
          <w:szCs w:val="24"/>
        </w:rPr>
        <w:t>2018.</w:t>
      </w:r>
      <w:r w:rsidR="005337DD">
        <w:rPr>
          <w:rFonts w:ascii="Times New Roman" w:eastAsia="Calibri" w:hAnsi="Times New Roman" w:cs="Times New Roman"/>
          <w:sz w:val="24"/>
          <w:szCs w:val="24"/>
        </w:rPr>
        <w:t> </w:t>
      </w:r>
      <w:r w:rsidRPr="00A07F29">
        <w:rPr>
          <w:rFonts w:ascii="Times New Roman" w:eastAsia="Calibri" w:hAnsi="Times New Roman" w:cs="Times New Roman"/>
          <w:sz w:val="24"/>
          <w:szCs w:val="24"/>
        </w:rPr>
        <w:t>g</w:t>
      </w:r>
      <w:r w:rsidR="005337DD">
        <w:rPr>
          <w:rFonts w:ascii="Times New Roman" w:eastAsia="Calibri" w:hAnsi="Times New Roman" w:cs="Times New Roman"/>
          <w:sz w:val="24"/>
          <w:szCs w:val="24"/>
        </w:rPr>
        <w:t>adam</w:t>
      </w:r>
      <w:r w:rsidRPr="00A07F29">
        <w:rPr>
          <w:rFonts w:ascii="Times New Roman" w:eastAsia="Calibri" w:hAnsi="Times New Roman" w:cs="Times New Roman"/>
          <w:sz w:val="24"/>
          <w:szCs w:val="24"/>
        </w:rPr>
        <w:t xml:space="preserve"> konstatēta 373 zvejas reizēs, jeb 27</w:t>
      </w:r>
      <w:r w:rsidR="005337DD">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 gadījumu ārpus </w:t>
      </w:r>
      <w:proofErr w:type="spellStart"/>
      <w:r w:rsidR="0092556E" w:rsidRPr="00A07F29">
        <w:rPr>
          <w:rFonts w:ascii="Times New Roman" w:eastAsia="Calibri" w:hAnsi="Times New Roman" w:cs="Times New Roman"/>
          <w:i/>
          <w:sz w:val="24"/>
          <w:szCs w:val="24"/>
        </w:rPr>
        <w:t>Natura</w:t>
      </w:r>
      <w:proofErr w:type="spellEnd"/>
      <w:r w:rsidRPr="00A07F29">
        <w:rPr>
          <w:rFonts w:ascii="Times New Roman" w:eastAsia="Calibri" w:hAnsi="Times New Roman" w:cs="Times New Roman"/>
          <w:i/>
          <w:sz w:val="24"/>
          <w:szCs w:val="24"/>
        </w:rPr>
        <w:t xml:space="preserve"> 2000</w:t>
      </w:r>
      <w:r w:rsidRPr="00A07F29">
        <w:rPr>
          <w:rFonts w:ascii="Times New Roman" w:eastAsia="Calibri" w:hAnsi="Times New Roman" w:cs="Times New Roman"/>
          <w:sz w:val="24"/>
          <w:szCs w:val="24"/>
        </w:rPr>
        <w:t xml:space="preserve"> teritorijām, bet ĪADT attiecīgi 334 </w:t>
      </w:r>
      <w:r w:rsidR="000264F3">
        <w:rPr>
          <w:rFonts w:ascii="Times New Roman" w:eastAsia="Calibri" w:hAnsi="Times New Roman" w:cs="Times New Roman"/>
          <w:sz w:val="24"/>
          <w:szCs w:val="24"/>
        </w:rPr>
        <w:t xml:space="preserve">reizes </w:t>
      </w:r>
      <w:r w:rsidRPr="00A07F29">
        <w:rPr>
          <w:rFonts w:ascii="Times New Roman" w:eastAsia="Calibri" w:hAnsi="Times New Roman" w:cs="Times New Roman"/>
          <w:sz w:val="24"/>
          <w:szCs w:val="24"/>
        </w:rPr>
        <w:t>jeb 55</w:t>
      </w:r>
      <w:r w:rsidR="005337DD">
        <w:rPr>
          <w:rFonts w:ascii="Times New Roman" w:eastAsia="Calibri" w:hAnsi="Times New Roman" w:cs="Times New Roman"/>
          <w:sz w:val="24"/>
          <w:szCs w:val="24"/>
        </w:rPr>
        <w:t> </w:t>
      </w:r>
      <w:r w:rsidR="000264F3">
        <w:rPr>
          <w:rFonts w:ascii="Times New Roman" w:eastAsia="Calibri" w:hAnsi="Times New Roman" w:cs="Times New Roman"/>
          <w:sz w:val="24"/>
          <w:szCs w:val="24"/>
        </w:rPr>
        <w:t>% gadījumu</w:t>
      </w:r>
      <w:r w:rsidRPr="00A07F29">
        <w:rPr>
          <w:rFonts w:ascii="Times New Roman" w:eastAsia="Calibri" w:hAnsi="Times New Roman" w:cs="Times New Roman"/>
          <w:sz w:val="24"/>
          <w:szCs w:val="24"/>
        </w:rPr>
        <w:t xml:space="preserve"> Tas liecina, ka </w:t>
      </w:r>
      <w:proofErr w:type="spellStart"/>
      <w:r w:rsidR="0092556E" w:rsidRPr="00A07F29">
        <w:rPr>
          <w:rFonts w:ascii="Times New Roman" w:eastAsia="Calibri" w:hAnsi="Times New Roman" w:cs="Times New Roman"/>
          <w:i/>
          <w:sz w:val="24"/>
          <w:szCs w:val="24"/>
        </w:rPr>
        <w:t>Natura</w:t>
      </w:r>
      <w:proofErr w:type="spellEnd"/>
      <w:r w:rsidRPr="00A07F29">
        <w:rPr>
          <w:rFonts w:ascii="Times New Roman" w:eastAsia="Calibri" w:hAnsi="Times New Roman" w:cs="Times New Roman"/>
          <w:i/>
          <w:sz w:val="24"/>
          <w:szCs w:val="24"/>
        </w:rPr>
        <w:t xml:space="preserve"> 2000</w:t>
      </w:r>
      <w:r w:rsidRPr="00A07F29">
        <w:rPr>
          <w:rFonts w:ascii="Times New Roman" w:eastAsia="Calibri" w:hAnsi="Times New Roman" w:cs="Times New Roman"/>
          <w:sz w:val="24"/>
          <w:szCs w:val="24"/>
        </w:rPr>
        <w:t xml:space="preserve"> tīklam ir būtiska loma šīs sugas aizsardzībā. Ņemot vērā, ka akmeņgrauzis sastopama visā Latvijas teritorijā, AAA “Augšdaugava” nav noteicoša loma tās aizsardzībā.</w:t>
      </w:r>
      <w:r w:rsidR="004423DE" w:rsidRPr="00A07F29">
        <w:rPr>
          <w:rFonts w:ascii="Times New Roman" w:eastAsia="Calibri" w:hAnsi="Times New Roman" w:cs="Times New Roman"/>
          <w:sz w:val="24"/>
          <w:szCs w:val="24"/>
        </w:rPr>
        <w:t xml:space="preserve"> </w:t>
      </w:r>
      <w:r w:rsidRPr="00A07F29">
        <w:rPr>
          <w:rFonts w:ascii="Times New Roman" w:eastAsia="Calibri" w:hAnsi="Times New Roman" w:cs="Times New Roman"/>
          <w:sz w:val="24"/>
          <w:szCs w:val="24"/>
        </w:rPr>
        <w:t>Sugas aizsardzības stāvoklis atzīts par labvēlīgu.</w:t>
      </w:r>
    </w:p>
    <w:p w14:paraId="75D2C8E0" w14:textId="77777777" w:rsidR="009072CE" w:rsidRPr="00A07F29" w:rsidRDefault="009072CE" w:rsidP="004423DE">
      <w:pPr>
        <w:spacing w:before="240" w:after="120" w:line="240" w:lineRule="auto"/>
        <w:jc w:val="both"/>
        <w:rPr>
          <w:rFonts w:ascii="Times New Roman" w:eastAsia="Calibri" w:hAnsi="Times New Roman" w:cs="Times New Roman"/>
          <w:b/>
          <w:sz w:val="24"/>
          <w:szCs w:val="24"/>
        </w:rPr>
      </w:pPr>
      <w:proofErr w:type="spellStart"/>
      <w:r w:rsidRPr="00A07F29">
        <w:rPr>
          <w:rFonts w:ascii="Times New Roman" w:eastAsia="Calibri" w:hAnsi="Times New Roman" w:cs="Times New Roman"/>
          <w:b/>
          <w:sz w:val="24"/>
          <w:szCs w:val="24"/>
        </w:rPr>
        <w:t>Platgalve</w:t>
      </w:r>
      <w:proofErr w:type="spellEnd"/>
      <w:r w:rsidRPr="00A07F29">
        <w:rPr>
          <w:rFonts w:ascii="Times New Roman" w:eastAsia="Calibri" w:hAnsi="Times New Roman" w:cs="Times New Roman"/>
          <w:b/>
          <w:sz w:val="24"/>
          <w:szCs w:val="24"/>
        </w:rPr>
        <w:t xml:space="preserve"> </w:t>
      </w:r>
      <w:proofErr w:type="spellStart"/>
      <w:r w:rsidRPr="00A07F29">
        <w:rPr>
          <w:rFonts w:ascii="Times New Roman" w:eastAsia="Calibri" w:hAnsi="Times New Roman" w:cs="Times New Roman"/>
          <w:b/>
          <w:i/>
          <w:sz w:val="24"/>
          <w:szCs w:val="24"/>
        </w:rPr>
        <w:t>Cottus</w:t>
      </w:r>
      <w:proofErr w:type="spellEnd"/>
      <w:r w:rsidRPr="00A07F29">
        <w:rPr>
          <w:rFonts w:ascii="Times New Roman" w:eastAsia="Calibri" w:hAnsi="Times New Roman" w:cs="Times New Roman"/>
          <w:b/>
          <w:i/>
          <w:sz w:val="24"/>
          <w:szCs w:val="24"/>
        </w:rPr>
        <w:t xml:space="preserve"> </w:t>
      </w:r>
      <w:proofErr w:type="spellStart"/>
      <w:r w:rsidRPr="00A07F29">
        <w:rPr>
          <w:rFonts w:ascii="Times New Roman" w:eastAsia="Calibri" w:hAnsi="Times New Roman" w:cs="Times New Roman"/>
          <w:b/>
          <w:i/>
          <w:sz w:val="24"/>
          <w:szCs w:val="24"/>
        </w:rPr>
        <w:t>gobio</w:t>
      </w:r>
      <w:proofErr w:type="spellEnd"/>
    </w:p>
    <w:p w14:paraId="3D810B84" w14:textId="4C96674B" w:rsidR="009072CE" w:rsidRPr="00A07F29" w:rsidRDefault="009072CE" w:rsidP="009072CE">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AAA “Augšdaugava” tā sastopam</w:t>
      </w:r>
      <w:r w:rsidR="00B5044B">
        <w:rPr>
          <w:rFonts w:ascii="Times New Roman" w:eastAsia="Calibri" w:hAnsi="Times New Roman" w:cs="Times New Roman"/>
          <w:sz w:val="24"/>
          <w:szCs w:val="24"/>
        </w:rPr>
        <w:t>a</w:t>
      </w:r>
      <w:r w:rsidRPr="00A07F29">
        <w:rPr>
          <w:rFonts w:ascii="Times New Roman" w:eastAsia="Calibri" w:hAnsi="Times New Roman" w:cs="Times New Roman"/>
          <w:sz w:val="24"/>
          <w:szCs w:val="24"/>
        </w:rPr>
        <w:t xml:space="preserve"> upju </w:t>
      </w:r>
      <w:proofErr w:type="spellStart"/>
      <w:r w:rsidRPr="00A07F29">
        <w:rPr>
          <w:rFonts w:ascii="Times New Roman" w:eastAsia="Calibri" w:hAnsi="Times New Roman" w:cs="Times New Roman"/>
          <w:sz w:val="24"/>
          <w:szCs w:val="24"/>
        </w:rPr>
        <w:t>ritrāla</w:t>
      </w:r>
      <w:proofErr w:type="spellEnd"/>
      <w:r w:rsidRPr="00A07F29">
        <w:rPr>
          <w:rFonts w:ascii="Times New Roman" w:eastAsia="Calibri" w:hAnsi="Times New Roman" w:cs="Times New Roman"/>
          <w:sz w:val="24"/>
          <w:szCs w:val="24"/>
        </w:rPr>
        <w:t xml:space="preserve"> posmos, galvenokārt </w:t>
      </w:r>
      <w:r w:rsidR="0090386E" w:rsidRPr="00A07F29">
        <w:rPr>
          <w:rFonts w:ascii="Times New Roman" w:eastAsia="Calibri" w:hAnsi="Times New Roman" w:cs="Times New Roman"/>
          <w:sz w:val="24"/>
          <w:szCs w:val="24"/>
        </w:rPr>
        <w:t xml:space="preserve">ES nozīmes biotopa </w:t>
      </w:r>
      <w:r w:rsidRPr="00A07F29">
        <w:rPr>
          <w:rFonts w:ascii="Times New Roman" w:eastAsia="Calibri" w:hAnsi="Times New Roman" w:cs="Times New Roman"/>
          <w:sz w:val="24"/>
          <w:szCs w:val="24"/>
        </w:rPr>
        <w:t>3260</w:t>
      </w:r>
      <w:r w:rsidR="00B5044B">
        <w:rPr>
          <w:rFonts w:ascii="Times New Roman" w:eastAsia="Calibri" w:hAnsi="Times New Roman" w:cs="Times New Roman"/>
          <w:sz w:val="24"/>
          <w:szCs w:val="24"/>
        </w:rPr>
        <w:t> </w:t>
      </w:r>
      <w:r w:rsidR="0090386E" w:rsidRPr="00A07F29">
        <w:rPr>
          <w:rFonts w:ascii="Times New Roman" w:eastAsia="Calibri" w:hAnsi="Times New Roman" w:cs="Times New Roman"/>
          <w:i/>
          <w:sz w:val="24"/>
          <w:szCs w:val="24"/>
        </w:rPr>
        <w:t>Upju straujteces un dabiski upju posmi</w:t>
      </w:r>
      <w:r w:rsidR="0090386E" w:rsidRPr="00A07F29">
        <w:rPr>
          <w:rFonts w:ascii="Times New Roman" w:eastAsia="Calibri" w:hAnsi="Times New Roman" w:cs="Times New Roman"/>
          <w:sz w:val="24"/>
          <w:szCs w:val="24"/>
        </w:rPr>
        <w:t xml:space="preserve"> straujteču variantā</w:t>
      </w:r>
      <w:r w:rsidRPr="00A07F29">
        <w:rPr>
          <w:rFonts w:ascii="Times New Roman" w:eastAsia="Calibri" w:hAnsi="Times New Roman" w:cs="Times New Roman"/>
          <w:sz w:val="24"/>
          <w:szCs w:val="24"/>
        </w:rPr>
        <w:t>. Latvijā suga laikā no 1992.</w:t>
      </w:r>
      <w:r w:rsidR="000158E8">
        <w:rPr>
          <w:rFonts w:ascii="Times New Roman" w:eastAsia="Calibri" w:hAnsi="Times New Roman" w:cs="Times New Roman"/>
          <w:sz w:val="24"/>
          <w:szCs w:val="24"/>
        </w:rPr>
        <w:t> – </w:t>
      </w:r>
      <w:r w:rsidRPr="00A07F29">
        <w:rPr>
          <w:rFonts w:ascii="Times New Roman" w:eastAsia="Calibri" w:hAnsi="Times New Roman" w:cs="Times New Roman"/>
          <w:sz w:val="24"/>
          <w:szCs w:val="24"/>
        </w:rPr>
        <w:t>2018.</w:t>
      </w:r>
      <w:r w:rsidR="0090386E" w:rsidRPr="00A07F29">
        <w:rPr>
          <w:rFonts w:ascii="Times New Roman" w:eastAsia="Calibri" w:hAnsi="Times New Roman" w:cs="Times New Roman"/>
          <w:sz w:val="24"/>
          <w:szCs w:val="24"/>
        </w:rPr>
        <w:t> </w:t>
      </w:r>
      <w:r w:rsidRPr="00A07F29">
        <w:rPr>
          <w:rFonts w:ascii="Times New Roman" w:eastAsia="Calibri" w:hAnsi="Times New Roman" w:cs="Times New Roman"/>
          <w:sz w:val="24"/>
          <w:szCs w:val="24"/>
        </w:rPr>
        <w:t>g</w:t>
      </w:r>
      <w:r w:rsidR="000158E8">
        <w:rPr>
          <w:rFonts w:ascii="Times New Roman" w:eastAsia="Calibri" w:hAnsi="Times New Roman" w:cs="Times New Roman"/>
          <w:sz w:val="24"/>
          <w:szCs w:val="24"/>
        </w:rPr>
        <w:t>adam</w:t>
      </w:r>
      <w:r w:rsidRPr="00A07F29">
        <w:rPr>
          <w:rFonts w:ascii="Times New Roman" w:eastAsia="Calibri" w:hAnsi="Times New Roman" w:cs="Times New Roman"/>
          <w:sz w:val="24"/>
          <w:szCs w:val="24"/>
        </w:rPr>
        <w:t xml:space="preserve"> konstatēta 528 zvejas reizēs, jeb 38</w:t>
      </w:r>
      <w:r w:rsidR="000158E8">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 gadījumu ārpus </w:t>
      </w:r>
      <w:proofErr w:type="spellStart"/>
      <w:r w:rsidR="0092556E" w:rsidRPr="00A07F29">
        <w:rPr>
          <w:rFonts w:ascii="Times New Roman" w:eastAsia="Calibri" w:hAnsi="Times New Roman" w:cs="Times New Roman"/>
          <w:i/>
          <w:iCs/>
          <w:sz w:val="24"/>
          <w:szCs w:val="24"/>
        </w:rPr>
        <w:t>Natura</w:t>
      </w:r>
      <w:proofErr w:type="spellEnd"/>
      <w:r w:rsidRPr="00A07F29">
        <w:rPr>
          <w:rFonts w:ascii="Times New Roman" w:eastAsia="Calibri" w:hAnsi="Times New Roman" w:cs="Times New Roman"/>
          <w:i/>
          <w:iCs/>
          <w:sz w:val="24"/>
          <w:szCs w:val="24"/>
        </w:rPr>
        <w:t xml:space="preserve"> 2000</w:t>
      </w:r>
      <w:r w:rsidRPr="00A07F29">
        <w:rPr>
          <w:rFonts w:ascii="Times New Roman" w:eastAsia="Calibri" w:hAnsi="Times New Roman" w:cs="Times New Roman"/>
          <w:sz w:val="24"/>
          <w:szCs w:val="24"/>
        </w:rPr>
        <w:t xml:space="preserve"> teritorijām, bet ĪADT attiecīgi 456 </w:t>
      </w:r>
      <w:r w:rsidR="000264F3">
        <w:rPr>
          <w:rFonts w:ascii="Times New Roman" w:eastAsia="Calibri" w:hAnsi="Times New Roman" w:cs="Times New Roman"/>
          <w:sz w:val="24"/>
          <w:szCs w:val="24"/>
        </w:rPr>
        <w:t xml:space="preserve">reizes </w:t>
      </w:r>
      <w:r w:rsidRPr="00A07F29">
        <w:rPr>
          <w:rFonts w:ascii="Times New Roman" w:eastAsia="Calibri" w:hAnsi="Times New Roman" w:cs="Times New Roman"/>
          <w:sz w:val="24"/>
          <w:szCs w:val="24"/>
        </w:rPr>
        <w:t>jeb 55</w:t>
      </w:r>
      <w:r w:rsidR="0008185A">
        <w:rPr>
          <w:rFonts w:ascii="Times New Roman" w:eastAsia="Calibri" w:hAnsi="Times New Roman" w:cs="Times New Roman"/>
          <w:sz w:val="24"/>
          <w:szCs w:val="24"/>
        </w:rPr>
        <w:t> </w:t>
      </w:r>
      <w:r w:rsidR="000264F3">
        <w:rPr>
          <w:rFonts w:ascii="Times New Roman" w:eastAsia="Calibri" w:hAnsi="Times New Roman" w:cs="Times New Roman"/>
          <w:sz w:val="24"/>
          <w:szCs w:val="24"/>
        </w:rPr>
        <w:t>% gadījumu</w:t>
      </w:r>
      <w:r w:rsidRPr="00A07F29">
        <w:rPr>
          <w:rFonts w:ascii="Times New Roman" w:eastAsia="Calibri" w:hAnsi="Times New Roman" w:cs="Times New Roman"/>
          <w:sz w:val="24"/>
          <w:szCs w:val="24"/>
        </w:rPr>
        <w:t xml:space="preserve">. Tas liecina, ka </w:t>
      </w:r>
      <w:proofErr w:type="spellStart"/>
      <w:r w:rsidR="0092556E" w:rsidRPr="00A07F29">
        <w:rPr>
          <w:rFonts w:ascii="Times New Roman" w:eastAsia="Calibri" w:hAnsi="Times New Roman" w:cs="Times New Roman"/>
          <w:i/>
          <w:sz w:val="24"/>
          <w:szCs w:val="24"/>
        </w:rPr>
        <w:t>Natura</w:t>
      </w:r>
      <w:proofErr w:type="spellEnd"/>
      <w:r w:rsidRPr="00A07F29">
        <w:rPr>
          <w:rFonts w:ascii="Times New Roman" w:eastAsia="Calibri" w:hAnsi="Times New Roman" w:cs="Times New Roman"/>
          <w:i/>
          <w:sz w:val="24"/>
          <w:szCs w:val="24"/>
        </w:rPr>
        <w:t xml:space="preserve"> 2000</w:t>
      </w:r>
      <w:r w:rsidRPr="00A07F29">
        <w:rPr>
          <w:rFonts w:ascii="Times New Roman" w:eastAsia="Calibri" w:hAnsi="Times New Roman" w:cs="Times New Roman"/>
          <w:sz w:val="24"/>
          <w:szCs w:val="24"/>
        </w:rPr>
        <w:t xml:space="preserve"> tīklam ir būtiska loma šīs sugas aizsardzībā. Ņemot vērā, ka </w:t>
      </w:r>
      <w:proofErr w:type="spellStart"/>
      <w:r w:rsidRPr="00A07F29">
        <w:rPr>
          <w:rFonts w:ascii="Times New Roman" w:eastAsia="Calibri" w:hAnsi="Times New Roman" w:cs="Times New Roman"/>
          <w:sz w:val="24"/>
          <w:szCs w:val="24"/>
        </w:rPr>
        <w:t>platgalve</w:t>
      </w:r>
      <w:proofErr w:type="spellEnd"/>
      <w:r w:rsidRPr="00A07F29">
        <w:rPr>
          <w:rFonts w:ascii="Times New Roman" w:eastAsia="Calibri" w:hAnsi="Times New Roman" w:cs="Times New Roman"/>
          <w:sz w:val="24"/>
          <w:szCs w:val="24"/>
        </w:rPr>
        <w:t xml:space="preserve"> sastopama visā Latvijas teritorijā, AAA “Augšdaugava” nav noteicoša loma tās aizsardzībā.</w:t>
      </w:r>
      <w:r w:rsidR="0059524B" w:rsidRPr="00A07F29">
        <w:rPr>
          <w:rFonts w:ascii="Times New Roman" w:eastAsia="Calibri" w:hAnsi="Times New Roman" w:cs="Times New Roman"/>
          <w:sz w:val="24"/>
          <w:szCs w:val="24"/>
        </w:rPr>
        <w:t xml:space="preserve"> </w:t>
      </w:r>
      <w:r w:rsidRPr="00A07F29">
        <w:rPr>
          <w:rFonts w:ascii="Times New Roman" w:eastAsia="Calibri" w:hAnsi="Times New Roman" w:cs="Times New Roman"/>
          <w:sz w:val="24"/>
          <w:szCs w:val="24"/>
        </w:rPr>
        <w:t xml:space="preserve">Sugas aizsardzības stāvoklis atzīts par nelabvēlīgu, jo ilgtermiņā novērojama tās īpatņu relatīvā skaita samazināšanās populācijās. </w:t>
      </w:r>
    </w:p>
    <w:p w14:paraId="1AA39089" w14:textId="4CE5601D" w:rsidR="009072CE" w:rsidRPr="00A07F29" w:rsidRDefault="009072CE" w:rsidP="004423DE">
      <w:pPr>
        <w:spacing w:before="240" w:after="120" w:line="240" w:lineRule="auto"/>
        <w:jc w:val="both"/>
        <w:rPr>
          <w:rFonts w:ascii="Times New Roman" w:eastAsia="Calibri" w:hAnsi="Times New Roman" w:cs="Times New Roman"/>
          <w:b/>
          <w:sz w:val="24"/>
          <w:szCs w:val="24"/>
        </w:rPr>
      </w:pPr>
      <w:r w:rsidRPr="00A07F29">
        <w:rPr>
          <w:rFonts w:ascii="Times New Roman" w:eastAsia="Calibri" w:hAnsi="Times New Roman" w:cs="Times New Roman"/>
          <w:b/>
          <w:sz w:val="24"/>
          <w:szCs w:val="24"/>
        </w:rPr>
        <w:t xml:space="preserve">Strauta nēģis </w:t>
      </w:r>
      <w:proofErr w:type="spellStart"/>
      <w:r w:rsidRPr="00A07F29">
        <w:rPr>
          <w:rFonts w:ascii="Times New Roman" w:eastAsia="Calibri" w:hAnsi="Times New Roman" w:cs="Times New Roman"/>
          <w:b/>
          <w:i/>
          <w:sz w:val="24"/>
          <w:szCs w:val="24"/>
        </w:rPr>
        <w:t>Lampetra</w:t>
      </w:r>
      <w:proofErr w:type="spellEnd"/>
      <w:r w:rsidRPr="00A07F29">
        <w:rPr>
          <w:rFonts w:ascii="Times New Roman" w:eastAsia="Calibri" w:hAnsi="Times New Roman" w:cs="Times New Roman"/>
          <w:b/>
          <w:i/>
          <w:sz w:val="24"/>
          <w:szCs w:val="24"/>
        </w:rPr>
        <w:t xml:space="preserve"> </w:t>
      </w:r>
      <w:proofErr w:type="spellStart"/>
      <w:r w:rsidRPr="00A07F29">
        <w:rPr>
          <w:rFonts w:ascii="Times New Roman" w:eastAsia="Calibri" w:hAnsi="Times New Roman" w:cs="Times New Roman"/>
          <w:b/>
          <w:i/>
          <w:sz w:val="24"/>
          <w:szCs w:val="24"/>
        </w:rPr>
        <w:t>planeri</w:t>
      </w:r>
      <w:proofErr w:type="spellEnd"/>
    </w:p>
    <w:p w14:paraId="709EFB90" w14:textId="58E9AD2E" w:rsidR="009072CE" w:rsidRPr="00A07F29" w:rsidRDefault="0059524B" w:rsidP="009072CE">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Strauta nēģis </w:t>
      </w:r>
      <w:r w:rsidR="009072CE" w:rsidRPr="00A07F29">
        <w:rPr>
          <w:rFonts w:ascii="Times New Roman" w:eastAsia="Calibri" w:hAnsi="Times New Roman" w:cs="Times New Roman"/>
          <w:sz w:val="24"/>
          <w:szCs w:val="24"/>
        </w:rPr>
        <w:t>sastopams visā Latvijas teritorijā. Latvijā suga laikā no 1992.</w:t>
      </w:r>
      <w:r w:rsidR="006558CF">
        <w:rPr>
          <w:rFonts w:ascii="Times New Roman" w:eastAsia="Calibri" w:hAnsi="Times New Roman" w:cs="Times New Roman"/>
          <w:sz w:val="24"/>
          <w:szCs w:val="24"/>
        </w:rPr>
        <w:t> </w:t>
      </w:r>
      <w:r w:rsidR="009072CE" w:rsidRPr="00A07F29">
        <w:rPr>
          <w:rFonts w:ascii="Times New Roman" w:eastAsia="Calibri" w:hAnsi="Times New Roman" w:cs="Times New Roman"/>
          <w:sz w:val="24"/>
          <w:szCs w:val="24"/>
        </w:rPr>
        <w:t>–</w:t>
      </w:r>
      <w:r w:rsidR="006558CF">
        <w:rPr>
          <w:rFonts w:ascii="Times New Roman" w:eastAsia="Calibri" w:hAnsi="Times New Roman" w:cs="Times New Roman"/>
          <w:sz w:val="24"/>
          <w:szCs w:val="24"/>
        </w:rPr>
        <w:t> </w:t>
      </w:r>
      <w:r w:rsidR="009072CE" w:rsidRPr="00A07F29">
        <w:rPr>
          <w:rFonts w:ascii="Times New Roman" w:eastAsia="Calibri" w:hAnsi="Times New Roman" w:cs="Times New Roman"/>
          <w:sz w:val="24"/>
          <w:szCs w:val="24"/>
        </w:rPr>
        <w:t>2018.</w:t>
      </w:r>
      <w:r w:rsidR="006558CF">
        <w:rPr>
          <w:rFonts w:ascii="Times New Roman" w:eastAsia="Calibri" w:hAnsi="Times New Roman" w:cs="Times New Roman"/>
          <w:sz w:val="24"/>
          <w:szCs w:val="24"/>
        </w:rPr>
        <w:t> </w:t>
      </w:r>
      <w:r w:rsidR="009072CE" w:rsidRPr="00A07F29">
        <w:rPr>
          <w:rFonts w:ascii="Times New Roman" w:eastAsia="Calibri" w:hAnsi="Times New Roman" w:cs="Times New Roman"/>
          <w:sz w:val="24"/>
          <w:szCs w:val="24"/>
        </w:rPr>
        <w:t>g</w:t>
      </w:r>
      <w:r w:rsidR="006558CF">
        <w:rPr>
          <w:rFonts w:ascii="Times New Roman" w:eastAsia="Calibri" w:hAnsi="Times New Roman" w:cs="Times New Roman"/>
          <w:sz w:val="24"/>
          <w:szCs w:val="24"/>
        </w:rPr>
        <w:t>adam</w:t>
      </w:r>
      <w:r w:rsidR="009072CE" w:rsidRPr="00A07F29">
        <w:rPr>
          <w:rFonts w:ascii="Times New Roman" w:eastAsia="Calibri" w:hAnsi="Times New Roman" w:cs="Times New Roman"/>
          <w:sz w:val="24"/>
          <w:szCs w:val="24"/>
        </w:rPr>
        <w:t xml:space="preserve"> konstatēta 328 zvejas reizēs, jeb 24</w:t>
      </w:r>
      <w:r w:rsidR="00D04142">
        <w:rPr>
          <w:rFonts w:ascii="Times New Roman" w:eastAsia="Calibri" w:hAnsi="Times New Roman" w:cs="Times New Roman"/>
          <w:sz w:val="24"/>
          <w:szCs w:val="24"/>
        </w:rPr>
        <w:t> </w:t>
      </w:r>
      <w:r w:rsidR="009072CE" w:rsidRPr="00A07F29">
        <w:rPr>
          <w:rFonts w:ascii="Times New Roman" w:eastAsia="Calibri" w:hAnsi="Times New Roman" w:cs="Times New Roman"/>
          <w:sz w:val="24"/>
          <w:szCs w:val="24"/>
        </w:rPr>
        <w:t xml:space="preserve">% gadījumu ārpus </w:t>
      </w:r>
      <w:proofErr w:type="spellStart"/>
      <w:r w:rsidR="0092556E" w:rsidRPr="00A07F29">
        <w:rPr>
          <w:rFonts w:ascii="Times New Roman" w:eastAsia="Calibri" w:hAnsi="Times New Roman" w:cs="Times New Roman"/>
          <w:i/>
          <w:sz w:val="24"/>
          <w:szCs w:val="24"/>
        </w:rPr>
        <w:t>Natura</w:t>
      </w:r>
      <w:proofErr w:type="spellEnd"/>
      <w:r w:rsidR="009072CE" w:rsidRPr="00A07F29">
        <w:rPr>
          <w:rFonts w:ascii="Times New Roman" w:eastAsia="Calibri" w:hAnsi="Times New Roman" w:cs="Times New Roman"/>
          <w:i/>
          <w:sz w:val="24"/>
          <w:szCs w:val="24"/>
        </w:rPr>
        <w:t xml:space="preserve"> 2000</w:t>
      </w:r>
      <w:r w:rsidR="009072CE" w:rsidRPr="00A07F29">
        <w:rPr>
          <w:rFonts w:ascii="Times New Roman" w:eastAsia="Calibri" w:hAnsi="Times New Roman" w:cs="Times New Roman"/>
          <w:sz w:val="24"/>
          <w:szCs w:val="24"/>
        </w:rPr>
        <w:t xml:space="preserve"> teritorijām, bet ĪADT attiecīgi 64 </w:t>
      </w:r>
      <w:r w:rsidR="000264F3">
        <w:rPr>
          <w:rFonts w:ascii="Times New Roman" w:eastAsia="Calibri" w:hAnsi="Times New Roman" w:cs="Times New Roman"/>
          <w:sz w:val="24"/>
          <w:szCs w:val="24"/>
        </w:rPr>
        <w:t xml:space="preserve">reizes </w:t>
      </w:r>
      <w:r w:rsidR="009072CE" w:rsidRPr="00A07F29">
        <w:rPr>
          <w:rFonts w:ascii="Times New Roman" w:eastAsia="Calibri" w:hAnsi="Times New Roman" w:cs="Times New Roman"/>
          <w:sz w:val="24"/>
          <w:szCs w:val="24"/>
        </w:rPr>
        <w:t>jeb 8</w:t>
      </w:r>
      <w:r w:rsidR="00D04142">
        <w:rPr>
          <w:rFonts w:ascii="Times New Roman" w:eastAsia="Calibri" w:hAnsi="Times New Roman" w:cs="Times New Roman"/>
          <w:sz w:val="24"/>
          <w:szCs w:val="24"/>
        </w:rPr>
        <w:t> </w:t>
      </w:r>
      <w:r w:rsidR="000264F3">
        <w:rPr>
          <w:rFonts w:ascii="Times New Roman" w:eastAsia="Calibri" w:hAnsi="Times New Roman" w:cs="Times New Roman"/>
          <w:sz w:val="24"/>
          <w:szCs w:val="24"/>
        </w:rPr>
        <w:t>% gadījumu.</w:t>
      </w:r>
      <w:r w:rsidR="009072CE" w:rsidRPr="00A07F29">
        <w:rPr>
          <w:rFonts w:ascii="Times New Roman" w:eastAsia="Calibri" w:hAnsi="Times New Roman" w:cs="Times New Roman"/>
          <w:sz w:val="24"/>
          <w:szCs w:val="24"/>
        </w:rPr>
        <w:t xml:space="preserve"> Jāņem vērā, ka </w:t>
      </w:r>
      <w:proofErr w:type="spellStart"/>
      <w:r w:rsidR="009072CE" w:rsidRPr="00A07F29">
        <w:rPr>
          <w:rFonts w:ascii="Times New Roman" w:eastAsia="Calibri" w:hAnsi="Times New Roman" w:cs="Times New Roman"/>
          <w:i/>
          <w:iCs/>
          <w:sz w:val="24"/>
          <w:szCs w:val="24"/>
        </w:rPr>
        <w:t>Lampetra</w:t>
      </w:r>
      <w:proofErr w:type="spellEnd"/>
      <w:r w:rsidR="009072CE" w:rsidRPr="00A07F29">
        <w:rPr>
          <w:rFonts w:ascii="Times New Roman" w:eastAsia="Calibri" w:hAnsi="Times New Roman" w:cs="Times New Roman"/>
          <w:i/>
          <w:iCs/>
          <w:sz w:val="24"/>
          <w:szCs w:val="24"/>
        </w:rPr>
        <w:t xml:space="preserve"> </w:t>
      </w:r>
      <w:proofErr w:type="spellStart"/>
      <w:r w:rsidR="009072CE" w:rsidRPr="00A07F29">
        <w:rPr>
          <w:rFonts w:ascii="Times New Roman" w:eastAsia="Calibri" w:hAnsi="Times New Roman" w:cs="Times New Roman"/>
          <w:i/>
          <w:iCs/>
          <w:sz w:val="24"/>
          <w:szCs w:val="24"/>
        </w:rPr>
        <w:t>sp</w:t>
      </w:r>
      <w:proofErr w:type="spellEnd"/>
      <w:r w:rsidR="009072CE" w:rsidRPr="00A07F29">
        <w:rPr>
          <w:rFonts w:ascii="Times New Roman" w:eastAsia="Calibri" w:hAnsi="Times New Roman" w:cs="Times New Roman"/>
          <w:sz w:val="24"/>
          <w:szCs w:val="24"/>
        </w:rPr>
        <w:t>. klātbūtne parasti tiek konstatēta pēc to kāpuriem, kas upes un strauta nēģiem lauka apstākļos nav atšķirami. Parauglaukumos augšpus zivju un nēģu migrācijas šķēršļiem sastopams tikai strauta nēģis, bet lejpus – ticamāk abas sugas kopā.</w:t>
      </w:r>
      <w:r w:rsidRPr="00A07F29">
        <w:rPr>
          <w:rFonts w:ascii="Times New Roman" w:eastAsia="Calibri" w:hAnsi="Times New Roman" w:cs="Times New Roman"/>
          <w:sz w:val="24"/>
          <w:szCs w:val="24"/>
        </w:rPr>
        <w:t xml:space="preserve"> </w:t>
      </w:r>
      <w:r w:rsidR="009072CE" w:rsidRPr="00A07F29">
        <w:rPr>
          <w:rFonts w:ascii="Times New Roman" w:eastAsia="Calibri" w:hAnsi="Times New Roman" w:cs="Times New Roman"/>
          <w:sz w:val="24"/>
          <w:szCs w:val="24"/>
        </w:rPr>
        <w:t xml:space="preserve">Ņemot vērā sugas plašo izplatību, ne </w:t>
      </w:r>
      <w:proofErr w:type="spellStart"/>
      <w:r w:rsidR="0092556E" w:rsidRPr="00A07F29">
        <w:rPr>
          <w:rFonts w:ascii="Times New Roman" w:eastAsia="Calibri" w:hAnsi="Times New Roman" w:cs="Times New Roman"/>
          <w:i/>
          <w:sz w:val="24"/>
          <w:szCs w:val="24"/>
        </w:rPr>
        <w:t>Natura</w:t>
      </w:r>
      <w:proofErr w:type="spellEnd"/>
      <w:r w:rsidR="009072CE" w:rsidRPr="00A07F29">
        <w:rPr>
          <w:rFonts w:ascii="Times New Roman" w:eastAsia="Calibri" w:hAnsi="Times New Roman" w:cs="Times New Roman"/>
          <w:i/>
          <w:sz w:val="24"/>
          <w:szCs w:val="24"/>
        </w:rPr>
        <w:t xml:space="preserve"> 2000</w:t>
      </w:r>
      <w:r w:rsidR="009072CE" w:rsidRPr="00A07F29">
        <w:rPr>
          <w:rFonts w:ascii="Times New Roman" w:eastAsia="Calibri" w:hAnsi="Times New Roman" w:cs="Times New Roman"/>
          <w:i/>
          <w:iCs/>
          <w:sz w:val="24"/>
          <w:szCs w:val="24"/>
        </w:rPr>
        <w:t xml:space="preserve"> </w:t>
      </w:r>
      <w:r w:rsidR="009072CE" w:rsidRPr="00A07F29">
        <w:rPr>
          <w:rFonts w:ascii="Times New Roman" w:eastAsia="Calibri" w:hAnsi="Times New Roman" w:cs="Times New Roman"/>
          <w:sz w:val="24"/>
          <w:szCs w:val="24"/>
        </w:rPr>
        <w:t xml:space="preserve">teritorijām, ne AAA “Augšdaugava”, nav </w:t>
      </w:r>
      <w:r w:rsidR="005A4DB2" w:rsidRPr="00A07F29">
        <w:rPr>
          <w:rFonts w:ascii="Times New Roman" w:eastAsia="Calibri" w:hAnsi="Times New Roman" w:cs="Times New Roman"/>
          <w:sz w:val="24"/>
          <w:szCs w:val="24"/>
        </w:rPr>
        <w:t xml:space="preserve">noteicoša </w:t>
      </w:r>
      <w:r w:rsidR="009072CE" w:rsidRPr="00A07F29">
        <w:rPr>
          <w:rFonts w:ascii="Times New Roman" w:eastAsia="Calibri" w:hAnsi="Times New Roman" w:cs="Times New Roman"/>
          <w:sz w:val="24"/>
          <w:szCs w:val="24"/>
        </w:rPr>
        <w:t>nozīme strauta nēģa aizsardzībā. Sugas aizsardzības stāvoklis atzīts par labvēlīgu.</w:t>
      </w:r>
    </w:p>
    <w:p w14:paraId="1E25B25C" w14:textId="77777777" w:rsidR="009072CE" w:rsidRPr="00A07F29" w:rsidRDefault="009072CE" w:rsidP="004423DE">
      <w:pPr>
        <w:spacing w:before="240" w:after="120" w:line="240" w:lineRule="auto"/>
        <w:jc w:val="both"/>
        <w:rPr>
          <w:rFonts w:ascii="Times New Roman" w:eastAsia="Calibri" w:hAnsi="Times New Roman" w:cs="Times New Roman"/>
          <w:b/>
          <w:sz w:val="24"/>
          <w:szCs w:val="24"/>
        </w:rPr>
      </w:pPr>
      <w:proofErr w:type="spellStart"/>
      <w:r w:rsidRPr="00A07F29">
        <w:rPr>
          <w:rFonts w:ascii="Times New Roman" w:eastAsia="Calibri" w:hAnsi="Times New Roman" w:cs="Times New Roman"/>
          <w:b/>
          <w:sz w:val="24"/>
          <w:szCs w:val="24"/>
        </w:rPr>
        <w:t>Spidiļķis</w:t>
      </w:r>
      <w:proofErr w:type="spellEnd"/>
      <w:r w:rsidRPr="00A07F29">
        <w:rPr>
          <w:rFonts w:ascii="Times New Roman" w:eastAsia="Calibri" w:hAnsi="Times New Roman" w:cs="Times New Roman"/>
          <w:b/>
          <w:sz w:val="24"/>
          <w:szCs w:val="24"/>
        </w:rPr>
        <w:t xml:space="preserve"> </w:t>
      </w:r>
      <w:proofErr w:type="spellStart"/>
      <w:r w:rsidRPr="00A07F29">
        <w:rPr>
          <w:rFonts w:ascii="Times New Roman" w:eastAsia="Calibri" w:hAnsi="Times New Roman" w:cs="Times New Roman"/>
          <w:b/>
          <w:i/>
          <w:sz w:val="24"/>
          <w:szCs w:val="24"/>
        </w:rPr>
        <w:t>Rhodeus</w:t>
      </w:r>
      <w:proofErr w:type="spellEnd"/>
      <w:r w:rsidRPr="00A07F29">
        <w:rPr>
          <w:rFonts w:ascii="Times New Roman" w:eastAsia="Calibri" w:hAnsi="Times New Roman" w:cs="Times New Roman"/>
          <w:b/>
          <w:i/>
          <w:sz w:val="24"/>
          <w:szCs w:val="24"/>
        </w:rPr>
        <w:t xml:space="preserve"> </w:t>
      </w:r>
      <w:proofErr w:type="spellStart"/>
      <w:r w:rsidRPr="00A07F29">
        <w:rPr>
          <w:rFonts w:ascii="Times New Roman" w:eastAsia="Calibri" w:hAnsi="Times New Roman" w:cs="Times New Roman"/>
          <w:b/>
          <w:i/>
          <w:sz w:val="24"/>
          <w:szCs w:val="24"/>
        </w:rPr>
        <w:t>sericeus</w:t>
      </w:r>
      <w:proofErr w:type="spellEnd"/>
    </w:p>
    <w:p w14:paraId="7CE8D511" w14:textId="2E9AB0E0" w:rsidR="009072CE" w:rsidRPr="00A07F29" w:rsidRDefault="009072CE" w:rsidP="009072CE">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ĪADT Augšdaugava pirmo reizi konstatēta 2015.</w:t>
      </w:r>
      <w:r w:rsidR="002B778D">
        <w:rPr>
          <w:rFonts w:ascii="Times New Roman" w:eastAsia="Calibri" w:hAnsi="Times New Roman" w:cs="Times New Roman"/>
          <w:sz w:val="24"/>
          <w:szCs w:val="24"/>
        </w:rPr>
        <w:t> </w:t>
      </w:r>
      <w:r w:rsidRPr="00A07F29">
        <w:rPr>
          <w:rFonts w:ascii="Times New Roman" w:eastAsia="Calibri" w:hAnsi="Times New Roman" w:cs="Times New Roman"/>
          <w:sz w:val="24"/>
          <w:szCs w:val="24"/>
        </w:rPr>
        <w:t>gadā Daugavā. Latvijā suga laikā no 1992.</w:t>
      </w:r>
      <w:r w:rsidR="00A524A6">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A524A6">
        <w:rPr>
          <w:rFonts w:ascii="Times New Roman" w:eastAsia="Calibri" w:hAnsi="Times New Roman" w:cs="Times New Roman"/>
          <w:sz w:val="24"/>
          <w:szCs w:val="24"/>
        </w:rPr>
        <w:t> </w:t>
      </w:r>
      <w:r w:rsidRPr="00A07F29">
        <w:rPr>
          <w:rFonts w:ascii="Times New Roman" w:eastAsia="Calibri" w:hAnsi="Times New Roman" w:cs="Times New Roman"/>
          <w:sz w:val="24"/>
          <w:szCs w:val="24"/>
        </w:rPr>
        <w:t>2018.</w:t>
      </w:r>
      <w:r w:rsidR="00A524A6">
        <w:rPr>
          <w:rFonts w:ascii="Times New Roman" w:eastAsia="Calibri" w:hAnsi="Times New Roman" w:cs="Times New Roman"/>
          <w:sz w:val="24"/>
          <w:szCs w:val="24"/>
        </w:rPr>
        <w:t> </w:t>
      </w:r>
      <w:r w:rsidRPr="00A07F29">
        <w:rPr>
          <w:rFonts w:ascii="Times New Roman" w:eastAsia="Calibri" w:hAnsi="Times New Roman" w:cs="Times New Roman"/>
          <w:sz w:val="24"/>
          <w:szCs w:val="24"/>
        </w:rPr>
        <w:t>g</w:t>
      </w:r>
      <w:r w:rsidR="00A524A6">
        <w:rPr>
          <w:rFonts w:ascii="Times New Roman" w:eastAsia="Calibri" w:hAnsi="Times New Roman" w:cs="Times New Roman"/>
          <w:sz w:val="24"/>
          <w:szCs w:val="24"/>
        </w:rPr>
        <w:t>adam</w:t>
      </w:r>
      <w:r w:rsidRPr="00A07F29">
        <w:rPr>
          <w:rFonts w:ascii="Times New Roman" w:eastAsia="Calibri" w:hAnsi="Times New Roman" w:cs="Times New Roman"/>
          <w:sz w:val="24"/>
          <w:szCs w:val="24"/>
        </w:rPr>
        <w:t xml:space="preserve"> konstatēta 159 zvejas reizēs, jeb 12</w:t>
      </w:r>
      <w:r w:rsidR="00A524A6">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 gadījumu ārpus </w:t>
      </w:r>
      <w:proofErr w:type="spellStart"/>
      <w:r w:rsidR="0092556E" w:rsidRPr="00A07F29">
        <w:rPr>
          <w:rFonts w:ascii="Times New Roman" w:eastAsia="Calibri" w:hAnsi="Times New Roman" w:cs="Times New Roman"/>
          <w:i/>
          <w:iCs/>
          <w:sz w:val="24"/>
          <w:szCs w:val="24"/>
        </w:rPr>
        <w:t>Natura</w:t>
      </w:r>
      <w:proofErr w:type="spellEnd"/>
      <w:r w:rsidRPr="00A07F29">
        <w:rPr>
          <w:rFonts w:ascii="Times New Roman" w:eastAsia="Calibri" w:hAnsi="Times New Roman" w:cs="Times New Roman"/>
          <w:i/>
          <w:iCs/>
          <w:sz w:val="24"/>
          <w:szCs w:val="24"/>
        </w:rPr>
        <w:t xml:space="preserve"> 2000</w:t>
      </w:r>
      <w:r w:rsidRPr="00A07F29">
        <w:rPr>
          <w:rFonts w:ascii="Times New Roman" w:eastAsia="Calibri" w:hAnsi="Times New Roman" w:cs="Times New Roman"/>
          <w:sz w:val="24"/>
          <w:szCs w:val="24"/>
        </w:rPr>
        <w:t xml:space="preserve"> teritorijām, bet ĪADT attiecīgi 107 </w:t>
      </w:r>
      <w:r w:rsidR="000264F3">
        <w:rPr>
          <w:rFonts w:ascii="Times New Roman" w:eastAsia="Calibri" w:hAnsi="Times New Roman" w:cs="Times New Roman"/>
          <w:sz w:val="24"/>
          <w:szCs w:val="24"/>
        </w:rPr>
        <w:t xml:space="preserve">reizes </w:t>
      </w:r>
      <w:r w:rsidRPr="00A07F29">
        <w:rPr>
          <w:rFonts w:ascii="Times New Roman" w:eastAsia="Calibri" w:hAnsi="Times New Roman" w:cs="Times New Roman"/>
          <w:sz w:val="24"/>
          <w:szCs w:val="24"/>
        </w:rPr>
        <w:t>jeb 13</w:t>
      </w:r>
      <w:r w:rsidR="00A524A6">
        <w:rPr>
          <w:rFonts w:ascii="Times New Roman" w:eastAsia="Calibri" w:hAnsi="Times New Roman" w:cs="Times New Roman"/>
          <w:sz w:val="24"/>
          <w:szCs w:val="24"/>
        </w:rPr>
        <w:t> </w:t>
      </w:r>
      <w:r w:rsidR="000264F3">
        <w:rPr>
          <w:rFonts w:ascii="Times New Roman" w:eastAsia="Calibri" w:hAnsi="Times New Roman" w:cs="Times New Roman"/>
          <w:sz w:val="24"/>
          <w:szCs w:val="24"/>
        </w:rPr>
        <w:t>% gadījumu</w:t>
      </w:r>
      <w:r w:rsidRPr="00A07F29">
        <w:rPr>
          <w:rFonts w:ascii="Times New Roman" w:eastAsia="Calibri" w:hAnsi="Times New Roman" w:cs="Times New Roman"/>
          <w:sz w:val="24"/>
          <w:szCs w:val="24"/>
        </w:rPr>
        <w:t xml:space="preserve">. Ņemot vērā sugas plašo izplatību, ne </w:t>
      </w:r>
      <w:proofErr w:type="spellStart"/>
      <w:r w:rsidR="0092556E" w:rsidRPr="00A07F29">
        <w:rPr>
          <w:rFonts w:ascii="Times New Roman" w:eastAsia="Calibri" w:hAnsi="Times New Roman" w:cs="Times New Roman"/>
          <w:i/>
          <w:sz w:val="24"/>
          <w:szCs w:val="24"/>
        </w:rPr>
        <w:t>Natura</w:t>
      </w:r>
      <w:proofErr w:type="spellEnd"/>
      <w:r w:rsidRPr="00A07F29">
        <w:rPr>
          <w:rFonts w:ascii="Times New Roman" w:eastAsia="Calibri" w:hAnsi="Times New Roman" w:cs="Times New Roman"/>
          <w:i/>
          <w:sz w:val="24"/>
          <w:szCs w:val="24"/>
        </w:rPr>
        <w:t xml:space="preserve"> 2000</w:t>
      </w:r>
      <w:r w:rsidRPr="00A07F29">
        <w:rPr>
          <w:rFonts w:ascii="Times New Roman" w:eastAsia="Calibri" w:hAnsi="Times New Roman" w:cs="Times New Roman"/>
          <w:sz w:val="24"/>
          <w:szCs w:val="24"/>
        </w:rPr>
        <w:t xml:space="preserve"> teritorijām, ne AAA “Augšdaugava”, nav </w:t>
      </w:r>
      <w:r w:rsidR="005A4DB2" w:rsidRPr="00A07F29">
        <w:rPr>
          <w:rFonts w:ascii="Times New Roman" w:eastAsia="Calibri" w:hAnsi="Times New Roman" w:cs="Times New Roman"/>
          <w:sz w:val="24"/>
          <w:szCs w:val="24"/>
        </w:rPr>
        <w:t xml:space="preserve">noteicoša </w:t>
      </w:r>
      <w:r w:rsidRPr="00A07F29">
        <w:rPr>
          <w:rFonts w:ascii="Times New Roman" w:eastAsia="Calibri" w:hAnsi="Times New Roman" w:cs="Times New Roman"/>
          <w:sz w:val="24"/>
          <w:szCs w:val="24"/>
        </w:rPr>
        <w:t xml:space="preserve">nozīme </w:t>
      </w:r>
      <w:proofErr w:type="spellStart"/>
      <w:r w:rsidRPr="00A07F29">
        <w:rPr>
          <w:rFonts w:ascii="Times New Roman" w:eastAsia="Calibri" w:hAnsi="Times New Roman" w:cs="Times New Roman"/>
          <w:sz w:val="24"/>
          <w:szCs w:val="24"/>
        </w:rPr>
        <w:t>spidiļķa</w:t>
      </w:r>
      <w:proofErr w:type="spellEnd"/>
      <w:r w:rsidRPr="00A07F29">
        <w:rPr>
          <w:rFonts w:ascii="Times New Roman" w:eastAsia="Calibri" w:hAnsi="Times New Roman" w:cs="Times New Roman"/>
          <w:sz w:val="24"/>
          <w:szCs w:val="24"/>
        </w:rPr>
        <w:t xml:space="preserve"> aizsardzībā.</w:t>
      </w:r>
      <w:r w:rsidR="00670782" w:rsidRPr="00A07F29">
        <w:rPr>
          <w:rFonts w:ascii="Times New Roman" w:eastAsia="Calibri" w:hAnsi="Times New Roman" w:cs="Times New Roman"/>
          <w:sz w:val="24"/>
          <w:szCs w:val="24"/>
        </w:rPr>
        <w:t xml:space="preserve"> </w:t>
      </w:r>
      <w:r w:rsidRPr="00A07F29">
        <w:rPr>
          <w:rFonts w:ascii="Times New Roman" w:eastAsia="Calibri" w:hAnsi="Times New Roman" w:cs="Times New Roman"/>
          <w:sz w:val="24"/>
          <w:szCs w:val="24"/>
        </w:rPr>
        <w:t>Sugas aizsardzības stāvoklis atzīts par labvēlīgu.</w:t>
      </w:r>
    </w:p>
    <w:p w14:paraId="1818A11D" w14:textId="6B56D737" w:rsidR="009072CE" w:rsidRPr="00A07F29" w:rsidRDefault="009072CE" w:rsidP="00670782">
      <w:pPr>
        <w:spacing w:before="240" w:after="120" w:line="240" w:lineRule="auto"/>
        <w:jc w:val="both"/>
        <w:rPr>
          <w:rFonts w:ascii="Times New Roman" w:eastAsia="Calibri" w:hAnsi="Times New Roman" w:cs="Times New Roman"/>
          <w:b/>
          <w:bCs/>
          <w:i/>
          <w:sz w:val="24"/>
          <w:szCs w:val="24"/>
        </w:rPr>
      </w:pPr>
      <w:r w:rsidRPr="00A07F29">
        <w:rPr>
          <w:rFonts w:ascii="Times New Roman" w:eastAsia="Calibri" w:hAnsi="Times New Roman" w:cs="Times New Roman"/>
          <w:b/>
          <w:bCs/>
          <w:i/>
          <w:sz w:val="24"/>
          <w:szCs w:val="24"/>
        </w:rPr>
        <w:t xml:space="preserve">Ezeros </w:t>
      </w:r>
      <w:r w:rsidR="00C31545" w:rsidRPr="00A07F29">
        <w:rPr>
          <w:rFonts w:ascii="Times New Roman" w:eastAsia="Calibri" w:hAnsi="Times New Roman" w:cs="Times New Roman"/>
          <w:b/>
          <w:bCs/>
          <w:i/>
          <w:sz w:val="24"/>
          <w:szCs w:val="24"/>
        </w:rPr>
        <w:t>konstatētās zivju sugas</w:t>
      </w:r>
      <w:r w:rsidRPr="00A07F29">
        <w:rPr>
          <w:rFonts w:ascii="Times New Roman" w:eastAsia="Calibri" w:hAnsi="Times New Roman" w:cs="Times New Roman"/>
          <w:b/>
          <w:bCs/>
          <w:i/>
          <w:sz w:val="24"/>
          <w:szCs w:val="24"/>
        </w:rPr>
        <w:t xml:space="preserve"> </w:t>
      </w:r>
    </w:p>
    <w:p w14:paraId="4EC28C21" w14:textId="40690D4B" w:rsidR="00B469B1" w:rsidRPr="00A07F29" w:rsidRDefault="729E1729" w:rsidP="00C64E8C">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AAA “Augšdaugava” ezeros no 20.</w:t>
      </w:r>
      <w:r w:rsidR="00B959C1">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gadsimta vidus līdz mūsdienām konstatētas 21 zivju suga: akmeņgrauzis, ālants, asaris, </w:t>
      </w:r>
      <w:proofErr w:type="spellStart"/>
      <w:r w:rsidRPr="00A07F29">
        <w:rPr>
          <w:rFonts w:ascii="Times New Roman" w:eastAsia="Calibri" w:hAnsi="Times New Roman" w:cs="Times New Roman"/>
          <w:sz w:val="24"/>
          <w:szCs w:val="24"/>
        </w:rPr>
        <w:t>ausleja</w:t>
      </w:r>
      <w:proofErr w:type="spellEnd"/>
      <w:r w:rsidRPr="00A07F29">
        <w:rPr>
          <w:rFonts w:ascii="Times New Roman" w:eastAsia="Calibri" w:hAnsi="Times New Roman" w:cs="Times New Roman"/>
          <w:sz w:val="24"/>
          <w:szCs w:val="24"/>
        </w:rPr>
        <w:t xml:space="preserve">, karūsa, ķīsis, līdaka, līnis, plaudis, plicis, rauda, repsis, </w:t>
      </w:r>
      <w:proofErr w:type="spellStart"/>
      <w:r w:rsidRPr="00A07F29">
        <w:rPr>
          <w:rFonts w:ascii="Times New Roman" w:eastAsia="Calibri" w:hAnsi="Times New Roman" w:cs="Times New Roman"/>
          <w:sz w:val="24"/>
          <w:szCs w:val="24"/>
        </w:rPr>
        <w:t>rotans</w:t>
      </w:r>
      <w:proofErr w:type="spellEnd"/>
      <w:r w:rsidRPr="00A07F29">
        <w:rPr>
          <w:rFonts w:ascii="Times New Roman" w:eastAsia="Calibri" w:hAnsi="Times New Roman" w:cs="Times New Roman"/>
          <w:sz w:val="24"/>
          <w:szCs w:val="24"/>
        </w:rPr>
        <w:t xml:space="preserve">, rudulis, salaka, </w:t>
      </w:r>
      <w:proofErr w:type="spellStart"/>
      <w:r w:rsidRPr="00A07F29">
        <w:rPr>
          <w:rFonts w:ascii="Times New Roman" w:eastAsia="Calibri" w:hAnsi="Times New Roman" w:cs="Times New Roman"/>
          <w:sz w:val="24"/>
          <w:szCs w:val="24"/>
        </w:rPr>
        <w:t>sams</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Krivojes</w:t>
      </w:r>
      <w:proofErr w:type="spellEnd"/>
      <w:r w:rsidRPr="00A07F29">
        <w:rPr>
          <w:rFonts w:ascii="Times New Roman" w:eastAsia="Calibri" w:hAnsi="Times New Roman" w:cs="Times New Roman"/>
          <w:sz w:val="24"/>
          <w:szCs w:val="24"/>
        </w:rPr>
        <w:t xml:space="preserve"> ezerā), sapals, sudrabkarūsa, vēdzele, vīķe, zandarts, zutis</w:t>
      </w:r>
      <w:r w:rsidR="00933137">
        <w:rPr>
          <w:rStyle w:val="FootnoteReference"/>
          <w:rFonts w:ascii="Times New Roman" w:eastAsia="Calibri" w:hAnsi="Times New Roman" w:cs="Times New Roman"/>
          <w:sz w:val="24"/>
          <w:szCs w:val="24"/>
        </w:rPr>
        <w:footnoteReference w:id="41"/>
      </w:r>
      <w:r w:rsidRPr="00A07F29">
        <w:rPr>
          <w:rFonts w:ascii="Times New Roman" w:eastAsia="Calibri" w:hAnsi="Times New Roman" w:cs="Times New Roman"/>
          <w:sz w:val="24"/>
          <w:szCs w:val="24"/>
        </w:rPr>
        <w:t xml:space="preserve">. Lielo un tīrāko ezeru </w:t>
      </w:r>
      <w:proofErr w:type="spellStart"/>
      <w:r w:rsidRPr="00A07F29">
        <w:rPr>
          <w:rFonts w:ascii="Times New Roman" w:eastAsia="Calibri" w:hAnsi="Times New Roman" w:cs="Times New Roman"/>
          <w:sz w:val="24"/>
          <w:szCs w:val="24"/>
        </w:rPr>
        <w:t>ihtiofauna</w:t>
      </w:r>
      <w:proofErr w:type="spellEnd"/>
      <w:r w:rsidRPr="00A07F29">
        <w:rPr>
          <w:rFonts w:ascii="Times New Roman" w:eastAsia="Calibri" w:hAnsi="Times New Roman" w:cs="Times New Roman"/>
          <w:sz w:val="24"/>
          <w:szCs w:val="24"/>
        </w:rPr>
        <w:t xml:space="preserve"> ir bagātāka nekā mazajos </w:t>
      </w:r>
      <w:proofErr w:type="spellStart"/>
      <w:r w:rsidRPr="00A07F29">
        <w:rPr>
          <w:rFonts w:ascii="Times New Roman" w:eastAsia="Calibri" w:hAnsi="Times New Roman" w:cs="Times New Roman"/>
          <w:sz w:val="24"/>
          <w:szCs w:val="24"/>
        </w:rPr>
        <w:t>brūnūdens</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ezeriņos.Varnaviču</w:t>
      </w:r>
      <w:proofErr w:type="spellEnd"/>
      <w:r w:rsidRPr="00A07F29">
        <w:rPr>
          <w:rFonts w:ascii="Times New Roman" w:eastAsia="Calibri" w:hAnsi="Times New Roman" w:cs="Times New Roman"/>
          <w:sz w:val="24"/>
          <w:szCs w:val="24"/>
        </w:rPr>
        <w:t xml:space="preserve"> ezers ir noteikts kā prioritāra </w:t>
      </w:r>
      <w:proofErr w:type="spellStart"/>
      <w:r w:rsidRPr="00A07F29">
        <w:rPr>
          <w:rFonts w:ascii="Times New Roman" w:eastAsia="Calibri" w:hAnsi="Times New Roman" w:cs="Times New Roman"/>
          <w:sz w:val="24"/>
          <w:szCs w:val="24"/>
        </w:rPr>
        <w:t>lašveidīgo</w:t>
      </w:r>
      <w:proofErr w:type="spellEnd"/>
      <w:r w:rsidRPr="00A07F29">
        <w:rPr>
          <w:rFonts w:ascii="Times New Roman" w:eastAsia="Calibri" w:hAnsi="Times New Roman" w:cs="Times New Roman"/>
          <w:sz w:val="24"/>
          <w:szCs w:val="24"/>
        </w:rPr>
        <w:t xml:space="preserve"> zivju ūdenstilpe, kurā iespējama repša </w:t>
      </w:r>
      <w:proofErr w:type="spellStart"/>
      <w:r w:rsidRPr="00A07F29">
        <w:rPr>
          <w:rFonts w:ascii="Times New Roman" w:eastAsia="Calibri" w:hAnsi="Times New Roman" w:cs="Times New Roman"/>
          <w:i/>
          <w:iCs/>
          <w:sz w:val="24"/>
          <w:szCs w:val="24"/>
        </w:rPr>
        <w:t>Coregonus</w:t>
      </w:r>
      <w:proofErr w:type="spellEnd"/>
      <w:r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albula</w:t>
      </w:r>
      <w:proofErr w:type="spellEnd"/>
      <w:r w:rsidRPr="00A07F29">
        <w:rPr>
          <w:rFonts w:ascii="Times New Roman" w:eastAsia="Calibri" w:hAnsi="Times New Roman" w:cs="Times New Roman"/>
          <w:sz w:val="24"/>
          <w:szCs w:val="24"/>
        </w:rPr>
        <w:t xml:space="preserve"> sastopamība vai ieviešana. </w:t>
      </w:r>
      <w:proofErr w:type="spellStart"/>
      <w:r w:rsidRPr="00A07F29">
        <w:rPr>
          <w:rFonts w:ascii="Times New Roman" w:eastAsia="Calibri" w:hAnsi="Times New Roman" w:cs="Times New Roman"/>
          <w:sz w:val="24"/>
          <w:szCs w:val="24"/>
        </w:rPr>
        <w:t>Varnaviču</w:t>
      </w:r>
      <w:proofErr w:type="spellEnd"/>
      <w:r w:rsidRPr="00A07F29">
        <w:rPr>
          <w:rFonts w:ascii="Times New Roman" w:eastAsia="Calibri" w:hAnsi="Times New Roman" w:cs="Times New Roman"/>
          <w:sz w:val="24"/>
          <w:szCs w:val="24"/>
        </w:rPr>
        <w:t xml:space="preserve"> ezerā repsis minēts 1996.</w:t>
      </w:r>
      <w:r w:rsidR="00EE2B8C">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gada </w:t>
      </w:r>
      <w:proofErr w:type="spellStart"/>
      <w:r w:rsidRPr="00A07F29">
        <w:rPr>
          <w:rFonts w:ascii="Times New Roman" w:eastAsia="Calibri" w:hAnsi="Times New Roman" w:cs="Times New Roman"/>
          <w:sz w:val="24"/>
          <w:szCs w:val="24"/>
        </w:rPr>
        <w:t>Baltribvod</w:t>
      </w:r>
      <w:proofErr w:type="spellEnd"/>
      <w:r w:rsidRPr="00A07F29">
        <w:rPr>
          <w:rFonts w:ascii="Times New Roman" w:eastAsia="Calibri" w:hAnsi="Times New Roman" w:cs="Times New Roman"/>
          <w:sz w:val="24"/>
          <w:szCs w:val="24"/>
        </w:rPr>
        <w:t xml:space="preserve"> atskaitēs. 2013.</w:t>
      </w:r>
      <w:r w:rsidR="007A7D87">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gada BIOR veiktajā kontrolzvejā </w:t>
      </w:r>
      <w:proofErr w:type="spellStart"/>
      <w:r w:rsidRPr="00A07F29">
        <w:rPr>
          <w:rFonts w:ascii="Times New Roman" w:eastAsia="Calibri" w:hAnsi="Times New Roman" w:cs="Times New Roman"/>
          <w:sz w:val="24"/>
          <w:szCs w:val="24"/>
        </w:rPr>
        <w:t>Varnaviču</w:t>
      </w:r>
      <w:proofErr w:type="spellEnd"/>
      <w:r w:rsidRPr="00A07F29">
        <w:rPr>
          <w:rFonts w:ascii="Times New Roman" w:eastAsia="Calibri" w:hAnsi="Times New Roman" w:cs="Times New Roman"/>
          <w:sz w:val="24"/>
          <w:szCs w:val="24"/>
        </w:rPr>
        <w:t xml:space="preserve"> ezerā tika konstatētas 11 zivju sugas, tostarp arī salaka </w:t>
      </w:r>
      <w:proofErr w:type="spellStart"/>
      <w:r w:rsidRPr="00A07F29">
        <w:rPr>
          <w:rFonts w:ascii="Times New Roman" w:eastAsia="Calibri" w:hAnsi="Times New Roman" w:cs="Times New Roman"/>
          <w:i/>
          <w:iCs/>
          <w:sz w:val="24"/>
          <w:szCs w:val="24"/>
        </w:rPr>
        <w:t>Osmerus</w:t>
      </w:r>
      <w:proofErr w:type="spellEnd"/>
      <w:r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eperlanus</w:t>
      </w:r>
      <w:proofErr w:type="spellEnd"/>
      <w:r w:rsidRPr="00A07F29">
        <w:rPr>
          <w:rFonts w:ascii="Times New Roman" w:eastAsia="Calibri" w:hAnsi="Times New Roman" w:cs="Times New Roman"/>
          <w:sz w:val="24"/>
          <w:szCs w:val="24"/>
        </w:rPr>
        <w:t xml:space="preserve"> un akmeņgrauzis </w:t>
      </w:r>
      <w:proofErr w:type="spellStart"/>
      <w:r w:rsidRPr="00A07F29">
        <w:rPr>
          <w:rFonts w:ascii="Times New Roman" w:eastAsia="Calibri" w:hAnsi="Times New Roman" w:cs="Times New Roman"/>
          <w:i/>
          <w:iCs/>
          <w:sz w:val="24"/>
          <w:szCs w:val="24"/>
        </w:rPr>
        <w:t>Cobitis</w:t>
      </w:r>
      <w:proofErr w:type="spellEnd"/>
      <w:r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taenia</w:t>
      </w:r>
      <w:proofErr w:type="spellEnd"/>
      <w:r w:rsidRPr="00A07F29">
        <w:rPr>
          <w:rFonts w:ascii="Times New Roman" w:eastAsia="Calibri" w:hAnsi="Times New Roman" w:cs="Times New Roman"/>
          <w:sz w:val="24"/>
          <w:szCs w:val="24"/>
        </w:rPr>
        <w:t xml:space="preserve">. Akmeņgrauzis konstatēts arī </w:t>
      </w:r>
      <w:r w:rsidRPr="00A07F29">
        <w:rPr>
          <w:rFonts w:ascii="Times New Roman" w:eastAsia="Calibri" w:hAnsi="Times New Roman" w:cs="Times New Roman"/>
          <w:sz w:val="24"/>
          <w:szCs w:val="24"/>
        </w:rPr>
        <w:lastRenderedPageBreak/>
        <w:t>2013.</w:t>
      </w:r>
      <w:r w:rsidR="007A7D87">
        <w:rPr>
          <w:rFonts w:ascii="Times New Roman" w:eastAsia="Calibri" w:hAnsi="Times New Roman" w:cs="Times New Roman"/>
          <w:sz w:val="24"/>
          <w:szCs w:val="24"/>
        </w:rPr>
        <w:t> </w:t>
      </w:r>
      <w:r w:rsidRPr="00A07F29">
        <w:rPr>
          <w:rFonts w:ascii="Times New Roman" w:eastAsia="Calibri" w:hAnsi="Times New Roman" w:cs="Times New Roman"/>
          <w:sz w:val="24"/>
          <w:szCs w:val="24"/>
        </w:rPr>
        <w:t>gada kontrolzvejā Vilnīšu (</w:t>
      </w:r>
      <w:proofErr w:type="spellStart"/>
      <w:r w:rsidRPr="00A07F29">
        <w:rPr>
          <w:rFonts w:ascii="Times New Roman" w:eastAsia="Calibri" w:hAnsi="Times New Roman" w:cs="Times New Roman"/>
          <w:sz w:val="24"/>
          <w:szCs w:val="24"/>
        </w:rPr>
        <w:t>Krivojes</w:t>
      </w:r>
      <w:proofErr w:type="spellEnd"/>
      <w:r w:rsidRPr="00A07F29">
        <w:rPr>
          <w:rFonts w:ascii="Times New Roman" w:eastAsia="Calibri" w:hAnsi="Times New Roman" w:cs="Times New Roman"/>
          <w:sz w:val="24"/>
          <w:szCs w:val="24"/>
        </w:rPr>
        <w:t>) ezerā un 2011.</w:t>
      </w:r>
      <w:r w:rsidR="007A7D87">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gada kontrolzvejā </w:t>
      </w:r>
      <w:proofErr w:type="spellStart"/>
      <w:r w:rsidRPr="00A07F29">
        <w:rPr>
          <w:rFonts w:ascii="Times New Roman" w:eastAsia="Calibri" w:hAnsi="Times New Roman" w:cs="Times New Roman"/>
          <w:sz w:val="24"/>
          <w:szCs w:val="24"/>
        </w:rPr>
        <w:t>Šilovkas</w:t>
      </w:r>
      <w:proofErr w:type="spellEnd"/>
      <w:r w:rsidRPr="00A07F29">
        <w:rPr>
          <w:rFonts w:ascii="Times New Roman" w:eastAsia="Calibri" w:hAnsi="Times New Roman" w:cs="Times New Roman"/>
          <w:sz w:val="24"/>
          <w:szCs w:val="24"/>
        </w:rPr>
        <w:t xml:space="preserve"> ezerā (</w:t>
      </w:r>
      <w:r w:rsidRPr="00766EE3">
        <w:rPr>
          <w:rFonts w:ascii="Times New Roman" w:eastAsia="Calibri" w:hAnsi="Times New Roman" w:cs="Times New Roman"/>
          <w:sz w:val="24"/>
          <w:szCs w:val="24"/>
        </w:rPr>
        <w:t>Ē. Aleksejeva sagatavota informācija)</w:t>
      </w:r>
      <w:r w:rsidRPr="00A07F29">
        <w:rPr>
          <w:rFonts w:ascii="Times New Roman" w:eastAsia="Calibri" w:hAnsi="Times New Roman" w:cs="Times New Roman"/>
          <w:sz w:val="24"/>
          <w:szCs w:val="24"/>
        </w:rPr>
        <w:t>.</w:t>
      </w:r>
    </w:p>
    <w:p w14:paraId="79F50C12" w14:textId="7F805A9C" w:rsidR="00C64E8C" w:rsidRPr="00A07F29" w:rsidRDefault="00F71740" w:rsidP="00C64E8C">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Savulaik </w:t>
      </w:r>
      <w:r w:rsidR="000E4505" w:rsidRPr="00A07F29">
        <w:rPr>
          <w:rFonts w:ascii="Times New Roman" w:eastAsia="Calibri" w:hAnsi="Times New Roman" w:cs="Times New Roman"/>
          <w:sz w:val="24"/>
          <w:szCs w:val="24"/>
        </w:rPr>
        <w:t>Dauguļu ezerā tika ielaisti 1,45 miljoni repšu mazuļu (</w:t>
      </w:r>
      <w:r w:rsidR="000E4505" w:rsidRPr="00061398">
        <w:rPr>
          <w:rFonts w:ascii="Times New Roman" w:eastAsia="Calibri" w:hAnsi="Times New Roman" w:cs="Times New Roman"/>
          <w:sz w:val="24"/>
          <w:szCs w:val="24"/>
        </w:rPr>
        <w:t>Andrušaitis</w:t>
      </w:r>
      <w:r w:rsidR="000264F3">
        <w:rPr>
          <w:rFonts w:ascii="Times New Roman" w:eastAsia="Calibri" w:hAnsi="Times New Roman" w:cs="Times New Roman"/>
          <w:sz w:val="24"/>
          <w:szCs w:val="24"/>
        </w:rPr>
        <w:t xml:space="preserve"> G.</w:t>
      </w:r>
      <w:r w:rsidR="000E4505" w:rsidRPr="00061398">
        <w:rPr>
          <w:rFonts w:ascii="Times New Roman" w:eastAsia="Calibri" w:hAnsi="Times New Roman" w:cs="Times New Roman"/>
          <w:sz w:val="24"/>
          <w:szCs w:val="24"/>
        </w:rPr>
        <w:t>, 1960</w:t>
      </w:r>
      <w:r w:rsidR="000E4505" w:rsidRPr="00A07F29">
        <w:rPr>
          <w:rFonts w:ascii="Times New Roman" w:eastAsia="Calibri" w:hAnsi="Times New Roman" w:cs="Times New Roman"/>
          <w:sz w:val="24"/>
          <w:szCs w:val="24"/>
        </w:rPr>
        <w:t>), taču padomju laikā ezers ticis piesārņots un nav ziņu par repša sastopamību AAA “Augšdaugava” ezeros mūsdienās.</w:t>
      </w:r>
    </w:p>
    <w:p w14:paraId="12818970" w14:textId="670F6647" w:rsidR="00F71740" w:rsidRPr="00A07F29" w:rsidRDefault="00F71740" w:rsidP="00F71740">
      <w:pPr>
        <w:spacing w:after="120" w:line="240" w:lineRule="auto"/>
        <w:ind w:firstLine="851"/>
        <w:jc w:val="both"/>
        <w:rPr>
          <w:rFonts w:ascii="Times New Roman" w:eastAsia="Calibri" w:hAnsi="Times New Roman" w:cs="Times New Roman"/>
          <w:sz w:val="24"/>
          <w:szCs w:val="24"/>
        </w:rPr>
      </w:pPr>
      <w:proofErr w:type="spellStart"/>
      <w:r w:rsidRPr="00A07F29">
        <w:rPr>
          <w:rFonts w:ascii="Times New Roman" w:eastAsia="Calibri" w:hAnsi="Times New Roman" w:cs="Times New Roman"/>
          <w:sz w:val="24"/>
          <w:szCs w:val="24"/>
        </w:rPr>
        <w:t>Šilovkas</w:t>
      </w:r>
      <w:proofErr w:type="spellEnd"/>
      <w:r w:rsidRPr="00A07F29">
        <w:rPr>
          <w:rFonts w:ascii="Times New Roman" w:eastAsia="Calibri" w:hAnsi="Times New Roman" w:cs="Times New Roman"/>
          <w:sz w:val="24"/>
          <w:szCs w:val="24"/>
        </w:rPr>
        <w:t xml:space="preserve"> ezera </w:t>
      </w:r>
      <w:proofErr w:type="spellStart"/>
      <w:r w:rsidRPr="00A07F29">
        <w:rPr>
          <w:rFonts w:ascii="Times New Roman" w:eastAsia="Calibri" w:hAnsi="Times New Roman" w:cs="Times New Roman"/>
          <w:sz w:val="24"/>
          <w:szCs w:val="24"/>
        </w:rPr>
        <w:t>ihtiofauna</w:t>
      </w:r>
      <w:proofErr w:type="spellEnd"/>
      <w:r w:rsidRPr="00A07F29">
        <w:rPr>
          <w:rFonts w:ascii="Times New Roman" w:eastAsia="Calibri" w:hAnsi="Times New Roman" w:cs="Times New Roman"/>
          <w:sz w:val="24"/>
          <w:szCs w:val="24"/>
        </w:rPr>
        <w:t xml:space="preserve"> tikusi regulāri papildināta kopš 1960.</w:t>
      </w:r>
      <w:r w:rsidR="001472E5">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gadiem. </w:t>
      </w:r>
      <w:proofErr w:type="spellStart"/>
      <w:r w:rsidRPr="00A07F29">
        <w:rPr>
          <w:rFonts w:ascii="Times New Roman" w:eastAsia="Calibri" w:hAnsi="Times New Roman" w:cs="Times New Roman"/>
          <w:sz w:val="24"/>
          <w:szCs w:val="24"/>
        </w:rPr>
        <w:t>Varnaviču</w:t>
      </w:r>
      <w:proofErr w:type="spellEnd"/>
      <w:r w:rsidRPr="00A07F29">
        <w:rPr>
          <w:rFonts w:ascii="Times New Roman" w:eastAsia="Calibri" w:hAnsi="Times New Roman" w:cs="Times New Roman"/>
          <w:sz w:val="24"/>
          <w:szCs w:val="24"/>
        </w:rPr>
        <w:t xml:space="preserve"> ezerā 2016.</w:t>
      </w:r>
      <w:r w:rsidR="001472E5">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gadā ielaisti 3000 zandartu mazuļu. </w:t>
      </w:r>
    </w:p>
    <w:p w14:paraId="58558B49" w14:textId="77777777" w:rsidR="00F71740" w:rsidRPr="00A07F29" w:rsidRDefault="00F71740" w:rsidP="00441A9B">
      <w:pPr>
        <w:spacing w:after="120" w:line="240" w:lineRule="auto"/>
        <w:ind w:firstLine="851"/>
        <w:jc w:val="both"/>
        <w:rPr>
          <w:rFonts w:ascii="Times New Roman" w:eastAsia="Calibri" w:hAnsi="Times New Roman" w:cs="Times New Roman"/>
          <w:sz w:val="24"/>
          <w:szCs w:val="24"/>
        </w:rPr>
      </w:pPr>
      <w:proofErr w:type="spellStart"/>
      <w:r w:rsidRPr="00A07F29">
        <w:rPr>
          <w:rFonts w:ascii="Times New Roman" w:eastAsia="Calibri" w:hAnsi="Times New Roman" w:cs="Times New Roman"/>
          <w:sz w:val="24"/>
          <w:szCs w:val="24"/>
        </w:rPr>
        <w:t>Invazīvā</w:t>
      </w:r>
      <w:proofErr w:type="spellEnd"/>
      <w:r w:rsidRPr="00A07F29">
        <w:rPr>
          <w:rFonts w:ascii="Times New Roman" w:eastAsia="Calibri" w:hAnsi="Times New Roman" w:cs="Times New Roman"/>
          <w:sz w:val="24"/>
          <w:szCs w:val="24"/>
        </w:rPr>
        <w:t xml:space="preserve"> zivju suga </w:t>
      </w:r>
      <w:proofErr w:type="spellStart"/>
      <w:r w:rsidRPr="00A07F29">
        <w:rPr>
          <w:rFonts w:ascii="Times New Roman" w:eastAsia="Calibri" w:hAnsi="Times New Roman" w:cs="Times New Roman"/>
          <w:sz w:val="24"/>
          <w:szCs w:val="24"/>
        </w:rPr>
        <w:t>rotans</w:t>
      </w:r>
      <w:proofErr w:type="spellEnd"/>
      <w:r w:rsidRPr="00A07F29">
        <w:rPr>
          <w:rFonts w:ascii="Times New Roman" w:eastAsia="Calibri" w:hAnsi="Times New Roman" w:cs="Times New Roman"/>
          <w:sz w:val="24"/>
          <w:szCs w:val="24"/>
        </w:rPr>
        <w:t xml:space="preserve"> ir konstatēts </w:t>
      </w:r>
      <w:proofErr w:type="spellStart"/>
      <w:r w:rsidRPr="00A07F29">
        <w:rPr>
          <w:rFonts w:ascii="Times New Roman" w:eastAsia="Calibri" w:hAnsi="Times New Roman" w:cs="Times New Roman"/>
          <w:sz w:val="24"/>
          <w:szCs w:val="24"/>
        </w:rPr>
        <w:t>Dolgoje</w:t>
      </w:r>
      <w:proofErr w:type="spellEnd"/>
      <w:r w:rsidRPr="00A07F29">
        <w:rPr>
          <w:rFonts w:ascii="Times New Roman" w:eastAsia="Calibri" w:hAnsi="Times New Roman" w:cs="Times New Roman"/>
          <w:sz w:val="24"/>
          <w:szCs w:val="24"/>
        </w:rPr>
        <w:t xml:space="preserve">, Dienvidu </w:t>
      </w:r>
      <w:proofErr w:type="spellStart"/>
      <w:r w:rsidRPr="00A07F29">
        <w:rPr>
          <w:rFonts w:ascii="Times New Roman" w:eastAsia="Calibri" w:hAnsi="Times New Roman" w:cs="Times New Roman"/>
          <w:sz w:val="24"/>
          <w:szCs w:val="24"/>
        </w:rPr>
        <w:t>Dolgoje</w:t>
      </w:r>
      <w:proofErr w:type="spellEnd"/>
      <w:r w:rsidRPr="00A07F29">
        <w:rPr>
          <w:rFonts w:ascii="Times New Roman" w:eastAsia="Calibri" w:hAnsi="Times New Roman" w:cs="Times New Roman"/>
          <w:sz w:val="24"/>
          <w:szCs w:val="24"/>
        </w:rPr>
        <w:t xml:space="preserve"> un Vidus </w:t>
      </w:r>
      <w:proofErr w:type="spellStart"/>
      <w:r w:rsidRPr="00A07F29">
        <w:rPr>
          <w:rFonts w:ascii="Times New Roman" w:eastAsia="Calibri" w:hAnsi="Times New Roman" w:cs="Times New Roman"/>
          <w:sz w:val="24"/>
          <w:szCs w:val="24"/>
        </w:rPr>
        <w:t>Dolgoje</w:t>
      </w:r>
      <w:proofErr w:type="spellEnd"/>
      <w:r w:rsidRPr="00A07F29">
        <w:rPr>
          <w:rFonts w:ascii="Times New Roman" w:eastAsia="Calibri" w:hAnsi="Times New Roman" w:cs="Times New Roman"/>
          <w:sz w:val="24"/>
          <w:szCs w:val="24"/>
        </w:rPr>
        <w:t xml:space="preserve"> ezeros, kas atrodas viens otram blakus un ir savienoti.</w:t>
      </w:r>
    </w:p>
    <w:p w14:paraId="316AE790" w14:textId="77777777" w:rsidR="009072CE" w:rsidRPr="00A07F29" w:rsidRDefault="009072CE" w:rsidP="00C31545">
      <w:pPr>
        <w:spacing w:before="240" w:after="120" w:line="240" w:lineRule="auto"/>
        <w:jc w:val="both"/>
        <w:rPr>
          <w:rFonts w:ascii="Times New Roman" w:eastAsia="Calibri" w:hAnsi="Times New Roman" w:cs="Times New Roman"/>
          <w:b/>
          <w:bCs/>
          <w:i/>
          <w:sz w:val="24"/>
          <w:szCs w:val="24"/>
        </w:rPr>
      </w:pPr>
      <w:r w:rsidRPr="00A07F29">
        <w:rPr>
          <w:rFonts w:ascii="Times New Roman" w:eastAsia="Calibri" w:hAnsi="Times New Roman" w:cs="Times New Roman"/>
          <w:b/>
          <w:bCs/>
          <w:i/>
          <w:sz w:val="24"/>
          <w:szCs w:val="24"/>
        </w:rPr>
        <w:t>Daugavas upe</w:t>
      </w:r>
    </w:p>
    <w:p w14:paraId="6D425F5E" w14:textId="4048A19B" w:rsidR="009072CE" w:rsidRPr="00A07F29" w:rsidRDefault="009072CE" w:rsidP="009072CE">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2019.</w:t>
      </w:r>
      <w:r w:rsidR="00AC499D">
        <w:rPr>
          <w:rFonts w:ascii="Times New Roman" w:eastAsia="Calibri" w:hAnsi="Times New Roman" w:cs="Times New Roman"/>
          <w:sz w:val="24"/>
          <w:szCs w:val="24"/>
        </w:rPr>
        <w:t> – </w:t>
      </w:r>
      <w:r w:rsidRPr="00A07F29">
        <w:rPr>
          <w:rFonts w:ascii="Times New Roman" w:eastAsia="Calibri" w:hAnsi="Times New Roman" w:cs="Times New Roman"/>
          <w:sz w:val="24"/>
          <w:szCs w:val="24"/>
        </w:rPr>
        <w:t>2020.</w:t>
      </w:r>
      <w:r w:rsidR="00AC499D">
        <w:rPr>
          <w:rFonts w:ascii="Times New Roman" w:eastAsia="Calibri" w:hAnsi="Times New Roman" w:cs="Times New Roman"/>
          <w:sz w:val="24"/>
          <w:szCs w:val="24"/>
        </w:rPr>
        <w:t> </w:t>
      </w:r>
      <w:r w:rsidRPr="00A07F29">
        <w:rPr>
          <w:rFonts w:ascii="Times New Roman" w:eastAsia="Calibri" w:hAnsi="Times New Roman" w:cs="Times New Roman"/>
          <w:sz w:val="24"/>
          <w:szCs w:val="24"/>
        </w:rPr>
        <w:t>gadā ir izstrādāti ekspluatācijas noteikumi un zivsaimnieciskās ekspluatācijas noteikumi Daugavas posmam Daugavpils novadā (Vides risinājumu institūts, Latvijas vides aizsardzības fonda finansēts projekts). Pētījums un rekomendācijas attiecas arī uz DP “Daugavas loki” iekļauto Daugavas upes posmu Daugavpils novada teritorijā.</w:t>
      </w:r>
    </w:p>
    <w:p w14:paraId="22ABAC7F" w14:textId="09AFCB01" w:rsidR="009072CE" w:rsidRPr="00A07F29" w:rsidRDefault="009072CE" w:rsidP="009072CE">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2019.</w:t>
      </w:r>
      <w:r w:rsidR="001C13C1">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gada ekspedīciju rezultātu analīze uzrāda, ka upes posmā augšpus Daugavpils (DP “Daugavas loki”) konstatētas 27 zivju sugas, no kurām rūpnieciski nozīmīgas ir asaris, līdaka, plaudis, rauda. Lomu struktūrā vērojams salīdzinoši augsts plēsīgo zivju īpatsvars. Kopumā no zivju sabiedrības viedokļa pētītais upes posms ir vidēji labā ekoloģiskā stāvoklī, jo </w:t>
      </w:r>
      <w:proofErr w:type="spellStart"/>
      <w:r w:rsidRPr="00A07F29">
        <w:rPr>
          <w:rFonts w:ascii="Times New Roman" w:eastAsia="Calibri" w:hAnsi="Times New Roman" w:cs="Times New Roman"/>
          <w:sz w:val="24"/>
          <w:szCs w:val="24"/>
        </w:rPr>
        <w:t>zooplanktona</w:t>
      </w:r>
      <w:proofErr w:type="spellEnd"/>
      <w:r w:rsidRPr="00A07F29">
        <w:rPr>
          <w:rFonts w:ascii="Times New Roman" w:eastAsia="Calibri" w:hAnsi="Times New Roman" w:cs="Times New Roman"/>
          <w:sz w:val="24"/>
          <w:szCs w:val="24"/>
        </w:rPr>
        <w:t xml:space="preserve"> un </w:t>
      </w:r>
      <w:proofErr w:type="spellStart"/>
      <w:r w:rsidRPr="00A07F29">
        <w:rPr>
          <w:rFonts w:ascii="Times New Roman" w:eastAsia="Calibri" w:hAnsi="Times New Roman" w:cs="Times New Roman"/>
          <w:sz w:val="24"/>
          <w:szCs w:val="24"/>
        </w:rPr>
        <w:t>zoobentosa</w:t>
      </w:r>
      <w:proofErr w:type="spellEnd"/>
      <w:r w:rsidRPr="00A07F29">
        <w:rPr>
          <w:rFonts w:ascii="Times New Roman" w:eastAsia="Calibri" w:hAnsi="Times New Roman" w:cs="Times New Roman"/>
          <w:sz w:val="24"/>
          <w:szCs w:val="24"/>
        </w:rPr>
        <w:t xml:space="preserve"> organismu daudzveidība un biomasa ir pietiekama, lai nodrošinātu ar barību zivju mazuļus, </w:t>
      </w:r>
      <w:proofErr w:type="spellStart"/>
      <w:r w:rsidRPr="00A07F29">
        <w:rPr>
          <w:rFonts w:ascii="Times New Roman" w:eastAsia="Calibri" w:hAnsi="Times New Roman" w:cs="Times New Roman"/>
          <w:sz w:val="24"/>
          <w:szCs w:val="24"/>
        </w:rPr>
        <w:t>planktonēdājas</w:t>
      </w:r>
      <w:proofErr w:type="spellEnd"/>
      <w:r w:rsidRPr="00A07F29">
        <w:rPr>
          <w:rFonts w:ascii="Times New Roman" w:eastAsia="Calibri" w:hAnsi="Times New Roman" w:cs="Times New Roman"/>
          <w:sz w:val="24"/>
          <w:szCs w:val="24"/>
        </w:rPr>
        <w:t xml:space="preserve"> un </w:t>
      </w:r>
      <w:proofErr w:type="spellStart"/>
      <w:r w:rsidRPr="00A07F29">
        <w:rPr>
          <w:rFonts w:ascii="Times New Roman" w:eastAsia="Calibri" w:hAnsi="Times New Roman" w:cs="Times New Roman"/>
          <w:sz w:val="24"/>
          <w:szCs w:val="24"/>
        </w:rPr>
        <w:t>bentiskās</w:t>
      </w:r>
      <w:proofErr w:type="spellEnd"/>
      <w:r w:rsidRPr="00A07F29">
        <w:rPr>
          <w:rFonts w:ascii="Times New Roman" w:eastAsia="Calibri" w:hAnsi="Times New Roman" w:cs="Times New Roman"/>
          <w:sz w:val="24"/>
          <w:szCs w:val="24"/>
        </w:rPr>
        <w:t xml:space="preserve"> zivis. Daugavas ūdens kvalitāte ir laba, zivju barības bāze pietiekama gan zivju mazuļu attīstībai un zivju resursu uzturēšanai. Upes zivju sabiedrība kopumā vērtējama kā veselīga un papildus pasākumi nav vajadzīgi.</w:t>
      </w:r>
    </w:p>
    <w:p w14:paraId="2F055210" w14:textId="77777777" w:rsidR="009072CE" w:rsidRPr="00A07F29" w:rsidRDefault="009072CE" w:rsidP="009072CE">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Noteikumos minēts, ka Daugavas ūdenstece un tās piekrastes josla galvenokārt izmantojama rekreācijai (peldvietas un atpūta uz ūdeņiem), zivsaimnieciskiem nolūkiem: rūpnieciskās zvejas un amatierzvejas (makšķerēšanas) organizācijai, kā arī dabas objektu aizsardzībai un zinātniskās pētniecības darbiem. Papildus ieteicams izvirzīt mērķus/uzdevumus Daugavas akvatorijas un tai piegulošo teritoriju izmantošanai:</w:t>
      </w:r>
    </w:p>
    <w:p w14:paraId="7A2A060D" w14:textId="77777777" w:rsidR="009072CE" w:rsidRPr="00A07F29" w:rsidRDefault="009072CE" w:rsidP="009072CE">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sabalansēt ūdenstilpes akvatorijas un tai piegulošo teritoriju bioloģiskās daudzveidības saglabāšanu un ūdenstilpes pieejamību sabiedrībai;</w:t>
      </w:r>
    </w:p>
    <w:p w14:paraId="3937238C" w14:textId="77777777" w:rsidR="009072CE" w:rsidRPr="00A07F29" w:rsidRDefault="009072CE" w:rsidP="009072CE">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pakāpeniski paaugstināt ūdenstilpes akvatorijas un tās piekrastes daļas rekreācijas resursa potenciālu.</w:t>
      </w:r>
    </w:p>
    <w:p w14:paraId="135B9165" w14:textId="5A6441CD" w:rsidR="009072CE" w:rsidRPr="00A07F29" w:rsidRDefault="009072CE" w:rsidP="009072CE">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Daugavas posms augšpus Daugavpils </w:t>
      </w:r>
      <w:r w:rsidR="00975BEB" w:rsidRPr="00A07F29">
        <w:rPr>
          <w:rFonts w:ascii="Times New Roman" w:eastAsia="Calibri" w:hAnsi="Times New Roman" w:cs="Times New Roman"/>
          <w:sz w:val="24"/>
          <w:szCs w:val="24"/>
        </w:rPr>
        <w:t>DP</w:t>
      </w:r>
      <w:r w:rsidRPr="00A07F29">
        <w:rPr>
          <w:rFonts w:ascii="Times New Roman" w:eastAsia="Calibri" w:hAnsi="Times New Roman" w:cs="Times New Roman"/>
          <w:sz w:val="24"/>
          <w:szCs w:val="24"/>
        </w:rPr>
        <w:t xml:space="preserve"> “Daugavas loki” minēts kā viena no trim zonām. Šīs zonas galvenā funkcija ir dabas vērtību saglabāšana. Rekomendējams šajā upes daļā turpināt rekreācijas un amatierzvejas organizāciju zemā intensitātē, lai nodrošinātu dabas vērtību un ainaviskās daudzveidības labvēlīgu aizsardzības stāvokli. Ieteicams uzlabot upes krastu infrastruktūru </w:t>
      </w:r>
      <w:r w:rsidR="004E26AE">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ierīkot publiski pieejamas piebraukšanas vietas ar laivu nolaišanas iespēju (t.s. “</w:t>
      </w:r>
      <w:proofErr w:type="spellStart"/>
      <w:r w:rsidRPr="00A07F29">
        <w:rPr>
          <w:rFonts w:ascii="Times New Roman" w:eastAsia="Calibri" w:hAnsi="Times New Roman" w:cs="Times New Roman"/>
          <w:sz w:val="24"/>
          <w:szCs w:val="24"/>
        </w:rPr>
        <w:t>slipu</w:t>
      </w:r>
      <w:proofErr w:type="spellEnd"/>
      <w:r w:rsidRPr="00A07F29">
        <w:rPr>
          <w:rFonts w:ascii="Times New Roman" w:eastAsia="Calibri" w:hAnsi="Times New Roman" w:cs="Times New Roman"/>
          <w:sz w:val="24"/>
          <w:szCs w:val="24"/>
        </w:rPr>
        <w:t xml:space="preserve">”) un </w:t>
      </w:r>
      <w:proofErr w:type="spellStart"/>
      <w:r w:rsidRPr="00A07F29">
        <w:rPr>
          <w:rFonts w:ascii="Times New Roman" w:eastAsia="Calibri" w:hAnsi="Times New Roman" w:cs="Times New Roman"/>
          <w:sz w:val="24"/>
          <w:szCs w:val="24"/>
        </w:rPr>
        <w:t>ūdenstūristu</w:t>
      </w:r>
      <w:proofErr w:type="spellEnd"/>
      <w:r w:rsidRPr="00A07F29">
        <w:rPr>
          <w:rFonts w:ascii="Times New Roman" w:eastAsia="Calibri" w:hAnsi="Times New Roman" w:cs="Times New Roman"/>
          <w:sz w:val="24"/>
          <w:szCs w:val="24"/>
        </w:rPr>
        <w:t xml:space="preserve"> atpūtas vietas. Oficiālas piebrauktuves un tūristu zonas ļautu kontrolēt tūristu plūsmu, līdz ar to mazinātos Daugavas krastu izbraukāšana un dabas vērtību bojāšana.</w:t>
      </w:r>
    </w:p>
    <w:p w14:paraId="3AE599DF" w14:textId="77777777" w:rsidR="009072CE" w:rsidRPr="00A07F29" w:rsidRDefault="009072CE" w:rsidP="009072CE">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Savukārt papildus esošiem normatīvo dokumentu regulējumiem būtu vēlams pašvaldību līmenī Daugavas upei ieviest šādus pasākumus:</w:t>
      </w:r>
    </w:p>
    <w:p w14:paraId="154CD31C" w14:textId="6ACBE15F" w:rsidR="009072CE" w:rsidRPr="00A07F29" w:rsidRDefault="00975BEB" w:rsidP="00F87589">
      <w:pPr>
        <w:numPr>
          <w:ilvl w:val="0"/>
          <w:numId w:val="23"/>
        </w:numPr>
        <w:spacing w:after="120" w:line="240" w:lineRule="auto"/>
        <w:contextualSpacing/>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nepieciešams </w:t>
      </w:r>
      <w:r w:rsidR="009072CE" w:rsidRPr="00A07F29">
        <w:rPr>
          <w:rFonts w:ascii="Times New Roman" w:eastAsia="Calibri" w:hAnsi="Times New Roman" w:cs="Times New Roman"/>
          <w:sz w:val="24"/>
          <w:szCs w:val="24"/>
        </w:rPr>
        <w:t>regulāri pārbaudīt zvejnieku lomus, kontrolējot, kā tiek korekti aizpildīti zvejas žurnāli</w:t>
      </w:r>
      <w:r w:rsidRPr="00A07F29">
        <w:rPr>
          <w:rFonts w:ascii="Times New Roman" w:eastAsia="Calibri" w:hAnsi="Times New Roman" w:cs="Times New Roman"/>
          <w:sz w:val="24"/>
          <w:szCs w:val="24"/>
        </w:rPr>
        <w:t>;</w:t>
      </w:r>
    </w:p>
    <w:p w14:paraId="3F4B9D82" w14:textId="4F15536C" w:rsidR="009072CE" w:rsidRPr="00A07F29" w:rsidRDefault="009072CE" w:rsidP="00F87589">
      <w:pPr>
        <w:numPr>
          <w:ilvl w:val="0"/>
          <w:numId w:val="23"/>
        </w:numPr>
        <w:spacing w:after="120" w:line="240" w:lineRule="auto"/>
        <w:contextualSpacing/>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lastRenderedPageBreak/>
        <w:t xml:space="preserve"> </w:t>
      </w:r>
      <w:r w:rsidR="00975BEB" w:rsidRPr="00A07F29">
        <w:rPr>
          <w:rFonts w:ascii="Times New Roman" w:eastAsia="Calibri" w:hAnsi="Times New Roman" w:cs="Times New Roman"/>
          <w:sz w:val="24"/>
          <w:szCs w:val="24"/>
        </w:rPr>
        <w:t xml:space="preserve">negodprātīgo </w:t>
      </w:r>
      <w:r w:rsidRPr="00A07F29">
        <w:rPr>
          <w:rFonts w:ascii="Times New Roman" w:eastAsia="Calibri" w:hAnsi="Times New Roman" w:cs="Times New Roman"/>
          <w:sz w:val="24"/>
          <w:szCs w:val="24"/>
        </w:rPr>
        <w:t>zvejnieku apkarošana ar intensīvākas kontroles (video novērošana grūti kontrolējamās vietās, inspektora piedalīšanās murdu izņemšanā u</w:t>
      </w:r>
      <w:r w:rsidR="2DDD13CF" w:rsidRPr="00A07F29">
        <w:rPr>
          <w:rFonts w:ascii="Times New Roman" w:eastAsia="Calibri" w:hAnsi="Times New Roman" w:cs="Times New Roman"/>
          <w:sz w:val="24"/>
          <w:szCs w:val="24"/>
        </w:rPr>
        <w:t>.</w:t>
      </w:r>
      <w:r w:rsidRPr="00A07F29">
        <w:rPr>
          <w:rFonts w:ascii="Times New Roman" w:eastAsia="Calibri" w:hAnsi="Times New Roman" w:cs="Times New Roman"/>
          <w:sz w:val="24"/>
          <w:szCs w:val="24"/>
        </w:rPr>
        <w:t>tml.) palīdzību, tādējādi nodrošinot to, ka cilvēka spiediens uz upes zivju resurs</w:t>
      </w:r>
      <w:r w:rsidR="00A47DC1">
        <w:rPr>
          <w:rFonts w:ascii="Times New Roman" w:eastAsia="Calibri" w:hAnsi="Times New Roman" w:cs="Times New Roman"/>
          <w:sz w:val="24"/>
          <w:szCs w:val="24"/>
        </w:rPr>
        <w:t>iem</w:t>
      </w:r>
      <w:r w:rsidRPr="00A07F29">
        <w:rPr>
          <w:rFonts w:ascii="Times New Roman" w:eastAsia="Calibri" w:hAnsi="Times New Roman" w:cs="Times New Roman"/>
          <w:sz w:val="24"/>
          <w:szCs w:val="24"/>
        </w:rPr>
        <w:t xml:space="preserve"> ir kontrolējams</w:t>
      </w:r>
      <w:r w:rsidR="00975BEB" w:rsidRPr="00A07F29">
        <w:rPr>
          <w:rFonts w:ascii="Times New Roman" w:eastAsia="Calibri" w:hAnsi="Times New Roman" w:cs="Times New Roman"/>
          <w:sz w:val="24"/>
          <w:szCs w:val="24"/>
        </w:rPr>
        <w:t>;</w:t>
      </w:r>
    </w:p>
    <w:p w14:paraId="52E650E1" w14:textId="47C317D4" w:rsidR="009072CE" w:rsidRPr="00A07F29" w:rsidRDefault="009072CE" w:rsidP="00F87589">
      <w:pPr>
        <w:numPr>
          <w:ilvl w:val="0"/>
          <w:numId w:val="23"/>
        </w:numPr>
        <w:spacing w:after="120" w:line="240" w:lineRule="auto"/>
        <w:contextualSpacing/>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iesaistot ūdeņu praktiskajā apsaimniekošanā maksimāli plašu sabiedrības daļu, ieinteresējot ūdensobjekta apmeklētājus, kā arī vietējos iedzīvotājus, kas ikdienā atrodas upes tuvumā. Starp iespējamiem uzlabošanas pasākumiem minami: iedzīvotāju informēšanas semināri par ūdenstilpes ekosistēmu, apsaimniekošanu, skolēnu dabas izzināšanas nometnes upes krastā</w:t>
      </w:r>
      <w:r w:rsidR="00975BEB" w:rsidRPr="00A07F29">
        <w:rPr>
          <w:rFonts w:ascii="Times New Roman" w:eastAsia="Calibri" w:hAnsi="Times New Roman" w:cs="Times New Roman"/>
          <w:sz w:val="24"/>
          <w:szCs w:val="24"/>
        </w:rPr>
        <w:t>;</w:t>
      </w:r>
    </w:p>
    <w:p w14:paraId="68B99A9B" w14:textId="2275FC1B" w:rsidR="009072CE" w:rsidRPr="00A07F29" w:rsidRDefault="00975BEB" w:rsidP="00F87589">
      <w:pPr>
        <w:numPr>
          <w:ilvl w:val="0"/>
          <w:numId w:val="23"/>
        </w:numPr>
        <w:spacing w:after="120" w:line="240" w:lineRule="auto"/>
        <w:contextualSpacing/>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reizi </w:t>
      </w:r>
      <w:r w:rsidR="009072CE" w:rsidRPr="00A07F29">
        <w:rPr>
          <w:rFonts w:ascii="Times New Roman" w:eastAsia="Calibri" w:hAnsi="Times New Roman" w:cs="Times New Roman"/>
          <w:sz w:val="24"/>
          <w:szCs w:val="24"/>
        </w:rPr>
        <w:t>piecos gados veikt zivju resursu pētniecisko novērtējumu, lai izvērtētu potenciālās izmaiņas, ieviešot minētos apsaimniekošanas pasākumus.</w:t>
      </w:r>
    </w:p>
    <w:p w14:paraId="336D2877" w14:textId="77777777" w:rsidR="009072CE" w:rsidRPr="00A07F29" w:rsidRDefault="009072CE" w:rsidP="009072CE">
      <w:pPr>
        <w:spacing w:after="120" w:line="240" w:lineRule="auto"/>
        <w:ind w:firstLine="851"/>
        <w:rPr>
          <w:rFonts w:ascii="Times New Roman" w:eastAsia="Calibri" w:hAnsi="Times New Roman" w:cs="Times New Roman"/>
          <w:sz w:val="24"/>
          <w:szCs w:val="24"/>
        </w:rPr>
      </w:pPr>
    </w:p>
    <w:p w14:paraId="4F31E13E" w14:textId="0E100F1A" w:rsidR="009A4BC5" w:rsidRPr="00A07F29" w:rsidRDefault="009A4BC5" w:rsidP="00BB7169">
      <w:pPr>
        <w:pStyle w:val="Heading2"/>
        <w:spacing w:before="120" w:after="120"/>
        <w:ind w:firstLine="0"/>
        <w:jc w:val="center"/>
        <w:rPr>
          <w:rFonts w:ascii="Times New Roman" w:hAnsi="Times New Roman"/>
          <w:i w:val="0"/>
        </w:rPr>
      </w:pPr>
      <w:bookmarkStart w:id="85" w:name="_Toc183434018"/>
      <w:r w:rsidRPr="00A07F29">
        <w:rPr>
          <w:rFonts w:ascii="Times New Roman" w:hAnsi="Times New Roman"/>
          <w:i w:val="0"/>
        </w:rPr>
        <w:t>4.10. Putnu sugas</w:t>
      </w:r>
      <w:bookmarkEnd w:id="85"/>
    </w:p>
    <w:p w14:paraId="479AE76E" w14:textId="62D80600" w:rsidR="009A4BC5" w:rsidRPr="00A07F29" w:rsidRDefault="009A4BC5" w:rsidP="00BB7169">
      <w:pPr>
        <w:pStyle w:val="Heading3"/>
        <w:spacing w:before="120" w:after="120" w:line="240" w:lineRule="auto"/>
        <w:jc w:val="center"/>
        <w:rPr>
          <w:lang w:eastAsia="ja-JP"/>
        </w:rPr>
      </w:pPr>
      <w:bookmarkStart w:id="86" w:name="_Toc183434019"/>
      <w:r w:rsidRPr="00A07F29">
        <w:rPr>
          <w:lang w:eastAsia="ja-JP"/>
        </w:rPr>
        <w:t>4.10.1. Ornitoloģisko pētījumu vēsture AAA “Augšdaugava”</w:t>
      </w:r>
      <w:bookmarkEnd w:id="86"/>
    </w:p>
    <w:p w14:paraId="1CAD53FC" w14:textId="0FC35EC3" w:rsidR="009A4BC5" w:rsidRPr="00A07F29" w:rsidRDefault="009A4BC5" w:rsidP="009A4BC5">
      <w:pPr>
        <w:spacing w:after="120" w:line="240" w:lineRule="auto"/>
        <w:ind w:firstLine="851"/>
        <w:jc w:val="both"/>
        <w:rPr>
          <w:rFonts w:ascii="Times New Roman" w:eastAsia="Times New Roman" w:hAnsi="Times New Roman" w:cs="Times New Roman"/>
          <w:sz w:val="24"/>
          <w:szCs w:val="24"/>
        </w:rPr>
      </w:pPr>
      <w:r w:rsidRPr="00A55A7D">
        <w:rPr>
          <w:rFonts w:ascii="Times New Roman" w:eastAsia="Times New Roman" w:hAnsi="Times New Roman" w:cs="Times New Roman"/>
          <w:sz w:val="24"/>
          <w:szCs w:val="24"/>
        </w:rPr>
        <w:t>EMERALD</w:t>
      </w:r>
      <w:r w:rsidRPr="00A07F29">
        <w:rPr>
          <w:rFonts w:ascii="Times New Roman" w:eastAsia="Times New Roman" w:hAnsi="Times New Roman" w:cs="Times New Roman"/>
          <w:sz w:val="24"/>
          <w:szCs w:val="24"/>
        </w:rPr>
        <w:t xml:space="preserve"> projekta laikā (2001</w:t>
      </w:r>
      <w:r w:rsidR="0043048E">
        <w:rPr>
          <w:rFonts w:ascii="Times New Roman" w:eastAsia="Times New Roman" w:hAnsi="Times New Roman" w:cs="Times New Roman"/>
          <w:sz w:val="24"/>
          <w:szCs w:val="24"/>
        </w:rPr>
        <w:t> </w:t>
      </w:r>
      <w:r w:rsidRPr="00A07F29">
        <w:rPr>
          <w:rFonts w:ascii="Times New Roman" w:eastAsia="Times New Roman" w:hAnsi="Times New Roman" w:cs="Times New Roman"/>
          <w:sz w:val="24"/>
          <w:szCs w:val="24"/>
        </w:rPr>
        <w:t>–</w:t>
      </w:r>
      <w:r w:rsidR="0043048E">
        <w:rPr>
          <w:rFonts w:ascii="Times New Roman" w:eastAsia="Times New Roman" w:hAnsi="Times New Roman" w:cs="Times New Roman"/>
          <w:sz w:val="24"/>
          <w:szCs w:val="24"/>
        </w:rPr>
        <w:t> </w:t>
      </w:r>
      <w:r w:rsidRPr="00A07F29">
        <w:rPr>
          <w:rFonts w:ascii="Times New Roman" w:eastAsia="Times New Roman" w:hAnsi="Times New Roman" w:cs="Times New Roman"/>
          <w:sz w:val="24"/>
          <w:szCs w:val="24"/>
        </w:rPr>
        <w:t xml:space="preserve">2004) teritoriju laika posmā no 07.-10.06.2003. apsekoja LOB eksperti Viesturs </w:t>
      </w:r>
      <w:proofErr w:type="spellStart"/>
      <w:r w:rsidRPr="00A07F29">
        <w:rPr>
          <w:rFonts w:ascii="Times New Roman" w:eastAsia="Times New Roman" w:hAnsi="Times New Roman" w:cs="Times New Roman"/>
          <w:sz w:val="24"/>
          <w:szCs w:val="24"/>
        </w:rPr>
        <w:t>Ķerus</w:t>
      </w:r>
      <w:proofErr w:type="spellEnd"/>
      <w:r w:rsidRPr="00A07F29">
        <w:rPr>
          <w:rFonts w:ascii="Times New Roman" w:eastAsia="Times New Roman" w:hAnsi="Times New Roman" w:cs="Times New Roman"/>
          <w:sz w:val="24"/>
          <w:szCs w:val="24"/>
        </w:rPr>
        <w:t xml:space="preserve">, Edmunds Račinskis un Laura </w:t>
      </w:r>
      <w:proofErr w:type="spellStart"/>
      <w:r w:rsidRPr="00A07F29">
        <w:rPr>
          <w:rFonts w:ascii="Times New Roman" w:eastAsia="Times New Roman" w:hAnsi="Times New Roman" w:cs="Times New Roman"/>
          <w:sz w:val="24"/>
          <w:szCs w:val="24"/>
        </w:rPr>
        <w:t>Jukāme</w:t>
      </w:r>
      <w:proofErr w:type="spellEnd"/>
      <w:r w:rsidRPr="00A07F29">
        <w:rPr>
          <w:rFonts w:ascii="Times New Roman" w:eastAsia="Times New Roman" w:hAnsi="Times New Roman" w:cs="Times New Roman"/>
          <w:sz w:val="24"/>
          <w:szCs w:val="24"/>
        </w:rPr>
        <w:t xml:space="preserve">. Uzskaišu rezultāti ļāva AAA </w:t>
      </w:r>
      <w:r w:rsidR="00A55A7D">
        <w:rPr>
          <w:rFonts w:ascii="Times New Roman" w:eastAsia="Times New Roman" w:hAnsi="Times New Roman" w:cs="Times New Roman"/>
          <w:sz w:val="24"/>
          <w:szCs w:val="24"/>
        </w:rPr>
        <w:t>“</w:t>
      </w:r>
      <w:r w:rsidRPr="00A07F29">
        <w:rPr>
          <w:rFonts w:ascii="Times New Roman" w:eastAsia="Times New Roman" w:hAnsi="Times New Roman" w:cs="Times New Roman"/>
          <w:sz w:val="24"/>
          <w:szCs w:val="24"/>
        </w:rPr>
        <w:t>Augšdaugava” iekļaut starptautiskas nozīmes putniem nozīmīgo vietu sarakstā (</w:t>
      </w:r>
      <w:proofErr w:type="spellStart"/>
      <w:r w:rsidRPr="00A07F29">
        <w:rPr>
          <w:rFonts w:ascii="Times New Roman" w:eastAsia="Times New Roman" w:hAnsi="Times New Roman" w:cs="Times New Roman"/>
          <w:sz w:val="24"/>
          <w:szCs w:val="24"/>
        </w:rPr>
        <w:t>Important</w:t>
      </w:r>
      <w:proofErr w:type="spellEnd"/>
      <w:r w:rsidRPr="00A07F29">
        <w:rPr>
          <w:rFonts w:ascii="Times New Roman" w:eastAsia="Times New Roman" w:hAnsi="Times New Roman" w:cs="Times New Roman"/>
          <w:sz w:val="24"/>
          <w:szCs w:val="24"/>
        </w:rPr>
        <w:t xml:space="preserve"> </w:t>
      </w:r>
      <w:proofErr w:type="spellStart"/>
      <w:r w:rsidRPr="00A07F29">
        <w:rPr>
          <w:rFonts w:ascii="Times New Roman" w:eastAsia="Times New Roman" w:hAnsi="Times New Roman" w:cs="Times New Roman"/>
          <w:sz w:val="24"/>
          <w:szCs w:val="24"/>
        </w:rPr>
        <w:t>Birds</w:t>
      </w:r>
      <w:proofErr w:type="spellEnd"/>
      <w:r w:rsidRPr="00A07F29">
        <w:rPr>
          <w:rFonts w:ascii="Times New Roman" w:eastAsia="Times New Roman" w:hAnsi="Times New Roman" w:cs="Times New Roman"/>
          <w:sz w:val="24"/>
          <w:szCs w:val="24"/>
        </w:rPr>
        <w:t xml:space="preserve"> </w:t>
      </w:r>
      <w:proofErr w:type="spellStart"/>
      <w:r w:rsidRPr="00A07F29">
        <w:rPr>
          <w:rFonts w:ascii="Times New Roman" w:eastAsia="Times New Roman" w:hAnsi="Times New Roman" w:cs="Times New Roman"/>
          <w:sz w:val="24"/>
          <w:szCs w:val="24"/>
        </w:rPr>
        <w:t>and</w:t>
      </w:r>
      <w:proofErr w:type="spellEnd"/>
      <w:r w:rsidRPr="00A07F29">
        <w:rPr>
          <w:rFonts w:ascii="Times New Roman" w:eastAsia="Times New Roman" w:hAnsi="Times New Roman" w:cs="Times New Roman"/>
          <w:sz w:val="24"/>
          <w:szCs w:val="24"/>
        </w:rPr>
        <w:t xml:space="preserve"> </w:t>
      </w:r>
      <w:proofErr w:type="spellStart"/>
      <w:r w:rsidRPr="00A07F29">
        <w:rPr>
          <w:rFonts w:ascii="Times New Roman" w:eastAsia="Times New Roman" w:hAnsi="Times New Roman" w:cs="Times New Roman"/>
          <w:sz w:val="24"/>
          <w:szCs w:val="24"/>
        </w:rPr>
        <w:t>Biodiversit</w:t>
      </w:r>
      <w:r w:rsidR="004B493B">
        <w:rPr>
          <w:rFonts w:ascii="Times New Roman" w:eastAsia="Times New Roman" w:hAnsi="Times New Roman" w:cs="Times New Roman"/>
          <w:sz w:val="24"/>
          <w:szCs w:val="24"/>
        </w:rPr>
        <w:t>y</w:t>
      </w:r>
      <w:proofErr w:type="spellEnd"/>
      <w:r w:rsidRPr="00A07F29">
        <w:rPr>
          <w:rFonts w:ascii="Times New Roman" w:eastAsia="Times New Roman" w:hAnsi="Times New Roman" w:cs="Times New Roman"/>
          <w:sz w:val="24"/>
          <w:szCs w:val="24"/>
        </w:rPr>
        <w:t xml:space="preserve"> </w:t>
      </w:r>
      <w:proofErr w:type="spellStart"/>
      <w:r w:rsidRPr="00A07F29">
        <w:rPr>
          <w:rFonts w:ascii="Times New Roman" w:eastAsia="Times New Roman" w:hAnsi="Times New Roman" w:cs="Times New Roman"/>
          <w:sz w:val="24"/>
          <w:szCs w:val="24"/>
        </w:rPr>
        <w:t>areas</w:t>
      </w:r>
      <w:proofErr w:type="spellEnd"/>
      <w:r w:rsidRPr="00A07F29">
        <w:rPr>
          <w:rFonts w:ascii="Times New Roman" w:eastAsia="Times New Roman" w:hAnsi="Times New Roman" w:cs="Times New Roman"/>
          <w:sz w:val="24"/>
          <w:szCs w:val="24"/>
        </w:rPr>
        <w:t>; Račinskis</w:t>
      </w:r>
      <w:r w:rsidR="009C173C">
        <w:rPr>
          <w:rFonts w:ascii="Times New Roman" w:eastAsia="Times New Roman" w:hAnsi="Times New Roman" w:cs="Times New Roman"/>
          <w:sz w:val="24"/>
          <w:szCs w:val="24"/>
        </w:rPr>
        <w:t xml:space="preserve"> E.,</w:t>
      </w:r>
      <w:r w:rsidRPr="00A07F29">
        <w:rPr>
          <w:rFonts w:ascii="Times New Roman" w:eastAsia="Times New Roman" w:hAnsi="Times New Roman" w:cs="Times New Roman"/>
          <w:sz w:val="24"/>
          <w:szCs w:val="24"/>
        </w:rPr>
        <w:t xml:space="preserve"> 2004). Kā teritoriju kvalificējošās sugas izdalītas grieze, upes zīriņš un mazais zīriņš.</w:t>
      </w:r>
    </w:p>
    <w:p w14:paraId="407BA90A" w14:textId="14F78479" w:rsidR="009A4BC5" w:rsidRPr="00A07F29" w:rsidRDefault="009A4BC5" w:rsidP="009A4BC5">
      <w:pPr>
        <w:spacing w:after="120" w:line="240" w:lineRule="auto"/>
        <w:ind w:firstLine="851"/>
        <w:jc w:val="both"/>
        <w:rPr>
          <w:rFonts w:ascii="Times New Roman" w:eastAsia="Times New Roman" w:hAnsi="Times New Roman" w:cs="Times New Roman"/>
          <w:sz w:val="24"/>
          <w:szCs w:val="24"/>
        </w:rPr>
      </w:pPr>
      <w:r w:rsidRPr="00A07F29">
        <w:rPr>
          <w:rFonts w:ascii="Times New Roman" w:eastAsia="Times New Roman" w:hAnsi="Times New Roman" w:cs="Times New Roman"/>
          <w:sz w:val="24"/>
          <w:szCs w:val="24"/>
        </w:rPr>
        <w:t xml:space="preserve">Tomēr jāatzīmē, ka EMERALD projekta izstrādes laikā teritorija netika pietiekoši intensīvi apsekota un zināšanas par atsevišķu </w:t>
      </w:r>
      <w:r w:rsidRPr="00B13A86">
        <w:rPr>
          <w:rFonts w:ascii="Times New Roman" w:eastAsia="Times New Roman" w:hAnsi="Times New Roman" w:cs="Times New Roman"/>
          <w:sz w:val="24"/>
          <w:szCs w:val="24"/>
        </w:rPr>
        <w:t>īpaši aizsargājamo</w:t>
      </w:r>
      <w:r w:rsidRPr="00A07F29">
        <w:rPr>
          <w:rFonts w:ascii="Times New Roman" w:eastAsia="Times New Roman" w:hAnsi="Times New Roman" w:cs="Times New Roman"/>
          <w:sz w:val="24"/>
          <w:szCs w:val="24"/>
        </w:rPr>
        <w:t xml:space="preserve"> sugu konstatēšanu bija nepietiekošas, kā arī lauku darbu veikšanai paredzētais laiks bija nepietiekams. Tā rezultātā ES datu bāzē par </w:t>
      </w:r>
      <w:r w:rsidR="00B13A86">
        <w:rPr>
          <w:rFonts w:ascii="Times New Roman" w:eastAsia="Times New Roman" w:hAnsi="Times New Roman" w:cs="Times New Roman"/>
          <w:sz w:val="24"/>
          <w:szCs w:val="24"/>
        </w:rPr>
        <w:t>ĪADT</w:t>
      </w:r>
      <w:r w:rsidRPr="00A07F29">
        <w:rPr>
          <w:rFonts w:ascii="Times New Roman" w:eastAsia="Times New Roman" w:hAnsi="Times New Roman" w:cs="Times New Roman"/>
          <w:sz w:val="24"/>
          <w:szCs w:val="24"/>
        </w:rPr>
        <w:t xml:space="preserve"> (</w:t>
      </w:r>
      <w:proofErr w:type="spellStart"/>
      <w:r w:rsidRPr="00A07F29">
        <w:rPr>
          <w:rFonts w:ascii="Times New Roman" w:eastAsia="Times New Roman" w:hAnsi="Times New Roman" w:cs="Times New Roman"/>
          <w:i/>
          <w:sz w:val="24"/>
          <w:szCs w:val="24"/>
        </w:rPr>
        <w:t>Natura</w:t>
      </w:r>
      <w:proofErr w:type="spellEnd"/>
      <w:r w:rsidRPr="00A07F29">
        <w:rPr>
          <w:rFonts w:ascii="Times New Roman" w:eastAsia="Times New Roman" w:hAnsi="Times New Roman" w:cs="Times New Roman"/>
          <w:i/>
          <w:sz w:val="24"/>
          <w:szCs w:val="24"/>
        </w:rPr>
        <w:t xml:space="preserve"> 2000 standart </w:t>
      </w:r>
      <w:proofErr w:type="spellStart"/>
      <w:r w:rsidRPr="00A07F29">
        <w:rPr>
          <w:rFonts w:ascii="Times New Roman" w:eastAsia="Times New Roman" w:hAnsi="Times New Roman" w:cs="Times New Roman"/>
          <w:i/>
          <w:sz w:val="24"/>
          <w:szCs w:val="24"/>
        </w:rPr>
        <w:t>data</w:t>
      </w:r>
      <w:proofErr w:type="spellEnd"/>
      <w:r w:rsidRPr="00A07F29">
        <w:rPr>
          <w:rFonts w:ascii="Times New Roman" w:eastAsia="Times New Roman" w:hAnsi="Times New Roman" w:cs="Times New Roman"/>
          <w:i/>
          <w:sz w:val="24"/>
          <w:szCs w:val="24"/>
        </w:rPr>
        <w:t xml:space="preserve"> </w:t>
      </w:r>
      <w:proofErr w:type="spellStart"/>
      <w:r w:rsidRPr="00A07F29">
        <w:rPr>
          <w:rFonts w:ascii="Times New Roman" w:eastAsia="Times New Roman" w:hAnsi="Times New Roman" w:cs="Times New Roman"/>
          <w:i/>
          <w:sz w:val="24"/>
          <w:szCs w:val="24"/>
        </w:rPr>
        <w:t>form</w:t>
      </w:r>
      <w:proofErr w:type="spellEnd"/>
      <w:r w:rsidR="00B71986">
        <w:rPr>
          <w:rFonts w:ascii="Times New Roman" w:eastAsia="Times New Roman" w:hAnsi="Times New Roman" w:cs="Times New Roman"/>
          <w:i/>
          <w:sz w:val="24"/>
          <w:szCs w:val="24"/>
        </w:rPr>
        <w:t>)</w:t>
      </w:r>
      <w:r w:rsidR="00B71986">
        <w:rPr>
          <w:rStyle w:val="FootnoteReference"/>
          <w:rFonts w:ascii="Times New Roman" w:eastAsia="Times New Roman" w:hAnsi="Times New Roman" w:cs="Times New Roman"/>
          <w:i/>
          <w:sz w:val="24"/>
          <w:szCs w:val="24"/>
        </w:rPr>
        <w:footnoteReference w:id="42"/>
      </w:r>
      <w:r w:rsidR="003F3AC3">
        <w:rPr>
          <w:rFonts w:ascii="Times New Roman" w:eastAsia="Times New Roman" w:hAnsi="Times New Roman" w:cs="Times New Roman"/>
          <w:i/>
          <w:sz w:val="24"/>
          <w:szCs w:val="24"/>
        </w:rPr>
        <w:t xml:space="preserve"> </w:t>
      </w:r>
      <w:r w:rsidRPr="00A07F29">
        <w:rPr>
          <w:rFonts w:ascii="Times New Roman" w:eastAsia="Times New Roman" w:hAnsi="Times New Roman" w:cs="Times New Roman"/>
          <w:sz w:val="24"/>
          <w:szCs w:val="24"/>
        </w:rPr>
        <w:t>nonāca nepilnīga informācija, kas līdz šim tā arī nav rediģēta, lai gan teritorijā notikuši arī nesenāki pētījumi.</w:t>
      </w:r>
    </w:p>
    <w:p w14:paraId="6310AAD7" w14:textId="1C2178E9" w:rsidR="009A4BC5" w:rsidRPr="00A07F29" w:rsidRDefault="009A4BC5" w:rsidP="009A4BC5">
      <w:pPr>
        <w:spacing w:after="120" w:line="240" w:lineRule="auto"/>
        <w:ind w:firstLine="851"/>
        <w:jc w:val="both"/>
        <w:rPr>
          <w:rFonts w:ascii="Times New Roman" w:eastAsia="Times New Roman" w:hAnsi="Times New Roman" w:cs="Times New Roman"/>
          <w:sz w:val="24"/>
          <w:szCs w:val="24"/>
        </w:rPr>
      </w:pPr>
      <w:r w:rsidRPr="00A07F29">
        <w:rPr>
          <w:rFonts w:ascii="Times New Roman" w:eastAsia="Times New Roman" w:hAnsi="Times New Roman" w:cs="Times New Roman"/>
          <w:sz w:val="24"/>
          <w:szCs w:val="24"/>
        </w:rPr>
        <w:t xml:space="preserve">AAA </w:t>
      </w:r>
      <w:r w:rsidR="003F3AC3">
        <w:rPr>
          <w:rFonts w:ascii="Times New Roman" w:eastAsia="Times New Roman" w:hAnsi="Times New Roman" w:cs="Times New Roman"/>
          <w:sz w:val="24"/>
          <w:szCs w:val="24"/>
        </w:rPr>
        <w:t>“</w:t>
      </w:r>
      <w:r w:rsidRPr="00A07F29">
        <w:rPr>
          <w:rFonts w:ascii="Times New Roman" w:eastAsia="Times New Roman" w:hAnsi="Times New Roman" w:cs="Times New Roman"/>
          <w:sz w:val="24"/>
          <w:szCs w:val="24"/>
        </w:rPr>
        <w:t>Augšdaugava” nozīmīga ligzdojošo putnu faunas inventarizācija veikta 2008.</w:t>
      </w:r>
      <w:r w:rsidR="00950D7D">
        <w:rPr>
          <w:rFonts w:ascii="Times New Roman" w:eastAsia="Times New Roman" w:hAnsi="Times New Roman" w:cs="Times New Roman"/>
          <w:sz w:val="24"/>
          <w:szCs w:val="24"/>
        </w:rPr>
        <w:t> </w:t>
      </w:r>
      <w:r w:rsidRPr="00A07F29">
        <w:rPr>
          <w:rFonts w:ascii="Times New Roman" w:eastAsia="Times New Roman" w:hAnsi="Times New Roman" w:cs="Times New Roman"/>
          <w:sz w:val="24"/>
          <w:szCs w:val="24"/>
        </w:rPr>
        <w:t xml:space="preserve">gadā, kad Indriķis Krams veica putnu uzskaites DP </w:t>
      </w:r>
      <w:r w:rsidR="00950D7D">
        <w:rPr>
          <w:rFonts w:ascii="Times New Roman" w:eastAsia="Times New Roman" w:hAnsi="Times New Roman" w:cs="Times New Roman"/>
          <w:sz w:val="24"/>
          <w:szCs w:val="24"/>
        </w:rPr>
        <w:t>“</w:t>
      </w:r>
      <w:r w:rsidRPr="00A07F29">
        <w:rPr>
          <w:rFonts w:ascii="Times New Roman" w:eastAsia="Times New Roman" w:hAnsi="Times New Roman" w:cs="Times New Roman"/>
          <w:sz w:val="24"/>
          <w:szCs w:val="24"/>
        </w:rPr>
        <w:t xml:space="preserve">Daugavas loki” DA plāna izstrādes laikā. Pētījumu laikā DP teritorijā pierādīta un ticama ligzdošana konstatēta 19 Latvijā un ES </w:t>
      </w:r>
      <w:r w:rsidRPr="00B13A86">
        <w:rPr>
          <w:rFonts w:ascii="Times New Roman" w:eastAsia="Times New Roman" w:hAnsi="Times New Roman" w:cs="Times New Roman"/>
          <w:sz w:val="24"/>
          <w:szCs w:val="24"/>
        </w:rPr>
        <w:t>īpaši aizsargājamām</w:t>
      </w:r>
      <w:r w:rsidRPr="00A07F29">
        <w:rPr>
          <w:rFonts w:ascii="Times New Roman" w:eastAsia="Times New Roman" w:hAnsi="Times New Roman" w:cs="Times New Roman"/>
          <w:sz w:val="24"/>
          <w:szCs w:val="24"/>
        </w:rPr>
        <w:t xml:space="preserve"> putnu sugām. Aptvertas visas ekoloģiskās grupas un daļa novērojumu </w:t>
      </w:r>
      <w:proofErr w:type="spellStart"/>
      <w:r w:rsidRPr="00A07F29">
        <w:rPr>
          <w:rFonts w:ascii="Times New Roman" w:eastAsia="Times New Roman" w:hAnsi="Times New Roman" w:cs="Times New Roman"/>
          <w:sz w:val="24"/>
          <w:szCs w:val="24"/>
        </w:rPr>
        <w:t>digit</w:t>
      </w:r>
      <w:r w:rsidR="00CE695C">
        <w:rPr>
          <w:rFonts w:ascii="Times New Roman" w:eastAsia="Times New Roman" w:hAnsi="Times New Roman" w:cs="Times New Roman"/>
          <w:sz w:val="24"/>
          <w:szCs w:val="24"/>
        </w:rPr>
        <w:t>al</w:t>
      </w:r>
      <w:r w:rsidRPr="00A07F29">
        <w:rPr>
          <w:rFonts w:ascii="Times New Roman" w:eastAsia="Times New Roman" w:hAnsi="Times New Roman" w:cs="Times New Roman"/>
          <w:sz w:val="24"/>
          <w:szCs w:val="24"/>
        </w:rPr>
        <w:t>izēti</w:t>
      </w:r>
      <w:proofErr w:type="spellEnd"/>
      <w:r w:rsidRPr="00A07F29">
        <w:rPr>
          <w:rFonts w:ascii="Times New Roman" w:eastAsia="Times New Roman" w:hAnsi="Times New Roman" w:cs="Times New Roman"/>
          <w:sz w:val="24"/>
          <w:szCs w:val="24"/>
        </w:rPr>
        <w:t xml:space="preserve"> arī </w:t>
      </w:r>
      <w:r w:rsidR="00B13A86" w:rsidRPr="00B13A86">
        <w:rPr>
          <w:rFonts w:ascii="Times New Roman" w:eastAsia="Times New Roman" w:hAnsi="Times New Roman" w:cs="Times New Roman"/>
          <w:sz w:val="24"/>
          <w:szCs w:val="24"/>
        </w:rPr>
        <w:t>DDPS</w:t>
      </w:r>
      <w:r w:rsidRPr="00B13A86">
        <w:rPr>
          <w:rFonts w:ascii="Times New Roman" w:eastAsia="Times New Roman" w:hAnsi="Times New Roman" w:cs="Times New Roman"/>
          <w:sz w:val="24"/>
          <w:szCs w:val="24"/>
        </w:rPr>
        <w:t xml:space="preserve"> “Ozols”,</w:t>
      </w:r>
      <w:r w:rsidRPr="00A07F29">
        <w:rPr>
          <w:rFonts w:ascii="Times New Roman" w:eastAsia="Times New Roman" w:hAnsi="Times New Roman" w:cs="Times New Roman"/>
          <w:sz w:val="24"/>
          <w:szCs w:val="24"/>
        </w:rPr>
        <w:t xml:space="preserve"> kur atrodama informācija par 26 iespējami ligzdojošu </w:t>
      </w:r>
      <w:r w:rsidRPr="00B13A86">
        <w:rPr>
          <w:rFonts w:ascii="Times New Roman" w:eastAsia="Times New Roman" w:hAnsi="Times New Roman" w:cs="Times New Roman"/>
          <w:sz w:val="24"/>
          <w:szCs w:val="24"/>
        </w:rPr>
        <w:t>īpaši aizsargājamo</w:t>
      </w:r>
      <w:r w:rsidRPr="00A07F29">
        <w:rPr>
          <w:rFonts w:ascii="Times New Roman" w:eastAsia="Times New Roman" w:hAnsi="Times New Roman" w:cs="Times New Roman"/>
          <w:sz w:val="24"/>
          <w:szCs w:val="24"/>
        </w:rPr>
        <w:t xml:space="preserve"> putnu sugu atradnēm.</w:t>
      </w:r>
    </w:p>
    <w:p w14:paraId="1176DB84" w14:textId="1F2FBAE6" w:rsidR="009A4BC5" w:rsidRPr="00A07F29" w:rsidRDefault="009A4BC5" w:rsidP="009A4BC5">
      <w:pPr>
        <w:spacing w:after="120" w:line="240" w:lineRule="auto"/>
        <w:ind w:firstLine="851"/>
        <w:jc w:val="both"/>
        <w:rPr>
          <w:rFonts w:ascii="Times New Roman" w:eastAsia="Times New Roman" w:hAnsi="Times New Roman" w:cs="Times New Roman"/>
          <w:sz w:val="24"/>
          <w:szCs w:val="24"/>
        </w:rPr>
      </w:pPr>
      <w:r w:rsidRPr="00A07F29">
        <w:rPr>
          <w:rFonts w:ascii="Times New Roman" w:eastAsia="Times New Roman" w:hAnsi="Times New Roman" w:cs="Times New Roman"/>
          <w:sz w:val="24"/>
          <w:szCs w:val="24"/>
        </w:rPr>
        <w:t xml:space="preserve">Vērtīgi dati par teritorijas </w:t>
      </w:r>
      <w:proofErr w:type="spellStart"/>
      <w:r w:rsidRPr="00A07F29">
        <w:rPr>
          <w:rFonts w:ascii="Times New Roman" w:eastAsia="Times New Roman" w:hAnsi="Times New Roman" w:cs="Times New Roman"/>
          <w:sz w:val="24"/>
          <w:szCs w:val="24"/>
        </w:rPr>
        <w:t>ornitofaunu</w:t>
      </w:r>
      <w:proofErr w:type="spellEnd"/>
      <w:r w:rsidRPr="00A07F29">
        <w:rPr>
          <w:rFonts w:ascii="Times New Roman" w:eastAsia="Times New Roman" w:hAnsi="Times New Roman" w:cs="Times New Roman"/>
          <w:sz w:val="24"/>
          <w:szCs w:val="24"/>
        </w:rPr>
        <w:t xml:space="preserve"> iegūti </w:t>
      </w:r>
      <w:proofErr w:type="spellStart"/>
      <w:r w:rsidRPr="00A07F29">
        <w:rPr>
          <w:rFonts w:ascii="Times New Roman" w:eastAsia="Times New Roman" w:hAnsi="Times New Roman" w:cs="Times New Roman"/>
          <w:i/>
          <w:sz w:val="24"/>
          <w:szCs w:val="24"/>
        </w:rPr>
        <w:t>Natura</w:t>
      </w:r>
      <w:proofErr w:type="spellEnd"/>
      <w:r w:rsidRPr="00A07F29">
        <w:rPr>
          <w:rFonts w:ascii="Times New Roman" w:eastAsia="Times New Roman" w:hAnsi="Times New Roman" w:cs="Times New Roman"/>
          <w:i/>
          <w:sz w:val="24"/>
          <w:szCs w:val="24"/>
        </w:rPr>
        <w:t xml:space="preserve"> 2000</w:t>
      </w:r>
      <w:r w:rsidRPr="00A07F29">
        <w:rPr>
          <w:rFonts w:ascii="Times New Roman" w:eastAsia="Times New Roman" w:hAnsi="Times New Roman" w:cs="Times New Roman"/>
          <w:sz w:val="24"/>
          <w:szCs w:val="24"/>
        </w:rPr>
        <w:t xml:space="preserve"> vietu putnu monitoringa laikā (2009, 2012, 2014), kad veiktas teritoriju kvalificējošo sugu, kā arī dažu pārējo Putnu direktīvas I pielikumā iekļauto </w:t>
      </w:r>
      <w:r w:rsidR="00B66CB2" w:rsidRPr="00A07F29">
        <w:rPr>
          <w:rFonts w:ascii="Times New Roman" w:eastAsia="Times New Roman" w:hAnsi="Times New Roman" w:cs="Times New Roman"/>
          <w:sz w:val="24"/>
          <w:szCs w:val="24"/>
        </w:rPr>
        <w:t>sugu uzskaites. 2009.</w:t>
      </w:r>
      <w:r w:rsidR="00940339">
        <w:rPr>
          <w:rFonts w:ascii="Times New Roman" w:eastAsia="Times New Roman" w:hAnsi="Times New Roman" w:cs="Times New Roman"/>
          <w:sz w:val="24"/>
          <w:szCs w:val="24"/>
        </w:rPr>
        <w:t> </w:t>
      </w:r>
      <w:r w:rsidR="00B66CB2" w:rsidRPr="00A07F29">
        <w:rPr>
          <w:rFonts w:ascii="Times New Roman" w:eastAsia="Times New Roman" w:hAnsi="Times New Roman" w:cs="Times New Roman"/>
          <w:sz w:val="24"/>
          <w:szCs w:val="24"/>
        </w:rPr>
        <w:t>gadā (05.</w:t>
      </w:r>
      <w:r w:rsidR="000655A9">
        <w:rPr>
          <w:rFonts w:ascii="Times New Roman" w:eastAsia="Times New Roman" w:hAnsi="Times New Roman" w:cs="Times New Roman"/>
          <w:sz w:val="24"/>
          <w:szCs w:val="24"/>
        </w:rPr>
        <w:t> – </w:t>
      </w:r>
      <w:r w:rsidRPr="00A07F29">
        <w:rPr>
          <w:rFonts w:ascii="Times New Roman" w:eastAsia="Times New Roman" w:hAnsi="Times New Roman" w:cs="Times New Roman"/>
          <w:sz w:val="24"/>
          <w:szCs w:val="24"/>
        </w:rPr>
        <w:t xml:space="preserve">06.06.2009.) melnās dzilnas, griezes, brūnās čakstes, dārza stērstes, sila cīruļa, svītrainā ķauķa uzskaites veica Andris Avotiņš sen. un Andris Avotiņš </w:t>
      </w:r>
      <w:proofErr w:type="spellStart"/>
      <w:r w:rsidRPr="00A07F29">
        <w:rPr>
          <w:rFonts w:ascii="Times New Roman" w:eastAsia="Times New Roman" w:hAnsi="Times New Roman" w:cs="Times New Roman"/>
          <w:sz w:val="24"/>
          <w:szCs w:val="24"/>
        </w:rPr>
        <w:t>jun</w:t>
      </w:r>
      <w:proofErr w:type="spellEnd"/>
      <w:r w:rsidRPr="00A07F29">
        <w:rPr>
          <w:rFonts w:ascii="Times New Roman" w:eastAsia="Times New Roman" w:hAnsi="Times New Roman" w:cs="Times New Roman"/>
          <w:sz w:val="24"/>
          <w:szCs w:val="24"/>
        </w:rPr>
        <w:t>. Uzskaiti ar laivu pa Daugavu (visā teritorijas garumā) laika posmā no 21.</w:t>
      </w:r>
      <w:r w:rsidR="000655A9">
        <w:rPr>
          <w:rFonts w:ascii="Times New Roman" w:eastAsia="Times New Roman" w:hAnsi="Times New Roman" w:cs="Times New Roman"/>
          <w:sz w:val="24"/>
          <w:szCs w:val="24"/>
        </w:rPr>
        <w:t> – </w:t>
      </w:r>
      <w:r w:rsidRPr="00A07F29">
        <w:rPr>
          <w:rFonts w:ascii="Times New Roman" w:eastAsia="Times New Roman" w:hAnsi="Times New Roman" w:cs="Times New Roman"/>
          <w:sz w:val="24"/>
          <w:szCs w:val="24"/>
        </w:rPr>
        <w:t>23.06.2009. veicis Aigars Kalvāns. Pļavu liju uzskaites no novērošanas punktiem 18.</w:t>
      </w:r>
      <w:r w:rsidR="000655A9">
        <w:rPr>
          <w:rFonts w:ascii="Times New Roman" w:eastAsia="Times New Roman" w:hAnsi="Times New Roman" w:cs="Times New Roman"/>
          <w:sz w:val="24"/>
          <w:szCs w:val="24"/>
        </w:rPr>
        <w:t> </w:t>
      </w:r>
      <w:r w:rsidRPr="00A07F29">
        <w:rPr>
          <w:rFonts w:ascii="Times New Roman" w:eastAsia="Times New Roman" w:hAnsi="Times New Roman" w:cs="Times New Roman"/>
          <w:sz w:val="24"/>
          <w:szCs w:val="24"/>
        </w:rPr>
        <w:t>–</w:t>
      </w:r>
      <w:r w:rsidR="000655A9">
        <w:rPr>
          <w:rFonts w:ascii="Times New Roman" w:eastAsia="Times New Roman" w:hAnsi="Times New Roman" w:cs="Times New Roman"/>
          <w:sz w:val="24"/>
          <w:szCs w:val="24"/>
        </w:rPr>
        <w:t> </w:t>
      </w:r>
      <w:r w:rsidRPr="00A07F29">
        <w:rPr>
          <w:rFonts w:ascii="Times New Roman" w:eastAsia="Times New Roman" w:hAnsi="Times New Roman" w:cs="Times New Roman"/>
          <w:sz w:val="24"/>
          <w:szCs w:val="24"/>
        </w:rPr>
        <w:t>19.07.2009. veicis Jānis Reihmanis. 2012.</w:t>
      </w:r>
      <w:r w:rsidR="000655A9">
        <w:rPr>
          <w:rFonts w:ascii="Times New Roman" w:eastAsia="Times New Roman" w:hAnsi="Times New Roman" w:cs="Times New Roman"/>
          <w:sz w:val="24"/>
          <w:szCs w:val="24"/>
        </w:rPr>
        <w:t> </w:t>
      </w:r>
      <w:r w:rsidRPr="00A07F29">
        <w:rPr>
          <w:rFonts w:ascii="Times New Roman" w:eastAsia="Times New Roman" w:hAnsi="Times New Roman" w:cs="Times New Roman"/>
          <w:sz w:val="24"/>
          <w:szCs w:val="24"/>
        </w:rPr>
        <w:t xml:space="preserve">gadā uzskaites maršrutos un no novērošanas punktiem veica Gaidis </w:t>
      </w:r>
      <w:proofErr w:type="spellStart"/>
      <w:r w:rsidRPr="00A07F29">
        <w:rPr>
          <w:rFonts w:ascii="Times New Roman" w:eastAsia="Times New Roman" w:hAnsi="Times New Roman" w:cs="Times New Roman"/>
          <w:sz w:val="24"/>
          <w:szCs w:val="24"/>
        </w:rPr>
        <w:t>Grandāns</w:t>
      </w:r>
      <w:proofErr w:type="spellEnd"/>
      <w:r w:rsidRPr="00A07F29">
        <w:rPr>
          <w:rFonts w:ascii="Times New Roman" w:eastAsia="Times New Roman" w:hAnsi="Times New Roman" w:cs="Times New Roman"/>
          <w:sz w:val="24"/>
          <w:szCs w:val="24"/>
        </w:rPr>
        <w:t xml:space="preserve"> un Andris </w:t>
      </w:r>
      <w:proofErr w:type="spellStart"/>
      <w:r w:rsidRPr="00A07F29">
        <w:rPr>
          <w:rFonts w:ascii="Times New Roman" w:eastAsia="Times New Roman" w:hAnsi="Times New Roman" w:cs="Times New Roman"/>
          <w:sz w:val="24"/>
          <w:szCs w:val="24"/>
        </w:rPr>
        <w:t>Erts</w:t>
      </w:r>
      <w:proofErr w:type="spellEnd"/>
      <w:r w:rsidRPr="00A07F29">
        <w:rPr>
          <w:rFonts w:ascii="Times New Roman" w:eastAsia="Times New Roman" w:hAnsi="Times New Roman" w:cs="Times New Roman"/>
          <w:sz w:val="24"/>
          <w:szCs w:val="24"/>
        </w:rPr>
        <w:t xml:space="preserve"> (vakarlēpis: 02.07.2012.; grieze: 06.</w:t>
      </w:r>
      <w:r w:rsidR="00352440">
        <w:rPr>
          <w:rFonts w:ascii="Times New Roman" w:eastAsia="Times New Roman" w:hAnsi="Times New Roman" w:cs="Times New Roman"/>
          <w:sz w:val="24"/>
          <w:szCs w:val="24"/>
        </w:rPr>
        <w:t> – </w:t>
      </w:r>
      <w:r w:rsidRPr="00A07F29">
        <w:rPr>
          <w:rFonts w:ascii="Times New Roman" w:eastAsia="Times New Roman" w:hAnsi="Times New Roman" w:cs="Times New Roman"/>
          <w:sz w:val="24"/>
          <w:szCs w:val="24"/>
        </w:rPr>
        <w:t>07.07.2012.; brūnā čakste, sila cīrulis: 03.</w:t>
      </w:r>
      <w:r w:rsidR="00352440">
        <w:rPr>
          <w:rFonts w:ascii="Times New Roman" w:eastAsia="Times New Roman" w:hAnsi="Times New Roman" w:cs="Times New Roman"/>
          <w:sz w:val="24"/>
          <w:szCs w:val="24"/>
        </w:rPr>
        <w:t> – </w:t>
      </w:r>
      <w:r w:rsidRPr="00A07F29">
        <w:rPr>
          <w:rFonts w:ascii="Times New Roman" w:eastAsia="Times New Roman" w:hAnsi="Times New Roman" w:cs="Times New Roman"/>
          <w:sz w:val="24"/>
          <w:szCs w:val="24"/>
        </w:rPr>
        <w:t>04.07.</w:t>
      </w:r>
      <w:r w:rsidR="00352440">
        <w:rPr>
          <w:rFonts w:ascii="Times New Roman" w:eastAsia="Times New Roman" w:hAnsi="Times New Roman" w:cs="Times New Roman"/>
          <w:sz w:val="24"/>
          <w:szCs w:val="24"/>
        </w:rPr>
        <w:t>2012.</w:t>
      </w:r>
      <w:r w:rsidRPr="00A07F29">
        <w:rPr>
          <w:rFonts w:ascii="Times New Roman" w:eastAsia="Times New Roman" w:hAnsi="Times New Roman" w:cs="Times New Roman"/>
          <w:sz w:val="24"/>
          <w:szCs w:val="24"/>
        </w:rPr>
        <w:t>; melnā klija: 05.07.</w:t>
      </w:r>
      <w:r w:rsidR="00352440">
        <w:rPr>
          <w:rFonts w:ascii="Times New Roman" w:eastAsia="Times New Roman" w:hAnsi="Times New Roman" w:cs="Times New Roman"/>
          <w:sz w:val="24"/>
          <w:szCs w:val="24"/>
        </w:rPr>
        <w:t>2012.</w:t>
      </w:r>
      <w:r w:rsidRPr="00A07F29">
        <w:rPr>
          <w:rFonts w:ascii="Times New Roman" w:eastAsia="Times New Roman" w:hAnsi="Times New Roman" w:cs="Times New Roman"/>
          <w:sz w:val="24"/>
          <w:szCs w:val="24"/>
        </w:rPr>
        <w:t>). Pēc papildinātas metodikas (Lebuss</w:t>
      </w:r>
      <w:r w:rsidR="00DB5246">
        <w:rPr>
          <w:rFonts w:ascii="Times New Roman" w:eastAsia="Times New Roman" w:hAnsi="Times New Roman" w:cs="Times New Roman"/>
          <w:sz w:val="24"/>
          <w:szCs w:val="24"/>
        </w:rPr>
        <w:t xml:space="preserve"> R.,</w:t>
      </w:r>
      <w:r w:rsidRPr="00A07F29">
        <w:rPr>
          <w:rFonts w:ascii="Times New Roman" w:eastAsia="Times New Roman" w:hAnsi="Times New Roman" w:cs="Times New Roman"/>
          <w:sz w:val="24"/>
          <w:szCs w:val="24"/>
        </w:rPr>
        <w:t xml:space="preserve"> 2013) veiktas agri pavasarī aktīvo sugu (</w:t>
      </w:r>
      <w:proofErr w:type="spellStart"/>
      <w:r w:rsidRPr="00A07F29">
        <w:rPr>
          <w:rFonts w:ascii="Times New Roman" w:eastAsia="Times New Roman" w:hAnsi="Times New Roman" w:cs="Times New Roman"/>
          <w:sz w:val="24"/>
          <w:szCs w:val="24"/>
        </w:rPr>
        <w:t>dzeņveidīgie</w:t>
      </w:r>
      <w:proofErr w:type="spellEnd"/>
      <w:r w:rsidRPr="00A07F29">
        <w:rPr>
          <w:rFonts w:ascii="Times New Roman" w:eastAsia="Times New Roman" w:hAnsi="Times New Roman" w:cs="Times New Roman"/>
          <w:sz w:val="24"/>
          <w:szCs w:val="24"/>
        </w:rPr>
        <w:t>, apodziņš, mežirbe) uzskaites ar provocēšanu (29.</w:t>
      </w:r>
      <w:r w:rsidR="00C84744">
        <w:rPr>
          <w:rFonts w:ascii="Times New Roman" w:eastAsia="Times New Roman" w:hAnsi="Times New Roman" w:cs="Times New Roman"/>
          <w:sz w:val="24"/>
          <w:szCs w:val="24"/>
        </w:rPr>
        <w:t> – </w:t>
      </w:r>
      <w:r w:rsidRPr="00A07F29">
        <w:rPr>
          <w:rFonts w:ascii="Times New Roman" w:eastAsia="Times New Roman" w:hAnsi="Times New Roman" w:cs="Times New Roman"/>
          <w:sz w:val="24"/>
          <w:szCs w:val="24"/>
        </w:rPr>
        <w:t xml:space="preserve">30.03.2014.). Nevienā no uzskaišu periodiem nav veiktas atkārtotas uzskaites vienas sezonas ietvaros, kā arī uzskaites veiktas ar atšķirīgām metodēm un nav standartizētas. Šajā programmā realizētās putnu uzskaites ļauj spriest par aptuveniem </w:t>
      </w:r>
      <w:r w:rsidRPr="00B13A86">
        <w:rPr>
          <w:rFonts w:ascii="Times New Roman" w:eastAsia="Times New Roman" w:hAnsi="Times New Roman" w:cs="Times New Roman"/>
          <w:sz w:val="24"/>
          <w:szCs w:val="24"/>
        </w:rPr>
        <w:t>īpaši aizsargājamo putnu</w:t>
      </w:r>
      <w:r w:rsidRPr="00A07F29">
        <w:rPr>
          <w:rFonts w:ascii="Times New Roman" w:eastAsia="Times New Roman" w:hAnsi="Times New Roman" w:cs="Times New Roman"/>
          <w:sz w:val="24"/>
          <w:szCs w:val="24"/>
        </w:rPr>
        <w:t xml:space="preserve"> sugu populāciju vērtējumiem, bet dati nav izmantojami populāciju skaita izmaiņu tendenču noteikšanai. 2009. un 2012.</w:t>
      </w:r>
      <w:r w:rsidR="00314F43">
        <w:rPr>
          <w:rFonts w:ascii="Times New Roman" w:eastAsia="Times New Roman" w:hAnsi="Times New Roman" w:cs="Times New Roman"/>
          <w:sz w:val="24"/>
          <w:szCs w:val="24"/>
        </w:rPr>
        <w:t> </w:t>
      </w:r>
      <w:r w:rsidRPr="00A07F29">
        <w:rPr>
          <w:rFonts w:ascii="Times New Roman" w:eastAsia="Times New Roman" w:hAnsi="Times New Roman" w:cs="Times New Roman"/>
          <w:sz w:val="24"/>
          <w:szCs w:val="24"/>
        </w:rPr>
        <w:t xml:space="preserve">gadā veikto uzskaišu rezultāti nav </w:t>
      </w:r>
      <w:proofErr w:type="spellStart"/>
      <w:r w:rsidRPr="00A07F29">
        <w:rPr>
          <w:rFonts w:ascii="Times New Roman" w:eastAsia="Times New Roman" w:hAnsi="Times New Roman" w:cs="Times New Roman"/>
          <w:sz w:val="24"/>
          <w:szCs w:val="24"/>
        </w:rPr>
        <w:t>digit</w:t>
      </w:r>
      <w:r w:rsidR="00314F43">
        <w:rPr>
          <w:rFonts w:ascii="Times New Roman" w:eastAsia="Times New Roman" w:hAnsi="Times New Roman" w:cs="Times New Roman"/>
          <w:sz w:val="24"/>
          <w:szCs w:val="24"/>
        </w:rPr>
        <w:t>al</w:t>
      </w:r>
      <w:r w:rsidRPr="00A07F29">
        <w:rPr>
          <w:rFonts w:ascii="Times New Roman" w:eastAsia="Times New Roman" w:hAnsi="Times New Roman" w:cs="Times New Roman"/>
          <w:sz w:val="24"/>
          <w:szCs w:val="24"/>
        </w:rPr>
        <w:t>izēti</w:t>
      </w:r>
      <w:proofErr w:type="spellEnd"/>
      <w:r w:rsidRPr="00A07F29">
        <w:rPr>
          <w:rFonts w:ascii="Times New Roman" w:eastAsia="Times New Roman" w:hAnsi="Times New Roman" w:cs="Times New Roman"/>
          <w:sz w:val="24"/>
          <w:szCs w:val="24"/>
        </w:rPr>
        <w:t xml:space="preserve"> </w:t>
      </w:r>
      <w:r w:rsidR="00B13A86" w:rsidRPr="00B13A86">
        <w:rPr>
          <w:rFonts w:ascii="Times New Roman" w:eastAsia="Times New Roman" w:hAnsi="Times New Roman" w:cs="Times New Roman"/>
          <w:sz w:val="24"/>
          <w:szCs w:val="24"/>
        </w:rPr>
        <w:t>DDPS</w:t>
      </w:r>
      <w:r w:rsidRPr="00B13A86">
        <w:rPr>
          <w:rFonts w:ascii="Times New Roman" w:eastAsia="Times New Roman" w:hAnsi="Times New Roman" w:cs="Times New Roman"/>
          <w:sz w:val="24"/>
          <w:szCs w:val="24"/>
        </w:rPr>
        <w:t xml:space="preserve"> “Ozols”.</w:t>
      </w:r>
    </w:p>
    <w:p w14:paraId="17D00F87" w14:textId="14015E22" w:rsidR="009A4BC5" w:rsidRPr="00A07F29" w:rsidRDefault="009A4BC5" w:rsidP="009A4BC5">
      <w:pPr>
        <w:spacing w:after="120" w:line="240" w:lineRule="auto"/>
        <w:ind w:firstLine="851"/>
        <w:jc w:val="both"/>
        <w:rPr>
          <w:rFonts w:ascii="Times New Roman" w:eastAsia="Times New Roman" w:hAnsi="Times New Roman" w:cs="Times New Roman"/>
          <w:sz w:val="24"/>
          <w:szCs w:val="24"/>
        </w:rPr>
      </w:pPr>
      <w:r w:rsidRPr="00A07F29">
        <w:rPr>
          <w:rFonts w:ascii="Times New Roman" w:eastAsia="Times New Roman" w:hAnsi="Times New Roman" w:cs="Times New Roman"/>
          <w:sz w:val="24"/>
          <w:szCs w:val="24"/>
        </w:rPr>
        <w:lastRenderedPageBreak/>
        <w:t xml:space="preserve">Projekta </w:t>
      </w:r>
      <w:r w:rsidR="00314F43">
        <w:rPr>
          <w:rFonts w:ascii="Times New Roman" w:eastAsia="Times New Roman" w:hAnsi="Times New Roman" w:cs="Times New Roman"/>
          <w:sz w:val="24"/>
          <w:szCs w:val="24"/>
        </w:rPr>
        <w:t>“</w:t>
      </w:r>
      <w:r w:rsidRPr="00A07F29">
        <w:rPr>
          <w:rFonts w:ascii="Times New Roman" w:eastAsia="Times New Roman" w:hAnsi="Times New Roman" w:cs="Times New Roman"/>
          <w:bCs/>
          <w:sz w:val="24"/>
          <w:szCs w:val="24"/>
          <w:shd w:val="clear" w:color="auto" w:fill="FFFFFF"/>
        </w:rPr>
        <w:t xml:space="preserve">Pārrobežu aizsargājamās dabas teritorijas </w:t>
      </w:r>
      <w:r w:rsidRPr="00A07F29">
        <w:rPr>
          <w:rFonts w:ascii="Times New Roman" w:eastAsia="Times New Roman" w:hAnsi="Times New Roman" w:cs="Times New Roman"/>
          <w:bCs/>
          <w:i/>
          <w:sz w:val="24"/>
          <w:szCs w:val="24"/>
          <w:shd w:val="clear" w:color="auto" w:fill="FFFFFF"/>
        </w:rPr>
        <w:t>Augšdaugava-Braslavas ezeri</w:t>
      </w:r>
      <w:r w:rsidRPr="00A07F29">
        <w:rPr>
          <w:rFonts w:ascii="Times New Roman" w:eastAsia="Times New Roman" w:hAnsi="Times New Roman" w:cs="Times New Roman"/>
          <w:bCs/>
          <w:sz w:val="24"/>
          <w:szCs w:val="24"/>
          <w:shd w:val="clear" w:color="auto" w:fill="FFFFFF"/>
        </w:rPr>
        <w:t xml:space="preserve"> izveide un priekšnoteikumu radīšana tās integrētai pārvaldība” ietvaros 2014.</w:t>
      </w:r>
      <w:r w:rsidR="008D46D1">
        <w:rPr>
          <w:rFonts w:ascii="Times New Roman" w:eastAsia="Times New Roman" w:hAnsi="Times New Roman" w:cs="Times New Roman"/>
          <w:bCs/>
          <w:sz w:val="24"/>
          <w:szCs w:val="24"/>
          <w:shd w:val="clear" w:color="auto" w:fill="FFFFFF"/>
        </w:rPr>
        <w:t> </w:t>
      </w:r>
      <w:r w:rsidRPr="00A07F29">
        <w:rPr>
          <w:rFonts w:ascii="Times New Roman" w:eastAsia="Times New Roman" w:hAnsi="Times New Roman" w:cs="Times New Roman"/>
          <w:bCs/>
          <w:sz w:val="24"/>
          <w:szCs w:val="24"/>
          <w:shd w:val="clear" w:color="auto" w:fill="FFFFFF"/>
        </w:rPr>
        <w:t xml:space="preserve">gadā tika apzināta teritorijas </w:t>
      </w:r>
      <w:proofErr w:type="spellStart"/>
      <w:r w:rsidRPr="00A07F29">
        <w:rPr>
          <w:rFonts w:ascii="Times New Roman" w:eastAsia="Times New Roman" w:hAnsi="Times New Roman" w:cs="Times New Roman"/>
          <w:bCs/>
          <w:sz w:val="24"/>
          <w:szCs w:val="24"/>
          <w:shd w:val="clear" w:color="auto" w:fill="FFFFFF"/>
        </w:rPr>
        <w:t>ornitofauna</w:t>
      </w:r>
      <w:proofErr w:type="spellEnd"/>
      <w:r w:rsidRPr="00A07F29">
        <w:rPr>
          <w:rFonts w:ascii="Times New Roman" w:eastAsia="Times New Roman" w:hAnsi="Times New Roman" w:cs="Times New Roman"/>
          <w:bCs/>
          <w:sz w:val="24"/>
          <w:szCs w:val="24"/>
          <w:shd w:val="clear" w:color="auto" w:fill="FFFFFF"/>
        </w:rPr>
        <w:t>. Šo uzskaišu laikā</w:t>
      </w:r>
      <w:r w:rsidRPr="00A07F29">
        <w:rPr>
          <w:rFonts w:ascii="Times New Roman" w:eastAsia="Times New Roman" w:hAnsi="Times New Roman" w:cs="Times New Roman"/>
          <w:sz w:val="24"/>
          <w:szCs w:val="24"/>
        </w:rPr>
        <w:t xml:space="preserve"> lielākā uzmanība pievērsta tieši AAA </w:t>
      </w:r>
      <w:r w:rsidR="008D46D1">
        <w:rPr>
          <w:rFonts w:ascii="Times New Roman" w:eastAsia="Times New Roman" w:hAnsi="Times New Roman" w:cs="Times New Roman"/>
          <w:sz w:val="24"/>
          <w:szCs w:val="24"/>
        </w:rPr>
        <w:t>“</w:t>
      </w:r>
      <w:r w:rsidRPr="00A07F29">
        <w:rPr>
          <w:rFonts w:ascii="Times New Roman" w:eastAsia="Times New Roman" w:hAnsi="Times New Roman" w:cs="Times New Roman"/>
          <w:sz w:val="24"/>
          <w:szCs w:val="24"/>
        </w:rPr>
        <w:t xml:space="preserve">Augšdaugava” teritorijai ārpus DP </w:t>
      </w:r>
      <w:r w:rsidR="008D46D1">
        <w:rPr>
          <w:rFonts w:ascii="Times New Roman" w:eastAsia="Times New Roman" w:hAnsi="Times New Roman" w:cs="Times New Roman"/>
          <w:sz w:val="24"/>
          <w:szCs w:val="24"/>
        </w:rPr>
        <w:t>“</w:t>
      </w:r>
      <w:r w:rsidRPr="00A07F29">
        <w:rPr>
          <w:rFonts w:ascii="Times New Roman" w:eastAsia="Times New Roman" w:hAnsi="Times New Roman" w:cs="Times New Roman"/>
          <w:sz w:val="24"/>
          <w:szCs w:val="24"/>
        </w:rPr>
        <w:t>Daugavas loki”. 2014.</w:t>
      </w:r>
      <w:r w:rsidR="008D46D1">
        <w:rPr>
          <w:rFonts w:ascii="Times New Roman" w:eastAsia="Times New Roman" w:hAnsi="Times New Roman" w:cs="Times New Roman"/>
          <w:sz w:val="24"/>
          <w:szCs w:val="24"/>
        </w:rPr>
        <w:t> </w:t>
      </w:r>
      <w:r w:rsidRPr="00A07F29">
        <w:rPr>
          <w:rFonts w:ascii="Times New Roman" w:eastAsia="Times New Roman" w:hAnsi="Times New Roman" w:cs="Times New Roman"/>
          <w:sz w:val="24"/>
          <w:szCs w:val="24"/>
        </w:rPr>
        <w:t xml:space="preserve">gada martā un aprīlī veiktas vairākas ekspedīcijas, lai noskaidrotu agri ligzdojošo </w:t>
      </w:r>
      <w:r w:rsidRPr="00B13A86">
        <w:rPr>
          <w:rFonts w:ascii="Times New Roman" w:eastAsia="Times New Roman" w:hAnsi="Times New Roman" w:cs="Times New Roman"/>
          <w:sz w:val="24"/>
          <w:szCs w:val="24"/>
        </w:rPr>
        <w:t>īpaši aizsargājamo</w:t>
      </w:r>
      <w:r w:rsidRPr="00A07F29">
        <w:rPr>
          <w:rFonts w:ascii="Times New Roman" w:eastAsia="Times New Roman" w:hAnsi="Times New Roman" w:cs="Times New Roman"/>
          <w:sz w:val="24"/>
          <w:szCs w:val="24"/>
        </w:rPr>
        <w:t xml:space="preserve"> putnu izplatību. Vadoties pēc mežaudžu plānu informācijas, apsekotas vecākās mežaudzes, kur ar provocēšanas metodi veikta </w:t>
      </w:r>
      <w:proofErr w:type="spellStart"/>
      <w:r w:rsidRPr="00A07F29">
        <w:rPr>
          <w:rFonts w:ascii="Times New Roman" w:eastAsia="Times New Roman" w:hAnsi="Times New Roman" w:cs="Times New Roman"/>
          <w:sz w:val="24"/>
          <w:szCs w:val="24"/>
        </w:rPr>
        <w:t>dzeņveidīgo</w:t>
      </w:r>
      <w:proofErr w:type="spellEnd"/>
      <w:r w:rsidRPr="00A07F29">
        <w:rPr>
          <w:rFonts w:ascii="Times New Roman" w:eastAsia="Times New Roman" w:hAnsi="Times New Roman" w:cs="Times New Roman"/>
          <w:sz w:val="24"/>
          <w:szCs w:val="24"/>
        </w:rPr>
        <w:t xml:space="preserve"> putnu (</w:t>
      </w:r>
      <w:proofErr w:type="spellStart"/>
      <w:r w:rsidRPr="00A07F29">
        <w:rPr>
          <w:rFonts w:ascii="Times New Roman" w:eastAsia="Times New Roman" w:hAnsi="Times New Roman" w:cs="Times New Roman"/>
          <w:sz w:val="24"/>
          <w:szCs w:val="24"/>
        </w:rPr>
        <w:t>baltmugurdzenis</w:t>
      </w:r>
      <w:proofErr w:type="spellEnd"/>
      <w:r w:rsidRPr="00A07F29">
        <w:rPr>
          <w:rFonts w:ascii="Times New Roman" w:eastAsia="Times New Roman" w:hAnsi="Times New Roman" w:cs="Times New Roman"/>
          <w:sz w:val="24"/>
          <w:szCs w:val="24"/>
        </w:rPr>
        <w:t xml:space="preserve">, </w:t>
      </w:r>
      <w:proofErr w:type="spellStart"/>
      <w:r w:rsidRPr="00A07F29">
        <w:rPr>
          <w:rFonts w:ascii="Times New Roman" w:eastAsia="Times New Roman" w:hAnsi="Times New Roman" w:cs="Times New Roman"/>
          <w:sz w:val="24"/>
          <w:szCs w:val="24"/>
        </w:rPr>
        <w:t>trīspirkstu</w:t>
      </w:r>
      <w:proofErr w:type="spellEnd"/>
      <w:r w:rsidRPr="00A07F29">
        <w:rPr>
          <w:rFonts w:ascii="Times New Roman" w:eastAsia="Times New Roman" w:hAnsi="Times New Roman" w:cs="Times New Roman"/>
          <w:sz w:val="24"/>
          <w:szCs w:val="24"/>
        </w:rPr>
        <w:t xml:space="preserve"> dzenis, vidējais dzenis, pelēkā dzilna) un pūču (apodziņš, </w:t>
      </w:r>
      <w:proofErr w:type="spellStart"/>
      <w:r w:rsidRPr="00A07F29">
        <w:rPr>
          <w:rFonts w:ascii="Times New Roman" w:eastAsia="Times New Roman" w:hAnsi="Times New Roman" w:cs="Times New Roman"/>
          <w:sz w:val="24"/>
          <w:szCs w:val="24"/>
        </w:rPr>
        <w:t>urālpūce</w:t>
      </w:r>
      <w:proofErr w:type="spellEnd"/>
      <w:r w:rsidRPr="00A07F29">
        <w:rPr>
          <w:rFonts w:ascii="Times New Roman" w:eastAsia="Times New Roman" w:hAnsi="Times New Roman" w:cs="Times New Roman"/>
          <w:sz w:val="24"/>
          <w:szCs w:val="24"/>
        </w:rPr>
        <w:t xml:space="preserve">, bikšainais apogs) inventarizācija. Uzskaites veica Gaidis </w:t>
      </w:r>
      <w:proofErr w:type="spellStart"/>
      <w:r w:rsidRPr="00A07F29">
        <w:rPr>
          <w:rFonts w:ascii="Times New Roman" w:eastAsia="Times New Roman" w:hAnsi="Times New Roman" w:cs="Times New Roman"/>
          <w:sz w:val="24"/>
          <w:szCs w:val="24"/>
        </w:rPr>
        <w:t>Grandāns</w:t>
      </w:r>
      <w:proofErr w:type="spellEnd"/>
      <w:r w:rsidRPr="00A07F29">
        <w:rPr>
          <w:rFonts w:ascii="Times New Roman" w:eastAsia="Times New Roman" w:hAnsi="Times New Roman" w:cs="Times New Roman"/>
          <w:sz w:val="24"/>
          <w:szCs w:val="24"/>
        </w:rPr>
        <w:t>, piedaloties putnu izpētes entuziastiem</w:t>
      </w:r>
      <w:r w:rsidR="00991E9C">
        <w:rPr>
          <w:rFonts w:ascii="Times New Roman" w:eastAsia="Times New Roman" w:hAnsi="Times New Roman" w:cs="Times New Roman"/>
          <w:sz w:val="24"/>
          <w:szCs w:val="24"/>
        </w:rPr>
        <w:t>:</w:t>
      </w:r>
      <w:r w:rsidRPr="00A07F29">
        <w:rPr>
          <w:rFonts w:ascii="Times New Roman" w:eastAsia="Times New Roman" w:hAnsi="Times New Roman" w:cs="Times New Roman"/>
          <w:sz w:val="24"/>
          <w:szCs w:val="24"/>
        </w:rPr>
        <w:t xml:space="preserve"> Andrim </w:t>
      </w:r>
      <w:proofErr w:type="spellStart"/>
      <w:r w:rsidRPr="00A07F29">
        <w:rPr>
          <w:rFonts w:ascii="Times New Roman" w:eastAsia="Times New Roman" w:hAnsi="Times New Roman" w:cs="Times New Roman"/>
          <w:sz w:val="24"/>
          <w:szCs w:val="24"/>
        </w:rPr>
        <w:t>Ertam</w:t>
      </w:r>
      <w:proofErr w:type="spellEnd"/>
      <w:r w:rsidRPr="00A07F29">
        <w:rPr>
          <w:rFonts w:ascii="Times New Roman" w:eastAsia="Times New Roman" w:hAnsi="Times New Roman" w:cs="Times New Roman"/>
          <w:sz w:val="24"/>
          <w:szCs w:val="24"/>
        </w:rPr>
        <w:t>, Uldi</w:t>
      </w:r>
      <w:r w:rsidR="00991E9C">
        <w:rPr>
          <w:rFonts w:ascii="Times New Roman" w:eastAsia="Times New Roman" w:hAnsi="Times New Roman" w:cs="Times New Roman"/>
          <w:sz w:val="24"/>
          <w:szCs w:val="24"/>
        </w:rPr>
        <w:t>m</w:t>
      </w:r>
      <w:r w:rsidRPr="00A07F29">
        <w:rPr>
          <w:rFonts w:ascii="Times New Roman" w:eastAsia="Times New Roman" w:hAnsi="Times New Roman" w:cs="Times New Roman"/>
          <w:sz w:val="24"/>
          <w:szCs w:val="24"/>
        </w:rPr>
        <w:t xml:space="preserve"> </w:t>
      </w:r>
      <w:proofErr w:type="spellStart"/>
      <w:r w:rsidRPr="00A07F29">
        <w:rPr>
          <w:rFonts w:ascii="Times New Roman" w:eastAsia="Times New Roman" w:hAnsi="Times New Roman" w:cs="Times New Roman"/>
          <w:sz w:val="24"/>
          <w:szCs w:val="24"/>
        </w:rPr>
        <w:t>Ļoļānam</w:t>
      </w:r>
      <w:proofErr w:type="spellEnd"/>
      <w:r w:rsidRPr="00A07F29">
        <w:rPr>
          <w:rFonts w:ascii="Times New Roman" w:eastAsia="Times New Roman" w:hAnsi="Times New Roman" w:cs="Times New Roman"/>
          <w:sz w:val="24"/>
          <w:szCs w:val="24"/>
        </w:rPr>
        <w:t xml:space="preserve"> un Vitālijam Ignatjevam. </w:t>
      </w:r>
    </w:p>
    <w:p w14:paraId="23F066D7" w14:textId="0401536C" w:rsidR="009A4BC5" w:rsidRPr="00A07F29" w:rsidRDefault="00F11A62" w:rsidP="009A4BC5">
      <w:pPr>
        <w:spacing w:after="12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Projekta “</w:t>
      </w:r>
      <w:r w:rsidR="009A4BC5" w:rsidRPr="00A07F29">
        <w:rPr>
          <w:rFonts w:ascii="Times New Roman" w:eastAsia="Times New Roman" w:hAnsi="Times New Roman" w:cs="Times New Roman"/>
          <w:sz w:val="24"/>
          <w:szCs w:val="24"/>
        </w:rPr>
        <w:t>Eiropas ligzdojošo putnu atlant</w:t>
      </w:r>
      <w:r>
        <w:rPr>
          <w:rFonts w:ascii="Times New Roman" w:eastAsia="Times New Roman" w:hAnsi="Times New Roman" w:cs="Times New Roman"/>
          <w:sz w:val="24"/>
          <w:szCs w:val="24"/>
        </w:rPr>
        <w:t>s”</w:t>
      </w:r>
      <w:r w:rsidR="00E7097D">
        <w:rPr>
          <w:rStyle w:val="FootnoteReference"/>
          <w:rFonts w:ascii="Times New Roman" w:eastAsia="Times New Roman" w:hAnsi="Times New Roman" w:cs="Times New Roman"/>
          <w:sz w:val="24"/>
          <w:szCs w:val="24"/>
        </w:rPr>
        <w:footnoteReference w:id="43"/>
      </w:r>
      <w:r w:rsidR="009A4BC5" w:rsidRPr="00A07F29">
        <w:rPr>
          <w:rFonts w:ascii="Times New Roman" w:eastAsia="Times New Roman" w:hAnsi="Times New Roman" w:cs="Times New Roman"/>
          <w:sz w:val="24"/>
          <w:szCs w:val="24"/>
        </w:rPr>
        <w:t xml:space="preserve"> laikā (2013</w:t>
      </w:r>
      <w:r w:rsidR="008E2B43">
        <w:rPr>
          <w:rFonts w:ascii="Times New Roman" w:eastAsia="Times New Roman" w:hAnsi="Times New Roman" w:cs="Times New Roman"/>
          <w:sz w:val="24"/>
          <w:szCs w:val="24"/>
        </w:rPr>
        <w:t> – </w:t>
      </w:r>
      <w:r w:rsidR="009A4BC5" w:rsidRPr="00A07F29">
        <w:rPr>
          <w:rFonts w:ascii="Times New Roman" w:eastAsia="Times New Roman" w:hAnsi="Times New Roman" w:cs="Times New Roman"/>
          <w:sz w:val="24"/>
          <w:szCs w:val="24"/>
        </w:rPr>
        <w:t xml:space="preserve">2017) gadījuma ziņas par teritorijas </w:t>
      </w:r>
      <w:proofErr w:type="spellStart"/>
      <w:r w:rsidR="009A4BC5" w:rsidRPr="00A07F29">
        <w:rPr>
          <w:rFonts w:ascii="Times New Roman" w:eastAsia="Times New Roman" w:hAnsi="Times New Roman" w:cs="Times New Roman"/>
          <w:sz w:val="24"/>
          <w:szCs w:val="24"/>
        </w:rPr>
        <w:t>ornitofaunu</w:t>
      </w:r>
      <w:proofErr w:type="spellEnd"/>
      <w:r w:rsidR="009A4BC5" w:rsidRPr="00A07F29">
        <w:rPr>
          <w:rFonts w:ascii="Times New Roman" w:eastAsia="Times New Roman" w:hAnsi="Times New Roman" w:cs="Times New Roman"/>
          <w:sz w:val="24"/>
          <w:szCs w:val="24"/>
        </w:rPr>
        <w:t xml:space="preserve"> ievākuši Juris </w:t>
      </w:r>
      <w:proofErr w:type="spellStart"/>
      <w:r w:rsidR="009A4BC5" w:rsidRPr="00A07F29">
        <w:rPr>
          <w:rFonts w:ascii="Times New Roman" w:eastAsia="Times New Roman" w:hAnsi="Times New Roman" w:cs="Times New Roman"/>
          <w:sz w:val="24"/>
          <w:szCs w:val="24"/>
        </w:rPr>
        <w:t>Vīgulis</w:t>
      </w:r>
      <w:proofErr w:type="spellEnd"/>
      <w:r w:rsidR="009A4BC5" w:rsidRPr="00A07F29">
        <w:rPr>
          <w:rFonts w:ascii="Times New Roman" w:eastAsia="Times New Roman" w:hAnsi="Times New Roman" w:cs="Times New Roman"/>
          <w:sz w:val="24"/>
          <w:szCs w:val="24"/>
        </w:rPr>
        <w:t xml:space="preserve">, Andris </w:t>
      </w:r>
      <w:proofErr w:type="spellStart"/>
      <w:r w:rsidR="009A4BC5" w:rsidRPr="00A07F29">
        <w:rPr>
          <w:rFonts w:ascii="Times New Roman" w:eastAsia="Times New Roman" w:hAnsi="Times New Roman" w:cs="Times New Roman"/>
          <w:sz w:val="24"/>
          <w:szCs w:val="24"/>
        </w:rPr>
        <w:t>Klepers</w:t>
      </w:r>
      <w:proofErr w:type="spellEnd"/>
      <w:r w:rsidR="009A4BC5" w:rsidRPr="00A07F29">
        <w:rPr>
          <w:rFonts w:ascii="Times New Roman" w:eastAsia="Times New Roman" w:hAnsi="Times New Roman" w:cs="Times New Roman"/>
          <w:sz w:val="24"/>
          <w:szCs w:val="24"/>
        </w:rPr>
        <w:t xml:space="preserve">, Imants Jakovļevs, Mārcis Tīrums, Sandra </w:t>
      </w:r>
      <w:proofErr w:type="spellStart"/>
      <w:r w:rsidR="009A4BC5" w:rsidRPr="00A07F29">
        <w:rPr>
          <w:rFonts w:ascii="Times New Roman" w:eastAsia="Times New Roman" w:hAnsi="Times New Roman" w:cs="Times New Roman"/>
          <w:sz w:val="24"/>
          <w:szCs w:val="24"/>
        </w:rPr>
        <w:t>Platniece</w:t>
      </w:r>
      <w:proofErr w:type="spellEnd"/>
      <w:r w:rsidR="009A4BC5" w:rsidRPr="00A07F29">
        <w:rPr>
          <w:rFonts w:ascii="Times New Roman" w:eastAsia="Times New Roman" w:hAnsi="Times New Roman" w:cs="Times New Roman"/>
          <w:sz w:val="24"/>
          <w:szCs w:val="24"/>
        </w:rPr>
        <w:t xml:space="preserve">, Guna Roze, Ieva </w:t>
      </w:r>
      <w:proofErr w:type="spellStart"/>
      <w:r w:rsidR="009A4BC5" w:rsidRPr="00A07F29">
        <w:rPr>
          <w:rFonts w:ascii="Times New Roman" w:eastAsia="Times New Roman" w:hAnsi="Times New Roman" w:cs="Times New Roman"/>
          <w:sz w:val="24"/>
          <w:szCs w:val="24"/>
        </w:rPr>
        <w:t>Mārdega</w:t>
      </w:r>
      <w:proofErr w:type="spellEnd"/>
      <w:r w:rsidR="009A4BC5" w:rsidRPr="00A07F29">
        <w:rPr>
          <w:rFonts w:ascii="Times New Roman" w:eastAsia="Times New Roman" w:hAnsi="Times New Roman" w:cs="Times New Roman"/>
          <w:sz w:val="24"/>
          <w:szCs w:val="24"/>
        </w:rPr>
        <w:t xml:space="preserve">, Edgars </w:t>
      </w:r>
      <w:proofErr w:type="spellStart"/>
      <w:r w:rsidR="009A4BC5" w:rsidRPr="00A07F29">
        <w:rPr>
          <w:rFonts w:ascii="Times New Roman" w:eastAsia="Times New Roman" w:hAnsi="Times New Roman" w:cs="Times New Roman"/>
          <w:sz w:val="24"/>
          <w:szCs w:val="24"/>
        </w:rPr>
        <w:t>Smislovs</w:t>
      </w:r>
      <w:proofErr w:type="spellEnd"/>
      <w:r w:rsidR="009A4BC5" w:rsidRPr="00A07F29">
        <w:rPr>
          <w:rFonts w:ascii="Times New Roman" w:eastAsia="Times New Roman" w:hAnsi="Times New Roman" w:cs="Times New Roman"/>
          <w:sz w:val="24"/>
          <w:szCs w:val="24"/>
        </w:rPr>
        <w:t xml:space="preserve">, Vladimirs </w:t>
      </w:r>
      <w:proofErr w:type="spellStart"/>
      <w:r w:rsidR="009A4BC5" w:rsidRPr="00A07F29">
        <w:rPr>
          <w:rFonts w:ascii="Times New Roman" w:eastAsia="Times New Roman" w:hAnsi="Times New Roman" w:cs="Times New Roman"/>
          <w:sz w:val="24"/>
          <w:szCs w:val="24"/>
        </w:rPr>
        <w:t>Smislovs</w:t>
      </w:r>
      <w:proofErr w:type="spellEnd"/>
      <w:r w:rsidR="009A4BC5" w:rsidRPr="00A07F29">
        <w:rPr>
          <w:rFonts w:ascii="Times New Roman" w:eastAsia="Times New Roman" w:hAnsi="Times New Roman" w:cs="Times New Roman"/>
          <w:sz w:val="24"/>
          <w:szCs w:val="24"/>
        </w:rPr>
        <w:t>. Šajā projektā brīvi izvēlētos maršrutos uzskaites veiktas 5</w:t>
      </w:r>
      <w:r w:rsidR="0074322B">
        <w:rPr>
          <w:rFonts w:ascii="Times New Roman" w:eastAsia="Times New Roman" w:hAnsi="Times New Roman" w:cs="Times New Roman"/>
          <w:sz w:val="24"/>
          <w:szCs w:val="24"/>
        </w:rPr>
        <w:t> </w:t>
      </w:r>
      <w:r w:rsidR="009A4BC5" w:rsidRPr="00A07F29">
        <w:rPr>
          <w:rFonts w:ascii="Times New Roman" w:eastAsia="Times New Roman" w:hAnsi="Times New Roman" w:cs="Times New Roman"/>
          <w:sz w:val="24"/>
          <w:szCs w:val="24"/>
        </w:rPr>
        <w:t>x</w:t>
      </w:r>
      <w:r w:rsidR="0074322B">
        <w:rPr>
          <w:rFonts w:ascii="Times New Roman" w:eastAsia="Times New Roman" w:hAnsi="Times New Roman" w:cs="Times New Roman"/>
          <w:sz w:val="24"/>
          <w:szCs w:val="24"/>
        </w:rPr>
        <w:t> </w:t>
      </w:r>
      <w:r w:rsidR="009A4BC5" w:rsidRPr="00A07F29">
        <w:rPr>
          <w:rFonts w:ascii="Times New Roman" w:eastAsia="Times New Roman" w:hAnsi="Times New Roman" w:cs="Times New Roman"/>
          <w:sz w:val="24"/>
          <w:szCs w:val="24"/>
        </w:rPr>
        <w:t>5</w:t>
      </w:r>
      <w:r w:rsidR="0074322B">
        <w:rPr>
          <w:rFonts w:ascii="Times New Roman" w:eastAsia="Times New Roman" w:hAnsi="Times New Roman" w:cs="Times New Roman"/>
          <w:sz w:val="24"/>
          <w:szCs w:val="24"/>
        </w:rPr>
        <w:t> </w:t>
      </w:r>
      <w:r w:rsidR="009A4BC5" w:rsidRPr="00A07F29">
        <w:rPr>
          <w:rFonts w:ascii="Times New Roman" w:eastAsia="Times New Roman" w:hAnsi="Times New Roman" w:cs="Times New Roman"/>
          <w:sz w:val="24"/>
          <w:szCs w:val="24"/>
        </w:rPr>
        <w:t xml:space="preserve">km kvadrātu tīklā, reģistrējot visas potenciāli ligzdojošās putnu sugas. Daļai </w:t>
      </w:r>
      <w:r w:rsidR="009A4BC5" w:rsidRPr="00B13A86">
        <w:rPr>
          <w:rFonts w:ascii="Times New Roman" w:eastAsia="Times New Roman" w:hAnsi="Times New Roman" w:cs="Times New Roman"/>
          <w:sz w:val="24"/>
          <w:szCs w:val="24"/>
        </w:rPr>
        <w:t>īpaši aizsargājamo</w:t>
      </w:r>
      <w:r w:rsidR="009A4BC5" w:rsidRPr="00A07F29">
        <w:rPr>
          <w:rFonts w:ascii="Times New Roman" w:eastAsia="Times New Roman" w:hAnsi="Times New Roman" w:cs="Times New Roman"/>
          <w:sz w:val="24"/>
          <w:szCs w:val="24"/>
        </w:rPr>
        <w:t xml:space="preserve"> sugu atradņu fiksētas arī precīzas vai aptuvenas koordinātes. Ir pieejamas arī gadījuma rakstura ziņas par teritorijā konstatētām </w:t>
      </w:r>
      <w:r w:rsidR="009A4BC5" w:rsidRPr="00B13A86">
        <w:rPr>
          <w:rFonts w:ascii="Times New Roman" w:eastAsia="Times New Roman" w:hAnsi="Times New Roman" w:cs="Times New Roman"/>
          <w:sz w:val="24"/>
          <w:szCs w:val="24"/>
        </w:rPr>
        <w:t>īpaši aizsargājamām</w:t>
      </w:r>
      <w:r w:rsidR="009A4BC5" w:rsidRPr="00A07F29">
        <w:rPr>
          <w:rFonts w:ascii="Times New Roman" w:eastAsia="Times New Roman" w:hAnsi="Times New Roman" w:cs="Times New Roman"/>
          <w:sz w:val="24"/>
          <w:szCs w:val="24"/>
        </w:rPr>
        <w:t xml:space="preserve"> putnu sugām</w:t>
      </w:r>
      <w:r w:rsidR="001C553E">
        <w:rPr>
          <w:rFonts w:ascii="Times New Roman" w:eastAsia="Times New Roman" w:hAnsi="Times New Roman" w:cs="Times New Roman"/>
          <w:sz w:val="24"/>
          <w:szCs w:val="24"/>
        </w:rPr>
        <w:t>,</w:t>
      </w:r>
      <w:r w:rsidR="00B5584E">
        <w:rPr>
          <w:rStyle w:val="FootnoteReference"/>
          <w:rFonts w:ascii="Times New Roman" w:eastAsia="Times New Roman" w:hAnsi="Times New Roman" w:cs="Times New Roman"/>
          <w:sz w:val="24"/>
          <w:szCs w:val="24"/>
        </w:rPr>
        <w:footnoteReference w:id="44"/>
      </w:r>
      <w:r w:rsidR="009A4BC5" w:rsidRPr="00A07F29">
        <w:rPr>
          <w:rFonts w:ascii="Times New Roman" w:eastAsia="Times New Roman" w:hAnsi="Times New Roman" w:cs="Times New Roman"/>
          <w:sz w:val="24"/>
          <w:szCs w:val="24"/>
        </w:rPr>
        <w:t xml:space="preserve"> kā arī LVM dabas ekspertu konstatētās atradnes.</w:t>
      </w:r>
    </w:p>
    <w:p w14:paraId="58A613CE" w14:textId="1247B0E2" w:rsidR="009A4BC5" w:rsidRPr="00A07F29" w:rsidRDefault="009A4BC5" w:rsidP="009A4BC5">
      <w:pPr>
        <w:spacing w:after="120" w:line="240" w:lineRule="auto"/>
        <w:ind w:firstLine="851"/>
        <w:jc w:val="both"/>
        <w:rPr>
          <w:rFonts w:ascii="Times New Roman" w:eastAsia="Times New Roman" w:hAnsi="Times New Roman" w:cs="Times New Roman"/>
          <w:sz w:val="24"/>
          <w:szCs w:val="24"/>
        </w:rPr>
      </w:pPr>
      <w:r w:rsidRPr="00A07F29">
        <w:rPr>
          <w:rFonts w:ascii="Times New Roman" w:eastAsia="Times New Roman" w:hAnsi="Times New Roman" w:cs="Times New Roman"/>
          <w:sz w:val="24"/>
          <w:szCs w:val="24"/>
        </w:rPr>
        <w:t xml:space="preserve">Viens no Latvijas ligzdojošo putnu monitoringa maršrutiem atrodas Krāslavas novada Kaplavas pagastā un uzskaites </w:t>
      </w:r>
      <w:r w:rsidR="00F765D2">
        <w:rPr>
          <w:rFonts w:ascii="Times New Roman" w:eastAsia="Times New Roman" w:hAnsi="Times New Roman" w:cs="Times New Roman"/>
          <w:sz w:val="24"/>
          <w:szCs w:val="24"/>
        </w:rPr>
        <w:t xml:space="preserve">veiktas </w:t>
      </w:r>
      <w:r w:rsidRPr="00A07F29">
        <w:rPr>
          <w:rFonts w:ascii="Times New Roman" w:eastAsia="Times New Roman" w:hAnsi="Times New Roman" w:cs="Times New Roman"/>
          <w:sz w:val="24"/>
          <w:szCs w:val="24"/>
        </w:rPr>
        <w:t>četras reizes sezonā, balstoties pēc metodikas (Auniņš</w:t>
      </w:r>
      <w:r w:rsidR="0037799F">
        <w:rPr>
          <w:rFonts w:ascii="Times New Roman" w:eastAsia="Times New Roman" w:hAnsi="Times New Roman" w:cs="Times New Roman"/>
          <w:sz w:val="24"/>
          <w:szCs w:val="24"/>
        </w:rPr>
        <w:t xml:space="preserve"> A.,</w:t>
      </w:r>
      <w:r w:rsidRPr="00A07F29">
        <w:rPr>
          <w:rFonts w:ascii="Times New Roman" w:eastAsia="Times New Roman" w:hAnsi="Times New Roman" w:cs="Times New Roman"/>
          <w:sz w:val="24"/>
          <w:szCs w:val="24"/>
        </w:rPr>
        <w:t xml:space="preserve"> 2018), veic Juris </w:t>
      </w:r>
      <w:proofErr w:type="spellStart"/>
      <w:r w:rsidRPr="00A07F29">
        <w:rPr>
          <w:rFonts w:ascii="Times New Roman" w:eastAsia="Times New Roman" w:hAnsi="Times New Roman" w:cs="Times New Roman"/>
          <w:sz w:val="24"/>
          <w:szCs w:val="24"/>
        </w:rPr>
        <w:t>Vīgulis</w:t>
      </w:r>
      <w:proofErr w:type="spellEnd"/>
      <w:r w:rsidRPr="00A07F29">
        <w:rPr>
          <w:rFonts w:ascii="Times New Roman" w:eastAsia="Times New Roman" w:hAnsi="Times New Roman" w:cs="Times New Roman"/>
          <w:sz w:val="24"/>
          <w:szCs w:val="24"/>
        </w:rPr>
        <w:t>.</w:t>
      </w:r>
    </w:p>
    <w:p w14:paraId="7652AD89" w14:textId="2C450AA3" w:rsidR="009A4BC5" w:rsidRPr="00A07F29" w:rsidRDefault="009A4BC5" w:rsidP="009A4BC5">
      <w:pPr>
        <w:spacing w:after="120" w:line="240" w:lineRule="auto"/>
        <w:ind w:firstLine="851"/>
        <w:jc w:val="both"/>
        <w:rPr>
          <w:rFonts w:ascii="Times New Roman" w:eastAsia="Times New Roman" w:hAnsi="Times New Roman" w:cs="Times New Roman"/>
          <w:sz w:val="24"/>
          <w:szCs w:val="24"/>
        </w:rPr>
      </w:pPr>
      <w:r w:rsidRPr="00A07F29">
        <w:rPr>
          <w:rFonts w:ascii="Times New Roman" w:eastAsia="Times New Roman" w:hAnsi="Times New Roman" w:cs="Times New Roman"/>
          <w:sz w:val="24"/>
          <w:szCs w:val="24"/>
        </w:rPr>
        <w:t>7.</w:t>
      </w:r>
      <w:r w:rsidR="00953165">
        <w:rPr>
          <w:rFonts w:ascii="Times New Roman" w:eastAsia="Times New Roman" w:hAnsi="Times New Roman" w:cs="Times New Roman"/>
          <w:sz w:val="24"/>
          <w:szCs w:val="24"/>
        </w:rPr>
        <w:t> </w:t>
      </w:r>
      <w:r w:rsidRPr="00A07F29">
        <w:rPr>
          <w:rFonts w:ascii="Times New Roman" w:eastAsia="Times New Roman" w:hAnsi="Times New Roman" w:cs="Times New Roman"/>
          <w:sz w:val="24"/>
          <w:szCs w:val="24"/>
        </w:rPr>
        <w:t>Starptautiskās balto stārķu uzskaites laikā 2014.</w:t>
      </w:r>
      <w:r w:rsidR="009B35BA">
        <w:rPr>
          <w:rFonts w:ascii="Times New Roman" w:eastAsia="Times New Roman" w:hAnsi="Times New Roman" w:cs="Times New Roman"/>
          <w:sz w:val="24"/>
          <w:szCs w:val="24"/>
        </w:rPr>
        <w:t> </w:t>
      </w:r>
      <w:r w:rsidRPr="00A07F29">
        <w:rPr>
          <w:rFonts w:ascii="Times New Roman" w:eastAsia="Times New Roman" w:hAnsi="Times New Roman" w:cs="Times New Roman"/>
          <w:sz w:val="24"/>
          <w:szCs w:val="24"/>
        </w:rPr>
        <w:t>gadā uzskaites koordinatori Latvijā – LOB saņēma informāciju par apdzīvotām balto stārķu</w:t>
      </w:r>
      <w:r w:rsidR="008423BD">
        <w:rPr>
          <w:rFonts w:ascii="Times New Roman" w:eastAsia="Times New Roman" w:hAnsi="Times New Roman" w:cs="Times New Roman"/>
          <w:sz w:val="24"/>
          <w:szCs w:val="24"/>
        </w:rPr>
        <w:t xml:space="preserve"> ligzdām</w:t>
      </w:r>
      <w:r w:rsidRPr="00A07F29">
        <w:rPr>
          <w:rFonts w:ascii="Times New Roman" w:eastAsia="Times New Roman" w:hAnsi="Times New Roman" w:cs="Times New Roman"/>
          <w:sz w:val="24"/>
          <w:szCs w:val="24"/>
        </w:rPr>
        <w:t xml:space="preserve"> AAA “Augšdaugava” teritorijā gan no AS Latvenergo darbiniekiem, gan brīvprātīgajiem. Konstatētais apdzīvotu balto stārķu ligzdu skaits ievērojami pārsniedz iepriekšējo skaita vērtējumu maksimālo robežu.</w:t>
      </w:r>
    </w:p>
    <w:p w14:paraId="5CD84998" w14:textId="77777777" w:rsidR="009A4BC5" w:rsidRPr="00A07F29" w:rsidRDefault="009A4BC5" w:rsidP="009A4BC5">
      <w:pPr>
        <w:spacing w:after="120" w:line="240" w:lineRule="auto"/>
        <w:ind w:firstLine="851"/>
        <w:jc w:val="both"/>
        <w:rPr>
          <w:rFonts w:ascii="Times New Roman" w:eastAsia="Times New Roman" w:hAnsi="Times New Roman" w:cs="Times New Roman"/>
          <w:sz w:val="24"/>
          <w:szCs w:val="24"/>
        </w:rPr>
      </w:pPr>
      <w:r w:rsidRPr="00A07F29">
        <w:rPr>
          <w:rFonts w:ascii="Times New Roman" w:eastAsia="Times New Roman" w:hAnsi="Times New Roman" w:cs="Times New Roman"/>
          <w:sz w:val="24"/>
          <w:szCs w:val="24"/>
        </w:rPr>
        <w:t xml:space="preserve">AAA “Augšdaugava” teritorijā dažādos posmos regulāri veiktas arī ziemojošo ūdensputnu uzskaites. Regulāri tiek apsekota Daugava pie </w:t>
      </w:r>
      <w:proofErr w:type="spellStart"/>
      <w:r w:rsidRPr="00A07F29">
        <w:rPr>
          <w:rFonts w:ascii="Times New Roman" w:eastAsia="Times New Roman" w:hAnsi="Times New Roman" w:cs="Times New Roman"/>
          <w:sz w:val="24"/>
          <w:szCs w:val="24"/>
        </w:rPr>
        <w:t>Rudņas</w:t>
      </w:r>
      <w:proofErr w:type="spellEnd"/>
      <w:r w:rsidRPr="00A07F29">
        <w:rPr>
          <w:rFonts w:ascii="Times New Roman" w:eastAsia="Times New Roman" w:hAnsi="Times New Roman" w:cs="Times New Roman"/>
          <w:sz w:val="24"/>
          <w:szCs w:val="24"/>
        </w:rPr>
        <w:t xml:space="preserve"> grīvas, Daugava pie Krāslavas pilsētas un </w:t>
      </w:r>
      <w:proofErr w:type="spellStart"/>
      <w:r w:rsidRPr="00A07F29">
        <w:rPr>
          <w:rFonts w:ascii="Times New Roman" w:eastAsia="Times New Roman" w:hAnsi="Times New Roman" w:cs="Times New Roman"/>
          <w:sz w:val="24"/>
          <w:szCs w:val="24"/>
        </w:rPr>
        <w:t>Rudņas</w:t>
      </w:r>
      <w:proofErr w:type="spellEnd"/>
      <w:r w:rsidRPr="00A07F29">
        <w:rPr>
          <w:rFonts w:ascii="Times New Roman" w:eastAsia="Times New Roman" w:hAnsi="Times New Roman" w:cs="Times New Roman"/>
          <w:sz w:val="24"/>
          <w:szCs w:val="24"/>
        </w:rPr>
        <w:t xml:space="preserve"> upe pie Tartaka.</w:t>
      </w:r>
    </w:p>
    <w:p w14:paraId="708C2A8D" w14:textId="51AE4BC0" w:rsidR="009A4BC5" w:rsidRPr="00A07F29" w:rsidRDefault="009A4BC5" w:rsidP="009A4BC5">
      <w:pPr>
        <w:keepNext/>
        <w:spacing w:before="240" w:after="120" w:line="240" w:lineRule="auto"/>
        <w:jc w:val="both"/>
        <w:rPr>
          <w:rFonts w:ascii="Times New Roman" w:eastAsia="Times New Roman" w:hAnsi="Times New Roman" w:cs="Times New Roman"/>
          <w:b/>
          <w:bCs/>
          <w:i/>
          <w:sz w:val="24"/>
          <w:szCs w:val="24"/>
        </w:rPr>
      </w:pPr>
      <w:r w:rsidRPr="00A07F29">
        <w:rPr>
          <w:rFonts w:ascii="Times New Roman" w:eastAsia="Times New Roman" w:hAnsi="Times New Roman" w:cs="Times New Roman"/>
          <w:b/>
          <w:bCs/>
          <w:i/>
          <w:sz w:val="24"/>
          <w:szCs w:val="24"/>
        </w:rPr>
        <w:t xml:space="preserve">Eiropas nozīmes aizsargājamās dabas teritorijas </w:t>
      </w:r>
      <w:proofErr w:type="spellStart"/>
      <w:r w:rsidRPr="00A07F29">
        <w:rPr>
          <w:rFonts w:ascii="Times New Roman" w:eastAsia="Times New Roman" w:hAnsi="Times New Roman" w:cs="Times New Roman"/>
          <w:b/>
          <w:bCs/>
          <w:i/>
          <w:sz w:val="24"/>
          <w:szCs w:val="24"/>
        </w:rPr>
        <w:t>Natura</w:t>
      </w:r>
      <w:proofErr w:type="spellEnd"/>
      <w:r w:rsidRPr="00A07F29">
        <w:rPr>
          <w:rFonts w:ascii="Times New Roman" w:eastAsia="Times New Roman" w:hAnsi="Times New Roman" w:cs="Times New Roman"/>
          <w:b/>
          <w:bCs/>
          <w:i/>
          <w:sz w:val="24"/>
          <w:szCs w:val="24"/>
        </w:rPr>
        <w:t xml:space="preserve"> 2000 standarta datu formas</w:t>
      </w:r>
      <w:r w:rsidR="00DB5246">
        <w:rPr>
          <w:rStyle w:val="FootnoteReference"/>
          <w:rFonts w:ascii="Times New Roman" w:eastAsia="Times New Roman" w:hAnsi="Times New Roman" w:cs="Times New Roman"/>
          <w:b/>
          <w:bCs/>
          <w:i/>
          <w:sz w:val="24"/>
          <w:szCs w:val="24"/>
        </w:rPr>
        <w:footnoteReference w:id="45"/>
      </w:r>
      <w:r w:rsidRPr="00A07F29">
        <w:rPr>
          <w:rFonts w:ascii="Times New Roman" w:eastAsia="Times New Roman" w:hAnsi="Times New Roman" w:cs="Times New Roman"/>
          <w:b/>
          <w:bCs/>
          <w:i/>
          <w:sz w:val="24"/>
          <w:szCs w:val="24"/>
        </w:rPr>
        <w:t xml:space="preserve"> </w:t>
      </w:r>
      <w:proofErr w:type="spellStart"/>
      <w:r w:rsidRPr="00A07F29">
        <w:rPr>
          <w:rFonts w:ascii="Times New Roman" w:eastAsia="Times New Roman" w:hAnsi="Times New Roman" w:cs="Times New Roman"/>
          <w:b/>
          <w:bCs/>
          <w:i/>
          <w:sz w:val="24"/>
          <w:szCs w:val="24"/>
        </w:rPr>
        <w:t>izvērtējums</w:t>
      </w:r>
      <w:proofErr w:type="spellEnd"/>
      <w:r w:rsidRPr="00A07F29">
        <w:rPr>
          <w:rFonts w:ascii="Times New Roman" w:eastAsia="Times New Roman" w:hAnsi="Times New Roman" w:cs="Times New Roman"/>
          <w:b/>
          <w:bCs/>
          <w:i/>
          <w:sz w:val="24"/>
          <w:szCs w:val="24"/>
        </w:rPr>
        <w:t xml:space="preserve"> un analīze</w:t>
      </w:r>
    </w:p>
    <w:p w14:paraId="4C49575C" w14:textId="1BEB4948" w:rsidR="009A4BC5" w:rsidRPr="00A07F29" w:rsidRDefault="009A4BC5" w:rsidP="009A4BC5">
      <w:pPr>
        <w:spacing w:after="120" w:line="240" w:lineRule="auto"/>
        <w:ind w:firstLine="851"/>
        <w:jc w:val="both"/>
        <w:rPr>
          <w:rFonts w:ascii="Times New Roman" w:eastAsia="Times New Roman" w:hAnsi="Times New Roman" w:cs="Times New Roman"/>
          <w:sz w:val="24"/>
          <w:szCs w:val="24"/>
        </w:rPr>
      </w:pPr>
      <w:r w:rsidRPr="00A07F29">
        <w:rPr>
          <w:rFonts w:ascii="Times New Roman" w:eastAsia="Times New Roman" w:hAnsi="Times New Roman" w:cs="Times New Roman"/>
          <w:sz w:val="24"/>
          <w:szCs w:val="24"/>
        </w:rPr>
        <w:t xml:space="preserve">Balstoties uz DA plāna izstrādē iegūtajiem rezultātiem, kā arī iepriekšējo pētījumu rezultātiem izpētes teritorijā, aktualizēta AAA “Augšdaugava” </w:t>
      </w:r>
      <w:proofErr w:type="spellStart"/>
      <w:r w:rsidR="00F8701D" w:rsidRPr="00F8701D">
        <w:rPr>
          <w:rFonts w:ascii="Times New Roman" w:eastAsia="Times New Roman" w:hAnsi="Times New Roman" w:cs="Times New Roman"/>
          <w:i/>
          <w:iCs/>
          <w:sz w:val="24"/>
          <w:szCs w:val="24"/>
        </w:rPr>
        <w:t>Natura</w:t>
      </w:r>
      <w:proofErr w:type="spellEnd"/>
      <w:r w:rsidR="00F8701D" w:rsidRPr="00F8701D">
        <w:rPr>
          <w:rFonts w:ascii="Times New Roman" w:eastAsia="Times New Roman" w:hAnsi="Times New Roman" w:cs="Times New Roman"/>
          <w:i/>
          <w:iCs/>
          <w:sz w:val="24"/>
          <w:szCs w:val="24"/>
        </w:rPr>
        <w:t xml:space="preserve"> 2000</w:t>
      </w:r>
      <w:r w:rsidR="00F8701D">
        <w:rPr>
          <w:rFonts w:ascii="Times New Roman" w:eastAsia="Times New Roman" w:hAnsi="Times New Roman" w:cs="Times New Roman"/>
          <w:sz w:val="24"/>
          <w:szCs w:val="24"/>
        </w:rPr>
        <w:t xml:space="preserve"> SDF</w:t>
      </w:r>
      <w:r w:rsidRPr="00A07F29">
        <w:rPr>
          <w:rFonts w:ascii="Times New Roman" w:eastAsia="Times New Roman" w:hAnsi="Times New Roman" w:cs="Times New Roman"/>
          <w:sz w:val="24"/>
          <w:szCs w:val="24"/>
        </w:rPr>
        <w:t>.</w:t>
      </w:r>
    </w:p>
    <w:p w14:paraId="34A9533E" w14:textId="22C2A510" w:rsidR="009A4BC5" w:rsidRPr="00A07F29" w:rsidRDefault="009A4BC5" w:rsidP="009A4BC5">
      <w:pPr>
        <w:spacing w:after="120" w:line="240" w:lineRule="auto"/>
        <w:ind w:firstLine="851"/>
        <w:jc w:val="both"/>
        <w:rPr>
          <w:rFonts w:ascii="Times New Roman" w:eastAsia="Times New Roman" w:hAnsi="Times New Roman" w:cs="Times New Roman"/>
          <w:sz w:val="24"/>
          <w:szCs w:val="24"/>
        </w:rPr>
      </w:pPr>
      <w:r w:rsidRPr="00A07F29">
        <w:rPr>
          <w:rFonts w:ascii="Times New Roman" w:eastAsia="Times New Roman" w:hAnsi="Times New Roman" w:cs="Times New Roman"/>
          <w:sz w:val="24"/>
          <w:szCs w:val="24"/>
        </w:rPr>
        <w:t xml:space="preserve">DA plāna izstrādes laikā </w:t>
      </w:r>
      <w:proofErr w:type="spellStart"/>
      <w:r w:rsidRPr="00A07F29">
        <w:rPr>
          <w:rFonts w:ascii="Times New Roman" w:eastAsia="Times New Roman" w:hAnsi="Times New Roman" w:cs="Times New Roman"/>
          <w:i/>
          <w:sz w:val="24"/>
          <w:szCs w:val="24"/>
        </w:rPr>
        <w:t>Natura</w:t>
      </w:r>
      <w:proofErr w:type="spellEnd"/>
      <w:r w:rsidRPr="00A07F29">
        <w:rPr>
          <w:rFonts w:ascii="Times New Roman" w:eastAsia="Times New Roman" w:hAnsi="Times New Roman" w:cs="Times New Roman"/>
          <w:i/>
          <w:sz w:val="24"/>
          <w:szCs w:val="24"/>
        </w:rPr>
        <w:t xml:space="preserve"> 2000</w:t>
      </w:r>
      <w:r w:rsidRPr="00A07F29">
        <w:rPr>
          <w:rFonts w:ascii="Times New Roman" w:eastAsia="Times New Roman" w:hAnsi="Times New Roman" w:cs="Times New Roman"/>
          <w:sz w:val="24"/>
          <w:szCs w:val="24"/>
        </w:rPr>
        <w:t xml:space="preserve"> </w:t>
      </w:r>
      <w:r w:rsidR="00F8701D">
        <w:rPr>
          <w:rFonts w:ascii="Times New Roman" w:eastAsia="Times New Roman" w:hAnsi="Times New Roman" w:cs="Times New Roman"/>
          <w:sz w:val="24"/>
          <w:szCs w:val="24"/>
        </w:rPr>
        <w:t>SDF</w:t>
      </w:r>
      <w:r w:rsidRPr="00A07F29">
        <w:rPr>
          <w:rFonts w:ascii="Times New Roman" w:eastAsia="Times New Roman" w:hAnsi="Times New Roman" w:cs="Times New Roman"/>
          <w:sz w:val="24"/>
          <w:szCs w:val="24"/>
        </w:rPr>
        <w:t xml:space="preserve"> kopumā papildināta ar 28 AAA “Augšdaugava” potenciāli ligzdojošām, </w:t>
      </w:r>
      <w:proofErr w:type="spellStart"/>
      <w:r w:rsidRPr="00A07F29">
        <w:rPr>
          <w:rFonts w:ascii="Times New Roman" w:eastAsia="Times New Roman" w:hAnsi="Times New Roman" w:cs="Times New Roman"/>
          <w:sz w:val="24"/>
          <w:szCs w:val="24"/>
        </w:rPr>
        <w:t>caurceļojošām</w:t>
      </w:r>
      <w:proofErr w:type="spellEnd"/>
      <w:r w:rsidRPr="00A07F29">
        <w:rPr>
          <w:rFonts w:ascii="Times New Roman" w:eastAsia="Times New Roman" w:hAnsi="Times New Roman" w:cs="Times New Roman"/>
          <w:sz w:val="24"/>
          <w:szCs w:val="24"/>
        </w:rPr>
        <w:t xml:space="preserve"> vai ziemojošām, Latvijā un ES </w:t>
      </w:r>
      <w:r w:rsidRPr="000657EB">
        <w:rPr>
          <w:rFonts w:ascii="Times New Roman" w:eastAsia="Times New Roman" w:hAnsi="Times New Roman" w:cs="Times New Roman"/>
          <w:sz w:val="24"/>
          <w:szCs w:val="24"/>
        </w:rPr>
        <w:t>īpaši aizsargājamām</w:t>
      </w:r>
      <w:r w:rsidRPr="00A07F29">
        <w:rPr>
          <w:rFonts w:ascii="Times New Roman" w:eastAsia="Times New Roman" w:hAnsi="Times New Roman" w:cs="Times New Roman"/>
          <w:sz w:val="24"/>
          <w:szCs w:val="24"/>
        </w:rPr>
        <w:t xml:space="preserve"> putnu sugām.</w:t>
      </w:r>
    </w:p>
    <w:p w14:paraId="5EEB3DCD" w14:textId="1C3EDCC3" w:rsidR="009A4BC5" w:rsidRPr="00A07F29" w:rsidRDefault="009A4BC5" w:rsidP="009A4BC5">
      <w:pPr>
        <w:spacing w:after="120" w:line="240" w:lineRule="auto"/>
        <w:ind w:firstLine="851"/>
        <w:jc w:val="both"/>
        <w:rPr>
          <w:rFonts w:ascii="Times New Roman" w:eastAsia="Times New Roman" w:hAnsi="Times New Roman" w:cs="Times New Roman"/>
          <w:sz w:val="24"/>
          <w:szCs w:val="24"/>
        </w:rPr>
      </w:pPr>
      <w:proofErr w:type="spellStart"/>
      <w:r w:rsidRPr="00A07F29">
        <w:rPr>
          <w:rFonts w:ascii="Times New Roman" w:eastAsia="Times New Roman" w:hAnsi="Times New Roman" w:cs="Times New Roman"/>
          <w:i/>
          <w:sz w:val="24"/>
          <w:szCs w:val="24"/>
        </w:rPr>
        <w:t>Natura</w:t>
      </w:r>
      <w:proofErr w:type="spellEnd"/>
      <w:r w:rsidRPr="00A07F29">
        <w:rPr>
          <w:rFonts w:ascii="Times New Roman" w:eastAsia="Times New Roman" w:hAnsi="Times New Roman" w:cs="Times New Roman"/>
          <w:i/>
          <w:sz w:val="24"/>
          <w:szCs w:val="24"/>
        </w:rPr>
        <w:t xml:space="preserve"> 2000</w:t>
      </w:r>
      <w:r w:rsidRPr="00A07F29">
        <w:rPr>
          <w:rFonts w:ascii="Times New Roman" w:eastAsia="Times New Roman" w:hAnsi="Times New Roman" w:cs="Times New Roman"/>
          <w:sz w:val="24"/>
          <w:szCs w:val="24"/>
        </w:rPr>
        <w:t xml:space="preserve"> </w:t>
      </w:r>
      <w:r w:rsidR="00F8701D">
        <w:rPr>
          <w:rFonts w:ascii="Times New Roman" w:eastAsia="Times New Roman" w:hAnsi="Times New Roman" w:cs="Times New Roman"/>
          <w:sz w:val="24"/>
          <w:szCs w:val="24"/>
        </w:rPr>
        <w:t>SDF</w:t>
      </w:r>
      <w:r w:rsidRPr="00A07F29">
        <w:rPr>
          <w:rFonts w:ascii="Times New Roman" w:eastAsia="Times New Roman" w:hAnsi="Times New Roman" w:cs="Times New Roman"/>
          <w:sz w:val="24"/>
          <w:szCs w:val="24"/>
        </w:rPr>
        <w:t xml:space="preserve"> papildināta ar 13 izpētes teritorijā potenciāli ligzdojošām putnu sugām, kas iekļautas Putnu direktīvas 1.</w:t>
      </w:r>
      <w:r w:rsidR="007A1138">
        <w:rPr>
          <w:rFonts w:ascii="Times New Roman" w:eastAsia="Times New Roman" w:hAnsi="Times New Roman" w:cs="Times New Roman"/>
          <w:sz w:val="24"/>
          <w:szCs w:val="24"/>
        </w:rPr>
        <w:t> </w:t>
      </w:r>
      <w:r w:rsidRPr="00A07F29">
        <w:rPr>
          <w:rFonts w:ascii="Times New Roman" w:eastAsia="Times New Roman" w:hAnsi="Times New Roman" w:cs="Times New Roman"/>
          <w:sz w:val="24"/>
          <w:szCs w:val="24"/>
        </w:rPr>
        <w:t xml:space="preserve">pielikumā: stepes </w:t>
      </w:r>
      <w:proofErr w:type="spellStart"/>
      <w:r w:rsidRPr="00A07F29">
        <w:rPr>
          <w:rFonts w:ascii="Times New Roman" w:eastAsia="Times New Roman" w:hAnsi="Times New Roman" w:cs="Times New Roman"/>
          <w:sz w:val="24"/>
          <w:szCs w:val="24"/>
        </w:rPr>
        <w:t>čipste</w:t>
      </w:r>
      <w:proofErr w:type="spellEnd"/>
      <w:r w:rsidRPr="00A07F29">
        <w:rPr>
          <w:rFonts w:ascii="Times New Roman" w:eastAsia="Times New Roman" w:hAnsi="Times New Roman" w:cs="Times New Roman"/>
          <w:sz w:val="24"/>
          <w:szCs w:val="24"/>
        </w:rPr>
        <w:t>, lielais dumpis, ziemeļu gulbis, mazais mušķērājs, apodziņš, dzērve, jūras ērglis, mazais dumpis, vidējais dzenis, zilrīklīte, rubenis, ormanītis, mazais ormanītis.</w:t>
      </w:r>
    </w:p>
    <w:p w14:paraId="01AEB7DE" w14:textId="40BFCAC6" w:rsidR="009A4BC5" w:rsidRPr="00A07F29" w:rsidRDefault="009A4BC5" w:rsidP="009A4BC5">
      <w:pPr>
        <w:spacing w:after="120" w:line="240" w:lineRule="auto"/>
        <w:ind w:firstLine="851"/>
        <w:jc w:val="both"/>
        <w:rPr>
          <w:rFonts w:ascii="Times New Roman" w:eastAsia="Times New Roman" w:hAnsi="Times New Roman" w:cs="Times New Roman"/>
          <w:sz w:val="24"/>
          <w:szCs w:val="24"/>
        </w:rPr>
      </w:pPr>
      <w:proofErr w:type="spellStart"/>
      <w:r w:rsidRPr="00A07F29">
        <w:rPr>
          <w:rFonts w:ascii="Times New Roman" w:eastAsia="Times New Roman" w:hAnsi="Times New Roman" w:cs="Times New Roman"/>
          <w:i/>
          <w:sz w:val="24"/>
          <w:szCs w:val="24"/>
        </w:rPr>
        <w:t>Natura</w:t>
      </w:r>
      <w:proofErr w:type="spellEnd"/>
      <w:r w:rsidRPr="00A07F29">
        <w:rPr>
          <w:rFonts w:ascii="Times New Roman" w:eastAsia="Times New Roman" w:hAnsi="Times New Roman" w:cs="Times New Roman"/>
          <w:i/>
          <w:sz w:val="24"/>
          <w:szCs w:val="24"/>
        </w:rPr>
        <w:t xml:space="preserve"> 2000</w:t>
      </w:r>
      <w:r w:rsidRPr="00A07F29">
        <w:rPr>
          <w:rFonts w:ascii="Times New Roman" w:eastAsia="Times New Roman" w:hAnsi="Times New Roman" w:cs="Times New Roman"/>
          <w:sz w:val="24"/>
          <w:szCs w:val="24"/>
        </w:rPr>
        <w:t xml:space="preserve"> </w:t>
      </w:r>
      <w:r w:rsidR="00F8701D">
        <w:rPr>
          <w:rFonts w:ascii="Times New Roman" w:eastAsia="Times New Roman" w:hAnsi="Times New Roman" w:cs="Times New Roman"/>
          <w:sz w:val="24"/>
          <w:szCs w:val="24"/>
        </w:rPr>
        <w:t>SDF</w:t>
      </w:r>
      <w:r w:rsidRPr="00A07F29">
        <w:rPr>
          <w:rFonts w:ascii="Times New Roman" w:eastAsia="Times New Roman" w:hAnsi="Times New Roman" w:cs="Times New Roman"/>
          <w:sz w:val="24"/>
          <w:szCs w:val="24"/>
        </w:rPr>
        <w:t xml:space="preserve"> papildināta ar 13 izpētes teritorijā potenciāli ligzdojošām putnu sugām, kas iekļautas Latvijā </w:t>
      </w:r>
      <w:r w:rsidRPr="000657EB">
        <w:rPr>
          <w:rFonts w:ascii="Times New Roman" w:eastAsia="Times New Roman" w:hAnsi="Times New Roman" w:cs="Times New Roman"/>
          <w:sz w:val="24"/>
          <w:szCs w:val="24"/>
        </w:rPr>
        <w:t>īpaši aizsargājamo putnu</w:t>
      </w:r>
      <w:r w:rsidRPr="00A07F29">
        <w:rPr>
          <w:rFonts w:ascii="Times New Roman" w:eastAsia="Times New Roman" w:hAnsi="Times New Roman" w:cs="Times New Roman"/>
          <w:sz w:val="24"/>
          <w:szCs w:val="24"/>
        </w:rPr>
        <w:t xml:space="preserve"> sugu sarakstā vai kuru ligzdošanas vietās izveidojami mikroliegumi: vistu vanags, meža balodis, laukirbe, paipala, lielā čakste, </w:t>
      </w:r>
      <w:proofErr w:type="spellStart"/>
      <w:r w:rsidRPr="00A07F29">
        <w:rPr>
          <w:rFonts w:ascii="Times New Roman" w:eastAsia="Times New Roman" w:hAnsi="Times New Roman" w:cs="Times New Roman"/>
          <w:sz w:val="24"/>
          <w:szCs w:val="24"/>
        </w:rPr>
        <w:t>Seivi</w:t>
      </w:r>
      <w:proofErr w:type="spellEnd"/>
      <w:r w:rsidRPr="00A07F29">
        <w:rPr>
          <w:rFonts w:ascii="Times New Roman" w:eastAsia="Times New Roman" w:hAnsi="Times New Roman" w:cs="Times New Roman"/>
          <w:sz w:val="24"/>
          <w:szCs w:val="24"/>
        </w:rPr>
        <w:t xml:space="preserve"> ķauķis, jūras žagata, mazais dūkuris, lauku piekūns, pupuķis, pļavu tilbīte, tītiņš, mazais ķīris.</w:t>
      </w:r>
    </w:p>
    <w:p w14:paraId="26D083AF" w14:textId="0CAC1815" w:rsidR="009A4BC5" w:rsidRPr="00A07F29" w:rsidRDefault="009A4BC5" w:rsidP="009A4BC5">
      <w:pPr>
        <w:spacing w:after="120" w:line="240" w:lineRule="auto"/>
        <w:ind w:firstLine="851"/>
        <w:jc w:val="both"/>
        <w:rPr>
          <w:rFonts w:ascii="Times New Roman" w:eastAsia="Times New Roman" w:hAnsi="Times New Roman" w:cs="Times New Roman"/>
          <w:sz w:val="24"/>
          <w:szCs w:val="24"/>
        </w:rPr>
      </w:pPr>
      <w:r w:rsidRPr="00A07F29">
        <w:rPr>
          <w:rFonts w:ascii="Times New Roman" w:eastAsia="Times New Roman" w:hAnsi="Times New Roman" w:cs="Times New Roman"/>
          <w:sz w:val="24"/>
          <w:szCs w:val="24"/>
        </w:rPr>
        <w:lastRenderedPageBreak/>
        <w:t xml:space="preserve">Izmaiņas populāciju minimālajos un maksimālajos vērtējumos veiktas 19 sugām, kas jau iepriekš bija iekļautas teritorijas </w:t>
      </w:r>
      <w:proofErr w:type="spellStart"/>
      <w:r w:rsidRPr="00A07F29">
        <w:rPr>
          <w:rFonts w:ascii="Times New Roman" w:eastAsia="Times New Roman" w:hAnsi="Times New Roman" w:cs="Times New Roman"/>
          <w:i/>
          <w:sz w:val="24"/>
          <w:szCs w:val="24"/>
        </w:rPr>
        <w:t>Natura</w:t>
      </w:r>
      <w:proofErr w:type="spellEnd"/>
      <w:r w:rsidRPr="00A07F29">
        <w:rPr>
          <w:rFonts w:ascii="Times New Roman" w:eastAsia="Times New Roman" w:hAnsi="Times New Roman" w:cs="Times New Roman"/>
          <w:i/>
          <w:sz w:val="24"/>
          <w:szCs w:val="24"/>
        </w:rPr>
        <w:t xml:space="preserve"> 2000</w:t>
      </w:r>
      <w:r w:rsidRPr="00A07F29">
        <w:rPr>
          <w:rFonts w:ascii="Times New Roman" w:eastAsia="Times New Roman" w:hAnsi="Times New Roman" w:cs="Times New Roman"/>
          <w:sz w:val="24"/>
          <w:szCs w:val="24"/>
        </w:rPr>
        <w:t xml:space="preserve"> </w:t>
      </w:r>
      <w:r w:rsidR="00F8701D">
        <w:rPr>
          <w:rFonts w:ascii="Times New Roman" w:eastAsia="Times New Roman" w:hAnsi="Times New Roman" w:cs="Times New Roman"/>
          <w:sz w:val="24"/>
          <w:szCs w:val="24"/>
        </w:rPr>
        <w:t>SDF</w:t>
      </w:r>
      <w:r w:rsidRPr="00A07F29">
        <w:rPr>
          <w:rFonts w:ascii="Times New Roman" w:eastAsia="Times New Roman" w:hAnsi="Times New Roman" w:cs="Times New Roman"/>
          <w:sz w:val="24"/>
          <w:szCs w:val="24"/>
        </w:rPr>
        <w:t xml:space="preserve">: bikšainais apogs, mežirbe, melnais stārķis, baltais stārķis, niedru lija, </w:t>
      </w:r>
      <w:proofErr w:type="spellStart"/>
      <w:r w:rsidRPr="00A07F29">
        <w:rPr>
          <w:rFonts w:ascii="Times New Roman" w:eastAsia="Times New Roman" w:hAnsi="Times New Roman" w:cs="Times New Roman"/>
          <w:sz w:val="24"/>
          <w:szCs w:val="24"/>
        </w:rPr>
        <w:t>baltmugurdzenis</w:t>
      </w:r>
      <w:proofErr w:type="spellEnd"/>
      <w:r w:rsidRPr="00A07F29">
        <w:rPr>
          <w:rFonts w:ascii="Times New Roman" w:eastAsia="Times New Roman" w:hAnsi="Times New Roman" w:cs="Times New Roman"/>
          <w:sz w:val="24"/>
          <w:szCs w:val="24"/>
        </w:rPr>
        <w:t xml:space="preserve">, melnā dzilna, melnā klija, </w:t>
      </w:r>
      <w:proofErr w:type="spellStart"/>
      <w:r w:rsidRPr="00A07F29">
        <w:rPr>
          <w:rFonts w:ascii="Times New Roman" w:eastAsia="Times New Roman" w:hAnsi="Times New Roman" w:cs="Times New Roman"/>
          <w:sz w:val="24"/>
          <w:szCs w:val="24"/>
        </w:rPr>
        <w:t>zivjērglis</w:t>
      </w:r>
      <w:proofErr w:type="spellEnd"/>
      <w:r w:rsidRPr="00A07F29">
        <w:rPr>
          <w:rFonts w:ascii="Times New Roman" w:eastAsia="Times New Roman" w:hAnsi="Times New Roman" w:cs="Times New Roman"/>
          <w:sz w:val="24"/>
          <w:szCs w:val="24"/>
        </w:rPr>
        <w:t xml:space="preserve">, ķīķis, </w:t>
      </w:r>
      <w:proofErr w:type="spellStart"/>
      <w:r w:rsidRPr="00A07F29">
        <w:rPr>
          <w:rFonts w:ascii="Times New Roman" w:eastAsia="Times New Roman" w:hAnsi="Times New Roman" w:cs="Times New Roman"/>
          <w:sz w:val="24"/>
          <w:szCs w:val="24"/>
        </w:rPr>
        <w:t>trīspirkstu</w:t>
      </w:r>
      <w:proofErr w:type="spellEnd"/>
      <w:r w:rsidRPr="00A07F29">
        <w:rPr>
          <w:rFonts w:ascii="Times New Roman" w:eastAsia="Times New Roman" w:hAnsi="Times New Roman" w:cs="Times New Roman"/>
          <w:sz w:val="24"/>
          <w:szCs w:val="24"/>
        </w:rPr>
        <w:t xml:space="preserve"> dzenis, pelēkā dzilna, mazais zīriņš, upes zīriņš, </w:t>
      </w:r>
      <w:proofErr w:type="spellStart"/>
      <w:r w:rsidRPr="00A07F29">
        <w:rPr>
          <w:rFonts w:ascii="Times New Roman" w:eastAsia="Times New Roman" w:hAnsi="Times New Roman" w:cs="Times New Roman"/>
          <w:sz w:val="24"/>
          <w:szCs w:val="24"/>
        </w:rPr>
        <w:t>urālpūce</w:t>
      </w:r>
      <w:proofErr w:type="spellEnd"/>
      <w:r w:rsidRPr="00A07F29">
        <w:rPr>
          <w:rFonts w:ascii="Times New Roman" w:eastAsia="Times New Roman" w:hAnsi="Times New Roman" w:cs="Times New Roman"/>
          <w:sz w:val="24"/>
          <w:szCs w:val="24"/>
        </w:rPr>
        <w:t>, svītrainais ķauķis, sila cīrulis, zivju dzenītis, mazais ērglis.</w:t>
      </w:r>
    </w:p>
    <w:p w14:paraId="2858A7B8" w14:textId="1EC169E4" w:rsidR="009A4BC5" w:rsidRPr="00A07F29" w:rsidRDefault="009A4BC5" w:rsidP="009A4BC5">
      <w:pPr>
        <w:spacing w:after="120" w:line="240" w:lineRule="auto"/>
        <w:ind w:firstLine="851"/>
        <w:jc w:val="both"/>
        <w:rPr>
          <w:rFonts w:ascii="Times New Roman" w:eastAsia="Times New Roman" w:hAnsi="Times New Roman" w:cs="Times New Roman"/>
          <w:sz w:val="24"/>
          <w:szCs w:val="24"/>
        </w:rPr>
      </w:pPr>
      <w:r w:rsidRPr="00A07F29">
        <w:rPr>
          <w:rFonts w:ascii="Times New Roman" w:eastAsia="Times New Roman" w:hAnsi="Times New Roman" w:cs="Times New Roman"/>
          <w:sz w:val="24"/>
          <w:szCs w:val="24"/>
        </w:rPr>
        <w:t xml:space="preserve">Septiņām no </w:t>
      </w:r>
      <w:r w:rsidR="00F8701D">
        <w:rPr>
          <w:rFonts w:ascii="Times New Roman" w:eastAsia="Times New Roman" w:hAnsi="Times New Roman" w:cs="Times New Roman"/>
          <w:sz w:val="24"/>
          <w:szCs w:val="24"/>
        </w:rPr>
        <w:t>SDF</w:t>
      </w:r>
      <w:r w:rsidRPr="00A07F29">
        <w:rPr>
          <w:rFonts w:ascii="Times New Roman" w:eastAsia="Times New Roman" w:hAnsi="Times New Roman" w:cs="Times New Roman"/>
          <w:sz w:val="24"/>
          <w:szCs w:val="24"/>
        </w:rPr>
        <w:t xml:space="preserve"> iepriekš iekļautajām putnu sugām nav izmainīts jau esošais skaita vērtējums: vakarlēpis, melnais zīriņš, pļavu lija, grieze, dārza stērste, brūnā čakste.</w:t>
      </w:r>
    </w:p>
    <w:p w14:paraId="6C2711D6" w14:textId="6FA19184" w:rsidR="009A4BC5" w:rsidRPr="00A07F29" w:rsidRDefault="009A4BC5" w:rsidP="009A4BC5">
      <w:pPr>
        <w:spacing w:after="120" w:line="240" w:lineRule="auto"/>
        <w:ind w:firstLine="851"/>
        <w:jc w:val="both"/>
        <w:rPr>
          <w:rFonts w:ascii="Times New Roman" w:eastAsia="Times New Roman" w:hAnsi="Times New Roman" w:cs="Times New Roman"/>
          <w:sz w:val="24"/>
          <w:szCs w:val="24"/>
        </w:rPr>
      </w:pPr>
      <w:r w:rsidRPr="00A07F29">
        <w:rPr>
          <w:rFonts w:ascii="Times New Roman" w:eastAsia="Times New Roman" w:hAnsi="Times New Roman" w:cs="Times New Roman"/>
          <w:sz w:val="24"/>
          <w:szCs w:val="24"/>
        </w:rPr>
        <w:t xml:space="preserve">Neviena no iepriekšējā sarakstā iekļautajām putnu sugām nav pilnībā izslēgta no </w:t>
      </w:r>
      <w:r w:rsidR="00F8701D">
        <w:rPr>
          <w:rFonts w:ascii="Times New Roman" w:eastAsia="Times New Roman" w:hAnsi="Times New Roman" w:cs="Times New Roman"/>
          <w:sz w:val="24"/>
          <w:szCs w:val="24"/>
        </w:rPr>
        <w:t>SDF</w:t>
      </w:r>
      <w:r w:rsidRPr="00A07F29">
        <w:rPr>
          <w:rFonts w:ascii="Times New Roman" w:eastAsia="Times New Roman" w:hAnsi="Times New Roman" w:cs="Times New Roman"/>
          <w:sz w:val="24"/>
          <w:szCs w:val="24"/>
        </w:rPr>
        <w:t>, lai arī pēdējos gados un šī DA plāna izstrādes laikā atsevišķas putnu sugas nav konstatētas. Teritorijā joprojām ir sastopami konkrēto putnu sugu ligzdošanai piemēroti biotopi un to iespējama ligzdošana ir konstatēta izpētes teritorijas tiešā apkārtnē.</w:t>
      </w:r>
    </w:p>
    <w:p w14:paraId="31E43056" w14:textId="77777777" w:rsidR="009A4BC5" w:rsidRPr="00A07F29" w:rsidRDefault="009A4BC5" w:rsidP="009A4BC5">
      <w:pPr>
        <w:keepNext/>
        <w:spacing w:before="240" w:after="120" w:line="240" w:lineRule="auto"/>
        <w:jc w:val="both"/>
        <w:rPr>
          <w:rFonts w:ascii="Times New Roman" w:eastAsia="Times New Roman" w:hAnsi="Times New Roman" w:cs="Times New Roman"/>
          <w:b/>
          <w:bCs/>
          <w:i/>
          <w:sz w:val="24"/>
          <w:szCs w:val="24"/>
        </w:rPr>
      </w:pPr>
      <w:r w:rsidRPr="00A07F29">
        <w:rPr>
          <w:rFonts w:ascii="Times New Roman" w:eastAsia="Times New Roman" w:hAnsi="Times New Roman" w:cs="Times New Roman"/>
          <w:b/>
          <w:bCs/>
          <w:i/>
          <w:sz w:val="24"/>
          <w:szCs w:val="24"/>
        </w:rPr>
        <w:t>Atšķirību iemesli standarta datu formā veiktajām izmaiņām</w:t>
      </w:r>
    </w:p>
    <w:p w14:paraId="1A1F14CF" w14:textId="03F9C0A7" w:rsidR="009A4BC5" w:rsidRPr="00A07F29" w:rsidRDefault="009A4BC5" w:rsidP="009A4BC5">
      <w:pPr>
        <w:spacing w:after="120" w:line="240" w:lineRule="auto"/>
        <w:ind w:firstLine="851"/>
        <w:jc w:val="both"/>
        <w:rPr>
          <w:rFonts w:ascii="Times New Roman" w:eastAsia="Times New Roman" w:hAnsi="Times New Roman" w:cs="Times New Roman"/>
          <w:sz w:val="24"/>
          <w:szCs w:val="24"/>
        </w:rPr>
      </w:pPr>
      <w:r w:rsidRPr="00A07F29">
        <w:rPr>
          <w:rFonts w:ascii="Times New Roman" w:eastAsia="Times New Roman" w:hAnsi="Times New Roman" w:cs="Times New Roman"/>
          <w:sz w:val="24"/>
          <w:szCs w:val="24"/>
        </w:rPr>
        <w:t xml:space="preserve">Atšķirības </w:t>
      </w:r>
      <w:proofErr w:type="spellStart"/>
      <w:r w:rsidRPr="00A07F29">
        <w:rPr>
          <w:rFonts w:ascii="Times New Roman" w:eastAsia="Times New Roman" w:hAnsi="Times New Roman" w:cs="Times New Roman"/>
          <w:i/>
          <w:sz w:val="24"/>
          <w:szCs w:val="24"/>
        </w:rPr>
        <w:t>Natura</w:t>
      </w:r>
      <w:proofErr w:type="spellEnd"/>
      <w:r w:rsidRPr="00A07F29">
        <w:rPr>
          <w:rFonts w:ascii="Times New Roman" w:eastAsia="Times New Roman" w:hAnsi="Times New Roman" w:cs="Times New Roman"/>
          <w:i/>
          <w:sz w:val="24"/>
          <w:szCs w:val="24"/>
        </w:rPr>
        <w:t xml:space="preserve"> 2000</w:t>
      </w:r>
      <w:r w:rsidRPr="00A07F29">
        <w:rPr>
          <w:rFonts w:ascii="Times New Roman" w:eastAsia="Times New Roman" w:hAnsi="Times New Roman" w:cs="Times New Roman"/>
          <w:sz w:val="24"/>
          <w:szCs w:val="24"/>
        </w:rPr>
        <w:t xml:space="preserve"> </w:t>
      </w:r>
      <w:r w:rsidR="00F8701D">
        <w:rPr>
          <w:rFonts w:ascii="Times New Roman" w:eastAsia="Times New Roman" w:hAnsi="Times New Roman" w:cs="Times New Roman"/>
          <w:sz w:val="24"/>
          <w:szCs w:val="24"/>
        </w:rPr>
        <w:t>SDF</w:t>
      </w:r>
      <w:r w:rsidRPr="00A07F29">
        <w:rPr>
          <w:rFonts w:ascii="Times New Roman" w:eastAsia="Times New Roman" w:hAnsi="Times New Roman" w:cs="Times New Roman"/>
          <w:sz w:val="24"/>
          <w:szCs w:val="24"/>
        </w:rPr>
        <w:t xml:space="preserve"> skaidrojamas ar dažādo </w:t>
      </w:r>
      <w:r w:rsidRPr="00F8701D">
        <w:rPr>
          <w:rFonts w:ascii="Times New Roman" w:eastAsia="Times New Roman" w:hAnsi="Times New Roman" w:cs="Times New Roman"/>
          <w:sz w:val="24"/>
          <w:szCs w:val="24"/>
        </w:rPr>
        <w:t>īpaši aizsargājamo</w:t>
      </w:r>
      <w:r w:rsidRPr="00A07F29">
        <w:rPr>
          <w:rFonts w:ascii="Times New Roman" w:eastAsia="Times New Roman" w:hAnsi="Times New Roman" w:cs="Times New Roman"/>
          <w:sz w:val="24"/>
          <w:szCs w:val="24"/>
        </w:rPr>
        <w:t xml:space="preserve"> putnu sugu uzskaišu detalizācijas pakāpi </w:t>
      </w:r>
      <w:r w:rsidR="00F8701D">
        <w:rPr>
          <w:rFonts w:ascii="Times New Roman" w:eastAsia="Times New Roman" w:hAnsi="Times New Roman" w:cs="Times New Roman"/>
          <w:sz w:val="24"/>
          <w:szCs w:val="24"/>
        </w:rPr>
        <w:t>SDF</w:t>
      </w:r>
      <w:r w:rsidRPr="00A07F29">
        <w:rPr>
          <w:rFonts w:ascii="Times New Roman" w:eastAsia="Times New Roman" w:hAnsi="Times New Roman" w:cs="Times New Roman"/>
          <w:sz w:val="24"/>
          <w:szCs w:val="24"/>
        </w:rPr>
        <w:t xml:space="preserve"> iepriekšējās redakcijas sagatavošanas laikā un šī DA plāna izstrādes laikā.</w:t>
      </w:r>
    </w:p>
    <w:p w14:paraId="356DFA34" w14:textId="750DFA44" w:rsidR="009A4BC5" w:rsidRPr="00A07F29" w:rsidRDefault="009A4BC5" w:rsidP="009A4BC5">
      <w:pPr>
        <w:spacing w:after="120" w:line="240" w:lineRule="auto"/>
        <w:ind w:firstLine="851"/>
        <w:jc w:val="both"/>
        <w:rPr>
          <w:rFonts w:ascii="Times New Roman" w:eastAsia="Times New Roman" w:hAnsi="Times New Roman" w:cs="Times New Roman"/>
          <w:sz w:val="24"/>
          <w:szCs w:val="24"/>
        </w:rPr>
      </w:pPr>
      <w:r w:rsidRPr="00A07F29">
        <w:rPr>
          <w:rFonts w:ascii="Times New Roman" w:eastAsia="Times New Roman" w:hAnsi="Times New Roman" w:cs="Times New Roman"/>
          <w:sz w:val="24"/>
          <w:szCs w:val="24"/>
        </w:rPr>
        <w:t xml:space="preserve">Iepriekšējā izpētes teritorijas </w:t>
      </w:r>
      <w:proofErr w:type="spellStart"/>
      <w:r w:rsidRPr="00A07F29">
        <w:rPr>
          <w:rFonts w:ascii="Times New Roman" w:eastAsia="Times New Roman" w:hAnsi="Times New Roman" w:cs="Times New Roman"/>
          <w:i/>
          <w:sz w:val="24"/>
          <w:szCs w:val="24"/>
        </w:rPr>
        <w:t>Natura</w:t>
      </w:r>
      <w:proofErr w:type="spellEnd"/>
      <w:r w:rsidRPr="00A07F29">
        <w:rPr>
          <w:rFonts w:ascii="Times New Roman" w:eastAsia="Times New Roman" w:hAnsi="Times New Roman" w:cs="Times New Roman"/>
          <w:i/>
          <w:sz w:val="24"/>
          <w:szCs w:val="24"/>
        </w:rPr>
        <w:t xml:space="preserve"> 2000</w:t>
      </w:r>
      <w:r w:rsidRPr="00A07F29">
        <w:rPr>
          <w:rFonts w:ascii="Times New Roman" w:eastAsia="Times New Roman" w:hAnsi="Times New Roman" w:cs="Times New Roman"/>
          <w:sz w:val="24"/>
          <w:szCs w:val="24"/>
        </w:rPr>
        <w:t xml:space="preserve"> </w:t>
      </w:r>
      <w:r w:rsidR="00F8701D">
        <w:rPr>
          <w:rFonts w:ascii="Times New Roman" w:eastAsia="Times New Roman" w:hAnsi="Times New Roman" w:cs="Times New Roman"/>
          <w:sz w:val="24"/>
          <w:szCs w:val="24"/>
        </w:rPr>
        <w:t>SDF</w:t>
      </w:r>
      <w:r w:rsidRPr="00A07F29">
        <w:rPr>
          <w:rFonts w:ascii="Times New Roman" w:eastAsia="Times New Roman" w:hAnsi="Times New Roman" w:cs="Times New Roman"/>
          <w:sz w:val="24"/>
          <w:szCs w:val="24"/>
        </w:rPr>
        <w:t xml:space="preserve"> aktualizācija tika veikta pēc EMERALD projekta beigām. EMERALD projekta izstrādes laikā teritorija netika pietiekoši intensīvi apsekota un zināšanas par </w:t>
      </w:r>
      <w:r w:rsidRPr="00F8701D">
        <w:rPr>
          <w:rFonts w:ascii="Times New Roman" w:eastAsia="Times New Roman" w:hAnsi="Times New Roman" w:cs="Times New Roman"/>
          <w:sz w:val="24"/>
          <w:szCs w:val="24"/>
        </w:rPr>
        <w:t>atsevišķu īpaši aizsargājamo</w:t>
      </w:r>
      <w:r w:rsidRPr="00A07F29">
        <w:rPr>
          <w:rFonts w:ascii="Times New Roman" w:eastAsia="Times New Roman" w:hAnsi="Times New Roman" w:cs="Times New Roman"/>
          <w:sz w:val="24"/>
          <w:szCs w:val="24"/>
        </w:rPr>
        <w:t xml:space="preserve"> sugu konstatēšanu bija nepietiekošas, kā arī lauku darbu veikšanai paredzētais laiks bija nepietiekams. Tā rezultātā ES datu bāzē par </w:t>
      </w:r>
      <w:r w:rsidR="00F8701D">
        <w:rPr>
          <w:rFonts w:ascii="Times New Roman" w:eastAsia="Times New Roman" w:hAnsi="Times New Roman" w:cs="Times New Roman"/>
          <w:sz w:val="24"/>
          <w:szCs w:val="24"/>
        </w:rPr>
        <w:t>ĪADT</w:t>
      </w:r>
      <w:r w:rsidRPr="00A07F29">
        <w:rPr>
          <w:rFonts w:ascii="Times New Roman" w:eastAsia="Times New Roman" w:hAnsi="Times New Roman" w:cs="Times New Roman"/>
          <w:sz w:val="24"/>
          <w:szCs w:val="24"/>
        </w:rPr>
        <w:t xml:space="preserve"> (</w:t>
      </w:r>
      <w:proofErr w:type="spellStart"/>
      <w:r w:rsidRPr="00A07F29">
        <w:rPr>
          <w:rFonts w:ascii="Times New Roman" w:eastAsia="Times New Roman" w:hAnsi="Times New Roman" w:cs="Times New Roman"/>
          <w:i/>
          <w:sz w:val="24"/>
          <w:szCs w:val="24"/>
        </w:rPr>
        <w:t>Natura</w:t>
      </w:r>
      <w:proofErr w:type="spellEnd"/>
      <w:r w:rsidRPr="00A07F29">
        <w:rPr>
          <w:rFonts w:ascii="Times New Roman" w:eastAsia="Times New Roman" w:hAnsi="Times New Roman" w:cs="Times New Roman"/>
          <w:i/>
          <w:sz w:val="24"/>
          <w:szCs w:val="24"/>
        </w:rPr>
        <w:t xml:space="preserve"> 2000</w:t>
      </w:r>
      <w:r w:rsidRPr="00A07F29">
        <w:rPr>
          <w:rFonts w:ascii="Times New Roman" w:eastAsia="Times New Roman" w:hAnsi="Times New Roman" w:cs="Times New Roman"/>
          <w:sz w:val="24"/>
          <w:szCs w:val="24"/>
        </w:rPr>
        <w:t xml:space="preserve"> standart </w:t>
      </w:r>
      <w:proofErr w:type="spellStart"/>
      <w:r w:rsidRPr="00A07F29">
        <w:rPr>
          <w:rFonts w:ascii="Times New Roman" w:eastAsia="Times New Roman" w:hAnsi="Times New Roman" w:cs="Times New Roman"/>
          <w:sz w:val="24"/>
          <w:szCs w:val="24"/>
        </w:rPr>
        <w:t>data</w:t>
      </w:r>
      <w:proofErr w:type="spellEnd"/>
      <w:r w:rsidRPr="00A07F29">
        <w:rPr>
          <w:rFonts w:ascii="Times New Roman" w:eastAsia="Times New Roman" w:hAnsi="Times New Roman" w:cs="Times New Roman"/>
          <w:sz w:val="24"/>
          <w:szCs w:val="24"/>
        </w:rPr>
        <w:t xml:space="preserve"> </w:t>
      </w:r>
      <w:proofErr w:type="spellStart"/>
      <w:r w:rsidRPr="00A07F29">
        <w:rPr>
          <w:rFonts w:ascii="Times New Roman" w:eastAsia="Times New Roman" w:hAnsi="Times New Roman" w:cs="Times New Roman"/>
          <w:sz w:val="24"/>
          <w:szCs w:val="24"/>
        </w:rPr>
        <w:t>form</w:t>
      </w:r>
      <w:proofErr w:type="spellEnd"/>
      <w:r w:rsidR="00BF16F0">
        <w:rPr>
          <w:rStyle w:val="FootnoteReference"/>
          <w:rFonts w:ascii="Times New Roman" w:eastAsia="Times New Roman" w:hAnsi="Times New Roman" w:cs="Times New Roman"/>
          <w:sz w:val="24"/>
          <w:szCs w:val="24"/>
        </w:rPr>
        <w:footnoteReference w:id="46"/>
      </w:r>
      <w:r w:rsidR="00BF16F0">
        <w:rPr>
          <w:rFonts w:ascii="Times New Roman" w:eastAsia="Times New Roman" w:hAnsi="Times New Roman" w:cs="Times New Roman"/>
          <w:sz w:val="24"/>
          <w:szCs w:val="24"/>
        </w:rPr>
        <w:t>)</w:t>
      </w:r>
      <w:r w:rsidRPr="00A07F29">
        <w:rPr>
          <w:rFonts w:ascii="Times New Roman" w:eastAsia="Times New Roman" w:hAnsi="Times New Roman" w:cs="Times New Roman"/>
          <w:sz w:val="24"/>
          <w:szCs w:val="24"/>
        </w:rPr>
        <w:t xml:space="preserve"> nonāca nepilnīga informācija. Lielākajai daļai sugu skaita vērtējumi tika izdarīti balstoties uz konkrētajai sugai piemērotu biotopu sastopamību teritorijā.</w:t>
      </w:r>
    </w:p>
    <w:p w14:paraId="57246EC9" w14:textId="6BBBF6DD" w:rsidR="009A4BC5" w:rsidRPr="00A07F29" w:rsidRDefault="009A4BC5" w:rsidP="00BB7169">
      <w:pPr>
        <w:pStyle w:val="Heading3"/>
        <w:spacing w:before="120" w:after="120" w:line="240" w:lineRule="auto"/>
        <w:jc w:val="center"/>
        <w:rPr>
          <w:lang w:eastAsia="ja-JP"/>
        </w:rPr>
      </w:pPr>
      <w:bookmarkStart w:id="87" w:name="_Toc183434020"/>
      <w:r w:rsidRPr="00A07F29">
        <w:rPr>
          <w:lang w:eastAsia="ja-JP"/>
        </w:rPr>
        <w:t>4.10.2. AAA “Augšdaugava” konstatētās Latvijā un ES īpaši aizsargājamās putnu sugas/dabas aizsardzības vērtība</w:t>
      </w:r>
      <w:bookmarkEnd w:id="87"/>
    </w:p>
    <w:p w14:paraId="2BBB0351" w14:textId="02C10F42" w:rsidR="009A4BC5" w:rsidRPr="00A07F29" w:rsidRDefault="009A4BC5" w:rsidP="009A4BC5">
      <w:pPr>
        <w:spacing w:after="120" w:line="240" w:lineRule="auto"/>
        <w:ind w:firstLine="851"/>
        <w:jc w:val="both"/>
        <w:rPr>
          <w:rFonts w:ascii="Times New Roman" w:eastAsia="Times New Roman" w:hAnsi="Times New Roman" w:cs="Times New Roman"/>
          <w:bCs/>
          <w:iCs/>
          <w:sz w:val="24"/>
          <w:szCs w:val="24"/>
        </w:rPr>
      </w:pPr>
      <w:r w:rsidRPr="00A07F29">
        <w:rPr>
          <w:rFonts w:ascii="Times New Roman" w:eastAsia="Times New Roman" w:hAnsi="Times New Roman" w:cs="Times New Roman"/>
          <w:bCs/>
          <w:iCs/>
          <w:sz w:val="24"/>
          <w:szCs w:val="24"/>
        </w:rPr>
        <w:t xml:space="preserve">Šajā apakšnodaļā putnu sugas sakārtotas sistemātiskā secībā atbilstoši </w:t>
      </w:r>
      <w:r w:rsidR="002D5D3A">
        <w:rPr>
          <w:rFonts w:ascii="Times New Roman" w:eastAsia="Times New Roman" w:hAnsi="Times New Roman" w:cs="Times New Roman"/>
          <w:bCs/>
          <w:iCs/>
          <w:sz w:val="24"/>
          <w:szCs w:val="24"/>
        </w:rPr>
        <w:t>“</w:t>
      </w:r>
      <w:proofErr w:type="spellStart"/>
      <w:r w:rsidRPr="00A07F29">
        <w:rPr>
          <w:rFonts w:ascii="Times New Roman" w:eastAsia="Times New Roman" w:hAnsi="Times New Roman" w:cs="Times New Roman"/>
          <w:bCs/>
          <w:iCs/>
          <w:sz w:val="24"/>
          <w:szCs w:val="24"/>
        </w:rPr>
        <w:t>The</w:t>
      </w:r>
      <w:proofErr w:type="spellEnd"/>
      <w:r w:rsidRPr="00A07F29">
        <w:rPr>
          <w:rFonts w:ascii="Times New Roman" w:eastAsia="Times New Roman" w:hAnsi="Times New Roman" w:cs="Times New Roman"/>
          <w:bCs/>
          <w:iCs/>
          <w:sz w:val="24"/>
          <w:szCs w:val="24"/>
        </w:rPr>
        <w:t xml:space="preserve"> </w:t>
      </w:r>
      <w:proofErr w:type="spellStart"/>
      <w:r w:rsidRPr="00A07F29">
        <w:rPr>
          <w:rFonts w:ascii="Times New Roman" w:eastAsia="Times New Roman" w:hAnsi="Times New Roman" w:cs="Times New Roman"/>
          <w:bCs/>
          <w:iCs/>
          <w:sz w:val="24"/>
          <w:szCs w:val="24"/>
        </w:rPr>
        <w:t>Clements</w:t>
      </w:r>
      <w:proofErr w:type="spellEnd"/>
      <w:r w:rsidRPr="00A07F29">
        <w:rPr>
          <w:rFonts w:ascii="Times New Roman" w:eastAsia="Times New Roman" w:hAnsi="Times New Roman" w:cs="Times New Roman"/>
          <w:bCs/>
          <w:iCs/>
          <w:sz w:val="24"/>
          <w:szCs w:val="24"/>
        </w:rPr>
        <w:t xml:space="preserve"> </w:t>
      </w:r>
      <w:proofErr w:type="spellStart"/>
      <w:r w:rsidRPr="00A07F29">
        <w:rPr>
          <w:rFonts w:ascii="Times New Roman" w:eastAsia="Times New Roman" w:hAnsi="Times New Roman" w:cs="Times New Roman"/>
          <w:bCs/>
          <w:iCs/>
          <w:sz w:val="24"/>
          <w:szCs w:val="24"/>
        </w:rPr>
        <w:t>Checklist</w:t>
      </w:r>
      <w:proofErr w:type="spellEnd"/>
      <w:r w:rsidRPr="00A07F29">
        <w:rPr>
          <w:rFonts w:ascii="Times New Roman" w:eastAsia="Times New Roman" w:hAnsi="Times New Roman" w:cs="Times New Roman"/>
          <w:bCs/>
          <w:iCs/>
          <w:sz w:val="24"/>
          <w:szCs w:val="24"/>
        </w:rPr>
        <w:t xml:space="preserve"> </w:t>
      </w:r>
      <w:proofErr w:type="spellStart"/>
      <w:r w:rsidRPr="00A07F29">
        <w:rPr>
          <w:rFonts w:ascii="Times New Roman" w:eastAsia="Times New Roman" w:hAnsi="Times New Roman" w:cs="Times New Roman"/>
          <w:bCs/>
          <w:iCs/>
          <w:sz w:val="24"/>
          <w:szCs w:val="24"/>
        </w:rPr>
        <w:t>of</w:t>
      </w:r>
      <w:proofErr w:type="spellEnd"/>
      <w:r w:rsidRPr="00A07F29">
        <w:rPr>
          <w:rFonts w:ascii="Times New Roman" w:eastAsia="Times New Roman" w:hAnsi="Times New Roman" w:cs="Times New Roman"/>
          <w:bCs/>
          <w:iCs/>
          <w:sz w:val="24"/>
          <w:szCs w:val="24"/>
        </w:rPr>
        <w:t xml:space="preserve"> </w:t>
      </w:r>
      <w:proofErr w:type="spellStart"/>
      <w:r w:rsidRPr="00A07F29">
        <w:rPr>
          <w:rFonts w:ascii="Times New Roman" w:eastAsia="Times New Roman" w:hAnsi="Times New Roman" w:cs="Times New Roman"/>
          <w:bCs/>
          <w:iCs/>
          <w:sz w:val="24"/>
          <w:szCs w:val="24"/>
        </w:rPr>
        <w:t>Birds</w:t>
      </w:r>
      <w:proofErr w:type="spellEnd"/>
      <w:r w:rsidRPr="00A07F29">
        <w:rPr>
          <w:rFonts w:ascii="Times New Roman" w:eastAsia="Times New Roman" w:hAnsi="Times New Roman" w:cs="Times New Roman"/>
          <w:bCs/>
          <w:iCs/>
          <w:sz w:val="24"/>
          <w:szCs w:val="24"/>
        </w:rPr>
        <w:t xml:space="preserve"> </w:t>
      </w:r>
      <w:proofErr w:type="spellStart"/>
      <w:r w:rsidRPr="00A07F29">
        <w:rPr>
          <w:rFonts w:ascii="Times New Roman" w:eastAsia="Times New Roman" w:hAnsi="Times New Roman" w:cs="Times New Roman"/>
          <w:bCs/>
          <w:iCs/>
          <w:sz w:val="24"/>
          <w:szCs w:val="24"/>
        </w:rPr>
        <w:t>of</w:t>
      </w:r>
      <w:proofErr w:type="spellEnd"/>
      <w:r w:rsidRPr="00A07F29">
        <w:rPr>
          <w:rFonts w:ascii="Times New Roman" w:eastAsia="Times New Roman" w:hAnsi="Times New Roman" w:cs="Times New Roman"/>
          <w:bCs/>
          <w:iCs/>
          <w:sz w:val="24"/>
          <w:szCs w:val="24"/>
        </w:rPr>
        <w:t xml:space="preserve"> </w:t>
      </w:r>
      <w:proofErr w:type="spellStart"/>
      <w:r w:rsidRPr="00A07F29">
        <w:rPr>
          <w:rFonts w:ascii="Times New Roman" w:eastAsia="Times New Roman" w:hAnsi="Times New Roman" w:cs="Times New Roman"/>
          <w:bCs/>
          <w:iCs/>
          <w:sz w:val="24"/>
          <w:szCs w:val="24"/>
        </w:rPr>
        <w:t>the</w:t>
      </w:r>
      <w:proofErr w:type="spellEnd"/>
      <w:r w:rsidRPr="00A07F29">
        <w:rPr>
          <w:rFonts w:ascii="Times New Roman" w:eastAsia="Times New Roman" w:hAnsi="Times New Roman" w:cs="Times New Roman"/>
          <w:bCs/>
          <w:iCs/>
          <w:sz w:val="24"/>
          <w:szCs w:val="24"/>
        </w:rPr>
        <w:t xml:space="preserve"> </w:t>
      </w:r>
      <w:proofErr w:type="spellStart"/>
      <w:r w:rsidRPr="00A07F29">
        <w:rPr>
          <w:rFonts w:ascii="Times New Roman" w:eastAsia="Times New Roman" w:hAnsi="Times New Roman" w:cs="Times New Roman"/>
          <w:bCs/>
          <w:iCs/>
          <w:sz w:val="24"/>
          <w:szCs w:val="24"/>
        </w:rPr>
        <w:t>World</w:t>
      </w:r>
      <w:proofErr w:type="spellEnd"/>
      <w:r w:rsidRPr="00A07F29">
        <w:rPr>
          <w:rFonts w:ascii="Times New Roman" w:eastAsia="Times New Roman" w:hAnsi="Times New Roman" w:cs="Times New Roman"/>
          <w:bCs/>
          <w:iCs/>
          <w:sz w:val="24"/>
          <w:szCs w:val="24"/>
        </w:rPr>
        <w:t xml:space="preserve">, 6th </w:t>
      </w:r>
      <w:proofErr w:type="spellStart"/>
      <w:r w:rsidRPr="00A07F29">
        <w:rPr>
          <w:rFonts w:ascii="Times New Roman" w:eastAsia="Times New Roman" w:hAnsi="Times New Roman" w:cs="Times New Roman"/>
          <w:bCs/>
          <w:iCs/>
          <w:sz w:val="24"/>
          <w:szCs w:val="24"/>
        </w:rPr>
        <w:t>Edition</w:t>
      </w:r>
      <w:proofErr w:type="spellEnd"/>
      <w:r w:rsidRPr="00A07F29">
        <w:rPr>
          <w:rFonts w:ascii="Times New Roman" w:eastAsia="Times New Roman" w:hAnsi="Times New Roman" w:cs="Times New Roman"/>
          <w:bCs/>
          <w:iCs/>
          <w:sz w:val="24"/>
          <w:szCs w:val="24"/>
        </w:rPr>
        <w:t xml:space="preserve"> 2007</w:t>
      </w:r>
      <w:r w:rsidR="00337096">
        <w:rPr>
          <w:rFonts w:ascii="Times New Roman" w:eastAsia="Times New Roman" w:hAnsi="Times New Roman" w:cs="Times New Roman"/>
          <w:bCs/>
          <w:iCs/>
          <w:sz w:val="24"/>
          <w:szCs w:val="24"/>
        </w:rPr>
        <w:t>”</w:t>
      </w:r>
      <w:r w:rsidRPr="00A07F29">
        <w:rPr>
          <w:rFonts w:ascii="Times New Roman" w:eastAsia="Times New Roman" w:hAnsi="Times New Roman" w:cs="Times New Roman"/>
          <w:bCs/>
          <w:iCs/>
          <w:sz w:val="24"/>
          <w:szCs w:val="24"/>
        </w:rPr>
        <w:t xml:space="preserve"> (versija 6.5). Informācija par aizsargājamo putnu sugu populācijām AAA “Augšdaugava” un to aizsardzības statusu apkopota </w:t>
      </w:r>
      <w:r w:rsidR="0010451C" w:rsidRPr="00A07F29">
        <w:rPr>
          <w:rFonts w:ascii="Times New Roman" w:eastAsia="Times New Roman" w:hAnsi="Times New Roman" w:cs="Times New Roman"/>
          <w:bCs/>
          <w:iCs/>
          <w:sz w:val="24"/>
          <w:szCs w:val="24"/>
        </w:rPr>
        <w:t>4.10.2.1.</w:t>
      </w:r>
      <w:r w:rsidRPr="00A07F29">
        <w:rPr>
          <w:rFonts w:ascii="Times New Roman" w:eastAsia="Times New Roman" w:hAnsi="Times New Roman" w:cs="Times New Roman"/>
          <w:bCs/>
          <w:iCs/>
          <w:sz w:val="24"/>
          <w:szCs w:val="24"/>
        </w:rPr>
        <w:t xml:space="preserve"> un </w:t>
      </w:r>
      <w:r w:rsidR="0010451C" w:rsidRPr="00A07F29">
        <w:rPr>
          <w:rFonts w:ascii="Times New Roman" w:eastAsia="Times New Roman" w:hAnsi="Times New Roman" w:cs="Times New Roman"/>
          <w:bCs/>
          <w:iCs/>
          <w:sz w:val="24"/>
          <w:szCs w:val="24"/>
        </w:rPr>
        <w:t>4.10.2.2.</w:t>
      </w:r>
      <w:r w:rsidR="00337096">
        <w:rPr>
          <w:rFonts w:ascii="Times New Roman" w:eastAsia="Times New Roman" w:hAnsi="Times New Roman" w:cs="Times New Roman"/>
          <w:bCs/>
          <w:iCs/>
          <w:sz w:val="24"/>
          <w:szCs w:val="24"/>
        </w:rPr>
        <w:t> </w:t>
      </w:r>
      <w:r w:rsidR="0010451C" w:rsidRPr="00A07F29">
        <w:rPr>
          <w:rFonts w:ascii="Times New Roman" w:eastAsia="Times New Roman" w:hAnsi="Times New Roman" w:cs="Times New Roman"/>
          <w:bCs/>
          <w:iCs/>
          <w:sz w:val="24"/>
          <w:szCs w:val="24"/>
        </w:rPr>
        <w:t>tabulā</w:t>
      </w:r>
      <w:r w:rsidRPr="00A07F29">
        <w:rPr>
          <w:rFonts w:ascii="Times New Roman" w:eastAsia="Times New Roman" w:hAnsi="Times New Roman" w:cs="Times New Roman"/>
          <w:bCs/>
          <w:iCs/>
          <w:sz w:val="24"/>
          <w:szCs w:val="24"/>
        </w:rPr>
        <w:t>, kartogrāfiskais materiāls 4.</w:t>
      </w:r>
      <w:r w:rsidR="0010451C" w:rsidRPr="00A07F29">
        <w:rPr>
          <w:rFonts w:ascii="Times New Roman" w:eastAsia="Times New Roman" w:hAnsi="Times New Roman" w:cs="Times New Roman"/>
          <w:bCs/>
          <w:iCs/>
          <w:sz w:val="24"/>
          <w:szCs w:val="24"/>
        </w:rPr>
        <w:t>10</w:t>
      </w:r>
      <w:r w:rsidRPr="00A07F29">
        <w:rPr>
          <w:rFonts w:ascii="Times New Roman" w:eastAsia="Times New Roman" w:hAnsi="Times New Roman" w:cs="Times New Roman"/>
          <w:bCs/>
          <w:iCs/>
          <w:sz w:val="24"/>
          <w:szCs w:val="24"/>
        </w:rPr>
        <w:t>.</w:t>
      </w:r>
      <w:r w:rsidR="00337096">
        <w:rPr>
          <w:rFonts w:ascii="Times New Roman" w:eastAsia="Times New Roman" w:hAnsi="Times New Roman" w:cs="Times New Roman"/>
          <w:bCs/>
          <w:iCs/>
          <w:sz w:val="24"/>
          <w:szCs w:val="24"/>
        </w:rPr>
        <w:t> </w:t>
      </w:r>
      <w:r w:rsidRPr="00A07F29">
        <w:rPr>
          <w:rFonts w:ascii="Times New Roman" w:eastAsia="Times New Roman" w:hAnsi="Times New Roman" w:cs="Times New Roman"/>
          <w:bCs/>
          <w:iCs/>
          <w:sz w:val="24"/>
          <w:szCs w:val="24"/>
        </w:rPr>
        <w:t>pielikumā.</w:t>
      </w:r>
    </w:p>
    <w:p w14:paraId="19BD918C" w14:textId="2CA7755F" w:rsidR="0010451C" w:rsidRPr="00A07F29" w:rsidRDefault="0010451C" w:rsidP="000D31D3">
      <w:pPr>
        <w:widowControl w:val="0"/>
        <w:autoSpaceDE w:val="0"/>
        <w:spacing w:before="240" w:after="120" w:line="240" w:lineRule="auto"/>
        <w:jc w:val="center"/>
        <w:rPr>
          <w:rFonts w:ascii="Times New Roman" w:eastAsia="Calibri" w:hAnsi="Times New Roman"/>
          <w:bCs/>
          <w:sz w:val="24"/>
          <w:szCs w:val="24"/>
        </w:rPr>
      </w:pPr>
      <w:r w:rsidRPr="00A07F29">
        <w:rPr>
          <w:rFonts w:ascii="Times New Roman" w:eastAsia="Times New Roman" w:hAnsi="Times New Roman" w:cs="Times New Roman"/>
          <w:bCs/>
          <w:iCs/>
          <w:sz w:val="24"/>
          <w:szCs w:val="24"/>
        </w:rPr>
        <w:t>4.10.2.1.</w:t>
      </w:r>
      <w:r w:rsidR="00337096">
        <w:rPr>
          <w:rFonts w:ascii="Times New Roman" w:eastAsia="Times New Roman" w:hAnsi="Times New Roman" w:cs="Times New Roman"/>
          <w:bCs/>
          <w:iCs/>
          <w:sz w:val="24"/>
          <w:szCs w:val="24"/>
        </w:rPr>
        <w:t> </w:t>
      </w:r>
      <w:r w:rsidRPr="00A07F29">
        <w:rPr>
          <w:rFonts w:ascii="Times New Roman" w:eastAsia="Times New Roman" w:hAnsi="Times New Roman" w:cs="Times New Roman"/>
          <w:bCs/>
          <w:iCs/>
          <w:sz w:val="24"/>
          <w:szCs w:val="24"/>
        </w:rPr>
        <w:t xml:space="preserve">tabula. </w:t>
      </w:r>
      <w:r w:rsidRPr="00A07F29">
        <w:rPr>
          <w:rFonts w:ascii="Times New Roman" w:eastAsia="Calibri" w:hAnsi="Times New Roman"/>
          <w:bCs/>
          <w:sz w:val="24"/>
          <w:szCs w:val="24"/>
        </w:rPr>
        <w:t>Biotopu direktīvas pielikumos un Putnu direktīvas I pielikumā iekļauto sugu populāciju lielums un sugu dzīvotņu platība.</w:t>
      </w:r>
    </w:p>
    <w:p w14:paraId="5077F39E" w14:textId="1C8E50B5" w:rsidR="0010451C" w:rsidRPr="007A6108" w:rsidRDefault="007A6108" w:rsidP="007A6108">
      <w:pPr>
        <w:spacing w:line="240" w:lineRule="auto"/>
        <w:jc w:val="center"/>
        <w:rPr>
          <w:rFonts w:ascii="Times New Roman" w:hAnsi="Times New Roman" w:cs="Times New Roman"/>
          <w:bCs/>
          <w:iCs/>
          <w:sz w:val="20"/>
          <w:szCs w:val="20"/>
        </w:rPr>
      </w:pPr>
      <w:r>
        <w:rPr>
          <w:rFonts w:ascii="Times New Roman" w:hAnsi="Times New Roman" w:cs="Times New Roman"/>
          <w:bCs/>
          <w:iCs/>
          <w:sz w:val="20"/>
          <w:szCs w:val="20"/>
        </w:rPr>
        <w:t>(</w:t>
      </w:r>
      <w:r w:rsidR="0010451C" w:rsidRPr="007A6108">
        <w:rPr>
          <w:rFonts w:ascii="Times New Roman" w:hAnsi="Times New Roman" w:cs="Times New Roman"/>
          <w:bCs/>
          <w:iCs/>
          <w:sz w:val="20"/>
          <w:szCs w:val="20"/>
        </w:rPr>
        <w:t>Putnu sug</w:t>
      </w:r>
      <w:r>
        <w:rPr>
          <w:rFonts w:ascii="Times New Roman" w:hAnsi="Times New Roman" w:cs="Times New Roman"/>
          <w:bCs/>
          <w:iCs/>
          <w:sz w:val="20"/>
          <w:szCs w:val="20"/>
        </w:rPr>
        <w:t>as</w:t>
      </w:r>
      <w:r w:rsidR="0010451C" w:rsidRPr="007A6108">
        <w:rPr>
          <w:rFonts w:ascii="Times New Roman" w:hAnsi="Times New Roman" w:cs="Times New Roman"/>
          <w:bCs/>
          <w:iCs/>
          <w:sz w:val="20"/>
          <w:szCs w:val="20"/>
        </w:rPr>
        <w:t xml:space="preserve"> sakārtotas sistemātiskā secībā atbilstoši "</w:t>
      </w:r>
      <w:proofErr w:type="spellStart"/>
      <w:r w:rsidR="0010451C" w:rsidRPr="007A6108">
        <w:rPr>
          <w:rFonts w:ascii="Times New Roman" w:hAnsi="Times New Roman" w:cs="Times New Roman"/>
          <w:bCs/>
          <w:iCs/>
          <w:sz w:val="20"/>
          <w:szCs w:val="20"/>
        </w:rPr>
        <w:t>The</w:t>
      </w:r>
      <w:proofErr w:type="spellEnd"/>
      <w:r w:rsidR="0010451C" w:rsidRPr="007A6108">
        <w:rPr>
          <w:rFonts w:ascii="Times New Roman" w:hAnsi="Times New Roman" w:cs="Times New Roman"/>
          <w:bCs/>
          <w:iCs/>
          <w:sz w:val="20"/>
          <w:szCs w:val="20"/>
        </w:rPr>
        <w:t xml:space="preserve"> </w:t>
      </w:r>
      <w:proofErr w:type="spellStart"/>
      <w:r w:rsidR="0010451C" w:rsidRPr="007A6108">
        <w:rPr>
          <w:rFonts w:ascii="Times New Roman" w:hAnsi="Times New Roman" w:cs="Times New Roman"/>
          <w:bCs/>
          <w:iCs/>
          <w:sz w:val="20"/>
          <w:szCs w:val="20"/>
        </w:rPr>
        <w:t>Clements</w:t>
      </w:r>
      <w:proofErr w:type="spellEnd"/>
      <w:r w:rsidR="0010451C" w:rsidRPr="007A6108">
        <w:rPr>
          <w:rFonts w:ascii="Times New Roman" w:hAnsi="Times New Roman" w:cs="Times New Roman"/>
          <w:bCs/>
          <w:iCs/>
          <w:sz w:val="20"/>
          <w:szCs w:val="20"/>
        </w:rPr>
        <w:t xml:space="preserve"> </w:t>
      </w:r>
      <w:proofErr w:type="spellStart"/>
      <w:r w:rsidR="0010451C" w:rsidRPr="007A6108">
        <w:rPr>
          <w:rFonts w:ascii="Times New Roman" w:hAnsi="Times New Roman" w:cs="Times New Roman"/>
          <w:bCs/>
          <w:iCs/>
          <w:sz w:val="20"/>
          <w:szCs w:val="20"/>
        </w:rPr>
        <w:t>Checklist</w:t>
      </w:r>
      <w:proofErr w:type="spellEnd"/>
      <w:r w:rsidR="0010451C" w:rsidRPr="007A6108">
        <w:rPr>
          <w:rFonts w:ascii="Times New Roman" w:hAnsi="Times New Roman" w:cs="Times New Roman"/>
          <w:bCs/>
          <w:iCs/>
          <w:sz w:val="20"/>
          <w:szCs w:val="20"/>
        </w:rPr>
        <w:t xml:space="preserve"> </w:t>
      </w:r>
      <w:proofErr w:type="spellStart"/>
      <w:r w:rsidR="0010451C" w:rsidRPr="007A6108">
        <w:rPr>
          <w:rFonts w:ascii="Times New Roman" w:hAnsi="Times New Roman" w:cs="Times New Roman"/>
          <w:bCs/>
          <w:iCs/>
          <w:sz w:val="20"/>
          <w:szCs w:val="20"/>
        </w:rPr>
        <w:t>of</w:t>
      </w:r>
      <w:proofErr w:type="spellEnd"/>
      <w:r w:rsidR="0010451C" w:rsidRPr="007A6108">
        <w:rPr>
          <w:rFonts w:ascii="Times New Roman" w:hAnsi="Times New Roman" w:cs="Times New Roman"/>
          <w:bCs/>
          <w:iCs/>
          <w:sz w:val="20"/>
          <w:szCs w:val="20"/>
        </w:rPr>
        <w:t xml:space="preserve"> </w:t>
      </w:r>
      <w:proofErr w:type="spellStart"/>
      <w:r w:rsidR="0010451C" w:rsidRPr="007A6108">
        <w:rPr>
          <w:rFonts w:ascii="Times New Roman" w:hAnsi="Times New Roman" w:cs="Times New Roman"/>
          <w:bCs/>
          <w:iCs/>
          <w:sz w:val="20"/>
          <w:szCs w:val="20"/>
        </w:rPr>
        <w:t>Birds</w:t>
      </w:r>
      <w:proofErr w:type="spellEnd"/>
      <w:r w:rsidR="0010451C" w:rsidRPr="007A6108">
        <w:rPr>
          <w:rFonts w:ascii="Times New Roman" w:hAnsi="Times New Roman" w:cs="Times New Roman"/>
          <w:bCs/>
          <w:iCs/>
          <w:sz w:val="20"/>
          <w:szCs w:val="20"/>
        </w:rPr>
        <w:t xml:space="preserve"> </w:t>
      </w:r>
      <w:proofErr w:type="spellStart"/>
      <w:r w:rsidR="0010451C" w:rsidRPr="007A6108">
        <w:rPr>
          <w:rFonts w:ascii="Times New Roman" w:hAnsi="Times New Roman" w:cs="Times New Roman"/>
          <w:bCs/>
          <w:iCs/>
          <w:sz w:val="20"/>
          <w:szCs w:val="20"/>
        </w:rPr>
        <w:t>of</w:t>
      </w:r>
      <w:proofErr w:type="spellEnd"/>
      <w:r w:rsidR="0010451C" w:rsidRPr="007A6108">
        <w:rPr>
          <w:rFonts w:ascii="Times New Roman" w:hAnsi="Times New Roman" w:cs="Times New Roman"/>
          <w:bCs/>
          <w:iCs/>
          <w:sz w:val="20"/>
          <w:szCs w:val="20"/>
        </w:rPr>
        <w:t xml:space="preserve"> </w:t>
      </w:r>
      <w:proofErr w:type="spellStart"/>
      <w:r w:rsidR="0010451C" w:rsidRPr="007A6108">
        <w:rPr>
          <w:rFonts w:ascii="Times New Roman" w:hAnsi="Times New Roman" w:cs="Times New Roman"/>
          <w:bCs/>
          <w:iCs/>
          <w:sz w:val="20"/>
          <w:szCs w:val="20"/>
        </w:rPr>
        <w:t>the</w:t>
      </w:r>
      <w:proofErr w:type="spellEnd"/>
      <w:r w:rsidR="0010451C" w:rsidRPr="007A6108">
        <w:rPr>
          <w:rFonts w:ascii="Times New Roman" w:hAnsi="Times New Roman" w:cs="Times New Roman"/>
          <w:bCs/>
          <w:iCs/>
          <w:sz w:val="20"/>
          <w:szCs w:val="20"/>
        </w:rPr>
        <w:t xml:space="preserve"> </w:t>
      </w:r>
      <w:proofErr w:type="spellStart"/>
      <w:r w:rsidR="0010451C" w:rsidRPr="007A6108">
        <w:rPr>
          <w:rFonts w:ascii="Times New Roman" w:hAnsi="Times New Roman" w:cs="Times New Roman"/>
          <w:bCs/>
          <w:iCs/>
          <w:sz w:val="20"/>
          <w:szCs w:val="20"/>
        </w:rPr>
        <w:t>World</w:t>
      </w:r>
      <w:proofErr w:type="spellEnd"/>
      <w:r w:rsidR="0010451C" w:rsidRPr="007A6108">
        <w:rPr>
          <w:rFonts w:ascii="Times New Roman" w:hAnsi="Times New Roman" w:cs="Times New Roman"/>
          <w:bCs/>
          <w:iCs/>
          <w:sz w:val="20"/>
          <w:szCs w:val="20"/>
        </w:rPr>
        <w:t xml:space="preserve">, 6th </w:t>
      </w:r>
      <w:proofErr w:type="spellStart"/>
      <w:r w:rsidR="0010451C" w:rsidRPr="007A6108">
        <w:rPr>
          <w:rFonts w:ascii="Times New Roman" w:hAnsi="Times New Roman" w:cs="Times New Roman"/>
          <w:bCs/>
          <w:iCs/>
          <w:sz w:val="20"/>
          <w:szCs w:val="20"/>
        </w:rPr>
        <w:t>Edition</w:t>
      </w:r>
      <w:proofErr w:type="spellEnd"/>
      <w:r w:rsidR="0010451C" w:rsidRPr="007A6108">
        <w:rPr>
          <w:rFonts w:ascii="Times New Roman" w:hAnsi="Times New Roman" w:cs="Times New Roman"/>
          <w:bCs/>
          <w:iCs/>
          <w:sz w:val="20"/>
          <w:szCs w:val="20"/>
        </w:rPr>
        <w:t xml:space="preserve"> 2007" (versija 6.5)</w:t>
      </w:r>
      <w:r>
        <w:rPr>
          <w:rFonts w:ascii="Times New Roman" w:hAnsi="Times New Roman" w:cs="Times New Roman"/>
          <w:bCs/>
          <w:iCs/>
          <w:sz w:val="20"/>
          <w:szCs w:val="20"/>
        </w:rPr>
        <w:t>)</w:t>
      </w:r>
      <w:r w:rsidR="0010451C" w:rsidRPr="007A6108">
        <w:rPr>
          <w:rFonts w:ascii="Times New Roman" w:hAnsi="Times New Roman" w:cs="Times New Roman"/>
          <w:bCs/>
          <w:iCs/>
          <w:sz w:val="20"/>
          <w:szCs w:val="20"/>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552"/>
        <w:gridCol w:w="850"/>
        <w:gridCol w:w="993"/>
        <w:gridCol w:w="2126"/>
        <w:gridCol w:w="1984"/>
      </w:tblGrid>
      <w:tr w:rsidR="000D31D3" w:rsidRPr="00A07F29" w14:paraId="157B58D0" w14:textId="77777777" w:rsidTr="00786008">
        <w:trPr>
          <w:tblHeader/>
        </w:trPr>
        <w:tc>
          <w:tcPr>
            <w:tcW w:w="709" w:type="dxa"/>
            <w:vMerge w:val="restart"/>
            <w:shd w:val="clear" w:color="auto" w:fill="EAF1DD" w:themeFill="accent3" w:themeFillTint="33"/>
            <w:vAlign w:val="center"/>
          </w:tcPr>
          <w:p w14:paraId="7FB4C9B1" w14:textId="77777777" w:rsidR="000D31D3" w:rsidRPr="00A07F29" w:rsidRDefault="000D31D3" w:rsidP="000F31D9">
            <w:pPr>
              <w:spacing w:after="0" w:line="240" w:lineRule="auto"/>
              <w:jc w:val="both"/>
              <w:rPr>
                <w:rFonts w:ascii="Times New Roman" w:hAnsi="Times New Roman" w:cs="Times New Roman"/>
              </w:rPr>
            </w:pPr>
            <w:r w:rsidRPr="00A07F29">
              <w:rPr>
                <w:rFonts w:ascii="Times New Roman" w:hAnsi="Times New Roman" w:cs="Times New Roman"/>
              </w:rPr>
              <w:t>Nr.</w:t>
            </w:r>
          </w:p>
          <w:p w14:paraId="24C9DF9F" w14:textId="19E4F5C2" w:rsidR="000D31D3" w:rsidRPr="00A07F29" w:rsidRDefault="000D31D3" w:rsidP="000F31D9">
            <w:pPr>
              <w:spacing w:after="0" w:line="240" w:lineRule="auto"/>
              <w:jc w:val="both"/>
              <w:rPr>
                <w:rFonts w:ascii="Times New Roman" w:hAnsi="Times New Roman" w:cs="Times New Roman"/>
              </w:rPr>
            </w:pPr>
            <w:r w:rsidRPr="00A07F29">
              <w:rPr>
                <w:rFonts w:ascii="Times New Roman" w:hAnsi="Times New Roman" w:cs="Times New Roman"/>
              </w:rPr>
              <w:t>p.k.</w:t>
            </w:r>
          </w:p>
        </w:tc>
        <w:tc>
          <w:tcPr>
            <w:tcW w:w="2552" w:type="dxa"/>
            <w:vMerge w:val="restart"/>
            <w:shd w:val="clear" w:color="auto" w:fill="EAF1DD" w:themeFill="accent3" w:themeFillTint="33"/>
            <w:vAlign w:val="center"/>
          </w:tcPr>
          <w:p w14:paraId="16638D86" w14:textId="77777777" w:rsidR="000D31D3" w:rsidRPr="00A07F29" w:rsidRDefault="000D31D3" w:rsidP="000D31D3">
            <w:pPr>
              <w:spacing w:after="0" w:line="240" w:lineRule="auto"/>
              <w:rPr>
                <w:rFonts w:ascii="Times New Roman" w:hAnsi="Times New Roman" w:cs="Times New Roman"/>
              </w:rPr>
            </w:pPr>
            <w:r w:rsidRPr="00A07F29">
              <w:rPr>
                <w:rFonts w:ascii="Times New Roman" w:hAnsi="Times New Roman" w:cs="Times New Roman"/>
              </w:rPr>
              <w:t xml:space="preserve">Sugas nosaukums </w:t>
            </w:r>
          </w:p>
          <w:p w14:paraId="6F94ADD3" w14:textId="3085C1AB" w:rsidR="000D31D3" w:rsidRPr="00A07F29" w:rsidRDefault="000D31D3" w:rsidP="000D31D3">
            <w:pPr>
              <w:spacing w:after="0" w:line="240" w:lineRule="auto"/>
              <w:rPr>
                <w:rFonts w:ascii="Times New Roman" w:hAnsi="Times New Roman" w:cs="Times New Roman"/>
              </w:rPr>
            </w:pPr>
            <w:r w:rsidRPr="00A07F29">
              <w:rPr>
                <w:rFonts w:ascii="Times New Roman" w:hAnsi="Times New Roman" w:cs="Times New Roman"/>
              </w:rPr>
              <w:t>(latviski un latīniski)</w:t>
            </w:r>
          </w:p>
        </w:tc>
        <w:tc>
          <w:tcPr>
            <w:tcW w:w="1843" w:type="dxa"/>
            <w:gridSpan w:val="2"/>
            <w:shd w:val="clear" w:color="auto" w:fill="EAF1DD" w:themeFill="accent3" w:themeFillTint="33"/>
            <w:vAlign w:val="center"/>
          </w:tcPr>
          <w:p w14:paraId="35DD7A67" w14:textId="77777777"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Sugas populācijas lielums teritorijā</w:t>
            </w:r>
          </w:p>
        </w:tc>
        <w:tc>
          <w:tcPr>
            <w:tcW w:w="2126" w:type="dxa"/>
            <w:vMerge w:val="restart"/>
            <w:shd w:val="clear" w:color="auto" w:fill="EAF1DD" w:themeFill="accent3" w:themeFillTint="33"/>
            <w:vAlign w:val="center"/>
          </w:tcPr>
          <w:p w14:paraId="0CAD99E9" w14:textId="77777777"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 xml:space="preserve">Teritorijā esošās sugas populācijas attiecība (%) pret sugas populāciju </w:t>
            </w:r>
            <w:proofErr w:type="spellStart"/>
            <w:r w:rsidRPr="00A07F29">
              <w:rPr>
                <w:rFonts w:ascii="Times New Roman" w:hAnsi="Times New Roman" w:cs="Times New Roman"/>
                <w:i/>
              </w:rPr>
              <w:t>Natura</w:t>
            </w:r>
            <w:proofErr w:type="spellEnd"/>
            <w:r w:rsidRPr="00A07F29">
              <w:rPr>
                <w:rFonts w:ascii="Times New Roman" w:hAnsi="Times New Roman" w:cs="Times New Roman"/>
                <w:i/>
              </w:rPr>
              <w:t xml:space="preserve"> 2000</w:t>
            </w:r>
            <w:r w:rsidRPr="00A07F29">
              <w:rPr>
                <w:rFonts w:ascii="Times New Roman" w:hAnsi="Times New Roman" w:cs="Times New Roman"/>
              </w:rPr>
              <w:t xml:space="preserve"> teritorijās Latvijā kopumā</w:t>
            </w:r>
          </w:p>
        </w:tc>
        <w:tc>
          <w:tcPr>
            <w:tcW w:w="1984" w:type="dxa"/>
            <w:vMerge w:val="restart"/>
            <w:shd w:val="clear" w:color="auto" w:fill="EAF1DD" w:themeFill="accent3" w:themeFillTint="33"/>
            <w:vAlign w:val="center"/>
          </w:tcPr>
          <w:p w14:paraId="7AF646F9" w14:textId="77777777"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Teritorijā esošās sugas populācijas attiecība (%) pret sugas populāciju valstī</w:t>
            </w:r>
          </w:p>
        </w:tc>
      </w:tr>
      <w:tr w:rsidR="000D31D3" w:rsidRPr="00A07F29" w14:paraId="0316514C" w14:textId="77777777" w:rsidTr="00897B37">
        <w:trPr>
          <w:trHeight w:val="1386"/>
        </w:trPr>
        <w:tc>
          <w:tcPr>
            <w:tcW w:w="709" w:type="dxa"/>
            <w:vMerge/>
          </w:tcPr>
          <w:p w14:paraId="380ADEAF" w14:textId="77777777" w:rsidR="000D31D3" w:rsidRPr="00A07F29" w:rsidRDefault="000D31D3" w:rsidP="000F31D9">
            <w:pPr>
              <w:spacing w:after="0" w:line="240" w:lineRule="auto"/>
              <w:jc w:val="both"/>
              <w:rPr>
                <w:rFonts w:ascii="Times New Roman" w:hAnsi="Times New Roman" w:cs="Times New Roman"/>
              </w:rPr>
            </w:pPr>
          </w:p>
        </w:tc>
        <w:tc>
          <w:tcPr>
            <w:tcW w:w="2552" w:type="dxa"/>
            <w:vMerge/>
          </w:tcPr>
          <w:p w14:paraId="140D9F1E" w14:textId="77777777" w:rsidR="000D31D3" w:rsidRPr="00A07F29" w:rsidRDefault="000D31D3" w:rsidP="000D31D3">
            <w:pPr>
              <w:spacing w:after="0" w:line="240" w:lineRule="auto"/>
              <w:rPr>
                <w:rFonts w:ascii="Times New Roman" w:hAnsi="Times New Roman" w:cs="Times New Roman"/>
              </w:rPr>
            </w:pPr>
          </w:p>
        </w:tc>
        <w:tc>
          <w:tcPr>
            <w:tcW w:w="850" w:type="dxa"/>
            <w:shd w:val="clear" w:color="auto" w:fill="EAF1DD" w:themeFill="accent3" w:themeFillTint="33"/>
            <w:vAlign w:val="center"/>
          </w:tcPr>
          <w:p w14:paraId="699DF692" w14:textId="77777777"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Min.</w:t>
            </w:r>
          </w:p>
        </w:tc>
        <w:tc>
          <w:tcPr>
            <w:tcW w:w="993" w:type="dxa"/>
            <w:shd w:val="clear" w:color="auto" w:fill="EAF1DD" w:themeFill="accent3" w:themeFillTint="33"/>
            <w:vAlign w:val="center"/>
          </w:tcPr>
          <w:p w14:paraId="6C09337A" w14:textId="77777777"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Maks.</w:t>
            </w:r>
          </w:p>
        </w:tc>
        <w:tc>
          <w:tcPr>
            <w:tcW w:w="2126" w:type="dxa"/>
            <w:vMerge/>
          </w:tcPr>
          <w:p w14:paraId="3808B380" w14:textId="77777777" w:rsidR="000D31D3" w:rsidRPr="00A07F29" w:rsidRDefault="000D31D3" w:rsidP="000D31D3">
            <w:pPr>
              <w:spacing w:after="0" w:line="240" w:lineRule="auto"/>
              <w:jc w:val="center"/>
              <w:rPr>
                <w:rFonts w:ascii="Times New Roman" w:hAnsi="Times New Roman" w:cs="Times New Roman"/>
              </w:rPr>
            </w:pPr>
          </w:p>
        </w:tc>
        <w:tc>
          <w:tcPr>
            <w:tcW w:w="1984" w:type="dxa"/>
            <w:vMerge/>
          </w:tcPr>
          <w:p w14:paraId="40DB09CB" w14:textId="77777777" w:rsidR="000D31D3" w:rsidRPr="00A07F29" w:rsidRDefault="000D31D3" w:rsidP="000D31D3">
            <w:pPr>
              <w:spacing w:after="0" w:line="240" w:lineRule="auto"/>
              <w:jc w:val="center"/>
              <w:rPr>
                <w:rFonts w:ascii="Times New Roman" w:hAnsi="Times New Roman" w:cs="Times New Roman"/>
              </w:rPr>
            </w:pPr>
          </w:p>
        </w:tc>
      </w:tr>
      <w:tr w:rsidR="000D31D3" w:rsidRPr="00A07F29" w14:paraId="07C49493" w14:textId="77777777" w:rsidTr="000F31D9">
        <w:tc>
          <w:tcPr>
            <w:tcW w:w="709" w:type="dxa"/>
          </w:tcPr>
          <w:p w14:paraId="0A39946C" w14:textId="38172095" w:rsidR="000D31D3" w:rsidRPr="00A07F29" w:rsidRDefault="000F31D9" w:rsidP="000F31D9">
            <w:pPr>
              <w:spacing w:after="0" w:line="240" w:lineRule="auto"/>
              <w:jc w:val="center"/>
              <w:rPr>
                <w:rFonts w:cs="Times New Roman"/>
              </w:rPr>
            </w:pPr>
            <w:r w:rsidRPr="00A07F29">
              <w:rPr>
                <w:rFonts w:cs="Times New Roman"/>
              </w:rPr>
              <w:t>1.</w:t>
            </w:r>
          </w:p>
        </w:tc>
        <w:tc>
          <w:tcPr>
            <w:tcW w:w="2552" w:type="dxa"/>
            <w:vAlign w:val="center"/>
          </w:tcPr>
          <w:p w14:paraId="492206A8" w14:textId="77777777" w:rsidR="000D31D3" w:rsidRPr="00A07F29" w:rsidRDefault="000D31D3" w:rsidP="000D31D3">
            <w:pPr>
              <w:spacing w:after="0" w:line="240" w:lineRule="auto"/>
              <w:rPr>
                <w:rFonts w:ascii="Times New Roman" w:hAnsi="Times New Roman" w:cs="Times New Roman"/>
              </w:rPr>
            </w:pPr>
            <w:r w:rsidRPr="00A07F29">
              <w:rPr>
                <w:rFonts w:ascii="Times New Roman" w:hAnsi="Times New Roman" w:cs="Times New Roman"/>
              </w:rPr>
              <w:t>Ziemeļu gulbis</w:t>
            </w:r>
          </w:p>
          <w:p w14:paraId="5DFFB579" w14:textId="40990357" w:rsidR="000D31D3" w:rsidRPr="00A07F29" w:rsidRDefault="000D31D3" w:rsidP="000D31D3">
            <w:pPr>
              <w:spacing w:after="0" w:line="240" w:lineRule="auto"/>
              <w:rPr>
                <w:rFonts w:ascii="Times New Roman" w:hAnsi="Times New Roman" w:cs="Times New Roman"/>
                <w:i/>
              </w:rPr>
            </w:pPr>
            <w:proofErr w:type="spellStart"/>
            <w:r w:rsidRPr="00A07F29">
              <w:rPr>
                <w:rFonts w:ascii="Times New Roman" w:hAnsi="Times New Roman" w:cs="Times New Roman"/>
                <w:i/>
                <w:iCs/>
              </w:rPr>
              <w:t>Cygnus</w:t>
            </w:r>
            <w:proofErr w:type="spellEnd"/>
            <w:r w:rsidRPr="00A07F29">
              <w:rPr>
                <w:rFonts w:ascii="Times New Roman" w:hAnsi="Times New Roman" w:cs="Times New Roman"/>
                <w:i/>
                <w:iCs/>
              </w:rPr>
              <w:t xml:space="preserve"> </w:t>
            </w:r>
            <w:proofErr w:type="spellStart"/>
            <w:r w:rsidRPr="00A07F29">
              <w:rPr>
                <w:rFonts w:ascii="Times New Roman" w:hAnsi="Times New Roman" w:cs="Times New Roman"/>
                <w:i/>
                <w:iCs/>
              </w:rPr>
              <w:t>cygnus</w:t>
            </w:r>
            <w:proofErr w:type="spellEnd"/>
          </w:p>
        </w:tc>
        <w:tc>
          <w:tcPr>
            <w:tcW w:w="850" w:type="dxa"/>
            <w:vAlign w:val="center"/>
          </w:tcPr>
          <w:p w14:paraId="35E1C34E" w14:textId="77777777"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3</w:t>
            </w:r>
          </w:p>
        </w:tc>
        <w:tc>
          <w:tcPr>
            <w:tcW w:w="993" w:type="dxa"/>
            <w:vAlign w:val="center"/>
          </w:tcPr>
          <w:p w14:paraId="310E6885" w14:textId="77777777"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5</w:t>
            </w:r>
          </w:p>
        </w:tc>
        <w:tc>
          <w:tcPr>
            <w:tcW w:w="2126" w:type="dxa"/>
            <w:vAlign w:val="center"/>
          </w:tcPr>
          <w:p w14:paraId="10CC8059" w14:textId="307DA344"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&lt;1</w:t>
            </w:r>
            <w:r w:rsidR="00C615E2">
              <w:rPr>
                <w:rFonts w:ascii="Times New Roman" w:hAnsi="Times New Roman" w:cs="Times New Roman"/>
              </w:rPr>
              <w:t> </w:t>
            </w:r>
            <w:r w:rsidRPr="00A07F29">
              <w:rPr>
                <w:rFonts w:ascii="Times New Roman" w:hAnsi="Times New Roman" w:cs="Times New Roman"/>
              </w:rPr>
              <w:t>%</w:t>
            </w:r>
          </w:p>
        </w:tc>
        <w:tc>
          <w:tcPr>
            <w:tcW w:w="1984" w:type="dxa"/>
            <w:vAlign w:val="center"/>
          </w:tcPr>
          <w:p w14:paraId="10649B7E" w14:textId="2DCA1B1F"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3,8</w:t>
            </w:r>
            <w:r w:rsidR="00C615E2">
              <w:rPr>
                <w:rFonts w:ascii="Times New Roman" w:hAnsi="Times New Roman" w:cs="Times New Roman"/>
              </w:rPr>
              <w:t xml:space="preserve"> </w:t>
            </w:r>
            <w:r w:rsidRPr="00A07F29">
              <w:rPr>
                <w:rFonts w:ascii="Times New Roman" w:hAnsi="Times New Roman" w:cs="Times New Roman"/>
              </w:rPr>
              <w:t>– 6,3</w:t>
            </w:r>
            <w:r w:rsidR="00C615E2">
              <w:rPr>
                <w:rFonts w:ascii="Times New Roman" w:hAnsi="Times New Roman" w:cs="Times New Roman"/>
              </w:rPr>
              <w:t> </w:t>
            </w:r>
            <w:r w:rsidRPr="00A07F29">
              <w:rPr>
                <w:rFonts w:ascii="Times New Roman" w:hAnsi="Times New Roman" w:cs="Times New Roman"/>
              </w:rPr>
              <w:t>%</w:t>
            </w:r>
          </w:p>
        </w:tc>
      </w:tr>
      <w:tr w:rsidR="000D31D3" w:rsidRPr="00A07F29" w14:paraId="5C351AE5" w14:textId="77777777" w:rsidTr="000F31D9">
        <w:tc>
          <w:tcPr>
            <w:tcW w:w="709" w:type="dxa"/>
          </w:tcPr>
          <w:p w14:paraId="1B8484BA" w14:textId="19084935" w:rsidR="000D31D3" w:rsidRPr="00A07F29" w:rsidRDefault="000F31D9" w:rsidP="000F31D9">
            <w:pPr>
              <w:spacing w:after="0" w:line="240" w:lineRule="auto"/>
              <w:jc w:val="center"/>
              <w:rPr>
                <w:rFonts w:cs="Times New Roman"/>
              </w:rPr>
            </w:pPr>
            <w:r w:rsidRPr="00A07F29">
              <w:rPr>
                <w:rFonts w:cs="Times New Roman"/>
              </w:rPr>
              <w:t>2.</w:t>
            </w:r>
          </w:p>
        </w:tc>
        <w:tc>
          <w:tcPr>
            <w:tcW w:w="2552" w:type="dxa"/>
            <w:vAlign w:val="center"/>
          </w:tcPr>
          <w:p w14:paraId="19770E24" w14:textId="77777777" w:rsidR="000F31D9" w:rsidRPr="00A07F29" w:rsidRDefault="000D31D3" w:rsidP="000D31D3">
            <w:pPr>
              <w:spacing w:after="0" w:line="240" w:lineRule="auto"/>
              <w:rPr>
                <w:rFonts w:ascii="Times New Roman" w:eastAsia="Times New Roman" w:hAnsi="Times New Roman" w:cs="Times New Roman"/>
                <w:color w:val="000000"/>
              </w:rPr>
            </w:pPr>
            <w:r w:rsidRPr="00A07F29">
              <w:rPr>
                <w:rFonts w:ascii="Times New Roman" w:eastAsia="Times New Roman" w:hAnsi="Times New Roman" w:cs="Times New Roman"/>
                <w:color w:val="000000"/>
              </w:rPr>
              <w:t xml:space="preserve">Rubenis </w:t>
            </w:r>
          </w:p>
          <w:p w14:paraId="45E48553" w14:textId="43F497F9" w:rsidR="000D31D3" w:rsidRPr="00A07F29" w:rsidRDefault="000D31D3" w:rsidP="000D31D3">
            <w:pPr>
              <w:spacing w:after="0" w:line="240" w:lineRule="auto"/>
              <w:rPr>
                <w:rFonts w:ascii="Times New Roman" w:eastAsia="Times New Roman" w:hAnsi="Times New Roman" w:cs="Times New Roman"/>
                <w:color w:val="000000"/>
              </w:rPr>
            </w:pPr>
            <w:proofErr w:type="spellStart"/>
            <w:r w:rsidRPr="00A07F29">
              <w:rPr>
                <w:rFonts w:ascii="Times New Roman" w:eastAsia="Times New Roman" w:hAnsi="Times New Roman" w:cs="Times New Roman"/>
                <w:i/>
                <w:color w:val="000000"/>
              </w:rPr>
              <w:t>Lyrurus</w:t>
            </w:r>
            <w:proofErr w:type="spellEnd"/>
            <w:r w:rsidRPr="00A07F29">
              <w:rPr>
                <w:rFonts w:ascii="Times New Roman" w:eastAsia="Times New Roman" w:hAnsi="Times New Roman" w:cs="Times New Roman"/>
                <w:i/>
                <w:color w:val="000000"/>
              </w:rPr>
              <w:t xml:space="preserve"> </w:t>
            </w:r>
            <w:proofErr w:type="spellStart"/>
            <w:r w:rsidRPr="00A07F29">
              <w:rPr>
                <w:rFonts w:ascii="Times New Roman" w:eastAsia="Times New Roman" w:hAnsi="Times New Roman" w:cs="Times New Roman"/>
                <w:i/>
                <w:color w:val="000000"/>
              </w:rPr>
              <w:t>tetrix</w:t>
            </w:r>
            <w:proofErr w:type="spellEnd"/>
          </w:p>
        </w:tc>
        <w:tc>
          <w:tcPr>
            <w:tcW w:w="850" w:type="dxa"/>
            <w:vAlign w:val="center"/>
          </w:tcPr>
          <w:p w14:paraId="6ADB8C01" w14:textId="77777777"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20</w:t>
            </w:r>
          </w:p>
        </w:tc>
        <w:tc>
          <w:tcPr>
            <w:tcW w:w="993" w:type="dxa"/>
            <w:vAlign w:val="center"/>
          </w:tcPr>
          <w:p w14:paraId="0396EDD1" w14:textId="77777777"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40</w:t>
            </w:r>
          </w:p>
        </w:tc>
        <w:tc>
          <w:tcPr>
            <w:tcW w:w="2126" w:type="dxa"/>
            <w:vAlign w:val="center"/>
          </w:tcPr>
          <w:p w14:paraId="502E0A52" w14:textId="4ABF73CB"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&lt;1</w:t>
            </w:r>
            <w:r w:rsidR="00C615E2">
              <w:rPr>
                <w:rFonts w:ascii="Times New Roman" w:hAnsi="Times New Roman" w:cs="Times New Roman"/>
              </w:rPr>
              <w:t> </w:t>
            </w:r>
            <w:r w:rsidRPr="00A07F29">
              <w:rPr>
                <w:rFonts w:ascii="Times New Roman" w:hAnsi="Times New Roman" w:cs="Times New Roman"/>
              </w:rPr>
              <w:t>%</w:t>
            </w:r>
          </w:p>
        </w:tc>
        <w:tc>
          <w:tcPr>
            <w:tcW w:w="1984" w:type="dxa"/>
            <w:vAlign w:val="center"/>
          </w:tcPr>
          <w:p w14:paraId="114EC9C1" w14:textId="7C6B71DD"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2,6 –</w:t>
            </w:r>
            <w:r w:rsidR="00C615E2">
              <w:rPr>
                <w:rFonts w:ascii="Times New Roman" w:hAnsi="Times New Roman" w:cs="Times New Roman"/>
              </w:rPr>
              <w:t xml:space="preserve"> </w:t>
            </w:r>
            <w:r w:rsidRPr="00A07F29">
              <w:rPr>
                <w:rFonts w:ascii="Times New Roman" w:hAnsi="Times New Roman" w:cs="Times New Roman"/>
              </w:rPr>
              <w:t>2,8</w:t>
            </w:r>
            <w:r w:rsidR="00C615E2">
              <w:rPr>
                <w:rFonts w:ascii="Times New Roman" w:hAnsi="Times New Roman" w:cs="Times New Roman"/>
              </w:rPr>
              <w:t> </w:t>
            </w:r>
            <w:r w:rsidRPr="00A07F29">
              <w:rPr>
                <w:rFonts w:ascii="Times New Roman" w:hAnsi="Times New Roman" w:cs="Times New Roman"/>
              </w:rPr>
              <w:t>%</w:t>
            </w:r>
          </w:p>
        </w:tc>
      </w:tr>
      <w:tr w:rsidR="000D31D3" w:rsidRPr="00A07F29" w14:paraId="2424AF12" w14:textId="77777777" w:rsidTr="000F31D9">
        <w:tc>
          <w:tcPr>
            <w:tcW w:w="709" w:type="dxa"/>
          </w:tcPr>
          <w:p w14:paraId="7C55B36E" w14:textId="0AE11156" w:rsidR="000D31D3" w:rsidRPr="00A07F29" w:rsidRDefault="000F31D9" w:rsidP="000F31D9">
            <w:pPr>
              <w:spacing w:after="0" w:line="240" w:lineRule="auto"/>
              <w:jc w:val="center"/>
              <w:rPr>
                <w:rFonts w:cs="Times New Roman"/>
              </w:rPr>
            </w:pPr>
            <w:r w:rsidRPr="00A07F29">
              <w:rPr>
                <w:rFonts w:cs="Times New Roman"/>
              </w:rPr>
              <w:t>3.</w:t>
            </w:r>
          </w:p>
        </w:tc>
        <w:tc>
          <w:tcPr>
            <w:tcW w:w="2552" w:type="dxa"/>
            <w:vAlign w:val="center"/>
          </w:tcPr>
          <w:p w14:paraId="0F90468C" w14:textId="77777777" w:rsidR="000F31D9" w:rsidRPr="00A07F29" w:rsidRDefault="000D31D3" w:rsidP="000D31D3">
            <w:pPr>
              <w:spacing w:after="0" w:line="240" w:lineRule="auto"/>
              <w:rPr>
                <w:rFonts w:ascii="Times New Roman" w:hAnsi="Times New Roman" w:cs="Times New Roman"/>
              </w:rPr>
            </w:pPr>
            <w:r w:rsidRPr="00A07F29">
              <w:rPr>
                <w:rFonts w:ascii="Times New Roman" w:hAnsi="Times New Roman" w:cs="Times New Roman"/>
              </w:rPr>
              <w:t xml:space="preserve">Mežirbe </w:t>
            </w:r>
          </w:p>
          <w:p w14:paraId="7ED186E8" w14:textId="557F4BEA" w:rsidR="000D31D3" w:rsidRPr="00A07F29" w:rsidRDefault="000D31D3" w:rsidP="000D31D3">
            <w:pPr>
              <w:spacing w:after="0" w:line="240" w:lineRule="auto"/>
              <w:rPr>
                <w:rFonts w:ascii="Times New Roman" w:hAnsi="Times New Roman" w:cs="Times New Roman"/>
              </w:rPr>
            </w:pPr>
            <w:proofErr w:type="spellStart"/>
            <w:r w:rsidRPr="00A07F29">
              <w:rPr>
                <w:rFonts w:ascii="Times New Roman" w:hAnsi="Times New Roman" w:cs="Times New Roman"/>
                <w:i/>
              </w:rPr>
              <w:t>Tetrastes</w:t>
            </w:r>
            <w:proofErr w:type="spellEnd"/>
            <w:r w:rsidRPr="00A07F29">
              <w:rPr>
                <w:rFonts w:ascii="Times New Roman" w:hAnsi="Times New Roman" w:cs="Times New Roman"/>
                <w:i/>
              </w:rPr>
              <w:t xml:space="preserve"> </w:t>
            </w:r>
            <w:proofErr w:type="spellStart"/>
            <w:r w:rsidRPr="00A07F29">
              <w:rPr>
                <w:rFonts w:ascii="Times New Roman" w:hAnsi="Times New Roman" w:cs="Times New Roman"/>
                <w:i/>
              </w:rPr>
              <w:t>bonasia</w:t>
            </w:r>
            <w:proofErr w:type="spellEnd"/>
          </w:p>
        </w:tc>
        <w:tc>
          <w:tcPr>
            <w:tcW w:w="850" w:type="dxa"/>
            <w:vAlign w:val="center"/>
          </w:tcPr>
          <w:p w14:paraId="47316D8A" w14:textId="77777777"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50</w:t>
            </w:r>
          </w:p>
        </w:tc>
        <w:tc>
          <w:tcPr>
            <w:tcW w:w="993" w:type="dxa"/>
            <w:vAlign w:val="center"/>
          </w:tcPr>
          <w:p w14:paraId="4E441954" w14:textId="77777777"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100</w:t>
            </w:r>
          </w:p>
        </w:tc>
        <w:tc>
          <w:tcPr>
            <w:tcW w:w="2126" w:type="dxa"/>
            <w:vAlign w:val="center"/>
          </w:tcPr>
          <w:p w14:paraId="258C8F52" w14:textId="40FC24BF"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0,4 – 1</w:t>
            </w:r>
            <w:r w:rsidR="00C615E2">
              <w:rPr>
                <w:rFonts w:ascii="Times New Roman" w:hAnsi="Times New Roman" w:cs="Times New Roman"/>
              </w:rPr>
              <w:t> </w:t>
            </w:r>
            <w:r w:rsidRPr="00A07F29">
              <w:rPr>
                <w:rFonts w:ascii="Times New Roman" w:hAnsi="Times New Roman" w:cs="Times New Roman"/>
              </w:rPr>
              <w:t>%</w:t>
            </w:r>
          </w:p>
        </w:tc>
        <w:tc>
          <w:tcPr>
            <w:tcW w:w="1984" w:type="dxa"/>
            <w:vAlign w:val="center"/>
          </w:tcPr>
          <w:p w14:paraId="1C631488" w14:textId="241A77CC"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3,2 – 3,6</w:t>
            </w:r>
            <w:r w:rsidR="00C615E2">
              <w:rPr>
                <w:rFonts w:ascii="Times New Roman" w:hAnsi="Times New Roman" w:cs="Times New Roman"/>
              </w:rPr>
              <w:t> </w:t>
            </w:r>
            <w:r w:rsidRPr="00A07F29">
              <w:rPr>
                <w:rFonts w:ascii="Times New Roman" w:hAnsi="Times New Roman" w:cs="Times New Roman"/>
              </w:rPr>
              <w:t>%</w:t>
            </w:r>
          </w:p>
        </w:tc>
      </w:tr>
      <w:tr w:rsidR="000D31D3" w:rsidRPr="00A07F29" w14:paraId="7CC01AE9" w14:textId="77777777" w:rsidTr="000F31D9">
        <w:tc>
          <w:tcPr>
            <w:tcW w:w="709" w:type="dxa"/>
          </w:tcPr>
          <w:p w14:paraId="2E5D00CF" w14:textId="31DAA75D" w:rsidR="000D31D3" w:rsidRPr="00A07F29" w:rsidRDefault="000F31D9" w:rsidP="000F31D9">
            <w:pPr>
              <w:spacing w:after="0" w:line="240" w:lineRule="auto"/>
              <w:jc w:val="center"/>
              <w:rPr>
                <w:rFonts w:cs="Times New Roman"/>
              </w:rPr>
            </w:pPr>
            <w:r w:rsidRPr="00A07F29">
              <w:rPr>
                <w:rFonts w:cs="Times New Roman"/>
              </w:rPr>
              <w:lastRenderedPageBreak/>
              <w:t>4.</w:t>
            </w:r>
          </w:p>
        </w:tc>
        <w:tc>
          <w:tcPr>
            <w:tcW w:w="2552" w:type="dxa"/>
            <w:vAlign w:val="center"/>
          </w:tcPr>
          <w:p w14:paraId="2BA09059" w14:textId="77777777" w:rsidR="000D31D3" w:rsidRPr="00A07F29" w:rsidRDefault="000D31D3" w:rsidP="000D31D3">
            <w:pPr>
              <w:spacing w:after="0" w:line="240" w:lineRule="auto"/>
              <w:rPr>
                <w:rFonts w:ascii="Times New Roman" w:eastAsia="Times New Roman" w:hAnsi="Times New Roman" w:cs="Times New Roman"/>
                <w:color w:val="000000"/>
              </w:rPr>
            </w:pPr>
            <w:r w:rsidRPr="00A07F29">
              <w:rPr>
                <w:rFonts w:ascii="Times New Roman" w:eastAsia="Times New Roman" w:hAnsi="Times New Roman" w:cs="Times New Roman"/>
                <w:color w:val="000000"/>
              </w:rPr>
              <w:t>Melnais stārķis</w:t>
            </w:r>
          </w:p>
          <w:p w14:paraId="40F4D2AD" w14:textId="1909E4F0" w:rsidR="000D31D3" w:rsidRPr="00A07F29" w:rsidRDefault="000D31D3" w:rsidP="000D31D3">
            <w:pPr>
              <w:spacing w:after="0" w:line="240" w:lineRule="auto"/>
              <w:rPr>
                <w:rFonts w:ascii="Times New Roman" w:hAnsi="Times New Roman" w:cs="Times New Roman"/>
                <w:i/>
                <w:iCs/>
              </w:rPr>
            </w:pPr>
            <w:proofErr w:type="spellStart"/>
            <w:r w:rsidRPr="00A07F29">
              <w:rPr>
                <w:rFonts w:ascii="Times New Roman" w:eastAsia="Times New Roman" w:hAnsi="Times New Roman" w:cs="Times New Roman"/>
                <w:i/>
                <w:color w:val="000000"/>
              </w:rPr>
              <w:t>Ciconia</w:t>
            </w:r>
            <w:proofErr w:type="spellEnd"/>
            <w:r w:rsidRPr="00A07F29">
              <w:rPr>
                <w:rFonts w:ascii="Times New Roman" w:eastAsia="Times New Roman" w:hAnsi="Times New Roman" w:cs="Times New Roman"/>
                <w:i/>
                <w:color w:val="000000"/>
              </w:rPr>
              <w:t xml:space="preserve"> </w:t>
            </w:r>
            <w:proofErr w:type="spellStart"/>
            <w:r w:rsidRPr="00A07F29">
              <w:rPr>
                <w:rFonts w:ascii="Times New Roman" w:eastAsia="Times New Roman" w:hAnsi="Times New Roman" w:cs="Times New Roman"/>
                <w:i/>
                <w:color w:val="000000"/>
              </w:rPr>
              <w:t>nigra</w:t>
            </w:r>
            <w:proofErr w:type="spellEnd"/>
          </w:p>
        </w:tc>
        <w:tc>
          <w:tcPr>
            <w:tcW w:w="850" w:type="dxa"/>
            <w:vAlign w:val="center"/>
          </w:tcPr>
          <w:p w14:paraId="0B4309A6" w14:textId="77777777"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1</w:t>
            </w:r>
          </w:p>
        </w:tc>
        <w:tc>
          <w:tcPr>
            <w:tcW w:w="993" w:type="dxa"/>
            <w:vAlign w:val="center"/>
          </w:tcPr>
          <w:p w14:paraId="25D5CDC5" w14:textId="77777777"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2</w:t>
            </w:r>
          </w:p>
        </w:tc>
        <w:tc>
          <w:tcPr>
            <w:tcW w:w="2126" w:type="dxa"/>
            <w:vAlign w:val="center"/>
          </w:tcPr>
          <w:p w14:paraId="1643B558" w14:textId="2672A0BB"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1,2 – 1,4</w:t>
            </w:r>
            <w:r w:rsidR="00C615E2">
              <w:rPr>
                <w:rFonts w:ascii="Times New Roman" w:hAnsi="Times New Roman" w:cs="Times New Roman"/>
              </w:rPr>
              <w:t> </w:t>
            </w:r>
            <w:r w:rsidRPr="00A07F29">
              <w:rPr>
                <w:rFonts w:ascii="Times New Roman" w:hAnsi="Times New Roman" w:cs="Times New Roman"/>
              </w:rPr>
              <w:t>%</w:t>
            </w:r>
          </w:p>
        </w:tc>
        <w:tc>
          <w:tcPr>
            <w:tcW w:w="1984" w:type="dxa"/>
            <w:vAlign w:val="center"/>
          </w:tcPr>
          <w:p w14:paraId="3E909BFA" w14:textId="168CF4B0"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12,5 – 25</w:t>
            </w:r>
            <w:r w:rsidR="00C615E2">
              <w:rPr>
                <w:rFonts w:ascii="Times New Roman" w:hAnsi="Times New Roman" w:cs="Times New Roman"/>
              </w:rPr>
              <w:t> </w:t>
            </w:r>
            <w:r w:rsidRPr="00A07F29">
              <w:rPr>
                <w:rFonts w:ascii="Times New Roman" w:hAnsi="Times New Roman" w:cs="Times New Roman"/>
              </w:rPr>
              <w:t>%</w:t>
            </w:r>
          </w:p>
        </w:tc>
      </w:tr>
      <w:tr w:rsidR="000D31D3" w:rsidRPr="00A07F29" w14:paraId="240CBD8A" w14:textId="77777777" w:rsidTr="000F31D9">
        <w:tc>
          <w:tcPr>
            <w:tcW w:w="709" w:type="dxa"/>
          </w:tcPr>
          <w:p w14:paraId="70D55D25" w14:textId="529259ED" w:rsidR="000D31D3" w:rsidRPr="00A07F29" w:rsidRDefault="000F31D9" w:rsidP="000F31D9">
            <w:pPr>
              <w:spacing w:after="0" w:line="240" w:lineRule="auto"/>
              <w:jc w:val="center"/>
              <w:rPr>
                <w:rFonts w:cs="Times New Roman"/>
              </w:rPr>
            </w:pPr>
            <w:r w:rsidRPr="00A07F29">
              <w:rPr>
                <w:rFonts w:cs="Times New Roman"/>
              </w:rPr>
              <w:t>4.</w:t>
            </w:r>
          </w:p>
        </w:tc>
        <w:tc>
          <w:tcPr>
            <w:tcW w:w="2552" w:type="dxa"/>
            <w:vAlign w:val="center"/>
          </w:tcPr>
          <w:p w14:paraId="08912086" w14:textId="77777777" w:rsidR="000F31D9" w:rsidRPr="00A07F29" w:rsidRDefault="000D31D3" w:rsidP="000D31D3">
            <w:pPr>
              <w:spacing w:after="0" w:line="240" w:lineRule="auto"/>
              <w:rPr>
                <w:rFonts w:ascii="Times New Roman" w:eastAsia="Times New Roman" w:hAnsi="Times New Roman" w:cs="Times New Roman"/>
                <w:color w:val="000000"/>
              </w:rPr>
            </w:pPr>
            <w:r w:rsidRPr="00A07F29">
              <w:rPr>
                <w:rFonts w:ascii="Times New Roman" w:eastAsia="Times New Roman" w:hAnsi="Times New Roman" w:cs="Times New Roman"/>
                <w:color w:val="000000"/>
              </w:rPr>
              <w:t xml:space="preserve">Baltais stārķis </w:t>
            </w:r>
          </w:p>
          <w:p w14:paraId="44634210" w14:textId="72C19C2B" w:rsidR="000D31D3" w:rsidRPr="00A07F29" w:rsidRDefault="000D31D3" w:rsidP="000D31D3">
            <w:pPr>
              <w:spacing w:after="0" w:line="240" w:lineRule="auto"/>
              <w:rPr>
                <w:rFonts w:ascii="Times New Roman" w:eastAsia="Times New Roman" w:hAnsi="Times New Roman" w:cs="Times New Roman"/>
                <w:i/>
                <w:color w:val="000000"/>
              </w:rPr>
            </w:pPr>
            <w:proofErr w:type="spellStart"/>
            <w:r w:rsidRPr="00A07F29">
              <w:rPr>
                <w:rFonts w:ascii="Times New Roman" w:eastAsia="Times New Roman" w:hAnsi="Times New Roman" w:cs="Times New Roman"/>
                <w:i/>
                <w:color w:val="000000"/>
              </w:rPr>
              <w:t>Ciconia</w:t>
            </w:r>
            <w:proofErr w:type="spellEnd"/>
            <w:r w:rsidRPr="00A07F29">
              <w:rPr>
                <w:rFonts w:ascii="Times New Roman" w:eastAsia="Times New Roman" w:hAnsi="Times New Roman" w:cs="Times New Roman"/>
                <w:i/>
                <w:color w:val="000000"/>
              </w:rPr>
              <w:t xml:space="preserve"> </w:t>
            </w:r>
            <w:proofErr w:type="spellStart"/>
            <w:r w:rsidRPr="00A07F29">
              <w:rPr>
                <w:rFonts w:ascii="Times New Roman" w:eastAsia="Times New Roman" w:hAnsi="Times New Roman" w:cs="Times New Roman"/>
                <w:i/>
                <w:color w:val="000000"/>
              </w:rPr>
              <w:t>ciconia</w:t>
            </w:r>
            <w:proofErr w:type="spellEnd"/>
          </w:p>
        </w:tc>
        <w:tc>
          <w:tcPr>
            <w:tcW w:w="850" w:type="dxa"/>
            <w:vAlign w:val="center"/>
          </w:tcPr>
          <w:p w14:paraId="2EEA2FC3" w14:textId="77777777"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110</w:t>
            </w:r>
          </w:p>
        </w:tc>
        <w:tc>
          <w:tcPr>
            <w:tcW w:w="993" w:type="dxa"/>
            <w:vAlign w:val="center"/>
          </w:tcPr>
          <w:p w14:paraId="69371E69" w14:textId="77777777"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140</w:t>
            </w:r>
          </w:p>
        </w:tc>
        <w:tc>
          <w:tcPr>
            <w:tcW w:w="2126" w:type="dxa"/>
            <w:vAlign w:val="center"/>
          </w:tcPr>
          <w:p w14:paraId="0296826E" w14:textId="3893B3BE"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0,8 – 1</w:t>
            </w:r>
            <w:r w:rsidR="00C615E2">
              <w:rPr>
                <w:rFonts w:ascii="Times New Roman" w:hAnsi="Times New Roman" w:cs="Times New Roman"/>
              </w:rPr>
              <w:t> </w:t>
            </w:r>
            <w:r w:rsidRPr="00A07F29">
              <w:rPr>
                <w:rFonts w:ascii="Times New Roman" w:hAnsi="Times New Roman" w:cs="Times New Roman"/>
              </w:rPr>
              <w:t>%</w:t>
            </w:r>
          </w:p>
        </w:tc>
        <w:tc>
          <w:tcPr>
            <w:tcW w:w="1984" w:type="dxa"/>
            <w:vAlign w:val="center"/>
          </w:tcPr>
          <w:p w14:paraId="63167918" w14:textId="15635585"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13,1 – 15,3</w:t>
            </w:r>
            <w:r w:rsidR="00C615E2">
              <w:rPr>
                <w:rFonts w:ascii="Times New Roman" w:hAnsi="Times New Roman" w:cs="Times New Roman"/>
              </w:rPr>
              <w:t> </w:t>
            </w:r>
            <w:r w:rsidRPr="00A07F29">
              <w:rPr>
                <w:rFonts w:ascii="Times New Roman" w:hAnsi="Times New Roman" w:cs="Times New Roman"/>
              </w:rPr>
              <w:t>%</w:t>
            </w:r>
          </w:p>
        </w:tc>
      </w:tr>
      <w:tr w:rsidR="000D31D3" w:rsidRPr="00A07F29" w14:paraId="35E7FB49" w14:textId="77777777" w:rsidTr="000F31D9">
        <w:tc>
          <w:tcPr>
            <w:tcW w:w="709" w:type="dxa"/>
          </w:tcPr>
          <w:p w14:paraId="17D02390" w14:textId="061F0F1D" w:rsidR="000D31D3" w:rsidRPr="00A07F29" w:rsidRDefault="000F31D9" w:rsidP="000F31D9">
            <w:pPr>
              <w:spacing w:after="0" w:line="240" w:lineRule="auto"/>
              <w:jc w:val="center"/>
              <w:rPr>
                <w:rFonts w:cs="Times New Roman"/>
              </w:rPr>
            </w:pPr>
            <w:r w:rsidRPr="00A07F29">
              <w:rPr>
                <w:rFonts w:cs="Times New Roman"/>
              </w:rPr>
              <w:t>6.</w:t>
            </w:r>
          </w:p>
        </w:tc>
        <w:tc>
          <w:tcPr>
            <w:tcW w:w="2552" w:type="dxa"/>
            <w:vAlign w:val="center"/>
          </w:tcPr>
          <w:p w14:paraId="3401359F" w14:textId="77777777" w:rsidR="000F31D9" w:rsidRPr="00A07F29" w:rsidRDefault="000D31D3" w:rsidP="000D31D3">
            <w:pPr>
              <w:spacing w:after="0" w:line="240" w:lineRule="auto"/>
              <w:rPr>
                <w:rFonts w:ascii="Times New Roman" w:eastAsia="Times New Roman" w:hAnsi="Times New Roman" w:cs="Times New Roman"/>
                <w:color w:val="000000"/>
              </w:rPr>
            </w:pPr>
            <w:r w:rsidRPr="00A07F29">
              <w:rPr>
                <w:rFonts w:ascii="Times New Roman" w:eastAsia="Times New Roman" w:hAnsi="Times New Roman" w:cs="Times New Roman"/>
                <w:color w:val="000000"/>
              </w:rPr>
              <w:t xml:space="preserve">Lielais dumpis </w:t>
            </w:r>
          </w:p>
          <w:p w14:paraId="26F10948" w14:textId="3216E94E" w:rsidR="000D31D3" w:rsidRPr="00A07F29" w:rsidRDefault="000D31D3" w:rsidP="000D31D3">
            <w:pPr>
              <w:spacing w:after="0" w:line="240" w:lineRule="auto"/>
              <w:rPr>
                <w:rFonts w:ascii="Times New Roman" w:hAnsi="Times New Roman" w:cs="Times New Roman"/>
                <w:i/>
              </w:rPr>
            </w:pPr>
            <w:proofErr w:type="spellStart"/>
            <w:r w:rsidRPr="00A07F29">
              <w:rPr>
                <w:rFonts w:ascii="Times New Roman" w:eastAsia="Times New Roman" w:hAnsi="Times New Roman" w:cs="Times New Roman"/>
                <w:i/>
                <w:color w:val="000000"/>
              </w:rPr>
              <w:t>Botaurus</w:t>
            </w:r>
            <w:proofErr w:type="spellEnd"/>
            <w:r w:rsidRPr="00A07F29">
              <w:rPr>
                <w:rFonts w:ascii="Times New Roman" w:eastAsia="Times New Roman" w:hAnsi="Times New Roman" w:cs="Times New Roman"/>
                <w:i/>
                <w:color w:val="000000"/>
              </w:rPr>
              <w:t xml:space="preserve"> </w:t>
            </w:r>
            <w:proofErr w:type="spellStart"/>
            <w:r w:rsidRPr="00A07F29">
              <w:rPr>
                <w:rFonts w:ascii="Times New Roman" w:eastAsia="Times New Roman" w:hAnsi="Times New Roman" w:cs="Times New Roman"/>
                <w:i/>
                <w:color w:val="000000"/>
              </w:rPr>
              <w:t>stellaris</w:t>
            </w:r>
            <w:proofErr w:type="spellEnd"/>
          </w:p>
        </w:tc>
        <w:tc>
          <w:tcPr>
            <w:tcW w:w="850" w:type="dxa"/>
            <w:vAlign w:val="center"/>
          </w:tcPr>
          <w:p w14:paraId="07FDCAF4" w14:textId="77777777"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3</w:t>
            </w:r>
          </w:p>
        </w:tc>
        <w:tc>
          <w:tcPr>
            <w:tcW w:w="993" w:type="dxa"/>
            <w:vAlign w:val="center"/>
          </w:tcPr>
          <w:p w14:paraId="2E5FA42B" w14:textId="77777777"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5</w:t>
            </w:r>
          </w:p>
        </w:tc>
        <w:tc>
          <w:tcPr>
            <w:tcW w:w="2126" w:type="dxa"/>
            <w:vAlign w:val="center"/>
          </w:tcPr>
          <w:p w14:paraId="2629E1EF" w14:textId="1ED48C76"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0,7 – 1,2</w:t>
            </w:r>
            <w:r w:rsidR="00C615E2">
              <w:rPr>
                <w:rFonts w:ascii="Times New Roman" w:hAnsi="Times New Roman" w:cs="Times New Roman"/>
              </w:rPr>
              <w:t> </w:t>
            </w:r>
            <w:r w:rsidRPr="00A07F29">
              <w:rPr>
                <w:rFonts w:ascii="Times New Roman" w:hAnsi="Times New Roman" w:cs="Times New Roman"/>
              </w:rPr>
              <w:t>%</w:t>
            </w:r>
          </w:p>
        </w:tc>
        <w:tc>
          <w:tcPr>
            <w:tcW w:w="1984" w:type="dxa"/>
            <w:vAlign w:val="center"/>
          </w:tcPr>
          <w:p w14:paraId="2FCD5F46" w14:textId="5B1D46BC"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1,8</w:t>
            </w:r>
            <w:r w:rsidR="00C615E2">
              <w:rPr>
                <w:rFonts w:ascii="Times New Roman" w:hAnsi="Times New Roman" w:cs="Times New Roman"/>
              </w:rPr>
              <w:t> </w:t>
            </w:r>
            <w:r w:rsidRPr="00A07F29">
              <w:rPr>
                <w:rFonts w:ascii="Times New Roman" w:hAnsi="Times New Roman" w:cs="Times New Roman"/>
              </w:rPr>
              <w:t>%</w:t>
            </w:r>
          </w:p>
        </w:tc>
      </w:tr>
      <w:tr w:rsidR="000D31D3" w:rsidRPr="00A07F29" w14:paraId="66796960" w14:textId="77777777" w:rsidTr="000F31D9">
        <w:tc>
          <w:tcPr>
            <w:tcW w:w="709" w:type="dxa"/>
          </w:tcPr>
          <w:p w14:paraId="1F9FFD1B" w14:textId="1D9EBCFC" w:rsidR="000D31D3" w:rsidRPr="00A07F29" w:rsidRDefault="000F31D9" w:rsidP="000F31D9">
            <w:pPr>
              <w:spacing w:after="0" w:line="240" w:lineRule="auto"/>
              <w:jc w:val="center"/>
              <w:rPr>
                <w:rFonts w:cs="Times New Roman"/>
              </w:rPr>
            </w:pPr>
            <w:r w:rsidRPr="00A07F29">
              <w:rPr>
                <w:rFonts w:cs="Times New Roman"/>
              </w:rPr>
              <w:t>7.</w:t>
            </w:r>
          </w:p>
        </w:tc>
        <w:tc>
          <w:tcPr>
            <w:tcW w:w="2552" w:type="dxa"/>
            <w:vAlign w:val="center"/>
          </w:tcPr>
          <w:p w14:paraId="2FB38671" w14:textId="77777777" w:rsidR="000F31D9" w:rsidRPr="00A07F29" w:rsidRDefault="000D31D3" w:rsidP="000D31D3">
            <w:pPr>
              <w:spacing w:after="0" w:line="240" w:lineRule="auto"/>
              <w:rPr>
                <w:rFonts w:ascii="Times New Roman" w:eastAsia="Times New Roman" w:hAnsi="Times New Roman" w:cs="Times New Roman"/>
                <w:color w:val="000000"/>
              </w:rPr>
            </w:pPr>
            <w:r w:rsidRPr="00A07F29">
              <w:rPr>
                <w:rFonts w:ascii="Times New Roman" w:eastAsia="Times New Roman" w:hAnsi="Times New Roman" w:cs="Times New Roman"/>
                <w:color w:val="000000"/>
              </w:rPr>
              <w:t>Mazais dumpis</w:t>
            </w:r>
          </w:p>
          <w:p w14:paraId="57BDC9A0" w14:textId="2E86F2C5" w:rsidR="000D31D3" w:rsidRPr="00A07F29" w:rsidRDefault="000D31D3" w:rsidP="000D31D3">
            <w:pPr>
              <w:spacing w:after="0" w:line="240" w:lineRule="auto"/>
              <w:rPr>
                <w:rFonts w:ascii="Times New Roman" w:eastAsia="Times New Roman" w:hAnsi="Times New Roman" w:cs="Times New Roman"/>
                <w:i/>
                <w:iCs/>
                <w:color w:val="000000"/>
              </w:rPr>
            </w:pPr>
            <w:proofErr w:type="spellStart"/>
            <w:r w:rsidRPr="00A07F29">
              <w:rPr>
                <w:rFonts w:ascii="Times New Roman" w:eastAsia="Times New Roman" w:hAnsi="Times New Roman" w:cs="Times New Roman"/>
                <w:i/>
                <w:iCs/>
                <w:color w:val="000000"/>
              </w:rPr>
              <w:t>Ixobrychus</w:t>
            </w:r>
            <w:proofErr w:type="spellEnd"/>
            <w:r w:rsidRPr="00A07F29">
              <w:rPr>
                <w:rFonts w:ascii="Times New Roman" w:eastAsia="Times New Roman" w:hAnsi="Times New Roman" w:cs="Times New Roman"/>
                <w:i/>
                <w:iCs/>
                <w:color w:val="000000"/>
              </w:rPr>
              <w:t xml:space="preserve"> </w:t>
            </w:r>
            <w:proofErr w:type="spellStart"/>
            <w:r w:rsidRPr="00A07F29">
              <w:rPr>
                <w:rFonts w:ascii="Times New Roman" w:eastAsia="Times New Roman" w:hAnsi="Times New Roman" w:cs="Times New Roman"/>
                <w:i/>
                <w:iCs/>
                <w:color w:val="000000"/>
              </w:rPr>
              <w:t>minutus</w:t>
            </w:r>
            <w:proofErr w:type="spellEnd"/>
          </w:p>
        </w:tc>
        <w:tc>
          <w:tcPr>
            <w:tcW w:w="850" w:type="dxa"/>
            <w:vAlign w:val="center"/>
          </w:tcPr>
          <w:p w14:paraId="26ECF0A5" w14:textId="77777777"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0</w:t>
            </w:r>
          </w:p>
        </w:tc>
        <w:tc>
          <w:tcPr>
            <w:tcW w:w="993" w:type="dxa"/>
            <w:vAlign w:val="center"/>
          </w:tcPr>
          <w:p w14:paraId="6AD8A488" w14:textId="77777777"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1</w:t>
            </w:r>
          </w:p>
        </w:tc>
        <w:tc>
          <w:tcPr>
            <w:tcW w:w="2126" w:type="dxa"/>
            <w:vAlign w:val="center"/>
          </w:tcPr>
          <w:p w14:paraId="142CF743" w14:textId="0D2F7929"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&lt;1</w:t>
            </w:r>
            <w:r w:rsidR="00C615E2">
              <w:rPr>
                <w:rFonts w:ascii="Times New Roman" w:hAnsi="Times New Roman" w:cs="Times New Roman"/>
              </w:rPr>
              <w:t> </w:t>
            </w:r>
            <w:r w:rsidRPr="00A07F29">
              <w:rPr>
                <w:rFonts w:ascii="Times New Roman" w:hAnsi="Times New Roman" w:cs="Times New Roman"/>
              </w:rPr>
              <w:t>%</w:t>
            </w:r>
          </w:p>
        </w:tc>
        <w:tc>
          <w:tcPr>
            <w:tcW w:w="1984" w:type="dxa"/>
            <w:vAlign w:val="center"/>
          </w:tcPr>
          <w:p w14:paraId="1C167093" w14:textId="7147CBB8"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&lt;1</w:t>
            </w:r>
            <w:r w:rsidR="00C615E2">
              <w:rPr>
                <w:rFonts w:ascii="Times New Roman" w:hAnsi="Times New Roman" w:cs="Times New Roman"/>
              </w:rPr>
              <w:t> </w:t>
            </w:r>
            <w:r w:rsidRPr="00A07F29">
              <w:rPr>
                <w:rFonts w:ascii="Times New Roman" w:hAnsi="Times New Roman" w:cs="Times New Roman"/>
              </w:rPr>
              <w:t>%</w:t>
            </w:r>
          </w:p>
        </w:tc>
      </w:tr>
      <w:tr w:rsidR="000D31D3" w:rsidRPr="00A07F29" w14:paraId="7CC39BCE" w14:textId="77777777" w:rsidTr="000F31D9">
        <w:tc>
          <w:tcPr>
            <w:tcW w:w="709" w:type="dxa"/>
          </w:tcPr>
          <w:p w14:paraId="5ACC7DBC" w14:textId="264B52BD" w:rsidR="000D31D3" w:rsidRPr="00A07F29" w:rsidRDefault="000F31D9" w:rsidP="000F31D9">
            <w:pPr>
              <w:spacing w:after="0" w:line="240" w:lineRule="auto"/>
              <w:jc w:val="center"/>
              <w:rPr>
                <w:rFonts w:cs="Times New Roman"/>
              </w:rPr>
            </w:pPr>
            <w:r w:rsidRPr="00A07F29">
              <w:rPr>
                <w:rFonts w:cs="Times New Roman"/>
              </w:rPr>
              <w:t>8.</w:t>
            </w:r>
          </w:p>
        </w:tc>
        <w:tc>
          <w:tcPr>
            <w:tcW w:w="2552" w:type="dxa"/>
            <w:vAlign w:val="center"/>
          </w:tcPr>
          <w:p w14:paraId="72C29914" w14:textId="77777777" w:rsidR="000F31D9" w:rsidRPr="00A07F29" w:rsidRDefault="000D31D3" w:rsidP="000D31D3">
            <w:pPr>
              <w:spacing w:after="0" w:line="240" w:lineRule="auto"/>
              <w:rPr>
                <w:rFonts w:ascii="Times New Roman" w:eastAsia="Times New Roman" w:hAnsi="Times New Roman" w:cs="Times New Roman"/>
                <w:color w:val="000000"/>
              </w:rPr>
            </w:pPr>
            <w:proofErr w:type="spellStart"/>
            <w:r w:rsidRPr="00A07F29">
              <w:rPr>
                <w:rFonts w:ascii="Times New Roman" w:eastAsia="Times New Roman" w:hAnsi="Times New Roman" w:cs="Times New Roman"/>
                <w:color w:val="000000"/>
              </w:rPr>
              <w:t>Zivjērglis</w:t>
            </w:r>
            <w:proofErr w:type="spellEnd"/>
          </w:p>
          <w:p w14:paraId="72008AC8" w14:textId="0A1C44C3" w:rsidR="000D31D3" w:rsidRPr="00A07F29" w:rsidRDefault="000D31D3" w:rsidP="000D31D3">
            <w:pPr>
              <w:spacing w:after="0" w:line="240" w:lineRule="auto"/>
              <w:rPr>
                <w:rFonts w:ascii="Times New Roman" w:eastAsia="Times New Roman" w:hAnsi="Times New Roman" w:cs="Times New Roman"/>
                <w:i/>
                <w:color w:val="000000"/>
              </w:rPr>
            </w:pPr>
            <w:proofErr w:type="spellStart"/>
            <w:r w:rsidRPr="00A07F29">
              <w:rPr>
                <w:rFonts w:ascii="Times New Roman" w:eastAsia="Times New Roman" w:hAnsi="Times New Roman" w:cs="Times New Roman"/>
                <w:i/>
                <w:color w:val="000000"/>
              </w:rPr>
              <w:t>Pandion</w:t>
            </w:r>
            <w:proofErr w:type="spellEnd"/>
            <w:r w:rsidRPr="00A07F29">
              <w:rPr>
                <w:rFonts w:ascii="Times New Roman" w:eastAsia="Times New Roman" w:hAnsi="Times New Roman" w:cs="Times New Roman"/>
                <w:i/>
                <w:color w:val="000000"/>
              </w:rPr>
              <w:t xml:space="preserve"> </w:t>
            </w:r>
            <w:proofErr w:type="spellStart"/>
            <w:r w:rsidRPr="00A07F29">
              <w:rPr>
                <w:rFonts w:ascii="Times New Roman" w:eastAsia="Times New Roman" w:hAnsi="Times New Roman" w:cs="Times New Roman"/>
                <w:i/>
                <w:color w:val="000000"/>
              </w:rPr>
              <w:t>haliaetus</w:t>
            </w:r>
            <w:proofErr w:type="spellEnd"/>
          </w:p>
        </w:tc>
        <w:tc>
          <w:tcPr>
            <w:tcW w:w="850" w:type="dxa"/>
            <w:vAlign w:val="center"/>
          </w:tcPr>
          <w:p w14:paraId="19D913AB" w14:textId="77777777"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4</w:t>
            </w:r>
          </w:p>
        </w:tc>
        <w:tc>
          <w:tcPr>
            <w:tcW w:w="993" w:type="dxa"/>
            <w:vAlign w:val="center"/>
          </w:tcPr>
          <w:p w14:paraId="37D44816" w14:textId="77777777"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5</w:t>
            </w:r>
          </w:p>
        </w:tc>
        <w:tc>
          <w:tcPr>
            <w:tcW w:w="2126" w:type="dxa"/>
            <w:vAlign w:val="center"/>
          </w:tcPr>
          <w:p w14:paraId="65DE39F9" w14:textId="6A5F4A07"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1,8 – 2,1</w:t>
            </w:r>
            <w:r w:rsidR="00C615E2">
              <w:rPr>
                <w:rFonts w:ascii="Times New Roman" w:hAnsi="Times New Roman" w:cs="Times New Roman"/>
              </w:rPr>
              <w:t> </w:t>
            </w:r>
            <w:r w:rsidRPr="00A07F29">
              <w:rPr>
                <w:rFonts w:ascii="Times New Roman" w:hAnsi="Times New Roman" w:cs="Times New Roman"/>
              </w:rPr>
              <w:t>%</w:t>
            </w:r>
          </w:p>
        </w:tc>
        <w:tc>
          <w:tcPr>
            <w:tcW w:w="1984" w:type="dxa"/>
            <w:vAlign w:val="center"/>
          </w:tcPr>
          <w:p w14:paraId="1962F853" w14:textId="64A7D5DE"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5,2</w:t>
            </w:r>
            <w:r w:rsidR="00C615E2">
              <w:rPr>
                <w:rFonts w:ascii="Times New Roman" w:hAnsi="Times New Roman" w:cs="Times New Roman"/>
              </w:rPr>
              <w:t> </w:t>
            </w:r>
            <w:r w:rsidRPr="00A07F29">
              <w:rPr>
                <w:rFonts w:ascii="Times New Roman" w:hAnsi="Times New Roman" w:cs="Times New Roman"/>
              </w:rPr>
              <w:t>%</w:t>
            </w:r>
          </w:p>
        </w:tc>
      </w:tr>
      <w:tr w:rsidR="000D31D3" w:rsidRPr="00A07F29" w14:paraId="7534F2D0" w14:textId="77777777" w:rsidTr="000F31D9">
        <w:tc>
          <w:tcPr>
            <w:tcW w:w="709" w:type="dxa"/>
          </w:tcPr>
          <w:p w14:paraId="773D2CFC" w14:textId="15C0ECD4" w:rsidR="000D31D3" w:rsidRPr="00A07F29" w:rsidRDefault="000F31D9" w:rsidP="000F31D9">
            <w:pPr>
              <w:spacing w:after="0" w:line="240" w:lineRule="auto"/>
              <w:jc w:val="center"/>
              <w:rPr>
                <w:rFonts w:cs="Times New Roman"/>
              </w:rPr>
            </w:pPr>
            <w:r w:rsidRPr="00A07F29">
              <w:rPr>
                <w:rFonts w:cs="Times New Roman"/>
              </w:rPr>
              <w:t>9.</w:t>
            </w:r>
          </w:p>
        </w:tc>
        <w:tc>
          <w:tcPr>
            <w:tcW w:w="2552" w:type="dxa"/>
            <w:vAlign w:val="center"/>
          </w:tcPr>
          <w:p w14:paraId="740D12D4" w14:textId="77777777" w:rsidR="000F31D9" w:rsidRPr="00A07F29" w:rsidRDefault="000D31D3" w:rsidP="000D31D3">
            <w:pPr>
              <w:spacing w:after="0" w:line="240" w:lineRule="auto"/>
              <w:rPr>
                <w:rFonts w:ascii="Times New Roman" w:hAnsi="Times New Roman" w:cs="Times New Roman"/>
              </w:rPr>
            </w:pPr>
            <w:r w:rsidRPr="00A07F29">
              <w:rPr>
                <w:rFonts w:ascii="Times New Roman" w:hAnsi="Times New Roman" w:cs="Times New Roman"/>
              </w:rPr>
              <w:t>Ķīķis</w:t>
            </w:r>
          </w:p>
          <w:p w14:paraId="00F3C932" w14:textId="7986B478" w:rsidR="000D31D3" w:rsidRPr="00A07F29" w:rsidRDefault="000D31D3" w:rsidP="000D31D3">
            <w:pPr>
              <w:spacing w:after="0" w:line="240" w:lineRule="auto"/>
              <w:rPr>
                <w:rFonts w:ascii="Times New Roman" w:eastAsia="Times New Roman" w:hAnsi="Times New Roman" w:cs="Times New Roman"/>
                <w:color w:val="000000"/>
              </w:rPr>
            </w:pPr>
            <w:proofErr w:type="spellStart"/>
            <w:r w:rsidRPr="00A07F29">
              <w:rPr>
                <w:rFonts w:ascii="Times New Roman" w:hAnsi="Times New Roman" w:cs="Times New Roman"/>
                <w:i/>
              </w:rPr>
              <w:t>Pernis</w:t>
            </w:r>
            <w:proofErr w:type="spellEnd"/>
            <w:r w:rsidRPr="00A07F29">
              <w:rPr>
                <w:rFonts w:ascii="Times New Roman" w:hAnsi="Times New Roman" w:cs="Times New Roman"/>
                <w:i/>
              </w:rPr>
              <w:t xml:space="preserve"> </w:t>
            </w:r>
            <w:proofErr w:type="spellStart"/>
            <w:r w:rsidRPr="00A07F29">
              <w:rPr>
                <w:rFonts w:ascii="Times New Roman" w:hAnsi="Times New Roman" w:cs="Times New Roman"/>
                <w:i/>
              </w:rPr>
              <w:t>apivorus</w:t>
            </w:r>
            <w:proofErr w:type="spellEnd"/>
          </w:p>
        </w:tc>
        <w:tc>
          <w:tcPr>
            <w:tcW w:w="850" w:type="dxa"/>
            <w:vAlign w:val="center"/>
          </w:tcPr>
          <w:p w14:paraId="237A2A34" w14:textId="77777777"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15</w:t>
            </w:r>
          </w:p>
        </w:tc>
        <w:tc>
          <w:tcPr>
            <w:tcW w:w="993" w:type="dxa"/>
            <w:vAlign w:val="center"/>
          </w:tcPr>
          <w:p w14:paraId="20B1D8B9" w14:textId="77777777"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20</w:t>
            </w:r>
          </w:p>
        </w:tc>
        <w:tc>
          <w:tcPr>
            <w:tcW w:w="2126" w:type="dxa"/>
            <w:vAlign w:val="center"/>
          </w:tcPr>
          <w:p w14:paraId="61D3E94A" w14:textId="15C491FF"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0,3 – 1,4</w:t>
            </w:r>
            <w:r w:rsidR="00C615E2">
              <w:rPr>
                <w:rFonts w:ascii="Times New Roman" w:hAnsi="Times New Roman" w:cs="Times New Roman"/>
              </w:rPr>
              <w:t> </w:t>
            </w:r>
            <w:r w:rsidRPr="00A07F29">
              <w:rPr>
                <w:rFonts w:ascii="Times New Roman" w:hAnsi="Times New Roman" w:cs="Times New Roman"/>
              </w:rPr>
              <w:t>%</w:t>
            </w:r>
          </w:p>
        </w:tc>
        <w:tc>
          <w:tcPr>
            <w:tcW w:w="1984" w:type="dxa"/>
            <w:vAlign w:val="center"/>
          </w:tcPr>
          <w:p w14:paraId="19A9A74C" w14:textId="3121B024"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6,7 – 10,4</w:t>
            </w:r>
            <w:r w:rsidR="00C615E2">
              <w:rPr>
                <w:rFonts w:ascii="Times New Roman" w:hAnsi="Times New Roman" w:cs="Times New Roman"/>
              </w:rPr>
              <w:t> </w:t>
            </w:r>
            <w:r w:rsidRPr="00A07F29">
              <w:rPr>
                <w:rFonts w:ascii="Times New Roman" w:hAnsi="Times New Roman" w:cs="Times New Roman"/>
              </w:rPr>
              <w:t>%</w:t>
            </w:r>
          </w:p>
        </w:tc>
      </w:tr>
      <w:tr w:rsidR="000D31D3" w:rsidRPr="00A07F29" w14:paraId="0B5C2F1B" w14:textId="77777777" w:rsidTr="000F31D9">
        <w:tc>
          <w:tcPr>
            <w:tcW w:w="709" w:type="dxa"/>
          </w:tcPr>
          <w:p w14:paraId="0B5419AA" w14:textId="5360411F" w:rsidR="000D31D3" w:rsidRPr="00A07F29" w:rsidRDefault="000F31D9" w:rsidP="000F31D9">
            <w:pPr>
              <w:spacing w:after="0" w:line="240" w:lineRule="auto"/>
              <w:jc w:val="center"/>
              <w:rPr>
                <w:rFonts w:cs="Times New Roman"/>
              </w:rPr>
            </w:pPr>
            <w:r w:rsidRPr="00A07F29">
              <w:rPr>
                <w:rFonts w:cs="Times New Roman"/>
              </w:rPr>
              <w:t>10.</w:t>
            </w:r>
          </w:p>
        </w:tc>
        <w:tc>
          <w:tcPr>
            <w:tcW w:w="2552" w:type="dxa"/>
            <w:vAlign w:val="center"/>
          </w:tcPr>
          <w:p w14:paraId="34694B3A" w14:textId="77777777" w:rsidR="000D31D3" w:rsidRPr="00A07F29" w:rsidRDefault="000D31D3" w:rsidP="000D31D3">
            <w:pPr>
              <w:spacing w:after="0" w:line="240" w:lineRule="auto"/>
              <w:rPr>
                <w:rFonts w:ascii="Times New Roman" w:hAnsi="Times New Roman" w:cs="Times New Roman"/>
              </w:rPr>
            </w:pPr>
            <w:r w:rsidRPr="00A07F29">
              <w:rPr>
                <w:rFonts w:ascii="Times New Roman" w:hAnsi="Times New Roman" w:cs="Times New Roman"/>
              </w:rPr>
              <w:t xml:space="preserve">Melnā klija </w:t>
            </w:r>
            <w:proofErr w:type="spellStart"/>
            <w:r w:rsidRPr="00A07F29">
              <w:rPr>
                <w:rFonts w:ascii="Times New Roman" w:hAnsi="Times New Roman" w:cs="Times New Roman"/>
                <w:i/>
              </w:rPr>
              <w:t>Milvus</w:t>
            </w:r>
            <w:proofErr w:type="spellEnd"/>
            <w:r w:rsidRPr="00A07F29">
              <w:rPr>
                <w:rFonts w:ascii="Times New Roman" w:hAnsi="Times New Roman" w:cs="Times New Roman"/>
                <w:i/>
              </w:rPr>
              <w:t xml:space="preserve"> </w:t>
            </w:r>
            <w:proofErr w:type="spellStart"/>
            <w:r w:rsidRPr="00A07F29">
              <w:rPr>
                <w:rFonts w:ascii="Times New Roman" w:hAnsi="Times New Roman" w:cs="Times New Roman"/>
                <w:i/>
              </w:rPr>
              <w:t>migrans</w:t>
            </w:r>
            <w:proofErr w:type="spellEnd"/>
          </w:p>
        </w:tc>
        <w:tc>
          <w:tcPr>
            <w:tcW w:w="850" w:type="dxa"/>
            <w:vAlign w:val="center"/>
          </w:tcPr>
          <w:p w14:paraId="4677B9F3" w14:textId="77777777"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0</w:t>
            </w:r>
          </w:p>
        </w:tc>
        <w:tc>
          <w:tcPr>
            <w:tcW w:w="993" w:type="dxa"/>
            <w:vAlign w:val="center"/>
          </w:tcPr>
          <w:p w14:paraId="7A257CDC" w14:textId="77777777"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1</w:t>
            </w:r>
          </w:p>
        </w:tc>
        <w:tc>
          <w:tcPr>
            <w:tcW w:w="2126" w:type="dxa"/>
            <w:vAlign w:val="center"/>
          </w:tcPr>
          <w:p w14:paraId="0B33FF1C" w14:textId="746F1A02"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&lt;1</w:t>
            </w:r>
            <w:r w:rsidR="00C615E2">
              <w:rPr>
                <w:rFonts w:ascii="Times New Roman" w:hAnsi="Times New Roman" w:cs="Times New Roman"/>
              </w:rPr>
              <w:t> </w:t>
            </w:r>
            <w:r w:rsidRPr="00A07F29">
              <w:rPr>
                <w:rFonts w:ascii="Times New Roman" w:hAnsi="Times New Roman" w:cs="Times New Roman"/>
              </w:rPr>
              <w:t>%</w:t>
            </w:r>
          </w:p>
        </w:tc>
        <w:tc>
          <w:tcPr>
            <w:tcW w:w="1984" w:type="dxa"/>
            <w:vAlign w:val="center"/>
          </w:tcPr>
          <w:p w14:paraId="64CE79F6" w14:textId="6545C31F"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&lt;1</w:t>
            </w:r>
            <w:r w:rsidR="00C615E2">
              <w:rPr>
                <w:rFonts w:ascii="Times New Roman" w:hAnsi="Times New Roman" w:cs="Times New Roman"/>
              </w:rPr>
              <w:t> </w:t>
            </w:r>
            <w:r w:rsidRPr="00A07F29">
              <w:rPr>
                <w:rFonts w:ascii="Times New Roman" w:hAnsi="Times New Roman" w:cs="Times New Roman"/>
              </w:rPr>
              <w:t>%</w:t>
            </w:r>
          </w:p>
        </w:tc>
      </w:tr>
      <w:tr w:rsidR="000D31D3" w:rsidRPr="00A07F29" w14:paraId="6E69BF32" w14:textId="77777777" w:rsidTr="000F31D9">
        <w:tc>
          <w:tcPr>
            <w:tcW w:w="709" w:type="dxa"/>
          </w:tcPr>
          <w:p w14:paraId="6A87C3E5" w14:textId="6BBCA7BC" w:rsidR="000D31D3" w:rsidRPr="00A07F29" w:rsidRDefault="000F31D9" w:rsidP="000F31D9">
            <w:pPr>
              <w:spacing w:after="0" w:line="240" w:lineRule="auto"/>
              <w:jc w:val="center"/>
              <w:rPr>
                <w:rFonts w:cs="Times New Roman"/>
              </w:rPr>
            </w:pPr>
            <w:r w:rsidRPr="00A07F29">
              <w:rPr>
                <w:rFonts w:cs="Times New Roman"/>
              </w:rPr>
              <w:t>11.</w:t>
            </w:r>
          </w:p>
        </w:tc>
        <w:tc>
          <w:tcPr>
            <w:tcW w:w="2552" w:type="dxa"/>
            <w:vAlign w:val="center"/>
          </w:tcPr>
          <w:p w14:paraId="75732505" w14:textId="77777777" w:rsidR="000D31D3" w:rsidRPr="00A07F29" w:rsidRDefault="000D31D3" w:rsidP="000D31D3">
            <w:pPr>
              <w:spacing w:after="0" w:line="240" w:lineRule="auto"/>
              <w:rPr>
                <w:rFonts w:ascii="Times New Roman" w:eastAsia="Times New Roman" w:hAnsi="Times New Roman" w:cs="Times New Roman"/>
                <w:color w:val="000000"/>
              </w:rPr>
            </w:pPr>
            <w:r w:rsidRPr="00A07F29">
              <w:rPr>
                <w:rFonts w:ascii="Times New Roman" w:eastAsia="Times New Roman" w:hAnsi="Times New Roman" w:cs="Times New Roman"/>
                <w:color w:val="000000"/>
              </w:rPr>
              <w:t>Jūras ērglis</w:t>
            </w:r>
          </w:p>
          <w:p w14:paraId="5D60222E" w14:textId="77777777" w:rsidR="000D31D3" w:rsidRPr="00A07F29" w:rsidRDefault="000D31D3" w:rsidP="000D31D3">
            <w:pPr>
              <w:spacing w:after="0" w:line="240" w:lineRule="auto"/>
              <w:rPr>
                <w:rFonts w:ascii="Times New Roman" w:eastAsia="Times New Roman" w:hAnsi="Times New Roman" w:cs="Times New Roman"/>
                <w:i/>
                <w:iCs/>
                <w:color w:val="000000"/>
              </w:rPr>
            </w:pPr>
            <w:proofErr w:type="spellStart"/>
            <w:r w:rsidRPr="00A07F29">
              <w:rPr>
                <w:rFonts w:ascii="Times New Roman" w:eastAsia="Times New Roman" w:hAnsi="Times New Roman" w:cs="Times New Roman"/>
                <w:i/>
                <w:iCs/>
                <w:color w:val="000000"/>
              </w:rPr>
              <w:t>Haliaeetus</w:t>
            </w:r>
            <w:proofErr w:type="spellEnd"/>
            <w:r w:rsidRPr="00A07F29">
              <w:rPr>
                <w:rFonts w:ascii="Times New Roman" w:eastAsia="Times New Roman" w:hAnsi="Times New Roman" w:cs="Times New Roman"/>
                <w:i/>
                <w:iCs/>
                <w:color w:val="000000"/>
              </w:rPr>
              <w:t xml:space="preserve"> </w:t>
            </w:r>
            <w:proofErr w:type="spellStart"/>
            <w:r w:rsidRPr="00A07F29">
              <w:rPr>
                <w:rFonts w:ascii="Times New Roman" w:eastAsia="Times New Roman" w:hAnsi="Times New Roman" w:cs="Times New Roman"/>
                <w:i/>
                <w:iCs/>
                <w:color w:val="000000"/>
              </w:rPr>
              <w:t>albicilla</w:t>
            </w:r>
            <w:proofErr w:type="spellEnd"/>
          </w:p>
        </w:tc>
        <w:tc>
          <w:tcPr>
            <w:tcW w:w="850" w:type="dxa"/>
            <w:vAlign w:val="center"/>
          </w:tcPr>
          <w:p w14:paraId="4C0C382B" w14:textId="77777777"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0</w:t>
            </w:r>
          </w:p>
        </w:tc>
        <w:tc>
          <w:tcPr>
            <w:tcW w:w="993" w:type="dxa"/>
            <w:vAlign w:val="center"/>
          </w:tcPr>
          <w:p w14:paraId="0BD3B453" w14:textId="77777777"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1</w:t>
            </w:r>
          </w:p>
        </w:tc>
        <w:tc>
          <w:tcPr>
            <w:tcW w:w="2126" w:type="dxa"/>
            <w:vAlign w:val="center"/>
          </w:tcPr>
          <w:p w14:paraId="53B97A71" w14:textId="405B7AF7"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&lt;1</w:t>
            </w:r>
            <w:r w:rsidR="00C615E2">
              <w:rPr>
                <w:rFonts w:ascii="Times New Roman" w:hAnsi="Times New Roman" w:cs="Times New Roman"/>
              </w:rPr>
              <w:t> </w:t>
            </w:r>
            <w:r w:rsidRPr="00A07F29">
              <w:rPr>
                <w:rFonts w:ascii="Times New Roman" w:hAnsi="Times New Roman" w:cs="Times New Roman"/>
              </w:rPr>
              <w:t>%</w:t>
            </w:r>
          </w:p>
        </w:tc>
        <w:tc>
          <w:tcPr>
            <w:tcW w:w="1984" w:type="dxa"/>
            <w:vAlign w:val="center"/>
          </w:tcPr>
          <w:p w14:paraId="0D9B13ED" w14:textId="1089357E"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&lt;1</w:t>
            </w:r>
            <w:r w:rsidR="00C615E2">
              <w:rPr>
                <w:rFonts w:ascii="Times New Roman" w:hAnsi="Times New Roman" w:cs="Times New Roman"/>
              </w:rPr>
              <w:t> </w:t>
            </w:r>
            <w:r w:rsidRPr="00A07F29">
              <w:rPr>
                <w:rFonts w:ascii="Times New Roman" w:hAnsi="Times New Roman" w:cs="Times New Roman"/>
              </w:rPr>
              <w:t>%</w:t>
            </w:r>
          </w:p>
        </w:tc>
      </w:tr>
      <w:tr w:rsidR="000D31D3" w:rsidRPr="00A07F29" w14:paraId="2C30AF66" w14:textId="77777777" w:rsidTr="000F31D9">
        <w:tc>
          <w:tcPr>
            <w:tcW w:w="709" w:type="dxa"/>
            <w:vAlign w:val="center"/>
          </w:tcPr>
          <w:p w14:paraId="69D8C198" w14:textId="4DB8B6F5" w:rsidR="000D31D3" w:rsidRPr="00A07F29" w:rsidRDefault="000F31D9" w:rsidP="000F31D9">
            <w:pPr>
              <w:spacing w:after="0" w:line="240" w:lineRule="auto"/>
              <w:jc w:val="center"/>
              <w:rPr>
                <w:rFonts w:cs="Times New Roman"/>
              </w:rPr>
            </w:pPr>
            <w:r w:rsidRPr="00A07F29">
              <w:rPr>
                <w:rFonts w:cs="Times New Roman"/>
              </w:rPr>
              <w:t>12.</w:t>
            </w:r>
          </w:p>
        </w:tc>
        <w:tc>
          <w:tcPr>
            <w:tcW w:w="2552" w:type="dxa"/>
            <w:vAlign w:val="center"/>
          </w:tcPr>
          <w:p w14:paraId="42FBAF9A" w14:textId="3FC6524F" w:rsidR="000F31D9" w:rsidRPr="00A07F29" w:rsidRDefault="000D31D3" w:rsidP="000F31D9">
            <w:pPr>
              <w:spacing w:after="0" w:line="240" w:lineRule="auto"/>
              <w:rPr>
                <w:rFonts w:ascii="Times New Roman" w:hAnsi="Times New Roman" w:cs="Times New Roman"/>
              </w:rPr>
            </w:pPr>
            <w:r w:rsidRPr="00A07F29">
              <w:rPr>
                <w:rFonts w:ascii="Times New Roman" w:hAnsi="Times New Roman" w:cs="Times New Roman"/>
              </w:rPr>
              <w:t>Niedru lija</w:t>
            </w:r>
          </w:p>
          <w:p w14:paraId="3B87DBBB" w14:textId="6CDF0625" w:rsidR="000D31D3" w:rsidRPr="00A07F29" w:rsidRDefault="000D31D3" w:rsidP="000F31D9">
            <w:pPr>
              <w:spacing w:after="0" w:line="240" w:lineRule="auto"/>
              <w:rPr>
                <w:rFonts w:ascii="Times New Roman" w:hAnsi="Times New Roman" w:cs="Times New Roman"/>
                <w:i/>
              </w:rPr>
            </w:pPr>
            <w:proofErr w:type="spellStart"/>
            <w:r w:rsidRPr="00A07F29">
              <w:rPr>
                <w:rFonts w:ascii="Times New Roman" w:hAnsi="Times New Roman" w:cs="Times New Roman"/>
                <w:i/>
              </w:rPr>
              <w:t>Circus</w:t>
            </w:r>
            <w:proofErr w:type="spellEnd"/>
            <w:r w:rsidRPr="00A07F29">
              <w:rPr>
                <w:rFonts w:ascii="Times New Roman" w:hAnsi="Times New Roman" w:cs="Times New Roman"/>
                <w:i/>
              </w:rPr>
              <w:t xml:space="preserve"> </w:t>
            </w:r>
            <w:proofErr w:type="spellStart"/>
            <w:r w:rsidRPr="00A07F29">
              <w:rPr>
                <w:rFonts w:ascii="Times New Roman" w:hAnsi="Times New Roman" w:cs="Times New Roman"/>
                <w:i/>
              </w:rPr>
              <w:t>aeroginosus</w:t>
            </w:r>
            <w:proofErr w:type="spellEnd"/>
          </w:p>
        </w:tc>
        <w:tc>
          <w:tcPr>
            <w:tcW w:w="850" w:type="dxa"/>
            <w:vAlign w:val="center"/>
          </w:tcPr>
          <w:p w14:paraId="660563E8" w14:textId="77777777"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10</w:t>
            </w:r>
          </w:p>
        </w:tc>
        <w:tc>
          <w:tcPr>
            <w:tcW w:w="993" w:type="dxa"/>
            <w:vAlign w:val="center"/>
          </w:tcPr>
          <w:p w14:paraId="77D6A65A" w14:textId="77777777"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15</w:t>
            </w:r>
          </w:p>
        </w:tc>
        <w:tc>
          <w:tcPr>
            <w:tcW w:w="2126" w:type="dxa"/>
            <w:vAlign w:val="center"/>
          </w:tcPr>
          <w:p w14:paraId="00B8BA31" w14:textId="7AD5DB7E"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&lt;1</w:t>
            </w:r>
            <w:r w:rsidR="00C615E2">
              <w:rPr>
                <w:rFonts w:ascii="Times New Roman" w:hAnsi="Times New Roman" w:cs="Times New Roman"/>
              </w:rPr>
              <w:t> </w:t>
            </w:r>
            <w:r w:rsidRPr="00A07F29">
              <w:rPr>
                <w:rFonts w:ascii="Times New Roman" w:hAnsi="Times New Roman" w:cs="Times New Roman"/>
              </w:rPr>
              <w:t>%</w:t>
            </w:r>
          </w:p>
        </w:tc>
        <w:tc>
          <w:tcPr>
            <w:tcW w:w="1984" w:type="dxa"/>
            <w:vAlign w:val="center"/>
          </w:tcPr>
          <w:p w14:paraId="49CBA811" w14:textId="79525DDE"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3,5 – 4,4</w:t>
            </w:r>
            <w:r w:rsidR="00C615E2">
              <w:rPr>
                <w:rFonts w:ascii="Times New Roman" w:hAnsi="Times New Roman" w:cs="Times New Roman"/>
              </w:rPr>
              <w:t> </w:t>
            </w:r>
            <w:r w:rsidRPr="00A07F29">
              <w:rPr>
                <w:rFonts w:ascii="Times New Roman" w:hAnsi="Times New Roman" w:cs="Times New Roman"/>
              </w:rPr>
              <w:t>%</w:t>
            </w:r>
          </w:p>
        </w:tc>
      </w:tr>
      <w:tr w:rsidR="000D31D3" w:rsidRPr="00A07F29" w14:paraId="497A81AB" w14:textId="77777777" w:rsidTr="000F31D9">
        <w:tc>
          <w:tcPr>
            <w:tcW w:w="709" w:type="dxa"/>
            <w:vAlign w:val="center"/>
          </w:tcPr>
          <w:p w14:paraId="62C5B511" w14:textId="1368A8D3" w:rsidR="000D31D3" w:rsidRPr="00A07F29" w:rsidRDefault="000F31D9" w:rsidP="000F31D9">
            <w:pPr>
              <w:spacing w:after="0" w:line="240" w:lineRule="auto"/>
              <w:jc w:val="center"/>
              <w:rPr>
                <w:rFonts w:cs="Times New Roman"/>
              </w:rPr>
            </w:pPr>
            <w:r w:rsidRPr="00A07F29">
              <w:rPr>
                <w:rFonts w:cs="Times New Roman"/>
              </w:rPr>
              <w:t>13.</w:t>
            </w:r>
          </w:p>
        </w:tc>
        <w:tc>
          <w:tcPr>
            <w:tcW w:w="2552" w:type="dxa"/>
            <w:vAlign w:val="center"/>
          </w:tcPr>
          <w:p w14:paraId="6253598C" w14:textId="77777777" w:rsidR="000F31D9" w:rsidRPr="00A07F29" w:rsidRDefault="000D31D3" w:rsidP="000D31D3">
            <w:pPr>
              <w:spacing w:after="0" w:line="240" w:lineRule="auto"/>
              <w:rPr>
                <w:rFonts w:ascii="Times New Roman" w:hAnsi="Times New Roman" w:cs="Times New Roman"/>
              </w:rPr>
            </w:pPr>
            <w:r w:rsidRPr="00A07F29">
              <w:rPr>
                <w:rFonts w:ascii="Times New Roman" w:hAnsi="Times New Roman" w:cs="Times New Roman"/>
              </w:rPr>
              <w:t>Pļavu lija</w:t>
            </w:r>
          </w:p>
          <w:p w14:paraId="55C04549" w14:textId="36507E23" w:rsidR="000D31D3" w:rsidRPr="00A07F29" w:rsidRDefault="000D31D3" w:rsidP="000D31D3">
            <w:pPr>
              <w:spacing w:after="0" w:line="240" w:lineRule="auto"/>
              <w:rPr>
                <w:rFonts w:ascii="Times New Roman" w:hAnsi="Times New Roman" w:cs="Times New Roman"/>
                <w:i/>
              </w:rPr>
            </w:pPr>
            <w:proofErr w:type="spellStart"/>
            <w:r w:rsidRPr="00A07F29">
              <w:rPr>
                <w:rFonts w:ascii="Times New Roman" w:hAnsi="Times New Roman" w:cs="Times New Roman"/>
                <w:i/>
              </w:rPr>
              <w:t>Circus</w:t>
            </w:r>
            <w:proofErr w:type="spellEnd"/>
            <w:r w:rsidRPr="00A07F29">
              <w:rPr>
                <w:rFonts w:ascii="Times New Roman" w:hAnsi="Times New Roman" w:cs="Times New Roman"/>
                <w:i/>
              </w:rPr>
              <w:t xml:space="preserve"> </w:t>
            </w:r>
            <w:proofErr w:type="spellStart"/>
            <w:r w:rsidRPr="00A07F29">
              <w:rPr>
                <w:rFonts w:ascii="Times New Roman" w:hAnsi="Times New Roman" w:cs="Times New Roman"/>
                <w:i/>
              </w:rPr>
              <w:t>pygargus</w:t>
            </w:r>
            <w:proofErr w:type="spellEnd"/>
          </w:p>
        </w:tc>
        <w:tc>
          <w:tcPr>
            <w:tcW w:w="850" w:type="dxa"/>
            <w:vAlign w:val="center"/>
          </w:tcPr>
          <w:p w14:paraId="4C2EE1E0" w14:textId="77777777"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0</w:t>
            </w:r>
          </w:p>
        </w:tc>
        <w:tc>
          <w:tcPr>
            <w:tcW w:w="993" w:type="dxa"/>
            <w:vAlign w:val="center"/>
          </w:tcPr>
          <w:p w14:paraId="3D9C3ED8" w14:textId="77777777"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1</w:t>
            </w:r>
          </w:p>
        </w:tc>
        <w:tc>
          <w:tcPr>
            <w:tcW w:w="2126" w:type="dxa"/>
            <w:vAlign w:val="center"/>
          </w:tcPr>
          <w:p w14:paraId="2E23B099" w14:textId="67E7F978"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&lt;1</w:t>
            </w:r>
            <w:r w:rsidR="00C615E2">
              <w:rPr>
                <w:rFonts w:ascii="Times New Roman" w:hAnsi="Times New Roman" w:cs="Times New Roman"/>
              </w:rPr>
              <w:t> </w:t>
            </w:r>
            <w:r w:rsidRPr="00A07F29">
              <w:rPr>
                <w:rFonts w:ascii="Times New Roman" w:hAnsi="Times New Roman" w:cs="Times New Roman"/>
              </w:rPr>
              <w:t>%</w:t>
            </w:r>
          </w:p>
        </w:tc>
        <w:tc>
          <w:tcPr>
            <w:tcW w:w="1984" w:type="dxa"/>
            <w:vAlign w:val="center"/>
          </w:tcPr>
          <w:p w14:paraId="2A3AA60A" w14:textId="495A591E"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&lt;1</w:t>
            </w:r>
            <w:r w:rsidR="00C615E2">
              <w:rPr>
                <w:rFonts w:ascii="Times New Roman" w:hAnsi="Times New Roman" w:cs="Times New Roman"/>
              </w:rPr>
              <w:t> </w:t>
            </w:r>
            <w:r w:rsidRPr="00A07F29">
              <w:rPr>
                <w:rFonts w:ascii="Times New Roman" w:hAnsi="Times New Roman" w:cs="Times New Roman"/>
              </w:rPr>
              <w:t>%</w:t>
            </w:r>
          </w:p>
        </w:tc>
      </w:tr>
      <w:tr w:rsidR="000D31D3" w:rsidRPr="00A07F29" w14:paraId="1D7984ED" w14:textId="77777777" w:rsidTr="000F31D9">
        <w:tc>
          <w:tcPr>
            <w:tcW w:w="709" w:type="dxa"/>
            <w:vAlign w:val="center"/>
          </w:tcPr>
          <w:p w14:paraId="7BCD5442" w14:textId="1F80D0C5" w:rsidR="000D31D3" w:rsidRPr="00A07F29" w:rsidRDefault="000F31D9" w:rsidP="000F31D9">
            <w:pPr>
              <w:spacing w:after="0" w:line="240" w:lineRule="auto"/>
              <w:jc w:val="center"/>
              <w:rPr>
                <w:rFonts w:cs="Times New Roman"/>
              </w:rPr>
            </w:pPr>
            <w:r w:rsidRPr="00A07F29">
              <w:rPr>
                <w:rFonts w:cs="Times New Roman"/>
              </w:rPr>
              <w:t>14.</w:t>
            </w:r>
          </w:p>
        </w:tc>
        <w:tc>
          <w:tcPr>
            <w:tcW w:w="2552" w:type="dxa"/>
            <w:vAlign w:val="center"/>
          </w:tcPr>
          <w:p w14:paraId="5AA93358" w14:textId="77777777" w:rsidR="000F31D9" w:rsidRPr="00A07F29" w:rsidRDefault="000D31D3" w:rsidP="000D31D3">
            <w:pPr>
              <w:spacing w:after="0" w:line="240" w:lineRule="auto"/>
              <w:rPr>
                <w:rFonts w:ascii="Times New Roman" w:hAnsi="Times New Roman" w:cs="Times New Roman"/>
              </w:rPr>
            </w:pPr>
            <w:r w:rsidRPr="00A07F29">
              <w:rPr>
                <w:rFonts w:ascii="Times New Roman" w:hAnsi="Times New Roman" w:cs="Times New Roman"/>
              </w:rPr>
              <w:t>Mazais ērglis</w:t>
            </w:r>
          </w:p>
          <w:p w14:paraId="0F2671B3" w14:textId="4903CB99" w:rsidR="000D31D3" w:rsidRPr="00A07F29" w:rsidRDefault="000D31D3" w:rsidP="000D31D3">
            <w:pPr>
              <w:spacing w:after="0" w:line="240" w:lineRule="auto"/>
              <w:rPr>
                <w:rFonts w:ascii="Times New Roman" w:hAnsi="Times New Roman" w:cs="Times New Roman"/>
                <w:i/>
              </w:rPr>
            </w:pPr>
            <w:proofErr w:type="spellStart"/>
            <w:r w:rsidRPr="00A07F29">
              <w:rPr>
                <w:rFonts w:ascii="Times New Roman" w:hAnsi="Times New Roman" w:cs="Times New Roman"/>
                <w:i/>
              </w:rPr>
              <w:t>Clanga</w:t>
            </w:r>
            <w:proofErr w:type="spellEnd"/>
            <w:r w:rsidRPr="00A07F29">
              <w:rPr>
                <w:rFonts w:ascii="Times New Roman" w:hAnsi="Times New Roman" w:cs="Times New Roman"/>
                <w:i/>
              </w:rPr>
              <w:t xml:space="preserve"> </w:t>
            </w:r>
            <w:proofErr w:type="spellStart"/>
            <w:r w:rsidRPr="00A07F29">
              <w:rPr>
                <w:rFonts w:ascii="Times New Roman" w:hAnsi="Times New Roman" w:cs="Times New Roman"/>
                <w:i/>
              </w:rPr>
              <w:t>pomarina</w:t>
            </w:r>
            <w:proofErr w:type="spellEnd"/>
          </w:p>
        </w:tc>
        <w:tc>
          <w:tcPr>
            <w:tcW w:w="850" w:type="dxa"/>
            <w:vAlign w:val="center"/>
          </w:tcPr>
          <w:p w14:paraId="50E48E1C" w14:textId="77777777"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3</w:t>
            </w:r>
          </w:p>
        </w:tc>
        <w:tc>
          <w:tcPr>
            <w:tcW w:w="993" w:type="dxa"/>
            <w:vAlign w:val="center"/>
          </w:tcPr>
          <w:p w14:paraId="6B2C96D8" w14:textId="77777777"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5</w:t>
            </w:r>
          </w:p>
        </w:tc>
        <w:tc>
          <w:tcPr>
            <w:tcW w:w="2126" w:type="dxa"/>
            <w:vAlign w:val="center"/>
          </w:tcPr>
          <w:p w14:paraId="28A3D208" w14:textId="2A19BCA6"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&lt;1</w:t>
            </w:r>
            <w:r w:rsidR="00C615E2">
              <w:rPr>
                <w:rFonts w:ascii="Times New Roman" w:hAnsi="Times New Roman" w:cs="Times New Roman"/>
              </w:rPr>
              <w:t> </w:t>
            </w:r>
            <w:r w:rsidRPr="00A07F29">
              <w:rPr>
                <w:rFonts w:ascii="Times New Roman" w:hAnsi="Times New Roman" w:cs="Times New Roman"/>
              </w:rPr>
              <w:t>%</w:t>
            </w:r>
          </w:p>
        </w:tc>
        <w:tc>
          <w:tcPr>
            <w:tcW w:w="1984" w:type="dxa"/>
            <w:vAlign w:val="center"/>
          </w:tcPr>
          <w:p w14:paraId="2FBD5699" w14:textId="38670399"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1,6 – 1,7</w:t>
            </w:r>
            <w:r w:rsidR="00C615E2">
              <w:rPr>
                <w:rFonts w:ascii="Times New Roman" w:hAnsi="Times New Roman" w:cs="Times New Roman"/>
              </w:rPr>
              <w:t> </w:t>
            </w:r>
            <w:r w:rsidRPr="00A07F29">
              <w:rPr>
                <w:rFonts w:ascii="Times New Roman" w:hAnsi="Times New Roman" w:cs="Times New Roman"/>
              </w:rPr>
              <w:t>%</w:t>
            </w:r>
          </w:p>
        </w:tc>
      </w:tr>
      <w:tr w:rsidR="000D31D3" w:rsidRPr="00A07F29" w14:paraId="22C885A5" w14:textId="77777777" w:rsidTr="000F31D9">
        <w:tc>
          <w:tcPr>
            <w:tcW w:w="709" w:type="dxa"/>
            <w:vAlign w:val="center"/>
          </w:tcPr>
          <w:p w14:paraId="59ED4AE4" w14:textId="7202130C" w:rsidR="000D31D3" w:rsidRPr="00A07F29" w:rsidRDefault="000F31D9" w:rsidP="000F31D9">
            <w:pPr>
              <w:spacing w:after="0" w:line="240" w:lineRule="auto"/>
              <w:jc w:val="center"/>
              <w:rPr>
                <w:rFonts w:cs="Times New Roman"/>
              </w:rPr>
            </w:pPr>
            <w:r w:rsidRPr="00A07F29">
              <w:rPr>
                <w:rFonts w:cs="Times New Roman"/>
              </w:rPr>
              <w:t>15.</w:t>
            </w:r>
          </w:p>
        </w:tc>
        <w:tc>
          <w:tcPr>
            <w:tcW w:w="2552" w:type="dxa"/>
            <w:vAlign w:val="center"/>
          </w:tcPr>
          <w:p w14:paraId="46306429" w14:textId="77777777" w:rsidR="000F31D9" w:rsidRPr="00A07F29" w:rsidRDefault="000D31D3" w:rsidP="000D31D3">
            <w:pPr>
              <w:spacing w:after="0" w:line="240" w:lineRule="auto"/>
              <w:rPr>
                <w:rFonts w:ascii="Times New Roman" w:hAnsi="Times New Roman" w:cs="Times New Roman"/>
              </w:rPr>
            </w:pPr>
            <w:r w:rsidRPr="00A07F29">
              <w:rPr>
                <w:rFonts w:ascii="Times New Roman" w:hAnsi="Times New Roman" w:cs="Times New Roman"/>
              </w:rPr>
              <w:t>Grieze</w:t>
            </w:r>
          </w:p>
          <w:p w14:paraId="7F5F0203" w14:textId="31A67FFA" w:rsidR="000D31D3" w:rsidRPr="00A07F29" w:rsidRDefault="000D31D3" w:rsidP="000D31D3">
            <w:pPr>
              <w:spacing w:after="0" w:line="240" w:lineRule="auto"/>
              <w:rPr>
                <w:rFonts w:ascii="Times New Roman" w:hAnsi="Times New Roman" w:cs="Times New Roman"/>
              </w:rPr>
            </w:pPr>
            <w:proofErr w:type="spellStart"/>
            <w:r w:rsidRPr="00A07F29">
              <w:rPr>
                <w:rFonts w:ascii="Times New Roman" w:hAnsi="Times New Roman" w:cs="Times New Roman"/>
                <w:i/>
              </w:rPr>
              <w:t>Crex</w:t>
            </w:r>
            <w:proofErr w:type="spellEnd"/>
            <w:r w:rsidRPr="00A07F29">
              <w:rPr>
                <w:rFonts w:ascii="Times New Roman" w:hAnsi="Times New Roman" w:cs="Times New Roman"/>
                <w:i/>
              </w:rPr>
              <w:t xml:space="preserve"> </w:t>
            </w:r>
            <w:proofErr w:type="spellStart"/>
            <w:r w:rsidRPr="00A07F29">
              <w:rPr>
                <w:rFonts w:ascii="Times New Roman" w:hAnsi="Times New Roman" w:cs="Times New Roman"/>
                <w:i/>
              </w:rPr>
              <w:t>crex</w:t>
            </w:r>
            <w:proofErr w:type="spellEnd"/>
          </w:p>
        </w:tc>
        <w:tc>
          <w:tcPr>
            <w:tcW w:w="850" w:type="dxa"/>
            <w:vAlign w:val="center"/>
          </w:tcPr>
          <w:p w14:paraId="7ADD3096" w14:textId="77777777"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130</w:t>
            </w:r>
          </w:p>
        </w:tc>
        <w:tc>
          <w:tcPr>
            <w:tcW w:w="993" w:type="dxa"/>
            <w:vAlign w:val="center"/>
          </w:tcPr>
          <w:p w14:paraId="129DE24E" w14:textId="77777777"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500</w:t>
            </w:r>
          </w:p>
        </w:tc>
        <w:tc>
          <w:tcPr>
            <w:tcW w:w="2126" w:type="dxa"/>
            <w:vAlign w:val="center"/>
          </w:tcPr>
          <w:p w14:paraId="4DFF8EE5" w14:textId="6301CF82"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&lt;1</w:t>
            </w:r>
            <w:r w:rsidR="00C615E2">
              <w:rPr>
                <w:rFonts w:ascii="Times New Roman" w:hAnsi="Times New Roman" w:cs="Times New Roman"/>
              </w:rPr>
              <w:t> </w:t>
            </w:r>
            <w:r w:rsidRPr="00A07F29">
              <w:rPr>
                <w:rFonts w:ascii="Times New Roman" w:hAnsi="Times New Roman" w:cs="Times New Roman"/>
              </w:rPr>
              <w:t>%</w:t>
            </w:r>
          </w:p>
        </w:tc>
        <w:tc>
          <w:tcPr>
            <w:tcW w:w="1984" w:type="dxa"/>
            <w:vAlign w:val="center"/>
          </w:tcPr>
          <w:p w14:paraId="6019C8BF" w14:textId="5782A0A4"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4,6 – 9,7</w:t>
            </w:r>
            <w:r w:rsidR="00C615E2">
              <w:rPr>
                <w:rFonts w:ascii="Times New Roman" w:hAnsi="Times New Roman" w:cs="Times New Roman"/>
              </w:rPr>
              <w:t> </w:t>
            </w:r>
            <w:r w:rsidRPr="00A07F29">
              <w:rPr>
                <w:rFonts w:ascii="Times New Roman" w:hAnsi="Times New Roman" w:cs="Times New Roman"/>
              </w:rPr>
              <w:t>%</w:t>
            </w:r>
          </w:p>
        </w:tc>
      </w:tr>
      <w:tr w:rsidR="000D31D3" w:rsidRPr="00A07F29" w14:paraId="11A2B99A" w14:textId="77777777" w:rsidTr="000F31D9">
        <w:tc>
          <w:tcPr>
            <w:tcW w:w="709" w:type="dxa"/>
            <w:vAlign w:val="center"/>
          </w:tcPr>
          <w:p w14:paraId="01BBC53D" w14:textId="1A34DD66" w:rsidR="000D31D3" w:rsidRPr="00A07F29" w:rsidRDefault="000F31D9" w:rsidP="000F31D9">
            <w:pPr>
              <w:spacing w:after="0" w:line="240" w:lineRule="auto"/>
              <w:jc w:val="center"/>
              <w:rPr>
                <w:rFonts w:cs="Times New Roman"/>
              </w:rPr>
            </w:pPr>
            <w:r w:rsidRPr="00A07F29">
              <w:rPr>
                <w:rFonts w:cs="Times New Roman"/>
              </w:rPr>
              <w:t>16.</w:t>
            </w:r>
          </w:p>
        </w:tc>
        <w:tc>
          <w:tcPr>
            <w:tcW w:w="2552" w:type="dxa"/>
            <w:vAlign w:val="center"/>
          </w:tcPr>
          <w:p w14:paraId="3FEF760A" w14:textId="77777777" w:rsidR="000F31D9" w:rsidRPr="00A07F29" w:rsidRDefault="000D31D3" w:rsidP="000D31D3">
            <w:pPr>
              <w:spacing w:after="0" w:line="240" w:lineRule="auto"/>
              <w:rPr>
                <w:rFonts w:ascii="Times New Roman" w:hAnsi="Times New Roman" w:cs="Times New Roman"/>
              </w:rPr>
            </w:pPr>
            <w:r w:rsidRPr="00A07F29">
              <w:rPr>
                <w:rFonts w:ascii="Times New Roman" w:hAnsi="Times New Roman" w:cs="Times New Roman"/>
              </w:rPr>
              <w:t>Mazais ormanītis</w:t>
            </w:r>
          </w:p>
          <w:p w14:paraId="1B8A74C7" w14:textId="5B887A07" w:rsidR="000D31D3" w:rsidRPr="00A07F29" w:rsidRDefault="000D31D3" w:rsidP="000D31D3">
            <w:pPr>
              <w:spacing w:after="0" w:line="240" w:lineRule="auto"/>
              <w:rPr>
                <w:rFonts w:ascii="Times New Roman" w:hAnsi="Times New Roman" w:cs="Times New Roman"/>
                <w:i/>
                <w:iCs/>
              </w:rPr>
            </w:pPr>
            <w:proofErr w:type="spellStart"/>
            <w:r w:rsidRPr="00A07F29">
              <w:rPr>
                <w:rFonts w:ascii="Times New Roman" w:hAnsi="Times New Roman" w:cs="Times New Roman"/>
                <w:i/>
                <w:iCs/>
              </w:rPr>
              <w:t>Zapornia</w:t>
            </w:r>
            <w:proofErr w:type="spellEnd"/>
            <w:r w:rsidRPr="00A07F29">
              <w:rPr>
                <w:rFonts w:ascii="Times New Roman" w:hAnsi="Times New Roman" w:cs="Times New Roman"/>
                <w:i/>
                <w:iCs/>
              </w:rPr>
              <w:t xml:space="preserve"> </w:t>
            </w:r>
            <w:proofErr w:type="spellStart"/>
            <w:r w:rsidRPr="00A07F29">
              <w:rPr>
                <w:rFonts w:ascii="Times New Roman" w:hAnsi="Times New Roman" w:cs="Times New Roman"/>
                <w:i/>
                <w:iCs/>
              </w:rPr>
              <w:t>parva</w:t>
            </w:r>
            <w:proofErr w:type="spellEnd"/>
          </w:p>
        </w:tc>
        <w:tc>
          <w:tcPr>
            <w:tcW w:w="850" w:type="dxa"/>
            <w:vAlign w:val="center"/>
          </w:tcPr>
          <w:p w14:paraId="29AEB1F1" w14:textId="77777777"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1</w:t>
            </w:r>
          </w:p>
        </w:tc>
        <w:tc>
          <w:tcPr>
            <w:tcW w:w="993" w:type="dxa"/>
            <w:vAlign w:val="center"/>
          </w:tcPr>
          <w:p w14:paraId="2DED2525" w14:textId="77777777"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2</w:t>
            </w:r>
          </w:p>
        </w:tc>
        <w:tc>
          <w:tcPr>
            <w:tcW w:w="2126" w:type="dxa"/>
            <w:vAlign w:val="center"/>
          </w:tcPr>
          <w:p w14:paraId="7DB6D7ED" w14:textId="49599B6E"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&lt;1</w:t>
            </w:r>
            <w:r w:rsidR="00C615E2">
              <w:rPr>
                <w:rFonts w:ascii="Times New Roman" w:hAnsi="Times New Roman" w:cs="Times New Roman"/>
              </w:rPr>
              <w:t> </w:t>
            </w:r>
            <w:r w:rsidRPr="00A07F29">
              <w:rPr>
                <w:rFonts w:ascii="Times New Roman" w:hAnsi="Times New Roman" w:cs="Times New Roman"/>
              </w:rPr>
              <w:t>%</w:t>
            </w:r>
          </w:p>
        </w:tc>
        <w:tc>
          <w:tcPr>
            <w:tcW w:w="1984" w:type="dxa"/>
            <w:vAlign w:val="center"/>
          </w:tcPr>
          <w:p w14:paraId="6A8696FB" w14:textId="0DAC9B5D"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&lt;1</w:t>
            </w:r>
            <w:r w:rsidR="00C615E2">
              <w:rPr>
                <w:rFonts w:ascii="Times New Roman" w:hAnsi="Times New Roman" w:cs="Times New Roman"/>
              </w:rPr>
              <w:t> </w:t>
            </w:r>
            <w:r w:rsidRPr="00A07F29">
              <w:rPr>
                <w:rFonts w:ascii="Times New Roman" w:hAnsi="Times New Roman" w:cs="Times New Roman"/>
              </w:rPr>
              <w:t>%</w:t>
            </w:r>
          </w:p>
        </w:tc>
      </w:tr>
      <w:tr w:rsidR="000D31D3" w:rsidRPr="00A07F29" w14:paraId="5CA0F4D1" w14:textId="77777777" w:rsidTr="000F31D9">
        <w:tc>
          <w:tcPr>
            <w:tcW w:w="709" w:type="dxa"/>
            <w:vAlign w:val="center"/>
          </w:tcPr>
          <w:p w14:paraId="2AB6F59B" w14:textId="314EFDEA" w:rsidR="000D31D3" w:rsidRPr="00A07F29" w:rsidRDefault="000F31D9" w:rsidP="000F31D9">
            <w:pPr>
              <w:spacing w:after="0" w:line="240" w:lineRule="auto"/>
              <w:jc w:val="center"/>
              <w:rPr>
                <w:rFonts w:cs="Times New Roman"/>
              </w:rPr>
            </w:pPr>
            <w:r w:rsidRPr="00A07F29">
              <w:rPr>
                <w:rFonts w:cs="Times New Roman"/>
              </w:rPr>
              <w:t>17.</w:t>
            </w:r>
          </w:p>
        </w:tc>
        <w:tc>
          <w:tcPr>
            <w:tcW w:w="2552" w:type="dxa"/>
            <w:vAlign w:val="center"/>
          </w:tcPr>
          <w:p w14:paraId="78D18034" w14:textId="77777777" w:rsidR="000F31D9" w:rsidRPr="00A07F29" w:rsidRDefault="000D31D3" w:rsidP="000D31D3">
            <w:pPr>
              <w:spacing w:after="0" w:line="240" w:lineRule="auto"/>
              <w:rPr>
                <w:rFonts w:ascii="Times New Roman" w:hAnsi="Times New Roman" w:cs="Times New Roman"/>
              </w:rPr>
            </w:pPr>
            <w:r w:rsidRPr="00A07F29">
              <w:rPr>
                <w:rFonts w:ascii="Times New Roman" w:hAnsi="Times New Roman" w:cs="Times New Roman"/>
              </w:rPr>
              <w:t>Ormanītis</w:t>
            </w:r>
          </w:p>
          <w:p w14:paraId="47F8F8AD" w14:textId="1DBE4113" w:rsidR="000D31D3" w:rsidRPr="00A07F29" w:rsidRDefault="000D31D3" w:rsidP="000D31D3">
            <w:pPr>
              <w:spacing w:after="0" w:line="240" w:lineRule="auto"/>
              <w:rPr>
                <w:rFonts w:ascii="Times New Roman" w:hAnsi="Times New Roman" w:cs="Times New Roman"/>
                <w:i/>
              </w:rPr>
            </w:pPr>
            <w:proofErr w:type="spellStart"/>
            <w:r w:rsidRPr="00A07F29">
              <w:rPr>
                <w:rFonts w:ascii="Times New Roman" w:hAnsi="Times New Roman" w:cs="Times New Roman"/>
                <w:i/>
              </w:rPr>
              <w:t>Porzana</w:t>
            </w:r>
            <w:proofErr w:type="spellEnd"/>
            <w:r w:rsidRPr="00A07F29">
              <w:rPr>
                <w:rFonts w:ascii="Times New Roman" w:hAnsi="Times New Roman" w:cs="Times New Roman"/>
                <w:i/>
              </w:rPr>
              <w:t xml:space="preserve"> </w:t>
            </w:r>
            <w:proofErr w:type="spellStart"/>
            <w:r w:rsidRPr="00A07F29">
              <w:rPr>
                <w:rFonts w:ascii="Times New Roman" w:hAnsi="Times New Roman" w:cs="Times New Roman"/>
                <w:i/>
              </w:rPr>
              <w:t>porzana</w:t>
            </w:r>
            <w:proofErr w:type="spellEnd"/>
          </w:p>
        </w:tc>
        <w:tc>
          <w:tcPr>
            <w:tcW w:w="850" w:type="dxa"/>
            <w:vAlign w:val="center"/>
          </w:tcPr>
          <w:p w14:paraId="3568D59F" w14:textId="77777777"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5</w:t>
            </w:r>
          </w:p>
        </w:tc>
        <w:tc>
          <w:tcPr>
            <w:tcW w:w="993" w:type="dxa"/>
            <w:vAlign w:val="center"/>
          </w:tcPr>
          <w:p w14:paraId="11D80743" w14:textId="77777777"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10</w:t>
            </w:r>
          </w:p>
        </w:tc>
        <w:tc>
          <w:tcPr>
            <w:tcW w:w="2126" w:type="dxa"/>
            <w:vAlign w:val="center"/>
          </w:tcPr>
          <w:p w14:paraId="279B484B" w14:textId="31D0EE71"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0,8 – 1</w:t>
            </w:r>
            <w:r w:rsidR="00C615E2">
              <w:rPr>
                <w:rFonts w:ascii="Times New Roman" w:hAnsi="Times New Roman" w:cs="Times New Roman"/>
              </w:rPr>
              <w:t> </w:t>
            </w:r>
            <w:r w:rsidRPr="00A07F29">
              <w:rPr>
                <w:rFonts w:ascii="Times New Roman" w:hAnsi="Times New Roman" w:cs="Times New Roman"/>
              </w:rPr>
              <w:t>%</w:t>
            </w:r>
          </w:p>
        </w:tc>
        <w:tc>
          <w:tcPr>
            <w:tcW w:w="1984" w:type="dxa"/>
            <w:vAlign w:val="center"/>
          </w:tcPr>
          <w:p w14:paraId="0B312C82" w14:textId="37582C9C"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2 – 3</w:t>
            </w:r>
            <w:r w:rsidR="00C615E2">
              <w:rPr>
                <w:rFonts w:ascii="Times New Roman" w:hAnsi="Times New Roman" w:cs="Times New Roman"/>
              </w:rPr>
              <w:t> </w:t>
            </w:r>
            <w:r w:rsidRPr="00A07F29">
              <w:rPr>
                <w:rFonts w:ascii="Times New Roman" w:hAnsi="Times New Roman" w:cs="Times New Roman"/>
              </w:rPr>
              <w:t>%</w:t>
            </w:r>
          </w:p>
        </w:tc>
      </w:tr>
      <w:tr w:rsidR="000D31D3" w:rsidRPr="00A07F29" w14:paraId="482168A5" w14:textId="77777777" w:rsidTr="000F31D9">
        <w:tc>
          <w:tcPr>
            <w:tcW w:w="709" w:type="dxa"/>
            <w:vAlign w:val="center"/>
          </w:tcPr>
          <w:p w14:paraId="25DCE605" w14:textId="32CDDABA" w:rsidR="000D31D3" w:rsidRPr="00A07F29" w:rsidRDefault="000F31D9" w:rsidP="000F31D9">
            <w:pPr>
              <w:spacing w:after="0" w:line="240" w:lineRule="auto"/>
              <w:jc w:val="center"/>
              <w:rPr>
                <w:rFonts w:cs="Times New Roman"/>
              </w:rPr>
            </w:pPr>
            <w:r w:rsidRPr="00A07F29">
              <w:rPr>
                <w:rFonts w:cs="Times New Roman"/>
              </w:rPr>
              <w:t>18.</w:t>
            </w:r>
          </w:p>
        </w:tc>
        <w:tc>
          <w:tcPr>
            <w:tcW w:w="2552" w:type="dxa"/>
            <w:vAlign w:val="center"/>
          </w:tcPr>
          <w:p w14:paraId="22A14A9E" w14:textId="77777777" w:rsidR="000F31D9" w:rsidRPr="00A07F29" w:rsidRDefault="000D31D3" w:rsidP="000D31D3">
            <w:pPr>
              <w:spacing w:after="0" w:line="240" w:lineRule="auto"/>
              <w:rPr>
                <w:rFonts w:ascii="Times New Roman" w:hAnsi="Times New Roman" w:cs="Times New Roman"/>
              </w:rPr>
            </w:pPr>
            <w:r w:rsidRPr="00A07F29">
              <w:rPr>
                <w:rFonts w:ascii="Times New Roman" w:hAnsi="Times New Roman" w:cs="Times New Roman"/>
              </w:rPr>
              <w:t>Dzērve</w:t>
            </w:r>
          </w:p>
          <w:p w14:paraId="26711D78" w14:textId="26D34A46" w:rsidR="000D31D3" w:rsidRPr="00A07F29" w:rsidRDefault="000D31D3" w:rsidP="000D31D3">
            <w:pPr>
              <w:spacing w:after="0" w:line="240" w:lineRule="auto"/>
              <w:rPr>
                <w:rFonts w:ascii="Times New Roman" w:hAnsi="Times New Roman" w:cs="Times New Roman"/>
              </w:rPr>
            </w:pPr>
            <w:proofErr w:type="spellStart"/>
            <w:r w:rsidRPr="00A07F29">
              <w:rPr>
                <w:rFonts w:ascii="Times New Roman" w:hAnsi="Times New Roman" w:cs="Times New Roman"/>
                <w:i/>
              </w:rPr>
              <w:t>Grus</w:t>
            </w:r>
            <w:proofErr w:type="spellEnd"/>
            <w:r w:rsidRPr="00A07F29">
              <w:rPr>
                <w:rFonts w:ascii="Times New Roman" w:hAnsi="Times New Roman" w:cs="Times New Roman"/>
                <w:i/>
              </w:rPr>
              <w:t xml:space="preserve"> </w:t>
            </w:r>
            <w:proofErr w:type="spellStart"/>
            <w:r w:rsidRPr="00A07F29">
              <w:rPr>
                <w:rFonts w:ascii="Times New Roman" w:hAnsi="Times New Roman" w:cs="Times New Roman"/>
                <w:i/>
              </w:rPr>
              <w:t>grus</w:t>
            </w:r>
            <w:proofErr w:type="spellEnd"/>
          </w:p>
        </w:tc>
        <w:tc>
          <w:tcPr>
            <w:tcW w:w="850" w:type="dxa"/>
            <w:vAlign w:val="center"/>
          </w:tcPr>
          <w:p w14:paraId="5C843B4A" w14:textId="77777777"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30</w:t>
            </w:r>
          </w:p>
        </w:tc>
        <w:tc>
          <w:tcPr>
            <w:tcW w:w="993" w:type="dxa"/>
            <w:vAlign w:val="center"/>
          </w:tcPr>
          <w:p w14:paraId="57E376A6" w14:textId="77777777"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40</w:t>
            </w:r>
          </w:p>
        </w:tc>
        <w:tc>
          <w:tcPr>
            <w:tcW w:w="2126" w:type="dxa"/>
            <w:vAlign w:val="center"/>
          </w:tcPr>
          <w:p w14:paraId="4C4BA64E" w14:textId="4CB4220E"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0,4 – 1,1</w:t>
            </w:r>
            <w:r w:rsidR="00C615E2">
              <w:rPr>
                <w:rFonts w:ascii="Times New Roman" w:hAnsi="Times New Roman" w:cs="Times New Roman"/>
              </w:rPr>
              <w:t> </w:t>
            </w:r>
            <w:r w:rsidRPr="00A07F29">
              <w:rPr>
                <w:rFonts w:ascii="Times New Roman" w:hAnsi="Times New Roman" w:cs="Times New Roman"/>
              </w:rPr>
              <w:t>%</w:t>
            </w:r>
          </w:p>
        </w:tc>
        <w:tc>
          <w:tcPr>
            <w:tcW w:w="1984" w:type="dxa"/>
            <w:vAlign w:val="center"/>
          </w:tcPr>
          <w:p w14:paraId="0D37DCAD" w14:textId="358B5492"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4,2 – 6</w:t>
            </w:r>
            <w:r w:rsidR="00C615E2">
              <w:rPr>
                <w:rFonts w:ascii="Times New Roman" w:hAnsi="Times New Roman" w:cs="Times New Roman"/>
              </w:rPr>
              <w:t> </w:t>
            </w:r>
            <w:r w:rsidRPr="00A07F29">
              <w:rPr>
                <w:rFonts w:ascii="Times New Roman" w:hAnsi="Times New Roman" w:cs="Times New Roman"/>
              </w:rPr>
              <w:t>%</w:t>
            </w:r>
          </w:p>
        </w:tc>
      </w:tr>
      <w:tr w:rsidR="000D31D3" w:rsidRPr="00A07F29" w14:paraId="3394F32D" w14:textId="77777777" w:rsidTr="000F31D9">
        <w:tc>
          <w:tcPr>
            <w:tcW w:w="709" w:type="dxa"/>
            <w:vAlign w:val="center"/>
          </w:tcPr>
          <w:p w14:paraId="44B86093" w14:textId="7D95820D" w:rsidR="000D31D3" w:rsidRPr="00A07F29" w:rsidRDefault="000F31D9" w:rsidP="000F31D9">
            <w:pPr>
              <w:spacing w:after="0" w:line="240" w:lineRule="auto"/>
              <w:jc w:val="center"/>
              <w:rPr>
                <w:rFonts w:cs="Times New Roman"/>
              </w:rPr>
            </w:pPr>
            <w:r w:rsidRPr="00A07F29">
              <w:rPr>
                <w:rFonts w:cs="Times New Roman"/>
              </w:rPr>
              <w:t>19.</w:t>
            </w:r>
          </w:p>
        </w:tc>
        <w:tc>
          <w:tcPr>
            <w:tcW w:w="2552" w:type="dxa"/>
            <w:vAlign w:val="center"/>
          </w:tcPr>
          <w:p w14:paraId="705DD10C" w14:textId="77777777" w:rsidR="000D31D3" w:rsidRPr="00A07F29" w:rsidRDefault="000D31D3" w:rsidP="000D31D3">
            <w:pPr>
              <w:spacing w:after="0" w:line="240" w:lineRule="auto"/>
              <w:rPr>
                <w:rFonts w:ascii="Times New Roman" w:hAnsi="Times New Roman" w:cs="Times New Roman"/>
              </w:rPr>
            </w:pPr>
            <w:r w:rsidRPr="00A07F29">
              <w:rPr>
                <w:rFonts w:ascii="Times New Roman" w:hAnsi="Times New Roman" w:cs="Times New Roman"/>
              </w:rPr>
              <w:t xml:space="preserve">Mazais zīriņš </w:t>
            </w:r>
            <w:proofErr w:type="spellStart"/>
            <w:r w:rsidRPr="00A07F29">
              <w:rPr>
                <w:rFonts w:ascii="Times New Roman" w:hAnsi="Times New Roman" w:cs="Times New Roman"/>
                <w:i/>
              </w:rPr>
              <w:t>Sternula</w:t>
            </w:r>
            <w:proofErr w:type="spellEnd"/>
            <w:r w:rsidRPr="00A07F29">
              <w:rPr>
                <w:rFonts w:ascii="Times New Roman" w:hAnsi="Times New Roman" w:cs="Times New Roman"/>
                <w:i/>
              </w:rPr>
              <w:t xml:space="preserve"> </w:t>
            </w:r>
            <w:proofErr w:type="spellStart"/>
            <w:r w:rsidRPr="00A07F29">
              <w:rPr>
                <w:rFonts w:ascii="Times New Roman" w:hAnsi="Times New Roman" w:cs="Times New Roman"/>
                <w:i/>
              </w:rPr>
              <w:t>albifrons</w:t>
            </w:r>
            <w:proofErr w:type="spellEnd"/>
          </w:p>
        </w:tc>
        <w:tc>
          <w:tcPr>
            <w:tcW w:w="850" w:type="dxa"/>
            <w:vAlign w:val="center"/>
          </w:tcPr>
          <w:p w14:paraId="5A29BDE8" w14:textId="77777777"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30</w:t>
            </w:r>
          </w:p>
        </w:tc>
        <w:tc>
          <w:tcPr>
            <w:tcW w:w="993" w:type="dxa"/>
            <w:vAlign w:val="center"/>
          </w:tcPr>
          <w:p w14:paraId="0E675390" w14:textId="77777777"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40</w:t>
            </w:r>
          </w:p>
        </w:tc>
        <w:tc>
          <w:tcPr>
            <w:tcW w:w="2126" w:type="dxa"/>
            <w:vAlign w:val="center"/>
          </w:tcPr>
          <w:p w14:paraId="2CFD6C78" w14:textId="3D382494"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40 – 42,9</w:t>
            </w:r>
            <w:r w:rsidR="00C615E2">
              <w:rPr>
                <w:rFonts w:ascii="Times New Roman" w:hAnsi="Times New Roman" w:cs="Times New Roman"/>
              </w:rPr>
              <w:t> </w:t>
            </w:r>
            <w:r w:rsidRPr="00A07F29">
              <w:rPr>
                <w:rFonts w:ascii="Times New Roman" w:hAnsi="Times New Roman" w:cs="Times New Roman"/>
              </w:rPr>
              <w:t>%</w:t>
            </w:r>
          </w:p>
        </w:tc>
        <w:tc>
          <w:tcPr>
            <w:tcW w:w="1984" w:type="dxa"/>
            <w:vAlign w:val="center"/>
          </w:tcPr>
          <w:p w14:paraId="1136F111" w14:textId="2DE01CCE"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58,8 – 100</w:t>
            </w:r>
            <w:r w:rsidR="00C615E2">
              <w:rPr>
                <w:rFonts w:ascii="Times New Roman" w:hAnsi="Times New Roman" w:cs="Times New Roman"/>
              </w:rPr>
              <w:t> </w:t>
            </w:r>
            <w:r w:rsidRPr="00A07F29">
              <w:rPr>
                <w:rFonts w:ascii="Times New Roman" w:hAnsi="Times New Roman" w:cs="Times New Roman"/>
              </w:rPr>
              <w:t>%</w:t>
            </w:r>
          </w:p>
        </w:tc>
      </w:tr>
      <w:tr w:rsidR="000D31D3" w:rsidRPr="00A07F29" w14:paraId="598B6383" w14:textId="77777777" w:rsidTr="000F31D9">
        <w:tc>
          <w:tcPr>
            <w:tcW w:w="709" w:type="dxa"/>
            <w:vAlign w:val="center"/>
          </w:tcPr>
          <w:p w14:paraId="7441C3E9" w14:textId="47CAC1DF" w:rsidR="000D31D3" w:rsidRPr="00A07F29" w:rsidRDefault="000F31D9" w:rsidP="000F31D9">
            <w:pPr>
              <w:spacing w:after="0" w:line="240" w:lineRule="auto"/>
              <w:jc w:val="center"/>
              <w:rPr>
                <w:rFonts w:cs="Times New Roman"/>
              </w:rPr>
            </w:pPr>
            <w:r w:rsidRPr="00A07F29">
              <w:rPr>
                <w:rFonts w:cs="Times New Roman"/>
              </w:rPr>
              <w:t>20.</w:t>
            </w:r>
          </w:p>
        </w:tc>
        <w:tc>
          <w:tcPr>
            <w:tcW w:w="2552" w:type="dxa"/>
            <w:vAlign w:val="center"/>
          </w:tcPr>
          <w:p w14:paraId="0631BBBD" w14:textId="77777777" w:rsidR="000F31D9" w:rsidRPr="00A07F29" w:rsidRDefault="000D31D3" w:rsidP="000D31D3">
            <w:pPr>
              <w:spacing w:after="0" w:line="240" w:lineRule="auto"/>
              <w:rPr>
                <w:rFonts w:ascii="Times New Roman" w:hAnsi="Times New Roman" w:cs="Times New Roman"/>
              </w:rPr>
            </w:pPr>
            <w:r w:rsidRPr="00A07F29">
              <w:rPr>
                <w:rFonts w:ascii="Times New Roman" w:hAnsi="Times New Roman" w:cs="Times New Roman"/>
              </w:rPr>
              <w:t>Melnais zīriņš</w:t>
            </w:r>
          </w:p>
          <w:p w14:paraId="1A05B530" w14:textId="12D52724" w:rsidR="000D31D3" w:rsidRPr="00A07F29" w:rsidRDefault="000D31D3" w:rsidP="000D31D3">
            <w:pPr>
              <w:spacing w:after="0" w:line="240" w:lineRule="auto"/>
              <w:rPr>
                <w:rFonts w:ascii="Times New Roman" w:hAnsi="Times New Roman" w:cs="Times New Roman"/>
              </w:rPr>
            </w:pPr>
            <w:proofErr w:type="spellStart"/>
            <w:r w:rsidRPr="00A07F29">
              <w:rPr>
                <w:rFonts w:ascii="Times New Roman" w:hAnsi="Times New Roman" w:cs="Times New Roman"/>
                <w:i/>
              </w:rPr>
              <w:t>Chlidonias</w:t>
            </w:r>
            <w:proofErr w:type="spellEnd"/>
            <w:r w:rsidRPr="00A07F29">
              <w:rPr>
                <w:rFonts w:ascii="Times New Roman" w:hAnsi="Times New Roman" w:cs="Times New Roman"/>
                <w:i/>
              </w:rPr>
              <w:t xml:space="preserve"> niger</w:t>
            </w:r>
          </w:p>
        </w:tc>
        <w:tc>
          <w:tcPr>
            <w:tcW w:w="850" w:type="dxa"/>
            <w:vAlign w:val="center"/>
          </w:tcPr>
          <w:p w14:paraId="6804A982" w14:textId="77777777"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0</w:t>
            </w:r>
          </w:p>
        </w:tc>
        <w:tc>
          <w:tcPr>
            <w:tcW w:w="993" w:type="dxa"/>
            <w:vAlign w:val="center"/>
          </w:tcPr>
          <w:p w14:paraId="15E7CD7A" w14:textId="77777777"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10</w:t>
            </w:r>
          </w:p>
        </w:tc>
        <w:tc>
          <w:tcPr>
            <w:tcW w:w="2126" w:type="dxa"/>
            <w:vAlign w:val="center"/>
          </w:tcPr>
          <w:p w14:paraId="78C26E59" w14:textId="09BDD8EA"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&lt;1</w:t>
            </w:r>
            <w:r w:rsidR="00C615E2">
              <w:rPr>
                <w:rFonts w:ascii="Times New Roman" w:hAnsi="Times New Roman" w:cs="Times New Roman"/>
              </w:rPr>
              <w:t> </w:t>
            </w:r>
            <w:r w:rsidRPr="00A07F29">
              <w:rPr>
                <w:rFonts w:ascii="Times New Roman" w:hAnsi="Times New Roman" w:cs="Times New Roman"/>
              </w:rPr>
              <w:t>%</w:t>
            </w:r>
          </w:p>
        </w:tc>
        <w:tc>
          <w:tcPr>
            <w:tcW w:w="1984" w:type="dxa"/>
            <w:vAlign w:val="center"/>
          </w:tcPr>
          <w:p w14:paraId="561052E7" w14:textId="533746D3"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&lt;1</w:t>
            </w:r>
            <w:r w:rsidR="00C615E2">
              <w:rPr>
                <w:rFonts w:ascii="Times New Roman" w:hAnsi="Times New Roman" w:cs="Times New Roman"/>
              </w:rPr>
              <w:t> </w:t>
            </w:r>
            <w:r w:rsidRPr="00A07F29">
              <w:rPr>
                <w:rFonts w:ascii="Times New Roman" w:hAnsi="Times New Roman" w:cs="Times New Roman"/>
              </w:rPr>
              <w:t>%</w:t>
            </w:r>
          </w:p>
        </w:tc>
      </w:tr>
      <w:tr w:rsidR="000D31D3" w:rsidRPr="00A07F29" w14:paraId="562632EF" w14:textId="77777777" w:rsidTr="000F31D9">
        <w:tc>
          <w:tcPr>
            <w:tcW w:w="709" w:type="dxa"/>
            <w:vAlign w:val="center"/>
          </w:tcPr>
          <w:p w14:paraId="53756BE9" w14:textId="0EC1D592" w:rsidR="000D31D3" w:rsidRPr="00A07F29" w:rsidRDefault="000F31D9" w:rsidP="000F31D9">
            <w:pPr>
              <w:spacing w:after="0" w:line="240" w:lineRule="auto"/>
              <w:jc w:val="center"/>
              <w:rPr>
                <w:rFonts w:cs="Times New Roman"/>
              </w:rPr>
            </w:pPr>
            <w:r w:rsidRPr="00A07F29">
              <w:rPr>
                <w:rFonts w:cs="Times New Roman"/>
              </w:rPr>
              <w:t>21.</w:t>
            </w:r>
          </w:p>
        </w:tc>
        <w:tc>
          <w:tcPr>
            <w:tcW w:w="2552" w:type="dxa"/>
            <w:vAlign w:val="center"/>
          </w:tcPr>
          <w:p w14:paraId="5AB9A2E2" w14:textId="77777777" w:rsidR="000D31D3" w:rsidRPr="00A07F29" w:rsidRDefault="000D31D3" w:rsidP="000D31D3">
            <w:pPr>
              <w:spacing w:after="0" w:line="240" w:lineRule="auto"/>
              <w:rPr>
                <w:rFonts w:ascii="Times New Roman" w:hAnsi="Times New Roman" w:cs="Times New Roman"/>
                <w:i/>
              </w:rPr>
            </w:pPr>
            <w:r w:rsidRPr="00A07F29">
              <w:rPr>
                <w:rFonts w:ascii="Times New Roman" w:hAnsi="Times New Roman" w:cs="Times New Roman"/>
              </w:rPr>
              <w:t xml:space="preserve">Upes zīriņš </w:t>
            </w:r>
            <w:proofErr w:type="spellStart"/>
            <w:r w:rsidRPr="00A07F29">
              <w:rPr>
                <w:rFonts w:ascii="Times New Roman" w:hAnsi="Times New Roman" w:cs="Times New Roman"/>
                <w:i/>
              </w:rPr>
              <w:t>Sterna</w:t>
            </w:r>
            <w:proofErr w:type="spellEnd"/>
            <w:r w:rsidRPr="00A07F29">
              <w:rPr>
                <w:rFonts w:ascii="Times New Roman" w:hAnsi="Times New Roman" w:cs="Times New Roman"/>
                <w:i/>
              </w:rPr>
              <w:t xml:space="preserve"> </w:t>
            </w:r>
            <w:proofErr w:type="spellStart"/>
            <w:r w:rsidRPr="00A07F29">
              <w:rPr>
                <w:rFonts w:ascii="Times New Roman" w:hAnsi="Times New Roman" w:cs="Times New Roman"/>
                <w:i/>
              </w:rPr>
              <w:t>hirundo</w:t>
            </w:r>
            <w:proofErr w:type="spellEnd"/>
          </w:p>
        </w:tc>
        <w:tc>
          <w:tcPr>
            <w:tcW w:w="850" w:type="dxa"/>
            <w:vAlign w:val="center"/>
          </w:tcPr>
          <w:p w14:paraId="1EAA9EC1" w14:textId="77777777"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50</w:t>
            </w:r>
          </w:p>
        </w:tc>
        <w:tc>
          <w:tcPr>
            <w:tcW w:w="993" w:type="dxa"/>
            <w:vAlign w:val="center"/>
          </w:tcPr>
          <w:p w14:paraId="1299261C" w14:textId="77777777"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60</w:t>
            </w:r>
          </w:p>
        </w:tc>
        <w:tc>
          <w:tcPr>
            <w:tcW w:w="2126" w:type="dxa"/>
            <w:vAlign w:val="center"/>
          </w:tcPr>
          <w:p w14:paraId="1857CB67" w14:textId="0AA4E0E0"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2,6 – 4,5</w:t>
            </w:r>
            <w:r w:rsidR="00C615E2">
              <w:rPr>
                <w:rFonts w:ascii="Times New Roman" w:hAnsi="Times New Roman" w:cs="Times New Roman"/>
              </w:rPr>
              <w:t> </w:t>
            </w:r>
            <w:r w:rsidRPr="00A07F29">
              <w:rPr>
                <w:rFonts w:ascii="Times New Roman" w:hAnsi="Times New Roman" w:cs="Times New Roman"/>
              </w:rPr>
              <w:t>%</w:t>
            </w:r>
          </w:p>
        </w:tc>
        <w:tc>
          <w:tcPr>
            <w:tcW w:w="1984" w:type="dxa"/>
            <w:vAlign w:val="center"/>
          </w:tcPr>
          <w:p w14:paraId="7B22EFFA" w14:textId="7253AB24"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15 – 25</w:t>
            </w:r>
            <w:r w:rsidR="00C615E2">
              <w:rPr>
                <w:rFonts w:ascii="Times New Roman" w:hAnsi="Times New Roman" w:cs="Times New Roman"/>
              </w:rPr>
              <w:t> </w:t>
            </w:r>
            <w:r w:rsidRPr="00A07F29">
              <w:rPr>
                <w:rFonts w:ascii="Times New Roman" w:hAnsi="Times New Roman" w:cs="Times New Roman"/>
              </w:rPr>
              <w:t>%</w:t>
            </w:r>
          </w:p>
        </w:tc>
      </w:tr>
      <w:tr w:rsidR="000D31D3" w:rsidRPr="00A07F29" w14:paraId="34D78EC3" w14:textId="77777777" w:rsidTr="000F31D9">
        <w:tc>
          <w:tcPr>
            <w:tcW w:w="709" w:type="dxa"/>
            <w:vAlign w:val="center"/>
          </w:tcPr>
          <w:p w14:paraId="127CDACF" w14:textId="6E6A4AD8" w:rsidR="000D31D3" w:rsidRPr="00A07F29" w:rsidRDefault="000F31D9" w:rsidP="000F31D9">
            <w:pPr>
              <w:spacing w:after="0" w:line="240" w:lineRule="auto"/>
              <w:jc w:val="center"/>
              <w:rPr>
                <w:rFonts w:cs="Times New Roman"/>
              </w:rPr>
            </w:pPr>
            <w:r w:rsidRPr="00A07F29">
              <w:rPr>
                <w:rFonts w:cs="Times New Roman"/>
              </w:rPr>
              <w:t>22.</w:t>
            </w:r>
          </w:p>
        </w:tc>
        <w:tc>
          <w:tcPr>
            <w:tcW w:w="2552" w:type="dxa"/>
            <w:vAlign w:val="center"/>
          </w:tcPr>
          <w:p w14:paraId="190A7B50" w14:textId="77777777" w:rsidR="000F31D9" w:rsidRPr="00A07F29" w:rsidRDefault="000D31D3" w:rsidP="000D31D3">
            <w:pPr>
              <w:spacing w:after="0" w:line="240" w:lineRule="auto"/>
              <w:rPr>
                <w:rFonts w:ascii="Times New Roman" w:hAnsi="Times New Roman" w:cs="Times New Roman"/>
              </w:rPr>
            </w:pPr>
            <w:r w:rsidRPr="00A07F29">
              <w:rPr>
                <w:rFonts w:ascii="Times New Roman" w:hAnsi="Times New Roman" w:cs="Times New Roman"/>
              </w:rPr>
              <w:t>Apodziņš</w:t>
            </w:r>
          </w:p>
          <w:p w14:paraId="5AE304D3" w14:textId="164B3D0A" w:rsidR="000D31D3" w:rsidRPr="00A07F29" w:rsidRDefault="000D31D3" w:rsidP="000D31D3">
            <w:pPr>
              <w:spacing w:after="0" w:line="240" w:lineRule="auto"/>
              <w:rPr>
                <w:rFonts w:ascii="Times New Roman" w:hAnsi="Times New Roman" w:cs="Times New Roman"/>
                <w:i/>
              </w:rPr>
            </w:pPr>
            <w:proofErr w:type="spellStart"/>
            <w:r w:rsidRPr="00A07F29">
              <w:rPr>
                <w:rFonts w:ascii="Times New Roman" w:hAnsi="Times New Roman" w:cs="Times New Roman"/>
                <w:i/>
              </w:rPr>
              <w:t>Glaucidium</w:t>
            </w:r>
            <w:proofErr w:type="spellEnd"/>
            <w:r w:rsidRPr="00A07F29">
              <w:rPr>
                <w:rFonts w:ascii="Times New Roman" w:hAnsi="Times New Roman" w:cs="Times New Roman"/>
                <w:i/>
              </w:rPr>
              <w:t xml:space="preserve"> </w:t>
            </w:r>
            <w:proofErr w:type="spellStart"/>
            <w:r w:rsidRPr="00A07F29">
              <w:rPr>
                <w:rFonts w:ascii="Times New Roman" w:hAnsi="Times New Roman" w:cs="Times New Roman"/>
                <w:i/>
              </w:rPr>
              <w:t>passerinum</w:t>
            </w:r>
            <w:proofErr w:type="spellEnd"/>
          </w:p>
        </w:tc>
        <w:tc>
          <w:tcPr>
            <w:tcW w:w="850" w:type="dxa"/>
            <w:vAlign w:val="center"/>
          </w:tcPr>
          <w:p w14:paraId="523CF362" w14:textId="77777777"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15</w:t>
            </w:r>
          </w:p>
        </w:tc>
        <w:tc>
          <w:tcPr>
            <w:tcW w:w="993" w:type="dxa"/>
            <w:vAlign w:val="center"/>
          </w:tcPr>
          <w:p w14:paraId="0751E38D" w14:textId="77777777"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20</w:t>
            </w:r>
          </w:p>
        </w:tc>
        <w:tc>
          <w:tcPr>
            <w:tcW w:w="2126" w:type="dxa"/>
            <w:vAlign w:val="center"/>
          </w:tcPr>
          <w:p w14:paraId="6B934FBE" w14:textId="0ED98602"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&lt;1</w:t>
            </w:r>
            <w:r w:rsidR="00C615E2">
              <w:rPr>
                <w:rFonts w:ascii="Times New Roman" w:hAnsi="Times New Roman" w:cs="Times New Roman"/>
              </w:rPr>
              <w:t> </w:t>
            </w:r>
            <w:r w:rsidRPr="00A07F29">
              <w:rPr>
                <w:rFonts w:ascii="Times New Roman" w:hAnsi="Times New Roman" w:cs="Times New Roman"/>
              </w:rPr>
              <w:t>%</w:t>
            </w:r>
          </w:p>
        </w:tc>
        <w:tc>
          <w:tcPr>
            <w:tcW w:w="1984" w:type="dxa"/>
            <w:vAlign w:val="center"/>
          </w:tcPr>
          <w:p w14:paraId="0D671CB8" w14:textId="49F6AD01"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0,9 – 1,7</w:t>
            </w:r>
            <w:r w:rsidR="00C615E2">
              <w:rPr>
                <w:rFonts w:ascii="Times New Roman" w:hAnsi="Times New Roman" w:cs="Times New Roman"/>
              </w:rPr>
              <w:t> </w:t>
            </w:r>
            <w:r w:rsidRPr="00A07F29">
              <w:rPr>
                <w:rFonts w:ascii="Times New Roman" w:hAnsi="Times New Roman" w:cs="Times New Roman"/>
              </w:rPr>
              <w:t>%</w:t>
            </w:r>
          </w:p>
        </w:tc>
      </w:tr>
      <w:tr w:rsidR="000D31D3" w:rsidRPr="00A07F29" w14:paraId="0243AFE5" w14:textId="77777777" w:rsidTr="000F31D9">
        <w:tc>
          <w:tcPr>
            <w:tcW w:w="709" w:type="dxa"/>
            <w:vAlign w:val="center"/>
          </w:tcPr>
          <w:p w14:paraId="4C8C9ABE" w14:textId="691FE8E6" w:rsidR="000D31D3" w:rsidRPr="00A07F29" w:rsidRDefault="000F31D9" w:rsidP="000F31D9">
            <w:pPr>
              <w:spacing w:after="0" w:line="240" w:lineRule="auto"/>
              <w:jc w:val="center"/>
              <w:rPr>
                <w:rFonts w:cs="Times New Roman"/>
              </w:rPr>
            </w:pPr>
            <w:r w:rsidRPr="00A07F29">
              <w:rPr>
                <w:rFonts w:cs="Times New Roman"/>
              </w:rPr>
              <w:t>23.</w:t>
            </w:r>
          </w:p>
        </w:tc>
        <w:tc>
          <w:tcPr>
            <w:tcW w:w="2552" w:type="dxa"/>
            <w:vAlign w:val="center"/>
          </w:tcPr>
          <w:p w14:paraId="18E4C4AB" w14:textId="77777777" w:rsidR="000F31D9" w:rsidRPr="00A07F29" w:rsidRDefault="000D31D3" w:rsidP="000D31D3">
            <w:pPr>
              <w:spacing w:after="0" w:line="240" w:lineRule="auto"/>
              <w:rPr>
                <w:rFonts w:ascii="Times New Roman" w:hAnsi="Times New Roman" w:cs="Times New Roman"/>
              </w:rPr>
            </w:pPr>
            <w:proofErr w:type="spellStart"/>
            <w:r w:rsidRPr="00A07F29">
              <w:rPr>
                <w:rFonts w:ascii="Times New Roman" w:hAnsi="Times New Roman" w:cs="Times New Roman"/>
              </w:rPr>
              <w:t>Urālpūce</w:t>
            </w:r>
            <w:proofErr w:type="spellEnd"/>
          </w:p>
          <w:p w14:paraId="491944F0" w14:textId="5F715B82" w:rsidR="000D31D3" w:rsidRPr="00A07F29" w:rsidRDefault="000D31D3" w:rsidP="000D31D3">
            <w:pPr>
              <w:spacing w:after="0" w:line="240" w:lineRule="auto"/>
              <w:rPr>
                <w:rFonts w:ascii="Times New Roman" w:hAnsi="Times New Roman" w:cs="Times New Roman"/>
                <w:i/>
              </w:rPr>
            </w:pPr>
            <w:proofErr w:type="spellStart"/>
            <w:r w:rsidRPr="00A07F29">
              <w:rPr>
                <w:rFonts w:ascii="Times New Roman" w:hAnsi="Times New Roman" w:cs="Times New Roman"/>
                <w:i/>
              </w:rPr>
              <w:t>Strix</w:t>
            </w:r>
            <w:proofErr w:type="spellEnd"/>
            <w:r w:rsidRPr="00A07F29">
              <w:rPr>
                <w:rFonts w:ascii="Times New Roman" w:hAnsi="Times New Roman" w:cs="Times New Roman"/>
                <w:i/>
              </w:rPr>
              <w:t xml:space="preserve"> </w:t>
            </w:r>
            <w:proofErr w:type="spellStart"/>
            <w:r w:rsidRPr="00A07F29">
              <w:rPr>
                <w:rFonts w:ascii="Times New Roman" w:hAnsi="Times New Roman" w:cs="Times New Roman"/>
                <w:i/>
              </w:rPr>
              <w:t>uralensis</w:t>
            </w:r>
            <w:proofErr w:type="spellEnd"/>
          </w:p>
        </w:tc>
        <w:tc>
          <w:tcPr>
            <w:tcW w:w="850" w:type="dxa"/>
            <w:vAlign w:val="center"/>
          </w:tcPr>
          <w:p w14:paraId="697683D3" w14:textId="77777777"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0</w:t>
            </w:r>
          </w:p>
        </w:tc>
        <w:tc>
          <w:tcPr>
            <w:tcW w:w="993" w:type="dxa"/>
            <w:vAlign w:val="center"/>
          </w:tcPr>
          <w:p w14:paraId="02AC314A" w14:textId="77777777"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1</w:t>
            </w:r>
          </w:p>
        </w:tc>
        <w:tc>
          <w:tcPr>
            <w:tcW w:w="2126" w:type="dxa"/>
            <w:vAlign w:val="center"/>
          </w:tcPr>
          <w:p w14:paraId="22EB8C1F" w14:textId="1757D4A2"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&lt;1</w:t>
            </w:r>
            <w:r w:rsidR="00C615E2">
              <w:rPr>
                <w:rFonts w:ascii="Times New Roman" w:hAnsi="Times New Roman" w:cs="Times New Roman"/>
              </w:rPr>
              <w:t> </w:t>
            </w:r>
            <w:r w:rsidRPr="00A07F29">
              <w:rPr>
                <w:rFonts w:ascii="Times New Roman" w:hAnsi="Times New Roman" w:cs="Times New Roman"/>
              </w:rPr>
              <w:t>%</w:t>
            </w:r>
          </w:p>
        </w:tc>
        <w:tc>
          <w:tcPr>
            <w:tcW w:w="1984" w:type="dxa"/>
            <w:vAlign w:val="center"/>
          </w:tcPr>
          <w:p w14:paraId="416B497F" w14:textId="1F851974"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&lt;1</w:t>
            </w:r>
            <w:r w:rsidR="00C615E2">
              <w:rPr>
                <w:rFonts w:ascii="Times New Roman" w:hAnsi="Times New Roman" w:cs="Times New Roman"/>
              </w:rPr>
              <w:t> </w:t>
            </w:r>
            <w:r w:rsidRPr="00A07F29">
              <w:rPr>
                <w:rFonts w:ascii="Times New Roman" w:hAnsi="Times New Roman" w:cs="Times New Roman"/>
              </w:rPr>
              <w:t>%</w:t>
            </w:r>
          </w:p>
        </w:tc>
      </w:tr>
      <w:tr w:rsidR="000D31D3" w:rsidRPr="00A07F29" w14:paraId="11A8F984" w14:textId="77777777" w:rsidTr="000F31D9">
        <w:tc>
          <w:tcPr>
            <w:tcW w:w="709" w:type="dxa"/>
            <w:vAlign w:val="center"/>
          </w:tcPr>
          <w:p w14:paraId="79BF9F75" w14:textId="75BDA82D" w:rsidR="000D31D3" w:rsidRPr="00A07F29" w:rsidRDefault="000F31D9" w:rsidP="000F31D9">
            <w:pPr>
              <w:spacing w:after="0" w:line="240" w:lineRule="auto"/>
              <w:jc w:val="center"/>
              <w:rPr>
                <w:rFonts w:cs="Times New Roman"/>
              </w:rPr>
            </w:pPr>
            <w:r w:rsidRPr="00A07F29">
              <w:rPr>
                <w:rFonts w:cs="Times New Roman"/>
              </w:rPr>
              <w:t>24.</w:t>
            </w:r>
          </w:p>
        </w:tc>
        <w:tc>
          <w:tcPr>
            <w:tcW w:w="2552" w:type="dxa"/>
            <w:vAlign w:val="center"/>
          </w:tcPr>
          <w:p w14:paraId="21281511" w14:textId="77777777" w:rsidR="000F31D9" w:rsidRPr="00A07F29" w:rsidRDefault="000D31D3" w:rsidP="000D31D3">
            <w:pPr>
              <w:spacing w:after="0" w:line="240" w:lineRule="auto"/>
              <w:rPr>
                <w:rFonts w:ascii="Times New Roman" w:hAnsi="Times New Roman" w:cs="Times New Roman"/>
              </w:rPr>
            </w:pPr>
            <w:r w:rsidRPr="00A07F29">
              <w:rPr>
                <w:rFonts w:ascii="Times New Roman" w:hAnsi="Times New Roman" w:cs="Times New Roman"/>
              </w:rPr>
              <w:t>Bikšainais apogs</w:t>
            </w:r>
          </w:p>
          <w:p w14:paraId="47553F58" w14:textId="1AD070E2" w:rsidR="000D31D3" w:rsidRPr="00A07F29" w:rsidRDefault="000D31D3" w:rsidP="000D31D3">
            <w:pPr>
              <w:spacing w:after="0" w:line="240" w:lineRule="auto"/>
              <w:rPr>
                <w:rFonts w:ascii="Times New Roman" w:hAnsi="Times New Roman" w:cs="Times New Roman"/>
                <w:i/>
              </w:rPr>
            </w:pPr>
            <w:proofErr w:type="spellStart"/>
            <w:r w:rsidRPr="00A07F29">
              <w:rPr>
                <w:rFonts w:ascii="Times New Roman" w:hAnsi="Times New Roman" w:cs="Times New Roman"/>
                <w:i/>
              </w:rPr>
              <w:t>Aegolius</w:t>
            </w:r>
            <w:proofErr w:type="spellEnd"/>
            <w:r w:rsidRPr="00A07F29">
              <w:rPr>
                <w:rFonts w:ascii="Times New Roman" w:hAnsi="Times New Roman" w:cs="Times New Roman"/>
                <w:i/>
              </w:rPr>
              <w:t xml:space="preserve"> </w:t>
            </w:r>
            <w:proofErr w:type="spellStart"/>
            <w:r w:rsidRPr="00A07F29">
              <w:rPr>
                <w:rFonts w:ascii="Times New Roman" w:hAnsi="Times New Roman" w:cs="Times New Roman"/>
                <w:i/>
              </w:rPr>
              <w:t>funereus</w:t>
            </w:r>
            <w:proofErr w:type="spellEnd"/>
          </w:p>
        </w:tc>
        <w:tc>
          <w:tcPr>
            <w:tcW w:w="850" w:type="dxa"/>
            <w:vAlign w:val="center"/>
          </w:tcPr>
          <w:p w14:paraId="2C6BFCD8" w14:textId="77777777"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0</w:t>
            </w:r>
          </w:p>
        </w:tc>
        <w:tc>
          <w:tcPr>
            <w:tcW w:w="993" w:type="dxa"/>
            <w:vAlign w:val="center"/>
          </w:tcPr>
          <w:p w14:paraId="45CFB732" w14:textId="77777777"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1</w:t>
            </w:r>
          </w:p>
        </w:tc>
        <w:tc>
          <w:tcPr>
            <w:tcW w:w="2126" w:type="dxa"/>
            <w:vAlign w:val="center"/>
          </w:tcPr>
          <w:p w14:paraId="4CB3D301" w14:textId="502E3F5F"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&lt;1</w:t>
            </w:r>
            <w:r w:rsidR="00C615E2">
              <w:rPr>
                <w:rFonts w:ascii="Times New Roman" w:hAnsi="Times New Roman" w:cs="Times New Roman"/>
              </w:rPr>
              <w:t> </w:t>
            </w:r>
            <w:r w:rsidRPr="00A07F29">
              <w:rPr>
                <w:rFonts w:ascii="Times New Roman" w:hAnsi="Times New Roman" w:cs="Times New Roman"/>
              </w:rPr>
              <w:t>%</w:t>
            </w:r>
          </w:p>
        </w:tc>
        <w:tc>
          <w:tcPr>
            <w:tcW w:w="1984" w:type="dxa"/>
            <w:vAlign w:val="center"/>
          </w:tcPr>
          <w:p w14:paraId="29B29F09" w14:textId="1941FD40"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&lt;1</w:t>
            </w:r>
            <w:r w:rsidR="00C615E2">
              <w:rPr>
                <w:rFonts w:ascii="Times New Roman" w:hAnsi="Times New Roman" w:cs="Times New Roman"/>
              </w:rPr>
              <w:t> </w:t>
            </w:r>
            <w:r w:rsidRPr="00A07F29">
              <w:rPr>
                <w:rFonts w:ascii="Times New Roman" w:hAnsi="Times New Roman" w:cs="Times New Roman"/>
              </w:rPr>
              <w:t>%</w:t>
            </w:r>
          </w:p>
        </w:tc>
      </w:tr>
      <w:tr w:rsidR="000D31D3" w:rsidRPr="00A07F29" w14:paraId="1424D264" w14:textId="77777777" w:rsidTr="000F31D9">
        <w:tc>
          <w:tcPr>
            <w:tcW w:w="709" w:type="dxa"/>
            <w:vAlign w:val="center"/>
          </w:tcPr>
          <w:p w14:paraId="1A7908EF" w14:textId="463179EB" w:rsidR="000D31D3" w:rsidRPr="00A07F29" w:rsidRDefault="000F31D9" w:rsidP="000F31D9">
            <w:pPr>
              <w:spacing w:after="0" w:line="240" w:lineRule="auto"/>
              <w:jc w:val="center"/>
              <w:rPr>
                <w:rFonts w:cs="Times New Roman"/>
              </w:rPr>
            </w:pPr>
            <w:r w:rsidRPr="00A07F29">
              <w:rPr>
                <w:rFonts w:cs="Times New Roman"/>
              </w:rPr>
              <w:t>25.</w:t>
            </w:r>
          </w:p>
        </w:tc>
        <w:tc>
          <w:tcPr>
            <w:tcW w:w="2552" w:type="dxa"/>
            <w:vAlign w:val="center"/>
          </w:tcPr>
          <w:p w14:paraId="30587358" w14:textId="77777777" w:rsidR="000D31D3" w:rsidRPr="00A07F29" w:rsidRDefault="000D31D3" w:rsidP="000D31D3">
            <w:pPr>
              <w:spacing w:after="0" w:line="240" w:lineRule="auto"/>
              <w:rPr>
                <w:rFonts w:ascii="Times New Roman" w:hAnsi="Times New Roman" w:cs="Times New Roman"/>
                <w:i/>
              </w:rPr>
            </w:pPr>
            <w:r w:rsidRPr="00A07F29">
              <w:rPr>
                <w:rFonts w:ascii="Times New Roman" w:hAnsi="Times New Roman" w:cs="Times New Roman"/>
              </w:rPr>
              <w:t xml:space="preserve">Vakarlēpis </w:t>
            </w:r>
            <w:proofErr w:type="spellStart"/>
            <w:r w:rsidRPr="00A07F29">
              <w:rPr>
                <w:rFonts w:ascii="Times New Roman" w:hAnsi="Times New Roman" w:cs="Times New Roman"/>
                <w:i/>
              </w:rPr>
              <w:t>Caprimulgus</w:t>
            </w:r>
            <w:proofErr w:type="spellEnd"/>
            <w:r w:rsidRPr="00A07F29">
              <w:rPr>
                <w:rFonts w:ascii="Times New Roman" w:hAnsi="Times New Roman" w:cs="Times New Roman"/>
                <w:i/>
              </w:rPr>
              <w:t xml:space="preserve"> </w:t>
            </w:r>
            <w:proofErr w:type="spellStart"/>
            <w:r w:rsidRPr="00A07F29">
              <w:rPr>
                <w:rFonts w:ascii="Times New Roman" w:hAnsi="Times New Roman" w:cs="Times New Roman"/>
                <w:i/>
              </w:rPr>
              <w:t>europaeus</w:t>
            </w:r>
            <w:proofErr w:type="spellEnd"/>
          </w:p>
        </w:tc>
        <w:tc>
          <w:tcPr>
            <w:tcW w:w="850" w:type="dxa"/>
            <w:vAlign w:val="center"/>
          </w:tcPr>
          <w:p w14:paraId="4C4DCB7D" w14:textId="77777777"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200</w:t>
            </w:r>
          </w:p>
        </w:tc>
        <w:tc>
          <w:tcPr>
            <w:tcW w:w="993" w:type="dxa"/>
            <w:vAlign w:val="center"/>
          </w:tcPr>
          <w:p w14:paraId="5F84500D" w14:textId="77777777"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350</w:t>
            </w:r>
          </w:p>
        </w:tc>
        <w:tc>
          <w:tcPr>
            <w:tcW w:w="2126" w:type="dxa"/>
            <w:vAlign w:val="center"/>
          </w:tcPr>
          <w:p w14:paraId="71FFF429" w14:textId="5A19ECDB"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1,1 – 1,2</w:t>
            </w:r>
            <w:r w:rsidR="00961BEF">
              <w:rPr>
                <w:rFonts w:ascii="Times New Roman" w:hAnsi="Times New Roman" w:cs="Times New Roman"/>
              </w:rPr>
              <w:t> </w:t>
            </w:r>
            <w:r w:rsidRPr="00A07F29">
              <w:rPr>
                <w:rFonts w:ascii="Times New Roman" w:hAnsi="Times New Roman" w:cs="Times New Roman"/>
              </w:rPr>
              <w:t>%</w:t>
            </w:r>
          </w:p>
        </w:tc>
        <w:tc>
          <w:tcPr>
            <w:tcW w:w="1984" w:type="dxa"/>
            <w:vAlign w:val="center"/>
          </w:tcPr>
          <w:p w14:paraId="0346C940" w14:textId="2FA082AC"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12,8 – 19,8</w:t>
            </w:r>
            <w:r w:rsidR="00961BEF">
              <w:rPr>
                <w:rFonts w:ascii="Times New Roman" w:hAnsi="Times New Roman" w:cs="Times New Roman"/>
              </w:rPr>
              <w:t> </w:t>
            </w:r>
            <w:r w:rsidRPr="00A07F29">
              <w:rPr>
                <w:rFonts w:ascii="Times New Roman" w:hAnsi="Times New Roman" w:cs="Times New Roman"/>
              </w:rPr>
              <w:t>%</w:t>
            </w:r>
          </w:p>
        </w:tc>
      </w:tr>
      <w:tr w:rsidR="000D31D3" w:rsidRPr="00A07F29" w14:paraId="797103EE" w14:textId="77777777" w:rsidTr="000F31D9">
        <w:tc>
          <w:tcPr>
            <w:tcW w:w="709" w:type="dxa"/>
            <w:vAlign w:val="center"/>
          </w:tcPr>
          <w:p w14:paraId="63A80258" w14:textId="0D285059" w:rsidR="000D31D3" w:rsidRPr="00A07F29" w:rsidRDefault="000F31D9" w:rsidP="000F31D9">
            <w:pPr>
              <w:spacing w:after="0" w:line="240" w:lineRule="auto"/>
              <w:jc w:val="center"/>
              <w:rPr>
                <w:rFonts w:cs="Times New Roman"/>
              </w:rPr>
            </w:pPr>
            <w:r w:rsidRPr="00A07F29">
              <w:rPr>
                <w:rFonts w:cs="Times New Roman"/>
              </w:rPr>
              <w:t>26.</w:t>
            </w:r>
          </w:p>
        </w:tc>
        <w:tc>
          <w:tcPr>
            <w:tcW w:w="2552" w:type="dxa"/>
            <w:vAlign w:val="center"/>
          </w:tcPr>
          <w:p w14:paraId="6B8878EB" w14:textId="77777777" w:rsidR="000F31D9" w:rsidRPr="00A07F29" w:rsidRDefault="000D31D3" w:rsidP="000D31D3">
            <w:pPr>
              <w:spacing w:after="0" w:line="240" w:lineRule="auto"/>
              <w:rPr>
                <w:rFonts w:ascii="Times New Roman" w:hAnsi="Times New Roman" w:cs="Times New Roman"/>
              </w:rPr>
            </w:pPr>
            <w:r w:rsidRPr="00A07F29">
              <w:rPr>
                <w:rFonts w:ascii="Times New Roman" w:hAnsi="Times New Roman" w:cs="Times New Roman"/>
              </w:rPr>
              <w:t>Zivju dzenītis</w:t>
            </w:r>
          </w:p>
          <w:p w14:paraId="3F6ED6C4" w14:textId="49873BBC" w:rsidR="000D31D3" w:rsidRPr="00A07F29" w:rsidRDefault="000D31D3" w:rsidP="000D31D3">
            <w:pPr>
              <w:spacing w:after="0" w:line="240" w:lineRule="auto"/>
              <w:rPr>
                <w:rFonts w:ascii="Times New Roman" w:hAnsi="Times New Roman" w:cs="Times New Roman"/>
                <w:i/>
              </w:rPr>
            </w:pPr>
            <w:proofErr w:type="spellStart"/>
            <w:r w:rsidRPr="00A07F29">
              <w:rPr>
                <w:rFonts w:ascii="Times New Roman" w:hAnsi="Times New Roman" w:cs="Times New Roman"/>
                <w:i/>
              </w:rPr>
              <w:t>Alcedo</w:t>
            </w:r>
            <w:proofErr w:type="spellEnd"/>
            <w:r w:rsidRPr="00A07F29">
              <w:rPr>
                <w:rFonts w:ascii="Times New Roman" w:hAnsi="Times New Roman" w:cs="Times New Roman"/>
                <w:i/>
              </w:rPr>
              <w:t xml:space="preserve"> </w:t>
            </w:r>
            <w:proofErr w:type="spellStart"/>
            <w:r w:rsidRPr="00A07F29">
              <w:rPr>
                <w:rFonts w:ascii="Times New Roman" w:hAnsi="Times New Roman" w:cs="Times New Roman"/>
                <w:i/>
              </w:rPr>
              <w:t>atthis</w:t>
            </w:r>
            <w:proofErr w:type="spellEnd"/>
          </w:p>
        </w:tc>
        <w:tc>
          <w:tcPr>
            <w:tcW w:w="850" w:type="dxa"/>
            <w:vAlign w:val="center"/>
          </w:tcPr>
          <w:p w14:paraId="1A31ED27" w14:textId="77777777"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5</w:t>
            </w:r>
          </w:p>
        </w:tc>
        <w:tc>
          <w:tcPr>
            <w:tcW w:w="993" w:type="dxa"/>
            <w:vAlign w:val="center"/>
          </w:tcPr>
          <w:p w14:paraId="0863C3BE" w14:textId="77777777"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10</w:t>
            </w:r>
          </w:p>
        </w:tc>
        <w:tc>
          <w:tcPr>
            <w:tcW w:w="2126" w:type="dxa"/>
            <w:vAlign w:val="center"/>
          </w:tcPr>
          <w:p w14:paraId="765909F1" w14:textId="3BC1D6A7"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&lt;1</w:t>
            </w:r>
            <w:r w:rsidR="00961BEF">
              <w:rPr>
                <w:rFonts w:ascii="Times New Roman" w:hAnsi="Times New Roman" w:cs="Times New Roman"/>
              </w:rPr>
              <w:t> </w:t>
            </w:r>
            <w:r w:rsidRPr="00A07F29">
              <w:rPr>
                <w:rFonts w:ascii="Times New Roman" w:hAnsi="Times New Roman" w:cs="Times New Roman"/>
              </w:rPr>
              <w:t>%</w:t>
            </w:r>
          </w:p>
        </w:tc>
        <w:tc>
          <w:tcPr>
            <w:tcW w:w="1984" w:type="dxa"/>
            <w:vAlign w:val="center"/>
          </w:tcPr>
          <w:p w14:paraId="50DF4C0D" w14:textId="16549A2A"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2,6 – 3,2</w:t>
            </w:r>
            <w:r w:rsidR="00961BEF">
              <w:rPr>
                <w:rFonts w:ascii="Times New Roman" w:hAnsi="Times New Roman" w:cs="Times New Roman"/>
              </w:rPr>
              <w:t> </w:t>
            </w:r>
            <w:r w:rsidRPr="00A07F29">
              <w:rPr>
                <w:rFonts w:ascii="Times New Roman" w:hAnsi="Times New Roman" w:cs="Times New Roman"/>
              </w:rPr>
              <w:t>%</w:t>
            </w:r>
          </w:p>
        </w:tc>
      </w:tr>
      <w:tr w:rsidR="000D31D3" w:rsidRPr="00A07F29" w14:paraId="635A6672" w14:textId="77777777" w:rsidTr="000F31D9">
        <w:tc>
          <w:tcPr>
            <w:tcW w:w="709" w:type="dxa"/>
            <w:vAlign w:val="center"/>
          </w:tcPr>
          <w:p w14:paraId="7FB0AC74" w14:textId="07188EE8" w:rsidR="000D31D3" w:rsidRPr="00A07F29" w:rsidRDefault="000F31D9" w:rsidP="000F31D9">
            <w:pPr>
              <w:spacing w:after="0" w:line="240" w:lineRule="auto"/>
              <w:jc w:val="center"/>
              <w:rPr>
                <w:rFonts w:cs="Times New Roman"/>
              </w:rPr>
            </w:pPr>
            <w:r w:rsidRPr="00A07F29">
              <w:rPr>
                <w:rFonts w:cs="Times New Roman"/>
              </w:rPr>
              <w:lastRenderedPageBreak/>
              <w:t>27.</w:t>
            </w:r>
          </w:p>
        </w:tc>
        <w:tc>
          <w:tcPr>
            <w:tcW w:w="2552" w:type="dxa"/>
            <w:vAlign w:val="center"/>
          </w:tcPr>
          <w:p w14:paraId="6CC44802" w14:textId="77777777" w:rsidR="000F31D9" w:rsidRPr="00A07F29" w:rsidRDefault="000D31D3" w:rsidP="000D31D3">
            <w:pPr>
              <w:spacing w:after="0" w:line="240" w:lineRule="auto"/>
              <w:rPr>
                <w:rFonts w:ascii="Times New Roman" w:hAnsi="Times New Roman" w:cs="Times New Roman"/>
              </w:rPr>
            </w:pPr>
            <w:r w:rsidRPr="00A07F29">
              <w:rPr>
                <w:rFonts w:ascii="Times New Roman" w:hAnsi="Times New Roman" w:cs="Times New Roman"/>
              </w:rPr>
              <w:t>Vidējais dzenis</w:t>
            </w:r>
          </w:p>
          <w:p w14:paraId="37D4ED08" w14:textId="640B6686" w:rsidR="000D31D3" w:rsidRPr="00A07F29" w:rsidRDefault="000D31D3" w:rsidP="000D31D3">
            <w:pPr>
              <w:spacing w:after="0" w:line="240" w:lineRule="auto"/>
              <w:rPr>
                <w:rFonts w:ascii="Times New Roman" w:hAnsi="Times New Roman" w:cs="Times New Roman"/>
              </w:rPr>
            </w:pPr>
            <w:proofErr w:type="spellStart"/>
            <w:r w:rsidRPr="00A07F29">
              <w:rPr>
                <w:rFonts w:ascii="Times New Roman" w:hAnsi="Times New Roman" w:cs="Times New Roman"/>
                <w:i/>
              </w:rPr>
              <w:t>Leiopicus</w:t>
            </w:r>
            <w:proofErr w:type="spellEnd"/>
            <w:r w:rsidRPr="00A07F29">
              <w:rPr>
                <w:rFonts w:ascii="Times New Roman" w:hAnsi="Times New Roman" w:cs="Times New Roman"/>
                <w:i/>
              </w:rPr>
              <w:t xml:space="preserve"> </w:t>
            </w:r>
            <w:proofErr w:type="spellStart"/>
            <w:r w:rsidRPr="00A07F29">
              <w:rPr>
                <w:rFonts w:ascii="Times New Roman" w:hAnsi="Times New Roman" w:cs="Times New Roman"/>
                <w:i/>
              </w:rPr>
              <w:t>medius</w:t>
            </w:r>
            <w:proofErr w:type="spellEnd"/>
          </w:p>
        </w:tc>
        <w:tc>
          <w:tcPr>
            <w:tcW w:w="850" w:type="dxa"/>
            <w:vAlign w:val="center"/>
          </w:tcPr>
          <w:p w14:paraId="7E960E5D" w14:textId="77777777"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40</w:t>
            </w:r>
          </w:p>
        </w:tc>
        <w:tc>
          <w:tcPr>
            <w:tcW w:w="993" w:type="dxa"/>
            <w:vAlign w:val="center"/>
          </w:tcPr>
          <w:p w14:paraId="5DB20A68" w14:textId="77777777"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60</w:t>
            </w:r>
          </w:p>
        </w:tc>
        <w:tc>
          <w:tcPr>
            <w:tcW w:w="2126" w:type="dxa"/>
            <w:vAlign w:val="center"/>
          </w:tcPr>
          <w:p w14:paraId="1246251B" w14:textId="46AAFA66"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&lt;1</w:t>
            </w:r>
            <w:r w:rsidR="00961BEF">
              <w:rPr>
                <w:rFonts w:ascii="Times New Roman" w:hAnsi="Times New Roman" w:cs="Times New Roman"/>
              </w:rPr>
              <w:t> </w:t>
            </w:r>
            <w:r w:rsidRPr="00A07F29">
              <w:rPr>
                <w:rFonts w:ascii="Times New Roman" w:hAnsi="Times New Roman" w:cs="Times New Roman"/>
              </w:rPr>
              <w:t>%</w:t>
            </w:r>
          </w:p>
        </w:tc>
        <w:tc>
          <w:tcPr>
            <w:tcW w:w="1984" w:type="dxa"/>
            <w:vAlign w:val="center"/>
          </w:tcPr>
          <w:p w14:paraId="280A30D0" w14:textId="2854FD4A"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8,6 – 10,1</w:t>
            </w:r>
            <w:r w:rsidR="00961BEF">
              <w:rPr>
                <w:rFonts w:ascii="Times New Roman" w:hAnsi="Times New Roman" w:cs="Times New Roman"/>
              </w:rPr>
              <w:t> </w:t>
            </w:r>
            <w:r w:rsidRPr="00A07F29">
              <w:rPr>
                <w:rFonts w:ascii="Times New Roman" w:hAnsi="Times New Roman" w:cs="Times New Roman"/>
              </w:rPr>
              <w:t>%</w:t>
            </w:r>
          </w:p>
        </w:tc>
      </w:tr>
      <w:tr w:rsidR="000D31D3" w:rsidRPr="00A07F29" w14:paraId="6B0223DA" w14:textId="77777777" w:rsidTr="000F31D9">
        <w:tc>
          <w:tcPr>
            <w:tcW w:w="709" w:type="dxa"/>
            <w:vAlign w:val="center"/>
          </w:tcPr>
          <w:p w14:paraId="1E18FCE1" w14:textId="05FB00D8" w:rsidR="000D31D3" w:rsidRPr="00A07F29" w:rsidRDefault="000F31D9" w:rsidP="000F31D9">
            <w:pPr>
              <w:spacing w:after="0" w:line="240" w:lineRule="auto"/>
              <w:jc w:val="center"/>
              <w:rPr>
                <w:rFonts w:cs="Times New Roman"/>
              </w:rPr>
            </w:pPr>
            <w:r w:rsidRPr="00A07F29">
              <w:rPr>
                <w:rFonts w:cs="Times New Roman"/>
              </w:rPr>
              <w:t>28.</w:t>
            </w:r>
          </w:p>
        </w:tc>
        <w:tc>
          <w:tcPr>
            <w:tcW w:w="2552" w:type="dxa"/>
            <w:vAlign w:val="center"/>
          </w:tcPr>
          <w:p w14:paraId="2998F2F6" w14:textId="77777777" w:rsidR="000F31D9" w:rsidRPr="00A07F29" w:rsidRDefault="000D31D3" w:rsidP="000D31D3">
            <w:pPr>
              <w:spacing w:after="0" w:line="240" w:lineRule="auto"/>
              <w:rPr>
                <w:rFonts w:ascii="Times New Roman" w:hAnsi="Times New Roman" w:cs="Times New Roman"/>
              </w:rPr>
            </w:pPr>
            <w:proofErr w:type="spellStart"/>
            <w:r w:rsidRPr="00A07F29">
              <w:rPr>
                <w:rFonts w:ascii="Times New Roman" w:hAnsi="Times New Roman" w:cs="Times New Roman"/>
              </w:rPr>
              <w:t>Baltmugurdzenis</w:t>
            </w:r>
            <w:proofErr w:type="spellEnd"/>
          </w:p>
          <w:p w14:paraId="3FAA18EF" w14:textId="24690A9B" w:rsidR="000D31D3" w:rsidRPr="00A07F29" w:rsidRDefault="000D31D3" w:rsidP="000D31D3">
            <w:pPr>
              <w:spacing w:after="0" w:line="240" w:lineRule="auto"/>
              <w:rPr>
                <w:rFonts w:ascii="Times New Roman" w:hAnsi="Times New Roman" w:cs="Times New Roman"/>
                <w:i/>
              </w:rPr>
            </w:pPr>
            <w:proofErr w:type="spellStart"/>
            <w:r w:rsidRPr="00A07F29">
              <w:rPr>
                <w:rFonts w:ascii="Times New Roman" w:hAnsi="Times New Roman" w:cs="Times New Roman"/>
                <w:i/>
              </w:rPr>
              <w:t>Dendrocopus</w:t>
            </w:r>
            <w:proofErr w:type="spellEnd"/>
            <w:r w:rsidRPr="00A07F29">
              <w:rPr>
                <w:rFonts w:ascii="Times New Roman" w:hAnsi="Times New Roman" w:cs="Times New Roman"/>
                <w:i/>
              </w:rPr>
              <w:t xml:space="preserve"> </w:t>
            </w:r>
            <w:proofErr w:type="spellStart"/>
            <w:r w:rsidRPr="00A07F29">
              <w:rPr>
                <w:rFonts w:ascii="Times New Roman" w:hAnsi="Times New Roman" w:cs="Times New Roman"/>
                <w:i/>
              </w:rPr>
              <w:t>leucotus</w:t>
            </w:r>
            <w:proofErr w:type="spellEnd"/>
          </w:p>
        </w:tc>
        <w:tc>
          <w:tcPr>
            <w:tcW w:w="850" w:type="dxa"/>
            <w:vAlign w:val="center"/>
          </w:tcPr>
          <w:p w14:paraId="7B8B5074" w14:textId="77777777"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30</w:t>
            </w:r>
          </w:p>
        </w:tc>
        <w:tc>
          <w:tcPr>
            <w:tcW w:w="993" w:type="dxa"/>
            <w:vAlign w:val="center"/>
          </w:tcPr>
          <w:p w14:paraId="2A9A64DC" w14:textId="77777777"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40</w:t>
            </w:r>
          </w:p>
        </w:tc>
        <w:tc>
          <w:tcPr>
            <w:tcW w:w="2126" w:type="dxa"/>
            <w:vAlign w:val="center"/>
          </w:tcPr>
          <w:p w14:paraId="001C0300" w14:textId="5F85B861"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&lt;1</w:t>
            </w:r>
            <w:r w:rsidR="00961BEF">
              <w:rPr>
                <w:rFonts w:ascii="Times New Roman" w:hAnsi="Times New Roman" w:cs="Times New Roman"/>
              </w:rPr>
              <w:t> </w:t>
            </w:r>
            <w:r w:rsidRPr="00A07F29">
              <w:rPr>
                <w:rFonts w:ascii="Times New Roman" w:hAnsi="Times New Roman" w:cs="Times New Roman"/>
              </w:rPr>
              <w:t>%</w:t>
            </w:r>
          </w:p>
        </w:tc>
        <w:tc>
          <w:tcPr>
            <w:tcW w:w="1984" w:type="dxa"/>
            <w:vAlign w:val="center"/>
          </w:tcPr>
          <w:p w14:paraId="4DABB785" w14:textId="27FF396E"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5,3 – 7,1</w:t>
            </w:r>
            <w:r w:rsidR="00961BEF">
              <w:rPr>
                <w:rFonts w:ascii="Times New Roman" w:hAnsi="Times New Roman" w:cs="Times New Roman"/>
              </w:rPr>
              <w:t> </w:t>
            </w:r>
            <w:r w:rsidRPr="00A07F29">
              <w:rPr>
                <w:rFonts w:ascii="Times New Roman" w:hAnsi="Times New Roman" w:cs="Times New Roman"/>
              </w:rPr>
              <w:t>%</w:t>
            </w:r>
          </w:p>
        </w:tc>
      </w:tr>
      <w:tr w:rsidR="000D31D3" w:rsidRPr="00A07F29" w14:paraId="0B927018" w14:textId="77777777" w:rsidTr="000F31D9">
        <w:tc>
          <w:tcPr>
            <w:tcW w:w="709" w:type="dxa"/>
            <w:vAlign w:val="center"/>
          </w:tcPr>
          <w:p w14:paraId="4C2644F3" w14:textId="73C96190" w:rsidR="000D31D3" w:rsidRPr="00A07F29" w:rsidRDefault="000F31D9" w:rsidP="000F31D9">
            <w:pPr>
              <w:spacing w:after="0" w:line="240" w:lineRule="auto"/>
              <w:jc w:val="center"/>
              <w:rPr>
                <w:rFonts w:cs="Times New Roman"/>
              </w:rPr>
            </w:pPr>
            <w:r w:rsidRPr="00A07F29">
              <w:rPr>
                <w:rFonts w:cs="Times New Roman"/>
              </w:rPr>
              <w:t>29.</w:t>
            </w:r>
          </w:p>
        </w:tc>
        <w:tc>
          <w:tcPr>
            <w:tcW w:w="2552" w:type="dxa"/>
            <w:vAlign w:val="center"/>
          </w:tcPr>
          <w:p w14:paraId="342D34EF" w14:textId="77777777" w:rsidR="000F31D9" w:rsidRPr="00A07F29" w:rsidRDefault="000D31D3" w:rsidP="000D31D3">
            <w:pPr>
              <w:spacing w:after="0" w:line="240" w:lineRule="auto"/>
              <w:rPr>
                <w:rFonts w:ascii="Times New Roman" w:hAnsi="Times New Roman" w:cs="Times New Roman"/>
              </w:rPr>
            </w:pPr>
            <w:proofErr w:type="spellStart"/>
            <w:r w:rsidRPr="00A07F29">
              <w:rPr>
                <w:rFonts w:ascii="Times New Roman" w:hAnsi="Times New Roman" w:cs="Times New Roman"/>
              </w:rPr>
              <w:t>Trīspirkstu</w:t>
            </w:r>
            <w:proofErr w:type="spellEnd"/>
            <w:r w:rsidRPr="00A07F29">
              <w:rPr>
                <w:rFonts w:ascii="Times New Roman" w:hAnsi="Times New Roman" w:cs="Times New Roman"/>
              </w:rPr>
              <w:t xml:space="preserve"> dzenis</w:t>
            </w:r>
          </w:p>
          <w:p w14:paraId="733007B3" w14:textId="6CC8B3AC" w:rsidR="000D31D3" w:rsidRPr="00A07F29" w:rsidRDefault="000D31D3" w:rsidP="000D31D3">
            <w:pPr>
              <w:spacing w:after="0" w:line="240" w:lineRule="auto"/>
              <w:rPr>
                <w:rFonts w:ascii="Times New Roman" w:hAnsi="Times New Roman" w:cs="Times New Roman"/>
                <w:i/>
              </w:rPr>
            </w:pPr>
            <w:proofErr w:type="spellStart"/>
            <w:r w:rsidRPr="00A07F29">
              <w:rPr>
                <w:rFonts w:ascii="Times New Roman" w:hAnsi="Times New Roman" w:cs="Times New Roman"/>
                <w:i/>
              </w:rPr>
              <w:t>Picoides</w:t>
            </w:r>
            <w:proofErr w:type="spellEnd"/>
            <w:r w:rsidRPr="00A07F29">
              <w:rPr>
                <w:rFonts w:ascii="Times New Roman" w:hAnsi="Times New Roman" w:cs="Times New Roman"/>
                <w:i/>
              </w:rPr>
              <w:t xml:space="preserve"> </w:t>
            </w:r>
            <w:proofErr w:type="spellStart"/>
            <w:r w:rsidRPr="00A07F29">
              <w:rPr>
                <w:rFonts w:ascii="Times New Roman" w:hAnsi="Times New Roman" w:cs="Times New Roman"/>
                <w:i/>
              </w:rPr>
              <w:t>tridactylus</w:t>
            </w:r>
            <w:proofErr w:type="spellEnd"/>
          </w:p>
        </w:tc>
        <w:tc>
          <w:tcPr>
            <w:tcW w:w="850" w:type="dxa"/>
            <w:vAlign w:val="center"/>
          </w:tcPr>
          <w:p w14:paraId="14A44DAC" w14:textId="77777777"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5</w:t>
            </w:r>
          </w:p>
        </w:tc>
        <w:tc>
          <w:tcPr>
            <w:tcW w:w="993" w:type="dxa"/>
            <w:vAlign w:val="center"/>
          </w:tcPr>
          <w:p w14:paraId="7E448BD5" w14:textId="77777777"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10</w:t>
            </w:r>
          </w:p>
        </w:tc>
        <w:tc>
          <w:tcPr>
            <w:tcW w:w="2126" w:type="dxa"/>
            <w:vAlign w:val="center"/>
          </w:tcPr>
          <w:p w14:paraId="26B56E1B" w14:textId="054B02C9"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&lt;1</w:t>
            </w:r>
            <w:r w:rsidR="00961BEF">
              <w:rPr>
                <w:rFonts w:ascii="Times New Roman" w:hAnsi="Times New Roman" w:cs="Times New Roman"/>
              </w:rPr>
              <w:t> </w:t>
            </w:r>
            <w:r w:rsidRPr="00A07F29">
              <w:rPr>
                <w:rFonts w:ascii="Times New Roman" w:hAnsi="Times New Roman" w:cs="Times New Roman"/>
              </w:rPr>
              <w:t>%</w:t>
            </w:r>
          </w:p>
        </w:tc>
        <w:tc>
          <w:tcPr>
            <w:tcW w:w="1984" w:type="dxa"/>
            <w:vAlign w:val="center"/>
          </w:tcPr>
          <w:p w14:paraId="194DC1E0" w14:textId="29B699FC"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1,7 – 2,1</w:t>
            </w:r>
            <w:r w:rsidR="00961BEF">
              <w:rPr>
                <w:rFonts w:ascii="Times New Roman" w:hAnsi="Times New Roman" w:cs="Times New Roman"/>
              </w:rPr>
              <w:t> </w:t>
            </w:r>
            <w:r w:rsidRPr="00A07F29">
              <w:rPr>
                <w:rFonts w:ascii="Times New Roman" w:hAnsi="Times New Roman" w:cs="Times New Roman"/>
              </w:rPr>
              <w:t>%</w:t>
            </w:r>
          </w:p>
        </w:tc>
      </w:tr>
      <w:tr w:rsidR="000D31D3" w:rsidRPr="00A07F29" w14:paraId="5537CA23" w14:textId="77777777" w:rsidTr="000F31D9">
        <w:tc>
          <w:tcPr>
            <w:tcW w:w="709" w:type="dxa"/>
            <w:vAlign w:val="center"/>
          </w:tcPr>
          <w:p w14:paraId="0BE3044A" w14:textId="56EE93BA" w:rsidR="000D31D3" w:rsidRPr="00A07F29" w:rsidRDefault="000F31D9" w:rsidP="000F31D9">
            <w:pPr>
              <w:spacing w:after="0" w:line="240" w:lineRule="auto"/>
              <w:jc w:val="center"/>
              <w:rPr>
                <w:rFonts w:cs="Times New Roman"/>
              </w:rPr>
            </w:pPr>
            <w:r w:rsidRPr="00A07F29">
              <w:rPr>
                <w:rFonts w:cs="Times New Roman"/>
              </w:rPr>
              <w:t>30.</w:t>
            </w:r>
          </w:p>
        </w:tc>
        <w:tc>
          <w:tcPr>
            <w:tcW w:w="2552" w:type="dxa"/>
            <w:vAlign w:val="center"/>
          </w:tcPr>
          <w:p w14:paraId="02609A6F" w14:textId="77777777" w:rsidR="000F31D9" w:rsidRPr="00A07F29" w:rsidRDefault="000D31D3" w:rsidP="000D31D3">
            <w:pPr>
              <w:spacing w:after="0" w:line="240" w:lineRule="auto"/>
              <w:rPr>
                <w:rFonts w:ascii="Times New Roman" w:hAnsi="Times New Roman" w:cs="Times New Roman"/>
              </w:rPr>
            </w:pPr>
            <w:r w:rsidRPr="00A07F29">
              <w:rPr>
                <w:rFonts w:ascii="Times New Roman" w:hAnsi="Times New Roman" w:cs="Times New Roman"/>
              </w:rPr>
              <w:t>Melnā dzilna</w:t>
            </w:r>
          </w:p>
          <w:p w14:paraId="1F284DDF" w14:textId="6AA1C5BE" w:rsidR="000D31D3" w:rsidRPr="00A07F29" w:rsidRDefault="000D31D3" w:rsidP="000D31D3">
            <w:pPr>
              <w:spacing w:after="0" w:line="240" w:lineRule="auto"/>
              <w:rPr>
                <w:rFonts w:ascii="Times New Roman" w:hAnsi="Times New Roman" w:cs="Times New Roman"/>
                <w:i/>
              </w:rPr>
            </w:pPr>
            <w:proofErr w:type="spellStart"/>
            <w:r w:rsidRPr="00A07F29">
              <w:rPr>
                <w:rFonts w:ascii="Times New Roman" w:hAnsi="Times New Roman" w:cs="Times New Roman"/>
                <w:i/>
              </w:rPr>
              <w:t>Drycopus</w:t>
            </w:r>
            <w:proofErr w:type="spellEnd"/>
            <w:r w:rsidRPr="00A07F29">
              <w:rPr>
                <w:rFonts w:ascii="Times New Roman" w:hAnsi="Times New Roman" w:cs="Times New Roman"/>
                <w:i/>
              </w:rPr>
              <w:t xml:space="preserve"> </w:t>
            </w:r>
            <w:proofErr w:type="spellStart"/>
            <w:r w:rsidRPr="00A07F29">
              <w:rPr>
                <w:rFonts w:ascii="Times New Roman" w:hAnsi="Times New Roman" w:cs="Times New Roman"/>
                <w:i/>
              </w:rPr>
              <w:t>martius</w:t>
            </w:r>
            <w:proofErr w:type="spellEnd"/>
          </w:p>
        </w:tc>
        <w:tc>
          <w:tcPr>
            <w:tcW w:w="850" w:type="dxa"/>
            <w:vAlign w:val="center"/>
          </w:tcPr>
          <w:p w14:paraId="68402652" w14:textId="77777777"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50</w:t>
            </w:r>
          </w:p>
        </w:tc>
        <w:tc>
          <w:tcPr>
            <w:tcW w:w="993" w:type="dxa"/>
            <w:vAlign w:val="center"/>
          </w:tcPr>
          <w:p w14:paraId="000B0E7B" w14:textId="77777777"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75</w:t>
            </w:r>
          </w:p>
        </w:tc>
        <w:tc>
          <w:tcPr>
            <w:tcW w:w="2126" w:type="dxa"/>
            <w:vAlign w:val="center"/>
          </w:tcPr>
          <w:p w14:paraId="43372D5F" w14:textId="5D3E1E87"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&lt;1</w:t>
            </w:r>
            <w:r w:rsidR="00961BEF">
              <w:rPr>
                <w:rFonts w:ascii="Times New Roman" w:hAnsi="Times New Roman" w:cs="Times New Roman"/>
              </w:rPr>
              <w:t> </w:t>
            </w:r>
            <w:r w:rsidRPr="00A07F29">
              <w:rPr>
                <w:rFonts w:ascii="Times New Roman" w:hAnsi="Times New Roman" w:cs="Times New Roman"/>
              </w:rPr>
              <w:t>%</w:t>
            </w:r>
          </w:p>
        </w:tc>
        <w:tc>
          <w:tcPr>
            <w:tcW w:w="1984" w:type="dxa"/>
            <w:vAlign w:val="center"/>
          </w:tcPr>
          <w:p w14:paraId="36D46131" w14:textId="332613E9"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5,5 – 6,4</w:t>
            </w:r>
            <w:r w:rsidR="00961BEF">
              <w:rPr>
                <w:rFonts w:ascii="Times New Roman" w:hAnsi="Times New Roman" w:cs="Times New Roman"/>
              </w:rPr>
              <w:t> </w:t>
            </w:r>
            <w:r w:rsidRPr="00A07F29">
              <w:rPr>
                <w:rFonts w:ascii="Times New Roman" w:hAnsi="Times New Roman" w:cs="Times New Roman"/>
              </w:rPr>
              <w:t>%</w:t>
            </w:r>
          </w:p>
        </w:tc>
      </w:tr>
      <w:tr w:rsidR="000D31D3" w:rsidRPr="00A07F29" w14:paraId="3AD9C469" w14:textId="77777777" w:rsidTr="000F31D9">
        <w:tc>
          <w:tcPr>
            <w:tcW w:w="709" w:type="dxa"/>
            <w:vAlign w:val="center"/>
          </w:tcPr>
          <w:p w14:paraId="58527156" w14:textId="46FBFF78" w:rsidR="000D31D3" w:rsidRPr="00A07F29" w:rsidRDefault="000F31D9" w:rsidP="000F31D9">
            <w:pPr>
              <w:spacing w:after="0" w:line="240" w:lineRule="auto"/>
              <w:jc w:val="center"/>
              <w:rPr>
                <w:rFonts w:cs="Times New Roman"/>
              </w:rPr>
            </w:pPr>
            <w:r w:rsidRPr="00A07F29">
              <w:rPr>
                <w:rFonts w:cs="Times New Roman"/>
              </w:rPr>
              <w:t>31.</w:t>
            </w:r>
          </w:p>
        </w:tc>
        <w:tc>
          <w:tcPr>
            <w:tcW w:w="2552" w:type="dxa"/>
            <w:vAlign w:val="center"/>
          </w:tcPr>
          <w:p w14:paraId="580B8D79" w14:textId="77777777" w:rsidR="000F31D9" w:rsidRPr="00A07F29" w:rsidRDefault="000D31D3" w:rsidP="000D31D3">
            <w:pPr>
              <w:spacing w:after="0" w:line="240" w:lineRule="auto"/>
              <w:rPr>
                <w:rFonts w:ascii="Times New Roman" w:hAnsi="Times New Roman" w:cs="Times New Roman"/>
              </w:rPr>
            </w:pPr>
            <w:r w:rsidRPr="00A07F29">
              <w:rPr>
                <w:rFonts w:ascii="Times New Roman" w:hAnsi="Times New Roman" w:cs="Times New Roman"/>
              </w:rPr>
              <w:t>Pelēkā dzilna</w:t>
            </w:r>
          </w:p>
          <w:p w14:paraId="6DD2DB2A" w14:textId="5B2BF864" w:rsidR="000D31D3" w:rsidRPr="00A07F29" w:rsidRDefault="000D31D3" w:rsidP="000D31D3">
            <w:pPr>
              <w:spacing w:after="0" w:line="240" w:lineRule="auto"/>
              <w:rPr>
                <w:rFonts w:ascii="Times New Roman" w:hAnsi="Times New Roman" w:cs="Times New Roman"/>
                <w:i/>
              </w:rPr>
            </w:pPr>
            <w:proofErr w:type="spellStart"/>
            <w:r w:rsidRPr="00A07F29">
              <w:rPr>
                <w:rFonts w:ascii="Times New Roman" w:hAnsi="Times New Roman" w:cs="Times New Roman"/>
                <w:i/>
              </w:rPr>
              <w:t>Picus</w:t>
            </w:r>
            <w:proofErr w:type="spellEnd"/>
            <w:r w:rsidRPr="00A07F29">
              <w:rPr>
                <w:rFonts w:ascii="Times New Roman" w:hAnsi="Times New Roman" w:cs="Times New Roman"/>
                <w:i/>
              </w:rPr>
              <w:t xml:space="preserve"> </w:t>
            </w:r>
            <w:proofErr w:type="spellStart"/>
            <w:r w:rsidRPr="00A07F29">
              <w:rPr>
                <w:rFonts w:ascii="Times New Roman" w:hAnsi="Times New Roman" w:cs="Times New Roman"/>
                <w:i/>
              </w:rPr>
              <w:t>canus</w:t>
            </w:r>
            <w:proofErr w:type="spellEnd"/>
          </w:p>
        </w:tc>
        <w:tc>
          <w:tcPr>
            <w:tcW w:w="850" w:type="dxa"/>
            <w:vAlign w:val="center"/>
          </w:tcPr>
          <w:p w14:paraId="4D2EBBD0" w14:textId="77777777"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50</w:t>
            </w:r>
          </w:p>
        </w:tc>
        <w:tc>
          <w:tcPr>
            <w:tcW w:w="993" w:type="dxa"/>
            <w:vAlign w:val="center"/>
          </w:tcPr>
          <w:p w14:paraId="14E80796" w14:textId="77777777"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60</w:t>
            </w:r>
          </w:p>
        </w:tc>
        <w:tc>
          <w:tcPr>
            <w:tcW w:w="2126" w:type="dxa"/>
            <w:vAlign w:val="center"/>
          </w:tcPr>
          <w:p w14:paraId="2477C3FC" w14:textId="56D69694"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1,2 – 1,7</w:t>
            </w:r>
            <w:r w:rsidR="00961BEF">
              <w:rPr>
                <w:rFonts w:ascii="Times New Roman" w:hAnsi="Times New Roman" w:cs="Times New Roman"/>
              </w:rPr>
              <w:t> </w:t>
            </w:r>
            <w:r w:rsidRPr="00A07F29">
              <w:rPr>
                <w:rFonts w:ascii="Times New Roman" w:hAnsi="Times New Roman" w:cs="Times New Roman"/>
              </w:rPr>
              <w:t>%</w:t>
            </w:r>
          </w:p>
        </w:tc>
        <w:tc>
          <w:tcPr>
            <w:tcW w:w="1984" w:type="dxa"/>
            <w:vAlign w:val="center"/>
          </w:tcPr>
          <w:p w14:paraId="21A660C2" w14:textId="015B89CE"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8,6 – 13,1</w:t>
            </w:r>
            <w:r w:rsidR="00961BEF">
              <w:rPr>
                <w:rFonts w:ascii="Times New Roman" w:hAnsi="Times New Roman" w:cs="Times New Roman"/>
              </w:rPr>
              <w:t> </w:t>
            </w:r>
            <w:r w:rsidRPr="00A07F29">
              <w:rPr>
                <w:rFonts w:ascii="Times New Roman" w:hAnsi="Times New Roman" w:cs="Times New Roman"/>
              </w:rPr>
              <w:t>%</w:t>
            </w:r>
          </w:p>
        </w:tc>
      </w:tr>
      <w:tr w:rsidR="000D31D3" w:rsidRPr="00A07F29" w14:paraId="4C1900CF" w14:textId="77777777" w:rsidTr="000F31D9">
        <w:tc>
          <w:tcPr>
            <w:tcW w:w="709" w:type="dxa"/>
            <w:vAlign w:val="center"/>
          </w:tcPr>
          <w:p w14:paraId="4F50BDD8" w14:textId="039E2AF7" w:rsidR="000D31D3" w:rsidRPr="00A07F29" w:rsidRDefault="000F31D9" w:rsidP="000F31D9">
            <w:pPr>
              <w:spacing w:after="0" w:line="240" w:lineRule="auto"/>
              <w:jc w:val="center"/>
              <w:rPr>
                <w:rFonts w:cs="Times New Roman"/>
              </w:rPr>
            </w:pPr>
            <w:r w:rsidRPr="00A07F29">
              <w:rPr>
                <w:rFonts w:cs="Times New Roman"/>
              </w:rPr>
              <w:t>32.</w:t>
            </w:r>
          </w:p>
        </w:tc>
        <w:tc>
          <w:tcPr>
            <w:tcW w:w="2552" w:type="dxa"/>
            <w:vAlign w:val="center"/>
          </w:tcPr>
          <w:p w14:paraId="75E8156B" w14:textId="77777777" w:rsidR="000F31D9" w:rsidRPr="00A07F29" w:rsidRDefault="000D31D3" w:rsidP="000D31D3">
            <w:pPr>
              <w:spacing w:after="0" w:line="240" w:lineRule="auto"/>
              <w:rPr>
                <w:rFonts w:ascii="Times New Roman" w:hAnsi="Times New Roman" w:cs="Times New Roman"/>
              </w:rPr>
            </w:pPr>
            <w:r w:rsidRPr="00A07F29">
              <w:rPr>
                <w:rFonts w:ascii="Times New Roman" w:hAnsi="Times New Roman" w:cs="Times New Roman"/>
              </w:rPr>
              <w:t>Brūnā čakste</w:t>
            </w:r>
          </w:p>
          <w:p w14:paraId="678FEF2B" w14:textId="40E50386" w:rsidR="000D31D3" w:rsidRPr="00A07F29" w:rsidRDefault="000D31D3" w:rsidP="000D31D3">
            <w:pPr>
              <w:spacing w:after="0" w:line="240" w:lineRule="auto"/>
              <w:rPr>
                <w:rFonts w:ascii="Times New Roman" w:hAnsi="Times New Roman" w:cs="Times New Roman"/>
                <w:i/>
              </w:rPr>
            </w:pPr>
            <w:proofErr w:type="spellStart"/>
            <w:r w:rsidRPr="00A07F29">
              <w:rPr>
                <w:rFonts w:ascii="Times New Roman" w:hAnsi="Times New Roman" w:cs="Times New Roman"/>
                <w:i/>
              </w:rPr>
              <w:t>Lanius</w:t>
            </w:r>
            <w:proofErr w:type="spellEnd"/>
            <w:r w:rsidRPr="00A07F29">
              <w:rPr>
                <w:rFonts w:ascii="Times New Roman" w:hAnsi="Times New Roman" w:cs="Times New Roman"/>
                <w:i/>
              </w:rPr>
              <w:t xml:space="preserve"> </w:t>
            </w:r>
            <w:proofErr w:type="spellStart"/>
            <w:r w:rsidRPr="00A07F29">
              <w:rPr>
                <w:rFonts w:ascii="Times New Roman" w:hAnsi="Times New Roman" w:cs="Times New Roman"/>
                <w:i/>
              </w:rPr>
              <w:t>collurio</w:t>
            </w:r>
            <w:proofErr w:type="spellEnd"/>
          </w:p>
        </w:tc>
        <w:tc>
          <w:tcPr>
            <w:tcW w:w="850" w:type="dxa"/>
            <w:vAlign w:val="center"/>
          </w:tcPr>
          <w:p w14:paraId="17D72D73" w14:textId="77777777"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100</w:t>
            </w:r>
          </w:p>
        </w:tc>
        <w:tc>
          <w:tcPr>
            <w:tcW w:w="993" w:type="dxa"/>
            <w:vAlign w:val="center"/>
          </w:tcPr>
          <w:p w14:paraId="34F74CAD" w14:textId="77777777"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500</w:t>
            </w:r>
          </w:p>
        </w:tc>
        <w:tc>
          <w:tcPr>
            <w:tcW w:w="2126" w:type="dxa"/>
            <w:vAlign w:val="center"/>
          </w:tcPr>
          <w:p w14:paraId="0E454FA9" w14:textId="2FC255BD"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&lt;1</w:t>
            </w:r>
            <w:r w:rsidR="00961BEF">
              <w:rPr>
                <w:rFonts w:ascii="Times New Roman" w:hAnsi="Times New Roman" w:cs="Times New Roman"/>
              </w:rPr>
              <w:t> </w:t>
            </w:r>
            <w:r w:rsidRPr="00A07F29">
              <w:rPr>
                <w:rFonts w:ascii="Times New Roman" w:hAnsi="Times New Roman" w:cs="Times New Roman"/>
              </w:rPr>
              <w:t>%</w:t>
            </w:r>
          </w:p>
        </w:tc>
        <w:tc>
          <w:tcPr>
            <w:tcW w:w="1984" w:type="dxa"/>
            <w:vAlign w:val="center"/>
          </w:tcPr>
          <w:p w14:paraId="140DAC76" w14:textId="4D600C73"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4,3 – 10,6</w:t>
            </w:r>
            <w:r w:rsidR="00961BEF">
              <w:rPr>
                <w:rFonts w:ascii="Times New Roman" w:hAnsi="Times New Roman" w:cs="Times New Roman"/>
              </w:rPr>
              <w:t> </w:t>
            </w:r>
            <w:r w:rsidRPr="00A07F29">
              <w:rPr>
                <w:rFonts w:ascii="Times New Roman" w:hAnsi="Times New Roman" w:cs="Times New Roman"/>
              </w:rPr>
              <w:t>%</w:t>
            </w:r>
          </w:p>
        </w:tc>
      </w:tr>
      <w:tr w:rsidR="000D31D3" w:rsidRPr="00A07F29" w14:paraId="05DF9CF8" w14:textId="77777777" w:rsidTr="000F31D9">
        <w:tc>
          <w:tcPr>
            <w:tcW w:w="709" w:type="dxa"/>
            <w:vAlign w:val="center"/>
          </w:tcPr>
          <w:p w14:paraId="7640EF72" w14:textId="76ABD42F" w:rsidR="000D31D3" w:rsidRPr="00A07F29" w:rsidRDefault="000F31D9" w:rsidP="000F31D9">
            <w:pPr>
              <w:spacing w:after="0" w:line="240" w:lineRule="auto"/>
              <w:jc w:val="center"/>
              <w:rPr>
                <w:rFonts w:cs="Times New Roman"/>
              </w:rPr>
            </w:pPr>
            <w:r w:rsidRPr="00A07F29">
              <w:rPr>
                <w:rFonts w:cs="Times New Roman"/>
              </w:rPr>
              <w:t>33.</w:t>
            </w:r>
          </w:p>
        </w:tc>
        <w:tc>
          <w:tcPr>
            <w:tcW w:w="2552" w:type="dxa"/>
            <w:vAlign w:val="center"/>
          </w:tcPr>
          <w:p w14:paraId="342ED7FC" w14:textId="77777777" w:rsidR="000D31D3" w:rsidRPr="00A07F29" w:rsidRDefault="000D31D3" w:rsidP="000D31D3">
            <w:pPr>
              <w:spacing w:after="0" w:line="240" w:lineRule="auto"/>
              <w:rPr>
                <w:rFonts w:ascii="Times New Roman" w:hAnsi="Times New Roman" w:cs="Times New Roman"/>
              </w:rPr>
            </w:pPr>
            <w:r w:rsidRPr="00A07F29">
              <w:rPr>
                <w:rFonts w:ascii="Times New Roman" w:hAnsi="Times New Roman" w:cs="Times New Roman"/>
              </w:rPr>
              <w:t>Sila cīrulis</w:t>
            </w:r>
          </w:p>
          <w:p w14:paraId="0420A3DC" w14:textId="77777777" w:rsidR="000D31D3" w:rsidRPr="00A07F29" w:rsidRDefault="000D31D3" w:rsidP="000D31D3">
            <w:pPr>
              <w:spacing w:after="0" w:line="240" w:lineRule="auto"/>
              <w:rPr>
                <w:rFonts w:ascii="Times New Roman" w:hAnsi="Times New Roman" w:cs="Times New Roman"/>
                <w:i/>
              </w:rPr>
            </w:pPr>
            <w:proofErr w:type="spellStart"/>
            <w:r w:rsidRPr="00A07F29">
              <w:rPr>
                <w:rFonts w:ascii="Times New Roman" w:hAnsi="Times New Roman" w:cs="Times New Roman"/>
                <w:i/>
              </w:rPr>
              <w:t>Lullula</w:t>
            </w:r>
            <w:proofErr w:type="spellEnd"/>
            <w:r w:rsidRPr="00A07F29">
              <w:rPr>
                <w:rFonts w:ascii="Times New Roman" w:hAnsi="Times New Roman" w:cs="Times New Roman"/>
                <w:i/>
              </w:rPr>
              <w:t xml:space="preserve"> </w:t>
            </w:r>
            <w:proofErr w:type="spellStart"/>
            <w:r w:rsidRPr="00A07F29">
              <w:rPr>
                <w:rFonts w:ascii="Times New Roman" w:hAnsi="Times New Roman" w:cs="Times New Roman"/>
                <w:i/>
              </w:rPr>
              <w:t>arborea</w:t>
            </w:r>
            <w:proofErr w:type="spellEnd"/>
          </w:p>
        </w:tc>
        <w:tc>
          <w:tcPr>
            <w:tcW w:w="850" w:type="dxa"/>
            <w:vAlign w:val="center"/>
          </w:tcPr>
          <w:p w14:paraId="733AE312" w14:textId="77777777"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75</w:t>
            </w:r>
          </w:p>
        </w:tc>
        <w:tc>
          <w:tcPr>
            <w:tcW w:w="993" w:type="dxa"/>
            <w:vAlign w:val="center"/>
          </w:tcPr>
          <w:p w14:paraId="35261390" w14:textId="77777777"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300</w:t>
            </w:r>
          </w:p>
        </w:tc>
        <w:tc>
          <w:tcPr>
            <w:tcW w:w="2126" w:type="dxa"/>
            <w:vAlign w:val="center"/>
          </w:tcPr>
          <w:p w14:paraId="10C9560E" w14:textId="78CA867B"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1 – 1,2</w:t>
            </w:r>
            <w:r w:rsidR="00961BEF">
              <w:rPr>
                <w:rFonts w:ascii="Times New Roman" w:hAnsi="Times New Roman" w:cs="Times New Roman"/>
              </w:rPr>
              <w:t> </w:t>
            </w:r>
            <w:r w:rsidRPr="00A07F29">
              <w:rPr>
                <w:rFonts w:ascii="Times New Roman" w:hAnsi="Times New Roman" w:cs="Times New Roman"/>
              </w:rPr>
              <w:t>%</w:t>
            </w:r>
          </w:p>
        </w:tc>
        <w:tc>
          <w:tcPr>
            <w:tcW w:w="1984" w:type="dxa"/>
            <w:vAlign w:val="center"/>
          </w:tcPr>
          <w:p w14:paraId="16F7094A" w14:textId="0C961805"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10,6 – 21,9</w:t>
            </w:r>
            <w:r w:rsidR="00961BEF">
              <w:rPr>
                <w:rFonts w:ascii="Times New Roman" w:hAnsi="Times New Roman" w:cs="Times New Roman"/>
              </w:rPr>
              <w:t> </w:t>
            </w:r>
            <w:r w:rsidRPr="00A07F29">
              <w:rPr>
                <w:rFonts w:ascii="Times New Roman" w:hAnsi="Times New Roman" w:cs="Times New Roman"/>
              </w:rPr>
              <w:t>%</w:t>
            </w:r>
          </w:p>
        </w:tc>
      </w:tr>
      <w:tr w:rsidR="000D31D3" w:rsidRPr="00A07F29" w14:paraId="57535A5D" w14:textId="77777777" w:rsidTr="000F31D9">
        <w:tc>
          <w:tcPr>
            <w:tcW w:w="709" w:type="dxa"/>
            <w:vAlign w:val="center"/>
          </w:tcPr>
          <w:p w14:paraId="6E9590FC" w14:textId="188E1DB1" w:rsidR="000D31D3" w:rsidRPr="00A07F29" w:rsidRDefault="000F31D9" w:rsidP="000F31D9">
            <w:pPr>
              <w:spacing w:after="0" w:line="240" w:lineRule="auto"/>
              <w:jc w:val="center"/>
              <w:rPr>
                <w:rFonts w:cs="Times New Roman"/>
              </w:rPr>
            </w:pPr>
            <w:r w:rsidRPr="00A07F29">
              <w:rPr>
                <w:rFonts w:cs="Times New Roman"/>
              </w:rPr>
              <w:t>34.</w:t>
            </w:r>
          </w:p>
        </w:tc>
        <w:tc>
          <w:tcPr>
            <w:tcW w:w="2552" w:type="dxa"/>
            <w:vAlign w:val="center"/>
          </w:tcPr>
          <w:p w14:paraId="79CF13D8" w14:textId="2CC4F470" w:rsidR="000F31D9" w:rsidRPr="00A07F29" w:rsidRDefault="000D31D3" w:rsidP="000F31D9">
            <w:pPr>
              <w:spacing w:after="0" w:line="240" w:lineRule="auto"/>
              <w:rPr>
                <w:rFonts w:ascii="Times New Roman" w:hAnsi="Times New Roman" w:cs="Times New Roman"/>
              </w:rPr>
            </w:pPr>
            <w:r w:rsidRPr="00A07F29">
              <w:rPr>
                <w:rFonts w:ascii="Times New Roman" w:hAnsi="Times New Roman" w:cs="Times New Roman"/>
              </w:rPr>
              <w:t>Svītrainais ķauķis</w:t>
            </w:r>
          </w:p>
          <w:p w14:paraId="7AE80AE8" w14:textId="35C24B4A" w:rsidR="000D31D3" w:rsidRPr="00A07F29" w:rsidRDefault="000D31D3" w:rsidP="000F31D9">
            <w:pPr>
              <w:spacing w:after="0" w:line="240" w:lineRule="auto"/>
              <w:rPr>
                <w:rFonts w:ascii="Times New Roman" w:hAnsi="Times New Roman" w:cs="Times New Roman"/>
              </w:rPr>
            </w:pPr>
            <w:proofErr w:type="spellStart"/>
            <w:r w:rsidRPr="00A07F29">
              <w:rPr>
                <w:rFonts w:ascii="Times New Roman" w:hAnsi="Times New Roman" w:cs="Times New Roman"/>
                <w:i/>
              </w:rPr>
              <w:t>Sylvia</w:t>
            </w:r>
            <w:proofErr w:type="spellEnd"/>
            <w:r w:rsidRPr="00A07F29">
              <w:rPr>
                <w:rFonts w:ascii="Times New Roman" w:hAnsi="Times New Roman" w:cs="Times New Roman"/>
                <w:i/>
              </w:rPr>
              <w:t xml:space="preserve"> </w:t>
            </w:r>
            <w:proofErr w:type="spellStart"/>
            <w:r w:rsidRPr="00A07F29">
              <w:rPr>
                <w:rFonts w:ascii="Times New Roman" w:hAnsi="Times New Roman" w:cs="Times New Roman"/>
                <w:i/>
              </w:rPr>
              <w:t>nisoria</w:t>
            </w:r>
            <w:proofErr w:type="spellEnd"/>
          </w:p>
        </w:tc>
        <w:tc>
          <w:tcPr>
            <w:tcW w:w="850" w:type="dxa"/>
            <w:vAlign w:val="center"/>
          </w:tcPr>
          <w:p w14:paraId="32F74DC2" w14:textId="77777777"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15</w:t>
            </w:r>
          </w:p>
        </w:tc>
        <w:tc>
          <w:tcPr>
            <w:tcW w:w="993" w:type="dxa"/>
            <w:vAlign w:val="center"/>
          </w:tcPr>
          <w:p w14:paraId="546EDF78" w14:textId="77777777"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45</w:t>
            </w:r>
          </w:p>
        </w:tc>
        <w:tc>
          <w:tcPr>
            <w:tcW w:w="2126" w:type="dxa"/>
            <w:vAlign w:val="center"/>
          </w:tcPr>
          <w:p w14:paraId="3C7FF030" w14:textId="75242AB1"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0,7 – 1</w:t>
            </w:r>
            <w:r w:rsidR="00961BEF">
              <w:rPr>
                <w:rFonts w:ascii="Times New Roman" w:hAnsi="Times New Roman" w:cs="Times New Roman"/>
              </w:rPr>
              <w:t> </w:t>
            </w:r>
            <w:r w:rsidRPr="00A07F29">
              <w:rPr>
                <w:rFonts w:ascii="Times New Roman" w:hAnsi="Times New Roman" w:cs="Times New Roman"/>
              </w:rPr>
              <w:t>%</w:t>
            </w:r>
          </w:p>
        </w:tc>
        <w:tc>
          <w:tcPr>
            <w:tcW w:w="1984" w:type="dxa"/>
            <w:vAlign w:val="center"/>
          </w:tcPr>
          <w:p w14:paraId="132E2301" w14:textId="0786AEF5"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22,1 – 27,3</w:t>
            </w:r>
            <w:r w:rsidR="00961BEF">
              <w:rPr>
                <w:rFonts w:ascii="Times New Roman" w:hAnsi="Times New Roman" w:cs="Times New Roman"/>
              </w:rPr>
              <w:t> </w:t>
            </w:r>
            <w:r w:rsidRPr="00A07F29">
              <w:rPr>
                <w:rFonts w:ascii="Times New Roman" w:hAnsi="Times New Roman" w:cs="Times New Roman"/>
              </w:rPr>
              <w:t>%</w:t>
            </w:r>
          </w:p>
        </w:tc>
      </w:tr>
      <w:tr w:rsidR="000D31D3" w:rsidRPr="00A07F29" w14:paraId="2B31586F" w14:textId="77777777" w:rsidTr="000F31D9">
        <w:tc>
          <w:tcPr>
            <w:tcW w:w="709" w:type="dxa"/>
            <w:vAlign w:val="center"/>
          </w:tcPr>
          <w:p w14:paraId="33BE90FB" w14:textId="3BC3102A" w:rsidR="000D31D3" w:rsidRPr="00A07F29" w:rsidRDefault="000F31D9" w:rsidP="000F31D9">
            <w:pPr>
              <w:spacing w:after="0" w:line="240" w:lineRule="auto"/>
              <w:jc w:val="center"/>
              <w:rPr>
                <w:rFonts w:cs="Times New Roman"/>
              </w:rPr>
            </w:pPr>
            <w:r w:rsidRPr="00A07F29">
              <w:rPr>
                <w:rFonts w:cs="Times New Roman"/>
              </w:rPr>
              <w:t>35.</w:t>
            </w:r>
          </w:p>
        </w:tc>
        <w:tc>
          <w:tcPr>
            <w:tcW w:w="2552" w:type="dxa"/>
            <w:vAlign w:val="center"/>
          </w:tcPr>
          <w:p w14:paraId="329FF54D" w14:textId="77777777" w:rsidR="000F31D9" w:rsidRPr="00A07F29" w:rsidRDefault="000D31D3" w:rsidP="000D31D3">
            <w:pPr>
              <w:spacing w:after="0" w:line="240" w:lineRule="auto"/>
              <w:rPr>
                <w:rFonts w:ascii="Times New Roman" w:hAnsi="Times New Roman" w:cs="Times New Roman"/>
              </w:rPr>
            </w:pPr>
            <w:r w:rsidRPr="00A07F29">
              <w:rPr>
                <w:rFonts w:ascii="Times New Roman" w:hAnsi="Times New Roman" w:cs="Times New Roman"/>
              </w:rPr>
              <w:t>Mazais mušķērājs</w:t>
            </w:r>
          </w:p>
          <w:p w14:paraId="30CCB5F1" w14:textId="1AE22E7A" w:rsidR="000D31D3" w:rsidRPr="00A07F29" w:rsidRDefault="000D31D3" w:rsidP="000D31D3">
            <w:pPr>
              <w:spacing w:after="0" w:line="240" w:lineRule="auto"/>
              <w:rPr>
                <w:rFonts w:ascii="Times New Roman" w:hAnsi="Times New Roman" w:cs="Times New Roman"/>
                <w:i/>
              </w:rPr>
            </w:pPr>
            <w:proofErr w:type="spellStart"/>
            <w:r w:rsidRPr="00A07F29">
              <w:rPr>
                <w:rFonts w:ascii="Times New Roman" w:hAnsi="Times New Roman" w:cs="Times New Roman"/>
                <w:i/>
              </w:rPr>
              <w:t>Ficedula</w:t>
            </w:r>
            <w:proofErr w:type="spellEnd"/>
            <w:r w:rsidRPr="00A07F29">
              <w:rPr>
                <w:rFonts w:ascii="Times New Roman" w:hAnsi="Times New Roman" w:cs="Times New Roman"/>
                <w:i/>
              </w:rPr>
              <w:t xml:space="preserve"> </w:t>
            </w:r>
            <w:proofErr w:type="spellStart"/>
            <w:r w:rsidRPr="00A07F29">
              <w:rPr>
                <w:rFonts w:ascii="Times New Roman" w:hAnsi="Times New Roman" w:cs="Times New Roman"/>
                <w:i/>
              </w:rPr>
              <w:t>parva</w:t>
            </w:r>
            <w:proofErr w:type="spellEnd"/>
          </w:p>
        </w:tc>
        <w:tc>
          <w:tcPr>
            <w:tcW w:w="850" w:type="dxa"/>
            <w:vAlign w:val="center"/>
          </w:tcPr>
          <w:p w14:paraId="386CA057" w14:textId="77777777"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100</w:t>
            </w:r>
          </w:p>
        </w:tc>
        <w:tc>
          <w:tcPr>
            <w:tcW w:w="993" w:type="dxa"/>
            <w:vAlign w:val="center"/>
          </w:tcPr>
          <w:p w14:paraId="3A4FEF84" w14:textId="77777777"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150</w:t>
            </w:r>
          </w:p>
        </w:tc>
        <w:tc>
          <w:tcPr>
            <w:tcW w:w="2126" w:type="dxa"/>
            <w:vAlign w:val="center"/>
          </w:tcPr>
          <w:p w14:paraId="27A4607D" w14:textId="54F29AC9"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&lt;1</w:t>
            </w:r>
            <w:r w:rsidR="00961BEF">
              <w:rPr>
                <w:rFonts w:ascii="Times New Roman" w:hAnsi="Times New Roman" w:cs="Times New Roman"/>
              </w:rPr>
              <w:t> </w:t>
            </w:r>
            <w:r w:rsidRPr="00A07F29">
              <w:rPr>
                <w:rFonts w:ascii="Times New Roman" w:hAnsi="Times New Roman" w:cs="Times New Roman"/>
              </w:rPr>
              <w:t>%</w:t>
            </w:r>
          </w:p>
        </w:tc>
        <w:tc>
          <w:tcPr>
            <w:tcW w:w="1984" w:type="dxa"/>
            <w:vAlign w:val="center"/>
          </w:tcPr>
          <w:p w14:paraId="68166477" w14:textId="7A28EA2E"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3,7 – 6,7</w:t>
            </w:r>
            <w:r w:rsidR="00961BEF">
              <w:rPr>
                <w:rFonts w:ascii="Times New Roman" w:hAnsi="Times New Roman" w:cs="Times New Roman"/>
              </w:rPr>
              <w:t> </w:t>
            </w:r>
            <w:r w:rsidRPr="00A07F29">
              <w:rPr>
                <w:rFonts w:ascii="Times New Roman" w:hAnsi="Times New Roman" w:cs="Times New Roman"/>
              </w:rPr>
              <w:t>%</w:t>
            </w:r>
          </w:p>
        </w:tc>
      </w:tr>
      <w:tr w:rsidR="000D31D3" w:rsidRPr="00A07F29" w14:paraId="12C96E23" w14:textId="77777777" w:rsidTr="000F31D9">
        <w:tc>
          <w:tcPr>
            <w:tcW w:w="709" w:type="dxa"/>
            <w:vAlign w:val="center"/>
          </w:tcPr>
          <w:p w14:paraId="1F1A554C" w14:textId="31D1145B" w:rsidR="000D31D3" w:rsidRPr="00A07F29" w:rsidRDefault="000F31D9" w:rsidP="000F31D9">
            <w:pPr>
              <w:spacing w:after="0" w:line="240" w:lineRule="auto"/>
              <w:jc w:val="center"/>
              <w:rPr>
                <w:rFonts w:cs="Times New Roman"/>
              </w:rPr>
            </w:pPr>
            <w:r w:rsidRPr="00A07F29">
              <w:rPr>
                <w:rFonts w:cs="Times New Roman"/>
              </w:rPr>
              <w:t>36.</w:t>
            </w:r>
          </w:p>
        </w:tc>
        <w:tc>
          <w:tcPr>
            <w:tcW w:w="2552" w:type="dxa"/>
            <w:vAlign w:val="center"/>
          </w:tcPr>
          <w:p w14:paraId="272C3594" w14:textId="77777777" w:rsidR="000F31D9" w:rsidRPr="00A07F29" w:rsidRDefault="000D31D3" w:rsidP="000D31D3">
            <w:pPr>
              <w:spacing w:after="0" w:line="240" w:lineRule="auto"/>
              <w:rPr>
                <w:rFonts w:ascii="Times New Roman" w:hAnsi="Times New Roman" w:cs="Times New Roman"/>
              </w:rPr>
            </w:pPr>
            <w:r w:rsidRPr="00A07F29">
              <w:rPr>
                <w:rFonts w:ascii="Times New Roman" w:hAnsi="Times New Roman" w:cs="Times New Roman"/>
              </w:rPr>
              <w:t>Zilrīklīte</w:t>
            </w:r>
          </w:p>
          <w:p w14:paraId="5046F636" w14:textId="721DC43A" w:rsidR="000D31D3" w:rsidRPr="00A07F29" w:rsidRDefault="000D31D3" w:rsidP="000D31D3">
            <w:pPr>
              <w:spacing w:after="0" w:line="240" w:lineRule="auto"/>
              <w:rPr>
                <w:rFonts w:ascii="Times New Roman" w:hAnsi="Times New Roman" w:cs="Times New Roman"/>
                <w:i/>
                <w:iCs/>
              </w:rPr>
            </w:pPr>
            <w:proofErr w:type="spellStart"/>
            <w:r w:rsidRPr="00A07F29">
              <w:rPr>
                <w:rFonts w:ascii="Times New Roman" w:hAnsi="Times New Roman" w:cs="Times New Roman"/>
                <w:i/>
                <w:iCs/>
              </w:rPr>
              <w:t>Luscinia</w:t>
            </w:r>
            <w:proofErr w:type="spellEnd"/>
            <w:r w:rsidRPr="00A07F29">
              <w:rPr>
                <w:rFonts w:ascii="Times New Roman" w:hAnsi="Times New Roman" w:cs="Times New Roman"/>
                <w:i/>
                <w:iCs/>
              </w:rPr>
              <w:t xml:space="preserve"> </w:t>
            </w:r>
            <w:proofErr w:type="spellStart"/>
            <w:r w:rsidRPr="00A07F29">
              <w:rPr>
                <w:rFonts w:ascii="Times New Roman" w:hAnsi="Times New Roman" w:cs="Times New Roman"/>
                <w:i/>
                <w:iCs/>
              </w:rPr>
              <w:t>svecica</w:t>
            </w:r>
            <w:proofErr w:type="spellEnd"/>
          </w:p>
        </w:tc>
        <w:tc>
          <w:tcPr>
            <w:tcW w:w="850" w:type="dxa"/>
            <w:vAlign w:val="center"/>
          </w:tcPr>
          <w:p w14:paraId="4D6058E6" w14:textId="77777777"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1</w:t>
            </w:r>
          </w:p>
        </w:tc>
        <w:tc>
          <w:tcPr>
            <w:tcW w:w="993" w:type="dxa"/>
            <w:vAlign w:val="center"/>
          </w:tcPr>
          <w:p w14:paraId="043F3CE2" w14:textId="77777777"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2</w:t>
            </w:r>
          </w:p>
        </w:tc>
        <w:tc>
          <w:tcPr>
            <w:tcW w:w="2126" w:type="dxa"/>
            <w:vAlign w:val="center"/>
          </w:tcPr>
          <w:p w14:paraId="090F6EF7" w14:textId="0EACECC3"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&lt;1</w:t>
            </w:r>
            <w:r w:rsidR="00961BEF">
              <w:rPr>
                <w:rFonts w:ascii="Times New Roman" w:hAnsi="Times New Roman" w:cs="Times New Roman"/>
              </w:rPr>
              <w:t> </w:t>
            </w:r>
            <w:r w:rsidRPr="00A07F29">
              <w:rPr>
                <w:rFonts w:ascii="Times New Roman" w:hAnsi="Times New Roman" w:cs="Times New Roman"/>
              </w:rPr>
              <w:t>%</w:t>
            </w:r>
          </w:p>
        </w:tc>
        <w:tc>
          <w:tcPr>
            <w:tcW w:w="1984" w:type="dxa"/>
            <w:vAlign w:val="center"/>
          </w:tcPr>
          <w:p w14:paraId="3020AA6F" w14:textId="1B03A6AB"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10 – 20</w:t>
            </w:r>
            <w:r w:rsidR="00961BEF">
              <w:rPr>
                <w:rFonts w:ascii="Times New Roman" w:hAnsi="Times New Roman" w:cs="Times New Roman"/>
              </w:rPr>
              <w:t> </w:t>
            </w:r>
            <w:r w:rsidRPr="00A07F29">
              <w:rPr>
                <w:rFonts w:ascii="Times New Roman" w:hAnsi="Times New Roman" w:cs="Times New Roman"/>
              </w:rPr>
              <w:t>%</w:t>
            </w:r>
          </w:p>
        </w:tc>
      </w:tr>
      <w:tr w:rsidR="000D31D3" w:rsidRPr="00A07F29" w14:paraId="27D29A36" w14:textId="77777777" w:rsidTr="000F31D9">
        <w:tc>
          <w:tcPr>
            <w:tcW w:w="709" w:type="dxa"/>
            <w:vAlign w:val="center"/>
          </w:tcPr>
          <w:p w14:paraId="5492E950" w14:textId="538DA023" w:rsidR="000D31D3" w:rsidRPr="00A07F29" w:rsidRDefault="000F31D9" w:rsidP="000F31D9">
            <w:pPr>
              <w:spacing w:after="0" w:line="240" w:lineRule="auto"/>
              <w:jc w:val="center"/>
              <w:rPr>
                <w:rFonts w:cs="Times New Roman"/>
              </w:rPr>
            </w:pPr>
            <w:r w:rsidRPr="00A07F29">
              <w:rPr>
                <w:rFonts w:cs="Times New Roman"/>
              </w:rPr>
              <w:t>37.</w:t>
            </w:r>
          </w:p>
        </w:tc>
        <w:tc>
          <w:tcPr>
            <w:tcW w:w="2552" w:type="dxa"/>
            <w:vAlign w:val="center"/>
          </w:tcPr>
          <w:p w14:paraId="53A39BD8" w14:textId="77777777" w:rsidR="000F31D9" w:rsidRPr="00A07F29" w:rsidRDefault="000D31D3" w:rsidP="000D31D3">
            <w:pPr>
              <w:spacing w:after="0" w:line="240" w:lineRule="auto"/>
              <w:rPr>
                <w:rFonts w:ascii="Times New Roman" w:hAnsi="Times New Roman" w:cs="Times New Roman"/>
              </w:rPr>
            </w:pPr>
            <w:r w:rsidRPr="00A07F29">
              <w:rPr>
                <w:rFonts w:ascii="Times New Roman" w:hAnsi="Times New Roman" w:cs="Times New Roman"/>
              </w:rPr>
              <w:t xml:space="preserve">Stepes </w:t>
            </w:r>
            <w:proofErr w:type="spellStart"/>
            <w:r w:rsidRPr="00A07F29">
              <w:rPr>
                <w:rFonts w:ascii="Times New Roman" w:hAnsi="Times New Roman" w:cs="Times New Roman"/>
              </w:rPr>
              <w:t>čipste</w:t>
            </w:r>
            <w:proofErr w:type="spellEnd"/>
          </w:p>
          <w:p w14:paraId="230D8F89" w14:textId="7AFDD0F7" w:rsidR="000D31D3" w:rsidRPr="00A07F29" w:rsidRDefault="000D31D3" w:rsidP="000D31D3">
            <w:pPr>
              <w:spacing w:after="0" w:line="240" w:lineRule="auto"/>
              <w:rPr>
                <w:rFonts w:ascii="Times New Roman" w:hAnsi="Times New Roman" w:cs="Times New Roman"/>
                <w:i/>
              </w:rPr>
            </w:pPr>
            <w:proofErr w:type="spellStart"/>
            <w:r w:rsidRPr="00A07F29">
              <w:rPr>
                <w:rFonts w:ascii="Times New Roman" w:hAnsi="Times New Roman" w:cs="Times New Roman"/>
                <w:i/>
              </w:rPr>
              <w:t>Anthus</w:t>
            </w:r>
            <w:proofErr w:type="spellEnd"/>
            <w:r w:rsidRPr="00A07F29">
              <w:rPr>
                <w:rFonts w:ascii="Times New Roman" w:hAnsi="Times New Roman" w:cs="Times New Roman"/>
                <w:i/>
              </w:rPr>
              <w:t xml:space="preserve"> </w:t>
            </w:r>
            <w:proofErr w:type="spellStart"/>
            <w:r w:rsidRPr="00A07F29">
              <w:rPr>
                <w:rFonts w:ascii="Times New Roman" w:hAnsi="Times New Roman" w:cs="Times New Roman"/>
                <w:i/>
              </w:rPr>
              <w:t>campestris</w:t>
            </w:r>
            <w:proofErr w:type="spellEnd"/>
          </w:p>
        </w:tc>
        <w:tc>
          <w:tcPr>
            <w:tcW w:w="850" w:type="dxa"/>
            <w:vAlign w:val="center"/>
          </w:tcPr>
          <w:p w14:paraId="5A483CB5" w14:textId="77777777"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1</w:t>
            </w:r>
          </w:p>
        </w:tc>
        <w:tc>
          <w:tcPr>
            <w:tcW w:w="993" w:type="dxa"/>
            <w:vAlign w:val="center"/>
          </w:tcPr>
          <w:p w14:paraId="204DBF9A" w14:textId="77777777"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2</w:t>
            </w:r>
          </w:p>
        </w:tc>
        <w:tc>
          <w:tcPr>
            <w:tcW w:w="2126" w:type="dxa"/>
            <w:vAlign w:val="center"/>
          </w:tcPr>
          <w:p w14:paraId="61BC343C" w14:textId="761DBFF1"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1,3 – 1,5</w:t>
            </w:r>
            <w:r w:rsidR="00961BEF">
              <w:rPr>
                <w:rFonts w:ascii="Times New Roman" w:hAnsi="Times New Roman" w:cs="Times New Roman"/>
              </w:rPr>
              <w:t> </w:t>
            </w:r>
            <w:r w:rsidRPr="00A07F29">
              <w:rPr>
                <w:rFonts w:ascii="Times New Roman" w:hAnsi="Times New Roman" w:cs="Times New Roman"/>
              </w:rPr>
              <w:t>%</w:t>
            </w:r>
          </w:p>
        </w:tc>
        <w:tc>
          <w:tcPr>
            <w:tcW w:w="1984" w:type="dxa"/>
            <w:vAlign w:val="center"/>
          </w:tcPr>
          <w:p w14:paraId="0C2CD1F8" w14:textId="5EAF93AD"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2,2</w:t>
            </w:r>
            <w:r w:rsidR="00D65BBA" w:rsidRPr="00A07F29">
              <w:rPr>
                <w:rFonts w:ascii="Times New Roman" w:hAnsi="Times New Roman" w:cs="Times New Roman"/>
              </w:rPr>
              <w:t xml:space="preserve"> </w:t>
            </w:r>
            <w:r w:rsidR="00E423A1">
              <w:rPr>
                <w:rFonts w:ascii="Times New Roman" w:hAnsi="Times New Roman" w:cs="Times New Roman"/>
              </w:rPr>
              <w:t>–</w:t>
            </w:r>
            <w:r w:rsidR="00961BEF">
              <w:rPr>
                <w:rFonts w:ascii="Times New Roman" w:hAnsi="Times New Roman" w:cs="Times New Roman"/>
              </w:rPr>
              <w:t xml:space="preserve"> </w:t>
            </w:r>
            <w:r w:rsidRPr="00A07F29">
              <w:rPr>
                <w:rFonts w:ascii="Times New Roman" w:hAnsi="Times New Roman" w:cs="Times New Roman"/>
              </w:rPr>
              <w:t>2,6</w:t>
            </w:r>
            <w:r w:rsidR="00961BEF">
              <w:rPr>
                <w:rFonts w:ascii="Times New Roman" w:hAnsi="Times New Roman" w:cs="Times New Roman"/>
              </w:rPr>
              <w:t> </w:t>
            </w:r>
            <w:r w:rsidRPr="00A07F29">
              <w:rPr>
                <w:rFonts w:ascii="Times New Roman" w:hAnsi="Times New Roman" w:cs="Times New Roman"/>
              </w:rPr>
              <w:t>%</w:t>
            </w:r>
          </w:p>
        </w:tc>
      </w:tr>
      <w:tr w:rsidR="000D31D3" w:rsidRPr="00A07F29" w14:paraId="57A5839B" w14:textId="77777777" w:rsidTr="000F31D9">
        <w:tc>
          <w:tcPr>
            <w:tcW w:w="709" w:type="dxa"/>
            <w:vAlign w:val="center"/>
          </w:tcPr>
          <w:p w14:paraId="5572C7E2" w14:textId="7C538969" w:rsidR="000D31D3" w:rsidRPr="00A07F29" w:rsidRDefault="000F31D9" w:rsidP="000F31D9">
            <w:pPr>
              <w:spacing w:after="0" w:line="240" w:lineRule="auto"/>
              <w:jc w:val="center"/>
              <w:rPr>
                <w:rFonts w:cs="Times New Roman"/>
              </w:rPr>
            </w:pPr>
            <w:r w:rsidRPr="00A07F29">
              <w:rPr>
                <w:rFonts w:cs="Times New Roman"/>
              </w:rPr>
              <w:t>38.</w:t>
            </w:r>
          </w:p>
        </w:tc>
        <w:tc>
          <w:tcPr>
            <w:tcW w:w="2552" w:type="dxa"/>
            <w:vAlign w:val="center"/>
          </w:tcPr>
          <w:p w14:paraId="3869D401" w14:textId="77777777" w:rsidR="000F31D9" w:rsidRPr="00A07F29" w:rsidRDefault="000D31D3" w:rsidP="000D31D3">
            <w:pPr>
              <w:spacing w:after="0" w:line="240" w:lineRule="auto"/>
              <w:rPr>
                <w:rFonts w:ascii="Times New Roman" w:hAnsi="Times New Roman" w:cs="Times New Roman"/>
              </w:rPr>
            </w:pPr>
            <w:r w:rsidRPr="00A07F29">
              <w:rPr>
                <w:rFonts w:ascii="Times New Roman" w:hAnsi="Times New Roman" w:cs="Times New Roman"/>
              </w:rPr>
              <w:t>Dārza stērste</w:t>
            </w:r>
          </w:p>
          <w:p w14:paraId="2F6B00C5" w14:textId="76468325" w:rsidR="000D31D3" w:rsidRPr="00A07F29" w:rsidRDefault="000D31D3" w:rsidP="000D31D3">
            <w:pPr>
              <w:spacing w:after="0" w:line="240" w:lineRule="auto"/>
              <w:rPr>
                <w:rFonts w:ascii="Times New Roman" w:hAnsi="Times New Roman" w:cs="Times New Roman"/>
                <w:i/>
              </w:rPr>
            </w:pPr>
            <w:proofErr w:type="spellStart"/>
            <w:r w:rsidRPr="00A07F29">
              <w:rPr>
                <w:rFonts w:ascii="Times New Roman" w:hAnsi="Times New Roman" w:cs="Times New Roman"/>
                <w:i/>
              </w:rPr>
              <w:t>Emberiza</w:t>
            </w:r>
            <w:proofErr w:type="spellEnd"/>
            <w:r w:rsidRPr="00A07F29">
              <w:rPr>
                <w:rFonts w:ascii="Times New Roman" w:hAnsi="Times New Roman" w:cs="Times New Roman"/>
                <w:i/>
              </w:rPr>
              <w:t xml:space="preserve"> </w:t>
            </w:r>
            <w:proofErr w:type="spellStart"/>
            <w:r w:rsidRPr="00A07F29">
              <w:rPr>
                <w:rFonts w:ascii="Times New Roman" w:hAnsi="Times New Roman" w:cs="Times New Roman"/>
                <w:i/>
              </w:rPr>
              <w:t>hortulana</w:t>
            </w:r>
            <w:proofErr w:type="spellEnd"/>
          </w:p>
        </w:tc>
        <w:tc>
          <w:tcPr>
            <w:tcW w:w="850" w:type="dxa"/>
            <w:vAlign w:val="center"/>
          </w:tcPr>
          <w:p w14:paraId="37094CF9" w14:textId="77777777"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0</w:t>
            </w:r>
          </w:p>
        </w:tc>
        <w:tc>
          <w:tcPr>
            <w:tcW w:w="993" w:type="dxa"/>
            <w:vAlign w:val="center"/>
          </w:tcPr>
          <w:p w14:paraId="7ADACA44" w14:textId="77777777"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0</w:t>
            </w:r>
          </w:p>
        </w:tc>
        <w:tc>
          <w:tcPr>
            <w:tcW w:w="2126" w:type="dxa"/>
            <w:vAlign w:val="center"/>
          </w:tcPr>
          <w:p w14:paraId="368E7C6E" w14:textId="10C14238"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&lt;1</w:t>
            </w:r>
            <w:r w:rsidR="00E423A1">
              <w:rPr>
                <w:rFonts w:ascii="Times New Roman" w:hAnsi="Times New Roman" w:cs="Times New Roman"/>
              </w:rPr>
              <w:t> </w:t>
            </w:r>
            <w:r w:rsidRPr="00A07F29">
              <w:rPr>
                <w:rFonts w:ascii="Times New Roman" w:hAnsi="Times New Roman" w:cs="Times New Roman"/>
              </w:rPr>
              <w:t>%</w:t>
            </w:r>
          </w:p>
        </w:tc>
        <w:tc>
          <w:tcPr>
            <w:tcW w:w="1984" w:type="dxa"/>
            <w:vAlign w:val="center"/>
          </w:tcPr>
          <w:p w14:paraId="134846D4" w14:textId="6116272C" w:rsidR="000D31D3" w:rsidRPr="00A07F29" w:rsidRDefault="000D31D3" w:rsidP="000D31D3">
            <w:pPr>
              <w:spacing w:after="0" w:line="240" w:lineRule="auto"/>
              <w:jc w:val="center"/>
              <w:rPr>
                <w:rFonts w:ascii="Times New Roman" w:hAnsi="Times New Roman" w:cs="Times New Roman"/>
              </w:rPr>
            </w:pPr>
            <w:r w:rsidRPr="00A07F29">
              <w:rPr>
                <w:rFonts w:ascii="Times New Roman" w:hAnsi="Times New Roman" w:cs="Times New Roman"/>
              </w:rPr>
              <w:t>&lt;1</w:t>
            </w:r>
            <w:r w:rsidR="00E423A1">
              <w:rPr>
                <w:rFonts w:ascii="Times New Roman" w:hAnsi="Times New Roman" w:cs="Times New Roman"/>
              </w:rPr>
              <w:t> </w:t>
            </w:r>
            <w:r w:rsidRPr="00A07F29">
              <w:rPr>
                <w:rFonts w:ascii="Times New Roman" w:hAnsi="Times New Roman" w:cs="Times New Roman"/>
              </w:rPr>
              <w:t>%</w:t>
            </w:r>
          </w:p>
        </w:tc>
      </w:tr>
    </w:tbl>
    <w:p w14:paraId="08BB78FA" w14:textId="77777777" w:rsidR="0037188D" w:rsidRPr="00A07F29" w:rsidRDefault="0037188D" w:rsidP="0037188D">
      <w:pPr>
        <w:keepNext/>
        <w:spacing w:before="240" w:after="120" w:line="240" w:lineRule="auto"/>
        <w:jc w:val="both"/>
        <w:rPr>
          <w:rFonts w:ascii="Times New Roman" w:eastAsia="Calibri" w:hAnsi="Times New Roman" w:cs="Times New Roman"/>
          <w:b/>
          <w:bCs/>
          <w:i/>
          <w:iCs/>
          <w:sz w:val="24"/>
          <w:szCs w:val="24"/>
        </w:rPr>
      </w:pPr>
      <w:r w:rsidRPr="00A07F29">
        <w:rPr>
          <w:rFonts w:ascii="Times New Roman" w:eastAsia="Calibri" w:hAnsi="Times New Roman" w:cs="Times New Roman"/>
          <w:b/>
          <w:bCs/>
          <w:sz w:val="24"/>
          <w:szCs w:val="24"/>
        </w:rPr>
        <w:t xml:space="preserve">Ziemeļu gulbis </w:t>
      </w:r>
      <w:proofErr w:type="spellStart"/>
      <w:r w:rsidRPr="00A07F29">
        <w:rPr>
          <w:rFonts w:ascii="Times New Roman" w:eastAsia="Calibri" w:hAnsi="Times New Roman" w:cs="Times New Roman"/>
          <w:b/>
          <w:bCs/>
          <w:i/>
          <w:iCs/>
          <w:sz w:val="24"/>
          <w:szCs w:val="24"/>
        </w:rPr>
        <w:t>Cygnus</w:t>
      </w:r>
      <w:proofErr w:type="spellEnd"/>
      <w:r w:rsidRPr="00A07F29">
        <w:rPr>
          <w:rFonts w:ascii="Times New Roman" w:eastAsia="Calibri" w:hAnsi="Times New Roman" w:cs="Times New Roman"/>
          <w:b/>
          <w:bCs/>
          <w:i/>
          <w:iCs/>
          <w:sz w:val="24"/>
          <w:szCs w:val="24"/>
        </w:rPr>
        <w:t xml:space="preserve"> </w:t>
      </w:r>
      <w:proofErr w:type="spellStart"/>
      <w:r w:rsidRPr="00A07F29">
        <w:rPr>
          <w:rFonts w:ascii="Times New Roman" w:eastAsia="Calibri" w:hAnsi="Times New Roman" w:cs="Times New Roman"/>
          <w:b/>
          <w:bCs/>
          <w:i/>
          <w:iCs/>
          <w:sz w:val="24"/>
          <w:szCs w:val="24"/>
        </w:rPr>
        <w:t>cygnus</w:t>
      </w:r>
      <w:proofErr w:type="spellEnd"/>
    </w:p>
    <w:p w14:paraId="1B1CB1F7" w14:textId="77E34268" w:rsidR="0037188D" w:rsidRPr="00A07F29" w:rsidRDefault="0037188D" w:rsidP="0037188D">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Populācijas lielums Latvijā: 430 – 600 ligzdojoši pāri (</w:t>
      </w:r>
      <w:proofErr w:type="spellStart"/>
      <w:r w:rsidRPr="00A07F29">
        <w:rPr>
          <w:rFonts w:ascii="Times New Roman" w:eastAsia="Calibri" w:hAnsi="Times New Roman" w:cs="Times New Roman"/>
          <w:sz w:val="24"/>
          <w:szCs w:val="24"/>
        </w:rPr>
        <w:t>Birdlife</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International</w:t>
      </w:r>
      <w:proofErr w:type="spellEnd"/>
      <w:r w:rsidR="00F2117E">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2019). Skaitam ir tendence pieaugt, lai arī populācijas lielākā daļa ligzdo Kurzemē, kur ligzdošana pirmoreiz pierādīta tikai pagājušā gadsimta vidū (Boiko</w:t>
      </w:r>
      <w:r w:rsidR="00F2117E">
        <w:rPr>
          <w:rFonts w:ascii="Times New Roman" w:eastAsia="Calibri" w:hAnsi="Times New Roman" w:cs="Times New Roman"/>
          <w:sz w:val="24"/>
          <w:szCs w:val="24"/>
        </w:rPr>
        <w:t xml:space="preserve"> D.,</w:t>
      </w:r>
      <w:r w:rsidRPr="00A07F29">
        <w:rPr>
          <w:rFonts w:ascii="Times New Roman" w:eastAsia="Calibri" w:hAnsi="Times New Roman" w:cs="Times New Roman"/>
          <w:sz w:val="24"/>
          <w:szCs w:val="24"/>
        </w:rPr>
        <w:t xml:space="preserve"> 2011).</w:t>
      </w:r>
    </w:p>
    <w:p w14:paraId="36E40B7A" w14:textId="169F50F3" w:rsidR="0037188D" w:rsidRPr="00A07F29" w:rsidRDefault="0037188D" w:rsidP="0037188D">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 Kā potenciāli ligzdojoša suga AAA “Augšdaugava” pirmo reizi konstatēta 2012.</w:t>
      </w:r>
      <w:r w:rsidR="00FF4FA1">
        <w:rPr>
          <w:rFonts w:ascii="Times New Roman" w:eastAsia="Calibri" w:hAnsi="Times New Roman" w:cs="Times New Roman"/>
          <w:sz w:val="24"/>
          <w:szCs w:val="24"/>
        </w:rPr>
        <w:t> gada 3. jūlijā</w:t>
      </w:r>
      <w:r w:rsidRPr="00A07F29">
        <w:rPr>
          <w:rFonts w:ascii="Times New Roman" w:eastAsia="Calibri" w:hAnsi="Times New Roman" w:cs="Times New Roman"/>
          <w:sz w:val="24"/>
          <w:szCs w:val="24"/>
        </w:rPr>
        <w:t xml:space="preserve"> aizaugušā dīķī </w:t>
      </w:r>
      <w:proofErr w:type="spellStart"/>
      <w:r w:rsidRPr="00A07F29">
        <w:rPr>
          <w:rFonts w:ascii="Times New Roman" w:eastAsia="Calibri" w:hAnsi="Times New Roman" w:cs="Times New Roman"/>
          <w:sz w:val="24"/>
          <w:szCs w:val="24"/>
        </w:rPr>
        <w:t>Keirānu</w:t>
      </w:r>
      <w:proofErr w:type="spellEnd"/>
      <w:r w:rsidRPr="00A07F29">
        <w:rPr>
          <w:rFonts w:ascii="Times New Roman" w:eastAsia="Calibri" w:hAnsi="Times New Roman" w:cs="Times New Roman"/>
          <w:sz w:val="24"/>
          <w:szCs w:val="24"/>
        </w:rPr>
        <w:t xml:space="preserve"> apkārtnē (G.</w:t>
      </w:r>
      <w:r w:rsidR="00003FAD">
        <w:rPr>
          <w:rFonts w:ascii="Times New Roman" w:eastAsia="Calibri" w:hAnsi="Times New Roman" w:cs="Times New Roman"/>
          <w:sz w:val="24"/>
          <w:szCs w:val="24"/>
        </w:rPr>
        <w:t> </w:t>
      </w:r>
      <w:proofErr w:type="spellStart"/>
      <w:r w:rsidRPr="00A07F29">
        <w:rPr>
          <w:rFonts w:ascii="Times New Roman" w:eastAsia="Calibri" w:hAnsi="Times New Roman" w:cs="Times New Roman"/>
          <w:sz w:val="24"/>
          <w:szCs w:val="24"/>
        </w:rPr>
        <w:t>Grandāns</w:t>
      </w:r>
      <w:proofErr w:type="spellEnd"/>
      <w:r w:rsidRPr="00A07F29">
        <w:rPr>
          <w:rFonts w:ascii="Times New Roman" w:eastAsia="Calibri" w:hAnsi="Times New Roman" w:cs="Times New Roman"/>
          <w:sz w:val="24"/>
          <w:szCs w:val="24"/>
        </w:rPr>
        <w:t>). 2014.</w:t>
      </w:r>
      <w:r w:rsidR="00003FAD">
        <w:rPr>
          <w:rFonts w:ascii="Times New Roman" w:eastAsia="Calibri" w:hAnsi="Times New Roman" w:cs="Times New Roman"/>
          <w:sz w:val="24"/>
          <w:szCs w:val="24"/>
        </w:rPr>
        <w:t> </w:t>
      </w:r>
      <w:r w:rsidRPr="00A07F29">
        <w:rPr>
          <w:rFonts w:ascii="Times New Roman" w:eastAsia="Calibri" w:hAnsi="Times New Roman" w:cs="Times New Roman"/>
          <w:sz w:val="24"/>
          <w:szCs w:val="24"/>
        </w:rPr>
        <w:t>gadā ligzdošanas sezonas laikā atrasta apdzīvota ligzda arī Adamovas dīķī. DA plāna izstrādes laikā 2019.</w:t>
      </w:r>
      <w:r w:rsidR="00003FAD">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gadā pierādīta ziemeļu gulbja ligzdošana konstatēta aizaugušā dīķī Vecsalienas pagasta </w:t>
      </w:r>
      <w:proofErr w:type="spellStart"/>
      <w:r w:rsidRPr="00A07F29">
        <w:rPr>
          <w:rFonts w:ascii="Times New Roman" w:eastAsia="Calibri" w:hAnsi="Times New Roman" w:cs="Times New Roman"/>
          <w:sz w:val="24"/>
          <w:szCs w:val="24"/>
        </w:rPr>
        <w:t>Keirānu</w:t>
      </w:r>
      <w:proofErr w:type="spellEnd"/>
      <w:r w:rsidRPr="00A07F29">
        <w:rPr>
          <w:rFonts w:ascii="Times New Roman" w:eastAsia="Calibri" w:hAnsi="Times New Roman" w:cs="Times New Roman"/>
          <w:sz w:val="24"/>
          <w:szCs w:val="24"/>
        </w:rPr>
        <w:t xml:space="preserve"> apkārtnē (</w:t>
      </w:r>
      <w:r w:rsidR="00CE6A60">
        <w:rPr>
          <w:rFonts w:ascii="Times New Roman" w:eastAsia="Calibri" w:hAnsi="Times New Roman" w:cs="Times New Roman"/>
          <w:sz w:val="24"/>
          <w:szCs w:val="24"/>
        </w:rPr>
        <w:t>četri</w:t>
      </w:r>
      <w:r w:rsidRPr="00A07F29">
        <w:rPr>
          <w:rFonts w:ascii="Times New Roman" w:eastAsia="Calibri" w:hAnsi="Times New Roman" w:cs="Times New Roman"/>
          <w:sz w:val="24"/>
          <w:szCs w:val="24"/>
        </w:rPr>
        <w:t xml:space="preserve"> jaunie putni kopā ar pieaugušajiem) un mitrājā Tabores pagasta </w:t>
      </w:r>
      <w:proofErr w:type="spellStart"/>
      <w:r w:rsidRPr="00A07F29">
        <w:rPr>
          <w:rFonts w:ascii="Times New Roman" w:eastAsia="Calibri" w:hAnsi="Times New Roman" w:cs="Times New Roman"/>
          <w:sz w:val="24"/>
          <w:szCs w:val="24"/>
        </w:rPr>
        <w:t>Savišku</w:t>
      </w:r>
      <w:proofErr w:type="spellEnd"/>
      <w:r w:rsidRPr="00A07F29">
        <w:rPr>
          <w:rFonts w:ascii="Times New Roman" w:eastAsia="Calibri" w:hAnsi="Times New Roman" w:cs="Times New Roman"/>
          <w:sz w:val="24"/>
          <w:szCs w:val="24"/>
        </w:rPr>
        <w:t xml:space="preserve"> apkārtnē (</w:t>
      </w:r>
      <w:r w:rsidR="00CE6A60">
        <w:rPr>
          <w:rFonts w:ascii="Times New Roman" w:eastAsia="Calibri" w:hAnsi="Times New Roman" w:cs="Times New Roman"/>
          <w:sz w:val="24"/>
          <w:szCs w:val="24"/>
        </w:rPr>
        <w:t>trīs</w:t>
      </w:r>
      <w:r w:rsidRPr="00A07F29">
        <w:rPr>
          <w:rFonts w:ascii="Times New Roman" w:eastAsia="Calibri" w:hAnsi="Times New Roman" w:cs="Times New Roman"/>
          <w:sz w:val="24"/>
          <w:szCs w:val="24"/>
        </w:rPr>
        <w:t xml:space="preserve"> jaunie putni kopā ar pieaugušajiem). Mitrājā </w:t>
      </w:r>
      <w:proofErr w:type="spellStart"/>
      <w:r w:rsidRPr="00A07F29">
        <w:rPr>
          <w:rFonts w:ascii="Times New Roman" w:eastAsia="Calibri" w:hAnsi="Times New Roman" w:cs="Times New Roman"/>
          <w:sz w:val="24"/>
          <w:szCs w:val="24"/>
        </w:rPr>
        <w:t>Savišku</w:t>
      </w:r>
      <w:proofErr w:type="spellEnd"/>
      <w:r w:rsidRPr="00A07F29">
        <w:rPr>
          <w:rFonts w:ascii="Times New Roman" w:eastAsia="Calibri" w:hAnsi="Times New Roman" w:cs="Times New Roman"/>
          <w:sz w:val="24"/>
          <w:szCs w:val="24"/>
        </w:rPr>
        <w:t xml:space="preserve"> apkārtnē 2020.</w:t>
      </w:r>
      <w:r w:rsidR="00CE6A60">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gadā konstatēta apdzīvota ziemeļu gulbju ligzda. Iespējama ziemeļu gulbju ligzdošana konstatēta Tabores pagasta </w:t>
      </w:r>
      <w:proofErr w:type="spellStart"/>
      <w:r w:rsidRPr="00A07F29">
        <w:rPr>
          <w:rFonts w:ascii="Times New Roman" w:eastAsia="Calibri" w:hAnsi="Times New Roman" w:cs="Times New Roman"/>
          <w:sz w:val="24"/>
          <w:szCs w:val="24"/>
        </w:rPr>
        <w:t>Budišku</w:t>
      </w:r>
      <w:proofErr w:type="spellEnd"/>
      <w:r w:rsidRPr="00A07F29">
        <w:rPr>
          <w:rFonts w:ascii="Times New Roman" w:eastAsia="Calibri" w:hAnsi="Times New Roman" w:cs="Times New Roman"/>
          <w:sz w:val="24"/>
          <w:szCs w:val="24"/>
        </w:rPr>
        <w:t xml:space="preserve"> apkārtnē, kur aizaugušā dīķī 2019.</w:t>
      </w:r>
      <w:r w:rsidR="008F0D9B">
        <w:rPr>
          <w:rFonts w:ascii="Times New Roman" w:eastAsia="Calibri" w:hAnsi="Times New Roman" w:cs="Times New Roman"/>
          <w:sz w:val="24"/>
          <w:szCs w:val="24"/>
        </w:rPr>
        <w:t> </w:t>
      </w:r>
      <w:r w:rsidRPr="00A07F29">
        <w:rPr>
          <w:rFonts w:ascii="Times New Roman" w:eastAsia="Calibri" w:hAnsi="Times New Roman" w:cs="Times New Roman"/>
          <w:sz w:val="24"/>
          <w:szCs w:val="24"/>
        </w:rPr>
        <w:t>gadā konstatēts pāris (A.</w:t>
      </w:r>
      <w:r w:rsidR="008F0D9B">
        <w:rPr>
          <w:rFonts w:ascii="Times New Roman" w:eastAsia="Calibri" w:hAnsi="Times New Roman" w:cs="Times New Roman"/>
          <w:sz w:val="24"/>
          <w:szCs w:val="24"/>
        </w:rPr>
        <w:t> </w:t>
      </w:r>
      <w:proofErr w:type="spellStart"/>
      <w:r w:rsidRPr="00A07F29">
        <w:rPr>
          <w:rFonts w:ascii="Times New Roman" w:eastAsia="Calibri" w:hAnsi="Times New Roman" w:cs="Times New Roman"/>
          <w:sz w:val="24"/>
          <w:szCs w:val="24"/>
        </w:rPr>
        <w:t>Erts</w:t>
      </w:r>
      <w:proofErr w:type="spellEnd"/>
      <w:r w:rsidRPr="00A07F29">
        <w:rPr>
          <w:rFonts w:ascii="Times New Roman" w:eastAsia="Calibri" w:hAnsi="Times New Roman" w:cs="Times New Roman"/>
          <w:sz w:val="24"/>
          <w:szCs w:val="24"/>
        </w:rPr>
        <w:t>), 2020.</w:t>
      </w:r>
      <w:r w:rsidR="008F0D9B">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gada pavasara sezonā potenciāli ligzdojoši ziemeļu gulbju pāri novēroti dīķī Vecsalienas pagasta </w:t>
      </w:r>
      <w:proofErr w:type="spellStart"/>
      <w:r w:rsidRPr="00A07F29">
        <w:rPr>
          <w:rFonts w:ascii="Times New Roman" w:eastAsia="Calibri" w:hAnsi="Times New Roman" w:cs="Times New Roman"/>
          <w:sz w:val="24"/>
          <w:szCs w:val="24"/>
        </w:rPr>
        <w:t>Jugaņinas</w:t>
      </w:r>
      <w:proofErr w:type="spellEnd"/>
      <w:r w:rsidRPr="00A07F29">
        <w:rPr>
          <w:rFonts w:ascii="Times New Roman" w:eastAsia="Calibri" w:hAnsi="Times New Roman" w:cs="Times New Roman"/>
          <w:sz w:val="24"/>
          <w:szCs w:val="24"/>
        </w:rPr>
        <w:t xml:space="preserve"> apkārtnē, mitrājā Kaplavas pagasta </w:t>
      </w:r>
      <w:proofErr w:type="spellStart"/>
      <w:r w:rsidRPr="00A07F29">
        <w:rPr>
          <w:rFonts w:ascii="Times New Roman" w:eastAsia="Calibri" w:hAnsi="Times New Roman" w:cs="Times New Roman"/>
          <w:sz w:val="24"/>
          <w:szCs w:val="24"/>
        </w:rPr>
        <w:t>Voksovas</w:t>
      </w:r>
      <w:proofErr w:type="spellEnd"/>
      <w:r w:rsidRPr="00A07F29">
        <w:rPr>
          <w:rFonts w:ascii="Times New Roman" w:eastAsia="Calibri" w:hAnsi="Times New Roman" w:cs="Times New Roman"/>
          <w:sz w:val="24"/>
          <w:szCs w:val="24"/>
        </w:rPr>
        <w:t xml:space="preserve"> apkārtnē un Kaudzīšu ezerā.</w:t>
      </w:r>
    </w:p>
    <w:p w14:paraId="65990A61" w14:textId="19BE9E39" w:rsidR="0037188D" w:rsidRPr="00A07F29" w:rsidRDefault="0037188D" w:rsidP="0037188D">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Ap 100 īpatņu liels ziemeļu gulbju bars novērots barojoties neuzartā kukurūzas laukā Vecsalienas pagasta </w:t>
      </w:r>
      <w:proofErr w:type="spellStart"/>
      <w:r w:rsidRPr="00A07F29">
        <w:rPr>
          <w:rFonts w:ascii="Times New Roman" w:eastAsia="Calibri" w:hAnsi="Times New Roman" w:cs="Times New Roman"/>
          <w:sz w:val="24"/>
          <w:szCs w:val="24"/>
        </w:rPr>
        <w:t>Keirānu</w:t>
      </w:r>
      <w:proofErr w:type="spellEnd"/>
      <w:r w:rsidRPr="00A07F29">
        <w:rPr>
          <w:rFonts w:ascii="Times New Roman" w:eastAsia="Calibri" w:hAnsi="Times New Roman" w:cs="Times New Roman"/>
          <w:sz w:val="24"/>
          <w:szCs w:val="24"/>
        </w:rPr>
        <w:t xml:space="preserve"> apkārtnē 2020.</w:t>
      </w:r>
      <w:r w:rsidR="00AB7542">
        <w:rPr>
          <w:rFonts w:ascii="Times New Roman" w:eastAsia="Calibri" w:hAnsi="Times New Roman" w:cs="Times New Roman"/>
          <w:sz w:val="24"/>
          <w:szCs w:val="24"/>
        </w:rPr>
        <w:t> gada 18. martā</w:t>
      </w:r>
      <w:r w:rsidRPr="00A07F29">
        <w:rPr>
          <w:rFonts w:ascii="Times New Roman" w:eastAsia="Calibri" w:hAnsi="Times New Roman" w:cs="Times New Roman"/>
          <w:sz w:val="24"/>
          <w:szCs w:val="24"/>
        </w:rPr>
        <w:t xml:space="preserve"> zemes vienībā ar kadastra numuru 44960070089.</w:t>
      </w:r>
    </w:p>
    <w:p w14:paraId="3B301AE2" w14:textId="0E8899C7" w:rsidR="0037188D" w:rsidRPr="00A07F29" w:rsidRDefault="0037188D" w:rsidP="0037188D">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lastRenderedPageBreak/>
        <w:t>Skaita vērtējums teritorijā: 3</w:t>
      </w:r>
      <w:r w:rsidR="00AB7542">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AB7542">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5 ligzdojoši pāri. Suga iekļauta </w:t>
      </w:r>
      <w:proofErr w:type="spellStart"/>
      <w:r w:rsidRPr="00A07F29">
        <w:rPr>
          <w:rFonts w:ascii="Times New Roman" w:eastAsia="Calibri" w:hAnsi="Times New Roman" w:cs="Times New Roman"/>
          <w:i/>
          <w:iCs/>
          <w:sz w:val="24"/>
          <w:szCs w:val="24"/>
        </w:rPr>
        <w:t>Natura</w:t>
      </w:r>
      <w:proofErr w:type="spellEnd"/>
      <w:r w:rsidRPr="00A07F29">
        <w:rPr>
          <w:rFonts w:ascii="Times New Roman" w:eastAsia="Calibri" w:hAnsi="Times New Roman" w:cs="Times New Roman"/>
          <w:i/>
          <w:iCs/>
          <w:sz w:val="24"/>
          <w:szCs w:val="24"/>
        </w:rPr>
        <w:t xml:space="preserve"> 2000</w:t>
      </w:r>
      <w:r w:rsidRPr="00A07F29">
        <w:rPr>
          <w:rFonts w:ascii="Times New Roman" w:eastAsia="Calibri" w:hAnsi="Times New Roman" w:cs="Times New Roman"/>
          <w:sz w:val="24"/>
          <w:szCs w:val="24"/>
        </w:rPr>
        <w:t xml:space="preserve"> </w:t>
      </w:r>
      <w:r w:rsidR="00660014">
        <w:rPr>
          <w:rFonts w:ascii="Times New Roman" w:eastAsia="Calibri" w:hAnsi="Times New Roman" w:cs="Times New Roman"/>
          <w:sz w:val="24"/>
          <w:szCs w:val="24"/>
        </w:rPr>
        <w:t>SDF</w:t>
      </w:r>
      <w:r w:rsidRPr="00A07F29">
        <w:rPr>
          <w:rFonts w:ascii="Times New Roman" w:eastAsia="Calibri" w:hAnsi="Times New Roman" w:cs="Times New Roman"/>
          <w:sz w:val="24"/>
          <w:szCs w:val="24"/>
        </w:rPr>
        <w:t>. Teritorijā kopš pēdējā skaita vērtējuma</w:t>
      </w:r>
      <w:r w:rsidR="00E85400">
        <w:rPr>
          <w:rFonts w:ascii="Times New Roman" w:eastAsia="Calibri" w:hAnsi="Times New Roman" w:cs="Times New Roman"/>
          <w:sz w:val="24"/>
          <w:szCs w:val="24"/>
        </w:rPr>
        <w:t xml:space="preserve"> atbilstoši 2014. gadā veiktām uzskaitēm</w:t>
      </w:r>
      <w:r w:rsidR="00B063F1">
        <w:rPr>
          <w:rFonts w:ascii="Times New Roman" w:eastAsia="Calibri" w:hAnsi="Times New Roman" w:cs="Times New Roman"/>
          <w:sz w:val="24"/>
          <w:szCs w:val="24"/>
        </w:rPr>
        <w:t xml:space="preserve">, </w:t>
      </w:r>
      <w:r w:rsidR="00B94627">
        <w:rPr>
          <w:rFonts w:ascii="Times New Roman" w:eastAsia="Calibri" w:hAnsi="Times New Roman" w:cs="Times New Roman"/>
          <w:sz w:val="24"/>
          <w:szCs w:val="24"/>
        </w:rPr>
        <w:t xml:space="preserve">kur </w:t>
      </w:r>
      <w:r w:rsidR="00B063F1">
        <w:rPr>
          <w:rFonts w:ascii="Times New Roman" w:eastAsia="Calibri" w:hAnsi="Times New Roman" w:cs="Times New Roman"/>
          <w:sz w:val="24"/>
          <w:szCs w:val="24"/>
        </w:rPr>
        <w:t>reģistrēti</w:t>
      </w:r>
      <w:r w:rsidRPr="00A07F29">
        <w:rPr>
          <w:rFonts w:ascii="Times New Roman" w:eastAsia="Calibri" w:hAnsi="Times New Roman" w:cs="Times New Roman"/>
          <w:sz w:val="24"/>
          <w:szCs w:val="24"/>
        </w:rPr>
        <w:t xml:space="preserve"> 1</w:t>
      </w:r>
      <w:r w:rsidR="00202D7A">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202D7A">
        <w:rPr>
          <w:rFonts w:ascii="Times New Roman" w:eastAsia="Calibri" w:hAnsi="Times New Roman" w:cs="Times New Roman"/>
          <w:sz w:val="24"/>
          <w:szCs w:val="24"/>
        </w:rPr>
        <w:t> </w:t>
      </w:r>
      <w:r w:rsidRPr="00A07F29">
        <w:rPr>
          <w:rFonts w:ascii="Times New Roman" w:eastAsia="Calibri" w:hAnsi="Times New Roman" w:cs="Times New Roman"/>
          <w:sz w:val="24"/>
          <w:szCs w:val="24"/>
        </w:rPr>
        <w:t>2 ligzdojoši pāri</w:t>
      </w:r>
      <w:r w:rsidR="00CC48F8">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ir noticis skaita pieaugums. Saglabājoties populācijas skaita tendencēm, arī nākotnē ir sagaidāms turpmāks skaita pieaugums.</w:t>
      </w:r>
    </w:p>
    <w:p w14:paraId="3F841C4E" w14:textId="77777777" w:rsidR="0037188D" w:rsidRPr="00A07F29" w:rsidRDefault="0037188D" w:rsidP="0037188D">
      <w:pPr>
        <w:spacing w:before="240" w:after="120" w:line="240" w:lineRule="auto"/>
        <w:jc w:val="both"/>
        <w:rPr>
          <w:rFonts w:ascii="Times New Roman" w:eastAsia="Calibri" w:hAnsi="Times New Roman" w:cs="Times New Roman"/>
          <w:b/>
          <w:bCs/>
          <w:sz w:val="24"/>
          <w:szCs w:val="24"/>
        </w:rPr>
      </w:pPr>
      <w:proofErr w:type="spellStart"/>
      <w:r w:rsidRPr="00A07F29">
        <w:rPr>
          <w:rFonts w:ascii="Times New Roman" w:eastAsia="Calibri" w:hAnsi="Times New Roman" w:cs="Times New Roman"/>
          <w:b/>
          <w:bCs/>
          <w:sz w:val="24"/>
          <w:szCs w:val="24"/>
        </w:rPr>
        <w:t>Baltpieres</w:t>
      </w:r>
      <w:proofErr w:type="spellEnd"/>
      <w:r w:rsidRPr="00A07F29">
        <w:rPr>
          <w:rFonts w:ascii="Times New Roman" w:eastAsia="Calibri" w:hAnsi="Times New Roman" w:cs="Times New Roman"/>
          <w:b/>
          <w:bCs/>
          <w:sz w:val="24"/>
          <w:szCs w:val="24"/>
        </w:rPr>
        <w:t xml:space="preserve"> zoss </w:t>
      </w:r>
      <w:proofErr w:type="spellStart"/>
      <w:r w:rsidRPr="00A07F29">
        <w:rPr>
          <w:rFonts w:ascii="Times New Roman" w:eastAsia="Calibri" w:hAnsi="Times New Roman" w:cs="Times New Roman"/>
          <w:b/>
          <w:bCs/>
          <w:i/>
          <w:sz w:val="24"/>
          <w:szCs w:val="24"/>
        </w:rPr>
        <w:t>Anser</w:t>
      </w:r>
      <w:proofErr w:type="spellEnd"/>
      <w:r w:rsidRPr="00A07F29">
        <w:rPr>
          <w:rFonts w:ascii="Times New Roman" w:eastAsia="Calibri" w:hAnsi="Times New Roman" w:cs="Times New Roman"/>
          <w:b/>
          <w:bCs/>
          <w:i/>
          <w:sz w:val="24"/>
          <w:szCs w:val="24"/>
        </w:rPr>
        <w:t xml:space="preserve"> </w:t>
      </w:r>
      <w:proofErr w:type="spellStart"/>
      <w:r w:rsidRPr="00A07F29">
        <w:rPr>
          <w:rFonts w:ascii="Times New Roman" w:eastAsia="Calibri" w:hAnsi="Times New Roman" w:cs="Times New Roman"/>
          <w:b/>
          <w:bCs/>
          <w:i/>
          <w:sz w:val="24"/>
          <w:szCs w:val="24"/>
        </w:rPr>
        <w:t>albifrons</w:t>
      </w:r>
      <w:proofErr w:type="spellEnd"/>
    </w:p>
    <w:p w14:paraId="4A3EABC2" w14:textId="33AFAF2F" w:rsidR="0037188D" w:rsidRPr="00A07F29" w:rsidRDefault="0037188D" w:rsidP="0037188D">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AAA “Augšdaugava” teritorija nav nozīmīga ūdensputnu, tostarp zosu, pulcēšanās vieta. Ap 500 īpatņu liels </w:t>
      </w:r>
      <w:proofErr w:type="spellStart"/>
      <w:r w:rsidRPr="00A07F29">
        <w:rPr>
          <w:rFonts w:ascii="Times New Roman" w:eastAsia="Calibri" w:hAnsi="Times New Roman" w:cs="Times New Roman"/>
          <w:sz w:val="24"/>
          <w:szCs w:val="24"/>
        </w:rPr>
        <w:t>baltpieres</w:t>
      </w:r>
      <w:proofErr w:type="spellEnd"/>
      <w:r w:rsidRPr="00A07F29">
        <w:rPr>
          <w:rFonts w:ascii="Times New Roman" w:eastAsia="Calibri" w:hAnsi="Times New Roman" w:cs="Times New Roman"/>
          <w:sz w:val="24"/>
          <w:szCs w:val="24"/>
        </w:rPr>
        <w:t xml:space="preserve"> zosu bars novērots barojoties neuzartā kukurūzas laukā Vecsalienas pagasta </w:t>
      </w:r>
      <w:proofErr w:type="spellStart"/>
      <w:r w:rsidRPr="00A07F29">
        <w:rPr>
          <w:rFonts w:ascii="Times New Roman" w:eastAsia="Calibri" w:hAnsi="Times New Roman" w:cs="Times New Roman"/>
          <w:sz w:val="24"/>
          <w:szCs w:val="24"/>
        </w:rPr>
        <w:t>Keirānu</w:t>
      </w:r>
      <w:proofErr w:type="spellEnd"/>
      <w:r w:rsidRPr="00A07F29">
        <w:rPr>
          <w:rFonts w:ascii="Times New Roman" w:eastAsia="Calibri" w:hAnsi="Times New Roman" w:cs="Times New Roman"/>
          <w:sz w:val="24"/>
          <w:szCs w:val="24"/>
        </w:rPr>
        <w:t xml:space="preserve"> apkārtnē 2020.</w:t>
      </w:r>
      <w:r w:rsidR="00355DDB">
        <w:rPr>
          <w:rFonts w:ascii="Times New Roman" w:eastAsia="Calibri" w:hAnsi="Times New Roman" w:cs="Times New Roman"/>
          <w:sz w:val="24"/>
          <w:szCs w:val="24"/>
        </w:rPr>
        <w:t> gada 18. martā</w:t>
      </w:r>
      <w:r w:rsidRPr="00A07F29">
        <w:rPr>
          <w:rFonts w:ascii="Times New Roman" w:eastAsia="Calibri" w:hAnsi="Times New Roman" w:cs="Times New Roman"/>
          <w:sz w:val="24"/>
          <w:szCs w:val="24"/>
        </w:rPr>
        <w:t xml:space="preserve"> zemes vienībā ar kadastra numuru 44960070089. Vismaz vairākus simtus īpatņu liels nakšņojošs zosu </w:t>
      </w:r>
      <w:proofErr w:type="spellStart"/>
      <w:r w:rsidRPr="00A07F29">
        <w:rPr>
          <w:rFonts w:ascii="Times New Roman" w:eastAsia="Calibri" w:hAnsi="Times New Roman" w:cs="Times New Roman"/>
          <w:i/>
          <w:iCs/>
          <w:sz w:val="24"/>
          <w:szCs w:val="24"/>
        </w:rPr>
        <w:t>Anser</w:t>
      </w:r>
      <w:proofErr w:type="spellEnd"/>
      <w:r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sp</w:t>
      </w:r>
      <w:proofErr w:type="spellEnd"/>
      <w:r w:rsidRPr="00A07F29">
        <w:rPr>
          <w:rFonts w:ascii="Times New Roman" w:eastAsia="Calibri" w:hAnsi="Times New Roman" w:cs="Times New Roman"/>
          <w:sz w:val="24"/>
          <w:szCs w:val="24"/>
        </w:rPr>
        <w:t>. bars konstatēts 2020.</w:t>
      </w:r>
      <w:r w:rsidR="00732AE7">
        <w:rPr>
          <w:rFonts w:ascii="Times New Roman" w:eastAsia="Calibri" w:hAnsi="Times New Roman" w:cs="Times New Roman"/>
          <w:sz w:val="24"/>
          <w:szCs w:val="24"/>
        </w:rPr>
        <w:t> gada 6. aprīlī</w:t>
      </w:r>
      <w:r w:rsidRPr="00A07F29">
        <w:rPr>
          <w:rFonts w:ascii="Times New Roman" w:eastAsia="Calibri" w:hAnsi="Times New Roman" w:cs="Times New Roman"/>
          <w:sz w:val="24"/>
          <w:szCs w:val="24"/>
        </w:rPr>
        <w:t xml:space="preserve"> mitrājos uz </w:t>
      </w:r>
      <w:r w:rsidR="00660014">
        <w:rPr>
          <w:rFonts w:ascii="Times New Roman" w:eastAsia="Calibri" w:hAnsi="Times New Roman" w:cs="Times New Roman"/>
          <w:sz w:val="24"/>
          <w:szCs w:val="24"/>
        </w:rPr>
        <w:t>Z</w:t>
      </w:r>
      <w:r w:rsidRPr="00A07F29">
        <w:rPr>
          <w:rFonts w:ascii="Times New Roman" w:eastAsia="Calibri" w:hAnsi="Times New Roman" w:cs="Times New Roman"/>
          <w:sz w:val="24"/>
          <w:szCs w:val="24"/>
        </w:rPr>
        <w:t xml:space="preserve"> no </w:t>
      </w:r>
      <w:proofErr w:type="spellStart"/>
      <w:r w:rsidRPr="00A07F29">
        <w:rPr>
          <w:rFonts w:ascii="Times New Roman" w:eastAsia="Calibri" w:hAnsi="Times New Roman" w:cs="Times New Roman"/>
          <w:sz w:val="24"/>
          <w:szCs w:val="24"/>
        </w:rPr>
        <w:t>Keirāniem</w:t>
      </w:r>
      <w:proofErr w:type="spellEnd"/>
      <w:r w:rsidRPr="00A07F29">
        <w:rPr>
          <w:rFonts w:ascii="Times New Roman" w:eastAsia="Calibri" w:hAnsi="Times New Roman" w:cs="Times New Roman"/>
          <w:sz w:val="24"/>
          <w:szCs w:val="24"/>
        </w:rPr>
        <w:t xml:space="preserve"> (Vecsalienas un Salienas pagastu robeža).</w:t>
      </w:r>
    </w:p>
    <w:p w14:paraId="271C6127" w14:textId="77777777" w:rsidR="0037188D" w:rsidRPr="00A07F29" w:rsidRDefault="0037188D" w:rsidP="0037188D">
      <w:pPr>
        <w:keepNext/>
        <w:spacing w:before="240" w:after="120" w:line="240" w:lineRule="auto"/>
        <w:jc w:val="both"/>
        <w:rPr>
          <w:rFonts w:ascii="Times New Roman" w:eastAsia="Calibri" w:hAnsi="Times New Roman" w:cs="Times New Roman"/>
          <w:b/>
          <w:bCs/>
          <w:i/>
          <w:iCs/>
          <w:sz w:val="24"/>
          <w:szCs w:val="24"/>
        </w:rPr>
      </w:pPr>
      <w:r w:rsidRPr="00A07F29">
        <w:rPr>
          <w:rFonts w:ascii="Times New Roman" w:eastAsia="Calibri" w:hAnsi="Times New Roman" w:cs="Times New Roman"/>
          <w:b/>
          <w:bCs/>
          <w:sz w:val="24"/>
          <w:szCs w:val="24"/>
        </w:rPr>
        <w:t xml:space="preserve">Sējas zoss </w:t>
      </w:r>
      <w:proofErr w:type="spellStart"/>
      <w:r w:rsidRPr="00A07F29">
        <w:rPr>
          <w:rFonts w:ascii="Times New Roman" w:eastAsia="Calibri" w:hAnsi="Times New Roman" w:cs="Times New Roman"/>
          <w:b/>
          <w:bCs/>
          <w:i/>
          <w:iCs/>
          <w:sz w:val="24"/>
          <w:szCs w:val="24"/>
        </w:rPr>
        <w:t>Anser</w:t>
      </w:r>
      <w:proofErr w:type="spellEnd"/>
      <w:r w:rsidRPr="00A07F29">
        <w:rPr>
          <w:rFonts w:ascii="Times New Roman" w:eastAsia="Calibri" w:hAnsi="Times New Roman" w:cs="Times New Roman"/>
          <w:b/>
          <w:bCs/>
          <w:i/>
          <w:iCs/>
          <w:sz w:val="24"/>
          <w:szCs w:val="24"/>
        </w:rPr>
        <w:t xml:space="preserve"> </w:t>
      </w:r>
      <w:proofErr w:type="spellStart"/>
      <w:r w:rsidRPr="00A07F29">
        <w:rPr>
          <w:rFonts w:ascii="Times New Roman" w:eastAsia="Calibri" w:hAnsi="Times New Roman" w:cs="Times New Roman"/>
          <w:b/>
          <w:bCs/>
          <w:i/>
          <w:iCs/>
          <w:sz w:val="24"/>
          <w:szCs w:val="24"/>
        </w:rPr>
        <w:t>fabalis</w:t>
      </w:r>
      <w:proofErr w:type="spellEnd"/>
    </w:p>
    <w:p w14:paraId="30B61482" w14:textId="369C67CF" w:rsidR="004F2FB2" w:rsidRPr="00A07F29" w:rsidRDefault="0037188D" w:rsidP="000F31D9">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Ap 100 īpatņu liels sējas zosu bars novērots barojoties neuzartā kukurūzas laukā Vecsalienas pagasta </w:t>
      </w:r>
      <w:proofErr w:type="spellStart"/>
      <w:r w:rsidRPr="00A07F29">
        <w:rPr>
          <w:rFonts w:ascii="Times New Roman" w:eastAsia="Calibri" w:hAnsi="Times New Roman" w:cs="Times New Roman"/>
          <w:sz w:val="24"/>
          <w:szCs w:val="24"/>
        </w:rPr>
        <w:t>Keirānu</w:t>
      </w:r>
      <w:proofErr w:type="spellEnd"/>
      <w:r w:rsidRPr="00A07F29">
        <w:rPr>
          <w:rFonts w:ascii="Times New Roman" w:eastAsia="Calibri" w:hAnsi="Times New Roman" w:cs="Times New Roman"/>
          <w:sz w:val="24"/>
          <w:szCs w:val="24"/>
        </w:rPr>
        <w:t xml:space="preserve"> apkārtnē 2020.</w:t>
      </w:r>
      <w:r w:rsidR="00E50366">
        <w:rPr>
          <w:rFonts w:ascii="Times New Roman" w:eastAsia="Calibri" w:hAnsi="Times New Roman" w:cs="Times New Roman"/>
          <w:sz w:val="24"/>
          <w:szCs w:val="24"/>
        </w:rPr>
        <w:t> gada 18. martā</w:t>
      </w:r>
      <w:r w:rsidRPr="00A07F29">
        <w:rPr>
          <w:rFonts w:ascii="Times New Roman" w:eastAsia="Calibri" w:hAnsi="Times New Roman" w:cs="Times New Roman"/>
          <w:sz w:val="24"/>
          <w:szCs w:val="24"/>
        </w:rPr>
        <w:t xml:space="preserve"> zemes vienībā ar kadastra numuru 44960070089.</w:t>
      </w:r>
    </w:p>
    <w:p w14:paraId="6EB44CB0" w14:textId="77777777" w:rsidR="00D06675" w:rsidRPr="00A07F29" w:rsidRDefault="00D06675" w:rsidP="00D06675">
      <w:pPr>
        <w:spacing w:before="240" w:after="120" w:line="240" w:lineRule="auto"/>
        <w:jc w:val="both"/>
        <w:rPr>
          <w:rFonts w:ascii="Times New Roman" w:eastAsia="Calibri" w:hAnsi="Times New Roman" w:cs="Times New Roman"/>
          <w:b/>
          <w:bCs/>
          <w:i/>
          <w:iCs/>
          <w:sz w:val="24"/>
          <w:szCs w:val="24"/>
        </w:rPr>
      </w:pPr>
      <w:r w:rsidRPr="00A07F29">
        <w:rPr>
          <w:rFonts w:ascii="Times New Roman" w:eastAsia="Calibri" w:hAnsi="Times New Roman" w:cs="Times New Roman"/>
          <w:b/>
          <w:bCs/>
          <w:sz w:val="24"/>
          <w:szCs w:val="24"/>
        </w:rPr>
        <w:t xml:space="preserve">Lielā gaura </w:t>
      </w:r>
      <w:proofErr w:type="spellStart"/>
      <w:r w:rsidRPr="00A07F29">
        <w:rPr>
          <w:rFonts w:ascii="Times New Roman" w:eastAsia="Calibri" w:hAnsi="Times New Roman" w:cs="Times New Roman"/>
          <w:b/>
          <w:bCs/>
          <w:i/>
          <w:iCs/>
          <w:sz w:val="24"/>
          <w:szCs w:val="24"/>
        </w:rPr>
        <w:t>Mergus</w:t>
      </w:r>
      <w:proofErr w:type="spellEnd"/>
      <w:r w:rsidRPr="00A07F29">
        <w:rPr>
          <w:rFonts w:ascii="Times New Roman" w:eastAsia="Calibri" w:hAnsi="Times New Roman" w:cs="Times New Roman"/>
          <w:b/>
          <w:bCs/>
          <w:i/>
          <w:iCs/>
          <w:sz w:val="24"/>
          <w:szCs w:val="24"/>
        </w:rPr>
        <w:t xml:space="preserve"> </w:t>
      </w:r>
      <w:proofErr w:type="spellStart"/>
      <w:r w:rsidRPr="00A07F29">
        <w:rPr>
          <w:rFonts w:ascii="Times New Roman" w:eastAsia="Calibri" w:hAnsi="Times New Roman" w:cs="Times New Roman"/>
          <w:b/>
          <w:bCs/>
          <w:i/>
          <w:iCs/>
          <w:sz w:val="24"/>
          <w:szCs w:val="24"/>
        </w:rPr>
        <w:t>merganser</w:t>
      </w:r>
      <w:proofErr w:type="spellEnd"/>
    </w:p>
    <w:p w14:paraId="15EEE0CB" w14:textId="647787E4" w:rsidR="00D06675" w:rsidRPr="00A07F29" w:rsidRDefault="00D06675" w:rsidP="00D06675">
      <w:pPr>
        <w:spacing w:after="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Populācijas lielums Latvijā: 500</w:t>
      </w:r>
      <w:r w:rsidR="00DC79F9">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DC79F9">
        <w:rPr>
          <w:rFonts w:ascii="Times New Roman" w:eastAsia="Calibri" w:hAnsi="Times New Roman" w:cs="Times New Roman"/>
          <w:sz w:val="24"/>
          <w:szCs w:val="24"/>
        </w:rPr>
        <w:t> </w:t>
      </w:r>
      <w:r w:rsidRPr="00A07F29">
        <w:rPr>
          <w:rFonts w:ascii="Times New Roman" w:eastAsia="Calibri" w:hAnsi="Times New Roman" w:cs="Times New Roman"/>
          <w:sz w:val="24"/>
          <w:szCs w:val="24"/>
        </w:rPr>
        <w:t>1200 pāri (</w:t>
      </w:r>
      <w:proofErr w:type="spellStart"/>
      <w:r w:rsidRPr="00A07F29">
        <w:rPr>
          <w:rFonts w:ascii="Times New Roman" w:eastAsia="Calibri" w:hAnsi="Times New Roman" w:cs="Times New Roman"/>
          <w:sz w:val="24"/>
          <w:szCs w:val="24"/>
        </w:rPr>
        <w:t>Birdlife</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International</w:t>
      </w:r>
      <w:proofErr w:type="spellEnd"/>
      <w:r w:rsidR="00F2117E">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2019). </w:t>
      </w:r>
      <w:proofErr w:type="spellStart"/>
      <w:r w:rsidRPr="00A07F29">
        <w:rPr>
          <w:rFonts w:ascii="Times New Roman" w:eastAsia="Calibri" w:hAnsi="Times New Roman" w:cs="Times New Roman"/>
          <w:sz w:val="24"/>
          <w:szCs w:val="24"/>
        </w:rPr>
        <w:t>Dobumperētājs</w:t>
      </w:r>
      <w:proofErr w:type="spellEnd"/>
      <w:r w:rsidRPr="00A07F29">
        <w:rPr>
          <w:rFonts w:ascii="Times New Roman" w:eastAsia="Calibri" w:hAnsi="Times New Roman" w:cs="Times New Roman"/>
          <w:sz w:val="24"/>
          <w:szCs w:val="24"/>
        </w:rPr>
        <w:t xml:space="preserve">, ligzdo lielos, trupēšanas rezultātā veidojušos dobumos. Ligzdošanas vieta var atrasties pat vairāku kilometru attālumā no tuvākās ūdenstilpes. </w:t>
      </w:r>
    </w:p>
    <w:p w14:paraId="0832921C" w14:textId="77777777" w:rsidR="00D06675" w:rsidRPr="00A07F29" w:rsidRDefault="00D06675" w:rsidP="00D06675">
      <w:pPr>
        <w:spacing w:after="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AAA “Augšdaugava” teritorijā regulāri sastopama Daugavā, atsevišķi īpatņi novēroti teritorijas pārējās ūdenstilpēs (domājams </w:t>
      </w:r>
      <w:proofErr w:type="spellStart"/>
      <w:r w:rsidRPr="00A07F29">
        <w:rPr>
          <w:rFonts w:ascii="Times New Roman" w:eastAsia="Calibri" w:hAnsi="Times New Roman" w:cs="Times New Roman"/>
          <w:sz w:val="24"/>
          <w:szCs w:val="24"/>
        </w:rPr>
        <w:t>neligzdotāji</w:t>
      </w:r>
      <w:proofErr w:type="spellEnd"/>
      <w:r w:rsidRPr="00A07F29">
        <w:rPr>
          <w:rFonts w:ascii="Times New Roman" w:eastAsia="Calibri" w:hAnsi="Times New Roman" w:cs="Times New Roman"/>
          <w:sz w:val="24"/>
          <w:szCs w:val="24"/>
        </w:rPr>
        <w:t xml:space="preserve"> vai migranti).</w:t>
      </w:r>
    </w:p>
    <w:p w14:paraId="171BDECB" w14:textId="58A02AD0" w:rsidR="00D06675" w:rsidRPr="00A07F29" w:rsidRDefault="00D06675" w:rsidP="00D06675">
      <w:pPr>
        <w:spacing w:after="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2019.</w:t>
      </w:r>
      <w:r w:rsidR="00D77286">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gadā veicot uzskaiti visā izpētes teritorijā ietilpstošajā Daugavas posmā, konstatēti </w:t>
      </w:r>
      <w:r w:rsidR="00BB4DD8">
        <w:rPr>
          <w:rFonts w:ascii="Times New Roman" w:eastAsia="Calibri" w:hAnsi="Times New Roman" w:cs="Times New Roman"/>
          <w:sz w:val="24"/>
          <w:szCs w:val="24"/>
        </w:rPr>
        <w:t>seši</w:t>
      </w:r>
      <w:r w:rsidRPr="00A07F29">
        <w:rPr>
          <w:rFonts w:ascii="Times New Roman" w:eastAsia="Calibri" w:hAnsi="Times New Roman" w:cs="Times New Roman"/>
          <w:sz w:val="24"/>
          <w:szCs w:val="24"/>
        </w:rPr>
        <w:t xml:space="preserve"> izvesti lielo gauru perējumi. Jāņem vērā, ka konstatēti tikai sekmīgie pāri ar izvestiem mazuļiem; sugai raksturīgs augsts ligzdu postījumu gadījumu skaits (gan olu, gan mazuļu stadijās).</w:t>
      </w:r>
    </w:p>
    <w:p w14:paraId="233EC214" w14:textId="52F1852A" w:rsidR="00D06675" w:rsidRPr="00A07F29" w:rsidRDefault="00D06675" w:rsidP="00D06675">
      <w:pPr>
        <w:spacing w:after="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2008.</w:t>
      </w:r>
      <w:r w:rsidR="00C269D1">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gadā, DA plāna izstrādes laikā tikai DP “Daugavas loki” konstatēti </w:t>
      </w:r>
      <w:r w:rsidR="00C269D1">
        <w:rPr>
          <w:rFonts w:ascii="Times New Roman" w:eastAsia="Calibri" w:hAnsi="Times New Roman" w:cs="Times New Roman"/>
          <w:sz w:val="24"/>
          <w:szCs w:val="24"/>
        </w:rPr>
        <w:t>septiņi</w:t>
      </w:r>
      <w:r w:rsidRPr="00A07F29">
        <w:rPr>
          <w:rFonts w:ascii="Times New Roman" w:eastAsia="Calibri" w:hAnsi="Times New Roman" w:cs="Times New Roman"/>
          <w:sz w:val="24"/>
          <w:szCs w:val="24"/>
        </w:rPr>
        <w:t xml:space="preserve"> izvesti lielo gauru perējumi (I.</w:t>
      </w:r>
      <w:r w:rsidR="0045554E">
        <w:rPr>
          <w:rFonts w:ascii="Times New Roman" w:eastAsia="Calibri" w:hAnsi="Times New Roman" w:cs="Times New Roman"/>
          <w:sz w:val="24"/>
          <w:szCs w:val="24"/>
        </w:rPr>
        <w:t> </w:t>
      </w:r>
      <w:r w:rsidRPr="00A07F29">
        <w:rPr>
          <w:rFonts w:ascii="Times New Roman" w:eastAsia="Calibri" w:hAnsi="Times New Roman" w:cs="Times New Roman"/>
          <w:sz w:val="24"/>
          <w:szCs w:val="24"/>
        </w:rPr>
        <w:t>Krams). Šajā pētījumā nav zināma uzskaite</w:t>
      </w:r>
      <w:r w:rsidR="0045554E">
        <w:rPr>
          <w:rFonts w:ascii="Times New Roman" w:eastAsia="Calibri" w:hAnsi="Times New Roman" w:cs="Times New Roman"/>
          <w:sz w:val="24"/>
          <w:szCs w:val="24"/>
        </w:rPr>
        <w:t>s</w:t>
      </w:r>
      <w:r w:rsidRPr="00A07F29">
        <w:rPr>
          <w:rFonts w:ascii="Times New Roman" w:eastAsia="Calibri" w:hAnsi="Times New Roman" w:cs="Times New Roman"/>
          <w:sz w:val="24"/>
          <w:szCs w:val="24"/>
        </w:rPr>
        <w:t xml:space="preserve"> metodika un pastāv varbūtība, ka viens un tas pats perējums uzskaitīts vairākkārt.</w:t>
      </w:r>
    </w:p>
    <w:p w14:paraId="39A832D0" w14:textId="168E7D38" w:rsidR="00D06675" w:rsidRPr="00A07F29" w:rsidRDefault="00D06675" w:rsidP="00D06675">
      <w:pPr>
        <w:spacing w:after="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Lai objektīvi spriestu par ligzdojošo lielo gauru skaitu, nepieciešams veikt uzskaites no laivas maksimāli īsā laika posmā. Tā kā Daugavā notiek aktīva pārvietošanās ar laivām, lielo gauru perējumi bieži maina savu atrašanās vietu pat vairāku kilometru attālumā.</w:t>
      </w:r>
    </w:p>
    <w:p w14:paraId="04B21C39" w14:textId="77777777" w:rsidR="00D06675" w:rsidRPr="00A07F29" w:rsidRDefault="00D06675" w:rsidP="00D06675">
      <w:pPr>
        <w:spacing w:after="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Līdz 20 īpatņiem regulāri ziemo neaizsalstošajā Daugavas posmā pie Krāslavas. Citas ziemošanas vietas teritorijā nav zināmas.</w:t>
      </w:r>
    </w:p>
    <w:p w14:paraId="3FF17533" w14:textId="481961CB" w:rsidR="00D06675" w:rsidRPr="00A07F29" w:rsidRDefault="00D06675" w:rsidP="00D06675">
      <w:pPr>
        <w:spacing w:after="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Teritorijā ligzdo 0,8</w:t>
      </w:r>
      <w:r w:rsidR="00491EAF">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491EAF">
        <w:rPr>
          <w:rFonts w:ascii="Times New Roman" w:eastAsia="Calibri" w:hAnsi="Times New Roman" w:cs="Times New Roman"/>
          <w:sz w:val="24"/>
          <w:szCs w:val="24"/>
        </w:rPr>
        <w:t> </w:t>
      </w:r>
      <w:r w:rsidRPr="00A07F29">
        <w:rPr>
          <w:rFonts w:ascii="Times New Roman" w:eastAsia="Calibri" w:hAnsi="Times New Roman" w:cs="Times New Roman"/>
          <w:sz w:val="24"/>
          <w:szCs w:val="24"/>
        </w:rPr>
        <w:t>1,3</w:t>
      </w:r>
      <w:r w:rsidR="00491EAF">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 no Latvijas populācijas un teritorijā esošās sugas populācijas attiecība (%) pret sugas populāciju </w:t>
      </w:r>
      <w:proofErr w:type="spellStart"/>
      <w:r w:rsidRPr="00A07F29">
        <w:rPr>
          <w:rFonts w:ascii="Times New Roman" w:eastAsia="Calibri" w:hAnsi="Times New Roman" w:cs="Times New Roman"/>
          <w:i/>
          <w:iCs/>
          <w:sz w:val="24"/>
          <w:szCs w:val="24"/>
        </w:rPr>
        <w:t>Natura</w:t>
      </w:r>
      <w:proofErr w:type="spellEnd"/>
      <w:r w:rsidRPr="00A07F29">
        <w:rPr>
          <w:rFonts w:ascii="Times New Roman" w:eastAsia="Calibri" w:hAnsi="Times New Roman" w:cs="Times New Roman"/>
          <w:i/>
          <w:iCs/>
          <w:sz w:val="24"/>
          <w:szCs w:val="24"/>
        </w:rPr>
        <w:t xml:space="preserve"> 2000</w:t>
      </w:r>
      <w:r w:rsidRPr="00A07F29">
        <w:rPr>
          <w:rFonts w:ascii="Times New Roman" w:eastAsia="Calibri" w:hAnsi="Times New Roman" w:cs="Times New Roman"/>
          <w:sz w:val="24"/>
          <w:szCs w:val="24"/>
        </w:rPr>
        <w:t xml:space="preserve"> teritorijās Latvijā kopumā veido pat 48</w:t>
      </w:r>
      <w:r w:rsidR="00491EAF">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491EAF">
        <w:rPr>
          <w:rFonts w:ascii="Times New Roman" w:eastAsia="Calibri" w:hAnsi="Times New Roman" w:cs="Times New Roman"/>
          <w:sz w:val="24"/>
          <w:szCs w:val="24"/>
        </w:rPr>
        <w:t> </w:t>
      </w:r>
      <w:r w:rsidRPr="00A07F29">
        <w:rPr>
          <w:rFonts w:ascii="Times New Roman" w:eastAsia="Calibri" w:hAnsi="Times New Roman" w:cs="Times New Roman"/>
          <w:sz w:val="24"/>
          <w:szCs w:val="24"/>
        </w:rPr>
        <w:t>60</w:t>
      </w:r>
      <w:r w:rsidR="00491EAF">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p>
    <w:p w14:paraId="0C2F9987" w14:textId="6EB9B0EE" w:rsidR="00D06675" w:rsidRPr="00A07F29" w:rsidRDefault="00D06675" w:rsidP="00D06675">
      <w:pPr>
        <w:spacing w:after="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Sugai </w:t>
      </w:r>
      <w:proofErr w:type="spellStart"/>
      <w:r w:rsidRPr="00A07F29">
        <w:rPr>
          <w:rFonts w:ascii="Times New Roman" w:eastAsia="Calibri" w:hAnsi="Times New Roman" w:cs="Times New Roman"/>
          <w:i/>
          <w:iCs/>
          <w:sz w:val="24"/>
          <w:szCs w:val="24"/>
        </w:rPr>
        <w:t>Natura</w:t>
      </w:r>
      <w:proofErr w:type="spellEnd"/>
      <w:r w:rsidRPr="00A07F29">
        <w:rPr>
          <w:rFonts w:ascii="Times New Roman" w:eastAsia="Calibri" w:hAnsi="Times New Roman" w:cs="Times New Roman"/>
          <w:i/>
          <w:iCs/>
          <w:sz w:val="24"/>
          <w:szCs w:val="24"/>
        </w:rPr>
        <w:t xml:space="preserve"> 2000</w:t>
      </w:r>
      <w:r w:rsidRPr="00A07F29">
        <w:rPr>
          <w:rFonts w:ascii="Times New Roman" w:eastAsia="Calibri" w:hAnsi="Times New Roman" w:cs="Times New Roman"/>
          <w:sz w:val="24"/>
          <w:szCs w:val="24"/>
        </w:rPr>
        <w:t xml:space="preserve"> </w:t>
      </w:r>
      <w:r w:rsidR="00660014">
        <w:rPr>
          <w:rFonts w:ascii="Times New Roman" w:eastAsia="Calibri" w:hAnsi="Times New Roman" w:cs="Times New Roman"/>
          <w:sz w:val="24"/>
          <w:szCs w:val="24"/>
        </w:rPr>
        <w:t>SDF</w:t>
      </w:r>
      <w:r w:rsidRPr="00A07F29">
        <w:rPr>
          <w:rFonts w:ascii="Times New Roman" w:eastAsia="Calibri" w:hAnsi="Times New Roman" w:cs="Times New Roman"/>
          <w:sz w:val="24"/>
          <w:szCs w:val="24"/>
        </w:rPr>
        <w:t xml:space="preserve"> precizēts minimālais un maksimālais populācijas lielums: 6</w:t>
      </w:r>
      <w:r w:rsidR="00C30575">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C30575">
        <w:rPr>
          <w:rFonts w:ascii="Times New Roman" w:eastAsia="Calibri" w:hAnsi="Times New Roman" w:cs="Times New Roman"/>
          <w:sz w:val="24"/>
          <w:szCs w:val="24"/>
        </w:rPr>
        <w:t> </w:t>
      </w:r>
      <w:r w:rsidRPr="00A07F29">
        <w:rPr>
          <w:rFonts w:ascii="Times New Roman" w:eastAsia="Calibri" w:hAnsi="Times New Roman" w:cs="Times New Roman"/>
          <w:sz w:val="24"/>
          <w:szCs w:val="24"/>
        </w:rPr>
        <w:t>10 ligzdojoši pāri. Iepriekšējais skaita vērtējums teritorijā: 1</w:t>
      </w:r>
      <w:r w:rsidR="00C30575">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C30575">
        <w:rPr>
          <w:rFonts w:ascii="Times New Roman" w:eastAsia="Calibri" w:hAnsi="Times New Roman" w:cs="Times New Roman"/>
          <w:sz w:val="24"/>
          <w:szCs w:val="24"/>
        </w:rPr>
        <w:t> </w:t>
      </w:r>
      <w:r w:rsidRPr="00A07F29">
        <w:rPr>
          <w:rFonts w:ascii="Times New Roman" w:eastAsia="Calibri" w:hAnsi="Times New Roman" w:cs="Times New Roman"/>
          <w:sz w:val="24"/>
          <w:szCs w:val="24"/>
        </w:rPr>
        <w:t>10 pāri, uzskatāms par neprecīzu; nav pamata uzskatīt, ka teritorijā ligzdojošo lielo gauru populācija ir pieaugusi.</w:t>
      </w:r>
    </w:p>
    <w:p w14:paraId="588F97E0" w14:textId="77777777" w:rsidR="00D06675" w:rsidRPr="00A07F29" w:rsidRDefault="00D06675" w:rsidP="000F31D9">
      <w:pPr>
        <w:spacing w:after="120" w:line="240" w:lineRule="auto"/>
        <w:ind w:firstLine="851"/>
        <w:jc w:val="both"/>
        <w:rPr>
          <w:rFonts w:ascii="Times New Roman" w:eastAsia="Times New Roman" w:hAnsi="Times New Roman" w:cs="Times New Roman"/>
          <w:bCs/>
          <w:iCs/>
          <w:sz w:val="24"/>
          <w:szCs w:val="24"/>
        </w:rPr>
        <w:sectPr w:rsidR="00D06675" w:rsidRPr="00A07F29" w:rsidSect="00EB6EE6">
          <w:pgSz w:w="11906" w:h="16838"/>
          <w:pgMar w:top="1134" w:right="1134" w:bottom="1134" w:left="1418" w:header="709" w:footer="709" w:gutter="0"/>
          <w:cols w:space="708"/>
          <w:docGrid w:linePitch="360"/>
        </w:sectPr>
      </w:pPr>
    </w:p>
    <w:p w14:paraId="55D6D794" w14:textId="33E82910" w:rsidR="004F2FB2" w:rsidRPr="00A07F29" w:rsidRDefault="000F31D9" w:rsidP="0037188D">
      <w:pPr>
        <w:widowControl w:val="0"/>
        <w:autoSpaceDE w:val="0"/>
        <w:spacing w:after="120" w:line="240" w:lineRule="auto"/>
        <w:jc w:val="center"/>
        <w:rPr>
          <w:rFonts w:ascii="Times New Roman" w:eastAsia="Calibri" w:hAnsi="Times New Roman"/>
          <w:b/>
          <w:bCs/>
          <w:sz w:val="20"/>
          <w:szCs w:val="20"/>
        </w:rPr>
      </w:pPr>
      <w:r w:rsidRPr="00A07F29">
        <w:rPr>
          <w:rFonts w:ascii="Times New Roman" w:eastAsia="Times New Roman" w:hAnsi="Times New Roman" w:cs="Times New Roman"/>
          <w:bCs/>
          <w:iCs/>
          <w:sz w:val="24"/>
          <w:szCs w:val="24"/>
        </w:rPr>
        <w:lastRenderedPageBreak/>
        <w:t>4.10.2.</w:t>
      </w:r>
      <w:r w:rsidR="004D5866">
        <w:rPr>
          <w:rFonts w:ascii="Times New Roman" w:eastAsia="Times New Roman" w:hAnsi="Times New Roman" w:cs="Times New Roman"/>
          <w:bCs/>
          <w:iCs/>
          <w:sz w:val="24"/>
          <w:szCs w:val="24"/>
        </w:rPr>
        <w:t>2</w:t>
      </w:r>
      <w:r w:rsidRPr="00A07F29">
        <w:rPr>
          <w:rFonts w:ascii="Times New Roman" w:eastAsia="Times New Roman" w:hAnsi="Times New Roman" w:cs="Times New Roman"/>
          <w:bCs/>
          <w:iCs/>
          <w:sz w:val="24"/>
          <w:szCs w:val="24"/>
        </w:rPr>
        <w:t>.</w:t>
      </w:r>
      <w:r w:rsidR="00C30575">
        <w:rPr>
          <w:rFonts w:ascii="Times New Roman" w:eastAsia="Times New Roman" w:hAnsi="Times New Roman" w:cs="Times New Roman"/>
          <w:bCs/>
          <w:iCs/>
          <w:sz w:val="24"/>
          <w:szCs w:val="24"/>
        </w:rPr>
        <w:t> </w:t>
      </w:r>
      <w:r w:rsidRPr="00A07F29">
        <w:rPr>
          <w:rFonts w:ascii="Times New Roman" w:eastAsia="Times New Roman" w:hAnsi="Times New Roman" w:cs="Times New Roman"/>
          <w:bCs/>
          <w:iCs/>
          <w:sz w:val="24"/>
          <w:szCs w:val="24"/>
        </w:rPr>
        <w:t xml:space="preserve">tabula. </w:t>
      </w:r>
      <w:r w:rsidR="004F2FB2" w:rsidRPr="00A07F29">
        <w:rPr>
          <w:rFonts w:ascii="Times New Roman" w:eastAsia="Calibri" w:hAnsi="Times New Roman"/>
          <w:b/>
          <w:bCs/>
          <w:sz w:val="24"/>
          <w:szCs w:val="24"/>
        </w:rPr>
        <w:t>Īpaši aizsargājamās putnu sugas teritorijā un to aizsardzības statuss</w:t>
      </w:r>
    </w:p>
    <w:tbl>
      <w:tblPr>
        <w:tblW w:w="13609" w:type="dxa"/>
        <w:jc w:val="center"/>
        <w:tblLayout w:type="fixed"/>
        <w:tblCellMar>
          <w:left w:w="10" w:type="dxa"/>
          <w:right w:w="10" w:type="dxa"/>
        </w:tblCellMar>
        <w:tblLook w:val="0000" w:firstRow="0" w:lastRow="0" w:firstColumn="0" w:lastColumn="0" w:noHBand="0" w:noVBand="0"/>
      </w:tblPr>
      <w:tblGrid>
        <w:gridCol w:w="619"/>
        <w:gridCol w:w="1786"/>
        <w:gridCol w:w="2126"/>
        <w:gridCol w:w="1701"/>
        <w:gridCol w:w="1560"/>
        <w:gridCol w:w="1275"/>
        <w:gridCol w:w="1276"/>
        <w:gridCol w:w="1843"/>
        <w:gridCol w:w="1423"/>
      </w:tblGrid>
      <w:tr w:rsidR="004F2FB2" w:rsidRPr="00A07F29" w14:paraId="55A8FF37" w14:textId="77777777" w:rsidTr="0037188D">
        <w:trPr>
          <w:jc w:val="center"/>
        </w:trPr>
        <w:tc>
          <w:tcPr>
            <w:tcW w:w="61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1AC871" w14:textId="77777777" w:rsidR="004F2FB2" w:rsidRPr="00A07F29" w:rsidRDefault="004F2FB2" w:rsidP="004F2FB2">
            <w:pPr>
              <w:widowControl w:val="0"/>
              <w:autoSpaceDE w:val="0"/>
              <w:spacing w:after="0" w:line="240" w:lineRule="auto"/>
              <w:rPr>
                <w:rFonts w:ascii="Times New Roman" w:eastAsia="Calibri" w:hAnsi="Times New Roman" w:cs="Times New Roman"/>
                <w:bCs/>
                <w:sz w:val="20"/>
                <w:szCs w:val="20"/>
              </w:rPr>
            </w:pPr>
            <w:r w:rsidRPr="00A07F29">
              <w:rPr>
                <w:rFonts w:ascii="Times New Roman" w:hAnsi="Times New Roman" w:cs="Times New Roman"/>
                <w:sz w:val="20"/>
                <w:szCs w:val="20"/>
              </w:rPr>
              <w:br w:type="page"/>
            </w:r>
            <w:r w:rsidRPr="00A07F29">
              <w:rPr>
                <w:rFonts w:ascii="Times New Roman" w:eastAsia="Calibri" w:hAnsi="Times New Roman" w:cs="Times New Roman"/>
                <w:bCs/>
                <w:sz w:val="20"/>
                <w:szCs w:val="20"/>
              </w:rPr>
              <w:t>Nr.</w:t>
            </w:r>
          </w:p>
          <w:p w14:paraId="3F884BA7" w14:textId="77777777" w:rsidR="004F2FB2" w:rsidRPr="00A07F29" w:rsidRDefault="004F2FB2" w:rsidP="004F2FB2">
            <w:pPr>
              <w:widowControl w:val="0"/>
              <w:autoSpaceDE w:val="0"/>
              <w:spacing w:after="0" w:line="240" w:lineRule="auto"/>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p.k.</w:t>
            </w:r>
          </w:p>
        </w:tc>
        <w:tc>
          <w:tcPr>
            <w:tcW w:w="17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CB0CC6" w14:textId="77777777" w:rsidR="004F2FB2" w:rsidRPr="00A07F29" w:rsidRDefault="004F2FB2" w:rsidP="0037188D">
            <w:pPr>
              <w:widowControl w:val="0"/>
              <w:autoSpaceDE w:val="0"/>
              <w:spacing w:after="0" w:line="240" w:lineRule="auto"/>
              <w:ind w:left="-23"/>
              <w:jc w:val="both"/>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 xml:space="preserve">Sugas nosaukums latviski </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B5F03C" w14:textId="77777777" w:rsidR="004F2FB2" w:rsidRPr="00A07F29" w:rsidRDefault="004F2FB2" w:rsidP="0037188D">
            <w:pPr>
              <w:widowControl w:val="0"/>
              <w:autoSpaceDE w:val="0"/>
              <w:spacing w:after="0" w:line="240" w:lineRule="auto"/>
              <w:jc w:val="both"/>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Sugas nosaukums latīniski</w:t>
            </w: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CDDB48"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Sugas aizsardzības statuss valstī</w:t>
            </w:r>
          </w:p>
        </w:tc>
        <w:tc>
          <w:tcPr>
            <w:tcW w:w="127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621672" w14:textId="77777777" w:rsidR="004F2FB2" w:rsidRPr="00A07F29" w:rsidRDefault="004F2FB2" w:rsidP="0037188D">
            <w:pPr>
              <w:widowControl w:val="0"/>
              <w:autoSpaceDE w:val="0"/>
              <w:spacing w:after="0" w:line="240" w:lineRule="auto"/>
              <w:jc w:val="both"/>
              <w:rPr>
                <w:rFonts w:ascii="Times New Roman" w:hAnsi="Times New Roman" w:cs="Times New Roman"/>
                <w:sz w:val="20"/>
                <w:szCs w:val="20"/>
              </w:rPr>
            </w:pPr>
            <w:r w:rsidRPr="00A07F29">
              <w:rPr>
                <w:rFonts w:ascii="Times New Roman" w:eastAsia="Calibri" w:hAnsi="Times New Roman" w:cs="Times New Roman"/>
                <w:bCs/>
                <w:sz w:val="20"/>
                <w:szCs w:val="20"/>
              </w:rPr>
              <w:t>Putniem nozīmīgās vietas kvalificējoša suga teritorijā</w:t>
            </w:r>
            <w:r w:rsidRPr="00A07F29">
              <w:rPr>
                <w:rStyle w:val="FootnoteReference"/>
                <w:rFonts w:ascii="Times New Roman" w:eastAsia="Calibri" w:hAnsi="Times New Roman" w:cs="Times New Roman"/>
                <w:bCs/>
                <w:sz w:val="20"/>
                <w:szCs w:val="20"/>
              </w:rPr>
              <w:footnoteReference w:id="47"/>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040395" w14:textId="77777777" w:rsidR="004F2FB2" w:rsidRPr="00A07F29" w:rsidRDefault="004F2FB2" w:rsidP="0037188D">
            <w:pPr>
              <w:widowControl w:val="0"/>
              <w:autoSpaceDE w:val="0"/>
              <w:spacing w:after="0" w:line="240" w:lineRule="auto"/>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Sugas labvēlīga aizsardzības stāvokļa novērtējums valstī kopumā (atbilstoši ETC datiem, tikai Biotopu direktīvas pielikumos iekļautajām sugām)</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F0A4D5D" w14:textId="49420262" w:rsidR="004F2FB2" w:rsidRPr="00A07F29" w:rsidRDefault="004F2FB2" w:rsidP="0037188D">
            <w:pPr>
              <w:widowControl w:val="0"/>
              <w:autoSpaceDE w:val="0"/>
              <w:spacing w:after="0" w:line="240" w:lineRule="auto"/>
              <w:rPr>
                <w:rFonts w:ascii="Times New Roman" w:hAnsi="Times New Roman" w:cs="Times New Roman"/>
                <w:sz w:val="20"/>
                <w:szCs w:val="20"/>
              </w:rPr>
            </w:pPr>
            <w:r w:rsidRPr="00A07F29">
              <w:rPr>
                <w:rFonts w:ascii="Times New Roman" w:eastAsia="Calibri" w:hAnsi="Times New Roman" w:cs="Times New Roman"/>
                <w:bCs/>
                <w:sz w:val="20"/>
                <w:szCs w:val="20"/>
              </w:rPr>
              <w:t xml:space="preserve">Putnu populācijas īstermiņa/ilgtermiņa tendence valstī </w:t>
            </w:r>
            <w:r w:rsidR="00A50101">
              <w:rPr>
                <w:rFonts w:ascii="Times New Roman" w:eastAsia="Calibri" w:hAnsi="Times New Roman" w:cs="Times New Roman"/>
                <w:bCs/>
                <w:sz w:val="20"/>
                <w:szCs w:val="20"/>
              </w:rPr>
              <w:t xml:space="preserve">– </w:t>
            </w:r>
            <w:r w:rsidRPr="00A07F29">
              <w:rPr>
                <w:rFonts w:ascii="Times New Roman" w:eastAsia="Calibri" w:hAnsi="Times New Roman" w:cs="Times New Roman"/>
                <w:bCs/>
                <w:sz w:val="20"/>
                <w:szCs w:val="20"/>
              </w:rPr>
              <w:t>tikai ligzdojošām sugām (atbilstoši Putnu direktīvas ziņojumam 2013.</w:t>
            </w:r>
            <w:r w:rsidR="0037188D" w:rsidRPr="00A07F29">
              <w:rPr>
                <w:rFonts w:ascii="Times New Roman" w:eastAsia="Calibri" w:hAnsi="Times New Roman" w:cs="Times New Roman"/>
                <w:bCs/>
                <w:sz w:val="20"/>
                <w:szCs w:val="20"/>
              </w:rPr>
              <w:t>-</w:t>
            </w:r>
            <w:r w:rsidRPr="00A07F29">
              <w:rPr>
                <w:rFonts w:ascii="Times New Roman" w:eastAsia="Calibri" w:hAnsi="Times New Roman" w:cs="Times New Roman"/>
                <w:bCs/>
                <w:sz w:val="20"/>
                <w:szCs w:val="20"/>
              </w:rPr>
              <w:t>2018.</w:t>
            </w:r>
            <w:r w:rsidRPr="00A07F29">
              <w:rPr>
                <w:rStyle w:val="FootnoteReference"/>
                <w:rFonts w:ascii="Times New Roman" w:eastAsia="Calibri" w:hAnsi="Times New Roman" w:cs="Times New Roman"/>
                <w:bCs/>
                <w:sz w:val="20"/>
                <w:szCs w:val="20"/>
              </w:rPr>
              <w:footnoteReference w:id="48"/>
            </w:r>
            <w:r w:rsidRPr="00A07F29">
              <w:rPr>
                <w:rFonts w:ascii="Times New Roman" w:eastAsia="Calibri" w:hAnsi="Times New Roman" w:cs="Times New Roman"/>
                <w:bCs/>
                <w:sz w:val="20"/>
                <w:szCs w:val="20"/>
              </w:rPr>
              <w:t>)</w:t>
            </w:r>
          </w:p>
        </w:tc>
        <w:tc>
          <w:tcPr>
            <w:tcW w:w="142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946A15B" w14:textId="77777777" w:rsidR="004F2FB2" w:rsidRPr="00A07F29" w:rsidRDefault="004F2FB2" w:rsidP="0037188D">
            <w:pPr>
              <w:widowControl w:val="0"/>
              <w:autoSpaceDE w:val="0"/>
              <w:spacing w:after="0" w:line="240" w:lineRule="auto"/>
              <w:rPr>
                <w:rFonts w:ascii="Times New Roman" w:hAnsi="Times New Roman" w:cs="Times New Roman"/>
                <w:sz w:val="20"/>
                <w:szCs w:val="20"/>
              </w:rPr>
            </w:pPr>
            <w:r w:rsidRPr="00A07F29">
              <w:rPr>
                <w:rFonts w:ascii="Times New Roman" w:eastAsia="Calibri" w:hAnsi="Times New Roman" w:cs="Times New Roman"/>
                <w:bCs/>
                <w:sz w:val="20"/>
                <w:szCs w:val="20"/>
              </w:rPr>
              <w:t xml:space="preserve">Putnu populācijas aizsardzības stāvoklis Eiropā (atbilstoši </w:t>
            </w:r>
            <w:proofErr w:type="spellStart"/>
            <w:r w:rsidRPr="00A07F29">
              <w:rPr>
                <w:rFonts w:ascii="Times New Roman" w:eastAsia="Calibri" w:hAnsi="Times New Roman" w:cs="Times New Roman"/>
                <w:bCs/>
                <w:sz w:val="20"/>
                <w:szCs w:val="20"/>
              </w:rPr>
              <w:t>European</w:t>
            </w:r>
            <w:proofErr w:type="spellEnd"/>
            <w:r w:rsidRPr="00A07F29">
              <w:rPr>
                <w:rFonts w:ascii="Times New Roman" w:eastAsia="Calibri" w:hAnsi="Times New Roman" w:cs="Times New Roman"/>
                <w:bCs/>
                <w:sz w:val="20"/>
                <w:szCs w:val="20"/>
              </w:rPr>
              <w:t xml:space="preserve"> Red List </w:t>
            </w:r>
            <w:proofErr w:type="spellStart"/>
            <w:r w:rsidRPr="00A07F29">
              <w:rPr>
                <w:rFonts w:ascii="Times New Roman" w:eastAsia="Calibri" w:hAnsi="Times New Roman" w:cs="Times New Roman"/>
                <w:bCs/>
                <w:sz w:val="20"/>
                <w:szCs w:val="20"/>
              </w:rPr>
              <w:t>Category</w:t>
            </w:r>
            <w:proofErr w:type="spellEnd"/>
            <w:r w:rsidRPr="00A07F29">
              <w:rPr>
                <w:rStyle w:val="FootnoteReference"/>
                <w:rFonts w:ascii="Times New Roman" w:eastAsia="Calibri" w:hAnsi="Times New Roman" w:cs="Times New Roman"/>
                <w:bCs/>
                <w:sz w:val="20"/>
                <w:szCs w:val="20"/>
              </w:rPr>
              <w:footnoteReference w:id="49"/>
            </w:r>
            <w:r w:rsidRPr="00A07F29">
              <w:rPr>
                <w:rFonts w:ascii="Times New Roman" w:eastAsia="Calibri" w:hAnsi="Times New Roman" w:cs="Times New Roman"/>
                <w:bCs/>
                <w:sz w:val="20"/>
                <w:szCs w:val="20"/>
              </w:rPr>
              <w:t>)</w:t>
            </w:r>
          </w:p>
        </w:tc>
      </w:tr>
      <w:tr w:rsidR="004F2FB2" w:rsidRPr="00A07F29" w14:paraId="0333F11F" w14:textId="77777777" w:rsidTr="0037188D">
        <w:trPr>
          <w:cantSplit/>
          <w:trHeight w:val="2049"/>
          <w:jc w:val="center"/>
        </w:trPr>
        <w:tc>
          <w:tcPr>
            <w:tcW w:w="6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53D50B" w14:textId="77777777" w:rsidR="004F2FB2" w:rsidRPr="00A07F29" w:rsidRDefault="004F2FB2" w:rsidP="004F2FB2">
            <w:pPr>
              <w:widowControl w:val="0"/>
              <w:autoSpaceDE w:val="0"/>
              <w:spacing w:after="0" w:line="240" w:lineRule="auto"/>
              <w:rPr>
                <w:rFonts w:ascii="Times New Roman" w:eastAsia="Calibri" w:hAnsi="Times New Roman" w:cs="Times New Roman"/>
                <w:bCs/>
                <w:sz w:val="20"/>
                <w:szCs w:val="20"/>
              </w:rPr>
            </w:pPr>
          </w:p>
        </w:tc>
        <w:tc>
          <w:tcPr>
            <w:tcW w:w="17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20EEB2" w14:textId="77777777" w:rsidR="004F2FB2" w:rsidRPr="00A07F29" w:rsidRDefault="004F2FB2" w:rsidP="004F2FB2">
            <w:pPr>
              <w:widowControl w:val="0"/>
              <w:autoSpaceDE w:val="0"/>
              <w:spacing w:after="0" w:line="240" w:lineRule="auto"/>
              <w:ind w:left="-23"/>
              <w:jc w:val="both"/>
              <w:rPr>
                <w:rFonts w:ascii="Times New Roman" w:eastAsia="Calibri" w:hAnsi="Times New Roman" w:cs="Times New Roman"/>
                <w:bCs/>
                <w:sz w:val="20"/>
                <w:szCs w:val="20"/>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720B7D"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2F98AC" w14:textId="6C7C2A0B" w:rsidR="004F2FB2" w:rsidRPr="00A07F29" w:rsidRDefault="004F2FB2" w:rsidP="0037188D">
            <w:pPr>
              <w:widowControl w:val="0"/>
              <w:autoSpaceDE w:val="0"/>
              <w:spacing w:after="0" w:line="240" w:lineRule="auto"/>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 xml:space="preserve">Īpaši aizsargājama suga </w:t>
            </w:r>
          </w:p>
          <w:p w14:paraId="1700C54B" w14:textId="51A0D69D" w:rsidR="004F2FB2" w:rsidRPr="00A07F29" w:rsidRDefault="004F2FB2" w:rsidP="0037188D">
            <w:pPr>
              <w:widowControl w:val="0"/>
              <w:autoSpaceDE w:val="0"/>
              <w:spacing w:after="0" w:line="240" w:lineRule="auto"/>
              <w:rPr>
                <w:rFonts w:ascii="Times New Roman" w:hAnsi="Times New Roman" w:cs="Times New Roman"/>
                <w:sz w:val="20"/>
                <w:szCs w:val="20"/>
              </w:rPr>
            </w:pPr>
            <w:r w:rsidRPr="00A07F29">
              <w:rPr>
                <w:rFonts w:ascii="Times New Roman" w:eastAsia="Calibri" w:hAnsi="Times New Roman" w:cs="Times New Roman"/>
                <w:bCs/>
                <w:sz w:val="20"/>
                <w:szCs w:val="20"/>
              </w:rPr>
              <w:t xml:space="preserve">(ar </w:t>
            </w:r>
            <w:r w:rsidR="005C5264">
              <w:rPr>
                <w:rFonts w:ascii="Times New Roman" w:eastAsia="Calibri" w:hAnsi="Times New Roman" w:cs="Times New Roman"/>
                <w:bCs/>
                <w:sz w:val="20"/>
                <w:szCs w:val="20"/>
                <w:vertAlign w:val="superscript"/>
              </w:rPr>
              <w:t>1</w:t>
            </w:r>
            <w:r w:rsidRPr="00A07F29">
              <w:rPr>
                <w:rFonts w:ascii="Times New Roman" w:eastAsia="Calibri" w:hAnsi="Times New Roman" w:cs="Times New Roman"/>
                <w:bCs/>
                <w:sz w:val="20"/>
                <w:szCs w:val="20"/>
              </w:rPr>
              <w:t xml:space="preserve"> atzīmēt mikroliegumu sugas)</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9D9AAD" w14:textId="02F36175" w:rsidR="004F2FB2" w:rsidRPr="00A07F29" w:rsidRDefault="004F2FB2" w:rsidP="0037188D">
            <w:pPr>
              <w:widowControl w:val="0"/>
              <w:autoSpaceDE w:val="0"/>
              <w:spacing w:after="0" w:line="240" w:lineRule="auto"/>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Putnu direktīvas I pielikuma vai Biotopu direktīv</w:t>
            </w:r>
            <w:r w:rsidR="0087110A">
              <w:rPr>
                <w:rFonts w:ascii="Times New Roman" w:eastAsia="Calibri" w:hAnsi="Times New Roman" w:cs="Times New Roman"/>
                <w:bCs/>
                <w:sz w:val="20"/>
                <w:szCs w:val="20"/>
              </w:rPr>
              <w:t>as</w:t>
            </w:r>
            <w:r w:rsidRPr="00A07F29">
              <w:rPr>
                <w:rFonts w:ascii="Times New Roman" w:eastAsia="Calibri" w:hAnsi="Times New Roman" w:cs="Times New Roman"/>
                <w:bCs/>
                <w:sz w:val="20"/>
                <w:szCs w:val="20"/>
              </w:rPr>
              <w:t xml:space="preserve"> pielikumos iekļauta suga (ar * atzīmē Biotopu direktīvas prioritārās sugas)</w:t>
            </w:r>
          </w:p>
        </w:tc>
        <w:tc>
          <w:tcPr>
            <w:tcW w:w="127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439CD1"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E3B9B8"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7589FBD"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42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DF4CB9D"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r>
      <w:tr w:rsidR="004F2FB2" w:rsidRPr="00A07F29" w14:paraId="34D690D9" w14:textId="77777777" w:rsidTr="0037188D">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B5F6BE" w14:textId="77777777" w:rsidR="004F2FB2" w:rsidRPr="00A07F29" w:rsidRDefault="004F2FB2" w:rsidP="004F2FB2">
            <w:pPr>
              <w:widowControl w:val="0"/>
              <w:autoSpaceDE w:val="0"/>
              <w:spacing w:after="0" w:line="240" w:lineRule="auto"/>
              <w:ind w:left="36"/>
              <w:rPr>
                <w:rFonts w:ascii="Times New Roman" w:hAnsi="Times New Roman"/>
                <w:bCs/>
                <w:sz w:val="20"/>
                <w:szCs w:val="20"/>
              </w:rPr>
            </w:pPr>
            <w:r w:rsidRPr="00A07F29">
              <w:rPr>
                <w:rFonts w:ascii="Times New Roman" w:hAnsi="Times New Roman"/>
                <w:bCs/>
                <w:sz w:val="20"/>
                <w:szCs w:val="20"/>
              </w:rPr>
              <w:t>1.</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C7D7FB" w14:textId="77777777" w:rsidR="004F2FB2" w:rsidRPr="00A07F29" w:rsidRDefault="004F2FB2" w:rsidP="004F2FB2">
            <w:pPr>
              <w:widowControl w:val="0"/>
              <w:autoSpaceDE w:val="0"/>
              <w:spacing w:after="0" w:line="240" w:lineRule="auto"/>
              <w:ind w:left="-23"/>
              <w:jc w:val="both"/>
              <w:rPr>
                <w:rFonts w:ascii="Times New Roman" w:hAnsi="Times New Roman" w:cs="Times New Roman"/>
                <w:sz w:val="20"/>
                <w:szCs w:val="20"/>
              </w:rPr>
            </w:pPr>
            <w:r w:rsidRPr="00A07F29">
              <w:rPr>
                <w:rFonts w:ascii="Times New Roman" w:hAnsi="Times New Roman" w:cs="Times New Roman"/>
                <w:sz w:val="20"/>
                <w:szCs w:val="20"/>
              </w:rPr>
              <w:t>Ziemeļu gulbis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B57373"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proofErr w:type="spellStart"/>
            <w:r w:rsidRPr="00A07F29">
              <w:rPr>
                <w:rFonts w:ascii="Times New Roman" w:hAnsi="Times New Roman" w:cs="Times New Roman"/>
                <w:i/>
                <w:sz w:val="20"/>
                <w:szCs w:val="20"/>
              </w:rPr>
              <w:t>Cygnus</w:t>
            </w:r>
            <w:proofErr w:type="spellEnd"/>
            <w:r w:rsidRPr="00A07F29">
              <w:rPr>
                <w:rFonts w:ascii="Times New Roman" w:hAnsi="Times New Roman" w:cs="Times New Roman"/>
                <w:i/>
                <w:sz w:val="20"/>
                <w:szCs w:val="20"/>
              </w:rPr>
              <w:t xml:space="preserve"> </w:t>
            </w:r>
            <w:proofErr w:type="spellStart"/>
            <w:r w:rsidRPr="00A07F29">
              <w:rPr>
                <w:rFonts w:ascii="Times New Roman" w:hAnsi="Times New Roman" w:cs="Times New Roman"/>
                <w:i/>
                <w:sz w:val="20"/>
                <w:szCs w:val="20"/>
              </w:rPr>
              <w:t>cygnus</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1AF69D"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ĪAS</w:t>
            </w:r>
            <w:r w:rsidRPr="00A07F29">
              <w:rPr>
                <w:rFonts w:ascii="Times New Roman" w:hAnsi="Times New Roman" w:cs="Times New Roman"/>
                <w:sz w:val="20"/>
                <w:szCs w:val="20"/>
                <w:vertAlign w:val="superscript"/>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73DE31"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PD I</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1FF310"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BC90FD"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013347F"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r w:rsidRPr="00A07F29">
              <w:rPr>
                <w:rFonts w:ascii="Times New Roman" w:hAnsi="Times New Roman" w:cs="Times New Roman"/>
                <w:sz w:val="20"/>
                <w:szCs w:val="20"/>
              </w:rPr>
              <w:t>Pieaug/Pieaug</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BD1A5E7"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LC</w:t>
            </w:r>
          </w:p>
        </w:tc>
      </w:tr>
      <w:tr w:rsidR="004F2FB2" w:rsidRPr="00A07F29" w14:paraId="324AE7FB" w14:textId="77777777" w:rsidTr="0037188D">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7F94BF" w14:textId="77777777" w:rsidR="004F2FB2" w:rsidRPr="00A07F29" w:rsidRDefault="004F2FB2" w:rsidP="004F2FB2">
            <w:pPr>
              <w:widowControl w:val="0"/>
              <w:autoSpaceDE w:val="0"/>
              <w:spacing w:after="0" w:line="240" w:lineRule="auto"/>
              <w:ind w:left="36"/>
              <w:rPr>
                <w:rFonts w:ascii="Times New Roman" w:hAnsi="Times New Roman"/>
                <w:bCs/>
                <w:sz w:val="20"/>
                <w:szCs w:val="20"/>
              </w:rPr>
            </w:pPr>
            <w:r w:rsidRPr="00A07F29">
              <w:rPr>
                <w:rFonts w:ascii="Times New Roman" w:hAnsi="Times New Roman"/>
                <w:bCs/>
                <w:sz w:val="20"/>
                <w:szCs w:val="20"/>
              </w:rPr>
              <w:t>2.</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7A3AE8" w14:textId="77777777" w:rsidR="004F2FB2" w:rsidRPr="00A07F29" w:rsidRDefault="004F2FB2" w:rsidP="004F2FB2">
            <w:pPr>
              <w:widowControl w:val="0"/>
              <w:autoSpaceDE w:val="0"/>
              <w:spacing w:after="0" w:line="240" w:lineRule="auto"/>
              <w:ind w:left="-23"/>
              <w:jc w:val="both"/>
              <w:rPr>
                <w:rFonts w:ascii="Times New Roman" w:hAnsi="Times New Roman" w:cs="Times New Roman"/>
                <w:sz w:val="20"/>
                <w:szCs w:val="20"/>
              </w:rPr>
            </w:pPr>
            <w:proofErr w:type="spellStart"/>
            <w:r w:rsidRPr="00A07F29">
              <w:rPr>
                <w:rFonts w:ascii="Times New Roman" w:hAnsi="Times New Roman" w:cs="Times New Roman"/>
                <w:sz w:val="20"/>
                <w:szCs w:val="20"/>
              </w:rPr>
              <w:t>Baltpieres</w:t>
            </w:r>
            <w:proofErr w:type="spellEnd"/>
            <w:r w:rsidRPr="00A07F29">
              <w:rPr>
                <w:rFonts w:ascii="Times New Roman" w:hAnsi="Times New Roman" w:cs="Times New Roman"/>
                <w:sz w:val="20"/>
                <w:szCs w:val="20"/>
              </w:rPr>
              <w:t xml:space="preserve"> zoss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328FC0" w14:textId="77777777" w:rsidR="004F2FB2" w:rsidRPr="00A07F29" w:rsidRDefault="004F2FB2" w:rsidP="004F2FB2">
            <w:pPr>
              <w:widowControl w:val="0"/>
              <w:autoSpaceDE w:val="0"/>
              <w:spacing w:after="0" w:line="240" w:lineRule="auto"/>
              <w:jc w:val="both"/>
              <w:rPr>
                <w:rFonts w:ascii="Times New Roman" w:hAnsi="Times New Roman" w:cs="Times New Roman"/>
                <w:i/>
                <w:sz w:val="20"/>
                <w:szCs w:val="20"/>
              </w:rPr>
            </w:pPr>
            <w:proofErr w:type="spellStart"/>
            <w:r w:rsidRPr="00A07F29">
              <w:rPr>
                <w:rFonts w:ascii="Times New Roman" w:hAnsi="Times New Roman" w:cs="Times New Roman"/>
                <w:i/>
                <w:sz w:val="20"/>
                <w:szCs w:val="20"/>
              </w:rPr>
              <w:t>Anser</w:t>
            </w:r>
            <w:proofErr w:type="spellEnd"/>
            <w:r w:rsidRPr="00A07F29">
              <w:rPr>
                <w:rFonts w:ascii="Times New Roman" w:hAnsi="Times New Roman" w:cs="Times New Roman"/>
                <w:i/>
                <w:sz w:val="20"/>
                <w:szCs w:val="20"/>
              </w:rPr>
              <w:t xml:space="preserve"> </w:t>
            </w:r>
            <w:proofErr w:type="spellStart"/>
            <w:r w:rsidRPr="00A07F29">
              <w:rPr>
                <w:rFonts w:ascii="Times New Roman" w:hAnsi="Times New Roman" w:cs="Times New Roman"/>
                <w:i/>
                <w:sz w:val="20"/>
                <w:szCs w:val="20"/>
              </w:rPr>
              <w:t>albifrons</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C19ECD"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F60799"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PD II</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8E4C5A"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13F561"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EB97E87"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D37D74A"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r>
      <w:tr w:rsidR="004F2FB2" w:rsidRPr="00A07F29" w14:paraId="63B6DCDC" w14:textId="77777777" w:rsidTr="0037188D">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B26790" w14:textId="77777777" w:rsidR="004F2FB2" w:rsidRPr="00A07F29" w:rsidRDefault="004F2FB2" w:rsidP="004F2FB2">
            <w:pPr>
              <w:widowControl w:val="0"/>
              <w:autoSpaceDE w:val="0"/>
              <w:spacing w:after="0" w:line="240" w:lineRule="auto"/>
              <w:ind w:left="36"/>
              <w:rPr>
                <w:rFonts w:ascii="Times New Roman" w:hAnsi="Times New Roman"/>
                <w:bCs/>
                <w:sz w:val="20"/>
                <w:szCs w:val="20"/>
              </w:rPr>
            </w:pPr>
            <w:r w:rsidRPr="00A07F29">
              <w:rPr>
                <w:rFonts w:ascii="Times New Roman" w:hAnsi="Times New Roman"/>
                <w:bCs/>
                <w:sz w:val="20"/>
                <w:szCs w:val="20"/>
              </w:rPr>
              <w:t>3.</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3C0849" w14:textId="77777777" w:rsidR="004F2FB2" w:rsidRPr="00A07F29" w:rsidRDefault="004F2FB2" w:rsidP="004F2FB2">
            <w:pPr>
              <w:widowControl w:val="0"/>
              <w:autoSpaceDE w:val="0"/>
              <w:spacing w:after="0" w:line="240" w:lineRule="auto"/>
              <w:ind w:left="-23"/>
              <w:jc w:val="both"/>
              <w:rPr>
                <w:rFonts w:ascii="Times New Roman" w:hAnsi="Times New Roman" w:cs="Times New Roman"/>
                <w:sz w:val="20"/>
                <w:szCs w:val="20"/>
              </w:rPr>
            </w:pPr>
            <w:r w:rsidRPr="00A07F29">
              <w:rPr>
                <w:rFonts w:ascii="Times New Roman" w:hAnsi="Times New Roman" w:cs="Times New Roman"/>
                <w:sz w:val="20"/>
                <w:szCs w:val="20"/>
              </w:rPr>
              <w:t>Sējas zoss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168D7F" w14:textId="77777777" w:rsidR="004F2FB2" w:rsidRPr="00A07F29" w:rsidRDefault="004F2FB2" w:rsidP="004F2FB2">
            <w:pPr>
              <w:widowControl w:val="0"/>
              <w:autoSpaceDE w:val="0"/>
              <w:spacing w:after="0" w:line="240" w:lineRule="auto"/>
              <w:jc w:val="both"/>
              <w:rPr>
                <w:rFonts w:ascii="Times New Roman" w:hAnsi="Times New Roman" w:cs="Times New Roman"/>
                <w:i/>
                <w:sz w:val="20"/>
                <w:szCs w:val="20"/>
              </w:rPr>
            </w:pPr>
            <w:proofErr w:type="spellStart"/>
            <w:r w:rsidRPr="00A07F29">
              <w:rPr>
                <w:rFonts w:ascii="Times New Roman" w:hAnsi="Times New Roman" w:cs="Times New Roman"/>
                <w:i/>
                <w:sz w:val="20"/>
                <w:szCs w:val="20"/>
              </w:rPr>
              <w:t>Anser</w:t>
            </w:r>
            <w:proofErr w:type="spellEnd"/>
            <w:r w:rsidRPr="00A07F29">
              <w:rPr>
                <w:rFonts w:ascii="Times New Roman" w:hAnsi="Times New Roman" w:cs="Times New Roman"/>
                <w:i/>
                <w:sz w:val="20"/>
                <w:szCs w:val="20"/>
              </w:rPr>
              <w:t xml:space="preserve"> </w:t>
            </w:r>
            <w:proofErr w:type="spellStart"/>
            <w:r w:rsidRPr="00A07F29">
              <w:rPr>
                <w:rFonts w:ascii="Times New Roman" w:hAnsi="Times New Roman" w:cs="Times New Roman"/>
                <w:i/>
                <w:sz w:val="20"/>
                <w:szCs w:val="20"/>
              </w:rPr>
              <w:t>fabalis</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3F04B9"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A500E8"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PD II</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2073A3"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010643"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765A0E34"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7DFE73C"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r>
      <w:tr w:rsidR="004F2FB2" w:rsidRPr="00A07F29" w14:paraId="7D7A9F13" w14:textId="77777777" w:rsidTr="0037188D">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43CBB2" w14:textId="77777777" w:rsidR="004F2FB2" w:rsidRPr="00A07F29" w:rsidRDefault="004F2FB2" w:rsidP="004F2FB2">
            <w:pPr>
              <w:widowControl w:val="0"/>
              <w:autoSpaceDE w:val="0"/>
              <w:spacing w:after="0" w:line="240" w:lineRule="auto"/>
              <w:ind w:left="36"/>
              <w:rPr>
                <w:rFonts w:ascii="Times New Roman" w:hAnsi="Times New Roman"/>
                <w:bCs/>
                <w:sz w:val="20"/>
                <w:szCs w:val="20"/>
              </w:rPr>
            </w:pPr>
            <w:r w:rsidRPr="00A07F29">
              <w:rPr>
                <w:rFonts w:ascii="Times New Roman" w:hAnsi="Times New Roman"/>
                <w:bCs/>
                <w:sz w:val="20"/>
                <w:szCs w:val="20"/>
              </w:rPr>
              <w:t>4.</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EA5B75" w14:textId="77777777" w:rsidR="004F2FB2" w:rsidRPr="00A07F29" w:rsidRDefault="004F2FB2" w:rsidP="004F2FB2">
            <w:pPr>
              <w:widowControl w:val="0"/>
              <w:autoSpaceDE w:val="0"/>
              <w:spacing w:after="0" w:line="240" w:lineRule="auto"/>
              <w:ind w:left="-23"/>
              <w:jc w:val="both"/>
              <w:rPr>
                <w:rFonts w:ascii="Times New Roman" w:hAnsi="Times New Roman" w:cs="Times New Roman"/>
                <w:sz w:val="20"/>
                <w:szCs w:val="20"/>
              </w:rPr>
            </w:pPr>
            <w:r w:rsidRPr="00A07F29">
              <w:rPr>
                <w:rFonts w:ascii="Times New Roman" w:hAnsi="Times New Roman" w:cs="Times New Roman"/>
                <w:sz w:val="20"/>
                <w:szCs w:val="20"/>
              </w:rPr>
              <w:t>Lielā gaura</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C371A5"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proofErr w:type="spellStart"/>
            <w:r w:rsidRPr="00A07F29">
              <w:rPr>
                <w:rFonts w:ascii="Times New Roman" w:hAnsi="Times New Roman" w:cs="Times New Roman"/>
                <w:i/>
                <w:sz w:val="20"/>
                <w:szCs w:val="20"/>
              </w:rPr>
              <w:t>Mergus</w:t>
            </w:r>
            <w:proofErr w:type="spellEnd"/>
            <w:r w:rsidRPr="00A07F29">
              <w:rPr>
                <w:rFonts w:ascii="Times New Roman" w:hAnsi="Times New Roman" w:cs="Times New Roman"/>
                <w:i/>
                <w:sz w:val="20"/>
                <w:szCs w:val="20"/>
              </w:rPr>
              <w:t xml:space="preserve"> </w:t>
            </w:r>
            <w:proofErr w:type="spellStart"/>
            <w:r w:rsidRPr="00A07F29">
              <w:rPr>
                <w:rFonts w:ascii="Times New Roman" w:hAnsi="Times New Roman" w:cs="Times New Roman"/>
                <w:i/>
                <w:sz w:val="20"/>
                <w:szCs w:val="20"/>
              </w:rPr>
              <w:t>merganser</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EB8E20"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ĪAS</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B82A88"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PD II</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447320"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019D04"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9F18F2C"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Stabils/Pieaug</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30E7A68"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LC</w:t>
            </w:r>
          </w:p>
        </w:tc>
      </w:tr>
      <w:tr w:rsidR="004F2FB2" w:rsidRPr="00A07F29" w14:paraId="7A144004" w14:textId="77777777" w:rsidTr="0037188D">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359E0D" w14:textId="77777777" w:rsidR="004F2FB2" w:rsidRPr="00A07F29" w:rsidRDefault="004F2FB2" w:rsidP="004F2FB2">
            <w:pPr>
              <w:widowControl w:val="0"/>
              <w:autoSpaceDE w:val="0"/>
              <w:spacing w:after="0" w:line="240" w:lineRule="auto"/>
              <w:ind w:left="36"/>
              <w:rPr>
                <w:rFonts w:ascii="Times New Roman" w:hAnsi="Times New Roman"/>
                <w:bCs/>
                <w:sz w:val="20"/>
                <w:szCs w:val="20"/>
              </w:rPr>
            </w:pPr>
            <w:r w:rsidRPr="00A07F29">
              <w:rPr>
                <w:rFonts w:ascii="Times New Roman" w:hAnsi="Times New Roman"/>
                <w:bCs/>
                <w:sz w:val="20"/>
                <w:szCs w:val="20"/>
              </w:rPr>
              <w:t>5.</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FD4631" w14:textId="77777777" w:rsidR="004F2FB2" w:rsidRPr="00A07F29" w:rsidRDefault="004F2FB2" w:rsidP="004F2FB2">
            <w:pPr>
              <w:widowControl w:val="0"/>
              <w:autoSpaceDE w:val="0"/>
              <w:spacing w:after="0" w:line="240" w:lineRule="auto"/>
              <w:ind w:left="-23"/>
              <w:jc w:val="both"/>
              <w:rPr>
                <w:rFonts w:ascii="Times New Roman" w:hAnsi="Times New Roman" w:cs="Times New Roman"/>
                <w:sz w:val="20"/>
                <w:szCs w:val="20"/>
              </w:rPr>
            </w:pPr>
            <w:r w:rsidRPr="00A07F29">
              <w:rPr>
                <w:rFonts w:ascii="Times New Roman" w:hAnsi="Times New Roman" w:cs="Times New Roman"/>
                <w:sz w:val="20"/>
                <w:szCs w:val="20"/>
              </w:rPr>
              <w:t>Laukirbe</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7AAE1A" w14:textId="77777777" w:rsidR="004F2FB2" w:rsidRPr="00A07F29" w:rsidRDefault="004F2FB2" w:rsidP="004F2FB2">
            <w:pPr>
              <w:widowControl w:val="0"/>
              <w:autoSpaceDE w:val="0"/>
              <w:spacing w:after="0" w:line="240" w:lineRule="auto"/>
              <w:jc w:val="both"/>
              <w:rPr>
                <w:rFonts w:ascii="Times New Roman" w:hAnsi="Times New Roman" w:cs="Times New Roman"/>
                <w:i/>
                <w:sz w:val="20"/>
                <w:szCs w:val="20"/>
              </w:rPr>
            </w:pPr>
            <w:proofErr w:type="spellStart"/>
            <w:r w:rsidRPr="00A07F29">
              <w:rPr>
                <w:rFonts w:ascii="Times New Roman" w:hAnsi="Times New Roman" w:cs="Times New Roman"/>
                <w:i/>
                <w:sz w:val="20"/>
                <w:szCs w:val="20"/>
              </w:rPr>
              <w:t>Perdix</w:t>
            </w:r>
            <w:proofErr w:type="spellEnd"/>
            <w:r w:rsidRPr="00A07F29">
              <w:rPr>
                <w:rFonts w:ascii="Times New Roman" w:hAnsi="Times New Roman" w:cs="Times New Roman"/>
                <w:i/>
                <w:sz w:val="20"/>
                <w:szCs w:val="20"/>
              </w:rPr>
              <w:t xml:space="preserve"> </w:t>
            </w:r>
            <w:proofErr w:type="spellStart"/>
            <w:r w:rsidRPr="00A07F29">
              <w:rPr>
                <w:rFonts w:ascii="Times New Roman" w:hAnsi="Times New Roman" w:cs="Times New Roman"/>
                <w:i/>
                <w:sz w:val="20"/>
                <w:szCs w:val="20"/>
              </w:rPr>
              <w:t>perdix</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75EF4A"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ĪAS</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69CD8A"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PD II</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FEF0F0"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6DFDCD"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18AEA0C7"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Stabils/Samazinās</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E5ABD11"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LC</w:t>
            </w:r>
          </w:p>
        </w:tc>
      </w:tr>
      <w:tr w:rsidR="004F2FB2" w:rsidRPr="00A07F29" w14:paraId="6708C0D8" w14:textId="77777777" w:rsidTr="0037188D">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E8C99E" w14:textId="77777777" w:rsidR="004F2FB2" w:rsidRPr="00A07F29" w:rsidRDefault="004F2FB2" w:rsidP="004F2FB2">
            <w:pPr>
              <w:widowControl w:val="0"/>
              <w:autoSpaceDE w:val="0"/>
              <w:spacing w:after="0" w:line="240" w:lineRule="auto"/>
              <w:ind w:left="36"/>
              <w:rPr>
                <w:rFonts w:ascii="Times New Roman" w:hAnsi="Times New Roman"/>
                <w:bCs/>
                <w:sz w:val="20"/>
                <w:szCs w:val="20"/>
              </w:rPr>
            </w:pPr>
            <w:r w:rsidRPr="00A07F29">
              <w:rPr>
                <w:rFonts w:ascii="Times New Roman" w:hAnsi="Times New Roman"/>
                <w:bCs/>
                <w:sz w:val="20"/>
                <w:szCs w:val="20"/>
              </w:rPr>
              <w:t>6.</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8BAF73" w14:textId="77777777" w:rsidR="004F2FB2" w:rsidRPr="00A07F29" w:rsidRDefault="004F2FB2" w:rsidP="004F2FB2">
            <w:pPr>
              <w:widowControl w:val="0"/>
              <w:autoSpaceDE w:val="0"/>
              <w:spacing w:after="0" w:line="240" w:lineRule="auto"/>
              <w:ind w:left="-23"/>
              <w:jc w:val="both"/>
              <w:rPr>
                <w:rFonts w:ascii="Times New Roman" w:hAnsi="Times New Roman" w:cs="Times New Roman"/>
                <w:sz w:val="20"/>
                <w:szCs w:val="20"/>
              </w:rPr>
            </w:pPr>
            <w:r w:rsidRPr="00A07F29">
              <w:rPr>
                <w:rFonts w:ascii="Times New Roman" w:hAnsi="Times New Roman" w:cs="Times New Roman"/>
                <w:sz w:val="20"/>
                <w:szCs w:val="20"/>
              </w:rPr>
              <w:t>Paipala</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D6D520" w14:textId="77777777" w:rsidR="004F2FB2" w:rsidRPr="00A07F29" w:rsidRDefault="004F2FB2" w:rsidP="004F2FB2">
            <w:pPr>
              <w:widowControl w:val="0"/>
              <w:autoSpaceDE w:val="0"/>
              <w:spacing w:after="0" w:line="240" w:lineRule="auto"/>
              <w:jc w:val="both"/>
              <w:rPr>
                <w:rFonts w:ascii="Times New Roman" w:hAnsi="Times New Roman" w:cs="Times New Roman"/>
                <w:i/>
                <w:sz w:val="20"/>
                <w:szCs w:val="20"/>
              </w:rPr>
            </w:pPr>
            <w:proofErr w:type="spellStart"/>
            <w:r w:rsidRPr="00A07F29">
              <w:rPr>
                <w:rFonts w:ascii="Times New Roman" w:hAnsi="Times New Roman" w:cs="Times New Roman"/>
                <w:i/>
                <w:sz w:val="20"/>
                <w:szCs w:val="20"/>
              </w:rPr>
              <w:t>Coturnix</w:t>
            </w:r>
            <w:proofErr w:type="spellEnd"/>
            <w:r w:rsidRPr="00A07F29">
              <w:rPr>
                <w:rFonts w:ascii="Times New Roman" w:hAnsi="Times New Roman" w:cs="Times New Roman"/>
                <w:i/>
                <w:sz w:val="20"/>
                <w:szCs w:val="20"/>
              </w:rPr>
              <w:t xml:space="preserve"> </w:t>
            </w:r>
            <w:proofErr w:type="spellStart"/>
            <w:r w:rsidRPr="00A07F29">
              <w:rPr>
                <w:rFonts w:ascii="Times New Roman" w:hAnsi="Times New Roman" w:cs="Times New Roman"/>
                <w:i/>
                <w:sz w:val="20"/>
                <w:szCs w:val="20"/>
              </w:rPr>
              <w:t>coturnix</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BAFA52"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ĪAS</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2229DA"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AC7906"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AB9314"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28362D13"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Samazinās/Svārstās</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16BFE54"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LC</w:t>
            </w:r>
          </w:p>
        </w:tc>
      </w:tr>
      <w:tr w:rsidR="004F2FB2" w:rsidRPr="00A07F29" w14:paraId="276B2406" w14:textId="77777777" w:rsidTr="0037188D">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DB00A0" w14:textId="77777777" w:rsidR="004F2FB2" w:rsidRPr="00A07F29" w:rsidRDefault="004F2FB2" w:rsidP="004F2FB2">
            <w:pPr>
              <w:widowControl w:val="0"/>
              <w:autoSpaceDE w:val="0"/>
              <w:spacing w:after="0" w:line="240" w:lineRule="auto"/>
              <w:ind w:left="36"/>
              <w:rPr>
                <w:rFonts w:ascii="Times New Roman" w:hAnsi="Times New Roman"/>
                <w:bCs/>
                <w:sz w:val="20"/>
                <w:szCs w:val="20"/>
              </w:rPr>
            </w:pPr>
            <w:r w:rsidRPr="00A07F29">
              <w:rPr>
                <w:rFonts w:ascii="Times New Roman" w:hAnsi="Times New Roman"/>
                <w:bCs/>
                <w:sz w:val="20"/>
                <w:szCs w:val="20"/>
              </w:rPr>
              <w:t>7.</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B3D204" w14:textId="77777777" w:rsidR="004F2FB2" w:rsidRPr="00A07F29" w:rsidRDefault="004F2FB2" w:rsidP="004F2FB2">
            <w:pPr>
              <w:widowControl w:val="0"/>
              <w:autoSpaceDE w:val="0"/>
              <w:spacing w:after="0" w:line="240" w:lineRule="auto"/>
              <w:ind w:left="-23"/>
              <w:jc w:val="both"/>
              <w:rPr>
                <w:rFonts w:ascii="Times New Roman" w:hAnsi="Times New Roman" w:cs="Times New Roman"/>
                <w:sz w:val="20"/>
                <w:szCs w:val="20"/>
              </w:rPr>
            </w:pPr>
            <w:r w:rsidRPr="00A07F29">
              <w:rPr>
                <w:rFonts w:ascii="Times New Roman" w:hAnsi="Times New Roman" w:cs="Times New Roman"/>
                <w:sz w:val="20"/>
                <w:szCs w:val="20"/>
              </w:rPr>
              <w:t>Rubenis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8CBFC5" w14:textId="77777777" w:rsidR="004F2FB2" w:rsidRPr="00A07F29" w:rsidRDefault="004F2FB2" w:rsidP="004F2FB2">
            <w:pPr>
              <w:widowControl w:val="0"/>
              <w:autoSpaceDE w:val="0"/>
              <w:spacing w:after="0" w:line="240" w:lineRule="auto"/>
              <w:jc w:val="both"/>
              <w:rPr>
                <w:rFonts w:ascii="Times New Roman" w:hAnsi="Times New Roman" w:cs="Times New Roman"/>
                <w:i/>
                <w:sz w:val="20"/>
                <w:szCs w:val="20"/>
              </w:rPr>
            </w:pPr>
            <w:proofErr w:type="spellStart"/>
            <w:r w:rsidRPr="00A07F29">
              <w:rPr>
                <w:rFonts w:ascii="Times New Roman" w:hAnsi="Times New Roman" w:cs="Times New Roman"/>
                <w:i/>
                <w:sz w:val="20"/>
                <w:szCs w:val="20"/>
              </w:rPr>
              <w:t>Lyrurus</w:t>
            </w:r>
            <w:proofErr w:type="spellEnd"/>
            <w:r w:rsidRPr="00A07F29">
              <w:rPr>
                <w:rFonts w:ascii="Times New Roman" w:hAnsi="Times New Roman" w:cs="Times New Roman"/>
                <w:i/>
                <w:sz w:val="20"/>
                <w:szCs w:val="20"/>
              </w:rPr>
              <w:t xml:space="preserve"> </w:t>
            </w:r>
            <w:proofErr w:type="spellStart"/>
            <w:r w:rsidRPr="00A07F29">
              <w:rPr>
                <w:rFonts w:ascii="Times New Roman" w:hAnsi="Times New Roman" w:cs="Times New Roman"/>
                <w:i/>
                <w:sz w:val="20"/>
                <w:szCs w:val="20"/>
              </w:rPr>
              <w:t>tetrix</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A593A6"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ĪAS</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1E3227"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PD II</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76DCC1"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FFC91B"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1D2E75A"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r w:rsidRPr="00A07F29">
              <w:rPr>
                <w:rFonts w:ascii="Times New Roman" w:hAnsi="Times New Roman" w:cs="Times New Roman"/>
                <w:sz w:val="20"/>
                <w:szCs w:val="20"/>
              </w:rPr>
              <w:t>Nezināms/Pieaug</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30239AB"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LC</w:t>
            </w:r>
          </w:p>
        </w:tc>
      </w:tr>
      <w:tr w:rsidR="004F2FB2" w:rsidRPr="00A07F29" w14:paraId="25F44CD7" w14:textId="77777777" w:rsidTr="0037188D">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51B7EB" w14:textId="77777777" w:rsidR="004F2FB2" w:rsidRPr="00A07F29" w:rsidRDefault="004F2FB2" w:rsidP="004F2FB2">
            <w:pPr>
              <w:widowControl w:val="0"/>
              <w:autoSpaceDE w:val="0"/>
              <w:spacing w:after="0" w:line="240" w:lineRule="auto"/>
              <w:ind w:left="36"/>
              <w:rPr>
                <w:rFonts w:ascii="Times New Roman" w:hAnsi="Times New Roman"/>
                <w:bCs/>
                <w:sz w:val="20"/>
                <w:szCs w:val="20"/>
              </w:rPr>
            </w:pPr>
            <w:r w:rsidRPr="00A07F29">
              <w:rPr>
                <w:rFonts w:ascii="Times New Roman" w:hAnsi="Times New Roman"/>
                <w:bCs/>
                <w:sz w:val="20"/>
                <w:szCs w:val="20"/>
              </w:rPr>
              <w:t>8.</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09A5FC" w14:textId="77777777" w:rsidR="004F2FB2" w:rsidRPr="00A07F29" w:rsidRDefault="004F2FB2" w:rsidP="004F2FB2">
            <w:pPr>
              <w:widowControl w:val="0"/>
              <w:autoSpaceDE w:val="0"/>
              <w:spacing w:after="0" w:line="240" w:lineRule="auto"/>
              <w:ind w:left="-23"/>
              <w:jc w:val="both"/>
              <w:rPr>
                <w:rFonts w:ascii="Times New Roman" w:hAnsi="Times New Roman" w:cs="Times New Roman"/>
                <w:sz w:val="20"/>
                <w:szCs w:val="20"/>
              </w:rPr>
            </w:pPr>
            <w:r w:rsidRPr="00A07F29">
              <w:rPr>
                <w:rFonts w:ascii="Times New Roman" w:hAnsi="Times New Roman" w:cs="Times New Roman"/>
                <w:sz w:val="20"/>
                <w:szCs w:val="20"/>
              </w:rPr>
              <w:t>Mežirbe</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3198CD" w14:textId="77777777" w:rsidR="004F2FB2" w:rsidRPr="00A07F29" w:rsidRDefault="004F2FB2" w:rsidP="004F2FB2">
            <w:pPr>
              <w:widowControl w:val="0"/>
              <w:autoSpaceDE w:val="0"/>
              <w:spacing w:after="0" w:line="240" w:lineRule="auto"/>
              <w:jc w:val="both"/>
              <w:rPr>
                <w:rFonts w:ascii="Times New Roman" w:hAnsi="Times New Roman" w:cs="Times New Roman"/>
                <w:i/>
                <w:sz w:val="20"/>
                <w:szCs w:val="20"/>
              </w:rPr>
            </w:pPr>
            <w:proofErr w:type="spellStart"/>
            <w:r w:rsidRPr="00A07F29">
              <w:rPr>
                <w:rFonts w:ascii="Times New Roman" w:hAnsi="Times New Roman" w:cs="Times New Roman"/>
                <w:i/>
                <w:sz w:val="20"/>
                <w:szCs w:val="20"/>
              </w:rPr>
              <w:t>Bonasia</w:t>
            </w:r>
            <w:proofErr w:type="spellEnd"/>
            <w:r w:rsidRPr="00A07F29">
              <w:rPr>
                <w:rFonts w:ascii="Times New Roman" w:hAnsi="Times New Roman" w:cs="Times New Roman"/>
                <w:i/>
                <w:sz w:val="20"/>
                <w:szCs w:val="20"/>
              </w:rPr>
              <w:t xml:space="preserve"> </w:t>
            </w:r>
            <w:proofErr w:type="spellStart"/>
            <w:r w:rsidRPr="00A07F29">
              <w:rPr>
                <w:rFonts w:ascii="Times New Roman" w:hAnsi="Times New Roman" w:cs="Times New Roman"/>
                <w:i/>
                <w:sz w:val="20"/>
                <w:szCs w:val="20"/>
              </w:rPr>
              <w:t>bonasia</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BFCBAA"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ĪAS</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F4EE69"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PD II</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6AE7B8"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4852D0" w14:textId="4A6F261D"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EN</w:t>
            </w:r>
            <w:r w:rsidR="00A85704">
              <w:rPr>
                <w:rFonts w:ascii="Times New Roman" w:hAnsi="Times New Roman" w:cs="Times New Roman"/>
                <w:sz w:val="20"/>
                <w:szCs w:val="20"/>
                <w:vertAlign w:val="superscript"/>
              </w:rPr>
              <w:t>4</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609DCEA7"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Samazinās/Nezināms</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10DB563"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LC</w:t>
            </w:r>
          </w:p>
        </w:tc>
      </w:tr>
      <w:tr w:rsidR="004F2FB2" w:rsidRPr="00A07F29" w14:paraId="67B1C30C" w14:textId="77777777" w:rsidTr="0037188D">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349E96" w14:textId="77777777" w:rsidR="004F2FB2" w:rsidRPr="00A07F29" w:rsidRDefault="004F2FB2" w:rsidP="004F2FB2">
            <w:pPr>
              <w:widowControl w:val="0"/>
              <w:autoSpaceDE w:val="0"/>
              <w:spacing w:after="0" w:line="240" w:lineRule="auto"/>
              <w:ind w:left="36"/>
              <w:rPr>
                <w:rFonts w:ascii="Times New Roman" w:hAnsi="Times New Roman"/>
                <w:bCs/>
                <w:sz w:val="20"/>
                <w:szCs w:val="20"/>
              </w:rPr>
            </w:pPr>
            <w:r w:rsidRPr="00A07F29">
              <w:rPr>
                <w:rFonts w:ascii="Times New Roman" w:hAnsi="Times New Roman"/>
                <w:bCs/>
                <w:sz w:val="20"/>
                <w:szCs w:val="20"/>
              </w:rPr>
              <w:t>9.</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B4A91A" w14:textId="77777777" w:rsidR="004F2FB2" w:rsidRPr="00A07F29" w:rsidRDefault="004F2FB2" w:rsidP="004F2FB2">
            <w:pPr>
              <w:widowControl w:val="0"/>
              <w:autoSpaceDE w:val="0"/>
              <w:spacing w:after="0" w:line="240" w:lineRule="auto"/>
              <w:ind w:left="-23"/>
              <w:jc w:val="both"/>
              <w:rPr>
                <w:rFonts w:ascii="Times New Roman" w:hAnsi="Times New Roman" w:cs="Times New Roman"/>
                <w:sz w:val="20"/>
                <w:szCs w:val="20"/>
              </w:rPr>
            </w:pPr>
            <w:r w:rsidRPr="00A07F29">
              <w:rPr>
                <w:rFonts w:ascii="Times New Roman" w:eastAsia="Times New Roman" w:hAnsi="Times New Roman" w:cs="Times New Roman"/>
                <w:color w:val="000000"/>
                <w:sz w:val="20"/>
                <w:szCs w:val="20"/>
              </w:rPr>
              <w:t>Mazais dūkuris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C7FE4B" w14:textId="77777777" w:rsidR="004F2FB2" w:rsidRPr="00A07F29" w:rsidRDefault="004F2FB2" w:rsidP="004F2FB2">
            <w:pPr>
              <w:widowControl w:val="0"/>
              <w:autoSpaceDE w:val="0"/>
              <w:spacing w:after="0" w:line="240" w:lineRule="auto"/>
              <w:jc w:val="both"/>
              <w:rPr>
                <w:rFonts w:ascii="Times New Roman" w:hAnsi="Times New Roman" w:cs="Times New Roman"/>
                <w:i/>
                <w:sz w:val="20"/>
                <w:szCs w:val="20"/>
              </w:rPr>
            </w:pPr>
            <w:proofErr w:type="spellStart"/>
            <w:r w:rsidRPr="00A07F29">
              <w:rPr>
                <w:rFonts w:ascii="Times New Roman" w:eastAsia="Times New Roman" w:hAnsi="Times New Roman" w:cs="Times New Roman"/>
                <w:i/>
                <w:iCs/>
                <w:sz w:val="20"/>
                <w:szCs w:val="20"/>
              </w:rPr>
              <w:t>Tachybaptus</w:t>
            </w:r>
            <w:proofErr w:type="spellEnd"/>
            <w:r w:rsidRPr="00A07F29">
              <w:rPr>
                <w:rFonts w:ascii="Times New Roman" w:eastAsia="Times New Roman" w:hAnsi="Times New Roman" w:cs="Times New Roman"/>
                <w:i/>
                <w:iCs/>
                <w:sz w:val="20"/>
                <w:szCs w:val="20"/>
              </w:rPr>
              <w:t xml:space="preserve"> </w:t>
            </w:r>
            <w:proofErr w:type="spellStart"/>
            <w:r w:rsidRPr="00A07F29">
              <w:rPr>
                <w:rFonts w:ascii="Times New Roman" w:eastAsia="Times New Roman" w:hAnsi="Times New Roman" w:cs="Times New Roman"/>
                <w:i/>
                <w:iCs/>
                <w:sz w:val="20"/>
                <w:szCs w:val="20"/>
              </w:rPr>
              <w:t>ruficollis</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7377C2"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ĪAS</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C638B3"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7A0217"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AF2F1A"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AAEF74D"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Stabils/Nezināms</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5520C60"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LC</w:t>
            </w:r>
          </w:p>
        </w:tc>
      </w:tr>
      <w:tr w:rsidR="004F2FB2" w:rsidRPr="00A07F29" w14:paraId="010FCAAF" w14:textId="77777777" w:rsidTr="0037188D">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948D16" w14:textId="77777777" w:rsidR="004F2FB2" w:rsidRPr="00A07F29" w:rsidRDefault="004F2FB2" w:rsidP="004F2FB2">
            <w:pPr>
              <w:widowControl w:val="0"/>
              <w:autoSpaceDE w:val="0"/>
              <w:spacing w:after="0" w:line="240" w:lineRule="auto"/>
              <w:ind w:left="36"/>
              <w:rPr>
                <w:rFonts w:ascii="Times New Roman" w:hAnsi="Times New Roman"/>
                <w:bCs/>
                <w:sz w:val="20"/>
                <w:szCs w:val="20"/>
              </w:rPr>
            </w:pPr>
            <w:r w:rsidRPr="00A07F29">
              <w:rPr>
                <w:rFonts w:ascii="Times New Roman" w:hAnsi="Times New Roman"/>
                <w:bCs/>
                <w:sz w:val="20"/>
                <w:szCs w:val="20"/>
              </w:rPr>
              <w:t>10.</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F543C8" w14:textId="77777777" w:rsidR="004F2FB2" w:rsidRPr="00A07F29" w:rsidRDefault="004F2FB2" w:rsidP="004F2FB2">
            <w:pPr>
              <w:widowControl w:val="0"/>
              <w:autoSpaceDE w:val="0"/>
              <w:spacing w:after="0" w:line="240" w:lineRule="auto"/>
              <w:ind w:left="-23"/>
              <w:jc w:val="both"/>
              <w:rPr>
                <w:rFonts w:ascii="Times New Roman" w:hAnsi="Times New Roman" w:cs="Times New Roman"/>
                <w:sz w:val="20"/>
                <w:szCs w:val="20"/>
              </w:rPr>
            </w:pPr>
            <w:r w:rsidRPr="00A07F29">
              <w:rPr>
                <w:rFonts w:ascii="Times New Roman" w:eastAsia="Times New Roman" w:hAnsi="Times New Roman" w:cs="Times New Roman"/>
                <w:color w:val="000000"/>
                <w:sz w:val="20"/>
                <w:szCs w:val="20"/>
              </w:rPr>
              <w:t>Melnais stārķis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3631BD" w14:textId="77777777" w:rsidR="004F2FB2" w:rsidRPr="00A07F29" w:rsidRDefault="004F2FB2" w:rsidP="004F2FB2">
            <w:pPr>
              <w:widowControl w:val="0"/>
              <w:autoSpaceDE w:val="0"/>
              <w:spacing w:after="0" w:line="240" w:lineRule="auto"/>
              <w:jc w:val="both"/>
              <w:rPr>
                <w:rFonts w:ascii="Times New Roman" w:hAnsi="Times New Roman" w:cs="Times New Roman"/>
                <w:i/>
                <w:sz w:val="20"/>
                <w:szCs w:val="20"/>
              </w:rPr>
            </w:pPr>
            <w:proofErr w:type="spellStart"/>
            <w:r w:rsidRPr="00A07F29">
              <w:rPr>
                <w:rFonts w:ascii="Times New Roman" w:eastAsia="Times New Roman" w:hAnsi="Times New Roman" w:cs="Times New Roman"/>
                <w:i/>
                <w:iCs/>
                <w:sz w:val="20"/>
                <w:szCs w:val="20"/>
              </w:rPr>
              <w:t>Ciconia</w:t>
            </w:r>
            <w:proofErr w:type="spellEnd"/>
            <w:r w:rsidRPr="00A07F29">
              <w:rPr>
                <w:rFonts w:ascii="Times New Roman" w:eastAsia="Times New Roman" w:hAnsi="Times New Roman" w:cs="Times New Roman"/>
                <w:i/>
                <w:iCs/>
                <w:sz w:val="20"/>
                <w:szCs w:val="20"/>
              </w:rPr>
              <w:t xml:space="preserve"> </w:t>
            </w:r>
            <w:proofErr w:type="spellStart"/>
            <w:r w:rsidRPr="00A07F29">
              <w:rPr>
                <w:rFonts w:ascii="Times New Roman" w:eastAsia="Times New Roman" w:hAnsi="Times New Roman" w:cs="Times New Roman"/>
                <w:i/>
                <w:iCs/>
                <w:sz w:val="20"/>
                <w:szCs w:val="20"/>
              </w:rPr>
              <w:t>nigra</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1EF094"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ĪAS</w:t>
            </w:r>
            <w:r w:rsidRPr="00A07F29">
              <w:rPr>
                <w:rFonts w:ascii="Times New Roman" w:hAnsi="Times New Roman" w:cs="Times New Roman"/>
                <w:sz w:val="20"/>
                <w:szCs w:val="20"/>
                <w:vertAlign w:val="superscript"/>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006490"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PD I</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1EB975"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BDB2D7"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7182CD2D"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Samazinās/Samazinās</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20626EB"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LC</w:t>
            </w:r>
          </w:p>
        </w:tc>
      </w:tr>
      <w:tr w:rsidR="004F2FB2" w:rsidRPr="00A07F29" w14:paraId="6193EFB1" w14:textId="77777777" w:rsidTr="0037188D">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DF4FB9" w14:textId="77777777" w:rsidR="004F2FB2" w:rsidRPr="00A07F29" w:rsidRDefault="004F2FB2" w:rsidP="004F2FB2">
            <w:pPr>
              <w:widowControl w:val="0"/>
              <w:autoSpaceDE w:val="0"/>
              <w:spacing w:after="0" w:line="240" w:lineRule="auto"/>
              <w:ind w:left="36"/>
              <w:rPr>
                <w:rFonts w:ascii="Times New Roman" w:hAnsi="Times New Roman"/>
                <w:bCs/>
                <w:sz w:val="20"/>
                <w:szCs w:val="20"/>
              </w:rPr>
            </w:pPr>
            <w:r w:rsidRPr="00A07F29">
              <w:rPr>
                <w:rFonts w:ascii="Times New Roman" w:hAnsi="Times New Roman"/>
                <w:bCs/>
                <w:sz w:val="20"/>
                <w:szCs w:val="20"/>
              </w:rPr>
              <w:t>11.</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02563B" w14:textId="77777777" w:rsidR="004F2FB2" w:rsidRPr="00A07F29" w:rsidRDefault="004F2FB2" w:rsidP="004F2FB2">
            <w:pPr>
              <w:widowControl w:val="0"/>
              <w:autoSpaceDE w:val="0"/>
              <w:spacing w:after="0" w:line="240" w:lineRule="auto"/>
              <w:ind w:left="-23"/>
              <w:jc w:val="both"/>
              <w:rPr>
                <w:rFonts w:ascii="Times New Roman" w:hAnsi="Times New Roman" w:cs="Times New Roman"/>
                <w:sz w:val="20"/>
                <w:szCs w:val="20"/>
              </w:rPr>
            </w:pPr>
            <w:r w:rsidRPr="00A07F29">
              <w:rPr>
                <w:rFonts w:ascii="Times New Roman" w:eastAsia="Times New Roman" w:hAnsi="Times New Roman" w:cs="Times New Roman"/>
                <w:color w:val="000000"/>
                <w:sz w:val="20"/>
                <w:szCs w:val="20"/>
              </w:rPr>
              <w:t>Baltais stārķis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B2FB90" w14:textId="77777777" w:rsidR="004F2FB2" w:rsidRPr="00A07F29" w:rsidRDefault="004F2FB2" w:rsidP="004F2FB2">
            <w:pPr>
              <w:widowControl w:val="0"/>
              <w:autoSpaceDE w:val="0"/>
              <w:spacing w:after="0" w:line="240" w:lineRule="auto"/>
              <w:jc w:val="both"/>
              <w:rPr>
                <w:rFonts w:ascii="Times New Roman" w:hAnsi="Times New Roman" w:cs="Times New Roman"/>
                <w:i/>
                <w:sz w:val="20"/>
                <w:szCs w:val="20"/>
              </w:rPr>
            </w:pPr>
            <w:proofErr w:type="spellStart"/>
            <w:r w:rsidRPr="00A07F29">
              <w:rPr>
                <w:rFonts w:ascii="Times New Roman" w:eastAsia="Times New Roman" w:hAnsi="Times New Roman" w:cs="Times New Roman"/>
                <w:i/>
                <w:iCs/>
                <w:sz w:val="20"/>
                <w:szCs w:val="20"/>
              </w:rPr>
              <w:t>Ciconia</w:t>
            </w:r>
            <w:proofErr w:type="spellEnd"/>
            <w:r w:rsidRPr="00A07F29">
              <w:rPr>
                <w:rFonts w:ascii="Times New Roman" w:eastAsia="Times New Roman" w:hAnsi="Times New Roman" w:cs="Times New Roman"/>
                <w:i/>
                <w:iCs/>
                <w:sz w:val="20"/>
                <w:szCs w:val="20"/>
              </w:rPr>
              <w:t xml:space="preserve"> </w:t>
            </w:r>
            <w:proofErr w:type="spellStart"/>
            <w:r w:rsidRPr="00A07F29">
              <w:rPr>
                <w:rFonts w:ascii="Times New Roman" w:eastAsia="Times New Roman" w:hAnsi="Times New Roman" w:cs="Times New Roman"/>
                <w:i/>
                <w:iCs/>
                <w:sz w:val="20"/>
                <w:szCs w:val="20"/>
              </w:rPr>
              <w:t>ciconia</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698CF7"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ĪAS</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51CEC6"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PD I</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76631C"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C51991"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97294D5"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r w:rsidRPr="00A07F29">
              <w:rPr>
                <w:rFonts w:ascii="Times New Roman" w:hAnsi="Times New Roman" w:cs="Times New Roman"/>
                <w:sz w:val="20"/>
                <w:szCs w:val="20"/>
              </w:rPr>
              <w:t>Pieaug/Pieaug</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BC4A252"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LC</w:t>
            </w:r>
          </w:p>
        </w:tc>
      </w:tr>
      <w:tr w:rsidR="004F2FB2" w:rsidRPr="00A07F29" w14:paraId="0588FA0B" w14:textId="77777777" w:rsidTr="0037188D">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5F3338" w14:textId="77777777" w:rsidR="004F2FB2" w:rsidRPr="00A07F29" w:rsidRDefault="004F2FB2" w:rsidP="004F2FB2">
            <w:pPr>
              <w:widowControl w:val="0"/>
              <w:autoSpaceDE w:val="0"/>
              <w:spacing w:after="0" w:line="240" w:lineRule="auto"/>
              <w:ind w:left="36"/>
              <w:rPr>
                <w:rFonts w:ascii="Times New Roman" w:hAnsi="Times New Roman"/>
                <w:bCs/>
                <w:sz w:val="20"/>
                <w:szCs w:val="20"/>
              </w:rPr>
            </w:pPr>
            <w:r w:rsidRPr="00A07F29">
              <w:rPr>
                <w:rFonts w:ascii="Times New Roman" w:hAnsi="Times New Roman"/>
                <w:bCs/>
                <w:sz w:val="20"/>
                <w:szCs w:val="20"/>
              </w:rPr>
              <w:t>12.</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3C9D9E" w14:textId="77777777" w:rsidR="004F2FB2" w:rsidRPr="00A07F29" w:rsidRDefault="004F2FB2" w:rsidP="004F2FB2">
            <w:pPr>
              <w:widowControl w:val="0"/>
              <w:autoSpaceDE w:val="0"/>
              <w:spacing w:after="0" w:line="240" w:lineRule="auto"/>
              <w:ind w:left="-23"/>
              <w:jc w:val="both"/>
              <w:rPr>
                <w:rFonts w:ascii="Times New Roman" w:hAnsi="Times New Roman" w:cs="Times New Roman"/>
                <w:sz w:val="20"/>
                <w:szCs w:val="20"/>
              </w:rPr>
            </w:pPr>
            <w:r w:rsidRPr="00A07F29">
              <w:rPr>
                <w:rFonts w:ascii="Times New Roman" w:eastAsia="Times New Roman" w:hAnsi="Times New Roman" w:cs="Times New Roman"/>
                <w:color w:val="000000"/>
                <w:sz w:val="20"/>
                <w:szCs w:val="20"/>
              </w:rPr>
              <w:t>Lielais dumpis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77B209" w14:textId="77777777" w:rsidR="004F2FB2" w:rsidRPr="00A07F29" w:rsidRDefault="004F2FB2" w:rsidP="004F2FB2">
            <w:pPr>
              <w:widowControl w:val="0"/>
              <w:autoSpaceDE w:val="0"/>
              <w:spacing w:after="0" w:line="240" w:lineRule="auto"/>
              <w:jc w:val="both"/>
              <w:rPr>
                <w:rFonts w:ascii="Times New Roman" w:hAnsi="Times New Roman" w:cs="Times New Roman"/>
                <w:i/>
                <w:sz w:val="20"/>
                <w:szCs w:val="20"/>
              </w:rPr>
            </w:pPr>
            <w:proofErr w:type="spellStart"/>
            <w:r w:rsidRPr="00A07F29">
              <w:rPr>
                <w:rFonts w:ascii="Times New Roman" w:eastAsia="Times New Roman" w:hAnsi="Times New Roman" w:cs="Times New Roman"/>
                <w:i/>
                <w:iCs/>
                <w:sz w:val="20"/>
                <w:szCs w:val="20"/>
              </w:rPr>
              <w:t>Botaurus</w:t>
            </w:r>
            <w:proofErr w:type="spellEnd"/>
            <w:r w:rsidRPr="00A07F29">
              <w:rPr>
                <w:rFonts w:ascii="Times New Roman" w:eastAsia="Times New Roman" w:hAnsi="Times New Roman" w:cs="Times New Roman"/>
                <w:i/>
                <w:iCs/>
                <w:sz w:val="20"/>
                <w:szCs w:val="20"/>
              </w:rPr>
              <w:t xml:space="preserve"> </w:t>
            </w:r>
            <w:proofErr w:type="spellStart"/>
            <w:r w:rsidRPr="00A07F29">
              <w:rPr>
                <w:rFonts w:ascii="Times New Roman" w:eastAsia="Times New Roman" w:hAnsi="Times New Roman" w:cs="Times New Roman"/>
                <w:i/>
                <w:iCs/>
                <w:sz w:val="20"/>
                <w:szCs w:val="20"/>
              </w:rPr>
              <w:t>stellaris</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F5ABA8"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ĪAS</w:t>
            </w:r>
            <w:r w:rsidRPr="00A07F29">
              <w:rPr>
                <w:rFonts w:ascii="Times New Roman" w:hAnsi="Times New Roman" w:cs="Times New Roman"/>
                <w:sz w:val="20"/>
                <w:szCs w:val="20"/>
                <w:vertAlign w:val="superscript"/>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C72234"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PD I</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77D405"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0DA753"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2FD8D705"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Stabils/Pieaug</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CBDB9AD"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LC</w:t>
            </w:r>
          </w:p>
        </w:tc>
      </w:tr>
      <w:tr w:rsidR="004F2FB2" w:rsidRPr="00A07F29" w14:paraId="5C817454" w14:textId="77777777" w:rsidTr="0037188D">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ED2374" w14:textId="77777777" w:rsidR="004F2FB2" w:rsidRPr="00A07F29" w:rsidRDefault="004F2FB2" w:rsidP="004F2FB2">
            <w:pPr>
              <w:widowControl w:val="0"/>
              <w:autoSpaceDE w:val="0"/>
              <w:spacing w:after="0" w:line="240" w:lineRule="auto"/>
              <w:ind w:left="36"/>
              <w:rPr>
                <w:rFonts w:ascii="Times New Roman" w:hAnsi="Times New Roman"/>
                <w:bCs/>
                <w:sz w:val="20"/>
                <w:szCs w:val="20"/>
              </w:rPr>
            </w:pPr>
            <w:r w:rsidRPr="00A07F29">
              <w:rPr>
                <w:rFonts w:ascii="Times New Roman" w:hAnsi="Times New Roman"/>
                <w:bCs/>
                <w:sz w:val="20"/>
                <w:szCs w:val="20"/>
              </w:rPr>
              <w:t>13.</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760078" w14:textId="77777777" w:rsidR="004F2FB2" w:rsidRPr="00A07F29" w:rsidRDefault="004F2FB2" w:rsidP="004F2FB2">
            <w:pPr>
              <w:widowControl w:val="0"/>
              <w:autoSpaceDE w:val="0"/>
              <w:spacing w:after="0" w:line="240" w:lineRule="auto"/>
              <w:ind w:left="-23"/>
              <w:jc w:val="both"/>
              <w:rPr>
                <w:rFonts w:ascii="Times New Roman" w:hAnsi="Times New Roman" w:cs="Times New Roman"/>
                <w:sz w:val="20"/>
                <w:szCs w:val="20"/>
              </w:rPr>
            </w:pPr>
            <w:r w:rsidRPr="00A07F29">
              <w:rPr>
                <w:rFonts w:ascii="Times New Roman" w:eastAsia="Times New Roman" w:hAnsi="Times New Roman" w:cs="Times New Roman"/>
                <w:color w:val="000000"/>
                <w:sz w:val="20"/>
                <w:szCs w:val="20"/>
              </w:rPr>
              <w:t>Mazais dumpis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FCC1A6" w14:textId="77777777" w:rsidR="004F2FB2" w:rsidRPr="00A07F29" w:rsidRDefault="004F2FB2" w:rsidP="004F2FB2">
            <w:pPr>
              <w:widowControl w:val="0"/>
              <w:autoSpaceDE w:val="0"/>
              <w:spacing w:after="0" w:line="240" w:lineRule="auto"/>
              <w:jc w:val="both"/>
              <w:rPr>
                <w:rFonts w:ascii="Times New Roman" w:hAnsi="Times New Roman" w:cs="Times New Roman"/>
                <w:i/>
                <w:sz w:val="20"/>
                <w:szCs w:val="20"/>
              </w:rPr>
            </w:pPr>
            <w:proofErr w:type="spellStart"/>
            <w:r w:rsidRPr="00A07F29">
              <w:rPr>
                <w:rFonts w:ascii="Times New Roman" w:eastAsia="Times New Roman" w:hAnsi="Times New Roman" w:cs="Times New Roman"/>
                <w:i/>
                <w:iCs/>
                <w:sz w:val="20"/>
                <w:szCs w:val="20"/>
              </w:rPr>
              <w:t>Ixobrychys</w:t>
            </w:r>
            <w:proofErr w:type="spellEnd"/>
            <w:r w:rsidRPr="00A07F29">
              <w:rPr>
                <w:rFonts w:ascii="Times New Roman" w:eastAsia="Times New Roman" w:hAnsi="Times New Roman" w:cs="Times New Roman"/>
                <w:i/>
                <w:iCs/>
                <w:sz w:val="20"/>
                <w:szCs w:val="20"/>
              </w:rPr>
              <w:t xml:space="preserve"> </w:t>
            </w:r>
            <w:proofErr w:type="spellStart"/>
            <w:r w:rsidRPr="00A07F29">
              <w:rPr>
                <w:rFonts w:ascii="Times New Roman" w:eastAsia="Times New Roman" w:hAnsi="Times New Roman" w:cs="Times New Roman"/>
                <w:i/>
                <w:iCs/>
                <w:sz w:val="20"/>
                <w:szCs w:val="20"/>
              </w:rPr>
              <w:t>minutus</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9DF722"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ĪAS</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1EE0E5"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PD I</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A6694F"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22FDC7"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6C6E7B5B"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r w:rsidRPr="00A07F29">
              <w:rPr>
                <w:rFonts w:ascii="Times New Roman" w:hAnsi="Times New Roman" w:cs="Times New Roman"/>
                <w:sz w:val="20"/>
                <w:szCs w:val="20"/>
              </w:rPr>
              <w:t>Samazinās/Nezināms</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57F3782"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LC</w:t>
            </w:r>
          </w:p>
        </w:tc>
      </w:tr>
      <w:tr w:rsidR="004F2FB2" w:rsidRPr="00A07F29" w14:paraId="20FDF8DD" w14:textId="77777777" w:rsidTr="0037188D">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58AF40" w14:textId="77777777" w:rsidR="004F2FB2" w:rsidRPr="00A07F29" w:rsidRDefault="004F2FB2" w:rsidP="004F2FB2">
            <w:pPr>
              <w:widowControl w:val="0"/>
              <w:autoSpaceDE w:val="0"/>
              <w:spacing w:after="0" w:line="240" w:lineRule="auto"/>
              <w:ind w:left="36"/>
              <w:rPr>
                <w:rFonts w:ascii="Times New Roman" w:hAnsi="Times New Roman"/>
                <w:bCs/>
                <w:sz w:val="20"/>
                <w:szCs w:val="20"/>
              </w:rPr>
            </w:pPr>
            <w:r w:rsidRPr="00A07F29">
              <w:rPr>
                <w:rFonts w:ascii="Times New Roman" w:hAnsi="Times New Roman"/>
                <w:bCs/>
                <w:sz w:val="20"/>
                <w:szCs w:val="20"/>
              </w:rPr>
              <w:t>14.</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482A4D" w14:textId="77777777" w:rsidR="004F2FB2" w:rsidRPr="00A07F29" w:rsidRDefault="004F2FB2" w:rsidP="004F2FB2">
            <w:pPr>
              <w:widowControl w:val="0"/>
              <w:autoSpaceDE w:val="0"/>
              <w:spacing w:after="0" w:line="240" w:lineRule="auto"/>
              <w:ind w:left="-23"/>
              <w:rPr>
                <w:rFonts w:ascii="Times New Roman" w:hAnsi="Times New Roman" w:cs="Times New Roman"/>
                <w:sz w:val="20"/>
                <w:szCs w:val="20"/>
              </w:rPr>
            </w:pPr>
            <w:r w:rsidRPr="00A07F29">
              <w:rPr>
                <w:rFonts w:ascii="Times New Roman" w:eastAsia="Times New Roman" w:hAnsi="Times New Roman" w:cs="Times New Roman"/>
                <w:color w:val="000000"/>
                <w:sz w:val="20"/>
                <w:szCs w:val="20"/>
              </w:rPr>
              <w:t>Lielais baltais gārnis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8BB626" w14:textId="77777777" w:rsidR="004F2FB2" w:rsidRPr="00A07F29" w:rsidRDefault="004F2FB2" w:rsidP="004F2FB2">
            <w:pPr>
              <w:widowControl w:val="0"/>
              <w:autoSpaceDE w:val="0"/>
              <w:spacing w:after="0" w:line="240" w:lineRule="auto"/>
              <w:jc w:val="both"/>
              <w:rPr>
                <w:rFonts w:ascii="Times New Roman" w:hAnsi="Times New Roman" w:cs="Times New Roman"/>
                <w:i/>
                <w:sz w:val="20"/>
                <w:szCs w:val="20"/>
              </w:rPr>
            </w:pPr>
            <w:proofErr w:type="spellStart"/>
            <w:r w:rsidRPr="00A07F29">
              <w:rPr>
                <w:rFonts w:ascii="Times New Roman" w:eastAsia="Times New Roman" w:hAnsi="Times New Roman" w:cs="Times New Roman"/>
                <w:i/>
                <w:iCs/>
                <w:sz w:val="20"/>
                <w:szCs w:val="20"/>
              </w:rPr>
              <w:t>Ardea</w:t>
            </w:r>
            <w:proofErr w:type="spellEnd"/>
            <w:r w:rsidRPr="00A07F29">
              <w:rPr>
                <w:rFonts w:ascii="Times New Roman" w:eastAsia="Times New Roman" w:hAnsi="Times New Roman" w:cs="Times New Roman"/>
                <w:i/>
                <w:iCs/>
                <w:sz w:val="20"/>
                <w:szCs w:val="20"/>
              </w:rPr>
              <w:t xml:space="preserve"> </w:t>
            </w:r>
            <w:proofErr w:type="spellStart"/>
            <w:r w:rsidRPr="00A07F29">
              <w:rPr>
                <w:rFonts w:ascii="Times New Roman" w:eastAsia="Times New Roman" w:hAnsi="Times New Roman" w:cs="Times New Roman"/>
                <w:i/>
                <w:iCs/>
                <w:sz w:val="20"/>
                <w:szCs w:val="20"/>
              </w:rPr>
              <w:t>alba</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D7921D"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ĪAS</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0D593A"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PD I</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24AEC2"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511428"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7A7F0789"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6511E22"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LC</w:t>
            </w:r>
          </w:p>
        </w:tc>
      </w:tr>
      <w:tr w:rsidR="004F2FB2" w:rsidRPr="00A07F29" w14:paraId="245EDD17" w14:textId="77777777" w:rsidTr="0037188D">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40E929" w14:textId="77777777" w:rsidR="004F2FB2" w:rsidRPr="00A07F29" w:rsidRDefault="004F2FB2" w:rsidP="004F2FB2">
            <w:pPr>
              <w:widowControl w:val="0"/>
              <w:autoSpaceDE w:val="0"/>
              <w:spacing w:after="0" w:line="240" w:lineRule="auto"/>
              <w:ind w:left="36"/>
              <w:rPr>
                <w:rFonts w:ascii="Times New Roman" w:hAnsi="Times New Roman"/>
                <w:bCs/>
                <w:sz w:val="20"/>
                <w:szCs w:val="20"/>
              </w:rPr>
            </w:pPr>
            <w:r w:rsidRPr="00A07F29">
              <w:rPr>
                <w:rFonts w:ascii="Times New Roman" w:hAnsi="Times New Roman"/>
                <w:bCs/>
                <w:sz w:val="20"/>
                <w:szCs w:val="20"/>
              </w:rPr>
              <w:t>15.</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3DB08C" w14:textId="77777777" w:rsidR="004F2FB2" w:rsidRPr="00A07F29" w:rsidRDefault="004F2FB2" w:rsidP="004F2FB2">
            <w:pPr>
              <w:widowControl w:val="0"/>
              <w:autoSpaceDE w:val="0"/>
              <w:spacing w:after="0" w:line="240" w:lineRule="auto"/>
              <w:ind w:left="-23"/>
              <w:jc w:val="both"/>
              <w:rPr>
                <w:rFonts w:ascii="Times New Roman" w:hAnsi="Times New Roman" w:cs="Times New Roman"/>
                <w:sz w:val="20"/>
                <w:szCs w:val="20"/>
              </w:rPr>
            </w:pPr>
            <w:proofErr w:type="spellStart"/>
            <w:r w:rsidRPr="00A07F29">
              <w:rPr>
                <w:rFonts w:ascii="Times New Roman" w:eastAsia="Times New Roman" w:hAnsi="Times New Roman" w:cs="Times New Roman"/>
                <w:color w:val="000000"/>
                <w:sz w:val="20"/>
                <w:szCs w:val="20"/>
              </w:rPr>
              <w:t>Zivjērglis</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AABEDA" w14:textId="77777777" w:rsidR="004F2FB2" w:rsidRPr="00A07F29" w:rsidRDefault="004F2FB2" w:rsidP="004F2FB2">
            <w:pPr>
              <w:widowControl w:val="0"/>
              <w:autoSpaceDE w:val="0"/>
              <w:spacing w:after="0" w:line="240" w:lineRule="auto"/>
              <w:jc w:val="both"/>
              <w:rPr>
                <w:rFonts w:ascii="Times New Roman" w:hAnsi="Times New Roman" w:cs="Times New Roman"/>
                <w:i/>
                <w:sz w:val="20"/>
                <w:szCs w:val="20"/>
              </w:rPr>
            </w:pPr>
            <w:proofErr w:type="spellStart"/>
            <w:r w:rsidRPr="00A07F29">
              <w:rPr>
                <w:rFonts w:ascii="Times New Roman" w:eastAsia="Times New Roman" w:hAnsi="Times New Roman" w:cs="Times New Roman"/>
                <w:i/>
                <w:iCs/>
                <w:sz w:val="20"/>
                <w:szCs w:val="20"/>
              </w:rPr>
              <w:t>Pandion</w:t>
            </w:r>
            <w:proofErr w:type="spellEnd"/>
            <w:r w:rsidRPr="00A07F29">
              <w:rPr>
                <w:rFonts w:ascii="Times New Roman" w:eastAsia="Times New Roman" w:hAnsi="Times New Roman" w:cs="Times New Roman"/>
                <w:i/>
                <w:iCs/>
                <w:sz w:val="20"/>
                <w:szCs w:val="20"/>
              </w:rPr>
              <w:t xml:space="preserve"> </w:t>
            </w:r>
            <w:proofErr w:type="spellStart"/>
            <w:r w:rsidRPr="00A07F29">
              <w:rPr>
                <w:rFonts w:ascii="Times New Roman" w:eastAsia="Times New Roman" w:hAnsi="Times New Roman" w:cs="Times New Roman"/>
                <w:i/>
                <w:iCs/>
                <w:sz w:val="20"/>
                <w:szCs w:val="20"/>
              </w:rPr>
              <w:t>haliaetus</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68A2CA"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ĪAS</w:t>
            </w:r>
            <w:r w:rsidRPr="00A07F29">
              <w:rPr>
                <w:rFonts w:ascii="Times New Roman" w:hAnsi="Times New Roman" w:cs="Times New Roman"/>
                <w:sz w:val="20"/>
                <w:szCs w:val="20"/>
                <w:vertAlign w:val="superscript"/>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39E0F3"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PD I</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777B47"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C14B0E"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3D692005"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Neskaidrs/Pieaug</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4FE21AF"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LC</w:t>
            </w:r>
          </w:p>
        </w:tc>
      </w:tr>
      <w:tr w:rsidR="004F2FB2" w:rsidRPr="00A07F29" w14:paraId="358D00EB" w14:textId="77777777" w:rsidTr="0037188D">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547CC4" w14:textId="77777777" w:rsidR="004F2FB2" w:rsidRPr="00A07F29" w:rsidRDefault="004F2FB2" w:rsidP="004F2FB2">
            <w:pPr>
              <w:widowControl w:val="0"/>
              <w:autoSpaceDE w:val="0"/>
              <w:spacing w:after="0" w:line="240" w:lineRule="auto"/>
              <w:ind w:left="36"/>
              <w:rPr>
                <w:rFonts w:ascii="Times New Roman" w:hAnsi="Times New Roman"/>
                <w:bCs/>
                <w:sz w:val="20"/>
                <w:szCs w:val="20"/>
              </w:rPr>
            </w:pPr>
            <w:r w:rsidRPr="00A07F29">
              <w:rPr>
                <w:rFonts w:ascii="Times New Roman" w:hAnsi="Times New Roman"/>
                <w:bCs/>
                <w:sz w:val="20"/>
                <w:szCs w:val="20"/>
              </w:rPr>
              <w:lastRenderedPageBreak/>
              <w:t>16.</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435AFF" w14:textId="77777777" w:rsidR="004F2FB2" w:rsidRPr="00A07F29" w:rsidRDefault="004F2FB2" w:rsidP="004F2FB2">
            <w:pPr>
              <w:widowControl w:val="0"/>
              <w:autoSpaceDE w:val="0"/>
              <w:spacing w:after="0" w:line="240" w:lineRule="auto"/>
              <w:ind w:left="-23"/>
              <w:jc w:val="both"/>
              <w:rPr>
                <w:rFonts w:ascii="Times New Roman" w:hAnsi="Times New Roman" w:cs="Times New Roman"/>
                <w:sz w:val="20"/>
                <w:szCs w:val="20"/>
              </w:rPr>
            </w:pPr>
            <w:r w:rsidRPr="00A07F29">
              <w:rPr>
                <w:rFonts w:ascii="Times New Roman" w:hAnsi="Times New Roman" w:cs="Times New Roman"/>
                <w:sz w:val="20"/>
                <w:szCs w:val="20"/>
              </w:rPr>
              <w:t>Ķīķis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06C2C6" w14:textId="77777777" w:rsidR="004F2FB2" w:rsidRPr="00A07F29" w:rsidRDefault="004F2FB2" w:rsidP="004F2FB2">
            <w:pPr>
              <w:widowControl w:val="0"/>
              <w:autoSpaceDE w:val="0"/>
              <w:spacing w:after="0" w:line="240" w:lineRule="auto"/>
              <w:jc w:val="both"/>
              <w:rPr>
                <w:rFonts w:ascii="Times New Roman" w:hAnsi="Times New Roman" w:cs="Times New Roman"/>
                <w:i/>
                <w:sz w:val="20"/>
                <w:szCs w:val="20"/>
              </w:rPr>
            </w:pPr>
            <w:proofErr w:type="spellStart"/>
            <w:r w:rsidRPr="00A07F29">
              <w:rPr>
                <w:rFonts w:ascii="Times New Roman" w:hAnsi="Times New Roman" w:cs="Times New Roman"/>
                <w:i/>
                <w:iCs/>
                <w:sz w:val="20"/>
                <w:szCs w:val="20"/>
              </w:rPr>
              <w:t>Pernis</w:t>
            </w:r>
            <w:proofErr w:type="spellEnd"/>
            <w:r w:rsidRPr="00A07F29">
              <w:rPr>
                <w:rFonts w:ascii="Times New Roman" w:hAnsi="Times New Roman" w:cs="Times New Roman"/>
                <w:i/>
                <w:iCs/>
                <w:sz w:val="20"/>
                <w:szCs w:val="20"/>
              </w:rPr>
              <w:t xml:space="preserve"> </w:t>
            </w:r>
            <w:proofErr w:type="spellStart"/>
            <w:r w:rsidRPr="00A07F29">
              <w:rPr>
                <w:rFonts w:ascii="Times New Roman" w:hAnsi="Times New Roman" w:cs="Times New Roman"/>
                <w:i/>
                <w:iCs/>
                <w:sz w:val="20"/>
                <w:szCs w:val="20"/>
              </w:rPr>
              <w:t>apivorus</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6B137B"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ĪAS</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D6F860"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PD I</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03588A"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685B8E"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648D43FB"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r w:rsidRPr="00A07F29">
              <w:rPr>
                <w:rFonts w:ascii="Times New Roman" w:hAnsi="Times New Roman" w:cs="Times New Roman"/>
                <w:sz w:val="20"/>
                <w:szCs w:val="20"/>
              </w:rPr>
              <w:t>Pieaug/Pieaug</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A75D585"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LC</w:t>
            </w:r>
          </w:p>
        </w:tc>
      </w:tr>
      <w:tr w:rsidR="004F2FB2" w:rsidRPr="00A07F29" w14:paraId="1EA46FF2" w14:textId="77777777" w:rsidTr="0037188D">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691AA6" w14:textId="77777777" w:rsidR="004F2FB2" w:rsidRPr="00A07F29" w:rsidRDefault="004F2FB2" w:rsidP="004F2FB2">
            <w:pPr>
              <w:widowControl w:val="0"/>
              <w:autoSpaceDE w:val="0"/>
              <w:spacing w:after="0" w:line="240" w:lineRule="auto"/>
              <w:ind w:left="36"/>
              <w:rPr>
                <w:rFonts w:ascii="Times New Roman" w:hAnsi="Times New Roman"/>
                <w:bCs/>
                <w:sz w:val="20"/>
                <w:szCs w:val="20"/>
              </w:rPr>
            </w:pPr>
            <w:r w:rsidRPr="00A07F29">
              <w:rPr>
                <w:rFonts w:ascii="Times New Roman" w:hAnsi="Times New Roman"/>
                <w:bCs/>
                <w:sz w:val="20"/>
                <w:szCs w:val="20"/>
              </w:rPr>
              <w:t>17.</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3045FE" w14:textId="77777777" w:rsidR="004F2FB2" w:rsidRPr="00A07F29" w:rsidRDefault="004F2FB2" w:rsidP="004F2FB2">
            <w:pPr>
              <w:widowControl w:val="0"/>
              <w:autoSpaceDE w:val="0"/>
              <w:spacing w:after="0" w:line="240" w:lineRule="auto"/>
              <w:ind w:left="-23"/>
              <w:jc w:val="both"/>
              <w:rPr>
                <w:rFonts w:ascii="Times New Roman" w:hAnsi="Times New Roman" w:cs="Times New Roman"/>
                <w:sz w:val="20"/>
                <w:szCs w:val="20"/>
              </w:rPr>
            </w:pPr>
            <w:r w:rsidRPr="00A07F29">
              <w:rPr>
                <w:rFonts w:ascii="Times New Roman" w:hAnsi="Times New Roman" w:cs="Times New Roman"/>
                <w:sz w:val="20"/>
                <w:szCs w:val="20"/>
              </w:rPr>
              <w:t>Melnā klija</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FA0C80" w14:textId="77777777" w:rsidR="004F2FB2" w:rsidRPr="00A07F29" w:rsidRDefault="004F2FB2" w:rsidP="004F2FB2">
            <w:pPr>
              <w:widowControl w:val="0"/>
              <w:autoSpaceDE w:val="0"/>
              <w:spacing w:after="0" w:line="240" w:lineRule="auto"/>
              <w:jc w:val="both"/>
              <w:rPr>
                <w:rFonts w:ascii="Times New Roman" w:hAnsi="Times New Roman" w:cs="Times New Roman"/>
                <w:i/>
                <w:sz w:val="20"/>
                <w:szCs w:val="20"/>
              </w:rPr>
            </w:pPr>
            <w:proofErr w:type="spellStart"/>
            <w:r w:rsidRPr="00A07F29">
              <w:rPr>
                <w:rFonts w:ascii="Times New Roman" w:hAnsi="Times New Roman" w:cs="Times New Roman"/>
                <w:i/>
                <w:iCs/>
                <w:sz w:val="20"/>
                <w:szCs w:val="20"/>
              </w:rPr>
              <w:t>Milvus</w:t>
            </w:r>
            <w:proofErr w:type="spellEnd"/>
            <w:r w:rsidRPr="00A07F29">
              <w:rPr>
                <w:rFonts w:ascii="Times New Roman" w:hAnsi="Times New Roman" w:cs="Times New Roman"/>
                <w:i/>
                <w:iCs/>
                <w:sz w:val="20"/>
                <w:szCs w:val="20"/>
              </w:rPr>
              <w:t xml:space="preserve"> </w:t>
            </w:r>
            <w:proofErr w:type="spellStart"/>
            <w:r w:rsidRPr="00A07F29">
              <w:rPr>
                <w:rFonts w:ascii="Times New Roman" w:hAnsi="Times New Roman" w:cs="Times New Roman"/>
                <w:i/>
                <w:iCs/>
                <w:sz w:val="20"/>
                <w:szCs w:val="20"/>
              </w:rPr>
              <w:t>migrans</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BE3B34"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ĪAS</w:t>
            </w:r>
            <w:r w:rsidRPr="00A07F29">
              <w:rPr>
                <w:rFonts w:ascii="Times New Roman" w:hAnsi="Times New Roman" w:cs="Times New Roman"/>
                <w:sz w:val="20"/>
                <w:szCs w:val="20"/>
                <w:vertAlign w:val="superscript"/>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F21647"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PD I</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4D7A36"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5629FB"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2955D26"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Pieaug/Pieaug</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72341E9"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LC</w:t>
            </w:r>
          </w:p>
        </w:tc>
      </w:tr>
      <w:tr w:rsidR="004F2FB2" w:rsidRPr="00A07F29" w14:paraId="5C9BA01E" w14:textId="77777777" w:rsidTr="0037188D">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676AC3" w14:textId="77777777" w:rsidR="004F2FB2" w:rsidRPr="00A07F29" w:rsidRDefault="004F2FB2" w:rsidP="004F2FB2">
            <w:pPr>
              <w:widowControl w:val="0"/>
              <w:autoSpaceDE w:val="0"/>
              <w:spacing w:after="0" w:line="240" w:lineRule="auto"/>
              <w:ind w:left="36"/>
              <w:rPr>
                <w:rFonts w:ascii="Times New Roman" w:hAnsi="Times New Roman"/>
                <w:bCs/>
                <w:sz w:val="20"/>
                <w:szCs w:val="20"/>
              </w:rPr>
            </w:pPr>
            <w:r w:rsidRPr="00A07F29">
              <w:rPr>
                <w:rFonts w:ascii="Times New Roman" w:hAnsi="Times New Roman"/>
                <w:bCs/>
                <w:sz w:val="20"/>
                <w:szCs w:val="20"/>
              </w:rPr>
              <w:t>18.</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777822" w14:textId="77777777" w:rsidR="004F2FB2" w:rsidRPr="00A07F29" w:rsidRDefault="004F2FB2" w:rsidP="004F2FB2">
            <w:pPr>
              <w:widowControl w:val="0"/>
              <w:autoSpaceDE w:val="0"/>
              <w:spacing w:after="0" w:line="240" w:lineRule="auto"/>
              <w:ind w:left="-23"/>
              <w:jc w:val="both"/>
              <w:rPr>
                <w:rFonts w:ascii="Times New Roman" w:hAnsi="Times New Roman" w:cs="Times New Roman"/>
                <w:sz w:val="20"/>
                <w:szCs w:val="20"/>
              </w:rPr>
            </w:pPr>
            <w:r w:rsidRPr="00A07F29">
              <w:rPr>
                <w:rFonts w:ascii="Times New Roman" w:eastAsia="Times New Roman" w:hAnsi="Times New Roman" w:cs="Times New Roman"/>
                <w:color w:val="000000"/>
                <w:sz w:val="20"/>
                <w:szCs w:val="20"/>
              </w:rPr>
              <w:t>Jūras ērglis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487A29" w14:textId="77777777" w:rsidR="004F2FB2" w:rsidRPr="00A07F29" w:rsidRDefault="004F2FB2" w:rsidP="004F2FB2">
            <w:pPr>
              <w:widowControl w:val="0"/>
              <w:autoSpaceDE w:val="0"/>
              <w:spacing w:after="0" w:line="240" w:lineRule="auto"/>
              <w:jc w:val="both"/>
              <w:rPr>
                <w:rFonts w:ascii="Times New Roman" w:hAnsi="Times New Roman" w:cs="Times New Roman"/>
                <w:i/>
                <w:sz w:val="20"/>
                <w:szCs w:val="20"/>
              </w:rPr>
            </w:pPr>
            <w:proofErr w:type="spellStart"/>
            <w:r w:rsidRPr="00A07F29">
              <w:rPr>
                <w:rFonts w:ascii="Times New Roman" w:eastAsia="Times New Roman" w:hAnsi="Times New Roman" w:cs="Times New Roman"/>
                <w:i/>
                <w:iCs/>
                <w:sz w:val="20"/>
                <w:szCs w:val="20"/>
              </w:rPr>
              <w:t>Haliaeetus</w:t>
            </w:r>
            <w:proofErr w:type="spellEnd"/>
            <w:r w:rsidRPr="00A07F29">
              <w:rPr>
                <w:rFonts w:ascii="Times New Roman" w:eastAsia="Times New Roman" w:hAnsi="Times New Roman" w:cs="Times New Roman"/>
                <w:i/>
                <w:iCs/>
                <w:sz w:val="20"/>
                <w:szCs w:val="20"/>
              </w:rPr>
              <w:t xml:space="preserve"> </w:t>
            </w:r>
            <w:proofErr w:type="spellStart"/>
            <w:r w:rsidRPr="00A07F29">
              <w:rPr>
                <w:rFonts w:ascii="Times New Roman" w:eastAsia="Times New Roman" w:hAnsi="Times New Roman" w:cs="Times New Roman"/>
                <w:i/>
                <w:iCs/>
                <w:sz w:val="20"/>
                <w:szCs w:val="20"/>
              </w:rPr>
              <w:t>albicilla</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832726"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ĪAS</w:t>
            </w:r>
            <w:r w:rsidRPr="00A07F29">
              <w:rPr>
                <w:rFonts w:ascii="Times New Roman" w:hAnsi="Times New Roman" w:cs="Times New Roman"/>
                <w:sz w:val="20"/>
                <w:szCs w:val="20"/>
                <w:vertAlign w:val="superscript"/>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81B5BF"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PD I</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2636A0"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0A9AF3"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13E73BD0"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Neskaidrs/Pieaug</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8EE64BE"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LC</w:t>
            </w:r>
          </w:p>
        </w:tc>
      </w:tr>
      <w:tr w:rsidR="004F2FB2" w:rsidRPr="00A07F29" w14:paraId="3A8C5AD5" w14:textId="77777777" w:rsidTr="0037188D">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5A8998" w14:textId="77777777" w:rsidR="004F2FB2" w:rsidRPr="00A07F29" w:rsidRDefault="004F2FB2" w:rsidP="004F2FB2">
            <w:pPr>
              <w:widowControl w:val="0"/>
              <w:autoSpaceDE w:val="0"/>
              <w:spacing w:after="0" w:line="240" w:lineRule="auto"/>
              <w:ind w:left="36"/>
              <w:rPr>
                <w:rFonts w:ascii="Times New Roman" w:hAnsi="Times New Roman"/>
                <w:bCs/>
                <w:sz w:val="20"/>
                <w:szCs w:val="20"/>
              </w:rPr>
            </w:pPr>
            <w:r w:rsidRPr="00A07F29">
              <w:rPr>
                <w:rFonts w:ascii="Times New Roman" w:hAnsi="Times New Roman"/>
                <w:bCs/>
                <w:sz w:val="20"/>
                <w:szCs w:val="20"/>
              </w:rPr>
              <w:t>19.</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5D7F3D" w14:textId="77777777" w:rsidR="004F2FB2" w:rsidRPr="00A07F29" w:rsidRDefault="004F2FB2" w:rsidP="004F2FB2">
            <w:pPr>
              <w:widowControl w:val="0"/>
              <w:autoSpaceDE w:val="0"/>
              <w:spacing w:after="0" w:line="240" w:lineRule="auto"/>
              <w:ind w:left="-23"/>
              <w:jc w:val="both"/>
              <w:rPr>
                <w:rFonts w:ascii="Times New Roman" w:hAnsi="Times New Roman" w:cs="Times New Roman"/>
                <w:sz w:val="20"/>
                <w:szCs w:val="20"/>
              </w:rPr>
            </w:pPr>
            <w:r w:rsidRPr="00A07F29">
              <w:rPr>
                <w:rFonts w:ascii="Times New Roman" w:hAnsi="Times New Roman" w:cs="Times New Roman"/>
                <w:sz w:val="20"/>
                <w:szCs w:val="20"/>
              </w:rPr>
              <w:t>Niedru lija</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E6F3AA" w14:textId="77777777" w:rsidR="004F2FB2" w:rsidRPr="00A07F29" w:rsidRDefault="004F2FB2" w:rsidP="004F2FB2">
            <w:pPr>
              <w:widowControl w:val="0"/>
              <w:autoSpaceDE w:val="0"/>
              <w:spacing w:after="0" w:line="240" w:lineRule="auto"/>
              <w:jc w:val="both"/>
              <w:rPr>
                <w:rFonts w:ascii="Times New Roman" w:hAnsi="Times New Roman" w:cs="Times New Roman"/>
                <w:i/>
                <w:sz w:val="20"/>
                <w:szCs w:val="20"/>
              </w:rPr>
            </w:pPr>
            <w:proofErr w:type="spellStart"/>
            <w:r w:rsidRPr="00A07F29">
              <w:rPr>
                <w:rFonts w:ascii="Times New Roman" w:hAnsi="Times New Roman" w:cs="Times New Roman"/>
                <w:i/>
                <w:iCs/>
                <w:sz w:val="20"/>
                <w:szCs w:val="20"/>
              </w:rPr>
              <w:t>Circus</w:t>
            </w:r>
            <w:proofErr w:type="spellEnd"/>
            <w:r w:rsidRPr="00A07F29">
              <w:rPr>
                <w:rFonts w:ascii="Times New Roman" w:hAnsi="Times New Roman" w:cs="Times New Roman"/>
                <w:i/>
                <w:iCs/>
                <w:sz w:val="20"/>
                <w:szCs w:val="20"/>
              </w:rPr>
              <w:t xml:space="preserve"> </w:t>
            </w:r>
            <w:proofErr w:type="spellStart"/>
            <w:r w:rsidRPr="00A07F29">
              <w:rPr>
                <w:rFonts w:ascii="Times New Roman" w:hAnsi="Times New Roman" w:cs="Times New Roman"/>
                <w:i/>
                <w:iCs/>
                <w:sz w:val="20"/>
                <w:szCs w:val="20"/>
              </w:rPr>
              <w:t>aeroginosus</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1EBCEB"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ĪAS</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4241A2"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PD I</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DCE1E2"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D262A9"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351FB2C7"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Neskaidrs/Nezināms</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C1A5DC7"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LC</w:t>
            </w:r>
          </w:p>
        </w:tc>
      </w:tr>
      <w:tr w:rsidR="004F2FB2" w:rsidRPr="00A07F29" w14:paraId="4E3792A0" w14:textId="77777777" w:rsidTr="0037188D">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85786B" w14:textId="77777777" w:rsidR="004F2FB2" w:rsidRPr="00A07F29" w:rsidRDefault="004F2FB2" w:rsidP="004F2FB2">
            <w:pPr>
              <w:widowControl w:val="0"/>
              <w:autoSpaceDE w:val="0"/>
              <w:spacing w:after="0" w:line="240" w:lineRule="auto"/>
              <w:ind w:left="36"/>
              <w:rPr>
                <w:rFonts w:ascii="Times New Roman" w:hAnsi="Times New Roman"/>
                <w:bCs/>
                <w:sz w:val="20"/>
                <w:szCs w:val="20"/>
              </w:rPr>
            </w:pPr>
            <w:r w:rsidRPr="00A07F29">
              <w:rPr>
                <w:rFonts w:ascii="Times New Roman" w:hAnsi="Times New Roman"/>
                <w:bCs/>
                <w:sz w:val="20"/>
                <w:szCs w:val="20"/>
              </w:rPr>
              <w:t>20.</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696EF2" w14:textId="77777777" w:rsidR="004F2FB2" w:rsidRPr="00A07F29" w:rsidRDefault="004F2FB2" w:rsidP="004F2FB2">
            <w:pPr>
              <w:widowControl w:val="0"/>
              <w:autoSpaceDE w:val="0"/>
              <w:spacing w:after="0" w:line="240" w:lineRule="auto"/>
              <w:ind w:left="-23"/>
              <w:jc w:val="both"/>
              <w:rPr>
                <w:rFonts w:ascii="Times New Roman" w:hAnsi="Times New Roman" w:cs="Times New Roman"/>
                <w:sz w:val="20"/>
                <w:szCs w:val="20"/>
              </w:rPr>
            </w:pPr>
            <w:r w:rsidRPr="00A07F29">
              <w:rPr>
                <w:rFonts w:ascii="Times New Roman" w:hAnsi="Times New Roman" w:cs="Times New Roman"/>
                <w:sz w:val="20"/>
                <w:szCs w:val="20"/>
              </w:rPr>
              <w:t>Pļavu lija</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D21E18" w14:textId="77777777" w:rsidR="004F2FB2" w:rsidRPr="00A07F29" w:rsidRDefault="004F2FB2" w:rsidP="004F2FB2">
            <w:pPr>
              <w:widowControl w:val="0"/>
              <w:autoSpaceDE w:val="0"/>
              <w:spacing w:after="0" w:line="240" w:lineRule="auto"/>
              <w:jc w:val="both"/>
              <w:rPr>
                <w:rFonts w:ascii="Times New Roman" w:hAnsi="Times New Roman" w:cs="Times New Roman"/>
                <w:i/>
                <w:sz w:val="20"/>
                <w:szCs w:val="20"/>
              </w:rPr>
            </w:pPr>
            <w:proofErr w:type="spellStart"/>
            <w:r w:rsidRPr="00A07F29">
              <w:rPr>
                <w:rFonts w:ascii="Times New Roman" w:hAnsi="Times New Roman" w:cs="Times New Roman"/>
                <w:i/>
                <w:iCs/>
                <w:sz w:val="20"/>
                <w:szCs w:val="20"/>
              </w:rPr>
              <w:t>Circus</w:t>
            </w:r>
            <w:proofErr w:type="spellEnd"/>
            <w:r w:rsidRPr="00A07F29">
              <w:rPr>
                <w:rFonts w:ascii="Times New Roman" w:hAnsi="Times New Roman" w:cs="Times New Roman"/>
                <w:i/>
                <w:iCs/>
                <w:sz w:val="20"/>
                <w:szCs w:val="20"/>
              </w:rPr>
              <w:t xml:space="preserve"> </w:t>
            </w:r>
            <w:proofErr w:type="spellStart"/>
            <w:r w:rsidRPr="00A07F29">
              <w:rPr>
                <w:rFonts w:ascii="Times New Roman" w:hAnsi="Times New Roman" w:cs="Times New Roman"/>
                <w:i/>
                <w:iCs/>
                <w:sz w:val="20"/>
                <w:szCs w:val="20"/>
              </w:rPr>
              <w:t>pygargus</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D952F0"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ĪAS</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4FA152"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PD I</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ECA25A"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1D2F30"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32A80BC5"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Neskaidrs/Nezināms</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3D85B68"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LC</w:t>
            </w:r>
          </w:p>
        </w:tc>
      </w:tr>
      <w:tr w:rsidR="004F2FB2" w:rsidRPr="00A07F29" w14:paraId="204494A5" w14:textId="77777777" w:rsidTr="0037188D">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00E90E" w14:textId="77777777" w:rsidR="004F2FB2" w:rsidRPr="00A07F29" w:rsidRDefault="004F2FB2" w:rsidP="004F2FB2">
            <w:pPr>
              <w:widowControl w:val="0"/>
              <w:autoSpaceDE w:val="0"/>
              <w:spacing w:after="0" w:line="240" w:lineRule="auto"/>
              <w:ind w:left="36"/>
              <w:rPr>
                <w:rFonts w:ascii="Times New Roman" w:hAnsi="Times New Roman"/>
                <w:bCs/>
                <w:sz w:val="20"/>
                <w:szCs w:val="20"/>
              </w:rPr>
            </w:pPr>
            <w:r w:rsidRPr="00A07F29">
              <w:rPr>
                <w:rFonts w:ascii="Times New Roman" w:hAnsi="Times New Roman"/>
                <w:bCs/>
                <w:sz w:val="20"/>
                <w:szCs w:val="20"/>
              </w:rPr>
              <w:t>21.</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F98B43" w14:textId="77777777" w:rsidR="004F2FB2" w:rsidRPr="00A07F29" w:rsidRDefault="004F2FB2" w:rsidP="004F2FB2">
            <w:pPr>
              <w:widowControl w:val="0"/>
              <w:autoSpaceDE w:val="0"/>
              <w:spacing w:after="0" w:line="240" w:lineRule="auto"/>
              <w:ind w:left="-23"/>
              <w:jc w:val="both"/>
              <w:rPr>
                <w:rFonts w:ascii="Times New Roman" w:hAnsi="Times New Roman" w:cs="Times New Roman"/>
                <w:sz w:val="20"/>
                <w:szCs w:val="20"/>
              </w:rPr>
            </w:pPr>
            <w:r w:rsidRPr="00A07F29">
              <w:rPr>
                <w:rFonts w:ascii="Times New Roman" w:hAnsi="Times New Roman" w:cs="Times New Roman"/>
                <w:sz w:val="20"/>
                <w:szCs w:val="20"/>
              </w:rPr>
              <w:t>Vistu vanags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6066A0" w14:textId="77777777" w:rsidR="004F2FB2" w:rsidRPr="00A07F29" w:rsidRDefault="004F2FB2" w:rsidP="004F2FB2">
            <w:pPr>
              <w:widowControl w:val="0"/>
              <w:autoSpaceDE w:val="0"/>
              <w:spacing w:after="0" w:line="240" w:lineRule="auto"/>
              <w:jc w:val="both"/>
              <w:rPr>
                <w:rFonts w:ascii="Times New Roman" w:hAnsi="Times New Roman" w:cs="Times New Roman"/>
                <w:i/>
                <w:sz w:val="20"/>
                <w:szCs w:val="20"/>
              </w:rPr>
            </w:pPr>
            <w:proofErr w:type="spellStart"/>
            <w:r w:rsidRPr="00A07F29">
              <w:rPr>
                <w:rFonts w:ascii="Times New Roman" w:hAnsi="Times New Roman" w:cs="Times New Roman"/>
                <w:i/>
                <w:iCs/>
                <w:sz w:val="20"/>
                <w:szCs w:val="20"/>
              </w:rPr>
              <w:t>Accipiter</w:t>
            </w:r>
            <w:proofErr w:type="spellEnd"/>
            <w:r w:rsidRPr="00A07F29">
              <w:rPr>
                <w:rFonts w:ascii="Times New Roman" w:hAnsi="Times New Roman" w:cs="Times New Roman"/>
                <w:i/>
                <w:iCs/>
                <w:sz w:val="20"/>
                <w:szCs w:val="20"/>
              </w:rPr>
              <w:t xml:space="preserve"> </w:t>
            </w:r>
            <w:proofErr w:type="spellStart"/>
            <w:r w:rsidRPr="00A07F29">
              <w:rPr>
                <w:rFonts w:ascii="Times New Roman" w:hAnsi="Times New Roman" w:cs="Times New Roman"/>
                <w:i/>
                <w:iCs/>
                <w:sz w:val="20"/>
                <w:szCs w:val="20"/>
              </w:rPr>
              <w:t>gentilis</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4DE76F"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ĪAS</w:t>
            </w:r>
            <w:r w:rsidRPr="00A07F29">
              <w:rPr>
                <w:rFonts w:ascii="Times New Roman" w:hAnsi="Times New Roman" w:cs="Times New Roman"/>
                <w:sz w:val="20"/>
                <w:szCs w:val="20"/>
                <w:vertAlign w:val="superscript"/>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B468F7"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2B84D3"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937C39"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3711944A"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Samazinās/Nezināms</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8729ED8"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LC</w:t>
            </w:r>
          </w:p>
        </w:tc>
      </w:tr>
      <w:tr w:rsidR="004F2FB2" w:rsidRPr="00A07F29" w14:paraId="68849FA5" w14:textId="77777777" w:rsidTr="0037188D">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73F0F" w14:textId="77777777" w:rsidR="004F2FB2" w:rsidRPr="00A07F29" w:rsidRDefault="004F2FB2" w:rsidP="004F2FB2">
            <w:pPr>
              <w:widowControl w:val="0"/>
              <w:autoSpaceDE w:val="0"/>
              <w:spacing w:after="0" w:line="240" w:lineRule="auto"/>
              <w:ind w:left="36"/>
              <w:rPr>
                <w:rFonts w:ascii="Times New Roman" w:hAnsi="Times New Roman"/>
                <w:bCs/>
                <w:sz w:val="20"/>
                <w:szCs w:val="20"/>
              </w:rPr>
            </w:pPr>
            <w:r w:rsidRPr="00A07F29">
              <w:rPr>
                <w:rFonts w:ascii="Times New Roman" w:hAnsi="Times New Roman"/>
                <w:bCs/>
                <w:sz w:val="20"/>
                <w:szCs w:val="20"/>
              </w:rPr>
              <w:t>22.</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0AD001" w14:textId="77777777" w:rsidR="004F2FB2" w:rsidRPr="00A07F29" w:rsidRDefault="004F2FB2" w:rsidP="004F2FB2">
            <w:pPr>
              <w:widowControl w:val="0"/>
              <w:autoSpaceDE w:val="0"/>
              <w:spacing w:after="0" w:line="240" w:lineRule="auto"/>
              <w:ind w:left="-23"/>
              <w:jc w:val="both"/>
              <w:rPr>
                <w:rFonts w:ascii="Times New Roman" w:hAnsi="Times New Roman" w:cs="Times New Roman"/>
                <w:sz w:val="20"/>
                <w:szCs w:val="20"/>
              </w:rPr>
            </w:pPr>
            <w:r w:rsidRPr="00A07F29">
              <w:rPr>
                <w:rFonts w:ascii="Times New Roman" w:hAnsi="Times New Roman" w:cs="Times New Roman"/>
                <w:sz w:val="20"/>
                <w:szCs w:val="20"/>
              </w:rPr>
              <w:t>Mazais ērglis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DAA0FE" w14:textId="77777777" w:rsidR="004F2FB2" w:rsidRPr="00A07F29" w:rsidRDefault="004F2FB2" w:rsidP="004F2FB2">
            <w:pPr>
              <w:widowControl w:val="0"/>
              <w:autoSpaceDE w:val="0"/>
              <w:spacing w:after="0" w:line="240" w:lineRule="auto"/>
              <w:jc w:val="both"/>
              <w:rPr>
                <w:rFonts w:ascii="Times New Roman" w:hAnsi="Times New Roman" w:cs="Times New Roman"/>
                <w:i/>
                <w:sz w:val="20"/>
                <w:szCs w:val="20"/>
              </w:rPr>
            </w:pPr>
            <w:proofErr w:type="spellStart"/>
            <w:r w:rsidRPr="00A07F29">
              <w:rPr>
                <w:rFonts w:ascii="Times New Roman" w:hAnsi="Times New Roman" w:cs="Times New Roman"/>
                <w:i/>
                <w:iCs/>
                <w:sz w:val="20"/>
                <w:szCs w:val="20"/>
              </w:rPr>
              <w:t>Clanga</w:t>
            </w:r>
            <w:proofErr w:type="spellEnd"/>
            <w:r w:rsidRPr="00A07F29">
              <w:rPr>
                <w:rFonts w:ascii="Times New Roman" w:hAnsi="Times New Roman" w:cs="Times New Roman"/>
                <w:i/>
                <w:iCs/>
                <w:sz w:val="20"/>
                <w:szCs w:val="20"/>
              </w:rPr>
              <w:t xml:space="preserve"> </w:t>
            </w:r>
            <w:proofErr w:type="spellStart"/>
            <w:r w:rsidRPr="00A07F29">
              <w:rPr>
                <w:rFonts w:ascii="Times New Roman" w:hAnsi="Times New Roman" w:cs="Times New Roman"/>
                <w:i/>
                <w:iCs/>
                <w:sz w:val="20"/>
                <w:szCs w:val="20"/>
              </w:rPr>
              <w:t>pomarina</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5EE699"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ĪAS</w:t>
            </w:r>
            <w:r w:rsidRPr="00A07F29">
              <w:rPr>
                <w:rFonts w:ascii="Times New Roman" w:hAnsi="Times New Roman" w:cs="Times New Roman"/>
                <w:sz w:val="20"/>
                <w:szCs w:val="20"/>
                <w:vertAlign w:val="superscript"/>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C14982"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PD I</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2DD677"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89960F" w14:textId="76CF8CB1"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LC</w:t>
            </w:r>
            <w:r w:rsidR="00A85704">
              <w:rPr>
                <w:rFonts w:ascii="Times New Roman" w:hAnsi="Times New Roman" w:cs="Times New Roman"/>
                <w:sz w:val="20"/>
                <w:szCs w:val="20"/>
                <w:vertAlign w:val="superscript"/>
              </w:rPr>
              <w:t>3</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54E769E"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r w:rsidRPr="00A07F29">
              <w:rPr>
                <w:rFonts w:ascii="Times New Roman" w:hAnsi="Times New Roman" w:cs="Times New Roman"/>
                <w:sz w:val="20"/>
                <w:szCs w:val="20"/>
              </w:rPr>
              <w:t>Pieaug/Stabils</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E297BF2"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LC</w:t>
            </w:r>
          </w:p>
        </w:tc>
      </w:tr>
      <w:tr w:rsidR="004F2FB2" w:rsidRPr="00A07F29" w14:paraId="244F2B4D" w14:textId="77777777" w:rsidTr="0037188D">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ED67A4" w14:textId="77777777" w:rsidR="004F2FB2" w:rsidRPr="00A07F29" w:rsidRDefault="004F2FB2" w:rsidP="004F2FB2">
            <w:pPr>
              <w:widowControl w:val="0"/>
              <w:autoSpaceDE w:val="0"/>
              <w:spacing w:after="0" w:line="240" w:lineRule="auto"/>
              <w:ind w:left="36"/>
              <w:rPr>
                <w:rFonts w:ascii="Times New Roman" w:hAnsi="Times New Roman"/>
                <w:bCs/>
                <w:sz w:val="20"/>
                <w:szCs w:val="20"/>
              </w:rPr>
            </w:pPr>
            <w:r w:rsidRPr="00A07F29">
              <w:rPr>
                <w:rFonts w:ascii="Times New Roman" w:hAnsi="Times New Roman"/>
                <w:bCs/>
                <w:sz w:val="20"/>
                <w:szCs w:val="20"/>
              </w:rPr>
              <w:t>23.</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ADCB3B" w14:textId="77777777" w:rsidR="004F2FB2" w:rsidRPr="00A07F29" w:rsidRDefault="004F2FB2" w:rsidP="004F2FB2">
            <w:pPr>
              <w:widowControl w:val="0"/>
              <w:autoSpaceDE w:val="0"/>
              <w:spacing w:after="0" w:line="240" w:lineRule="auto"/>
              <w:ind w:left="-23"/>
              <w:jc w:val="both"/>
              <w:rPr>
                <w:rFonts w:ascii="Times New Roman" w:hAnsi="Times New Roman" w:cs="Times New Roman"/>
                <w:sz w:val="20"/>
                <w:szCs w:val="20"/>
              </w:rPr>
            </w:pPr>
            <w:r w:rsidRPr="00A07F29">
              <w:rPr>
                <w:rFonts w:ascii="Times New Roman" w:hAnsi="Times New Roman" w:cs="Times New Roman"/>
                <w:sz w:val="20"/>
                <w:szCs w:val="20"/>
              </w:rPr>
              <w:t>Lauku piekūns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5A694E" w14:textId="77777777" w:rsidR="004F2FB2" w:rsidRPr="00A07F29" w:rsidRDefault="004F2FB2" w:rsidP="004F2FB2">
            <w:pPr>
              <w:widowControl w:val="0"/>
              <w:autoSpaceDE w:val="0"/>
              <w:spacing w:after="0" w:line="240" w:lineRule="auto"/>
              <w:jc w:val="both"/>
              <w:rPr>
                <w:rFonts w:ascii="Times New Roman" w:hAnsi="Times New Roman" w:cs="Times New Roman"/>
                <w:i/>
                <w:sz w:val="20"/>
                <w:szCs w:val="20"/>
              </w:rPr>
            </w:pPr>
            <w:proofErr w:type="spellStart"/>
            <w:r w:rsidRPr="00A07F29">
              <w:rPr>
                <w:rFonts w:ascii="Times New Roman" w:hAnsi="Times New Roman" w:cs="Times New Roman"/>
                <w:i/>
                <w:iCs/>
                <w:sz w:val="20"/>
                <w:szCs w:val="20"/>
              </w:rPr>
              <w:t>Falco</w:t>
            </w:r>
            <w:proofErr w:type="spellEnd"/>
            <w:r w:rsidRPr="00A07F29">
              <w:rPr>
                <w:rFonts w:ascii="Times New Roman" w:hAnsi="Times New Roman" w:cs="Times New Roman"/>
                <w:i/>
                <w:iCs/>
                <w:sz w:val="20"/>
                <w:szCs w:val="20"/>
              </w:rPr>
              <w:t xml:space="preserve"> </w:t>
            </w:r>
            <w:proofErr w:type="spellStart"/>
            <w:r w:rsidRPr="00A07F29">
              <w:rPr>
                <w:rFonts w:ascii="Times New Roman" w:hAnsi="Times New Roman" w:cs="Times New Roman"/>
                <w:i/>
                <w:iCs/>
                <w:sz w:val="20"/>
                <w:szCs w:val="20"/>
              </w:rPr>
              <w:t>tinnunculus</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86AB21"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ĪAS</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5FEA02"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A0FA1D"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A7E488"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9F6FF82"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Pieaug/Nezināms</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3B510B8"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LC</w:t>
            </w:r>
          </w:p>
        </w:tc>
      </w:tr>
      <w:tr w:rsidR="004F2FB2" w:rsidRPr="00A07F29" w14:paraId="1F5E50EE" w14:textId="77777777" w:rsidTr="0037188D">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3CF541" w14:textId="77777777" w:rsidR="004F2FB2" w:rsidRPr="00A07F29" w:rsidRDefault="004F2FB2" w:rsidP="004F2FB2">
            <w:pPr>
              <w:widowControl w:val="0"/>
              <w:autoSpaceDE w:val="0"/>
              <w:spacing w:after="0" w:line="240" w:lineRule="auto"/>
              <w:ind w:left="36"/>
              <w:rPr>
                <w:rFonts w:ascii="Times New Roman" w:hAnsi="Times New Roman"/>
                <w:bCs/>
                <w:sz w:val="20"/>
                <w:szCs w:val="20"/>
              </w:rPr>
            </w:pPr>
            <w:r w:rsidRPr="00A07F29">
              <w:rPr>
                <w:rFonts w:ascii="Times New Roman" w:hAnsi="Times New Roman"/>
                <w:bCs/>
                <w:sz w:val="20"/>
                <w:szCs w:val="20"/>
              </w:rPr>
              <w:t>24.</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996EA5" w14:textId="77777777" w:rsidR="004F2FB2" w:rsidRPr="00A07F29" w:rsidRDefault="004F2FB2" w:rsidP="004F2FB2">
            <w:pPr>
              <w:widowControl w:val="0"/>
              <w:autoSpaceDE w:val="0"/>
              <w:spacing w:after="0" w:line="240" w:lineRule="auto"/>
              <w:ind w:left="-23"/>
              <w:jc w:val="both"/>
              <w:rPr>
                <w:rFonts w:ascii="Times New Roman" w:hAnsi="Times New Roman" w:cs="Times New Roman"/>
                <w:sz w:val="20"/>
                <w:szCs w:val="20"/>
              </w:rPr>
            </w:pPr>
            <w:r w:rsidRPr="00A07F29">
              <w:rPr>
                <w:rFonts w:ascii="Times New Roman" w:hAnsi="Times New Roman" w:cs="Times New Roman"/>
                <w:sz w:val="20"/>
                <w:szCs w:val="20"/>
              </w:rPr>
              <w:t>Grieze</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3673FA" w14:textId="77777777" w:rsidR="004F2FB2" w:rsidRPr="00A07F29" w:rsidRDefault="004F2FB2" w:rsidP="004F2FB2">
            <w:pPr>
              <w:widowControl w:val="0"/>
              <w:autoSpaceDE w:val="0"/>
              <w:spacing w:after="0" w:line="240" w:lineRule="auto"/>
              <w:jc w:val="both"/>
              <w:rPr>
                <w:rFonts w:ascii="Times New Roman" w:hAnsi="Times New Roman" w:cs="Times New Roman"/>
                <w:i/>
                <w:sz w:val="20"/>
                <w:szCs w:val="20"/>
              </w:rPr>
            </w:pPr>
            <w:proofErr w:type="spellStart"/>
            <w:r w:rsidRPr="00A07F29">
              <w:rPr>
                <w:rFonts w:ascii="Times New Roman" w:hAnsi="Times New Roman" w:cs="Times New Roman"/>
                <w:i/>
                <w:iCs/>
                <w:sz w:val="20"/>
                <w:szCs w:val="20"/>
              </w:rPr>
              <w:t>Crex</w:t>
            </w:r>
            <w:proofErr w:type="spellEnd"/>
            <w:r w:rsidRPr="00A07F29">
              <w:rPr>
                <w:rFonts w:ascii="Times New Roman" w:hAnsi="Times New Roman" w:cs="Times New Roman"/>
                <w:i/>
                <w:iCs/>
                <w:sz w:val="20"/>
                <w:szCs w:val="20"/>
              </w:rPr>
              <w:t xml:space="preserve"> </w:t>
            </w:r>
            <w:proofErr w:type="spellStart"/>
            <w:r w:rsidRPr="00A07F29">
              <w:rPr>
                <w:rFonts w:ascii="Times New Roman" w:hAnsi="Times New Roman" w:cs="Times New Roman"/>
                <w:i/>
                <w:iCs/>
                <w:sz w:val="20"/>
                <w:szCs w:val="20"/>
              </w:rPr>
              <w:t>crex</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0C14F5"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ĪAS</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8D04B9"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PD I</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FB01A8"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X</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7B3258"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3147292B"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Samazinās/Pieaug</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203303D"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LC</w:t>
            </w:r>
          </w:p>
        </w:tc>
      </w:tr>
      <w:tr w:rsidR="004F2FB2" w:rsidRPr="00A07F29" w14:paraId="1FC74EDA" w14:textId="77777777" w:rsidTr="0037188D">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5379DB" w14:textId="77777777" w:rsidR="004F2FB2" w:rsidRPr="00A07F29" w:rsidRDefault="004F2FB2" w:rsidP="004F2FB2">
            <w:pPr>
              <w:widowControl w:val="0"/>
              <w:autoSpaceDE w:val="0"/>
              <w:spacing w:after="0" w:line="240" w:lineRule="auto"/>
              <w:ind w:left="36"/>
              <w:rPr>
                <w:rFonts w:ascii="Times New Roman" w:hAnsi="Times New Roman"/>
                <w:bCs/>
                <w:sz w:val="20"/>
                <w:szCs w:val="20"/>
              </w:rPr>
            </w:pPr>
            <w:r w:rsidRPr="00A07F29">
              <w:rPr>
                <w:rFonts w:ascii="Times New Roman" w:hAnsi="Times New Roman"/>
                <w:bCs/>
                <w:sz w:val="20"/>
                <w:szCs w:val="20"/>
              </w:rPr>
              <w:t>25.</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766D4D" w14:textId="77777777" w:rsidR="004F2FB2" w:rsidRPr="00A07F29" w:rsidRDefault="004F2FB2" w:rsidP="004F2FB2">
            <w:pPr>
              <w:widowControl w:val="0"/>
              <w:autoSpaceDE w:val="0"/>
              <w:spacing w:after="0" w:line="240" w:lineRule="auto"/>
              <w:ind w:left="-23"/>
              <w:jc w:val="both"/>
              <w:rPr>
                <w:rFonts w:ascii="Times New Roman" w:hAnsi="Times New Roman" w:cs="Times New Roman"/>
                <w:sz w:val="20"/>
                <w:szCs w:val="20"/>
              </w:rPr>
            </w:pPr>
            <w:r w:rsidRPr="00A07F29">
              <w:rPr>
                <w:rFonts w:ascii="Times New Roman" w:hAnsi="Times New Roman" w:cs="Times New Roman"/>
                <w:sz w:val="20"/>
                <w:szCs w:val="20"/>
              </w:rPr>
              <w:t>Mazais ormanītis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4BD2ED" w14:textId="77777777" w:rsidR="004F2FB2" w:rsidRPr="00A07F29" w:rsidRDefault="004F2FB2" w:rsidP="004F2FB2">
            <w:pPr>
              <w:widowControl w:val="0"/>
              <w:autoSpaceDE w:val="0"/>
              <w:spacing w:after="0" w:line="240" w:lineRule="auto"/>
              <w:jc w:val="both"/>
              <w:rPr>
                <w:rFonts w:ascii="Times New Roman" w:hAnsi="Times New Roman" w:cs="Times New Roman"/>
                <w:i/>
                <w:iCs/>
                <w:sz w:val="20"/>
                <w:szCs w:val="20"/>
              </w:rPr>
            </w:pPr>
            <w:proofErr w:type="spellStart"/>
            <w:r w:rsidRPr="00A07F29">
              <w:rPr>
                <w:rFonts w:ascii="Times New Roman" w:hAnsi="Times New Roman" w:cs="Times New Roman"/>
                <w:i/>
                <w:iCs/>
                <w:sz w:val="20"/>
                <w:szCs w:val="20"/>
              </w:rPr>
              <w:t>Zapornia</w:t>
            </w:r>
            <w:proofErr w:type="spellEnd"/>
            <w:r w:rsidRPr="00A07F29">
              <w:rPr>
                <w:rFonts w:ascii="Times New Roman" w:hAnsi="Times New Roman" w:cs="Times New Roman"/>
                <w:i/>
                <w:iCs/>
                <w:sz w:val="20"/>
                <w:szCs w:val="20"/>
              </w:rPr>
              <w:t xml:space="preserve"> </w:t>
            </w:r>
            <w:proofErr w:type="spellStart"/>
            <w:r w:rsidRPr="00A07F29">
              <w:rPr>
                <w:rFonts w:ascii="Times New Roman" w:hAnsi="Times New Roman" w:cs="Times New Roman"/>
                <w:i/>
                <w:iCs/>
                <w:sz w:val="20"/>
                <w:szCs w:val="20"/>
              </w:rPr>
              <w:t>parva</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E7BFE9"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ĪAS</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BA4A7A"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PD I</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C7F579"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2103EA"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7BA0037E"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Stabils/Pieaug</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4B2F0A9"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LC</w:t>
            </w:r>
          </w:p>
        </w:tc>
      </w:tr>
      <w:tr w:rsidR="004F2FB2" w:rsidRPr="00A07F29" w14:paraId="4C043982" w14:textId="77777777" w:rsidTr="0037188D">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28B14D" w14:textId="77777777" w:rsidR="004F2FB2" w:rsidRPr="00A07F29" w:rsidRDefault="004F2FB2" w:rsidP="004F2FB2">
            <w:pPr>
              <w:widowControl w:val="0"/>
              <w:autoSpaceDE w:val="0"/>
              <w:spacing w:after="0" w:line="240" w:lineRule="auto"/>
              <w:ind w:left="36"/>
              <w:rPr>
                <w:rFonts w:ascii="Times New Roman" w:hAnsi="Times New Roman"/>
                <w:bCs/>
                <w:sz w:val="20"/>
                <w:szCs w:val="20"/>
              </w:rPr>
            </w:pPr>
            <w:r w:rsidRPr="00A07F29">
              <w:rPr>
                <w:rFonts w:ascii="Times New Roman" w:hAnsi="Times New Roman"/>
                <w:bCs/>
                <w:sz w:val="20"/>
                <w:szCs w:val="20"/>
              </w:rPr>
              <w:t>26.</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26A1FB" w14:textId="77777777" w:rsidR="004F2FB2" w:rsidRPr="00A07F29" w:rsidRDefault="004F2FB2" w:rsidP="004F2FB2">
            <w:pPr>
              <w:widowControl w:val="0"/>
              <w:autoSpaceDE w:val="0"/>
              <w:spacing w:after="0" w:line="240" w:lineRule="auto"/>
              <w:ind w:left="-23"/>
              <w:jc w:val="both"/>
              <w:rPr>
                <w:rFonts w:ascii="Times New Roman" w:hAnsi="Times New Roman" w:cs="Times New Roman"/>
                <w:sz w:val="20"/>
                <w:szCs w:val="20"/>
              </w:rPr>
            </w:pPr>
            <w:r w:rsidRPr="00A07F29">
              <w:rPr>
                <w:rFonts w:ascii="Times New Roman" w:hAnsi="Times New Roman" w:cs="Times New Roman"/>
                <w:sz w:val="20"/>
                <w:szCs w:val="20"/>
              </w:rPr>
              <w:t>Ormanītis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20C6D7" w14:textId="77777777" w:rsidR="004F2FB2" w:rsidRPr="00A07F29" w:rsidRDefault="004F2FB2" w:rsidP="004F2FB2">
            <w:pPr>
              <w:widowControl w:val="0"/>
              <w:autoSpaceDE w:val="0"/>
              <w:spacing w:after="0" w:line="240" w:lineRule="auto"/>
              <w:jc w:val="both"/>
              <w:rPr>
                <w:rFonts w:ascii="Times New Roman" w:hAnsi="Times New Roman" w:cs="Times New Roman"/>
                <w:i/>
                <w:sz w:val="20"/>
                <w:szCs w:val="20"/>
              </w:rPr>
            </w:pPr>
            <w:proofErr w:type="spellStart"/>
            <w:r w:rsidRPr="00A07F29">
              <w:rPr>
                <w:rFonts w:ascii="Times New Roman" w:hAnsi="Times New Roman" w:cs="Times New Roman"/>
                <w:i/>
                <w:iCs/>
                <w:sz w:val="20"/>
                <w:szCs w:val="20"/>
              </w:rPr>
              <w:t>Porzana</w:t>
            </w:r>
            <w:proofErr w:type="spellEnd"/>
            <w:r w:rsidRPr="00A07F29">
              <w:rPr>
                <w:rFonts w:ascii="Times New Roman" w:hAnsi="Times New Roman" w:cs="Times New Roman"/>
                <w:i/>
                <w:iCs/>
                <w:sz w:val="20"/>
                <w:szCs w:val="20"/>
              </w:rPr>
              <w:t xml:space="preserve"> </w:t>
            </w:r>
            <w:proofErr w:type="spellStart"/>
            <w:r w:rsidRPr="00A07F29">
              <w:rPr>
                <w:rFonts w:ascii="Times New Roman" w:hAnsi="Times New Roman" w:cs="Times New Roman"/>
                <w:i/>
                <w:iCs/>
                <w:sz w:val="20"/>
                <w:szCs w:val="20"/>
              </w:rPr>
              <w:t>porzana</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7909D6"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ĪAS</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7B35E6"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PD I</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CFAC9F"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1E112D"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285B4C8"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Neskaidrs/Pieaug</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E75106E"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LC</w:t>
            </w:r>
          </w:p>
        </w:tc>
      </w:tr>
      <w:tr w:rsidR="004F2FB2" w:rsidRPr="00A07F29" w14:paraId="0C4E23C4" w14:textId="77777777" w:rsidTr="0037188D">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1F1022" w14:textId="77777777" w:rsidR="004F2FB2" w:rsidRPr="00A07F29" w:rsidRDefault="004F2FB2" w:rsidP="004F2FB2">
            <w:pPr>
              <w:widowControl w:val="0"/>
              <w:autoSpaceDE w:val="0"/>
              <w:spacing w:after="0" w:line="240" w:lineRule="auto"/>
              <w:ind w:left="36"/>
              <w:rPr>
                <w:rFonts w:ascii="Times New Roman" w:hAnsi="Times New Roman"/>
                <w:bCs/>
                <w:sz w:val="20"/>
                <w:szCs w:val="20"/>
              </w:rPr>
            </w:pPr>
            <w:r w:rsidRPr="00A07F29">
              <w:rPr>
                <w:rFonts w:ascii="Times New Roman" w:hAnsi="Times New Roman"/>
                <w:bCs/>
                <w:sz w:val="20"/>
                <w:szCs w:val="20"/>
              </w:rPr>
              <w:t>27.</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BAD560" w14:textId="77777777" w:rsidR="004F2FB2" w:rsidRPr="00A07F29" w:rsidRDefault="004F2FB2" w:rsidP="004F2FB2">
            <w:pPr>
              <w:widowControl w:val="0"/>
              <w:autoSpaceDE w:val="0"/>
              <w:spacing w:after="0" w:line="240" w:lineRule="auto"/>
              <w:ind w:left="-23"/>
              <w:jc w:val="both"/>
              <w:rPr>
                <w:rFonts w:ascii="Times New Roman" w:hAnsi="Times New Roman" w:cs="Times New Roman"/>
                <w:sz w:val="20"/>
                <w:szCs w:val="20"/>
              </w:rPr>
            </w:pPr>
            <w:r w:rsidRPr="00A07F29">
              <w:rPr>
                <w:rFonts w:ascii="Times New Roman" w:hAnsi="Times New Roman" w:cs="Times New Roman"/>
                <w:sz w:val="20"/>
                <w:szCs w:val="20"/>
              </w:rPr>
              <w:t>Dzērve</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98825D" w14:textId="77777777" w:rsidR="004F2FB2" w:rsidRPr="00A07F29" w:rsidRDefault="004F2FB2" w:rsidP="004F2FB2">
            <w:pPr>
              <w:widowControl w:val="0"/>
              <w:autoSpaceDE w:val="0"/>
              <w:spacing w:after="0" w:line="240" w:lineRule="auto"/>
              <w:jc w:val="both"/>
              <w:rPr>
                <w:rFonts w:ascii="Times New Roman" w:hAnsi="Times New Roman" w:cs="Times New Roman"/>
                <w:i/>
                <w:sz w:val="20"/>
                <w:szCs w:val="20"/>
              </w:rPr>
            </w:pPr>
            <w:proofErr w:type="spellStart"/>
            <w:r w:rsidRPr="00A07F29">
              <w:rPr>
                <w:rFonts w:ascii="Times New Roman" w:hAnsi="Times New Roman" w:cs="Times New Roman"/>
                <w:i/>
                <w:iCs/>
                <w:sz w:val="20"/>
                <w:szCs w:val="20"/>
              </w:rPr>
              <w:t>Grus</w:t>
            </w:r>
            <w:proofErr w:type="spellEnd"/>
            <w:r w:rsidRPr="00A07F29">
              <w:rPr>
                <w:rFonts w:ascii="Times New Roman" w:hAnsi="Times New Roman" w:cs="Times New Roman"/>
                <w:i/>
                <w:iCs/>
                <w:sz w:val="20"/>
                <w:szCs w:val="20"/>
              </w:rPr>
              <w:t xml:space="preserve"> </w:t>
            </w:r>
            <w:proofErr w:type="spellStart"/>
            <w:r w:rsidRPr="00A07F29">
              <w:rPr>
                <w:rFonts w:ascii="Times New Roman" w:hAnsi="Times New Roman" w:cs="Times New Roman"/>
                <w:i/>
                <w:iCs/>
                <w:sz w:val="20"/>
                <w:szCs w:val="20"/>
              </w:rPr>
              <w:t>grus</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CE165A"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ĪAS</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3C828A"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PD I</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68CE1C"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B7EA2E"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309FB0AB"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r w:rsidRPr="00A07F29">
              <w:rPr>
                <w:rFonts w:ascii="Times New Roman" w:hAnsi="Times New Roman" w:cs="Times New Roman"/>
                <w:sz w:val="20"/>
                <w:szCs w:val="20"/>
              </w:rPr>
              <w:t>Pieaug/Pieaug</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9494E4F"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LC</w:t>
            </w:r>
          </w:p>
        </w:tc>
      </w:tr>
      <w:tr w:rsidR="004F2FB2" w:rsidRPr="00A07F29" w14:paraId="4B24C633" w14:textId="77777777" w:rsidTr="0037188D">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BEBB72" w14:textId="77777777" w:rsidR="004F2FB2" w:rsidRPr="00A07F29" w:rsidRDefault="004F2FB2" w:rsidP="004F2FB2">
            <w:pPr>
              <w:widowControl w:val="0"/>
              <w:autoSpaceDE w:val="0"/>
              <w:spacing w:after="0" w:line="240" w:lineRule="auto"/>
              <w:ind w:left="36"/>
              <w:rPr>
                <w:rFonts w:ascii="Times New Roman" w:hAnsi="Times New Roman"/>
                <w:bCs/>
                <w:sz w:val="20"/>
                <w:szCs w:val="20"/>
              </w:rPr>
            </w:pPr>
            <w:r w:rsidRPr="00A07F29">
              <w:rPr>
                <w:rFonts w:ascii="Times New Roman" w:hAnsi="Times New Roman"/>
                <w:bCs/>
                <w:sz w:val="20"/>
                <w:szCs w:val="20"/>
              </w:rPr>
              <w:t>28.</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29C275" w14:textId="77777777" w:rsidR="004F2FB2" w:rsidRPr="00A07F29" w:rsidRDefault="004F2FB2" w:rsidP="004F2FB2">
            <w:pPr>
              <w:widowControl w:val="0"/>
              <w:autoSpaceDE w:val="0"/>
              <w:spacing w:after="0" w:line="240" w:lineRule="auto"/>
              <w:ind w:left="-23"/>
              <w:jc w:val="both"/>
              <w:rPr>
                <w:rFonts w:ascii="Times New Roman" w:hAnsi="Times New Roman" w:cs="Times New Roman"/>
                <w:sz w:val="20"/>
                <w:szCs w:val="20"/>
              </w:rPr>
            </w:pPr>
            <w:r w:rsidRPr="00A07F29">
              <w:rPr>
                <w:rFonts w:ascii="Times New Roman" w:hAnsi="Times New Roman" w:cs="Times New Roman"/>
                <w:sz w:val="20"/>
                <w:szCs w:val="20"/>
              </w:rPr>
              <w:t>Jūras žagata</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15C544" w14:textId="77777777" w:rsidR="004F2FB2" w:rsidRPr="00A07F29" w:rsidRDefault="004F2FB2" w:rsidP="004F2FB2">
            <w:pPr>
              <w:widowControl w:val="0"/>
              <w:autoSpaceDE w:val="0"/>
              <w:spacing w:after="0" w:line="240" w:lineRule="auto"/>
              <w:jc w:val="both"/>
              <w:rPr>
                <w:rFonts w:ascii="Times New Roman" w:hAnsi="Times New Roman" w:cs="Times New Roman"/>
                <w:i/>
                <w:sz w:val="20"/>
                <w:szCs w:val="20"/>
              </w:rPr>
            </w:pPr>
            <w:proofErr w:type="spellStart"/>
            <w:r w:rsidRPr="00A07F29">
              <w:rPr>
                <w:rFonts w:ascii="Times New Roman" w:hAnsi="Times New Roman" w:cs="Times New Roman"/>
                <w:i/>
                <w:iCs/>
                <w:sz w:val="20"/>
                <w:szCs w:val="20"/>
              </w:rPr>
              <w:t>Haematopus</w:t>
            </w:r>
            <w:proofErr w:type="spellEnd"/>
            <w:r w:rsidRPr="00A07F29">
              <w:rPr>
                <w:rFonts w:ascii="Times New Roman" w:hAnsi="Times New Roman" w:cs="Times New Roman"/>
                <w:i/>
                <w:iCs/>
                <w:sz w:val="20"/>
                <w:szCs w:val="20"/>
              </w:rPr>
              <w:t xml:space="preserve"> </w:t>
            </w:r>
            <w:proofErr w:type="spellStart"/>
            <w:r w:rsidRPr="00A07F29">
              <w:rPr>
                <w:rFonts w:ascii="Times New Roman" w:hAnsi="Times New Roman" w:cs="Times New Roman"/>
                <w:i/>
                <w:iCs/>
                <w:sz w:val="20"/>
                <w:szCs w:val="20"/>
              </w:rPr>
              <w:t>ostralegus</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3D9579"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ĪAS</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9C1FA4"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PD II</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76CADD"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517CE5"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6531135D"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Samazinās/Stabils</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6C0BD24"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VU</w:t>
            </w:r>
          </w:p>
        </w:tc>
      </w:tr>
      <w:tr w:rsidR="004F2FB2" w:rsidRPr="00A07F29" w14:paraId="417DF4A8" w14:textId="77777777" w:rsidTr="0037188D">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D46E3D" w14:textId="77777777" w:rsidR="004F2FB2" w:rsidRPr="00A07F29" w:rsidRDefault="004F2FB2" w:rsidP="004F2FB2">
            <w:pPr>
              <w:widowControl w:val="0"/>
              <w:autoSpaceDE w:val="0"/>
              <w:spacing w:after="0" w:line="240" w:lineRule="auto"/>
              <w:ind w:left="36"/>
              <w:rPr>
                <w:rFonts w:ascii="Times New Roman" w:hAnsi="Times New Roman"/>
                <w:bCs/>
                <w:sz w:val="20"/>
                <w:szCs w:val="20"/>
              </w:rPr>
            </w:pPr>
            <w:r w:rsidRPr="00A07F29">
              <w:rPr>
                <w:rFonts w:ascii="Times New Roman" w:hAnsi="Times New Roman"/>
                <w:bCs/>
                <w:sz w:val="20"/>
                <w:szCs w:val="20"/>
              </w:rPr>
              <w:t>29.</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960096" w14:textId="77777777" w:rsidR="004F2FB2" w:rsidRPr="00A07F29" w:rsidRDefault="004F2FB2" w:rsidP="004F2FB2">
            <w:pPr>
              <w:widowControl w:val="0"/>
              <w:autoSpaceDE w:val="0"/>
              <w:spacing w:after="0" w:line="240" w:lineRule="auto"/>
              <w:ind w:left="-23"/>
              <w:jc w:val="both"/>
              <w:rPr>
                <w:rFonts w:ascii="Times New Roman" w:hAnsi="Times New Roman" w:cs="Times New Roman"/>
                <w:sz w:val="20"/>
                <w:szCs w:val="20"/>
              </w:rPr>
            </w:pPr>
            <w:r w:rsidRPr="00A07F29">
              <w:rPr>
                <w:rFonts w:ascii="Times New Roman" w:hAnsi="Times New Roman" w:cs="Times New Roman"/>
                <w:sz w:val="20"/>
                <w:szCs w:val="20"/>
              </w:rPr>
              <w:t>Pļavu tilbīte</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A15FF3" w14:textId="77777777" w:rsidR="004F2FB2" w:rsidRPr="00A07F29" w:rsidRDefault="004F2FB2" w:rsidP="004F2FB2">
            <w:pPr>
              <w:widowControl w:val="0"/>
              <w:autoSpaceDE w:val="0"/>
              <w:spacing w:after="0" w:line="240" w:lineRule="auto"/>
              <w:jc w:val="both"/>
              <w:rPr>
                <w:rFonts w:ascii="Times New Roman" w:hAnsi="Times New Roman" w:cs="Times New Roman"/>
                <w:i/>
                <w:iCs/>
                <w:sz w:val="20"/>
                <w:szCs w:val="20"/>
              </w:rPr>
            </w:pPr>
            <w:proofErr w:type="spellStart"/>
            <w:r w:rsidRPr="00A07F29">
              <w:rPr>
                <w:rFonts w:ascii="Times New Roman" w:hAnsi="Times New Roman" w:cs="Times New Roman"/>
                <w:i/>
                <w:iCs/>
                <w:sz w:val="20"/>
                <w:szCs w:val="20"/>
              </w:rPr>
              <w:t>Tringa</w:t>
            </w:r>
            <w:proofErr w:type="spellEnd"/>
            <w:r w:rsidRPr="00A07F29">
              <w:rPr>
                <w:rFonts w:ascii="Times New Roman" w:hAnsi="Times New Roman" w:cs="Times New Roman"/>
                <w:i/>
                <w:iCs/>
                <w:sz w:val="20"/>
                <w:szCs w:val="20"/>
              </w:rPr>
              <w:t xml:space="preserve"> </w:t>
            </w:r>
            <w:proofErr w:type="spellStart"/>
            <w:r w:rsidRPr="00A07F29">
              <w:rPr>
                <w:rFonts w:ascii="Times New Roman" w:hAnsi="Times New Roman" w:cs="Times New Roman"/>
                <w:i/>
                <w:iCs/>
                <w:sz w:val="20"/>
                <w:szCs w:val="20"/>
              </w:rPr>
              <w:t>totanus</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EA9E82"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ĪAS</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CFA1AB"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PD II</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79E430"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33FD70"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358E7460"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Samazinās/Samazinās</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51353AD"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LC</w:t>
            </w:r>
          </w:p>
        </w:tc>
      </w:tr>
      <w:tr w:rsidR="004F2FB2" w:rsidRPr="00A07F29" w14:paraId="700F2D98" w14:textId="77777777" w:rsidTr="0037188D">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1F9E96" w14:textId="77777777" w:rsidR="004F2FB2" w:rsidRPr="00A07F29" w:rsidRDefault="004F2FB2" w:rsidP="004F2FB2">
            <w:pPr>
              <w:widowControl w:val="0"/>
              <w:autoSpaceDE w:val="0"/>
              <w:spacing w:after="0" w:line="240" w:lineRule="auto"/>
              <w:ind w:left="36"/>
              <w:rPr>
                <w:rFonts w:ascii="Times New Roman" w:hAnsi="Times New Roman"/>
                <w:bCs/>
                <w:sz w:val="20"/>
                <w:szCs w:val="20"/>
              </w:rPr>
            </w:pPr>
            <w:r w:rsidRPr="00A07F29">
              <w:rPr>
                <w:rFonts w:ascii="Times New Roman" w:hAnsi="Times New Roman"/>
                <w:bCs/>
                <w:sz w:val="20"/>
                <w:szCs w:val="20"/>
              </w:rPr>
              <w:t>30.</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1393E5" w14:textId="77777777" w:rsidR="004F2FB2" w:rsidRPr="00A07F29" w:rsidRDefault="004F2FB2" w:rsidP="004F2FB2">
            <w:pPr>
              <w:widowControl w:val="0"/>
              <w:autoSpaceDE w:val="0"/>
              <w:spacing w:after="0" w:line="240" w:lineRule="auto"/>
              <w:ind w:left="-23"/>
              <w:jc w:val="both"/>
              <w:rPr>
                <w:rFonts w:ascii="Times New Roman" w:hAnsi="Times New Roman" w:cs="Times New Roman"/>
                <w:sz w:val="20"/>
                <w:szCs w:val="20"/>
              </w:rPr>
            </w:pPr>
            <w:r w:rsidRPr="00A07F29">
              <w:rPr>
                <w:rFonts w:ascii="Times New Roman" w:hAnsi="Times New Roman" w:cs="Times New Roman"/>
                <w:sz w:val="20"/>
                <w:szCs w:val="20"/>
              </w:rPr>
              <w:t>Lielais ķīris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1D82E5" w14:textId="77777777" w:rsidR="004F2FB2" w:rsidRPr="00A07F29" w:rsidRDefault="004F2FB2" w:rsidP="004F2FB2">
            <w:pPr>
              <w:widowControl w:val="0"/>
              <w:autoSpaceDE w:val="0"/>
              <w:spacing w:after="0" w:line="240" w:lineRule="auto"/>
              <w:jc w:val="both"/>
              <w:rPr>
                <w:rFonts w:ascii="Times New Roman" w:hAnsi="Times New Roman" w:cs="Times New Roman"/>
                <w:i/>
                <w:sz w:val="20"/>
                <w:szCs w:val="20"/>
              </w:rPr>
            </w:pPr>
            <w:proofErr w:type="spellStart"/>
            <w:r w:rsidRPr="00A07F29">
              <w:rPr>
                <w:rFonts w:ascii="Times New Roman" w:hAnsi="Times New Roman" w:cs="Times New Roman"/>
                <w:i/>
                <w:iCs/>
                <w:sz w:val="20"/>
                <w:szCs w:val="20"/>
              </w:rPr>
              <w:t>Chroicocephalus</w:t>
            </w:r>
            <w:proofErr w:type="spellEnd"/>
            <w:r w:rsidRPr="00A07F29">
              <w:rPr>
                <w:rFonts w:ascii="Times New Roman" w:hAnsi="Times New Roman" w:cs="Times New Roman"/>
                <w:i/>
                <w:iCs/>
                <w:sz w:val="20"/>
                <w:szCs w:val="20"/>
              </w:rPr>
              <w:t xml:space="preserve"> </w:t>
            </w:r>
            <w:proofErr w:type="spellStart"/>
            <w:r w:rsidRPr="00A07F29">
              <w:rPr>
                <w:rFonts w:ascii="Times New Roman" w:hAnsi="Times New Roman" w:cs="Times New Roman"/>
                <w:i/>
                <w:iCs/>
                <w:sz w:val="20"/>
                <w:szCs w:val="20"/>
              </w:rPr>
              <w:t>ridibundus</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3368B4"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ĪAS</w:t>
            </w:r>
            <w:r w:rsidRPr="00A07F29">
              <w:rPr>
                <w:rFonts w:ascii="Times New Roman" w:hAnsi="Times New Roman" w:cs="Times New Roman"/>
                <w:sz w:val="20"/>
                <w:szCs w:val="20"/>
                <w:vertAlign w:val="superscript"/>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448F3F"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PD II</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380CCC"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4FCEB1"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2AB93B50"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Samazinās/Samazinās</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F252BD4"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LC</w:t>
            </w:r>
          </w:p>
        </w:tc>
      </w:tr>
      <w:tr w:rsidR="004F2FB2" w:rsidRPr="00A07F29" w14:paraId="6F78FE20" w14:textId="77777777" w:rsidTr="0037188D">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55084C" w14:textId="77777777" w:rsidR="004F2FB2" w:rsidRPr="00A07F29" w:rsidRDefault="004F2FB2" w:rsidP="004F2FB2">
            <w:pPr>
              <w:widowControl w:val="0"/>
              <w:autoSpaceDE w:val="0"/>
              <w:spacing w:after="0" w:line="240" w:lineRule="auto"/>
              <w:ind w:left="36"/>
              <w:rPr>
                <w:rFonts w:ascii="Times New Roman" w:hAnsi="Times New Roman"/>
                <w:bCs/>
                <w:sz w:val="20"/>
                <w:szCs w:val="20"/>
              </w:rPr>
            </w:pPr>
            <w:r w:rsidRPr="00A07F29">
              <w:rPr>
                <w:rFonts w:ascii="Times New Roman" w:hAnsi="Times New Roman"/>
                <w:bCs/>
                <w:sz w:val="20"/>
                <w:szCs w:val="20"/>
              </w:rPr>
              <w:t>31.</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2C0AA1" w14:textId="77777777" w:rsidR="004F2FB2" w:rsidRPr="00A07F29" w:rsidRDefault="004F2FB2" w:rsidP="004F2FB2">
            <w:pPr>
              <w:widowControl w:val="0"/>
              <w:autoSpaceDE w:val="0"/>
              <w:spacing w:after="0" w:line="240" w:lineRule="auto"/>
              <w:ind w:left="-23"/>
              <w:jc w:val="both"/>
              <w:rPr>
                <w:rFonts w:ascii="Times New Roman" w:hAnsi="Times New Roman" w:cs="Times New Roman"/>
                <w:sz w:val="20"/>
                <w:szCs w:val="20"/>
              </w:rPr>
            </w:pPr>
            <w:r w:rsidRPr="00A07F29">
              <w:rPr>
                <w:rFonts w:ascii="Times New Roman" w:hAnsi="Times New Roman" w:cs="Times New Roman"/>
                <w:sz w:val="20"/>
                <w:szCs w:val="20"/>
              </w:rPr>
              <w:t>Mazais ķīris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A06CBF" w14:textId="77777777" w:rsidR="004F2FB2" w:rsidRPr="00A07F29" w:rsidRDefault="004F2FB2" w:rsidP="004F2FB2">
            <w:pPr>
              <w:widowControl w:val="0"/>
              <w:autoSpaceDE w:val="0"/>
              <w:spacing w:after="0" w:line="240" w:lineRule="auto"/>
              <w:jc w:val="both"/>
              <w:rPr>
                <w:rFonts w:ascii="Times New Roman" w:hAnsi="Times New Roman" w:cs="Times New Roman"/>
                <w:i/>
                <w:iCs/>
                <w:sz w:val="20"/>
                <w:szCs w:val="20"/>
              </w:rPr>
            </w:pPr>
            <w:proofErr w:type="spellStart"/>
            <w:r w:rsidRPr="00A07F29">
              <w:rPr>
                <w:rFonts w:ascii="Times New Roman" w:hAnsi="Times New Roman" w:cs="Times New Roman"/>
                <w:i/>
                <w:iCs/>
                <w:sz w:val="20"/>
                <w:szCs w:val="20"/>
              </w:rPr>
              <w:t>Hydrocoloeus</w:t>
            </w:r>
            <w:proofErr w:type="spellEnd"/>
            <w:r w:rsidRPr="00A07F29">
              <w:rPr>
                <w:rFonts w:ascii="Times New Roman" w:hAnsi="Times New Roman" w:cs="Times New Roman"/>
                <w:i/>
                <w:iCs/>
                <w:sz w:val="20"/>
                <w:szCs w:val="20"/>
              </w:rPr>
              <w:t xml:space="preserve"> </w:t>
            </w:r>
            <w:proofErr w:type="spellStart"/>
            <w:r w:rsidRPr="00A07F29">
              <w:rPr>
                <w:rFonts w:ascii="Times New Roman" w:hAnsi="Times New Roman" w:cs="Times New Roman"/>
                <w:i/>
                <w:iCs/>
                <w:sz w:val="20"/>
                <w:szCs w:val="20"/>
              </w:rPr>
              <w:t>minutus</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78C64F"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ĪAS</w:t>
            </w:r>
            <w:r w:rsidRPr="00A07F29">
              <w:rPr>
                <w:rFonts w:ascii="Times New Roman" w:hAnsi="Times New Roman" w:cs="Times New Roman"/>
                <w:sz w:val="20"/>
                <w:szCs w:val="20"/>
                <w:vertAlign w:val="superscript"/>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5CA642"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PD II</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62F87C"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E383F6"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1E4A692F"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Samazinās/Samazinās</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7B1EA5F"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NT</w:t>
            </w:r>
          </w:p>
        </w:tc>
      </w:tr>
      <w:tr w:rsidR="004F2FB2" w:rsidRPr="00A07F29" w14:paraId="3E1334A6" w14:textId="77777777" w:rsidTr="0037188D">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B9F3A2" w14:textId="77777777" w:rsidR="004F2FB2" w:rsidRPr="00A07F29" w:rsidRDefault="004F2FB2" w:rsidP="004F2FB2">
            <w:pPr>
              <w:widowControl w:val="0"/>
              <w:autoSpaceDE w:val="0"/>
              <w:spacing w:after="0" w:line="240" w:lineRule="auto"/>
              <w:ind w:left="36"/>
              <w:rPr>
                <w:rFonts w:ascii="Times New Roman" w:hAnsi="Times New Roman"/>
                <w:bCs/>
                <w:sz w:val="20"/>
                <w:szCs w:val="20"/>
              </w:rPr>
            </w:pPr>
            <w:r w:rsidRPr="00A07F29">
              <w:rPr>
                <w:rFonts w:ascii="Times New Roman" w:hAnsi="Times New Roman"/>
                <w:bCs/>
                <w:sz w:val="20"/>
                <w:szCs w:val="20"/>
              </w:rPr>
              <w:t>32.</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C457CE" w14:textId="77777777" w:rsidR="004F2FB2" w:rsidRPr="00A07F29" w:rsidRDefault="004F2FB2" w:rsidP="004F2FB2">
            <w:pPr>
              <w:widowControl w:val="0"/>
              <w:autoSpaceDE w:val="0"/>
              <w:spacing w:after="0" w:line="240" w:lineRule="auto"/>
              <w:ind w:left="-23"/>
              <w:jc w:val="both"/>
              <w:rPr>
                <w:rFonts w:ascii="Times New Roman" w:hAnsi="Times New Roman" w:cs="Times New Roman"/>
                <w:sz w:val="20"/>
                <w:szCs w:val="20"/>
              </w:rPr>
            </w:pPr>
            <w:r w:rsidRPr="00A07F29">
              <w:rPr>
                <w:rFonts w:ascii="Times New Roman" w:hAnsi="Times New Roman" w:cs="Times New Roman"/>
                <w:sz w:val="20"/>
                <w:szCs w:val="20"/>
              </w:rPr>
              <w:t>Mazais zīriņš</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695E63" w14:textId="77777777" w:rsidR="004F2FB2" w:rsidRPr="00A07F29" w:rsidRDefault="004F2FB2" w:rsidP="004F2FB2">
            <w:pPr>
              <w:widowControl w:val="0"/>
              <w:autoSpaceDE w:val="0"/>
              <w:spacing w:after="0" w:line="240" w:lineRule="auto"/>
              <w:jc w:val="both"/>
              <w:rPr>
                <w:rFonts w:ascii="Times New Roman" w:hAnsi="Times New Roman" w:cs="Times New Roman"/>
                <w:i/>
                <w:sz w:val="20"/>
                <w:szCs w:val="20"/>
              </w:rPr>
            </w:pPr>
            <w:proofErr w:type="spellStart"/>
            <w:r w:rsidRPr="00A07F29">
              <w:rPr>
                <w:rFonts w:ascii="Times New Roman" w:hAnsi="Times New Roman" w:cs="Times New Roman"/>
                <w:i/>
                <w:iCs/>
                <w:sz w:val="20"/>
                <w:szCs w:val="20"/>
              </w:rPr>
              <w:t>Sternula</w:t>
            </w:r>
            <w:proofErr w:type="spellEnd"/>
            <w:r w:rsidRPr="00A07F29">
              <w:rPr>
                <w:rFonts w:ascii="Times New Roman" w:hAnsi="Times New Roman" w:cs="Times New Roman"/>
                <w:i/>
                <w:iCs/>
                <w:sz w:val="20"/>
                <w:szCs w:val="20"/>
              </w:rPr>
              <w:t xml:space="preserve"> </w:t>
            </w:r>
            <w:proofErr w:type="spellStart"/>
            <w:r w:rsidRPr="00A07F29">
              <w:rPr>
                <w:rFonts w:ascii="Times New Roman" w:hAnsi="Times New Roman" w:cs="Times New Roman"/>
                <w:i/>
                <w:iCs/>
                <w:sz w:val="20"/>
                <w:szCs w:val="20"/>
              </w:rPr>
              <w:t>albifrons</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56F32C"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ĪAS</w:t>
            </w:r>
            <w:r w:rsidRPr="00A07F29">
              <w:rPr>
                <w:rFonts w:ascii="Times New Roman" w:hAnsi="Times New Roman" w:cs="Times New Roman"/>
                <w:sz w:val="20"/>
                <w:szCs w:val="20"/>
                <w:vertAlign w:val="superscript"/>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BBDECF"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PD I</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5FA6E7"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X</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92E7D9"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2DD55A4E"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Samazinās/Samazinās</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CF64072"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LC</w:t>
            </w:r>
          </w:p>
        </w:tc>
      </w:tr>
      <w:tr w:rsidR="004F2FB2" w:rsidRPr="00A07F29" w14:paraId="556FF409" w14:textId="77777777" w:rsidTr="0037188D">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D7990D" w14:textId="77777777" w:rsidR="004F2FB2" w:rsidRPr="00A07F29" w:rsidRDefault="004F2FB2" w:rsidP="004F2FB2">
            <w:pPr>
              <w:widowControl w:val="0"/>
              <w:autoSpaceDE w:val="0"/>
              <w:spacing w:after="0" w:line="240" w:lineRule="auto"/>
              <w:ind w:left="36"/>
              <w:rPr>
                <w:rFonts w:ascii="Times New Roman" w:hAnsi="Times New Roman"/>
                <w:bCs/>
                <w:sz w:val="20"/>
                <w:szCs w:val="20"/>
              </w:rPr>
            </w:pPr>
            <w:r w:rsidRPr="00A07F29">
              <w:rPr>
                <w:rFonts w:ascii="Times New Roman" w:hAnsi="Times New Roman"/>
                <w:bCs/>
                <w:sz w:val="20"/>
                <w:szCs w:val="20"/>
              </w:rPr>
              <w:t>33.</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174BE8" w14:textId="77777777" w:rsidR="004F2FB2" w:rsidRPr="00A07F29" w:rsidRDefault="004F2FB2" w:rsidP="004F2FB2">
            <w:pPr>
              <w:widowControl w:val="0"/>
              <w:autoSpaceDE w:val="0"/>
              <w:spacing w:after="0" w:line="240" w:lineRule="auto"/>
              <w:ind w:left="-23"/>
              <w:jc w:val="both"/>
              <w:rPr>
                <w:rFonts w:ascii="Times New Roman" w:hAnsi="Times New Roman" w:cs="Times New Roman"/>
                <w:sz w:val="20"/>
                <w:szCs w:val="20"/>
              </w:rPr>
            </w:pPr>
            <w:r w:rsidRPr="00A07F29">
              <w:rPr>
                <w:rFonts w:ascii="Times New Roman" w:hAnsi="Times New Roman" w:cs="Times New Roman"/>
                <w:sz w:val="20"/>
                <w:szCs w:val="20"/>
              </w:rPr>
              <w:t>Melnais zīriņš</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C7E85C" w14:textId="77777777" w:rsidR="004F2FB2" w:rsidRPr="00A07F29" w:rsidRDefault="004F2FB2" w:rsidP="004F2FB2">
            <w:pPr>
              <w:widowControl w:val="0"/>
              <w:autoSpaceDE w:val="0"/>
              <w:spacing w:after="0" w:line="240" w:lineRule="auto"/>
              <w:jc w:val="both"/>
              <w:rPr>
                <w:rFonts w:ascii="Times New Roman" w:hAnsi="Times New Roman" w:cs="Times New Roman"/>
                <w:i/>
                <w:sz w:val="20"/>
                <w:szCs w:val="20"/>
              </w:rPr>
            </w:pPr>
            <w:proofErr w:type="spellStart"/>
            <w:r w:rsidRPr="00A07F29">
              <w:rPr>
                <w:rFonts w:ascii="Times New Roman" w:hAnsi="Times New Roman" w:cs="Times New Roman"/>
                <w:i/>
                <w:iCs/>
                <w:sz w:val="20"/>
                <w:szCs w:val="20"/>
              </w:rPr>
              <w:t>Chlidonias</w:t>
            </w:r>
            <w:proofErr w:type="spellEnd"/>
            <w:r w:rsidRPr="00A07F29">
              <w:rPr>
                <w:rFonts w:ascii="Times New Roman" w:hAnsi="Times New Roman" w:cs="Times New Roman"/>
                <w:i/>
                <w:iCs/>
                <w:sz w:val="20"/>
                <w:szCs w:val="20"/>
              </w:rPr>
              <w:t xml:space="preserve"> niger</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2A038B"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ĪAS</w:t>
            </w:r>
            <w:r w:rsidRPr="00A07F29">
              <w:rPr>
                <w:rFonts w:ascii="Times New Roman" w:hAnsi="Times New Roman" w:cs="Times New Roman"/>
                <w:sz w:val="20"/>
                <w:szCs w:val="20"/>
                <w:vertAlign w:val="superscript"/>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D6911B"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PD I</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89C00E"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99ADAD"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CA8C8D3"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Pieaug/Pieaug</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22D0D9C"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LC</w:t>
            </w:r>
          </w:p>
        </w:tc>
      </w:tr>
      <w:tr w:rsidR="004F2FB2" w:rsidRPr="00A07F29" w14:paraId="78E2F39B" w14:textId="77777777" w:rsidTr="0037188D">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F1D95B" w14:textId="77777777" w:rsidR="004F2FB2" w:rsidRPr="00A07F29" w:rsidRDefault="004F2FB2" w:rsidP="004F2FB2">
            <w:pPr>
              <w:widowControl w:val="0"/>
              <w:autoSpaceDE w:val="0"/>
              <w:spacing w:after="0" w:line="240" w:lineRule="auto"/>
              <w:ind w:left="36"/>
              <w:rPr>
                <w:rFonts w:ascii="Times New Roman" w:hAnsi="Times New Roman"/>
                <w:bCs/>
                <w:sz w:val="20"/>
                <w:szCs w:val="20"/>
              </w:rPr>
            </w:pPr>
            <w:r w:rsidRPr="00A07F29">
              <w:rPr>
                <w:rFonts w:ascii="Times New Roman" w:hAnsi="Times New Roman"/>
                <w:bCs/>
                <w:sz w:val="20"/>
                <w:szCs w:val="20"/>
              </w:rPr>
              <w:t>34.</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2C5AF7" w14:textId="77777777" w:rsidR="004F2FB2" w:rsidRPr="00A07F29" w:rsidRDefault="004F2FB2" w:rsidP="004F2FB2">
            <w:pPr>
              <w:widowControl w:val="0"/>
              <w:autoSpaceDE w:val="0"/>
              <w:spacing w:after="0" w:line="240" w:lineRule="auto"/>
              <w:ind w:left="-23"/>
              <w:jc w:val="both"/>
              <w:rPr>
                <w:rFonts w:ascii="Times New Roman" w:hAnsi="Times New Roman" w:cs="Times New Roman"/>
                <w:sz w:val="20"/>
                <w:szCs w:val="20"/>
              </w:rPr>
            </w:pPr>
            <w:r w:rsidRPr="00A07F29">
              <w:rPr>
                <w:rFonts w:ascii="Times New Roman" w:hAnsi="Times New Roman" w:cs="Times New Roman"/>
                <w:sz w:val="20"/>
                <w:szCs w:val="20"/>
              </w:rPr>
              <w:t>Upes zīriņš</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AA8693" w14:textId="77777777" w:rsidR="004F2FB2" w:rsidRPr="00A07F29" w:rsidRDefault="004F2FB2" w:rsidP="004F2FB2">
            <w:pPr>
              <w:widowControl w:val="0"/>
              <w:autoSpaceDE w:val="0"/>
              <w:spacing w:after="0" w:line="240" w:lineRule="auto"/>
              <w:jc w:val="both"/>
              <w:rPr>
                <w:rFonts w:ascii="Times New Roman" w:hAnsi="Times New Roman" w:cs="Times New Roman"/>
                <w:i/>
                <w:sz w:val="20"/>
                <w:szCs w:val="20"/>
              </w:rPr>
            </w:pPr>
            <w:proofErr w:type="spellStart"/>
            <w:r w:rsidRPr="00A07F29">
              <w:rPr>
                <w:rFonts w:ascii="Times New Roman" w:hAnsi="Times New Roman" w:cs="Times New Roman"/>
                <w:i/>
                <w:iCs/>
                <w:sz w:val="20"/>
                <w:szCs w:val="20"/>
              </w:rPr>
              <w:t>Sterna</w:t>
            </w:r>
            <w:proofErr w:type="spellEnd"/>
            <w:r w:rsidRPr="00A07F29">
              <w:rPr>
                <w:rFonts w:ascii="Times New Roman" w:hAnsi="Times New Roman" w:cs="Times New Roman"/>
                <w:i/>
                <w:iCs/>
                <w:sz w:val="20"/>
                <w:szCs w:val="20"/>
              </w:rPr>
              <w:t xml:space="preserve"> </w:t>
            </w:r>
            <w:proofErr w:type="spellStart"/>
            <w:r w:rsidRPr="00A07F29">
              <w:rPr>
                <w:rFonts w:ascii="Times New Roman" w:hAnsi="Times New Roman" w:cs="Times New Roman"/>
                <w:i/>
                <w:iCs/>
                <w:sz w:val="20"/>
                <w:szCs w:val="20"/>
              </w:rPr>
              <w:t>hirundo</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F9B53C"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ĪAS</w:t>
            </w:r>
            <w:r w:rsidRPr="00A07F29">
              <w:rPr>
                <w:rFonts w:ascii="Times New Roman" w:hAnsi="Times New Roman" w:cs="Times New Roman"/>
                <w:sz w:val="20"/>
                <w:szCs w:val="20"/>
                <w:vertAlign w:val="superscript"/>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AA6DA0"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PD I</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3C811F"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X</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324E9D"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4EFEBA65"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Samazinās/Stabils</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D419AF9"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LC</w:t>
            </w:r>
          </w:p>
        </w:tc>
      </w:tr>
      <w:tr w:rsidR="004F2FB2" w:rsidRPr="00A07F29" w14:paraId="19392579" w14:textId="77777777" w:rsidTr="0037188D">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A88782" w14:textId="77777777" w:rsidR="004F2FB2" w:rsidRPr="00A07F29" w:rsidRDefault="004F2FB2" w:rsidP="004F2FB2">
            <w:pPr>
              <w:widowControl w:val="0"/>
              <w:autoSpaceDE w:val="0"/>
              <w:spacing w:after="0" w:line="240" w:lineRule="auto"/>
              <w:ind w:left="36"/>
              <w:rPr>
                <w:rFonts w:ascii="Times New Roman" w:hAnsi="Times New Roman"/>
                <w:bCs/>
                <w:sz w:val="20"/>
                <w:szCs w:val="20"/>
              </w:rPr>
            </w:pPr>
            <w:r w:rsidRPr="00A07F29">
              <w:rPr>
                <w:rFonts w:ascii="Times New Roman" w:hAnsi="Times New Roman"/>
                <w:bCs/>
                <w:sz w:val="20"/>
                <w:szCs w:val="20"/>
              </w:rPr>
              <w:t>35.</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6345FE" w14:textId="77777777" w:rsidR="004F2FB2" w:rsidRPr="00A07F29" w:rsidRDefault="004F2FB2" w:rsidP="004F2FB2">
            <w:pPr>
              <w:widowControl w:val="0"/>
              <w:autoSpaceDE w:val="0"/>
              <w:spacing w:after="0" w:line="240" w:lineRule="auto"/>
              <w:ind w:left="-23"/>
              <w:jc w:val="both"/>
              <w:rPr>
                <w:rFonts w:ascii="Times New Roman" w:hAnsi="Times New Roman" w:cs="Times New Roman"/>
                <w:sz w:val="20"/>
                <w:szCs w:val="20"/>
              </w:rPr>
            </w:pPr>
            <w:r w:rsidRPr="00A07F29">
              <w:rPr>
                <w:rFonts w:ascii="Times New Roman" w:hAnsi="Times New Roman" w:cs="Times New Roman"/>
                <w:sz w:val="20"/>
                <w:szCs w:val="20"/>
              </w:rPr>
              <w:t>Meža balodis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80EADB" w14:textId="77777777" w:rsidR="004F2FB2" w:rsidRPr="00A07F29" w:rsidRDefault="004F2FB2" w:rsidP="004F2FB2">
            <w:pPr>
              <w:widowControl w:val="0"/>
              <w:autoSpaceDE w:val="0"/>
              <w:spacing w:after="0" w:line="240" w:lineRule="auto"/>
              <w:jc w:val="both"/>
              <w:rPr>
                <w:rFonts w:ascii="Times New Roman" w:hAnsi="Times New Roman" w:cs="Times New Roman"/>
                <w:i/>
                <w:sz w:val="20"/>
                <w:szCs w:val="20"/>
              </w:rPr>
            </w:pPr>
            <w:proofErr w:type="spellStart"/>
            <w:r w:rsidRPr="00A07F29">
              <w:rPr>
                <w:rFonts w:ascii="Times New Roman" w:hAnsi="Times New Roman" w:cs="Times New Roman"/>
                <w:i/>
                <w:iCs/>
                <w:sz w:val="20"/>
                <w:szCs w:val="20"/>
              </w:rPr>
              <w:t>Columba</w:t>
            </w:r>
            <w:proofErr w:type="spellEnd"/>
            <w:r w:rsidRPr="00A07F29">
              <w:rPr>
                <w:rFonts w:ascii="Times New Roman" w:hAnsi="Times New Roman" w:cs="Times New Roman"/>
                <w:i/>
                <w:iCs/>
                <w:sz w:val="20"/>
                <w:szCs w:val="20"/>
              </w:rPr>
              <w:t xml:space="preserve"> </w:t>
            </w:r>
            <w:proofErr w:type="spellStart"/>
            <w:r w:rsidRPr="00A07F29">
              <w:rPr>
                <w:rFonts w:ascii="Times New Roman" w:hAnsi="Times New Roman" w:cs="Times New Roman"/>
                <w:i/>
                <w:iCs/>
                <w:sz w:val="20"/>
                <w:szCs w:val="20"/>
              </w:rPr>
              <w:t>oenas</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BE9545"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ĪAS</w:t>
            </w:r>
            <w:r w:rsidRPr="00A07F29">
              <w:rPr>
                <w:rFonts w:ascii="Times New Roman" w:hAnsi="Times New Roman" w:cs="Times New Roman"/>
                <w:sz w:val="20"/>
                <w:szCs w:val="20"/>
                <w:vertAlign w:val="superscript"/>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715D60"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PD II</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17CF2B"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736D4D"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6D350427"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Neskaidrs/Nezināms</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5ED3C90"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LC</w:t>
            </w:r>
          </w:p>
        </w:tc>
      </w:tr>
      <w:tr w:rsidR="004F2FB2" w:rsidRPr="00A07F29" w14:paraId="2C1E1402" w14:textId="77777777" w:rsidTr="0037188D">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5F5F89" w14:textId="77777777" w:rsidR="004F2FB2" w:rsidRPr="00A07F29" w:rsidRDefault="004F2FB2" w:rsidP="004F2FB2">
            <w:pPr>
              <w:widowControl w:val="0"/>
              <w:autoSpaceDE w:val="0"/>
              <w:spacing w:after="0" w:line="240" w:lineRule="auto"/>
              <w:ind w:left="36"/>
              <w:rPr>
                <w:rFonts w:ascii="Times New Roman" w:hAnsi="Times New Roman"/>
                <w:bCs/>
                <w:sz w:val="20"/>
                <w:szCs w:val="20"/>
              </w:rPr>
            </w:pPr>
            <w:r w:rsidRPr="00A07F29">
              <w:rPr>
                <w:rFonts w:ascii="Times New Roman" w:hAnsi="Times New Roman"/>
                <w:bCs/>
                <w:sz w:val="20"/>
                <w:szCs w:val="20"/>
              </w:rPr>
              <w:t>36.</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E0D6AC" w14:textId="77777777" w:rsidR="004F2FB2" w:rsidRPr="00A07F29" w:rsidRDefault="004F2FB2" w:rsidP="004F2FB2">
            <w:pPr>
              <w:widowControl w:val="0"/>
              <w:autoSpaceDE w:val="0"/>
              <w:spacing w:after="0" w:line="240" w:lineRule="auto"/>
              <w:ind w:left="-23"/>
              <w:jc w:val="both"/>
              <w:rPr>
                <w:rFonts w:ascii="Times New Roman" w:hAnsi="Times New Roman" w:cs="Times New Roman"/>
                <w:sz w:val="20"/>
                <w:szCs w:val="20"/>
              </w:rPr>
            </w:pPr>
            <w:r w:rsidRPr="00A07F29">
              <w:rPr>
                <w:rFonts w:ascii="Times New Roman" w:hAnsi="Times New Roman" w:cs="Times New Roman"/>
                <w:sz w:val="20"/>
                <w:szCs w:val="20"/>
              </w:rPr>
              <w:t>Apodziņš</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985E66" w14:textId="77777777" w:rsidR="004F2FB2" w:rsidRPr="00A07F29" w:rsidRDefault="004F2FB2" w:rsidP="004F2FB2">
            <w:pPr>
              <w:widowControl w:val="0"/>
              <w:autoSpaceDE w:val="0"/>
              <w:spacing w:after="0" w:line="240" w:lineRule="auto"/>
              <w:jc w:val="both"/>
              <w:rPr>
                <w:rFonts w:ascii="Times New Roman" w:hAnsi="Times New Roman" w:cs="Times New Roman"/>
                <w:i/>
                <w:sz w:val="20"/>
                <w:szCs w:val="20"/>
              </w:rPr>
            </w:pPr>
            <w:proofErr w:type="spellStart"/>
            <w:r w:rsidRPr="00A07F29">
              <w:rPr>
                <w:rFonts w:ascii="Times New Roman" w:hAnsi="Times New Roman" w:cs="Times New Roman"/>
                <w:i/>
                <w:iCs/>
                <w:sz w:val="20"/>
                <w:szCs w:val="20"/>
              </w:rPr>
              <w:t>Glaucidium</w:t>
            </w:r>
            <w:proofErr w:type="spellEnd"/>
            <w:r w:rsidRPr="00A07F29">
              <w:rPr>
                <w:rFonts w:ascii="Times New Roman" w:hAnsi="Times New Roman" w:cs="Times New Roman"/>
                <w:i/>
                <w:iCs/>
                <w:sz w:val="20"/>
                <w:szCs w:val="20"/>
              </w:rPr>
              <w:t xml:space="preserve"> </w:t>
            </w:r>
            <w:proofErr w:type="spellStart"/>
            <w:r w:rsidRPr="00A07F29">
              <w:rPr>
                <w:rFonts w:ascii="Times New Roman" w:hAnsi="Times New Roman" w:cs="Times New Roman"/>
                <w:i/>
                <w:iCs/>
                <w:sz w:val="20"/>
                <w:szCs w:val="20"/>
              </w:rPr>
              <w:t>passerinum</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6A47B3"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ĪAS</w:t>
            </w:r>
            <w:r w:rsidRPr="00A07F29">
              <w:rPr>
                <w:rFonts w:ascii="Times New Roman" w:hAnsi="Times New Roman" w:cs="Times New Roman"/>
                <w:sz w:val="20"/>
                <w:szCs w:val="20"/>
                <w:vertAlign w:val="superscript"/>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4D4CEF"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PD I</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8D3B6D"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2D8CD3" w14:textId="4C19A9A6"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VU</w:t>
            </w:r>
            <w:r w:rsidR="00A85704">
              <w:rPr>
                <w:rFonts w:ascii="Times New Roman" w:hAnsi="Times New Roman" w:cs="Times New Roman"/>
                <w:sz w:val="20"/>
                <w:szCs w:val="20"/>
                <w:vertAlign w:val="superscript"/>
              </w:rPr>
              <w:t>2</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40807EC0"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Samazinās/Samazinās</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C8B6E95"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LC</w:t>
            </w:r>
          </w:p>
        </w:tc>
      </w:tr>
      <w:tr w:rsidR="004F2FB2" w:rsidRPr="00A07F29" w14:paraId="1D4C3C9E" w14:textId="77777777" w:rsidTr="0037188D">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F26E51" w14:textId="77777777" w:rsidR="004F2FB2" w:rsidRPr="00A07F29" w:rsidRDefault="004F2FB2" w:rsidP="004F2FB2">
            <w:pPr>
              <w:widowControl w:val="0"/>
              <w:autoSpaceDE w:val="0"/>
              <w:spacing w:after="0" w:line="240" w:lineRule="auto"/>
              <w:ind w:left="36"/>
              <w:rPr>
                <w:rFonts w:ascii="Times New Roman" w:hAnsi="Times New Roman"/>
                <w:bCs/>
                <w:sz w:val="20"/>
                <w:szCs w:val="20"/>
              </w:rPr>
            </w:pPr>
            <w:r w:rsidRPr="00A07F29">
              <w:rPr>
                <w:rFonts w:ascii="Times New Roman" w:hAnsi="Times New Roman"/>
                <w:bCs/>
                <w:sz w:val="20"/>
                <w:szCs w:val="20"/>
              </w:rPr>
              <w:t>37.</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7EC7E2" w14:textId="77777777" w:rsidR="004F2FB2" w:rsidRPr="00A07F29" w:rsidRDefault="004F2FB2" w:rsidP="004F2FB2">
            <w:pPr>
              <w:widowControl w:val="0"/>
              <w:autoSpaceDE w:val="0"/>
              <w:spacing w:after="0" w:line="240" w:lineRule="auto"/>
              <w:ind w:left="-23"/>
              <w:jc w:val="both"/>
              <w:rPr>
                <w:rFonts w:ascii="Times New Roman" w:hAnsi="Times New Roman" w:cs="Times New Roman"/>
                <w:sz w:val="20"/>
                <w:szCs w:val="20"/>
              </w:rPr>
            </w:pPr>
            <w:proofErr w:type="spellStart"/>
            <w:r w:rsidRPr="00A07F29">
              <w:rPr>
                <w:rFonts w:ascii="Times New Roman" w:hAnsi="Times New Roman" w:cs="Times New Roman"/>
                <w:sz w:val="20"/>
                <w:szCs w:val="20"/>
              </w:rPr>
              <w:t>Urālpūce</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C6F441" w14:textId="77777777" w:rsidR="004F2FB2" w:rsidRPr="00A07F29" w:rsidRDefault="004F2FB2" w:rsidP="004F2FB2">
            <w:pPr>
              <w:widowControl w:val="0"/>
              <w:autoSpaceDE w:val="0"/>
              <w:spacing w:after="0" w:line="240" w:lineRule="auto"/>
              <w:jc w:val="both"/>
              <w:rPr>
                <w:rFonts w:ascii="Times New Roman" w:hAnsi="Times New Roman" w:cs="Times New Roman"/>
                <w:i/>
                <w:sz w:val="20"/>
                <w:szCs w:val="20"/>
              </w:rPr>
            </w:pPr>
            <w:proofErr w:type="spellStart"/>
            <w:r w:rsidRPr="00A07F29">
              <w:rPr>
                <w:rFonts w:ascii="Times New Roman" w:hAnsi="Times New Roman" w:cs="Times New Roman"/>
                <w:i/>
                <w:iCs/>
                <w:sz w:val="20"/>
                <w:szCs w:val="20"/>
              </w:rPr>
              <w:t>Strix</w:t>
            </w:r>
            <w:proofErr w:type="spellEnd"/>
            <w:r w:rsidRPr="00A07F29">
              <w:rPr>
                <w:rFonts w:ascii="Times New Roman" w:hAnsi="Times New Roman" w:cs="Times New Roman"/>
                <w:i/>
                <w:iCs/>
                <w:sz w:val="20"/>
                <w:szCs w:val="20"/>
              </w:rPr>
              <w:t xml:space="preserve"> </w:t>
            </w:r>
            <w:proofErr w:type="spellStart"/>
            <w:r w:rsidRPr="00A07F29">
              <w:rPr>
                <w:rFonts w:ascii="Times New Roman" w:hAnsi="Times New Roman" w:cs="Times New Roman"/>
                <w:i/>
                <w:iCs/>
                <w:sz w:val="20"/>
                <w:szCs w:val="20"/>
              </w:rPr>
              <w:t>uralensis</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954291"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ĪAS</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27B688"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PD I</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922AA3"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7AA801" w14:textId="5BB21013"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VU</w:t>
            </w:r>
            <w:r w:rsidR="00A85704">
              <w:rPr>
                <w:rFonts w:ascii="Times New Roman" w:hAnsi="Times New Roman" w:cs="Times New Roman"/>
                <w:sz w:val="20"/>
                <w:szCs w:val="20"/>
                <w:vertAlign w:val="superscript"/>
              </w:rPr>
              <w:t>2</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4D8BDA58"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Samazinās/Pieaug</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94453B7"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LC</w:t>
            </w:r>
          </w:p>
        </w:tc>
      </w:tr>
      <w:tr w:rsidR="004F2FB2" w:rsidRPr="00A07F29" w14:paraId="6E7C2886" w14:textId="77777777" w:rsidTr="0037188D">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BE4887" w14:textId="77777777" w:rsidR="004F2FB2" w:rsidRPr="00A07F29" w:rsidRDefault="004F2FB2" w:rsidP="004F2FB2">
            <w:pPr>
              <w:widowControl w:val="0"/>
              <w:autoSpaceDE w:val="0"/>
              <w:spacing w:after="0" w:line="240" w:lineRule="auto"/>
              <w:ind w:left="36"/>
              <w:rPr>
                <w:rFonts w:ascii="Times New Roman" w:hAnsi="Times New Roman"/>
                <w:bCs/>
                <w:sz w:val="20"/>
                <w:szCs w:val="20"/>
              </w:rPr>
            </w:pPr>
            <w:r w:rsidRPr="00A07F29">
              <w:rPr>
                <w:rFonts w:ascii="Times New Roman" w:hAnsi="Times New Roman"/>
                <w:bCs/>
                <w:sz w:val="20"/>
                <w:szCs w:val="20"/>
              </w:rPr>
              <w:t>38.</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F10F53" w14:textId="77777777" w:rsidR="004F2FB2" w:rsidRPr="00A07F29" w:rsidRDefault="004F2FB2" w:rsidP="004F2FB2">
            <w:pPr>
              <w:widowControl w:val="0"/>
              <w:autoSpaceDE w:val="0"/>
              <w:spacing w:after="0" w:line="240" w:lineRule="auto"/>
              <w:ind w:left="-23"/>
              <w:jc w:val="both"/>
              <w:rPr>
                <w:rFonts w:ascii="Times New Roman" w:hAnsi="Times New Roman" w:cs="Times New Roman"/>
                <w:sz w:val="20"/>
                <w:szCs w:val="20"/>
              </w:rPr>
            </w:pPr>
            <w:r w:rsidRPr="00A07F29">
              <w:rPr>
                <w:rFonts w:ascii="Times New Roman" w:hAnsi="Times New Roman" w:cs="Times New Roman"/>
                <w:sz w:val="20"/>
                <w:szCs w:val="20"/>
              </w:rPr>
              <w:t>Bikšainais apogs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E5CA68" w14:textId="77777777" w:rsidR="004F2FB2" w:rsidRPr="00A07F29" w:rsidRDefault="004F2FB2" w:rsidP="004F2FB2">
            <w:pPr>
              <w:widowControl w:val="0"/>
              <w:autoSpaceDE w:val="0"/>
              <w:spacing w:after="0" w:line="240" w:lineRule="auto"/>
              <w:jc w:val="both"/>
              <w:rPr>
                <w:rFonts w:ascii="Times New Roman" w:hAnsi="Times New Roman" w:cs="Times New Roman"/>
                <w:i/>
                <w:sz w:val="20"/>
                <w:szCs w:val="20"/>
              </w:rPr>
            </w:pPr>
            <w:proofErr w:type="spellStart"/>
            <w:r w:rsidRPr="00A07F29">
              <w:rPr>
                <w:rFonts w:ascii="Times New Roman" w:hAnsi="Times New Roman" w:cs="Times New Roman"/>
                <w:i/>
                <w:iCs/>
                <w:sz w:val="20"/>
                <w:szCs w:val="20"/>
              </w:rPr>
              <w:t>Aegolius</w:t>
            </w:r>
            <w:proofErr w:type="spellEnd"/>
            <w:r w:rsidRPr="00A07F29">
              <w:rPr>
                <w:rFonts w:ascii="Times New Roman" w:hAnsi="Times New Roman" w:cs="Times New Roman"/>
                <w:i/>
                <w:iCs/>
                <w:sz w:val="20"/>
                <w:szCs w:val="20"/>
              </w:rPr>
              <w:t xml:space="preserve"> </w:t>
            </w:r>
            <w:proofErr w:type="spellStart"/>
            <w:r w:rsidRPr="00A07F29">
              <w:rPr>
                <w:rFonts w:ascii="Times New Roman" w:hAnsi="Times New Roman" w:cs="Times New Roman"/>
                <w:i/>
                <w:iCs/>
                <w:sz w:val="20"/>
                <w:szCs w:val="20"/>
              </w:rPr>
              <w:t>funereus</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92B6F1"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ĪAS</w:t>
            </w:r>
            <w:r w:rsidRPr="00A07F29">
              <w:rPr>
                <w:rFonts w:ascii="Times New Roman" w:hAnsi="Times New Roman" w:cs="Times New Roman"/>
                <w:sz w:val="20"/>
                <w:szCs w:val="20"/>
                <w:vertAlign w:val="superscript"/>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814079"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PD I</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9344CA"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C2C344" w14:textId="2CBE9878"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EN</w:t>
            </w:r>
            <w:r w:rsidR="00A85704">
              <w:rPr>
                <w:rFonts w:ascii="Times New Roman" w:hAnsi="Times New Roman" w:cs="Times New Roman"/>
                <w:sz w:val="20"/>
                <w:szCs w:val="20"/>
                <w:vertAlign w:val="superscript"/>
              </w:rPr>
              <w:t>2</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4C9BEED"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Neskaidrs/Samazinās</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AAE5EEA"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LC</w:t>
            </w:r>
          </w:p>
        </w:tc>
      </w:tr>
      <w:tr w:rsidR="004F2FB2" w:rsidRPr="00A07F29" w14:paraId="0204AC2A" w14:textId="77777777" w:rsidTr="0037188D">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2B7DA3" w14:textId="77777777" w:rsidR="004F2FB2" w:rsidRPr="00A07F29" w:rsidRDefault="004F2FB2" w:rsidP="004F2FB2">
            <w:pPr>
              <w:widowControl w:val="0"/>
              <w:autoSpaceDE w:val="0"/>
              <w:spacing w:after="0" w:line="240" w:lineRule="auto"/>
              <w:ind w:left="36"/>
              <w:rPr>
                <w:rFonts w:ascii="Times New Roman" w:hAnsi="Times New Roman"/>
                <w:bCs/>
                <w:sz w:val="20"/>
                <w:szCs w:val="20"/>
              </w:rPr>
            </w:pPr>
            <w:r w:rsidRPr="00A07F29">
              <w:rPr>
                <w:rFonts w:ascii="Times New Roman" w:hAnsi="Times New Roman"/>
                <w:bCs/>
                <w:sz w:val="20"/>
                <w:szCs w:val="20"/>
              </w:rPr>
              <w:t>39.</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7FB1DB" w14:textId="77777777" w:rsidR="004F2FB2" w:rsidRPr="00A07F29" w:rsidRDefault="004F2FB2" w:rsidP="004F2FB2">
            <w:pPr>
              <w:widowControl w:val="0"/>
              <w:autoSpaceDE w:val="0"/>
              <w:spacing w:after="0" w:line="240" w:lineRule="auto"/>
              <w:ind w:left="-23"/>
              <w:jc w:val="both"/>
              <w:rPr>
                <w:rFonts w:ascii="Times New Roman" w:hAnsi="Times New Roman" w:cs="Times New Roman"/>
                <w:sz w:val="20"/>
                <w:szCs w:val="20"/>
              </w:rPr>
            </w:pPr>
            <w:r w:rsidRPr="00A07F29">
              <w:rPr>
                <w:rFonts w:ascii="Times New Roman" w:hAnsi="Times New Roman" w:cs="Times New Roman"/>
                <w:sz w:val="20"/>
                <w:szCs w:val="20"/>
              </w:rPr>
              <w:t>Vakarlēpis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D6D7A8" w14:textId="77777777" w:rsidR="004F2FB2" w:rsidRPr="00A07F29" w:rsidRDefault="004F2FB2" w:rsidP="004F2FB2">
            <w:pPr>
              <w:widowControl w:val="0"/>
              <w:autoSpaceDE w:val="0"/>
              <w:spacing w:after="0" w:line="240" w:lineRule="auto"/>
              <w:jc w:val="both"/>
              <w:rPr>
                <w:rFonts w:ascii="Times New Roman" w:hAnsi="Times New Roman" w:cs="Times New Roman"/>
                <w:i/>
                <w:sz w:val="20"/>
                <w:szCs w:val="20"/>
              </w:rPr>
            </w:pPr>
            <w:proofErr w:type="spellStart"/>
            <w:r w:rsidRPr="00A07F29">
              <w:rPr>
                <w:rFonts w:ascii="Times New Roman" w:hAnsi="Times New Roman" w:cs="Times New Roman"/>
                <w:i/>
                <w:iCs/>
                <w:sz w:val="20"/>
                <w:szCs w:val="20"/>
              </w:rPr>
              <w:t>Caprimulgus</w:t>
            </w:r>
            <w:proofErr w:type="spellEnd"/>
            <w:r w:rsidRPr="00A07F29">
              <w:rPr>
                <w:rFonts w:ascii="Times New Roman" w:hAnsi="Times New Roman" w:cs="Times New Roman"/>
                <w:i/>
                <w:iCs/>
                <w:sz w:val="20"/>
                <w:szCs w:val="20"/>
              </w:rPr>
              <w:t xml:space="preserve"> </w:t>
            </w:r>
            <w:proofErr w:type="spellStart"/>
            <w:r w:rsidRPr="00A07F29">
              <w:rPr>
                <w:rFonts w:ascii="Times New Roman" w:hAnsi="Times New Roman" w:cs="Times New Roman"/>
                <w:i/>
                <w:iCs/>
                <w:sz w:val="20"/>
                <w:szCs w:val="20"/>
              </w:rPr>
              <w:t>europaeus</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1C0B3E"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ĪAS</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E820BE"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PD I</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3CDCFB"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F67FB9"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438E9D78"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Nezināms/Pieaug</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13BE673"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LC</w:t>
            </w:r>
          </w:p>
        </w:tc>
      </w:tr>
      <w:tr w:rsidR="004F2FB2" w:rsidRPr="00A07F29" w14:paraId="22872698" w14:textId="77777777" w:rsidTr="0037188D">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4D6755" w14:textId="77777777" w:rsidR="004F2FB2" w:rsidRPr="00A07F29" w:rsidRDefault="004F2FB2" w:rsidP="004F2FB2">
            <w:pPr>
              <w:widowControl w:val="0"/>
              <w:autoSpaceDE w:val="0"/>
              <w:spacing w:after="0" w:line="240" w:lineRule="auto"/>
              <w:ind w:left="36"/>
              <w:rPr>
                <w:rFonts w:ascii="Times New Roman" w:hAnsi="Times New Roman"/>
                <w:bCs/>
                <w:sz w:val="20"/>
                <w:szCs w:val="20"/>
              </w:rPr>
            </w:pPr>
            <w:r w:rsidRPr="00A07F29">
              <w:rPr>
                <w:rFonts w:ascii="Times New Roman" w:hAnsi="Times New Roman"/>
                <w:bCs/>
                <w:sz w:val="20"/>
                <w:szCs w:val="20"/>
              </w:rPr>
              <w:t>40.</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81D178" w14:textId="77777777" w:rsidR="004F2FB2" w:rsidRPr="00A07F29" w:rsidRDefault="004F2FB2" w:rsidP="004F2FB2">
            <w:pPr>
              <w:widowControl w:val="0"/>
              <w:autoSpaceDE w:val="0"/>
              <w:spacing w:after="0" w:line="240" w:lineRule="auto"/>
              <w:ind w:left="-23"/>
              <w:jc w:val="both"/>
              <w:rPr>
                <w:rFonts w:ascii="Times New Roman" w:hAnsi="Times New Roman" w:cs="Times New Roman"/>
                <w:sz w:val="20"/>
                <w:szCs w:val="20"/>
              </w:rPr>
            </w:pPr>
            <w:r w:rsidRPr="00A07F29">
              <w:rPr>
                <w:rFonts w:ascii="Times New Roman" w:hAnsi="Times New Roman" w:cs="Times New Roman"/>
                <w:sz w:val="20"/>
                <w:szCs w:val="20"/>
              </w:rPr>
              <w:t>Zivju dzenītis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4DABCC" w14:textId="77777777" w:rsidR="004F2FB2" w:rsidRPr="00A07F29" w:rsidRDefault="004F2FB2" w:rsidP="004F2FB2">
            <w:pPr>
              <w:widowControl w:val="0"/>
              <w:autoSpaceDE w:val="0"/>
              <w:spacing w:after="0" w:line="240" w:lineRule="auto"/>
              <w:jc w:val="both"/>
              <w:rPr>
                <w:rFonts w:ascii="Times New Roman" w:hAnsi="Times New Roman" w:cs="Times New Roman"/>
                <w:i/>
                <w:sz w:val="20"/>
                <w:szCs w:val="20"/>
              </w:rPr>
            </w:pPr>
            <w:proofErr w:type="spellStart"/>
            <w:r w:rsidRPr="00A07F29">
              <w:rPr>
                <w:rFonts w:ascii="Times New Roman" w:hAnsi="Times New Roman" w:cs="Times New Roman"/>
                <w:i/>
                <w:iCs/>
                <w:sz w:val="20"/>
                <w:szCs w:val="20"/>
              </w:rPr>
              <w:t>Alcedo</w:t>
            </w:r>
            <w:proofErr w:type="spellEnd"/>
            <w:r w:rsidRPr="00A07F29">
              <w:rPr>
                <w:rFonts w:ascii="Times New Roman" w:hAnsi="Times New Roman" w:cs="Times New Roman"/>
                <w:i/>
                <w:iCs/>
                <w:sz w:val="20"/>
                <w:szCs w:val="20"/>
              </w:rPr>
              <w:t xml:space="preserve"> </w:t>
            </w:r>
            <w:proofErr w:type="spellStart"/>
            <w:r w:rsidRPr="00A07F29">
              <w:rPr>
                <w:rFonts w:ascii="Times New Roman" w:hAnsi="Times New Roman" w:cs="Times New Roman"/>
                <w:i/>
                <w:iCs/>
                <w:sz w:val="20"/>
                <w:szCs w:val="20"/>
              </w:rPr>
              <w:t>atthis</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C47914"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ĪAS</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65CCD4"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PD I</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6FD5AF"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6546EF"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465F06AE"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Stabils/Pieaug</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6902278"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VU</w:t>
            </w:r>
          </w:p>
        </w:tc>
      </w:tr>
      <w:tr w:rsidR="004F2FB2" w:rsidRPr="00A07F29" w14:paraId="3F829619" w14:textId="77777777" w:rsidTr="0037188D">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E05642" w14:textId="77777777" w:rsidR="004F2FB2" w:rsidRPr="00A07F29" w:rsidRDefault="004F2FB2" w:rsidP="004F2FB2">
            <w:pPr>
              <w:widowControl w:val="0"/>
              <w:autoSpaceDE w:val="0"/>
              <w:spacing w:after="0" w:line="240" w:lineRule="auto"/>
              <w:ind w:left="36"/>
              <w:rPr>
                <w:rFonts w:ascii="Times New Roman" w:hAnsi="Times New Roman"/>
                <w:bCs/>
                <w:sz w:val="20"/>
                <w:szCs w:val="20"/>
              </w:rPr>
            </w:pPr>
            <w:r w:rsidRPr="00A07F29">
              <w:rPr>
                <w:rFonts w:ascii="Times New Roman" w:hAnsi="Times New Roman"/>
                <w:bCs/>
                <w:sz w:val="20"/>
                <w:szCs w:val="20"/>
              </w:rPr>
              <w:t>41.</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59EEED" w14:textId="77777777" w:rsidR="004F2FB2" w:rsidRPr="00A07F29" w:rsidRDefault="004F2FB2" w:rsidP="004F2FB2">
            <w:pPr>
              <w:widowControl w:val="0"/>
              <w:autoSpaceDE w:val="0"/>
              <w:spacing w:after="0" w:line="240" w:lineRule="auto"/>
              <w:ind w:left="-23"/>
              <w:jc w:val="both"/>
              <w:rPr>
                <w:rFonts w:ascii="Times New Roman" w:hAnsi="Times New Roman" w:cs="Times New Roman"/>
                <w:sz w:val="20"/>
                <w:szCs w:val="20"/>
              </w:rPr>
            </w:pPr>
            <w:r w:rsidRPr="00A07F29">
              <w:rPr>
                <w:rFonts w:ascii="Times New Roman" w:hAnsi="Times New Roman" w:cs="Times New Roman"/>
                <w:sz w:val="20"/>
                <w:szCs w:val="20"/>
              </w:rPr>
              <w:t>Pupuķis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2FE8D7" w14:textId="77777777" w:rsidR="004F2FB2" w:rsidRPr="00A07F29" w:rsidRDefault="004F2FB2" w:rsidP="004F2FB2">
            <w:pPr>
              <w:widowControl w:val="0"/>
              <w:autoSpaceDE w:val="0"/>
              <w:spacing w:after="0" w:line="240" w:lineRule="auto"/>
              <w:jc w:val="both"/>
              <w:rPr>
                <w:rFonts w:ascii="Times New Roman" w:hAnsi="Times New Roman" w:cs="Times New Roman"/>
                <w:i/>
                <w:sz w:val="20"/>
                <w:szCs w:val="20"/>
              </w:rPr>
            </w:pPr>
            <w:proofErr w:type="spellStart"/>
            <w:r w:rsidRPr="00A07F29">
              <w:rPr>
                <w:rFonts w:ascii="Times New Roman" w:hAnsi="Times New Roman" w:cs="Times New Roman"/>
                <w:i/>
                <w:iCs/>
                <w:sz w:val="20"/>
                <w:szCs w:val="20"/>
              </w:rPr>
              <w:t>Upupa</w:t>
            </w:r>
            <w:proofErr w:type="spellEnd"/>
            <w:r w:rsidRPr="00A07F29">
              <w:rPr>
                <w:rFonts w:ascii="Times New Roman" w:hAnsi="Times New Roman" w:cs="Times New Roman"/>
                <w:i/>
                <w:iCs/>
                <w:sz w:val="20"/>
                <w:szCs w:val="20"/>
              </w:rPr>
              <w:t xml:space="preserve"> </w:t>
            </w:r>
            <w:proofErr w:type="spellStart"/>
            <w:r w:rsidRPr="00A07F29">
              <w:rPr>
                <w:rFonts w:ascii="Times New Roman" w:hAnsi="Times New Roman" w:cs="Times New Roman"/>
                <w:i/>
                <w:iCs/>
                <w:sz w:val="20"/>
                <w:szCs w:val="20"/>
              </w:rPr>
              <w:t>epops</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046BEE"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ĪAS</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AD4B8D"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381BA5"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893DFD"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761C03D3"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Pieaug/Pieaug</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BCBAB97"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LC</w:t>
            </w:r>
          </w:p>
        </w:tc>
      </w:tr>
      <w:tr w:rsidR="004F2FB2" w:rsidRPr="00A07F29" w14:paraId="699F4FEF" w14:textId="77777777" w:rsidTr="0037188D">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C5198C" w14:textId="77777777" w:rsidR="004F2FB2" w:rsidRPr="00A07F29" w:rsidRDefault="004F2FB2" w:rsidP="004F2FB2">
            <w:pPr>
              <w:widowControl w:val="0"/>
              <w:autoSpaceDE w:val="0"/>
              <w:spacing w:after="0" w:line="240" w:lineRule="auto"/>
              <w:ind w:left="36"/>
              <w:rPr>
                <w:rFonts w:ascii="Times New Roman" w:hAnsi="Times New Roman"/>
                <w:bCs/>
                <w:sz w:val="20"/>
                <w:szCs w:val="20"/>
              </w:rPr>
            </w:pPr>
            <w:r w:rsidRPr="00A07F29">
              <w:rPr>
                <w:rFonts w:ascii="Times New Roman" w:hAnsi="Times New Roman"/>
                <w:bCs/>
                <w:sz w:val="20"/>
                <w:szCs w:val="20"/>
              </w:rPr>
              <w:t>42.</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71C8E2" w14:textId="77777777" w:rsidR="004F2FB2" w:rsidRPr="00A07F29" w:rsidRDefault="004F2FB2" w:rsidP="004F2FB2">
            <w:pPr>
              <w:widowControl w:val="0"/>
              <w:autoSpaceDE w:val="0"/>
              <w:spacing w:after="0" w:line="240" w:lineRule="auto"/>
              <w:ind w:left="-23"/>
              <w:jc w:val="both"/>
              <w:rPr>
                <w:rFonts w:ascii="Times New Roman" w:hAnsi="Times New Roman" w:cs="Times New Roman"/>
                <w:sz w:val="20"/>
                <w:szCs w:val="20"/>
              </w:rPr>
            </w:pPr>
            <w:r w:rsidRPr="00A07F29">
              <w:rPr>
                <w:rFonts w:ascii="Times New Roman" w:hAnsi="Times New Roman" w:cs="Times New Roman"/>
                <w:sz w:val="20"/>
                <w:szCs w:val="20"/>
              </w:rPr>
              <w:t>Vidējais dzenis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344259" w14:textId="77777777" w:rsidR="004F2FB2" w:rsidRPr="00A07F29" w:rsidRDefault="004F2FB2" w:rsidP="004F2FB2">
            <w:pPr>
              <w:widowControl w:val="0"/>
              <w:autoSpaceDE w:val="0"/>
              <w:spacing w:after="0" w:line="240" w:lineRule="auto"/>
              <w:jc w:val="both"/>
              <w:rPr>
                <w:rFonts w:ascii="Times New Roman" w:hAnsi="Times New Roman" w:cs="Times New Roman"/>
                <w:i/>
                <w:sz w:val="20"/>
                <w:szCs w:val="20"/>
              </w:rPr>
            </w:pPr>
            <w:proofErr w:type="spellStart"/>
            <w:r w:rsidRPr="00A07F29">
              <w:rPr>
                <w:rFonts w:ascii="Times New Roman" w:hAnsi="Times New Roman" w:cs="Times New Roman"/>
                <w:i/>
                <w:iCs/>
                <w:sz w:val="20"/>
                <w:szCs w:val="20"/>
              </w:rPr>
              <w:t>Leiopicus</w:t>
            </w:r>
            <w:proofErr w:type="spellEnd"/>
            <w:r w:rsidRPr="00A07F29">
              <w:rPr>
                <w:rFonts w:ascii="Times New Roman" w:hAnsi="Times New Roman" w:cs="Times New Roman"/>
                <w:i/>
                <w:iCs/>
                <w:sz w:val="20"/>
                <w:szCs w:val="20"/>
              </w:rPr>
              <w:t xml:space="preserve"> </w:t>
            </w:r>
            <w:proofErr w:type="spellStart"/>
            <w:r w:rsidRPr="00A07F29">
              <w:rPr>
                <w:rFonts w:ascii="Times New Roman" w:hAnsi="Times New Roman" w:cs="Times New Roman"/>
                <w:i/>
                <w:iCs/>
                <w:sz w:val="20"/>
                <w:szCs w:val="20"/>
              </w:rPr>
              <w:t>medius</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E2054F"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ĪAS</w:t>
            </w:r>
            <w:r w:rsidRPr="00A07F29">
              <w:rPr>
                <w:rFonts w:ascii="Times New Roman" w:hAnsi="Times New Roman" w:cs="Times New Roman"/>
                <w:sz w:val="20"/>
                <w:szCs w:val="20"/>
                <w:vertAlign w:val="superscript"/>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F26B4A"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PD I</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0ABA36"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966706"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2CFB1242"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Neskaidrs/Pieaug</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6F82B3B"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LC</w:t>
            </w:r>
          </w:p>
        </w:tc>
      </w:tr>
      <w:tr w:rsidR="004F2FB2" w:rsidRPr="00A07F29" w14:paraId="3D447F42" w14:textId="77777777" w:rsidTr="0037188D">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CA6FB9" w14:textId="77777777" w:rsidR="004F2FB2" w:rsidRPr="00A07F29" w:rsidRDefault="004F2FB2" w:rsidP="004F2FB2">
            <w:pPr>
              <w:widowControl w:val="0"/>
              <w:autoSpaceDE w:val="0"/>
              <w:spacing w:after="0" w:line="240" w:lineRule="auto"/>
              <w:ind w:left="36"/>
              <w:rPr>
                <w:rFonts w:ascii="Times New Roman" w:hAnsi="Times New Roman"/>
                <w:bCs/>
                <w:sz w:val="20"/>
                <w:szCs w:val="20"/>
              </w:rPr>
            </w:pPr>
            <w:r w:rsidRPr="00A07F29">
              <w:rPr>
                <w:rFonts w:ascii="Times New Roman" w:hAnsi="Times New Roman"/>
                <w:bCs/>
                <w:sz w:val="20"/>
                <w:szCs w:val="20"/>
              </w:rPr>
              <w:t>43.</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2CD543" w14:textId="77777777" w:rsidR="004F2FB2" w:rsidRPr="00A07F29" w:rsidRDefault="004F2FB2" w:rsidP="004F2FB2">
            <w:pPr>
              <w:widowControl w:val="0"/>
              <w:autoSpaceDE w:val="0"/>
              <w:spacing w:after="0" w:line="240" w:lineRule="auto"/>
              <w:ind w:left="-23"/>
              <w:jc w:val="both"/>
              <w:rPr>
                <w:rFonts w:ascii="Times New Roman" w:hAnsi="Times New Roman" w:cs="Times New Roman"/>
                <w:sz w:val="20"/>
                <w:szCs w:val="20"/>
              </w:rPr>
            </w:pPr>
            <w:proofErr w:type="spellStart"/>
            <w:r w:rsidRPr="00A07F29">
              <w:rPr>
                <w:rFonts w:ascii="Times New Roman" w:hAnsi="Times New Roman" w:cs="Times New Roman"/>
                <w:sz w:val="20"/>
                <w:szCs w:val="20"/>
              </w:rPr>
              <w:t>Baltmugurdzenis</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FE4900" w14:textId="77777777" w:rsidR="004F2FB2" w:rsidRPr="00A07F29" w:rsidRDefault="004F2FB2" w:rsidP="004F2FB2">
            <w:pPr>
              <w:widowControl w:val="0"/>
              <w:autoSpaceDE w:val="0"/>
              <w:spacing w:after="0" w:line="240" w:lineRule="auto"/>
              <w:jc w:val="both"/>
              <w:rPr>
                <w:rFonts w:ascii="Times New Roman" w:hAnsi="Times New Roman" w:cs="Times New Roman"/>
                <w:i/>
                <w:sz w:val="20"/>
                <w:szCs w:val="20"/>
              </w:rPr>
            </w:pPr>
            <w:proofErr w:type="spellStart"/>
            <w:r w:rsidRPr="00A07F29">
              <w:rPr>
                <w:rFonts w:ascii="Times New Roman" w:hAnsi="Times New Roman" w:cs="Times New Roman"/>
                <w:i/>
                <w:iCs/>
                <w:sz w:val="20"/>
                <w:szCs w:val="20"/>
              </w:rPr>
              <w:t>Dendrocopos</w:t>
            </w:r>
            <w:proofErr w:type="spellEnd"/>
            <w:r w:rsidRPr="00A07F29">
              <w:rPr>
                <w:rFonts w:ascii="Times New Roman" w:hAnsi="Times New Roman" w:cs="Times New Roman"/>
                <w:i/>
                <w:iCs/>
                <w:sz w:val="20"/>
                <w:szCs w:val="20"/>
              </w:rPr>
              <w:t xml:space="preserve"> </w:t>
            </w:r>
            <w:proofErr w:type="spellStart"/>
            <w:r w:rsidRPr="00A07F29">
              <w:rPr>
                <w:rFonts w:ascii="Times New Roman" w:hAnsi="Times New Roman" w:cs="Times New Roman"/>
                <w:i/>
                <w:iCs/>
                <w:sz w:val="20"/>
                <w:szCs w:val="20"/>
              </w:rPr>
              <w:t>leucotos</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4360C9"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ĪAS</w:t>
            </w:r>
            <w:r w:rsidRPr="00A07F29">
              <w:rPr>
                <w:rFonts w:ascii="Times New Roman" w:hAnsi="Times New Roman" w:cs="Times New Roman"/>
                <w:sz w:val="20"/>
                <w:szCs w:val="20"/>
                <w:vertAlign w:val="superscript"/>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E4EC6A"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PD I</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4E7FD6"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8B3313"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21331CD2"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Pieaug/Pieaug</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0E5719E"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LC</w:t>
            </w:r>
          </w:p>
        </w:tc>
      </w:tr>
      <w:tr w:rsidR="004F2FB2" w:rsidRPr="00A07F29" w14:paraId="3D9DEE69" w14:textId="77777777" w:rsidTr="0037188D">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D2DE0C" w14:textId="77777777" w:rsidR="004F2FB2" w:rsidRPr="00A07F29" w:rsidRDefault="004F2FB2" w:rsidP="004F2FB2">
            <w:pPr>
              <w:widowControl w:val="0"/>
              <w:autoSpaceDE w:val="0"/>
              <w:spacing w:after="0" w:line="240" w:lineRule="auto"/>
              <w:ind w:left="36"/>
              <w:rPr>
                <w:rFonts w:ascii="Times New Roman" w:hAnsi="Times New Roman"/>
                <w:bCs/>
                <w:sz w:val="20"/>
                <w:szCs w:val="20"/>
              </w:rPr>
            </w:pPr>
            <w:r w:rsidRPr="00A07F29">
              <w:rPr>
                <w:rFonts w:ascii="Times New Roman" w:hAnsi="Times New Roman"/>
                <w:bCs/>
                <w:sz w:val="20"/>
                <w:szCs w:val="20"/>
              </w:rPr>
              <w:t>44.</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9D2862" w14:textId="77777777" w:rsidR="004F2FB2" w:rsidRPr="00A07F29" w:rsidRDefault="004F2FB2" w:rsidP="004F2FB2">
            <w:pPr>
              <w:widowControl w:val="0"/>
              <w:autoSpaceDE w:val="0"/>
              <w:spacing w:after="0" w:line="240" w:lineRule="auto"/>
              <w:ind w:left="-23"/>
              <w:jc w:val="both"/>
              <w:rPr>
                <w:rFonts w:ascii="Times New Roman" w:hAnsi="Times New Roman" w:cs="Times New Roman"/>
                <w:sz w:val="20"/>
                <w:szCs w:val="20"/>
              </w:rPr>
            </w:pPr>
            <w:proofErr w:type="spellStart"/>
            <w:r w:rsidRPr="00A07F29">
              <w:rPr>
                <w:rFonts w:ascii="Times New Roman" w:hAnsi="Times New Roman" w:cs="Times New Roman"/>
                <w:sz w:val="20"/>
                <w:szCs w:val="20"/>
              </w:rPr>
              <w:t>Trīspirkstu</w:t>
            </w:r>
            <w:proofErr w:type="spellEnd"/>
            <w:r w:rsidRPr="00A07F29">
              <w:rPr>
                <w:rFonts w:ascii="Times New Roman" w:hAnsi="Times New Roman" w:cs="Times New Roman"/>
                <w:sz w:val="20"/>
                <w:szCs w:val="20"/>
              </w:rPr>
              <w:t xml:space="preserve"> dzenis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231005" w14:textId="77777777" w:rsidR="004F2FB2" w:rsidRPr="00A07F29" w:rsidRDefault="004F2FB2" w:rsidP="004F2FB2">
            <w:pPr>
              <w:widowControl w:val="0"/>
              <w:autoSpaceDE w:val="0"/>
              <w:spacing w:after="0" w:line="240" w:lineRule="auto"/>
              <w:jc w:val="both"/>
              <w:rPr>
                <w:rFonts w:ascii="Times New Roman" w:hAnsi="Times New Roman" w:cs="Times New Roman"/>
                <w:i/>
                <w:sz w:val="20"/>
                <w:szCs w:val="20"/>
              </w:rPr>
            </w:pPr>
            <w:proofErr w:type="spellStart"/>
            <w:r w:rsidRPr="00A07F29">
              <w:rPr>
                <w:rFonts w:ascii="Times New Roman" w:hAnsi="Times New Roman" w:cs="Times New Roman"/>
                <w:i/>
                <w:iCs/>
                <w:sz w:val="20"/>
                <w:szCs w:val="20"/>
              </w:rPr>
              <w:t>Picoides</w:t>
            </w:r>
            <w:proofErr w:type="spellEnd"/>
            <w:r w:rsidRPr="00A07F29">
              <w:rPr>
                <w:rFonts w:ascii="Times New Roman" w:hAnsi="Times New Roman" w:cs="Times New Roman"/>
                <w:i/>
                <w:iCs/>
                <w:sz w:val="20"/>
                <w:szCs w:val="20"/>
              </w:rPr>
              <w:t xml:space="preserve"> </w:t>
            </w:r>
            <w:proofErr w:type="spellStart"/>
            <w:r w:rsidRPr="00A07F29">
              <w:rPr>
                <w:rFonts w:ascii="Times New Roman" w:hAnsi="Times New Roman" w:cs="Times New Roman"/>
                <w:i/>
                <w:iCs/>
                <w:sz w:val="20"/>
                <w:szCs w:val="20"/>
              </w:rPr>
              <w:t>tridactylus</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2A502E"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ĪAS</w:t>
            </w:r>
            <w:r w:rsidRPr="00A07F29">
              <w:rPr>
                <w:rFonts w:ascii="Times New Roman" w:hAnsi="Times New Roman" w:cs="Times New Roman"/>
                <w:sz w:val="20"/>
                <w:szCs w:val="20"/>
                <w:vertAlign w:val="superscript"/>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52CFAE"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PD I</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F5E6F4"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AA06F1"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19D92ADD"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Samazinās/Stabils</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B4E158F"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LC</w:t>
            </w:r>
          </w:p>
        </w:tc>
      </w:tr>
      <w:tr w:rsidR="004F2FB2" w:rsidRPr="00A07F29" w14:paraId="0EA10131" w14:textId="77777777" w:rsidTr="0037188D">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CFF55A" w14:textId="77777777" w:rsidR="004F2FB2" w:rsidRPr="00A07F29" w:rsidRDefault="004F2FB2" w:rsidP="004F2FB2">
            <w:pPr>
              <w:widowControl w:val="0"/>
              <w:autoSpaceDE w:val="0"/>
              <w:spacing w:after="0" w:line="240" w:lineRule="auto"/>
              <w:ind w:left="36"/>
              <w:rPr>
                <w:rFonts w:ascii="Times New Roman" w:hAnsi="Times New Roman"/>
                <w:bCs/>
                <w:sz w:val="20"/>
                <w:szCs w:val="20"/>
              </w:rPr>
            </w:pPr>
            <w:r w:rsidRPr="00A07F29">
              <w:rPr>
                <w:rFonts w:ascii="Times New Roman" w:hAnsi="Times New Roman"/>
                <w:bCs/>
                <w:sz w:val="20"/>
                <w:szCs w:val="20"/>
              </w:rPr>
              <w:t>45.</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047B47" w14:textId="77777777" w:rsidR="004F2FB2" w:rsidRPr="00A07F29" w:rsidRDefault="004F2FB2" w:rsidP="004F2FB2">
            <w:pPr>
              <w:widowControl w:val="0"/>
              <w:autoSpaceDE w:val="0"/>
              <w:spacing w:after="0" w:line="240" w:lineRule="auto"/>
              <w:ind w:left="-23"/>
              <w:jc w:val="both"/>
              <w:rPr>
                <w:rFonts w:ascii="Times New Roman" w:hAnsi="Times New Roman" w:cs="Times New Roman"/>
                <w:sz w:val="20"/>
                <w:szCs w:val="20"/>
              </w:rPr>
            </w:pPr>
            <w:r w:rsidRPr="00A07F29">
              <w:rPr>
                <w:rFonts w:ascii="Times New Roman" w:hAnsi="Times New Roman" w:cs="Times New Roman"/>
                <w:sz w:val="20"/>
                <w:szCs w:val="20"/>
              </w:rPr>
              <w:t>Melnā dzilna</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FA16C1" w14:textId="77777777" w:rsidR="004F2FB2" w:rsidRPr="00A07F29" w:rsidRDefault="004F2FB2" w:rsidP="004F2FB2">
            <w:pPr>
              <w:widowControl w:val="0"/>
              <w:autoSpaceDE w:val="0"/>
              <w:spacing w:after="0" w:line="240" w:lineRule="auto"/>
              <w:jc w:val="both"/>
              <w:rPr>
                <w:rFonts w:ascii="Times New Roman" w:hAnsi="Times New Roman" w:cs="Times New Roman"/>
                <w:i/>
                <w:sz w:val="20"/>
                <w:szCs w:val="20"/>
              </w:rPr>
            </w:pPr>
            <w:proofErr w:type="spellStart"/>
            <w:r w:rsidRPr="00A07F29">
              <w:rPr>
                <w:rFonts w:ascii="Times New Roman" w:hAnsi="Times New Roman" w:cs="Times New Roman"/>
                <w:i/>
                <w:iCs/>
                <w:sz w:val="20"/>
                <w:szCs w:val="20"/>
              </w:rPr>
              <w:t>Dryocopus</w:t>
            </w:r>
            <w:proofErr w:type="spellEnd"/>
            <w:r w:rsidRPr="00A07F29">
              <w:rPr>
                <w:rFonts w:ascii="Times New Roman" w:hAnsi="Times New Roman" w:cs="Times New Roman"/>
                <w:i/>
                <w:iCs/>
                <w:sz w:val="20"/>
                <w:szCs w:val="20"/>
              </w:rPr>
              <w:t xml:space="preserve"> </w:t>
            </w:r>
            <w:proofErr w:type="spellStart"/>
            <w:r w:rsidRPr="00A07F29">
              <w:rPr>
                <w:rFonts w:ascii="Times New Roman" w:hAnsi="Times New Roman" w:cs="Times New Roman"/>
                <w:i/>
                <w:iCs/>
                <w:sz w:val="20"/>
                <w:szCs w:val="20"/>
              </w:rPr>
              <w:t>martius</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47BA49"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ĪAS</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C26A00"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PD I</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692F8E"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524535"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7235EE5F"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Stabils/Samazinās</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A06B6D6"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LC</w:t>
            </w:r>
          </w:p>
        </w:tc>
      </w:tr>
      <w:tr w:rsidR="004F2FB2" w:rsidRPr="00A07F29" w14:paraId="530B6600" w14:textId="77777777" w:rsidTr="0037188D">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B77949" w14:textId="77777777" w:rsidR="004F2FB2" w:rsidRPr="00A07F29" w:rsidRDefault="004F2FB2" w:rsidP="004F2FB2">
            <w:pPr>
              <w:widowControl w:val="0"/>
              <w:autoSpaceDE w:val="0"/>
              <w:spacing w:after="0" w:line="240" w:lineRule="auto"/>
              <w:ind w:left="36"/>
              <w:rPr>
                <w:rFonts w:ascii="Times New Roman" w:hAnsi="Times New Roman"/>
                <w:bCs/>
                <w:sz w:val="20"/>
                <w:szCs w:val="20"/>
              </w:rPr>
            </w:pPr>
            <w:r w:rsidRPr="00A07F29">
              <w:rPr>
                <w:rFonts w:ascii="Times New Roman" w:hAnsi="Times New Roman"/>
                <w:bCs/>
                <w:sz w:val="20"/>
                <w:szCs w:val="20"/>
              </w:rPr>
              <w:t>46.</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B4C01D" w14:textId="77777777" w:rsidR="004F2FB2" w:rsidRPr="00A07F29" w:rsidRDefault="004F2FB2" w:rsidP="004F2FB2">
            <w:pPr>
              <w:widowControl w:val="0"/>
              <w:autoSpaceDE w:val="0"/>
              <w:spacing w:after="0" w:line="240" w:lineRule="auto"/>
              <w:ind w:left="-23"/>
              <w:jc w:val="both"/>
              <w:rPr>
                <w:rFonts w:ascii="Times New Roman" w:hAnsi="Times New Roman" w:cs="Times New Roman"/>
                <w:sz w:val="20"/>
                <w:szCs w:val="20"/>
              </w:rPr>
            </w:pPr>
            <w:r w:rsidRPr="00A07F29">
              <w:rPr>
                <w:rFonts w:ascii="Times New Roman" w:hAnsi="Times New Roman" w:cs="Times New Roman"/>
                <w:sz w:val="20"/>
                <w:szCs w:val="20"/>
              </w:rPr>
              <w:t>Pelēkā dzilna</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3ABCCD" w14:textId="77777777" w:rsidR="004F2FB2" w:rsidRPr="00A07F29" w:rsidRDefault="004F2FB2" w:rsidP="004F2FB2">
            <w:pPr>
              <w:widowControl w:val="0"/>
              <w:autoSpaceDE w:val="0"/>
              <w:spacing w:after="0" w:line="240" w:lineRule="auto"/>
              <w:jc w:val="both"/>
              <w:rPr>
                <w:rFonts w:ascii="Times New Roman" w:hAnsi="Times New Roman" w:cs="Times New Roman"/>
                <w:i/>
                <w:sz w:val="20"/>
                <w:szCs w:val="20"/>
              </w:rPr>
            </w:pPr>
            <w:proofErr w:type="spellStart"/>
            <w:r w:rsidRPr="00A07F29">
              <w:rPr>
                <w:rFonts w:ascii="Times New Roman" w:hAnsi="Times New Roman" w:cs="Times New Roman"/>
                <w:i/>
                <w:iCs/>
                <w:sz w:val="20"/>
                <w:szCs w:val="20"/>
              </w:rPr>
              <w:t>Picus</w:t>
            </w:r>
            <w:proofErr w:type="spellEnd"/>
            <w:r w:rsidRPr="00A07F29">
              <w:rPr>
                <w:rFonts w:ascii="Times New Roman" w:hAnsi="Times New Roman" w:cs="Times New Roman"/>
                <w:i/>
                <w:iCs/>
                <w:sz w:val="20"/>
                <w:szCs w:val="20"/>
              </w:rPr>
              <w:t xml:space="preserve"> </w:t>
            </w:r>
            <w:proofErr w:type="spellStart"/>
            <w:r w:rsidRPr="00A07F29">
              <w:rPr>
                <w:rFonts w:ascii="Times New Roman" w:hAnsi="Times New Roman" w:cs="Times New Roman"/>
                <w:i/>
                <w:iCs/>
                <w:sz w:val="20"/>
                <w:szCs w:val="20"/>
              </w:rPr>
              <w:t>canus</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69DB03"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ĪAS</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03FA6C"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PD I</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AAF6A5"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C509FC"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151CCD8F"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r w:rsidRPr="00A07F29">
              <w:rPr>
                <w:rFonts w:ascii="Times New Roman" w:hAnsi="Times New Roman" w:cs="Times New Roman"/>
                <w:sz w:val="20"/>
                <w:szCs w:val="20"/>
              </w:rPr>
              <w:t>Pieaug/Pieaug</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D06A598"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LC</w:t>
            </w:r>
          </w:p>
        </w:tc>
      </w:tr>
      <w:tr w:rsidR="004F2FB2" w:rsidRPr="00A07F29" w14:paraId="3F2B8ACA" w14:textId="77777777" w:rsidTr="0037188D">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54E729" w14:textId="77777777" w:rsidR="004F2FB2" w:rsidRPr="00A07F29" w:rsidRDefault="004F2FB2" w:rsidP="004F2FB2">
            <w:pPr>
              <w:widowControl w:val="0"/>
              <w:autoSpaceDE w:val="0"/>
              <w:spacing w:after="0" w:line="240" w:lineRule="auto"/>
              <w:ind w:left="36"/>
              <w:rPr>
                <w:rFonts w:ascii="Times New Roman" w:hAnsi="Times New Roman"/>
                <w:bCs/>
                <w:sz w:val="20"/>
                <w:szCs w:val="20"/>
              </w:rPr>
            </w:pPr>
            <w:r w:rsidRPr="00A07F29">
              <w:rPr>
                <w:rFonts w:ascii="Times New Roman" w:hAnsi="Times New Roman"/>
                <w:bCs/>
                <w:sz w:val="20"/>
                <w:szCs w:val="20"/>
              </w:rPr>
              <w:t>47.</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3515F2" w14:textId="77777777" w:rsidR="004F2FB2" w:rsidRPr="00A07F29" w:rsidRDefault="004F2FB2" w:rsidP="004F2FB2">
            <w:pPr>
              <w:widowControl w:val="0"/>
              <w:autoSpaceDE w:val="0"/>
              <w:spacing w:after="0" w:line="240" w:lineRule="auto"/>
              <w:ind w:left="-23"/>
              <w:jc w:val="both"/>
              <w:rPr>
                <w:rFonts w:ascii="Times New Roman" w:hAnsi="Times New Roman" w:cs="Times New Roman"/>
                <w:sz w:val="20"/>
                <w:szCs w:val="20"/>
              </w:rPr>
            </w:pPr>
            <w:r w:rsidRPr="00A07F29">
              <w:rPr>
                <w:rFonts w:ascii="Times New Roman" w:hAnsi="Times New Roman" w:cs="Times New Roman"/>
                <w:sz w:val="20"/>
                <w:szCs w:val="20"/>
              </w:rPr>
              <w:t>Zaļā dzilna</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9796BF" w14:textId="77777777" w:rsidR="004F2FB2" w:rsidRPr="00A07F29" w:rsidRDefault="004F2FB2" w:rsidP="004F2FB2">
            <w:pPr>
              <w:widowControl w:val="0"/>
              <w:autoSpaceDE w:val="0"/>
              <w:spacing w:after="0" w:line="240" w:lineRule="auto"/>
              <w:jc w:val="both"/>
              <w:rPr>
                <w:rFonts w:ascii="Times New Roman" w:hAnsi="Times New Roman" w:cs="Times New Roman"/>
                <w:i/>
                <w:iCs/>
                <w:sz w:val="20"/>
                <w:szCs w:val="20"/>
              </w:rPr>
            </w:pPr>
            <w:proofErr w:type="spellStart"/>
            <w:r w:rsidRPr="00A07F29">
              <w:rPr>
                <w:rFonts w:ascii="Times New Roman" w:hAnsi="Times New Roman" w:cs="Times New Roman"/>
                <w:i/>
                <w:iCs/>
                <w:sz w:val="20"/>
                <w:szCs w:val="20"/>
              </w:rPr>
              <w:t>Picus</w:t>
            </w:r>
            <w:proofErr w:type="spellEnd"/>
            <w:r w:rsidRPr="00A07F29">
              <w:rPr>
                <w:rFonts w:ascii="Times New Roman" w:hAnsi="Times New Roman" w:cs="Times New Roman"/>
                <w:i/>
                <w:iCs/>
                <w:sz w:val="20"/>
                <w:szCs w:val="20"/>
              </w:rPr>
              <w:t xml:space="preserve"> </w:t>
            </w:r>
            <w:proofErr w:type="spellStart"/>
            <w:r w:rsidRPr="00A07F29">
              <w:rPr>
                <w:rFonts w:ascii="Times New Roman" w:hAnsi="Times New Roman" w:cs="Times New Roman"/>
                <w:i/>
                <w:iCs/>
                <w:sz w:val="20"/>
                <w:szCs w:val="20"/>
              </w:rPr>
              <w:t>viridis</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7EC8D9"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ĪAS</w:t>
            </w:r>
            <w:r w:rsidRPr="00A07F29">
              <w:rPr>
                <w:rFonts w:ascii="Times New Roman" w:hAnsi="Times New Roman" w:cs="Times New Roman"/>
                <w:sz w:val="20"/>
                <w:szCs w:val="20"/>
                <w:vertAlign w:val="superscript"/>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EBEDCB"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0E8816"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878E94"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775B4C3"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Samazinās/Samazinās</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9A44D05"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LC</w:t>
            </w:r>
          </w:p>
        </w:tc>
      </w:tr>
      <w:tr w:rsidR="004F2FB2" w:rsidRPr="00A07F29" w14:paraId="2F9CBE54" w14:textId="77777777" w:rsidTr="0037188D">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783649" w14:textId="77777777" w:rsidR="004F2FB2" w:rsidRPr="00A07F29" w:rsidRDefault="004F2FB2" w:rsidP="004F2FB2">
            <w:pPr>
              <w:widowControl w:val="0"/>
              <w:autoSpaceDE w:val="0"/>
              <w:spacing w:after="0" w:line="240" w:lineRule="auto"/>
              <w:ind w:left="36"/>
              <w:rPr>
                <w:rFonts w:ascii="Times New Roman" w:hAnsi="Times New Roman"/>
                <w:bCs/>
                <w:sz w:val="20"/>
                <w:szCs w:val="20"/>
              </w:rPr>
            </w:pPr>
            <w:r w:rsidRPr="00A07F29">
              <w:rPr>
                <w:rFonts w:ascii="Times New Roman" w:hAnsi="Times New Roman"/>
                <w:bCs/>
                <w:sz w:val="20"/>
                <w:szCs w:val="20"/>
              </w:rPr>
              <w:t>48.</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C74C43" w14:textId="77777777" w:rsidR="004F2FB2" w:rsidRPr="00A07F29" w:rsidRDefault="004F2FB2" w:rsidP="004F2FB2">
            <w:pPr>
              <w:widowControl w:val="0"/>
              <w:autoSpaceDE w:val="0"/>
              <w:spacing w:after="0" w:line="240" w:lineRule="auto"/>
              <w:ind w:left="-23"/>
              <w:jc w:val="both"/>
              <w:rPr>
                <w:rFonts w:ascii="Times New Roman" w:hAnsi="Times New Roman" w:cs="Times New Roman"/>
                <w:sz w:val="20"/>
                <w:szCs w:val="20"/>
              </w:rPr>
            </w:pPr>
            <w:r w:rsidRPr="00A07F29">
              <w:rPr>
                <w:rFonts w:ascii="Times New Roman" w:hAnsi="Times New Roman" w:cs="Times New Roman"/>
                <w:sz w:val="20"/>
                <w:szCs w:val="20"/>
              </w:rPr>
              <w:t>Tītiņš</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C57398" w14:textId="77777777" w:rsidR="004F2FB2" w:rsidRPr="00A07F29" w:rsidRDefault="004F2FB2" w:rsidP="004F2FB2">
            <w:pPr>
              <w:widowControl w:val="0"/>
              <w:autoSpaceDE w:val="0"/>
              <w:spacing w:after="0" w:line="240" w:lineRule="auto"/>
              <w:jc w:val="both"/>
              <w:rPr>
                <w:rFonts w:ascii="Times New Roman" w:hAnsi="Times New Roman" w:cs="Times New Roman"/>
                <w:i/>
                <w:iCs/>
                <w:sz w:val="20"/>
                <w:szCs w:val="20"/>
              </w:rPr>
            </w:pPr>
            <w:proofErr w:type="spellStart"/>
            <w:r w:rsidRPr="00A07F29">
              <w:rPr>
                <w:rFonts w:ascii="Times New Roman" w:hAnsi="Times New Roman" w:cs="Times New Roman"/>
                <w:i/>
                <w:iCs/>
                <w:sz w:val="20"/>
                <w:szCs w:val="20"/>
              </w:rPr>
              <w:t>Jynx</w:t>
            </w:r>
            <w:proofErr w:type="spellEnd"/>
            <w:r w:rsidRPr="00A07F29">
              <w:rPr>
                <w:rFonts w:ascii="Times New Roman" w:hAnsi="Times New Roman" w:cs="Times New Roman"/>
                <w:i/>
                <w:iCs/>
                <w:sz w:val="20"/>
                <w:szCs w:val="20"/>
              </w:rPr>
              <w:t xml:space="preserve"> </w:t>
            </w:r>
            <w:proofErr w:type="spellStart"/>
            <w:r w:rsidRPr="00A07F29">
              <w:rPr>
                <w:rFonts w:ascii="Times New Roman" w:hAnsi="Times New Roman" w:cs="Times New Roman"/>
                <w:i/>
                <w:iCs/>
                <w:sz w:val="20"/>
                <w:szCs w:val="20"/>
              </w:rPr>
              <w:t>torquilla</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F04C1B"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ĪAS</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A4A95C"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022170"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C998A1"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0F15B9E"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Neskaidrs/Pieaug</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6546B14"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LC</w:t>
            </w:r>
          </w:p>
        </w:tc>
      </w:tr>
      <w:tr w:rsidR="004F2FB2" w:rsidRPr="00A07F29" w14:paraId="594A3940" w14:textId="77777777" w:rsidTr="0037188D">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3E5636" w14:textId="77777777" w:rsidR="004F2FB2" w:rsidRPr="00A07F29" w:rsidRDefault="004F2FB2" w:rsidP="004F2FB2">
            <w:pPr>
              <w:widowControl w:val="0"/>
              <w:autoSpaceDE w:val="0"/>
              <w:spacing w:after="0" w:line="240" w:lineRule="auto"/>
              <w:ind w:left="36"/>
              <w:rPr>
                <w:rFonts w:ascii="Times New Roman" w:hAnsi="Times New Roman"/>
                <w:bCs/>
                <w:sz w:val="20"/>
                <w:szCs w:val="20"/>
              </w:rPr>
            </w:pPr>
            <w:r w:rsidRPr="00A07F29">
              <w:rPr>
                <w:rFonts w:ascii="Times New Roman" w:hAnsi="Times New Roman"/>
                <w:bCs/>
                <w:sz w:val="20"/>
                <w:szCs w:val="20"/>
              </w:rPr>
              <w:t>49.</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7E2A37" w14:textId="77777777" w:rsidR="004F2FB2" w:rsidRPr="00A07F29" w:rsidRDefault="004F2FB2" w:rsidP="004F2FB2">
            <w:pPr>
              <w:widowControl w:val="0"/>
              <w:autoSpaceDE w:val="0"/>
              <w:spacing w:after="0" w:line="240" w:lineRule="auto"/>
              <w:ind w:left="-23"/>
              <w:jc w:val="both"/>
              <w:rPr>
                <w:rFonts w:ascii="Times New Roman" w:hAnsi="Times New Roman" w:cs="Times New Roman"/>
                <w:sz w:val="20"/>
                <w:szCs w:val="20"/>
              </w:rPr>
            </w:pPr>
            <w:r w:rsidRPr="00A07F29">
              <w:rPr>
                <w:rFonts w:ascii="Times New Roman" w:hAnsi="Times New Roman" w:cs="Times New Roman"/>
                <w:sz w:val="20"/>
                <w:szCs w:val="20"/>
              </w:rPr>
              <w:t>Brūnā čakste</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26363B" w14:textId="77777777" w:rsidR="004F2FB2" w:rsidRPr="00A07F29" w:rsidRDefault="004F2FB2" w:rsidP="004F2FB2">
            <w:pPr>
              <w:widowControl w:val="0"/>
              <w:autoSpaceDE w:val="0"/>
              <w:spacing w:after="0" w:line="240" w:lineRule="auto"/>
              <w:jc w:val="both"/>
              <w:rPr>
                <w:rFonts w:ascii="Times New Roman" w:hAnsi="Times New Roman" w:cs="Times New Roman"/>
                <w:i/>
                <w:sz w:val="20"/>
                <w:szCs w:val="20"/>
              </w:rPr>
            </w:pPr>
            <w:proofErr w:type="spellStart"/>
            <w:r w:rsidRPr="00A07F29">
              <w:rPr>
                <w:rFonts w:ascii="Times New Roman" w:hAnsi="Times New Roman" w:cs="Times New Roman"/>
                <w:i/>
                <w:iCs/>
                <w:sz w:val="20"/>
                <w:szCs w:val="20"/>
              </w:rPr>
              <w:t>Lanius</w:t>
            </w:r>
            <w:proofErr w:type="spellEnd"/>
            <w:r w:rsidRPr="00A07F29">
              <w:rPr>
                <w:rFonts w:ascii="Times New Roman" w:hAnsi="Times New Roman" w:cs="Times New Roman"/>
                <w:i/>
                <w:iCs/>
                <w:sz w:val="20"/>
                <w:szCs w:val="20"/>
              </w:rPr>
              <w:t xml:space="preserve"> </w:t>
            </w:r>
            <w:proofErr w:type="spellStart"/>
            <w:r w:rsidRPr="00A07F29">
              <w:rPr>
                <w:rFonts w:ascii="Times New Roman" w:hAnsi="Times New Roman" w:cs="Times New Roman"/>
                <w:i/>
                <w:iCs/>
                <w:sz w:val="20"/>
                <w:szCs w:val="20"/>
              </w:rPr>
              <w:t>collurio</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FB3C64"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ĪAS</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48A2B0"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PD I</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963C62"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9784F1"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23D40FCF"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r w:rsidRPr="00A07F29">
              <w:rPr>
                <w:rFonts w:ascii="Times New Roman" w:hAnsi="Times New Roman" w:cs="Times New Roman"/>
                <w:sz w:val="20"/>
                <w:szCs w:val="20"/>
              </w:rPr>
              <w:t>Samazinās/Samazinās</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96F2E26"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LC</w:t>
            </w:r>
          </w:p>
        </w:tc>
      </w:tr>
      <w:tr w:rsidR="004F2FB2" w:rsidRPr="00A07F29" w14:paraId="6A7FB3C0" w14:textId="77777777" w:rsidTr="0037188D">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83371A" w14:textId="77777777" w:rsidR="004F2FB2" w:rsidRPr="00A07F29" w:rsidRDefault="004F2FB2" w:rsidP="004F2FB2">
            <w:pPr>
              <w:widowControl w:val="0"/>
              <w:autoSpaceDE w:val="0"/>
              <w:spacing w:after="0" w:line="240" w:lineRule="auto"/>
              <w:ind w:left="36"/>
              <w:rPr>
                <w:rFonts w:ascii="Times New Roman" w:hAnsi="Times New Roman"/>
                <w:bCs/>
                <w:sz w:val="20"/>
                <w:szCs w:val="20"/>
              </w:rPr>
            </w:pPr>
            <w:r w:rsidRPr="00A07F29">
              <w:rPr>
                <w:rFonts w:ascii="Times New Roman" w:hAnsi="Times New Roman"/>
                <w:bCs/>
                <w:sz w:val="20"/>
                <w:szCs w:val="20"/>
              </w:rPr>
              <w:lastRenderedPageBreak/>
              <w:t>50.</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E594AC" w14:textId="77777777" w:rsidR="004F2FB2" w:rsidRPr="00A07F29" w:rsidRDefault="004F2FB2" w:rsidP="004F2FB2">
            <w:pPr>
              <w:widowControl w:val="0"/>
              <w:autoSpaceDE w:val="0"/>
              <w:spacing w:after="0" w:line="240" w:lineRule="auto"/>
              <w:ind w:left="-23"/>
              <w:jc w:val="both"/>
              <w:rPr>
                <w:rFonts w:ascii="Times New Roman" w:hAnsi="Times New Roman" w:cs="Times New Roman"/>
                <w:sz w:val="20"/>
                <w:szCs w:val="20"/>
              </w:rPr>
            </w:pPr>
            <w:r w:rsidRPr="00A07F29">
              <w:rPr>
                <w:rFonts w:ascii="Times New Roman" w:hAnsi="Times New Roman" w:cs="Times New Roman"/>
                <w:sz w:val="20"/>
                <w:szCs w:val="20"/>
              </w:rPr>
              <w:t>Lielā čakste</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85551C" w14:textId="77777777" w:rsidR="004F2FB2" w:rsidRPr="00A07F29" w:rsidRDefault="004F2FB2" w:rsidP="004F2FB2">
            <w:pPr>
              <w:widowControl w:val="0"/>
              <w:autoSpaceDE w:val="0"/>
              <w:spacing w:after="0" w:line="240" w:lineRule="auto"/>
              <w:jc w:val="both"/>
              <w:rPr>
                <w:rFonts w:ascii="Times New Roman" w:hAnsi="Times New Roman" w:cs="Times New Roman"/>
                <w:i/>
                <w:sz w:val="20"/>
                <w:szCs w:val="20"/>
              </w:rPr>
            </w:pPr>
            <w:proofErr w:type="spellStart"/>
            <w:r w:rsidRPr="00A07F29">
              <w:rPr>
                <w:rFonts w:ascii="Times New Roman" w:hAnsi="Times New Roman" w:cs="Times New Roman"/>
                <w:i/>
                <w:iCs/>
                <w:sz w:val="20"/>
                <w:szCs w:val="20"/>
              </w:rPr>
              <w:t>Lanius</w:t>
            </w:r>
            <w:proofErr w:type="spellEnd"/>
            <w:r w:rsidRPr="00A07F29">
              <w:rPr>
                <w:rFonts w:ascii="Times New Roman" w:hAnsi="Times New Roman" w:cs="Times New Roman"/>
                <w:i/>
                <w:iCs/>
                <w:sz w:val="20"/>
                <w:szCs w:val="20"/>
              </w:rPr>
              <w:t xml:space="preserve"> </w:t>
            </w:r>
            <w:proofErr w:type="spellStart"/>
            <w:r w:rsidRPr="00A07F29">
              <w:rPr>
                <w:rFonts w:ascii="Times New Roman" w:hAnsi="Times New Roman" w:cs="Times New Roman"/>
                <w:i/>
                <w:iCs/>
                <w:sz w:val="20"/>
                <w:szCs w:val="20"/>
              </w:rPr>
              <w:t>excubitor</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1F1013"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ĪAS</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B8A14F"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115001"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371D50"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36C7614"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Pieaug/Pieaug</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2FACC63"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VU</w:t>
            </w:r>
          </w:p>
        </w:tc>
      </w:tr>
      <w:tr w:rsidR="004F2FB2" w:rsidRPr="00A07F29" w14:paraId="2DD7654B" w14:textId="77777777" w:rsidTr="0037188D">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1FB906" w14:textId="77777777" w:rsidR="004F2FB2" w:rsidRPr="00A07F29" w:rsidRDefault="004F2FB2" w:rsidP="004F2FB2">
            <w:pPr>
              <w:widowControl w:val="0"/>
              <w:autoSpaceDE w:val="0"/>
              <w:spacing w:after="0" w:line="240" w:lineRule="auto"/>
              <w:ind w:left="36"/>
              <w:rPr>
                <w:rFonts w:ascii="Times New Roman" w:hAnsi="Times New Roman"/>
                <w:bCs/>
                <w:sz w:val="20"/>
                <w:szCs w:val="20"/>
              </w:rPr>
            </w:pPr>
            <w:r w:rsidRPr="00A07F29">
              <w:rPr>
                <w:rFonts w:ascii="Times New Roman" w:hAnsi="Times New Roman"/>
                <w:bCs/>
                <w:sz w:val="20"/>
                <w:szCs w:val="20"/>
              </w:rPr>
              <w:t>51.</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09F7B8" w14:textId="77777777" w:rsidR="004F2FB2" w:rsidRPr="00A07F29" w:rsidRDefault="004F2FB2" w:rsidP="004F2FB2">
            <w:pPr>
              <w:widowControl w:val="0"/>
              <w:autoSpaceDE w:val="0"/>
              <w:spacing w:after="0" w:line="240" w:lineRule="auto"/>
              <w:ind w:left="-23"/>
              <w:jc w:val="both"/>
              <w:rPr>
                <w:rFonts w:ascii="Times New Roman" w:hAnsi="Times New Roman" w:cs="Times New Roman"/>
                <w:sz w:val="20"/>
                <w:szCs w:val="20"/>
              </w:rPr>
            </w:pPr>
            <w:r w:rsidRPr="00A07F29">
              <w:rPr>
                <w:rFonts w:ascii="Times New Roman" w:hAnsi="Times New Roman" w:cs="Times New Roman"/>
                <w:sz w:val="20"/>
                <w:szCs w:val="20"/>
              </w:rPr>
              <w:t>Sila cīrulis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710DD5" w14:textId="77777777" w:rsidR="004F2FB2" w:rsidRPr="00A07F29" w:rsidRDefault="004F2FB2" w:rsidP="004F2FB2">
            <w:pPr>
              <w:widowControl w:val="0"/>
              <w:autoSpaceDE w:val="0"/>
              <w:spacing w:after="0" w:line="240" w:lineRule="auto"/>
              <w:jc w:val="both"/>
              <w:rPr>
                <w:rFonts w:ascii="Times New Roman" w:hAnsi="Times New Roman" w:cs="Times New Roman"/>
                <w:i/>
                <w:sz w:val="20"/>
                <w:szCs w:val="20"/>
              </w:rPr>
            </w:pPr>
            <w:proofErr w:type="spellStart"/>
            <w:r w:rsidRPr="00A07F29">
              <w:rPr>
                <w:rFonts w:ascii="Times New Roman" w:hAnsi="Times New Roman" w:cs="Times New Roman"/>
                <w:i/>
                <w:iCs/>
                <w:sz w:val="20"/>
                <w:szCs w:val="20"/>
              </w:rPr>
              <w:t>Lullula</w:t>
            </w:r>
            <w:proofErr w:type="spellEnd"/>
            <w:r w:rsidRPr="00A07F29">
              <w:rPr>
                <w:rFonts w:ascii="Times New Roman" w:hAnsi="Times New Roman" w:cs="Times New Roman"/>
                <w:i/>
                <w:iCs/>
                <w:sz w:val="20"/>
                <w:szCs w:val="20"/>
              </w:rPr>
              <w:t xml:space="preserve"> </w:t>
            </w:r>
            <w:proofErr w:type="spellStart"/>
            <w:r w:rsidRPr="00A07F29">
              <w:rPr>
                <w:rFonts w:ascii="Times New Roman" w:hAnsi="Times New Roman" w:cs="Times New Roman"/>
                <w:i/>
                <w:iCs/>
                <w:sz w:val="20"/>
                <w:szCs w:val="20"/>
              </w:rPr>
              <w:t>arborea</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2C82DE"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ĪAS</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A533FF"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PD I</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C8A411"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4ADF45"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16640B4C"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r w:rsidRPr="00A07F29">
              <w:rPr>
                <w:rFonts w:ascii="Times New Roman" w:hAnsi="Times New Roman" w:cs="Times New Roman"/>
                <w:sz w:val="20"/>
                <w:szCs w:val="20"/>
              </w:rPr>
              <w:t>Stabils/Pieaug</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712230D"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LC</w:t>
            </w:r>
          </w:p>
        </w:tc>
      </w:tr>
      <w:tr w:rsidR="004F2FB2" w:rsidRPr="00A07F29" w14:paraId="6C6185E1" w14:textId="77777777" w:rsidTr="0037188D">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55B13C" w14:textId="77777777" w:rsidR="004F2FB2" w:rsidRPr="00A07F29" w:rsidRDefault="004F2FB2" w:rsidP="004F2FB2">
            <w:pPr>
              <w:widowControl w:val="0"/>
              <w:autoSpaceDE w:val="0"/>
              <w:spacing w:after="0" w:line="240" w:lineRule="auto"/>
              <w:ind w:left="36"/>
              <w:rPr>
                <w:rFonts w:ascii="Times New Roman" w:hAnsi="Times New Roman"/>
                <w:bCs/>
                <w:sz w:val="20"/>
                <w:szCs w:val="20"/>
              </w:rPr>
            </w:pPr>
            <w:r w:rsidRPr="00A07F29">
              <w:rPr>
                <w:rFonts w:ascii="Times New Roman" w:hAnsi="Times New Roman"/>
                <w:bCs/>
                <w:sz w:val="20"/>
                <w:szCs w:val="20"/>
              </w:rPr>
              <w:t>52.</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7D0D1B" w14:textId="77777777" w:rsidR="004F2FB2" w:rsidRPr="00A07F29" w:rsidRDefault="004F2FB2" w:rsidP="004F2FB2">
            <w:pPr>
              <w:widowControl w:val="0"/>
              <w:autoSpaceDE w:val="0"/>
              <w:spacing w:after="0" w:line="240" w:lineRule="auto"/>
              <w:ind w:left="-23"/>
              <w:jc w:val="both"/>
              <w:rPr>
                <w:rFonts w:ascii="Times New Roman" w:hAnsi="Times New Roman" w:cs="Times New Roman"/>
                <w:sz w:val="20"/>
                <w:szCs w:val="20"/>
              </w:rPr>
            </w:pPr>
            <w:r w:rsidRPr="00A07F29">
              <w:rPr>
                <w:rFonts w:ascii="Times New Roman" w:hAnsi="Times New Roman" w:cs="Times New Roman"/>
                <w:sz w:val="20"/>
                <w:szCs w:val="20"/>
              </w:rPr>
              <w:t>Ūdensstrazds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6CBB7F" w14:textId="77777777" w:rsidR="004F2FB2" w:rsidRPr="00A07F29" w:rsidRDefault="004F2FB2" w:rsidP="004F2FB2">
            <w:pPr>
              <w:widowControl w:val="0"/>
              <w:autoSpaceDE w:val="0"/>
              <w:spacing w:after="0" w:line="240" w:lineRule="auto"/>
              <w:jc w:val="both"/>
              <w:rPr>
                <w:rFonts w:ascii="Times New Roman" w:hAnsi="Times New Roman" w:cs="Times New Roman"/>
                <w:i/>
                <w:sz w:val="20"/>
                <w:szCs w:val="20"/>
              </w:rPr>
            </w:pPr>
            <w:proofErr w:type="spellStart"/>
            <w:r w:rsidRPr="00A07F29">
              <w:rPr>
                <w:rFonts w:ascii="Times New Roman" w:hAnsi="Times New Roman" w:cs="Times New Roman"/>
                <w:i/>
                <w:iCs/>
                <w:sz w:val="20"/>
                <w:szCs w:val="20"/>
              </w:rPr>
              <w:t>Cinclus</w:t>
            </w:r>
            <w:proofErr w:type="spellEnd"/>
            <w:r w:rsidRPr="00A07F29">
              <w:rPr>
                <w:rFonts w:ascii="Times New Roman" w:hAnsi="Times New Roman" w:cs="Times New Roman"/>
                <w:i/>
                <w:iCs/>
                <w:sz w:val="20"/>
                <w:szCs w:val="20"/>
              </w:rPr>
              <w:t xml:space="preserve"> </w:t>
            </w:r>
            <w:proofErr w:type="spellStart"/>
            <w:r w:rsidRPr="00A07F29">
              <w:rPr>
                <w:rFonts w:ascii="Times New Roman" w:hAnsi="Times New Roman" w:cs="Times New Roman"/>
                <w:i/>
                <w:iCs/>
                <w:sz w:val="20"/>
                <w:szCs w:val="20"/>
              </w:rPr>
              <w:t>cinclus</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61C631"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ĪAS</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FCEB1D"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D4A2E9"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7A834A"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40B5BAA"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2C861EC"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LC</w:t>
            </w:r>
          </w:p>
        </w:tc>
      </w:tr>
      <w:tr w:rsidR="004F2FB2" w:rsidRPr="00A07F29" w14:paraId="614D8744" w14:textId="77777777" w:rsidTr="0037188D">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59FF32" w14:textId="77777777" w:rsidR="004F2FB2" w:rsidRPr="00A07F29" w:rsidRDefault="004F2FB2" w:rsidP="004F2FB2">
            <w:pPr>
              <w:widowControl w:val="0"/>
              <w:autoSpaceDE w:val="0"/>
              <w:spacing w:after="0" w:line="240" w:lineRule="auto"/>
              <w:ind w:left="36"/>
              <w:rPr>
                <w:rFonts w:ascii="Times New Roman" w:hAnsi="Times New Roman"/>
                <w:bCs/>
                <w:sz w:val="20"/>
                <w:szCs w:val="20"/>
              </w:rPr>
            </w:pPr>
            <w:r w:rsidRPr="00A07F29">
              <w:rPr>
                <w:rFonts w:ascii="Times New Roman" w:hAnsi="Times New Roman"/>
                <w:bCs/>
                <w:sz w:val="20"/>
                <w:szCs w:val="20"/>
              </w:rPr>
              <w:t>53.</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A0281C" w14:textId="77777777" w:rsidR="004F2FB2" w:rsidRPr="00A07F29" w:rsidRDefault="004F2FB2" w:rsidP="004F2FB2">
            <w:pPr>
              <w:widowControl w:val="0"/>
              <w:autoSpaceDE w:val="0"/>
              <w:spacing w:after="0" w:line="240" w:lineRule="auto"/>
              <w:ind w:left="-23"/>
              <w:jc w:val="both"/>
              <w:rPr>
                <w:rFonts w:ascii="Times New Roman" w:hAnsi="Times New Roman" w:cs="Times New Roman"/>
                <w:sz w:val="20"/>
                <w:szCs w:val="20"/>
              </w:rPr>
            </w:pPr>
            <w:proofErr w:type="spellStart"/>
            <w:r w:rsidRPr="00A07F29">
              <w:rPr>
                <w:rFonts w:ascii="Times New Roman" w:hAnsi="Times New Roman" w:cs="Times New Roman"/>
                <w:sz w:val="20"/>
                <w:szCs w:val="20"/>
              </w:rPr>
              <w:t>Seivi</w:t>
            </w:r>
            <w:proofErr w:type="spellEnd"/>
            <w:r w:rsidRPr="00A07F29">
              <w:rPr>
                <w:rFonts w:ascii="Times New Roman" w:hAnsi="Times New Roman" w:cs="Times New Roman"/>
                <w:sz w:val="20"/>
                <w:szCs w:val="20"/>
              </w:rPr>
              <w:t xml:space="preserve"> ķauķis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2F9942" w14:textId="77777777" w:rsidR="004F2FB2" w:rsidRPr="00A07F29" w:rsidRDefault="004F2FB2" w:rsidP="004F2FB2">
            <w:pPr>
              <w:widowControl w:val="0"/>
              <w:autoSpaceDE w:val="0"/>
              <w:spacing w:after="0" w:line="240" w:lineRule="auto"/>
              <w:jc w:val="both"/>
              <w:rPr>
                <w:rFonts w:ascii="Times New Roman" w:hAnsi="Times New Roman" w:cs="Times New Roman"/>
                <w:i/>
                <w:sz w:val="20"/>
                <w:szCs w:val="20"/>
              </w:rPr>
            </w:pPr>
            <w:proofErr w:type="spellStart"/>
            <w:r w:rsidRPr="00A07F29">
              <w:rPr>
                <w:rFonts w:ascii="Times New Roman" w:hAnsi="Times New Roman" w:cs="Times New Roman"/>
                <w:i/>
                <w:iCs/>
                <w:sz w:val="20"/>
                <w:szCs w:val="20"/>
              </w:rPr>
              <w:t>Locustella</w:t>
            </w:r>
            <w:proofErr w:type="spellEnd"/>
            <w:r w:rsidRPr="00A07F29">
              <w:rPr>
                <w:rFonts w:ascii="Times New Roman" w:hAnsi="Times New Roman" w:cs="Times New Roman"/>
                <w:i/>
                <w:iCs/>
                <w:sz w:val="20"/>
                <w:szCs w:val="20"/>
              </w:rPr>
              <w:t xml:space="preserve"> </w:t>
            </w:r>
            <w:proofErr w:type="spellStart"/>
            <w:r w:rsidRPr="00A07F29">
              <w:rPr>
                <w:rFonts w:ascii="Times New Roman" w:hAnsi="Times New Roman" w:cs="Times New Roman"/>
                <w:i/>
                <w:iCs/>
                <w:sz w:val="20"/>
                <w:szCs w:val="20"/>
              </w:rPr>
              <w:t>luscinoides</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173FB5"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ĪAS</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F3EE94"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1465DA"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943DFA"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651A7B3B"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Nezināms/Pieaug</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3F6775A"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LC</w:t>
            </w:r>
          </w:p>
        </w:tc>
      </w:tr>
      <w:tr w:rsidR="004F2FB2" w:rsidRPr="00A07F29" w14:paraId="5542EB00" w14:textId="77777777" w:rsidTr="0037188D">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4B3828" w14:textId="77777777" w:rsidR="004F2FB2" w:rsidRPr="00A07F29" w:rsidRDefault="004F2FB2" w:rsidP="004F2FB2">
            <w:pPr>
              <w:widowControl w:val="0"/>
              <w:autoSpaceDE w:val="0"/>
              <w:spacing w:after="0" w:line="240" w:lineRule="auto"/>
              <w:ind w:left="36"/>
              <w:rPr>
                <w:rFonts w:ascii="Times New Roman" w:hAnsi="Times New Roman"/>
                <w:bCs/>
                <w:sz w:val="20"/>
                <w:szCs w:val="20"/>
              </w:rPr>
            </w:pPr>
            <w:r w:rsidRPr="00A07F29">
              <w:rPr>
                <w:rFonts w:ascii="Times New Roman" w:hAnsi="Times New Roman"/>
                <w:bCs/>
                <w:sz w:val="20"/>
                <w:szCs w:val="20"/>
              </w:rPr>
              <w:t>54.</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B64B6B" w14:textId="77777777" w:rsidR="004F2FB2" w:rsidRPr="00A07F29" w:rsidRDefault="004F2FB2" w:rsidP="004F2FB2">
            <w:pPr>
              <w:widowControl w:val="0"/>
              <w:autoSpaceDE w:val="0"/>
              <w:spacing w:after="0" w:line="240" w:lineRule="auto"/>
              <w:ind w:left="-23"/>
              <w:jc w:val="both"/>
              <w:rPr>
                <w:rFonts w:ascii="Times New Roman" w:hAnsi="Times New Roman" w:cs="Times New Roman"/>
                <w:sz w:val="20"/>
                <w:szCs w:val="20"/>
              </w:rPr>
            </w:pPr>
            <w:r w:rsidRPr="00A07F29">
              <w:rPr>
                <w:rFonts w:ascii="Times New Roman" w:hAnsi="Times New Roman" w:cs="Times New Roman"/>
                <w:sz w:val="20"/>
                <w:szCs w:val="20"/>
              </w:rPr>
              <w:t>Svītrainais ķauķis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782F7F" w14:textId="77777777" w:rsidR="004F2FB2" w:rsidRPr="00A07F29" w:rsidRDefault="004F2FB2" w:rsidP="004F2FB2">
            <w:pPr>
              <w:widowControl w:val="0"/>
              <w:autoSpaceDE w:val="0"/>
              <w:spacing w:after="0" w:line="240" w:lineRule="auto"/>
              <w:jc w:val="both"/>
              <w:rPr>
                <w:rFonts w:ascii="Times New Roman" w:hAnsi="Times New Roman" w:cs="Times New Roman"/>
                <w:i/>
                <w:iCs/>
                <w:sz w:val="20"/>
                <w:szCs w:val="20"/>
              </w:rPr>
            </w:pPr>
            <w:proofErr w:type="spellStart"/>
            <w:r w:rsidRPr="00A07F29">
              <w:rPr>
                <w:rFonts w:ascii="Times New Roman" w:hAnsi="Times New Roman" w:cs="Times New Roman"/>
                <w:i/>
                <w:iCs/>
                <w:sz w:val="20"/>
                <w:szCs w:val="20"/>
              </w:rPr>
              <w:t>Sylvia</w:t>
            </w:r>
            <w:proofErr w:type="spellEnd"/>
            <w:r w:rsidRPr="00A07F29">
              <w:rPr>
                <w:rFonts w:ascii="Times New Roman" w:hAnsi="Times New Roman" w:cs="Times New Roman"/>
                <w:i/>
                <w:iCs/>
                <w:sz w:val="20"/>
                <w:szCs w:val="20"/>
              </w:rPr>
              <w:t xml:space="preserve"> </w:t>
            </w:r>
            <w:proofErr w:type="spellStart"/>
            <w:r w:rsidRPr="00A07F29">
              <w:rPr>
                <w:rFonts w:ascii="Times New Roman" w:hAnsi="Times New Roman" w:cs="Times New Roman"/>
                <w:i/>
                <w:iCs/>
                <w:sz w:val="20"/>
                <w:szCs w:val="20"/>
              </w:rPr>
              <w:t>nisoria</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C2FCFF"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ĪAS</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707ECD"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PD I</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BD7935"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DFADF6"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3F2189B0"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r w:rsidRPr="00A07F29">
              <w:rPr>
                <w:rFonts w:ascii="Times New Roman" w:hAnsi="Times New Roman" w:cs="Times New Roman"/>
                <w:sz w:val="20"/>
                <w:szCs w:val="20"/>
              </w:rPr>
              <w:t>Pieaug/Pieaug</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4ABFE2E"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LC</w:t>
            </w:r>
          </w:p>
        </w:tc>
      </w:tr>
      <w:tr w:rsidR="004F2FB2" w:rsidRPr="00A07F29" w14:paraId="0C6A3F2A" w14:textId="77777777" w:rsidTr="0037188D">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3E3300" w14:textId="77777777" w:rsidR="004F2FB2" w:rsidRPr="00A07F29" w:rsidRDefault="004F2FB2" w:rsidP="004F2FB2">
            <w:pPr>
              <w:widowControl w:val="0"/>
              <w:autoSpaceDE w:val="0"/>
              <w:spacing w:after="0" w:line="240" w:lineRule="auto"/>
              <w:ind w:left="36"/>
              <w:rPr>
                <w:rFonts w:ascii="Times New Roman" w:hAnsi="Times New Roman"/>
                <w:bCs/>
                <w:sz w:val="20"/>
                <w:szCs w:val="20"/>
              </w:rPr>
            </w:pPr>
            <w:r w:rsidRPr="00A07F29">
              <w:rPr>
                <w:rFonts w:ascii="Times New Roman" w:hAnsi="Times New Roman"/>
                <w:bCs/>
                <w:sz w:val="20"/>
                <w:szCs w:val="20"/>
              </w:rPr>
              <w:t>55.</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372BDE" w14:textId="77777777" w:rsidR="004F2FB2" w:rsidRPr="00A07F29" w:rsidRDefault="004F2FB2" w:rsidP="004F2FB2">
            <w:pPr>
              <w:widowControl w:val="0"/>
              <w:autoSpaceDE w:val="0"/>
              <w:spacing w:after="0" w:line="240" w:lineRule="auto"/>
              <w:ind w:left="-23"/>
              <w:jc w:val="both"/>
              <w:rPr>
                <w:rFonts w:ascii="Times New Roman" w:hAnsi="Times New Roman" w:cs="Times New Roman"/>
                <w:sz w:val="20"/>
                <w:szCs w:val="20"/>
              </w:rPr>
            </w:pPr>
            <w:r w:rsidRPr="00A07F29">
              <w:rPr>
                <w:rFonts w:ascii="Times New Roman" w:hAnsi="Times New Roman" w:cs="Times New Roman"/>
                <w:sz w:val="20"/>
                <w:szCs w:val="20"/>
              </w:rPr>
              <w:t>Mazais mušķērājs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9AA536" w14:textId="77777777" w:rsidR="004F2FB2" w:rsidRPr="00A07F29" w:rsidRDefault="004F2FB2" w:rsidP="004F2FB2">
            <w:pPr>
              <w:widowControl w:val="0"/>
              <w:autoSpaceDE w:val="0"/>
              <w:spacing w:after="0" w:line="240" w:lineRule="auto"/>
              <w:jc w:val="both"/>
              <w:rPr>
                <w:rFonts w:ascii="Times New Roman" w:hAnsi="Times New Roman" w:cs="Times New Roman"/>
                <w:i/>
                <w:iCs/>
                <w:sz w:val="20"/>
                <w:szCs w:val="20"/>
              </w:rPr>
            </w:pPr>
            <w:proofErr w:type="spellStart"/>
            <w:r w:rsidRPr="00A07F29">
              <w:rPr>
                <w:rFonts w:ascii="Times New Roman" w:hAnsi="Times New Roman" w:cs="Times New Roman"/>
                <w:i/>
                <w:iCs/>
                <w:sz w:val="20"/>
                <w:szCs w:val="20"/>
              </w:rPr>
              <w:t>Ficedula</w:t>
            </w:r>
            <w:proofErr w:type="spellEnd"/>
            <w:r w:rsidRPr="00A07F29">
              <w:rPr>
                <w:rFonts w:ascii="Times New Roman" w:hAnsi="Times New Roman" w:cs="Times New Roman"/>
                <w:i/>
                <w:iCs/>
                <w:sz w:val="20"/>
                <w:szCs w:val="20"/>
              </w:rPr>
              <w:t xml:space="preserve"> </w:t>
            </w:r>
            <w:proofErr w:type="spellStart"/>
            <w:r w:rsidRPr="00A07F29">
              <w:rPr>
                <w:rFonts w:ascii="Times New Roman" w:hAnsi="Times New Roman" w:cs="Times New Roman"/>
                <w:i/>
                <w:iCs/>
                <w:sz w:val="20"/>
                <w:szCs w:val="20"/>
              </w:rPr>
              <w:t>parva</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C0F6FA"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ĪAS</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CFB4BA"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PD I</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553097"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35F5C8"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6E22ED31"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r w:rsidRPr="00A07F29">
              <w:rPr>
                <w:rFonts w:ascii="Times New Roman" w:hAnsi="Times New Roman" w:cs="Times New Roman"/>
                <w:sz w:val="20"/>
                <w:szCs w:val="20"/>
              </w:rPr>
              <w:t>Pieaug/Stabils</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CF27473"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LC</w:t>
            </w:r>
          </w:p>
        </w:tc>
      </w:tr>
      <w:tr w:rsidR="004F2FB2" w:rsidRPr="00A07F29" w14:paraId="3BBA0147" w14:textId="77777777" w:rsidTr="0037188D">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05EA80" w14:textId="77777777" w:rsidR="004F2FB2" w:rsidRPr="00A07F29" w:rsidRDefault="004F2FB2" w:rsidP="004F2FB2">
            <w:pPr>
              <w:widowControl w:val="0"/>
              <w:autoSpaceDE w:val="0"/>
              <w:spacing w:after="0" w:line="240" w:lineRule="auto"/>
              <w:ind w:left="36"/>
              <w:rPr>
                <w:rFonts w:ascii="Times New Roman" w:hAnsi="Times New Roman"/>
                <w:bCs/>
                <w:sz w:val="20"/>
                <w:szCs w:val="20"/>
              </w:rPr>
            </w:pPr>
            <w:r w:rsidRPr="00A07F29">
              <w:rPr>
                <w:rFonts w:ascii="Times New Roman" w:hAnsi="Times New Roman"/>
                <w:bCs/>
                <w:sz w:val="20"/>
                <w:szCs w:val="20"/>
              </w:rPr>
              <w:t>56.</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020BD6" w14:textId="77777777" w:rsidR="004F2FB2" w:rsidRPr="00A07F29" w:rsidRDefault="004F2FB2" w:rsidP="004F2FB2">
            <w:pPr>
              <w:widowControl w:val="0"/>
              <w:autoSpaceDE w:val="0"/>
              <w:spacing w:after="0" w:line="240" w:lineRule="auto"/>
              <w:ind w:left="-23"/>
              <w:jc w:val="both"/>
              <w:rPr>
                <w:rFonts w:ascii="Times New Roman" w:hAnsi="Times New Roman" w:cs="Times New Roman"/>
                <w:sz w:val="20"/>
                <w:szCs w:val="20"/>
              </w:rPr>
            </w:pPr>
            <w:r w:rsidRPr="00A07F29">
              <w:rPr>
                <w:rFonts w:ascii="Times New Roman" w:hAnsi="Times New Roman" w:cs="Times New Roman"/>
                <w:sz w:val="20"/>
                <w:szCs w:val="20"/>
              </w:rPr>
              <w:t>Zilrīklīte</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8CFAB0" w14:textId="77777777" w:rsidR="004F2FB2" w:rsidRPr="00A07F29" w:rsidRDefault="004F2FB2" w:rsidP="004F2FB2">
            <w:pPr>
              <w:widowControl w:val="0"/>
              <w:autoSpaceDE w:val="0"/>
              <w:spacing w:after="0" w:line="240" w:lineRule="auto"/>
              <w:jc w:val="both"/>
              <w:rPr>
                <w:rFonts w:ascii="Times New Roman" w:hAnsi="Times New Roman" w:cs="Times New Roman"/>
                <w:i/>
                <w:iCs/>
                <w:sz w:val="20"/>
                <w:szCs w:val="20"/>
              </w:rPr>
            </w:pPr>
            <w:proofErr w:type="spellStart"/>
            <w:r w:rsidRPr="00A07F29">
              <w:rPr>
                <w:rFonts w:ascii="Times New Roman" w:hAnsi="Times New Roman" w:cs="Times New Roman"/>
                <w:i/>
                <w:iCs/>
                <w:sz w:val="20"/>
                <w:szCs w:val="20"/>
              </w:rPr>
              <w:t>Luscinia</w:t>
            </w:r>
            <w:proofErr w:type="spellEnd"/>
            <w:r w:rsidRPr="00A07F29">
              <w:rPr>
                <w:rFonts w:ascii="Times New Roman" w:hAnsi="Times New Roman" w:cs="Times New Roman"/>
                <w:i/>
                <w:iCs/>
                <w:sz w:val="20"/>
                <w:szCs w:val="20"/>
              </w:rPr>
              <w:t xml:space="preserve"> </w:t>
            </w:r>
            <w:proofErr w:type="spellStart"/>
            <w:r w:rsidRPr="00A07F29">
              <w:rPr>
                <w:rFonts w:ascii="Times New Roman" w:hAnsi="Times New Roman" w:cs="Times New Roman"/>
                <w:i/>
                <w:iCs/>
                <w:sz w:val="20"/>
                <w:szCs w:val="20"/>
              </w:rPr>
              <w:t>svecica</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7A2C25"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ĪAS</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FC6B19"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PD I</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A567E2"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8F4614"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1F806C92"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r w:rsidRPr="00A07F29">
              <w:rPr>
                <w:rFonts w:ascii="Times New Roman" w:hAnsi="Times New Roman" w:cs="Times New Roman"/>
                <w:sz w:val="20"/>
                <w:szCs w:val="20"/>
              </w:rPr>
              <w:t>Stabils/Samazinās</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CD1E7E5"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LC</w:t>
            </w:r>
          </w:p>
        </w:tc>
      </w:tr>
      <w:tr w:rsidR="004F2FB2" w:rsidRPr="00A07F29" w14:paraId="61109D6A" w14:textId="77777777" w:rsidTr="0037188D">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CFC666" w14:textId="77777777" w:rsidR="004F2FB2" w:rsidRPr="00A07F29" w:rsidRDefault="004F2FB2" w:rsidP="004F2FB2">
            <w:pPr>
              <w:widowControl w:val="0"/>
              <w:autoSpaceDE w:val="0"/>
              <w:spacing w:after="0" w:line="240" w:lineRule="auto"/>
              <w:ind w:left="36"/>
              <w:rPr>
                <w:rFonts w:ascii="Times New Roman" w:hAnsi="Times New Roman"/>
                <w:bCs/>
                <w:sz w:val="20"/>
                <w:szCs w:val="20"/>
              </w:rPr>
            </w:pPr>
            <w:r w:rsidRPr="00A07F29">
              <w:rPr>
                <w:rFonts w:ascii="Times New Roman" w:hAnsi="Times New Roman"/>
                <w:bCs/>
                <w:sz w:val="20"/>
                <w:szCs w:val="20"/>
              </w:rPr>
              <w:t>67.</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FB2D71" w14:textId="77777777" w:rsidR="004F2FB2" w:rsidRPr="00A07F29" w:rsidRDefault="004F2FB2" w:rsidP="004F2FB2">
            <w:pPr>
              <w:widowControl w:val="0"/>
              <w:autoSpaceDE w:val="0"/>
              <w:spacing w:after="0" w:line="240" w:lineRule="auto"/>
              <w:ind w:left="-23"/>
              <w:jc w:val="both"/>
              <w:rPr>
                <w:rFonts w:ascii="Times New Roman" w:hAnsi="Times New Roman" w:cs="Times New Roman"/>
                <w:sz w:val="20"/>
                <w:szCs w:val="20"/>
              </w:rPr>
            </w:pPr>
            <w:r w:rsidRPr="00A07F29">
              <w:rPr>
                <w:rFonts w:ascii="Times New Roman" w:hAnsi="Times New Roman" w:cs="Times New Roman"/>
                <w:sz w:val="20"/>
                <w:szCs w:val="20"/>
              </w:rPr>
              <w:t xml:space="preserve">Stepes </w:t>
            </w:r>
            <w:proofErr w:type="spellStart"/>
            <w:r w:rsidRPr="00A07F29">
              <w:rPr>
                <w:rFonts w:ascii="Times New Roman" w:hAnsi="Times New Roman" w:cs="Times New Roman"/>
                <w:sz w:val="20"/>
                <w:szCs w:val="20"/>
              </w:rPr>
              <w:t>čipste</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0B2197" w14:textId="77777777" w:rsidR="004F2FB2" w:rsidRPr="00A07F29" w:rsidRDefault="004F2FB2" w:rsidP="004F2FB2">
            <w:pPr>
              <w:widowControl w:val="0"/>
              <w:autoSpaceDE w:val="0"/>
              <w:spacing w:after="0" w:line="240" w:lineRule="auto"/>
              <w:jc w:val="both"/>
              <w:rPr>
                <w:rFonts w:ascii="Times New Roman" w:hAnsi="Times New Roman" w:cs="Times New Roman"/>
                <w:i/>
                <w:iCs/>
                <w:sz w:val="20"/>
                <w:szCs w:val="20"/>
              </w:rPr>
            </w:pPr>
            <w:proofErr w:type="spellStart"/>
            <w:r w:rsidRPr="00A07F29">
              <w:rPr>
                <w:rFonts w:ascii="Times New Roman" w:hAnsi="Times New Roman" w:cs="Times New Roman"/>
                <w:i/>
                <w:iCs/>
                <w:sz w:val="20"/>
                <w:szCs w:val="20"/>
              </w:rPr>
              <w:t>Anthus</w:t>
            </w:r>
            <w:proofErr w:type="spellEnd"/>
            <w:r w:rsidRPr="00A07F29">
              <w:rPr>
                <w:rFonts w:ascii="Times New Roman" w:hAnsi="Times New Roman" w:cs="Times New Roman"/>
                <w:i/>
                <w:iCs/>
                <w:sz w:val="20"/>
                <w:szCs w:val="20"/>
              </w:rPr>
              <w:t xml:space="preserve"> </w:t>
            </w:r>
            <w:proofErr w:type="spellStart"/>
            <w:r w:rsidRPr="00A07F29">
              <w:rPr>
                <w:rFonts w:ascii="Times New Roman" w:hAnsi="Times New Roman" w:cs="Times New Roman"/>
                <w:i/>
                <w:iCs/>
                <w:sz w:val="20"/>
                <w:szCs w:val="20"/>
              </w:rPr>
              <w:t>campestris</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147A05"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ĪAS</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99D553"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PD I</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99C43E"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0A585D"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44ECB975"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r w:rsidRPr="00A07F29">
              <w:rPr>
                <w:rFonts w:ascii="Times New Roman" w:hAnsi="Times New Roman" w:cs="Times New Roman"/>
                <w:sz w:val="20"/>
                <w:szCs w:val="20"/>
              </w:rPr>
              <w:t>Samazinās/Samazinās</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89396E5"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LC</w:t>
            </w:r>
          </w:p>
        </w:tc>
      </w:tr>
      <w:tr w:rsidR="004F2FB2" w:rsidRPr="00A07F29" w14:paraId="5C352A89" w14:textId="77777777" w:rsidTr="0037188D">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73DD9F" w14:textId="77777777" w:rsidR="004F2FB2" w:rsidRPr="00A07F29" w:rsidRDefault="004F2FB2" w:rsidP="004F2FB2">
            <w:pPr>
              <w:widowControl w:val="0"/>
              <w:autoSpaceDE w:val="0"/>
              <w:spacing w:after="0" w:line="240" w:lineRule="auto"/>
              <w:ind w:left="36"/>
              <w:rPr>
                <w:rFonts w:ascii="Times New Roman" w:hAnsi="Times New Roman"/>
                <w:bCs/>
                <w:sz w:val="20"/>
                <w:szCs w:val="20"/>
              </w:rPr>
            </w:pPr>
            <w:r w:rsidRPr="00A07F29">
              <w:rPr>
                <w:rFonts w:ascii="Times New Roman" w:hAnsi="Times New Roman"/>
                <w:bCs/>
                <w:sz w:val="20"/>
                <w:szCs w:val="20"/>
              </w:rPr>
              <w:t>58</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0A0F1A" w14:textId="77777777" w:rsidR="004F2FB2" w:rsidRPr="00A07F29" w:rsidRDefault="004F2FB2" w:rsidP="004F2FB2">
            <w:pPr>
              <w:widowControl w:val="0"/>
              <w:autoSpaceDE w:val="0"/>
              <w:spacing w:after="0" w:line="240" w:lineRule="auto"/>
              <w:ind w:left="-23"/>
              <w:jc w:val="both"/>
              <w:rPr>
                <w:rFonts w:ascii="Times New Roman" w:hAnsi="Times New Roman" w:cs="Times New Roman"/>
                <w:sz w:val="20"/>
                <w:szCs w:val="20"/>
              </w:rPr>
            </w:pPr>
            <w:r w:rsidRPr="00A07F29">
              <w:rPr>
                <w:rFonts w:ascii="Times New Roman" w:hAnsi="Times New Roman" w:cs="Times New Roman"/>
                <w:sz w:val="20"/>
                <w:szCs w:val="20"/>
              </w:rPr>
              <w:t>Dārza stērste</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F23953" w14:textId="77777777" w:rsidR="004F2FB2" w:rsidRPr="00A07F29" w:rsidRDefault="004F2FB2" w:rsidP="004F2FB2">
            <w:pPr>
              <w:widowControl w:val="0"/>
              <w:autoSpaceDE w:val="0"/>
              <w:spacing w:after="0" w:line="240" w:lineRule="auto"/>
              <w:jc w:val="both"/>
              <w:rPr>
                <w:rFonts w:ascii="Times New Roman" w:hAnsi="Times New Roman" w:cs="Times New Roman"/>
                <w:i/>
                <w:iCs/>
                <w:sz w:val="20"/>
                <w:szCs w:val="20"/>
              </w:rPr>
            </w:pPr>
            <w:proofErr w:type="spellStart"/>
            <w:r w:rsidRPr="00A07F29">
              <w:rPr>
                <w:rFonts w:ascii="Times New Roman" w:hAnsi="Times New Roman" w:cs="Times New Roman"/>
                <w:i/>
                <w:iCs/>
                <w:sz w:val="20"/>
                <w:szCs w:val="20"/>
              </w:rPr>
              <w:t>Emberiza</w:t>
            </w:r>
            <w:proofErr w:type="spellEnd"/>
            <w:r w:rsidRPr="00A07F29">
              <w:rPr>
                <w:rFonts w:ascii="Times New Roman" w:hAnsi="Times New Roman" w:cs="Times New Roman"/>
                <w:i/>
                <w:iCs/>
                <w:sz w:val="20"/>
                <w:szCs w:val="20"/>
              </w:rPr>
              <w:t xml:space="preserve"> </w:t>
            </w:r>
            <w:proofErr w:type="spellStart"/>
            <w:r w:rsidRPr="00A07F29">
              <w:rPr>
                <w:rFonts w:ascii="Times New Roman" w:hAnsi="Times New Roman" w:cs="Times New Roman"/>
                <w:i/>
                <w:iCs/>
                <w:sz w:val="20"/>
                <w:szCs w:val="20"/>
              </w:rPr>
              <w:t>hortulana</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8E2008"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ĪAS</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6FCEEB" w14:textId="77777777" w:rsidR="004F2FB2" w:rsidRPr="00A07F29" w:rsidRDefault="004F2FB2" w:rsidP="004F2FB2">
            <w:pPr>
              <w:widowControl w:val="0"/>
              <w:autoSpaceDE w:val="0"/>
              <w:spacing w:after="0" w:line="240" w:lineRule="auto"/>
              <w:jc w:val="both"/>
              <w:rPr>
                <w:rFonts w:ascii="Times New Roman" w:hAnsi="Times New Roman" w:cs="Times New Roman"/>
                <w:sz w:val="20"/>
                <w:szCs w:val="20"/>
              </w:rPr>
            </w:pPr>
            <w:r w:rsidRPr="00A07F29">
              <w:rPr>
                <w:rFonts w:ascii="Times New Roman" w:hAnsi="Times New Roman" w:cs="Times New Roman"/>
                <w:sz w:val="20"/>
                <w:szCs w:val="20"/>
              </w:rPr>
              <w:t>PD I</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61B229"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FCAFDA"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71F319AE"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r w:rsidRPr="00A07F29">
              <w:rPr>
                <w:rFonts w:ascii="Times New Roman" w:hAnsi="Times New Roman" w:cs="Times New Roman"/>
                <w:sz w:val="20"/>
                <w:szCs w:val="20"/>
              </w:rPr>
              <w:t>Samazinās/Neskaidrs</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62D2019" w14:textId="77777777" w:rsidR="004F2FB2" w:rsidRPr="00A07F29" w:rsidRDefault="004F2FB2" w:rsidP="004F2FB2">
            <w:pPr>
              <w:widowControl w:val="0"/>
              <w:autoSpaceDE w:val="0"/>
              <w:spacing w:after="0" w:line="240" w:lineRule="auto"/>
              <w:jc w:val="both"/>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LC</w:t>
            </w:r>
          </w:p>
        </w:tc>
      </w:tr>
    </w:tbl>
    <w:p w14:paraId="6E218444" w14:textId="77777777" w:rsidR="00C75D8F" w:rsidRPr="00A07F29" w:rsidRDefault="00C75D8F" w:rsidP="00C75D8F">
      <w:pPr>
        <w:spacing w:before="120" w:after="120" w:line="240" w:lineRule="auto"/>
        <w:ind w:left="851"/>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 xml:space="preserve">Apzīmējumi: </w:t>
      </w:r>
    </w:p>
    <w:p w14:paraId="5B2E040D" w14:textId="10FFAF6A" w:rsidR="00E769CD" w:rsidRDefault="008D2248" w:rsidP="00C75D8F">
      <w:pPr>
        <w:autoSpaceDE w:val="0"/>
        <w:spacing w:before="120" w:after="120"/>
        <w:ind w:left="851"/>
        <w:jc w:val="both"/>
        <w:rPr>
          <w:rFonts w:ascii="Times New Roman" w:hAnsi="Times New Roman" w:cs="Times New Roman"/>
          <w:sz w:val="16"/>
          <w:szCs w:val="16"/>
        </w:rPr>
      </w:pPr>
      <w:r>
        <w:rPr>
          <w:rFonts w:ascii="Times New Roman" w:hAnsi="Times New Roman" w:cs="Times New Roman"/>
          <w:b/>
          <w:bCs/>
          <w:sz w:val="16"/>
          <w:szCs w:val="16"/>
        </w:rPr>
        <w:t>P</w:t>
      </w:r>
      <w:r w:rsidR="00C75D8F" w:rsidRPr="00A07F29">
        <w:rPr>
          <w:rFonts w:ascii="Times New Roman" w:hAnsi="Times New Roman" w:cs="Times New Roman"/>
          <w:b/>
          <w:bCs/>
          <w:sz w:val="16"/>
          <w:szCs w:val="16"/>
        </w:rPr>
        <w:t xml:space="preserve">D </w:t>
      </w:r>
      <w:r w:rsidR="00C75D8F" w:rsidRPr="00A07F29">
        <w:rPr>
          <w:rFonts w:ascii="Times New Roman" w:hAnsi="Times New Roman" w:cs="Times New Roman"/>
          <w:sz w:val="16"/>
          <w:szCs w:val="16"/>
        </w:rPr>
        <w:t xml:space="preserve">– </w:t>
      </w:r>
      <w:r>
        <w:rPr>
          <w:rFonts w:ascii="Times New Roman" w:hAnsi="Times New Roman" w:cs="Times New Roman"/>
          <w:sz w:val="16"/>
          <w:szCs w:val="16"/>
        </w:rPr>
        <w:t>Putnu</w:t>
      </w:r>
      <w:r w:rsidR="00C75D8F">
        <w:rPr>
          <w:rFonts w:ascii="Times New Roman" w:hAnsi="Times New Roman" w:cs="Times New Roman"/>
          <w:sz w:val="16"/>
          <w:szCs w:val="16"/>
        </w:rPr>
        <w:t xml:space="preserve"> direktīva: </w:t>
      </w:r>
      <w:r w:rsidR="00E769CD" w:rsidRPr="00081B22">
        <w:rPr>
          <w:rFonts w:ascii="Times New Roman" w:hAnsi="Times New Roman" w:cs="Times New Roman"/>
          <w:b/>
          <w:bCs/>
          <w:sz w:val="16"/>
          <w:szCs w:val="16"/>
        </w:rPr>
        <w:t>I</w:t>
      </w:r>
      <w:r w:rsidR="00E769CD">
        <w:rPr>
          <w:rFonts w:ascii="Times New Roman" w:hAnsi="Times New Roman" w:cs="Times New Roman"/>
          <w:sz w:val="16"/>
          <w:szCs w:val="16"/>
        </w:rPr>
        <w:t xml:space="preserve"> pielikums.</w:t>
      </w:r>
      <w:r w:rsidR="00FD5D84">
        <w:t xml:space="preserve"> </w:t>
      </w:r>
      <w:r w:rsidR="000233BE" w:rsidRPr="000233BE">
        <w:rPr>
          <w:rFonts w:ascii="Times New Roman" w:hAnsi="Times New Roman" w:cs="Times New Roman"/>
          <w:sz w:val="16"/>
          <w:szCs w:val="16"/>
        </w:rPr>
        <w:t>Sug</w:t>
      </w:r>
      <w:r w:rsidR="000233BE">
        <w:rPr>
          <w:rFonts w:ascii="Times New Roman" w:hAnsi="Times New Roman" w:cs="Times New Roman"/>
          <w:sz w:val="16"/>
          <w:szCs w:val="16"/>
        </w:rPr>
        <w:t>as, kurām</w:t>
      </w:r>
      <w:r w:rsidR="000233BE" w:rsidRPr="000233BE">
        <w:rPr>
          <w:rFonts w:ascii="Times New Roman" w:hAnsi="Times New Roman" w:cs="Times New Roman"/>
          <w:sz w:val="16"/>
          <w:szCs w:val="16"/>
        </w:rPr>
        <w:t xml:space="preserve"> jāpiemēro īpaši dzīvotņu aizsardzības pasākumi, lai nodrošinātu to izdzīvošanu un vairošanos savā izplatības areālā</w:t>
      </w:r>
      <w:r w:rsidR="00DD3070">
        <w:rPr>
          <w:rFonts w:ascii="Times New Roman" w:hAnsi="Times New Roman" w:cs="Times New Roman"/>
          <w:sz w:val="16"/>
          <w:szCs w:val="16"/>
        </w:rPr>
        <w:t xml:space="preserve">; </w:t>
      </w:r>
      <w:r w:rsidR="001B42E4" w:rsidRPr="00081B22">
        <w:rPr>
          <w:rFonts w:ascii="Times New Roman" w:hAnsi="Times New Roman" w:cs="Times New Roman"/>
          <w:b/>
          <w:bCs/>
          <w:sz w:val="16"/>
          <w:szCs w:val="16"/>
        </w:rPr>
        <w:t>II</w:t>
      </w:r>
      <w:r w:rsidR="001B42E4">
        <w:rPr>
          <w:rFonts w:ascii="Times New Roman" w:hAnsi="Times New Roman" w:cs="Times New Roman"/>
          <w:sz w:val="16"/>
          <w:szCs w:val="16"/>
        </w:rPr>
        <w:t xml:space="preserve"> pielikums</w:t>
      </w:r>
      <w:r w:rsidR="00FD5D84">
        <w:rPr>
          <w:rFonts w:ascii="Times New Roman" w:hAnsi="Times New Roman" w:cs="Times New Roman"/>
          <w:sz w:val="16"/>
          <w:szCs w:val="16"/>
        </w:rPr>
        <w:t>. Sugas</w:t>
      </w:r>
      <w:r w:rsidR="00081B22" w:rsidRPr="00081B22">
        <w:t xml:space="preserve"> </w:t>
      </w:r>
      <w:r w:rsidR="00081B22" w:rsidRPr="00081B22">
        <w:rPr>
          <w:rFonts w:ascii="Times New Roman" w:hAnsi="Times New Roman" w:cs="Times New Roman"/>
          <w:sz w:val="16"/>
          <w:szCs w:val="16"/>
        </w:rPr>
        <w:t>drīkst medīt saskaņā ar attiecīgo valstu tiesību aktiem. Dalībvalstis nodrošina, ka šo sugu medības neapdraud dabas aizsardzības pasākumus to izplatības teritorijā.</w:t>
      </w:r>
    </w:p>
    <w:p w14:paraId="11C0C0A9" w14:textId="0797E555" w:rsidR="00C75D8F" w:rsidRDefault="00C75D8F" w:rsidP="00C75D8F">
      <w:pPr>
        <w:shd w:val="clear" w:color="auto" w:fill="FFFFFF"/>
        <w:spacing w:before="120" w:after="120"/>
        <w:ind w:left="851"/>
        <w:jc w:val="both"/>
        <w:rPr>
          <w:rFonts w:ascii="Times New Roman" w:hAnsi="Times New Roman" w:cs="Times New Roman"/>
          <w:sz w:val="16"/>
          <w:szCs w:val="16"/>
        </w:rPr>
      </w:pPr>
      <w:r w:rsidRPr="00A07F29">
        <w:rPr>
          <w:rFonts w:ascii="Times New Roman" w:hAnsi="Times New Roman" w:cs="Times New Roman"/>
          <w:b/>
          <w:sz w:val="16"/>
          <w:szCs w:val="16"/>
        </w:rPr>
        <w:t xml:space="preserve">ĪAS </w:t>
      </w:r>
      <w:r w:rsidRPr="00A07F29">
        <w:rPr>
          <w:rFonts w:ascii="Times New Roman" w:hAnsi="Times New Roman" w:cs="Times New Roman"/>
          <w:sz w:val="16"/>
          <w:szCs w:val="16"/>
        </w:rPr>
        <w:t xml:space="preserve">– īpaši aizsargājama suga </w:t>
      </w:r>
      <w:r>
        <w:rPr>
          <w:rFonts w:ascii="Times New Roman" w:hAnsi="Times New Roman" w:cs="Times New Roman"/>
          <w:sz w:val="16"/>
          <w:szCs w:val="16"/>
        </w:rPr>
        <w:t>(</w:t>
      </w:r>
      <w:r w:rsidRPr="00FB6CBC">
        <w:rPr>
          <w:rFonts w:ascii="Times New Roman" w:hAnsi="Times New Roman" w:cs="Times New Roman"/>
          <w:sz w:val="16"/>
          <w:szCs w:val="16"/>
        </w:rPr>
        <w:t>atbilstoši MK 2000. gada 14. novembra noteikumiem Nr. 396 “Noteikumi par īpaši aizsargājamo sugu un ierobežoti izmantojamo īpaši aizsargājamo sugu sarakstu” pielikumiem</w:t>
      </w:r>
      <w:r>
        <w:rPr>
          <w:rFonts w:ascii="Times New Roman" w:hAnsi="Times New Roman" w:cs="Times New Roman"/>
          <w:sz w:val="16"/>
          <w:szCs w:val="16"/>
        </w:rPr>
        <w:t>)</w:t>
      </w:r>
      <w:r w:rsidR="0043017E">
        <w:rPr>
          <w:rFonts w:ascii="Times New Roman" w:hAnsi="Times New Roman" w:cs="Times New Roman"/>
          <w:sz w:val="16"/>
          <w:szCs w:val="16"/>
        </w:rPr>
        <w:t>;</w:t>
      </w:r>
      <w:r w:rsidR="0043017E" w:rsidRPr="0043017E">
        <w:rPr>
          <w:rFonts w:ascii="Times New Roman" w:eastAsia="Calibri" w:hAnsi="Times New Roman" w:cs="Times New Roman"/>
          <w:sz w:val="16"/>
          <w:szCs w:val="16"/>
        </w:rPr>
        <w:t xml:space="preserve"> </w:t>
      </w:r>
      <w:r w:rsidR="0043017E" w:rsidRPr="0043017E">
        <w:rPr>
          <w:rFonts w:ascii="Times New Roman" w:hAnsi="Times New Roman" w:cs="Times New Roman"/>
          <w:sz w:val="16"/>
          <w:szCs w:val="16"/>
        </w:rPr>
        <w:t xml:space="preserve">ar </w:t>
      </w:r>
      <w:r w:rsidR="0043017E" w:rsidRPr="0043017E">
        <w:rPr>
          <w:rFonts w:ascii="Times New Roman" w:hAnsi="Times New Roman" w:cs="Times New Roman"/>
          <w:sz w:val="16"/>
          <w:szCs w:val="16"/>
          <w:vertAlign w:val="superscript"/>
        </w:rPr>
        <w:t>1</w:t>
      </w:r>
      <w:r w:rsidR="0043017E" w:rsidRPr="0043017E">
        <w:rPr>
          <w:rFonts w:ascii="Times New Roman" w:hAnsi="Times New Roman" w:cs="Times New Roman"/>
          <w:sz w:val="16"/>
          <w:szCs w:val="16"/>
        </w:rPr>
        <w:t xml:space="preserve"> atzīmētas sugas, kuru aizsardzībai var veidot mikroliegumus (atbilstoši MK 2012. gada 18. decembra noteikumiem Nr. 940 “Noteikumi par mikroliegumu izveidošanas un apsaimniekošanas kārtību, to aizsardzību, kā arī mikroliegumu un to buferzonu noteikšanu”</w:t>
      </w:r>
      <w:r w:rsidR="005F67F2">
        <w:rPr>
          <w:rFonts w:ascii="Times New Roman" w:hAnsi="Times New Roman" w:cs="Times New Roman"/>
          <w:sz w:val="16"/>
          <w:szCs w:val="16"/>
        </w:rPr>
        <w:t>)</w:t>
      </w:r>
      <w:r w:rsidR="0043017E" w:rsidRPr="0043017E">
        <w:rPr>
          <w:rFonts w:ascii="Times New Roman" w:hAnsi="Times New Roman" w:cs="Times New Roman"/>
          <w:sz w:val="16"/>
          <w:szCs w:val="16"/>
        </w:rPr>
        <w:t>.</w:t>
      </w:r>
      <w:r w:rsidRPr="00FB6CBC">
        <w:rPr>
          <w:rFonts w:ascii="Times New Roman" w:hAnsi="Times New Roman" w:cs="Times New Roman"/>
          <w:sz w:val="16"/>
          <w:szCs w:val="16"/>
        </w:rPr>
        <w:t xml:space="preserve"> </w:t>
      </w:r>
    </w:p>
    <w:p w14:paraId="084874B1" w14:textId="79D58275" w:rsidR="003B4F18" w:rsidRPr="003B4F18" w:rsidRDefault="003B4F18" w:rsidP="00C75D8F">
      <w:pPr>
        <w:shd w:val="clear" w:color="auto" w:fill="FFFFFF"/>
        <w:spacing w:before="120" w:after="120"/>
        <w:ind w:left="851"/>
        <w:jc w:val="both"/>
        <w:rPr>
          <w:rFonts w:ascii="Times New Roman" w:hAnsi="Times New Roman" w:cs="Times New Roman"/>
          <w:bCs/>
          <w:sz w:val="16"/>
          <w:szCs w:val="16"/>
        </w:rPr>
      </w:pPr>
      <w:r w:rsidRPr="003B4F18">
        <w:rPr>
          <w:rFonts w:ascii="Times New Roman" w:hAnsi="Times New Roman" w:cs="Times New Roman"/>
          <w:bCs/>
          <w:sz w:val="16"/>
          <w:szCs w:val="16"/>
        </w:rPr>
        <w:t xml:space="preserve">saīsinājumi (angļu valodā): </w:t>
      </w:r>
      <w:r w:rsidRPr="009D56CA">
        <w:rPr>
          <w:rFonts w:ascii="Times New Roman" w:hAnsi="Times New Roman" w:cs="Times New Roman"/>
          <w:b/>
          <w:sz w:val="16"/>
          <w:szCs w:val="16"/>
        </w:rPr>
        <w:t>LC</w:t>
      </w:r>
      <w:r w:rsidRPr="003B4F18">
        <w:rPr>
          <w:rFonts w:ascii="Times New Roman" w:hAnsi="Times New Roman" w:cs="Times New Roman"/>
          <w:bCs/>
          <w:sz w:val="16"/>
          <w:szCs w:val="16"/>
        </w:rPr>
        <w:t xml:space="preserve"> – </w:t>
      </w:r>
      <w:proofErr w:type="spellStart"/>
      <w:r w:rsidRPr="003B4F18">
        <w:rPr>
          <w:rFonts w:ascii="Times New Roman" w:hAnsi="Times New Roman" w:cs="Times New Roman"/>
          <w:bCs/>
          <w:sz w:val="16"/>
          <w:szCs w:val="16"/>
        </w:rPr>
        <w:t>least</w:t>
      </w:r>
      <w:proofErr w:type="spellEnd"/>
      <w:r w:rsidRPr="003B4F18">
        <w:rPr>
          <w:rFonts w:ascii="Times New Roman" w:hAnsi="Times New Roman" w:cs="Times New Roman"/>
          <w:bCs/>
          <w:sz w:val="16"/>
          <w:szCs w:val="16"/>
        </w:rPr>
        <w:t xml:space="preserve"> </w:t>
      </w:r>
      <w:proofErr w:type="spellStart"/>
      <w:r w:rsidRPr="003B4F18">
        <w:rPr>
          <w:rFonts w:ascii="Times New Roman" w:hAnsi="Times New Roman" w:cs="Times New Roman"/>
          <w:bCs/>
          <w:sz w:val="16"/>
          <w:szCs w:val="16"/>
        </w:rPr>
        <w:t>concern</w:t>
      </w:r>
      <w:proofErr w:type="spellEnd"/>
      <w:r w:rsidRPr="003B4F18">
        <w:rPr>
          <w:rFonts w:ascii="Times New Roman" w:hAnsi="Times New Roman" w:cs="Times New Roman"/>
          <w:bCs/>
          <w:sz w:val="16"/>
          <w:szCs w:val="16"/>
        </w:rPr>
        <w:t xml:space="preserve">; </w:t>
      </w:r>
      <w:r w:rsidRPr="009D56CA">
        <w:rPr>
          <w:rFonts w:ascii="Times New Roman" w:hAnsi="Times New Roman" w:cs="Times New Roman"/>
          <w:b/>
          <w:sz w:val="16"/>
          <w:szCs w:val="16"/>
        </w:rPr>
        <w:t>NT</w:t>
      </w:r>
      <w:r w:rsidRPr="003B4F18">
        <w:rPr>
          <w:rFonts w:ascii="Times New Roman" w:hAnsi="Times New Roman" w:cs="Times New Roman"/>
          <w:bCs/>
          <w:sz w:val="16"/>
          <w:szCs w:val="16"/>
        </w:rPr>
        <w:t xml:space="preserve"> – near </w:t>
      </w:r>
      <w:proofErr w:type="spellStart"/>
      <w:r w:rsidRPr="003B4F18">
        <w:rPr>
          <w:rFonts w:ascii="Times New Roman" w:hAnsi="Times New Roman" w:cs="Times New Roman"/>
          <w:bCs/>
          <w:sz w:val="16"/>
          <w:szCs w:val="16"/>
        </w:rPr>
        <w:t>threatened</w:t>
      </w:r>
      <w:proofErr w:type="spellEnd"/>
      <w:r w:rsidRPr="003B4F18">
        <w:rPr>
          <w:rFonts w:ascii="Times New Roman" w:hAnsi="Times New Roman" w:cs="Times New Roman"/>
          <w:bCs/>
          <w:sz w:val="16"/>
          <w:szCs w:val="16"/>
        </w:rPr>
        <w:t xml:space="preserve">, </w:t>
      </w:r>
      <w:r w:rsidRPr="009D56CA">
        <w:rPr>
          <w:rFonts w:ascii="Times New Roman" w:hAnsi="Times New Roman" w:cs="Times New Roman"/>
          <w:b/>
          <w:sz w:val="16"/>
          <w:szCs w:val="16"/>
        </w:rPr>
        <w:t>VU</w:t>
      </w:r>
      <w:r w:rsidRPr="003B4F18">
        <w:rPr>
          <w:rFonts w:ascii="Times New Roman" w:hAnsi="Times New Roman" w:cs="Times New Roman"/>
          <w:bCs/>
          <w:sz w:val="16"/>
          <w:szCs w:val="16"/>
        </w:rPr>
        <w:t xml:space="preserve"> – </w:t>
      </w:r>
      <w:proofErr w:type="spellStart"/>
      <w:r w:rsidRPr="003B4F18">
        <w:rPr>
          <w:rFonts w:ascii="Times New Roman" w:hAnsi="Times New Roman" w:cs="Times New Roman"/>
          <w:bCs/>
          <w:sz w:val="16"/>
          <w:szCs w:val="16"/>
        </w:rPr>
        <w:t>vulnerabale</w:t>
      </w:r>
      <w:proofErr w:type="spellEnd"/>
      <w:r w:rsidRPr="003B4F18">
        <w:rPr>
          <w:rFonts w:ascii="Times New Roman" w:hAnsi="Times New Roman" w:cs="Times New Roman"/>
          <w:bCs/>
          <w:sz w:val="16"/>
          <w:szCs w:val="16"/>
        </w:rPr>
        <w:t xml:space="preserve">, </w:t>
      </w:r>
      <w:r w:rsidRPr="009D56CA">
        <w:rPr>
          <w:rFonts w:ascii="Times New Roman" w:hAnsi="Times New Roman" w:cs="Times New Roman"/>
          <w:b/>
          <w:sz w:val="16"/>
          <w:szCs w:val="16"/>
        </w:rPr>
        <w:t>EN</w:t>
      </w:r>
      <w:r w:rsidRPr="003B4F18">
        <w:rPr>
          <w:rFonts w:ascii="Times New Roman" w:hAnsi="Times New Roman" w:cs="Times New Roman"/>
          <w:bCs/>
          <w:sz w:val="16"/>
          <w:szCs w:val="16"/>
        </w:rPr>
        <w:t xml:space="preserve"> </w:t>
      </w:r>
      <w:r w:rsidR="009D56CA">
        <w:rPr>
          <w:rFonts w:ascii="Times New Roman" w:hAnsi="Times New Roman" w:cs="Times New Roman"/>
          <w:bCs/>
          <w:sz w:val="16"/>
          <w:szCs w:val="16"/>
        </w:rPr>
        <w:t>–</w:t>
      </w:r>
      <w:r w:rsidRPr="003B4F18">
        <w:rPr>
          <w:rFonts w:ascii="Times New Roman" w:hAnsi="Times New Roman" w:cs="Times New Roman"/>
          <w:bCs/>
          <w:sz w:val="16"/>
          <w:szCs w:val="16"/>
        </w:rPr>
        <w:t xml:space="preserve"> </w:t>
      </w:r>
      <w:proofErr w:type="spellStart"/>
      <w:r w:rsidRPr="003B4F18">
        <w:rPr>
          <w:rFonts w:ascii="Times New Roman" w:hAnsi="Times New Roman" w:cs="Times New Roman"/>
          <w:bCs/>
          <w:sz w:val="16"/>
          <w:szCs w:val="16"/>
        </w:rPr>
        <w:t>endangared</w:t>
      </w:r>
      <w:proofErr w:type="spellEnd"/>
      <w:r w:rsidR="009D56CA">
        <w:rPr>
          <w:rFonts w:ascii="Times New Roman" w:hAnsi="Times New Roman" w:cs="Times New Roman"/>
          <w:bCs/>
          <w:sz w:val="16"/>
          <w:szCs w:val="16"/>
        </w:rPr>
        <w:t>.</w:t>
      </w:r>
    </w:p>
    <w:p w14:paraId="2BFA6E38" w14:textId="447C5EA8" w:rsidR="00416FA5" w:rsidRPr="00416FA5" w:rsidRDefault="00A85704" w:rsidP="00416FA5">
      <w:pPr>
        <w:ind w:left="851"/>
        <w:rPr>
          <w:rFonts w:ascii="Times New Roman" w:hAnsi="Times New Roman" w:cs="Times New Roman"/>
          <w:sz w:val="16"/>
          <w:szCs w:val="16"/>
        </w:rPr>
      </w:pPr>
      <w:r>
        <w:rPr>
          <w:rFonts w:ascii="Times New Roman" w:hAnsi="Times New Roman" w:cs="Times New Roman"/>
          <w:sz w:val="16"/>
          <w:szCs w:val="16"/>
          <w:vertAlign w:val="superscript"/>
        </w:rPr>
        <w:t>2</w:t>
      </w:r>
      <w:r w:rsidR="00416FA5" w:rsidRPr="00416FA5">
        <w:rPr>
          <w:rFonts w:ascii="Times New Roman" w:hAnsi="Times New Roman" w:cs="Times New Roman"/>
          <w:sz w:val="16"/>
          <w:szCs w:val="16"/>
        </w:rPr>
        <w:t xml:space="preserve"> Avotiņš </w:t>
      </w:r>
      <w:proofErr w:type="spellStart"/>
      <w:r w:rsidR="00416FA5" w:rsidRPr="00416FA5">
        <w:rPr>
          <w:rFonts w:ascii="Times New Roman" w:hAnsi="Times New Roman" w:cs="Times New Roman"/>
          <w:sz w:val="16"/>
          <w:szCs w:val="16"/>
        </w:rPr>
        <w:t>jun</w:t>
      </w:r>
      <w:proofErr w:type="spellEnd"/>
      <w:r w:rsidR="00416FA5" w:rsidRPr="00416FA5">
        <w:rPr>
          <w:rFonts w:ascii="Times New Roman" w:hAnsi="Times New Roman" w:cs="Times New Roman"/>
          <w:sz w:val="16"/>
          <w:szCs w:val="16"/>
        </w:rPr>
        <w:t xml:space="preserve">. A. 2019. Apodziņa </w:t>
      </w:r>
      <w:proofErr w:type="spellStart"/>
      <w:r w:rsidR="00416FA5" w:rsidRPr="00416FA5">
        <w:rPr>
          <w:rFonts w:ascii="Times New Roman" w:hAnsi="Times New Roman" w:cs="Times New Roman"/>
          <w:i/>
          <w:iCs/>
          <w:sz w:val="16"/>
          <w:szCs w:val="16"/>
        </w:rPr>
        <w:t>Glaucidium</w:t>
      </w:r>
      <w:proofErr w:type="spellEnd"/>
      <w:r w:rsidR="00416FA5" w:rsidRPr="00416FA5">
        <w:rPr>
          <w:rFonts w:ascii="Times New Roman" w:hAnsi="Times New Roman" w:cs="Times New Roman"/>
          <w:i/>
          <w:iCs/>
          <w:sz w:val="16"/>
          <w:szCs w:val="16"/>
        </w:rPr>
        <w:t xml:space="preserve"> </w:t>
      </w:r>
      <w:proofErr w:type="spellStart"/>
      <w:r w:rsidR="00416FA5" w:rsidRPr="00416FA5">
        <w:rPr>
          <w:rFonts w:ascii="Times New Roman" w:hAnsi="Times New Roman" w:cs="Times New Roman"/>
          <w:i/>
          <w:iCs/>
          <w:sz w:val="16"/>
          <w:szCs w:val="16"/>
        </w:rPr>
        <w:t>passerinum</w:t>
      </w:r>
      <w:proofErr w:type="spellEnd"/>
      <w:r w:rsidR="00416FA5" w:rsidRPr="00416FA5">
        <w:rPr>
          <w:rFonts w:ascii="Times New Roman" w:hAnsi="Times New Roman" w:cs="Times New Roman"/>
          <w:sz w:val="16"/>
          <w:szCs w:val="16"/>
        </w:rPr>
        <w:t xml:space="preserve">, bikšainā apoga </w:t>
      </w:r>
      <w:proofErr w:type="spellStart"/>
      <w:r w:rsidR="00416FA5" w:rsidRPr="00416FA5">
        <w:rPr>
          <w:rFonts w:ascii="Times New Roman" w:hAnsi="Times New Roman" w:cs="Times New Roman"/>
          <w:i/>
          <w:iCs/>
          <w:sz w:val="16"/>
          <w:szCs w:val="16"/>
        </w:rPr>
        <w:t>Aegolius</w:t>
      </w:r>
      <w:proofErr w:type="spellEnd"/>
      <w:r w:rsidR="00416FA5" w:rsidRPr="00416FA5">
        <w:rPr>
          <w:rFonts w:ascii="Times New Roman" w:hAnsi="Times New Roman" w:cs="Times New Roman"/>
          <w:i/>
          <w:iCs/>
          <w:sz w:val="16"/>
          <w:szCs w:val="16"/>
        </w:rPr>
        <w:t xml:space="preserve"> </w:t>
      </w:r>
      <w:proofErr w:type="spellStart"/>
      <w:r w:rsidR="00416FA5" w:rsidRPr="00416FA5">
        <w:rPr>
          <w:rFonts w:ascii="Times New Roman" w:hAnsi="Times New Roman" w:cs="Times New Roman"/>
          <w:i/>
          <w:iCs/>
          <w:sz w:val="16"/>
          <w:szCs w:val="16"/>
        </w:rPr>
        <w:t>funereus</w:t>
      </w:r>
      <w:proofErr w:type="spellEnd"/>
      <w:r w:rsidR="00416FA5" w:rsidRPr="00416FA5">
        <w:rPr>
          <w:rFonts w:ascii="Times New Roman" w:hAnsi="Times New Roman" w:cs="Times New Roman"/>
          <w:sz w:val="16"/>
          <w:szCs w:val="16"/>
        </w:rPr>
        <w:t xml:space="preserve">, meža pūces </w:t>
      </w:r>
      <w:proofErr w:type="spellStart"/>
      <w:r w:rsidR="00416FA5" w:rsidRPr="00416FA5">
        <w:rPr>
          <w:rFonts w:ascii="Times New Roman" w:hAnsi="Times New Roman" w:cs="Times New Roman"/>
          <w:i/>
          <w:iCs/>
          <w:sz w:val="16"/>
          <w:szCs w:val="16"/>
        </w:rPr>
        <w:t>Strix</w:t>
      </w:r>
      <w:proofErr w:type="spellEnd"/>
      <w:r w:rsidR="00416FA5" w:rsidRPr="00416FA5">
        <w:rPr>
          <w:rFonts w:ascii="Times New Roman" w:hAnsi="Times New Roman" w:cs="Times New Roman"/>
          <w:i/>
          <w:iCs/>
          <w:sz w:val="16"/>
          <w:szCs w:val="16"/>
        </w:rPr>
        <w:t xml:space="preserve"> </w:t>
      </w:r>
      <w:proofErr w:type="spellStart"/>
      <w:r w:rsidR="00416FA5" w:rsidRPr="00416FA5">
        <w:rPr>
          <w:rFonts w:ascii="Times New Roman" w:hAnsi="Times New Roman" w:cs="Times New Roman"/>
          <w:i/>
          <w:iCs/>
          <w:sz w:val="16"/>
          <w:szCs w:val="16"/>
        </w:rPr>
        <w:t>aluco</w:t>
      </w:r>
      <w:proofErr w:type="spellEnd"/>
      <w:r w:rsidR="00416FA5" w:rsidRPr="00416FA5">
        <w:rPr>
          <w:rFonts w:ascii="Times New Roman" w:hAnsi="Times New Roman" w:cs="Times New Roman"/>
          <w:sz w:val="16"/>
          <w:szCs w:val="16"/>
        </w:rPr>
        <w:t xml:space="preserve">, </w:t>
      </w:r>
      <w:proofErr w:type="spellStart"/>
      <w:r w:rsidR="00416FA5" w:rsidRPr="00416FA5">
        <w:rPr>
          <w:rFonts w:ascii="Times New Roman" w:hAnsi="Times New Roman" w:cs="Times New Roman"/>
          <w:sz w:val="16"/>
          <w:szCs w:val="16"/>
        </w:rPr>
        <w:t>urālpūces</w:t>
      </w:r>
      <w:proofErr w:type="spellEnd"/>
      <w:r w:rsidR="00416FA5" w:rsidRPr="00416FA5">
        <w:rPr>
          <w:rFonts w:ascii="Times New Roman" w:hAnsi="Times New Roman" w:cs="Times New Roman"/>
          <w:sz w:val="16"/>
          <w:szCs w:val="16"/>
        </w:rPr>
        <w:t xml:space="preserve"> </w:t>
      </w:r>
      <w:proofErr w:type="spellStart"/>
      <w:r w:rsidR="00416FA5" w:rsidRPr="00416FA5">
        <w:rPr>
          <w:rFonts w:ascii="Times New Roman" w:hAnsi="Times New Roman" w:cs="Times New Roman"/>
          <w:i/>
          <w:iCs/>
          <w:sz w:val="16"/>
          <w:szCs w:val="16"/>
        </w:rPr>
        <w:t>Strix</w:t>
      </w:r>
      <w:proofErr w:type="spellEnd"/>
      <w:r w:rsidR="00416FA5" w:rsidRPr="00416FA5">
        <w:rPr>
          <w:rFonts w:ascii="Times New Roman" w:hAnsi="Times New Roman" w:cs="Times New Roman"/>
          <w:i/>
          <w:iCs/>
          <w:sz w:val="16"/>
          <w:szCs w:val="16"/>
        </w:rPr>
        <w:t xml:space="preserve"> </w:t>
      </w:r>
      <w:proofErr w:type="spellStart"/>
      <w:r w:rsidR="00416FA5" w:rsidRPr="00416FA5">
        <w:rPr>
          <w:rFonts w:ascii="Times New Roman" w:hAnsi="Times New Roman" w:cs="Times New Roman"/>
          <w:i/>
          <w:iCs/>
          <w:sz w:val="16"/>
          <w:szCs w:val="16"/>
        </w:rPr>
        <w:t>uralensis</w:t>
      </w:r>
      <w:proofErr w:type="spellEnd"/>
      <w:r w:rsidR="00416FA5" w:rsidRPr="00416FA5">
        <w:rPr>
          <w:rFonts w:ascii="Times New Roman" w:hAnsi="Times New Roman" w:cs="Times New Roman"/>
          <w:sz w:val="16"/>
          <w:szCs w:val="16"/>
        </w:rPr>
        <w:t xml:space="preserve">, ausainās pūces </w:t>
      </w:r>
      <w:proofErr w:type="spellStart"/>
      <w:r w:rsidR="00416FA5" w:rsidRPr="00416FA5">
        <w:rPr>
          <w:rFonts w:ascii="Times New Roman" w:hAnsi="Times New Roman" w:cs="Times New Roman"/>
          <w:i/>
          <w:iCs/>
          <w:sz w:val="16"/>
          <w:szCs w:val="16"/>
        </w:rPr>
        <w:t>Asio</w:t>
      </w:r>
      <w:proofErr w:type="spellEnd"/>
      <w:r w:rsidR="00416FA5" w:rsidRPr="00416FA5">
        <w:rPr>
          <w:rFonts w:ascii="Times New Roman" w:hAnsi="Times New Roman" w:cs="Times New Roman"/>
          <w:i/>
          <w:iCs/>
          <w:sz w:val="16"/>
          <w:szCs w:val="16"/>
        </w:rPr>
        <w:t xml:space="preserve"> </w:t>
      </w:r>
      <w:proofErr w:type="spellStart"/>
      <w:r w:rsidR="00416FA5" w:rsidRPr="00416FA5">
        <w:rPr>
          <w:rFonts w:ascii="Times New Roman" w:hAnsi="Times New Roman" w:cs="Times New Roman"/>
          <w:i/>
          <w:iCs/>
          <w:sz w:val="16"/>
          <w:szCs w:val="16"/>
        </w:rPr>
        <w:t>otus</w:t>
      </w:r>
      <w:proofErr w:type="spellEnd"/>
      <w:r w:rsidR="00416FA5" w:rsidRPr="00416FA5">
        <w:rPr>
          <w:rFonts w:ascii="Times New Roman" w:hAnsi="Times New Roman" w:cs="Times New Roman"/>
          <w:sz w:val="16"/>
          <w:szCs w:val="16"/>
        </w:rPr>
        <w:t xml:space="preserve"> un ūpja </w:t>
      </w:r>
      <w:proofErr w:type="spellStart"/>
      <w:r w:rsidR="00416FA5" w:rsidRPr="00416FA5">
        <w:rPr>
          <w:rFonts w:ascii="Times New Roman" w:hAnsi="Times New Roman" w:cs="Times New Roman"/>
          <w:i/>
          <w:iCs/>
          <w:sz w:val="16"/>
          <w:szCs w:val="16"/>
        </w:rPr>
        <w:t>Bubo</w:t>
      </w:r>
      <w:proofErr w:type="spellEnd"/>
      <w:r w:rsidR="00416FA5" w:rsidRPr="00416FA5">
        <w:rPr>
          <w:rFonts w:ascii="Times New Roman" w:hAnsi="Times New Roman" w:cs="Times New Roman"/>
          <w:i/>
          <w:iCs/>
          <w:sz w:val="16"/>
          <w:szCs w:val="16"/>
        </w:rPr>
        <w:t xml:space="preserve"> </w:t>
      </w:r>
      <w:proofErr w:type="spellStart"/>
      <w:r w:rsidR="00416FA5" w:rsidRPr="00416FA5">
        <w:rPr>
          <w:rFonts w:ascii="Times New Roman" w:hAnsi="Times New Roman" w:cs="Times New Roman"/>
          <w:i/>
          <w:iCs/>
          <w:sz w:val="16"/>
          <w:szCs w:val="16"/>
        </w:rPr>
        <w:t>bubo</w:t>
      </w:r>
      <w:proofErr w:type="spellEnd"/>
      <w:r w:rsidR="00416FA5" w:rsidRPr="00416FA5">
        <w:rPr>
          <w:rFonts w:ascii="Times New Roman" w:hAnsi="Times New Roman" w:cs="Times New Roman"/>
          <w:sz w:val="16"/>
          <w:szCs w:val="16"/>
        </w:rPr>
        <w:t xml:space="preserve"> aizsardzības plāns. Latvijas Ornitoloģijas biedrība, Rīga.</w:t>
      </w:r>
    </w:p>
    <w:p w14:paraId="41632E7D" w14:textId="574CE8E8" w:rsidR="00416FA5" w:rsidRPr="00416FA5" w:rsidRDefault="00A85704" w:rsidP="00416FA5">
      <w:pPr>
        <w:ind w:left="851"/>
        <w:rPr>
          <w:rFonts w:ascii="Times New Roman" w:hAnsi="Times New Roman" w:cs="Times New Roman"/>
          <w:sz w:val="16"/>
          <w:szCs w:val="16"/>
        </w:rPr>
      </w:pPr>
      <w:r>
        <w:rPr>
          <w:rFonts w:ascii="Times New Roman" w:hAnsi="Times New Roman" w:cs="Times New Roman"/>
          <w:sz w:val="16"/>
          <w:szCs w:val="16"/>
          <w:vertAlign w:val="superscript"/>
        </w:rPr>
        <w:t>3</w:t>
      </w:r>
      <w:r w:rsidR="00416FA5" w:rsidRPr="00416FA5">
        <w:rPr>
          <w:rFonts w:ascii="Times New Roman" w:hAnsi="Times New Roman" w:cs="Times New Roman"/>
          <w:sz w:val="16"/>
          <w:szCs w:val="16"/>
        </w:rPr>
        <w:t xml:space="preserve"> Bergmanis U. 2019. Mazā ērgļa aizsardzības plāns Latvijā. Latvijas Dabas fonds, Rīga.</w:t>
      </w:r>
    </w:p>
    <w:p w14:paraId="14FB4A94" w14:textId="59F37F35" w:rsidR="00416FA5" w:rsidRPr="00416FA5" w:rsidRDefault="00A85704" w:rsidP="00416FA5">
      <w:pPr>
        <w:ind w:left="851"/>
        <w:rPr>
          <w:rFonts w:ascii="Times New Roman" w:hAnsi="Times New Roman" w:cs="Times New Roman"/>
          <w:sz w:val="16"/>
          <w:szCs w:val="16"/>
        </w:rPr>
      </w:pPr>
      <w:r>
        <w:rPr>
          <w:rFonts w:ascii="Times New Roman" w:hAnsi="Times New Roman" w:cs="Times New Roman"/>
          <w:sz w:val="16"/>
          <w:szCs w:val="16"/>
          <w:vertAlign w:val="superscript"/>
        </w:rPr>
        <w:t>4</w:t>
      </w:r>
      <w:r w:rsidR="00416FA5" w:rsidRPr="00416FA5">
        <w:rPr>
          <w:rFonts w:ascii="Times New Roman" w:hAnsi="Times New Roman" w:cs="Times New Roman"/>
          <w:sz w:val="16"/>
          <w:szCs w:val="16"/>
        </w:rPr>
        <w:t xml:space="preserve"> Strazds M., </w:t>
      </w:r>
      <w:proofErr w:type="spellStart"/>
      <w:r w:rsidR="00416FA5" w:rsidRPr="00416FA5">
        <w:rPr>
          <w:rFonts w:ascii="Times New Roman" w:hAnsi="Times New Roman" w:cs="Times New Roman"/>
          <w:sz w:val="16"/>
          <w:szCs w:val="16"/>
        </w:rPr>
        <w:t>Ķerus</w:t>
      </w:r>
      <w:proofErr w:type="spellEnd"/>
      <w:r w:rsidR="00416FA5" w:rsidRPr="00416FA5">
        <w:rPr>
          <w:rFonts w:ascii="Times New Roman" w:hAnsi="Times New Roman" w:cs="Times New Roman"/>
          <w:sz w:val="16"/>
          <w:szCs w:val="16"/>
        </w:rPr>
        <w:t xml:space="preserve"> V. 2017. Mežirbes </w:t>
      </w:r>
      <w:r w:rsidR="00416FA5" w:rsidRPr="00416FA5">
        <w:rPr>
          <w:rFonts w:ascii="Times New Roman" w:hAnsi="Times New Roman" w:cs="Times New Roman"/>
          <w:i/>
          <w:iCs/>
          <w:sz w:val="16"/>
          <w:szCs w:val="16"/>
        </w:rPr>
        <w:t>(</w:t>
      </w:r>
      <w:proofErr w:type="spellStart"/>
      <w:r w:rsidR="00416FA5" w:rsidRPr="00416FA5">
        <w:rPr>
          <w:rFonts w:ascii="Times New Roman" w:hAnsi="Times New Roman" w:cs="Times New Roman"/>
          <w:i/>
          <w:iCs/>
          <w:sz w:val="16"/>
          <w:szCs w:val="16"/>
        </w:rPr>
        <w:t>Bonasa</w:t>
      </w:r>
      <w:proofErr w:type="spellEnd"/>
      <w:r w:rsidR="00416FA5" w:rsidRPr="00416FA5">
        <w:rPr>
          <w:rFonts w:ascii="Times New Roman" w:hAnsi="Times New Roman" w:cs="Times New Roman"/>
          <w:i/>
          <w:iCs/>
          <w:sz w:val="16"/>
          <w:szCs w:val="16"/>
        </w:rPr>
        <w:t xml:space="preserve"> </w:t>
      </w:r>
      <w:proofErr w:type="spellStart"/>
      <w:r w:rsidR="00416FA5" w:rsidRPr="00416FA5">
        <w:rPr>
          <w:rFonts w:ascii="Times New Roman" w:hAnsi="Times New Roman" w:cs="Times New Roman"/>
          <w:i/>
          <w:iCs/>
          <w:sz w:val="16"/>
          <w:szCs w:val="16"/>
        </w:rPr>
        <w:t>bonasia</w:t>
      </w:r>
      <w:proofErr w:type="spellEnd"/>
      <w:r w:rsidR="00416FA5" w:rsidRPr="00416FA5">
        <w:rPr>
          <w:rFonts w:ascii="Times New Roman" w:hAnsi="Times New Roman" w:cs="Times New Roman"/>
          <w:i/>
          <w:iCs/>
          <w:sz w:val="16"/>
          <w:szCs w:val="16"/>
        </w:rPr>
        <w:t>)</w:t>
      </w:r>
      <w:r w:rsidR="00416FA5" w:rsidRPr="00416FA5">
        <w:rPr>
          <w:rFonts w:ascii="Times New Roman" w:hAnsi="Times New Roman" w:cs="Times New Roman"/>
          <w:sz w:val="16"/>
          <w:szCs w:val="16"/>
        </w:rPr>
        <w:t xml:space="preserve"> aizsardzības plāns 2017. – 2026. gadam. Latvijas Ornitoloģijas biedrība, Rīga.</w:t>
      </w:r>
    </w:p>
    <w:p w14:paraId="7EADA03C" w14:textId="77777777" w:rsidR="004F2FB2" w:rsidRPr="00A07F29" w:rsidRDefault="004F2FB2" w:rsidP="004F2FB2"/>
    <w:p w14:paraId="7525D0A1" w14:textId="77777777" w:rsidR="004F2FB2" w:rsidRPr="00A07F29" w:rsidRDefault="004F2FB2" w:rsidP="000F31D9">
      <w:pPr>
        <w:spacing w:after="120" w:line="240" w:lineRule="auto"/>
        <w:ind w:firstLine="851"/>
        <w:jc w:val="both"/>
        <w:rPr>
          <w:rFonts w:ascii="Times New Roman" w:eastAsia="Times New Roman" w:hAnsi="Times New Roman" w:cs="Times New Roman"/>
          <w:bCs/>
          <w:iCs/>
          <w:sz w:val="24"/>
          <w:szCs w:val="24"/>
        </w:rPr>
      </w:pPr>
    </w:p>
    <w:p w14:paraId="5582C842" w14:textId="77777777" w:rsidR="004F2FB2" w:rsidRPr="00A07F29" w:rsidRDefault="004F2FB2" w:rsidP="00AB4E4A">
      <w:pPr>
        <w:keepNext/>
        <w:spacing w:before="240" w:after="120" w:line="240" w:lineRule="auto"/>
        <w:jc w:val="both"/>
        <w:rPr>
          <w:rFonts w:ascii="Times New Roman" w:eastAsia="Calibri" w:hAnsi="Times New Roman" w:cs="Times New Roman"/>
          <w:b/>
          <w:bCs/>
          <w:sz w:val="24"/>
          <w:szCs w:val="24"/>
        </w:rPr>
        <w:sectPr w:rsidR="004F2FB2" w:rsidRPr="00A07F29" w:rsidSect="0037188D">
          <w:pgSz w:w="16838" w:h="11906" w:orient="landscape" w:code="9"/>
          <w:pgMar w:top="1418" w:right="1134" w:bottom="1134" w:left="1134" w:header="709" w:footer="709" w:gutter="0"/>
          <w:cols w:space="708"/>
          <w:docGrid w:linePitch="360"/>
        </w:sectPr>
      </w:pPr>
    </w:p>
    <w:p w14:paraId="2B718EE4" w14:textId="77777777" w:rsidR="009A4BC5" w:rsidRPr="00A07F29" w:rsidRDefault="009A4BC5" w:rsidP="00A467AC">
      <w:pPr>
        <w:keepNext/>
        <w:spacing w:before="240" w:after="120" w:line="240" w:lineRule="auto"/>
        <w:ind w:hanging="142"/>
        <w:jc w:val="both"/>
        <w:rPr>
          <w:rFonts w:ascii="Times New Roman" w:eastAsia="Calibri" w:hAnsi="Times New Roman" w:cs="Times New Roman"/>
          <w:b/>
          <w:bCs/>
          <w:i/>
          <w:iCs/>
          <w:sz w:val="24"/>
          <w:szCs w:val="24"/>
        </w:rPr>
      </w:pPr>
      <w:r w:rsidRPr="00A07F29">
        <w:rPr>
          <w:rFonts w:ascii="Times New Roman" w:eastAsia="Calibri" w:hAnsi="Times New Roman" w:cs="Times New Roman"/>
          <w:b/>
          <w:bCs/>
          <w:sz w:val="24"/>
          <w:szCs w:val="24"/>
        </w:rPr>
        <w:lastRenderedPageBreak/>
        <w:t xml:space="preserve">Laukirbe </w:t>
      </w:r>
      <w:proofErr w:type="spellStart"/>
      <w:r w:rsidRPr="00A07F29">
        <w:rPr>
          <w:rFonts w:ascii="Times New Roman" w:eastAsia="Calibri" w:hAnsi="Times New Roman" w:cs="Times New Roman"/>
          <w:b/>
          <w:bCs/>
          <w:i/>
          <w:iCs/>
          <w:sz w:val="24"/>
          <w:szCs w:val="24"/>
        </w:rPr>
        <w:t>Perdix</w:t>
      </w:r>
      <w:proofErr w:type="spellEnd"/>
      <w:r w:rsidRPr="00A07F29">
        <w:rPr>
          <w:rFonts w:ascii="Times New Roman" w:eastAsia="Calibri" w:hAnsi="Times New Roman" w:cs="Times New Roman"/>
          <w:b/>
          <w:bCs/>
          <w:i/>
          <w:iCs/>
          <w:sz w:val="24"/>
          <w:szCs w:val="24"/>
        </w:rPr>
        <w:t xml:space="preserve"> </w:t>
      </w:r>
      <w:proofErr w:type="spellStart"/>
      <w:r w:rsidRPr="00A07F29">
        <w:rPr>
          <w:rFonts w:ascii="Times New Roman" w:eastAsia="Calibri" w:hAnsi="Times New Roman" w:cs="Times New Roman"/>
          <w:b/>
          <w:bCs/>
          <w:i/>
          <w:iCs/>
          <w:sz w:val="24"/>
          <w:szCs w:val="24"/>
        </w:rPr>
        <w:t>perdix</w:t>
      </w:r>
      <w:proofErr w:type="spellEnd"/>
    </w:p>
    <w:p w14:paraId="3E837C52" w14:textId="58A51642"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Populācijas lielums Latvijā: 500 – 1100 pāri (</w:t>
      </w:r>
      <w:proofErr w:type="spellStart"/>
      <w:r w:rsidRPr="00A07F29">
        <w:rPr>
          <w:rFonts w:ascii="Times New Roman" w:eastAsia="Calibri" w:hAnsi="Times New Roman" w:cs="Times New Roman"/>
          <w:sz w:val="24"/>
          <w:szCs w:val="24"/>
        </w:rPr>
        <w:t>Birdlife</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International</w:t>
      </w:r>
      <w:proofErr w:type="spellEnd"/>
      <w:r w:rsidR="00F2117E">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2019).</w:t>
      </w:r>
    </w:p>
    <w:p w14:paraId="5545382B" w14:textId="6A43ADC8"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Pēdējo </w:t>
      </w:r>
      <w:r w:rsidR="008366DE">
        <w:rPr>
          <w:rFonts w:ascii="Times New Roman" w:eastAsia="Calibri" w:hAnsi="Times New Roman" w:cs="Times New Roman"/>
          <w:sz w:val="24"/>
          <w:szCs w:val="24"/>
        </w:rPr>
        <w:t>piecu</w:t>
      </w:r>
      <w:r w:rsidRPr="00A07F29">
        <w:rPr>
          <w:rFonts w:ascii="Times New Roman" w:eastAsia="Calibri" w:hAnsi="Times New Roman" w:cs="Times New Roman"/>
          <w:sz w:val="24"/>
          <w:szCs w:val="24"/>
        </w:rPr>
        <w:t xml:space="preserve"> gadu laikā AAA “Augšdaugava” teritorijā zināmas </w:t>
      </w:r>
      <w:r w:rsidR="008366DE">
        <w:rPr>
          <w:rFonts w:ascii="Times New Roman" w:eastAsia="Calibri" w:hAnsi="Times New Roman" w:cs="Times New Roman"/>
          <w:sz w:val="24"/>
          <w:szCs w:val="24"/>
        </w:rPr>
        <w:t>sešas</w:t>
      </w:r>
      <w:r w:rsidRPr="00A07F29">
        <w:rPr>
          <w:rFonts w:ascii="Times New Roman" w:eastAsia="Calibri" w:hAnsi="Times New Roman" w:cs="Times New Roman"/>
          <w:sz w:val="24"/>
          <w:szCs w:val="24"/>
        </w:rPr>
        <w:t xml:space="preserve"> atradnes. Visi novērojumi uzskatāmi par gadījuma rakstura novērojumiem. Suga apdzīvo dažāda veida atklātu ainavu, tajā skaitā arī lauksaimniecībā intensīvi izmantotas platības. Sugai raksturīgs izteikti slēpts dzīvesveids, un vokālās aktivitātes maksimums ir aprīlī – maijā, kad nakts uzskaites atklātajā ainavā teritorijā nav veiktas.</w:t>
      </w:r>
    </w:p>
    <w:p w14:paraId="5B88B66A" w14:textId="538CEDDC"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Suga iekļauta </w:t>
      </w:r>
      <w:proofErr w:type="spellStart"/>
      <w:r w:rsidRPr="00A07F29">
        <w:rPr>
          <w:rFonts w:ascii="Times New Roman" w:eastAsia="Calibri" w:hAnsi="Times New Roman" w:cs="Times New Roman"/>
          <w:i/>
          <w:iCs/>
          <w:sz w:val="24"/>
          <w:szCs w:val="24"/>
        </w:rPr>
        <w:t>Natura</w:t>
      </w:r>
      <w:proofErr w:type="spellEnd"/>
      <w:r w:rsidRPr="00A07F29">
        <w:rPr>
          <w:rFonts w:ascii="Times New Roman" w:eastAsia="Calibri" w:hAnsi="Times New Roman" w:cs="Times New Roman"/>
          <w:i/>
          <w:iCs/>
          <w:sz w:val="24"/>
          <w:szCs w:val="24"/>
        </w:rPr>
        <w:t xml:space="preserve"> 2000</w:t>
      </w:r>
      <w:r w:rsidRPr="00A07F29">
        <w:rPr>
          <w:rFonts w:ascii="Times New Roman" w:eastAsia="Calibri" w:hAnsi="Times New Roman" w:cs="Times New Roman"/>
          <w:sz w:val="24"/>
          <w:szCs w:val="24"/>
        </w:rPr>
        <w:t xml:space="preserve"> </w:t>
      </w:r>
      <w:r w:rsidR="002C65DE">
        <w:rPr>
          <w:rFonts w:ascii="Times New Roman" w:eastAsia="Calibri" w:hAnsi="Times New Roman" w:cs="Times New Roman"/>
          <w:sz w:val="24"/>
          <w:szCs w:val="24"/>
        </w:rPr>
        <w:t>SDF</w:t>
      </w:r>
      <w:r w:rsidRPr="00A07F29">
        <w:rPr>
          <w:rFonts w:ascii="Times New Roman" w:eastAsia="Calibri" w:hAnsi="Times New Roman" w:cs="Times New Roman"/>
          <w:sz w:val="24"/>
          <w:szCs w:val="24"/>
        </w:rPr>
        <w:t>. Laukirbes skaita vērtējums teritorijā: 5</w:t>
      </w:r>
      <w:r w:rsidR="00B21E69">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B21E69">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10 ligzdojoši pāri. Iespējams, reālais ligzdojošo pāru skaits ir lielāks. </w:t>
      </w:r>
    </w:p>
    <w:p w14:paraId="26CAF6D2" w14:textId="77777777" w:rsidR="009A4BC5" w:rsidRPr="00A07F29" w:rsidRDefault="009A4BC5" w:rsidP="009B40AC">
      <w:pPr>
        <w:keepNext/>
        <w:spacing w:before="240" w:after="120" w:line="240" w:lineRule="auto"/>
        <w:jc w:val="both"/>
        <w:rPr>
          <w:rFonts w:ascii="Times New Roman" w:eastAsia="Calibri" w:hAnsi="Times New Roman" w:cs="Times New Roman"/>
          <w:b/>
          <w:bCs/>
          <w:i/>
          <w:iCs/>
          <w:sz w:val="24"/>
          <w:szCs w:val="24"/>
        </w:rPr>
      </w:pPr>
      <w:r w:rsidRPr="00A07F29">
        <w:rPr>
          <w:rFonts w:ascii="Times New Roman" w:eastAsia="Calibri" w:hAnsi="Times New Roman" w:cs="Times New Roman"/>
          <w:b/>
          <w:bCs/>
          <w:sz w:val="24"/>
          <w:szCs w:val="24"/>
        </w:rPr>
        <w:t xml:space="preserve">Paipala </w:t>
      </w:r>
      <w:proofErr w:type="spellStart"/>
      <w:r w:rsidRPr="00A07F29">
        <w:rPr>
          <w:rFonts w:ascii="Times New Roman" w:eastAsia="Calibri" w:hAnsi="Times New Roman" w:cs="Times New Roman"/>
          <w:b/>
          <w:bCs/>
          <w:i/>
          <w:iCs/>
          <w:sz w:val="24"/>
          <w:szCs w:val="24"/>
        </w:rPr>
        <w:t>Coturnix</w:t>
      </w:r>
      <w:proofErr w:type="spellEnd"/>
      <w:r w:rsidRPr="00A07F29">
        <w:rPr>
          <w:rFonts w:ascii="Times New Roman" w:eastAsia="Calibri" w:hAnsi="Times New Roman" w:cs="Times New Roman"/>
          <w:b/>
          <w:bCs/>
          <w:i/>
          <w:iCs/>
          <w:sz w:val="24"/>
          <w:szCs w:val="24"/>
        </w:rPr>
        <w:t xml:space="preserve"> </w:t>
      </w:r>
      <w:proofErr w:type="spellStart"/>
      <w:r w:rsidRPr="00A07F29">
        <w:rPr>
          <w:rFonts w:ascii="Times New Roman" w:eastAsia="Calibri" w:hAnsi="Times New Roman" w:cs="Times New Roman"/>
          <w:b/>
          <w:bCs/>
          <w:i/>
          <w:iCs/>
          <w:sz w:val="24"/>
          <w:szCs w:val="24"/>
        </w:rPr>
        <w:t>coturnix</w:t>
      </w:r>
      <w:proofErr w:type="spellEnd"/>
    </w:p>
    <w:p w14:paraId="536BA8DC" w14:textId="5053D969"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Populācijas lielums Latvijā: 540 – 1000 pāri (</w:t>
      </w:r>
      <w:proofErr w:type="spellStart"/>
      <w:r w:rsidRPr="00A07F29">
        <w:rPr>
          <w:rFonts w:ascii="Times New Roman" w:eastAsia="Calibri" w:hAnsi="Times New Roman" w:cs="Times New Roman"/>
          <w:sz w:val="24"/>
          <w:szCs w:val="24"/>
        </w:rPr>
        <w:t>Birdlife</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International</w:t>
      </w:r>
      <w:proofErr w:type="spellEnd"/>
      <w:r w:rsidR="00F2117E">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2019). Suga apdzīvo dažādus zālājus un lauksaimniecībā izmantojamas platības. Sugai izteiktas būtiskas skaita atšķirības; ligzdošana pēdējās desmitgadēs Latvijā nav pierādīta un pārsvarā tiek reģistrēti vokalizējoši tēviņi.</w:t>
      </w:r>
    </w:p>
    <w:p w14:paraId="6439E034" w14:textId="266A0303"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Pēdējo piecu gadu laikā AAA “Augšdaugava” teritorijā reģistrēti </w:t>
      </w:r>
      <w:r w:rsidR="00BB00C0">
        <w:rPr>
          <w:rFonts w:ascii="Times New Roman" w:eastAsia="Calibri" w:hAnsi="Times New Roman" w:cs="Times New Roman"/>
          <w:sz w:val="24"/>
          <w:szCs w:val="24"/>
        </w:rPr>
        <w:t>divi</w:t>
      </w:r>
      <w:r w:rsidRPr="00A07F29">
        <w:rPr>
          <w:rFonts w:ascii="Times New Roman" w:eastAsia="Calibri" w:hAnsi="Times New Roman" w:cs="Times New Roman"/>
          <w:sz w:val="24"/>
          <w:szCs w:val="24"/>
        </w:rPr>
        <w:t xml:space="preserve"> vokalizējoši paipalu tēviņi.</w:t>
      </w:r>
    </w:p>
    <w:p w14:paraId="1B5B1464" w14:textId="762D1F32"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Paipalas skaita vērtējums teritorijā: 0</w:t>
      </w:r>
      <w:r w:rsidR="003C564B">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3C564B">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5 vokalizējoši tēviņi. Suga iekļauta </w:t>
      </w:r>
      <w:proofErr w:type="spellStart"/>
      <w:r w:rsidRPr="00A07F29">
        <w:rPr>
          <w:rFonts w:ascii="Times New Roman" w:eastAsia="Calibri" w:hAnsi="Times New Roman" w:cs="Times New Roman"/>
          <w:i/>
          <w:iCs/>
          <w:sz w:val="24"/>
          <w:szCs w:val="24"/>
        </w:rPr>
        <w:t>Natura</w:t>
      </w:r>
      <w:proofErr w:type="spellEnd"/>
      <w:r w:rsidRPr="00A07F29">
        <w:rPr>
          <w:rFonts w:ascii="Times New Roman" w:eastAsia="Calibri" w:hAnsi="Times New Roman" w:cs="Times New Roman"/>
          <w:i/>
          <w:iCs/>
          <w:sz w:val="24"/>
          <w:szCs w:val="24"/>
        </w:rPr>
        <w:t xml:space="preserve"> 2000</w:t>
      </w:r>
      <w:r w:rsidRPr="00A07F29">
        <w:rPr>
          <w:rFonts w:ascii="Times New Roman" w:eastAsia="Calibri" w:hAnsi="Times New Roman" w:cs="Times New Roman"/>
          <w:sz w:val="24"/>
          <w:szCs w:val="24"/>
        </w:rPr>
        <w:t xml:space="preserve"> </w:t>
      </w:r>
      <w:r w:rsidR="002C65DE">
        <w:rPr>
          <w:rFonts w:ascii="Times New Roman" w:eastAsia="Calibri" w:hAnsi="Times New Roman" w:cs="Times New Roman"/>
          <w:sz w:val="24"/>
          <w:szCs w:val="24"/>
        </w:rPr>
        <w:t>SDF</w:t>
      </w:r>
      <w:r w:rsidRPr="00A07F29">
        <w:rPr>
          <w:rFonts w:ascii="Times New Roman" w:eastAsia="Calibri" w:hAnsi="Times New Roman" w:cs="Times New Roman"/>
          <w:sz w:val="24"/>
          <w:szCs w:val="24"/>
        </w:rPr>
        <w:t xml:space="preserve">. </w:t>
      </w:r>
    </w:p>
    <w:p w14:paraId="102A1094" w14:textId="77777777" w:rsidR="009A4BC5" w:rsidRPr="00A07F29" w:rsidRDefault="009A4BC5" w:rsidP="00786008">
      <w:pPr>
        <w:keepNext/>
        <w:spacing w:before="240" w:after="120" w:line="240" w:lineRule="auto"/>
        <w:jc w:val="both"/>
        <w:rPr>
          <w:rFonts w:ascii="Times New Roman" w:eastAsia="Calibri" w:hAnsi="Times New Roman" w:cs="Times New Roman"/>
          <w:b/>
          <w:bCs/>
          <w:i/>
          <w:iCs/>
          <w:sz w:val="24"/>
          <w:szCs w:val="24"/>
        </w:rPr>
      </w:pPr>
      <w:r w:rsidRPr="00A07F29">
        <w:rPr>
          <w:rFonts w:ascii="Times New Roman" w:eastAsia="Calibri" w:hAnsi="Times New Roman" w:cs="Times New Roman"/>
          <w:b/>
          <w:bCs/>
          <w:sz w:val="24"/>
          <w:szCs w:val="24"/>
        </w:rPr>
        <w:t xml:space="preserve">Rubenis </w:t>
      </w:r>
      <w:proofErr w:type="spellStart"/>
      <w:r w:rsidRPr="00A07F29">
        <w:rPr>
          <w:rFonts w:ascii="Times New Roman" w:eastAsia="Calibri" w:hAnsi="Times New Roman" w:cs="Times New Roman"/>
          <w:b/>
          <w:bCs/>
          <w:i/>
          <w:iCs/>
          <w:sz w:val="24"/>
          <w:szCs w:val="24"/>
        </w:rPr>
        <w:t>Lyrurus</w:t>
      </w:r>
      <w:proofErr w:type="spellEnd"/>
      <w:r w:rsidRPr="00A07F29">
        <w:rPr>
          <w:rFonts w:ascii="Times New Roman" w:eastAsia="Calibri" w:hAnsi="Times New Roman" w:cs="Times New Roman"/>
          <w:b/>
          <w:bCs/>
          <w:i/>
          <w:iCs/>
          <w:sz w:val="24"/>
          <w:szCs w:val="24"/>
        </w:rPr>
        <w:t xml:space="preserve"> </w:t>
      </w:r>
      <w:proofErr w:type="spellStart"/>
      <w:r w:rsidRPr="00A07F29">
        <w:rPr>
          <w:rFonts w:ascii="Times New Roman" w:eastAsia="Calibri" w:hAnsi="Times New Roman" w:cs="Times New Roman"/>
          <w:b/>
          <w:bCs/>
          <w:i/>
          <w:iCs/>
          <w:sz w:val="24"/>
          <w:szCs w:val="24"/>
        </w:rPr>
        <w:t>tetrix</w:t>
      </w:r>
      <w:proofErr w:type="spellEnd"/>
    </w:p>
    <w:p w14:paraId="38CAC5D9" w14:textId="3BC87F84"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Populācijas lielums Latvijā: 5885 – 15196 pāri (</w:t>
      </w:r>
      <w:proofErr w:type="spellStart"/>
      <w:r w:rsidRPr="00A07F29">
        <w:rPr>
          <w:rFonts w:ascii="Times New Roman" w:eastAsia="Calibri" w:hAnsi="Times New Roman" w:cs="Times New Roman"/>
          <w:sz w:val="24"/>
          <w:szCs w:val="24"/>
        </w:rPr>
        <w:t>Birdlife</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International</w:t>
      </w:r>
      <w:proofErr w:type="spellEnd"/>
      <w:r w:rsidR="00F2117E">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2019).</w:t>
      </w:r>
    </w:p>
    <w:p w14:paraId="5614E5A1" w14:textId="308D3F7A"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AAA “Augšdaugava” lielākajā daļā novērojumu agri no rīta dzirdēta tēviņu riesta dziesma un precīzu riestojošo gaiļu skaitu nav izdevies noskaidrot (putni nav vizuāli novēroti). Teritorijā nav konstatēti riesti ar lielu klātesošo rubeņu gaiļu skaitu. Pārsvarā konstatēti nelieli riesti ar maksimāli 3</w:t>
      </w:r>
      <w:r w:rsidR="00B92CE6">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B92CE6">
        <w:rPr>
          <w:rFonts w:ascii="Times New Roman" w:eastAsia="Calibri" w:hAnsi="Times New Roman" w:cs="Times New Roman"/>
          <w:sz w:val="24"/>
          <w:szCs w:val="24"/>
        </w:rPr>
        <w:t> </w:t>
      </w:r>
      <w:r w:rsidRPr="00A07F29">
        <w:rPr>
          <w:rFonts w:ascii="Times New Roman" w:eastAsia="Calibri" w:hAnsi="Times New Roman" w:cs="Times New Roman"/>
          <w:sz w:val="24"/>
          <w:szCs w:val="24"/>
        </w:rPr>
        <w:t>5 riestojošiem gaiļiem.</w:t>
      </w:r>
      <w:r w:rsidR="00D65BBA" w:rsidRPr="00A07F29">
        <w:rPr>
          <w:rFonts w:ascii="Times New Roman" w:eastAsia="Calibri" w:hAnsi="Times New Roman" w:cs="Times New Roman"/>
          <w:sz w:val="24"/>
          <w:szCs w:val="24"/>
        </w:rPr>
        <w:t xml:space="preserve"> </w:t>
      </w:r>
      <w:r w:rsidRPr="00A07F29">
        <w:rPr>
          <w:rFonts w:ascii="Times New Roman" w:eastAsia="Calibri" w:hAnsi="Times New Roman" w:cs="Times New Roman"/>
          <w:sz w:val="24"/>
          <w:szCs w:val="24"/>
        </w:rPr>
        <w:t>2020.</w:t>
      </w:r>
      <w:r w:rsidR="00B92CE6">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gada pavasara uzskaišu laikā riestojoši rubeņu tēviņi konstatēti </w:t>
      </w:r>
      <w:r w:rsidR="00BD0695">
        <w:rPr>
          <w:rFonts w:ascii="Times New Roman" w:eastAsia="Calibri" w:hAnsi="Times New Roman" w:cs="Times New Roman"/>
          <w:sz w:val="24"/>
          <w:szCs w:val="24"/>
        </w:rPr>
        <w:t>deviņās</w:t>
      </w:r>
      <w:r w:rsidRPr="00A07F29">
        <w:rPr>
          <w:rFonts w:ascii="Times New Roman" w:eastAsia="Calibri" w:hAnsi="Times New Roman" w:cs="Times New Roman"/>
          <w:sz w:val="24"/>
          <w:szCs w:val="24"/>
        </w:rPr>
        <w:t xml:space="preserve"> atradnēs.</w:t>
      </w:r>
    </w:p>
    <w:p w14:paraId="7ABA3C7C" w14:textId="1FD9E597"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Skaita vērtējums teritorijā: 20</w:t>
      </w:r>
      <w:r w:rsidR="00BD0695">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BD0695">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40 riestojoši tēviņi. </w:t>
      </w:r>
    </w:p>
    <w:p w14:paraId="55AF4992" w14:textId="301C1D65"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Suga iekļauta </w:t>
      </w:r>
      <w:proofErr w:type="spellStart"/>
      <w:r w:rsidRPr="00A07F29">
        <w:rPr>
          <w:rFonts w:ascii="Times New Roman" w:eastAsia="Calibri" w:hAnsi="Times New Roman" w:cs="Times New Roman"/>
          <w:i/>
          <w:iCs/>
          <w:sz w:val="24"/>
          <w:szCs w:val="24"/>
        </w:rPr>
        <w:t>Natura</w:t>
      </w:r>
      <w:proofErr w:type="spellEnd"/>
      <w:r w:rsidRPr="00A07F29">
        <w:rPr>
          <w:rFonts w:ascii="Times New Roman" w:eastAsia="Calibri" w:hAnsi="Times New Roman" w:cs="Times New Roman"/>
          <w:i/>
          <w:iCs/>
          <w:sz w:val="24"/>
          <w:szCs w:val="24"/>
        </w:rPr>
        <w:t xml:space="preserve"> 2000</w:t>
      </w:r>
      <w:r w:rsidRPr="00A07F29">
        <w:rPr>
          <w:rFonts w:ascii="Times New Roman" w:eastAsia="Calibri" w:hAnsi="Times New Roman" w:cs="Times New Roman"/>
          <w:sz w:val="24"/>
          <w:szCs w:val="24"/>
        </w:rPr>
        <w:t xml:space="preserve"> </w:t>
      </w:r>
      <w:r w:rsidR="002C65DE">
        <w:rPr>
          <w:rFonts w:ascii="Times New Roman" w:eastAsia="Calibri" w:hAnsi="Times New Roman" w:cs="Times New Roman"/>
          <w:sz w:val="24"/>
          <w:szCs w:val="24"/>
        </w:rPr>
        <w:t>SDF</w:t>
      </w:r>
      <w:r w:rsidRPr="00A07F29">
        <w:rPr>
          <w:rFonts w:ascii="Times New Roman" w:eastAsia="Calibri" w:hAnsi="Times New Roman" w:cs="Times New Roman"/>
          <w:sz w:val="24"/>
          <w:szCs w:val="24"/>
        </w:rPr>
        <w:t>, lai gan teritorijā zināma vismaz kopš 2008.</w:t>
      </w:r>
      <w:r w:rsidR="00BD0695">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gada (DA plāns DP “Daugavas loki”). Ticams, ka kopš iepriekšējā skaita vērtējuma </w:t>
      </w:r>
      <w:r w:rsidR="00B94627">
        <w:rPr>
          <w:rFonts w:ascii="Times New Roman" w:eastAsia="Calibri" w:hAnsi="Times New Roman" w:cs="Times New Roman"/>
          <w:sz w:val="24"/>
          <w:szCs w:val="24"/>
        </w:rPr>
        <w:t>2014. gadā</w:t>
      </w:r>
      <w:r w:rsidR="003014B7">
        <w:rPr>
          <w:rFonts w:ascii="Times New Roman" w:eastAsia="Calibri" w:hAnsi="Times New Roman" w:cs="Times New Roman"/>
          <w:sz w:val="24"/>
          <w:szCs w:val="24"/>
        </w:rPr>
        <w:t xml:space="preserve"> veiktajā monitoringā, kad aplēsti </w:t>
      </w:r>
      <w:r w:rsidRPr="00A07F29">
        <w:rPr>
          <w:rFonts w:ascii="Times New Roman" w:eastAsia="Calibri" w:hAnsi="Times New Roman" w:cs="Times New Roman"/>
          <w:sz w:val="24"/>
          <w:szCs w:val="24"/>
        </w:rPr>
        <w:t>40</w:t>
      </w:r>
      <w:r w:rsidR="00D3216E">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D3216E">
        <w:rPr>
          <w:rFonts w:ascii="Times New Roman" w:eastAsia="Calibri" w:hAnsi="Times New Roman" w:cs="Times New Roman"/>
          <w:sz w:val="24"/>
          <w:szCs w:val="24"/>
        </w:rPr>
        <w:t> </w:t>
      </w:r>
      <w:r w:rsidRPr="00A07F29">
        <w:rPr>
          <w:rFonts w:ascii="Times New Roman" w:eastAsia="Calibri" w:hAnsi="Times New Roman" w:cs="Times New Roman"/>
          <w:sz w:val="24"/>
          <w:szCs w:val="24"/>
        </w:rPr>
        <w:t>60 riestojoši tēviņi</w:t>
      </w:r>
      <w:r w:rsidR="003014B7">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teritorijā ir noticis iespējams skaita samazinājums.</w:t>
      </w:r>
    </w:p>
    <w:p w14:paraId="40A64EDD" w14:textId="77777777" w:rsidR="009A4BC5" w:rsidRPr="00A07F29" w:rsidRDefault="009A4BC5" w:rsidP="009A4BC5">
      <w:pPr>
        <w:keepNext/>
        <w:spacing w:before="240" w:after="120" w:line="240" w:lineRule="auto"/>
        <w:jc w:val="both"/>
        <w:rPr>
          <w:rFonts w:ascii="Times New Roman" w:eastAsia="Calibri" w:hAnsi="Times New Roman" w:cs="Times New Roman"/>
          <w:b/>
          <w:bCs/>
          <w:i/>
          <w:iCs/>
          <w:sz w:val="24"/>
          <w:szCs w:val="24"/>
        </w:rPr>
      </w:pPr>
      <w:r w:rsidRPr="00A07F29">
        <w:rPr>
          <w:rFonts w:ascii="Times New Roman" w:eastAsia="Calibri" w:hAnsi="Times New Roman" w:cs="Times New Roman"/>
          <w:b/>
          <w:bCs/>
          <w:sz w:val="24"/>
          <w:szCs w:val="24"/>
        </w:rPr>
        <w:t xml:space="preserve">Mežirbe </w:t>
      </w:r>
      <w:proofErr w:type="spellStart"/>
      <w:r w:rsidRPr="00A07F29">
        <w:rPr>
          <w:rFonts w:ascii="Times New Roman" w:eastAsia="Calibri" w:hAnsi="Times New Roman" w:cs="Times New Roman"/>
          <w:b/>
          <w:bCs/>
          <w:i/>
          <w:iCs/>
          <w:sz w:val="24"/>
          <w:szCs w:val="24"/>
        </w:rPr>
        <w:t>Tetrastes</w:t>
      </w:r>
      <w:proofErr w:type="spellEnd"/>
      <w:r w:rsidRPr="00A07F29">
        <w:rPr>
          <w:rFonts w:ascii="Times New Roman" w:eastAsia="Calibri" w:hAnsi="Times New Roman" w:cs="Times New Roman"/>
          <w:b/>
          <w:bCs/>
          <w:i/>
          <w:iCs/>
          <w:sz w:val="24"/>
          <w:szCs w:val="24"/>
        </w:rPr>
        <w:t xml:space="preserve"> </w:t>
      </w:r>
      <w:proofErr w:type="spellStart"/>
      <w:r w:rsidRPr="00A07F29">
        <w:rPr>
          <w:rFonts w:ascii="Times New Roman" w:eastAsia="Calibri" w:hAnsi="Times New Roman" w:cs="Times New Roman"/>
          <w:b/>
          <w:bCs/>
          <w:i/>
          <w:iCs/>
          <w:sz w:val="24"/>
          <w:szCs w:val="24"/>
        </w:rPr>
        <w:t>bonasia</w:t>
      </w:r>
      <w:proofErr w:type="spellEnd"/>
    </w:p>
    <w:p w14:paraId="472C528B" w14:textId="15D0B3C9"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Populācijas lielums Latvijā: 4858 – 24069 pāri (</w:t>
      </w:r>
      <w:proofErr w:type="spellStart"/>
      <w:r w:rsidRPr="00A07F29">
        <w:rPr>
          <w:rFonts w:ascii="Times New Roman" w:eastAsia="Calibri" w:hAnsi="Times New Roman" w:cs="Times New Roman"/>
          <w:sz w:val="24"/>
          <w:szCs w:val="24"/>
        </w:rPr>
        <w:t>Birdlife</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International</w:t>
      </w:r>
      <w:proofErr w:type="spellEnd"/>
      <w:r w:rsidR="00F2117E">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2019).</w:t>
      </w:r>
    </w:p>
    <w:p w14:paraId="0A678BAC" w14:textId="77777777"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Mežirbei īpaši piemērotas antropogēnās darbības maz traucētas mežaudzes ar blīvu pameža stāvu, dabiskiem meža biotopiem raksturīgām struktūrām un izteiktu </w:t>
      </w:r>
      <w:proofErr w:type="spellStart"/>
      <w:r w:rsidRPr="00A07F29">
        <w:rPr>
          <w:rFonts w:ascii="Times New Roman" w:eastAsia="Calibri" w:hAnsi="Times New Roman" w:cs="Times New Roman"/>
          <w:sz w:val="24"/>
          <w:szCs w:val="24"/>
        </w:rPr>
        <w:t>mikroreljefu</w:t>
      </w:r>
      <w:proofErr w:type="spellEnd"/>
      <w:r w:rsidRPr="00A07F29">
        <w:rPr>
          <w:rFonts w:ascii="Times New Roman" w:eastAsia="Calibri" w:hAnsi="Times New Roman" w:cs="Times New Roman"/>
          <w:sz w:val="24"/>
          <w:szCs w:val="24"/>
        </w:rPr>
        <w:t>. Suga ir izteikts nometnieks.</w:t>
      </w:r>
    </w:p>
    <w:p w14:paraId="4165EB8C" w14:textId="77777777"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Sugai raksturīgs īss vokālās aktivitātes periods (marts – aprīlis) un arī šajā laikā uzskaišu maršrutā nav iespējams konstatēt visus klātesošos pārus.</w:t>
      </w:r>
    </w:p>
    <w:p w14:paraId="7E0A3E2F" w14:textId="27A58D8B"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Mežirbes Latvijas populācija vērtējama kā stipri apdraudēta un pēdējos desmit gados sarukusi pat par 78</w:t>
      </w:r>
      <w:r w:rsidR="00FA295A">
        <w:rPr>
          <w:rFonts w:ascii="Times New Roman" w:eastAsia="Calibri" w:hAnsi="Times New Roman" w:cs="Times New Roman"/>
          <w:sz w:val="24"/>
          <w:szCs w:val="24"/>
        </w:rPr>
        <w:t> </w:t>
      </w:r>
      <w:r w:rsidRPr="00A07F29">
        <w:rPr>
          <w:rFonts w:ascii="Times New Roman" w:eastAsia="Calibri" w:hAnsi="Times New Roman" w:cs="Times New Roman"/>
          <w:sz w:val="24"/>
          <w:szCs w:val="24"/>
        </w:rPr>
        <w:t>% (Strazds</w:t>
      </w:r>
      <w:r w:rsidR="00F2117E">
        <w:rPr>
          <w:rFonts w:ascii="Times New Roman" w:eastAsia="Calibri" w:hAnsi="Times New Roman" w:cs="Times New Roman"/>
          <w:sz w:val="24"/>
          <w:szCs w:val="24"/>
        </w:rPr>
        <w:t xml:space="preserve"> M.</w:t>
      </w:r>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Ķerus</w:t>
      </w:r>
      <w:proofErr w:type="spellEnd"/>
      <w:r w:rsidR="00F2117E">
        <w:rPr>
          <w:rFonts w:ascii="Times New Roman" w:eastAsia="Calibri" w:hAnsi="Times New Roman" w:cs="Times New Roman"/>
          <w:sz w:val="24"/>
          <w:szCs w:val="24"/>
        </w:rPr>
        <w:t xml:space="preserve"> V.,</w:t>
      </w:r>
      <w:r w:rsidRPr="00A07F29">
        <w:rPr>
          <w:rFonts w:ascii="Times New Roman" w:eastAsia="Calibri" w:hAnsi="Times New Roman" w:cs="Times New Roman"/>
          <w:sz w:val="24"/>
          <w:szCs w:val="24"/>
        </w:rPr>
        <w:t xml:space="preserve"> 2017). </w:t>
      </w:r>
    </w:p>
    <w:p w14:paraId="6A009997" w14:textId="1C6301F2"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Veicot uzskaites ar provocēšanu no punktiem un maršrutos, 2014. un 2019.</w:t>
      </w:r>
      <w:r w:rsidR="005F2F70">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gadā atsevišķās AAA “Augšdaugava” teritorijas daļās konstatēts samērā augsts mežirbju blīvums. </w:t>
      </w:r>
      <w:r w:rsidRPr="00A07F29">
        <w:rPr>
          <w:rFonts w:ascii="Times New Roman" w:eastAsia="Calibri" w:hAnsi="Times New Roman" w:cs="Times New Roman"/>
          <w:sz w:val="24"/>
          <w:szCs w:val="24"/>
        </w:rPr>
        <w:lastRenderedPageBreak/>
        <w:t>Kopumā šī DA plāna izstrādes laikā suga konstatēta 14 atradnēs. Iepriekšējie skaita vērtējumi teritorijai veikti pēc EMERALD projekta datiem: 10</w:t>
      </w:r>
      <w:r w:rsidR="00834E52">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834E52">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30 ligzdojoši pāri, kā arī pēc </w:t>
      </w:r>
      <w:proofErr w:type="spellStart"/>
      <w:r w:rsidRPr="00A07F29">
        <w:rPr>
          <w:rFonts w:ascii="Times New Roman" w:eastAsia="Calibri" w:hAnsi="Times New Roman" w:cs="Times New Roman"/>
          <w:i/>
          <w:iCs/>
          <w:sz w:val="24"/>
          <w:szCs w:val="24"/>
        </w:rPr>
        <w:t>Natura</w:t>
      </w:r>
      <w:proofErr w:type="spellEnd"/>
      <w:r w:rsidRPr="00A07F29">
        <w:rPr>
          <w:rFonts w:ascii="Times New Roman" w:eastAsia="Calibri" w:hAnsi="Times New Roman" w:cs="Times New Roman"/>
          <w:i/>
          <w:iCs/>
          <w:sz w:val="24"/>
          <w:szCs w:val="24"/>
        </w:rPr>
        <w:t xml:space="preserve"> 2000</w:t>
      </w:r>
      <w:r w:rsidRPr="00A07F29">
        <w:rPr>
          <w:rFonts w:ascii="Times New Roman" w:eastAsia="Calibri" w:hAnsi="Times New Roman" w:cs="Times New Roman"/>
          <w:sz w:val="24"/>
          <w:szCs w:val="24"/>
        </w:rPr>
        <w:t xml:space="preserve"> monitoringa atsevišķu etapu veikšanas: 10</w:t>
      </w:r>
      <w:r w:rsidR="00834E52">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834E52">
        <w:rPr>
          <w:rFonts w:ascii="Times New Roman" w:eastAsia="Calibri" w:hAnsi="Times New Roman" w:cs="Times New Roman"/>
          <w:sz w:val="24"/>
          <w:szCs w:val="24"/>
        </w:rPr>
        <w:t> </w:t>
      </w:r>
      <w:r w:rsidRPr="00A07F29">
        <w:rPr>
          <w:rFonts w:ascii="Times New Roman" w:eastAsia="Calibri" w:hAnsi="Times New Roman" w:cs="Times New Roman"/>
          <w:sz w:val="24"/>
          <w:szCs w:val="24"/>
        </w:rPr>
        <w:t>30 ligzdojoši pāri. Šie vērtējumi uzskatāmi par neprecīziem un nav pamata uzskatīt, ka teritorijā ligzdojošo mežirbju populācija ir pieaugusi.</w:t>
      </w:r>
    </w:p>
    <w:p w14:paraId="34113443" w14:textId="3E3BA743"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Skaita vērtējums tikai DP “Daugavas loki” teritorijā 2008.</w:t>
      </w:r>
      <w:r w:rsidR="00BD0FEA">
        <w:rPr>
          <w:rFonts w:ascii="Times New Roman" w:eastAsia="Calibri" w:hAnsi="Times New Roman" w:cs="Times New Roman"/>
          <w:sz w:val="24"/>
          <w:szCs w:val="24"/>
        </w:rPr>
        <w:t> </w:t>
      </w:r>
      <w:r w:rsidRPr="00A07F29">
        <w:rPr>
          <w:rFonts w:ascii="Times New Roman" w:eastAsia="Calibri" w:hAnsi="Times New Roman" w:cs="Times New Roman"/>
          <w:sz w:val="24"/>
          <w:szCs w:val="24"/>
        </w:rPr>
        <w:t>gadā bija 30</w:t>
      </w:r>
      <w:r w:rsidR="00BD0FEA">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BD0FEA">
        <w:rPr>
          <w:rFonts w:ascii="Times New Roman" w:eastAsia="Calibri" w:hAnsi="Times New Roman" w:cs="Times New Roman"/>
          <w:sz w:val="24"/>
          <w:szCs w:val="24"/>
        </w:rPr>
        <w:t> </w:t>
      </w:r>
      <w:r w:rsidRPr="00A07F29">
        <w:rPr>
          <w:rFonts w:ascii="Times New Roman" w:eastAsia="Calibri" w:hAnsi="Times New Roman" w:cs="Times New Roman"/>
          <w:sz w:val="24"/>
          <w:szCs w:val="24"/>
        </w:rPr>
        <w:t>50 pāri, kas ir uzskatāms par visai ticamu vērtējumu.</w:t>
      </w:r>
    </w:p>
    <w:p w14:paraId="130EB23A" w14:textId="45B46DA6"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Skaita vērtējums teritorijā: 50</w:t>
      </w:r>
      <w:r w:rsidR="00BD0FEA">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BD0FEA">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100 ligzdojoši pāri. Sugai </w:t>
      </w:r>
      <w:proofErr w:type="spellStart"/>
      <w:r w:rsidRPr="00A07F29">
        <w:rPr>
          <w:rFonts w:ascii="Times New Roman" w:eastAsia="Calibri" w:hAnsi="Times New Roman" w:cs="Times New Roman"/>
          <w:i/>
          <w:iCs/>
          <w:sz w:val="24"/>
          <w:szCs w:val="24"/>
        </w:rPr>
        <w:t>Natura</w:t>
      </w:r>
      <w:proofErr w:type="spellEnd"/>
      <w:r w:rsidRPr="00A07F29">
        <w:rPr>
          <w:rFonts w:ascii="Times New Roman" w:eastAsia="Calibri" w:hAnsi="Times New Roman" w:cs="Times New Roman"/>
          <w:i/>
          <w:iCs/>
          <w:sz w:val="24"/>
          <w:szCs w:val="24"/>
        </w:rPr>
        <w:t xml:space="preserve"> 2000</w:t>
      </w:r>
      <w:r w:rsidRPr="00A07F29">
        <w:rPr>
          <w:rFonts w:ascii="Times New Roman" w:eastAsia="Calibri" w:hAnsi="Times New Roman" w:cs="Times New Roman"/>
          <w:sz w:val="24"/>
          <w:szCs w:val="24"/>
        </w:rPr>
        <w:t xml:space="preserve"> </w:t>
      </w:r>
      <w:r w:rsidR="002C65DE">
        <w:rPr>
          <w:rFonts w:ascii="Times New Roman" w:eastAsia="Calibri" w:hAnsi="Times New Roman" w:cs="Times New Roman"/>
          <w:sz w:val="24"/>
          <w:szCs w:val="24"/>
        </w:rPr>
        <w:t>SDF</w:t>
      </w:r>
      <w:r w:rsidRPr="00A07F29">
        <w:rPr>
          <w:rFonts w:ascii="Times New Roman" w:eastAsia="Calibri" w:hAnsi="Times New Roman" w:cs="Times New Roman"/>
          <w:sz w:val="24"/>
          <w:szCs w:val="24"/>
        </w:rPr>
        <w:t xml:space="preserve"> precizēts minimālais un maksimālais populācijas lielums. </w:t>
      </w:r>
    </w:p>
    <w:p w14:paraId="35D82447" w14:textId="77777777" w:rsidR="009A4BC5" w:rsidRPr="00A07F29" w:rsidRDefault="009A4BC5" w:rsidP="009B40AC">
      <w:pPr>
        <w:keepNext/>
        <w:spacing w:before="240" w:after="120" w:line="240" w:lineRule="auto"/>
        <w:jc w:val="both"/>
        <w:rPr>
          <w:rFonts w:ascii="Times New Roman" w:eastAsia="Calibri" w:hAnsi="Times New Roman" w:cs="Times New Roman"/>
          <w:b/>
          <w:bCs/>
          <w:sz w:val="24"/>
          <w:szCs w:val="24"/>
        </w:rPr>
      </w:pPr>
      <w:r w:rsidRPr="00A07F29">
        <w:rPr>
          <w:rFonts w:ascii="Times New Roman" w:eastAsia="Calibri" w:hAnsi="Times New Roman" w:cs="Times New Roman"/>
          <w:b/>
          <w:bCs/>
          <w:sz w:val="24"/>
          <w:szCs w:val="24"/>
        </w:rPr>
        <w:t xml:space="preserve">Mazais dūkuris </w:t>
      </w:r>
      <w:proofErr w:type="spellStart"/>
      <w:r w:rsidRPr="00A07F29">
        <w:rPr>
          <w:rFonts w:ascii="Times New Roman" w:eastAsia="Calibri" w:hAnsi="Times New Roman" w:cs="Times New Roman"/>
          <w:b/>
          <w:bCs/>
          <w:i/>
          <w:sz w:val="24"/>
          <w:szCs w:val="24"/>
        </w:rPr>
        <w:t>Tachybaptus</w:t>
      </w:r>
      <w:proofErr w:type="spellEnd"/>
      <w:r w:rsidRPr="00A07F29">
        <w:rPr>
          <w:rFonts w:ascii="Times New Roman" w:eastAsia="Calibri" w:hAnsi="Times New Roman" w:cs="Times New Roman"/>
          <w:b/>
          <w:bCs/>
          <w:i/>
          <w:sz w:val="24"/>
          <w:szCs w:val="24"/>
        </w:rPr>
        <w:t xml:space="preserve"> </w:t>
      </w:r>
      <w:proofErr w:type="spellStart"/>
      <w:r w:rsidRPr="00A07F29">
        <w:rPr>
          <w:rFonts w:ascii="Times New Roman" w:eastAsia="Calibri" w:hAnsi="Times New Roman" w:cs="Times New Roman"/>
          <w:b/>
          <w:bCs/>
          <w:i/>
          <w:sz w:val="24"/>
          <w:szCs w:val="24"/>
        </w:rPr>
        <w:t>ruficollis</w:t>
      </w:r>
      <w:proofErr w:type="spellEnd"/>
    </w:p>
    <w:p w14:paraId="3FF47D07" w14:textId="1533C3AC"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73505C">
        <w:rPr>
          <w:rFonts w:ascii="Times New Roman" w:eastAsia="Calibri" w:hAnsi="Times New Roman" w:cs="Times New Roman"/>
          <w:sz w:val="24"/>
          <w:szCs w:val="24"/>
        </w:rPr>
        <w:t>Latvijā reti ligzdojoša</w:t>
      </w:r>
      <w:r w:rsidRPr="00A07F29">
        <w:rPr>
          <w:rFonts w:ascii="Times New Roman" w:eastAsia="Calibri" w:hAnsi="Times New Roman" w:cs="Times New Roman"/>
          <w:sz w:val="24"/>
          <w:szCs w:val="24"/>
        </w:rPr>
        <w:t xml:space="preserve"> putnu suga. Populācijas lielums Latvijā: 100</w:t>
      </w:r>
      <w:r w:rsidR="00DC0904">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DC0904">
        <w:rPr>
          <w:rFonts w:ascii="Times New Roman" w:eastAsia="Calibri" w:hAnsi="Times New Roman" w:cs="Times New Roman"/>
          <w:sz w:val="24"/>
          <w:szCs w:val="24"/>
        </w:rPr>
        <w:t> </w:t>
      </w:r>
      <w:r w:rsidRPr="00A07F29">
        <w:rPr>
          <w:rFonts w:ascii="Times New Roman" w:eastAsia="Calibri" w:hAnsi="Times New Roman" w:cs="Times New Roman"/>
          <w:sz w:val="24"/>
          <w:szCs w:val="24"/>
        </w:rPr>
        <w:t>160 ligzdojoši pāri (</w:t>
      </w:r>
      <w:proofErr w:type="spellStart"/>
      <w:r w:rsidRPr="00A07F29">
        <w:rPr>
          <w:rFonts w:ascii="Times New Roman" w:eastAsia="Calibri" w:hAnsi="Times New Roman" w:cs="Times New Roman"/>
          <w:sz w:val="24"/>
          <w:szCs w:val="24"/>
        </w:rPr>
        <w:t>Birdlife</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International</w:t>
      </w:r>
      <w:proofErr w:type="spellEnd"/>
      <w:r w:rsidR="00F2117E">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2019). Apdzīvo seklas, aizaugušas ūdenstilpes, raksturīgs ļoti slēpts dzīvesveids.</w:t>
      </w:r>
    </w:p>
    <w:p w14:paraId="216D4917" w14:textId="5575A07D"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Iepriekš veiktajos putnu izpētes pētījumos AAA “Augšdaugava” mazo dūkuru pāris konstatēts aizaugušā lauku pārplūdumā </w:t>
      </w:r>
      <w:proofErr w:type="spellStart"/>
      <w:r w:rsidRPr="00A07F29">
        <w:rPr>
          <w:rFonts w:ascii="Times New Roman" w:eastAsia="Calibri" w:hAnsi="Times New Roman" w:cs="Times New Roman"/>
          <w:sz w:val="24"/>
          <w:szCs w:val="24"/>
        </w:rPr>
        <w:t>Varnaviču</w:t>
      </w:r>
      <w:proofErr w:type="spellEnd"/>
      <w:r w:rsidRPr="00A07F29">
        <w:rPr>
          <w:rFonts w:ascii="Times New Roman" w:eastAsia="Calibri" w:hAnsi="Times New Roman" w:cs="Times New Roman"/>
          <w:sz w:val="24"/>
          <w:szCs w:val="24"/>
        </w:rPr>
        <w:t xml:space="preserve"> apkārtnē (E.</w:t>
      </w:r>
      <w:r w:rsidR="001C3015">
        <w:rPr>
          <w:rFonts w:ascii="Times New Roman" w:eastAsia="Calibri" w:hAnsi="Times New Roman" w:cs="Times New Roman"/>
          <w:sz w:val="24"/>
          <w:szCs w:val="24"/>
        </w:rPr>
        <w:t> </w:t>
      </w:r>
      <w:r w:rsidRPr="00A07F29">
        <w:rPr>
          <w:rFonts w:ascii="Times New Roman" w:eastAsia="Calibri" w:hAnsi="Times New Roman" w:cs="Times New Roman"/>
          <w:sz w:val="24"/>
          <w:szCs w:val="24"/>
        </w:rPr>
        <w:t>Račinskis; 2003.06.09</w:t>
      </w:r>
      <w:r w:rsidR="001C3015">
        <w:rPr>
          <w:rFonts w:ascii="Times New Roman" w:eastAsia="Calibri" w:hAnsi="Times New Roman" w:cs="Times New Roman"/>
          <w:sz w:val="24"/>
          <w:szCs w:val="24"/>
        </w:rPr>
        <w:t>.</w:t>
      </w:r>
      <w:r w:rsidRPr="00A07F29">
        <w:rPr>
          <w:rFonts w:ascii="Times New Roman" w:eastAsia="Calibri" w:hAnsi="Times New Roman" w:cs="Times New Roman"/>
          <w:sz w:val="24"/>
          <w:szCs w:val="24"/>
        </w:rPr>
        <w:t>), un 2014.</w:t>
      </w:r>
      <w:r w:rsidR="001C3015">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gadā viens īpatnis novērots lauku pārplūdumā </w:t>
      </w:r>
      <w:proofErr w:type="spellStart"/>
      <w:r w:rsidRPr="00A07F29">
        <w:rPr>
          <w:rFonts w:ascii="Times New Roman" w:eastAsia="Calibri" w:hAnsi="Times New Roman" w:cs="Times New Roman"/>
          <w:sz w:val="24"/>
          <w:szCs w:val="24"/>
        </w:rPr>
        <w:t>Savišku</w:t>
      </w:r>
      <w:proofErr w:type="spellEnd"/>
      <w:r w:rsidRPr="00A07F29">
        <w:rPr>
          <w:rFonts w:ascii="Times New Roman" w:eastAsia="Calibri" w:hAnsi="Times New Roman" w:cs="Times New Roman"/>
          <w:sz w:val="24"/>
          <w:szCs w:val="24"/>
        </w:rPr>
        <w:t xml:space="preserve"> apkārtnē (A.</w:t>
      </w:r>
      <w:r w:rsidR="001C3015">
        <w:rPr>
          <w:rFonts w:ascii="Times New Roman" w:eastAsia="Calibri" w:hAnsi="Times New Roman" w:cs="Times New Roman"/>
          <w:sz w:val="24"/>
          <w:szCs w:val="24"/>
        </w:rPr>
        <w:t> </w:t>
      </w:r>
      <w:proofErr w:type="spellStart"/>
      <w:r w:rsidRPr="00A07F29">
        <w:rPr>
          <w:rFonts w:ascii="Times New Roman" w:eastAsia="Calibri" w:hAnsi="Times New Roman" w:cs="Times New Roman"/>
          <w:sz w:val="24"/>
          <w:szCs w:val="24"/>
        </w:rPr>
        <w:t>Erts</w:t>
      </w:r>
      <w:proofErr w:type="spellEnd"/>
      <w:r w:rsidRPr="00A07F29">
        <w:rPr>
          <w:rFonts w:ascii="Times New Roman" w:eastAsia="Calibri" w:hAnsi="Times New Roman" w:cs="Times New Roman"/>
          <w:sz w:val="24"/>
          <w:szCs w:val="24"/>
        </w:rPr>
        <w:t>). 2019.</w:t>
      </w:r>
      <w:r w:rsidR="001C3015">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gadā pierādīta ligzdošana (izvesti mazuļi), konstatēti dīķī </w:t>
      </w:r>
      <w:proofErr w:type="spellStart"/>
      <w:r w:rsidRPr="00A07F29">
        <w:rPr>
          <w:rFonts w:ascii="Times New Roman" w:eastAsia="Calibri" w:hAnsi="Times New Roman" w:cs="Times New Roman"/>
          <w:sz w:val="24"/>
          <w:szCs w:val="24"/>
        </w:rPr>
        <w:t>Indricas</w:t>
      </w:r>
      <w:proofErr w:type="spellEnd"/>
      <w:r w:rsidRPr="00A07F29">
        <w:rPr>
          <w:rFonts w:ascii="Times New Roman" w:eastAsia="Calibri" w:hAnsi="Times New Roman" w:cs="Times New Roman"/>
          <w:sz w:val="24"/>
          <w:szCs w:val="24"/>
        </w:rPr>
        <w:t xml:space="preserve"> apkārtnē un applūdušā grants karjerā </w:t>
      </w:r>
      <w:proofErr w:type="spellStart"/>
      <w:r w:rsidRPr="00A07F29">
        <w:rPr>
          <w:rFonts w:ascii="Times New Roman" w:eastAsia="Calibri" w:hAnsi="Times New Roman" w:cs="Times New Roman"/>
          <w:sz w:val="24"/>
          <w:szCs w:val="24"/>
        </w:rPr>
        <w:t>Sadnieku</w:t>
      </w:r>
      <w:proofErr w:type="spellEnd"/>
      <w:r w:rsidRPr="00A07F29">
        <w:rPr>
          <w:rFonts w:ascii="Times New Roman" w:eastAsia="Calibri" w:hAnsi="Times New Roman" w:cs="Times New Roman"/>
          <w:sz w:val="24"/>
          <w:szCs w:val="24"/>
        </w:rPr>
        <w:t xml:space="preserve"> apkārtnē. </w:t>
      </w:r>
    </w:p>
    <w:p w14:paraId="7899BF22" w14:textId="10EC2633"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2018./2019.</w:t>
      </w:r>
      <w:r w:rsidR="00DE4ABB">
        <w:rPr>
          <w:rFonts w:ascii="Times New Roman" w:eastAsia="Calibri" w:hAnsi="Times New Roman" w:cs="Times New Roman"/>
          <w:sz w:val="24"/>
          <w:szCs w:val="24"/>
        </w:rPr>
        <w:t> </w:t>
      </w:r>
      <w:r w:rsidRPr="00A07F29">
        <w:rPr>
          <w:rFonts w:ascii="Times New Roman" w:eastAsia="Calibri" w:hAnsi="Times New Roman" w:cs="Times New Roman"/>
          <w:sz w:val="24"/>
          <w:szCs w:val="24"/>
        </w:rPr>
        <w:t>gad</w:t>
      </w:r>
      <w:r w:rsidR="00DE4ABB">
        <w:rPr>
          <w:rFonts w:ascii="Times New Roman" w:eastAsia="Calibri" w:hAnsi="Times New Roman" w:cs="Times New Roman"/>
          <w:sz w:val="24"/>
          <w:szCs w:val="24"/>
        </w:rPr>
        <w:t>a</w:t>
      </w:r>
      <w:r w:rsidRPr="00A07F29">
        <w:rPr>
          <w:rFonts w:ascii="Times New Roman" w:eastAsia="Calibri" w:hAnsi="Times New Roman" w:cs="Times New Roman"/>
          <w:sz w:val="24"/>
          <w:szCs w:val="24"/>
        </w:rPr>
        <w:t xml:space="preserve"> ziemā viens īpatnis ziemoja neaizsalstošā Daugavas posmā pie Krāslavas (J.</w:t>
      </w:r>
      <w:r w:rsidR="00DE4ABB">
        <w:rPr>
          <w:rFonts w:ascii="Times New Roman" w:eastAsia="Calibri" w:hAnsi="Times New Roman" w:cs="Times New Roman"/>
          <w:sz w:val="24"/>
          <w:szCs w:val="24"/>
        </w:rPr>
        <w:t> </w:t>
      </w:r>
      <w:proofErr w:type="spellStart"/>
      <w:r w:rsidRPr="00A07F29">
        <w:rPr>
          <w:rFonts w:ascii="Times New Roman" w:eastAsia="Calibri" w:hAnsi="Times New Roman" w:cs="Times New Roman"/>
          <w:sz w:val="24"/>
          <w:szCs w:val="24"/>
        </w:rPr>
        <w:t>Vīgulis</w:t>
      </w:r>
      <w:proofErr w:type="spellEnd"/>
      <w:r w:rsidRPr="00A07F29">
        <w:rPr>
          <w:rFonts w:ascii="Times New Roman" w:eastAsia="Calibri" w:hAnsi="Times New Roman" w:cs="Times New Roman"/>
          <w:sz w:val="24"/>
          <w:szCs w:val="24"/>
        </w:rPr>
        <w:t>, G.</w:t>
      </w:r>
      <w:r w:rsidR="00DE4ABB">
        <w:rPr>
          <w:rFonts w:ascii="Times New Roman" w:eastAsia="Calibri" w:hAnsi="Times New Roman" w:cs="Times New Roman"/>
          <w:sz w:val="24"/>
          <w:szCs w:val="24"/>
        </w:rPr>
        <w:t> </w:t>
      </w:r>
      <w:proofErr w:type="spellStart"/>
      <w:r w:rsidRPr="00A07F29">
        <w:rPr>
          <w:rFonts w:ascii="Times New Roman" w:eastAsia="Calibri" w:hAnsi="Times New Roman" w:cs="Times New Roman"/>
          <w:sz w:val="24"/>
          <w:szCs w:val="24"/>
        </w:rPr>
        <w:t>Grandāns</w:t>
      </w:r>
      <w:proofErr w:type="spellEnd"/>
      <w:r w:rsidRPr="00A07F29">
        <w:rPr>
          <w:rFonts w:ascii="Times New Roman" w:eastAsia="Calibri" w:hAnsi="Times New Roman" w:cs="Times New Roman"/>
          <w:sz w:val="24"/>
          <w:szCs w:val="24"/>
        </w:rPr>
        <w:t>).</w:t>
      </w:r>
    </w:p>
    <w:p w14:paraId="3D467C01" w14:textId="519AAB43"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Skaita vērtējums teritorijā: 2</w:t>
      </w:r>
      <w:r w:rsidR="00DE4ABB">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DE4ABB">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3 ligzdojoši pāri. Suga iekļauta </w:t>
      </w:r>
      <w:proofErr w:type="spellStart"/>
      <w:r w:rsidRPr="00A07F29">
        <w:rPr>
          <w:rFonts w:ascii="Times New Roman" w:eastAsia="Calibri" w:hAnsi="Times New Roman" w:cs="Times New Roman"/>
          <w:i/>
          <w:iCs/>
          <w:sz w:val="24"/>
          <w:szCs w:val="24"/>
        </w:rPr>
        <w:t>Natura</w:t>
      </w:r>
      <w:proofErr w:type="spellEnd"/>
      <w:r w:rsidRPr="00A07F29">
        <w:rPr>
          <w:rFonts w:ascii="Times New Roman" w:eastAsia="Calibri" w:hAnsi="Times New Roman" w:cs="Times New Roman"/>
          <w:i/>
          <w:iCs/>
          <w:sz w:val="24"/>
          <w:szCs w:val="24"/>
        </w:rPr>
        <w:t xml:space="preserve"> 2000</w:t>
      </w:r>
      <w:r w:rsidRPr="00A07F29">
        <w:rPr>
          <w:rFonts w:ascii="Times New Roman" w:eastAsia="Calibri" w:hAnsi="Times New Roman" w:cs="Times New Roman"/>
          <w:sz w:val="24"/>
          <w:szCs w:val="24"/>
        </w:rPr>
        <w:t xml:space="preserve"> </w:t>
      </w:r>
      <w:r w:rsidR="002C65DE" w:rsidRPr="002C65DE">
        <w:rPr>
          <w:rFonts w:ascii="Times New Roman" w:eastAsia="Calibri" w:hAnsi="Times New Roman" w:cs="Times New Roman"/>
          <w:sz w:val="24"/>
          <w:szCs w:val="24"/>
        </w:rPr>
        <w:t>SDF</w:t>
      </w:r>
      <w:r w:rsidRPr="002C65DE">
        <w:rPr>
          <w:rFonts w:ascii="Times New Roman" w:eastAsia="Calibri" w:hAnsi="Times New Roman" w:cs="Times New Roman"/>
          <w:sz w:val="24"/>
          <w:szCs w:val="24"/>
        </w:rPr>
        <w:t>.</w:t>
      </w:r>
    </w:p>
    <w:p w14:paraId="5410078E" w14:textId="77777777" w:rsidR="009A4BC5" w:rsidRPr="00A07F29" w:rsidRDefault="009A4BC5" w:rsidP="009A4BC5">
      <w:pPr>
        <w:spacing w:before="240" w:after="120" w:line="240" w:lineRule="auto"/>
        <w:jc w:val="both"/>
        <w:rPr>
          <w:rFonts w:ascii="Times New Roman" w:eastAsia="Calibri" w:hAnsi="Times New Roman" w:cs="Times New Roman"/>
          <w:b/>
          <w:bCs/>
          <w:i/>
          <w:iCs/>
          <w:sz w:val="24"/>
          <w:szCs w:val="24"/>
        </w:rPr>
      </w:pPr>
      <w:r w:rsidRPr="00A07F29">
        <w:rPr>
          <w:rFonts w:ascii="Times New Roman" w:eastAsia="Calibri" w:hAnsi="Times New Roman" w:cs="Times New Roman"/>
          <w:b/>
          <w:bCs/>
          <w:sz w:val="24"/>
          <w:szCs w:val="24"/>
        </w:rPr>
        <w:t xml:space="preserve">Melnais stārķis </w:t>
      </w:r>
      <w:proofErr w:type="spellStart"/>
      <w:r w:rsidRPr="00A07F29">
        <w:rPr>
          <w:rFonts w:ascii="Times New Roman" w:eastAsia="Calibri" w:hAnsi="Times New Roman" w:cs="Times New Roman"/>
          <w:b/>
          <w:bCs/>
          <w:i/>
          <w:iCs/>
          <w:sz w:val="24"/>
          <w:szCs w:val="24"/>
        </w:rPr>
        <w:t>Ciconia</w:t>
      </w:r>
      <w:proofErr w:type="spellEnd"/>
      <w:r w:rsidRPr="00A07F29">
        <w:rPr>
          <w:rFonts w:ascii="Times New Roman" w:eastAsia="Calibri" w:hAnsi="Times New Roman" w:cs="Times New Roman"/>
          <w:b/>
          <w:bCs/>
          <w:i/>
          <w:iCs/>
          <w:sz w:val="24"/>
          <w:szCs w:val="24"/>
        </w:rPr>
        <w:t xml:space="preserve"> </w:t>
      </w:r>
      <w:proofErr w:type="spellStart"/>
      <w:r w:rsidRPr="00A07F29">
        <w:rPr>
          <w:rFonts w:ascii="Times New Roman" w:eastAsia="Calibri" w:hAnsi="Times New Roman" w:cs="Times New Roman"/>
          <w:b/>
          <w:bCs/>
          <w:i/>
          <w:iCs/>
          <w:sz w:val="24"/>
          <w:szCs w:val="24"/>
        </w:rPr>
        <w:t>nigra</w:t>
      </w:r>
      <w:proofErr w:type="spellEnd"/>
    </w:p>
    <w:p w14:paraId="05FEC096" w14:textId="7DE65D78"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Populācijas lielums Latvijā: 85</w:t>
      </w:r>
      <w:r w:rsidR="00DE4ABB">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DE4ABB">
        <w:rPr>
          <w:rFonts w:ascii="Times New Roman" w:eastAsia="Calibri" w:hAnsi="Times New Roman" w:cs="Times New Roman"/>
          <w:sz w:val="24"/>
          <w:szCs w:val="24"/>
        </w:rPr>
        <w:t> </w:t>
      </w:r>
      <w:r w:rsidRPr="00A07F29">
        <w:rPr>
          <w:rFonts w:ascii="Times New Roman" w:eastAsia="Calibri" w:hAnsi="Times New Roman" w:cs="Times New Roman"/>
          <w:sz w:val="24"/>
          <w:szCs w:val="24"/>
        </w:rPr>
        <w:t>140 pāri (</w:t>
      </w:r>
      <w:proofErr w:type="spellStart"/>
      <w:r w:rsidRPr="00A07F29">
        <w:rPr>
          <w:rFonts w:ascii="Times New Roman" w:eastAsia="Calibri" w:hAnsi="Times New Roman" w:cs="Times New Roman"/>
          <w:sz w:val="24"/>
          <w:szCs w:val="24"/>
        </w:rPr>
        <w:t>Birdlife</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International</w:t>
      </w:r>
      <w:proofErr w:type="spellEnd"/>
      <w:r w:rsidR="00F2117E">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2019).</w:t>
      </w:r>
    </w:p>
    <w:p w14:paraId="192EE07C" w14:textId="099CC972"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Gan īstermiņa (2013</w:t>
      </w:r>
      <w:r w:rsidR="00DE4ABB">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DE4ABB">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2018), gan ilgtermiņa sugas skaita populācijas izmaiņu tendences ir izteikti negatīvas. Arī ĪADT nenodrošina pienācīgu sugas aizsardzības līmeni Latvijā; skaita vērtējums </w:t>
      </w:r>
      <w:r w:rsidR="002C65DE">
        <w:rPr>
          <w:rFonts w:ascii="Times New Roman" w:eastAsia="Calibri" w:hAnsi="Times New Roman" w:cs="Times New Roman"/>
          <w:sz w:val="24"/>
          <w:szCs w:val="24"/>
        </w:rPr>
        <w:t>ĪADT</w:t>
      </w:r>
      <w:r w:rsidRPr="00A07F29">
        <w:rPr>
          <w:rFonts w:ascii="Times New Roman" w:eastAsia="Calibri" w:hAnsi="Times New Roman" w:cs="Times New Roman"/>
          <w:sz w:val="24"/>
          <w:szCs w:val="24"/>
        </w:rPr>
        <w:t xml:space="preserve">: </w:t>
      </w:r>
      <w:r w:rsidR="004D31F0">
        <w:rPr>
          <w:rFonts w:ascii="Times New Roman" w:eastAsia="Calibri" w:hAnsi="Times New Roman" w:cs="Times New Roman"/>
          <w:sz w:val="24"/>
          <w:szCs w:val="24"/>
        </w:rPr>
        <w:t>astoņi</w:t>
      </w:r>
      <w:r w:rsidRPr="00A07F29">
        <w:rPr>
          <w:rFonts w:ascii="Times New Roman" w:eastAsia="Calibri" w:hAnsi="Times New Roman" w:cs="Times New Roman"/>
          <w:sz w:val="24"/>
          <w:szCs w:val="24"/>
        </w:rPr>
        <w:t xml:space="preserve"> ligzdojoši pāri (</w:t>
      </w:r>
      <w:proofErr w:type="spellStart"/>
      <w:r w:rsidRPr="00A07F29">
        <w:rPr>
          <w:rFonts w:ascii="Times New Roman" w:eastAsia="Calibri" w:hAnsi="Times New Roman" w:cs="Times New Roman"/>
          <w:i/>
          <w:iCs/>
          <w:sz w:val="24"/>
          <w:szCs w:val="24"/>
        </w:rPr>
        <w:t>best</w:t>
      </w:r>
      <w:proofErr w:type="spellEnd"/>
      <w:r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single</w:t>
      </w:r>
      <w:proofErr w:type="spellEnd"/>
      <w:r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value</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Birdlife</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International</w:t>
      </w:r>
      <w:proofErr w:type="spellEnd"/>
      <w:r w:rsidR="00F2117E">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2019).</w:t>
      </w:r>
    </w:p>
    <w:p w14:paraId="3666AC0C" w14:textId="5C1BB20F"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Sugas aizsardzībai AAA “Augšdaugava” teritorijā izveidots mikroliegums Krāslavas novada Kaplavas pagastā, 252. un 254.</w:t>
      </w:r>
      <w:r w:rsidR="00535422">
        <w:rPr>
          <w:rFonts w:ascii="Times New Roman" w:eastAsia="Calibri" w:hAnsi="Times New Roman" w:cs="Times New Roman"/>
          <w:sz w:val="24"/>
          <w:szCs w:val="24"/>
        </w:rPr>
        <w:t> </w:t>
      </w:r>
      <w:r w:rsidRPr="00A07F29">
        <w:rPr>
          <w:rFonts w:ascii="Times New Roman" w:eastAsia="Calibri" w:hAnsi="Times New Roman" w:cs="Times New Roman"/>
          <w:sz w:val="24"/>
          <w:szCs w:val="24"/>
        </w:rPr>
        <w:t>kvartālā ar kopējo platību 15,1</w:t>
      </w:r>
      <w:r w:rsidR="00535422">
        <w:rPr>
          <w:rFonts w:ascii="Times New Roman" w:eastAsia="Calibri" w:hAnsi="Times New Roman" w:cs="Times New Roman"/>
          <w:sz w:val="24"/>
          <w:szCs w:val="24"/>
        </w:rPr>
        <w:t> </w:t>
      </w:r>
      <w:r w:rsidRPr="00A07F29">
        <w:rPr>
          <w:rFonts w:ascii="Times New Roman" w:eastAsia="Calibri" w:hAnsi="Times New Roman" w:cs="Times New Roman"/>
          <w:sz w:val="24"/>
          <w:szCs w:val="24"/>
        </w:rPr>
        <w:t>ha. Mikroliegumam noteikta buferzona 36</w:t>
      </w:r>
      <w:r w:rsidR="00535422">
        <w:rPr>
          <w:rFonts w:ascii="Times New Roman" w:eastAsia="Calibri" w:hAnsi="Times New Roman" w:cs="Times New Roman"/>
          <w:sz w:val="24"/>
          <w:szCs w:val="24"/>
        </w:rPr>
        <w:t> </w:t>
      </w:r>
      <w:r w:rsidRPr="00A07F29">
        <w:rPr>
          <w:rFonts w:ascii="Times New Roman" w:eastAsia="Calibri" w:hAnsi="Times New Roman" w:cs="Times New Roman"/>
          <w:sz w:val="24"/>
          <w:szCs w:val="24"/>
        </w:rPr>
        <w:t>ha platībā. Mikroliegums izveidots 2014.</w:t>
      </w:r>
      <w:r w:rsidR="00535422">
        <w:rPr>
          <w:rFonts w:ascii="Times New Roman" w:eastAsia="Calibri" w:hAnsi="Times New Roman" w:cs="Times New Roman"/>
          <w:sz w:val="24"/>
          <w:szCs w:val="24"/>
        </w:rPr>
        <w:t> gada 25. februārī</w:t>
      </w:r>
      <w:r w:rsidRPr="00A07F29">
        <w:rPr>
          <w:rFonts w:ascii="Times New Roman" w:eastAsia="Calibri" w:hAnsi="Times New Roman" w:cs="Times New Roman"/>
          <w:sz w:val="24"/>
          <w:szCs w:val="24"/>
        </w:rPr>
        <w:t xml:space="preserve"> (eksperts U.</w:t>
      </w:r>
      <w:r w:rsidR="00535422">
        <w:rPr>
          <w:rFonts w:ascii="Times New Roman" w:eastAsia="Calibri" w:hAnsi="Times New Roman" w:cs="Times New Roman"/>
          <w:sz w:val="24"/>
          <w:szCs w:val="24"/>
        </w:rPr>
        <w:t> </w:t>
      </w:r>
      <w:r w:rsidRPr="00A07F29">
        <w:rPr>
          <w:rFonts w:ascii="Times New Roman" w:eastAsia="Calibri" w:hAnsi="Times New Roman" w:cs="Times New Roman"/>
          <w:sz w:val="24"/>
          <w:szCs w:val="24"/>
        </w:rPr>
        <w:t>Bergmanis), bet apdzīvota melnā stārķa ligzda mikrolieguma teritorijā zināma kopš 2012.</w:t>
      </w:r>
      <w:r w:rsidR="00E242B9">
        <w:rPr>
          <w:rFonts w:ascii="Times New Roman" w:eastAsia="Calibri" w:hAnsi="Times New Roman" w:cs="Times New Roman"/>
          <w:sz w:val="24"/>
          <w:szCs w:val="24"/>
        </w:rPr>
        <w:t> gada</w:t>
      </w:r>
      <w:r w:rsidR="00C729B5">
        <w:rPr>
          <w:rFonts w:ascii="Times New Roman" w:eastAsia="Calibri" w:hAnsi="Times New Roman" w:cs="Times New Roman"/>
          <w:sz w:val="24"/>
          <w:szCs w:val="24"/>
        </w:rPr>
        <w:t xml:space="preserve"> 6. augusta</w:t>
      </w:r>
      <w:r w:rsidRPr="00A07F29">
        <w:rPr>
          <w:rFonts w:ascii="Times New Roman" w:eastAsia="Calibri" w:hAnsi="Times New Roman" w:cs="Times New Roman"/>
          <w:sz w:val="24"/>
          <w:szCs w:val="24"/>
        </w:rPr>
        <w:t xml:space="preserve"> (ligzdā konstatēti divi pieauguši melnā stārķa jaunie putni). Pēc sugas eksperta Māra Strazda sniegtās informācijas šī ligzdošanas teritorija pēdējos gados ir samērā sekmīga un 2018.</w:t>
      </w:r>
      <w:r w:rsidR="00C729B5">
        <w:rPr>
          <w:rFonts w:ascii="Times New Roman" w:eastAsia="Calibri" w:hAnsi="Times New Roman" w:cs="Times New Roman"/>
          <w:sz w:val="24"/>
          <w:szCs w:val="24"/>
        </w:rPr>
        <w:t> </w:t>
      </w:r>
      <w:r w:rsidRPr="00A07F29">
        <w:rPr>
          <w:rFonts w:ascii="Times New Roman" w:eastAsia="Calibri" w:hAnsi="Times New Roman" w:cs="Times New Roman"/>
          <w:sz w:val="24"/>
          <w:szCs w:val="24"/>
        </w:rPr>
        <w:t>gadā ligzdā konstatēti pat pieci mazuļi. Pēc dabiskās ligzdas nogāšanās 2013.</w:t>
      </w:r>
      <w:r w:rsidR="00A61E2F">
        <w:rPr>
          <w:rFonts w:ascii="Times New Roman" w:eastAsia="Calibri" w:hAnsi="Times New Roman" w:cs="Times New Roman"/>
          <w:sz w:val="24"/>
          <w:szCs w:val="24"/>
        </w:rPr>
        <w:t> </w:t>
      </w:r>
      <w:r w:rsidRPr="00A07F29">
        <w:rPr>
          <w:rFonts w:ascii="Times New Roman" w:eastAsia="Calibri" w:hAnsi="Times New Roman" w:cs="Times New Roman"/>
          <w:sz w:val="24"/>
          <w:szCs w:val="24"/>
        </w:rPr>
        <w:t>gadā, kopš 2015.</w:t>
      </w:r>
      <w:r w:rsidR="00A61E2F">
        <w:rPr>
          <w:rFonts w:ascii="Times New Roman" w:eastAsia="Calibri" w:hAnsi="Times New Roman" w:cs="Times New Roman"/>
          <w:sz w:val="24"/>
          <w:szCs w:val="24"/>
        </w:rPr>
        <w:t> </w:t>
      </w:r>
      <w:r w:rsidRPr="00A07F29">
        <w:rPr>
          <w:rFonts w:ascii="Times New Roman" w:eastAsia="Calibri" w:hAnsi="Times New Roman" w:cs="Times New Roman"/>
          <w:sz w:val="24"/>
          <w:szCs w:val="24"/>
        </w:rPr>
        <w:t>gada sekmīgi ligzdo ligzdošanas platformā. Apsekojot ligzdu 2019.</w:t>
      </w:r>
      <w:r w:rsidR="00A61E2F">
        <w:rPr>
          <w:rFonts w:ascii="Times New Roman" w:eastAsia="Calibri" w:hAnsi="Times New Roman" w:cs="Times New Roman"/>
          <w:sz w:val="24"/>
          <w:szCs w:val="24"/>
        </w:rPr>
        <w:t> </w:t>
      </w:r>
      <w:r w:rsidRPr="00A07F29">
        <w:rPr>
          <w:rFonts w:ascii="Times New Roman" w:eastAsia="Calibri" w:hAnsi="Times New Roman" w:cs="Times New Roman"/>
          <w:sz w:val="24"/>
          <w:szCs w:val="24"/>
        </w:rPr>
        <w:t>gadā, konstatēta nesekmīga ligzdošana – izpostīta ligzda ar divām olām.</w:t>
      </w:r>
    </w:p>
    <w:p w14:paraId="1BE30847" w14:textId="0348DE5B" w:rsidR="009A4BC5" w:rsidRPr="00A07F29" w:rsidRDefault="009A4BC5" w:rsidP="009A4BC5">
      <w:pPr>
        <w:spacing w:after="120" w:line="240" w:lineRule="auto"/>
        <w:ind w:firstLine="851"/>
        <w:jc w:val="both"/>
        <w:rPr>
          <w:rFonts w:ascii="Times New Roman" w:eastAsia="Calibri" w:hAnsi="Times New Roman" w:cs="Times New Roman"/>
          <w:iCs/>
          <w:sz w:val="24"/>
          <w:szCs w:val="24"/>
        </w:rPr>
      </w:pPr>
      <w:r w:rsidRPr="00A07F29">
        <w:rPr>
          <w:rFonts w:ascii="Times New Roman" w:eastAsia="Calibri" w:hAnsi="Times New Roman" w:cs="Times New Roman"/>
          <w:sz w:val="24"/>
          <w:szCs w:val="24"/>
        </w:rPr>
        <w:t>2015.</w:t>
      </w:r>
      <w:r w:rsidR="00A61E2F">
        <w:rPr>
          <w:rFonts w:ascii="Times New Roman" w:eastAsia="Calibri" w:hAnsi="Times New Roman" w:cs="Times New Roman"/>
          <w:sz w:val="24"/>
          <w:szCs w:val="24"/>
        </w:rPr>
        <w:t> </w:t>
      </w:r>
      <w:r w:rsidRPr="00A07F29">
        <w:rPr>
          <w:rFonts w:ascii="Times New Roman" w:eastAsia="Calibri" w:hAnsi="Times New Roman" w:cs="Times New Roman"/>
          <w:sz w:val="24"/>
          <w:szCs w:val="24"/>
        </w:rPr>
        <w:t>gadā šīs ligzdošanas teritorijas melno stārķu pāris uzbūvēja ligzdu ārpus mikrolieguma teritorijas, blakus esošā privātā meža īpašumā. Ligzdā nav konstatēta sekmīga melno stārķu ligzdošana, tomēr 2017.</w:t>
      </w:r>
      <w:r w:rsidR="00C229FF">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gadā to bija aizņēmis mazais ērglis </w:t>
      </w:r>
      <w:proofErr w:type="spellStart"/>
      <w:r w:rsidRPr="00A07F29">
        <w:rPr>
          <w:rFonts w:ascii="Times New Roman" w:eastAsia="Calibri" w:hAnsi="Times New Roman" w:cs="Times New Roman"/>
          <w:i/>
          <w:sz w:val="24"/>
          <w:szCs w:val="24"/>
        </w:rPr>
        <w:t>Clanga</w:t>
      </w:r>
      <w:proofErr w:type="spellEnd"/>
      <w:r w:rsidRPr="00A07F29">
        <w:rPr>
          <w:rFonts w:ascii="Times New Roman" w:eastAsia="Calibri" w:hAnsi="Times New Roman" w:cs="Times New Roman"/>
          <w:i/>
          <w:sz w:val="24"/>
          <w:szCs w:val="24"/>
        </w:rPr>
        <w:t xml:space="preserve"> </w:t>
      </w:r>
      <w:proofErr w:type="spellStart"/>
      <w:r w:rsidRPr="00A07F29">
        <w:rPr>
          <w:rFonts w:ascii="Times New Roman" w:eastAsia="Calibri" w:hAnsi="Times New Roman" w:cs="Times New Roman"/>
          <w:i/>
          <w:sz w:val="24"/>
          <w:szCs w:val="24"/>
        </w:rPr>
        <w:t>pomarina</w:t>
      </w:r>
      <w:proofErr w:type="spellEnd"/>
      <w:r w:rsidRPr="00A07F29">
        <w:rPr>
          <w:rFonts w:ascii="Times New Roman" w:eastAsia="Calibri" w:hAnsi="Times New Roman" w:cs="Times New Roman"/>
          <w:i/>
          <w:sz w:val="24"/>
          <w:szCs w:val="24"/>
        </w:rPr>
        <w:t>.</w:t>
      </w:r>
      <w:r w:rsidRPr="00A07F29">
        <w:rPr>
          <w:rFonts w:ascii="Times New Roman" w:eastAsia="Calibri" w:hAnsi="Times New Roman" w:cs="Times New Roman"/>
          <w:iCs/>
          <w:sz w:val="24"/>
          <w:szCs w:val="24"/>
        </w:rPr>
        <w:t xml:space="preserve"> Apsekojot šo ligzdu 2019.</w:t>
      </w:r>
      <w:r w:rsidR="00C229FF">
        <w:rPr>
          <w:rFonts w:ascii="Times New Roman" w:eastAsia="Calibri" w:hAnsi="Times New Roman" w:cs="Times New Roman"/>
          <w:iCs/>
          <w:sz w:val="24"/>
          <w:szCs w:val="24"/>
        </w:rPr>
        <w:t> </w:t>
      </w:r>
      <w:r w:rsidRPr="00A07F29">
        <w:rPr>
          <w:rFonts w:ascii="Times New Roman" w:eastAsia="Calibri" w:hAnsi="Times New Roman" w:cs="Times New Roman"/>
          <w:iCs/>
          <w:sz w:val="24"/>
          <w:szCs w:val="24"/>
        </w:rPr>
        <w:t>gadā, konstatēts, ka ligzda ir nobrukusi (iespējams 2018./2019.</w:t>
      </w:r>
      <w:r w:rsidR="00C229FF">
        <w:rPr>
          <w:rFonts w:ascii="Times New Roman" w:eastAsia="Calibri" w:hAnsi="Times New Roman" w:cs="Times New Roman"/>
          <w:iCs/>
          <w:sz w:val="24"/>
          <w:szCs w:val="24"/>
        </w:rPr>
        <w:t> </w:t>
      </w:r>
      <w:r w:rsidRPr="00A07F29">
        <w:rPr>
          <w:rFonts w:ascii="Times New Roman" w:eastAsia="Calibri" w:hAnsi="Times New Roman" w:cs="Times New Roman"/>
          <w:iCs/>
          <w:sz w:val="24"/>
          <w:szCs w:val="24"/>
        </w:rPr>
        <w:t>gada ziemā).</w:t>
      </w:r>
    </w:p>
    <w:p w14:paraId="6FC13CF1" w14:textId="04AB5EEA"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Vēsturisks melno stārķu ligzdošanas iecirknis ir zināms </w:t>
      </w:r>
      <w:proofErr w:type="spellStart"/>
      <w:r w:rsidRPr="00A07F29">
        <w:rPr>
          <w:rFonts w:ascii="Times New Roman" w:eastAsia="Calibri" w:hAnsi="Times New Roman" w:cs="Times New Roman"/>
          <w:sz w:val="24"/>
          <w:szCs w:val="24"/>
        </w:rPr>
        <w:t>Janomoles</w:t>
      </w:r>
      <w:proofErr w:type="spellEnd"/>
      <w:r w:rsidRPr="00A07F29">
        <w:rPr>
          <w:rFonts w:ascii="Times New Roman" w:eastAsia="Calibri" w:hAnsi="Times New Roman" w:cs="Times New Roman"/>
          <w:sz w:val="24"/>
          <w:szCs w:val="24"/>
        </w:rPr>
        <w:t xml:space="preserve"> mežā, kur atrasta ligzda 1984.</w:t>
      </w:r>
      <w:r w:rsidR="00C229FF">
        <w:rPr>
          <w:rFonts w:ascii="Times New Roman" w:eastAsia="Calibri" w:hAnsi="Times New Roman" w:cs="Times New Roman"/>
          <w:sz w:val="24"/>
          <w:szCs w:val="24"/>
        </w:rPr>
        <w:t> </w:t>
      </w:r>
      <w:r w:rsidRPr="00A07F29">
        <w:rPr>
          <w:rFonts w:ascii="Times New Roman" w:eastAsia="Calibri" w:hAnsi="Times New Roman" w:cs="Times New Roman"/>
          <w:sz w:val="24"/>
          <w:szCs w:val="24"/>
        </w:rPr>
        <w:t>gadā. Ligzdošanas teritorija pārbaudīta 2004.</w:t>
      </w:r>
      <w:r w:rsidR="00C229FF">
        <w:rPr>
          <w:rFonts w:ascii="Times New Roman" w:eastAsia="Calibri" w:hAnsi="Times New Roman" w:cs="Times New Roman"/>
          <w:sz w:val="24"/>
          <w:szCs w:val="24"/>
        </w:rPr>
        <w:t> </w:t>
      </w:r>
      <w:r w:rsidRPr="00A07F29">
        <w:rPr>
          <w:rFonts w:ascii="Times New Roman" w:eastAsia="Calibri" w:hAnsi="Times New Roman" w:cs="Times New Roman"/>
          <w:sz w:val="24"/>
          <w:szCs w:val="24"/>
        </w:rPr>
        <w:t>gadā (M.</w:t>
      </w:r>
      <w:r w:rsidR="00C229FF">
        <w:rPr>
          <w:rFonts w:ascii="Times New Roman" w:eastAsia="Calibri" w:hAnsi="Times New Roman" w:cs="Times New Roman"/>
          <w:sz w:val="24"/>
          <w:szCs w:val="24"/>
        </w:rPr>
        <w:t> </w:t>
      </w:r>
      <w:r w:rsidRPr="00A07F29">
        <w:rPr>
          <w:rFonts w:ascii="Times New Roman" w:eastAsia="Calibri" w:hAnsi="Times New Roman" w:cs="Times New Roman"/>
          <w:sz w:val="24"/>
          <w:szCs w:val="24"/>
        </w:rPr>
        <w:t>Strazds) un 2019.</w:t>
      </w:r>
      <w:r w:rsidR="00C229FF">
        <w:rPr>
          <w:rFonts w:ascii="Times New Roman" w:eastAsia="Calibri" w:hAnsi="Times New Roman" w:cs="Times New Roman"/>
          <w:sz w:val="24"/>
          <w:szCs w:val="24"/>
        </w:rPr>
        <w:t> </w:t>
      </w:r>
      <w:r w:rsidRPr="00A07F29">
        <w:rPr>
          <w:rFonts w:ascii="Times New Roman" w:eastAsia="Calibri" w:hAnsi="Times New Roman" w:cs="Times New Roman"/>
          <w:sz w:val="24"/>
          <w:szCs w:val="24"/>
        </w:rPr>
        <w:t>gadā (G. </w:t>
      </w:r>
      <w:proofErr w:type="spellStart"/>
      <w:r w:rsidRPr="00A07F29">
        <w:rPr>
          <w:rFonts w:ascii="Times New Roman" w:eastAsia="Calibri" w:hAnsi="Times New Roman" w:cs="Times New Roman"/>
          <w:sz w:val="24"/>
          <w:szCs w:val="24"/>
        </w:rPr>
        <w:t>Grandāns</w:t>
      </w:r>
      <w:proofErr w:type="spellEnd"/>
      <w:r w:rsidRPr="00A07F29">
        <w:rPr>
          <w:rFonts w:ascii="Times New Roman" w:eastAsia="Calibri" w:hAnsi="Times New Roman" w:cs="Times New Roman"/>
          <w:sz w:val="24"/>
          <w:szCs w:val="24"/>
        </w:rPr>
        <w:t>). Abās situācij</w:t>
      </w:r>
      <w:r w:rsidR="009E0DBC">
        <w:rPr>
          <w:rFonts w:ascii="Times New Roman" w:eastAsia="Calibri" w:hAnsi="Times New Roman" w:cs="Times New Roman"/>
          <w:sz w:val="24"/>
          <w:szCs w:val="24"/>
        </w:rPr>
        <w:t>ā</w:t>
      </w:r>
      <w:r w:rsidRPr="00A07F29">
        <w:rPr>
          <w:rFonts w:ascii="Times New Roman" w:eastAsia="Calibri" w:hAnsi="Times New Roman" w:cs="Times New Roman"/>
          <w:sz w:val="24"/>
          <w:szCs w:val="24"/>
        </w:rPr>
        <w:t>s atrasts ligzdas koks (lielu dimensiju priede), bet ligzda nav konstatēta. Pārmeklējot apkārtnē esošos meža nogabalus, nav atrasta arī cita ligzda. Ticams, ka</w:t>
      </w:r>
      <w:r w:rsidR="00D65BBA"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Janomoles</w:t>
      </w:r>
      <w:proofErr w:type="spellEnd"/>
      <w:r w:rsidRPr="00A07F29">
        <w:rPr>
          <w:rFonts w:ascii="Times New Roman" w:eastAsia="Calibri" w:hAnsi="Times New Roman" w:cs="Times New Roman"/>
          <w:sz w:val="24"/>
          <w:szCs w:val="24"/>
        </w:rPr>
        <w:t xml:space="preserve"> un Noviku mežos joprojām ligzdo melnais stārķis, taču nav zināma tā ligzdošanas vieta. </w:t>
      </w:r>
      <w:r w:rsidRPr="00A07F29">
        <w:rPr>
          <w:rFonts w:ascii="Times New Roman" w:eastAsia="Calibri" w:hAnsi="Times New Roman" w:cs="Times New Roman"/>
          <w:sz w:val="24"/>
          <w:szCs w:val="24"/>
        </w:rPr>
        <w:lastRenderedPageBreak/>
        <w:t>2008.</w:t>
      </w:r>
      <w:r w:rsidR="004A4C5B">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gada augustā I. Krams novērojis vienu pieaugušo un divus jaunos putnus pie </w:t>
      </w:r>
      <w:proofErr w:type="spellStart"/>
      <w:r w:rsidRPr="00A07F29">
        <w:rPr>
          <w:rFonts w:ascii="Times New Roman" w:eastAsia="Calibri" w:hAnsi="Times New Roman" w:cs="Times New Roman"/>
          <w:sz w:val="24"/>
          <w:szCs w:val="24"/>
        </w:rPr>
        <w:t>Rudņas</w:t>
      </w:r>
      <w:proofErr w:type="spellEnd"/>
      <w:r w:rsidRPr="00A07F29">
        <w:rPr>
          <w:rFonts w:ascii="Times New Roman" w:eastAsia="Calibri" w:hAnsi="Times New Roman" w:cs="Times New Roman"/>
          <w:sz w:val="24"/>
          <w:szCs w:val="24"/>
        </w:rPr>
        <w:t xml:space="preserve"> upes ietekas Daugavā. Viens īpatnis novērots 2012.</w:t>
      </w:r>
      <w:r w:rsidR="004A4C5B">
        <w:rPr>
          <w:rFonts w:ascii="Times New Roman" w:eastAsia="Calibri" w:hAnsi="Times New Roman" w:cs="Times New Roman"/>
          <w:sz w:val="24"/>
          <w:szCs w:val="24"/>
        </w:rPr>
        <w:t> gada 21. jūnijā</w:t>
      </w:r>
      <w:r w:rsidRPr="00A07F29">
        <w:rPr>
          <w:rFonts w:ascii="Times New Roman" w:eastAsia="Calibri" w:hAnsi="Times New Roman" w:cs="Times New Roman"/>
          <w:sz w:val="24"/>
          <w:szCs w:val="24"/>
        </w:rPr>
        <w:t xml:space="preserve"> Ūdrīšu pagasta </w:t>
      </w:r>
      <w:proofErr w:type="spellStart"/>
      <w:r w:rsidRPr="00A07F29">
        <w:rPr>
          <w:rFonts w:ascii="Times New Roman" w:eastAsia="Calibri" w:hAnsi="Times New Roman" w:cs="Times New Roman"/>
          <w:sz w:val="24"/>
          <w:szCs w:val="24"/>
        </w:rPr>
        <w:t>Glaudānu</w:t>
      </w:r>
      <w:proofErr w:type="spellEnd"/>
      <w:r w:rsidRPr="00A07F29">
        <w:rPr>
          <w:rFonts w:ascii="Times New Roman" w:eastAsia="Calibri" w:hAnsi="Times New Roman" w:cs="Times New Roman"/>
          <w:sz w:val="24"/>
          <w:szCs w:val="24"/>
        </w:rPr>
        <w:t xml:space="preserve"> apkārtnē (I. </w:t>
      </w:r>
      <w:proofErr w:type="spellStart"/>
      <w:r w:rsidRPr="00A07F29">
        <w:rPr>
          <w:rFonts w:ascii="Times New Roman" w:eastAsia="Calibri" w:hAnsi="Times New Roman" w:cs="Times New Roman"/>
          <w:sz w:val="24"/>
          <w:szCs w:val="24"/>
        </w:rPr>
        <w:t>Mārdega</w:t>
      </w:r>
      <w:proofErr w:type="spellEnd"/>
      <w:r w:rsidRPr="00A07F29">
        <w:rPr>
          <w:rFonts w:ascii="Times New Roman" w:eastAsia="Calibri" w:hAnsi="Times New Roman" w:cs="Times New Roman"/>
          <w:sz w:val="24"/>
          <w:szCs w:val="24"/>
        </w:rPr>
        <w:t>); Tartaka ezera apkārtnē 2019.</w:t>
      </w:r>
      <w:r w:rsidR="004A4C5B">
        <w:rPr>
          <w:rFonts w:ascii="Times New Roman" w:eastAsia="Calibri" w:hAnsi="Times New Roman" w:cs="Times New Roman"/>
          <w:sz w:val="24"/>
          <w:szCs w:val="24"/>
        </w:rPr>
        <w:t> gada</w:t>
      </w:r>
      <w:r w:rsidR="00FC50DF">
        <w:rPr>
          <w:rFonts w:ascii="Times New Roman" w:eastAsia="Calibri" w:hAnsi="Times New Roman" w:cs="Times New Roman"/>
          <w:sz w:val="24"/>
          <w:szCs w:val="24"/>
        </w:rPr>
        <w:t xml:space="preserve"> 27. martā</w:t>
      </w:r>
      <w:r w:rsidRPr="00A07F29">
        <w:rPr>
          <w:rFonts w:ascii="Times New Roman" w:eastAsia="Calibri" w:hAnsi="Times New Roman" w:cs="Times New Roman"/>
          <w:sz w:val="24"/>
          <w:szCs w:val="24"/>
        </w:rPr>
        <w:t xml:space="preserve"> novērots viens īpatnis (G. </w:t>
      </w:r>
      <w:proofErr w:type="spellStart"/>
      <w:r w:rsidRPr="00A07F29">
        <w:rPr>
          <w:rFonts w:ascii="Times New Roman" w:eastAsia="Calibri" w:hAnsi="Times New Roman" w:cs="Times New Roman"/>
          <w:sz w:val="24"/>
          <w:szCs w:val="24"/>
        </w:rPr>
        <w:t>Grandāns</w:t>
      </w:r>
      <w:proofErr w:type="spellEnd"/>
      <w:r w:rsidRPr="00A07F29">
        <w:rPr>
          <w:rFonts w:ascii="Times New Roman" w:eastAsia="Calibri" w:hAnsi="Times New Roman" w:cs="Times New Roman"/>
          <w:sz w:val="24"/>
          <w:szCs w:val="24"/>
        </w:rPr>
        <w:t>).</w:t>
      </w:r>
    </w:p>
    <w:p w14:paraId="634BEFBF" w14:textId="293CB6B9"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2019.</w:t>
      </w:r>
      <w:r w:rsidR="00FC50DF">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gadā pārbaudīta arī iepriekš zināmā melnā stārķa ligzdošanas teritorija </w:t>
      </w:r>
      <w:proofErr w:type="spellStart"/>
      <w:r w:rsidRPr="00A07F29">
        <w:rPr>
          <w:rFonts w:ascii="Times New Roman" w:eastAsia="Calibri" w:hAnsi="Times New Roman" w:cs="Times New Roman"/>
          <w:sz w:val="24"/>
          <w:szCs w:val="24"/>
        </w:rPr>
        <w:t>Kuļbovas</w:t>
      </w:r>
      <w:proofErr w:type="spellEnd"/>
      <w:r w:rsidRPr="00A07F29">
        <w:rPr>
          <w:rFonts w:ascii="Times New Roman" w:eastAsia="Calibri" w:hAnsi="Times New Roman" w:cs="Times New Roman"/>
          <w:sz w:val="24"/>
          <w:szCs w:val="24"/>
        </w:rPr>
        <w:t xml:space="preserve"> mežā Piedrujas pagastā, kas atrodas aptuveni 900</w:t>
      </w:r>
      <w:r w:rsidR="00FC50DF">
        <w:rPr>
          <w:rFonts w:ascii="Times New Roman" w:eastAsia="Calibri" w:hAnsi="Times New Roman" w:cs="Times New Roman"/>
          <w:sz w:val="24"/>
          <w:szCs w:val="24"/>
        </w:rPr>
        <w:t> </w:t>
      </w:r>
      <w:r w:rsidRPr="00A07F29">
        <w:rPr>
          <w:rFonts w:ascii="Times New Roman" w:eastAsia="Calibri" w:hAnsi="Times New Roman" w:cs="Times New Roman"/>
          <w:sz w:val="24"/>
          <w:szCs w:val="24"/>
        </w:rPr>
        <w:t>m attālumā no AAA “Augšdaugava” robežas.</w:t>
      </w:r>
      <w:r w:rsidR="00D65BBA" w:rsidRPr="00A07F29">
        <w:rPr>
          <w:rFonts w:ascii="Times New Roman" w:eastAsia="Calibri" w:hAnsi="Times New Roman" w:cs="Times New Roman"/>
          <w:sz w:val="24"/>
          <w:szCs w:val="24"/>
        </w:rPr>
        <w:t xml:space="preserve"> </w:t>
      </w:r>
      <w:r w:rsidRPr="00A07F29">
        <w:rPr>
          <w:rFonts w:ascii="Times New Roman" w:eastAsia="Calibri" w:hAnsi="Times New Roman" w:cs="Times New Roman"/>
          <w:sz w:val="24"/>
          <w:szCs w:val="24"/>
        </w:rPr>
        <w:t>Ligzda kritusi ar olām lūstot zaram 2012.</w:t>
      </w:r>
      <w:r w:rsidR="00542659">
        <w:rPr>
          <w:rFonts w:ascii="Times New Roman" w:eastAsia="Calibri" w:hAnsi="Times New Roman" w:cs="Times New Roman"/>
          <w:sz w:val="24"/>
          <w:szCs w:val="24"/>
        </w:rPr>
        <w:t> </w:t>
      </w:r>
      <w:r w:rsidRPr="00A07F29">
        <w:rPr>
          <w:rFonts w:ascii="Times New Roman" w:eastAsia="Calibri" w:hAnsi="Times New Roman" w:cs="Times New Roman"/>
          <w:sz w:val="24"/>
          <w:szCs w:val="24"/>
        </w:rPr>
        <w:t>gadā, vēlāk uzbūvēta mākslīgā platforma (M. Strazds, melno stārķu izpētes arhīva dati). 2019.</w:t>
      </w:r>
      <w:r w:rsidR="00542659">
        <w:rPr>
          <w:rFonts w:ascii="Times New Roman" w:eastAsia="Calibri" w:hAnsi="Times New Roman" w:cs="Times New Roman"/>
          <w:sz w:val="24"/>
          <w:szCs w:val="24"/>
        </w:rPr>
        <w:t> </w:t>
      </w:r>
      <w:r w:rsidRPr="00A07F29">
        <w:rPr>
          <w:rFonts w:ascii="Times New Roman" w:eastAsia="Calibri" w:hAnsi="Times New Roman" w:cs="Times New Roman"/>
          <w:sz w:val="24"/>
          <w:szCs w:val="24"/>
        </w:rPr>
        <w:t>gadā melnā stārķa ligzdošana mākslīgajā ligzdas platformā nav konstatēta (G. </w:t>
      </w:r>
      <w:proofErr w:type="spellStart"/>
      <w:r w:rsidRPr="00A07F29">
        <w:rPr>
          <w:rFonts w:ascii="Times New Roman" w:eastAsia="Calibri" w:hAnsi="Times New Roman" w:cs="Times New Roman"/>
          <w:sz w:val="24"/>
          <w:szCs w:val="24"/>
        </w:rPr>
        <w:t>Grandāns</w:t>
      </w:r>
      <w:proofErr w:type="spellEnd"/>
      <w:r w:rsidRPr="00A07F29">
        <w:rPr>
          <w:rFonts w:ascii="Times New Roman" w:eastAsia="Calibri" w:hAnsi="Times New Roman" w:cs="Times New Roman"/>
          <w:sz w:val="24"/>
          <w:szCs w:val="24"/>
        </w:rPr>
        <w:t>).</w:t>
      </w:r>
    </w:p>
    <w:p w14:paraId="73395883" w14:textId="1AD9F7F9"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Neregulāri tiek novērots barojoties dažādās teritorijā esošās ūdenstilpēs, tomēr šie novērojumi nekādā gadījumā nav saistāmi ar iespējamu ligzdošanu (barošanās attālumi no ligzdas Latvijas apstākļos var pārsniegt pat 30</w:t>
      </w:r>
      <w:r w:rsidR="009E0563">
        <w:rPr>
          <w:rFonts w:ascii="Times New Roman" w:eastAsia="Calibri" w:hAnsi="Times New Roman" w:cs="Times New Roman"/>
          <w:sz w:val="24"/>
          <w:szCs w:val="24"/>
        </w:rPr>
        <w:t> </w:t>
      </w:r>
      <w:r w:rsidRPr="00A07F29">
        <w:rPr>
          <w:rFonts w:ascii="Times New Roman" w:eastAsia="Calibri" w:hAnsi="Times New Roman" w:cs="Times New Roman"/>
          <w:sz w:val="24"/>
          <w:szCs w:val="24"/>
        </w:rPr>
        <w:t>km).</w:t>
      </w:r>
    </w:p>
    <w:p w14:paraId="2458D429" w14:textId="7E480E95" w:rsidR="003B4B8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Skaita vērtējums teritorijā: 1</w:t>
      </w:r>
      <w:r w:rsidR="009E0563">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9E0563">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2 ligzdojoši pāri. Sugai </w:t>
      </w:r>
      <w:proofErr w:type="spellStart"/>
      <w:r w:rsidRPr="00A07F29">
        <w:rPr>
          <w:rFonts w:ascii="Times New Roman" w:eastAsia="Calibri" w:hAnsi="Times New Roman" w:cs="Times New Roman"/>
          <w:i/>
          <w:iCs/>
          <w:sz w:val="24"/>
          <w:szCs w:val="24"/>
        </w:rPr>
        <w:t>Natura</w:t>
      </w:r>
      <w:proofErr w:type="spellEnd"/>
      <w:r w:rsidRPr="00A07F29">
        <w:rPr>
          <w:rFonts w:ascii="Times New Roman" w:eastAsia="Calibri" w:hAnsi="Times New Roman" w:cs="Times New Roman"/>
          <w:i/>
          <w:iCs/>
          <w:sz w:val="24"/>
          <w:szCs w:val="24"/>
        </w:rPr>
        <w:t xml:space="preserve"> 2000</w:t>
      </w:r>
      <w:r w:rsidRPr="00A07F29">
        <w:rPr>
          <w:rFonts w:ascii="Times New Roman" w:eastAsia="Calibri" w:hAnsi="Times New Roman" w:cs="Times New Roman"/>
          <w:sz w:val="24"/>
          <w:szCs w:val="24"/>
        </w:rPr>
        <w:t xml:space="preserve"> </w:t>
      </w:r>
      <w:r w:rsidR="002C65DE">
        <w:rPr>
          <w:rFonts w:ascii="Times New Roman" w:eastAsia="Calibri" w:hAnsi="Times New Roman" w:cs="Times New Roman"/>
          <w:sz w:val="24"/>
          <w:szCs w:val="24"/>
        </w:rPr>
        <w:t>SDF</w:t>
      </w:r>
      <w:r w:rsidRPr="00A07F29">
        <w:rPr>
          <w:rFonts w:ascii="Times New Roman" w:eastAsia="Calibri" w:hAnsi="Times New Roman" w:cs="Times New Roman"/>
          <w:sz w:val="24"/>
          <w:szCs w:val="24"/>
        </w:rPr>
        <w:t xml:space="preserve"> precizēts maksimālais populācijas lielums.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3B4B85" w:rsidRPr="00A07F29" w14:paraId="49C357EB" w14:textId="77777777" w:rsidTr="63C42FA1">
        <w:tc>
          <w:tcPr>
            <w:tcW w:w="4672" w:type="dxa"/>
          </w:tcPr>
          <w:p w14:paraId="53D41980" w14:textId="3C0B8EE6" w:rsidR="003B4B85" w:rsidRPr="00A07F29" w:rsidRDefault="003B4B85" w:rsidP="003B4B85">
            <w:pPr>
              <w:jc w:val="both"/>
              <w:rPr>
                <w:rFonts w:ascii="Times New Roman" w:eastAsia="Calibri" w:hAnsi="Times New Roman" w:cs="Times New Roman"/>
                <w:sz w:val="24"/>
                <w:szCs w:val="24"/>
              </w:rPr>
            </w:pPr>
            <w:r w:rsidRPr="00A07F29">
              <w:rPr>
                <w:noProof/>
                <w:lang w:eastAsia="lv-LV"/>
              </w:rPr>
              <w:drawing>
                <wp:inline distT="0" distB="0" distL="0" distR="0" wp14:anchorId="2275D6E9" wp14:editId="68C29AB1">
                  <wp:extent cx="2479391" cy="1859280"/>
                  <wp:effectExtent l="0" t="0" r="0" b="7620"/>
                  <wp:docPr id="1703717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92">
                            <a:extLst>
                              <a:ext uri="{28A0092B-C50C-407E-A947-70E740481C1C}">
                                <a14:useLocalDpi xmlns:a14="http://schemas.microsoft.com/office/drawing/2010/main"/>
                              </a:ext>
                            </a:extLst>
                          </a:blip>
                          <a:stretch>
                            <a:fillRect/>
                          </a:stretch>
                        </pic:blipFill>
                        <pic:spPr>
                          <a:xfrm>
                            <a:off x="0" y="0"/>
                            <a:ext cx="2479391" cy="1859280"/>
                          </a:xfrm>
                          <a:prstGeom prst="rect">
                            <a:avLst/>
                          </a:prstGeom>
                        </pic:spPr>
                      </pic:pic>
                    </a:graphicData>
                  </a:graphic>
                </wp:inline>
              </w:drawing>
            </w:r>
          </w:p>
        </w:tc>
        <w:tc>
          <w:tcPr>
            <w:tcW w:w="4672" w:type="dxa"/>
          </w:tcPr>
          <w:p w14:paraId="0AE3370B" w14:textId="170CA706" w:rsidR="003B4B85" w:rsidRPr="00A07F29" w:rsidRDefault="003B4B85" w:rsidP="003B4B85">
            <w:pPr>
              <w:jc w:val="both"/>
              <w:rPr>
                <w:rFonts w:ascii="Times New Roman" w:eastAsia="Calibri" w:hAnsi="Times New Roman" w:cs="Times New Roman"/>
                <w:sz w:val="24"/>
                <w:szCs w:val="24"/>
              </w:rPr>
            </w:pPr>
            <w:r w:rsidRPr="00A07F29">
              <w:rPr>
                <w:noProof/>
                <w:lang w:eastAsia="lv-LV"/>
              </w:rPr>
              <w:drawing>
                <wp:inline distT="0" distB="0" distL="0" distR="0" wp14:anchorId="5B7044A7" wp14:editId="129A96F2">
                  <wp:extent cx="2666613" cy="1883723"/>
                  <wp:effectExtent l="0" t="0" r="635" b="2540"/>
                  <wp:docPr id="170371790" name="Picture 2" descr="A pile of gr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93">
                            <a:extLst>
                              <a:ext uri="{28A0092B-C50C-407E-A947-70E740481C1C}">
                                <a14:useLocalDpi xmlns:a14="http://schemas.microsoft.com/office/drawing/2010/main"/>
                              </a:ext>
                            </a:extLst>
                          </a:blip>
                          <a:stretch>
                            <a:fillRect/>
                          </a:stretch>
                        </pic:blipFill>
                        <pic:spPr>
                          <a:xfrm>
                            <a:off x="0" y="0"/>
                            <a:ext cx="2666613" cy="1883723"/>
                          </a:xfrm>
                          <a:prstGeom prst="rect">
                            <a:avLst/>
                          </a:prstGeom>
                        </pic:spPr>
                      </pic:pic>
                    </a:graphicData>
                  </a:graphic>
                </wp:inline>
              </w:drawing>
            </w:r>
          </w:p>
        </w:tc>
      </w:tr>
      <w:tr w:rsidR="003B4B85" w:rsidRPr="00A07F29" w14:paraId="446DD34A" w14:textId="77777777" w:rsidTr="63C42FA1">
        <w:tc>
          <w:tcPr>
            <w:tcW w:w="9344" w:type="dxa"/>
            <w:gridSpan w:val="2"/>
          </w:tcPr>
          <w:p w14:paraId="297D3BDA" w14:textId="02CC9B96" w:rsidR="003B4B85" w:rsidRPr="009B28D1" w:rsidRDefault="003B4B85" w:rsidP="003B4B85">
            <w:pPr>
              <w:jc w:val="both"/>
              <w:rPr>
                <w:rFonts w:ascii="Times New Roman" w:eastAsia="Calibri" w:hAnsi="Times New Roman" w:cs="Times New Roman"/>
                <w:sz w:val="20"/>
                <w:szCs w:val="20"/>
              </w:rPr>
            </w:pPr>
            <w:r w:rsidRPr="009B28D1">
              <w:rPr>
                <w:rFonts w:ascii="Times New Roman" w:eastAsia="Calibri" w:hAnsi="Times New Roman" w:cs="Times New Roman"/>
                <w:sz w:val="20"/>
                <w:szCs w:val="20"/>
              </w:rPr>
              <w:t>4.10.2.1.</w:t>
            </w:r>
            <w:r w:rsidR="009E0563" w:rsidRPr="009B28D1">
              <w:rPr>
                <w:rFonts w:ascii="Times New Roman" w:eastAsia="Calibri" w:hAnsi="Times New Roman" w:cs="Times New Roman"/>
                <w:sz w:val="20"/>
                <w:szCs w:val="20"/>
              </w:rPr>
              <w:t> </w:t>
            </w:r>
            <w:r w:rsidRPr="009B28D1">
              <w:rPr>
                <w:rFonts w:ascii="Times New Roman" w:eastAsia="Calibri" w:hAnsi="Times New Roman" w:cs="Times New Roman"/>
                <w:sz w:val="20"/>
                <w:szCs w:val="20"/>
              </w:rPr>
              <w:t>att</w:t>
            </w:r>
            <w:r w:rsidR="009E0563" w:rsidRPr="009B28D1">
              <w:rPr>
                <w:rFonts w:ascii="Times New Roman" w:eastAsia="Calibri" w:hAnsi="Times New Roman" w:cs="Times New Roman"/>
                <w:sz w:val="20"/>
                <w:szCs w:val="20"/>
              </w:rPr>
              <w:t>ēls</w:t>
            </w:r>
            <w:r w:rsidRPr="009B28D1">
              <w:rPr>
                <w:rFonts w:ascii="Times New Roman" w:eastAsia="Calibri" w:hAnsi="Times New Roman" w:cs="Times New Roman"/>
                <w:sz w:val="20"/>
                <w:szCs w:val="20"/>
              </w:rPr>
              <w:t xml:space="preserve">. Melnā stārķa </w:t>
            </w:r>
            <w:proofErr w:type="spellStart"/>
            <w:r w:rsidRPr="009B28D1">
              <w:rPr>
                <w:rFonts w:ascii="Times New Roman" w:eastAsia="Calibri" w:hAnsi="Times New Roman" w:cs="Times New Roman"/>
                <w:i/>
                <w:iCs/>
                <w:sz w:val="20"/>
                <w:szCs w:val="20"/>
              </w:rPr>
              <w:t>Ciconia</w:t>
            </w:r>
            <w:proofErr w:type="spellEnd"/>
            <w:r w:rsidRPr="009B28D1">
              <w:rPr>
                <w:rFonts w:ascii="Times New Roman" w:eastAsia="Calibri" w:hAnsi="Times New Roman" w:cs="Times New Roman"/>
                <w:i/>
                <w:iCs/>
                <w:sz w:val="20"/>
                <w:szCs w:val="20"/>
              </w:rPr>
              <w:t xml:space="preserve"> </w:t>
            </w:r>
            <w:proofErr w:type="spellStart"/>
            <w:r w:rsidRPr="009B28D1">
              <w:rPr>
                <w:rFonts w:ascii="Times New Roman" w:eastAsia="Calibri" w:hAnsi="Times New Roman" w:cs="Times New Roman"/>
                <w:i/>
                <w:iCs/>
                <w:sz w:val="20"/>
                <w:szCs w:val="20"/>
              </w:rPr>
              <w:t>nigra</w:t>
            </w:r>
            <w:proofErr w:type="spellEnd"/>
            <w:r w:rsidRPr="009B28D1">
              <w:rPr>
                <w:rFonts w:ascii="Times New Roman" w:eastAsia="Calibri" w:hAnsi="Times New Roman" w:cs="Times New Roman"/>
                <w:i/>
                <w:iCs/>
                <w:sz w:val="20"/>
                <w:szCs w:val="20"/>
              </w:rPr>
              <w:t xml:space="preserve"> </w:t>
            </w:r>
            <w:r w:rsidRPr="009B28D1">
              <w:rPr>
                <w:rFonts w:ascii="Times New Roman" w:eastAsia="Calibri" w:hAnsi="Times New Roman" w:cs="Times New Roman"/>
                <w:sz w:val="20"/>
                <w:szCs w:val="20"/>
              </w:rPr>
              <w:t>ligzdas platformas un izpostītas ligzdas atliekas Kaplavas pagastā. Foto: G. </w:t>
            </w:r>
            <w:proofErr w:type="spellStart"/>
            <w:r w:rsidRPr="009B28D1">
              <w:rPr>
                <w:rFonts w:ascii="Times New Roman" w:eastAsia="Calibri" w:hAnsi="Times New Roman" w:cs="Times New Roman"/>
                <w:sz w:val="20"/>
                <w:szCs w:val="20"/>
              </w:rPr>
              <w:t>Grandāns</w:t>
            </w:r>
            <w:proofErr w:type="spellEnd"/>
          </w:p>
        </w:tc>
      </w:tr>
    </w:tbl>
    <w:p w14:paraId="6FA08C37" w14:textId="77777777" w:rsidR="009A4BC5" w:rsidRPr="00A07F29" w:rsidRDefault="009A4BC5" w:rsidP="009A4BC5">
      <w:pPr>
        <w:spacing w:after="120"/>
        <w:ind w:left="709"/>
        <w:contextualSpacing/>
        <w:jc w:val="both"/>
        <w:rPr>
          <w:rFonts w:ascii="Times New Roman" w:eastAsia="Calibri" w:hAnsi="Times New Roman" w:cs="Times New Roman"/>
        </w:rPr>
      </w:pPr>
    </w:p>
    <w:p w14:paraId="7D3005A7" w14:textId="77777777" w:rsidR="009A4BC5" w:rsidRPr="00A07F29" w:rsidRDefault="009A4BC5" w:rsidP="009A4BC5">
      <w:pPr>
        <w:keepNext/>
        <w:spacing w:before="240" w:after="120" w:line="240" w:lineRule="auto"/>
        <w:jc w:val="both"/>
        <w:rPr>
          <w:rFonts w:ascii="Times New Roman" w:eastAsia="Calibri" w:hAnsi="Times New Roman" w:cs="Times New Roman"/>
          <w:b/>
          <w:bCs/>
          <w:i/>
          <w:iCs/>
          <w:sz w:val="24"/>
          <w:szCs w:val="24"/>
        </w:rPr>
      </w:pPr>
      <w:r w:rsidRPr="00A07F29">
        <w:rPr>
          <w:rFonts w:ascii="Times New Roman" w:eastAsia="Calibri" w:hAnsi="Times New Roman" w:cs="Times New Roman"/>
          <w:b/>
          <w:bCs/>
          <w:sz w:val="24"/>
          <w:szCs w:val="24"/>
        </w:rPr>
        <w:t xml:space="preserve">Baltais stārķis </w:t>
      </w:r>
      <w:proofErr w:type="spellStart"/>
      <w:r w:rsidRPr="00A07F29">
        <w:rPr>
          <w:rFonts w:ascii="Times New Roman" w:eastAsia="Calibri" w:hAnsi="Times New Roman" w:cs="Times New Roman"/>
          <w:b/>
          <w:bCs/>
          <w:i/>
          <w:iCs/>
          <w:sz w:val="24"/>
          <w:szCs w:val="24"/>
        </w:rPr>
        <w:t>Ciconia</w:t>
      </w:r>
      <w:proofErr w:type="spellEnd"/>
      <w:r w:rsidRPr="00A07F29">
        <w:rPr>
          <w:rFonts w:ascii="Times New Roman" w:eastAsia="Calibri" w:hAnsi="Times New Roman" w:cs="Times New Roman"/>
          <w:b/>
          <w:bCs/>
          <w:i/>
          <w:iCs/>
          <w:sz w:val="24"/>
          <w:szCs w:val="24"/>
        </w:rPr>
        <w:t xml:space="preserve"> </w:t>
      </w:r>
      <w:proofErr w:type="spellStart"/>
      <w:r w:rsidRPr="00A07F29">
        <w:rPr>
          <w:rFonts w:ascii="Times New Roman" w:eastAsia="Calibri" w:hAnsi="Times New Roman" w:cs="Times New Roman"/>
          <w:b/>
          <w:bCs/>
          <w:i/>
          <w:iCs/>
          <w:sz w:val="24"/>
          <w:szCs w:val="24"/>
        </w:rPr>
        <w:t>ciconia</w:t>
      </w:r>
      <w:proofErr w:type="spellEnd"/>
    </w:p>
    <w:p w14:paraId="3655C92F" w14:textId="5EE8CFD6" w:rsidR="009A4BC5" w:rsidRPr="00A07F29" w:rsidRDefault="009A4BC5" w:rsidP="009A4BC5">
      <w:pPr>
        <w:spacing w:after="120" w:line="240" w:lineRule="auto"/>
        <w:ind w:firstLine="851"/>
        <w:jc w:val="both"/>
        <w:rPr>
          <w:rFonts w:ascii="Times New Roman" w:eastAsia="Calibri" w:hAnsi="Times New Roman" w:cs="Times New Roman"/>
          <w:b/>
          <w:bCs/>
          <w:i/>
          <w:iCs/>
          <w:sz w:val="24"/>
          <w:szCs w:val="24"/>
        </w:rPr>
      </w:pPr>
      <w:r w:rsidRPr="00A07F29">
        <w:rPr>
          <w:rFonts w:ascii="Times New Roman" w:eastAsia="Calibri" w:hAnsi="Times New Roman" w:cs="Times New Roman"/>
          <w:sz w:val="24"/>
          <w:szCs w:val="24"/>
        </w:rPr>
        <w:t>Populācijas lielums Latvijā: 13500</w:t>
      </w:r>
      <w:r w:rsidR="009B28D1">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9B28D1">
        <w:rPr>
          <w:rFonts w:ascii="Times New Roman" w:eastAsia="Calibri" w:hAnsi="Times New Roman" w:cs="Times New Roman"/>
          <w:sz w:val="24"/>
          <w:szCs w:val="24"/>
        </w:rPr>
        <w:t> </w:t>
      </w:r>
      <w:r w:rsidRPr="00A07F29">
        <w:rPr>
          <w:rFonts w:ascii="Times New Roman" w:eastAsia="Calibri" w:hAnsi="Times New Roman" w:cs="Times New Roman"/>
          <w:sz w:val="24"/>
          <w:szCs w:val="24"/>
        </w:rPr>
        <w:t>14200 pāri (</w:t>
      </w:r>
      <w:proofErr w:type="spellStart"/>
      <w:r w:rsidRPr="00A07F29">
        <w:rPr>
          <w:rFonts w:ascii="Times New Roman" w:eastAsia="Calibri" w:hAnsi="Times New Roman" w:cs="Times New Roman"/>
          <w:sz w:val="24"/>
          <w:szCs w:val="24"/>
        </w:rPr>
        <w:t>Birdlife</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International</w:t>
      </w:r>
      <w:proofErr w:type="spellEnd"/>
      <w:r w:rsidR="00F2117E">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2019).</w:t>
      </w:r>
    </w:p>
    <w:p w14:paraId="1413F11C" w14:textId="3F07086A"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2019.</w:t>
      </w:r>
      <w:r w:rsidR="009B28D1">
        <w:rPr>
          <w:rFonts w:ascii="Times New Roman" w:eastAsia="Calibri" w:hAnsi="Times New Roman" w:cs="Times New Roman"/>
          <w:sz w:val="24"/>
          <w:szCs w:val="24"/>
        </w:rPr>
        <w:t> </w:t>
      </w:r>
      <w:r w:rsidRPr="00A07F29">
        <w:rPr>
          <w:rFonts w:ascii="Times New Roman" w:eastAsia="Calibri" w:hAnsi="Times New Roman" w:cs="Times New Roman"/>
          <w:sz w:val="24"/>
          <w:szCs w:val="24"/>
        </w:rPr>
        <w:t>gada sezonā AAA “Augšdaugava” veikta visu iepriekš zināmo ligzdu apsekošana (AS “Sadales tīkls” dati, Starptautiskās balto stārķu uzskaites dati 2014.</w:t>
      </w:r>
      <w:r w:rsidR="0028537B">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gadā, </w:t>
      </w:r>
      <w:proofErr w:type="spellStart"/>
      <w:r w:rsidRPr="00A07F29">
        <w:rPr>
          <w:rFonts w:ascii="Times New Roman" w:eastAsia="Calibri" w:hAnsi="Times New Roman" w:cs="Times New Roman"/>
          <w:i/>
          <w:iCs/>
          <w:sz w:val="24"/>
          <w:szCs w:val="24"/>
        </w:rPr>
        <w:t>Natura</w:t>
      </w:r>
      <w:proofErr w:type="spellEnd"/>
      <w:r w:rsidRPr="00A07F29">
        <w:rPr>
          <w:rFonts w:ascii="Times New Roman" w:eastAsia="Calibri" w:hAnsi="Times New Roman" w:cs="Times New Roman"/>
          <w:i/>
          <w:iCs/>
          <w:sz w:val="24"/>
          <w:szCs w:val="24"/>
        </w:rPr>
        <w:t xml:space="preserve"> 2000</w:t>
      </w:r>
      <w:r w:rsidRPr="00A07F29">
        <w:rPr>
          <w:rFonts w:ascii="Times New Roman" w:eastAsia="Calibri" w:hAnsi="Times New Roman" w:cs="Times New Roman"/>
          <w:sz w:val="24"/>
          <w:szCs w:val="24"/>
        </w:rPr>
        <w:t xml:space="preserve"> vietu monitoringa dati, projekta “</w:t>
      </w:r>
      <w:r w:rsidRPr="00A07F29">
        <w:rPr>
          <w:rFonts w:ascii="Times New Roman" w:eastAsia="Times New Roman" w:hAnsi="Times New Roman" w:cs="Times New Roman"/>
          <w:bCs/>
          <w:sz w:val="24"/>
          <w:szCs w:val="24"/>
          <w:shd w:val="clear" w:color="auto" w:fill="FFFFFF"/>
        </w:rPr>
        <w:t xml:space="preserve">Pārrobežu aizsargājamās dabas teritorijas </w:t>
      </w:r>
      <w:r w:rsidRPr="00A07F29">
        <w:rPr>
          <w:rFonts w:ascii="Times New Roman" w:eastAsia="Times New Roman" w:hAnsi="Times New Roman" w:cs="Times New Roman"/>
          <w:bCs/>
          <w:i/>
          <w:iCs/>
          <w:sz w:val="24"/>
          <w:szCs w:val="24"/>
          <w:shd w:val="clear" w:color="auto" w:fill="FFFFFF"/>
        </w:rPr>
        <w:t>Augšdaugava–Braslavas ezeri</w:t>
      </w:r>
      <w:r w:rsidRPr="00A07F29">
        <w:rPr>
          <w:rFonts w:ascii="Times New Roman" w:eastAsia="Times New Roman" w:hAnsi="Times New Roman" w:cs="Times New Roman"/>
          <w:bCs/>
          <w:sz w:val="24"/>
          <w:szCs w:val="24"/>
          <w:shd w:val="clear" w:color="auto" w:fill="FFFFFF"/>
        </w:rPr>
        <w:t xml:space="preserve"> izveide un priekšnoteikumu radīšana tās integrētai pārvaldība” dati).</w:t>
      </w:r>
    </w:p>
    <w:p w14:paraId="5C157B43" w14:textId="539691C9"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Kopumā 2019.</w:t>
      </w:r>
      <w:r w:rsidR="0028537B">
        <w:rPr>
          <w:rFonts w:ascii="Times New Roman" w:eastAsia="Calibri" w:hAnsi="Times New Roman" w:cs="Times New Roman"/>
          <w:sz w:val="24"/>
          <w:szCs w:val="24"/>
        </w:rPr>
        <w:t> </w:t>
      </w:r>
      <w:r w:rsidRPr="00A07F29">
        <w:rPr>
          <w:rFonts w:ascii="Times New Roman" w:eastAsia="Calibri" w:hAnsi="Times New Roman" w:cs="Times New Roman"/>
          <w:sz w:val="24"/>
          <w:szCs w:val="24"/>
        </w:rPr>
        <w:t>gadā konstatētas 134 balto stārķu ligzdas. Konstatētas 110 apdzīvotas ligzdas un 24 lietotas ligzdas. Par lietotām ligzdām uzskatītas arī daļēji nobrukušas, ar veģetāciju aizaugušas ligzdas, kas nav apdzīvotas vairākus gadus. No visām 2019.</w:t>
      </w:r>
      <w:r w:rsidR="0028537B">
        <w:rPr>
          <w:rFonts w:ascii="Times New Roman" w:eastAsia="Calibri" w:hAnsi="Times New Roman" w:cs="Times New Roman"/>
          <w:sz w:val="24"/>
          <w:szCs w:val="24"/>
        </w:rPr>
        <w:t> </w:t>
      </w:r>
      <w:r w:rsidRPr="00A07F29">
        <w:rPr>
          <w:rFonts w:ascii="Times New Roman" w:eastAsia="Calibri" w:hAnsi="Times New Roman" w:cs="Times New Roman"/>
          <w:sz w:val="24"/>
          <w:szCs w:val="24"/>
        </w:rPr>
        <w:t>gadā apdzīvotajām balto stārķu ligzdām sekmīgas bija 81 ligzda (vismaz viens mazulis ligzdā). Absolūti lielākā daļa ligzdu (84</w:t>
      </w:r>
      <w:r w:rsidR="003F6427">
        <w:rPr>
          <w:rFonts w:ascii="Times New Roman" w:eastAsia="Calibri" w:hAnsi="Times New Roman" w:cs="Times New Roman"/>
          <w:sz w:val="24"/>
          <w:szCs w:val="24"/>
        </w:rPr>
        <w:t> </w:t>
      </w:r>
      <w:r w:rsidRPr="00A07F29">
        <w:rPr>
          <w:rFonts w:ascii="Times New Roman" w:eastAsia="Calibri" w:hAnsi="Times New Roman" w:cs="Times New Roman"/>
          <w:sz w:val="24"/>
          <w:szCs w:val="24"/>
        </w:rPr>
        <w:t>%) konstatētas elektrības stabos, tostarp arī uz speciāli baltajiem stārķiem paredzētām ligzdošanas platformām. Balto stārķu ligzdas konstatētas uz ūdenstorņiem (</w:t>
      </w:r>
      <w:r w:rsidR="003F6427">
        <w:rPr>
          <w:rFonts w:ascii="Times New Roman" w:eastAsia="Calibri" w:hAnsi="Times New Roman" w:cs="Times New Roman"/>
          <w:sz w:val="24"/>
          <w:szCs w:val="24"/>
        </w:rPr>
        <w:t>sešas</w:t>
      </w:r>
      <w:r w:rsidRPr="00A07F29">
        <w:rPr>
          <w:rFonts w:ascii="Times New Roman" w:eastAsia="Calibri" w:hAnsi="Times New Roman" w:cs="Times New Roman"/>
          <w:sz w:val="24"/>
          <w:szCs w:val="24"/>
        </w:rPr>
        <w:t xml:space="preserve"> ligzdas), kokos (</w:t>
      </w:r>
      <w:r w:rsidR="003F6427">
        <w:rPr>
          <w:rFonts w:ascii="Times New Roman" w:eastAsia="Calibri" w:hAnsi="Times New Roman" w:cs="Times New Roman"/>
          <w:sz w:val="24"/>
          <w:szCs w:val="24"/>
        </w:rPr>
        <w:t>septiņas</w:t>
      </w:r>
      <w:r w:rsidRPr="00A07F29">
        <w:rPr>
          <w:rFonts w:ascii="Times New Roman" w:eastAsia="Calibri" w:hAnsi="Times New Roman" w:cs="Times New Roman"/>
          <w:sz w:val="24"/>
          <w:szCs w:val="24"/>
        </w:rPr>
        <w:t xml:space="preserve"> ligzdas) un uz ēku jumtiem vai skursteņiem (</w:t>
      </w:r>
      <w:r w:rsidR="003F6427">
        <w:rPr>
          <w:rFonts w:ascii="Times New Roman" w:eastAsia="Calibri" w:hAnsi="Times New Roman" w:cs="Times New Roman"/>
          <w:sz w:val="24"/>
          <w:szCs w:val="24"/>
        </w:rPr>
        <w:t>deviņas</w:t>
      </w:r>
      <w:r w:rsidRPr="00A07F29">
        <w:rPr>
          <w:rFonts w:ascii="Times New Roman" w:eastAsia="Calibri" w:hAnsi="Times New Roman" w:cs="Times New Roman"/>
          <w:sz w:val="24"/>
          <w:szCs w:val="24"/>
        </w:rPr>
        <w:t xml:space="preserve"> ligzdas).</w:t>
      </w:r>
    </w:p>
    <w:p w14:paraId="3F26AD1B" w14:textId="06380123"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Skaita vērtējums teritorijā: 110</w:t>
      </w:r>
      <w:r w:rsidR="003F6427">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3F6427">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140 ligzdojoši pāri. Sugai </w:t>
      </w:r>
      <w:proofErr w:type="spellStart"/>
      <w:r w:rsidRPr="00A07F29">
        <w:rPr>
          <w:rFonts w:ascii="Times New Roman" w:eastAsia="Calibri" w:hAnsi="Times New Roman" w:cs="Times New Roman"/>
          <w:i/>
          <w:iCs/>
          <w:sz w:val="24"/>
          <w:szCs w:val="24"/>
        </w:rPr>
        <w:t>Natura</w:t>
      </w:r>
      <w:proofErr w:type="spellEnd"/>
      <w:r w:rsidRPr="00A07F29">
        <w:rPr>
          <w:rFonts w:ascii="Times New Roman" w:eastAsia="Calibri" w:hAnsi="Times New Roman" w:cs="Times New Roman"/>
          <w:i/>
          <w:iCs/>
          <w:sz w:val="24"/>
          <w:szCs w:val="24"/>
        </w:rPr>
        <w:t xml:space="preserve"> 2000</w:t>
      </w:r>
      <w:r w:rsidRPr="00A07F29">
        <w:rPr>
          <w:rFonts w:ascii="Times New Roman" w:eastAsia="Calibri" w:hAnsi="Times New Roman" w:cs="Times New Roman"/>
          <w:sz w:val="24"/>
          <w:szCs w:val="24"/>
        </w:rPr>
        <w:t xml:space="preserve"> </w:t>
      </w:r>
      <w:r w:rsidR="002C65DE">
        <w:rPr>
          <w:rFonts w:ascii="Times New Roman" w:eastAsia="Calibri" w:hAnsi="Times New Roman" w:cs="Times New Roman"/>
          <w:sz w:val="24"/>
          <w:szCs w:val="24"/>
        </w:rPr>
        <w:t>SDF</w:t>
      </w:r>
      <w:r w:rsidRPr="00A07F29">
        <w:rPr>
          <w:rFonts w:ascii="Times New Roman" w:eastAsia="Calibri" w:hAnsi="Times New Roman" w:cs="Times New Roman"/>
          <w:sz w:val="24"/>
          <w:szCs w:val="24"/>
        </w:rPr>
        <w:t xml:space="preserve"> precizēts minimālais un maksimālais populācijas lielums. Iepriekšējais vērtējums 20</w:t>
      </w:r>
      <w:r w:rsidR="003F6427">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3F6427">
        <w:rPr>
          <w:rFonts w:ascii="Times New Roman" w:eastAsia="Calibri" w:hAnsi="Times New Roman" w:cs="Times New Roman"/>
          <w:sz w:val="24"/>
          <w:szCs w:val="24"/>
        </w:rPr>
        <w:t> </w:t>
      </w:r>
      <w:r w:rsidRPr="00A07F29">
        <w:rPr>
          <w:rFonts w:ascii="Times New Roman" w:eastAsia="Calibri" w:hAnsi="Times New Roman" w:cs="Times New Roman"/>
          <w:sz w:val="24"/>
          <w:szCs w:val="24"/>
        </w:rPr>
        <w:t>50 ligzdojoši pāri uzskatāms par neprecīzu; nav pamata domāt par sugas skaita pieaugumu teritorijā.</w:t>
      </w:r>
    </w:p>
    <w:p w14:paraId="49CBB0A3" w14:textId="69FDE54B"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Teritorija nozīmīga nacionālā mērogā, jo tajā ligzdo 13</w:t>
      </w:r>
      <w:r w:rsidR="000D00C4">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0D00C4">
        <w:rPr>
          <w:rFonts w:ascii="Times New Roman" w:eastAsia="Calibri" w:hAnsi="Times New Roman" w:cs="Times New Roman"/>
          <w:sz w:val="24"/>
          <w:szCs w:val="24"/>
        </w:rPr>
        <w:t> </w:t>
      </w:r>
      <w:r w:rsidRPr="00A07F29">
        <w:rPr>
          <w:rFonts w:ascii="Times New Roman" w:eastAsia="Calibri" w:hAnsi="Times New Roman" w:cs="Times New Roman"/>
          <w:sz w:val="24"/>
          <w:szCs w:val="24"/>
        </w:rPr>
        <w:t>15</w:t>
      </w:r>
      <w:r w:rsidR="000D00C4">
        <w:rPr>
          <w:rFonts w:ascii="Times New Roman" w:eastAsia="Calibri" w:hAnsi="Times New Roman" w:cs="Times New Roman"/>
          <w:sz w:val="24"/>
          <w:szCs w:val="24"/>
        </w:rPr>
        <w:t> </w:t>
      </w:r>
      <w:r w:rsidRPr="00A07F29">
        <w:rPr>
          <w:rFonts w:ascii="Times New Roman" w:eastAsia="Calibri" w:hAnsi="Times New Roman" w:cs="Times New Roman"/>
          <w:sz w:val="24"/>
          <w:szCs w:val="24"/>
        </w:rPr>
        <w:t>% no visiem Latvijā īpaši aizsargājamajās teritorijās ligzdojošajiem baltajiem stārķiem.</w:t>
      </w:r>
    </w:p>
    <w:p w14:paraId="2644302A" w14:textId="77777777" w:rsidR="009A4BC5" w:rsidRPr="00A07F29" w:rsidRDefault="009A4BC5" w:rsidP="00A467AC">
      <w:pPr>
        <w:keepNext/>
        <w:spacing w:before="240" w:after="120" w:line="240" w:lineRule="auto"/>
        <w:jc w:val="both"/>
        <w:rPr>
          <w:rFonts w:ascii="Times New Roman" w:eastAsia="Calibri" w:hAnsi="Times New Roman" w:cs="Times New Roman"/>
          <w:b/>
          <w:bCs/>
          <w:i/>
          <w:sz w:val="24"/>
          <w:szCs w:val="24"/>
        </w:rPr>
      </w:pPr>
      <w:r w:rsidRPr="00A07F29">
        <w:rPr>
          <w:rFonts w:ascii="Times New Roman" w:eastAsia="Calibri" w:hAnsi="Times New Roman" w:cs="Times New Roman"/>
          <w:b/>
          <w:bCs/>
          <w:sz w:val="24"/>
          <w:szCs w:val="24"/>
        </w:rPr>
        <w:lastRenderedPageBreak/>
        <w:t xml:space="preserve">Lielais dumpis </w:t>
      </w:r>
      <w:proofErr w:type="spellStart"/>
      <w:r w:rsidRPr="00A07F29">
        <w:rPr>
          <w:rFonts w:ascii="Times New Roman" w:eastAsia="Calibri" w:hAnsi="Times New Roman" w:cs="Times New Roman"/>
          <w:b/>
          <w:bCs/>
          <w:i/>
          <w:sz w:val="24"/>
          <w:szCs w:val="24"/>
        </w:rPr>
        <w:t>Botaurus</w:t>
      </w:r>
      <w:proofErr w:type="spellEnd"/>
      <w:r w:rsidRPr="00A07F29">
        <w:rPr>
          <w:rFonts w:ascii="Times New Roman" w:eastAsia="Calibri" w:hAnsi="Times New Roman" w:cs="Times New Roman"/>
          <w:b/>
          <w:bCs/>
          <w:i/>
          <w:sz w:val="24"/>
          <w:szCs w:val="24"/>
        </w:rPr>
        <w:t xml:space="preserve"> </w:t>
      </w:r>
      <w:proofErr w:type="spellStart"/>
      <w:r w:rsidRPr="00A07F29">
        <w:rPr>
          <w:rFonts w:ascii="Times New Roman" w:eastAsia="Calibri" w:hAnsi="Times New Roman" w:cs="Times New Roman"/>
          <w:b/>
          <w:bCs/>
          <w:i/>
          <w:sz w:val="24"/>
          <w:szCs w:val="24"/>
        </w:rPr>
        <w:t>stellaris</w:t>
      </w:r>
      <w:proofErr w:type="spellEnd"/>
    </w:p>
    <w:p w14:paraId="20F871A8" w14:textId="4A3F8653"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Populācijas lielums Latvijā: 422 vokalizējoši tēviņi (</w:t>
      </w:r>
      <w:proofErr w:type="spellStart"/>
      <w:r w:rsidRPr="00A07F29">
        <w:rPr>
          <w:rFonts w:ascii="Times New Roman" w:eastAsia="Calibri" w:hAnsi="Times New Roman" w:cs="Times New Roman"/>
          <w:sz w:val="24"/>
          <w:szCs w:val="24"/>
        </w:rPr>
        <w:t>Birdlife</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International</w:t>
      </w:r>
      <w:proofErr w:type="spellEnd"/>
      <w:r w:rsidR="00F2117E">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2019). Ligzdo dažādos </w:t>
      </w:r>
      <w:proofErr w:type="spellStart"/>
      <w:r w:rsidRPr="00A07F29">
        <w:rPr>
          <w:rFonts w:ascii="Times New Roman" w:eastAsia="Calibri" w:hAnsi="Times New Roman" w:cs="Times New Roman"/>
          <w:sz w:val="24"/>
          <w:szCs w:val="24"/>
        </w:rPr>
        <w:t>seklūdeņos</w:t>
      </w:r>
      <w:proofErr w:type="spellEnd"/>
      <w:r w:rsidRPr="00A07F29">
        <w:rPr>
          <w:rFonts w:ascii="Times New Roman" w:eastAsia="Calibri" w:hAnsi="Times New Roman" w:cs="Times New Roman"/>
          <w:sz w:val="24"/>
          <w:szCs w:val="24"/>
        </w:rPr>
        <w:t xml:space="preserve"> ar niedrājiem – ezeru un dīķu piekrastes apauguma joslā, bebru </w:t>
      </w:r>
      <w:proofErr w:type="spellStart"/>
      <w:r w:rsidRPr="00A07F29">
        <w:rPr>
          <w:rFonts w:ascii="Times New Roman" w:eastAsia="Calibri" w:hAnsi="Times New Roman" w:cs="Times New Roman"/>
          <w:sz w:val="24"/>
          <w:szCs w:val="24"/>
        </w:rPr>
        <w:t>uzpludinājumos</w:t>
      </w:r>
      <w:proofErr w:type="spellEnd"/>
      <w:r w:rsidRPr="00A07F29">
        <w:rPr>
          <w:rFonts w:ascii="Times New Roman" w:eastAsia="Calibri" w:hAnsi="Times New Roman" w:cs="Times New Roman"/>
          <w:sz w:val="24"/>
          <w:szCs w:val="24"/>
        </w:rPr>
        <w:t>. Ligzdošanai piemēroti ilggadīgi, blīvi niedrāji (LOB</w:t>
      </w:r>
      <w:r w:rsidR="00F2117E">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1999)</w:t>
      </w:r>
      <w:r w:rsidR="00F2117E">
        <w:rPr>
          <w:rFonts w:ascii="Times New Roman" w:eastAsia="Calibri" w:hAnsi="Times New Roman" w:cs="Times New Roman"/>
          <w:sz w:val="24"/>
          <w:szCs w:val="24"/>
        </w:rPr>
        <w:t>.</w:t>
      </w:r>
    </w:p>
    <w:p w14:paraId="762D0EEC" w14:textId="4FAF359E"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AAA “Augšdaugava” 2014.</w:t>
      </w:r>
      <w:r w:rsidR="00EC4A30">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gada ligzdošanas sezonas laikā </w:t>
      </w:r>
      <w:r w:rsidR="00EC4A30">
        <w:rPr>
          <w:rFonts w:ascii="Times New Roman" w:eastAsia="Calibri" w:hAnsi="Times New Roman" w:cs="Times New Roman"/>
          <w:sz w:val="24"/>
          <w:szCs w:val="24"/>
        </w:rPr>
        <w:t>divi</w:t>
      </w:r>
      <w:r w:rsidRPr="00A07F29">
        <w:rPr>
          <w:rFonts w:ascii="Times New Roman" w:eastAsia="Calibri" w:hAnsi="Times New Roman" w:cs="Times New Roman"/>
          <w:sz w:val="24"/>
          <w:szCs w:val="24"/>
        </w:rPr>
        <w:t xml:space="preserve"> vokalizējoši tēviņi konstatēti Adamovas dīķī un vokalizējošs tēviņš niedrājā </w:t>
      </w:r>
      <w:proofErr w:type="spellStart"/>
      <w:r w:rsidRPr="00A07F29">
        <w:rPr>
          <w:rFonts w:ascii="Times New Roman" w:eastAsia="Calibri" w:hAnsi="Times New Roman" w:cs="Times New Roman"/>
          <w:sz w:val="24"/>
          <w:szCs w:val="24"/>
        </w:rPr>
        <w:t>Savišku</w:t>
      </w:r>
      <w:proofErr w:type="spellEnd"/>
      <w:r w:rsidRPr="00A07F29">
        <w:rPr>
          <w:rFonts w:ascii="Times New Roman" w:eastAsia="Calibri" w:hAnsi="Times New Roman" w:cs="Times New Roman"/>
          <w:sz w:val="24"/>
          <w:szCs w:val="24"/>
        </w:rPr>
        <w:t xml:space="preserve"> apkārtnē. Iepriekš veiktajās putnu izpētes uzskaitēs lielais dumpis konstatēts aizaugušā dīķī pie </w:t>
      </w:r>
      <w:proofErr w:type="spellStart"/>
      <w:r w:rsidRPr="00A07F29">
        <w:rPr>
          <w:rFonts w:ascii="Times New Roman" w:eastAsia="Calibri" w:hAnsi="Times New Roman" w:cs="Times New Roman"/>
          <w:sz w:val="24"/>
          <w:szCs w:val="24"/>
        </w:rPr>
        <w:t>Lipinščinas</w:t>
      </w:r>
      <w:proofErr w:type="spellEnd"/>
      <w:r w:rsidRPr="00A07F29">
        <w:rPr>
          <w:rFonts w:ascii="Times New Roman" w:eastAsia="Calibri" w:hAnsi="Times New Roman" w:cs="Times New Roman"/>
          <w:sz w:val="24"/>
          <w:szCs w:val="24"/>
        </w:rPr>
        <w:t xml:space="preserve"> (A. Avotiņš; 06.06.2009.), kā arī šajā apkārtnē konstatēts 2004.</w:t>
      </w:r>
      <w:r w:rsidR="004E502D">
        <w:rPr>
          <w:rFonts w:ascii="Times New Roman" w:eastAsia="Calibri" w:hAnsi="Times New Roman" w:cs="Times New Roman"/>
          <w:sz w:val="24"/>
          <w:szCs w:val="24"/>
        </w:rPr>
        <w:t> gada 27. maijā</w:t>
      </w:r>
      <w:r w:rsidRPr="00A07F29">
        <w:rPr>
          <w:rFonts w:ascii="Times New Roman" w:eastAsia="Calibri" w:hAnsi="Times New Roman" w:cs="Times New Roman"/>
          <w:sz w:val="24"/>
          <w:szCs w:val="24"/>
        </w:rPr>
        <w:t xml:space="preserve"> (P. Strautiņš, Latvijas ligzdojošo putnu atlanta dati). 2017. un 2019.</w:t>
      </w:r>
      <w:r w:rsidR="00BB22ED">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gadā vokalizējošs tēviņš konstatēts ar niedrēm aizaugušā mitrāja </w:t>
      </w:r>
      <w:proofErr w:type="spellStart"/>
      <w:r w:rsidRPr="00A07F29">
        <w:rPr>
          <w:rFonts w:ascii="Times New Roman" w:eastAsia="Calibri" w:hAnsi="Times New Roman" w:cs="Times New Roman"/>
          <w:sz w:val="24"/>
          <w:szCs w:val="24"/>
        </w:rPr>
        <w:t>Simuklišku</w:t>
      </w:r>
      <w:proofErr w:type="spellEnd"/>
      <w:r w:rsidRPr="00A07F29">
        <w:rPr>
          <w:rFonts w:ascii="Times New Roman" w:eastAsia="Calibri" w:hAnsi="Times New Roman" w:cs="Times New Roman"/>
          <w:sz w:val="24"/>
          <w:szCs w:val="24"/>
        </w:rPr>
        <w:t xml:space="preserve"> apkārtnē (J. </w:t>
      </w:r>
      <w:proofErr w:type="spellStart"/>
      <w:r w:rsidRPr="00A07F29">
        <w:rPr>
          <w:rFonts w:ascii="Times New Roman" w:eastAsia="Calibri" w:hAnsi="Times New Roman" w:cs="Times New Roman"/>
          <w:sz w:val="24"/>
          <w:szCs w:val="24"/>
        </w:rPr>
        <w:t>Vīgulis</w:t>
      </w:r>
      <w:proofErr w:type="spellEnd"/>
      <w:r w:rsidRPr="00A07F29">
        <w:rPr>
          <w:rFonts w:ascii="Times New Roman" w:eastAsia="Calibri" w:hAnsi="Times New Roman" w:cs="Times New Roman"/>
          <w:sz w:val="24"/>
          <w:szCs w:val="24"/>
        </w:rPr>
        <w:t xml:space="preserve">). Vokalizējošs tēviņš konstatēts dīķī </w:t>
      </w:r>
      <w:proofErr w:type="spellStart"/>
      <w:r w:rsidRPr="00A07F29">
        <w:rPr>
          <w:rFonts w:ascii="Times New Roman" w:eastAsia="Calibri" w:hAnsi="Times New Roman" w:cs="Times New Roman"/>
          <w:sz w:val="24"/>
          <w:szCs w:val="24"/>
        </w:rPr>
        <w:t>Indricas</w:t>
      </w:r>
      <w:proofErr w:type="spellEnd"/>
      <w:r w:rsidRPr="00A07F29">
        <w:rPr>
          <w:rFonts w:ascii="Times New Roman" w:eastAsia="Calibri" w:hAnsi="Times New Roman" w:cs="Times New Roman"/>
          <w:sz w:val="24"/>
          <w:szCs w:val="24"/>
        </w:rPr>
        <w:t xml:space="preserve"> apkārtnē 2020.</w:t>
      </w:r>
      <w:r w:rsidR="00BB22ED">
        <w:rPr>
          <w:rFonts w:ascii="Times New Roman" w:eastAsia="Calibri" w:hAnsi="Times New Roman" w:cs="Times New Roman"/>
          <w:sz w:val="24"/>
          <w:szCs w:val="24"/>
        </w:rPr>
        <w:t> gada 28. martā</w:t>
      </w:r>
      <w:r w:rsidRPr="00A07F29">
        <w:rPr>
          <w:rFonts w:ascii="Times New Roman" w:eastAsia="Calibri" w:hAnsi="Times New Roman" w:cs="Times New Roman"/>
          <w:sz w:val="24"/>
          <w:szCs w:val="24"/>
        </w:rPr>
        <w:t xml:space="preserve"> (G. </w:t>
      </w:r>
      <w:proofErr w:type="spellStart"/>
      <w:r w:rsidRPr="00A07F29">
        <w:rPr>
          <w:rFonts w:ascii="Times New Roman" w:eastAsia="Calibri" w:hAnsi="Times New Roman" w:cs="Times New Roman"/>
          <w:sz w:val="24"/>
          <w:szCs w:val="24"/>
        </w:rPr>
        <w:t>Grandāns</w:t>
      </w:r>
      <w:proofErr w:type="spellEnd"/>
      <w:r w:rsidRPr="00A07F29">
        <w:rPr>
          <w:rFonts w:ascii="Times New Roman" w:eastAsia="Calibri" w:hAnsi="Times New Roman" w:cs="Times New Roman"/>
          <w:sz w:val="24"/>
          <w:szCs w:val="24"/>
        </w:rPr>
        <w:t xml:space="preserve">) un mitrājā Vecsalienas pagasta </w:t>
      </w:r>
      <w:proofErr w:type="spellStart"/>
      <w:r w:rsidRPr="00A07F29">
        <w:rPr>
          <w:rFonts w:ascii="Times New Roman" w:eastAsia="Calibri" w:hAnsi="Times New Roman" w:cs="Times New Roman"/>
          <w:sz w:val="24"/>
          <w:szCs w:val="24"/>
        </w:rPr>
        <w:t>Keirānu</w:t>
      </w:r>
      <w:proofErr w:type="spellEnd"/>
      <w:r w:rsidRPr="00A07F29">
        <w:rPr>
          <w:rFonts w:ascii="Times New Roman" w:eastAsia="Calibri" w:hAnsi="Times New Roman" w:cs="Times New Roman"/>
          <w:sz w:val="24"/>
          <w:szCs w:val="24"/>
        </w:rPr>
        <w:t xml:space="preserve"> apkārtnē.</w:t>
      </w:r>
    </w:p>
    <w:p w14:paraId="39A26C38" w14:textId="591FE152"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Skaita vērtējums teritorijā: 3</w:t>
      </w:r>
      <w:r w:rsidR="00E83308">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E83308">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5 vokalizējoši tēviņi. Suga iekļauta </w:t>
      </w:r>
      <w:proofErr w:type="spellStart"/>
      <w:r w:rsidRPr="00A07F29">
        <w:rPr>
          <w:rFonts w:ascii="Times New Roman" w:eastAsia="Calibri" w:hAnsi="Times New Roman" w:cs="Times New Roman"/>
          <w:i/>
          <w:iCs/>
          <w:sz w:val="24"/>
          <w:szCs w:val="24"/>
        </w:rPr>
        <w:t>Natura</w:t>
      </w:r>
      <w:proofErr w:type="spellEnd"/>
      <w:r w:rsidRPr="00A07F29">
        <w:rPr>
          <w:rFonts w:ascii="Times New Roman" w:eastAsia="Calibri" w:hAnsi="Times New Roman" w:cs="Times New Roman"/>
          <w:i/>
          <w:iCs/>
          <w:sz w:val="24"/>
          <w:szCs w:val="24"/>
        </w:rPr>
        <w:t xml:space="preserve"> 2000</w:t>
      </w:r>
      <w:r w:rsidRPr="00A07F29">
        <w:rPr>
          <w:rFonts w:ascii="Times New Roman" w:eastAsia="Calibri" w:hAnsi="Times New Roman" w:cs="Times New Roman"/>
          <w:sz w:val="24"/>
          <w:szCs w:val="24"/>
        </w:rPr>
        <w:t xml:space="preserve"> </w:t>
      </w:r>
      <w:r w:rsidR="002C65DE">
        <w:rPr>
          <w:rFonts w:ascii="Times New Roman" w:eastAsia="Calibri" w:hAnsi="Times New Roman" w:cs="Times New Roman"/>
          <w:sz w:val="24"/>
          <w:szCs w:val="24"/>
        </w:rPr>
        <w:t>SDF</w:t>
      </w:r>
      <w:r w:rsidRPr="00A07F29">
        <w:rPr>
          <w:rFonts w:ascii="Times New Roman" w:eastAsia="Calibri" w:hAnsi="Times New Roman" w:cs="Times New Roman"/>
          <w:sz w:val="24"/>
          <w:szCs w:val="24"/>
        </w:rPr>
        <w:t>.</w:t>
      </w:r>
    </w:p>
    <w:p w14:paraId="271E7D2F" w14:textId="77777777" w:rsidR="009A4BC5" w:rsidRPr="00A07F29" w:rsidRDefault="009A4BC5" w:rsidP="007D1831">
      <w:pPr>
        <w:keepNext/>
        <w:tabs>
          <w:tab w:val="left" w:pos="6948"/>
        </w:tabs>
        <w:spacing w:before="240" w:after="120" w:line="240" w:lineRule="auto"/>
        <w:jc w:val="both"/>
        <w:rPr>
          <w:rFonts w:ascii="Times New Roman" w:eastAsia="Calibri" w:hAnsi="Times New Roman" w:cs="Times New Roman"/>
          <w:b/>
          <w:bCs/>
          <w:i/>
          <w:iCs/>
          <w:sz w:val="24"/>
          <w:szCs w:val="24"/>
        </w:rPr>
      </w:pPr>
      <w:r w:rsidRPr="00A07F29">
        <w:rPr>
          <w:rFonts w:ascii="Times New Roman" w:eastAsia="Calibri" w:hAnsi="Times New Roman" w:cs="Times New Roman"/>
          <w:b/>
          <w:bCs/>
          <w:sz w:val="24"/>
          <w:szCs w:val="24"/>
        </w:rPr>
        <w:t xml:space="preserve">Mazais dumpis </w:t>
      </w:r>
      <w:proofErr w:type="spellStart"/>
      <w:r w:rsidRPr="00A07F29">
        <w:rPr>
          <w:rFonts w:ascii="Times New Roman" w:eastAsia="Calibri" w:hAnsi="Times New Roman" w:cs="Times New Roman"/>
          <w:b/>
          <w:bCs/>
          <w:i/>
          <w:iCs/>
          <w:sz w:val="24"/>
          <w:szCs w:val="24"/>
        </w:rPr>
        <w:t>Ixobrychus</w:t>
      </w:r>
      <w:proofErr w:type="spellEnd"/>
      <w:r w:rsidRPr="00A07F29">
        <w:rPr>
          <w:rFonts w:ascii="Times New Roman" w:eastAsia="Calibri" w:hAnsi="Times New Roman" w:cs="Times New Roman"/>
          <w:b/>
          <w:bCs/>
          <w:i/>
          <w:iCs/>
          <w:sz w:val="24"/>
          <w:szCs w:val="24"/>
        </w:rPr>
        <w:t xml:space="preserve"> </w:t>
      </w:r>
      <w:proofErr w:type="spellStart"/>
      <w:r w:rsidRPr="00A07F29">
        <w:rPr>
          <w:rFonts w:ascii="Times New Roman" w:eastAsia="Calibri" w:hAnsi="Times New Roman" w:cs="Times New Roman"/>
          <w:b/>
          <w:bCs/>
          <w:i/>
          <w:iCs/>
          <w:sz w:val="24"/>
          <w:szCs w:val="24"/>
        </w:rPr>
        <w:t>minutus</w:t>
      </w:r>
      <w:proofErr w:type="spellEnd"/>
    </w:p>
    <w:p w14:paraId="57B52992" w14:textId="02110196" w:rsidR="009A4BC5" w:rsidRPr="00A07F29" w:rsidRDefault="009A4BC5" w:rsidP="009A4BC5">
      <w:pPr>
        <w:tabs>
          <w:tab w:val="left" w:pos="6948"/>
        </w:tabs>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Latvijā reti sastopama suga; populācijas lielums: 50</w:t>
      </w:r>
      <w:r w:rsidR="006C21DB">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6C21DB">
        <w:rPr>
          <w:rFonts w:ascii="Times New Roman" w:eastAsia="Calibri" w:hAnsi="Times New Roman" w:cs="Times New Roman"/>
          <w:sz w:val="24"/>
          <w:szCs w:val="24"/>
        </w:rPr>
        <w:t> </w:t>
      </w:r>
      <w:r w:rsidRPr="00A07F29">
        <w:rPr>
          <w:rFonts w:ascii="Times New Roman" w:eastAsia="Calibri" w:hAnsi="Times New Roman" w:cs="Times New Roman"/>
          <w:sz w:val="24"/>
          <w:szCs w:val="24"/>
        </w:rPr>
        <w:t>80 ligzdojoši pāri (</w:t>
      </w:r>
      <w:proofErr w:type="spellStart"/>
      <w:r w:rsidRPr="00A07F29">
        <w:rPr>
          <w:rFonts w:ascii="Times New Roman" w:eastAsia="Calibri" w:hAnsi="Times New Roman" w:cs="Times New Roman"/>
          <w:sz w:val="24"/>
          <w:szCs w:val="24"/>
        </w:rPr>
        <w:t>Birdlife</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International</w:t>
      </w:r>
      <w:proofErr w:type="spellEnd"/>
      <w:r w:rsidR="00F2117E">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2019). Ligzdo dažādās ūdenstilpēs; Latvija atrodas uz sugas izplatības areāla </w:t>
      </w:r>
      <w:r w:rsidR="002C65DE">
        <w:rPr>
          <w:rFonts w:ascii="Times New Roman" w:eastAsia="Calibri" w:hAnsi="Times New Roman" w:cs="Times New Roman"/>
          <w:sz w:val="24"/>
          <w:szCs w:val="24"/>
        </w:rPr>
        <w:t>Z</w:t>
      </w:r>
      <w:r w:rsidRPr="00A07F29">
        <w:rPr>
          <w:rFonts w:ascii="Times New Roman" w:eastAsia="Calibri" w:hAnsi="Times New Roman" w:cs="Times New Roman"/>
          <w:sz w:val="24"/>
          <w:szCs w:val="24"/>
        </w:rPr>
        <w:t xml:space="preserve"> robežas.</w:t>
      </w:r>
      <w:r w:rsidRPr="00A07F29">
        <w:rPr>
          <w:rFonts w:ascii="Times New Roman" w:eastAsia="Calibri" w:hAnsi="Times New Roman" w:cs="Times New Roman"/>
          <w:i/>
          <w:iCs/>
          <w:sz w:val="24"/>
          <w:szCs w:val="24"/>
        </w:rPr>
        <w:tab/>
      </w:r>
    </w:p>
    <w:p w14:paraId="5C08BA67" w14:textId="205402B2"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AAA “Augšdaugava” novērots vienu reizi, kad 2015.</w:t>
      </w:r>
      <w:r w:rsidR="00802FEE">
        <w:rPr>
          <w:rFonts w:ascii="Times New Roman" w:eastAsia="Calibri" w:hAnsi="Times New Roman" w:cs="Times New Roman"/>
          <w:sz w:val="24"/>
          <w:szCs w:val="24"/>
        </w:rPr>
        <w:t> gada 1. jūnijā</w:t>
      </w:r>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Lipinščinas</w:t>
      </w:r>
      <w:proofErr w:type="spellEnd"/>
      <w:r w:rsidRPr="00A07F29">
        <w:rPr>
          <w:rFonts w:ascii="Times New Roman" w:eastAsia="Calibri" w:hAnsi="Times New Roman" w:cs="Times New Roman"/>
          <w:sz w:val="24"/>
          <w:szCs w:val="24"/>
        </w:rPr>
        <w:t xml:space="preserve"> dīķos novēroti </w:t>
      </w:r>
      <w:r w:rsidR="00802FEE">
        <w:rPr>
          <w:rFonts w:ascii="Times New Roman" w:eastAsia="Calibri" w:hAnsi="Times New Roman" w:cs="Times New Roman"/>
          <w:sz w:val="24"/>
          <w:szCs w:val="24"/>
        </w:rPr>
        <w:t>divi</w:t>
      </w:r>
      <w:r w:rsidRPr="00A07F29">
        <w:rPr>
          <w:rFonts w:ascii="Times New Roman" w:eastAsia="Calibri" w:hAnsi="Times New Roman" w:cs="Times New Roman"/>
          <w:sz w:val="24"/>
          <w:szCs w:val="24"/>
        </w:rPr>
        <w:t xml:space="preserve"> mazā dumpja tēviņi un viena mātīte (A. </w:t>
      </w:r>
      <w:proofErr w:type="spellStart"/>
      <w:r w:rsidRPr="00A07F29">
        <w:rPr>
          <w:rFonts w:ascii="Times New Roman" w:eastAsia="Calibri" w:hAnsi="Times New Roman" w:cs="Times New Roman"/>
          <w:sz w:val="24"/>
          <w:szCs w:val="24"/>
        </w:rPr>
        <w:t>Erts</w:t>
      </w:r>
      <w:proofErr w:type="spellEnd"/>
      <w:r w:rsidRPr="00A07F29">
        <w:rPr>
          <w:rFonts w:ascii="Times New Roman" w:eastAsia="Calibri" w:hAnsi="Times New Roman" w:cs="Times New Roman"/>
          <w:sz w:val="24"/>
          <w:szCs w:val="24"/>
        </w:rPr>
        <w:t>). 2019.</w:t>
      </w:r>
      <w:r w:rsidR="00802FEE">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gadā </w:t>
      </w:r>
      <w:proofErr w:type="spellStart"/>
      <w:r w:rsidRPr="00A07F29">
        <w:rPr>
          <w:rFonts w:ascii="Times New Roman" w:eastAsia="Calibri" w:hAnsi="Times New Roman" w:cs="Times New Roman"/>
          <w:sz w:val="24"/>
          <w:szCs w:val="24"/>
        </w:rPr>
        <w:t>Lipinščinas</w:t>
      </w:r>
      <w:proofErr w:type="spellEnd"/>
      <w:r w:rsidRPr="00A07F29">
        <w:rPr>
          <w:rFonts w:ascii="Times New Roman" w:eastAsia="Calibri" w:hAnsi="Times New Roman" w:cs="Times New Roman"/>
          <w:sz w:val="24"/>
          <w:szCs w:val="24"/>
        </w:rPr>
        <w:t xml:space="preserve"> dīķi bija mazā dumpja ligzdošanai nepiemēroti, jo tajos veikta rekonstrukcija.</w:t>
      </w:r>
    </w:p>
    <w:p w14:paraId="55E3DEA1" w14:textId="48A1139E"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Skaita vērtējums teritorijā: 0</w:t>
      </w:r>
      <w:r w:rsidR="00B16053">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B16053">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1 pāris. Suga iekļauta </w:t>
      </w:r>
      <w:proofErr w:type="spellStart"/>
      <w:r w:rsidRPr="00A07F29">
        <w:rPr>
          <w:rFonts w:ascii="Times New Roman" w:eastAsia="Calibri" w:hAnsi="Times New Roman" w:cs="Times New Roman"/>
          <w:i/>
          <w:iCs/>
          <w:sz w:val="24"/>
          <w:szCs w:val="24"/>
        </w:rPr>
        <w:t>Natura</w:t>
      </w:r>
      <w:proofErr w:type="spellEnd"/>
      <w:r w:rsidRPr="00A07F29">
        <w:rPr>
          <w:rFonts w:ascii="Times New Roman" w:eastAsia="Calibri" w:hAnsi="Times New Roman" w:cs="Times New Roman"/>
          <w:i/>
          <w:iCs/>
          <w:sz w:val="24"/>
          <w:szCs w:val="24"/>
        </w:rPr>
        <w:t xml:space="preserve"> 2000</w:t>
      </w:r>
      <w:r w:rsidRPr="00A07F29">
        <w:rPr>
          <w:rFonts w:ascii="Times New Roman" w:eastAsia="Calibri" w:hAnsi="Times New Roman" w:cs="Times New Roman"/>
          <w:sz w:val="24"/>
          <w:szCs w:val="24"/>
        </w:rPr>
        <w:t xml:space="preserve"> </w:t>
      </w:r>
      <w:r w:rsidR="002C65DE">
        <w:rPr>
          <w:rFonts w:ascii="Times New Roman" w:eastAsia="Calibri" w:hAnsi="Times New Roman" w:cs="Times New Roman"/>
          <w:sz w:val="24"/>
          <w:szCs w:val="24"/>
        </w:rPr>
        <w:t>SDF</w:t>
      </w:r>
      <w:r w:rsidRPr="00A07F29">
        <w:rPr>
          <w:rFonts w:ascii="Times New Roman" w:eastAsia="Calibri" w:hAnsi="Times New Roman" w:cs="Times New Roman"/>
          <w:sz w:val="24"/>
          <w:szCs w:val="24"/>
        </w:rPr>
        <w:t>.</w:t>
      </w:r>
    </w:p>
    <w:p w14:paraId="21E09ED5" w14:textId="77777777" w:rsidR="009A4BC5" w:rsidRPr="00A07F29" w:rsidRDefault="009A4BC5" w:rsidP="00AB4E4A">
      <w:pPr>
        <w:keepNext/>
        <w:spacing w:before="240" w:after="120" w:line="240" w:lineRule="auto"/>
        <w:jc w:val="both"/>
        <w:rPr>
          <w:rFonts w:ascii="Times New Roman" w:eastAsia="Calibri" w:hAnsi="Times New Roman" w:cs="Times New Roman"/>
          <w:b/>
          <w:bCs/>
          <w:i/>
          <w:iCs/>
          <w:sz w:val="24"/>
          <w:szCs w:val="24"/>
        </w:rPr>
      </w:pPr>
      <w:r w:rsidRPr="00A07F29">
        <w:rPr>
          <w:rFonts w:ascii="Times New Roman" w:eastAsia="Calibri" w:hAnsi="Times New Roman" w:cs="Times New Roman"/>
          <w:b/>
          <w:bCs/>
          <w:sz w:val="24"/>
          <w:szCs w:val="24"/>
        </w:rPr>
        <w:t xml:space="preserve">Lielais baltais gārnis </w:t>
      </w:r>
      <w:proofErr w:type="spellStart"/>
      <w:r w:rsidRPr="00A07F29">
        <w:rPr>
          <w:rFonts w:ascii="Times New Roman" w:eastAsia="Calibri" w:hAnsi="Times New Roman" w:cs="Times New Roman"/>
          <w:b/>
          <w:bCs/>
          <w:i/>
          <w:iCs/>
          <w:sz w:val="24"/>
          <w:szCs w:val="24"/>
        </w:rPr>
        <w:t>Ardea</w:t>
      </w:r>
      <w:proofErr w:type="spellEnd"/>
      <w:r w:rsidRPr="00A07F29">
        <w:rPr>
          <w:rFonts w:ascii="Times New Roman" w:eastAsia="Calibri" w:hAnsi="Times New Roman" w:cs="Times New Roman"/>
          <w:b/>
          <w:bCs/>
          <w:i/>
          <w:iCs/>
          <w:sz w:val="24"/>
          <w:szCs w:val="24"/>
        </w:rPr>
        <w:t xml:space="preserve"> </w:t>
      </w:r>
      <w:proofErr w:type="spellStart"/>
      <w:r w:rsidRPr="00A07F29">
        <w:rPr>
          <w:rFonts w:ascii="Times New Roman" w:eastAsia="Calibri" w:hAnsi="Times New Roman" w:cs="Times New Roman"/>
          <w:b/>
          <w:bCs/>
          <w:i/>
          <w:iCs/>
          <w:sz w:val="24"/>
          <w:szCs w:val="24"/>
        </w:rPr>
        <w:t>alba</w:t>
      </w:r>
      <w:proofErr w:type="spellEnd"/>
    </w:p>
    <w:p w14:paraId="413A0AC6" w14:textId="61768C64"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Populācijas lielums Latvijā: 500</w:t>
      </w:r>
      <w:r w:rsidR="00B16053">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B16053">
        <w:rPr>
          <w:rFonts w:ascii="Times New Roman" w:eastAsia="Calibri" w:hAnsi="Times New Roman" w:cs="Times New Roman"/>
          <w:sz w:val="24"/>
          <w:szCs w:val="24"/>
        </w:rPr>
        <w:t> </w:t>
      </w:r>
      <w:r w:rsidRPr="00A07F29">
        <w:rPr>
          <w:rFonts w:ascii="Times New Roman" w:eastAsia="Calibri" w:hAnsi="Times New Roman" w:cs="Times New Roman"/>
          <w:sz w:val="24"/>
          <w:szCs w:val="24"/>
        </w:rPr>
        <w:t>600 ligzdojoši pāri (</w:t>
      </w:r>
      <w:proofErr w:type="spellStart"/>
      <w:r w:rsidRPr="00A07F29">
        <w:rPr>
          <w:rFonts w:ascii="Times New Roman" w:eastAsia="Calibri" w:hAnsi="Times New Roman" w:cs="Times New Roman"/>
          <w:sz w:val="24"/>
          <w:szCs w:val="24"/>
        </w:rPr>
        <w:t>Birdlife</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International</w:t>
      </w:r>
      <w:proofErr w:type="spellEnd"/>
      <w:r w:rsidR="00F2117E">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2019). Suga ir </w:t>
      </w:r>
      <w:proofErr w:type="spellStart"/>
      <w:r w:rsidRPr="00A07F29">
        <w:rPr>
          <w:rFonts w:ascii="Times New Roman" w:eastAsia="Calibri" w:hAnsi="Times New Roman" w:cs="Times New Roman"/>
          <w:sz w:val="24"/>
          <w:szCs w:val="24"/>
        </w:rPr>
        <w:t>jaunienācējs</w:t>
      </w:r>
      <w:proofErr w:type="spellEnd"/>
      <w:r w:rsidRPr="00A07F29">
        <w:rPr>
          <w:rFonts w:ascii="Times New Roman" w:eastAsia="Calibri" w:hAnsi="Times New Roman" w:cs="Times New Roman"/>
          <w:sz w:val="24"/>
          <w:szCs w:val="24"/>
        </w:rPr>
        <w:t xml:space="preserve"> pēdējās desmitgadēs Latvijas faunā. Lielākā skaitā tiek novērots pēc ligzdošanas laikā, kad piemērotās vietās (piemēram, nolaistos zivju dīķos) vienlaikus var koncentrēties pat vairāki simti īpatņu.</w:t>
      </w:r>
    </w:p>
    <w:p w14:paraId="6ABC2D03" w14:textId="06B24C9A"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Sastopams dažādās AAA “Augšdaugava” teritorijā esošās ūdenstilpēs pavasara un</w:t>
      </w:r>
      <w:r w:rsidR="00D65BBA" w:rsidRPr="00A07F29">
        <w:rPr>
          <w:rFonts w:ascii="Times New Roman" w:eastAsia="Calibri" w:hAnsi="Times New Roman" w:cs="Times New Roman"/>
          <w:sz w:val="24"/>
          <w:szCs w:val="24"/>
        </w:rPr>
        <w:t xml:space="preserve"> </w:t>
      </w:r>
      <w:r w:rsidRPr="00A07F29">
        <w:rPr>
          <w:rFonts w:ascii="Times New Roman" w:eastAsia="Calibri" w:hAnsi="Times New Roman" w:cs="Times New Roman"/>
          <w:sz w:val="24"/>
          <w:szCs w:val="24"/>
        </w:rPr>
        <w:t xml:space="preserve">rudens </w:t>
      </w:r>
      <w:proofErr w:type="spellStart"/>
      <w:r w:rsidRPr="00A07F29">
        <w:rPr>
          <w:rFonts w:ascii="Times New Roman" w:eastAsia="Calibri" w:hAnsi="Times New Roman" w:cs="Times New Roman"/>
          <w:sz w:val="24"/>
          <w:szCs w:val="24"/>
        </w:rPr>
        <w:t>caurceļošanas</w:t>
      </w:r>
      <w:proofErr w:type="spellEnd"/>
      <w:r w:rsidRPr="00A07F29">
        <w:rPr>
          <w:rFonts w:ascii="Times New Roman" w:eastAsia="Calibri" w:hAnsi="Times New Roman" w:cs="Times New Roman"/>
          <w:sz w:val="24"/>
          <w:szCs w:val="24"/>
        </w:rPr>
        <w:t xml:space="preserve"> laikā. 2020.</w:t>
      </w:r>
      <w:r w:rsidR="005F3B83">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gada janvārī </w:t>
      </w:r>
      <w:r w:rsidR="005F3B83">
        <w:rPr>
          <w:rFonts w:ascii="Times New Roman" w:eastAsia="Calibri" w:hAnsi="Times New Roman" w:cs="Times New Roman"/>
          <w:sz w:val="24"/>
          <w:szCs w:val="24"/>
        </w:rPr>
        <w:t>trīs</w:t>
      </w:r>
      <w:r w:rsidRPr="00A07F29">
        <w:rPr>
          <w:rFonts w:ascii="Times New Roman" w:eastAsia="Calibri" w:hAnsi="Times New Roman" w:cs="Times New Roman"/>
          <w:sz w:val="24"/>
          <w:szCs w:val="24"/>
        </w:rPr>
        <w:t xml:space="preserve"> ziemojoši īpatņi konstatēti Daugavas krācēs pie Krāslavas.</w:t>
      </w:r>
    </w:p>
    <w:p w14:paraId="5017B92F" w14:textId="513C56F3" w:rsidR="009A4BC5" w:rsidRPr="00A07F29" w:rsidRDefault="009A4BC5" w:rsidP="009A4BC5">
      <w:pPr>
        <w:tabs>
          <w:tab w:val="left" w:pos="8160"/>
        </w:tabs>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Suga iekļauta </w:t>
      </w:r>
      <w:proofErr w:type="spellStart"/>
      <w:r w:rsidRPr="00A07F29">
        <w:rPr>
          <w:rFonts w:ascii="Times New Roman" w:eastAsia="Calibri" w:hAnsi="Times New Roman" w:cs="Times New Roman"/>
          <w:i/>
          <w:iCs/>
          <w:sz w:val="24"/>
          <w:szCs w:val="24"/>
        </w:rPr>
        <w:t>Natura</w:t>
      </w:r>
      <w:proofErr w:type="spellEnd"/>
      <w:r w:rsidRPr="00A07F29">
        <w:rPr>
          <w:rFonts w:ascii="Times New Roman" w:eastAsia="Calibri" w:hAnsi="Times New Roman" w:cs="Times New Roman"/>
          <w:i/>
          <w:iCs/>
          <w:sz w:val="24"/>
          <w:szCs w:val="24"/>
        </w:rPr>
        <w:t xml:space="preserve"> 2000</w:t>
      </w:r>
      <w:r w:rsidRPr="00A07F29">
        <w:rPr>
          <w:rFonts w:ascii="Times New Roman" w:eastAsia="Calibri" w:hAnsi="Times New Roman" w:cs="Times New Roman"/>
          <w:sz w:val="24"/>
          <w:szCs w:val="24"/>
        </w:rPr>
        <w:t xml:space="preserve"> </w:t>
      </w:r>
      <w:r w:rsidR="002C65DE">
        <w:rPr>
          <w:rFonts w:ascii="Times New Roman" w:eastAsia="Calibri" w:hAnsi="Times New Roman" w:cs="Times New Roman"/>
          <w:sz w:val="24"/>
          <w:szCs w:val="24"/>
        </w:rPr>
        <w:t>SDF</w:t>
      </w:r>
      <w:r w:rsidRPr="00A07F29">
        <w:rPr>
          <w:rFonts w:ascii="Times New Roman" w:eastAsia="Calibri" w:hAnsi="Times New Roman" w:cs="Times New Roman"/>
          <w:sz w:val="24"/>
          <w:szCs w:val="24"/>
        </w:rPr>
        <w:t>.</w:t>
      </w:r>
      <w:r w:rsidRPr="00A07F29">
        <w:rPr>
          <w:rFonts w:ascii="Times New Roman" w:eastAsia="Calibri" w:hAnsi="Times New Roman" w:cs="Times New Roman"/>
          <w:sz w:val="24"/>
          <w:szCs w:val="24"/>
        </w:rPr>
        <w:tab/>
      </w:r>
    </w:p>
    <w:p w14:paraId="39282BE6" w14:textId="77777777" w:rsidR="009A4BC5" w:rsidRPr="00A07F29" w:rsidRDefault="009A4BC5" w:rsidP="00BD0373">
      <w:pPr>
        <w:spacing w:before="240" w:after="120" w:line="240" w:lineRule="auto"/>
        <w:jc w:val="both"/>
        <w:rPr>
          <w:rFonts w:ascii="Times New Roman" w:eastAsia="Calibri" w:hAnsi="Times New Roman" w:cs="Times New Roman"/>
          <w:b/>
          <w:bCs/>
          <w:i/>
          <w:iCs/>
          <w:sz w:val="24"/>
          <w:szCs w:val="24"/>
        </w:rPr>
      </w:pPr>
      <w:proofErr w:type="spellStart"/>
      <w:r w:rsidRPr="00A07F29">
        <w:rPr>
          <w:rFonts w:ascii="Times New Roman" w:eastAsia="Calibri" w:hAnsi="Times New Roman" w:cs="Times New Roman"/>
          <w:b/>
          <w:bCs/>
          <w:sz w:val="24"/>
          <w:szCs w:val="24"/>
        </w:rPr>
        <w:t>Zivjērglis</w:t>
      </w:r>
      <w:proofErr w:type="spellEnd"/>
      <w:r w:rsidRPr="00A07F29">
        <w:rPr>
          <w:rFonts w:ascii="Times New Roman" w:eastAsia="Calibri" w:hAnsi="Times New Roman" w:cs="Times New Roman"/>
          <w:b/>
          <w:bCs/>
          <w:sz w:val="24"/>
          <w:szCs w:val="24"/>
        </w:rPr>
        <w:t xml:space="preserve"> </w:t>
      </w:r>
      <w:proofErr w:type="spellStart"/>
      <w:r w:rsidRPr="00A07F29">
        <w:rPr>
          <w:rFonts w:ascii="Times New Roman" w:eastAsia="Calibri" w:hAnsi="Times New Roman" w:cs="Times New Roman"/>
          <w:b/>
          <w:bCs/>
          <w:i/>
          <w:iCs/>
          <w:sz w:val="24"/>
          <w:szCs w:val="24"/>
        </w:rPr>
        <w:t>Pandion</w:t>
      </w:r>
      <w:proofErr w:type="spellEnd"/>
      <w:r w:rsidRPr="00A07F29">
        <w:rPr>
          <w:rFonts w:ascii="Times New Roman" w:eastAsia="Calibri" w:hAnsi="Times New Roman" w:cs="Times New Roman"/>
          <w:b/>
          <w:bCs/>
          <w:i/>
          <w:iCs/>
          <w:sz w:val="24"/>
          <w:szCs w:val="24"/>
        </w:rPr>
        <w:t xml:space="preserve"> </w:t>
      </w:r>
      <w:proofErr w:type="spellStart"/>
      <w:r w:rsidRPr="00A07F29">
        <w:rPr>
          <w:rFonts w:ascii="Times New Roman" w:eastAsia="Calibri" w:hAnsi="Times New Roman" w:cs="Times New Roman"/>
          <w:b/>
          <w:bCs/>
          <w:i/>
          <w:iCs/>
          <w:sz w:val="24"/>
          <w:szCs w:val="24"/>
        </w:rPr>
        <w:t>haliaetus</w:t>
      </w:r>
      <w:proofErr w:type="spellEnd"/>
    </w:p>
    <w:p w14:paraId="5528D8A4" w14:textId="79ECDAB6"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Populācijas lielums Latvijā: 220</w:t>
      </w:r>
      <w:r w:rsidR="00911AD5">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911AD5">
        <w:rPr>
          <w:rFonts w:ascii="Times New Roman" w:eastAsia="Calibri" w:hAnsi="Times New Roman" w:cs="Times New Roman"/>
          <w:sz w:val="24"/>
          <w:szCs w:val="24"/>
        </w:rPr>
        <w:t> </w:t>
      </w:r>
      <w:r w:rsidRPr="00A07F29">
        <w:rPr>
          <w:rFonts w:ascii="Times New Roman" w:eastAsia="Calibri" w:hAnsi="Times New Roman" w:cs="Times New Roman"/>
          <w:sz w:val="24"/>
          <w:szCs w:val="24"/>
        </w:rPr>
        <w:t>240 ligzdojoši pāri (</w:t>
      </w:r>
      <w:proofErr w:type="spellStart"/>
      <w:r w:rsidRPr="00A07F29">
        <w:rPr>
          <w:rFonts w:ascii="Times New Roman" w:eastAsia="Calibri" w:hAnsi="Times New Roman" w:cs="Times New Roman"/>
          <w:sz w:val="24"/>
          <w:szCs w:val="24"/>
        </w:rPr>
        <w:t>Birdlife</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International</w:t>
      </w:r>
      <w:proofErr w:type="spellEnd"/>
      <w:r w:rsidR="00F2117E">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2019).</w:t>
      </w:r>
      <w:r w:rsidR="00D65BBA"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Zivjērgļa</w:t>
      </w:r>
      <w:proofErr w:type="spellEnd"/>
      <w:r w:rsidRPr="00A07F29">
        <w:rPr>
          <w:rFonts w:ascii="Times New Roman" w:eastAsia="Calibri" w:hAnsi="Times New Roman" w:cs="Times New Roman"/>
          <w:sz w:val="24"/>
          <w:szCs w:val="24"/>
        </w:rPr>
        <w:t xml:space="preserve"> galvenais ligzdošanas biotops Latvijā ir purvi, daudz ligzdu tiek atrastas arī ekoloģiskajos kokos izcirtumos vai jaunaudzēs, nokaltušu koku stumbeņos, bebru </w:t>
      </w:r>
      <w:proofErr w:type="spellStart"/>
      <w:r w:rsidRPr="00A07F29">
        <w:rPr>
          <w:rFonts w:ascii="Times New Roman" w:eastAsia="Calibri" w:hAnsi="Times New Roman" w:cs="Times New Roman"/>
          <w:sz w:val="24"/>
          <w:szCs w:val="24"/>
        </w:rPr>
        <w:t>uzpludinājumos</w:t>
      </w:r>
      <w:proofErr w:type="spellEnd"/>
      <w:r w:rsidRPr="00A07F29">
        <w:rPr>
          <w:rFonts w:ascii="Times New Roman" w:eastAsia="Calibri" w:hAnsi="Times New Roman" w:cs="Times New Roman"/>
          <w:sz w:val="24"/>
          <w:szCs w:val="24"/>
        </w:rPr>
        <w:t>. Ligzdošanas vieta no barošanās vietām zivīm bagātos ezeros, upēs vai zivju dīķos var atrasties vairāku kilometru attālumā (Kalvāns</w:t>
      </w:r>
      <w:r w:rsidR="00616037">
        <w:rPr>
          <w:rFonts w:ascii="Times New Roman" w:eastAsia="Calibri" w:hAnsi="Times New Roman" w:cs="Times New Roman"/>
          <w:sz w:val="24"/>
          <w:szCs w:val="24"/>
        </w:rPr>
        <w:t xml:space="preserve"> A.,</w:t>
      </w:r>
      <w:r w:rsidRPr="00A07F29">
        <w:rPr>
          <w:rFonts w:ascii="Times New Roman" w:eastAsia="Calibri" w:hAnsi="Times New Roman" w:cs="Times New Roman"/>
          <w:sz w:val="24"/>
          <w:szCs w:val="24"/>
        </w:rPr>
        <w:t xml:space="preserve"> 2008). </w:t>
      </w:r>
    </w:p>
    <w:p w14:paraId="1B0BED5D" w14:textId="280E6E9B" w:rsidR="009A4BC5" w:rsidRPr="00A07F29" w:rsidRDefault="00BD0373"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AAA “Augšdaugava” </w:t>
      </w:r>
      <w:r w:rsidR="009A4BC5" w:rsidRPr="00A07F29">
        <w:rPr>
          <w:rFonts w:ascii="Times New Roman" w:eastAsia="Calibri" w:hAnsi="Times New Roman" w:cs="Times New Roman"/>
          <w:sz w:val="24"/>
          <w:szCs w:val="24"/>
        </w:rPr>
        <w:t>2014.</w:t>
      </w:r>
      <w:r w:rsidR="00A3576D">
        <w:rPr>
          <w:rFonts w:ascii="Times New Roman" w:eastAsia="Calibri" w:hAnsi="Times New Roman" w:cs="Times New Roman"/>
          <w:sz w:val="24"/>
          <w:szCs w:val="24"/>
        </w:rPr>
        <w:t> </w:t>
      </w:r>
      <w:r w:rsidR="009A4BC5" w:rsidRPr="00A07F29">
        <w:rPr>
          <w:rFonts w:ascii="Times New Roman" w:eastAsia="Calibri" w:hAnsi="Times New Roman" w:cs="Times New Roman"/>
          <w:sz w:val="24"/>
          <w:szCs w:val="24"/>
        </w:rPr>
        <w:t xml:space="preserve">gadā tika atrasta apdzīvota </w:t>
      </w:r>
      <w:proofErr w:type="spellStart"/>
      <w:r w:rsidR="009A4BC5" w:rsidRPr="00A07F29">
        <w:rPr>
          <w:rFonts w:ascii="Times New Roman" w:eastAsia="Calibri" w:hAnsi="Times New Roman" w:cs="Times New Roman"/>
          <w:sz w:val="24"/>
          <w:szCs w:val="24"/>
        </w:rPr>
        <w:t>zivjērgļa</w:t>
      </w:r>
      <w:proofErr w:type="spellEnd"/>
      <w:r w:rsidR="009A4BC5" w:rsidRPr="00A07F29">
        <w:rPr>
          <w:rFonts w:ascii="Times New Roman" w:eastAsia="Calibri" w:hAnsi="Times New Roman" w:cs="Times New Roman"/>
          <w:sz w:val="24"/>
          <w:szCs w:val="24"/>
        </w:rPr>
        <w:t xml:space="preserve"> ligzda pārejas purva malā </w:t>
      </w:r>
      <w:proofErr w:type="spellStart"/>
      <w:r w:rsidR="009A4BC5" w:rsidRPr="00A07F29">
        <w:rPr>
          <w:rFonts w:ascii="Times New Roman" w:eastAsia="Calibri" w:hAnsi="Times New Roman" w:cs="Times New Roman"/>
          <w:sz w:val="24"/>
          <w:szCs w:val="24"/>
        </w:rPr>
        <w:t>Šilovkas</w:t>
      </w:r>
      <w:proofErr w:type="spellEnd"/>
      <w:r w:rsidR="009A4BC5" w:rsidRPr="00A07F29">
        <w:rPr>
          <w:rFonts w:ascii="Times New Roman" w:eastAsia="Calibri" w:hAnsi="Times New Roman" w:cs="Times New Roman"/>
          <w:sz w:val="24"/>
          <w:szCs w:val="24"/>
        </w:rPr>
        <w:t xml:space="preserve"> mežu masīvā, tikai aptuveni 100</w:t>
      </w:r>
      <w:r w:rsidR="009769A2">
        <w:rPr>
          <w:rFonts w:ascii="Times New Roman" w:eastAsia="Calibri" w:hAnsi="Times New Roman" w:cs="Times New Roman"/>
          <w:sz w:val="24"/>
          <w:szCs w:val="24"/>
        </w:rPr>
        <w:t> </w:t>
      </w:r>
      <w:r w:rsidR="009A4BC5" w:rsidRPr="00A07F29">
        <w:rPr>
          <w:rFonts w:ascii="Times New Roman" w:eastAsia="Calibri" w:hAnsi="Times New Roman" w:cs="Times New Roman"/>
          <w:sz w:val="24"/>
          <w:szCs w:val="24"/>
        </w:rPr>
        <w:t xml:space="preserve">m no Baltkrievijas robežas. Zināmās dabiskās ligzdas apkārtnē 2014. gada rudenī tika uzbūvēta mākslīgā ligzdošanas platforma, kurā </w:t>
      </w:r>
      <w:proofErr w:type="spellStart"/>
      <w:r w:rsidR="009A4BC5" w:rsidRPr="00A07F29">
        <w:rPr>
          <w:rFonts w:ascii="Times New Roman" w:eastAsia="Calibri" w:hAnsi="Times New Roman" w:cs="Times New Roman"/>
          <w:sz w:val="24"/>
          <w:szCs w:val="24"/>
        </w:rPr>
        <w:t>zivjērglis</w:t>
      </w:r>
      <w:proofErr w:type="spellEnd"/>
      <w:r w:rsidR="009A4BC5" w:rsidRPr="00A07F29">
        <w:rPr>
          <w:rFonts w:ascii="Times New Roman" w:eastAsia="Calibri" w:hAnsi="Times New Roman" w:cs="Times New Roman"/>
          <w:sz w:val="24"/>
          <w:szCs w:val="24"/>
        </w:rPr>
        <w:t xml:space="preserve"> sekmīgi ligzdo. 2019.</w:t>
      </w:r>
      <w:r w:rsidR="009769A2">
        <w:rPr>
          <w:rFonts w:ascii="Times New Roman" w:eastAsia="Calibri" w:hAnsi="Times New Roman" w:cs="Times New Roman"/>
          <w:sz w:val="24"/>
          <w:szCs w:val="24"/>
        </w:rPr>
        <w:t> </w:t>
      </w:r>
      <w:r w:rsidR="009A4BC5" w:rsidRPr="00A07F29">
        <w:rPr>
          <w:rFonts w:ascii="Times New Roman" w:eastAsia="Calibri" w:hAnsi="Times New Roman" w:cs="Times New Roman"/>
          <w:sz w:val="24"/>
          <w:szCs w:val="24"/>
        </w:rPr>
        <w:t xml:space="preserve">gadā šajā ligzdā konstatēti </w:t>
      </w:r>
      <w:r w:rsidR="009769A2">
        <w:rPr>
          <w:rFonts w:ascii="Times New Roman" w:eastAsia="Calibri" w:hAnsi="Times New Roman" w:cs="Times New Roman"/>
          <w:sz w:val="24"/>
          <w:szCs w:val="24"/>
        </w:rPr>
        <w:t>trīs</w:t>
      </w:r>
      <w:r w:rsidR="009A4BC5" w:rsidRPr="00A07F29">
        <w:rPr>
          <w:rFonts w:ascii="Times New Roman" w:eastAsia="Calibri" w:hAnsi="Times New Roman" w:cs="Times New Roman"/>
          <w:sz w:val="24"/>
          <w:szCs w:val="24"/>
        </w:rPr>
        <w:t xml:space="preserve"> mazuļi (A. Kalvāns).</w:t>
      </w:r>
    </w:p>
    <w:p w14:paraId="339DBDD6" w14:textId="7BAB16DC"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2019.</w:t>
      </w:r>
      <w:r w:rsidR="009769A2">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gadā atrasta jauna, iepriekš nezināma </w:t>
      </w:r>
      <w:proofErr w:type="spellStart"/>
      <w:r w:rsidRPr="00A07F29">
        <w:rPr>
          <w:rFonts w:ascii="Times New Roman" w:eastAsia="Calibri" w:hAnsi="Times New Roman" w:cs="Times New Roman"/>
          <w:sz w:val="24"/>
          <w:szCs w:val="24"/>
        </w:rPr>
        <w:t>zivjērgļa</w:t>
      </w:r>
      <w:proofErr w:type="spellEnd"/>
      <w:r w:rsidRPr="00A07F29">
        <w:rPr>
          <w:rFonts w:ascii="Times New Roman" w:eastAsia="Calibri" w:hAnsi="Times New Roman" w:cs="Times New Roman"/>
          <w:sz w:val="24"/>
          <w:szCs w:val="24"/>
        </w:rPr>
        <w:t xml:space="preserve"> ligzda </w:t>
      </w:r>
      <w:proofErr w:type="spellStart"/>
      <w:r w:rsidRPr="00A07F29">
        <w:rPr>
          <w:rFonts w:ascii="Times New Roman" w:eastAsia="Calibri" w:hAnsi="Times New Roman" w:cs="Times New Roman"/>
          <w:sz w:val="24"/>
          <w:szCs w:val="24"/>
        </w:rPr>
        <w:t>Šilovkas</w:t>
      </w:r>
      <w:proofErr w:type="spellEnd"/>
      <w:r w:rsidRPr="00A07F29">
        <w:rPr>
          <w:rFonts w:ascii="Times New Roman" w:eastAsia="Calibri" w:hAnsi="Times New Roman" w:cs="Times New Roman"/>
          <w:sz w:val="24"/>
          <w:szCs w:val="24"/>
        </w:rPr>
        <w:t xml:space="preserve"> ezera apkārtnē, 322</w:t>
      </w:r>
      <w:r w:rsidR="00BD0373" w:rsidRPr="00A07F29">
        <w:rPr>
          <w:rFonts w:ascii="Times New Roman" w:eastAsia="Calibri" w:hAnsi="Times New Roman" w:cs="Times New Roman"/>
          <w:sz w:val="24"/>
          <w:szCs w:val="24"/>
        </w:rPr>
        <w:t>. </w:t>
      </w:r>
      <w:r w:rsidRPr="00A07F29">
        <w:rPr>
          <w:rFonts w:ascii="Times New Roman" w:eastAsia="Calibri" w:hAnsi="Times New Roman" w:cs="Times New Roman"/>
          <w:sz w:val="24"/>
          <w:szCs w:val="24"/>
        </w:rPr>
        <w:t>kvartāla 13.</w:t>
      </w:r>
      <w:r w:rsidR="009769A2">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nogabalā, ekoloģiskajā kokā, kur sekmīgi izvests </w:t>
      </w:r>
      <w:r w:rsidR="00EE1EF0">
        <w:rPr>
          <w:rFonts w:ascii="Times New Roman" w:eastAsia="Calibri" w:hAnsi="Times New Roman" w:cs="Times New Roman"/>
          <w:sz w:val="24"/>
          <w:szCs w:val="24"/>
        </w:rPr>
        <w:t>viens</w:t>
      </w:r>
      <w:r w:rsidRPr="00A07F29">
        <w:rPr>
          <w:rFonts w:ascii="Times New Roman" w:eastAsia="Calibri" w:hAnsi="Times New Roman" w:cs="Times New Roman"/>
          <w:sz w:val="24"/>
          <w:szCs w:val="24"/>
        </w:rPr>
        <w:t xml:space="preserve"> mazulis. Attālums starp abām sekmīgajām ligzdām ir aptuveni 2</w:t>
      </w:r>
      <w:r w:rsidR="00EE1EF0">
        <w:rPr>
          <w:rFonts w:ascii="Times New Roman" w:eastAsia="Calibri" w:hAnsi="Times New Roman" w:cs="Times New Roman"/>
          <w:sz w:val="24"/>
          <w:szCs w:val="24"/>
        </w:rPr>
        <w:t> </w:t>
      </w:r>
      <w:r w:rsidRPr="00A07F29">
        <w:rPr>
          <w:rFonts w:ascii="Times New Roman" w:eastAsia="Calibri" w:hAnsi="Times New Roman" w:cs="Times New Roman"/>
          <w:sz w:val="24"/>
          <w:szCs w:val="24"/>
        </w:rPr>
        <w:t>km. Ligzda apdzīvota arī 2020.</w:t>
      </w:r>
      <w:r w:rsidR="00EE1EF0">
        <w:rPr>
          <w:rFonts w:ascii="Times New Roman" w:eastAsia="Calibri" w:hAnsi="Times New Roman" w:cs="Times New Roman"/>
          <w:sz w:val="24"/>
          <w:szCs w:val="24"/>
        </w:rPr>
        <w:t> </w:t>
      </w:r>
      <w:r w:rsidRPr="00A07F29">
        <w:rPr>
          <w:rFonts w:ascii="Times New Roman" w:eastAsia="Calibri" w:hAnsi="Times New Roman" w:cs="Times New Roman"/>
          <w:sz w:val="24"/>
          <w:szCs w:val="24"/>
        </w:rPr>
        <w:t>gadā.</w:t>
      </w:r>
    </w:p>
    <w:p w14:paraId="4588854C" w14:textId="4E194083"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lastRenderedPageBreak/>
        <w:t>2020.</w:t>
      </w:r>
      <w:r w:rsidR="00EE1EF0">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gadā </w:t>
      </w:r>
      <w:proofErr w:type="spellStart"/>
      <w:r w:rsidRPr="00A07F29">
        <w:rPr>
          <w:rFonts w:ascii="Times New Roman" w:eastAsia="Calibri" w:hAnsi="Times New Roman" w:cs="Times New Roman"/>
          <w:sz w:val="24"/>
          <w:szCs w:val="24"/>
        </w:rPr>
        <w:t>Šilovkas</w:t>
      </w:r>
      <w:proofErr w:type="spellEnd"/>
      <w:r w:rsidRPr="00A07F29">
        <w:rPr>
          <w:rFonts w:ascii="Times New Roman" w:eastAsia="Calibri" w:hAnsi="Times New Roman" w:cs="Times New Roman"/>
          <w:sz w:val="24"/>
          <w:szCs w:val="24"/>
        </w:rPr>
        <w:t xml:space="preserve"> ezera apkārtnē, 309.</w:t>
      </w:r>
      <w:r w:rsidR="00EE1EF0">
        <w:rPr>
          <w:rFonts w:ascii="Times New Roman" w:eastAsia="Calibri" w:hAnsi="Times New Roman" w:cs="Times New Roman"/>
          <w:sz w:val="24"/>
          <w:szCs w:val="24"/>
        </w:rPr>
        <w:t> </w:t>
      </w:r>
      <w:r w:rsidRPr="00A07F29">
        <w:rPr>
          <w:rFonts w:ascii="Times New Roman" w:eastAsia="Calibri" w:hAnsi="Times New Roman" w:cs="Times New Roman"/>
          <w:sz w:val="24"/>
          <w:szCs w:val="24"/>
        </w:rPr>
        <w:t>kvartāla 15.</w:t>
      </w:r>
      <w:r w:rsidR="00EE1EF0">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nogabalā atrasta vēl viena jau vairākus gadus izmantota apdzīvota </w:t>
      </w:r>
      <w:proofErr w:type="spellStart"/>
      <w:r w:rsidRPr="00A07F29">
        <w:rPr>
          <w:rFonts w:ascii="Times New Roman" w:eastAsia="Calibri" w:hAnsi="Times New Roman" w:cs="Times New Roman"/>
          <w:sz w:val="24"/>
          <w:szCs w:val="24"/>
        </w:rPr>
        <w:t>zivjērgļa</w:t>
      </w:r>
      <w:proofErr w:type="spellEnd"/>
      <w:r w:rsidRPr="00A07F29">
        <w:rPr>
          <w:rFonts w:ascii="Times New Roman" w:eastAsia="Calibri" w:hAnsi="Times New Roman" w:cs="Times New Roman"/>
          <w:sz w:val="24"/>
          <w:szCs w:val="24"/>
        </w:rPr>
        <w:t xml:space="preserve"> ligzda. Dabiskās ligzdas tiešā tuvumā A. Kalvāns uzbūvējis mākslīgo ligzdošanas platformu.</w:t>
      </w:r>
    </w:p>
    <w:p w14:paraId="216E842F" w14:textId="592291C8" w:rsidR="009A4BC5" w:rsidRPr="00A07F29" w:rsidRDefault="009A4BC5" w:rsidP="009A4BC5">
      <w:pPr>
        <w:spacing w:after="120" w:line="240" w:lineRule="auto"/>
        <w:ind w:firstLine="851"/>
        <w:jc w:val="both"/>
        <w:rPr>
          <w:rFonts w:ascii="Times New Roman" w:eastAsia="Calibri" w:hAnsi="Times New Roman" w:cs="Times New Roman"/>
          <w:sz w:val="24"/>
          <w:szCs w:val="24"/>
        </w:rPr>
      </w:pPr>
      <w:proofErr w:type="spellStart"/>
      <w:r w:rsidRPr="00A07F29">
        <w:rPr>
          <w:rFonts w:ascii="Times New Roman" w:eastAsia="Calibri" w:hAnsi="Times New Roman" w:cs="Times New Roman"/>
          <w:sz w:val="24"/>
          <w:szCs w:val="24"/>
        </w:rPr>
        <w:t>Zivjērgļa</w:t>
      </w:r>
      <w:proofErr w:type="spellEnd"/>
      <w:r w:rsidRPr="00A07F29">
        <w:rPr>
          <w:rFonts w:ascii="Times New Roman" w:eastAsia="Calibri" w:hAnsi="Times New Roman" w:cs="Times New Roman"/>
          <w:sz w:val="24"/>
          <w:szCs w:val="24"/>
        </w:rPr>
        <w:t xml:space="preserve"> ligzda zināma arī </w:t>
      </w:r>
      <w:proofErr w:type="spellStart"/>
      <w:r w:rsidRPr="00A07F29">
        <w:rPr>
          <w:rFonts w:ascii="Times New Roman" w:eastAsia="Calibri" w:hAnsi="Times New Roman" w:cs="Times New Roman"/>
          <w:sz w:val="24"/>
          <w:szCs w:val="24"/>
        </w:rPr>
        <w:t>Daugavsargu</w:t>
      </w:r>
      <w:proofErr w:type="spellEnd"/>
      <w:r w:rsidRPr="00A07F29">
        <w:rPr>
          <w:rFonts w:ascii="Times New Roman" w:eastAsia="Calibri" w:hAnsi="Times New Roman" w:cs="Times New Roman"/>
          <w:sz w:val="24"/>
          <w:szCs w:val="24"/>
        </w:rPr>
        <w:t xml:space="preserve"> lokā; 275.</w:t>
      </w:r>
      <w:r w:rsidR="000A2A56">
        <w:rPr>
          <w:rFonts w:ascii="Times New Roman" w:eastAsia="Calibri" w:hAnsi="Times New Roman" w:cs="Times New Roman"/>
          <w:sz w:val="24"/>
          <w:szCs w:val="24"/>
        </w:rPr>
        <w:t> </w:t>
      </w:r>
      <w:r w:rsidRPr="00A07F29">
        <w:rPr>
          <w:rFonts w:ascii="Times New Roman" w:eastAsia="Calibri" w:hAnsi="Times New Roman" w:cs="Times New Roman"/>
          <w:sz w:val="24"/>
          <w:szCs w:val="24"/>
        </w:rPr>
        <w:t>kvartāla 13.</w:t>
      </w:r>
      <w:r w:rsidR="000A2A56">
        <w:rPr>
          <w:rFonts w:ascii="Times New Roman" w:eastAsia="Calibri" w:hAnsi="Times New Roman" w:cs="Times New Roman"/>
          <w:sz w:val="24"/>
          <w:szCs w:val="24"/>
        </w:rPr>
        <w:t> </w:t>
      </w:r>
      <w:r w:rsidRPr="00A07F29">
        <w:rPr>
          <w:rFonts w:ascii="Times New Roman" w:eastAsia="Calibri" w:hAnsi="Times New Roman" w:cs="Times New Roman"/>
          <w:sz w:val="24"/>
          <w:szCs w:val="24"/>
        </w:rPr>
        <w:t>nogabalā (2019.</w:t>
      </w:r>
      <w:r w:rsidR="000A2A56">
        <w:rPr>
          <w:rFonts w:ascii="Times New Roman" w:eastAsia="Calibri" w:hAnsi="Times New Roman" w:cs="Times New Roman"/>
          <w:sz w:val="24"/>
          <w:szCs w:val="24"/>
        </w:rPr>
        <w:t> </w:t>
      </w:r>
      <w:r w:rsidRPr="00A07F29">
        <w:rPr>
          <w:rFonts w:ascii="Times New Roman" w:eastAsia="Calibri" w:hAnsi="Times New Roman" w:cs="Times New Roman"/>
          <w:sz w:val="24"/>
          <w:szCs w:val="24"/>
        </w:rPr>
        <w:t>gadā ligzda apdzīvota, bet nesekmīga).</w:t>
      </w:r>
    </w:p>
    <w:p w14:paraId="27D1D52B" w14:textId="4EB1B8D3"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Iespējams </w:t>
      </w:r>
      <w:proofErr w:type="spellStart"/>
      <w:r w:rsidRPr="00A07F29">
        <w:rPr>
          <w:rFonts w:ascii="Times New Roman" w:eastAsia="Calibri" w:hAnsi="Times New Roman" w:cs="Times New Roman"/>
          <w:sz w:val="24"/>
          <w:szCs w:val="24"/>
        </w:rPr>
        <w:t>zivjērgļa</w:t>
      </w:r>
      <w:proofErr w:type="spellEnd"/>
      <w:r w:rsidRPr="00A07F29">
        <w:rPr>
          <w:rFonts w:ascii="Times New Roman" w:eastAsia="Calibri" w:hAnsi="Times New Roman" w:cs="Times New Roman"/>
          <w:sz w:val="24"/>
          <w:szCs w:val="24"/>
        </w:rPr>
        <w:t xml:space="preserve"> ligzdošanas iecirknis ir </w:t>
      </w:r>
      <w:proofErr w:type="spellStart"/>
      <w:r w:rsidRPr="00A07F29">
        <w:rPr>
          <w:rFonts w:ascii="Times New Roman" w:eastAsia="Calibri" w:hAnsi="Times New Roman" w:cs="Times New Roman"/>
          <w:sz w:val="24"/>
          <w:szCs w:val="24"/>
        </w:rPr>
        <w:t>Elernes</w:t>
      </w:r>
      <w:proofErr w:type="spellEnd"/>
      <w:r w:rsidRPr="00A07F29">
        <w:rPr>
          <w:rFonts w:ascii="Times New Roman" w:eastAsia="Calibri" w:hAnsi="Times New Roman" w:cs="Times New Roman"/>
          <w:sz w:val="24"/>
          <w:szCs w:val="24"/>
        </w:rPr>
        <w:t xml:space="preserve"> loka mežu masīvā, kur I. </w:t>
      </w:r>
      <w:proofErr w:type="spellStart"/>
      <w:r w:rsidRPr="00A07F29">
        <w:rPr>
          <w:rFonts w:ascii="Times New Roman" w:eastAsia="Calibri" w:hAnsi="Times New Roman" w:cs="Times New Roman"/>
          <w:sz w:val="24"/>
          <w:szCs w:val="24"/>
        </w:rPr>
        <w:t>Mārdega</w:t>
      </w:r>
      <w:proofErr w:type="spellEnd"/>
      <w:r w:rsidRPr="00A07F29">
        <w:rPr>
          <w:rFonts w:ascii="Times New Roman" w:eastAsia="Calibri" w:hAnsi="Times New Roman" w:cs="Times New Roman"/>
          <w:sz w:val="24"/>
          <w:szCs w:val="24"/>
        </w:rPr>
        <w:t xml:space="preserve"> 2016.</w:t>
      </w:r>
      <w:r w:rsidR="000A2A56">
        <w:rPr>
          <w:rFonts w:ascii="Times New Roman" w:eastAsia="Calibri" w:hAnsi="Times New Roman" w:cs="Times New Roman"/>
          <w:sz w:val="24"/>
          <w:szCs w:val="24"/>
        </w:rPr>
        <w:t> gada 12. jūlijā</w:t>
      </w:r>
      <w:r w:rsidRPr="00A07F29">
        <w:rPr>
          <w:rFonts w:ascii="Times New Roman" w:eastAsia="Calibri" w:hAnsi="Times New Roman" w:cs="Times New Roman"/>
          <w:sz w:val="24"/>
          <w:szCs w:val="24"/>
        </w:rPr>
        <w:t xml:space="preserve"> novērojusi pieaugušo īpatni, kas nes barību jaunajiem putniem. Apsekojot </w:t>
      </w:r>
      <w:proofErr w:type="spellStart"/>
      <w:r w:rsidRPr="00A07F29">
        <w:rPr>
          <w:rFonts w:ascii="Times New Roman" w:eastAsia="Calibri" w:hAnsi="Times New Roman" w:cs="Times New Roman"/>
          <w:sz w:val="24"/>
          <w:szCs w:val="24"/>
        </w:rPr>
        <w:t>Elernes</w:t>
      </w:r>
      <w:proofErr w:type="spellEnd"/>
      <w:r w:rsidRPr="00A07F29">
        <w:rPr>
          <w:rFonts w:ascii="Times New Roman" w:eastAsia="Calibri" w:hAnsi="Times New Roman" w:cs="Times New Roman"/>
          <w:sz w:val="24"/>
          <w:szCs w:val="24"/>
        </w:rPr>
        <w:t xml:space="preserve"> loka mežu masīvu 2019. un 2020.</w:t>
      </w:r>
      <w:r w:rsidR="00A665FD">
        <w:rPr>
          <w:rFonts w:ascii="Times New Roman" w:eastAsia="Calibri" w:hAnsi="Times New Roman" w:cs="Times New Roman"/>
          <w:sz w:val="24"/>
          <w:szCs w:val="24"/>
        </w:rPr>
        <w:t> </w:t>
      </w:r>
      <w:r w:rsidRPr="00A07F29">
        <w:rPr>
          <w:rFonts w:ascii="Times New Roman" w:eastAsia="Calibri" w:hAnsi="Times New Roman" w:cs="Times New Roman"/>
          <w:sz w:val="24"/>
          <w:szCs w:val="24"/>
        </w:rPr>
        <w:t>gadā</w:t>
      </w:r>
      <w:r w:rsidR="00A665FD">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zivjērglis</w:t>
      </w:r>
      <w:proofErr w:type="spellEnd"/>
      <w:r w:rsidRPr="00A07F29">
        <w:rPr>
          <w:rFonts w:ascii="Times New Roman" w:eastAsia="Calibri" w:hAnsi="Times New Roman" w:cs="Times New Roman"/>
          <w:sz w:val="24"/>
          <w:szCs w:val="24"/>
        </w:rPr>
        <w:t xml:space="preserve"> nav novērots.</w:t>
      </w:r>
    </w:p>
    <w:p w14:paraId="37EBA126" w14:textId="77389B23"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Viens īpatnis ar svaigi noķertu zivi nagos novērots 2019.</w:t>
      </w:r>
      <w:r w:rsidR="00A665FD">
        <w:rPr>
          <w:rFonts w:ascii="Times New Roman" w:eastAsia="Calibri" w:hAnsi="Times New Roman" w:cs="Times New Roman"/>
          <w:sz w:val="24"/>
          <w:szCs w:val="24"/>
        </w:rPr>
        <w:t> gada 14. jūlijā</w:t>
      </w:r>
      <w:r w:rsidRPr="00A07F29">
        <w:rPr>
          <w:rFonts w:ascii="Times New Roman" w:eastAsia="Calibri" w:hAnsi="Times New Roman" w:cs="Times New Roman"/>
          <w:sz w:val="24"/>
          <w:szCs w:val="24"/>
        </w:rPr>
        <w:t xml:space="preserve"> virs Kaplavas pagasta Plāteru dīķiem (G. </w:t>
      </w:r>
      <w:proofErr w:type="spellStart"/>
      <w:r w:rsidRPr="00A07F29">
        <w:rPr>
          <w:rFonts w:ascii="Times New Roman" w:eastAsia="Calibri" w:hAnsi="Times New Roman" w:cs="Times New Roman"/>
          <w:sz w:val="24"/>
          <w:szCs w:val="24"/>
        </w:rPr>
        <w:t>Grandāns</w:t>
      </w:r>
      <w:proofErr w:type="spellEnd"/>
      <w:r w:rsidRPr="00A07F29">
        <w:rPr>
          <w:rFonts w:ascii="Times New Roman" w:eastAsia="Calibri" w:hAnsi="Times New Roman" w:cs="Times New Roman"/>
          <w:sz w:val="24"/>
          <w:szCs w:val="24"/>
        </w:rPr>
        <w:t xml:space="preserve">); nav konstatēts putna aizlidošanas virziens (liels augstums, </w:t>
      </w:r>
      <w:proofErr w:type="spellStart"/>
      <w:r w:rsidRPr="00A07F29">
        <w:rPr>
          <w:rFonts w:ascii="Times New Roman" w:eastAsia="Calibri" w:hAnsi="Times New Roman" w:cs="Times New Roman"/>
          <w:sz w:val="24"/>
          <w:szCs w:val="24"/>
        </w:rPr>
        <w:t>pretsaule</w:t>
      </w:r>
      <w:proofErr w:type="spellEnd"/>
      <w:r w:rsidRPr="00A07F29">
        <w:rPr>
          <w:rFonts w:ascii="Times New Roman" w:eastAsia="Calibri" w:hAnsi="Times New Roman" w:cs="Times New Roman"/>
          <w:sz w:val="24"/>
          <w:szCs w:val="24"/>
        </w:rPr>
        <w:t>).</w:t>
      </w:r>
    </w:p>
    <w:p w14:paraId="2AB39E09" w14:textId="5A467D3F"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Skaita vērtējums teritorijā: 4</w:t>
      </w:r>
      <w:r w:rsidR="00A600D1">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A600D1">
        <w:rPr>
          <w:rFonts w:ascii="Times New Roman" w:eastAsia="Calibri" w:hAnsi="Times New Roman" w:cs="Times New Roman"/>
          <w:sz w:val="24"/>
          <w:szCs w:val="24"/>
        </w:rPr>
        <w:t> </w:t>
      </w:r>
      <w:r w:rsidRPr="00A07F29">
        <w:rPr>
          <w:rFonts w:ascii="Times New Roman" w:eastAsia="Calibri" w:hAnsi="Times New Roman" w:cs="Times New Roman"/>
          <w:sz w:val="24"/>
          <w:szCs w:val="24"/>
        </w:rPr>
        <w:t>5 ligzdojoši pāri. Teritorijā, kopš pēdējā skaita vērtējuma</w:t>
      </w:r>
      <w:r w:rsidR="00995CCE">
        <w:rPr>
          <w:rFonts w:ascii="Times New Roman" w:eastAsia="Calibri" w:hAnsi="Times New Roman" w:cs="Times New Roman"/>
          <w:sz w:val="24"/>
          <w:szCs w:val="24"/>
        </w:rPr>
        <w:t xml:space="preserve"> 20</w:t>
      </w:r>
      <w:r w:rsidR="00E44F9B">
        <w:rPr>
          <w:rFonts w:ascii="Times New Roman" w:eastAsia="Calibri" w:hAnsi="Times New Roman" w:cs="Times New Roman"/>
          <w:sz w:val="24"/>
          <w:szCs w:val="24"/>
        </w:rPr>
        <w:t>1</w:t>
      </w:r>
      <w:r w:rsidR="00995CCE">
        <w:rPr>
          <w:rFonts w:ascii="Times New Roman" w:eastAsia="Calibri" w:hAnsi="Times New Roman" w:cs="Times New Roman"/>
          <w:sz w:val="24"/>
          <w:szCs w:val="24"/>
        </w:rPr>
        <w:t>4</w:t>
      </w:r>
      <w:r w:rsidR="00E44F9B">
        <w:rPr>
          <w:rFonts w:ascii="Times New Roman" w:eastAsia="Calibri" w:hAnsi="Times New Roman" w:cs="Times New Roman"/>
          <w:sz w:val="24"/>
          <w:szCs w:val="24"/>
        </w:rPr>
        <w:t>. gadā, kad</w:t>
      </w:r>
      <w:r w:rsidRPr="00A07F29">
        <w:rPr>
          <w:rFonts w:ascii="Times New Roman" w:eastAsia="Calibri" w:hAnsi="Times New Roman" w:cs="Times New Roman"/>
          <w:sz w:val="24"/>
          <w:szCs w:val="24"/>
        </w:rPr>
        <w:t xml:space="preserve"> </w:t>
      </w:r>
      <w:r w:rsidR="00E44F9B">
        <w:rPr>
          <w:rFonts w:ascii="Times New Roman" w:eastAsia="Calibri" w:hAnsi="Times New Roman" w:cs="Times New Roman"/>
          <w:sz w:val="24"/>
          <w:szCs w:val="24"/>
        </w:rPr>
        <w:t xml:space="preserve">reģistrēts </w:t>
      </w:r>
      <w:r w:rsidR="00A600D1">
        <w:rPr>
          <w:rFonts w:ascii="Times New Roman" w:eastAsia="Calibri" w:hAnsi="Times New Roman" w:cs="Times New Roman"/>
          <w:sz w:val="24"/>
          <w:szCs w:val="24"/>
        </w:rPr>
        <w:t>viens</w:t>
      </w:r>
      <w:r w:rsidRPr="00A07F29">
        <w:rPr>
          <w:rFonts w:ascii="Times New Roman" w:eastAsia="Calibri" w:hAnsi="Times New Roman" w:cs="Times New Roman"/>
          <w:sz w:val="24"/>
          <w:szCs w:val="24"/>
        </w:rPr>
        <w:t xml:space="preserve"> ligzdojošs pāris</w:t>
      </w:r>
      <w:r w:rsidR="00E44F9B">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ir noticis skaita pieaugums.</w:t>
      </w:r>
      <w:r w:rsidR="007D1831" w:rsidRPr="00A07F29">
        <w:rPr>
          <w:rFonts w:ascii="Times New Roman" w:eastAsia="Calibri" w:hAnsi="Times New Roman" w:cs="Times New Roman"/>
          <w:sz w:val="24"/>
          <w:szCs w:val="24"/>
        </w:rPr>
        <w:t xml:space="preserve"> </w:t>
      </w:r>
      <w:r w:rsidRPr="00A07F29">
        <w:rPr>
          <w:rFonts w:ascii="Times New Roman" w:eastAsia="Calibri" w:hAnsi="Times New Roman" w:cs="Times New Roman"/>
          <w:sz w:val="24"/>
          <w:szCs w:val="24"/>
        </w:rPr>
        <w:t xml:space="preserve">Sugai </w:t>
      </w:r>
      <w:proofErr w:type="spellStart"/>
      <w:r w:rsidRPr="00A07F29">
        <w:rPr>
          <w:rFonts w:ascii="Times New Roman" w:eastAsia="Calibri" w:hAnsi="Times New Roman" w:cs="Times New Roman"/>
          <w:i/>
          <w:iCs/>
          <w:sz w:val="24"/>
          <w:szCs w:val="24"/>
        </w:rPr>
        <w:t>Natura</w:t>
      </w:r>
      <w:proofErr w:type="spellEnd"/>
      <w:r w:rsidRPr="00A07F29">
        <w:rPr>
          <w:rFonts w:ascii="Times New Roman" w:eastAsia="Calibri" w:hAnsi="Times New Roman" w:cs="Times New Roman"/>
          <w:i/>
          <w:iCs/>
          <w:sz w:val="24"/>
          <w:szCs w:val="24"/>
        </w:rPr>
        <w:t xml:space="preserve"> 2000</w:t>
      </w:r>
      <w:r w:rsidRPr="00A07F29">
        <w:rPr>
          <w:rFonts w:ascii="Times New Roman" w:eastAsia="Calibri" w:hAnsi="Times New Roman" w:cs="Times New Roman"/>
          <w:sz w:val="24"/>
          <w:szCs w:val="24"/>
        </w:rPr>
        <w:t xml:space="preserve"> </w:t>
      </w:r>
      <w:r w:rsidR="002C65DE">
        <w:rPr>
          <w:rFonts w:ascii="Times New Roman" w:eastAsia="Calibri" w:hAnsi="Times New Roman" w:cs="Times New Roman"/>
          <w:sz w:val="24"/>
          <w:szCs w:val="24"/>
        </w:rPr>
        <w:t>SDF</w:t>
      </w:r>
      <w:r w:rsidRPr="00A07F29">
        <w:rPr>
          <w:rFonts w:ascii="Times New Roman" w:eastAsia="Calibri" w:hAnsi="Times New Roman" w:cs="Times New Roman"/>
          <w:sz w:val="24"/>
          <w:szCs w:val="24"/>
        </w:rPr>
        <w:t xml:space="preserve"> precizēts minimālais un maksimālais populācijas lielums.</w:t>
      </w:r>
    </w:p>
    <w:p w14:paraId="47C27B49" w14:textId="77777777" w:rsidR="009A4BC5" w:rsidRPr="00A07F29" w:rsidRDefault="009A4BC5" w:rsidP="007D1831">
      <w:pPr>
        <w:spacing w:before="240" w:after="120" w:line="240" w:lineRule="auto"/>
        <w:jc w:val="both"/>
        <w:rPr>
          <w:rFonts w:ascii="Times New Roman" w:eastAsia="Calibri" w:hAnsi="Times New Roman" w:cs="Times New Roman"/>
          <w:b/>
          <w:bCs/>
          <w:i/>
          <w:iCs/>
          <w:sz w:val="24"/>
          <w:szCs w:val="24"/>
        </w:rPr>
      </w:pPr>
      <w:r w:rsidRPr="00A07F29">
        <w:rPr>
          <w:rFonts w:ascii="Times New Roman" w:eastAsia="Calibri" w:hAnsi="Times New Roman" w:cs="Times New Roman"/>
          <w:b/>
          <w:bCs/>
          <w:sz w:val="24"/>
          <w:szCs w:val="24"/>
        </w:rPr>
        <w:t xml:space="preserve">Ķīķis </w:t>
      </w:r>
      <w:proofErr w:type="spellStart"/>
      <w:r w:rsidRPr="00A07F29">
        <w:rPr>
          <w:rFonts w:ascii="Times New Roman" w:eastAsia="Calibri" w:hAnsi="Times New Roman" w:cs="Times New Roman"/>
          <w:b/>
          <w:bCs/>
          <w:i/>
          <w:iCs/>
          <w:sz w:val="24"/>
          <w:szCs w:val="24"/>
        </w:rPr>
        <w:t>Pernis</w:t>
      </w:r>
      <w:proofErr w:type="spellEnd"/>
      <w:r w:rsidRPr="00A07F29">
        <w:rPr>
          <w:rFonts w:ascii="Times New Roman" w:eastAsia="Calibri" w:hAnsi="Times New Roman" w:cs="Times New Roman"/>
          <w:b/>
          <w:bCs/>
          <w:i/>
          <w:iCs/>
          <w:sz w:val="24"/>
          <w:szCs w:val="24"/>
        </w:rPr>
        <w:t xml:space="preserve"> </w:t>
      </w:r>
      <w:proofErr w:type="spellStart"/>
      <w:r w:rsidRPr="00A07F29">
        <w:rPr>
          <w:rFonts w:ascii="Times New Roman" w:eastAsia="Calibri" w:hAnsi="Times New Roman" w:cs="Times New Roman"/>
          <w:b/>
          <w:bCs/>
          <w:i/>
          <w:iCs/>
          <w:sz w:val="24"/>
          <w:szCs w:val="24"/>
        </w:rPr>
        <w:t>apivorus</w:t>
      </w:r>
      <w:proofErr w:type="spellEnd"/>
    </w:p>
    <w:p w14:paraId="2F13CF60" w14:textId="331E84F9"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Populācijas lielums Latvijā: 1063</w:t>
      </w:r>
      <w:r w:rsidR="00A600D1">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A600D1">
        <w:rPr>
          <w:rFonts w:ascii="Times New Roman" w:eastAsia="Calibri" w:hAnsi="Times New Roman" w:cs="Times New Roman"/>
          <w:sz w:val="24"/>
          <w:szCs w:val="24"/>
        </w:rPr>
        <w:t> </w:t>
      </w:r>
      <w:r w:rsidRPr="00A07F29">
        <w:rPr>
          <w:rFonts w:ascii="Times New Roman" w:eastAsia="Calibri" w:hAnsi="Times New Roman" w:cs="Times New Roman"/>
          <w:sz w:val="24"/>
          <w:szCs w:val="24"/>
        </w:rPr>
        <w:t>7203 pāri (</w:t>
      </w:r>
      <w:proofErr w:type="spellStart"/>
      <w:r w:rsidRPr="00A07F29">
        <w:rPr>
          <w:rFonts w:ascii="Times New Roman" w:eastAsia="Calibri" w:hAnsi="Times New Roman" w:cs="Times New Roman"/>
          <w:sz w:val="24"/>
          <w:szCs w:val="24"/>
        </w:rPr>
        <w:t>Birdlife</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International</w:t>
      </w:r>
      <w:proofErr w:type="spellEnd"/>
      <w:r w:rsidR="00F2117E">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2019).</w:t>
      </w:r>
      <w:r w:rsidR="007D1831" w:rsidRPr="00A07F29">
        <w:rPr>
          <w:rFonts w:ascii="Times New Roman" w:eastAsia="Calibri" w:hAnsi="Times New Roman" w:cs="Times New Roman"/>
          <w:sz w:val="24"/>
          <w:szCs w:val="24"/>
        </w:rPr>
        <w:t xml:space="preserve"> </w:t>
      </w:r>
      <w:r w:rsidRPr="00A07F29">
        <w:rPr>
          <w:rFonts w:ascii="Times New Roman" w:eastAsia="Calibri" w:hAnsi="Times New Roman" w:cs="Times New Roman"/>
          <w:sz w:val="24"/>
          <w:szCs w:val="24"/>
        </w:rPr>
        <w:t>Apdzīvo vidēja vecuma un vecus mežus klajumu tuvumā. Visai plastisks pret ligzdošanas vietu, katru gadu būvē jaunu ligzdu (LOB</w:t>
      </w:r>
      <w:r w:rsidR="00F2117E">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2002). Samērā grūti konstatējams, jo ligzdošanu uzsāk ļoti vēlu, laikā, kad citi dienas plēsīgie putni ligzdošanu ir beiguši.</w:t>
      </w:r>
    </w:p>
    <w:p w14:paraId="26076873" w14:textId="599D427B" w:rsidR="009A4BC5" w:rsidRPr="00A07F29" w:rsidRDefault="007D1831" w:rsidP="009A4BC5">
      <w:pPr>
        <w:tabs>
          <w:tab w:val="left" w:pos="2070"/>
        </w:tabs>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AAA “Augšdaugava” </w:t>
      </w:r>
      <w:r w:rsidR="009A4BC5" w:rsidRPr="00A07F29">
        <w:rPr>
          <w:rFonts w:ascii="Times New Roman" w:eastAsia="Calibri" w:hAnsi="Times New Roman" w:cs="Times New Roman"/>
          <w:sz w:val="24"/>
          <w:szCs w:val="24"/>
        </w:rPr>
        <w:t>DA plāna izstrādes ietvaros 2019.</w:t>
      </w:r>
      <w:r w:rsidR="00266DCD">
        <w:rPr>
          <w:rFonts w:ascii="Times New Roman" w:eastAsia="Calibri" w:hAnsi="Times New Roman" w:cs="Times New Roman"/>
          <w:sz w:val="24"/>
          <w:szCs w:val="24"/>
        </w:rPr>
        <w:t> </w:t>
      </w:r>
      <w:r w:rsidR="009A4BC5" w:rsidRPr="00A07F29">
        <w:rPr>
          <w:rFonts w:ascii="Times New Roman" w:eastAsia="Calibri" w:hAnsi="Times New Roman" w:cs="Times New Roman"/>
          <w:sz w:val="24"/>
          <w:szCs w:val="24"/>
        </w:rPr>
        <w:t xml:space="preserve">gadā konstatēts </w:t>
      </w:r>
      <w:r w:rsidR="00266DCD">
        <w:rPr>
          <w:rFonts w:ascii="Times New Roman" w:eastAsia="Calibri" w:hAnsi="Times New Roman" w:cs="Times New Roman"/>
          <w:sz w:val="24"/>
          <w:szCs w:val="24"/>
        </w:rPr>
        <w:t>astoņ</w:t>
      </w:r>
      <w:r w:rsidR="00B04C44">
        <w:rPr>
          <w:rFonts w:ascii="Times New Roman" w:eastAsia="Calibri" w:hAnsi="Times New Roman" w:cs="Times New Roman"/>
          <w:sz w:val="24"/>
          <w:szCs w:val="24"/>
        </w:rPr>
        <w:t>ās</w:t>
      </w:r>
      <w:r w:rsidR="009A4BC5" w:rsidRPr="00A07F29">
        <w:rPr>
          <w:rFonts w:ascii="Times New Roman" w:eastAsia="Calibri" w:hAnsi="Times New Roman" w:cs="Times New Roman"/>
          <w:sz w:val="24"/>
          <w:szCs w:val="24"/>
        </w:rPr>
        <w:t xml:space="preserve"> atradnēs. 2008</w:t>
      </w:r>
      <w:r w:rsidRPr="00A07F29">
        <w:rPr>
          <w:rFonts w:ascii="Times New Roman" w:eastAsia="Calibri" w:hAnsi="Times New Roman" w:cs="Times New Roman"/>
          <w:sz w:val="24"/>
          <w:szCs w:val="24"/>
        </w:rPr>
        <w:t>. </w:t>
      </w:r>
      <w:r w:rsidR="009A4BC5" w:rsidRPr="00A07F29">
        <w:rPr>
          <w:rFonts w:ascii="Times New Roman" w:eastAsia="Calibri" w:hAnsi="Times New Roman" w:cs="Times New Roman"/>
          <w:sz w:val="24"/>
          <w:szCs w:val="24"/>
        </w:rPr>
        <w:t xml:space="preserve">gadā DA plāna izstrādes laikā DP “Daugavas loki” teritorijā konstatēts </w:t>
      </w:r>
      <w:r w:rsidR="00B04C44">
        <w:rPr>
          <w:rFonts w:ascii="Times New Roman" w:eastAsia="Calibri" w:hAnsi="Times New Roman" w:cs="Times New Roman"/>
          <w:sz w:val="24"/>
          <w:szCs w:val="24"/>
        </w:rPr>
        <w:t>piecās</w:t>
      </w:r>
      <w:r w:rsidR="009A4BC5" w:rsidRPr="00A07F29">
        <w:rPr>
          <w:rFonts w:ascii="Times New Roman" w:eastAsia="Calibri" w:hAnsi="Times New Roman" w:cs="Times New Roman"/>
          <w:sz w:val="24"/>
          <w:szCs w:val="24"/>
        </w:rPr>
        <w:t xml:space="preserve"> atradnēs.</w:t>
      </w:r>
    </w:p>
    <w:p w14:paraId="53003F2A" w14:textId="3C234B73"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Skaita vērtējums teritorijā: 15</w:t>
      </w:r>
      <w:r w:rsidR="00B04C44">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B04C44">
        <w:rPr>
          <w:rFonts w:ascii="Times New Roman" w:eastAsia="Calibri" w:hAnsi="Times New Roman" w:cs="Times New Roman"/>
          <w:sz w:val="24"/>
          <w:szCs w:val="24"/>
        </w:rPr>
        <w:t> </w:t>
      </w:r>
      <w:r w:rsidRPr="00A07F29">
        <w:rPr>
          <w:rFonts w:ascii="Times New Roman" w:eastAsia="Calibri" w:hAnsi="Times New Roman" w:cs="Times New Roman"/>
          <w:sz w:val="24"/>
          <w:szCs w:val="24"/>
        </w:rPr>
        <w:t>20 ligzdojoši pāri.</w:t>
      </w:r>
      <w:r w:rsidR="007D1831" w:rsidRPr="00A07F29">
        <w:rPr>
          <w:rFonts w:ascii="Times New Roman" w:eastAsia="Calibri" w:hAnsi="Times New Roman" w:cs="Times New Roman"/>
          <w:sz w:val="24"/>
          <w:szCs w:val="24"/>
        </w:rPr>
        <w:t xml:space="preserve"> </w:t>
      </w:r>
      <w:r w:rsidRPr="00A07F29">
        <w:rPr>
          <w:rFonts w:ascii="Times New Roman" w:eastAsia="Calibri" w:hAnsi="Times New Roman" w:cs="Times New Roman"/>
          <w:sz w:val="24"/>
          <w:szCs w:val="24"/>
        </w:rPr>
        <w:t xml:space="preserve">Sugai </w:t>
      </w:r>
      <w:proofErr w:type="spellStart"/>
      <w:r w:rsidRPr="00A07F29">
        <w:rPr>
          <w:rFonts w:ascii="Times New Roman" w:eastAsia="Calibri" w:hAnsi="Times New Roman" w:cs="Times New Roman"/>
          <w:i/>
          <w:iCs/>
          <w:sz w:val="24"/>
          <w:szCs w:val="24"/>
        </w:rPr>
        <w:t>Natura</w:t>
      </w:r>
      <w:proofErr w:type="spellEnd"/>
      <w:r w:rsidRPr="00A07F29">
        <w:rPr>
          <w:rFonts w:ascii="Times New Roman" w:eastAsia="Calibri" w:hAnsi="Times New Roman" w:cs="Times New Roman"/>
          <w:i/>
          <w:iCs/>
          <w:sz w:val="24"/>
          <w:szCs w:val="24"/>
        </w:rPr>
        <w:t xml:space="preserve"> 2000</w:t>
      </w:r>
      <w:r w:rsidRPr="00A07F29">
        <w:rPr>
          <w:rFonts w:ascii="Times New Roman" w:eastAsia="Calibri" w:hAnsi="Times New Roman" w:cs="Times New Roman"/>
          <w:sz w:val="24"/>
          <w:szCs w:val="24"/>
        </w:rPr>
        <w:t xml:space="preserve"> </w:t>
      </w:r>
      <w:r w:rsidR="002C65DE">
        <w:rPr>
          <w:rFonts w:ascii="Times New Roman" w:eastAsia="Calibri" w:hAnsi="Times New Roman" w:cs="Times New Roman"/>
          <w:sz w:val="24"/>
          <w:szCs w:val="24"/>
        </w:rPr>
        <w:t>SDF</w:t>
      </w:r>
      <w:r w:rsidRPr="00A07F29">
        <w:rPr>
          <w:rFonts w:ascii="Times New Roman" w:eastAsia="Calibri" w:hAnsi="Times New Roman" w:cs="Times New Roman"/>
          <w:sz w:val="24"/>
          <w:szCs w:val="24"/>
        </w:rPr>
        <w:t xml:space="preserve"> precizēts minimālais un maksimālais populācijas lielums.</w:t>
      </w:r>
    </w:p>
    <w:p w14:paraId="4B83FE81" w14:textId="77777777" w:rsidR="009A4BC5" w:rsidRPr="00A07F29" w:rsidRDefault="009A4BC5" w:rsidP="00AB4E4A">
      <w:pPr>
        <w:keepNext/>
        <w:spacing w:before="240" w:after="120" w:line="240" w:lineRule="auto"/>
        <w:jc w:val="both"/>
        <w:rPr>
          <w:rFonts w:ascii="Times New Roman" w:eastAsia="Calibri" w:hAnsi="Times New Roman" w:cs="Times New Roman"/>
          <w:b/>
          <w:bCs/>
          <w:sz w:val="24"/>
          <w:szCs w:val="24"/>
        </w:rPr>
      </w:pPr>
      <w:r w:rsidRPr="00A07F29">
        <w:rPr>
          <w:rFonts w:ascii="Times New Roman" w:eastAsia="Calibri" w:hAnsi="Times New Roman" w:cs="Times New Roman"/>
          <w:b/>
          <w:bCs/>
          <w:sz w:val="24"/>
          <w:szCs w:val="24"/>
        </w:rPr>
        <w:t xml:space="preserve">Melnā klija </w:t>
      </w:r>
      <w:proofErr w:type="spellStart"/>
      <w:r w:rsidRPr="00A07F29">
        <w:rPr>
          <w:rFonts w:ascii="Times New Roman" w:eastAsia="Calibri" w:hAnsi="Times New Roman" w:cs="Times New Roman"/>
          <w:b/>
          <w:bCs/>
          <w:i/>
          <w:sz w:val="24"/>
          <w:szCs w:val="24"/>
        </w:rPr>
        <w:t>Milvus</w:t>
      </w:r>
      <w:proofErr w:type="spellEnd"/>
      <w:r w:rsidRPr="00A07F29">
        <w:rPr>
          <w:rFonts w:ascii="Times New Roman" w:eastAsia="Calibri" w:hAnsi="Times New Roman" w:cs="Times New Roman"/>
          <w:b/>
          <w:bCs/>
          <w:i/>
          <w:sz w:val="24"/>
          <w:szCs w:val="24"/>
        </w:rPr>
        <w:t xml:space="preserve"> </w:t>
      </w:r>
      <w:proofErr w:type="spellStart"/>
      <w:r w:rsidRPr="00A07F29">
        <w:rPr>
          <w:rFonts w:ascii="Times New Roman" w:eastAsia="Calibri" w:hAnsi="Times New Roman" w:cs="Times New Roman"/>
          <w:b/>
          <w:bCs/>
          <w:i/>
          <w:sz w:val="24"/>
          <w:szCs w:val="24"/>
        </w:rPr>
        <w:t>migrans</w:t>
      </w:r>
      <w:proofErr w:type="spellEnd"/>
    </w:p>
    <w:p w14:paraId="21C7894F" w14:textId="77B69928"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Populācijas lielums Latvijā: 49</w:t>
      </w:r>
      <w:r w:rsidR="00B04C44">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B04C44">
        <w:rPr>
          <w:rFonts w:ascii="Times New Roman" w:eastAsia="Calibri" w:hAnsi="Times New Roman" w:cs="Times New Roman"/>
          <w:sz w:val="24"/>
          <w:szCs w:val="24"/>
        </w:rPr>
        <w:t> </w:t>
      </w:r>
      <w:r w:rsidRPr="00A07F29">
        <w:rPr>
          <w:rFonts w:ascii="Times New Roman" w:eastAsia="Calibri" w:hAnsi="Times New Roman" w:cs="Times New Roman"/>
          <w:sz w:val="24"/>
          <w:szCs w:val="24"/>
        </w:rPr>
        <w:t>74 ligzdojoši pāri (</w:t>
      </w:r>
      <w:proofErr w:type="spellStart"/>
      <w:r w:rsidRPr="00A07F29">
        <w:rPr>
          <w:rFonts w:ascii="Times New Roman" w:eastAsia="Calibri" w:hAnsi="Times New Roman" w:cs="Times New Roman"/>
          <w:sz w:val="24"/>
          <w:szCs w:val="24"/>
        </w:rPr>
        <w:t>Birdlife</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International</w:t>
      </w:r>
      <w:proofErr w:type="spellEnd"/>
      <w:r w:rsidR="00F2117E">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2019).</w:t>
      </w:r>
    </w:p>
    <w:p w14:paraId="7EEB6B7F" w14:textId="6CB9CA3E" w:rsidR="009A4BC5" w:rsidRPr="00A07F29" w:rsidRDefault="007D1831"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AAA “Augšdaugava” i</w:t>
      </w:r>
      <w:r w:rsidR="009A4BC5" w:rsidRPr="00A07F29">
        <w:rPr>
          <w:rFonts w:ascii="Times New Roman" w:eastAsia="Calibri" w:hAnsi="Times New Roman" w:cs="Times New Roman"/>
          <w:sz w:val="24"/>
          <w:szCs w:val="24"/>
        </w:rPr>
        <w:t>epriekšējo putnu izpētes projektu laikā melnā klija novērota tikai vienu reizi (A. Avotiņš, 06.06.2009.) un, domājams, arī šis novērojums nav saistīts ar ligzdošanu. Teritorijā nav izplatīti relatīvi lieli ezeri ar salām vai garām pussalām, kas ir tipiska šīs sugas ligzdošanas vieta.</w:t>
      </w:r>
    </w:p>
    <w:p w14:paraId="2887D223" w14:textId="4EE469DF"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J. </w:t>
      </w:r>
      <w:proofErr w:type="spellStart"/>
      <w:r w:rsidRPr="00A07F29">
        <w:rPr>
          <w:rFonts w:ascii="Times New Roman" w:eastAsia="Calibri" w:hAnsi="Times New Roman" w:cs="Times New Roman"/>
          <w:sz w:val="24"/>
          <w:szCs w:val="24"/>
        </w:rPr>
        <w:t>Vīguļa</w:t>
      </w:r>
      <w:proofErr w:type="spellEnd"/>
      <w:r w:rsidRPr="00A07F29">
        <w:rPr>
          <w:rFonts w:ascii="Times New Roman" w:eastAsia="Calibri" w:hAnsi="Times New Roman" w:cs="Times New Roman"/>
          <w:sz w:val="24"/>
          <w:szCs w:val="24"/>
        </w:rPr>
        <w:t xml:space="preserve"> 2016.</w:t>
      </w:r>
      <w:r w:rsidR="00187B50">
        <w:rPr>
          <w:rFonts w:ascii="Times New Roman" w:eastAsia="Calibri" w:hAnsi="Times New Roman" w:cs="Times New Roman"/>
          <w:sz w:val="24"/>
          <w:szCs w:val="24"/>
        </w:rPr>
        <w:t> </w:t>
      </w:r>
      <w:r w:rsidRPr="00A07F29">
        <w:rPr>
          <w:rFonts w:ascii="Times New Roman" w:eastAsia="Calibri" w:hAnsi="Times New Roman" w:cs="Times New Roman"/>
          <w:sz w:val="24"/>
          <w:szCs w:val="24"/>
        </w:rPr>
        <w:t>gad</w:t>
      </w:r>
      <w:r w:rsidR="00187B50">
        <w:rPr>
          <w:rFonts w:ascii="Times New Roman" w:eastAsia="Calibri" w:hAnsi="Times New Roman" w:cs="Times New Roman"/>
          <w:sz w:val="24"/>
          <w:szCs w:val="24"/>
        </w:rPr>
        <w:t>a 14. maijā</w:t>
      </w:r>
      <w:r w:rsidRPr="00A07F29">
        <w:rPr>
          <w:rFonts w:ascii="Times New Roman" w:eastAsia="Calibri" w:hAnsi="Times New Roman" w:cs="Times New Roman"/>
          <w:sz w:val="24"/>
          <w:szCs w:val="24"/>
        </w:rPr>
        <w:t xml:space="preserve"> novērotais īpatnis Bangu apkārtnē, domājams, ir ligzdojošs Braslavas ezeru nacionālajā parkā Baltkrievijā.</w:t>
      </w:r>
    </w:p>
    <w:p w14:paraId="7D954AE0" w14:textId="1640F190"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2019.</w:t>
      </w:r>
      <w:r w:rsidR="00971EC3">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gadā viens īpatnis vairākas reizes novērots </w:t>
      </w:r>
      <w:proofErr w:type="spellStart"/>
      <w:r w:rsidRPr="00A07F29">
        <w:rPr>
          <w:rFonts w:ascii="Times New Roman" w:eastAsia="Calibri" w:hAnsi="Times New Roman" w:cs="Times New Roman"/>
          <w:sz w:val="24"/>
          <w:szCs w:val="24"/>
        </w:rPr>
        <w:t>Savišku</w:t>
      </w:r>
      <w:proofErr w:type="spellEnd"/>
      <w:r w:rsidRPr="00A07F29">
        <w:rPr>
          <w:rFonts w:ascii="Times New Roman" w:eastAsia="Calibri" w:hAnsi="Times New Roman" w:cs="Times New Roman"/>
          <w:sz w:val="24"/>
          <w:szCs w:val="24"/>
        </w:rPr>
        <w:t xml:space="preserve"> apkārtnē Tabores pagastā barojoties ar gaļas atkritumiem lopkautuves tiešā tuvumā.</w:t>
      </w:r>
    </w:p>
    <w:p w14:paraId="68E90F10" w14:textId="3274C51E"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Skaita vērtējums teritorijā: 0</w:t>
      </w:r>
      <w:r w:rsidR="00971EC3">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971EC3">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1 ligzdojošs pāris. Sugai </w:t>
      </w:r>
      <w:proofErr w:type="spellStart"/>
      <w:r w:rsidRPr="00A07F29">
        <w:rPr>
          <w:rFonts w:ascii="Times New Roman" w:eastAsia="Calibri" w:hAnsi="Times New Roman" w:cs="Times New Roman"/>
          <w:i/>
          <w:iCs/>
          <w:sz w:val="24"/>
          <w:szCs w:val="24"/>
        </w:rPr>
        <w:t>Natura</w:t>
      </w:r>
      <w:proofErr w:type="spellEnd"/>
      <w:r w:rsidRPr="00A07F29">
        <w:rPr>
          <w:rFonts w:ascii="Times New Roman" w:eastAsia="Calibri" w:hAnsi="Times New Roman" w:cs="Times New Roman"/>
          <w:i/>
          <w:iCs/>
          <w:sz w:val="24"/>
          <w:szCs w:val="24"/>
        </w:rPr>
        <w:t xml:space="preserve"> 2000</w:t>
      </w:r>
      <w:r w:rsidRPr="00A07F29">
        <w:rPr>
          <w:rFonts w:ascii="Times New Roman" w:eastAsia="Calibri" w:hAnsi="Times New Roman" w:cs="Times New Roman"/>
          <w:sz w:val="24"/>
          <w:szCs w:val="24"/>
        </w:rPr>
        <w:t xml:space="preserve"> </w:t>
      </w:r>
      <w:r w:rsidR="002C65DE">
        <w:rPr>
          <w:rFonts w:ascii="Times New Roman" w:eastAsia="Calibri" w:hAnsi="Times New Roman" w:cs="Times New Roman"/>
          <w:sz w:val="24"/>
          <w:szCs w:val="24"/>
        </w:rPr>
        <w:t>SDF</w:t>
      </w:r>
      <w:r w:rsidRPr="00A07F29">
        <w:rPr>
          <w:rFonts w:ascii="Times New Roman" w:eastAsia="Calibri" w:hAnsi="Times New Roman" w:cs="Times New Roman"/>
          <w:sz w:val="24"/>
          <w:szCs w:val="24"/>
        </w:rPr>
        <w:t xml:space="preserve"> precizēts minimālais un maksimālais populācijas lielums.</w:t>
      </w:r>
    </w:p>
    <w:p w14:paraId="4FF3D80A" w14:textId="77777777" w:rsidR="009A4BC5" w:rsidRPr="00A07F29" w:rsidRDefault="009A4BC5" w:rsidP="00A467AC">
      <w:pPr>
        <w:keepNext/>
        <w:spacing w:before="240" w:after="120" w:line="240" w:lineRule="auto"/>
        <w:jc w:val="both"/>
        <w:rPr>
          <w:rFonts w:ascii="Times New Roman" w:eastAsia="Calibri" w:hAnsi="Times New Roman" w:cs="Times New Roman"/>
          <w:b/>
          <w:bCs/>
          <w:i/>
          <w:iCs/>
          <w:sz w:val="24"/>
          <w:szCs w:val="24"/>
        </w:rPr>
      </w:pPr>
      <w:r w:rsidRPr="00A07F29">
        <w:rPr>
          <w:rFonts w:ascii="Times New Roman" w:eastAsia="Calibri" w:hAnsi="Times New Roman" w:cs="Times New Roman"/>
          <w:b/>
          <w:bCs/>
          <w:sz w:val="24"/>
          <w:szCs w:val="24"/>
        </w:rPr>
        <w:t xml:space="preserve">Jūras ērglis </w:t>
      </w:r>
      <w:proofErr w:type="spellStart"/>
      <w:r w:rsidRPr="00A07F29">
        <w:rPr>
          <w:rFonts w:ascii="Times New Roman" w:eastAsia="Calibri" w:hAnsi="Times New Roman" w:cs="Times New Roman"/>
          <w:b/>
          <w:bCs/>
          <w:i/>
          <w:iCs/>
          <w:sz w:val="24"/>
          <w:szCs w:val="24"/>
        </w:rPr>
        <w:t>Haliaeetus</w:t>
      </w:r>
      <w:proofErr w:type="spellEnd"/>
      <w:r w:rsidRPr="00A07F29">
        <w:rPr>
          <w:rFonts w:ascii="Times New Roman" w:eastAsia="Calibri" w:hAnsi="Times New Roman" w:cs="Times New Roman"/>
          <w:b/>
          <w:bCs/>
          <w:i/>
          <w:iCs/>
          <w:sz w:val="24"/>
          <w:szCs w:val="24"/>
        </w:rPr>
        <w:t xml:space="preserve"> </w:t>
      </w:r>
      <w:proofErr w:type="spellStart"/>
      <w:r w:rsidRPr="00A07F29">
        <w:rPr>
          <w:rFonts w:ascii="Times New Roman" w:eastAsia="Calibri" w:hAnsi="Times New Roman" w:cs="Times New Roman"/>
          <w:b/>
          <w:bCs/>
          <w:i/>
          <w:iCs/>
          <w:sz w:val="24"/>
          <w:szCs w:val="24"/>
        </w:rPr>
        <w:t>albicilla</w:t>
      </w:r>
      <w:proofErr w:type="spellEnd"/>
    </w:p>
    <w:p w14:paraId="58B3E1CE" w14:textId="6255DE22"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Populācijas lielums Latvijā: 120</w:t>
      </w:r>
      <w:r w:rsidR="00971EC3">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971EC3">
        <w:rPr>
          <w:rFonts w:ascii="Times New Roman" w:eastAsia="Calibri" w:hAnsi="Times New Roman" w:cs="Times New Roman"/>
          <w:sz w:val="24"/>
          <w:szCs w:val="24"/>
        </w:rPr>
        <w:t> </w:t>
      </w:r>
      <w:r w:rsidRPr="00A07F29">
        <w:rPr>
          <w:rFonts w:ascii="Times New Roman" w:eastAsia="Calibri" w:hAnsi="Times New Roman" w:cs="Times New Roman"/>
          <w:sz w:val="24"/>
          <w:szCs w:val="24"/>
        </w:rPr>
        <w:t>150 ligzdojoši pāri. Ligzdo ar ūdensputniem un zivīm bagātu teritoriju tuvumā.</w:t>
      </w:r>
    </w:p>
    <w:p w14:paraId="4AE7860B" w14:textId="41C9C7FA"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AAA “Augšdaugava” teritorijā pēdējos gados tiek regulāri novērots (gan dzimumgatavību sasnieguši īpatņi, gan nepieauguši īpatņi). Ņemot vērā ilgtermiņa (1980</w:t>
      </w:r>
      <w:r w:rsidR="00A5209D">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A5209D">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2017) </w:t>
      </w:r>
      <w:r w:rsidRPr="00A07F29">
        <w:rPr>
          <w:rFonts w:ascii="Times New Roman" w:eastAsia="Calibri" w:hAnsi="Times New Roman" w:cs="Times New Roman"/>
          <w:sz w:val="24"/>
          <w:szCs w:val="24"/>
        </w:rPr>
        <w:lastRenderedPageBreak/>
        <w:t>populācijas skaita pieaugošo tendenci un teritorijas augsto piemērotību sugas ligzdošanai, skaita vērtējums teritorijā: 0</w:t>
      </w:r>
      <w:r w:rsidR="00A5209D">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A5209D">
        <w:rPr>
          <w:rFonts w:ascii="Times New Roman" w:eastAsia="Calibri" w:hAnsi="Times New Roman" w:cs="Times New Roman"/>
          <w:sz w:val="24"/>
          <w:szCs w:val="24"/>
        </w:rPr>
        <w:t> </w:t>
      </w:r>
      <w:r w:rsidRPr="00A07F29">
        <w:rPr>
          <w:rFonts w:ascii="Times New Roman" w:eastAsia="Calibri" w:hAnsi="Times New Roman" w:cs="Times New Roman"/>
          <w:sz w:val="24"/>
          <w:szCs w:val="24"/>
        </w:rPr>
        <w:t>1 ligzdojošs pāris.</w:t>
      </w:r>
      <w:r w:rsidR="007D1831" w:rsidRPr="00A07F29">
        <w:rPr>
          <w:rFonts w:ascii="Times New Roman" w:eastAsia="Calibri" w:hAnsi="Times New Roman" w:cs="Times New Roman"/>
          <w:sz w:val="24"/>
          <w:szCs w:val="24"/>
        </w:rPr>
        <w:t xml:space="preserve"> </w:t>
      </w:r>
      <w:r w:rsidRPr="00A07F29">
        <w:rPr>
          <w:rFonts w:ascii="Times New Roman" w:eastAsia="Calibri" w:hAnsi="Times New Roman" w:cs="Times New Roman"/>
          <w:sz w:val="24"/>
          <w:szCs w:val="24"/>
        </w:rPr>
        <w:t xml:space="preserve">Suga iekļauta </w:t>
      </w:r>
      <w:proofErr w:type="spellStart"/>
      <w:r w:rsidRPr="00A07F29">
        <w:rPr>
          <w:rFonts w:ascii="Times New Roman" w:eastAsia="Calibri" w:hAnsi="Times New Roman" w:cs="Times New Roman"/>
          <w:i/>
          <w:iCs/>
          <w:sz w:val="24"/>
          <w:szCs w:val="24"/>
        </w:rPr>
        <w:t>Natura</w:t>
      </w:r>
      <w:proofErr w:type="spellEnd"/>
      <w:r w:rsidRPr="00A07F29">
        <w:rPr>
          <w:rFonts w:ascii="Times New Roman" w:eastAsia="Calibri" w:hAnsi="Times New Roman" w:cs="Times New Roman"/>
          <w:i/>
          <w:iCs/>
          <w:sz w:val="24"/>
          <w:szCs w:val="24"/>
        </w:rPr>
        <w:t xml:space="preserve"> 2000</w:t>
      </w:r>
      <w:r w:rsidRPr="00A07F29">
        <w:rPr>
          <w:rFonts w:ascii="Times New Roman" w:eastAsia="Calibri" w:hAnsi="Times New Roman" w:cs="Times New Roman"/>
          <w:sz w:val="24"/>
          <w:szCs w:val="24"/>
        </w:rPr>
        <w:t xml:space="preserve"> </w:t>
      </w:r>
      <w:r w:rsidR="002C65DE">
        <w:rPr>
          <w:rFonts w:ascii="Times New Roman" w:eastAsia="Calibri" w:hAnsi="Times New Roman" w:cs="Times New Roman"/>
          <w:sz w:val="24"/>
          <w:szCs w:val="24"/>
        </w:rPr>
        <w:t>SDF</w:t>
      </w:r>
      <w:r w:rsidRPr="00A07F29">
        <w:rPr>
          <w:rFonts w:ascii="Times New Roman" w:eastAsia="Calibri" w:hAnsi="Times New Roman" w:cs="Times New Roman"/>
          <w:sz w:val="24"/>
          <w:szCs w:val="24"/>
        </w:rPr>
        <w:t>.</w:t>
      </w:r>
    </w:p>
    <w:p w14:paraId="2F0E272B" w14:textId="77777777" w:rsidR="009A4BC5" w:rsidRPr="00A07F29" w:rsidRDefault="009A4BC5" w:rsidP="00417CD9">
      <w:pPr>
        <w:spacing w:before="240" w:after="120" w:line="240" w:lineRule="auto"/>
        <w:jc w:val="both"/>
        <w:rPr>
          <w:rFonts w:ascii="Times New Roman" w:eastAsia="Calibri" w:hAnsi="Times New Roman" w:cs="Times New Roman"/>
          <w:b/>
          <w:bCs/>
          <w:i/>
          <w:iCs/>
          <w:sz w:val="24"/>
          <w:szCs w:val="24"/>
        </w:rPr>
      </w:pPr>
      <w:r w:rsidRPr="00A07F29">
        <w:rPr>
          <w:rFonts w:ascii="Times New Roman" w:eastAsia="Calibri" w:hAnsi="Times New Roman" w:cs="Times New Roman"/>
          <w:b/>
          <w:bCs/>
          <w:sz w:val="24"/>
          <w:szCs w:val="24"/>
        </w:rPr>
        <w:t xml:space="preserve">Niedru lija </w:t>
      </w:r>
      <w:proofErr w:type="spellStart"/>
      <w:r w:rsidRPr="00A07F29">
        <w:rPr>
          <w:rFonts w:ascii="Times New Roman" w:eastAsia="Calibri" w:hAnsi="Times New Roman" w:cs="Times New Roman"/>
          <w:b/>
          <w:bCs/>
          <w:i/>
          <w:sz w:val="24"/>
          <w:szCs w:val="24"/>
        </w:rPr>
        <w:t>Circus</w:t>
      </w:r>
      <w:proofErr w:type="spellEnd"/>
      <w:r w:rsidRPr="00A07F29">
        <w:rPr>
          <w:rFonts w:ascii="Times New Roman" w:eastAsia="Calibri" w:hAnsi="Times New Roman" w:cs="Times New Roman"/>
          <w:b/>
          <w:bCs/>
          <w:i/>
          <w:sz w:val="24"/>
          <w:szCs w:val="24"/>
        </w:rPr>
        <w:t xml:space="preserve"> </w:t>
      </w:r>
      <w:proofErr w:type="spellStart"/>
      <w:r w:rsidRPr="00A07F29">
        <w:rPr>
          <w:rFonts w:ascii="Times New Roman" w:eastAsia="Calibri" w:hAnsi="Times New Roman" w:cs="Times New Roman"/>
          <w:b/>
          <w:bCs/>
          <w:i/>
          <w:sz w:val="24"/>
          <w:szCs w:val="24"/>
        </w:rPr>
        <w:t>aeroginosus</w:t>
      </w:r>
      <w:proofErr w:type="spellEnd"/>
    </w:p>
    <w:p w14:paraId="49FCB7A1" w14:textId="15029AC4"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Populācijas lielums Latvijā: 7715</w:t>
      </w:r>
      <w:r w:rsidR="00D83B48">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D83B48">
        <w:rPr>
          <w:rFonts w:ascii="Times New Roman" w:eastAsia="Calibri" w:hAnsi="Times New Roman" w:cs="Times New Roman"/>
          <w:sz w:val="24"/>
          <w:szCs w:val="24"/>
        </w:rPr>
        <w:t> </w:t>
      </w:r>
      <w:r w:rsidRPr="00A07F29">
        <w:rPr>
          <w:rFonts w:ascii="Times New Roman" w:eastAsia="Calibri" w:hAnsi="Times New Roman" w:cs="Times New Roman"/>
          <w:sz w:val="24"/>
          <w:szCs w:val="24"/>
        </w:rPr>
        <w:t>22056 pāri (</w:t>
      </w:r>
      <w:proofErr w:type="spellStart"/>
      <w:r w:rsidRPr="00A07F29">
        <w:rPr>
          <w:rFonts w:ascii="Times New Roman" w:eastAsia="Calibri" w:hAnsi="Times New Roman" w:cs="Times New Roman"/>
          <w:sz w:val="24"/>
          <w:szCs w:val="24"/>
        </w:rPr>
        <w:t>Birdlife</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International</w:t>
      </w:r>
      <w:proofErr w:type="spellEnd"/>
      <w:r w:rsidR="00F2117E">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2019).</w:t>
      </w:r>
      <w:r w:rsidR="00417CD9" w:rsidRPr="00A07F29">
        <w:rPr>
          <w:rFonts w:ascii="Times New Roman" w:eastAsia="Calibri" w:hAnsi="Times New Roman" w:cs="Times New Roman"/>
          <w:sz w:val="24"/>
          <w:szCs w:val="24"/>
        </w:rPr>
        <w:t xml:space="preserve"> </w:t>
      </w:r>
      <w:r w:rsidRPr="00A07F29">
        <w:rPr>
          <w:rFonts w:ascii="Times New Roman" w:eastAsia="Calibri" w:hAnsi="Times New Roman" w:cs="Times New Roman"/>
          <w:sz w:val="24"/>
          <w:szCs w:val="24"/>
        </w:rPr>
        <w:t xml:space="preserve">Apdzīvo niedrājiem aizaugušas ūdenstilpes – ezerus, dīķus, karjerus, bebru </w:t>
      </w:r>
      <w:proofErr w:type="spellStart"/>
      <w:r w:rsidRPr="00A07F29">
        <w:rPr>
          <w:rFonts w:ascii="Times New Roman" w:eastAsia="Calibri" w:hAnsi="Times New Roman" w:cs="Times New Roman"/>
          <w:sz w:val="24"/>
          <w:szCs w:val="24"/>
        </w:rPr>
        <w:t>uzpludinājumus</w:t>
      </w:r>
      <w:proofErr w:type="spellEnd"/>
      <w:r w:rsidRPr="00A07F29">
        <w:rPr>
          <w:rFonts w:ascii="Times New Roman" w:eastAsia="Calibri" w:hAnsi="Times New Roman" w:cs="Times New Roman"/>
          <w:sz w:val="24"/>
          <w:szCs w:val="24"/>
        </w:rPr>
        <w:t>, arī purvus ar blīvākām niedru audzēm vai niedrēm aizaugušas pļavas. Barojas arī klajā lauku ainavā vai purvos (LOB</w:t>
      </w:r>
      <w:r w:rsidR="00F2117E">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1999). Sugai raksturīgi tāli (vairāku kilometru attālumā) barošanās lidojumi no ligzdošanas vietas</w:t>
      </w:r>
      <w:r w:rsidR="00D94575">
        <w:rPr>
          <w:rFonts w:ascii="Times New Roman" w:eastAsia="Calibri" w:hAnsi="Times New Roman" w:cs="Times New Roman"/>
          <w:sz w:val="24"/>
          <w:szCs w:val="24"/>
        </w:rPr>
        <w:t>.</w:t>
      </w:r>
    </w:p>
    <w:p w14:paraId="290C499A" w14:textId="11252A0B" w:rsidR="009A4BC5" w:rsidRPr="00A07F29" w:rsidRDefault="00417CD9"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AAA “Augšdaugava” </w:t>
      </w:r>
      <w:r w:rsidR="009A4BC5" w:rsidRPr="00A07F29">
        <w:rPr>
          <w:rFonts w:ascii="Times New Roman" w:eastAsia="Calibri" w:hAnsi="Times New Roman" w:cs="Times New Roman"/>
          <w:sz w:val="24"/>
          <w:szCs w:val="24"/>
        </w:rPr>
        <w:t>2019.</w:t>
      </w:r>
      <w:r w:rsidR="00D94575">
        <w:rPr>
          <w:rFonts w:ascii="Times New Roman" w:eastAsia="Calibri" w:hAnsi="Times New Roman" w:cs="Times New Roman"/>
          <w:sz w:val="24"/>
          <w:szCs w:val="24"/>
        </w:rPr>
        <w:t> </w:t>
      </w:r>
      <w:r w:rsidR="009A4BC5" w:rsidRPr="00A07F29">
        <w:rPr>
          <w:rFonts w:ascii="Times New Roman" w:eastAsia="Calibri" w:hAnsi="Times New Roman" w:cs="Times New Roman"/>
          <w:sz w:val="24"/>
          <w:szCs w:val="24"/>
        </w:rPr>
        <w:t xml:space="preserve">gadā pierādīta ligzdošana konstatēta </w:t>
      </w:r>
      <w:proofErr w:type="spellStart"/>
      <w:r w:rsidR="009A4BC5" w:rsidRPr="00A07F29">
        <w:rPr>
          <w:rFonts w:ascii="Times New Roman" w:eastAsia="Calibri" w:hAnsi="Times New Roman" w:cs="Times New Roman"/>
          <w:sz w:val="24"/>
          <w:szCs w:val="24"/>
        </w:rPr>
        <w:t>Jugaņinas</w:t>
      </w:r>
      <w:proofErr w:type="spellEnd"/>
      <w:r w:rsidR="009A4BC5" w:rsidRPr="00A07F29">
        <w:rPr>
          <w:rFonts w:ascii="Times New Roman" w:eastAsia="Calibri" w:hAnsi="Times New Roman" w:cs="Times New Roman"/>
          <w:sz w:val="24"/>
          <w:szCs w:val="24"/>
        </w:rPr>
        <w:t xml:space="preserve"> ezerā un mitrājā </w:t>
      </w:r>
      <w:proofErr w:type="spellStart"/>
      <w:r w:rsidR="009A4BC5" w:rsidRPr="00A07F29">
        <w:rPr>
          <w:rFonts w:ascii="Times New Roman" w:eastAsia="Calibri" w:hAnsi="Times New Roman" w:cs="Times New Roman"/>
          <w:sz w:val="24"/>
          <w:szCs w:val="24"/>
        </w:rPr>
        <w:t>Glaudānu</w:t>
      </w:r>
      <w:proofErr w:type="spellEnd"/>
      <w:r w:rsidR="009A4BC5" w:rsidRPr="00A07F29">
        <w:rPr>
          <w:rFonts w:ascii="Times New Roman" w:eastAsia="Calibri" w:hAnsi="Times New Roman" w:cs="Times New Roman"/>
          <w:sz w:val="24"/>
          <w:szCs w:val="24"/>
        </w:rPr>
        <w:t xml:space="preserve"> apkārtnē.</w:t>
      </w:r>
      <w:r w:rsidRPr="00A07F29">
        <w:rPr>
          <w:rFonts w:ascii="Times New Roman" w:eastAsia="Calibri" w:hAnsi="Times New Roman" w:cs="Times New Roman"/>
          <w:sz w:val="24"/>
          <w:szCs w:val="24"/>
        </w:rPr>
        <w:t xml:space="preserve"> </w:t>
      </w:r>
      <w:r w:rsidR="009A4BC5" w:rsidRPr="00A07F29">
        <w:rPr>
          <w:rFonts w:ascii="Times New Roman" w:eastAsia="Calibri" w:hAnsi="Times New Roman" w:cs="Times New Roman"/>
          <w:sz w:val="24"/>
          <w:szCs w:val="24"/>
        </w:rPr>
        <w:t>Skaita vērtējums teritorijā: 10</w:t>
      </w:r>
      <w:r w:rsidR="00D94575">
        <w:rPr>
          <w:rFonts w:ascii="Times New Roman" w:eastAsia="Calibri" w:hAnsi="Times New Roman" w:cs="Times New Roman"/>
          <w:sz w:val="24"/>
          <w:szCs w:val="24"/>
        </w:rPr>
        <w:t> </w:t>
      </w:r>
      <w:r w:rsidR="009A4BC5" w:rsidRPr="00A07F29">
        <w:rPr>
          <w:rFonts w:ascii="Times New Roman" w:eastAsia="Calibri" w:hAnsi="Times New Roman" w:cs="Times New Roman"/>
          <w:sz w:val="24"/>
          <w:szCs w:val="24"/>
        </w:rPr>
        <w:t>–</w:t>
      </w:r>
      <w:r w:rsidR="00D94575">
        <w:rPr>
          <w:rFonts w:ascii="Times New Roman" w:eastAsia="Calibri" w:hAnsi="Times New Roman" w:cs="Times New Roman"/>
          <w:sz w:val="24"/>
          <w:szCs w:val="24"/>
        </w:rPr>
        <w:t> </w:t>
      </w:r>
      <w:r w:rsidR="009A4BC5" w:rsidRPr="00A07F29">
        <w:rPr>
          <w:rFonts w:ascii="Times New Roman" w:eastAsia="Calibri" w:hAnsi="Times New Roman" w:cs="Times New Roman"/>
          <w:sz w:val="24"/>
          <w:szCs w:val="24"/>
        </w:rPr>
        <w:t>15 ligzdojoši pāri.</w:t>
      </w:r>
      <w:r w:rsidRPr="00A07F29">
        <w:rPr>
          <w:rFonts w:ascii="Times New Roman" w:eastAsia="Calibri" w:hAnsi="Times New Roman" w:cs="Times New Roman"/>
          <w:sz w:val="24"/>
          <w:szCs w:val="24"/>
        </w:rPr>
        <w:t xml:space="preserve"> </w:t>
      </w:r>
      <w:r w:rsidR="009A4BC5" w:rsidRPr="00A07F29">
        <w:rPr>
          <w:rFonts w:ascii="Times New Roman" w:eastAsia="Calibri" w:hAnsi="Times New Roman" w:cs="Times New Roman"/>
          <w:sz w:val="24"/>
          <w:szCs w:val="24"/>
        </w:rPr>
        <w:t xml:space="preserve">Sugai </w:t>
      </w:r>
      <w:proofErr w:type="spellStart"/>
      <w:r w:rsidR="009A4BC5" w:rsidRPr="00A07F29">
        <w:rPr>
          <w:rFonts w:ascii="Times New Roman" w:eastAsia="Calibri" w:hAnsi="Times New Roman" w:cs="Times New Roman"/>
          <w:i/>
          <w:iCs/>
          <w:sz w:val="24"/>
          <w:szCs w:val="24"/>
        </w:rPr>
        <w:t>Natura</w:t>
      </w:r>
      <w:proofErr w:type="spellEnd"/>
      <w:r w:rsidR="009A4BC5" w:rsidRPr="00A07F29">
        <w:rPr>
          <w:rFonts w:ascii="Times New Roman" w:eastAsia="Calibri" w:hAnsi="Times New Roman" w:cs="Times New Roman"/>
          <w:i/>
          <w:iCs/>
          <w:sz w:val="24"/>
          <w:szCs w:val="24"/>
        </w:rPr>
        <w:t xml:space="preserve"> 2000</w:t>
      </w:r>
      <w:r w:rsidR="009A4BC5" w:rsidRPr="00A07F29">
        <w:rPr>
          <w:rFonts w:ascii="Times New Roman" w:eastAsia="Calibri" w:hAnsi="Times New Roman" w:cs="Times New Roman"/>
          <w:sz w:val="24"/>
          <w:szCs w:val="24"/>
        </w:rPr>
        <w:t xml:space="preserve"> </w:t>
      </w:r>
      <w:r w:rsidR="002C65DE">
        <w:rPr>
          <w:rFonts w:ascii="Times New Roman" w:eastAsia="Calibri" w:hAnsi="Times New Roman" w:cs="Times New Roman"/>
          <w:sz w:val="24"/>
          <w:szCs w:val="24"/>
        </w:rPr>
        <w:t>SDF</w:t>
      </w:r>
      <w:r w:rsidR="009A4BC5" w:rsidRPr="00A07F29">
        <w:rPr>
          <w:rFonts w:ascii="Times New Roman" w:eastAsia="Calibri" w:hAnsi="Times New Roman" w:cs="Times New Roman"/>
          <w:sz w:val="24"/>
          <w:szCs w:val="24"/>
        </w:rPr>
        <w:t xml:space="preserve"> precizēts minimālais un maksimālais populācijas lielums.</w:t>
      </w:r>
    </w:p>
    <w:p w14:paraId="57705423" w14:textId="77777777" w:rsidR="009A4BC5" w:rsidRPr="00A07F29" w:rsidRDefault="009A4BC5" w:rsidP="00417CD9">
      <w:pPr>
        <w:keepNext/>
        <w:spacing w:before="240" w:after="120" w:line="240" w:lineRule="auto"/>
        <w:jc w:val="both"/>
        <w:rPr>
          <w:rFonts w:ascii="Times New Roman" w:eastAsia="Calibri" w:hAnsi="Times New Roman" w:cs="Times New Roman"/>
          <w:b/>
          <w:bCs/>
          <w:i/>
          <w:iCs/>
          <w:sz w:val="24"/>
          <w:szCs w:val="24"/>
        </w:rPr>
      </w:pPr>
      <w:r w:rsidRPr="00A07F29">
        <w:rPr>
          <w:rFonts w:ascii="Times New Roman" w:eastAsia="Calibri" w:hAnsi="Times New Roman" w:cs="Times New Roman"/>
          <w:b/>
          <w:bCs/>
          <w:sz w:val="24"/>
          <w:szCs w:val="24"/>
        </w:rPr>
        <w:t xml:space="preserve">Pļavu lija </w:t>
      </w:r>
      <w:proofErr w:type="spellStart"/>
      <w:r w:rsidRPr="00A07F29">
        <w:rPr>
          <w:rFonts w:ascii="Times New Roman" w:eastAsia="Calibri" w:hAnsi="Times New Roman" w:cs="Times New Roman"/>
          <w:b/>
          <w:bCs/>
          <w:i/>
          <w:iCs/>
          <w:sz w:val="24"/>
          <w:szCs w:val="24"/>
        </w:rPr>
        <w:t>Circus</w:t>
      </w:r>
      <w:proofErr w:type="spellEnd"/>
      <w:r w:rsidRPr="00A07F29">
        <w:rPr>
          <w:rFonts w:ascii="Times New Roman" w:eastAsia="Calibri" w:hAnsi="Times New Roman" w:cs="Times New Roman"/>
          <w:b/>
          <w:bCs/>
          <w:i/>
          <w:iCs/>
          <w:sz w:val="24"/>
          <w:szCs w:val="24"/>
        </w:rPr>
        <w:t xml:space="preserve"> </w:t>
      </w:r>
      <w:proofErr w:type="spellStart"/>
      <w:r w:rsidRPr="00A07F29">
        <w:rPr>
          <w:rFonts w:ascii="Times New Roman" w:eastAsia="Calibri" w:hAnsi="Times New Roman" w:cs="Times New Roman"/>
          <w:b/>
          <w:bCs/>
          <w:i/>
          <w:iCs/>
          <w:sz w:val="24"/>
          <w:szCs w:val="24"/>
        </w:rPr>
        <w:t>pygargus</w:t>
      </w:r>
      <w:proofErr w:type="spellEnd"/>
    </w:p>
    <w:p w14:paraId="0B58AF97" w14:textId="0C0E73E6"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Populācijas lielums Latvijā: 57</w:t>
      </w:r>
      <w:r w:rsidR="00D94575">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D94575">
        <w:rPr>
          <w:rFonts w:ascii="Times New Roman" w:eastAsia="Calibri" w:hAnsi="Times New Roman" w:cs="Times New Roman"/>
          <w:sz w:val="24"/>
          <w:szCs w:val="24"/>
        </w:rPr>
        <w:t> </w:t>
      </w:r>
      <w:r w:rsidRPr="00A07F29">
        <w:rPr>
          <w:rFonts w:ascii="Times New Roman" w:eastAsia="Calibri" w:hAnsi="Times New Roman" w:cs="Times New Roman"/>
          <w:sz w:val="24"/>
          <w:szCs w:val="24"/>
        </w:rPr>
        <w:t>1046 ligzdojoši pāri (</w:t>
      </w:r>
      <w:proofErr w:type="spellStart"/>
      <w:r w:rsidRPr="00A07F29">
        <w:rPr>
          <w:rFonts w:ascii="Times New Roman" w:eastAsia="Calibri" w:hAnsi="Times New Roman" w:cs="Times New Roman"/>
          <w:sz w:val="24"/>
          <w:szCs w:val="24"/>
        </w:rPr>
        <w:t>Birdlife</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International</w:t>
      </w:r>
      <w:proofErr w:type="spellEnd"/>
      <w:r w:rsidR="00F2117E">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2019). Apdzīvo dažāda mitruma plašus klajumus: zemos un pārejas purvus, mitrus, aizaugušus ezeru krastus, vecus kūdras karjerus. Medījot novērojama arī virs pļavām, ganībām, labības laukiem (LOB</w:t>
      </w:r>
      <w:r w:rsidR="00F2117E">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1999). </w:t>
      </w:r>
    </w:p>
    <w:p w14:paraId="6454E468" w14:textId="30B87DE8"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Pēdējais zināmais ticamais ligzdošanas gadījums AAA “Augšdaugava” teritorijā ir 2003.</w:t>
      </w:r>
      <w:r w:rsidR="005C7C77">
        <w:rPr>
          <w:rFonts w:ascii="Times New Roman" w:eastAsia="Calibri" w:hAnsi="Times New Roman" w:cs="Times New Roman"/>
          <w:sz w:val="24"/>
          <w:szCs w:val="24"/>
        </w:rPr>
        <w:t> </w:t>
      </w:r>
      <w:r w:rsidRPr="00A07F29">
        <w:rPr>
          <w:rFonts w:ascii="Times New Roman" w:eastAsia="Calibri" w:hAnsi="Times New Roman" w:cs="Times New Roman"/>
          <w:sz w:val="24"/>
          <w:szCs w:val="24"/>
        </w:rPr>
        <w:t>gadā, kad novērots pāris ligzdošanai piemērotā biotopā. Turpmāk novērota neregulāri: 2012.</w:t>
      </w:r>
      <w:r w:rsidR="005C7C77">
        <w:rPr>
          <w:rFonts w:ascii="Times New Roman" w:eastAsia="Calibri" w:hAnsi="Times New Roman" w:cs="Times New Roman"/>
          <w:sz w:val="24"/>
          <w:szCs w:val="24"/>
        </w:rPr>
        <w:t> </w:t>
      </w:r>
      <w:r w:rsidRPr="00A07F29">
        <w:rPr>
          <w:rFonts w:ascii="Times New Roman" w:eastAsia="Calibri" w:hAnsi="Times New Roman" w:cs="Times New Roman"/>
          <w:sz w:val="24"/>
          <w:szCs w:val="24"/>
        </w:rPr>
        <w:t>gadā novērota medījoša mātīte; 2016.</w:t>
      </w:r>
      <w:r w:rsidR="005C7C77">
        <w:rPr>
          <w:rFonts w:ascii="Times New Roman" w:eastAsia="Calibri" w:hAnsi="Times New Roman" w:cs="Times New Roman"/>
          <w:sz w:val="24"/>
          <w:szCs w:val="24"/>
        </w:rPr>
        <w:t> </w:t>
      </w:r>
      <w:r w:rsidRPr="00A07F29">
        <w:rPr>
          <w:rFonts w:ascii="Times New Roman" w:eastAsia="Calibri" w:hAnsi="Times New Roman" w:cs="Times New Roman"/>
          <w:sz w:val="24"/>
          <w:szCs w:val="24"/>
        </w:rPr>
        <w:t>gadā novērots medījošs tēviņš; 2017.</w:t>
      </w:r>
      <w:r w:rsidR="005C7C77">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gadā uz teritorijas robežas </w:t>
      </w:r>
      <w:proofErr w:type="spellStart"/>
      <w:r w:rsidRPr="00A07F29">
        <w:rPr>
          <w:rFonts w:ascii="Times New Roman" w:eastAsia="Calibri" w:hAnsi="Times New Roman" w:cs="Times New Roman"/>
          <w:sz w:val="24"/>
          <w:szCs w:val="24"/>
        </w:rPr>
        <w:t>Červonkas</w:t>
      </w:r>
      <w:proofErr w:type="spellEnd"/>
      <w:r w:rsidRPr="00A07F29">
        <w:rPr>
          <w:rFonts w:ascii="Times New Roman" w:eastAsia="Calibri" w:hAnsi="Times New Roman" w:cs="Times New Roman"/>
          <w:sz w:val="24"/>
          <w:szCs w:val="24"/>
        </w:rPr>
        <w:t xml:space="preserve"> apkārtnē novērots tēviņš. 2019. un 2020.</w:t>
      </w:r>
      <w:r w:rsidR="005C7C77">
        <w:rPr>
          <w:rFonts w:ascii="Times New Roman" w:eastAsia="Calibri" w:hAnsi="Times New Roman" w:cs="Times New Roman"/>
          <w:sz w:val="24"/>
          <w:szCs w:val="24"/>
        </w:rPr>
        <w:t> </w:t>
      </w:r>
      <w:r w:rsidRPr="00A07F29">
        <w:rPr>
          <w:rFonts w:ascii="Times New Roman" w:eastAsia="Calibri" w:hAnsi="Times New Roman" w:cs="Times New Roman"/>
          <w:sz w:val="24"/>
          <w:szCs w:val="24"/>
        </w:rPr>
        <w:t>gadā teritorijā nav novērota.</w:t>
      </w:r>
    </w:p>
    <w:p w14:paraId="27CB5E99" w14:textId="4F64BD3B"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Skaita vērtējums teritorijā: 0</w:t>
      </w:r>
      <w:r w:rsidR="005C7C77">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5C7C77">
        <w:rPr>
          <w:rFonts w:ascii="Times New Roman" w:eastAsia="Calibri" w:hAnsi="Times New Roman" w:cs="Times New Roman"/>
          <w:sz w:val="24"/>
          <w:szCs w:val="24"/>
        </w:rPr>
        <w:t> </w:t>
      </w:r>
      <w:r w:rsidRPr="00A07F29">
        <w:rPr>
          <w:rFonts w:ascii="Times New Roman" w:eastAsia="Calibri" w:hAnsi="Times New Roman" w:cs="Times New Roman"/>
          <w:sz w:val="24"/>
          <w:szCs w:val="24"/>
        </w:rPr>
        <w:t>1 ligzdojošs pāris.</w:t>
      </w:r>
    </w:p>
    <w:p w14:paraId="3FF8CDE0" w14:textId="77777777" w:rsidR="009A4BC5" w:rsidRPr="00A07F29" w:rsidRDefault="009A4BC5" w:rsidP="00AB4E4A">
      <w:pPr>
        <w:keepNext/>
        <w:spacing w:before="240" w:after="120" w:line="240" w:lineRule="auto"/>
        <w:jc w:val="both"/>
        <w:rPr>
          <w:rFonts w:ascii="Times New Roman" w:eastAsia="Calibri" w:hAnsi="Times New Roman" w:cs="Times New Roman"/>
          <w:b/>
          <w:bCs/>
          <w:i/>
          <w:iCs/>
          <w:sz w:val="24"/>
          <w:szCs w:val="24"/>
        </w:rPr>
      </w:pPr>
      <w:r w:rsidRPr="00A07F29">
        <w:rPr>
          <w:rFonts w:ascii="Times New Roman" w:eastAsia="Calibri" w:hAnsi="Times New Roman" w:cs="Times New Roman"/>
          <w:b/>
          <w:bCs/>
          <w:sz w:val="24"/>
          <w:szCs w:val="24"/>
        </w:rPr>
        <w:t xml:space="preserve">Vistu vanags </w:t>
      </w:r>
      <w:proofErr w:type="spellStart"/>
      <w:r w:rsidRPr="00A07F29">
        <w:rPr>
          <w:rFonts w:ascii="Times New Roman" w:eastAsia="Calibri" w:hAnsi="Times New Roman" w:cs="Times New Roman"/>
          <w:b/>
          <w:bCs/>
          <w:i/>
          <w:iCs/>
          <w:sz w:val="24"/>
          <w:szCs w:val="24"/>
        </w:rPr>
        <w:t>Accipiter</w:t>
      </w:r>
      <w:proofErr w:type="spellEnd"/>
      <w:r w:rsidRPr="00A07F29">
        <w:rPr>
          <w:rFonts w:ascii="Times New Roman" w:eastAsia="Calibri" w:hAnsi="Times New Roman" w:cs="Times New Roman"/>
          <w:b/>
          <w:bCs/>
          <w:i/>
          <w:iCs/>
          <w:sz w:val="24"/>
          <w:szCs w:val="24"/>
        </w:rPr>
        <w:t xml:space="preserve"> </w:t>
      </w:r>
      <w:proofErr w:type="spellStart"/>
      <w:r w:rsidRPr="00A07F29">
        <w:rPr>
          <w:rFonts w:ascii="Times New Roman" w:eastAsia="Calibri" w:hAnsi="Times New Roman" w:cs="Times New Roman"/>
          <w:b/>
          <w:bCs/>
          <w:i/>
          <w:iCs/>
          <w:sz w:val="24"/>
          <w:szCs w:val="24"/>
        </w:rPr>
        <w:t>gentilis</w:t>
      </w:r>
      <w:proofErr w:type="spellEnd"/>
    </w:p>
    <w:p w14:paraId="46FEF05A" w14:textId="2180FC39"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Populācijas lielums Latvijā: 428</w:t>
      </w:r>
      <w:r w:rsidR="005C7C77">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5C7C77">
        <w:rPr>
          <w:rFonts w:ascii="Times New Roman" w:eastAsia="Calibri" w:hAnsi="Times New Roman" w:cs="Times New Roman"/>
          <w:sz w:val="24"/>
          <w:szCs w:val="24"/>
        </w:rPr>
        <w:t> </w:t>
      </w:r>
      <w:r w:rsidRPr="00A07F29">
        <w:rPr>
          <w:rFonts w:ascii="Times New Roman" w:eastAsia="Calibri" w:hAnsi="Times New Roman" w:cs="Times New Roman"/>
          <w:sz w:val="24"/>
          <w:szCs w:val="24"/>
        </w:rPr>
        <w:t>13272 ligzdojoši pāri (</w:t>
      </w:r>
      <w:proofErr w:type="spellStart"/>
      <w:r w:rsidRPr="00A07F29">
        <w:rPr>
          <w:rFonts w:ascii="Times New Roman" w:eastAsia="Calibri" w:hAnsi="Times New Roman" w:cs="Times New Roman"/>
          <w:sz w:val="24"/>
          <w:szCs w:val="24"/>
        </w:rPr>
        <w:t>Birdlife</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International</w:t>
      </w:r>
      <w:proofErr w:type="spellEnd"/>
      <w:r w:rsidR="00F2117E">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2019). Īstermiņa (2007</w:t>
      </w:r>
      <w:r w:rsidR="005C7C77">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5C7C77">
        <w:rPr>
          <w:rFonts w:ascii="Times New Roman" w:eastAsia="Calibri" w:hAnsi="Times New Roman" w:cs="Times New Roman"/>
          <w:sz w:val="24"/>
          <w:szCs w:val="24"/>
        </w:rPr>
        <w:t> </w:t>
      </w:r>
      <w:r w:rsidRPr="00A07F29">
        <w:rPr>
          <w:rFonts w:ascii="Times New Roman" w:eastAsia="Calibri" w:hAnsi="Times New Roman" w:cs="Times New Roman"/>
          <w:sz w:val="24"/>
          <w:szCs w:val="24"/>
        </w:rPr>
        <w:t>2018) populācijas skaita tendence negatīva; sugas ligzdošanas vietās izveidojami mikroliegumi.</w:t>
      </w:r>
    </w:p>
    <w:p w14:paraId="3D578EB4" w14:textId="00207F82"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AAA “Augšdaugava” zināms ilggadīgs ligzdošanas iecirknis </w:t>
      </w:r>
      <w:proofErr w:type="spellStart"/>
      <w:r w:rsidRPr="00A07F29">
        <w:rPr>
          <w:rFonts w:ascii="Times New Roman" w:eastAsia="Calibri" w:hAnsi="Times New Roman" w:cs="Times New Roman"/>
          <w:sz w:val="24"/>
          <w:szCs w:val="24"/>
        </w:rPr>
        <w:t>Daugavsargu</w:t>
      </w:r>
      <w:proofErr w:type="spellEnd"/>
      <w:r w:rsidRPr="00A07F29">
        <w:rPr>
          <w:rFonts w:ascii="Times New Roman" w:eastAsia="Calibri" w:hAnsi="Times New Roman" w:cs="Times New Roman"/>
          <w:sz w:val="24"/>
          <w:szCs w:val="24"/>
        </w:rPr>
        <w:t xml:space="preserve"> lokā; 80. kvartāla 12.</w:t>
      </w:r>
      <w:r w:rsidR="00A52666">
        <w:rPr>
          <w:rFonts w:ascii="Times New Roman" w:eastAsia="Calibri" w:hAnsi="Times New Roman" w:cs="Times New Roman"/>
          <w:sz w:val="24"/>
          <w:szCs w:val="24"/>
        </w:rPr>
        <w:t> </w:t>
      </w:r>
      <w:r w:rsidRPr="00A07F29">
        <w:rPr>
          <w:rFonts w:ascii="Times New Roman" w:eastAsia="Calibri" w:hAnsi="Times New Roman" w:cs="Times New Roman"/>
          <w:sz w:val="24"/>
          <w:szCs w:val="24"/>
        </w:rPr>
        <w:t>nogabalā, kur 2019.</w:t>
      </w:r>
      <w:r w:rsidR="00A52666">
        <w:rPr>
          <w:rFonts w:ascii="Times New Roman" w:eastAsia="Calibri" w:hAnsi="Times New Roman" w:cs="Times New Roman"/>
          <w:sz w:val="24"/>
          <w:szCs w:val="24"/>
        </w:rPr>
        <w:t> </w:t>
      </w:r>
      <w:r w:rsidRPr="00A07F29">
        <w:rPr>
          <w:rFonts w:ascii="Times New Roman" w:eastAsia="Calibri" w:hAnsi="Times New Roman" w:cs="Times New Roman"/>
          <w:sz w:val="24"/>
          <w:szCs w:val="24"/>
        </w:rPr>
        <w:t>gadā konstatēta apdzīvota ligzda ar mazuļiem (A. Kalvāns). Apsekojot zināmo ligzdu 2020.</w:t>
      </w:r>
      <w:r w:rsidR="00A52666">
        <w:rPr>
          <w:rFonts w:ascii="Times New Roman" w:eastAsia="Calibri" w:hAnsi="Times New Roman" w:cs="Times New Roman"/>
          <w:sz w:val="24"/>
          <w:szCs w:val="24"/>
        </w:rPr>
        <w:t> </w:t>
      </w:r>
      <w:r w:rsidRPr="00A07F29">
        <w:rPr>
          <w:rFonts w:ascii="Times New Roman" w:eastAsia="Calibri" w:hAnsi="Times New Roman" w:cs="Times New Roman"/>
          <w:sz w:val="24"/>
          <w:szCs w:val="24"/>
        </w:rPr>
        <w:t>gadā, ligzdas tiešā tuvumā konstatēts vokalizējošs vistu vanaga tēviņš; ligzda labā stāvoklī, bet neapdzīvota. Iespējams, tuvumā atrodas jauna, nezināma vistu vanaga ligzdošanas vieta.</w:t>
      </w:r>
    </w:p>
    <w:p w14:paraId="630A5958" w14:textId="32515F19"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Divi nesen izvesti jaunie putni 2019.</w:t>
      </w:r>
      <w:r w:rsidR="00A52666">
        <w:rPr>
          <w:rFonts w:ascii="Times New Roman" w:eastAsia="Calibri" w:hAnsi="Times New Roman" w:cs="Times New Roman"/>
          <w:sz w:val="24"/>
          <w:szCs w:val="24"/>
        </w:rPr>
        <w:t> gada 28. jūlijā</w:t>
      </w:r>
      <w:r w:rsidRPr="00A07F29">
        <w:rPr>
          <w:rFonts w:ascii="Times New Roman" w:eastAsia="Calibri" w:hAnsi="Times New Roman" w:cs="Times New Roman"/>
          <w:sz w:val="24"/>
          <w:szCs w:val="24"/>
        </w:rPr>
        <w:t xml:space="preserve"> konstatēti privātā valdījumā esošā mežaudzē Mazo Muļķu apkārtnē (G. </w:t>
      </w:r>
      <w:proofErr w:type="spellStart"/>
      <w:r w:rsidRPr="00A07F29">
        <w:rPr>
          <w:rFonts w:ascii="Times New Roman" w:eastAsia="Calibri" w:hAnsi="Times New Roman" w:cs="Times New Roman"/>
          <w:sz w:val="24"/>
          <w:szCs w:val="24"/>
        </w:rPr>
        <w:t>Grandāns</w:t>
      </w:r>
      <w:proofErr w:type="spellEnd"/>
      <w:r w:rsidRPr="00A07F29">
        <w:rPr>
          <w:rFonts w:ascii="Times New Roman" w:eastAsia="Calibri" w:hAnsi="Times New Roman" w:cs="Times New Roman"/>
          <w:sz w:val="24"/>
          <w:szCs w:val="24"/>
        </w:rPr>
        <w:t>). Pieaugušais putns</w:t>
      </w:r>
      <w:r w:rsidR="00106943">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nesot barību</w:t>
      </w:r>
      <w:r w:rsidR="00106943">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novērots 2019.</w:t>
      </w:r>
      <w:r w:rsidR="00106943">
        <w:rPr>
          <w:rFonts w:ascii="Times New Roman" w:eastAsia="Calibri" w:hAnsi="Times New Roman" w:cs="Times New Roman"/>
          <w:sz w:val="24"/>
          <w:szCs w:val="24"/>
        </w:rPr>
        <w:t> gada 3. jūlijā</w:t>
      </w:r>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Lielbornes</w:t>
      </w:r>
      <w:proofErr w:type="spellEnd"/>
      <w:r w:rsidRPr="00A07F29">
        <w:rPr>
          <w:rFonts w:ascii="Times New Roman" w:eastAsia="Calibri" w:hAnsi="Times New Roman" w:cs="Times New Roman"/>
          <w:sz w:val="24"/>
          <w:szCs w:val="24"/>
        </w:rPr>
        <w:t xml:space="preserve"> apkārtnē aizlidojam </w:t>
      </w:r>
      <w:proofErr w:type="spellStart"/>
      <w:r w:rsidRPr="00A07F29">
        <w:rPr>
          <w:rFonts w:ascii="Times New Roman" w:eastAsia="Calibri" w:hAnsi="Times New Roman" w:cs="Times New Roman"/>
          <w:sz w:val="24"/>
          <w:szCs w:val="24"/>
        </w:rPr>
        <w:t>Rudņas</w:t>
      </w:r>
      <w:proofErr w:type="spellEnd"/>
      <w:r w:rsidRPr="00A07F29">
        <w:rPr>
          <w:rFonts w:ascii="Times New Roman" w:eastAsia="Calibri" w:hAnsi="Times New Roman" w:cs="Times New Roman"/>
          <w:sz w:val="24"/>
          <w:szCs w:val="24"/>
        </w:rPr>
        <w:t xml:space="preserve"> loka virzienā. </w:t>
      </w:r>
    </w:p>
    <w:p w14:paraId="1F126986" w14:textId="2E5B455E"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Teritoriāls pāris konstatēts 2020.</w:t>
      </w:r>
      <w:r w:rsidR="00106943">
        <w:rPr>
          <w:rFonts w:ascii="Times New Roman" w:eastAsia="Calibri" w:hAnsi="Times New Roman" w:cs="Times New Roman"/>
          <w:sz w:val="24"/>
          <w:szCs w:val="24"/>
        </w:rPr>
        <w:t> gada 28. martā</w:t>
      </w:r>
      <w:r w:rsidRPr="00A07F29">
        <w:rPr>
          <w:rFonts w:ascii="Times New Roman" w:eastAsia="Calibri" w:hAnsi="Times New Roman" w:cs="Times New Roman"/>
          <w:sz w:val="24"/>
          <w:szCs w:val="24"/>
        </w:rPr>
        <w:t xml:space="preserve"> un 2020.</w:t>
      </w:r>
      <w:r w:rsidR="00106943">
        <w:rPr>
          <w:rFonts w:ascii="Times New Roman" w:eastAsia="Calibri" w:hAnsi="Times New Roman" w:cs="Times New Roman"/>
          <w:sz w:val="24"/>
          <w:szCs w:val="24"/>
        </w:rPr>
        <w:t> gada 10. aprīlī</w:t>
      </w:r>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Borovkas</w:t>
      </w:r>
      <w:proofErr w:type="spellEnd"/>
      <w:r w:rsidRPr="00A07F29">
        <w:rPr>
          <w:rFonts w:ascii="Times New Roman" w:eastAsia="Calibri" w:hAnsi="Times New Roman" w:cs="Times New Roman"/>
          <w:sz w:val="24"/>
          <w:szCs w:val="24"/>
        </w:rPr>
        <w:t xml:space="preserve"> apkārtnē, 232. un 233.</w:t>
      </w:r>
      <w:r w:rsidR="00106943">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kvartāla vecākajās mežaudzēs. Vokalizējoši vistu vanaga tēviņi konstatēti arī </w:t>
      </w:r>
      <w:proofErr w:type="spellStart"/>
      <w:r w:rsidRPr="00A07F29">
        <w:rPr>
          <w:rFonts w:ascii="Times New Roman" w:eastAsia="Calibri" w:hAnsi="Times New Roman" w:cs="Times New Roman"/>
          <w:sz w:val="24"/>
          <w:szCs w:val="24"/>
        </w:rPr>
        <w:t>Elernes</w:t>
      </w:r>
      <w:proofErr w:type="spellEnd"/>
      <w:r w:rsidRPr="00A07F29">
        <w:rPr>
          <w:rFonts w:ascii="Times New Roman" w:eastAsia="Calibri" w:hAnsi="Times New Roman" w:cs="Times New Roman"/>
          <w:sz w:val="24"/>
          <w:szCs w:val="24"/>
        </w:rPr>
        <w:t xml:space="preserve"> loka 243.</w:t>
      </w:r>
      <w:r w:rsidR="0028570D">
        <w:rPr>
          <w:rFonts w:ascii="Times New Roman" w:eastAsia="Calibri" w:hAnsi="Times New Roman" w:cs="Times New Roman"/>
          <w:sz w:val="24"/>
          <w:szCs w:val="24"/>
        </w:rPr>
        <w:t> </w:t>
      </w:r>
      <w:r w:rsidRPr="00A07F29">
        <w:rPr>
          <w:rFonts w:ascii="Times New Roman" w:eastAsia="Calibri" w:hAnsi="Times New Roman" w:cs="Times New Roman"/>
          <w:sz w:val="24"/>
          <w:szCs w:val="24"/>
        </w:rPr>
        <w:t>kvartāla apkārtnē un Zvejnieku loka 258.</w:t>
      </w:r>
      <w:r w:rsidR="0028570D">
        <w:rPr>
          <w:rFonts w:ascii="Times New Roman" w:eastAsia="Calibri" w:hAnsi="Times New Roman" w:cs="Times New Roman"/>
          <w:sz w:val="24"/>
          <w:szCs w:val="24"/>
        </w:rPr>
        <w:t> </w:t>
      </w:r>
      <w:r w:rsidRPr="00A07F29">
        <w:rPr>
          <w:rFonts w:ascii="Times New Roman" w:eastAsia="Calibri" w:hAnsi="Times New Roman" w:cs="Times New Roman"/>
          <w:sz w:val="24"/>
          <w:szCs w:val="24"/>
        </w:rPr>
        <w:t>kvartāla apkārtnē.</w:t>
      </w:r>
    </w:p>
    <w:p w14:paraId="20670A61" w14:textId="60D1F9DB"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Skaita vērtējums teritorijā: 3</w:t>
      </w:r>
      <w:r w:rsidR="0028570D">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28570D">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5 ligzdojoši pāri. Suga iekļauta </w:t>
      </w:r>
      <w:proofErr w:type="spellStart"/>
      <w:r w:rsidRPr="00A07F29">
        <w:rPr>
          <w:rFonts w:ascii="Times New Roman" w:eastAsia="Calibri" w:hAnsi="Times New Roman" w:cs="Times New Roman"/>
          <w:i/>
          <w:iCs/>
          <w:sz w:val="24"/>
          <w:szCs w:val="24"/>
        </w:rPr>
        <w:t>Natura</w:t>
      </w:r>
      <w:proofErr w:type="spellEnd"/>
      <w:r w:rsidRPr="00A07F29">
        <w:rPr>
          <w:rFonts w:ascii="Times New Roman" w:eastAsia="Calibri" w:hAnsi="Times New Roman" w:cs="Times New Roman"/>
          <w:i/>
          <w:iCs/>
          <w:sz w:val="24"/>
          <w:szCs w:val="24"/>
        </w:rPr>
        <w:t xml:space="preserve"> 2000</w:t>
      </w:r>
      <w:r w:rsidRPr="00A07F29">
        <w:rPr>
          <w:rFonts w:ascii="Times New Roman" w:eastAsia="Calibri" w:hAnsi="Times New Roman" w:cs="Times New Roman"/>
          <w:sz w:val="24"/>
          <w:szCs w:val="24"/>
        </w:rPr>
        <w:t xml:space="preserve"> </w:t>
      </w:r>
      <w:r w:rsidR="002C65DE" w:rsidRPr="002C65DE">
        <w:rPr>
          <w:rFonts w:ascii="Times New Roman" w:eastAsia="Calibri" w:hAnsi="Times New Roman" w:cs="Times New Roman"/>
          <w:sz w:val="24"/>
          <w:szCs w:val="24"/>
        </w:rPr>
        <w:t>SDF</w:t>
      </w:r>
      <w:r w:rsidRPr="002C65DE">
        <w:rPr>
          <w:rFonts w:ascii="Times New Roman" w:eastAsia="Calibri" w:hAnsi="Times New Roman" w:cs="Times New Roman"/>
          <w:sz w:val="24"/>
          <w:szCs w:val="24"/>
        </w:rPr>
        <w:t>.</w:t>
      </w:r>
    </w:p>
    <w:p w14:paraId="2C05F6C4" w14:textId="77777777" w:rsidR="009A4BC5" w:rsidRPr="00A07F29" w:rsidRDefault="009A4BC5" w:rsidP="00A467AC">
      <w:pPr>
        <w:keepNext/>
        <w:spacing w:before="240" w:after="120" w:line="240" w:lineRule="auto"/>
        <w:jc w:val="both"/>
        <w:rPr>
          <w:rFonts w:ascii="Times New Roman" w:eastAsia="Calibri" w:hAnsi="Times New Roman" w:cs="Times New Roman"/>
          <w:b/>
          <w:bCs/>
          <w:i/>
          <w:iCs/>
          <w:sz w:val="24"/>
          <w:szCs w:val="24"/>
        </w:rPr>
      </w:pPr>
      <w:r w:rsidRPr="00A07F29">
        <w:rPr>
          <w:rFonts w:ascii="Times New Roman" w:eastAsia="Calibri" w:hAnsi="Times New Roman" w:cs="Times New Roman"/>
          <w:b/>
          <w:bCs/>
          <w:sz w:val="24"/>
          <w:szCs w:val="24"/>
        </w:rPr>
        <w:t xml:space="preserve">Mazais ērglis </w:t>
      </w:r>
      <w:proofErr w:type="spellStart"/>
      <w:r w:rsidRPr="00A07F29">
        <w:rPr>
          <w:rFonts w:ascii="Times New Roman" w:eastAsia="Calibri" w:hAnsi="Times New Roman" w:cs="Times New Roman"/>
          <w:b/>
          <w:bCs/>
          <w:i/>
          <w:iCs/>
          <w:sz w:val="24"/>
          <w:szCs w:val="24"/>
        </w:rPr>
        <w:t>Clanga</w:t>
      </w:r>
      <w:proofErr w:type="spellEnd"/>
      <w:r w:rsidRPr="00A07F29">
        <w:rPr>
          <w:rFonts w:ascii="Times New Roman" w:eastAsia="Calibri" w:hAnsi="Times New Roman" w:cs="Times New Roman"/>
          <w:b/>
          <w:bCs/>
          <w:i/>
          <w:iCs/>
          <w:sz w:val="24"/>
          <w:szCs w:val="24"/>
        </w:rPr>
        <w:t xml:space="preserve"> </w:t>
      </w:r>
      <w:proofErr w:type="spellStart"/>
      <w:r w:rsidRPr="00A07F29">
        <w:rPr>
          <w:rFonts w:ascii="Times New Roman" w:eastAsia="Calibri" w:hAnsi="Times New Roman" w:cs="Times New Roman"/>
          <w:b/>
          <w:bCs/>
          <w:i/>
          <w:iCs/>
          <w:sz w:val="24"/>
          <w:szCs w:val="24"/>
        </w:rPr>
        <w:t>pomarina</w:t>
      </w:r>
      <w:proofErr w:type="spellEnd"/>
    </w:p>
    <w:p w14:paraId="7BD89AA3" w14:textId="6C58DCFD"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Populācijas lielums Latvijā: 3753</w:t>
      </w:r>
      <w:r w:rsidR="0028570D">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28570D">
        <w:rPr>
          <w:rFonts w:ascii="Times New Roman" w:eastAsia="Calibri" w:hAnsi="Times New Roman" w:cs="Times New Roman"/>
          <w:sz w:val="24"/>
          <w:szCs w:val="24"/>
        </w:rPr>
        <w:t> </w:t>
      </w:r>
      <w:r w:rsidRPr="00A07F29">
        <w:rPr>
          <w:rFonts w:ascii="Times New Roman" w:eastAsia="Calibri" w:hAnsi="Times New Roman" w:cs="Times New Roman"/>
          <w:sz w:val="24"/>
          <w:szCs w:val="24"/>
        </w:rPr>
        <w:t>4914 ligzdojošo pāri (</w:t>
      </w:r>
      <w:proofErr w:type="spellStart"/>
      <w:r w:rsidRPr="00A07F29">
        <w:rPr>
          <w:rFonts w:ascii="Times New Roman" w:eastAsia="Calibri" w:hAnsi="Times New Roman" w:cs="Times New Roman"/>
          <w:sz w:val="24"/>
          <w:szCs w:val="24"/>
        </w:rPr>
        <w:t>Birdlife</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International</w:t>
      </w:r>
      <w:proofErr w:type="spellEnd"/>
      <w:r w:rsidR="00F2117E">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2019). Mazie ērgļi atšķirīgā ligzdošanas blīvumā ir sastopami visā Latvijas teritorijā. Tie izvairās no plašiem </w:t>
      </w:r>
      <w:proofErr w:type="spellStart"/>
      <w:r w:rsidRPr="00A07F29">
        <w:rPr>
          <w:rFonts w:ascii="Times New Roman" w:eastAsia="Calibri" w:hAnsi="Times New Roman" w:cs="Times New Roman"/>
          <w:sz w:val="24"/>
          <w:szCs w:val="24"/>
        </w:rPr>
        <w:t>sausieņu</w:t>
      </w:r>
      <w:proofErr w:type="spellEnd"/>
      <w:r w:rsidRPr="00A07F29">
        <w:rPr>
          <w:rFonts w:ascii="Times New Roman" w:eastAsia="Calibri" w:hAnsi="Times New Roman" w:cs="Times New Roman"/>
          <w:sz w:val="24"/>
          <w:szCs w:val="24"/>
        </w:rPr>
        <w:t xml:space="preserve"> priežu mežiem un ligzdo</w:t>
      </w:r>
      <w:r w:rsidR="006D55A7">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galvenokārt</w:t>
      </w:r>
      <w:r w:rsidR="006D55A7">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mežsaimnieciski maz ietekmētos </w:t>
      </w:r>
      <w:r w:rsidRPr="00A07F29">
        <w:rPr>
          <w:rFonts w:ascii="Times New Roman" w:eastAsia="Calibri" w:hAnsi="Times New Roman" w:cs="Times New Roman"/>
          <w:sz w:val="24"/>
          <w:szCs w:val="24"/>
        </w:rPr>
        <w:lastRenderedPageBreak/>
        <w:t>pieaugušos auglīgo tipu mežos</w:t>
      </w:r>
      <w:r w:rsidR="006D55A7">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lauksaimniecībā izmantojamo zemju un</w:t>
      </w:r>
      <w:r w:rsidR="006D55A7">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jo īpaši zālāju tuvumā (Bergmanis</w:t>
      </w:r>
      <w:r w:rsidR="00D43B0D">
        <w:rPr>
          <w:rFonts w:ascii="Times New Roman" w:eastAsia="Calibri" w:hAnsi="Times New Roman" w:cs="Times New Roman"/>
          <w:sz w:val="24"/>
          <w:szCs w:val="24"/>
        </w:rPr>
        <w:t xml:space="preserve"> U.,</w:t>
      </w:r>
      <w:r w:rsidRPr="00A07F29">
        <w:rPr>
          <w:rFonts w:ascii="Times New Roman" w:eastAsia="Calibri" w:hAnsi="Times New Roman" w:cs="Times New Roman"/>
          <w:sz w:val="24"/>
          <w:szCs w:val="24"/>
        </w:rPr>
        <w:t xml:space="preserve"> 2019).</w:t>
      </w:r>
    </w:p>
    <w:p w14:paraId="3FB14C76" w14:textId="7E18FC6F" w:rsidR="009A4BC5" w:rsidRPr="00A07F29" w:rsidRDefault="009A4BC5" w:rsidP="009A4BC5">
      <w:pPr>
        <w:autoSpaceDE w:val="0"/>
        <w:autoSpaceDN w:val="0"/>
        <w:adjustRightInd w:val="0"/>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Nozīmīgākais mazā ērgļa barošanās biotops ir lauksaimniecībā ekstensīvi izmantotās zemes – pļavas, zālāji, atmatas. Mazā ērgļa nozīmīgākie barības objekti – peļveidīgie grauzēji, vardes un kurmji, dzīvo</w:t>
      </w:r>
      <w:r w:rsidR="00C50347">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galvenokārt</w:t>
      </w:r>
      <w:r w:rsidR="00C50347">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atklātos biotopos – lauksaimniecībā izmantojamās zemēs un barības pieejamība ir nozīmīgākais ligzdošanas sekmes ietekmējošais faktors (Bergmanis U.</w:t>
      </w:r>
      <w:r w:rsidR="00DE3F45">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2019).</w:t>
      </w:r>
    </w:p>
    <w:p w14:paraId="0FCF1E6A" w14:textId="40DFE7E8" w:rsidR="009A4BC5" w:rsidRPr="00A07F29" w:rsidRDefault="009A4BC5" w:rsidP="009A4BC5">
      <w:pPr>
        <w:autoSpaceDE w:val="0"/>
        <w:autoSpaceDN w:val="0"/>
        <w:adjustRightInd w:val="0"/>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Būtiska nozīme </w:t>
      </w:r>
      <w:proofErr w:type="spellStart"/>
      <w:r w:rsidRPr="00A07F29">
        <w:rPr>
          <w:rFonts w:ascii="Times New Roman" w:eastAsia="Calibri" w:hAnsi="Times New Roman" w:cs="Times New Roman"/>
          <w:sz w:val="24"/>
          <w:szCs w:val="24"/>
        </w:rPr>
        <w:t>gaides</w:t>
      </w:r>
      <w:proofErr w:type="spellEnd"/>
      <w:r w:rsidRPr="00A07F29">
        <w:rPr>
          <w:rFonts w:ascii="Times New Roman" w:eastAsia="Calibri" w:hAnsi="Times New Roman" w:cs="Times New Roman"/>
          <w:sz w:val="24"/>
          <w:szCs w:val="24"/>
        </w:rPr>
        <w:t xml:space="preserve"> medībās ir arī ainavas elementiem, kas ērgļiem dod iespēju novērot barības objektus no paaugstinājuma. Vidēji 61</w:t>
      </w:r>
      <w:r w:rsidR="00DE3F45">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 no </w:t>
      </w:r>
      <w:proofErr w:type="spellStart"/>
      <w:r w:rsidRPr="00A07F29">
        <w:rPr>
          <w:rFonts w:ascii="Times New Roman" w:eastAsia="Calibri" w:hAnsi="Times New Roman" w:cs="Times New Roman"/>
          <w:sz w:val="24"/>
          <w:szCs w:val="24"/>
        </w:rPr>
        <w:t>gaides</w:t>
      </w:r>
      <w:proofErr w:type="spellEnd"/>
      <w:r w:rsidRPr="00A07F29">
        <w:rPr>
          <w:rFonts w:ascii="Times New Roman" w:eastAsia="Calibri" w:hAnsi="Times New Roman" w:cs="Times New Roman"/>
          <w:sz w:val="24"/>
          <w:szCs w:val="24"/>
        </w:rPr>
        <w:t xml:space="preserve"> medību laika kā paaugstinājums tiek izmantota mežmala. Būtiski ir arī citi ilglaicīgi paaugstinājumi – atsevišķi augoši koki un koku grupas, kas turklāt ir arī </w:t>
      </w:r>
      <w:proofErr w:type="spellStart"/>
      <w:r w:rsidRPr="00A07F29">
        <w:rPr>
          <w:rFonts w:ascii="Times New Roman" w:eastAsia="Calibri" w:hAnsi="Times New Roman" w:cs="Times New Roman"/>
          <w:sz w:val="24"/>
          <w:szCs w:val="24"/>
        </w:rPr>
        <w:t>mikroekosistēmas</w:t>
      </w:r>
      <w:proofErr w:type="spellEnd"/>
      <w:r w:rsidRPr="00A07F29">
        <w:rPr>
          <w:rFonts w:ascii="Times New Roman" w:eastAsia="Calibri" w:hAnsi="Times New Roman" w:cs="Times New Roman"/>
          <w:sz w:val="24"/>
          <w:szCs w:val="24"/>
        </w:rPr>
        <w:t>, kurās ir paaugstināts barības objektu, īpaši peļveidīgo grauzēju, skaits (Bergmanis U.</w:t>
      </w:r>
      <w:r w:rsidR="006E773D">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2019).</w:t>
      </w:r>
    </w:p>
    <w:p w14:paraId="17CE904B" w14:textId="1A6CD6AA"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Vienīgā pierādītā mazā ērgļa ligzdošana AAA “Augšdaugava” konstatēta 2017.</w:t>
      </w:r>
      <w:r w:rsidR="006E773D">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gadā Kaplavas pagasta </w:t>
      </w:r>
      <w:proofErr w:type="spellStart"/>
      <w:r w:rsidRPr="00A07F29">
        <w:rPr>
          <w:rFonts w:ascii="Times New Roman" w:eastAsia="Calibri" w:hAnsi="Times New Roman" w:cs="Times New Roman"/>
          <w:sz w:val="24"/>
          <w:szCs w:val="24"/>
        </w:rPr>
        <w:t>Matulišķu</w:t>
      </w:r>
      <w:proofErr w:type="spellEnd"/>
      <w:r w:rsidRPr="00A07F29">
        <w:rPr>
          <w:rFonts w:ascii="Times New Roman" w:eastAsia="Calibri" w:hAnsi="Times New Roman" w:cs="Times New Roman"/>
          <w:sz w:val="24"/>
          <w:szCs w:val="24"/>
        </w:rPr>
        <w:t xml:space="preserve"> apkārtnē. Apsekojot ligzdu 2019.</w:t>
      </w:r>
      <w:r w:rsidR="006E773D">
        <w:rPr>
          <w:rFonts w:ascii="Times New Roman" w:eastAsia="Calibri" w:hAnsi="Times New Roman" w:cs="Times New Roman"/>
          <w:sz w:val="24"/>
          <w:szCs w:val="24"/>
        </w:rPr>
        <w:t> </w:t>
      </w:r>
      <w:r w:rsidRPr="00A07F29">
        <w:rPr>
          <w:rFonts w:ascii="Times New Roman" w:eastAsia="Calibri" w:hAnsi="Times New Roman" w:cs="Times New Roman"/>
          <w:sz w:val="24"/>
          <w:szCs w:val="24"/>
        </w:rPr>
        <w:t>gadā, konstatēts, ka tā nogāzusies. Izstaigājot ligzdas apkārtnē esošās mežaudzes, netika atrastas citas lielo plēsīgo putnu ligzdas vai novērots mazais ērglis.</w:t>
      </w:r>
    </w:p>
    <w:p w14:paraId="6A82412B" w14:textId="6E4B0F5C"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Ilggadīga ligzdošanas teritorija ir zināma </w:t>
      </w:r>
      <w:proofErr w:type="spellStart"/>
      <w:r w:rsidRPr="00A07F29">
        <w:rPr>
          <w:rFonts w:ascii="Times New Roman" w:eastAsia="Calibri" w:hAnsi="Times New Roman" w:cs="Times New Roman"/>
          <w:sz w:val="24"/>
          <w:szCs w:val="24"/>
        </w:rPr>
        <w:t>Ritānu</w:t>
      </w:r>
      <w:proofErr w:type="spellEnd"/>
      <w:r w:rsidRPr="00A07F29">
        <w:rPr>
          <w:rFonts w:ascii="Times New Roman" w:eastAsia="Calibri" w:hAnsi="Times New Roman" w:cs="Times New Roman"/>
          <w:sz w:val="24"/>
          <w:szCs w:val="24"/>
        </w:rPr>
        <w:t xml:space="preserve"> apkārtnē; 2019.</w:t>
      </w:r>
      <w:r w:rsidR="003D74AC">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gadā veikto uzskaišu laikā teritoriāls pāris uzturējās </w:t>
      </w:r>
      <w:proofErr w:type="spellStart"/>
      <w:r w:rsidRPr="00A07F29">
        <w:rPr>
          <w:rFonts w:ascii="Times New Roman" w:eastAsia="Calibri" w:hAnsi="Times New Roman" w:cs="Times New Roman"/>
          <w:sz w:val="24"/>
          <w:szCs w:val="24"/>
        </w:rPr>
        <w:t>Savišku</w:t>
      </w:r>
      <w:proofErr w:type="spellEnd"/>
      <w:r w:rsidRPr="00A07F29">
        <w:rPr>
          <w:rFonts w:ascii="Times New Roman" w:eastAsia="Calibri" w:hAnsi="Times New Roman" w:cs="Times New Roman"/>
          <w:sz w:val="24"/>
          <w:szCs w:val="24"/>
        </w:rPr>
        <w:t xml:space="preserve"> apkārtnē. Atsevišķi īpatņi ir novēroti </w:t>
      </w:r>
      <w:proofErr w:type="spellStart"/>
      <w:r w:rsidRPr="00A07F29">
        <w:rPr>
          <w:rFonts w:ascii="Times New Roman" w:eastAsia="Calibri" w:hAnsi="Times New Roman" w:cs="Times New Roman"/>
          <w:sz w:val="24"/>
          <w:szCs w:val="24"/>
        </w:rPr>
        <w:t>Varnaviču</w:t>
      </w:r>
      <w:proofErr w:type="spellEnd"/>
      <w:r w:rsidRPr="00A07F29">
        <w:rPr>
          <w:rFonts w:ascii="Times New Roman" w:eastAsia="Calibri" w:hAnsi="Times New Roman" w:cs="Times New Roman"/>
          <w:sz w:val="24"/>
          <w:szCs w:val="24"/>
        </w:rPr>
        <w:t xml:space="preserve"> un Tartaka apkārtnē.</w:t>
      </w:r>
    </w:p>
    <w:p w14:paraId="220B0A1B" w14:textId="0FE1E002"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Skaita vērtējums teritorijā: 3</w:t>
      </w:r>
      <w:r w:rsidR="003D74AC">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3D74AC">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5 ligzdojoši pāri. Sugai </w:t>
      </w:r>
      <w:proofErr w:type="spellStart"/>
      <w:r w:rsidRPr="00A07F29">
        <w:rPr>
          <w:rFonts w:ascii="Times New Roman" w:eastAsia="Calibri" w:hAnsi="Times New Roman" w:cs="Times New Roman"/>
          <w:i/>
          <w:iCs/>
          <w:sz w:val="24"/>
          <w:szCs w:val="24"/>
        </w:rPr>
        <w:t>Natura</w:t>
      </w:r>
      <w:proofErr w:type="spellEnd"/>
      <w:r w:rsidRPr="00A07F29">
        <w:rPr>
          <w:rFonts w:ascii="Times New Roman" w:eastAsia="Calibri" w:hAnsi="Times New Roman" w:cs="Times New Roman"/>
          <w:i/>
          <w:iCs/>
          <w:sz w:val="24"/>
          <w:szCs w:val="24"/>
        </w:rPr>
        <w:t xml:space="preserve"> 2000</w:t>
      </w:r>
      <w:r w:rsidRPr="00A07F29">
        <w:rPr>
          <w:rFonts w:ascii="Times New Roman" w:eastAsia="Calibri" w:hAnsi="Times New Roman" w:cs="Times New Roman"/>
          <w:sz w:val="24"/>
          <w:szCs w:val="24"/>
        </w:rPr>
        <w:t xml:space="preserve"> </w:t>
      </w:r>
      <w:r w:rsidR="002C65DE">
        <w:rPr>
          <w:rFonts w:ascii="Times New Roman" w:eastAsia="Calibri" w:hAnsi="Times New Roman" w:cs="Times New Roman"/>
          <w:sz w:val="24"/>
          <w:szCs w:val="24"/>
        </w:rPr>
        <w:t>SDF</w:t>
      </w:r>
      <w:r w:rsidRPr="00A07F29">
        <w:rPr>
          <w:rFonts w:ascii="Times New Roman" w:eastAsia="Calibri" w:hAnsi="Times New Roman" w:cs="Times New Roman"/>
          <w:sz w:val="24"/>
          <w:szCs w:val="24"/>
        </w:rPr>
        <w:t xml:space="preserve"> precizēts minimālais un maksimālais populācijas lielums.</w:t>
      </w:r>
    </w:p>
    <w:p w14:paraId="1C8F6E79" w14:textId="77777777" w:rsidR="009A4BC5" w:rsidRPr="00A07F29" w:rsidRDefault="009A4BC5" w:rsidP="00AB4E4A">
      <w:pPr>
        <w:keepNext/>
        <w:spacing w:before="240" w:after="120" w:line="240" w:lineRule="auto"/>
        <w:jc w:val="both"/>
        <w:rPr>
          <w:rFonts w:ascii="Times New Roman" w:eastAsia="Calibri" w:hAnsi="Times New Roman" w:cs="Times New Roman"/>
          <w:b/>
          <w:bCs/>
          <w:i/>
          <w:iCs/>
          <w:sz w:val="24"/>
          <w:szCs w:val="24"/>
        </w:rPr>
      </w:pPr>
      <w:r w:rsidRPr="00A07F29">
        <w:rPr>
          <w:rFonts w:ascii="Times New Roman" w:eastAsia="Calibri" w:hAnsi="Times New Roman" w:cs="Times New Roman"/>
          <w:b/>
          <w:bCs/>
          <w:sz w:val="24"/>
          <w:szCs w:val="24"/>
        </w:rPr>
        <w:t xml:space="preserve">Lauku piekūns </w:t>
      </w:r>
      <w:proofErr w:type="spellStart"/>
      <w:r w:rsidRPr="00A07F29">
        <w:rPr>
          <w:rFonts w:ascii="Times New Roman" w:eastAsia="Calibri" w:hAnsi="Times New Roman" w:cs="Times New Roman"/>
          <w:b/>
          <w:bCs/>
          <w:i/>
          <w:iCs/>
          <w:sz w:val="24"/>
          <w:szCs w:val="24"/>
        </w:rPr>
        <w:t>Falco</w:t>
      </w:r>
      <w:proofErr w:type="spellEnd"/>
      <w:r w:rsidRPr="00A07F29">
        <w:rPr>
          <w:rFonts w:ascii="Times New Roman" w:eastAsia="Calibri" w:hAnsi="Times New Roman" w:cs="Times New Roman"/>
          <w:b/>
          <w:bCs/>
          <w:i/>
          <w:iCs/>
          <w:sz w:val="24"/>
          <w:szCs w:val="24"/>
        </w:rPr>
        <w:t xml:space="preserve"> </w:t>
      </w:r>
      <w:proofErr w:type="spellStart"/>
      <w:r w:rsidRPr="00A07F29">
        <w:rPr>
          <w:rFonts w:ascii="Times New Roman" w:eastAsia="Calibri" w:hAnsi="Times New Roman" w:cs="Times New Roman"/>
          <w:b/>
          <w:bCs/>
          <w:i/>
          <w:iCs/>
          <w:sz w:val="24"/>
          <w:szCs w:val="24"/>
        </w:rPr>
        <w:t>tinnunculus</w:t>
      </w:r>
      <w:proofErr w:type="spellEnd"/>
    </w:p>
    <w:p w14:paraId="458DE86E" w14:textId="5ED4D246"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Populācijas lielums Latvijā: 238</w:t>
      </w:r>
      <w:r w:rsidR="003D74AC">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3D74AC">
        <w:rPr>
          <w:rFonts w:ascii="Times New Roman" w:eastAsia="Calibri" w:hAnsi="Times New Roman" w:cs="Times New Roman"/>
          <w:sz w:val="24"/>
          <w:szCs w:val="24"/>
        </w:rPr>
        <w:t> </w:t>
      </w:r>
      <w:r w:rsidRPr="00A07F29">
        <w:rPr>
          <w:rFonts w:ascii="Times New Roman" w:eastAsia="Calibri" w:hAnsi="Times New Roman" w:cs="Times New Roman"/>
          <w:sz w:val="24"/>
          <w:szCs w:val="24"/>
        </w:rPr>
        <w:t>5439 ligzdojoši pāri (</w:t>
      </w:r>
      <w:proofErr w:type="spellStart"/>
      <w:r w:rsidRPr="00A07F29">
        <w:rPr>
          <w:rFonts w:ascii="Times New Roman" w:eastAsia="Calibri" w:hAnsi="Times New Roman" w:cs="Times New Roman"/>
          <w:sz w:val="24"/>
          <w:szCs w:val="24"/>
        </w:rPr>
        <w:t>Birdlife</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International</w:t>
      </w:r>
      <w:proofErr w:type="spellEnd"/>
      <w:r w:rsidR="00F2117E">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2019). Ligzdo dažāda veida kultūrainavā, kur lauki mijas ar viensētām un nelieliem mežu puduriem vai atsevišķiem kokiem (LOB</w:t>
      </w:r>
      <w:r w:rsidR="00F2117E">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1998). 20.</w:t>
      </w:r>
      <w:r w:rsidR="00A82792">
        <w:rPr>
          <w:rFonts w:ascii="Times New Roman" w:eastAsia="Calibri" w:hAnsi="Times New Roman" w:cs="Times New Roman"/>
          <w:sz w:val="24"/>
          <w:szCs w:val="24"/>
        </w:rPr>
        <w:t> </w:t>
      </w:r>
      <w:r w:rsidRPr="00A07F29">
        <w:rPr>
          <w:rFonts w:ascii="Times New Roman" w:eastAsia="Calibri" w:hAnsi="Times New Roman" w:cs="Times New Roman"/>
          <w:sz w:val="24"/>
          <w:szCs w:val="24"/>
        </w:rPr>
        <w:t>gadsimta sākumā lauku piekūns bija parastākais plēsīgais putns Latvijas laukos, taču gadsimta otrajā pusē to skaits sāka strauji samazināties (</w:t>
      </w:r>
      <w:proofErr w:type="spellStart"/>
      <w:r w:rsidRPr="00A07F29">
        <w:rPr>
          <w:rFonts w:ascii="Times New Roman" w:eastAsia="Calibri" w:hAnsi="Times New Roman" w:cs="Times New Roman"/>
          <w:sz w:val="24"/>
          <w:szCs w:val="24"/>
        </w:rPr>
        <w:t>Mārdega</w:t>
      </w:r>
      <w:proofErr w:type="spellEnd"/>
      <w:r w:rsidR="003E52DC">
        <w:rPr>
          <w:rFonts w:ascii="Times New Roman" w:eastAsia="Calibri" w:hAnsi="Times New Roman" w:cs="Times New Roman"/>
          <w:sz w:val="24"/>
          <w:szCs w:val="24"/>
        </w:rPr>
        <w:t xml:space="preserve"> I.,</w:t>
      </w:r>
      <w:r w:rsidRPr="00A07F29">
        <w:rPr>
          <w:rFonts w:ascii="Times New Roman" w:eastAsia="Calibri" w:hAnsi="Times New Roman" w:cs="Times New Roman"/>
          <w:sz w:val="24"/>
          <w:szCs w:val="24"/>
        </w:rPr>
        <w:t xml:space="preserve"> 2007).</w:t>
      </w:r>
    </w:p>
    <w:p w14:paraId="701AA0F2" w14:textId="652D67E5"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2016.</w:t>
      </w:r>
      <w:r w:rsidR="00DC1968">
        <w:rPr>
          <w:rFonts w:ascii="Times New Roman" w:eastAsia="Calibri" w:hAnsi="Times New Roman" w:cs="Times New Roman"/>
          <w:sz w:val="24"/>
          <w:szCs w:val="24"/>
        </w:rPr>
        <w:t> </w:t>
      </w:r>
      <w:r w:rsidRPr="00A07F29">
        <w:rPr>
          <w:rFonts w:ascii="Times New Roman" w:eastAsia="Calibri" w:hAnsi="Times New Roman" w:cs="Times New Roman"/>
          <w:sz w:val="24"/>
          <w:szCs w:val="24"/>
        </w:rPr>
        <w:t>gada maijā novērots īpatnis ligzdošanai piemērotā biotopā Piedrujas apkārtnē.</w:t>
      </w:r>
    </w:p>
    <w:p w14:paraId="489D4DB6" w14:textId="7068BCBC"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Skaita vērtējums teritorijā: 0</w:t>
      </w:r>
      <w:r w:rsidR="00DC1968">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DC1968">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1 ligzdojošs pāris. Suga iekļauta </w:t>
      </w:r>
      <w:proofErr w:type="spellStart"/>
      <w:r w:rsidRPr="00A07F29">
        <w:rPr>
          <w:rFonts w:ascii="Times New Roman" w:eastAsia="Calibri" w:hAnsi="Times New Roman" w:cs="Times New Roman"/>
          <w:i/>
          <w:iCs/>
          <w:sz w:val="24"/>
          <w:szCs w:val="24"/>
        </w:rPr>
        <w:t>Natura</w:t>
      </w:r>
      <w:proofErr w:type="spellEnd"/>
      <w:r w:rsidRPr="00A07F29">
        <w:rPr>
          <w:rFonts w:ascii="Times New Roman" w:eastAsia="Calibri" w:hAnsi="Times New Roman" w:cs="Times New Roman"/>
          <w:i/>
          <w:iCs/>
          <w:sz w:val="24"/>
          <w:szCs w:val="24"/>
        </w:rPr>
        <w:t xml:space="preserve"> 2000</w:t>
      </w:r>
      <w:r w:rsidRPr="00A07F29">
        <w:rPr>
          <w:rFonts w:ascii="Times New Roman" w:eastAsia="Calibri" w:hAnsi="Times New Roman" w:cs="Times New Roman"/>
          <w:sz w:val="24"/>
          <w:szCs w:val="24"/>
        </w:rPr>
        <w:t xml:space="preserve"> </w:t>
      </w:r>
      <w:r w:rsidR="002C65DE">
        <w:rPr>
          <w:rFonts w:ascii="Times New Roman" w:eastAsia="Calibri" w:hAnsi="Times New Roman" w:cs="Times New Roman"/>
          <w:sz w:val="24"/>
          <w:szCs w:val="24"/>
        </w:rPr>
        <w:t>SDF</w:t>
      </w:r>
      <w:r w:rsidRPr="00A07F29">
        <w:rPr>
          <w:rFonts w:ascii="Times New Roman" w:eastAsia="Calibri" w:hAnsi="Times New Roman" w:cs="Times New Roman"/>
          <w:sz w:val="24"/>
          <w:szCs w:val="24"/>
        </w:rPr>
        <w:t>.</w:t>
      </w:r>
    </w:p>
    <w:p w14:paraId="55BB2B3D" w14:textId="77777777" w:rsidR="009A4BC5" w:rsidRPr="00A07F29" w:rsidRDefault="009A4BC5" w:rsidP="009A4BC5">
      <w:pPr>
        <w:spacing w:before="240" w:after="120" w:line="240" w:lineRule="auto"/>
        <w:jc w:val="both"/>
        <w:rPr>
          <w:rFonts w:ascii="Times New Roman" w:eastAsia="Calibri" w:hAnsi="Times New Roman" w:cs="Times New Roman"/>
          <w:b/>
          <w:bCs/>
          <w:i/>
          <w:iCs/>
          <w:sz w:val="24"/>
          <w:szCs w:val="24"/>
        </w:rPr>
      </w:pPr>
      <w:r w:rsidRPr="00A07F29">
        <w:rPr>
          <w:rFonts w:ascii="Times New Roman" w:eastAsia="Calibri" w:hAnsi="Times New Roman" w:cs="Times New Roman"/>
          <w:b/>
          <w:bCs/>
          <w:sz w:val="24"/>
          <w:szCs w:val="24"/>
        </w:rPr>
        <w:t xml:space="preserve">Grieze </w:t>
      </w:r>
      <w:proofErr w:type="spellStart"/>
      <w:r w:rsidRPr="00A07F29">
        <w:rPr>
          <w:rFonts w:ascii="Times New Roman" w:eastAsia="Calibri" w:hAnsi="Times New Roman" w:cs="Times New Roman"/>
          <w:b/>
          <w:bCs/>
          <w:i/>
          <w:iCs/>
          <w:sz w:val="24"/>
          <w:szCs w:val="24"/>
        </w:rPr>
        <w:t>Crex</w:t>
      </w:r>
      <w:proofErr w:type="spellEnd"/>
      <w:r w:rsidRPr="00A07F29">
        <w:rPr>
          <w:rFonts w:ascii="Times New Roman" w:eastAsia="Calibri" w:hAnsi="Times New Roman" w:cs="Times New Roman"/>
          <w:b/>
          <w:bCs/>
          <w:i/>
          <w:iCs/>
          <w:sz w:val="24"/>
          <w:szCs w:val="24"/>
        </w:rPr>
        <w:t xml:space="preserve"> </w:t>
      </w:r>
      <w:proofErr w:type="spellStart"/>
      <w:r w:rsidRPr="00A07F29">
        <w:rPr>
          <w:rFonts w:ascii="Times New Roman" w:eastAsia="Calibri" w:hAnsi="Times New Roman" w:cs="Times New Roman"/>
          <w:b/>
          <w:bCs/>
          <w:i/>
          <w:iCs/>
          <w:sz w:val="24"/>
          <w:szCs w:val="24"/>
        </w:rPr>
        <w:t>crex</w:t>
      </w:r>
      <w:proofErr w:type="spellEnd"/>
    </w:p>
    <w:p w14:paraId="0876A120" w14:textId="57B26F9B"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Populācijas lielums Latvijā: 30874</w:t>
      </w:r>
      <w:r w:rsidR="00046CCC">
        <w:rPr>
          <w:rFonts w:ascii="Times New Roman" w:eastAsia="Calibri" w:hAnsi="Times New Roman" w:cs="Times New Roman"/>
          <w:sz w:val="24"/>
          <w:szCs w:val="24"/>
        </w:rPr>
        <w:t> </w:t>
      </w:r>
      <w:r w:rsidRPr="00A07F29">
        <w:rPr>
          <w:rFonts w:ascii="Times New Roman" w:eastAsia="Calibri" w:hAnsi="Times New Roman" w:cs="Times New Roman"/>
          <w:sz w:val="24"/>
          <w:szCs w:val="24"/>
        </w:rPr>
        <w:t>– 111512</w:t>
      </w:r>
      <w:r w:rsidR="00046CCC">
        <w:rPr>
          <w:rFonts w:ascii="Times New Roman" w:eastAsia="Calibri" w:hAnsi="Times New Roman" w:cs="Times New Roman"/>
          <w:sz w:val="24"/>
          <w:szCs w:val="24"/>
        </w:rPr>
        <w:t> </w:t>
      </w:r>
      <w:r w:rsidRPr="00A07F29">
        <w:rPr>
          <w:rFonts w:ascii="Times New Roman" w:eastAsia="Calibri" w:hAnsi="Times New Roman" w:cs="Times New Roman"/>
          <w:sz w:val="24"/>
          <w:szCs w:val="24"/>
        </w:rPr>
        <w:t>pāri (</w:t>
      </w:r>
      <w:proofErr w:type="spellStart"/>
      <w:r w:rsidRPr="00A07F29">
        <w:rPr>
          <w:rFonts w:ascii="Times New Roman" w:eastAsia="Calibri" w:hAnsi="Times New Roman" w:cs="Times New Roman"/>
          <w:sz w:val="24"/>
          <w:szCs w:val="24"/>
        </w:rPr>
        <w:t>Birdlife</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International</w:t>
      </w:r>
      <w:proofErr w:type="spellEnd"/>
      <w:r w:rsidR="00F2117E">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2019). Dažāda veida atklātajā ainavā Latvijā samērā bieži sastopama suga. Pēc skaita pieauguma pagājušā gadsimta deviņdesmitajos gados (liels daudzums atmatu, neintensīva un neefektīva lauksaimniecības prakse) sugas īstermiņa (2006</w:t>
      </w:r>
      <w:r w:rsidR="00724D23">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724D23">
        <w:rPr>
          <w:rFonts w:ascii="Times New Roman" w:eastAsia="Calibri" w:hAnsi="Times New Roman" w:cs="Times New Roman"/>
          <w:sz w:val="24"/>
          <w:szCs w:val="24"/>
        </w:rPr>
        <w:t> </w:t>
      </w:r>
      <w:r w:rsidRPr="00A07F29">
        <w:rPr>
          <w:rFonts w:ascii="Times New Roman" w:eastAsia="Calibri" w:hAnsi="Times New Roman" w:cs="Times New Roman"/>
          <w:sz w:val="24"/>
          <w:szCs w:val="24"/>
        </w:rPr>
        <w:t>2018) populācijas tendence ir negatīva.</w:t>
      </w:r>
    </w:p>
    <w:p w14:paraId="4A0FF38F" w14:textId="289697DD"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Iepriekš veiktajās maršrutu uzskaitēs </w:t>
      </w:r>
      <w:proofErr w:type="spellStart"/>
      <w:r w:rsidRPr="00A07F29">
        <w:rPr>
          <w:rFonts w:ascii="Times New Roman" w:eastAsia="Calibri" w:hAnsi="Times New Roman" w:cs="Times New Roman"/>
          <w:i/>
          <w:iCs/>
          <w:sz w:val="24"/>
          <w:szCs w:val="24"/>
        </w:rPr>
        <w:t>Natura</w:t>
      </w:r>
      <w:proofErr w:type="spellEnd"/>
      <w:r w:rsidRPr="00A07F29">
        <w:rPr>
          <w:rFonts w:ascii="Times New Roman" w:eastAsia="Calibri" w:hAnsi="Times New Roman" w:cs="Times New Roman"/>
          <w:i/>
          <w:iCs/>
          <w:sz w:val="24"/>
          <w:szCs w:val="24"/>
        </w:rPr>
        <w:t xml:space="preserve"> 2000</w:t>
      </w:r>
      <w:r w:rsidRPr="00A07F29">
        <w:rPr>
          <w:rFonts w:ascii="Times New Roman" w:eastAsia="Calibri" w:hAnsi="Times New Roman" w:cs="Times New Roman"/>
          <w:sz w:val="24"/>
          <w:szCs w:val="24"/>
        </w:rPr>
        <w:t xml:space="preserve"> vietu monitoringa laikā ligzdojošo griežu populācija teritorijā novērtēta kā 400</w:t>
      </w:r>
      <w:r w:rsidR="00724D23">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724D23">
        <w:rPr>
          <w:rFonts w:ascii="Times New Roman" w:eastAsia="Calibri" w:hAnsi="Times New Roman" w:cs="Times New Roman"/>
          <w:sz w:val="24"/>
          <w:szCs w:val="24"/>
        </w:rPr>
        <w:t> </w:t>
      </w:r>
      <w:r w:rsidRPr="00A07F29">
        <w:rPr>
          <w:rFonts w:ascii="Times New Roman" w:eastAsia="Calibri" w:hAnsi="Times New Roman" w:cs="Times New Roman"/>
          <w:sz w:val="24"/>
          <w:szCs w:val="24"/>
        </w:rPr>
        <w:t>500 pāri (G. </w:t>
      </w:r>
      <w:proofErr w:type="spellStart"/>
      <w:r w:rsidRPr="00A07F29">
        <w:rPr>
          <w:rFonts w:ascii="Times New Roman" w:eastAsia="Calibri" w:hAnsi="Times New Roman" w:cs="Times New Roman"/>
          <w:sz w:val="24"/>
          <w:szCs w:val="24"/>
        </w:rPr>
        <w:t>Grandāns</w:t>
      </w:r>
      <w:proofErr w:type="spellEnd"/>
      <w:r w:rsidRPr="00A07F29">
        <w:rPr>
          <w:rFonts w:ascii="Times New Roman" w:eastAsia="Calibri" w:hAnsi="Times New Roman" w:cs="Times New Roman"/>
          <w:sz w:val="24"/>
          <w:szCs w:val="24"/>
        </w:rPr>
        <w:t>; 2012.</w:t>
      </w:r>
      <w:r w:rsidR="00724D23">
        <w:rPr>
          <w:rFonts w:ascii="Times New Roman" w:eastAsia="Calibri" w:hAnsi="Times New Roman" w:cs="Times New Roman"/>
          <w:sz w:val="24"/>
          <w:szCs w:val="24"/>
        </w:rPr>
        <w:t> </w:t>
      </w:r>
      <w:r w:rsidRPr="00A07F29">
        <w:rPr>
          <w:rFonts w:ascii="Times New Roman" w:eastAsia="Calibri" w:hAnsi="Times New Roman" w:cs="Times New Roman"/>
          <w:sz w:val="24"/>
          <w:szCs w:val="24"/>
        </w:rPr>
        <w:t>gads) un 130</w:t>
      </w:r>
      <w:r w:rsidR="00724D23">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724D23">
        <w:rPr>
          <w:rFonts w:ascii="Times New Roman" w:eastAsia="Calibri" w:hAnsi="Times New Roman" w:cs="Times New Roman"/>
          <w:sz w:val="24"/>
          <w:szCs w:val="24"/>
        </w:rPr>
        <w:t> </w:t>
      </w:r>
      <w:r w:rsidRPr="00A07F29">
        <w:rPr>
          <w:rFonts w:ascii="Times New Roman" w:eastAsia="Calibri" w:hAnsi="Times New Roman" w:cs="Times New Roman"/>
          <w:sz w:val="24"/>
          <w:szCs w:val="24"/>
        </w:rPr>
        <w:t>150 pāri (A. Avotiņš; 2009.</w:t>
      </w:r>
      <w:r w:rsidR="00724D23">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gads). Putniem nozīmīgo vietu </w:t>
      </w:r>
      <w:proofErr w:type="spellStart"/>
      <w:r w:rsidRPr="00A07F29">
        <w:rPr>
          <w:rFonts w:ascii="Times New Roman" w:eastAsia="Calibri" w:hAnsi="Times New Roman" w:cs="Times New Roman"/>
          <w:i/>
          <w:iCs/>
          <w:sz w:val="24"/>
          <w:szCs w:val="24"/>
        </w:rPr>
        <w:t>Natura</w:t>
      </w:r>
      <w:proofErr w:type="spellEnd"/>
      <w:r w:rsidRPr="00A07F29">
        <w:rPr>
          <w:rFonts w:ascii="Times New Roman" w:eastAsia="Calibri" w:hAnsi="Times New Roman" w:cs="Times New Roman"/>
          <w:i/>
          <w:iCs/>
          <w:sz w:val="24"/>
          <w:szCs w:val="24"/>
        </w:rPr>
        <w:t xml:space="preserve"> 2000</w:t>
      </w:r>
      <w:r w:rsidRPr="00A07F29">
        <w:rPr>
          <w:rFonts w:ascii="Times New Roman" w:eastAsia="Calibri" w:hAnsi="Times New Roman" w:cs="Times New Roman"/>
          <w:sz w:val="24"/>
          <w:szCs w:val="24"/>
        </w:rPr>
        <w:t xml:space="preserve"> </w:t>
      </w:r>
      <w:r w:rsidRPr="00AA29B6">
        <w:rPr>
          <w:rFonts w:ascii="Times New Roman" w:eastAsia="Calibri" w:hAnsi="Times New Roman" w:cs="Times New Roman"/>
          <w:sz w:val="24"/>
          <w:szCs w:val="24"/>
        </w:rPr>
        <w:t>datu forma:</w:t>
      </w:r>
      <w:r w:rsidRPr="00A07F29">
        <w:rPr>
          <w:rFonts w:ascii="Times New Roman" w:eastAsia="Calibri" w:hAnsi="Times New Roman" w:cs="Times New Roman"/>
          <w:sz w:val="24"/>
          <w:szCs w:val="24"/>
        </w:rPr>
        <w:t xml:space="preserve"> 30</w:t>
      </w:r>
      <w:r w:rsidR="000A04C9">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0A04C9">
        <w:rPr>
          <w:rFonts w:ascii="Times New Roman" w:eastAsia="Calibri" w:hAnsi="Times New Roman" w:cs="Times New Roman"/>
          <w:sz w:val="24"/>
          <w:szCs w:val="24"/>
        </w:rPr>
        <w:t> </w:t>
      </w:r>
      <w:r w:rsidRPr="00A07F29">
        <w:rPr>
          <w:rFonts w:ascii="Times New Roman" w:eastAsia="Calibri" w:hAnsi="Times New Roman" w:cs="Times New Roman"/>
          <w:sz w:val="24"/>
          <w:szCs w:val="24"/>
        </w:rPr>
        <w:t>100 pāri; pēdējais oficiālais skaita vērtējums 130</w:t>
      </w:r>
      <w:r w:rsidR="000A04C9">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0A04C9">
        <w:rPr>
          <w:rFonts w:ascii="Times New Roman" w:eastAsia="Calibri" w:hAnsi="Times New Roman" w:cs="Times New Roman"/>
          <w:sz w:val="24"/>
          <w:szCs w:val="24"/>
        </w:rPr>
        <w:t> </w:t>
      </w:r>
      <w:r w:rsidRPr="00A07F29">
        <w:rPr>
          <w:rFonts w:ascii="Times New Roman" w:eastAsia="Calibri" w:hAnsi="Times New Roman" w:cs="Times New Roman"/>
          <w:sz w:val="24"/>
          <w:szCs w:val="24"/>
        </w:rPr>
        <w:t>500 pāri (</w:t>
      </w:r>
      <w:r w:rsidR="00F2117E">
        <w:rPr>
          <w:rFonts w:ascii="Times New Roman" w:eastAsia="Calibri" w:hAnsi="Times New Roman" w:cs="Times New Roman"/>
          <w:sz w:val="24"/>
          <w:szCs w:val="24"/>
        </w:rPr>
        <w:t xml:space="preserve">R. </w:t>
      </w:r>
      <w:r w:rsidRPr="00A07F29">
        <w:rPr>
          <w:rFonts w:ascii="Times New Roman" w:eastAsia="Calibri" w:hAnsi="Times New Roman" w:cs="Times New Roman"/>
          <w:sz w:val="24"/>
          <w:szCs w:val="24"/>
        </w:rPr>
        <w:t>Lebuss</w:t>
      </w:r>
      <w:r w:rsidR="00F2117E">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2014</w:t>
      </w:r>
      <w:r w:rsidR="00F2117E">
        <w:rPr>
          <w:rFonts w:ascii="Times New Roman" w:eastAsia="Calibri" w:hAnsi="Times New Roman" w:cs="Times New Roman"/>
          <w:sz w:val="24"/>
          <w:szCs w:val="24"/>
        </w:rPr>
        <w:t>. gads</w:t>
      </w:r>
      <w:r w:rsidRPr="00A07F29">
        <w:rPr>
          <w:rFonts w:ascii="Times New Roman" w:eastAsia="Calibri" w:hAnsi="Times New Roman" w:cs="Times New Roman"/>
          <w:sz w:val="24"/>
          <w:szCs w:val="24"/>
        </w:rPr>
        <w:t xml:space="preserve">). </w:t>
      </w:r>
    </w:p>
    <w:p w14:paraId="60FF91DC" w14:textId="4E1D68C0"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Skaita vērtējums teritorijā: 130</w:t>
      </w:r>
      <w:r w:rsidR="006E07A7">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6E07A7">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500 ligzdojoši pāri. </w:t>
      </w:r>
      <w:proofErr w:type="spellStart"/>
      <w:r w:rsidRPr="00A07F29">
        <w:rPr>
          <w:rFonts w:ascii="Times New Roman" w:eastAsia="Calibri" w:hAnsi="Times New Roman" w:cs="Times New Roman"/>
          <w:i/>
          <w:iCs/>
          <w:sz w:val="24"/>
          <w:szCs w:val="24"/>
        </w:rPr>
        <w:t>Natura</w:t>
      </w:r>
      <w:proofErr w:type="spellEnd"/>
      <w:r w:rsidRPr="00A07F29">
        <w:rPr>
          <w:rFonts w:ascii="Times New Roman" w:eastAsia="Calibri" w:hAnsi="Times New Roman" w:cs="Times New Roman"/>
          <w:i/>
          <w:iCs/>
          <w:sz w:val="24"/>
          <w:szCs w:val="24"/>
        </w:rPr>
        <w:t xml:space="preserve"> 2000 </w:t>
      </w:r>
      <w:r w:rsidR="00AA29B6">
        <w:rPr>
          <w:rFonts w:ascii="Times New Roman" w:eastAsia="Calibri" w:hAnsi="Times New Roman" w:cs="Times New Roman"/>
          <w:sz w:val="24"/>
          <w:szCs w:val="24"/>
        </w:rPr>
        <w:t>SDF</w:t>
      </w:r>
      <w:r w:rsidRPr="00A07F29">
        <w:rPr>
          <w:rFonts w:ascii="Times New Roman" w:eastAsia="Calibri" w:hAnsi="Times New Roman" w:cs="Times New Roman"/>
          <w:sz w:val="24"/>
          <w:szCs w:val="24"/>
        </w:rPr>
        <w:t xml:space="preserve"> nav veiktas izmaiņas salīdzinājumā ar iepriekšējo skaita vērtējumu.</w:t>
      </w:r>
    </w:p>
    <w:p w14:paraId="478B87C1" w14:textId="77777777" w:rsidR="009A4BC5" w:rsidRPr="00A07F29" w:rsidRDefault="009A4BC5" w:rsidP="00A467AC">
      <w:pPr>
        <w:keepNext/>
        <w:spacing w:before="240" w:after="120" w:line="240" w:lineRule="auto"/>
        <w:jc w:val="both"/>
        <w:rPr>
          <w:rFonts w:ascii="Times New Roman" w:hAnsi="Times New Roman" w:cs="Times New Roman"/>
          <w:b/>
          <w:bCs/>
          <w:sz w:val="24"/>
          <w:szCs w:val="24"/>
        </w:rPr>
      </w:pPr>
      <w:r w:rsidRPr="00A07F29">
        <w:rPr>
          <w:rFonts w:ascii="Times New Roman" w:hAnsi="Times New Roman" w:cs="Times New Roman"/>
          <w:b/>
          <w:bCs/>
          <w:sz w:val="24"/>
          <w:szCs w:val="24"/>
        </w:rPr>
        <w:lastRenderedPageBreak/>
        <w:t xml:space="preserve">Mazais ormanītis </w:t>
      </w:r>
      <w:proofErr w:type="spellStart"/>
      <w:r w:rsidRPr="00A07F29">
        <w:rPr>
          <w:rFonts w:ascii="Times New Roman" w:hAnsi="Times New Roman" w:cs="Times New Roman"/>
          <w:b/>
          <w:bCs/>
          <w:i/>
          <w:sz w:val="24"/>
          <w:szCs w:val="24"/>
        </w:rPr>
        <w:t>Zapornia</w:t>
      </w:r>
      <w:proofErr w:type="spellEnd"/>
      <w:r w:rsidRPr="00A07F29">
        <w:rPr>
          <w:rFonts w:ascii="Times New Roman" w:hAnsi="Times New Roman" w:cs="Times New Roman"/>
          <w:b/>
          <w:bCs/>
          <w:i/>
          <w:sz w:val="24"/>
          <w:szCs w:val="24"/>
        </w:rPr>
        <w:t xml:space="preserve"> </w:t>
      </w:r>
      <w:proofErr w:type="spellStart"/>
      <w:r w:rsidRPr="00A07F29">
        <w:rPr>
          <w:rFonts w:ascii="Times New Roman" w:hAnsi="Times New Roman" w:cs="Times New Roman"/>
          <w:b/>
          <w:bCs/>
          <w:i/>
          <w:sz w:val="24"/>
          <w:szCs w:val="24"/>
        </w:rPr>
        <w:t>parva</w:t>
      </w:r>
      <w:proofErr w:type="spellEnd"/>
    </w:p>
    <w:p w14:paraId="4EE3C0FE" w14:textId="344CAF16" w:rsidR="009A4BC5" w:rsidRPr="00A07F29" w:rsidRDefault="009A4BC5" w:rsidP="009A4BC5">
      <w:pPr>
        <w:spacing w:after="12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t>Populācijas lielums Latvijā: 200</w:t>
      </w:r>
      <w:r w:rsidR="000823D0">
        <w:rPr>
          <w:rFonts w:ascii="Times New Roman" w:hAnsi="Times New Roman" w:cs="Times New Roman"/>
          <w:sz w:val="24"/>
          <w:szCs w:val="24"/>
        </w:rPr>
        <w:t> </w:t>
      </w:r>
      <w:r w:rsidRPr="00A07F29">
        <w:rPr>
          <w:rFonts w:ascii="Times New Roman" w:hAnsi="Times New Roman" w:cs="Times New Roman"/>
          <w:sz w:val="24"/>
          <w:szCs w:val="24"/>
        </w:rPr>
        <w:t>–</w:t>
      </w:r>
      <w:r w:rsidR="000823D0">
        <w:rPr>
          <w:rFonts w:ascii="Times New Roman" w:hAnsi="Times New Roman" w:cs="Times New Roman"/>
          <w:sz w:val="24"/>
          <w:szCs w:val="24"/>
        </w:rPr>
        <w:t> </w:t>
      </w:r>
      <w:r w:rsidRPr="00A07F29">
        <w:rPr>
          <w:rFonts w:ascii="Times New Roman" w:hAnsi="Times New Roman" w:cs="Times New Roman"/>
          <w:sz w:val="24"/>
          <w:szCs w:val="24"/>
        </w:rPr>
        <w:t>500 vokalizējoši tēviņi (</w:t>
      </w:r>
      <w:proofErr w:type="spellStart"/>
      <w:r w:rsidRPr="00A07F29">
        <w:rPr>
          <w:rFonts w:ascii="Times New Roman" w:hAnsi="Times New Roman" w:cs="Times New Roman"/>
          <w:sz w:val="24"/>
          <w:szCs w:val="24"/>
        </w:rPr>
        <w:t>Birdlife</w:t>
      </w:r>
      <w:proofErr w:type="spellEnd"/>
      <w:r w:rsidRPr="00A07F29">
        <w:rPr>
          <w:rFonts w:ascii="Times New Roman" w:hAnsi="Times New Roman" w:cs="Times New Roman"/>
          <w:sz w:val="24"/>
          <w:szCs w:val="24"/>
        </w:rPr>
        <w:t xml:space="preserve"> </w:t>
      </w:r>
      <w:proofErr w:type="spellStart"/>
      <w:r w:rsidRPr="00A07F29">
        <w:rPr>
          <w:rFonts w:ascii="Times New Roman" w:hAnsi="Times New Roman" w:cs="Times New Roman"/>
          <w:sz w:val="24"/>
          <w:szCs w:val="24"/>
        </w:rPr>
        <w:t>International</w:t>
      </w:r>
      <w:proofErr w:type="spellEnd"/>
      <w:r w:rsidR="00F2117E">
        <w:rPr>
          <w:rFonts w:ascii="Times New Roman" w:hAnsi="Times New Roman" w:cs="Times New Roman"/>
          <w:sz w:val="24"/>
          <w:szCs w:val="24"/>
        </w:rPr>
        <w:t>,</w:t>
      </w:r>
      <w:r w:rsidRPr="00A07F29">
        <w:rPr>
          <w:rFonts w:ascii="Times New Roman" w:hAnsi="Times New Roman" w:cs="Times New Roman"/>
          <w:sz w:val="24"/>
          <w:szCs w:val="24"/>
        </w:rPr>
        <w:t xml:space="preserve"> 2019). Ligzdo ar niedrēm aizaugušos bebru </w:t>
      </w:r>
      <w:proofErr w:type="spellStart"/>
      <w:r w:rsidRPr="00A07F29">
        <w:rPr>
          <w:rFonts w:ascii="Times New Roman" w:hAnsi="Times New Roman" w:cs="Times New Roman"/>
          <w:sz w:val="24"/>
          <w:szCs w:val="24"/>
        </w:rPr>
        <w:t>uzpludinājumos</w:t>
      </w:r>
      <w:proofErr w:type="spellEnd"/>
      <w:r w:rsidRPr="00A07F29">
        <w:rPr>
          <w:rFonts w:ascii="Times New Roman" w:hAnsi="Times New Roman" w:cs="Times New Roman"/>
          <w:sz w:val="24"/>
          <w:szCs w:val="24"/>
        </w:rPr>
        <w:t>, dīķu un ezeru piekrastes niedrājos.</w:t>
      </w:r>
    </w:p>
    <w:p w14:paraId="126FADDD" w14:textId="48704EDA" w:rsidR="009A4BC5" w:rsidRPr="00A07F29" w:rsidRDefault="009A4BC5" w:rsidP="009A4BC5">
      <w:pPr>
        <w:spacing w:after="120" w:line="240" w:lineRule="auto"/>
        <w:ind w:firstLine="851"/>
        <w:jc w:val="both"/>
        <w:rPr>
          <w:rFonts w:ascii="Times New Roman" w:hAnsi="Times New Roman" w:cs="Times New Roman"/>
          <w:sz w:val="24"/>
          <w:szCs w:val="24"/>
        </w:rPr>
      </w:pPr>
      <w:r w:rsidRPr="00A07F29">
        <w:rPr>
          <w:rFonts w:ascii="Times New Roman" w:eastAsia="Calibri" w:hAnsi="Times New Roman" w:cs="Times New Roman"/>
          <w:sz w:val="24"/>
          <w:szCs w:val="24"/>
        </w:rPr>
        <w:t xml:space="preserve">AAA “Augšdaugava” </w:t>
      </w:r>
      <w:r w:rsidRPr="00A07F29">
        <w:rPr>
          <w:rFonts w:ascii="Times New Roman" w:hAnsi="Times New Roman" w:cs="Times New Roman"/>
          <w:sz w:val="24"/>
          <w:szCs w:val="24"/>
        </w:rPr>
        <w:t xml:space="preserve">viens vokalizējošs tēviņš dzirdēts mitrājā </w:t>
      </w:r>
      <w:proofErr w:type="spellStart"/>
      <w:r w:rsidRPr="00A07F29">
        <w:rPr>
          <w:rFonts w:ascii="Times New Roman" w:hAnsi="Times New Roman" w:cs="Times New Roman"/>
          <w:sz w:val="24"/>
          <w:szCs w:val="24"/>
        </w:rPr>
        <w:t>Sadnieku</w:t>
      </w:r>
      <w:proofErr w:type="spellEnd"/>
      <w:r w:rsidRPr="00A07F29">
        <w:rPr>
          <w:rFonts w:ascii="Times New Roman" w:hAnsi="Times New Roman" w:cs="Times New Roman"/>
          <w:sz w:val="24"/>
          <w:szCs w:val="24"/>
        </w:rPr>
        <w:t xml:space="preserve"> apkārtnē 2020.</w:t>
      </w:r>
      <w:r w:rsidR="00B15E5E">
        <w:rPr>
          <w:rFonts w:ascii="Times New Roman" w:hAnsi="Times New Roman" w:cs="Times New Roman"/>
          <w:sz w:val="24"/>
          <w:szCs w:val="24"/>
        </w:rPr>
        <w:t> gada 21. jūnijā</w:t>
      </w:r>
      <w:r w:rsidRPr="00A07F29">
        <w:rPr>
          <w:rFonts w:ascii="Times New Roman" w:hAnsi="Times New Roman" w:cs="Times New Roman"/>
          <w:sz w:val="24"/>
          <w:szCs w:val="24"/>
        </w:rPr>
        <w:t xml:space="preserve"> (</w:t>
      </w:r>
      <w:proofErr w:type="spellStart"/>
      <w:r w:rsidRPr="00A07F29">
        <w:rPr>
          <w:rFonts w:ascii="Times New Roman" w:hAnsi="Times New Roman" w:cs="Times New Roman"/>
          <w:sz w:val="24"/>
          <w:szCs w:val="24"/>
        </w:rPr>
        <w:t>G.Grandāns</w:t>
      </w:r>
      <w:proofErr w:type="spellEnd"/>
      <w:r w:rsidRPr="00A07F29">
        <w:rPr>
          <w:rFonts w:ascii="Times New Roman" w:hAnsi="Times New Roman" w:cs="Times New Roman"/>
          <w:sz w:val="24"/>
          <w:szCs w:val="24"/>
        </w:rPr>
        <w:t>).</w:t>
      </w:r>
    </w:p>
    <w:p w14:paraId="616DA5BD" w14:textId="03F070C0" w:rsidR="009A4BC5" w:rsidRPr="00A07F29" w:rsidRDefault="009A4BC5" w:rsidP="009A4BC5">
      <w:pPr>
        <w:spacing w:after="12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t>Skaita vērtējums teritorijā: 1</w:t>
      </w:r>
      <w:r w:rsidR="00B15E5E">
        <w:rPr>
          <w:rFonts w:ascii="Times New Roman" w:hAnsi="Times New Roman" w:cs="Times New Roman"/>
          <w:sz w:val="24"/>
          <w:szCs w:val="24"/>
        </w:rPr>
        <w:t> </w:t>
      </w:r>
      <w:r w:rsidRPr="00A07F29">
        <w:rPr>
          <w:rFonts w:ascii="Times New Roman" w:hAnsi="Times New Roman" w:cs="Times New Roman"/>
          <w:sz w:val="24"/>
          <w:szCs w:val="24"/>
        </w:rPr>
        <w:t>–</w:t>
      </w:r>
      <w:r w:rsidR="00B15E5E">
        <w:rPr>
          <w:rFonts w:ascii="Times New Roman" w:hAnsi="Times New Roman" w:cs="Times New Roman"/>
          <w:sz w:val="24"/>
          <w:szCs w:val="24"/>
        </w:rPr>
        <w:t> </w:t>
      </w:r>
      <w:r w:rsidRPr="00A07F29">
        <w:rPr>
          <w:rFonts w:ascii="Times New Roman" w:hAnsi="Times New Roman" w:cs="Times New Roman"/>
          <w:sz w:val="24"/>
          <w:szCs w:val="24"/>
        </w:rPr>
        <w:t xml:space="preserve">2 vokalizējoši tēviņi. Suga iekļauta </w:t>
      </w:r>
      <w:proofErr w:type="spellStart"/>
      <w:r w:rsidRPr="00A07F29">
        <w:rPr>
          <w:rFonts w:ascii="Times New Roman" w:hAnsi="Times New Roman" w:cs="Times New Roman"/>
          <w:i/>
          <w:iCs/>
          <w:sz w:val="24"/>
          <w:szCs w:val="24"/>
        </w:rPr>
        <w:t>Natura</w:t>
      </w:r>
      <w:proofErr w:type="spellEnd"/>
      <w:r w:rsidRPr="00A07F29">
        <w:rPr>
          <w:rFonts w:ascii="Times New Roman" w:hAnsi="Times New Roman" w:cs="Times New Roman"/>
          <w:i/>
          <w:iCs/>
          <w:sz w:val="24"/>
          <w:szCs w:val="24"/>
        </w:rPr>
        <w:t xml:space="preserve"> 2000</w:t>
      </w:r>
      <w:r w:rsidRPr="00A07F29">
        <w:rPr>
          <w:rFonts w:ascii="Times New Roman" w:hAnsi="Times New Roman" w:cs="Times New Roman"/>
          <w:sz w:val="24"/>
          <w:szCs w:val="24"/>
        </w:rPr>
        <w:t xml:space="preserve"> </w:t>
      </w:r>
      <w:r w:rsidR="00AA29B6">
        <w:rPr>
          <w:rFonts w:ascii="Times New Roman" w:hAnsi="Times New Roman" w:cs="Times New Roman"/>
          <w:sz w:val="24"/>
          <w:szCs w:val="24"/>
        </w:rPr>
        <w:t>SDF</w:t>
      </w:r>
      <w:r w:rsidRPr="00A07F29">
        <w:rPr>
          <w:rFonts w:ascii="Times New Roman" w:hAnsi="Times New Roman" w:cs="Times New Roman"/>
          <w:sz w:val="24"/>
          <w:szCs w:val="24"/>
        </w:rPr>
        <w:t>.</w:t>
      </w:r>
    </w:p>
    <w:p w14:paraId="467C352D" w14:textId="77777777" w:rsidR="009A4BC5" w:rsidRPr="00A07F29" w:rsidRDefault="009A4BC5" w:rsidP="009A4BC5">
      <w:pPr>
        <w:spacing w:before="240" w:after="120" w:line="240" w:lineRule="auto"/>
        <w:jc w:val="both"/>
        <w:rPr>
          <w:rFonts w:ascii="Times New Roman" w:eastAsia="Calibri" w:hAnsi="Times New Roman" w:cs="Times New Roman"/>
          <w:b/>
          <w:bCs/>
          <w:sz w:val="24"/>
          <w:szCs w:val="24"/>
        </w:rPr>
      </w:pPr>
      <w:r w:rsidRPr="00A07F29">
        <w:rPr>
          <w:rFonts w:ascii="Times New Roman" w:eastAsia="Calibri" w:hAnsi="Times New Roman" w:cs="Times New Roman"/>
          <w:b/>
          <w:bCs/>
          <w:sz w:val="24"/>
          <w:szCs w:val="24"/>
        </w:rPr>
        <w:t xml:space="preserve">Ormanītis </w:t>
      </w:r>
      <w:proofErr w:type="spellStart"/>
      <w:r w:rsidRPr="00A07F29">
        <w:rPr>
          <w:rFonts w:ascii="Times New Roman" w:eastAsia="Calibri" w:hAnsi="Times New Roman" w:cs="Times New Roman"/>
          <w:b/>
          <w:bCs/>
          <w:i/>
          <w:sz w:val="24"/>
          <w:szCs w:val="24"/>
        </w:rPr>
        <w:t>Porzana</w:t>
      </w:r>
      <w:proofErr w:type="spellEnd"/>
      <w:r w:rsidRPr="00A07F29">
        <w:rPr>
          <w:rFonts w:ascii="Times New Roman" w:eastAsia="Calibri" w:hAnsi="Times New Roman" w:cs="Times New Roman"/>
          <w:b/>
          <w:bCs/>
          <w:i/>
          <w:sz w:val="24"/>
          <w:szCs w:val="24"/>
        </w:rPr>
        <w:t xml:space="preserve"> </w:t>
      </w:r>
      <w:proofErr w:type="spellStart"/>
      <w:r w:rsidRPr="00A07F29">
        <w:rPr>
          <w:rFonts w:ascii="Times New Roman" w:eastAsia="Calibri" w:hAnsi="Times New Roman" w:cs="Times New Roman"/>
          <w:b/>
          <w:bCs/>
          <w:i/>
          <w:sz w:val="24"/>
          <w:szCs w:val="24"/>
        </w:rPr>
        <w:t>porzana</w:t>
      </w:r>
      <w:proofErr w:type="spellEnd"/>
    </w:p>
    <w:p w14:paraId="2610E04F" w14:textId="1097FB98"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Populācijas lielums Latvijā: 610</w:t>
      </w:r>
      <w:r w:rsidR="00B15E5E">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B15E5E">
        <w:rPr>
          <w:rFonts w:ascii="Times New Roman" w:eastAsia="Calibri" w:hAnsi="Times New Roman" w:cs="Times New Roman"/>
          <w:sz w:val="24"/>
          <w:szCs w:val="24"/>
        </w:rPr>
        <w:t> </w:t>
      </w:r>
      <w:r w:rsidRPr="00A07F29">
        <w:rPr>
          <w:rFonts w:ascii="Times New Roman" w:eastAsia="Calibri" w:hAnsi="Times New Roman" w:cs="Times New Roman"/>
          <w:sz w:val="24"/>
          <w:szCs w:val="24"/>
        </w:rPr>
        <w:t>1000 vokalizējoši tēviņi (</w:t>
      </w:r>
      <w:proofErr w:type="spellStart"/>
      <w:r w:rsidRPr="00A07F29">
        <w:rPr>
          <w:rFonts w:ascii="Times New Roman" w:eastAsia="Calibri" w:hAnsi="Times New Roman" w:cs="Times New Roman"/>
          <w:sz w:val="24"/>
          <w:szCs w:val="24"/>
        </w:rPr>
        <w:t>Birdlife</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International</w:t>
      </w:r>
      <w:proofErr w:type="spellEnd"/>
      <w:r w:rsidR="00F2117E">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2019). Ligzdo dažādās seklās ūdenstilpēs, zāļainos sēkļos un mitrās piekrastes pļavās, bebru </w:t>
      </w:r>
      <w:proofErr w:type="spellStart"/>
      <w:r w:rsidRPr="00A07F29">
        <w:rPr>
          <w:rFonts w:ascii="Times New Roman" w:eastAsia="Calibri" w:hAnsi="Times New Roman" w:cs="Times New Roman"/>
          <w:sz w:val="24"/>
          <w:szCs w:val="24"/>
        </w:rPr>
        <w:t>uzpludinājumos</w:t>
      </w:r>
      <w:proofErr w:type="spellEnd"/>
      <w:r w:rsidRPr="00A07F29">
        <w:rPr>
          <w:rFonts w:ascii="Times New Roman" w:eastAsia="Calibri" w:hAnsi="Times New Roman" w:cs="Times New Roman"/>
          <w:sz w:val="24"/>
          <w:szCs w:val="24"/>
        </w:rPr>
        <w:t>, slapjos izcirtumos pat tālu no atklāta ūdens. Kopumā samērā mazprasīgs pret tiešu ūdens tuvumu (LOB</w:t>
      </w:r>
      <w:r w:rsidR="00F2117E">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1999). </w:t>
      </w:r>
    </w:p>
    <w:p w14:paraId="7079EBD2" w14:textId="2DCC6D78"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Skaita vērtējums teritorijā: 5</w:t>
      </w:r>
      <w:r w:rsidR="006324FD">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6324FD">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10 vokalizējoši tēviņi. Suga iekļauta </w:t>
      </w:r>
      <w:proofErr w:type="spellStart"/>
      <w:r w:rsidRPr="00A07F29">
        <w:rPr>
          <w:rFonts w:ascii="Times New Roman" w:eastAsia="Calibri" w:hAnsi="Times New Roman" w:cs="Times New Roman"/>
          <w:i/>
          <w:iCs/>
          <w:sz w:val="24"/>
          <w:szCs w:val="24"/>
        </w:rPr>
        <w:t>Natura</w:t>
      </w:r>
      <w:proofErr w:type="spellEnd"/>
      <w:r w:rsidRPr="00A07F29">
        <w:rPr>
          <w:rFonts w:ascii="Times New Roman" w:eastAsia="Calibri" w:hAnsi="Times New Roman" w:cs="Times New Roman"/>
          <w:i/>
          <w:iCs/>
          <w:sz w:val="24"/>
          <w:szCs w:val="24"/>
        </w:rPr>
        <w:t xml:space="preserve"> 2000</w:t>
      </w:r>
      <w:r w:rsidRPr="00A07F29">
        <w:rPr>
          <w:rFonts w:ascii="Times New Roman" w:eastAsia="Calibri" w:hAnsi="Times New Roman" w:cs="Times New Roman"/>
          <w:sz w:val="24"/>
          <w:szCs w:val="24"/>
        </w:rPr>
        <w:t xml:space="preserve"> </w:t>
      </w:r>
      <w:r w:rsidR="00AA29B6">
        <w:rPr>
          <w:rFonts w:ascii="Times New Roman" w:eastAsia="Calibri" w:hAnsi="Times New Roman" w:cs="Times New Roman"/>
          <w:sz w:val="24"/>
          <w:szCs w:val="24"/>
        </w:rPr>
        <w:t>SDF</w:t>
      </w:r>
      <w:r w:rsidRPr="00A07F29">
        <w:rPr>
          <w:rFonts w:ascii="Times New Roman" w:eastAsia="Calibri" w:hAnsi="Times New Roman" w:cs="Times New Roman"/>
          <w:sz w:val="24"/>
          <w:szCs w:val="24"/>
        </w:rPr>
        <w:t>.</w:t>
      </w:r>
    </w:p>
    <w:p w14:paraId="1058CF2D" w14:textId="77777777" w:rsidR="009A4BC5" w:rsidRPr="00A07F29" w:rsidRDefault="009A4BC5" w:rsidP="009A4BC5">
      <w:pPr>
        <w:spacing w:before="240" w:after="120" w:line="240" w:lineRule="auto"/>
        <w:jc w:val="both"/>
        <w:rPr>
          <w:rFonts w:ascii="Times New Roman" w:eastAsia="Calibri" w:hAnsi="Times New Roman" w:cs="Times New Roman"/>
          <w:b/>
          <w:bCs/>
          <w:sz w:val="24"/>
          <w:szCs w:val="24"/>
        </w:rPr>
      </w:pPr>
      <w:r w:rsidRPr="00A07F29">
        <w:rPr>
          <w:rFonts w:ascii="Times New Roman" w:eastAsia="Calibri" w:hAnsi="Times New Roman" w:cs="Times New Roman"/>
          <w:b/>
          <w:bCs/>
          <w:sz w:val="24"/>
          <w:szCs w:val="24"/>
        </w:rPr>
        <w:t xml:space="preserve">Dzērve </w:t>
      </w:r>
      <w:proofErr w:type="spellStart"/>
      <w:r w:rsidRPr="00A07F29">
        <w:rPr>
          <w:rFonts w:ascii="Times New Roman" w:eastAsia="Calibri" w:hAnsi="Times New Roman" w:cs="Times New Roman"/>
          <w:b/>
          <w:bCs/>
          <w:i/>
          <w:sz w:val="24"/>
          <w:szCs w:val="24"/>
        </w:rPr>
        <w:t>Grus</w:t>
      </w:r>
      <w:proofErr w:type="spellEnd"/>
      <w:r w:rsidRPr="00A07F29">
        <w:rPr>
          <w:rFonts w:ascii="Times New Roman" w:eastAsia="Calibri" w:hAnsi="Times New Roman" w:cs="Times New Roman"/>
          <w:b/>
          <w:bCs/>
          <w:i/>
          <w:sz w:val="24"/>
          <w:szCs w:val="24"/>
        </w:rPr>
        <w:t xml:space="preserve"> </w:t>
      </w:r>
      <w:proofErr w:type="spellStart"/>
      <w:r w:rsidRPr="00A07F29">
        <w:rPr>
          <w:rFonts w:ascii="Times New Roman" w:eastAsia="Calibri" w:hAnsi="Times New Roman" w:cs="Times New Roman"/>
          <w:b/>
          <w:bCs/>
          <w:i/>
          <w:sz w:val="24"/>
          <w:szCs w:val="24"/>
        </w:rPr>
        <w:t>grus</w:t>
      </w:r>
      <w:proofErr w:type="spellEnd"/>
    </w:p>
    <w:p w14:paraId="3A10BCCD" w14:textId="319BA9B2"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5446D8">
        <w:rPr>
          <w:rFonts w:ascii="Times New Roman" w:eastAsia="Calibri" w:hAnsi="Times New Roman" w:cs="Times New Roman"/>
          <w:sz w:val="24"/>
          <w:szCs w:val="24"/>
        </w:rPr>
        <w:t>Populācijas lielums</w:t>
      </w:r>
      <w:r w:rsidRPr="00A07F29">
        <w:rPr>
          <w:rFonts w:ascii="Times New Roman" w:eastAsia="Calibri" w:hAnsi="Times New Roman" w:cs="Times New Roman"/>
          <w:sz w:val="24"/>
          <w:szCs w:val="24"/>
        </w:rPr>
        <w:t xml:space="preserve"> Latvijā: 2800</w:t>
      </w:r>
      <w:r w:rsidR="00213CBD">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213CBD">
        <w:rPr>
          <w:rFonts w:ascii="Times New Roman" w:eastAsia="Calibri" w:hAnsi="Times New Roman" w:cs="Times New Roman"/>
          <w:sz w:val="24"/>
          <w:szCs w:val="24"/>
        </w:rPr>
        <w:t> </w:t>
      </w:r>
      <w:r w:rsidRPr="00A07F29">
        <w:rPr>
          <w:rFonts w:ascii="Times New Roman" w:eastAsia="Calibri" w:hAnsi="Times New Roman" w:cs="Times New Roman"/>
          <w:sz w:val="24"/>
          <w:szCs w:val="24"/>
        </w:rPr>
        <w:t>10000 pāru (</w:t>
      </w:r>
      <w:proofErr w:type="spellStart"/>
      <w:r w:rsidRPr="00A07F29">
        <w:rPr>
          <w:rFonts w:ascii="Times New Roman" w:eastAsia="Calibri" w:hAnsi="Times New Roman" w:cs="Times New Roman"/>
          <w:sz w:val="24"/>
          <w:szCs w:val="24"/>
        </w:rPr>
        <w:t>Birdlife</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International</w:t>
      </w:r>
      <w:proofErr w:type="spellEnd"/>
      <w:r w:rsidR="00F2117E">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2019). Ligzdo dažāda lieluma augstajos un pārejas purvos, mitros meža nogabalos, ieplakās, bebru </w:t>
      </w:r>
      <w:proofErr w:type="spellStart"/>
      <w:r w:rsidRPr="00A07F29">
        <w:rPr>
          <w:rFonts w:ascii="Times New Roman" w:eastAsia="Calibri" w:hAnsi="Times New Roman" w:cs="Times New Roman"/>
          <w:sz w:val="24"/>
          <w:szCs w:val="24"/>
        </w:rPr>
        <w:t>uzpludinājumos</w:t>
      </w:r>
      <w:proofErr w:type="spellEnd"/>
      <w:r w:rsidRPr="00A07F29">
        <w:rPr>
          <w:rFonts w:ascii="Times New Roman" w:eastAsia="Calibri" w:hAnsi="Times New Roman" w:cs="Times New Roman"/>
          <w:sz w:val="24"/>
          <w:szCs w:val="24"/>
        </w:rPr>
        <w:t>, slapjos izcirtumos, arī niedrājos lielu ezeru krastos (Priednieks</w:t>
      </w:r>
      <w:r w:rsidR="00213CBD">
        <w:rPr>
          <w:rFonts w:ascii="Times New Roman" w:eastAsia="Calibri" w:hAnsi="Times New Roman" w:cs="Times New Roman"/>
          <w:sz w:val="24"/>
          <w:szCs w:val="24"/>
        </w:rPr>
        <w:t xml:space="preserve"> J.,</w:t>
      </w:r>
      <w:r w:rsidRPr="00A07F29">
        <w:rPr>
          <w:rFonts w:ascii="Times New Roman" w:eastAsia="Calibri" w:hAnsi="Times New Roman" w:cs="Times New Roman"/>
          <w:sz w:val="24"/>
          <w:szCs w:val="24"/>
        </w:rPr>
        <w:t xml:space="preserve"> </w:t>
      </w:r>
      <w:proofErr w:type="spellStart"/>
      <w:r w:rsidR="00213CBD">
        <w:rPr>
          <w:rFonts w:ascii="Times New Roman" w:eastAsia="Calibri" w:hAnsi="Times New Roman" w:cs="Times New Roman"/>
          <w:sz w:val="24"/>
          <w:szCs w:val="24"/>
        </w:rPr>
        <w:t>et</w:t>
      </w:r>
      <w:proofErr w:type="spellEnd"/>
      <w:r w:rsidR="00213CBD">
        <w:rPr>
          <w:rFonts w:ascii="Times New Roman" w:eastAsia="Calibri" w:hAnsi="Times New Roman" w:cs="Times New Roman"/>
          <w:sz w:val="24"/>
          <w:szCs w:val="24"/>
        </w:rPr>
        <w:t xml:space="preserve"> </w:t>
      </w:r>
      <w:proofErr w:type="spellStart"/>
      <w:r w:rsidR="00213CBD">
        <w:rPr>
          <w:rFonts w:ascii="Times New Roman" w:eastAsia="Calibri" w:hAnsi="Times New Roman" w:cs="Times New Roman"/>
          <w:sz w:val="24"/>
          <w:szCs w:val="24"/>
        </w:rPr>
        <w:t>al</w:t>
      </w:r>
      <w:proofErr w:type="spellEnd"/>
      <w:r w:rsidR="00213CBD">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1989). Skaitam Eiropā un Latvijā ir tendence pieaugt, ko sekmējusi labāka sugas aizsardzība to atpūtas vietās migrāciju ceļā uz ziemošanas vietām. Latvijā skaita pieaugumu veicinājusi piemērotu ligzdošanas vietu palielināšanās bebru darbības rezultātā, ligzdošanai piemērotas vietas izveidojas arī teritorijās, kur pārstāj darboties meliorācijas sistēmas.</w:t>
      </w:r>
    </w:p>
    <w:p w14:paraId="2F27DAF1" w14:textId="07F427DE"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Suga iekļauta </w:t>
      </w:r>
      <w:proofErr w:type="spellStart"/>
      <w:r w:rsidRPr="00A07F29">
        <w:rPr>
          <w:rFonts w:ascii="Times New Roman" w:eastAsia="Calibri" w:hAnsi="Times New Roman" w:cs="Times New Roman"/>
          <w:i/>
          <w:iCs/>
          <w:sz w:val="24"/>
          <w:szCs w:val="24"/>
        </w:rPr>
        <w:t>Natura</w:t>
      </w:r>
      <w:proofErr w:type="spellEnd"/>
      <w:r w:rsidRPr="00A07F29">
        <w:rPr>
          <w:rFonts w:ascii="Times New Roman" w:eastAsia="Calibri" w:hAnsi="Times New Roman" w:cs="Times New Roman"/>
          <w:i/>
          <w:iCs/>
          <w:sz w:val="24"/>
          <w:szCs w:val="24"/>
        </w:rPr>
        <w:t xml:space="preserve"> 2000</w:t>
      </w:r>
      <w:r w:rsidRPr="00A07F29">
        <w:rPr>
          <w:rFonts w:ascii="Times New Roman" w:eastAsia="Calibri" w:hAnsi="Times New Roman" w:cs="Times New Roman"/>
          <w:sz w:val="24"/>
          <w:szCs w:val="24"/>
        </w:rPr>
        <w:t xml:space="preserve"> </w:t>
      </w:r>
      <w:r w:rsidR="00AA29B6">
        <w:rPr>
          <w:rFonts w:ascii="Times New Roman" w:eastAsia="Calibri" w:hAnsi="Times New Roman" w:cs="Times New Roman"/>
          <w:sz w:val="24"/>
          <w:szCs w:val="24"/>
        </w:rPr>
        <w:t>SDF</w:t>
      </w:r>
      <w:r w:rsidRPr="00A07F29">
        <w:rPr>
          <w:rFonts w:ascii="Times New Roman" w:eastAsia="Calibri" w:hAnsi="Times New Roman" w:cs="Times New Roman"/>
          <w:sz w:val="24"/>
          <w:szCs w:val="24"/>
        </w:rPr>
        <w:t>. Skaita vērtējums teritorijā: 30</w:t>
      </w:r>
      <w:r w:rsidR="00213CBD">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213CBD">
        <w:rPr>
          <w:rFonts w:ascii="Times New Roman" w:eastAsia="Calibri" w:hAnsi="Times New Roman" w:cs="Times New Roman"/>
          <w:sz w:val="24"/>
          <w:szCs w:val="24"/>
        </w:rPr>
        <w:t> </w:t>
      </w:r>
      <w:r w:rsidRPr="00A07F29">
        <w:rPr>
          <w:rFonts w:ascii="Times New Roman" w:eastAsia="Calibri" w:hAnsi="Times New Roman" w:cs="Times New Roman"/>
          <w:sz w:val="24"/>
          <w:szCs w:val="24"/>
        </w:rPr>
        <w:t>40 ligzdojoši pāri. Teritorijā, kopš pēdējā skaita vērtējuma</w:t>
      </w:r>
      <w:r w:rsidR="000C71FE">
        <w:rPr>
          <w:rFonts w:ascii="Times New Roman" w:eastAsia="Calibri" w:hAnsi="Times New Roman" w:cs="Times New Roman"/>
          <w:sz w:val="24"/>
          <w:szCs w:val="24"/>
        </w:rPr>
        <w:t xml:space="preserve"> 2014. gadā, kad reģistrēti</w:t>
      </w:r>
      <w:r w:rsidRPr="00A07F29">
        <w:rPr>
          <w:rFonts w:ascii="Times New Roman" w:eastAsia="Calibri" w:hAnsi="Times New Roman" w:cs="Times New Roman"/>
          <w:sz w:val="24"/>
          <w:szCs w:val="24"/>
        </w:rPr>
        <w:t xml:space="preserve"> 20</w:t>
      </w:r>
      <w:r w:rsidR="00213CBD">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213CBD">
        <w:rPr>
          <w:rFonts w:ascii="Times New Roman" w:eastAsia="Calibri" w:hAnsi="Times New Roman" w:cs="Times New Roman"/>
          <w:sz w:val="24"/>
          <w:szCs w:val="24"/>
        </w:rPr>
        <w:t> </w:t>
      </w:r>
      <w:r w:rsidRPr="00A07F29">
        <w:rPr>
          <w:rFonts w:ascii="Times New Roman" w:eastAsia="Calibri" w:hAnsi="Times New Roman" w:cs="Times New Roman"/>
          <w:sz w:val="24"/>
          <w:szCs w:val="24"/>
        </w:rPr>
        <w:t>30 ligzdojoši pāri, ir noticis varbūtējs skaita pieaugums.</w:t>
      </w:r>
    </w:p>
    <w:p w14:paraId="27071A8E" w14:textId="77777777" w:rsidR="009A4BC5" w:rsidRPr="00A07F29" w:rsidRDefault="009A4BC5" w:rsidP="009A4BC5">
      <w:pPr>
        <w:spacing w:before="240" w:after="120" w:line="240" w:lineRule="auto"/>
        <w:jc w:val="both"/>
        <w:rPr>
          <w:rFonts w:ascii="Times New Roman" w:eastAsia="Calibri" w:hAnsi="Times New Roman" w:cs="Times New Roman"/>
          <w:b/>
          <w:bCs/>
          <w:i/>
          <w:iCs/>
          <w:sz w:val="24"/>
          <w:szCs w:val="24"/>
        </w:rPr>
      </w:pPr>
      <w:r w:rsidRPr="00A07F29">
        <w:rPr>
          <w:rFonts w:ascii="Times New Roman" w:eastAsia="Calibri" w:hAnsi="Times New Roman" w:cs="Times New Roman"/>
          <w:b/>
          <w:bCs/>
          <w:sz w:val="24"/>
          <w:szCs w:val="24"/>
        </w:rPr>
        <w:t xml:space="preserve">Jūras žagata </w:t>
      </w:r>
      <w:proofErr w:type="spellStart"/>
      <w:r w:rsidRPr="00A07F29">
        <w:rPr>
          <w:rFonts w:ascii="Times New Roman" w:eastAsia="Calibri" w:hAnsi="Times New Roman" w:cs="Times New Roman"/>
          <w:b/>
          <w:bCs/>
          <w:i/>
          <w:iCs/>
          <w:sz w:val="24"/>
          <w:szCs w:val="24"/>
        </w:rPr>
        <w:t>Haematopus</w:t>
      </w:r>
      <w:proofErr w:type="spellEnd"/>
      <w:r w:rsidRPr="00A07F29">
        <w:rPr>
          <w:rFonts w:ascii="Times New Roman" w:eastAsia="Calibri" w:hAnsi="Times New Roman" w:cs="Times New Roman"/>
          <w:b/>
          <w:bCs/>
          <w:i/>
          <w:iCs/>
          <w:sz w:val="24"/>
          <w:szCs w:val="24"/>
        </w:rPr>
        <w:t xml:space="preserve"> </w:t>
      </w:r>
      <w:proofErr w:type="spellStart"/>
      <w:r w:rsidRPr="00A07F29">
        <w:rPr>
          <w:rFonts w:ascii="Times New Roman" w:eastAsia="Calibri" w:hAnsi="Times New Roman" w:cs="Times New Roman"/>
          <w:b/>
          <w:bCs/>
          <w:i/>
          <w:iCs/>
          <w:sz w:val="24"/>
          <w:szCs w:val="24"/>
        </w:rPr>
        <w:t>ostralegus</w:t>
      </w:r>
      <w:proofErr w:type="spellEnd"/>
    </w:p>
    <w:p w14:paraId="56928C9B" w14:textId="3BC9E356"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Latvijā reti ligzdojoša putnu suga; populācijas lielums: 45</w:t>
      </w:r>
      <w:r w:rsidR="00213CBD">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213CBD">
        <w:rPr>
          <w:rFonts w:ascii="Times New Roman" w:eastAsia="Calibri" w:hAnsi="Times New Roman" w:cs="Times New Roman"/>
          <w:sz w:val="24"/>
          <w:szCs w:val="24"/>
        </w:rPr>
        <w:t> </w:t>
      </w:r>
      <w:r w:rsidRPr="00A07F29">
        <w:rPr>
          <w:rFonts w:ascii="Times New Roman" w:eastAsia="Calibri" w:hAnsi="Times New Roman" w:cs="Times New Roman"/>
          <w:sz w:val="24"/>
          <w:szCs w:val="24"/>
        </w:rPr>
        <w:t>80 ligzdojoši pāri (</w:t>
      </w:r>
      <w:proofErr w:type="spellStart"/>
      <w:r w:rsidRPr="00A07F29">
        <w:rPr>
          <w:rFonts w:ascii="Times New Roman" w:eastAsia="Calibri" w:hAnsi="Times New Roman" w:cs="Times New Roman"/>
          <w:sz w:val="24"/>
          <w:szCs w:val="24"/>
        </w:rPr>
        <w:t>Birdlife</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International</w:t>
      </w:r>
      <w:proofErr w:type="spellEnd"/>
      <w:r w:rsidR="00F2117E">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2019). Ligzdošanas vietas koncentrējas lielo upju grīvās Baltijas jūras piekrastē (</w:t>
      </w:r>
      <w:proofErr w:type="spellStart"/>
      <w:r w:rsidRPr="00A07F29">
        <w:rPr>
          <w:rFonts w:ascii="Times New Roman" w:eastAsia="Calibri" w:hAnsi="Times New Roman" w:cs="Times New Roman"/>
          <w:sz w:val="24"/>
          <w:szCs w:val="24"/>
        </w:rPr>
        <w:t>Opermanis</w:t>
      </w:r>
      <w:proofErr w:type="spellEnd"/>
      <w:r w:rsidR="00213CBD">
        <w:rPr>
          <w:rFonts w:ascii="Times New Roman" w:eastAsia="Calibri" w:hAnsi="Times New Roman" w:cs="Times New Roman"/>
          <w:sz w:val="24"/>
          <w:szCs w:val="24"/>
        </w:rPr>
        <w:t xml:space="preserve"> O.,</w:t>
      </w:r>
      <w:r w:rsidRPr="00A07F29">
        <w:rPr>
          <w:rFonts w:ascii="Times New Roman" w:eastAsia="Calibri" w:hAnsi="Times New Roman" w:cs="Times New Roman"/>
          <w:sz w:val="24"/>
          <w:szCs w:val="24"/>
        </w:rPr>
        <w:t xml:space="preserve"> </w:t>
      </w:r>
      <w:proofErr w:type="spellStart"/>
      <w:r w:rsidR="00213CBD">
        <w:rPr>
          <w:rFonts w:ascii="Times New Roman" w:eastAsia="Calibri" w:hAnsi="Times New Roman" w:cs="Times New Roman"/>
          <w:sz w:val="24"/>
          <w:szCs w:val="24"/>
        </w:rPr>
        <w:t>et</w:t>
      </w:r>
      <w:proofErr w:type="spellEnd"/>
      <w:r w:rsidR="00213CBD">
        <w:rPr>
          <w:rFonts w:ascii="Times New Roman" w:eastAsia="Calibri" w:hAnsi="Times New Roman" w:cs="Times New Roman"/>
          <w:sz w:val="24"/>
          <w:szCs w:val="24"/>
        </w:rPr>
        <w:t xml:space="preserve"> </w:t>
      </w:r>
      <w:proofErr w:type="spellStart"/>
      <w:r w:rsidR="00213CBD">
        <w:rPr>
          <w:rFonts w:ascii="Times New Roman" w:eastAsia="Calibri" w:hAnsi="Times New Roman" w:cs="Times New Roman"/>
          <w:sz w:val="24"/>
          <w:szCs w:val="24"/>
        </w:rPr>
        <w:t>al</w:t>
      </w:r>
      <w:proofErr w:type="spellEnd"/>
      <w:r w:rsidR="00213CBD">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1996), Daugavas salās un tās tiešā tuvumā esošajos dolomīta karjeros. Sugas populācijai īstermiņā (2000</w:t>
      </w:r>
      <w:r w:rsidR="00213CBD">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213CBD">
        <w:rPr>
          <w:rFonts w:ascii="Times New Roman" w:eastAsia="Calibri" w:hAnsi="Times New Roman" w:cs="Times New Roman"/>
          <w:sz w:val="24"/>
          <w:szCs w:val="24"/>
        </w:rPr>
        <w:t> </w:t>
      </w:r>
      <w:r w:rsidRPr="00A07F29">
        <w:rPr>
          <w:rFonts w:ascii="Times New Roman" w:eastAsia="Calibri" w:hAnsi="Times New Roman" w:cs="Times New Roman"/>
          <w:sz w:val="24"/>
          <w:szCs w:val="24"/>
        </w:rPr>
        <w:t>2018) konstatēta negatīva tendence. Sugai pēc IUCN piešķirts gandrīz apdraudētas (</w:t>
      </w:r>
      <w:r w:rsidRPr="00A07F29">
        <w:rPr>
          <w:rFonts w:ascii="Times New Roman" w:eastAsia="Calibri" w:hAnsi="Times New Roman" w:cs="Times New Roman"/>
          <w:i/>
          <w:iCs/>
          <w:sz w:val="24"/>
          <w:szCs w:val="24"/>
        </w:rPr>
        <w:t xml:space="preserve">near </w:t>
      </w:r>
      <w:proofErr w:type="spellStart"/>
      <w:r w:rsidRPr="00A07F29">
        <w:rPr>
          <w:rFonts w:ascii="Times New Roman" w:eastAsia="Calibri" w:hAnsi="Times New Roman" w:cs="Times New Roman"/>
          <w:i/>
          <w:iCs/>
          <w:sz w:val="24"/>
          <w:szCs w:val="24"/>
        </w:rPr>
        <w:t>threatened</w:t>
      </w:r>
      <w:proofErr w:type="spellEnd"/>
      <w:r w:rsidRPr="00A07F29">
        <w:rPr>
          <w:rFonts w:ascii="Times New Roman" w:eastAsia="Calibri" w:hAnsi="Times New Roman" w:cs="Times New Roman"/>
          <w:sz w:val="24"/>
          <w:szCs w:val="24"/>
        </w:rPr>
        <w:t>) sugas statuss.</w:t>
      </w:r>
    </w:p>
    <w:p w14:paraId="4F28FA0A" w14:textId="35FABA39"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2019.</w:t>
      </w:r>
      <w:r w:rsidR="00213CBD">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gada uzskaišu laikā teritorijā konstatēts viens ligzdojošs pāris </w:t>
      </w:r>
      <w:proofErr w:type="spellStart"/>
      <w:r w:rsidRPr="00A07F29">
        <w:rPr>
          <w:rFonts w:ascii="Times New Roman" w:eastAsia="Calibri" w:hAnsi="Times New Roman" w:cs="Times New Roman"/>
          <w:sz w:val="24"/>
          <w:szCs w:val="24"/>
        </w:rPr>
        <w:t>Elernes</w:t>
      </w:r>
      <w:proofErr w:type="spellEnd"/>
      <w:r w:rsidRPr="00A07F29">
        <w:rPr>
          <w:rFonts w:ascii="Times New Roman" w:eastAsia="Calibri" w:hAnsi="Times New Roman" w:cs="Times New Roman"/>
          <w:sz w:val="24"/>
          <w:szCs w:val="24"/>
        </w:rPr>
        <w:t xml:space="preserve"> karjerā; 13 pāru ligzdošana uz Daugavas sērēm un salām. Daugavā regulāri novēroti arī neligzdojoši īpatņi (pa vienam vai nelielās grupiņās), kas, iespējams, ligzdojuši, bet nesekmīgi.</w:t>
      </w:r>
    </w:p>
    <w:p w14:paraId="720D2267" w14:textId="52EFB3EC"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AAA “Augšdaugava” teritorija ir sugai īpaši nozīmīga nacionālā mērogā. Teritorijā ligzdo 25</w:t>
      </w:r>
      <w:r w:rsidR="00213CBD">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213CBD">
        <w:rPr>
          <w:rFonts w:ascii="Times New Roman" w:eastAsia="Calibri" w:hAnsi="Times New Roman" w:cs="Times New Roman"/>
          <w:sz w:val="24"/>
          <w:szCs w:val="24"/>
        </w:rPr>
        <w:t> </w:t>
      </w:r>
      <w:r w:rsidRPr="00A07F29">
        <w:rPr>
          <w:rFonts w:ascii="Times New Roman" w:eastAsia="Calibri" w:hAnsi="Times New Roman" w:cs="Times New Roman"/>
          <w:sz w:val="24"/>
          <w:szCs w:val="24"/>
        </w:rPr>
        <w:t>33</w:t>
      </w:r>
      <w:r w:rsidR="00213CBD">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 no visas Latvijas populācijas. AAA “Augšdaugava” ir nozīmīgākā šīs sugas ligzdošanas vieta starp Latvijas </w:t>
      </w:r>
      <w:r w:rsidR="003263B7">
        <w:rPr>
          <w:rFonts w:ascii="Times New Roman" w:eastAsia="Calibri" w:hAnsi="Times New Roman" w:cs="Times New Roman"/>
          <w:sz w:val="24"/>
          <w:szCs w:val="24"/>
        </w:rPr>
        <w:t>ĪADT</w:t>
      </w:r>
      <w:r w:rsidRPr="00A07F29">
        <w:rPr>
          <w:rFonts w:ascii="Times New Roman" w:eastAsia="Calibri" w:hAnsi="Times New Roman" w:cs="Times New Roman"/>
          <w:sz w:val="24"/>
          <w:szCs w:val="24"/>
        </w:rPr>
        <w:t>.</w:t>
      </w:r>
    </w:p>
    <w:p w14:paraId="7CEDC246" w14:textId="3799FB66"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Skaita vērtējums teritorijā: 15</w:t>
      </w:r>
      <w:r w:rsidR="00213CBD">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213CBD">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20 ligzdojoši pāri. Suga iekļauta </w:t>
      </w:r>
      <w:proofErr w:type="spellStart"/>
      <w:r w:rsidRPr="00A07F29">
        <w:rPr>
          <w:rFonts w:ascii="Times New Roman" w:eastAsia="Calibri" w:hAnsi="Times New Roman" w:cs="Times New Roman"/>
          <w:i/>
          <w:iCs/>
          <w:sz w:val="24"/>
          <w:szCs w:val="24"/>
        </w:rPr>
        <w:t>Natura</w:t>
      </w:r>
      <w:proofErr w:type="spellEnd"/>
      <w:r w:rsidRPr="00A07F29">
        <w:rPr>
          <w:rFonts w:ascii="Times New Roman" w:eastAsia="Calibri" w:hAnsi="Times New Roman" w:cs="Times New Roman"/>
          <w:i/>
          <w:iCs/>
          <w:sz w:val="24"/>
          <w:szCs w:val="24"/>
        </w:rPr>
        <w:t xml:space="preserve"> 2000</w:t>
      </w:r>
      <w:r w:rsidRPr="00A07F29">
        <w:rPr>
          <w:rFonts w:ascii="Times New Roman" w:eastAsia="Calibri" w:hAnsi="Times New Roman" w:cs="Times New Roman"/>
          <w:sz w:val="24"/>
          <w:szCs w:val="24"/>
        </w:rPr>
        <w:t xml:space="preserve"> </w:t>
      </w:r>
      <w:r w:rsidR="003263B7">
        <w:rPr>
          <w:rFonts w:ascii="Times New Roman" w:eastAsia="Calibri" w:hAnsi="Times New Roman" w:cs="Times New Roman"/>
          <w:sz w:val="24"/>
          <w:szCs w:val="24"/>
        </w:rPr>
        <w:t>SDF</w:t>
      </w:r>
      <w:r w:rsidRPr="00A07F29">
        <w:rPr>
          <w:rFonts w:ascii="Times New Roman" w:eastAsia="Calibri" w:hAnsi="Times New Roman" w:cs="Times New Roman"/>
          <w:sz w:val="24"/>
          <w:szCs w:val="24"/>
        </w:rPr>
        <w:t>.</w:t>
      </w:r>
    </w:p>
    <w:p w14:paraId="4842F72F" w14:textId="77777777" w:rsidR="009A4BC5" w:rsidRPr="00A07F29" w:rsidRDefault="009A4BC5" w:rsidP="00A467AC">
      <w:pPr>
        <w:keepNext/>
        <w:spacing w:before="240" w:after="120" w:line="240" w:lineRule="auto"/>
        <w:jc w:val="both"/>
        <w:rPr>
          <w:rFonts w:ascii="Times New Roman" w:eastAsia="Calibri" w:hAnsi="Times New Roman" w:cs="Times New Roman"/>
          <w:b/>
          <w:bCs/>
          <w:i/>
          <w:iCs/>
          <w:sz w:val="24"/>
          <w:szCs w:val="24"/>
        </w:rPr>
      </w:pPr>
      <w:r w:rsidRPr="00A07F29">
        <w:rPr>
          <w:rFonts w:ascii="Times New Roman" w:eastAsia="Calibri" w:hAnsi="Times New Roman" w:cs="Times New Roman"/>
          <w:b/>
          <w:bCs/>
          <w:sz w:val="24"/>
          <w:szCs w:val="24"/>
        </w:rPr>
        <w:t xml:space="preserve">Pļavu tilbīte </w:t>
      </w:r>
      <w:proofErr w:type="spellStart"/>
      <w:r w:rsidRPr="00A07F29">
        <w:rPr>
          <w:rFonts w:ascii="Times New Roman" w:eastAsia="Calibri" w:hAnsi="Times New Roman" w:cs="Times New Roman"/>
          <w:b/>
          <w:bCs/>
          <w:i/>
          <w:iCs/>
          <w:sz w:val="24"/>
          <w:szCs w:val="24"/>
        </w:rPr>
        <w:t>Tringa</w:t>
      </w:r>
      <w:proofErr w:type="spellEnd"/>
      <w:r w:rsidRPr="00A07F29">
        <w:rPr>
          <w:rFonts w:ascii="Times New Roman" w:eastAsia="Calibri" w:hAnsi="Times New Roman" w:cs="Times New Roman"/>
          <w:b/>
          <w:bCs/>
          <w:i/>
          <w:iCs/>
          <w:sz w:val="24"/>
          <w:szCs w:val="24"/>
        </w:rPr>
        <w:t xml:space="preserve"> </w:t>
      </w:r>
      <w:proofErr w:type="spellStart"/>
      <w:r w:rsidRPr="00A07F29">
        <w:rPr>
          <w:rFonts w:ascii="Times New Roman" w:eastAsia="Calibri" w:hAnsi="Times New Roman" w:cs="Times New Roman"/>
          <w:b/>
          <w:bCs/>
          <w:i/>
          <w:iCs/>
          <w:sz w:val="24"/>
          <w:szCs w:val="24"/>
        </w:rPr>
        <w:t>totanus</w:t>
      </w:r>
      <w:proofErr w:type="spellEnd"/>
    </w:p>
    <w:p w14:paraId="4C119460" w14:textId="4B2333A2"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Populācijas lielums Latvijā: 500</w:t>
      </w:r>
      <w:r w:rsidR="00213CBD">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213CBD">
        <w:rPr>
          <w:rFonts w:ascii="Times New Roman" w:eastAsia="Calibri" w:hAnsi="Times New Roman" w:cs="Times New Roman"/>
          <w:sz w:val="24"/>
          <w:szCs w:val="24"/>
        </w:rPr>
        <w:t> </w:t>
      </w:r>
      <w:r w:rsidRPr="00A07F29">
        <w:rPr>
          <w:rFonts w:ascii="Times New Roman" w:eastAsia="Calibri" w:hAnsi="Times New Roman" w:cs="Times New Roman"/>
          <w:sz w:val="24"/>
          <w:szCs w:val="24"/>
        </w:rPr>
        <w:t>1200 pāri (</w:t>
      </w:r>
      <w:proofErr w:type="spellStart"/>
      <w:r w:rsidRPr="00A07F29">
        <w:rPr>
          <w:rFonts w:ascii="Times New Roman" w:eastAsia="Calibri" w:hAnsi="Times New Roman" w:cs="Times New Roman"/>
          <w:sz w:val="24"/>
          <w:szCs w:val="24"/>
        </w:rPr>
        <w:t>Birdlife</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International</w:t>
      </w:r>
      <w:proofErr w:type="spellEnd"/>
      <w:r w:rsidR="00F2117E">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2019). Apdzīvo mitras </w:t>
      </w:r>
      <w:proofErr w:type="spellStart"/>
      <w:r w:rsidRPr="00A07F29">
        <w:rPr>
          <w:rFonts w:ascii="Times New Roman" w:eastAsia="Calibri" w:hAnsi="Times New Roman" w:cs="Times New Roman"/>
          <w:sz w:val="24"/>
          <w:szCs w:val="24"/>
        </w:rPr>
        <w:t>ieplakas</w:t>
      </w:r>
      <w:proofErr w:type="spellEnd"/>
      <w:r w:rsidRPr="00A07F29">
        <w:rPr>
          <w:rFonts w:ascii="Times New Roman" w:eastAsia="Calibri" w:hAnsi="Times New Roman" w:cs="Times New Roman"/>
          <w:sz w:val="24"/>
          <w:szCs w:val="24"/>
        </w:rPr>
        <w:t xml:space="preserve"> zālājos, sastopama arī purvu slīkšņās un citos mitrājos. Sugas populācijas īstermiņa (2000</w:t>
      </w:r>
      <w:r w:rsidR="00213CBD">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213CBD">
        <w:rPr>
          <w:rFonts w:ascii="Times New Roman" w:eastAsia="Calibri" w:hAnsi="Times New Roman" w:cs="Times New Roman"/>
          <w:sz w:val="24"/>
          <w:szCs w:val="24"/>
        </w:rPr>
        <w:t> </w:t>
      </w:r>
      <w:r w:rsidRPr="00A07F29">
        <w:rPr>
          <w:rFonts w:ascii="Times New Roman" w:eastAsia="Calibri" w:hAnsi="Times New Roman" w:cs="Times New Roman"/>
          <w:sz w:val="24"/>
          <w:szCs w:val="24"/>
        </w:rPr>
        <w:t>2017) un ilgtermiņa (1991</w:t>
      </w:r>
      <w:r w:rsidR="00213CBD">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213CBD">
        <w:rPr>
          <w:rFonts w:ascii="Times New Roman" w:eastAsia="Calibri" w:hAnsi="Times New Roman" w:cs="Times New Roman"/>
          <w:sz w:val="24"/>
          <w:szCs w:val="24"/>
        </w:rPr>
        <w:t> </w:t>
      </w:r>
      <w:r w:rsidRPr="00A07F29">
        <w:rPr>
          <w:rFonts w:ascii="Times New Roman" w:eastAsia="Calibri" w:hAnsi="Times New Roman" w:cs="Times New Roman"/>
          <w:sz w:val="24"/>
          <w:szCs w:val="24"/>
        </w:rPr>
        <w:t>2017) tendence negatīva.</w:t>
      </w:r>
    </w:p>
    <w:p w14:paraId="5975F998" w14:textId="30005B1E"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lastRenderedPageBreak/>
        <w:t>Kā potenciāli ligzdojoša suga teritorijā konstatēta tikai vienu reizi, kad 2019.</w:t>
      </w:r>
      <w:r w:rsidR="00213CBD">
        <w:rPr>
          <w:rFonts w:ascii="Times New Roman" w:eastAsia="Calibri" w:hAnsi="Times New Roman" w:cs="Times New Roman"/>
          <w:sz w:val="24"/>
          <w:szCs w:val="24"/>
        </w:rPr>
        <w:t> gada 26. maijā</w:t>
      </w:r>
      <w:r w:rsidRPr="00A07F29">
        <w:rPr>
          <w:rFonts w:ascii="Times New Roman" w:eastAsia="Calibri" w:hAnsi="Times New Roman" w:cs="Times New Roman"/>
          <w:sz w:val="24"/>
          <w:szCs w:val="24"/>
        </w:rPr>
        <w:t xml:space="preserve"> Adamovas dīķa apkārtnē novērots pāris ar uztraukuma uzvedību (A. </w:t>
      </w:r>
      <w:proofErr w:type="spellStart"/>
      <w:r w:rsidRPr="00A07F29">
        <w:rPr>
          <w:rFonts w:ascii="Times New Roman" w:eastAsia="Calibri" w:hAnsi="Times New Roman" w:cs="Times New Roman"/>
          <w:sz w:val="24"/>
          <w:szCs w:val="24"/>
        </w:rPr>
        <w:t>Erts</w:t>
      </w:r>
      <w:proofErr w:type="spellEnd"/>
      <w:r w:rsidRPr="00A07F29">
        <w:rPr>
          <w:rFonts w:ascii="Times New Roman" w:eastAsia="Calibri" w:hAnsi="Times New Roman" w:cs="Times New Roman"/>
          <w:sz w:val="24"/>
          <w:szCs w:val="24"/>
        </w:rPr>
        <w:t>).</w:t>
      </w:r>
    </w:p>
    <w:p w14:paraId="1DF52A71" w14:textId="46448625"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Skaita vērtējums teritorijā: 0</w:t>
      </w:r>
      <w:r w:rsidR="00213CBD">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213CBD">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1 ligzdojošs pāris. Suga iekļauta </w:t>
      </w:r>
      <w:proofErr w:type="spellStart"/>
      <w:r w:rsidRPr="00A07F29">
        <w:rPr>
          <w:rFonts w:ascii="Times New Roman" w:eastAsia="Calibri" w:hAnsi="Times New Roman" w:cs="Times New Roman"/>
          <w:i/>
          <w:iCs/>
          <w:sz w:val="24"/>
          <w:szCs w:val="24"/>
        </w:rPr>
        <w:t>Natura</w:t>
      </w:r>
      <w:proofErr w:type="spellEnd"/>
      <w:r w:rsidRPr="00A07F29">
        <w:rPr>
          <w:rFonts w:ascii="Times New Roman" w:eastAsia="Calibri" w:hAnsi="Times New Roman" w:cs="Times New Roman"/>
          <w:i/>
          <w:iCs/>
          <w:sz w:val="24"/>
          <w:szCs w:val="24"/>
        </w:rPr>
        <w:t xml:space="preserve"> </w:t>
      </w:r>
      <w:r w:rsidRPr="003263B7">
        <w:rPr>
          <w:rFonts w:ascii="Times New Roman" w:eastAsia="Calibri" w:hAnsi="Times New Roman" w:cs="Times New Roman"/>
          <w:i/>
          <w:iCs/>
          <w:sz w:val="24"/>
          <w:szCs w:val="24"/>
        </w:rPr>
        <w:t>2000</w:t>
      </w:r>
      <w:r w:rsidRPr="003263B7">
        <w:rPr>
          <w:rFonts w:ascii="Times New Roman" w:eastAsia="Calibri" w:hAnsi="Times New Roman" w:cs="Times New Roman"/>
          <w:sz w:val="24"/>
          <w:szCs w:val="24"/>
        </w:rPr>
        <w:t xml:space="preserve"> </w:t>
      </w:r>
      <w:r w:rsidR="003263B7" w:rsidRPr="003263B7">
        <w:rPr>
          <w:rFonts w:ascii="Times New Roman" w:eastAsia="Calibri" w:hAnsi="Times New Roman" w:cs="Times New Roman"/>
          <w:sz w:val="24"/>
          <w:szCs w:val="24"/>
        </w:rPr>
        <w:t>SDF</w:t>
      </w:r>
      <w:r w:rsidRPr="003263B7">
        <w:rPr>
          <w:rFonts w:ascii="Times New Roman" w:eastAsia="Calibri" w:hAnsi="Times New Roman" w:cs="Times New Roman"/>
          <w:sz w:val="24"/>
          <w:szCs w:val="24"/>
        </w:rPr>
        <w:t>.</w:t>
      </w:r>
    </w:p>
    <w:p w14:paraId="6169EBF1" w14:textId="77777777" w:rsidR="009A4BC5" w:rsidRPr="00A07F29" w:rsidRDefault="009A4BC5" w:rsidP="009A4BC5">
      <w:pPr>
        <w:spacing w:before="240" w:after="120" w:line="240" w:lineRule="auto"/>
        <w:jc w:val="both"/>
        <w:rPr>
          <w:rFonts w:ascii="Times New Roman" w:eastAsia="Calibri" w:hAnsi="Times New Roman" w:cs="Times New Roman"/>
          <w:b/>
          <w:bCs/>
          <w:sz w:val="24"/>
          <w:szCs w:val="24"/>
        </w:rPr>
      </w:pPr>
      <w:r w:rsidRPr="00A07F29">
        <w:rPr>
          <w:rFonts w:ascii="Times New Roman" w:eastAsia="Calibri" w:hAnsi="Times New Roman" w:cs="Times New Roman"/>
          <w:b/>
          <w:bCs/>
          <w:sz w:val="24"/>
          <w:szCs w:val="24"/>
        </w:rPr>
        <w:t xml:space="preserve">Lielais ķīris </w:t>
      </w:r>
      <w:proofErr w:type="spellStart"/>
      <w:r w:rsidRPr="00A07F29">
        <w:rPr>
          <w:rFonts w:ascii="Times New Roman" w:eastAsia="Calibri" w:hAnsi="Times New Roman" w:cs="Times New Roman"/>
          <w:b/>
          <w:bCs/>
          <w:i/>
          <w:sz w:val="24"/>
          <w:szCs w:val="24"/>
        </w:rPr>
        <w:t>Chroicocephalus</w:t>
      </w:r>
      <w:proofErr w:type="spellEnd"/>
      <w:r w:rsidRPr="00A07F29">
        <w:rPr>
          <w:rFonts w:ascii="Times New Roman" w:eastAsia="Calibri" w:hAnsi="Times New Roman" w:cs="Times New Roman"/>
          <w:b/>
          <w:bCs/>
          <w:i/>
          <w:sz w:val="24"/>
          <w:szCs w:val="24"/>
        </w:rPr>
        <w:t xml:space="preserve"> </w:t>
      </w:r>
      <w:proofErr w:type="spellStart"/>
      <w:r w:rsidRPr="00A07F29">
        <w:rPr>
          <w:rFonts w:ascii="Times New Roman" w:eastAsia="Calibri" w:hAnsi="Times New Roman" w:cs="Times New Roman"/>
          <w:b/>
          <w:bCs/>
          <w:i/>
          <w:sz w:val="24"/>
          <w:szCs w:val="24"/>
        </w:rPr>
        <w:t>ridibundus</w:t>
      </w:r>
      <w:proofErr w:type="spellEnd"/>
    </w:p>
    <w:p w14:paraId="378D73EA" w14:textId="4AEB2FC5"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Populācijas lielums Latvijā: 24539</w:t>
      </w:r>
      <w:r w:rsidR="00213CBD">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213CBD">
        <w:rPr>
          <w:rFonts w:ascii="Times New Roman" w:eastAsia="Calibri" w:hAnsi="Times New Roman" w:cs="Times New Roman"/>
          <w:sz w:val="24"/>
          <w:szCs w:val="24"/>
        </w:rPr>
        <w:t> </w:t>
      </w:r>
      <w:r w:rsidRPr="00A07F29">
        <w:rPr>
          <w:rFonts w:ascii="Times New Roman" w:eastAsia="Calibri" w:hAnsi="Times New Roman" w:cs="Times New Roman"/>
          <w:sz w:val="24"/>
          <w:szCs w:val="24"/>
        </w:rPr>
        <w:t>38200 pāri (</w:t>
      </w:r>
      <w:proofErr w:type="spellStart"/>
      <w:r w:rsidRPr="00A07F29">
        <w:rPr>
          <w:rFonts w:ascii="Times New Roman" w:eastAsia="Calibri" w:hAnsi="Times New Roman" w:cs="Times New Roman"/>
          <w:sz w:val="24"/>
          <w:szCs w:val="24"/>
        </w:rPr>
        <w:t>Birdlife</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International</w:t>
      </w:r>
      <w:proofErr w:type="spellEnd"/>
      <w:r w:rsidR="00392BE6">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2019). Lielais ķīris ir sabiedrisks putns, kolonijās var būt no pāris desmitiem līdz vairāk nekā 10000 pāru (LOB</w:t>
      </w:r>
      <w:r w:rsidR="00392BE6">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1999). Lielais ķīris tiek definēts kā atslēgas suga </w:t>
      </w:r>
      <w:r w:rsidRPr="00A07F29">
        <w:rPr>
          <w:rFonts w:ascii="Times New Roman" w:eastAsia="Calibri" w:hAnsi="Times New Roman" w:cs="Times New Roman"/>
          <w:i/>
          <w:iCs/>
          <w:sz w:val="24"/>
          <w:szCs w:val="24"/>
        </w:rPr>
        <w:t>(</w:t>
      </w:r>
      <w:proofErr w:type="spellStart"/>
      <w:r w:rsidRPr="00A07F29">
        <w:rPr>
          <w:rFonts w:ascii="Times New Roman" w:eastAsia="Calibri" w:hAnsi="Times New Roman" w:cs="Times New Roman"/>
          <w:i/>
          <w:iCs/>
          <w:sz w:val="24"/>
          <w:szCs w:val="24"/>
        </w:rPr>
        <w:t>keystone</w:t>
      </w:r>
      <w:proofErr w:type="spellEnd"/>
      <w:r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species</w:t>
      </w:r>
      <w:proofErr w:type="spellEnd"/>
      <w:r w:rsidRPr="00A07F29">
        <w:rPr>
          <w:rFonts w:ascii="Times New Roman" w:eastAsia="Calibri" w:hAnsi="Times New Roman" w:cs="Times New Roman"/>
          <w:i/>
          <w:iCs/>
          <w:sz w:val="24"/>
          <w:szCs w:val="24"/>
        </w:rPr>
        <w:t>)</w:t>
      </w:r>
      <w:r w:rsidRPr="00A07F29">
        <w:rPr>
          <w:rFonts w:ascii="Times New Roman" w:eastAsia="Calibri" w:hAnsi="Times New Roman" w:cs="Times New Roman"/>
          <w:sz w:val="24"/>
          <w:szCs w:val="24"/>
        </w:rPr>
        <w:t xml:space="preserve"> – suga, kuras klātbūtne būtiski izmaina biocenozes vai ekosistēmas struktūru vai funkcijas. 25 gadu ilgā pētījumā Igaunijā konstatēta tieša, pozitīva sakarība starp lielo ķīru skaitu un citu ūdensputnu sugu populācijām (</w:t>
      </w:r>
      <w:proofErr w:type="spellStart"/>
      <w:r w:rsidRPr="00A07F29">
        <w:rPr>
          <w:rFonts w:ascii="Times New Roman" w:eastAsia="Calibri" w:hAnsi="Times New Roman" w:cs="Times New Roman"/>
          <w:sz w:val="24"/>
          <w:szCs w:val="24"/>
        </w:rPr>
        <w:t>Leito</w:t>
      </w:r>
      <w:proofErr w:type="spellEnd"/>
      <w:r w:rsidR="005A27AD">
        <w:rPr>
          <w:rFonts w:ascii="Times New Roman" w:eastAsia="Calibri" w:hAnsi="Times New Roman" w:cs="Times New Roman"/>
          <w:sz w:val="24"/>
          <w:szCs w:val="24"/>
        </w:rPr>
        <w:t xml:space="preserve"> A.,</w:t>
      </w:r>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i/>
          <w:iCs/>
          <w:sz w:val="24"/>
          <w:szCs w:val="24"/>
        </w:rPr>
        <w:t>et</w:t>
      </w:r>
      <w:proofErr w:type="spellEnd"/>
      <w:r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al</w:t>
      </w:r>
      <w:proofErr w:type="spellEnd"/>
      <w:r w:rsidRPr="00A07F29">
        <w:rPr>
          <w:rFonts w:ascii="Times New Roman" w:eastAsia="Calibri" w:hAnsi="Times New Roman" w:cs="Times New Roman"/>
          <w:i/>
          <w:iCs/>
          <w:sz w:val="24"/>
          <w:szCs w:val="24"/>
        </w:rPr>
        <w:t xml:space="preserve">. </w:t>
      </w:r>
      <w:r w:rsidRPr="00A07F29">
        <w:rPr>
          <w:rFonts w:ascii="Times New Roman" w:eastAsia="Calibri" w:hAnsi="Times New Roman" w:cs="Times New Roman"/>
          <w:sz w:val="24"/>
          <w:szCs w:val="24"/>
        </w:rPr>
        <w:t>20</w:t>
      </w:r>
      <w:r w:rsidR="00985C82">
        <w:rPr>
          <w:rFonts w:ascii="Times New Roman" w:eastAsia="Calibri" w:hAnsi="Times New Roman" w:cs="Times New Roman"/>
          <w:sz w:val="24"/>
          <w:szCs w:val="24"/>
        </w:rPr>
        <w:t>1</w:t>
      </w:r>
      <w:r w:rsidRPr="00A07F29">
        <w:rPr>
          <w:rFonts w:ascii="Times New Roman" w:eastAsia="Calibri" w:hAnsi="Times New Roman" w:cs="Times New Roman"/>
          <w:sz w:val="24"/>
          <w:szCs w:val="24"/>
        </w:rPr>
        <w:t xml:space="preserve">6). Priekšrocības citu putnu ligzdošanai tiešā lielo ķīru kolonijas tuvumā ir aizsardzība pret plēsīgo putnu sugām: pelēko vārnu </w:t>
      </w:r>
      <w:proofErr w:type="spellStart"/>
      <w:r w:rsidRPr="00A07F29">
        <w:rPr>
          <w:rFonts w:ascii="Times New Roman" w:eastAsia="Calibri" w:hAnsi="Times New Roman" w:cs="Times New Roman"/>
          <w:i/>
          <w:iCs/>
          <w:sz w:val="24"/>
          <w:szCs w:val="24"/>
        </w:rPr>
        <w:t>Corvus</w:t>
      </w:r>
      <w:proofErr w:type="spellEnd"/>
      <w:r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corone</w:t>
      </w:r>
      <w:proofErr w:type="spellEnd"/>
      <w:r w:rsidRPr="00A07F29">
        <w:rPr>
          <w:rFonts w:ascii="Times New Roman" w:eastAsia="Calibri" w:hAnsi="Times New Roman" w:cs="Times New Roman"/>
          <w:sz w:val="24"/>
          <w:szCs w:val="24"/>
        </w:rPr>
        <w:t xml:space="preserve">, niedru liju, kraukli </w:t>
      </w:r>
      <w:proofErr w:type="spellStart"/>
      <w:r w:rsidRPr="00A07F29">
        <w:rPr>
          <w:rFonts w:ascii="Times New Roman" w:eastAsia="Calibri" w:hAnsi="Times New Roman" w:cs="Times New Roman"/>
          <w:i/>
          <w:iCs/>
          <w:sz w:val="24"/>
          <w:szCs w:val="24"/>
        </w:rPr>
        <w:t>Corvus</w:t>
      </w:r>
      <w:proofErr w:type="spellEnd"/>
      <w:r w:rsidRPr="00A07F29">
        <w:rPr>
          <w:rFonts w:ascii="Times New Roman" w:eastAsia="Calibri" w:hAnsi="Times New Roman" w:cs="Times New Roman"/>
          <w:i/>
          <w:iCs/>
          <w:sz w:val="24"/>
          <w:szCs w:val="24"/>
        </w:rPr>
        <w:t xml:space="preserve"> </w:t>
      </w:r>
      <w:proofErr w:type="spellStart"/>
      <w:r w:rsidRPr="00A07F29">
        <w:rPr>
          <w:rFonts w:ascii="Times New Roman" w:eastAsia="Calibri" w:hAnsi="Times New Roman" w:cs="Times New Roman"/>
          <w:i/>
          <w:iCs/>
          <w:sz w:val="24"/>
          <w:szCs w:val="24"/>
        </w:rPr>
        <w:t>corax</w:t>
      </w:r>
      <w:proofErr w:type="spellEnd"/>
      <w:r w:rsidRPr="00A07F29">
        <w:rPr>
          <w:rFonts w:ascii="Times New Roman" w:eastAsia="Calibri" w:hAnsi="Times New Roman" w:cs="Times New Roman"/>
          <w:sz w:val="24"/>
          <w:szCs w:val="24"/>
        </w:rPr>
        <w:t>. Gan īstermiņā (2000</w:t>
      </w:r>
      <w:r w:rsidR="00EB37FC">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EB37FC">
        <w:rPr>
          <w:rFonts w:ascii="Times New Roman" w:eastAsia="Calibri" w:hAnsi="Times New Roman" w:cs="Times New Roman"/>
          <w:sz w:val="24"/>
          <w:szCs w:val="24"/>
        </w:rPr>
        <w:t> </w:t>
      </w:r>
      <w:r w:rsidRPr="00A07F29">
        <w:rPr>
          <w:rFonts w:ascii="Times New Roman" w:eastAsia="Calibri" w:hAnsi="Times New Roman" w:cs="Times New Roman"/>
          <w:sz w:val="24"/>
          <w:szCs w:val="24"/>
        </w:rPr>
        <w:t>2017), gan ilgtermiņā (1980</w:t>
      </w:r>
      <w:r w:rsidR="00EB37FC">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EB37FC">
        <w:rPr>
          <w:rFonts w:ascii="Times New Roman" w:eastAsia="Calibri" w:hAnsi="Times New Roman" w:cs="Times New Roman"/>
          <w:sz w:val="24"/>
          <w:szCs w:val="24"/>
        </w:rPr>
        <w:t> </w:t>
      </w:r>
      <w:r w:rsidRPr="00A07F29">
        <w:rPr>
          <w:rFonts w:ascii="Times New Roman" w:eastAsia="Calibri" w:hAnsi="Times New Roman" w:cs="Times New Roman"/>
          <w:sz w:val="24"/>
          <w:szCs w:val="24"/>
        </w:rPr>
        <w:t>2017) sugai Latvijā konstatēts būtisks skaita samazinājums (</w:t>
      </w:r>
      <w:proofErr w:type="spellStart"/>
      <w:r w:rsidRPr="00A07F29">
        <w:rPr>
          <w:rFonts w:ascii="Times New Roman" w:eastAsia="Calibri" w:hAnsi="Times New Roman" w:cs="Times New Roman"/>
          <w:sz w:val="24"/>
          <w:szCs w:val="24"/>
        </w:rPr>
        <w:t>Birdlife</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International</w:t>
      </w:r>
      <w:proofErr w:type="spellEnd"/>
      <w:r w:rsidR="00392BE6">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2019).</w:t>
      </w:r>
    </w:p>
    <w:p w14:paraId="48A4990C" w14:textId="05090A19"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Lielākā zināmā lielo ķīru kolonija AAA “Augšdaugava” atrodas uz Daugavas salām iepretī Krāslavai. Maksimālais šeit ligzdojošo pāru skaits 2019.</w:t>
      </w:r>
      <w:r w:rsidR="00EB37FC">
        <w:rPr>
          <w:rFonts w:ascii="Times New Roman" w:eastAsia="Calibri" w:hAnsi="Times New Roman" w:cs="Times New Roman"/>
          <w:sz w:val="24"/>
          <w:szCs w:val="24"/>
        </w:rPr>
        <w:t> </w:t>
      </w:r>
      <w:r w:rsidRPr="00A07F29">
        <w:rPr>
          <w:rFonts w:ascii="Times New Roman" w:eastAsia="Calibri" w:hAnsi="Times New Roman" w:cs="Times New Roman"/>
          <w:sz w:val="24"/>
          <w:szCs w:val="24"/>
        </w:rPr>
        <w:t>gadā tiek vērtēts kā 400</w:t>
      </w:r>
      <w:r w:rsidR="00EB37FC">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EB37FC">
        <w:rPr>
          <w:rFonts w:ascii="Times New Roman" w:eastAsia="Calibri" w:hAnsi="Times New Roman" w:cs="Times New Roman"/>
          <w:sz w:val="24"/>
          <w:szCs w:val="24"/>
        </w:rPr>
        <w:t> </w:t>
      </w:r>
      <w:r w:rsidRPr="00A07F29">
        <w:rPr>
          <w:rFonts w:ascii="Times New Roman" w:eastAsia="Calibri" w:hAnsi="Times New Roman" w:cs="Times New Roman"/>
          <w:sz w:val="24"/>
          <w:szCs w:val="24"/>
        </w:rPr>
        <w:t>500 pāri.</w:t>
      </w:r>
    </w:p>
    <w:p w14:paraId="6D902E4F" w14:textId="79628E05"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Aptuveni 10 pāru ligzdošana 2016.</w:t>
      </w:r>
      <w:r w:rsidR="00EB37FC">
        <w:rPr>
          <w:rFonts w:ascii="Times New Roman" w:eastAsia="Calibri" w:hAnsi="Times New Roman" w:cs="Times New Roman"/>
          <w:sz w:val="24"/>
          <w:szCs w:val="24"/>
        </w:rPr>
        <w:t> </w:t>
      </w:r>
      <w:r w:rsidRPr="00A07F29">
        <w:rPr>
          <w:rFonts w:ascii="Times New Roman" w:eastAsia="Calibri" w:hAnsi="Times New Roman" w:cs="Times New Roman"/>
          <w:sz w:val="24"/>
          <w:szCs w:val="24"/>
        </w:rPr>
        <w:t>gada jūnijā konstatēta mitrājā Kaplavas pagasta “Ganiņu” viensētas tuvumā (I. Jakovļevs u.c.).</w:t>
      </w:r>
    </w:p>
    <w:p w14:paraId="4F4D7B71" w14:textId="6D09A039"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Pierādīta ligzdošana konstatēta arī applūdušā grants karjerā </w:t>
      </w:r>
      <w:proofErr w:type="spellStart"/>
      <w:r w:rsidRPr="00A07F29">
        <w:rPr>
          <w:rFonts w:ascii="Times New Roman" w:eastAsia="Calibri" w:hAnsi="Times New Roman" w:cs="Times New Roman"/>
          <w:sz w:val="24"/>
          <w:szCs w:val="24"/>
        </w:rPr>
        <w:t>Sadnieku</w:t>
      </w:r>
      <w:proofErr w:type="spellEnd"/>
      <w:r w:rsidRPr="00A07F29">
        <w:rPr>
          <w:rFonts w:ascii="Times New Roman" w:eastAsia="Calibri" w:hAnsi="Times New Roman" w:cs="Times New Roman"/>
          <w:sz w:val="24"/>
          <w:szCs w:val="24"/>
        </w:rPr>
        <w:t xml:space="preserve"> apkārtnē, kur 2019.</w:t>
      </w:r>
      <w:r w:rsidR="00EB37FC">
        <w:rPr>
          <w:rFonts w:ascii="Times New Roman" w:eastAsia="Calibri" w:hAnsi="Times New Roman" w:cs="Times New Roman"/>
          <w:sz w:val="24"/>
          <w:szCs w:val="24"/>
        </w:rPr>
        <w:t> </w:t>
      </w:r>
      <w:r w:rsidRPr="00A07F29">
        <w:rPr>
          <w:rFonts w:ascii="Times New Roman" w:eastAsia="Calibri" w:hAnsi="Times New Roman" w:cs="Times New Roman"/>
          <w:sz w:val="24"/>
          <w:szCs w:val="24"/>
        </w:rPr>
        <w:t>gadā sekmīgi ligzdoja 2</w:t>
      </w:r>
      <w:r w:rsidR="00EB37FC">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EB37FC">
        <w:rPr>
          <w:rFonts w:ascii="Times New Roman" w:eastAsia="Calibri" w:hAnsi="Times New Roman" w:cs="Times New Roman"/>
          <w:sz w:val="24"/>
          <w:szCs w:val="24"/>
        </w:rPr>
        <w:t> </w:t>
      </w:r>
      <w:r w:rsidRPr="00A07F29">
        <w:rPr>
          <w:rFonts w:ascii="Times New Roman" w:eastAsia="Calibri" w:hAnsi="Times New Roman" w:cs="Times New Roman"/>
          <w:sz w:val="24"/>
          <w:szCs w:val="24"/>
        </w:rPr>
        <w:t>3 pāri lielo ķīru.</w:t>
      </w:r>
    </w:p>
    <w:p w14:paraId="6A8589DF" w14:textId="0055796C"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Skaita vērtējums teritorijā: 500</w:t>
      </w:r>
      <w:r w:rsidR="00EB37FC">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EB37FC">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550 ligzdojoši pāri. Sugai </w:t>
      </w:r>
      <w:proofErr w:type="spellStart"/>
      <w:r w:rsidRPr="00A07F29">
        <w:rPr>
          <w:rFonts w:ascii="Times New Roman" w:eastAsia="Calibri" w:hAnsi="Times New Roman" w:cs="Times New Roman"/>
          <w:i/>
          <w:iCs/>
          <w:sz w:val="24"/>
          <w:szCs w:val="24"/>
        </w:rPr>
        <w:t>Natura</w:t>
      </w:r>
      <w:proofErr w:type="spellEnd"/>
      <w:r w:rsidRPr="00A07F29">
        <w:rPr>
          <w:rFonts w:ascii="Times New Roman" w:eastAsia="Calibri" w:hAnsi="Times New Roman" w:cs="Times New Roman"/>
          <w:i/>
          <w:iCs/>
          <w:sz w:val="24"/>
          <w:szCs w:val="24"/>
        </w:rPr>
        <w:t xml:space="preserve"> 2000</w:t>
      </w:r>
      <w:r w:rsidRPr="00A07F29">
        <w:rPr>
          <w:rFonts w:ascii="Times New Roman" w:eastAsia="Calibri" w:hAnsi="Times New Roman" w:cs="Times New Roman"/>
          <w:sz w:val="24"/>
          <w:szCs w:val="24"/>
        </w:rPr>
        <w:t xml:space="preserve"> </w:t>
      </w:r>
      <w:r w:rsidR="003263B7">
        <w:rPr>
          <w:rFonts w:ascii="Times New Roman" w:eastAsia="Calibri" w:hAnsi="Times New Roman" w:cs="Times New Roman"/>
          <w:sz w:val="24"/>
          <w:szCs w:val="24"/>
        </w:rPr>
        <w:t>SDF</w:t>
      </w:r>
      <w:r w:rsidRPr="00A07F29">
        <w:rPr>
          <w:rFonts w:ascii="Times New Roman" w:eastAsia="Calibri" w:hAnsi="Times New Roman" w:cs="Times New Roman"/>
          <w:sz w:val="24"/>
          <w:szCs w:val="24"/>
        </w:rPr>
        <w:t xml:space="preserve"> precizēts minimālais un maksimālais populācijas lielums.</w:t>
      </w:r>
    </w:p>
    <w:p w14:paraId="20071877" w14:textId="77777777" w:rsidR="009A4BC5" w:rsidRPr="00A07F29" w:rsidRDefault="009A4BC5" w:rsidP="009A4BC5">
      <w:pPr>
        <w:spacing w:before="240" w:after="120" w:line="240" w:lineRule="auto"/>
        <w:jc w:val="both"/>
        <w:rPr>
          <w:rFonts w:ascii="Times New Roman" w:eastAsia="Calibri" w:hAnsi="Times New Roman" w:cs="Times New Roman"/>
          <w:b/>
          <w:bCs/>
          <w:sz w:val="24"/>
          <w:szCs w:val="24"/>
        </w:rPr>
      </w:pPr>
      <w:r w:rsidRPr="00A07F29">
        <w:rPr>
          <w:rFonts w:ascii="Times New Roman" w:eastAsia="Calibri" w:hAnsi="Times New Roman" w:cs="Times New Roman"/>
          <w:b/>
          <w:bCs/>
          <w:sz w:val="24"/>
          <w:szCs w:val="24"/>
        </w:rPr>
        <w:t xml:space="preserve">Mazais ķīris </w:t>
      </w:r>
      <w:proofErr w:type="spellStart"/>
      <w:r w:rsidRPr="00A07F29">
        <w:rPr>
          <w:rFonts w:ascii="Times New Roman" w:eastAsia="Calibri" w:hAnsi="Times New Roman" w:cs="Times New Roman"/>
          <w:b/>
          <w:bCs/>
          <w:i/>
          <w:sz w:val="24"/>
          <w:szCs w:val="24"/>
        </w:rPr>
        <w:t>Hydrocoloeus</w:t>
      </w:r>
      <w:proofErr w:type="spellEnd"/>
      <w:r w:rsidRPr="00A07F29">
        <w:rPr>
          <w:rFonts w:ascii="Times New Roman" w:eastAsia="Calibri" w:hAnsi="Times New Roman" w:cs="Times New Roman"/>
          <w:b/>
          <w:bCs/>
          <w:i/>
          <w:sz w:val="24"/>
          <w:szCs w:val="24"/>
        </w:rPr>
        <w:t xml:space="preserve"> </w:t>
      </w:r>
      <w:proofErr w:type="spellStart"/>
      <w:r w:rsidRPr="00A07F29">
        <w:rPr>
          <w:rFonts w:ascii="Times New Roman" w:eastAsia="Calibri" w:hAnsi="Times New Roman" w:cs="Times New Roman"/>
          <w:b/>
          <w:bCs/>
          <w:i/>
          <w:sz w:val="24"/>
          <w:szCs w:val="24"/>
        </w:rPr>
        <w:t>minutus</w:t>
      </w:r>
      <w:proofErr w:type="spellEnd"/>
    </w:p>
    <w:p w14:paraId="4B4248A6" w14:textId="23DEA949"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Populācijas lielums Latvijā: 150</w:t>
      </w:r>
      <w:r w:rsidR="00EB37FC">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EB37FC">
        <w:rPr>
          <w:rFonts w:ascii="Times New Roman" w:eastAsia="Calibri" w:hAnsi="Times New Roman" w:cs="Times New Roman"/>
          <w:sz w:val="24"/>
          <w:szCs w:val="24"/>
        </w:rPr>
        <w:t> </w:t>
      </w:r>
      <w:r w:rsidRPr="00A07F29">
        <w:rPr>
          <w:rFonts w:ascii="Times New Roman" w:eastAsia="Calibri" w:hAnsi="Times New Roman" w:cs="Times New Roman"/>
          <w:sz w:val="24"/>
          <w:szCs w:val="24"/>
        </w:rPr>
        <w:t>400 pāri (</w:t>
      </w:r>
      <w:proofErr w:type="spellStart"/>
      <w:r w:rsidRPr="00A07F29">
        <w:rPr>
          <w:rFonts w:ascii="Times New Roman" w:eastAsia="Calibri" w:hAnsi="Times New Roman" w:cs="Times New Roman"/>
          <w:sz w:val="24"/>
          <w:szCs w:val="24"/>
        </w:rPr>
        <w:t>Birdlife</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International</w:t>
      </w:r>
      <w:proofErr w:type="spellEnd"/>
      <w:r w:rsidR="00392BE6">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2019). Gan īstermiņā (2000</w:t>
      </w:r>
      <w:r w:rsidR="00EB37FC">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EB37FC">
        <w:rPr>
          <w:rFonts w:ascii="Times New Roman" w:eastAsia="Calibri" w:hAnsi="Times New Roman" w:cs="Times New Roman"/>
          <w:sz w:val="24"/>
          <w:szCs w:val="24"/>
        </w:rPr>
        <w:t> </w:t>
      </w:r>
      <w:r w:rsidRPr="00A07F29">
        <w:rPr>
          <w:rFonts w:ascii="Times New Roman" w:eastAsia="Calibri" w:hAnsi="Times New Roman" w:cs="Times New Roman"/>
          <w:sz w:val="24"/>
          <w:szCs w:val="24"/>
        </w:rPr>
        <w:t>2018), gan ilgtermiņā (1980</w:t>
      </w:r>
      <w:r w:rsidR="00EB37FC">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EB37FC">
        <w:rPr>
          <w:rFonts w:ascii="Times New Roman" w:eastAsia="Calibri" w:hAnsi="Times New Roman" w:cs="Times New Roman"/>
          <w:sz w:val="24"/>
          <w:szCs w:val="24"/>
        </w:rPr>
        <w:t> </w:t>
      </w:r>
      <w:r w:rsidRPr="00A07F29">
        <w:rPr>
          <w:rFonts w:ascii="Times New Roman" w:eastAsia="Calibri" w:hAnsi="Times New Roman" w:cs="Times New Roman"/>
          <w:sz w:val="24"/>
          <w:szCs w:val="24"/>
        </w:rPr>
        <w:t>2017) sugai Latvijā konstatēts būtisks skaita samazinājums (</w:t>
      </w:r>
      <w:proofErr w:type="spellStart"/>
      <w:r w:rsidRPr="00A07F29">
        <w:rPr>
          <w:rFonts w:ascii="Times New Roman" w:eastAsia="Calibri" w:hAnsi="Times New Roman" w:cs="Times New Roman"/>
          <w:sz w:val="24"/>
          <w:szCs w:val="24"/>
        </w:rPr>
        <w:t>Birdlife</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International</w:t>
      </w:r>
      <w:proofErr w:type="spellEnd"/>
      <w:r w:rsidR="00392BE6">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2019).</w:t>
      </w:r>
    </w:p>
    <w:p w14:paraId="48E9E3B8" w14:textId="30BE82A0"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Ligzdošana </w:t>
      </w:r>
      <w:r w:rsidR="00C54F32" w:rsidRPr="00A07F29">
        <w:rPr>
          <w:rFonts w:ascii="Times New Roman" w:eastAsia="Calibri" w:hAnsi="Times New Roman" w:cs="Times New Roman"/>
          <w:sz w:val="24"/>
          <w:szCs w:val="24"/>
        </w:rPr>
        <w:t>AAA “Augšdaugava”</w:t>
      </w:r>
      <w:r w:rsidRPr="00A07F29">
        <w:rPr>
          <w:rFonts w:ascii="Times New Roman" w:eastAsia="Calibri" w:hAnsi="Times New Roman" w:cs="Times New Roman"/>
          <w:sz w:val="24"/>
          <w:szCs w:val="24"/>
        </w:rPr>
        <w:t xml:space="preserve"> līdz šim nav pierādīta, bet īpatņi ligzdošanai piemērotā biotopā neregulāri novēroti jauktā </w:t>
      </w:r>
      <w:proofErr w:type="spellStart"/>
      <w:r w:rsidRPr="00A07F29">
        <w:rPr>
          <w:rFonts w:ascii="Times New Roman" w:eastAsia="Calibri" w:hAnsi="Times New Roman" w:cs="Times New Roman"/>
          <w:sz w:val="24"/>
          <w:szCs w:val="24"/>
        </w:rPr>
        <w:t>kaijveidīgo</w:t>
      </w:r>
      <w:proofErr w:type="spellEnd"/>
      <w:r w:rsidRPr="00A07F29">
        <w:rPr>
          <w:rFonts w:ascii="Times New Roman" w:eastAsia="Calibri" w:hAnsi="Times New Roman" w:cs="Times New Roman"/>
          <w:sz w:val="24"/>
          <w:szCs w:val="24"/>
        </w:rPr>
        <w:t xml:space="preserve"> kolonijā Daugavā pie Krāslavas un jauktā </w:t>
      </w:r>
      <w:proofErr w:type="spellStart"/>
      <w:r w:rsidRPr="00A07F29">
        <w:rPr>
          <w:rFonts w:ascii="Times New Roman" w:eastAsia="Calibri" w:hAnsi="Times New Roman" w:cs="Times New Roman"/>
          <w:sz w:val="24"/>
          <w:szCs w:val="24"/>
        </w:rPr>
        <w:t>kaijveidīgo</w:t>
      </w:r>
      <w:proofErr w:type="spellEnd"/>
      <w:r w:rsidRPr="00A07F29">
        <w:rPr>
          <w:rFonts w:ascii="Times New Roman" w:eastAsia="Calibri" w:hAnsi="Times New Roman" w:cs="Times New Roman"/>
          <w:sz w:val="24"/>
          <w:szCs w:val="24"/>
        </w:rPr>
        <w:t xml:space="preserve"> kolonijā Daugavā pie Gorbačovas.</w:t>
      </w:r>
    </w:p>
    <w:p w14:paraId="3FCE1CA1" w14:textId="0EC8B856"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Skaita vērtējums teritorijā: 0</w:t>
      </w:r>
      <w:r w:rsidR="00EB37FC">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EB37FC">
        <w:rPr>
          <w:rFonts w:ascii="Times New Roman" w:eastAsia="Calibri" w:hAnsi="Times New Roman" w:cs="Times New Roman"/>
          <w:sz w:val="24"/>
          <w:szCs w:val="24"/>
        </w:rPr>
        <w:t> </w:t>
      </w:r>
      <w:r w:rsidRPr="00A07F29">
        <w:rPr>
          <w:rFonts w:ascii="Times New Roman" w:eastAsia="Calibri" w:hAnsi="Times New Roman" w:cs="Times New Roman"/>
          <w:sz w:val="24"/>
          <w:szCs w:val="24"/>
        </w:rPr>
        <w:t>1 ligzdojošs pāris.</w:t>
      </w:r>
      <w:r w:rsidR="00C54F32" w:rsidRPr="00A07F29">
        <w:rPr>
          <w:rFonts w:ascii="Times New Roman" w:eastAsia="Calibri" w:hAnsi="Times New Roman" w:cs="Times New Roman"/>
          <w:sz w:val="24"/>
          <w:szCs w:val="24"/>
        </w:rPr>
        <w:t xml:space="preserve"> </w:t>
      </w:r>
      <w:r w:rsidRPr="00A07F29">
        <w:rPr>
          <w:rFonts w:ascii="Times New Roman" w:eastAsia="Calibri" w:hAnsi="Times New Roman" w:cs="Times New Roman"/>
          <w:sz w:val="24"/>
          <w:szCs w:val="24"/>
        </w:rPr>
        <w:t xml:space="preserve">Suga iekļauta </w:t>
      </w:r>
      <w:proofErr w:type="spellStart"/>
      <w:r w:rsidRPr="00A07F29">
        <w:rPr>
          <w:rFonts w:ascii="Times New Roman" w:eastAsia="Calibri" w:hAnsi="Times New Roman" w:cs="Times New Roman"/>
          <w:i/>
          <w:iCs/>
          <w:sz w:val="24"/>
          <w:szCs w:val="24"/>
        </w:rPr>
        <w:t>Natura</w:t>
      </w:r>
      <w:proofErr w:type="spellEnd"/>
      <w:r w:rsidRPr="00A07F29">
        <w:rPr>
          <w:rFonts w:ascii="Times New Roman" w:eastAsia="Calibri" w:hAnsi="Times New Roman" w:cs="Times New Roman"/>
          <w:i/>
          <w:iCs/>
          <w:sz w:val="24"/>
          <w:szCs w:val="24"/>
        </w:rPr>
        <w:t xml:space="preserve"> 2000</w:t>
      </w:r>
      <w:r w:rsidRPr="00A07F29">
        <w:rPr>
          <w:rFonts w:ascii="Times New Roman" w:eastAsia="Calibri" w:hAnsi="Times New Roman" w:cs="Times New Roman"/>
          <w:sz w:val="24"/>
          <w:szCs w:val="24"/>
        </w:rPr>
        <w:t xml:space="preserve"> </w:t>
      </w:r>
      <w:r w:rsidR="003263B7">
        <w:rPr>
          <w:rFonts w:ascii="Times New Roman" w:eastAsia="Calibri" w:hAnsi="Times New Roman" w:cs="Times New Roman"/>
          <w:sz w:val="24"/>
          <w:szCs w:val="24"/>
        </w:rPr>
        <w:t>SDF</w:t>
      </w:r>
      <w:r w:rsidRPr="00A07F29">
        <w:rPr>
          <w:rFonts w:ascii="Times New Roman" w:eastAsia="Calibri" w:hAnsi="Times New Roman" w:cs="Times New Roman"/>
          <w:sz w:val="24"/>
          <w:szCs w:val="24"/>
        </w:rPr>
        <w:t xml:space="preserve">. </w:t>
      </w:r>
    </w:p>
    <w:p w14:paraId="612D2294" w14:textId="77777777" w:rsidR="009A4BC5" w:rsidRPr="00A07F29" w:rsidRDefault="009A4BC5" w:rsidP="00C54F32">
      <w:pPr>
        <w:spacing w:before="240" w:after="120" w:line="240" w:lineRule="auto"/>
        <w:jc w:val="both"/>
        <w:rPr>
          <w:rFonts w:ascii="Times New Roman" w:eastAsia="Calibri" w:hAnsi="Times New Roman" w:cs="Times New Roman"/>
          <w:b/>
          <w:bCs/>
          <w:i/>
          <w:iCs/>
          <w:sz w:val="24"/>
          <w:szCs w:val="24"/>
        </w:rPr>
      </w:pPr>
      <w:r w:rsidRPr="00A07F29">
        <w:rPr>
          <w:rFonts w:ascii="Times New Roman" w:eastAsia="Calibri" w:hAnsi="Times New Roman" w:cs="Times New Roman"/>
          <w:b/>
          <w:bCs/>
          <w:sz w:val="24"/>
          <w:szCs w:val="24"/>
        </w:rPr>
        <w:t xml:space="preserve">Mazais zīriņš </w:t>
      </w:r>
      <w:proofErr w:type="spellStart"/>
      <w:r w:rsidRPr="00A07F29">
        <w:rPr>
          <w:rFonts w:ascii="Times New Roman" w:eastAsia="Calibri" w:hAnsi="Times New Roman" w:cs="Times New Roman"/>
          <w:b/>
          <w:bCs/>
          <w:i/>
          <w:iCs/>
          <w:sz w:val="24"/>
          <w:szCs w:val="24"/>
        </w:rPr>
        <w:t>Sternula</w:t>
      </w:r>
      <w:proofErr w:type="spellEnd"/>
      <w:r w:rsidRPr="00A07F29">
        <w:rPr>
          <w:rFonts w:ascii="Times New Roman" w:eastAsia="Calibri" w:hAnsi="Times New Roman" w:cs="Times New Roman"/>
          <w:b/>
          <w:bCs/>
          <w:i/>
          <w:iCs/>
          <w:sz w:val="24"/>
          <w:szCs w:val="24"/>
        </w:rPr>
        <w:t xml:space="preserve"> </w:t>
      </w:r>
      <w:proofErr w:type="spellStart"/>
      <w:r w:rsidRPr="00A07F29">
        <w:rPr>
          <w:rFonts w:ascii="Times New Roman" w:eastAsia="Calibri" w:hAnsi="Times New Roman" w:cs="Times New Roman"/>
          <w:b/>
          <w:bCs/>
          <w:i/>
          <w:iCs/>
          <w:sz w:val="24"/>
          <w:szCs w:val="24"/>
        </w:rPr>
        <w:t>albifrons</w:t>
      </w:r>
      <w:proofErr w:type="spellEnd"/>
    </w:p>
    <w:p w14:paraId="1B947CA8" w14:textId="30112D1D"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Populācijas lielums Latvijā: 70</w:t>
      </w:r>
      <w:r w:rsidR="00EB37FC">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EB37FC">
        <w:rPr>
          <w:rFonts w:ascii="Times New Roman" w:eastAsia="Calibri" w:hAnsi="Times New Roman" w:cs="Times New Roman"/>
          <w:sz w:val="24"/>
          <w:szCs w:val="24"/>
        </w:rPr>
        <w:t> </w:t>
      </w:r>
      <w:r w:rsidRPr="00A07F29">
        <w:rPr>
          <w:rFonts w:ascii="Times New Roman" w:eastAsia="Calibri" w:hAnsi="Times New Roman" w:cs="Times New Roman"/>
          <w:sz w:val="24"/>
          <w:szCs w:val="24"/>
        </w:rPr>
        <w:t>100 ligzdojoši pāri (</w:t>
      </w:r>
      <w:proofErr w:type="spellStart"/>
      <w:r w:rsidRPr="00A07F29">
        <w:rPr>
          <w:rFonts w:ascii="Times New Roman" w:eastAsia="Calibri" w:hAnsi="Times New Roman" w:cs="Times New Roman"/>
          <w:sz w:val="24"/>
          <w:szCs w:val="24"/>
        </w:rPr>
        <w:t>Birdlife</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International</w:t>
      </w:r>
      <w:proofErr w:type="spellEnd"/>
      <w:r w:rsidR="00392BE6">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2019). Suga izplatīta Baltijas jūras piekrastē un Daugavā visā tās posmā, kā arī Daugavas tiešā tuvumā esošajos dolomīta karjeros.</w:t>
      </w:r>
    </w:p>
    <w:p w14:paraId="2A7EFA4C" w14:textId="6BEFE554"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AAA “Augšdaugava” jau vēsturiski ir viena no nozīmīgākajām šīs sugas ligzdošanas vietām Latvijā, kā arī viena no teritoriju kvalificējošajām sugām pēc putniem nozīmīgo vietu izdalīšanas kritērijiem (Račinskis</w:t>
      </w:r>
      <w:r w:rsidR="00EB37FC">
        <w:rPr>
          <w:rFonts w:ascii="Times New Roman" w:eastAsia="Calibri" w:hAnsi="Times New Roman" w:cs="Times New Roman"/>
          <w:sz w:val="24"/>
          <w:szCs w:val="24"/>
        </w:rPr>
        <w:t xml:space="preserve"> E.,</w:t>
      </w:r>
      <w:r w:rsidRPr="00A07F29">
        <w:rPr>
          <w:rFonts w:ascii="Times New Roman" w:eastAsia="Calibri" w:hAnsi="Times New Roman" w:cs="Times New Roman"/>
          <w:sz w:val="24"/>
          <w:szCs w:val="24"/>
        </w:rPr>
        <w:t xml:space="preserve"> 2004).</w:t>
      </w:r>
    </w:p>
    <w:p w14:paraId="6454F11A" w14:textId="7704037D"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Lielākā zināmā šīs sugas kolonija konstatēta uz Daugavas salas Gorbačovas apkārtnē, kur 2002.</w:t>
      </w:r>
      <w:r w:rsidR="00EB37FC">
        <w:rPr>
          <w:rFonts w:ascii="Times New Roman" w:eastAsia="Calibri" w:hAnsi="Times New Roman" w:cs="Times New Roman"/>
          <w:sz w:val="24"/>
          <w:szCs w:val="24"/>
        </w:rPr>
        <w:t> gada 15. jūnijā</w:t>
      </w:r>
      <w:r w:rsidRPr="00A07F29">
        <w:rPr>
          <w:rFonts w:ascii="Times New Roman" w:eastAsia="Calibri" w:hAnsi="Times New Roman" w:cs="Times New Roman"/>
          <w:sz w:val="24"/>
          <w:szCs w:val="24"/>
        </w:rPr>
        <w:t xml:space="preserve"> konstatēti ap 35 ligzdojoši pāri (R. Matrozis, A. </w:t>
      </w:r>
      <w:proofErr w:type="spellStart"/>
      <w:r w:rsidRPr="00A07F29">
        <w:rPr>
          <w:rFonts w:ascii="Times New Roman" w:eastAsia="Calibri" w:hAnsi="Times New Roman" w:cs="Times New Roman"/>
          <w:sz w:val="24"/>
          <w:szCs w:val="24"/>
        </w:rPr>
        <w:t>Kuročkins</w:t>
      </w:r>
      <w:proofErr w:type="spellEnd"/>
      <w:r w:rsidRPr="00A07F29">
        <w:rPr>
          <w:rFonts w:ascii="Times New Roman" w:eastAsia="Calibri" w:hAnsi="Times New Roman" w:cs="Times New Roman"/>
          <w:sz w:val="24"/>
          <w:szCs w:val="24"/>
        </w:rPr>
        <w:t>). DA plāna izstrādes laikā 2019.</w:t>
      </w:r>
      <w:r w:rsidR="00EB37FC">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gadā ap 15 ligzdojoši pāri konstatēti uz Daugavas salas Gorbačovas apkārtnē; divi pāri uz salām Krāslavas pilsētas apkārtnē; viens pāris uz sēres Daugavas posmā starp </w:t>
      </w:r>
      <w:proofErr w:type="spellStart"/>
      <w:r w:rsidRPr="00A07F29">
        <w:rPr>
          <w:rFonts w:ascii="Times New Roman" w:eastAsia="Calibri" w:hAnsi="Times New Roman" w:cs="Times New Roman"/>
          <w:sz w:val="24"/>
          <w:szCs w:val="24"/>
        </w:rPr>
        <w:t>Dvoriščes</w:t>
      </w:r>
      <w:proofErr w:type="spellEnd"/>
      <w:r w:rsidRPr="00A07F29">
        <w:rPr>
          <w:rFonts w:ascii="Times New Roman" w:eastAsia="Calibri" w:hAnsi="Times New Roman" w:cs="Times New Roman"/>
          <w:sz w:val="24"/>
          <w:szCs w:val="24"/>
        </w:rPr>
        <w:t xml:space="preserve"> sēkli un Krāslavu; četri pāri uz sērēm </w:t>
      </w:r>
      <w:proofErr w:type="spellStart"/>
      <w:r w:rsidRPr="00A07F29">
        <w:rPr>
          <w:rFonts w:ascii="Times New Roman" w:eastAsia="Calibri" w:hAnsi="Times New Roman" w:cs="Times New Roman"/>
          <w:sz w:val="24"/>
          <w:szCs w:val="24"/>
        </w:rPr>
        <w:t>Dvoriščes</w:t>
      </w:r>
      <w:proofErr w:type="spellEnd"/>
      <w:r w:rsidRPr="00A07F29">
        <w:rPr>
          <w:rFonts w:ascii="Times New Roman" w:eastAsia="Calibri" w:hAnsi="Times New Roman" w:cs="Times New Roman"/>
          <w:sz w:val="24"/>
          <w:szCs w:val="24"/>
        </w:rPr>
        <w:t xml:space="preserve"> sēklī; </w:t>
      </w:r>
      <w:r w:rsidR="00EB37FC">
        <w:rPr>
          <w:rFonts w:ascii="Times New Roman" w:eastAsia="Calibri" w:hAnsi="Times New Roman" w:cs="Times New Roman"/>
          <w:sz w:val="24"/>
          <w:szCs w:val="24"/>
        </w:rPr>
        <w:t>trīs</w:t>
      </w:r>
      <w:r w:rsidRPr="00A07F29">
        <w:rPr>
          <w:rFonts w:ascii="Times New Roman" w:eastAsia="Calibri" w:hAnsi="Times New Roman" w:cs="Times New Roman"/>
          <w:sz w:val="24"/>
          <w:szCs w:val="24"/>
        </w:rPr>
        <w:t xml:space="preserve"> pāri uz Daugavas sērēm </w:t>
      </w:r>
      <w:proofErr w:type="spellStart"/>
      <w:r w:rsidRPr="00A07F29">
        <w:rPr>
          <w:rFonts w:ascii="Times New Roman" w:eastAsia="Calibri" w:hAnsi="Times New Roman" w:cs="Times New Roman"/>
          <w:sz w:val="24"/>
          <w:szCs w:val="24"/>
        </w:rPr>
        <w:t>Butišku</w:t>
      </w:r>
      <w:proofErr w:type="spellEnd"/>
      <w:r w:rsidRPr="00A07F29">
        <w:rPr>
          <w:rFonts w:ascii="Times New Roman" w:eastAsia="Calibri" w:hAnsi="Times New Roman" w:cs="Times New Roman"/>
          <w:sz w:val="24"/>
          <w:szCs w:val="24"/>
        </w:rPr>
        <w:t xml:space="preserve"> lokā iepretī </w:t>
      </w:r>
      <w:proofErr w:type="spellStart"/>
      <w:r w:rsidRPr="00A07F29">
        <w:rPr>
          <w:rFonts w:ascii="Times New Roman" w:eastAsia="Calibri" w:hAnsi="Times New Roman" w:cs="Times New Roman"/>
          <w:sz w:val="24"/>
          <w:szCs w:val="24"/>
        </w:rPr>
        <w:t>Elernei</w:t>
      </w:r>
      <w:proofErr w:type="spellEnd"/>
      <w:r w:rsidRPr="00A07F29">
        <w:rPr>
          <w:rFonts w:ascii="Times New Roman" w:eastAsia="Calibri" w:hAnsi="Times New Roman" w:cs="Times New Roman"/>
          <w:sz w:val="24"/>
          <w:szCs w:val="24"/>
        </w:rPr>
        <w:t xml:space="preserve">; </w:t>
      </w:r>
      <w:r w:rsidR="00EB37FC">
        <w:rPr>
          <w:rFonts w:ascii="Times New Roman" w:eastAsia="Calibri" w:hAnsi="Times New Roman" w:cs="Times New Roman"/>
          <w:sz w:val="24"/>
          <w:szCs w:val="24"/>
        </w:rPr>
        <w:t>četri</w:t>
      </w:r>
      <w:r w:rsidRPr="00A07F29">
        <w:rPr>
          <w:rFonts w:ascii="Times New Roman" w:eastAsia="Calibri" w:hAnsi="Times New Roman" w:cs="Times New Roman"/>
          <w:sz w:val="24"/>
          <w:szCs w:val="24"/>
        </w:rPr>
        <w:t xml:space="preserve"> pāri uz Daugavas sērēm iepretī Kraujai. Kopējais ligzdojošo </w:t>
      </w:r>
      <w:r w:rsidRPr="00A07F29">
        <w:rPr>
          <w:rFonts w:ascii="Times New Roman" w:eastAsia="Calibri" w:hAnsi="Times New Roman" w:cs="Times New Roman"/>
          <w:sz w:val="24"/>
          <w:szCs w:val="24"/>
        </w:rPr>
        <w:lastRenderedPageBreak/>
        <w:t>mazo zīriņu pāru skaits 2019.</w:t>
      </w:r>
      <w:r w:rsidR="00EB37FC">
        <w:rPr>
          <w:rFonts w:ascii="Times New Roman" w:eastAsia="Calibri" w:hAnsi="Times New Roman" w:cs="Times New Roman"/>
          <w:sz w:val="24"/>
          <w:szCs w:val="24"/>
        </w:rPr>
        <w:t> </w:t>
      </w:r>
      <w:r w:rsidRPr="00A07F29">
        <w:rPr>
          <w:rFonts w:ascii="Times New Roman" w:eastAsia="Calibri" w:hAnsi="Times New Roman" w:cs="Times New Roman"/>
          <w:sz w:val="24"/>
          <w:szCs w:val="24"/>
        </w:rPr>
        <w:t>gadā vērtēts kā aptuveni 30 pāri. Jāņem vērā, ka mazo zīriņu uzskaite veikta ligzdošanas sezonas beigu periodā un konstatēti tikai sekmīgi ligzdojošie pāri. Iespējams, ka ligzdošanu uzsāka lielāks putnu skaits. Mazo zīriņu un citu uz Daugavas salām un sērēm ligzdojošo putnu sugu skaitu un ligzdošanas sekmes būtiski ietekmē ikgadējās ūdens līmeņa svārstības. 2019.</w:t>
      </w:r>
      <w:r w:rsidR="00EB37FC">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gadā Daugavā bija īpaši zems ūdens līmenis visu putnu ligzdošanas sezonas periodu, kas nodrošināja labvēlīgus ligzdošanas apstākļus. </w:t>
      </w:r>
    </w:p>
    <w:p w14:paraId="29B254D4" w14:textId="4E3B4045"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Ar AAA “Augšdaugava” tieši saistīta ir arī </w:t>
      </w:r>
      <w:proofErr w:type="spellStart"/>
      <w:r w:rsidRPr="00A07F29">
        <w:rPr>
          <w:rFonts w:ascii="Times New Roman" w:eastAsia="Calibri" w:hAnsi="Times New Roman" w:cs="Times New Roman"/>
          <w:sz w:val="24"/>
          <w:szCs w:val="24"/>
        </w:rPr>
        <w:t>kaijveidīgo</w:t>
      </w:r>
      <w:proofErr w:type="spellEnd"/>
      <w:r w:rsidRPr="00A07F29">
        <w:rPr>
          <w:rFonts w:ascii="Times New Roman" w:eastAsia="Calibri" w:hAnsi="Times New Roman" w:cs="Times New Roman"/>
          <w:sz w:val="24"/>
          <w:szCs w:val="24"/>
        </w:rPr>
        <w:t xml:space="preserve"> putnu kolonija uz Daugavas salām </w:t>
      </w:r>
      <w:proofErr w:type="spellStart"/>
      <w:r w:rsidRPr="00A07F29">
        <w:rPr>
          <w:rFonts w:ascii="Times New Roman" w:eastAsia="Calibri" w:hAnsi="Times New Roman" w:cs="Times New Roman"/>
          <w:sz w:val="24"/>
          <w:szCs w:val="24"/>
        </w:rPr>
        <w:t>Lazovkas</w:t>
      </w:r>
      <w:proofErr w:type="spellEnd"/>
      <w:r w:rsidRPr="00A07F29">
        <w:rPr>
          <w:rFonts w:ascii="Times New Roman" w:eastAsia="Calibri" w:hAnsi="Times New Roman" w:cs="Times New Roman"/>
          <w:sz w:val="24"/>
          <w:szCs w:val="24"/>
        </w:rPr>
        <w:t xml:space="preserve"> apkārtnē, kas atrodas aptuveni 3</w:t>
      </w:r>
      <w:r w:rsidR="00EB37FC">
        <w:rPr>
          <w:rFonts w:ascii="Times New Roman" w:eastAsia="Calibri" w:hAnsi="Times New Roman" w:cs="Times New Roman"/>
          <w:sz w:val="24"/>
          <w:szCs w:val="24"/>
        </w:rPr>
        <w:t> </w:t>
      </w:r>
      <w:r w:rsidRPr="00A07F29">
        <w:rPr>
          <w:rFonts w:ascii="Times New Roman" w:eastAsia="Calibri" w:hAnsi="Times New Roman" w:cs="Times New Roman"/>
          <w:sz w:val="24"/>
          <w:szCs w:val="24"/>
        </w:rPr>
        <w:t>km no aizsargājamās dabas teritorijas robežas, kur regulāri ligzdo līdz 15 pāriem mazo zīriņu.</w:t>
      </w:r>
    </w:p>
    <w:p w14:paraId="36687824" w14:textId="1FD6283C"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Skaita vērtējums teritorijā: 30</w:t>
      </w:r>
      <w:r w:rsidR="00EB37FC">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EB37FC">
        <w:rPr>
          <w:rFonts w:ascii="Times New Roman" w:eastAsia="Calibri" w:hAnsi="Times New Roman" w:cs="Times New Roman"/>
          <w:sz w:val="24"/>
          <w:szCs w:val="24"/>
        </w:rPr>
        <w:t> </w:t>
      </w:r>
      <w:r w:rsidRPr="00A07F29">
        <w:rPr>
          <w:rFonts w:ascii="Times New Roman" w:eastAsia="Calibri" w:hAnsi="Times New Roman" w:cs="Times New Roman"/>
          <w:sz w:val="24"/>
          <w:szCs w:val="24"/>
        </w:rPr>
        <w:t>40 ligzdojoši pāri.</w:t>
      </w:r>
      <w:r w:rsidR="00C54F32" w:rsidRPr="00A07F29">
        <w:rPr>
          <w:rFonts w:ascii="Times New Roman" w:eastAsia="Calibri" w:hAnsi="Times New Roman" w:cs="Times New Roman"/>
          <w:sz w:val="24"/>
          <w:szCs w:val="24"/>
        </w:rPr>
        <w:t xml:space="preserve"> </w:t>
      </w:r>
      <w:r w:rsidRPr="00A07F29">
        <w:rPr>
          <w:rFonts w:ascii="Times New Roman" w:eastAsia="Calibri" w:hAnsi="Times New Roman" w:cs="Times New Roman"/>
          <w:sz w:val="24"/>
          <w:szCs w:val="24"/>
        </w:rPr>
        <w:t xml:space="preserve">Sugai </w:t>
      </w:r>
      <w:proofErr w:type="spellStart"/>
      <w:r w:rsidRPr="00A07F29">
        <w:rPr>
          <w:rFonts w:ascii="Times New Roman" w:eastAsia="Calibri" w:hAnsi="Times New Roman" w:cs="Times New Roman"/>
          <w:i/>
          <w:iCs/>
          <w:sz w:val="24"/>
          <w:szCs w:val="24"/>
        </w:rPr>
        <w:t>Natura</w:t>
      </w:r>
      <w:proofErr w:type="spellEnd"/>
      <w:r w:rsidRPr="00A07F29">
        <w:rPr>
          <w:rFonts w:ascii="Times New Roman" w:eastAsia="Calibri" w:hAnsi="Times New Roman" w:cs="Times New Roman"/>
          <w:i/>
          <w:iCs/>
          <w:sz w:val="24"/>
          <w:szCs w:val="24"/>
        </w:rPr>
        <w:t xml:space="preserve"> 2000</w:t>
      </w:r>
      <w:r w:rsidRPr="00A07F29">
        <w:rPr>
          <w:rFonts w:ascii="Times New Roman" w:eastAsia="Calibri" w:hAnsi="Times New Roman" w:cs="Times New Roman"/>
          <w:sz w:val="24"/>
          <w:szCs w:val="24"/>
        </w:rPr>
        <w:t xml:space="preserve"> </w:t>
      </w:r>
      <w:r w:rsidR="003263B7">
        <w:rPr>
          <w:rFonts w:ascii="Times New Roman" w:eastAsia="Calibri" w:hAnsi="Times New Roman" w:cs="Times New Roman"/>
          <w:sz w:val="24"/>
          <w:szCs w:val="24"/>
        </w:rPr>
        <w:t>SDF</w:t>
      </w:r>
      <w:r w:rsidRPr="00A07F29">
        <w:rPr>
          <w:rFonts w:ascii="Times New Roman" w:eastAsia="Calibri" w:hAnsi="Times New Roman" w:cs="Times New Roman"/>
          <w:sz w:val="24"/>
          <w:szCs w:val="24"/>
        </w:rPr>
        <w:t xml:space="preserve"> precizēts minimālais populācijas lielums.</w:t>
      </w:r>
      <w:r w:rsidR="00C54F32" w:rsidRPr="00A07F29">
        <w:rPr>
          <w:rFonts w:ascii="Times New Roman" w:eastAsia="Calibri" w:hAnsi="Times New Roman" w:cs="Times New Roman"/>
          <w:sz w:val="24"/>
          <w:szCs w:val="24"/>
        </w:rPr>
        <w:t xml:space="preserve"> AAA “Augšdaugava”</w:t>
      </w:r>
      <w:r w:rsidRPr="00A07F29">
        <w:rPr>
          <w:rFonts w:ascii="Times New Roman" w:eastAsia="Calibri" w:hAnsi="Times New Roman" w:cs="Times New Roman"/>
          <w:sz w:val="24"/>
          <w:szCs w:val="24"/>
        </w:rPr>
        <w:t xml:space="preserve"> ligzdojošā mazo zīriņu populācija ir nozīmīga visas Latvijas kontekstā, jo šeit ligzdo aptuveni 40</w:t>
      </w:r>
      <w:r w:rsidR="00EB37FC">
        <w:rPr>
          <w:rFonts w:ascii="Times New Roman" w:eastAsia="Calibri" w:hAnsi="Times New Roman" w:cs="Times New Roman"/>
          <w:sz w:val="24"/>
          <w:szCs w:val="24"/>
        </w:rPr>
        <w:t> </w:t>
      </w:r>
      <w:r w:rsidRPr="00A07F29">
        <w:rPr>
          <w:rFonts w:ascii="Times New Roman" w:eastAsia="Calibri" w:hAnsi="Times New Roman" w:cs="Times New Roman"/>
          <w:sz w:val="24"/>
          <w:szCs w:val="24"/>
        </w:rPr>
        <w:t>% no visas valsts populācijas.</w:t>
      </w:r>
    </w:p>
    <w:p w14:paraId="60D5DD5C" w14:textId="77777777" w:rsidR="009A4BC5" w:rsidRPr="00A07F29" w:rsidRDefault="009A4BC5" w:rsidP="00C54F32">
      <w:pPr>
        <w:spacing w:before="240" w:after="120" w:line="240" w:lineRule="auto"/>
        <w:jc w:val="both"/>
        <w:rPr>
          <w:rFonts w:ascii="Times New Roman" w:eastAsia="Calibri" w:hAnsi="Times New Roman" w:cs="Times New Roman"/>
          <w:b/>
          <w:bCs/>
          <w:i/>
          <w:iCs/>
          <w:sz w:val="24"/>
          <w:szCs w:val="24"/>
        </w:rPr>
      </w:pPr>
      <w:r w:rsidRPr="00A07F29">
        <w:rPr>
          <w:rFonts w:ascii="Times New Roman" w:eastAsia="Calibri" w:hAnsi="Times New Roman" w:cs="Times New Roman"/>
          <w:b/>
          <w:bCs/>
          <w:sz w:val="24"/>
          <w:szCs w:val="24"/>
        </w:rPr>
        <w:t xml:space="preserve">Melnais zīriņš </w:t>
      </w:r>
      <w:proofErr w:type="spellStart"/>
      <w:r w:rsidRPr="00A07F29">
        <w:rPr>
          <w:rFonts w:ascii="Times New Roman" w:eastAsia="Calibri" w:hAnsi="Times New Roman" w:cs="Times New Roman"/>
          <w:b/>
          <w:bCs/>
          <w:i/>
          <w:iCs/>
          <w:sz w:val="24"/>
          <w:szCs w:val="24"/>
        </w:rPr>
        <w:t>Chlidonias</w:t>
      </w:r>
      <w:proofErr w:type="spellEnd"/>
      <w:r w:rsidRPr="00A07F29">
        <w:rPr>
          <w:rFonts w:ascii="Times New Roman" w:eastAsia="Calibri" w:hAnsi="Times New Roman" w:cs="Times New Roman"/>
          <w:b/>
          <w:bCs/>
          <w:i/>
          <w:iCs/>
          <w:sz w:val="24"/>
          <w:szCs w:val="24"/>
        </w:rPr>
        <w:t xml:space="preserve"> niger</w:t>
      </w:r>
    </w:p>
    <w:p w14:paraId="0799FBED" w14:textId="1DFC71FA"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Populācijas lielums Latvijā: 2800</w:t>
      </w:r>
      <w:r w:rsidR="00EB37FC">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EB37FC">
        <w:rPr>
          <w:rFonts w:ascii="Times New Roman" w:eastAsia="Calibri" w:hAnsi="Times New Roman" w:cs="Times New Roman"/>
          <w:sz w:val="24"/>
          <w:szCs w:val="24"/>
        </w:rPr>
        <w:t> </w:t>
      </w:r>
      <w:r w:rsidRPr="00A07F29">
        <w:rPr>
          <w:rFonts w:ascii="Times New Roman" w:eastAsia="Calibri" w:hAnsi="Times New Roman" w:cs="Times New Roman"/>
          <w:sz w:val="24"/>
          <w:szCs w:val="24"/>
        </w:rPr>
        <w:t>3900 pāri (</w:t>
      </w:r>
      <w:proofErr w:type="spellStart"/>
      <w:r w:rsidRPr="00A07F29">
        <w:rPr>
          <w:rFonts w:ascii="Times New Roman" w:eastAsia="Calibri" w:hAnsi="Times New Roman" w:cs="Times New Roman"/>
          <w:sz w:val="24"/>
          <w:szCs w:val="24"/>
        </w:rPr>
        <w:t>Birdlife</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International</w:t>
      </w:r>
      <w:proofErr w:type="spellEnd"/>
      <w:r w:rsidR="00392BE6">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2019).</w:t>
      </w:r>
    </w:p>
    <w:p w14:paraId="39625CFC" w14:textId="3E54F800"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Melnais zīriņš ir </w:t>
      </w:r>
      <w:r w:rsidR="00C54F32" w:rsidRPr="00A07F29">
        <w:rPr>
          <w:rFonts w:ascii="Times New Roman" w:eastAsia="Calibri" w:hAnsi="Times New Roman" w:cs="Times New Roman"/>
          <w:sz w:val="24"/>
          <w:szCs w:val="24"/>
        </w:rPr>
        <w:t>AAA “Augšdaugava”</w:t>
      </w:r>
      <w:r w:rsidRPr="00A07F29">
        <w:rPr>
          <w:rFonts w:ascii="Times New Roman" w:eastAsia="Calibri" w:hAnsi="Times New Roman" w:cs="Times New Roman"/>
          <w:sz w:val="24"/>
          <w:szCs w:val="24"/>
        </w:rPr>
        <w:t xml:space="preserve"> neregulāri ligzdojoša suga. Sugai raksturīgas lielas skaita izmaiņu tendences un ligzdošanas kolonijas var nebūt patstāvīgas. 2009.</w:t>
      </w:r>
      <w:r w:rsidR="00EB37FC">
        <w:rPr>
          <w:rFonts w:ascii="Times New Roman" w:eastAsia="Calibri" w:hAnsi="Times New Roman" w:cs="Times New Roman"/>
          <w:sz w:val="24"/>
          <w:szCs w:val="24"/>
        </w:rPr>
        <w:t> gada 18. jūlijā</w:t>
      </w:r>
      <w:r w:rsidRPr="00A07F29">
        <w:rPr>
          <w:rFonts w:ascii="Times New Roman" w:eastAsia="Calibri" w:hAnsi="Times New Roman" w:cs="Times New Roman"/>
          <w:sz w:val="24"/>
          <w:szCs w:val="24"/>
        </w:rPr>
        <w:t xml:space="preserve"> piecu līdz astoņu melno zīriņu pāru ligzdošana konstatēta Kaudzīšu ezerā (J. Reihmanis); šīs vietas tuvumā (aptuveni 2</w:t>
      </w:r>
      <w:r w:rsidR="00EB37FC">
        <w:rPr>
          <w:rFonts w:ascii="Times New Roman" w:eastAsia="Calibri" w:hAnsi="Times New Roman" w:cs="Times New Roman"/>
          <w:sz w:val="24"/>
          <w:szCs w:val="24"/>
        </w:rPr>
        <w:t> </w:t>
      </w:r>
      <w:r w:rsidRPr="00A07F29">
        <w:rPr>
          <w:rFonts w:ascii="Times New Roman" w:eastAsia="Calibri" w:hAnsi="Times New Roman" w:cs="Times New Roman"/>
          <w:sz w:val="24"/>
          <w:szCs w:val="24"/>
        </w:rPr>
        <w:t>km attālumā) mitrājā 2016.</w:t>
      </w:r>
      <w:r w:rsidR="00EB37FC">
        <w:rPr>
          <w:rFonts w:ascii="Times New Roman" w:eastAsia="Calibri" w:hAnsi="Times New Roman" w:cs="Times New Roman"/>
          <w:sz w:val="24"/>
          <w:szCs w:val="24"/>
        </w:rPr>
        <w:t> gada 4. jūnijā</w:t>
      </w:r>
      <w:r w:rsidRPr="00A07F29">
        <w:rPr>
          <w:rFonts w:ascii="Times New Roman" w:eastAsia="Calibri" w:hAnsi="Times New Roman" w:cs="Times New Roman"/>
          <w:sz w:val="24"/>
          <w:szCs w:val="24"/>
        </w:rPr>
        <w:t xml:space="preserve"> konstatēta viena pāra iespējama ligzdošana (I. Jakovļevs). Uz Daugavas salas Gorbačovas apkārtnē 2016.</w:t>
      </w:r>
      <w:r w:rsidR="00EB37FC">
        <w:rPr>
          <w:rFonts w:ascii="Times New Roman" w:eastAsia="Calibri" w:hAnsi="Times New Roman" w:cs="Times New Roman"/>
          <w:sz w:val="24"/>
          <w:szCs w:val="24"/>
        </w:rPr>
        <w:t> gada 14. jūnijā</w:t>
      </w:r>
      <w:r w:rsidRPr="00A07F29">
        <w:rPr>
          <w:rFonts w:ascii="Times New Roman" w:eastAsia="Calibri" w:hAnsi="Times New Roman" w:cs="Times New Roman"/>
          <w:sz w:val="24"/>
          <w:szCs w:val="24"/>
        </w:rPr>
        <w:t xml:space="preserve"> novēroti 22 putni ar izteiktu uztraukuma uzvedību (varbūtēji ap 10 pāriem); ligzdas nav meklētas (A. </w:t>
      </w:r>
      <w:proofErr w:type="spellStart"/>
      <w:r w:rsidRPr="00A07F29">
        <w:rPr>
          <w:rFonts w:ascii="Times New Roman" w:eastAsia="Calibri" w:hAnsi="Times New Roman" w:cs="Times New Roman"/>
          <w:sz w:val="24"/>
          <w:szCs w:val="24"/>
        </w:rPr>
        <w:t>Klepers</w:t>
      </w:r>
      <w:proofErr w:type="spellEnd"/>
      <w:r w:rsidRPr="00A07F29">
        <w:rPr>
          <w:rFonts w:ascii="Times New Roman" w:eastAsia="Calibri" w:hAnsi="Times New Roman" w:cs="Times New Roman"/>
          <w:sz w:val="24"/>
          <w:szCs w:val="24"/>
        </w:rPr>
        <w:t xml:space="preserve">). Neregulāri nelielā skaitā (daži pāri) ligzdo jauktā </w:t>
      </w:r>
      <w:proofErr w:type="spellStart"/>
      <w:r w:rsidRPr="00A07F29">
        <w:rPr>
          <w:rFonts w:ascii="Times New Roman" w:eastAsia="Calibri" w:hAnsi="Times New Roman" w:cs="Times New Roman"/>
          <w:sz w:val="24"/>
          <w:szCs w:val="24"/>
        </w:rPr>
        <w:t>kaijveidīgo</w:t>
      </w:r>
      <w:proofErr w:type="spellEnd"/>
      <w:r w:rsidRPr="00A07F29">
        <w:rPr>
          <w:rFonts w:ascii="Times New Roman" w:eastAsia="Calibri" w:hAnsi="Times New Roman" w:cs="Times New Roman"/>
          <w:sz w:val="24"/>
          <w:szCs w:val="24"/>
        </w:rPr>
        <w:t xml:space="preserve"> putnu kolonijā uz salām Krāslavas pilsētas tuvumā. Pēdējos gados regulāra melno zīriņu ligzdošanas vieta (maksimāli līdz 10 pāriem) ir tieši blakus izpētes teritorijas robežai – Krāslavas novada Kalniešu pagasta Purva ezerā. 2019.</w:t>
      </w:r>
      <w:r w:rsidR="00345BF6">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gadā ligzdojošo melno zīriņu skaits šajā vietā novērtēts kā vismaz </w:t>
      </w:r>
      <w:r w:rsidR="00345BF6">
        <w:rPr>
          <w:rFonts w:ascii="Times New Roman" w:eastAsia="Calibri" w:hAnsi="Times New Roman" w:cs="Times New Roman"/>
          <w:sz w:val="24"/>
          <w:szCs w:val="24"/>
        </w:rPr>
        <w:t>pieci</w:t>
      </w:r>
      <w:r w:rsidRPr="00A07F29">
        <w:rPr>
          <w:rFonts w:ascii="Times New Roman" w:eastAsia="Calibri" w:hAnsi="Times New Roman" w:cs="Times New Roman"/>
          <w:sz w:val="24"/>
          <w:szCs w:val="24"/>
        </w:rPr>
        <w:t xml:space="preserve"> sekmīgi ligzdojoši pāri. Otrpus autoceļam A6 esošais Dziļais ezers nav piemērots </w:t>
      </w:r>
      <w:proofErr w:type="spellStart"/>
      <w:r w:rsidRPr="00A07F29">
        <w:rPr>
          <w:rFonts w:ascii="Times New Roman" w:eastAsia="Calibri" w:hAnsi="Times New Roman" w:cs="Times New Roman"/>
          <w:sz w:val="24"/>
          <w:szCs w:val="24"/>
        </w:rPr>
        <w:t>kaijveidīgo</w:t>
      </w:r>
      <w:proofErr w:type="spellEnd"/>
      <w:r w:rsidRPr="00A07F29">
        <w:rPr>
          <w:rFonts w:ascii="Times New Roman" w:eastAsia="Calibri" w:hAnsi="Times New Roman" w:cs="Times New Roman"/>
          <w:sz w:val="24"/>
          <w:szCs w:val="24"/>
        </w:rPr>
        <w:t xml:space="preserve"> putnu ligzdošanai, tomēr tiek izmantots kā barošanās vieta. 2019.</w:t>
      </w:r>
      <w:r w:rsidR="00345BF6">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gadā viens pāris ar izteiktu uztraukuma uzvedību novērots jauktā </w:t>
      </w:r>
      <w:proofErr w:type="spellStart"/>
      <w:r w:rsidRPr="00A07F29">
        <w:rPr>
          <w:rFonts w:ascii="Times New Roman" w:eastAsia="Calibri" w:hAnsi="Times New Roman" w:cs="Times New Roman"/>
          <w:sz w:val="24"/>
          <w:szCs w:val="24"/>
        </w:rPr>
        <w:t>kaijveidīgo</w:t>
      </w:r>
      <w:proofErr w:type="spellEnd"/>
      <w:r w:rsidRPr="00A07F29">
        <w:rPr>
          <w:rFonts w:ascii="Times New Roman" w:eastAsia="Calibri" w:hAnsi="Times New Roman" w:cs="Times New Roman"/>
          <w:sz w:val="24"/>
          <w:szCs w:val="24"/>
        </w:rPr>
        <w:t xml:space="preserve"> kolonijā uz Daugavas sēres iepretī </w:t>
      </w:r>
      <w:proofErr w:type="spellStart"/>
      <w:r w:rsidRPr="00A07F29">
        <w:rPr>
          <w:rFonts w:ascii="Times New Roman" w:eastAsia="Calibri" w:hAnsi="Times New Roman" w:cs="Times New Roman"/>
          <w:sz w:val="24"/>
          <w:szCs w:val="24"/>
        </w:rPr>
        <w:t>Elernei</w:t>
      </w:r>
      <w:proofErr w:type="spellEnd"/>
      <w:r w:rsidRPr="00A07F29">
        <w:rPr>
          <w:rFonts w:ascii="Times New Roman" w:eastAsia="Calibri" w:hAnsi="Times New Roman" w:cs="Times New Roman"/>
          <w:sz w:val="24"/>
          <w:szCs w:val="24"/>
        </w:rPr>
        <w:t xml:space="preserve">; trīs pāru iespējama ligzdošana konstatēta uz </w:t>
      </w:r>
      <w:proofErr w:type="spellStart"/>
      <w:r w:rsidRPr="00A07F29">
        <w:rPr>
          <w:rFonts w:ascii="Times New Roman" w:eastAsia="Calibri" w:hAnsi="Times New Roman" w:cs="Times New Roman"/>
          <w:sz w:val="24"/>
          <w:szCs w:val="24"/>
        </w:rPr>
        <w:t>virsūdens</w:t>
      </w:r>
      <w:proofErr w:type="spellEnd"/>
      <w:r w:rsidRPr="00A07F29">
        <w:rPr>
          <w:rFonts w:ascii="Times New Roman" w:eastAsia="Calibri" w:hAnsi="Times New Roman" w:cs="Times New Roman"/>
          <w:sz w:val="24"/>
          <w:szCs w:val="24"/>
        </w:rPr>
        <w:t xml:space="preserve"> augāja ceriem Daugavā iepretī </w:t>
      </w:r>
      <w:proofErr w:type="spellStart"/>
      <w:r w:rsidRPr="00A07F29">
        <w:rPr>
          <w:rFonts w:ascii="Times New Roman" w:eastAsia="Calibri" w:hAnsi="Times New Roman" w:cs="Times New Roman"/>
          <w:sz w:val="24"/>
          <w:szCs w:val="24"/>
        </w:rPr>
        <w:t>Butiškiem</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Dauteks</w:t>
      </w:r>
      <w:proofErr w:type="spellEnd"/>
      <w:r w:rsidRPr="00A07F29">
        <w:rPr>
          <w:rFonts w:ascii="Times New Roman" w:eastAsia="Calibri" w:hAnsi="Times New Roman" w:cs="Times New Roman"/>
          <w:sz w:val="24"/>
          <w:szCs w:val="24"/>
        </w:rPr>
        <w:t xml:space="preserve"> parks).</w:t>
      </w:r>
    </w:p>
    <w:p w14:paraId="4D49AB49" w14:textId="74551236"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Skaita vērtējums teritorijā: 0</w:t>
      </w:r>
      <w:r w:rsidR="00345BF6">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345BF6">
        <w:rPr>
          <w:rFonts w:ascii="Times New Roman" w:eastAsia="Calibri" w:hAnsi="Times New Roman" w:cs="Times New Roman"/>
          <w:sz w:val="24"/>
          <w:szCs w:val="24"/>
        </w:rPr>
        <w:t> </w:t>
      </w:r>
      <w:r w:rsidRPr="00A07F29">
        <w:rPr>
          <w:rFonts w:ascii="Times New Roman" w:eastAsia="Calibri" w:hAnsi="Times New Roman" w:cs="Times New Roman"/>
          <w:sz w:val="24"/>
          <w:szCs w:val="24"/>
        </w:rPr>
        <w:t>10 ligzdojoši pāri.</w:t>
      </w:r>
      <w:r w:rsidR="00C54F32"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i/>
          <w:iCs/>
          <w:sz w:val="24"/>
          <w:szCs w:val="24"/>
        </w:rPr>
        <w:t>Natura</w:t>
      </w:r>
      <w:proofErr w:type="spellEnd"/>
      <w:r w:rsidRPr="00A07F29">
        <w:rPr>
          <w:rFonts w:ascii="Times New Roman" w:eastAsia="Calibri" w:hAnsi="Times New Roman" w:cs="Times New Roman"/>
          <w:i/>
          <w:iCs/>
          <w:sz w:val="24"/>
          <w:szCs w:val="24"/>
        </w:rPr>
        <w:t xml:space="preserve"> 2000 </w:t>
      </w:r>
      <w:r w:rsidR="003263B7">
        <w:rPr>
          <w:rFonts w:ascii="Times New Roman" w:eastAsia="Calibri" w:hAnsi="Times New Roman" w:cs="Times New Roman"/>
          <w:sz w:val="24"/>
          <w:szCs w:val="24"/>
        </w:rPr>
        <w:t>SDF</w:t>
      </w:r>
      <w:r w:rsidRPr="00A07F29">
        <w:rPr>
          <w:rFonts w:ascii="Times New Roman" w:eastAsia="Calibri" w:hAnsi="Times New Roman" w:cs="Times New Roman"/>
          <w:sz w:val="24"/>
          <w:szCs w:val="24"/>
        </w:rPr>
        <w:t xml:space="preserve"> nav veiktas izmaiņas salīdzinājumā ar iepriekšējo skaita vērtējumu.</w:t>
      </w:r>
    </w:p>
    <w:p w14:paraId="1E3CFA85" w14:textId="77777777" w:rsidR="009A4BC5" w:rsidRPr="00A07F29" w:rsidRDefault="009A4BC5" w:rsidP="00C54F32">
      <w:pPr>
        <w:spacing w:before="240" w:after="120" w:line="240" w:lineRule="auto"/>
        <w:jc w:val="both"/>
        <w:rPr>
          <w:rFonts w:ascii="Times New Roman" w:eastAsia="Calibri" w:hAnsi="Times New Roman" w:cs="Times New Roman"/>
          <w:b/>
          <w:bCs/>
          <w:i/>
          <w:iCs/>
          <w:sz w:val="24"/>
          <w:szCs w:val="24"/>
        </w:rPr>
      </w:pPr>
      <w:r w:rsidRPr="00A07F29">
        <w:rPr>
          <w:rFonts w:ascii="Times New Roman" w:eastAsia="Calibri" w:hAnsi="Times New Roman" w:cs="Times New Roman"/>
          <w:b/>
          <w:bCs/>
          <w:sz w:val="24"/>
          <w:szCs w:val="24"/>
        </w:rPr>
        <w:t xml:space="preserve">Upes zīriņš </w:t>
      </w:r>
      <w:proofErr w:type="spellStart"/>
      <w:r w:rsidRPr="00A07F29">
        <w:rPr>
          <w:rFonts w:ascii="Times New Roman" w:eastAsia="Calibri" w:hAnsi="Times New Roman" w:cs="Times New Roman"/>
          <w:b/>
          <w:bCs/>
          <w:i/>
          <w:iCs/>
          <w:sz w:val="24"/>
          <w:szCs w:val="24"/>
        </w:rPr>
        <w:t>Sterna</w:t>
      </w:r>
      <w:proofErr w:type="spellEnd"/>
      <w:r w:rsidRPr="00A07F29">
        <w:rPr>
          <w:rFonts w:ascii="Times New Roman" w:eastAsia="Calibri" w:hAnsi="Times New Roman" w:cs="Times New Roman"/>
          <w:b/>
          <w:bCs/>
          <w:i/>
          <w:iCs/>
          <w:sz w:val="24"/>
          <w:szCs w:val="24"/>
        </w:rPr>
        <w:t xml:space="preserve"> </w:t>
      </w:r>
      <w:proofErr w:type="spellStart"/>
      <w:r w:rsidRPr="00A07F29">
        <w:rPr>
          <w:rFonts w:ascii="Times New Roman" w:eastAsia="Calibri" w:hAnsi="Times New Roman" w:cs="Times New Roman"/>
          <w:b/>
          <w:bCs/>
          <w:i/>
          <w:iCs/>
          <w:sz w:val="24"/>
          <w:szCs w:val="24"/>
        </w:rPr>
        <w:t>hirundo</w:t>
      </w:r>
      <w:proofErr w:type="spellEnd"/>
    </w:p>
    <w:p w14:paraId="2463827B" w14:textId="78AD3F63"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Populācijas lielums Latvijā: 1100</w:t>
      </w:r>
      <w:r w:rsidR="00345BF6">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345BF6">
        <w:rPr>
          <w:rFonts w:ascii="Times New Roman" w:eastAsia="Calibri" w:hAnsi="Times New Roman" w:cs="Times New Roman"/>
          <w:sz w:val="24"/>
          <w:szCs w:val="24"/>
        </w:rPr>
        <w:t> </w:t>
      </w:r>
      <w:r w:rsidRPr="00A07F29">
        <w:rPr>
          <w:rFonts w:ascii="Times New Roman" w:eastAsia="Calibri" w:hAnsi="Times New Roman" w:cs="Times New Roman"/>
          <w:sz w:val="24"/>
          <w:szCs w:val="24"/>
        </w:rPr>
        <w:t>2300 pāri (</w:t>
      </w:r>
      <w:proofErr w:type="spellStart"/>
      <w:r w:rsidRPr="00A07F29">
        <w:rPr>
          <w:rFonts w:ascii="Times New Roman" w:eastAsia="Calibri" w:hAnsi="Times New Roman" w:cs="Times New Roman"/>
          <w:sz w:val="24"/>
          <w:szCs w:val="24"/>
        </w:rPr>
        <w:t>Birdlife</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International</w:t>
      </w:r>
      <w:proofErr w:type="spellEnd"/>
      <w:r w:rsidR="00392BE6">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2019).</w:t>
      </w:r>
    </w:p>
    <w:p w14:paraId="18916B13" w14:textId="74D625E8" w:rsidR="009A4BC5" w:rsidRPr="00A07F29" w:rsidRDefault="00C54F32"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AAA “Augšdaugava” </w:t>
      </w:r>
      <w:r w:rsidR="009A4BC5" w:rsidRPr="00A07F29">
        <w:rPr>
          <w:rFonts w:ascii="Times New Roman" w:eastAsia="Calibri" w:hAnsi="Times New Roman" w:cs="Times New Roman"/>
          <w:sz w:val="24"/>
          <w:szCs w:val="24"/>
        </w:rPr>
        <w:t>DA plāna izstrādes ietvaros veikto uzskaišu laikā 2019.</w:t>
      </w:r>
      <w:r w:rsidR="00345BF6">
        <w:rPr>
          <w:rFonts w:ascii="Times New Roman" w:eastAsia="Calibri" w:hAnsi="Times New Roman" w:cs="Times New Roman"/>
          <w:sz w:val="24"/>
          <w:szCs w:val="24"/>
        </w:rPr>
        <w:t> </w:t>
      </w:r>
      <w:r w:rsidR="009A4BC5" w:rsidRPr="00A07F29">
        <w:rPr>
          <w:rFonts w:ascii="Times New Roman" w:eastAsia="Calibri" w:hAnsi="Times New Roman" w:cs="Times New Roman"/>
          <w:sz w:val="24"/>
          <w:szCs w:val="24"/>
        </w:rPr>
        <w:t xml:space="preserve">gadā viena pāra upes zīriņu ligzdošana konstatēta </w:t>
      </w:r>
      <w:proofErr w:type="spellStart"/>
      <w:r w:rsidR="009A4BC5" w:rsidRPr="00A07F29">
        <w:rPr>
          <w:rFonts w:ascii="Times New Roman" w:eastAsia="Calibri" w:hAnsi="Times New Roman" w:cs="Times New Roman"/>
          <w:sz w:val="24"/>
          <w:szCs w:val="24"/>
        </w:rPr>
        <w:t>Elernes</w:t>
      </w:r>
      <w:proofErr w:type="spellEnd"/>
      <w:r w:rsidR="009A4BC5" w:rsidRPr="00A07F29">
        <w:rPr>
          <w:rFonts w:ascii="Times New Roman" w:eastAsia="Calibri" w:hAnsi="Times New Roman" w:cs="Times New Roman"/>
          <w:sz w:val="24"/>
          <w:szCs w:val="24"/>
        </w:rPr>
        <w:t xml:space="preserve"> karjeros; aptuveni </w:t>
      </w:r>
      <w:r w:rsidR="00345BF6">
        <w:rPr>
          <w:rFonts w:ascii="Times New Roman" w:eastAsia="Calibri" w:hAnsi="Times New Roman" w:cs="Times New Roman"/>
          <w:sz w:val="24"/>
          <w:szCs w:val="24"/>
        </w:rPr>
        <w:t>piecu</w:t>
      </w:r>
      <w:r w:rsidR="009A4BC5" w:rsidRPr="00A07F29">
        <w:rPr>
          <w:rFonts w:ascii="Times New Roman" w:eastAsia="Calibri" w:hAnsi="Times New Roman" w:cs="Times New Roman"/>
          <w:sz w:val="24"/>
          <w:szCs w:val="24"/>
        </w:rPr>
        <w:t xml:space="preserve"> pāru ligzdošana konstatēta uz Daugavas salas Gorbačovas apkārtnē; aptuveni 30 pāru ligzdošana uz Daugavas salām Krāslavas pilsētas apkārtnē; aptuveni 10 pāri uz Daugavas sērēm </w:t>
      </w:r>
      <w:proofErr w:type="spellStart"/>
      <w:r w:rsidR="009A4BC5" w:rsidRPr="00A07F29">
        <w:rPr>
          <w:rFonts w:ascii="Times New Roman" w:eastAsia="Calibri" w:hAnsi="Times New Roman" w:cs="Times New Roman"/>
          <w:sz w:val="24"/>
          <w:szCs w:val="24"/>
        </w:rPr>
        <w:t>Butišku</w:t>
      </w:r>
      <w:proofErr w:type="spellEnd"/>
      <w:r w:rsidR="009A4BC5" w:rsidRPr="00A07F29">
        <w:rPr>
          <w:rFonts w:ascii="Times New Roman" w:eastAsia="Calibri" w:hAnsi="Times New Roman" w:cs="Times New Roman"/>
          <w:sz w:val="24"/>
          <w:szCs w:val="24"/>
        </w:rPr>
        <w:t xml:space="preserve"> lokā iepretī </w:t>
      </w:r>
      <w:proofErr w:type="spellStart"/>
      <w:r w:rsidR="009A4BC5" w:rsidRPr="00A07F29">
        <w:rPr>
          <w:rFonts w:ascii="Times New Roman" w:eastAsia="Calibri" w:hAnsi="Times New Roman" w:cs="Times New Roman"/>
          <w:sz w:val="24"/>
          <w:szCs w:val="24"/>
        </w:rPr>
        <w:t>Elernei</w:t>
      </w:r>
      <w:proofErr w:type="spellEnd"/>
      <w:r w:rsidR="009A4BC5" w:rsidRPr="00A07F29">
        <w:rPr>
          <w:rFonts w:ascii="Times New Roman" w:eastAsia="Calibri" w:hAnsi="Times New Roman" w:cs="Times New Roman"/>
          <w:sz w:val="24"/>
          <w:szCs w:val="24"/>
        </w:rPr>
        <w:t>; viens pāris Kreiļu dīķos Tabores pagastā un viens pāris Tartaka ūdenskrātuvē.</w:t>
      </w:r>
    </w:p>
    <w:p w14:paraId="1DC568D5" w14:textId="63348B76"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Ar AAA “Augšdaugava” tieši saistīta ir arī upes zīriņu kolonija uz Daugavas salām </w:t>
      </w:r>
      <w:proofErr w:type="spellStart"/>
      <w:r w:rsidRPr="00A07F29">
        <w:rPr>
          <w:rFonts w:ascii="Times New Roman" w:eastAsia="Calibri" w:hAnsi="Times New Roman" w:cs="Times New Roman"/>
          <w:sz w:val="24"/>
          <w:szCs w:val="24"/>
        </w:rPr>
        <w:t>Lazovkas</w:t>
      </w:r>
      <w:proofErr w:type="spellEnd"/>
      <w:r w:rsidRPr="00A07F29">
        <w:rPr>
          <w:rFonts w:ascii="Times New Roman" w:eastAsia="Calibri" w:hAnsi="Times New Roman" w:cs="Times New Roman"/>
          <w:sz w:val="24"/>
          <w:szCs w:val="24"/>
        </w:rPr>
        <w:t xml:space="preserve"> apkārtnē, kas atrodas aptuveni 3</w:t>
      </w:r>
      <w:r w:rsidR="00345BF6">
        <w:rPr>
          <w:rFonts w:ascii="Times New Roman" w:eastAsia="Calibri" w:hAnsi="Times New Roman" w:cs="Times New Roman"/>
          <w:sz w:val="24"/>
          <w:szCs w:val="24"/>
        </w:rPr>
        <w:t> </w:t>
      </w:r>
      <w:r w:rsidRPr="00A07F29">
        <w:rPr>
          <w:rFonts w:ascii="Times New Roman" w:eastAsia="Calibri" w:hAnsi="Times New Roman" w:cs="Times New Roman"/>
          <w:sz w:val="24"/>
          <w:szCs w:val="24"/>
        </w:rPr>
        <w:t>km no aizsargājamās dabas teritorijas robežas; kur regulāri ligzdo 30</w:t>
      </w:r>
      <w:r w:rsidR="00345BF6">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345BF6">
        <w:rPr>
          <w:rFonts w:ascii="Times New Roman" w:eastAsia="Calibri" w:hAnsi="Times New Roman" w:cs="Times New Roman"/>
          <w:sz w:val="24"/>
          <w:szCs w:val="24"/>
        </w:rPr>
        <w:t> </w:t>
      </w:r>
      <w:r w:rsidRPr="00A07F29">
        <w:rPr>
          <w:rFonts w:ascii="Times New Roman" w:eastAsia="Calibri" w:hAnsi="Times New Roman" w:cs="Times New Roman"/>
          <w:sz w:val="24"/>
          <w:szCs w:val="24"/>
        </w:rPr>
        <w:t>50 pāri upes zīriņu.</w:t>
      </w:r>
    </w:p>
    <w:p w14:paraId="532168C0" w14:textId="3478597F"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Skaita vērtējums teritorijā: 50</w:t>
      </w:r>
      <w:r w:rsidR="00345BF6">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345BF6">
        <w:rPr>
          <w:rFonts w:ascii="Times New Roman" w:eastAsia="Calibri" w:hAnsi="Times New Roman" w:cs="Times New Roman"/>
          <w:sz w:val="24"/>
          <w:szCs w:val="24"/>
        </w:rPr>
        <w:t> </w:t>
      </w:r>
      <w:r w:rsidRPr="00A07F29">
        <w:rPr>
          <w:rFonts w:ascii="Times New Roman" w:eastAsia="Calibri" w:hAnsi="Times New Roman" w:cs="Times New Roman"/>
          <w:sz w:val="24"/>
          <w:szCs w:val="24"/>
        </w:rPr>
        <w:t>60 ligzdojoši pāri.</w:t>
      </w:r>
      <w:r w:rsidR="00C54F32" w:rsidRPr="00A07F29">
        <w:rPr>
          <w:rFonts w:ascii="Times New Roman" w:eastAsia="Calibri" w:hAnsi="Times New Roman" w:cs="Times New Roman"/>
          <w:sz w:val="24"/>
          <w:szCs w:val="24"/>
        </w:rPr>
        <w:t xml:space="preserve"> </w:t>
      </w:r>
      <w:r w:rsidRPr="00A07F29">
        <w:rPr>
          <w:rFonts w:ascii="Times New Roman" w:eastAsia="Calibri" w:hAnsi="Times New Roman" w:cs="Times New Roman"/>
          <w:sz w:val="24"/>
          <w:szCs w:val="24"/>
        </w:rPr>
        <w:t xml:space="preserve">Sugai </w:t>
      </w:r>
      <w:proofErr w:type="spellStart"/>
      <w:r w:rsidRPr="00A07F29">
        <w:rPr>
          <w:rFonts w:ascii="Times New Roman" w:eastAsia="Calibri" w:hAnsi="Times New Roman" w:cs="Times New Roman"/>
          <w:i/>
          <w:iCs/>
          <w:sz w:val="24"/>
          <w:szCs w:val="24"/>
        </w:rPr>
        <w:t>Natura</w:t>
      </w:r>
      <w:proofErr w:type="spellEnd"/>
      <w:r w:rsidRPr="00A07F29">
        <w:rPr>
          <w:rFonts w:ascii="Times New Roman" w:eastAsia="Calibri" w:hAnsi="Times New Roman" w:cs="Times New Roman"/>
          <w:i/>
          <w:iCs/>
          <w:sz w:val="24"/>
          <w:szCs w:val="24"/>
        </w:rPr>
        <w:t xml:space="preserve"> 2000</w:t>
      </w:r>
      <w:r w:rsidRPr="00A07F29">
        <w:rPr>
          <w:rFonts w:ascii="Times New Roman" w:eastAsia="Calibri" w:hAnsi="Times New Roman" w:cs="Times New Roman"/>
          <w:sz w:val="24"/>
          <w:szCs w:val="24"/>
        </w:rPr>
        <w:t xml:space="preserve"> </w:t>
      </w:r>
      <w:r w:rsidR="003263B7">
        <w:rPr>
          <w:rFonts w:ascii="Times New Roman" w:eastAsia="Calibri" w:hAnsi="Times New Roman" w:cs="Times New Roman"/>
          <w:sz w:val="24"/>
          <w:szCs w:val="24"/>
        </w:rPr>
        <w:t>SDF</w:t>
      </w:r>
      <w:r w:rsidRPr="00A07F29">
        <w:rPr>
          <w:rFonts w:ascii="Times New Roman" w:eastAsia="Calibri" w:hAnsi="Times New Roman" w:cs="Times New Roman"/>
          <w:sz w:val="24"/>
          <w:szCs w:val="24"/>
        </w:rPr>
        <w:t xml:space="preserve"> precizēts minimālais populācijas lielums.</w:t>
      </w:r>
    </w:p>
    <w:p w14:paraId="43BC759A" w14:textId="77777777" w:rsidR="009A4BC5" w:rsidRPr="00A07F29" w:rsidRDefault="009A4BC5" w:rsidP="00C54F32">
      <w:pPr>
        <w:spacing w:before="240" w:after="120" w:line="240" w:lineRule="auto"/>
        <w:jc w:val="both"/>
        <w:rPr>
          <w:rFonts w:ascii="Times New Roman" w:eastAsia="Calibri" w:hAnsi="Times New Roman" w:cs="Times New Roman"/>
          <w:b/>
          <w:bCs/>
          <w:i/>
          <w:iCs/>
          <w:sz w:val="24"/>
          <w:szCs w:val="24"/>
        </w:rPr>
      </w:pPr>
      <w:r w:rsidRPr="00A07F29">
        <w:rPr>
          <w:rFonts w:ascii="Times New Roman" w:eastAsia="Calibri" w:hAnsi="Times New Roman" w:cs="Times New Roman"/>
          <w:b/>
          <w:bCs/>
          <w:sz w:val="24"/>
          <w:szCs w:val="24"/>
        </w:rPr>
        <w:t xml:space="preserve">Meža balodis </w:t>
      </w:r>
      <w:proofErr w:type="spellStart"/>
      <w:r w:rsidRPr="00A07F29">
        <w:rPr>
          <w:rFonts w:ascii="Times New Roman" w:eastAsia="Calibri" w:hAnsi="Times New Roman" w:cs="Times New Roman"/>
          <w:b/>
          <w:bCs/>
          <w:i/>
          <w:iCs/>
          <w:sz w:val="24"/>
          <w:szCs w:val="24"/>
        </w:rPr>
        <w:t>Columba</w:t>
      </w:r>
      <w:proofErr w:type="spellEnd"/>
      <w:r w:rsidRPr="00A07F29">
        <w:rPr>
          <w:rFonts w:ascii="Times New Roman" w:eastAsia="Calibri" w:hAnsi="Times New Roman" w:cs="Times New Roman"/>
          <w:b/>
          <w:bCs/>
          <w:i/>
          <w:iCs/>
          <w:sz w:val="24"/>
          <w:szCs w:val="24"/>
        </w:rPr>
        <w:t xml:space="preserve"> </w:t>
      </w:r>
      <w:proofErr w:type="spellStart"/>
      <w:r w:rsidRPr="00A07F29">
        <w:rPr>
          <w:rFonts w:ascii="Times New Roman" w:eastAsia="Calibri" w:hAnsi="Times New Roman" w:cs="Times New Roman"/>
          <w:b/>
          <w:bCs/>
          <w:i/>
          <w:iCs/>
          <w:sz w:val="24"/>
          <w:szCs w:val="24"/>
        </w:rPr>
        <w:t>oenas</w:t>
      </w:r>
      <w:proofErr w:type="spellEnd"/>
    </w:p>
    <w:p w14:paraId="2FF86558" w14:textId="2965A251"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lastRenderedPageBreak/>
        <w:t>Populācijas lielums Latvijā: 4408</w:t>
      </w:r>
      <w:r w:rsidR="00345BF6">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345BF6">
        <w:rPr>
          <w:rFonts w:ascii="Times New Roman" w:eastAsia="Calibri" w:hAnsi="Times New Roman" w:cs="Times New Roman"/>
          <w:sz w:val="24"/>
          <w:szCs w:val="24"/>
        </w:rPr>
        <w:t> </w:t>
      </w:r>
      <w:r w:rsidRPr="00A07F29">
        <w:rPr>
          <w:rFonts w:ascii="Times New Roman" w:eastAsia="Calibri" w:hAnsi="Times New Roman" w:cs="Times New Roman"/>
          <w:sz w:val="24"/>
          <w:szCs w:val="24"/>
        </w:rPr>
        <w:t>11744 pāri (</w:t>
      </w:r>
      <w:proofErr w:type="spellStart"/>
      <w:r w:rsidRPr="00A07F29">
        <w:rPr>
          <w:rFonts w:ascii="Times New Roman" w:eastAsia="Calibri" w:hAnsi="Times New Roman" w:cs="Times New Roman"/>
          <w:sz w:val="24"/>
          <w:szCs w:val="24"/>
        </w:rPr>
        <w:t>Birdlife</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International</w:t>
      </w:r>
      <w:proofErr w:type="spellEnd"/>
      <w:r w:rsidR="00392BE6">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2019).</w:t>
      </w:r>
    </w:p>
    <w:p w14:paraId="6754B6FC" w14:textId="24F2F1A6"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Meža baložu ligzdošana </w:t>
      </w:r>
      <w:r w:rsidR="00C54F32" w:rsidRPr="00A07F29">
        <w:rPr>
          <w:rFonts w:ascii="Times New Roman" w:eastAsia="Calibri" w:hAnsi="Times New Roman" w:cs="Times New Roman"/>
          <w:sz w:val="24"/>
          <w:szCs w:val="24"/>
        </w:rPr>
        <w:t>AAA “Augšdaugava”</w:t>
      </w:r>
      <w:r w:rsidRPr="00A07F29">
        <w:rPr>
          <w:rFonts w:ascii="Times New Roman" w:eastAsia="Calibri" w:hAnsi="Times New Roman" w:cs="Times New Roman"/>
          <w:sz w:val="24"/>
          <w:szCs w:val="24"/>
        </w:rPr>
        <w:t xml:space="preserve"> līdz šim konstatēta izcirtumos atstātajos ekoloģiskajos kokos, melno dzilnu kaltos dobumos.</w:t>
      </w:r>
    </w:p>
    <w:p w14:paraId="78AFF3F9" w14:textId="642DAF58"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Meža baloža aizsardzībai AAA “Augšdaugava” teritorijā izveidoti divi mikroliegumi.</w:t>
      </w:r>
      <w:r w:rsidR="00C54F32" w:rsidRPr="00A07F29">
        <w:rPr>
          <w:rFonts w:ascii="Times New Roman" w:eastAsia="Calibri" w:hAnsi="Times New Roman" w:cs="Times New Roman"/>
          <w:sz w:val="24"/>
          <w:szCs w:val="24"/>
        </w:rPr>
        <w:t xml:space="preserve"> </w:t>
      </w:r>
      <w:r w:rsidRPr="00A07F29">
        <w:rPr>
          <w:rFonts w:ascii="Times New Roman" w:eastAsia="Calibri" w:hAnsi="Times New Roman" w:cs="Times New Roman"/>
          <w:sz w:val="24"/>
          <w:szCs w:val="24"/>
        </w:rPr>
        <w:t>Meža baloža aizsardzībai izveidots mikroliegums Krāslavas novada Kalniešu pagastā, 328.</w:t>
      </w:r>
      <w:r w:rsidR="00345BF6">
        <w:rPr>
          <w:rFonts w:ascii="Times New Roman" w:eastAsia="Calibri" w:hAnsi="Times New Roman" w:cs="Times New Roman"/>
          <w:sz w:val="24"/>
          <w:szCs w:val="24"/>
        </w:rPr>
        <w:t> </w:t>
      </w:r>
      <w:r w:rsidRPr="00A07F29">
        <w:rPr>
          <w:rFonts w:ascii="Times New Roman" w:eastAsia="Calibri" w:hAnsi="Times New Roman" w:cs="Times New Roman"/>
          <w:sz w:val="24"/>
          <w:szCs w:val="24"/>
        </w:rPr>
        <w:t>kvartālā ar kopējo platību 8</w:t>
      </w:r>
      <w:r w:rsidR="00345BF6">
        <w:rPr>
          <w:rFonts w:ascii="Times New Roman" w:eastAsia="Calibri" w:hAnsi="Times New Roman" w:cs="Times New Roman"/>
          <w:sz w:val="24"/>
          <w:szCs w:val="24"/>
        </w:rPr>
        <w:t> </w:t>
      </w:r>
      <w:r w:rsidRPr="00A07F29">
        <w:rPr>
          <w:rFonts w:ascii="Times New Roman" w:eastAsia="Calibri" w:hAnsi="Times New Roman" w:cs="Times New Roman"/>
          <w:sz w:val="24"/>
          <w:szCs w:val="24"/>
        </w:rPr>
        <w:t>ha (bez buferzonas). Apdzīvota meža baloža ligzda atrasta 2014.</w:t>
      </w:r>
      <w:r w:rsidR="00345BF6">
        <w:rPr>
          <w:rFonts w:ascii="Times New Roman" w:eastAsia="Calibri" w:hAnsi="Times New Roman" w:cs="Times New Roman"/>
          <w:sz w:val="24"/>
          <w:szCs w:val="24"/>
        </w:rPr>
        <w:t> </w:t>
      </w:r>
      <w:r w:rsidRPr="00A07F29">
        <w:rPr>
          <w:rFonts w:ascii="Times New Roman" w:eastAsia="Calibri" w:hAnsi="Times New Roman" w:cs="Times New Roman"/>
          <w:sz w:val="24"/>
          <w:szCs w:val="24"/>
        </w:rPr>
        <w:t>gada 11.</w:t>
      </w:r>
      <w:r w:rsidR="00345BF6">
        <w:rPr>
          <w:rFonts w:ascii="Times New Roman" w:eastAsia="Calibri" w:hAnsi="Times New Roman" w:cs="Times New Roman"/>
          <w:sz w:val="24"/>
          <w:szCs w:val="24"/>
        </w:rPr>
        <w:t> </w:t>
      </w:r>
      <w:r w:rsidRPr="00A07F29">
        <w:rPr>
          <w:rFonts w:ascii="Times New Roman" w:eastAsia="Calibri" w:hAnsi="Times New Roman" w:cs="Times New Roman"/>
          <w:sz w:val="24"/>
          <w:szCs w:val="24"/>
        </w:rPr>
        <w:t>jūnijā. Ligzda atrodas priedē – ekoloģiskajā kokā, melnās dzilnas kaltā dobumā. Mikroliegums izveidots 2015.</w:t>
      </w:r>
      <w:r w:rsidR="00345BF6">
        <w:rPr>
          <w:rFonts w:ascii="Times New Roman" w:eastAsia="Calibri" w:hAnsi="Times New Roman" w:cs="Times New Roman"/>
          <w:sz w:val="24"/>
          <w:szCs w:val="24"/>
        </w:rPr>
        <w:t> gada 22. aprīlī</w:t>
      </w:r>
      <w:r w:rsidRPr="00A07F29">
        <w:rPr>
          <w:rFonts w:ascii="Times New Roman" w:eastAsia="Calibri" w:hAnsi="Times New Roman" w:cs="Times New Roman"/>
          <w:sz w:val="24"/>
          <w:szCs w:val="24"/>
        </w:rPr>
        <w:t xml:space="preserve"> un tā platībā iekļautas vecākās mežaudzes iepriekš atrastās ligzdas tiešā tuvumā.</w:t>
      </w:r>
    </w:p>
    <w:p w14:paraId="112F9F4E" w14:textId="00EE5F92"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Meža baloža aizsardzībai izveidots mikroliegums Krāslavas novada Kaplavas pagastā, 299.</w:t>
      </w:r>
      <w:r w:rsidR="00345BF6">
        <w:rPr>
          <w:rFonts w:ascii="Times New Roman" w:eastAsia="Calibri" w:hAnsi="Times New Roman" w:cs="Times New Roman"/>
          <w:sz w:val="24"/>
          <w:szCs w:val="24"/>
        </w:rPr>
        <w:t> </w:t>
      </w:r>
      <w:r w:rsidRPr="00A07F29">
        <w:rPr>
          <w:rFonts w:ascii="Times New Roman" w:eastAsia="Calibri" w:hAnsi="Times New Roman" w:cs="Times New Roman"/>
          <w:sz w:val="24"/>
          <w:szCs w:val="24"/>
        </w:rPr>
        <w:t>kvartālā ar kopējo platību 6,1</w:t>
      </w:r>
      <w:r w:rsidR="00345BF6">
        <w:rPr>
          <w:rFonts w:ascii="Times New Roman" w:eastAsia="Calibri" w:hAnsi="Times New Roman" w:cs="Times New Roman"/>
          <w:sz w:val="24"/>
          <w:szCs w:val="24"/>
        </w:rPr>
        <w:t> </w:t>
      </w:r>
      <w:r w:rsidRPr="00A07F29">
        <w:rPr>
          <w:rFonts w:ascii="Times New Roman" w:eastAsia="Calibri" w:hAnsi="Times New Roman" w:cs="Times New Roman"/>
          <w:sz w:val="24"/>
          <w:szCs w:val="24"/>
        </w:rPr>
        <w:t>ha (bez buferzonas). Apdzīvota meža baloža ligzda atrasta 2014.</w:t>
      </w:r>
      <w:r w:rsidR="00345BF6">
        <w:rPr>
          <w:rFonts w:ascii="Times New Roman" w:eastAsia="Calibri" w:hAnsi="Times New Roman" w:cs="Times New Roman"/>
          <w:sz w:val="24"/>
          <w:szCs w:val="24"/>
        </w:rPr>
        <w:t> </w:t>
      </w:r>
      <w:r w:rsidRPr="00A07F29">
        <w:rPr>
          <w:rFonts w:ascii="Times New Roman" w:eastAsia="Calibri" w:hAnsi="Times New Roman" w:cs="Times New Roman"/>
          <w:sz w:val="24"/>
          <w:szCs w:val="24"/>
        </w:rPr>
        <w:t>gada 11.</w:t>
      </w:r>
      <w:r w:rsidR="00345BF6">
        <w:rPr>
          <w:rFonts w:ascii="Times New Roman" w:eastAsia="Calibri" w:hAnsi="Times New Roman" w:cs="Times New Roman"/>
          <w:sz w:val="24"/>
          <w:szCs w:val="24"/>
        </w:rPr>
        <w:t> </w:t>
      </w:r>
      <w:r w:rsidRPr="00A07F29">
        <w:rPr>
          <w:rFonts w:ascii="Times New Roman" w:eastAsia="Calibri" w:hAnsi="Times New Roman" w:cs="Times New Roman"/>
          <w:sz w:val="24"/>
          <w:szCs w:val="24"/>
        </w:rPr>
        <w:t>jūnijā. Ligzda atrodas priedē – ekoloģiskajā kokā, melnās dzilnas kaltā dobumā, apmēram 10</w:t>
      </w:r>
      <w:r w:rsidR="00345BF6">
        <w:rPr>
          <w:rFonts w:ascii="Times New Roman" w:eastAsia="Calibri" w:hAnsi="Times New Roman" w:cs="Times New Roman"/>
          <w:sz w:val="24"/>
          <w:szCs w:val="24"/>
        </w:rPr>
        <w:t> </w:t>
      </w:r>
      <w:r w:rsidRPr="00A07F29">
        <w:rPr>
          <w:rFonts w:ascii="Times New Roman" w:eastAsia="Calibri" w:hAnsi="Times New Roman" w:cs="Times New Roman"/>
          <w:sz w:val="24"/>
          <w:szCs w:val="24"/>
        </w:rPr>
        <w:t>m augstumā. Mikroliegums izveidots 2015.</w:t>
      </w:r>
      <w:r w:rsidR="00345BF6">
        <w:rPr>
          <w:rFonts w:ascii="Times New Roman" w:eastAsia="Calibri" w:hAnsi="Times New Roman" w:cs="Times New Roman"/>
          <w:sz w:val="24"/>
          <w:szCs w:val="24"/>
        </w:rPr>
        <w:t> gada 22. aprīlī</w:t>
      </w:r>
      <w:r w:rsidRPr="00A07F29">
        <w:rPr>
          <w:rFonts w:ascii="Times New Roman" w:eastAsia="Calibri" w:hAnsi="Times New Roman" w:cs="Times New Roman"/>
          <w:sz w:val="24"/>
          <w:szCs w:val="24"/>
        </w:rPr>
        <w:t xml:space="preserve"> un tā platībā iekļautas vecākās mežaudzes iepriekš atrastās ligzdas tiešā tuvumā.</w:t>
      </w:r>
    </w:p>
    <w:p w14:paraId="6AFF32F3" w14:textId="5D86D2E4"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Apdzīvota meža baloža ligzda 2020.</w:t>
      </w:r>
      <w:r w:rsidR="00345BF6">
        <w:rPr>
          <w:rFonts w:ascii="Times New Roman" w:eastAsia="Calibri" w:hAnsi="Times New Roman" w:cs="Times New Roman"/>
          <w:sz w:val="24"/>
          <w:szCs w:val="24"/>
        </w:rPr>
        <w:t> </w:t>
      </w:r>
      <w:r w:rsidRPr="00A07F29">
        <w:rPr>
          <w:rFonts w:ascii="Times New Roman" w:eastAsia="Calibri" w:hAnsi="Times New Roman" w:cs="Times New Roman"/>
          <w:sz w:val="24"/>
          <w:szCs w:val="24"/>
        </w:rPr>
        <w:t>gadā atrasta Krāslavas novada, Kalniešu pagastā, 310.</w:t>
      </w:r>
      <w:r w:rsidR="00345BF6">
        <w:rPr>
          <w:rFonts w:ascii="Times New Roman" w:eastAsia="Calibri" w:hAnsi="Times New Roman" w:cs="Times New Roman"/>
          <w:sz w:val="24"/>
          <w:szCs w:val="24"/>
        </w:rPr>
        <w:t> </w:t>
      </w:r>
      <w:r w:rsidRPr="00A07F29">
        <w:rPr>
          <w:rFonts w:ascii="Times New Roman" w:eastAsia="Calibri" w:hAnsi="Times New Roman" w:cs="Times New Roman"/>
          <w:sz w:val="24"/>
          <w:szCs w:val="24"/>
        </w:rPr>
        <w:t>kvartāla 8.</w:t>
      </w:r>
      <w:r w:rsidR="00345BF6">
        <w:rPr>
          <w:rFonts w:ascii="Times New Roman" w:eastAsia="Calibri" w:hAnsi="Times New Roman" w:cs="Times New Roman"/>
          <w:sz w:val="24"/>
          <w:szCs w:val="24"/>
        </w:rPr>
        <w:t> </w:t>
      </w:r>
      <w:r w:rsidRPr="00A07F29">
        <w:rPr>
          <w:rFonts w:ascii="Times New Roman" w:eastAsia="Calibri" w:hAnsi="Times New Roman" w:cs="Times New Roman"/>
          <w:sz w:val="24"/>
          <w:szCs w:val="24"/>
        </w:rPr>
        <w:t>nogabalā. Ligzda atrodas priedē – ekoloģiskajā kokā, melnās dzilnas kaltā dobumā.</w:t>
      </w:r>
    </w:p>
    <w:p w14:paraId="0590987A" w14:textId="0EAE585C"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Skaita vērtējums teritorijā: 20</w:t>
      </w:r>
      <w:r w:rsidR="00345BF6">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345BF6">
        <w:rPr>
          <w:rFonts w:ascii="Times New Roman" w:eastAsia="Calibri" w:hAnsi="Times New Roman" w:cs="Times New Roman"/>
          <w:sz w:val="24"/>
          <w:szCs w:val="24"/>
        </w:rPr>
        <w:t> </w:t>
      </w:r>
      <w:r w:rsidRPr="00A07F29">
        <w:rPr>
          <w:rFonts w:ascii="Times New Roman" w:eastAsia="Calibri" w:hAnsi="Times New Roman" w:cs="Times New Roman"/>
          <w:sz w:val="24"/>
          <w:szCs w:val="24"/>
        </w:rPr>
        <w:t>30 ligzdojoši pāri.</w:t>
      </w:r>
      <w:r w:rsidR="0013567E" w:rsidRPr="00A07F29">
        <w:rPr>
          <w:rFonts w:ascii="Times New Roman" w:eastAsia="Calibri" w:hAnsi="Times New Roman" w:cs="Times New Roman"/>
          <w:sz w:val="24"/>
          <w:szCs w:val="24"/>
        </w:rPr>
        <w:t xml:space="preserve"> </w:t>
      </w:r>
      <w:r w:rsidRPr="00A07F29">
        <w:rPr>
          <w:rFonts w:ascii="Times New Roman" w:eastAsia="Calibri" w:hAnsi="Times New Roman" w:cs="Times New Roman"/>
          <w:sz w:val="24"/>
          <w:szCs w:val="24"/>
        </w:rPr>
        <w:t xml:space="preserve">Suga iekļauta </w:t>
      </w:r>
      <w:proofErr w:type="spellStart"/>
      <w:r w:rsidRPr="00A07F29">
        <w:rPr>
          <w:rFonts w:ascii="Times New Roman" w:eastAsia="Calibri" w:hAnsi="Times New Roman" w:cs="Times New Roman"/>
          <w:i/>
          <w:iCs/>
          <w:sz w:val="24"/>
          <w:szCs w:val="24"/>
        </w:rPr>
        <w:t>Natura</w:t>
      </w:r>
      <w:proofErr w:type="spellEnd"/>
      <w:r w:rsidRPr="00A07F29">
        <w:rPr>
          <w:rFonts w:ascii="Times New Roman" w:eastAsia="Calibri" w:hAnsi="Times New Roman" w:cs="Times New Roman"/>
          <w:i/>
          <w:iCs/>
          <w:sz w:val="24"/>
          <w:szCs w:val="24"/>
        </w:rPr>
        <w:t xml:space="preserve"> 2000</w:t>
      </w:r>
      <w:r w:rsidRPr="00A07F29">
        <w:rPr>
          <w:rFonts w:ascii="Times New Roman" w:eastAsia="Calibri" w:hAnsi="Times New Roman" w:cs="Times New Roman"/>
          <w:sz w:val="24"/>
          <w:szCs w:val="24"/>
        </w:rPr>
        <w:t xml:space="preserve"> </w:t>
      </w:r>
      <w:r w:rsidR="003263B7">
        <w:rPr>
          <w:rFonts w:ascii="Times New Roman" w:eastAsia="Calibri" w:hAnsi="Times New Roman" w:cs="Times New Roman"/>
          <w:sz w:val="24"/>
          <w:szCs w:val="24"/>
        </w:rPr>
        <w:t>SDF</w:t>
      </w:r>
      <w:r w:rsidRPr="00A07F29">
        <w:rPr>
          <w:rFonts w:ascii="Times New Roman" w:eastAsia="Calibri" w:hAnsi="Times New Roman" w:cs="Times New Roman"/>
          <w:sz w:val="24"/>
          <w:szCs w:val="24"/>
        </w:rPr>
        <w:t>.</w:t>
      </w:r>
    </w:p>
    <w:p w14:paraId="17363E83" w14:textId="77777777" w:rsidR="009A4BC5" w:rsidRPr="00A07F29" w:rsidRDefault="009A4BC5" w:rsidP="0013567E">
      <w:pPr>
        <w:spacing w:before="240" w:after="120" w:line="240" w:lineRule="auto"/>
        <w:jc w:val="both"/>
        <w:rPr>
          <w:rFonts w:ascii="Times New Roman" w:eastAsia="Calibri" w:hAnsi="Times New Roman" w:cs="Times New Roman"/>
          <w:b/>
          <w:bCs/>
          <w:i/>
          <w:iCs/>
          <w:sz w:val="24"/>
          <w:szCs w:val="24"/>
        </w:rPr>
      </w:pPr>
      <w:r w:rsidRPr="00A07F29">
        <w:rPr>
          <w:rFonts w:ascii="Times New Roman" w:eastAsia="Calibri" w:hAnsi="Times New Roman" w:cs="Times New Roman"/>
          <w:b/>
          <w:bCs/>
          <w:sz w:val="24"/>
          <w:szCs w:val="24"/>
        </w:rPr>
        <w:t xml:space="preserve">Apodziņš </w:t>
      </w:r>
      <w:proofErr w:type="spellStart"/>
      <w:r w:rsidRPr="00A07F29">
        <w:rPr>
          <w:rFonts w:ascii="Times New Roman" w:eastAsia="Calibri" w:hAnsi="Times New Roman" w:cs="Times New Roman"/>
          <w:b/>
          <w:bCs/>
          <w:i/>
          <w:iCs/>
          <w:sz w:val="24"/>
          <w:szCs w:val="24"/>
        </w:rPr>
        <w:t>Glaucidium</w:t>
      </w:r>
      <w:proofErr w:type="spellEnd"/>
      <w:r w:rsidRPr="00A07F29">
        <w:rPr>
          <w:rFonts w:ascii="Times New Roman" w:eastAsia="Calibri" w:hAnsi="Times New Roman" w:cs="Times New Roman"/>
          <w:b/>
          <w:bCs/>
          <w:i/>
          <w:iCs/>
          <w:sz w:val="24"/>
          <w:szCs w:val="24"/>
        </w:rPr>
        <w:t xml:space="preserve"> </w:t>
      </w:r>
      <w:proofErr w:type="spellStart"/>
      <w:r w:rsidRPr="00A07F29">
        <w:rPr>
          <w:rFonts w:ascii="Times New Roman" w:eastAsia="Calibri" w:hAnsi="Times New Roman" w:cs="Times New Roman"/>
          <w:b/>
          <w:bCs/>
          <w:i/>
          <w:iCs/>
          <w:sz w:val="24"/>
          <w:szCs w:val="24"/>
        </w:rPr>
        <w:t>passerinum</w:t>
      </w:r>
      <w:proofErr w:type="spellEnd"/>
    </w:p>
    <w:p w14:paraId="4E29FA69" w14:textId="419FA426"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Populācijas lielums Latvijā: 3671</w:t>
      </w:r>
      <w:r w:rsidR="00345BF6">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345BF6">
        <w:rPr>
          <w:rFonts w:ascii="Times New Roman" w:eastAsia="Calibri" w:hAnsi="Times New Roman" w:cs="Times New Roman"/>
          <w:sz w:val="24"/>
          <w:szCs w:val="24"/>
        </w:rPr>
        <w:t> </w:t>
      </w:r>
      <w:r w:rsidRPr="00A07F29">
        <w:rPr>
          <w:rFonts w:ascii="Times New Roman" w:eastAsia="Calibri" w:hAnsi="Times New Roman" w:cs="Times New Roman"/>
          <w:sz w:val="24"/>
          <w:szCs w:val="24"/>
        </w:rPr>
        <w:t>9464 pāri (</w:t>
      </w:r>
      <w:proofErr w:type="spellStart"/>
      <w:r w:rsidRPr="00A07F29">
        <w:rPr>
          <w:rFonts w:ascii="Times New Roman" w:eastAsia="Calibri" w:hAnsi="Times New Roman" w:cs="Times New Roman"/>
          <w:sz w:val="24"/>
          <w:szCs w:val="24"/>
        </w:rPr>
        <w:t>Birdlife</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International</w:t>
      </w:r>
      <w:proofErr w:type="spellEnd"/>
      <w:r w:rsidR="00392BE6">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2019).</w:t>
      </w:r>
      <w:r w:rsidR="0013567E" w:rsidRPr="00A07F29">
        <w:rPr>
          <w:rFonts w:ascii="Times New Roman" w:eastAsia="Calibri" w:hAnsi="Times New Roman" w:cs="Times New Roman"/>
          <w:sz w:val="24"/>
          <w:szCs w:val="24"/>
        </w:rPr>
        <w:t xml:space="preserve"> </w:t>
      </w:r>
      <w:r w:rsidRPr="00A07F29">
        <w:rPr>
          <w:rFonts w:ascii="Times New Roman" w:eastAsia="Calibri" w:hAnsi="Times New Roman" w:cs="Times New Roman"/>
          <w:sz w:val="24"/>
          <w:szCs w:val="24"/>
        </w:rPr>
        <w:t>Apodziņš uzskatāms par lietussarga sugu bioloģiskās daudzveidības aizsardzībā mežos (</w:t>
      </w:r>
      <w:proofErr w:type="spellStart"/>
      <w:r w:rsidRPr="00A07F29">
        <w:rPr>
          <w:rFonts w:ascii="Times New Roman" w:eastAsia="Calibri" w:hAnsi="Times New Roman" w:cs="Times New Roman"/>
          <w:sz w:val="24"/>
          <w:szCs w:val="24"/>
        </w:rPr>
        <w:t>Rueda</w:t>
      </w:r>
      <w:proofErr w:type="spellEnd"/>
      <w:r w:rsidR="00D65BBA" w:rsidRPr="00A07F29">
        <w:rPr>
          <w:rFonts w:ascii="Times New Roman" w:eastAsia="Calibri" w:hAnsi="Times New Roman" w:cs="Times New Roman"/>
          <w:sz w:val="24"/>
          <w:szCs w:val="24"/>
        </w:rPr>
        <w:t xml:space="preserve"> </w:t>
      </w:r>
      <w:r w:rsidR="00392BE6">
        <w:rPr>
          <w:rFonts w:ascii="Times New Roman" w:eastAsia="Calibri" w:hAnsi="Times New Roman" w:cs="Times New Roman"/>
          <w:sz w:val="24"/>
          <w:szCs w:val="24"/>
        </w:rPr>
        <w:t xml:space="preserve">M., </w:t>
      </w:r>
      <w:proofErr w:type="spellStart"/>
      <w:r w:rsidRPr="00A07F29">
        <w:rPr>
          <w:rFonts w:ascii="Times New Roman" w:eastAsia="Calibri" w:hAnsi="Times New Roman" w:cs="Times New Roman"/>
          <w:i/>
          <w:iCs/>
          <w:sz w:val="24"/>
          <w:szCs w:val="24"/>
        </w:rPr>
        <w:t>et</w:t>
      </w:r>
      <w:proofErr w:type="spellEnd"/>
      <w:r w:rsidRPr="00A07F29">
        <w:rPr>
          <w:rFonts w:ascii="Times New Roman" w:eastAsia="Calibri" w:hAnsi="Times New Roman" w:cs="Times New Roman"/>
          <w:i/>
          <w:iCs/>
          <w:sz w:val="24"/>
          <w:szCs w:val="24"/>
        </w:rPr>
        <w:t xml:space="preserve"> al</w:t>
      </w:r>
      <w:r w:rsidRPr="00A07F29">
        <w:rPr>
          <w:rFonts w:ascii="Times New Roman" w:eastAsia="Calibri" w:hAnsi="Times New Roman" w:cs="Times New Roman"/>
          <w:sz w:val="24"/>
          <w:szCs w:val="24"/>
        </w:rPr>
        <w:t>. 2013). Apdzīvo galvenokārt vidēja vecuma un vecus lapu koku vai jauktu koku mežus ar atsevišķiem, veciem, dobumainiem kokiem. Sugas populācijai konstatēta negatīva ilgtermiņa tendence (2003</w:t>
      </w:r>
      <w:r w:rsidR="00345BF6">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345BF6">
        <w:rPr>
          <w:rFonts w:ascii="Times New Roman" w:eastAsia="Calibri" w:hAnsi="Times New Roman" w:cs="Times New Roman"/>
          <w:sz w:val="24"/>
          <w:szCs w:val="24"/>
        </w:rPr>
        <w:t> </w:t>
      </w:r>
      <w:r w:rsidRPr="00A07F29">
        <w:rPr>
          <w:rFonts w:ascii="Times New Roman" w:eastAsia="Calibri" w:hAnsi="Times New Roman" w:cs="Times New Roman"/>
          <w:sz w:val="24"/>
          <w:szCs w:val="24"/>
        </w:rPr>
        <w:t>2018) Latvijā (Avotiņš</w:t>
      </w:r>
      <w:r w:rsidR="00392BE6">
        <w:rPr>
          <w:rFonts w:ascii="Times New Roman" w:eastAsia="Calibri" w:hAnsi="Times New Roman" w:cs="Times New Roman"/>
          <w:sz w:val="24"/>
          <w:szCs w:val="24"/>
        </w:rPr>
        <w:t xml:space="preserve"> </w:t>
      </w:r>
      <w:proofErr w:type="spellStart"/>
      <w:r w:rsidR="00392BE6">
        <w:rPr>
          <w:rFonts w:ascii="Times New Roman" w:eastAsia="Calibri" w:hAnsi="Times New Roman" w:cs="Times New Roman"/>
          <w:sz w:val="24"/>
          <w:szCs w:val="24"/>
        </w:rPr>
        <w:t>jun</w:t>
      </w:r>
      <w:proofErr w:type="spellEnd"/>
      <w:r w:rsidR="00392BE6">
        <w:rPr>
          <w:rFonts w:ascii="Times New Roman" w:eastAsia="Calibri" w:hAnsi="Times New Roman" w:cs="Times New Roman"/>
          <w:sz w:val="24"/>
          <w:szCs w:val="24"/>
        </w:rPr>
        <w:t>. A.,</w:t>
      </w:r>
      <w:r w:rsidRPr="00A07F29">
        <w:rPr>
          <w:rFonts w:ascii="Times New Roman" w:eastAsia="Calibri" w:hAnsi="Times New Roman" w:cs="Times New Roman"/>
          <w:sz w:val="24"/>
          <w:szCs w:val="24"/>
        </w:rPr>
        <w:t xml:space="preserve"> 2019) un, atbilstoši starptautiski atzītajiem IUCN kritērijiem, sugas apdraudētības pakāpe Latvijā novērtēta kā jutīga (</w:t>
      </w:r>
      <w:r w:rsidRPr="00A07F29">
        <w:rPr>
          <w:rFonts w:ascii="Times New Roman" w:eastAsia="Calibri" w:hAnsi="Times New Roman" w:cs="Times New Roman"/>
          <w:i/>
          <w:iCs/>
          <w:sz w:val="24"/>
          <w:szCs w:val="24"/>
        </w:rPr>
        <w:t xml:space="preserve">VU, </w:t>
      </w:r>
      <w:proofErr w:type="spellStart"/>
      <w:r w:rsidRPr="00A07F29">
        <w:rPr>
          <w:rFonts w:ascii="Times New Roman" w:eastAsia="Calibri" w:hAnsi="Times New Roman" w:cs="Times New Roman"/>
          <w:i/>
          <w:iCs/>
          <w:sz w:val="24"/>
          <w:szCs w:val="24"/>
        </w:rPr>
        <w:t>Vulnerable</w:t>
      </w:r>
      <w:proofErr w:type="spellEnd"/>
      <w:r w:rsidRPr="00A07F29">
        <w:rPr>
          <w:rFonts w:ascii="Times New Roman" w:eastAsia="Calibri" w:hAnsi="Times New Roman" w:cs="Times New Roman"/>
          <w:i/>
          <w:iCs/>
          <w:sz w:val="24"/>
          <w:szCs w:val="24"/>
        </w:rPr>
        <w:t>)</w:t>
      </w:r>
      <w:r w:rsidRPr="00A07F29">
        <w:rPr>
          <w:rFonts w:ascii="Times New Roman" w:eastAsia="Calibri" w:hAnsi="Times New Roman" w:cs="Times New Roman"/>
          <w:sz w:val="24"/>
          <w:szCs w:val="24"/>
        </w:rPr>
        <w:t>.</w:t>
      </w:r>
    </w:p>
    <w:p w14:paraId="18A0A493" w14:textId="2F7A9078" w:rsidR="0013567E" w:rsidRPr="00A07F29" w:rsidRDefault="0013567E"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AAA “Augšdaugava” 2019. un 2020.</w:t>
      </w:r>
      <w:r w:rsidR="00345BF6">
        <w:rPr>
          <w:rFonts w:ascii="Times New Roman" w:eastAsia="Calibri" w:hAnsi="Times New Roman" w:cs="Times New Roman"/>
          <w:sz w:val="24"/>
          <w:szCs w:val="24"/>
        </w:rPr>
        <w:t> </w:t>
      </w:r>
      <w:r w:rsidRPr="00A07F29">
        <w:rPr>
          <w:rFonts w:ascii="Times New Roman" w:eastAsia="Calibri" w:hAnsi="Times New Roman" w:cs="Times New Roman"/>
          <w:sz w:val="24"/>
          <w:szCs w:val="24"/>
        </w:rPr>
        <w:t>gadā veikto uzskaišu laikā vokalizējoši apodziņu tēviņi konstatēti 16 atradnēs. Tikai 2020.</w:t>
      </w:r>
      <w:r w:rsidR="00345BF6">
        <w:rPr>
          <w:rFonts w:ascii="Times New Roman" w:eastAsia="Calibri" w:hAnsi="Times New Roman" w:cs="Times New Roman"/>
          <w:sz w:val="24"/>
          <w:szCs w:val="24"/>
        </w:rPr>
        <w:t> </w:t>
      </w:r>
      <w:r w:rsidRPr="00A07F29">
        <w:rPr>
          <w:rFonts w:ascii="Times New Roman" w:eastAsia="Calibri" w:hAnsi="Times New Roman" w:cs="Times New Roman"/>
          <w:sz w:val="24"/>
          <w:szCs w:val="24"/>
        </w:rPr>
        <w:t>gadā veicot sugai specifiskas uzskaites arī iepriekš zināmajās atradnēs, suga konstatēta 11 atradnēs.</w:t>
      </w:r>
    </w:p>
    <w:p w14:paraId="15C3FA04" w14:textId="7265276D"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Skaita vērtējums teritorijā: 10</w:t>
      </w:r>
      <w:r w:rsidR="00345BF6">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345BF6">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15 ligzdojoši pāri. Suga iekļauta </w:t>
      </w:r>
      <w:proofErr w:type="spellStart"/>
      <w:r w:rsidRPr="00A07F29">
        <w:rPr>
          <w:rFonts w:ascii="Times New Roman" w:eastAsia="Calibri" w:hAnsi="Times New Roman" w:cs="Times New Roman"/>
          <w:i/>
          <w:iCs/>
          <w:sz w:val="24"/>
          <w:szCs w:val="24"/>
        </w:rPr>
        <w:t>Natura</w:t>
      </w:r>
      <w:proofErr w:type="spellEnd"/>
      <w:r w:rsidRPr="00A07F29">
        <w:rPr>
          <w:rFonts w:ascii="Times New Roman" w:eastAsia="Calibri" w:hAnsi="Times New Roman" w:cs="Times New Roman"/>
          <w:i/>
          <w:iCs/>
          <w:sz w:val="24"/>
          <w:szCs w:val="24"/>
        </w:rPr>
        <w:t xml:space="preserve"> 2000</w:t>
      </w:r>
      <w:r w:rsidRPr="00A07F29">
        <w:rPr>
          <w:rFonts w:ascii="Times New Roman" w:eastAsia="Calibri" w:hAnsi="Times New Roman" w:cs="Times New Roman"/>
          <w:sz w:val="24"/>
          <w:szCs w:val="24"/>
        </w:rPr>
        <w:t xml:space="preserve"> </w:t>
      </w:r>
      <w:r w:rsidR="003263B7" w:rsidRPr="003263B7">
        <w:rPr>
          <w:rFonts w:ascii="Times New Roman" w:eastAsia="Calibri" w:hAnsi="Times New Roman" w:cs="Times New Roman"/>
          <w:sz w:val="24"/>
          <w:szCs w:val="24"/>
        </w:rPr>
        <w:t>SDF</w:t>
      </w:r>
      <w:r w:rsidRPr="003263B7">
        <w:rPr>
          <w:rFonts w:ascii="Times New Roman" w:eastAsia="Calibri" w:hAnsi="Times New Roman" w:cs="Times New Roman"/>
          <w:sz w:val="24"/>
          <w:szCs w:val="24"/>
        </w:rPr>
        <w:t>.</w:t>
      </w:r>
    </w:p>
    <w:p w14:paraId="1A5B187D" w14:textId="77777777" w:rsidR="009A4BC5" w:rsidRPr="00A07F29" w:rsidRDefault="009A4BC5" w:rsidP="0013567E">
      <w:pPr>
        <w:spacing w:before="240" w:after="120" w:line="240" w:lineRule="auto"/>
        <w:jc w:val="both"/>
        <w:rPr>
          <w:rFonts w:ascii="Times New Roman" w:eastAsia="Calibri" w:hAnsi="Times New Roman" w:cs="Times New Roman"/>
          <w:b/>
          <w:bCs/>
          <w:i/>
          <w:iCs/>
          <w:sz w:val="24"/>
          <w:szCs w:val="24"/>
        </w:rPr>
      </w:pPr>
      <w:proofErr w:type="spellStart"/>
      <w:r w:rsidRPr="00A07F29">
        <w:rPr>
          <w:rFonts w:ascii="Times New Roman" w:eastAsia="Calibri" w:hAnsi="Times New Roman" w:cs="Times New Roman"/>
          <w:b/>
          <w:bCs/>
          <w:sz w:val="24"/>
          <w:szCs w:val="24"/>
        </w:rPr>
        <w:t>Urālpūce</w:t>
      </w:r>
      <w:proofErr w:type="spellEnd"/>
      <w:r w:rsidRPr="00A07F29">
        <w:rPr>
          <w:rFonts w:ascii="Times New Roman" w:eastAsia="Calibri" w:hAnsi="Times New Roman" w:cs="Times New Roman"/>
          <w:b/>
          <w:bCs/>
          <w:sz w:val="24"/>
          <w:szCs w:val="24"/>
        </w:rPr>
        <w:t xml:space="preserve"> </w:t>
      </w:r>
      <w:proofErr w:type="spellStart"/>
      <w:r w:rsidRPr="00A07F29">
        <w:rPr>
          <w:rFonts w:ascii="Times New Roman" w:eastAsia="Calibri" w:hAnsi="Times New Roman" w:cs="Times New Roman"/>
          <w:b/>
          <w:bCs/>
          <w:i/>
          <w:iCs/>
          <w:sz w:val="24"/>
          <w:szCs w:val="24"/>
        </w:rPr>
        <w:t>Strix</w:t>
      </w:r>
      <w:proofErr w:type="spellEnd"/>
      <w:r w:rsidRPr="00A07F29">
        <w:rPr>
          <w:rFonts w:ascii="Times New Roman" w:eastAsia="Calibri" w:hAnsi="Times New Roman" w:cs="Times New Roman"/>
          <w:b/>
          <w:bCs/>
          <w:i/>
          <w:iCs/>
          <w:sz w:val="24"/>
          <w:szCs w:val="24"/>
        </w:rPr>
        <w:t xml:space="preserve"> </w:t>
      </w:r>
      <w:proofErr w:type="spellStart"/>
      <w:r w:rsidRPr="00A07F29">
        <w:rPr>
          <w:rFonts w:ascii="Times New Roman" w:eastAsia="Calibri" w:hAnsi="Times New Roman" w:cs="Times New Roman"/>
          <w:b/>
          <w:bCs/>
          <w:i/>
          <w:iCs/>
          <w:sz w:val="24"/>
          <w:szCs w:val="24"/>
        </w:rPr>
        <w:t>uralensis</w:t>
      </w:r>
      <w:proofErr w:type="spellEnd"/>
    </w:p>
    <w:p w14:paraId="33C72D42" w14:textId="0C9E45BA"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Populācijas lielums Latvijā: 1825</w:t>
      </w:r>
      <w:r w:rsidR="00345BF6">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345BF6">
        <w:rPr>
          <w:rFonts w:ascii="Times New Roman" w:eastAsia="Calibri" w:hAnsi="Times New Roman" w:cs="Times New Roman"/>
          <w:sz w:val="24"/>
          <w:szCs w:val="24"/>
        </w:rPr>
        <w:t> </w:t>
      </w:r>
      <w:r w:rsidRPr="00A07F29">
        <w:rPr>
          <w:rFonts w:ascii="Times New Roman" w:eastAsia="Calibri" w:hAnsi="Times New Roman" w:cs="Times New Roman"/>
          <w:sz w:val="24"/>
          <w:szCs w:val="24"/>
        </w:rPr>
        <w:t>5381 pāri (</w:t>
      </w:r>
      <w:proofErr w:type="spellStart"/>
      <w:r w:rsidRPr="00A07F29">
        <w:rPr>
          <w:rFonts w:ascii="Times New Roman" w:eastAsia="Calibri" w:hAnsi="Times New Roman" w:cs="Times New Roman"/>
          <w:sz w:val="24"/>
          <w:szCs w:val="24"/>
        </w:rPr>
        <w:t>Birdlife</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International</w:t>
      </w:r>
      <w:proofErr w:type="spellEnd"/>
      <w:r w:rsidR="00392BE6">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2019).</w:t>
      </w:r>
    </w:p>
    <w:p w14:paraId="7B1FF924" w14:textId="508C0B69"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Neskaidrs ir </w:t>
      </w:r>
      <w:proofErr w:type="spellStart"/>
      <w:r w:rsidRPr="00A07F29">
        <w:rPr>
          <w:rFonts w:ascii="Times New Roman" w:eastAsia="Calibri" w:hAnsi="Times New Roman" w:cs="Times New Roman"/>
          <w:sz w:val="24"/>
          <w:szCs w:val="24"/>
        </w:rPr>
        <w:t>urālpūces</w:t>
      </w:r>
      <w:proofErr w:type="spellEnd"/>
      <w:r w:rsidRPr="00A07F29">
        <w:rPr>
          <w:rFonts w:ascii="Times New Roman" w:eastAsia="Calibri" w:hAnsi="Times New Roman" w:cs="Times New Roman"/>
          <w:sz w:val="24"/>
          <w:szCs w:val="24"/>
        </w:rPr>
        <w:t xml:space="preserve"> statuss AAA “Augšdaugava” teritorijā. Suga atzīmēta </w:t>
      </w:r>
      <w:proofErr w:type="spellStart"/>
      <w:r w:rsidRPr="00A07F29">
        <w:rPr>
          <w:rFonts w:ascii="Times New Roman" w:eastAsia="Calibri" w:hAnsi="Times New Roman" w:cs="Times New Roman"/>
          <w:i/>
          <w:iCs/>
          <w:sz w:val="24"/>
          <w:szCs w:val="24"/>
        </w:rPr>
        <w:t>Natura</w:t>
      </w:r>
      <w:proofErr w:type="spellEnd"/>
      <w:r w:rsidRPr="00A07F29">
        <w:rPr>
          <w:rFonts w:ascii="Times New Roman" w:eastAsia="Calibri" w:hAnsi="Times New Roman" w:cs="Times New Roman"/>
          <w:i/>
          <w:iCs/>
          <w:sz w:val="24"/>
          <w:szCs w:val="24"/>
        </w:rPr>
        <w:t xml:space="preserve"> 2000</w:t>
      </w:r>
      <w:r w:rsidRPr="00A07F29">
        <w:rPr>
          <w:rFonts w:ascii="Times New Roman" w:eastAsia="Calibri" w:hAnsi="Times New Roman" w:cs="Times New Roman"/>
          <w:sz w:val="24"/>
          <w:szCs w:val="24"/>
        </w:rPr>
        <w:t xml:space="preserve"> </w:t>
      </w:r>
      <w:r w:rsidR="003263B7">
        <w:rPr>
          <w:rFonts w:ascii="Times New Roman" w:eastAsia="Calibri" w:hAnsi="Times New Roman" w:cs="Times New Roman"/>
          <w:sz w:val="24"/>
          <w:szCs w:val="24"/>
        </w:rPr>
        <w:t>SDF</w:t>
      </w:r>
      <w:r w:rsidRPr="00A07F29">
        <w:rPr>
          <w:rFonts w:ascii="Times New Roman" w:eastAsia="Calibri" w:hAnsi="Times New Roman" w:cs="Times New Roman"/>
          <w:sz w:val="24"/>
          <w:szCs w:val="24"/>
        </w:rPr>
        <w:t>, kā arī putniem nozīmīgo vietu pārskatā (Račinskis</w:t>
      </w:r>
      <w:r w:rsidR="00345BF6">
        <w:rPr>
          <w:rFonts w:ascii="Times New Roman" w:eastAsia="Calibri" w:hAnsi="Times New Roman" w:cs="Times New Roman"/>
          <w:sz w:val="24"/>
          <w:szCs w:val="24"/>
        </w:rPr>
        <w:t xml:space="preserve"> E.,</w:t>
      </w:r>
      <w:r w:rsidRPr="00A07F29">
        <w:rPr>
          <w:rFonts w:ascii="Times New Roman" w:eastAsia="Calibri" w:hAnsi="Times New Roman" w:cs="Times New Roman"/>
          <w:sz w:val="24"/>
          <w:szCs w:val="24"/>
        </w:rPr>
        <w:t xml:space="preserve"> 2004), tomēr vēlāko pētījumu laikā nav zināms neviens konkrēts sugas novērojums izpētes teritorijā. Spriežot pēc piemērotajām mežaudzēm tiek pieņemts, ka teritorijā var ligzdot vairāki </w:t>
      </w:r>
      <w:proofErr w:type="spellStart"/>
      <w:r w:rsidRPr="00A07F29">
        <w:rPr>
          <w:rFonts w:ascii="Times New Roman" w:eastAsia="Calibri" w:hAnsi="Times New Roman" w:cs="Times New Roman"/>
          <w:sz w:val="24"/>
          <w:szCs w:val="24"/>
        </w:rPr>
        <w:t>urālpūču</w:t>
      </w:r>
      <w:proofErr w:type="spellEnd"/>
      <w:r w:rsidRPr="00A07F29">
        <w:rPr>
          <w:rFonts w:ascii="Times New Roman" w:eastAsia="Calibri" w:hAnsi="Times New Roman" w:cs="Times New Roman"/>
          <w:sz w:val="24"/>
          <w:szCs w:val="24"/>
        </w:rPr>
        <w:t xml:space="preserve"> pāri (iepriekšējais skaita vērtējums: 1</w:t>
      </w:r>
      <w:r w:rsidR="00345BF6">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345BF6">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5 ligzdojoši pāri). </w:t>
      </w:r>
    </w:p>
    <w:p w14:paraId="38E1F76B" w14:textId="60CE3788"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Skaita vērtējums teritorijā: 0</w:t>
      </w:r>
      <w:r w:rsidR="00345BF6">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345BF6">
        <w:rPr>
          <w:rFonts w:ascii="Times New Roman" w:eastAsia="Calibri" w:hAnsi="Times New Roman" w:cs="Times New Roman"/>
          <w:sz w:val="24"/>
          <w:szCs w:val="24"/>
        </w:rPr>
        <w:t> </w:t>
      </w:r>
      <w:r w:rsidRPr="00A07F29">
        <w:rPr>
          <w:rFonts w:ascii="Times New Roman" w:eastAsia="Calibri" w:hAnsi="Times New Roman" w:cs="Times New Roman"/>
          <w:sz w:val="24"/>
          <w:szCs w:val="24"/>
        </w:rPr>
        <w:t>1 ligzdojošs pāris.</w:t>
      </w:r>
      <w:r w:rsidR="0013567E" w:rsidRPr="00A07F29">
        <w:rPr>
          <w:rFonts w:ascii="Times New Roman" w:eastAsia="Calibri" w:hAnsi="Times New Roman" w:cs="Times New Roman"/>
          <w:sz w:val="24"/>
          <w:szCs w:val="24"/>
        </w:rPr>
        <w:t xml:space="preserve"> </w:t>
      </w:r>
      <w:r w:rsidRPr="00A07F29">
        <w:rPr>
          <w:rFonts w:ascii="Times New Roman" w:eastAsia="Calibri" w:hAnsi="Times New Roman" w:cs="Times New Roman"/>
          <w:sz w:val="24"/>
          <w:szCs w:val="24"/>
        </w:rPr>
        <w:t xml:space="preserve">Sugai </w:t>
      </w:r>
      <w:proofErr w:type="spellStart"/>
      <w:r w:rsidRPr="00A07F29">
        <w:rPr>
          <w:rFonts w:ascii="Times New Roman" w:eastAsia="Calibri" w:hAnsi="Times New Roman" w:cs="Times New Roman"/>
          <w:i/>
          <w:iCs/>
          <w:sz w:val="24"/>
          <w:szCs w:val="24"/>
        </w:rPr>
        <w:t>Natura</w:t>
      </w:r>
      <w:proofErr w:type="spellEnd"/>
      <w:r w:rsidRPr="00A07F29">
        <w:rPr>
          <w:rFonts w:ascii="Times New Roman" w:eastAsia="Calibri" w:hAnsi="Times New Roman" w:cs="Times New Roman"/>
          <w:i/>
          <w:iCs/>
          <w:sz w:val="24"/>
          <w:szCs w:val="24"/>
        </w:rPr>
        <w:t xml:space="preserve"> 2000</w:t>
      </w:r>
      <w:r w:rsidRPr="00A07F29">
        <w:rPr>
          <w:rFonts w:ascii="Times New Roman" w:eastAsia="Calibri" w:hAnsi="Times New Roman" w:cs="Times New Roman"/>
          <w:sz w:val="24"/>
          <w:szCs w:val="24"/>
        </w:rPr>
        <w:t xml:space="preserve"> </w:t>
      </w:r>
      <w:r w:rsidR="003263B7">
        <w:rPr>
          <w:rFonts w:ascii="Times New Roman" w:eastAsia="Calibri" w:hAnsi="Times New Roman" w:cs="Times New Roman"/>
          <w:sz w:val="24"/>
          <w:szCs w:val="24"/>
        </w:rPr>
        <w:t>SDF</w:t>
      </w:r>
      <w:r w:rsidRPr="00A07F29">
        <w:rPr>
          <w:rFonts w:ascii="Times New Roman" w:eastAsia="Calibri" w:hAnsi="Times New Roman" w:cs="Times New Roman"/>
          <w:sz w:val="24"/>
          <w:szCs w:val="24"/>
        </w:rPr>
        <w:t xml:space="preserve"> precizēts minimālais un maksimālais populācijas lielums.</w:t>
      </w:r>
    </w:p>
    <w:p w14:paraId="4FDDA521" w14:textId="77777777" w:rsidR="009A4BC5" w:rsidRPr="00A07F29" w:rsidRDefault="009A4BC5" w:rsidP="0013567E">
      <w:pPr>
        <w:spacing w:before="240" w:after="120" w:line="240" w:lineRule="auto"/>
        <w:jc w:val="both"/>
        <w:rPr>
          <w:rFonts w:ascii="Times New Roman" w:eastAsia="Calibri" w:hAnsi="Times New Roman" w:cs="Times New Roman"/>
          <w:b/>
          <w:bCs/>
          <w:i/>
          <w:iCs/>
          <w:sz w:val="24"/>
          <w:szCs w:val="24"/>
        </w:rPr>
      </w:pPr>
      <w:r w:rsidRPr="00A07F29">
        <w:rPr>
          <w:rFonts w:ascii="Times New Roman" w:eastAsia="Calibri" w:hAnsi="Times New Roman" w:cs="Times New Roman"/>
          <w:b/>
          <w:bCs/>
          <w:sz w:val="24"/>
          <w:szCs w:val="24"/>
        </w:rPr>
        <w:t xml:space="preserve">Bikšainais apogs </w:t>
      </w:r>
      <w:proofErr w:type="spellStart"/>
      <w:r w:rsidRPr="00A07F29">
        <w:rPr>
          <w:rFonts w:ascii="Times New Roman" w:eastAsia="Calibri" w:hAnsi="Times New Roman" w:cs="Times New Roman"/>
          <w:b/>
          <w:bCs/>
          <w:i/>
          <w:iCs/>
          <w:sz w:val="24"/>
          <w:szCs w:val="24"/>
        </w:rPr>
        <w:t>Aegolius</w:t>
      </w:r>
      <w:proofErr w:type="spellEnd"/>
      <w:r w:rsidRPr="00A07F29">
        <w:rPr>
          <w:rFonts w:ascii="Times New Roman" w:eastAsia="Calibri" w:hAnsi="Times New Roman" w:cs="Times New Roman"/>
          <w:b/>
          <w:bCs/>
          <w:i/>
          <w:iCs/>
          <w:sz w:val="24"/>
          <w:szCs w:val="24"/>
        </w:rPr>
        <w:t xml:space="preserve"> </w:t>
      </w:r>
      <w:proofErr w:type="spellStart"/>
      <w:r w:rsidRPr="00A07F29">
        <w:rPr>
          <w:rFonts w:ascii="Times New Roman" w:eastAsia="Calibri" w:hAnsi="Times New Roman" w:cs="Times New Roman"/>
          <w:b/>
          <w:bCs/>
          <w:i/>
          <w:iCs/>
          <w:sz w:val="24"/>
          <w:szCs w:val="24"/>
        </w:rPr>
        <w:t>funereus</w:t>
      </w:r>
      <w:proofErr w:type="spellEnd"/>
    </w:p>
    <w:p w14:paraId="0514B3FD" w14:textId="2EE5B761"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Populācijas lielums Latvijā: 1088</w:t>
      </w:r>
      <w:r w:rsidR="00345BF6">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345BF6">
        <w:rPr>
          <w:rFonts w:ascii="Times New Roman" w:eastAsia="Calibri" w:hAnsi="Times New Roman" w:cs="Times New Roman"/>
          <w:sz w:val="24"/>
          <w:szCs w:val="24"/>
        </w:rPr>
        <w:t> </w:t>
      </w:r>
      <w:r w:rsidRPr="00A07F29">
        <w:rPr>
          <w:rFonts w:ascii="Times New Roman" w:eastAsia="Calibri" w:hAnsi="Times New Roman" w:cs="Times New Roman"/>
          <w:sz w:val="24"/>
          <w:szCs w:val="24"/>
        </w:rPr>
        <w:t>3651 pāri (</w:t>
      </w:r>
      <w:proofErr w:type="spellStart"/>
      <w:r w:rsidRPr="00A07F29">
        <w:rPr>
          <w:rFonts w:ascii="Times New Roman" w:eastAsia="Calibri" w:hAnsi="Times New Roman" w:cs="Times New Roman"/>
          <w:sz w:val="24"/>
          <w:szCs w:val="24"/>
        </w:rPr>
        <w:t>Birdlife</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International</w:t>
      </w:r>
      <w:proofErr w:type="spellEnd"/>
      <w:r w:rsidR="00392BE6">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2019).</w:t>
      </w:r>
    </w:p>
    <w:p w14:paraId="0649B1F4" w14:textId="126C2C1F" w:rsidR="009A4BC5" w:rsidRPr="00A07F29" w:rsidRDefault="0013567E"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AAA “Augšdaugava”</w:t>
      </w:r>
      <w:r w:rsidR="009A4BC5" w:rsidRPr="00A07F29">
        <w:rPr>
          <w:rFonts w:ascii="Times New Roman" w:eastAsia="Calibri" w:hAnsi="Times New Roman" w:cs="Times New Roman"/>
          <w:sz w:val="24"/>
          <w:szCs w:val="24"/>
        </w:rPr>
        <w:t xml:space="preserve"> zināms viens novērošanas gadījums, kad 2008.</w:t>
      </w:r>
      <w:r w:rsidR="00345BF6">
        <w:rPr>
          <w:rFonts w:ascii="Times New Roman" w:eastAsia="Calibri" w:hAnsi="Times New Roman" w:cs="Times New Roman"/>
          <w:sz w:val="24"/>
          <w:szCs w:val="24"/>
        </w:rPr>
        <w:t> gada 1. maijā</w:t>
      </w:r>
      <w:r w:rsidR="009A4BC5" w:rsidRPr="00A07F29">
        <w:rPr>
          <w:rFonts w:ascii="Times New Roman" w:eastAsia="Calibri" w:hAnsi="Times New Roman" w:cs="Times New Roman"/>
          <w:sz w:val="24"/>
          <w:szCs w:val="24"/>
        </w:rPr>
        <w:t xml:space="preserve"> konstatēts vokalizējošs tēviņš Tartaka ezera rietumu krastā (I. Krams), kas varēja būt arī vēlu </w:t>
      </w:r>
      <w:r w:rsidR="009A4BC5" w:rsidRPr="00A07F29">
        <w:rPr>
          <w:rFonts w:ascii="Times New Roman" w:eastAsia="Calibri" w:hAnsi="Times New Roman" w:cs="Times New Roman"/>
          <w:sz w:val="24"/>
          <w:szCs w:val="24"/>
        </w:rPr>
        <w:lastRenderedPageBreak/>
        <w:t>migrējošs īpatnis. Mērķtiecīgu šīs sugas uzskaišu laikā 2014., 2019. un 2020.</w:t>
      </w:r>
      <w:r w:rsidR="00E6677F">
        <w:rPr>
          <w:rFonts w:ascii="Times New Roman" w:eastAsia="Calibri" w:hAnsi="Times New Roman" w:cs="Times New Roman"/>
          <w:sz w:val="24"/>
          <w:szCs w:val="24"/>
        </w:rPr>
        <w:t> </w:t>
      </w:r>
      <w:r w:rsidR="009A4BC5" w:rsidRPr="00A07F29">
        <w:rPr>
          <w:rFonts w:ascii="Times New Roman" w:eastAsia="Calibri" w:hAnsi="Times New Roman" w:cs="Times New Roman"/>
          <w:sz w:val="24"/>
          <w:szCs w:val="24"/>
        </w:rPr>
        <w:t>gada pavasaros izpētes teritorijā neviens bikšainais apogs netika konstatēts, tomēr teritorijā esošie biotopi uzskatāmi kā piemēroti šīs sugas ligzdošanai.</w:t>
      </w:r>
    </w:p>
    <w:p w14:paraId="30A993D1" w14:textId="710581D2"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Skaita vērtējums teritorijā: 0</w:t>
      </w:r>
      <w:r w:rsidR="00E6677F">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E6677F">
        <w:rPr>
          <w:rFonts w:ascii="Times New Roman" w:eastAsia="Calibri" w:hAnsi="Times New Roman" w:cs="Times New Roman"/>
          <w:sz w:val="24"/>
          <w:szCs w:val="24"/>
        </w:rPr>
        <w:t> </w:t>
      </w:r>
      <w:r w:rsidRPr="00A07F29">
        <w:rPr>
          <w:rFonts w:ascii="Times New Roman" w:eastAsia="Calibri" w:hAnsi="Times New Roman" w:cs="Times New Roman"/>
          <w:sz w:val="24"/>
          <w:szCs w:val="24"/>
        </w:rPr>
        <w:t>1 ligzdojošs pāris.</w:t>
      </w:r>
      <w:r w:rsidR="0013567E" w:rsidRPr="00A07F29">
        <w:rPr>
          <w:rFonts w:ascii="Times New Roman" w:eastAsia="Calibri" w:hAnsi="Times New Roman" w:cs="Times New Roman"/>
          <w:sz w:val="24"/>
          <w:szCs w:val="24"/>
        </w:rPr>
        <w:t xml:space="preserve"> </w:t>
      </w:r>
      <w:r w:rsidRPr="00A07F29">
        <w:rPr>
          <w:rFonts w:ascii="Times New Roman" w:eastAsia="Calibri" w:hAnsi="Times New Roman" w:cs="Times New Roman"/>
          <w:sz w:val="24"/>
          <w:szCs w:val="24"/>
        </w:rPr>
        <w:t xml:space="preserve">Sugai </w:t>
      </w:r>
      <w:proofErr w:type="spellStart"/>
      <w:r w:rsidRPr="00A07F29">
        <w:rPr>
          <w:rFonts w:ascii="Times New Roman" w:eastAsia="Calibri" w:hAnsi="Times New Roman" w:cs="Times New Roman"/>
          <w:i/>
          <w:iCs/>
          <w:sz w:val="24"/>
          <w:szCs w:val="24"/>
        </w:rPr>
        <w:t>Natura</w:t>
      </w:r>
      <w:proofErr w:type="spellEnd"/>
      <w:r w:rsidRPr="00A07F29">
        <w:rPr>
          <w:rFonts w:ascii="Times New Roman" w:eastAsia="Calibri" w:hAnsi="Times New Roman" w:cs="Times New Roman"/>
          <w:i/>
          <w:iCs/>
          <w:sz w:val="24"/>
          <w:szCs w:val="24"/>
        </w:rPr>
        <w:t xml:space="preserve"> 2000</w:t>
      </w:r>
      <w:r w:rsidRPr="00A07F29">
        <w:rPr>
          <w:rFonts w:ascii="Times New Roman" w:eastAsia="Calibri" w:hAnsi="Times New Roman" w:cs="Times New Roman"/>
          <w:sz w:val="24"/>
          <w:szCs w:val="24"/>
        </w:rPr>
        <w:t xml:space="preserve"> </w:t>
      </w:r>
      <w:r w:rsidR="003263B7">
        <w:rPr>
          <w:rFonts w:ascii="Times New Roman" w:eastAsia="Calibri" w:hAnsi="Times New Roman" w:cs="Times New Roman"/>
          <w:sz w:val="24"/>
          <w:szCs w:val="24"/>
        </w:rPr>
        <w:t>SDF</w:t>
      </w:r>
      <w:r w:rsidRPr="00A07F29">
        <w:rPr>
          <w:rFonts w:ascii="Times New Roman" w:eastAsia="Calibri" w:hAnsi="Times New Roman" w:cs="Times New Roman"/>
          <w:sz w:val="24"/>
          <w:szCs w:val="24"/>
        </w:rPr>
        <w:t xml:space="preserve"> precizēts minimālais un maksimālais populācijas lielums.</w:t>
      </w:r>
    </w:p>
    <w:p w14:paraId="74987E3B" w14:textId="77777777" w:rsidR="009A4BC5" w:rsidRPr="00A07F29" w:rsidRDefault="009A4BC5" w:rsidP="0013567E">
      <w:pPr>
        <w:keepNext/>
        <w:spacing w:before="240" w:after="120" w:line="240" w:lineRule="auto"/>
        <w:jc w:val="both"/>
        <w:rPr>
          <w:rFonts w:ascii="Times New Roman" w:eastAsia="Calibri" w:hAnsi="Times New Roman" w:cs="Times New Roman"/>
          <w:b/>
          <w:bCs/>
          <w:i/>
          <w:iCs/>
          <w:sz w:val="24"/>
          <w:szCs w:val="24"/>
        </w:rPr>
      </w:pPr>
      <w:r w:rsidRPr="00A07F29">
        <w:rPr>
          <w:rFonts w:ascii="Times New Roman" w:eastAsia="Calibri" w:hAnsi="Times New Roman" w:cs="Times New Roman"/>
          <w:b/>
          <w:bCs/>
          <w:sz w:val="24"/>
          <w:szCs w:val="24"/>
        </w:rPr>
        <w:t xml:space="preserve">Vakarlēpis </w:t>
      </w:r>
      <w:proofErr w:type="spellStart"/>
      <w:r w:rsidRPr="00A07F29">
        <w:rPr>
          <w:rFonts w:ascii="Times New Roman" w:eastAsia="Calibri" w:hAnsi="Times New Roman" w:cs="Times New Roman"/>
          <w:b/>
          <w:bCs/>
          <w:i/>
          <w:iCs/>
          <w:sz w:val="24"/>
          <w:szCs w:val="24"/>
        </w:rPr>
        <w:t>Caprimulgus</w:t>
      </w:r>
      <w:proofErr w:type="spellEnd"/>
      <w:r w:rsidRPr="00A07F29">
        <w:rPr>
          <w:rFonts w:ascii="Times New Roman" w:eastAsia="Calibri" w:hAnsi="Times New Roman" w:cs="Times New Roman"/>
          <w:b/>
          <w:bCs/>
          <w:i/>
          <w:iCs/>
          <w:sz w:val="24"/>
          <w:szCs w:val="24"/>
        </w:rPr>
        <w:t xml:space="preserve"> </w:t>
      </w:r>
      <w:proofErr w:type="spellStart"/>
      <w:r w:rsidRPr="00A07F29">
        <w:rPr>
          <w:rFonts w:ascii="Times New Roman" w:eastAsia="Calibri" w:hAnsi="Times New Roman" w:cs="Times New Roman"/>
          <w:b/>
          <w:bCs/>
          <w:i/>
          <w:iCs/>
          <w:sz w:val="24"/>
          <w:szCs w:val="24"/>
        </w:rPr>
        <w:t>europaeus</w:t>
      </w:r>
      <w:proofErr w:type="spellEnd"/>
    </w:p>
    <w:p w14:paraId="52D926B9" w14:textId="24691DD9"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Populācijas lielums Latvijā: 16500</w:t>
      </w:r>
      <w:r w:rsidR="00E6677F">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E6677F">
        <w:rPr>
          <w:rFonts w:ascii="Times New Roman" w:eastAsia="Calibri" w:hAnsi="Times New Roman" w:cs="Times New Roman"/>
          <w:sz w:val="24"/>
          <w:szCs w:val="24"/>
        </w:rPr>
        <w:t> </w:t>
      </w:r>
      <w:r w:rsidRPr="00A07F29">
        <w:rPr>
          <w:rFonts w:ascii="Times New Roman" w:eastAsia="Calibri" w:hAnsi="Times New Roman" w:cs="Times New Roman"/>
          <w:sz w:val="24"/>
          <w:szCs w:val="24"/>
        </w:rPr>
        <w:t>31000 pāri (</w:t>
      </w:r>
      <w:proofErr w:type="spellStart"/>
      <w:r w:rsidRPr="00A07F29">
        <w:rPr>
          <w:rFonts w:ascii="Times New Roman" w:eastAsia="Calibri" w:hAnsi="Times New Roman" w:cs="Times New Roman"/>
          <w:sz w:val="24"/>
          <w:szCs w:val="24"/>
        </w:rPr>
        <w:t>Birdlife</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International</w:t>
      </w:r>
      <w:proofErr w:type="spellEnd"/>
      <w:r w:rsidR="00392BE6">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2019).</w:t>
      </w:r>
      <w:r w:rsidR="0013567E" w:rsidRPr="00A07F29">
        <w:rPr>
          <w:rFonts w:ascii="Times New Roman" w:eastAsia="Calibri" w:hAnsi="Times New Roman" w:cs="Times New Roman"/>
          <w:sz w:val="24"/>
          <w:szCs w:val="24"/>
        </w:rPr>
        <w:t xml:space="preserve"> </w:t>
      </w:r>
      <w:r w:rsidRPr="00A07F29">
        <w:rPr>
          <w:rFonts w:ascii="Times New Roman" w:eastAsia="Calibri" w:hAnsi="Times New Roman" w:cs="Times New Roman"/>
          <w:sz w:val="24"/>
          <w:szCs w:val="24"/>
        </w:rPr>
        <w:t>Ligzdo sausos un skrajos skujkoku mežos, purvainos mežos</w:t>
      </w:r>
      <w:r w:rsidR="00E6677F">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augsto purvu malās, izcirtumos un jaunaudzēs.</w:t>
      </w:r>
    </w:p>
    <w:p w14:paraId="6FAF61DE" w14:textId="6570E824" w:rsidR="009A4BC5" w:rsidRPr="00A07F29" w:rsidRDefault="0013567E"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AAA “Augšdaugava” s</w:t>
      </w:r>
      <w:r w:rsidR="009A4BC5" w:rsidRPr="00A07F29">
        <w:rPr>
          <w:rFonts w:ascii="Times New Roman" w:eastAsia="Calibri" w:hAnsi="Times New Roman" w:cs="Times New Roman"/>
          <w:sz w:val="24"/>
          <w:szCs w:val="24"/>
        </w:rPr>
        <w:t>ausajos skujkoku mežu tipos ar lielu izcirtumu un dažāda vecuma jaunaudžu īpatsvaru konstatēts samērā lielā blīvumā. Kopumā vairākos uzskaišu maršrutos 2019</w:t>
      </w:r>
      <w:r w:rsidRPr="00A07F29">
        <w:rPr>
          <w:rFonts w:ascii="Times New Roman" w:eastAsia="Calibri" w:hAnsi="Times New Roman" w:cs="Times New Roman"/>
          <w:sz w:val="24"/>
          <w:szCs w:val="24"/>
        </w:rPr>
        <w:t>. </w:t>
      </w:r>
      <w:r w:rsidR="009A4BC5" w:rsidRPr="00A07F29">
        <w:rPr>
          <w:rFonts w:ascii="Times New Roman" w:eastAsia="Calibri" w:hAnsi="Times New Roman" w:cs="Times New Roman"/>
          <w:sz w:val="24"/>
          <w:szCs w:val="24"/>
        </w:rPr>
        <w:t>gadā izpētes teritorijā suga konstatēta 70 atradnēs, pārsvarā novēroti vokalizējoši tēviņi.</w:t>
      </w:r>
    </w:p>
    <w:p w14:paraId="6228282B" w14:textId="23CE471A"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Skaita vērtējums teritorijā: 200</w:t>
      </w:r>
      <w:r w:rsidR="00E6677F">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E6677F">
        <w:rPr>
          <w:rFonts w:ascii="Times New Roman" w:eastAsia="Calibri" w:hAnsi="Times New Roman" w:cs="Times New Roman"/>
          <w:sz w:val="24"/>
          <w:szCs w:val="24"/>
        </w:rPr>
        <w:t> </w:t>
      </w:r>
      <w:r w:rsidRPr="00A07F29">
        <w:rPr>
          <w:rFonts w:ascii="Times New Roman" w:eastAsia="Calibri" w:hAnsi="Times New Roman" w:cs="Times New Roman"/>
          <w:sz w:val="24"/>
          <w:szCs w:val="24"/>
        </w:rPr>
        <w:t>350 ligzdojoši pāri.</w:t>
      </w:r>
      <w:r w:rsidR="0013567E"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i/>
          <w:iCs/>
          <w:sz w:val="24"/>
          <w:szCs w:val="24"/>
        </w:rPr>
        <w:t>Natura</w:t>
      </w:r>
      <w:proofErr w:type="spellEnd"/>
      <w:r w:rsidRPr="00A07F29">
        <w:rPr>
          <w:rFonts w:ascii="Times New Roman" w:eastAsia="Calibri" w:hAnsi="Times New Roman" w:cs="Times New Roman"/>
          <w:i/>
          <w:iCs/>
          <w:sz w:val="24"/>
          <w:szCs w:val="24"/>
        </w:rPr>
        <w:t xml:space="preserve"> 2000 </w:t>
      </w:r>
      <w:r w:rsidR="003263B7">
        <w:rPr>
          <w:rFonts w:ascii="Times New Roman" w:eastAsia="Calibri" w:hAnsi="Times New Roman" w:cs="Times New Roman"/>
          <w:sz w:val="24"/>
          <w:szCs w:val="24"/>
        </w:rPr>
        <w:t>SDF</w:t>
      </w:r>
      <w:r w:rsidRPr="00A07F29">
        <w:rPr>
          <w:rFonts w:ascii="Times New Roman" w:eastAsia="Calibri" w:hAnsi="Times New Roman" w:cs="Times New Roman"/>
          <w:sz w:val="24"/>
          <w:szCs w:val="24"/>
        </w:rPr>
        <w:t xml:space="preserve"> nav veiktas izmaiņas salīdzinājumā ar iepriekšējo skaita vērtējumu.</w:t>
      </w:r>
    </w:p>
    <w:p w14:paraId="3999D2F0" w14:textId="77777777" w:rsidR="009A4BC5" w:rsidRPr="00A07F29" w:rsidRDefault="009A4BC5" w:rsidP="0013567E">
      <w:pPr>
        <w:spacing w:before="240" w:after="120" w:line="240" w:lineRule="auto"/>
        <w:jc w:val="both"/>
        <w:rPr>
          <w:rFonts w:ascii="Times New Roman" w:eastAsia="Calibri" w:hAnsi="Times New Roman" w:cs="Times New Roman"/>
          <w:b/>
          <w:bCs/>
          <w:sz w:val="24"/>
          <w:szCs w:val="24"/>
        </w:rPr>
      </w:pPr>
      <w:r w:rsidRPr="00A07F29">
        <w:rPr>
          <w:rFonts w:ascii="Times New Roman" w:eastAsia="Calibri" w:hAnsi="Times New Roman" w:cs="Times New Roman"/>
          <w:b/>
          <w:bCs/>
          <w:sz w:val="24"/>
          <w:szCs w:val="24"/>
        </w:rPr>
        <w:t xml:space="preserve">Zivju dzenītis </w:t>
      </w:r>
      <w:proofErr w:type="spellStart"/>
      <w:r w:rsidRPr="00A07F29">
        <w:rPr>
          <w:rFonts w:ascii="Times New Roman" w:eastAsia="Calibri" w:hAnsi="Times New Roman" w:cs="Times New Roman"/>
          <w:b/>
          <w:bCs/>
          <w:i/>
          <w:sz w:val="24"/>
          <w:szCs w:val="24"/>
        </w:rPr>
        <w:t>Alcedo</w:t>
      </w:r>
      <w:proofErr w:type="spellEnd"/>
      <w:r w:rsidRPr="00A07F29">
        <w:rPr>
          <w:rFonts w:ascii="Times New Roman" w:eastAsia="Calibri" w:hAnsi="Times New Roman" w:cs="Times New Roman"/>
          <w:b/>
          <w:bCs/>
          <w:i/>
          <w:sz w:val="24"/>
          <w:szCs w:val="24"/>
        </w:rPr>
        <w:t xml:space="preserve"> </w:t>
      </w:r>
      <w:proofErr w:type="spellStart"/>
      <w:r w:rsidRPr="00A07F29">
        <w:rPr>
          <w:rFonts w:ascii="Times New Roman" w:eastAsia="Calibri" w:hAnsi="Times New Roman" w:cs="Times New Roman"/>
          <w:b/>
          <w:bCs/>
          <w:i/>
          <w:sz w:val="24"/>
          <w:szCs w:val="24"/>
        </w:rPr>
        <w:t>atthis</w:t>
      </w:r>
      <w:proofErr w:type="spellEnd"/>
    </w:p>
    <w:p w14:paraId="5D3E0871" w14:textId="073C490D"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Populācijas lielums Latvijā: 750</w:t>
      </w:r>
      <w:r w:rsidR="00E6677F">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E6677F">
        <w:rPr>
          <w:rFonts w:ascii="Times New Roman" w:eastAsia="Calibri" w:hAnsi="Times New Roman" w:cs="Times New Roman"/>
          <w:sz w:val="24"/>
          <w:szCs w:val="24"/>
        </w:rPr>
        <w:t> </w:t>
      </w:r>
      <w:r w:rsidRPr="00A07F29">
        <w:rPr>
          <w:rFonts w:ascii="Times New Roman" w:eastAsia="Calibri" w:hAnsi="Times New Roman" w:cs="Times New Roman"/>
          <w:sz w:val="24"/>
          <w:szCs w:val="24"/>
        </w:rPr>
        <w:t>1200 ligzdojošo pāri (</w:t>
      </w:r>
      <w:proofErr w:type="spellStart"/>
      <w:r w:rsidRPr="00A07F29">
        <w:rPr>
          <w:rFonts w:ascii="Times New Roman" w:eastAsia="Calibri" w:hAnsi="Times New Roman" w:cs="Times New Roman"/>
          <w:sz w:val="24"/>
          <w:szCs w:val="24"/>
        </w:rPr>
        <w:t>Birdlife</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International</w:t>
      </w:r>
      <w:proofErr w:type="spellEnd"/>
      <w:r w:rsidR="00392BE6">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2019). Apdzīvo ūdenstilpes, galvenokārt upes, kuru krasti piemēroti ligzdu rakšanai. Skaits svārstīgs, pēc bargām ziemām var ievērojami sarukt un</w:t>
      </w:r>
      <w:r w:rsidR="00E6677F">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tad vairāku gadu periodā atjaunoties (LOB</w:t>
      </w:r>
      <w:r w:rsidR="00392BE6">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1999).</w:t>
      </w:r>
    </w:p>
    <w:p w14:paraId="2FD6CD4A" w14:textId="5004AAA0"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Veicot putnu uzskaites ar laivu visā </w:t>
      </w:r>
      <w:r w:rsidR="0013567E" w:rsidRPr="00A07F29">
        <w:rPr>
          <w:rFonts w:ascii="Times New Roman" w:eastAsia="Calibri" w:hAnsi="Times New Roman" w:cs="Times New Roman"/>
          <w:sz w:val="24"/>
          <w:szCs w:val="24"/>
        </w:rPr>
        <w:t>AAA “Augšdaugava”</w:t>
      </w:r>
      <w:r w:rsidRPr="00A07F29">
        <w:rPr>
          <w:rFonts w:ascii="Times New Roman" w:eastAsia="Calibri" w:hAnsi="Times New Roman" w:cs="Times New Roman"/>
          <w:sz w:val="24"/>
          <w:szCs w:val="24"/>
        </w:rPr>
        <w:t xml:space="preserve"> esošajā Daugavas posmā 2019</w:t>
      </w:r>
      <w:r w:rsidR="0013567E" w:rsidRPr="00A07F29">
        <w:rPr>
          <w:rFonts w:ascii="Times New Roman" w:eastAsia="Calibri" w:hAnsi="Times New Roman" w:cs="Times New Roman"/>
          <w:sz w:val="24"/>
          <w:szCs w:val="24"/>
        </w:rPr>
        <w:t>. </w:t>
      </w:r>
      <w:r w:rsidRPr="00A07F29">
        <w:rPr>
          <w:rFonts w:ascii="Times New Roman" w:eastAsia="Calibri" w:hAnsi="Times New Roman" w:cs="Times New Roman"/>
          <w:sz w:val="24"/>
          <w:szCs w:val="24"/>
        </w:rPr>
        <w:t>gadā, zivju dzenītis nav konstatēts. Šī DA plāna izstrādes ietvaros netika veiktas sugai specifiskas uzskaites</w:t>
      </w:r>
      <w:r w:rsidR="0013567E" w:rsidRPr="00A07F29">
        <w:rPr>
          <w:rFonts w:ascii="Times New Roman" w:eastAsia="Calibri" w:hAnsi="Times New Roman" w:cs="Times New Roman"/>
          <w:sz w:val="24"/>
          <w:szCs w:val="24"/>
        </w:rPr>
        <w:t>. S</w:t>
      </w:r>
      <w:r w:rsidRPr="00A07F29">
        <w:rPr>
          <w:rFonts w:ascii="Times New Roman" w:eastAsia="Calibri" w:hAnsi="Times New Roman" w:cs="Times New Roman"/>
          <w:sz w:val="24"/>
          <w:szCs w:val="24"/>
        </w:rPr>
        <w:t xml:space="preserve">uga ligzdošanas sezonas laikā novērota tikai vienu reizi </w:t>
      </w:r>
      <w:proofErr w:type="spellStart"/>
      <w:r w:rsidRPr="00A07F29">
        <w:rPr>
          <w:rFonts w:ascii="Times New Roman" w:eastAsia="Calibri" w:hAnsi="Times New Roman" w:cs="Times New Roman"/>
          <w:sz w:val="24"/>
          <w:szCs w:val="24"/>
        </w:rPr>
        <w:t>Rudņas</w:t>
      </w:r>
      <w:proofErr w:type="spellEnd"/>
      <w:r w:rsidRPr="00A07F29">
        <w:rPr>
          <w:rFonts w:ascii="Times New Roman" w:eastAsia="Calibri" w:hAnsi="Times New Roman" w:cs="Times New Roman"/>
          <w:sz w:val="24"/>
          <w:szCs w:val="24"/>
        </w:rPr>
        <w:t xml:space="preserve"> upē Lielo Muļķu apkārtnē un 2020.</w:t>
      </w:r>
      <w:r w:rsidR="00E6677F">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gadā ziemojošs īpatnis konstatēts </w:t>
      </w:r>
      <w:proofErr w:type="spellStart"/>
      <w:r w:rsidRPr="00A07F29">
        <w:rPr>
          <w:rFonts w:ascii="Times New Roman" w:eastAsia="Calibri" w:hAnsi="Times New Roman" w:cs="Times New Roman"/>
          <w:sz w:val="24"/>
          <w:szCs w:val="24"/>
        </w:rPr>
        <w:t>Rudņas</w:t>
      </w:r>
      <w:proofErr w:type="spellEnd"/>
      <w:r w:rsidRPr="00A07F29">
        <w:rPr>
          <w:rFonts w:ascii="Times New Roman" w:eastAsia="Calibri" w:hAnsi="Times New Roman" w:cs="Times New Roman"/>
          <w:sz w:val="24"/>
          <w:szCs w:val="24"/>
        </w:rPr>
        <w:t xml:space="preserve"> upē netālu no ietekas Daugavā.</w:t>
      </w:r>
    </w:p>
    <w:p w14:paraId="16588874" w14:textId="4F85BD49"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Skaita vērtējums teritorijā: 5</w:t>
      </w:r>
      <w:r w:rsidR="00E6677F">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E6677F">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10 ligzdojoši pāri. </w:t>
      </w:r>
      <w:proofErr w:type="spellStart"/>
      <w:r w:rsidRPr="00A07F29">
        <w:rPr>
          <w:rFonts w:ascii="Times New Roman" w:eastAsia="Calibri" w:hAnsi="Times New Roman" w:cs="Times New Roman"/>
          <w:i/>
          <w:iCs/>
          <w:sz w:val="24"/>
          <w:szCs w:val="24"/>
        </w:rPr>
        <w:t>Natura</w:t>
      </w:r>
      <w:proofErr w:type="spellEnd"/>
      <w:r w:rsidRPr="00A07F29">
        <w:rPr>
          <w:rFonts w:ascii="Times New Roman" w:eastAsia="Calibri" w:hAnsi="Times New Roman" w:cs="Times New Roman"/>
          <w:i/>
          <w:iCs/>
          <w:sz w:val="24"/>
          <w:szCs w:val="24"/>
        </w:rPr>
        <w:t xml:space="preserve"> 2000 </w:t>
      </w:r>
      <w:r w:rsidR="003263B7">
        <w:rPr>
          <w:rFonts w:ascii="Times New Roman" w:eastAsia="Calibri" w:hAnsi="Times New Roman" w:cs="Times New Roman"/>
          <w:sz w:val="24"/>
          <w:szCs w:val="24"/>
        </w:rPr>
        <w:t>SDF</w:t>
      </w:r>
      <w:r w:rsidRPr="00A07F29">
        <w:rPr>
          <w:rFonts w:ascii="Times New Roman" w:eastAsia="Calibri" w:hAnsi="Times New Roman" w:cs="Times New Roman"/>
          <w:sz w:val="24"/>
          <w:szCs w:val="24"/>
        </w:rPr>
        <w:t xml:space="preserve"> precizēts maksimālais populācijas lielums.</w:t>
      </w:r>
    </w:p>
    <w:p w14:paraId="5D778CE6" w14:textId="77777777" w:rsidR="009A4BC5" w:rsidRPr="00A07F29" w:rsidRDefault="009A4BC5" w:rsidP="0013567E">
      <w:pPr>
        <w:spacing w:before="240" w:after="120" w:line="240" w:lineRule="auto"/>
        <w:jc w:val="both"/>
        <w:rPr>
          <w:rFonts w:ascii="Times New Roman" w:eastAsia="Calibri" w:hAnsi="Times New Roman" w:cs="Times New Roman"/>
          <w:b/>
          <w:bCs/>
          <w:i/>
          <w:iCs/>
          <w:sz w:val="24"/>
          <w:szCs w:val="24"/>
        </w:rPr>
      </w:pPr>
      <w:r w:rsidRPr="00A07F29">
        <w:rPr>
          <w:rFonts w:ascii="Times New Roman" w:eastAsia="Calibri" w:hAnsi="Times New Roman" w:cs="Times New Roman"/>
          <w:b/>
          <w:bCs/>
          <w:sz w:val="24"/>
          <w:szCs w:val="24"/>
        </w:rPr>
        <w:t xml:space="preserve">Pupuķis </w:t>
      </w:r>
      <w:proofErr w:type="spellStart"/>
      <w:r w:rsidRPr="00A07F29">
        <w:rPr>
          <w:rFonts w:ascii="Times New Roman" w:eastAsia="Calibri" w:hAnsi="Times New Roman" w:cs="Times New Roman"/>
          <w:b/>
          <w:bCs/>
          <w:i/>
          <w:iCs/>
          <w:sz w:val="24"/>
          <w:szCs w:val="24"/>
        </w:rPr>
        <w:t>Upupa</w:t>
      </w:r>
      <w:proofErr w:type="spellEnd"/>
      <w:r w:rsidRPr="00A07F29">
        <w:rPr>
          <w:rFonts w:ascii="Times New Roman" w:eastAsia="Calibri" w:hAnsi="Times New Roman" w:cs="Times New Roman"/>
          <w:b/>
          <w:bCs/>
          <w:i/>
          <w:iCs/>
          <w:sz w:val="24"/>
          <w:szCs w:val="24"/>
        </w:rPr>
        <w:t xml:space="preserve"> </w:t>
      </w:r>
      <w:proofErr w:type="spellStart"/>
      <w:r w:rsidRPr="00A07F29">
        <w:rPr>
          <w:rFonts w:ascii="Times New Roman" w:eastAsia="Calibri" w:hAnsi="Times New Roman" w:cs="Times New Roman"/>
          <w:b/>
          <w:bCs/>
          <w:i/>
          <w:iCs/>
          <w:sz w:val="24"/>
          <w:szCs w:val="24"/>
        </w:rPr>
        <w:t>epops</w:t>
      </w:r>
      <w:proofErr w:type="spellEnd"/>
    </w:p>
    <w:p w14:paraId="1F6235A0" w14:textId="2ECB3D08"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Populācijas lielums Latvijā: 250</w:t>
      </w:r>
      <w:r w:rsidR="00E6677F">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E6677F">
        <w:rPr>
          <w:rFonts w:ascii="Times New Roman" w:eastAsia="Calibri" w:hAnsi="Times New Roman" w:cs="Times New Roman"/>
          <w:sz w:val="24"/>
          <w:szCs w:val="24"/>
        </w:rPr>
        <w:t> </w:t>
      </w:r>
      <w:r w:rsidRPr="00A07F29">
        <w:rPr>
          <w:rFonts w:ascii="Times New Roman" w:eastAsia="Calibri" w:hAnsi="Times New Roman" w:cs="Times New Roman"/>
          <w:sz w:val="24"/>
          <w:szCs w:val="24"/>
        </w:rPr>
        <w:t>450 pāri (</w:t>
      </w:r>
      <w:proofErr w:type="spellStart"/>
      <w:r w:rsidRPr="00A07F29">
        <w:rPr>
          <w:rFonts w:ascii="Times New Roman" w:eastAsia="Calibri" w:hAnsi="Times New Roman" w:cs="Times New Roman"/>
          <w:sz w:val="24"/>
          <w:szCs w:val="24"/>
        </w:rPr>
        <w:t>Birdlife</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International</w:t>
      </w:r>
      <w:proofErr w:type="spellEnd"/>
      <w:r w:rsidR="00392BE6">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2019).</w:t>
      </w:r>
      <w:r w:rsidR="0013567E" w:rsidRPr="00A07F29">
        <w:rPr>
          <w:rFonts w:ascii="Times New Roman" w:eastAsia="Calibri" w:hAnsi="Times New Roman" w:cs="Times New Roman"/>
          <w:sz w:val="24"/>
          <w:szCs w:val="24"/>
        </w:rPr>
        <w:t xml:space="preserve"> </w:t>
      </w:r>
      <w:r w:rsidRPr="00A07F29">
        <w:rPr>
          <w:rFonts w:ascii="Times New Roman" w:eastAsia="Calibri" w:hAnsi="Times New Roman" w:cs="Times New Roman"/>
          <w:sz w:val="24"/>
          <w:szCs w:val="24"/>
        </w:rPr>
        <w:t xml:space="preserve">Suga Latvijā samērā reti izplatīta. Lielākā blīvumā ligzdo piekrastes apkārtnē un Pierīgā. Suga atrodas uz tās izplatības areāla Z robežas. </w:t>
      </w:r>
    </w:p>
    <w:p w14:paraId="1D580DF8" w14:textId="7D06BA9D"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Skaita vērtējums </w:t>
      </w:r>
      <w:r w:rsidR="0013567E" w:rsidRPr="00A07F29">
        <w:rPr>
          <w:rFonts w:ascii="Times New Roman" w:eastAsia="Calibri" w:hAnsi="Times New Roman" w:cs="Times New Roman"/>
          <w:sz w:val="24"/>
          <w:szCs w:val="24"/>
        </w:rPr>
        <w:t xml:space="preserve">AAA “Augšdaugava” </w:t>
      </w:r>
      <w:r w:rsidRPr="00A07F29">
        <w:rPr>
          <w:rFonts w:ascii="Times New Roman" w:eastAsia="Calibri" w:hAnsi="Times New Roman" w:cs="Times New Roman"/>
          <w:sz w:val="24"/>
          <w:szCs w:val="24"/>
        </w:rPr>
        <w:t>teritorijā: 10</w:t>
      </w:r>
      <w:r w:rsidR="00E6677F">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E6677F">
        <w:rPr>
          <w:rFonts w:ascii="Times New Roman" w:eastAsia="Calibri" w:hAnsi="Times New Roman" w:cs="Times New Roman"/>
          <w:sz w:val="24"/>
          <w:szCs w:val="24"/>
        </w:rPr>
        <w:t> </w:t>
      </w:r>
      <w:r w:rsidRPr="00A07F29">
        <w:rPr>
          <w:rFonts w:ascii="Times New Roman" w:eastAsia="Calibri" w:hAnsi="Times New Roman" w:cs="Times New Roman"/>
          <w:sz w:val="24"/>
          <w:szCs w:val="24"/>
        </w:rPr>
        <w:t>15 ligzdojoši pāri, kas veido 3</w:t>
      </w:r>
      <w:r w:rsidR="00E6677F">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E6677F">
        <w:rPr>
          <w:rFonts w:ascii="Times New Roman" w:eastAsia="Calibri" w:hAnsi="Times New Roman" w:cs="Times New Roman"/>
          <w:sz w:val="24"/>
          <w:szCs w:val="24"/>
        </w:rPr>
        <w:t> </w:t>
      </w:r>
      <w:r w:rsidRPr="00A07F29">
        <w:rPr>
          <w:rFonts w:ascii="Times New Roman" w:eastAsia="Calibri" w:hAnsi="Times New Roman" w:cs="Times New Roman"/>
          <w:sz w:val="24"/>
          <w:szCs w:val="24"/>
        </w:rPr>
        <w:t>4</w:t>
      </w:r>
      <w:r w:rsidR="00E6677F">
        <w:rPr>
          <w:rFonts w:ascii="Times New Roman" w:eastAsia="Calibri" w:hAnsi="Times New Roman" w:cs="Times New Roman"/>
          <w:sz w:val="24"/>
          <w:szCs w:val="24"/>
        </w:rPr>
        <w:t> </w:t>
      </w:r>
      <w:r w:rsidRPr="00A07F29">
        <w:rPr>
          <w:rFonts w:ascii="Times New Roman" w:eastAsia="Calibri" w:hAnsi="Times New Roman" w:cs="Times New Roman"/>
          <w:sz w:val="24"/>
          <w:szCs w:val="24"/>
        </w:rPr>
        <w:t>% no Latvijas populācijas.</w:t>
      </w:r>
      <w:r w:rsidR="0013567E" w:rsidRPr="00A07F29">
        <w:rPr>
          <w:rFonts w:ascii="Times New Roman" w:eastAsia="Calibri" w:hAnsi="Times New Roman" w:cs="Times New Roman"/>
          <w:sz w:val="24"/>
          <w:szCs w:val="24"/>
        </w:rPr>
        <w:t xml:space="preserve"> </w:t>
      </w:r>
      <w:r w:rsidRPr="00A07F29">
        <w:rPr>
          <w:rFonts w:ascii="Times New Roman" w:eastAsia="Calibri" w:hAnsi="Times New Roman" w:cs="Times New Roman"/>
          <w:sz w:val="24"/>
          <w:szCs w:val="24"/>
        </w:rPr>
        <w:t xml:space="preserve">Suga iekļauta </w:t>
      </w:r>
      <w:proofErr w:type="spellStart"/>
      <w:r w:rsidRPr="00A07F29">
        <w:rPr>
          <w:rFonts w:ascii="Times New Roman" w:eastAsia="Calibri" w:hAnsi="Times New Roman" w:cs="Times New Roman"/>
          <w:i/>
          <w:iCs/>
          <w:sz w:val="24"/>
          <w:szCs w:val="24"/>
        </w:rPr>
        <w:t>Natura</w:t>
      </w:r>
      <w:proofErr w:type="spellEnd"/>
      <w:r w:rsidRPr="00A07F29">
        <w:rPr>
          <w:rFonts w:ascii="Times New Roman" w:eastAsia="Calibri" w:hAnsi="Times New Roman" w:cs="Times New Roman"/>
          <w:i/>
          <w:iCs/>
          <w:sz w:val="24"/>
          <w:szCs w:val="24"/>
        </w:rPr>
        <w:t xml:space="preserve"> 2000</w:t>
      </w:r>
      <w:r w:rsidRPr="00A07F29">
        <w:rPr>
          <w:rFonts w:ascii="Times New Roman" w:eastAsia="Calibri" w:hAnsi="Times New Roman" w:cs="Times New Roman"/>
          <w:sz w:val="24"/>
          <w:szCs w:val="24"/>
        </w:rPr>
        <w:t xml:space="preserve"> </w:t>
      </w:r>
      <w:r w:rsidR="003263B7">
        <w:rPr>
          <w:rFonts w:ascii="Times New Roman" w:eastAsia="Calibri" w:hAnsi="Times New Roman" w:cs="Times New Roman"/>
          <w:sz w:val="24"/>
          <w:szCs w:val="24"/>
        </w:rPr>
        <w:t>SDF</w:t>
      </w:r>
      <w:r w:rsidRPr="00A07F29">
        <w:rPr>
          <w:rFonts w:ascii="Times New Roman" w:eastAsia="Calibri" w:hAnsi="Times New Roman" w:cs="Times New Roman"/>
          <w:sz w:val="24"/>
          <w:szCs w:val="24"/>
        </w:rPr>
        <w:t>.</w:t>
      </w:r>
    </w:p>
    <w:p w14:paraId="561C9931" w14:textId="77777777" w:rsidR="009A4BC5" w:rsidRPr="00A07F29" w:rsidRDefault="009A4BC5" w:rsidP="00A467AC">
      <w:pPr>
        <w:keepNext/>
        <w:spacing w:before="240" w:after="120" w:line="240" w:lineRule="auto"/>
        <w:jc w:val="both"/>
        <w:rPr>
          <w:rFonts w:ascii="Times New Roman" w:eastAsia="Calibri" w:hAnsi="Times New Roman" w:cs="Times New Roman"/>
          <w:b/>
          <w:bCs/>
          <w:i/>
          <w:iCs/>
          <w:sz w:val="24"/>
          <w:szCs w:val="24"/>
        </w:rPr>
      </w:pPr>
      <w:r w:rsidRPr="00A07F29">
        <w:rPr>
          <w:rFonts w:ascii="Times New Roman" w:eastAsia="Calibri" w:hAnsi="Times New Roman" w:cs="Times New Roman"/>
          <w:b/>
          <w:bCs/>
          <w:sz w:val="24"/>
          <w:szCs w:val="24"/>
        </w:rPr>
        <w:t xml:space="preserve">Vidējais dzenis </w:t>
      </w:r>
      <w:proofErr w:type="spellStart"/>
      <w:r w:rsidRPr="00A07F29">
        <w:rPr>
          <w:rFonts w:ascii="Times New Roman" w:eastAsia="Calibri" w:hAnsi="Times New Roman" w:cs="Times New Roman"/>
          <w:b/>
          <w:bCs/>
          <w:i/>
          <w:iCs/>
          <w:sz w:val="24"/>
          <w:szCs w:val="24"/>
        </w:rPr>
        <w:t>Leiopicus</w:t>
      </w:r>
      <w:proofErr w:type="spellEnd"/>
      <w:r w:rsidRPr="00A07F29">
        <w:rPr>
          <w:rFonts w:ascii="Times New Roman" w:eastAsia="Calibri" w:hAnsi="Times New Roman" w:cs="Times New Roman"/>
          <w:b/>
          <w:bCs/>
          <w:i/>
          <w:iCs/>
          <w:sz w:val="24"/>
          <w:szCs w:val="24"/>
        </w:rPr>
        <w:t xml:space="preserve"> </w:t>
      </w:r>
      <w:proofErr w:type="spellStart"/>
      <w:r w:rsidRPr="00A07F29">
        <w:rPr>
          <w:rFonts w:ascii="Times New Roman" w:eastAsia="Calibri" w:hAnsi="Times New Roman" w:cs="Times New Roman"/>
          <w:b/>
          <w:bCs/>
          <w:i/>
          <w:iCs/>
          <w:sz w:val="24"/>
          <w:szCs w:val="24"/>
        </w:rPr>
        <w:t>medius</w:t>
      </w:r>
      <w:proofErr w:type="spellEnd"/>
    </w:p>
    <w:p w14:paraId="51FF09AE" w14:textId="675F0DD4" w:rsidR="009A4BC5" w:rsidRPr="00A07F29" w:rsidRDefault="009A4BC5" w:rsidP="009A4BC5">
      <w:pPr>
        <w:spacing w:after="120" w:line="240" w:lineRule="auto"/>
        <w:ind w:firstLine="851"/>
        <w:jc w:val="both"/>
        <w:rPr>
          <w:rFonts w:ascii="Times New Roman" w:eastAsia="Calibri" w:hAnsi="Times New Roman" w:cs="Times New Roman"/>
          <w:bCs/>
          <w:sz w:val="24"/>
          <w:szCs w:val="24"/>
        </w:rPr>
      </w:pPr>
      <w:r w:rsidRPr="00A07F29">
        <w:rPr>
          <w:rFonts w:ascii="Times New Roman" w:eastAsia="Calibri" w:hAnsi="Times New Roman" w:cs="Times New Roman"/>
          <w:sz w:val="24"/>
          <w:szCs w:val="24"/>
        </w:rPr>
        <w:t>Populācijas lielums Latvijā: 5000</w:t>
      </w:r>
      <w:r w:rsidR="00E6677F">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E6677F">
        <w:rPr>
          <w:rFonts w:ascii="Times New Roman" w:eastAsia="Calibri" w:hAnsi="Times New Roman" w:cs="Times New Roman"/>
          <w:sz w:val="24"/>
          <w:szCs w:val="24"/>
        </w:rPr>
        <w:t> </w:t>
      </w:r>
      <w:r w:rsidRPr="00A07F29">
        <w:rPr>
          <w:rFonts w:ascii="Times New Roman" w:eastAsia="Calibri" w:hAnsi="Times New Roman" w:cs="Times New Roman"/>
          <w:sz w:val="24"/>
          <w:szCs w:val="24"/>
        </w:rPr>
        <w:t>10000 pāri (</w:t>
      </w:r>
      <w:proofErr w:type="spellStart"/>
      <w:r w:rsidRPr="00A07F29">
        <w:rPr>
          <w:rFonts w:ascii="Times New Roman" w:eastAsia="Calibri" w:hAnsi="Times New Roman" w:cs="Times New Roman"/>
          <w:sz w:val="24"/>
          <w:szCs w:val="24"/>
        </w:rPr>
        <w:t>Birdlife</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International</w:t>
      </w:r>
      <w:proofErr w:type="spellEnd"/>
      <w:r w:rsidR="00392BE6">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2019).</w:t>
      </w:r>
      <w:r w:rsidR="0013567E" w:rsidRPr="00A07F29">
        <w:rPr>
          <w:rFonts w:ascii="Times New Roman" w:eastAsia="Calibri" w:hAnsi="Times New Roman" w:cs="Times New Roman"/>
          <w:sz w:val="24"/>
          <w:szCs w:val="24"/>
        </w:rPr>
        <w:t xml:space="preserve"> </w:t>
      </w:r>
      <w:r w:rsidRPr="00A07F29">
        <w:rPr>
          <w:rFonts w:ascii="Times New Roman" w:eastAsia="Calibri" w:hAnsi="Times New Roman" w:cs="Times New Roman"/>
          <w:bCs/>
          <w:sz w:val="24"/>
          <w:szCs w:val="24"/>
        </w:rPr>
        <w:t>Vidējais dzenis ir tieši saistīts ar platlapju kokiem (</w:t>
      </w:r>
      <w:proofErr w:type="spellStart"/>
      <w:r w:rsidRPr="00A07F29">
        <w:rPr>
          <w:rFonts w:ascii="Times New Roman" w:eastAsia="Calibri" w:hAnsi="Times New Roman" w:cs="Times New Roman"/>
          <w:bCs/>
          <w:sz w:val="24"/>
          <w:szCs w:val="24"/>
        </w:rPr>
        <w:t>Pasinelli</w:t>
      </w:r>
      <w:proofErr w:type="spellEnd"/>
      <w:r w:rsidR="00E6677F">
        <w:rPr>
          <w:rFonts w:ascii="Times New Roman" w:eastAsia="Calibri" w:hAnsi="Times New Roman" w:cs="Times New Roman"/>
          <w:bCs/>
          <w:sz w:val="24"/>
          <w:szCs w:val="24"/>
        </w:rPr>
        <w:t xml:space="preserve"> G.</w:t>
      </w:r>
      <w:r w:rsidRPr="00A07F29">
        <w:rPr>
          <w:rFonts w:ascii="Times New Roman" w:eastAsia="Calibri" w:hAnsi="Times New Roman" w:cs="Times New Roman"/>
          <w:bCs/>
          <w:sz w:val="24"/>
          <w:szCs w:val="24"/>
        </w:rPr>
        <w:t xml:space="preserve">, </w:t>
      </w:r>
      <w:proofErr w:type="spellStart"/>
      <w:r w:rsidRPr="00A07F29">
        <w:rPr>
          <w:rFonts w:ascii="Times New Roman" w:eastAsia="Calibri" w:hAnsi="Times New Roman" w:cs="Times New Roman"/>
          <w:bCs/>
          <w:sz w:val="24"/>
          <w:szCs w:val="24"/>
        </w:rPr>
        <w:t>Hegelbach</w:t>
      </w:r>
      <w:proofErr w:type="spellEnd"/>
      <w:r w:rsidR="00E6677F">
        <w:rPr>
          <w:rFonts w:ascii="Times New Roman" w:eastAsia="Calibri" w:hAnsi="Times New Roman" w:cs="Times New Roman"/>
          <w:bCs/>
          <w:sz w:val="24"/>
          <w:szCs w:val="24"/>
        </w:rPr>
        <w:t xml:space="preserve"> J.,</w:t>
      </w:r>
      <w:r w:rsidRPr="00A07F29">
        <w:rPr>
          <w:rFonts w:ascii="Times New Roman" w:eastAsia="Calibri" w:hAnsi="Times New Roman" w:cs="Times New Roman"/>
          <w:bCs/>
          <w:sz w:val="24"/>
          <w:szCs w:val="24"/>
        </w:rPr>
        <w:t xml:space="preserve"> 1997) un apšu audzēm. Latvijā suga atrodas tuvu izplatības areāla </w:t>
      </w:r>
      <w:r w:rsidR="0013567E" w:rsidRPr="00A07F29">
        <w:rPr>
          <w:rFonts w:ascii="Times New Roman" w:eastAsia="Calibri" w:hAnsi="Times New Roman" w:cs="Times New Roman"/>
          <w:bCs/>
          <w:sz w:val="24"/>
          <w:szCs w:val="24"/>
        </w:rPr>
        <w:t xml:space="preserve">Z </w:t>
      </w:r>
      <w:r w:rsidRPr="00A07F29">
        <w:rPr>
          <w:rFonts w:ascii="Times New Roman" w:eastAsia="Calibri" w:hAnsi="Times New Roman" w:cs="Times New Roman"/>
          <w:bCs/>
          <w:sz w:val="24"/>
          <w:szCs w:val="24"/>
        </w:rPr>
        <w:t>robežai (</w:t>
      </w:r>
      <w:proofErr w:type="spellStart"/>
      <w:r w:rsidRPr="00A07F29">
        <w:rPr>
          <w:rFonts w:ascii="Times New Roman" w:eastAsia="Calibri" w:hAnsi="Times New Roman" w:cs="Times New Roman"/>
          <w:bCs/>
          <w:sz w:val="24"/>
          <w:szCs w:val="24"/>
        </w:rPr>
        <w:t>BirdLife</w:t>
      </w:r>
      <w:proofErr w:type="spellEnd"/>
      <w:r w:rsidR="00392BE6">
        <w:rPr>
          <w:rFonts w:ascii="Times New Roman" w:eastAsia="Calibri" w:hAnsi="Times New Roman" w:cs="Times New Roman"/>
          <w:bCs/>
          <w:sz w:val="24"/>
          <w:szCs w:val="24"/>
        </w:rPr>
        <w:t>,</w:t>
      </w:r>
      <w:r w:rsidRPr="00A07F29">
        <w:rPr>
          <w:rFonts w:ascii="Times New Roman" w:eastAsia="Calibri" w:hAnsi="Times New Roman" w:cs="Times New Roman"/>
          <w:bCs/>
          <w:sz w:val="24"/>
          <w:szCs w:val="24"/>
        </w:rPr>
        <w:t xml:space="preserve"> 2013) un vidējais dzenis ir uzskatāms par </w:t>
      </w:r>
      <w:proofErr w:type="spellStart"/>
      <w:r w:rsidRPr="00A07F29">
        <w:rPr>
          <w:rFonts w:ascii="Times New Roman" w:eastAsia="Calibri" w:hAnsi="Times New Roman" w:cs="Times New Roman"/>
          <w:bCs/>
          <w:sz w:val="24"/>
          <w:szCs w:val="24"/>
        </w:rPr>
        <w:t>jaunienācēju</w:t>
      </w:r>
      <w:proofErr w:type="spellEnd"/>
      <w:r w:rsidRPr="00A07F29">
        <w:rPr>
          <w:rFonts w:ascii="Times New Roman" w:eastAsia="Calibri" w:hAnsi="Times New Roman" w:cs="Times New Roman"/>
          <w:bCs/>
          <w:sz w:val="24"/>
          <w:szCs w:val="24"/>
        </w:rPr>
        <w:t xml:space="preserve"> Latvijas faunā. Suga pirmo reizi Latvijā konstatēta 1923.</w:t>
      </w:r>
      <w:r w:rsidR="00715C0B">
        <w:rPr>
          <w:rFonts w:ascii="Times New Roman" w:eastAsia="Calibri" w:hAnsi="Times New Roman" w:cs="Times New Roman"/>
          <w:bCs/>
          <w:sz w:val="24"/>
          <w:szCs w:val="24"/>
        </w:rPr>
        <w:t> </w:t>
      </w:r>
      <w:r w:rsidRPr="00A07F29">
        <w:rPr>
          <w:rFonts w:ascii="Times New Roman" w:eastAsia="Calibri" w:hAnsi="Times New Roman" w:cs="Times New Roman"/>
          <w:bCs/>
          <w:sz w:val="24"/>
          <w:szCs w:val="24"/>
        </w:rPr>
        <w:t>gada marta sākumā Pilsblīdenē, otrais pierādītais novērojums bija tikai 1979/80.</w:t>
      </w:r>
      <w:r w:rsidR="00715C0B">
        <w:rPr>
          <w:rFonts w:ascii="Times New Roman" w:eastAsia="Calibri" w:hAnsi="Times New Roman" w:cs="Times New Roman"/>
          <w:bCs/>
          <w:sz w:val="24"/>
          <w:szCs w:val="24"/>
        </w:rPr>
        <w:t> </w:t>
      </w:r>
      <w:r w:rsidRPr="00A07F29">
        <w:rPr>
          <w:rFonts w:ascii="Times New Roman" w:eastAsia="Calibri" w:hAnsi="Times New Roman" w:cs="Times New Roman"/>
          <w:bCs/>
          <w:sz w:val="24"/>
          <w:szCs w:val="24"/>
        </w:rPr>
        <w:t>gadu ziemā (Celmiņš</w:t>
      </w:r>
      <w:r w:rsidR="00392BE6">
        <w:rPr>
          <w:rFonts w:ascii="Times New Roman" w:eastAsia="Calibri" w:hAnsi="Times New Roman" w:cs="Times New Roman"/>
          <w:bCs/>
          <w:sz w:val="24"/>
          <w:szCs w:val="24"/>
        </w:rPr>
        <w:t xml:space="preserve"> A.,</w:t>
      </w:r>
      <w:r w:rsidRPr="00A07F29">
        <w:rPr>
          <w:rFonts w:ascii="Times New Roman" w:eastAsia="Calibri" w:hAnsi="Times New Roman" w:cs="Times New Roman"/>
          <w:bCs/>
          <w:sz w:val="24"/>
          <w:szCs w:val="24"/>
        </w:rPr>
        <w:t xml:space="preserve"> 2020). Šobrīd vidējais dzenis piemērotos biotopos Latvijā uzskatāms par samērā parastu sugu un regulāri ligzdo vecu koku grupās ap viensētām, parkos un alejās</w:t>
      </w:r>
      <w:r w:rsidR="00715C0B">
        <w:rPr>
          <w:rFonts w:ascii="Times New Roman" w:eastAsia="Calibri" w:hAnsi="Times New Roman" w:cs="Times New Roman"/>
          <w:bCs/>
          <w:sz w:val="24"/>
          <w:szCs w:val="24"/>
        </w:rPr>
        <w:t>,</w:t>
      </w:r>
      <w:r w:rsidRPr="00A07F29">
        <w:rPr>
          <w:rFonts w:ascii="Times New Roman" w:eastAsia="Calibri" w:hAnsi="Times New Roman" w:cs="Times New Roman"/>
          <w:bCs/>
          <w:sz w:val="24"/>
          <w:szCs w:val="24"/>
        </w:rPr>
        <w:t xml:space="preserve"> arī urbanizētās vietās. Skaita pieaugums un izplatības areāla paplašināšanās Z virzienā pēdējās desmitgadēs konstatēta visā vidējā dzeņa Eiropas izplatības areāla daļā (</w:t>
      </w:r>
      <w:proofErr w:type="spellStart"/>
      <w:r w:rsidRPr="00A07F29">
        <w:rPr>
          <w:rFonts w:ascii="Times New Roman" w:eastAsia="Calibri" w:hAnsi="Times New Roman" w:cs="Times New Roman"/>
          <w:bCs/>
          <w:sz w:val="24"/>
          <w:szCs w:val="24"/>
        </w:rPr>
        <w:t>Mikusinski</w:t>
      </w:r>
      <w:proofErr w:type="spellEnd"/>
      <w:r w:rsidRPr="00A07F29">
        <w:rPr>
          <w:rFonts w:ascii="Times New Roman" w:eastAsia="Calibri" w:hAnsi="Times New Roman" w:cs="Times New Roman"/>
          <w:bCs/>
          <w:sz w:val="24"/>
          <w:szCs w:val="24"/>
        </w:rPr>
        <w:t xml:space="preserve"> </w:t>
      </w:r>
      <w:r w:rsidR="00392BE6">
        <w:rPr>
          <w:rFonts w:ascii="Times New Roman" w:eastAsia="Calibri" w:hAnsi="Times New Roman" w:cs="Times New Roman"/>
          <w:bCs/>
          <w:sz w:val="24"/>
          <w:szCs w:val="24"/>
        </w:rPr>
        <w:t xml:space="preserve">G., </w:t>
      </w:r>
      <w:proofErr w:type="spellStart"/>
      <w:r w:rsidRPr="00A07F29">
        <w:rPr>
          <w:rFonts w:ascii="Times New Roman" w:eastAsia="Calibri" w:hAnsi="Times New Roman" w:cs="Times New Roman"/>
          <w:bCs/>
          <w:i/>
          <w:sz w:val="24"/>
          <w:szCs w:val="24"/>
        </w:rPr>
        <w:t>et</w:t>
      </w:r>
      <w:proofErr w:type="spellEnd"/>
      <w:r w:rsidRPr="00A07F29">
        <w:rPr>
          <w:rFonts w:ascii="Times New Roman" w:eastAsia="Calibri" w:hAnsi="Times New Roman" w:cs="Times New Roman"/>
          <w:bCs/>
          <w:i/>
          <w:sz w:val="24"/>
          <w:szCs w:val="24"/>
        </w:rPr>
        <w:t xml:space="preserve"> </w:t>
      </w:r>
      <w:proofErr w:type="spellStart"/>
      <w:r w:rsidRPr="00A07F29">
        <w:rPr>
          <w:rFonts w:ascii="Times New Roman" w:eastAsia="Calibri" w:hAnsi="Times New Roman" w:cs="Times New Roman"/>
          <w:bCs/>
          <w:i/>
          <w:sz w:val="24"/>
          <w:szCs w:val="24"/>
        </w:rPr>
        <w:t>al</w:t>
      </w:r>
      <w:proofErr w:type="spellEnd"/>
      <w:r w:rsidRPr="00A07F29">
        <w:rPr>
          <w:rFonts w:ascii="Times New Roman" w:eastAsia="Calibri" w:hAnsi="Times New Roman" w:cs="Times New Roman"/>
          <w:bCs/>
          <w:i/>
          <w:sz w:val="24"/>
          <w:szCs w:val="24"/>
        </w:rPr>
        <w:t>.</w:t>
      </w:r>
      <w:r w:rsidRPr="00A07F29">
        <w:rPr>
          <w:rFonts w:ascii="Times New Roman" w:eastAsia="Calibri" w:hAnsi="Times New Roman" w:cs="Times New Roman"/>
          <w:bCs/>
          <w:sz w:val="24"/>
          <w:szCs w:val="24"/>
        </w:rPr>
        <w:t xml:space="preserve"> 2018).</w:t>
      </w:r>
    </w:p>
    <w:p w14:paraId="4023338D" w14:textId="7A9F360E" w:rsidR="009A4BC5" w:rsidRPr="00A07F29" w:rsidRDefault="0069748E" w:rsidP="009A4BC5">
      <w:pPr>
        <w:spacing w:after="120" w:line="240" w:lineRule="auto"/>
        <w:ind w:firstLine="851"/>
        <w:jc w:val="both"/>
        <w:rPr>
          <w:rFonts w:ascii="Times New Roman" w:eastAsia="Calibri" w:hAnsi="Times New Roman" w:cs="Times New Roman"/>
          <w:bCs/>
          <w:sz w:val="24"/>
          <w:szCs w:val="24"/>
        </w:rPr>
      </w:pPr>
      <w:r w:rsidRPr="00A07F29">
        <w:rPr>
          <w:rFonts w:ascii="Times New Roman" w:eastAsia="Calibri" w:hAnsi="Times New Roman" w:cs="Times New Roman"/>
          <w:sz w:val="24"/>
          <w:szCs w:val="24"/>
        </w:rPr>
        <w:t>AAA “Augšdaugava” v</w:t>
      </w:r>
      <w:r w:rsidR="009A4BC5" w:rsidRPr="00A07F29">
        <w:rPr>
          <w:rFonts w:ascii="Times New Roman" w:eastAsia="Calibri" w:hAnsi="Times New Roman" w:cs="Times New Roman"/>
          <w:sz w:val="24"/>
          <w:szCs w:val="24"/>
        </w:rPr>
        <w:t>idējā dzeņa ligzdošanai nozīmīgi ir gravu un nogāžu meži, kur izplatītas platlapju koku sugas</w:t>
      </w:r>
      <w:r w:rsidR="0013567E" w:rsidRPr="00A07F29">
        <w:rPr>
          <w:rFonts w:ascii="Times New Roman" w:eastAsia="Calibri" w:hAnsi="Times New Roman" w:cs="Times New Roman"/>
          <w:sz w:val="24"/>
          <w:szCs w:val="24"/>
        </w:rPr>
        <w:t>, kā arī</w:t>
      </w:r>
      <w:r w:rsidR="009A4BC5" w:rsidRPr="00A07F29">
        <w:rPr>
          <w:rFonts w:ascii="Times New Roman" w:eastAsia="Calibri" w:hAnsi="Times New Roman" w:cs="Times New Roman"/>
          <w:sz w:val="24"/>
          <w:szCs w:val="24"/>
        </w:rPr>
        <w:t xml:space="preserve"> daļēji </w:t>
      </w:r>
      <w:proofErr w:type="spellStart"/>
      <w:r w:rsidR="009A4BC5" w:rsidRPr="00A07F29">
        <w:rPr>
          <w:rFonts w:ascii="Times New Roman" w:eastAsia="Calibri" w:hAnsi="Times New Roman" w:cs="Times New Roman"/>
          <w:sz w:val="24"/>
          <w:szCs w:val="24"/>
        </w:rPr>
        <w:t>dabiskojušies</w:t>
      </w:r>
      <w:proofErr w:type="spellEnd"/>
      <w:r w:rsidR="009A4BC5" w:rsidRPr="00A07F29">
        <w:rPr>
          <w:rFonts w:ascii="Times New Roman" w:eastAsia="Calibri" w:hAnsi="Times New Roman" w:cs="Times New Roman"/>
          <w:sz w:val="24"/>
          <w:szCs w:val="24"/>
        </w:rPr>
        <w:t xml:space="preserve"> bijušo muižu parki (</w:t>
      </w:r>
      <w:proofErr w:type="spellStart"/>
      <w:r w:rsidR="009A4BC5" w:rsidRPr="00A07F29">
        <w:rPr>
          <w:rFonts w:ascii="Times New Roman" w:eastAsia="Calibri" w:hAnsi="Times New Roman" w:cs="Times New Roman"/>
          <w:sz w:val="24"/>
          <w:szCs w:val="24"/>
        </w:rPr>
        <w:t>Juzefovas</w:t>
      </w:r>
      <w:proofErr w:type="spellEnd"/>
      <w:r w:rsidR="009A4BC5" w:rsidRPr="00A07F29">
        <w:rPr>
          <w:rFonts w:ascii="Times New Roman" w:eastAsia="Calibri" w:hAnsi="Times New Roman" w:cs="Times New Roman"/>
          <w:sz w:val="24"/>
          <w:szCs w:val="24"/>
        </w:rPr>
        <w:t xml:space="preserve">, </w:t>
      </w:r>
      <w:proofErr w:type="spellStart"/>
      <w:r w:rsidR="009A4BC5" w:rsidRPr="00A07F29">
        <w:rPr>
          <w:rFonts w:ascii="Times New Roman" w:eastAsia="Calibri" w:hAnsi="Times New Roman" w:cs="Times New Roman"/>
          <w:sz w:val="24"/>
          <w:szCs w:val="24"/>
        </w:rPr>
        <w:lastRenderedPageBreak/>
        <w:t>Červonkas</w:t>
      </w:r>
      <w:proofErr w:type="spellEnd"/>
      <w:r w:rsidR="009A4BC5" w:rsidRPr="00A07F29">
        <w:rPr>
          <w:rFonts w:ascii="Times New Roman" w:eastAsia="Calibri" w:hAnsi="Times New Roman" w:cs="Times New Roman"/>
          <w:sz w:val="24"/>
          <w:szCs w:val="24"/>
        </w:rPr>
        <w:t xml:space="preserve">, </w:t>
      </w:r>
      <w:proofErr w:type="spellStart"/>
      <w:r w:rsidR="009A4BC5" w:rsidRPr="00A07F29">
        <w:rPr>
          <w:rFonts w:ascii="Times New Roman" w:eastAsia="Calibri" w:hAnsi="Times New Roman" w:cs="Times New Roman"/>
          <w:sz w:val="24"/>
          <w:szCs w:val="24"/>
        </w:rPr>
        <w:t>Hoftenbergas</w:t>
      </w:r>
      <w:proofErr w:type="spellEnd"/>
      <w:r w:rsidR="009A4BC5" w:rsidRPr="00A07F29">
        <w:rPr>
          <w:rFonts w:ascii="Times New Roman" w:eastAsia="Calibri" w:hAnsi="Times New Roman" w:cs="Times New Roman"/>
          <w:sz w:val="24"/>
          <w:szCs w:val="24"/>
        </w:rPr>
        <w:t xml:space="preserve"> u.c.), mozaīkveida ainava ar vecu koku grupām ap viensētām un apdzīvotām vietām. 2019. un 2020.</w:t>
      </w:r>
      <w:r w:rsidR="00715C0B">
        <w:rPr>
          <w:rFonts w:ascii="Times New Roman" w:eastAsia="Calibri" w:hAnsi="Times New Roman" w:cs="Times New Roman"/>
          <w:sz w:val="24"/>
          <w:szCs w:val="24"/>
        </w:rPr>
        <w:t> </w:t>
      </w:r>
      <w:r w:rsidR="009A4BC5" w:rsidRPr="00A07F29">
        <w:rPr>
          <w:rFonts w:ascii="Times New Roman" w:eastAsia="Calibri" w:hAnsi="Times New Roman" w:cs="Times New Roman"/>
          <w:sz w:val="24"/>
          <w:szCs w:val="24"/>
        </w:rPr>
        <w:t>gadā veikto uzskaišu laikā vidējais dzenis konstatēts 32 atradnēs.</w:t>
      </w:r>
    </w:p>
    <w:p w14:paraId="639DB7E4" w14:textId="6626EAD2"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bCs/>
          <w:sz w:val="24"/>
          <w:szCs w:val="24"/>
        </w:rPr>
        <w:t>Skaita vērtējums teritorijā: 40</w:t>
      </w:r>
      <w:r w:rsidR="00715C0B">
        <w:rPr>
          <w:rFonts w:ascii="Times New Roman" w:eastAsia="Calibri" w:hAnsi="Times New Roman" w:cs="Times New Roman"/>
          <w:bCs/>
          <w:sz w:val="24"/>
          <w:szCs w:val="24"/>
        </w:rPr>
        <w:t> </w:t>
      </w:r>
      <w:r w:rsidRPr="00A07F29">
        <w:rPr>
          <w:rFonts w:ascii="Times New Roman" w:eastAsia="Calibri" w:hAnsi="Times New Roman" w:cs="Times New Roman"/>
          <w:bCs/>
          <w:sz w:val="24"/>
          <w:szCs w:val="24"/>
        </w:rPr>
        <w:t>–</w:t>
      </w:r>
      <w:r w:rsidR="00715C0B">
        <w:rPr>
          <w:rFonts w:ascii="Times New Roman" w:eastAsia="Calibri" w:hAnsi="Times New Roman" w:cs="Times New Roman"/>
          <w:bCs/>
          <w:sz w:val="24"/>
          <w:szCs w:val="24"/>
        </w:rPr>
        <w:t> </w:t>
      </w:r>
      <w:r w:rsidRPr="00A07F29">
        <w:rPr>
          <w:rFonts w:ascii="Times New Roman" w:eastAsia="Calibri" w:hAnsi="Times New Roman" w:cs="Times New Roman"/>
          <w:bCs/>
          <w:sz w:val="24"/>
          <w:szCs w:val="24"/>
        </w:rPr>
        <w:t>60 ligzdojoši pāri.</w:t>
      </w:r>
      <w:r w:rsidR="0069748E" w:rsidRPr="00A07F29">
        <w:rPr>
          <w:rFonts w:ascii="Times New Roman" w:eastAsia="Calibri" w:hAnsi="Times New Roman" w:cs="Times New Roman"/>
          <w:bCs/>
          <w:sz w:val="24"/>
          <w:szCs w:val="24"/>
        </w:rPr>
        <w:t xml:space="preserve"> </w:t>
      </w:r>
      <w:r w:rsidRPr="00A07F29">
        <w:rPr>
          <w:rFonts w:ascii="Times New Roman" w:eastAsia="Calibri" w:hAnsi="Times New Roman" w:cs="Times New Roman"/>
          <w:sz w:val="24"/>
          <w:szCs w:val="24"/>
        </w:rPr>
        <w:t xml:space="preserve">Suga iekļauta </w:t>
      </w:r>
      <w:proofErr w:type="spellStart"/>
      <w:r w:rsidRPr="00A07F29">
        <w:rPr>
          <w:rFonts w:ascii="Times New Roman" w:eastAsia="Calibri" w:hAnsi="Times New Roman" w:cs="Times New Roman"/>
          <w:i/>
          <w:iCs/>
          <w:sz w:val="24"/>
          <w:szCs w:val="24"/>
        </w:rPr>
        <w:t>Natura</w:t>
      </w:r>
      <w:proofErr w:type="spellEnd"/>
      <w:r w:rsidRPr="00A07F29">
        <w:rPr>
          <w:rFonts w:ascii="Times New Roman" w:eastAsia="Calibri" w:hAnsi="Times New Roman" w:cs="Times New Roman"/>
          <w:i/>
          <w:iCs/>
          <w:sz w:val="24"/>
          <w:szCs w:val="24"/>
        </w:rPr>
        <w:t xml:space="preserve"> 2000</w:t>
      </w:r>
      <w:r w:rsidRPr="00A07F29">
        <w:rPr>
          <w:rFonts w:ascii="Times New Roman" w:eastAsia="Calibri" w:hAnsi="Times New Roman" w:cs="Times New Roman"/>
          <w:sz w:val="24"/>
          <w:szCs w:val="24"/>
        </w:rPr>
        <w:t xml:space="preserve"> </w:t>
      </w:r>
      <w:r w:rsidR="003263B7">
        <w:rPr>
          <w:rFonts w:ascii="Times New Roman" w:eastAsia="Calibri" w:hAnsi="Times New Roman" w:cs="Times New Roman"/>
          <w:sz w:val="24"/>
          <w:szCs w:val="24"/>
        </w:rPr>
        <w:t>SDF</w:t>
      </w:r>
      <w:r w:rsidRPr="00A07F29">
        <w:rPr>
          <w:rFonts w:ascii="Times New Roman" w:eastAsia="Calibri" w:hAnsi="Times New Roman" w:cs="Times New Roman"/>
          <w:sz w:val="24"/>
          <w:szCs w:val="24"/>
        </w:rPr>
        <w:t>. Domājams, ka kopš pēdējā skaita vērtējuma</w:t>
      </w:r>
      <w:r w:rsidR="00F70F8E">
        <w:rPr>
          <w:rFonts w:ascii="Times New Roman" w:eastAsia="Calibri" w:hAnsi="Times New Roman" w:cs="Times New Roman"/>
          <w:sz w:val="24"/>
          <w:szCs w:val="24"/>
        </w:rPr>
        <w:t xml:space="preserve"> 2014. gadā, kad konstatēti</w:t>
      </w:r>
      <w:r w:rsidRPr="00A07F29">
        <w:rPr>
          <w:rFonts w:ascii="Times New Roman" w:eastAsia="Calibri" w:hAnsi="Times New Roman" w:cs="Times New Roman"/>
          <w:sz w:val="24"/>
          <w:szCs w:val="24"/>
        </w:rPr>
        <w:t xml:space="preserve"> 7</w:t>
      </w:r>
      <w:r w:rsidR="00715C0B">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715C0B">
        <w:rPr>
          <w:rFonts w:ascii="Times New Roman" w:eastAsia="Calibri" w:hAnsi="Times New Roman" w:cs="Times New Roman"/>
          <w:sz w:val="24"/>
          <w:szCs w:val="24"/>
        </w:rPr>
        <w:t> </w:t>
      </w:r>
      <w:r w:rsidRPr="00A07F29">
        <w:rPr>
          <w:rFonts w:ascii="Times New Roman" w:eastAsia="Calibri" w:hAnsi="Times New Roman" w:cs="Times New Roman"/>
          <w:sz w:val="24"/>
          <w:szCs w:val="24"/>
        </w:rPr>
        <w:t>12 ligzdojoši pāri, sugas populācija izpētes teritorijā ir pieaugusi.</w:t>
      </w:r>
    </w:p>
    <w:p w14:paraId="34A4A1E9" w14:textId="77777777" w:rsidR="009A4BC5" w:rsidRPr="00A07F29" w:rsidRDefault="009A4BC5" w:rsidP="0069748E">
      <w:pPr>
        <w:keepNext/>
        <w:spacing w:before="240" w:after="120" w:line="240" w:lineRule="auto"/>
        <w:jc w:val="both"/>
        <w:rPr>
          <w:rFonts w:ascii="Times New Roman" w:eastAsia="Calibri" w:hAnsi="Times New Roman" w:cs="Times New Roman"/>
          <w:b/>
          <w:i/>
          <w:iCs/>
          <w:sz w:val="24"/>
          <w:szCs w:val="24"/>
        </w:rPr>
      </w:pPr>
      <w:proofErr w:type="spellStart"/>
      <w:r w:rsidRPr="00A07F29">
        <w:rPr>
          <w:rFonts w:ascii="Times New Roman" w:eastAsia="Calibri" w:hAnsi="Times New Roman" w:cs="Times New Roman"/>
          <w:b/>
          <w:sz w:val="24"/>
          <w:szCs w:val="24"/>
        </w:rPr>
        <w:t>Baltmugurdzenis</w:t>
      </w:r>
      <w:proofErr w:type="spellEnd"/>
      <w:r w:rsidRPr="00A07F29">
        <w:rPr>
          <w:rFonts w:ascii="Times New Roman" w:eastAsia="Calibri" w:hAnsi="Times New Roman" w:cs="Times New Roman"/>
          <w:b/>
          <w:sz w:val="24"/>
          <w:szCs w:val="24"/>
        </w:rPr>
        <w:t xml:space="preserve"> </w:t>
      </w:r>
      <w:proofErr w:type="spellStart"/>
      <w:r w:rsidRPr="00A07F29">
        <w:rPr>
          <w:rFonts w:ascii="Times New Roman" w:eastAsia="Calibri" w:hAnsi="Times New Roman" w:cs="Times New Roman"/>
          <w:b/>
          <w:i/>
          <w:iCs/>
          <w:sz w:val="24"/>
          <w:szCs w:val="24"/>
        </w:rPr>
        <w:t>Dendrocopos</w:t>
      </w:r>
      <w:proofErr w:type="spellEnd"/>
      <w:r w:rsidRPr="00A07F29">
        <w:rPr>
          <w:rFonts w:ascii="Times New Roman" w:eastAsia="Calibri" w:hAnsi="Times New Roman" w:cs="Times New Roman"/>
          <w:b/>
          <w:i/>
          <w:iCs/>
          <w:sz w:val="24"/>
          <w:szCs w:val="24"/>
        </w:rPr>
        <w:t xml:space="preserve"> </w:t>
      </w:r>
      <w:proofErr w:type="spellStart"/>
      <w:r w:rsidRPr="00A07F29">
        <w:rPr>
          <w:rFonts w:ascii="Times New Roman" w:eastAsia="Calibri" w:hAnsi="Times New Roman" w:cs="Times New Roman"/>
          <w:b/>
          <w:i/>
          <w:iCs/>
          <w:sz w:val="24"/>
          <w:szCs w:val="24"/>
        </w:rPr>
        <w:t>leucotos</w:t>
      </w:r>
      <w:proofErr w:type="spellEnd"/>
    </w:p>
    <w:p w14:paraId="1086112C" w14:textId="4F9B5B77" w:rsidR="009A4BC5" w:rsidRPr="00A07F29" w:rsidRDefault="009A4BC5" w:rsidP="009A4BC5">
      <w:pPr>
        <w:spacing w:after="120" w:line="240" w:lineRule="auto"/>
        <w:ind w:firstLine="851"/>
        <w:jc w:val="both"/>
        <w:rPr>
          <w:rFonts w:ascii="Times New Roman" w:eastAsia="Calibri" w:hAnsi="Times New Roman" w:cs="Times New Roman"/>
          <w:bCs/>
          <w:sz w:val="24"/>
          <w:szCs w:val="24"/>
        </w:rPr>
      </w:pPr>
      <w:r w:rsidRPr="00A07F29">
        <w:rPr>
          <w:rFonts w:ascii="Times New Roman" w:eastAsia="Calibri" w:hAnsi="Times New Roman" w:cs="Times New Roman"/>
          <w:sz w:val="24"/>
          <w:szCs w:val="24"/>
        </w:rPr>
        <w:t>Populācijas lielums Latvijā: 4000</w:t>
      </w:r>
      <w:r w:rsidR="00715C0B">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715C0B">
        <w:rPr>
          <w:rFonts w:ascii="Times New Roman" w:eastAsia="Calibri" w:hAnsi="Times New Roman" w:cs="Times New Roman"/>
          <w:sz w:val="24"/>
          <w:szCs w:val="24"/>
        </w:rPr>
        <w:t> </w:t>
      </w:r>
      <w:r w:rsidRPr="00A07F29">
        <w:rPr>
          <w:rFonts w:ascii="Times New Roman" w:eastAsia="Calibri" w:hAnsi="Times New Roman" w:cs="Times New Roman"/>
          <w:sz w:val="24"/>
          <w:szCs w:val="24"/>
        </w:rPr>
        <w:t>7000 pāri (</w:t>
      </w:r>
      <w:proofErr w:type="spellStart"/>
      <w:r w:rsidRPr="00A07F29">
        <w:rPr>
          <w:rFonts w:ascii="Times New Roman" w:eastAsia="Calibri" w:hAnsi="Times New Roman" w:cs="Times New Roman"/>
          <w:sz w:val="24"/>
          <w:szCs w:val="24"/>
        </w:rPr>
        <w:t>Birdlife</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International</w:t>
      </w:r>
      <w:proofErr w:type="spellEnd"/>
      <w:r w:rsidR="00392BE6">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2019).</w:t>
      </w:r>
      <w:r w:rsidR="0069748E" w:rsidRPr="00A07F29">
        <w:rPr>
          <w:rFonts w:ascii="Times New Roman" w:eastAsia="Calibri" w:hAnsi="Times New Roman" w:cs="Times New Roman"/>
          <w:sz w:val="24"/>
          <w:szCs w:val="24"/>
        </w:rPr>
        <w:t xml:space="preserve"> </w:t>
      </w:r>
      <w:r w:rsidRPr="00A07F29">
        <w:rPr>
          <w:rFonts w:ascii="Times New Roman" w:eastAsia="Calibri" w:hAnsi="Times New Roman" w:cs="Times New Roman"/>
          <w:bCs/>
          <w:sz w:val="24"/>
          <w:szCs w:val="24"/>
        </w:rPr>
        <w:t>Suga apdzīvo tādus mežu biotopus, kuros ir sastopams liels atmirstošās koksnes daudzums (sugai nepieciešami vairāk nekā 50</w:t>
      </w:r>
      <w:r w:rsidR="00715C0B">
        <w:rPr>
          <w:rFonts w:ascii="Times New Roman" w:eastAsia="Calibri" w:hAnsi="Times New Roman" w:cs="Times New Roman"/>
          <w:bCs/>
          <w:sz w:val="24"/>
          <w:szCs w:val="24"/>
        </w:rPr>
        <w:t> </w:t>
      </w:r>
      <w:r w:rsidRPr="00A07F29">
        <w:rPr>
          <w:rFonts w:ascii="Times New Roman" w:eastAsia="Calibri" w:hAnsi="Times New Roman" w:cs="Times New Roman"/>
          <w:bCs/>
          <w:sz w:val="24"/>
          <w:szCs w:val="24"/>
        </w:rPr>
        <w:t>m</w:t>
      </w:r>
      <w:r w:rsidRPr="00A07F29">
        <w:rPr>
          <w:rFonts w:ascii="Times New Roman" w:eastAsia="Calibri" w:hAnsi="Times New Roman" w:cs="Times New Roman"/>
          <w:bCs/>
          <w:kern w:val="24"/>
          <w:sz w:val="24"/>
          <w:szCs w:val="24"/>
          <w:vertAlign w:val="superscript"/>
        </w:rPr>
        <w:t>3</w:t>
      </w:r>
      <w:r w:rsidRPr="00A07F29">
        <w:rPr>
          <w:rFonts w:ascii="Times New Roman" w:eastAsia="Calibri" w:hAnsi="Times New Roman" w:cs="Times New Roman"/>
          <w:bCs/>
          <w:sz w:val="24"/>
          <w:szCs w:val="24"/>
        </w:rPr>
        <w:t xml:space="preserve">/ha visā ligzdošanas teritorijā; </w:t>
      </w:r>
      <w:proofErr w:type="spellStart"/>
      <w:r w:rsidRPr="00A07F29">
        <w:rPr>
          <w:rFonts w:ascii="Times New Roman" w:eastAsia="Calibri" w:hAnsi="Times New Roman" w:cs="Times New Roman"/>
          <w:bCs/>
          <w:sz w:val="24"/>
          <w:szCs w:val="24"/>
        </w:rPr>
        <w:t>Czeszczewik</w:t>
      </w:r>
      <w:proofErr w:type="spellEnd"/>
      <w:r w:rsidR="00715C0B">
        <w:rPr>
          <w:rFonts w:ascii="Times New Roman" w:eastAsia="Calibri" w:hAnsi="Times New Roman" w:cs="Times New Roman"/>
          <w:bCs/>
          <w:sz w:val="24"/>
          <w:szCs w:val="24"/>
        </w:rPr>
        <w:t xml:space="preserve"> D.</w:t>
      </w:r>
      <w:r w:rsidRPr="00A07F29">
        <w:rPr>
          <w:rFonts w:ascii="Times New Roman" w:eastAsia="Calibri" w:hAnsi="Times New Roman" w:cs="Times New Roman"/>
          <w:bCs/>
          <w:sz w:val="24"/>
          <w:szCs w:val="24"/>
        </w:rPr>
        <w:t xml:space="preserve">, </w:t>
      </w:r>
      <w:proofErr w:type="spellStart"/>
      <w:r w:rsidRPr="00A07F29">
        <w:rPr>
          <w:rFonts w:ascii="Times New Roman" w:eastAsia="Calibri" w:hAnsi="Times New Roman" w:cs="Times New Roman"/>
          <w:bCs/>
          <w:sz w:val="24"/>
          <w:szCs w:val="24"/>
        </w:rPr>
        <w:t>Walankiewicz</w:t>
      </w:r>
      <w:proofErr w:type="spellEnd"/>
      <w:r w:rsidR="00715C0B">
        <w:rPr>
          <w:rFonts w:ascii="Times New Roman" w:eastAsia="Calibri" w:hAnsi="Times New Roman" w:cs="Times New Roman"/>
          <w:bCs/>
          <w:sz w:val="24"/>
          <w:szCs w:val="24"/>
        </w:rPr>
        <w:t xml:space="preserve"> W.,</w:t>
      </w:r>
      <w:r w:rsidRPr="00A07F29">
        <w:rPr>
          <w:rFonts w:ascii="Times New Roman" w:eastAsia="Calibri" w:hAnsi="Times New Roman" w:cs="Times New Roman"/>
          <w:bCs/>
          <w:sz w:val="24"/>
          <w:szCs w:val="24"/>
        </w:rPr>
        <w:t xml:space="preserve"> 2006) un </w:t>
      </w:r>
      <w:proofErr w:type="spellStart"/>
      <w:r w:rsidRPr="00A07F29">
        <w:rPr>
          <w:rFonts w:ascii="Times New Roman" w:eastAsia="Calibri" w:hAnsi="Times New Roman" w:cs="Times New Roman"/>
          <w:bCs/>
          <w:sz w:val="24"/>
          <w:szCs w:val="24"/>
        </w:rPr>
        <w:t>baltmugurdzenis</w:t>
      </w:r>
      <w:proofErr w:type="spellEnd"/>
      <w:r w:rsidRPr="00A07F29">
        <w:rPr>
          <w:rFonts w:ascii="Times New Roman" w:eastAsia="Calibri" w:hAnsi="Times New Roman" w:cs="Times New Roman"/>
          <w:bCs/>
          <w:sz w:val="24"/>
          <w:szCs w:val="24"/>
        </w:rPr>
        <w:t xml:space="preserve"> tiek klasificēts kā Eiropā retākā ligzdojošā dzeņu suga (</w:t>
      </w:r>
      <w:proofErr w:type="spellStart"/>
      <w:r w:rsidRPr="00A07F29">
        <w:rPr>
          <w:rFonts w:ascii="Times New Roman" w:eastAsia="Calibri" w:hAnsi="Times New Roman" w:cs="Times New Roman"/>
          <w:bCs/>
          <w:sz w:val="24"/>
          <w:szCs w:val="24"/>
        </w:rPr>
        <w:t>Carlson</w:t>
      </w:r>
      <w:proofErr w:type="spellEnd"/>
      <w:r w:rsidR="00715C0B">
        <w:rPr>
          <w:rFonts w:ascii="Times New Roman" w:eastAsia="Calibri" w:hAnsi="Times New Roman" w:cs="Times New Roman"/>
          <w:bCs/>
          <w:sz w:val="24"/>
          <w:szCs w:val="24"/>
        </w:rPr>
        <w:t xml:space="preserve"> A.,</w:t>
      </w:r>
      <w:r w:rsidRPr="00A07F29">
        <w:rPr>
          <w:rFonts w:ascii="Times New Roman" w:eastAsia="Calibri" w:hAnsi="Times New Roman" w:cs="Times New Roman"/>
          <w:bCs/>
          <w:sz w:val="24"/>
          <w:szCs w:val="24"/>
        </w:rPr>
        <w:t xml:space="preserve"> 2000). </w:t>
      </w:r>
      <w:proofErr w:type="spellStart"/>
      <w:r w:rsidRPr="00A07F29">
        <w:rPr>
          <w:rFonts w:ascii="Times New Roman" w:eastAsia="Calibri" w:hAnsi="Times New Roman" w:cs="Times New Roman"/>
          <w:bCs/>
          <w:sz w:val="24"/>
          <w:szCs w:val="24"/>
        </w:rPr>
        <w:t>Baltmugurdzeņi</w:t>
      </w:r>
      <w:proofErr w:type="spellEnd"/>
      <w:r w:rsidRPr="00A07F29">
        <w:rPr>
          <w:rFonts w:ascii="Times New Roman" w:eastAsia="Calibri" w:hAnsi="Times New Roman" w:cs="Times New Roman"/>
          <w:bCs/>
          <w:sz w:val="24"/>
          <w:szCs w:val="24"/>
        </w:rPr>
        <w:t xml:space="preserve"> ir uzskatāmi par lietussarga sugām (</w:t>
      </w:r>
      <w:proofErr w:type="spellStart"/>
      <w:r w:rsidRPr="00A07F29">
        <w:rPr>
          <w:rFonts w:ascii="Times New Roman" w:eastAsia="Calibri" w:hAnsi="Times New Roman" w:cs="Times New Roman"/>
          <w:bCs/>
          <w:sz w:val="24"/>
          <w:szCs w:val="24"/>
        </w:rPr>
        <w:t>Fleishman</w:t>
      </w:r>
      <w:proofErr w:type="spellEnd"/>
      <w:r w:rsidR="00715C0B">
        <w:rPr>
          <w:rFonts w:ascii="Times New Roman" w:eastAsia="Calibri" w:hAnsi="Times New Roman" w:cs="Times New Roman"/>
          <w:bCs/>
          <w:sz w:val="24"/>
          <w:szCs w:val="24"/>
        </w:rPr>
        <w:t xml:space="preserve"> E.,</w:t>
      </w:r>
      <w:r w:rsidRPr="00A07F29">
        <w:rPr>
          <w:rFonts w:ascii="Times New Roman" w:eastAsia="Calibri" w:hAnsi="Times New Roman" w:cs="Times New Roman"/>
          <w:bCs/>
          <w:sz w:val="24"/>
          <w:szCs w:val="24"/>
        </w:rPr>
        <w:t xml:space="preserve"> </w:t>
      </w:r>
      <w:proofErr w:type="spellStart"/>
      <w:r w:rsidRPr="00A07F29">
        <w:rPr>
          <w:rFonts w:ascii="Times New Roman" w:eastAsia="Calibri" w:hAnsi="Times New Roman" w:cs="Times New Roman"/>
          <w:bCs/>
          <w:i/>
          <w:sz w:val="24"/>
          <w:szCs w:val="24"/>
        </w:rPr>
        <w:t>et</w:t>
      </w:r>
      <w:proofErr w:type="spellEnd"/>
      <w:r w:rsidRPr="00A07F29">
        <w:rPr>
          <w:rFonts w:ascii="Times New Roman" w:eastAsia="Calibri" w:hAnsi="Times New Roman" w:cs="Times New Roman"/>
          <w:bCs/>
          <w:i/>
          <w:sz w:val="24"/>
          <w:szCs w:val="24"/>
        </w:rPr>
        <w:t xml:space="preserve"> al</w:t>
      </w:r>
      <w:r w:rsidR="00715C0B">
        <w:rPr>
          <w:rFonts w:ascii="Times New Roman" w:eastAsia="Calibri" w:hAnsi="Times New Roman" w:cs="Times New Roman"/>
          <w:bCs/>
          <w:i/>
          <w:sz w:val="24"/>
          <w:szCs w:val="24"/>
        </w:rPr>
        <w:t>,</w:t>
      </w:r>
      <w:r w:rsidRPr="00A07F29">
        <w:rPr>
          <w:rFonts w:ascii="Times New Roman" w:eastAsia="Calibri" w:hAnsi="Times New Roman" w:cs="Times New Roman"/>
          <w:bCs/>
          <w:i/>
          <w:sz w:val="24"/>
          <w:szCs w:val="24"/>
        </w:rPr>
        <w:t>.</w:t>
      </w:r>
      <w:r w:rsidRPr="00A07F29">
        <w:rPr>
          <w:rFonts w:ascii="Times New Roman" w:eastAsia="Calibri" w:hAnsi="Times New Roman" w:cs="Times New Roman"/>
          <w:bCs/>
          <w:sz w:val="24"/>
          <w:szCs w:val="24"/>
        </w:rPr>
        <w:t xml:space="preserve"> 2000; </w:t>
      </w:r>
      <w:proofErr w:type="spellStart"/>
      <w:r w:rsidRPr="00A07F29">
        <w:rPr>
          <w:rFonts w:ascii="Times New Roman" w:eastAsia="Calibri" w:hAnsi="Times New Roman" w:cs="Times New Roman"/>
          <w:bCs/>
          <w:sz w:val="24"/>
          <w:szCs w:val="24"/>
        </w:rPr>
        <w:t>Roberge</w:t>
      </w:r>
      <w:proofErr w:type="spellEnd"/>
      <w:r w:rsidR="00392BE6">
        <w:rPr>
          <w:rFonts w:ascii="Times New Roman" w:eastAsia="Calibri" w:hAnsi="Times New Roman" w:cs="Times New Roman"/>
          <w:bCs/>
          <w:sz w:val="24"/>
          <w:szCs w:val="24"/>
        </w:rPr>
        <w:t xml:space="preserve"> J. M.,</w:t>
      </w:r>
      <w:r w:rsidRPr="00A07F29">
        <w:rPr>
          <w:rFonts w:ascii="Times New Roman" w:eastAsia="Calibri" w:hAnsi="Times New Roman" w:cs="Times New Roman"/>
          <w:bCs/>
          <w:i/>
          <w:sz w:val="24"/>
          <w:szCs w:val="24"/>
        </w:rPr>
        <w:t xml:space="preserve"> </w:t>
      </w:r>
      <w:proofErr w:type="spellStart"/>
      <w:r w:rsidRPr="00A07F29">
        <w:rPr>
          <w:rFonts w:ascii="Times New Roman" w:eastAsia="Calibri" w:hAnsi="Times New Roman" w:cs="Times New Roman"/>
          <w:bCs/>
          <w:i/>
          <w:sz w:val="24"/>
          <w:szCs w:val="24"/>
        </w:rPr>
        <w:t>et</w:t>
      </w:r>
      <w:proofErr w:type="spellEnd"/>
      <w:r w:rsidRPr="00A07F29">
        <w:rPr>
          <w:rFonts w:ascii="Times New Roman" w:eastAsia="Calibri" w:hAnsi="Times New Roman" w:cs="Times New Roman"/>
          <w:bCs/>
          <w:i/>
          <w:sz w:val="24"/>
          <w:szCs w:val="24"/>
        </w:rPr>
        <w:t xml:space="preserve"> </w:t>
      </w:r>
      <w:proofErr w:type="spellStart"/>
      <w:r w:rsidRPr="00A07F29">
        <w:rPr>
          <w:rFonts w:ascii="Times New Roman" w:eastAsia="Calibri" w:hAnsi="Times New Roman" w:cs="Times New Roman"/>
          <w:bCs/>
          <w:i/>
          <w:sz w:val="24"/>
          <w:szCs w:val="24"/>
        </w:rPr>
        <w:t>al</w:t>
      </w:r>
      <w:proofErr w:type="spellEnd"/>
      <w:r w:rsidRPr="00A07F29">
        <w:rPr>
          <w:rFonts w:ascii="Times New Roman" w:eastAsia="Calibri" w:hAnsi="Times New Roman" w:cs="Times New Roman"/>
          <w:bCs/>
          <w:i/>
          <w:sz w:val="24"/>
          <w:szCs w:val="24"/>
        </w:rPr>
        <w:t>.</w:t>
      </w:r>
      <w:r w:rsidRPr="00A07F29">
        <w:rPr>
          <w:rFonts w:ascii="Times New Roman" w:eastAsia="Calibri" w:hAnsi="Times New Roman" w:cs="Times New Roman"/>
          <w:bCs/>
          <w:sz w:val="24"/>
          <w:szCs w:val="24"/>
        </w:rPr>
        <w:t xml:space="preserve"> 2008), jo, nodrošinot to aizsardzību, tiek pasargātas arī citas, sevišķi no atmirstošās lapu koku koksnes atkarīgās bezmugurkaulnieku sugas (</w:t>
      </w:r>
      <w:proofErr w:type="spellStart"/>
      <w:r w:rsidRPr="00A07F29">
        <w:rPr>
          <w:rFonts w:ascii="Times New Roman" w:eastAsia="Calibri" w:hAnsi="Times New Roman" w:cs="Times New Roman"/>
          <w:bCs/>
          <w:sz w:val="24"/>
          <w:szCs w:val="24"/>
        </w:rPr>
        <w:t>Martikainen</w:t>
      </w:r>
      <w:proofErr w:type="spellEnd"/>
      <w:r w:rsidR="00715C0B">
        <w:rPr>
          <w:rFonts w:ascii="Times New Roman" w:eastAsia="Calibri" w:hAnsi="Times New Roman" w:cs="Times New Roman"/>
          <w:bCs/>
          <w:sz w:val="24"/>
          <w:szCs w:val="24"/>
        </w:rPr>
        <w:t xml:space="preserve"> P.,</w:t>
      </w:r>
      <w:r w:rsidRPr="00A07F29">
        <w:rPr>
          <w:rFonts w:ascii="Times New Roman" w:eastAsia="Calibri" w:hAnsi="Times New Roman" w:cs="Times New Roman"/>
          <w:bCs/>
          <w:sz w:val="24"/>
          <w:szCs w:val="24"/>
        </w:rPr>
        <w:t xml:space="preserve"> </w:t>
      </w:r>
      <w:proofErr w:type="spellStart"/>
      <w:r w:rsidRPr="00A07F29">
        <w:rPr>
          <w:rFonts w:ascii="Times New Roman" w:eastAsia="Calibri" w:hAnsi="Times New Roman" w:cs="Times New Roman"/>
          <w:bCs/>
          <w:i/>
          <w:sz w:val="24"/>
          <w:szCs w:val="24"/>
        </w:rPr>
        <w:t>et</w:t>
      </w:r>
      <w:proofErr w:type="spellEnd"/>
      <w:r w:rsidRPr="00A07F29">
        <w:rPr>
          <w:rFonts w:ascii="Times New Roman" w:eastAsia="Calibri" w:hAnsi="Times New Roman" w:cs="Times New Roman"/>
          <w:bCs/>
          <w:i/>
          <w:sz w:val="24"/>
          <w:szCs w:val="24"/>
        </w:rPr>
        <w:t xml:space="preserve"> al.</w:t>
      </w:r>
      <w:r w:rsidR="00715C0B">
        <w:rPr>
          <w:rFonts w:ascii="Times New Roman" w:eastAsia="Calibri" w:hAnsi="Times New Roman" w:cs="Times New Roman"/>
          <w:bCs/>
          <w:i/>
          <w:sz w:val="24"/>
          <w:szCs w:val="24"/>
        </w:rPr>
        <w:t>,</w:t>
      </w:r>
      <w:r w:rsidRPr="00A07F29">
        <w:rPr>
          <w:rFonts w:ascii="Times New Roman" w:eastAsia="Calibri" w:hAnsi="Times New Roman" w:cs="Times New Roman"/>
          <w:bCs/>
          <w:sz w:val="24"/>
          <w:szCs w:val="24"/>
        </w:rPr>
        <w:t xml:space="preserve"> 1998).</w:t>
      </w:r>
    </w:p>
    <w:p w14:paraId="024D7E9C" w14:textId="15FA101B" w:rsidR="009A4BC5" w:rsidRPr="00A07F29" w:rsidRDefault="0069748E" w:rsidP="009A4BC5">
      <w:pPr>
        <w:spacing w:after="120" w:line="240" w:lineRule="auto"/>
        <w:ind w:firstLine="851"/>
        <w:jc w:val="both"/>
        <w:rPr>
          <w:rFonts w:ascii="Times New Roman" w:eastAsia="Calibri" w:hAnsi="Times New Roman" w:cs="Times New Roman"/>
          <w:bCs/>
          <w:sz w:val="24"/>
          <w:szCs w:val="24"/>
        </w:rPr>
      </w:pPr>
      <w:r w:rsidRPr="00A07F29">
        <w:rPr>
          <w:rFonts w:ascii="Times New Roman" w:eastAsia="Calibri" w:hAnsi="Times New Roman" w:cs="Times New Roman"/>
          <w:sz w:val="24"/>
          <w:szCs w:val="24"/>
        </w:rPr>
        <w:t>AAA “Augšdaugava” l</w:t>
      </w:r>
      <w:r w:rsidR="009A4BC5" w:rsidRPr="00A07F29">
        <w:rPr>
          <w:rFonts w:ascii="Times New Roman" w:eastAsia="Calibri" w:hAnsi="Times New Roman" w:cs="Times New Roman"/>
          <w:sz w:val="24"/>
          <w:szCs w:val="24"/>
        </w:rPr>
        <w:t xml:space="preserve">ielais bebru blīvums un applūdinātās teritorijas, īpaši bērzu audzes biotopu robežjoslās, nodrošina izcilus barošanās un ligzdošanas apstākļus </w:t>
      </w:r>
      <w:proofErr w:type="spellStart"/>
      <w:r w:rsidR="009A4BC5" w:rsidRPr="00A07F29">
        <w:rPr>
          <w:rFonts w:ascii="Times New Roman" w:eastAsia="Calibri" w:hAnsi="Times New Roman" w:cs="Times New Roman"/>
          <w:sz w:val="24"/>
          <w:szCs w:val="24"/>
        </w:rPr>
        <w:t>baltmugurdzeņiem</w:t>
      </w:r>
      <w:proofErr w:type="spellEnd"/>
      <w:r w:rsidR="009A4BC5" w:rsidRPr="00A07F29">
        <w:rPr>
          <w:rFonts w:ascii="Times New Roman" w:eastAsia="Calibri" w:hAnsi="Times New Roman" w:cs="Times New Roman"/>
          <w:sz w:val="24"/>
          <w:szCs w:val="24"/>
        </w:rPr>
        <w:t>. 2019. un 2020.</w:t>
      </w:r>
      <w:r w:rsidR="00715C0B">
        <w:rPr>
          <w:rFonts w:ascii="Times New Roman" w:eastAsia="Calibri" w:hAnsi="Times New Roman" w:cs="Times New Roman"/>
          <w:sz w:val="24"/>
          <w:szCs w:val="24"/>
        </w:rPr>
        <w:t> </w:t>
      </w:r>
      <w:r w:rsidR="009A4BC5" w:rsidRPr="00A07F29">
        <w:rPr>
          <w:rFonts w:ascii="Times New Roman" w:eastAsia="Calibri" w:hAnsi="Times New Roman" w:cs="Times New Roman"/>
          <w:sz w:val="24"/>
          <w:szCs w:val="24"/>
        </w:rPr>
        <w:t>gadā veikto uzskaišu laikā suga konstatēta 27 atradnēs.</w:t>
      </w:r>
    </w:p>
    <w:p w14:paraId="572F2A8F" w14:textId="1A0FF3FF" w:rsidR="009A4BC5" w:rsidRPr="00A07F29" w:rsidRDefault="009A4BC5" w:rsidP="0069748E">
      <w:pPr>
        <w:tabs>
          <w:tab w:val="left" w:pos="7068"/>
        </w:tabs>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bCs/>
          <w:sz w:val="24"/>
          <w:szCs w:val="24"/>
        </w:rPr>
        <w:t>Skaita vērtējums teritorijā: 30</w:t>
      </w:r>
      <w:r w:rsidR="00715C0B">
        <w:rPr>
          <w:rFonts w:ascii="Times New Roman" w:eastAsia="Calibri" w:hAnsi="Times New Roman" w:cs="Times New Roman"/>
          <w:bCs/>
          <w:sz w:val="24"/>
          <w:szCs w:val="24"/>
        </w:rPr>
        <w:t> </w:t>
      </w:r>
      <w:r w:rsidRPr="00A07F29">
        <w:rPr>
          <w:rFonts w:ascii="Times New Roman" w:eastAsia="Calibri" w:hAnsi="Times New Roman" w:cs="Times New Roman"/>
          <w:bCs/>
          <w:sz w:val="24"/>
          <w:szCs w:val="24"/>
        </w:rPr>
        <w:t>–</w:t>
      </w:r>
      <w:r w:rsidR="00715C0B">
        <w:rPr>
          <w:rFonts w:ascii="Times New Roman" w:eastAsia="Calibri" w:hAnsi="Times New Roman" w:cs="Times New Roman"/>
          <w:bCs/>
          <w:sz w:val="24"/>
          <w:szCs w:val="24"/>
        </w:rPr>
        <w:t> </w:t>
      </w:r>
      <w:r w:rsidRPr="00A07F29">
        <w:rPr>
          <w:rFonts w:ascii="Times New Roman" w:eastAsia="Calibri" w:hAnsi="Times New Roman" w:cs="Times New Roman"/>
          <w:bCs/>
          <w:sz w:val="24"/>
          <w:szCs w:val="24"/>
        </w:rPr>
        <w:t>40 ligzdojoši pāri.</w:t>
      </w:r>
      <w:r w:rsidR="0069748E" w:rsidRPr="00A07F29">
        <w:rPr>
          <w:rFonts w:ascii="Times New Roman" w:eastAsia="Calibri" w:hAnsi="Times New Roman" w:cs="Times New Roman"/>
          <w:bCs/>
          <w:sz w:val="24"/>
          <w:szCs w:val="24"/>
        </w:rPr>
        <w:t xml:space="preserve"> </w:t>
      </w:r>
      <w:r w:rsidRPr="00A07F29">
        <w:rPr>
          <w:rFonts w:ascii="Times New Roman" w:eastAsia="Calibri" w:hAnsi="Times New Roman" w:cs="Times New Roman"/>
          <w:sz w:val="24"/>
          <w:szCs w:val="24"/>
        </w:rPr>
        <w:t xml:space="preserve">Sugai </w:t>
      </w:r>
      <w:proofErr w:type="spellStart"/>
      <w:r w:rsidRPr="00A07F29">
        <w:rPr>
          <w:rFonts w:ascii="Times New Roman" w:eastAsia="Calibri" w:hAnsi="Times New Roman" w:cs="Times New Roman"/>
          <w:i/>
          <w:iCs/>
          <w:sz w:val="24"/>
          <w:szCs w:val="24"/>
        </w:rPr>
        <w:t>Natura</w:t>
      </w:r>
      <w:proofErr w:type="spellEnd"/>
      <w:r w:rsidRPr="00A07F29">
        <w:rPr>
          <w:rFonts w:ascii="Times New Roman" w:eastAsia="Calibri" w:hAnsi="Times New Roman" w:cs="Times New Roman"/>
          <w:i/>
          <w:iCs/>
          <w:sz w:val="24"/>
          <w:szCs w:val="24"/>
        </w:rPr>
        <w:t xml:space="preserve"> 2000</w:t>
      </w:r>
      <w:r w:rsidRPr="00A07F29">
        <w:rPr>
          <w:rFonts w:ascii="Times New Roman" w:eastAsia="Calibri" w:hAnsi="Times New Roman" w:cs="Times New Roman"/>
          <w:sz w:val="24"/>
          <w:szCs w:val="24"/>
        </w:rPr>
        <w:t xml:space="preserve"> </w:t>
      </w:r>
      <w:r w:rsidR="003263B7">
        <w:rPr>
          <w:rFonts w:ascii="Times New Roman" w:eastAsia="Calibri" w:hAnsi="Times New Roman" w:cs="Times New Roman"/>
          <w:sz w:val="24"/>
          <w:szCs w:val="24"/>
        </w:rPr>
        <w:t>SDF</w:t>
      </w:r>
      <w:r w:rsidRPr="00A07F29">
        <w:rPr>
          <w:rFonts w:ascii="Times New Roman" w:eastAsia="Calibri" w:hAnsi="Times New Roman" w:cs="Times New Roman"/>
          <w:sz w:val="24"/>
          <w:szCs w:val="24"/>
        </w:rPr>
        <w:t xml:space="preserve"> precizēts minimālais un maksimālais populācijas lielums.</w:t>
      </w:r>
    </w:p>
    <w:p w14:paraId="47808D89" w14:textId="77777777" w:rsidR="009A4BC5" w:rsidRPr="00A07F29" w:rsidRDefault="009A4BC5" w:rsidP="0069748E">
      <w:pPr>
        <w:spacing w:before="240" w:after="120" w:line="240" w:lineRule="auto"/>
        <w:jc w:val="both"/>
        <w:rPr>
          <w:rFonts w:ascii="Times New Roman" w:eastAsia="Calibri" w:hAnsi="Times New Roman" w:cs="Times New Roman"/>
          <w:b/>
          <w:i/>
          <w:iCs/>
          <w:sz w:val="24"/>
          <w:szCs w:val="24"/>
        </w:rPr>
      </w:pPr>
      <w:proofErr w:type="spellStart"/>
      <w:r w:rsidRPr="00A07F29">
        <w:rPr>
          <w:rFonts w:ascii="Times New Roman" w:eastAsia="Calibri" w:hAnsi="Times New Roman" w:cs="Times New Roman"/>
          <w:b/>
          <w:sz w:val="24"/>
          <w:szCs w:val="24"/>
        </w:rPr>
        <w:t>Trīspirkstu</w:t>
      </w:r>
      <w:proofErr w:type="spellEnd"/>
      <w:r w:rsidRPr="00A07F29">
        <w:rPr>
          <w:rFonts w:ascii="Times New Roman" w:eastAsia="Calibri" w:hAnsi="Times New Roman" w:cs="Times New Roman"/>
          <w:b/>
          <w:sz w:val="24"/>
          <w:szCs w:val="24"/>
        </w:rPr>
        <w:t xml:space="preserve"> dzenis </w:t>
      </w:r>
      <w:proofErr w:type="spellStart"/>
      <w:r w:rsidRPr="00A07F29">
        <w:rPr>
          <w:rFonts w:ascii="Times New Roman" w:eastAsia="Calibri" w:hAnsi="Times New Roman" w:cs="Times New Roman"/>
          <w:b/>
          <w:i/>
          <w:iCs/>
          <w:sz w:val="24"/>
          <w:szCs w:val="24"/>
        </w:rPr>
        <w:t>Picoides</w:t>
      </w:r>
      <w:proofErr w:type="spellEnd"/>
      <w:r w:rsidRPr="00A07F29">
        <w:rPr>
          <w:rFonts w:ascii="Times New Roman" w:eastAsia="Calibri" w:hAnsi="Times New Roman" w:cs="Times New Roman"/>
          <w:b/>
          <w:i/>
          <w:iCs/>
          <w:sz w:val="24"/>
          <w:szCs w:val="24"/>
        </w:rPr>
        <w:t xml:space="preserve"> </w:t>
      </w:r>
      <w:proofErr w:type="spellStart"/>
      <w:r w:rsidRPr="00A07F29">
        <w:rPr>
          <w:rFonts w:ascii="Times New Roman" w:eastAsia="Calibri" w:hAnsi="Times New Roman" w:cs="Times New Roman"/>
          <w:b/>
          <w:i/>
          <w:iCs/>
          <w:sz w:val="24"/>
          <w:szCs w:val="24"/>
        </w:rPr>
        <w:t>tridactylus</w:t>
      </w:r>
      <w:proofErr w:type="spellEnd"/>
    </w:p>
    <w:p w14:paraId="28F18D03" w14:textId="2B1E9733" w:rsidR="009A4BC5" w:rsidRPr="00A07F29" w:rsidRDefault="009A4BC5" w:rsidP="009A4BC5">
      <w:pPr>
        <w:spacing w:after="120" w:line="240" w:lineRule="auto"/>
        <w:ind w:firstLine="851"/>
        <w:jc w:val="both"/>
        <w:rPr>
          <w:rFonts w:ascii="Times New Roman" w:eastAsia="Calibri" w:hAnsi="Times New Roman" w:cs="Times New Roman"/>
          <w:bCs/>
          <w:sz w:val="24"/>
          <w:szCs w:val="24"/>
        </w:rPr>
      </w:pPr>
      <w:r w:rsidRPr="00A07F29">
        <w:rPr>
          <w:rFonts w:ascii="Times New Roman" w:eastAsia="Calibri" w:hAnsi="Times New Roman" w:cs="Times New Roman"/>
          <w:sz w:val="24"/>
          <w:szCs w:val="24"/>
        </w:rPr>
        <w:t>Populācijas lielums Latvijā: 1000</w:t>
      </w:r>
      <w:r w:rsidR="00715C0B">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715C0B">
        <w:rPr>
          <w:rFonts w:ascii="Times New Roman" w:eastAsia="Calibri" w:hAnsi="Times New Roman" w:cs="Times New Roman"/>
          <w:sz w:val="24"/>
          <w:szCs w:val="24"/>
        </w:rPr>
        <w:t> </w:t>
      </w:r>
      <w:r w:rsidRPr="00A07F29">
        <w:rPr>
          <w:rFonts w:ascii="Times New Roman" w:eastAsia="Calibri" w:hAnsi="Times New Roman" w:cs="Times New Roman"/>
          <w:sz w:val="24"/>
          <w:szCs w:val="24"/>
        </w:rPr>
        <w:t>2000 pāri (</w:t>
      </w:r>
      <w:proofErr w:type="spellStart"/>
      <w:r w:rsidRPr="00A07F29">
        <w:rPr>
          <w:rFonts w:ascii="Times New Roman" w:eastAsia="Calibri" w:hAnsi="Times New Roman" w:cs="Times New Roman"/>
          <w:sz w:val="24"/>
          <w:szCs w:val="24"/>
        </w:rPr>
        <w:t>Birdlife</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International</w:t>
      </w:r>
      <w:proofErr w:type="spellEnd"/>
      <w:r w:rsidR="00392BE6">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2019).</w:t>
      </w:r>
      <w:r w:rsidR="0069748E" w:rsidRPr="00A07F29">
        <w:rPr>
          <w:rFonts w:ascii="Times New Roman" w:eastAsia="Calibri" w:hAnsi="Times New Roman" w:cs="Times New Roman"/>
          <w:sz w:val="24"/>
          <w:szCs w:val="24"/>
        </w:rPr>
        <w:t xml:space="preserve"> </w:t>
      </w:r>
      <w:r w:rsidRPr="00A07F29">
        <w:rPr>
          <w:rFonts w:ascii="Times New Roman" w:eastAsia="Calibri" w:hAnsi="Times New Roman" w:cs="Times New Roman"/>
          <w:sz w:val="24"/>
          <w:szCs w:val="24"/>
        </w:rPr>
        <w:t xml:space="preserve">Šī dzeņu suga galvenokārt saistīta ar veciem, </w:t>
      </w:r>
      <w:proofErr w:type="spellStart"/>
      <w:r w:rsidRPr="00A07F29">
        <w:rPr>
          <w:rFonts w:ascii="Times New Roman" w:eastAsia="Calibri" w:hAnsi="Times New Roman" w:cs="Times New Roman"/>
          <w:sz w:val="24"/>
          <w:szCs w:val="24"/>
        </w:rPr>
        <w:t>boreāliem</w:t>
      </w:r>
      <w:proofErr w:type="spellEnd"/>
      <w:r w:rsidRPr="00A07F29">
        <w:rPr>
          <w:rFonts w:ascii="Times New Roman" w:eastAsia="Calibri" w:hAnsi="Times New Roman" w:cs="Times New Roman"/>
          <w:sz w:val="24"/>
          <w:szCs w:val="24"/>
        </w:rPr>
        <w:t xml:space="preserve"> mežiem, kur dominē skujkoki vai arī ar melnalkšņu staignājiem. </w:t>
      </w:r>
      <w:proofErr w:type="spellStart"/>
      <w:r w:rsidRPr="00A07F29">
        <w:rPr>
          <w:rFonts w:ascii="Times New Roman" w:eastAsia="Calibri" w:hAnsi="Times New Roman" w:cs="Times New Roman"/>
          <w:bCs/>
          <w:sz w:val="24"/>
          <w:szCs w:val="24"/>
        </w:rPr>
        <w:t>Trīspirkstu</w:t>
      </w:r>
      <w:proofErr w:type="spellEnd"/>
      <w:r w:rsidRPr="00A07F29">
        <w:rPr>
          <w:rFonts w:ascii="Times New Roman" w:eastAsia="Calibri" w:hAnsi="Times New Roman" w:cs="Times New Roman"/>
          <w:bCs/>
          <w:sz w:val="24"/>
          <w:szCs w:val="24"/>
        </w:rPr>
        <w:t xml:space="preserve"> dzenis ir</w:t>
      </w:r>
      <w:r w:rsidR="003263B7">
        <w:rPr>
          <w:rFonts w:ascii="Times New Roman" w:eastAsia="Calibri" w:hAnsi="Times New Roman" w:cs="Times New Roman"/>
          <w:bCs/>
          <w:sz w:val="24"/>
          <w:szCs w:val="24"/>
        </w:rPr>
        <w:t xml:space="preserve"> Z</w:t>
      </w:r>
      <w:r w:rsidRPr="00A07F29">
        <w:rPr>
          <w:rFonts w:ascii="Times New Roman" w:eastAsia="Calibri" w:hAnsi="Times New Roman" w:cs="Times New Roman"/>
          <w:bCs/>
          <w:sz w:val="24"/>
          <w:szCs w:val="24"/>
        </w:rPr>
        <w:t xml:space="preserve"> skujkoku un jauktu koku mežu </w:t>
      </w:r>
      <w:proofErr w:type="spellStart"/>
      <w:r w:rsidRPr="00A07F29">
        <w:rPr>
          <w:rFonts w:ascii="Times New Roman" w:eastAsia="Calibri" w:hAnsi="Times New Roman" w:cs="Times New Roman"/>
          <w:bCs/>
          <w:sz w:val="24"/>
          <w:szCs w:val="24"/>
        </w:rPr>
        <w:t>apdzīvotāji</w:t>
      </w:r>
      <w:proofErr w:type="spellEnd"/>
      <w:r w:rsidRPr="00A07F29">
        <w:rPr>
          <w:rFonts w:ascii="Times New Roman" w:eastAsia="Calibri" w:hAnsi="Times New Roman" w:cs="Times New Roman"/>
          <w:bCs/>
          <w:sz w:val="24"/>
          <w:szCs w:val="24"/>
        </w:rPr>
        <w:t>, kas Eiropā kopumā cieš no mežaudžu fragmentācijas pieauguma (</w:t>
      </w:r>
      <w:proofErr w:type="spellStart"/>
      <w:r w:rsidRPr="00A07F29">
        <w:rPr>
          <w:rFonts w:ascii="Times New Roman" w:eastAsia="Calibri" w:hAnsi="Times New Roman" w:cs="Times New Roman"/>
          <w:bCs/>
          <w:sz w:val="24"/>
          <w:szCs w:val="24"/>
        </w:rPr>
        <w:t>Rueda</w:t>
      </w:r>
      <w:proofErr w:type="spellEnd"/>
      <w:r w:rsidRPr="00A07F29">
        <w:rPr>
          <w:rFonts w:ascii="Times New Roman" w:eastAsia="Calibri" w:hAnsi="Times New Roman" w:cs="Times New Roman"/>
          <w:bCs/>
          <w:sz w:val="24"/>
          <w:szCs w:val="24"/>
        </w:rPr>
        <w:t xml:space="preserve"> </w:t>
      </w:r>
      <w:proofErr w:type="spellStart"/>
      <w:r w:rsidRPr="00A07F29">
        <w:rPr>
          <w:rFonts w:ascii="Times New Roman" w:eastAsia="Calibri" w:hAnsi="Times New Roman" w:cs="Times New Roman"/>
          <w:bCs/>
          <w:i/>
          <w:sz w:val="24"/>
          <w:szCs w:val="24"/>
        </w:rPr>
        <w:t>et</w:t>
      </w:r>
      <w:proofErr w:type="spellEnd"/>
      <w:r w:rsidRPr="00A07F29">
        <w:rPr>
          <w:rFonts w:ascii="Times New Roman" w:eastAsia="Calibri" w:hAnsi="Times New Roman" w:cs="Times New Roman"/>
          <w:bCs/>
          <w:i/>
          <w:sz w:val="24"/>
          <w:szCs w:val="24"/>
        </w:rPr>
        <w:t xml:space="preserve"> </w:t>
      </w:r>
      <w:proofErr w:type="spellStart"/>
      <w:r w:rsidRPr="00A07F29">
        <w:rPr>
          <w:rFonts w:ascii="Times New Roman" w:eastAsia="Calibri" w:hAnsi="Times New Roman" w:cs="Times New Roman"/>
          <w:bCs/>
          <w:i/>
          <w:sz w:val="24"/>
          <w:szCs w:val="24"/>
        </w:rPr>
        <w:t>al</w:t>
      </w:r>
      <w:proofErr w:type="spellEnd"/>
      <w:r w:rsidRPr="00A07F29">
        <w:rPr>
          <w:rFonts w:ascii="Times New Roman" w:eastAsia="Calibri" w:hAnsi="Times New Roman" w:cs="Times New Roman"/>
          <w:bCs/>
          <w:i/>
          <w:sz w:val="24"/>
          <w:szCs w:val="24"/>
        </w:rPr>
        <w:t xml:space="preserve">. </w:t>
      </w:r>
      <w:r w:rsidRPr="00A07F29">
        <w:rPr>
          <w:rFonts w:ascii="Times New Roman" w:eastAsia="Calibri" w:hAnsi="Times New Roman" w:cs="Times New Roman"/>
          <w:bCs/>
          <w:sz w:val="24"/>
          <w:szCs w:val="24"/>
        </w:rPr>
        <w:t xml:space="preserve">2013) un kvalitātes samazināšanās. Sugai nozīmīgākās ir dabiskās mežaudzes un tās, kurās sāk valdīt dabiskie procesi (Butler </w:t>
      </w:r>
      <w:r w:rsidR="00192B12">
        <w:rPr>
          <w:rFonts w:ascii="Times New Roman" w:eastAsia="Calibri" w:hAnsi="Times New Roman" w:cs="Times New Roman"/>
          <w:bCs/>
          <w:sz w:val="24"/>
          <w:szCs w:val="24"/>
        </w:rPr>
        <w:t xml:space="preserve">R., </w:t>
      </w:r>
      <w:proofErr w:type="spellStart"/>
      <w:r w:rsidRPr="00A07F29">
        <w:rPr>
          <w:rFonts w:ascii="Times New Roman" w:eastAsia="Calibri" w:hAnsi="Times New Roman" w:cs="Times New Roman"/>
          <w:bCs/>
          <w:i/>
          <w:sz w:val="24"/>
          <w:szCs w:val="24"/>
        </w:rPr>
        <w:t>et</w:t>
      </w:r>
      <w:proofErr w:type="spellEnd"/>
      <w:r w:rsidRPr="00A07F29">
        <w:rPr>
          <w:rFonts w:ascii="Times New Roman" w:eastAsia="Calibri" w:hAnsi="Times New Roman" w:cs="Times New Roman"/>
          <w:bCs/>
          <w:i/>
          <w:sz w:val="24"/>
          <w:szCs w:val="24"/>
        </w:rPr>
        <w:t xml:space="preserve"> al.</w:t>
      </w:r>
      <w:r w:rsidR="00192B12">
        <w:rPr>
          <w:rFonts w:ascii="Times New Roman" w:eastAsia="Calibri" w:hAnsi="Times New Roman" w:cs="Times New Roman"/>
          <w:bCs/>
          <w:i/>
          <w:sz w:val="24"/>
          <w:szCs w:val="24"/>
        </w:rPr>
        <w:t>,</w:t>
      </w:r>
      <w:r w:rsidRPr="00A07F29">
        <w:rPr>
          <w:rFonts w:ascii="Times New Roman" w:eastAsia="Calibri" w:hAnsi="Times New Roman" w:cs="Times New Roman"/>
          <w:bCs/>
          <w:i/>
          <w:sz w:val="24"/>
          <w:szCs w:val="24"/>
        </w:rPr>
        <w:t xml:space="preserve"> </w:t>
      </w:r>
      <w:r w:rsidRPr="00A07F29">
        <w:rPr>
          <w:rFonts w:ascii="Times New Roman" w:eastAsia="Calibri" w:hAnsi="Times New Roman" w:cs="Times New Roman"/>
          <w:bCs/>
          <w:sz w:val="24"/>
          <w:szCs w:val="24"/>
        </w:rPr>
        <w:t xml:space="preserve">2004; </w:t>
      </w:r>
      <w:proofErr w:type="spellStart"/>
      <w:r w:rsidRPr="00A07F29">
        <w:rPr>
          <w:rFonts w:ascii="Times New Roman" w:eastAsia="Calibri" w:hAnsi="Times New Roman" w:cs="Times New Roman"/>
          <w:bCs/>
          <w:sz w:val="24"/>
          <w:szCs w:val="24"/>
        </w:rPr>
        <w:t>Pechacek</w:t>
      </w:r>
      <w:proofErr w:type="spellEnd"/>
      <w:r w:rsidRPr="00A07F29">
        <w:rPr>
          <w:rFonts w:ascii="Times New Roman" w:eastAsia="Calibri" w:hAnsi="Times New Roman" w:cs="Times New Roman"/>
          <w:bCs/>
          <w:sz w:val="24"/>
          <w:szCs w:val="24"/>
        </w:rPr>
        <w:t xml:space="preserve"> </w:t>
      </w:r>
      <w:r w:rsidR="00392BE6">
        <w:rPr>
          <w:rFonts w:ascii="Times New Roman" w:eastAsia="Calibri" w:hAnsi="Times New Roman" w:cs="Times New Roman"/>
          <w:bCs/>
          <w:sz w:val="24"/>
          <w:szCs w:val="24"/>
        </w:rPr>
        <w:t xml:space="preserve">P., </w:t>
      </w:r>
      <w:r w:rsidRPr="00A07F29">
        <w:rPr>
          <w:rFonts w:ascii="Times New Roman" w:eastAsia="Calibri" w:hAnsi="Times New Roman" w:cs="Times New Roman"/>
          <w:bCs/>
          <w:sz w:val="24"/>
          <w:szCs w:val="24"/>
        </w:rPr>
        <w:t xml:space="preserve">2004; </w:t>
      </w:r>
      <w:proofErr w:type="spellStart"/>
      <w:r w:rsidRPr="00A07F29">
        <w:rPr>
          <w:rFonts w:ascii="Times New Roman" w:eastAsia="Calibri" w:hAnsi="Times New Roman" w:cs="Times New Roman"/>
          <w:bCs/>
          <w:sz w:val="24"/>
          <w:szCs w:val="24"/>
        </w:rPr>
        <w:t>Strom</w:t>
      </w:r>
      <w:proofErr w:type="spellEnd"/>
      <w:r w:rsidR="00392BE6">
        <w:rPr>
          <w:rFonts w:ascii="Times New Roman" w:eastAsia="Calibri" w:hAnsi="Times New Roman" w:cs="Times New Roman"/>
          <w:bCs/>
          <w:sz w:val="24"/>
          <w:szCs w:val="24"/>
        </w:rPr>
        <w:t xml:space="preserve"> H.</w:t>
      </w:r>
      <w:r w:rsidRPr="00A07F29">
        <w:rPr>
          <w:rFonts w:ascii="Times New Roman" w:eastAsia="Calibri" w:hAnsi="Times New Roman" w:cs="Times New Roman"/>
          <w:bCs/>
          <w:sz w:val="24"/>
          <w:szCs w:val="24"/>
        </w:rPr>
        <w:t xml:space="preserve">, </w:t>
      </w:r>
      <w:proofErr w:type="spellStart"/>
      <w:r w:rsidRPr="00A07F29">
        <w:rPr>
          <w:rFonts w:ascii="Times New Roman" w:eastAsia="Calibri" w:hAnsi="Times New Roman" w:cs="Times New Roman"/>
          <w:bCs/>
          <w:sz w:val="24"/>
          <w:szCs w:val="24"/>
        </w:rPr>
        <w:t>Sonerud</w:t>
      </w:r>
      <w:proofErr w:type="spellEnd"/>
      <w:r w:rsidRPr="00A07F29">
        <w:rPr>
          <w:rFonts w:ascii="Times New Roman" w:eastAsia="Calibri" w:hAnsi="Times New Roman" w:cs="Times New Roman"/>
          <w:bCs/>
          <w:sz w:val="24"/>
          <w:szCs w:val="24"/>
        </w:rPr>
        <w:t xml:space="preserve"> </w:t>
      </w:r>
      <w:r w:rsidR="00392BE6">
        <w:rPr>
          <w:rFonts w:ascii="Times New Roman" w:eastAsia="Calibri" w:hAnsi="Times New Roman" w:cs="Times New Roman"/>
          <w:bCs/>
          <w:sz w:val="24"/>
          <w:szCs w:val="24"/>
        </w:rPr>
        <w:t xml:space="preserve">G. A., </w:t>
      </w:r>
      <w:r w:rsidRPr="00A07F29">
        <w:rPr>
          <w:rFonts w:ascii="Times New Roman" w:eastAsia="Calibri" w:hAnsi="Times New Roman" w:cs="Times New Roman"/>
          <w:bCs/>
          <w:sz w:val="24"/>
          <w:szCs w:val="24"/>
        </w:rPr>
        <w:t xml:space="preserve">2001). Pēc dzīvotnes kvalitātes un platības prasībām vērtējot, </w:t>
      </w:r>
      <w:proofErr w:type="spellStart"/>
      <w:r w:rsidRPr="00A07F29">
        <w:rPr>
          <w:rFonts w:ascii="Times New Roman" w:eastAsia="Calibri" w:hAnsi="Times New Roman" w:cs="Times New Roman"/>
          <w:bCs/>
          <w:sz w:val="24"/>
          <w:szCs w:val="24"/>
        </w:rPr>
        <w:t>trīspirkstu</w:t>
      </w:r>
      <w:proofErr w:type="spellEnd"/>
      <w:r w:rsidRPr="00A07F29">
        <w:rPr>
          <w:rFonts w:ascii="Times New Roman" w:eastAsia="Calibri" w:hAnsi="Times New Roman" w:cs="Times New Roman"/>
          <w:bCs/>
          <w:sz w:val="24"/>
          <w:szCs w:val="24"/>
        </w:rPr>
        <w:t xml:space="preserve"> dzenis ir klasificējams kā lietussarga suga (</w:t>
      </w:r>
      <w:proofErr w:type="spellStart"/>
      <w:r w:rsidRPr="00A07F29">
        <w:rPr>
          <w:rFonts w:ascii="Times New Roman" w:eastAsia="Calibri" w:hAnsi="Times New Roman" w:cs="Times New Roman"/>
          <w:bCs/>
          <w:sz w:val="24"/>
          <w:szCs w:val="24"/>
        </w:rPr>
        <w:t>Fleishman</w:t>
      </w:r>
      <w:proofErr w:type="spellEnd"/>
      <w:r w:rsidR="00192B12">
        <w:rPr>
          <w:rFonts w:ascii="Times New Roman" w:eastAsia="Calibri" w:hAnsi="Times New Roman" w:cs="Times New Roman"/>
          <w:bCs/>
          <w:sz w:val="24"/>
          <w:szCs w:val="24"/>
        </w:rPr>
        <w:t xml:space="preserve"> E.,</w:t>
      </w:r>
      <w:r w:rsidRPr="00A07F29">
        <w:rPr>
          <w:rFonts w:ascii="Times New Roman" w:eastAsia="Calibri" w:hAnsi="Times New Roman" w:cs="Times New Roman"/>
          <w:bCs/>
          <w:sz w:val="24"/>
          <w:szCs w:val="24"/>
        </w:rPr>
        <w:t xml:space="preserve"> </w:t>
      </w:r>
      <w:proofErr w:type="spellStart"/>
      <w:r w:rsidRPr="00A07F29">
        <w:rPr>
          <w:rFonts w:ascii="Times New Roman" w:eastAsia="Calibri" w:hAnsi="Times New Roman" w:cs="Times New Roman"/>
          <w:bCs/>
          <w:i/>
          <w:sz w:val="24"/>
          <w:szCs w:val="24"/>
        </w:rPr>
        <w:t>et</w:t>
      </w:r>
      <w:proofErr w:type="spellEnd"/>
      <w:r w:rsidRPr="00A07F29">
        <w:rPr>
          <w:rFonts w:ascii="Times New Roman" w:eastAsia="Calibri" w:hAnsi="Times New Roman" w:cs="Times New Roman"/>
          <w:bCs/>
          <w:i/>
          <w:sz w:val="24"/>
          <w:szCs w:val="24"/>
        </w:rPr>
        <w:t xml:space="preserve"> al.</w:t>
      </w:r>
      <w:r w:rsidR="00192B12">
        <w:rPr>
          <w:rFonts w:ascii="Times New Roman" w:eastAsia="Calibri" w:hAnsi="Times New Roman" w:cs="Times New Roman"/>
          <w:bCs/>
          <w:i/>
          <w:sz w:val="24"/>
          <w:szCs w:val="24"/>
        </w:rPr>
        <w:t>,</w:t>
      </w:r>
      <w:r w:rsidRPr="00A07F29">
        <w:rPr>
          <w:rFonts w:ascii="Times New Roman" w:eastAsia="Calibri" w:hAnsi="Times New Roman" w:cs="Times New Roman"/>
          <w:bCs/>
          <w:i/>
          <w:sz w:val="24"/>
          <w:szCs w:val="24"/>
        </w:rPr>
        <w:t xml:space="preserve"> </w:t>
      </w:r>
      <w:r w:rsidRPr="00A07F29">
        <w:rPr>
          <w:rFonts w:ascii="Times New Roman" w:eastAsia="Calibri" w:hAnsi="Times New Roman" w:cs="Times New Roman"/>
          <w:bCs/>
          <w:sz w:val="24"/>
          <w:szCs w:val="24"/>
        </w:rPr>
        <w:t>2000) – tādas, kuru dzīvotnes saglabājot, tiek nodrošināta aizsardzība arī citām retām un jūtīgām sugām.</w:t>
      </w:r>
    </w:p>
    <w:p w14:paraId="55BB66AF" w14:textId="01C628A8" w:rsidR="009A4BC5" w:rsidRPr="00A07F29" w:rsidRDefault="0069748E" w:rsidP="009A4BC5">
      <w:pPr>
        <w:spacing w:after="120" w:line="240" w:lineRule="auto"/>
        <w:ind w:firstLine="851"/>
        <w:jc w:val="both"/>
        <w:rPr>
          <w:rFonts w:ascii="Times New Roman" w:eastAsia="Calibri" w:hAnsi="Times New Roman" w:cs="Times New Roman"/>
          <w:bCs/>
          <w:sz w:val="24"/>
          <w:szCs w:val="24"/>
        </w:rPr>
      </w:pPr>
      <w:r w:rsidRPr="00A07F29">
        <w:rPr>
          <w:rFonts w:ascii="Times New Roman" w:eastAsia="Calibri" w:hAnsi="Times New Roman" w:cs="Times New Roman"/>
          <w:sz w:val="24"/>
          <w:szCs w:val="24"/>
        </w:rPr>
        <w:t xml:space="preserve">AAA “Augšdaugava” </w:t>
      </w:r>
      <w:r w:rsidRPr="00A07F29">
        <w:rPr>
          <w:rFonts w:ascii="Times New Roman" w:eastAsia="Calibri" w:hAnsi="Times New Roman" w:cs="Times New Roman"/>
          <w:bCs/>
          <w:sz w:val="24"/>
          <w:szCs w:val="24"/>
        </w:rPr>
        <w:t>m</w:t>
      </w:r>
      <w:r w:rsidR="009A4BC5" w:rsidRPr="00A07F29">
        <w:rPr>
          <w:rFonts w:ascii="Times New Roman" w:eastAsia="Calibri" w:hAnsi="Times New Roman" w:cs="Times New Roman"/>
          <w:bCs/>
          <w:sz w:val="24"/>
          <w:szCs w:val="24"/>
        </w:rPr>
        <w:t xml:space="preserve">ikroliegums </w:t>
      </w:r>
      <w:proofErr w:type="spellStart"/>
      <w:r w:rsidR="009A4BC5" w:rsidRPr="00A07F29">
        <w:rPr>
          <w:rFonts w:ascii="Times New Roman" w:eastAsia="Calibri" w:hAnsi="Times New Roman" w:cs="Times New Roman"/>
          <w:bCs/>
          <w:sz w:val="24"/>
          <w:szCs w:val="24"/>
        </w:rPr>
        <w:t>trīspirkstu</w:t>
      </w:r>
      <w:proofErr w:type="spellEnd"/>
      <w:r w:rsidR="009A4BC5" w:rsidRPr="00A07F29">
        <w:rPr>
          <w:rFonts w:ascii="Times New Roman" w:eastAsia="Calibri" w:hAnsi="Times New Roman" w:cs="Times New Roman"/>
          <w:bCs/>
          <w:sz w:val="24"/>
          <w:szCs w:val="24"/>
        </w:rPr>
        <w:t xml:space="preserve"> dzeņa aizsardzībai izveidots Krāslavas novada Kalniešu pagastā, 327. un 355.</w:t>
      </w:r>
      <w:r w:rsidR="00192B12">
        <w:rPr>
          <w:rFonts w:ascii="Times New Roman" w:eastAsia="Calibri" w:hAnsi="Times New Roman" w:cs="Times New Roman"/>
          <w:bCs/>
          <w:sz w:val="24"/>
          <w:szCs w:val="24"/>
        </w:rPr>
        <w:t> </w:t>
      </w:r>
      <w:r w:rsidR="009A4BC5" w:rsidRPr="00A07F29">
        <w:rPr>
          <w:rFonts w:ascii="Times New Roman" w:eastAsia="Calibri" w:hAnsi="Times New Roman" w:cs="Times New Roman"/>
          <w:bCs/>
          <w:sz w:val="24"/>
          <w:szCs w:val="24"/>
        </w:rPr>
        <w:t>kvartālā ar kopējo platību 7,2</w:t>
      </w:r>
      <w:r w:rsidR="00192B12">
        <w:rPr>
          <w:rFonts w:ascii="Times New Roman" w:eastAsia="Calibri" w:hAnsi="Times New Roman" w:cs="Times New Roman"/>
          <w:bCs/>
          <w:sz w:val="24"/>
          <w:szCs w:val="24"/>
        </w:rPr>
        <w:t> </w:t>
      </w:r>
      <w:r w:rsidR="009A4BC5" w:rsidRPr="00A07F29">
        <w:rPr>
          <w:rFonts w:ascii="Times New Roman" w:eastAsia="Calibri" w:hAnsi="Times New Roman" w:cs="Times New Roman"/>
          <w:bCs/>
          <w:sz w:val="24"/>
          <w:szCs w:val="24"/>
        </w:rPr>
        <w:t xml:space="preserve">ha (bez buferzonas). Apdzīvota </w:t>
      </w:r>
      <w:proofErr w:type="spellStart"/>
      <w:r w:rsidR="009A4BC5" w:rsidRPr="00A07F29">
        <w:rPr>
          <w:rFonts w:ascii="Times New Roman" w:eastAsia="Calibri" w:hAnsi="Times New Roman" w:cs="Times New Roman"/>
          <w:bCs/>
          <w:sz w:val="24"/>
          <w:szCs w:val="24"/>
        </w:rPr>
        <w:t>trīspirkstu</w:t>
      </w:r>
      <w:proofErr w:type="spellEnd"/>
      <w:r w:rsidR="009A4BC5" w:rsidRPr="00A07F29">
        <w:rPr>
          <w:rFonts w:ascii="Times New Roman" w:eastAsia="Calibri" w:hAnsi="Times New Roman" w:cs="Times New Roman"/>
          <w:bCs/>
          <w:sz w:val="24"/>
          <w:szCs w:val="24"/>
        </w:rPr>
        <w:t xml:space="preserve"> dzeņa ligzda atrasta 2014.</w:t>
      </w:r>
      <w:r w:rsidR="00192B12">
        <w:rPr>
          <w:rFonts w:ascii="Times New Roman" w:eastAsia="Calibri" w:hAnsi="Times New Roman" w:cs="Times New Roman"/>
          <w:bCs/>
          <w:sz w:val="24"/>
          <w:szCs w:val="24"/>
        </w:rPr>
        <w:t> </w:t>
      </w:r>
      <w:r w:rsidR="009A4BC5" w:rsidRPr="00A07F29">
        <w:rPr>
          <w:rFonts w:ascii="Times New Roman" w:eastAsia="Calibri" w:hAnsi="Times New Roman" w:cs="Times New Roman"/>
          <w:bCs/>
          <w:sz w:val="24"/>
          <w:szCs w:val="24"/>
        </w:rPr>
        <w:t>gada 11.</w:t>
      </w:r>
      <w:r w:rsidR="00192B12">
        <w:rPr>
          <w:rFonts w:ascii="Times New Roman" w:eastAsia="Calibri" w:hAnsi="Times New Roman" w:cs="Times New Roman"/>
          <w:bCs/>
          <w:sz w:val="24"/>
          <w:szCs w:val="24"/>
        </w:rPr>
        <w:t> </w:t>
      </w:r>
      <w:r w:rsidR="009A4BC5" w:rsidRPr="00A07F29">
        <w:rPr>
          <w:rFonts w:ascii="Times New Roman" w:eastAsia="Calibri" w:hAnsi="Times New Roman" w:cs="Times New Roman"/>
          <w:bCs/>
          <w:sz w:val="24"/>
          <w:szCs w:val="24"/>
        </w:rPr>
        <w:t>jūnijā (G. </w:t>
      </w:r>
      <w:proofErr w:type="spellStart"/>
      <w:r w:rsidR="009A4BC5" w:rsidRPr="00A07F29">
        <w:rPr>
          <w:rFonts w:ascii="Times New Roman" w:eastAsia="Calibri" w:hAnsi="Times New Roman" w:cs="Times New Roman"/>
          <w:bCs/>
          <w:sz w:val="24"/>
          <w:szCs w:val="24"/>
        </w:rPr>
        <w:t>Grandāns</w:t>
      </w:r>
      <w:proofErr w:type="spellEnd"/>
      <w:r w:rsidR="009A4BC5" w:rsidRPr="00A07F29">
        <w:rPr>
          <w:rFonts w:ascii="Times New Roman" w:eastAsia="Calibri" w:hAnsi="Times New Roman" w:cs="Times New Roman"/>
          <w:bCs/>
          <w:sz w:val="24"/>
          <w:szCs w:val="24"/>
        </w:rPr>
        <w:t>), tomēr, veicot teritorijas atkārtotu apsekošanu 2014.</w:t>
      </w:r>
      <w:r w:rsidR="00192B12">
        <w:rPr>
          <w:rFonts w:ascii="Times New Roman" w:eastAsia="Calibri" w:hAnsi="Times New Roman" w:cs="Times New Roman"/>
          <w:bCs/>
          <w:sz w:val="24"/>
          <w:szCs w:val="24"/>
        </w:rPr>
        <w:t> </w:t>
      </w:r>
      <w:r w:rsidR="009A4BC5" w:rsidRPr="00A07F29">
        <w:rPr>
          <w:rFonts w:ascii="Times New Roman" w:eastAsia="Calibri" w:hAnsi="Times New Roman" w:cs="Times New Roman"/>
          <w:bCs/>
          <w:sz w:val="24"/>
          <w:szCs w:val="24"/>
        </w:rPr>
        <w:t>gadā 14.</w:t>
      </w:r>
      <w:r w:rsidR="00192B12">
        <w:rPr>
          <w:rFonts w:ascii="Times New Roman" w:eastAsia="Calibri" w:hAnsi="Times New Roman" w:cs="Times New Roman"/>
          <w:bCs/>
          <w:sz w:val="24"/>
          <w:szCs w:val="24"/>
        </w:rPr>
        <w:t> </w:t>
      </w:r>
      <w:r w:rsidR="009A4BC5" w:rsidRPr="00A07F29">
        <w:rPr>
          <w:rFonts w:ascii="Times New Roman" w:eastAsia="Calibri" w:hAnsi="Times New Roman" w:cs="Times New Roman"/>
          <w:bCs/>
          <w:sz w:val="24"/>
          <w:szCs w:val="24"/>
        </w:rPr>
        <w:t>oktobrī, konstatēts, ka 328.</w:t>
      </w:r>
      <w:r w:rsidR="00192B12">
        <w:rPr>
          <w:rFonts w:ascii="Times New Roman" w:eastAsia="Calibri" w:hAnsi="Times New Roman" w:cs="Times New Roman"/>
          <w:bCs/>
          <w:sz w:val="24"/>
          <w:szCs w:val="24"/>
        </w:rPr>
        <w:t> </w:t>
      </w:r>
      <w:r w:rsidR="009A4BC5" w:rsidRPr="00A07F29">
        <w:rPr>
          <w:rFonts w:ascii="Times New Roman" w:eastAsia="Calibri" w:hAnsi="Times New Roman" w:cs="Times New Roman"/>
          <w:bCs/>
          <w:sz w:val="24"/>
          <w:szCs w:val="24"/>
        </w:rPr>
        <w:t>kvartāla 17.</w:t>
      </w:r>
      <w:r w:rsidR="00192B12">
        <w:rPr>
          <w:rFonts w:ascii="Times New Roman" w:eastAsia="Calibri" w:hAnsi="Times New Roman" w:cs="Times New Roman"/>
          <w:bCs/>
          <w:sz w:val="24"/>
          <w:szCs w:val="24"/>
        </w:rPr>
        <w:t> </w:t>
      </w:r>
      <w:r w:rsidR="009A4BC5" w:rsidRPr="00A07F29">
        <w:rPr>
          <w:rFonts w:ascii="Times New Roman" w:eastAsia="Calibri" w:hAnsi="Times New Roman" w:cs="Times New Roman"/>
          <w:bCs/>
          <w:sz w:val="24"/>
          <w:szCs w:val="24"/>
        </w:rPr>
        <w:t xml:space="preserve">nogabalā, kurā atradās iepriekš minētā </w:t>
      </w:r>
      <w:proofErr w:type="spellStart"/>
      <w:r w:rsidR="009A4BC5" w:rsidRPr="00A07F29">
        <w:rPr>
          <w:rFonts w:ascii="Times New Roman" w:eastAsia="Calibri" w:hAnsi="Times New Roman" w:cs="Times New Roman"/>
          <w:bCs/>
          <w:sz w:val="24"/>
          <w:szCs w:val="24"/>
        </w:rPr>
        <w:t>trīspirkstu</w:t>
      </w:r>
      <w:proofErr w:type="spellEnd"/>
      <w:r w:rsidR="009A4BC5" w:rsidRPr="00A07F29">
        <w:rPr>
          <w:rFonts w:ascii="Times New Roman" w:eastAsia="Calibri" w:hAnsi="Times New Roman" w:cs="Times New Roman"/>
          <w:bCs/>
          <w:sz w:val="24"/>
          <w:szCs w:val="24"/>
        </w:rPr>
        <w:t xml:space="preserve"> dzeņa ligzda, veikta mežsaimnieciskā darbība – kailcirte. Mikroliegums izveidots 2015.</w:t>
      </w:r>
      <w:r w:rsidR="00192B12">
        <w:rPr>
          <w:rFonts w:ascii="Times New Roman" w:eastAsia="Calibri" w:hAnsi="Times New Roman" w:cs="Times New Roman"/>
          <w:bCs/>
          <w:sz w:val="24"/>
          <w:szCs w:val="24"/>
        </w:rPr>
        <w:t> gada 21. aprīlī</w:t>
      </w:r>
      <w:r w:rsidR="009A4BC5" w:rsidRPr="00A07F29">
        <w:rPr>
          <w:rFonts w:ascii="Times New Roman" w:eastAsia="Calibri" w:hAnsi="Times New Roman" w:cs="Times New Roman"/>
          <w:bCs/>
          <w:sz w:val="24"/>
          <w:szCs w:val="24"/>
        </w:rPr>
        <w:t xml:space="preserve"> (eksperts G. </w:t>
      </w:r>
      <w:proofErr w:type="spellStart"/>
      <w:r w:rsidR="009A4BC5" w:rsidRPr="00A07F29">
        <w:rPr>
          <w:rFonts w:ascii="Times New Roman" w:eastAsia="Calibri" w:hAnsi="Times New Roman" w:cs="Times New Roman"/>
          <w:bCs/>
          <w:sz w:val="24"/>
          <w:szCs w:val="24"/>
        </w:rPr>
        <w:t>Grandāns</w:t>
      </w:r>
      <w:proofErr w:type="spellEnd"/>
      <w:r w:rsidR="009A4BC5" w:rsidRPr="00A07F29">
        <w:rPr>
          <w:rFonts w:ascii="Times New Roman" w:eastAsia="Calibri" w:hAnsi="Times New Roman" w:cs="Times New Roman"/>
          <w:bCs/>
          <w:sz w:val="24"/>
          <w:szCs w:val="24"/>
        </w:rPr>
        <w:t>), tā teritorijā iekļaujot apkārtnē esošās, sugai piemērotās mežaudzes.</w:t>
      </w:r>
    </w:p>
    <w:p w14:paraId="373BAD12" w14:textId="6DCB3229" w:rsidR="004C1DAD" w:rsidRPr="00A07F29" w:rsidRDefault="0069748E" w:rsidP="009A4BC5">
      <w:pPr>
        <w:spacing w:after="120" w:line="240" w:lineRule="auto"/>
        <w:ind w:firstLine="851"/>
        <w:jc w:val="both"/>
        <w:rPr>
          <w:rFonts w:ascii="Times New Roman" w:eastAsia="Calibri" w:hAnsi="Times New Roman" w:cs="Times New Roman"/>
          <w:bCs/>
          <w:sz w:val="24"/>
          <w:szCs w:val="24"/>
        </w:rPr>
      </w:pPr>
      <w:r w:rsidRPr="00A07F29">
        <w:rPr>
          <w:rFonts w:ascii="Times New Roman" w:eastAsia="Calibri" w:hAnsi="Times New Roman" w:cs="Times New Roman"/>
          <w:bCs/>
          <w:sz w:val="24"/>
          <w:szCs w:val="24"/>
        </w:rPr>
        <w:t>Lai arī 2019. un 2020.</w:t>
      </w:r>
      <w:r w:rsidR="00192B12">
        <w:rPr>
          <w:rFonts w:ascii="Times New Roman" w:eastAsia="Calibri" w:hAnsi="Times New Roman" w:cs="Times New Roman"/>
          <w:bCs/>
          <w:sz w:val="24"/>
          <w:szCs w:val="24"/>
        </w:rPr>
        <w:t> </w:t>
      </w:r>
      <w:r w:rsidRPr="00A07F29">
        <w:rPr>
          <w:rFonts w:ascii="Times New Roman" w:eastAsia="Calibri" w:hAnsi="Times New Roman" w:cs="Times New Roman"/>
          <w:bCs/>
          <w:sz w:val="24"/>
          <w:szCs w:val="24"/>
        </w:rPr>
        <w:t xml:space="preserve">gada uzskaišu laikā, izmantojot provocēšanas metodi, suga </w:t>
      </w:r>
      <w:r w:rsidRPr="00A07F29">
        <w:rPr>
          <w:rFonts w:ascii="Times New Roman" w:eastAsia="Calibri" w:hAnsi="Times New Roman" w:cs="Times New Roman"/>
          <w:sz w:val="24"/>
          <w:szCs w:val="24"/>
        </w:rPr>
        <w:t xml:space="preserve">AAA “Augšdaugava” </w:t>
      </w:r>
      <w:r w:rsidRPr="00A07F29">
        <w:rPr>
          <w:rFonts w:ascii="Times New Roman" w:eastAsia="Calibri" w:hAnsi="Times New Roman" w:cs="Times New Roman"/>
          <w:bCs/>
          <w:sz w:val="24"/>
          <w:szCs w:val="24"/>
        </w:rPr>
        <w:t>netika vizuāli konstatēta, vairākās vietās teritorijā konstatēti svaigi sugai raksturīgie kalumi.</w:t>
      </w:r>
    </w:p>
    <w:p w14:paraId="09D0EE57" w14:textId="75FC6673"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bCs/>
          <w:sz w:val="24"/>
          <w:szCs w:val="24"/>
        </w:rPr>
        <w:t>Skaita vērtējums teritorijā: 5</w:t>
      </w:r>
      <w:r w:rsidR="00192B12">
        <w:rPr>
          <w:rFonts w:ascii="Times New Roman" w:eastAsia="Calibri" w:hAnsi="Times New Roman" w:cs="Times New Roman"/>
          <w:bCs/>
          <w:sz w:val="24"/>
          <w:szCs w:val="24"/>
        </w:rPr>
        <w:t> </w:t>
      </w:r>
      <w:r w:rsidRPr="00A07F29">
        <w:rPr>
          <w:rFonts w:ascii="Times New Roman" w:eastAsia="Calibri" w:hAnsi="Times New Roman" w:cs="Times New Roman"/>
          <w:bCs/>
          <w:sz w:val="24"/>
          <w:szCs w:val="24"/>
        </w:rPr>
        <w:t>–</w:t>
      </w:r>
      <w:r w:rsidR="00192B12">
        <w:rPr>
          <w:rFonts w:ascii="Times New Roman" w:eastAsia="Calibri" w:hAnsi="Times New Roman" w:cs="Times New Roman"/>
          <w:bCs/>
          <w:sz w:val="24"/>
          <w:szCs w:val="24"/>
        </w:rPr>
        <w:t> </w:t>
      </w:r>
      <w:r w:rsidRPr="00A07F29">
        <w:rPr>
          <w:rFonts w:ascii="Times New Roman" w:eastAsia="Calibri" w:hAnsi="Times New Roman" w:cs="Times New Roman"/>
          <w:bCs/>
          <w:sz w:val="24"/>
          <w:szCs w:val="24"/>
        </w:rPr>
        <w:t xml:space="preserve">10 ligzdojoši pāri. </w:t>
      </w:r>
      <w:r w:rsidR="004C1DAD" w:rsidRPr="00A07F29">
        <w:rPr>
          <w:rFonts w:ascii="Times New Roman" w:eastAsia="Calibri" w:hAnsi="Times New Roman" w:cs="Times New Roman"/>
          <w:sz w:val="24"/>
          <w:szCs w:val="24"/>
        </w:rPr>
        <w:t xml:space="preserve">Sugai </w:t>
      </w:r>
      <w:proofErr w:type="spellStart"/>
      <w:r w:rsidR="004C1DAD" w:rsidRPr="00A07F29">
        <w:rPr>
          <w:rFonts w:ascii="Times New Roman" w:eastAsia="Calibri" w:hAnsi="Times New Roman" w:cs="Times New Roman"/>
          <w:i/>
          <w:iCs/>
          <w:sz w:val="24"/>
          <w:szCs w:val="24"/>
        </w:rPr>
        <w:t>Natura</w:t>
      </w:r>
      <w:proofErr w:type="spellEnd"/>
      <w:r w:rsidR="004C1DAD" w:rsidRPr="00A07F29">
        <w:rPr>
          <w:rFonts w:ascii="Times New Roman" w:eastAsia="Calibri" w:hAnsi="Times New Roman" w:cs="Times New Roman"/>
          <w:i/>
          <w:iCs/>
          <w:sz w:val="24"/>
          <w:szCs w:val="24"/>
        </w:rPr>
        <w:t xml:space="preserve"> 2000</w:t>
      </w:r>
      <w:r w:rsidR="004C1DAD" w:rsidRPr="00A07F29">
        <w:rPr>
          <w:rFonts w:ascii="Times New Roman" w:eastAsia="Calibri" w:hAnsi="Times New Roman" w:cs="Times New Roman"/>
          <w:sz w:val="24"/>
          <w:szCs w:val="24"/>
        </w:rPr>
        <w:t xml:space="preserve"> </w:t>
      </w:r>
      <w:r w:rsidR="00EE71DC">
        <w:rPr>
          <w:rFonts w:ascii="Times New Roman" w:eastAsia="Calibri" w:hAnsi="Times New Roman" w:cs="Times New Roman"/>
          <w:sz w:val="24"/>
          <w:szCs w:val="24"/>
        </w:rPr>
        <w:t>SDF</w:t>
      </w:r>
      <w:r w:rsidR="004C1DAD" w:rsidRPr="00A07F29">
        <w:rPr>
          <w:rFonts w:ascii="Times New Roman" w:eastAsia="Calibri" w:hAnsi="Times New Roman" w:cs="Times New Roman"/>
          <w:sz w:val="24"/>
          <w:szCs w:val="24"/>
        </w:rPr>
        <w:t xml:space="preserve"> precizēts minimālais un maksimālais populācijas lielums. </w:t>
      </w:r>
      <w:r w:rsidRPr="00A07F29">
        <w:rPr>
          <w:rFonts w:ascii="Times New Roman" w:eastAsia="Calibri" w:hAnsi="Times New Roman" w:cs="Times New Roman"/>
          <w:bCs/>
          <w:sz w:val="24"/>
          <w:szCs w:val="24"/>
        </w:rPr>
        <w:t>Iepriekšējais skaita vērtējums</w:t>
      </w:r>
      <w:r w:rsidR="007812F7">
        <w:rPr>
          <w:rFonts w:ascii="Times New Roman" w:eastAsia="Calibri" w:hAnsi="Times New Roman" w:cs="Times New Roman"/>
          <w:bCs/>
          <w:sz w:val="24"/>
          <w:szCs w:val="24"/>
        </w:rPr>
        <w:t xml:space="preserve"> no 2014. gada ietvēris</w:t>
      </w:r>
      <w:r w:rsidRPr="00A07F29">
        <w:rPr>
          <w:rFonts w:ascii="Times New Roman" w:eastAsia="Calibri" w:hAnsi="Times New Roman" w:cs="Times New Roman"/>
          <w:bCs/>
          <w:sz w:val="24"/>
          <w:szCs w:val="24"/>
        </w:rPr>
        <w:t xml:space="preserve"> 10</w:t>
      </w:r>
      <w:r w:rsidR="00192B12">
        <w:rPr>
          <w:rFonts w:ascii="Times New Roman" w:eastAsia="Calibri" w:hAnsi="Times New Roman" w:cs="Times New Roman"/>
          <w:bCs/>
          <w:sz w:val="24"/>
          <w:szCs w:val="24"/>
        </w:rPr>
        <w:t> </w:t>
      </w:r>
      <w:r w:rsidRPr="00A07F29">
        <w:rPr>
          <w:rFonts w:ascii="Times New Roman" w:eastAsia="Calibri" w:hAnsi="Times New Roman" w:cs="Times New Roman"/>
          <w:bCs/>
          <w:sz w:val="24"/>
          <w:szCs w:val="24"/>
        </w:rPr>
        <w:t>–</w:t>
      </w:r>
      <w:r w:rsidR="00192B12">
        <w:rPr>
          <w:rFonts w:ascii="Times New Roman" w:eastAsia="Calibri" w:hAnsi="Times New Roman" w:cs="Times New Roman"/>
          <w:bCs/>
          <w:sz w:val="24"/>
          <w:szCs w:val="24"/>
        </w:rPr>
        <w:t> </w:t>
      </w:r>
      <w:r w:rsidRPr="00A07F29">
        <w:rPr>
          <w:rFonts w:ascii="Times New Roman" w:eastAsia="Calibri" w:hAnsi="Times New Roman" w:cs="Times New Roman"/>
          <w:bCs/>
          <w:sz w:val="24"/>
          <w:szCs w:val="24"/>
        </w:rPr>
        <w:t>30 ligzdojoš</w:t>
      </w:r>
      <w:r w:rsidR="007812F7">
        <w:rPr>
          <w:rFonts w:ascii="Times New Roman" w:eastAsia="Calibri" w:hAnsi="Times New Roman" w:cs="Times New Roman"/>
          <w:bCs/>
          <w:sz w:val="24"/>
          <w:szCs w:val="24"/>
        </w:rPr>
        <w:t>u</w:t>
      </w:r>
      <w:r w:rsidRPr="00A07F29">
        <w:rPr>
          <w:rFonts w:ascii="Times New Roman" w:eastAsia="Calibri" w:hAnsi="Times New Roman" w:cs="Times New Roman"/>
          <w:bCs/>
          <w:sz w:val="24"/>
          <w:szCs w:val="24"/>
        </w:rPr>
        <w:t xml:space="preserve"> pār</w:t>
      </w:r>
      <w:r w:rsidR="007812F7">
        <w:rPr>
          <w:rFonts w:ascii="Times New Roman" w:eastAsia="Calibri" w:hAnsi="Times New Roman" w:cs="Times New Roman"/>
          <w:bCs/>
          <w:sz w:val="24"/>
          <w:szCs w:val="24"/>
        </w:rPr>
        <w:t>u</w:t>
      </w:r>
      <w:r w:rsidR="00EE5347">
        <w:rPr>
          <w:rFonts w:ascii="Times New Roman" w:eastAsia="Calibri" w:hAnsi="Times New Roman" w:cs="Times New Roman"/>
          <w:bCs/>
          <w:sz w:val="24"/>
          <w:szCs w:val="24"/>
        </w:rPr>
        <w:t xml:space="preserve"> novērtējumu, bet tas</w:t>
      </w:r>
      <w:r w:rsidRPr="00A07F29">
        <w:rPr>
          <w:rFonts w:ascii="Times New Roman" w:eastAsia="Calibri" w:hAnsi="Times New Roman" w:cs="Times New Roman"/>
          <w:bCs/>
          <w:sz w:val="24"/>
          <w:szCs w:val="24"/>
        </w:rPr>
        <w:t xml:space="preserve"> uzskatāms par neprecīzu</w:t>
      </w:r>
      <w:r w:rsidR="00EE5347">
        <w:rPr>
          <w:rFonts w:ascii="Times New Roman" w:eastAsia="Calibri" w:hAnsi="Times New Roman" w:cs="Times New Roman"/>
          <w:bCs/>
          <w:sz w:val="24"/>
          <w:szCs w:val="24"/>
        </w:rPr>
        <w:t xml:space="preserve"> Ņ</w:t>
      </w:r>
      <w:r w:rsidRPr="00A07F29">
        <w:rPr>
          <w:rFonts w:ascii="Times New Roman" w:eastAsia="Calibri" w:hAnsi="Times New Roman" w:cs="Times New Roman"/>
          <w:bCs/>
          <w:sz w:val="24"/>
          <w:szCs w:val="24"/>
        </w:rPr>
        <w:t>emot vērā intensīvo mežsaimniecisko darbību, sugas populācijas lielums teritorijā varbūtēji ir samazinājies.</w:t>
      </w:r>
    </w:p>
    <w:p w14:paraId="2F5424B2" w14:textId="77777777" w:rsidR="009A4BC5" w:rsidRPr="00A07F29" w:rsidRDefault="009A4BC5" w:rsidP="00FA37C1">
      <w:pPr>
        <w:keepNext/>
        <w:spacing w:before="240" w:after="120" w:line="240" w:lineRule="auto"/>
        <w:jc w:val="both"/>
        <w:rPr>
          <w:rFonts w:ascii="Times New Roman" w:eastAsia="Calibri" w:hAnsi="Times New Roman" w:cs="Times New Roman"/>
          <w:b/>
          <w:i/>
          <w:iCs/>
          <w:sz w:val="24"/>
          <w:szCs w:val="24"/>
        </w:rPr>
      </w:pPr>
      <w:r w:rsidRPr="00A07F29">
        <w:rPr>
          <w:rFonts w:ascii="Times New Roman" w:eastAsia="Calibri" w:hAnsi="Times New Roman" w:cs="Times New Roman"/>
          <w:b/>
          <w:sz w:val="24"/>
          <w:szCs w:val="24"/>
        </w:rPr>
        <w:lastRenderedPageBreak/>
        <w:t xml:space="preserve">Melnā dzilna </w:t>
      </w:r>
      <w:proofErr w:type="spellStart"/>
      <w:r w:rsidRPr="00A07F29">
        <w:rPr>
          <w:rFonts w:ascii="Times New Roman" w:eastAsia="Calibri" w:hAnsi="Times New Roman" w:cs="Times New Roman"/>
          <w:b/>
          <w:i/>
          <w:iCs/>
          <w:sz w:val="24"/>
          <w:szCs w:val="24"/>
        </w:rPr>
        <w:t>Drycopus</w:t>
      </w:r>
      <w:proofErr w:type="spellEnd"/>
      <w:r w:rsidRPr="00A07F29">
        <w:rPr>
          <w:rFonts w:ascii="Times New Roman" w:eastAsia="Calibri" w:hAnsi="Times New Roman" w:cs="Times New Roman"/>
          <w:b/>
          <w:i/>
          <w:iCs/>
          <w:sz w:val="24"/>
          <w:szCs w:val="24"/>
        </w:rPr>
        <w:t xml:space="preserve"> </w:t>
      </w:r>
      <w:proofErr w:type="spellStart"/>
      <w:r w:rsidRPr="00A07F29">
        <w:rPr>
          <w:rFonts w:ascii="Times New Roman" w:eastAsia="Calibri" w:hAnsi="Times New Roman" w:cs="Times New Roman"/>
          <w:b/>
          <w:i/>
          <w:iCs/>
          <w:sz w:val="24"/>
          <w:szCs w:val="24"/>
        </w:rPr>
        <w:t>martius</w:t>
      </w:r>
      <w:proofErr w:type="spellEnd"/>
    </w:p>
    <w:p w14:paraId="7982BE5A" w14:textId="4500B98E"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Populācijas lielums Latvijā: 6000</w:t>
      </w:r>
      <w:r w:rsidR="00192B12">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192B12">
        <w:rPr>
          <w:rFonts w:ascii="Times New Roman" w:eastAsia="Calibri" w:hAnsi="Times New Roman" w:cs="Times New Roman"/>
          <w:sz w:val="24"/>
          <w:szCs w:val="24"/>
        </w:rPr>
        <w:t> </w:t>
      </w:r>
      <w:r w:rsidRPr="00A07F29">
        <w:rPr>
          <w:rFonts w:ascii="Times New Roman" w:eastAsia="Calibri" w:hAnsi="Times New Roman" w:cs="Times New Roman"/>
          <w:sz w:val="24"/>
          <w:szCs w:val="24"/>
        </w:rPr>
        <w:t>10000 pāri (</w:t>
      </w:r>
      <w:proofErr w:type="spellStart"/>
      <w:r w:rsidRPr="00A07F29">
        <w:rPr>
          <w:rFonts w:ascii="Times New Roman" w:eastAsia="Calibri" w:hAnsi="Times New Roman" w:cs="Times New Roman"/>
          <w:sz w:val="24"/>
          <w:szCs w:val="24"/>
        </w:rPr>
        <w:t>Birdlife</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International</w:t>
      </w:r>
      <w:proofErr w:type="spellEnd"/>
      <w:r w:rsidR="00392BE6">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2019).</w:t>
      </w:r>
      <w:r w:rsidR="0069748E" w:rsidRPr="00A07F29">
        <w:rPr>
          <w:rFonts w:ascii="Times New Roman" w:eastAsia="Calibri" w:hAnsi="Times New Roman" w:cs="Times New Roman"/>
          <w:sz w:val="24"/>
          <w:szCs w:val="24"/>
        </w:rPr>
        <w:t xml:space="preserve"> </w:t>
      </w:r>
      <w:r w:rsidRPr="00A07F29">
        <w:rPr>
          <w:rFonts w:ascii="Times New Roman" w:eastAsia="Calibri" w:hAnsi="Times New Roman" w:cs="Times New Roman"/>
          <w:sz w:val="24"/>
          <w:szCs w:val="24"/>
        </w:rPr>
        <w:t>Sugai raksturīgas relatīvi lielas ligzdošanas teritorijas. Dažādos pētījumos ligzdošanas teritorijas lielums variē 1</w:t>
      </w:r>
      <w:r w:rsidR="00192B12">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192B12">
        <w:rPr>
          <w:rFonts w:ascii="Times New Roman" w:eastAsia="Calibri" w:hAnsi="Times New Roman" w:cs="Times New Roman"/>
          <w:sz w:val="24"/>
          <w:szCs w:val="24"/>
        </w:rPr>
        <w:t> </w:t>
      </w:r>
      <w:r w:rsidRPr="00A07F29">
        <w:rPr>
          <w:rFonts w:ascii="Times New Roman" w:eastAsia="Calibri" w:hAnsi="Times New Roman" w:cs="Times New Roman"/>
          <w:sz w:val="24"/>
          <w:szCs w:val="24"/>
        </w:rPr>
        <w:t>10</w:t>
      </w:r>
      <w:r w:rsidR="00192B12">
        <w:rPr>
          <w:rFonts w:ascii="Times New Roman" w:eastAsia="Calibri" w:hAnsi="Times New Roman" w:cs="Times New Roman"/>
          <w:sz w:val="24"/>
          <w:szCs w:val="24"/>
        </w:rPr>
        <w:t> </w:t>
      </w:r>
      <w:r w:rsidRPr="00A07F29">
        <w:rPr>
          <w:rFonts w:ascii="Times New Roman" w:eastAsia="Calibri" w:hAnsi="Times New Roman" w:cs="Times New Roman"/>
          <w:sz w:val="24"/>
          <w:szCs w:val="24"/>
        </w:rPr>
        <w:t>km</w:t>
      </w:r>
      <w:r w:rsidRPr="00A07F29">
        <w:rPr>
          <w:rFonts w:ascii="Times New Roman" w:eastAsia="Calibri" w:hAnsi="Times New Roman" w:cs="Times New Roman"/>
          <w:sz w:val="24"/>
          <w:szCs w:val="24"/>
          <w:vertAlign w:val="superscript"/>
        </w:rPr>
        <w:t>2</w:t>
      </w:r>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Gorman</w:t>
      </w:r>
      <w:proofErr w:type="spellEnd"/>
      <w:r w:rsidRPr="00A07F29">
        <w:rPr>
          <w:rFonts w:ascii="Times New Roman" w:eastAsia="Calibri" w:hAnsi="Times New Roman" w:cs="Times New Roman"/>
          <w:sz w:val="24"/>
          <w:szCs w:val="24"/>
        </w:rPr>
        <w:t xml:space="preserve"> </w:t>
      </w:r>
      <w:r w:rsidR="00392BE6">
        <w:rPr>
          <w:rFonts w:ascii="Times New Roman" w:eastAsia="Calibri" w:hAnsi="Times New Roman" w:cs="Times New Roman"/>
          <w:sz w:val="24"/>
          <w:szCs w:val="24"/>
        </w:rPr>
        <w:t xml:space="preserve">G., </w:t>
      </w:r>
      <w:r w:rsidRPr="00A07F29">
        <w:rPr>
          <w:rFonts w:ascii="Times New Roman" w:eastAsia="Calibri" w:hAnsi="Times New Roman" w:cs="Times New Roman"/>
          <w:sz w:val="24"/>
          <w:szCs w:val="24"/>
        </w:rPr>
        <w:t>2011).</w:t>
      </w:r>
    </w:p>
    <w:p w14:paraId="0EB9C98D" w14:textId="60520498" w:rsidR="00E820BA" w:rsidRPr="00A07F29" w:rsidRDefault="00E820BA"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AAA “Augšdaugava” 2019. un 2020.</w:t>
      </w:r>
      <w:r w:rsidR="00192B12">
        <w:rPr>
          <w:rFonts w:ascii="Times New Roman" w:eastAsia="Calibri" w:hAnsi="Times New Roman" w:cs="Times New Roman"/>
          <w:sz w:val="24"/>
          <w:szCs w:val="24"/>
        </w:rPr>
        <w:t> </w:t>
      </w:r>
      <w:r w:rsidRPr="00A07F29">
        <w:rPr>
          <w:rFonts w:ascii="Times New Roman" w:eastAsia="Calibri" w:hAnsi="Times New Roman" w:cs="Times New Roman"/>
          <w:sz w:val="24"/>
          <w:szCs w:val="24"/>
        </w:rPr>
        <w:t>gadā veikto uzskaišu laikā melnā dzilna konstatēta 43 potenciālās ligzdošanas teritorijās.</w:t>
      </w:r>
    </w:p>
    <w:p w14:paraId="111DEF00" w14:textId="0AE7A297"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Skaita vērtējums teritorijā: 50</w:t>
      </w:r>
      <w:r w:rsidR="00192B12">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192B12">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75 ligzdojoši pāri. Sugai </w:t>
      </w:r>
      <w:proofErr w:type="spellStart"/>
      <w:r w:rsidRPr="00A07F29">
        <w:rPr>
          <w:rFonts w:ascii="Times New Roman" w:eastAsia="Calibri" w:hAnsi="Times New Roman" w:cs="Times New Roman"/>
          <w:i/>
          <w:iCs/>
          <w:sz w:val="24"/>
          <w:szCs w:val="24"/>
        </w:rPr>
        <w:t>Natura</w:t>
      </w:r>
      <w:proofErr w:type="spellEnd"/>
      <w:r w:rsidRPr="00A07F29">
        <w:rPr>
          <w:rFonts w:ascii="Times New Roman" w:eastAsia="Calibri" w:hAnsi="Times New Roman" w:cs="Times New Roman"/>
          <w:i/>
          <w:iCs/>
          <w:sz w:val="24"/>
          <w:szCs w:val="24"/>
        </w:rPr>
        <w:t xml:space="preserve"> 2000</w:t>
      </w:r>
      <w:r w:rsidRPr="00A07F29">
        <w:rPr>
          <w:rFonts w:ascii="Times New Roman" w:eastAsia="Calibri" w:hAnsi="Times New Roman" w:cs="Times New Roman"/>
          <w:sz w:val="24"/>
          <w:szCs w:val="24"/>
        </w:rPr>
        <w:t xml:space="preserve"> </w:t>
      </w:r>
      <w:r w:rsidR="00EE71DC">
        <w:rPr>
          <w:rFonts w:ascii="Times New Roman" w:eastAsia="Calibri" w:hAnsi="Times New Roman" w:cs="Times New Roman"/>
          <w:sz w:val="24"/>
          <w:szCs w:val="24"/>
        </w:rPr>
        <w:t>SDF</w:t>
      </w:r>
      <w:r w:rsidRPr="00A07F29">
        <w:rPr>
          <w:rFonts w:ascii="Times New Roman" w:eastAsia="Calibri" w:hAnsi="Times New Roman" w:cs="Times New Roman"/>
          <w:sz w:val="24"/>
          <w:szCs w:val="24"/>
        </w:rPr>
        <w:t xml:space="preserve"> precizēts minimālais un maksimālais populācijas lielums.</w:t>
      </w:r>
    </w:p>
    <w:p w14:paraId="44667D69" w14:textId="77777777" w:rsidR="009A4BC5" w:rsidRPr="00A07F29" w:rsidRDefault="009A4BC5" w:rsidP="00FA37C1">
      <w:pPr>
        <w:keepNext/>
        <w:spacing w:before="240" w:after="120" w:line="240" w:lineRule="auto"/>
        <w:jc w:val="both"/>
        <w:rPr>
          <w:rFonts w:ascii="Times New Roman" w:eastAsia="Calibri" w:hAnsi="Times New Roman" w:cs="Times New Roman"/>
          <w:b/>
          <w:i/>
          <w:iCs/>
          <w:sz w:val="24"/>
          <w:szCs w:val="24"/>
        </w:rPr>
      </w:pPr>
      <w:r w:rsidRPr="00A07F29">
        <w:rPr>
          <w:rFonts w:ascii="Times New Roman" w:eastAsia="Calibri" w:hAnsi="Times New Roman" w:cs="Times New Roman"/>
          <w:b/>
          <w:sz w:val="24"/>
          <w:szCs w:val="24"/>
        </w:rPr>
        <w:t xml:space="preserve">Pelēkā dzilna </w:t>
      </w:r>
      <w:proofErr w:type="spellStart"/>
      <w:r w:rsidRPr="00A07F29">
        <w:rPr>
          <w:rFonts w:ascii="Times New Roman" w:eastAsia="Calibri" w:hAnsi="Times New Roman" w:cs="Times New Roman"/>
          <w:b/>
          <w:i/>
          <w:iCs/>
          <w:sz w:val="24"/>
          <w:szCs w:val="24"/>
        </w:rPr>
        <w:t>Picus</w:t>
      </w:r>
      <w:proofErr w:type="spellEnd"/>
      <w:r w:rsidRPr="00A07F29">
        <w:rPr>
          <w:rFonts w:ascii="Times New Roman" w:eastAsia="Calibri" w:hAnsi="Times New Roman" w:cs="Times New Roman"/>
          <w:b/>
          <w:i/>
          <w:iCs/>
          <w:sz w:val="24"/>
          <w:szCs w:val="24"/>
        </w:rPr>
        <w:t xml:space="preserve"> </w:t>
      </w:r>
      <w:proofErr w:type="spellStart"/>
      <w:r w:rsidRPr="00A07F29">
        <w:rPr>
          <w:rFonts w:ascii="Times New Roman" w:eastAsia="Calibri" w:hAnsi="Times New Roman" w:cs="Times New Roman"/>
          <w:b/>
          <w:i/>
          <w:iCs/>
          <w:sz w:val="24"/>
          <w:szCs w:val="24"/>
        </w:rPr>
        <w:t>canus</w:t>
      </w:r>
      <w:proofErr w:type="spellEnd"/>
    </w:p>
    <w:p w14:paraId="26444D7B" w14:textId="5716CD49" w:rsidR="00FA37C1"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Populācijas lielums Latvijā: 3000</w:t>
      </w:r>
      <w:r w:rsidR="00192B12">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192B12">
        <w:rPr>
          <w:rFonts w:ascii="Times New Roman" w:eastAsia="Calibri" w:hAnsi="Times New Roman" w:cs="Times New Roman"/>
          <w:sz w:val="24"/>
          <w:szCs w:val="24"/>
        </w:rPr>
        <w:t> </w:t>
      </w:r>
      <w:r w:rsidRPr="00A07F29">
        <w:rPr>
          <w:rFonts w:ascii="Times New Roman" w:eastAsia="Calibri" w:hAnsi="Times New Roman" w:cs="Times New Roman"/>
          <w:sz w:val="24"/>
          <w:szCs w:val="24"/>
        </w:rPr>
        <w:t>5000 pāri (</w:t>
      </w:r>
      <w:proofErr w:type="spellStart"/>
      <w:r w:rsidRPr="00A07F29">
        <w:rPr>
          <w:rFonts w:ascii="Times New Roman" w:eastAsia="Calibri" w:hAnsi="Times New Roman" w:cs="Times New Roman"/>
          <w:sz w:val="24"/>
          <w:szCs w:val="24"/>
        </w:rPr>
        <w:t>Birdlife</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International</w:t>
      </w:r>
      <w:proofErr w:type="spellEnd"/>
      <w:r w:rsidR="00392BE6">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2019).</w:t>
      </w:r>
      <w:r w:rsidR="00FA37C1" w:rsidRPr="00A07F29">
        <w:rPr>
          <w:rFonts w:ascii="Times New Roman" w:eastAsia="Calibri" w:hAnsi="Times New Roman" w:cs="Times New Roman"/>
          <w:sz w:val="24"/>
          <w:szCs w:val="24"/>
        </w:rPr>
        <w:t xml:space="preserve"> </w:t>
      </w:r>
      <w:r w:rsidRPr="00A07F29">
        <w:rPr>
          <w:rFonts w:ascii="Times New Roman" w:eastAsia="Calibri" w:hAnsi="Times New Roman" w:cs="Times New Roman"/>
          <w:sz w:val="24"/>
          <w:szCs w:val="24"/>
        </w:rPr>
        <w:t xml:space="preserve">Apdzīvo mežaudzes ar lielu lapu koku īpatsvaru, sastopama arī viensētu tiešā tuvumā, parkos. </w:t>
      </w:r>
    </w:p>
    <w:p w14:paraId="535A27E4" w14:textId="5E922746" w:rsidR="009A4BC5" w:rsidRPr="00A07F29" w:rsidRDefault="00FA37C1" w:rsidP="009A4BC5">
      <w:pPr>
        <w:spacing w:after="120" w:line="240" w:lineRule="auto"/>
        <w:ind w:firstLine="851"/>
        <w:jc w:val="both"/>
        <w:rPr>
          <w:rFonts w:ascii="Times New Roman" w:eastAsia="Calibri" w:hAnsi="Times New Roman" w:cs="Times New Roman"/>
          <w:bCs/>
          <w:sz w:val="24"/>
          <w:szCs w:val="24"/>
        </w:rPr>
      </w:pPr>
      <w:r w:rsidRPr="00A07F29">
        <w:rPr>
          <w:rFonts w:ascii="Times New Roman" w:eastAsia="Calibri" w:hAnsi="Times New Roman" w:cs="Times New Roman"/>
          <w:sz w:val="24"/>
          <w:szCs w:val="24"/>
        </w:rPr>
        <w:t xml:space="preserve">AAA “Augšdaugava” </w:t>
      </w:r>
      <w:r w:rsidR="009A4BC5" w:rsidRPr="00A07F29">
        <w:rPr>
          <w:rFonts w:ascii="Times New Roman" w:eastAsia="Calibri" w:hAnsi="Times New Roman" w:cs="Times New Roman"/>
          <w:sz w:val="24"/>
          <w:szCs w:val="24"/>
        </w:rPr>
        <w:t>2019. un 2020.</w:t>
      </w:r>
      <w:r w:rsidR="00192B12">
        <w:rPr>
          <w:rFonts w:ascii="Times New Roman" w:eastAsia="Calibri" w:hAnsi="Times New Roman" w:cs="Times New Roman"/>
          <w:sz w:val="24"/>
          <w:szCs w:val="24"/>
        </w:rPr>
        <w:t> </w:t>
      </w:r>
      <w:r w:rsidR="009A4BC5" w:rsidRPr="00A07F29">
        <w:rPr>
          <w:rFonts w:ascii="Times New Roman" w:eastAsia="Calibri" w:hAnsi="Times New Roman" w:cs="Times New Roman"/>
          <w:sz w:val="24"/>
          <w:szCs w:val="24"/>
        </w:rPr>
        <w:t>gadā veikto uzskaišu laikā suga konstatēta 46 atradnēs.</w:t>
      </w:r>
    </w:p>
    <w:p w14:paraId="125D62A7" w14:textId="7A0F8E79"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bCs/>
          <w:sz w:val="24"/>
          <w:szCs w:val="24"/>
        </w:rPr>
        <w:t>Skaita vērtējums teritorijā: 50</w:t>
      </w:r>
      <w:r w:rsidR="00192B12">
        <w:rPr>
          <w:rFonts w:ascii="Times New Roman" w:eastAsia="Calibri" w:hAnsi="Times New Roman" w:cs="Times New Roman"/>
          <w:bCs/>
          <w:sz w:val="24"/>
          <w:szCs w:val="24"/>
        </w:rPr>
        <w:t> </w:t>
      </w:r>
      <w:r w:rsidRPr="00A07F29">
        <w:rPr>
          <w:rFonts w:ascii="Times New Roman" w:eastAsia="Calibri" w:hAnsi="Times New Roman" w:cs="Times New Roman"/>
          <w:bCs/>
          <w:sz w:val="24"/>
          <w:szCs w:val="24"/>
        </w:rPr>
        <w:t>–</w:t>
      </w:r>
      <w:r w:rsidR="00192B12">
        <w:rPr>
          <w:rFonts w:ascii="Times New Roman" w:eastAsia="Calibri" w:hAnsi="Times New Roman" w:cs="Times New Roman"/>
          <w:bCs/>
          <w:sz w:val="24"/>
          <w:szCs w:val="24"/>
        </w:rPr>
        <w:t> </w:t>
      </w:r>
      <w:r w:rsidRPr="00A07F29">
        <w:rPr>
          <w:rFonts w:ascii="Times New Roman" w:eastAsia="Calibri" w:hAnsi="Times New Roman" w:cs="Times New Roman"/>
          <w:bCs/>
          <w:sz w:val="24"/>
          <w:szCs w:val="24"/>
        </w:rPr>
        <w:t>60 ligzdojoši pāri.</w:t>
      </w:r>
      <w:r w:rsidR="00FA37C1" w:rsidRPr="00A07F29">
        <w:rPr>
          <w:rFonts w:ascii="Times New Roman" w:eastAsia="Calibri" w:hAnsi="Times New Roman" w:cs="Times New Roman"/>
          <w:bCs/>
          <w:sz w:val="24"/>
          <w:szCs w:val="24"/>
        </w:rPr>
        <w:t xml:space="preserve"> </w:t>
      </w:r>
      <w:r w:rsidRPr="00A07F29">
        <w:rPr>
          <w:rFonts w:ascii="Times New Roman" w:eastAsia="Calibri" w:hAnsi="Times New Roman" w:cs="Times New Roman"/>
          <w:sz w:val="24"/>
          <w:szCs w:val="24"/>
        </w:rPr>
        <w:t xml:space="preserve">Sugai </w:t>
      </w:r>
      <w:proofErr w:type="spellStart"/>
      <w:r w:rsidRPr="00A07F29">
        <w:rPr>
          <w:rFonts w:ascii="Times New Roman" w:eastAsia="Calibri" w:hAnsi="Times New Roman" w:cs="Times New Roman"/>
          <w:i/>
          <w:iCs/>
          <w:sz w:val="24"/>
          <w:szCs w:val="24"/>
        </w:rPr>
        <w:t>Natura</w:t>
      </w:r>
      <w:proofErr w:type="spellEnd"/>
      <w:r w:rsidRPr="00A07F29">
        <w:rPr>
          <w:rFonts w:ascii="Times New Roman" w:eastAsia="Calibri" w:hAnsi="Times New Roman" w:cs="Times New Roman"/>
          <w:i/>
          <w:iCs/>
          <w:sz w:val="24"/>
          <w:szCs w:val="24"/>
        </w:rPr>
        <w:t xml:space="preserve"> 2000</w:t>
      </w:r>
      <w:r w:rsidRPr="00A07F29">
        <w:rPr>
          <w:rFonts w:ascii="Times New Roman" w:eastAsia="Calibri" w:hAnsi="Times New Roman" w:cs="Times New Roman"/>
          <w:sz w:val="24"/>
          <w:szCs w:val="24"/>
        </w:rPr>
        <w:t xml:space="preserve"> </w:t>
      </w:r>
      <w:r w:rsidR="00EE71DC">
        <w:rPr>
          <w:rFonts w:ascii="Times New Roman" w:eastAsia="Calibri" w:hAnsi="Times New Roman" w:cs="Times New Roman"/>
          <w:sz w:val="24"/>
          <w:szCs w:val="24"/>
        </w:rPr>
        <w:t>SDF</w:t>
      </w:r>
      <w:r w:rsidRPr="00A07F29">
        <w:rPr>
          <w:rFonts w:ascii="Times New Roman" w:eastAsia="Calibri" w:hAnsi="Times New Roman" w:cs="Times New Roman"/>
          <w:sz w:val="24"/>
          <w:szCs w:val="24"/>
        </w:rPr>
        <w:t xml:space="preserve"> precizēts minimālais un maksimālais populācijas lielums.</w:t>
      </w:r>
    </w:p>
    <w:p w14:paraId="239E6C46" w14:textId="77777777" w:rsidR="009A4BC5" w:rsidRPr="00A07F29" w:rsidRDefault="009A4BC5" w:rsidP="00FA37C1">
      <w:pPr>
        <w:spacing w:before="240" w:after="120" w:line="240" w:lineRule="auto"/>
        <w:jc w:val="both"/>
        <w:rPr>
          <w:rFonts w:ascii="Times New Roman" w:eastAsia="Calibri" w:hAnsi="Times New Roman" w:cs="Times New Roman"/>
          <w:b/>
          <w:bCs/>
          <w:i/>
          <w:iCs/>
          <w:sz w:val="24"/>
          <w:szCs w:val="24"/>
        </w:rPr>
      </w:pPr>
      <w:r w:rsidRPr="00A07F29">
        <w:rPr>
          <w:rFonts w:ascii="Times New Roman" w:eastAsia="Calibri" w:hAnsi="Times New Roman" w:cs="Times New Roman"/>
          <w:b/>
          <w:bCs/>
          <w:sz w:val="24"/>
          <w:szCs w:val="24"/>
        </w:rPr>
        <w:t xml:space="preserve">Zaļā dzilna </w:t>
      </w:r>
      <w:proofErr w:type="spellStart"/>
      <w:r w:rsidRPr="00A07F29">
        <w:rPr>
          <w:rFonts w:ascii="Times New Roman" w:eastAsia="Calibri" w:hAnsi="Times New Roman" w:cs="Times New Roman"/>
          <w:b/>
          <w:bCs/>
          <w:i/>
          <w:iCs/>
          <w:sz w:val="24"/>
          <w:szCs w:val="24"/>
        </w:rPr>
        <w:t>Picus</w:t>
      </w:r>
      <w:proofErr w:type="spellEnd"/>
      <w:r w:rsidRPr="00A07F29">
        <w:rPr>
          <w:rFonts w:ascii="Times New Roman" w:eastAsia="Calibri" w:hAnsi="Times New Roman" w:cs="Times New Roman"/>
          <w:b/>
          <w:bCs/>
          <w:i/>
          <w:iCs/>
          <w:sz w:val="24"/>
          <w:szCs w:val="24"/>
        </w:rPr>
        <w:t xml:space="preserve"> </w:t>
      </w:r>
      <w:proofErr w:type="spellStart"/>
      <w:r w:rsidRPr="00A07F29">
        <w:rPr>
          <w:rFonts w:ascii="Times New Roman" w:eastAsia="Calibri" w:hAnsi="Times New Roman" w:cs="Times New Roman"/>
          <w:b/>
          <w:bCs/>
          <w:i/>
          <w:iCs/>
          <w:sz w:val="24"/>
          <w:szCs w:val="24"/>
        </w:rPr>
        <w:t>viridis</w:t>
      </w:r>
      <w:proofErr w:type="spellEnd"/>
    </w:p>
    <w:p w14:paraId="66701FB7" w14:textId="20CE5246"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Populācijas lielums Latvijā: 1</w:t>
      </w:r>
      <w:r w:rsidR="00192B12">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192B12">
        <w:rPr>
          <w:rFonts w:ascii="Times New Roman" w:eastAsia="Calibri" w:hAnsi="Times New Roman" w:cs="Times New Roman"/>
          <w:sz w:val="24"/>
          <w:szCs w:val="24"/>
        </w:rPr>
        <w:t> </w:t>
      </w:r>
      <w:r w:rsidRPr="00A07F29">
        <w:rPr>
          <w:rFonts w:ascii="Times New Roman" w:eastAsia="Calibri" w:hAnsi="Times New Roman" w:cs="Times New Roman"/>
          <w:sz w:val="24"/>
          <w:szCs w:val="24"/>
        </w:rPr>
        <w:t>4 pāri (</w:t>
      </w:r>
      <w:proofErr w:type="spellStart"/>
      <w:r w:rsidRPr="00A07F29">
        <w:rPr>
          <w:rFonts w:ascii="Times New Roman" w:eastAsia="Calibri" w:hAnsi="Times New Roman" w:cs="Times New Roman"/>
          <w:sz w:val="24"/>
          <w:szCs w:val="24"/>
        </w:rPr>
        <w:t>Birdlife</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International</w:t>
      </w:r>
      <w:proofErr w:type="spellEnd"/>
      <w:r w:rsidR="00392BE6">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2019).</w:t>
      </w:r>
      <w:r w:rsidR="00FA37C1" w:rsidRPr="00A07F29">
        <w:rPr>
          <w:rFonts w:ascii="Times New Roman" w:eastAsia="Calibri" w:hAnsi="Times New Roman" w:cs="Times New Roman"/>
          <w:sz w:val="24"/>
          <w:szCs w:val="24"/>
        </w:rPr>
        <w:t xml:space="preserve"> </w:t>
      </w:r>
      <w:r w:rsidRPr="00A07F29">
        <w:rPr>
          <w:rFonts w:ascii="Times New Roman" w:eastAsia="Calibri" w:hAnsi="Times New Roman" w:cs="Times New Roman"/>
          <w:sz w:val="24"/>
          <w:szCs w:val="24"/>
        </w:rPr>
        <w:t xml:space="preserve">Latvija atrodas uz sugas izplatības areāla </w:t>
      </w:r>
      <w:r w:rsidR="00FA37C1" w:rsidRPr="00A07F29">
        <w:rPr>
          <w:rFonts w:ascii="Times New Roman" w:eastAsia="Calibri" w:hAnsi="Times New Roman" w:cs="Times New Roman"/>
          <w:sz w:val="24"/>
          <w:szCs w:val="24"/>
        </w:rPr>
        <w:t xml:space="preserve">Z </w:t>
      </w:r>
      <w:r w:rsidRPr="00A07F29">
        <w:rPr>
          <w:rFonts w:ascii="Times New Roman" w:eastAsia="Calibri" w:hAnsi="Times New Roman" w:cs="Times New Roman"/>
          <w:sz w:val="24"/>
          <w:szCs w:val="24"/>
        </w:rPr>
        <w:t>robežas un pēdējais zināmais pierādītas ligzdošanas gadījums ir konstatēts 2017.</w:t>
      </w:r>
      <w:r w:rsidR="00192B12">
        <w:rPr>
          <w:rFonts w:ascii="Times New Roman" w:eastAsia="Calibri" w:hAnsi="Times New Roman" w:cs="Times New Roman"/>
          <w:sz w:val="24"/>
          <w:szCs w:val="24"/>
        </w:rPr>
        <w:t> </w:t>
      </w:r>
      <w:r w:rsidRPr="00A07F29">
        <w:rPr>
          <w:rFonts w:ascii="Times New Roman" w:eastAsia="Calibri" w:hAnsi="Times New Roman" w:cs="Times New Roman"/>
          <w:sz w:val="24"/>
          <w:szCs w:val="24"/>
        </w:rPr>
        <w:t>gadā Krāslavas pils parkā, AAA “Augšdaugava” tiešā tuvumā. Šo teritoriju apmeklējot 2019. un 2020.</w:t>
      </w:r>
      <w:r w:rsidR="00192B12">
        <w:rPr>
          <w:rFonts w:ascii="Times New Roman" w:eastAsia="Calibri" w:hAnsi="Times New Roman" w:cs="Times New Roman"/>
          <w:sz w:val="24"/>
          <w:szCs w:val="24"/>
        </w:rPr>
        <w:t> </w:t>
      </w:r>
      <w:r w:rsidRPr="00A07F29">
        <w:rPr>
          <w:rFonts w:ascii="Times New Roman" w:eastAsia="Calibri" w:hAnsi="Times New Roman" w:cs="Times New Roman"/>
          <w:sz w:val="24"/>
          <w:szCs w:val="24"/>
        </w:rPr>
        <w:t>gadā, suga vairs nav konstatēta.</w:t>
      </w:r>
    </w:p>
    <w:p w14:paraId="767DA99C" w14:textId="2D0FD52D" w:rsidR="009A4BC5" w:rsidRPr="00A07F29" w:rsidRDefault="00F57B02"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AAA “Augšdaugava” t</w:t>
      </w:r>
      <w:r w:rsidR="009A4BC5" w:rsidRPr="00A07F29">
        <w:rPr>
          <w:rFonts w:ascii="Times New Roman" w:eastAsia="Calibri" w:hAnsi="Times New Roman" w:cs="Times New Roman"/>
          <w:sz w:val="24"/>
          <w:szCs w:val="24"/>
        </w:rPr>
        <w:t>eritoriāls zaļo dzilnu pāris konstatēts 2020.</w:t>
      </w:r>
      <w:r w:rsidR="00192B12">
        <w:rPr>
          <w:rFonts w:ascii="Times New Roman" w:eastAsia="Calibri" w:hAnsi="Times New Roman" w:cs="Times New Roman"/>
          <w:sz w:val="24"/>
          <w:szCs w:val="24"/>
        </w:rPr>
        <w:t> gada 28. martā</w:t>
      </w:r>
      <w:r w:rsidR="009A4BC5" w:rsidRPr="00A07F29">
        <w:rPr>
          <w:rFonts w:ascii="Times New Roman" w:eastAsia="Calibri" w:hAnsi="Times New Roman" w:cs="Times New Roman"/>
          <w:sz w:val="24"/>
          <w:szCs w:val="24"/>
        </w:rPr>
        <w:t xml:space="preserve"> </w:t>
      </w:r>
      <w:proofErr w:type="spellStart"/>
      <w:r w:rsidR="009A4BC5" w:rsidRPr="00A07F29">
        <w:rPr>
          <w:rFonts w:ascii="Times New Roman" w:eastAsia="Calibri" w:hAnsi="Times New Roman" w:cs="Times New Roman"/>
          <w:sz w:val="24"/>
          <w:szCs w:val="24"/>
        </w:rPr>
        <w:t>Lielindricas</w:t>
      </w:r>
      <w:proofErr w:type="spellEnd"/>
      <w:r w:rsidR="009A4BC5" w:rsidRPr="00A07F29">
        <w:rPr>
          <w:rFonts w:ascii="Times New Roman" w:eastAsia="Calibri" w:hAnsi="Times New Roman" w:cs="Times New Roman"/>
          <w:sz w:val="24"/>
          <w:szCs w:val="24"/>
        </w:rPr>
        <w:t xml:space="preserve"> baznīcas apkārtnē.</w:t>
      </w:r>
    </w:p>
    <w:p w14:paraId="43812F35" w14:textId="6078EFA3"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Skaita vērtējums teritorijā: </w:t>
      </w:r>
      <w:r w:rsidR="00192B12">
        <w:rPr>
          <w:rFonts w:ascii="Times New Roman" w:eastAsia="Calibri" w:hAnsi="Times New Roman" w:cs="Times New Roman"/>
          <w:sz w:val="24"/>
          <w:szCs w:val="24"/>
        </w:rPr>
        <w:t>viens</w:t>
      </w:r>
      <w:r w:rsidRPr="00A07F29">
        <w:rPr>
          <w:rFonts w:ascii="Times New Roman" w:eastAsia="Calibri" w:hAnsi="Times New Roman" w:cs="Times New Roman"/>
          <w:sz w:val="24"/>
          <w:szCs w:val="24"/>
        </w:rPr>
        <w:t xml:space="preserve"> pāris.</w:t>
      </w:r>
      <w:r w:rsidR="00F57B02" w:rsidRPr="00A07F29">
        <w:rPr>
          <w:rFonts w:ascii="Times New Roman" w:eastAsia="Calibri" w:hAnsi="Times New Roman" w:cs="Times New Roman"/>
          <w:sz w:val="24"/>
          <w:szCs w:val="24"/>
        </w:rPr>
        <w:t xml:space="preserve"> </w:t>
      </w:r>
      <w:r w:rsidRPr="00A07F29">
        <w:rPr>
          <w:rFonts w:ascii="Times New Roman" w:eastAsia="Calibri" w:hAnsi="Times New Roman" w:cs="Times New Roman"/>
          <w:sz w:val="24"/>
          <w:szCs w:val="24"/>
        </w:rPr>
        <w:t xml:space="preserve">Suga iekļauta </w:t>
      </w:r>
      <w:proofErr w:type="spellStart"/>
      <w:r w:rsidRPr="00A07F29">
        <w:rPr>
          <w:rFonts w:ascii="Times New Roman" w:eastAsia="Calibri" w:hAnsi="Times New Roman" w:cs="Times New Roman"/>
          <w:i/>
          <w:iCs/>
          <w:sz w:val="24"/>
          <w:szCs w:val="24"/>
        </w:rPr>
        <w:t>Natura</w:t>
      </w:r>
      <w:proofErr w:type="spellEnd"/>
      <w:r w:rsidRPr="00A07F29">
        <w:rPr>
          <w:rFonts w:ascii="Times New Roman" w:eastAsia="Calibri" w:hAnsi="Times New Roman" w:cs="Times New Roman"/>
          <w:i/>
          <w:iCs/>
          <w:sz w:val="24"/>
          <w:szCs w:val="24"/>
        </w:rPr>
        <w:t xml:space="preserve"> 2000</w:t>
      </w:r>
      <w:r w:rsidRPr="00A07F29">
        <w:rPr>
          <w:rFonts w:ascii="Times New Roman" w:eastAsia="Calibri" w:hAnsi="Times New Roman" w:cs="Times New Roman"/>
          <w:sz w:val="24"/>
          <w:szCs w:val="24"/>
        </w:rPr>
        <w:t xml:space="preserve"> </w:t>
      </w:r>
      <w:r w:rsidR="00EE71DC">
        <w:rPr>
          <w:rFonts w:ascii="Times New Roman" w:eastAsia="Calibri" w:hAnsi="Times New Roman" w:cs="Times New Roman"/>
          <w:sz w:val="24"/>
          <w:szCs w:val="24"/>
        </w:rPr>
        <w:t>SDF</w:t>
      </w:r>
      <w:r w:rsidRPr="00A07F29">
        <w:rPr>
          <w:rFonts w:ascii="Times New Roman" w:eastAsia="Calibri" w:hAnsi="Times New Roman" w:cs="Times New Roman"/>
          <w:sz w:val="24"/>
          <w:szCs w:val="24"/>
        </w:rPr>
        <w:t>.</w:t>
      </w:r>
    </w:p>
    <w:p w14:paraId="4DFCE177" w14:textId="77777777" w:rsidR="009A4BC5" w:rsidRPr="00A07F29" w:rsidRDefault="009A4BC5" w:rsidP="00F57B02">
      <w:pPr>
        <w:spacing w:before="240" w:after="120" w:line="240" w:lineRule="auto"/>
        <w:jc w:val="both"/>
        <w:rPr>
          <w:rFonts w:ascii="Times New Roman" w:eastAsia="Calibri" w:hAnsi="Times New Roman" w:cs="Times New Roman"/>
          <w:b/>
          <w:i/>
          <w:iCs/>
          <w:sz w:val="24"/>
          <w:szCs w:val="24"/>
        </w:rPr>
      </w:pPr>
      <w:r w:rsidRPr="00A07F29">
        <w:rPr>
          <w:rFonts w:ascii="Times New Roman" w:eastAsia="Calibri" w:hAnsi="Times New Roman" w:cs="Times New Roman"/>
          <w:b/>
          <w:sz w:val="24"/>
          <w:szCs w:val="24"/>
        </w:rPr>
        <w:t>Tītiņš</w:t>
      </w:r>
      <w:r w:rsidRPr="00A07F29">
        <w:rPr>
          <w:rFonts w:ascii="Times New Roman" w:eastAsia="Calibri" w:hAnsi="Times New Roman" w:cs="Times New Roman"/>
          <w:bCs/>
          <w:sz w:val="24"/>
          <w:szCs w:val="24"/>
        </w:rPr>
        <w:t xml:space="preserve"> </w:t>
      </w:r>
      <w:proofErr w:type="spellStart"/>
      <w:r w:rsidRPr="00A07F29">
        <w:rPr>
          <w:rFonts w:ascii="Times New Roman" w:eastAsia="Calibri" w:hAnsi="Times New Roman" w:cs="Times New Roman"/>
          <w:b/>
          <w:i/>
          <w:iCs/>
          <w:sz w:val="24"/>
          <w:szCs w:val="24"/>
        </w:rPr>
        <w:t>Jynx</w:t>
      </w:r>
      <w:proofErr w:type="spellEnd"/>
      <w:r w:rsidRPr="00A07F29">
        <w:rPr>
          <w:rFonts w:ascii="Times New Roman" w:eastAsia="Calibri" w:hAnsi="Times New Roman" w:cs="Times New Roman"/>
          <w:b/>
          <w:i/>
          <w:iCs/>
          <w:sz w:val="24"/>
          <w:szCs w:val="24"/>
        </w:rPr>
        <w:t xml:space="preserve"> </w:t>
      </w:r>
      <w:proofErr w:type="spellStart"/>
      <w:r w:rsidRPr="00A07F29">
        <w:rPr>
          <w:rFonts w:ascii="Times New Roman" w:eastAsia="Calibri" w:hAnsi="Times New Roman" w:cs="Times New Roman"/>
          <w:b/>
          <w:i/>
          <w:iCs/>
          <w:sz w:val="24"/>
          <w:szCs w:val="24"/>
        </w:rPr>
        <w:t>torquilla</w:t>
      </w:r>
      <w:proofErr w:type="spellEnd"/>
    </w:p>
    <w:p w14:paraId="4F9F42CC" w14:textId="2636F85C"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Populācijas lielums Latvijā: 4000</w:t>
      </w:r>
      <w:r w:rsidR="00192B12">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192B12">
        <w:rPr>
          <w:rFonts w:ascii="Times New Roman" w:eastAsia="Calibri" w:hAnsi="Times New Roman" w:cs="Times New Roman"/>
          <w:sz w:val="24"/>
          <w:szCs w:val="24"/>
        </w:rPr>
        <w:t> </w:t>
      </w:r>
      <w:r w:rsidRPr="00A07F29">
        <w:rPr>
          <w:rFonts w:ascii="Times New Roman" w:eastAsia="Calibri" w:hAnsi="Times New Roman" w:cs="Times New Roman"/>
          <w:sz w:val="24"/>
          <w:szCs w:val="24"/>
        </w:rPr>
        <w:t>10000 pāri (</w:t>
      </w:r>
      <w:proofErr w:type="spellStart"/>
      <w:r w:rsidRPr="00A07F29">
        <w:rPr>
          <w:rFonts w:ascii="Times New Roman" w:eastAsia="Calibri" w:hAnsi="Times New Roman" w:cs="Times New Roman"/>
          <w:sz w:val="24"/>
          <w:szCs w:val="24"/>
        </w:rPr>
        <w:t>Birdlife</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International</w:t>
      </w:r>
      <w:proofErr w:type="spellEnd"/>
      <w:r w:rsidR="00392BE6">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2019).</w:t>
      </w:r>
      <w:r w:rsidR="00F57B02" w:rsidRPr="00A07F29">
        <w:rPr>
          <w:rFonts w:ascii="Times New Roman" w:eastAsia="Calibri" w:hAnsi="Times New Roman" w:cs="Times New Roman"/>
          <w:sz w:val="24"/>
          <w:szCs w:val="24"/>
        </w:rPr>
        <w:t xml:space="preserve"> </w:t>
      </w:r>
      <w:r w:rsidRPr="00A07F29">
        <w:rPr>
          <w:rFonts w:ascii="Times New Roman" w:eastAsia="Calibri" w:hAnsi="Times New Roman" w:cs="Times New Roman"/>
          <w:sz w:val="24"/>
          <w:szCs w:val="24"/>
        </w:rPr>
        <w:t>Apdzīvo mozaīkveida ainavu, augļu dārzus, mežmalas.</w:t>
      </w:r>
    </w:p>
    <w:p w14:paraId="426CE3A3" w14:textId="50D5526C"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Skaita vērtējums </w:t>
      </w:r>
      <w:r w:rsidR="00F57B02" w:rsidRPr="00A07F29">
        <w:rPr>
          <w:rFonts w:ascii="Times New Roman" w:eastAsia="Calibri" w:hAnsi="Times New Roman" w:cs="Times New Roman"/>
          <w:sz w:val="24"/>
          <w:szCs w:val="24"/>
        </w:rPr>
        <w:t xml:space="preserve">AAA “Augšdaugava” </w:t>
      </w:r>
      <w:r w:rsidRPr="00A07F29">
        <w:rPr>
          <w:rFonts w:ascii="Times New Roman" w:eastAsia="Calibri" w:hAnsi="Times New Roman" w:cs="Times New Roman"/>
          <w:sz w:val="24"/>
          <w:szCs w:val="24"/>
        </w:rPr>
        <w:t>teritorijā: 100</w:t>
      </w:r>
      <w:r w:rsidR="00192B12">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192B12">
        <w:rPr>
          <w:rFonts w:ascii="Times New Roman" w:eastAsia="Calibri" w:hAnsi="Times New Roman" w:cs="Times New Roman"/>
          <w:sz w:val="24"/>
          <w:szCs w:val="24"/>
        </w:rPr>
        <w:t> </w:t>
      </w:r>
      <w:r w:rsidRPr="00A07F29">
        <w:rPr>
          <w:rFonts w:ascii="Times New Roman" w:eastAsia="Calibri" w:hAnsi="Times New Roman" w:cs="Times New Roman"/>
          <w:sz w:val="24"/>
          <w:szCs w:val="24"/>
        </w:rPr>
        <w:t>150 ligzdojoši pāri. Skaita vērtējumā izmantoti tikai gadījuma rakstura novērojumi, nav veiktas sugai specifiskas uzskaites.</w:t>
      </w:r>
      <w:r w:rsidR="00F57B02" w:rsidRPr="00A07F29">
        <w:rPr>
          <w:rFonts w:ascii="Times New Roman" w:eastAsia="Calibri" w:hAnsi="Times New Roman" w:cs="Times New Roman"/>
          <w:sz w:val="24"/>
          <w:szCs w:val="24"/>
        </w:rPr>
        <w:t xml:space="preserve"> </w:t>
      </w:r>
      <w:r w:rsidRPr="00A07F29">
        <w:rPr>
          <w:rFonts w:ascii="Times New Roman" w:eastAsia="Calibri" w:hAnsi="Times New Roman" w:cs="Times New Roman"/>
          <w:sz w:val="24"/>
          <w:szCs w:val="24"/>
        </w:rPr>
        <w:t xml:space="preserve">Suga iekļauta </w:t>
      </w:r>
      <w:proofErr w:type="spellStart"/>
      <w:r w:rsidRPr="00A07F29">
        <w:rPr>
          <w:rFonts w:ascii="Times New Roman" w:eastAsia="Calibri" w:hAnsi="Times New Roman" w:cs="Times New Roman"/>
          <w:i/>
          <w:iCs/>
          <w:sz w:val="24"/>
          <w:szCs w:val="24"/>
        </w:rPr>
        <w:t>Natura</w:t>
      </w:r>
      <w:proofErr w:type="spellEnd"/>
      <w:r w:rsidRPr="00A07F29">
        <w:rPr>
          <w:rFonts w:ascii="Times New Roman" w:eastAsia="Calibri" w:hAnsi="Times New Roman" w:cs="Times New Roman"/>
          <w:i/>
          <w:iCs/>
          <w:sz w:val="24"/>
          <w:szCs w:val="24"/>
        </w:rPr>
        <w:t xml:space="preserve"> 2000</w:t>
      </w:r>
      <w:r w:rsidRPr="00A07F29">
        <w:rPr>
          <w:rFonts w:ascii="Times New Roman" w:eastAsia="Calibri" w:hAnsi="Times New Roman" w:cs="Times New Roman"/>
          <w:sz w:val="24"/>
          <w:szCs w:val="24"/>
        </w:rPr>
        <w:t xml:space="preserve"> </w:t>
      </w:r>
      <w:r w:rsidR="00EE71DC">
        <w:rPr>
          <w:rFonts w:ascii="Times New Roman" w:eastAsia="Calibri" w:hAnsi="Times New Roman" w:cs="Times New Roman"/>
          <w:sz w:val="24"/>
          <w:szCs w:val="24"/>
        </w:rPr>
        <w:t>SDF</w:t>
      </w:r>
      <w:r w:rsidRPr="00A07F29">
        <w:rPr>
          <w:rFonts w:ascii="Times New Roman" w:eastAsia="Calibri" w:hAnsi="Times New Roman" w:cs="Times New Roman"/>
          <w:sz w:val="24"/>
          <w:szCs w:val="24"/>
        </w:rPr>
        <w:t>.</w:t>
      </w:r>
    </w:p>
    <w:p w14:paraId="6665C7CB" w14:textId="77777777" w:rsidR="009A4BC5" w:rsidRPr="00A07F29" w:rsidRDefault="009A4BC5" w:rsidP="00A467AC">
      <w:pPr>
        <w:keepNext/>
        <w:spacing w:before="240" w:after="120" w:line="240" w:lineRule="auto"/>
        <w:jc w:val="both"/>
        <w:rPr>
          <w:rFonts w:ascii="Times New Roman" w:eastAsia="Calibri" w:hAnsi="Times New Roman" w:cs="Times New Roman"/>
          <w:b/>
          <w:bCs/>
          <w:i/>
          <w:iCs/>
          <w:sz w:val="24"/>
          <w:szCs w:val="24"/>
        </w:rPr>
      </w:pPr>
      <w:r w:rsidRPr="00A07F29">
        <w:rPr>
          <w:rFonts w:ascii="Times New Roman" w:eastAsia="Calibri" w:hAnsi="Times New Roman" w:cs="Times New Roman"/>
          <w:b/>
          <w:bCs/>
          <w:sz w:val="24"/>
          <w:szCs w:val="24"/>
        </w:rPr>
        <w:t xml:space="preserve">Brūnā čakste </w:t>
      </w:r>
      <w:proofErr w:type="spellStart"/>
      <w:r w:rsidRPr="00A07F29">
        <w:rPr>
          <w:rFonts w:ascii="Times New Roman" w:eastAsia="Calibri" w:hAnsi="Times New Roman" w:cs="Times New Roman"/>
          <w:b/>
          <w:bCs/>
          <w:i/>
          <w:iCs/>
          <w:sz w:val="24"/>
          <w:szCs w:val="24"/>
        </w:rPr>
        <w:t>Lanius</w:t>
      </w:r>
      <w:proofErr w:type="spellEnd"/>
      <w:r w:rsidRPr="00A07F29">
        <w:rPr>
          <w:rFonts w:ascii="Times New Roman" w:eastAsia="Calibri" w:hAnsi="Times New Roman" w:cs="Times New Roman"/>
          <w:b/>
          <w:bCs/>
          <w:i/>
          <w:iCs/>
          <w:sz w:val="24"/>
          <w:szCs w:val="24"/>
        </w:rPr>
        <w:t xml:space="preserve"> </w:t>
      </w:r>
      <w:proofErr w:type="spellStart"/>
      <w:r w:rsidRPr="00A07F29">
        <w:rPr>
          <w:rFonts w:ascii="Times New Roman" w:eastAsia="Calibri" w:hAnsi="Times New Roman" w:cs="Times New Roman"/>
          <w:b/>
          <w:bCs/>
          <w:i/>
          <w:iCs/>
          <w:sz w:val="24"/>
          <w:szCs w:val="24"/>
        </w:rPr>
        <w:t>collurio</w:t>
      </w:r>
      <w:proofErr w:type="spellEnd"/>
    </w:p>
    <w:p w14:paraId="6B3AE1A6" w14:textId="70A6AB26"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Populācijas lielums Latvijā: 34608</w:t>
      </w:r>
      <w:r w:rsidR="00192B12">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192B12">
        <w:rPr>
          <w:rFonts w:ascii="Times New Roman" w:eastAsia="Calibri" w:hAnsi="Times New Roman" w:cs="Times New Roman"/>
          <w:sz w:val="24"/>
          <w:szCs w:val="24"/>
        </w:rPr>
        <w:t> </w:t>
      </w:r>
      <w:r w:rsidRPr="00A07F29">
        <w:rPr>
          <w:rFonts w:ascii="Times New Roman" w:eastAsia="Calibri" w:hAnsi="Times New Roman" w:cs="Times New Roman"/>
          <w:sz w:val="24"/>
          <w:szCs w:val="24"/>
        </w:rPr>
        <w:t>90346 pāri (</w:t>
      </w:r>
      <w:proofErr w:type="spellStart"/>
      <w:r w:rsidRPr="00A07F29">
        <w:rPr>
          <w:rFonts w:ascii="Times New Roman" w:eastAsia="Calibri" w:hAnsi="Times New Roman" w:cs="Times New Roman"/>
          <w:sz w:val="24"/>
          <w:szCs w:val="24"/>
        </w:rPr>
        <w:t>Birdlife</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International</w:t>
      </w:r>
      <w:proofErr w:type="spellEnd"/>
      <w:r w:rsidR="00392BE6">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2019).</w:t>
      </w:r>
      <w:r w:rsidR="00F57B02" w:rsidRPr="00A07F29">
        <w:rPr>
          <w:rFonts w:ascii="Times New Roman" w:eastAsia="Calibri" w:hAnsi="Times New Roman" w:cs="Times New Roman"/>
          <w:sz w:val="24"/>
          <w:szCs w:val="24"/>
        </w:rPr>
        <w:t xml:space="preserve"> </w:t>
      </w:r>
      <w:r w:rsidRPr="00A07F29">
        <w:rPr>
          <w:rFonts w:ascii="Times New Roman" w:eastAsia="Calibri" w:hAnsi="Times New Roman" w:cs="Times New Roman"/>
          <w:sz w:val="24"/>
          <w:szCs w:val="24"/>
        </w:rPr>
        <w:t xml:space="preserve">Apdzīvo aizaugošus izcirtumus, krūmainas ceļmalas, augļu dārzus, mežmalas, mitras krūmainas </w:t>
      </w:r>
      <w:proofErr w:type="spellStart"/>
      <w:r w:rsidRPr="00A07F29">
        <w:rPr>
          <w:rFonts w:ascii="Times New Roman" w:eastAsia="Calibri" w:hAnsi="Times New Roman" w:cs="Times New Roman"/>
          <w:sz w:val="24"/>
          <w:szCs w:val="24"/>
        </w:rPr>
        <w:t>ieplakas</w:t>
      </w:r>
      <w:proofErr w:type="spellEnd"/>
      <w:r w:rsidRPr="00A07F29">
        <w:rPr>
          <w:rFonts w:ascii="Times New Roman" w:eastAsia="Calibri" w:hAnsi="Times New Roman" w:cs="Times New Roman"/>
          <w:sz w:val="24"/>
          <w:szCs w:val="24"/>
        </w:rPr>
        <w:t xml:space="preserve"> lauksaimniecības zem</w:t>
      </w:r>
      <w:r w:rsidR="009E41FF">
        <w:rPr>
          <w:rFonts w:ascii="Times New Roman" w:eastAsia="Calibri" w:hAnsi="Times New Roman" w:cs="Times New Roman"/>
          <w:sz w:val="24"/>
          <w:szCs w:val="24"/>
        </w:rPr>
        <w:t>e</w:t>
      </w:r>
      <w:r w:rsidRPr="00A07F29">
        <w:rPr>
          <w:rFonts w:ascii="Times New Roman" w:eastAsia="Calibri" w:hAnsi="Times New Roman" w:cs="Times New Roman"/>
          <w:sz w:val="24"/>
          <w:szCs w:val="24"/>
        </w:rPr>
        <w:t>s, aizaugošas pļavas, retumis arī augstos sūnu purvus ar koku grupām (LOB</w:t>
      </w:r>
      <w:r w:rsidR="009E41FF">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1998).</w:t>
      </w:r>
    </w:p>
    <w:p w14:paraId="4CEF9C3C" w14:textId="3506D543" w:rsidR="009A4BC5" w:rsidRPr="00A07F29" w:rsidRDefault="009D1934"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AAA “Augšdaugava” i</w:t>
      </w:r>
      <w:r w:rsidR="009A4BC5" w:rsidRPr="00A07F29">
        <w:rPr>
          <w:rFonts w:ascii="Times New Roman" w:eastAsia="Calibri" w:hAnsi="Times New Roman" w:cs="Times New Roman"/>
          <w:sz w:val="24"/>
          <w:szCs w:val="24"/>
        </w:rPr>
        <w:t xml:space="preserve">epriekš veiktajās maršrutu uzskaitēs </w:t>
      </w:r>
      <w:proofErr w:type="spellStart"/>
      <w:r w:rsidR="009A4BC5" w:rsidRPr="00A07F29">
        <w:rPr>
          <w:rFonts w:ascii="Times New Roman" w:eastAsia="Calibri" w:hAnsi="Times New Roman" w:cs="Times New Roman"/>
          <w:i/>
          <w:iCs/>
          <w:sz w:val="24"/>
          <w:szCs w:val="24"/>
        </w:rPr>
        <w:t>Natura</w:t>
      </w:r>
      <w:proofErr w:type="spellEnd"/>
      <w:r w:rsidR="009A4BC5" w:rsidRPr="00A07F29">
        <w:rPr>
          <w:rFonts w:ascii="Times New Roman" w:eastAsia="Calibri" w:hAnsi="Times New Roman" w:cs="Times New Roman"/>
          <w:i/>
          <w:iCs/>
          <w:sz w:val="24"/>
          <w:szCs w:val="24"/>
        </w:rPr>
        <w:t xml:space="preserve"> 2000</w:t>
      </w:r>
      <w:r w:rsidR="009A4BC5" w:rsidRPr="00A07F29">
        <w:rPr>
          <w:rFonts w:ascii="Times New Roman" w:eastAsia="Calibri" w:hAnsi="Times New Roman" w:cs="Times New Roman"/>
          <w:sz w:val="24"/>
          <w:szCs w:val="24"/>
        </w:rPr>
        <w:t xml:space="preserve"> vietu monitoringa laikā ligzdojošo brūnu čakstu populācija teritorijā novērtēta kā 75</w:t>
      </w:r>
      <w:r w:rsidR="009E41FF">
        <w:rPr>
          <w:rFonts w:ascii="Times New Roman" w:eastAsia="Calibri" w:hAnsi="Times New Roman" w:cs="Times New Roman"/>
          <w:sz w:val="24"/>
          <w:szCs w:val="24"/>
        </w:rPr>
        <w:t> </w:t>
      </w:r>
      <w:r w:rsidR="009A4BC5" w:rsidRPr="00A07F29">
        <w:rPr>
          <w:rFonts w:ascii="Times New Roman" w:eastAsia="Calibri" w:hAnsi="Times New Roman" w:cs="Times New Roman"/>
          <w:sz w:val="24"/>
          <w:szCs w:val="24"/>
        </w:rPr>
        <w:t>–</w:t>
      </w:r>
      <w:r w:rsidR="009E41FF">
        <w:rPr>
          <w:rFonts w:ascii="Times New Roman" w:eastAsia="Calibri" w:hAnsi="Times New Roman" w:cs="Times New Roman"/>
          <w:sz w:val="24"/>
          <w:szCs w:val="24"/>
        </w:rPr>
        <w:t> </w:t>
      </w:r>
      <w:r w:rsidR="009A4BC5" w:rsidRPr="00A07F29">
        <w:rPr>
          <w:rFonts w:ascii="Times New Roman" w:eastAsia="Calibri" w:hAnsi="Times New Roman" w:cs="Times New Roman"/>
          <w:sz w:val="24"/>
          <w:szCs w:val="24"/>
        </w:rPr>
        <w:t>100 pāri (G. </w:t>
      </w:r>
      <w:proofErr w:type="spellStart"/>
      <w:r w:rsidR="009A4BC5" w:rsidRPr="00A07F29">
        <w:rPr>
          <w:rFonts w:ascii="Times New Roman" w:eastAsia="Calibri" w:hAnsi="Times New Roman" w:cs="Times New Roman"/>
          <w:sz w:val="24"/>
          <w:szCs w:val="24"/>
        </w:rPr>
        <w:t>Grandāns</w:t>
      </w:r>
      <w:proofErr w:type="spellEnd"/>
      <w:r w:rsidR="009A4BC5" w:rsidRPr="00A07F29">
        <w:rPr>
          <w:rFonts w:ascii="Times New Roman" w:eastAsia="Calibri" w:hAnsi="Times New Roman" w:cs="Times New Roman"/>
          <w:sz w:val="24"/>
          <w:szCs w:val="24"/>
        </w:rPr>
        <w:t>; 2012.</w:t>
      </w:r>
      <w:r w:rsidR="009E41FF">
        <w:rPr>
          <w:rFonts w:ascii="Times New Roman" w:eastAsia="Calibri" w:hAnsi="Times New Roman" w:cs="Times New Roman"/>
          <w:sz w:val="24"/>
          <w:szCs w:val="24"/>
        </w:rPr>
        <w:t> </w:t>
      </w:r>
      <w:r w:rsidR="009A4BC5" w:rsidRPr="00A07F29">
        <w:rPr>
          <w:rFonts w:ascii="Times New Roman" w:eastAsia="Calibri" w:hAnsi="Times New Roman" w:cs="Times New Roman"/>
          <w:sz w:val="24"/>
          <w:szCs w:val="24"/>
        </w:rPr>
        <w:t>gads) un 400</w:t>
      </w:r>
      <w:r w:rsidR="009E41FF">
        <w:rPr>
          <w:rFonts w:ascii="Times New Roman" w:eastAsia="Calibri" w:hAnsi="Times New Roman" w:cs="Times New Roman"/>
          <w:sz w:val="24"/>
          <w:szCs w:val="24"/>
        </w:rPr>
        <w:t> </w:t>
      </w:r>
      <w:r w:rsidR="009A4BC5" w:rsidRPr="00A07F29">
        <w:rPr>
          <w:rFonts w:ascii="Times New Roman" w:eastAsia="Calibri" w:hAnsi="Times New Roman" w:cs="Times New Roman"/>
          <w:sz w:val="24"/>
          <w:szCs w:val="24"/>
        </w:rPr>
        <w:t>– 500</w:t>
      </w:r>
      <w:r w:rsidR="009E41FF">
        <w:rPr>
          <w:rFonts w:ascii="Times New Roman" w:eastAsia="Calibri" w:hAnsi="Times New Roman" w:cs="Times New Roman"/>
          <w:sz w:val="24"/>
          <w:szCs w:val="24"/>
        </w:rPr>
        <w:t> </w:t>
      </w:r>
      <w:r w:rsidR="009A4BC5" w:rsidRPr="00A07F29">
        <w:rPr>
          <w:rFonts w:ascii="Times New Roman" w:eastAsia="Calibri" w:hAnsi="Times New Roman" w:cs="Times New Roman"/>
          <w:sz w:val="24"/>
          <w:szCs w:val="24"/>
        </w:rPr>
        <w:t>pāri (A. Avotiņš; 2009.</w:t>
      </w:r>
      <w:r w:rsidR="009E41FF">
        <w:rPr>
          <w:rFonts w:ascii="Times New Roman" w:eastAsia="Calibri" w:hAnsi="Times New Roman" w:cs="Times New Roman"/>
          <w:sz w:val="24"/>
          <w:szCs w:val="24"/>
        </w:rPr>
        <w:t> </w:t>
      </w:r>
      <w:r w:rsidR="009A4BC5" w:rsidRPr="00A07F29">
        <w:rPr>
          <w:rFonts w:ascii="Times New Roman" w:eastAsia="Calibri" w:hAnsi="Times New Roman" w:cs="Times New Roman"/>
          <w:sz w:val="24"/>
          <w:szCs w:val="24"/>
        </w:rPr>
        <w:t>gads). 2019.</w:t>
      </w:r>
      <w:r w:rsidR="009E41FF">
        <w:rPr>
          <w:rFonts w:ascii="Times New Roman" w:eastAsia="Calibri" w:hAnsi="Times New Roman" w:cs="Times New Roman"/>
          <w:sz w:val="24"/>
          <w:szCs w:val="24"/>
        </w:rPr>
        <w:t> </w:t>
      </w:r>
      <w:r w:rsidR="009A4BC5" w:rsidRPr="00A07F29">
        <w:rPr>
          <w:rFonts w:ascii="Times New Roman" w:eastAsia="Calibri" w:hAnsi="Times New Roman" w:cs="Times New Roman"/>
          <w:sz w:val="24"/>
          <w:szCs w:val="24"/>
        </w:rPr>
        <w:t>gadā suga konstatēta 63 atradnēs. Uzskaites veiktas sugai optimālajā konstatēšanas periodā jūlijā, kad novērojami nesen izvesti jaunie putni.</w:t>
      </w:r>
    </w:p>
    <w:p w14:paraId="6096E98B" w14:textId="30C14603"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Skaita vērtējums teritorijā: 100</w:t>
      </w:r>
      <w:r w:rsidR="009E41FF">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9E41FF">
        <w:rPr>
          <w:rFonts w:ascii="Times New Roman" w:eastAsia="Calibri" w:hAnsi="Times New Roman" w:cs="Times New Roman"/>
          <w:sz w:val="24"/>
          <w:szCs w:val="24"/>
        </w:rPr>
        <w:t> </w:t>
      </w:r>
      <w:r w:rsidRPr="00A07F29">
        <w:rPr>
          <w:rFonts w:ascii="Times New Roman" w:eastAsia="Calibri" w:hAnsi="Times New Roman" w:cs="Times New Roman"/>
          <w:sz w:val="24"/>
          <w:szCs w:val="24"/>
        </w:rPr>
        <w:t>500 ligzdojoši pāri.</w:t>
      </w:r>
      <w:r w:rsidR="009D1934"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i/>
          <w:iCs/>
          <w:sz w:val="24"/>
          <w:szCs w:val="24"/>
        </w:rPr>
        <w:t>Natura</w:t>
      </w:r>
      <w:proofErr w:type="spellEnd"/>
      <w:r w:rsidRPr="00A07F29">
        <w:rPr>
          <w:rFonts w:ascii="Times New Roman" w:eastAsia="Calibri" w:hAnsi="Times New Roman" w:cs="Times New Roman"/>
          <w:i/>
          <w:iCs/>
          <w:sz w:val="24"/>
          <w:szCs w:val="24"/>
        </w:rPr>
        <w:t xml:space="preserve"> 2000 </w:t>
      </w:r>
      <w:r w:rsidR="00EE71DC">
        <w:rPr>
          <w:rFonts w:ascii="Times New Roman" w:eastAsia="Calibri" w:hAnsi="Times New Roman" w:cs="Times New Roman"/>
          <w:sz w:val="24"/>
          <w:szCs w:val="24"/>
        </w:rPr>
        <w:t>SDF</w:t>
      </w:r>
      <w:r w:rsidRPr="00A07F29">
        <w:rPr>
          <w:rFonts w:ascii="Times New Roman" w:eastAsia="Calibri" w:hAnsi="Times New Roman" w:cs="Times New Roman"/>
          <w:sz w:val="24"/>
          <w:szCs w:val="24"/>
        </w:rPr>
        <w:t xml:space="preserve"> nav veiktas izmaiņas salīdzinājumā ar iepriekšējo skaita vērtējumu.</w:t>
      </w:r>
    </w:p>
    <w:p w14:paraId="188A5F7A" w14:textId="77777777" w:rsidR="009A4BC5" w:rsidRPr="00A07F29" w:rsidRDefault="009A4BC5" w:rsidP="009D1934">
      <w:pPr>
        <w:keepNext/>
        <w:spacing w:before="240" w:after="120" w:line="240" w:lineRule="auto"/>
        <w:jc w:val="both"/>
        <w:rPr>
          <w:rFonts w:ascii="Times New Roman" w:eastAsia="Calibri" w:hAnsi="Times New Roman" w:cs="Times New Roman"/>
          <w:b/>
          <w:bCs/>
          <w:sz w:val="24"/>
          <w:szCs w:val="24"/>
        </w:rPr>
      </w:pPr>
      <w:r w:rsidRPr="00A07F29">
        <w:rPr>
          <w:rFonts w:ascii="Times New Roman" w:eastAsia="Calibri" w:hAnsi="Times New Roman" w:cs="Times New Roman"/>
          <w:b/>
          <w:bCs/>
          <w:sz w:val="24"/>
          <w:szCs w:val="24"/>
        </w:rPr>
        <w:lastRenderedPageBreak/>
        <w:t xml:space="preserve">Lielā čakste </w:t>
      </w:r>
      <w:proofErr w:type="spellStart"/>
      <w:r w:rsidRPr="00A07F29">
        <w:rPr>
          <w:rFonts w:ascii="Times New Roman" w:eastAsia="Calibri" w:hAnsi="Times New Roman" w:cs="Times New Roman"/>
          <w:b/>
          <w:bCs/>
          <w:i/>
          <w:iCs/>
          <w:sz w:val="24"/>
          <w:szCs w:val="24"/>
        </w:rPr>
        <w:t>Lanius</w:t>
      </w:r>
      <w:proofErr w:type="spellEnd"/>
      <w:r w:rsidRPr="00A07F29">
        <w:rPr>
          <w:rFonts w:ascii="Times New Roman" w:eastAsia="Calibri" w:hAnsi="Times New Roman" w:cs="Times New Roman"/>
          <w:b/>
          <w:bCs/>
          <w:i/>
          <w:iCs/>
          <w:sz w:val="24"/>
          <w:szCs w:val="24"/>
        </w:rPr>
        <w:t xml:space="preserve"> </w:t>
      </w:r>
      <w:proofErr w:type="spellStart"/>
      <w:r w:rsidRPr="00A07F29">
        <w:rPr>
          <w:rFonts w:ascii="Times New Roman" w:eastAsia="Calibri" w:hAnsi="Times New Roman" w:cs="Times New Roman"/>
          <w:b/>
          <w:bCs/>
          <w:i/>
          <w:iCs/>
          <w:sz w:val="24"/>
          <w:szCs w:val="24"/>
        </w:rPr>
        <w:t>excubitor</w:t>
      </w:r>
      <w:proofErr w:type="spellEnd"/>
    </w:p>
    <w:p w14:paraId="0F7D86F7" w14:textId="47DB5407"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Populācijas lielums Latvijā: 250</w:t>
      </w:r>
      <w:r w:rsidR="009E41FF">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9E41FF">
        <w:rPr>
          <w:rFonts w:ascii="Times New Roman" w:eastAsia="Calibri" w:hAnsi="Times New Roman" w:cs="Times New Roman"/>
          <w:sz w:val="24"/>
          <w:szCs w:val="24"/>
        </w:rPr>
        <w:t> </w:t>
      </w:r>
      <w:r w:rsidRPr="00A07F29">
        <w:rPr>
          <w:rFonts w:ascii="Times New Roman" w:eastAsia="Calibri" w:hAnsi="Times New Roman" w:cs="Times New Roman"/>
          <w:sz w:val="24"/>
          <w:szCs w:val="24"/>
        </w:rPr>
        <w:t>600 pāri (</w:t>
      </w:r>
      <w:proofErr w:type="spellStart"/>
      <w:r w:rsidRPr="00A07F29">
        <w:rPr>
          <w:rFonts w:ascii="Times New Roman" w:eastAsia="Calibri" w:hAnsi="Times New Roman" w:cs="Times New Roman"/>
          <w:sz w:val="24"/>
          <w:szCs w:val="24"/>
        </w:rPr>
        <w:t>Birdlife</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International</w:t>
      </w:r>
      <w:proofErr w:type="spellEnd"/>
      <w:r w:rsidR="00392BE6">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2019).</w:t>
      </w:r>
    </w:p>
    <w:p w14:paraId="5DAF7BAF" w14:textId="699132F3" w:rsidR="009A4BC5" w:rsidRPr="00A07F29" w:rsidRDefault="009D1934"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AAA “Augšdaugava” p</w:t>
      </w:r>
      <w:r w:rsidR="009A4BC5" w:rsidRPr="00A07F29">
        <w:rPr>
          <w:rFonts w:ascii="Times New Roman" w:eastAsia="Calibri" w:hAnsi="Times New Roman" w:cs="Times New Roman"/>
          <w:sz w:val="24"/>
          <w:szCs w:val="24"/>
        </w:rPr>
        <w:t>ierādīta ligzdošana konstatēta vienu reizi, kad 2016.</w:t>
      </w:r>
      <w:r w:rsidR="009E41FF">
        <w:rPr>
          <w:rFonts w:ascii="Times New Roman" w:eastAsia="Calibri" w:hAnsi="Times New Roman" w:cs="Times New Roman"/>
          <w:sz w:val="24"/>
          <w:szCs w:val="24"/>
        </w:rPr>
        <w:t> gada 4. jūnijā</w:t>
      </w:r>
      <w:r w:rsidR="009A4BC5" w:rsidRPr="00A07F29">
        <w:rPr>
          <w:rFonts w:ascii="Times New Roman" w:eastAsia="Calibri" w:hAnsi="Times New Roman" w:cs="Times New Roman"/>
          <w:sz w:val="24"/>
          <w:szCs w:val="24"/>
        </w:rPr>
        <w:t xml:space="preserve"> nesen izvesti mazuļi novēroti lauksaimniecības zemju ieskautā </w:t>
      </w:r>
      <w:proofErr w:type="spellStart"/>
      <w:r w:rsidR="009A4BC5" w:rsidRPr="00A07F29">
        <w:rPr>
          <w:rFonts w:ascii="Times New Roman" w:eastAsia="Calibri" w:hAnsi="Times New Roman" w:cs="Times New Roman"/>
          <w:sz w:val="24"/>
          <w:szCs w:val="24"/>
        </w:rPr>
        <w:t>bebrainē</w:t>
      </w:r>
      <w:proofErr w:type="spellEnd"/>
      <w:r w:rsidR="009A4BC5" w:rsidRPr="00A07F29">
        <w:rPr>
          <w:rFonts w:ascii="Times New Roman" w:eastAsia="Calibri" w:hAnsi="Times New Roman" w:cs="Times New Roman"/>
          <w:sz w:val="24"/>
          <w:szCs w:val="24"/>
        </w:rPr>
        <w:t xml:space="preserve"> Kaplavas pagasta </w:t>
      </w:r>
      <w:proofErr w:type="spellStart"/>
      <w:r w:rsidR="009A4BC5" w:rsidRPr="00A07F29">
        <w:rPr>
          <w:rFonts w:ascii="Times New Roman" w:eastAsia="Calibri" w:hAnsi="Times New Roman" w:cs="Times New Roman"/>
          <w:sz w:val="24"/>
          <w:szCs w:val="24"/>
        </w:rPr>
        <w:t>Gasparu</w:t>
      </w:r>
      <w:proofErr w:type="spellEnd"/>
      <w:r w:rsidR="009A4BC5" w:rsidRPr="00A07F29">
        <w:rPr>
          <w:rFonts w:ascii="Times New Roman" w:eastAsia="Calibri" w:hAnsi="Times New Roman" w:cs="Times New Roman"/>
          <w:sz w:val="24"/>
          <w:szCs w:val="24"/>
        </w:rPr>
        <w:t xml:space="preserve"> apkārtnē (I. Jakovļevs). Teritorijā regulāri nelielā skaitā tiek novērota ligzdošanas sezonas laikā, tomēr šie novērojumi tiek attiecināti uz migrantiem vai neligzdojošiem/nesekmīgi ligzdojošiem īpatņiem.</w:t>
      </w:r>
    </w:p>
    <w:p w14:paraId="28523BB0" w14:textId="700F0E5A"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Skaita vērtējums teritorijā: 1</w:t>
      </w:r>
      <w:r w:rsidR="009E41FF">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9E41FF">
        <w:rPr>
          <w:rFonts w:ascii="Times New Roman" w:eastAsia="Calibri" w:hAnsi="Times New Roman" w:cs="Times New Roman"/>
          <w:sz w:val="24"/>
          <w:szCs w:val="24"/>
        </w:rPr>
        <w:t> </w:t>
      </w:r>
      <w:r w:rsidRPr="00A07F29">
        <w:rPr>
          <w:rFonts w:ascii="Times New Roman" w:eastAsia="Calibri" w:hAnsi="Times New Roman" w:cs="Times New Roman"/>
          <w:sz w:val="24"/>
          <w:szCs w:val="24"/>
        </w:rPr>
        <w:t>3 ligzdojoši pāri.</w:t>
      </w:r>
      <w:r w:rsidR="009D1934" w:rsidRPr="00A07F29">
        <w:rPr>
          <w:rFonts w:ascii="Times New Roman" w:eastAsia="Calibri" w:hAnsi="Times New Roman" w:cs="Times New Roman"/>
          <w:sz w:val="24"/>
          <w:szCs w:val="24"/>
        </w:rPr>
        <w:t xml:space="preserve"> </w:t>
      </w:r>
      <w:r w:rsidRPr="00A07F29">
        <w:rPr>
          <w:rFonts w:ascii="Times New Roman" w:eastAsia="Calibri" w:hAnsi="Times New Roman" w:cs="Times New Roman"/>
          <w:sz w:val="24"/>
          <w:szCs w:val="24"/>
        </w:rPr>
        <w:t xml:space="preserve">Suga iekļauta </w:t>
      </w:r>
      <w:proofErr w:type="spellStart"/>
      <w:r w:rsidRPr="00A07F29">
        <w:rPr>
          <w:rFonts w:ascii="Times New Roman" w:eastAsia="Calibri" w:hAnsi="Times New Roman" w:cs="Times New Roman"/>
          <w:i/>
          <w:iCs/>
          <w:sz w:val="24"/>
          <w:szCs w:val="24"/>
        </w:rPr>
        <w:t>Natura</w:t>
      </w:r>
      <w:proofErr w:type="spellEnd"/>
      <w:r w:rsidRPr="00A07F29">
        <w:rPr>
          <w:rFonts w:ascii="Times New Roman" w:eastAsia="Calibri" w:hAnsi="Times New Roman" w:cs="Times New Roman"/>
          <w:i/>
          <w:iCs/>
          <w:sz w:val="24"/>
          <w:szCs w:val="24"/>
        </w:rPr>
        <w:t xml:space="preserve"> 2000</w:t>
      </w:r>
      <w:r w:rsidRPr="00A07F29">
        <w:rPr>
          <w:rFonts w:ascii="Times New Roman" w:eastAsia="Calibri" w:hAnsi="Times New Roman" w:cs="Times New Roman"/>
          <w:sz w:val="24"/>
          <w:szCs w:val="24"/>
        </w:rPr>
        <w:t xml:space="preserve"> </w:t>
      </w:r>
      <w:r w:rsidR="00EE71DC" w:rsidRPr="00EE71DC">
        <w:rPr>
          <w:rFonts w:ascii="Times New Roman" w:eastAsia="Calibri" w:hAnsi="Times New Roman" w:cs="Times New Roman"/>
          <w:sz w:val="24"/>
          <w:szCs w:val="24"/>
        </w:rPr>
        <w:t>SDF</w:t>
      </w:r>
      <w:r w:rsidRPr="00EE71DC">
        <w:rPr>
          <w:rFonts w:ascii="Times New Roman" w:eastAsia="Calibri" w:hAnsi="Times New Roman" w:cs="Times New Roman"/>
          <w:sz w:val="24"/>
          <w:szCs w:val="24"/>
        </w:rPr>
        <w:t>.</w:t>
      </w:r>
    </w:p>
    <w:p w14:paraId="75C89A76" w14:textId="48FA0261" w:rsidR="009A4BC5" w:rsidRPr="00A07F29" w:rsidRDefault="009A4BC5" w:rsidP="009D1934">
      <w:pPr>
        <w:keepNext/>
        <w:spacing w:before="240" w:after="120" w:line="240" w:lineRule="auto"/>
        <w:jc w:val="both"/>
        <w:rPr>
          <w:rFonts w:ascii="Times New Roman" w:eastAsia="Calibri" w:hAnsi="Times New Roman" w:cs="Times New Roman"/>
          <w:b/>
          <w:bCs/>
          <w:i/>
          <w:iCs/>
          <w:sz w:val="24"/>
          <w:szCs w:val="24"/>
        </w:rPr>
      </w:pPr>
      <w:r w:rsidRPr="00A07F29">
        <w:rPr>
          <w:rFonts w:ascii="Times New Roman" w:eastAsia="Calibri" w:hAnsi="Times New Roman" w:cs="Times New Roman"/>
          <w:b/>
          <w:bCs/>
          <w:sz w:val="24"/>
          <w:szCs w:val="24"/>
        </w:rPr>
        <w:t>Sila cīrul</w:t>
      </w:r>
      <w:r w:rsidR="009E41FF">
        <w:rPr>
          <w:rFonts w:ascii="Times New Roman" w:eastAsia="Calibri" w:hAnsi="Times New Roman" w:cs="Times New Roman"/>
          <w:b/>
          <w:bCs/>
          <w:sz w:val="24"/>
          <w:szCs w:val="24"/>
        </w:rPr>
        <w:t>i</w:t>
      </w:r>
      <w:r w:rsidRPr="00A07F29">
        <w:rPr>
          <w:rFonts w:ascii="Times New Roman" w:eastAsia="Calibri" w:hAnsi="Times New Roman" w:cs="Times New Roman"/>
          <w:b/>
          <w:bCs/>
          <w:sz w:val="24"/>
          <w:szCs w:val="24"/>
        </w:rPr>
        <w:t xml:space="preserve">s </w:t>
      </w:r>
      <w:proofErr w:type="spellStart"/>
      <w:r w:rsidRPr="00A07F29">
        <w:rPr>
          <w:rFonts w:ascii="Times New Roman" w:eastAsia="Calibri" w:hAnsi="Times New Roman" w:cs="Times New Roman"/>
          <w:b/>
          <w:bCs/>
          <w:i/>
          <w:iCs/>
          <w:sz w:val="24"/>
          <w:szCs w:val="24"/>
        </w:rPr>
        <w:t>Lullula</w:t>
      </w:r>
      <w:proofErr w:type="spellEnd"/>
      <w:r w:rsidRPr="00A07F29">
        <w:rPr>
          <w:rFonts w:ascii="Times New Roman" w:eastAsia="Calibri" w:hAnsi="Times New Roman" w:cs="Times New Roman"/>
          <w:b/>
          <w:bCs/>
          <w:i/>
          <w:iCs/>
          <w:sz w:val="24"/>
          <w:szCs w:val="24"/>
        </w:rPr>
        <w:t xml:space="preserve"> </w:t>
      </w:r>
      <w:proofErr w:type="spellStart"/>
      <w:r w:rsidRPr="00A07F29">
        <w:rPr>
          <w:rFonts w:ascii="Times New Roman" w:eastAsia="Calibri" w:hAnsi="Times New Roman" w:cs="Times New Roman"/>
          <w:b/>
          <w:bCs/>
          <w:i/>
          <w:iCs/>
          <w:sz w:val="24"/>
          <w:szCs w:val="24"/>
        </w:rPr>
        <w:t>arborea</w:t>
      </w:r>
      <w:proofErr w:type="spellEnd"/>
    </w:p>
    <w:p w14:paraId="7DEBFB13" w14:textId="44336968"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Populācijas lielums Latvijā: 6497</w:t>
      </w:r>
      <w:r w:rsidR="009E41FF">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9E41FF">
        <w:rPr>
          <w:rFonts w:ascii="Times New Roman" w:eastAsia="Calibri" w:hAnsi="Times New Roman" w:cs="Times New Roman"/>
          <w:sz w:val="24"/>
          <w:szCs w:val="24"/>
        </w:rPr>
        <w:t> </w:t>
      </w:r>
      <w:r w:rsidRPr="00A07F29">
        <w:rPr>
          <w:rFonts w:ascii="Times New Roman" w:eastAsia="Calibri" w:hAnsi="Times New Roman" w:cs="Times New Roman"/>
          <w:sz w:val="24"/>
          <w:szCs w:val="24"/>
        </w:rPr>
        <w:t>30995 pāri (</w:t>
      </w:r>
      <w:proofErr w:type="spellStart"/>
      <w:r w:rsidRPr="00A07F29">
        <w:rPr>
          <w:rFonts w:ascii="Times New Roman" w:eastAsia="Calibri" w:hAnsi="Times New Roman" w:cs="Times New Roman"/>
          <w:sz w:val="24"/>
          <w:szCs w:val="24"/>
        </w:rPr>
        <w:t>Birdlife</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International</w:t>
      </w:r>
      <w:proofErr w:type="spellEnd"/>
      <w:r w:rsidR="00392BE6">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2019).</w:t>
      </w:r>
      <w:r w:rsidR="009D1934" w:rsidRPr="00A07F29">
        <w:rPr>
          <w:rFonts w:ascii="Times New Roman" w:eastAsia="Calibri" w:hAnsi="Times New Roman" w:cs="Times New Roman"/>
          <w:sz w:val="24"/>
          <w:szCs w:val="24"/>
        </w:rPr>
        <w:t xml:space="preserve"> </w:t>
      </w:r>
      <w:r w:rsidRPr="00A07F29">
        <w:rPr>
          <w:rFonts w:ascii="Times New Roman" w:eastAsia="Calibri" w:hAnsi="Times New Roman" w:cs="Times New Roman"/>
          <w:sz w:val="24"/>
          <w:szCs w:val="24"/>
        </w:rPr>
        <w:t>Ligzdo sausos, smilšainos zālājos, arī izcirtumos un jaunaudzēs.</w:t>
      </w:r>
    </w:p>
    <w:p w14:paraId="780E1D96" w14:textId="04835C67" w:rsidR="009D1934" w:rsidRPr="00A07F29" w:rsidRDefault="009D1934"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AAA “Augšdaugava” 2019. un 2020.</w:t>
      </w:r>
      <w:r w:rsidR="009E41FF">
        <w:rPr>
          <w:rFonts w:ascii="Times New Roman" w:eastAsia="Calibri" w:hAnsi="Times New Roman" w:cs="Times New Roman"/>
          <w:sz w:val="24"/>
          <w:szCs w:val="24"/>
        </w:rPr>
        <w:t> </w:t>
      </w:r>
      <w:r w:rsidRPr="00A07F29">
        <w:rPr>
          <w:rFonts w:ascii="Times New Roman" w:eastAsia="Calibri" w:hAnsi="Times New Roman" w:cs="Times New Roman"/>
          <w:sz w:val="24"/>
          <w:szCs w:val="24"/>
        </w:rPr>
        <w:t>gadā veikto uzskaišu laikā sila cīrulis konstatēts 75 atradnēs, pārsvarā konstatēti vokalizējoši tēviņi.</w:t>
      </w:r>
    </w:p>
    <w:p w14:paraId="25B3E4BA" w14:textId="29293147"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Skaita vērtējums teritorijā: 75</w:t>
      </w:r>
      <w:r w:rsidR="009E41FF">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9E41FF">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300 ligzdojoši pāri. Sugai </w:t>
      </w:r>
      <w:proofErr w:type="spellStart"/>
      <w:r w:rsidRPr="00A07F29">
        <w:rPr>
          <w:rFonts w:ascii="Times New Roman" w:eastAsia="Calibri" w:hAnsi="Times New Roman" w:cs="Times New Roman"/>
          <w:i/>
          <w:iCs/>
          <w:sz w:val="24"/>
          <w:szCs w:val="24"/>
        </w:rPr>
        <w:t>Natura</w:t>
      </w:r>
      <w:proofErr w:type="spellEnd"/>
      <w:r w:rsidRPr="00A07F29">
        <w:rPr>
          <w:rFonts w:ascii="Times New Roman" w:eastAsia="Calibri" w:hAnsi="Times New Roman" w:cs="Times New Roman"/>
          <w:i/>
          <w:iCs/>
          <w:sz w:val="24"/>
          <w:szCs w:val="24"/>
        </w:rPr>
        <w:t xml:space="preserve"> 2000</w:t>
      </w:r>
      <w:r w:rsidRPr="00A07F29">
        <w:rPr>
          <w:rFonts w:ascii="Times New Roman" w:eastAsia="Calibri" w:hAnsi="Times New Roman" w:cs="Times New Roman"/>
          <w:sz w:val="24"/>
          <w:szCs w:val="24"/>
        </w:rPr>
        <w:t xml:space="preserve"> </w:t>
      </w:r>
      <w:r w:rsidR="00EE71DC">
        <w:rPr>
          <w:rFonts w:ascii="Times New Roman" w:eastAsia="Calibri" w:hAnsi="Times New Roman" w:cs="Times New Roman"/>
          <w:sz w:val="24"/>
          <w:szCs w:val="24"/>
        </w:rPr>
        <w:t>SDF</w:t>
      </w:r>
      <w:r w:rsidRPr="00A07F29">
        <w:rPr>
          <w:rFonts w:ascii="Times New Roman" w:eastAsia="Calibri" w:hAnsi="Times New Roman" w:cs="Times New Roman"/>
          <w:sz w:val="24"/>
          <w:szCs w:val="24"/>
        </w:rPr>
        <w:t xml:space="preserve"> precizēts minimālais un maksimālais populācijas lielums.</w:t>
      </w:r>
    </w:p>
    <w:p w14:paraId="015A7E0E" w14:textId="77777777" w:rsidR="009A4BC5" w:rsidRPr="00A07F29" w:rsidRDefault="009A4BC5" w:rsidP="009D1934">
      <w:pPr>
        <w:keepNext/>
        <w:spacing w:before="240" w:after="120" w:line="240" w:lineRule="auto"/>
        <w:jc w:val="both"/>
        <w:rPr>
          <w:rFonts w:ascii="Times New Roman" w:eastAsia="Calibri" w:hAnsi="Times New Roman" w:cs="Times New Roman"/>
          <w:b/>
          <w:bCs/>
          <w:sz w:val="24"/>
          <w:szCs w:val="24"/>
        </w:rPr>
      </w:pPr>
      <w:r w:rsidRPr="00A07F29">
        <w:rPr>
          <w:rFonts w:ascii="Times New Roman" w:eastAsia="Calibri" w:hAnsi="Times New Roman" w:cs="Times New Roman"/>
          <w:b/>
          <w:bCs/>
          <w:sz w:val="24"/>
          <w:szCs w:val="24"/>
        </w:rPr>
        <w:t xml:space="preserve">Ūdensstrazds </w:t>
      </w:r>
      <w:proofErr w:type="spellStart"/>
      <w:r w:rsidRPr="00A07F29">
        <w:rPr>
          <w:rFonts w:ascii="Times New Roman" w:eastAsia="Calibri" w:hAnsi="Times New Roman" w:cs="Times New Roman"/>
          <w:b/>
          <w:bCs/>
          <w:i/>
          <w:sz w:val="24"/>
          <w:szCs w:val="24"/>
        </w:rPr>
        <w:t>Cinclus</w:t>
      </w:r>
      <w:proofErr w:type="spellEnd"/>
      <w:r w:rsidRPr="00A07F29">
        <w:rPr>
          <w:rFonts w:ascii="Times New Roman" w:eastAsia="Calibri" w:hAnsi="Times New Roman" w:cs="Times New Roman"/>
          <w:b/>
          <w:bCs/>
          <w:i/>
          <w:sz w:val="24"/>
          <w:szCs w:val="24"/>
        </w:rPr>
        <w:t xml:space="preserve"> </w:t>
      </w:r>
      <w:proofErr w:type="spellStart"/>
      <w:r w:rsidRPr="00A07F29">
        <w:rPr>
          <w:rFonts w:ascii="Times New Roman" w:eastAsia="Calibri" w:hAnsi="Times New Roman" w:cs="Times New Roman"/>
          <w:b/>
          <w:bCs/>
          <w:i/>
          <w:sz w:val="24"/>
          <w:szCs w:val="24"/>
        </w:rPr>
        <w:t>cinclus</w:t>
      </w:r>
      <w:proofErr w:type="spellEnd"/>
    </w:p>
    <w:p w14:paraId="5A1A9E96" w14:textId="07480D3F" w:rsidR="009D1934"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Latvijā ligzdo neregulāri, 0</w:t>
      </w:r>
      <w:r w:rsidR="009E41FF">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9E41FF">
        <w:rPr>
          <w:rFonts w:ascii="Times New Roman" w:eastAsia="Calibri" w:hAnsi="Times New Roman" w:cs="Times New Roman"/>
          <w:sz w:val="24"/>
          <w:szCs w:val="24"/>
        </w:rPr>
        <w:t> </w:t>
      </w:r>
      <w:r w:rsidRPr="00A07F29">
        <w:rPr>
          <w:rFonts w:ascii="Times New Roman" w:eastAsia="Calibri" w:hAnsi="Times New Roman" w:cs="Times New Roman"/>
          <w:sz w:val="24"/>
          <w:szCs w:val="24"/>
        </w:rPr>
        <w:t>3 pāri. Ziemo Skandināvijā ligzdojošās populācijas putni, atkarībā no konkrētās ziemas klimata, 250</w:t>
      </w:r>
      <w:r w:rsidR="009E41FF">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9E41FF">
        <w:rPr>
          <w:rFonts w:ascii="Times New Roman" w:eastAsia="Calibri" w:hAnsi="Times New Roman" w:cs="Times New Roman"/>
          <w:sz w:val="24"/>
          <w:szCs w:val="24"/>
        </w:rPr>
        <w:t> </w:t>
      </w:r>
      <w:r w:rsidRPr="00A07F29">
        <w:rPr>
          <w:rFonts w:ascii="Times New Roman" w:eastAsia="Calibri" w:hAnsi="Times New Roman" w:cs="Times New Roman"/>
          <w:sz w:val="24"/>
          <w:szCs w:val="24"/>
        </w:rPr>
        <w:t>1000 īpatņi (</w:t>
      </w:r>
      <w:proofErr w:type="spellStart"/>
      <w:r w:rsidRPr="00A07F29">
        <w:rPr>
          <w:rFonts w:ascii="Times New Roman" w:eastAsia="Calibri" w:hAnsi="Times New Roman" w:cs="Times New Roman"/>
          <w:sz w:val="24"/>
          <w:szCs w:val="24"/>
        </w:rPr>
        <w:t>Birdlife</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International</w:t>
      </w:r>
      <w:proofErr w:type="spellEnd"/>
      <w:r w:rsidR="00392BE6">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2004). Gan ligzdošanas, gan ziemošanas biotops ir sekli un strauji upju posmi ar akmeņainu vai oļainu grunti, visbiežāk pie krācēm, aizsprostiem un ūdenskritumiem. Retumis arī pie lieliem bebru aizsprostiem (LOB</w:t>
      </w:r>
      <w:r w:rsidR="00392BE6">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1999).</w:t>
      </w:r>
    </w:p>
    <w:p w14:paraId="07A28155" w14:textId="51CD192A"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AAA “Augšdaugava” teritorijā ziemās neregulāri tiek novērots </w:t>
      </w:r>
      <w:proofErr w:type="spellStart"/>
      <w:r w:rsidRPr="00A07F29">
        <w:rPr>
          <w:rFonts w:ascii="Times New Roman" w:eastAsia="Calibri" w:hAnsi="Times New Roman" w:cs="Times New Roman"/>
          <w:sz w:val="24"/>
          <w:szCs w:val="24"/>
        </w:rPr>
        <w:t>Rudņas</w:t>
      </w:r>
      <w:proofErr w:type="spellEnd"/>
      <w:r w:rsidRPr="00A07F29">
        <w:rPr>
          <w:rFonts w:ascii="Times New Roman" w:eastAsia="Calibri" w:hAnsi="Times New Roman" w:cs="Times New Roman"/>
          <w:sz w:val="24"/>
          <w:szCs w:val="24"/>
        </w:rPr>
        <w:t xml:space="preserve"> upes straujteces posmos pie Tartaka. Sugas ziemošana iespējama arī pārējās teritorijā esošajās upju straujtecēs. 2020.</w:t>
      </w:r>
      <w:r w:rsidR="009E41FF">
        <w:rPr>
          <w:rFonts w:ascii="Times New Roman" w:eastAsia="Calibri" w:hAnsi="Times New Roman" w:cs="Times New Roman"/>
          <w:sz w:val="24"/>
          <w:szCs w:val="24"/>
        </w:rPr>
        <w:t> </w:t>
      </w:r>
      <w:r w:rsidRPr="00A07F29">
        <w:rPr>
          <w:rFonts w:ascii="Times New Roman" w:eastAsia="Calibri" w:hAnsi="Times New Roman" w:cs="Times New Roman"/>
          <w:sz w:val="24"/>
          <w:szCs w:val="24"/>
        </w:rPr>
        <w:t>gada februār</w:t>
      </w:r>
      <w:r w:rsidR="009E41FF">
        <w:rPr>
          <w:rFonts w:ascii="Times New Roman" w:eastAsia="Calibri" w:hAnsi="Times New Roman" w:cs="Times New Roman"/>
          <w:sz w:val="24"/>
          <w:szCs w:val="24"/>
        </w:rPr>
        <w:t>ī</w:t>
      </w:r>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Rudņas</w:t>
      </w:r>
      <w:proofErr w:type="spellEnd"/>
      <w:r w:rsidRPr="00A07F29">
        <w:rPr>
          <w:rFonts w:ascii="Times New Roman" w:eastAsia="Calibri" w:hAnsi="Times New Roman" w:cs="Times New Roman"/>
          <w:sz w:val="24"/>
          <w:szCs w:val="24"/>
        </w:rPr>
        <w:t xml:space="preserve"> upes posmā no Tartaka ezera līdz ietekai Daugavā konstatēti </w:t>
      </w:r>
      <w:r w:rsidR="009E41FF">
        <w:rPr>
          <w:rFonts w:ascii="Times New Roman" w:eastAsia="Calibri" w:hAnsi="Times New Roman" w:cs="Times New Roman"/>
          <w:sz w:val="24"/>
          <w:szCs w:val="24"/>
        </w:rPr>
        <w:t>divi</w:t>
      </w:r>
      <w:r w:rsidRPr="00A07F29">
        <w:rPr>
          <w:rFonts w:ascii="Times New Roman" w:eastAsia="Calibri" w:hAnsi="Times New Roman" w:cs="Times New Roman"/>
          <w:sz w:val="24"/>
          <w:szCs w:val="24"/>
        </w:rPr>
        <w:t xml:space="preserve"> īpatņi (J.</w:t>
      </w:r>
      <w:r w:rsidR="009E41FF">
        <w:rPr>
          <w:rFonts w:ascii="Times New Roman" w:eastAsia="Calibri" w:hAnsi="Times New Roman" w:cs="Times New Roman"/>
          <w:sz w:val="24"/>
          <w:szCs w:val="24"/>
        </w:rPr>
        <w:t> </w:t>
      </w:r>
      <w:proofErr w:type="spellStart"/>
      <w:r w:rsidRPr="00A07F29">
        <w:rPr>
          <w:rFonts w:ascii="Times New Roman" w:eastAsia="Calibri" w:hAnsi="Times New Roman" w:cs="Times New Roman"/>
          <w:sz w:val="24"/>
          <w:szCs w:val="24"/>
        </w:rPr>
        <w:t>Vīgulis</w:t>
      </w:r>
      <w:proofErr w:type="spellEnd"/>
      <w:r w:rsidRPr="00A07F29">
        <w:rPr>
          <w:rFonts w:ascii="Times New Roman" w:eastAsia="Calibri" w:hAnsi="Times New Roman" w:cs="Times New Roman"/>
          <w:sz w:val="24"/>
          <w:szCs w:val="24"/>
        </w:rPr>
        <w:t>).</w:t>
      </w:r>
    </w:p>
    <w:p w14:paraId="70DAD895" w14:textId="3BEE1759"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Skaita vērtējums teritorijā: 1</w:t>
      </w:r>
      <w:r w:rsidR="009E41FF">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9E41FF">
        <w:rPr>
          <w:rFonts w:ascii="Times New Roman" w:eastAsia="Calibri" w:hAnsi="Times New Roman" w:cs="Times New Roman"/>
          <w:sz w:val="24"/>
          <w:szCs w:val="24"/>
        </w:rPr>
        <w:t> </w:t>
      </w:r>
      <w:r w:rsidRPr="00A07F29">
        <w:rPr>
          <w:rFonts w:ascii="Times New Roman" w:eastAsia="Calibri" w:hAnsi="Times New Roman" w:cs="Times New Roman"/>
          <w:sz w:val="24"/>
          <w:szCs w:val="24"/>
        </w:rPr>
        <w:t>2 ziemojoši īpatņi.</w:t>
      </w:r>
      <w:r w:rsidR="009D1934" w:rsidRPr="00A07F29">
        <w:rPr>
          <w:rFonts w:ascii="Times New Roman" w:eastAsia="Calibri" w:hAnsi="Times New Roman" w:cs="Times New Roman"/>
          <w:sz w:val="24"/>
          <w:szCs w:val="24"/>
        </w:rPr>
        <w:t xml:space="preserve"> </w:t>
      </w:r>
      <w:r w:rsidRPr="00A07F29">
        <w:rPr>
          <w:rFonts w:ascii="Times New Roman" w:eastAsia="Calibri" w:hAnsi="Times New Roman" w:cs="Times New Roman"/>
          <w:sz w:val="24"/>
          <w:szCs w:val="24"/>
        </w:rPr>
        <w:t xml:space="preserve">Suga iekļauta </w:t>
      </w:r>
      <w:proofErr w:type="spellStart"/>
      <w:r w:rsidRPr="00A07F29">
        <w:rPr>
          <w:rFonts w:ascii="Times New Roman" w:eastAsia="Calibri" w:hAnsi="Times New Roman" w:cs="Times New Roman"/>
          <w:i/>
          <w:iCs/>
          <w:sz w:val="24"/>
          <w:szCs w:val="24"/>
        </w:rPr>
        <w:t>Natura</w:t>
      </w:r>
      <w:proofErr w:type="spellEnd"/>
      <w:r w:rsidRPr="00A07F29">
        <w:rPr>
          <w:rFonts w:ascii="Times New Roman" w:eastAsia="Calibri" w:hAnsi="Times New Roman" w:cs="Times New Roman"/>
          <w:i/>
          <w:iCs/>
          <w:sz w:val="24"/>
          <w:szCs w:val="24"/>
        </w:rPr>
        <w:t xml:space="preserve"> 2000</w:t>
      </w:r>
      <w:r w:rsidRPr="00A07F29">
        <w:rPr>
          <w:rFonts w:ascii="Times New Roman" w:eastAsia="Calibri" w:hAnsi="Times New Roman" w:cs="Times New Roman"/>
          <w:sz w:val="24"/>
          <w:szCs w:val="24"/>
        </w:rPr>
        <w:t xml:space="preserve"> </w:t>
      </w:r>
      <w:r w:rsidR="00EE71DC" w:rsidRPr="00EE71DC">
        <w:rPr>
          <w:rFonts w:ascii="Times New Roman" w:eastAsia="Calibri" w:hAnsi="Times New Roman" w:cs="Times New Roman"/>
          <w:sz w:val="24"/>
          <w:szCs w:val="24"/>
        </w:rPr>
        <w:t>SDF</w:t>
      </w:r>
      <w:r w:rsidRPr="00EE71DC">
        <w:rPr>
          <w:rFonts w:ascii="Times New Roman" w:eastAsia="Calibri" w:hAnsi="Times New Roman" w:cs="Times New Roman"/>
          <w:sz w:val="24"/>
          <w:szCs w:val="24"/>
        </w:rPr>
        <w:t>.</w:t>
      </w:r>
    </w:p>
    <w:p w14:paraId="16B3C5EE" w14:textId="77777777" w:rsidR="009A4BC5" w:rsidRPr="00A07F29" w:rsidRDefault="009A4BC5" w:rsidP="00A467AC">
      <w:pPr>
        <w:keepNext/>
        <w:spacing w:before="240" w:after="120" w:line="240" w:lineRule="auto"/>
        <w:jc w:val="both"/>
        <w:rPr>
          <w:rFonts w:ascii="Times New Roman" w:eastAsia="Calibri" w:hAnsi="Times New Roman" w:cs="Times New Roman"/>
          <w:b/>
          <w:bCs/>
          <w:sz w:val="24"/>
          <w:szCs w:val="24"/>
        </w:rPr>
      </w:pPr>
      <w:proofErr w:type="spellStart"/>
      <w:r w:rsidRPr="00A07F29">
        <w:rPr>
          <w:rFonts w:ascii="Times New Roman" w:eastAsia="Calibri" w:hAnsi="Times New Roman" w:cs="Times New Roman"/>
          <w:b/>
          <w:bCs/>
          <w:sz w:val="24"/>
          <w:szCs w:val="24"/>
        </w:rPr>
        <w:t>Seivi</w:t>
      </w:r>
      <w:proofErr w:type="spellEnd"/>
      <w:r w:rsidRPr="00A07F29">
        <w:rPr>
          <w:rFonts w:ascii="Times New Roman" w:eastAsia="Calibri" w:hAnsi="Times New Roman" w:cs="Times New Roman"/>
          <w:b/>
          <w:bCs/>
          <w:sz w:val="24"/>
          <w:szCs w:val="24"/>
        </w:rPr>
        <w:t xml:space="preserve"> ķauķis </w:t>
      </w:r>
      <w:proofErr w:type="spellStart"/>
      <w:r w:rsidRPr="00A07F29">
        <w:rPr>
          <w:rFonts w:ascii="Times New Roman" w:eastAsia="Calibri" w:hAnsi="Times New Roman" w:cs="Times New Roman"/>
          <w:b/>
          <w:bCs/>
          <w:i/>
          <w:iCs/>
          <w:sz w:val="24"/>
          <w:szCs w:val="24"/>
        </w:rPr>
        <w:t>Locustella</w:t>
      </w:r>
      <w:proofErr w:type="spellEnd"/>
      <w:r w:rsidRPr="00A07F29">
        <w:rPr>
          <w:rFonts w:ascii="Times New Roman" w:eastAsia="Calibri" w:hAnsi="Times New Roman" w:cs="Times New Roman"/>
          <w:b/>
          <w:bCs/>
          <w:i/>
          <w:iCs/>
          <w:sz w:val="24"/>
          <w:szCs w:val="24"/>
        </w:rPr>
        <w:t xml:space="preserve"> </w:t>
      </w:r>
      <w:proofErr w:type="spellStart"/>
      <w:r w:rsidRPr="00A07F29">
        <w:rPr>
          <w:rFonts w:ascii="Times New Roman" w:eastAsia="Calibri" w:hAnsi="Times New Roman" w:cs="Times New Roman"/>
          <w:b/>
          <w:bCs/>
          <w:i/>
          <w:iCs/>
          <w:sz w:val="24"/>
          <w:szCs w:val="24"/>
        </w:rPr>
        <w:t>luscinioides</w:t>
      </w:r>
      <w:proofErr w:type="spellEnd"/>
    </w:p>
    <w:p w14:paraId="09BCF409" w14:textId="7230CCE0"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Populācijas lielums Latvijā: 500</w:t>
      </w:r>
      <w:r w:rsidR="009E41FF">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9E41FF">
        <w:rPr>
          <w:rFonts w:ascii="Times New Roman" w:eastAsia="Calibri" w:hAnsi="Times New Roman" w:cs="Times New Roman"/>
          <w:sz w:val="24"/>
          <w:szCs w:val="24"/>
        </w:rPr>
        <w:t> </w:t>
      </w:r>
      <w:r w:rsidRPr="00A07F29">
        <w:rPr>
          <w:rFonts w:ascii="Times New Roman" w:eastAsia="Calibri" w:hAnsi="Times New Roman" w:cs="Times New Roman"/>
          <w:sz w:val="24"/>
          <w:szCs w:val="24"/>
        </w:rPr>
        <w:t>200 ligzdojoši pāri (</w:t>
      </w:r>
      <w:proofErr w:type="spellStart"/>
      <w:r w:rsidRPr="00A07F29">
        <w:rPr>
          <w:rFonts w:ascii="Times New Roman" w:eastAsia="Calibri" w:hAnsi="Times New Roman" w:cs="Times New Roman"/>
          <w:sz w:val="24"/>
          <w:szCs w:val="24"/>
        </w:rPr>
        <w:t>Birdlife</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International</w:t>
      </w:r>
      <w:proofErr w:type="spellEnd"/>
      <w:r w:rsidR="00392BE6">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2019). Ligzdo blīvos niedrājos dažādos mitrājos.</w:t>
      </w:r>
    </w:p>
    <w:p w14:paraId="30EAB611" w14:textId="5C24B73B" w:rsidR="009A4BC5" w:rsidRPr="00A07F29" w:rsidRDefault="009D1934"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AAA “Augšdaugava” v</w:t>
      </w:r>
      <w:r w:rsidR="009A4BC5" w:rsidRPr="00A07F29">
        <w:rPr>
          <w:rFonts w:ascii="Times New Roman" w:eastAsia="Calibri" w:hAnsi="Times New Roman" w:cs="Times New Roman"/>
          <w:sz w:val="24"/>
          <w:szCs w:val="24"/>
        </w:rPr>
        <w:t xml:space="preserve">okalizējošs tēviņš konstatēts dīķī </w:t>
      </w:r>
      <w:proofErr w:type="spellStart"/>
      <w:r w:rsidR="009A4BC5" w:rsidRPr="00A07F29">
        <w:rPr>
          <w:rFonts w:ascii="Times New Roman" w:eastAsia="Calibri" w:hAnsi="Times New Roman" w:cs="Times New Roman"/>
          <w:sz w:val="24"/>
          <w:szCs w:val="24"/>
        </w:rPr>
        <w:t>Indricas</w:t>
      </w:r>
      <w:proofErr w:type="spellEnd"/>
      <w:r w:rsidR="009A4BC5" w:rsidRPr="00A07F29">
        <w:rPr>
          <w:rFonts w:ascii="Times New Roman" w:eastAsia="Calibri" w:hAnsi="Times New Roman" w:cs="Times New Roman"/>
          <w:sz w:val="24"/>
          <w:szCs w:val="24"/>
        </w:rPr>
        <w:t xml:space="preserve"> apkārtnē (J. </w:t>
      </w:r>
      <w:proofErr w:type="spellStart"/>
      <w:r w:rsidR="009A4BC5" w:rsidRPr="00A07F29">
        <w:rPr>
          <w:rFonts w:ascii="Times New Roman" w:eastAsia="Calibri" w:hAnsi="Times New Roman" w:cs="Times New Roman"/>
          <w:sz w:val="24"/>
          <w:szCs w:val="24"/>
        </w:rPr>
        <w:t>Vīgulis</w:t>
      </w:r>
      <w:proofErr w:type="spellEnd"/>
      <w:r w:rsidR="009E41FF">
        <w:rPr>
          <w:rFonts w:ascii="Times New Roman" w:eastAsia="Calibri" w:hAnsi="Times New Roman" w:cs="Times New Roman"/>
          <w:sz w:val="24"/>
          <w:szCs w:val="24"/>
        </w:rPr>
        <w:t xml:space="preserve">, </w:t>
      </w:r>
      <w:r w:rsidR="009E41FF" w:rsidRPr="00A07F29">
        <w:rPr>
          <w:rFonts w:ascii="Times New Roman" w:eastAsia="Calibri" w:hAnsi="Times New Roman" w:cs="Times New Roman"/>
          <w:sz w:val="24"/>
          <w:szCs w:val="24"/>
        </w:rPr>
        <w:t>12.05.2018.</w:t>
      </w:r>
      <w:r w:rsidR="009A4BC5" w:rsidRPr="00A07F29">
        <w:rPr>
          <w:rFonts w:ascii="Times New Roman" w:eastAsia="Calibri" w:hAnsi="Times New Roman" w:cs="Times New Roman"/>
          <w:sz w:val="24"/>
          <w:szCs w:val="24"/>
        </w:rPr>
        <w:t>); DA plāna izstrādes laikā 2019.</w:t>
      </w:r>
      <w:r w:rsidR="009E41FF">
        <w:rPr>
          <w:rFonts w:ascii="Times New Roman" w:eastAsia="Calibri" w:hAnsi="Times New Roman" w:cs="Times New Roman"/>
          <w:sz w:val="24"/>
          <w:szCs w:val="24"/>
        </w:rPr>
        <w:t> </w:t>
      </w:r>
      <w:r w:rsidR="009A4BC5" w:rsidRPr="00A07F29">
        <w:rPr>
          <w:rFonts w:ascii="Times New Roman" w:eastAsia="Calibri" w:hAnsi="Times New Roman" w:cs="Times New Roman"/>
          <w:sz w:val="24"/>
          <w:szCs w:val="24"/>
        </w:rPr>
        <w:t xml:space="preserve">gadā vokalizējoši tēviņi konstatēti ar niedrēm </w:t>
      </w:r>
      <w:r w:rsidRPr="00A07F29">
        <w:rPr>
          <w:rFonts w:ascii="Times New Roman" w:eastAsia="Calibri" w:hAnsi="Times New Roman" w:cs="Times New Roman"/>
          <w:sz w:val="24"/>
          <w:szCs w:val="24"/>
        </w:rPr>
        <w:t xml:space="preserve">aizaugušos </w:t>
      </w:r>
      <w:r w:rsidR="009A4BC5" w:rsidRPr="00A07F29">
        <w:rPr>
          <w:rFonts w:ascii="Times New Roman" w:eastAsia="Calibri" w:hAnsi="Times New Roman" w:cs="Times New Roman"/>
          <w:sz w:val="24"/>
          <w:szCs w:val="24"/>
        </w:rPr>
        <w:t xml:space="preserve">mitrājos </w:t>
      </w:r>
      <w:proofErr w:type="spellStart"/>
      <w:r w:rsidR="009A4BC5" w:rsidRPr="00A07F29">
        <w:rPr>
          <w:rFonts w:ascii="Times New Roman" w:eastAsia="Calibri" w:hAnsi="Times New Roman" w:cs="Times New Roman"/>
          <w:sz w:val="24"/>
          <w:szCs w:val="24"/>
        </w:rPr>
        <w:t>Glaudānu</w:t>
      </w:r>
      <w:proofErr w:type="spellEnd"/>
      <w:r w:rsidR="009A4BC5" w:rsidRPr="00A07F29">
        <w:rPr>
          <w:rFonts w:ascii="Times New Roman" w:eastAsia="Calibri" w:hAnsi="Times New Roman" w:cs="Times New Roman"/>
          <w:sz w:val="24"/>
          <w:szCs w:val="24"/>
        </w:rPr>
        <w:t xml:space="preserve"> un </w:t>
      </w:r>
      <w:proofErr w:type="spellStart"/>
      <w:r w:rsidR="009A4BC5" w:rsidRPr="00A07F29">
        <w:rPr>
          <w:rFonts w:ascii="Times New Roman" w:eastAsia="Calibri" w:hAnsi="Times New Roman" w:cs="Times New Roman"/>
          <w:sz w:val="24"/>
          <w:szCs w:val="24"/>
        </w:rPr>
        <w:t>Sadnieku</w:t>
      </w:r>
      <w:proofErr w:type="spellEnd"/>
      <w:r w:rsidR="009A4BC5" w:rsidRPr="00A07F29">
        <w:rPr>
          <w:rFonts w:ascii="Times New Roman" w:eastAsia="Calibri" w:hAnsi="Times New Roman" w:cs="Times New Roman"/>
          <w:sz w:val="24"/>
          <w:szCs w:val="24"/>
        </w:rPr>
        <w:t xml:space="preserve"> apkārtnē.</w:t>
      </w:r>
    </w:p>
    <w:p w14:paraId="319EB414" w14:textId="0FD92B14"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Skaita vērtējums teritorijā: 3</w:t>
      </w:r>
      <w:r w:rsidR="009E41FF">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9E41FF">
        <w:rPr>
          <w:rFonts w:ascii="Times New Roman" w:eastAsia="Calibri" w:hAnsi="Times New Roman" w:cs="Times New Roman"/>
          <w:sz w:val="24"/>
          <w:szCs w:val="24"/>
        </w:rPr>
        <w:t> </w:t>
      </w:r>
      <w:r w:rsidRPr="00A07F29">
        <w:rPr>
          <w:rFonts w:ascii="Times New Roman" w:eastAsia="Calibri" w:hAnsi="Times New Roman" w:cs="Times New Roman"/>
          <w:sz w:val="24"/>
          <w:szCs w:val="24"/>
        </w:rPr>
        <w:t>5 ligzdojoši pāri.</w:t>
      </w:r>
      <w:r w:rsidR="009D1934" w:rsidRPr="00A07F29">
        <w:rPr>
          <w:rFonts w:ascii="Times New Roman" w:eastAsia="Calibri" w:hAnsi="Times New Roman" w:cs="Times New Roman"/>
          <w:sz w:val="24"/>
          <w:szCs w:val="24"/>
        </w:rPr>
        <w:t xml:space="preserve"> </w:t>
      </w:r>
      <w:r w:rsidRPr="00A07F29">
        <w:rPr>
          <w:rFonts w:ascii="Times New Roman" w:eastAsia="Calibri" w:hAnsi="Times New Roman" w:cs="Times New Roman"/>
          <w:sz w:val="24"/>
          <w:szCs w:val="24"/>
        </w:rPr>
        <w:t xml:space="preserve">Suga iekļauta </w:t>
      </w:r>
      <w:proofErr w:type="spellStart"/>
      <w:r w:rsidRPr="00A07F29">
        <w:rPr>
          <w:rFonts w:ascii="Times New Roman" w:eastAsia="Calibri" w:hAnsi="Times New Roman" w:cs="Times New Roman"/>
          <w:i/>
          <w:iCs/>
          <w:sz w:val="24"/>
          <w:szCs w:val="24"/>
        </w:rPr>
        <w:t>Natura</w:t>
      </w:r>
      <w:proofErr w:type="spellEnd"/>
      <w:r w:rsidRPr="00A07F29">
        <w:rPr>
          <w:rFonts w:ascii="Times New Roman" w:eastAsia="Calibri" w:hAnsi="Times New Roman" w:cs="Times New Roman"/>
          <w:i/>
          <w:iCs/>
          <w:sz w:val="24"/>
          <w:szCs w:val="24"/>
        </w:rPr>
        <w:t xml:space="preserve"> 2000</w:t>
      </w:r>
      <w:r w:rsidRPr="00A07F29">
        <w:rPr>
          <w:rFonts w:ascii="Times New Roman" w:eastAsia="Calibri" w:hAnsi="Times New Roman" w:cs="Times New Roman"/>
          <w:sz w:val="24"/>
          <w:szCs w:val="24"/>
        </w:rPr>
        <w:t xml:space="preserve"> </w:t>
      </w:r>
      <w:r w:rsidR="00EE71DC" w:rsidRPr="00EE71DC">
        <w:rPr>
          <w:rFonts w:ascii="Times New Roman" w:eastAsia="Calibri" w:hAnsi="Times New Roman" w:cs="Times New Roman"/>
          <w:sz w:val="24"/>
          <w:szCs w:val="24"/>
        </w:rPr>
        <w:t>SDF</w:t>
      </w:r>
      <w:r w:rsidRPr="00EE71DC">
        <w:rPr>
          <w:rFonts w:ascii="Times New Roman" w:eastAsia="Calibri" w:hAnsi="Times New Roman" w:cs="Times New Roman"/>
          <w:sz w:val="24"/>
          <w:szCs w:val="24"/>
        </w:rPr>
        <w:t>.</w:t>
      </w:r>
    </w:p>
    <w:p w14:paraId="306F25BA" w14:textId="77777777" w:rsidR="009A4BC5" w:rsidRPr="00A07F29" w:rsidRDefault="009A4BC5" w:rsidP="009D1934">
      <w:pPr>
        <w:keepNext/>
        <w:spacing w:before="240" w:after="120" w:line="240" w:lineRule="auto"/>
        <w:jc w:val="both"/>
        <w:rPr>
          <w:rFonts w:ascii="Times New Roman" w:eastAsia="Calibri" w:hAnsi="Times New Roman" w:cs="Times New Roman"/>
          <w:b/>
          <w:bCs/>
          <w:i/>
          <w:iCs/>
          <w:sz w:val="24"/>
          <w:szCs w:val="24"/>
        </w:rPr>
      </w:pPr>
      <w:r w:rsidRPr="00A07F29">
        <w:rPr>
          <w:rFonts w:ascii="Times New Roman" w:eastAsia="Calibri" w:hAnsi="Times New Roman" w:cs="Times New Roman"/>
          <w:b/>
          <w:bCs/>
          <w:sz w:val="24"/>
          <w:szCs w:val="24"/>
        </w:rPr>
        <w:t xml:space="preserve">Svītrainais ķauķis </w:t>
      </w:r>
      <w:proofErr w:type="spellStart"/>
      <w:r w:rsidRPr="00A07F29">
        <w:rPr>
          <w:rFonts w:ascii="Times New Roman" w:eastAsia="Calibri" w:hAnsi="Times New Roman" w:cs="Times New Roman"/>
          <w:b/>
          <w:bCs/>
          <w:i/>
          <w:iCs/>
          <w:sz w:val="24"/>
          <w:szCs w:val="24"/>
        </w:rPr>
        <w:t>Sylvia</w:t>
      </w:r>
      <w:proofErr w:type="spellEnd"/>
      <w:r w:rsidRPr="00A07F29">
        <w:rPr>
          <w:rFonts w:ascii="Times New Roman" w:eastAsia="Calibri" w:hAnsi="Times New Roman" w:cs="Times New Roman"/>
          <w:b/>
          <w:bCs/>
          <w:i/>
          <w:iCs/>
          <w:sz w:val="24"/>
          <w:szCs w:val="24"/>
        </w:rPr>
        <w:t xml:space="preserve"> </w:t>
      </w:r>
      <w:proofErr w:type="spellStart"/>
      <w:r w:rsidRPr="00A07F29">
        <w:rPr>
          <w:rFonts w:ascii="Times New Roman" w:eastAsia="Calibri" w:hAnsi="Times New Roman" w:cs="Times New Roman"/>
          <w:b/>
          <w:bCs/>
          <w:i/>
          <w:iCs/>
          <w:sz w:val="24"/>
          <w:szCs w:val="24"/>
        </w:rPr>
        <w:t>nisoria</w:t>
      </w:r>
      <w:proofErr w:type="spellEnd"/>
    </w:p>
    <w:p w14:paraId="359C6830" w14:textId="5530A6E8"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Populācijas lielums Latvijā: 2084</w:t>
      </w:r>
      <w:r w:rsidR="009E41FF">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9E41FF">
        <w:rPr>
          <w:rFonts w:ascii="Times New Roman" w:eastAsia="Calibri" w:hAnsi="Times New Roman" w:cs="Times New Roman"/>
          <w:sz w:val="24"/>
          <w:szCs w:val="24"/>
        </w:rPr>
        <w:t> </w:t>
      </w:r>
      <w:r w:rsidRPr="00A07F29">
        <w:rPr>
          <w:rFonts w:ascii="Times New Roman" w:eastAsia="Calibri" w:hAnsi="Times New Roman" w:cs="Times New Roman"/>
          <w:sz w:val="24"/>
          <w:szCs w:val="24"/>
        </w:rPr>
        <w:t>4573 pāri (</w:t>
      </w:r>
      <w:proofErr w:type="spellStart"/>
      <w:r w:rsidRPr="00A07F29">
        <w:rPr>
          <w:rFonts w:ascii="Times New Roman" w:eastAsia="Calibri" w:hAnsi="Times New Roman" w:cs="Times New Roman"/>
          <w:sz w:val="24"/>
          <w:szCs w:val="24"/>
        </w:rPr>
        <w:t>Birdlife</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International</w:t>
      </w:r>
      <w:proofErr w:type="spellEnd"/>
      <w:r w:rsidR="00392BE6">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2019).</w:t>
      </w:r>
      <w:r w:rsidR="009D1934" w:rsidRPr="00A07F29">
        <w:rPr>
          <w:rFonts w:ascii="Times New Roman" w:eastAsia="Calibri" w:hAnsi="Times New Roman" w:cs="Times New Roman"/>
          <w:sz w:val="24"/>
          <w:szCs w:val="24"/>
        </w:rPr>
        <w:t xml:space="preserve"> </w:t>
      </w:r>
      <w:r w:rsidRPr="00A07F29">
        <w:rPr>
          <w:rFonts w:ascii="Times New Roman" w:eastAsia="Calibri" w:hAnsi="Times New Roman" w:cs="Times New Roman"/>
          <w:sz w:val="24"/>
          <w:szCs w:val="24"/>
        </w:rPr>
        <w:t>Ligzdo krūmājos ūdenstilpju krastos, ceļmalu dzīvžogos, vecos parkos, pamestu viensētu dārzos, ar krūmiem aizaugušos klajumos, izcirtumos (LOB</w:t>
      </w:r>
      <w:r w:rsidR="009E41FF">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1998). </w:t>
      </w:r>
    </w:p>
    <w:p w14:paraId="4C55C5DD" w14:textId="2DAEA205" w:rsidR="009A4BC5" w:rsidRPr="00A07F29" w:rsidRDefault="009D1934"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AAA “Augšdaugava” </w:t>
      </w:r>
      <w:proofErr w:type="spellStart"/>
      <w:r w:rsidR="009A4BC5" w:rsidRPr="00A07F29">
        <w:rPr>
          <w:rFonts w:ascii="Times New Roman" w:eastAsia="Calibri" w:hAnsi="Times New Roman" w:cs="Times New Roman"/>
          <w:i/>
          <w:iCs/>
          <w:sz w:val="24"/>
          <w:szCs w:val="24"/>
        </w:rPr>
        <w:t>Natura</w:t>
      </w:r>
      <w:proofErr w:type="spellEnd"/>
      <w:r w:rsidR="009A4BC5" w:rsidRPr="00A07F29">
        <w:rPr>
          <w:rFonts w:ascii="Times New Roman" w:eastAsia="Calibri" w:hAnsi="Times New Roman" w:cs="Times New Roman"/>
          <w:i/>
          <w:iCs/>
          <w:sz w:val="24"/>
          <w:szCs w:val="24"/>
        </w:rPr>
        <w:t xml:space="preserve"> 2000</w:t>
      </w:r>
      <w:r w:rsidR="009A4BC5" w:rsidRPr="00A07F29">
        <w:rPr>
          <w:rFonts w:ascii="Times New Roman" w:eastAsia="Calibri" w:hAnsi="Times New Roman" w:cs="Times New Roman"/>
          <w:sz w:val="24"/>
          <w:szCs w:val="24"/>
        </w:rPr>
        <w:t xml:space="preserve"> vietu monitoringa ietvaros suga uzskaišu laikā nav konstatēta, kas </w:t>
      </w:r>
      <w:r w:rsidRPr="00A07F29">
        <w:rPr>
          <w:rFonts w:ascii="Times New Roman" w:eastAsia="Calibri" w:hAnsi="Times New Roman" w:cs="Times New Roman"/>
          <w:sz w:val="24"/>
          <w:szCs w:val="24"/>
        </w:rPr>
        <w:t>bijis pamatā</w:t>
      </w:r>
      <w:r w:rsidR="009A4BC5" w:rsidRPr="00A07F29">
        <w:rPr>
          <w:rFonts w:ascii="Times New Roman" w:eastAsia="Calibri" w:hAnsi="Times New Roman" w:cs="Times New Roman"/>
          <w:sz w:val="24"/>
          <w:szCs w:val="24"/>
        </w:rPr>
        <w:t xml:space="preserve"> sugas populācijas skaita vērtējumam 0 pāri </w:t>
      </w:r>
      <w:proofErr w:type="spellStart"/>
      <w:r w:rsidR="009A4BC5" w:rsidRPr="00A07F29">
        <w:rPr>
          <w:rFonts w:ascii="Times New Roman" w:eastAsia="Calibri" w:hAnsi="Times New Roman" w:cs="Times New Roman"/>
          <w:i/>
          <w:iCs/>
          <w:sz w:val="24"/>
          <w:szCs w:val="24"/>
        </w:rPr>
        <w:t>Natura</w:t>
      </w:r>
      <w:proofErr w:type="spellEnd"/>
      <w:r w:rsidR="009A4BC5" w:rsidRPr="00A07F29">
        <w:rPr>
          <w:rFonts w:ascii="Times New Roman" w:eastAsia="Calibri" w:hAnsi="Times New Roman" w:cs="Times New Roman"/>
          <w:i/>
          <w:iCs/>
          <w:sz w:val="24"/>
          <w:szCs w:val="24"/>
        </w:rPr>
        <w:t xml:space="preserve"> 2000</w:t>
      </w:r>
      <w:r w:rsidR="009A4BC5" w:rsidRPr="00A07F29">
        <w:rPr>
          <w:rFonts w:ascii="Times New Roman" w:eastAsia="Calibri" w:hAnsi="Times New Roman" w:cs="Times New Roman"/>
          <w:sz w:val="24"/>
          <w:szCs w:val="24"/>
        </w:rPr>
        <w:t xml:space="preserve"> </w:t>
      </w:r>
      <w:r w:rsidR="00EE71DC">
        <w:rPr>
          <w:rFonts w:ascii="Times New Roman" w:eastAsia="Calibri" w:hAnsi="Times New Roman" w:cs="Times New Roman"/>
          <w:sz w:val="24"/>
          <w:szCs w:val="24"/>
        </w:rPr>
        <w:t>SDF</w:t>
      </w:r>
      <w:r w:rsidR="009A4BC5" w:rsidRPr="00A07F29">
        <w:rPr>
          <w:rFonts w:ascii="Times New Roman" w:eastAsia="Calibri" w:hAnsi="Times New Roman" w:cs="Times New Roman"/>
          <w:sz w:val="24"/>
          <w:szCs w:val="24"/>
        </w:rPr>
        <w:t>. Laika posmā no 2014.</w:t>
      </w:r>
      <w:r w:rsidR="009E41FF">
        <w:rPr>
          <w:rFonts w:ascii="Times New Roman" w:eastAsia="Calibri" w:hAnsi="Times New Roman" w:cs="Times New Roman"/>
          <w:sz w:val="24"/>
          <w:szCs w:val="24"/>
        </w:rPr>
        <w:t> </w:t>
      </w:r>
      <w:r w:rsidR="009A4BC5" w:rsidRPr="00A07F29">
        <w:rPr>
          <w:rFonts w:ascii="Times New Roman" w:eastAsia="Calibri" w:hAnsi="Times New Roman" w:cs="Times New Roman"/>
          <w:sz w:val="24"/>
          <w:szCs w:val="24"/>
        </w:rPr>
        <w:t>gada svītrainais ķauķis konstatēts 15 atradnēs un nav pamata domāt par skaita samazinājumu.</w:t>
      </w:r>
    </w:p>
    <w:p w14:paraId="0BEFD032" w14:textId="2944F185"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lastRenderedPageBreak/>
        <w:t>Skaita vērtējums teritorijā: 15</w:t>
      </w:r>
      <w:r w:rsidR="009E41FF">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9E41FF">
        <w:rPr>
          <w:rFonts w:ascii="Times New Roman" w:eastAsia="Calibri" w:hAnsi="Times New Roman" w:cs="Times New Roman"/>
          <w:sz w:val="24"/>
          <w:szCs w:val="24"/>
        </w:rPr>
        <w:t> </w:t>
      </w:r>
      <w:r w:rsidRPr="00A07F29">
        <w:rPr>
          <w:rFonts w:ascii="Times New Roman" w:eastAsia="Calibri" w:hAnsi="Times New Roman" w:cs="Times New Roman"/>
          <w:sz w:val="24"/>
          <w:szCs w:val="24"/>
        </w:rPr>
        <w:t>45 ligzdojoši pāri.</w:t>
      </w:r>
      <w:r w:rsidR="009D1934" w:rsidRPr="00A07F29">
        <w:rPr>
          <w:rFonts w:ascii="Times New Roman" w:eastAsia="Calibri" w:hAnsi="Times New Roman" w:cs="Times New Roman"/>
          <w:sz w:val="24"/>
          <w:szCs w:val="24"/>
        </w:rPr>
        <w:t xml:space="preserve"> </w:t>
      </w:r>
      <w:r w:rsidRPr="00A07F29">
        <w:rPr>
          <w:rFonts w:ascii="Times New Roman" w:eastAsia="Calibri" w:hAnsi="Times New Roman" w:cs="Times New Roman"/>
          <w:sz w:val="24"/>
          <w:szCs w:val="24"/>
        </w:rPr>
        <w:t xml:space="preserve">Sugai </w:t>
      </w:r>
      <w:proofErr w:type="spellStart"/>
      <w:r w:rsidRPr="00A07F29">
        <w:rPr>
          <w:rFonts w:ascii="Times New Roman" w:eastAsia="Calibri" w:hAnsi="Times New Roman" w:cs="Times New Roman"/>
          <w:i/>
          <w:iCs/>
          <w:sz w:val="24"/>
          <w:szCs w:val="24"/>
        </w:rPr>
        <w:t>Natura</w:t>
      </w:r>
      <w:proofErr w:type="spellEnd"/>
      <w:r w:rsidRPr="00A07F29">
        <w:rPr>
          <w:rFonts w:ascii="Times New Roman" w:eastAsia="Calibri" w:hAnsi="Times New Roman" w:cs="Times New Roman"/>
          <w:i/>
          <w:iCs/>
          <w:sz w:val="24"/>
          <w:szCs w:val="24"/>
        </w:rPr>
        <w:t xml:space="preserve"> 2000</w:t>
      </w:r>
      <w:r w:rsidRPr="00A07F29">
        <w:rPr>
          <w:rFonts w:ascii="Times New Roman" w:eastAsia="Calibri" w:hAnsi="Times New Roman" w:cs="Times New Roman"/>
          <w:sz w:val="24"/>
          <w:szCs w:val="24"/>
        </w:rPr>
        <w:t xml:space="preserve"> </w:t>
      </w:r>
      <w:r w:rsidR="00EE71DC">
        <w:rPr>
          <w:rFonts w:ascii="Times New Roman" w:eastAsia="Calibri" w:hAnsi="Times New Roman" w:cs="Times New Roman"/>
          <w:sz w:val="24"/>
          <w:szCs w:val="24"/>
        </w:rPr>
        <w:t>SDF</w:t>
      </w:r>
      <w:r w:rsidRPr="00A07F29">
        <w:rPr>
          <w:rFonts w:ascii="Times New Roman" w:eastAsia="Calibri" w:hAnsi="Times New Roman" w:cs="Times New Roman"/>
          <w:sz w:val="24"/>
          <w:szCs w:val="24"/>
        </w:rPr>
        <w:t xml:space="preserve"> precizēts minimālais un maksimālais populācijas lielums.</w:t>
      </w:r>
    </w:p>
    <w:p w14:paraId="0A12BFB2" w14:textId="77777777" w:rsidR="009A4BC5" w:rsidRPr="00A07F29" w:rsidRDefault="009A4BC5" w:rsidP="009D1934">
      <w:pPr>
        <w:keepNext/>
        <w:spacing w:before="240" w:after="120" w:line="240" w:lineRule="auto"/>
        <w:jc w:val="both"/>
        <w:rPr>
          <w:rFonts w:ascii="Times New Roman" w:eastAsia="Calibri" w:hAnsi="Times New Roman" w:cs="Times New Roman"/>
          <w:b/>
          <w:bCs/>
          <w:i/>
          <w:iCs/>
          <w:sz w:val="24"/>
          <w:szCs w:val="24"/>
        </w:rPr>
      </w:pPr>
      <w:r w:rsidRPr="00A07F29">
        <w:rPr>
          <w:rFonts w:ascii="Times New Roman" w:eastAsia="Calibri" w:hAnsi="Times New Roman" w:cs="Times New Roman"/>
          <w:b/>
          <w:bCs/>
          <w:sz w:val="24"/>
          <w:szCs w:val="24"/>
        </w:rPr>
        <w:t xml:space="preserve">Mazais mušķērājs </w:t>
      </w:r>
      <w:proofErr w:type="spellStart"/>
      <w:r w:rsidRPr="00A07F29">
        <w:rPr>
          <w:rFonts w:ascii="Times New Roman" w:eastAsia="Calibri" w:hAnsi="Times New Roman" w:cs="Times New Roman"/>
          <w:b/>
          <w:bCs/>
          <w:i/>
          <w:iCs/>
          <w:sz w:val="24"/>
          <w:szCs w:val="24"/>
        </w:rPr>
        <w:t>Ficedula</w:t>
      </w:r>
      <w:proofErr w:type="spellEnd"/>
      <w:r w:rsidRPr="00A07F29">
        <w:rPr>
          <w:rFonts w:ascii="Times New Roman" w:eastAsia="Calibri" w:hAnsi="Times New Roman" w:cs="Times New Roman"/>
          <w:b/>
          <w:bCs/>
          <w:i/>
          <w:iCs/>
          <w:sz w:val="24"/>
          <w:szCs w:val="24"/>
        </w:rPr>
        <w:t xml:space="preserve"> </w:t>
      </w:r>
      <w:proofErr w:type="spellStart"/>
      <w:r w:rsidRPr="00A07F29">
        <w:rPr>
          <w:rFonts w:ascii="Times New Roman" w:eastAsia="Calibri" w:hAnsi="Times New Roman" w:cs="Times New Roman"/>
          <w:b/>
          <w:bCs/>
          <w:i/>
          <w:iCs/>
          <w:sz w:val="24"/>
          <w:szCs w:val="24"/>
        </w:rPr>
        <w:t>parva</w:t>
      </w:r>
      <w:proofErr w:type="spellEnd"/>
    </w:p>
    <w:p w14:paraId="11B9E97C" w14:textId="46800419"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Populācijas lielums Latvijā: 49972</w:t>
      </w:r>
      <w:r w:rsidR="009E41FF">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9E41FF">
        <w:rPr>
          <w:rFonts w:ascii="Times New Roman" w:eastAsia="Calibri" w:hAnsi="Times New Roman" w:cs="Times New Roman"/>
          <w:sz w:val="24"/>
          <w:szCs w:val="24"/>
        </w:rPr>
        <w:t> </w:t>
      </w:r>
      <w:r w:rsidRPr="00A07F29">
        <w:rPr>
          <w:rFonts w:ascii="Times New Roman" w:eastAsia="Calibri" w:hAnsi="Times New Roman" w:cs="Times New Roman"/>
          <w:sz w:val="24"/>
          <w:szCs w:val="24"/>
        </w:rPr>
        <w:t>105507 pāri (</w:t>
      </w:r>
      <w:proofErr w:type="spellStart"/>
      <w:r w:rsidRPr="00A07F29">
        <w:rPr>
          <w:rFonts w:ascii="Times New Roman" w:eastAsia="Calibri" w:hAnsi="Times New Roman" w:cs="Times New Roman"/>
          <w:sz w:val="24"/>
          <w:szCs w:val="24"/>
        </w:rPr>
        <w:t>Birdlife</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International</w:t>
      </w:r>
      <w:proofErr w:type="spellEnd"/>
      <w:r w:rsidR="00392BE6">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2019).</w:t>
      </w:r>
      <w:r w:rsidR="009D1934" w:rsidRPr="00A07F29">
        <w:rPr>
          <w:rFonts w:ascii="Times New Roman" w:eastAsia="Calibri" w:hAnsi="Times New Roman" w:cs="Times New Roman"/>
          <w:sz w:val="24"/>
          <w:szCs w:val="24"/>
        </w:rPr>
        <w:t xml:space="preserve"> </w:t>
      </w:r>
      <w:r w:rsidRPr="00A07F29">
        <w:rPr>
          <w:rFonts w:ascii="Times New Roman" w:eastAsia="Calibri" w:hAnsi="Times New Roman" w:cs="Times New Roman"/>
          <w:sz w:val="24"/>
          <w:szCs w:val="24"/>
        </w:rPr>
        <w:t>Suga apdzīvo mitrus vecākus skuju koku un jauktus mežus, galvenokārt egļu audzes (LOB</w:t>
      </w:r>
      <w:r w:rsidR="009E41FF">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2002). Ligzdošanai nepieciešami meži ar daudz </w:t>
      </w:r>
      <w:proofErr w:type="spellStart"/>
      <w:r w:rsidRPr="00A07F29">
        <w:rPr>
          <w:rFonts w:ascii="Times New Roman" w:eastAsia="Calibri" w:hAnsi="Times New Roman" w:cs="Times New Roman"/>
          <w:sz w:val="24"/>
          <w:szCs w:val="24"/>
        </w:rPr>
        <w:t>struktūrelementiem</w:t>
      </w:r>
      <w:proofErr w:type="spellEnd"/>
      <w:r w:rsidRPr="00A07F29">
        <w:rPr>
          <w:rFonts w:ascii="Times New Roman" w:eastAsia="Calibri" w:hAnsi="Times New Roman" w:cs="Times New Roman"/>
          <w:sz w:val="24"/>
          <w:szCs w:val="24"/>
        </w:rPr>
        <w:t xml:space="preserve"> – kritalām, stumbeņiem, lauztiem un izgāztiem kokiem.</w:t>
      </w:r>
    </w:p>
    <w:p w14:paraId="1FB781FF" w14:textId="22C22A30"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Skaita vērtējums</w:t>
      </w:r>
      <w:r w:rsidR="009D1934" w:rsidRPr="00A07F29">
        <w:rPr>
          <w:rFonts w:ascii="Times New Roman" w:eastAsia="Calibri" w:hAnsi="Times New Roman" w:cs="Times New Roman"/>
          <w:sz w:val="24"/>
          <w:szCs w:val="24"/>
        </w:rPr>
        <w:t xml:space="preserve"> AAA “Augšdaugava”</w:t>
      </w:r>
      <w:r w:rsidRPr="00A07F29">
        <w:rPr>
          <w:rFonts w:ascii="Times New Roman" w:eastAsia="Calibri" w:hAnsi="Times New Roman" w:cs="Times New Roman"/>
          <w:sz w:val="24"/>
          <w:szCs w:val="24"/>
        </w:rPr>
        <w:t xml:space="preserve"> teritorijā: 100</w:t>
      </w:r>
      <w:r w:rsidR="009E41FF">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8A068B">
        <w:rPr>
          <w:rFonts w:ascii="Times New Roman" w:eastAsia="Calibri" w:hAnsi="Times New Roman" w:cs="Times New Roman"/>
          <w:sz w:val="24"/>
          <w:szCs w:val="24"/>
        </w:rPr>
        <w:t> </w:t>
      </w:r>
      <w:r w:rsidRPr="00A07F29">
        <w:rPr>
          <w:rFonts w:ascii="Times New Roman" w:eastAsia="Calibri" w:hAnsi="Times New Roman" w:cs="Times New Roman"/>
          <w:sz w:val="24"/>
          <w:szCs w:val="24"/>
        </w:rPr>
        <w:t>150 ligzdojoši pāri.</w:t>
      </w:r>
      <w:r w:rsidR="009D1934" w:rsidRPr="00A07F29">
        <w:rPr>
          <w:rFonts w:ascii="Times New Roman" w:eastAsia="Calibri" w:hAnsi="Times New Roman" w:cs="Times New Roman"/>
          <w:sz w:val="24"/>
          <w:szCs w:val="24"/>
        </w:rPr>
        <w:t xml:space="preserve"> </w:t>
      </w:r>
      <w:r w:rsidRPr="00A07F29">
        <w:rPr>
          <w:rFonts w:ascii="Times New Roman" w:eastAsia="Calibri" w:hAnsi="Times New Roman" w:cs="Times New Roman"/>
          <w:sz w:val="24"/>
          <w:szCs w:val="24"/>
        </w:rPr>
        <w:t xml:space="preserve">Suga iekļauta </w:t>
      </w:r>
      <w:proofErr w:type="spellStart"/>
      <w:r w:rsidRPr="00A07F29">
        <w:rPr>
          <w:rFonts w:ascii="Times New Roman" w:eastAsia="Calibri" w:hAnsi="Times New Roman" w:cs="Times New Roman"/>
          <w:i/>
          <w:iCs/>
          <w:sz w:val="24"/>
          <w:szCs w:val="24"/>
        </w:rPr>
        <w:t>Natura</w:t>
      </w:r>
      <w:proofErr w:type="spellEnd"/>
      <w:r w:rsidRPr="00A07F29">
        <w:rPr>
          <w:rFonts w:ascii="Times New Roman" w:eastAsia="Calibri" w:hAnsi="Times New Roman" w:cs="Times New Roman"/>
          <w:i/>
          <w:iCs/>
          <w:sz w:val="24"/>
          <w:szCs w:val="24"/>
        </w:rPr>
        <w:t xml:space="preserve"> 2000</w:t>
      </w:r>
      <w:r w:rsidRPr="00A07F29">
        <w:rPr>
          <w:rFonts w:ascii="Times New Roman" w:eastAsia="Calibri" w:hAnsi="Times New Roman" w:cs="Times New Roman"/>
          <w:sz w:val="24"/>
          <w:szCs w:val="24"/>
        </w:rPr>
        <w:t xml:space="preserve"> </w:t>
      </w:r>
      <w:r w:rsidR="00EE71DC">
        <w:rPr>
          <w:rFonts w:ascii="Times New Roman" w:eastAsia="Calibri" w:hAnsi="Times New Roman" w:cs="Times New Roman"/>
          <w:sz w:val="24"/>
          <w:szCs w:val="24"/>
        </w:rPr>
        <w:t>SDF</w:t>
      </w:r>
      <w:r w:rsidRPr="00A07F29">
        <w:rPr>
          <w:rFonts w:ascii="Times New Roman" w:eastAsia="Calibri" w:hAnsi="Times New Roman" w:cs="Times New Roman"/>
          <w:sz w:val="24"/>
          <w:szCs w:val="24"/>
        </w:rPr>
        <w:t>.</w:t>
      </w:r>
    </w:p>
    <w:p w14:paraId="5E02DE44" w14:textId="77777777" w:rsidR="009A4BC5" w:rsidRPr="00A07F29" w:rsidRDefault="009A4BC5" w:rsidP="009D1934">
      <w:pPr>
        <w:keepNext/>
        <w:spacing w:before="240" w:after="120" w:line="240" w:lineRule="auto"/>
        <w:jc w:val="both"/>
        <w:rPr>
          <w:rFonts w:ascii="Times New Roman" w:eastAsia="Calibri" w:hAnsi="Times New Roman" w:cs="Times New Roman"/>
          <w:b/>
          <w:bCs/>
          <w:i/>
          <w:iCs/>
          <w:sz w:val="24"/>
          <w:szCs w:val="24"/>
        </w:rPr>
      </w:pPr>
      <w:r w:rsidRPr="00A07F29">
        <w:rPr>
          <w:rFonts w:ascii="Times New Roman" w:eastAsia="Calibri" w:hAnsi="Times New Roman" w:cs="Times New Roman"/>
          <w:b/>
          <w:bCs/>
          <w:sz w:val="24"/>
          <w:szCs w:val="24"/>
        </w:rPr>
        <w:t xml:space="preserve">Zilrīklīte </w:t>
      </w:r>
      <w:proofErr w:type="spellStart"/>
      <w:r w:rsidRPr="00A07F29">
        <w:rPr>
          <w:rFonts w:ascii="Times New Roman" w:eastAsia="Calibri" w:hAnsi="Times New Roman" w:cs="Times New Roman"/>
          <w:b/>
          <w:bCs/>
          <w:i/>
          <w:iCs/>
          <w:sz w:val="24"/>
          <w:szCs w:val="24"/>
        </w:rPr>
        <w:t>Luscinia</w:t>
      </w:r>
      <w:proofErr w:type="spellEnd"/>
      <w:r w:rsidRPr="00A07F29">
        <w:rPr>
          <w:rFonts w:ascii="Times New Roman" w:eastAsia="Calibri" w:hAnsi="Times New Roman" w:cs="Times New Roman"/>
          <w:b/>
          <w:bCs/>
          <w:i/>
          <w:iCs/>
          <w:sz w:val="24"/>
          <w:szCs w:val="24"/>
        </w:rPr>
        <w:t xml:space="preserve"> </w:t>
      </w:r>
      <w:proofErr w:type="spellStart"/>
      <w:r w:rsidRPr="00A07F29">
        <w:rPr>
          <w:rFonts w:ascii="Times New Roman" w:eastAsia="Calibri" w:hAnsi="Times New Roman" w:cs="Times New Roman"/>
          <w:b/>
          <w:bCs/>
          <w:i/>
          <w:iCs/>
          <w:sz w:val="24"/>
          <w:szCs w:val="24"/>
        </w:rPr>
        <w:t>svecica</w:t>
      </w:r>
      <w:proofErr w:type="spellEnd"/>
    </w:p>
    <w:p w14:paraId="6DA41BDB" w14:textId="382A098D" w:rsidR="009A4BC5" w:rsidRPr="00A07F29" w:rsidRDefault="009A4BC5" w:rsidP="00753F13">
      <w:pPr>
        <w:tabs>
          <w:tab w:val="left" w:pos="8220"/>
        </w:tabs>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Populācijas lielums Latvijā: 150</w:t>
      </w:r>
      <w:r w:rsidR="008A068B">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8A068B">
        <w:rPr>
          <w:rFonts w:ascii="Times New Roman" w:eastAsia="Calibri" w:hAnsi="Times New Roman" w:cs="Times New Roman"/>
          <w:sz w:val="24"/>
          <w:szCs w:val="24"/>
        </w:rPr>
        <w:t> </w:t>
      </w:r>
      <w:r w:rsidRPr="00A07F29">
        <w:rPr>
          <w:rFonts w:ascii="Times New Roman" w:eastAsia="Calibri" w:hAnsi="Times New Roman" w:cs="Times New Roman"/>
          <w:sz w:val="24"/>
          <w:szCs w:val="24"/>
        </w:rPr>
        <w:t>300 pāri (</w:t>
      </w:r>
      <w:proofErr w:type="spellStart"/>
      <w:r w:rsidRPr="00A07F29">
        <w:rPr>
          <w:rFonts w:ascii="Times New Roman" w:eastAsia="Calibri" w:hAnsi="Times New Roman" w:cs="Times New Roman"/>
          <w:sz w:val="24"/>
          <w:szCs w:val="24"/>
        </w:rPr>
        <w:t>Birdlife</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International</w:t>
      </w:r>
      <w:proofErr w:type="spellEnd"/>
      <w:r w:rsidR="00392BE6">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2019).</w:t>
      </w:r>
      <w:r w:rsidR="00753F13" w:rsidRPr="00A07F29">
        <w:rPr>
          <w:rFonts w:ascii="Times New Roman" w:eastAsia="Calibri" w:hAnsi="Times New Roman" w:cs="Times New Roman"/>
          <w:sz w:val="24"/>
          <w:szCs w:val="24"/>
        </w:rPr>
        <w:t xml:space="preserve"> </w:t>
      </w:r>
      <w:r w:rsidRPr="00A07F29">
        <w:rPr>
          <w:rFonts w:ascii="Times New Roman" w:eastAsia="Calibri" w:hAnsi="Times New Roman" w:cs="Times New Roman"/>
          <w:sz w:val="24"/>
          <w:szCs w:val="24"/>
        </w:rPr>
        <w:t xml:space="preserve">Latvijā reti sastopama putnu suga, biežāk sastopama valsts </w:t>
      </w:r>
      <w:r w:rsidR="00EE71DC">
        <w:rPr>
          <w:rFonts w:ascii="Times New Roman" w:eastAsia="Calibri" w:hAnsi="Times New Roman" w:cs="Times New Roman"/>
          <w:sz w:val="24"/>
          <w:szCs w:val="24"/>
        </w:rPr>
        <w:t>DA</w:t>
      </w:r>
      <w:r w:rsidRPr="00A07F29">
        <w:rPr>
          <w:rFonts w:ascii="Times New Roman" w:eastAsia="Calibri" w:hAnsi="Times New Roman" w:cs="Times New Roman"/>
          <w:sz w:val="24"/>
          <w:szCs w:val="24"/>
        </w:rPr>
        <w:t xml:space="preserve"> daļā.</w:t>
      </w:r>
    </w:p>
    <w:p w14:paraId="4BCD95D2" w14:textId="3B03DA56" w:rsidR="009A4BC5" w:rsidRPr="00A07F29" w:rsidRDefault="00753F13" w:rsidP="009A4BC5">
      <w:pPr>
        <w:tabs>
          <w:tab w:val="left" w:pos="4572"/>
        </w:tabs>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AAA “Augšdaugava” v</w:t>
      </w:r>
      <w:r w:rsidR="009A4BC5" w:rsidRPr="00A07F29">
        <w:rPr>
          <w:rFonts w:ascii="Times New Roman" w:eastAsia="Calibri" w:hAnsi="Times New Roman" w:cs="Times New Roman"/>
          <w:sz w:val="24"/>
          <w:szCs w:val="24"/>
        </w:rPr>
        <w:t>iens vokalizējošs tēviņš 2019.</w:t>
      </w:r>
      <w:r w:rsidR="008A068B">
        <w:rPr>
          <w:rFonts w:ascii="Times New Roman" w:eastAsia="Calibri" w:hAnsi="Times New Roman" w:cs="Times New Roman"/>
          <w:sz w:val="24"/>
          <w:szCs w:val="24"/>
        </w:rPr>
        <w:t> </w:t>
      </w:r>
      <w:r w:rsidR="009A4BC5" w:rsidRPr="00A07F29">
        <w:rPr>
          <w:rFonts w:ascii="Times New Roman" w:eastAsia="Calibri" w:hAnsi="Times New Roman" w:cs="Times New Roman"/>
          <w:sz w:val="24"/>
          <w:szCs w:val="24"/>
        </w:rPr>
        <w:t xml:space="preserve">gadā novērots mitrājā </w:t>
      </w:r>
      <w:proofErr w:type="spellStart"/>
      <w:r w:rsidR="009A4BC5" w:rsidRPr="00A07F29">
        <w:rPr>
          <w:rFonts w:ascii="Times New Roman" w:eastAsia="Calibri" w:hAnsi="Times New Roman" w:cs="Times New Roman"/>
          <w:sz w:val="24"/>
          <w:szCs w:val="24"/>
        </w:rPr>
        <w:t>Savišku</w:t>
      </w:r>
      <w:proofErr w:type="spellEnd"/>
      <w:r w:rsidR="009A4BC5" w:rsidRPr="00A07F29">
        <w:rPr>
          <w:rFonts w:ascii="Times New Roman" w:eastAsia="Calibri" w:hAnsi="Times New Roman" w:cs="Times New Roman"/>
          <w:sz w:val="24"/>
          <w:szCs w:val="24"/>
        </w:rPr>
        <w:t xml:space="preserve"> apkārtnē (G. </w:t>
      </w:r>
      <w:proofErr w:type="spellStart"/>
      <w:r w:rsidR="009A4BC5" w:rsidRPr="00A07F29">
        <w:rPr>
          <w:rFonts w:ascii="Times New Roman" w:eastAsia="Calibri" w:hAnsi="Times New Roman" w:cs="Times New Roman"/>
          <w:sz w:val="24"/>
          <w:szCs w:val="24"/>
        </w:rPr>
        <w:t>Grandāns</w:t>
      </w:r>
      <w:proofErr w:type="spellEnd"/>
      <w:r w:rsidR="009A4BC5" w:rsidRPr="00A07F29">
        <w:rPr>
          <w:rFonts w:ascii="Times New Roman" w:eastAsia="Calibri" w:hAnsi="Times New Roman" w:cs="Times New Roman"/>
          <w:sz w:val="24"/>
          <w:szCs w:val="24"/>
        </w:rPr>
        <w:t>).</w:t>
      </w:r>
    </w:p>
    <w:p w14:paraId="064F38D1" w14:textId="794F9667" w:rsidR="009A4BC5" w:rsidRPr="00A07F29" w:rsidRDefault="009A4BC5" w:rsidP="00753F13">
      <w:pPr>
        <w:tabs>
          <w:tab w:val="left" w:pos="4572"/>
        </w:tabs>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Skaita vērtējums teritorijā: 1</w:t>
      </w:r>
      <w:r w:rsidR="008A068B">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8A068B">
        <w:rPr>
          <w:rFonts w:ascii="Times New Roman" w:eastAsia="Calibri" w:hAnsi="Times New Roman" w:cs="Times New Roman"/>
          <w:sz w:val="24"/>
          <w:szCs w:val="24"/>
        </w:rPr>
        <w:t> </w:t>
      </w:r>
      <w:r w:rsidRPr="00A07F29">
        <w:rPr>
          <w:rFonts w:ascii="Times New Roman" w:eastAsia="Calibri" w:hAnsi="Times New Roman" w:cs="Times New Roman"/>
          <w:sz w:val="24"/>
          <w:szCs w:val="24"/>
        </w:rPr>
        <w:t>2 ligzdojoši pāri.</w:t>
      </w:r>
      <w:r w:rsidR="00753F13" w:rsidRPr="00A07F29">
        <w:rPr>
          <w:rFonts w:ascii="Times New Roman" w:eastAsia="Calibri" w:hAnsi="Times New Roman" w:cs="Times New Roman"/>
          <w:sz w:val="24"/>
          <w:szCs w:val="24"/>
        </w:rPr>
        <w:t xml:space="preserve"> </w:t>
      </w:r>
      <w:r w:rsidRPr="00A07F29">
        <w:rPr>
          <w:rFonts w:ascii="Times New Roman" w:eastAsia="Calibri" w:hAnsi="Times New Roman" w:cs="Times New Roman"/>
          <w:sz w:val="24"/>
          <w:szCs w:val="24"/>
        </w:rPr>
        <w:t xml:space="preserve">Suga iekļauta </w:t>
      </w:r>
      <w:proofErr w:type="spellStart"/>
      <w:r w:rsidRPr="00A07F29">
        <w:rPr>
          <w:rFonts w:ascii="Times New Roman" w:eastAsia="Calibri" w:hAnsi="Times New Roman" w:cs="Times New Roman"/>
          <w:i/>
          <w:iCs/>
          <w:sz w:val="24"/>
          <w:szCs w:val="24"/>
        </w:rPr>
        <w:t>Natura</w:t>
      </w:r>
      <w:proofErr w:type="spellEnd"/>
      <w:r w:rsidRPr="00A07F29">
        <w:rPr>
          <w:rFonts w:ascii="Times New Roman" w:eastAsia="Calibri" w:hAnsi="Times New Roman" w:cs="Times New Roman"/>
          <w:i/>
          <w:iCs/>
          <w:sz w:val="24"/>
          <w:szCs w:val="24"/>
        </w:rPr>
        <w:t xml:space="preserve"> 2000</w:t>
      </w:r>
      <w:r w:rsidRPr="00A07F29">
        <w:rPr>
          <w:rFonts w:ascii="Times New Roman" w:eastAsia="Calibri" w:hAnsi="Times New Roman" w:cs="Times New Roman"/>
          <w:sz w:val="24"/>
          <w:szCs w:val="24"/>
        </w:rPr>
        <w:t xml:space="preserve"> </w:t>
      </w:r>
      <w:r w:rsidR="00EE71DC" w:rsidRPr="00EE71DC">
        <w:rPr>
          <w:rFonts w:ascii="Times New Roman" w:eastAsia="Calibri" w:hAnsi="Times New Roman" w:cs="Times New Roman"/>
          <w:sz w:val="24"/>
          <w:szCs w:val="24"/>
        </w:rPr>
        <w:t>SDF</w:t>
      </w:r>
      <w:r w:rsidRPr="00EE71DC">
        <w:rPr>
          <w:rFonts w:ascii="Times New Roman" w:eastAsia="Calibri" w:hAnsi="Times New Roman" w:cs="Times New Roman"/>
          <w:sz w:val="24"/>
          <w:szCs w:val="24"/>
        </w:rPr>
        <w:t>.</w:t>
      </w:r>
    </w:p>
    <w:p w14:paraId="284363B3" w14:textId="77777777" w:rsidR="009A4BC5" w:rsidRPr="00A07F29" w:rsidRDefault="009A4BC5" w:rsidP="00753F13">
      <w:pPr>
        <w:spacing w:before="240" w:after="120" w:line="240" w:lineRule="auto"/>
        <w:jc w:val="both"/>
        <w:rPr>
          <w:rFonts w:ascii="Times New Roman" w:eastAsia="Calibri" w:hAnsi="Times New Roman" w:cs="Times New Roman"/>
          <w:b/>
          <w:bCs/>
          <w:i/>
          <w:iCs/>
          <w:sz w:val="24"/>
          <w:szCs w:val="24"/>
        </w:rPr>
      </w:pPr>
      <w:r w:rsidRPr="00A07F29">
        <w:rPr>
          <w:rFonts w:ascii="Times New Roman" w:eastAsia="Calibri" w:hAnsi="Times New Roman" w:cs="Times New Roman"/>
          <w:b/>
          <w:bCs/>
          <w:sz w:val="24"/>
          <w:szCs w:val="24"/>
        </w:rPr>
        <w:t xml:space="preserve">Stepes </w:t>
      </w:r>
      <w:proofErr w:type="spellStart"/>
      <w:r w:rsidRPr="00A07F29">
        <w:rPr>
          <w:rFonts w:ascii="Times New Roman" w:eastAsia="Calibri" w:hAnsi="Times New Roman" w:cs="Times New Roman"/>
          <w:b/>
          <w:bCs/>
          <w:sz w:val="24"/>
          <w:szCs w:val="24"/>
        </w:rPr>
        <w:t>čipste</w:t>
      </w:r>
      <w:proofErr w:type="spellEnd"/>
      <w:r w:rsidRPr="00A07F29">
        <w:rPr>
          <w:rFonts w:ascii="Times New Roman" w:eastAsia="Calibri" w:hAnsi="Times New Roman" w:cs="Times New Roman"/>
          <w:b/>
          <w:bCs/>
          <w:sz w:val="24"/>
          <w:szCs w:val="24"/>
        </w:rPr>
        <w:t xml:space="preserve"> </w:t>
      </w:r>
      <w:proofErr w:type="spellStart"/>
      <w:r w:rsidRPr="00A07F29">
        <w:rPr>
          <w:rFonts w:ascii="Times New Roman" w:eastAsia="Calibri" w:hAnsi="Times New Roman" w:cs="Times New Roman"/>
          <w:b/>
          <w:bCs/>
          <w:i/>
          <w:iCs/>
          <w:sz w:val="24"/>
          <w:szCs w:val="24"/>
        </w:rPr>
        <w:t>Anthus</w:t>
      </w:r>
      <w:proofErr w:type="spellEnd"/>
      <w:r w:rsidRPr="00A07F29">
        <w:rPr>
          <w:rFonts w:ascii="Times New Roman" w:eastAsia="Calibri" w:hAnsi="Times New Roman" w:cs="Times New Roman"/>
          <w:b/>
          <w:bCs/>
          <w:i/>
          <w:iCs/>
          <w:sz w:val="24"/>
          <w:szCs w:val="24"/>
        </w:rPr>
        <w:t xml:space="preserve"> </w:t>
      </w:r>
      <w:proofErr w:type="spellStart"/>
      <w:r w:rsidRPr="00A07F29">
        <w:rPr>
          <w:rFonts w:ascii="Times New Roman" w:eastAsia="Calibri" w:hAnsi="Times New Roman" w:cs="Times New Roman"/>
          <w:b/>
          <w:bCs/>
          <w:i/>
          <w:iCs/>
          <w:sz w:val="24"/>
          <w:szCs w:val="24"/>
        </w:rPr>
        <w:t>campestris</w:t>
      </w:r>
      <w:proofErr w:type="spellEnd"/>
    </w:p>
    <w:p w14:paraId="10A1AC90" w14:textId="3FBD313A"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Latvijā reti sastopama putnu suga; populācijas lielums: 75</w:t>
      </w:r>
      <w:r w:rsidR="008A068B">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8A068B">
        <w:rPr>
          <w:rFonts w:ascii="Times New Roman" w:eastAsia="Calibri" w:hAnsi="Times New Roman" w:cs="Times New Roman"/>
          <w:sz w:val="24"/>
          <w:szCs w:val="24"/>
        </w:rPr>
        <w:t> </w:t>
      </w:r>
      <w:r w:rsidRPr="00A07F29">
        <w:rPr>
          <w:rFonts w:ascii="Times New Roman" w:eastAsia="Calibri" w:hAnsi="Times New Roman" w:cs="Times New Roman"/>
          <w:sz w:val="24"/>
          <w:szCs w:val="24"/>
        </w:rPr>
        <w:t>130 ligzdojoši pāri (</w:t>
      </w:r>
      <w:proofErr w:type="spellStart"/>
      <w:r w:rsidRPr="00A07F29">
        <w:rPr>
          <w:rFonts w:ascii="Times New Roman" w:eastAsia="Calibri" w:hAnsi="Times New Roman" w:cs="Times New Roman"/>
          <w:sz w:val="24"/>
          <w:szCs w:val="24"/>
        </w:rPr>
        <w:t>Birdlife</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International</w:t>
      </w:r>
      <w:proofErr w:type="spellEnd"/>
      <w:r w:rsidR="00392BE6">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2019).</w:t>
      </w:r>
      <w:r w:rsidR="00753F13" w:rsidRPr="00A07F29">
        <w:rPr>
          <w:rFonts w:ascii="Times New Roman" w:eastAsia="Calibri" w:hAnsi="Times New Roman" w:cs="Times New Roman"/>
          <w:sz w:val="24"/>
          <w:szCs w:val="24"/>
        </w:rPr>
        <w:t xml:space="preserve"> </w:t>
      </w:r>
      <w:r w:rsidRPr="00A07F29">
        <w:rPr>
          <w:rFonts w:ascii="Times New Roman" w:eastAsia="Calibri" w:hAnsi="Times New Roman" w:cs="Times New Roman"/>
          <w:sz w:val="24"/>
          <w:szCs w:val="24"/>
        </w:rPr>
        <w:t>Ligzdo sausos zālājos un pelēkajās kāpās Baltijas jūras piekrastē; iekšzemē sastopama aizaugošos karjeros, būvlaukumos un citās klajās teritorijās.</w:t>
      </w:r>
    </w:p>
    <w:p w14:paraId="2565D7A5" w14:textId="673E9D16" w:rsidR="009A4BC5" w:rsidRPr="00A07F29" w:rsidRDefault="00753F13"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AAA “Augšdaugava” teritorijā pamestos </w:t>
      </w:r>
      <w:r w:rsidR="009A4BC5" w:rsidRPr="00A07F29">
        <w:rPr>
          <w:rFonts w:ascii="Times New Roman" w:eastAsia="Calibri" w:hAnsi="Times New Roman" w:cs="Times New Roman"/>
          <w:sz w:val="24"/>
          <w:szCs w:val="24"/>
        </w:rPr>
        <w:t xml:space="preserve">dolomīta karjeros Tabores pagasta </w:t>
      </w:r>
      <w:proofErr w:type="spellStart"/>
      <w:r w:rsidR="009A4BC5" w:rsidRPr="00A07F29">
        <w:rPr>
          <w:rFonts w:ascii="Times New Roman" w:eastAsia="Calibri" w:hAnsi="Times New Roman" w:cs="Times New Roman"/>
          <w:sz w:val="24"/>
          <w:szCs w:val="24"/>
        </w:rPr>
        <w:t>Elernes</w:t>
      </w:r>
      <w:proofErr w:type="spellEnd"/>
      <w:r w:rsidR="009A4BC5" w:rsidRPr="00A07F29">
        <w:rPr>
          <w:rFonts w:ascii="Times New Roman" w:eastAsia="Calibri" w:hAnsi="Times New Roman" w:cs="Times New Roman"/>
          <w:sz w:val="24"/>
          <w:szCs w:val="24"/>
        </w:rPr>
        <w:t xml:space="preserve"> apkārtnē konstatēta regulāra 1</w:t>
      </w:r>
      <w:r w:rsidR="008A068B">
        <w:rPr>
          <w:rFonts w:ascii="Times New Roman" w:eastAsia="Calibri" w:hAnsi="Times New Roman" w:cs="Times New Roman"/>
          <w:sz w:val="24"/>
          <w:szCs w:val="24"/>
        </w:rPr>
        <w:t> </w:t>
      </w:r>
      <w:r w:rsidR="009A4BC5" w:rsidRPr="00A07F29">
        <w:rPr>
          <w:rFonts w:ascii="Times New Roman" w:eastAsia="Calibri" w:hAnsi="Times New Roman" w:cs="Times New Roman"/>
          <w:sz w:val="24"/>
          <w:szCs w:val="24"/>
        </w:rPr>
        <w:t>–</w:t>
      </w:r>
      <w:r w:rsidR="008A068B">
        <w:rPr>
          <w:rFonts w:ascii="Times New Roman" w:eastAsia="Calibri" w:hAnsi="Times New Roman" w:cs="Times New Roman"/>
          <w:sz w:val="24"/>
          <w:szCs w:val="24"/>
        </w:rPr>
        <w:t> </w:t>
      </w:r>
      <w:r w:rsidR="009A4BC5" w:rsidRPr="00A07F29">
        <w:rPr>
          <w:rFonts w:ascii="Times New Roman" w:eastAsia="Calibri" w:hAnsi="Times New Roman" w:cs="Times New Roman"/>
          <w:sz w:val="24"/>
          <w:szCs w:val="24"/>
        </w:rPr>
        <w:t xml:space="preserve">2 pāru stepes </w:t>
      </w:r>
      <w:proofErr w:type="spellStart"/>
      <w:r w:rsidR="009A4BC5" w:rsidRPr="00A07F29">
        <w:rPr>
          <w:rFonts w:ascii="Times New Roman" w:eastAsia="Calibri" w:hAnsi="Times New Roman" w:cs="Times New Roman"/>
          <w:sz w:val="24"/>
          <w:szCs w:val="24"/>
        </w:rPr>
        <w:t>čipstu</w:t>
      </w:r>
      <w:proofErr w:type="spellEnd"/>
      <w:r w:rsidR="009A4BC5" w:rsidRPr="00A07F29">
        <w:rPr>
          <w:rFonts w:ascii="Times New Roman" w:eastAsia="Calibri" w:hAnsi="Times New Roman" w:cs="Times New Roman"/>
          <w:sz w:val="24"/>
          <w:szCs w:val="24"/>
        </w:rPr>
        <w:t xml:space="preserve"> ligzdošana (2014.</w:t>
      </w:r>
      <w:r w:rsidR="008A068B">
        <w:rPr>
          <w:rFonts w:ascii="Times New Roman" w:eastAsia="Calibri" w:hAnsi="Times New Roman" w:cs="Times New Roman"/>
          <w:sz w:val="24"/>
          <w:szCs w:val="24"/>
        </w:rPr>
        <w:t> </w:t>
      </w:r>
      <w:r w:rsidR="009A4BC5" w:rsidRPr="00A07F29">
        <w:rPr>
          <w:rFonts w:ascii="Times New Roman" w:eastAsia="Calibri" w:hAnsi="Times New Roman" w:cs="Times New Roman"/>
          <w:sz w:val="24"/>
          <w:szCs w:val="24"/>
        </w:rPr>
        <w:t>–</w:t>
      </w:r>
      <w:r w:rsidR="008A068B">
        <w:rPr>
          <w:rFonts w:ascii="Times New Roman" w:eastAsia="Calibri" w:hAnsi="Times New Roman" w:cs="Times New Roman"/>
          <w:sz w:val="24"/>
          <w:szCs w:val="24"/>
        </w:rPr>
        <w:t> </w:t>
      </w:r>
      <w:r w:rsidR="009A4BC5" w:rsidRPr="00A07F29">
        <w:rPr>
          <w:rFonts w:ascii="Times New Roman" w:eastAsia="Calibri" w:hAnsi="Times New Roman" w:cs="Times New Roman"/>
          <w:sz w:val="24"/>
          <w:szCs w:val="24"/>
        </w:rPr>
        <w:t>2019.). Vokalizējošs tēviņš konstatēts 2015.</w:t>
      </w:r>
      <w:r w:rsidR="008A068B">
        <w:rPr>
          <w:rFonts w:ascii="Times New Roman" w:eastAsia="Calibri" w:hAnsi="Times New Roman" w:cs="Times New Roman"/>
          <w:sz w:val="24"/>
          <w:szCs w:val="24"/>
        </w:rPr>
        <w:t xml:space="preserve"> gada 1. jūnijā </w:t>
      </w:r>
      <w:r w:rsidR="009A4BC5" w:rsidRPr="00A07F29">
        <w:rPr>
          <w:rFonts w:ascii="Times New Roman" w:eastAsia="Calibri" w:hAnsi="Times New Roman" w:cs="Times New Roman"/>
          <w:sz w:val="24"/>
          <w:szCs w:val="24"/>
        </w:rPr>
        <w:t>grants karjerā Adamovas dīķa apkārtnē (A. </w:t>
      </w:r>
      <w:proofErr w:type="spellStart"/>
      <w:r w:rsidR="009A4BC5" w:rsidRPr="00A07F29">
        <w:rPr>
          <w:rFonts w:ascii="Times New Roman" w:eastAsia="Calibri" w:hAnsi="Times New Roman" w:cs="Times New Roman"/>
          <w:sz w:val="24"/>
          <w:szCs w:val="24"/>
        </w:rPr>
        <w:t>Erts</w:t>
      </w:r>
      <w:proofErr w:type="spellEnd"/>
      <w:r w:rsidR="009A4BC5" w:rsidRPr="00A07F29">
        <w:rPr>
          <w:rFonts w:ascii="Times New Roman" w:eastAsia="Calibri" w:hAnsi="Times New Roman" w:cs="Times New Roman"/>
          <w:sz w:val="24"/>
          <w:szCs w:val="24"/>
        </w:rPr>
        <w:t>).</w:t>
      </w:r>
    </w:p>
    <w:p w14:paraId="00E10581" w14:textId="66FDE0C1"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Skaita vērtējums teritorijā: 1</w:t>
      </w:r>
      <w:r w:rsidR="008A068B">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8A068B">
        <w:rPr>
          <w:rFonts w:ascii="Times New Roman" w:eastAsia="Calibri" w:hAnsi="Times New Roman" w:cs="Times New Roman"/>
          <w:sz w:val="24"/>
          <w:szCs w:val="24"/>
        </w:rPr>
        <w:t> </w:t>
      </w:r>
      <w:r w:rsidRPr="00A07F29">
        <w:rPr>
          <w:rFonts w:ascii="Times New Roman" w:eastAsia="Calibri" w:hAnsi="Times New Roman" w:cs="Times New Roman"/>
          <w:sz w:val="24"/>
          <w:szCs w:val="24"/>
        </w:rPr>
        <w:t>2 ligzdojoši pāri.</w:t>
      </w:r>
      <w:r w:rsidR="00753F13" w:rsidRPr="00A07F29">
        <w:rPr>
          <w:rFonts w:ascii="Times New Roman" w:eastAsia="Calibri" w:hAnsi="Times New Roman" w:cs="Times New Roman"/>
          <w:sz w:val="24"/>
          <w:szCs w:val="24"/>
        </w:rPr>
        <w:t xml:space="preserve"> </w:t>
      </w:r>
      <w:r w:rsidRPr="00A07F29">
        <w:rPr>
          <w:rFonts w:ascii="Times New Roman" w:eastAsia="Calibri" w:hAnsi="Times New Roman" w:cs="Times New Roman"/>
          <w:sz w:val="24"/>
          <w:szCs w:val="24"/>
        </w:rPr>
        <w:t xml:space="preserve">Suga iekļauta </w:t>
      </w:r>
      <w:proofErr w:type="spellStart"/>
      <w:r w:rsidRPr="00A07F29">
        <w:rPr>
          <w:rFonts w:ascii="Times New Roman" w:eastAsia="Calibri" w:hAnsi="Times New Roman" w:cs="Times New Roman"/>
          <w:i/>
          <w:iCs/>
          <w:sz w:val="24"/>
          <w:szCs w:val="24"/>
        </w:rPr>
        <w:t>Natura</w:t>
      </w:r>
      <w:proofErr w:type="spellEnd"/>
      <w:r w:rsidRPr="00A07F29">
        <w:rPr>
          <w:rFonts w:ascii="Times New Roman" w:eastAsia="Calibri" w:hAnsi="Times New Roman" w:cs="Times New Roman"/>
          <w:i/>
          <w:iCs/>
          <w:sz w:val="24"/>
          <w:szCs w:val="24"/>
        </w:rPr>
        <w:t xml:space="preserve"> 2000</w:t>
      </w:r>
      <w:r w:rsidRPr="00A07F29">
        <w:rPr>
          <w:rFonts w:ascii="Times New Roman" w:eastAsia="Calibri" w:hAnsi="Times New Roman" w:cs="Times New Roman"/>
          <w:sz w:val="24"/>
          <w:szCs w:val="24"/>
        </w:rPr>
        <w:t xml:space="preserve"> </w:t>
      </w:r>
      <w:r w:rsidR="00EE71DC">
        <w:rPr>
          <w:rFonts w:ascii="Times New Roman" w:eastAsia="Calibri" w:hAnsi="Times New Roman" w:cs="Times New Roman"/>
          <w:sz w:val="24"/>
          <w:szCs w:val="24"/>
        </w:rPr>
        <w:t>SDF</w:t>
      </w:r>
      <w:r w:rsidRPr="00A07F29">
        <w:rPr>
          <w:rFonts w:ascii="Times New Roman" w:eastAsia="Calibri" w:hAnsi="Times New Roman" w:cs="Times New Roman"/>
          <w:sz w:val="24"/>
          <w:szCs w:val="24"/>
        </w:rPr>
        <w:t>.</w:t>
      </w:r>
    </w:p>
    <w:p w14:paraId="539CE447" w14:textId="77777777" w:rsidR="009A4BC5" w:rsidRPr="00A07F29" w:rsidRDefault="009A4BC5" w:rsidP="00753F13">
      <w:pPr>
        <w:keepNext/>
        <w:spacing w:before="240" w:after="120" w:line="240" w:lineRule="auto"/>
        <w:jc w:val="both"/>
        <w:rPr>
          <w:rFonts w:ascii="Times New Roman" w:eastAsia="Calibri" w:hAnsi="Times New Roman" w:cs="Times New Roman"/>
          <w:b/>
          <w:bCs/>
          <w:i/>
          <w:iCs/>
          <w:sz w:val="24"/>
          <w:szCs w:val="24"/>
        </w:rPr>
      </w:pPr>
      <w:r w:rsidRPr="00A07F29">
        <w:rPr>
          <w:rFonts w:ascii="Times New Roman" w:eastAsia="Calibri" w:hAnsi="Times New Roman" w:cs="Times New Roman"/>
          <w:b/>
          <w:bCs/>
          <w:sz w:val="24"/>
          <w:szCs w:val="24"/>
        </w:rPr>
        <w:t xml:space="preserve">Dārza stērste </w:t>
      </w:r>
      <w:proofErr w:type="spellStart"/>
      <w:r w:rsidRPr="00A07F29">
        <w:rPr>
          <w:rFonts w:ascii="Times New Roman" w:eastAsia="Calibri" w:hAnsi="Times New Roman" w:cs="Times New Roman"/>
          <w:b/>
          <w:bCs/>
          <w:i/>
          <w:iCs/>
          <w:sz w:val="24"/>
          <w:szCs w:val="24"/>
        </w:rPr>
        <w:t>Emberiza</w:t>
      </w:r>
      <w:proofErr w:type="spellEnd"/>
      <w:r w:rsidRPr="00A07F29">
        <w:rPr>
          <w:rFonts w:ascii="Times New Roman" w:eastAsia="Calibri" w:hAnsi="Times New Roman" w:cs="Times New Roman"/>
          <w:b/>
          <w:bCs/>
          <w:i/>
          <w:iCs/>
          <w:sz w:val="24"/>
          <w:szCs w:val="24"/>
        </w:rPr>
        <w:t xml:space="preserve"> </w:t>
      </w:r>
      <w:proofErr w:type="spellStart"/>
      <w:r w:rsidRPr="00A07F29">
        <w:rPr>
          <w:rFonts w:ascii="Times New Roman" w:eastAsia="Calibri" w:hAnsi="Times New Roman" w:cs="Times New Roman"/>
          <w:b/>
          <w:bCs/>
          <w:i/>
          <w:iCs/>
          <w:sz w:val="24"/>
          <w:szCs w:val="24"/>
        </w:rPr>
        <w:t>hortulana</w:t>
      </w:r>
      <w:proofErr w:type="spellEnd"/>
    </w:p>
    <w:p w14:paraId="44EE5D66" w14:textId="58165117"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Populācijas lielums Latvijā: 144</w:t>
      </w:r>
      <w:r w:rsidR="008A068B">
        <w:rPr>
          <w:rFonts w:ascii="Times New Roman" w:eastAsia="Calibri" w:hAnsi="Times New Roman" w:cs="Times New Roman"/>
          <w:sz w:val="24"/>
          <w:szCs w:val="24"/>
        </w:rPr>
        <w:t> </w:t>
      </w:r>
      <w:r w:rsidRPr="00A07F29">
        <w:rPr>
          <w:rFonts w:ascii="Times New Roman" w:eastAsia="Calibri" w:hAnsi="Times New Roman" w:cs="Times New Roman"/>
          <w:sz w:val="24"/>
          <w:szCs w:val="24"/>
        </w:rPr>
        <w:t>–</w:t>
      </w:r>
      <w:r w:rsidR="008A068B">
        <w:rPr>
          <w:rFonts w:ascii="Times New Roman" w:eastAsia="Calibri" w:hAnsi="Times New Roman" w:cs="Times New Roman"/>
          <w:sz w:val="24"/>
          <w:szCs w:val="24"/>
        </w:rPr>
        <w:t> </w:t>
      </w:r>
      <w:r w:rsidRPr="00A07F29">
        <w:rPr>
          <w:rFonts w:ascii="Times New Roman" w:eastAsia="Calibri" w:hAnsi="Times New Roman" w:cs="Times New Roman"/>
          <w:sz w:val="24"/>
          <w:szCs w:val="24"/>
        </w:rPr>
        <w:t>700 pāri (</w:t>
      </w:r>
      <w:proofErr w:type="spellStart"/>
      <w:r w:rsidRPr="00A07F29">
        <w:rPr>
          <w:rFonts w:ascii="Times New Roman" w:eastAsia="Calibri" w:hAnsi="Times New Roman" w:cs="Times New Roman"/>
          <w:sz w:val="24"/>
          <w:szCs w:val="24"/>
        </w:rPr>
        <w:t>Birdlife</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International</w:t>
      </w:r>
      <w:proofErr w:type="spellEnd"/>
      <w:r w:rsidR="00392BE6">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2019).</w:t>
      </w:r>
    </w:p>
    <w:p w14:paraId="0781DCB0" w14:textId="2878059E" w:rsidR="009A4BC5" w:rsidRPr="00A07F29" w:rsidRDefault="00753F13"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AAA “Augšdaugava” </w:t>
      </w:r>
      <w:r w:rsidR="009A4BC5" w:rsidRPr="00A07F29">
        <w:rPr>
          <w:rFonts w:ascii="Times New Roman" w:eastAsia="Calibri" w:hAnsi="Times New Roman" w:cs="Times New Roman"/>
          <w:sz w:val="24"/>
          <w:szCs w:val="24"/>
        </w:rPr>
        <w:t xml:space="preserve">teritorijā </w:t>
      </w:r>
      <w:r w:rsidRPr="00A07F29">
        <w:rPr>
          <w:rFonts w:ascii="Times New Roman" w:eastAsia="Calibri" w:hAnsi="Times New Roman" w:cs="Times New Roman"/>
          <w:sz w:val="24"/>
          <w:szCs w:val="24"/>
        </w:rPr>
        <w:t xml:space="preserve">suga </w:t>
      </w:r>
      <w:r w:rsidR="009A4BC5" w:rsidRPr="00A07F29">
        <w:rPr>
          <w:rFonts w:ascii="Times New Roman" w:eastAsia="Calibri" w:hAnsi="Times New Roman" w:cs="Times New Roman"/>
          <w:sz w:val="24"/>
          <w:szCs w:val="24"/>
        </w:rPr>
        <w:t xml:space="preserve">pēdējo reizi konstatēta </w:t>
      </w:r>
      <w:proofErr w:type="spellStart"/>
      <w:r w:rsidR="009A4BC5" w:rsidRPr="00A07F29">
        <w:rPr>
          <w:rFonts w:ascii="Times New Roman" w:eastAsia="Calibri" w:hAnsi="Times New Roman" w:cs="Times New Roman"/>
          <w:sz w:val="24"/>
          <w:szCs w:val="24"/>
        </w:rPr>
        <w:t>Sargelišķu</w:t>
      </w:r>
      <w:proofErr w:type="spellEnd"/>
      <w:r w:rsidR="009A4BC5" w:rsidRPr="00A07F29">
        <w:rPr>
          <w:rFonts w:ascii="Times New Roman" w:eastAsia="Calibri" w:hAnsi="Times New Roman" w:cs="Times New Roman"/>
          <w:sz w:val="24"/>
          <w:szCs w:val="24"/>
        </w:rPr>
        <w:t xml:space="preserve"> apkārtnē 2008</w:t>
      </w:r>
      <w:r w:rsidRPr="00A07F29">
        <w:rPr>
          <w:rFonts w:ascii="Times New Roman" w:eastAsia="Calibri" w:hAnsi="Times New Roman" w:cs="Times New Roman"/>
          <w:sz w:val="24"/>
          <w:szCs w:val="24"/>
        </w:rPr>
        <w:t>. </w:t>
      </w:r>
      <w:r w:rsidR="009A4BC5" w:rsidRPr="00A07F29">
        <w:rPr>
          <w:rFonts w:ascii="Times New Roman" w:eastAsia="Calibri" w:hAnsi="Times New Roman" w:cs="Times New Roman"/>
          <w:sz w:val="24"/>
          <w:szCs w:val="24"/>
        </w:rPr>
        <w:t xml:space="preserve">gadā (I. Krams). Pēc </w:t>
      </w:r>
      <w:r w:rsidRPr="00A07F29">
        <w:rPr>
          <w:rFonts w:ascii="Times New Roman" w:eastAsia="Calibri" w:hAnsi="Times New Roman" w:cs="Times New Roman"/>
          <w:sz w:val="24"/>
          <w:szCs w:val="24"/>
        </w:rPr>
        <w:t>tam suga</w:t>
      </w:r>
      <w:r w:rsidR="009A4BC5" w:rsidRPr="00A07F29">
        <w:rPr>
          <w:rFonts w:ascii="Times New Roman" w:eastAsia="Calibri" w:hAnsi="Times New Roman" w:cs="Times New Roman"/>
          <w:sz w:val="24"/>
          <w:szCs w:val="24"/>
        </w:rPr>
        <w:t xml:space="preserve"> teritorijā vairs nav konstatēta, lai arī </w:t>
      </w:r>
      <w:r w:rsidRPr="00A07F29">
        <w:rPr>
          <w:rFonts w:ascii="Times New Roman" w:eastAsia="Calibri" w:hAnsi="Times New Roman" w:cs="Times New Roman"/>
          <w:sz w:val="24"/>
          <w:szCs w:val="24"/>
        </w:rPr>
        <w:t xml:space="preserve">tai </w:t>
      </w:r>
      <w:r w:rsidR="009A4BC5" w:rsidRPr="00A07F29">
        <w:rPr>
          <w:rFonts w:ascii="Times New Roman" w:eastAsia="Calibri" w:hAnsi="Times New Roman" w:cs="Times New Roman"/>
          <w:sz w:val="24"/>
          <w:szCs w:val="24"/>
        </w:rPr>
        <w:t xml:space="preserve">piemēroti biotopi ir sastopami salīdzinoši lielās platībās. </w:t>
      </w:r>
      <w:r w:rsidR="00BE7430">
        <w:rPr>
          <w:rFonts w:ascii="Times New Roman" w:eastAsia="Calibri" w:hAnsi="Times New Roman" w:cs="Times New Roman"/>
          <w:sz w:val="24"/>
          <w:szCs w:val="24"/>
        </w:rPr>
        <w:t>Projekta “</w:t>
      </w:r>
      <w:r w:rsidR="009A4BC5" w:rsidRPr="00A07F29">
        <w:rPr>
          <w:rFonts w:ascii="Times New Roman" w:eastAsia="Calibri" w:hAnsi="Times New Roman" w:cs="Times New Roman"/>
          <w:sz w:val="24"/>
          <w:szCs w:val="24"/>
        </w:rPr>
        <w:t>Eiropas ligzdojošo putnu atlant</w:t>
      </w:r>
      <w:r w:rsidR="00BE7430">
        <w:rPr>
          <w:rFonts w:ascii="Times New Roman" w:eastAsia="Calibri" w:hAnsi="Times New Roman" w:cs="Times New Roman"/>
          <w:sz w:val="24"/>
          <w:szCs w:val="24"/>
        </w:rPr>
        <w:t>s</w:t>
      </w:r>
      <w:r w:rsidR="009A4BC5" w:rsidRPr="00A07F29">
        <w:rPr>
          <w:rFonts w:ascii="Times New Roman" w:eastAsia="Calibri" w:hAnsi="Times New Roman" w:cs="Times New Roman"/>
          <w:sz w:val="24"/>
          <w:szCs w:val="24"/>
        </w:rPr>
        <w:t xml:space="preserve"> </w:t>
      </w:r>
      <w:r w:rsidR="003363FE">
        <w:rPr>
          <w:rFonts w:ascii="Times New Roman" w:eastAsia="Calibri" w:hAnsi="Times New Roman" w:cs="Times New Roman"/>
          <w:sz w:val="24"/>
          <w:szCs w:val="24"/>
        </w:rPr>
        <w:t>(</w:t>
      </w:r>
      <w:r w:rsidR="009A4BC5" w:rsidRPr="00A07F29">
        <w:rPr>
          <w:rFonts w:ascii="Times New Roman" w:eastAsia="Calibri" w:hAnsi="Times New Roman" w:cs="Times New Roman"/>
          <w:sz w:val="24"/>
          <w:szCs w:val="24"/>
        </w:rPr>
        <w:t>2013</w:t>
      </w:r>
      <w:r w:rsidR="008A068B">
        <w:rPr>
          <w:rFonts w:ascii="Times New Roman" w:eastAsia="Calibri" w:hAnsi="Times New Roman" w:cs="Times New Roman"/>
          <w:sz w:val="24"/>
          <w:szCs w:val="24"/>
        </w:rPr>
        <w:t>. </w:t>
      </w:r>
      <w:r w:rsidR="009A4BC5" w:rsidRPr="00A07F29">
        <w:rPr>
          <w:rFonts w:ascii="Times New Roman" w:eastAsia="Calibri" w:hAnsi="Times New Roman" w:cs="Times New Roman"/>
          <w:sz w:val="24"/>
          <w:szCs w:val="24"/>
        </w:rPr>
        <w:t>–</w:t>
      </w:r>
      <w:r w:rsidR="008A068B">
        <w:rPr>
          <w:rFonts w:ascii="Times New Roman" w:eastAsia="Calibri" w:hAnsi="Times New Roman" w:cs="Times New Roman"/>
          <w:sz w:val="24"/>
          <w:szCs w:val="24"/>
        </w:rPr>
        <w:t> </w:t>
      </w:r>
      <w:r w:rsidR="009A4BC5" w:rsidRPr="00A07F29">
        <w:rPr>
          <w:rFonts w:ascii="Times New Roman" w:eastAsia="Calibri" w:hAnsi="Times New Roman" w:cs="Times New Roman"/>
          <w:sz w:val="24"/>
          <w:szCs w:val="24"/>
        </w:rPr>
        <w:t>2017.</w:t>
      </w:r>
      <w:r w:rsidR="00BE7430">
        <w:rPr>
          <w:rFonts w:ascii="Times New Roman" w:eastAsia="Calibri" w:hAnsi="Times New Roman" w:cs="Times New Roman"/>
          <w:sz w:val="24"/>
          <w:szCs w:val="24"/>
        </w:rPr>
        <w:t>)</w:t>
      </w:r>
      <w:r w:rsidR="003363FE">
        <w:rPr>
          <w:rFonts w:ascii="Times New Roman" w:eastAsia="Calibri" w:hAnsi="Times New Roman" w:cs="Times New Roman"/>
          <w:sz w:val="24"/>
          <w:szCs w:val="24"/>
        </w:rPr>
        <w:t>”</w:t>
      </w:r>
      <w:r w:rsidR="00092B9F">
        <w:rPr>
          <w:rStyle w:val="FootnoteReference"/>
          <w:rFonts w:ascii="Times New Roman" w:eastAsia="Calibri" w:hAnsi="Times New Roman" w:cs="Times New Roman"/>
          <w:sz w:val="24"/>
          <w:szCs w:val="24"/>
        </w:rPr>
        <w:footnoteReference w:id="50"/>
      </w:r>
      <w:r w:rsidR="009A4BC5" w:rsidRPr="00A07F29">
        <w:rPr>
          <w:rFonts w:ascii="Times New Roman" w:eastAsia="Calibri" w:hAnsi="Times New Roman" w:cs="Times New Roman"/>
          <w:sz w:val="24"/>
          <w:szCs w:val="24"/>
        </w:rPr>
        <w:t xml:space="preserve"> periodā dārza stērste Latgalē un Sēlijā novērota ļoti reti. Tuvākā iespējamas ligzdošanas vieta ir Krāslavas novada Indras pagastā, tikai aptuveni 3</w:t>
      </w:r>
      <w:r w:rsidR="008A068B">
        <w:rPr>
          <w:rFonts w:ascii="Times New Roman" w:eastAsia="Calibri" w:hAnsi="Times New Roman" w:cs="Times New Roman"/>
          <w:sz w:val="24"/>
          <w:szCs w:val="24"/>
        </w:rPr>
        <w:t> </w:t>
      </w:r>
      <w:r w:rsidR="009A4BC5" w:rsidRPr="00A07F29">
        <w:rPr>
          <w:rFonts w:ascii="Times New Roman" w:eastAsia="Calibri" w:hAnsi="Times New Roman" w:cs="Times New Roman"/>
          <w:sz w:val="24"/>
          <w:szCs w:val="24"/>
        </w:rPr>
        <w:t>km attālumā no AAA robežas.</w:t>
      </w:r>
    </w:p>
    <w:p w14:paraId="2D03DCDF" w14:textId="186F0768" w:rsidR="009A4BC5" w:rsidRPr="00A07F29" w:rsidRDefault="009A4BC5" w:rsidP="009A4BC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Skaita vērtējums teritorijā: 0 ligzdojoši pāri.</w:t>
      </w:r>
      <w:r w:rsidR="00753F13"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i/>
          <w:iCs/>
          <w:sz w:val="24"/>
          <w:szCs w:val="24"/>
        </w:rPr>
        <w:t>Natura</w:t>
      </w:r>
      <w:proofErr w:type="spellEnd"/>
      <w:r w:rsidRPr="00A07F29">
        <w:rPr>
          <w:rFonts w:ascii="Times New Roman" w:eastAsia="Calibri" w:hAnsi="Times New Roman" w:cs="Times New Roman"/>
          <w:i/>
          <w:iCs/>
          <w:sz w:val="24"/>
          <w:szCs w:val="24"/>
        </w:rPr>
        <w:t xml:space="preserve"> 2000 </w:t>
      </w:r>
      <w:r w:rsidR="00EE71DC">
        <w:rPr>
          <w:rFonts w:ascii="Times New Roman" w:eastAsia="Calibri" w:hAnsi="Times New Roman" w:cs="Times New Roman"/>
          <w:sz w:val="24"/>
          <w:szCs w:val="24"/>
        </w:rPr>
        <w:t>SDF</w:t>
      </w:r>
      <w:r w:rsidRPr="00A07F29">
        <w:rPr>
          <w:rFonts w:ascii="Times New Roman" w:eastAsia="Calibri" w:hAnsi="Times New Roman" w:cs="Times New Roman"/>
          <w:sz w:val="24"/>
          <w:szCs w:val="24"/>
        </w:rPr>
        <w:t xml:space="preserve"> nav veiktas izmaiņas salīdzinājumā ar iepriekšējo skaita vērtējumu.</w:t>
      </w:r>
    </w:p>
    <w:p w14:paraId="547A9A36" w14:textId="1D6445FB" w:rsidR="00697803" w:rsidRPr="00A07F29" w:rsidRDefault="00697803" w:rsidP="00697803">
      <w:pPr>
        <w:pStyle w:val="Heading3"/>
        <w:spacing w:before="240" w:after="120" w:line="240" w:lineRule="auto"/>
        <w:jc w:val="center"/>
        <w:rPr>
          <w:color w:val="000000"/>
          <w:lang w:eastAsia="ja-JP"/>
        </w:rPr>
      </w:pPr>
      <w:bookmarkStart w:id="89" w:name="_Toc183434021"/>
      <w:r w:rsidRPr="00A07F29">
        <w:rPr>
          <w:lang w:eastAsia="ja-JP"/>
        </w:rPr>
        <w:t>4.</w:t>
      </w:r>
      <w:r w:rsidR="00753F13" w:rsidRPr="00A07F29">
        <w:rPr>
          <w:lang w:eastAsia="ja-JP"/>
        </w:rPr>
        <w:t>10</w:t>
      </w:r>
      <w:r w:rsidRPr="00A07F29">
        <w:rPr>
          <w:lang w:eastAsia="ja-JP"/>
        </w:rPr>
        <w:t>.</w:t>
      </w:r>
      <w:r w:rsidR="00753F13" w:rsidRPr="00A07F29">
        <w:rPr>
          <w:lang w:eastAsia="ja-JP"/>
        </w:rPr>
        <w:t>3</w:t>
      </w:r>
      <w:r w:rsidRPr="00A07F29">
        <w:rPr>
          <w:lang w:eastAsia="ja-JP"/>
        </w:rPr>
        <w:t xml:space="preserve">. </w:t>
      </w:r>
      <w:r w:rsidR="00BC1C32" w:rsidRPr="00A07F29">
        <w:rPr>
          <w:lang w:eastAsia="ja-JP"/>
        </w:rPr>
        <w:t>Putnu sugas ietekmējošie faktori</w:t>
      </w:r>
      <w:bookmarkEnd w:id="89"/>
      <w:r w:rsidR="00BC1C32" w:rsidRPr="00A07F29">
        <w:rPr>
          <w:lang w:eastAsia="ja-JP"/>
        </w:rPr>
        <w:t xml:space="preserve"> </w:t>
      </w:r>
    </w:p>
    <w:p w14:paraId="28FAC493" w14:textId="0780F2B1" w:rsidR="00545B46" w:rsidRPr="00A07F29" w:rsidRDefault="00545B46" w:rsidP="00545B46">
      <w:pPr>
        <w:spacing w:before="240" w:after="120" w:line="240" w:lineRule="auto"/>
        <w:jc w:val="both"/>
        <w:rPr>
          <w:rFonts w:ascii="Times New Roman" w:eastAsia="Times New Roman" w:hAnsi="Times New Roman" w:cs="Times New Roman"/>
          <w:b/>
          <w:i/>
          <w:sz w:val="24"/>
          <w:szCs w:val="24"/>
        </w:rPr>
      </w:pPr>
      <w:proofErr w:type="spellStart"/>
      <w:r w:rsidRPr="00A07F29">
        <w:rPr>
          <w:rFonts w:ascii="Times New Roman" w:eastAsia="Times New Roman" w:hAnsi="Times New Roman" w:cs="Times New Roman"/>
          <w:b/>
          <w:i/>
          <w:sz w:val="24"/>
          <w:szCs w:val="24"/>
        </w:rPr>
        <w:t>Agroainava</w:t>
      </w:r>
      <w:proofErr w:type="spellEnd"/>
      <w:r w:rsidR="001B37F4" w:rsidRPr="00A07F29">
        <w:rPr>
          <w:rFonts w:ascii="Times New Roman" w:eastAsia="Times New Roman" w:hAnsi="Times New Roman" w:cs="Times New Roman"/>
          <w:b/>
          <w:i/>
          <w:sz w:val="24"/>
          <w:szCs w:val="24"/>
        </w:rPr>
        <w:t xml:space="preserve"> un kultūrainava</w:t>
      </w:r>
    </w:p>
    <w:p w14:paraId="3753F360" w14:textId="21115E20" w:rsidR="00545B46" w:rsidRPr="00A07F29" w:rsidRDefault="00545B46" w:rsidP="00545B46">
      <w:pPr>
        <w:spacing w:after="120" w:line="240" w:lineRule="auto"/>
        <w:ind w:firstLine="851"/>
        <w:jc w:val="both"/>
        <w:rPr>
          <w:rFonts w:ascii="Times New Roman" w:eastAsia="Times New Roman" w:hAnsi="Times New Roman" w:cs="Times New Roman"/>
          <w:bCs/>
          <w:color w:val="000000"/>
          <w:sz w:val="24"/>
          <w:szCs w:val="24"/>
          <w:lang w:eastAsia="lv-LV"/>
        </w:rPr>
      </w:pPr>
      <w:r w:rsidRPr="00A07F29">
        <w:rPr>
          <w:rFonts w:ascii="Times New Roman" w:eastAsia="Times New Roman" w:hAnsi="Times New Roman" w:cs="Times New Roman"/>
          <w:sz w:val="24"/>
          <w:szCs w:val="24"/>
        </w:rPr>
        <w:t>Nozīmīgu AAA “Augšdaugava” teritorijas daļu aizņem dažādas lauksaimniecībā izmantojamas zemes. Daļa zālāju joprojām tiek apsaimniekoti ekstensīvi, kas labvēlīgi ietekmē zālājo</w:t>
      </w:r>
      <w:r w:rsidR="00B70B54">
        <w:rPr>
          <w:rFonts w:ascii="Times New Roman" w:eastAsia="Times New Roman" w:hAnsi="Times New Roman" w:cs="Times New Roman"/>
          <w:sz w:val="24"/>
          <w:szCs w:val="24"/>
        </w:rPr>
        <w:t>s</w:t>
      </w:r>
      <w:r w:rsidRPr="00A07F29">
        <w:rPr>
          <w:rFonts w:ascii="Times New Roman" w:eastAsia="Times New Roman" w:hAnsi="Times New Roman" w:cs="Times New Roman"/>
          <w:sz w:val="24"/>
          <w:szCs w:val="24"/>
        </w:rPr>
        <w:t xml:space="preserve"> ligzdojošos putnus. Taču </w:t>
      </w:r>
      <w:r w:rsidRPr="00A07F29">
        <w:rPr>
          <w:rFonts w:ascii="Times New Roman" w:eastAsia="Times New Roman" w:hAnsi="Times New Roman" w:cs="Times New Roman"/>
          <w:color w:val="000000" w:themeColor="text1"/>
          <w:sz w:val="24"/>
          <w:szCs w:val="24"/>
          <w:lang w:eastAsia="lv-LV"/>
        </w:rPr>
        <w:t xml:space="preserve">visas ar zālāju biotopiem tieši saistītās putnu sugas AAA “Augšdaugava” uzskatāmas par apdraudētām. Nozīmīgākais apdraudošais faktors ir </w:t>
      </w:r>
      <w:r w:rsidRPr="00A07F29">
        <w:rPr>
          <w:rFonts w:ascii="Times New Roman" w:eastAsia="Times New Roman" w:hAnsi="Times New Roman" w:cs="Times New Roman"/>
          <w:color w:val="000000" w:themeColor="text1"/>
          <w:sz w:val="24"/>
          <w:szCs w:val="24"/>
          <w:lang w:eastAsia="lv-LV"/>
        </w:rPr>
        <w:lastRenderedPageBreak/>
        <w:t xml:space="preserve">lauksaimniecības intensifikācija. Vietām teritorijā konstatēta izteikti intensīva lauksaimniecības prakse (Piedrujas, Kaplavas, Tabores apkārtnē), kur daudzas kādreizējās zālāju platības pēdējos gados tiek aizstātas ar lauksaimniecības kultūru platībām, ilggadīgo zālāju platības tiek patstāvīgi ielabotas, pļaušana notiek vairākas reizes sezonā, notiek meliorācijas sistēmu atjaunošana un ierīkošana. Teritorijā nepastāv specifisks lauksaimniecības ķīmijas līdzekļu regulējums. </w:t>
      </w:r>
      <w:r w:rsidRPr="00A07F29">
        <w:rPr>
          <w:rFonts w:ascii="Times New Roman" w:eastAsia="Times New Roman" w:hAnsi="Times New Roman" w:cs="Times New Roman"/>
          <w:bCs/>
          <w:color w:val="000000"/>
          <w:sz w:val="24"/>
          <w:szCs w:val="24"/>
          <w:lang w:eastAsia="lv-LV"/>
        </w:rPr>
        <w:t xml:space="preserve">Tajā pašā laikā notiek arī kādreizējo zālāju platību aizaugšana, dabiska apmežošanās un apmežošana. Īpaši nelabvēlīgi aizaugšana ietekmē tieši sausajos biotopos ligzdojošās putnu sugas (sila cīrulis, stepes </w:t>
      </w:r>
      <w:proofErr w:type="spellStart"/>
      <w:r w:rsidRPr="00A07F29">
        <w:rPr>
          <w:rFonts w:ascii="Times New Roman" w:eastAsia="Times New Roman" w:hAnsi="Times New Roman" w:cs="Times New Roman"/>
          <w:bCs/>
          <w:color w:val="000000"/>
          <w:sz w:val="24"/>
          <w:szCs w:val="24"/>
          <w:lang w:eastAsia="lv-LV"/>
        </w:rPr>
        <w:t>čipste</w:t>
      </w:r>
      <w:proofErr w:type="spellEnd"/>
      <w:r w:rsidRPr="00A07F29">
        <w:rPr>
          <w:rFonts w:ascii="Times New Roman" w:eastAsia="Times New Roman" w:hAnsi="Times New Roman" w:cs="Times New Roman"/>
          <w:bCs/>
          <w:color w:val="000000"/>
          <w:sz w:val="24"/>
          <w:szCs w:val="24"/>
          <w:lang w:eastAsia="lv-LV"/>
        </w:rPr>
        <w:t>).</w:t>
      </w:r>
    </w:p>
    <w:p w14:paraId="2AAC77A7" w14:textId="77777777" w:rsidR="00545B46" w:rsidRPr="00A07F29" w:rsidRDefault="00545B46" w:rsidP="00545B46">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Ar zālāju biotopiem saistīto putnu sugu dzīvotņu kvalitātes stāvoklis AAA “Augšdaugava” vērtējams kā neapmierinošs. Zālāju platību samazināšanās un zālāju degradēšanās AAA “Augšdaugava” teritorijā potenciāli negatīvi ietekmē ar zālāju biotopiem saistīto ligzdojošo putnu populācijas. Iespējams, ka lauksaimniecības intensifikācijas rezultātā no teritorijas kā </w:t>
      </w:r>
      <w:proofErr w:type="spellStart"/>
      <w:r w:rsidRPr="00A07F29">
        <w:rPr>
          <w:rFonts w:ascii="Times New Roman" w:eastAsia="Calibri" w:hAnsi="Times New Roman" w:cs="Times New Roman"/>
          <w:sz w:val="24"/>
          <w:szCs w:val="24"/>
        </w:rPr>
        <w:t>ligdzojoša</w:t>
      </w:r>
      <w:proofErr w:type="spellEnd"/>
      <w:r w:rsidRPr="00A07F29">
        <w:rPr>
          <w:rFonts w:ascii="Times New Roman" w:eastAsia="Calibri" w:hAnsi="Times New Roman" w:cs="Times New Roman"/>
          <w:sz w:val="24"/>
          <w:szCs w:val="24"/>
        </w:rPr>
        <w:t xml:space="preserve"> suga ir izzudusi pļavu lija un dārza stērste. Īpaši nozīmīgi ir sausie smiltāju zālāju biotopi, kas ir piemēroti stepes </w:t>
      </w:r>
      <w:proofErr w:type="spellStart"/>
      <w:r w:rsidRPr="00A07F29">
        <w:rPr>
          <w:rFonts w:ascii="Times New Roman" w:eastAsia="Calibri" w:hAnsi="Times New Roman" w:cs="Times New Roman"/>
          <w:sz w:val="24"/>
          <w:szCs w:val="24"/>
        </w:rPr>
        <w:t>čipstes</w:t>
      </w:r>
      <w:proofErr w:type="spellEnd"/>
      <w:r w:rsidRPr="00A07F29">
        <w:rPr>
          <w:rFonts w:ascii="Times New Roman" w:eastAsia="Calibri" w:hAnsi="Times New Roman" w:cs="Times New Roman"/>
          <w:sz w:val="24"/>
          <w:szCs w:val="24"/>
        </w:rPr>
        <w:t xml:space="preserve"> ligzdošanai, kas AAA “Augšdaugava” šobrīd sastopama tikai izstrādātos karjeros, bet izzudusi no dabiskām dzīvotnēm. </w:t>
      </w:r>
    </w:p>
    <w:p w14:paraId="357709FA" w14:textId="042B39E5" w:rsidR="00545B46" w:rsidRPr="00A07F29" w:rsidRDefault="00545B46" w:rsidP="00545B46">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Lai sekmētu ar zālājiem u.c. atklātām ainavām saistīto putnu sugu populāciju saglabāšanos un palielināšanos, nepieciešams saglabāt un apsaimniekot zālājus un veikt aizaugošo zālāju atjaunošanu. Veicot aizaugušo zālāju atjaunošanu, nepieciešams atstāt atsevišķus resnākos kokus. Šādus kokus vairākas putnu sugas, piemēram, mazais ērglis, izmanto kā </w:t>
      </w:r>
      <w:proofErr w:type="spellStart"/>
      <w:r w:rsidRPr="00A07F29">
        <w:rPr>
          <w:rFonts w:ascii="Times New Roman" w:eastAsia="Calibri" w:hAnsi="Times New Roman" w:cs="Times New Roman"/>
          <w:sz w:val="24"/>
          <w:szCs w:val="24"/>
        </w:rPr>
        <w:t>sēdkokus</w:t>
      </w:r>
      <w:proofErr w:type="spellEnd"/>
      <w:r w:rsidRPr="00A07F29">
        <w:rPr>
          <w:rFonts w:ascii="Times New Roman" w:eastAsia="Calibri" w:hAnsi="Times New Roman" w:cs="Times New Roman"/>
          <w:sz w:val="24"/>
          <w:szCs w:val="24"/>
        </w:rPr>
        <w:t xml:space="preserve"> barības meklējumu laikā (Bergmanis </w:t>
      </w:r>
      <w:r w:rsidR="00392BE6">
        <w:rPr>
          <w:rFonts w:ascii="Times New Roman" w:eastAsia="Calibri" w:hAnsi="Times New Roman" w:cs="Times New Roman"/>
          <w:sz w:val="24"/>
          <w:szCs w:val="24"/>
        </w:rPr>
        <w:t xml:space="preserve">U., </w:t>
      </w:r>
      <w:r w:rsidRPr="00A07F29">
        <w:rPr>
          <w:rFonts w:ascii="Times New Roman" w:eastAsia="Calibri" w:hAnsi="Times New Roman" w:cs="Times New Roman"/>
          <w:sz w:val="24"/>
          <w:szCs w:val="24"/>
        </w:rPr>
        <w:t>2019).</w:t>
      </w:r>
    </w:p>
    <w:p w14:paraId="32C67A29" w14:textId="60030D07" w:rsidR="00545B46" w:rsidRPr="00A07F29" w:rsidRDefault="00545B46" w:rsidP="00545B46">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Lai paaugstinātu zālāju biotopos sastopamo putnu sugu ligzdošanas sekmes, ieteicams visu teritorijā esošo zālāju pļauju (neatkarīgi no to atbilstības ES vai </w:t>
      </w:r>
      <w:r w:rsidRPr="003248D2">
        <w:rPr>
          <w:rFonts w:ascii="Times New Roman" w:eastAsia="Calibri" w:hAnsi="Times New Roman" w:cs="Times New Roman"/>
          <w:sz w:val="24"/>
          <w:szCs w:val="24"/>
        </w:rPr>
        <w:t>Latvijas īpaši aizsargājama</w:t>
      </w:r>
      <w:r w:rsidRPr="00A07F29">
        <w:rPr>
          <w:rFonts w:ascii="Times New Roman" w:eastAsia="Calibri" w:hAnsi="Times New Roman" w:cs="Times New Roman"/>
          <w:sz w:val="24"/>
          <w:szCs w:val="24"/>
        </w:rPr>
        <w:t xml:space="preserve"> biotopa noteikšanas kritērijiem) uzsākt ne agrāk kā 20.</w:t>
      </w:r>
      <w:r w:rsidR="00B70B54">
        <w:rPr>
          <w:rFonts w:ascii="Times New Roman" w:eastAsia="Calibri" w:hAnsi="Times New Roman" w:cs="Times New Roman"/>
          <w:sz w:val="24"/>
          <w:szCs w:val="24"/>
        </w:rPr>
        <w:t> </w:t>
      </w:r>
      <w:r w:rsidRPr="00A07F29">
        <w:rPr>
          <w:rFonts w:ascii="Times New Roman" w:eastAsia="Calibri" w:hAnsi="Times New Roman" w:cs="Times New Roman"/>
          <w:sz w:val="24"/>
          <w:szCs w:val="24"/>
        </w:rPr>
        <w:t>jūnijā un pļaut virzienā no pļavas centra uz malām vai nelīdzena reljefa apstākļos – no pļavas vienas malas.</w:t>
      </w:r>
    </w:p>
    <w:p w14:paraId="03495588" w14:textId="77777777" w:rsidR="00545B46" w:rsidRPr="003248D2" w:rsidRDefault="00545B46" w:rsidP="00545B46">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Nav pieļaujama lauksaimniecībā izmantojamo zemju apmežošana vai apstādīšana ar enerģētiskajām kultūrām, kas samazina ar atklātu ainavu saistītām </w:t>
      </w:r>
      <w:r w:rsidRPr="003248D2">
        <w:rPr>
          <w:rFonts w:ascii="Times New Roman" w:eastAsia="Calibri" w:hAnsi="Times New Roman" w:cs="Times New Roman"/>
          <w:sz w:val="24"/>
          <w:szCs w:val="24"/>
        </w:rPr>
        <w:t>īpaši aizsargājamām putnu sugām piemērotu dzīvotņu platību.</w:t>
      </w:r>
    </w:p>
    <w:p w14:paraId="2F6305B1" w14:textId="77777777" w:rsidR="00545B46" w:rsidRPr="003248D2" w:rsidRDefault="00545B46" w:rsidP="00545B46">
      <w:pPr>
        <w:spacing w:after="120" w:line="240" w:lineRule="auto"/>
        <w:ind w:firstLine="851"/>
        <w:jc w:val="both"/>
        <w:rPr>
          <w:rFonts w:ascii="Times New Roman" w:eastAsia="Calibri" w:hAnsi="Times New Roman" w:cs="Times New Roman"/>
          <w:sz w:val="24"/>
          <w:szCs w:val="24"/>
        </w:rPr>
      </w:pPr>
      <w:r w:rsidRPr="003248D2">
        <w:rPr>
          <w:rFonts w:ascii="Times New Roman" w:eastAsia="Calibri" w:hAnsi="Times New Roman" w:cs="Times New Roman"/>
          <w:sz w:val="24"/>
          <w:szCs w:val="24"/>
        </w:rPr>
        <w:t xml:space="preserve">Nepieciešams saglabāt esošās mitrās un periodiski applūstošās </w:t>
      </w:r>
      <w:proofErr w:type="spellStart"/>
      <w:r w:rsidRPr="003248D2">
        <w:rPr>
          <w:rFonts w:ascii="Times New Roman" w:eastAsia="Calibri" w:hAnsi="Times New Roman" w:cs="Times New Roman"/>
          <w:sz w:val="24"/>
          <w:szCs w:val="24"/>
        </w:rPr>
        <w:t>ieplakas</w:t>
      </w:r>
      <w:proofErr w:type="spellEnd"/>
      <w:r w:rsidRPr="003248D2">
        <w:rPr>
          <w:rFonts w:ascii="Times New Roman" w:eastAsia="Calibri" w:hAnsi="Times New Roman" w:cs="Times New Roman"/>
          <w:sz w:val="24"/>
          <w:szCs w:val="24"/>
        </w:rPr>
        <w:t xml:space="preserve"> un cita veida mitrājus lauksaimniecības zemēs.</w:t>
      </w:r>
    </w:p>
    <w:p w14:paraId="04DE357E" w14:textId="77777777" w:rsidR="00545B46" w:rsidRPr="003248D2" w:rsidRDefault="00545B46" w:rsidP="00545B46">
      <w:pPr>
        <w:spacing w:after="120" w:line="240" w:lineRule="auto"/>
        <w:ind w:firstLine="851"/>
        <w:jc w:val="both"/>
        <w:rPr>
          <w:rFonts w:ascii="Times New Roman" w:eastAsia="Calibri" w:hAnsi="Times New Roman" w:cs="Times New Roman"/>
          <w:sz w:val="24"/>
          <w:szCs w:val="24"/>
        </w:rPr>
      </w:pPr>
      <w:r w:rsidRPr="003248D2">
        <w:rPr>
          <w:rFonts w:ascii="Times New Roman" w:eastAsia="Calibri" w:hAnsi="Times New Roman" w:cs="Times New Roman"/>
          <w:sz w:val="24"/>
          <w:szCs w:val="24"/>
        </w:rPr>
        <w:t>Kā nozīmīgus ainavas elementus ir nepieciešams saglabāt arī pamestu viensētu dārzus un apstādījumus, kas ir piemērots ligzdošanas un barošanās biotops īpaši aizsargājamajiem brūnajai čakstei un svītrainajam ķauķim.</w:t>
      </w:r>
    </w:p>
    <w:p w14:paraId="335041BB" w14:textId="7017A12D" w:rsidR="001B37F4" w:rsidRPr="00A07F29" w:rsidRDefault="00545B46" w:rsidP="001B37F4">
      <w:pPr>
        <w:spacing w:after="120" w:line="240" w:lineRule="auto"/>
        <w:ind w:firstLine="851"/>
        <w:jc w:val="both"/>
        <w:rPr>
          <w:rFonts w:ascii="Times New Roman" w:eastAsia="Calibri" w:hAnsi="Times New Roman" w:cs="Times New Roman"/>
          <w:sz w:val="24"/>
          <w:szCs w:val="24"/>
        </w:rPr>
      </w:pPr>
      <w:proofErr w:type="spellStart"/>
      <w:r w:rsidRPr="003248D2">
        <w:rPr>
          <w:rFonts w:ascii="Times New Roman" w:eastAsia="Calibri" w:hAnsi="Times New Roman" w:cs="Times New Roman"/>
          <w:sz w:val="24"/>
          <w:szCs w:val="24"/>
        </w:rPr>
        <w:t>Elernes</w:t>
      </w:r>
      <w:proofErr w:type="spellEnd"/>
      <w:r w:rsidRPr="003248D2">
        <w:rPr>
          <w:rFonts w:ascii="Times New Roman" w:eastAsia="Calibri" w:hAnsi="Times New Roman" w:cs="Times New Roman"/>
          <w:sz w:val="24"/>
          <w:szCs w:val="24"/>
        </w:rPr>
        <w:t xml:space="preserve"> karjera, kur </w:t>
      </w:r>
      <w:r w:rsidR="00B70B54" w:rsidRPr="003248D2">
        <w:rPr>
          <w:rFonts w:ascii="Times New Roman" w:eastAsia="Calibri" w:hAnsi="Times New Roman" w:cs="Times New Roman"/>
          <w:sz w:val="24"/>
          <w:szCs w:val="24"/>
        </w:rPr>
        <w:t>i</w:t>
      </w:r>
      <w:r w:rsidRPr="003248D2">
        <w:rPr>
          <w:rFonts w:ascii="Times New Roman" w:eastAsia="Calibri" w:hAnsi="Times New Roman" w:cs="Times New Roman"/>
          <w:sz w:val="24"/>
          <w:szCs w:val="24"/>
        </w:rPr>
        <w:t>zveidojušies specifiski, dažu īpaši aizsargājamu</w:t>
      </w:r>
      <w:r w:rsidRPr="00A07F29">
        <w:rPr>
          <w:rFonts w:ascii="Times New Roman" w:eastAsia="Calibri" w:hAnsi="Times New Roman" w:cs="Times New Roman"/>
          <w:sz w:val="24"/>
          <w:szCs w:val="24"/>
        </w:rPr>
        <w:t xml:space="preserve"> putnu sugu ligzdošanai piemēroti apstākļi, rekultivācija jāplāno tā, lai teritorijā saglabātos</w:t>
      </w:r>
      <w:r w:rsidR="00D65BBA" w:rsidRPr="00A07F29">
        <w:rPr>
          <w:rFonts w:ascii="Times New Roman" w:eastAsia="Calibri" w:hAnsi="Times New Roman" w:cs="Times New Roman"/>
          <w:sz w:val="24"/>
          <w:szCs w:val="24"/>
        </w:rPr>
        <w:t xml:space="preserve"> </w:t>
      </w:r>
      <w:r w:rsidRPr="00A07F29">
        <w:rPr>
          <w:rFonts w:ascii="Times New Roman" w:eastAsia="Calibri" w:hAnsi="Times New Roman" w:cs="Times New Roman"/>
          <w:sz w:val="24"/>
          <w:szCs w:val="24"/>
        </w:rPr>
        <w:t>atklāta ainava, īpaši gar ūdenstilpēm.</w:t>
      </w:r>
    </w:p>
    <w:p w14:paraId="0BD6B770" w14:textId="66F07F4B" w:rsidR="001B37F4" w:rsidRPr="00A07F29" w:rsidRDefault="001B37F4" w:rsidP="001B37F4">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Apsaimniekojot teritorijā esošos parkus, iespēju robežās nepieciešams saglabāt kalstošus vai nokaltušus kokus; sausus liela diametra zarus, ja tie neatrodas ceļu, gājēju taku vai būvju tuvumā un nerada to apdraudējumu.</w:t>
      </w:r>
    </w:p>
    <w:p w14:paraId="5BB6D340" w14:textId="2A800ECA" w:rsidR="00545B46" w:rsidRPr="00A07F29" w:rsidRDefault="001B37F4" w:rsidP="00545B46">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Paralēli esošo veco platlapju koku saglabāšanai, ozolu klātbūtne jānodrošina arī nākotnē. Prioritāri platlapju audzes un stādījumi veidojami jau esošu šo koku augšanas vietu tuvumā, it īpaši prioritārajās vietās vidējā dzeņa aizsardzībai. Arī parkos nepieciešama jaunu ozolu stādīšana, vienlaikus saglabājot vecos. Jaunu koku, piemēram, var stādīt blakus vietai, kur izgāzies vecais koks.</w:t>
      </w:r>
    </w:p>
    <w:p w14:paraId="44445648" w14:textId="77777777" w:rsidR="00913B0B" w:rsidRDefault="00913B0B" w:rsidP="00545B46">
      <w:pPr>
        <w:spacing w:before="240" w:after="120" w:line="240" w:lineRule="auto"/>
        <w:jc w:val="both"/>
        <w:rPr>
          <w:rFonts w:ascii="Times New Roman" w:eastAsia="Times New Roman" w:hAnsi="Times New Roman" w:cs="Times New Roman"/>
          <w:b/>
          <w:i/>
          <w:sz w:val="24"/>
          <w:szCs w:val="24"/>
        </w:rPr>
      </w:pPr>
    </w:p>
    <w:p w14:paraId="2AD35450" w14:textId="77777777" w:rsidR="00913B0B" w:rsidRDefault="00913B0B" w:rsidP="00545B46">
      <w:pPr>
        <w:spacing w:before="240" w:after="120" w:line="240" w:lineRule="auto"/>
        <w:jc w:val="both"/>
        <w:rPr>
          <w:rFonts w:ascii="Times New Roman" w:eastAsia="Times New Roman" w:hAnsi="Times New Roman" w:cs="Times New Roman"/>
          <w:b/>
          <w:i/>
          <w:sz w:val="24"/>
          <w:szCs w:val="24"/>
        </w:rPr>
      </w:pPr>
    </w:p>
    <w:p w14:paraId="788FB20D" w14:textId="0CAED94F" w:rsidR="00545B46" w:rsidRPr="00A07F29" w:rsidRDefault="00545B46" w:rsidP="00545B46">
      <w:pPr>
        <w:spacing w:before="240" w:after="120" w:line="240" w:lineRule="auto"/>
        <w:jc w:val="both"/>
        <w:rPr>
          <w:rFonts w:ascii="Times New Roman" w:eastAsia="Times New Roman" w:hAnsi="Times New Roman" w:cs="Times New Roman"/>
          <w:b/>
          <w:i/>
          <w:sz w:val="24"/>
          <w:szCs w:val="24"/>
        </w:rPr>
      </w:pPr>
      <w:r w:rsidRPr="00A07F29">
        <w:rPr>
          <w:rFonts w:ascii="Times New Roman" w:eastAsia="Times New Roman" w:hAnsi="Times New Roman" w:cs="Times New Roman"/>
          <w:b/>
          <w:i/>
          <w:sz w:val="24"/>
          <w:szCs w:val="24"/>
        </w:rPr>
        <w:lastRenderedPageBreak/>
        <w:t>Meži</w:t>
      </w:r>
    </w:p>
    <w:p w14:paraId="4A16A37C" w14:textId="2BDBDC5C" w:rsidR="00545B46" w:rsidRPr="00A07F29" w:rsidRDefault="00545B46" w:rsidP="00545B46">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Ar meža biotopiem saistīto putnu sugu aizsardzības stāvoklis teritorijā vērtējams kā neapmierinošs. </w:t>
      </w:r>
      <w:r w:rsidRPr="003248D2">
        <w:rPr>
          <w:rFonts w:ascii="Times New Roman" w:eastAsia="Calibri" w:hAnsi="Times New Roman" w:cs="Times New Roman"/>
          <w:sz w:val="24"/>
          <w:szCs w:val="24"/>
        </w:rPr>
        <w:t>Īpaši aizsargājamās</w:t>
      </w:r>
      <w:r w:rsidRPr="00A07F29">
        <w:rPr>
          <w:rFonts w:ascii="Times New Roman" w:eastAsia="Calibri" w:hAnsi="Times New Roman" w:cs="Times New Roman"/>
          <w:sz w:val="24"/>
          <w:szCs w:val="24"/>
        </w:rPr>
        <w:t xml:space="preserve"> putnu sugas, kas apdzīvo mežu biotopus, negatīvi ietekmē mežsaimnieciskā darbība un ar to saistītā mežā sastopamo dabisko struktūru (kritalu, </w:t>
      </w:r>
      <w:proofErr w:type="spellStart"/>
      <w:r w:rsidRPr="00A07F29">
        <w:rPr>
          <w:rFonts w:ascii="Times New Roman" w:eastAsia="Calibri" w:hAnsi="Times New Roman" w:cs="Times New Roman"/>
          <w:sz w:val="24"/>
          <w:szCs w:val="24"/>
        </w:rPr>
        <w:t>sausokņu</w:t>
      </w:r>
      <w:proofErr w:type="spellEnd"/>
      <w:r w:rsidRPr="00A07F29">
        <w:rPr>
          <w:rFonts w:ascii="Times New Roman" w:eastAsia="Calibri" w:hAnsi="Times New Roman" w:cs="Times New Roman"/>
          <w:sz w:val="24"/>
          <w:szCs w:val="24"/>
        </w:rPr>
        <w:t xml:space="preserve">, stumbeņu) daudzuma samazināšanās. Teritorijā esošās mežaudzes ir ekoloģiski būtiski fragmentētas. Iespējams, intensīvās mežizstrādes un mežu fragmentācijas rezultātā no teritorijas ir izzudis mednis, kas joprojām vēl ir sastopams Baltkrievijā, kur netālu no Latvijas robežas nacionālajā parkā </w:t>
      </w:r>
      <w:r w:rsidR="00336FD3">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Braslavas ezeri” ir zināmi vairāki stabili un ilggadīgi medņu riesti. Mežu masīvs </w:t>
      </w:r>
      <w:proofErr w:type="spellStart"/>
      <w:r w:rsidRPr="00A07F29">
        <w:rPr>
          <w:rFonts w:ascii="Times New Roman" w:eastAsia="Calibri" w:hAnsi="Times New Roman" w:cs="Times New Roman"/>
          <w:sz w:val="24"/>
          <w:szCs w:val="24"/>
        </w:rPr>
        <w:t>Šilovkas</w:t>
      </w:r>
      <w:proofErr w:type="spellEnd"/>
      <w:r w:rsidRPr="00A07F29">
        <w:rPr>
          <w:rFonts w:ascii="Times New Roman" w:eastAsia="Calibri" w:hAnsi="Times New Roman" w:cs="Times New Roman"/>
          <w:sz w:val="24"/>
          <w:szCs w:val="24"/>
        </w:rPr>
        <w:t xml:space="preserve"> apkārtnē biotopu ziņā ir piemērots medņiem. </w:t>
      </w:r>
    </w:p>
    <w:p w14:paraId="041D6308" w14:textId="2E2D9A44" w:rsidR="001B37F4" w:rsidRPr="00A07F29" w:rsidRDefault="001B37F4" w:rsidP="001B37F4">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Mežsaimniecisko darbu aizliegums teritorijā ir jānosaka laika periodā no 1.</w:t>
      </w:r>
      <w:r w:rsidR="00336FD3">
        <w:rPr>
          <w:rFonts w:ascii="Times New Roman" w:eastAsia="Calibri" w:hAnsi="Times New Roman" w:cs="Times New Roman"/>
          <w:sz w:val="24"/>
          <w:szCs w:val="24"/>
        </w:rPr>
        <w:t> </w:t>
      </w:r>
      <w:r w:rsidRPr="00A07F29">
        <w:rPr>
          <w:rFonts w:ascii="Times New Roman" w:eastAsia="Calibri" w:hAnsi="Times New Roman" w:cs="Times New Roman"/>
          <w:sz w:val="24"/>
          <w:szCs w:val="24"/>
        </w:rPr>
        <w:t>marta līdz 31.</w:t>
      </w:r>
      <w:r w:rsidR="00336FD3">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jūlijam. Jebkādas plašākas vai regulāras darbības mežā martā ietekmē dzeņu un pūču ligzdošanas teritoriju izvietojumu. Īpaši tas attiecas uz agrākajām sugām – </w:t>
      </w:r>
      <w:proofErr w:type="spellStart"/>
      <w:r w:rsidRPr="00A07F29">
        <w:rPr>
          <w:rFonts w:ascii="Times New Roman" w:eastAsia="Calibri" w:hAnsi="Times New Roman" w:cs="Times New Roman"/>
          <w:sz w:val="24"/>
          <w:szCs w:val="24"/>
        </w:rPr>
        <w:t>baltmugurdzeni</w:t>
      </w:r>
      <w:proofErr w:type="spellEnd"/>
      <w:r w:rsidRPr="00A07F29">
        <w:rPr>
          <w:rFonts w:ascii="Times New Roman" w:eastAsia="Calibri" w:hAnsi="Times New Roman" w:cs="Times New Roman"/>
          <w:sz w:val="24"/>
          <w:szCs w:val="24"/>
        </w:rPr>
        <w:t xml:space="preserve">, melno dzilnu, apodziņu, </w:t>
      </w:r>
      <w:proofErr w:type="spellStart"/>
      <w:r w:rsidRPr="00A07F29">
        <w:rPr>
          <w:rFonts w:ascii="Times New Roman" w:eastAsia="Calibri" w:hAnsi="Times New Roman" w:cs="Times New Roman"/>
          <w:sz w:val="24"/>
          <w:szCs w:val="24"/>
        </w:rPr>
        <w:t>urālpūci</w:t>
      </w:r>
      <w:proofErr w:type="spellEnd"/>
      <w:r w:rsidRPr="00A07F29">
        <w:rPr>
          <w:rFonts w:ascii="Times New Roman" w:eastAsia="Calibri" w:hAnsi="Times New Roman" w:cs="Times New Roman"/>
          <w:sz w:val="24"/>
          <w:szCs w:val="24"/>
        </w:rPr>
        <w:t xml:space="preserve">, kas teritorijas aizņem jau no marta sākuma (Bergmanis </w:t>
      </w:r>
      <w:r w:rsidR="00392BE6">
        <w:rPr>
          <w:rFonts w:ascii="Times New Roman" w:eastAsia="Calibri" w:hAnsi="Times New Roman" w:cs="Times New Roman"/>
          <w:sz w:val="24"/>
          <w:szCs w:val="24"/>
        </w:rPr>
        <w:t xml:space="preserve">U., </w:t>
      </w:r>
      <w:r w:rsidRPr="00A07F29">
        <w:rPr>
          <w:rFonts w:ascii="Times New Roman" w:eastAsia="Calibri" w:hAnsi="Times New Roman" w:cs="Times New Roman"/>
          <w:sz w:val="24"/>
          <w:szCs w:val="24"/>
        </w:rPr>
        <w:t xml:space="preserve">u.c. 2020; Avotiņš </w:t>
      </w:r>
      <w:proofErr w:type="spellStart"/>
      <w:r w:rsidR="00392BE6">
        <w:rPr>
          <w:rFonts w:ascii="Times New Roman" w:eastAsia="Calibri" w:hAnsi="Times New Roman" w:cs="Times New Roman"/>
          <w:sz w:val="24"/>
          <w:szCs w:val="24"/>
        </w:rPr>
        <w:t>jun</w:t>
      </w:r>
      <w:proofErr w:type="spellEnd"/>
      <w:r w:rsidR="00392BE6">
        <w:rPr>
          <w:rFonts w:ascii="Times New Roman" w:eastAsia="Calibri" w:hAnsi="Times New Roman" w:cs="Times New Roman"/>
          <w:sz w:val="24"/>
          <w:szCs w:val="24"/>
        </w:rPr>
        <w:t xml:space="preserve">. A., </w:t>
      </w:r>
      <w:r w:rsidRPr="00A07F29">
        <w:rPr>
          <w:rFonts w:ascii="Times New Roman" w:eastAsia="Calibri" w:hAnsi="Times New Roman" w:cs="Times New Roman"/>
          <w:sz w:val="24"/>
          <w:szCs w:val="24"/>
        </w:rPr>
        <w:t xml:space="preserve">2019). </w:t>
      </w:r>
    </w:p>
    <w:p w14:paraId="030B6472" w14:textId="5F487010" w:rsidR="001B37F4" w:rsidRPr="00A07F29" w:rsidRDefault="001B37F4" w:rsidP="001B37F4">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Kā potenciāli negatīvs faktors teritorijā var būt orientēšanās pasākumu norise. Melnais stārķis, mazais ērglis un </w:t>
      </w:r>
      <w:proofErr w:type="spellStart"/>
      <w:r w:rsidRPr="00A07F29">
        <w:rPr>
          <w:rFonts w:ascii="Times New Roman" w:eastAsia="Calibri" w:hAnsi="Times New Roman" w:cs="Times New Roman"/>
          <w:sz w:val="24"/>
          <w:szCs w:val="24"/>
        </w:rPr>
        <w:t>vistveidīgie</w:t>
      </w:r>
      <w:proofErr w:type="spellEnd"/>
      <w:r w:rsidRPr="00A07F29">
        <w:rPr>
          <w:rFonts w:ascii="Times New Roman" w:eastAsia="Calibri" w:hAnsi="Times New Roman" w:cs="Times New Roman"/>
          <w:sz w:val="24"/>
          <w:szCs w:val="24"/>
        </w:rPr>
        <w:t xml:space="preserve"> putni ir ļoti jūtīgi pret jebkādu antropogēnas izcelsmes traucējumu olu inkubācijas laikā un periodā ar mazuļiem. Lai samazinātu traucējumus putniem to ligzdošanas laikā, AAA “Augšdaugava” teritorijā ir nepieciešams ierobežot orientēšanās sporta pasākumus laika periodā no 15.</w:t>
      </w:r>
      <w:r w:rsidR="00336FD3">
        <w:rPr>
          <w:rFonts w:ascii="Times New Roman" w:eastAsia="Calibri" w:hAnsi="Times New Roman" w:cs="Times New Roman"/>
          <w:sz w:val="24"/>
          <w:szCs w:val="24"/>
        </w:rPr>
        <w:t> </w:t>
      </w:r>
      <w:r w:rsidRPr="00A07F29">
        <w:rPr>
          <w:rFonts w:ascii="Times New Roman" w:eastAsia="Calibri" w:hAnsi="Times New Roman" w:cs="Times New Roman"/>
          <w:sz w:val="24"/>
          <w:szCs w:val="24"/>
        </w:rPr>
        <w:t>marta līdz 31.</w:t>
      </w:r>
      <w:r w:rsidR="00336FD3">
        <w:rPr>
          <w:rFonts w:ascii="Times New Roman" w:eastAsia="Calibri" w:hAnsi="Times New Roman" w:cs="Times New Roman"/>
          <w:sz w:val="24"/>
          <w:szCs w:val="24"/>
        </w:rPr>
        <w:t> </w:t>
      </w:r>
      <w:r w:rsidRPr="00A07F29">
        <w:rPr>
          <w:rFonts w:ascii="Times New Roman" w:eastAsia="Calibri" w:hAnsi="Times New Roman" w:cs="Times New Roman"/>
          <w:sz w:val="24"/>
          <w:szCs w:val="24"/>
        </w:rPr>
        <w:t>jūlijam dabas lieguma un regulējamā režīma zonās.</w:t>
      </w:r>
    </w:p>
    <w:p w14:paraId="766CDE21" w14:textId="1C58624F" w:rsidR="001B37F4" w:rsidRPr="00A07F29" w:rsidRDefault="665FF0F1" w:rsidP="001B37F4">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Ekoloģisko koku (vecāko, lielāko dimensiju un dobumaino) saglabāšana ir nozīmīga visās mežaudzēs, kurās tiek veikta koku ciršana. Saimnieciskās darbības ietekmētu mežaudžu piemērotību apodziņam var palielināt, saglabājot ekoloģiskos kokus visās mežaudzēs, kurās ir veikta saimnieciskā darbība un palielinot šo koku skaitu (Avotiņš </w:t>
      </w:r>
      <w:proofErr w:type="spellStart"/>
      <w:r w:rsidR="00392BE6">
        <w:rPr>
          <w:rFonts w:ascii="Times New Roman" w:eastAsia="Calibri" w:hAnsi="Times New Roman" w:cs="Times New Roman"/>
          <w:sz w:val="24"/>
          <w:szCs w:val="24"/>
        </w:rPr>
        <w:t>jun</w:t>
      </w:r>
      <w:proofErr w:type="spellEnd"/>
      <w:r w:rsidR="00392BE6">
        <w:rPr>
          <w:rFonts w:ascii="Times New Roman" w:eastAsia="Calibri" w:hAnsi="Times New Roman" w:cs="Times New Roman"/>
          <w:sz w:val="24"/>
          <w:szCs w:val="24"/>
        </w:rPr>
        <w:t xml:space="preserve">. A., </w:t>
      </w:r>
      <w:r w:rsidRPr="00A07F29">
        <w:rPr>
          <w:rFonts w:ascii="Times New Roman" w:eastAsia="Calibri" w:hAnsi="Times New Roman" w:cs="Times New Roman"/>
          <w:sz w:val="24"/>
          <w:szCs w:val="24"/>
        </w:rPr>
        <w:t>2019). Vairākas dzeņu sugas (</w:t>
      </w:r>
      <w:proofErr w:type="spellStart"/>
      <w:r w:rsidRPr="00A07F29">
        <w:rPr>
          <w:rFonts w:ascii="Times New Roman" w:eastAsia="Calibri" w:hAnsi="Times New Roman" w:cs="Times New Roman"/>
          <w:sz w:val="24"/>
          <w:szCs w:val="24"/>
        </w:rPr>
        <w:t>baltmugurdzenis</w:t>
      </w:r>
      <w:proofErr w:type="spellEnd"/>
      <w:r w:rsidRPr="00A07F29">
        <w:rPr>
          <w:rFonts w:ascii="Times New Roman" w:eastAsia="Calibri" w:hAnsi="Times New Roman" w:cs="Times New Roman"/>
          <w:sz w:val="24"/>
          <w:szCs w:val="24"/>
        </w:rPr>
        <w:t xml:space="preserve">, melnā dzilna) izmanto izcirtumos atstātos kokus jau pirmajos gados pēc cirsmas izveidošanas. Tie ir nozīmīgi struktūras elementi, mežaudzei atjaunojoties, un ātrāk rada ligzdošanas iespējas vairumam dzeņu sugu (Bergmanis </w:t>
      </w:r>
      <w:r w:rsidR="00392BE6">
        <w:rPr>
          <w:rFonts w:ascii="Times New Roman" w:eastAsia="Calibri" w:hAnsi="Times New Roman" w:cs="Times New Roman"/>
          <w:sz w:val="24"/>
          <w:szCs w:val="24"/>
        </w:rPr>
        <w:t xml:space="preserve">U., </w:t>
      </w:r>
      <w:proofErr w:type="spellStart"/>
      <w:r w:rsidRPr="00A07F29">
        <w:rPr>
          <w:rFonts w:ascii="Times New Roman" w:eastAsia="Calibri" w:hAnsi="Times New Roman" w:cs="Times New Roman"/>
          <w:sz w:val="24"/>
          <w:szCs w:val="24"/>
        </w:rPr>
        <w:t>u.c</w:t>
      </w:r>
      <w:proofErr w:type="spellEnd"/>
      <w:r w:rsidR="00392BE6">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2020). Rēķinot uz cirsmas hektāru,</w:t>
      </w:r>
      <w:r w:rsidR="00D65BBA" w:rsidRPr="00A07F29">
        <w:rPr>
          <w:rFonts w:ascii="Times New Roman" w:eastAsia="Calibri" w:hAnsi="Times New Roman" w:cs="Times New Roman"/>
          <w:sz w:val="24"/>
          <w:szCs w:val="24"/>
        </w:rPr>
        <w:t xml:space="preserve"> </w:t>
      </w:r>
      <w:r w:rsidRPr="00A07F29">
        <w:rPr>
          <w:rFonts w:ascii="Times New Roman" w:eastAsia="Calibri" w:hAnsi="Times New Roman" w:cs="Times New Roman"/>
          <w:sz w:val="24"/>
          <w:szCs w:val="24"/>
        </w:rPr>
        <w:t xml:space="preserve">nepieciešams saglabāt vismaz 20 ekoloģiskos kokus audzēs, kur valdošā suga ir priede, un 30 ekoloģiskos kokus pārējās audzēs – </w:t>
      </w:r>
      <w:proofErr w:type="spellStart"/>
      <w:r w:rsidRPr="00A07F29">
        <w:rPr>
          <w:rFonts w:ascii="Times New Roman" w:eastAsia="Calibri" w:hAnsi="Times New Roman" w:cs="Times New Roman"/>
          <w:sz w:val="24"/>
          <w:szCs w:val="24"/>
        </w:rPr>
        <w:t>augtspējīgus</w:t>
      </w:r>
      <w:proofErr w:type="spellEnd"/>
      <w:r w:rsidRPr="00A07F29">
        <w:rPr>
          <w:rFonts w:ascii="Times New Roman" w:eastAsia="Calibri" w:hAnsi="Times New Roman" w:cs="Times New Roman"/>
          <w:sz w:val="24"/>
          <w:szCs w:val="24"/>
        </w:rPr>
        <w:t xml:space="preserve"> iepriekšējās paaudzes kokus – vai, ja tādu nav, – </w:t>
      </w:r>
      <w:proofErr w:type="spellStart"/>
      <w:r w:rsidRPr="00A07F29">
        <w:rPr>
          <w:rFonts w:ascii="Times New Roman" w:eastAsia="Calibri" w:hAnsi="Times New Roman" w:cs="Times New Roman"/>
          <w:sz w:val="24"/>
          <w:szCs w:val="24"/>
        </w:rPr>
        <w:t>augtspējīgus</w:t>
      </w:r>
      <w:proofErr w:type="spellEnd"/>
      <w:r w:rsidRPr="00A07F29">
        <w:rPr>
          <w:rFonts w:ascii="Times New Roman" w:eastAsia="Calibri" w:hAnsi="Times New Roman" w:cs="Times New Roman"/>
          <w:sz w:val="24"/>
          <w:szCs w:val="24"/>
        </w:rPr>
        <w:t xml:space="preserve"> kokus, kuru caurmērs lielāks par valdošās koku sugas koku vidējo caurmēru nogabalā. Ieteicams vispirms izvēlēties ozolus, liepas, priedes, ošus, gobas, vīksnas, kļavas, melnalkšņus, apses un bērzus, kā arī, ja tādi ir, kokus ar deguma rētām. Nepieciešams saglabāt visus dobumainos kokus neatkarīgi no to dimensijām. </w:t>
      </w:r>
    </w:p>
    <w:p w14:paraId="737B7C0C" w14:textId="77777777" w:rsidR="001B37F4" w:rsidRPr="003248D2" w:rsidRDefault="001B37F4" w:rsidP="001B37F4">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Tā kā vairākām AAA “Augšdaugava” ligzdojošajām putnu sugām ir relatīvi lielas ligzdošanas un barošanās teritorijas, plānojot teritorijas funkcionālo zonējumu, dabas lieguma vai stingrākā režīma zonā ir nepieciešams iekļaut arī mežaudzes, kas šobrīd vēl neatbilst ES nozīmes </w:t>
      </w:r>
      <w:r w:rsidRPr="003248D2">
        <w:rPr>
          <w:rFonts w:ascii="Times New Roman" w:eastAsia="Calibri" w:hAnsi="Times New Roman" w:cs="Times New Roman"/>
          <w:sz w:val="24"/>
          <w:szCs w:val="24"/>
        </w:rPr>
        <w:t xml:space="preserve">īpaši aizsargājamo biotopu izdalīšanas kritērijiem. Nodrošinot neiejaukšanās režīmu, šādi tiks samazināta biotopu fragmentācijas negatīvā ietekme un ir sagaidāms īpaši aizsargājamo putnu sugu populāciju pieaugums. </w:t>
      </w:r>
    </w:p>
    <w:p w14:paraId="6352E047" w14:textId="38B582E2" w:rsidR="001B37F4" w:rsidRPr="00A07F29" w:rsidRDefault="001B37F4" w:rsidP="001B37F4">
      <w:pPr>
        <w:spacing w:after="120" w:line="240" w:lineRule="auto"/>
        <w:ind w:firstLine="851"/>
        <w:jc w:val="both"/>
        <w:rPr>
          <w:rFonts w:ascii="Times New Roman" w:eastAsia="Calibri" w:hAnsi="Times New Roman" w:cs="Times New Roman"/>
          <w:sz w:val="24"/>
          <w:szCs w:val="24"/>
        </w:rPr>
      </w:pPr>
      <w:r w:rsidRPr="003248D2">
        <w:rPr>
          <w:rFonts w:ascii="Times New Roman" w:eastAsia="Calibri" w:hAnsi="Times New Roman" w:cs="Times New Roman"/>
          <w:sz w:val="24"/>
          <w:szCs w:val="24"/>
        </w:rPr>
        <w:t>Lai samazinātu īpaši aizsargājamo</w:t>
      </w:r>
      <w:r w:rsidRPr="00A07F29">
        <w:rPr>
          <w:rFonts w:ascii="Times New Roman" w:eastAsia="Calibri" w:hAnsi="Times New Roman" w:cs="Times New Roman"/>
          <w:sz w:val="24"/>
          <w:szCs w:val="24"/>
        </w:rPr>
        <w:t xml:space="preserve"> dzeņu sugām piemērota meža fragmentāciju ainavā, katrā meža īpašumā rekomendējams veidot un saglabāt vecas mežaudzes (apšu un baltalkšņu mežaudzes 50 gadu un vecākas, citu koku sugu mežaudzes 70 gadu un vecākas) 30</w:t>
      </w:r>
      <w:r w:rsidR="00336FD3">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 apjomā no kopējās meža platības (Bergmanis </w:t>
      </w:r>
      <w:r w:rsidR="00392BE6">
        <w:rPr>
          <w:rFonts w:ascii="Times New Roman" w:eastAsia="Calibri" w:hAnsi="Times New Roman" w:cs="Times New Roman"/>
          <w:sz w:val="24"/>
          <w:szCs w:val="24"/>
        </w:rPr>
        <w:t xml:space="preserve">U., </w:t>
      </w:r>
      <w:r w:rsidRPr="00A07F29">
        <w:rPr>
          <w:rFonts w:ascii="Times New Roman" w:eastAsia="Calibri" w:hAnsi="Times New Roman" w:cs="Times New Roman"/>
          <w:sz w:val="24"/>
          <w:szCs w:val="24"/>
        </w:rPr>
        <w:t>u.c.</w:t>
      </w:r>
      <w:r w:rsidR="00392BE6">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2020).</w:t>
      </w:r>
    </w:p>
    <w:p w14:paraId="33851054" w14:textId="71479B4E" w:rsidR="00545B46" w:rsidRPr="00A07F29" w:rsidRDefault="001B37F4" w:rsidP="00545B46">
      <w:pPr>
        <w:spacing w:after="120" w:line="240" w:lineRule="auto"/>
        <w:ind w:firstLine="851"/>
        <w:jc w:val="both"/>
        <w:rPr>
          <w:rFonts w:ascii="Times New Roman" w:eastAsia="Calibri" w:hAnsi="Times New Roman" w:cs="Times New Roman"/>
          <w:sz w:val="24"/>
          <w:szCs w:val="24"/>
        </w:rPr>
      </w:pPr>
      <w:proofErr w:type="spellStart"/>
      <w:r w:rsidRPr="00A07F29">
        <w:rPr>
          <w:rFonts w:ascii="Times New Roman" w:eastAsia="Calibri" w:hAnsi="Times New Roman" w:cs="Times New Roman"/>
          <w:sz w:val="24"/>
          <w:szCs w:val="24"/>
        </w:rPr>
        <w:t>Bebraines</w:t>
      </w:r>
      <w:proofErr w:type="spellEnd"/>
      <w:r w:rsidRPr="00A07F29">
        <w:rPr>
          <w:rFonts w:ascii="Times New Roman" w:eastAsia="Calibri" w:hAnsi="Times New Roman" w:cs="Times New Roman"/>
          <w:sz w:val="24"/>
          <w:szCs w:val="24"/>
        </w:rPr>
        <w:t xml:space="preserve"> noteiktā to attīstības periodā var būt ļoti nozīmīgas vairāku dzeņu sugu dzīvotnes, gan attiecībā uz ligzdošanas, gan barošanās iespējām. Tas galvenokārt saistīts ar atmirušas koksnes un kalstošu koku palielinātu daudzumu. Līdz ar to, lemjot par </w:t>
      </w:r>
      <w:proofErr w:type="spellStart"/>
      <w:r w:rsidRPr="00A07F29">
        <w:rPr>
          <w:rFonts w:ascii="Times New Roman" w:eastAsia="Calibri" w:hAnsi="Times New Roman" w:cs="Times New Roman"/>
          <w:sz w:val="24"/>
          <w:szCs w:val="24"/>
        </w:rPr>
        <w:t>bebraines</w:t>
      </w:r>
      <w:proofErr w:type="spellEnd"/>
      <w:r w:rsidRPr="00A07F29">
        <w:rPr>
          <w:rFonts w:ascii="Times New Roman" w:eastAsia="Calibri" w:hAnsi="Times New Roman" w:cs="Times New Roman"/>
          <w:sz w:val="24"/>
          <w:szCs w:val="24"/>
        </w:rPr>
        <w:t xml:space="preserve"> saglabāšanu vai likvidēšanu, konkrētajā situācijā kompleksi jāizvērtē </w:t>
      </w:r>
      <w:proofErr w:type="spellStart"/>
      <w:r w:rsidRPr="00A07F29">
        <w:rPr>
          <w:rFonts w:ascii="Times New Roman" w:eastAsia="Calibri" w:hAnsi="Times New Roman" w:cs="Times New Roman"/>
          <w:sz w:val="24"/>
          <w:szCs w:val="24"/>
        </w:rPr>
        <w:t>bebraines</w:t>
      </w:r>
      <w:proofErr w:type="spellEnd"/>
      <w:r w:rsidRPr="00A07F29">
        <w:rPr>
          <w:rFonts w:ascii="Times New Roman" w:eastAsia="Calibri" w:hAnsi="Times New Roman" w:cs="Times New Roman"/>
          <w:sz w:val="24"/>
          <w:szCs w:val="24"/>
        </w:rPr>
        <w:t xml:space="preserve"> </w:t>
      </w:r>
      <w:r w:rsidRPr="003248D2">
        <w:rPr>
          <w:rFonts w:ascii="Times New Roman" w:eastAsia="Calibri" w:hAnsi="Times New Roman" w:cs="Times New Roman"/>
          <w:sz w:val="24"/>
          <w:szCs w:val="24"/>
        </w:rPr>
        <w:t xml:space="preserve">nozīme īpaši </w:t>
      </w:r>
      <w:r w:rsidRPr="003248D2">
        <w:rPr>
          <w:rFonts w:ascii="Times New Roman" w:eastAsia="Calibri" w:hAnsi="Times New Roman" w:cs="Times New Roman"/>
          <w:sz w:val="24"/>
          <w:szCs w:val="24"/>
        </w:rPr>
        <w:lastRenderedPageBreak/>
        <w:t>aizsargājamām dzeņu sugām, kā arī iespējamā nelabvēlīgā ietekme uz citām īpaši aizsargājamām</w:t>
      </w:r>
      <w:r w:rsidRPr="00A07F29">
        <w:rPr>
          <w:rFonts w:ascii="Times New Roman" w:eastAsia="Calibri" w:hAnsi="Times New Roman" w:cs="Times New Roman"/>
          <w:sz w:val="24"/>
          <w:szCs w:val="24"/>
        </w:rPr>
        <w:t xml:space="preserve"> sugām vai biotopiem (B</w:t>
      </w:r>
      <w:r w:rsidR="00392BE6">
        <w:rPr>
          <w:rFonts w:ascii="Times New Roman" w:eastAsia="Calibri" w:hAnsi="Times New Roman" w:cs="Times New Roman"/>
          <w:sz w:val="24"/>
          <w:szCs w:val="24"/>
        </w:rPr>
        <w:t>ergmanis U.,</w:t>
      </w:r>
      <w:r w:rsidRPr="00A07F29">
        <w:rPr>
          <w:rFonts w:ascii="Times New Roman" w:eastAsia="Calibri" w:hAnsi="Times New Roman" w:cs="Times New Roman"/>
          <w:sz w:val="24"/>
          <w:szCs w:val="24"/>
        </w:rPr>
        <w:t xml:space="preserve"> 2019). </w:t>
      </w:r>
    </w:p>
    <w:p w14:paraId="7E7AF8CF" w14:textId="701EBDB1" w:rsidR="00697803" w:rsidRPr="00A07F29" w:rsidRDefault="00545B46" w:rsidP="001B37F4">
      <w:pPr>
        <w:keepNext/>
        <w:spacing w:before="240" w:after="120" w:line="240" w:lineRule="auto"/>
        <w:jc w:val="both"/>
        <w:rPr>
          <w:rFonts w:ascii="Times New Roman" w:eastAsia="Times New Roman" w:hAnsi="Times New Roman" w:cs="Times New Roman"/>
          <w:b/>
          <w:i/>
          <w:sz w:val="24"/>
          <w:szCs w:val="24"/>
        </w:rPr>
      </w:pPr>
      <w:r w:rsidRPr="00A07F29">
        <w:rPr>
          <w:rFonts w:ascii="Times New Roman" w:eastAsia="Times New Roman" w:hAnsi="Times New Roman" w:cs="Times New Roman"/>
          <w:b/>
          <w:i/>
          <w:sz w:val="24"/>
          <w:szCs w:val="24"/>
        </w:rPr>
        <w:t xml:space="preserve">Ūdeņi </w:t>
      </w:r>
      <w:r w:rsidR="00BC1C32" w:rsidRPr="00A07F29">
        <w:rPr>
          <w:rFonts w:ascii="Times New Roman" w:eastAsia="Times New Roman" w:hAnsi="Times New Roman" w:cs="Times New Roman"/>
          <w:b/>
          <w:i/>
          <w:sz w:val="24"/>
          <w:szCs w:val="24"/>
        </w:rPr>
        <w:t xml:space="preserve">un </w:t>
      </w:r>
      <w:r w:rsidRPr="00A07F29">
        <w:rPr>
          <w:rFonts w:ascii="Times New Roman" w:eastAsia="Times New Roman" w:hAnsi="Times New Roman" w:cs="Times New Roman"/>
          <w:b/>
          <w:i/>
          <w:sz w:val="24"/>
          <w:szCs w:val="24"/>
        </w:rPr>
        <w:t>mitrāji</w:t>
      </w:r>
    </w:p>
    <w:p w14:paraId="12DD6EBC" w14:textId="17838FA9" w:rsidR="0006098A" w:rsidRPr="00A07F29" w:rsidRDefault="00697803" w:rsidP="0006098A">
      <w:pPr>
        <w:spacing w:after="120" w:line="240" w:lineRule="auto"/>
        <w:ind w:firstLine="851"/>
        <w:jc w:val="both"/>
        <w:rPr>
          <w:rFonts w:ascii="Times New Roman" w:eastAsia="Times New Roman" w:hAnsi="Times New Roman" w:cs="Times New Roman"/>
          <w:sz w:val="24"/>
          <w:szCs w:val="24"/>
        </w:rPr>
      </w:pPr>
      <w:r w:rsidRPr="00A07F29">
        <w:rPr>
          <w:rFonts w:ascii="Times New Roman" w:eastAsia="Times New Roman" w:hAnsi="Times New Roman" w:cs="Times New Roman"/>
          <w:sz w:val="24"/>
          <w:szCs w:val="24"/>
        </w:rPr>
        <w:t xml:space="preserve">Daugavas salas un periodiski applūstošās smilšu sēres nodrošina labvēlīgus apstākļus dažādu </w:t>
      </w:r>
      <w:proofErr w:type="spellStart"/>
      <w:r w:rsidRPr="00A07F29">
        <w:rPr>
          <w:rFonts w:ascii="Times New Roman" w:eastAsia="Times New Roman" w:hAnsi="Times New Roman" w:cs="Times New Roman"/>
          <w:sz w:val="24"/>
          <w:szCs w:val="24"/>
        </w:rPr>
        <w:t>kaijveidīgo</w:t>
      </w:r>
      <w:proofErr w:type="spellEnd"/>
      <w:r w:rsidRPr="00A07F29">
        <w:rPr>
          <w:rFonts w:ascii="Times New Roman" w:eastAsia="Times New Roman" w:hAnsi="Times New Roman" w:cs="Times New Roman"/>
          <w:sz w:val="24"/>
          <w:szCs w:val="24"/>
        </w:rPr>
        <w:t xml:space="preserve"> putnu ligzdošanai. </w:t>
      </w:r>
      <w:r w:rsidR="006D13D2" w:rsidRPr="00A07F29">
        <w:rPr>
          <w:rFonts w:ascii="Times New Roman" w:eastAsia="Times New Roman" w:hAnsi="Times New Roman" w:cs="Times New Roman"/>
          <w:sz w:val="24"/>
          <w:szCs w:val="24"/>
        </w:rPr>
        <w:t xml:space="preserve">Mazais zīriņš </w:t>
      </w:r>
      <w:r w:rsidR="00F96692" w:rsidRPr="00F96692">
        <w:rPr>
          <w:rFonts w:ascii="Times New Roman" w:eastAsia="Times New Roman" w:hAnsi="Times New Roman" w:cs="Times New Roman"/>
          <w:sz w:val="24"/>
          <w:szCs w:val="24"/>
        </w:rPr>
        <w:t xml:space="preserve">(lielākā šīs sugas ligzdojošā populācija Latvijā </w:t>
      </w:r>
      <w:proofErr w:type="spellStart"/>
      <w:r w:rsidR="00F96692" w:rsidRPr="00F96692">
        <w:rPr>
          <w:rFonts w:ascii="Times New Roman" w:eastAsia="Times New Roman" w:hAnsi="Times New Roman" w:cs="Times New Roman"/>
          <w:sz w:val="24"/>
          <w:szCs w:val="24"/>
        </w:rPr>
        <w:t>Natura</w:t>
      </w:r>
      <w:proofErr w:type="spellEnd"/>
      <w:r w:rsidR="00F96692" w:rsidRPr="00F96692">
        <w:rPr>
          <w:rFonts w:ascii="Times New Roman" w:eastAsia="Times New Roman" w:hAnsi="Times New Roman" w:cs="Times New Roman"/>
          <w:sz w:val="24"/>
          <w:szCs w:val="24"/>
        </w:rPr>
        <w:t xml:space="preserve"> 2000 vietās; lielākā zināmā ligzdošanas kolonija Latvijā) un jūrasžagata (Latvijā īpaši aizsargājama putnu suga)</w:t>
      </w:r>
      <w:r w:rsidR="006D13D2" w:rsidRPr="00A07F29">
        <w:rPr>
          <w:rFonts w:ascii="Times New Roman" w:eastAsia="Times New Roman" w:hAnsi="Times New Roman" w:cs="Times New Roman"/>
          <w:sz w:val="24"/>
          <w:szCs w:val="24"/>
        </w:rPr>
        <w:t xml:space="preserve"> ir unikālas putnu sugas tieši Augšdaugavas teritorijai un citur Latvijā sastopamas tikai Daugavas salās un apkārtējos karjeros, kā arī Baltijas jūras piekrastes upju grīvās. </w:t>
      </w:r>
    </w:p>
    <w:p w14:paraId="0B8FC03D" w14:textId="0E6D706D" w:rsidR="006D13D2" w:rsidRPr="00A07F29" w:rsidRDefault="0006098A" w:rsidP="006D13D2">
      <w:pPr>
        <w:spacing w:after="120" w:line="240" w:lineRule="auto"/>
        <w:ind w:firstLine="851"/>
        <w:jc w:val="both"/>
        <w:rPr>
          <w:rFonts w:ascii="Times New Roman" w:eastAsia="Times New Roman" w:hAnsi="Times New Roman" w:cs="Times New Roman"/>
          <w:sz w:val="24"/>
          <w:szCs w:val="24"/>
        </w:rPr>
      </w:pPr>
      <w:r w:rsidRPr="00A07F29">
        <w:rPr>
          <w:rFonts w:ascii="Times New Roman" w:eastAsia="Times New Roman" w:hAnsi="Times New Roman" w:cs="Times New Roman"/>
          <w:sz w:val="24"/>
          <w:szCs w:val="24"/>
        </w:rPr>
        <w:t xml:space="preserve">Arī Daugavas sērēm un salām ir saistīta arī jūrasžagatas </w:t>
      </w:r>
      <w:proofErr w:type="spellStart"/>
      <w:r w:rsidRPr="00A07F29">
        <w:rPr>
          <w:rFonts w:ascii="Times New Roman" w:eastAsia="Times New Roman" w:hAnsi="Times New Roman" w:cs="Times New Roman"/>
          <w:i/>
          <w:sz w:val="24"/>
          <w:szCs w:val="24"/>
        </w:rPr>
        <w:t>Haematopus</w:t>
      </w:r>
      <w:proofErr w:type="spellEnd"/>
      <w:r w:rsidRPr="00A07F29">
        <w:rPr>
          <w:rFonts w:ascii="Times New Roman" w:eastAsia="Times New Roman" w:hAnsi="Times New Roman" w:cs="Times New Roman"/>
          <w:i/>
          <w:sz w:val="24"/>
          <w:szCs w:val="24"/>
        </w:rPr>
        <w:t xml:space="preserve"> </w:t>
      </w:r>
      <w:proofErr w:type="spellStart"/>
      <w:r w:rsidRPr="00A07F29">
        <w:rPr>
          <w:rFonts w:ascii="Times New Roman" w:eastAsia="Times New Roman" w:hAnsi="Times New Roman" w:cs="Times New Roman"/>
          <w:i/>
          <w:sz w:val="24"/>
          <w:szCs w:val="24"/>
        </w:rPr>
        <w:t>ostralegus</w:t>
      </w:r>
      <w:proofErr w:type="spellEnd"/>
      <w:r w:rsidRPr="00A07F29">
        <w:rPr>
          <w:rFonts w:ascii="Times New Roman" w:eastAsia="Times New Roman" w:hAnsi="Times New Roman" w:cs="Times New Roman"/>
          <w:sz w:val="24"/>
          <w:szCs w:val="24"/>
        </w:rPr>
        <w:t xml:space="preserve">, lielā ķīra </w:t>
      </w:r>
      <w:proofErr w:type="spellStart"/>
      <w:r w:rsidRPr="00A07F29">
        <w:rPr>
          <w:rFonts w:ascii="Times New Roman" w:eastAsia="Times New Roman" w:hAnsi="Times New Roman" w:cs="Times New Roman"/>
          <w:i/>
          <w:sz w:val="24"/>
          <w:szCs w:val="24"/>
        </w:rPr>
        <w:t>Chroicocephalus</w:t>
      </w:r>
      <w:proofErr w:type="spellEnd"/>
      <w:r w:rsidRPr="00A07F29">
        <w:rPr>
          <w:rFonts w:ascii="Times New Roman" w:eastAsia="Times New Roman" w:hAnsi="Times New Roman" w:cs="Times New Roman"/>
          <w:i/>
          <w:sz w:val="24"/>
          <w:szCs w:val="24"/>
        </w:rPr>
        <w:t xml:space="preserve"> </w:t>
      </w:r>
      <w:proofErr w:type="spellStart"/>
      <w:r w:rsidRPr="00A07F29">
        <w:rPr>
          <w:rFonts w:ascii="Times New Roman" w:eastAsia="Times New Roman" w:hAnsi="Times New Roman" w:cs="Times New Roman"/>
          <w:i/>
          <w:sz w:val="24"/>
          <w:szCs w:val="24"/>
        </w:rPr>
        <w:t>ridibundus</w:t>
      </w:r>
      <w:proofErr w:type="spellEnd"/>
      <w:r w:rsidRPr="00A07F29">
        <w:rPr>
          <w:rFonts w:ascii="Times New Roman" w:eastAsia="Times New Roman" w:hAnsi="Times New Roman" w:cs="Times New Roman"/>
          <w:sz w:val="24"/>
          <w:szCs w:val="24"/>
        </w:rPr>
        <w:t xml:space="preserve">, melnā zīriņa </w:t>
      </w:r>
      <w:proofErr w:type="spellStart"/>
      <w:r w:rsidRPr="00A07F29">
        <w:rPr>
          <w:rFonts w:ascii="Times New Roman" w:eastAsia="Times New Roman" w:hAnsi="Times New Roman" w:cs="Times New Roman"/>
          <w:i/>
          <w:sz w:val="24"/>
          <w:szCs w:val="24"/>
        </w:rPr>
        <w:t>Chlidonias</w:t>
      </w:r>
      <w:proofErr w:type="spellEnd"/>
      <w:r w:rsidRPr="00A07F29">
        <w:rPr>
          <w:rFonts w:ascii="Times New Roman" w:eastAsia="Times New Roman" w:hAnsi="Times New Roman" w:cs="Times New Roman"/>
          <w:i/>
          <w:sz w:val="24"/>
          <w:szCs w:val="24"/>
        </w:rPr>
        <w:t xml:space="preserve"> niger</w:t>
      </w:r>
      <w:r w:rsidRPr="00A07F29">
        <w:rPr>
          <w:rFonts w:ascii="Times New Roman" w:eastAsia="Times New Roman" w:hAnsi="Times New Roman" w:cs="Times New Roman"/>
          <w:sz w:val="24"/>
          <w:szCs w:val="24"/>
        </w:rPr>
        <w:t xml:space="preserve"> un upes zīriņa </w:t>
      </w:r>
      <w:proofErr w:type="spellStart"/>
      <w:r w:rsidRPr="00A07F29">
        <w:rPr>
          <w:rFonts w:ascii="Times New Roman" w:eastAsia="Times New Roman" w:hAnsi="Times New Roman" w:cs="Times New Roman"/>
          <w:i/>
          <w:sz w:val="24"/>
          <w:szCs w:val="24"/>
        </w:rPr>
        <w:t>Sterna</w:t>
      </w:r>
      <w:proofErr w:type="spellEnd"/>
      <w:r w:rsidRPr="00A07F29">
        <w:rPr>
          <w:rFonts w:ascii="Times New Roman" w:eastAsia="Times New Roman" w:hAnsi="Times New Roman" w:cs="Times New Roman"/>
          <w:i/>
          <w:sz w:val="24"/>
          <w:szCs w:val="24"/>
        </w:rPr>
        <w:t xml:space="preserve"> </w:t>
      </w:r>
      <w:proofErr w:type="spellStart"/>
      <w:r w:rsidRPr="00A07F29">
        <w:rPr>
          <w:rFonts w:ascii="Times New Roman" w:eastAsia="Times New Roman" w:hAnsi="Times New Roman" w:cs="Times New Roman"/>
          <w:i/>
          <w:sz w:val="24"/>
          <w:szCs w:val="24"/>
        </w:rPr>
        <w:t>hirundo</w:t>
      </w:r>
      <w:proofErr w:type="spellEnd"/>
      <w:r w:rsidRPr="00A07F29">
        <w:rPr>
          <w:rFonts w:ascii="Times New Roman" w:eastAsia="Times New Roman" w:hAnsi="Times New Roman" w:cs="Times New Roman"/>
          <w:sz w:val="24"/>
          <w:szCs w:val="24"/>
        </w:rPr>
        <w:t xml:space="preserve"> ligzdoša</w:t>
      </w:r>
      <w:r w:rsidR="001B37F4" w:rsidRPr="00A07F29">
        <w:rPr>
          <w:rFonts w:ascii="Times New Roman" w:eastAsia="Times New Roman" w:hAnsi="Times New Roman" w:cs="Times New Roman"/>
          <w:sz w:val="24"/>
          <w:szCs w:val="24"/>
        </w:rPr>
        <w:t>n</w:t>
      </w:r>
      <w:r w:rsidRPr="00A07F29">
        <w:rPr>
          <w:rFonts w:ascii="Times New Roman" w:eastAsia="Times New Roman" w:hAnsi="Times New Roman" w:cs="Times New Roman"/>
          <w:sz w:val="24"/>
          <w:szCs w:val="24"/>
        </w:rPr>
        <w:t>a AAA “Augšdaugava”.</w:t>
      </w:r>
      <w:r w:rsidR="001B37F4" w:rsidRPr="00A07F29">
        <w:rPr>
          <w:rFonts w:ascii="Times New Roman" w:eastAsia="Times New Roman" w:hAnsi="Times New Roman" w:cs="Times New Roman"/>
          <w:sz w:val="24"/>
          <w:szCs w:val="24"/>
        </w:rPr>
        <w:t xml:space="preserve"> </w:t>
      </w:r>
      <w:r w:rsidR="006D13D2" w:rsidRPr="00A07F29">
        <w:rPr>
          <w:rFonts w:ascii="Times New Roman" w:eastAsia="Times New Roman" w:hAnsi="Times New Roman" w:cs="Times New Roman"/>
          <w:sz w:val="24"/>
          <w:szCs w:val="24"/>
        </w:rPr>
        <w:t>Visu ar tekošiem un stāvošiem saldūdens biotopiem saistīto putnu sugu aizsardzības stāvoklis teritorijā vērtējams kā apmierinošs.</w:t>
      </w:r>
    </w:p>
    <w:p w14:paraId="391FA729" w14:textId="2E55DF30" w:rsidR="006D13D2" w:rsidRPr="00A07F29" w:rsidRDefault="006D13D2" w:rsidP="006D13D2">
      <w:pPr>
        <w:spacing w:after="120" w:line="240" w:lineRule="auto"/>
        <w:ind w:firstLine="851"/>
        <w:jc w:val="both"/>
        <w:rPr>
          <w:rFonts w:ascii="Times New Roman" w:eastAsia="Times New Roman" w:hAnsi="Times New Roman" w:cs="Times New Roman"/>
          <w:sz w:val="24"/>
          <w:szCs w:val="24"/>
        </w:rPr>
      </w:pPr>
      <w:proofErr w:type="spellStart"/>
      <w:r w:rsidRPr="00A07F29">
        <w:rPr>
          <w:rFonts w:ascii="Times New Roman" w:eastAsia="Times New Roman" w:hAnsi="Times New Roman" w:cs="Times New Roman"/>
          <w:sz w:val="24"/>
          <w:szCs w:val="24"/>
        </w:rPr>
        <w:t>Kaijveidīgo</w:t>
      </w:r>
      <w:proofErr w:type="spellEnd"/>
      <w:r w:rsidRPr="00A07F29">
        <w:rPr>
          <w:rFonts w:ascii="Times New Roman" w:eastAsia="Times New Roman" w:hAnsi="Times New Roman" w:cs="Times New Roman"/>
          <w:sz w:val="24"/>
          <w:szCs w:val="24"/>
        </w:rPr>
        <w:t xml:space="preserve"> putnu apdzīvotajās Daugavas salās periodiski nepieciešams </w:t>
      </w:r>
      <w:r w:rsidR="0006098A" w:rsidRPr="00A07F29">
        <w:rPr>
          <w:rFonts w:ascii="Times New Roman" w:eastAsia="Times New Roman" w:hAnsi="Times New Roman" w:cs="Times New Roman"/>
          <w:sz w:val="24"/>
          <w:szCs w:val="24"/>
        </w:rPr>
        <w:t xml:space="preserve">veikt </w:t>
      </w:r>
      <w:r w:rsidRPr="00A07F29">
        <w:rPr>
          <w:rFonts w:ascii="Times New Roman" w:eastAsia="Times New Roman" w:hAnsi="Times New Roman" w:cs="Times New Roman"/>
          <w:sz w:val="24"/>
          <w:szCs w:val="24"/>
        </w:rPr>
        <w:t xml:space="preserve">krūmu un koku izciršanu ārpus putnu ligzdošanas sezonas. Nepieciešams </w:t>
      </w:r>
      <w:r w:rsidR="0006098A" w:rsidRPr="00A07F29">
        <w:rPr>
          <w:rFonts w:ascii="Times New Roman" w:eastAsia="Times New Roman" w:hAnsi="Times New Roman" w:cs="Times New Roman"/>
          <w:sz w:val="24"/>
          <w:szCs w:val="24"/>
        </w:rPr>
        <w:t xml:space="preserve">novērst </w:t>
      </w:r>
      <w:r w:rsidRPr="00A07F29">
        <w:rPr>
          <w:rFonts w:ascii="Times New Roman" w:eastAsia="Times New Roman" w:hAnsi="Times New Roman" w:cs="Times New Roman"/>
          <w:sz w:val="24"/>
          <w:szCs w:val="24"/>
        </w:rPr>
        <w:t>cilvēku izkāpšanu vai tuvošanos kaiju apdzīvotajām salām</w:t>
      </w:r>
      <w:r w:rsidR="0096678E" w:rsidRPr="00A07F29">
        <w:rPr>
          <w:rFonts w:ascii="Times New Roman" w:eastAsia="Times New Roman" w:hAnsi="Times New Roman" w:cs="Times New Roman"/>
          <w:sz w:val="24"/>
          <w:szCs w:val="24"/>
        </w:rPr>
        <w:t xml:space="preserve"> </w:t>
      </w:r>
      <w:proofErr w:type="spellStart"/>
      <w:r w:rsidR="0096678E" w:rsidRPr="00A07F29">
        <w:rPr>
          <w:rFonts w:ascii="Times New Roman" w:eastAsia="Times New Roman" w:hAnsi="Times New Roman" w:cs="Times New Roman"/>
          <w:sz w:val="24"/>
          <w:szCs w:val="24"/>
        </w:rPr>
        <w:t>lidzdošanas</w:t>
      </w:r>
      <w:proofErr w:type="spellEnd"/>
      <w:r w:rsidR="0096678E" w:rsidRPr="00A07F29">
        <w:rPr>
          <w:rFonts w:ascii="Times New Roman" w:eastAsia="Times New Roman" w:hAnsi="Times New Roman" w:cs="Times New Roman"/>
          <w:sz w:val="24"/>
          <w:szCs w:val="24"/>
        </w:rPr>
        <w:t xml:space="preserve"> periodā no 1.</w:t>
      </w:r>
      <w:r w:rsidR="00336FD3">
        <w:rPr>
          <w:rFonts w:ascii="Times New Roman" w:eastAsia="Times New Roman" w:hAnsi="Times New Roman" w:cs="Times New Roman"/>
          <w:sz w:val="24"/>
          <w:szCs w:val="24"/>
        </w:rPr>
        <w:t> </w:t>
      </w:r>
      <w:r w:rsidR="0096678E" w:rsidRPr="00A07F29">
        <w:rPr>
          <w:rFonts w:ascii="Times New Roman" w:eastAsia="Times New Roman" w:hAnsi="Times New Roman" w:cs="Times New Roman"/>
          <w:sz w:val="24"/>
          <w:szCs w:val="24"/>
        </w:rPr>
        <w:t>marta līdz 31.</w:t>
      </w:r>
      <w:r w:rsidR="00336FD3">
        <w:rPr>
          <w:rFonts w:ascii="Times New Roman" w:eastAsia="Times New Roman" w:hAnsi="Times New Roman" w:cs="Times New Roman"/>
          <w:sz w:val="24"/>
          <w:szCs w:val="24"/>
        </w:rPr>
        <w:t> </w:t>
      </w:r>
      <w:r w:rsidR="0096678E" w:rsidRPr="00A07F29">
        <w:rPr>
          <w:rFonts w:ascii="Times New Roman" w:eastAsia="Times New Roman" w:hAnsi="Times New Roman" w:cs="Times New Roman"/>
          <w:sz w:val="24"/>
          <w:szCs w:val="24"/>
        </w:rPr>
        <w:t>jūlijam</w:t>
      </w:r>
      <w:r w:rsidR="0006098A" w:rsidRPr="00A07F29">
        <w:rPr>
          <w:rFonts w:ascii="Times New Roman" w:eastAsia="Times New Roman" w:hAnsi="Times New Roman" w:cs="Times New Roman"/>
          <w:sz w:val="24"/>
          <w:szCs w:val="24"/>
        </w:rPr>
        <w:t xml:space="preserve">, tādēļ </w:t>
      </w:r>
      <w:r w:rsidR="00834D9E" w:rsidRPr="00A07F29">
        <w:rPr>
          <w:rFonts w:ascii="Times New Roman" w:eastAsia="Times New Roman" w:hAnsi="Times New Roman" w:cs="Times New Roman"/>
          <w:sz w:val="24"/>
          <w:szCs w:val="24"/>
        </w:rPr>
        <w:t>ne</w:t>
      </w:r>
      <w:r w:rsidRPr="00A07F29">
        <w:rPr>
          <w:rFonts w:ascii="Times New Roman" w:eastAsia="Times New Roman" w:hAnsi="Times New Roman" w:cs="Times New Roman"/>
          <w:sz w:val="24"/>
          <w:szCs w:val="24"/>
        </w:rPr>
        <w:t xml:space="preserve">pieciešams uzstādīt brīdinājuma un informācijas zīmes </w:t>
      </w:r>
      <w:proofErr w:type="spellStart"/>
      <w:r w:rsidRPr="00A07F29">
        <w:rPr>
          <w:rFonts w:ascii="Times New Roman" w:eastAsia="Times New Roman" w:hAnsi="Times New Roman" w:cs="Times New Roman"/>
          <w:sz w:val="24"/>
          <w:szCs w:val="24"/>
        </w:rPr>
        <w:t>laivotājiem</w:t>
      </w:r>
      <w:proofErr w:type="spellEnd"/>
      <w:r w:rsidRPr="00A07F29">
        <w:rPr>
          <w:rFonts w:ascii="Times New Roman" w:eastAsia="Times New Roman" w:hAnsi="Times New Roman" w:cs="Times New Roman"/>
          <w:sz w:val="24"/>
          <w:szCs w:val="24"/>
        </w:rPr>
        <w:t xml:space="preserve">, izglītot laivošanas pakalpojumu sniedzējus. Iepretī kaiju apdzīvotajām salām Krāslavas pilsētas teritorijā </w:t>
      </w:r>
      <w:r w:rsidR="00834D9E" w:rsidRPr="00A07F29">
        <w:rPr>
          <w:rFonts w:ascii="Times New Roman" w:eastAsia="Times New Roman" w:hAnsi="Times New Roman" w:cs="Times New Roman"/>
          <w:sz w:val="24"/>
          <w:szCs w:val="24"/>
        </w:rPr>
        <w:t>ieteicams</w:t>
      </w:r>
      <w:r w:rsidRPr="00A07F29">
        <w:rPr>
          <w:rFonts w:ascii="Times New Roman" w:eastAsia="Times New Roman" w:hAnsi="Times New Roman" w:cs="Times New Roman"/>
          <w:sz w:val="24"/>
          <w:szCs w:val="24"/>
        </w:rPr>
        <w:t xml:space="preserve"> izvietot informatīvus stendus par kaiju kolonijās ligzdojošajām sugām.</w:t>
      </w:r>
    </w:p>
    <w:p w14:paraId="029CD497" w14:textId="77777777" w:rsidR="001B37F4" w:rsidRPr="00A07F29" w:rsidRDefault="001B37F4" w:rsidP="006D13D2">
      <w:pPr>
        <w:spacing w:after="120" w:line="240" w:lineRule="auto"/>
        <w:ind w:firstLine="851"/>
        <w:jc w:val="both"/>
        <w:rPr>
          <w:rFonts w:ascii="Times New Roman" w:eastAsia="Times New Roman" w:hAnsi="Times New Roman" w:cs="Times New Roman"/>
          <w:sz w:val="24"/>
          <w:szCs w:val="24"/>
        </w:rPr>
      </w:pPr>
    </w:p>
    <w:p w14:paraId="1016E654" w14:textId="55D8E431" w:rsidR="009072CE" w:rsidRPr="00A07F29" w:rsidRDefault="009072CE" w:rsidP="00E34453">
      <w:pPr>
        <w:pStyle w:val="Heading2"/>
        <w:spacing w:before="120" w:after="120"/>
        <w:ind w:firstLine="0"/>
        <w:jc w:val="center"/>
        <w:rPr>
          <w:rFonts w:ascii="Times New Roman" w:hAnsi="Times New Roman"/>
          <w:b w:val="0"/>
          <w:iCs w:val="0"/>
        </w:rPr>
      </w:pPr>
      <w:bookmarkStart w:id="90" w:name="_Toc183434022"/>
      <w:r w:rsidRPr="00A07F29">
        <w:rPr>
          <w:rFonts w:ascii="Times New Roman" w:hAnsi="Times New Roman"/>
          <w:i w:val="0"/>
        </w:rPr>
        <w:t>4.</w:t>
      </w:r>
      <w:r w:rsidR="00753F13" w:rsidRPr="00A07F29">
        <w:rPr>
          <w:rFonts w:ascii="Times New Roman" w:hAnsi="Times New Roman"/>
          <w:i w:val="0"/>
        </w:rPr>
        <w:t>11</w:t>
      </w:r>
      <w:r w:rsidRPr="00A07F29">
        <w:rPr>
          <w:rFonts w:ascii="Times New Roman" w:hAnsi="Times New Roman"/>
          <w:i w:val="0"/>
        </w:rPr>
        <w:t>. Zīdītāju sugas</w:t>
      </w:r>
      <w:bookmarkEnd w:id="90"/>
    </w:p>
    <w:p w14:paraId="598EDF09" w14:textId="5A0874A0" w:rsidR="009072CE" w:rsidRPr="00A07F29" w:rsidRDefault="009072CE" w:rsidP="00E34453">
      <w:pPr>
        <w:pStyle w:val="Heading3"/>
        <w:keepLines w:val="0"/>
        <w:spacing w:before="120" w:after="120" w:line="240" w:lineRule="auto"/>
        <w:jc w:val="center"/>
        <w:rPr>
          <w:b w:val="0"/>
          <w:lang w:eastAsia="ja-JP"/>
        </w:rPr>
      </w:pPr>
      <w:bookmarkStart w:id="91" w:name="_Toc183434023"/>
      <w:r w:rsidRPr="00A07F29">
        <w:rPr>
          <w:lang w:eastAsia="ja-JP"/>
        </w:rPr>
        <w:t>4.</w:t>
      </w:r>
      <w:r w:rsidR="00753F13" w:rsidRPr="00A07F29">
        <w:rPr>
          <w:lang w:eastAsia="ja-JP"/>
        </w:rPr>
        <w:t>11</w:t>
      </w:r>
      <w:r w:rsidRPr="00A07F29">
        <w:rPr>
          <w:lang w:eastAsia="ja-JP"/>
        </w:rPr>
        <w:t>.1. Sikspārņi</w:t>
      </w:r>
      <w:bookmarkEnd w:id="91"/>
    </w:p>
    <w:p w14:paraId="47F12F3B" w14:textId="056E7AD2" w:rsidR="00A72708" w:rsidRPr="00A07F29" w:rsidRDefault="00A72708" w:rsidP="00E34453">
      <w:pPr>
        <w:keepNext/>
        <w:spacing w:after="120"/>
        <w:ind w:firstLine="851"/>
        <w:jc w:val="center"/>
        <w:rPr>
          <w:rFonts w:ascii="Times New Roman" w:eastAsia="Calibri" w:hAnsi="Times New Roman" w:cs="Calibri"/>
          <w:b/>
          <w:sz w:val="24"/>
        </w:rPr>
      </w:pPr>
      <w:r w:rsidRPr="00A07F29">
        <w:rPr>
          <w:rFonts w:ascii="Times New Roman" w:eastAsia="Calibri" w:hAnsi="Times New Roman" w:cs="Calibri"/>
          <w:b/>
          <w:sz w:val="24"/>
        </w:rPr>
        <w:t>4.11.1.1. Sikspārņu uzskaišu metodika</w:t>
      </w:r>
    </w:p>
    <w:p w14:paraId="590F30CA" w14:textId="409748A6" w:rsidR="009072CE" w:rsidRPr="00A07F29" w:rsidRDefault="00BF0E06" w:rsidP="00E34453">
      <w:pPr>
        <w:spacing w:after="120" w:line="240" w:lineRule="auto"/>
        <w:ind w:firstLine="851"/>
        <w:jc w:val="both"/>
        <w:rPr>
          <w:rFonts w:ascii="Times New Roman" w:eastAsia="Calibri" w:hAnsi="Times New Roman" w:cs="Calibri"/>
          <w:sz w:val="24"/>
        </w:rPr>
      </w:pPr>
      <w:r w:rsidRPr="00375CD0">
        <w:rPr>
          <w:rFonts w:ascii="Times New Roman" w:eastAsia="Calibri" w:hAnsi="Times New Roman" w:cs="Calibri"/>
          <w:sz w:val="24"/>
        </w:rPr>
        <w:t>AAA</w:t>
      </w:r>
      <w:r w:rsidR="009072CE" w:rsidRPr="00375CD0">
        <w:rPr>
          <w:rFonts w:ascii="Times New Roman" w:eastAsia="Calibri" w:hAnsi="Times New Roman" w:cs="Calibri"/>
          <w:sz w:val="24"/>
        </w:rPr>
        <w:t xml:space="preserve"> </w:t>
      </w:r>
      <w:r w:rsidR="001A657C" w:rsidRPr="00375CD0">
        <w:rPr>
          <w:rFonts w:ascii="Times New Roman" w:eastAsia="Calibri" w:hAnsi="Times New Roman" w:cs="Calibri"/>
          <w:sz w:val="24"/>
        </w:rPr>
        <w:t>“Augšdaugava”</w:t>
      </w:r>
      <w:r w:rsidR="001A657C" w:rsidRPr="00A07F29">
        <w:rPr>
          <w:rFonts w:ascii="Times New Roman" w:eastAsia="Calibri" w:hAnsi="Times New Roman" w:cs="Calibri"/>
          <w:sz w:val="24"/>
        </w:rPr>
        <w:t xml:space="preserve"> </w:t>
      </w:r>
      <w:r w:rsidR="009072CE" w:rsidRPr="00A07F29">
        <w:rPr>
          <w:rFonts w:ascii="Times New Roman" w:eastAsia="Calibri" w:hAnsi="Times New Roman" w:cs="Calibri"/>
          <w:sz w:val="24"/>
        </w:rPr>
        <w:t>sikspārņu sugu inventarizācija tika veikta 2019.</w:t>
      </w:r>
      <w:r w:rsidR="007A701F">
        <w:rPr>
          <w:rFonts w:ascii="Times New Roman" w:eastAsia="Calibri" w:hAnsi="Times New Roman" w:cs="Calibri"/>
          <w:sz w:val="24"/>
        </w:rPr>
        <w:t> </w:t>
      </w:r>
      <w:r w:rsidR="009072CE" w:rsidRPr="00A07F29">
        <w:rPr>
          <w:rFonts w:ascii="Times New Roman" w:eastAsia="Calibri" w:hAnsi="Times New Roman" w:cs="Calibri"/>
          <w:sz w:val="24"/>
        </w:rPr>
        <w:t>gada 4.</w:t>
      </w:r>
      <w:r w:rsidR="007A701F">
        <w:rPr>
          <w:rFonts w:ascii="Times New Roman" w:eastAsia="Calibri" w:hAnsi="Times New Roman" w:cs="Calibri"/>
          <w:sz w:val="24"/>
        </w:rPr>
        <w:t> – </w:t>
      </w:r>
      <w:r w:rsidR="009072CE" w:rsidRPr="00A07F29">
        <w:rPr>
          <w:rFonts w:ascii="Times New Roman" w:eastAsia="Calibri" w:hAnsi="Times New Roman" w:cs="Calibri"/>
          <w:sz w:val="24"/>
        </w:rPr>
        <w:t>6.</w:t>
      </w:r>
      <w:r w:rsidR="007A701F">
        <w:rPr>
          <w:rFonts w:ascii="Times New Roman" w:eastAsia="Calibri" w:hAnsi="Times New Roman" w:cs="Calibri"/>
          <w:sz w:val="24"/>
        </w:rPr>
        <w:t> </w:t>
      </w:r>
      <w:r w:rsidR="009072CE" w:rsidRPr="00A07F29">
        <w:rPr>
          <w:rFonts w:ascii="Times New Roman" w:eastAsia="Calibri" w:hAnsi="Times New Roman" w:cs="Calibri"/>
          <w:sz w:val="24"/>
        </w:rPr>
        <w:t>jūnijā, 17.</w:t>
      </w:r>
      <w:r w:rsidR="007A701F">
        <w:rPr>
          <w:rFonts w:ascii="Times New Roman" w:eastAsia="Calibri" w:hAnsi="Times New Roman" w:cs="Calibri"/>
          <w:sz w:val="24"/>
        </w:rPr>
        <w:t> – </w:t>
      </w:r>
      <w:r w:rsidR="009072CE" w:rsidRPr="00A07F29">
        <w:rPr>
          <w:rFonts w:ascii="Times New Roman" w:eastAsia="Calibri" w:hAnsi="Times New Roman" w:cs="Calibri"/>
          <w:sz w:val="24"/>
        </w:rPr>
        <w:t>19.</w:t>
      </w:r>
      <w:r w:rsidR="007A701F">
        <w:rPr>
          <w:rFonts w:ascii="Times New Roman" w:eastAsia="Calibri" w:hAnsi="Times New Roman" w:cs="Calibri"/>
          <w:sz w:val="24"/>
        </w:rPr>
        <w:t> </w:t>
      </w:r>
      <w:r w:rsidR="009072CE" w:rsidRPr="00A07F29">
        <w:rPr>
          <w:rFonts w:ascii="Times New Roman" w:eastAsia="Calibri" w:hAnsi="Times New Roman" w:cs="Calibri"/>
          <w:sz w:val="24"/>
        </w:rPr>
        <w:t>jūnijā un 17.</w:t>
      </w:r>
      <w:r w:rsidR="007A701F">
        <w:rPr>
          <w:rFonts w:ascii="Times New Roman" w:eastAsia="Calibri" w:hAnsi="Times New Roman" w:cs="Calibri"/>
          <w:sz w:val="24"/>
        </w:rPr>
        <w:t> – </w:t>
      </w:r>
      <w:r w:rsidR="009072CE" w:rsidRPr="00A07F29">
        <w:rPr>
          <w:rFonts w:ascii="Times New Roman" w:eastAsia="Calibri" w:hAnsi="Times New Roman" w:cs="Calibri"/>
          <w:sz w:val="24"/>
        </w:rPr>
        <w:t>23.</w:t>
      </w:r>
      <w:r w:rsidR="007A701F">
        <w:rPr>
          <w:rFonts w:ascii="Times New Roman" w:eastAsia="Calibri" w:hAnsi="Times New Roman" w:cs="Calibri"/>
          <w:sz w:val="24"/>
        </w:rPr>
        <w:t> </w:t>
      </w:r>
      <w:r w:rsidR="009072CE" w:rsidRPr="00A07F29">
        <w:rPr>
          <w:rFonts w:ascii="Times New Roman" w:eastAsia="Calibri" w:hAnsi="Times New Roman" w:cs="Calibri"/>
          <w:sz w:val="24"/>
        </w:rPr>
        <w:t xml:space="preserve">jūlijā. Pirmajā ekspedīcijā tika veiktas pieaugušo sikspārņu mātīšu uzskaites vakara izlidojuma laikā divās to koloniju mītnēs – </w:t>
      </w:r>
      <w:proofErr w:type="spellStart"/>
      <w:r w:rsidR="009072CE" w:rsidRPr="00A07F29">
        <w:rPr>
          <w:rFonts w:ascii="Times New Roman" w:eastAsia="Calibri" w:hAnsi="Times New Roman" w:cs="Calibri"/>
          <w:sz w:val="24"/>
        </w:rPr>
        <w:t>Veckaplavas</w:t>
      </w:r>
      <w:proofErr w:type="spellEnd"/>
      <w:r w:rsidR="009072CE" w:rsidRPr="00A07F29">
        <w:rPr>
          <w:rFonts w:ascii="Times New Roman" w:eastAsia="Calibri" w:hAnsi="Times New Roman" w:cs="Calibri"/>
          <w:sz w:val="24"/>
        </w:rPr>
        <w:t xml:space="preserve"> pareizticīgo baznīcā un </w:t>
      </w:r>
      <w:proofErr w:type="spellStart"/>
      <w:r w:rsidR="009072CE" w:rsidRPr="00A07F29">
        <w:rPr>
          <w:rFonts w:ascii="Times New Roman" w:eastAsia="Calibri" w:hAnsi="Times New Roman" w:cs="Calibri"/>
          <w:sz w:val="24"/>
        </w:rPr>
        <w:t>Sīķeles</w:t>
      </w:r>
      <w:proofErr w:type="spellEnd"/>
      <w:r w:rsidR="009072CE" w:rsidRPr="00A07F29">
        <w:rPr>
          <w:rFonts w:ascii="Times New Roman" w:eastAsia="Calibri" w:hAnsi="Times New Roman" w:cs="Calibri"/>
          <w:sz w:val="24"/>
        </w:rPr>
        <w:t xml:space="preserve"> luterāņu baznīcā. Galvenā metode sikspārņu sugu konstatēšanā turpmāk bija ultraskaņas detektoru izmantošana lidojošu sikspārņu identificēšanai. No sikspārņu bioloģijas viedokļa jūnija ekspedīcijas atbilda mātīšu grūsnības vai laktācijas laikam (nelidojoši mazuļi), bet jūlija ekspedīcija – laikam, kad lielākā daļa mazuļu sikspārņiem jau ir lidojoši. Sikspārņu uzskaitēm tika izvēlētas tikai bez lietu</w:t>
      </w:r>
      <w:r w:rsidR="001A657C" w:rsidRPr="00A07F29">
        <w:rPr>
          <w:rFonts w:ascii="Times New Roman" w:eastAsia="Calibri" w:hAnsi="Times New Roman" w:cs="Calibri"/>
          <w:sz w:val="24"/>
        </w:rPr>
        <w:t>s</w:t>
      </w:r>
      <w:r w:rsidR="009072CE" w:rsidRPr="00A07F29">
        <w:rPr>
          <w:rFonts w:ascii="Times New Roman" w:eastAsia="Calibri" w:hAnsi="Times New Roman" w:cs="Calibri"/>
          <w:sz w:val="24"/>
        </w:rPr>
        <w:t xml:space="preserve"> naktis ar gaisa temperatūru ne zemāku par 10</w:t>
      </w:r>
      <w:r w:rsidR="009072CE" w:rsidRPr="00A07F29">
        <w:rPr>
          <w:rFonts w:ascii="Times New Roman" w:eastAsia="Calibri" w:hAnsi="Times New Roman" w:cs="Calibri"/>
          <w:sz w:val="24"/>
          <w:vertAlign w:val="superscript"/>
        </w:rPr>
        <w:t>0</w:t>
      </w:r>
      <w:r w:rsidR="00346EF9">
        <w:rPr>
          <w:rFonts w:ascii="Times New Roman" w:eastAsia="Calibri" w:hAnsi="Times New Roman" w:cs="Calibri"/>
          <w:sz w:val="24"/>
        </w:rPr>
        <w:t> </w:t>
      </w:r>
      <w:r w:rsidR="009072CE" w:rsidRPr="00A07F29">
        <w:rPr>
          <w:rFonts w:ascii="Times New Roman" w:eastAsia="Calibri" w:hAnsi="Times New Roman" w:cs="Calibri"/>
          <w:sz w:val="24"/>
        </w:rPr>
        <w:t>C.</w:t>
      </w:r>
    </w:p>
    <w:p w14:paraId="36CF8B07" w14:textId="77777777" w:rsidR="009072CE" w:rsidRPr="00A07F29" w:rsidRDefault="009072CE" w:rsidP="006A4DCA">
      <w:pPr>
        <w:keepNext/>
        <w:spacing w:before="240" w:after="120" w:line="240" w:lineRule="auto"/>
        <w:jc w:val="both"/>
        <w:rPr>
          <w:rFonts w:ascii="Times New Roman" w:eastAsia="Times New Roman" w:hAnsi="Times New Roman" w:cs="Times New Roman"/>
          <w:b/>
          <w:i/>
          <w:sz w:val="24"/>
          <w:szCs w:val="24"/>
        </w:rPr>
      </w:pPr>
      <w:r w:rsidRPr="00A07F29">
        <w:rPr>
          <w:rFonts w:ascii="Times New Roman" w:eastAsia="Times New Roman" w:hAnsi="Times New Roman" w:cs="Times New Roman"/>
          <w:b/>
          <w:i/>
          <w:sz w:val="24"/>
          <w:szCs w:val="24"/>
        </w:rPr>
        <w:t>Uzskaites koloniju mītnēs</w:t>
      </w:r>
    </w:p>
    <w:p w14:paraId="5315569F" w14:textId="58915AAD" w:rsidR="009072CE" w:rsidRPr="00A07F29" w:rsidRDefault="009072CE" w:rsidP="00E34453">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Uzskaites pie </w:t>
      </w:r>
      <w:proofErr w:type="spellStart"/>
      <w:r w:rsidRPr="00A07F29">
        <w:rPr>
          <w:rFonts w:ascii="Times New Roman" w:eastAsia="Calibri" w:hAnsi="Times New Roman" w:cs="Calibri"/>
          <w:sz w:val="24"/>
        </w:rPr>
        <w:t>Veckaplavas</w:t>
      </w:r>
      <w:proofErr w:type="spellEnd"/>
      <w:r w:rsidRPr="00A07F29">
        <w:rPr>
          <w:rFonts w:ascii="Times New Roman" w:eastAsia="Calibri" w:hAnsi="Times New Roman" w:cs="Calibri"/>
          <w:sz w:val="24"/>
        </w:rPr>
        <w:t xml:space="preserve"> baznīcas 4.</w:t>
      </w:r>
      <w:r w:rsidR="001025A7">
        <w:rPr>
          <w:rFonts w:ascii="Times New Roman" w:eastAsia="Calibri" w:hAnsi="Times New Roman" w:cs="Calibri"/>
          <w:sz w:val="24"/>
        </w:rPr>
        <w:t> </w:t>
      </w:r>
      <w:r w:rsidRPr="00A07F29">
        <w:rPr>
          <w:rFonts w:ascii="Times New Roman" w:eastAsia="Calibri" w:hAnsi="Times New Roman" w:cs="Calibri"/>
          <w:sz w:val="24"/>
        </w:rPr>
        <w:t>jūnija vakarā veica trīs skaitītāji (G.</w:t>
      </w:r>
      <w:r w:rsidR="001025A7">
        <w:rPr>
          <w:rFonts w:ascii="Times New Roman" w:eastAsia="Calibri" w:hAnsi="Times New Roman" w:cs="Calibri"/>
          <w:sz w:val="24"/>
        </w:rPr>
        <w:t> </w:t>
      </w:r>
      <w:r w:rsidRPr="00A07F29">
        <w:rPr>
          <w:rFonts w:ascii="Times New Roman" w:eastAsia="Calibri" w:hAnsi="Times New Roman" w:cs="Calibri"/>
          <w:sz w:val="24"/>
        </w:rPr>
        <w:t>Pētersons, K.</w:t>
      </w:r>
      <w:r w:rsidR="001025A7">
        <w:rPr>
          <w:rFonts w:ascii="Times New Roman" w:eastAsia="Calibri" w:hAnsi="Times New Roman" w:cs="Calibri"/>
          <w:sz w:val="24"/>
        </w:rPr>
        <w:t> </w:t>
      </w:r>
      <w:r w:rsidRPr="00A07F29">
        <w:rPr>
          <w:rFonts w:ascii="Times New Roman" w:eastAsia="Calibri" w:hAnsi="Times New Roman" w:cs="Calibri"/>
          <w:sz w:val="24"/>
        </w:rPr>
        <w:t>Pētersons un R.</w:t>
      </w:r>
      <w:r w:rsidR="001025A7">
        <w:rPr>
          <w:rFonts w:ascii="Times New Roman" w:eastAsia="Calibri" w:hAnsi="Times New Roman" w:cs="Calibri"/>
          <w:sz w:val="24"/>
        </w:rPr>
        <w:t> </w:t>
      </w:r>
      <w:r w:rsidRPr="00A07F29">
        <w:rPr>
          <w:rFonts w:ascii="Times New Roman" w:eastAsia="Calibri" w:hAnsi="Times New Roman" w:cs="Calibri"/>
          <w:sz w:val="24"/>
        </w:rPr>
        <w:t xml:space="preserve">Kaupuža), pie </w:t>
      </w:r>
      <w:proofErr w:type="spellStart"/>
      <w:r w:rsidRPr="00A07F29">
        <w:rPr>
          <w:rFonts w:ascii="Times New Roman" w:eastAsia="Calibri" w:hAnsi="Times New Roman" w:cs="Calibri"/>
          <w:sz w:val="24"/>
        </w:rPr>
        <w:t>Sīķeles</w:t>
      </w:r>
      <w:proofErr w:type="spellEnd"/>
      <w:r w:rsidRPr="00A07F29">
        <w:rPr>
          <w:rFonts w:ascii="Times New Roman" w:eastAsia="Calibri" w:hAnsi="Times New Roman" w:cs="Calibri"/>
          <w:sz w:val="24"/>
        </w:rPr>
        <w:t xml:space="preserve"> baznīcas 5.</w:t>
      </w:r>
      <w:r w:rsidR="001025A7">
        <w:rPr>
          <w:rFonts w:ascii="Times New Roman" w:eastAsia="Calibri" w:hAnsi="Times New Roman" w:cs="Calibri"/>
          <w:sz w:val="24"/>
        </w:rPr>
        <w:t> </w:t>
      </w:r>
      <w:r w:rsidRPr="00A07F29">
        <w:rPr>
          <w:rFonts w:ascii="Times New Roman" w:eastAsia="Calibri" w:hAnsi="Times New Roman" w:cs="Calibri"/>
          <w:sz w:val="24"/>
        </w:rPr>
        <w:t>jūnija vakarā – R.</w:t>
      </w:r>
      <w:r w:rsidR="001025A7">
        <w:rPr>
          <w:rFonts w:ascii="Times New Roman" w:eastAsia="Calibri" w:hAnsi="Times New Roman" w:cs="Calibri"/>
          <w:sz w:val="24"/>
        </w:rPr>
        <w:t> </w:t>
      </w:r>
      <w:r w:rsidRPr="00A07F29">
        <w:rPr>
          <w:rFonts w:ascii="Times New Roman" w:eastAsia="Calibri" w:hAnsi="Times New Roman" w:cs="Calibri"/>
          <w:sz w:val="24"/>
        </w:rPr>
        <w:t>Kaupuža. Uzskaites uzsāktas saulrieta laikā un beigtas, kad sikspārņi 10 minūtes vairs neizlidoja. 22.</w:t>
      </w:r>
      <w:r w:rsidR="001025A7">
        <w:rPr>
          <w:rFonts w:ascii="Times New Roman" w:eastAsia="Calibri" w:hAnsi="Times New Roman" w:cs="Calibri"/>
          <w:sz w:val="24"/>
        </w:rPr>
        <w:t> </w:t>
      </w:r>
      <w:r w:rsidRPr="00A07F29">
        <w:rPr>
          <w:rFonts w:ascii="Times New Roman" w:eastAsia="Calibri" w:hAnsi="Times New Roman" w:cs="Calibri"/>
          <w:sz w:val="24"/>
        </w:rPr>
        <w:t xml:space="preserve">jūlijā nejauši uzieta trešā sikspārņu kolonija – Kaplavas pagasta </w:t>
      </w:r>
      <w:r w:rsidR="00852BAB">
        <w:rPr>
          <w:rFonts w:ascii="Times New Roman" w:eastAsia="Calibri" w:hAnsi="Times New Roman" w:cs="Calibri"/>
          <w:sz w:val="24"/>
        </w:rPr>
        <w:t>“</w:t>
      </w:r>
      <w:r w:rsidRPr="00A07F29">
        <w:rPr>
          <w:rFonts w:ascii="Times New Roman" w:eastAsia="Calibri" w:hAnsi="Times New Roman" w:cs="Calibri"/>
          <w:sz w:val="24"/>
        </w:rPr>
        <w:t xml:space="preserve">Pazaros” pie </w:t>
      </w:r>
      <w:proofErr w:type="spellStart"/>
      <w:r w:rsidRPr="00A07F29">
        <w:rPr>
          <w:rFonts w:ascii="Times New Roman" w:eastAsia="Calibri" w:hAnsi="Times New Roman" w:cs="Calibri"/>
          <w:sz w:val="24"/>
        </w:rPr>
        <w:t>Baļščina</w:t>
      </w:r>
      <w:proofErr w:type="spellEnd"/>
      <w:r w:rsidR="00CA5212" w:rsidRPr="00A07F29">
        <w:rPr>
          <w:rFonts w:ascii="Times New Roman" w:eastAsia="Calibri" w:hAnsi="Times New Roman" w:cs="Calibri"/>
          <w:sz w:val="24"/>
        </w:rPr>
        <w:t xml:space="preserve"> (</w:t>
      </w:r>
      <w:proofErr w:type="spellStart"/>
      <w:r w:rsidR="00CA5212" w:rsidRPr="00A07F29">
        <w:rPr>
          <w:rFonts w:ascii="Times New Roman" w:eastAsia="Calibri" w:hAnsi="Times New Roman" w:cs="Calibri"/>
          <w:sz w:val="24"/>
        </w:rPr>
        <w:t>Balticas</w:t>
      </w:r>
      <w:proofErr w:type="spellEnd"/>
      <w:r w:rsidR="00CA5212" w:rsidRPr="00A07F29">
        <w:rPr>
          <w:rFonts w:ascii="Times New Roman" w:eastAsia="Calibri" w:hAnsi="Times New Roman" w:cs="Calibri"/>
          <w:sz w:val="24"/>
        </w:rPr>
        <w:t>)</w:t>
      </w:r>
      <w:r w:rsidRPr="00A07F29">
        <w:rPr>
          <w:rFonts w:ascii="Times New Roman" w:eastAsia="Calibri" w:hAnsi="Times New Roman" w:cs="Calibri"/>
          <w:sz w:val="24"/>
        </w:rPr>
        <w:t xml:space="preserve"> ezera. Uzskaites vietā pie ēkas sikspārņu iespējamās izlidošanas vietā tika uzstādīts automātiskais detektors, kas reģistrēja izlidojošo sikspārņu ultraskaņas saucienus un deva iespēju noteikt izlidojošo sikspārņu sugu pēc to ierakstīto saucienu analīzes ar datorprogrammas palīdzību. Izlidojošo sikspārņu uzskaite pie šīs kolonijas netika veikta laika un darba spēka trūkuma dēļ.</w:t>
      </w:r>
    </w:p>
    <w:p w14:paraId="74A8EBBF" w14:textId="4572733F" w:rsidR="009072CE" w:rsidRPr="00A07F29" w:rsidRDefault="009072CE" w:rsidP="00E34453">
      <w:pPr>
        <w:spacing w:before="240" w:after="120" w:line="240" w:lineRule="auto"/>
        <w:jc w:val="both"/>
        <w:rPr>
          <w:rFonts w:ascii="Times New Roman" w:eastAsia="Times New Roman" w:hAnsi="Times New Roman" w:cs="Times New Roman"/>
          <w:b/>
          <w:i/>
          <w:sz w:val="24"/>
          <w:szCs w:val="24"/>
        </w:rPr>
      </w:pPr>
      <w:r w:rsidRPr="00A07F29">
        <w:rPr>
          <w:rFonts w:ascii="Times New Roman" w:eastAsia="Times New Roman" w:hAnsi="Times New Roman" w:cs="Times New Roman"/>
          <w:b/>
          <w:i/>
          <w:sz w:val="24"/>
          <w:szCs w:val="24"/>
        </w:rPr>
        <w:t>Akustiskās uzskaites ar ultraskaņas detektoriem</w:t>
      </w:r>
    </w:p>
    <w:p w14:paraId="2D9CA2FA" w14:textId="119CE71A" w:rsidR="001A657C" w:rsidRPr="00A07F29" w:rsidRDefault="009072CE" w:rsidP="00E34453">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Pētījumā tika izmantoti automātiskie ultraskaņas detektori </w:t>
      </w:r>
      <w:proofErr w:type="spellStart"/>
      <w:r w:rsidRPr="00A07F29">
        <w:rPr>
          <w:rFonts w:ascii="Times New Roman" w:eastAsia="Calibri" w:hAnsi="Times New Roman" w:cs="Calibri"/>
          <w:sz w:val="24"/>
        </w:rPr>
        <w:t>Pettersson</w:t>
      </w:r>
      <w:proofErr w:type="spellEnd"/>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sz w:val="24"/>
        </w:rPr>
        <w:t>Elektronik</w:t>
      </w:r>
      <w:proofErr w:type="spellEnd"/>
      <w:r w:rsidRPr="00A07F29">
        <w:rPr>
          <w:rFonts w:ascii="Times New Roman" w:eastAsia="Calibri" w:hAnsi="Times New Roman" w:cs="Calibri"/>
          <w:sz w:val="24"/>
        </w:rPr>
        <w:t xml:space="preserve"> D-500X, kas darbojas bez cilvēka klātbūtnes un detektors </w:t>
      </w:r>
      <w:proofErr w:type="spellStart"/>
      <w:r w:rsidRPr="00A07F29">
        <w:rPr>
          <w:rFonts w:ascii="Times New Roman" w:eastAsia="Calibri" w:hAnsi="Times New Roman" w:cs="Calibri"/>
          <w:sz w:val="24"/>
        </w:rPr>
        <w:t>Pettersson</w:t>
      </w:r>
      <w:proofErr w:type="spellEnd"/>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sz w:val="24"/>
        </w:rPr>
        <w:t>Elektronik</w:t>
      </w:r>
      <w:proofErr w:type="spellEnd"/>
      <w:r w:rsidRPr="00A07F29">
        <w:rPr>
          <w:rFonts w:ascii="Times New Roman" w:eastAsia="Calibri" w:hAnsi="Times New Roman" w:cs="Calibri"/>
          <w:sz w:val="24"/>
        </w:rPr>
        <w:t xml:space="preserve"> D-1000X manuālā režīmā kā </w:t>
      </w:r>
      <w:r w:rsidR="00367310">
        <w:rPr>
          <w:rFonts w:ascii="Times New Roman" w:eastAsia="Calibri" w:hAnsi="Times New Roman" w:cs="Calibri"/>
          <w:sz w:val="24"/>
        </w:rPr>
        <w:t>“</w:t>
      </w:r>
      <w:r w:rsidRPr="00A07F29">
        <w:rPr>
          <w:rFonts w:ascii="Times New Roman" w:eastAsia="Calibri" w:hAnsi="Times New Roman" w:cs="Calibri"/>
          <w:sz w:val="24"/>
        </w:rPr>
        <w:t>rokas detektors”.</w:t>
      </w:r>
      <w:r w:rsidR="00A664AB" w:rsidRPr="00A07F29">
        <w:rPr>
          <w:rFonts w:ascii="Times New Roman" w:eastAsia="Calibri" w:hAnsi="Times New Roman" w:cs="Calibri"/>
          <w:sz w:val="24"/>
        </w:rPr>
        <w:t xml:space="preserve"> </w:t>
      </w:r>
      <w:r w:rsidRPr="00A07F29">
        <w:rPr>
          <w:rFonts w:ascii="Times New Roman" w:eastAsia="Calibri" w:hAnsi="Times New Roman" w:cs="Calibri"/>
          <w:sz w:val="24"/>
        </w:rPr>
        <w:t xml:space="preserve">Automātiskie detektori tika izmantoti sikspārņu sugu sastāva un to aktivitātes </w:t>
      </w:r>
      <w:r w:rsidRPr="00A07F29">
        <w:rPr>
          <w:rFonts w:ascii="Times New Roman" w:eastAsia="Calibri" w:hAnsi="Times New Roman" w:cs="Calibri"/>
          <w:sz w:val="24"/>
        </w:rPr>
        <w:lastRenderedPageBreak/>
        <w:t xml:space="preserve">noskaidrošanai dažādos AAA tipiskos biotopos. D-500X detektori tika uzstādīti pēcpusdienā vai vakarā un atstāti uz nakti automātiskai sikspārņu saucienu reģistrēšanai. Detektoriem tika iestatīts </w:t>
      </w:r>
      <w:r w:rsidR="00176AFE">
        <w:rPr>
          <w:rFonts w:ascii="Times New Roman" w:eastAsia="Calibri" w:hAnsi="Times New Roman" w:cs="Calibri"/>
          <w:sz w:val="24"/>
        </w:rPr>
        <w:t>septiņu</w:t>
      </w:r>
      <w:r w:rsidRPr="00A07F29">
        <w:rPr>
          <w:rFonts w:ascii="Times New Roman" w:eastAsia="Calibri" w:hAnsi="Times New Roman" w:cs="Calibri"/>
          <w:sz w:val="24"/>
        </w:rPr>
        <w:t xml:space="preserve"> stundu (1.</w:t>
      </w:r>
      <w:r w:rsidR="00176AFE">
        <w:rPr>
          <w:rFonts w:ascii="Times New Roman" w:eastAsia="Calibri" w:hAnsi="Times New Roman" w:cs="Calibri"/>
          <w:sz w:val="24"/>
        </w:rPr>
        <w:t> </w:t>
      </w:r>
      <w:r w:rsidRPr="00A07F29">
        <w:rPr>
          <w:rFonts w:ascii="Times New Roman" w:eastAsia="Calibri" w:hAnsi="Times New Roman" w:cs="Calibri"/>
          <w:sz w:val="24"/>
        </w:rPr>
        <w:t xml:space="preserve">ekspedīcijā), </w:t>
      </w:r>
      <w:r w:rsidR="00176AFE">
        <w:rPr>
          <w:rFonts w:ascii="Times New Roman" w:eastAsia="Calibri" w:hAnsi="Times New Roman" w:cs="Calibri"/>
          <w:sz w:val="24"/>
        </w:rPr>
        <w:t>sešu</w:t>
      </w:r>
      <w:r w:rsidRPr="00A07F29">
        <w:rPr>
          <w:rFonts w:ascii="Times New Roman" w:eastAsia="Calibri" w:hAnsi="Times New Roman" w:cs="Calibri"/>
          <w:sz w:val="24"/>
        </w:rPr>
        <w:t xml:space="preserve"> stundu (2.</w:t>
      </w:r>
      <w:r w:rsidR="00176AFE">
        <w:rPr>
          <w:rFonts w:ascii="Times New Roman" w:eastAsia="Calibri" w:hAnsi="Times New Roman" w:cs="Calibri"/>
          <w:sz w:val="24"/>
        </w:rPr>
        <w:t> </w:t>
      </w:r>
      <w:r w:rsidRPr="00A07F29">
        <w:rPr>
          <w:rFonts w:ascii="Times New Roman" w:eastAsia="Calibri" w:hAnsi="Times New Roman" w:cs="Calibri"/>
          <w:sz w:val="24"/>
        </w:rPr>
        <w:t>ekspedīcijā) un 6,5 stundu (3.</w:t>
      </w:r>
      <w:r w:rsidR="00176AFE">
        <w:rPr>
          <w:rFonts w:ascii="Times New Roman" w:eastAsia="Calibri" w:hAnsi="Times New Roman" w:cs="Calibri"/>
          <w:sz w:val="24"/>
        </w:rPr>
        <w:t> </w:t>
      </w:r>
      <w:r w:rsidRPr="00A07F29">
        <w:rPr>
          <w:rFonts w:ascii="Times New Roman" w:eastAsia="Calibri" w:hAnsi="Times New Roman" w:cs="Calibri"/>
          <w:sz w:val="24"/>
        </w:rPr>
        <w:t xml:space="preserve">ekspedīcijā) darbības ilgums, darbību uzsākot aptuveni </w:t>
      </w:r>
      <w:r w:rsidR="00176AFE">
        <w:rPr>
          <w:rFonts w:ascii="Times New Roman" w:eastAsia="Calibri" w:hAnsi="Times New Roman" w:cs="Calibri"/>
          <w:sz w:val="24"/>
        </w:rPr>
        <w:t>vienu</w:t>
      </w:r>
      <w:r w:rsidRPr="00A07F29">
        <w:rPr>
          <w:rFonts w:ascii="Times New Roman" w:eastAsia="Calibri" w:hAnsi="Times New Roman" w:cs="Calibri"/>
          <w:sz w:val="24"/>
        </w:rPr>
        <w:t xml:space="preserve"> stundu pēc saulrieta. Detektori tika izvietoti katru nakti citā vietā un no rīta savākti.</w:t>
      </w:r>
    </w:p>
    <w:p w14:paraId="0410C604" w14:textId="75049A64" w:rsidR="009072CE" w:rsidRPr="00A07F29" w:rsidRDefault="009072CE" w:rsidP="00E34453">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Pēc automātiskajos detektoros reģistrētā sikspārņu pārlidojumu skaita katrai sugai tika aprēķināts tās aktivitātes indekss. Aktivitātes indeksus nav jāuzskata par sikspārņu pārlidojumu absolūtā skaita rādītājiem, bet gan rādītāju, kas ļauj salīdzināt dažādu sugu īpatsvaru kopējā sikspārņu aktivitātē vienā novērošanas vietā vai savstarpēji salīdzināt dažādus biotopus vai biotopu grupas. Akustiskais sikspārņu monitorings saistīts ar metodoloģisku kļūdu, ko rada dažādu sugu atšķirīgie saucienu skaļumi un attiecīgi atšķirīgie attālumi, kādos dažādu sugu sikspārņus uztver detektors. Tā piemēram, visskaļāko saucienu sugu </w:t>
      </w:r>
      <w:r w:rsidR="005B4E4C">
        <w:rPr>
          <w:rFonts w:ascii="Times New Roman" w:eastAsia="Calibri" w:hAnsi="Times New Roman" w:cs="Calibri"/>
          <w:sz w:val="24"/>
        </w:rPr>
        <w:t>–</w:t>
      </w:r>
      <w:r w:rsidRPr="00A07F29">
        <w:rPr>
          <w:rFonts w:ascii="Times New Roman" w:eastAsia="Calibri" w:hAnsi="Times New Roman" w:cs="Calibri"/>
          <w:sz w:val="24"/>
        </w:rPr>
        <w:t xml:space="preserve"> rūsgano </w:t>
      </w:r>
      <w:proofErr w:type="spellStart"/>
      <w:r w:rsidRPr="00A07F29">
        <w:rPr>
          <w:rFonts w:ascii="Times New Roman" w:eastAsia="Calibri" w:hAnsi="Times New Roman" w:cs="Calibri"/>
          <w:sz w:val="24"/>
        </w:rPr>
        <w:t>vakarsikspārni</w:t>
      </w:r>
      <w:proofErr w:type="spellEnd"/>
      <w:r w:rsidRPr="00A07F29">
        <w:rPr>
          <w:rFonts w:ascii="Times New Roman" w:eastAsia="Calibri" w:hAnsi="Times New Roman" w:cs="Calibri"/>
          <w:sz w:val="24"/>
        </w:rPr>
        <w:t xml:space="preserve"> detektors uztver līdz 150</w:t>
      </w:r>
      <w:r w:rsidR="00362F92">
        <w:rPr>
          <w:rFonts w:ascii="Times New Roman" w:eastAsia="Calibri" w:hAnsi="Times New Roman" w:cs="Calibri"/>
          <w:sz w:val="24"/>
        </w:rPr>
        <w:t> </w:t>
      </w:r>
      <w:r w:rsidRPr="00A07F29">
        <w:rPr>
          <w:rFonts w:ascii="Times New Roman" w:eastAsia="Calibri" w:hAnsi="Times New Roman" w:cs="Calibri"/>
          <w:sz w:val="24"/>
        </w:rPr>
        <w:t xml:space="preserve">metru attālumā, kamēr relatīvi klusos </w:t>
      </w:r>
      <w:proofErr w:type="spellStart"/>
      <w:r w:rsidRPr="00A07F29">
        <w:rPr>
          <w:rFonts w:ascii="Times New Roman" w:eastAsia="Calibri" w:hAnsi="Times New Roman" w:cs="Calibri"/>
          <w:sz w:val="24"/>
        </w:rPr>
        <w:t>naktssikspārņus</w:t>
      </w:r>
      <w:proofErr w:type="spellEnd"/>
      <w:r w:rsidRPr="00A07F29">
        <w:rPr>
          <w:rFonts w:ascii="Times New Roman" w:eastAsia="Calibri" w:hAnsi="Times New Roman" w:cs="Calibri"/>
          <w:sz w:val="24"/>
        </w:rPr>
        <w:t xml:space="preserve"> </w:t>
      </w:r>
      <w:r w:rsidR="00FB7C40" w:rsidRPr="00A07F29">
        <w:rPr>
          <w:rFonts w:ascii="Times New Roman" w:eastAsia="Calibri" w:hAnsi="Times New Roman" w:cs="Calibri"/>
          <w:sz w:val="24"/>
        </w:rPr>
        <w:t>–</w:t>
      </w:r>
      <w:r w:rsidRPr="00A07F29">
        <w:rPr>
          <w:rFonts w:ascii="Times New Roman" w:eastAsia="Calibri" w:hAnsi="Times New Roman" w:cs="Calibri"/>
          <w:sz w:val="24"/>
        </w:rPr>
        <w:t xml:space="preserve"> tikai 15</w:t>
      </w:r>
      <w:r w:rsidR="00362F92">
        <w:rPr>
          <w:rFonts w:ascii="Times New Roman" w:eastAsia="Calibri" w:hAnsi="Times New Roman" w:cs="Calibri"/>
          <w:sz w:val="24"/>
        </w:rPr>
        <w:t> – </w:t>
      </w:r>
      <w:r w:rsidRPr="00A07F29">
        <w:rPr>
          <w:rFonts w:ascii="Times New Roman" w:eastAsia="Calibri" w:hAnsi="Times New Roman" w:cs="Calibri"/>
          <w:sz w:val="24"/>
        </w:rPr>
        <w:t>30</w:t>
      </w:r>
      <w:r w:rsidR="00362F92">
        <w:rPr>
          <w:rFonts w:ascii="Times New Roman" w:eastAsia="Calibri" w:hAnsi="Times New Roman" w:cs="Calibri"/>
          <w:sz w:val="24"/>
        </w:rPr>
        <w:t> </w:t>
      </w:r>
      <w:r w:rsidRPr="00A07F29">
        <w:rPr>
          <w:rFonts w:ascii="Times New Roman" w:eastAsia="Calibri" w:hAnsi="Times New Roman" w:cs="Calibri"/>
          <w:sz w:val="24"/>
        </w:rPr>
        <w:t>m attālumā. Lai mazinātu sugai specifisko saucienu skaļuma ietekmi, sugu aktivitātes rādītāji tiek reizināti ar t.s. sugas uztveršanas koeficientiem (</w:t>
      </w:r>
      <w:proofErr w:type="spellStart"/>
      <w:r w:rsidRPr="00A07F29">
        <w:rPr>
          <w:rFonts w:ascii="Times New Roman" w:eastAsia="Calibri" w:hAnsi="Times New Roman" w:cs="Calibri"/>
          <w:sz w:val="24"/>
        </w:rPr>
        <w:t>Barataud</w:t>
      </w:r>
      <w:proofErr w:type="spellEnd"/>
      <w:r w:rsidRPr="00A07F29">
        <w:rPr>
          <w:rFonts w:ascii="Times New Roman" w:eastAsia="Calibri" w:hAnsi="Times New Roman" w:cs="Calibri"/>
          <w:sz w:val="24"/>
        </w:rPr>
        <w:t xml:space="preserve"> </w:t>
      </w:r>
      <w:r w:rsidR="00392BE6">
        <w:rPr>
          <w:rFonts w:ascii="Times New Roman" w:eastAsia="Calibri" w:hAnsi="Times New Roman" w:cs="Calibri"/>
          <w:sz w:val="24"/>
        </w:rPr>
        <w:t xml:space="preserve">M., </w:t>
      </w:r>
      <w:r w:rsidRPr="00A07F29">
        <w:rPr>
          <w:rFonts w:ascii="Times New Roman" w:eastAsia="Calibri" w:hAnsi="Times New Roman" w:cs="Calibri"/>
          <w:sz w:val="24"/>
        </w:rPr>
        <w:t xml:space="preserve">2015, </w:t>
      </w:r>
      <w:r w:rsidR="00440AE1">
        <w:rPr>
          <w:rFonts w:ascii="Times New Roman" w:eastAsia="Calibri" w:hAnsi="Times New Roman" w:cs="Calibri"/>
          <w:sz w:val="24"/>
        </w:rPr>
        <w:t xml:space="preserve">skat. </w:t>
      </w:r>
      <w:r w:rsidRPr="00A07F29">
        <w:rPr>
          <w:rFonts w:ascii="Times New Roman" w:eastAsia="Calibri" w:hAnsi="Times New Roman" w:cs="Calibri"/>
          <w:sz w:val="24"/>
        </w:rPr>
        <w:t>4.</w:t>
      </w:r>
      <w:r w:rsidR="00D05097" w:rsidRPr="00A07F29">
        <w:rPr>
          <w:rFonts w:ascii="Times New Roman" w:eastAsia="Calibri" w:hAnsi="Times New Roman" w:cs="Calibri"/>
          <w:sz w:val="24"/>
        </w:rPr>
        <w:t>11</w:t>
      </w:r>
      <w:r w:rsidRPr="00A07F29">
        <w:rPr>
          <w:rFonts w:ascii="Times New Roman" w:eastAsia="Calibri" w:hAnsi="Times New Roman" w:cs="Calibri"/>
          <w:sz w:val="24"/>
        </w:rPr>
        <w:t>.1.</w:t>
      </w:r>
      <w:r w:rsidR="00440AE1">
        <w:rPr>
          <w:rFonts w:ascii="Times New Roman" w:eastAsia="Calibri" w:hAnsi="Times New Roman" w:cs="Calibri"/>
          <w:sz w:val="24"/>
        </w:rPr>
        <w:t> </w:t>
      </w:r>
      <w:r w:rsidRPr="00A07F29">
        <w:rPr>
          <w:rFonts w:ascii="Times New Roman" w:eastAsia="Calibri" w:hAnsi="Times New Roman" w:cs="Calibri"/>
          <w:sz w:val="24"/>
        </w:rPr>
        <w:t>tabula).</w:t>
      </w:r>
    </w:p>
    <w:p w14:paraId="64EAAA97" w14:textId="466A7B84" w:rsidR="009072CE" w:rsidRPr="00A07F29" w:rsidRDefault="009072CE" w:rsidP="00E34453">
      <w:pPr>
        <w:keepNext/>
        <w:spacing w:after="120" w:line="240" w:lineRule="auto"/>
        <w:jc w:val="center"/>
        <w:rPr>
          <w:rFonts w:ascii="Times New Roman" w:eastAsia="Calibri" w:hAnsi="Times New Roman" w:cs="Calibri"/>
          <w:sz w:val="24"/>
        </w:rPr>
      </w:pPr>
      <w:r w:rsidRPr="00A07F29">
        <w:rPr>
          <w:rFonts w:ascii="Times New Roman" w:eastAsia="Calibri" w:hAnsi="Times New Roman" w:cs="Calibri"/>
          <w:sz w:val="24"/>
        </w:rPr>
        <w:t>4.</w:t>
      </w:r>
      <w:r w:rsidR="00D05097" w:rsidRPr="00A07F29">
        <w:rPr>
          <w:rFonts w:ascii="Times New Roman" w:eastAsia="Calibri" w:hAnsi="Times New Roman" w:cs="Calibri"/>
          <w:sz w:val="24"/>
        </w:rPr>
        <w:t>11</w:t>
      </w:r>
      <w:r w:rsidRPr="00A07F29">
        <w:rPr>
          <w:rFonts w:ascii="Times New Roman" w:eastAsia="Calibri" w:hAnsi="Times New Roman" w:cs="Calibri"/>
          <w:sz w:val="24"/>
        </w:rPr>
        <w:t>.1.</w:t>
      </w:r>
      <w:r w:rsidR="00FA4C24">
        <w:rPr>
          <w:rFonts w:ascii="Times New Roman" w:eastAsia="Calibri" w:hAnsi="Times New Roman" w:cs="Calibri"/>
          <w:sz w:val="24"/>
        </w:rPr>
        <w:t> </w:t>
      </w:r>
      <w:r w:rsidRPr="00A07F29">
        <w:rPr>
          <w:rFonts w:ascii="Times New Roman" w:eastAsia="Calibri" w:hAnsi="Times New Roman" w:cs="Calibri"/>
          <w:sz w:val="24"/>
        </w:rPr>
        <w:t xml:space="preserve">tabula AAA </w:t>
      </w:r>
      <w:r w:rsidR="00726522" w:rsidRPr="00A07F29">
        <w:rPr>
          <w:rFonts w:ascii="Times New Roman" w:eastAsia="Calibri" w:hAnsi="Times New Roman" w:cs="Calibri"/>
          <w:sz w:val="24"/>
        </w:rPr>
        <w:t>“</w:t>
      </w:r>
      <w:r w:rsidRPr="00A07F29">
        <w:rPr>
          <w:rFonts w:ascii="Times New Roman" w:eastAsia="Calibri" w:hAnsi="Times New Roman" w:cs="Calibri"/>
          <w:sz w:val="24"/>
        </w:rPr>
        <w:t>Augšdaugava</w:t>
      </w:r>
      <w:r w:rsidR="00726522" w:rsidRPr="00A07F29">
        <w:rPr>
          <w:rFonts w:ascii="Times New Roman" w:eastAsia="Calibri" w:hAnsi="Times New Roman" w:cs="Calibri"/>
          <w:sz w:val="24"/>
        </w:rPr>
        <w:t>”</w:t>
      </w:r>
      <w:r w:rsidRPr="00A07F29">
        <w:rPr>
          <w:rFonts w:ascii="Times New Roman" w:eastAsia="Calibri" w:hAnsi="Times New Roman" w:cs="Calibri"/>
          <w:sz w:val="24"/>
        </w:rPr>
        <w:t xml:space="preserve"> konstatēto sikspārņu sugu uztveršanas koeficienti atklātā ainavā pēc </w:t>
      </w:r>
      <w:proofErr w:type="spellStart"/>
      <w:r w:rsidRPr="00A07F29">
        <w:rPr>
          <w:rFonts w:ascii="Times New Roman" w:eastAsia="Calibri" w:hAnsi="Times New Roman" w:cs="Calibri"/>
          <w:sz w:val="24"/>
        </w:rPr>
        <w:t>Barataud</w:t>
      </w:r>
      <w:proofErr w:type="spellEnd"/>
      <w:r w:rsidR="00392BE6">
        <w:rPr>
          <w:rFonts w:ascii="Times New Roman" w:eastAsia="Calibri" w:hAnsi="Times New Roman" w:cs="Calibri"/>
          <w:sz w:val="24"/>
        </w:rPr>
        <w:t xml:space="preserve"> M.,</w:t>
      </w:r>
      <w:r w:rsidRPr="00A07F29">
        <w:rPr>
          <w:rFonts w:ascii="Times New Roman" w:eastAsia="Calibri" w:hAnsi="Times New Roman" w:cs="Calibri"/>
          <w:sz w:val="24"/>
        </w:rPr>
        <w:t xml:space="preserve"> 2015</w:t>
      </w:r>
      <w:r w:rsidR="00392BE6">
        <w:rPr>
          <w:rFonts w:ascii="Times New Roman" w:eastAsia="Calibri" w:hAnsi="Times New Roman" w:cs="Calibri"/>
          <w:sz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4"/>
        <w:gridCol w:w="2957"/>
        <w:gridCol w:w="2623"/>
      </w:tblGrid>
      <w:tr w:rsidR="009072CE" w:rsidRPr="00A07F29" w14:paraId="5565CD03" w14:textId="77777777" w:rsidTr="004F0CED">
        <w:trPr>
          <w:jc w:val="center"/>
        </w:trPr>
        <w:tc>
          <w:tcPr>
            <w:tcW w:w="0" w:type="auto"/>
            <w:shd w:val="clear" w:color="auto" w:fill="D6E3BC" w:themeFill="accent3" w:themeFillTint="66"/>
          </w:tcPr>
          <w:p w14:paraId="199F60E3" w14:textId="77777777" w:rsidR="009072CE" w:rsidRPr="00A07F29" w:rsidRDefault="009072CE" w:rsidP="00E34453">
            <w:pPr>
              <w:keepNext/>
              <w:spacing w:before="60" w:after="60" w:line="240" w:lineRule="auto"/>
              <w:jc w:val="both"/>
              <w:rPr>
                <w:rFonts w:ascii="Times New Roman" w:eastAsia="Calibri" w:hAnsi="Times New Roman" w:cs="Calibri"/>
                <w:b/>
                <w:sz w:val="24"/>
              </w:rPr>
            </w:pPr>
            <w:r w:rsidRPr="00A07F29">
              <w:rPr>
                <w:rFonts w:ascii="Times New Roman" w:eastAsia="Calibri" w:hAnsi="Times New Roman" w:cs="Calibri"/>
                <w:b/>
                <w:sz w:val="24"/>
              </w:rPr>
              <w:t>Sugas nosaukums latīniski</w:t>
            </w:r>
          </w:p>
        </w:tc>
        <w:tc>
          <w:tcPr>
            <w:tcW w:w="0" w:type="auto"/>
            <w:shd w:val="clear" w:color="auto" w:fill="D6E3BC" w:themeFill="accent3" w:themeFillTint="66"/>
          </w:tcPr>
          <w:p w14:paraId="1254ABE0" w14:textId="77777777" w:rsidR="009072CE" w:rsidRPr="00A07F29" w:rsidRDefault="009072CE" w:rsidP="00E34453">
            <w:pPr>
              <w:keepNext/>
              <w:spacing w:before="60" w:after="60" w:line="240" w:lineRule="auto"/>
              <w:jc w:val="both"/>
              <w:rPr>
                <w:rFonts w:ascii="Times New Roman" w:eastAsia="Calibri" w:hAnsi="Times New Roman" w:cs="Calibri"/>
                <w:b/>
                <w:sz w:val="24"/>
              </w:rPr>
            </w:pPr>
            <w:r w:rsidRPr="00A07F29">
              <w:rPr>
                <w:rFonts w:ascii="Times New Roman" w:eastAsia="Calibri" w:hAnsi="Times New Roman" w:cs="Calibri"/>
                <w:b/>
                <w:sz w:val="24"/>
              </w:rPr>
              <w:t>Sugas nosaukums latviski</w:t>
            </w:r>
          </w:p>
        </w:tc>
        <w:tc>
          <w:tcPr>
            <w:tcW w:w="0" w:type="auto"/>
            <w:shd w:val="clear" w:color="auto" w:fill="D6E3BC" w:themeFill="accent3" w:themeFillTint="66"/>
          </w:tcPr>
          <w:p w14:paraId="555267D2" w14:textId="77777777" w:rsidR="009072CE" w:rsidRPr="00A07F29" w:rsidRDefault="009072CE" w:rsidP="00E34453">
            <w:pPr>
              <w:keepNext/>
              <w:spacing w:before="60" w:after="60" w:line="240" w:lineRule="auto"/>
              <w:jc w:val="both"/>
              <w:rPr>
                <w:rFonts w:ascii="Times New Roman" w:eastAsia="Calibri" w:hAnsi="Times New Roman" w:cs="Calibri"/>
                <w:b/>
                <w:bCs/>
                <w:sz w:val="24"/>
              </w:rPr>
            </w:pPr>
            <w:r w:rsidRPr="00A07F29">
              <w:rPr>
                <w:rFonts w:ascii="Times New Roman" w:eastAsia="Calibri" w:hAnsi="Times New Roman" w:cs="Calibri"/>
                <w:b/>
                <w:bCs/>
                <w:sz w:val="24"/>
              </w:rPr>
              <w:t>Uztveršanas koeficients</w:t>
            </w:r>
          </w:p>
        </w:tc>
      </w:tr>
      <w:tr w:rsidR="009072CE" w:rsidRPr="00A07F29" w14:paraId="114E57DF" w14:textId="77777777" w:rsidTr="004F0CED">
        <w:trPr>
          <w:jc w:val="center"/>
        </w:trPr>
        <w:tc>
          <w:tcPr>
            <w:tcW w:w="0" w:type="auto"/>
            <w:shd w:val="clear" w:color="auto" w:fill="auto"/>
          </w:tcPr>
          <w:p w14:paraId="3D76D13E" w14:textId="77777777" w:rsidR="009072CE" w:rsidRPr="00A07F29" w:rsidRDefault="009072CE" w:rsidP="00E34453">
            <w:pPr>
              <w:spacing w:before="60" w:after="60" w:line="240" w:lineRule="auto"/>
              <w:ind w:left="170"/>
              <w:jc w:val="both"/>
              <w:rPr>
                <w:rFonts w:ascii="Times New Roman" w:eastAsia="Calibri" w:hAnsi="Times New Roman" w:cs="Calibri"/>
                <w:i/>
                <w:sz w:val="24"/>
              </w:rPr>
            </w:pPr>
            <w:proofErr w:type="spellStart"/>
            <w:r w:rsidRPr="00A07F29">
              <w:rPr>
                <w:rFonts w:ascii="Times New Roman" w:eastAsia="Calibri" w:hAnsi="Times New Roman" w:cs="Calibri"/>
                <w:i/>
                <w:sz w:val="24"/>
              </w:rPr>
              <w:t>Pipistrellus</w:t>
            </w:r>
            <w:proofErr w:type="spellEnd"/>
            <w:r w:rsidRPr="00A07F29">
              <w:rPr>
                <w:rFonts w:ascii="Times New Roman" w:eastAsia="Calibri" w:hAnsi="Times New Roman" w:cs="Calibri"/>
                <w:i/>
                <w:sz w:val="24"/>
              </w:rPr>
              <w:t xml:space="preserve"> </w:t>
            </w:r>
            <w:proofErr w:type="spellStart"/>
            <w:r w:rsidRPr="00A07F29">
              <w:rPr>
                <w:rFonts w:ascii="Times New Roman" w:eastAsia="Calibri" w:hAnsi="Times New Roman" w:cs="Calibri"/>
                <w:i/>
                <w:sz w:val="24"/>
              </w:rPr>
              <w:t>nathusii</w:t>
            </w:r>
            <w:proofErr w:type="spellEnd"/>
          </w:p>
        </w:tc>
        <w:tc>
          <w:tcPr>
            <w:tcW w:w="0" w:type="auto"/>
            <w:shd w:val="clear" w:color="auto" w:fill="auto"/>
          </w:tcPr>
          <w:p w14:paraId="1246199C" w14:textId="77777777" w:rsidR="009072CE" w:rsidRPr="00A07F29" w:rsidRDefault="009072CE" w:rsidP="00E34453">
            <w:pPr>
              <w:spacing w:before="60" w:after="60" w:line="240" w:lineRule="auto"/>
              <w:ind w:left="201"/>
              <w:jc w:val="both"/>
              <w:rPr>
                <w:rFonts w:ascii="Times New Roman" w:eastAsia="Calibri" w:hAnsi="Times New Roman" w:cs="Calibri"/>
                <w:sz w:val="24"/>
              </w:rPr>
            </w:pPr>
            <w:proofErr w:type="spellStart"/>
            <w:r w:rsidRPr="00A07F29">
              <w:rPr>
                <w:rFonts w:ascii="Times New Roman" w:eastAsia="Calibri" w:hAnsi="Times New Roman" w:cs="Calibri"/>
                <w:sz w:val="24"/>
              </w:rPr>
              <w:t>Natūza</w:t>
            </w:r>
            <w:proofErr w:type="spellEnd"/>
            <w:r w:rsidRPr="00A07F29">
              <w:rPr>
                <w:rFonts w:ascii="Times New Roman" w:eastAsia="Calibri" w:hAnsi="Times New Roman" w:cs="Calibri"/>
                <w:sz w:val="24"/>
              </w:rPr>
              <w:t xml:space="preserve"> sikspārnis</w:t>
            </w:r>
          </w:p>
        </w:tc>
        <w:tc>
          <w:tcPr>
            <w:tcW w:w="0" w:type="auto"/>
            <w:shd w:val="clear" w:color="auto" w:fill="auto"/>
          </w:tcPr>
          <w:p w14:paraId="2651203C" w14:textId="77777777" w:rsidR="009072CE" w:rsidRPr="00A07F29" w:rsidRDefault="009072CE" w:rsidP="00E34453">
            <w:pPr>
              <w:spacing w:before="60" w:after="60" w:line="240" w:lineRule="auto"/>
              <w:jc w:val="center"/>
              <w:rPr>
                <w:rFonts w:ascii="Times New Roman" w:eastAsia="Calibri" w:hAnsi="Times New Roman" w:cs="Calibri"/>
                <w:sz w:val="24"/>
              </w:rPr>
            </w:pPr>
            <w:r w:rsidRPr="00A07F29">
              <w:rPr>
                <w:rFonts w:ascii="Times New Roman" w:eastAsia="Calibri" w:hAnsi="Times New Roman" w:cs="Calibri"/>
                <w:sz w:val="24"/>
              </w:rPr>
              <w:t>0,83</w:t>
            </w:r>
          </w:p>
        </w:tc>
      </w:tr>
      <w:tr w:rsidR="009072CE" w:rsidRPr="00A07F29" w14:paraId="6701DB51" w14:textId="77777777" w:rsidTr="004F0CED">
        <w:trPr>
          <w:jc w:val="center"/>
        </w:trPr>
        <w:tc>
          <w:tcPr>
            <w:tcW w:w="0" w:type="auto"/>
            <w:shd w:val="clear" w:color="auto" w:fill="auto"/>
          </w:tcPr>
          <w:p w14:paraId="058DB0BA" w14:textId="77777777" w:rsidR="009072CE" w:rsidRPr="00A07F29" w:rsidRDefault="009072CE" w:rsidP="00E34453">
            <w:pPr>
              <w:spacing w:before="60" w:after="60" w:line="240" w:lineRule="auto"/>
              <w:ind w:left="170"/>
              <w:jc w:val="both"/>
              <w:rPr>
                <w:rFonts w:ascii="Times New Roman" w:eastAsia="Calibri" w:hAnsi="Times New Roman" w:cs="Calibri"/>
                <w:i/>
                <w:sz w:val="24"/>
              </w:rPr>
            </w:pPr>
            <w:proofErr w:type="spellStart"/>
            <w:r w:rsidRPr="00A07F29">
              <w:rPr>
                <w:rFonts w:ascii="Times New Roman" w:eastAsia="Calibri" w:hAnsi="Times New Roman" w:cs="Calibri"/>
                <w:i/>
                <w:sz w:val="24"/>
              </w:rPr>
              <w:t>Eptesicus</w:t>
            </w:r>
            <w:proofErr w:type="spellEnd"/>
            <w:r w:rsidRPr="00A07F29">
              <w:rPr>
                <w:rFonts w:ascii="Times New Roman" w:eastAsia="Calibri" w:hAnsi="Times New Roman" w:cs="Calibri"/>
                <w:i/>
                <w:sz w:val="24"/>
              </w:rPr>
              <w:t xml:space="preserve"> </w:t>
            </w:r>
            <w:proofErr w:type="spellStart"/>
            <w:r w:rsidRPr="00A07F29">
              <w:rPr>
                <w:rFonts w:ascii="Times New Roman" w:eastAsia="Calibri" w:hAnsi="Times New Roman" w:cs="Calibri"/>
                <w:i/>
                <w:sz w:val="24"/>
              </w:rPr>
              <w:t>nilssonii</w:t>
            </w:r>
            <w:proofErr w:type="spellEnd"/>
          </w:p>
        </w:tc>
        <w:tc>
          <w:tcPr>
            <w:tcW w:w="0" w:type="auto"/>
            <w:shd w:val="clear" w:color="auto" w:fill="auto"/>
          </w:tcPr>
          <w:p w14:paraId="27C17137" w14:textId="77777777" w:rsidR="009072CE" w:rsidRPr="00A07F29" w:rsidRDefault="009072CE" w:rsidP="00E34453">
            <w:pPr>
              <w:spacing w:before="60" w:after="60" w:line="240" w:lineRule="auto"/>
              <w:ind w:left="201"/>
              <w:jc w:val="both"/>
              <w:rPr>
                <w:rFonts w:ascii="Times New Roman" w:eastAsia="Calibri" w:hAnsi="Times New Roman" w:cs="Calibri"/>
                <w:sz w:val="24"/>
              </w:rPr>
            </w:pPr>
            <w:r w:rsidRPr="00A07F29">
              <w:rPr>
                <w:rFonts w:ascii="Times New Roman" w:eastAsia="Calibri" w:hAnsi="Times New Roman" w:cs="Calibri"/>
                <w:sz w:val="24"/>
              </w:rPr>
              <w:t>Ziemeļu sikspārnis</w:t>
            </w:r>
          </w:p>
        </w:tc>
        <w:tc>
          <w:tcPr>
            <w:tcW w:w="0" w:type="auto"/>
            <w:shd w:val="clear" w:color="auto" w:fill="auto"/>
          </w:tcPr>
          <w:p w14:paraId="432113D0" w14:textId="77777777" w:rsidR="009072CE" w:rsidRPr="00A07F29" w:rsidRDefault="009072CE" w:rsidP="00E34453">
            <w:pPr>
              <w:spacing w:before="60" w:after="60" w:line="240" w:lineRule="auto"/>
              <w:jc w:val="center"/>
              <w:rPr>
                <w:rFonts w:ascii="Times New Roman" w:eastAsia="Calibri" w:hAnsi="Times New Roman" w:cs="Calibri"/>
                <w:sz w:val="24"/>
              </w:rPr>
            </w:pPr>
            <w:r w:rsidRPr="00A07F29">
              <w:rPr>
                <w:rFonts w:ascii="Times New Roman" w:eastAsia="Calibri" w:hAnsi="Times New Roman" w:cs="Calibri"/>
                <w:sz w:val="24"/>
              </w:rPr>
              <w:t>0,5</w:t>
            </w:r>
          </w:p>
        </w:tc>
      </w:tr>
      <w:tr w:rsidR="009072CE" w:rsidRPr="00A07F29" w14:paraId="0023EFA9" w14:textId="77777777" w:rsidTr="004F0CED">
        <w:trPr>
          <w:jc w:val="center"/>
        </w:trPr>
        <w:tc>
          <w:tcPr>
            <w:tcW w:w="0" w:type="auto"/>
            <w:shd w:val="clear" w:color="auto" w:fill="auto"/>
          </w:tcPr>
          <w:p w14:paraId="4D479A93" w14:textId="77777777" w:rsidR="009072CE" w:rsidRPr="00A07F29" w:rsidRDefault="009072CE" w:rsidP="00E34453">
            <w:pPr>
              <w:spacing w:before="60" w:after="60" w:line="240" w:lineRule="auto"/>
              <w:ind w:left="170"/>
              <w:jc w:val="both"/>
              <w:rPr>
                <w:rFonts w:ascii="Times New Roman" w:eastAsia="Calibri" w:hAnsi="Times New Roman" w:cs="Calibri"/>
                <w:i/>
                <w:sz w:val="24"/>
              </w:rPr>
            </w:pPr>
            <w:proofErr w:type="spellStart"/>
            <w:r w:rsidRPr="00A07F29">
              <w:rPr>
                <w:rFonts w:ascii="Times New Roman" w:eastAsia="Calibri" w:hAnsi="Times New Roman" w:cs="Calibri"/>
                <w:i/>
                <w:sz w:val="24"/>
              </w:rPr>
              <w:t>Nyctalus</w:t>
            </w:r>
            <w:proofErr w:type="spellEnd"/>
            <w:r w:rsidRPr="00A07F29">
              <w:rPr>
                <w:rFonts w:ascii="Times New Roman" w:eastAsia="Calibri" w:hAnsi="Times New Roman" w:cs="Calibri"/>
                <w:i/>
                <w:sz w:val="24"/>
              </w:rPr>
              <w:t xml:space="preserve"> </w:t>
            </w:r>
            <w:proofErr w:type="spellStart"/>
            <w:r w:rsidRPr="00A07F29">
              <w:rPr>
                <w:rFonts w:ascii="Times New Roman" w:eastAsia="Calibri" w:hAnsi="Times New Roman" w:cs="Calibri"/>
                <w:i/>
                <w:sz w:val="24"/>
              </w:rPr>
              <w:t>noctula</w:t>
            </w:r>
            <w:proofErr w:type="spellEnd"/>
          </w:p>
        </w:tc>
        <w:tc>
          <w:tcPr>
            <w:tcW w:w="0" w:type="auto"/>
            <w:shd w:val="clear" w:color="auto" w:fill="auto"/>
          </w:tcPr>
          <w:p w14:paraId="4F01E5AC" w14:textId="77777777" w:rsidR="009072CE" w:rsidRPr="00A07F29" w:rsidRDefault="009072CE" w:rsidP="00E34453">
            <w:pPr>
              <w:spacing w:before="60" w:after="60" w:line="240" w:lineRule="auto"/>
              <w:ind w:left="201"/>
              <w:jc w:val="both"/>
              <w:rPr>
                <w:rFonts w:ascii="Times New Roman" w:eastAsia="Calibri" w:hAnsi="Times New Roman" w:cs="Calibri"/>
                <w:sz w:val="24"/>
              </w:rPr>
            </w:pPr>
            <w:r w:rsidRPr="00A07F29">
              <w:rPr>
                <w:rFonts w:ascii="Times New Roman" w:eastAsia="Calibri" w:hAnsi="Times New Roman" w:cs="Calibri"/>
                <w:sz w:val="24"/>
              </w:rPr>
              <w:t xml:space="preserve">Rūsganais </w:t>
            </w:r>
            <w:proofErr w:type="spellStart"/>
            <w:r w:rsidRPr="00A07F29">
              <w:rPr>
                <w:rFonts w:ascii="Times New Roman" w:eastAsia="Calibri" w:hAnsi="Times New Roman" w:cs="Calibri"/>
                <w:sz w:val="24"/>
              </w:rPr>
              <w:t>vakarsikspārnis</w:t>
            </w:r>
            <w:proofErr w:type="spellEnd"/>
          </w:p>
        </w:tc>
        <w:tc>
          <w:tcPr>
            <w:tcW w:w="0" w:type="auto"/>
            <w:shd w:val="clear" w:color="auto" w:fill="auto"/>
          </w:tcPr>
          <w:p w14:paraId="16D4E362" w14:textId="77777777" w:rsidR="009072CE" w:rsidRPr="00A07F29" w:rsidRDefault="009072CE" w:rsidP="00E34453">
            <w:pPr>
              <w:spacing w:before="60" w:after="60" w:line="240" w:lineRule="auto"/>
              <w:jc w:val="center"/>
              <w:rPr>
                <w:rFonts w:ascii="Times New Roman" w:eastAsia="Calibri" w:hAnsi="Times New Roman" w:cs="Calibri"/>
                <w:sz w:val="24"/>
              </w:rPr>
            </w:pPr>
            <w:r w:rsidRPr="00A07F29">
              <w:rPr>
                <w:rFonts w:ascii="Times New Roman" w:eastAsia="Calibri" w:hAnsi="Times New Roman" w:cs="Calibri"/>
                <w:sz w:val="24"/>
              </w:rPr>
              <w:t>0,25</w:t>
            </w:r>
          </w:p>
        </w:tc>
      </w:tr>
      <w:tr w:rsidR="009072CE" w:rsidRPr="00A07F29" w14:paraId="4DF47656" w14:textId="77777777" w:rsidTr="004F0CED">
        <w:trPr>
          <w:jc w:val="center"/>
        </w:trPr>
        <w:tc>
          <w:tcPr>
            <w:tcW w:w="0" w:type="auto"/>
            <w:shd w:val="clear" w:color="auto" w:fill="auto"/>
          </w:tcPr>
          <w:p w14:paraId="7DADDDB0" w14:textId="77777777" w:rsidR="009072CE" w:rsidRPr="00A07F29" w:rsidRDefault="009072CE" w:rsidP="00E34453">
            <w:pPr>
              <w:spacing w:before="60" w:after="60" w:line="240" w:lineRule="auto"/>
              <w:ind w:left="170"/>
              <w:jc w:val="both"/>
              <w:rPr>
                <w:rFonts w:ascii="Times New Roman" w:eastAsia="Calibri" w:hAnsi="Times New Roman" w:cs="Calibri"/>
                <w:i/>
                <w:sz w:val="24"/>
              </w:rPr>
            </w:pPr>
            <w:proofErr w:type="spellStart"/>
            <w:r w:rsidRPr="00A07F29">
              <w:rPr>
                <w:rFonts w:ascii="Times New Roman" w:eastAsia="Calibri" w:hAnsi="Times New Roman" w:cs="Calibri"/>
                <w:i/>
                <w:sz w:val="24"/>
              </w:rPr>
              <w:t>Pipistrellus</w:t>
            </w:r>
            <w:proofErr w:type="spellEnd"/>
            <w:r w:rsidRPr="00A07F29">
              <w:rPr>
                <w:rFonts w:ascii="Times New Roman" w:eastAsia="Calibri" w:hAnsi="Times New Roman" w:cs="Calibri"/>
                <w:i/>
                <w:sz w:val="24"/>
              </w:rPr>
              <w:t xml:space="preserve"> </w:t>
            </w:r>
            <w:proofErr w:type="spellStart"/>
            <w:r w:rsidRPr="00A07F29">
              <w:rPr>
                <w:rFonts w:ascii="Times New Roman" w:eastAsia="Calibri" w:hAnsi="Times New Roman" w:cs="Calibri"/>
                <w:i/>
                <w:sz w:val="24"/>
              </w:rPr>
              <w:t>pygmaeus</w:t>
            </w:r>
            <w:proofErr w:type="spellEnd"/>
          </w:p>
        </w:tc>
        <w:tc>
          <w:tcPr>
            <w:tcW w:w="0" w:type="auto"/>
            <w:shd w:val="clear" w:color="auto" w:fill="auto"/>
          </w:tcPr>
          <w:p w14:paraId="121EAB18" w14:textId="77777777" w:rsidR="009072CE" w:rsidRPr="00A07F29" w:rsidRDefault="009072CE" w:rsidP="00E34453">
            <w:pPr>
              <w:spacing w:before="60" w:after="60" w:line="240" w:lineRule="auto"/>
              <w:ind w:left="201"/>
              <w:jc w:val="both"/>
              <w:rPr>
                <w:rFonts w:ascii="Times New Roman" w:eastAsia="Calibri" w:hAnsi="Times New Roman" w:cs="Calibri"/>
                <w:sz w:val="24"/>
              </w:rPr>
            </w:pPr>
            <w:proofErr w:type="spellStart"/>
            <w:r w:rsidRPr="00A07F29">
              <w:rPr>
                <w:rFonts w:ascii="Times New Roman" w:eastAsia="Calibri" w:hAnsi="Times New Roman" w:cs="Calibri"/>
                <w:sz w:val="24"/>
              </w:rPr>
              <w:t>Pigmejsikspārnis</w:t>
            </w:r>
            <w:proofErr w:type="spellEnd"/>
          </w:p>
        </w:tc>
        <w:tc>
          <w:tcPr>
            <w:tcW w:w="0" w:type="auto"/>
            <w:shd w:val="clear" w:color="auto" w:fill="auto"/>
          </w:tcPr>
          <w:p w14:paraId="3D9666D9" w14:textId="77777777" w:rsidR="009072CE" w:rsidRPr="00A07F29" w:rsidRDefault="009072CE" w:rsidP="00E34453">
            <w:pPr>
              <w:spacing w:before="60" w:after="60" w:line="240" w:lineRule="auto"/>
              <w:jc w:val="center"/>
              <w:rPr>
                <w:rFonts w:ascii="Times New Roman" w:eastAsia="Calibri" w:hAnsi="Times New Roman" w:cs="Calibri"/>
                <w:sz w:val="24"/>
              </w:rPr>
            </w:pPr>
            <w:r w:rsidRPr="00A07F29">
              <w:rPr>
                <w:rFonts w:ascii="Times New Roman" w:eastAsia="Calibri" w:hAnsi="Times New Roman" w:cs="Calibri"/>
                <w:sz w:val="24"/>
              </w:rPr>
              <w:t>1</w:t>
            </w:r>
          </w:p>
        </w:tc>
      </w:tr>
      <w:tr w:rsidR="009072CE" w:rsidRPr="00A07F29" w14:paraId="7F26C1B8" w14:textId="77777777" w:rsidTr="004F0CED">
        <w:trPr>
          <w:jc w:val="center"/>
        </w:trPr>
        <w:tc>
          <w:tcPr>
            <w:tcW w:w="0" w:type="auto"/>
            <w:shd w:val="clear" w:color="auto" w:fill="auto"/>
          </w:tcPr>
          <w:p w14:paraId="366CA379" w14:textId="77777777" w:rsidR="009072CE" w:rsidRPr="00A07F29" w:rsidRDefault="009072CE" w:rsidP="00E34453">
            <w:pPr>
              <w:spacing w:before="60" w:after="60" w:line="240" w:lineRule="auto"/>
              <w:ind w:left="170"/>
              <w:jc w:val="both"/>
              <w:rPr>
                <w:rFonts w:ascii="Times New Roman" w:eastAsia="Calibri" w:hAnsi="Times New Roman" w:cs="Calibri"/>
                <w:i/>
                <w:sz w:val="24"/>
              </w:rPr>
            </w:pPr>
            <w:proofErr w:type="spellStart"/>
            <w:r w:rsidRPr="00A07F29">
              <w:rPr>
                <w:rFonts w:ascii="Times New Roman" w:eastAsia="Calibri" w:hAnsi="Times New Roman" w:cs="Calibri"/>
                <w:i/>
                <w:sz w:val="24"/>
              </w:rPr>
              <w:t>Vespertilio</w:t>
            </w:r>
            <w:proofErr w:type="spellEnd"/>
            <w:r w:rsidRPr="00A07F29">
              <w:rPr>
                <w:rFonts w:ascii="Times New Roman" w:eastAsia="Calibri" w:hAnsi="Times New Roman" w:cs="Calibri"/>
                <w:i/>
                <w:sz w:val="24"/>
              </w:rPr>
              <w:t xml:space="preserve"> </w:t>
            </w:r>
            <w:proofErr w:type="spellStart"/>
            <w:r w:rsidRPr="00A07F29">
              <w:rPr>
                <w:rFonts w:ascii="Times New Roman" w:eastAsia="Calibri" w:hAnsi="Times New Roman" w:cs="Calibri"/>
                <w:i/>
                <w:sz w:val="24"/>
              </w:rPr>
              <w:t>murinus</w:t>
            </w:r>
            <w:proofErr w:type="spellEnd"/>
          </w:p>
        </w:tc>
        <w:tc>
          <w:tcPr>
            <w:tcW w:w="0" w:type="auto"/>
            <w:shd w:val="clear" w:color="auto" w:fill="auto"/>
          </w:tcPr>
          <w:p w14:paraId="00C837D2" w14:textId="77777777" w:rsidR="009072CE" w:rsidRPr="00A07F29" w:rsidRDefault="009072CE" w:rsidP="00E34453">
            <w:pPr>
              <w:spacing w:before="60" w:after="60" w:line="240" w:lineRule="auto"/>
              <w:ind w:left="201"/>
              <w:jc w:val="both"/>
              <w:rPr>
                <w:rFonts w:ascii="Times New Roman" w:eastAsia="Calibri" w:hAnsi="Times New Roman" w:cs="Calibri"/>
                <w:sz w:val="24"/>
              </w:rPr>
            </w:pPr>
            <w:r w:rsidRPr="00A07F29">
              <w:rPr>
                <w:rFonts w:ascii="Times New Roman" w:eastAsia="Calibri" w:hAnsi="Times New Roman" w:cs="Calibri"/>
                <w:sz w:val="24"/>
              </w:rPr>
              <w:t>Divkrāsainais sikspārnis</w:t>
            </w:r>
          </w:p>
        </w:tc>
        <w:tc>
          <w:tcPr>
            <w:tcW w:w="0" w:type="auto"/>
            <w:shd w:val="clear" w:color="auto" w:fill="auto"/>
          </w:tcPr>
          <w:p w14:paraId="1C12251E" w14:textId="77777777" w:rsidR="009072CE" w:rsidRPr="00A07F29" w:rsidRDefault="009072CE" w:rsidP="00E34453">
            <w:pPr>
              <w:spacing w:before="60" w:after="60" w:line="240" w:lineRule="auto"/>
              <w:jc w:val="center"/>
              <w:rPr>
                <w:rFonts w:ascii="Times New Roman" w:eastAsia="Calibri" w:hAnsi="Times New Roman" w:cs="Calibri"/>
                <w:sz w:val="24"/>
              </w:rPr>
            </w:pPr>
            <w:r w:rsidRPr="00A07F29">
              <w:rPr>
                <w:rFonts w:ascii="Times New Roman" w:eastAsia="Calibri" w:hAnsi="Times New Roman" w:cs="Calibri"/>
                <w:sz w:val="24"/>
              </w:rPr>
              <w:t>0,5</w:t>
            </w:r>
          </w:p>
        </w:tc>
      </w:tr>
      <w:tr w:rsidR="009072CE" w:rsidRPr="00A07F29" w14:paraId="72BBBEA0" w14:textId="77777777" w:rsidTr="004F0CED">
        <w:trPr>
          <w:jc w:val="center"/>
        </w:trPr>
        <w:tc>
          <w:tcPr>
            <w:tcW w:w="0" w:type="auto"/>
            <w:shd w:val="clear" w:color="auto" w:fill="auto"/>
          </w:tcPr>
          <w:p w14:paraId="0CE2A2AD" w14:textId="77777777" w:rsidR="009072CE" w:rsidRPr="00A07F29" w:rsidRDefault="009072CE" w:rsidP="00E34453">
            <w:pPr>
              <w:spacing w:before="60" w:after="60" w:line="240" w:lineRule="auto"/>
              <w:ind w:left="170"/>
              <w:jc w:val="both"/>
              <w:rPr>
                <w:rFonts w:ascii="Times New Roman" w:eastAsia="Calibri" w:hAnsi="Times New Roman" w:cs="Calibri"/>
                <w:i/>
                <w:sz w:val="24"/>
              </w:rPr>
            </w:pPr>
            <w:proofErr w:type="spellStart"/>
            <w:r w:rsidRPr="00A07F29">
              <w:rPr>
                <w:rFonts w:ascii="Times New Roman" w:eastAsia="Calibri" w:hAnsi="Times New Roman" w:cs="Calibri"/>
                <w:i/>
                <w:sz w:val="24"/>
              </w:rPr>
              <w:t>Myotis</w:t>
            </w:r>
            <w:proofErr w:type="spellEnd"/>
            <w:r w:rsidRPr="00A07F29">
              <w:rPr>
                <w:rFonts w:ascii="Times New Roman" w:eastAsia="Calibri" w:hAnsi="Times New Roman" w:cs="Calibri"/>
                <w:i/>
                <w:sz w:val="24"/>
              </w:rPr>
              <w:t xml:space="preserve"> </w:t>
            </w:r>
            <w:proofErr w:type="spellStart"/>
            <w:r w:rsidRPr="00A07F29">
              <w:rPr>
                <w:rFonts w:ascii="Times New Roman" w:eastAsia="Calibri" w:hAnsi="Times New Roman" w:cs="Calibri"/>
                <w:i/>
                <w:sz w:val="24"/>
              </w:rPr>
              <w:t>dasycneme</w:t>
            </w:r>
            <w:proofErr w:type="spellEnd"/>
            <w:r w:rsidRPr="00A07F29">
              <w:rPr>
                <w:rFonts w:ascii="Times New Roman" w:eastAsia="Calibri" w:hAnsi="Times New Roman" w:cs="Calibri"/>
                <w:i/>
                <w:sz w:val="24"/>
              </w:rPr>
              <w:t xml:space="preserve"> </w:t>
            </w:r>
          </w:p>
        </w:tc>
        <w:tc>
          <w:tcPr>
            <w:tcW w:w="0" w:type="auto"/>
            <w:shd w:val="clear" w:color="auto" w:fill="auto"/>
          </w:tcPr>
          <w:p w14:paraId="6D87753A" w14:textId="77777777" w:rsidR="009072CE" w:rsidRPr="00A07F29" w:rsidRDefault="009072CE" w:rsidP="00E34453">
            <w:pPr>
              <w:spacing w:before="60" w:after="60" w:line="240" w:lineRule="auto"/>
              <w:ind w:left="201"/>
              <w:jc w:val="both"/>
              <w:rPr>
                <w:rFonts w:ascii="Times New Roman" w:eastAsia="Calibri" w:hAnsi="Times New Roman" w:cs="Calibri"/>
                <w:sz w:val="24"/>
              </w:rPr>
            </w:pPr>
            <w:r w:rsidRPr="00A07F29">
              <w:rPr>
                <w:rFonts w:ascii="Times New Roman" w:eastAsia="Calibri" w:hAnsi="Times New Roman" w:cs="Calibri"/>
                <w:sz w:val="24"/>
              </w:rPr>
              <w:t xml:space="preserve">Dīķu </w:t>
            </w:r>
            <w:proofErr w:type="spellStart"/>
            <w:r w:rsidRPr="00A07F29">
              <w:rPr>
                <w:rFonts w:ascii="Times New Roman" w:eastAsia="Calibri" w:hAnsi="Times New Roman" w:cs="Calibri"/>
                <w:sz w:val="24"/>
              </w:rPr>
              <w:t>naktssikspārnis</w:t>
            </w:r>
            <w:proofErr w:type="spellEnd"/>
          </w:p>
        </w:tc>
        <w:tc>
          <w:tcPr>
            <w:tcW w:w="0" w:type="auto"/>
            <w:shd w:val="clear" w:color="auto" w:fill="auto"/>
          </w:tcPr>
          <w:p w14:paraId="00A91C9F" w14:textId="77777777" w:rsidR="009072CE" w:rsidRPr="00A07F29" w:rsidRDefault="009072CE" w:rsidP="00E34453">
            <w:pPr>
              <w:spacing w:before="60" w:after="60" w:line="240" w:lineRule="auto"/>
              <w:jc w:val="center"/>
              <w:rPr>
                <w:rFonts w:ascii="Times New Roman" w:eastAsia="Calibri" w:hAnsi="Times New Roman" w:cs="Calibri"/>
                <w:sz w:val="24"/>
              </w:rPr>
            </w:pPr>
            <w:r w:rsidRPr="00A07F29">
              <w:rPr>
                <w:rFonts w:ascii="Times New Roman" w:eastAsia="Calibri" w:hAnsi="Times New Roman" w:cs="Calibri"/>
                <w:sz w:val="24"/>
              </w:rPr>
              <w:t>1,7</w:t>
            </w:r>
          </w:p>
        </w:tc>
      </w:tr>
      <w:tr w:rsidR="009072CE" w:rsidRPr="00A07F29" w14:paraId="54AAC1BF" w14:textId="77777777" w:rsidTr="004F0CED">
        <w:trPr>
          <w:jc w:val="center"/>
        </w:trPr>
        <w:tc>
          <w:tcPr>
            <w:tcW w:w="0" w:type="auto"/>
            <w:shd w:val="clear" w:color="auto" w:fill="auto"/>
          </w:tcPr>
          <w:p w14:paraId="278CE92D" w14:textId="77777777" w:rsidR="009072CE" w:rsidRPr="00A07F29" w:rsidRDefault="009072CE" w:rsidP="00E34453">
            <w:pPr>
              <w:spacing w:before="60" w:after="60" w:line="240" w:lineRule="auto"/>
              <w:ind w:left="170"/>
              <w:jc w:val="both"/>
              <w:rPr>
                <w:rFonts w:ascii="Times New Roman" w:eastAsia="Calibri" w:hAnsi="Times New Roman" w:cs="Calibri"/>
                <w:i/>
                <w:sz w:val="24"/>
              </w:rPr>
            </w:pPr>
            <w:proofErr w:type="spellStart"/>
            <w:r w:rsidRPr="00A07F29">
              <w:rPr>
                <w:rFonts w:ascii="Times New Roman" w:eastAsia="Calibri" w:hAnsi="Times New Roman" w:cs="Calibri"/>
                <w:i/>
                <w:sz w:val="24"/>
              </w:rPr>
              <w:t>Myotis</w:t>
            </w:r>
            <w:proofErr w:type="spellEnd"/>
            <w:r w:rsidRPr="00A07F29">
              <w:rPr>
                <w:rFonts w:ascii="Times New Roman" w:eastAsia="Calibri" w:hAnsi="Times New Roman" w:cs="Calibri"/>
                <w:i/>
                <w:sz w:val="24"/>
              </w:rPr>
              <w:t xml:space="preserve"> </w:t>
            </w:r>
            <w:proofErr w:type="spellStart"/>
            <w:r w:rsidRPr="00A07F29">
              <w:rPr>
                <w:rFonts w:ascii="Times New Roman" w:eastAsia="Calibri" w:hAnsi="Times New Roman" w:cs="Calibri"/>
                <w:i/>
                <w:sz w:val="24"/>
              </w:rPr>
              <w:t>daubentonii</w:t>
            </w:r>
            <w:proofErr w:type="spellEnd"/>
          </w:p>
        </w:tc>
        <w:tc>
          <w:tcPr>
            <w:tcW w:w="0" w:type="auto"/>
            <w:shd w:val="clear" w:color="auto" w:fill="auto"/>
          </w:tcPr>
          <w:p w14:paraId="63DA3BB0" w14:textId="77777777" w:rsidR="009072CE" w:rsidRPr="00A07F29" w:rsidRDefault="009072CE" w:rsidP="00E34453">
            <w:pPr>
              <w:spacing w:before="60" w:after="60" w:line="240" w:lineRule="auto"/>
              <w:ind w:left="201"/>
              <w:jc w:val="both"/>
              <w:rPr>
                <w:rFonts w:ascii="Times New Roman" w:eastAsia="Calibri" w:hAnsi="Times New Roman" w:cs="Calibri"/>
                <w:sz w:val="24"/>
              </w:rPr>
            </w:pPr>
            <w:r w:rsidRPr="00A07F29">
              <w:rPr>
                <w:rFonts w:ascii="Times New Roman" w:eastAsia="Calibri" w:hAnsi="Times New Roman" w:cs="Calibri"/>
                <w:sz w:val="24"/>
              </w:rPr>
              <w:t xml:space="preserve">Ūdeņu </w:t>
            </w:r>
            <w:proofErr w:type="spellStart"/>
            <w:r w:rsidRPr="00A07F29">
              <w:rPr>
                <w:rFonts w:ascii="Times New Roman" w:eastAsia="Calibri" w:hAnsi="Times New Roman" w:cs="Calibri"/>
                <w:sz w:val="24"/>
              </w:rPr>
              <w:t>naktssikspārnis</w:t>
            </w:r>
            <w:proofErr w:type="spellEnd"/>
          </w:p>
        </w:tc>
        <w:tc>
          <w:tcPr>
            <w:tcW w:w="0" w:type="auto"/>
            <w:shd w:val="clear" w:color="auto" w:fill="auto"/>
          </w:tcPr>
          <w:p w14:paraId="4630AEB2" w14:textId="77777777" w:rsidR="009072CE" w:rsidRPr="00A07F29" w:rsidRDefault="009072CE" w:rsidP="00E34453">
            <w:pPr>
              <w:spacing w:before="60" w:after="60" w:line="240" w:lineRule="auto"/>
              <w:jc w:val="center"/>
              <w:rPr>
                <w:rFonts w:ascii="Times New Roman" w:eastAsia="Calibri" w:hAnsi="Times New Roman" w:cs="Calibri"/>
                <w:sz w:val="24"/>
              </w:rPr>
            </w:pPr>
            <w:r w:rsidRPr="00A07F29">
              <w:rPr>
                <w:rFonts w:ascii="Times New Roman" w:eastAsia="Calibri" w:hAnsi="Times New Roman" w:cs="Calibri"/>
                <w:sz w:val="24"/>
              </w:rPr>
              <w:t>1,7</w:t>
            </w:r>
          </w:p>
        </w:tc>
      </w:tr>
      <w:tr w:rsidR="009072CE" w:rsidRPr="00A07F29" w14:paraId="2A2AFED8" w14:textId="77777777" w:rsidTr="004F0CED">
        <w:trPr>
          <w:jc w:val="center"/>
        </w:trPr>
        <w:tc>
          <w:tcPr>
            <w:tcW w:w="0" w:type="auto"/>
            <w:shd w:val="clear" w:color="auto" w:fill="auto"/>
          </w:tcPr>
          <w:p w14:paraId="35D7A97C" w14:textId="77777777" w:rsidR="009072CE" w:rsidRPr="00A07F29" w:rsidRDefault="009072CE" w:rsidP="00E34453">
            <w:pPr>
              <w:spacing w:before="60" w:after="60" w:line="240" w:lineRule="auto"/>
              <w:ind w:left="170"/>
              <w:jc w:val="both"/>
              <w:rPr>
                <w:rFonts w:ascii="Times New Roman" w:eastAsia="Calibri" w:hAnsi="Times New Roman" w:cs="Calibri"/>
                <w:i/>
                <w:sz w:val="24"/>
              </w:rPr>
            </w:pPr>
            <w:proofErr w:type="spellStart"/>
            <w:r w:rsidRPr="00A07F29">
              <w:rPr>
                <w:rFonts w:ascii="Times New Roman" w:eastAsia="Calibri" w:hAnsi="Times New Roman" w:cs="Calibri"/>
                <w:i/>
                <w:sz w:val="24"/>
              </w:rPr>
              <w:t>Plecotus</w:t>
            </w:r>
            <w:proofErr w:type="spellEnd"/>
            <w:r w:rsidRPr="00A07F29">
              <w:rPr>
                <w:rFonts w:ascii="Times New Roman" w:eastAsia="Calibri" w:hAnsi="Times New Roman" w:cs="Calibri"/>
                <w:i/>
                <w:sz w:val="24"/>
              </w:rPr>
              <w:t xml:space="preserve"> </w:t>
            </w:r>
            <w:proofErr w:type="spellStart"/>
            <w:r w:rsidRPr="00A07F29">
              <w:rPr>
                <w:rFonts w:ascii="Times New Roman" w:eastAsia="Calibri" w:hAnsi="Times New Roman" w:cs="Calibri"/>
                <w:i/>
                <w:sz w:val="24"/>
              </w:rPr>
              <w:t>auritus</w:t>
            </w:r>
            <w:proofErr w:type="spellEnd"/>
          </w:p>
        </w:tc>
        <w:tc>
          <w:tcPr>
            <w:tcW w:w="0" w:type="auto"/>
            <w:shd w:val="clear" w:color="auto" w:fill="auto"/>
          </w:tcPr>
          <w:p w14:paraId="2D8DBF82" w14:textId="77777777" w:rsidR="009072CE" w:rsidRPr="00A07F29" w:rsidRDefault="009072CE" w:rsidP="00E34453">
            <w:pPr>
              <w:spacing w:before="60" w:after="60" w:line="240" w:lineRule="auto"/>
              <w:ind w:left="201"/>
              <w:jc w:val="both"/>
              <w:rPr>
                <w:rFonts w:ascii="Times New Roman" w:eastAsia="Calibri" w:hAnsi="Times New Roman" w:cs="Calibri"/>
                <w:sz w:val="24"/>
              </w:rPr>
            </w:pPr>
            <w:r w:rsidRPr="00A07F29">
              <w:rPr>
                <w:rFonts w:ascii="Times New Roman" w:eastAsia="Calibri" w:hAnsi="Times New Roman" w:cs="Calibri"/>
                <w:sz w:val="24"/>
              </w:rPr>
              <w:t xml:space="preserve">Brūnais </w:t>
            </w:r>
            <w:proofErr w:type="spellStart"/>
            <w:r w:rsidRPr="00A07F29">
              <w:rPr>
                <w:rFonts w:ascii="Times New Roman" w:eastAsia="Calibri" w:hAnsi="Times New Roman" w:cs="Calibri"/>
                <w:sz w:val="24"/>
              </w:rPr>
              <w:t>garausainis</w:t>
            </w:r>
            <w:proofErr w:type="spellEnd"/>
          </w:p>
        </w:tc>
        <w:tc>
          <w:tcPr>
            <w:tcW w:w="0" w:type="auto"/>
            <w:shd w:val="clear" w:color="auto" w:fill="auto"/>
          </w:tcPr>
          <w:p w14:paraId="31F8A051" w14:textId="77777777" w:rsidR="009072CE" w:rsidRPr="00A07F29" w:rsidRDefault="009072CE" w:rsidP="00E34453">
            <w:pPr>
              <w:spacing w:before="60" w:after="60" w:line="240" w:lineRule="auto"/>
              <w:jc w:val="center"/>
              <w:rPr>
                <w:rFonts w:ascii="Times New Roman" w:eastAsia="Calibri" w:hAnsi="Times New Roman" w:cs="Calibri"/>
                <w:sz w:val="24"/>
              </w:rPr>
            </w:pPr>
            <w:r w:rsidRPr="00A07F29">
              <w:rPr>
                <w:rFonts w:ascii="Times New Roman" w:eastAsia="Calibri" w:hAnsi="Times New Roman" w:cs="Calibri"/>
                <w:sz w:val="24"/>
              </w:rPr>
              <w:t>5</w:t>
            </w:r>
          </w:p>
        </w:tc>
      </w:tr>
      <w:tr w:rsidR="009072CE" w:rsidRPr="00A07F29" w14:paraId="0DB7FF68" w14:textId="77777777" w:rsidTr="004F0CED">
        <w:trPr>
          <w:jc w:val="center"/>
        </w:trPr>
        <w:tc>
          <w:tcPr>
            <w:tcW w:w="0" w:type="auto"/>
            <w:shd w:val="clear" w:color="auto" w:fill="auto"/>
          </w:tcPr>
          <w:p w14:paraId="4E7F7FE1" w14:textId="77777777" w:rsidR="009072CE" w:rsidRPr="00A07F29" w:rsidRDefault="009072CE" w:rsidP="00E34453">
            <w:pPr>
              <w:spacing w:before="60" w:after="60" w:line="240" w:lineRule="auto"/>
              <w:ind w:left="170"/>
              <w:jc w:val="both"/>
              <w:rPr>
                <w:rFonts w:ascii="Times New Roman" w:eastAsia="Calibri" w:hAnsi="Times New Roman" w:cs="Calibri"/>
                <w:i/>
                <w:sz w:val="24"/>
              </w:rPr>
            </w:pPr>
            <w:proofErr w:type="spellStart"/>
            <w:r w:rsidRPr="00A07F29">
              <w:rPr>
                <w:rFonts w:ascii="Times New Roman" w:eastAsia="Calibri" w:hAnsi="Times New Roman" w:cs="Calibri"/>
                <w:i/>
                <w:sz w:val="24"/>
              </w:rPr>
              <w:t>Pipistrellus</w:t>
            </w:r>
            <w:proofErr w:type="spellEnd"/>
            <w:r w:rsidRPr="00A07F29">
              <w:rPr>
                <w:rFonts w:ascii="Times New Roman" w:eastAsia="Calibri" w:hAnsi="Times New Roman" w:cs="Calibri"/>
                <w:i/>
                <w:sz w:val="24"/>
              </w:rPr>
              <w:t xml:space="preserve"> </w:t>
            </w:r>
            <w:proofErr w:type="spellStart"/>
            <w:r w:rsidRPr="00A07F29">
              <w:rPr>
                <w:rFonts w:ascii="Times New Roman" w:eastAsia="Calibri" w:hAnsi="Times New Roman" w:cs="Calibri"/>
                <w:i/>
                <w:sz w:val="24"/>
              </w:rPr>
              <w:t>pipistrellus</w:t>
            </w:r>
            <w:proofErr w:type="spellEnd"/>
          </w:p>
        </w:tc>
        <w:tc>
          <w:tcPr>
            <w:tcW w:w="0" w:type="auto"/>
            <w:shd w:val="clear" w:color="auto" w:fill="auto"/>
          </w:tcPr>
          <w:p w14:paraId="0C59CBA9" w14:textId="77777777" w:rsidR="009072CE" w:rsidRPr="00A07F29" w:rsidRDefault="009072CE" w:rsidP="00E34453">
            <w:pPr>
              <w:spacing w:before="60" w:after="60" w:line="240" w:lineRule="auto"/>
              <w:ind w:left="201"/>
              <w:jc w:val="both"/>
              <w:rPr>
                <w:rFonts w:ascii="Times New Roman" w:eastAsia="Calibri" w:hAnsi="Times New Roman" w:cs="Calibri"/>
                <w:sz w:val="24"/>
              </w:rPr>
            </w:pPr>
            <w:proofErr w:type="spellStart"/>
            <w:r w:rsidRPr="00A07F29">
              <w:rPr>
                <w:rFonts w:ascii="Times New Roman" w:eastAsia="Calibri" w:hAnsi="Times New Roman" w:cs="Calibri"/>
                <w:sz w:val="24"/>
              </w:rPr>
              <w:t>Pundursikspārnis</w:t>
            </w:r>
            <w:proofErr w:type="spellEnd"/>
          </w:p>
        </w:tc>
        <w:tc>
          <w:tcPr>
            <w:tcW w:w="0" w:type="auto"/>
            <w:shd w:val="clear" w:color="auto" w:fill="auto"/>
          </w:tcPr>
          <w:p w14:paraId="6BE6BB9A" w14:textId="77777777" w:rsidR="009072CE" w:rsidRPr="00A07F29" w:rsidRDefault="009072CE" w:rsidP="00E34453">
            <w:pPr>
              <w:spacing w:before="60" w:after="60" w:line="240" w:lineRule="auto"/>
              <w:jc w:val="center"/>
              <w:rPr>
                <w:rFonts w:ascii="Times New Roman" w:eastAsia="Calibri" w:hAnsi="Times New Roman" w:cs="Calibri"/>
                <w:sz w:val="24"/>
              </w:rPr>
            </w:pPr>
            <w:r w:rsidRPr="00A07F29">
              <w:rPr>
                <w:rFonts w:ascii="Times New Roman" w:eastAsia="Calibri" w:hAnsi="Times New Roman" w:cs="Calibri"/>
                <w:sz w:val="24"/>
              </w:rPr>
              <w:t>0,83</w:t>
            </w:r>
          </w:p>
        </w:tc>
      </w:tr>
    </w:tbl>
    <w:p w14:paraId="66CDE104" w14:textId="0C7B5E9F" w:rsidR="009072CE" w:rsidRPr="00A07F29" w:rsidRDefault="009072CE" w:rsidP="00E34453">
      <w:pPr>
        <w:spacing w:after="120" w:line="240" w:lineRule="auto"/>
        <w:ind w:firstLine="851"/>
        <w:jc w:val="both"/>
        <w:rPr>
          <w:rFonts w:ascii="Times New Roman" w:eastAsia="Calibri" w:hAnsi="Times New Roman" w:cs="Calibri"/>
          <w:sz w:val="24"/>
        </w:rPr>
      </w:pPr>
    </w:p>
    <w:p w14:paraId="033E450D" w14:textId="333C1C1F" w:rsidR="009072CE" w:rsidRPr="00A07F29" w:rsidRDefault="009072CE" w:rsidP="00E34453">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Automātiskie detektori tika mērķtiecīgi izvietoti dažādos biotopos. Vietu izvēlē viens no mērķiem bija iegūt datus par sugu sastopamību AAA </w:t>
      </w:r>
      <w:r w:rsidR="00673B43" w:rsidRPr="00A07F29">
        <w:rPr>
          <w:rFonts w:ascii="Times New Roman" w:eastAsia="Calibri" w:hAnsi="Times New Roman" w:cs="Calibri"/>
          <w:sz w:val="24"/>
        </w:rPr>
        <w:t xml:space="preserve">“Augšdaugava” </w:t>
      </w:r>
      <w:r w:rsidRPr="00A07F29">
        <w:rPr>
          <w:rFonts w:ascii="Times New Roman" w:eastAsia="Calibri" w:hAnsi="Times New Roman" w:cs="Calibri"/>
          <w:sz w:val="24"/>
        </w:rPr>
        <w:t>teritorijā (sugu inventarizācija). Tādējādi mērķtiecīgi tika izvēlētas sikspārņiem piemērotākas vietas pēc pieredzes citās teritorijā</w:t>
      </w:r>
      <w:r w:rsidR="009919C5">
        <w:rPr>
          <w:rFonts w:ascii="Times New Roman" w:eastAsia="Calibri" w:hAnsi="Times New Roman" w:cs="Calibri"/>
          <w:sz w:val="24"/>
        </w:rPr>
        <w:t>s</w:t>
      </w:r>
      <w:r w:rsidRPr="00A07F29">
        <w:rPr>
          <w:rFonts w:ascii="Times New Roman" w:eastAsia="Calibri" w:hAnsi="Times New Roman" w:cs="Calibri"/>
          <w:sz w:val="24"/>
        </w:rPr>
        <w:t xml:space="preserve">, piemēram, ezeru krasti, uzskaite virs Daugavas. Otrs mērķis bija novērtēt sikspārņu sadalījumu AAA </w:t>
      </w:r>
      <w:r w:rsidR="00673B43" w:rsidRPr="00A07F29">
        <w:rPr>
          <w:rFonts w:ascii="Times New Roman" w:eastAsia="Calibri" w:hAnsi="Times New Roman" w:cs="Calibri"/>
          <w:sz w:val="24"/>
        </w:rPr>
        <w:t xml:space="preserve">“Augšdaugava” </w:t>
      </w:r>
      <w:r w:rsidRPr="00A07F29">
        <w:rPr>
          <w:rFonts w:ascii="Times New Roman" w:eastAsia="Calibri" w:hAnsi="Times New Roman" w:cs="Calibri"/>
          <w:sz w:val="24"/>
        </w:rPr>
        <w:t>ainavās nakts laikā jeb noskaidrot kād</w:t>
      </w:r>
      <w:r w:rsidR="00F4601D">
        <w:rPr>
          <w:rFonts w:ascii="Times New Roman" w:eastAsia="Calibri" w:hAnsi="Times New Roman" w:cs="Calibri"/>
          <w:sz w:val="24"/>
        </w:rPr>
        <w:t>a</w:t>
      </w:r>
      <w:r w:rsidRPr="00A07F29">
        <w:rPr>
          <w:rFonts w:ascii="Times New Roman" w:eastAsia="Calibri" w:hAnsi="Times New Roman" w:cs="Calibri"/>
          <w:sz w:val="24"/>
        </w:rPr>
        <w:t xml:space="preserve"> nozīme ir dažādiem biotopiem sikspārņu barošanās vietu izvēlē. Tāpēc pētījumā tika iekļauti arī biotopi, kuros sugu daudzveidība un sikspārņu aktivitāte bija sagaidāma mazāka, piemēram, pļavas. Pavisam dati tika ievākti no 45 stacionāri novietotu automātisko detektoru vietām un diviem ar piepūšamo laivu nobrauktiem maršrutiem pa Daugavu. Šajā pētījumā izdalījām 10 sikspārņu biotopu klases (</w:t>
      </w:r>
      <w:r w:rsidR="00D61FA4">
        <w:rPr>
          <w:rFonts w:ascii="Times New Roman" w:eastAsia="Calibri" w:hAnsi="Times New Roman" w:cs="Calibri"/>
          <w:sz w:val="24"/>
        </w:rPr>
        <w:t xml:space="preserve">skat. </w:t>
      </w:r>
      <w:r w:rsidRPr="00A07F29">
        <w:rPr>
          <w:rFonts w:ascii="Times New Roman" w:eastAsia="Calibri" w:hAnsi="Times New Roman" w:cs="Calibri"/>
          <w:sz w:val="24"/>
        </w:rPr>
        <w:t>4.</w:t>
      </w:r>
      <w:r w:rsidR="00673B43" w:rsidRPr="00A07F29">
        <w:rPr>
          <w:rFonts w:ascii="Times New Roman" w:eastAsia="Calibri" w:hAnsi="Times New Roman" w:cs="Calibri"/>
          <w:sz w:val="24"/>
        </w:rPr>
        <w:t>11</w:t>
      </w:r>
      <w:r w:rsidRPr="00A07F29">
        <w:rPr>
          <w:rFonts w:ascii="Times New Roman" w:eastAsia="Calibri" w:hAnsi="Times New Roman" w:cs="Calibri"/>
          <w:sz w:val="24"/>
        </w:rPr>
        <w:t>.2.</w:t>
      </w:r>
      <w:r w:rsidR="00D61FA4">
        <w:rPr>
          <w:rFonts w:ascii="Times New Roman" w:eastAsia="Calibri" w:hAnsi="Times New Roman" w:cs="Calibri"/>
          <w:sz w:val="24"/>
        </w:rPr>
        <w:t> </w:t>
      </w:r>
      <w:r w:rsidRPr="00A07F29">
        <w:rPr>
          <w:rFonts w:ascii="Times New Roman" w:eastAsia="Calibri" w:hAnsi="Times New Roman" w:cs="Calibri"/>
          <w:sz w:val="24"/>
        </w:rPr>
        <w:t>tabula).</w:t>
      </w:r>
    </w:p>
    <w:p w14:paraId="6936441E" w14:textId="39F8D8A8" w:rsidR="00786008" w:rsidRPr="00A07F29" w:rsidRDefault="00786008" w:rsidP="00786008">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Uzskaites ar manuālo detektoru D-1000X tika veiktas iepriekš izvēlētos maršrutos, caur braucošas automašīnas logu, braucot ar ātrumu 20</w:t>
      </w:r>
      <w:r w:rsidR="00CC3E85">
        <w:rPr>
          <w:rFonts w:ascii="Times New Roman" w:eastAsia="Calibri" w:hAnsi="Times New Roman" w:cs="Calibri"/>
          <w:sz w:val="24"/>
        </w:rPr>
        <w:t> – </w:t>
      </w:r>
      <w:r w:rsidRPr="00A07F29">
        <w:rPr>
          <w:rFonts w:ascii="Times New Roman" w:eastAsia="Calibri" w:hAnsi="Times New Roman" w:cs="Calibri"/>
          <w:sz w:val="24"/>
        </w:rPr>
        <w:t>30</w:t>
      </w:r>
      <w:r w:rsidR="00CC3E85">
        <w:rPr>
          <w:rFonts w:ascii="Times New Roman" w:eastAsia="Calibri" w:hAnsi="Times New Roman" w:cs="Calibri"/>
          <w:sz w:val="24"/>
        </w:rPr>
        <w:t> </w:t>
      </w:r>
      <w:r w:rsidRPr="00A07F29">
        <w:rPr>
          <w:rFonts w:ascii="Times New Roman" w:eastAsia="Calibri" w:hAnsi="Times New Roman" w:cs="Calibri"/>
          <w:sz w:val="24"/>
        </w:rPr>
        <w:t xml:space="preserve">km/stundā. Pavisam tika veikti četri </w:t>
      </w:r>
      <w:proofErr w:type="spellStart"/>
      <w:r w:rsidRPr="00A07F29">
        <w:rPr>
          <w:rFonts w:ascii="Times New Roman" w:eastAsia="Calibri" w:hAnsi="Times New Roman" w:cs="Calibri"/>
          <w:sz w:val="24"/>
        </w:rPr>
        <w:t>automaršruti</w:t>
      </w:r>
      <w:proofErr w:type="spellEnd"/>
      <w:r w:rsidRPr="00A07F29">
        <w:rPr>
          <w:rFonts w:ascii="Times New Roman" w:eastAsia="Calibri" w:hAnsi="Times New Roman" w:cs="Calibri"/>
          <w:sz w:val="24"/>
        </w:rPr>
        <w:t xml:space="preserve"> 17./18., 18./19., 19./20. un 22./23.</w:t>
      </w:r>
      <w:r w:rsidR="00CC3E85">
        <w:rPr>
          <w:rFonts w:ascii="Times New Roman" w:eastAsia="Calibri" w:hAnsi="Times New Roman" w:cs="Calibri"/>
          <w:sz w:val="24"/>
        </w:rPr>
        <w:t> </w:t>
      </w:r>
      <w:r w:rsidRPr="00A07F29">
        <w:rPr>
          <w:rFonts w:ascii="Times New Roman" w:eastAsia="Calibri" w:hAnsi="Times New Roman" w:cs="Calibri"/>
          <w:sz w:val="24"/>
        </w:rPr>
        <w:t>jūlija naktīs</w:t>
      </w:r>
      <w:r w:rsidR="00CC3E85">
        <w:rPr>
          <w:rFonts w:ascii="Times New Roman" w:eastAsia="Calibri" w:hAnsi="Times New Roman" w:cs="Calibri"/>
          <w:sz w:val="24"/>
        </w:rPr>
        <w:t>.</w:t>
      </w:r>
      <w:r w:rsidRPr="00A07F29">
        <w:rPr>
          <w:rFonts w:ascii="Times New Roman" w:eastAsia="Calibri" w:hAnsi="Times New Roman" w:cs="Calibri"/>
          <w:sz w:val="24"/>
        </w:rPr>
        <w:t xml:space="preserve"> Sikspārņiem īpaši nozīmīgas barošanās vietas, kā ezeri, dīķi, parki un apdzīvotas vietas, tika apsekotas kājām.</w:t>
      </w:r>
    </w:p>
    <w:p w14:paraId="61E02DA1" w14:textId="036BEF0F" w:rsidR="00786008" w:rsidRPr="00A07F29" w:rsidRDefault="00786008" w:rsidP="00786008">
      <w:pPr>
        <w:spacing w:after="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lastRenderedPageBreak/>
        <w:t>20./21. un 21./22.</w:t>
      </w:r>
      <w:r w:rsidR="00F334CA">
        <w:rPr>
          <w:rFonts w:ascii="Times New Roman" w:eastAsia="Calibri" w:hAnsi="Times New Roman" w:cs="Calibri"/>
          <w:sz w:val="24"/>
        </w:rPr>
        <w:t> </w:t>
      </w:r>
      <w:r w:rsidRPr="00A07F29">
        <w:rPr>
          <w:rFonts w:ascii="Times New Roman" w:eastAsia="Calibri" w:hAnsi="Times New Roman" w:cs="Calibri"/>
          <w:sz w:val="24"/>
        </w:rPr>
        <w:t xml:space="preserve">jūlija naktī tika nobraukti divi maršruti pa Daugavu ar piepūšamo laivu. Pirmais no tiem </w:t>
      </w:r>
      <w:r w:rsidR="00F334CA">
        <w:rPr>
          <w:rFonts w:ascii="Times New Roman" w:eastAsia="Calibri" w:hAnsi="Times New Roman" w:cs="Calibri"/>
          <w:sz w:val="24"/>
        </w:rPr>
        <w:t>–</w:t>
      </w:r>
      <w:r w:rsidRPr="00A07F29">
        <w:rPr>
          <w:rFonts w:ascii="Times New Roman" w:eastAsia="Calibri" w:hAnsi="Times New Roman" w:cs="Calibri"/>
          <w:sz w:val="24"/>
        </w:rPr>
        <w:t xml:space="preserve"> 8,2</w:t>
      </w:r>
      <w:r w:rsidR="00F334CA">
        <w:rPr>
          <w:rFonts w:ascii="Times New Roman" w:eastAsia="Calibri" w:hAnsi="Times New Roman" w:cs="Calibri"/>
          <w:sz w:val="24"/>
        </w:rPr>
        <w:t> </w:t>
      </w:r>
      <w:r w:rsidRPr="00A07F29">
        <w:rPr>
          <w:rFonts w:ascii="Times New Roman" w:eastAsia="Calibri" w:hAnsi="Times New Roman" w:cs="Calibri"/>
          <w:sz w:val="24"/>
        </w:rPr>
        <w:t xml:space="preserve">km garumā no </w:t>
      </w:r>
      <w:proofErr w:type="spellStart"/>
      <w:r w:rsidRPr="00A07F29">
        <w:rPr>
          <w:rFonts w:ascii="Times New Roman" w:eastAsia="Calibri" w:hAnsi="Times New Roman" w:cs="Calibri"/>
          <w:sz w:val="24"/>
        </w:rPr>
        <w:t>Indricas</w:t>
      </w:r>
      <w:proofErr w:type="spellEnd"/>
      <w:r w:rsidRPr="00A07F29">
        <w:rPr>
          <w:rFonts w:ascii="Times New Roman" w:eastAsia="Calibri" w:hAnsi="Times New Roman" w:cs="Calibri"/>
          <w:sz w:val="24"/>
        </w:rPr>
        <w:t xml:space="preserve"> katoļu baznīcas apkārtnes līdz </w:t>
      </w:r>
      <w:proofErr w:type="spellStart"/>
      <w:r w:rsidRPr="00A07F29">
        <w:rPr>
          <w:rFonts w:ascii="Times New Roman" w:eastAsia="Calibri" w:hAnsi="Times New Roman" w:cs="Calibri"/>
          <w:sz w:val="24"/>
        </w:rPr>
        <w:t>Naudīšiem</w:t>
      </w:r>
      <w:proofErr w:type="spellEnd"/>
      <w:r w:rsidRPr="00A07F29">
        <w:rPr>
          <w:rFonts w:ascii="Times New Roman" w:eastAsia="Calibri" w:hAnsi="Times New Roman" w:cs="Calibri"/>
          <w:sz w:val="24"/>
        </w:rPr>
        <w:t xml:space="preserve"> pie Krāslavas, otrais 10,1</w:t>
      </w:r>
      <w:r w:rsidR="00F334CA">
        <w:rPr>
          <w:rFonts w:ascii="Times New Roman" w:eastAsia="Calibri" w:hAnsi="Times New Roman" w:cs="Calibri"/>
          <w:sz w:val="24"/>
        </w:rPr>
        <w:t> </w:t>
      </w:r>
      <w:r w:rsidRPr="00A07F29">
        <w:rPr>
          <w:rFonts w:ascii="Times New Roman" w:eastAsia="Calibri" w:hAnsi="Times New Roman" w:cs="Calibri"/>
          <w:sz w:val="24"/>
        </w:rPr>
        <w:t xml:space="preserve">km garumā </w:t>
      </w:r>
      <w:r w:rsidR="00F334CA">
        <w:rPr>
          <w:rFonts w:ascii="Times New Roman" w:eastAsia="Calibri" w:hAnsi="Times New Roman" w:cs="Calibri"/>
          <w:sz w:val="24"/>
        </w:rPr>
        <w:t>–</w:t>
      </w:r>
      <w:r w:rsidRPr="00A07F29">
        <w:rPr>
          <w:rFonts w:ascii="Times New Roman" w:eastAsia="Calibri" w:hAnsi="Times New Roman" w:cs="Calibri"/>
          <w:sz w:val="24"/>
        </w:rPr>
        <w:t xml:space="preserve"> no laivu piestātnes pie mājām Jāņu sēta lejpus Krāslavai pa Zvejnieku un </w:t>
      </w:r>
      <w:proofErr w:type="spellStart"/>
      <w:r w:rsidRPr="00A07F29">
        <w:rPr>
          <w:rFonts w:ascii="Times New Roman" w:eastAsia="Calibri" w:hAnsi="Times New Roman" w:cs="Calibri"/>
          <w:sz w:val="24"/>
        </w:rPr>
        <w:t>Rudnas</w:t>
      </w:r>
      <w:proofErr w:type="spellEnd"/>
      <w:r w:rsidRPr="00A07F29">
        <w:rPr>
          <w:rFonts w:ascii="Times New Roman" w:eastAsia="Calibri" w:hAnsi="Times New Roman" w:cs="Calibri"/>
          <w:sz w:val="24"/>
        </w:rPr>
        <w:t xml:space="preserve"> lokiem līdz Pakalnu mājām. Maršruti uzsākti </w:t>
      </w:r>
      <w:r w:rsidR="0024251E">
        <w:rPr>
          <w:rFonts w:ascii="Times New Roman" w:eastAsia="Calibri" w:hAnsi="Times New Roman" w:cs="Calibri"/>
          <w:sz w:val="24"/>
        </w:rPr>
        <w:t>vienu</w:t>
      </w:r>
      <w:r w:rsidRPr="00A07F29">
        <w:rPr>
          <w:rFonts w:ascii="Times New Roman" w:eastAsia="Calibri" w:hAnsi="Times New Roman" w:cs="Calibri"/>
          <w:sz w:val="24"/>
        </w:rPr>
        <w:t xml:space="preserve"> stundu un 15 minūtes (pirmais posms) un </w:t>
      </w:r>
      <w:r w:rsidR="0024251E">
        <w:rPr>
          <w:rFonts w:ascii="Times New Roman" w:eastAsia="Calibri" w:hAnsi="Times New Roman" w:cs="Calibri"/>
          <w:sz w:val="24"/>
        </w:rPr>
        <w:t>vienu</w:t>
      </w:r>
      <w:r w:rsidRPr="00A07F29">
        <w:rPr>
          <w:rFonts w:ascii="Times New Roman" w:eastAsia="Calibri" w:hAnsi="Times New Roman" w:cs="Calibri"/>
          <w:sz w:val="24"/>
        </w:rPr>
        <w:t xml:space="preserve"> stundu </w:t>
      </w:r>
      <w:r w:rsidR="0024251E">
        <w:rPr>
          <w:rFonts w:ascii="Times New Roman" w:eastAsia="Calibri" w:hAnsi="Times New Roman" w:cs="Calibri"/>
          <w:sz w:val="24"/>
        </w:rPr>
        <w:t>un piecas</w:t>
      </w:r>
      <w:r w:rsidRPr="00A07F29">
        <w:rPr>
          <w:rFonts w:ascii="Times New Roman" w:eastAsia="Calibri" w:hAnsi="Times New Roman" w:cs="Calibri"/>
          <w:sz w:val="24"/>
        </w:rPr>
        <w:t xml:space="preserve"> minūtes (otrais posms) pēc saulrieta jeb attiecīgi 22:55 un 22:45 un tie tika nobraukti identiskā laikā – </w:t>
      </w:r>
      <w:r w:rsidR="00885FF9">
        <w:rPr>
          <w:rFonts w:ascii="Times New Roman" w:eastAsia="Calibri" w:hAnsi="Times New Roman" w:cs="Calibri"/>
          <w:sz w:val="24"/>
        </w:rPr>
        <w:t>divās</w:t>
      </w:r>
      <w:r w:rsidRPr="00A07F29">
        <w:rPr>
          <w:rFonts w:ascii="Times New Roman" w:eastAsia="Calibri" w:hAnsi="Times New Roman" w:cs="Calibri"/>
          <w:sz w:val="24"/>
        </w:rPr>
        <w:t xml:space="preserve"> stundās un 55 minūtēs. Sikspārņu pārlidojumi tika reģistrēti ar D-500X detektoru, kas bija novietots laivas priekšgalā un darbojās tādā pašā režīmā kā stacionāri novietotie detektori sauszemes stacijās.</w:t>
      </w:r>
    </w:p>
    <w:p w14:paraId="7E7D8D7F" w14:textId="77777777" w:rsidR="00786008" w:rsidRPr="00A07F29" w:rsidRDefault="00786008" w:rsidP="00786008">
      <w:pPr>
        <w:spacing w:after="0" w:line="240" w:lineRule="auto"/>
        <w:ind w:firstLine="851"/>
        <w:jc w:val="both"/>
        <w:rPr>
          <w:rFonts w:ascii="Times New Roman" w:eastAsia="Calibri" w:hAnsi="Times New Roman" w:cs="Calibri"/>
          <w:sz w:val="24"/>
        </w:rPr>
      </w:pPr>
    </w:p>
    <w:p w14:paraId="06EBBB19" w14:textId="5737ACB8" w:rsidR="009072CE" w:rsidRPr="00A07F29" w:rsidRDefault="009072CE" w:rsidP="00E34453">
      <w:pPr>
        <w:spacing w:after="120" w:line="240" w:lineRule="auto"/>
        <w:jc w:val="center"/>
        <w:rPr>
          <w:rFonts w:ascii="Times New Roman" w:eastAsia="Calibri" w:hAnsi="Times New Roman" w:cs="Calibri"/>
          <w:sz w:val="24"/>
        </w:rPr>
      </w:pPr>
      <w:r w:rsidRPr="00A07F29">
        <w:rPr>
          <w:rFonts w:ascii="Times New Roman" w:eastAsia="Calibri" w:hAnsi="Times New Roman" w:cs="Calibri"/>
          <w:sz w:val="24"/>
        </w:rPr>
        <w:t>4.</w:t>
      </w:r>
      <w:r w:rsidR="00FB7C40" w:rsidRPr="00A07F29">
        <w:rPr>
          <w:rFonts w:ascii="Times New Roman" w:eastAsia="Calibri" w:hAnsi="Times New Roman" w:cs="Calibri"/>
          <w:sz w:val="24"/>
        </w:rPr>
        <w:t>11</w:t>
      </w:r>
      <w:r w:rsidRPr="00A07F29">
        <w:rPr>
          <w:rFonts w:ascii="Times New Roman" w:eastAsia="Calibri" w:hAnsi="Times New Roman" w:cs="Calibri"/>
          <w:sz w:val="24"/>
        </w:rPr>
        <w:t>.2.</w:t>
      </w:r>
      <w:r w:rsidR="00885FF9">
        <w:rPr>
          <w:rFonts w:ascii="Times New Roman" w:eastAsia="Calibri" w:hAnsi="Times New Roman" w:cs="Calibri"/>
          <w:sz w:val="24"/>
        </w:rPr>
        <w:t> </w:t>
      </w:r>
      <w:r w:rsidRPr="00A07F29">
        <w:rPr>
          <w:rFonts w:ascii="Times New Roman" w:eastAsia="Calibri" w:hAnsi="Times New Roman" w:cs="Calibri"/>
          <w:sz w:val="24"/>
        </w:rPr>
        <w:t>tabula. Automātisko detektoru D-500X izlikšanas vietu skaita sadalījums pa 10 biotopu klasēm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8"/>
        <w:gridCol w:w="3554"/>
      </w:tblGrid>
      <w:tr w:rsidR="009072CE" w:rsidRPr="00A07F29" w14:paraId="31E30E77" w14:textId="77777777" w:rsidTr="00005D85">
        <w:trPr>
          <w:jc w:val="center"/>
        </w:trPr>
        <w:tc>
          <w:tcPr>
            <w:tcW w:w="4968" w:type="dxa"/>
            <w:shd w:val="clear" w:color="auto" w:fill="D6E3BC" w:themeFill="accent3" w:themeFillTint="66"/>
          </w:tcPr>
          <w:p w14:paraId="1C756A7B" w14:textId="77777777" w:rsidR="009072CE" w:rsidRPr="00A07F29" w:rsidRDefault="009072CE" w:rsidP="00E34453">
            <w:pPr>
              <w:spacing w:after="0" w:line="240" w:lineRule="auto"/>
              <w:ind w:firstLine="851"/>
              <w:jc w:val="both"/>
              <w:rPr>
                <w:rFonts w:ascii="Times New Roman" w:eastAsia="Calibri" w:hAnsi="Times New Roman" w:cs="Calibri"/>
                <w:b/>
                <w:sz w:val="24"/>
              </w:rPr>
            </w:pPr>
            <w:r w:rsidRPr="00A07F29">
              <w:rPr>
                <w:rFonts w:ascii="Times New Roman" w:eastAsia="Calibri" w:hAnsi="Times New Roman" w:cs="Calibri"/>
                <w:b/>
                <w:sz w:val="24"/>
              </w:rPr>
              <w:t>Biotops</w:t>
            </w:r>
          </w:p>
        </w:tc>
        <w:tc>
          <w:tcPr>
            <w:tcW w:w="3554" w:type="dxa"/>
            <w:shd w:val="clear" w:color="auto" w:fill="D6E3BC" w:themeFill="accent3" w:themeFillTint="66"/>
          </w:tcPr>
          <w:p w14:paraId="5F82A439" w14:textId="77777777" w:rsidR="009072CE" w:rsidRPr="00A07F29" w:rsidRDefault="009072CE" w:rsidP="00E34453">
            <w:pPr>
              <w:spacing w:after="0" w:line="240" w:lineRule="auto"/>
              <w:ind w:firstLine="851"/>
              <w:jc w:val="both"/>
              <w:rPr>
                <w:rFonts w:ascii="Times New Roman" w:eastAsia="Calibri" w:hAnsi="Times New Roman" w:cs="Calibri"/>
                <w:b/>
                <w:sz w:val="24"/>
              </w:rPr>
            </w:pPr>
            <w:r w:rsidRPr="00A07F29">
              <w:rPr>
                <w:rFonts w:ascii="Times New Roman" w:eastAsia="Calibri" w:hAnsi="Times New Roman" w:cs="Calibri"/>
                <w:b/>
                <w:sz w:val="24"/>
              </w:rPr>
              <w:t>Vietu skaits</w:t>
            </w:r>
          </w:p>
        </w:tc>
      </w:tr>
      <w:tr w:rsidR="009072CE" w:rsidRPr="00A07F29" w14:paraId="5ABBE4C6" w14:textId="77777777" w:rsidTr="00005D85">
        <w:trPr>
          <w:jc w:val="center"/>
        </w:trPr>
        <w:tc>
          <w:tcPr>
            <w:tcW w:w="4968" w:type="dxa"/>
            <w:shd w:val="clear" w:color="auto" w:fill="auto"/>
          </w:tcPr>
          <w:p w14:paraId="6EAEAEAA" w14:textId="77777777" w:rsidR="009072CE" w:rsidRPr="00A07F29" w:rsidRDefault="009072CE" w:rsidP="00E34453">
            <w:pPr>
              <w:spacing w:after="0" w:line="240" w:lineRule="auto"/>
              <w:ind w:firstLine="176"/>
              <w:jc w:val="both"/>
              <w:rPr>
                <w:rFonts w:ascii="Times New Roman" w:eastAsia="Calibri" w:hAnsi="Times New Roman" w:cs="Calibri"/>
                <w:sz w:val="24"/>
              </w:rPr>
            </w:pPr>
            <w:r w:rsidRPr="00A07F29">
              <w:rPr>
                <w:rFonts w:ascii="Times New Roman" w:eastAsia="Calibri" w:hAnsi="Times New Roman" w:cs="Calibri"/>
                <w:sz w:val="24"/>
              </w:rPr>
              <w:t xml:space="preserve">Upe (Daugava) </w:t>
            </w:r>
          </w:p>
        </w:tc>
        <w:tc>
          <w:tcPr>
            <w:tcW w:w="3554" w:type="dxa"/>
            <w:shd w:val="clear" w:color="auto" w:fill="auto"/>
          </w:tcPr>
          <w:p w14:paraId="3E6F9BE1" w14:textId="686ADBF1" w:rsidR="009072CE" w:rsidRPr="00A07F29" w:rsidRDefault="009072CE" w:rsidP="00E34453">
            <w:pPr>
              <w:spacing w:after="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2 posmi (8,2 un 10,1</w:t>
            </w:r>
            <w:r w:rsidR="00CE0F8B">
              <w:rPr>
                <w:rFonts w:ascii="Times New Roman" w:eastAsia="Calibri" w:hAnsi="Times New Roman" w:cs="Calibri"/>
                <w:sz w:val="24"/>
              </w:rPr>
              <w:t> </w:t>
            </w:r>
            <w:r w:rsidRPr="00A07F29">
              <w:rPr>
                <w:rFonts w:ascii="Times New Roman" w:eastAsia="Calibri" w:hAnsi="Times New Roman" w:cs="Calibri"/>
                <w:sz w:val="24"/>
              </w:rPr>
              <w:t>km)</w:t>
            </w:r>
          </w:p>
        </w:tc>
      </w:tr>
      <w:tr w:rsidR="009072CE" w:rsidRPr="00A07F29" w14:paraId="25F9C9EC" w14:textId="77777777" w:rsidTr="00005D85">
        <w:trPr>
          <w:jc w:val="center"/>
        </w:trPr>
        <w:tc>
          <w:tcPr>
            <w:tcW w:w="4968" w:type="dxa"/>
            <w:shd w:val="clear" w:color="auto" w:fill="auto"/>
          </w:tcPr>
          <w:p w14:paraId="75445831" w14:textId="77777777" w:rsidR="009072CE" w:rsidRPr="00A07F29" w:rsidRDefault="009072CE" w:rsidP="00E34453">
            <w:pPr>
              <w:spacing w:after="0" w:line="240" w:lineRule="auto"/>
              <w:ind w:firstLine="176"/>
              <w:jc w:val="both"/>
              <w:rPr>
                <w:rFonts w:ascii="Times New Roman" w:eastAsia="Calibri" w:hAnsi="Times New Roman" w:cs="Calibri"/>
                <w:sz w:val="24"/>
              </w:rPr>
            </w:pPr>
            <w:r w:rsidRPr="00A07F29">
              <w:rPr>
                <w:rFonts w:ascii="Times New Roman" w:eastAsia="Calibri" w:hAnsi="Times New Roman" w:cs="Calibri"/>
                <w:sz w:val="24"/>
              </w:rPr>
              <w:t xml:space="preserve">Ezeri </w:t>
            </w:r>
          </w:p>
        </w:tc>
        <w:tc>
          <w:tcPr>
            <w:tcW w:w="3554" w:type="dxa"/>
            <w:shd w:val="clear" w:color="auto" w:fill="auto"/>
          </w:tcPr>
          <w:p w14:paraId="59F84EF4" w14:textId="77777777" w:rsidR="009072CE" w:rsidRPr="00A07F29" w:rsidRDefault="009072CE" w:rsidP="00E34453">
            <w:pPr>
              <w:spacing w:after="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8</w:t>
            </w:r>
          </w:p>
        </w:tc>
      </w:tr>
      <w:tr w:rsidR="009072CE" w:rsidRPr="00A07F29" w14:paraId="3B5E8FA0" w14:textId="77777777" w:rsidTr="00005D85">
        <w:trPr>
          <w:jc w:val="center"/>
        </w:trPr>
        <w:tc>
          <w:tcPr>
            <w:tcW w:w="4968" w:type="dxa"/>
            <w:shd w:val="clear" w:color="auto" w:fill="auto"/>
          </w:tcPr>
          <w:p w14:paraId="7AC4300F" w14:textId="77777777" w:rsidR="009072CE" w:rsidRPr="00A07F29" w:rsidRDefault="009072CE" w:rsidP="00E34453">
            <w:pPr>
              <w:spacing w:after="0" w:line="240" w:lineRule="auto"/>
              <w:ind w:firstLine="176"/>
              <w:jc w:val="both"/>
              <w:rPr>
                <w:rFonts w:ascii="Times New Roman" w:eastAsia="Calibri" w:hAnsi="Times New Roman" w:cs="Calibri"/>
                <w:sz w:val="24"/>
              </w:rPr>
            </w:pPr>
            <w:r w:rsidRPr="00A07F29">
              <w:rPr>
                <w:rFonts w:ascii="Times New Roman" w:eastAsia="Calibri" w:hAnsi="Times New Roman" w:cs="Calibri"/>
                <w:sz w:val="24"/>
              </w:rPr>
              <w:t xml:space="preserve">Dīķi, </w:t>
            </w:r>
            <w:proofErr w:type="spellStart"/>
            <w:r w:rsidRPr="00A07F29">
              <w:rPr>
                <w:rFonts w:ascii="Times New Roman" w:eastAsia="Calibri" w:hAnsi="Times New Roman" w:cs="Calibri"/>
                <w:sz w:val="24"/>
              </w:rPr>
              <w:t>uzpludinājumi</w:t>
            </w:r>
            <w:proofErr w:type="spellEnd"/>
          </w:p>
        </w:tc>
        <w:tc>
          <w:tcPr>
            <w:tcW w:w="3554" w:type="dxa"/>
            <w:shd w:val="clear" w:color="auto" w:fill="auto"/>
          </w:tcPr>
          <w:p w14:paraId="53749AAC" w14:textId="77777777" w:rsidR="009072CE" w:rsidRPr="00A07F29" w:rsidRDefault="009072CE" w:rsidP="00E34453">
            <w:pPr>
              <w:spacing w:after="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4</w:t>
            </w:r>
          </w:p>
        </w:tc>
      </w:tr>
      <w:tr w:rsidR="009072CE" w:rsidRPr="00A07F29" w14:paraId="6904A7EB" w14:textId="77777777" w:rsidTr="00005D85">
        <w:trPr>
          <w:jc w:val="center"/>
        </w:trPr>
        <w:tc>
          <w:tcPr>
            <w:tcW w:w="4968" w:type="dxa"/>
            <w:shd w:val="clear" w:color="auto" w:fill="auto"/>
          </w:tcPr>
          <w:p w14:paraId="35B8D07B" w14:textId="77777777" w:rsidR="009072CE" w:rsidRPr="00A07F29" w:rsidRDefault="009072CE" w:rsidP="00E34453">
            <w:pPr>
              <w:spacing w:after="0" w:line="240" w:lineRule="auto"/>
              <w:ind w:firstLine="176"/>
              <w:jc w:val="both"/>
              <w:rPr>
                <w:rFonts w:ascii="Times New Roman" w:eastAsia="Calibri" w:hAnsi="Times New Roman" w:cs="Calibri"/>
                <w:sz w:val="24"/>
              </w:rPr>
            </w:pPr>
            <w:proofErr w:type="spellStart"/>
            <w:r w:rsidRPr="00A07F29">
              <w:rPr>
                <w:rFonts w:ascii="Times New Roman" w:eastAsia="Calibri" w:hAnsi="Times New Roman" w:cs="Calibri"/>
                <w:sz w:val="24"/>
              </w:rPr>
              <w:t>Bebraines</w:t>
            </w:r>
            <w:proofErr w:type="spellEnd"/>
          </w:p>
        </w:tc>
        <w:tc>
          <w:tcPr>
            <w:tcW w:w="3554" w:type="dxa"/>
            <w:shd w:val="clear" w:color="auto" w:fill="auto"/>
          </w:tcPr>
          <w:p w14:paraId="0E22D2FB" w14:textId="77777777" w:rsidR="009072CE" w:rsidRPr="00A07F29" w:rsidRDefault="009072CE" w:rsidP="00E34453">
            <w:pPr>
              <w:spacing w:after="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3</w:t>
            </w:r>
          </w:p>
        </w:tc>
      </w:tr>
      <w:tr w:rsidR="009072CE" w:rsidRPr="00A07F29" w14:paraId="2926BCF1" w14:textId="77777777" w:rsidTr="00005D85">
        <w:trPr>
          <w:jc w:val="center"/>
        </w:trPr>
        <w:tc>
          <w:tcPr>
            <w:tcW w:w="4968" w:type="dxa"/>
            <w:shd w:val="clear" w:color="auto" w:fill="auto"/>
          </w:tcPr>
          <w:p w14:paraId="72AAE02C" w14:textId="77777777" w:rsidR="009072CE" w:rsidRPr="00A07F29" w:rsidRDefault="009072CE" w:rsidP="00E34453">
            <w:pPr>
              <w:spacing w:after="0" w:line="240" w:lineRule="auto"/>
              <w:ind w:firstLine="176"/>
              <w:jc w:val="both"/>
              <w:rPr>
                <w:rFonts w:ascii="Times New Roman" w:eastAsia="Calibri" w:hAnsi="Times New Roman" w:cs="Calibri"/>
                <w:sz w:val="24"/>
              </w:rPr>
            </w:pPr>
            <w:r w:rsidRPr="00A07F29">
              <w:rPr>
                <w:rFonts w:ascii="Times New Roman" w:eastAsia="Calibri" w:hAnsi="Times New Roman" w:cs="Calibri"/>
                <w:sz w:val="24"/>
              </w:rPr>
              <w:t>Mežs – nelieli klajumi kā meža ceļi, skraji meži</w:t>
            </w:r>
          </w:p>
        </w:tc>
        <w:tc>
          <w:tcPr>
            <w:tcW w:w="3554" w:type="dxa"/>
            <w:shd w:val="clear" w:color="auto" w:fill="auto"/>
          </w:tcPr>
          <w:p w14:paraId="2066F737" w14:textId="77777777" w:rsidR="009072CE" w:rsidRPr="00A07F29" w:rsidRDefault="009072CE" w:rsidP="00E34453">
            <w:pPr>
              <w:spacing w:after="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9</w:t>
            </w:r>
          </w:p>
        </w:tc>
      </w:tr>
      <w:tr w:rsidR="009072CE" w:rsidRPr="00A07F29" w14:paraId="50ADEE7E" w14:textId="77777777" w:rsidTr="00005D85">
        <w:trPr>
          <w:jc w:val="center"/>
        </w:trPr>
        <w:tc>
          <w:tcPr>
            <w:tcW w:w="4968" w:type="dxa"/>
            <w:shd w:val="clear" w:color="auto" w:fill="auto"/>
          </w:tcPr>
          <w:p w14:paraId="4E2B39B9" w14:textId="77777777" w:rsidR="009072CE" w:rsidRPr="00A07F29" w:rsidRDefault="009072CE" w:rsidP="00E34453">
            <w:pPr>
              <w:spacing w:after="0" w:line="240" w:lineRule="auto"/>
              <w:ind w:firstLine="176"/>
              <w:jc w:val="both"/>
              <w:rPr>
                <w:rFonts w:ascii="Times New Roman" w:eastAsia="Calibri" w:hAnsi="Times New Roman" w:cs="Calibri"/>
                <w:sz w:val="24"/>
              </w:rPr>
            </w:pPr>
            <w:r w:rsidRPr="00A07F29">
              <w:rPr>
                <w:rFonts w:ascii="Times New Roman" w:eastAsia="Calibri" w:hAnsi="Times New Roman" w:cs="Calibri"/>
                <w:sz w:val="24"/>
              </w:rPr>
              <w:t xml:space="preserve">Izcirtumi, jaunaudzes </w:t>
            </w:r>
          </w:p>
        </w:tc>
        <w:tc>
          <w:tcPr>
            <w:tcW w:w="3554" w:type="dxa"/>
            <w:shd w:val="clear" w:color="auto" w:fill="auto"/>
          </w:tcPr>
          <w:p w14:paraId="6B5255AE" w14:textId="77777777" w:rsidR="009072CE" w:rsidRPr="00A07F29" w:rsidRDefault="009072CE" w:rsidP="00E34453">
            <w:pPr>
              <w:spacing w:after="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3</w:t>
            </w:r>
          </w:p>
        </w:tc>
      </w:tr>
      <w:tr w:rsidR="009072CE" w:rsidRPr="00A07F29" w14:paraId="375711A7" w14:textId="77777777" w:rsidTr="00005D85">
        <w:trPr>
          <w:jc w:val="center"/>
        </w:trPr>
        <w:tc>
          <w:tcPr>
            <w:tcW w:w="4968" w:type="dxa"/>
            <w:shd w:val="clear" w:color="auto" w:fill="auto"/>
          </w:tcPr>
          <w:p w14:paraId="3BA34266" w14:textId="77777777" w:rsidR="009072CE" w:rsidRPr="00A07F29" w:rsidRDefault="009072CE" w:rsidP="00E34453">
            <w:pPr>
              <w:spacing w:after="0" w:line="240" w:lineRule="auto"/>
              <w:ind w:firstLine="176"/>
              <w:jc w:val="both"/>
              <w:rPr>
                <w:rFonts w:ascii="Times New Roman" w:eastAsia="Calibri" w:hAnsi="Times New Roman" w:cs="Calibri"/>
                <w:sz w:val="24"/>
              </w:rPr>
            </w:pPr>
            <w:r w:rsidRPr="00A07F29">
              <w:rPr>
                <w:rFonts w:ascii="Times New Roman" w:eastAsia="Calibri" w:hAnsi="Times New Roman" w:cs="Calibri"/>
                <w:sz w:val="24"/>
              </w:rPr>
              <w:t>Pļavas zālāji</w:t>
            </w:r>
          </w:p>
        </w:tc>
        <w:tc>
          <w:tcPr>
            <w:tcW w:w="3554" w:type="dxa"/>
            <w:shd w:val="clear" w:color="auto" w:fill="auto"/>
          </w:tcPr>
          <w:p w14:paraId="013708BE" w14:textId="77777777" w:rsidR="009072CE" w:rsidRPr="00A07F29" w:rsidRDefault="009072CE" w:rsidP="00E34453">
            <w:pPr>
              <w:spacing w:after="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10</w:t>
            </w:r>
          </w:p>
        </w:tc>
      </w:tr>
      <w:tr w:rsidR="009072CE" w:rsidRPr="00A07F29" w14:paraId="5CC8869B" w14:textId="77777777" w:rsidTr="00005D85">
        <w:trPr>
          <w:jc w:val="center"/>
        </w:trPr>
        <w:tc>
          <w:tcPr>
            <w:tcW w:w="4968" w:type="dxa"/>
            <w:shd w:val="clear" w:color="auto" w:fill="auto"/>
          </w:tcPr>
          <w:p w14:paraId="224D0917" w14:textId="77777777" w:rsidR="009072CE" w:rsidRPr="00A07F29" w:rsidRDefault="009072CE" w:rsidP="00E34453">
            <w:pPr>
              <w:spacing w:after="0" w:line="240" w:lineRule="auto"/>
              <w:ind w:firstLine="176"/>
              <w:jc w:val="both"/>
              <w:rPr>
                <w:rFonts w:ascii="Times New Roman" w:eastAsia="Calibri" w:hAnsi="Times New Roman" w:cs="Calibri"/>
                <w:sz w:val="24"/>
              </w:rPr>
            </w:pPr>
            <w:r w:rsidRPr="00A07F29">
              <w:rPr>
                <w:rFonts w:ascii="Times New Roman" w:eastAsia="Calibri" w:hAnsi="Times New Roman" w:cs="Calibri"/>
                <w:sz w:val="24"/>
              </w:rPr>
              <w:t>Ganības ar lopiem</w:t>
            </w:r>
          </w:p>
        </w:tc>
        <w:tc>
          <w:tcPr>
            <w:tcW w:w="3554" w:type="dxa"/>
            <w:shd w:val="clear" w:color="auto" w:fill="auto"/>
          </w:tcPr>
          <w:p w14:paraId="006278FF" w14:textId="77777777" w:rsidR="009072CE" w:rsidRPr="00A07F29" w:rsidRDefault="009072CE" w:rsidP="00E34453">
            <w:pPr>
              <w:spacing w:after="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2</w:t>
            </w:r>
          </w:p>
        </w:tc>
      </w:tr>
      <w:tr w:rsidR="009072CE" w:rsidRPr="00A07F29" w14:paraId="2DB02181" w14:textId="77777777" w:rsidTr="00005D85">
        <w:trPr>
          <w:jc w:val="center"/>
        </w:trPr>
        <w:tc>
          <w:tcPr>
            <w:tcW w:w="4968" w:type="dxa"/>
            <w:shd w:val="clear" w:color="auto" w:fill="auto"/>
          </w:tcPr>
          <w:p w14:paraId="13E0DC74" w14:textId="77777777" w:rsidR="009072CE" w:rsidRPr="00A07F29" w:rsidRDefault="009072CE" w:rsidP="00E34453">
            <w:pPr>
              <w:spacing w:after="0" w:line="240" w:lineRule="auto"/>
              <w:ind w:firstLine="176"/>
              <w:jc w:val="both"/>
              <w:rPr>
                <w:rFonts w:ascii="Times New Roman" w:eastAsia="Calibri" w:hAnsi="Times New Roman" w:cs="Calibri"/>
                <w:sz w:val="24"/>
              </w:rPr>
            </w:pPr>
            <w:r w:rsidRPr="00A07F29">
              <w:rPr>
                <w:rFonts w:ascii="Times New Roman" w:eastAsia="Calibri" w:hAnsi="Times New Roman" w:cs="Calibri"/>
                <w:sz w:val="24"/>
              </w:rPr>
              <w:t>Karjers</w:t>
            </w:r>
          </w:p>
        </w:tc>
        <w:tc>
          <w:tcPr>
            <w:tcW w:w="3554" w:type="dxa"/>
            <w:shd w:val="clear" w:color="auto" w:fill="auto"/>
          </w:tcPr>
          <w:p w14:paraId="3475FE78" w14:textId="77777777" w:rsidR="009072CE" w:rsidRPr="00A07F29" w:rsidRDefault="009072CE" w:rsidP="00E34453">
            <w:pPr>
              <w:spacing w:after="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1</w:t>
            </w:r>
          </w:p>
        </w:tc>
      </w:tr>
      <w:tr w:rsidR="009072CE" w:rsidRPr="00A07F29" w14:paraId="2BAEDD32" w14:textId="77777777" w:rsidTr="00005D85">
        <w:trPr>
          <w:jc w:val="center"/>
        </w:trPr>
        <w:tc>
          <w:tcPr>
            <w:tcW w:w="4968" w:type="dxa"/>
            <w:shd w:val="clear" w:color="auto" w:fill="auto"/>
          </w:tcPr>
          <w:p w14:paraId="59021885" w14:textId="77777777" w:rsidR="009072CE" w:rsidRPr="00A07F29" w:rsidRDefault="009072CE" w:rsidP="00E34453">
            <w:pPr>
              <w:spacing w:after="0" w:line="240" w:lineRule="auto"/>
              <w:ind w:firstLine="176"/>
              <w:jc w:val="both"/>
              <w:rPr>
                <w:rFonts w:ascii="Times New Roman" w:eastAsia="Calibri" w:hAnsi="Times New Roman" w:cs="Calibri"/>
                <w:sz w:val="24"/>
              </w:rPr>
            </w:pPr>
            <w:r w:rsidRPr="00A07F29">
              <w:rPr>
                <w:rFonts w:ascii="Times New Roman" w:eastAsia="Calibri" w:hAnsi="Times New Roman" w:cs="Calibri"/>
                <w:sz w:val="24"/>
              </w:rPr>
              <w:t>Viensētas (trīs apdzīvotas, divas pamestas)</w:t>
            </w:r>
          </w:p>
        </w:tc>
        <w:tc>
          <w:tcPr>
            <w:tcW w:w="3554" w:type="dxa"/>
            <w:shd w:val="clear" w:color="auto" w:fill="auto"/>
          </w:tcPr>
          <w:p w14:paraId="40738B2C" w14:textId="77777777" w:rsidR="009072CE" w:rsidRPr="00A07F29" w:rsidRDefault="009072CE" w:rsidP="00E34453">
            <w:pPr>
              <w:spacing w:after="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5</w:t>
            </w:r>
          </w:p>
        </w:tc>
      </w:tr>
      <w:tr w:rsidR="009072CE" w:rsidRPr="00A07F29" w14:paraId="5E8BB2AB" w14:textId="77777777" w:rsidTr="00005D85">
        <w:trPr>
          <w:jc w:val="center"/>
        </w:trPr>
        <w:tc>
          <w:tcPr>
            <w:tcW w:w="4968" w:type="dxa"/>
            <w:shd w:val="clear" w:color="auto" w:fill="auto"/>
          </w:tcPr>
          <w:p w14:paraId="6E688234" w14:textId="77777777" w:rsidR="009072CE" w:rsidRPr="00A07F29" w:rsidRDefault="009072CE" w:rsidP="00E34453">
            <w:pPr>
              <w:spacing w:after="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Kopā </w:t>
            </w:r>
          </w:p>
        </w:tc>
        <w:tc>
          <w:tcPr>
            <w:tcW w:w="3554" w:type="dxa"/>
            <w:shd w:val="clear" w:color="auto" w:fill="auto"/>
          </w:tcPr>
          <w:p w14:paraId="3A580A30" w14:textId="77777777" w:rsidR="009072CE" w:rsidRPr="00A07F29" w:rsidRDefault="009072CE" w:rsidP="00E34453">
            <w:pPr>
              <w:spacing w:after="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47</w:t>
            </w:r>
          </w:p>
        </w:tc>
      </w:tr>
    </w:tbl>
    <w:p w14:paraId="022B661C" w14:textId="36DDFBD5" w:rsidR="009F5AF5" w:rsidRPr="00A07F29" w:rsidRDefault="00A72708" w:rsidP="00E34453">
      <w:pPr>
        <w:spacing w:before="240" w:after="120" w:line="240" w:lineRule="auto"/>
        <w:ind w:firstLine="851"/>
        <w:jc w:val="center"/>
        <w:rPr>
          <w:rFonts w:ascii="Times New Roman" w:eastAsia="Times New Roman" w:hAnsi="Times New Roman" w:cs="Times New Roman"/>
          <w:b/>
          <w:i/>
          <w:sz w:val="24"/>
          <w:szCs w:val="24"/>
        </w:rPr>
      </w:pPr>
      <w:r w:rsidRPr="00A07F29">
        <w:rPr>
          <w:rFonts w:ascii="Times New Roman" w:eastAsia="Calibri" w:hAnsi="Times New Roman" w:cs="Calibri"/>
          <w:b/>
          <w:sz w:val="24"/>
        </w:rPr>
        <w:t xml:space="preserve">4.11.1.2. </w:t>
      </w:r>
      <w:r w:rsidR="009F5AF5" w:rsidRPr="00A07F29">
        <w:rPr>
          <w:rFonts w:ascii="Times New Roman" w:eastAsia="Times New Roman" w:hAnsi="Times New Roman" w:cs="Times New Roman"/>
          <w:b/>
          <w:sz w:val="24"/>
          <w:szCs w:val="24"/>
        </w:rPr>
        <w:t>AAA “Augšdaugava” sikspārņu faunas raksturojums</w:t>
      </w:r>
    </w:p>
    <w:p w14:paraId="1BF9AF4D" w14:textId="45D6EC00" w:rsidR="009072CE" w:rsidRPr="00A07F29" w:rsidRDefault="009072CE" w:rsidP="00E34453">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AAA </w:t>
      </w:r>
      <w:r w:rsidR="00024B19" w:rsidRPr="00A07F29">
        <w:rPr>
          <w:rFonts w:ascii="Times New Roman" w:eastAsia="Calibri" w:hAnsi="Times New Roman" w:cs="Calibri"/>
          <w:sz w:val="24"/>
        </w:rPr>
        <w:t>“</w:t>
      </w:r>
      <w:r w:rsidRPr="00A07F29">
        <w:rPr>
          <w:rFonts w:ascii="Times New Roman" w:eastAsia="Calibri" w:hAnsi="Times New Roman" w:cs="Calibri"/>
          <w:sz w:val="24"/>
        </w:rPr>
        <w:t>Augšdaugava</w:t>
      </w:r>
      <w:r w:rsidR="00024B19" w:rsidRPr="00A07F29">
        <w:rPr>
          <w:rFonts w:ascii="Times New Roman" w:eastAsia="Calibri" w:hAnsi="Times New Roman" w:cs="Calibri"/>
          <w:sz w:val="24"/>
        </w:rPr>
        <w:t>”</w:t>
      </w:r>
      <w:r w:rsidRPr="00A07F29">
        <w:rPr>
          <w:rFonts w:ascii="Times New Roman" w:eastAsia="Calibri" w:hAnsi="Times New Roman" w:cs="Calibri"/>
          <w:sz w:val="24"/>
        </w:rPr>
        <w:t xml:space="preserve"> ir liela un ainaviski daudzveidīga teritorija, kuras platība pārsniedz vienas sikspārņu kolonijas izmantoto teritoriju. Dažādām sugām tā var būt dažu līdz vairāk kā 10</w:t>
      </w:r>
      <w:r w:rsidR="00A97C53">
        <w:rPr>
          <w:rFonts w:ascii="Times New Roman" w:eastAsia="Calibri" w:hAnsi="Times New Roman" w:cs="Calibri"/>
          <w:sz w:val="24"/>
        </w:rPr>
        <w:t> </w:t>
      </w:r>
      <w:r w:rsidRPr="00A07F29">
        <w:rPr>
          <w:rFonts w:ascii="Times New Roman" w:eastAsia="Calibri" w:hAnsi="Times New Roman" w:cs="Calibri"/>
          <w:sz w:val="24"/>
        </w:rPr>
        <w:t xml:space="preserve">km rādiusā ap to dienas mītni. Tādējādi sikspārņi no koloniju mītnēm, kas atrodas ārpus AAA </w:t>
      </w:r>
      <w:r w:rsidR="00024B19" w:rsidRPr="00A07F29">
        <w:rPr>
          <w:rFonts w:ascii="Times New Roman" w:eastAsia="Calibri" w:hAnsi="Times New Roman" w:cs="Calibri"/>
          <w:sz w:val="24"/>
        </w:rPr>
        <w:t xml:space="preserve">“Augšdaugava” </w:t>
      </w:r>
      <w:r w:rsidRPr="00A07F29">
        <w:rPr>
          <w:rFonts w:ascii="Times New Roman" w:eastAsia="Calibri" w:hAnsi="Times New Roman" w:cs="Calibri"/>
          <w:sz w:val="24"/>
        </w:rPr>
        <w:t>var izmantot arī tā teritorijā esošās barošanās vietas un otrādi – sikspārņi no dienas mītnēm, kas atrodas AAA</w:t>
      </w:r>
      <w:r w:rsidR="00024B19" w:rsidRPr="00A07F29">
        <w:rPr>
          <w:rFonts w:ascii="Times New Roman" w:eastAsia="Calibri" w:hAnsi="Times New Roman" w:cs="Calibri"/>
          <w:sz w:val="24"/>
        </w:rPr>
        <w:t xml:space="preserve"> “Augšdaugava”</w:t>
      </w:r>
      <w:r w:rsidRPr="00A07F29">
        <w:rPr>
          <w:rFonts w:ascii="Times New Roman" w:eastAsia="Calibri" w:hAnsi="Times New Roman" w:cs="Calibri"/>
          <w:sz w:val="24"/>
        </w:rPr>
        <w:t xml:space="preserve">, var lidot baroties ārpus tā. </w:t>
      </w:r>
      <w:r w:rsidR="008209F9" w:rsidRPr="00A07F29">
        <w:rPr>
          <w:rFonts w:ascii="Times New Roman" w:eastAsia="Calibri" w:hAnsi="Times New Roman" w:cs="Calibri"/>
          <w:sz w:val="24"/>
        </w:rPr>
        <w:t>P</w:t>
      </w:r>
      <w:r w:rsidRPr="00A07F29">
        <w:rPr>
          <w:rFonts w:ascii="Times New Roman" w:eastAsia="Calibri" w:hAnsi="Times New Roman" w:cs="Calibri"/>
          <w:sz w:val="24"/>
        </w:rPr>
        <w:t>iemēram</w:t>
      </w:r>
      <w:r w:rsidR="008209F9" w:rsidRPr="00A07F29">
        <w:rPr>
          <w:rFonts w:ascii="Times New Roman" w:eastAsia="Calibri" w:hAnsi="Times New Roman" w:cs="Calibri"/>
          <w:sz w:val="24"/>
        </w:rPr>
        <w:t>,</w:t>
      </w:r>
      <w:r w:rsidRPr="00A07F29">
        <w:rPr>
          <w:rFonts w:ascii="Times New Roman" w:eastAsia="Calibri" w:hAnsi="Times New Roman" w:cs="Calibri"/>
          <w:sz w:val="24"/>
        </w:rPr>
        <w:t xml:space="preserve"> Braslavas rajona ziemeļdaļas lielie ezeri kā barošanās vietas atrodas pietiekami tuvu Kaplavas pareizticīgo baznīcas dīķu </w:t>
      </w:r>
      <w:proofErr w:type="spellStart"/>
      <w:r w:rsidRPr="00A07F29">
        <w:rPr>
          <w:rFonts w:ascii="Times New Roman" w:eastAsia="Calibri" w:hAnsi="Times New Roman" w:cs="Calibri"/>
          <w:sz w:val="24"/>
        </w:rPr>
        <w:t>naktssikspārņiem</w:t>
      </w:r>
      <w:proofErr w:type="spellEnd"/>
      <w:r w:rsidRPr="00A07F29">
        <w:rPr>
          <w:rFonts w:ascii="Times New Roman" w:eastAsia="Calibri" w:hAnsi="Times New Roman" w:cs="Calibri"/>
          <w:sz w:val="24"/>
        </w:rPr>
        <w:t xml:space="preserve"> (5</w:t>
      </w:r>
      <w:r w:rsidR="00325464">
        <w:rPr>
          <w:rFonts w:ascii="Times New Roman" w:eastAsia="Calibri" w:hAnsi="Times New Roman" w:cs="Calibri"/>
          <w:sz w:val="24"/>
        </w:rPr>
        <w:t> – </w:t>
      </w:r>
      <w:r w:rsidRPr="00A07F29">
        <w:rPr>
          <w:rFonts w:ascii="Times New Roman" w:eastAsia="Calibri" w:hAnsi="Times New Roman" w:cs="Calibri"/>
          <w:sz w:val="24"/>
        </w:rPr>
        <w:t>10</w:t>
      </w:r>
      <w:r w:rsidR="00325464">
        <w:rPr>
          <w:rFonts w:ascii="Times New Roman" w:eastAsia="Calibri" w:hAnsi="Times New Roman" w:cs="Calibri"/>
          <w:sz w:val="24"/>
        </w:rPr>
        <w:t> </w:t>
      </w:r>
      <w:r w:rsidRPr="00A07F29">
        <w:rPr>
          <w:rFonts w:ascii="Times New Roman" w:eastAsia="Calibri" w:hAnsi="Times New Roman" w:cs="Calibri"/>
          <w:sz w:val="24"/>
        </w:rPr>
        <w:t xml:space="preserve">km), sugai, kas pēc pētījumiem Polijā var regulāri apmeklēt barošanās vietas 10 un vairāk km attālumā no to mītnēm. Vēl nesen lielas dīķu </w:t>
      </w:r>
      <w:proofErr w:type="spellStart"/>
      <w:r w:rsidRPr="00A07F29">
        <w:rPr>
          <w:rFonts w:ascii="Times New Roman" w:eastAsia="Calibri" w:hAnsi="Times New Roman" w:cs="Calibri"/>
          <w:sz w:val="24"/>
        </w:rPr>
        <w:t>naktssikspārņu</w:t>
      </w:r>
      <w:proofErr w:type="spellEnd"/>
      <w:r w:rsidRPr="00A07F29">
        <w:rPr>
          <w:rFonts w:ascii="Times New Roman" w:eastAsia="Calibri" w:hAnsi="Times New Roman" w:cs="Calibri"/>
          <w:sz w:val="24"/>
        </w:rPr>
        <w:t xml:space="preserve"> kolonijas apdzīvoja ēkas Silenes apkārtnē, kas ir mazāk kā 10</w:t>
      </w:r>
      <w:r w:rsidR="00325464">
        <w:rPr>
          <w:rFonts w:ascii="Times New Roman" w:eastAsia="Calibri" w:hAnsi="Times New Roman" w:cs="Calibri"/>
          <w:sz w:val="24"/>
        </w:rPr>
        <w:t> </w:t>
      </w:r>
      <w:r w:rsidRPr="00A07F29">
        <w:rPr>
          <w:rFonts w:ascii="Times New Roman" w:eastAsia="Calibri" w:hAnsi="Times New Roman" w:cs="Calibri"/>
          <w:sz w:val="24"/>
        </w:rPr>
        <w:t xml:space="preserve">km attālumā no AAA </w:t>
      </w:r>
      <w:r w:rsidR="00024B19" w:rsidRPr="00A07F29">
        <w:rPr>
          <w:rFonts w:ascii="Times New Roman" w:eastAsia="Calibri" w:hAnsi="Times New Roman" w:cs="Calibri"/>
          <w:sz w:val="24"/>
        </w:rPr>
        <w:t xml:space="preserve">“Augšdaugava” </w:t>
      </w:r>
      <w:r w:rsidRPr="00A07F29">
        <w:rPr>
          <w:rFonts w:ascii="Times New Roman" w:eastAsia="Calibri" w:hAnsi="Times New Roman" w:cs="Calibri"/>
          <w:sz w:val="24"/>
        </w:rPr>
        <w:t xml:space="preserve">robežas; arī Kombuļu katoļu baznīcā mītošajiem dīķu </w:t>
      </w:r>
      <w:proofErr w:type="spellStart"/>
      <w:r w:rsidRPr="00A07F29">
        <w:rPr>
          <w:rFonts w:ascii="Times New Roman" w:eastAsia="Calibri" w:hAnsi="Times New Roman" w:cs="Calibri"/>
          <w:sz w:val="24"/>
        </w:rPr>
        <w:t>naktssikspārņiem</w:t>
      </w:r>
      <w:proofErr w:type="spellEnd"/>
      <w:r w:rsidRPr="00A07F29">
        <w:rPr>
          <w:rFonts w:ascii="Times New Roman" w:eastAsia="Calibri" w:hAnsi="Times New Roman" w:cs="Calibri"/>
          <w:sz w:val="24"/>
        </w:rPr>
        <w:t xml:space="preserve"> jālido mazāk kā 10</w:t>
      </w:r>
      <w:r w:rsidR="00DF764E">
        <w:rPr>
          <w:rFonts w:ascii="Times New Roman" w:eastAsia="Calibri" w:hAnsi="Times New Roman" w:cs="Calibri"/>
          <w:sz w:val="24"/>
        </w:rPr>
        <w:t> </w:t>
      </w:r>
      <w:r w:rsidRPr="00A07F29">
        <w:rPr>
          <w:rFonts w:ascii="Times New Roman" w:eastAsia="Calibri" w:hAnsi="Times New Roman" w:cs="Calibri"/>
          <w:sz w:val="24"/>
        </w:rPr>
        <w:t xml:space="preserve">km, lai sasniegtu Daugavu Krāslavas apkārtnē. Attiecīgi dīķu </w:t>
      </w:r>
      <w:proofErr w:type="spellStart"/>
      <w:r w:rsidRPr="00A07F29">
        <w:rPr>
          <w:rFonts w:ascii="Times New Roman" w:eastAsia="Calibri" w:hAnsi="Times New Roman" w:cs="Calibri"/>
          <w:sz w:val="24"/>
        </w:rPr>
        <w:t>naktssikspārņu</w:t>
      </w:r>
      <w:proofErr w:type="spellEnd"/>
      <w:r w:rsidRPr="00A07F29">
        <w:rPr>
          <w:rFonts w:ascii="Times New Roman" w:eastAsia="Calibri" w:hAnsi="Times New Roman" w:cs="Calibri"/>
          <w:sz w:val="24"/>
        </w:rPr>
        <w:t xml:space="preserve"> gadījumā sekmīga koloniju mītņu aizsardzībā ietekmēs dzīvnieku skaitu, kas barošanās laikā uzturas AAA </w:t>
      </w:r>
      <w:r w:rsidR="008209F9" w:rsidRPr="00A07F29">
        <w:rPr>
          <w:rFonts w:ascii="Times New Roman" w:eastAsia="Calibri" w:hAnsi="Times New Roman" w:cs="Calibri"/>
          <w:sz w:val="24"/>
        </w:rPr>
        <w:t xml:space="preserve">“Augšdaugava” </w:t>
      </w:r>
      <w:r w:rsidRPr="00A07F29">
        <w:rPr>
          <w:rFonts w:ascii="Times New Roman" w:eastAsia="Calibri" w:hAnsi="Times New Roman" w:cs="Calibri"/>
          <w:sz w:val="24"/>
        </w:rPr>
        <w:t xml:space="preserve">teritorijā un otrādi. Otrs piemērs, sugai, kas izmanto lielas teritorijas ir rūsganais </w:t>
      </w:r>
      <w:proofErr w:type="spellStart"/>
      <w:r w:rsidRPr="00A07F29">
        <w:rPr>
          <w:rFonts w:ascii="Times New Roman" w:eastAsia="Calibri" w:hAnsi="Times New Roman" w:cs="Calibri"/>
          <w:sz w:val="24"/>
        </w:rPr>
        <w:t>vakarsikspārnis</w:t>
      </w:r>
      <w:proofErr w:type="spellEnd"/>
      <w:r w:rsidRPr="00A07F29">
        <w:rPr>
          <w:rFonts w:ascii="Times New Roman" w:eastAsia="Calibri" w:hAnsi="Times New Roman" w:cs="Calibri"/>
          <w:sz w:val="24"/>
        </w:rPr>
        <w:t xml:space="preserve">. Tā dienas mītnes atrodamas koku dobumos. Dobumainu mītnes koku saglabāšana </w:t>
      </w:r>
      <w:proofErr w:type="spellStart"/>
      <w:r w:rsidRPr="00A07F29">
        <w:rPr>
          <w:rFonts w:ascii="Times New Roman" w:eastAsia="Calibri" w:hAnsi="Times New Roman" w:cs="Calibri"/>
          <w:sz w:val="24"/>
        </w:rPr>
        <w:t>kokaudzēs</w:t>
      </w:r>
      <w:proofErr w:type="spellEnd"/>
      <w:r w:rsidRPr="00A07F29">
        <w:rPr>
          <w:rFonts w:ascii="Times New Roman" w:eastAsia="Calibri" w:hAnsi="Times New Roman" w:cs="Calibri"/>
          <w:sz w:val="24"/>
        </w:rPr>
        <w:t xml:space="preserve"> AAA teritorijā pozitīvi ietekmēs šīs sugas sastopamību arī apkārtējās teritorijā</w:t>
      </w:r>
      <w:r w:rsidR="008209F9" w:rsidRPr="00A07F29">
        <w:rPr>
          <w:rFonts w:ascii="Times New Roman" w:eastAsia="Calibri" w:hAnsi="Times New Roman" w:cs="Calibri"/>
          <w:sz w:val="24"/>
        </w:rPr>
        <w:t>s</w:t>
      </w:r>
      <w:r w:rsidRPr="00A07F29">
        <w:rPr>
          <w:rFonts w:ascii="Times New Roman" w:eastAsia="Calibri" w:hAnsi="Times New Roman" w:cs="Calibri"/>
          <w:sz w:val="24"/>
        </w:rPr>
        <w:t xml:space="preserve">. Sikspārņu aizsardzības kontekstā jāatceras, ka būtībā visas sugas ir sezonāli migranti, jo tās vasaras beigās vai rudenī pārceļas no vasaras mītnēm uz ziemošanas vietām. Konkrēti dati par AAA </w:t>
      </w:r>
      <w:r w:rsidR="008209F9" w:rsidRPr="00A07F29">
        <w:rPr>
          <w:rFonts w:ascii="Times New Roman" w:eastAsia="Calibri" w:hAnsi="Times New Roman" w:cs="Calibri"/>
          <w:sz w:val="24"/>
        </w:rPr>
        <w:t xml:space="preserve">“Augšdaugava” </w:t>
      </w:r>
      <w:r w:rsidRPr="00A07F29">
        <w:rPr>
          <w:rFonts w:ascii="Times New Roman" w:eastAsia="Calibri" w:hAnsi="Times New Roman" w:cs="Calibri"/>
          <w:sz w:val="24"/>
        </w:rPr>
        <w:t xml:space="preserve">vairojošos sikspārņu ziemošanas vietām nav. Tomēr ļoti ticama ir ziemojošo sikspārņu sugu pārceļošana no AAA </w:t>
      </w:r>
      <w:r w:rsidR="008209F9" w:rsidRPr="00A07F29">
        <w:rPr>
          <w:rFonts w:ascii="Times New Roman" w:eastAsia="Calibri" w:hAnsi="Times New Roman" w:cs="Calibri"/>
          <w:sz w:val="24"/>
        </w:rPr>
        <w:t xml:space="preserve">“Augšdaugava” </w:t>
      </w:r>
      <w:r w:rsidRPr="00A07F29">
        <w:rPr>
          <w:rFonts w:ascii="Times New Roman" w:eastAsia="Calibri" w:hAnsi="Times New Roman" w:cs="Calibri"/>
          <w:sz w:val="24"/>
        </w:rPr>
        <w:t xml:space="preserve">teritorijas uz lielāko Latvijas ziemošanas vietu – Daugavpils cietoksni, kas atrodas tikai </w:t>
      </w:r>
      <w:r w:rsidR="000A2F0A">
        <w:rPr>
          <w:rFonts w:ascii="Times New Roman" w:eastAsia="Calibri" w:hAnsi="Times New Roman" w:cs="Calibri"/>
          <w:sz w:val="24"/>
        </w:rPr>
        <w:t>8 </w:t>
      </w:r>
      <w:r w:rsidRPr="00A07F29">
        <w:rPr>
          <w:rFonts w:ascii="Times New Roman" w:eastAsia="Calibri" w:hAnsi="Times New Roman" w:cs="Calibri"/>
          <w:sz w:val="24"/>
        </w:rPr>
        <w:t xml:space="preserve">km attālumā no AAA </w:t>
      </w:r>
      <w:r w:rsidR="009B00A6">
        <w:rPr>
          <w:rFonts w:ascii="Times New Roman" w:eastAsia="Calibri" w:hAnsi="Times New Roman" w:cs="Calibri"/>
          <w:sz w:val="24"/>
        </w:rPr>
        <w:t>R</w:t>
      </w:r>
      <w:r w:rsidRPr="00A07F29">
        <w:rPr>
          <w:rFonts w:ascii="Times New Roman" w:eastAsia="Calibri" w:hAnsi="Times New Roman" w:cs="Calibri"/>
          <w:sz w:val="24"/>
        </w:rPr>
        <w:t xml:space="preserve"> robežas. Arī šajā gadījumā – sikspārņu netraucētas ziemošanas nodrošināšana Daugavpils cietoksnī pozitīvi ietekmēs AAA </w:t>
      </w:r>
      <w:r w:rsidR="008209F9" w:rsidRPr="00A07F29">
        <w:rPr>
          <w:rFonts w:ascii="Times New Roman" w:eastAsia="Calibri" w:hAnsi="Times New Roman" w:cs="Calibri"/>
          <w:sz w:val="24"/>
        </w:rPr>
        <w:t xml:space="preserve">“Augšdaugava” </w:t>
      </w:r>
      <w:r w:rsidRPr="00A07F29">
        <w:rPr>
          <w:rFonts w:ascii="Times New Roman" w:eastAsia="Calibri" w:hAnsi="Times New Roman" w:cs="Calibri"/>
          <w:sz w:val="24"/>
        </w:rPr>
        <w:t>mītošo ziemojošo sikspārņu sugu populācijas.</w:t>
      </w:r>
    </w:p>
    <w:p w14:paraId="54C6EFB1" w14:textId="4682DB78" w:rsidR="009072CE" w:rsidRPr="00A07F29" w:rsidRDefault="008209F9" w:rsidP="00E34453">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DA plāna izstrādes laikā veiktajā </w:t>
      </w:r>
      <w:r w:rsidR="009072CE" w:rsidRPr="00A07F29">
        <w:rPr>
          <w:rFonts w:ascii="Times New Roman" w:eastAsia="Calibri" w:hAnsi="Times New Roman" w:cs="Calibri"/>
          <w:sz w:val="24"/>
        </w:rPr>
        <w:t xml:space="preserve">pētījumā AAA </w:t>
      </w:r>
      <w:r w:rsidRPr="00A07F29">
        <w:rPr>
          <w:rFonts w:ascii="Times New Roman" w:eastAsia="Calibri" w:hAnsi="Times New Roman" w:cs="Calibri"/>
          <w:sz w:val="24"/>
        </w:rPr>
        <w:t xml:space="preserve">“Augšdaugava” </w:t>
      </w:r>
      <w:r w:rsidR="009072CE" w:rsidRPr="00A07F29">
        <w:rPr>
          <w:rFonts w:ascii="Times New Roman" w:eastAsia="Calibri" w:hAnsi="Times New Roman" w:cs="Calibri"/>
          <w:sz w:val="24"/>
        </w:rPr>
        <w:t xml:space="preserve">teritorijā sikspārņi tika konstatēti 78 vietās, neskaitot Daugavu, virs kuras divos nakts braucienos sikspārņi tika reģistrēti </w:t>
      </w:r>
      <w:r w:rsidR="009072CE" w:rsidRPr="00A07F29">
        <w:rPr>
          <w:rFonts w:ascii="Times New Roman" w:eastAsia="Calibri" w:hAnsi="Times New Roman" w:cs="Calibri"/>
          <w:sz w:val="24"/>
        </w:rPr>
        <w:lastRenderedPageBreak/>
        <w:t>gandrīz nepārtraukti (skatīt 4.</w:t>
      </w:r>
      <w:r w:rsidR="004E1879" w:rsidRPr="00A07F29">
        <w:rPr>
          <w:rFonts w:ascii="Times New Roman" w:eastAsia="Calibri" w:hAnsi="Times New Roman" w:cs="Calibri"/>
          <w:sz w:val="24"/>
        </w:rPr>
        <w:t>17</w:t>
      </w:r>
      <w:r w:rsidR="009072CE" w:rsidRPr="00A07F29">
        <w:rPr>
          <w:rFonts w:ascii="Times New Roman" w:eastAsia="Calibri" w:hAnsi="Times New Roman" w:cs="Calibri"/>
          <w:sz w:val="24"/>
        </w:rPr>
        <w:t>.</w:t>
      </w:r>
      <w:r w:rsidR="00CE4D1D">
        <w:rPr>
          <w:rFonts w:ascii="Times New Roman" w:eastAsia="Calibri" w:hAnsi="Times New Roman" w:cs="Calibri"/>
          <w:sz w:val="24"/>
        </w:rPr>
        <w:t> </w:t>
      </w:r>
      <w:r w:rsidR="009072CE" w:rsidRPr="00A07F29">
        <w:rPr>
          <w:rFonts w:ascii="Times New Roman" w:eastAsia="Calibri" w:hAnsi="Times New Roman" w:cs="Calibri"/>
          <w:sz w:val="24"/>
        </w:rPr>
        <w:t xml:space="preserve">pielikumu). 74 vietās sikspārņu sugas tika noteiktas lidojošiem dzīvniekiem ar ultraskaņas detektoru palīdzību, trīs gadījumos tie tika novēroti vakara izlidojuma laikā no to vairošanās koloniju mītnēm, vienā gadījumā novērots viens indivīds baznīcas bēniņos bez vairošanās pierādījuma. Divās vietās – Kaplavas pareizticīgo baznīcā un </w:t>
      </w:r>
      <w:proofErr w:type="spellStart"/>
      <w:r w:rsidR="009072CE" w:rsidRPr="00A07F29">
        <w:rPr>
          <w:rFonts w:ascii="Times New Roman" w:eastAsia="Calibri" w:hAnsi="Times New Roman" w:cs="Calibri"/>
          <w:sz w:val="24"/>
        </w:rPr>
        <w:t>Sīķeles</w:t>
      </w:r>
      <w:proofErr w:type="spellEnd"/>
      <w:r w:rsidR="009072CE" w:rsidRPr="00A07F29">
        <w:rPr>
          <w:rFonts w:ascii="Times New Roman" w:eastAsia="Calibri" w:hAnsi="Times New Roman" w:cs="Calibri"/>
          <w:sz w:val="24"/>
        </w:rPr>
        <w:t xml:space="preserve"> luterāņu baznīcā sikspārņi tika uzskaitīti vakara izlidojuma laikā jau iepriekš zināmās kolonijās, sugas nosakot vizuāli un ar ultraskaņas detektoru palīdzību. Viena kolonijas mītne Kaplavas Pazaros tika atrasta no jauna (</w:t>
      </w:r>
      <w:r w:rsidR="000A5D75">
        <w:rPr>
          <w:rFonts w:ascii="Times New Roman" w:eastAsia="Calibri" w:hAnsi="Times New Roman" w:cs="Calibri"/>
          <w:sz w:val="24"/>
        </w:rPr>
        <w:t xml:space="preserve">skat. </w:t>
      </w:r>
      <w:r w:rsidR="009072CE" w:rsidRPr="00A07F29">
        <w:rPr>
          <w:rFonts w:ascii="Times New Roman" w:eastAsia="Calibri" w:hAnsi="Times New Roman" w:cs="Calibri"/>
          <w:sz w:val="24"/>
        </w:rPr>
        <w:t>4.</w:t>
      </w:r>
      <w:r w:rsidR="00AC1663" w:rsidRPr="00A07F29">
        <w:rPr>
          <w:rFonts w:ascii="Times New Roman" w:eastAsia="Calibri" w:hAnsi="Times New Roman" w:cs="Calibri"/>
          <w:sz w:val="24"/>
        </w:rPr>
        <w:t>11</w:t>
      </w:r>
      <w:r w:rsidR="009072CE" w:rsidRPr="00A07F29">
        <w:rPr>
          <w:rFonts w:ascii="Times New Roman" w:eastAsia="Calibri" w:hAnsi="Times New Roman" w:cs="Calibri"/>
          <w:sz w:val="24"/>
        </w:rPr>
        <w:t>.3.</w:t>
      </w:r>
      <w:r w:rsidR="000A5D75">
        <w:rPr>
          <w:rFonts w:ascii="Times New Roman" w:eastAsia="Calibri" w:hAnsi="Times New Roman" w:cs="Calibri"/>
          <w:sz w:val="24"/>
        </w:rPr>
        <w:t> </w:t>
      </w:r>
      <w:r w:rsidR="009072CE" w:rsidRPr="00A07F29">
        <w:rPr>
          <w:rFonts w:ascii="Times New Roman" w:eastAsia="Calibri" w:hAnsi="Times New Roman" w:cs="Calibri"/>
          <w:sz w:val="24"/>
        </w:rPr>
        <w:t xml:space="preserve">tabula). </w:t>
      </w:r>
    </w:p>
    <w:p w14:paraId="6300CA8C" w14:textId="1A3C7BDE" w:rsidR="009072CE" w:rsidRPr="00A07F29" w:rsidRDefault="009072CE" w:rsidP="00E34453">
      <w:pPr>
        <w:keepNext/>
        <w:spacing w:before="240" w:after="120" w:line="240" w:lineRule="auto"/>
        <w:jc w:val="center"/>
        <w:rPr>
          <w:rFonts w:ascii="Times New Roman" w:eastAsia="Calibri" w:hAnsi="Times New Roman" w:cs="Calibri"/>
          <w:sz w:val="24"/>
        </w:rPr>
      </w:pPr>
      <w:r w:rsidRPr="00A07F29">
        <w:rPr>
          <w:rFonts w:ascii="Times New Roman" w:eastAsia="Calibri" w:hAnsi="Times New Roman" w:cs="Calibri"/>
          <w:sz w:val="24"/>
        </w:rPr>
        <w:t>4.</w:t>
      </w:r>
      <w:r w:rsidR="007905A0" w:rsidRPr="00A07F29">
        <w:rPr>
          <w:rFonts w:ascii="Times New Roman" w:eastAsia="Calibri" w:hAnsi="Times New Roman" w:cs="Calibri"/>
          <w:sz w:val="24"/>
        </w:rPr>
        <w:t>11</w:t>
      </w:r>
      <w:r w:rsidRPr="00A07F29">
        <w:rPr>
          <w:rFonts w:ascii="Times New Roman" w:eastAsia="Calibri" w:hAnsi="Times New Roman" w:cs="Calibri"/>
          <w:sz w:val="24"/>
        </w:rPr>
        <w:t>.3.</w:t>
      </w:r>
      <w:r w:rsidR="000A5D75">
        <w:rPr>
          <w:rFonts w:ascii="Times New Roman" w:eastAsia="Calibri" w:hAnsi="Times New Roman" w:cs="Calibri"/>
          <w:sz w:val="24"/>
        </w:rPr>
        <w:t> </w:t>
      </w:r>
      <w:r w:rsidRPr="00A07F29">
        <w:rPr>
          <w:rFonts w:ascii="Times New Roman" w:eastAsia="Calibri" w:hAnsi="Times New Roman" w:cs="Calibri"/>
          <w:sz w:val="24"/>
        </w:rPr>
        <w:t xml:space="preserve">tabula. </w:t>
      </w:r>
      <w:r w:rsidR="00BF0E06" w:rsidRPr="00A07F29">
        <w:rPr>
          <w:rFonts w:ascii="Times New Roman" w:eastAsia="Calibri" w:hAnsi="Times New Roman" w:cs="Calibri"/>
          <w:sz w:val="24"/>
        </w:rPr>
        <w:t>AAA</w:t>
      </w:r>
      <w:r w:rsidRPr="00A07F29">
        <w:rPr>
          <w:rFonts w:ascii="Times New Roman" w:eastAsia="Calibri" w:hAnsi="Times New Roman" w:cs="Calibri"/>
          <w:sz w:val="24"/>
        </w:rPr>
        <w:t xml:space="preserve"> </w:t>
      </w:r>
      <w:r w:rsidR="000A5D75">
        <w:rPr>
          <w:rFonts w:ascii="Times New Roman" w:eastAsia="Calibri" w:hAnsi="Times New Roman" w:cs="Calibri"/>
          <w:sz w:val="24"/>
        </w:rPr>
        <w:t>“</w:t>
      </w:r>
      <w:r w:rsidRPr="00A07F29">
        <w:rPr>
          <w:rFonts w:ascii="Times New Roman" w:eastAsia="Calibri" w:hAnsi="Times New Roman" w:cs="Calibri"/>
          <w:sz w:val="24"/>
        </w:rPr>
        <w:t>Augšdaugava</w:t>
      </w:r>
      <w:r w:rsidR="000A5D75">
        <w:rPr>
          <w:rFonts w:ascii="Times New Roman" w:eastAsia="Calibri" w:hAnsi="Times New Roman" w:cs="Calibri"/>
          <w:sz w:val="24"/>
        </w:rPr>
        <w:t>”</w:t>
      </w:r>
      <w:r w:rsidRPr="00A07F29">
        <w:rPr>
          <w:rFonts w:ascii="Times New Roman" w:eastAsia="Calibri" w:hAnsi="Times New Roman" w:cs="Calibri"/>
          <w:sz w:val="24"/>
        </w:rPr>
        <w:t xml:space="preserve"> 2019.</w:t>
      </w:r>
      <w:r w:rsidR="000A5D75">
        <w:rPr>
          <w:rFonts w:ascii="Times New Roman" w:eastAsia="Calibri" w:hAnsi="Times New Roman" w:cs="Calibri"/>
          <w:sz w:val="24"/>
        </w:rPr>
        <w:t> </w:t>
      </w:r>
      <w:r w:rsidRPr="00A07F29">
        <w:rPr>
          <w:rFonts w:ascii="Times New Roman" w:eastAsia="Calibri" w:hAnsi="Times New Roman" w:cs="Calibri"/>
          <w:sz w:val="24"/>
        </w:rPr>
        <w:t>gada jūnijā-jūlijā konstatētās sikspārņu sugas un to novērošanas vietu skaits (neskaitot novērojumus virs Daugavas no laivas)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3260"/>
        <w:gridCol w:w="2835"/>
      </w:tblGrid>
      <w:tr w:rsidR="009072CE" w:rsidRPr="00A07F29" w14:paraId="1EDD1F84" w14:textId="77777777" w:rsidTr="007905A0">
        <w:trPr>
          <w:jc w:val="center"/>
        </w:trPr>
        <w:tc>
          <w:tcPr>
            <w:tcW w:w="2972" w:type="dxa"/>
            <w:shd w:val="clear" w:color="auto" w:fill="D6E3BC" w:themeFill="accent3" w:themeFillTint="66"/>
            <w:vAlign w:val="center"/>
          </w:tcPr>
          <w:p w14:paraId="30675233" w14:textId="77777777" w:rsidR="009072CE" w:rsidRPr="00A07F29" w:rsidRDefault="009072CE" w:rsidP="00E34453">
            <w:pPr>
              <w:spacing w:after="120" w:line="240" w:lineRule="auto"/>
              <w:jc w:val="both"/>
              <w:rPr>
                <w:rFonts w:ascii="Times New Roman" w:eastAsia="Calibri" w:hAnsi="Times New Roman" w:cs="Calibri"/>
                <w:b/>
                <w:sz w:val="24"/>
              </w:rPr>
            </w:pPr>
            <w:r w:rsidRPr="00A07F29">
              <w:rPr>
                <w:rFonts w:ascii="Times New Roman" w:eastAsia="Calibri" w:hAnsi="Times New Roman" w:cs="Calibri"/>
                <w:b/>
                <w:sz w:val="24"/>
              </w:rPr>
              <w:t>Sugas nosaukums latīniski</w:t>
            </w:r>
          </w:p>
        </w:tc>
        <w:tc>
          <w:tcPr>
            <w:tcW w:w="3260" w:type="dxa"/>
            <w:shd w:val="clear" w:color="auto" w:fill="D6E3BC" w:themeFill="accent3" w:themeFillTint="66"/>
            <w:vAlign w:val="center"/>
          </w:tcPr>
          <w:p w14:paraId="06C9333E" w14:textId="77777777" w:rsidR="009072CE" w:rsidRPr="00A07F29" w:rsidRDefault="009072CE" w:rsidP="00E34453">
            <w:pPr>
              <w:spacing w:after="120" w:line="240" w:lineRule="auto"/>
              <w:jc w:val="both"/>
              <w:rPr>
                <w:rFonts w:ascii="Times New Roman" w:eastAsia="Calibri" w:hAnsi="Times New Roman" w:cs="Calibri"/>
                <w:b/>
                <w:sz w:val="24"/>
              </w:rPr>
            </w:pPr>
            <w:r w:rsidRPr="00A07F29">
              <w:rPr>
                <w:rFonts w:ascii="Times New Roman" w:eastAsia="Calibri" w:hAnsi="Times New Roman" w:cs="Calibri"/>
                <w:b/>
                <w:sz w:val="24"/>
              </w:rPr>
              <w:t>Sugas nosaukums latviski</w:t>
            </w:r>
          </w:p>
        </w:tc>
        <w:tc>
          <w:tcPr>
            <w:tcW w:w="2835" w:type="dxa"/>
            <w:shd w:val="clear" w:color="auto" w:fill="D6E3BC" w:themeFill="accent3" w:themeFillTint="66"/>
            <w:vAlign w:val="center"/>
          </w:tcPr>
          <w:p w14:paraId="6FBF744A" w14:textId="77777777" w:rsidR="009072CE" w:rsidRPr="00A07F29" w:rsidRDefault="009072CE" w:rsidP="00E34453">
            <w:pPr>
              <w:spacing w:after="120" w:line="240" w:lineRule="auto"/>
              <w:ind w:firstLine="48"/>
              <w:jc w:val="both"/>
              <w:rPr>
                <w:rFonts w:ascii="Times New Roman" w:eastAsia="Calibri" w:hAnsi="Times New Roman" w:cs="Calibri"/>
                <w:b/>
                <w:bCs/>
                <w:sz w:val="24"/>
              </w:rPr>
            </w:pPr>
            <w:r w:rsidRPr="00A07F29">
              <w:rPr>
                <w:rFonts w:ascii="Times New Roman" w:eastAsia="Calibri" w:hAnsi="Times New Roman" w:cs="Calibri"/>
                <w:b/>
                <w:bCs/>
                <w:sz w:val="24"/>
              </w:rPr>
              <w:t>Novērošanas vietu skaits</w:t>
            </w:r>
          </w:p>
        </w:tc>
      </w:tr>
      <w:tr w:rsidR="009072CE" w:rsidRPr="00A07F29" w14:paraId="4F8E1E12" w14:textId="77777777" w:rsidTr="007905A0">
        <w:trPr>
          <w:jc w:val="center"/>
        </w:trPr>
        <w:tc>
          <w:tcPr>
            <w:tcW w:w="2972" w:type="dxa"/>
            <w:shd w:val="clear" w:color="auto" w:fill="auto"/>
          </w:tcPr>
          <w:p w14:paraId="240EBC55" w14:textId="77777777" w:rsidR="009072CE" w:rsidRPr="00A07F29" w:rsidRDefault="009072CE" w:rsidP="00E34453">
            <w:pPr>
              <w:spacing w:before="60" w:after="60" w:line="240" w:lineRule="auto"/>
              <w:jc w:val="both"/>
              <w:rPr>
                <w:rFonts w:ascii="Times New Roman" w:eastAsia="Calibri" w:hAnsi="Times New Roman" w:cs="Calibri"/>
                <w:i/>
                <w:sz w:val="24"/>
              </w:rPr>
            </w:pPr>
            <w:proofErr w:type="spellStart"/>
            <w:r w:rsidRPr="00A07F29">
              <w:rPr>
                <w:rFonts w:ascii="Times New Roman" w:eastAsia="Calibri" w:hAnsi="Times New Roman" w:cs="Calibri"/>
                <w:i/>
                <w:sz w:val="24"/>
              </w:rPr>
              <w:t>Pipistrellus</w:t>
            </w:r>
            <w:proofErr w:type="spellEnd"/>
            <w:r w:rsidRPr="00A07F29">
              <w:rPr>
                <w:rFonts w:ascii="Times New Roman" w:eastAsia="Calibri" w:hAnsi="Times New Roman" w:cs="Calibri"/>
                <w:i/>
                <w:sz w:val="24"/>
              </w:rPr>
              <w:t xml:space="preserve"> </w:t>
            </w:r>
            <w:proofErr w:type="spellStart"/>
            <w:r w:rsidRPr="00A07F29">
              <w:rPr>
                <w:rFonts w:ascii="Times New Roman" w:eastAsia="Calibri" w:hAnsi="Times New Roman" w:cs="Calibri"/>
                <w:i/>
                <w:sz w:val="24"/>
              </w:rPr>
              <w:t>nathusii</w:t>
            </w:r>
            <w:proofErr w:type="spellEnd"/>
          </w:p>
        </w:tc>
        <w:tc>
          <w:tcPr>
            <w:tcW w:w="3260" w:type="dxa"/>
            <w:shd w:val="clear" w:color="auto" w:fill="auto"/>
          </w:tcPr>
          <w:p w14:paraId="645BD741" w14:textId="77777777" w:rsidR="009072CE" w:rsidRPr="00A07F29" w:rsidRDefault="009072CE" w:rsidP="00E34453">
            <w:pPr>
              <w:spacing w:before="60" w:after="60" w:line="240" w:lineRule="auto"/>
              <w:jc w:val="both"/>
              <w:rPr>
                <w:rFonts w:ascii="Times New Roman" w:eastAsia="Calibri" w:hAnsi="Times New Roman" w:cs="Calibri"/>
                <w:sz w:val="24"/>
              </w:rPr>
            </w:pPr>
            <w:proofErr w:type="spellStart"/>
            <w:r w:rsidRPr="00A07F29">
              <w:rPr>
                <w:rFonts w:ascii="Times New Roman" w:eastAsia="Calibri" w:hAnsi="Times New Roman" w:cs="Calibri"/>
                <w:sz w:val="24"/>
              </w:rPr>
              <w:t>Natūza</w:t>
            </w:r>
            <w:proofErr w:type="spellEnd"/>
            <w:r w:rsidRPr="00A07F29">
              <w:rPr>
                <w:rFonts w:ascii="Times New Roman" w:eastAsia="Calibri" w:hAnsi="Times New Roman" w:cs="Calibri"/>
                <w:sz w:val="24"/>
              </w:rPr>
              <w:t xml:space="preserve"> sikspārnis</w:t>
            </w:r>
          </w:p>
        </w:tc>
        <w:tc>
          <w:tcPr>
            <w:tcW w:w="2835" w:type="dxa"/>
            <w:shd w:val="clear" w:color="auto" w:fill="auto"/>
          </w:tcPr>
          <w:p w14:paraId="325DB24E" w14:textId="77777777" w:rsidR="009072CE" w:rsidRPr="00A07F29" w:rsidRDefault="009072CE" w:rsidP="00E34453">
            <w:pPr>
              <w:spacing w:before="60" w:after="60" w:line="240" w:lineRule="auto"/>
              <w:ind w:firstLine="48"/>
              <w:jc w:val="center"/>
              <w:rPr>
                <w:rFonts w:ascii="Times New Roman" w:eastAsia="Calibri" w:hAnsi="Times New Roman" w:cs="Calibri"/>
                <w:sz w:val="24"/>
              </w:rPr>
            </w:pPr>
            <w:r w:rsidRPr="00A07F29">
              <w:rPr>
                <w:rFonts w:ascii="Times New Roman" w:eastAsia="Calibri" w:hAnsi="Times New Roman" w:cs="Calibri"/>
                <w:sz w:val="24"/>
              </w:rPr>
              <w:t>61</w:t>
            </w:r>
          </w:p>
        </w:tc>
      </w:tr>
      <w:tr w:rsidR="009072CE" w:rsidRPr="00A07F29" w14:paraId="7B32D494" w14:textId="77777777" w:rsidTr="007905A0">
        <w:trPr>
          <w:jc w:val="center"/>
        </w:trPr>
        <w:tc>
          <w:tcPr>
            <w:tcW w:w="2972" w:type="dxa"/>
            <w:shd w:val="clear" w:color="auto" w:fill="auto"/>
          </w:tcPr>
          <w:p w14:paraId="1A247A2C" w14:textId="77777777" w:rsidR="009072CE" w:rsidRPr="00A07F29" w:rsidRDefault="009072CE" w:rsidP="00E34453">
            <w:pPr>
              <w:spacing w:before="60" w:after="60" w:line="240" w:lineRule="auto"/>
              <w:jc w:val="both"/>
              <w:rPr>
                <w:rFonts w:ascii="Times New Roman" w:eastAsia="Calibri" w:hAnsi="Times New Roman" w:cs="Calibri"/>
                <w:i/>
                <w:sz w:val="24"/>
              </w:rPr>
            </w:pPr>
            <w:proofErr w:type="spellStart"/>
            <w:r w:rsidRPr="00A07F29">
              <w:rPr>
                <w:rFonts w:ascii="Times New Roman" w:eastAsia="Calibri" w:hAnsi="Times New Roman" w:cs="Calibri"/>
                <w:i/>
                <w:sz w:val="24"/>
              </w:rPr>
              <w:t>Eptesicus</w:t>
            </w:r>
            <w:proofErr w:type="spellEnd"/>
            <w:r w:rsidRPr="00A07F29">
              <w:rPr>
                <w:rFonts w:ascii="Times New Roman" w:eastAsia="Calibri" w:hAnsi="Times New Roman" w:cs="Calibri"/>
                <w:i/>
                <w:sz w:val="24"/>
              </w:rPr>
              <w:t xml:space="preserve"> </w:t>
            </w:r>
            <w:proofErr w:type="spellStart"/>
            <w:r w:rsidRPr="00A07F29">
              <w:rPr>
                <w:rFonts w:ascii="Times New Roman" w:eastAsia="Calibri" w:hAnsi="Times New Roman" w:cs="Calibri"/>
                <w:i/>
                <w:sz w:val="24"/>
              </w:rPr>
              <w:t>nilssonii</w:t>
            </w:r>
            <w:proofErr w:type="spellEnd"/>
          </w:p>
        </w:tc>
        <w:tc>
          <w:tcPr>
            <w:tcW w:w="3260" w:type="dxa"/>
            <w:shd w:val="clear" w:color="auto" w:fill="auto"/>
          </w:tcPr>
          <w:p w14:paraId="046FB777" w14:textId="77777777" w:rsidR="009072CE" w:rsidRPr="00A07F29" w:rsidRDefault="009072CE" w:rsidP="00E34453">
            <w:pPr>
              <w:spacing w:before="60" w:after="60" w:line="240" w:lineRule="auto"/>
              <w:jc w:val="both"/>
              <w:rPr>
                <w:rFonts w:ascii="Times New Roman" w:eastAsia="Calibri" w:hAnsi="Times New Roman" w:cs="Calibri"/>
                <w:sz w:val="24"/>
              </w:rPr>
            </w:pPr>
            <w:r w:rsidRPr="00A07F29">
              <w:rPr>
                <w:rFonts w:ascii="Times New Roman" w:eastAsia="Calibri" w:hAnsi="Times New Roman" w:cs="Calibri"/>
                <w:sz w:val="24"/>
              </w:rPr>
              <w:t>Ziemeļu sikspārnis</w:t>
            </w:r>
          </w:p>
        </w:tc>
        <w:tc>
          <w:tcPr>
            <w:tcW w:w="2835" w:type="dxa"/>
            <w:shd w:val="clear" w:color="auto" w:fill="auto"/>
          </w:tcPr>
          <w:p w14:paraId="4CDDFCAA" w14:textId="77777777" w:rsidR="009072CE" w:rsidRPr="00A07F29" w:rsidRDefault="009072CE" w:rsidP="00E34453">
            <w:pPr>
              <w:spacing w:before="60" w:after="60" w:line="240" w:lineRule="auto"/>
              <w:ind w:firstLine="48"/>
              <w:jc w:val="center"/>
              <w:rPr>
                <w:rFonts w:ascii="Times New Roman" w:eastAsia="Calibri" w:hAnsi="Times New Roman" w:cs="Calibri"/>
                <w:sz w:val="24"/>
              </w:rPr>
            </w:pPr>
            <w:r w:rsidRPr="00A07F29">
              <w:rPr>
                <w:rFonts w:ascii="Times New Roman" w:eastAsia="Calibri" w:hAnsi="Times New Roman" w:cs="Calibri"/>
                <w:sz w:val="24"/>
              </w:rPr>
              <w:t>54</w:t>
            </w:r>
          </w:p>
        </w:tc>
      </w:tr>
      <w:tr w:rsidR="009072CE" w:rsidRPr="00A07F29" w14:paraId="645E2841" w14:textId="77777777" w:rsidTr="007905A0">
        <w:trPr>
          <w:jc w:val="center"/>
        </w:trPr>
        <w:tc>
          <w:tcPr>
            <w:tcW w:w="2972" w:type="dxa"/>
            <w:shd w:val="clear" w:color="auto" w:fill="auto"/>
          </w:tcPr>
          <w:p w14:paraId="68123543" w14:textId="77777777" w:rsidR="009072CE" w:rsidRPr="00A07F29" w:rsidRDefault="009072CE" w:rsidP="00E34453">
            <w:pPr>
              <w:spacing w:before="60" w:after="60" w:line="240" w:lineRule="auto"/>
              <w:jc w:val="both"/>
              <w:rPr>
                <w:rFonts w:ascii="Times New Roman" w:eastAsia="Calibri" w:hAnsi="Times New Roman" w:cs="Calibri"/>
                <w:i/>
                <w:sz w:val="24"/>
              </w:rPr>
            </w:pPr>
            <w:proofErr w:type="spellStart"/>
            <w:r w:rsidRPr="00A07F29">
              <w:rPr>
                <w:rFonts w:ascii="Times New Roman" w:eastAsia="Calibri" w:hAnsi="Times New Roman" w:cs="Calibri"/>
                <w:i/>
                <w:sz w:val="24"/>
              </w:rPr>
              <w:t>Nyctalus</w:t>
            </w:r>
            <w:proofErr w:type="spellEnd"/>
            <w:r w:rsidRPr="00A07F29">
              <w:rPr>
                <w:rFonts w:ascii="Times New Roman" w:eastAsia="Calibri" w:hAnsi="Times New Roman" w:cs="Calibri"/>
                <w:i/>
                <w:sz w:val="24"/>
              </w:rPr>
              <w:t xml:space="preserve"> </w:t>
            </w:r>
            <w:proofErr w:type="spellStart"/>
            <w:r w:rsidRPr="00A07F29">
              <w:rPr>
                <w:rFonts w:ascii="Times New Roman" w:eastAsia="Calibri" w:hAnsi="Times New Roman" w:cs="Calibri"/>
                <w:i/>
                <w:sz w:val="24"/>
              </w:rPr>
              <w:t>noctula</w:t>
            </w:r>
            <w:proofErr w:type="spellEnd"/>
          </w:p>
        </w:tc>
        <w:tc>
          <w:tcPr>
            <w:tcW w:w="3260" w:type="dxa"/>
            <w:shd w:val="clear" w:color="auto" w:fill="auto"/>
          </w:tcPr>
          <w:p w14:paraId="1D924327" w14:textId="77777777" w:rsidR="009072CE" w:rsidRPr="00A07F29" w:rsidRDefault="009072CE" w:rsidP="00E34453">
            <w:pPr>
              <w:spacing w:before="60" w:after="60" w:line="240" w:lineRule="auto"/>
              <w:jc w:val="both"/>
              <w:rPr>
                <w:rFonts w:ascii="Times New Roman" w:eastAsia="Calibri" w:hAnsi="Times New Roman" w:cs="Calibri"/>
                <w:sz w:val="24"/>
              </w:rPr>
            </w:pPr>
            <w:r w:rsidRPr="00A07F29">
              <w:rPr>
                <w:rFonts w:ascii="Times New Roman" w:eastAsia="Calibri" w:hAnsi="Times New Roman" w:cs="Calibri"/>
                <w:sz w:val="24"/>
              </w:rPr>
              <w:t xml:space="preserve">Rūsganais </w:t>
            </w:r>
            <w:proofErr w:type="spellStart"/>
            <w:r w:rsidRPr="00A07F29">
              <w:rPr>
                <w:rFonts w:ascii="Times New Roman" w:eastAsia="Calibri" w:hAnsi="Times New Roman" w:cs="Calibri"/>
                <w:sz w:val="24"/>
              </w:rPr>
              <w:t>vakarsikspārnis</w:t>
            </w:r>
            <w:proofErr w:type="spellEnd"/>
          </w:p>
        </w:tc>
        <w:tc>
          <w:tcPr>
            <w:tcW w:w="2835" w:type="dxa"/>
            <w:shd w:val="clear" w:color="auto" w:fill="auto"/>
          </w:tcPr>
          <w:p w14:paraId="0F26F3A8" w14:textId="77777777" w:rsidR="009072CE" w:rsidRPr="00A07F29" w:rsidRDefault="009072CE" w:rsidP="00E34453">
            <w:pPr>
              <w:spacing w:before="60" w:after="60" w:line="240" w:lineRule="auto"/>
              <w:ind w:firstLine="48"/>
              <w:jc w:val="center"/>
              <w:rPr>
                <w:rFonts w:ascii="Times New Roman" w:eastAsia="Calibri" w:hAnsi="Times New Roman" w:cs="Calibri"/>
                <w:sz w:val="24"/>
              </w:rPr>
            </w:pPr>
            <w:r w:rsidRPr="00A07F29">
              <w:rPr>
                <w:rFonts w:ascii="Times New Roman" w:eastAsia="Calibri" w:hAnsi="Times New Roman" w:cs="Calibri"/>
                <w:sz w:val="24"/>
              </w:rPr>
              <w:t>36</w:t>
            </w:r>
          </w:p>
        </w:tc>
      </w:tr>
      <w:tr w:rsidR="009072CE" w:rsidRPr="00A07F29" w14:paraId="16A047AC" w14:textId="77777777" w:rsidTr="007905A0">
        <w:trPr>
          <w:jc w:val="center"/>
        </w:trPr>
        <w:tc>
          <w:tcPr>
            <w:tcW w:w="2972" w:type="dxa"/>
            <w:shd w:val="clear" w:color="auto" w:fill="auto"/>
          </w:tcPr>
          <w:p w14:paraId="0B3B369C" w14:textId="77777777" w:rsidR="009072CE" w:rsidRPr="00A07F29" w:rsidRDefault="009072CE" w:rsidP="00E34453">
            <w:pPr>
              <w:spacing w:before="60" w:after="60" w:line="240" w:lineRule="auto"/>
              <w:jc w:val="both"/>
              <w:rPr>
                <w:rFonts w:ascii="Times New Roman" w:eastAsia="Calibri" w:hAnsi="Times New Roman" w:cs="Calibri"/>
                <w:i/>
                <w:sz w:val="24"/>
              </w:rPr>
            </w:pPr>
            <w:proofErr w:type="spellStart"/>
            <w:r w:rsidRPr="00A07F29">
              <w:rPr>
                <w:rFonts w:ascii="Times New Roman" w:eastAsia="Calibri" w:hAnsi="Times New Roman" w:cs="Calibri"/>
                <w:i/>
                <w:sz w:val="24"/>
              </w:rPr>
              <w:t>Pipistrellus</w:t>
            </w:r>
            <w:proofErr w:type="spellEnd"/>
            <w:r w:rsidRPr="00A07F29">
              <w:rPr>
                <w:rFonts w:ascii="Times New Roman" w:eastAsia="Calibri" w:hAnsi="Times New Roman" w:cs="Calibri"/>
                <w:i/>
                <w:sz w:val="24"/>
              </w:rPr>
              <w:t xml:space="preserve"> </w:t>
            </w:r>
            <w:proofErr w:type="spellStart"/>
            <w:r w:rsidRPr="00A07F29">
              <w:rPr>
                <w:rFonts w:ascii="Times New Roman" w:eastAsia="Calibri" w:hAnsi="Times New Roman" w:cs="Calibri"/>
                <w:i/>
                <w:sz w:val="24"/>
              </w:rPr>
              <w:t>pygmaeus</w:t>
            </w:r>
            <w:proofErr w:type="spellEnd"/>
          </w:p>
        </w:tc>
        <w:tc>
          <w:tcPr>
            <w:tcW w:w="3260" w:type="dxa"/>
            <w:shd w:val="clear" w:color="auto" w:fill="auto"/>
          </w:tcPr>
          <w:p w14:paraId="79AAAED9" w14:textId="77777777" w:rsidR="009072CE" w:rsidRPr="00A07F29" w:rsidRDefault="009072CE" w:rsidP="00E34453">
            <w:pPr>
              <w:spacing w:before="60" w:after="60" w:line="240" w:lineRule="auto"/>
              <w:jc w:val="both"/>
              <w:rPr>
                <w:rFonts w:ascii="Times New Roman" w:eastAsia="Calibri" w:hAnsi="Times New Roman" w:cs="Calibri"/>
                <w:sz w:val="24"/>
              </w:rPr>
            </w:pPr>
            <w:proofErr w:type="spellStart"/>
            <w:r w:rsidRPr="00A07F29">
              <w:rPr>
                <w:rFonts w:ascii="Times New Roman" w:eastAsia="Calibri" w:hAnsi="Times New Roman" w:cs="Calibri"/>
                <w:sz w:val="24"/>
              </w:rPr>
              <w:t>Pigmejsikspārnis</w:t>
            </w:r>
            <w:proofErr w:type="spellEnd"/>
          </w:p>
        </w:tc>
        <w:tc>
          <w:tcPr>
            <w:tcW w:w="2835" w:type="dxa"/>
            <w:shd w:val="clear" w:color="auto" w:fill="auto"/>
          </w:tcPr>
          <w:p w14:paraId="2402B32B" w14:textId="77777777" w:rsidR="009072CE" w:rsidRPr="00A07F29" w:rsidRDefault="009072CE" w:rsidP="00E34453">
            <w:pPr>
              <w:spacing w:before="60" w:after="60" w:line="240" w:lineRule="auto"/>
              <w:ind w:firstLine="48"/>
              <w:jc w:val="center"/>
              <w:rPr>
                <w:rFonts w:ascii="Times New Roman" w:eastAsia="Calibri" w:hAnsi="Times New Roman" w:cs="Calibri"/>
                <w:sz w:val="24"/>
              </w:rPr>
            </w:pPr>
            <w:r w:rsidRPr="00A07F29">
              <w:rPr>
                <w:rFonts w:ascii="Times New Roman" w:eastAsia="Calibri" w:hAnsi="Times New Roman" w:cs="Calibri"/>
                <w:sz w:val="24"/>
              </w:rPr>
              <w:t>11</w:t>
            </w:r>
          </w:p>
        </w:tc>
      </w:tr>
      <w:tr w:rsidR="009072CE" w:rsidRPr="00A07F29" w14:paraId="79ABF5E5" w14:textId="77777777" w:rsidTr="007905A0">
        <w:trPr>
          <w:jc w:val="center"/>
        </w:trPr>
        <w:tc>
          <w:tcPr>
            <w:tcW w:w="2972" w:type="dxa"/>
            <w:shd w:val="clear" w:color="auto" w:fill="auto"/>
          </w:tcPr>
          <w:p w14:paraId="1DEA5D2A" w14:textId="77777777" w:rsidR="009072CE" w:rsidRPr="00A07F29" w:rsidRDefault="009072CE" w:rsidP="00E34453">
            <w:pPr>
              <w:spacing w:before="60" w:after="60" w:line="240" w:lineRule="auto"/>
              <w:jc w:val="both"/>
              <w:rPr>
                <w:rFonts w:ascii="Times New Roman" w:eastAsia="Calibri" w:hAnsi="Times New Roman" w:cs="Calibri"/>
                <w:i/>
                <w:sz w:val="24"/>
              </w:rPr>
            </w:pPr>
            <w:proofErr w:type="spellStart"/>
            <w:r w:rsidRPr="00A07F29">
              <w:rPr>
                <w:rFonts w:ascii="Times New Roman" w:eastAsia="Calibri" w:hAnsi="Times New Roman" w:cs="Calibri"/>
                <w:i/>
                <w:sz w:val="24"/>
              </w:rPr>
              <w:t>Vespertilio</w:t>
            </w:r>
            <w:proofErr w:type="spellEnd"/>
            <w:r w:rsidRPr="00A07F29">
              <w:rPr>
                <w:rFonts w:ascii="Times New Roman" w:eastAsia="Calibri" w:hAnsi="Times New Roman" w:cs="Calibri"/>
                <w:i/>
                <w:sz w:val="24"/>
              </w:rPr>
              <w:t xml:space="preserve"> </w:t>
            </w:r>
            <w:proofErr w:type="spellStart"/>
            <w:r w:rsidRPr="00A07F29">
              <w:rPr>
                <w:rFonts w:ascii="Times New Roman" w:eastAsia="Calibri" w:hAnsi="Times New Roman" w:cs="Calibri"/>
                <w:i/>
                <w:sz w:val="24"/>
              </w:rPr>
              <w:t>murinus</w:t>
            </w:r>
            <w:proofErr w:type="spellEnd"/>
          </w:p>
        </w:tc>
        <w:tc>
          <w:tcPr>
            <w:tcW w:w="3260" w:type="dxa"/>
            <w:shd w:val="clear" w:color="auto" w:fill="auto"/>
          </w:tcPr>
          <w:p w14:paraId="4304D944" w14:textId="77777777" w:rsidR="009072CE" w:rsidRPr="00A07F29" w:rsidRDefault="009072CE" w:rsidP="00E34453">
            <w:pPr>
              <w:spacing w:before="60" w:after="60" w:line="240" w:lineRule="auto"/>
              <w:jc w:val="both"/>
              <w:rPr>
                <w:rFonts w:ascii="Times New Roman" w:eastAsia="Calibri" w:hAnsi="Times New Roman" w:cs="Calibri"/>
                <w:sz w:val="24"/>
              </w:rPr>
            </w:pPr>
            <w:r w:rsidRPr="00A07F29">
              <w:rPr>
                <w:rFonts w:ascii="Times New Roman" w:eastAsia="Calibri" w:hAnsi="Times New Roman" w:cs="Calibri"/>
                <w:sz w:val="24"/>
              </w:rPr>
              <w:t>Divkrāsainais sikspārnis</w:t>
            </w:r>
          </w:p>
        </w:tc>
        <w:tc>
          <w:tcPr>
            <w:tcW w:w="2835" w:type="dxa"/>
            <w:shd w:val="clear" w:color="auto" w:fill="auto"/>
          </w:tcPr>
          <w:p w14:paraId="2C0FEAB5" w14:textId="77777777" w:rsidR="009072CE" w:rsidRPr="00A07F29" w:rsidRDefault="009072CE" w:rsidP="00E34453">
            <w:pPr>
              <w:spacing w:before="60" w:after="60" w:line="240" w:lineRule="auto"/>
              <w:ind w:firstLine="48"/>
              <w:jc w:val="center"/>
              <w:rPr>
                <w:rFonts w:ascii="Times New Roman" w:eastAsia="Calibri" w:hAnsi="Times New Roman" w:cs="Calibri"/>
                <w:sz w:val="24"/>
              </w:rPr>
            </w:pPr>
            <w:r w:rsidRPr="00A07F29">
              <w:rPr>
                <w:rFonts w:ascii="Times New Roman" w:eastAsia="Calibri" w:hAnsi="Times New Roman" w:cs="Calibri"/>
                <w:sz w:val="24"/>
              </w:rPr>
              <w:t>11</w:t>
            </w:r>
          </w:p>
        </w:tc>
      </w:tr>
      <w:tr w:rsidR="009072CE" w:rsidRPr="00A07F29" w14:paraId="0BC3C188" w14:textId="77777777" w:rsidTr="007905A0">
        <w:trPr>
          <w:jc w:val="center"/>
        </w:trPr>
        <w:tc>
          <w:tcPr>
            <w:tcW w:w="2972" w:type="dxa"/>
            <w:shd w:val="clear" w:color="auto" w:fill="auto"/>
          </w:tcPr>
          <w:p w14:paraId="550551B8" w14:textId="77777777" w:rsidR="009072CE" w:rsidRPr="00A07F29" w:rsidRDefault="009072CE" w:rsidP="00E34453">
            <w:pPr>
              <w:spacing w:before="60" w:after="60" w:line="240" w:lineRule="auto"/>
              <w:jc w:val="both"/>
              <w:rPr>
                <w:rFonts w:ascii="Times New Roman" w:eastAsia="Calibri" w:hAnsi="Times New Roman" w:cs="Calibri"/>
                <w:i/>
                <w:sz w:val="24"/>
              </w:rPr>
            </w:pPr>
            <w:proofErr w:type="spellStart"/>
            <w:r w:rsidRPr="00A07F29">
              <w:rPr>
                <w:rFonts w:ascii="Times New Roman" w:eastAsia="Calibri" w:hAnsi="Times New Roman" w:cs="Calibri"/>
                <w:i/>
                <w:sz w:val="24"/>
              </w:rPr>
              <w:t>Myotis</w:t>
            </w:r>
            <w:proofErr w:type="spellEnd"/>
            <w:r w:rsidRPr="00A07F29">
              <w:rPr>
                <w:rFonts w:ascii="Times New Roman" w:eastAsia="Calibri" w:hAnsi="Times New Roman" w:cs="Calibri"/>
                <w:i/>
                <w:sz w:val="24"/>
              </w:rPr>
              <w:t xml:space="preserve"> </w:t>
            </w:r>
            <w:proofErr w:type="spellStart"/>
            <w:r w:rsidRPr="00A07F29">
              <w:rPr>
                <w:rFonts w:ascii="Times New Roman" w:eastAsia="Calibri" w:hAnsi="Times New Roman" w:cs="Calibri"/>
                <w:i/>
                <w:sz w:val="24"/>
              </w:rPr>
              <w:t>dasycneme</w:t>
            </w:r>
            <w:proofErr w:type="spellEnd"/>
            <w:r w:rsidRPr="00A07F29">
              <w:rPr>
                <w:rFonts w:ascii="Times New Roman" w:eastAsia="Calibri" w:hAnsi="Times New Roman" w:cs="Calibri"/>
                <w:i/>
                <w:sz w:val="24"/>
              </w:rPr>
              <w:t xml:space="preserve"> </w:t>
            </w:r>
          </w:p>
        </w:tc>
        <w:tc>
          <w:tcPr>
            <w:tcW w:w="3260" w:type="dxa"/>
            <w:shd w:val="clear" w:color="auto" w:fill="auto"/>
          </w:tcPr>
          <w:p w14:paraId="481CDFAD" w14:textId="77777777" w:rsidR="009072CE" w:rsidRPr="00A07F29" w:rsidRDefault="009072CE" w:rsidP="00E34453">
            <w:pPr>
              <w:spacing w:before="60" w:after="60" w:line="240" w:lineRule="auto"/>
              <w:jc w:val="both"/>
              <w:rPr>
                <w:rFonts w:ascii="Times New Roman" w:eastAsia="Calibri" w:hAnsi="Times New Roman" w:cs="Calibri"/>
                <w:sz w:val="24"/>
              </w:rPr>
            </w:pPr>
            <w:r w:rsidRPr="00A07F29">
              <w:rPr>
                <w:rFonts w:ascii="Times New Roman" w:eastAsia="Calibri" w:hAnsi="Times New Roman" w:cs="Calibri"/>
                <w:sz w:val="24"/>
              </w:rPr>
              <w:t xml:space="preserve">Dīķu </w:t>
            </w:r>
            <w:proofErr w:type="spellStart"/>
            <w:r w:rsidRPr="00A07F29">
              <w:rPr>
                <w:rFonts w:ascii="Times New Roman" w:eastAsia="Calibri" w:hAnsi="Times New Roman" w:cs="Calibri"/>
                <w:sz w:val="24"/>
              </w:rPr>
              <w:t>naktssikspārnis</w:t>
            </w:r>
            <w:proofErr w:type="spellEnd"/>
          </w:p>
        </w:tc>
        <w:tc>
          <w:tcPr>
            <w:tcW w:w="2835" w:type="dxa"/>
            <w:shd w:val="clear" w:color="auto" w:fill="auto"/>
          </w:tcPr>
          <w:p w14:paraId="16BDD5E7" w14:textId="77777777" w:rsidR="009072CE" w:rsidRPr="00A07F29" w:rsidRDefault="009072CE" w:rsidP="00E34453">
            <w:pPr>
              <w:spacing w:before="60" w:after="60" w:line="240" w:lineRule="auto"/>
              <w:ind w:firstLine="48"/>
              <w:jc w:val="center"/>
              <w:rPr>
                <w:rFonts w:ascii="Times New Roman" w:eastAsia="Calibri" w:hAnsi="Times New Roman" w:cs="Calibri"/>
                <w:sz w:val="24"/>
              </w:rPr>
            </w:pPr>
            <w:r w:rsidRPr="00A07F29">
              <w:rPr>
                <w:rFonts w:ascii="Times New Roman" w:eastAsia="Calibri" w:hAnsi="Times New Roman" w:cs="Calibri"/>
                <w:sz w:val="24"/>
              </w:rPr>
              <w:t>6</w:t>
            </w:r>
          </w:p>
        </w:tc>
      </w:tr>
      <w:tr w:rsidR="009072CE" w:rsidRPr="00A07F29" w14:paraId="29EC6690" w14:textId="77777777" w:rsidTr="007905A0">
        <w:trPr>
          <w:jc w:val="center"/>
        </w:trPr>
        <w:tc>
          <w:tcPr>
            <w:tcW w:w="2972" w:type="dxa"/>
            <w:shd w:val="clear" w:color="auto" w:fill="auto"/>
          </w:tcPr>
          <w:p w14:paraId="6FE4443D" w14:textId="77777777" w:rsidR="009072CE" w:rsidRPr="00A07F29" w:rsidRDefault="009072CE" w:rsidP="00E34453">
            <w:pPr>
              <w:spacing w:before="60" w:after="60" w:line="240" w:lineRule="auto"/>
              <w:jc w:val="both"/>
              <w:rPr>
                <w:rFonts w:ascii="Times New Roman" w:eastAsia="Calibri" w:hAnsi="Times New Roman" w:cs="Calibri"/>
                <w:i/>
                <w:sz w:val="24"/>
              </w:rPr>
            </w:pPr>
            <w:proofErr w:type="spellStart"/>
            <w:r w:rsidRPr="00A07F29">
              <w:rPr>
                <w:rFonts w:ascii="Times New Roman" w:eastAsia="Calibri" w:hAnsi="Times New Roman" w:cs="Calibri"/>
                <w:i/>
                <w:sz w:val="24"/>
              </w:rPr>
              <w:t>Myotis</w:t>
            </w:r>
            <w:proofErr w:type="spellEnd"/>
            <w:r w:rsidRPr="00A07F29">
              <w:rPr>
                <w:rFonts w:ascii="Times New Roman" w:eastAsia="Calibri" w:hAnsi="Times New Roman" w:cs="Calibri"/>
                <w:i/>
                <w:sz w:val="24"/>
              </w:rPr>
              <w:t xml:space="preserve"> </w:t>
            </w:r>
            <w:proofErr w:type="spellStart"/>
            <w:r w:rsidRPr="00A07F29">
              <w:rPr>
                <w:rFonts w:ascii="Times New Roman" w:eastAsia="Calibri" w:hAnsi="Times New Roman" w:cs="Calibri"/>
                <w:i/>
                <w:sz w:val="24"/>
              </w:rPr>
              <w:t>daubentonii</w:t>
            </w:r>
            <w:proofErr w:type="spellEnd"/>
          </w:p>
        </w:tc>
        <w:tc>
          <w:tcPr>
            <w:tcW w:w="3260" w:type="dxa"/>
            <w:shd w:val="clear" w:color="auto" w:fill="auto"/>
          </w:tcPr>
          <w:p w14:paraId="231ABD17" w14:textId="77777777" w:rsidR="009072CE" w:rsidRPr="00A07F29" w:rsidRDefault="009072CE" w:rsidP="00E34453">
            <w:pPr>
              <w:spacing w:before="60" w:after="60" w:line="240" w:lineRule="auto"/>
              <w:jc w:val="both"/>
              <w:rPr>
                <w:rFonts w:ascii="Times New Roman" w:eastAsia="Calibri" w:hAnsi="Times New Roman" w:cs="Calibri"/>
                <w:sz w:val="24"/>
              </w:rPr>
            </w:pPr>
            <w:r w:rsidRPr="00A07F29">
              <w:rPr>
                <w:rFonts w:ascii="Times New Roman" w:eastAsia="Calibri" w:hAnsi="Times New Roman" w:cs="Calibri"/>
                <w:sz w:val="24"/>
              </w:rPr>
              <w:t xml:space="preserve">Ūdeņu </w:t>
            </w:r>
            <w:proofErr w:type="spellStart"/>
            <w:r w:rsidRPr="00A07F29">
              <w:rPr>
                <w:rFonts w:ascii="Times New Roman" w:eastAsia="Calibri" w:hAnsi="Times New Roman" w:cs="Calibri"/>
                <w:sz w:val="24"/>
              </w:rPr>
              <w:t>naktssikspārnis</w:t>
            </w:r>
            <w:proofErr w:type="spellEnd"/>
          </w:p>
        </w:tc>
        <w:tc>
          <w:tcPr>
            <w:tcW w:w="2835" w:type="dxa"/>
            <w:shd w:val="clear" w:color="auto" w:fill="auto"/>
          </w:tcPr>
          <w:p w14:paraId="53D4E89B" w14:textId="77777777" w:rsidR="009072CE" w:rsidRPr="00A07F29" w:rsidRDefault="009072CE" w:rsidP="00E34453">
            <w:pPr>
              <w:spacing w:before="60" w:after="60" w:line="240" w:lineRule="auto"/>
              <w:ind w:firstLine="48"/>
              <w:jc w:val="center"/>
              <w:rPr>
                <w:rFonts w:ascii="Times New Roman" w:eastAsia="Calibri" w:hAnsi="Times New Roman" w:cs="Calibri"/>
                <w:sz w:val="24"/>
              </w:rPr>
            </w:pPr>
            <w:r w:rsidRPr="00A07F29">
              <w:rPr>
                <w:rFonts w:ascii="Times New Roman" w:eastAsia="Calibri" w:hAnsi="Times New Roman" w:cs="Calibri"/>
                <w:sz w:val="24"/>
              </w:rPr>
              <w:t>3</w:t>
            </w:r>
          </w:p>
        </w:tc>
      </w:tr>
      <w:tr w:rsidR="009072CE" w:rsidRPr="00A07F29" w14:paraId="3473C403" w14:textId="77777777" w:rsidTr="007905A0">
        <w:trPr>
          <w:jc w:val="center"/>
        </w:trPr>
        <w:tc>
          <w:tcPr>
            <w:tcW w:w="2972" w:type="dxa"/>
            <w:shd w:val="clear" w:color="auto" w:fill="auto"/>
          </w:tcPr>
          <w:p w14:paraId="6D277D7F" w14:textId="77777777" w:rsidR="009072CE" w:rsidRPr="00A07F29" w:rsidRDefault="009072CE" w:rsidP="00E34453">
            <w:pPr>
              <w:spacing w:before="60" w:after="60" w:line="240" w:lineRule="auto"/>
              <w:jc w:val="both"/>
              <w:rPr>
                <w:rFonts w:ascii="Times New Roman" w:eastAsia="Calibri" w:hAnsi="Times New Roman" w:cs="Calibri"/>
                <w:i/>
                <w:sz w:val="24"/>
              </w:rPr>
            </w:pPr>
            <w:proofErr w:type="spellStart"/>
            <w:r w:rsidRPr="00A07F29">
              <w:rPr>
                <w:rFonts w:ascii="Times New Roman" w:eastAsia="Calibri" w:hAnsi="Times New Roman" w:cs="Calibri"/>
                <w:i/>
                <w:sz w:val="24"/>
              </w:rPr>
              <w:t>Plecotus</w:t>
            </w:r>
            <w:proofErr w:type="spellEnd"/>
            <w:r w:rsidRPr="00A07F29">
              <w:rPr>
                <w:rFonts w:ascii="Times New Roman" w:eastAsia="Calibri" w:hAnsi="Times New Roman" w:cs="Calibri"/>
                <w:i/>
                <w:sz w:val="24"/>
              </w:rPr>
              <w:t xml:space="preserve"> </w:t>
            </w:r>
            <w:proofErr w:type="spellStart"/>
            <w:r w:rsidRPr="00A07F29">
              <w:rPr>
                <w:rFonts w:ascii="Times New Roman" w:eastAsia="Calibri" w:hAnsi="Times New Roman" w:cs="Calibri"/>
                <w:i/>
                <w:sz w:val="24"/>
              </w:rPr>
              <w:t>auritus</w:t>
            </w:r>
            <w:proofErr w:type="spellEnd"/>
          </w:p>
        </w:tc>
        <w:tc>
          <w:tcPr>
            <w:tcW w:w="3260" w:type="dxa"/>
            <w:shd w:val="clear" w:color="auto" w:fill="auto"/>
          </w:tcPr>
          <w:p w14:paraId="1F067384" w14:textId="77777777" w:rsidR="009072CE" w:rsidRPr="00A07F29" w:rsidRDefault="009072CE" w:rsidP="00E34453">
            <w:pPr>
              <w:spacing w:before="60" w:after="60" w:line="240" w:lineRule="auto"/>
              <w:jc w:val="both"/>
              <w:rPr>
                <w:rFonts w:ascii="Times New Roman" w:eastAsia="Calibri" w:hAnsi="Times New Roman" w:cs="Calibri"/>
                <w:sz w:val="24"/>
              </w:rPr>
            </w:pPr>
            <w:r w:rsidRPr="00A07F29">
              <w:rPr>
                <w:rFonts w:ascii="Times New Roman" w:eastAsia="Calibri" w:hAnsi="Times New Roman" w:cs="Calibri"/>
                <w:sz w:val="24"/>
              </w:rPr>
              <w:t xml:space="preserve">Brūnais </w:t>
            </w:r>
            <w:proofErr w:type="spellStart"/>
            <w:r w:rsidRPr="00A07F29">
              <w:rPr>
                <w:rFonts w:ascii="Times New Roman" w:eastAsia="Calibri" w:hAnsi="Times New Roman" w:cs="Calibri"/>
                <w:sz w:val="24"/>
              </w:rPr>
              <w:t>garausainis</w:t>
            </w:r>
            <w:proofErr w:type="spellEnd"/>
          </w:p>
        </w:tc>
        <w:tc>
          <w:tcPr>
            <w:tcW w:w="2835" w:type="dxa"/>
            <w:shd w:val="clear" w:color="auto" w:fill="auto"/>
          </w:tcPr>
          <w:p w14:paraId="558A4487" w14:textId="77777777" w:rsidR="009072CE" w:rsidRPr="00A07F29" w:rsidRDefault="009072CE" w:rsidP="00E34453">
            <w:pPr>
              <w:spacing w:before="60" w:after="60" w:line="240" w:lineRule="auto"/>
              <w:ind w:firstLine="48"/>
              <w:jc w:val="center"/>
              <w:rPr>
                <w:rFonts w:ascii="Times New Roman" w:eastAsia="Calibri" w:hAnsi="Times New Roman" w:cs="Calibri"/>
                <w:sz w:val="24"/>
              </w:rPr>
            </w:pPr>
            <w:r w:rsidRPr="00A07F29">
              <w:rPr>
                <w:rFonts w:ascii="Times New Roman" w:eastAsia="Calibri" w:hAnsi="Times New Roman" w:cs="Calibri"/>
                <w:sz w:val="24"/>
              </w:rPr>
              <w:t>2</w:t>
            </w:r>
          </w:p>
        </w:tc>
      </w:tr>
      <w:tr w:rsidR="009072CE" w:rsidRPr="00A07F29" w14:paraId="17178E39" w14:textId="77777777" w:rsidTr="007905A0">
        <w:trPr>
          <w:jc w:val="center"/>
        </w:trPr>
        <w:tc>
          <w:tcPr>
            <w:tcW w:w="2972" w:type="dxa"/>
            <w:shd w:val="clear" w:color="auto" w:fill="auto"/>
          </w:tcPr>
          <w:p w14:paraId="5833802E" w14:textId="77777777" w:rsidR="009072CE" w:rsidRPr="00A07F29" w:rsidRDefault="009072CE" w:rsidP="00E34453">
            <w:pPr>
              <w:spacing w:before="60" w:after="60" w:line="240" w:lineRule="auto"/>
              <w:jc w:val="both"/>
              <w:rPr>
                <w:rFonts w:ascii="Times New Roman" w:eastAsia="Calibri" w:hAnsi="Times New Roman" w:cs="Calibri"/>
                <w:i/>
                <w:sz w:val="24"/>
              </w:rPr>
            </w:pPr>
            <w:proofErr w:type="spellStart"/>
            <w:r w:rsidRPr="00A07F29">
              <w:rPr>
                <w:rFonts w:ascii="Times New Roman" w:eastAsia="Calibri" w:hAnsi="Times New Roman" w:cs="Calibri"/>
                <w:i/>
                <w:sz w:val="24"/>
              </w:rPr>
              <w:t>Pipistrellus</w:t>
            </w:r>
            <w:proofErr w:type="spellEnd"/>
            <w:r w:rsidRPr="00A07F29">
              <w:rPr>
                <w:rFonts w:ascii="Times New Roman" w:eastAsia="Calibri" w:hAnsi="Times New Roman" w:cs="Calibri"/>
                <w:i/>
                <w:sz w:val="24"/>
              </w:rPr>
              <w:t xml:space="preserve"> </w:t>
            </w:r>
            <w:proofErr w:type="spellStart"/>
            <w:r w:rsidRPr="00A07F29">
              <w:rPr>
                <w:rFonts w:ascii="Times New Roman" w:eastAsia="Calibri" w:hAnsi="Times New Roman" w:cs="Calibri"/>
                <w:i/>
                <w:sz w:val="24"/>
              </w:rPr>
              <w:t>pipistrellus</w:t>
            </w:r>
            <w:proofErr w:type="spellEnd"/>
          </w:p>
        </w:tc>
        <w:tc>
          <w:tcPr>
            <w:tcW w:w="3260" w:type="dxa"/>
            <w:shd w:val="clear" w:color="auto" w:fill="auto"/>
          </w:tcPr>
          <w:p w14:paraId="4AC93D6D" w14:textId="77777777" w:rsidR="009072CE" w:rsidRPr="00A07F29" w:rsidRDefault="009072CE" w:rsidP="00E34453">
            <w:pPr>
              <w:spacing w:before="60" w:after="60" w:line="240" w:lineRule="auto"/>
              <w:jc w:val="both"/>
              <w:rPr>
                <w:rFonts w:ascii="Times New Roman" w:eastAsia="Calibri" w:hAnsi="Times New Roman" w:cs="Calibri"/>
                <w:sz w:val="24"/>
              </w:rPr>
            </w:pPr>
            <w:proofErr w:type="spellStart"/>
            <w:r w:rsidRPr="00A07F29">
              <w:rPr>
                <w:rFonts w:ascii="Times New Roman" w:eastAsia="Calibri" w:hAnsi="Times New Roman" w:cs="Calibri"/>
                <w:sz w:val="24"/>
              </w:rPr>
              <w:t>Pundursikspārnis</w:t>
            </w:r>
            <w:proofErr w:type="spellEnd"/>
          </w:p>
        </w:tc>
        <w:tc>
          <w:tcPr>
            <w:tcW w:w="2835" w:type="dxa"/>
            <w:shd w:val="clear" w:color="auto" w:fill="auto"/>
          </w:tcPr>
          <w:p w14:paraId="25465AD6" w14:textId="77777777" w:rsidR="009072CE" w:rsidRPr="00A07F29" w:rsidRDefault="009072CE" w:rsidP="00E34453">
            <w:pPr>
              <w:spacing w:before="60" w:after="60" w:line="240" w:lineRule="auto"/>
              <w:ind w:firstLine="48"/>
              <w:jc w:val="center"/>
              <w:rPr>
                <w:rFonts w:ascii="Times New Roman" w:eastAsia="Calibri" w:hAnsi="Times New Roman" w:cs="Calibri"/>
                <w:sz w:val="24"/>
              </w:rPr>
            </w:pPr>
            <w:r w:rsidRPr="00A07F29">
              <w:rPr>
                <w:rFonts w:ascii="Times New Roman" w:eastAsia="Calibri" w:hAnsi="Times New Roman" w:cs="Calibri"/>
                <w:sz w:val="24"/>
              </w:rPr>
              <w:t>1</w:t>
            </w:r>
          </w:p>
        </w:tc>
      </w:tr>
    </w:tbl>
    <w:p w14:paraId="7DB7E94F" w14:textId="77777777" w:rsidR="009072CE" w:rsidRPr="00A07F29" w:rsidRDefault="009072CE" w:rsidP="00E34453">
      <w:pPr>
        <w:spacing w:after="120" w:line="240" w:lineRule="auto"/>
        <w:ind w:firstLine="851"/>
        <w:jc w:val="both"/>
        <w:rPr>
          <w:rFonts w:ascii="Times New Roman" w:eastAsia="Calibri" w:hAnsi="Times New Roman" w:cs="Calibri"/>
          <w:sz w:val="24"/>
        </w:rPr>
      </w:pPr>
    </w:p>
    <w:p w14:paraId="76727DF1" w14:textId="195C0696" w:rsidR="009072CE" w:rsidRPr="00A07F29" w:rsidRDefault="009072CE" w:rsidP="00E34453">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Pavisam AAA tika konstatētas </w:t>
      </w:r>
      <w:r w:rsidR="00981FC5">
        <w:rPr>
          <w:rFonts w:ascii="Times New Roman" w:eastAsia="Calibri" w:hAnsi="Times New Roman" w:cs="Calibri"/>
          <w:sz w:val="24"/>
        </w:rPr>
        <w:t>deviņas</w:t>
      </w:r>
      <w:r w:rsidR="008209F9" w:rsidRPr="00A07F29">
        <w:rPr>
          <w:rFonts w:ascii="Times New Roman" w:eastAsia="Calibri" w:hAnsi="Times New Roman" w:cs="Calibri"/>
          <w:sz w:val="24"/>
        </w:rPr>
        <w:t xml:space="preserve"> </w:t>
      </w:r>
      <w:r w:rsidRPr="00A07F29">
        <w:rPr>
          <w:rFonts w:ascii="Times New Roman" w:eastAsia="Calibri" w:hAnsi="Times New Roman" w:cs="Calibri"/>
          <w:sz w:val="24"/>
        </w:rPr>
        <w:t xml:space="preserve">sikspārņu sugas, no kurām pēc novērošanas vietu skaita visbiežāk sastopami bija </w:t>
      </w:r>
      <w:proofErr w:type="spellStart"/>
      <w:r w:rsidRPr="00A07F29">
        <w:rPr>
          <w:rFonts w:ascii="Times New Roman" w:eastAsia="Calibri" w:hAnsi="Times New Roman" w:cs="Calibri"/>
          <w:sz w:val="24"/>
        </w:rPr>
        <w:t>Natūza</w:t>
      </w:r>
      <w:proofErr w:type="spellEnd"/>
      <w:r w:rsidRPr="00A07F29">
        <w:rPr>
          <w:rFonts w:ascii="Times New Roman" w:eastAsia="Calibri" w:hAnsi="Times New Roman" w:cs="Calibri"/>
          <w:sz w:val="24"/>
        </w:rPr>
        <w:t xml:space="preserve"> sikspārņi, ziemeļu sikspārņi un rūsganie </w:t>
      </w:r>
      <w:proofErr w:type="spellStart"/>
      <w:r w:rsidRPr="00A07F29">
        <w:rPr>
          <w:rFonts w:ascii="Times New Roman" w:eastAsia="Calibri" w:hAnsi="Times New Roman" w:cs="Calibri"/>
          <w:sz w:val="24"/>
        </w:rPr>
        <w:t>vakarsikspārņi</w:t>
      </w:r>
      <w:proofErr w:type="spellEnd"/>
      <w:r w:rsidRPr="00A07F29">
        <w:rPr>
          <w:rFonts w:ascii="Times New Roman" w:eastAsia="Calibri" w:hAnsi="Times New Roman" w:cs="Calibri"/>
          <w:sz w:val="24"/>
        </w:rPr>
        <w:t xml:space="preserve">. Novērošanas vietu skaits vien nepietiekami raksturo sugas sastopamības biežumu teritorijā, jo nereti sugas klātbūtne automātiskā detektora stacijā tika pierādīta tikai ar vienu vai dažiem pārlidojumiem naktī. Izvērtējot sikspārņu sugu sastopamību AAA teritorijā pēc to aktivitātes un ņemot vērā katras sugas uztveršanas koeficientu (koriģēta aktivitāte), ievērojami biežāk nekā citas sugas šajā pētījumā bija pārstāvēti </w:t>
      </w:r>
      <w:proofErr w:type="spellStart"/>
      <w:r w:rsidRPr="00A07F29">
        <w:rPr>
          <w:rFonts w:ascii="Times New Roman" w:eastAsia="Calibri" w:hAnsi="Times New Roman" w:cs="Calibri"/>
          <w:sz w:val="24"/>
        </w:rPr>
        <w:t>Natūza</w:t>
      </w:r>
      <w:proofErr w:type="spellEnd"/>
      <w:r w:rsidRPr="00A07F29">
        <w:rPr>
          <w:rFonts w:ascii="Times New Roman" w:eastAsia="Calibri" w:hAnsi="Times New Roman" w:cs="Calibri"/>
          <w:sz w:val="24"/>
        </w:rPr>
        <w:t xml:space="preserve"> sikspārņi, kuru vidējā aktivitāte vienā novērojumu stacijā (5,74 pārlidojumi stundā) vairāk kā </w:t>
      </w:r>
      <w:r w:rsidR="00847B06">
        <w:rPr>
          <w:rFonts w:ascii="Times New Roman" w:eastAsia="Calibri" w:hAnsi="Times New Roman" w:cs="Calibri"/>
          <w:sz w:val="24"/>
        </w:rPr>
        <w:t>piecas</w:t>
      </w:r>
      <w:r w:rsidRPr="00A07F29">
        <w:rPr>
          <w:rFonts w:ascii="Times New Roman" w:eastAsia="Calibri" w:hAnsi="Times New Roman" w:cs="Calibri"/>
          <w:sz w:val="24"/>
        </w:rPr>
        <w:t xml:space="preserve"> reizes pārsniedza trīs citu biežāko sikspārņu sugu </w:t>
      </w:r>
      <w:r w:rsidR="00847B06">
        <w:rPr>
          <w:rFonts w:ascii="Times New Roman" w:eastAsia="Calibri" w:hAnsi="Times New Roman" w:cs="Calibri"/>
          <w:sz w:val="24"/>
        </w:rPr>
        <w:t>–</w:t>
      </w:r>
      <w:r w:rsidRPr="00A07F29">
        <w:rPr>
          <w:rFonts w:ascii="Times New Roman" w:eastAsia="Calibri" w:hAnsi="Times New Roman" w:cs="Calibri"/>
          <w:sz w:val="24"/>
        </w:rPr>
        <w:t xml:space="preserve"> ziemeļu sikspārņa (1,26), </w:t>
      </w:r>
      <w:proofErr w:type="spellStart"/>
      <w:r w:rsidRPr="00A07F29">
        <w:rPr>
          <w:rFonts w:ascii="Times New Roman" w:eastAsia="Calibri" w:hAnsi="Times New Roman" w:cs="Calibri"/>
          <w:sz w:val="24"/>
        </w:rPr>
        <w:t>pigmejsikspārņa</w:t>
      </w:r>
      <w:proofErr w:type="spellEnd"/>
      <w:r w:rsidRPr="00A07F29">
        <w:rPr>
          <w:rFonts w:ascii="Times New Roman" w:eastAsia="Calibri" w:hAnsi="Times New Roman" w:cs="Calibri"/>
          <w:sz w:val="24"/>
        </w:rPr>
        <w:t xml:space="preserve"> (1,03) un rūsganā </w:t>
      </w:r>
      <w:proofErr w:type="spellStart"/>
      <w:r w:rsidRPr="00A07F29">
        <w:rPr>
          <w:rFonts w:ascii="Times New Roman" w:eastAsia="Calibri" w:hAnsi="Times New Roman" w:cs="Calibri"/>
          <w:sz w:val="24"/>
        </w:rPr>
        <w:t>vakarsikspārņa</w:t>
      </w:r>
      <w:proofErr w:type="spellEnd"/>
      <w:r w:rsidRPr="00A07F29">
        <w:rPr>
          <w:rFonts w:ascii="Times New Roman" w:eastAsia="Calibri" w:hAnsi="Times New Roman" w:cs="Calibri"/>
          <w:sz w:val="24"/>
        </w:rPr>
        <w:t xml:space="preserve"> (0,96) aktivitātes rādītājus (</w:t>
      </w:r>
      <w:r w:rsidR="006C18AE">
        <w:rPr>
          <w:rFonts w:ascii="Times New Roman" w:eastAsia="Calibri" w:hAnsi="Times New Roman" w:cs="Calibri"/>
          <w:sz w:val="24"/>
        </w:rPr>
        <w:t xml:space="preserve">skat. </w:t>
      </w:r>
      <w:r w:rsidR="00AC1663" w:rsidRPr="00A07F29">
        <w:rPr>
          <w:rFonts w:ascii="Times New Roman" w:eastAsia="Calibri" w:hAnsi="Times New Roman" w:cs="Calibri"/>
          <w:sz w:val="24"/>
        </w:rPr>
        <w:t>4.11.</w:t>
      </w:r>
      <w:r w:rsidRPr="00A07F29">
        <w:rPr>
          <w:rFonts w:ascii="Times New Roman" w:eastAsia="Calibri" w:hAnsi="Times New Roman" w:cs="Calibri"/>
          <w:sz w:val="24"/>
        </w:rPr>
        <w:t>1.</w:t>
      </w:r>
      <w:r w:rsidR="006C18AE">
        <w:rPr>
          <w:rFonts w:ascii="Times New Roman" w:eastAsia="Calibri" w:hAnsi="Times New Roman" w:cs="Calibri"/>
          <w:sz w:val="24"/>
        </w:rPr>
        <w:t> </w:t>
      </w:r>
      <w:r w:rsidRPr="00A07F29">
        <w:rPr>
          <w:rFonts w:ascii="Times New Roman" w:eastAsia="Calibri" w:hAnsi="Times New Roman" w:cs="Calibri"/>
          <w:sz w:val="24"/>
        </w:rPr>
        <w:t xml:space="preserve">attēls). Pēc šīs sugu sastopamības biežuma novērtēšanas metodes teritorijā kā trešā biežākā suga ir </w:t>
      </w:r>
      <w:proofErr w:type="spellStart"/>
      <w:r w:rsidRPr="00A07F29">
        <w:rPr>
          <w:rFonts w:ascii="Times New Roman" w:eastAsia="Calibri" w:hAnsi="Times New Roman" w:cs="Calibri"/>
          <w:sz w:val="24"/>
        </w:rPr>
        <w:t>pigmejsikspārnis</w:t>
      </w:r>
      <w:proofErr w:type="spellEnd"/>
      <w:r w:rsidRPr="00A07F29">
        <w:rPr>
          <w:rFonts w:ascii="Times New Roman" w:eastAsia="Calibri" w:hAnsi="Times New Roman" w:cs="Calibri"/>
          <w:sz w:val="24"/>
        </w:rPr>
        <w:t xml:space="preserve">, kas ir nedaudz pārsteidzoši, ņemot vērā, ka kopumā Latvijas teritorijā šī suga uzskatāma par samērā retu. </w:t>
      </w:r>
    </w:p>
    <w:p w14:paraId="215671B3" w14:textId="77777777" w:rsidR="009072CE" w:rsidRPr="00A07F29" w:rsidRDefault="009072CE" w:rsidP="00E34453">
      <w:pPr>
        <w:spacing w:after="120" w:line="240" w:lineRule="auto"/>
        <w:ind w:firstLine="851"/>
        <w:jc w:val="both"/>
        <w:rPr>
          <w:rFonts w:ascii="Times New Roman" w:eastAsia="Calibri" w:hAnsi="Times New Roman" w:cs="Calibri"/>
          <w:sz w:val="24"/>
        </w:rPr>
      </w:pPr>
      <w:r w:rsidRPr="00A07F29">
        <w:rPr>
          <w:noProof/>
          <w:lang w:eastAsia="lv-LV"/>
        </w:rPr>
        <w:lastRenderedPageBreak/>
        <w:drawing>
          <wp:inline distT="0" distB="0" distL="0" distR="0" wp14:anchorId="055A8881" wp14:editId="7D420052">
            <wp:extent cx="3880789" cy="3124200"/>
            <wp:effectExtent l="0" t="0" r="5715" b="0"/>
            <wp:docPr id="918145589" name="Attēls 918145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18145589"/>
                    <pic:cNvPicPr/>
                  </pic:nvPicPr>
                  <pic:blipFill>
                    <a:blip r:embed="rId94">
                      <a:extLst>
                        <a:ext uri="{28A0092B-C50C-407E-A947-70E740481C1C}">
                          <a14:useLocalDpi xmlns:a14="http://schemas.microsoft.com/office/drawing/2010/main"/>
                        </a:ext>
                      </a:extLst>
                    </a:blip>
                    <a:stretch>
                      <a:fillRect/>
                    </a:stretch>
                  </pic:blipFill>
                  <pic:spPr>
                    <a:xfrm>
                      <a:off x="0" y="0"/>
                      <a:ext cx="3880789" cy="3124200"/>
                    </a:xfrm>
                    <a:prstGeom prst="rect">
                      <a:avLst/>
                    </a:prstGeom>
                  </pic:spPr>
                </pic:pic>
              </a:graphicData>
            </a:graphic>
          </wp:inline>
        </w:drawing>
      </w:r>
    </w:p>
    <w:p w14:paraId="27FB5BE0" w14:textId="33CF45F1" w:rsidR="009072CE" w:rsidRPr="006C18AE" w:rsidRDefault="009072CE" w:rsidP="00A6081F">
      <w:pPr>
        <w:spacing w:after="120" w:line="240" w:lineRule="auto"/>
        <w:jc w:val="both"/>
        <w:rPr>
          <w:rFonts w:ascii="Times New Roman" w:eastAsia="Calibri" w:hAnsi="Times New Roman" w:cs="Calibri"/>
          <w:sz w:val="20"/>
          <w:szCs w:val="20"/>
        </w:rPr>
      </w:pPr>
      <w:r w:rsidRPr="006C18AE">
        <w:rPr>
          <w:rFonts w:ascii="Times New Roman" w:eastAsia="Calibri" w:hAnsi="Times New Roman" w:cs="Calibri"/>
          <w:sz w:val="20"/>
          <w:szCs w:val="20"/>
        </w:rPr>
        <w:t>4.</w:t>
      </w:r>
      <w:r w:rsidR="00AC1663" w:rsidRPr="006C18AE">
        <w:rPr>
          <w:rFonts w:ascii="Times New Roman" w:eastAsia="Calibri" w:hAnsi="Times New Roman" w:cs="Calibri"/>
          <w:sz w:val="20"/>
          <w:szCs w:val="20"/>
        </w:rPr>
        <w:t>11</w:t>
      </w:r>
      <w:r w:rsidRPr="006C18AE">
        <w:rPr>
          <w:rFonts w:ascii="Times New Roman" w:eastAsia="Calibri" w:hAnsi="Times New Roman" w:cs="Calibri"/>
          <w:sz w:val="20"/>
          <w:szCs w:val="20"/>
        </w:rPr>
        <w:t>.1.</w:t>
      </w:r>
      <w:r w:rsidR="006C18AE" w:rsidRPr="006C18AE">
        <w:rPr>
          <w:rFonts w:ascii="Times New Roman" w:eastAsia="Calibri" w:hAnsi="Times New Roman" w:cs="Calibri"/>
          <w:sz w:val="20"/>
          <w:szCs w:val="20"/>
        </w:rPr>
        <w:t> </w:t>
      </w:r>
      <w:r w:rsidRPr="006C18AE">
        <w:rPr>
          <w:rFonts w:ascii="Times New Roman" w:eastAsia="Calibri" w:hAnsi="Times New Roman" w:cs="Calibri"/>
          <w:sz w:val="20"/>
          <w:szCs w:val="20"/>
        </w:rPr>
        <w:t>attēls</w:t>
      </w:r>
      <w:r w:rsidR="008209F9" w:rsidRPr="006C18AE">
        <w:rPr>
          <w:rFonts w:ascii="Times New Roman" w:eastAsia="Calibri" w:hAnsi="Times New Roman" w:cs="Calibri"/>
          <w:sz w:val="20"/>
          <w:szCs w:val="20"/>
        </w:rPr>
        <w:t>.</w:t>
      </w:r>
      <w:r w:rsidRPr="006C18AE">
        <w:rPr>
          <w:rFonts w:ascii="Times New Roman" w:eastAsia="Calibri" w:hAnsi="Times New Roman" w:cs="Calibri"/>
          <w:sz w:val="20"/>
          <w:szCs w:val="20"/>
        </w:rPr>
        <w:t xml:space="preserve"> Sikspārņu sugu vidējie aktivitātes indeksi AAA </w:t>
      </w:r>
      <w:r w:rsidR="00A6081F">
        <w:rPr>
          <w:rFonts w:ascii="Times New Roman" w:eastAsia="Calibri" w:hAnsi="Times New Roman" w:cs="Calibri"/>
          <w:sz w:val="20"/>
          <w:szCs w:val="20"/>
        </w:rPr>
        <w:t>“</w:t>
      </w:r>
      <w:r w:rsidRPr="006C18AE">
        <w:rPr>
          <w:rFonts w:ascii="Times New Roman" w:eastAsia="Calibri" w:hAnsi="Times New Roman" w:cs="Calibri"/>
          <w:sz w:val="20"/>
          <w:szCs w:val="20"/>
        </w:rPr>
        <w:t>Augšdaugava</w:t>
      </w:r>
      <w:r w:rsidR="00A6081F">
        <w:rPr>
          <w:rFonts w:ascii="Times New Roman" w:eastAsia="Calibri" w:hAnsi="Times New Roman" w:cs="Calibri"/>
          <w:sz w:val="20"/>
          <w:szCs w:val="20"/>
        </w:rPr>
        <w:t>”</w:t>
      </w:r>
      <w:r w:rsidRPr="006C18AE">
        <w:rPr>
          <w:rFonts w:ascii="Times New Roman" w:eastAsia="Calibri" w:hAnsi="Times New Roman" w:cs="Calibri"/>
          <w:sz w:val="20"/>
          <w:szCs w:val="20"/>
        </w:rPr>
        <w:t xml:space="preserve"> teritorijā pēc uzskaitēm 45 vietās ar automātiskajiem ultraskaņas detektoriem D-500x. Indeksi aprēķināti kā vidējais pārlidojumu skaits stundā, reizināts ar sugas uztveršanas koeficientu. Sugas vidējās aktivitātes aprēķinos ņemtas vērā arī trīs novērojumu vietas, kurās sikspārņi netika konstatēti.</w:t>
      </w:r>
    </w:p>
    <w:p w14:paraId="7100702C" w14:textId="426C5AE5" w:rsidR="009072CE" w:rsidRPr="00A07F29" w:rsidRDefault="00A72708" w:rsidP="00E34453">
      <w:pPr>
        <w:spacing w:before="240" w:after="120" w:line="240" w:lineRule="auto"/>
        <w:ind w:firstLine="851"/>
        <w:jc w:val="center"/>
        <w:rPr>
          <w:rFonts w:ascii="Times New Roman" w:eastAsia="Calibri" w:hAnsi="Times New Roman" w:cs="Calibri"/>
          <w:b/>
          <w:sz w:val="24"/>
        </w:rPr>
      </w:pPr>
      <w:r w:rsidRPr="00A07F29">
        <w:rPr>
          <w:rFonts w:ascii="Times New Roman" w:eastAsia="Calibri" w:hAnsi="Times New Roman" w:cs="Calibri"/>
          <w:b/>
          <w:sz w:val="24"/>
        </w:rPr>
        <w:t xml:space="preserve">4.11.1.3. </w:t>
      </w:r>
      <w:r w:rsidR="009072CE" w:rsidRPr="00A07F29">
        <w:rPr>
          <w:rFonts w:ascii="Times New Roman" w:eastAsia="Calibri" w:hAnsi="Times New Roman" w:cs="Calibri"/>
          <w:b/>
          <w:sz w:val="24"/>
        </w:rPr>
        <w:t>Biotop</w:t>
      </w:r>
      <w:r w:rsidR="008209F9" w:rsidRPr="00A07F29">
        <w:rPr>
          <w:rFonts w:ascii="Times New Roman" w:eastAsia="Calibri" w:hAnsi="Times New Roman" w:cs="Calibri"/>
          <w:b/>
          <w:sz w:val="24"/>
        </w:rPr>
        <w:t>u</w:t>
      </w:r>
      <w:r w:rsidR="009072CE" w:rsidRPr="00A07F29">
        <w:rPr>
          <w:rFonts w:ascii="Times New Roman" w:eastAsia="Calibri" w:hAnsi="Times New Roman" w:cs="Calibri"/>
          <w:b/>
          <w:sz w:val="24"/>
        </w:rPr>
        <w:t xml:space="preserve"> salīdzinājums pēc sikspārņu aktivitātes</w:t>
      </w:r>
    </w:p>
    <w:p w14:paraId="38DC32FC" w14:textId="7CF08CBB" w:rsidR="009072CE" w:rsidRPr="00A07F29" w:rsidRDefault="009072CE" w:rsidP="00E34453">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Lai novērtētu dažādu biotopu nozīmi sikspārņu sugu izplatībā, 43 automātisko detektoru stacijas, kurās tika reģistrēti sikspārņi, attiecinājām uz kādu no 10 biotopu klasēm</w:t>
      </w:r>
      <w:r w:rsidR="00AC1663" w:rsidRPr="00A07F29">
        <w:rPr>
          <w:rFonts w:ascii="Times New Roman" w:eastAsia="Calibri" w:hAnsi="Times New Roman" w:cs="Calibri"/>
          <w:sz w:val="24"/>
        </w:rPr>
        <w:t xml:space="preserve"> (</w:t>
      </w:r>
      <w:r w:rsidR="000D29B4">
        <w:rPr>
          <w:rFonts w:ascii="Times New Roman" w:eastAsia="Calibri" w:hAnsi="Times New Roman" w:cs="Calibri"/>
          <w:sz w:val="24"/>
        </w:rPr>
        <w:t xml:space="preserve">skat. </w:t>
      </w:r>
      <w:r w:rsidR="00AC1663" w:rsidRPr="00A07F29">
        <w:rPr>
          <w:rFonts w:ascii="Times New Roman" w:eastAsia="Calibri" w:hAnsi="Times New Roman" w:cs="Calibri"/>
          <w:sz w:val="24"/>
        </w:rPr>
        <w:t>4.11.2.</w:t>
      </w:r>
      <w:r w:rsidR="000D29B4">
        <w:rPr>
          <w:rFonts w:ascii="Times New Roman" w:eastAsia="Calibri" w:hAnsi="Times New Roman" w:cs="Calibri"/>
          <w:sz w:val="24"/>
        </w:rPr>
        <w:t> </w:t>
      </w:r>
      <w:r w:rsidR="00AC1663" w:rsidRPr="00A07F29">
        <w:rPr>
          <w:rFonts w:ascii="Times New Roman" w:eastAsia="Calibri" w:hAnsi="Times New Roman" w:cs="Calibri"/>
          <w:sz w:val="24"/>
        </w:rPr>
        <w:t>tabula).</w:t>
      </w:r>
    </w:p>
    <w:p w14:paraId="75137884" w14:textId="73E836FB" w:rsidR="009072CE" w:rsidRPr="00A07F29" w:rsidRDefault="009072CE" w:rsidP="00E34453">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Visos 10 biotopu veidos konstatētas divas sikspārņu sugas – ziemeļu sikspārnis un rūsganais </w:t>
      </w:r>
      <w:proofErr w:type="spellStart"/>
      <w:r w:rsidRPr="00A07F29">
        <w:rPr>
          <w:rFonts w:ascii="Times New Roman" w:eastAsia="Calibri" w:hAnsi="Times New Roman" w:cs="Calibri"/>
          <w:sz w:val="24"/>
        </w:rPr>
        <w:t>vakarsikspārnis</w:t>
      </w:r>
      <w:proofErr w:type="spellEnd"/>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sz w:val="24"/>
        </w:rPr>
        <w:t>Natūza</w:t>
      </w:r>
      <w:proofErr w:type="spellEnd"/>
      <w:r w:rsidRPr="00A07F29">
        <w:rPr>
          <w:rFonts w:ascii="Times New Roman" w:eastAsia="Calibri" w:hAnsi="Times New Roman" w:cs="Calibri"/>
          <w:sz w:val="24"/>
        </w:rPr>
        <w:t xml:space="preserve"> sikspārnis tika novērots gandrīz visos biotopos, izņemot ganībās ar govīm, kas gan bija pārstāvētas tikai ar divām novērojumu stacijām. Pārējās sešas sikspārņu sugas novērotas retāk – 1</w:t>
      </w:r>
      <w:r w:rsidR="00670D0E">
        <w:rPr>
          <w:rFonts w:ascii="Times New Roman" w:eastAsia="Calibri" w:hAnsi="Times New Roman" w:cs="Calibri"/>
          <w:sz w:val="24"/>
        </w:rPr>
        <w:t> – </w:t>
      </w:r>
      <w:r w:rsidRPr="00A07F29">
        <w:rPr>
          <w:rFonts w:ascii="Times New Roman" w:eastAsia="Calibri" w:hAnsi="Times New Roman" w:cs="Calibri"/>
          <w:sz w:val="24"/>
        </w:rPr>
        <w:t xml:space="preserve">5 biotopu klasēs. Vislielākā sugu daudzveidība (astoņas sugas) novērota virs Daugavas un ezeriem. Vienīgā suga, kas netika konstatēta virs lielajām ūdenstilpēm bija brūnais </w:t>
      </w:r>
      <w:proofErr w:type="spellStart"/>
      <w:r w:rsidRPr="00A07F29">
        <w:rPr>
          <w:rFonts w:ascii="Times New Roman" w:eastAsia="Calibri" w:hAnsi="Times New Roman" w:cs="Calibri"/>
          <w:sz w:val="24"/>
        </w:rPr>
        <w:t>garausainis</w:t>
      </w:r>
      <w:proofErr w:type="spellEnd"/>
      <w:r w:rsidRPr="00A07F29">
        <w:rPr>
          <w:rFonts w:ascii="Times New Roman" w:eastAsia="Calibri" w:hAnsi="Times New Roman" w:cs="Calibri"/>
          <w:sz w:val="24"/>
        </w:rPr>
        <w:t>, kam nav raksturīga barošanās atklātās vietās, tai skaitā virs ūdeņiem. Salīdzinot visu sugu sikspārņu vidējo aktivitāti biotopu klasēs, Daugava un ezeri izceļas ar ievērojami augstāku sikspārņu aktivitāti nekā visi pārējie biotopi (</w:t>
      </w:r>
      <w:r w:rsidR="00C373AD">
        <w:rPr>
          <w:rFonts w:ascii="Times New Roman" w:eastAsia="Calibri" w:hAnsi="Times New Roman" w:cs="Calibri"/>
          <w:sz w:val="24"/>
        </w:rPr>
        <w:t xml:space="preserve">skat. </w:t>
      </w:r>
      <w:r w:rsidRPr="00A07F29">
        <w:rPr>
          <w:rFonts w:ascii="Times New Roman" w:eastAsia="Calibri" w:hAnsi="Times New Roman" w:cs="Calibri"/>
          <w:sz w:val="24"/>
        </w:rPr>
        <w:t>4.</w:t>
      </w:r>
      <w:r w:rsidR="008209F9" w:rsidRPr="00A07F29">
        <w:rPr>
          <w:rFonts w:ascii="Times New Roman" w:eastAsia="Calibri" w:hAnsi="Times New Roman" w:cs="Calibri"/>
          <w:sz w:val="24"/>
        </w:rPr>
        <w:t>11</w:t>
      </w:r>
      <w:r w:rsidRPr="00A07F29">
        <w:rPr>
          <w:rFonts w:ascii="Times New Roman" w:eastAsia="Calibri" w:hAnsi="Times New Roman" w:cs="Calibri"/>
          <w:sz w:val="24"/>
        </w:rPr>
        <w:t>.2.</w:t>
      </w:r>
      <w:r w:rsidR="00C373AD">
        <w:rPr>
          <w:rFonts w:ascii="Times New Roman" w:eastAsia="Calibri" w:hAnsi="Times New Roman" w:cs="Calibri"/>
          <w:sz w:val="24"/>
        </w:rPr>
        <w:t> </w:t>
      </w:r>
      <w:r w:rsidRPr="00A07F29">
        <w:rPr>
          <w:rFonts w:ascii="Times New Roman" w:eastAsia="Calibri" w:hAnsi="Times New Roman" w:cs="Calibri"/>
          <w:sz w:val="24"/>
        </w:rPr>
        <w:t>attēls).</w:t>
      </w:r>
    </w:p>
    <w:p w14:paraId="07036541" w14:textId="77777777" w:rsidR="009072CE" w:rsidRPr="00A07F29" w:rsidRDefault="009072CE" w:rsidP="00E34453">
      <w:pPr>
        <w:spacing w:after="120" w:line="240" w:lineRule="auto"/>
        <w:ind w:firstLine="851"/>
        <w:jc w:val="both"/>
        <w:rPr>
          <w:rFonts w:ascii="Times New Roman" w:eastAsia="Calibri" w:hAnsi="Times New Roman" w:cs="Calibri"/>
          <w:sz w:val="24"/>
        </w:rPr>
      </w:pPr>
    </w:p>
    <w:p w14:paraId="2850277C" w14:textId="77777777" w:rsidR="009072CE" w:rsidRPr="00A07F29" w:rsidRDefault="009072CE" w:rsidP="00E34453">
      <w:pPr>
        <w:spacing w:after="120" w:line="240" w:lineRule="auto"/>
        <w:jc w:val="center"/>
        <w:rPr>
          <w:rFonts w:ascii="Times New Roman" w:eastAsia="Calibri" w:hAnsi="Times New Roman" w:cs="Calibri"/>
          <w:sz w:val="24"/>
        </w:rPr>
      </w:pPr>
      <w:r w:rsidRPr="00A07F29">
        <w:rPr>
          <w:noProof/>
          <w:lang w:eastAsia="lv-LV"/>
        </w:rPr>
        <w:lastRenderedPageBreak/>
        <w:drawing>
          <wp:inline distT="0" distB="0" distL="0" distR="0" wp14:anchorId="3A0D63E8" wp14:editId="462A7D79">
            <wp:extent cx="4803773" cy="3347085"/>
            <wp:effectExtent l="0" t="0" r="0" b="5715"/>
            <wp:docPr id="918145590" name="Attēls 918145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18145590"/>
                    <pic:cNvPicPr/>
                  </pic:nvPicPr>
                  <pic:blipFill>
                    <a:blip r:embed="rId95">
                      <a:extLst>
                        <a:ext uri="{28A0092B-C50C-407E-A947-70E740481C1C}">
                          <a14:useLocalDpi xmlns:a14="http://schemas.microsoft.com/office/drawing/2010/main"/>
                        </a:ext>
                      </a:extLst>
                    </a:blip>
                    <a:stretch>
                      <a:fillRect/>
                    </a:stretch>
                  </pic:blipFill>
                  <pic:spPr>
                    <a:xfrm>
                      <a:off x="0" y="0"/>
                      <a:ext cx="4803773" cy="3347085"/>
                    </a:xfrm>
                    <a:prstGeom prst="rect">
                      <a:avLst/>
                    </a:prstGeom>
                  </pic:spPr>
                </pic:pic>
              </a:graphicData>
            </a:graphic>
          </wp:inline>
        </w:drawing>
      </w:r>
    </w:p>
    <w:p w14:paraId="079A1DC5" w14:textId="36CD52C4" w:rsidR="00665A15" w:rsidRPr="008E20C5" w:rsidRDefault="009072CE" w:rsidP="008E20C5">
      <w:pPr>
        <w:spacing w:after="120" w:line="240" w:lineRule="auto"/>
        <w:jc w:val="both"/>
        <w:rPr>
          <w:rFonts w:ascii="Times New Roman" w:eastAsia="Calibri" w:hAnsi="Times New Roman" w:cs="Calibri"/>
          <w:sz w:val="20"/>
          <w:szCs w:val="20"/>
        </w:rPr>
      </w:pPr>
      <w:r w:rsidRPr="008E20C5">
        <w:rPr>
          <w:rFonts w:ascii="Times New Roman" w:eastAsia="Calibri" w:hAnsi="Times New Roman" w:cs="Calibri"/>
          <w:sz w:val="20"/>
          <w:szCs w:val="20"/>
        </w:rPr>
        <w:t>4.</w:t>
      </w:r>
      <w:r w:rsidR="00F631F9" w:rsidRPr="008E20C5">
        <w:rPr>
          <w:rFonts w:ascii="Times New Roman" w:eastAsia="Calibri" w:hAnsi="Times New Roman" w:cs="Calibri"/>
          <w:sz w:val="20"/>
          <w:szCs w:val="20"/>
        </w:rPr>
        <w:t>11</w:t>
      </w:r>
      <w:r w:rsidRPr="008E20C5">
        <w:rPr>
          <w:rFonts w:ascii="Times New Roman" w:eastAsia="Calibri" w:hAnsi="Times New Roman" w:cs="Calibri"/>
          <w:sz w:val="20"/>
          <w:szCs w:val="20"/>
        </w:rPr>
        <w:t>.2.</w:t>
      </w:r>
      <w:r w:rsidR="004648D6" w:rsidRPr="008E20C5">
        <w:rPr>
          <w:rFonts w:ascii="Times New Roman" w:eastAsia="Calibri" w:hAnsi="Times New Roman" w:cs="Calibri"/>
          <w:sz w:val="20"/>
          <w:szCs w:val="20"/>
        </w:rPr>
        <w:t> </w:t>
      </w:r>
      <w:r w:rsidRPr="008E20C5">
        <w:rPr>
          <w:rFonts w:ascii="Times New Roman" w:eastAsia="Calibri" w:hAnsi="Times New Roman" w:cs="Calibri"/>
          <w:sz w:val="20"/>
          <w:szCs w:val="20"/>
        </w:rPr>
        <w:t>attēls. Vidējā sikspārņu aktivitāte jeb saucienu skaits stundā 10 biotopu klasēs pēc uzskaitēm ar automātiskajiem detektoriem D-500x 41 sauszemes novērojumu stacijā un divos ar laivu nobrauktos Daugavas posmos.</w:t>
      </w:r>
    </w:p>
    <w:p w14:paraId="54CB6CA6" w14:textId="38EE5EA1" w:rsidR="009072CE" w:rsidRPr="00A07F29" w:rsidRDefault="009072CE" w:rsidP="00E34453">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Lai novērtētu biotopu izvēles priekšrocības AAA </w:t>
      </w:r>
      <w:r w:rsidR="00DA275C" w:rsidRPr="00A07F29">
        <w:rPr>
          <w:rFonts w:ascii="Times New Roman" w:eastAsia="Calibri" w:hAnsi="Times New Roman" w:cs="Calibri"/>
          <w:sz w:val="24"/>
        </w:rPr>
        <w:t>“</w:t>
      </w:r>
      <w:r w:rsidRPr="00A07F29">
        <w:rPr>
          <w:rFonts w:ascii="Times New Roman" w:eastAsia="Calibri" w:hAnsi="Times New Roman" w:cs="Calibri"/>
          <w:sz w:val="24"/>
        </w:rPr>
        <w:t>Augšdaugava</w:t>
      </w:r>
      <w:r w:rsidR="00DA275C" w:rsidRPr="00A07F29">
        <w:rPr>
          <w:rFonts w:ascii="Times New Roman" w:eastAsia="Calibri" w:hAnsi="Times New Roman" w:cs="Calibri"/>
          <w:sz w:val="24"/>
        </w:rPr>
        <w:t>”</w:t>
      </w:r>
      <w:r w:rsidRPr="00A07F29">
        <w:rPr>
          <w:rFonts w:ascii="Times New Roman" w:eastAsia="Calibri" w:hAnsi="Times New Roman" w:cs="Calibri"/>
          <w:sz w:val="24"/>
        </w:rPr>
        <w:t xml:space="preserve"> konstatētajām sikspārņu sugām, katrai sugai tika aprēķināta </w:t>
      </w:r>
      <w:r w:rsidR="00DA275C" w:rsidRPr="00A07F29">
        <w:rPr>
          <w:rFonts w:ascii="Times New Roman" w:eastAsia="Calibri" w:hAnsi="Times New Roman" w:cs="Calibri"/>
          <w:sz w:val="24"/>
        </w:rPr>
        <w:t xml:space="preserve">vidējā aktivitāte </w:t>
      </w:r>
      <w:r w:rsidRPr="00A07F29">
        <w:rPr>
          <w:rFonts w:ascii="Times New Roman" w:eastAsia="Calibri" w:hAnsi="Times New Roman" w:cs="Calibri"/>
          <w:sz w:val="24"/>
        </w:rPr>
        <w:t xml:space="preserve">katram biotopu tipam, kurā tā tika konstatēta. Visām sugām, izņemot brūno </w:t>
      </w:r>
      <w:proofErr w:type="spellStart"/>
      <w:r w:rsidRPr="00A07F29">
        <w:rPr>
          <w:rFonts w:ascii="Times New Roman" w:eastAsia="Calibri" w:hAnsi="Times New Roman" w:cs="Calibri"/>
          <w:sz w:val="24"/>
        </w:rPr>
        <w:t>garausaini</w:t>
      </w:r>
      <w:proofErr w:type="spellEnd"/>
      <w:r w:rsidRPr="00A07F29">
        <w:rPr>
          <w:rFonts w:ascii="Times New Roman" w:eastAsia="Calibri" w:hAnsi="Times New Roman" w:cs="Calibri"/>
          <w:sz w:val="24"/>
        </w:rPr>
        <w:t xml:space="preserve">, to reģistrētā aktivitāte virs vai pie ūdenstilpēm bija augstāka nekā to vidējo aktivitāšu summa sauszemes biotopos. Tikai virs ūdeņiem konstatēti ūdeņu </w:t>
      </w:r>
      <w:proofErr w:type="spellStart"/>
      <w:r w:rsidRPr="00A07F29">
        <w:rPr>
          <w:rFonts w:ascii="Times New Roman" w:eastAsia="Calibri" w:hAnsi="Times New Roman" w:cs="Calibri"/>
          <w:sz w:val="24"/>
        </w:rPr>
        <w:t>naktssikspārņi</w:t>
      </w:r>
      <w:proofErr w:type="spellEnd"/>
      <w:r w:rsidRPr="00A07F29">
        <w:rPr>
          <w:rFonts w:ascii="Times New Roman" w:eastAsia="Calibri" w:hAnsi="Times New Roman" w:cs="Calibri"/>
          <w:sz w:val="24"/>
        </w:rPr>
        <w:t xml:space="preserve"> un </w:t>
      </w:r>
      <w:proofErr w:type="spellStart"/>
      <w:r w:rsidRPr="00A07F29">
        <w:rPr>
          <w:rFonts w:ascii="Times New Roman" w:eastAsia="Calibri" w:hAnsi="Times New Roman" w:cs="Calibri"/>
          <w:sz w:val="24"/>
        </w:rPr>
        <w:t>pundursikspārņi</w:t>
      </w:r>
      <w:proofErr w:type="spellEnd"/>
      <w:r w:rsidRPr="00A07F29">
        <w:rPr>
          <w:rFonts w:ascii="Times New Roman" w:eastAsia="Calibri" w:hAnsi="Times New Roman" w:cs="Calibri"/>
          <w:sz w:val="24"/>
        </w:rPr>
        <w:t xml:space="preserve">; salīdzinoši biežāk nekā citas sugas sauszemes biotopos bez brūnā </w:t>
      </w:r>
      <w:proofErr w:type="spellStart"/>
      <w:r w:rsidRPr="00A07F29">
        <w:rPr>
          <w:rFonts w:ascii="Times New Roman" w:eastAsia="Calibri" w:hAnsi="Times New Roman" w:cs="Calibri"/>
          <w:sz w:val="24"/>
        </w:rPr>
        <w:t>garausaiņa</w:t>
      </w:r>
      <w:proofErr w:type="spellEnd"/>
      <w:r w:rsidRPr="00A07F29">
        <w:rPr>
          <w:rFonts w:ascii="Times New Roman" w:eastAsia="Calibri" w:hAnsi="Times New Roman" w:cs="Calibri"/>
          <w:sz w:val="24"/>
        </w:rPr>
        <w:t xml:space="preserve"> novēroti rūsganie </w:t>
      </w:r>
      <w:proofErr w:type="spellStart"/>
      <w:r w:rsidRPr="00A07F29">
        <w:rPr>
          <w:rFonts w:ascii="Times New Roman" w:eastAsia="Calibri" w:hAnsi="Times New Roman" w:cs="Calibri"/>
          <w:sz w:val="24"/>
        </w:rPr>
        <w:t>vakarsikspārņi</w:t>
      </w:r>
      <w:proofErr w:type="spellEnd"/>
      <w:r w:rsidRPr="00A07F29">
        <w:rPr>
          <w:rFonts w:ascii="Times New Roman" w:eastAsia="Calibri" w:hAnsi="Times New Roman" w:cs="Calibri"/>
          <w:sz w:val="24"/>
        </w:rPr>
        <w:t xml:space="preserve"> un divkrāsainie sikspārņi (</w:t>
      </w:r>
      <w:r w:rsidR="003E5F8B">
        <w:rPr>
          <w:rFonts w:ascii="Times New Roman" w:eastAsia="Calibri" w:hAnsi="Times New Roman" w:cs="Calibri"/>
          <w:sz w:val="24"/>
        </w:rPr>
        <w:t xml:space="preserve">skat. </w:t>
      </w:r>
      <w:r w:rsidRPr="00A07F29">
        <w:rPr>
          <w:rFonts w:ascii="Times New Roman" w:eastAsia="Calibri" w:hAnsi="Times New Roman" w:cs="Calibri"/>
          <w:sz w:val="24"/>
        </w:rPr>
        <w:t>4.</w:t>
      </w:r>
      <w:r w:rsidR="00F631F9" w:rsidRPr="00A07F29">
        <w:rPr>
          <w:rFonts w:ascii="Times New Roman" w:eastAsia="Calibri" w:hAnsi="Times New Roman" w:cs="Calibri"/>
          <w:sz w:val="24"/>
        </w:rPr>
        <w:t>11</w:t>
      </w:r>
      <w:r w:rsidRPr="00A07F29">
        <w:rPr>
          <w:rFonts w:ascii="Times New Roman" w:eastAsia="Calibri" w:hAnsi="Times New Roman" w:cs="Calibri"/>
          <w:sz w:val="24"/>
        </w:rPr>
        <w:t>.3.</w:t>
      </w:r>
      <w:r w:rsidR="003E5F8B">
        <w:rPr>
          <w:rFonts w:ascii="Times New Roman" w:eastAsia="Calibri" w:hAnsi="Times New Roman" w:cs="Calibri"/>
          <w:sz w:val="24"/>
        </w:rPr>
        <w:t> </w:t>
      </w:r>
      <w:r w:rsidRPr="00A07F29">
        <w:rPr>
          <w:rFonts w:ascii="Times New Roman" w:eastAsia="Calibri" w:hAnsi="Times New Roman" w:cs="Calibri"/>
          <w:sz w:val="24"/>
        </w:rPr>
        <w:t>attēls).</w:t>
      </w:r>
    </w:p>
    <w:p w14:paraId="1B13F70C" w14:textId="77777777" w:rsidR="009072CE" w:rsidRPr="00A07F29" w:rsidRDefault="009072CE" w:rsidP="00E34453">
      <w:pPr>
        <w:spacing w:after="120" w:line="240" w:lineRule="auto"/>
        <w:jc w:val="center"/>
        <w:rPr>
          <w:rFonts w:ascii="Times New Roman" w:eastAsia="Calibri" w:hAnsi="Times New Roman" w:cs="Calibri"/>
          <w:sz w:val="24"/>
        </w:rPr>
      </w:pPr>
      <w:r w:rsidRPr="00A07F29">
        <w:rPr>
          <w:noProof/>
          <w:lang w:eastAsia="lv-LV"/>
        </w:rPr>
        <w:lastRenderedPageBreak/>
        <w:drawing>
          <wp:inline distT="0" distB="0" distL="0" distR="0" wp14:anchorId="5FA820BA" wp14:editId="31200545">
            <wp:extent cx="5358764" cy="3846830"/>
            <wp:effectExtent l="0" t="0" r="0" b="1270"/>
            <wp:docPr id="918145591" name="Attēls 918145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18145591"/>
                    <pic:cNvPicPr/>
                  </pic:nvPicPr>
                  <pic:blipFill>
                    <a:blip r:embed="rId96">
                      <a:extLst>
                        <a:ext uri="{28A0092B-C50C-407E-A947-70E740481C1C}">
                          <a14:useLocalDpi xmlns:a14="http://schemas.microsoft.com/office/drawing/2010/main"/>
                        </a:ext>
                      </a:extLst>
                    </a:blip>
                    <a:stretch>
                      <a:fillRect/>
                    </a:stretch>
                  </pic:blipFill>
                  <pic:spPr>
                    <a:xfrm>
                      <a:off x="0" y="0"/>
                      <a:ext cx="5358764" cy="3846830"/>
                    </a:xfrm>
                    <a:prstGeom prst="rect">
                      <a:avLst/>
                    </a:prstGeom>
                  </pic:spPr>
                </pic:pic>
              </a:graphicData>
            </a:graphic>
          </wp:inline>
        </w:drawing>
      </w:r>
    </w:p>
    <w:p w14:paraId="67F9398F" w14:textId="59086EBD" w:rsidR="009072CE" w:rsidRPr="006B6DF0" w:rsidRDefault="009072CE" w:rsidP="006B6DF0">
      <w:pPr>
        <w:spacing w:after="120" w:line="240" w:lineRule="auto"/>
        <w:jc w:val="both"/>
        <w:rPr>
          <w:rFonts w:ascii="Times New Roman" w:eastAsia="Calibri" w:hAnsi="Times New Roman" w:cs="Calibri"/>
          <w:sz w:val="20"/>
          <w:szCs w:val="20"/>
        </w:rPr>
      </w:pPr>
      <w:r w:rsidRPr="006B6DF0">
        <w:rPr>
          <w:rFonts w:ascii="Times New Roman" w:eastAsia="Calibri" w:hAnsi="Times New Roman" w:cs="Calibri"/>
          <w:sz w:val="20"/>
          <w:szCs w:val="20"/>
        </w:rPr>
        <w:t>4.</w:t>
      </w:r>
      <w:r w:rsidR="00F631F9" w:rsidRPr="006B6DF0">
        <w:rPr>
          <w:rFonts w:ascii="Times New Roman" w:eastAsia="Calibri" w:hAnsi="Times New Roman" w:cs="Calibri"/>
          <w:sz w:val="20"/>
          <w:szCs w:val="20"/>
        </w:rPr>
        <w:t>11</w:t>
      </w:r>
      <w:r w:rsidRPr="006B6DF0">
        <w:rPr>
          <w:rFonts w:ascii="Times New Roman" w:eastAsia="Calibri" w:hAnsi="Times New Roman" w:cs="Calibri"/>
          <w:sz w:val="20"/>
          <w:szCs w:val="20"/>
        </w:rPr>
        <w:t>.3.</w:t>
      </w:r>
      <w:r w:rsidR="00DA275C" w:rsidRPr="006B6DF0">
        <w:rPr>
          <w:rFonts w:ascii="Times New Roman" w:eastAsia="Calibri" w:hAnsi="Times New Roman" w:cs="Calibri"/>
          <w:sz w:val="20"/>
          <w:szCs w:val="20"/>
        </w:rPr>
        <w:t> </w:t>
      </w:r>
      <w:r w:rsidRPr="006B6DF0">
        <w:rPr>
          <w:rFonts w:ascii="Times New Roman" w:eastAsia="Calibri" w:hAnsi="Times New Roman" w:cs="Calibri"/>
          <w:sz w:val="20"/>
          <w:szCs w:val="20"/>
        </w:rPr>
        <w:t>attēls</w:t>
      </w:r>
      <w:r w:rsidR="00DA275C" w:rsidRPr="006B6DF0">
        <w:rPr>
          <w:rFonts w:ascii="Times New Roman" w:eastAsia="Calibri" w:hAnsi="Times New Roman" w:cs="Calibri"/>
          <w:sz w:val="20"/>
          <w:szCs w:val="20"/>
        </w:rPr>
        <w:t>.</w:t>
      </w:r>
      <w:r w:rsidRPr="006B6DF0">
        <w:rPr>
          <w:rFonts w:ascii="Times New Roman" w:eastAsia="Calibri" w:hAnsi="Times New Roman" w:cs="Calibri"/>
          <w:sz w:val="20"/>
          <w:szCs w:val="20"/>
        </w:rPr>
        <w:t xml:space="preserve"> Sikspārņu sugu vidējās aktivitātes dažādos biotopos pēc uzskaitēm ar automātiskajiem detektoriem D-500x 41 stacijā un divos ar laivu nobrauktos Daugavas posmos</w:t>
      </w:r>
    </w:p>
    <w:p w14:paraId="2F39D783" w14:textId="05106170" w:rsidR="00A72708" w:rsidRPr="00A07F29" w:rsidRDefault="00A72708" w:rsidP="00786008">
      <w:pPr>
        <w:spacing w:before="240"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Ņemot vērā AAA </w:t>
      </w:r>
      <w:r w:rsidR="00334038">
        <w:rPr>
          <w:rFonts w:ascii="Times New Roman" w:eastAsia="Calibri" w:hAnsi="Times New Roman" w:cs="Calibri"/>
          <w:sz w:val="24"/>
        </w:rPr>
        <w:t>“</w:t>
      </w:r>
      <w:r w:rsidRPr="00A07F29">
        <w:rPr>
          <w:rFonts w:ascii="Times New Roman" w:eastAsia="Calibri" w:hAnsi="Times New Roman" w:cs="Calibri"/>
          <w:sz w:val="24"/>
        </w:rPr>
        <w:t>Augšdaugava</w:t>
      </w:r>
      <w:r w:rsidR="00334038">
        <w:rPr>
          <w:rFonts w:ascii="Times New Roman" w:eastAsia="Calibri" w:hAnsi="Times New Roman" w:cs="Calibri"/>
          <w:sz w:val="24"/>
        </w:rPr>
        <w:t>”</w:t>
      </w:r>
      <w:r w:rsidRPr="00A07F29">
        <w:rPr>
          <w:rFonts w:ascii="Times New Roman" w:eastAsia="Calibri" w:hAnsi="Times New Roman" w:cs="Calibri"/>
          <w:sz w:val="24"/>
        </w:rPr>
        <w:t xml:space="preserve"> lielo platību, nebija iespējams veikt detalizētu sikspārņu izplatības kartēšanu. Tomēr iegūtos rezultātus no dažādiem biotopiem var izmantot sikspārņu izplatības modelēšanai teritorijā. Kopumā pētījums liecina, ka sikspārņi ir sastopami visur (tikai divās detektoru stacijās no 43 sikspārņi netika reģistrēti). Vairumam no konstatētajām sugām īpaša nozīme ir lielajām ūdenstilpēm – Daugavai, ezeriem, dīķiem ar klaju ūdens virsmu (skat.</w:t>
      </w:r>
      <w:r w:rsidR="00781BB7">
        <w:rPr>
          <w:rFonts w:ascii="Times New Roman" w:eastAsia="Calibri" w:hAnsi="Times New Roman" w:cs="Calibri"/>
          <w:sz w:val="24"/>
        </w:rPr>
        <w:t xml:space="preserve"> </w:t>
      </w:r>
      <w:r w:rsidRPr="00A07F29">
        <w:rPr>
          <w:rFonts w:ascii="Times New Roman" w:eastAsia="Calibri" w:hAnsi="Times New Roman" w:cs="Calibri"/>
          <w:sz w:val="24"/>
        </w:rPr>
        <w:t>4.</w:t>
      </w:r>
      <w:r w:rsidR="007930DC" w:rsidRPr="00A07F29">
        <w:rPr>
          <w:rFonts w:ascii="Times New Roman" w:eastAsia="Calibri" w:hAnsi="Times New Roman" w:cs="Calibri"/>
          <w:sz w:val="24"/>
        </w:rPr>
        <w:t>11</w:t>
      </w:r>
      <w:r w:rsidRPr="00A07F29">
        <w:rPr>
          <w:rFonts w:ascii="Times New Roman" w:eastAsia="Calibri" w:hAnsi="Times New Roman" w:cs="Calibri"/>
          <w:sz w:val="24"/>
        </w:rPr>
        <w:t>.4</w:t>
      </w:r>
      <w:r w:rsidR="007930DC" w:rsidRPr="00A07F29">
        <w:rPr>
          <w:rFonts w:ascii="Times New Roman" w:eastAsia="Calibri" w:hAnsi="Times New Roman" w:cs="Calibri"/>
          <w:sz w:val="24"/>
        </w:rPr>
        <w:t>. </w:t>
      </w:r>
      <w:r w:rsidRPr="00A07F29">
        <w:rPr>
          <w:rFonts w:ascii="Times New Roman" w:eastAsia="Calibri" w:hAnsi="Times New Roman" w:cs="Calibri"/>
          <w:sz w:val="24"/>
        </w:rPr>
        <w:t>attēlu).</w:t>
      </w:r>
    </w:p>
    <w:p w14:paraId="590D9288" w14:textId="77777777" w:rsidR="00A72708" w:rsidRPr="00A07F29" w:rsidRDefault="00A72708" w:rsidP="00A72708">
      <w:pPr>
        <w:spacing w:after="120"/>
        <w:ind w:firstLine="142"/>
        <w:jc w:val="center"/>
        <w:rPr>
          <w:rFonts w:ascii="Times New Roman" w:eastAsia="Calibri" w:hAnsi="Times New Roman" w:cs="Calibri"/>
          <w:sz w:val="24"/>
        </w:rPr>
      </w:pPr>
      <w:r w:rsidRPr="00A07F29">
        <w:rPr>
          <w:noProof/>
          <w:lang w:eastAsia="lv-LV"/>
        </w:rPr>
        <w:drawing>
          <wp:inline distT="0" distB="0" distL="0" distR="0" wp14:anchorId="2A20D148" wp14:editId="716C5CC0">
            <wp:extent cx="5881490" cy="1661622"/>
            <wp:effectExtent l="0" t="0" r="5080" b="0"/>
            <wp:docPr id="918145539" name="Attēls 918145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18145592"/>
                    <pic:cNvPicPr/>
                  </pic:nvPicPr>
                  <pic:blipFill>
                    <a:blip r:embed="rId97">
                      <a:extLst>
                        <a:ext uri="{28A0092B-C50C-407E-A947-70E740481C1C}">
                          <a14:useLocalDpi xmlns:a14="http://schemas.microsoft.com/office/drawing/2010/main"/>
                        </a:ext>
                      </a:extLst>
                    </a:blip>
                    <a:stretch>
                      <a:fillRect/>
                    </a:stretch>
                  </pic:blipFill>
                  <pic:spPr>
                    <a:xfrm>
                      <a:off x="0" y="0"/>
                      <a:ext cx="5881490" cy="1661622"/>
                    </a:xfrm>
                    <a:prstGeom prst="rect">
                      <a:avLst/>
                    </a:prstGeom>
                  </pic:spPr>
                </pic:pic>
              </a:graphicData>
            </a:graphic>
          </wp:inline>
        </w:drawing>
      </w:r>
    </w:p>
    <w:p w14:paraId="78BB525B" w14:textId="6005B422" w:rsidR="00A72708" w:rsidRPr="00D414C9" w:rsidRDefault="00A72708" w:rsidP="00A72708">
      <w:pPr>
        <w:spacing w:after="120"/>
        <w:jc w:val="both"/>
        <w:rPr>
          <w:rFonts w:ascii="Times New Roman" w:eastAsia="Calibri" w:hAnsi="Times New Roman" w:cs="Calibri"/>
          <w:sz w:val="20"/>
          <w:szCs w:val="20"/>
        </w:rPr>
      </w:pPr>
      <w:r w:rsidRPr="00D414C9">
        <w:rPr>
          <w:rFonts w:ascii="Times New Roman" w:eastAsia="Calibri" w:hAnsi="Times New Roman" w:cs="Calibri"/>
          <w:sz w:val="20"/>
          <w:szCs w:val="20"/>
        </w:rPr>
        <w:t>4.</w:t>
      </w:r>
      <w:r w:rsidR="007930DC" w:rsidRPr="00D414C9">
        <w:rPr>
          <w:rFonts w:ascii="Times New Roman" w:eastAsia="Calibri" w:hAnsi="Times New Roman" w:cs="Calibri"/>
          <w:sz w:val="20"/>
          <w:szCs w:val="20"/>
        </w:rPr>
        <w:t>11</w:t>
      </w:r>
      <w:r w:rsidRPr="00D414C9">
        <w:rPr>
          <w:rFonts w:ascii="Times New Roman" w:eastAsia="Calibri" w:hAnsi="Times New Roman" w:cs="Calibri"/>
          <w:sz w:val="20"/>
          <w:szCs w:val="20"/>
        </w:rPr>
        <w:t>.4.</w:t>
      </w:r>
      <w:r w:rsidR="00D414C9" w:rsidRPr="00D414C9">
        <w:rPr>
          <w:rFonts w:ascii="Times New Roman" w:eastAsia="Calibri" w:hAnsi="Times New Roman" w:cs="Calibri"/>
          <w:sz w:val="20"/>
          <w:szCs w:val="20"/>
        </w:rPr>
        <w:t> </w:t>
      </w:r>
      <w:r w:rsidRPr="00D414C9">
        <w:rPr>
          <w:rFonts w:ascii="Times New Roman" w:eastAsia="Calibri" w:hAnsi="Times New Roman" w:cs="Calibri"/>
          <w:sz w:val="20"/>
          <w:szCs w:val="20"/>
        </w:rPr>
        <w:t>attēls. Sikspārņu uzskaites vietas</w:t>
      </w:r>
    </w:p>
    <w:p w14:paraId="45535CED" w14:textId="4858765A" w:rsidR="00A72708" w:rsidRPr="00A07F29" w:rsidRDefault="00A72708" w:rsidP="007930DC">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Sauszemes biotopos salīdzinoši lielāka nozīme ir </w:t>
      </w:r>
      <w:proofErr w:type="spellStart"/>
      <w:r w:rsidRPr="00A07F29">
        <w:rPr>
          <w:rFonts w:ascii="Times New Roman" w:eastAsia="Calibri" w:hAnsi="Times New Roman" w:cs="Calibri"/>
          <w:sz w:val="24"/>
        </w:rPr>
        <w:t>kokaudzēm</w:t>
      </w:r>
      <w:proofErr w:type="spellEnd"/>
      <w:r w:rsidRPr="00A07F29">
        <w:rPr>
          <w:rFonts w:ascii="Times New Roman" w:eastAsia="Calibri" w:hAnsi="Times New Roman" w:cs="Calibri"/>
          <w:sz w:val="24"/>
        </w:rPr>
        <w:t>, īpaši dažāda lieluma atvērumiem mežos. Vairākas sugas labprāt medī virs kailcirtēm vai jaunaudzē. Tomēr jāņem vērā, ka ar akustisko metodi (ultraskaņas detektori) tiek iegūt</w:t>
      </w:r>
      <w:r w:rsidR="00AB1804">
        <w:rPr>
          <w:rFonts w:ascii="Times New Roman" w:eastAsia="Calibri" w:hAnsi="Times New Roman" w:cs="Calibri"/>
          <w:sz w:val="24"/>
        </w:rPr>
        <w:t>i</w:t>
      </w:r>
      <w:r w:rsidRPr="00A07F29">
        <w:rPr>
          <w:rFonts w:ascii="Times New Roman" w:eastAsia="Calibri" w:hAnsi="Times New Roman" w:cs="Calibri"/>
          <w:sz w:val="24"/>
        </w:rPr>
        <w:t xml:space="preserve"> dati par sugām, kas apveltītas ar skaļākiem eholokācijas saucieniem un ir pielāgotas medīšanai klajumos. Lai iegūtu vairāk datu par sugām, kas medī tuvu substrātam, tai skaitā blīvākās mežaudzēs, jāizmanto darbietilpīgākas metodes, piemēram, ķeršana ar tīkliem. Vairākas t.s. klajumu sugas (rūsganais </w:t>
      </w:r>
      <w:proofErr w:type="spellStart"/>
      <w:r w:rsidRPr="00A07F29">
        <w:rPr>
          <w:rFonts w:ascii="Times New Roman" w:eastAsia="Calibri" w:hAnsi="Times New Roman" w:cs="Calibri"/>
          <w:sz w:val="24"/>
        </w:rPr>
        <w:t>vakarsikspārnis</w:t>
      </w:r>
      <w:proofErr w:type="spellEnd"/>
      <w:r w:rsidRPr="00A07F29">
        <w:rPr>
          <w:rFonts w:ascii="Times New Roman" w:eastAsia="Calibri" w:hAnsi="Times New Roman" w:cs="Calibri"/>
          <w:sz w:val="24"/>
        </w:rPr>
        <w:t xml:space="preserve">, ziemeļu sikspārnis, </w:t>
      </w:r>
      <w:proofErr w:type="spellStart"/>
      <w:r w:rsidRPr="00A07F29">
        <w:rPr>
          <w:rFonts w:ascii="Times New Roman" w:eastAsia="Calibri" w:hAnsi="Times New Roman" w:cs="Calibri"/>
          <w:sz w:val="24"/>
        </w:rPr>
        <w:t>Natūza</w:t>
      </w:r>
      <w:proofErr w:type="spellEnd"/>
      <w:r w:rsidRPr="00A07F29">
        <w:rPr>
          <w:rFonts w:ascii="Times New Roman" w:eastAsia="Calibri" w:hAnsi="Times New Roman" w:cs="Calibri"/>
          <w:sz w:val="24"/>
        </w:rPr>
        <w:t xml:space="preserve"> sikspārnis), kā arī tipiskās mežu sugas (brūnais </w:t>
      </w:r>
      <w:proofErr w:type="spellStart"/>
      <w:r w:rsidRPr="00A07F29">
        <w:rPr>
          <w:rFonts w:ascii="Times New Roman" w:eastAsia="Calibri" w:hAnsi="Times New Roman" w:cs="Calibri"/>
          <w:sz w:val="24"/>
        </w:rPr>
        <w:t>garausainis</w:t>
      </w:r>
      <w:proofErr w:type="spellEnd"/>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sz w:val="24"/>
        </w:rPr>
        <w:t>Naterera</w:t>
      </w:r>
      <w:proofErr w:type="spellEnd"/>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sz w:val="24"/>
        </w:rPr>
        <w:lastRenderedPageBreak/>
        <w:t>naktssikspārnis</w:t>
      </w:r>
      <w:proofErr w:type="spellEnd"/>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sz w:val="24"/>
        </w:rPr>
        <w:t>platausainais</w:t>
      </w:r>
      <w:proofErr w:type="spellEnd"/>
      <w:r w:rsidRPr="00A07F29">
        <w:rPr>
          <w:rFonts w:ascii="Times New Roman" w:eastAsia="Calibri" w:hAnsi="Times New Roman" w:cs="Calibri"/>
          <w:sz w:val="24"/>
        </w:rPr>
        <w:t xml:space="preserve"> sikspārnis) izmanto kokus par savām dienas slēptuvēm un</w:t>
      </w:r>
      <w:r w:rsidR="009F5A4E">
        <w:rPr>
          <w:rFonts w:ascii="Times New Roman" w:eastAsia="Calibri" w:hAnsi="Times New Roman" w:cs="Calibri"/>
          <w:sz w:val="24"/>
        </w:rPr>
        <w:t>,</w:t>
      </w:r>
      <w:r w:rsidRPr="00A07F29">
        <w:rPr>
          <w:rFonts w:ascii="Times New Roman" w:eastAsia="Calibri" w:hAnsi="Times New Roman" w:cs="Calibri"/>
          <w:sz w:val="24"/>
        </w:rPr>
        <w:t xml:space="preserve"> izmantojot kailcirti kā koksnes ieguves metodi, neglābjami samazinās piemērotu slēptuvju pieejamība mežaudzēs. No sikspārņu aizsardzības viedokļa mītnes koku saglabāšana mežos ir viens no svarīgākajiem aspektiem.</w:t>
      </w:r>
    </w:p>
    <w:p w14:paraId="62533E55" w14:textId="113EC83B" w:rsidR="009072CE" w:rsidRPr="00A07F29" w:rsidRDefault="009072CE" w:rsidP="00DA275C">
      <w:pPr>
        <w:spacing w:before="240" w:after="120" w:line="240" w:lineRule="auto"/>
        <w:jc w:val="both"/>
        <w:rPr>
          <w:rFonts w:ascii="Times New Roman" w:eastAsia="Calibri" w:hAnsi="Times New Roman" w:cs="Calibri"/>
          <w:b/>
          <w:i/>
          <w:sz w:val="24"/>
          <w:szCs w:val="24"/>
        </w:rPr>
      </w:pPr>
      <w:r w:rsidRPr="00A07F29">
        <w:rPr>
          <w:rFonts w:ascii="Times New Roman" w:eastAsia="Calibri" w:hAnsi="Times New Roman" w:cs="Calibri"/>
          <w:b/>
          <w:i/>
          <w:sz w:val="24"/>
          <w:szCs w:val="24"/>
        </w:rPr>
        <w:t>Daugava</w:t>
      </w:r>
    </w:p>
    <w:p w14:paraId="2E8B2423" w14:textId="7D2E9256" w:rsidR="009072CE" w:rsidRPr="00A07F29" w:rsidRDefault="009072CE" w:rsidP="00DA275C">
      <w:pPr>
        <w:spacing w:after="120" w:line="240" w:lineRule="auto"/>
        <w:ind w:firstLine="851"/>
        <w:jc w:val="both"/>
        <w:rPr>
          <w:rFonts w:ascii="Times New Roman" w:eastAsia="Calibri" w:hAnsi="Times New Roman" w:cs="Calibri"/>
          <w:sz w:val="24"/>
        </w:rPr>
      </w:pPr>
      <w:r w:rsidRPr="00E21299">
        <w:rPr>
          <w:rFonts w:ascii="Times New Roman" w:eastAsia="Calibri" w:hAnsi="Times New Roman" w:cs="Calibri"/>
          <w:sz w:val="24"/>
        </w:rPr>
        <w:t>Šajā pētījumā</w:t>
      </w:r>
      <w:r w:rsidRPr="00A07F29">
        <w:rPr>
          <w:rFonts w:ascii="Times New Roman" w:eastAsia="Calibri" w:hAnsi="Times New Roman" w:cs="Calibri"/>
          <w:sz w:val="24"/>
        </w:rPr>
        <w:t xml:space="preserve"> sikspārņu kopējā aktivitāte virs Daugavas bija ievērojami lielāka nekā jebkurā citā biotopā (</w:t>
      </w:r>
      <w:r w:rsidR="00E21299">
        <w:rPr>
          <w:rFonts w:ascii="Times New Roman" w:eastAsia="Calibri" w:hAnsi="Times New Roman" w:cs="Calibri"/>
          <w:sz w:val="24"/>
        </w:rPr>
        <w:t xml:space="preserve">skat. </w:t>
      </w:r>
      <w:r w:rsidRPr="00A07F29">
        <w:rPr>
          <w:rFonts w:ascii="Times New Roman" w:eastAsia="Calibri" w:hAnsi="Times New Roman" w:cs="Calibri"/>
          <w:sz w:val="24"/>
        </w:rPr>
        <w:t>4.</w:t>
      </w:r>
      <w:r w:rsidR="00DA275C" w:rsidRPr="00A07F29">
        <w:rPr>
          <w:rFonts w:ascii="Times New Roman" w:eastAsia="Calibri" w:hAnsi="Times New Roman" w:cs="Calibri"/>
          <w:sz w:val="24"/>
        </w:rPr>
        <w:t>11</w:t>
      </w:r>
      <w:r w:rsidRPr="00A07F29">
        <w:rPr>
          <w:rFonts w:ascii="Times New Roman" w:eastAsia="Calibri" w:hAnsi="Times New Roman" w:cs="Calibri"/>
          <w:sz w:val="24"/>
        </w:rPr>
        <w:t>.3.</w:t>
      </w:r>
      <w:r w:rsidR="00E21299">
        <w:rPr>
          <w:rFonts w:ascii="Times New Roman" w:eastAsia="Calibri" w:hAnsi="Times New Roman" w:cs="Calibri"/>
          <w:sz w:val="24"/>
        </w:rPr>
        <w:t> </w:t>
      </w:r>
      <w:r w:rsidRPr="00A07F29">
        <w:rPr>
          <w:rFonts w:ascii="Times New Roman" w:eastAsia="Calibri" w:hAnsi="Times New Roman" w:cs="Calibri"/>
          <w:sz w:val="24"/>
        </w:rPr>
        <w:t xml:space="preserve">attēls). Summējot visu sugu aktivitātes rādītājus tā bija 397 pārlidojumi stundā posmā </w:t>
      </w:r>
      <w:proofErr w:type="spellStart"/>
      <w:r w:rsidRPr="00A07F29">
        <w:rPr>
          <w:rFonts w:ascii="Times New Roman" w:eastAsia="Calibri" w:hAnsi="Times New Roman" w:cs="Calibri"/>
          <w:sz w:val="24"/>
        </w:rPr>
        <w:t>Indrica-Naudīši</w:t>
      </w:r>
      <w:proofErr w:type="spellEnd"/>
      <w:r w:rsidRPr="00A07F29">
        <w:rPr>
          <w:rFonts w:ascii="Times New Roman" w:eastAsia="Calibri" w:hAnsi="Times New Roman" w:cs="Calibri"/>
          <w:sz w:val="24"/>
        </w:rPr>
        <w:t xml:space="preserve"> un 333 pārlidojumi stundā posmā </w:t>
      </w:r>
      <w:proofErr w:type="spellStart"/>
      <w:r w:rsidRPr="00A07F29">
        <w:rPr>
          <w:rFonts w:ascii="Times New Roman" w:eastAsia="Calibri" w:hAnsi="Times New Roman" w:cs="Calibri"/>
          <w:sz w:val="24"/>
        </w:rPr>
        <w:t>Jāņusēta</w:t>
      </w:r>
      <w:proofErr w:type="spellEnd"/>
      <w:r w:rsidRPr="00A07F29">
        <w:rPr>
          <w:rFonts w:ascii="Times New Roman" w:eastAsia="Calibri" w:hAnsi="Times New Roman" w:cs="Calibri"/>
          <w:sz w:val="24"/>
        </w:rPr>
        <w:t xml:space="preserve">-Pakalni, vidēji pa abiem posmiem </w:t>
      </w:r>
      <w:r w:rsidR="0050338A">
        <w:rPr>
          <w:rFonts w:ascii="Times New Roman" w:eastAsia="Calibri" w:hAnsi="Times New Roman" w:cs="Calibri"/>
          <w:sz w:val="24"/>
        </w:rPr>
        <w:t>–</w:t>
      </w:r>
      <w:r w:rsidRPr="00A07F29">
        <w:rPr>
          <w:rFonts w:ascii="Times New Roman" w:eastAsia="Calibri" w:hAnsi="Times New Roman" w:cs="Calibri"/>
          <w:sz w:val="24"/>
        </w:rPr>
        <w:t xml:space="preserve"> 365,2 pārlidojumi stundā. Sugu līmenī </w:t>
      </w:r>
      <w:proofErr w:type="spellStart"/>
      <w:r w:rsidRPr="00A07F29">
        <w:rPr>
          <w:rFonts w:ascii="Times New Roman" w:eastAsia="Calibri" w:hAnsi="Times New Roman" w:cs="Calibri"/>
          <w:sz w:val="24"/>
        </w:rPr>
        <w:t>rekordaugsta</w:t>
      </w:r>
      <w:proofErr w:type="spellEnd"/>
      <w:r w:rsidRPr="00A07F29">
        <w:rPr>
          <w:rFonts w:ascii="Times New Roman" w:eastAsia="Calibri" w:hAnsi="Times New Roman" w:cs="Calibri"/>
          <w:sz w:val="24"/>
        </w:rPr>
        <w:t xml:space="preserve"> aktivitāte virs upes bija septiņām no astoņām konstatētajām sugām. Vienīgais izņēmums bija </w:t>
      </w:r>
      <w:proofErr w:type="spellStart"/>
      <w:r w:rsidRPr="00A07F29">
        <w:rPr>
          <w:rFonts w:ascii="Times New Roman" w:eastAsia="Calibri" w:hAnsi="Times New Roman" w:cs="Calibri"/>
          <w:sz w:val="24"/>
        </w:rPr>
        <w:t>pigmejsikspārnis</w:t>
      </w:r>
      <w:proofErr w:type="spellEnd"/>
      <w:r w:rsidRPr="00A07F29">
        <w:rPr>
          <w:rFonts w:ascii="Times New Roman" w:eastAsia="Calibri" w:hAnsi="Times New Roman" w:cs="Calibri"/>
          <w:sz w:val="24"/>
        </w:rPr>
        <w:t xml:space="preserve">, kuram vidējā aktivitāte pie ezeriem (15,2 pārlidojumi stundā) bija augstāka nekā virs Daugavas (1,7). Īpaši nozīmīga Daugava kā barošanās biotops bija </w:t>
      </w:r>
      <w:proofErr w:type="spellStart"/>
      <w:r w:rsidRPr="00A07F29">
        <w:rPr>
          <w:rFonts w:ascii="Times New Roman" w:eastAsia="Calibri" w:hAnsi="Times New Roman" w:cs="Calibri"/>
          <w:sz w:val="24"/>
        </w:rPr>
        <w:t>Natūza</w:t>
      </w:r>
      <w:proofErr w:type="spellEnd"/>
      <w:r w:rsidRPr="00A07F29">
        <w:rPr>
          <w:rFonts w:ascii="Times New Roman" w:eastAsia="Calibri" w:hAnsi="Times New Roman" w:cs="Calibri"/>
          <w:sz w:val="24"/>
        </w:rPr>
        <w:t xml:space="preserve"> sikspārnim (266,4 pārlidojumi stundā) – 7,5 reizes augstāka nekā šīs sugas aktivitāte pie ezeriem (35,2), kas bija otrs nozīmīgākais šīs sugas barošanās biotops un ziemeļu sikspārnim – 5</w:t>
      </w:r>
      <w:r w:rsidR="0087240E">
        <w:rPr>
          <w:rFonts w:ascii="Times New Roman" w:eastAsia="Calibri" w:hAnsi="Times New Roman" w:cs="Calibri"/>
          <w:sz w:val="24"/>
        </w:rPr>
        <w:t> – </w:t>
      </w:r>
      <w:r w:rsidRPr="00A07F29">
        <w:rPr>
          <w:rFonts w:ascii="Times New Roman" w:eastAsia="Calibri" w:hAnsi="Times New Roman" w:cs="Calibri"/>
          <w:sz w:val="24"/>
        </w:rPr>
        <w:t xml:space="preserve">10 reizes augstāka nekā vairākos citos šai sugai nozīmīgākos biotopos (ezeri, karjers, viensētas, jaunaudzes). </w:t>
      </w:r>
    </w:p>
    <w:p w14:paraId="2AF623B7" w14:textId="125E6C64" w:rsidR="009072CE" w:rsidRPr="00A07F29" w:rsidRDefault="009072CE" w:rsidP="00DA275C">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Diemžēl pētījuma ierobežoto resursu dēļ nebija iespēju veikt atkārtotas uzskaites izvēlētajās biotopu stacijās dažādos sikspārņu bioloģiskā gada cikla posmos. Abas uzskaites virs Daugavas veiktas jūlija otrā pusē (20./21. un 21./22.</w:t>
      </w:r>
      <w:r w:rsidR="00512EB7">
        <w:rPr>
          <w:rFonts w:ascii="Times New Roman" w:eastAsia="Calibri" w:hAnsi="Times New Roman" w:cs="Calibri"/>
          <w:sz w:val="24"/>
        </w:rPr>
        <w:t> </w:t>
      </w:r>
      <w:r w:rsidRPr="00A07F29">
        <w:rPr>
          <w:rFonts w:ascii="Times New Roman" w:eastAsia="Calibri" w:hAnsi="Times New Roman" w:cs="Calibri"/>
          <w:sz w:val="24"/>
        </w:rPr>
        <w:t>jūlijs), kad lidojošu sikspārņu skaits dabā ir lielāks nekā jūnijā lidotspēju ieguvušo jauno dzīvnieku dēļ. Abās uzskaites naktīs vizuāli virs Daugavas tika novērotas masveidā lidojošas viendienītes (</w:t>
      </w:r>
      <w:proofErr w:type="spellStart"/>
      <w:r w:rsidRPr="00A07F29">
        <w:rPr>
          <w:rFonts w:ascii="Times New Roman" w:eastAsia="Calibri" w:hAnsi="Times New Roman" w:cs="Calibri"/>
          <w:sz w:val="24"/>
        </w:rPr>
        <w:t>Ephemeroptera</w:t>
      </w:r>
      <w:proofErr w:type="spellEnd"/>
      <w:r w:rsidRPr="00A07F29">
        <w:rPr>
          <w:rFonts w:ascii="Times New Roman" w:eastAsia="Calibri" w:hAnsi="Times New Roman" w:cs="Calibri"/>
          <w:sz w:val="24"/>
        </w:rPr>
        <w:t>), radot sikspārņiem bagātīgu barības bāzi. Nākotnē</w:t>
      </w:r>
      <w:r w:rsidR="00040E41">
        <w:rPr>
          <w:rFonts w:ascii="Times New Roman" w:eastAsia="Calibri" w:hAnsi="Times New Roman" w:cs="Calibri"/>
          <w:sz w:val="24"/>
        </w:rPr>
        <w:t>,</w:t>
      </w:r>
      <w:r w:rsidRPr="00A07F29">
        <w:rPr>
          <w:rFonts w:ascii="Times New Roman" w:eastAsia="Calibri" w:hAnsi="Times New Roman" w:cs="Calibri"/>
          <w:sz w:val="24"/>
        </w:rPr>
        <w:t xml:space="preserve"> atkārtojot sikspārņu sugu inventarizāciju virs Daugavas, būtu svarīgi akustisko uzskaiti no laivas veikt atkārtoti, ietverot uzskaites arī sikspārņu grūsnības, laktācijas (maijs, jūnijs) un rudens pārlidojumu (augusts, septembris) laikā. </w:t>
      </w:r>
    </w:p>
    <w:p w14:paraId="3FC4E485" w14:textId="7BC5115A" w:rsidR="009072CE" w:rsidRPr="00A07F29" w:rsidRDefault="009072CE" w:rsidP="00DA275C">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Pēc šī pētījuma datiem Daugava ir kā magnēts, kas piesaista sikspārņus, iespējams, no visas AAA </w:t>
      </w:r>
      <w:r w:rsidR="00DA275C" w:rsidRPr="00A07F29">
        <w:rPr>
          <w:rFonts w:ascii="Times New Roman" w:eastAsia="Calibri" w:hAnsi="Times New Roman" w:cs="Calibri"/>
          <w:sz w:val="24"/>
        </w:rPr>
        <w:t>“</w:t>
      </w:r>
      <w:r w:rsidRPr="00A07F29">
        <w:rPr>
          <w:rFonts w:ascii="Times New Roman" w:eastAsia="Calibri" w:hAnsi="Times New Roman" w:cs="Calibri"/>
          <w:sz w:val="24"/>
        </w:rPr>
        <w:t>Augšdaugava</w:t>
      </w:r>
      <w:r w:rsidR="00DA275C" w:rsidRPr="00A07F29">
        <w:rPr>
          <w:rFonts w:ascii="Times New Roman" w:eastAsia="Calibri" w:hAnsi="Times New Roman" w:cs="Calibri"/>
          <w:sz w:val="24"/>
        </w:rPr>
        <w:t>”</w:t>
      </w:r>
      <w:r w:rsidRPr="00A07F29">
        <w:rPr>
          <w:rFonts w:ascii="Times New Roman" w:eastAsia="Calibri" w:hAnsi="Times New Roman" w:cs="Calibri"/>
          <w:sz w:val="24"/>
        </w:rPr>
        <w:t xml:space="preserve"> teritorijas. Pēc sikspārņu biotopu izmantošanas pētījumiem ar telemetrijas metodi citviet, virs Daugavas konstatētās sikspārņu sugas pēc laktācijas periodā no dienas mītnēm līdz nakts barošanās biotopiem varētu veikt no 5 līdz &gt;30</w:t>
      </w:r>
      <w:r w:rsidR="00EA73B8">
        <w:rPr>
          <w:rFonts w:ascii="Times New Roman" w:eastAsia="Calibri" w:hAnsi="Times New Roman" w:cs="Calibri"/>
          <w:sz w:val="24"/>
        </w:rPr>
        <w:t> </w:t>
      </w:r>
      <w:r w:rsidRPr="00A07F29">
        <w:rPr>
          <w:rFonts w:ascii="Times New Roman" w:eastAsia="Calibri" w:hAnsi="Times New Roman" w:cs="Calibri"/>
          <w:sz w:val="24"/>
        </w:rPr>
        <w:t>km tālus pārlidojumus (</w:t>
      </w:r>
      <w:proofErr w:type="spellStart"/>
      <w:r w:rsidRPr="00A07F29">
        <w:rPr>
          <w:rFonts w:ascii="Times New Roman" w:eastAsia="Calibri" w:hAnsi="Times New Roman" w:cs="Calibri"/>
          <w:sz w:val="24"/>
        </w:rPr>
        <w:t>Rodrigues</w:t>
      </w:r>
      <w:proofErr w:type="spellEnd"/>
      <w:r w:rsidRPr="00A07F29">
        <w:rPr>
          <w:rFonts w:ascii="Times New Roman" w:eastAsia="Calibri" w:hAnsi="Times New Roman" w:cs="Calibri"/>
          <w:sz w:val="24"/>
        </w:rPr>
        <w:t xml:space="preserve"> </w:t>
      </w:r>
      <w:r w:rsidR="00392BE6">
        <w:rPr>
          <w:rFonts w:ascii="Times New Roman" w:eastAsia="Calibri" w:hAnsi="Times New Roman" w:cs="Calibri"/>
          <w:sz w:val="24"/>
        </w:rPr>
        <w:t xml:space="preserve">L., </w:t>
      </w:r>
      <w:proofErr w:type="spellStart"/>
      <w:r w:rsidRPr="00A07F29">
        <w:rPr>
          <w:rFonts w:ascii="Times New Roman" w:eastAsia="Calibri" w:hAnsi="Times New Roman" w:cs="Calibri"/>
          <w:sz w:val="24"/>
        </w:rPr>
        <w:t>et</w:t>
      </w:r>
      <w:proofErr w:type="spellEnd"/>
      <w:r w:rsidRPr="00A07F29">
        <w:rPr>
          <w:rFonts w:ascii="Times New Roman" w:eastAsia="Calibri" w:hAnsi="Times New Roman" w:cs="Calibri"/>
          <w:sz w:val="24"/>
        </w:rPr>
        <w:t xml:space="preserve"> al.</w:t>
      </w:r>
      <w:r w:rsidR="00392BE6">
        <w:rPr>
          <w:rFonts w:ascii="Times New Roman" w:eastAsia="Calibri" w:hAnsi="Times New Roman" w:cs="Calibri"/>
          <w:sz w:val="24"/>
        </w:rPr>
        <w:t>,</w:t>
      </w:r>
      <w:r w:rsidRPr="00A07F29">
        <w:rPr>
          <w:rFonts w:ascii="Times New Roman" w:eastAsia="Calibri" w:hAnsi="Times New Roman" w:cs="Calibri"/>
          <w:sz w:val="24"/>
        </w:rPr>
        <w:t xml:space="preserve"> 2015). Tādējādi vairumam sugu Daugava nakts laikā ir salīdzinoši ātri sasniedzams mērķis.</w:t>
      </w:r>
    </w:p>
    <w:p w14:paraId="7F7F8F44" w14:textId="77777777" w:rsidR="009072CE" w:rsidRPr="00A07F29" w:rsidRDefault="009072CE" w:rsidP="00DA275C">
      <w:pPr>
        <w:spacing w:before="240" w:after="120" w:line="240" w:lineRule="auto"/>
        <w:jc w:val="both"/>
        <w:rPr>
          <w:rFonts w:ascii="Times New Roman" w:eastAsia="Calibri" w:hAnsi="Times New Roman" w:cs="Calibri"/>
          <w:b/>
          <w:i/>
          <w:sz w:val="24"/>
          <w:szCs w:val="24"/>
        </w:rPr>
      </w:pPr>
      <w:r w:rsidRPr="00A07F29">
        <w:rPr>
          <w:rFonts w:ascii="Times New Roman" w:eastAsia="Calibri" w:hAnsi="Times New Roman" w:cs="Calibri"/>
          <w:b/>
          <w:i/>
          <w:sz w:val="24"/>
          <w:szCs w:val="24"/>
        </w:rPr>
        <w:t>Ezeri</w:t>
      </w:r>
    </w:p>
    <w:p w14:paraId="0ACEEA63" w14:textId="36E61DA2" w:rsidR="00DA275C" w:rsidRPr="00A07F29" w:rsidRDefault="009072CE" w:rsidP="00DA275C">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Uzskaites ar automātiskajiem detektoriem veiktas pie </w:t>
      </w:r>
      <w:r w:rsidR="004E096D">
        <w:rPr>
          <w:rFonts w:ascii="Times New Roman" w:eastAsia="Calibri" w:hAnsi="Times New Roman" w:cs="Calibri"/>
          <w:sz w:val="24"/>
        </w:rPr>
        <w:t>astoņiem</w:t>
      </w:r>
      <w:r w:rsidR="00DA275C" w:rsidRPr="00A07F29">
        <w:rPr>
          <w:rFonts w:ascii="Times New Roman" w:eastAsia="Calibri" w:hAnsi="Times New Roman" w:cs="Calibri"/>
          <w:sz w:val="24"/>
        </w:rPr>
        <w:t xml:space="preserve"> </w:t>
      </w:r>
      <w:r w:rsidRPr="00A07F29">
        <w:rPr>
          <w:rFonts w:ascii="Times New Roman" w:eastAsia="Calibri" w:hAnsi="Times New Roman" w:cs="Calibri"/>
          <w:sz w:val="24"/>
        </w:rPr>
        <w:t xml:space="preserve">ezeriem AAA </w:t>
      </w:r>
      <w:r w:rsidR="00DA275C" w:rsidRPr="00A07F29">
        <w:rPr>
          <w:rFonts w:ascii="Times New Roman" w:eastAsia="Calibri" w:hAnsi="Times New Roman" w:cs="Calibri"/>
          <w:sz w:val="24"/>
        </w:rPr>
        <w:t>“</w:t>
      </w:r>
      <w:r w:rsidRPr="00A07F29">
        <w:rPr>
          <w:rFonts w:ascii="Times New Roman" w:eastAsia="Calibri" w:hAnsi="Times New Roman" w:cs="Calibri"/>
          <w:sz w:val="24"/>
        </w:rPr>
        <w:t>Augšdaugava</w:t>
      </w:r>
      <w:r w:rsidR="00DA275C" w:rsidRPr="00A07F29">
        <w:rPr>
          <w:rFonts w:ascii="Times New Roman" w:eastAsia="Calibri" w:hAnsi="Times New Roman" w:cs="Calibri"/>
          <w:sz w:val="24"/>
        </w:rPr>
        <w:t>”</w:t>
      </w:r>
      <w:r w:rsidRPr="00A07F29">
        <w:rPr>
          <w:rFonts w:ascii="Times New Roman" w:eastAsia="Calibri" w:hAnsi="Times New Roman" w:cs="Calibri"/>
          <w:sz w:val="24"/>
        </w:rPr>
        <w:t xml:space="preserve"> teritorijā; pie </w:t>
      </w:r>
      <w:r w:rsidR="008440F0">
        <w:rPr>
          <w:rFonts w:ascii="Times New Roman" w:eastAsia="Calibri" w:hAnsi="Times New Roman" w:cs="Calibri"/>
          <w:sz w:val="24"/>
        </w:rPr>
        <w:t>četriem</w:t>
      </w:r>
      <w:r w:rsidR="00DA275C" w:rsidRPr="00A07F29">
        <w:rPr>
          <w:rFonts w:ascii="Times New Roman" w:eastAsia="Calibri" w:hAnsi="Times New Roman" w:cs="Calibri"/>
          <w:sz w:val="24"/>
        </w:rPr>
        <w:t xml:space="preserve"> </w:t>
      </w:r>
      <w:r w:rsidRPr="00A07F29">
        <w:rPr>
          <w:rFonts w:ascii="Times New Roman" w:eastAsia="Calibri" w:hAnsi="Times New Roman" w:cs="Calibri"/>
          <w:sz w:val="24"/>
        </w:rPr>
        <w:t xml:space="preserve">no tiem jūnijā un pie </w:t>
      </w:r>
      <w:r w:rsidR="008440F0">
        <w:rPr>
          <w:rFonts w:ascii="Times New Roman" w:eastAsia="Calibri" w:hAnsi="Times New Roman" w:cs="Calibri"/>
          <w:sz w:val="24"/>
        </w:rPr>
        <w:t>četriem</w:t>
      </w:r>
      <w:r w:rsidR="00DA275C" w:rsidRPr="00A07F29">
        <w:rPr>
          <w:rFonts w:ascii="Times New Roman" w:eastAsia="Calibri" w:hAnsi="Times New Roman" w:cs="Calibri"/>
          <w:sz w:val="24"/>
        </w:rPr>
        <w:t xml:space="preserve"> </w:t>
      </w:r>
      <w:r w:rsidRPr="00A07F29">
        <w:rPr>
          <w:rFonts w:ascii="Times New Roman" w:eastAsia="Calibri" w:hAnsi="Times New Roman" w:cs="Calibri"/>
          <w:sz w:val="24"/>
        </w:rPr>
        <w:t>citiem – jūlijā. Detektori tika novietoti ezeru krastā vai uz laipām – iespējami tuvu klajai ūdens virsmai. Vairumā gadījumu to uztveršanas zonā bija arī krastmalas augājs vai mežmala, kur sikspārņi varēja baroties. Tādējādi izdalītais biotops “ezeri” ietver arī to krastus.</w:t>
      </w:r>
    </w:p>
    <w:p w14:paraId="4429FAC3" w14:textId="2977794B" w:rsidR="00CA5212" w:rsidRPr="00A07F29" w:rsidRDefault="009072CE" w:rsidP="00DA275C">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Sikspārņi tika konstatēti visās uzskaišu stacijās. Vidējā aktivitāte pie ezeriem bija ievērojami augstāka (69,2 pārlidojumi stundā) nekā pārējos biotopos, izņemot Daugavu. Virs ezeriem tāpat kā virs Daugavas konstatētas </w:t>
      </w:r>
      <w:r w:rsidR="00FD2A2C">
        <w:rPr>
          <w:rFonts w:ascii="Times New Roman" w:eastAsia="Calibri" w:hAnsi="Times New Roman" w:cs="Calibri"/>
          <w:sz w:val="24"/>
        </w:rPr>
        <w:t>astoņas</w:t>
      </w:r>
      <w:r w:rsidRPr="00A07F29">
        <w:rPr>
          <w:rFonts w:ascii="Times New Roman" w:eastAsia="Calibri" w:hAnsi="Times New Roman" w:cs="Calibri"/>
          <w:sz w:val="24"/>
        </w:rPr>
        <w:t xml:space="preserve"> sikspārņu sugas. Sugu daudzveidība un aktivitāte virs ezeriem bija ļoti atšķirīga </w:t>
      </w:r>
      <w:r w:rsidR="00BA1F5E" w:rsidRPr="00A07F29">
        <w:rPr>
          <w:rFonts w:ascii="Times New Roman" w:eastAsia="Calibri" w:hAnsi="Times New Roman" w:cs="Calibri"/>
          <w:sz w:val="24"/>
        </w:rPr>
        <w:t xml:space="preserve">– </w:t>
      </w:r>
      <w:r w:rsidRPr="00A07F29">
        <w:rPr>
          <w:rFonts w:ascii="Times New Roman" w:eastAsia="Calibri" w:hAnsi="Times New Roman" w:cs="Calibri"/>
          <w:sz w:val="24"/>
        </w:rPr>
        <w:t xml:space="preserve">attiecīgi no </w:t>
      </w:r>
      <w:r w:rsidR="0004783F">
        <w:rPr>
          <w:rFonts w:ascii="Times New Roman" w:eastAsia="Calibri" w:hAnsi="Times New Roman" w:cs="Calibri"/>
          <w:sz w:val="24"/>
        </w:rPr>
        <w:t>trīs</w:t>
      </w:r>
      <w:r w:rsidRPr="00A07F29">
        <w:rPr>
          <w:rFonts w:ascii="Times New Roman" w:eastAsia="Calibri" w:hAnsi="Times New Roman" w:cs="Calibri"/>
          <w:sz w:val="24"/>
        </w:rPr>
        <w:t xml:space="preserve"> līdz </w:t>
      </w:r>
      <w:r w:rsidR="0004783F">
        <w:rPr>
          <w:rFonts w:ascii="Times New Roman" w:eastAsia="Calibri" w:hAnsi="Times New Roman" w:cs="Calibri"/>
          <w:sz w:val="24"/>
        </w:rPr>
        <w:t>astoņām</w:t>
      </w:r>
      <w:r w:rsidRPr="00A07F29">
        <w:rPr>
          <w:rFonts w:ascii="Times New Roman" w:eastAsia="Calibri" w:hAnsi="Times New Roman" w:cs="Calibri"/>
          <w:sz w:val="24"/>
        </w:rPr>
        <w:t xml:space="preserve"> sugām un no 1,2 līdz 220,5 pārlidojumiem stundā. Ar īpaši augstu sikspārņu kopējo aktivitāti izceļas </w:t>
      </w:r>
      <w:proofErr w:type="spellStart"/>
      <w:r w:rsidRPr="00A07F29">
        <w:rPr>
          <w:rFonts w:ascii="Times New Roman" w:eastAsia="Calibri" w:hAnsi="Times New Roman" w:cs="Calibri"/>
          <w:sz w:val="24"/>
        </w:rPr>
        <w:t>Šilovkas</w:t>
      </w:r>
      <w:proofErr w:type="spellEnd"/>
      <w:r w:rsidRPr="00A07F29">
        <w:rPr>
          <w:rFonts w:ascii="Times New Roman" w:eastAsia="Calibri" w:hAnsi="Times New Roman" w:cs="Calibri"/>
          <w:sz w:val="24"/>
        </w:rPr>
        <w:t xml:space="preserve"> un </w:t>
      </w:r>
      <w:proofErr w:type="spellStart"/>
      <w:r w:rsidRPr="00A07F29">
        <w:rPr>
          <w:rFonts w:ascii="Times New Roman" w:eastAsia="Calibri" w:hAnsi="Times New Roman" w:cs="Calibri"/>
          <w:sz w:val="24"/>
        </w:rPr>
        <w:t>Baļščina</w:t>
      </w:r>
      <w:proofErr w:type="spellEnd"/>
      <w:r w:rsidRPr="00A07F29">
        <w:rPr>
          <w:rFonts w:ascii="Times New Roman" w:eastAsia="Calibri" w:hAnsi="Times New Roman" w:cs="Calibri"/>
          <w:sz w:val="24"/>
        </w:rPr>
        <w:t xml:space="preserve"> ezeri. </w:t>
      </w:r>
      <w:proofErr w:type="spellStart"/>
      <w:r w:rsidRPr="00A07F29">
        <w:rPr>
          <w:rFonts w:ascii="Times New Roman" w:eastAsia="Calibri" w:hAnsi="Times New Roman" w:cs="Calibri"/>
          <w:sz w:val="24"/>
        </w:rPr>
        <w:t>Baļščina</w:t>
      </w:r>
      <w:proofErr w:type="spellEnd"/>
      <w:r w:rsidRPr="00A07F29">
        <w:rPr>
          <w:rFonts w:ascii="Times New Roman" w:eastAsia="Calibri" w:hAnsi="Times New Roman" w:cs="Calibri"/>
          <w:sz w:val="24"/>
        </w:rPr>
        <w:t xml:space="preserve"> ezera gadījumā automātiskais detektors bija novietots uz laipas pie Pazaru mājas, kuras ārsienā tika atrasta liela vairāku sugu sikspārņu kolonija. Lidojot no mītnes uz ezeru un otrādi</w:t>
      </w:r>
      <w:r w:rsidR="0019488E">
        <w:rPr>
          <w:rFonts w:ascii="Times New Roman" w:eastAsia="Calibri" w:hAnsi="Times New Roman" w:cs="Calibri"/>
          <w:sz w:val="24"/>
        </w:rPr>
        <w:t>,</w:t>
      </w:r>
      <w:r w:rsidRPr="00A07F29">
        <w:rPr>
          <w:rFonts w:ascii="Times New Roman" w:eastAsia="Calibri" w:hAnsi="Times New Roman" w:cs="Calibri"/>
          <w:sz w:val="24"/>
        </w:rPr>
        <w:t xml:space="preserve"> tie visticamāk tika reģistrēti detektorā. Detektors pārstāja darboties nakts vidū 1:30, kad pietrūka vietas tā atmiņas kartē. Tādējādi uzskaitē netika iekļauta nakts otra puse, kad sikspārņu aktivitāte parasti ir mazāka nekā nakts sākumā. Sikspārņi tika novēroti nakts laikā vizuāli un ar rokas detektoru vēl pie trīs citiem ezeriem – </w:t>
      </w:r>
      <w:proofErr w:type="spellStart"/>
      <w:r w:rsidRPr="00A07F29">
        <w:rPr>
          <w:rFonts w:ascii="Times New Roman" w:eastAsia="Calibri" w:hAnsi="Times New Roman" w:cs="Calibri"/>
          <w:sz w:val="24"/>
        </w:rPr>
        <w:t>Varnaviču</w:t>
      </w:r>
      <w:proofErr w:type="spellEnd"/>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sz w:val="24"/>
        </w:rPr>
        <w:t>Jugaņinas</w:t>
      </w:r>
      <w:proofErr w:type="spellEnd"/>
      <w:r w:rsidRPr="00A07F29">
        <w:rPr>
          <w:rFonts w:ascii="Times New Roman" w:eastAsia="Calibri" w:hAnsi="Times New Roman" w:cs="Calibri"/>
          <w:sz w:val="24"/>
        </w:rPr>
        <w:t xml:space="preserve"> un </w:t>
      </w:r>
      <w:proofErr w:type="spellStart"/>
      <w:r w:rsidRPr="00A07F29">
        <w:rPr>
          <w:rFonts w:ascii="Times New Roman" w:eastAsia="Calibri" w:hAnsi="Times New Roman" w:cs="Calibri"/>
          <w:sz w:val="24"/>
        </w:rPr>
        <w:t>Kalodas</w:t>
      </w:r>
      <w:proofErr w:type="spellEnd"/>
      <w:r w:rsidRPr="00A07F29">
        <w:rPr>
          <w:rFonts w:ascii="Times New Roman" w:eastAsia="Calibri" w:hAnsi="Times New Roman" w:cs="Calibri"/>
          <w:sz w:val="24"/>
        </w:rPr>
        <w:t xml:space="preserve"> ezeriem.</w:t>
      </w:r>
    </w:p>
    <w:p w14:paraId="59D88B3C" w14:textId="5AE6353C" w:rsidR="009072CE" w:rsidRPr="00A07F29" w:rsidRDefault="009072CE" w:rsidP="00DA275C">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lastRenderedPageBreak/>
        <w:t>4.</w:t>
      </w:r>
      <w:r w:rsidR="00CA5212" w:rsidRPr="00A07F29">
        <w:rPr>
          <w:rFonts w:ascii="Times New Roman" w:eastAsia="Calibri" w:hAnsi="Times New Roman" w:cs="Calibri"/>
          <w:sz w:val="24"/>
        </w:rPr>
        <w:t>11</w:t>
      </w:r>
      <w:r w:rsidRPr="00A07F29">
        <w:rPr>
          <w:rFonts w:ascii="Times New Roman" w:eastAsia="Calibri" w:hAnsi="Times New Roman" w:cs="Calibri"/>
          <w:sz w:val="24"/>
        </w:rPr>
        <w:t>.4.</w:t>
      </w:r>
      <w:r w:rsidR="00F6357F">
        <w:rPr>
          <w:rFonts w:ascii="Times New Roman" w:eastAsia="Calibri" w:hAnsi="Times New Roman" w:cs="Calibri"/>
          <w:sz w:val="24"/>
        </w:rPr>
        <w:t> </w:t>
      </w:r>
      <w:r w:rsidRPr="00A07F29">
        <w:rPr>
          <w:rFonts w:ascii="Times New Roman" w:eastAsia="Calibri" w:hAnsi="Times New Roman" w:cs="Calibri"/>
          <w:sz w:val="24"/>
        </w:rPr>
        <w:t xml:space="preserve">tabulā redzamās sikspārņu sugu daudzveidības un aktivitātes atšķirības balstītas uz katras vietas vienreizēju apsekošanu un būtu jāizvairās no ezeru </w:t>
      </w:r>
      <w:proofErr w:type="spellStart"/>
      <w:r w:rsidRPr="00A07F29">
        <w:rPr>
          <w:rFonts w:ascii="Times New Roman" w:eastAsia="Calibri" w:hAnsi="Times New Roman" w:cs="Calibri"/>
          <w:sz w:val="24"/>
        </w:rPr>
        <w:t>ranžēšanas</w:t>
      </w:r>
      <w:proofErr w:type="spellEnd"/>
      <w:r w:rsidRPr="00A07F29">
        <w:rPr>
          <w:rFonts w:ascii="Times New Roman" w:eastAsia="Calibri" w:hAnsi="Times New Roman" w:cs="Calibri"/>
          <w:sz w:val="24"/>
        </w:rPr>
        <w:t xml:space="preserve"> pēc to nozīmes sikspārņu barošanās ziņā. Kukaiņu un līdz ar to sikspārņu aktivitāte virs ezeriem var mainīties sezonas laikā. Šo izmaiņu konstatēšanai būtu nepieciešams ilgstošs sikspārņu akustiskais monitorings visas sezonas garumā vai vismaz ar biežiem atkārtojumiem. Tomēr iegūtie dati ļauj apgalvot, ka AAA </w:t>
      </w:r>
      <w:r w:rsidR="00CA5212" w:rsidRPr="00A07F29">
        <w:rPr>
          <w:rFonts w:ascii="Times New Roman" w:eastAsia="Calibri" w:hAnsi="Times New Roman" w:cs="Calibri"/>
          <w:sz w:val="24"/>
        </w:rPr>
        <w:t xml:space="preserve">“Augšdaugava” </w:t>
      </w:r>
      <w:r w:rsidRPr="00A07F29">
        <w:rPr>
          <w:rFonts w:ascii="Times New Roman" w:eastAsia="Calibri" w:hAnsi="Times New Roman" w:cs="Calibri"/>
          <w:sz w:val="24"/>
        </w:rPr>
        <w:t>ezeriem ir īpaša nozīme sikspārņu nodrošināšan</w:t>
      </w:r>
      <w:r w:rsidR="00CA5212" w:rsidRPr="00A07F29">
        <w:rPr>
          <w:rFonts w:ascii="Times New Roman" w:eastAsia="Calibri" w:hAnsi="Times New Roman" w:cs="Calibri"/>
          <w:sz w:val="24"/>
        </w:rPr>
        <w:t>ā</w:t>
      </w:r>
      <w:r w:rsidRPr="00A07F29">
        <w:rPr>
          <w:rFonts w:ascii="Times New Roman" w:eastAsia="Calibri" w:hAnsi="Times New Roman" w:cs="Calibri"/>
          <w:sz w:val="24"/>
        </w:rPr>
        <w:t xml:space="preserve"> ar barību to vairošanās sezonā. </w:t>
      </w:r>
    </w:p>
    <w:p w14:paraId="6362653F" w14:textId="7C58AD74" w:rsidR="009072CE" w:rsidRPr="00A07F29" w:rsidRDefault="009072CE" w:rsidP="00465129">
      <w:pPr>
        <w:spacing w:before="240" w:after="120" w:line="240" w:lineRule="auto"/>
        <w:jc w:val="both"/>
        <w:rPr>
          <w:rFonts w:ascii="Times New Roman" w:eastAsia="Calibri" w:hAnsi="Times New Roman" w:cs="Calibri"/>
          <w:sz w:val="24"/>
        </w:rPr>
      </w:pPr>
      <w:r w:rsidRPr="00A07F29">
        <w:rPr>
          <w:rFonts w:ascii="Times New Roman" w:eastAsia="Calibri" w:hAnsi="Times New Roman" w:cs="Calibri"/>
          <w:sz w:val="24"/>
        </w:rPr>
        <w:t>4.</w:t>
      </w:r>
      <w:r w:rsidR="007930DC" w:rsidRPr="00A07F29">
        <w:rPr>
          <w:rFonts w:ascii="Times New Roman" w:eastAsia="Calibri" w:hAnsi="Times New Roman" w:cs="Calibri"/>
          <w:sz w:val="24"/>
        </w:rPr>
        <w:t>11</w:t>
      </w:r>
      <w:r w:rsidRPr="00A07F29">
        <w:rPr>
          <w:rFonts w:ascii="Times New Roman" w:eastAsia="Calibri" w:hAnsi="Times New Roman" w:cs="Calibri"/>
          <w:sz w:val="24"/>
        </w:rPr>
        <w:t>.4.</w:t>
      </w:r>
      <w:r w:rsidR="00CA5212" w:rsidRPr="00A07F29">
        <w:rPr>
          <w:rFonts w:ascii="Times New Roman" w:eastAsia="Calibri" w:hAnsi="Times New Roman" w:cs="Calibri"/>
          <w:sz w:val="24"/>
        </w:rPr>
        <w:t> </w:t>
      </w:r>
      <w:r w:rsidRPr="00A07F29">
        <w:rPr>
          <w:rFonts w:ascii="Times New Roman" w:eastAsia="Calibri" w:hAnsi="Times New Roman" w:cs="Calibri"/>
          <w:sz w:val="24"/>
        </w:rPr>
        <w:t>tabula</w:t>
      </w:r>
      <w:r w:rsidR="00CA5212" w:rsidRPr="00A07F29">
        <w:rPr>
          <w:rFonts w:ascii="Times New Roman" w:eastAsia="Calibri" w:hAnsi="Times New Roman" w:cs="Calibri"/>
          <w:sz w:val="24"/>
        </w:rPr>
        <w:t>.</w:t>
      </w:r>
      <w:r w:rsidRPr="00A07F29">
        <w:rPr>
          <w:rFonts w:ascii="Times New Roman" w:eastAsia="Calibri" w:hAnsi="Times New Roman" w:cs="Calibri"/>
          <w:sz w:val="24"/>
        </w:rPr>
        <w:t xml:space="preserve"> Sikspārņu sugu skaits un aktivitāte (pārlidojumu skaits stundā) uzskaitēs ar automātiskajiem detektoriem D-500X pie astoņiem ezeriem AAA </w:t>
      </w:r>
      <w:r w:rsidR="00CA5212" w:rsidRPr="00A07F29">
        <w:rPr>
          <w:rFonts w:ascii="Times New Roman" w:eastAsia="Calibri" w:hAnsi="Times New Roman" w:cs="Calibri"/>
          <w:sz w:val="24"/>
        </w:rPr>
        <w:t>“</w:t>
      </w:r>
      <w:r w:rsidRPr="00A07F29">
        <w:rPr>
          <w:rFonts w:ascii="Times New Roman" w:eastAsia="Calibri" w:hAnsi="Times New Roman" w:cs="Calibri"/>
          <w:sz w:val="24"/>
        </w:rPr>
        <w:t>Augšdaugava</w:t>
      </w:r>
      <w:r w:rsidR="00CA5212" w:rsidRPr="00A07F29">
        <w:rPr>
          <w:rFonts w:ascii="Times New Roman" w:eastAsia="Calibri" w:hAnsi="Times New Roman" w:cs="Calibri"/>
          <w:sz w:val="24"/>
        </w:rPr>
        <w:t>”</w:t>
      </w:r>
      <w:r w:rsidRPr="00A07F29">
        <w:rPr>
          <w:rFonts w:ascii="Times New Roman" w:eastAsia="Calibri" w:hAnsi="Times New Roman" w:cs="Calibri"/>
          <w:sz w:val="24"/>
        </w:rPr>
        <w:t xml:space="preserve"> 2019.</w:t>
      </w:r>
      <w:r w:rsidR="00465129" w:rsidRPr="00A07F29">
        <w:rPr>
          <w:rFonts w:ascii="Times New Roman" w:eastAsia="Calibri" w:hAnsi="Times New Roman" w:cs="Calibri"/>
          <w:sz w:val="24"/>
        </w:rPr>
        <w:t> </w:t>
      </w:r>
      <w:r w:rsidRPr="00A07F29">
        <w:rPr>
          <w:rFonts w:ascii="Times New Roman" w:eastAsia="Calibri" w:hAnsi="Times New Roman" w:cs="Calibri"/>
          <w:sz w:val="24"/>
        </w:rPr>
        <w:t xml:space="preserve">gada jūnijā un jūlijā. Aprēķinos nav ņemti vērā līdz sugai nenoteiktie sikspārņi.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0"/>
        <w:gridCol w:w="2130"/>
        <w:gridCol w:w="2131"/>
        <w:gridCol w:w="2131"/>
      </w:tblGrid>
      <w:tr w:rsidR="009072CE" w:rsidRPr="00A07F29" w14:paraId="6E4F4C48" w14:textId="77777777" w:rsidTr="00CA5212">
        <w:trPr>
          <w:jc w:val="center"/>
        </w:trPr>
        <w:tc>
          <w:tcPr>
            <w:tcW w:w="2130" w:type="dxa"/>
            <w:shd w:val="clear" w:color="auto" w:fill="D6E3BC" w:themeFill="accent3" w:themeFillTint="66"/>
          </w:tcPr>
          <w:p w14:paraId="4A409289" w14:textId="77777777" w:rsidR="009072CE" w:rsidRPr="00A07F29" w:rsidRDefault="009072CE" w:rsidP="00465129">
            <w:pPr>
              <w:spacing w:before="60" w:after="60" w:line="240" w:lineRule="auto"/>
              <w:ind w:firstLine="34"/>
              <w:jc w:val="both"/>
              <w:rPr>
                <w:rFonts w:ascii="Times New Roman" w:eastAsia="Calibri" w:hAnsi="Times New Roman" w:cs="Calibri"/>
                <w:sz w:val="24"/>
              </w:rPr>
            </w:pPr>
            <w:r w:rsidRPr="00A07F29">
              <w:rPr>
                <w:rFonts w:ascii="Times New Roman" w:eastAsia="Calibri" w:hAnsi="Times New Roman" w:cs="Calibri"/>
                <w:sz w:val="24"/>
              </w:rPr>
              <w:t>Ezera nosaukums</w:t>
            </w:r>
          </w:p>
        </w:tc>
        <w:tc>
          <w:tcPr>
            <w:tcW w:w="2130" w:type="dxa"/>
            <w:shd w:val="clear" w:color="auto" w:fill="D6E3BC" w:themeFill="accent3" w:themeFillTint="66"/>
          </w:tcPr>
          <w:p w14:paraId="2A425C53" w14:textId="77777777" w:rsidR="009072CE" w:rsidRPr="00A07F29" w:rsidRDefault="009072CE" w:rsidP="00465129">
            <w:pPr>
              <w:spacing w:before="60" w:after="60" w:line="240" w:lineRule="auto"/>
              <w:jc w:val="both"/>
              <w:rPr>
                <w:rFonts w:ascii="Times New Roman" w:eastAsia="Calibri" w:hAnsi="Times New Roman" w:cs="Calibri"/>
                <w:sz w:val="24"/>
              </w:rPr>
            </w:pPr>
            <w:r w:rsidRPr="00A07F29">
              <w:rPr>
                <w:rFonts w:ascii="Times New Roman" w:eastAsia="Calibri" w:hAnsi="Times New Roman" w:cs="Calibri"/>
                <w:sz w:val="24"/>
              </w:rPr>
              <w:t>Uzskaites datums</w:t>
            </w:r>
          </w:p>
        </w:tc>
        <w:tc>
          <w:tcPr>
            <w:tcW w:w="2131" w:type="dxa"/>
            <w:shd w:val="clear" w:color="auto" w:fill="D6E3BC" w:themeFill="accent3" w:themeFillTint="66"/>
          </w:tcPr>
          <w:p w14:paraId="4EDCABBA" w14:textId="77777777" w:rsidR="009072CE" w:rsidRPr="00A07F29" w:rsidRDefault="009072CE" w:rsidP="00465129">
            <w:pPr>
              <w:spacing w:before="60" w:after="60" w:line="240" w:lineRule="auto"/>
              <w:jc w:val="both"/>
              <w:rPr>
                <w:rFonts w:ascii="Times New Roman" w:eastAsia="Calibri" w:hAnsi="Times New Roman" w:cs="Calibri"/>
                <w:sz w:val="24"/>
              </w:rPr>
            </w:pPr>
            <w:r w:rsidRPr="00A07F29">
              <w:rPr>
                <w:rFonts w:ascii="Times New Roman" w:eastAsia="Calibri" w:hAnsi="Times New Roman" w:cs="Calibri"/>
                <w:sz w:val="24"/>
              </w:rPr>
              <w:t>Sugu skaits</w:t>
            </w:r>
          </w:p>
        </w:tc>
        <w:tc>
          <w:tcPr>
            <w:tcW w:w="2131" w:type="dxa"/>
            <w:shd w:val="clear" w:color="auto" w:fill="D6E3BC" w:themeFill="accent3" w:themeFillTint="66"/>
          </w:tcPr>
          <w:p w14:paraId="02B4D4AB" w14:textId="77777777" w:rsidR="009072CE" w:rsidRPr="00A07F29" w:rsidRDefault="009072CE" w:rsidP="00465129">
            <w:pPr>
              <w:spacing w:before="60" w:after="60" w:line="240" w:lineRule="auto"/>
              <w:ind w:firstLine="15"/>
              <w:jc w:val="both"/>
              <w:rPr>
                <w:rFonts w:ascii="Times New Roman" w:eastAsia="Calibri" w:hAnsi="Times New Roman" w:cs="Calibri"/>
                <w:sz w:val="24"/>
              </w:rPr>
            </w:pPr>
            <w:r w:rsidRPr="00A07F29">
              <w:rPr>
                <w:rFonts w:ascii="Times New Roman" w:eastAsia="Calibri" w:hAnsi="Times New Roman" w:cs="Calibri"/>
                <w:sz w:val="24"/>
              </w:rPr>
              <w:t>Kopējā aktivitāte</w:t>
            </w:r>
          </w:p>
        </w:tc>
      </w:tr>
      <w:tr w:rsidR="009072CE" w:rsidRPr="00A07F29" w14:paraId="529B8AEA" w14:textId="77777777" w:rsidTr="00CA5212">
        <w:trPr>
          <w:jc w:val="center"/>
        </w:trPr>
        <w:tc>
          <w:tcPr>
            <w:tcW w:w="2130" w:type="dxa"/>
            <w:shd w:val="clear" w:color="auto" w:fill="auto"/>
            <w:vAlign w:val="bottom"/>
          </w:tcPr>
          <w:p w14:paraId="732E4DC8" w14:textId="77777777" w:rsidR="009072CE" w:rsidRPr="00A07F29" w:rsidRDefault="009072CE" w:rsidP="00465129">
            <w:pPr>
              <w:spacing w:before="60" w:after="60" w:line="240" w:lineRule="auto"/>
              <w:ind w:firstLine="34"/>
              <w:jc w:val="both"/>
              <w:rPr>
                <w:rFonts w:ascii="Times New Roman" w:eastAsia="Calibri" w:hAnsi="Times New Roman" w:cs="Calibri"/>
                <w:sz w:val="24"/>
              </w:rPr>
            </w:pPr>
            <w:proofErr w:type="spellStart"/>
            <w:r w:rsidRPr="00A07F29">
              <w:rPr>
                <w:rFonts w:ascii="Times New Roman" w:eastAsia="Calibri" w:hAnsi="Times New Roman" w:cs="Calibri"/>
                <w:sz w:val="24"/>
              </w:rPr>
              <w:t>Baļščicas</w:t>
            </w:r>
            <w:proofErr w:type="spellEnd"/>
            <w:r w:rsidRPr="00A07F29">
              <w:rPr>
                <w:rFonts w:ascii="Times New Roman" w:eastAsia="Calibri" w:hAnsi="Times New Roman" w:cs="Calibri"/>
                <w:sz w:val="24"/>
              </w:rPr>
              <w:t xml:space="preserve"> ezers</w:t>
            </w:r>
          </w:p>
        </w:tc>
        <w:tc>
          <w:tcPr>
            <w:tcW w:w="2130" w:type="dxa"/>
            <w:shd w:val="clear" w:color="auto" w:fill="auto"/>
          </w:tcPr>
          <w:p w14:paraId="526AEA84" w14:textId="56A59178" w:rsidR="009072CE" w:rsidRPr="00A07F29" w:rsidRDefault="009072CE" w:rsidP="00465129">
            <w:pPr>
              <w:spacing w:before="60" w:after="60" w:line="240" w:lineRule="auto"/>
              <w:jc w:val="both"/>
              <w:rPr>
                <w:rFonts w:ascii="Times New Roman" w:eastAsia="Calibri" w:hAnsi="Times New Roman" w:cs="Calibri"/>
                <w:sz w:val="24"/>
              </w:rPr>
            </w:pPr>
            <w:r w:rsidRPr="00A07F29">
              <w:rPr>
                <w:rFonts w:ascii="Times New Roman" w:eastAsia="Calibri" w:hAnsi="Times New Roman" w:cs="Calibri"/>
                <w:sz w:val="24"/>
              </w:rPr>
              <w:t>22./23.</w:t>
            </w:r>
            <w:r w:rsidR="00655776">
              <w:rPr>
                <w:rFonts w:ascii="Times New Roman" w:eastAsia="Calibri" w:hAnsi="Times New Roman" w:cs="Calibri"/>
                <w:sz w:val="24"/>
              </w:rPr>
              <w:t> </w:t>
            </w:r>
            <w:r w:rsidRPr="00A07F29">
              <w:rPr>
                <w:rFonts w:ascii="Times New Roman" w:eastAsia="Calibri" w:hAnsi="Times New Roman" w:cs="Calibri"/>
                <w:sz w:val="24"/>
              </w:rPr>
              <w:t>jūlijs</w:t>
            </w:r>
          </w:p>
        </w:tc>
        <w:tc>
          <w:tcPr>
            <w:tcW w:w="2131" w:type="dxa"/>
            <w:shd w:val="clear" w:color="auto" w:fill="auto"/>
          </w:tcPr>
          <w:p w14:paraId="6AB3A357" w14:textId="77777777" w:rsidR="009072CE" w:rsidRPr="00A07F29" w:rsidRDefault="009072CE" w:rsidP="00465129">
            <w:pPr>
              <w:spacing w:before="60" w:after="6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7</w:t>
            </w:r>
          </w:p>
        </w:tc>
        <w:tc>
          <w:tcPr>
            <w:tcW w:w="2131" w:type="dxa"/>
            <w:shd w:val="clear" w:color="auto" w:fill="auto"/>
            <w:vAlign w:val="bottom"/>
          </w:tcPr>
          <w:p w14:paraId="088E3533" w14:textId="77777777" w:rsidR="009072CE" w:rsidRPr="00A07F29" w:rsidRDefault="009072CE" w:rsidP="00465129">
            <w:pPr>
              <w:spacing w:before="60" w:after="6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134,4</w:t>
            </w:r>
          </w:p>
        </w:tc>
      </w:tr>
      <w:tr w:rsidR="009072CE" w:rsidRPr="00A07F29" w14:paraId="305A3485" w14:textId="77777777" w:rsidTr="00CA5212">
        <w:trPr>
          <w:jc w:val="center"/>
        </w:trPr>
        <w:tc>
          <w:tcPr>
            <w:tcW w:w="2130" w:type="dxa"/>
            <w:shd w:val="clear" w:color="auto" w:fill="auto"/>
            <w:vAlign w:val="bottom"/>
          </w:tcPr>
          <w:p w14:paraId="342D2559" w14:textId="77777777" w:rsidR="009072CE" w:rsidRPr="00A07F29" w:rsidRDefault="009072CE" w:rsidP="00465129">
            <w:pPr>
              <w:spacing w:before="60" w:after="60" w:line="240" w:lineRule="auto"/>
              <w:ind w:firstLine="34"/>
              <w:jc w:val="both"/>
              <w:rPr>
                <w:rFonts w:ascii="Times New Roman" w:eastAsia="Calibri" w:hAnsi="Times New Roman" w:cs="Calibri"/>
                <w:sz w:val="24"/>
              </w:rPr>
            </w:pPr>
            <w:proofErr w:type="spellStart"/>
            <w:r w:rsidRPr="00A07F29">
              <w:rPr>
                <w:rFonts w:ascii="Times New Roman" w:eastAsia="Calibri" w:hAnsi="Times New Roman" w:cs="Calibri"/>
                <w:sz w:val="24"/>
              </w:rPr>
              <w:t>Dolgoje</w:t>
            </w:r>
            <w:proofErr w:type="spellEnd"/>
            <w:r w:rsidRPr="00A07F29">
              <w:rPr>
                <w:rFonts w:ascii="Times New Roman" w:eastAsia="Calibri" w:hAnsi="Times New Roman" w:cs="Calibri"/>
                <w:sz w:val="24"/>
              </w:rPr>
              <w:t xml:space="preserve"> ezers </w:t>
            </w:r>
          </w:p>
        </w:tc>
        <w:tc>
          <w:tcPr>
            <w:tcW w:w="2130" w:type="dxa"/>
            <w:shd w:val="clear" w:color="auto" w:fill="auto"/>
          </w:tcPr>
          <w:p w14:paraId="42FEA837" w14:textId="7AD85B0E" w:rsidR="009072CE" w:rsidRPr="00A07F29" w:rsidRDefault="009072CE" w:rsidP="00465129">
            <w:pPr>
              <w:spacing w:before="60" w:after="60" w:line="240" w:lineRule="auto"/>
              <w:jc w:val="both"/>
              <w:rPr>
                <w:rFonts w:ascii="Times New Roman" w:eastAsia="Calibri" w:hAnsi="Times New Roman" w:cs="Calibri"/>
                <w:sz w:val="24"/>
              </w:rPr>
            </w:pPr>
            <w:r w:rsidRPr="00A07F29">
              <w:rPr>
                <w:rFonts w:ascii="Times New Roman" w:eastAsia="Calibri" w:hAnsi="Times New Roman" w:cs="Calibri"/>
                <w:sz w:val="24"/>
              </w:rPr>
              <w:t>20./21.</w:t>
            </w:r>
            <w:r w:rsidR="00655776">
              <w:rPr>
                <w:rFonts w:ascii="Times New Roman" w:eastAsia="Calibri" w:hAnsi="Times New Roman" w:cs="Calibri"/>
                <w:sz w:val="24"/>
              </w:rPr>
              <w:t> </w:t>
            </w:r>
            <w:r w:rsidRPr="00A07F29">
              <w:rPr>
                <w:rFonts w:ascii="Times New Roman" w:eastAsia="Calibri" w:hAnsi="Times New Roman" w:cs="Calibri"/>
                <w:sz w:val="24"/>
              </w:rPr>
              <w:t>jūlijs</w:t>
            </w:r>
          </w:p>
        </w:tc>
        <w:tc>
          <w:tcPr>
            <w:tcW w:w="2131" w:type="dxa"/>
            <w:shd w:val="clear" w:color="auto" w:fill="auto"/>
          </w:tcPr>
          <w:p w14:paraId="3E881A80" w14:textId="77777777" w:rsidR="009072CE" w:rsidRPr="00A07F29" w:rsidRDefault="009072CE" w:rsidP="00465129">
            <w:pPr>
              <w:spacing w:before="60" w:after="6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3</w:t>
            </w:r>
          </w:p>
        </w:tc>
        <w:tc>
          <w:tcPr>
            <w:tcW w:w="2131" w:type="dxa"/>
            <w:shd w:val="clear" w:color="auto" w:fill="auto"/>
            <w:vAlign w:val="bottom"/>
          </w:tcPr>
          <w:p w14:paraId="066D7626" w14:textId="77777777" w:rsidR="009072CE" w:rsidRPr="00A07F29" w:rsidRDefault="009072CE" w:rsidP="00465129">
            <w:pPr>
              <w:spacing w:before="60" w:after="6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18,7</w:t>
            </w:r>
          </w:p>
        </w:tc>
      </w:tr>
      <w:tr w:rsidR="009072CE" w:rsidRPr="00A07F29" w14:paraId="3693A218" w14:textId="77777777" w:rsidTr="00CA5212">
        <w:trPr>
          <w:jc w:val="center"/>
        </w:trPr>
        <w:tc>
          <w:tcPr>
            <w:tcW w:w="2130" w:type="dxa"/>
            <w:shd w:val="clear" w:color="auto" w:fill="auto"/>
            <w:vAlign w:val="bottom"/>
          </w:tcPr>
          <w:p w14:paraId="0F9DAC4F" w14:textId="77777777" w:rsidR="009072CE" w:rsidRPr="00A07F29" w:rsidRDefault="009072CE" w:rsidP="00465129">
            <w:pPr>
              <w:spacing w:before="60" w:after="60" w:line="240" w:lineRule="auto"/>
              <w:ind w:firstLine="34"/>
              <w:jc w:val="both"/>
              <w:rPr>
                <w:rFonts w:ascii="Times New Roman" w:eastAsia="Calibri" w:hAnsi="Times New Roman" w:cs="Calibri"/>
                <w:sz w:val="24"/>
              </w:rPr>
            </w:pPr>
            <w:r w:rsidRPr="00A07F29">
              <w:rPr>
                <w:rFonts w:ascii="Times New Roman" w:eastAsia="Calibri" w:hAnsi="Times New Roman" w:cs="Calibri"/>
                <w:sz w:val="24"/>
              </w:rPr>
              <w:t>Dziļais ezers</w:t>
            </w:r>
          </w:p>
        </w:tc>
        <w:tc>
          <w:tcPr>
            <w:tcW w:w="2130" w:type="dxa"/>
            <w:shd w:val="clear" w:color="auto" w:fill="auto"/>
          </w:tcPr>
          <w:p w14:paraId="2EE80BF2" w14:textId="71B21F86" w:rsidR="009072CE" w:rsidRPr="00A07F29" w:rsidRDefault="009072CE" w:rsidP="00465129">
            <w:pPr>
              <w:spacing w:before="60" w:after="60" w:line="240" w:lineRule="auto"/>
              <w:jc w:val="both"/>
              <w:rPr>
                <w:rFonts w:ascii="Times New Roman" w:eastAsia="Calibri" w:hAnsi="Times New Roman" w:cs="Calibri"/>
                <w:sz w:val="24"/>
              </w:rPr>
            </w:pPr>
            <w:r w:rsidRPr="00A07F29">
              <w:rPr>
                <w:rFonts w:ascii="Times New Roman" w:eastAsia="Calibri" w:hAnsi="Times New Roman" w:cs="Calibri"/>
                <w:sz w:val="24"/>
              </w:rPr>
              <w:t>19./20.</w:t>
            </w:r>
            <w:r w:rsidR="00522EDE">
              <w:rPr>
                <w:rFonts w:ascii="Times New Roman" w:eastAsia="Calibri" w:hAnsi="Times New Roman" w:cs="Calibri"/>
                <w:sz w:val="24"/>
              </w:rPr>
              <w:t> </w:t>
            </w:r>
            <w:r w:rsidRPr="00A07F29">
              <w:rPr>
                <w:rFonts w:ascii="Times New Roman" w:eastAsia="Calibri" w:hAnsi="Times New Roman" w:cs="Calibri"/>
                <w:sz w:val="24"/>
              </w:rPr>
              <w:t>jūlijs</w:t>
            </w:r>
          </w:p>
        </w:tc>
        <w:tc>
          <w:tcPr>
            <w:tcW w:w="2131" w:type="dxa"/>
            <w:shd w:val="clear" w:color="auto" w:fill="auto"/>
          </w:tcPr>
          <w:p w14:paraId="171F1410" w14:textId="77777777" w:rsidR="009072CE" w:rsidRPr="00A07F29" w:rsidRDefault="009072CE" w:rsidP="00465129">
            <w:pPr>
              <w:spacing w:before="60" w:after="6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4</w:t>
            </w:r>
          </w:p>
        </w:tc>
        <w:tc>
          <w:tcPr>
            <w:tcW w:w="2131" w:type="dxa"/>
            <w:shd w:val="clear" w:color="auto" w:fill="auto"/>
            <w:vAlign w:val="bottom"/>
          </w:tcPr>
          <w:p w14:paraId="1E5178CA" w14:textId="77777777" w:rsidR="009072CE" w:rsidRPr="00A07F29" w:rsidRDefault="009072CE" w:rsidP="00465129">
            <w:pPr>
              <w:spacing w:before="60" w:after="6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15</w:t>
            </w:r>
          </w:p>
        </w:tc>
      </w:tr>
      <w:tr w:rsidR="009072CE" w:rsidRPr="00A07F29" w14:paraId="1FC2BD29" w14:textId="77777777" w:rsidTr="00CA5212">
        <w:trPr>
          <w:jc w:val="center"/>
        </w:trPr>
        <w:tc>
          <w:tcPr>
            <w:tcW w:w="2130" w:type="dxa"/>
            <w:shd w:val="clear" w:color="auto" w:fill="auto"/>
            <w:vAlign w:val="bottom"/>
          </w:tcPr>
          <w:p w14:paraId="58BE3BD9" w14:textId="77777777" w:rsidR="009072CE" w:rsidRPr="00A07F29" w:rsidRDefault="009072CE" w:rsidP="00465129">
            <w:pPr>
              <w:spacing w:before="60" w:after="60" w:line="240" w:lineRule="auto"/>
              <w:ind w:firstLine="34"/>
              <w:jc w:val="both"/>
              <w:rPr>
                <w:rFonts w:ascii="Times New Roman" w:eastAsia="Calibri" w:hAnsi="Times New Roman" w:cs="Calibri"/>
                <w:sz w:val="24"/>
              </w:rPr>
            </w:pPr>
            <w:proofErr w:type="spellStart"/>
            <w:r w:rsidRPr="00A07F29">
              <w:rPr>
                <w:rFonts w:ascii="Times New Roman" w:eastAsia="Calibri" w:hAnsi="Times New Roman" w:cs="Calibri"/>
                <w:sz w:val="24"/>
              </w:rPr>
              <w:t>Jablonkas</w:t>
            </w:r>
            <w:proofErr w:type="spellEnd"/>
            <w:r w:rsidRPr="00A07F29">
              <w:rPr>
                <w:rFonts w:ascii="Times New Roman" w:eastAsia="Calibri" w:hAnsi="Times New Roman" w:cs="Calibri"/>
                <w:sz w:val="24"/>
              </w:rPr>
              <w:t xml:space="preserve"> ezers</w:t>
            </w:r>
          </w:p>
        </w:tc>
        <w:tc>
          <w:tcPr>
            <w:tcW w:w="2130" w:type="dxa"/>
            <w:shd w:val="clear" w:color="auto" w:fill="auto"/>
          </w:tcPr>
          <w:p w14:paraId="150AD877" w14:textId="4313EB70" w:rsidR="009072CE" w:rsidRPr="00A07F29" w:rsidRDefault="009072CE" w:rsidP="00465129">
            <w:pPr>
              <w:spacing w:before="60" w:after="60" w:line="240" w:lineRule="auto"/>
              <w:jc w:val="both"/>
              <w:rPr>
                <w:rFonts w:ascii="Times New Roman" w:eastAsia="Calibri" w:hAnsi="Times New Roman" w:cs="Calibri"/>
                <w:sz w:val="24"/>
              </w:rPr>
            </w:pPr>
            <w:r w:rsidRPr="00A07F29">
              <w:rPr>
                <w:rFonts w:ascii="Times New Roman" w:eastAsia="Calibri" w:hAnsi="Times New Roman" w:cs="Calibri"/>
                <w:sz w:val="24"/>
              </w:rPr>
              <w:t>22./23.</w:t>
            </w:r>
            <w:r w:rsidR="00522EDE">
              <w:rPr>
                <w:rFonts w:ascii="Times New Roman" w:eastAsia="Calibri" w:hAnsi="Times New Roman" w:cs="Calibri"/>
                <w:sz w:val="24"/>
              </w:rPr>
              <w:t> </w:t>
            </w:r>
            <w:r w:rsidRPr="00A07F29">
              <w:rPr>
                <w:rFonts w:ascii="Times New Roman" w:eastAsia="Calibri" w:hAnsi="Times New Roman" w:cs="Calibri"/>
                <w:sz w:val="24"/>
              </w:rPr>
              <w:t>jūlijs</w:t>
            </w:r>
          </w:p>
        </w:tc>
        <w:tc>
          <w:tcPr>
            <w:tcW w:w="2131" w:type="dxa"/>
            <w:shd w:val="clear" w:color="auto" w:fill="auto"/>
          </w:tcPr>
          <w:p w14:paraId="5C1EFE88" w14:textId="77777777" w:rsidR="009072CE" w:rsidRPr="00A07F29" w:rsidRDefault="009072CE" w:rsidP="00465129">
            <w:pPr>
              <w:spacing w:before="60" w:after="6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3</w:t>
            </w:r>
          </w:p>
        </w:tc>
        <w:tc>
          <w:tcPr>
            <w:tcW w:w="2131" w:type="dxa"/>
            <w:shd w:val="clear" w:color="auto" w:fill="auto"/>
            <w:vAlign w:val="bottom"/>
          </w:tcPr>
          <w:p w14:paraId="2C17952E" w14:textId="77777777" w:rsidR="009072CE" w:rsidRPr="00A07F29" w:rsidRDefault="009072CE" w:rsidP="00465129">
            <w:pPr>
              <w:spacing w:before="60" w:after="6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1,6</w:t>
            </w:r>
          </w:p>
        </w:tc>
      </w:tr>
      <w:tr w:rsidR="009072CE" w:rsidRPr="00A07F29" w14:paraId="506F605A" w14:textId="77777777" w:rsidTr="00CA5212">
        <w:trPr>
          <w:jc w:val="center"/>
        </w:trPr>
        <w:tc>
          <w:tcPr>
            <w:tcW w:w="2130" w:type="dxa"/>
            <w:shd w:val="clear" w:color="auto" w:fill="auto"/>
            <w:vAlign w:val="bottom"/>
          </w:tcPr>
          <w:p w14:paraId="0CDF9142" w14:textId="77777777" w:rsidR="009072CE" w:rsidRPr="00A07F29" w:rsidRDefault="009072CE" w:rsidP="00465129">
            <w:pPr>
              <w:spacing w:before="60" w:after="60" w:line="240" w:lineRule="auto"/>
              <w:ind w:firstLine="34"/>
              <w:jc w:val="both"/>
              <w:rPr>
                <w:rFonts w:ascii="Times New Roman" w:eastAsia="Calibri" w:hAnsi="Times New Roman" w:cs="Calibri"/>
                <w:sz w:val="24"/>
              </w:rPr>
            </w:pPr>
            <w:proofErr w:type="spellStart"/>
            <w:r w:rsidRPr="00A07F29">
              <w:rPr>
                <w:rFonts w:ascii="Times New Roman" w:eastAsia="Calibri" w:hAnsi="Times New Roman" w:cs="Calibri"/>
                <w:sz w:val="24"/>
              </w:rPr>
              <w:t>Riņģu</w:t>
            </w:r>
            <w:proofErr w:type="spellEnd"/>
            <w:r w:rsidRPr="00A07F29">
              <w:rPr>
                <w:rFonts w:ascii="Times New Roman" w:eastAsia="Calibri" w:hAnsi="Times New Roman" w:cs="Calibri"/>
                <w:sz w:val="24"/>
              </w:rPr>
              <w:t xml:space="preserve"> ezers</w:t>
            </w:r>
          </w:p>
        </w:tc>
        <w:tc>
          <w:tcPr>
            <w:tcW w:w="2130" w:type="dxa"/>
            <w:shd w:val="clear" w:color="auto" w:fill="auto"/>
          </w:tcPr>
          <w:p w14:paraId="77D44FC3" w14:textId="1074F9D0" w:rsidR="009072CE" w:rsidRPr="00A07F29" w:rsidRDefault="009072CE" w:rsidP="00465129">
            <w:pPr>
              <w:spacing w:before="60" w:after="60" w:line="240" w:lineRule="auto"/>
              <w:jc w:val="both"/>
              <w:rPr>
                <w:rFonts w:ascii="Times New Roman" w:eastAsia="Calibri" w:hAnsi="Times New Roman" w:cs="Calibri"/>
                <w:sz w:val="24"/>
              </w:rPr>
            </w:pPr>
            <w:r w:rsidRPr="00A07F29">
              <w:rPr>
                <w:rFonts w:ascii="Times New Roman" w:eastAsia="Calibri" w:hAnsi="Times New Roman" w:cs="Calibri"/>
                <w:sz w:val="24"/>
              </w:rPr>
              <w:t>18./19.</w:t>
            </w:r>
            <w:r w:rsidR="00522EDE">
              <w:rPr>
                <w:rFonts w:ascii="Times New Roman" w:eastAsia="Calibri" w:hAnsi="Times New Roman" w:cs="Calibri"/>
                <w:sz w:val="24"/>
              </w:rPr>
              <w:t> </w:t>
            </w:r>
            <w:r w:rsidRPr="00A07F29">
              <w:rPr>
                <w:rFonts w:ascii="Times New Roman" w:eastAsia="Calibri" w:hAnsi="Times New Roman" w:cs="Calibri"/>
                <w:sz w:val="24"/>
              </w:rPr>
              <w:t>jūnijs</w:t>
            </w:r>
          </w:p>
        </w:tc>
        <w:tc>
          <w:tcPr>
            <w:tcW w:w="2131" w:type="dxa"/>
            <w:shd w:val="clear" w:color="auto" w:fill="auto"/>
          </w:tcPr>
          <w:p w14:paraId="2704F449" w14:textId="77777777" w:rsidR="009072CE" w:rsidRPr="00A07F29" w:rsidRDefault="009072CE" w:rsidP="00465129">
            <w:pPr>
              <w:spacing w:before="60" w:after="6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4</w:t>
            </w:r>
          </w:p>
        </w:tc>
        <w:tc>
          <w:tcPr>
            <w:tcW w:w="2131" w:type="dxa"/>
            <w:shd w:val="clear" w:color="auto" w:fill="auto"/>
            <w:vAlign w:val="bottom"/>
          </w:tcPr>
          <w:p w14:paraId="041C6585" w14:textId="77777777" w:rsidR="009072CE" w:rsidRPr="00A07F29" w:rsidRDefault="009072CE" w:rsidP="00465129">
            <w:pPr>
              <w:spacing w:before="60" w:after="6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17,1</w:t>
            </w:r>
          </w:p>
        </w:tc>
      </w:tr>
      <w:tr w:rsidR="009072CE" w:rsidRPr="00A07F29" w14:paraId="167FFD02" w14:textId="77777777" w:rsidTr="00CA5212">
        <w:trPr>
          <w:jc w:val="center"/>
        </w:trPr>
        <w:tc>
          <w:tcPr>
            <w:tcW w:w="2130" w:type="dxa"/>
            <w:shd w:val="clear" w:color="auto" w:fill="auto"/>
            <w:vAlign w:val="bottom"/>
          </w:tcPr>
          <w:p w14:paraId="5BD05002" w14:textId="77777777" w:rsidR="009072CE" w:rsidRPr="00A07F29" w:rsidRDefault="009072CE" w:rsidP="00465129">
            <w:pPr>
              <w:spacing w:before="60" w:after="60" w:line="240" w:lineRule="auto"/>
              <w:ind w:firstLine="34"/>
              <w:jc w:val="both"/>
              <w:rPr>
                <w:rFonts w:ascii="Times New Roman" w:eastAsia="Calibri" w:hAnsi="Times New Roman" w:cs="Calibri"/>
                <w:sz w:val="24"/>
              </w:rPr>
            </w:pPr>
            <w:proofErr w:type="spellStart"/>
            <w:r w:rsidRPr="00A07F29">
              <w:rPr>
                <w:rFonts w:ascii="Times New Roman" w:eastAsia="Calibri" w:hAnsi="Times New Roman" w:cs="Calibri"/>
                <w:sz w:val="24"/>
              </w:rPr>
              <w:t>Šilovkas</w:t>
            </w:r>
            <w:proofErr w:type="spellEnd"/>
            <w:r w:rsidRPr="00A07F29">
              <w:rPr>
                <w:rFonts w:ascii="Times New Roman" w:eastAsia="Calibri" w:hAnsi="Times New Roman" w:cs="Calibri"/>
                <w:sz w:val="24"/>
              </w:rPr>
              <w:t xml:space="preserve"> ezers </w:t>
            </w:r>
          </w:p>
        </w:tc>
        <w:tc>
          <w:tcPr>
            <w:tcW w:w="2130" w:type="dxa"/>
            <w:shd w:val="clear" w:color="auto" w:fill="auto"/>
          </w:tcPr>
          <w:p w14:paraId="619A4B78" w14:textId="0A7D240D" w:rsidR="009072CE" w:rsidRPr="00A07F29" w:rsidRDefault="009072CE" w:rsidP="00465129">
            <w:pPr>
              <w:spacing w:before="60" w:after="60" w:line="240" w:lineRule="auto"/>
              <w:jc w:val="both"/>
              <w:rPr>
                <w:rFonts w:ascii="Times New Roman" w:eastAsia="Calibri" w:hAnsi="Times New Roman" w:cs="Calibri"/>
                <w:sz w:val="24"/>
              </w:rPr>
            </w:pPr>
            <w:r w:rsidRPr="00A07F29">
              <w:rPr>
                <w:rFonts w:ascii="Times New Roman" w:eastAsia="Calibri" w:hAnsi="Times New Roman" w:cs="Calibri"/>
                <w:sz w:val="24"/>
              </w:rPr>
              <w:t>4./5.</w:t>
            </w:r>
            <w:r w:rsidR="00522EDE">
              <w:rPr>
                <w:rFonts w:ascii="Times New Roman" w:eastAsia="Calibri" w:hAnsi="Times New Roman" w:cs="Calibri"/>
                <w:sz w:val="24"/>
              </w:rPr>
              <w:t> </w:t>
            </w:r>
            <w:r w:rsidRPr="00A07F29">
              <w:rPr>
                <w:rFonts w:ascii="Times New Roman" w:eastAsia="Calibri" w:hAnsi="Times New Roman" w:cs="Calibri"/>
                <w:sz w:val="24"/>
              </w:rPr>
              <w:t>jūnijs</w:t>
            </w:r>
          </w:p>
        </w:tc>
        <w:tc>
          <w:tcPr>
            <w:tcW w:w="2131" w:type="dxa"/>
            <w:shd w:val="clear" w:color="auto" w:fill="auto"/>
          </w:tcPr>
          <w:p w14:paraId="774E2643" w14:textId="77777777" w:rsidR="009072CE" w:rsidRPr="00A07F29" w:rsidRDefault="009072CE" w:rsidP="00465129">
            <w:pPr>
              <w:spacing w:before="60" w:after="6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8</w:t>
            </w:r>
          </w:p>
        </w:tc>
        <w:tc>
          <w:tcPr>
            <w:tcW w:w="2131" w:type="dxa"/>
            <w:shd w:val="clear" w:color="auto" w:fill="auto"/>
            <w:vAlign w:val="bottom"/>
          </w:tcPr>
          <w:p w14:paraId="0C1ED938" w14:textId="77777777" w:rsidR="009072CE" w:rsidRPr="00A07F29" w:rsidRDefault="009072CE" w:rsidP="00465129">
            <w:pPr>
              <w:spacing w:before="60" w:after="6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220,5</w:t>
            </w:r>
          </w:p>
        </w:tc>
      </w:tr>
      <w:tr w:rsidR="009072CE" w:rsidRPr="00A07F29" w14:paraId="02B8DF37" w14:textId="77777777" w:rsidTr="00CA5212">
        <w:trPr>
          <w:jc w:val="center"/>
        </w:trPr>
        <w:tc>
          <w:tcPr>
            <w:tcW w:w="2130" w:type="dxa"/>
            <w:shd w:val="clear" w:color="auto" w:fill="auto"/>
            <w:vAlign w:val="bottom"/>
          </w:tcPr>
          <w:p w14:paraId="4719EA07" w14:textId="77777777" w:rsidR="009072CE" w:rsidRPr="00A07F29" w:rsidRDefault="009072CE" w:rsidP="00465129">
            <w:pPr>
              <w:spacing w:before="60" w:after="60" w:line="240" w:lineRule="auto"/>
              <w:ind w:firstLine="34"/>
              <w:jc w:val="both"/>
              <w:rPr>
                <w:rFonts w:ascii="Times New Roman" w:eastAsia="Calibri" w:hAnsi="Times New Roman" w:cs="Calibri"/>
                <w:sz w:val="24"/>
              </w:rPr>
            </w:pPr>
            <w:r w:rsidRPr="00A07F29">
              <w:rPr>
                <w:rFonts w:ascii="Times New Roman" w:eastAsia="Calibri" w:hAnsi="Times New Roman" w:cs="Calibri"/>
                <w:sz w:val="24"/>
              </w:rPr>
              <w:t xml:space="preserve">Tartaka ezers </w:t>
            </w:r>
          </w:p>
        </w:tc>
        <w:tc>
          <w:tcPr>
            <w:tcW w:w="2130" w:type="dxa"/>
            <w:shd w:val="clear" w:color="auto" w:fill="auto"/>
          </w:tcPr>
          <w:p w14:paraId="4833E024" w14:textId="1938F8AF" w:rsidR="009072CE" w:rsidRPr="00A07F29" w:rsidRDefault="009072CE" w:rsidP="00465129">
            <w:pPr>
              <w:spacing w:before="60" w:after="60" w:line="240" w:lineRule="auto"/>
              <w:jc w:val="both"/>
              <w:rPr>
                <w:rFonts w:ascii="Times New Roman" w:eastAsia="Calibri" w:hAnsi="Times New Roman" w:cs="Calibri"/>
                <w:sz w:val="24"/>
              </w:rPr>
            </w:pPr>
            <w:r w:rsidRPr="00A07F29">
              <w:rPr>
                <w:rFonts w:ascii="Times New Roman" w:eastAsia="Calibri" w:hAnsi="Times New Roman" w:cs="Calibri"/>
                <w:sz w:val="24"/>
              </w:rPr>
              <w:t>17./18.</w:t>
            </w:r>
            <w:r w:rsidR="00522EDE">
              <w:rPr>
                <w:rFonts w:ascii="Times New Roman" w:eastAsia="Calibri" w:hAnsi="Times New Roman" w:cs="Calibri"/>
                <w:sz w:val="24"/>
              </w:rPr>
              <w:t> </w:t>
            </w:r>
            <w:r w:rsidRPr="00A07F29">
              <w:rPr>
                <w:rFonts w:ascii="Times New Roman" w:eastAsia="Calibri" w:hAnsi="Times New Roman" w:cs="Calibri"/>
                <w:sz w:val="24"/>
              </w:rPr>
              <w:t>jūnijs</w:t>
            </w:r>
          </w:p>
        </w:tc>
        <w:tc>
          <w:tcPr>
            <w:tcW w:w="2131" w:type="dxa"/>
            <w:shd w:val="clear" w:color="auto" w:fill="auto"/>
          </w:tcPr>
          <w:p w14:paraId="092A9781" w14:textId="77777777" w:rsidR="009072CE" w:rsidRPr="00A07F29" w:rsidRDefault="009072CE" w:rsidP="00465129">
            <w:pPr>
              <w:spacing w:before="60" w:after="6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4</w:t>
            </w:r>
          </w:p>
        </w:tc>
        <w:tc>
          <w:tcPr>
            <w:tcW w:w="2131" w:type="dxa"/>
            <w:shd w:val="clear" w:color="auto" w:fill="auto"/>
            <w:vAlign w:val="bottom"/>
          </w:tcPr>
          <w:p w14:paraId="4202DBD9" w14:textId="77777777" w:rsidR="009072CE" w:rsidRPr="00A07F29" w:rsidRDefault="009072CE" w:rsidP="00465129">
            <w:pPr>
              <w:spacing w:before="60" w:after="6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35,3</w:t>
            </w:r>
          </w:p>
        </w:tc>
      </w:tr>
      <w:tr w:rsidR="009072CE" w:rsidRPr="00A07F29" w14:paraId="03920B82" w14:textId="77777777" w:rsidTr="00CA5212">
        <w:trPr>
          <w:jc w:val="center"/>
        </w:trPr>
        <w:tc>
          <w:tcPr>
            <w:tcW w:w="2130" w:type="dxa"/>
            <w:shd w:val="clear" w:color="auto" w:fill="auto"/>
            <w:vAlign w:val="bottom"/>
          </w:tcPr>
          <w:p w14:paraId="0957EA1F" w14:textId="77777777" w:rsidR="009072CE" w:rsidRPr="00A07F29" w:rsidRDefault="009072CE" w:rsidP="00465129">
            <w:pPr>
              <w:spacing w:before="60" w:after="60" w:line="240" w:lineRule="auto"/>
              <w:ind w:firstLine="34"/>
              <w:jc w:val="both"/>
              <w:rPr>
                <w:rFonts w:ascii="Times New Roman" w:eastAsia="Calibri" w:hAnsi="Times New Roman" w:cs="Calibri"/>
                <w:sz w:val="24"/>
              </w:rPr>
            </w:pPr>
            <w:proofErr w:type="spellStart"/>
            <w:r w:rsidRPr="00A07F29">
              <w:rPr>
                <w:rFonts w:ascii="Times New Roman" w:eastAsia="Calibri" w:hAnsi="Times New Roman" w:cs="Calibri"/>
                <w:sz w:val="24"/>
              </w:rPr>
              <w:t>Vaičuku</w:t>
            </w:r>
            <w:proofErr w:type="spellEnd"/>
            <w:r w:rsidRPr="00A07F29">
              <w:rPr>
                <w:rFonts w:ascii="Times New Roman" w:eastAsia="Calibri" w:hAnsi="Times New Roman" w:cs="Calibri"/>
                <w:sz w:val="24"/>
              </w:rPr>
              <w:t xml:space="preserve"> ezers</w:t>
            </w:r>
          </w:p>
        </w:tc>
        <w:tc>
          <w:tcPr>
            <w:tcW w:w="2130" w:type="dxa"/>
            <w:shd w:val="clear" w:color="auto" w:fill="auto"/>
          </w:tcPr>
          <w:p w14:paraId="0CBD5007" w14:textId="24C90EAC" w:rsidR="009072CE" w:rsidRPr="00A07F29" w:rsidRDefault="009072CE" w:rsidP="00465129">
            <w:pPr>
              <w:spacing w:before="60" w:after="60" w:line="240" w:lineRule="auto"/>
              <w:jc w:val="both"/>
              <w:rPr>
                <w:rFonts w:ascii="Times New Roman" w:eastAsia="Calibri" w:hAnsi="Times New Roman" w:cs="Calibri"/>
                <w:sz w:val="24"/>
              </w:rPr>
            </w:pPr>
            <w:r w:rsidRPr="00A07F29">
              <w:rPr>
                <w:rFonts w:ascii="Times New Roman" w:eastAsia="Calibri" w:hAnsi="Times New Roman" w:cs="Calibri"/>
                <w:sz w:val="24"/>
              </w:rPr>
              <w:t>18./19.</w:t>
            </w:r>
            <w:r w:rsidR="00522EDE">
              <w:rPr>
                <w:rFonts w:ascii="Times New Roman" w:eastAsia="Calibri" w:hAnsi="Times New Roman" w:cs="Calibri"/>
                <w:sz w:val="24"/>
              </w:rPr>
              <w:t> </w:t>
            </w:r>
            <w:r w:rsidRPr="00A07F29">
              <w:rPr>
                <w:rFonts w:ascii="Times New Roman" w:eastAsia="Calibri" w:hAnsi="Times New Roman" w:cs="Calibri"/>
                <w:sz w:val="24"/>
              </w:rPr>
              <w:t>jūnijs</w:t>
            </w:r>
          </w:p>
        </w:tc>
        <w:tc>
          <w:tcPr>
            <w:tcW w:w="2131" w:type="dxa"/>
            <w:shd w:val="clear" w:color="auto" w:fill="auto"/>
          </w:tcPr>
          <w:p w14:paraId="55B3DFD1" w14:textId="77777777" w:rsidR="009072CE" w:rsidRPr="00A07F29" w:rsidRDefault="009072CE" w:rsidP="00465129">
            <w:pPr>
              <w:spacing w:before="60" w:after="6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3</w:t>
            </w:r>
          </w:p>
        </w:tc>
        <w:tc>
          <w:tcPr>
            <w:tcW w:w="2131" w:type="dxa"/>
            <w:shd w:val="clear" w:color="auto" w:fill="auto"/>
            <w:vAlign w:val="bottom"/>
          </w:tcPr>
          <w:p w14:paraId="709E4A37" w14:textId="77777777" w:rsidR="009072CE" w:rsidRPr="00A07F29" w:rsidRDefault="009072CE" w:rsidP="00465129">
            <w:pPr>
              <w:spacing w:before="60" w:after="6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1,2</w:t>
            </w:r>
          </w:p>
        </w:tc>
      </w:tr>
    </w:tbl>
    <w:p w14:paraId="0F7C3AD4" w14:textId="77777777" w:rsidR="009072CE" w:rsidRPr="00A07F29" w:rsidRDefault="009072CE" w:rsidP="00465129">
      <w:pPr>
        <w:keepNext/>
        <w:spacing w:before="240" w:after="120" w:line="240" w:lineRule="auto"/>
        <w:jc w:val="both"/>
        <w:rPr>
          <w:rFonts w:ascii="Times New Roman" w:eastAsia="Calibri" w:hAnsi="Times New Roman" w:cs="Calibri"/>
          <w:b/>
          <w:i/>
          <w:sz w:val="24"/>
          <w:szCs w:val="24"/>
        </w:rPr>
      </w:pPr>
      <w:r w:rsidRPr="00A07F29">
        <w:rPr>
          <w:rFonts w:ascii="Times New Roman" w:eastAsia="Calibri" w:hAnsi="Times New Roman" w:cs="Calibri"/>
          <w:b/>
          <w:i/>
          <w:sz w:val="24"/>
          <w:szCs w:val="24"/>
        </w:rPr>
        <w:t xml:space="preserve">Dīķi un </w:t>
      </w:r>
      <w:proofErr w:type="spellStart"/>
      <w:r w:rsidRPr="00A07F29">
        <w:rPr>
          <w:rFonts w:ascii="Times New Roman" w:eastAsia="Calibri" w:hAnsi="Times New Roman" w:cs="Calibri"/>
          <w:b/>
          <w:i/>
          <w:sz w:val="24"/>
          <w:szCs w:val="24"/>
        </w:rPr>
        <w:t>uzpludinājumi</w:t>
      </w:r>
      <w:proofErr w:type="spellEnd"/>
    </w:p>
    <w:p w14:paraId="2BE98672" w14:textId="298F68C5" w:rsidR="009072CE" w:rsidRPr="00A07F29" w:rsidRDefault="00465129" w:rsidP="00465129">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Šajā kategorijā iekļauti</w:t>
      </w:r>
      <w:r w:rsidR="009072CE" w:rsidRPr="00A07F29">
        <w:rPr>
          <w:rFonts w:ascii="Times New Roman" w:eastAsia="Calibri" w:hAnsi="Times New Roman" w:cs="Calibri"/>
          <w:sz w:val="24"/>
        </w:rPr>
        <w:t xml:space="preserve"> upju </w:t>
      </w:r>
      <w:proofErr w:type="spellStart"/>
      <w:r w:rsidRPr="00A07F29">
        <w:rPr>
          <w:rFonts w:ascii="Times New Roman" w:eastAsia="Calibri" w:hAnsi="Times New Roman" w:cs="Calibri"/>
          <w:sz w:val="24"/>
        </w:rPr>
        <w:t>uzpludinājumi</w:t>
      </w:r>
      <w:proofErr w:type="spellEnd"/>
      <w:r w:rsidRPr="00A07F29">
        <w:rPr>
          <w:rFonts w:ascii="Times New Roman" w:eastAsia="Calibri" w:hAnsi="Times New Roman" w:cs="Calibri"/>
          <w:sz w:val="24"/>
        </w:rPr>
        <w:t xml:space="preserve"> un rakti dīķi </w:t>
      </w:r>
      <w:r w:rsidR="009072CE" w:rsidRPr="00A07F29">
        <w:rPr>
          <w:rFonts w:ascii="Times New Roman" w:eastAsia="Calibri" w:hAnsi="Times New Roman" w:cs="Calibri"/>
          <w:sz w:val="24"/>
        </w:rPr>
        <w:t xml:space="preserve">ar dažāda izmēra platību un </w:t>
      </w:r>
      <w:proofErr w:type="spellStart"/>
      <w:r w:rsidR="009072CE" w:rsidRPr="00A07F29">
        <w:rPr>
          <w:rFonts w:ascii="Times New Roman" w:eastAsia="Calibri" w:hAnsi="Times New Roman" w:cs="Calibri"/>
          <w:sz w:val="24"/>
        </w:rPr>
        <w:t>ūdensrežīmu</w:t>
      </w:r>
      <w:proofErr w:type="spellEnd"/>
      <w:r w:rsidR="009072CE" w:rsidRPr="00A07F29">
        <w:rPr>
          <w:rFonts w:ascii="Times New Roman" w:eastAsia="Calibri" w:hAnsi="Times New Roman" w:cs="Calibri"/>
          <w:sz w:val="24"/>
        </w:rPr>
        <w:t xml:space="preserve">. Atšķirībā no ezeriem tās bija pēc platības mazākas ūdenstilpes. Vidējā sikspārņu aktivitāte virs četriem apsekotajiem </w:t>
      </w:r>
      <w:proofErr w:type="spellStart"/>
      <w:r w:rsidR="009072CE" w:rsidRPr="00A07F29">
        <w:rPr>
          <w:rFonts w:ascii="Times New Roman" w:eastAsia="Calibri" w:hAnsi="Times New Roman" w:cs="Calibri"/>
          <w:sz w:val="24"/>
        </w:rPr>
        <w:t>uzpludinājumiem</w:t>
      </w:r>
      <w:proofErr w:type="spellEnd"/>
      <w:r w:rsidR="009072CE" w:rsidRPr="00A07F29">
        <w:rPr>
          <w:rFonts w:ascii="Times New Roman" w:eastAsia="Calibri" w:hAnsi="Times New Roman" w:cs="Calibri"/>
          <w:sz w:val="24"/>
        </w:rPr>
        <w:t xml:space="preserve"> vai dīķiem</w:t>
      </w:r>
      <w:r w:rsidR="00D65BBA" w:rsidRPr="00A07F29">
        <w:rPr>
          <w:rFonts w:ascii="Times New Roman" w:eastAsia="Calibri" w:hAnsi="Times New Roman" w:cs="Calibri"/>
          <w:sz w:val="24"/>
        </w:rPr>
        <w:t xml:space="preserve"> </w:t>
      </w:r>
      <w:r w:rsidR="009072CE" w:rsidRPr="00A07F29">
        <w:rPr>
          <w:rFonts w:ascii="Times New Roman" w:eastAsia="Calibri" w:hAnsi="Times New Roman" w:cs="Calibri"/>
          <w:sz w:val="24"/>
        </w:rPr>
        <w:t xml:space="preserve">(4,9 pārlidojumi stundā) bija 16 reizes mazākā nekā virs ezeriem. Visaugstākā sikspārņu aktivitāte atzīmēta uz </w:t>
      </w:r>
      <w:proofErr w:type="spellStart"/>
      <w:r w:rsidR="009072CE" w:rsidRPr="00A07F29">
        <w:rPr>
          <w:rFonts w:ascii="Times New Roman" w:eastAsia="Calibri" w:hAnsi="Times New Roman" w:cs="Calibri"/>
          <w:sz w:val="24"/>
        </w:rPr>
        <w:t>Rakuču</w:t>
      </w:r>
      <w:proofErr w:type="spellEnd"/>
      <w:r w:rsidR="009072CE" w:rsidRPr="00A07F29">
        <w:rPr>
          <w:rFonts w:ascii="Times New Roman" w:eastAsia="Calibri" w:hAnsi="Times New Roman" w:cs="Calibri"/>
          <w:sz w:val="24"/>
        </w:rPr>
        <w:t xml:space="preserve"> dīķa (8,8 pārlidojumi stundā), kam bija salīdzinoši liela, no </w:t>
      </w:r>
      <w:proofErr w:type="spellStart"/>
      <w:r w:rsidR="009072CE" w:rsidRPr="00A07F29">
        <w:rPr>
          <w:rFonts w:ascii="Times New Roman" w:eastAsia="Calibri" w:hAnsi="Times New Roman" w:cs="Calibri"/>
          <w:sz w:val="24"/>
        </w:rPr>
        <w:t>virsūdens</w:t>
      </w:r>
      <w:proofErr w:type="spellEnd"/>
      <w:r w:rsidR="009072CE" w:rsidRPr="00A07F29">
        <w:rPr>
          <w:rFonts w:ascii="Times New Roman" w:eastAsia="Calibri" w:hAnsi="Times New Roman" w:cs="Calibri"/>
          <w:sz w:val="24"/>
        </w:rPr>
        <w:t xml:space="preserve"> augāja brīva, platība (garumā ap 250</w:t>
      </w:r>
      <w:r w:rsidR="006B3EBD">
        <w:rPr>
          <w:rFonts w:ascii="Times New Roman" w:eastAsia="Calibri" w:hAnsi="Times New Roman" w:cs="Calibri"/>
          <w:sz w:val="24"/>
        </w:rPr>
        <w:t> </w:t>
      </w:r>
      <w:r w:rsidR="009072CE" w:rsidRPr="00A07F29">
        <w:rPr>
          <w:rFonts w:ascii="Times New Roman" w:eastAsia="Calibri" w:hAnsi="Times New Roman" w:cs="Calibri"/>
          <w:sz w:val="24"/>
        </w:rPr>
        <w:t>m). Savukārt</w:t>
      </w:r>
      <w:r w:rsidR="00AA64E8">
        <w:rPr>
          <w:rFonts w:ascii="Times New Roman" w:eastAsia="Calibri" w:hAnsi="Times New Roman" w:cs="Calibri"/>
          <w:sz w:val="24"/>
        </w:rPr>
        <w:t>,</w:t>
      </w:r>
      <w:r w:rsidR="009072CE" w:rsidRPr="00A07F29">
        <w:rPr>
          <w:rFonts w:ascii="Times New Roman" w:eastAsia="Calibri" w:hAnsi="Times New Roman" w:cs="Calibri"/>
          <w:sz w:val="24"/>
        </w:rPr>
        <w:t xml:space="preserve"> visretāk sikspārņi reģistrēti virs Adamovas dīķa (0,4), kas bija aizaudzis; ar atsevišķiem nelieliem vaļēja ūdens atvērumiem. Ļoti augsta sikspārņu aktivitāte novērota virs paliela dīķa (200</w:t>
      </w:r>
      <w:r w:rsidR="00AA64E8">
        <w:rPr>
          <w:rFonts w:ascii="Times New Roman" w:eastAsia="Calibri" w:hAnsi="Times New Roman" w:cs="Calibri"/>
          <w:sz w:val="24"/>
        </w:rPr>
        <w:t> x </w:t>
      </w:r>
      <w:r w:rsidR="009072CE" w:rsidRPr="00A07F29">
        <w:rPr>
          <w:rFonts w:ascii="Times New Roman" w:eastAsia="Calibri" w:hAnsi="Times New Roman" w:cs="Calibri"/>
          <w:sz w:val="24"/>
        </w:rPr>
        <w:t>200</w:t>
      </w:r>
      <w:r w:rsidR="00AA64E8">
        <w:rPr>
          <w:rFonts w:ascii="Times New Roman" w:eastAsia="Calibri" w:hAnsi="Times New Roman" w:cs="Calibri"/>
          <w:sz w:val="24"/>
        </w:rPr>
        <w:t> </w:t>
      </w:r>
      <w:r w:rsidR="009072CE" w:rsidRPr="00A07F29">
        <w:rPr>
          <w:rFonts w:ascii="Times New Roman" w:eastAsia="Calibri" w:hAnsi="Times New Roman" w:cs="Calibri"/>
          <w:sz w:val="24"/>
        </w:rPr>
        <w:t>m) ceļa malā 1</w:t>
      </w:r>
      <w:r w:rsidR="00AA64E8">
        <w:rPr>
          <w:rFonts w:ascii="Times New Roman" w:eastAsia="Calibri" w:hAnsi="Times New Roman" w:cs="Calibri"/>
          <w:sz w:val="24"/>
        </w:rPr>
        <w:t> </w:t>
      </w:r>
      <w:r w:rsidR="009072CE" w:rsidRPr="00A07F29">
        <w:rPr>
          <w:rFonts w:ascii="Times New Roman" w:eastAsia="Calibri" w:hAnsi="Times New Roman" w:cs="Calibri"/>
          <w:sz w:val="24"/>
        </w:rPr>
        <w:t xml:space="preserve">km uz ZA no </w:t>
      </w:r>
      <w:proofErr w:type="spellStart"/>
      <w:r w:rsidR="009072CE" w:rsidRPr="00A07F29">
        <w:rPr>
          <w:rFonts w:ascii="Times New Roman" w:eastAsia="Calibri" w:hAnsi="Times New Roman" w:cs="Calibri"/>
          <w:sz w:val="24"/>
        </w:rPr>
        <w:t>Červonkas</w:t>
      </w:r>
      <w:proofErr w:type="spellEnd"/>
      <w:r w:rsidR="009072CE" w:rsidRPr="00A07F29">
        <w:rPr>
          <w:rFonts w:ascii="Times New Roman" w:eastAsia="Calibri" w:hAnsi="Times New Roman" w:cs="Calibri"/>
          <w:sz w:val="24"/>
        </w:rPr>
        <w:t xml:space="preserve">. Apsekojot šo vietu nakts laikā ar rokas detektoru D-1000, masveidā novēroti </w:t>
      </w:r>
      <w:proofErr w:type="spellStart"/>
      <w:r w:rsidR="009072CE" w:rsidRPr="00A07F29">
        <w:rPr>
          <w:rFonts w:ascii="Times New Roman" w:eastAsia="Calibri" w:hAnsi="Times New Roman" w:cs="Calibri"/>
          <w:sz w:val="24"/>
        </w:rPr>
        <w:t>Natūza</w:t>
      </w:r>
      <w:proofErr w:type="spellEnd"/>
      <w:r w:rsidR="009072CE" w:rsidRPr="00A07F29">
        <w:rPr>
          <w:rFonts w:ascii="Times New Roman" w:eastAsia="Calibri" w:hAnsi="Times New Roman" w:cs="Calibri"/>
          <w:sz w:val="24"/>
        </w:rPr>
        <w:t xml:space="preserve"> sikspārņi, bet nav izslēgta arī citu sugu klātbūtne. Tā kā netika veikti ilgstoši novērojumi, nav iespējams salīdzināt šo vietu ar pārējiem </w:t>
      </w:r>
      <w:proofErr w:type="spellStart"/>
      <w:r w:rsidR="009072CE" w:rsidRPr="00A07F29">
        <w:rPr>
          <w:rFonts w:ascii="Times New Roman" w:eastAsia="Calibri" w:hAnsi="Times New Roman" w:cs="Calibri"/>
          <w:sz w:val="24"/>
        </w:rPr>
        <w:t>uzpludinājumiem</w:t>
      </w:r>
      <w:proofErr w:type="spellEnd"/>
      <w:r w:rsidR="009072CE" w:rsidRPr="00A07F29">
        <w:rPr>
          <w:rFonts w:ascii="Times New Roman" w:eastAsia="Calibri" w:hAnsi="Times New Roman" w:cs="Calibri"/>
          <w:sz w:val="24"/>
        </w:rPr>
        <w:t xml:space="preserve">. Virs visiem četriem ar automātiskajiem detektoriem apsekotajiem dīķiem vai </w:t>
      </w:r>
      <w:proofErr w:type="spellStart"/>
      <w:r w:rsidR="009072CE" w:rsidRPr="00A07F29">
        <w:rPr>
          <w:rFonts w:ascii="Times New Roman" w:eastAsia="Calibri" w:hAnsi="Times New Roman" w:cs="Calibri"/>
          <w:sz w:val="24"/>
        </w:rPr>
        <w:t>uzpludinājumiem</w:t>
      </w:r>
      <w:proofErr w:type="spellEnd"/>
      <w:r w:rsidR="009072CE" w:rsidRPr="00A07F29">
        <w:rPr>
          <w:rFonts w:ascii="Times New Roman" w:eastAsia="Calibri" w:hAnsi="Times New Roman" w:cs="Calibri"/>
          <w:sz w:val="24"/>
        </w:rPr>
        <w:t xml:space="preserve"> novēroti </w:t>
      </w:r>
      <w:proofErr w:type="spellStart"/>
      <w:r w:rsidR="009072CE" w:rsidRPr="00A07F29">
        <w:rPr>
          <w:rFonts w:ascii="Times New Roman" w:eastAsia="Calibri" w:hAnsi="Times New Roman" w:cs="Calibri"/>
          <w:sz w:val="24"/>
        </w:rPr>
        <w:t>Natūza</w:t>
      </w:r>
      <w:proofErr w:type="spellEnd"/>
      <w:r w:rsidR="009072CE" w:rsidRPr="00A07F29">
        <w:rPr>
          <w:rFonts w:ascii="Times New Roman" w:eastAsia="Calibri" w:hAnsi="Times New Roman" w:cs="Calibri"/>
          <w:sz w:val="24"/>
        </w:rPr>
        <w:t xml:space="preserve"> sikspārņi un rūsganie </w:t>
      </w:r>
      <w:proofErr w:type="spellStart"/>
      <w:r w:rsidR="009072CE" w:rsidRPr="00A07F29">
        <w:rPr>
          <w:rFonts w:ascii="Times New Roman" w:eastAsia="Calibri" w:hAnsi="Times New Roman" w:cs="Calibri"/>
          <w:sz w:val="24"/>
        </w:rPr>
        <w:t>vakarsikspārņi</w:t>
      </w:r>
      <w:proofErr w:type="spellEnd"/>
      <w:r w:rsidR="009072CE" w:rsidRPr="00A07F29">
        <w:rPr>
          <w:rFonts w:ascii="Times New Roman" w:eastAsia="Calibri" w:hAnsi="Times New Roman" w:cs="Calibri"/>
          <w:sz w:val="24"/>
        </w:rPr>
        <w:t xml:space="preserve">, virs trijiem no tiem – arī ziemeļu sikspārņi. Kopumā novēroto sugu sikspārņu aktivitāte virs </w:t>
      </w:r>
      <w:proofErr w:type="spellStart"/>
      <w:r w:rsidR="009072CE" w:rsidRPr="00A07F29">
        <w:rPr>
          <w:rFonts w:ascii="Times New Roman" w:eastAsia="Calibri" w:hAnsi="Times New Roman" w:cs="Calibri"/>
          <w:sz w:val="24"/>
        </w:rPr>
        <w:t>uzpludinājumiem</w:t>
      </w:r>
      <w:proofErr w:type="spellEnd"/>
      <w:r w:rsidR="009072CE" w:rsidRPr="00A07F29">
        <w:rPr>
          <w:rFonts w:ascii="Times New Roman" w:eastAsia="Calibri" w:hAnsi="Times New Roman" w:cs="Calibri"/>
          <w:sz w:val="24"/>
        </w:rPr>
        <w:t xml:space="preserve"> un dīķiem bija salīdzinoši zema, izņemot </w:t>
      </w:r>
      <w:proofErr w:type="spellStart"/>
      <w:r w:rsidR="009072CE" w:rsidRPr="00A07F29">
        <w:rPr>
          <w:rFonts w:ascii="Times New Roman" w:eastAsia="Calibri" w:hAnsi="Times New Roman" w:cs="Calibri"/>
          <w:sz w:val="24"/>
        </w:rPr>
        <w:t>Natūza</w:t>
      </w:r>
      <w:proofErr w:type="spellEnd"/>
      <w:r w:rsidR="009072CE" w:rsidRPr="00A07F29">
        <w:rPr>
          <w:rFonts w:ascii="Times New Roman" w:eastAsia="Calibri" w:hAnsi="Times New Roman" w:cs="Calibri"/>
          <w:sz w:val="24"/>
        </w:rPr>
        <w:t xml:space="preserve"> sikspārņus virs </w:t>
      </w:r>
      <w:proofErr w:type="spellStart"/>
      <w:r w:rsidR="009072CE" w:rsidRPr="00A07F29">
        <w:rPr>
          <w:rFonts w:ascii="Times New Roman" w:eastAsia="Calibri" w:hAnsi="Times New Roman" w:cs="Calibri"/>
          <w:sz w:val="24"/>
        </w:rPr>
        <w:t>Rakuču</w:t>
      </w:r>
      <w:proofErr w:type="spellEnd"/>
      <w:r w:rsidR="009072CE" w:rsidRPr="00A07F29">
        <w:rPr>
          <w:rFonts w:ascii="Times New Roman" w:eastAsia="Calibri" w:hAnsi="Times New Roman" w:cs="Calibri"/>
          <w:sz w:val="24"/>
        </w:rPr>
        <w:t xml:space="preserve"> dīķa (7,5 pārlidojumi stundā).</w:t>
      </w:r>
    </w:p>
    <w:p w14:paraId="38D79C6E" w14:textId="77777777" w:rsidR="009072CE" w:rsidRPr="00A07F29" w:rsidRDefault="009072CE" w:rsidP="00465129">
      <w:pPr>
        <w:keepNext/>
        <w:spacing w:before="240" w:after="120" w:line="240" w:lineRule="auto"/>
        <w:jc w:val="both"/>
        <w:rPr>
          <w:rFonts w:ascii="Times New Roman" w:eastAsia="Calibri" w:hAnsi="Times New Roman" w:cs="Calibri"/>
          <w:b/>
          <w:i/>
          <w:sz w:val="24"/>
          <w:szCs w:val="24"/>
        </w:rPr>
      </w:pPr>
      <w:proofErr w:type="spellStart"/>
      <w:r w:rsidRPr="00A07F29">
        <w:rPr>
          <w:rFonts w:ascii="Times New Roman" w:eastAsia="Calibri" w:hAnsi="Times New Roman" w:cs="Calibri"/>
          <w:b/>
          <w:i/>
          <w:sz w:val="24"/>
          <w:szCs w:val="24"/>
        </w:rPr>
        <w:t>Bebraines</w:t>
      </w:r>
      <w:proofErr w:type="spellEnd"/>
    </w:p>
    <w:p w14:paraId="4298F9B5" w14:textId="1E7B291B" w:rsidR="009072CE" w:rsidRPr="00A07F29" w:rsidRDefault="009072CE" w:rsidP="00465129">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Ar šo biotopu tipu </w:t>
      </w:r>
      <w:r w:rsidR="00465129" w:rsidRPr="00A07F29">
        <w:rPr>
          <w:rFonts w:ascii="Times New Roman" w:eastAsia="Calibri" w:hAnsi="Times New Roman" w:cs="Calibri"/>
          <w:sz w:val="24"/>
        </w:rPr>
        <w:t xml:space="preserve">apzīmētas </w:t>
      </w:r>
      <w:r w:rsidRPr="00A07F29">
        <w:rPr>
          <w:rFonts w:ascii="Times New Roman" w:eastAsia="Calibri" w:hAnsi="Times New Roman" w:cs="Calibri"/>
          <w:sz w:val="24"/>
        </w:rPr>
        <w:t xml:space="preserve">bebru pārveidotas ainavas, kas bija atšķirīgas saistībā ar apkārtējiem biotopiem un atklāta ūdens platības lieluma. Pavisam tika apsekotas trīs </w:t>
      </w:r>
      <w:proofErr w:type="spellStart"/>
      <w:r w:rsidRPr="00A07F29">
        <w:rPr>
          <w:rFonts w:ascii="Times New Roman" w:eastAsia="Calibri" w:hAnsi="Times New Roman" w:cs="Calibri"/>
          <w:sz w:val="24"/>
        </w:rPr>
        <w:t>bebraines</w:t>
      </w:r>
      <w:proofErr w:type="spellEnd"/>
      <w:r w:rsidRPr="00A07F29">
        <w:rPr>
          <w:rFonts w:ascii="Times New Roman" w:eastAsia="Calibri" w:hAnsi="Times New Roman" w:cs="Calibri"/>
          <w:sz w:val="24"/>
        </w:rPr>
        <w:t xml:space="preserve">. Viena no tām bija atklātā ainavā, krūmu un atsevišķu koku ieskauta, divas – mežā vai meža tuvumā. Kopumā sikspārņu aktivitāte šajās vietās bija zemāka kā citos pētītajos biotopu veidos. Divās </w:t>
      </w:r>
      <w:proofErr w:type="spellStart"/>
      <w:r w:rsidRPr="00A07F29">
        <w:rPr>
          <w:rFonts w:ascii="Times New Roman" w:eastAsia="Calibri" w:hAnsi="Times New Roman" w:cs="Calibri"/>
          <w:sz w:val="24"/>
        </w:rPr>
        <w:t>bebrainēs</w:t>
      </w:r>
      <w:proofErr w:type="spellEnd"/>
      <w:r w:rsidRPr="00A07F29">
        <w:rPr>
          <w:rFonts w:ascii="Times New Roman" w:eastAsia="Calibri" w:hAnsi="Times New Roman" w:cs="Calibri"/>
          <w:sz w:val="24"/>
        </w:rPr>
        <w:t xml:space="preserve"> tika novēroti tikai ziemeļu sikspārņi, vienā – ziemeļu, </w:t>
      </w:r>
      <w:proofErr w:type="spellStart"/>
      <w:r w:rsidRPr="00A07F29">
        <w:rPr>
          <w:rFonts w:ascii="Times New Roman" w:eastAsia="Calibri" w:hAnsi="Times New Roman" w:cs="Calibri"/>
          <w:sz w:val="24"/>
        </w:rPr>
        <w:t>Natūza</w:t>
      </w:r>
      <w:proofErr w:type="spellEnd"/>
      <w:r w:rsidRPr="00A07F29">
        <w:rPr>
          <w:rFonts w:ascii="Times New Roman" w:eastAsia="Calibri" w:hAnsi="Times New Roman" w:cs="Calibri"/>
          <w:sz w:val="24"/>
        </w:rPr>
        <w:t xml:space="preserve"> sikspārņi un rūsganie </w:t>
      </w:r>
      <w:proofErr w:type="spellStart"/>
      <w:r w:rsidRPr="00A07F29">
        <w:rPr>
          <w:rFonts w:ascii="Times New Roman" w:eastAsia="Calibri" w:hAnsi="Times New Roman" w:cs="Calibri"/>
          <w:sz w:val="24"/>
        </w:rPr>
        <w:t>vakarsikspārņi</w:t>
      </w:r>
      <w:proofErr w:type="spellEnd"/>
      <w:r w:rsidRPr="00A07F29">
        <w:rPr>
          <w:rFonts w:ascii="Times New Roman" w:eastAsia="Calibri" w:hAnsi="Times New Roman" w:cs="Calibri"/>
          <w:sz w:val="24"/>
        </w:rPr>
        <w:t>.</w:t>
      </w:r>
    </w:p>
    <w:p w14:paraId="01B0751E" w14:textId="77777777" w:rsidR="009072CE" w:rsidRPr="00A07F29" w:rsidRDefault="009072CE" w:rsidP="00465129">
      <w:pPr>
        <w:keepNext/>
        <w:spacing w:before="240" w:after="120" w:line="240" w:lineRule="auto"/>
        <w:jc w:val="both"/>
        <w:rPr>
          <w:rFonts w:ascii="Times New Roman" w:eastAsia="Calibri" w:hAnsi="Times New Roman" w:cs="Calibri"/>
          <w:b/>
          <w:i/>
          <w:sz w:val="24"/>
          <w:szCs w:val="24"/>
        </w:rPr>
      </w:pPr>
      <w:r w:rsidRPr="00A07F29">
        <w:rPr>
          <w:rFonts w:ascii="Times New Roman" w:eastAsia="Calibri" w:hAnsi="Times New Roman" w:cs="Calibri"/>
          <w:b/>
          <w:i/>
          <w:sz w:val="24"/>
          <w:szCs w:val="24"/>
        </w:rPr>
        <w:lastRenderedPageBreak/>
        <w:t>Jaunaudzes un izcirtumi</w:t>
      </w:r>
    </w:p>
    <w:p w14:paraId="6989A3A3" w14:textId="5B5884F3" w:rsidR="009072CE" w:rsidRPr="00A07F29" w:rsidRDefault="009072CE" w:rsidP="0079765D">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Trīs detektoru stacijas tika ierīkotas klajā vietā izcirtumos ar dažus gadus veciem priežu stādījumiem. Kopējā sikspārņu aktivitāte (35,9 pārlidojumi stundā) izcirtumos bija augstāka nekā citos sauszemes biotopos, ieskaitot mežus. Pavisam izcirtumos novēroti četru sugu sikspārņi. Divās vietās visaugstākais aktivitātes rādītājs konstatēts rūsganajam </w:t>
      </w:r>
      <w:proofErr w:type="spellStart"/>
      <w:r w:rsidRPr="00A07F29">
        <w:rPr>
          <w:rFonts w:ascii="Times New Roman" w:eastAsia="Calibri" w:hAnsi="Times New Roman" w:cs="Calibri"/>
          <w:sz w:val="24"/>
        </w:rPr>
        <w:t>vakarsikspārnim</w:t>
      </w:r>
      <w:proofErr w:type="spellEnd"/>
      <w:r w:rsidRPr="00A07F29">
        <w:rPr>
          <w:rFonts w:ascii="Times New Roman" w:eastAsia="Calibri" w:hAnsi="Times New Roman" w:cs="Calibri"/>
          <w:sz w:val="24"/>
        </w:rPr>
        <w:t xml:space="preserve"> (35,5 un 14,0 pārlidojumi stundā), vienā vietā ziemeļu sikspārnim (2,7), kas kopumā bija otrā izcirtumiem raksturīgākā suga. </w:t>
      </w:r>
      <w:proofErr w:type="spellStart"/>
      <w:r w:rsidRPr="00A07F29">
        <w:rPr>
          <w:rFonts w:ascii="Times New Roman" w:eastAsia="Calibri" w:hAnsi="Times New Roman" w:cs="Calibri"/>
          <w:sz w:val="24"/>
        </w:rPr>
        <w:t>Natūza</w:t>
      </w:r>
      <w:proofErr w:type="spellEnd"/>
      <w:r w:rsidRPr="00A07F29">
        <w:rPr>
          <w:rFonts w:ascii="Times New Roman" w:eastAsia="Calibri" w:hAnsi="Times New Roman" w:cs="Calibri"/>
          <w:sz w:val="24"/>
        </w:rPr>
        <w:t xml:space="preserve"> sikspārnis, kas kopumā AAA </w:t>
      </w:r>
      <w:r w:rsidR="00465129" w:rsidRPr="00A07F29">
        <w:rPr>
          <w:rFonts w:ascii="Times New Roman" w:eastAsia="Calibri" w:hAnsi="Times New Roman" w:cs="Calibri"/>
          <w:sz w:val="24"/>
        </w:rPr>
        <w:t xml:space="preserve">“Augšdaugava” </w:t>
      </w:r>
      <w:r w:rsidRPr="00A07F29">
        <w:rPr>
          <w:rFonts w:ascii="Times New Roman" w:eastAsia="Calibri" w:hAnsi="Times New Roman" w:cs="Calibri"/>
          <w:sz w:val="24"/>
        </w:rPr>
        <w:t xml:space="preserve">teritorijā bija biežākā suga, izcirtumos bija relatīvi retāks nekā iepriekš minētās sugas. Vienā izcirtumā konstatēts arī divkrāsainais sikspārnis. Lielāki klajumi mežos ir nozīmīgas barošanās vietas sugām, kas medī atklātā telpā kā rūsganie </w:t>
      </w:r>
      <w:proofErr w:type="spellStart"/>
      <w:r w:rsidRPr="00A07F29">
        <w:rPr>
          <w:rFonts w:ascii="Times New Roman" w:eastAsia="Calibri" w:hAnsi="Times New Roman" w:cs="Calibri"/>
          <w:sz w:val="24"/>
        </w:rPr>
        <w:t>vakarsikspārņi</w:t>
      </w:r>
      <w:proofErr w:type="spellEnd"/>
      <w:r w:rsidRPr="00A07F29">
        <w:rPr>
          <w:rFonts w:ascii="Times New Roman" w:eastAsia="Calibri" w:hAnsi="Times New Roman" w:cs="Calibri"/>
          <w:sz w:val="24"/>
        </w:rPr>
        <w:t xml:space="preserve"> un ziemeļu sikspārņi, taču tos maz izmanto tipiskās mežu sugas, kā vairākas </w:t>
      </w:r>
      <w:proofErr w:type="spellStart"/>
      <w:r w:rsidRPr="00A07F29">
        <w:rPr>
          <w:rFonts w:ascii="Times New Roman" w:eastAsia="Calibri" w:hAnsi="Times New Roman" w:cs="Calibri"/>
          <w:sz w:val="24"/>
        </w:rPr>
        <w:t>naktssikspārņu</w:t>
      </w:r>
      <w:proofErr w:type="spellEnd"/>
      <w:r w:rsidRPr="00A07F29">
        <w:rPr>
          <w:rFonts w:ascii="Times New Roman" w:eastAsia="Calibri" w:hAnsi="Times New Roman" w:cs="Calibri"/>
          <w:sz w:val="24"/>
        </w:rPr>
        <w:t xml:space="preserve"> sugas un brūnie </w:t>
      </w:r>
      <w:proofErr w:type="spellStart"/>
      <w:r w:rsidRPr="00A07F29">
        <w:rPr>
          <w:rFonts w:ascii="Times New Roman" w:eastAsia="Calibri" w:hAnsi="Times New Roman" w:cs="Calibri"/>
          <w:sz w:val="24"/>
        </w:rPr>
        <w:t>garausaiņi</w:t>
      </w:r>
      <w:proofErr w:type="spellEnd"/>
      <w:r w:rsidRPr="00A07F29">
        <w:rPr>
          <w:rFonts w:ascii="Times New Roman" w:eastAsia="Calibri" w:hAnsi="Times New Roman" w:cs="Calibri"/>
          <w:sz w:val="24"/>
        </w:rPr>
        <w:t xml:space="preserve">. </w:t>
      </w:r>
    </w:p>
    <w:p w14:paraId="605796B5" w14:textId="77777777" w:rsidR="009072CE" w:rsidRPr="00A07F29" w:rsidRDefault="009072CE" w:rsidP="00465129">
      <w:pPr>
        <w:keepNext/>
        <w:spacing w:before="240" w:after="120" w:line="240" w:lineRule="auto"/>
        <w:jc w:val="both"/>
        <w:rPr>
          <w:rFonts w:ascii="Times New Roman" w:eastAsia="Calibri" w:hAnsi="Times New Roman" w:cs="Calibri"/>
          <w:b/>
          <w:i/>
          <w:sz w:val="24"/>
          <w:szCs w:val="24"/>
        </w:rPr>
      </w:pPr>
      <w:r w:rsidRPr="00A07F29">
        <w:rPr>
          <w:rFonts w:ascii="Times New Roman" w:eastAsia="Calibri" w:hAnsi="Times New Roman" w:cs="Calibri"/>
          <w:b/>
          <w:i/>
          <w:sz w:val="24"/>
          <w:szCs w:val="24"/>
        </w:rPr>
        <w:t>Meži</w:t>
      </w:r>
    </w:p>
    <w:p w14:paraId="1B3D7D37" w14:textId="4D156AB0" w:rsidR="009072CE" w:rsidRPr="00A07F29" w:rsidRDefault="009072CE" w:rsidP="0079765D">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Ar šo biotopa tipu apzīmējām necirstus mežus, kuros detektorus novietojām vai nu nelielos klajumos, piemēram meža ceļu malās vai skrajā mežā uz zemsedzes. Kopumā mežos tika izveidotas </w:t>
      </w:r>
      <w:r w:rsidR="008640E1">
        <w:rPr>
          <w:rFonts w:ascii="Times New Roman" w:eastAsia="Calibri" w:hAnsi="Times New Roman" w:cs="Calibri"/>
          <w:sz w:val="24"/>
        </w:rPr>
        <w:t>septiņas</w:t>
      </w:r>
      <w:r w:rsidRPr="00A07F29">
        <w:rPr>
          <w:rFonts w:ascii="Times New Roman" w:eastAsia="Calibri" w:hAnsi="Times New Roman" w:cs="Calibri"/>
          <w:sz w:val="24"/>
        </w:rPr>
        <w:t xml:space="preserve"> stacijas, no kurām divās sikspārņi netika konstatēti. Vidējā sikspārņu aktivitāte piecās mežu stacijās ar pozitīvu rezultātu</w:t>
      </w:r>
      <w:r w:rsidR="00D65BBA" w:rsidRPr="00A07F29">
        <w:rPr>
          <w:rFonts w:ascii="Times New Roman" w:eastAsia="Calibri" w:hAnsi="Times New Roman" w:cs="Calibri"/>
          <w:sz w:val="24"/>
        </w:rPr>
        <w:t xml:space="preserve"> </w:t>
      </w:r>
      <w:r w:rsidRPr="00A07F29">
        <w:rPr>
          <w:rFonts w:ascii="Times New Roman" w:eastAsia="Calibri" w:hAnsi="Times New Roman" w:cs="Calibri"/>
          <w:sz w:val="24"/>
        </w:rPr>
        <w:t xml:space="preserve">bija salīdzinoši zema – 4,4 pārlidojumi stundā. Zemākā tā bija 0,1, augstākā – 8,9. Piecās stacijās kopā konstatētas piecas sikspārņu sugas, no kurām izteikti biežākie bija ziemeļu sikspārņi (aktivitātes indekss 3,0). Ziemeļu sikspārņi tika konstatēti četrās no piecām stacijām. Pārējām četrām sugām – </w:t>
      </w:r>
      <w:proofErr w:type="spellStart"/>
      <w:r w:rsidRPr="00A07F29">
        <w:rPr>
          <w:rFonts w:ascii="Times New Roman" w:eastAsia="Calibri" w:hAnsi="Times New Roman" w:cs="Calibri"/>
          <w:sz w:val="24"/>
        </w:rPr>
        <w:t>Natūza</w:t>
      </w:r>
      <w:proofErr w:type="spellEnd"/>
      <w:r w:rsidRPr="00A07F29">
        <w:rPr>
          <w:rFonts w:ascii="Times New Roman" w:eastAsia="Calibri" w:hAnsi="Times New Roman" w:cs="Calibri"/>
          <w:sz w:val="24"/>
        </w:rPr>
        <w:t xml:space="preserve"> sikspārņiem, rūsganajiem </w:t>
      </w:r>
      <w:proofErr w:type="spellStart"/>
      <w:r w:rsidRPr="00A07F29">
        <w:rPr>
          <w:rFonts w:ascii="Times New Roman" w:eastAsia="Calibri" w:hAnsi="Times New Roman" w:cs="Calibri"/>
          <w:sz w:val="24"/>
        </w:rPr>
        <w:t>vakarsikspārņiem</w:t>
      </w:r>
      <w:proofErr w:type="spellEnd"/>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sz w:val="24"/>
        </w:rPr>
        <w:t>pigmejsikspārņiem</w:t>
      </w:r>
      <w:proofErr w:type="spellEnd"/>
      <w:r w:rsidRPr="00A07F29">
        <w:rPr>
          <w:rFonts w:ascii="Times New Roman" w:eastAsia="Calibri" w:hAnsi="Times New Roman" w:cs="Calibri"/>
          <w:sz w:val="24"/>
        </w:rPr>
        <w:t xml:space="preserve"> un dīķu </w:t>
      </w:r>
      <w:proofErr w:type="spellStart"/>
      <w:r w:rsidRPr="00A07F29">
        <w:rPr>
          <w:rFonts w:ascii="Times New Roman" w:eastAsia="Calibri" w:hAnsi="Times New Roman" w:cs="Calibri"/>
          <w:sz w:val="24"/>
        </w:rPr>
        <w:t>naktssikspārņiem</w:t>
      </w:r>
      <w:proofErr w:type="spellEnd"/>
      <w:r w:rsidRPr="00A07F29">
        <w:rPr>
          <w:rFonts w:ascii="Times New Roman" w:eastAsia="Calibri" w:hAnsi="Times New Roman" w:cs="Calibri"/>
          <w:sz w:val="24"/>
        </w:rPr>
        <w:t xml:space="preserve"> aktivitāte bija vismaz 10 reizes zemāka (0,2</w:t>
      </w:r>
      <w:r w:rsidR="000A1005">
        <w:rPr>
          <w:rFonts w:ascii="Times New Roman" w:eastAsia="Calibri" w:hAnsi="Times New Roman" w:cs="Calibri"/>
          <w:sz w:val="24"/>
        </w:rPr>
        <w:t> – </w:t>
      </w:r>
      <w:r w:rsidRPr="00A07F29">
        <w:rPr>
          <w:rFonts w:ascii="Times New Roman" w:eastAsia="Calibri" w:hAnsi="Times New Roman" w:cs="Calibri"/>
          <w:sz w:val="24"/>
        </w:rPr>
        <w:t xml:space="preserve">0,3). Pēdējās divas sugas konstatētas tikai vienā mežu stacijā. Nevienā no mežu stacijām netika konstatēti </w:t>
      </w:r>
      <w:proofErr w:type="spellStart"/>
      <w:r w:rsidRPr="00A07F29">
        <w:rPr>
          <w:rFonts w:ascii="Times New Roman" w:eastAsia="Calibri" w:hAnsi="Times New Roman" w:cs="Calibri"/>
          <w:sz w:val="24"/>
        </w:rPr>
        <w:t>naktssikspārņi</w:t>
      </w:r>
      <w:proofErr w:type="spellEnd"/>
      <w:r w:rsidRPr="00A07F29">
        <w:rPr>
          <w:rFonts w:ascii="Times New Roman" w:eastAsia="Calibri" w:hAnsi="Times New Roman" w:cs="Calibri"/>
          <w:sz w:val="24"/>
        </w:rPr>
        <w:t xml:space="preserve"> (izņemot dīķu </w:t>
      </w:r>
      <w:proofErr w:type="spellStart"/>
      <w:r w:rsidRPr="00A07F29">
        <w:rPr>
          <w:rFonts w:ascii="Times New Roman" w:eastAsia="Calibri" w:hAnsi="Times New Roman" w:cs="Calibri"/>
          <w:sz w:val="24"/>
        </w:rPr>
        <w:t>naktssikspārni</w:t>
      </w:r>
      <w:proofErr w:type="spellEnd"/>
      <w:r w:rsidRPr="00A07F29">
        <w:rPr>
          <w:rFonts w:ascii="Times New Roman" w:eastAsia="Calibri" w:hAnsi="Times New Roman" w:cs="Calibri"/>
          <w:sz w:val="24"/>
        </w:rPr>
        <w:t xml:space="preserve"> vienā vietā) un brūnie </w:t>
      </w:r>
      <w:proofErr w:type="spellStart"/>
      <w:r w:rsidRPr="00A07F29">
        <w:rPr>
          <w:rFonts w:ascii="Times New Roman" w:eastAsia="Calibri" w:hAnsi="Times New Roman" w:cs="Calibri"/>
          <w:sz w:val="24"/>
        </w:rPr>
        <w:t>garausaiņi</w:t>
      </w:r>
      <w:proofErr w:type="spellEnd"/>
      <w:r w:rsidRPr="00A07F29">
        <w:rPr>
          <w:rFonts w:ascii="Times New Roman" w:eastAsia="Calibri" w:hAnsi="Times New Roman" w:cs="Calibri"/>
          <w:sz w:val="24"/>
        </w:rPr>
        <w:t xml:space="preserve"> – sugas, kam raksturīgāka barošanās mežu biežņā. </w:t>
      </w:r>
    </w:p>
    <w:p w14:paraId="20F96A32" w14:textId="76A6C51B" w:rsidR="009072CE" w:rsidRPr="00A07F29" w:rsidRDefault="009072CE" w:rsidP="00465129">
      <w:pPr>
        <w:keepNext/>
        <w:spacing w:before="240" w:after="120" w:line="240" w:lineRule="auto"/>
        <w:jc w:val="both"/>
        <w:rPr>
          <w:rFonts w:ascii="Times New Roman" w:eastAsia="Calibri" w:hAnsi="Times New Roman" w:cs="Calibri"/>
          <w:b/>
          <w:i/>
          <w:sz w:val="24"/>
          <w:szCs w:val="24"/>
        </w:rPr>
      </w:pPr>
      <w:r w:rsidRPr="00A07F29">
        <w:rPr>
          <w:rFonts w:ascii="Times New Roman" w:eastAsia="Calibri" w:hAnsi="Times New Roman" w:cs="Calibri"/>
          <w:b/>
          <w:i/>
          <w:sz w:val="24"/>
          <w:szCs w:val="24"/>
        </w:rPr>
        <w:t>Pļavas un zālāji</w:t>
      </w:r>
    </w:p>
    <w:p w14:paraId="1B6BB105" w14:textId="03669694" w:rsidR="009072CE" w:rsidRPr="00A07F29" w:rsidRDefault="009072CE" w:rsidP="0079765D">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Šai biotopu kategorijai pieskaitījām atšķirīgas atklātas ainavas ar dažādu veģetācijas sastāvu un apsaimniekošanas veidu. Detektorus novietojām iespējami tālu no citām struktūrām kā mežiem, koku grupām, ēkām. Nelielu pļavu gadījumā detektori bija pietiekami tuvu mežmalai, kas ir nozīmīga sikspārņu barošanās vieta. Daļā gadījumu zālāji bija pļauti un detektorus novietojām uz siena ruļļiem. Vienā novērojumu vietā detektors bija ar krūmiem aizaugt sākušā pļavā. Viena novērojumu vieta bija pļavā Daugavas tuvumā, kur sikspārņu sugu sastāvu un aktivitāti varēja ietekmēt upes tuvums.</w:t>
      </w:r>
    </w:p>
    <w:p w14:paraId="0D72D0C8" w14:textId="5E9AB433" w:rsidR="009072CE" w:rsidRPr="00A07F29" w:rsidRDefault="009072CE" w:rsidP="0079765D">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Kopumā pļavās vai zālājos tika izveidotas 10 stacijas – vairāk kā jebkurā citā biotopu grupā. Sikspārņi tika novēroti visās 10 stacijās, taču to vidējā aktivitāte – 4,0 pārlidojumi stundā bija salīdzinoši zema (tāda pati kā mežos). Pavisam novēroti piecu sugu sikspārņi, starp kuriem ar visaugstāko vidējo aktivitāti dominēja “klajumu” suga rūsganais </w:t>
      </w:r>
      <w:proofErr w:type="spellStart"/>
      <w:r w:rsidRPr="00A07F29">
        <w:rPr>
          <w:rFonts w:ascii="Times New Roman" w:eastAsia="Calibri" w:hAnsi="Times New Roman" w:cs="Calibri"/>
          <w:sz w:val="24"/>
        </w:rPr>
        <w:t>vakarsikspārnis</w:t>
      </w:r>
      <w:proofErr w:type="spellEnd"/>
      <w:r w:rsidRPr="00A07F29">
        <w:rPr>
          <w:rFonts w:ascii="Times New Roman" w:eastAsia="Calibri" w:hAnsi="Times New Roman" w:cs="Calibri"/>
          <w:sz w:val="24"/>
        </w:rPr>
        <w:t xml:space="preserve"> (2,4 pārlidojumi stundā). Pārējām sugām – </w:t>
      </w:r>
      <w:proofErr w:type="spellStart"/>
      <w:r w:rsidRPr="00A07F29">
        <w:rPr>
          <w:rFonts w:ascii="Times New Roman" w:eastAsia="Calibri" w:hAnsi="Times New Roman" w:cs="Calibri"/>
          <w:sz w:val="24"/>
        </w:rPr>
        <w:t>Natūza</w:t>
      </w:r>
      <w:proofErr w:type="spellEnd"/>
      <w:r w:rsidRPr="00A07F29">
        <w:rPr>
          <w:rFonts w:ascii="Times New Roman" w:eastAsia="Calibri" w:hAnsi="Times New Roman" w:cs="Calibri"/>
          <w:sz w:val="24"/>
        </w:rPr>
        <w:t xml:space="preserve"> sikspārnim, ziemeļu sikspārnim, </w:t>
      </w:r>
      <w:proofErr w:type="spellStart"/>
      <w:r w:rsidRPr="00A07F29">
        <w:rPr>
          <w:rFonts w:ascii="Times New Roman" w:eastAsia="Calibri" w:hAnsi="Times New Roman" w:cs="Calibri"/>
          <w:sz w:val="24"/>
        </w:rPr>
        <w:t>pigmejsikspārnim</w:t>
      </w:r>
      <w:proofErr w:type="spellEnd"/>
      <w:r w:rsidRPr="00A07F29">
        <w:rPr>
          <w:rFonts w:ascii="Times New Roman" w:eastAsia="Calibri" w:hAnsi="Times New Roman" w:cs="Calibri"/>
          <w:sz w:val="24"/>
        </w:rPr>
        <w:t xml:space="preserve"> un divkrāsainajam </w:t>
      </w:r>
      <w:proofErr w:type="spellStart"/>
      <w:r w:rsidRPr="00A07F29">
        <w:rPr>
          <w:rFonts w:ascii="Times New Roman" w:eastAsia="Calibri" w:hAnsi="Times New Roman" w:cs="Calibri"/>
          <w:sz w:val="24"/>
        </w:rPr>
        <w:t>sikspārnims</w:t>
      </w:r>
      <w:proofErr w:type="spellEnd"/>
      <w:r w:rsidRPr="00A07F29">
        <w:rPr>
          <w:rFonts w:ascii="Times New Roman" w:eastAsia="Calibri" w:hAnsi="Times New Roman" w:cs="Calibri"/>
          <w:sz w:val="24"/>
        </w:rPr>
        <w:t xml:space="preserve"> tā bija robežās no 0,2</w:t>
      </w:r>
      <w:r w:rsidR="00854489">
        <w:rPr>
          <w:rFonts w:ascii="Times New Roman" w:eastAsia="Calibri" w:hAnsi="Times New Roman" w:cs="Calibri"/>
          <w:sz w:val="24"/>
        </w:rPr>
        <w:t> – </w:t>
      </w:r>
      <w:r w:rsidRPr="00A07F29">
        <w:rPr>
          <w:rFonts w:ascii="Times New Roman" w:eastAsia="Calibri" w:hAnsi="Times New Roman" w:cs="Calibri"/>
          <w:sz w:val="24"/>
        </w:rPr>
        <w:t xml:space="preserve">0,7 pārlidojumiem stundā. </w:t>
      </w:r>
    </w:p>
    <w:p w14:paraId="08C03278" w14:textId="77777777" w:rsidR="009072CE" w:rsidRPr="00A07F29" w:rsidRDefault="009072CE" w:rsidP="0079765D">
      <w:pPr>
        <w:keepNext/>
        <w:spacing w:before="240" w:after="120" w:line="240" w:lineRule="auto"/>
        <w:jc w:val="both"/>
        <w:rPr>
          <w:rFonts w:ascii="Times New Roman" w:eastAsia="Calibri" w:hAnsi="Times New Roman" w:cs="Calibri"/>
          <w:b/>
          <w:i/>
          <w:sz w:val="24"/>
          <w:szCs w:val="24"/>
        </w:rPr>
      </w:pPr>
      <w:r w:rsidRPr="00A07F29">
        <w:rPr>
          <w:rFonts w:ascii="Times New Roman" w:eastAsia="Calibri" w:hAnsi="Times New Roman" w:cs="Calibri"/>
          <w:b/>
          <w:i/>
          <w:sz w:val="24"/>
          <w:szCs w:val="24"/>
        </w:rPr>
        <w:t>Ganības</w:t>
      </w:r>
    </w:p>
    <w:p w14:paraId="505CE6B5" w14:textId="1DF53812" w:rsidR="009072CE" w:rsidRPr="00A07F29" w:rsidRDefault="009072CE" w:rsidP="0079765D">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Galvenā atšķirība no iepriekšējā biotopu tipa ganībās bija liellopu klātbūtne, kas savukārt piesaista </w:t>
      </w:r>
      <w:proofErr w:type="spellStart"/>
      <w:r w:rsidRPr="00A07F29">
        <w:rPr>
          <w:rFonts w:ascii="Times New Roman" w:eastAsia="Calibri" w:hAnsi="Times New Roman" w:cs="Calibri"/>
          <w:sz w:val="24"/>
        </w:rPr>
        <w:t>mēslēdājus</w:t>
      </w:r>
      <w:proofErr w:type="spellEnd"/>
      <w:r w:rsidRPr="00A07F29">
        <w:rPr>
          <w:rFonts w:ascii="Times New Roman" w:eastAsia="Calibri" w:hAnsi="Times New Roman" w:cs="Calibri"/>
          <w:sz w:val="24"/>
        </w:rPr>
        <w:t xml:space="preserve"> un asinssūcējus kukaiņus – potenciālus sikspārņu barības objektu</w:t>
      </w:r>
      <w:r w:rsidR="00484037">
        <w:rPr>
          <w:rFonts w:ascii="Times New Roman" w:eastAsia="Calibri" w:hAnsi="Times New Roman" w:cs="Calibri"/>
          <w:sz w:val="24"/>
        </w:rPr>
        <w:t>s</w:t>
      </w:r>
      <w:r w:rsidRPr="00A07F29">
        <w:rPr>
          <w:rFonts w:ascii="Times New Roman" w:eastAsia="Calibri" w:hAnsi="Times New Roman" w:cs="Calibri"/>
          <w:sz w:val="24"/>
        </w:rPr>
        <w:t xml:space="preserve">. Šis biotopu tips tika pārstāvēts tikai ar divām novērojumu stacijām. Vienā gadījumā detektors bija novietots pie žoga, aiz kura bija plašas ganības gan </w:t>
      </w:r>
      <w:proofErr w:type="spellStart"/>
      <w:r w:rsidRPr="00A07F29">
        <w:rPr>
          <w:rFonts w:ascii="Times New Roman" w:eastAsia="Calibri" w:hAnsi="Times New Roman" w:cs="Calibri"/>
          <w:sz w:val="24"/>
        </w:rPr>
        <w:t>pussavvaļas</w:t>
      </w:r>
      <w:proofErr w:type="spellEnd"/>
      <w:r w:rsidRPr="00A07F29">
        <w:rPr>
          <w:rFonts w:ascii="Times New Roman" w:eastAsia="Calibri" w:hAnsi="Times New Roman" w:cs="Calibri"/>
          <w:sz w:val="24"/>
        </w:rPr>
        <w:t xml:space="preserve"> gaļas lopiem, gan slaucamajām govīm. Otrajā gadījumā novērojums veikts ganībās ar divām govīm mozaīkveida ainavā, samērā tuvu mežmalai. Vidējā sikspārņu aktivitāte ganībās tomēr izrādījās zemāka nekā pļavās un zālājos (1,8 pārlidojumi stundā) un tajās tika novērotas tikai divas sikspārņu sugas – rūsganie </w:t>
      </w:r>
      <w:proofErr w:type="spellStart"/>
      <w:r w:rsidRPr="00A07F29">
        <w:rPr>
          <w:rFonts w:ascii="Times New Roman" w:eastAsia="Calibri" w:hAnsi="Times New Roman" w:cs="Calibri"/>
          <w:sz w:val="24"/>
        </w:rPr>
        <w:lastRenderedPageBreak/>
        <w:t>vakarsikspārņi</w:t>
      </w:r>
      <w:proofErr w:type="spellEnd"/>
      <w:r w:rsidRPr="00A07F29">
        <w:rPr>
          <w:rFonts w:ascii="Times New Roman" w:eastAsia="Calibri" w:hAnsi="Times New Roman" w:cs="Calibri"/>
          <w:sz w:val="24"/>
        </w:rPr>
        <w:t xml:space="preserve"> un ziemeļu sikspārņi. Ganīb</w:t>
      </w:r>
      <w:r w:rsidR="00D111FD">
        <w:rPr>
          <w:rFonts w:ascii="Times New Roman" w:eastAsia="Calibri" w:hAnsi="Times New Roman" w:cs="Calibri"/>
          <w:sz w:val="24"/>
        </w:rPr>
        <w:t>as</w:t>
      </w:r>
      <w:r w:rsidRPr="00A07F29">
        <w:rPr>
          <w:rFonts w:ascii="Times New Roman" w:eastAsia="Calibri" w:hAnsi="Times New Roman" w:cs="Calibri"/>
          <w:sz w:val="24"/>
        </w:rPr>
        <w:t xml:space="preserve"> kā sikspārņu barošanās biotopa novērtēšanai būtu nepieciešami papildus pētījumi ar lielāku staciju skaitu un biežākiem atkārtojumiem.</w:t>
      </w:r>
    </w:p>
    <w:p w14:paraId="170B81AD" w14:textId="77777777" w:rsidR="009072CE" w:rsidRPr="00A07F29" w:rsidRDefault="009072CE" w:rsidP="0079765D">
      <w:pPr>
        <w:keepNext/>
        <w:spacing w:before="240" w:after="120" w:line="240" w:lineRule="auto"/>
        <w:jc w:val="both"/>
        <w:rPr>
          <w:rFonts w:ascii="Times New Roman" w:eastAsia="Calibri" w:hAnsi="Times New Roman" w:cs="Calibri"/>
          <w:b/>
          <w:i/>
          <w:sz w:val="24"/>
          <w:szCs w:val="24"/>
        </w:rPr>
      </w:pPr>
      <w:r w:rsidRPr="00A07F29">
        <w:rPr>
          <w:rFonts w:ascii="Times New Roman" w:eastAsia="Calibri" w:hAnsi="Times New Roman" w:cs="Calibri"/>
          <w:b/>
          <w:i/>
          <w:sz w:val="24"/>
          <w:szCs w:val="24"/>
        </w:rPr>
        <w:t>Viensētas</w:t>
      </w:r>
    </w:p>
    <w:p w14:paraId="2F7A8E1C" w14:textId="490B4C78" w:rsidR="009072CE" w:rsidRPr="00A07F29" w:rsidRDefault="009072CE" w:rsidP="0079765D">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Kopīgais šim biotopu tipam bija apdzīvotu vai pamestu ēku tuvums. Nevienā gadījumā netika iegūtas liecības, ka sikspārņi izmantotu šīs ēkas par vairošanās koloniju mītnēm. Viensētu apkārtējā ainava bija atšķirīga. Pavisam novērojumi veikti piecās viensētās. Divas viensētas bija pamestas, jauna meža ieskautas, ar lakstaugiem un krūmiem aizaugušiem pagalmiem, divas mājas atradās Daugavas krastā un tuvu mežam. Viena mājvieta bija pazīstamā ārstniecības augu audzētava “Kurmīši”, kur detektora tuvumā bija ābeļdārzs un netālu – dažādu sugu augu plantācijas. Četrās viensētās sikspārņu kopējā aktivitāte bija salīdzinoši zema – no 0,3 līdz 1,6 pārlidojumiem stundā, vienā “Jāņu sētā”– ļoti augsta – 55,6 pārlidojumi stundā. Šī viensēta izcēlās arī ar augstu sugu daudzveidību – pavisam sešām sikspārņu sugām, tai skaitā brūno </w:t>
      </w:r>
      <w:proofErr w:type="spellStart"/>
      <w:r w:rsidRPr="00A07F29">
        <w:rPr>
          <w:rFonts w:ascii="Times New Roman" w:eastAsia="Calibri" w:hAnsi="Times New Roman" w:cs="Calibri"/>
          <w:sz w:val="24"/>
        </w:rPr>
        <w:t>garausaini</w:t>
      </w:r>
      <w:proofErr w:type="spellEnd"/>
      <w:r w:rsidRPr="00A07F29">
        <w:rPr>
          <w:rFonts w:ascii="Times New Roman" w:eastAsia="Calibri" w:hAnsi="Times New Roman" w:cs="Calibri"/>
          <w:sz w:val="24"/>
        </w:rPr>
        <w:t xml:space="preserve">, kam šī bija vienīgā </w:t>
      </w:r>
      <w:proofErr w:type="spellStart"/>
      <w:r w:rsidRPr="00A07F29">
        <w:rPr>
          <w:rFonts w:ascii="Times New Roman" w:eastAsia="Calibri" w:hAnsi="Times New Roman" w:cs="Calibri"/>
          <w:sz w:val="24"/>
        </w:rPr>
        <w:t>detektornovērojuma</w:t>
      </w:r>
      <w:proofErr w:type="spellEnd"/>
      <w:r w:rsidRPr="00A07F29">
        <w:rPr>
          <w:rFonts w:ascii="Times New Roman" w:eastAsia="Calibri" w:hAnsi="Times New Roman" w:cs="Calibri"/>
          <w:sz w:val="24"/>
        </w:rPr>
        <w:t xml:space="preserve"> vieta AAA </w:t>
      </w:r>
      <w:r w:rsidR="0079765D" w:rsidRPr="00A07F29">
        <w:rPr>
          <w:rFonts w:ascii="Times New Roman" w:eastAsia="Calibri" w:hAnsi="Times New Roman" w:cs="Calibri"/>
          <w:sz w:val="24"/>
        </w:rPr>
        <w:t>“</w:t>
      </w:r>
      <w:r w:rsidRPr="00A07F29">
        <w:rPr>
          <w:rFonts w:ascii="Times New Roman" w:eastAsia="Calibri" w:hAnsi="Times New Roman" w:cs="Calibri"/>
          <w:sz w:val="24"/>
        </w:rPr>
        <w:t>Augšdaugava</w:t>
      </w:r>
      <w:r w:rsidR="0079765D" w:rsidRPr="00A07F29">
        <w:rPr>
          <w:rFonts w:ascii="Times New Roman" w:eastAsia="Calibri" w:hAnsi="Times New Roman" w:cs="Calibri"/>
          <w:sz w:val="24"/>
        </w:rPr>
        <w:t>”</w:t>
      </w:r>
      <w:r w:rsidRPr="00A07F29">
        <w:rPr>
          <w:rFonts w:ascii="Times New Roman" w:eastAsia="Calibri" w:hAnsi="Times New Roman" w:cs="Calibri"/>
          <w:sz w:val="24"/>
        </w:rPr>
        <w:t xml:space="preserve"> teritorijā. Dominējošās sugas bija ziemeļu sikspārnis (29,8 pārlidojumi stundā), rūsganais </w:t>
      </w:r>
      <w:proofErr w:type="spellStart"/>
      <w:r w:rsidRPr="00A07F29">
        <w:rPr>
          <w:rFonts w:ascii="Times New Roman" w:eastAsia="Calibri" w:hAnsi="Times New Roman" w:cs="Calibri"/>
          <w:sz w:val="24"/>
        </w:rPr>
        <w:t>vakarsikspārnis</w:t>
      </w:r>
      <w:proofErr w:type="spellEnd"/>
      <w:r w:rsidRPr="00A07F29">
        <w:rPr>
          <w:rFonts w:ascii="Times New Roman" w:eastAsia="Calibri" w:hAnsi="Times New Roman" w:cs="Calibri"/>
          <w:sz w:val="24"/>
        </w:rPr>
        <w:t xml:space="preserve"> (20,0) un </w:t>
      </w:r>
      <w:proofErr w:type="spellStart"/>
      <w:r w:rsidRPr="00A07F29">
        <w:rPr>
          <w:rFonts w:ascii="Times New Roman" w:eastAsia="Calibri" w:hAnsi="Times New Roman" w:cs="Calibri"/>
          <w:sz w:val="24"/>
        </w:rPr>
        <w:t>Natūza</w:t>
      </w:r>
      <w:proofErr w:type="spellEnd"/>
      <w:r w:rsidRPr="00A07F29">
        <w:rPr>
          <w:rFonts w:ascii="Times New Roman" w:eastAsia="Calibri" w:hAnsi="Times New Roman" w:cs="Calibri"/>
          <w:sz w:val="24"/>
        </w:rPr>
        <w:t xml:space="preserve"> sikspārnis (5,7). Šī māja atradās Daugavas k</w:t>
      </w:r>
      <w:r w:rsidR="00EF5086">
        <w:rPr>
          <w:rFonts w:ascii="Times New Roman" w:eastAsia="Calibri" w:hAnsi="Times New Roman" w:cs="Calibri"/>
          <w:sz w:val="24"/>
        </w:rPr>
        <w:t>r</w:t>
      </w:r>
      <w:r w:rsidRPr="00A07F29">
        <w:rPr>
          <w:rFonts w:ascii="Times New Roman" w:eastAsia="Calibri" w:hAnsi="Times New Roman" w:cs="Calibri"/>
          <w:sz w:val="24"/>
        </w:rPr>
        <w:t>astā 100</w:t>
      </w:r>
      <w:r w:rsidR="00EF5086">
        <w:rPr>
          <w:rFonts w:ascii="Times New Roman" w:eastAsia="Calibri" w:hAnsi="Times New Roman" w:cs="Calibri"/>
          <w:sz w:val="24"/>
        </w:rPr>
        <w:t> </w:t>
      </w:r>
      <w:r w:rsidRPr="00A07F29">
        <w:rPr>
          <w:rFonts w:ascii="Times New Roman" w:eastAsia="Calibri" w:hAnsi="Times New Roman" w:cs="Calibri"/>
          <w:sz w:val="24"/>
        </w:rPr>
        <w:t>m no ūdens un tiešā meža tuvumā.</w:t>
      </w:r>
    </w:p>
    <w:p w14:paraId="0BAA8DDC" w14:textId="77777777" w:rsidR="009072CE" w:rsidRPr="00A07F29" w:rsidRDefault="009072CE" w:rsidP="0079765D">
      <w:pPr>
        <w:keepNext/>
        <w:spacing w:before="240" w:after="120" w:line="240" w:lineRule="auto"/>
        <w:jc w:val="both"/>
        <w:rPr>
          <w:rFonts w:ascii="Times New Roman" w:eastAsia="Calibri" w:hAnsi="Times New Roman" w:cs="Calibri"/>
          <w:b/>
          <w:i/>
          <w:sz w:val="24"/>
          <w:szCs w:val="24"/>
        </w:rPr>
      </w:pPr>
      <w:r w:rsidRPr="00A07F29">
        <w:rPr>
          <w:rFonts w:ascii="Times New Roman" w:eastAsia="Calibri" w:hAnsi="Times New Roman" w:cs="Calibri"/>
          <w:b/>
          <w:i/>
          <w:sz w:val="24"/>
          <w:szCs w:val="24"/>
        </w:rPr>
        <w:t>Grants karjers</w:t>
      </w:r>
    </w:p>
    <w:p w14:paraId="2910E18D" w14:textId="1DC9285B" w:rsidR="009072CE" w:rsidRPr="00A07F29" w:rsidRDefault="009072CE" w:rsidP="0079765D">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Vienīgais karjers, pie kura tika veikta sikspārņu izpēte bija aptuveni 200</w:t>
      </w:r>
      <w:r w:rsidR="00EF5086">
        <w:rPr>
          <w:rFonts w:ascii="Times New Roman" w:eastAsia="Calibri" w:hAnsi="Times New Roman" w:cs="Calibri"/>
          <w:sz w:val="24"/>
        </w:rPr>
        <w:t> </w:t>
      </w:r>
      <w:r w:rsidRPr="00A07F29">
        <w:rPr>
          <w:rFonts w:ascii="Times New Roman" w:eastAsia="Calibri" w:hAnsi="Times New Roman" w:cs="Calibri"/>
          <w:sz w:val="24"/>
        </w:rPr>
        <w:t>x</w:t>
      </w:r>
      <w:r w:rsidR="00EF5086">
        <w:rPr>
          <w:rFonts w:ascii="Times New Roman" w:eastAsia="Calibri" w:hAnsi="Times New Roman" w:cs="Calibri"/>
          <w:sz w:val="24"/>
        </w:rPr>
        <w:t> </w:t>
      </w:r>
      <w:r w:rsidRPr="00A07F29">
        <w:rPr>
          <w:rFonts w:ascii="Times New Roman" w:eastAsia="Calibri" w:hAnsi="Times New Roman" w:cs="Calibri"/>
          <w:sz w:val="24"/>
        </w:rPr>
        <w:t>60</w:t>
      </w:r>
      <w:r w:rsidR="00EF5086">
        <w:rPr>
          <w:rFonts w:ascii="Times New Roman" w:eastAsia="Calibri" w:hAnsi="Times New Roman" w:cs="Calibri"/>
          <w:sz w:val="24"/>
        </w:rPr>
        <w:t> </w:t>
      </w:r>
      <w:r w:rsidRPr="00A07F29">
        <w:rPr>
          <w:rFonts w:ascii="Times New Roman" w:eastAsia="Calibri" w:hAnsi="Times New Roman" w:cs="Calibri"/>
          <w:sz w:val="24"/>
        </w:rPr>
        <w:t xml:space="preserve">m liels, bez ūdens, meža un </w:t>
      </w:r>
      <w:proofErr w:type="spellStart"/>
      <w:r w:rsidRPr="00A07F29">
        <w:rPr>
          <w:rFonts w:ascii="Times New Roman" w:eastAsia="Calibri" w:hAnsi="Times New Roman" w:cs="Calibri"/>
          <w:sz w:val="24"/>
        </w:rPr>
        <w:t>ceļamalas</w:t>
      </w:r>
      <w:proofErr w:type="spellEnd"/>
      <w:r w:rsidRPr="00A07F29">
        <w:rPr>
          <w:rFonts w:ascii="Times New Roman" w:eastAsia="Calibri" w:hAnsi="Times New Roman" w:cs="Calibri"/>
          <w:sz w:val="24"/>
        </w:rPr>
        <w:t xml:space="preserve"> koku rindas ieskauts. Detektors bija novietots karjera augšmalā pie ceļmalas koku joslas. Tika novēroti trīs sugu sikspārņi – rūsganie </w:t>
      </w:r>
      <w:proofErr w:type="spellStart"/>
      <w:r w:rsidRPr="00A07F29">
        <w:rPr>
          <w:rFonts w:ascii="Times New Roman" w:eastAsia="Calibri" w:hAnsi="Times New Roman" w:cs="Calibri"/>
          <w:sz w:val="24"/>
        </w:rPr>
        <w:t>vakarsikspārņi</w:t>
      </w:r>
      <w:proofErr w:type="spellEnd"/>
      <w:r w:rsidRPr="00A07F29">
        <w:rPr>
          <w:rFonts w:ascii="Times New Roman" w:eastAsia="Calibri" w:hAnsi="Times New Roman" w:cs="Calibri"/>
          <w:sz w:val="24"/>
        </w:rPr>
        <w:t xml:space="preserve">, ziemeļu sikspārņi un </w:t>
      </w:r>
      <w:proofErr w:type="spellStart"/>
      <w:r w:rsidRPr="00A07F29">
        <w:rPr>
          <w:rFonts w:ascii="Times New Roman" w:eastAsia="Calibri" w:hAnsi="Times New Roman" w:cs="Calibri"/>
          <w:sz w:val="24"/>
        </w:rPr>
        <w:t>Natūza</w:t>
      </w:r>
      <w:proofErr w:type="spellEnd"/>
      <w:r w:rsidRPr="00A07F29">
        <w:rPr>
          <w:rFonts w:ascii="Times New Roman" w:eastAsia="Calibri" w:hAnsi="Times New Roman" w:cs="Calibri"/>
          <w:sz w:val="24"/>
        </w:rPr>
        <w:t xml:space="preserve"> sikspārņi, kas kopā veidoja salīdzinoši augstu aktivitāti – 23,4 pārlidojumi stundā, kas līdzinājās vidējai sikspārņu aktivitātei izcirtumos. Liela iespēja, ka tieši mežmalas tuvums bija sikspārņu piesaistošais elements šajā biotopā, nevis pats grants karjers.</w:t>
      </w:r>
    </w:p>
    <w:p w14:paraId="13F5B057" w14:textId="5CC4A035" w:rsidR="009072CE" w:rsidRPr="00A07F29" w:rsidRDefault="007930DC" w:rsidP="007930DC">
      <w:pPr>
        <w:spacing w:before="240" w:after="120" w:line="240" w:lineRule="auto"/>
        <w:ind w:firstLine="851"/>
        <w:jc w:val="center"/>
        <w:rPr>
          <w:rFonts w:ascii="Times New Roman" w:eastAsia="Calibri" w:hAnsi="Times New Roman" w:cs="Calibri"/>
          <w:b/>
          <w:sz w:val="24"/>
        </w:rPr>
      </w:pPr>
      <w:r w:rsidRPr="00A07F29">
        <w:rPr>
          <w:rFonts w:ascii="Times New Roman" w:eastAsia="Calibri" w:hAnsi="Times New Roman" w:cs="Calibri"/>
          <w:b/>
          <w:sz w:val="24"/>
        </w:rPr>
        <w:t xml:space="preserve">4.11.1.4. </w:t>
      </w:r>
      <w:r w:rsidR="009072CE" w:rsidRPr="00A07F29">
        <w:rPr>
          <w:rFonts w:ascii="Times New Roman" w:eastAsia="Calibri" w:hAnsi="Times New Roman" w:cs="Calibri"/>
          <w:b/>
          <w:sz w:val="24"/>
        </w:rPr>
        <w:t>Vasaras mītnes</w:t>
      </w:r>
    </w:p>
    <w:p w14:paraId="537AB8B2" w14:textId="043DC4DF" w:rsidR="009072CE" w:rsidRPr="00A07F29" w:rsidRDefault="007930DC" w:rsidP="007930DC">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DA plāna izstrādes laikā veiktā p</w:t>
      </w:r>
      <w:r w:rsidR="009072CE" w:rsidRPr="00A07F29">
        <w:rPr>
          <w:rFonts w:ascii="Times New Roman" w:eastAsia="Calibri" w:hAnsi="Times New Roman" w:cs="Calibri"/>
          <w:sz w:val="24"/>
        </w:rPr>
        <w:t xml:space="preserve">ētījuma </w:t>
      </w:r>
      <w:r w:rsidR="00B51516">
        <w:rPr>
          <w:rFonts w:ascii="Times New Roman" w:eastAsia="Calibri" w:hAnsi="Times New Roman" w:cs="Calibri"/>
          <w:sz w:val="24"/>
        </w:rPr>
        <w:t>ietvaros</w:t>
      </w:r>
      <w:r w:rsidR="009072CE" w:rsidRPr="00A07F29">
        <w:rPr>
          <w:rFonts w:ascii="Times New Roman" w:eastAsia="Calibri" w:hAnsi="Times New Roman" w:cs="Calibri"/>
          <w:sz w:val="24"/>
        </w:rPr>
        <w:t xml:space="preserve"> sikspārņi atrasti četrās ēkās. Divas no tām bija iepriekš zināmas, divas – atrastas pirmoreiz.</w:t>
      </w:r>
    </w:p>
    <w:p w14:paraId="260C5C42" w14:textId="77777777" w:rsidR="009072CE" w:rsidRPr="00A07F29" w:rsidRDefault="009072CE" w:rsidP="007930DC">
      <w:pPr>
        <w:keepNext/>
        <w:spacing w:before="240" w:after="120" w:line="240" w:lineRule="auto"/>
        <w:jc w:val="both"/>
        <w:rPr>
          <w:rFonts w:ascii="Times New Roman" w:eastAsia="Calibri" w:hAnsi="Times New Roman" w:cs="Calibri"/>
          <w:b/>
          <w:i/>
          <w:sz w:val="24"/>
          <w:szCs w:val="24"/>
        </w:rPr>
      </w:pPr>
      <w:r w:rsidRPr="00A07F29">
        <w:rPr>
          <w:rFonts w:ascii="Times New Roman" w:eastAsia="Calibri" w:hAnsi="Times New Roman" w:cs="Calibri"/>
          <w:b/>
          <w:i/>
          <w:sz w:val="24"/>
          <w:szCs w:val="24"/>
        </w:rPr>
        <w:t>Kaplavas pareizticīgo baznīca</w:t>
      </w:r>
    </w:p>
    <w:p w14:paraId="48497B11" w14:textId="513CECC4" w:rsidR="00AA3CC9" w:rsidRPr="00A07F29" w:rsidRDefault="009072CE" w:rsidP="002E34E2">
      <w:pPr>
        <w:spacing w:after="120" w:line="240" w:lineRule="auto"/>
        <w:ind w:firstLine="851"/>
        <w:jc w:val="both"/>
        <w:rPr>
          <w:rFonts w:ascii="Times New Roman" w:eastAsia="Calibri" w:hAnsi="Times New Roman" w:cs="Calibri"/>
          <w:sz w:val="24"/>
        </w:rPr>
      </w:pPr>
      <w:r w:rsidRPr="006F5A51">
        <w:rPr>
          <w:rFonts w:ascii="Times New Roman" w:eastAsia="Calibri" w:hAnsi="Times New Roman" w:cs="Calibri"/>
          <w:sz w:val="24"/>
        </w:rPr>
        <w:t>Sikspārņu kolonija</w:t>
      </w:r>
      <w:r w:rsidRPr="00A07F29">
        <w:rPr>
          <w:rFonts w:ascii="Times New Roman" w:eastAsia="Calibri" w:hAnsi="Times New Roman" w:cs="Calibri"/>
          <w:sz w:val="24"/>
        </w:rPr>
        <w:t xml:space="preserve"> šajā baznīcā pirmo reizi konstatēta 1998.</w:t>
      </w:r>
      <w:r w:rsidR="00594379">
        <w:rPr>
          <w:rFonts w:ascii="Times New Roman" w:eastAsia="Calibri" w:hAnsi="Times New Roman" w:cs="Calibri"/>
          <w:sz w:val="24"/>
        </w:rPr>
        <w:t> </w:t>
      </w:r>
      <w:r w:rsidRPr="00A07F29">
        <w:rPr>
          <w:rFonts w:ascii="Times New Roman" w:eastAsia="Calibri" w:hAnsi="Times New Roman" w:cs="Calibri"/>
          <w:sz w:val="24"/>
        </w:rPr>
        <w:t>gadā. Kopš 2007.</w:t>
      </w:r>
      <w:r w:rsidR="00594379">
        <w:rPr>
          <w:rFonts w:ascii="Times New Roman" w:eastAsia="Calibri" w:hAnsi="Times New Roman" w:cs="Calibri"/>
          <w:sz w:val="24"/>
        </w:rPr>
        <w:t> </w:t>
      </w:r>
      <w:r w:rsidRPr="00A07F29">
        <w:rPr>
          <w:rFonts w:ascii="Times New Roman" w:eastAsia="Calibri" w:hAnsi="Times New Roman" w:cs="Calibri"/>
          <w:sz w:val="24"/>
        </w:rPr>
        <w:t>gada ar dažiem pārtraukumiem sikspārņi ik gadus monitoringa nolūkos jūnijā (kad lidojoši ir tikai pieaugušie sikspārņi) tiek skaitīti vakara izlidojuma laikā. Pavisam baznīcā konstatētas četras sikspārņu sugas.</w:t>
      </w:r>
    </w:p>
    <w:p w14:paraId="3CE4B013" w14:textId="0D41010A" w:rsidR="00AA3CC9" w:rsidRPr="00A07F29" w:rsidRDefault="009072CE" w:rsidP="002E34E2">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Katru gadu to apdzīvojuši </w:t>
      </w:r>
      <w:proofErr w:type="spellStart"/>
      <w:r w:rsidRPr="00A07F29">
        <w:rPr>
          <w:rFonts w:ascii="Times New Roman" w:eastAsia="Calibri" w:hAnsi="Times New Roman" w:cs="Calibri"/>
          <w:sz w:val="24"/>
        </w:rPr>
        <w:t>Natūza</w:t>
      </w:r>
      <w:proofErr w:type="spellEnd"/>
      <w:r w:rsidRPr="00A07F29">
        <w:rPr>
          <w:rFonts w:ascii="Times New Roman" w:eastAsia="Calibri" w:hAnsi="Times New Roman" w:cs="Calibri"/>
          <w:sz w:val="24"/>
        </w:rPr>
        <w:t xml:space="preserve"> sikspārņi. To skaits starp gadiem variē, bet maksimālais skaits pārsniedz 500 šīs sugas pieaugušās mātītes, kas līdz ar to ir lielākā zināmā šis sugas kolonija Latvijā. Acīmredzot šīs kolonijas dzīvniekiem ir vēl citas alternatīvas mītnes, ar ko var izskaidrot lielās skaita svārstības, piemēram, 81 mātīte 2018.</w:t>
      </w:r>
      <w:r w:rsidR="001409AE">
        <w:rPr>
          <w:rFonts w:ascii="Times New Roman" w:eastAsia="Calibri" w:hAnsi="Times New Roman" w:cs="Calibri"/>
          <w:sz w:val="24"/>
        </w:rPr>
        <w:t> </w:t>
      </w:r>
      <w:r w:rsidRPr="00A07F29">
        <w:rPr>
          <w:rFonts w:ascii="Times New Roman" w:eastAsia="Calibri" w:hAnsi="Times New Roman" w:cs="Calibri"/>
          <w:sz w:val="24"/>
        </w:rPr>
        <w:t>gadā un 515 mātītes 2019.</w:t>
      </w:r>
      <w:r w:rsidR="001409AE">
        <w:rPr>
          <w:rFonts w:ascii="Times New Roman" w:eastAsia="Calibri" w:hAnsi="Times New Roman" w:cs="Calibri"/>
          <w:sz w:val="24"/>
        </w:rPr>
        <w:t> </w:t>
      </w:r>
      <w:r w:rsidRPr="00A07F29">
        <w:rPr>
          <w:rFonts w:ascii="Times New Roman" w:eastAsia="Calibri" w:hAnsi="Times New Roman" w:cs="Calibri"/>
          <w:sz w:val="24"/>
        </w:rPr>
        <w:t>gadā (</w:t>
      </w:r>
      <w:r w:rsidR="001409AE">
        <w:rPr>
          <w:rFonts w:ascii="Times New Roman" w:eastAsia="Calibri" w:hAnsi="Times New Roman" w:cs="Calibri"/>
          <w:sz w:val="24"/>
        </w:rPr>
        <w:t xml:space="preserve">skat. </w:t>
      </w:r>
      <w:r w:rsidRPr="00A07F29">
        <w:rPr>
          <w:rFonts w:ascii="Times New Roman" w:eastAsia="Calibri" w:hAnsi="Times New Roman" w:cs="Calibri"/>
          <w:sz w:val="24"/>
        </w:rPr>
        <w:t>4.</w:t>
      </w:r>
      <w:r w:rsidR="00AA3CC9" w:rsidRPr="00A07F29">
        <w:rPr>
          <w:rFonts w:ascii="Times New Roman" w:eastAsia="Calibri" w:hAnsi="Times New Roman" w:cs="Calibri"/>
          <w:sz w:val="24"/>
        </w:rPr>
        <w:t>11</w:t>
      </w:r>
      <w:r w:rsidRPr="00A07F29">
        <w:rPr>
          <w:rFonts w:ascii="Times New Roman" w:eastAsia="Calibri" w:hAnsi="Times New Roman" w:cs="Calibri"/>
          <w:sz w:val="24"/>
        </w:rPr>
        <w:t>.5.</w:t>
      </w:r>
      <w:r w:rsidR="001409AE">
        <w:rPr>
          <w:rFonts w:ascii="Times New Roman" w:eastAsia="Calibri" w:hAnsi="Times New Roman" w:cs="Calibri"/>
          <w:sz w:val="24"/>
        </w:rPr>
        <w:t> </w:t>
      </w:r>
      <w:r w:rsidRPr="00A07F29">
        <w:rPr>
          <w:rFonts w:ascii="Times New Roman" w:eastAsia="Calibri" w:hAnsi="Times New Roman" w:cs="Calibri"/>
          <w:sz w:val="24"/>
        </w:rPr>
        <w:t xml:space="preserve">tabulā norādītas kā </w:t>
      </w:r>
      <w:proofErr w:type="spellStart"/>
      <w:r w:rsidRPr="00A07F29">
        <w:rPr>
          <w:rFonts w:ascii="Times New Roman" w:eastAsia="Calibri" w:hAnsi="Times New Roman" w:cs="Calibri"/>
          <w:i/>
          <w:iCs/>
          <w:sz w:val="24"/>
        </w:rPr>
        <w:t>Pipistrellus</w:t>
      </w:r>
      <w:proofErr w:type="spellEnd"/>
      <w:r w:rsidRPr="00A07F29">
        <w:rPr>
          <w:rFonts w:ascii="Times New Roman" w:eastAsia="Calibri" w:hAnsi="Times New Roman" w:cs="Calibri"/>
          <w:i/>
          <w:iCs/>
          <w:sz w:val="24"/>
        </w:rPr>
        <w:t xml:space="preserve"> </w:t>
      </w:r>
      <w:proofErr w:type="spellStart"/>
      <w:r w:rsidRPr="00A07F29">
        <w:rPr>
          <w:rFonts w:ascii="Times New Roman" w:eastAsia="Calibri" w:hAnsi="Times New Roman" w:cs="Calibri"/>
          <w:i/>
          <w:iCs/>
          <w:sz w:val="24"/>
        </w:rPr>
        <w:t>sp</w:t>
      </w:r>
      <w:proofErr w:type="spellEnd"/>
      <w:r w:rsidRPr="00A07F29">
        <w:rPr>
          <w:rFonts w:ascii="Times New Roman" w:eastAsia="Calibri" w:hAnsi="Times New Roman" w:cs="Calibri"/>
          <w:sz w:val="24"/>
        </w:rPr>
        <w:t xml:space="preserve">, jo starp tām varēja būt arī nedaudzi </w:t>
      </w:r>
      <w:proofErr w:type="spellStart"/>
      <w:r w:rsidRPr="00A07F29">
        <w:rPr>
          <w:rFonts w:ascii="Times New Roman" w:eastAsia="Calibri" w:hAnsi="Times New Roman" w:cs="Calibri"/>
          <w:sz w:val="24"/>
        </w:rPr>
        <w:t>pigmejsikspārņi</w:t>
      </w:r>
      <w:proofErr w:type="spellEnd"/>
      <w:r w:rsidRPr="00A07F29">
        <w:rPr>
          <w:rFonts w:ascii="Times New Roman" w:eastAsia="Calibri" w:hAnsi="Times New Roman" w:cs="Calibri"/>
          <w:sz w:val="24"/>
        </w:rPr>
        <w:t>, par kuriem monitoringa veicēji nebija droši).</w:t>
      </w:r>
    </w:p>
    <w:p w14:paraId="01976299" w14:textId="77253277" w:rsidR="00AA3CC9" w:rsidRPr="00A07F29" w:rsidRDefault="009072CE" w:rsidP="002E34E2">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Kaplavas baznīca ir vienīgā zināmā dīķu </w:t>
      </w:r>
      <w:proofErr w:type="spellStart"/>
      <w:r w:rsidRPr="00A07F29">
        <w:rPr>
          <w:rFonts w:ascii="Times New Roman" w:eastAsia="Calibri" w:hAnsi="Times New Roman" w:cs="Calibri"/>
          <w:sz w:val="24"/>
        </w:rPr>
        <w:t>naktssikspārņu</w:t>
      </w:r>
      <w:proofErr w:type="spellEnd"/>
      <w:r w:rsidRPr="00A07F29">
        <w:rPr>
          <w:rFonts w:ascii="Times New Roman" w:eastAsia="Calibri" w:hAnsi="Times New Roman" w:cs="Calibri"/>
          <w:sz w:val="24"/>
        </w:rPr>
        <w:t xml:space="preserve"> kolonijas mītne AAA </w:t>
      </w:r>
      <w:r w:rsidR="00AA3CC9" w:rsidRPr="00A07F29">
        <w:rPr>
          <w:rFonts w:ascii="Times New Roman" w:eastAsia="Calibri" w:hAnsi="Times New Roman" w:cs="Calibri"/>
          <w:sz w:val="24"/>
        </w:rPr>
        <w:t>“</w:t>
      </w:r>
      <w:r w:rsidRPr="00A07F29">
        <w:rPr>
          <w:rFonts w:ascii="Times New Roman" w:eastAsia="Calibri" w:hAnsi="Times New Roman" w:cs="Calibri"/>
          <w:sz w:val="24"/>
        </w:rPr>
        <w:t>Augšdaugava</w:t>
      </w:r>
      <w:r w:rsidR="00AA3CC9" w:rsidRPr="00A07F29">
        <w:rPr>
          <w:rFonts w:ascii="Times New Roman" w:eastAsia="Calibri" w:hAnsi="Times New Roman" w:cs="Calibri"/>
          <w:sz w:val="24"/>
        </w:rPr>
        <w:t>”</w:t>
      </w:r>
      <w:r w:rsidRPr="00A07F29">
        <w:rPr>
          <w:rFonts w:ascii="Times New Roman" w:eastAsia="Calibri" w:hAnsi="Times New Roman" w:cs="Calibri"/>
          <w:sz w:val="24"/>
        </w:rPr>
        <w:t xml:space="preserve">. Arī šīs sugas mātīšu skaits pa gadiem variē </w:t>
      </w:r>
      <w:r w:rsidR="00AA3CC9" w:rsidRPr="00A07F29">
        <w:rPr>
          <w:rFonts w:ascii="Times New Roman" w:eastAsia="Calibri" w:hAnsi="Times New Roman" w:cs="Calibri"/>
          <w:sz w:val="24"/>
        </w:rPr>
        <w:t>–</w:t>
      </w:r>
      <w:r w:rsidRPr="00A07F29">
        <w:rPr>
          <w:rFonts w:ascii="Times New Roman" w:eastAsia="Calibri" w:hAnsi="Times New Roman" w:cs="Calibri"/>
          <w:sz w:val="24"/>
        </w:rPr>
        <w:t xml:space="preserve"> no 20</w:t>
      </w:r>
      <w:r w:rsidR="00C96349">
        <w:rPr>
          <w:rFonts w:ascii="Times New Roman" w:eastAsia="Calibri" w:hAnsi="Times New Roman" w:cs="Calibri"/>
          <w:sz w:val="24"/>
        </w:rPr>
        <w:t> – </w:t>
      </w:r>
      <w:r w:rsidRPr="00A07F29">
        <w:rPr>
          <w:rFonts w:ascii="Times New Roman" w:eastAsia="Calibri" w:hAnsi="Times New Roman" w:cs="Calibri"/>
          <w:sz w:val="24"/>
        </w:rPr>
        <w:t>70 indivīdiem, izņemot 2017</w:t>
      </w:r>
      <w:r w:rsidR="00AA3CC9" w:rsidRPr="00A07F29">
        <w:rPr>
          <w:rFonts w:ascii="Times New Roman" w:eastAsia="Calibri" w:hAnsi="Times New Roman" w:cs="Calibri"/>
          <w:sz w:val="24"/>
        </w:rPr>
        <w:t>. </w:t>
      </w:r>
      <w:r w:rsidRPr="00A07F29">
        <w:rPr>
          <w:rFonts w:ascii="Times New Roman" w:eastAsia="Calibri" w:hAnsi="Times New Roman" w:cs="Calibri"/>
          <w:sz w:val="24"/>
        </w:rPr>
        <w:t>gadu, kad tika saskaitītas 158 mātītes.</w:t>
      </w:r>
    </w:p>
    <w:p w14:paraId="433C106A" w14:textId="7620B498" w:rsidR="009072CE" w:rsidRPr="00A07F29" w:rsidRDefault="00AA3CC9" w:rsidP="002E34E2">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Baznīcas </w:t>
      </w:r>
      <w:r w:rsidR="009072CE" w:rsidRPr="00A07F29">
        <w:rPr>
          <w:rFonts w:ascii="Times New Roman" w:eastAsia="Calibri" w:hAnsi="Times New Roman" w:cs="Calibri"/>
          <w:sz w:val="24"/>
        </w:rPr>
        <w:t xml:space="preserve">bēniņus parasti apdzīvo arī </w:t>
      </w:r>
      <w:proofErr w:type="spellStart"/>
      <w:r w:rsidR="009072CE" w:rsidRPr="00A07F29">
        <w:rPr>
          <w:rFonts w:ascii="Times New Roman" w:eastAsia="Calibri" w:hAnsi="Times New Roman" w:cs="Calibri"/>
          <w:sz w:val="24"/>
        </w:rPr>
        <w:t>pigmejsikspārņi</w:t>
      </w:r>
      <w:proofErr w:type="spellEnd"/>
      <w:r w:rsidR="009072CE" w:rsidRPr="00A07F29">
        <w:rPr>
          <w:rFonts w:ascii="Times New Roman" w:eastAsia="Calibri" w:hAnsi="Times New Roman" w:cs="Calibri"/>
          <w:sz w:val="24"/>
        </w:rPr>
        <w:t xml:space="preserve">, kas gan skaita ziņā ievērojami atpaliek no </w:t>
      </w:r>
      <w:proofErr w:type="spellStart"/>
      <w:r w:rsidR="009072CE" w:rsidRPr="00A07F29">
        <w:rPr>
          <w:rFonts w:ascii="Times New Roman" w:eastAsia="Calibri" w:hAnsi="Times New Roman" w:cs="Calibri"/>
          <w:sz w:val="24"/>
        </w:rPr>
        <w:t>Natūza</w:t>
      </w:r>
      <w:proofErr w:type="spellEnd"/>
      <w:r w:rsidR="009072CE" w:rsidRPr="00A07F29">
        <w:rPr>
          <w:rFonts w:ascii="Times New Roman" w:eastAsia="Calibri" w:hAnsi="Times New Roman" w:cs="Calibri"/>
          <w:sz w:val="24"/>
        </w:rPr>
        <w:t xml:space="preserve"> sikspārņiem. Jāatzīmē, ka vakara uzskaites šajā baznīcā ir sarežģītas, jo sikspārņi izlido no daudzām skrejām un lielā skaitā vienlaicīgi. Bieži vien uzskaites veicēji norāda, ka skaits vērtējams kā aptuvens.</w:t>
      </w:r>
    </w:p>
    <w:p w14:paraId="4BA17609" w14:textId="5D4C0379" w:rsidR="009072CE" w:rsidRPr="00A07F29" w:rsidRDefault="009072CE" w:rsidP="00AA3CC9">
      <w:pPr>
        <w:keepNext/>
        <w:spacing w:before="240" w:after="120" w:line="240" w:lineRule="auto"/>
        <w:jc w:val="center"/>
        <w:rPr>
          <w:rFonts w:ascii="Times New Roman" w:eastAsia="Calibri" w:hAnsi="Times New Roman" w:cs="Calibri"/>
          <w:sz w:val="24"/>
        </w:rPr>
      </w:pPr>
      <w:r w:rsidRPr="00A07F29">
        <w:rPr>
          <w:rFonts w:ascii="Times New Roman" w:eastAsia="Calibri" w:hAnsi="Times New Roman" w:cs="Calibri"/>
          <w:sz w:val="24"/>
        </w:rPr>
        <w:lastRenderedPageBreak/>
        <w:t>4.</w:t>
      </w:r>
      <w:r w:rsidR="00AA3CC9" w:rsidRPr="00A07F29">
        <w:rPr>
          <w:rFonts w:ascii="Times New Roman" w:eastAsia="Calibri" w:hAnsi="Times New Roman" w:cs="Calibri"/>
          <w:sz w:val="24"/>
        </w:rPr>
        <w:t>11</w:t>
      </w:r>
      <w:r w:rsidRPr="00A07F29">
        <w:rPr>
          <w:rFonts w:ascii="Times New Roman" w:eastAsia="Calibri" w:hAnsi="Times New Roman" w:cs="Calibri"/>
          <w:sz w:val="24"/>
        </w:rPr>
        <w:t>.5.</w:t>
      </w:r>
      <w:r w:rsidR="00A7559B">
        <w:rPr>
          <w:rFonts w:ascii="Times New Roman" w:eastAsia="Calibri" w:hAnsi="Times New Roman" w:cs="Calibri"/>
          <w:sz w:val="24"/>
        </w:rPr>
        <w:t> </w:t>
      </w:r>
      <w:r w:rsidRPr="00A07F29">
        <w:rPr>
          <w:rFonts w:ascii="Times New Roman" w:eastAsia="Calibri" w:hAnsi="Times New Roman" w:cs="Calibri"/>
          <w:sz w:val="24"/>
        </w:rPr>
        <w:t>tabula. Sikspārņu uzskaišu rezultāti Kaplavas pareizticīgo baznīcā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6"/>
        <w:gridCol w:w="1589"/>
        <w:gridCol w:w="1257"/>
        <w:gridCol w:w="1383"/>
        <w:gridCol w:w="1657"/>
        <w:gridCol w:w="1103"/>
      </w:tblGrid>
      <w:tr w:rsidR="009072CE" w:rsidRPr="00A07F29" w14:paraId="672A72D1" w14:textId="77777777" w:rsidTr="00AA3CC9">
        <w:trPr>
          <w:jc w:val="center"/>
        </w:trPr>
        <w:tc>
          <w:tcPr>
            <w:tcW w:w="0" w:type="auto"/>
            <w:shd w:val="clear" w:color="auto" w:fill="D6E3BC" w:themeFill="accent3" w:themeFillTint="66"/>
            <w:vAlign w:val="bottom"/>
          </w:tcPr>
          <w:p w14:paraId="0C3A2019" w14:textId="77777777" w:rsidR="009072CE" w:rsidRPr="00A07F29" w:rsidRDefault="009072CE" w:rsidP="00AA3CC9">
            <w:pPr>
              <w:keepNext/>
              <w:spacing w:before="60" w:after="60" w:line="240" w:lineRule="auto"/>
              <w:jc w:val="both"/>
              <w:rPr>
                <w:rFonts w:ascii="Times New Roman" w:eastAsia="Calibri" w:hAnsi="Times New Roman" w:cs="Calibri"/>
                <w:sz w:val="24"/>
                <w:szCs w:val="24"/>
              </w:rPr>
            </w:pPr>
            <w:r w:rsidRPr="00A07F29">
              <w:rPr>
                <w:rFonts w:ascii="Times New Roman" w:eastAsia="Calibri" w:hAnsi="Times New Roman" w:cs="Calibri"/>
                <w:sz w:val="24"/>
                <w:szCs w:val="24"/>
              </w:rPr>
              <w:t>Datums</w:t>
            </w:r>
          </w:p>
        </w:tc>
        <w:tc>
          <w:tcPr>
            <w:tcW w:w="0" w:type="auto"/>
            <w:shd w:val="clear" w:color="auto" w:fill="D6E3BC" w:themeFill="accent3" w:themeFillTint="66"/>
            <w:vAlign w:val="bottom"/>
          </w:tcPr>
          <w:p w14:paraId="2CEE16FB" w14:textId="77777777" w:rsidR="009072CE" w:rsidRPr="00A07F29" w:rsidRDefault="009072CE" w:rsidP="00AA3CC9">
            <w:pPr>
              <w:keepNext/>
              <w:spacing w:before="60" w:after="60" w:line="240" w:lineRule="auto"/>
              <w:jc w:val="both"/>
              <w:rPr>
                <w:rFonts w:ascii="Times New Roman" w:eastAsia="Calibri" w:hAnsi="Times New Roman" w:cs="Calibri"/>
                <w:i/>
                <w:iCs/>
                <w:sz w:val="24"/>
              </w:rPr>
            </w:pPr>
            <w:r w:rsidRPr="00A07F29">
              <w:rPr>
                <w:rFonts w:ascii="Times New Roman" w:eastAsia="Calibri" w:hAnsi="Times New Roman" w:cs="Calibri"/>
                <w:i/>
                <w:iCs/>
                <w:sz w:val="24"/>
              </w:rPr>
              <w:t xml:space="preserve">M. </w:t>
            </w:r>
            <w:proofErr w:type="spellStart"/>
            <w:r w:rsidRPr="00A07F29">
              <w:rPr>
                <w:rFonts w:ascii="Times New Roman" w:eastAsia="Calibri" w:hAnsi="Times New Roman" w:cs="Calibri"/>
                <w:i/>
                <w:iCs/>
                <w:sz w:val="24"/>
              </w:rPr>
              <w:t>dasycneme</w:t>
            </w:r>
            <w:proofErr w:type="spellEnd"/>
          </w:p>
        </w:tc>
        <w:tc>
          <w:tcPr>
            <w:tcW w:w="0" w:type="auto"/>
            <w:shd w:val="clear" w:color="auto" w:fill="D6E3BC" w:themeFill="accent3" w:themeFillTint="66"/>
            <w:vAlign w:val="bottom"/>
          </w:tcPr>
          <w:p w14:paraId="44F461FE" w14:textId="77777777" w:rsidR="009072CE" w:rsidRPr="00A07F29" w:rsidRDefault="009072CE" w:rsidP="00AA3CC9">
            <w:pPr>
              <w:keepNext/>
              <w:spacing w:before="60" w:after="60" w:line="240" w:lineRule="auto"/>
              <w:jc w:val="both"/>
              <w:rPr>
                <w:rFonts w:ascii="Times New Roman" w:eastAsia="Calibri" w:hAnsi="Times New Roman" w:cs="Calibri"/>
                <w:i/>
                <w:iCs/>
                <w:sz w:val="24"/>
              </w:rPr>
            </w:pPr>
            <w:r w:rsidRPr="00A07F29">
              <w:rPr>
                <w:rFonts w:ascii="Times New Roman" w:eastAsia="Calibri" w:hAnsi="Times New Roman" w:cs="Calibri"/>
                <w:i/>
                <w:iCs/>
                <w:sz w:val="24"/>
              </w:rPr>
              <w:t xml:space="preserve">P. </w:t>
            </w:r>
            <w:proofErr w:type="spellStart"/>
            <w:r w:rsidRPr="00A07F29">
              <w:rPr>
                <w:rFonts w:ascii="Times New Roman" w:eastAsia="Calibri" w:hAnsi="Times New Roman" w:cs="Calibri"/>
                <w:i/>
                <w:iCs/>
                <w:sz w:val="24"/>
              </w:rPr>
              <w:t>nathusii</w:t>
            </w:r>
            <w:proofErr w:type="spellEnd"/>
          </w:p>
        </w:tc>
        <w:tc>
          <w:tcPr>
            <w:tcW w:w="0" w:type="auto"/>
            <w:shd w:val="clear" w:color="auto" w:fill="D6E3BC" w:themeFill="accent3" w:themeFillTint="66"/>
            <w:vAlign w:val="bottom"/>
          </w:tcPr>
          <w:p w14:paraId="6E6019B3" w14:textId="77777777" w:rsidR="009072CE" w:rsidRPr="00A07F29" w:rsidRDefault="009072CE" w:rsidP="00AA3CC9">
            <w:pPr>
              <w:keepNext/>
              <w:spacing w:before="60" w:after="60" w:line="240" w:lineRule="auto"/>
              <w:jc w:val="both"/>
              <w:rPr>
                <w:rFonts w:ascii="Times New Roman" w:eastAsia="Calibri" w:hAnsi="Times New Roman" w:cs="Calibri"/>
                <w:i/>
                <w:iCs/>
                <w:sz w:val="24"/>
              </w:rPr>
            </w:pPr>
            <w:proofErr w:type="spellStart"/>
            <w:r w:rsidRPr="00A07F29">
              <w:rPr>
                <w:rFonts w:ascii="Times New Roman" w:eastAsia="Calibri" w:hAnsi="Times New Roman" w:cs="Calibri"/>
                <w:i/>
                <w:iCs/>
                <w:sz w:val="24"/>
              </w:rPr>
              <w:t>P.pygmaeus</w:t>
            </w:r>
            <w:proofErr w:type="spellEnd"/>
          </w:p>
        </w:tc>
        <w:tc>
          <w:tcPr>
            <w:tcW w:w="0" w:type="auto"/>
            <w:shd w:val="clear" w:color="auto" w:fill="D6E3BC" w:themeFill="accent3" w:themeFillTint="66"/>
            <w:vAlign w:val="bottom"/>
          </w:tcPr>
          <w:p w14:paraId="77C6CC5A" w14:textId="77777777" w:rsidR="009072CE" w:rsidRPr="00A07F29" w:rsidRDefault="009072CE" w:rsidP="00AA3CC9">
            <w:pPr>
              <w:keepNext/>
              <w:spacing w:before="60" w:after="60" w:line="240" w:lineRule="auto"/>
              <w:jc w:val="both"/>
              <w:rPr>
                <w:rFonts w:ascii="Times New Roman" w:eastAsia="Calibri" w:hAnsi="Times New Roman" w:cs="Calibri"/>
                <w:i/>
                <w:iCs/>
                <w:sz w:val="24"/>
              </w:rPr>
            </w:pPr>
            <w:proofErr w:type="spellStart"/>
            <w:r w:rsidRPr="00A07F29">
              <w:rPr>
                <w:rFonts w:ascii="Times New Roman" w:eastAsia="Calibri" w:hAnsi="Times New Roman" w:cs="Calibri"/>
                <w:i/>
                <w:iCs/>
                <w:sz w:val="24"/>
              </w:rPr>
              <w:t>Pipistrellus</w:t>
            </w:r>
            <w:proofErr w:type="spellEnd"/>
            <w:r w:rsidRPr="00A07F29">
              <w:rPr>
                <w:rFonts w:ascii="Times New Roman" w:eastAsia="Calibri" w:hAnsi="Times New Roman" w:cs="Calibri"/>
                <w:i/>
                <w:iCs/>
                <w:sz w:val="24"/>
              </w:rPr>
              <w:t xml:space="preserve"> </w:t>
            </w:r>
            <w:proofErr w:type="spellStart"/>
            <w:r w:rsidRPr="00A07F29">
              <w:rPr>
                <w:rFonts w:ascii="Times New Roman" w:eastAsia="Calibri" w:hAnsi="Times New Roman" w:cs="Calibri"/>
                <w:i/>
                <w:iCs/>
                <w:sz w:val="24"/>
              </w:rPr>
              <w:t>sp</w:t>
            </w:r>
            <w:proofErr w:type="spellEnd"/>
            <w:r w:rsidRPr="00A07F29">
              <w:rPr>
                <w:rFonts w:ascii="Times New Roman" w:eastAsia="Calibri" w:hAnsi="Times New Roman" w:cs="Calibri"/>
                <w:i/>
                <w:iCs/>
                <w:sz w:val="24"/>
              </w:rPr>
              <w:t>.</w:t>
            </w:r>
          </w:p>
        </w:tc>
        <w:tc>
          <w:tcPr>
            <w:tcW w:w="0" w:type="auto"/>
            <w:shd w:val="clear" w:color="auto" w:fill="D6E3BC" w:themeFill="accent3" w:themeFillTint="66"/>
            <w:vAlign w:val="bottom"/>
          </w:tcPr>
          <w:p w14:paraId="209AA14B" w14:textId="77777777" w:rsidR="009072CE" w:rsidRPr="00A07F29" w:rsidRDefault="009072CE" w:rsidP="00AA3CC9">
            <w:pPr>
              <w:keepNext/>
              <w:spacing w:before="60" w:after="60" w:line="240" w:lineRule="auto"/>
              <w:jc w:val="both"/>
              <w:rPr>
                <w:rFonts w:ascii="Times New Roman" w:eastAsia="Calibri" w:hAnsi="Times New Roman" w:cs="Calibri"/>
                <w:i/>
                <w:iCs/>
                <w:sz w:val="24"/>
              </w:rPr>
            </w:pPr>
            <w:proofErr w:type="spellStart"/>
            <w:r w:rsidRPr="00A07F29">
              <w:rPr>
                <w:rFonts w:ascii="Times New Roman" w:eastAsia="Calibri" w:hAnsi="Times New Roman" w:cs="Calibri"/>
                <w:i/>
                <w:iCs/>
                <w:sz w:val="24"/>
              </w:rPr>
              <w:t>P.auritus</w:t>
            </w:r>
            <w:proofErr w:type="spellEnd"/>
          </w:p>
        </w:tc>
      </w:tr>
      <w:tr w:rsidR="009072CE" w:rsidRPr="00A07F29" w14:paraId="44379D3E" w14:textId="77777777" w:rsidTr="00AA3CC9">
        <w:trPr>
          <w:jc w:val="center"/>
        </w:trPr>
        <w:tc>
          <w:tcPr>
            <w:tcW w:w="0" w:type="auto"/>
            <w:shd w:val="clear" w:color="auto" w:fill="auto"/>
            <w:vAlign w:val="bottom"/>
          </w:tcPr>
          <w:p w14:paraId="62839B15" w14:textId="77777777" w:rsidR="009072CE" w:rsidRPr="00A07F29" w:rsidRDefault="009072CE" w:rsidP="00AA3CC9">
            <w:pPr>
              <w:spacing w:before="60" w:after="60" w:line="240" w:lineRule="auto"/>
              <w:jc w:val="both"/>
              <w:rPr>
                <w:rFonts w:ascii="Times New Roman" w:eastAsia="Calibri" w:hAnsi="Times New Roman" w:cs="Calibri"/>
                <w:sz w:val="24"/>
              </w:rPr>
            </w:pPr>
            <w:r w:rsidRPr="00A07F29">
              <w:rPr>
                <w:rFonts w:ascii="Times New Roman" w:eastAsia="Calibri" w:hAnsi="Times New Roman" w:cs="Calibri"/>
                <w:sz w:val="24"/>
              </w:rPr>
              <w:t>10.06.1998</w:t>
            </w:r>
          </w:p>
        </w:tc>
        <w:tc>
          <w:tcPr>
            <w:tcW w:w="0" w:type="auto"/>
            <w:shd w:val="clear" w:color="auto" w:fill="auto"/>
            <w:vAlign w:val="bottom"/>
          </w:tcPr>
          <w:p w14:paraId="6DE168B1" w14:textId="77777777" w:rsidR="009072CE" w:rsidRPr="00A07F29" w:rsidRDefault="009072CE" w:rsidP="00AA3CC9">
            <w:pPr>
              <w:spacing w:before="60" w:after="60" w:line="240" w:lineRule="auto"/>
              <w:jc w:val="both"/>
              <w:rPr>
                <w:rFonts w:ascii="Times New Roman" w:eastAsia="Calibri" w:hAnsi="Times New Roman" w:cs="Calibri"/>
                <w:sz w:val="24"/>
              </w:rPr>
            </w:pPr>
          </w:p>
        </w:tc>
        <w:tc>
          <w:tcPr>
            <w:tcW w:w="0" w:type="auto"/>
            <w:shd w:val="clear" w:color="auto" w:fill="auto"/>
            <w:vAlign w:val="bottom"/>
          </w:tcPr>
          <w:p w14:paraId="7B7A3600" w14:textId="77777777" w:rsidR="009072CE" w:rsidRPr="00A07F29" w:rsidRDefault="009072CE" w:rsidP="00AA3CC9">
            <w:pPr>
              <w:spacing w:before="60" w:after="60" w:line="240" w:lineRule="auto"/>
              <w:jc w:val="both"/>
              <w:rPr>
                <w:rFonts w:ascii="Times New Roman" w:eastAsia="Calibri" w:hAnsi="Times New Roman" w:cs="Calibri"/>
                <w:sz w:val="24"/>
              </w:rPr>
            </w:pPr>
            <w:r w:rsidRPr="00A07F29">
              <w:rPr>
                <w:rFonts w:ascii="Times New Roman" w:eastAsia="Calibri" w:hAnsi="Times New Roman" w:cs="Calibri"/>
                <w:sz w:val="24"/>
              </w:rPr>
              <w:t>60</w:t>
            </w:r>
          </w:p>
        </w:tc>
        <w:tc>
          <w:tcPr>
            <w:tcW w:w="0" w:type="auto"/>
            <w:shd w:val="clear" w:color="auto" w:fill="auto"/>
            <w:vAlign w:val="bottom"/>
          </w:tcPr>
          <w:p w14:paraId="1A7686D4" w14:textId="77777777" w:rsidR="009072CE" w:rsidRPr="00A07F29" w:rsidRDefault="009072CE" w:rsidP="00AA3CC9">
            <w:pPr>
              <w:spacing w:before="60" w:after="60" w:line="240" w:lineRule="auto"/>
              <w:jc w:val="both"/>
              <w:rPr>
                <w:rFonts w:ascii="Times New Roman" w:eastAsia="Calibri" w:hAnsi="Times New Roman" w:cs="Calibri"/>
                <w:sz w:val="24"/>
              </w:rPr>
            </w:pPr>
          </w:p>
        </w:tc>
        <w:tc>
          <w:tcPr>
            <w:tcW w:w="0" w:type="auto"/>
            <w:shd w:val="clear" w:color="auto" w:fill="auto"/>
            <w:vAlign w:val="bottom"/>
          </w:tcPr>
          <w:p w14:paraId="501F2AFD" w14:textId="77777777" w:rsidR="009072CE" w:rsidRPr="00A07F29" w:rsidRDefault="009072CE" w:rsidP="00AA3CC9">
            <w:pPr>
              <w:spacing w:before="60" w:after="60" w:line="240" w:lineRule="auto"/>
              <w:jc w:val="both"/>
              <w:rPr>
                <w:rFonts w:ascii="Times New Roman" w:eastAsia="Calibri" w:hAnsi="Times New Roman" w:cs="Calibri"/>
                <w:sz w:val="24"/>
              </w:rPr>
            </w:pPr>
          </w:p>
        </w:tc>
        <w:tc>
          <w:tcPr>
            <w:tcW w:w="0" w:type="auto"/>
            <w:shd w:val="clear" w:color="auto" w:fill="auto"/>
            <w:vAlign w:val="bottom"/>
          </w:tcPr>
          <w:p w14:paraId="56C0F9AF" w14:textId="77777777" w:rsidR="009072CE" w:rsidRPr="00A07F29" w:rsidRDefault="009072CE" w:rsidP="00AA3CC9">
            <w:pPr>
              <w:spacing w:before="60" w:after="60" w:line="240" w:lineRule="auto"/>
              <w:jc w:val="both"/>
              <w:rPr>
                <w:rFonts w:ascii="Times New Roman" w:eastAsia="Calibri" w:hAnsi="Times New Roman" w:cs="Calibri"/>
                <w:sz w:val="24"/>
              </w:rPr>
            </w:pPr>
          </w:p>
        </w:tc>
      </w:tr>
      <w:tr w:rsidR="009072CE" w:rsidRPr="00A07F29" w14:paraId="4E357D21" w14:textId="77777777" w:rsidTr="00AA3CC9">
        <w:trPr>
          <w:jc w:val="center"/>
        </w:trPr>
        <w:tc>
          <w:tcPr>
            <w:tcW w:w="0" w:type="auto"/>
            <w:shd w:val="clear" w:color="auto" w:fill="auto"/>
            <w:vAlign w:val="bottom"/>
          </w:tcPr>
          <w:p w14:paraId="2498383B" w14:textId="77777777" w:rsidR="009072CE" w:rsidRPr="00A07F29" w:rsidRDefault="009072CE" w:rsidP="00AA3CC9">
            <w:pPr>
              <w:spacing w:before="60" w:after="60" w:line="240" w:lineRule="auto"/>
              <w:jc w:val="both"/>
              <w:rPr>
                <w:rFonts w:ascii="Times New Roman" w:eastAsia="Calibri" w:hAnsi="Times New Roman" w:cs="Calibri"/>
                <w:sz w:val="24"/>
              </w:rPr>
            </w:pPr>
            <w:r w:rsidRPr="00A07F29">
              <w:rPr>
                <w:rFonts w:ascii="Times New Roman" w:eastAsia="Calibri" w:hAnsi="Times New Roman" w:cs="Calibri"/>
                <w:sz w:val="24"/>
              </w:rPr>
              <w:t>03.07.2003</w:t>
            </w:r>
          </w:p>
        </w:tc>
        <w:tc>
          <w:tcPr>
            <w:tcW w:w="0" w:type="auto"/>
            <w:shd w:val="clear" w:color="auto" w:fill="auto"/>
            <w:vAlign w:val="bottom"/>
          </w:tcPr>
          <w:p w14:paraId="7EB1E7B4" w14:textId="77777777" w:rsidR="009072CE" w:rsidRPr="00A07F29" w:rsidRDefault="009072CE" w:rsidP="00AA3CC9">
            <w:pPr>
              <w:spacing w:before="60" w:after="60" w:line="240" w:lineRule="auto"/>
              <w:jc w:val="both"/>
              <w:rPr>
                <w:rFonts w:ascii="Times New Roman" w:eastAsia="Calibri" w:hAnsi="Times New Roman" w:cs="Calibri"/>
                <w:sz w:val="24"/>
              </w:rPr>
            </w:pPr>
          </w:p>
        </w:tc>
        <w:tc>
          <w:tcPr>
            <w:tcW w:w="0" w:type="auto"/>
            <w:shd w:val="clear" w:color="auto" w:fill="auto"/>
            <w:vAlign w:val="bottom"/>
          </w:tcPr>
          <w:p w14:paraId="0A12CE0B" w14:textId="77777777" w:rsidR="009072CE" w:rsidRPr="00A07F29" w:rsidRDefault="009072CE" w:rsidP="00AA3CC9">
            <w:pPr>
              <w:spacing w:before="60" w:after="60" w:line="240" w:lineRule="auto"/>
              <w:jc w:val="both"/>
              <w:rPr>
                <w:rFonts w:ascii="Times New Roman" w:eastAsia="Calibri" w:hAnsi="Times New Roman" w:cs="Calibri"/>
                <w:sz w:val="24"/>
              </w:rPr>
            </w:pPr>
            <w:r w:rsidRPr="00A07F29">
              <w:rPr>
                <w:rFonts w:ascii="Times New Roman" w:eastAsia="Calibri" w:hAnsi="Times New Roman" w:cs="Calibri"/>
                <w:sz w:val="24"/>
              </w:rPr>
              <w:t>100</w:t>
            </w:r>
          </w:p>
        </w:tc>
        <w:tc>
          <w:tcPr>
            <w:tcW w:w="0" w:type="auto"/>
            <w:shd w:val="clear" w:color="auto" w:fill="auto"/>
            <w:vAlign w:val="bottom"/>
          </w:tcPr>
          <w:p w14:paraId="0E7733F9" w14:textId="77777777" w:rsidR="009072CE" w:rsidRPr="00A07F29" w:rsidRDefault="009072CE" w:rsidP="00AA3CC9">
            <w:pPr>
              <w:spacing w:before="60" w:after="60" w:line="240" w:lineRule="auto"/>
              <w:jc w:val="both"/>
              <w:rPr>
                <w:rFonts w:ascii="Times New Roman" w:eastAsia="Calibri" w:hAnsi="Times New Roman" w:cs="Calibri"/>
                <w:sz w:val="24"/>
              </w:rPr>
            </w:pPr>
          </w:p>
        </w:tc>
        <w:tc>
          <w:tcPr>
            <w:tcW w:w="0" w:type="auto"/>
            <w:shd w:val="clear" w:color="auto" w:fill="auto"/>
            <w:vAlign w:val="bottom"/>
          </w:tcPr>
          <w:p w14:paraId="0E117EDF" w14:textId="77777777" w:rsidR="009072CE" w:rsidRPr="00A07F29" w:rsidRDefault="009072CE" w:rsidP="00AA3CC9">
            <w:pPr>
              <w:spacing w:before="60" w:after="60" w:line="240" w:lineRule="auto"/>
              <w:jc w:val="both"/>
              <w:rPr>
                <w:rFonts w:ascii="Times New Roman" w:eastAsia="Calibri" w:hAnsi="Times New Roman" w:cs="Calibri"/>
                <w:sz w:val="24"/>
              </w:rPr>
            </w:pPr>
          </w:p>
        </w:tc>
        <w:tc>
          <w:tcPr>
            <w:tcW w:w="0" w:type="auto"/>
            <w:shd w:val="clear" w:color="auto" w:fill="auto"/>
            <w:vAlign w:val="bottom"/>
          </w:tcPr>
          <w:p w14:paraId="503CF951" w14:textId="77777777" w:rsidR="009072CE" w:rsidRPr="00A07F29" w:rsidRDefault="009072CE" w:rsidP="00AA3CC9">
            <w:pPr>
              <w:spacing w:before="60" w:after="60" w:line="240" w:lineRule="auto"/>
              <w:jc w:val="both"/>
              <w:rPr>
                <w:rFonts w:ascii="Times New Roman" w:eastAsia="Calibri" w:hAnsi="Times New Roman" w:cs="Calibri"/>
                <w:sz w:val="24"/>
              </w:rPr>
            </w:pPr>
          </w:p>
        </w:tc>
      </w:tr>
      <w:tr w:rsidR="009072CE" w:rsidRPr="00A07F29" w14:paraId="59B82992" w14:textId="77777777" w:rsidTr="00AA3CC9">
        <w:trPr>
          <w:jc w:val="center"/>
        </w:trPr>
        <w:tc>
          <w:tcPr>
            <w:tcW w:w="0" w:type="auto"/>
            <w:shd w:val="clear" w:color="auto" w:fill="auto"/>
            <w:vAlign w:val="bottom"/>
          </w:tcPr>
          <w:p w14:paraId="750E399F" w14:textId="77777777" w:rsidR="009072CE" w:rsidRPr="00A07F29" w:rsidRDefault="009072CE" w:rsidP="00AA3CC9">
            <w:pPr>
              <w:spacing w:before="60" w:after="60" w:line="240" w:lineRule="auto"/>
              <w:jc w:val="both"/>
              <w:rPr>
                <w:rFonts w:ascii="Times New Roman" w:eastAsia="Calibri" w:hAnsi="Times New Roman" w:cs="Calibri"/>
                <w:sz w:val="24"/>
              </w:rPr>
            </w:pPr>
            <w:r w:rsidRPr="00A07F29">
              <w:rPr>
                <w:rFonts w:ascii="Times New Roman" w:eastAsia="Calibri" w:hAnsi="Times New Roman" w:cs="Calibri"/>
                <w:sz w:val="24"/>
              </w:rPr>
              <w:t>09.06.2007</w:t>
            </w:r>
          </w:p>
        </w:tc>
        <w:tc>
          <w:tcPr>
            <w:tcW w:w="0" w:type="auto"/>
            <w:shd w:val="clear" w:color="auto" w:fill="auto"/>
            <w:vAlign w:val="bottom"/>
          </w:tcPr>
          <w:p w14:paraId="3DC57269" w14:textId="77777777" w:rsidR="009072CE" w:rsidRPr="00A07F29" w:rsidRDefault="009072CE" w:rsidP="00AA3CC9">
            <w:pPr>
              <w:spacing w:before="60" w:after="60" w:line="240" w:lineRule="auto"/>
              <w:jc w:val="both"/>
              <w:rPr>
                <w:rFonts w:ascii="Times New Roman" w:eastAsia="Calibri" w:hAnsi="Times New Roman" w:cs="Calibri"/>
                <w:sz w:val="24"/>
              </w:rPr>
            </w:pPr>
            <w:r w:rsidRPr="00A07F29">
              <w:rPr>
                <w:rFonts w:ascii="Times New Roman" w:eastAsia="Calibri" w:hAnsi="Times New Roman" w:cs="Calibri"/>
                <w:sz w:val="24"/>
              </w:rPr>
              <w:t>26</w:t>
            </w:r>
          </w:p>
        </w:tc>
        <w:tc>
          <w:tcPr>
            <w:tcW w:w="0" w:type="auto"/>
            <w:shd w:val="clear" w:color="auto" w:fill="auto"/>
            <w:vAlign w:val="bottom"/>
          </w:tcPr>
          <w:p w14:paraId="5AC3047A" w14:textId="77777777" w:rsidR="009072CE" w:rsidRPr="00A07F29" w:rsidRDefault="009072CE" w:rsidP="00AA3CC9">
            <w:pPr>
              <w:spacing w:before="60" w:after="60" w:line="240" w:lineRule="auto"/>
              <w:jc w:val="both"/>
              <w:rPr>
                <w:rFonts w:ascii="Times New Roman" w:eastAsia="Calibri" w:hAnsi="Times New Roman" w:cs="Calibri"/>
                <w:sz w:val="24"/>
              </w:rPr>
            </w:pPr>
            <w:r w:rsidRPr="00A07F29">
              <w:rPr>
                <w:rFonts w:ascii="Times New Roman" w:eastAsia="Calibri" w:hAnsi="Times New Roman" w:cs="Calibri"/>
                <w:sz w:val="24"/>
              </w:rPr>
              <w:t>168</w:t>
            </w:r>
          </w:p>
        </w:tc>
        <w:tc>
          <w:tcPr>
            <w:tcW w:w="0" w:type="auto"/>
            <w:shd w:val="clear" w:color="auto" w:fill="auto"/>
            <w:vAlign w:val="bottom"/>
          </w:tcPr>
          <w:p w14:paraId="068FB077" w14:textId="77777777" w:rsidR="009072CE" w:rsidRPr="00A07F29" w:rsidRDefault="009072CE" w:rsidP="00AA3CC9">
            <w:pPr>
              <w:spacing w:before="60" w:after="60" w:line="240" w:lineRule="auto"/>
              <w:jc w:val="both"/>
              <w:rPr>
                <w:rFonts w:ascii="Times New Roman" w:eastAsia="Calibri" w:hAnsi="Times New Roman" w:cs="Calibri"/>
                <w:sz w:val="24"/>
              </w:rPr>
            </w:pPr>
          </w:p>
        </w:tc>
        <w:tc>
          <w:tcPr>
            <w:tcW w:w="0" w:type="auto"/>
            <w:shd w:val="clear" w:color="auto" w:fill="auto"/>
            <w:vAlign w:val="bottom"/>
          </w:tcPr>
          <w:p w14:paraId="5171672C" w14:textId="77777777" w:rsidR="009072CE" w:rsidRPr="00A07F29" w:rsidRDefault="009072CE" w:rsidP="00AA3CC9">
            <w:pPr>
              <w:spacing w:before="60" w:after="60" w:line="240" w:lineRule="auto"/>
              <w:jc w:val="both"/>
              <w:rPr>
                <w:rFonts w:ascii="Times New Roman" w:eastAsia="Calibri" w:hAnsi="Times New Roman" w:cs="Calibri"/>
                <w:sz w:val="24"/>
              </w:rPr>
            </w:pPr>
            <w:r w:rsidRPr="00A07F29">
              <w:rPr>
                <w:rFonts w:ascii="Times New Roman" w:eastAsia="Calibri" w:hAnsi="Times New Roman" w:cs="Calibri"/>
                <w:sz w:val="24"/>
              </w:rPr>
              <w:t>2</w:t>
            </w:r>
          </w:p>
        </w:tc>
        <w:tc>
          <w:tcPr>
            <w:tcW w:w="0" w:type="auto"/>
            <w:shd w:val="clear" w:color="auto" w:fill="auto"/>
            <w:vAlign w:val="bottom"/>
          </w:tcPr>
          <w:p w14:paraId="068FE7B1" w14:textId="77777777" w:rsidR="009072CE" w:rsidRPr="00A07F29" w:rsidRDefault="009072CE" w:rsidP="00AA3CC9">
            <w:pPr>
              <w:spacing w:before="60" w:after="60" w:line="240" w:lineRule="auto"/>
              <w:jc w:val="both"/>
              <w:rPr>
                <w:rFonts w:ascii="Times New Roman" w:eastAsia="Calibri" w:hAnsi="Times New Roman" w:cs="Calibri"/>
                <w:sz w:val="24"/>
              </w:rPr>
            </w:pPr>
          </w:p>
        </w:tc>
      </w:tr>
      <w:tr w:rsidR="009072CE" w:rsidRPr="00A07F29" w14:paraId="0FCFD5D0" w14:textId="77777777" w:rsidTr="00AA3CC9">
        <w:trPr>
          <w:jc w:val="center"/>
        </w:trPr>
        <w:tc>
          <w:tcPr>
            <w:tcW w:w="0" w:type="auto"/>
            <w:shd w:val="clear" w:color="auto" w:fill="auto"/>
            <w:vAlign w:val="bottom"/>
          </w:tcPr>
          <w:p w14:paraId="091FAFB1" w14:textId="77777777" w:rsidR="009072CE" w:rsidRPr="00A07F29" w:rsidRDefault="009072CE" w:rsidP="00AA3CC9">
            <w:pPr>
              <w:spacing w:before="60" w:after="60" w:line="240" w:lineRule="auto"/>
              <w:jc w:val="both"/>
              <w:rPr>
                <w:rFonts w:ascii="Times New Roman" w:eastAsia="Calibri" w:hAnsi="Times New Roman" w:cs="Calibri"/>
                <w:sz w:val="24"/>
              </w:rPr>
            </w:pPr>
            <w:r w:rsidRPr="00A07F29">
              <w:rPr>
                <w:rFonts w:ascii="Times New Roman" w:eastAsia="Calibri" w:hAnsi="Times New Roman" w:cs="Calibri"/>
                <w:sz w:val="24"/>
              </w:rPr>
              <w:t>06.06.2008</w:t>
            </w:r>
          </w:p>
        </w:tc>
        <w:tc>
          <w:tcPr>
            <w:tcW w:w="0" w:type="auto"/>
            <w:shd w:val="clear" w:color="auto" w:fill="auto"/>
            <w:vAlign w:val="bottom"/>
          </w:tcPr>
          <w:p w14:paraId="1FA3D120" w14:textId="77777777" w:rsidR="009072CE" w:rsidRPr="00A07F29" w:rsidRDefault="009072CE" w:rsidP="00AA3CC9">
            <w:pPr>
              <w:spacing w:before="60" w:after="60" w:line="240" w:lineRule="auto"/>
              <w:jc w:val="both"/>
              <w:rPr>
                <w:rFonts w:ascii="Times New Roman" w:eastAsia="Calibri" w:hAnsi="Times New Roman" w:cs="Calibri"/>
                <w:sz w:val="24"/>
              </w:rPr>
            </w:pPr>
            <w:r w:rsidRPr="00A07F29">
              <w:rPr>
                <w:rFonts w:ascii="Times New Roman" w:eastAsia="Calibri" w:hAnsi="Times New Roman" w:cs="Calibri"/>
                <w:sz w:val="24"/>
              </w:rPr>
              <w:t>0</w:t>
            </w:r>
          </w:p>
        </w:tc>
        <w:tc>
          <w:tcPr>
            <w:tcW w:w="0" w:type="auto"/>
            <w:shd w:val="clear" w:color="auto" w:fill="auto"/>
            <w:vAlign w:val="bottom"/>
          </w:tcPr>
          <w:p w14:paraId="6A9A7876" w14:textId="77777777" w:rsidR="009072CE" w:rsidRPr="00A07F29" w:rsidRDefault="009072CE" w:rsidP="00AA3CC9">
            <w:pPr>
              <w:spacing w:before="60" w:after="60" w:line="240" w:lineRule="auto"/>
              <w:jc w:val="both"/>
              <w:rPr>
                <w:rFonts w:ascii="Times New Roman" w:eastAsia="Calibri" w:hAnsi="Times New Roman" w:cs="Calibri"/>
                <w:sz w:val="24"/>
              </w:rPr>
            </w:pPr>
            <w:r w:rsidRPr="00A07F29">
              <w:rPr>
                <w:rFonts w:ascii="Times New Roman" w:eastAsia="Calibri" w:hAnsi="Times New Roman" w:cs="Calibri"/>
                <w:sz w:val="24"/>
              </w:rPr>
              <w:t>131</w:t>
            </w:r>
          </w:p>
        </w:tc>
        <w:tc>
          <w:tcPr>
            <w:tcW w:w="0" w:type="auto"/>
            <w:shd w:val="clear" w:color="auto" w:fill="auto"/>
            <w:vAlign w:val="bottom"/>
          </w:tcPr>
          <w:p w14:paraId="430C3DC7" w14:textId="77777777" w:rsidR="009072CE" w:rsidRPr="00A07F29" w:rsidRDefault="009072CE" w:rsidP="00AA3CC9">
            <w:pPr>
              <w:spacing w:before="60" w:after="60" w:line="240" w:lineRule="auto"/>
              <w:jc w:val="both"/>
              <w:rPr>
                <w:rFonts w:ascii="Times New Roman" w:eastAsia="Calibri" w:hAnsi="Times New Roman" w:cs="Calibri"/>
                <w:sz w:val="24"/>
              </w:rPr>
            </w:pPr>
            <w:r w:rsidRPr="00A07F29">
              <w:rPr>
                <w:rFonts w:ascii="Times New Roman" w:eastAsia="Calibri" w:hAnsi="Times New Roman" w:cs="Calibri"/>
                <w:sz w:val="24"/>
              </w:rPr>
              <w:t>11</w:t>
            </w:r>
          </w:p>
        </w:tc>
        <w:tc>
          <w:tcPr>
            <w:tcW w:w="0" w:type="auto"/>
            <w:shd w:val="clear" w:color="auto" w:fill="auto"/>
            <w:vAlign w:val="bottom"/>
          </w:tcPr>
          <w:p w14:paraId="47AADF3F" w14:textId="77777777" w:rsidR="009072CE" w:rsidRPr="00A07F29" w:rsidRDefault="009072CE" w:rsidP="00AA3CC9">
            <w:pPr>
              <w:spacing w:before="60" w:after="60" w:line="240" w:lineRule="auto"/>
              <w:jc w:val="both"/>
              <w:rPr>
                <w:rFonts w:ascii="Times New Roman" w:eastAsia="Calibri" w:hAnsi="Times New Roman" w:cs="Calibri"/>
                <w:sz w:val="24"/>
              </w:rPr>
            </w:pPr>
          </w:p>
        </w:tc>
        <w:tc>
          <w:tcPr>
            <w:tcW w:w="0" w:type="auto"/>
            <w:shd w:val="clear" w:color="auto" w:fill="auto"/>
            <w:vAlign w:val="bottom"/>
          </w:tcPr>
          <w:p w14:paraId="01435992" w14:textId="77777777" w:rsidR="009072CE" w:rsidRPr="00A07F29" w:rsidRDefault="009072CE" w:rsidP="00AA3CC9">
            <w:pPr>
              <w:spacing w:before="60" w:after="60" w:line="240" w:lineRule="auto"/>
              <w:jc w:val="both"/>
              <w:rPr>
                <w:rFonts w:ascii="Times New Roman" w:eastAsia="Calibri" w:hAnsi="Times New Roman" w:cs="Calibri"/>
                <w:sz w:val="24"/>
              </w:rPr>
            </w:pPr>
          </w:p>
        </w:tc>
      </w:tr>
      <w:tr w:rsidR="009072CE" w:rsidRPr="00A07F29" w14:paraId="42EAB0B3" w14:textId="77777777" w:rsidTr="00AA3CC9">
        <w:trPr>
          <w:jc w:val="center"/>
        </w:trPr>
        <w:tc>
          <w:tcPr>
            <w:tcW w:w="0" w:type="auto"/>
            <w:shd w:val="clear" w:color="auto" w:fill="auto"/>
            <w:vAlign w:val="bottom"/>
          </w:tcPr>
          <w:p w14:paraId="334A40A4" w14:textId="77777777" w:rsidR="009072CE" w:rsidRPr="00A07F29" w:rsidRDefault="009072CE" w:rsidP="00AA3CC9">
            <w:pPr>
              <w:spacing w:before="60" w:after="60" w:line="240" w:lineRule="auto"/>
              <w:jc w:val="both"/>
              <w:rPr>
                <w:rFonts w:ascii="Times New Roman" w:eastAsia="Calibri" w:hAnsi="Times New Roman" w:cs="Calibri"/>
                <w:sz w:val="24"/>
              </w:rPr>
            </w:pPr>
            <w:r w:rsidRPr="00A07F29">
              <w:rPr>
                <w:rFonts w:ascii="Times New Roman" w:eastAsia="Calibri" w:hAnsi="Times New Roman" w:cs="Calibri"/>
                <w:sz w:val="24"/>
              </w:rPr>
              <w:t>12.06.2011</w:t>
            </w:r>
          </w:p>
        </w:tc>
        <w:tc>
          <w:tcPr>
            <w:tcW w:w="0" w:type="auto"/>
            <w:shd w:val="clear" w:color="auto" w:fill="auto"/>
            <w:vAlign w:val="bottom"/>
          </w:tcPr>
          <w:p w14:paraId="429E9BC6" w14:textId="77777777" w:rsidR="009072CE" w:rsidRPr="00A07F29" w:rsidRDefault="009072CE" w:rsidP="00AA3CC9">
            <w:pPr>
              <w:spacing w:before="60" w:after="60" w:line="240" w:lineRule="auto"/>
              <w:jc w:val="both"/>
              <w:rPr>
                <w:rFonts w:ascii="Times New Roman" w:eastAsia="Calibri" w:hAnsi="Times New Roman" w:cs="Calibri"/>
                <w:sz w:val="24"/>
              </w:rPr>
            </w:pPr>
            <w:r w:rsidRPr="00A07F29">
              <w:rPr>
                <w:rFonts w:ascii="Times New Roman" w:eastAsia="Calibri" w:hAnsi="Times New Roman" w:cs="Calibri"/>
                <w:sz w:val="24"/>
              </w:rPr>
              <w:t>24</w:t>
            </w:r>
          </w:p>
        </w:tc>
        <w:tc>
          <w:tcPr>
            <w:tcW w:w="0" w:type="auto"/>
            <w:shd w:val="clear" w:color="auto" w:fill="auto"/>
            <w:vAlign w:val="bottom"/>
          </w:tcPr>
          <w:p w14:paraId="59CAC1FF" w14:textId="77777777" w:rsidR="009072CE" w:rsidRPr="00A07F29" w:rsidRDefault="009072CE" w:rsidP="00AA3CC9">
            <w:pPr>
              <w:spacing w:before="60" w:after="60" w:line="240" w:lineRule="auto"/>
              <w:jc w:val="both"/>
              <w:rPr>
                <w:rFonts w:ascii="Times New Roman" w:eastAsia="Calibri" w:hAnsi="Times New Roman" w:cs="Calibri"/>
                <w:sz w:val="24"/>
              </w:rPr>
            </w:pPr>
            <w:r w:rsidRPr="00A07F29">
              <w:rPr>
                <w:rFonts w:ascii="Times New Roman" w:eastAsia="Calibri" w:hAnsi="Times New Roman" w:cs="Calibri"/>
                <w:sz w:val="24"/>
              </w:rPr>
              <w:t>300</w:t>
            </w:r>
          </w:p>
        </w:tc>
        <w:tc>
          <w:tcPr>
            <w:tcW w:w="0" w:type="auto"/>
            <w:shd w:val="clear" w:color="auto" w:fill="auto"/>
            <w:vAlign w:val="bottom"/>
          </w:tcPr>
          <w:p w14:paraId="52814BAC" w14:textId="77777777" w:rsidR="009072CE" w:rsidRPr="00A07F29" w:rsidRDefault="009072CE" w:rsidP="00AA3CC9">
            <w:pPr>
              <w:spacing w:before="60" w:after="60" w:line="240" w:lineRule="auto"/>
              <w:jc w:val="both"/>
              <w:rPr>
                <w:rFonts w:ascii="Times New Roman" w:eastAsia="Calibri" w:hAnsi="Times New Roman" w:cs="Calibri"/>
                <w:sz w:val="24"/>
              </w:rPr>
            </w:pPr>
            <w:r w:rsidRPr="00A07F29">
              <w:rPr>
                <w:rFonts w:ascii="Times New Roman" w:eastAsia="Calibri" w:hAnsi="Times New Roman" w:cs="Calibri"/>
                <w:sz w:val="24"/>
              </w:rPr>
              <w:t>25</w:t>
            </w:r>
          </w:p>
        </w:tc>
        <w:tc>
          <w:tcPr>
            <w:tcW w:w="0" w:type="auto"/>
            <w:shd w:val="clear" w:color="auto" w:fill="auto"/>
            <w:vAlign w:val="bottom"/>
          </w:tcPr>
          <w:p w14:paraId="4540DEE0" w14:textId="77777777" w:rsidR="009072CE" w:rsidRPr="00A07F29" w:rsidRDefault="009072CE" w:rsidP="00AA3CC9">
            <w:pPr>
              <w:spacing w:before="60" w:after="60" w:line="240" w:lineRule="auto"/>
              <w:jc w:val="both"/>
              <w:rPr>
                <w:rFonts w:ascii="Times New Roman" w:eastAsia="Calibri" w:hAnsi="Times New Roman" w:cs="Calibri"/>
                <w:sz w:val="24"/>
              </w:rPr>
            </w:pPr>
          </w:p>
        </w:tc>
        <w:tc>
          <w:tcPr>
            <w:tcW w:w="0" w:type="auto"/>
            <w:shd w:val="clear" w:color="auto" w:fill="auto"/>
            <w:vAlign w:val="bottom"/>
          </w:tcPr>
          <w:p w14:paraId="64B30599" w14:textId="77777777" w:rsidR="009072CE" w:rsidRPr="00A07F29" w:rsidRDefault="009072CE" w:rsidP="00AA3CC9">
            <w:pPr>
              <w:spacing w:before="60" w:after="60" w:line="240" w:lineRule="auto"/>
              <w:jc w:val="both"/>
              <w:rPr>
                <w:rFonts w:ascii="Times New Roman" w:eastAsia="Calibri" w:hAnsi="Times New Roman" w:cs="Calibri"/>
                <w:sz w:val="24"/>
              </w:rPr>
            </w:pPr>
            <w:r w:rsidRPr="00A07F29">
              <w:rPr>
                <w:rFonts w:ascii="Times New Roman" w:eastAsia="Calibri" w:hAnsi="Times New Roman" w:cs="Calibri"/>
                <w:sz w:val="24"/>
              </w:rPr>
              <w:t>6</w:t>
            </w:r>
          </w:p>
        </w:tc>
      </w:tr>
      <w:tr w:rsidR="009072CE" w:rsidRPr="00A07F29" w14:paraId="3E149D18" w14:textId="77777777" w:rsidTr="00AA3CC9">
        <w:trPr>
          <w:jc w:val="center"/>
        </w:trPr>
        <w:tc>
          <w:tcPr>
            <w:tcW w:w="0" w:type="auto"/>
            <w:shd w:val="clear" w:color="auto" w:fill="auto"/>
            <w:vAlign w:val="bottom"/>
          </w:tcPr>
          <w:p w14:paraId="40898F01" w14:textId="77777777" w:rsidR="009072CE" w:rsidRPr="00A07F29" w:rsidRDefault="009072CE" w:rsidP="00AA3CC9">
            <w:pPr>
              <w:spacing w:before="60" w:after="60" w:line="240" w:lineRule="auto"/>
              <w:jc w:val="both"/>
              <w:rPr>
                <w:rFonts w:ascii="Times New Roman" w:eastAsia="Calibri" w:hAnsi="Times New Roman" w:cs="Calibri"/>
                <w:sz w:val="24"/>
              </w:rPr>
            </w:pPr>
            <w:r w:rsidRPr="00A07F29">
              <w:rPr>
                <w:rFonts w:ascii="Times New Roman" w:eastAsia="Calibri" w:hAnsi="Times New Roman" w:cs="Calibri"/>
                <w:sz w:val="24"/>
              </w:rPr>
              <w:t>06.06.2012</w:t>
            </w:r>
          </w:p>
        </w:tc>
        <w:tc>
          <w:tcPr>
            <w:tcW w:w="0" w:type="auto"/>
            <w:shd w:val="clear" w:color="auto" w:fill="auto"/>
            <w:vAlign w:val="bottom"/>
          </w:tcPr>
          <w:p w14:paraId="783FFA3E" w14:textId="77777777" w:rsidR="009072CE" w:rsidRPr="00A07F29" w:rsidRDefault="009072CE" w:rsidP="00AA3CC9">
            <w:pPr>
              <w:spacing w:before="60" w:after="60" w:line="240" w:lineRule="auto"/>
              <w:jc w:val="both"/>
              <w:rPr>
                <w:rFonts w:ascii="Times New Roman" w:eastAsia="Calibri" w:hAnsi="Times New Roman" w:cs="Calibri"/>
                <w:sz w:val="24"/>
              </w:rPr>
            </w:pPr>
            <w:r w:rsidRPr="00A07F29">
              <w:rPr>
                <w:rFonts w:ascii="Times New Roman" w:eastAsia="Calibri" w:hAnsi="Times New Roman" w:cs="Calibri"/>
                <w:sz w:val="24"/>
              </w:rPr>
              <w:t>44</w:t>
            </w:r>
          </w:p>
        </w:tc>
        <w:tc>
          <w:tcPr>
            <w:tcW w:w="0" w:type="auto"/>
            <w:shd w:val="clear" w:color="auto" w:fill="auto"/>
            <w:vAlign w:val="bottom"/>
          </w:tcPr>
          <w:p w14:paraId="49701768" w14:textId="77777777" w:rsidR="009072CE" w:rsidRPr="00A07F29" w:rsidRDefault="009072CE" w:rsidP="00AA3CC9">
            <w:pPr>
              <w:spacing w:before="60" w:after="60" w:line="240" w:lineRule="auto"/>
              <w:jc w:val="both"/>
              <w:rPr>
                <w:rFonts w:ascii="Times New Roman" w:eastAsia="Calibri" w:hAnsi="Times New Roman" w:cs="Calibri"/>
                <w:sz w:val="24"/>
              </w:rPr>
            </w:pPr>
            <w:r w:rsidRPr="00A07F29">
              <w:rPr>
                <w:rFonts w:ascii="Times New Roman" w:eastAsia="Calibri" w:hAnsi="Times New Roman" w:cs="Calibri"/>
                <w:sz w:val="24"/>
              </w:rPr>
              <w:t>ap 250</w:t>
            </w:r>
          </w:p>
        </w:tc>
        <w:tc>
          <w:tcPr>
            <w:tcW w:w="0" w:type="auto"/>
            <w:shd w:val="clear" w:color="auto" w:fill="auto"/>
            <w:vAlign w:val="bottom"/>
          </w:tcPr>
          <w:p w14:paraId="6C3EC66C" w14:textId="77777777" w:rsidR="009072CE" w:rsidRPr="00A07F29" w:rsidRDefault="009072CE" w:rsidP="00AA3CC9">
            <w:pPr>
              <w:spacing w:before="60" w:after="60" w:line="240" w:lineRule="auto"/>
              <w:jc w:val="both"/>
              <w:rPr>
                <w:rFonts w:ascii="Times New Roman" w:eastAsia="Calibri" w:hAnsi="Times New Roman" w:cs="Calibri"/>
                <w:sz w:val="24"/>
              </w:rPr>
            </w:pPr>
            <w:r w:rsidRPr="00A07F29">
              <w:rPr>
                <w:rFonts w:ascii="Times New Roman" w:eastAsia="Calibri" w:hAnsi="Times New Roman" w:cs="Calibri"/>
                <w:sz w:val="24"/>
              </w:rPr>
              <w:t>ap 100</w:t>
            </w:r>
          </w:p>
        </w:tc>
        <w:tc>
          <w:tcPr>
            <w:tcW w:w="0" w:type="auto"/>
            <w:shd w:val="clear" w:color="auto" w:fill="auto"/>
            <w:vAlign w:val="bottom"/>
          </w:tcPr>
          <w:p w14:paraId="3F4F0EAD" w14:textId="77777777" w:rsidR="009072CE" w:rsidRPr="00A07F29" w:rsidRDefault="009072CE" w:rsidP="00AA3CC9">
            <w:pPr>
              <w:spacing w:before="60" w:after="60" w:line="240" w:lineRule="auto"/>
              <w:jc w:val="both"/>
              <w:rPr>
                <w:rFonts w:ascii="Times New Roman" w:eastAsia="Calibri" w:hAnsi="Times New Roman" w:cs="Calibri"/>
                <w:sz w:val="24"/>
              </w:rPr>
            </w:pPr>
          </w:p>
        </w:tc>
        <w:tc>
          <w:tcPr>
            <w:tcW w:w="0" w:type="auto"/>
            <w:shd w:val="clear" w:color="auto" w:fill="auto"/>
            <w:vAlign w:val="bottom"/>
          </w:tcPr>
          <w:p w14:paraId="56F2DCFC" w14:textId="77777777" w:rsidR="009072CE" w:rsidRPr="00A07F29" w:rsidRDefault="009072CE" w:rsidP="00AA3CC9">
            <w:pPr>
              <w:spacing w:before="60" w:after="60" w:line="240" w:lineRule="auto"/>
              <w:jc w:val="both"/>
              <w:rPr>
                <w:rFonts w:ascii="Times New Roman" w:eastAsia="Calibri" w:hAnsi="Times New Roman" w:cs="Calibri"/>
                <w:sz w:val="24"/>
              </w:rPr>
            </w:pPr>
          </w:p>
        </w:tc>
      </w:tr>
      <w:tr w:rsidR="009072CE" w:rsidRPr="00A07F29" w14:paraId="74EBF681" w14:textId="77777777" w:rsidTr="00AA3CC9">
        <w:trPr>
          <w:jc w:val="center"/>
        </w:trPr>
        <w:tc>
          <w:tcPr>
            <w:tcW w:w="0" w:type="auto"/>
            <w:shd w:val="clear" w:color="auto" w:fill="auto"/>
            <w:vAlign w:val="bottom"/>
          </w:tcPr>
          <w:p w14:paraId="37DB6AA0" w14:textId="77777777" w:rsidR="009072CE" w:rsidRPr="00A07F29" w:rsidRDefault="009072CE" w:rsidP="00AA3CC9">
            <w:pPr>
              <w:spacing w:before="60" w:after="60" w:line="240" w:lineRule="auto"/>
              <w:jc w:val="both"/>
              <w:rPr>
                <w:rFonts w:ascii="Times New Roman" w:eastAsia="Calibri" w:hAnsi="Times New Roman" w:cs="Calibri"/>
                <w:sz w:val="24"/>
              </w:rPr>
            </w:pPr>
            <w:r w:rsidRPr="00A07F29">
              <w:rPr>
                <w:rFonts w:ascii="Times New Roman" w:eastAsia="Calibri" w:hAnsi="Times New Roman" w:cs="Calibri"/>
                <w:sz w:val="24"/>
              </w:rPr>
              <w:t>14.06.2013</w:t>
            </w:r>
          </w:p>
        </w:tc>
        <w:tc>
          <w:tcPr>
            <w:tcW w:w="0" w:type="auto"/>
            <w:shd w:val="clear" w:color="auto" w:fill="auto"/>
            <w:vAlign w:val="bottom"/>
          </w:tcPr>
          <w:p w14:paraId="77964BD8" w14:textId="77777777" w:rsidR="009072CE" w:rsidRPr="00A07F29" w:rsidRDefault="009072CE" w:rsidP="00AA3CC9">
            <w:pPr>
              <w:spacing w:before="60" w:after="60" w:line="240" w:lineRule="auto"/>
              <w:jc w:val="both"/>
              <w:rPr>
                <w:rFonts w:ascii="Times New Roman" w:eastAsia="Calibri" w:hAnsi="Times New Roman" w:cs="Calibri"/>
                <w:sz w:val="24"/>
              </w:rPr>
            </w:pPr>
            <w:r w:rsidRPr="00A07F29">
              <w:rPr>
                <w:rFonts w:ascii="Times New Roman" w:eastAsia="Calibri" w:hAnsi="Times New Roman" w:cs="Calibri"/>
                <w:sz w:val="24"/>
              </w:rPr>
              <w:t>23</w:t>
            </w:r>
          </w:p>
        </w:tc>
        <w:tc>
          <w:tcPr>
            <w:tcW w:w="0" w:type="auto"/>
            <w:shd w:val="clear" w:color="auto" w:fill="auto"/>
            <w:vAlign w:val="bottom"/>
          </w:tcPr>
          <w:p w14:paraId="5BE8A7DC" w14:textId="77777777" w:rsidR="009072CE" w:rsidRPr="00A07F29" w:rsidRDefault="009072CE" w:rsidP="00AA3CC9">
            <w:pPr>
              <w:spacing w:before="60" w:after="60" w:line="240" w:lineRule="auto"/>
              <w:jc w:val="both"/>
              <w:rPr>
                <w:rFonts w:ascii="Times New Roman" w:eastAsia="Calibri" w:hAnsi="Times New Roman" w:cs="Calibri"/>
                <w:sz w:val="24"/>
              </w:rPr>
            </w:pPr>
            <w:r w:rsidRPr="00A07F29">
              <w:rPr>
                <w:rFonts w:ascii="Times New Roman" w:eastAsia="Calibri" w:hAnsi="Times New Roman" w:cs="Calibri"/>
                <w:sz w:val="24"/>
              </w:rPr>
              <w:t>535</w:t>
            </w:r>
          </w:p>
        </w:tc>
        <w:tc>
          <w:tcPr>
            <w:tcW w:w="0" w:type="auto"/>
            <w:shd w:val="clear" w:color="auto" w:fill="auto"/>
            <w:vAlign w:val="bottom"/>
          </w:tcPr>
          <w:p w14:paraId="077C8FA6" w14:textId="77777777" w:rsidR="009072CE" w:rsidRPr="00A07F29" w:rsidRDefault="009072CE" w:rsidP="00AA3CC9">
            <w:pPr>
              <w:spacing w:before="60" w:after="60" w:line="240" w:lineRule="auto"/>
              <w:jc w:val="both"/>
              <w:rPr>
                <w:rFonts w:ascii="Times New Roman" w:eastAsia="Calibri" w:hAnsi="Times New Roman" w:cs="Calibri"/>
                <w:sz w:val="24"/>
              </w:rPr>
            </w:pPr>
            <w:r w:rsidRPr="00A07F29">
              <w:rPr>
                <w:rFonts w:ascii="Times New Roman" w:eastAsia="Calibri" w:hAnsi="Times New Roman" w:cs="Calibri"/>
                <w:sz w:val="24"/>
              </w:rPr>
              <w:t>25</w:t>
            </w:r>
          </w:p>
        </w:tc>
        <w:tc>
          <w:tcPr>
            <w:tcW w:w="0" w:type="auto"/>
            <w:shd w:val="clear" w:color="auto" w:fill="auto"/>
            <w:vAlign w:val="bottom"/>
          </w:tcPr>
          <w:p w14:paraId="509F75EC" w14:textId="77777777" w:rsidR="009072CE" w:rsidRPr="00A07F29" w:rsidRDefault="009072CE" w:rsidP="00AA3CC9">
            <w:pPr>
              <w:spacing w:before="60" w:after="60" w:line="240" w:lineRule="auto"/>
              <w:jc w:val="both"/>
              <w:rPr>
                <w:rFonts w:ascii="Times New Roman" w:eastAsia="Calibri" w:hAnsi="Times New Roman" w:cs="Calibri"/>
                <w:sz w:val="24"/>
              </w:rPr>
            </w:pPr>
          </w:p>
        </w:tc>
        <w:tc>
          <w:tcPr>
            <w:tcW w:w="0" w:type="auto"/>
            <w:shd w:val="clear" w:color="auto" w:fill="auto"/>
            <w:vAlign w:val="bottom"/>
          </w:tcPr>
          <w:p w14:paraId="107BB56E" w14:textId="77777777" w:rsidR="009072CE" w:rsidRPr="00A07F29" w:rsidRDefault="009072CE" w:rsidP="00AA3CC9">
            <w:pPr>
              <w:spacing w:before="60" w:after="60" w:line="240" w:lineRule="auto"/>
              <w:jc w:val="both"/>
              <w:rPr>
                <w:rFonts w:ascii="Times New Roman" w:eastAsia="Calibri" w:hAnsi="Times New Roman" w:cs="Calibri"/>
                <w:sz w:val="24"/>
              </w:rPr>
            </w:pPr>
          </w:p>
        </w:tc>
      </w:tr>
      <w:tr w:rsidR="009072CE" w:rsidRPr="00A07F29" w14:paraId="70D97045" w14:textId="77777777" w:rsidTr="00AA3CC9">
        <w:trPr>
          <w:jc w:val="center"/>
        </w:trPr>
        <w:tc>
          <w:tcPr>
            <w:tcW w:w="0" w:type="auto"/>
            <w:shd w:val="clear" w:color="auto" w:fill="auto"/>
            <w:vAlign w:val="bottom"/>
          </w:tcPr>
          <w:p w14:paraId="1B5C9FE3" w14:textId="77777777" w:rsidR="009072CE" w:rsidRPr="00A07F29" w:rsidRDefault="009072CE" w:rsidP="00AA3CC9">
            <w:pPr>
              <w:spacing w:before="60" w:after="60" w:line="240" w:lineRule="auto"/>
              <w:jc w:val="both"/>
              <w:rPr>
                <w:rFonts w:ascii="Times New Roman" w:eastAsia="Calibri" w:hAnsi="Times New Roman" w:cs="Calibri"/>
                <w:sz w:val="24"/>
              </w:rPr>
            </w:pPr>
            <w:r w:rsidRPr="00A07F29">
              <w:rPr>
                <w:rFonts w:ascii="Times New Roman" w:eastAsia="Calibri" w:hAnsi="Times New Roman" w:cs="Calibri"/>
                <w:sz w:val="24"/>
              </w:rPr>
              <w:t>06.06.2015</w:t>
            </w:r>
          </w:p>
        </w:tc>
        <w:tc>
          <w:tcPr>
            <w:tcW w:w="0" w:type="auto"/>
            <w:shd w:val="clear" w:color="auto" w:fill="auto"/>
            <w:vAlign w:val="bottom"/>
          </w:tcPr>
          <w:p w14:paraId="4B6E8608" w14:textId="77777777" w:rsidR="009072CE" w:rsidRPr="00A07F29" w:rsidRDefault="009072CE" w:rsidP="00AA3CC9">
            <w:pPr>
              <w:spacing w:before="60" w:after="60" w:line="240" w:lineRule="auto"/>
              <w:jc w:val="both"/>
              <w:rPr>
                <w:rFonts w:ascii="Times New Roman" w:eastAsia="Calibri" w:hAnsi="Times New Roman" w:cs="Calibri"/>
                <w:sz w:val="24"/>
              </w:rPr>
            </w:pPr>
            <w:r w:rsidRPr="00A07F29">
              <w:rPr>
                <w:rFonts w:ascii="Times New Roman" w:eastAsia="Calibri" w:hAnsi="Times New Roman" w:cs="Calibri"/>
                <w:sz w:val="24"/>
              </w:rPr>
              <w:t>40</w:t>
            </w:r>
          </w:p>
        </w:tc>
        <w:tc>
          <w:tcPr>
            <w:tcW w:w="0" w:type="auto"/>
            <w:shd w:val="clear" w:color="auto" w:fill="auto"/>
            <w:vAlign w:val="bottom"/>
          </w:tcPr>
          <w:p w14:paraId="6A18AE15" w14:textId="77777777" w:rsidR="009072CE" w:rsidRPr="00A07F29" w:rsidRDefault="009072CE" w:rsidP="00AA3CC9">
            <w:pPr>
              <w:spacing w:before="60" w:after="60" w:line="240" w:lineRule="auto"/>
              <w:jc w:val="both"/>
              <w:rPr>
                <w:rFonts w:ascii="Times New Roman" w:eastAsia="Calibri" w:hAnsi="Times New Roman" w:cs="Calibri"/>
                <w:sz w:val="24"/>
              </w:rPr>
            </w:pPr>
            <w:r w:rsidRPr="00A07F29">
              <w:rPr>
                <w:rFonts w:ascii="Times New Roman" w:eastAsia="Calibri" w:hAnsi="Times New Roman" w:cs="Calibri"/>
                <w:sz w:val="24"/>
              </w:rPr>
              <w:t>265</w:t>
            </w:r>
          </w:p>
        </w:tc>
        <w:tc>
          <w:tcPr>
            <w:tcW w:w="0" w:type="auto"/>
            <w:shd w:val="clear" w:color="auto" w:fill="auto"/>
            <w:vAlign w:val="bottom"/>
          </w:tcPr>
          <w:p w14:paraId="4FDB38EA" w14:textId="77777777" w:rsidR="009072CE" w:rsidRPr="00A07F29" w:rsidRDefault="009072CE" w:rsidP="00AA3CC9">
            <w:pPr>
              <w:spacing w:before="60" w:after="60" w:line="240" w:lineRule="auto"/>
              <w:jc w:val="both"/>
              <w:rPr>
                <w:rFonts w:ascii="Times New Roman" w:eastAsia="Calibri" w:hAnsi="Times New Roman" w:cs="Calibri"/>
                <w:sz w:val="24"/>
              </w:rPr>
            </w:pPr>
            <w:r w:rsidRPr="00A07F29">
              <w:rPr>
                <w:rFonts w:ascii="Times New Roman" w:eastAsia="Calibri" w:hAnsi="Times New Roman" w:cs="Calibri"/>
                <w:sz w:val="24"/>
              </w:rPr>
              <w:t>88</w:t>
            </w:r>
          </w:p>
        </w:tc>
        <w:tc>
          <w:tcPr>
            <w:tcW w:w="0" w:type="auto"/>
            <w:shd w:val="clear" w:color="auto" w:fill="auto"/>
            <w:vAlign w:val="bottom"/>
          </w:tcPr>
          <w:p w14:paraId="28234852" w14:textId="77777777" w:rsidR="009072CE" w:rsidRPr="00A07F29" w:rsidRDefault="009072CE" w:rsidP="00AA3CC9">
            <w:pPr>
              <w:spacing w:before="60" w:after="60" w:line="240" w:lineRule="auto"/>
              <w:jc w:val="both"/>
              <w:rPr>
                <w:rFonts w:ascii="Times New Roman" w:eastAsia="Calibri" w:hAnsi="Times New Roman" w:cs="Calibri"/>
                <w:sz w:val="24"/>
              </w:rPr>
            </w:pPr>
          </w:p>
        </w:tc>
        <w:tc>
          <w:tcPr>
            <w:tcW w:w="0" w:type="auto"/>
            <w:shd w:val="clear" w:color="auto" w:fill="auto"/>
            <w:vAlign w:val="bottom"/>
          </w:tcPr>
          <w:p w14:paraId="6C9A2710" w14:textId="77777777" w:rsidR="009072CE" w:rsidRPr="00A07F29" w:rsidRDefault="009072CE" w:rsidP="00AA3CC9">
            <w:pPr>
              <w:spacing w:before="60" w:after="60" w:line="240" w:lineRule="auto"/>
              <w:jc w:val="both"/>
              <w:rPr>
                <w:rFonts w:ascii="Times New Roman" w:eastAsia="Calibri" w:hAnsi="Times New Roman" w:cs="Calibri"/>
                <w:sz w:val="24"/>
              </w:rPr>
            </w:pPr>
          </w:p>
        </w:tc>
      </w:tr>
      <w:tr w:rsidR="009072CE" w:rsidRPr="00A07F29" w14:paraId="70A02C50" w14:textId="77777777" w:rsidTr="00AA3CC9">
        <w:trPr>
          <w:jc w:val="center"/>
        </w:trPr>
        <w:tc>
          <w:tcPr>
            <w:tcW w:w="0" w:type="auto"/>
            <w:shd w:val="clear" w:color="auto" w:fill="auto"/>
            <w:vAlign w:val="bottom"/>
          </w:tcPr>
          <w:p w14:paraId="60B4F0CA" w14:textId="77777777" w:rsidR="009072CE" w:rsidRPr="00A07F29" w:rsidRDefault="009072CE" w:rsidP="00AA3CC9">
            <w:pPr>
              <w:spacing w:before="60" w:after="60" w:line="240" w:lineRule="auto"/>
              <w:jc w:val="both"/>
              <w:rPr>
                <w:rFonts w:ascii="Times New Roman" w:eastAsia="Calibri" w:hAnsi="Times New Roman" w:cs="Calibri"/>
                <w:sz w:val="24"/>
              </w:rPr>
            </w:pPr>
            <w:r w:rsidRPr="00A07F29">
              <w:rPr>
                <w:rFonts w:ascii="Times New Roman" w:eastAsia="Calibri" w:hAnsi="Times New Roman" w:cs="Calibri"/>
                <w:sz w:val="24"/>
              </w:rPr>
              <w:t>05.06.2016</w:t>
            </w:r>
          </w:p>
        </w:tc>
        <w:tc>
          <w:tcPr>
            <w:tcW w:w="0" w:type="auto"/>
            <w:shd w:val="clear" w:color="auto" w:fill="auto"/>
            <w:vAlign w:val="bottom"/>
          </w:tcPr>
          <w:p w14:paraId="18865A9D" w14:textId="77777777" w:rsidR="009072CE" w:rsidRPr="00A07F29" w:rsidRDefault="009072CE" w:rsidP="00AA3CC9">
            <w:pPr>
              <w:spacing w:before="60" w:after="60" w:line="240" w:lineRule="auto"/>
              <w:jc w:val="both"/>
              <w:rPr>
                <w:rFonts w:ascii="Times New Roman" w:eastAsia="Calibri" w:hAnsi="Times New Roman" w:cs="Calibri"/>
                <w:sz w:val="24"/>
              </w:rPr>
            </w:pPr>
            <w:r w:rsidRPr="00A07F29">
              <w:rPr>
                <w:rFonts w:ascii="Times New Roman" w:eastAsia="Calibri" w:hAnsi="Times New Roman" w:cs="Calibri"/>
                <w:sz w:val="24"/>
              </w:rPr>
              <w:t>70</w:t>
            </w:r>
          </w:p>
        </w:tc>
        <w:tc>
          <w:tcPr>
            <w:tcW w:w="0" w:type="auto"/>
            <w:shd w:val="clear" w:color="auto" w:fill="auto"/>
            <w:vAlign w:val="bottom"/>
          </w:tcPr>
          <w:p w14:paraId="754EFBB8" w14:textId="77777777" w:rsidR="009072CE" w:rsidRPr="00A07F29" w:rsidRDefault="009072CE" w:rsidP="00AA3CC9">
            <w:pPr>
              <w:spacing w:before="60" w:after="60" w:line="240" w:lineRule="auto"/>
              <w:jc w:val="both"/>
              <w:rPr>
                <w:rFonts w:ascii="Times New Roman" w:eastAsia="Calibri" w:hAnsi="Times New Roman" w:cs="Calibri"/>
                <w:sz w:val="24"/>
              </w:rPr>
            </w:pPr>
            <w:r w:rsidRPr="00A07F29">
              <w:rPr>
                <w:rFonts w:ascii="Times New Roman" w:eastAsia="Calibri" w:hAnsi="Times New Roman" w:cs="Calibri"/>
                <w:sz w:val="24"/>
              </w:rPr>
              <w:t>406</w:t>
            </w:r>
          </w:p>
        </w:tc>
        <w:tc>
          <w:tcPr>
            <w:tcW w:w="0" w:type="auto"/>
            <w:shd w:val="clear" w:color="auto" w:fill="auto"/>
            <w:vAlign w:val="bottom"/>
          </w:tcPr>
          <w:p w14:paraId="721BB501" w14:textId="77777777" w:rsidR="009072CE" w:rsidRPr="00A07F29" w:rsidRDefault="009072CE" w:rsidP="00AA3CC9">
            <w:pPr>
              <w:spacing w:before="60" w:after="60" w:line="240" w:lineRule="auto"/>
              <w:jc w:val="both"/>
              <w:rPr>
                <w:rFonts w:ascii="Times New Roman" w:eastAsia="Calibri" w:hAnsi="Times New Roman" w:cs="Calibri"/>
                <w:sz w:val="24"/>
              </w:rPr>
            </w:pPr>
            <w:r w:rsidRPr="00A07F29">
              <w:rPr>
                <w:rFonts w:ascii="Times New Roman" w:eastAsia="Calibri" w:hAnsi="Times New Roman" w:cs="Calibri"/>
                <w:sz w:val="24"/>
              </w:rPr>
              <w:t>33</w:t>
            </w:r>
          </w:p>
        </w:tc>
        <w:tc>
          <w:tcPr>
            <w:tcW w:w="0" w:type="auto"/>
            <w:shd w:val="clear" w:color="auto" w:fill="auto"/>
            <w:vAlign w:val="bottom"/>
          </w:tcPr>
          <w:p w14:paraId="2BFBEE9C" w14:textId="77777777" w:rsidR="009072CE" w:rsidRPr="00A07F29" w:rsidRDefault="009072CE" w:rsidP="00AA3CC9">
            <w:pPr>
              <w:spacing w:before="60" w:after="60" w:line="240" w:lineRule="auto"/>
              <w:jc w:val="both"/>
              <w:rPr>
                <w:rFonts w:ascii="Times New Roman" w:eastAsia="Calibri" w:hAnsi="Times New Roman" w:cs="Calibri"/>
                <w:sz w:val="24"/>
              </w:rPr>
            </w:pPr>
          </w:p>
        </w:tc>
        <w:tc>
          <w:tcPr>
            <w:tcW w:w="0" w:type="auto"/>
            <w:shd w:val="clear" w:color="auto" w:fill="auto"/>
            <w:vAlign w:val="bottom"/>
          </w:tcPr>
          <w:p w14:paraId="7AFDAB43" w14:textId="77777777" w:rsidR="009072CE" w:rsidRPr="00A07F29" w:rsidRDefault="009072CE" w:rsidP="00AA3CC9">
            <w:pPr>
              <w:spacing w:before="60" w:after="60" w:line="240" w:lineRule="auto"/>
              <w:jc w:val="both"/>
              <w:rPr>
                <w:rFonts w:ascii="Times New Roman" w:eastAsia="Calibri" w:hAnsi="Times New Roman" w:cs="Calibri"/>
                <w:sz w:val="24"/>
              </w:rPr>
            </w:pPr>
          </w:p>
        </w:tc>
      </w:tr>
      <w:tr w:rsidR="009072CE" w:rsidRPr="00A07F29" w14:paraId="2E0FBBDF" w14:textId="77777777" w:rsidTr="00AA3CC9">
        <w:trPr>
          <w:jc w:val="center"/>
        </w:trPr>
        <w:tc>
          <w:tcPr>
            <w:tcW w:w="0" w:type="auto"/>
            <w:shd w:val="clear" w:color="auto" w:fill="auto"/>
            <w:vAlign w:val="bottom"/>
          </w:tcPr>
          <w:p w14:paraId="4BD0E662" w14:textId="77777777" w:rsidR="009072CE" w:rsidRPr="00A07F29" w:rsidRDefault="009072CE" w:rsidP="00AA3CC9">
            <w:pPr>
              <w:spacing w:before="60" w:after="60" w:line="240" w:lineRule="auto"/>
              <w:jc w:val="both"/>
              <w:rPr>
                <w:rFonts w:ascii="Times New Roman" w:eastAsia="Calibri" w:hAnsi="Times New Roman" w:cs="Calibri"/>
                <w:sz w:val="24"/>
              </w:rPr>
            </w:pPr>
            <w:r w:rsidRPr="00A07F29">
              <w:rPr>
                <w:rFonts w:ascii="Times New Roman" w:eastAsia="Calibri" w:hAnsi="Times New Roman" w:cs="Calibri"/>
                <w:sz w:val="24"/>
              </w:rPr>
              <w:t>21.06.2017</w:t>
            </w:r>
          </w:p>
        </w:tc>
        <w:tc>
          <w:tcPr>
            <w:tcW w:w="0" w:type="auto"/>
            <w:shd w:val="clear" w:color="auto" w:fill="auto"/>
            <w:vAlign w:val="bottom"/>
          </w:tcPr>
          <w:p w14:paraId="2823180B" w14:textId="77777777" w:rsidR="009072CE" w:rsidRPr="00A07F29" w:rsidRDefault="009072CE" w:rsidP="00AA3CC9">
            <w:pPr>
              <w:spacing w:before="60" w:after="60" w:line="240" w:lineRule="auto"/>
              <w:jc w:val="both"/>
              <w:rPr>
                <w:rFonts w:ascii="Times New Roman" w:eastAsia="Calibri" w:hAnsi="Times New Roman" w:cs="Calibri"/>
                <w:sz w:val="24"/>
              </w:rPr>
            </w:pPr>
            <w:r w:rsidRPr="00A07F29">
              <w:rPr>
                <w:rFonts w:ascii="Times New Roman" w:eastAsia="Calibri" w:hAnsi="Times New Roman" w:cs="Calibri"/>
                <w:sz w:val="24"/>
              </w:rPr>
              <w:t>158</w:t>
            </w:r>
          </w:p>
        </w:tc>
        <w:tc>
          <w:tcPr>
            <w:tcW w:w="0" w:type="auto"/>
            <w:shd w:val="clear" w:color="auto" w:fill="auto"/>
            <w:vAlign w:val="bottom"/>
          </w:tcPr>
          <w:p w14:paraId="655E1AB0" w14:textId="77777777" w:rsidR="009072CE" w:rsidRPr="00A07F29" w:rsidRDefault="009072CE" w:rsidP="00AA3CC9">
            <w:pPr>
              <w:spacing w:before="60" w:after="60" w:line="240" w:lineRule="auto"/>
              <w:jc w:val="both"/>
              <w:rPr>
                <w:rFonts w:ascii="Times New Roman" w:eastAsia="Calibri" w:hAnsi="Times New Roman" w:cs="Calibri"/>
                <w:sz w:val="24"/>
              </w:rPr>
            </w:pPr>
            <w:r w:rsidRPr="00A07F29">
              <w:rPr>
                <w:rFonts w:ascii="Times New Roman" w:eastAsia="Calibri" w:hAnsi="Times New Roman" w:cs="Calibri"/>
                <w:sz w:val="24"/>
              </w:rPr>
              <w:t>193</w:t>
            </w:r>
          </w:p>
        </w:tc>
        <w:tc>
          <w:tcPr>
            <w:tcW w:w="0" w:type="auto"/>
            <w:shd w:val="clear" w:color="auto" w:fill="auto"/>
            <w:vAlign w:val="bottom"/>
          </w:tcPr>
          <w:p w14:paraId="6632B0B8" w14:textId="77777777" w:rsidR="009072CE" w:rsidRPr="00A07F29" w:rsidRDefault="009072CE" w:rsidP="00AA3CC9">
            <w:pPr>
              <w:spacing w:before="60" w:after="60" w:line="240" w:lineRule="auto"/>
              <w:jc w:val="both"/>
              <w:rPr>
                <w:rFonts w:ascii="Times New Roman" w:eastAsia="Calibri" w:hAnsi="Times New Roman" w:cs="Calibri"/>
                <w:sz w:val="24"/>
              </w:rPr>
            </w:pPr>
            <w:r w:rsidRPr="00A07F29">
              <w:rPr>
                <w:rFonts w:ascii="Times New Roman" w:eastAsia="Calibri" w:hAnsi="Times New Roman" w:cs="Calibri"/>
                <w:sz w:val="24"/>
              </w:rPr>
              <w:t>50</w:t>
            </w:r>
          </w:p>
        </w:tc>
        <w:tc>
          <w:tcPr>
            <w:tcW w:w="0" w:type="auto"/>
            <w:shd w:val="clear" w:color="auto" w:fill="auto"/>
            <w:vAlign w:val="bottom"/>
          </w:tcPr>
          <w:p w14:paraId="41B27A6E" w14:textId="77777777" w:rsidR="009072CE" w:rsidRPr="00A07F29" w:rsidRDefault="009072CE" w:rsidP="00AA3CC9">
            <w:pPr>
              <w:spacing w:before="60" w:after="60" w:line="240" w:lineRule="auto"/>
              <w:jc w:val="both"/>
              <w:rPr>
                <w:rFonts w:ascii="Times New Roman" w:eastAsia="Calibri" w:hAnsi="Times New Roman" w:cs="Calibri"/>
                <w:sz w:val="24"/>
              </w:rPr>
            </w:pPr>
          </w:p>
        </w:tc>
        <w:tc>
          <w:tcPr>
            <w:tcW w:w="0" w:type="auto"/>
            <w:shd w:val="clear" w:color="auto" w:fill="auto"/>
            <w:vAlign w:val="bottom"/>
          </w:tcPr>
          <w:p w14:paraId="770FA3E7" w14:textId="77777777" w:rsidR="009072CE" w:rsidRPr="00A07F29" w:rsidRDefault="009072CE" w:rsidP="00AA3CC9">
            <w:pPr>
              <w:spacing w:before="60" w:after="60" w:line="240" w:lineRule="auto"/>
              <w:jc w:val="both"/>
              <w:rPr>
                <w:rFonts w:ascii="Times New Roman" w:eastAsia="Calibri" w:hAnsi="Times New Roman" w:cs="Calibri"/>
                <w:sz w:val="24"/>
              </w:rPr>
            </w:pPr>
          </w:p>
        </w:tc>
      </w:tr>
      <w:tr w:rsidR="009072CE" w:rsidRPr="00A07F29" w14:paraId="31082E2D" w14:textId="77777777" w:rsidTr="00AA3CC9">
        <w:trPr>
          <w:jc w:val="center"/>
        </w:trPr>
        <w:tc>
          <w:tcPr>
            <w:tcW w:w="0" w:type="auto"/>
            <w:shd w:val="clear" w:color="auto" w:fill="auto"/>
            <w:vAlign w:val="bottom"/>
          </w:tcPr>
          <w:p w14:paraId="2CA723AB" w14:textId="77777777" w:rsidR="009072CE" w:rsidRPr="00A07F29" w:rsidRDefault="009072CE" w:rsidP="00AA3CC9">
            <w:pPr>
              <w:spacing w:before="60" w:after="60" w:line="240" w:lineRule="auto"/>
              <w:jc w:val="both"/>
              <w:rPr>
                <w:rFonts w:ascii="Times New Roman" w:eastAsia="Calibri" w:hAnsi="Times New Roman" w:cs="Calibri"/>
                <w:sz w:val="24"/>
              </w:rPr>
            </w:pPr>
            <w:r w:rsidRPr="00A07F29">
              <w:rPr>
                <w:rFonts w:ascii="Times New Roman" w:eastAsia="Calibri" w:hAnsi="Times New Roman" w:cs="Calibri"/>
                <w:sz w:val="24"/>
              </w:rPr>
              <w:t>04.06.2018</w:t>
            </w:r>
          </w:p>
        </w:tc>
        <w:tc>
          <w:tcPr>
            <w:tcW w:w="0" w:type="auto"/>
            <w:shd w:val="clear" w:color="auto" w:fill="auto"/>
            <w:vAlign w:val="bottom"/>
          </w:tcPr>
          <w:p w14:paraId="23101FCE" w14:textId="77777777" w:rsidR="009072CE" w:rsidRPr="00A07F29" w:rsidRDefault="009072CE" w:rsidP="00AA3CC9">
            <w:pPr>
              <w:spacing w:before="60" w:after="60" w:line="240" w:lineRule="auto"/>
              <w:jc w:val="both"/>
              <w:rPr>
                <w:rFonts w:ascii="Times New Roman" w:eastAsia="Calibri" w:hAnsi="Times New Roman" w:cs="Calibri"/>
                <w:sz w:val="24"/>
              </w:rPr>
            </w:pPr>
            <w:r w:rsidRPr="00A07F29">
              <w:rPr>
                <w:rFonts w:ascii="Times New Roman" w:eastAsia="Calibri" w:hAnsi="Times New Roman" w:cs="Calibri"/>
                <w:sz w:val="24"/>
              </w:rPr>
              <w:t>67</w:t>
            </w:r>
          </w:p>
        </w:tc>
        <w:tc>
          <w:tcPr>
            <w:tcW w:w="0" w:type="auto"/>
            <w:shd w:val="clear" w:color="auto" w:fill="auto"/>
            <w:vAlign w:val="bottom"/>
          </w:tcPr>
          <w:p w14:paraId="3CA0DCA8" w14:textId="77777777" w:rsidR="009072CE" w:rsidRPr="00A07F29" w:rsidRDefault="009072CE" w:rsidP="00AA3CC9">
            <w:pPr>
              <w:spacing w:before="60" w:after="60" w:line="240" w:lineRule="auto"/>
              <w:jc w:val="both"/>
              <w:rPr>
                <w:rFonts w:ascii="Times New Roman" w:eastAsia="Calibri" w:hAnsi="Times New Roman" w:cs="Calibri"/>
                <w:sz w:val="24"/>
              </w:rPr>
            </w:pPr>
            <w:r w:rsidRPr="00A07F29">
              <w:rPr>
                <w:rFonts w:ascii="Times New Roman" w:eastAsia="Calibri" w:hAnsi="Times New Roman" w:cs="Calibri"/>
                <w:sz w:val="24"/>
              </w:rPr>
              <w:t>81</w:t>
            </w:r>
          </w:p>
        </w:tc>
        <w:tc>
          <w:tcPr>
            <w:tcW w:w="0" w:type="auto"/>
            <w:shd w:val="clear" w:color="auto" w:fill="auto"/>
            <w:vAlign w:val="bottom"/>
          </w:tcPr>
          <w:p w14:paraId="023DE311" w14:textId="77777777" w:rsidR="009072CE" w:rsidRPr="00A07F29" w:rsidRDefault="009072CE" w:rsidP="00AA3CC9">
            <w:pPr>
              <w:spacing w:before="60" w:after="60" w:line="240" w:lineRule="auto"/>
              <w:jc w:val="both"/>
              <w:rPr>
                <w:rFonts w:ascii="Times New Roman" w:eastAsia="Calibri" w:hAnsi="Times New Roman" w:cs="Calibri"/>
                <w:sz w:val="24"/>
              </w:rPr>
            </w:pPr>
            <w:r w:rsidRPr="00A07F29">
              <w:rPr>
                <w:rFonts w:ascii="Times New Roman" w:eastAsia="Calibri" w:hAnsi="Times New Roman" w:cs="Calibri"/>
                <w:sz w:val="24"/>
              </w:rPr>
              <w:t>23</w:t>
            </w:r>
          </w:p>
        </w:tc>
        <w:tc>
          <w:tcPr>
            <w:tcW w:w="0" w:type="auto"/>
            <w:shd w:val="clear" w:color="auto" w:fill="auto"/>
            <w:vAlign w:val="bottom"/>
          </w:tcPr>
          <w:p w14:paraId="1B3CA1F9" w14:textId="77777777" w:rsidR="009072CE" w:rsidRPr="00A07F29" w:rsidRDefault="009072CE" w:rsidP="00AA3CC9">
            <w:pPr>
              <w:spacing w:before="60" w:after="60" w:line="240" w:lineRule="auto"/>
              <w:jc w:val="both"/>
              <w:rPr>
                <w:rFonts w:ascii="Times New Roman" w:eastAsia="Calibri" w:hAnsi="Times New Roman" w:cs="Calibri"/>
                <w:sz w:val="24"/>
              </w:rPr>
            </w:pPr>
          </w:p>
        </w:tc>
        <w:tc>
          <w:tcPr>
            <w:tcW w:w="0" w:type="auto"/>
            <w:shd w:val="clear" w:color="auto" w:fill="auto"/>
            <w:vAlign w:val="bottom"/>
          </w:tcPr>
          <w:p w14:paraId="001E9A0A" w14:textId="77777777" w:rsidR="009072CE" w:rsidRPr="00A07F29" w:rsidRDefault="009072CE" w:rsidP="00AA3CC9">
            <w:pPr>
              <w:spacing w:before="60" w:after="60" w:line="240" w:lineRule="auto"/>
              <w:jc w:val="both"/>
              <w:rPr>
                <w:rFonts w:ascii="Times New Roman" w:eastAsia="Calibri" w:hAnsi="Times New Roman" w:cs="Calibri"/>
                <w:sz w:val="24"/>
              </w:rPr>
            </w:pPr>
          </w:p>
        </w:tc>
      </w:tr>
      <w:tr w:rsidR="009072CE" w:rsidRPr="00A07F29" w14:paraId="3429C670" w14:textId="77777777" w:rsidTr="00AA3CC9">
        <w:trPr>
          <w:jc w:val="center"/>
        </w:trPr>
        <w:tc>
          <w:tcPr>
            <w:tcW w:w="0" w:type="auto"/>
            <w:shd w:val="clear" w:color="auto" w:fill="auto"/>
            <w:vAlign w:val="bottom"/>
          </w:tcPr>
          <w:p w14:paraId="21E04533" w14:textId="77777777" w:rsidR="009072CE" w:rsidRPr="00A07F29" w:rsidRDefault="009072CE" w:rsidP="00AA3CC9">
            <w:pPr>
              <w:spacing w:before="60" w:after="60" w:line="240" w:lineRule="auto"/>
              <w:jc w:val="both"/>
              <w:rPr>
                <w:rFonts w:ascii="Times New Roman" w:eastAsia="Calibri" w:hAnsi="Times New Roman" w:cs="Calibri"/>
                <w:sz w:val="24"/>
              </w:rPr>
            </w:pPr>
            <w:r w:rsidRPr="00A07F29">
              <w:rPr>
                <w:rFonts w:ascii="Times New Roman" w:eastAsia="Calibri" w:hAnsi="Times New Roman" w:cs="Calibri"/>
                <w:sz w:val="24"/>
              </w:rPr>
              <w:t>04.06.2019</w:t>
            </w:r>
          </w:p>
        </w:tc>
        <w:tc>
          <w:tcPr>
            <w:tcW w:w="0" w:type="auto"/>
            <w:shd w:val="clear" w:color="auto" w:fill="auto"/>
            <w:vAlign w:val="bottom"/>
          </w:tcPr>
          <w:p w14:paraId="33CB7704" w14:textId="77777777" w:rsidR="009072CE" w:rsidRPr="00A07F29" w:rsidRDefault="009072CE" w:rsidP="00AA3CC9">
            <w:pPr>
              <w:spacing w:before="60" w:after="60" w:line="240" w:lineRule="auto"/>
              <w:jc w:val="both"/>
              <w:rPr>
                <w:rFonts w:ascii="Times New Roman" w:eastAsia="Calibri" w:hAnsi="Times New Roman" w:cs="Calibri"/>
                <w:sz w:val="24"/>
              </w:rPr>
            </w:pPr>
            <w:r w:rsidRPr="00A07F29">
              <w:rPr>
                <w:rFonts w:ascii="Times New Roman" w:eastAsia="Calibri" w:hAnsi="Times New Roman" w:cs="Calibri"/>
                <w:sz w:val="24"/>
              </w:rPr>
              <w:t>52</w:t>
            </w:r>
          </w:p>
        </w:tc>
        <w:tc>
          <w:tcPr>
            <w:tcW w:w="0" w:type="auto"/>
            <w:shd w:val="clear" w:color="auto" w:fill="auto"/>
            <w:vAlign w:val="bottom"/>
          </w:tcPr>
          <w:p w14:paraId="1FA1A4DA" w14:textId="77777777" w:rsidR="009072CE" w:rsidRPr="00A07F29" w:rsidRDefault="009072CE" w:rsidP="00AA3CC9">
            <w:pPr>
              <w:spacing w:before="60" w:after="60" w:line="240" w:lineRule="auto"/>
              <w:jc w:val="both"/>
              <w:rPr>
                <w:rFonts w:ascii="Times New Roman" w:eastAsia="Calibri" w:hAnsi="Times New Roman" w:cs="Calibri"/>
                <w:sz w:val="24"/>
              </w:rPr>
            </w:pPr>
          </w:p>
        </w:tc>
        <w:tc>
          <w:tcPr>
            <w:tcW w:w="0" w:type="auto"/>
            <w:shd w:val="clear" w:color="auto" w:fill="auto"/>
            <w:vAlign w:val="bottom"/>
          </w:tcPr>
          <w:p w14:paraId="173E1537" w14:textId="77777777" w:rsidR="009072CE" w:rsidRPr="00A07F29" w:rsidRDefault="009072CE" w:rsidP="00AA3CC9">
            <w:pPr>
              <w:spacing w:before="60" w:after="60" w:line="240" w:lineRule="auto"/>
              <w:jc w:val="both"/>
              <w:rPr>
                <w:rFonts w:ascii="Times New Roman" w:eastAsia="Calibri" w:hAnsi="Times New Roman" w:cs="Calibri"/>
                <w:sz w:val="24"/>
              </w:rPr>
            </w:pPr>
          </w:p>
        </w:tc>
        <w:tc>
          <w:tcPr>
            <w:tcW w:w="0" w:type="auto"/>
            <w:shd w:val="clear" w:color="auto" w:fill="auto"/>
            <w:vAlign w:val="bottom"/>
          </w:tcPr>
          <w:p w14:paraId="43C0A689" w14:textId="77777777" w:rsidR="009072CE" w:rsidRPr="00A07F29" w:rsidRDefault="009072CE" w:rsidP="00AA3CC9">
            <w:pPr>
              <w:spacing w:before="60" w:after="60" w:line="240" w:lineRule="auto"/>
              <w:jc w:val="both"/>
              <w:rPr>
                <w:rFonts w:ascii="Times New Roman" w:eastAsia="Calibri" w:hAnsi="Times New Roman" w:cs="Calibri"/>
                <w:sz w:val="24"/>
              </w:rPr>
            </w:pPr>
            <w:r w:rsidRPr="00A07F29">
              <w:rPr>
                <w:rFonts w:ascii="Times New Roman" w:eastAsia="Calibri" w:hAnsi="Times New Roman" w:cs="Calibri"/>
                <w:sz w:val="24"/>
              </w:rPr>
              <w:t>515</w:t>
            </w:r>
          </w:p>
        </w:tc>
        <w:tc>
          <w:tcPr>
            <w:tcW w:w="0" w:type="auto"/>
            <w:shd w:val="clear" w:color="auto" w:fill="auto"/>
            <w:vAlign w:val="bottom"/>
          </w:tcPr>
          <w:p w14:paraId="50C1C184" w14:textId="77777777" w:rsidR="009072CE" w:rsidRPr="00A07F29" w:rsidRDefault="009072CE" w:rsidP="00AA3CC9">
            <w:pPr>
              <w:spacing w:before="60" w:after="60" w:line="240" w:lineRule="auto"/>
              <w:jc w:val="both"/>
              <w:rPr>
                <w:rFonts w:ascii="Times New Roman" w:eastAsia="Calibri" w:hAnsi="Times New Roman" w:cs="Calibri"/>
                <w:sz w:val="24"/>
              </w:rPr>
            </w:pPr>
          </w:p>
        </w:tc>
      </w:tr>
    </w:tbl>
    <w:p w14:paraId="758CCCF5" w14:textId="77777777" w:rsidR="00EB0791" w:rsidRDefault="009072CE" w:rsidP="00AC55B2">
      <w:pPr>
        <w:spacing w:after="0" w:line="240" w:lineRule="auto"/>
        <w:jc w:val="both"/>
        <w:rPr>
          <w:rFonts w:ascii="Times New Roman" w:eastAsia="Calibri" w:hAnsi="Times New Roman" w:cs="Calibri"/>
          <w:sz w:val="20"/>
          <w:szCs w:val="20"/>
        </w:rPr>
      </w:pPr>
      <w:r w:rsidRPr="00A07F29">
        <w:rPr>
          <w:rFonts w:ascii="Times New Roman" w:eastAsia="Calibri" w:hAnsi="Times New Roman" w:cs="Calibri"/>
          <w:sz w:val="20"/>
          <w:szCs w:val="20"/>
        </w:rPr>
        <w:t>1998.</w:t>
      </w:r>
      <w:r w:rsidR="00AC55B2">
        <w:rPr>
          <w:rFonts w:ascii="Times New Roman" w:eastAsia="Calibri" w:hAnsi="Times New Roman" w:cs="Calibri"/>
          <w:sz w:val="20"/>
          <w:szCs w:val="20"/>
        </w:rPr>
        <w:t> </w:t>
      </w:r>
      <w:r w:rsidRPr="00A07F29">
        <w:rPr>
          <w:rFonts w:ascii="Times New Roman" w:eastAsia="Calibri" w:hAnsi="Times New Roman" w:cs="Calibri"/>
          <w:sz w:val="20"/>
          <w:szCs w:val="20"/>
        </w:rPr>
        <w:t>gadā skaits noteikts bēniņos novērotajiem sikspārņiem, pārējās uzskaites veiktas sikspārņu vakara izlidošanas laikā. Uzskaitēs piedalījušies: G.</w:t>
      </w:r>
      <w:r w:rsidR="00AC55B2">
        <w:rPr>
          <w:rFonts w:ascii="Times New Roman" w:eastAsia="Calibri" w:hAnsi="Times New Roman" w:cs="Calibri"/>
          <w:sz w:val="20"/>
          <w:szCs w:val="20"/>
        </w:rPr>
        <w:t> </w:t>
      </w:r>
      <w:r w:rsidRPr="00A07F29">
        <w:rPr>
          <w:rFonts w:ascii="Times New Roman" w:eastAsia="Calibri" w:hAnsi="Times New Roman" w:cs="Calibri"/>
          <w:sz w:val="20"/>
          <w:szCs w:val="20"/>
        </w:rPr>
        <w:t>Pētersons, A.</w:t>
      </w:r>
      <w:r w:rsidR="00AC55B2">
        <w:rPr>
          <w:rFonts w:ascii="Times New Roman" w:eastAsia="Calibri" w:hAnsi="Times New Roman" w:cs="Calibri"/>
          <w:sz w:val="20"/>
          <w:szCs w:val="20"/>
        </w:rPr>
        <w:t> </w:t>
      </w:r>
      <w:proofErr w:type="spellStart"/>
      <w:r w:rsidRPr="00A07F29">
        <w:rPr>
          <w:rFonts w:ascii="Times New Roman" w:eastAsia="Calibri" w:hAnsi="Times New Roman" w:cs="Calibri"/>
          <w:sz w:val="20"/>
          <w:szCs w:val="20"/>
        </w:rPr>
        <w:t>Pupila</w:t>
      </w:r>
      <w:proofErr w:type="spellEnd"/>
      <w:r w:rsidRPr="00A07F29">
        <w:rPr>
          <w:rFonts w:ascii="Times New Roman" w:eastAsia="Calibri" w:hAnsi="Times New Roman" w:cs="Calibri"/>
          <w:sz w:val="20"/>
          <w:szCs w:val="20"/>
        </w:rPr>
        <w:t>, I.</w:t>
      </w:r>
      <w:r w:rsidR="00AC55B2">
        <w:rPr>
          <w:rFonts w:ascii="Times New Roman" w:eastAsia="Calibri" w:hAnsi="Times New Roman" w:cs="Calibri"/>
          <w:sz w:val="20"/>
          <w:szCs w:val="20"/>
        </w:rPr>
        <w:t> </w:t>
      </w:r>
      <w:r w:rsidRPr="00A07F29">
        <w:rPr>
          <w:rFonts w:ascii="Times New Roman" w:eastAsia="Calibri" w:hAnsi="Times New Roman" w:cs="Calibri"/>
          <w:sz w:val="20"/>
          <w:szCs w:val="20"/>
        </w:rPr>
        <w:t>Čakare, D.</w:t>
      </w:r>
      <w:r w:rsidR="00AC55B2">
        <w:rPr>
          <w:rFonts w:ascii="Times New Roman" w:eastAsia="Calibri" w:hAnsi="Times New Roman" w:cs="Calibri"/>
          <w:sz w:val="20"/>
          <w:szCs w:val="20"/>
        </w:rPr>
        <w:t> </w:t>
      </w:r>
      <w:r w:rsidRPr="00A07F29">
        <w:rPr>
          <w:rFonts w:ascii="Times New Roman" w:eastAsia="Calibri" w:hAnsi="Times New Roman" w:cs="Calibri"/>
          <w:sz w:val="20"/>
          <w:szCs w:val="20"/>
        </w:rPr>
        <w:t>Vietniece., N.</w:t>
      </w:r>
      <w:r w:rsidR="00AC55B2">
        <w:rPr>
          <w:rFonts w:ascii="Times New Roman" w:eastAsia="Calibri" w:hAnsi="Times New Roman" w:cs="Calibri"/>
          <w:sz w:val="20"/>
          <w:szCs w:val="20"/>
        </w:rPr>
        <w:t> </w:t>
      </w:r>
      <w:proofErr w:type="spellStart"/>
      <w:r w:rsidRPr="00A07F29">
        <w:rPr>
          <w:rFonts w:ascii="Times New Roman" w:eastAsia="Calibri" w:hAnsi="Times New Roman" w:cs="Calibri"/>
          <w:sz w:val="20"/>
          <w:szCs w:val="20"/>
        </w:rPr>
        <w:t>Kukārs</w:t>
      </w:r>
      <w:proofErr w:type="spellEnd"/>
      <w:r w:rsidRPr="00A07F29">
        <w:rPr>
          <w:rFonts w:ascii="Times New Roman" w:eastAsia="Calibri" w:hAnsi="Times New Roman" w:cs="Calibri"/>
          <w:sz w:val="20"/>
          <w:szCs w:val="20"/>
        </w:rPr>
        <w:t>, V.</w:t>
      </w:r>
      <w:r w:rsidR="00AC55B2">
        <w:rPr>
          <w:rFonts w:ascii="Times New Roman" w:eastAsia="Calibri" w:hAnsi="Times New Roman" w:cs="Calibri"/>
          <w:sz w:val="20"/>
          <w:szCs w:val="20"/>
        </w:rPr>
        <w:t> </w:t>
      </w:r>
      <w:r w:rsidRPr="00A07F29">
        <w:rPr>
          <w:rFonts w:ascii="Times New Roman" w:eastAsia="Calibri" w:hAnsi="Times New Roman" w:cs="Calibri"/>
          <w:sz w:val="20"/>
          <w:szCs w:val="20"/>
        </w:rPr>
        <w:t>Vintulis, A.</w:t>
      </w:r>
      <w:r w:rsidR="00AC55B2">
        <w:rPr>
          <w:rFonts w:ascii="Times New Roman" w:eastAsia="Calibri" w:hAnsi="Times New Roman" w:cs="Calibri"/>
          <w:sz w:val="20"/>
          <w:szCs w:val="20"/>
        </w:rPr>
        <w:t> </w:t>
      </w:r>
      <w:r w:rsidRPr="00A07F29">
        <w:rPr>
          <w:rFonts w:ascii="Times New Roman" w:eastAsia="Calibri" w:hAnsi="Times New Roman" w:cs="Calibri"/>
          <w:sz w:val="20"/>
          <w:szCs w:val="20"/>
        </w:rPr>
        <w:t>Vītola, I.</w:t>
      </w:r>
      <w:r w:rsidR="00AC55B2">
        <w:rPr>
          <w:rFonts w:ascii="Times New Roman" w:eastAsia="Calibri" w:hAnsi="Times New Roman" w:cs="Calibri"/>
          <w:sz w:val="20"/>
          <w:szCs w:val="20"/>
        </w:rPr>
        <w:t> </w:t>
      </w:r>
      <w:proofErr w:type="spellStart"/>
      <w:r w:rsidRPr="00A07F29">
        <w:rPr>
          <w:rFonts w:ascii="Times New Roman" w:eastAsia="Calibri" w:hAnsi="Times New Roman" w:cs="Calibri"/>
          <w:sz w:val="20"/>
          <w:szCs w:val="20"/>
        </w:rPr>
        <w:t>Brila</w:t>
      </w:r>
      <w:proofErr w:type="spellEnd"/>
      <w:r w:rsidRPr="00A07F29">
        <w:rPr>
          <w:rFonts w:ascii="Times New Roman" w:eastAsia="Calibri" w:hAnsi="Times New Roman" w:cs="Calibri"/>
          <w:sz w:val="20"/>
          <w:szCs w:val="20"/>
        </w:rPr>
        <w:t>, M.</w:t>
      </w:r>
      <w:r w:rsidR="00AC55B2">
        <w:rPr>
          <w:rFonts w:ascii="Times New Roman" w:eastAsia="Calibri" w:hAnsi="Times New Roman" w:cs="Calibri"/>
          <w:sz w:val="20"/>
          <w:szCs w:val="20"/>
        </w:rPr>
        <w:t> </w:t>
      </w:r>
      <w:proofErr w:type="spellStart"/>
      <w:r w:rsidRPr="00A07F29">
        <w:rPr>
          <w:rFonts w:ascii="Times New Roman" w:eastAsia="Calibri" w:hAnsi="Times New Roman" w:cs="Calibri"/>
          <w:sz w:val="20"/>
          <w:szCs w:val="20"/>
        </w:rPr>
        <w:t>Grunskis</w:t>
      </w:r>
      <w:proofErr w:type="spellEnd"/>
      <w:r w:rsidRPr="00A07F29">
        <w:rPr>
          <w:rFonts w:ascii="Times New Roman" w:eastAsia="Calibri" w:hAnsi="Times New Roman" w:cs="Calibri"/>
          <w:sz w:val="20"/>
          <w:szCs w:val="20"/>
        </w:rPr>
        <w:t>, A.</w:t>
      </w:r>
      <w:r w:rsidR="00AC55B2">
        <w:rPr>
          <w:rFonts w:ascii="Times New Roman" w:eastAsia="Calibri" w:hAnsi="Times New Roman" w:cs="Calibri"/>
          <w:sz w:val="20"/>
          <w:szCs w:val="20"/>
        </w:rPr>
        <w:t> </w:t>
      </w:r>
      <w:proofErr w:type="spellStart"/>
      <w:r w:rsidRPr="00A07F29">
        <w:rPr>
          <w:rFonts w:ascii="Times New Roman" w:eastAsia="Calibri" w:hAnsi="Times New Roman" w:cs="Calibri"/>
          <w:sz w:val="20"/>
          <w:szCs w:val="20"/>
        </w:rPr>
        <w:t>Kaufmane</w:t>
      </w:r>
      <w:proofErr w:type="spellEnd"/>
      <w:r w:rsidRPr="00A07F29">
        <w:rPr>
          <w:rFonts w:ascii="Times New Roman" w:eastAsia="Calibri" w:hAnsi="Times New Roman" w:cs="Calibri"/>
          <w:sz w:val="20"/>
          <w:szCs w:val="20"/>
        </w:rPr>
        <w:t>, S.</w:t>
      </w:r>
      <w:r w:rsidR="00AC55B2">
        <w:rPr>
          <w:rFonts w:ascii="Times New Roman" w:eastAsia="Calibri" w:hAnsi="Times New Roman" w:cs="Calibri"/>
          <w:sz w:val="20"/>
          <w:szCs w:val="20"/>
        </w:rPr>
        <w:t> </w:t>
      </w:r>
      <w:proofErr w:type="spellStart"/>
      <w:r w:rsidRPr="00A07F29">
        <w:rPr>
          <w:rFonts w:ascii="Times New Roman" w:eastAsia="Calibri" w:hAnsi="Times New Roman" w:cs="Calibri"/>
          <w:sz w:val="20"/>
          <w:szCs w:val="20"/>
        </w:rPr>
        <w:t>Cooperman</w:t>
      </w:r>
      <w:proofErr w:type="spellEnd"/>
      <w:r w:rsidRPr="00A07F29">
        <w:rPr>
          <w:rFonts w:ascii="Times New Roman" w:eastAsia="Calibri" w:hAnsi="Times New Roman" w:cs="Calibri"/>
          <w:sz w:val="20"/>
          <w:szCs w:val="20"/>
        </w:rPr>
        <w:t>, K.</w:t>
      </w:r>
      <w:r w:rsidR="00AC55B2">
        <w:rPr>
          <w:rFonts w:ascii="Times New Roman" w:eastAsia="Calibri" w:hAnsi="Times New Roman" w:cs="Calibri"/>
          <w:sz w:val="20"/>
          <w:szCs w:val="20"/>
        </w:rPr>
        <w:t> </w:t>
      </w:r>
      <w:r w:rsidRPr="00A07F29">
        <w:rPr>
          <w:rFonts w:ascii="Times New Roman" w:eastAsia="Calibri" w:hAnsi="Times New Roman" w:cs="Calibri"/>
          <w:sz w:val="20"/>
          <w:szCs w:val="20"/>
        </w:rPr>
        <w:t>Freibergs, R.</w:t>
      </w:r>
      <w:r w:rsidR="00AC55B2">
        <w:rPr>
          <w:rFonts w:ascii="Times New Roman" w:eastAsia="Calibri" w:hAnsi="Times New Roman" w:cs="Calibri"/>
          <w:sz w:val="20"/>
          <w:szCs w:val="20"/>
        </w:rPr>
        <w:t> </w:t>
      </w:r>
      <w:r w:rsidRPr="00A07F29">
        <w:rPr>
          <w:rFonts w:ascii="Times New Roman" w:eastAsia="Calibri" w:hAnsi="Times New Roman" w:cs="Calibri"/>
          <w:sz w:val="20"/>
          <w:szCs w:val="20"/>
        </w:rPr>
        <w:t xml:space="preserve">Kaupuža. </w:t>
      </w:r>
    </w:p>
    <w:p w14:paraId="5CFA6A1B" w14:textId="100EB18D" w:rsidR="009072CE" w:rsidRPr="00A07F29" w:rsidRDefault="009072CE" w:rsidP="00AC55B2">
      <w:pPr>
        <w:spacing w:after="0" w:line="240" w:lineRule="auto"/>
        <w:jc w:val="both"/>
        <w:rPr>
          <w:rFonts w:ascii="Times New Roman" w:eastAsia="Calibri" w:hAnsi="Times New Roman" w:cs="Calibri"/>
          <w:sz w:val="20"/>
          <w:szCs w:val="20"/>
        </w:rPr>
      </w:pPr>
      <w:r w:rsidRPr="00A07F29">
        <w:rPr>
          <w:rFonts w:ascii="Times New Roman" w:eastAsia="Calibri" w:hAnsi="Times New Roman" w:cs="Calibri"/>
          <w:sz w:val="20"/>
          <w:szCs w:val="20"/>
        </w:rPr>
        <w:t xml:space="preserve">Sugu nosaukumi: </w:t>
      </w:r>
      <w:proofErr w:type="spellStart"/>
      <w:r w:rsidRPr="00A07F29">
        <w:rPr>
          <w:rFonts w:ascii="Times New Roman" w:eastAsia="Calibri" w:hAnsi="Times New Roman" w:cs="Calibri"/>
          <w:i/>
          <w:sz w:val="20"/>
          <w:szCs w:val="20"/>
        </w:rPr>
        <w:t>M.dasycneme</w:t>
      </w:r>
      <w:proofErr w:type="spellEnd"/>
      <w:r w:rsidR="00EB0791">
        <w:rPr>
          <w:rFonts w:ascii="Times New Roman" w:eastAsia="Calibri" w:hAnsi="Times New Roman" w:cs="Calibri"/>
          <w:i/>
          <w:sz w:val="20"/>
          <w:szCs w:val="20"/>
        </w:rPr>
        <w:t xml:space="preserve"> </w:t>
      </w:r>
      <w:r w:rsidR="00EB0791">
        <w:rPr>
          <w:rFonts w:ascii="Times New Roman" w:eastAsia="Calibri" w:hAnsi="Times New Roman" w:cs="Calibri"/>
          <w:sz w:val="20"/>
          <w:szCs w:val="20"/>
        </w:rPr>
        <w:t>–</w:t>
      </w:r>
      <w:r w:rsidRPr="00A07F29">
        <w:rPr>
          <w:rFonts w:ascii="Times New Roman" w:eastAsia="Calibri" w:hAnsi="Times New Roman" w:cs="Calibri"/>
          <w:sz w:val="20"/>
          <w:szCs w:val="20"/>
        </w:rPr>
        <w:t xml:space="preserve"> dīķu </w:t>
      </w:r>
      <w:proofErr w:type="spellStart"/>
      <w:r w:rsidRPr="00A07F29">
        <w:rPr>
          <w:rFonts w:ascii="Times New Roman" w:eastAsia="Calibri" w:hAnsi="Times New Roman" w:cs="Calibri"/>
          <w:sz w:val="20"/>
          <w:szCs w:val="20"/>
        </w:rPr>
        <w:t>naktssikspārnis</w:t>
      </w:r>
      <w:proofErr w:type="spellEnd"/>
      <w:r w:rsidRPr="00A07F29">
        <w:rPr>
          <w:rFonts w:ascii="Times New Roman" w:eastAsia="Calibri" w:hAnsi="Times New Roman" w:cs="Calibri"/>
          <w:sz w:val="20"/>
          <w:szCs w:val="20"/>
        </w:rPr>
        <w:t xml:space="preserve">, </w:t>
      </w:r>
      <w:proofErr w:type="spellStart"/>
      <w:r w:rsidRPr="00A07F29">
        <w:rPr>
          <w:rFonts w:ascii="Times New Roman" w:eastAsia="Calibri" w:hAnsi="Times New Roman" w:cs="Calibri"/>
          <w:i/>
          <w:sz w:val="20"/>
          <w:szCs w:val="20"/>
        </w:rPr>
        <w:t>P.nathusii</w:t>
      </w:r>
      <w:proofErr w:type="spellEnd"/>
      <w:r w:rsidR="00EB0791">
        <w:rPr>
          <w:rFonts w:ascii="Times New Roman" w:eastAsia="Calibri" w:hAnsi="Times New Roman" w:cs="Calibri"/>
          <w:i/>
          <w:sz w:val="20"/>
          <w:szCs w:val="20"/>
        </w:rPr>
        <w:t xml:space="preserve"> </w:t>
      </w:r>
      <w:r w:rsidR="00EB0791">
        <w:rPr>
          <w:rFonts w:ascii="Times New Roman" w:eastAsia="Calibri" w:hAnsi="Times New Roman" w:cs="Calibri"/>
          <w:sz w:val="20"/>
          <w:szCs w:val="20"/>
        </w:rPr>
        <w:t>–</w:t>
      </w:r>
      <w:r w:rsidRPr="00A07F29">
        <w:rPr>
          <w:rFonts w:ascii="Times New Roman" w:eastAsia="Calibri" w:hAnsi="Times New Roman" w:cs="Calibri"/>
          <w:sz w:val="20"/>
          <w:szCs w:val="20"/>
        </w:rPr>
        <w:t xml:space="preserve"> </w:t>
      </w:r>
      <w:proofErr w:type="spellStart"/>
      <w:r w:rsidRPr="00A07F29">
        <w:rPr>
          <w:rFonts w:ascii="Times New Roman" w:eastAsia="Calibri" w:hAnsi="Times New Roman" w:cs="Calibri"/>
          <w:sz w:val="20"/>
          <w:szCs w:val="20"/>
        </w:rPr>
        <w:t>Natūza</w:t>
      </w:r>
      <w:proofErr w:type="spellEnd"/>
      <w:r w:rsidRPr="00A07F29">
        <w:rPr>
          <w:rFonts w:ascii="Times New Roman" w:eastAsia="Calibri" w:hAnsi="Times New Roman" w:cs="Calibri"/>
          <w:sz w:val="20"/>
          <w:szCs w:val="20"/>
        </w:rPr>
        <w:t xml:space="preserve"> sikspārnis, </w:t>
      </w:r>
      <w:proofErr w:type="spellStart"/>
      <w:r w:rsidRPr="00A07F29">
        <w:rPr>
          <w:rFonts w:ascii="Times New Roman" w:eastAsia="Calibri" w:hAnsi="Times New Roman" w:cs="Calibri"/>
          <w:i/>
          <w:sz w:val="20"/>
          <w:szCs w:val="20"/>
        </w:rPr>
        <w:t>P.pygmaeus</w:t>
      </w:r>
      <w:proofErr w:type="spellEnd"/>
      <w:r w:rsidR="00EB0791">
        <w:rPr>
          <w:rFonts w:ascii="Times New Roman" w:eastAsia="Calibri" w:hAnsi="Times New Roman" w:cs="Calibri"/>
          <w:i/>
          <w:sz w:val="20"/>
          <w:szCs w:val="20"/>
        </w:rPr>
        <w:t xml:space="preserve"> </w:t>
      </w:r>
      <w:r w:rsidR="00EB0791">
        <w:rPr>
          <w:rFonts w:ascii="Times New Roman" w:eastAsia="Calibri" w:hAnsi="Times New Roman" w:cs="Calibri"/>
          <w:sz w:val="20"/>
          <w:szCs w:val="20"/>
        </w:rPr>
        <w:t>–</w:t>
      </w:r>
      <w:r w:rsidRPr="00A07F29">
        <w:rPr>
          <w:rFonts w:ascii="Times New Roman" w:eastAsia="Calibri" w:hAnsi="Times New Roman" w:cs="Calibri"/>
          <w:sz w:val="20"/>
          <w:szCs w:val="20"/>
        </w:rPr>
        <w:t xml:space="preserve"> </w:t>
      </w:r>
      <w:proofErr w:type="spellStart"/>
      <w:r w:rsidRPr="00A07F29">
        <w:rPr>
          <w:rFonts w:ascii="Times New Roman" w:eastAsia="Calibri" w:hAnsi="Times New Roman" w:cs="Calibri"/>
          <w:sz w:val="20"/>
          <w:szCs w:val="20"/>
        </w:rPr>
        <w:t>pigmejsikspārnis</w:t>
      </w:r>
      <w:proofErr w:type="spellEnd"/>
      <w:r w:rsidRPr="00A07F29">
        <w:rPr>
          <w:rFonts w:ascii="Times New Roman" w:eastAsia="Calibri" w:hAnsi="Times New Roman" w:cs="Calibri"/>
          <w:sz w:val="20"/>
          <w:szCs w:val="20"/>
        </w:rPr>
        <w:t xml:space="preserve">, </w:t>
      </w:r>
      <w:proofErr w:type="spellStart"/>
      <w:r w:rsidRPr="00A07F29">
        <w:rPr>
          <w:rFonts w:ascii="Times New Roman" w:eastAsia="Calibri" w:hAnsi="Times New Roman" w:cs="Calibri"/>
          <w:i/>
          <w:sz w:val="20"/>
          <w:szCs w:val="20"/>
        </w:rPr>
        <w:t>Pipistrellus</w:t>
      </w:r>
      <w:proofErr w:type="spellEnd"/>
      <w:r w:rsidRPr="00A07F29">
        <w:rPr>
          <w:rFonts w:ascii="Times New Roman" w:eastAsia="Calibri" w:hAnsi="Times New Roman" w:cs="Calibri"/>
          <w:i/>
          <w:sz w:val="20"/>
          <w:szCs w:val="20"/>
        </w:rPr>
        <w:t xml:space="preserve"> </w:t>
      </w:r>
      <w:proofErr w:type="spellStart"/>
      <w:r w:rsidRPr="00A07F29">
        <w:rPr>
          <w:rFonts w:ascii="Times New Roman" w:eastAsia="Calibri" w:hAnsi="Times New Roman" w:cs="Calibri"/>
          <w:i/>
          <w:sz w:val="20"/>
          <w:szCs w:val="20"/>
        </w:rPr>
        <w:t>sp</w:t>
      </w:r>
      <w:proofErr w:type="spellEnd"/>
      <w:r w:rsidRPr="00A07F29">
        <w:rPr>
          <w:rFonts w:ascii="Times New Roman" w:eastAsia="Calibri" w:hAnsi="Times New Roman" w:cs="Calibri"/>
          <w:i/>
          <w:sz w:val="20"/>
          <w:szCs w:val="20"/>
        </w:rPr>
        <w:t>.</w:t>
      </w:r>
      <w:r w:rsidR="00C27FB9">
        <w:rPr>
          <w:rFonts w:ascii="Times New Roman" w:eastAsia="Calibri" w:hAnsi="Times New Roman" w:cs="Calibri"/>
          <w:i/>
          <w:sz w:val="20"/>
          <w:szCs w:val="20"/>
        </w:rPr>
        <w:t xml:space="preserve"> </w:t>
      </w:r>
      <w:r w:rsidR="00C27FB9">
        <w:rPr>
          <w:rFonts w:ascii="Times New Roman" w:eastAsia="Calibri" w:hAnsi="Times New Roman" w:cs="Calibri"/>
          <w:sz w:val="20"/>
          <w:szCs w:val="20"/>
        </w:rPr>
        <w:t>–</w:t>
      </w:r>
      <w:r w:rsidR="00EB0791">
        <w:rPr>
          <w:rFonts w:ascii="Times New Roman" w:eastAsia="Calibri" w:hAnsi="Times New Roman" w:cs="Calibri"/>
          <w:sz w:val="20"/>
          <w:szCs w:val="20"/>
        </w:rPr>
        <w:t xml:space="preserve"> </w:t>
      </w:r>
      <w:r w:rsidRPr="00A07F29">
        <w:rPr>
          <w:rFonts w:ascii="Times New Roman" w:eastAsia="Calibri" w:hAnsi="Times New Roman" w:cs="Calibri"/>
          <w:sz w:val="20"/>
          <w:szCs w:val="20"/>
        </w:rPr>
        <w:t xml:space="preserve">nenoteiktas sugas sikspārnis no </w:t>
      </w:r>
      <w:proofErr w:type="spellStart"/>
      <w:r w:rsidRPr="00A07F29">
        <w:rPr>
          <w:rFonts w:ascii="Times New Roman" w:eastAsia="Calibri" w:hAnsi="Times New Roman" w:cs="Calibri"/>
          <w:i/>
          <w:sz w:val="20"/>
          <w:szCs w:val="20"/>
        </w:rPr>
        <w:t>Pipistrellus</w:t>
      </w:r>
      <w:proofErr w:type="spellEnd"/>
      <w:r w:rsidRPr="00A07F29">
        <w:rPr>
          <w:rFonts w:ascii="Times New Roman" w:eastAsia="Calibri" w:hAnsi="Times New Roman" w:cs="Calibri"/>
          <w:sz w:val="20"/>
          <w:szCs w:val="20"/>
        </w:rPr>
        <w:t xml:space="preserve"> ģints, </w:t>
      </w:r>
      <w:proofErr w:type="spellStart"/>
      <w:r w:rsidRPr="00A07F29">
        <w:rPr>
          <w:rFonts w:ascii="Times New Roman" w:eastAsia="Calibri" w:hAnsi="Times New Roman" w:cs="Calibri"/>
          <w:i/>
          <w:sz w:val="20"/>
          <w:szCs w:val="20"/>
        </w:rPr>
        <w:t>P.auritus</w:t>
      </w:r>
      <w:proofErr w:type="spellEnd"/>
      <w:r w:rsidRPr="00A07F29">
        <w:rPr>
          <w:rFonts w:ascii="Times New Roman" w:eastAsia="Calibri" w:hAnsi="Times New Roman" w:cs="Calibri"/>
          <w:sz w:val="20"/>
          <w:szCs w:val="20"/>
        </w:rPr>
        <w:t xml:space="preserve"> – brūnais </w:t>
      </w:r>
      <w:proofErr w:type="spellStart"/>
      <w:r w:rsidRPr="00A07F29">
        <w:rPr>
          <w:rFonts w:ascii="Times New Roman" w:eastAsia="Calibri" w:hAnsi="Times New Roman" w:cs="Calibri"/>
          <w:sz w:val="20"/>
          <w:szCs w:val="20"/>
        </w:rPr>
        <w:t>garausainis</w:t>
      </w:r>
      <w:proofErr w:type="spellEnd"/>
    </w:p>
    <w:p w14:paraId="0DC58240" w14:textId="193ACE1C" w:rsidR="009072CE" w:rsidRPr="00A07F29" w:rsidRDefault="009072CE" w:rsidP="00AA3CC9">
      <w:pPr>
        <w:keepNext/>
        <w:spacing w:before="240" w:after="120" w:line="240" w:lineRule="auto"/>
        <w:jc w:val="both"/>
        <w:rPr>
          <w:rFonts w:ascii="Times New Roman" w:eastAsia="Calibri" w:hAnsi="Times New Roman" w:cs="Calibri"/>
          <w:b/>
          <w:i/>
          <w:sz w:val="24"/>
          <w:szCs w:val="24"/>
        </w:rPr>
      </w:pPr>
      <w:proofErr w:type="spellStart"/>
      <w:r w:rsidRPr="00A07F29">
        <w:rPr>
          <w:rFonts w:ascii="Times New Roman" w:eastAsia="Calibri" w:hAnsi="Times New Roman" w:cs="Calibri"/>
          <w:b/>
          <w:i/>
          <w:sz w:val="24"/>
          <w:szCs w:val="24"/>
        </w:rPr>
        <w:t>Sīķeles</w:t>
      </w:r>
      <w:proofErr w:type="spellEnd"/>
      <w:r w:rsidRPr="00A07F29">
        <w:rPr>
          <w:rFonts w:ascii="Times New Roman" w:eastAsia="Calibri" w:hAnsi="Times New Roman" w:cs="Calibri"/>
          <w:b/>
          <w:i/>
          <w:sz w:val="24"/>
          <w:szCs w:val="24"/>
        </w:rPr>
        <w:t xml:space="preserve"> luterāņu baznīca</w:t>
      </w:r>
    </w:p>
    <w:p w14:paraId="6D228F10" w14:textId="26639253" w:rsidR="009072CE" w:rsidRPr="00A07F29" w:rsidRDefault="009072CE" w:rsidP="00AA3CC9">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2002.</w:t>
      </w:r>
      <w:r w:rsidR="00C27FB9">
        <w:rPr>
          <w:rFonts w:ascii="Times New Roman" w:eastAsia="Calibri" w:hAnsi="Times New Roman" w:cs="Calibri"/>
          <w:sz w:val="24"/>
        </w:rPr>
        <w:t> </w:t>
      </w:r>
      <w:r w:rsidRPr="00A07F29">
        <w:rPr>
          <w:rFonts w:ascii="Times New Roman" w:eastAsia="Calibri" w:hAnsi="Times New Roman" w:cs="Calibri"/>
          <w:sz w:val="24"/>
        </w:rPr>
        <w:t>gada 4./5.</w:t>
      </w:r>
      <w:r w:rsidR="00C27FB9">
        <w:rPr>
          <w:rFonts w:ascii="Times New Roman" w:eastAsia="Calibri" w:hAnsi="Times New Roman" w:cs="Calibri"/>
          <w:sz w:val="24"/>
        </w:rPr>
        <w:t> </w:t>
      </w:r>
      <w:r w:rsidRPr="00A07F29">
        <w:rPr>
          <w:rFonts w:ascii="Times New Roman" w:eastAsia="Calibri" w:hAnsi="Times New Roman" w:cs="Calibri"/>
          <w:sz w:val="24"/>
        </w:rPr>
        <w:t xml:space="preserve">jūlija naktī pie baznīcas torņa tika novērots sikspārņu spiets. Ar ultraskaņas detektoru tika noteikts, ka vismaz daļā no tiem ir </w:t>
      </w:r>
      <w:proofErr w:type="spellStart"/>
      <w:r w:rsidRPr="00A07F29">
        <w:rPr>
          <w:rFonts w:ascii="Times New Roman" w:eastAsia="Calibri" w:hAnsi="Times New Roman" w:cs="Calibri"/>
          <w:sz w:val="24"/>
        </w:rPr>
        <w:t>Natūza</w:t>
      </w:r>
      <w:proofErr w:type="spellEnd"/>
      <w:r w:rsidRPr="00A07F29">
        <w:rPr>
          <w:rFonts w:ascii="Times New Roman" w:eastAsia="Calibri" w:hAnsi="Times New Roman" w:cs="Calibri"/>
          <w:sz w:val="24"/>
        </w:rPr>
        <w:t xml:space="preserve"> sikspārņi. Gadu vēlāk 4.</w:t>
      </w:r>
      <w:r w:rsidR="006960E5">
        <w:rPr>
          <w:rFonts w:ascii="Times New Roman" w:eastAsia="Calibri" w:hAnsi="Times New Roman" w:cs="Calibri"/>
          <w:sz w:val="24"/>
        </w:rPr>
        <w:t> </w:t>
      </w:r>
      <w:r w:rsidRPr="00A07F29">
        <w:rPr>
          <w:rFonts w:ascii="Times New Roman" w:eastAsia="Calibri" w:hAnsi="Times New Roman" w:cs="Calibri"/>
          <w:sz w:val="24"/>
        </w:rPr>
        <w:t xml:space="preserve">jūlijā vakara izlidojuma laikā pie baznīcas saskaitīti 25 </w:t>
      </w:r>
      <w:proofErr w:type="spellStart"/>
      <w:r w:rsidRPr="00A07F29">
        <w:rPr>
          <w:rFonts w:ascii="Times New Roman" w:eastAsia="Calibri" w:hAnsi="Times New Roman" w:cs="Calibri"/>
          <w:sz w:val="24"/>
        </w:rPr>
        <w:t>Natūza</w:t>
      </w:r>
      <w:proofErr w:type="spellEnd"/>
      <w:r w:rsidRPr="00A07F29">
        <w:rPr>
          <w:rFonts w:ascii="Times New Roman" w:eastAsia="Calibri" w:hAnsi="Times New Roman" w:cs="Calibri"/>
          <w:sz w:val="24"/>
        </w:rPr>
        <w:t xml:space="preserve"> sikspārņi un 13 brūnie </w:t>
      </w:r>
      <w:proofErr w:type="spellStart"/>
      <w:r w:rsidRPr="00A07F29">
        <w:rPr>
          <w:rFonts w:ascii="Times New Roman" w:eastAsia="Calibri" w:hAnsi="Times New Roman" w:cs="Calibri"/>
          <w:sz w:val="24"/>
        </w:rPr>
        <w:t>garausaiņi</w:t>
      </w:r>
      <w:proofErr w:type="spellEnd"/>
      <w:r w:rsidRPr="00A07F29">
        <w:rPr>
          <w:rFonts w:ascii="Times New Roman" w:eastAsia="Calibri" w:hAnsi="Times New Roman" w:cs="Calibri"/>
          <w:sz w:val="24"/>
        </w:rPr>
        <w:t>. Atkārtoti baznīca apmeklēta 2017.</w:t>
      </w:r>
      <w:r w:rsidR="006960E5">
        <w:rPr>
          <w:rFonts w:ascii="Times New Roman" w:eastAsia="Calibri" w:hAnsi="Times New Roman" w:cs="Calibri"/>
          <w:sz w:val="24"/>
        </w:rPr>
        <w:t> </w:t>
      </w:r>
      <w:r w:rsidRPr="00A07F29">
        <w:rPr>
          <w:rFonts w:ascii="Times New Roman" w:eastAsia="Calibri" w:hAnsi="Times New Roman" w:cs="Calibri"/>
          <w:sz w:val="24"/>
        </w:rPr>
        <w:t>gada 12.</w:t>
      </w:r>
      <w:r w:rsidR="006960E5">
        <w:rPr>
          <w:rFonts w:ascii="Times New Roman" w:eastAsia="Calibri" w:hAnsi="Times New Roman" w:cs="Calibri"/>
          <w:sz w:val="24"/>
        </w:rPr>
        <w:t> </w:t>
      </w:r>
      <w:r w:rsidRPr="00A07F29">
        <w:rPr>
          <w:rFonts w:ascii="Times New Roman" w:eastAsia="Calibri" w:hAnsi="Times New Roman" w:cs="Calibri"/>
          <w:sz w:val="24"/>
        </w:rPr>
        <w:t xml:space="preserve">jūlijā un vakara izlidojuma laikā tika uzskaitīti 192 </w:t>
      </w:r>
      <w:proofErr w:type="spellStart"/>
      <w:r w:rsidRPr="00A07F29">
        <w:rPr>
          <w:rFonts w:ascii="Times New Roman" w:eastAsia="Calibri" w:hAnsi="Times New Roman" w:cs="Calibri"/>
          <w:sz w:val="24"/>
        </w:rPr>
        <w:t>Natūza</w:t>
      </w:r>
      <w:proofErr w:type="spellEnd"/>
      <w:r w:rsidRPr="00A07F29">
        <w:rPr>
          <w:rFonts w:ascii="Times New Roman" w:eastAsia="Calibri" w:hAnsi="Times New Roman" w:cs="Calibri"/>
          <w:sz w:val="24"/>
        </w:rPr>
        <w:t xml:space="preserve"> sikspārņi un noķerts viens lidojošs šī gada jaunulis. 2019.</w:t>
      </w:r>
      <w:r w:rsidR="004A02F9">
        <w:rPr>
          <w:rFonts w:ascii="Times New Roman" w:eastAsia="Calibri" w:hAnsi="Times New Roman" w:cs="Calibri"/>
          <w:sz w:val="24"/>
        </w:rPr>
        <w:t> </w:t>
      </w:r>
      <w:r w:rsidRPr="00A07F29">
        <w:rPr>
          <w:rFonts w:ascii="Times New Roman" w:eastAsia="Calibri" w:hAnsi="Times New Roman" w:cs="Calibri"/>
          <w:sz w:val="24"/>
        </w:rPr>
        <w:t>gada 6.</w:t>
      </w:r>
      <w:r w:rsidR="004A02F9">
        <w:rPr>
          <w:rFonts w:ascii="Times New Roman" w:eastAsia="Calibri" w:hAnsi="Times New Roman" w:cs="Calibri"/>
          <w:sz w:val="24"/>
        </w:rPr>
        <w:t> </w:t>
      </w:r>
      <w:r w:rsidRPr="00A07F29">
        <w:rPr>
          <w:rFonts w:ascii="Times New Roman" w:eastAsia="Calibri" w:hAnsi="Times New Roman" w:cs="Calibri"/>
          <w:sz w:val="24"/>
        </w:rPr>
        <w:t xml:space="preserve">jūnijā vakara izlidojuma laikā tika novēroti 111 </w:t>
      </w:r>
      <w:proofErr w:type="spellStart"/>
      <w:r w:rsidRPr="00A07F29">
        <w:rPr>
          <w:rFonts w:ascii="Times New Roman" w:eastAsia="Calibri" w:hAnsi="Times New Roman" w:cs="Calibri"/>
          <w:sz w:val="24"/>
        </w:rPr>
        <w:t>Natūza</w:t>
      </w:r>
      <w:proofErr w:type="spellEnd"/>
      <w:r w:rsidRPr="00A07F29">
        <w:rPr>
          <w:rFonts w:ascii="Times New Roman" w:eastAsia="Calibri" w:hAnsi="Times New Roman" w:cs="Calibri"/>
          <w:sz w:val="24"/>
        </w:rPr>
        <w:t xml:space="preserve"> sikspārņi (novērotāja – Renāte Kaupuža). Pēdējā uzskaitē visticamāk ir reģistrētas tikai pieaugušās mātītes, kamēr iepriekšējo gadu jūlija uzskaitēs jau varēja izlidot arī jaunie sikspārņi.</w:t>
      </w:r>
    </w:p>
    <w:p w14:paraId="61D75365" w14:textId="10763D51" w:rsidR="009072CE" w:rsidRPr="00A07F29" w:rsidRDefault="009072CE" w:rsidP="00AA3CC9">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Baznīcā </w:t>
      </w:r>
      <w:proofErr w:type="spellStart"/>
      <w:r w:rsidRPr="00A07F29">
        <w:rPr>
          <w:rFonts w:ascii="Times New Roman" w:eastAsia="Calibri" w:hAnsi="Times New Roman" w:cs="Calibri"/>
          <w:sz w:val="24"/>
        </w:rPr>
        <w:t>Natūza</w:t>
      </w:r>
      <w:proofErr w:type="spellEnd"/>
      <w:r w:rsidRPr="00A07F29">
        <w:rPr>
          <w:rFonts w:ascii="Times New Roman" w:eastAsia="Calibri" w:hAnsi="Times New Roman" w:cs="Calibri"/>
          <w:sz w:val="24"/>
        </w:rPr>
        <w:t xml:space="preserve"> sikspārņi uzturas tikai tornī </w:t>
      </w:r>
      <w:r w:rsidR="00AA3CC9" w:rsidRPr="00A07F29">
        <w:rPr>
          <w:rFonts w:ascii="Times New Roman" w:eastAsia="Calibri" w:hAnsi="Times New Roman" w:cs="Calibri"/>
          <w:sz w:val="24"/>
        </w:rPr>
        <w:t>–</w:t>
      </w:r>
      <w:r w:rsidRPr="00A07F29">
        <w:rPr>
          <w:rFonts w:ascii="Times New Roman" w:eastAsia="Calibri" w:hAnsi="Times New Roman" w:cs="Calibri"/>
          <w:sz w:val="24"/>
        </w:rPr>
        <w:t xml:space="preserve"> telpā starp jumta skārda un dēļu segumiem. 2017.</w:t>
      </w:r>
      <w:r w:rsidR="00106D00">
        <w:rPr>
          <w:rFonts w:ascii="Times New Roman" w:eastAsia="Calibri" w:hAnsi="Times New Roman" w:cs="Calibri"/>
          <w:sz w:val="24"/>
        </w:rPr>
        <w:t> </w:t>
      </w:r>
      <w:r w:rsidRPr="00A07F29">
        <w:rPr>
          <w:rFonts w:ascii="Times New Roman" w:eastAsia="Calibri" w:hAnsi="Times New Roman" w:cs="Calibri"/>
          <w:sz w:val="24"/>
        </w:rPr>
        <w:t>gadā dienas laikā apsekojot baznīcas iekštelpas, sikspārņi tornī nebija saskatāmi.</w:t>
      </w:r>
    </w:p>
    <w:p w14:paraId="1CA729D4" w14:textId="77777777" w:rsidR="009072CE" w:rsidRPr="00A07F29" w:rsidRDefault="009072CE" w:rsidP="00AA3CC9">
      <w:pPr>
        <w:keepNext/>
        <w:spacing w:before="240" w:after="120" w:line="240" w:lineRule="auto"/>
        <w:jc w:val="both"/>
        <w:rPr>
          <w:rFonts w:ascii="Times New Roman" w:eastAsia="Calibri" w:hAnsi="Times New Roman" w:cs="Calibri"/>
          <w:b/>
          <w:i/>
          <w:sz w:val="24"/>
          <w:szCs w:val="24"/>
        </w:rPr>
      </w:pPr>
      <w:r w:rsidRPr="00A07F29">
        <w:rPr>
          <w:rFonts w:ascii="Times New Roman" w:eastAsia="Calibri" w:hAnsi="Times New Roman" w:cs="Calibri"/>
          <w:b/>
          <w:i/>
          <w:sz w:val="24"/>
          <w:szCs w:val="24"/>
        </w:rPr>
        <w:t>Kaplavas pagasta “Pazari”</w:t>
      </w:r>
    </w:p>
    <w:p w14:paraId="53FC5F37" w14:textId="681B642F" w:rsidR="009072CE" w:rsidRPr="00A07F29" w:rsidRDefault="009072CE" w:rsidP="00AA3CC9">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2019.</w:t>
      </w:r>
      <w:r w:rsidR="00AA3CC9" w:rsidRPr="00A07F29">
        <w:rPr>
          <w:rFonts w:ascii="Times New Roman" w:eastAsia="Calibri" w:hAnsi="Times New Roman" w:cs="Calibri"/>
          <w:sz w:val="24"/>
        </w:rPr>
        <w:t> </w:t>
      </w:r>
      <w:r w:rsidRPr="00A07F29">
        <w:rPr>
          <w:rFonts w:ascii="Times New Roman" w:eastAsia="Calibri" w:hAnsi="Times New Roman" w:cs="Calibri"/>
          <w:sz w:val="24"/>
        </w:rPr>
        <w:t>gada 22.</w:t>
      </w:r>
      <w:r w:rsidR="0026097D">
        <w:rPr>
          <w:rFonts w:ascii="Times New Roman" w:eastAsia="Calibri" w:hAnsi="Times New Roman" w:cs="Calibri"/>
          <w:sz w:val="24"/>
        </w:rPr>
        <w:t> </w:t>
      </w:r>
      <w:r w:rsidRPr="00A07F29">
        <w:rPr>
          <w:rFonts w:ascii="Times New Roman" w:eastAsia="Calibri" w:hAnsi="Times New Roman" w:cs="Calibri"/>
          <w:sz w:val="24"/>
        </w:rPr>
        <w:t>jūlijā apsekojot Pazaru māju dzīvojamo ēku, tās ārsienā aiz dēļu apšuvuma konstatēta liela sikspārņu kolonija (</w:t>
      </w:r>
      <w:r w:rsidR="003502EB">
        <w:rPr>
          <w:rFonts w:ascii="Times New Roman" w:eastAsia="Calibri" w:hAnsi="Times New Roman" w:cs="Calibri"/>
          <w:sz w:val="24"/>
        </w:rPr>
        <w:t xml:space="preserve">skat. </w:t>
      </w:r>
      <w:r w:rsidRPr="00A07F29">
        <w:rPr>
          <w:rFonts w:ascii="Times New Roman" w:eastAsia="Calibri" w:hAnsi="Times New Roman" w:cs="Calibri"/>
          <w:sz w:val="24"/>
        </w:rPr>
        <w:t>4.</w:t>
      </w:r>
      <w:r w:rsidR="00AA3CC9" w:rsidRPr="00A07F29">
        <w:rPr>
          <w:rFonts w:ascii="Times New Roman" w:eastAsia="Calibri" w:hAnsi="Times New Roman" w:cs="Calibri"/>
          <w:sz w:val="24"/>
        </w:rPr>
        <w:t>11</w:t>
      </w:r>
      <w:r w:rsidRPr="00A07F29">
        <w:rPr>
          <w:rFonts w:ascii="Times New Roman" w:eastAsia="Calibri" w:hAnsi="Times New Roman" w:cs="Calibri"/>
          <w:sz w:val="24"/>
        </w:rPr>
        <w:t>.5.</w:t>
      </w:r>
      <w:r w:rsidR="003502EB">
        <w:rPr>
          <w:rFonts w:ascii="Times New Roman" w:eastAsia="Calibri" w:hAnsi="Times New Roman" w:cs="Calibri"/>
          <w:sz w:val="24"/>
        </w:rPr>
        <w:t> </w:t>
      </w:r>
      <w:r w:rsidRPr="00A07F29">
        <w:rPr>
          <w:rFonts w:ascii="Times New Roman" w:eastAsia="Calibri" w:hAnsi="Times New Roman" w:cs="Calibri"/>
          <w:sz w:val="24"/>
        </w:rPr>
        <w:t xml:space="preserve">attēls). Par to liecināja ekskrementu daudzums uz ārsienām, sikspārņu izdotās skaņas un iedzīvotāju stāstījums. Sikspārņi sākuši māju apdzīvot pēc tam, kad pirms sešiem gadiem baļķu ārsienas apšūtas ar dēļiem. Tā kā sikspārņu ekskrementi un to smaka iekļūst arī iekštelpās, saimniekiem ir pretenzijas pret sikspārņiem un viņi plāno mainīt ārsienu apšuvumu. Vienlaikus saimnieki neiebilstu, ja tiktu izveidotas kompensējošas slēptuves pie kādas no saimniecības ēkām. Sikspārņu uzskaite vakarā laika trūkuma dēļ nebija iespējama, tās vietā tika veikta sikspārņu reģistrēšana automātiskajā detektorā sākot, ar vakara izlidojuma laiku. Ierakstu analīze liecināja, ka ēku apdzīvo </w:t>
      </w:r>
      <w:proofErr w:type="spellStart"/>
      <w:r w:rsidRPr="00A07F29">
        <w:rPr>
          <w:rFonts w:ascii="Times New Roman" w:eastAsia="Calibri" w:hAnsi="Times New Roman" w:cs="Calibri"/>
          <w:sz w:val="24"/>
        </w:rPr>
        <w:t>Natūza</w:t>
      </w:r>
      <w:proofErr w:type="spellEnd"/>
      <w:r w:rsidRPr="00A07F29">
        <w:rPr>
          <w:rFonts w:ascii="Times New Roman" w:eastAsia="Calibri" w:hAnsi="Times New Roman" w:cs="Calibri"/>
          <w:sz w:val="24"/>
        </w:rPr>
        <w:t xml:space="preserve"> sikspārņi un </w:t>
      </w:r>
      <w:proofErr w:type="spellStart"/>
      <w:r w:rsidRPr="00A07F29">
        <w:rPr>
          <w:rFonts w:ascii="Times New Roman" w:eastAsia="Calibri" w:hAnsi="Times New Roman" w:cs="Calibri"/>
          <w:sz w:val="24"/>
        </w:rPr>
        <w:t>pigmejsikspārņi</w:t>
      </w:r>
      <w:proofErr w:type="spellEnd"/>
      <w:r w:rsidRPr="00A07F29">
        <w:rPr>
          <w:rFonts w:ascii="Times New Roman" w:eastAsia="Calibri" w:hAnsi="Times New Roman" w:cs="Calibri"/>
          <w:sz w:val="24"/>
        </w:rPr>
        <w:t xml:space="preserve">, iespējams, arī nenoskaidrotas sugas </w:t>
      </w:r>
      <w:proofErr w:type="spellStart"/>
      <w:r w:rsidRPr="00A07F29">
        <w:rPr>
          <w:rFonts w:ascii="Times New Roman" w:eastAsia="Calibri" w:hAnsi="Times New Roman" w:cs="Calibri"/>
          <w:sz w:val="24"/>
        </w:rPr>
        <w:t>naktssikspārņi</w:t>
      </w:r>
      <w:proofErr w:type="spellEnd"/>
      <w:r w:rsidRPr="00A07F29">
        <w:rPr>
          <w:rFonts w:ascii="Times New Roman" w:eastAsia="Calibri" w:hAnsi="Times New Roman" w:cs="Calibri"/>
          <w:sz w:val="24"/>
        </w:rPr>
        <w:t xml:space="preserve">. </w:t>
      </w:r>
    </w:p>
    <w:p w14:paraId="13DD9979" w14:textId="77777777" w:rsidR="009072CE" w:rsidRPr="00A07F29" w:rsidRDefault="009072CE" w:rsidP="00AA3CC9">
      <w:pPr>
        <w:spacing w:after="0" w:line="240" w:lineRule="auto"/>
        <w:ind w:firstLine="851"/>
        <w:jc w:val="both"/>
        <w:rPr>
          <w:rFonts w:ascii="Times New Roman" w:eastAsia="Calibri" w:hAnsi="Times New Roman" w:cs="Calibri"/>
          <w:sz w:val="24"/>
        </w:rPr>
      </w:pPr>
    </w:p>
    <w:p w14:paraId="37557E4A" w14:textId="77777777" w:rsidR="009072CE" w:rsidRPr="00A07F29" w:rsidRDefault="009072CE" w:rsidP="00136908">
      <w:pPr>
        <w:spacing w:after="0" w:line="240" w:lineRule="auto"/>
        <w:jc w:val="center"/>
        <w:rPr>
          <w:rFonts w:ascii="Times New Roman" w:eastAsia="Calibri" w:hAnsi="Times New Roman" w:cs="Calibri"/>
          <w:sz w:val="24"/>
        </w:rPr>
      </w:pPr>
      <w:r w:rsidRPr="00A07F29">
        <w:rPr>
          <w:noProof/>
          <w:lang w:eastAsia="lv-LV"/>
        </w:rPr>
        <w:drawing>
          <wp:inline distT="0" distB="0" distL="0" distR="0" wp14:anchorId="18370112" wp14:editId="0E3EC6C5">
            <wp:extent cx="5267324" cy="2962275"/>
            <wp:effectExtent l="0" t="0" r="9525" b="9525"/>
            <wp:docPr id="918145593" name="Attēls 918145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18145593"/>
                    <pic:cNvPicPr/>
                  </pic:nvPicPr>
                  <pic:blipFill>
                    <a:blip r:embed="rId98">
                      <a:extLst>
                        <a:ext uri="{28A0092B-C50C-407E-A947-70E740481C1C}">
                          <a14:useLocalDpi xmlns:a14="http://schemas.microsoft.com/office/drawing/2010/main"/>
                        </a:ext>
                      </a:extLst>
                    </a:blip>
                    <a:stretch>
                      <a:fillRect/>
                    </a:stretch>
                  </pic:blipFill>
                  <pic:spPr>
                    <a:xfrm>
                      <a:off x="0" y="0"/>
                      <a:ext cx="5267324" cy="2962275"/>
                    </a:xfrm>
                    <a:prstGeom prst="rect">
                      <a:avLst/>
                    </a:prstGeom>
                  </pic:spPr>
                </pic:pic>
              </a:graphicData>
            </a:graphic>
          </wp:inline>
        </w:drawing>
      </w:r>
    </w:p>
    <w:p w14:paraId="122DAE0E" w14:textId="2B6B5CCF" w:rsidR="009072CE" w:rsidRPr="00C313EB" w:rsidRDefault="009072CE" w:rsidP="00C313EB">
      <w:pPr>
        <w:spacing w:after="0" w:line="240" w:lineRule="auto"/>
        <w:jc w:val="both"/>
        <w:rPr>
          <w:rFonts w:ascii="Times New Roman" w:eastAsia="Calibri" w:hAnsi="Times New Roman" w:cs="Calibri"/>
          <w:sz w:val="20"/>
          <w:szCs w:val="20"/>
        </w:rPr>
      </w:pPr>
      <w:r w:rsidRPr="00C313EB">
        <w:rPr>
          <w:rFonts w:ascii="Times New Roman" w:eastAsia="Calibri" w:hAnsi="Times New Roman" w:cs="Calibri"/>
          <w:sz w:val="20"/>
          <w:szCs w:val="20"/>
        </w:rPr>
        <w:t>4.</w:t>
      </w:r>
      <w:r w:rsidR="00136908" w:rsidRPr="00C313EB">
        <w:rPr>
          <w:rFonts w:ascii="Times New Roman" w:eastAsia="Calibri" w:hAnsi="Times New Roman" w:cs="Calibri"/>
          <w:sz w:val="20"/>
          <w:szCs w:val="20"/>
        </w:rPr>
        <w:t>11</w:t>
      </w:r>
      <w:r w:rsidRPr="00C313EB">
        <w:rPr>
          <w:rFonts w:ascii="Times New Roman" w:eastAsia="Calibri" w:hAnsi="Times New Roman" w:cs="Calibri"/>
          <w:sz w:val="20"/>
          <w:szCs w:val="20"/>
        </w:rPr>
        <w:t>.5.</w:t>
      </w:r>
      <w:r w:rsidR="00136908" w:rsidRPr="00C313EB">
        <w:rPr>
          <w:rFonts w:ascii="Times New Roman" w:eastAsia="Calibri" w:hAnsi="Times New Roman" w:cs="Calibri"/>
          <w:sz w:val="20"/>
          <w:szCs w:val="20"/>
        </w:rPr>
        <w:t> </w:t>
      </w:r>
      <w:r w:rsidRPr="00C313EB">
        <w:rPr>
          <w:rFonts w:ascii="Times New Roman" w:eastAsia="Calibri" w:hAnsi="Times New Roman" w:cs="Calibri"/>
          <w:sz w:val="20"/>
          <w:szCs w:val="20"/>
        </w:rPr>
        <w:t>attēls. Paz</w:t>
      </w:r>
      <w:r w:rsidR="00CD45EF" w:rsidRPr="00C313EB">
        <w:rPr>
          <w:rFonts w:ascii="Times New Roman" w:eastAsia="Calibri" w:hAnsi="Times New Roman" w:cs="Calibri"/>
          <w:sz w:val="20"/>
          <w:szCs w:val="20"/>
        </w:rPr>
        <w:t>a</w:t>
      </w:r>
      <w:r w:rsidRPr="00C313EB">
        <w:rPr>
          <w:rFonts w:ascii="Times New Roman" w:eastAsia="Calibri" w:hAnsi="Times New Roman" w:cs="Calibri"/>
          <w:sz w:val="20"/>
          <w:szCs w:val="20"/>
        </w:rPr>
        <w:t>ru mājas ārsienā 2019.</w:t>
      </w:r>
      <w:r w:rsidR="00C313EB" w:rsidRPr="00C313EB">
        <w:rPr>
          <w:rFonts w:ascii="Times New Roman" w:eastAsia="Calibri" w:hAnsi="Times New Roman" w:cs="Calibri"/>
          <w:sz w:val="20"/>
          <w:szCs w:val="20"/>
        </w:rPr>
        <w:t> </w:t>
      </w:r>
      <w:r w:rsidRPr="00C313EB">
        <w:rPr>
          <w:rFonts w:ascii="Times New Roman" w:eastAsia="Calibri" w:hAnsi="Times New Roman" w:cs="Calibri"/>
          <w:sz w:val="20"/>
          <w:szCs w:val="20"/>
        </w:rPr>
        <w:t>gada 22.</w:t>
      </w:r>
      <w:r w:rsidR="00C313EB" w:rsidRPr="00C313EB">
        <w:rPr>
          <w:rFonts w:ascii="Times New Roman" w:eastAsia="Calibri" w:hAnsi="Times New Roman" w:cs="Calibri"/>
          <w:sz w:val="20"/>
          <w:szCs w:val="20"/>
        </w:rPr>
        <w:t> </w:t>
      </w:r>
      <w:r w:rsidRPr="00C313EB">
        <w:rPr>
          <w:rFonts w:ascii="Times New Roman" w:eastAsia="Calibri" w:hAnsi="Times New Roman" w:cs="Calibri"/>
          <w:sz w:val="20"/>
          <w:szCs w:val="20"/>
        </w:rPr>
        <w:t xml:space="preserve">jūlijā atrasta </w:t>
      </w:r>
      <w:proofErr w:type="spellStart"/>
      <w:r w:rsidRPr="00C313EB">
        <w:rPr>
          <w:rFonts w:ascii="Times New Roman" w:eastAsia="Calibri" w:hAnsi="Times New Roman" w:cs="Calibri"/>
          <w:sz w:val="20"/>
          <w:szCs w:val="20"/>
        </w:rPr>
        <w:t>Natūza</w:t>
      </w:r>
      <w:proofErr w:type="spellEnd"/>
      <w:r w:rsidRPr="00C313EB">
        <w:rPr>
          <w:rFonts w:ascii="Times New Roman" w:eastAsia="Calibri" w:hAnsi="Times New Roman" w:cs="Calibri"/>
          <w:sz w:val="20"/>
          <w:szCs w:val="20"/>
        </w:rPr>
        <w:t xml:space="preserve"> sikspārņu un </w:t>
      </w:r>
      <w:proofErr w:type="spellStart"/>
      <w:r w:rsidRPr="00C313EB">
        <w:rPr>
          <w:rFonts w:ascii="Times New Roman" w:eastAsia="Calibri" w:hAnsi="Times New Roman" w:cs="Calibri"/>
          <w:sz w:val="20"/>
          <w:szCs w:val="20"/>
        </w:rPr>
        <w:t>pigmejsikspārņu</w:t>
      </w:r>
      <w:proofErr w:type="spellEnd"/>
      <w:r w:rsidRPr="00C313EB">
        <w:rPr>
          <w:rFonts w:ascii="Times New Roman" w:eastAsia="Calibri" w:hAnsi="Times New Roman" w:cs="Calibri"/>
          <w:sz w:val="20"/>
          <w:szCs w:val="20"/>
        </w:rPr>
        <w:t xml:space="preserve"> kolonija. Priekšplānā uz staba novietots automātiskais detektors D-500x.</w:t>
      </w:r>
    </w:p>
    <w:p w14:paraId="7D7B0D7F" w14:textId="77777777" w:rsidR="009072CE" w:rsidRPr="00A07F29" w:rsidRDefault="009072CE" w:rsidP="00AA3CC9">
      <w:pPr>
        <w:spacing w:after="0" w:line="240" w:lineRule="auto"/>
        <w:ind w:firstLine="851"/>
        <w:jc w:val="both"/>
        <w:rPr>
          <w:rFonts w:ascii="Times New Roman" w:eastAsia="Calibri" w:hAnsi="Times New Roman" w:cs="Calibri"/>
          <w:sz w:val="24"/>
        </w:rPr>
      </w:pPr>
    </w:p>
    <w:p w14:paraId="74C1CD1A" w14:textId="77777777" w:rsidR="009072CE" w:rsidRPr="00A07F29" w:rsidRDefault="009072CE" w:rsidP="00136908">
      <w:pPr>
        <w:keepNext/>
        <w:spacing w:before="240" w:after="120" w:line="240" w:lineRule="auto"/>
        <w:jc w:val="both"/>
        <w:rPr>
          <w:rFonts w:ascii="Times New Roman" w:eastAsia="Calibri" w:hAnsi="Times New Roman" w:cs="Calibri"/>
          <w:b/>
          <w:i/>
          <w:sz w:val="24"/>
          <w:szCs w:val="24"/>
        </w:rPr>
      </w:pPr>
      <w:proofErr w:type="spellStart"/>
      <w:r w:rsidRPr="00A07F29">
        <w:rPr>
          <w:rFonts w:ascii="Times New Roman" w:eastAsia="Calibri" w:hAnsi="Times New Roman" w:cs="Calibri"/>
          <w:b/>
          <w:i/>
          <w:sz w:val="24"/>
          <w:szCs w:val="24"/>
        </w:rPr>
        <w:t>Varnaviču</w:t>
      </w:r>
      <w:proofErr w:type="spellEnd"/>
      <w:r w:rsidRPr="00A07F29">
        <w:rPr>
          <w:rFonts w:ascii="Times New Roman" w:eastAsia="Calibri" w:hAnsi="Times New Roman" w:cs="Calibri"/>
          <w:b/>
          <w:i/>
          <w:sz w:val="24"/>
          <w:szCs w:val="24"/>
        </w:rPr>
        <w:t xml:space="preserve"> katoļu baznīca</w:t>
      </w:r>
    </w:p>
    <w:p w14:paraId="49E643F9" w14:textId="667A5711" w:rsidR="009072CE" w:rsidRPr="00A07F29" w:rsidRDefault="009072CE" w:rsidP="00136908">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Baznīca tika apsekota 2019.</w:t>
      </w:r>
      <w:r w:rsidR="00C258AB">
        <w:rPr>
          <w:rFonts w:ascii="Times New Roman" w:eastAsia="Calibri" w:hAnsi="Times New Roman" w:cs="Calibri"/>
          <w:sz w:val="24"/>
        </w:rPr>
        <w:t> </w:t>
      </w:r>
      <w:r w:rsidRPr="00A07F29">
        <w:rPr>
          <w:rFonts w:ascii="Times New Roman" w:eastAsia="Calibri" w:hAnsi="Times New Roman" w:cs="Calibri"/>
          <w:sz w:val="24"/>
        </w:rPr>
        <w:t>gada 4.</w:t>
      </w:r>
      <w:r w:rsidR="00C258AB">
        <w:rPr>
          <w:rFonts w:ascii="Times New Roman" w:eastAsia="Calibri" w:hAnsi="Times New Roman" w:cs="Calibri"/>
          <w:sz w:val="24"/>
        </w:rPr>
        <w:t> </w:t>
      </w:r>
      <w:r w:rsidRPr="00A07F29">
        <w:rPr>
          <w:rFonts w:ascii="Times New Roman" w:eastAsia="Calibri" w:hAnsi="Times New Roman" w:cs="Calibri"/>
          <w:sz w:val="24"/>
        </w:rPr>
        <w:t xml:space="preserve">jūnijā. Uz torņa ārsienas nelielā daudzumā novēroti sikspārņu ekskrementi. Baznīcas bēniņos novērots viens brūnais </w:t>
      </w:r>
      <w:proofErr w:type="spellStart"/>
      <w:r w:rsidRPr="00A07F29">
        <w:rPr>
          <w:rFonts w:ascii="Times New Roman" w:eastAsia="Calibri" w:hAnsi="Times New Roman" w:cs="Calibri"/>
          <w:sz w:val="24"/>
        </w:rPr>
        <w:t>garausainis</w:t>
      </w:r>
      <w:proofErr w:type="spellEnd"/>
      <w:r w:rsidRPr="00A07F29">
        <w:rPr>
          <w:rFonts w:ascii="Times New Roman" w:eastAsia="Calibri" w:hAnsi="Times New Roman" w:cs="Calibri"/>
          <w:sz w:val="24"/>
        </w:rPr>
        <w:t xml:space="preserve">, bet nebija liecību par sikspārņu lielākas kolonijas klātesamību. Tornī nebija iespējams nokļūt līdz tā augšdaļai un pārliecināties par sikspārņu klātbūtni. </w:t>
      </w:r>
    </w:p>
    <w:p w14:paraId="21CA8618" w14:textId="3F00711D" w:rsidR="009072CE" w:rsidRPr="00A07F29" w:rsidRDefault="009072CE" w:rsidP="00136908">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Vēsturiski AAA </w:t>
      </w:r>
      <w:r w:rsidR="00136908" w:rsidRPr="00A07F29">
        <w:rPr>
          <w:rFonts w:ascii="Times New Roman" w:eastAsia="Calibri" w:hAnsi="Times New Roman" w:cs="Calibri"/>
          <w:sz w:val="24"/>
        </w:rPr>
        <w:t xml:space="preserve">“Augšdaugava” </w:t>
      </w:r>
      <w:r w:rsidRPr="00A07F29">
        <w:rPr>
          <w:rFonts w:ascii="Times New Roman" w:eastAsia="Calibri" w:hAnsi="Times New Roman" w:cs="Calibri"/>
          <w:sz w:val="24"/>
        </w:rPr>
        <w:t xml:space="preserve">teritorijā sikspārņi apdzīvojuši arī </w:t>
      </w:r>
      <w:proofErr w:type="spellStart"/>
      <w:r w:rsidRPr="00A07F29">
        <w:rPr>
          <w:rFonts w:ascii="Times New Roman" w:eastAsia="Calibri" w:hAnsi="Times New Roman" w:cs="Calibri"/>
          <w:sz w:val="24"/>
        </w:rPr>
        <w:t>Borovkas</w:t>
      </w:r>
      <w:proofErr w:type="spellEnd"/>
      <w:r w:rsidRPr="00A07F29">
        <w:rPr>
          <w:rFonts w:ascii="Times New Roman" w:eastAsia="Calibri" w:hAnsi="Times New Roman" w:cs="Calibri"/>
          <w:sz w:val="24"/>
        </w:rPr>
        <w:t xml:space="preserve"> katoļu baznīcu (dīķu </w:t>
      </w:r>
      <w:proofErr w:type="spellStart"/>
      <w:r w:rsidRPr="00A07F29">
        <w:rPr>
          <w:rFonts w:ascii="Times New Roman" w:eastAsia="Calibri" w:hAnsi="Times New Roman" w:cs="Calibri"/>
          <w:sz w:val="24"/>
        </w:rPr>
        <w:t>naktssikspārņi</w:t>
      </w:r>
      <w:proofErr w:type="spellEnd"/>
      <w:r w:rsidRPr="00A07F29">
        <w:rPr>
          <w:rFonts w:ascii="Times New Roman" w:eastAsia="Calibri" w:hAnsi="Times New Roman" w:cs="Calibri"/>
          <w:sz w:val="24"/>
        </w:rPr>
        <w:t xml:space="preserve"> un </w:t>
      </w:r>
      <w:proofErr w:type="spellStart"/>
      <w:r w:rsidRPr="00A07F29">
        <w:rPr>
          <w:rFonts w:ascii="Times New Roman" w:eastAsia="Calibri" w:hAnsi="Times New Roman" w:cs="Calibri"/>
          <w:sz w:val="24"/>
        </w:rPr>
        <w:t>Natūza</w:t>
      </w:r>
      <w:proofErr w:type="spellEnd"/>
      <w:r w:rsidRPr="00A07F29">
        <w:rPr>
          <w:rFonts w:ascii="Times New Roman" w:eastAsia="Calibri" w:hAnsi="Times New Roman" w:cs="Calibri"/>
          <w:sz w:val="24"/>
        </w:rPr>
        <w:t xml:space="preserve"> sikspārņi, pēc renovācijas 2016.</w:t>
      </w:r>
      <w:r w:rsidR="00A46C11">
        <w:rPr>
          <w:rFonts w:ascii="Times New Roman" w:eastAsia="Calibri" w:hAnsi="Times New Roman" w:cs="Calibri"/>
          <w:sz w:val="24"/>
        </w:rPr>
        <w:t> </w:t>
      </w:r>
      <w:r w:rsidRPr="00A07F29">
        <w:rPr>
          <w:rFonts w:ascii="Times New Roman" w:eastAsia="Calibri" w:hAnsi="Times New Roman" w:cs="Calibri"/>
          <w:sz w:val="24"/>
        </w:rPr>
        <w:t xml:space="preserve">gadā sikspārņiem baznīcas bēniņi vairs nav pieejami), </w:t>
      </w:r>
      <w:proofErr w:type="spellStart"/>
      <w:r w:rsidRPr="00A07F29">
        <w:rPr>
          <w:rFonts w:ascii="Times New Roman" w:eastAsia="Calibri" w:hAnsi="Times New Roman" w:cs="Calibri"/>
          <w:sz w:val="24"/>
        </w:rPr>
        <w:t>Jaunbornes</w:t>
      </w:r>
      <w:proofErr w:type="spellEnd"/>
      <w:r w:rsidRPr="00A07F29">
        <w:rPr>
          <w:rFonts w:ascii="Times New Roman" w:eastAsia="Calibri" w:hAnsi="Times New Roman" w:cs="Calibri"/>
          <w:sz w:val="24"/>
        </w:rPr>
        <w:t xml:space="preserve"> katoļu baznīcu (brūno </w:t>
      </w:r>
      <w:proofErr w:type="spellStart"/>
      <w:r w:rsidRPr="00A07F29">
        <w:rPr>
          <w:rFonts w:ascii="Times New Roman" w:eastAsia="Calibri" w:hAnsi="Times New Roman" w:cs="Calibri"/>
          <w:sz w:val="24"/>
        </w:rPr>
        <w:t>garausaiņu</w:t>
      </w:r>
      <w:proofErr w:type="spellEnd"/>
      <w:r w:rsidRPr="00A07F29">
        <w:rPr>
          <w:rFonts w:ascii="Times New Roman" w:eastAsia="Calibri" w:hAnsi="Times New Roman" w:cs="Calibri"/>
          <w:sz w:val="24"/>
        </w:rPr>
        <w:t xml:space="preserve"> mātītes ar mazuļiem, 2003.</w:t>
      </w:r>
      <w:r w:rsidR="00A46C11">
        <w:rPr>
          <w:rFonts w:ascii="Times New Roman" w:eastAsia="Calibri" w:hAnsi="Times New Roman" w:cs="Calibri"/>
          <w:sz w:val="24"/>
        </w:rPr>
        <w:t> </w:t>
      </w:r>
      <w:r w:rsidRPr="00A07F29">
        <w:rPr>
          <w:rFonts w:ascii="Times New Roman" w:eastAsia="Calibri" w:hAnsi="Times New Roman" w:cs="Calibri"/>
          <w:sz w:val="24"/>
        </w:rPr>
        <w:t>gads).</w:t>
      </w:r>
    </w:p>
    <w:p w14:paraId="71870A00" w14:textId="2E3B1DA9" w:rsidR="009072CE" w:rsidRPr="00A07F29" w:rsidRDefault="00136908" w:rsidP="00136908">
      <w:pPr>
        <w:spacing w:before="240" w:after="120" w:line="240" w:lineRule="auto"/>
        <w:ind w:firstLine="851"/>
        <w:jc w:val="center"/>
        <w:rPr>
          <w:rFonts w:ascii="Times New Roman" w:eastAsia="Calibri" w:hAnsi="Times New Roman" w:cs="Calibri"/>
          <w:b/>
          <w:sz w:val="24"/>
        </w:rPr>
      </w:pPr>
      <w:r w:rsidRPr="00A07F29">
        <w:rPr>
          <w:rFonts w:ascii="Times New Roman" w:eastAsia="Calibri" w:hAnsi="Times New Roman" w:cs="Calibri"/>
          <w:b/>
          <w:sz w:val="24"/>
        </w:rPr>
        <w:t xml:space="preserve">4.11.1.5. </w:t>
      </w:r>
      <w:r w:rsidR="009072CE" w:rsidRPr="00A07F29">
        <w:rPr>
          <w:rFonts w:ascii="Times New Roman" w:eastAsia="Calibri" w:hAnsi="Times New Roman" w:cs="Calibri"/>
          <w:b/>
          <w:sz w:val="24"/>
        </w:rPr>
        <w:t>Sugu apskats</w:t>
      </w:r>
    </w:p>
    <w:p w14:paraId="1CC59D1E" w14:textId="721829DD" w:rsidR="00136908" w:rsidRPr="00A07F29" w:rsidRDefault="00136908" w:rsidP="009072CE">
      <w:pPr>
        <w:spacing w:after="120"/>
        <w:ind w:firstLine="851"/>
        <w:jc w:val="both"/>
        <w:rPr>
          <w:rFonts w:ascii="Times New Roman" w:eastAsia="Calibri" w:hAnsi="Times New Roman" w:cs="Calibri"/>
          <w:sz w:val="24"/>
        </w:rPr>
      </w:pPr>
      <w:r w:rsidRPr="00A07F29">
        <w:rPr>
          <w:rFonts w:ascii="Times New Roman" w:eastAsia="Calibri" w:hAnsi="Times New Roman" w:cs="Calibri"/>
          <w:sz w:val="24"/>
        </w:rPr>
        <w:t>AAA “Augšdaugava” konstatēto sikspārņu sugu atradnes dotas 4.</w:t>
      </w:r>
      <w:r w:rsidR="00F155EB" w:rsidRPr="00A07F29">
        <w:rPr>
          <w:rFonts w:ascii="Times New Roman" w:eastAsia="Calibri" w:hAnsi="Times New Roman" w:cs="Calibri"/>
          <w:sz w:val="24"/>
        </w:rPr>
        <w:t>11</w:t>
      </w:r>
      <w:r w:rsidRPr="00A07F29">
        <w:rPr>
          <w:rFonts w:ascii="Times New Roman" w:eastAsia="Calibri" w:hAnsi="Times New Roman" w:cs="Calibri"/>
          <w:sz w:val="24"/>
        </w:rPr>
        <w:t>. pielikumā.</w:t>
      </w:r>
    </w:p>
    <w:p w14:paraId="6497A68C" w14:textId="58A60DAE" w:rsidR="009072CE" w:rsidRPr="00A07F29" w:rsidRDefault="009072CE" w:rsidP="00136908">
      <w:pPr>
        <w:keepNext/>
        <w:spacing w:before="240" w:after="120" w:line="240" w:lineRule="auto"/>
        <w:jc w:val="both"/>
        <w:rPr>
          <w:rFonts w:ascii="Times New Roman" w:eastAsia="Calibri" w:hAnsi="Times New Roman" w:cs="Calibri"/>
          <w:b/>
          <w:i/>
          <w:sz w:val="24"/>
          <w:szCs w:val="24"/>
        </w:rPr>
      </w:pPr>
      <w:proofErr w:type="spellStart"/>
      <w:r w:rsidRPr="00A07F29">
        <w:rPr>
          <w:rFonts w:ascii="Times New Roman" w:eastAsia="Calibri" w:hAnsi="Times New Roman" w:cs="Calibri"/>
          <w:b/>
          <w:sz w:val="24"/>
          <w:szCs w:val="24"/>
        </w:rPr>
        <w:t>Natūza</w:t>
      </w:r>
      <w:proofErr w:type="spellEnd"/>
      <w:r w:rsidRPr="00A07F29">
        <w:rPr>
          <w:rFonts w:ascii="Times New Roman" w:eastAsia="Calibri" w:hAnsi="Times New Roman" w:cs="Calibri"/>
          <w:b/>
          <w:sz w:val="24"/>
          <w:szCs w:val="24"/>
        </w:rPr>
        <w:t xml:space="preserve"> sikspārnis </w:t>
      </w:r>
      <w:proofErr w:type="spellStart"/>
      <w:r w:rsidRPr="00A07F29">
        <w:rPr>
          <w:rFonts w:ascii="Times New Roman" w:eastAsia="Calibri" w:hAnsi="Times New Roman" w:cs="Calibri"/>
          <w:b/>
          <w:i/>
          <w:sz w:val="24"/>
          <w:szCs w:val="24"/>
        </w:rPr>
        <w:t>Pipistrellus</w:t>
      </w:r>
      <w:proofErr w:type="spellEnd"/>
      <w:r w:rsidRPr="00A07F29">
        <w:rPr>
          <w:rFonts w:ascii="Times New Roman" w:eastAsia="Calibri" w:hAnsi="Times New Roman" w:cs="Calibri"/>
          <w:b/>
          <w:i/>
          <w:sz w:val="24"/>
          <w:szCs w:val="24"/>
        </w:rPr>
        <w:t xml:space="preserve"> </w:t>
      </w:r>
      <w:proofErr w:type="spellStart"/>
      <w:r w:rsidRPr="00A07F29">
        <w:rPr>
          <w:rFonts w:ascii="Times New Roman" w:eastAsia="Calibri" w:hAnsi="Times New Roman" w:cs="Calibri"/>
          <w:b/>
          <w:i/>
          <w:sz w:val="24"/>
          <w:szCs w:val="24"/>
        </w:rPr>
        <w:t>nathusii</w:t>
      </w:r>
      <w:proofErr w:type="spellEnd"/>
    </w:p>
    <w:p w14:paraId="28DD2F23" w14:textId="696C6471" w:rsidR="009072CE" w:rsidRPr="00A07F29" w:rsidRDefault="009072CE" w:rsidP="00F529E9">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Biežākā sikspārņu suga AAA teritorijā pēc kopējā novērošanas vietu skaita (n=61) un pēc vidējās koriģētās aktivitātes indeksa automātisko detektoru novērojumos (5,74 pārlidojumi stundā; konstatēts 29 no 45 </w:t>
      </w:r>
      <w:proofErr w:type="spellStart"/>
      <w:r w:rsidRPr="00A07F29">
        <w:rPr>
          <w:rFonts w:ascii="Times New Roman" w:eastAsia="Calibri" w:hAnsi="Times New Roman" w:cs="Calibri"/>
          <w:sz w:val="24"/>
        </w:rPr>
        <w:t>detektorstacijām</w:t>
      </w:r>
      <w:proofErr w:type="spellEnd"/>
      <w:r w:rsidRPr="00A07F29">
        <w:rPr>
          <w:rFonts w:ascii="Times New Roman" w:eastAsia="Calibri" w:hAnsi="Times New Roman" w:cs="Calibri"/>
          <w:sz w:val="24"/>
        </w:rPr>
        <w:t xml:space="preserve"> jeb 64,4</w:t>
      </w:r>
      <w:r w:rsidR="00615C9B">
        <w:rPr>
          <w:rFonts w:ascii="Times New Roman" w:eastAsia="Calibri" w:hAnsi="Times New Roman" w:cs="Calibri"/>
          <w:sz w:val="24"/>
        </w:rPr>
        <w:t> </w:t>
      </w:r>
      <w:r w:rsidRPr="00A07F29">
        <w:rPr>
          <w:rFonts w:ascii="Times New Roman" w:eastAsia="Calibri" w:hAnsi="Times New Roman" w:cs="Calibri"/>
          <w:sz w:val="24"/>
        </w:rPr>
        <w:t xml:space="preserve">%). Pēc aktivitātes indeksa </w:t>
      </w:r>
      <w:proofErr w:type="spellStart"/>
      <w:r w:rsidRPr="00A07F29">
        <w:rPr>
          <w:rFonts w:ascii="Times New Roman" w:eastAsia="Calibri" w:hAnsi="Times New Roman" w:cs="Calibri"/>
          <w:sz w:val="24"/>
        </w:rPr>
        <w:t>Natūza</w:t>
      </w:r>
      <w:proofErr w:type="spellEnd"/>
      <w:r w:rsidRPr="00A07F29">
        <w:rPr>
          <w:rFonts w:ascii="Times New Roman" w:eastAsia="Calibri" w:hAnsi="Times New Roman" w:cs="Calibri"/>
          <w:sz w:val="24"/>
        </w:rPr>
        <w:t xml:space="preserve"> sikspārnis bija biežākā suga visos biotopu tipos, kas saistīti ar ūdeņiem – virs Daugavas, ezeriem, </w:t>
      </w:r>
      <w:proofErr w:type="spellStart"/>
      <w:r w:rsidRPr="00A07F29">
        <w:rPr>
          <w:rFonts w:ascii="Times New Roman" w:eastAsia="Calibri" w:hAnsi="Times New Roman" w:cs="Calibri"/>
          <w:sz w:val="24"/>
        </w:rPr>
        <w:t>uzpludinājumiem</w:t>
      </w:r>
      <w:proofErr w:type="spellEnd"/>
      <w:r w:rsidRPr="00A07F29">
        <w:rPr>
          <w:rFonts w:ascii="Times New Roman" w:eastAsia="Calibri" w:hAnsi="Times New Roman" w:cs="Calibri"/>
          <w:sz w:val="24"/>
        </w:rPr>
        <w:t xml:space="preserve"> un </w:t>
      </w:r>
      <w:proofErr w:type="spellStart"/>
      <w:r w:rsidRPr="00A07F29">
        <w:rPr>
          <w:rFonts w:ascii="Times New Roman" w:eastAsia="Calibri" w:hAnsi="Times New Roman" w:cs="Calibri"/>
          <w:sz w:val="24"/>
        </w:rPr>
        <w:t>bebrainēs</w:t>
      </w:r>
      <w:proofErr w:type="spellEnd"/>
      <w:r w:rsidRPr="00A07F29">
        <w:rPr>
          <w:rFonts w:ascii="Times New Roman" w:eastAsia="Calibri" w:hAnsi="Times New Roman" w:cs="Calibri"/>
          <w:sz w:val="24"/>
        </w:rPr>
        <w:t xml:space="preserve">. Tas ir sastopams arī no ūdenstilpēm attālos sauszemes biotopos kā mežos, pļavās u.c., pēc aktivitātes indeksa gan esot tur otrajā vai trešajā vietā pēc rūsganajiem </w:t>
      </w:r>
      <w:proofErr w:type="spellStart"/>
      <w:r w:rsidRPr="00A07F29">
        <w:rPr>
          <w:rFonts w:ascii="Times New Roman" w:eastAsia="Calibri" w:hAnsi="Times New Roman" w:cs="Calibri"/>
          <w:sz w:val="24"/>
        </w:rPr>
        <w:t>vakarsikspārņiem</w:t>
      </w:r>
      <w:proofErr w:type="spellEnd"/>
      <w:r w:rsidRPr="00A07F29">
        <w:rPr>
          <w:rFonts w:ascii="Times New Roman" w:eastAsia="Calibri" w:hAnsi="Times New Roman" w:cs="Calibri"/>
          <w:sz w:val="24"/>
        </w:rPr>
        <w:t xml:space="preserve"> un ziemeļu sikspārņiem. </w:t>
      </w:r>
    </w:p>
    <w:p w14:paraId="4866293B" w14:textId="52379D9C" w:rsidR="009072CE" w:rsidRPr="00A07F29" w:rsidRDefault="009072CE" w:rsidP="00F529E9">
      <w:pPr>
        <w:spacing w:after="120" w:line="240" w:lineRule="auto"/>
        <w:ind w:firstLine="851"/>
        <w:jc w:val="both"/>
        <w:rPr>
          <w:rFonts w:ascii="Times New Roman" w:eastAsia="Calibri" w:hAnsi="Times New Roman" w:cs="Calibri"/>
          <w:sz w:val="24"/>
        </w:rPr>
      </w:pPr>
      <w:proofErr w:type="spellStart"/>
      <w:r w:rsidRPr="00A07F29">
        <w:rPr>
          <w:rFonts w:ascii="Times New Roman" w:eastAsia="Calibri" w:hAnsi="Times New Roman" w:cs="Calibri"/>
          <w:sz w:val="24"/>
        </w:rPr>
        <w:t>Natūza</w:t>
      </w:r>
      <w:proofErr w:type="spellEnd"/>
      <w:r w:rsidRPr="00A07F29">
        <w:rPr>
          <w:rFonts w:ascii="Times New Roman" w:eastAsia="Calibri" w:hAnsi="Times New Roman" w:cs="Calibri"/>
          <w:sz w:val="24"/>
        </w:rPr>
        <w:t xml:space="preserve"> sikspārņi ir no ūdenstilpēm atkarīga suga arī citviet tās areālā. Latvijā savulaik veikts pētījums liecina, ka </w:t>
      </w:r>
      <w:proofErr w:type="spellStart"/>
      <w:r w:rsidRPr="00A07F29">
        <w:rPr>
          <w:rFonts w:ascii="Times New Roman" w:eastAsia="Calibri" w:hAnsi="Times New Roman" w:cs="Calibri"/>
          <w:sz w:val="24"/>
        </w:rPr>
        <w:t>Natūza</w:t>
      </w:r>
      <w:proofErr w:type="spellEnd"/>
      <w:r w:rsidRPr="00A07F29">
        <w:rPr>
          <w:rFonts w:ascii="Times New Roman" w:eastAsia="Calibri" w:hAnsi="Times New Roman" w:cs="Calibri"/>
          <w:sz w:val="24"/>
        </w:rPr>
        <w:t xml:space="preserve"> sikspārņi barojas ar dažādu </w:t>
      </w:r>
      <w:proofErr w:type="spellStart"/>
      <w:r w:rsidRPr="00A07F29">
        <w:rPr>
          <w:rFonts w:ascii="Times New Roman" w:eastAsia="Calibri" w:hAnsi="Times New Roman" w:cs="Calibri"/>
          <w:sz w:val="24"/>
        </w:rPr>
        <w:t>taksonomisko</w:t>
      </w:r>
      <w:proofErr w:type="spellEnd"/>
      <w:r w:rsidRPr="00A07F29">
        <w:rPr>
          <w:rFonts w:ascii="Times New Roman" w:eastAsia="Calibri" w:hAnsi="Times New Roman" w:cs="Calibri"/>
          <w:sz w:val="24"/>
        </w:rPr>
        <w:t xml:space="preserve"> grupu kukaiņiem, taču parasti to barībā dominē </w:t>
      </w:r>
      <w:proofErr w:type="spellStart"/>
      <w:r w:rsidRPr="00A07F29">
        <w:rPr>
          <w:rFonts w:ascii="Times New Roman" w:eastAsia="Calibri" w:hAnsi="Times New Roman" w:cs="Calibri"/>
          <w:sz w:val="24"/>
        </w:rPr>
        <w:t>trīsuļodi</w:t>
      </w:r>
      <w:proofErr w:type="spellEnd"/>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sz w:val="24"/>
        </w:rPr>
        <w:t>Chironomidae</w:t>
      </w:r>
      <w:proofErr w:type="spellEnd"/>
      <w:r w:rsidRPr="00A07F29">
        <w:rPr>
          <w:rFonts w:ascii="Times New Roman" w:eastAsia="Calibri" w:hAnsi="Times New Roman" w:cs="Calibri"/>
          <w:sz w:val="24"/>
        </w:rPr>
        <w:t>), kas norāda uz barošanos virs ūdenstilpēm (</w:t>
      </w:r>
      <w:proofErr w:type="spellStart"/>
      <w:r w:rsidRPr="00A07F29">
        <w:rPr>
          <w:rFonts w:ascii="Times New Roman" w:eastAsia="Calibri" w:hAnsi="Times New Roman" w:cs="Calibri"/>
          <w:sz w:val="24"/>
        </w:rPr>
        <w:t>Krüger</w:t>
      </w:r>
      <w:proofErr w:type="spellEnd"/>
      <w:r w:rsidRPr="00A07F29">
        <w:rPr>
          <w:rFonts w:ascii="Times New Roman" w:eastAsia="Calibri" w:hAnsi="Times New Roman" w:cs="Calibri"/>
          <w:sz w:val="24"/>
        </w:rPr>
        <w:t xml:space="preserve"> </w:t>
      </w:r>
      <w:r w:rsidR="00392BE6">
        <w:rPr>
          <w:rFonts w:ascii="Times New Roman" w:eastAsia="Calibri" w:hAnsi="Times New Roman" w:cs="Calibri"/>
          <w:sz w:val="24"/>
        </w:rPr>
        <w:t xml:space="preserve">F., </w:t>
      </w:r>
      <w:proofErr w:type="spellStart"/>
      <w:r w:rsidRPr="00A07F29">
        <w:rPr>
          <w:rFonts w:ascii="Times New Roman" w:eastAsia="Calibri" w:hAnsi="Times New Roman" w:cs="Calibri"/>
          <w:sz w:val="24"/>
        </w:rPr>
        <w:t>et</w:t>
      </w:r>
      <w:proofErr w:type="spellEnd"/>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sz w:val="24"/>
        </w:rPr>
        <w:t>al</w:t>
      </w:r>
      <w:proofErr w:type="spellEnd"/>
      <w:r w:rsidRPr="00A07F29">
        <w:rPr>
          <w:rFonts w:ascii="Times New Roman" w:eastAsia="Calibri" w:hAnsi="Times New Roman" w:cs="Calibri"/>
          <w:sz w:val="24"/>
        </w:rPr>
        <w:t>, 2014).</w:t>
      </w:r>
    </w:p>
    <w:p w14:paraId="12489C45" w14:textId="63094EA0" w:rsidR="009072CE" w:rsidRPr="00A07F29" w:rsidRDefault="009072CE" w:rsidP="00F529E9">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lastRenderedPageBreak/>
        <w:t xml:space="preserve">Šai sugai AAA </w:t>
      </w:r>
      <w:r w:rsidR="00715DE6">
        <w:rPr>
          <w:rFonts w:ascii="Times New Roman" w:eastAsia="Calibri" w:hAnsi="Times New Roman" w:cs="Calibri"/>
          <w:sz w:val="24"/>
        </w:rPr>
        <w:t>“</w:t>
      </w:r>
      <w:r w:rsidRPr="00A07F29">
        <w:rPr>
          <w:rFonts w:ascii="Times New Roman" w:eastAsia="Calibri" w:hAnsi="Times New Roman" w:cs="Calibri"/>
          <w:sz w:val="24"/>
        </w:rPr>
        <w:t>Augšdaugava</w:t>
      </w:r>
      <w:r w:rsidR="00715DE6">
        <w:rPr>
          <w:rFonts w:ascii="Times New Roman" w:eastAsia="Calibri" w:hAnsi="Times New Roman" w:cs="Calibri"/>
          <w:sz w:val="24"/>
        </w:rPr>
        <w:t>”</w:t>
      </w:r>
      <w:r w:rsidRPr="00A07F29">
        <w:rPr>
          <w:rFonts w:ascii="Times New Roman" w:eastAsia="Calibri" w:hAnsi="Times New Roman" w:cs="Calibri"/>
          <w:sz w:val="24"/>
        </w:rPr>
        <w:t xml:space="preserve"> zināmas trīs koloniju mītnes – Kaplavas pareizticīgo baznīca, </w:t>
      </w:r>
      <w:proofErr w:type="spellStart"/>
      <w:r w:rsidRPr="00A07F29">
        <w:rPr>
          <w:rFonts w:ascii="Times New Roman" w:eastAsia="Calibri" w:hAnsi="Times New Roman" w:cs="Calibri"/>
          <w:sz w:val="24"/>
        </w:rPr>
        <w:t>Sīķeles</w:t>
      </w:r>
      <w:proofErr w:type="spellEnd"/>
      <w:r w:rsidRPr="00A07F29">
        <w:rPr>
          <w:rFonts w:ascii="Times New Roman" w:eastAsia="Calibri" w:hAnsi="Times New Roman" w:cs="Calibri"/>
          <w:sz w:val="24"/>
        </w:rPr>
        <w:t xml:space="preserve"> luterāņu baznīca un Kaplavas pagasta “Pazaru” mājas. Kaplavas pareizticīgo baznīcā 2013. un 2019.</w:t>
      </w:r>
      <w:r w:rsidR="00A67E6E">
        <w:rPr>
          <w:rFonts w:ascii="Times New Roman" w:eastAsia="Calibri" w:hAnsi="Times New Roman" w:cs="Calibri"/>
          <w:sz w:val="24"/>
        </w:rPr>
        <w:t> </w:t>
      </w:r>
      <w:r w:rsidRPr="00A07F29">
        <w:rPr>
          <w:rFonts w:ascii="Times New Roman" w:eastAsia="Calibri" w:hAnsi="Times New Roman" w:cs="Calibri"/>
          <w:sz w:val="24"/>
        </w:rPr>
        <w:t xml:space="preserve">gados uzskaitītas vairāk kā 500 šīs sugas mātītes. Tādējādi tā ir lielākā zināmā šīs sugas vairošanās kolonija Latvijā. </w:t>
      </w:r>
    </w:p>
    <w:p w14:paraId="069FC2C2" w14:textId="77777777" w:rsidR="009072CE" w:rsidRPr="00A07F29" w:rsidRDefault="009072CE" w:rsidP="00F529E9">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Nav šaubu, ka AAA teritorijā ir vēl citas, neapzinātas šīs sugas kolonijas. </w:t>
      </w:r>
      <w:proofErr w:type="spellStart"/>
      <w:r w:rsidRPr="00A07F29">
        <w:rPr>
          <w:rFonts w:ascii="Times New Roman" w:eastAsia="Calibri" w:hAnsi="Times New Roman" w:cs="Calibri"/>
          <w:sz w:val="24"/>
        </w:rPr>
        <w:t>Natūza</w:t>
      </w:r>
      <w:proofErr w:type="spellEnd"/>
      <w:r w:rsidRPr="00A07F29">
        <w:rPr>
          <w:rFonts w:ascii="Times New Roman" w:eastAsia="Calibri" w:hAnsi="Times New Roman" w:cs="Calibri"/>
          <w:sz w:val="24"/>
        </w:rPr>
        <w:t xml:space="preserve"> sikspārņi bez ēkām apmetas arī koku dobumos – mītnēs, kuras ir salīdzinoši grūtāk atrodamas.</w:t>
      </w:r>
    </w:p>
    <w:p w14:paraId="39FF4F17" w14:textId="505B2187" w:rsidR="009072CE" w:rsidRPr="00A07F29" w:rsidRDefault="009072CE" w:rsidP="00F529E9">
      <w:pPr>
        <w:spacing w:after="120" w:line="240" w:lineRule="auto"/>
        <w:ind w:firstLine="851"/>
        <w:jc w:val="both"/>
        <w:rPr>
          <w:rFonts w:ascii="Times New Roman" w:eastAsia="Calibri" w:hAnsi="Times New Roman" w:cs="Calibri"/>
          <w:sz w:val="24"/>
        </w:rPr>
      </w:pPr>
      <w:proofErr w:type="spellStart"/>
      <w:r w:rsidRPr="00A07F29">
        <w:rPr>
          <w:rFonts w:ascii="Times New Roman" w:eastAsia="Calibri" w:hAnsi="Times New Roman" w:cs="Calibri"/>
          <w:sz w:val="24"/>
        </w:rPr>
        <w:t>Natūza</w:t>
      </w:r>
      <w:proofErr w:type="spellEnd"/>
      <w:r w:rsidRPr="00A07F29">
        <w:rPr>
          <w:rFonts w:ascii="Times New Roman" w:eastAsia="Calibri" w:hAnsi="Times New Roman" w:cs="Calibri"/>
          <w:sz w:val="24"/>
        </w:rPr>
        <w:t xml:space="preserve"> sikspārnis ir migrējoša suga, kas rudeņos aizceļo uz ziemošanas vietām Eiropas centrālajā, </w:t>
      </w:r>
      <w:r w:rsidR="00A92B5B">
        <w:rPr>
          <w:rFonts w:ascii="Times New Roman" w:eastAsia="Calibri" w:hAnsi="Times New Roman" w:cs="Calibri"/>
          <w:sz w:val="24"/>
        </w:rPr>
        <w:t>D</w:t>
      </w:r>
      <w:r w:rsidRPr="00A07F29">
        <w:rPr>
          <w:rFonts w:ascii="Times New Roman" w:eastAsia="Calibri" w:hAnsi="Times New Roman" w:cs="Calibri"/>
          <w:sz w:val="24"/>
        </w:rPr>
        <w:t xml:space="preserve"> un </w:t>
      </w:r>
      <w:r w:rsidR="00A92B5B">
        <w:rPr>
          <w:rFonts w:ascii="Times New Roman" w:eastAsia="Calibri" w:hAnsi="Times New Roman" w:cs="Calibri"/>
          <w:sz w:val="24"/>
        </w:rPr>
        <w:t>R</w:t>
      </w:r>
      <w:r w:rsidRPr="00A07F29">
        <w:rPr>
          <w:rFonts w:ascii="Times New Roman" w:eastAsia="Calibri" w:hAnsi="Times New Roman" w:cs="Calibri"/>
          <w:sz w:val="24"/>
        </w:rPr>
        <w:t xml:space="preserve"> daļā</w:t>
      </w:r>
      <w:r w:rsidR="00F529E9" w:rsidRPr="00A07F29">
        <w:rPr>
          <w:rFonts w:ascii="Times New Roman" w:eastAsia="Calibri" w:hAnsi="Times New Roman" w:cs="Calibri"/>
          <w:sz w:val="24"/>
        </w:rPr>
        <w:t>.</w:t>
      </w:r>
    </w:p>
    <w:p w14:paraId="1289EB31" w14:textId="77777777" w:rsidR="009072CE" w:rsidRPr="00A07F29" w:rsidRDefault="009072CE" w:rsidP="00F529E9">
      <w:pPr>
        <w:keepNext/>
        <w:spacing w:before="240" w:after="120" w:line="240" w:lineRule="auto"/>
        <w:jc w:val="both"/>
        <w:rPr>
          <w:rFonts w:ascii="Times New Roman" w:eastAsia="Calibri" w:hAnsi="Times New Roman" w:cs="Calibri"/>
          <w:b/>
          <w:sz w:val="24"/>
          <w:szCs w:val="24"/>
        </w:rPr>
      </w:pPr>
      <w:r w:rsidRPr="00A07F29">
        <w:rPr>
          <w:rFonts w:ascii="Times New Roman" w:eastAsia="Calibri" w:hAnsi="Times New Roman" w:cs="Calibri"/>
          <w:b/>
          <w:sz w:val="24"/>
          <w:szCs w:val="24"/>
        </w:rPr>
        <w:t xml:space="preserve">Ziemeļu sikspārnis </w:t>
      </w:r>
      <w:proofErr w:type="spellStart"/>
      <w:r w:rsidRPr="00A07F29">
        <w:rPr>
          <w:rFonts w:ascii="Times New Roman" w:eastAsia="Calibri" w:hAnsi="Times New Roman" w:cs="Calibri"/>
          <w:b/>
          <w:i/>
          <w:sz w:val="24"/>
          <w:szCs w:val="24"/>
        </w:rPr>
        <w:t>Eptesicus</w:t>
      </w:r>
      <w:proofErr w:type="spellEnd"/>
      <w:r w:rsidRPr="00A07F29">
        <w:rPr>
          <w:rFonts w:ascii="Times New Roman" w:eastAsia="Calibri" w:hAnsi="Times New Roman" w:cs="Calibri"/>
          <w:b/>
          <w:i/>
          <w:sz w:val="24"/>
          <w:szCs w:val="24"/>
        </w:rPr>
        <w:t xml:space="preserve"> </w:t>
      </w:r>
      <w:proofErr w:type="spellStart"/>
      <w:r w:rsidRPr="00A07F29">
        <w:rPr>
          <w:rFonts w:ascii="Times New Roman" w:eastAsia="Calibri" w:hAnsi="Times New Roman" w:cs="Calibri"/>
          <w:b/>
          <w:i/>
          <w:sz w:val="24"/>
          <w:szCs w:val="24"/>
        </w:rPr>
        <w:t>nilssonii</w:t>
      </w:r>
      <w:proofErr w:type="spellEnd"/>
    </w:p>
    <w:p w14:paraId="5010755E" w14:textId="44C1F6BE" w:rsidR="009072CE" w:rsidRPr="00A07F29" w:rsidRDefault="009072CE" w:rsidP="00F529E9">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Otra biežākā suga šajā pētījumā ar 54 novērojumu vietām un pirmā pēc novērošanas vietu skaita automātisko detektoru stacijās (novērots 39 no 45 stacijām jeb 86,7</w:t>
      </w:r>
      <w:r w:rsidR="00F63FF1">
        <w:rPr>
          <w:rFonts w:ascii="Times New Roman" w:eastAsia="Calibri" w:hAnsi="Times New Roman" w:cs="Calibri"/>
          <w:sz w:val="24"/>
        </w:rPr>
        <w:t> </w:t>
      </w:r>
      <w:r w:rsidRPr="00A07F29">
        <w:rPr>
          <w:rFonts w:ascii="Times New Roman" w:eastAsia="Calibri" w:hAnsi="Times New Roman" w:cs="Calibri"/>
          <w:sz w:val="24"/>
        </w:rPr>
        <w:t xml:space="preserve">% staciju). Pēc vidējā koriģētā aktivitātes indeksa automātisko detektoru stacijās (1,26 pārlidojumi stundā) ziemeļu sikspārņi gandrīz piecas reizes atpaliek no </w:t>
      </w:r>
      <w:proofErr w:type="spellStart"/>
      <w:r w:rsidRPr="00A07F29">
        <w:rPr>
          <w:rFonts w:ascii="Times New Roman" w:eastAsia="Calibri" w:hAnsi="Times New Roman" w:cs="Calibri"/>
          <w:sz w:val="24"/>
        </w:rPr>
        <w:t>Natūza</w:t>
      </w:r>
      <w:proofErr w:type="spellEnd"/>
      <w:r w:rsidRPr="00A07F29">
        <w:rPr>
          <w:rFonts w:ascii="Times New Roman" w:eastAsia="Calibri" w:hAnsi="Times New Roman" w:cs="Calibri"/>
          <w:sz w:val="24"/>
        </w:rPr>
        <w:t xml:space="preserve"> sikspārņiem. Ziemeļu sikspārņi tika novēroti visos šajā pētījumā izdalītajos biotopu tipos, ievērojami dominējot pār pārējām sugām mežos. Mežos ziemeļu sikspārņi medī virs meža ceļiem un stigām, nelielos klajumos, mežmalās. Šī suga bieži novērota arī izcirtumos, bet retāk kā rūsganie </w:t>
      </w:r>
      <w:proofErr w:type="spellStart"/>
      <w:r w:rsidRPr="00A07F29">
        <w:rPr>
          <w:rFonts w:ascii="Times New Roman" w:eastAsia="Calibri" w:hAnsi="Times New Roman" w:cs="Calibri"/>
          <w:sz w:val="24"/>
        </w:rPr>
        <w:t>vakarsikspārņi</w:t>
      </w:r>
      <w:proofErr w:type="spellEnd"/>
      <w:r w:rsidRPr="00A07F29">
        <w:rPr>
          <w:rFonts w:ascii="Times New Roman" w:eastAsia="Calibri" w:hAnsi="Times New Roman" w:cs="Calibri"/>
          <w:sz w:val="24"/>
        </w:rPr>
        <w:t xml:space="preserve">. Ziemeļu sikspārņi tika bieži novēroti virs Daugavas un pie ezeriem, taču atšķirībā no </w:t>
      </w:r>
      <w:proofErr w:type="spellStart"/>
      <w:r w:rsidRPr="00A07F29">
        <w:rPr>
          <w:rFonts w:ascii="Times New Roman" w:eastAsia="Calibri" w:hAnsi="Times New Roman" w:cs="Calibri"/>
          <w:sz w:val="24"/>
        </w:rPr>
        <w:t>Natūza</w:t>
      </w:r>
      <w:proofErr w:type="spellEnd"/>
      <w:r w:rsidRPr="00A07F29">
        <w:rPr>
          <w:rFonts w:ascii="Times New Roman" w:eastAsia="Calibri" w:hAnsi="Times New Roman" w:cs="Calibri"/>
          <w:sz w:val="24"/>
        </w:rPr>
        <w:t xml:space="preserve"> sikspārņiem mazākā skaitā, tādējādi atpaliekot no pēdējiem pēc aktivitātes indeksa rādītājiem.</w:t>
      </w:r>
    </w:p>
    <w:p w14:paraId="22736454" w14:textId="0B2078F1" w:rsidR="009072CE" w:rsidRPr="00A07F29" w:rsidRDefault="009072CE" w:rsidP="00F529E9">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Šai sugai nav zināmas ne vasaras, ne ziemas mītnes AAA </w:t>
      </w:r>
      <w:r w:rsidR="00F529E9" w:rsidRPr="00A07F29">
        <w:rPr>
          <w:rFonts w:ascii="Times New Roman" w:eastAsia="Calibri" w:hAnsi="Times New Roman" w:cs="Calibri"/>
          <w:sz w:val="24"/>
        </w:rPr>
        <w:t xml:space="preserve">“Augšdaugava” </w:t>
      </w:r>
      <w:r w:rsidRPr="00A07F29">
        <w:rPr>
          <w:rFonts w:ascii="Times New Roman" w:eastAsia="Calibri" w:hAnsi="Times New Roman" w:cs="Calibri"/>
          <w:sz w:val="24"/>
        </w:rPr>
        <w:t>teritorijā. Ziemeļu sikspārņu vairošanās kolonijas var būt gan ēkās, gan koku dobumos. Šī suga nekad nav atrasta Latgales un Sēlijas baznīcās arī ārpus AAA</w:t>
      </w:r>
      <w:r w:rsidR="00F529E9" w:rsidRPr="00A07F29">
        <w:rPr>
          <w:rFonts w:ascii="Times New Roman" w:eastAsia="Calibri" w:hAnsi="Times New Roman" w:cs="Calibri"/>
          <w:sz w:val="24"/>
        </w:rPr>
        <w:t xml:space="preserve"> “Augšdaugava</w:t>
      </w:r>
      <w:r w:rsidR="00AA001A">
        <w:rPr>
          <w:rFonts w:ascii="Times New Roman" w:eastAsia="Calibri" w:hAnsi="Times New Roman" w:cs="Calibri"/>
          <w:sz w:val="24"/>
        </w:rPr>
        <w:t>”</w:t>
      </w:r>
      <w:r w:rsidRPr="00A07F29">
        <w:rPr>
          <w:rFonts w:ascii="Times New Roman" w:eastAsia="Calibri" w:hAnsi="Times New Roman" w:cs="Calibri"/>
          <w:sz w:val="24"/>
        </w:rPr>
        <w:t>. Ziemeļu sikspārnis ir ziemojoša suga. Ziemā tie mēdz uzturēties pazemes tipa mītnēs. Ja sals nav stiprs tie var pārziemot arī malkas grēdās un citās virszemes tipa mītnēs. Ziemeļu sikspārņi samērā bieži pārziemo arī piemājas sakņu pagrabos. Tuvākā šīs sugas zināmā ziemošanas vieta ir Daugavpils cietoksnis, taču ikgadējā monitoringa ietvaros uzskaitīto ziemeļu sikspārņu skaits tur ir neliels.</w:t>
      </w:r>
    </w:p>
    <w:p w14:paraId="3FDCA170" w14:textId="77777777" w:rsidR="009072CE" w:rsidRPr="00A07F29" w:rsidRDefault="009072CE" w:rsidP="00F529E9">
      <w:pPr>
        <w:keepNext/>
        <w:spacing w:before="240" w:after="120" w:line="240" w:lineRule="auto"/>
        <w:jc w:val="both"/>
        <w:rPr>
          <w:rFonts w:ascii="Times New Roman" w:eastAsia="Calibri" w:hAnsi="Times New Roman" w:cs="Calibri"/>
          <w:b/>
          <w:sz w:val="24"/>
          <w:szCs w:val="24"/>
        </w:rPr>
      </w:pPr>
      <w:r w:rsidRPr="00A07F29">
        <w:rPr>
          <w:rFonts w:ascii="Times New Roman" w:eastAsia="Calibri" w:hAnsi="Times New Roman" w:cs="Calibri"/>
          <w:b/>
          <w:sz w:val="24"/>
          <w:szCs w:val="24"/>
        </w:rPr>
        <w:t xml:space="preserve">Rūsganais </w:t>
      </w:r>
      <w:proofErr w:type="spellStart"/>
      <w:r w:rsidRPr="00A07F29">
        <w:rPr>
          <w:rFonts w:ascii="Times New Roman" w:eastAsia="Calibri" w:hAnsi="Times New Roman" w:cs="Calibri"/>
          <w:b/>
          <w:sz w:val="24"/>
          <w:szCs w:val="24"/>
        </w:rPr>
        <w:t>vakarsikspārnis</w:t>
      </w:r>
      <w:proofErr w:type="spellEnd"/>
      <w:r w:rsidRPr="00A07F29">
        <w:rPr>
          <w:rFonts w:ascii="Times New Roman" w:eastAsia="Calibri" w:hAnsi="Times New Roman" w:cs="Calibri"/>
          <w:b/>
          <w:sz w:val="24"/>
          <w:szCs w:val="24"/>
        </w:rPr>
        <w:t xml:space="preserve"> </w:t>
      </w:r>
      <w:proofErr w:type="spellStart"/>
      <w:r w:rsidRPr="00A07F29">
        <w:rPr>
          <w:rFonts w:ascii="Times New Roman" w:eastAsia="Calibri" w:hAnsi="Times New Roman" w:cs="Calibri"/>
          <w:b/>
          <w:i/>
          <w:sz w:val="24"/>
          <w:szCs w:val="24"/>
        </w:rPr>
        <w:t>Nyctalus</w:t>
      </w:r>
      <w:proofErr w:type="spellEnd"/>
      <w:r w:rsidRPr="00A07F29">
        <w:rPr>
          <w:rFonts w:ascii="Times New Roman" w:eastAsia="Calibri" w:hAnsi="Times New Roman" w:cs="Calibri"/>
          <w:b/>
          <w:i/>
          <w:sz w:val="24"/>
          <w:szCs w:val="24"/>
        </w:rPr>
        <w:t xml:space="preserve"> </w:t>
      </w:r>
      <w:proofErr w:type="spellStart"/>
      <w:r w:rsidRPr="00A07F29">
        <w:rPr>
          <w:rFonts w:ascii="Times New Roman" w:eastAsia="Calibri" w:hAnsi="Times New Roman" w:cs="Calibri"/>
          <w:b/>
          <w:i/>
          <w:sz w:val="24"/>
          <w:szCs w:val="24"/>
        </w:rPr>
        <w:t>noctula</w:t>
      </w:r>
      <w:proofErr w:type="spellEnd"/>
    </w:p>
    <w:p w14:paraId="0E2A2500" w14:textId="16B89861" w:rsidR="009072CE" w:rsidRPr="00A07F29" w:rsidRDefault="009072CE" w:rsidP="00F529E9">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Trešā biežākā suga šajā pētījumā ar 39 novērojumu vietām kopā un otrā pēc novērošanas vietām automātisko detektoru stacijās (33 stacij</w:t>
      </w:r>
      <w:r w:rsidR="00477F86">
        <w:rPr>
          <w:rFonts w:ascii="Times New Roman" w:eastAsia="Calibri" w:hAnsi="Times New Roman" w:cs="Calibri"/>
          <w:sz w:val="24"/>
        </w:rPr>
        <w:t>ā</w:t>
      </w:r>
      <w:r w:rsidRPr="00A07F29">
        <w:rPr>
          <w:rFonts w:ascii="Times New Roman" w:eastAsia="Calibri" w:hAnsi="Times New Roman" w:cs="Calibri"/>
          <w:sz w:val="24"/>
        </w:rPr>
        <w:t>s no 45 jeb 73,3</w:t>
      </w:r>
      <w:r w:rsidR="00477F86">
        <w:rPr>
          <w:rFonts w:ascii="Times New Roman" w:eastAsia="Calibri" w:hAnsi="Times New Roman" w:cs="Calibri"/>
          <w:sz w:val="24"/>
        </w:rPr>
        <w:t> </w:t>
      </w:r>
      <w:r w:rsidRPr="00A07F29">
        <w:rPr>
          <w:rFonts w:ascii="Times New Roman" w:eastAsia="Calibri" w:hAnsi="Times New Roman" w:cs="Calibri"/>
          <w:sz w:val="24"/>
        </w:rPr>
        <w:t xml:space="preserve">% staciju). Jāņem vērā, ka rūsganais </w:t>
      </w:r>
      <w:proofErr w:type="spellStart"/>
      <w:r w:rsidRPr="00A07F29">
        <w:rPr>
          <w:rFonts w:ascii="Times New Roman" w:eastAsia="Calibri" w:hAnsi="Times New Roman" w:cs="Calibri"/>
          <w:sz w:val="24"/>
        </w:rPr>
        <w:t>vakarsikspārnis</w:t>
      </w:r>
      <w:proofErr w:type="spellEnd"/>
      <w:r w:rsidRPr="00A07F29">
        <w:rPr>
          <w:rFonts w:ascii="Times New Roman" w:eastAsia="Calibri" w:hAnsi="Times New Roman" w:cs="Calibri"/>
          <w:sz w:val="24"/>
        </w:rPr>
        <w:t xml:space="preserve"> ir visskaļākā no visām Latvijas faunas sugām un detektoros tiek uztverta no lielāka attāluma kā citas sugas. Pielāgojot no saucienu skaļuma atkarīgo uztveršanas koeficientu automātisko detektoru ievāktajiem datiem, rūsganais </w:t>
      </w:r>
      <w:proofErr w:type="spellStart"/>
      <w:r w:rsidRPr="00A07F29">
        <w:rPr>
          <w:rFonts w:ascii="Times New Roman" w:eastAsia="Calibri" w:hAnsi="Times New Roman" w:cs="Calibri"/>
          <w:sz w:val="24"/>
        </w:rPr>
        <w:t>vakarsikspārnis</w:t>
      </w:r>
      <w:proofErr w:type="spellEnd"/>
      <w:r w:rsidRPr="00A07F29">
        <w:rPr>
          <w:rFonts w:ascii="Times New Roman" w:eastAsia="Calibri" w:hAnsi="Times New Roman" w:cs="Calibri"/>
          <w:sz w:val="24"/>
        </w:rPr>
        <w:t xml:space="preserve"> ir tikai ceturtā suga pēc aktivitātes indeksa. Šī suga, tāpat kā ziemeļu sikspārnis, novērota visos biotopos. Tie dominēja pēc aktivitātes no </w:t>
      </w:r>
      <w:proofErr w:type="spellStart"/>
      <w:r w:rsidRPr="00A07F29">
        <w:rPr>
          <w:rFonts w:ascii="Times New Roman" w:eastAsia="Calibri" w:hAnsi="Times New Roman" w:cs="Calibri"/>
          <w:sz w:val="24"/>
        </w:rPr>
        <w:t>kokaudzēm</w:t>
      </w:r>
      <w:proofErr w:type="spellEnd"/>
      <w:r w:rsidRPr="00A07F29">
        <w:rPr>
          <w:rFonts w:ascii="Times New Roman" w:eastAsia="Calibri" w:hAnsi="Times New Roman" w:cs="Calibri"/>
          <w:sz w:val="24"/>
        </w:rPr>
        <w:t xml:space="preserve"> brīvos sauszemes biotopos – izcirtumos, jaunaudzēs, pļavās, ganībās un virs grants karjera. </w:t>
      </w:r>
    </w:p>
    <w:p w14:paraId="01DA2647" w14:textId="7740697A" w:rsidR="009072CE" w:rsidRPr="00A07F29" w:rsidRDefault="009072CE" w:rsidP="00F529E9">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Šī</w:t>
      </w:r>
      <w:r w:rsidR="00FB0019">
        <w:rPr>
          <w:rFonts w:ascii="Times New Roman" w:eastAsia="Calibri" w:hAnsi="Times New Roman" w:cs="Calibri"/>
          <w:sz w:val="24"/>
        </w:rPr>
        <w:t>s</w:t>
      </w:r>
      <w:r w:rsidRPr="00A07F29">
        <w:rPr>
          <w:rFonts w:ascii="Times New Roman" w:eastAsia="Calibri" w:hAnsi="Times New Roman" w:cs="Calibri"/>
          <w:sz w:val="24"/>
        </w:rPr>
        <w:t xml:space="preserve"> sugas sastopamību ietekmē lielu dimensiju koku klātbūtne mežaudzēs. Īpaši nozīmīgi tiem ir relatīvi lielākie melno dzilnu kaltie dobumi. AAA </w:t>
      </w:r>
      <w:r w:rsidR="00F529E9" w:rsidRPr="00A07F29">
        <w:rPr>
          <w:rFonts w:ascii="Times New Roman" w:eastAsia="Calibri" w:hAnsi="Times New Roman" w:cs="Calibri"/>
          <w:sz w:val="24"/>
        </w:rPr>
        <w:t>“Augšdaugava”</w:t>
      </w:r>
      <w:r w:rsidRPr="00A07F29">
        <w:rPr>
          <w:rFonts w:ascii="Times New Roman" w:eastAsia="Calibri" w:hAnsi="Times New Roman" w:cs="Calibri"/>
          <w:sz w:val="24"/>
        </w:rPr>
        <w:t xml:space="preserve"> rūsgano </w:t>
      </w:r>
      <w:proofErr w:type="spellStart"/>
      <w:r w:rsidRPr="00A07F29">
        <w:rPr>
          <w:rFonts w:ascii="Times New Roman" w:eastAsia="Calibri" w:hAnsi="Times New Roman" w:cs="Calibri"/>
          <w:sz w:val="24"/>
        </w:rPr>
        <w:t>vakarsikspārņu</w:t>
      </w:r>
      <w:proofErr w:type="spellEnd"/>
      <w:r w:rsidRPr="00A07F29">
        <w:rPr>
          <w:rFonts w:ascii="Times New Roman" w:eastAsia="Calibri" w:hAnsi="Times New Roman" w:cs="Calibri"/>
          <w:sz w:val="24"/>
        </w:rPr>
        <w:t xml:space="preserve"> apdzīvoti dobumi nav atrasti. Nakts laikā rūsganie </w:t>
      </w:r>
      <w:proofErr w:type="spellStart"/>
      <w:r w:rsidRPr="00A07F29">
        <w:rPr>
          <w:rFonts w:ascii="Times New Roman" w:eastAsia="Calibri" w:hAnsi="Times New Roman" w:cs="Calibri"/>
          <w:sz w:val="24"/>
        </w:rPr>
        <w:t>vakarsikspārņi</w:t>
      </w:r>
      <w:proofErr w:type="spellEnd"/>
      <w:r w:rsidRPr="00A07F29">
        <w:rPr>
          <w:rFonts w:ascii="Times New Roman" w:eastAsia="Calibri" w:hAnsi="Times New Roman" w:cs="Calibri"/>
          <w:sz w:val="24"/>
        </w:rPr>
        <w:t xml:space="preserve"> veic lielus attālumus starp dienas mītni un barošanās vietām, kas var ievērojami pārsniegt 10 kilometrus. </w:t>
      </w:r>
    </w:p>
    <w:p w14:paraId="28FB2AE4" w14:textId="77777777" w:rsidR="009072CE" w:rsidRPr="00A07F29" w:rsidRDefault="009072CE" w:rsidP="00F529E9">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Rūsganie </w:t>
      </w:r>
      <w:proofErr w:type="spellStart"/>
      <w:r w:rsidRPr="00A07F29">
        <w:rPr>
          <w:rFonts w:ascii="Times New Roman" w:eastAsia="Calibri" w:hAnsi="Times New Roman" w:cs="Calibri"/>
          <w:sz w:val="24"/>
        </w:rPr>
        <w:t>vakarsikspārņi</w:t>
      </w:r>
      <w:proofErr w:type="spellEnd"/>
      <w:r w:rsidRPr="00A07F29">
        <w:rPr>
          <w:rFonts w:ascii="Times New Roman" w:eastAsia="Calibri" w:hAnsi="Times New Roman" w:cs="Calibri"/>
          <w:sz w:val="24"/>
        </w:rPr>
        <w:t xml:space="preserve"> ir migrējoša suga un rudeņos tie aizceļo no Latvijas teritorijas.</w:t>
      </w:r>
    </w:p>
    <w:p w14:paraId="46A9300B" w14:textId="77777777" w:rsidR="009072CE" w:rsidRPr="00A07F29" w:rsidRDefault="009072CE" w:rsidP="00F529E9">
      <w:pPr>
        <w:keepNext/>
        <w:spacing w:before="240" w:after="120" w:line="240" w:lineRule="auto"/>
        <w:jc w:val="both"/>
        <w:rPr>
          <w:rFonts w:ascii="Times New Roman" w:eastAsia="Calibri" w:hAnsi="Times New Roman" w:cs="Calibri"/>
          <w:b/>
          <w:sz w:val="24"/>
          <w:szCs w:val="24"/>
        </w:rPr>
      </w:pPr>
      <w:proofErr w:type="spellStart"/>
      <w:r w:rsidRPr="00A07F29">
        <w:rPr>
          <w:rFonts w:ascii="Times New Roman" w:eastAsia="Calibri" w:hAnsi="Times New Roman" w:cs="Calibri"/>
          <w:b/>
          <w:sz w:val="24"/>
          <w:szCs w:val="24"/>
        </w:rPr>
        <w:t>Pigmejsikspārnis</w:t>
      </w:r>
      <w:proofErr w:type="spellEnd"/>
      <w:r w:rsidRPr="00A07F29">
        <w:rPr>
          <w:rFonts w:ascii="Times New Roman" w:eastAsia="Calibri" w:hAnsi="Times New Roman" w:cs="Calibri"/>
          <w:b/>
          <w:sz w:val="24"/>
          <w:szCs w:val="24"/>
        </w:rPr>
        <w:t xml:space="preserve"> </w:t>
      </w:r>
      <w:proofErr w:type="spellStart"/>
      <w:r w:rsidRPr="00A07F29">
        <w:rPr>
          <w:rFonts w:ascii="Times New Roman" w:eastAsia="Calibri" w:hAnsi="Times New Roman" w:cs="Calibri"/>
          <w:b/>
          <w:i/>
          <w:sz w:val="24"/>
          <w:szCs w:val="24"/>
        </w:rPr>
        <w:t>Pipistrellus</w:t>
      </w:r>
      <w:proofErr w:type="spellEnd"/>
      <w:r w:rsidRPr="00A07F29">
        <w:rPr>
          <w:rFonts w:ascii="Times New Roman" w:eastAsia="Calibri" w:hAnsi="Times New Roman" w:cs="Calibri"/>
          <w:b/>
          <w:i/>
          <w:sz w:val="24"/>
          <w:szCs w:val="24"/>
        </w:rPr>
        <w:t xml:space="preserve"> </w:t>
      </w:r>
      <w:proofErr w:type="spellStart"/>
      <w:r w:rsidRPr="00A07F29">
        <w:rPr>
          <w:rFonts w:ascii="Times New Roman" w:eastAsia="Calibri" w:hAnsi="Times New Roman" w:cs="Calibri"/>
          <w:b/>
          <w:i/>
          <w:sz w:val="24"/>
          <w:szCs w:val="24"/>
        </w:rPr>
        <w:t>pygmaeus</w:t>
      </w:r>
      <w:proofErr w:type="spellEnd"/>
    </w:p>
    <w:p w14:paraId="63A4DDDA" w14:textId="1BE58D6B" w:rsidR="009072CE" w:rsidRPr="00A07F29" w:rsidRDefault="009072CE" w:rsidP="00F529E9">
      <w:pPr>
        <w:spacing w:after="120" w:line="240" w:lineRule="auto"/>
        <w:ind w:firstLine="851"/>
        <w:jc w:val="both"/>
        <w:rPr>
          <w:rFonts w:ascii="Times New Roman" w:eastAsia="Calibri" w:hAnsi="Times New Roman" w:cs="Calibri"/>
          <w:sz w:val="24"/>
        </w:rPr>
      </w:pPr>
      <w:proofErr w:type="spellStart"/>
      <w:r w:rsidRPr="00A07F29">
        <w:rPr>
          <w:rFonts w:ascii="Times New Roman" w:eastAsia="Calibri" w:hAnsi="Times New Roman" w:cs="Calibri"/>
          <w:sz w:val="24"/>
        </w:rPr>
        <w:t>Pigmejsikspārnis</w:t>
      </w:r>
      <w:proofErr w:type="spellEnd"/>
      <w:r w:rsidRPr="00A07F29">
        <w:rPr>
          <w:rFonts w:ascii="Times New Roman" w:eastAsia="Calibri" w:hAnsi="Times New Roman" w:cs="Calibri"/>
          <w:sz w:val="24"/>
        </w:rPr>
        <w:t xml:space="preserve"> ir novērots pavisam 11 vietās, tai skaitā 9 no 45 automātisko detektoru stacijām. Koriģējot automātisko detektoru stacijās reģistrēto šīs sugas aktivitāti ar to uztveršanas koeficientu, vidējā aktivitāte uz vienu </w:t>
      </w:r>
      <w:proofErr w:type="spellStart"/>
      <w:r w:rsidRPr="00A07F29">
        <w:rPr>
          <w:rFonts w:ascii="Times New Roman" w:eastAsia="Calibri" w:hAnsi="Times New Roman" w:cs="Calibri"/>
          <w:sz w:val="24"/>
        </w:rPr>
        <w:t>detektorstaciju</w:t>
      </w:r>
      <w:proofErr w:type="spellEnd"/>
      <w:r w:rsidRPr="00A07F29">
        <w:rPr>
          <w:rFonts w:ascii="Times New Roman" w:eastAsia="Calibri" w:hAnsi="Times New Roman" w:cs="Calibri"/>
          <w:sz w:val="24"/>
        </w:rPr>
        <w:t xml:space="preserve"> ir mazliet augstāka kā rūsganajam </w:t>
      </w:r>
      <w:proofErr w:type="spellStart"/>
      <w:r w:rsidRPr="00A07F29">
        <w:rPr>
          <w:rFonts w:ascii="Times New Roman" w:eastAsia="Calibri" w:hAnsi="Times New Roman" w:cs="Calibri"/>
          <w:sz w:val="24"/>
        </w:rPr>
        <w:t>vakarsikspārnim</w:t>
      </w:r>
      <w:proofErr w:type="spellEnd"/>
      <w:r w:rsidRPr="00A07F29">
        <w:rPr>
          <w:rFonts w:ascii="Times New Roman" w:eastAsia="Calibri" w:hAnsi="Times New Roman" w:cs="Calibri"/>
          <w:sz w:val="24"/>
        </w:rPr>
        <w:t xml:space="preserve">. Augsta aktivitāte (40,1 pārlidojumi stundā) šai sugai konstatēta </w:t>
      </w:r>
      <w:proofErr w:type="spellStart"/>
      <w:r w:rsidRPr="00A07F29">
        <w:rPr>
          <w:rFonts w:ascii="Times New Roman" w:eastAsia="Calibri" w:hAnsi="Times New Roman" w:cs="Calibri"/>
          <w:sz w:val="24"/>
        </w:rPr>
        <w:t>detektorstacijā</w:t>
      </w:r>
      <w:proofErr w:type="spellEnd"/>
      <w:r w:rsidRPr="00A07F29">
        <w:rPr>
          <w:rFonts w:ascii="Times New Roman" w:eastAsia="Calibri" w:hAnsi="Times New Roman" w:cs="Calibri"/>
          <w:sz w:val="24"/>
        </w:rPr>
        <w:t xml:space="preserve"> </w:t>
      </w:r>
      <w:r w:rsidRPr="00A07F29">
        <w:rPr>
          <w:rFonts w:ascii="Times New Roman" w:eastAsia="Calibri" w:hAnsi="Times New Roman" w:cs="Calibri"/>
          <w:sz w:val="24"/>
        </w:rPr>
        <w:lastRenderedPageBreak/>
        <w:t xml:space="preserve">pie </w:t>
      </w:r>
      <w:proofErr w:type="spellStart"/>
      <w:r w:rsidRPr="00A07F29">
        <w:rPr>
          <w:rFonts w:ascii="Times New Roman" w:eastAsia="Calibri" w:hAnsi="Times New Roman" w:cs="Calibri"/>
          <w:sz w:val="24"/>
        </w:rPr>
        <w:t>Baļščina</w:t>
      </w:r>
      <w:proofErr w:type="spellEnd"/>
      <w:r w:rsidRPr="00A07F29">
        <w:rPr>
          <w:rFonts w:ascii="Times New Roman" w:eastAsia="Calibri" w:hAnsi="Times New Roman" w:cs="Calibri"/>
          <w:sz w:val="24"/>
        </w:rPr>
        <w:t xml:space="preserve"> ezera, kur detektors bija novietots netālu no mājas, kurā uzturējās šīs sugas kolonija. Salīdzinoši augsta aktivitāte </w:t>
      </w:r>
      <w:r w:rsidR="00F529E9" w:rsidRPr="00A07F29">
        <w:rPr>
          <w:rFonts w:ascii="Times New Roman" w:eastAsia="Calibri" w:hAnsi="Times New Roman" w:cs="Calibri"/>
          <w:sz w:val="24"/>
        </w:rPr>
        <w:t xml:space="preserve">novērota </w:t>
      </w:r>
      <w:r w:rsidRPr="00A07F29">
        <w:rPr>
          <w:rFonts w:ascii="Times New Roman" w:eastAsia="Calibri" w:hAnsi="Times New Roman" w:cs="Calibri"/>
          <w:sz w:val="24"/>
        </w:rPr>
        <w:t xml:space="preserve">pie detektora, kas bija novietots mežmalā pie </w:t>
      </w:r>
      <w:proofErr w:type="spellStart"/>
      <w:r w:rsidRPr="00A07F29">
        <w:rPr>
          <w:rFonts w:ascii="Times New Roman" w:eastAsia="Calibri" w:hAnsi="Times New Roman" w:cs="Calibri"/>
          <w:sz w:val="24"/>
        </w:rPr>
        <w:t>Šilovkas</w:t>
      </w:r>
      <w:proofErr w:type="spellEnd"/>
      <w:r w:rsidRPr="00A07F29">
        <w:rPr>
          <w:rFonts w:ascii="Times New Roman" w:eastAsia="Calibri" w:hAnsi="Times New Roman" w:cs="Calibri"/>
          <w:sz w:val="24"/>
        </w:rPr>
        <w:t xml:space="preserve"> ezera (4,4 pārlidojumi stundā). Pārējās septiņās stacijās pļavās (</w:t>
      </w:r>
      <w:r w:rsidR="00CC5EFE">
        <w:rPr>
          <w:rFonts w:ascii="Times New Roman" w:eastAsia="Calibri" w:hAnsi="Times New Roman" w:cs="Calibri"/>
          <w:sz w:val="24"/>
        </w:rPr>
        <w:t xml:space="preserve">divas </w:t>
      </w:r>
      <w:r w:rsidRPr="00A07F29">
        <w:rPr>
          <w:rFonts w:ascii="Times New Roman" w:eastAsia="Calibri" w:hAnsi="Times New Roman" w:cs="Calibri"/>
          <w:sz w:val="24"/>
        </w:rPr>
        <w:t>stacijas), uz meža ceļa (</w:t>
      </w:r>
      <w:r w:rsidR="00CC5EFE">
        <w:rPr>
          <w:rFonts w:ascii="Times New Roman" w:eastAsia="Calibri" w:hAnsi="Times New Roman" w:cs="Calibri"/>
          <w:sz w:val="24"/>
        </w:rPr>
        <w:t>viena</w:t>
      </w:r>
      <w:r w:rsidRPr="00A07F29">
        <w:rPr>
          <w:rFonts w:ascii="Times New Roman" w:eastAsia="Calibri" w:hAnsi="Times New Roman" w:cs="Calibri"/>
          <w:sz w:val="24"/>
        </w:rPr>
        <w:t>), viensētā mežmalā netālu no Daugavas (</w:t>
      </w:r>
      <w:r w:rsidR="00E02F23">
        <w:rPr>
          <w:rFonts w:ascii="Times New Roman" w:eastAsia="Calibri" w:hAnsi="Times New Roman" w:cs="Calibri"/>
          <w:sz w:val="24"/>
        </w:rPr>
        <w:t>viena</w:t>
      </w:r>
      <w:r w:rsidRPr="00A07F29">
        <w:rPr>
          <w:rFonts w:ascii="Times New Roman" w:eastAsia="Calibri" w:hAnsi="Times New Roman" w:cs="Calibri"/>
          <w:sz w:val="24"/>
        </w:rPr>
        <w:t>), mežmalā pie Tartaka ezera (</w:t>
      </w:r>
      <w:r w:rsidR="00E02F23">
        <w:rPr>
          <w:rFonts w:ascii="Times New Roman" w:eastAsia="Calibri" w:hAnsi="Times New Roman" w:cs="Calibri"/>
          <w:sz w:val="24"/>
        </w:rPr>
        <w:t>viena</w:t>
      </w:r>
      <w:r w:rsidRPr="00A07F29">
        <w:rPr>
          <w:rFonts w:ascii="Times New Roman" w:eastAsia="Calibri" w:hAnsi="Times New Roman" w:cs="Calibri"/>
          <w:sz w:val="24"/>
        </w:rPr>
        <w:t>) un divos posmos virs Daugavas</w:t>
      </w:r>
      <w:r w:rsidR="00D65BBA" w:rsidRPr="00A07F29">
        <w:rPr>
          <w:rFonts w:ascii="Times New Roman" w:eastAsia="Calibri" w:hAnsi="Times New Roman" w:cs="Calibri"/>
          <w:sz w:val="24"/>
        </w:rPr>
        <w:t xml:space="preserve"> </w:t>
      </w:r>
      <w:proofErr w:type="spellStart"/>
      <w:r w:rsidRPr="00A07F29">
        <w:rPr>
          <w:rFonts w:ascii="Times New Roman" w:eastAsia="Calibri" w:hAnsi="Times New Roman" w:cs="Calibri"/>
          <w:sz w:val="24"/>
        </w:rPr>
        <w:t>pigmejsikspārņu</w:t>
      </w:r>
      <w:proofErr w:type="spellEnd"/>
      <w:r w:rsidRPr="00A07F29">
        <w:rPr>
          <w:rFonts w:ascii="Times New Roman" w:eastAsia="Calibri" w:hAnsi="Times New Roman" w:cs="Calibri"/>
          <w:sz w:val="24"/>
        </w:rPr>
        <w:t xml:space="preserve"> ieraksti bija daudz retāki – 0,1</w:t>
      </w:r>
      <w:r w:rsidR="00E02F23">
        <w:rPr>
          <w:rFonts w:ascii="Times New Roman" w:eastAsia="Calibri" w:hAnsi="Times New Roman" w:cs="Calibri"/>
          <w:sz w:val="24"/>
        </w:rPr>
        <w:t> – </w:t>
      </w:r>
      <w:r w:rsidRPr="00A07F29">
        <w:rPr>
          <w:rFonts w:ascii="Times New Roman" w:eastAsia="Calibri" w:hAnsi="Times New Roman" w:cs="Calibri"/>
          <w:sz w:val="24"/>
        </w:rPr>
        <w:t xml:space="preserve">2,4 pārlidojumi stundā. </w:t>
      </w:r>
      <w:proofErr w:type="spellStart"/>
      <w:r w:rsidRPr="00A07F29">
        <w:rPr>
          <w:rFonts w:ascii="Times New Roman" w:eastAsia="Calibri" w:hAnsi="Times New Roman" w:cs="Calibri"/>
          <w:sz w:val="24"/>
        </w:rPr>
        <w:t>Pigmejsikspārnim</w:t>
      </w:r>
      <w:proofErr w:type="spellEnd"/>
      <w:r w:rsidRPr="00A07F29">
        <w:rPr>
          <w:rFonts w:ascii="Times New Roman" w:eastAsia="Calibri" w:hAnsi="Times New Roman" w:cs="Calibri"/>
          <w:sz w:val="24"/>
        </w:rPr>
        <w:t xml:space="preserve"> zināmas divas mātīšu koloniju mītnes – Kaplavas pareizticīgo baznīca (maks. 88 īpatņi) un Pazaru mājas Kaplavas pagastā (kolonijas lielums nav zināms).</w:t>
      </w:r>
    </w:p>
    <w:p w14:paraId="46DFD574" w14:textId="77777777" w:rsidR="009072CE" w:rsidRPr="00A07F29" w:rsidRDefault="009072CE" w:rsidP="00F529E9">
      <w:pPr>
        <w:spacing w:after="120" w:line="240" w:lineRule="auto"/>
        <w:ind w:firstLine="851"/>
        <w:jc w:val="both"/>
        <w:rPr>
          <w:rFonts w:ascii="Times New Roman" w:eastAsia="Calibri" w:hAnsi="Times New Roman" w:cs="Calibri"/>
          <w:sz w:val="24"/>
        </w:rPr>
      </w:pPr>
      <w:proofErr w:type="spellStart"/>
      <w:r w:rsidRPr="00A07F29">
        <w:rPr>
          <w:rFonts w:ascii="Times New Roman" w:eastAsia="Calibri" w:hAnsi="Times New Roman" w:cs="Calibri"/>
          <w:sz w:val="24"/>
        </w:rPr>
        <w:t>Pigmejsikspārnis</w:t>
      </w:r>
      <w:proofErr w:type="spellEnd"/>
      <w:r w:rsidRPr="00A07F29">
        <w:rPr>
          <w:rFonts w:ascii="Times New Roman" w:eastAsia="Calibri" w:hAnsi="Times New Roman" w:cs="Calibri"/>
          <w:sz w:val="24"/>
        </w:rPr>
        <w:t xml:space="preserve"> Latvijā nav atrasts ziemojot, domājams, ka līdzīgi </w:t>
      </w:r>
      <w:proofErr w:type="spellStart"/>
      <w:r w:rsidRPr="00A07F29">
        <w:rPr>
          <w:rFonts w:ascii="Times New Roman" w:eastAsia="Calibri" w:hAnsi="Times New Roman" w:cs="Calibri"/>
          <w:sz w:val="24"/>
        </w:rPr>
        <w:t>Natūza</w:t>
      </w:r>
      <w:proofErr w:type="spellEnd"/>
      <w:r w:rsidRPr="00A07F29">
        <w:rPr>
          <w:rFonts w:ascii="Times New Roman" w:eastAsia="Calibri" w:hAnsi="Times New Roman" w:cs="Calibri"/>
          <w:sz w:val="24"/>
        </w:rPr>
        <w:t xml:space="preserve"> sikspārnim, tas ir tālais migrants. Tā ziemošanas vietas līdz šim nav noskaidrotas.</w:t>
      </w:r>
    </w:p>
    <w:p w14:paraId="140C9424" w14:textId="77777777" w:rsidR="009072CE" w:rsidRPr="00A07F29" w:rsidRDefault="009072CE" w:rsidP="00661BF5">
      <w:pPr>
        <w:keepNext/>
        <w:spacing w:before="240" w:after="120" w:line="240" w:lineRule="auto"/>
        <w:jc w:val="both"/>
        <w:rPr>
          <w:rFonts w:ascii="Times New Roman" w:eastAsia="Calibri" w:hAnsi="Times New Roman" w:cs="Calibri"/>
          <w:b/>
          <w:sz w:val="24"/>
          <w:szCs w:val="24"/>
        </w:rPr>
      </w:pPr>
      <w:r w:rsidRPr="00A07F29">
        <w:rPr>
          <w:rFonts w:ascii="Times New Roman" w:eastAsia="Calibri" w:hAnsi="Times New Roman" w:cs="Calibri"/>
          <w:b/>
          <w:sz w:val="24"/>
          <w:szCs w:val="24"/>
        </w:rPr>
        <w:t xml:space="preserve">Divkrāsainais sikspārnis </w:t>
      </w:r>
      <w:proofErr w:type="spellStart"/>
      <w:r w:rsidRPr="00A07F29">
        <w:rPr>
          <w:rFonts w:ascii="Times New Roman" w:eastAsia="Calibri" w:hAnsi="Times New Roman" w:cs="Calibri"/>
          <w:b/>
          <w:i/>
          <w:sz w:val="24"/>
          <w:szCs w:val="24"/>
        </w:rPr>
        <w:t>Vesspertilio</w:t>
      </w:r>
      <w:proofErr w:type="spellEnd"/>
      <w:r w:rsidRPr="00A07F29">
        <w:rPr>
          <w:rFonts w:ascii="Times New Roman" w:eastAsia="Calibri" w:hAnsi="Times New Roman" w:cs="Calibri"/>
          <w:b/>
          <w:i/>
          <w:sz w:val="24"/>
          <w:szCs w:val="24"/>
        </w:rPr>
        <w:t xml:space="preserve"> </w:t>
      </w:r>
      <w:proofErr w:type="spellStart"/>
      <w:r w:rsidRPr="00A07F29">
        <w:rPr>
          <w:rFonts w:ascii="Times New Roman" w:eastAsia="Calibri" w:hAnsi="Times New Roman" w:cs="Calibri"/>
          <w:b/>
          <w:i/>
          <w:sz w:val="24"/>
          <w:szCs w:val="24"/>
        </w:rPr>
        <w:t>murinus</w:t>
      </w:r>
      <w:proofErr w:type="spellEnd"/>
    </w:p>
    <w:p w14:paraId="419BEA1E" w14:textId="5CD81DC1" w:rsidR="009072CE" w:rsidRPr="00A07F29" w:rsidRDefault="009072CE" w:rsidP="00F529E9">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Šajā pētījumā konstatēts 12 vietās – visos gadījumos automātisko detektoru ierakstos. Suga noteikta pēc ierakstu analīzes, tomēr jāņem vērā, ka ultraskaņas detektorā ne vienmēr šo sugu var droši atšķirt no </w:t>
      </w:r>
      <w:proofErr w:type="spellStart"/>
      <w:r w:rsidRPr="00A07F29">
        <w:rPr>
          <w:rFonts w:ascii="Times New Roman" w:eastAsia="Calibri" w:hAnsi="Times New Roman" w:cs="Calibri"/>
          <w:sz w:val="24"/>
        </w:rPr>
        <w:t>vakarsikspārņiem</w:t>
      </w:r>
      <w:proofErr w:type="spellEnd"/>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i/>
          <w:sz w:val="24"/>
        </w:rPr>
        <w:t>Nyctalus</w:t>
      </w:r>
      <w:proofErr w:type="spellEnd"/>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sz w:val="24"/>
        </w:rPr>
        <w:t>sp</w:t>
      </w:r>
      <w:proofErr w:type="spellEnd"/>
      <w:r w:rsidRPr="00A07F29">
        <w:rPr>
          <w:rFonts w:ascii="Times New Roman" w:eastAsia="Calibri" w:hAnsi="Times New Roman" w:cs="Calibri"/>
          <w:sz w:val="24"/>
        </w:rPr>
        <w:t xml:space="preserve"> un </w:t>
      </w:r>
      <w:proofErr w:type="spellStart"/>
      <w:r w:rsidRPr="00A07F29">
        <w:rPr>
          <w:rFonts w:ascii="Times New Roman" w:eastAsia="Calibri" w:hAnsi="Times New Roman" w:cs="Calibri"/>
          <w:i/>
          <w:sz w:val="24"/>
        </w:rPr>
        <w:t>Eptesicus</w:t>
      </w:r>
      <w:proofErr w:type="spellEnd"/>
      <w:r w:rsidRPr="00A07F29">
        <w:rPr>
          <w:rFonts w:ascii="Times New Roman" w:eastAsia="Calibri" w:hAnsi="Times New Roman" w:cs="Calibri"/>
          <w:i/>
          <w:sz w:val="24"/>
        </w:rPr>
        <w:t xml:space="preserve"> </w:t>
      </w:r>
      <w:r w:rsidRPr="00A07F29">
        <w:rPr>
          <w:rFonts w:ascii="Times New Roman" w:eastAsia="Calibri" w:hAnsi="Times New Roman" w:cs="Calibri"/>
          <w:sz w:val="24"/>
        </w:rPr>
        <w:t xml:space="preserve">ģints sikspārņiem. Iespējams, ka šīs sugas sikspārņi AAA </w:t>
      </w:r>
      <w:r w:rsidR="00661BF5" w:rsidRPr="00A07F29">
        <w:rPr>
          <w:rFonts w:ascii="Times New Roman" w:eastAsia="Calibri" w:hAnsi="Times New Roman" w:cs="Calibri"/>
          <w:sz w:val="24"/>
        </w:rPr>
        <w:t xml:space="preserve">“Augšdaugava” </w:t>
      </w:r>
      <w:r w:rsidRPr="00A07F29">
        <w:rPr>
          <w:rFonts w:ascii="Times New Roman" w:eastAsia="Calibri" w:hAnsi="Times New Roman" w:cs="Calibri"/>
          <w:sz w:val="24"/>
        </w:rPr>
        <w:t>ir biežāk sastopami, nekā par to liecina pētījuma dati. Divkrāsainie sikspārņi konstatēti automātisko detektoru ierakstos pie četriem ezeriem, divos posmos virs Daugavas, trīs pļavās, vienā izcirtumā un pie divām viensētām. Pārsvarā to aktivitāte bija zema – mazāka kā viens pārlidojums stundā.</w:t>
      </w:r>
    </w:p>
    <w:p w14:paraId="15714DDA" w14:textId="245A2112" w:rsidR="009072CE" w:rsidRPr="00A07F29" w:rsidRDefault="009072CE" w:rsidP="00F529E9">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Vasaras kolonijas šīs sugas mātītes veido ēkās, vismaz Latvijā nav liecību par to mītnēm kokos. Divkrāsainie sikspārņi var ziemot pilsētās daudzstāvu ēkās, iespējams, ka daļa no vietējās populācijas dzīvniekiem migrē uz ziemošanas vietām Centrāl</w:t>
      </w:r>
      <w:r w:rsidR="004E63C7">
        <w:rPr>
          <w:rFonts w:ascii="Times New Roman" w:eastAsia="Calibri" w:hAnsi="Times New Roman" w:cs="Calibri"/>
          <w:sz w:val="24"/>
        </w:rPr>
        <w:t>eiropā</w:t>
      </w:r>
      <w:r w:rsidRPr="00A07F29">
        <w:rPr>
          <w:rFonts w:ascii="Times New Roman" w:eastAsia="Calibri" w:hAnsi="Times New Roman" w:cs="Calibri"/>
          <w:sz w:val="24"/>
        </w:rPr>
        <w:t xml:space="preserve"> vai Rietumeiropā.</w:t>
      </w:r>
    </w:p>
    <w:p w14:paraId="36C46C94" w14:textId="77777777" w:rsidR="009072CE" w:rsidRPr="00A07F29" w:rsidRDefault="009072CE" w:rsidP="00661BF5">
      <w:pPr>
        <w:keepNext/>
        <w:spacing w:before="240" w:after="120" w:line="240" w:lineRule="auto"/>
        <w:jc w:val="both"/>
        <w:rPr>
          <w:rFonts w:ascii="Times New Roman" w:eastAsia="Calibri" w:hAnsi="Times New Roman" w:cs="Calibri"/>
          <w:b/>
          <w:sz w:val="24"/>
          <w:szCs w:val="24"/>
        </w:rPr>
      </w:pPr>
      <w:r w:rsidRPr="00A07F29">
        <w:rPr>
          <w:rFonts w:ascii="Times New Roman" w:eastAsia="Calibri" w:hAnsi="Times New Roman" w:cs="Calibri"/>
          <w:b/>
          <w:sz w:val="24"/>
          <w:szCs w:val="24"/>
        </w:rPr>
        <w:t xml:space="preserve">Dīķa </w:t>
      </w:r>
      <w:proofErr w:type="spellStart"/>
      <w:r w:rsidRPr="00A07F29">
        <w:rPr>
          <w:rFonts w:ascii="Times New Roman" w:eastAsia="Calibri" w:hAnsi="Times New Roman" w:cs="Calibri"/>
          <w:b/>
          <w:sz w:val="24"/>
          <w:szCs w:val="24"/>
        </w:rPr>
        <w:t>naktssikspārnis</w:t>
      </w:r>
      <w:proofErr w:type="spellEnd"/>
      <w:r w:rsidRPr="00A07F29">
        <w:rPr>
          <w:rFonts w:ascii="Times New Roman" w:eastAsia="Calibri" w:hAnsi="Times New Roman" w:cs="Calibri"/>
          <w:b/>
          <w:sz w:val="24"/>
          <w:szCs w:val="24"/>
        </w:rPr>
        <w:t xml:space="preserve"> </w:t>
      </w:r>
      <w:proofErr w:type="spellStart"/>
      <w:r w:rsidRPr="00A07F29">
        <w:rPr>
          <w:rFonts w:ascii="Times New Roman" w:eastAsia="Calibri" w:hAnsi="Times New Roman" w:cs="Calibri"/>
          <w:b/>
          <w:i/>
          <w:sz w:val="24"/>
          <w:szCs w:val="24"/>
        </w:rPr>
        <w:t>Myotis</w:t>
      </w:r>
      <w:proofErr w:type="spellEnd"/>
      <w:r w:rsidRPr="00A07F29">
        <w:rPr>
          <w:rFonts w:ascii="Times New Roman" w:eastAsia="Calibri" w:hAnsi="Times New Roman" w:cs="Calibri"/>
          <w:b/>
          <w:i/>
          <w:sz w:val="24"/>
          <w:szCs w:val="24"/>
        </w:rPr>
        <w:t xml:space="preserve"> </w:t>
      </w:r>
      <w:proofErr w:type="spellStart"/>
      <w:r w:rsidRPr="00A07F29">
        <w:rPr>
          <w:rFonts w:ascii="Times New Roman" w:eastAsia="Calibri" w:hAnsi="Times New Roman" w:cs="Calibri"/>
          <w:b/>
          <w:i/>
          <w:sz w:val="24"/>
          <w:szCs w:val="24"/>
        </w:rPr>
        <w:t>dasycneme</w:t>
      </w:r>
      <w:proofErr w:type="spellEnd"/>
    </w:p>
    <w:p w14:paraId="28862F13" w14:textId="69ED52C5" w:rsidR="009072CE" w:rsidRPr="00A07F29" w:rsidRDefault="009072CE" w:rsidP="00F529E9">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Konstatēts tikai sešās </w:t>
      </w:r>
      <w:proofErr w:type="spellStart"/>
      <w:r w:rsidRPr="00A07F29">
        <w:rPr>
          <w:rFonts w:ascii="Times New Roman" w:eastAsia="Calibri" w:hAnsi="Times New Roman" w:cs="Calibri"/>
          <w:sz w:val="24"/>
        </w:rPr>
        <w:t>punktveida</w:t>
      </w:r>
      <w:proofErr w:type="spellEnd"/>
      <w:r w:rsidRPr="00A07F29">
        <w:rPr>
          <w:rFonts w:ascii="Times New Roman" w:eastAsia="Calibri" w:hAnsi="Times New Roman" w:cs="Calibri"/>
          <w:sz w:val="24"/>
        </w:rPr>
        <w:t xml:space="preserve"> novērošanas vietās automātisko detektoru ierakstos, kā arī abos ar laivu nobrauktajos maršrutos virs Daugavas. Viena no novērošanas vietām ir sauszemes biotopā – priežu mežā netālu no </w:t>
      </w:r>
      <w:proofErr w:type="spellStart"/>
      <w:r w:rsidRPr="00A07F29">
        <w:rPr>
          <w:rFonts w:ascii="Times New Roman" w:eastAsia="Calibri" w:hAnsi="Times New Roman" w:cs="Calibri"/>
          <w:sz w:val="24"/>
        </w:rPr>
        <w:t>Naudīšiem</w:t>
      </w:r>
      <w:proofErr w:type="spellEnd"/>
      <w:r w:rsidRPr="00A07F29">
        <w:rPr>
          <w:rFonts w:ascii="Times New Roman" w:eastAsia="Calibri" w:hAnsi="Times New Roman" w:cs="Calibri"/>
          <w:sz w:val="24"/>
        </w:rPr>
        <w:t xml:space="preserve">, pārējās – virs ūdenstilpēm: </w:t>
      </w:r>
      <w:proofErr w:type="spellStart"/>
      <w:r w:rsidRPr="00A07F29">
        <w:rPr>
          <w:rFonts w:ascii="Times New Roman" w:eastAsia="Calibri" w:hAnsi="Times New Roman" w:cs="Calibri"/>
          <w:sz w:val="24"/>
        </w:rPr>
        <w:t>Baļščina</w:t>
      </w:r>
      <w:proofErr w:type="spellEnd"/>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sz w:val="24"/>
        </w:rPr>
        <w:t>Šilovkas</w:t>
      </w:r>
      <w:proofErr w:type="spellEnd"/>
      <w:r w:rsidRPr="00A07F29">
        <w:rPr>
          <w:rFonts w:ascii="Times New Roman" w:eastAsia="Calibri" w:hAnsi="Times New Roman" w:cs="Calibri"/>
          <w:sz w:val="24"/>
        </w:rPr>
        <w:t xml:space="preserve"> un </w:t>
      </w:r>
      <w:proofErr w:type="spellStart"/>
      <w:r w:rsidRPr="00A07F29">
        <w:rPr>
          <w:rFonts w:ascii="Times New Roman" w:eastAsia="Calibri" w:hAnsi="Times New Roman" w:cs="Calibri"/>
          <w:sz w:val="24"/>
        </w:rPr>
        <w:t>Varnaviču</w:t>
      </w:r>
      <w:proofErr w:type="spellEnd"/>
      <w:r w:rsidRPr="00A07F29">
        <w:rPr>
          <w:rFonts w:ascii="Times New Roman" w:eastAsia="Calibri" w:hAnsi="Times New Roman" w:cs="Calibri"/>
          <w:sz w:val="24"/>
        </w:rPr>
        <w:t xml:space="preserve"> ezeriem, </w:t>
      </w:r>
      <w:proofErr w:type="spellStart"/>
      <w:r w:rsidRPr="00A07F29">
        <w:rPr>
          <w:rFonts w:ascii="Times New Roman" w:eastAsia="Calibri" w:hAnsi="Times New Roman" w:cs="Calibri"/>
          <w:sz w:val="24"/>
        </w:rPr>
        <w:t>Piskovatkas</w:t>
      </w:r>
      <w:proofErr w:type="spellEnd"/>
      <w:r w:rsidRPr="00A07F29">
        <w:rPr>
          <w:rFonts w:ascii="Times New Roman" w:eastAsia="Calibri" w:hAnsi="Times New Roman" w:cs="Calibri"/>
          <w:sz w:val="24"/>
        </w:rPr>
        <w:t xml:space="preserve"> upes </w:t>
      </w:r>
      <w:proofErr w:type="spellStart"/>
      <w:r w:rsidRPr="00A07F29">
        <w:rPr>
          <w:rFonts w:ascii="Times New Roman" w:eastAsia="Calibri" w:hAnsi="Times New Roman" w:cs="Calibri"/>
          <w:sz w:val="24"/>
        </w:rPr>
        <w:t>uzpludinājuma</w:t>
      </w:r>
      <w:proofErr w:type="spellEnd"/>
      <w:r w:rsidRPr="00A07F29">
        <w:rPr>
          <w:rFonts w:ascii="Times New Roman" w:eastAsia="Calibri" w:hAnsi="Times New Roman" w:cs="Calibri"/>
          <w:sz w:val="24"/>
        </w:rPr>
        <w:t xml:space="preserve"> un virs Daugavas. Ierakstos daudzos gadījumos šīs sugas atšķiršana no ūdeņu </w:t>
      </w:r>
      <w:proofErr w:type="spellStart"/>
      <w:r w:rsidRPr="00A07F29">
        <w:rPr>
          <w:rFonts w:ascii="Times New Roman" w:eastAsia="Calibri" w:hAnsi="Times New Roman" w:cs="Calibri"/>
          <w:sz w:val="24"/>
        </w:rPr>
        <w:t>naktssikspārņa</w:t>
      </w:r>
      <w:proofErr w:type="spellEnd"/>
      <w:r w:rsidRPr="00A07F29">
        <w:rPr>
          <w:rFonts w:ascii="Times New Roman" w:eastAsia="Calibri" w:hAnsi="Times New Roman" w:cs="Calibri"/>
          <w:sz w:val="24"/>
        </w:rPr>
        <w:t xml:space="preserve"> nav droša. Skaņas failu gadījumos šie ieraksti tika klasificēti kā “nenoteiktas sugas </w:t>
      </w:r>
      <w:proofErr w:type="spellStart"/>
      <w:r w:rsidRPr="00A07F29">
        <w:rPr>
          <w:rFonts w:ascii="Times New Roman" w:eastAsia="Calibri" w:hAnsi="Times New Roman" w:cs="Calibri"/>
          <w:sz w:val="24"/>
        </w:rPr>
        <w:t>naktssikspārnis</w:t>
      </w:r>
      <w:proofErr w:type="spellEnd"/>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i/>
          <w:iCs/>
          <w:sz w:val="24"/>
        </w:rPr>
        <w:t>Myotis</w:t>
      </w:r>
      <w:proofErr w:type="spellEnd"/>
      <w:r w:rsidRPr="00A07F29">
        <w:rPr>
          <w:rFonts w:ascii="Times New Roman" w:eastAsia="Calibri" w:hAnsi="Times New Roman" w:cs="Calibri"/>
          <w:sz w:val="24"/>
        </w:rPr>
        <w:t xml:space="preserve">”. Tādējādi aprēķinātie dīķa </w:t>
      </w:r>
      <w:proofErr w:type="spellStart"/>
      <w:r w:rsidRPr="00A07F29">
        <w:rPr>
          <w:rFonts w:ascii="Times New Roman" w:eastAsia="Calibri" w:hAnsi="Times New Roman" w:cs="Calibri"/>
          <w:sz w:val="24"/>
        </w:rPr>
        <w:t>naktssikspārņu</w:t>
      </w:r>
      <w:proofErr w:type="spellEnd"/>
      <w:r w:rsidRPr="00A07F29">
        <w:rPr>
          <w:rFonts w:ascii="Times New Roman" w:eastAsia="Calibri" w:hAnsi="Times New Roman" w:cs="Calibri"/>
          <w:sz w:val="24"/>
        </w:rPr>
        <w:t xml:space="preserve"> aktivitātes indeksi ir zemāki nekā to patiesā reģistrētā aktivitāte. Mūsu pētījumā vislielākā dīķu </w:t>
      </w:r>
      <w:proofErr w:type="spellStart"/>
      <w:r w:rsidRPr="00A07F29">
        <w:rPr>
          <w:rFonts w:ascii="Times New Roman" w:eastAsia="Calibri" w:hAnsi="Times New Roman" w:cs="Calibri"/>
          <w:sz w:val="24"/>
        </w:rPr>
        <w:t>naktssikspārņu</w:t>
      </w:r>
      <w:proofErr w:type="spellEnd"/>
      <w:r w:rsidRPr="00A07F29">
        <w:rPr>
          <w:rFonts w:ascii="Times New Roman" w:eastAsia="Calibri" w:hAnsi="Times New Roman" w:cs="Calibri"/>
          <w:sz w:val="24"/>
        </w:rPr>
        <w:t xml:space="preserve"> aktivitāte novērota virs Daugavas, vidēji 6,6 pārlidojumi stundā (reāli noteikti vairāk). Dīķu </w:t>
      </w:r>
      <w:proofErr w:type="spellStart"/>
      <w:r w:rsidRPr="00A07F29">
        <w:rPr>
          <w:rFonts w:ascii="Times New Roman" w:eastAsia="Calibri" w:hAnsi="Times New Roman" w:cs="Calibri"/>
          <w:sz w:val="24"/>
        </w:rPr>
        <w:t>naktssikspārnim</w:t>
      </w:r>
      <w:proofErr w:type="spellEnd"/>
      <w:r w:rsidRPr="00A07F29">
        <w:rPr>
          <w:rFonts w:ascii="Times New Roman" w:eastAsia="Calibri" w:hAnsi="Times New Roman" w:cs="Calibri"/>
          <w:sz w:val="24"/>
        </w:rPr>
        <w:t xml:space="preserve"> AAA </w:t>
      </w:r>
      <w:r w:rsidR="00661BF5" w:rsidRPr="00A07F29">
        <w:rPr>
          <w:rFonts w:ascii="Times New Roman" w:eastAsia="Calibri" w:hAnsi="Times New Roman" w:cs="Calibri"/>
          <w:sz w:val="24"/>
        </w:rPr>
        <w:t>“Augšdaugava”</w:t>
      </w:r>
      <w:r w:rsidRPr="00A07F29">
        <w:rPr>
          <w:rFonts w:ascii="Times New Roman" w:eastAsia="Calibri" w:hAnsi="Times New Roman" w:cs="Calibri"/>
          <w:sz w:val="24"/>
        </w:rPr>
        <w:t xml:space="preserve"> zināma viena vairošanās kolonijas mītne – Kaplavas pareizticīgo baznīca. Mātīšu skaits jūnijā šajā mītnē pa gadiem stipri variē, mērāms desmitos indivīdu. Maksimālais skaits 2017.</w:t>
      </w:r>
      <w:r w:rsidR="00840F48">
        <w:rPr>
          <w:rFonts w:ascii="Times New Roman" w:eastAsia="Calibri" w:hAnsi="Times New Roman" w:cs="Calibri"/>
          <w:sz w:val="24"/>
        </w:rPr>
        <w:t> </w:t>
      </w:r>
      <w:r w:rsidRPr="00A07F29">
        <w:rPr>
          <w:rFonts w:ascii="Times New Roman" w:eastAsia="Calibri" w:hAnsi="Times New Roman" w:cs="Calibri"/>
          <w:sz w:val="24"/>
        </w:rPr>
        <w:t xml:space="preserve">gadā bija 158, kas ir </w:t>
      </w:r>
      <w:r w:rsidR="00661BF5" w:rsidRPr="00A07F29">
        <w:rPr>
          <w:rFonts w:ascii="Times New Roman" w:eastAsia="Calibri" w:hAnsi="Times New Roman" w:cs="Calibri"/>
          <w:sz w:val="24"/>
        </w:rPr>
        <w:t>no citiem gadiem pārāk atšķirīgs rādītājs</w:t>
      </w:r>
      <w:r w:rsidRPr="00A07F29">
        <w:rPr>
          <w:rFonts w:ascii="Times New Roman" w:eastAsia="Calibri" w:hAnsi="Times New Roman" w:cs="Calibri"/>
          <w:sz w:val="24"/>
        </w:rPr>
        <w:t xml:space="preserve"> un </w:t>
      </w:r>
      <w:r w:rsidR="00661BF5" w:rsidRPr="00A07F29">
        <w:rPr>
          <w:rFonts w:ascii="Times New Roman" w:eastAsia="Calibri" w:hAnsi="Times New Roman" w:cs="Calibri"/>
          <w:sz w:val="24"/>
        </w:rPr>
        <w:t xml:space="preserve">izskaidrojams </w:t>
      </w:r>
      <w:r w:rsidRPr="00A07F29">
        <w:rPr>
          <w:rFonts w:ascii="Times New Roman" w:eastAsia="Calibri" w:hAnsi="Times New Roman" w:cs="Calibri"/>
          <w:sz w:val="24"/>
        </w:rPr>
        <w:t xml:space="preserve">ar citu nezināmu šīs sugas koloniju mītņu esamību šajā teritorijā. </w:t>
      </w:r>
    </w:p>
    <w:p w14:paraId="3EC8C66B" w14:textId="4397CE9F" w:rsidR="009072CE" w:rsidRPr="00A07F29" w:rsidRDefault="009072CE" w:rsidP="00F529E9">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Dīķa </w:t>
      </w:r>
      <w:proofErr w:type="spellStart"/>
      <w:r w:rsidRPr="00A07F29">
        <w:rPr>
          <w:rFonts w:ascii="Times New Roman" w:eastAsia="Calibri" w:hAnsi="Times New Roman" w:cs="Calibri"/>
          <w:sz w:val="24"/>
        </w:rPr>
        <w:t>naktssikspārnis</w:t>
      </w:r>
      <w:proofErr w:type="spellEnd"/>
      <w:r w:rsidRPr="00A07F29">
        <w:rPr>
          <w:rFonts w:ascii="Times New Roman" w:eastAsia="Calibri" w:hAnsi="Times New Roman" w:cs="Calibri"/>
          <w:sz w:val="24"/>
        </w:rPr>
        <w:t xml:space="preserve"> ir no aizsardzības viedokļa prioritāra suga, jo ir vienīgā AAA </w:t>
      </w:r>
      <w:r w:rsidR="00661BF5" w:rsidRPr="00A07F29">
        <w:rPr>
          <w:rFonts w:ascii="Times New Roman" w:eastAsia="Calibri" w:hAnsi="Times New Roman" w:cs="Calibri"/>
          <w:sz w:val="24"/>
        </w:rPr>
        <w:t>“</w:t>
      </w:r>
      <w:r w:rsidRPr="00A07F29">
        <w:rPr>
          <w:rFonts w:ascii="Times New Roman" w:eastAsia="Calibri" w:hAnsi="Times New Roman" w:cs="Calibri"/>
          <w:sz w:val="24"/>
        </w:rPr>
        <w:t>Augšdaugava</w:t>
      </w:r>
      <w:r w:rsidR="00661BF5" w:rsidRPr="00A07F29">
        <w:rPr>
          <w:rFonts w:ascii="Times New Roman" w:eastAsia="Calibri" w:hAnsi="Times New Roman" w:cs="Calibri"/>
          <w:sz w:val="24"/>
        </w:rPr>
        <w:t>”</w:t>
      </w:r>
      <w:r w:rsidRPr="00A07F29">
        <w:rPr>
          <w:rFonts w:ascii="Times New Roman" w:eastAsia="Calibri" w:hAnsi="Times New Roman" w:cs="Calibri"/>
          <w:sz w:val="24"/>
        </w:rPr>
        <w:t xml:space="preserve"> konstatētā Biotopu direktīvas 2</w:t>
      </w:r>
      <w:r w:rsidR="00661BF5" w:rsidRPr="00A07F29">
        <w:rPr>
          <w:rFonts w:ascii="Times New Roman" w:eastAsia="Calibri" w:hAnsi="Times New Roman" w:cs="Calibri"/>
          <w:sz w:val="24"/>
        </w:rPr>
        <w:t>.</w:t>
      </w:r>
      <w:r w:rsidR="00B96A83">
        <w:rPr>
          <w:rFonts w:ascii="Times New Roman" w:eastAsia="Calibri" w:hAnsi="Times New Roman" w:cs="Calibri"/>
          <w:sz w:val="24"/>
        </w:rPr>
        <w:t> </w:t>
      </w:r>
      <w:r w:rsidRPr="00A07F29">
        <w:rPr>
          <w:rFonts w:ascii="Times New Roman" w:eastAsia="Calibri" w:hAnsi="Times New Roman" w:cs="Calibri"/>
          <w:sz w:val="24"/>
        </w:rPr>
        <w:t xml:space="preserve">pielikuma sikspārņu suga. Dīķu </w:t>
      </w:r>
      <w:proofErr w:type="spellStart"/>
      <w:r w:rsidRPr="00A07F29">
        <w:rPr>
          <w:rFonts w:ascii="Times New Roman" w:eastAsia="Calibri" w:hAnsi="Times New Roman" w:cs="Calibri"/>
          <w:sz w:val="24"/>
        </w:rPr>
        <w:t>naktssikspārņi</w:t>
      </w:r>
      <w:proofErr w:type="spellEnd"/>
      <w:r w:rsidRPr="00A07F29">
        <w:rPr>
          <w:rFonts w:ascii="Times New Roman" w:eastAsia="Calibri" w:hAnsi="Times New Roman" w:cs="Calibri"/>
          <w:sz w:val="24"/>
        </w:rPr>
        <w:t xml:space="preserve"> ir Latvijā ziemojoša suga, tuvākā to zināmā ziemošanas vieta ir Daugavpils cietoksnis, kas ir viena no divām galvenajām šīs sugas ziemošanas vietām Latvijā.</w:t>
      </w:r>
    </w:p>
    <w:p w14:paraId="3770BA88" w14:textId="77777777" w:rsidR="009072CE" w:rsidRPr="00A07F29" w:rsidRDefault="009072CE" w:rsidP="00661BF5">
      <w:pPr>
        <w:keepNext/>
        <w:spacing w:before="240" w:after="120" w:line="240" w:lineRule="auto"/>
        <w:jc w:val="both"/>
        <w:rPr>
          <w:rFonts w:ascii="Times New Roman" w:eastAsia="Calibri" w:hAnsi="Times New Roman" w:cs="Calibri"/>
          <w:b/>
          <w:sz w:val="24"/>
          <w:szCs w:val="24"/>
        </w:rPr>
      </w:pPr>
      <w:r w:rsidRPr="00A07F29">
        <w:rPr>
          <w:rFonts w:ascii="Times New Roman" w:eastAsia="Calibri" w:hAnsi="Times New Roman" w:cs="Calibri"/>
          <w:b/>
          <w:sz w:val="24"/>
          <w:szCs w:val="24"/>
        </w:rPr>
        <w:t xml:space="preserve">Ūdeņu </w:t>
      </w:r>
      <w:proofErr w:type="spellStart"/>
      <w:r w:rsidRPr="00A07F29">
        <w:rPr>
          <w:rFonts w:ascii="Times New Roman" w:eastAsia="Calibri" w:hAnsi="Times New Roman" w:cs="Calibri"/>
          <w:b/>
          <w:sz w:val="24"/>
          <w:szCs w:val="24"/>
        </w:rPr>
        <w:t>naktssikspārnis</w:t>
      </w:r>
      <w:proofErr w:type="spellEnd"/>
      <w:r w:rsidRPr="00A07F29">
        <w:rPr>
          <w:rFonts w:ascii="Times New Roman" w:eastAsia="Calibri" w:hAnsi="Times New Roman" w:cs="Calibri"/>
          <w:b/>
          <w:sz w:val="24"/>
          <w:szCs w:val="24"/>
        </w:rPr>
        <w:t xml:space="preserve"> </w:t>
      </w:r>
      <w:proofErr w:type="spellStart"/>
      <w:r w:rsidRPr="00A07F29">
        <w:rPr>
          <w:rFonts w:ascii="Times New Roman" w:eastAsia="Calibri" w:hAnsi="Times New Roman" w:cs="Calibri"/>
          <w:b/>
          <w:i/>
          <w:sz w:val="24"/>
          <w:szCs w:val="24"/>
        </w:rPr>
        <w:t>Myotis</w:t>
      </w:r>
      <w:proofErr w:type="spellEnd"/>
      <w:r w:rsidRPr="00A07F29">
        <w:rPr>
          <w:rFonts w:ascii="Times New Roman" w:eastAsia="Calibri" w:hAnsi="Times New Roman" w:cs="Calibri"/>
          <w:b/>
          <w:i/>
          <w:sz w:val="24"/>
          <w:szCs w:val="24"/>
        </w:rPr>
        <w:t xml:space="preserve"> </w:t>
      </w:r>
      <w:proofErr w:type="spellStart"/>
      <w:r w:rsidRPr="00A07F29">
        <w:rPr>
          <w:rFonts w:ascii="Times New Roman" w:eastAsia="Calibri" w:hAnsi="Times New Roman" w:cs="Calibri"/>
          <w:b/>
          <w:i/>
          <w:sz w:val="24"/>
          <w:szCs w:val="24"/>
        </w:rPr>
        <w:t>daubentonii</w:t>
      </w:r>
      <w:proofErr w:type="spellEnd"/>
    </w:p>
    <w:p w14:paraId="7AB0CE11" w14:textId="0E4F0A19" w:rsidR="009072CE" w:rsidRPr="00A07F29" w:rsidRDefault="009072CE" w:rsidP="00F529E9">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Ūdeņu </w:t>
      </w:r>
      <w:proofErr w:type="spellStart"/>
      <w:r w:rsidRPr="00A07F29">
        <w:rPr>
          <w:rFonts w:ascii="Times New Roman" w:eastAsia="Calibri" w:hAnsi="Times New Roman" w:cs="Calibri"/>
          <w:sz w:val="24"/>
        </w:rPr>
        <w:t>naktssikspārnis</w:t>
      </w:r>
      <w:proofErr w:type="spellEnd"/>
      <w:r w:rsidRPr="00A07F29">
        <w:rPr>
          <w:rFonts w:ascii="Times New Roman" w:eastAsia="Calibri" w:hAnsi="Times New Roman" w:cs="Calibri"/>
          <w:sz w:val="24"/>
        </w:rPr>
        <w:t xml:space="preserve"> konstatēts tikai automātisko detektoru ierakstos virs ūdenstilpēm – Daugavas, </w:t>
      </w:r>
      <w:proofErr w:type="spellStart"/>
      <w:r w:rsidRPr="00A07F29">
        <w:rPr>
          <w:rFonts w:ascii="Times New Roman" w:eastAsia="Calibri" w:hAnsi="Times New Roman" w:cs="Calibri"/>
          <w:sz w:val="24"/>
        </w:rPr>
        <w:t>Baļščina</w:t>
      </w:r>
      <w:proofErr w:type="spellEnd"/>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sz w:val="24"/>
        </w:rPr>
        <w:t>Jablonkas</w:t>
      </w:r>
      <w:proofErr w:type="spellEnd"/>
      <w:r w:rsidRPr="00A07F29">
        <w:rPr>
          <w:rFonts w:ascii="Times New Roman" w:eastAsia="Calibri" w:hAnsi="Times New Roman" w:cs="Calibri"/>
          <w:sz w:val="24"/>
        </w:rPr>
        <w:t xml:space="preserve"> un </w:t>
      </w:r>
      <w:proofErr w:type="spellStart"/>
      <w:r w:rsidRPr="00A07F29">
        <w:rPr>
          <w:rFonts w:ascii="Times New Roman" w:eastAsia="Calibri" w:hAnsi="Times New Roman" w:cs="Calibri"/>
          <w:sz w:val="24"/>
        </w:rPr>
        <w:t>Šilovkas</w:t>
      </w:r>
      <w:proofErr w:type="spellEnd"/>
      <w:r w:rsidRPr="00A07F29">
        <w:rPr>
          <w:rFonts w:ascii="Times New Roman" w:eastAsia="Calibri" w:hAnsi="Times New Roman" w:cs="Calibri"/>
          <w:sz w:val="24"/>
        </w:rPr>
        <w:t xml:space="preserve"> ezeriem. Sugas droša atšķiršana no dīķu </w:t>
      </w:r>
      <w:proofErr w:type="spellStart"/>
      <w:r w:rsidRPr="00A07F29">
        <w:rPr>
          <w:rFonts w:ascii="Times New Roman" w:eastAsia="Calibri" w:hAnsi="Times New Roman" w:cs="Calibri"/>
          <w:sz w:val="24"/>
        </w:rPr>
        <w:t>naktssikspārņa</w:t>
      </w:r>
      <w:proofErr w:type="spellEnd"/>
      <w:r w:rsidRPr="00A07F29">
        <w:rPr>
          <w:rFonts w:ascii="Times New Roman" w:eastAsia="Calibri" w:hAnsi="Times New Roman" w:cs="Calibri"/>
          <w:sz w:val="24"/>
        </w:rPr>
        <w:t xml:space="preserve"> tikai pēc to saucienu ierakstiem ir sarežģīta. Daudz drošāka atšķiršana ir vizuālu novērojumu gadījumos. Abas sugas ir vienīgās </w:t>
      </w:r>
      <w:r w:rsidR="00661BF5" w:rsidRPr="00A07F29">
        <w:rPr>
          <w:rFonts w:ascii="Times New Roman" w:eastAsia="Calibri" w:hAnsi="Times New Roman" w:cs="Calibri"/>
          <w:sz w:val="24"/>
        </w:rPr>
        <w:t>t.s.</w:t>
      </w:r>
      <w:r w:rsidRPr="00A07F29">
        <w:rPr>
          <w:rFonts w:ascii="Times New Roman" w:eastAsia="Calibri" w:hAnsi="Times New Roman" w:cs="Calibri"/>
          <w:sz w:val="24"/>
        </w:rPr>
        <w:t xml:space="preserve"> tralējošās sikspārņu sugas mūsu faunā, kuras medī ūdens kukaiņus tuvu ūdens virsmai</w:t>
      </w:r>
      <w:r w:rsidR="00661BF5" w:rsidRPr="00A07F29">
        <w:rPr>
          <w:rFonts w:ascii="Times New Roman" w:eastAsia="Calibri" w:hAnsi="Times New Roman" w:cs="Calibri"/>
          <w:sz w:val="24"/>
        </w:rPr>
        <w:t xml:space="preserve">. </w:t>
      </w:r>
      <w:r w:rsidRPr="00A07F29">
        <w:rPr>
          <w:rFonts w:ascii="Times New Roman" w:eastAsia="Calibri" w:hAnsi="Times New Roman" w:cs="Calibri"/>
          <w:sz w:val="24"/>
        </w:rPr>
        <w:t xml:space="preserve">Ar nelielu pieredzi labos redzamības apstākļos abas sugas var atšķirt pēc izmēriem (ūdeņu </w:t>
      </w:r>
      <w:proofErr w:type="spellStart"/>
      <w:r w:rsidRPr="00A07F29">
        <w:rPr>
          <w:rFonts w:ascii="Times New Roman" w:eastAsia="Calibri" w:hAnsi="Times New Roman" w:cs="Calibri"/>
          <w:sz w:val="24"/>
        </w:rPr>
        <w:t>naktssikspārnis</w:t>
      </w:r>
      <w:proofErr w:type="spellEnd"/>
      <w:r w:rsidRPr="00A07F29">
        <w:rPr>
          <w:rFonts w:ascii="Times New Roman" w:eastAsia="Calibri" w:hAnsi="Times New Roman" w:cs="Calibri"/>
          <w:sz w:val="24"/>
        </w:rPr>
        <w:t xml:space="preserve"> ir mazāks) un lidojuma manieres. </w:t>
      </w:r>
      <w:r w:rsidRPr="00A07F29">
        <w:rPr>
          <w:rFonts w:ascii="Times New Roman" w:eastAsia="Calibri" w:hAnsi="Times New Roman" w:cs="Calibri"/>
          <w:sz w:val="24"/>
        </w:rPr>
        <w:lastRenderedPageBreak/>
        <w:t xml:space="preserve">Domājams, ka ūdeņu </w:t>
      </w:r>
      <w:proofErr w:type="spellStart"/>
      <w:r w:rsidRPr="00A07F29">
        <w:rPr>
          <w:rFonts w:ascii="Times New Roman" w:eastAsia="Calibri" w:hAnsi="Times New Roman" w:cs="Calibri"/>
          <w:sz w:val="24"/>
        </w:rPr>
        <w:t>naktssikspārnis</w:t>
      </w:r>
      <w:proofErr w:type="spellEnd"/>
      <w:r w:rsidRPr="00A07F29">
        <w:rPr>
          <w:rFonts w:ascii="Times New Roman" w:eastAsia="Calibri" w:hAnsi="Times New Roman" w:cs="Calibri"/>
          <w:sz w:val="24"/>
        </w:rPr>
        <w:t xml:space="preserve"> ir biežāka suga AAA </w:t>
      </w:r>
      <w:r w:rsidR="005C3B63" w:rsidRPr="00A07F29">
        <w:rPr>
          <w:rFonts w:ascii="Times New Roman" w:eastAsia="Calibri" w:hAnsi="Times New Roman" w:cs="Calibri"/>
          <w:sz w:val="24"/>
        </w:rPr>
        <w:t>“</w:t>
      </w:r>
      <w:r w:rsidRPr="00A07F29">
        <w:rPr>
          <w:rFonts w:ascii="Times New Roman" w:eastAsia="Calibri" w:hAnsi="Times New Roman" w:cs="Calibri"/>
          <w:sz w:val="24"/>
        </w:rPr>
        <w:t>Augšdaugava</w:t>
      </w:r>
      <w:r w:rsidR="005C3B63" w:rsidRPr="00A07F29">
        <w:rPr>
          <w:rFonts w:ascii="Times New Roman" w:eastAsia="Calibri" w:hAnsi="Times New Roman" w:cs="Calibri"/>
          <w:sz w:val="24"/>
        </w:rPr>
        <w:t>”</w:t>
      </w:r>
      <w:r w:rsidRPr="00A07F29">
        <w:rPr>
          <w:rFonts w:ascii="Times New Roman" w:eastAsia="Calibri" w:hAnsi="Times New Roman" w:cs="Calibri"/>
          <w:sz w:val="24"/>
        </w:rPr>
        <w:t xml:space="preserve"> nekā par to liecina šī pētījuma dati. Ūdeņu </w:t>
      </w:r>
      <w:proofErr w:type="spellStart"/>
      <w:r w:rsidRPr="00A07F29">
        <w:rPr>
          <w:rFonts w:ascii="Times New Roman" w:eastAsia="Calibri" w:hAnsi="Times New Roman" w:cs="Calibri"/>
          <w:sz w:val="24"/>
        </w:rPr>
        <w:t>naktssikspārnis</w:t>
      </w:r>
      <w:proofErr w:type="spellEnd"/>
      <w:r w:rsidRPr="00A07F29">
        <w:rPr>
          <w:rFonts w:ascii="Times New Roman" w:eastAsia="Calibri" w:hAnsi="Times New Roman" w:cs="Calibri"/>
          <w:sz w:val="24"/>
        </w:rPr>
        <w:t xml:space="preserve"> mītņu izvēlē ir izteikti </w:t>
      </w:r>
      <w:proofErr w:type="spellStart"/>
      <w:r w:rsidRPr="00A07F29">
        <w:rPr>
          <w:rFonts w:ascii="Times New Roman" w:eastAsia="Calibri" w:hAnsi="Times New Roman" w:cs="Calibri"/>
          <w:sz w:val="24"/>
        </w:rPr>
        <w:t>denrofīla</w:t>
      </w:r>
      <w:proofErr w:type="spellEnd"/>
      <w:r w:rsidRPr="00A07F29">
        <w:rPr>
          <w:rFonts w:ascii="Times New Roman" w:eastAsia="Calibri" w:hAnsi="Times New Roman" w:cs="Calibri"/>
          <w:sz w:val="24"/>
        </w:rPr>
        <w:t xml:space="preserve"> suga. To mātīšu kolonijas izmanto tikai slēptuves kokos. Līdz ar to arī šai sugai svarīgs ir pietiekams vecu koku īpatsvars mežaudzēs. Ūdeņu </w:t>
      </w:r>
      <w:proofErr w:type="spellStart"/>
      <w:r w:rsidRPr="00A07F29">
        <w:rPr>
          <w:rFonts w:ascii="Times New Roman" w:eastAsia="Calibri" w:hAnsi="Times New Roman" w:cs="Calibri"/>
          <w:sz w:val="24"/>
        </w:rPr>
        <w:t>naktssikspārņi</w:t>
      </w:r>
      <w:proofErr w:type="spellEnd"/>
      <w:r w:rsidRPr="00A07F29">
        <w:rPr>
          <w:rFonts w:ascii="Times New Roman" w:eastAsia="Calibri" w:hAnsi="Times New Roman" w:cs="Calibri"/>
          <w:sz w:val="24"/>
        </w:rPr>
        <w:t xml:space="preserve"> ir ziemotāji, to tuvākā ziemošanas vieta – Daugavpils cietoksnis ir skaitliski lielākā šīs sugas ziemas mītne Latvijā, kur katru ziemu monitoringa ietvaros tiek uzskaitīti vairāk nekā 1000 indivīdi.</w:t>
      </w:r>
    </w:p>
    <w:p w14:paraId="6BDE5A22" w14:textId="77777777" w:rsidR="009072CE" w:rsidRPr="00A07F29" w:rsidRDefault="009072CE" w:rsidP="005C3B63">
      <w:pPr>
        <w:keepNext/>
        <w:spacing w:before="240" w:after="120" w:line="240" w:lineRule="auto"/>
        <w:jc w:val="both"/>
        <w:rPr>
          <w:rFonts w:ascii="Times New Roman" w:eastAsia="Calibri" w:hAnsi="Times New Roman" w:cs="Calibri"/>
          <w:b/>
          <w:sz w:val="24"/>
          <w:szCs w:val="24"/>
        </w:rPr>
      </w:pPr>
      <w:r w:rsidRPr="00A07F29">
        <w:rPr>
          <w:rFonts w:ascii="Times New Roman" w:eastAsia="Calibri" w:hAnsi="Times New Roman" w:cs="Calibri"/>
          <w:b/>
          <w:sz w:val="24"/>
          <w:szCs w:val="24"/>
        </w:rPr>
        <w:t xml:space="preserve">Brūnais </w:t>
      </w:r>
      <w:proofErr w:type="spellStart"/>
      <w:r w:rsidRPr="00A07F29">
        <w:rPr>
          <w:rFonts w:ascii="Times New Roman" w:eastAsia="Calibri" w:hAnsi="Times New Roman" w:cs="Calibri"/>
          <w:b/>
          <w:sz w:val="24"/>
          <w:szCs w:val="24"/>
        </w:rPr>
        <w:t>garausainis</w:t>
      </w:r>
      <w:proofErr w:type="spellEnd"/>
      <w:r w:rsidRPr="00A07F29">
        <w:rPr>
          <w:rFonts w:ascii="Times New Roman" w:eastAsia="Calibri" w:hAnsi="Times New Roman" w:cs="Calibri"/>
          <w:b/>
          <w:sz w:val="24"/>
          <w:szCs w:val="24"/>
        </w:rPr>
        <w:t xml:space="preserve"> </w:t>
      </w:r>
      <w:proofErr w:type="spellStart"/>
      <w:r w:rsidRPr="00A07F29">
        <w:rPr>
          <w:rFonts w:ascii="Times New Roman" w:eastAsia="Calibri" w:hAnsi="Times New Roman" w:cs="Calibri"/>
          <w:b/>
          <w:i/>
          <w:sz w:val="24"/>
          <w:szCs w:val="24"/>
        </w:rPr>
        <w:t>Plecotus</w:t>
      </w:r>
      <w:proofErr w:type="spellEnd"/>
      <w:r w:rsidRPr="00A07F29">
        <w:rPr>
          <w:rFonts w:ascii="Times New Roman" w:eastAsia="Calibri" w:hAnsi="Times New Roman" w:cs="Calibri"/>
          <w:b/>
          <w:i/>
          <w:sz w:val="24"/>
          <w:szCs w:val="24"/>
        </w:rPr>
        <w:t xml:space="preserve"> </w:t>
      </w:r>
      <w:proofErr w:type="spellStart"/>
      <w:r w:rsidRPr="00A07F29">
        <w:rPr>
          <w:rFonts w:ascii="Times New Roman" w:eastAsia="Calibri" w:hAnsi="Times New Roman" w:cs="Calibri"/>
          <w:b/>
          <w:i/>
          <w:sz w:val="24"/>
          <w:szCs w:val="24"/>
        </w:rPr>
        <w:t>auritus</w:t>
      </w:r>
      <w:proofErr w:type="spellEnd"/>
    </w:p>
    <w:p w14:paraId="4C34C336" w14:textId="2A940856" w:rsidR="009072CE" w:rsidRPr="00A07F29" w:rsidRDefault="009072CE" w:rsidP="00F529E9">
      <w:pPr>
        <w:spacing w:after="120" w:line="240" w:lineRule="auto"/>
        <w:ind w:firstLine="851"/>
        <w:jc w:val="both"/>
        <w:rPr>
          <w:rFonts w:ascii="Times New Roman" w:eastAsia="Calibri" w:hAnsi="Times New Roman" w:cs="Calibri"/>
          <w:iCs/>
          <w:sz w:val="24"/>
        </w:rPr>
      </w:pPr>
      <w:r w:rsidRPr="00A07F29">
        <w:rPr>
          <w:rFonts w:ascii="Times New Roman" w:eastAsia="Calibri" w:hAnsi="Times New Roman" w:cs="Calibri"/>
          <w:sz w:val="24"/>
        </w:rPr>
        <w:t xml:space="preserve">Šīs sugas konstatēšana ar ultraskaņas detektoriem ir apgrūtināta tās īpaši kluso ultraskaņas saucienu dēļ. </w:t>
      </w:r>
      <w:proofErr w:type="spellStart"/>
      <w:r w:rsidRPr="00A07F29">
        <w:rPr>
          <w:rFonts w:ascii="Times New Roman" w:eastAsia="Calibri" w:hAnsi="Times New Roman" w:cs="Calibri"/>
          <w:sz w:val="24"/>
        </w:rPr>
        <w:t>Garausainos</w:t>
      </w:r>
      <w:proofErr w:type="spellEnd"/>
      <w:r w:rsidRPr="00A07F29">
        <w:rPr>
          <w:rFonts w:ascii="Times New Roman" w:eastAsia="Calibri" w:hAnsi="Times New Roman" w:cs="Calibri"/>
          <w:sz w:val="24"/>
        </w:rPr>
        <w:t xml:space="preserve"> sikspārņus detektors uztver maksimāli tikai 5</w:t>
      </w:r>
      <w:r w:rsidR="00DD6536">
        <w:rPr>
          <w:rFonts w:ascii="Times New Roman" w:eastAsia="Calibri" w:hAnsi="Times New Roman" w:cs="Calibri"/>
          <w:sz w:val="24"/>
        </w:rPr>
        <w:t> – </w:t>
      </w:r>
      <w:r w:rsidRPr="00A07F29">
        <w:rPr>
          <w:rFonts w:ascii="Times New Roman" w:eastAsia="Calibri" w:hAnsi="Times New Roman" w:cs="Calibri"/>
          <w:sz w:val="24"/>
        </w:rPr>
        <w:t>10</w:t>
      </w:r>
      <w:r w:rsidR="00DD6536">
        <w:rPr>
          <w:rFonts w:ascii="Times New Roman" w:eastAsia="Calibri" w:hAnsi="Times New Roman" w:cs="Calibri"/>
          <w:sz w:val="24"/>
        </w:rPr>
        <w:t> </w:t>
      </w:r>
      <w:r w:rsidRPr="00A07F29">
        <w:rPr>
          <w:rFonts w:ascii="Times New Roman" w:eastAsia="Calibri" w:hAnsi="Times New Roman" w:cs="Calibri"/>
          <w:sz w:val="24"/>
        </w:rPr>
        <w:t xml:space="preserve">m attālumā. Ne vienmēr šos saucienus var atšķirt no </w:t>
      </w:r>
      <w:proofErr w:type="spellStart"/>
      <w:r w:rsidRPr="00A07F29">
        <w:rPr>
          <w:rFonts w:ascii="Times New Roman" w:eastAsia="Calibri" w:hAnsi="Times New Roman" w:cs="Calibri"/>
          <w:sz w:val="24"/>
        </w:rPr>
        <w:t>naktssikspārņu</w:t>
      </w:r>
      <w:proofErr w:type="spellEnd"/>
      <w:r w:rsidRPr="00A07F29">
        <w:rPr>
          <w:rFonts w:ascii="Times New Roman" w:eastAsia="Calibri" w:hAnsi="Times New Roman" w:cs="Calibri"/>
          <w:sz w:val="24"/>
        </w:rPr>
        <w:t xml:space="preserve"> saucieniem. Šīs sugas inventarizācijai teritorijā piemērotākas metodes ir to potenciālo mītņu kontroles – ēku bēniņi un putnu būri vasarā un piemājas pagrabi ziemā. Tā kā šādas iespējas nebija, var teikt, ka brūnā </w:t>
      </w:r>
      <w:proofErr w:type="spellStart"/>
      <w:r w:rsidRPr="00A07F29">
        <w:rPr>
          <w:rFonts w:ascii="Times New Roman" w:eastAsia="Calibri" w:hAnsi="Times New Roman" w:cs="Calibri"/>
          <w:sz w:val="24"/>
        </w:rPr>
        <w:t>garausaiņa</w:t>
      </w:r>
      <w:proofErr w:type="spellEnd"/>
      <w:r w:rsidRPr="00A07F29">
        <w:rPr>
          <w:rFonts w:ascii="Times New Roman" w:eastAsia="Calibri" w:hAnsi="Times New Roman" w:cs="Calibri"/>
          <w:sz w:val="24"/>
        </w:rPr>
        <w:t xml:space="preserve"> sastopamība AAA </w:t>
      </w:r>
      <w:r w:rsidR="005C3B63" w:rsidRPr="00A07F29">
        <w:rPr>
          <w:rFonts w:ascii="Times New Roman" w:eastAsia="Calibri" w:hAnsi="Times New Roman" w:cs="Calibri"/>
          <w:sz w:val="24"/>
        </w:rPr>
        <w:t xml:space="preserve">“Augšdaugava” </w:t>
      </w:r>
      <w:r w:rsidRPr="00A07F29">
        <w:rPr>
          <w:rFonts w:ascii="Times New Roman" w:eastAsia="Calibri" w:hAnsi="Times New Roman" w:cs="Calibri"/>
          <w:sz w:val="24"/>
        </w:rPr>
        <w:t xml:space="preserve">ir izpētīta nepilnīgi. Šo sugu izdevās noteikt vienā automātiskā detektora ierakstā pie viensētas Daugavas krastā un vienu īpatni novērot </w:t>
      </w:r>
      <w:proofErr w:type="spellStart"/>
      <w:r w:rsidRPr="00A07F29">
        <w:rPr>
          <w:rFonts w:ascii="Times New Roman" w:eastAsia="Calibri" w:hAnsi="Times New Roman" w:cs="Calibri"/>
          <w:sz w:val="24"/>
        </w:rPr>
        <w:t>Varnaviču</w:t>
      </w:r>
      <w:proofErr w:type="spellEnd"/>
      <w:r w:rsidRPr="00A07F29">
        <w:rPr>
          <w:rFonts w:ascii="Times New Roman" w:eastAsia="Calibri" w:hAnsi="Times New Roman" w:cs="Calibri"/>
          <w:sz w:val="24"/>
        </w:rPr>
        <w:t xml:space="preserve"> katoļu baznīcas bēniņos.</w:t>
      </w:r>
    </w:p>
    <w:p w14:paraId="1F31C802" w14:textId="77777777" w:rsidR="009072CE" w:rsidRPr="00A07F29" w:rsidRDefault="009072CE" w:rsidP="005C3B63">
      <w:pPr>
        <w:keepNext/>
        <w:spacing w:before="240" w:after="120" w:line="240" w:lineRule="auto"/>
        <w:jc w:val="both"/>
        <w:rPr>
          <w:rFonts w:ascii="Times New Roman" w:eastAsia="Calibri" w:hAnsi="Times New Roman" w:cs="Calibri"/>
          <w:b/>
          <w:sz w:val="24"/>
          <w:szCs w:val="24"/>
        </w:rPr>
      </w:pPr>
      <w:proofErr w:type="spellStart"/>
      <w:r w:rsidRPr="00A07F29">
        <w:rPr>
          <w:rFonts w:ascii="Times New Roman" w:eastAsia="Calibri" w:hAnsi="Times New Roman" w:cs="Calibri"/>
          <w:b/>
          <w:sz w:val="24"/>
          <w:szCs w:val="24"/>
        </w:rPr>
        <w:t>Pundursikspārnis</w:t>
      </w:r>
      <w:proofErr w:type="spellEnd"/>
      <w:r w:rsidRPr="00A07F29">
        <w:rPr>
          <w:rFonts w:ascii="Times New Roman" w:eastAsia="Calibri" w:hAnsi="Times New Roman" w:cs="Calibri"/>
          <w:b/>
          <w:sz w:val="24"/>
          <w:szCs w:val="24"/>
        </w:rPr>
        <w:t xml:space="preserve"> </w:t>
      </w:r>
      <w:proofErr w:type="spellStart"/>
      <w:r w:rsidRPr="00A07F29">
        <w:rPr>
          <w:rFonts w:ascii="Times New Roman" w:eastAsia="Calibri" w:hAnsi="Times New Roman" w:cs="Calibri"/>
          <w:b/>
          <w:i/>
          <w:sz w:val="24"/>
          <w:szCs w:val="24"/>
        </w:rPr>
        <w:t>Pipistrellus</w:t>
      </w:r>
      <w:proofErr w:type="spellEnd"/>
      <w:r w:rsidRPr="00A07F29">
        <w:rPr>
          <w:rFonts w:ascii="Times New Roman" w:eastAsia="Calibri" w:hAnsi="Times New Roman" w:cs="Calibri"/>
          <w:b/>
          <w:i/>
          <w:sz w:val="24"/>
          <w:szCs w:val="24"/>
        </w:rPr>
        <w:t xml:space="preserve"> </w:t>
      </w:r>
      <w:proofErr w:type="spellStart"/>
      <w:r w:rsidRPr="00A07F29">
        <w:rPr>
          <w:rFonts w:ascii="Times New Roman" w:eastAsia="Calibri" w:hAnsi="Times New Roman" w:cs="Calibri"/>
          <w:b/>
          <w:i/>
          <w:sz w:val="24"/>
          <w:szCs w:val="24"/>
        </w:rPr>
        <w:t>pipistrellus</w:t>
      </w:r>
      <w:proofErr w:type="spellEnd"/>
    </w:p>
    <w:p w14:paraId="53D2C2F3" w14:textId="77777777" w:rsidR="009072CE" w:rsidRPr="00A07F29" w:rsidRDefault="009072CE" w:rsidP="00F529E9">
      <w:pPr>
        <w:spacing w:after="120" w:line="240" w:lineRule="auto"/>
        <w:ind w:firstLine="851"/>
        <w:jc w:val="both"/>
        <w:rPr>
          <w:rFonts w:ascii="Times New Roman" w:eastAsia="Calibri" w:hAnsi="Times New Roman" w:cs="Calibri"/>
          <w:iCs/>
          <w:sz w:val="24"/>
          <w:u w:val="single"/>
        </w:rPr>
      </w:pPr>
      <w:r w:rsidRPr="00A07F29">
        <w:rPr>
          <w:rFonts w:ascii="Times New Roman" w:eastAsia="Calibri" w:hAnsi="Times New Roman" w:cs="Calibri"/>
          <w:iCs/>
          <w:sz w:val="24"/>
        </w:rPr>
        <w:t xml:space="preserve">Šī suga konstatēta ierakstos pie </w:t>
      </w:r>
      <w:proofErr w:type="spellStart"/>
      <w:r w:rsidRPr="00A07F29">
        <w:rPr>
          <w:rFonts w:ascii="Times New Roman" w:eastAsia="Calibri" w:hAnsi="Times New Roman" w:cs="Calibri"/>
          <w:iCs/>
          <w:sz w:val="24"/>
        </w:rPr>
        <w:t>Šilovkas</w:t>
      </w:r>
      <w:proofErr w:type="spellEnd"/>
      <w:r w:rsidRPr="00A07F29">
        <w:rPr>
          <w:rFonts w:ascii="Times New Roman" w:eastAsia="Calibri" w:hAnsi="Times New Roman" w:cs="Calibri"/>
          <w:iCs/>
          <w:sz w:val="24"/>
        </w:rPr>
        <w:t xml:space="preserve"> ezera un virs Daugavas. Šīs sugas akustiska droša noteikšana ir sarežģīta, jo tos var sajaukt gan ar </w:t>
      </w:r>
      <w:proofErr w:type="spellStart"/>
      <w:r w:rsidRPr="00A07F29">
        <w:rPr>
          <w:rFonts w:ascii="Times New Roman" w:eastAsia="Calibri" w:hAnsi="Times New Roman" w:cs="Calibri"/>
          <w:iCs/>
          <w:sz w:val="24"/>
        </w:rPr>
        <w:t>Natūza</w:t>
      </w:r>
      <w:proofErr w:type="spellEnd"/>
      <w:r w:rsidRPr="00A07F29">
        <w:rPr>
          <w:rFonts w:ascii="Times New Roman" w:eastAsia="Calibri" w:hAnsi="Times New Roman" w:cs="Calibri"/>
          <w:iCs/>
          <w:sz w:val="24"/>
        </w:rPr>
        <w:t xml:space="preserve"> sikspārņu, gan </w:t>
      </w:r>
      <w:proofErr w:type="spellStart"/>
      <w:r w:rsidRPr="00A07F29">
        <w:rPr>
          <w:rFonts w:ascii="Times New Roman" w:eastAsia="Calibri" w:hAnsi="Times New Roman" w:cs="Calibri"/>
          <w:iCs/>
          <w:sz w:val="24"/>
        </w:rPr>
        <w:t>pigmejsikspārņu</w:t>
      </w:r>
      <w:proofErr w:type="spellEnd"/>
      <w:r w:rsidRPr="00A07F29">
        <w:rPr>
          <w:rFonts w:ascii="Times New Roman" w:eastAsia="Calibri" w:hAnsi="Times New Roman" w:cs="Calibri"/>
          <w:iCs/>
          <w:sz w:val="24"/>
        </w:rPr>
        <w:t xml:space="preserve"> saucieniem. Neapšaubāmi šī suga ir retākā no pieminētajām un viena no vismazāk zināmajām sugām Latvijā. Pieaugot informācijai par šo trīs sugu saucienu parametru variēšanu Latvijas apstākļos, mūsu zināšanas nākotnē par šo sugu varētu uzlaboties.</w:t>
      </w:r>
    </w:p>
    <w:p w14:paraId="578DD664" w14:textId="77777777" w:rsidR="009072CE" w:rsidRPr="00A07F29" w:rsidRDefault="009072CE" w:rsidP="005C3B63">
      <w:pPr>
        <w:keepNext/>
        <w:spacing w:before="240" w:after="120" w:line="240" w:lineRule="auto"/>
        <w:jc w:val="both"/>
        <w:rPr>
          <w:rFonts w:ascii="Times New Roman" w:eastAsia="Calibri" w:hAnsi="Times New Roman" w:cs="Calibri"/>
          <w:b/>
          <w:sz w:val="24"/>
          <w:szCs w:val="24"/>
        </w:rPr>
      </w:pPr>
      <w:r w:rsidRPr="00A07F29">
        <w:rPr>
          <w:rFonts w:ascii="Times New Roman" w:eastAsia="Calibri" w:hAnsi="Times New Roman" w:cs="Calibri"/>
          <w:b/>
          <w:sz w:val="24"/>
          <w:szCs w:val="24"/>
        </w:rPr>
        <w:t>Citas sikspārņu sugas</w:t>
      </w:r>
    </w:p>
    <w:p w14:paraId="7766ACAA" w14:textId="1588A5B8" w:rsidR="009072CE" w:rsidRPr="00A07F29" w:rsidRDefault="009072CE" w:rsidP="00F529E9">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Ņemot vērā biotopu daudzveidību </w:t>
      </w:r>
      <w:r w:rsidR="005C3B63" w:rsidRPr="00A07F29">
        <w:rPr>
          <w:rFonts w:ascii="Times New Roman" w:eastAsia="Calibri" w:hAnsi="Times New Roman" w:cs="Calibri"/>
          <w:sz w:val="24"/>
        </w:rPr>
        <w:t>AAA “Augšdaugava” teritorijā</w:t>
      </w:r>
      <w:r w:rsidRPr="00A07F29">
        <w:rPr>
          <w:rFonts w:ascii="Times New Roman" w:eastAsia="Calibri" w:hAnsi="Times New Roman" w:cs="Calibri"/>
          <w:sz w:val="24"/>
        </w:rPr>
        <w:t>, ticama ir vēl citu, ar ultraskaņas detektoriem grūtāk pierādāmu, sikspārņu sugu sastopamība</w:t>
      </w:r>
      <w:r w:rsidR="005C3B63" w:rsidRPr="00A07F29">
        <w:rPr>
          <w:rFonts w:ascii="Times New Roman" w:eastAsia="Calibri" w:hAnsi="Times New Roman" w:cs="Calibri"/>
          <w:sz w:val="24"/>
        </w:rPr>
        <w:t xml:space="preserve">. </w:t>
      </w:r>
      <w:r w:rsidRPr="00A07F29">
        <w:rPr>
          <w:rFonts w:ascii="Times New Roman" w:eastAsia="Calibri" w:hAnsi="Times New Roman" w:cs="Calibri"/>
          <w:sz w:val="24"/>
        </w:rPr>
        <w:t>Tādi ir, piemēram</w:t>
      </w:r>
      <w:r w:rsidR="005C3B63" w:rsidRPr="00A07F29">
        <w:rPr>
          <w:rFonts w:ascii="Times New Roman" w:eastAsia="Calibri" w:hAnsi="Times New Roman" w:cs="Calibri"/>
          <w:sz w:val="24"/>
        </w:rPr>
        <w:t>,</w:t>
      </w:r>
      <w:r w:rsidRPr="00A07F29">
        <w:rPr>
          <w:rFonts w:ascii="Times New Roman" w:eastAsia="Calibri" w:hAnsi="Times New Roman" w:cs="Calibri"/>
          <w:sz w:val="24"/>
        </w:rPr>
        <w:t xml:space="preserve"> Branta un </w:t>
      </w:r>
      <w:proofErr w:type="spellStart"/>
      <w:r w:rsidRPr="00A07F29">
        <w:rPr>
          <w:rFonts w:ascii="Times New Roman" w:eastAsia="Calibri" w:hAnsi="Times New Roman" w:cs="Calibri"/>
          <w:sz w:val="24"/>
        </w:rPr>
        <w:t>Naterera</w:t>
      </w:r>
      <w:proofErr w:type="spellEnd"/>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sz w:val="24"/>
        </w:rPr>
        <w:t>naktsikspārņi</w:t>
      </w:r>
      <w:proofErr w:type="spellEnd"/>
      <w:r w:rsidRPr="00A07F29">
        <w:rPr>
          <w:rFonts w:ascii="Times New Roman" w:eastAsia="Calibri" w:hAnsi="Times New Roman" w:cs="Calibri"/>
          <w:sz w:val="24"/>
        </w:rPr>
        <w:t>. Šo sugu pētīšanai izmantojama metode ir sikspārņu ķeršana tīklos, kas gan ir laika un cilvēkresursu ietilpīga.</w:t>
      </w:r>
    </w:p>
    <w:p w14:paraId="38FAFD01" w14:textId="338482A2" w:rsidR="009072CE" w:rsidRPr="00A07F29" w:rsidRDefault="009072CE" w:rsidP="005C3B63">
      <w:pPr>
        <w:spacing w:before="240" w:after="120" w:line="240" w:lineRule="auto"/>
        <w:jc w:val="center"/>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4.</w:t>
      </w:r>
      <w:r w:rsidR="005C3B63" w:rsidRPr="00A07F29">
        <w:rPr>
          <w:rFonts w:ascii="Times New Roman" w:eastAsia="Times New Roman" w:hAnsi="Times New Roman" w:cs="Times New Roman"/>
          <w:sz w:val="24"/>
          <w:szCs w:val="24"/>
          <w:lang w:eastAsia="lv-LV"/>
        </w:rPr>
        <w:t>11</w:t>
      </w:r>
      <w:r w:rsidRPr="00A07F29">
        <w:rPr>
          <w:rFonts w:ascii="Times New Roman" w:eastAsia="Times New Roman" w:hAnsi="Times New Roman" w:cs="Times New Roman"/>
          <w:sz w:val="24"/>
          <w:szCs w:val="24"/>
          <w:lang w:eastAsia="lv-LV"/>
        </w:rPr>
        <w:t>.6.</w:t>
      </w:r>
      <w:r w:rsidR="00A70AEE">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 xml:space="preserve">tabula. </w:t>
      </w:r>
      <w:r w:rsidR="00BF0E06" w:rsidRPr="00A07F29">
        <w:rPr>
          <w:rFonts w:ascii="Times New Roman" w:eastAsia="Times New Roman" w:hAnsi="Times New Roman" w:cs="Times New Roman"/>
          <w:sz w:val="24"/>
          <w:szCs w:val="24"/>
          <w:lang w:eastAsia="lv-LV"/>
        </w:rPr>
        <w:t>AAA</w:t>
      </w:r>
      <w:r w:rsidRPr="00A07F29">
        <w:rPr>
          <w:rFonts w:ascii="Times New Roman" w:eastAsia="Times New Roman" w:hAnsi="Times New Roman" w:cs="Times New Roman"/>
          <w:sz w:val="24"/>
          <w:szCs w:val="24"/>
          <w:lang w:eastAsia="lv-LV"/>
        </w:rPr>
        <w:t xml:space="preserve"> </w:t>
      </w:r>
      <w:r w:rsidR="00F62FC7" w:rsidRPr="00A07F29">
        <w:rPr>
          <w:rFonts w:ascii="Times New Roman" w:eastAsia="Times New Roman" w:hAnsi="Times New Roman" w:cs="Times New Roman"/>
          <w:sz w:val="24"/>
          <w:szCs w:val="24"/>
          <w:lang w:eastAsia="lv-LV"/>
        </w:rPr>
        <w:t>“</w:t>
      </w:r>
      <w:r w:rsidRPr="00A07F29">
        <w:rPr>
          <w:rFonts w:ascii="Times New Roman" w:eastAsia="Times New Roman" w:hAnsi="Times New Roman" w:cs="Times New Roman"/>
          <w:sz w:val="24"/>
          <w:szCs w:val="24"/>
          <w:lang w:eastAsia="lv-LV"/>
        </w:rPr>
        <w:t>Augšdaugava</w:t>
      </w:r>
      <w:r w:rsidR="00F62FC7" w:rsidRPr="00A07F29">
        <w:rPr>
          <w:rFonts w:ascii="Times New Roman" w:eastAsia="Times New Roman" w:hAnsi="Times New Roman" w:cs="Times New Roman"/>
          <w:sz w:val="24"/>
          <w:szCs w:val="24"/>
          <w:lang w:eastAsia="lv-LV"/>
        </w:rPr>
        <w:t>” konstatētās sikspārņu sugas</w:t>
      </w:r>
      <w:r w:rsidRPr="00A07F29">
        <w:rPr>
          <w:rFonts w:ascii="Times New Roman" w:eastAsia="Times New Roman" w:hAnsi="Times New Roman" w:cs="Times New Roman"/>
          <w:sz w:val="24"/>
          <w:szCs w:val="24"/>
          <w:lang w:eastAsia="lv-LV"/>
        </w:rPr>
        <w:t xml:space="preserve"> un to aizsardzības statuss</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162"/>
        <w:gridCol w:w="1560"/>
        <w:gridCol w:w="1417"/>
        <w:gridCol w:w="1418"/>
        <w:gridCol w:w="2126"/>
      </w:tblGrid>
      <w:tr w:rsidR="009072CE" w:rsidRPr="00A07F29" w14:paraId="64438383" w14:textId="77777777" w:rsidTr="00CF4845">
        <w:trPr>
          <w:jc w:val="center"/>
        </w:trPr>
        <w:tc>
          <w:tcPr>
            <w:tcW w:w="534" w:type="dxa"/>
            <w:vMerge w:val="restart"/>
            <w:shd w:val="clear" w:color="auto" w:fill="EAF1DD" w:themeFill="accent3" w:themeFillTint="33"/>
          </w:tcPr>
          <w:p w14:paraId="28DE0A9E" w14:textId="77777777" w:rsidR="009072CE" w:rsidRPr="00A07F29" w:rsidRDefault="009072CE" w:rsidP="009072CE">
            <w:pPr>
              <w:spacing w:after="0" w:line="240" w:lineRule="auto"/>
              <w:jc w:val="both"/>
              <w:rPr>
                <w:rFonts w:ascii="Times New Roman" w:eastAsia="Times New Roman" w:hAnsi="Times New Roman" w:cs="Times New Roman"/>
                <w:sz w:val="20"/>
                <w:szCs w:val="20"/>
                <w:lang w:eastAsia="lv-LV"/>
              </w:rPr>
            </w:pPr>
            <w:proofErr w:type="spellStart"/>
            <w:r w:rsidRPr="00A07F29">
              <w:rPr>
                <w:rFonts w:ascii="Times New Roman" w:eastAsia="Times New Roman" w:hAnsi="Times New Roman" w:cs="Times New Roman"/>
                <w:sz w:val="20"/>
                <w:szCs w:val="20"/>
                <w:lang w:eastAsia="lv-LV"/>
              </w:rPr>
              <w:t>Nr.p.k</w:t>
            </w:r>
            <w:proofErr w:type="spellEnd"/>
            <w:r w:rsidRPr="00A07F29">
              <w:rPr>
                <w:rFonts w:ascii="Times New Roman" w:eastAsia="Times New Roman" w:hAnsi="Times New Roman" w:cs="Times New Roman"/>
                <w:sz w:val="20"/>
                <w:szCs w:val="20"/>
                <w:lang w:eastAsia="lv-LV"/>
              </w:rPr>
              <w:t>.</w:t>
            </w:r>
          </w:p>
        </w:tc>
        <w:tc>
          <w:tcPr>
            <w:tcW w:w="1162" w:type="dxa"/>
            <w:vMerge w:val="restart"/>
            <w:shd w:val="clear" w:color="auto" w:fill="EAF1DD" w:themeFill="accent3" w:themeFillTint="33"/>
          </w:tcPr>
          <w:p w14:paraId="694A165A" w14:textId="77777777" w:rsidR="009072CE" w:rsidRPr="00A07F29" w:rsidRDefault="009072CE" w:rsidP="009072CE">
            <w:pPr>
              <w:spacing w:after="0" w:line="240" w:lineRule="auto"/>
              <w:jc w:val="both"/>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 xml:space="preserve">Sugas nosaukums latviski </w:t>
            </w:r>
          </w:p>
        </w:tc>
        <w:tc>
          <w:tcPr>
            <w:tcW w:w="1560" w:type="dxa"/>
            <w:vMerge w:val="restart"/>
            <w:shd w:val="clear" w:color="auto" w:fill="EAF1DD" w:themeFill="accent3" w:themeFillTint="33"/>
          </w:tcPr>
          <w:p w14:paraId="5A487B6C" w14:textId="77777777" w:rsidR="009072CE" w:rsidRPr="00A07F29" w:rsidRDefault="009072CE" w:rsidP="009072CE">
            <w:pPr>
              <w:spacing w:after="0" w:line="240" w:lineRule="auto"/>
              <w:jc w:val="both"/>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Sugas nosaukums latīniski</w:t>
            </w:r>
          </w:p>
        </w:tc>
        <w:tc>
          <w:tcPr>
            <w:tcW w:w="2835" w:type="dxa"/>
            <w:gridSpan w:val="2"/>
            <w:shd w:val="clear" w:color="auto" w:fill="EAF1DD" w:themeFill="accent3" w:themeFillTint="33"/>
          </w:tcPr>
          <w:p w14:paraId="29B3BA53" w14:textId="77777777" w:rsidR="009072CE" w:rsidRPr="00A07F29" w:rsidRDefault="009072CE" w:rsidP="009072CE">
            <w:pPr>
              <w:spacing w:after="0" w:line="240" w:lineRule="auto"/>
              <w:jc w:val="both"/>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Sugas aizsardzības statuss valstī</w:t>
            </w:r>
          </w:p>
        </w:tc>
        <w:tc>
          <w:tcPr>
            <w:tcW w:w="2126" w:type="dxa"/>
            <w:vMerge w:val="restart"/>
            <w:shd w:val="clear" w:color="auto" w:fill="EAF1DD" w:themeFill="accent3" w:themeFillTint="33"/>
          </w:tcPr>
          <w:p w14:paraId="6EFFBEB1" w14:textId="77777777" w:rsidR="009072CE" w:rsidRPr="00A07F29" w:rsidRDefault="009072CE" w:rsidP="009072CE">
            <w:pPr>
              <w:spacing w:after="0" w:line="240" w:lineRule="auto"/>
              <w:jc w:val="both"/>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Sugas labvēlīga aizsardzības stāvokļa novērtējums valstī kopumā (atbilstoši ETC datiem. tikai direktīvu pielikumos iekļautajām sugām)*</w:t>
            </w:r>
          </w:p>
        </w:tc>
      </w:tr>
      <w:tr w:rsidR="009072CE" w:rsidRPr="00A07F29" w14:paraId="40B658A1" w14:textId="77777777" w:rsidTr="00CF4845">
        <w:trPr>
          <w:jc w:val="center"/>
        </w:trPr>
        <w:tc>
          <w:tcPr>
            <w:tcW w:w="534" w:type="dxa"/>
            <w:vMerge/>
          </w:tcPr>
          <w:p w14:paraId="0D191222" w14:textId="77777777" w:rsidR="009072CE" w:rsidRPr="00A07F29" w:rsidRDefault="009072CE" w:rsidP="009072CE">
            <w:pPr>
              <w:spacing w:after="0" w:line="240" w:lineRule="auto"/>
              <w:jc w:val="both"/>
              <w:rPr>
                <w:rFonts w:ascii="Times New Roman" w:eastAsia="Times New Roman" w:hAnsi="Times New Roman" w:cs="Times New Roman"/>
                <w:sz w:val="20"/>
                <w:szCs w:val="20"/>
                <w:lang w:eastAsia="lv-LV"/>
              </w:rPr>
            </w:pPr>
          </w:p>
        </w:tc>
        <w:tc>
          <w:tcPr>
            <w:tcW w:w="1162" w:type="dxa"/>
            <w:vMerge/>
          </w:tcPr>
          <w:p w14:paraId="15D95827" w14:textId="77777777" w:rsidR="009072CE" w:rsidRPr="00A07F29" w:rsidRDefault="009072CE" w:rsidP="009072CE">
            <w:pPr>
              <w:spacing w:after="0" w:line="240" w:lineRule="auto"/>
              <w:jc w:val="both"/>
              <w:rPr>
                <w:rFonts w:ascii="Times New Roman" w:eastAsia="Times New Roman" w:hAnsi="Times New Roman" w:cs="Times New Roman"/>
                <w:sz w:val="20"/>
                <w:szCs w:val="20"/>
                <w:lang w:eastAsia="lv-LV"/>
              </w:rPr>
            </w:pPr>
          </w:p>
        </w:tc>
        <w:tc>
          <w:tcPr>
            <w:tcW w:w="1560" w:type="dxa"/>
            <w:vMerge/>
          </w:tcPr>
          <w:p w14:paraId="4E1793AE" w14:textId="77777777" w:rsidR="009072CE" w:rsidRPr="00A07F29" w:rsidRDefault="009072CE" w:rsidP="009072CE">
            <w:pPr>
              <w:spacing w:after="0" w:line="240" w:lineRule="auto"/>
              <w:jc w:val="both"/>
              <w:rPr>
                <w:rFonts w:ascii="Times New Roman" w:eastAsia="Times New Roman" w:hAnsi="Times New Roman" w:cs="Times New Roman"/>
                <w:sz w:val="20"/>
                <w:szCs w:val="20"/>
                <w:lang w:eastAsia="lv-LV"/>
              </w:rPr>
            </w:pPr>
          </w:p>
        </w:tc>
        <w:tc>
          <w:tcPr>
            <w:tcW w:w="1417" w:type="dxa"/>
            <w:shd w:val="clear" w:color="auto" w:fill="EAF1DD" w:themeFill="accent3" w:themeFillTint="33"/>
          </w:tcPr>
          <w:p w14:paraId="798946EF" w14:textId="1D0402B4" w:rsidR="009072CE" w:rsidRPr="00A07F29" w:rsidRDefault="009072CE" w:rsidP="009072CE">
            <w:pPr>
              <w:spacing w:after="0" w:line="240" w:lineRule="auto"/>
              <w:jc w:val="both"/>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 xml:space="preserve">Īpaši aizsargājama suga </w:t>
            </w:r>
          </w:p>
          <w:p w14:paraId="22733F07" w14:textId="29A88ECD" w:rsidR="009072CE" w:rsidRPr="00A07F29" w:rsidRDefault="009072CE" w:rsidP="009072CE">
            <w:pPr>
              <w:spacing w:after="0" w:line="240" w:lineRule="auto"/>
              <w:jc w:val="both"/>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 xml:space="preserve">(ar </w:t>
            </w:r>
            <w:r w:rsidRPr="00A07F29">
              <w:rPr>
                <w:rFonts w:ascii="Times New Roman" w:eastAsia="Times New Roman" w:hAnsi="Times New Roman" w:cs="Times New Roman"/>
                <w:sz w:val="20"/>
                <w:szCs w:val="20"/>
                <w:vertAlign w:val="superscript"/>
                <w:lang w:eastAsia="lv-LV"/>
              </w:rPr>
              <w:t>1</w:t>
            </w:r>
            <w:r w:rsidRPr="00A07F29">
              <w:rPr>
                <w:rFonts w:ascii="Times New Roman" w:eastAsia="Times New Roman" w:hAnsi="Times New Roman" w:cs="Times New Roman"/>
                <w:sz w:val="20"/>
                <w:szCs w:val="20"/>
                <w:lang w:eastAsia="lv-LV"/>
              </w:rPr>
              <w:t xml:space="preserve"> atzīmēt mikroliegumu sugas)</w:t>
            </w:r>
          </w:p>
        </w:tc>
        <w:tc>
          <w:tcPr>
            <w:tcW w:w="1418" w:type="dxa"/>
            <w:shd w:val="clear" w:color="auto" w:fill="EAF1DD" w:themeFill="accent3" w:themeFillTint="33"/>
          </w:tcPr>
          <w:p w14:paraId="3A45C14A" w14:textId="77777777" w:rsidR="009072CE" w:rsidRPr="00A07F29" w:rsidRDefault="009072CE" w:rsidP="009072CE">
            <w:pPr>
              <w:spacing w:after="0" w:line="240" w:lineRule="auto"/>
              <w:jc w:val="both"/>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Biotopu direktīvas pielikumos (II un IV) iekļauta suga (ar * atzīmē prioritārās sugas)</w:t>
            </w:r>
          </w:p>
        </w:tc>
        <w:tc>
          <w:tcPr>
            <w:tcW w:w="2126" w:type="dxa"/>
            <w:vMerge/>
          </w:tcPr>
          <w:p w14:paraId="2115143E" w14:textId="77777777" w:rsidR="009072CE" w:rsidRPr="00A07F29" w:rsidRDefault="009072CE" w:rsidP="009072CE">
            <w:pPr>
              <w:spacing w:after="0" w:line="240" w:lineRule="auto"/>
              <w:jc w:val="both"/>
              <w:rPr>
                <w:rFonts w:ascii="Times New Roman" w:eastAsia="Times New Roman" w:hAnsi="Times New Roman" w:cs="Times New Roman"/>
                <w:sz w:val="20"/>
                <w:szCs w:val="20"/>
                <w:lang w:eastAsia="lv-LV"/>
              </w:rPr>
            </w:pPr>
          </w:p>
        </w:tc>
      </w:tr>
      <w:tr w:rsidR="009072CE" w:rsidRPr="00A07F29" w14:paraId="2197C654" w14:textId="77777777" w:rsidTr="005C3B63">
        <w:trPr>
          <w:jc w:val="center"/>
        </w:trPr>
        <w:tc>
          <w:tcPr>
            <w:tcW w:w="534" w:type="dxa"/>
          </w:tcPr>
          <w:p w14:paraId="475322D6" w14:textId="77777777" w:rsidR="009072CE" w:rsidRPr="00A07F29" w:rsidRDefault="009072CE" w:rsidP="009072CE">
            <w:pPr>
              <w:spacing w:after="0" w:line="240" w:lineRule="auto"/>
              <w:jc w:val="both"/>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1.</w:t>
            </w:r>
          </w:p>
        </w:tc>
        <w:tc>
          <w:tcPr>
            <w:tcW w:w="1162" w:type="dxa"/>
          </w:tcPr>
          <w:p w14:paraId="5B6C4222" w14:textId="77777777" w:rsidR="009072CE" w:rsidRPr="00A07F29" w:rsidRDefault="009072CE" w:rsidP="009072CE">
            <w:pPr>
              <w:spacing w:after="0" w:line="240" w:lineRule="auto"/>
              <w:jc w:val="both"/>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 xml:space="preserve">Dīķa </w:t>
            </w:r>
            <w:proofErr w:type="spellStart"/>
            <w:r w:rsidRPr="00A07F29">
              <w:rPr>
                <w:rFonts w:ascii="Times New Roman" w:eastAsia="Times New Roman" w:hAnsi="Times New Roman" w:cs="Times New Roman"/>
                <w:sz w:val="20"/>
                <w:szCs w:val="20"/>
                <w:lang w:eastAsia="lv-LV"/>
              </w:rPr>
              <w:t>naktssikspārnis</w:t>
            </w:r>
            <w:proofErr w:type="spellEnd"/>
          </w:p>
        </w:tc>
        <w:tc>
          <w:tcPr>
            <w:tcW w:w="1560" w:type="dxa"/>
          </w:tcPr>
          <w:p w14:paraId="6331FCBF" w14:textId="77777777" w:rsidR="009072CE" w:rsidRPr="00A07F29" w:rsidRDefault="009072CE" w:rsidP="009072CE">
            <w:pPr>
              <w:spacing w:after="0" w:line="240" w:lineRule="auto"/>
              <w:jc w:val="both"/>
              <w:rPr>
                <w:rFonts w:ascii="Times New Roman" w:eastAsia="Times New Roman" w:hAnsi="Times New Roman" w:cs="Times New Roman"/>
                <w:i/>
                <w:sz w:val="20"/>
                <w:szCs w:val="20"/>
                <w:lang w:eastAsia="lv-LV"/>
              </w:rPr>
            </w:pPr>
            <w:proofErr w:type="spellStart"/>
            <w:r w:rsidRPr="00A07F29">
              <w:rPr>
                <w:rFonts w:ascii="Times New Roman" w:eastAsia="Times New Roman" w:hAnsi="Times New Roman" w:cs="Times New Roman"/>
                <w:i/>
                <w:sz w:val="20"/>
                <w:szCs w:val="20"/>
                <w:lang w:eastAsia="lv-LV"/>
              </w:rPr>
              <w:t>Myotis</w:t>
            </w:r>
            <w:proofErr w:type="spellEnd"/>
            <w:r w:rsidRPr="00A07F29">
              <w:rPr>
                <w:rFonts w:ascii="Times New Roman" w:eastAsia="Times New Roman" w:hAnsi="Times New Roman" w:cs="Times New Roman"/>
                <w:i/>
                <w:sz w:val="20"/>
                <w:szCs w:val="20"/>
                <w:lang w:eastAsia="lv-LV"/>
              </w:rPr>
              <w:t xml:space="preserve"> </w:t>
            </w:r>
            <w:proofErr w:type="spellStart"/>
            <w:r w:rsidRPr="00A07F29">
              <w:rPr>
                <w:rFonts w:ascii="Times New Roman" w:eastAsia="Times New Roman" w:hAnsi="Times New Roman" w:cs="Times New Roman"/>
                <w:i/>
                <w:sz w:val="20"/>
                <w:szCs w:val="20"/>
                <w:lang w:eastAsia="lv-LV"/>
              </w:rPr>
              <w:t>dasycneme</w:t>
            </w:r>
            <w:proofErr w:type="spellEnd"/>
          </w:p>
        </w:tc>
        <w:tc>
          <w:tcPr>
            <w:tcW w:w="1417" w:type="dxa"/>
          </w:tcPr>
          <w:p w14:paraId="0FBA28E5" w14:textId="77777777" w:rsidR="009072CE" w:rsidRPr="00A07F29" w:rsidRDefault="009072CE" w:rsidP="009072CE">
            <w:pPr>
              <w:spacing w:after="0" w:line="240" w:lineRule="auto"/>
              <w:jc w:val="both"/>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ĪAS</w:t>
            </w:r>
            <w:r w:rsidRPr="00A07F29">
              <w:rPr>
                <w:rFonts w:ascii="Times New Roman" w:eastAsia="Times New Roman" w:hAnsi="Times New Roman" w:cs="Times New Roman"/>
                <w:sz w:val="20"/>
                <w:szCs w:val="20"/>
                <w:vertAlign w:val="superscript"/>
                <w:lang w:eastAsia="lv-LV"/>
              </w:rPr>
              <w:t>1</w:t>
            </w:r>
          </w:p>
        </w:tc>
        <w:tc>
          <w:tcPr>
            <w:tcW w:w="1418" w:type="dxa"/>
          </w:tcPr>
          <w:p w14:paraId="73BF962E" w14:textId="77777777" w:rsidR="009072CE" w:rsidRPr="00A07F29" w:rsidRDefault="009072CE" w:rsidP="009072CE">
            <w:pPr>
              <w:spacing w:after="0" w:line="240" w:lineRule="auto"/>
              <w:jc w:val="both"/>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II, IV</w:t>
            </w:r>
          </w:p>
        </w:tc>
        <w:tc>
          <w:tcPr>
            <w:tcW w:w="2126" w:type="dxa"/>
            <w:shd w:val="clear" w:color="auto" w:fill="FFC000"/>
          </w:tcPr>
          <w:p w14:paraId="17F15D5F" w14:textId="77777777" w:rsidR="009072CE" w:rsidRPr="00A07F29" w:rsidRDefault="009072CE" w:rsidP="009072CE">
            <w:pPr>
              <w:spacing w:after="0" w:line="240" w:lineRule="auto"/>
              <w:jc w:val="both"/>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U1</w:t>
            </w:r>
          </w:p>
        </w:tc>
      </w:tr>
      <w:tr w:rsidR="009072CE" w:rsidRPr="00A07F29" w14:paraId="21DEA979" w14:textId="77777777" w:rsidTr="005C3B63">
        <w:trPr>
          <w:jc w:val="center"/>
        </w:trPr>
        <w:tc>
          <w:tcPr>
            <w:tcW w:w="534" w:type="dxa"/>
          </w:tcPr>
          <w:p w14:paraId="56A03C90" w14:textId="77777777" w:rsidR="009072CE" w:rsidRPr="00A07F29" w:rsidRDefault="009072CE" w:rsidP="009072CE">
            <w:pPr>
              <w:spacing w:after="0" w:line="240" w:lineRule="auto"/>
              <w:jc w:val="both"/>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2.</w:t>
            </w:r>
          </w:p>
        </w:tc>
        <w:tc>
          <w:tcPr>
            <w:tcW w:w="1162" w:type="dxa"/>
          </w:tcPr>
          <w:p w14:paraId="5C40350E" w14:textId="77777777" w:rsidR="009072CE" w:rsidRPr="00A07F29" w:rsidRDefault="009072CE" w:rsidP="009072CE">
            <w:pPr>
              <w:spacing w:after="0" w:line="240" w:lineRule="auto"/>
              <w:jc w:val="both"/>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 xml:space="preserve">Ūdeņu </w:t>
            </w:r>
            <w:proofErr w:type="spellStart"/>
            <w:r w:rsidRPr="00A07F29">
              <w:rPr>
                <w:rFonts w:ascii="Times New Roman" w:eastAsia="Times New Roman" w:hAnsi="Times New Roman" w:cs="Times New Roman"/>
                <w:sz w:val="20"/>
                <w:szCs w:val="20"/>
                <w:lang w:eastAsia="lv-LV"/>
              </w:rPr>
              <w:t>naktssikspārnis</w:t>
            </w:r>
            <w:proofErr w:type="spellEnd"/>
          </w:p>
        </w:tc>
        <w:tc>
          <w:tcPr>
            <w:tcW w:w="1560" w:type="dxa"/>
          </w:tcPr>
          <w:p w14:paraId="264044A3" w14:textId="77777777" w:rsidR="009072CE" w:rsidRPr="00A07F29" w:rsidRDefault="009072CE" w:rsidP="009072CE">
            <w:pPr>
              <w:spacing w:after="0" w:line="240" w:lineRule="auto"/>
              <w:jc w:val="both"/>
              <w:rPr>
                <w:rFonts w:ascii="Times New Roman" w:eastAsia="Times New Roman" w:hAnsi="Times New Roman" w:cs="Times New Roman"/>
                <w:i/>
                <w:sz w:val="20"/>
                <w:szCs w:val="20"/>
                <w:lang w:eastAsia="lv-LV"/>
              </w:rPr>
            </w:pPr>
            <w:proofErr w:type="spellStart"/>
            <w:r w:rsidRPr="00A07F29">
              <w:rPr>
                <w:rFonts w:ascii="Times New Roman" w:eastAsia="Times New Roman" w:hAnsi="Times New Roman" w:cs="Times New Roman"/>
                <w:i/>
                <w:sz w:val="20"/>
                <w:szCs w:val="20"/>
                <w:lang w:eastAsia="lv-LV"/>
              </w:rPr>
              <w:t>Myotis</w:t>
            </w:r>
            <w:proofErr w:type="spellEnd"/>
            <w:r w:rsidRPr="00A07F29">
              <w:rPr>
                <w:rFonts w:ascii="Times New Roman" w:eastAsia="Times New Roman" w:hAnsi="Times New Roman" w:cs="Times New Roman"/>
                <w:i/>
                <w:sz w:val="20"/>
                <w:szCs w:val="20"/>
                <w:lang w:eastAsia="lv-LV"/>
              </w:rPr>
              <w:t xml:space="preserve"> </w:t>
            </w:r>
            <w:proofErr w:type="spellStart"/>
            <w:r w:rsidRPr="00A07F29">
              <w:rPr>
                <w:rFonts w:ascii="Times New Roman" w:eastAsia="Times New Roman" w:hAnsi="Times New Roman" w:cs="Times New Roman"/>
                <w:i/>
                <w:sz w:val="20"/>
                <w:szCs w:val="20"/>
                <w:lang w:eastAsia="lv-LV"/>
              </w:rPr>
              <w:t>daubentonii</w:t>
            </w:r>
            <w:proofErr w:type="spellEnd"/>
          </w:p>
        </w:tc>
        <w:tc>
          <w:tcPr>
            <w:tcW w:w="1417" w:type="dxa"/>
          </w:tcPr>
          <w:p w14:paraId="0A95DFEF" w14:textId="77777777" w:rsidR="009072CE" w:rsidRPr="00A07F29" w:rsidRDefault="009072CE" w:rsidP="009072CE">
            <w:pPr>
              <w:spacing w:after="0" w:line="240" w:lineRule="auto"/>
              <w:jc w:val="both"/>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ĪAS</w:t>
            </w:r>
          </w:p>
        </w:tc>
        <w:tc>
          <w:tcPr>
            <w:tcW w:w="1418" w:type="dxa"/>
          </w:tcPr>
          <w:p w14:paraId="32BC8893" w14:textId="77777777" w:rsidR="009072CE" w:rsidRPr="00A07F29" w:rsidRDefault="009072CE" w:rsidP="009072CE">
            <w:pPr>
              <w:spacing w:after="0" w:line="240" w:lineRule="auto"/>
              <w:jc w:val="both"/>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IV</w:t>
            </w:r>
          </w:p>
        </w:tc>
        <w:tc>
          <w:tcPr>
            <w:tcW w:w="2126" w:type="dxa"/>
            <w:shd w:val="clear" w:color="auto" w:fill="92D050"/>
          </w:tcPr>
          <w:p w14:paraId="05D04473" w14:textId="77777777" w:rsidR="009072CE" w:rsidRPr="00A07F29" w:rsidRDefault="009072CE" w:rsidP="009072CE">
            <w:pPr>
              <w:spacing w:after="0" w:line="240" w:lineRule="auto"/>
              <w:jc w:val="both"/>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FV</w:t>
            </w:r>
          </w:p>
        </w:tc>
      </w:tr>
      <w:tr w:rsidR="009072CE" w:rsidRPr="00A07F29" w14:paraId="3529B15B" w14:textId="77777777" w:rsidTr="005C3B63">
        <w:trPr>
          <w:jc w:val="center"/>
        </w:trPr>
        <w:tc>
          <w:tcPr>
            <w:tcW w:w="534" w:type="dxa"/>
          </w:tcPr>
          <w:p w14:paraId="76185B8C" w14:textId="77777777" w:rsidR="009072CE" w:rsidRPr="00A07F29" w:rsidRDefault="009072CE" w:rsidP="009072CE">
            <w:pPr>
              <w:spacing w:after="0" w:line="240" w:lineRule="auto"/>
              <w:jc w:val="both"/>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3.</w:t>
            </w:r>
          </w:p>
        </w:tc>
        <w:tc>
          <w:tcPr>
            <w:tcW w:w="1162" w:type="dxa"/>
          </w:tcPr>
          <w:p w14:paraId="1F7D0CD6" w14:textId="77777777" w:rsidR="009072CE" w:rsidRPr="00A07F29" w:rsidRDefault="009072CE" w:rsidP="009072CE">
            <w:pPr>
              <w:spacing w:after="0" w:line="240" w:lineRule="auto"/>
              <w:jc w:val="both"/>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 xml:space="preserve">Rūsganais </w:t>
            </w:r>
            <w:proofErr w:type="spellStart"/>
            <w:r w:rsidRPr="00A07F29">
              <w:rPr>
                <w:rFonts w:ascii="Times New Roman" w:eastAsia="Times New Roman" w:hAnsi="Times New Roman" w:cs="Times New Roman"/>
                <w:sz w:val="20"/>
                <w:szCs w:val="20"/>
                <w:lang w:eastAsia="lv-LV"/>
              </w:rPr>
              <w:t>vakarsikspārnis</w:t>
            </w:r>
            <w:proofErr w:type="spellEnd"/>
          </w:p>
        </w:tc>
        <w:tc>
          <w:tcPr>
            <w:tcW w:w="1560" w:type="dxa"/>
          </w:tcPr>
          <w:p w14:paraId="1B6234B4" w14:textId="77777777" w:rsidR="009072CE" w:rsidRPr="00A07F29" w:rsidRDefault="009072CE" w:rsidP="009072CE">
            <w:pPr>
              <w:spacing w:after="0" w:line="240" w:lineRule="auto"/>
              <w:jc w:val="both"/>
              <w:rPr>
                <w:rFonts w:ascii="Times New Roman" w:eastAsia="Times New Roman" w:hAnsi="Times New Roman" w:cs="Times New Roman"/>
                <w:i/>
                <w:sz w:val="20"/>
                <w:szCs w:val="20"/>
                <w:lang w:eastAsia="lv-LV"/>
              </w:rPr>
            </w:pPr>
            <w:proofErr w:type="spellStart"/>
            <w:r w:rsidRPr="00A07F29">
              <w:rPr>
                <w:rFonts w:ascii="Times New Roman" w:eastAsia="Times New Roman" w:hAnsi="Times New Roman" w:cs="Times New Roman"/>
                <w:i/>
                <w:sz w:val="20"/>
                <w:szCs w:val="20"/>
                <w:lang w:eastAsia="lv-LV"/>
              </w:rPr>
              <w:t>Nyctalus</w:t>
            </w:r>
            <w:proofErr w:type="spellEnd"/>
            <w:r w:rsidRPr="00A07F29">
              <w:rPr>
                <w:rFonts w:ascii="Times New Roman" w:eastAsia="Times New Roman" w:hAnsi="Times New Roman" w:cs="Times New Roman"/>
                <w:i/>
                <w:sz w:val="20"/>
                <w:szCs w:val="20"/>
                <w:lang w:eastAsia="lv-LV"/>
              </w:rPr>
              <w:t xml:space="preserve"> </w:t>
            </w:r>
            <w:proofErr w:type="spellStart"/>
            <w:r w:rsidRPr="00A07F29">
              <w:rPr>
                <w:rFonts w:ascii="Times New Roman" w:eastAsia="Times New Roman" w:hAnsi="Times New Roman" w:cs="Times New Roman"/>
                <w:i/>
                <w:sz w:val="20"/>
                <w:szCs w:val="20"/>
                <w:lang w:eastAsia="lv-LV"/>
              </w:rPr>
              <w:t>noctula</w:t>
            </w:r>
            <w:proofErr w:type="spellEnd"/>
          </w:p>
        </w:tc>
        <w:tc>
          <w:tcPr>
            <w:tcW w:w="1417" w:type="dxa"/>
          </w:tcPr>
          <w:p w14:paraId="218C9165" w14:textId="77777777" w:rsidR="009072CE" w:rsidRPr="00A07F29" w:rsidRDefault="009072CE" w:rsidP="009072CE">
            <w:pPr>
              <w:spacing w:after="0" w:line="240" w:lineRule="auto"/>
              <w:jc w:val="both"/>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ĪAS</w:t>
            </w:r>
          </w:p>
        </w:tc>
        <w:tc>
          <w:tcPr>
            <w:tcW w:w="1418" w:type="dxa"/>
          </w:tcPr>
          <w:p w14:paraId="28B2856B" w14:textId="77777777" w:rsidR="009072CE" w:rsidRPr="00A07F29" w:rsidRDefault="009072CE" w:rsidP="009072CE">
            <w:pPr>
              <w:spacing w:after="0" w:line="240" w:lineRule="auto"/>
              <w:jc w:val="both"/>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IV</w:t>
            </w:r>
          </w:p>
        </w:tc>
        <w:tc>
          <w:tcPr>
            <w:tcW w:w="2126" w:type="dxa"/>
            <w:shd w:val="clear" w:color="auto" w:fill="FFC000"/>
          </w:tcPr>
          <w:p w14:paraId="63B51669" w14:textId="77777777" w:rsidR="009072CE" w:rsidRPr="00A07F29" w:rsidRDefault="009072CE" w:rsidP="009072CE">
            <w:pPr>
              <w:spacing w:after="0" w:line="240" w:lineRule="auto"/>
              <w:jc w:val="both"/>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U1</w:t>
            </w:r>
          </w:p>
        </w:tc>
      </w:tr>
      <w:tr w:rsidR="009072CE" w:rsidRPr="00A07F29" w14:paraId="5504DEEF" w14:textId="77777777" w:rsidTr="005C3B63">
        <w:trPr>
          <w:jc w:val="center"/>
        </w:trPr>
        <w:tc>
          <w:tcPr>
            <w:tcW w:w="534" w:type="dxa"/>
          </w:tcPr>
          <w:p w14:paraId="1B85C987" w14:textId="77777777" w:rsidR="009072CE" w:rsidRPr="00A07F29" w:rsidRDefault="009072CE" w:rsidP="009072CE">
            <w:pPr>
              <w:spacing w:after="0" w:line="240" w:lineRule="auto"/>
              <w:jc w:val="both"/>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4.</w:t>
            </w:r>
          </w:p>
        </w:tc>
        <w:tc>
          <w:tcPr>
            <w:tcW w:w="1162" w:type="dxa"/>
          </w:tcPr>
          <w:p w14:paraId="7690EEDF" w14:textId="77777777" w:rsidR="009072CE" w:rsidRPr="00A07F29" w:rsidRDefault="009072CE" w:rsidP="009072CE">
            <w:pPr>
              <w:spacing w:after="0" w:line="240" w:lineRule="auto"/>
              <w:jc w:val="both"/>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Ziemeļu sikspārnis</w:t>
            </w:r>
          </w:p>
        </w:tc>
        <w:tc>
          <w:tcPr>
            <w:tcW w:w="1560" w:type="dxa"/>
          </w:tcPr>
          <w:p w14:paraId="3128CF02" w14:textId="77777777" w:rsidR="009072CE" w:rsidRPr="00A07F29" w:rsidRDefault="009072CE" w:rsidP="009072CE">
            <w:pPr>
              <w:spacing w:after="0" w:line="240" w:lineRule="auto"/>
              <w:jc w:val="both"/>
              <w:rPr>
                <w:rFonts w:ascii="Times New Roman" w:eastAsia="Times New Roman" w:hAnsi="Times New Roman" w:cs="Times New Roman"/>
                <w:i/>
                <w:sz w:val="20"/>
                <w:szCs w:val="20"/>
                <w:lang w:eastAsia="lv-LV"/>
              </w:rPr>
            </w:pPr>
            <w:proofErr w:type="spellStart"/>
            <w:r w:rsidRPr="00A07F29">
              <w:rPr>
                <w:rFonts w:ascii="Times New Roman" w:eastAsia="Times New Roman" w:hAnsi="Times New Roman" w:cs="Times New Roman"/>
                <w:i/>
                <w:sz w:val="20"/>
                <w:szCs w:val="20"/>
                <w:lang w:eastAsia="lv-LV"/>
              </w:rPr>
              <w:t>Eptesicus</w:t>
            </w:r>
            <w:proofErr w:type="spellEnd"/>
            <w:r w:rsidRPr="00A07F29">
              <w:rPr>
                <w:rFonts w:ascii="Times New Roman" w:eastAsia="Times New Roman" w:hAnsi="Times New Roman" w:cs="Times New Roman"/>
                <w:i/>
                <w:sz w:val="20"/>
                <w:szCs w:val="20"/>
                <w:lang w:eastAsia="lv-LV"/>
              </w:rPr>
              <w:t xml:space="preserve"> </w:t>
            </w:r>
            <w:proofErr w:type="spellStart"/>
            <w:r w:rsidRPr="00A07F29">
              <w:rPr>
                <w:rFonts w:ascii="Times New Roman" w:eastAsia="Times New Roman" w:hAnsi="Times New Roman" w:cs="Times New Roman"/>
                <w:i/>
                <w:sz w:val="20"/>
                <w:szCs w:val="20"/>
                <w:lang w:eastAsia="lv-LV"/>
              </w:rPr>
              <w:t>nilssonii</w:t>
            </w:r>
            <w:proofErr w:type="spellEnd"/>
          </w:p>
        </w:tc>
        <w:tc>
          <w:tcPr>
            <w:tcW w:w="1417" w:type="dxa"/>
          </w:tcPr>
          <w:p w14:paraId="059A4C15" w14:textId="77777777" w:rsidR="009072CE" w:rsidRPr="00A07F29" w:rsidRDefault="009072CE" w:rsidP="009072CE">
            <w:pPr>
              <w:spacing w:after="0" w:line="240" w:lineRule="auto"/>
              <w:jc w:val="both"/>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ĪAS</w:t>
            </w:r>
          </w:p>
        </w:tc>
        <w:tc>
          <w:tcPr>
            <w:tcW w:w="1418" w:type="dxa"/>
          </w:tcPr>
          <w:p w14:paraId="0B6578A1" w14:textId="77777777" w:rsidR="009072CE" w:rsidRPr="00A07F29" w:rsidRDefault="009072CE" w:rsidP="009072CE">
            <w:pPr>
              <w:spacing w:after="0" w:line="240" w:lineRule="auto"/>
              <w:jc w:val="both"/>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IV</w:t>
            </w:r>
          </w:p>
        </w:tc>
        <w:tc>
          <w:tcPr>
            <w:tcW w:w="2126" w:type="dxa"/>
            <w:shd w:val="clear" w:color="auto" w:fill="92D050"/>
          </w:tcPr>
          <w:p w14:paraId="4ED17867" w14:textId="77777777" w:rsidR="009072CE" w:rsidRPr="00A07F29" w:rsidRDefault="009072CE" w:rsidP="009072CE">
            <w:pPr>
              <w:spacing w:after="0" w:line="240" w:lineRule="auto"/>
              <w:jc w:val="both"/>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FV</w:t>
            </w:r>
          </w:p>
        </w:tc>
      </w:tr>
      <w:tr w:rsidR="009072CE" w:rsidRPr="00A07F29" w14:paraId="70F41533" w14:textId="77777777" w:rsidTr="005C3B63">
        <w:trPr>
          <w:jc w:val="center"/>
        </w:trPr>
        <w:tc>
          <w:tcPr>
            <w:tcW w:w="534" w:type="dxa"/>
          </w:tcPr>
          <w:p w14:paraId="36E956A9" w14:textId="77777777" w:rsidR="009072CE" w:rsidRPr="00A07F29" w:rsidRDefault="009072CE" w:rsidP="009072CE">
            <w:pPr>
              <w:spacing w:after="0" w:line="240" w:lineRule="auto"/>
              <w:jc w:val="both"/>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lastRenderedPageBreak/>
              <w:t>5.</w:t>
            </w:r>
          </w:p>
        </w:tc>
        <w:tc>
          <w:tcPr>
            <w:tcW w:w="1162" w:type="dxa"/>
          </w:tcPr>
          <w:p w14:paraId="30AE5116" w14:textId="77777777" w:rsidR="009072CE" w:rsidRPr="00A07F29" w:rsidRDefault="009072CE" w:rsidP="009072CE">
            <w:pPr>
              <w:spacing w:after="0" w:line="240" w:lineRule="auto"/>
              <w:jc w:val="both"/>
              <w:rPr>
                <w:rFonts w:ascii="Times New Roman" w:eastAsia="Times New Roman" w:hAnsi="Times New Roman" w:cs="Times New Roman"/>
                <w:sz w:val="20"/>
                <w:szCs w:val="20"/>
                <w:lang w:eastAsia="lv-LV"/>
              </w:rPr>
            </w:pPr>
            <w:proofErr w:type="spellStart"/>
            <w:r w:rsidRPr="00A07F29">
              <w:rPr>
                <w:rFonts w:ascii="Times New Roman" w:eastAsia="Times New Roman" w:hAnsi="Times New Roman" w:cs="Times New Roman"/>
                <w:sz w:val="20"/>
                <w:szCs w:val="20"/>
                <w:lang w:eastAsia="lv-LV"/>
              </w:rPr>
              <w:t>Natūza</w:t>
            </w:r>
            <w:proofErr w:type="spellEnd"/>
            <w:r w:rsidRPr="00A07F29">
              <w:rPr>
                <w:rFonts w:ascii="Times New Roman" w:eastAsia="Times New Roman" w:hAnsi="Times New Roman" w:cs="Times New Roman"/>
                <w:sz w:val="20"/>
                <w:szCs w:val="20"/>
                <w:lang w:eastAsia="lv-LV"/>
              </w:rPr>
              <w:t xml:space="preserve"> sikspārnis</w:t>
            </w:r>
          </w:p>
        </w:tc>
        <w:tc>
          <w:tcPr>
            <w:tcW w:w="1560" w:type="dxa"/>
          </w:tcPr>
          <w:p w14:paraId="2A697B9B" w14:textId="77777777" w:rsidR="009072CE" w:rsidRPr="00A07F29" w:rsidRDefault="009072CE" w:rsidP="009072CE">
            <w:pPr>
              <w:spacing w:after="0" w:line="240" w:lineRule="auto"/>
              <w:jc w:val="both"/>
              <w:rPr>
                <w:rFonts w:ascii="Times New Roman" w:eastAsia="Times New Roman" w:hAnsi="Times New Roman" w:cs="Times New Roman"/>
                <w:i/>
                <w:sz w:val="20"/>
                <w:szCs w:val="20"/>
                <w:lang w:eastAsia="lv-LV"/>
              </w:rPr>
            </w:pPr>
            <w:proofErr w:type="spellStart"/>
            <w:r w:rsidRPr="00A07F29">
              <w:rPr>
                <w:rFonts w:ascii="Times New Roman" w:eastAsia="Times New Roman" w:hAnsi="Times New Roman" w:cs="Times New Roman"/>
                <w:i/>
                <w:sz w:val="20"/>
                <w:szCs w:val="20"/>
                <w:lang w:eastAsia="lv-LV"/>
              </w:rPr>
              <w:t>Pipistrellus</w:t>
            </w:r>
            <w:proofErr w:type="spellEnd"/>
            <w:r w:rsidRPr="00A07F29">
              <w:rPr>
                <w:rFonts w:ascii="Times New Roman" w:eastAsia="Times New Roman" w:hAnsi="Times New Roman" w:cs="Times New Roman"/>
                <w:i/>
                <w:sz w:val="20"/>
                <w:szCs w:val="20"/>
                <w:lang w:eastAsia="lv-LV"/>
              </w:rPr>
              <w:t xml:space="preserve"> </w:t>
            </w:r>
            <w:proofErr w:type="spellStart"/>
            <w:r w:rsidRPr="00A07F29">
              <w:rPr>
                <w:rFonts w:ascii="Times New Roman" w:eastAsia="Times New Roman" w:hAnsi="Times New Roman" w:cs="Times New Roman"/>
                <w:i/>
                <w:sz w:val="20"/>
                <w:szCs w:val="20"/>
                <w:lang w:eastAsia="lv-LV"/>
              </w:rPr>
              <w:t>nathusii</w:t>
            </w:r>
            <w:proofErr w:type="spellEnd"/>
          </w:p>
        </w:tc>
        <w:tc>
          <w:tcPr>
            <w:tcW w:w="1417" w:type="dxa"/>
          </w:tcPr>
          <w:p w14:paraId="2BB7AF25" w14:textId="77777777" w:rsidR="009072CE" w:rsidRPr="00A07F29" w:rsidRDefault="009072CE" w:rsidP="009072CE">
            <w:pPr>
              <w:spacing w:after="0" w:line="240" w:lineRule="auto"/>
              <w:jc w:val="both"/>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ĪAS</w:t>
            </w:r>
          </w:p>
        </w:tc>
        <w:tc>
          <w:tcPr>
            <w:tcW w:w="1418" w:type="dxa"/>
          </w:tcPr>
          <w:p w14:paraId="40C6DD02" w14:textId="77777777" w:rsidR="009072CE" w:rsidRPr="00A07F29" w:rsidRDefault="009072CE" w:rsidP="009072CE">
            <w:pPr>
              <w:spacing w:after="0" w:line="240" w:lineRule="auto"/>
              <w:jc w:val="both"/>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IV</w:t>
            </w:r>
          </w:p>
        </w:tc>
        <w:tc>
          <w:tcPr>
            <w:tcW w:w="2126" w:type="dxa"/>
            <w:shd w:val="clear" w:color="auto" w:fill="FFC000"/>
          </w:tcPr>
          <w:p w14:paraId="281962E8" w14:textId="77777777" w:rsidR="009072CE" w:rsidRPr="00A07F29" w:rsidRDefault="009072CE" w:rsidP="009072CE">
            <w:pPr>
              <w:spacing w:after="0" w:line="240" w:lineRule="auto"/>
              <w:jc w:val="both"/>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U1</w:t>
            </w:r>
          </w:p>
        </w:tc>
      </w:tr>
      <w:tr w:rsidR="009072CE" w:rsidRPr="00A07F29" w14:paraId="5F4192C9" w14:textId="77777777" w:rsidTr="005C3B63">
        <w:trPr>
          <w:jc w:val="center"/>
        </w:trPr>
        <w:tc>
          <w:tcPr>
            <w:tcW w:w="534" w:type="dxa"/>
          </w:tcPr>
          <w:p w14:paraId="5EDE4B33" w14:textId="77777777" w:rsidR="009072CE" w:rsidRPr="00A07F29" w:rsidRDefault="009072CE" w:rsidP="009072CE">
            <w:pPr>
              <w:spacing w:after="0" w:line="240" w:lineRule="auto"/>
              <w:jc w:val="both"/>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6.</w:t>
            </w:r>
          </w:p>
        </w:tc>
        <w:tc>
          <w:tcPr>
            <w:tcW w:w="1162" w:type="dxa"/>
          </w:tcPr>
          <w:p w14:paraId="10F7BF2B" w14:textId="77777777" w:rsidR="009072CE" w:rsidRPr="00A07F29" w:rsidRDefault="009072CE" w:rsidP="009072CE">
            <w:pPr>
              <w:spacing w:after="0" w:line="240" w:lineRule="auto"/>
              <w:jc w:val="both"/>
              <w:rPr>
                <w:rFonts w:ascii="Times New Roman" w:eastAsia="Times New Roman" w:hAnsi="Times New Roman" w:cs="Times New Roman"/>
                <w:sz w:val="20"/>
                <w:szCs w:val="20"/>
                <w:lang w:eastAsia="lv-LV"/>
              </w:rPr>
            </w:pPr>
            <w:proofErr w:type="spellStart"/>
            <w:r w:rsidRPr="00A07F29">
              <w:rPr>
                <w:rFonts w:ascii="Times New Roman" w:eastAsia="Times New Roman" w:hAnsi="Times New Roman" w:cs="Times New Roman"/>
                <w:sz w:val="20"/>
                <w:szCs w:val="20"/>
                <w:lang w:eastAsia="lv-LV"/>
              </w:rPr>
              <w:t>Pigmejsikspārnis</w:t>
            </w:r>
            <w:proofErr w:type="spellEnd"/>
          </w:p>
        </w:tc>
        <w:tc>
          <w:tcPr>
            <w:tcW w:w="1560" w:type="dxa"/>
          </w:tcPr>
          <w:p w14:paraId="0B6D8DB8" w14:textId="77777777" w:rsidR="009072CE" w:rsidRPr="00A07F29" w:rsidRDefault="009072CE" w:rsidP="009072CE">
            <w:pPr>
              <w:spacing w:after="0" w:line="240" w:lineRule="auto"/>
              <w:jc w:val="both"/>
              <w:rPr>
                <w:rFonts w:ascii="Times New Roman" w:eastAsia="Times New Roman" w:hAnsi="Times New Roman" w:cs="Times New Roman"/>
                <w:i/>
                <w:sz w:val="20"/>
                <w:szCs w:val="20"/>
                <w:lang w:eastAsia="lv-LV"/>
              </w:rPr>
            </w:pPr>
            <w:proofErr w:type="spellStart"/>
            <w:r w:rsidRPr="00A07F29">
              <w:rPr>
                <w:rFonts w:ascii="Times New Roman" w:eastAsia="Times New Roman" w:hAnsi="Times New Roman" w:cs="Times New Roman"/>
                <w:i/>
                <w:sz w:val="20"/>
                <w:szCs w:val="20"/>
                <w:lang w:eastAsia="lv-LV"/>
              </w:rPr>
              <w:t>Pipistrellus</w:t>
            </w:r>
            <w:proofErr w:type="spellEnd"/>
            <w:r w:rsidRPr="00A07F29">
              <w:rPr>
                <w:rFonts w:ascii="Times New Roman" w:eastAsia="Times New Roman" w:hAnsi="Times New Roman" w:cs="Times New Roman"/>
                <w:i/>
                <w:sz w:val="20"/>
                <w:szCs w:val="20"/>
                <w:lang w:eastAsia="lv-LV"/>
              </w:rPr>
              <w:t xml:space="preserve"> </w:t>
            </w:r>
            <w:proofErr w:type="spellStart"/>
            <w:r w:rsidRPr="00A07F29">
              <w:rPr>
                <w:rFonts w:ascii="Times New Roman" w:eastAsia="Times New Roman" w:hAnsi="Times New Roman" w:cs="Times New Roman"/>
                <w:i/>
                <w:sz w:val="20"/>
                <w:szCs w:val="20"/>
                <w:lang w:eastAsia="lv-LV"/>
              </w:rPr>
              <w:t>pygmaeus</w:t>
            </w:r>
            <w:proofErr w:type="spellEnd"/>
          </w:p>
        </w:tc>
        <w:tc>
          <w:tcPr>
            <w:tcW w:w="1417" w:type="dxa"/>
          </w:tcPr>
          <w:p w14:paraId="04E28F0F" w14:textId="77777777" w:rsidR="009072CE" w:rsidRPr="00A07F29" w:rsidRDefault="009072CE" w:rsidP="009072CE">
            <w:pPr>
              <w:spacing w:after="0" w:line="240" w:lineRule="auto"/>
              <w:jc w:val="both"/>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ĪAS</w:t>
            </w:r>
          </w:p>
        </w:tc>
        <w:tc>
          <w:tcPr>
            <w:tcW w:w="1418" w:type="dxa"/>
          </w:tcPr>
          <w:p w14:paraId="0296E34E" w14:textId="77777777" w:rsidR="009072CE" w:rsidRPr="00A07F29" w:rsidRDefault="009072CE" w:rsidP="009072CE">
            <w:pPr>
              <w:spacing w:after="0" w:line="240" w:lineRule="auto"/>
              <w:jc w:val="both"/>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IV</w:t>
            </w:r>
          </w:p>
        </w:tc>
        <w:tc>
          <w:tcPr>
            <w:tcW w:w="2126" w:type="dxa"/>
            <w:shd w:val="clear" w:color="auto" w:fill="BFBFBF" w:themeFill="background1" w:themeFillShade="BF"/>
          </w:tcPr>
          <w:p w14:paraId="719AEB4B" w14:textId="77777777" w:rsidR="009072CE" w:rsidRPr="00A07F29" w:rsidRDefault="009072CE" w:rsidP="009072CE">
            <w:pPr>
              <w:spacing w:after="0" w:line="240" w:lineRule="auto"/>
              <w:jc w:val="both"/>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XX</w:t>
            </w:r>
          </w:p>
        </w:tc>
      </w:tr>
      <w:tr w:rsidR="009072CE" w:rsidRPr="00A07F29" w14:paraId="537C9C46" w14:textId="77777777" w:rsidTr="005C3B63">
        <w:trPr>
          <w:jc w:val="center"/>
        </w:trPr>
        <w:tc>
          <w:tcPr>
            <w:tcW w:w="534" w:type="dxa"/>
          </w:tcPr>
          <w:p w14:paraId="71A90135" w14:textId="77777777" w:rsidR="009072CE" w:rsidRPr="00A07F29" w:rsidRDefault="009072CE" w:rsidP="009072CE">
            <w:pPr>
              <w:spacing w:after="0" w:line="240" w:lineRule="auto"/>
              <w:jc w:val="both"/>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7.</w:t>
            </w:r>
          </w:p>
        </w:tc>
        <w:tc>
          <w:tcPr>
            <w:tcW w:w="1162" w:type="dxa"/>
          </w:tcPr>
          <w:p w14:paraId="7BA04670" w14:textId="77777777" w:rsidR="009072CE" w:rsidRPr="00A07F29" w:rsidRDefault="009072CE" w:rsidP="009072CE">
            <w:pPr>
              <w:spacing w:after="0" w:line="240" w:lineRule="auto"/>
              <w:jc w:val="both"/>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Divkrāsainais sikspārnis</w:t>
            </w:r>
          </w:p>
        </w:tc>
        <w:tc>
          <w:tcPr>
            <w:tcW w:w="1560" w:type="dxa"/>
          </w:tcPr>
          <w:p w14:paraId="4EBB1E03" w14:textId="77777777" w:rsidR="009072CE" w:rsidRPr="00A07F29" w:rsidRDefault="009072CE" w:rsidP="009072CE">
            <w:pPr>
              <w:spacing w:after="0" w:line="240" w:lineRule="auto"/>
              <w:jc w:val="both"/>
              <w:rPr>
                <w:rFonts w:ascii="Times New Roman" w:eastAsia="Times New Roman" w:hAnsi="Times New Roman" w:cs="Times New Roman"/>
                <w:i/>
                <w:sz w:val="20"/>
                <w:szCs w:val="20"/>
                <w:lang w:eastAsia="lv-LV"/>
              </w:rPr>
            </w:pPr>
            <w:proofErr w:type="spellStart"/>
            <w:r w:rsidRPr="00A07F29">
              <w:rPr>
                <w:rFonts w:ascii="Times New Roman" w:eastAsia="Times New Roman" w:hAnsi="Times New Roman" w:cs="Times New Roman"/>
                <w:i/>
                <w:sz w:val="20"/>
                <w:szCs w:val="20"/>
                <w:lang w:eastAsia="lv-LV"/>
              </w:rPr>
              <w:t>Vespertilio</w:t>
            </w:r>
            <w:proofErr w:type="spellEnd"/>
            <w:r w:rsidRPr="00A07F29">
              <w:rPr>
                <w:rFonts w:ascii="Times New Roman" w:eastAsia="Times New Roman" w:hAnsi="Times New Roman" w:cs="Times New Roman"/>
                <w:i/>
                <w:sz w:val="20"/>
                <w:szCs w:val="20"/>
                <w:lang w:eastAsia="lv-LV"/>
              </w:rPr>
              <w:t xml:space="preserve"> </w:t>
            </w:r>
            <w:proofErr w:type="spellStart"/>
            <w:r w:rsidRPr="00A07F29">
              <w:rPr>
                <w:rFonts w:ascii="Times New Roman" w:eastAsia="Times New Roman" w:hAnsi="Times New Roman" w:cs="Times New Roman"/>
                <w:i/>
                <w:sz w:val="20"/>
                <w:szCs w:val="20"/>
                <w:lang w:eastAsia="lv-LV"/>
              </w:rPr>
              <w:t>murinus</w:t>
            </w:r>
            <w:proofErr w:type="spellEnd"/>
          </w:p>
        </w:tc>
        <w:tc>
          <w:tcPr>
            <w:tcW w:w="1417" w:type="dxa"/>
          </w:tcPr>
          <w:p w14:paraId="7B7B4582" w14:textId="77777777" w:rsidR="009072CE" w:rsidRPr="00A07F29" w:rsidRDefault="009072CE" w:rsidP="009072CE">
            <w:pPr>
              <w:spacing w:after="0" w:line="240" w:lineRule="auto"/>
              <w:jc w:val="both"/>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ĪAS</w:t>
            </w:r>
          </w:p>
        </w:tc>
        <w:tc>
          <w:tcPr>
            <w:tcW w:w="1418" w:type="dxa"/>
          </w:tcPr>
          <w:p w14:paraId="4326860F" w14:textId="77777777" w:rsidR="009072CE" w:rsidRPr="00A07F29" w:rsidRDefault="009072CE" w:rsidP="009072CE">
            <w:pPr>
              <w:spacing w:after="0" w:line="240" w:lineRule="auto"/>
              <w:jc w:val="both"/>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IV</w:t>
            </w:r>
          </w:p>
        </w:tc>
        <w:tc>
          <w:tcPr>
            <w:tcW w:w="2126" w:type="dxa"/>
            <w:shd w:val="clear" w:color="auto" w:fill="BFBFBF" w:themeFill="background1" w:themeFillShade="BF"/>
          </w:tcPr>
          <w:p w14:paraId="37F1D4C7" w14:textId="77777777" w:rsidR="009072CE" w:rsidRPr="00A07F29" w:rsidRDefault="009072CE" w:rsidP="009072CE">
            <w:pPr>
              <w:spacing w:after="0" w:line="240" w:lineRule="auto"/>
              <w:jc w:val="both"/>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XX</w:t>
            </w:r>
          </w:p>
        </w:tc>
      </w:tr>
      <w:tr w:rsidR="009072CE" w:rsidRPr="00A07F29" w14:paraId="7D4B1D92" w14:textId="77777777" w:rsidTr="005C3B63">
        <w:trPr>
          <w:jc w:val="center"/>
        </w:trPr>
        <w:tc>
          <w:tcPr>
            <w:tcW w:w="534" w:type="dxa"/>
          </w:tcPr>
          <w:p w14:paraId="6E841C4B" w14:textId="77777777" w:rsidR="009072CE" w:rsidRPr="00A07F29" w:rsidRDefault="009072CE" w:rsidP="009072CE">
            <w:pPr>
              <w:spacing w:after="0" w:line="240" w:lineRule="auto"/>
              <w:jc w:val="both"/>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 xml:space="preserve">8. </w:t>
            </w:r>
          </w:p>
        </w:tc>
        <w:tc>
          <w:tcPr>
            <w:tcW w:w="1162" w:type="dxa"/>
          </w:tcPr>
          <w:p w14:paraId="5D3E548B" w14:textId="77777777" w:rsidR="009072CE" w:rsidRPr="00A07F29" w:rsidRDefault="009072CE" w:rsidP="009072CE">
            <w:pPr>
              <w:spacing w:after="0" w:line="240" w:lineRule="auto"/>
              <w:jc w:val="both"/>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 xml:space="preserve">Brūnais </w:t>
            </w:r>
            <w:proofErr w:type="spellStart"/>
            <w:r w:rsidRPr="00A07F29">
              <w:rPr>
                <w:rFonts w:ascii="Times New Roman" w:eastAsia="Times New Roman" w:hAnsi="Times New Roman" w:cs="Times New Roman"/>
                <w:sz w:val="20"/>
                <w:szCs w:val="20"/>
                <w:lang w:eastAsia="lv-LV"/>
              </w:rPr>
              <w:t>garausainis</w:t>
            </w:r>
            <w:proofErr w:type="spellEnd"/>
          </w:p>
        </w:tc>
        <w:tc>
          <w:tcPr>
            <w:tcW w:w="1560" w:type="dxa"/>
          </w:tcPr>
          <w:p w14:paraId="3B3E3688" w14:textId="77777777" w:rsidR="009072CE" w:rsidRPr="00A07F29" w:rsidRDefault="009072CE" w:rsidP="009072CE">
            <w:pPr>
              <w:spacing w:after="0" w:line="240" w:lineRule="auto"/>
              <w:jc w:val="both"/>
              <w:rPr>
                <w:rFonts w:ascii="Times New Roman" w:eastAsia="Times New Roman" w:hAnsi="Times New Roman" w:cs="Times New Roman"/>
                <w:i/>
                <w:sz w:val="20"/>
                <w:szCs w:val="20"/>
                <w:lang w:eastAsia="lv-LV"/>
              </w:rPr>
            </w:pPr>
            <w:proofErr w:type="spellStart"/>
            <w:r w:rsidRPr="00A07F29">
              <w:rPr>
                <w:rFonts w:ascii="Times New Roman" w:eastAsia="Times New Roman" w:hAnsi="Times New Roman" w:cs="Times New Roman"/>
                <w:i/>
                <w:sz w:val="20"/>
                <w:szCs w:val="20"/>
                <w:lang w:eastAsia="lv-LV"/>
              </w:rPr>
              <w:t>Plecotus</w:t>
            </w:r>
            <w:proofErr w:type="spellEnd"/>
            <w:r w:rsidRPr="00A07F29">
              <w:rPr>
                <w:rFonts w:ascii="Times New Roman" w:eastAsia="Times New Roman" w:hAnsi="Times New Roman" w:cs="Times New Roman"/>
                <w:i/>
                <w:sz w:val="20"/>
                <w:szCs w:val="20"/>
                <w:lang w:eastAsia="lv-LV"/>
              </w:rPr>
              <w:t xml:space="preserve"> </w:t>
            </w:r>
            <w:proofErr w:type="spellStart"/>
            <w:r w:rsidRPr="00A07F29">
              <w:rPr>
                <w:rFonts w:ascii="Times New Roman" w:eastAsia="Times New Roman" w:hAnsi="Times New Roman" w:cs="Times New Roman"/>
                <w:i/>
                <w:sz w:val="20"/>
                <w:szCs w:val="20"/>
                <w:lang w:eastAsia="lv-LV"/>
              </w:rPr>
              <w:t>auritus</w:t>
            </w:r>
            <w:proofErr w:type="spellEnd"/>
          </w:p>
        </w:tc>
        <w:tc>
          <w:tcPr>
            <w:tcW w:w="1417" w:type="dxa"/>
          </w:tcPr>
          <w:p w14:paraId="5CBED7AC" w14:textId="77777777" w:rsidR="009072CE" w:rsidRPr="00A07F29" w:rsidRDefault="009072CE" w:rsidP="009072CE">
            <w:pPr>
              <w:spacing w:after="0" w:line="240" w:lineRule="auto"/>
              <w:jc w:val="both"/>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ĪAS</w:t>
            </w:r>
          </w:p>
        </w:tc>
        <w:tc>
          <w:tcPr>
            <w:tcW w:w="1418" w:type="dxa"/>
          </w:tcPr>
          <w:p w14:paraId="2064BA47" w14:textId="77777777" w:rsidR="009072CE" w:rsidRPr="00A07F29" w:rsidRDefault="009072CE" w:rsidP="009072CE">
            <w:pPr>
              <w:spacing w:after="0" w:line="240" w:lineRule="auto"/>
              <w:jc w:val="both"/>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IV</w:t>
            </w:r>
          </w:p>
        </w:tc>
        <w:tc>
          <w:tcPr>
            <w:tcW w:w="2126" w:type="dxa"/>
            <w:shd w:val="clear" w:color="auto" w:fill="FFC000"/>
          </w:tcPr>
          <w:p w14:paraId="534AF2A2" w14:textId="77777777" w:rsidR="009072CE" w:rsidRPr="00A07F29" w:rsidRDefault="009072CE" w:rsidP="009072CE">
            <w:pPr>
              <w:spacing w:after="0" w:line="240" w:lineRule="auto"/>
              <w:jc w:val="both"/>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U1</w:t>
            </w:r>
          </w:p>
        </w:tc>
      </w:tr>
      <w:tr w:rsidR="009072CE" w:rsidRPr="00A07F29" w14:paraId="6F1F6B6F" w14:textId="77777777" w:rsidTr="005C3B63">
        <w:trPr>
          <w:jc w:val="center"/>
        </w:trPr>
        <w:tc>
          <w:tcPr>
            <w:tcW w:w="534" w:type="dxa"/>
          </w:tcPr>
          <w:p w14:paraId="45BA5962" w14:textId="77777777" w:rsidR="009072CE" w:rsidRPr="00A07F29" w:rsidRDefault="009072CE" w:rsidP="009072CE">
            <w:pPr>
              <w:spacing w:after="0" w:line="240" w:lineRule="auto"/>
              <w:jc w:val="both"/>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9.</w:t>
            </w:r>
          </w:p>
        </w:tc>
        <w:tc>
          <w:tcPr>
            <w:tcW w:w="1162" w:type="dxa"/>
          </w:tcPr>
          <w:p w14:paraId="1903DB72" w14:textId="77777777" w:rsidR="009072CE" w:rsidRPr="00A07F29" w:rsidRDefault="009072CE" w:rsidP="009072CE">
            <w:pPr>
              <w:spacing w:after="0" w:line="240" w:lineRule="auto"/>
              <w:jc w:val="both"/>
              <w:rPr>
                <w:rFonts w:ascii="Times New Roman" w:eastAsia="Times New Roman" w:hAnsi="Times New Roman" w:cs="Times New Roman"/>
                <w:sz w:val="20"/>
                <w:szCs w:val="20"/>
                <w:lang w:eastAsia="lv-LV"/>
              </w:rPr>
            </w:pPr>
            <w:proofErr w:type="spellStart"/>
            <w:r w:rsidRPr="00A07F29">
              <w:rPr>
                <w:rFonts w:ascii="Times New Roman" w:eastAsia="Times New Roman" w:hAnsi="Times New Roman" w:cs="Times New Roman"/>
                <w:sz w:val="20"/>
                <w:szCs w:val="20"/>
                <w:lang w:eastAsia="lv-LV"/>
              </w:rPr>
              <w:t>Pundursikspārnis</w:t>
            </w:r>
            <w:proofErr w:type="spellEnd"/>
          </w:p>
        </w:tc>
        <w:tc>
          <w:tcPr>
            <w:tcW w:w="1560" w:type="dxa"/>
          </w:tcPr>
          <w:p w14:paraId="44066BE5" w14:textId="77777777" w:rsidR="009072CE" w:rsidRPr="00A07F29" w:rsidRDefault="009072CE" w:rsidP="009072CE">
            <w:pPr>
              <w:spacing w:after="0" w:line="240" w:lineRule="auto"/>
              <w:jc w:val="both"/>
              <w:rPr>
                <w:rFonts w:ascii="Times New Roman" w:eastAsia="Times New Roman" w:hAnsi="Times New Roman" w:cs="Times New Roman"/>
                <w:i/>
                <w:sz w:val="20"/>
                <w:szCs w:val="20"/>
                <w:lang w:eastAsia="lv-LV"/>
              </w:rPr>
            </w:pPr>
            <w:proofErr w:type="spellStart"/>
            <w:r w:rsidRPr="00A07F29">
              <w:rPr>
                <w:rFonts w:ascii="Times New Roman" w:eastAsia="Times New Roman" w:hAnsi="Times New Roman" w:cs="Times New Roman"/>
                <w:i/>
                <w:sz w:val="20"/>
                <w:szCs w:val="20"/>
                <w:lang w:eastAsia="lv-LV"/>
              </w:rPr>
              <w:t>Pipistrellus</w:t>
            </w:r>
            <w:proofErr w:type="spellEnd"/>
            <w:r w:rsidRPr="00A07F29">
              <w:rPr>
                <w:rFonts w:ascii="Times New Roman" w:eastAsia="Times New Roman" w:hAnsi="Times New Roman" w:cs="Times New Roman"/>
                <w:i/>
                <w:sz w:val="20"/>
                <w:szCs w:val="20"/>
                <w:lang w:eastAsia="lv-LV"/>
              </w:rPr>
              <w:t xml:space="preserve"> </w:t>
            </w:r>
            <w:proofErr w:type="spellStart"/>
            <w:r w:rsidRPr="00A07F29">
              <w:rPr>
                <w:rFonts w:ascii="Times New Roman" w:eastAsia="Times New Roman" w:hAnsi="Times New Roman" w:cs="Times New Roman"/>
                <w:i/>
                <w:sz w:val="20"/>
                <w:szCs w:val="20"/>
                <w:lang w:eastAsia="lv-LV"/>
              </w:rPr>
              <w:t>pipistrellus</w:t>
            </w:r>
            <w:proofErr w:type="spellEnd"/>
          </w:p>
        </w:tc>
        <w:tc>
          <w:tcPr>
            <w:tcW w:w="1417" w:type="dxa"/>
          </w:tcPr>
          <w:p w14:paraId="456614F8" w14:textId="77777777" w:rsidR="009072CE" w:rsidRPr="00A07F29" w:rsidRDefault="009072CE" w:rsidP="009072CE">
            <w:pPr>
              <w:spacing w:after="0" w:line="240" w:lineRule="auto"/>
              <w:jc w:val="both"/>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ĪAS</w:t>
            </w:r>
          </w:p>
        </w:tc>
        <w:tc>
          <w:tcPr>
            <w:tcW w:w="1418" w:type="dxa"/>
          </w:tcPr>
          <w:p w14:paraId="783F53B2" w14:textId="77777777" w:rsidR="009072CE" w:rsidRPr="00A07F29" w:rsidRDefault="009072CE" w:rsidP="009072CE">
            <w:pPr>
              <w:spacing w:after="0" w:line="240" w:lineRule="auto"/>
              <w:jc w:val="both"/>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IV</w:t>
            </w:r>
          </w:p>
        </w:tc>
        <w:tc>
          <w:tcPr>
            <w:tcW w:w="2126" w:type="dxa"/>
            <w:shd w:val="clear" w:color="auto" w:fill="92D050"/>
          </w:tcPr>
          <w:p w14:paraId="307AB931" w14:textId="77777777" w:rsidR="009072CE" w:rsidRPr="00A07F29" w:rsidRDefault="009072CE" w:rsidP="009072CE">
            <w:pPr>
              <w:spacing w:after="0" w:line="240" w:lineRule="auto"/>
              <w:jc w:val="both"/>
              <w:rPr>
                <w:rFonts w:ascii="Times New Roman" w:eastAsia="Times New Roman" w:hAnsi="Times New Roman" w:cs="Times New Roman"/>
                <w:sz w:val="20"/>
                <w:szCs w:val="20"/>
                <w:lang w:eastAsia="lv-LV"/>
              </w:rPr>
            </w:pPr>
            <w:r w:rsidRPr="00A07F29">
              <w:rPr>
                <w:rFonts w:ascii="Times New Roman" w:eastAsia="Times New Roman" w:hAnsi="Times New Roman" w:cs="Times New Roman"/>
                <w:sz w:val="20"/>
                <w:szCs w:val="20"/>
                <w:lang w:eastAsia="lv-LV"/>
              </w:rPr>
              <w:t>FV</w:t>
            </w:r>
          </w:p>
        </w:tc>
      </w:tr>
    </w:tbl>
    <w:p w14:paraId="081A0A02" w14:textId="78212C4F" w:rsidR="003735E4" w:rsidRDefault="003735E4" w:rsidP="005C3B63">
      <w:pPr>
        <w:spacing w:after="120" w:line="240" w:lineRule="auto"/>
        <w:jc w:val="both"/>
        <w:rPr>
          <w:rFonts w:ascii="Times New Roman" w:hAnsi="Times New Roman" w:cs="Times New Roman"/>
          <w:spacing w:val="-1"/>
          <w:sz w:val="20"/>
          <w:szCs w:val="20"/>
        </w:rPr>
      </w:pPr>
      <w:r w:rsidRPr="007615D9">
        <w:rPr>
          <w:rFonts w:ascii="Times New Roman" w:hAnsi="Times New Roman" w:cs="Times New Roman"/>
          <w:b/>
          <w:bCs/>
          <w:spacing w:val="-1"/>
          <w:sz w:val="20"/>
          <w:szCs w:val="20"/>
        </w:rPr>
        <w:t>ĪAS</w:t>
      </w:r>
      <w:r>
        <w:rPr>
          <w:rFonts w:ascii="Times New Roman" w:hAnsi="Times New Roman" w:cs="Times New Roman"/>
          <w:spacing w:val="-1"/>
          <w:sz w:val="20"/>
          <w:szCs w:val="20"/>
        </w:rPr>
        <w:t xml:space="preserve"> </w:t>
      </w:r>
      <w:r w:rsidR="004C5AF6">
        <w:rPr>
          <w:rFonts w:ascii="Times New Roman" w:hAnsi="Times New Roman" w:cs="Times New Roman"/>
          <w:spacing w:val="-1"/>
          <w:sz w:val="20"/>
          <w:szCs w:val="20"/>
        </w:rPr>
        <w:t xml:space="preserve">– īpaši aizsargājama suga </w:t>
      </w:r>
      <w:r w:rsidR="00863A10" w:rsidRPr="00863A10">
        <w:rPr>
          <w:rFonts w:ascii="Times New Roman" w:hAnsi="Times New Roman" w:cs="Times New Roman"/>
          <w:spacing w:val="-1"/>
          <w:sz w:val="20"/>
          <w:szCs w:val="20"/>
        </w:rPr>
        <w:t>(atbilstoši MK 2000.</w:t>
      </w:r>
      <w:r w:rsidR="00107D34">
        <w:rPr>
          <w:rFonts w:ascii="Times New Roman" w:hAnsi="Times New Roman" w:cs="Times New Roman"/>
          <w:spacing w:val="-1"/>
          <w:sz w:val="20"/>
          <w:szCs w:val="20"/>
        </w:rPr>
        <w:t> </w:t>
      </w:r>
      <w:r w:rsidR="00863A10" w:rsidRPr="00863A10">
        <w:rPr>
          <w:rFonts w:ascii="Times New Roman" w:hAnsi="Times New Roman" w:cs="Times New Roman"/>
          <w:spacing w:val="-1"/>
          <w:sz w:val="20"/>
          <w:szCs w:val="20"/>
        </w:rPr>
        <w:t xml:space="preserve">gada 14. novembra noteikumiem Nr. 396 “Noteikumi par īpaši aizsargājamo sugu un ierobežoti izmantojamo īpaši aizsargājamo sugu sarakstu” pielikumiem); ar </w:t>
      </w:r>
      <w:r w:rsidR="00863A10" w:rsidRPr="00863A10">
        <w:rPr>
          <w:rFonts w:ascii="Times New Roman" w:hAnsi="Times New Roman" w:cs="Times New Roman"/>
          <w:spacing w:val="-1"/>
          <w:sz w:val="20"/>
          <w:szCs w:val="20"/>
          <w:vertAlign w:val="superscript"/>
        </w:rPr>
        <w:t>1</w:t>
      </w:r>
      <w:r w:rsidR="00863A10" w:rsidRPr="00863A10">
        <w:rPr>
          <w:rFonts w:ascii="Times New Roman" w:hAnsi="Times New Roman" w:cs="Times New Roman"/>
          <w:spacing w:val="-1"/>
          <w:sz w:val="20"/>
          <w:szCs w:val="20"/>
        </w:rPr>
        <w:t xml:space="preserve"> atzīmētas sugas, kuru aizsardzībai var veidot mikroliegumus (atbilstoši MK 2012. gada 18. decembra</w:t>
      </w:r>
      <w:r w:rsidR="007615D9">
        <w:rPr>
          <w:rFonts w:ascii="Times New Roman" w:hAnsi="Times New Roman" w:cs="Times New Roman"/>
          <w:spacing w:val="-1"/>
          <w:sz w:val="20"/>
          <w:szCs w:val="20"/>
        </w:rPr>
        <w:t xml:space="preserve"> </w:t>
      </w:r>
      <w:r w:rsidR="00863A10" w:rsidRPr="00863A10">
        <w:rPr>
          <w:rFonts w:ascii="Times New Roman" w:hAnsi="Times New Roman" w:cs="Times New Roman"/>
          <w:spacing w:val="-1"/>
          <w:sz w:val="20"/>
          <w:szCs w:val="20"/>
        </w:rPr>
        <w:t>noteikumiem Nr. 940 “Noteikumi par mikroliegumu izveidošanas un apsaimniekošanas kārtību, to aizsardzību, kā arī mikroliegumu un to buferzonu noteikšanu”).</w:t>
      </w:r>
    </w:p>
    <w:p w14:paraId="23696AFA" w14:textId="427B1D26" w:rsidR="009072CE" w:rsidRPr="00725136" w:rsidRDefault="009072CE" w:rsidP="005C3B63">
      <w:pPr>
        <w:spacing w:after="120" w:line="240" w:lineRule="auto"/>
        <w:jc w:val="both"/>
        <w:rPr>
          <w:rFonts w:ascii="Times New Roman" w:eastAsia="Times New Roman" w:hAnsi="Times New Roman" w:cs="Times New Roman"/>
          <w:iCs/>
          <w:color w:val="000000"/>
          <w:sz w:val="20"/>
          <w:szCs w:val="20"/>
        </w:rPr>
      </w:pPr>
      <w:r w:rsidRPr="00725136">
        <w:rPr>
          <w:rFonts w:ascii="Times New Roman" w:hAnsi="Times New Roman" w:cs="Times New Roman"/>
          <w:spacing w:val="-1"/>
          <w:sz w:val="20"/>
          <w:szCs w:val="20"/>
        </w:rPr>
        <w:t>*</w:t>
      </w:r>
      <w:r w:rsidRPr="00725136">
        <w:rPr>
          <w:rFonts w:ascii="Times New Roman" w:eastAsia="Times New Roman" w:hAnsi="Times New Roman" w:cs="Times New Roman"/>
          <w:color w:val="000000"/>
          <w:sz w:val="20"/>
          <w:szCs w:val="20"/>
        </w:rPr>
        <w:t>Ziņojums Eiropas Komisijai par biotopu (dzīvotņu) un sugu aizsardzības stāvokli Latvijā. Novērtējums par 2013.</w:t>
      </w:r>
      <w:r w:rsidR="00787733" w:rsidRPr="00725136">
        <w:rPr>
          <w:rFonts w:ascii="Times New Roman" w:eastAsia="Times New Roman" w:hAnsi="Times New Roman" w:cs="Times New Roman"/>
          <w:color w:val="000000"/>
          <w:sz w:val="20"/>
          <w:szCs w:val="20"/>
        </w:rPr>
        <w:t> </w:t>
      </w:r>
      <w:r w:rsidRPr="00725136">
        <w:rPr>
          <w:rFonts w:ascii="Cambria Math" w:eastAsia="Times New Roman" w:hAnsi="Cambria Math" w:cs="Cambria Math"/>
          <w:color w:val="000000"/>
          <w:sz w:val="20"/>
          <w:szCs w:val="20"/>
        </w:rPr>
        <w:t>‐</w:t>
      </w:r>
      <w:r w:rsidR="00787733" w:rsidRPr="00725136">
        <w:rPr>
          <w:rFonts w:ascii="Cambria Math" w:eastAsia="Times New Roman" w:hAnsi="Cambria Math" w:cs="Cambria Math"/>
          <w:color w:val="000000"/>
          <w:sz w:val="20"/>
          <w:szCs w:val="20"/>
        </w:rPr>
        <w:t> </w:t>
      </w:r>
      <w:r w:rsidRPr="00725136">
        <w:rPr>
          <w:rFonts w:ascii="Times New Roman" w:eastAsia="Times New Roman" w:hAnsi="Times New Roman" w:cs="Times New Roman"/>
          <w:color w:val="000000"/>
          <w:sz w:val="20"/>
          <w:szCs w:val="20"/>
        </w:rPr>
        <w:t>2018.</w:t>
      </w:r>
      <w:r w:rsidR="00787733" w:rsidRPr="00725136">
        <w:rPr>
          <w:rFonts w:ascii="Times New Roman" w:eastAsia="Times New Roman" w:hAnsi="Times New Roman" w:cs="Times New Roman"/>
          <w:color w:val="000000"/>
          <w:sz w:val="20"/>
          <w:szCs w:val="20"/>
        </w:rPr>
        <w:t> </w:t>
      </w:r>
      <w:r w:rsidRPr="00725136">
        <w:rPr>
          <w:rFonts w:ascii="Times New Roman" w:eastAsia="Times New Roman" w:hAnsi="Times New Roman" w:cs="Times New Roman"/>
          <w:color w:val="000000"/>
          <w:sz w:val="20"/>
          <w:szCs w:val="20"/>
        </w:rPr>
        <w:t xml:space="preserve">gada periodu. </w:t>
      </w:r>
      <w:r w:rsidRPr="00725136">
        <w:rPr>
          <w:rFonts w:ascii="Times New Roman" w:eastAsia="Times New Roman" w:hAnsi="Times New Roman" w:cs="Times New Roman"/>
          <w:b/>
          <w:bCs/>
          <w:color w:val="000000"/>
          <w:sz w:val="20"/>
          <w:szCs w:val="20"/>
        </w:rPr>
        <w:t>FV</w:t>
      </w:r>
      <w:r w:rsidRPr="00725136">
        <w:rPr>
          <w:rFonts w:ascii="Times New Roman" w:eastAsia="Times New Roman" w:hAnsi="Times New Roman" w:cs="Times New Roman"/>
          <w:color w:val="000000"/>
          <w:sz w:val="20"/>
          <w:szCs w:val="20"/>
        </w:rPr>
        <w:t>: Aizsardzības stāvoklis labvēlīgs (</w:t>
      </w:r>
      <w:proofErr w:type="spellStart"/>
      <w:r w:rsidRPr="00725136">
        <w:rPr>
          <w:rFonts w:ascii="Times New Roman" w:eastAsia="Times New Roman" w:hAnsi="Times New Roman" w:cs="Times New Roman"/>
          <w:color w:val="000000"/>
          <w:sz w:val="20"/>
          <w:szCs w:val="20"/>
        </w:rPr>
        <w:t>Favourable</w:t>
      </w:r>
      <w:proofErr w:type="spellEnd"/>
      <w:r w:rsidRPr="00725136">
        <w:rPr>
          <w:rFonts w:ascii="Times New Roman" w:eastAsia="Times New Roman" w:hAnsi="Times New Roman" w:cs="Times New Roman"/>
          <w:color w:val="000000"/>
          <w:sz w:val="20"/>
          <w:szCs w:val="20"/>
        </w:rPr>
        <w:t xml:space="preserve">); </w:t>
      </w:r>
      <w:r w:rsidRPr="00725136">
        <w:rPr>
          <w:rFonts w:ascii="Times New Roman" w:eastAsia="Times New Roman" w:hAnsi="Times New Roman" w:cs="Times New Roman"/>
          <w:b/>
          <w:bCs/>
          <w:color w:val="000000"/>
          <w:sz w:val="20"/>
          <w:szCs w:val="20"/>
        </w:rPr>
        <w:t>U1</w:t>
      </w:r>
      <w:r w:rsidRPr="00725136">
        <w:rPr>
          <w:rFonts w:ascii="Times New Roman" w:eastAsia="Times New Roman" w:hAnsi="Times New Roman" w:cs="Times New Roman"/>
          <w:color w:val="000000"/>
          <w:sz w:val="20"/>
          <w:szCs w:val="20"/>
        </w:rPr>
        <w:t>: Aizsardzības stāvoklis nelabvēlīgs</w:t>
      </w:r>
      <w:r w:rsidRPr="00725136">
        <w:rPr>
          <w:rFonts w:ascii="Cambria Math" w:eastAsia="Times New Roman" w:hAnsi="Cambria Math" w:cs="Cambria Math"/>
          <w:color w:val="000000"/>
          <w:sz w:val="20"/>
          <w:szCs w:val="20"/>
        </w:rPr>
        <w:t>‐</w:t>
      </w:r>
      <w:r w:rsidRPr="00725136">
        <w:rPr>
          <w:rFonts w:ascii="Times New Roman" w:eastAsia="Times New Roman" w:hAnsi="Times New Roman" w:cs="Times New Roman"/>
          <w:color w:val="000000"/>
          <w:sz w:val="20"/>
          <w:szCs w:val="20"/>
        </w:rPr>
        <w:t>nepietiekams (</w:t>
      </w:r>
      <w:proofErr w:type="spellStart"/>
      <w:r w:rsidRPr="00725136">
        <w:rPr>
          <w:rFonts w:ascii="Times New Roman" w:eastAsia="Times New Roman" w:hAnsi="Times New Roman" w:cs="Times New Roman"/>
          <w:color w:val="000000"/>
          <w:sz w:val="20"/>
          <w:szCs w:val="20"/>
        </w:rPr>
        <w:t>Unfavourable</w:t>
      </w:r>
      <w:r w:rsidRPr="00725136">
        <w:rPr>
          <w:rFonts w:ascii="Cambria Math" w:eastAsia="Times New Roman" w:hAnsi="Cambria Math" w:cs="Cambria Math"/>
          <w:color w:val="000000"/>
          <w:sz w:val="20"/>
          <w:szCs w:val="20"/>
        </w:rPr>
        <w:t>‐</w:t>
      </w:r>
      <w:r w:rsidRPr="00725136">
        <w:rPr>
          <w:rFonts w:ascii="Times New Roman" w:eastAsia="Times New Roman" w:hAnsi="Times New Roman" w:cs="Times New Roman"/>
          <w:color w:val="000000"/>
          <w:sz w:val="20"/>
          <w:szCs w:val="20"/>
        </w:rPr>
        <w:t>Inadequate</w:t>
      </w:r>
      <w:proofErr w:type="spellEnd"/>
      <w:r w:rsidRPr="00725136">
        <w:rPr>
          <w:rFonts w:ascii="Times New Roman" w:eastAsia="Times New Roman" w:hAnsi="Times New Roman" w:cs="Times New Roman"/>
          <w:color w:val="000000"/>
          <w:sz w:val="20"/>
          <w:szCs w:val="20"/>
        </w:rPr>
        <w:t xml:space="preserve">); </w:t>
      </w:r>
      <w:r w:rsidRPr="00725136">
        <w:rPr>
          <w:rFonts w:ascii="Times New Roman" w:eastAsia="Times New Roman" w:hAnsi="Times New Roman" w:cs="Times New Roman"/>
          <w:b/>
          <w:bCs/>
          <w:color w:val="000000"/>
          <w:sz w:val="20"/>
          <w:szCs w:val="20"/>
        </w:rPr>
        <w:t>XX</w:t>
      </w:r>
      <w:r w:rsidRPr="00725136">
        <w:rPr>
          <w:rFonts w:ascii="Times New Roman" w:eastAsia="Times New Roman" w:hAnsi="Times New Roman" w:cs="Times New Roman"/>
          <w:color w:val="000000"/>
          <w:sz w:val="20"/>
          <w:szCs w:val="20"/>
        </w:rPr>
        <w:t>: Aizsardzības stāvoklis nezināms (</w:t>
      </w:r>
      <w:proofErr w:type="spellStart"/>
      <w:r w:rsidRPr="00725136">
        <w:rPr>
          <w:rFonts w:ascii="Times New Roman" w:eastAsia="Times New Roman" w:hAnsi="Times New Roman" w:cs="Times New Roman"/>
          <w:color w:val="000000"/>
          <w:sz w:val="20"/>
          <w:szCs w:val="20"/>
        </w:rPr>
        <w:t>Unknown</w:t>
      </w:r>
      <w:proofErr w:type="spellEnd"/>
      <w:r w:rsidRPr="00725136">
        <w:rPr>
          <w:rFonts w:ascii="Times New Roman" w:eastAsia="Times New Roman" w:hAnsi="Times New Roman" w:cs="Times New Roman"/>
          <w:color w:val="000000"/>
          <w:sz w:val="20"/>
          <w:szCs w:val="20"/>
        </w:rPr>
        <w:t>).</w:t>
      </w:r>
    </w:p>
    <w:p w14:paraId="1E39B0CB" w14:textId="32FA0E26" w:rsidR="009072CE" w:rsidRPr="00A07F29" w:rsidRDefault="002E34E2" w:rsidP="002E34E2">
      <w:pPr>
        <w:pStyle w:val="Heading3"/>
        <w:spacing w:before="240" w:after="120" w:line="240" w:lineRule="auto"/>
        <w:jc w:val="center"/>
        <w:rPr>
          <w:b w:val="0"/>
          <w:lang w:eastAsia="ja-JP"/>
        </w:rPr>
      </w:pPr>
      <w:bookmarkStart w:id="92" w:name="_Toc183434024"/>
      <w:r w:rsidRPr="00A07F29">
        <w:rPr>
          <w:lang w:eastAsia="ja-JP"/>
        </w:rPr>
        <w:t xml:space="preserve">4.11.2. </w:t>
      </w:r>
      <w:r w:rsidR="009072CE" w:rsidRPr="00A07F29">
        <w:rPr>
          <w:lang w:eastAsia="ja-JP"/>
        </w:rPr>
        <w:t>Citas zīdītāju sugas</w:t>
      </w:r>
      <w:bookmarkEnd w:id="92"/>
    </w:p>
    <w:p w14:paraId="0685C1FD" w14:textId="68E6A948" w:rsidR="009072CE" w:rsidRPr="00A07F29" w:rsidRDefault="009072CE" w:rsidP="002E34E2">
      <w:pPr>
        <w:spacing w:after="120" w:line="240" w:lineRule="auto"/>
        <w:ind w:firstLine="720"/>
        <w:jc w:val="both"/>
        <w:rPr>
          <w:rFonts w:ascii="Times New Roman" w:eastAsia="Times New Roman" w:hAnsi="Times New Roman" w:cs="Times New Roman"/>
          <w:iCs/>
          <w:color w:val="000000"/>
          <w:sz w:val="24"/>
          <w:szCs w:val="24"/>
        </w:rPr>
      </w:pPr>
      <w:r w:rsidRPr="00A07F29">
        <w:rPr>
          <w:rFonts w:ascii="Times New Roman" w:eastAsia="Times New Roman" w:hAnsi="Times New Roman" w:cs="Times New Roman"/>
          <w:iCs/>
          <w:color w:val="000000"/>
          <w:sz w:val="24"/>
          <w:szCs w:val="24"/>
        </w:rPr>
        <w:t xml:space="preserve">Atsevišķu publicētu pētījumu par zīdītājdzīvnieku faunu AAA “Augšdaugava” teritorijā nav. Zīdītājdzīvnieku sugu apraksts pieejams par </w:t>
      </w:r>
      <w:r w:rsidR="00BF0E06" w:rsidRPr="00A07F29">
        <w:rPr>
          <w:rFonts w:ascii="Times New Roman" w:eastAsia="Times New Roman" w:hAnsi="Times New Roman" w:cs="Times New Roman"/>
          <w:iCs/>
          <w:color w:val="000000"/>
          <w:sz w:val="24"/>
          <w:szCs w:val="24"/>
        </w:rPr>
        <w:t>DP</w:t>
      </w:r>
      <w:r w:rsidRPr="00A07F29">
        <w:rPr>
          <w:rFonts w:ascii="Times New Roman" w:eastAsia="Times New Roman" w:hAnsi="Times New Roman" w:cs="Times New Roman"/>
          <w:iCs/>
          <w:color w:val="000000"/>
          <w:sz w:val="24"/>
          <w:szCs w:val="24"/>
        </w:rPr>
        <w:t xml:space="preserve"> “Daugavas loki” teritoriju, </w:t>
      </w:r>
      <w:r w:rsidR="00F25C97" w:rsidRPr="00A07F29">
        <w:rPr>
          <w:rFonts w:ascii="Times New Roman" w:eastAsia="Times New Roman" w:hAnsi="Times New Roman" w:cs="Times New Roman"/>
          <w:iCs/>
          <w:color w:val="000000"/>
          <w:sz w:val="24"/>
          <w:szCs w:val="24"/>
        </w:rPr>
        <w:t xml:space="preserve">kas </w:t>
      </w:r>
      <w:r w:rsidRPr="00A07F29">
        <w:rPr>
          <w:rFonts w:ascii="Times New Roman" w:eastAsia="Times New Roman" w:hAnsi="Times New Roman" w:cs="Times New Roman"/>
          <w:iCs/>
          <w:color w:val="000000"/>
          <w:sz w:val="24"/>
          <w:szCs w:val="24"/>
        </w:rPr>
        <w:t xml:space="preserve">sagatavots </w:t>
      </w:r>
      <w:r w:rsidR="00BF0E06" w:rsidRPr="00A07F29">
        <w:rPr>
          <w:rFonts w:ascii="Times New Roman" w:eastAsia="Times New Roman" w:hAnsi="Times New Roman" w:cs="Times New Roman"/>
          <w:iCs/>
          <w:color w:val="000000"/>
          <w:sz w:val="24"/>
          <w:szCs w:val="24"/>
        </w:rPr>
        <w:t>DA plāna</w:t>
      </w:r>
      <w:r w:rsidR="00392BE6">
        <w:rPr>
          <w:rFonts w:ascii="Times New Roman" w:eastAsia="Times New Roman" w:hAnsi="Times New Roman" w:cs="Times New Roman"/>
          <w:iCs/>
          <w:color w:val="000000"/>
          <w:sz w:val="24"/>
          <w:szCs w:val="24"/>
        </w:rPr>
        <w:t xml:space="preserve"> vajadzībām (Bāra J., 2010)</w:t>
      </w:r>
      <w:r w:rsidRPr="00A07F29">
        <w:rPr>
          <w:rFonts w:ascii="Times New Roman" w:eastAsia="Times New Roman" w:hAnsi="Times New Roman" w:cs="Times New Roman"/>
          <w:iCs/>
          <w:color w:val="000000"/>
          <w:sz w:val="24"/>
          <w:szCs w:val="24"/>
        </w:rPr>
        <w:t>. AAA</w:t>
      </w:r>
      <w:r w:rsidR="00D65BBA" w:rsidRPr="00A07F29">
        <w:rPr>
          <w:rFonts w:ascii="Times New Roman" w:eastAsia="Times New Roman" w:hAnsi="Times New Roman" w:cs="Times New Roman"/>
          <w:iCs/>
          <w:color w:val="000000"/>
          <w:sz w:val="24"/>
          <w:szCs w:val="24"/>
        </w:rPr>
        <w:t xml:space="preserve"> </w:t>
      </w:r>
      <w:r w:rsidR="000B35E9">
        <w:rPr>
          <w:rFonts w:ascii="Times New Roman" w:eastAsia="Times New Roman" w:hAnsi="Times New Roman" w:cs="Times New Roman"/>
          <w:iCs/>
          <w:color w:val="000000"/>
          <w:sz w:val="24"/>
          <w:szCs w:val="24"/>
        </w:rPr>
        <w:t>“</w:t>
      </w:r>
      <w:r w:rsidRPr="00A07F29">
        <w:rPr>
          <w:rFonts w:ascii="Times New Roman" w:eastAsia="Times New Roman" w:hAnsi="Times New Roman" w:cs="Times New Roman"/>
          <w:iCs/>
          <w:color w:val="000000"/>
          <w:sz w:val="24"/>
          <w:szCs w:val="24"/>
        </w:rPr>
        <w:t xml:space="preserve">Augšdaugava” </w:t>
      </w:r>
      <w:r w:rsidR="00F25C97" w:rsidRPr="00A07F29">
        <w:rPr>
          <w:rFonts w:ascii="Times New Roman" w:eastAsia="Times New Roman" w:hAnsi="Times New Roman" w:cs="Times New Roman"/>
          <w:iCs/>
          <w:color w:val="000000"/>
          <w:sz w:val="24"/>
          <w:szCs w:val="24"/>
        </w:rPr>
        <w:t>teritorijā</w:t>
      </w:r>
      <w:r w:rsidRPr="00A07F29">
        <w:rPr>
          <w:rFonts w:ascii="Times New Roman" w:eastAsia="Times New Roman" w:hAnsi="Times New Roman" w:cs="Times New Roman"/>
          <w:iCs/>
          <w:color w:val="000000"/>
          <w:sz w:val="24"/>
          <w:szCs w:val="24"/>
        </w:rPr>
        <w:t>, pateicoties biotopu daudzveidībai (meži, kultūrainava, ūdeņu biotopi), sastopamas gandrīz visas Latvijā raksturīgās zīdītājdzīvnieku sugas. Lielie plēsēji</w:t>
      </w:r>
      <w:bookmarkStart w:id="93" w:name="_Hlk39662607"/>
      <w:r w:rsidRPr="00A07F29">
        <w:rPr>
          <w:rFonts w:ascii="Times New Roman" w:eastAsia="Times New Roman" w:hAnsi="Times New Roman" w:cs="Times New Roman"/>
          <w:iCs/>
          <w:color w:val="000000"/>
          <w:sz w:val="24"/>
          <w:szCs w:val="24"/>
        </w:rPr>
        <w:t xml:space="preserve"> – </w:t>
      </w:r>
      <w:bookmarkEnd w:id="93"/>
      <w:r w:rsidRPr="00A07F29">
        <w:rPr>
          <w:rFonts w:ascii="Times New Roman" w:eastAsia="Times New Roman" w:hAnsi="Times New Roman" w:cs="Times New Roman"/>
          <w:iCs/>
          <w:color w:val="000000"/>
          <w:sz w:val="24"/>
          <w:szCs w:val="24"/>
        </w:rPr>
        <w:t>vilki un lūši</w:t>
      </w:r>
      <w:r w:rsidR="00D65BBA" w:rsidRPr="00A07F29">
        <w:rPr>
          <w:rFonts w:ascii="Times New Roman" w:eastAsia="Times New Roman" w:hAnsi="Times New Roman" w:cs="Times New Roman"/>
          <w:iCs/>
          <w:color w:val="000000"/>
          <w:sz w:val="24"/>
          <w:szCs w:val="24"/>
        </w:rPr>
        <w:t xml:space="preserve"> </w:t>
      </w:r>
      <w:r w:rsidRPr="00A07F29">
        <w:rPr>
          <w:rFonts w:ascii="Times New Roman" w:eastAsia="Times New Roman" w:hAnsi="Times New Roman" w:cs="Times New Roman"/>
          <w:iCs/>
          <w:color w:val="000000"/>
          <w:sz w:val="24"/>
          <w:szCs w:val="24"/>
        </w:rPr>
        <w:t>–</w:t>
      </w:r>
      <w:r w:rsidR="00D65BBA" w:rsidRPr="00A07F29">
        <w:rPr>
          <w:rFonts w:ascii="Times New Roman" w:eastAsia="Times New Roman" w:hAnsi="Times New Roman" w:cs="Times New Roman"/>
          <w:iCs/>
          <w:color w:val="000000"/>
          <w:sz w:val="24"/>
          <w:szCs w:val="24"/>
        </w:rPr>
        <w:t xml:space="preserve"> </w:t>
      </w:r>
      <w:r w:rsidR="00CF4B2B" w:rsidRPr="00A07F29">
        <w:rPr>
          <w:rFonts w:ascii="Times New Roman" w:eastAsia="Times New Roman" w:hAnsi="Times New Roman" w:cs="Times New Roman"/>
          <w:iCs/>
          <w:color w:val="000000"/>
          <w:sz w:val="24"/>
          <w:szCs w:val="24"/>
        </w:rPr>
        <w:t>AAA “Augšdaugava”</w:t>
      </w:r>
      <w:r w:rsidR="00D65BBA" w:rsidRPr="00A07F29">
        <w:rPr>
          <w:rFonts w:ascii="Times New Roman" w:eastAsia="Times New Roman" w:hAnsi="Times New Roman" w:cs="Times New Roman"/>
          <w:iCs/>
          <w:color w:val="000000"/>
          <w:sz w:val="24"/>
          <w:szCs w:val="24"/>
        </w:rPr>
        <w:t xml:space="preserve"> </w:t>
      </w:r>
      <w:r w:rsidRPr="00A07F29">
        <w:rPr>
          <w:rFonts w:ascii="Times New Roman" w:eastAsia="Times New Roman" w:hAnsi="Times New Roman" w:cs="Times New Roman"/>
          <w:iCs/>
          <w:color w:val="000000"/>
          <w:sz w:val="24"/>
          <w:szCs w:val="24"/>
        </w:rPr>
        <w:t xml:space="preserve">teritorijā ieklīst, bet neuzturas pastāvīgi, jo </w:t>
      </w:r>
      <w:r w:rsidR="00CF4B2B" w:rsidRPr="00A07F29">
        <w:rPr>
          <w:rFonts w:ascii="Times New Roman" w:eastAsia="Times New Roman" w:hAnsi="Times New Roman" w:cs="Times New Roman"/>
          <w:iCs/>
          <w:color w:val="000000"/>
          <w:sz w:val="24"/>
          <w:szCs w:val="24"/>
        </w:rPr>
        <w:t>AAA “Augšdaugava”</w:t>
      </w:r>
      <w:r w:rsidR="00D65BBA" w:rsidRPr="00A07F29">
        <w:rPr>
          <w:rFonts w:ascii="Times New Roman" w:eastAsia="Times New Roman" w:hAnsi="Times New Roman" w:cs="Times New Roman"/>
          <w:iCs/>
          <w:color w:val="000000"/>
          <w:sz w:val="24"/>
          <w:szCs w:val="24"/>
        </w:rPr>
        <w:t xml:space="preserve"> </w:t>
      </w:r>
      <w:r w:rsidRPr="00A07F29">
        <w:rPr>
          <w:rFonts w:ascii="Times New Roman" w:eastAsia="Times New Roman" w:hAnsi="Times New Roman" w:cs="Times New Roman"/>
          <w:iCs/>
          <w:color w:val="000000"/>
          <w:sz w:val="24"/>
          <w:szCs w:val="24"/>
        </w:rPr>
        <w:t xml:space="preserve">platība veido tikai daļu no dzīvniekiem nepieciešamās apdzīvojamās platības. </w:t>
      </w:r>
    </w:p>
    <w:p w14:paraId="546FC540" w14:textId="14EE5E57" w:rsidR="009072CE" w:rsidRPr="00A07F29" w:rsidRDefault="009072CE" w:rsidP="002E34E2">
      <w:pPr>
        <w:spacing w:after="120" w:line="240" w:lineRule="auto"/>
        <w:ind w:firstLine="720"/>
        <w:jc w:val="both"/>
        <w:rPr>
          <w:rFonts w:ascii="Times New Roman" w:eastAsia="Times New Roman" w:hAnsi="Times New Roman" w:cs="Times New Roman"/>
          <w:iCs/>
          <w:color w:val="000000"/>
          <w:sz w:val="24"/>
          <w:szCs w:val="24"/>
        </w:rPr>
      </w:pPr>
      <w:r w:rsidRPr="00A07F29">
        <w:rPr>
          <w:rFonts w:ascii="Times New Roman" w:eastAsia="Times New Roman" w:hAnsi="Times New Roman" w:cs="Times New Roman"/>
          <w:iCs/>
          <w:color w:val="000000"/>
          <w:sz w:val="24"/>
          <w:szCs w:val="24"/>
        </w:rPr>
        <w:t xml:space="preserve">Daugavā un tās pietekās novērojama intensīva bebru </w:t>
      </w:r>
      <w:proofErr w:type="spellStart"/>
      <w:r w:rsidRPr="00A07F29">
        <w:rPr>
          <w:rFonts w:ascii="Times New Roman" w:eastAsia="Times New Roman" w:hAnsi="Times New Roman" w:cs="Times New Roman"/>
          <w:i/>
          <w:iCs/>
          <w:color w:val="000000"/>
          <w:sz w:val="24"/>
          <w:szCs w:val="24"/>
        </w:rPr>
        <w:t>Castor</w:t>
      </w:r>
      <w:proofErr w:type="spellEnd"/>
      <w:r w:rsidRPr="00A07F29">
        <w:rPr>
          <w:rFonts w:ascii="Times New Roman" w:eastAsia="Times New Roman" w:hAnsi="Times New Roman" w:cs="Times New Roman"/>
          <w:i/>
          <w:iCs/>
          <w:color w:val="000000"/>
          <w:sz w:val="24"/>
          <w:szCs w:val="24"/>
        </w:rPr>
        <w:t xml:space="preserve"> </w:t>
      </w:r>
      <w:proofErr w:type="spellStart"/>
      <w:r w:rsidRPr="00A07F29">
        <w:rPr>
          <w:rFonts w:ascii="Times New Roman" w:eastAsia="Times New Roman" w:hAnsi="Times New Roman" w:cs="Times New Roman"/>
          <w:i/>
          <w:iCs/>
          <w:color w:val="000000"/>
          <w:sz w:val="24"/>
          <w:szCs w:val="24"/>
        </w:rPr>
        <w:t>fiber</w:t>
      </w:r>
      <w:proofErr w:type="spellEnd"/>
      <w:r w:rsidRPr="00A07F29">
        <w:rPr>
          <w:rFonts w:ascii="Times New Roman" w:eastAsia="Times New Roman" w:hAnsi="Times New Roman" w:cs="Times New Roman"/>
          <w:iCs/>
          <w:color w:val="000000"/>
          <w:sz w:val="24"/>
          <w:szCs w:val="24"/>
        </w:rPr>
        <w:t xml:space="preserve"> darbība, kā arī ūdru </w:t>
      </w:r>
      <w:proofErr w:type="spellStart"/>
      <w:r w:rsidRPr="00A07F29">
        <w:rPr>
          <w:rFonts w:ascii="Times New Roman" w:eastAsia="Times New Roman" w:hAnsi="Times New Roman" w:cs="Times New Roman"/>
          <w:i/>
          <w:iCs/>
          <w:color w:val="000000"/>
          <w:sz w:val="24"/>
          <w:szCs w:val="24"/>
        </w:rPr>
        <w:t>Lutra</w:t>
      </w:r>
      <w:proofErr w:type="spellEnd"/>
      <w:r w:rsidRPr="00A07F29">
        <w:rPr>
          <w:rFonts w:ascii="Times New Roman" w:eastAsia="Times New Roman" w:hAnsi="Times New Roman" w:cs="Times New Roman"/>
          <w:i/>
          <w:iCs/>
          <w:color w:val="000000"/>
          <w:sz w:val="24"/>
          <w:szCs w:val="24"/>
        </w:rPr>
        <w:t xml:space="preserve"> </w:t>
      </w:r>
      <w:proofErr w:type="spellStart"/>
      <w:r w:rsidRPr="00A07F29">
        <w:rPr>
          <w:rFonts w:ascii="Times New Roman" w:eastAsia="Times New Roman" w:hAnsi="Times New Roman" w:cs="Times New Roman"/>
          <w:i/>
          <w:iCs/>
          <w:color w:val="000000"/>
          <w:sz w:val="24"/>
          <w:szCs w:val="24"/>
        </w:rPr>
        <w:t>lutra</w:t>
      </w:r>
      <w:proofErr w:type="spellEnd"/>
      <w:r w:rsidRPr="00A07F29">
        <w:rPr>
          <w:rFonts w:ascii="Times New Roman" w:eastAsia="Times New Roman" w:hAnsi="Times New Roman" w:cs="Times New Roman"/>
          <w:iCs/>
          <w:color w:val="000000"/>
          <w:sz w:val="24"/>
          <w:szCs w:val="24"/>
        </w:rPr>
        <w:t xml:space="preserve"> un Amerikas ūdeles </w:t>
      </w:r>
      <w:proofErr w:type="spellStart"/>
      <w:r w:rsidRPr="00A07F29">
        <w:rPr>
          <w:rFonts w:ascii="Times New Roman" w:eastAsia="Times New Roman" w:hAnsi="Times New Roman" w:cs="Times New Roman"/>
          <w:i/>
          <w:iCs/>
          <w:color w:val="000000"/>
          <w:sz w:val="24"/>
          <w:szCs w:val="24"/>
        </w:rPr>
        <w:t>Mustela</w:t>
      </w:r>
      <w:proofErr w:type="spellEnd"/>
      <w:r w:rsidRPr="00A07F29">
        <w:rPr>
          <w:rFonts w:ascii="Times New Roman" w:eastAsia="Times New Roman" w:hAnsi="Times New Roman" w:cs="Times New Roman"/>
          <w:i/>
          <w:iCs/>
          <w:color w:val="000000"/>
          <w:sz w:val="24"/>
          <w:szCs w:val="24"/>
        </w:rPr>
        <w:t xml:space="preserve"> </w:t>
      </w:r>
      <w:proofErr w:type="spellStart"/>
      <w:r w:rsidRPr="00A07F29">
        <w:rPr>
          <w:rFonts w:ascii="Times New Roman" w:eastAsia="Times New Roman" w:hAnsi="Times New Roman" w:cs="Times New Roman"/>
          <w:i/>
          <w:iCs/>
          <w:color w:val="000000"/>
          <w:sz w:val="24"/>
          <w:szCs w:val="24"/>
        </w:rPr>
        <w:t>vison</w:t>
      </w:r>
      <w:proofErr w:type="spellEnd"/>
      <w:r w:rsidRPr="00A07F29">
        <w:rPr>
          <w:rFonts w:ascii="Times New Roman" w:eastAsia="Times New Roman" w:hAnsi="Times New Roman" w:cs="Times New Roman"/>
          <w:i/>
          <w:iCs/>
          <w:color w:val="000000"/>
          <w:sz w:val="24"/>
          <w:szCs w:val="24"/>
        </w:rPr>
        <w:t xml:space="preserve"> </w:t>
      </w:r>
      <w:r w:rsidRPr="00A07F29">
        <w:rPr>
          <w:rFonts w:ascii="Times New Roman" w:eastAsia="Times New Roman" w:hAnsi="Times New Roman" w:cs="Times New Roman"/>
          <w:iCs/>
          <w:color w:val="000000"/>
          <w:sz w:val="24"/>
          <w:szCs w:val="24"/>
        </w:rPr>
        <w:t xml:space="preserve">klātbūtne. Bebru darbībai Daugavā nav būtiskas negatīvas ietekmes, jo mītnes tiek veidotas upes krastos. Bebru veidotie dambji novēroti mazajās pietekās, tomēr nozīmīga negatīva ietekme uz mežaudzēm nav novērota. Barojoties ar Daugavas palienē augošajiem kārkliem u.c. krūmu un koku sugām, bebri daļēji pasargā Daugavas krastu palienes aizaugšanu ar krūmājiem. </w:t>
      </w:r>
    </w:p>
    <w:p w14:paraId="5EEF06E2" w14:textId="77777777" w:rsidR="009072CE" w:rsidRPr="00A07F29" w:rsidRDefault="009072CE" w:rsidP="002E34E2">
      <w:pPr>
        <w:spacing w:after="120" w:line="240" w:lineRule="auto"/>
        <w:ind w:firstLine="720"/>
        <w:jc w:val="both"/>
        <w:rPr>
          <w:rFonts w:ascii="Times New Roman" w:eastAsia="Times New Roman" w:hAnsi="Times New Roman" w:cs="Times New Roman"/>
          <w:iCs/>
          <w:color w:val="000000"/>
          <w:sz w:val="24"/>
          <w:szCs w:val="24"/>
        </w:rPr>
      </w:pPr>
      <w:r w:rsidRPr="00A07F29">
        <w:rPr>
          <w:rFonts w:ascii="Times New Roman" w:eastAsia="Times New Roman" w:hAnsi="Times New Roman" w:cs="Times New Roman"/>
          <w:iCs/>
          <w:color w:val="000000"/>
          <w:sz w:val="24"/>
          <w:szCs w:val="24"/>
        </w:rPr>
        <w:t xml:space="preserve">No kukaiņēdāju sugām teritorijā bieži sastopams kurmis </w:t>
      </w:r>
      <w:proofErr w:type="spellStart"/>
      <w:r w:rsidRPr="00A07F29">
        <w:rPr>
          <w:rFonts w:ascii="Times New Roman" w:eastAsia="Times New Roman" w:hAnsi="Times New Roman" w:cs="Times New Roman"/>
          <w:i/>
          <w:iCs/>
          <w:color w:val="000000"/>
          <w:sz w:val="24"/>
          <w:szCs w:val="24"/>
        </w:rPr>
        <w:t>Talpa</w:t>
      </w:r>
      <w:proofErr w:type="spellEnd"/>
      <w:r w:rsidRPr="00A07F29">
        <w:rPr>
          <w:rFonts w:ascii="Times New Roman" w:eastAsia="Times New Roman" w:hAnsi="Times New Roman" w:cs="Times New Roman"/>
          <w:i/>
          <w:iCs/>
          <w:color w:val="000000"/>
          <w:sz w:val="24"/>
          <w:szCs w:val="24"/>
        </w:rPr>
        <w:t xml:space="preserve"> </w:t>
      </w:r>
      <w:proofErr w:type="spellStart"/>
      <w:r w:rsidRPr="00A07F29">
        <w:rPr>
          <w:rFonts w:ascii="Times New Roman" w:eastAsia="Times New Roman" w:hAnsi="Times New Roman" w:cs="Times New Roman"/>
          <w:i/>
          <w:iCs/>
          <w:color w:val="000000"/>
          <w:sz w:val="24"/>
          <w:szCs w:val="24"/>
        </w:rPr>
        <w:t>europea</w:t>
      </w:r>
      <w:proofErr w:type="spellEnd"/>
      <w:r w:rsidRPr="00A07F29">
        <w:rPr>
          <w:rFonts w:ascii="Times New Roman" w:eastAsia="Times New Roman" w:hAnsi="Times New Roman" w:cs="Times New Roman"/>
          <w:iCs/>
          <w:color w:val="000000"/>
          <w:sz w:val="24"/>
          <w:szCs w:val="24"/>
        </w:rPr>
        <w:t xml:space="preserve">, kā arī meža un atklāto ainavu biotopos sastopams meža cirslis </w:t>
      </w:r>
      <w:proofErr w:type="spellStart"/>
      <w:r w:rsidRPr="00A07F29">
        <w:rPr>
          <w:rFonts w:ascii="Times New Roman" w:eastAsia="Times New Roman" w:hAnsi="Times New Roman" w:cs="Times New Roman"/>
          <w:i/>
          <w:iCs/>
          <w:color w:val="000000"/>
          <w:sz w:val="24"/>
          <w:szCs w:val="24"/>
        </w:rPr>
        <w:t>Sorex</w:t>
      </w:r>
      <w:proofErr w:type="spellEnd"/>
      <w:r w:rsidRPr="00A07F29">
        <w:rPr>
          <w:rFonts w:ascii="Times New Roman" w:eastAsia="Times New Roman" w:hAnsi="Times New Roman" w:cs="Times New Roman"/>
          <w:i/>
          <w:iCs/>
          <w:color w:val="000000"/>
          <w:sz w:val="24"/>
          <w:szCs w:val="24"/>
        </w:rPr>
        <w:t xml:space="preserve"> </w:t>
      </w:r>
      <w:proofErr w:type="spellStart"/>
      <w:r w:rsidRPr="00A07F29">
        <w:rPr>
          <w:rFonts w:ascii="Times New Roman" w:eastAsia="Times New Roman" w:hAnsi="Times New Roman" w:cs="Times New Roman"/>
          <w:i/>
          <w:iCs/>
          <w:color w:val="000000"/>
          <w:sz w:val="24"/>
          <w:szCs w:val="24"/>
        </w:rPr>
        <w:t>araneus</w:t>
      </w:r>
      <w:proofErr w:type="spellEnd"/>
      <w:r w:rsidRPr="00A07F29">
        <w:rPr>
          <w:rFonts w:ascii="Times New Roman" w:eastAsia="Times New Roman" w:hAnsi="Times New Roman" w:cs="Times New Roman"/>
          <w:i/>
          <w:iCs/>
          <w:color w:val="000000"/>
          <w:sz w:val="24"/>
          <w:szCs w:val="24"/>
        </w:rPr>
        <w:t xml:space="preserve"> </w:t>
      </w:r>
      <w:r w:rsidRPr="00A07F29">
        <w:rPr>
          <w:rFonts w:ascii="Times New Roman" w:eastAsia="Times New Roman" w:hAnsi="Times New Roman" w:cs="Times New Roman"/>
          <w:iCs/>
          <w:color w:val="000000"/>
          <w:sz w:val="24"/>
          <w:szCs w:val="24"/>
        </w:rPr>
        <w:t xml:space="preserve">un mazais cirslis </w:t>
      </w:r>
      <w:proofErr w:type="spellStart"/>
      <w:r w:rsidRPr="00A07F29">
        <w:rPr>
          <w:rFonts w:ascii="Times New Roman" w:eastAsia="Times New Roman" w:hAnsi="Times New Roman" w:cs="Times New Roman"/>
          <w:i/>
          <w:iCs/>
          <w:color w:val="000000"/>
          <w:sz w:val="24"/>
          <w:szCs w:val="24"/>
        </w:rPr>
        <w:t>Sorex</w:t>
      </w:r>
      <w:proofErr w:type="spellEnd"/>
      <w:r w:rsidRPr="00A07F29">
        <w:rPr>
          <w:rFonts w:ascii="Times New Roman" w:eastAsia="Times New Roman" w:hAnsi="Times New Roman" w:cs="Times New Roman"/>
          <w:i/>
          <w:iCs/>
          <w:color w:val="000000"/>
          <w:sz w:val="24"/>
          <w:szCs w:val="24"/>
        </w:rPr>
        <w:t xml:space="preserve"> </w:t>
      </w:r>
      <w:proofErr w:type="spellStart"/>
      <w:r w:rsidRPr="00A07F29">
        <w:rPr>
          <w:rFonts w:ascii="Times New Roman" w:eastAsia="Times New Roman" w:hAnsi="Times New Roman" w:cs="Times New Roman"/>
          <w:i/>
          <w:iCs/>
          <w:color w:val="000000"/>
          <w:sz w:val="24"/>
          <w:szCs w:val="24"/>
        </w:rPr>
        <w:t>minutus</w:t>
      </w:r>
      <w:proofErr w:type="spellEnd"/>
      <w:r w:rsidRPr="00A07F29">
        <w:rPr>
          <w:rFonts w:ascii="Times New Roman" w:eastAsia="Times New Roman" w:hAnsi="Times New Roman" w:cs="Times New Roman"/>
          <w:i/>
          <w:iCs/>
          <w:color w:val="000000"/>
          <w:sz w:val="24"/>
          <w:szCs w:val="24"/>
        </w:rPr>
        <w:t xml:space="preserve">. </w:t>
      </w:r>
      <w:r w:rsidRPr="00A07F29">
        <w:rPr>
          <w:rFonts w:ascii="Times New Roman" w:eastAsia="Times New Roman" w:hAnsi="Times New Roman" w:cs="Times New Roman"/>
          <w:iCs/>
          <w:color w:val="000000"/>
          <w:sz w:val="24"/>
          <w:szCs w:val="24"/>
        </w:rPr>
        <w:t xml:space="preserve">Novēroti arī atsevišķi </w:t>
      </w:r>
      <w:proofErr w:type="spellStart"/>
      <w:r w:rsidRPr="00A07F29">
        <w:rPr>
          <w:rFonts w:ascii="Times New Roman" w:eastAsia="Times New Roman" w:hAnsi="Times New Roman" w:cs="Times New Roman"/>
          <w:iCs/>
          <w:color w:val="000000"/>
          <w:sz w:val="24"/>
          <w:szCs w:val="24"/>
        </w:rPr>
        <w:t>baltkrūtainie</w:t>
      </w:r>
      <w:proofErr w:type="spellEnd"/>
      <w:r w:rsidRPr="00A07F29">
        <w:rPr>
          <w:rFonts w:ascii="Times New Roman" w:eastAsia="Times New Roman" w:hAnsi="Times New Roman" w:cs="Times New Roman"/>
          <w:iCs/>
          <w:color w:val="000000"/>
          <w:sz w:val="24"/>
          <w:szCs w:val="24"/>
        </w:rPr>
        <w:t xml:space="preserve"> eži </w:t>
      </w:r>
      <w:proofErr w:type="spellStart"/>
      <w:r w:rsidRPr="00A07F29">
        <w:rPr>
          <w:rFonts w:ascii="Times New Roman" w:eastAsia="Times New Roman" w:hAnsi="Times New Roman" w:cs="Times New Roman"/>
          <w:i/>
          <w:iCs/>
          <w:color w:val="000000"/>
          <w:sz w:val="24"/>
          <w:szCs w:val="24"/>
        </w:rPr>
        <w:t>Erinaceus</w:t>
      </w:r>
      <w:proofErr w:type="spellEnd"/>
      <w:r w:rsidRPr="00A07F29">
        <w:rPr>
          <w:rFonts w:ascii="Times New Roman" w:eastAsia="Times New Roman" w:hAnsi="Times New Roman" w:cs="Times New Roman"/>
          <w:i/>
          <w:iCs/>
          <w:color w:val="000000"/>
          <w:sz w:val="24"/>
          <w:szCs w:val="24"/>
        </w:rPr>
        <w:t xml:space="preserve"> </w:t>
      </w:r>
      <w:proofErr w:type="spellStart"/>
      <w:r w:rsidRPr="00A07F29">
        <w:rPr>
          <w:rFonts w:ascii="Times New Roman" w:eastAsia="Times New Roman" w:hAnsi="Times New Roman" w:cs="Times New Roman"/>
          <w:i/>
          <w:iCs/>
          <w:color w:val="000000"/>
          <w:sz w:val="24"/>
          <w:szCs w:val="24"/>
        </w:rPr>
        <w:t>concolor</w:t>
      </w:r>
      <w:proofErr w:type="spellEnd"/>
      <w:r w:rsidRPr="00A07F29">
        <w:rPr>
          <w:rFonts w:ascii="Times New Roman" w:eastAsia="Times New Roman" w:hAnsi="Times New Roman" w:cs="Times New Roman"/>
          <w:iCs/>
          <w:color w:val="000000"/>
          <w:sz w:val="24"/>
          <w:szCs w:val="24"/>
        </w:rPr>
        <w:t xml:space="preserve">. </w:t>
      </w:r>
    </w:p>
    <w:p w14:paraId="12E7F5C1" w14:textId="4D397ED6" w:rsidR="009072CE" w:rsidRPr="00A07F29" w:rsidRDefault="009072CE" w:rsidP="002E34E2">
      <w:pPr>
        <w:spacing w:after="120" w:line="240" w:lineRule="auto"/>
        <w:ind w:firstLine="720"/>
        <w:jc w:val="both"/>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themeColor="text1"/>
          <w:sz w:val="24"/>
          <w:szCs w:val="24"/>
        </w:rPr>
        <w:t>Viena no plašāk pārstāvētajām zīdītājdzīvnieku grupām teritorijā ir grauzēji. Veicot sīko zīdītājdzīvnieku ķeršanu ar slazdiņiem</w:t>
      </w:r>
      <w:r w:rsidR="00032EE8" w:rsidRPr="00A07F29">
        <w:rPr>
          <w:rFonts w:ascii="Times New Roman" w:eastAsia="Times New Roman" w:hAnsi="Times New Roman" w:cs="Times New Roman"/>
          <w:color w:val="000000" w:themeColor="text1"/>
          <w:sz w:val="24"/>
          <w:szCs w:val="24"/>
        </w:rPr>
        <w:t xml:space="preserve"> DP “Daugavas loki”</w:t>
      </w:r>
      <w:r w:rsidR="394C50C3" w:rsidRPr="00A07F29">
        <w:rPr>
          <w:rFonts w:ascii="Times New Roman" w:eastAsia="Times New Roman" w:hAnsi="Times New Roman" w:cs="Times New Roman"/>
          <w:color w:val="000000" w:themeColor="text1"/>
          <w:sz w:val="24"/>
          <w:szCs w:val="24"/>
        </w:rPr>
        <w:t xml:space="preserve"> </w:t>
      </w:r>
      <w:r w:rsidR="008A05AD" w:rsidRPr="00A07F29">
        <w:rPr>
          <w:rFonts w:ascii="Times New Roman" w:eastAsia="Times New Roman" w:hAnsi="Times New Roman" w:cs="Times New Roman"/>
          <w:color w:val="000000" w:themeColor="text1"/>
          <w:sz w:val="24"/>
          <w:szCs w:val="24"/>
        </w:rPr>
        <w:t>DA</w:t>
      </w:r>
      <w:r w:rsidR="00032EE8" w:rsidRPr="00A07F29">
        <w:rPr>
          <w:rFonts w:ascii="Times New Roman" w:eastAsia="Times New Roman" w:hAnsi="Times New Roman" w:cs="Times New Roman"/>
          <w:color w:val="000000" w:themeColor="text1"/>
          <w:sz w:val="24"/>
          <w:szCs w:val="24"/>
        </w:rPr>
        <w:t xml:space="preserve"> plāna izstrādes ietv</w:t>
      </w:r>
      <w:r w:rsidR="00626C07">
        <w:rPr>
          <w:rFonts w:ascii="Times New Roman" w:eastAsia="Times New Roman" w:hAnsi="Times New Roman" w:cs="Times New Roman"/>
          <w:color w:val="000000" w:themeColor="text1"/>
          <w:sz w:val="24"/>
          <w:szCs w:val="24"/>
        </w:rPr>
        <w:t>a</w:t>
      </w:r>
      <w:r w:rsidR="00032EE8" w:rsidRPr="00A07F29">
        <w:rPr>
          <w:rFonts w:ascii="Times New Roman" w:eastAsia="Times New Roman" w:hAnsi="Times New Roman" w:cs="Times New Roman"/>
          <w:color w:val="000000" w:themeColor="text1"/>
          <w:sz w:val="24"/>
          <w:szCs w:val="24"/>
        </w:rPr>
        <w:t>ros</w:t>
      </w:r>
      <w:r w:rsidRPr="00A07F29">
        <w:rPr>
          <w:rFonts w:ascii="Times New Roman" w:eastAsia="Times New Roman" w:hAnsi="Times New Roman" w:cs="Times New Roman"/>
          <w:color w:val="000000" w:themeColor="text1"/>
          <w:sz w:val="24"/>
          <w:szCs w:val="24"/>
        </w:rPr>
        <w:t xml:space="preserve">, reģistrētas septiņas sīko grauzēju sugas. Atklātā ainavā biežāk sastopama lauku strupaste </w:t>
      </w:r>
      <w:proofErr w:type="spellStart"/>
      <w:r w:rsidRPr="00A07F29">
        <w:rPr>
          <w:rFonts w:ascii="Times New Roman" w:eastAsia="Times New Roman" w:hAnsi="Times New Roman" w:cs="Times New Roman"/>
          <w:i/>
          <w:iCs/>
          <w:color w:val="000000" w:themeColor="text1"/>
          <w:sz w:val="24"/>
          <w:szCs w:val="24"/>
        </w:rPr>
        <w:t>Microtis</w:t>
      </w:r>
      <w:proofErr w:type="spellEnd"/>
      <w:r w:rsidRPr="00A07F29">
        <w:rPr>
          <w:rFonts w:ascii="Times New Roman" w:eastAsia="Times New Roman" w:hAnsi="Times New Roman" w:cs="Times New Roman"/>
          <w:i/>
          <w:iCs/>
          <w:color w:val="000000" w:themeColor="text1"/>
          <w:sz w:val="24"/>
          <w:szCs w:val="24"/>
        </w:rPr>
        <w:t xml:space="preserve"> </w:t>
      </w:r>
      <w:proofErr w:type="spellStart"/>
      <w:r w:rsidRPr="00A07F29">
        <w:rPr>
          <w:rFonts w:ascii="Times New Roman" w:eastAsia="Times New Roman" w:hAnsi="Times New Roman" w:cs="Times New Roman"/>
          <w:i/>
          <w:iCs/>
          <w:color w:val="000000" w:themeColor="text1"/>
          <w:sz w:val="24"/>
          <w:szCs w:val="24"/>
        </w:rPr>
        <w:t>arvalis</w:t>
      </w:r>
      <w:proofErr w:type="spellEnd"/>
      <w:r w:rsidRPr="00A07F29">
        <w:rPr>
          <w:rFonts w:ascii="Times New Roman" w:eastAsia="Times New Roman" w:hAnsi="Times New Roman" w:cs="Times New Roman"/>
          <w:color w:val="000000" w:themeColor="text1"/>
          <w:sz w:val="24"/>
          <w:szCs w:val="24"/>
        </w:rPr>
        <w:t xml:space="preserve"> un svītrainā </w:t>
      </w:r>
      <w:proofErr w:type="spellStart"/>
      <w:r w:rsidRPr="00A07F29">
        <w:rPr>
          <w:rFonts w:ascii="Times New Roman" w:eastAsia="Times New Roman" w:hAnsi="Times New Roman" w:cs="Times New Roman"/>
          <w:color w:val="000000" w:themeColor="text1"/>
          <w:sz w:val="24"/>
          <w:szCs w:val="24"/>
        </w:rPr>
        <w:t>klaidoņpele</w:t>
      </w:r>
      <w:proofErr w:type="spellEnd"/>
      <w:r w:rsidRPr="00A07F29">
        <w:rPr>
          <w:rFonts w:ascii="Times New Roman" w:eastAsia="Times New Roman" w:hAnsi="Times New Roman" w:cs="Times New Roman"/>
          <w:color w:val="000000" w:themeColor="text1"/>
          <w:sz w:val="24"/>
          <w:szCs w:val="24"/>
        </w:rPr>
        <w:t xml:space="preserve"> </w:t>
      </w:r>
      <w:proofErr w:type="spellStart"/>
      <w:r w:rsidRPr="00A07F29">
        <w:rPr>
          <w:rFonts w:ascii="Times New Roman" w:eastAsia="Times New Roman" w:hAnsi="Times New Roman" w:cs="Times New Roman"/>
          <w:i/>
          <w:iCs/>
          <w:color w:val="000000" w:themeColor="text1"/>
          <w:sz w:val="24"/>
          <w:szCs w:val="24"/>
        </w:rPr>
        <w:t>Apodemus</w:t>
      </w:r>
      <w:proofErr w:type="spellEnd"/>
      <w:r w:rsidRPr="00A07F29">
        <w:rPr>
          <w:rFonts w:ascii="Times New Roman" w:eastAsia="Times New Roman" w:hAnsi="Times New Roman" w:cs="Times New Roman"/>
          <w:i/>
          <w:iCs/>
          <w:color w:val="000000" w:themeColor="text1"/>
          <w:sz w:val="24"/>
          <w:szCs w:val="24"/>
        </w:rPr>
        <w:t xml:space="preserve"> </w:t>
      </w:r>
      <w:proofErr w:type="spellStart"/>
      <w:r w:rsidRPr="00A07F29">
        <w:rPr>
          <w:rFonts w:ascii="Times New Roman" w:eastAsia="Times New Roman" w:hAnsi="Times New Roman" w:cs="Times New Roman"/>
          <w:i/>
          <w:iCs/>
          <w:color w:val="000000" w:themeColor="text1"/>
          <w:sz w:val="24"/>
          <w:szCs w:val="24"/>
        </w:rPr>
        <w:t>agrarius</w:t>
      </w:r>
      <w:proofErr w:type="spellEnd"/>
      <w:r w:rsidRPr="00A07F29">
        <w:rPr>
          <w:rFonts w:ascii="Times New Roman" w:eastAsia="Times New Roman" w:hAnsi="Times New Roman" w:cs="Times New Roman"/>
          <w:color w:val="000000" w:themeColor="text1"/>
          <w:sz w:val="24"/>
          <w:szCs w:val="24"/>
        </w:rPr>
        <w:t xml:space="preserve">, retāk tumšā strupaste </w:t>
      </w:r>
      <w:proofErr w:type="spellStart"/>
      <w:r w:rsidRPr="00A07F29">
        <w:rPr>
          <w:rFonts w:ascii="Times New Roman" w:eastAsia="Times New Roman" w:hAnsi="Times New Roman" w:cs="Times New Roman"/>
          <w:i/>
          <w:iCs/>
          <w:color w:val="000000" w:themeColor="text1"/>
          <w:sz w:val="24"/>
          <w:szCs w:val="24"/>
        </w:rPr>
        <w:t>Microtus</w:t>
      </w:r>
      <w:proofErr w:type="spellEnd"/>
      <w:r w:rsidRPr="00A07F29">
        <w:rPr>
          <w:rFonts w:ascii="Times New Roman" w:eastAsia="Times New Roman" w:hAnsi="Times New Roman" w:cs="Times New Roman"/>
          <w:i/>
          <w:iCs/>
          <w:color w:val="000000" w:themeColor="text1"/>
          <w:sz w:val="24"/>
          <w:szCs w:val="24"/>
        </w:rPr>
        <w:t xml:space="preserve"> </w:t>
      </w:r>
      <w:proofErr w:type="spellStart"/>
      <w:r w:rsidRPr="00A07F29">
        <w:rPr>
          <w:rFonts w:ascii="Times New Roman" w:eastAsia="Times New Roman" w:hAnsi="Times New Roman" w:cs="Times New Roman"/>
          <w:i/>
          <w:iCs/>
          <w:color w:val="000000" w:themeColor="text1"/>
          <w:sz w:val="24"/>
          <w:szCs w:val="24"/>
        </w:rPr>
        <w:t>agrestis</w:t>
      </w:r>
      <w:proofErr w:type="spellEnd"/>
      <w:r w:rsidRPr="00A07F29">
        <w:rPr>
          <w:rFonts w:ascii="Times New Roman" w:eastAsia="Times New Roman" w:hAnsi="Times New Roman" w:cs="Times New Roman"/>
          <w:color w:val="000000" w:themeColor="text1"/>
          <w:sz w:val="24"/>
          <w:szCs w:val="24"/>
        </w:rPr>
        <w:t xml:space="preserve">, </w:t>
      </w:r>
      <w:proofErr w:type="spellStart"/>
      <w:r w:rsidRPr="00A07F29">
        <w:rPr>
          <w:rFonts w:ascii="Times New Roman" w:eastAsia="Times New Roman" w:hAnsi="Times New Roman" w:cs="Times New Roman"/>
          <w:color w:val="000000" w:themeColor="text1"/>
          <w:sz w:val="24"/>
          <w:szCs w:val="24"/>
        </w:rPr>
        <w:t>dzeltenkakla</w:t>
      </w:r>
      <w:proofErr w:type="spellEnd"/>
      <w:r w:rsidRPr="00A07F29">
        <w:rPr>
          <w:rFonts w:ascii="Times New Roman" w:eastAsia="Times New Roman" w:hAnsi="Times New Roman" w:cs="Times New Roman"/>
          <w:color w:val="000000" w:themeColor="text1"/>
          <w:sz w:val="24"/>
          <w:szCs w:val="24"/>
        </w:rPr>
        <w:t xml:space="preserve"> </w:t>
      </w:r>
      <w:proofErr w:type="spellStart"/>
      <w:r w:rsidRPr="00A07F29">
        <w:rPr>
          <w:rFonts w:ascii="Times New Roman" w:eastAsia="Times New Roman" w:hAnsi="Times New Roman" w:cs="Times New Roman"/>
          <w:color w:val="000000" w:themeColor="text1"/>
          <w:sz w:val="24"/>
          <w:szCs w:val="24"/>
        </w:rPr>
        <w:t>klaidoņpele</w:t>
      </w:r>
      <w:proofErr w:type="spellEnd"/>
      <w:r w:rsidRPr="00A07F29">
        <w:rPr>
          <w:rFonts w:ascii="Times New Roman" w:eastAsia="Times New Roman" w:hAnsi="Times New Roman" w:cs="Times New Roman"/>
          <w:color w:val="000000" w:themeColor="text1"/>
          <w:sz w:val="24"/>
          <w:szCs w:val="24"/>
        </w:rPr>
        <w:t xml:space="preserve"> </w:t>
      </w:r>
      <w:proofErr w:type="spellStart"/>
      <w:r w:rsidRPr="00A07F29">
        <w:rPr>
          <w:rFonts w:ascii="Times New Roman" w:eastAsia="Times New Roman" w:hAnsi="Times New Roman" w:cs="Times New Roman"/>
          <w:i/>
          <w:iCs/>
          <w:color w:val="000000" w:themeColor="text1"/>
          <w:sz w:val="24"/>
          <w:szCs w:val="24"/>
        </w:rPr>
        <w:t>Apodemus</w:t>
      </w:r>
      <w:proofErr w:type="spellEnd"/>
      <w:r w:rsidRPr="00A07F29">
        <w:rPr>
          <w:rFonts w:ascii="Times New Roman" w:eastAsia="Times New Roman" w:hAnsi="Times New Roman" w:cs="Times New Roman"/>
          <w:i/>
          <w:iCs/>
          <w:color w:val="000000" w:themeColor="text1"/>
          <w:sz w:val="24"/>
          <w:szCs w:val="24"/>
        </w:rPr>
        <w:t xml:space="preserve"> </w:t>
      </w:r>
      <w:proofErr w:type="spellStart"/>
      <w:r w:rsidRPr="00A07F29">
        <w:rPr>
          <w:rFonts w:ascii="Times New Roman" w:eastAsia="Times New Roman" w:hAnsi="Times New Roman" w:cs="Times New Roman"/>
          <w:i/>
          <w:iCs/>
          <w:color w:val="000000" w:themeColor="text1"/>
          <w:sz w:val="24"/>
          <w:szCs w:val="24"/>
        </w:rPr>
        <w:t>flavicollis</w:t>
      </w:r>
      <w:proofErr w:type="spellEnd"/>
      <w:r w:rsidRPr="00A07F29">
        <w:rPr>
          <w:rFonts w:ascii="Times New Roman" w:eastAsia="Times New Roman" w:hAnsi="Times New Roman" w:cs="Times New Roman"/>
          <w:i/>
          <w:iCs/>
          <w:color w:val="000000" w:themeColor="text1"/>
          <w:sz w:val="24"/>
          <w:szCs w:val="24"/>
        </w:rPr>
        <w:t xml:space="preserve">, </w:t>
      </w:r>
      <w:r w:rsidRPr="00A07F29">
        <w:rPr>
          <w:rFonts w:ascii="Times New Roman" w:eastAsia="Times New Roman" w:hAnsi="Times New Roman" w:cs="Times New Roman"/>
          <w:color w:val="000000" w:themeColor="text1"/>
          <w:sz w:val="24"/>
          <w:szCs w:val="24"/>
        </w:rPr>
        <w:t xml:space="preserve">kā arī pundurpele </w:t>
      </w:r>
      <w:proofErr w:type="spellStart"/>
      <w:r w:rsidRPr="00A07F29">
        <w:rPr>
          <w:rFonts w:ascii="Times New Roman" w:eastAsia="Times New Roman" w:hAnsi="Times New Roman" w:cs="Times New Roman"/>
          <w:i/>
          <w:iCs/>
          <w:color w:val="000000" w:themeColor="text1"/>
          <w:sz w:val="24"/>
          <w:szCs w:val="24"/>
        </w:rPr>
        <w:t>Micromys</w:t>
      </w:r>
      <w:proofErr w:type="spellEnd"/>
      <w:r w:rsidRPr="00A07F29">
        <w:rPr>
          <w:rFonts w:ascii="Times New Roman" w:eastAsia="Times New Roman" w:hAnsi="Times New Roman" w:cs="Times New Roman"/>
          <w:i/>
          <w:iCs/>
          <w:color w:val="000000" w:themeColor="text1"/>
          <w:sz w:val="24"/>
          <w:szCs w:val="24"/>
        </w:rPr>
        <w:t xml:space="preserve"> </w:t>
      </w:r>
      <w:proofErr w:type="spellStart"/>
      <w:r w:rsidRPr="00A07F29">
        <w:rPr>
          <w:rFonts w:ascii="Times New Roman" w:eastAsia="Times New Roman" w:hAnsi="Times New Roman" w:cs="Times New Roman"/>
          <w:i/>
          <w:iCs/>
          <w:color w:val="000000" w:themeColor="text1"/>
          <w:sz w:val="24"/>
          <w:szCs w:val="24"/>
        </w:rPr>
        <w:t>minutus</w:t>
      </w:r>
      <w:proofErr w:type="spellEnd"/>
      <w:r w:rsidRPr="00A07F29">
        <w:rPr>
          <w:rFonts w:ascii="Times New Roman" w:eastAsia="Times New Roman" w:hAnsi="Times New Roman" w:cs="Times New Roman"/>
          <w:color w:val="000000" w:themeColor="text1"/>
          <w:sz w:val="24"/>
          <w:szCs w:val="24"/>
        </w:rPr>
        <w:t xml:space="preserve">. Meža biotopos novērotas meža strupastes </w:t>
      </w:r>
      <w:proofErr w:type="spellStart"/>
      <w:r w:rsidRPr="00A07F29">
        <w:rPr>
          <w:rFonts w:ascii="Times New Roman" w:eastAsia="Times New Roman" w:hAnsi="Times New Roman" w:cs="Times New Roman"/>
          <w:i/>
          <w:iCs/>
          <w:color w:val="000000" w:themeColor="text1"/>
          <w:sz w:val="24"/>
          <w:szCs w:val="24"/>
        </w:rPr>
        <w:t>Clethrionomys</w:t>
      </w:r>
      <w:proofErr w:type="spellEnd"/>
      <w:r w:rsidRPr="00A07F29">
        <w:rPr>
          <w:rFonts w:ascii="Times New Roman" w:eastAsia="Times New Roman" w:hAnsi="Times New Roman" w:cs="Times New Roman"/>
          <w:i/>
          <w:iCs/>
          <w:color w:val="000000" w:themeColor="text1"/>
          <w:sz w:val="24"/>
          <w:szCs w:val="24"/>
        </w:rPr>
        <w:t xml:space="preserve"> </w:t>
      </w:r>
      <w:proofErr w:type="spellStart"/>
      <w:r w:rsidRPr="00A07F29">
        <w:rPr>
          <w:rFonts w:ascii="Times New Roman" w:eastAsia="Times New Roman" w:hAnsi="Times New Roman" w:cs="Times New Roman"/>
          <w:i/>
          <w:iCs/>
          <w:color w:val="000000" w:themeColor="text1"/>
          <w:sz w:val="24"/>
          <w:szCs w:val="24"/>
        </w:rPr>
        <w:t>glareolus</w:t>
      </w:r>
      <w:proofErr w:type="spellEnd"/>
      <w:r w:rsidRPr="00A07F29">
        <w:rPr>
          <w:rFonts w:ascii="Times New Roman" w:eastAsia="Times New Roman" w:hAnsi="Times New Roman" w:cs="Times New Roman"/>
          <w:color w:val="000000" w:themeColor="text1"/>
          <w:sz w:val="24"/>
          <w:szCs w:val="24"/>
        </w:rPr>
        <w:t xml:space="preserve"> un </w:t>
      </w:r>
      <w:proofErr w:type="spellStart"/>
      <w:r w:rsidRPr="00A07F29">
        <w:rPr>
          <w:rFonts w:ascii="Times New Roman" w:eastAsia="Times New Roman" w:hAnsi="Times New Roman" w:cs="Times New Roman"/>
          <w:color w:val="000000" w:themeColor="text1"/>
          <w:sz w:val="24"/>
          <w:szCs w:val="24"/>
        </w:rPr>
        <w:t>dzeltenkakla</w:t>
      </w:r>
      <w:proofErr w:type="spellEnd"/>
      <w:r w:rsidRPr="00A07F29">
        <w:rPr>
          <w:rFonts w:ascii="Times New Roman" w:eastAsia="Times New Roman" w:hAnsi="Times New Roman" w:cs="Times New Roman"/>
          <w:color w:val="000000" w:themeColor="text1"/>
          <w:sz w:val="24"/>
          <w:szCs w:val="24"/>
        </w:rPr>
        <w:t xml:space="preserve"> </w:t>
      </w:r>
      <w:proofErr w:type="spellStart"/>
      <w:r w:rsidRPr="00A07F29">
        <w:rPr>
          <w:rFonts w:ascii="Times New Roman" w:eastAsia="Times New Roman" w:hAnsi="Times New Roman" w:cs="Times New Roman"/>
          <w:color w:val="000000" w:themeColor="text1"/>
          <w:sz w:val="24"/>
          <w:szCs w:val="24"/>
        </w:rPr>
        <w:t>klaidoņpeles</w:t>
      </w:r>
      <w:proofErr w:type="spellEnd"/>
      <w:r w:rsidRPr="00A07F29">
        <w:rPr>
          <w:rFonts w:ascii="Times New Roman" w:eastAsia="Times New Roman" w:hAnsi="Times New Roman" w:cs="Times New Roman"/>
          <w:color w:val="000000" w:themeColor="text1"/>
          <w:sz w:val="24"/>
          <w:szCs w:val="24"/>
        </w:rPr>
        <w:t xml:space="preserve">. Meža biotopos novērotas arī vāveru </w:t>
      </w:r>
      <w:proofErr w:type="spellStart"/>
      <w:r w:rsidRPr="00A07F29">
        <w:rPr>
          <w:rFonts w:ascii="Times New Roman" w:eastAsia="Times New Roman" w:hAnsi="Times New Roman" w:cs="Times New Roman"/>
          <w:i/>
          <w:iCs/>
          <w:color w:val="000000" w:themeColor="text1"/>
          <w:sz w:val="24"/>
          <w:szCs w:val="24"/>
        </w:rPr>
        <w:t>Sciurus</w:t>
      </w:r>
      <w:proofErr w:type="spellEnd"/>
      <w:r w:rsidRPr="00A07F29">
        <w:rPr>
          <w:rFonts w:ascii="Times New Roman" w:eastAsia="Times New Roman" w:hAnsi="Times New Roman" w:cs="Times New Roman"/>
          <w:i/>
          <w:iCs/>
          <w:color w:val="000000" w:themeColor="text1"/>
          <w:sz w:val="24"/>
          <w:szCs w:val="24"/>
        </w:rPr>
        <w:t xml:space="preserve"> </w:t>
      </w:r>
      <w:proofErr w:type="spellStart"/>
      <w:r w:rsidRPr="00A07F29">
        <w:rPr>
          <w:rFonts w:ascii="Times New Roman" w:eastAsia="Times New Roman" w:hAnsi="Times New Roman" w:cs="Times New Roman"/>
          <w:i/>
          <w:iCs/>
          <w:color w:val="000000" w:themeColor="text1"/>
          <w:sz w:val="24"/>
          <w:szCs w:val="24"/>
        </w:rPr>
        <w:t>vulgaris</w:t>
      </w:r>
      <w:proofErr w:type="spellEnd"/>
      <w:r w:rsidRPr="00A07F29">
        <w:rPr>
          <w:rFonts w:ascii="Times New Roman" w:eastAsia="Times New Roman" w:hAnsi="Times New Roman" w:cs="Times New Roman"/>
          <w:i/>
          <w:iCs/>
          <w:color w:val="000000" w:themeColor="text1"/>
          <w:sz w:val="24"/>
          <w:szCs w:val="24"/>
        </w:rPr>
        <w:t xml:space="preserve"> </w:t>
      </w:r>
      <w:r w:rsidRPr="00A07F29">
        <w:rPr>
          <w:rFonts w:ascii="Times New Roman" w:eastAsia="Times New Roman" w:hAnsi="Times New Roman" w:cs="Times New Roman"/>
          <w:color w:val="000000" w:themeColor="text1"/>
          <w:sz w:val="24"/>
          <w:szCs w:val="24"/>
        </w:rPr>
        <w:t xml:space="preserve">darbības pēdas. </w:t>
      </w:r>
    </w:p>
    <w:p w14:paraId="6C85A38C" w14:textId="376FC168" w:rsidR="001F0A1A" w:rsidRPr="00A07F29" w:rsidRDefault="001F0A1A" w:rsidP="002E34E2">
      <w:pPr>
        <w:spacing w:after="120" w:line="240" w:lineRule="auto"/>
        <w:ind w:firstLine="720"/>
        <w:jc w:val="both"/>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themeColor="text1"/>
          <w:sz w:val="24"/>
          <w:szCs w:val="24"/>
        </w:rPr>
        <w:t xml:space="preserve">Informācija par ūdra </w:t>
      </w:r>
      <w:proofErr w:type="spellStart"/>
      <w:r w:rsidRPr="00A07F29">
        <w:rPr>
          <w:rFonts w:ascii="Times New Roman" w:eastAsia="Times New Roman" w:hAnsi="Times New Roman" w:cs="Times New Roman"/>
          <w:i/>
          <w:iCs/>
          <w:color w:val="000000" w:themeColor="text1"/>
          <w:sz w:val="24"/>
          <w:szCs w:val="24"/>
        </w:rPr>
        <w:t>Lutra</w:t>
      </w:r>
      <w:proofErr w:type="spellEnd"/>
      <w:r w:rsidRPr="00A07F29">
        <w:rPr>
          <w:rFonts w:ascii="Times New Roman" w:eastAsia="Times New Roman" w:hAnsi="Times New Roman" w:cs="Times New Roman"/>
          <w:i/>
          <w:iCs/>
          <w:color w:val="000000" w:themeColor="text1"/>
          <w:sz w:val="24"/>
          <w:szCs w:val="24"/>
        </w:rPr>
        <w:t xml:space="preserve"> </w:t>
      </w:r>
      <w:proofErr w:type="spellStart"/>
      <w:r w:rsidRPr="00A07F29">
        <w:rPr>
          <w:rFonts w:ascii="Times New Roman" w:eastAsia="Times New Roman" w:hAnsi="Times New Roman" w:cs="Times New Roman"/>
          <w:i/>
          <w:iCs/>
          <w:color w:val="000000" w:themeColor="text1"/>
          <w:sz w:val="24"/>
          <w:szCs w:val="24"/>
        </w:rPr>
        <w:t>lutra</w:t>
      </w:r>
      <w:proofErr w:type="spellEnd"/>
      <w:r w:rsidRPr="00A07F29">
        <w:rPr>
          <w:rFonts w:ascii="Times New Roman" w:eastAsia="Times New Roman" w:hAnsi="Times New Roman" w:cs="Times New Roman"/>
          <w:color w:val="000000" w:themeColor="text1"/>
          <w:sz w:val="24"/>
          <w:szCs w:val="24"/>
        </w:rPr>
        <w:t xml:space="preserve"> sastopamību AAA “Augšdaugava”</w:t>
      </w:r>
      <w:r w:rsidR="0C55C8B6" w:rsidRPr="00A07F29">
        <w:rPr>
          <w:rFonts w:ascii="Times New Roman" w:eastAsia="Times New Roman" w:hAnsi="Times New Roman" w:cs="Times New Roman"/>
          <w:color w:val="000000" w:themeColor="text1"/>
          <w:sz w:val="24"/>
          <w:szCs w:val="24"/>
        </w:rPr>
        <w:t xml:space="preserve"> </w:t>
      </w:r>
      <w:r w:rsidRPr="00A07F29">
        <w:rPr>
          <w:rFonts w:ascii="Times New Roman" w:eastAsia="Times New Roman" w:hAnsi="Times New Roman" w:cs="Times New Roman"/>
          <w:color w:val="000000" w:themeColor="text1"/>
          <w:sz w:val="24"/>
          <w:szCs w:val="24"/>
        </w:rPr>
        <w:t>pieejama šīs sugas 2014.</w:t>
      </w:r>
      <w:r w:rsidR="00C622FA">
        <w:rPr>
          <w:rFonts w:ascii="Times New Roman" w:eastAsia="Times New Roman" w:hAnsi="Times New Roman" w:cs="Times New Roman"/>
          <w:color w:val="000000" w:themeColor="text1"/>
          <w:sz w:val="24"/>
          <w:szCs w:val="24"/>
        </w:rPr>
        <w:t> – </w:t>
      </w:r>
      <w:r w:rsidRPr="00A07F29">
        <w:rPr>
          <w:rFonts w:ascii="Times New Roman" w:eastAsia="Times New Roman" w:hAnsi="Times New Roman" w:cs="Times New Roman"/>
          <w:color w:val="000000" w:themeColor="text1"/>
          <w:sz w:val="24"/>
          <w:szCs w:val="24"/>
        </w:rPr>
        <w:t>2017.</w:t>
      </w:r>
      <w:r w:rsidR="00C622FA">
        <w:rPr>
          <w:rFonts w:ascii="Times New Roman" w:eastAsia="Times New Roman" w:hAnsi="Times New Roman" w:cs="Times New Roman"/>
          <w:color w:val="000000" w:themeColor="text1"/>
          <w:sz w:val="24"/>
          <w:szCs w:val="24"/>
        </w:rPr>
        <w:t> </w:t>
      </w:r>
      <w:r w:rsidRPr="00A07F29">
        <w:rPr>
          <w:rFonts w:ascii="Times New Roman" w:eastAsia="Times New Roman" w:hAnsi="Times New Roman" w:cs="Times New Roman"/>
          <w:color w:val="000000" w:themeColor="text1"/>
          <w:sz w:val="24"/>
          <w:szCs w:val="24"/>
        </w:rPr>
        <w:t xml:space="preserve">gada monitoringa atskaitēs. Ūdra monitoringu </w:t>
      </w:r>
      <w:proofErr w:type="spellStart"/>
      <w:r w:rsidRPr="00A07F29">
        <w:rPr>
          <w:rFonts w:ascii="Times New Roman" w:eastAsia="Times New Roman" w:hAnsi="Times New Roman" w:cs="Times New Roman"/>
          <w:i/>
          <w:color w:val="000000" w:themeColor="text1"/>
          <w:sz w:val="24"/>
          <w:szCs w:val="24"/>
        </w:rPr>
        <w:t>Natura</w:t>
      </w:r>
      <w:proofErr w:type="spellEnd"/>
      <w:r w:rsidRPr="00A07F29">
        <w:rPr>
          <w:rFonts w:ascii="Times New Roman" w:eastAsia="Times New Roman" w:hAnsi="Times New Roman" w:cs="Times New Roman"/>
          <w:i/>
          <w:color w:val="000000" w:themeColor="text1"/>
          <w:sz w:val="24"/>
          <w:szCs w:val="24"/>
        </w:rPr>
        <w:t xml:space="preserve"> 2000</w:t>
      </w:r>
      <w:r w:rsidRPr="00A07F29">
        <w:rPr>
          <w:rFonts w:ascii="Times New Roman" w:eastAsia="Times New Roman" w:hAnsi="Times New Roman" w:cs="Times New Roman"/>
          <w:color w:val="000000" w:themeColor="text1"/>
          <w:sz w:val="24"/>
          <w:szCs w:val="24"/>
        </w:rPr>
        <w:t xml:space="preserve"> vietās šajos gados veica L</w:t>
      </w:r>
      <w:r w:rsidR="00C25036">
        <w:rPr>
          <w:rFonts w:ascii="Times New Roman" w:eastAsia="Times New Roman" w:hAnsi="Times New Roman" w:cs="Times New Roman"/>
          <w:color w:val="000000" w:themeColor="text1"/>
          <w:sz w:val="24"/>
          <w:szCs w:val="24"/>
        </w:rPr>
        <w:t>VMI</w:t>
      </w:r>
      <w:r w:rsidRPr="00A07F29">
        <w:rPr>
          <w:rFonts w:ascii="Times New Roman" w:eastAsia="Times New Roman" w:hAnsi="Times New Roman" w:cs="Times New Roman"/>
          <w:color w:val="000000" w:themeColor="text1"/>
          <w:sz w:val="24"/>
          <w:szCs w:val="24"/>
        </w:rPr>
        <w:t xml:space="preserve"> “Silava” pētnieka Aivara </w:t>
      </w:r>
      <w:proofErr w:type="spellStart"/>
      <w:r w:rsidRPr="00A07F29">
        <w:rPr>
          <w:rFonts w:ascii="Times New Roman" w:eastAsia="Times New Roman" w:hAnsi="Times New Roman" w:cs="Times New Roman"/>
          <w:color w:val="000000" w:themeColor="text1"/>
          <w:sz w:val="24"/>
          <w:szCs w:val="24"/>
        </w:rPr>
        <w:t>Ornicāna</w:t>
      </w:r>
      <w:proofErr w:type="spellEnd"/>
      <w:r w:rsidRPr="00A07F29">
        <w:rPr>
          <w:rFonts w:ascii="Times New Roman" w:eastAsia="Times New Roman" w:hAnsi="Times New Roman" w:cs="Times New Roman"/>
          <w:color w:val="000000" w:themeColor="text1"/>
          <w:sz w:val="24"/>
          <w:szCs w:val="24"/>
        </w:rPr>
        <w:t xml:space="preserve"> vadībā. AAA </w:t>
      </w:r>
      <w:r w:rsidR="00F25C97" w:rsidRPr="00A07F29">
        <w:rPr>
          <w:rFonts w:ascii="Times New Roman" w:eastAsia="Times New Roman" w:hAnsi="Times New Roman" w:cs="Times New Roman"/>
          <w:color w:val="000000" w:themeColor="text1"/>
          <w:sz w:val="24"/>
          <w:szCs w:val="24"/>
        </w:rPr>
        <w:t>“</w:t>
      </w:r>
      <w:r w:rsidRPr="00A07F29">
        <w:rPr>
          <w:rFonts w:ascii="Times New Roman" w:eastAsia="Times New Roman" w:hAnsi="Times New Roman" w:cs="Times New Roman"/>
          <w:color w:val="000000" w:themeColor="text1"/>
          <w:sz w:val="24"/>
          <w:szCs w:val="24"/>
        </w:rPr>
        <w:t>Augšdaugava</w:t>
      </w:r>
      <w:r w:rsidR="00F25C97" w:rsidRPr="00A07F29">
        <w:rPr>
          <w:rFonts w:ascii="Times New Roman" w:eastAsia="Times New Roman" w:hAnsi="Times New Roman" w:cs="Times New Roman"/>
          <w:color w:val="000000" w:themeColor="text1"/>
          <w:sz w:val="24"/>
          <w:szCs w:val="24"/>
        </w:rPr>
        <w:t>”</w:t>
      </w:r>
      <w:r w:rsidRPr="00A07F29">
        <w:rPr>
          <w:rFonts w:ascii="Times New Roman" w:eastAsia="Times New Roman" w:hAnsi="Times New Roman" w:cs="Times New Roman"/>
          <w:color w:val="000000" w:themeColor="text1"/>
          <w:sz w:val="24"/>
          <w:szCs w:val="24"/>
        </w:rPr>
        <w:t xml:space="preserve"> teritorijā ūdra klātbūtne tika pārbaudīta</w:t>
      </w:r>
      <w:r w:rsidR="00032EE8" w:rsidRPr="00A07F29">
        <w:rPr>
          <w:rFonts w:ascii="Times New Roman" w:eastAsia="Times New Roman" w:hAnsi="Times New Roman" w:cs="Times New Roman"/>
          <w:color w:val="000000" w:themeColor="text1"/>
          <w:sz w:val="24"/>
          <w:szCs w:val="24"/>
        </w:rPr>
        <w:t xml:space="preserve"> </w:t>
      </w:r>
      <w:r w:rsidRPr="00A07F29">
        <w:rPr>
          <w:rFonts w:ascii="Times New Roman" w:eastAsia="Times New Roman" w:hAnsi="Times New Roman" w:cs="Times New Roman"/>
          <w:color w:val="000000" w:themeColor="text1"/>
          <w:sz w:val="24"/>
          <w:szCs w:val="24"/>
        </w:rPr>
        <w:t>2014. un 2015.</w:t>
      </w:r>
      <w:r w:rsidR="0095649E">
        <w:rPr>
          <w:rFonts w:ascii="Times New Roman" w:eastAsia="Times New Roman" w:hAnsi="Times New Roman" w:cs="Times New Roman"/>
          <w:color w:val="000000" w:themeColor="text1"/>
          <w:sz w:val="24"/>
          <w:szCs w:val="24"/>
        </w:rPr>
        <w:t> </w:t>
      </w:r>
      <w:r w:rsidRPr="00A07F29">
        <w:rPr>
          <w:rFonts w:ascii="Times New Roman" w:eastAsia="Times New Roman" w:hAnsi="Times New Roman" w:cs="Times New Roman"/>
          <w:color w:val="000000" w:themeColor="text1"/>
          <w:sz w:val="24"/>
          <w:szCs w:val="24"/>
        </w:rPr>
        <w:t>gadā 26 vietās</w:t>
      </w:r>
      <w:r w:rsidR="006750C2" w:rsidRPr="00A07F29">
        <w:rPr>
          <w:rFonts w:ascii="Times New Roman" w:eastAsia="Times New Roman" w:hAnsi="Times New Roman" w:cs="Times New Roman"/>
          <w:color w:val="000000" w:themeColor="text1"/>
          <w:sz w:val="24"/>
          <w:szCs w:val="24"/>
        </w:rPr>
        <w:t>,</w:t>
      </w:r>
      <w:r w:rsidRPr="00A07F29">
        <w:rPr>
          <w:rFonts w:ascii="Times New Roman" w:eastAsia="Times New Roman" w:hAnsi="Times New Roman" w:cs="Times New Roman"/>
          <w:color w:val="000000" w:themeColor="text1"/>
          <w:sz w:val="24"/>
          <w:szCs w:val="24"/>
        </w:rPr>
        <w:t xml:space="preserve"> un tikai trijās no tām tie netika konstatēti. Pēc ekspertu vērtējuma</w:t>
      </w:r>
      <w:r w:rsidR="00332008">
        <w:rPr>
          <w:rFonts w:ascii="Times New Roman" w:eastAsia="Times New Roman" w:hAnsi="Times New Roman" w:cs="Times New Roman"/>
          <w:color w:val="000000" w:themeColor="text1"/>
          <w:sz w:val="24"/>
          <w:szCs w:val="24"/>
        </w:rPr>
        <w:t>,</w:t>
      </w:r>
      <w:r w:rsidRPr="00A07F29">
        <w:rPr>
          <w:rFonts w:ascii="Times New Roman" w:eastAsia="Times New Roman" w:hAnsi="Times New Roman" w:cs="Times New Roman"/>
          <w:color w:val="000000" w:themeColor="text1"/>
          <w:sz w:val="24"/>
          <w:szCs w:val="24"/>
        </w:rPr>
        <w:t xml:space="preserve"> </w:t>
      </w:r>
      <w:r w:rsidR="00F25C97" w:rsidRPr="00A07F29">
        <w:rPr>
          <w:rFonts w:ascii="Times New Roman" w:eastAsia="Times New Roman" w:hAnsi="Times New Roman" w:cs="Times New Roman"/>
          <w:color w:val="000000" w:themeColor="text1"/>
          <w:sz w:val="24"/>
          <w:szCs w:val="24"/>
        </w:rPr>
        <w:t>atbil</w:t>
      </w:r>
      <w:r w:rsidR="005A276F">
        <w:rPr>
          <w:rFonts w:ascii="Times New Roman" w:eastAsia="Times New Roman" w:hAnsi="Times New Roman" w:cs="Times New Roman"/>
          <w:color w:val="000000" w:themeColor="text1"/>
          <w:sz w:val="24"/>
          <w:szCs w:val="24"/>
        </w:rPr>
        <w:t>st</w:t>
      </w:r>
      <w:r w:rsidR="00F25C97" w:rsidRPr="00A07F29">
        <w:rPr>
          <w:rFonts w:ascii="Times New Roman" w:eastAsia="Times New Roman" w:hAnsi="Times New Roman" w:cs="Times New Roman"/>
          <w:color w:val="000000" w:themeColor="text1"/>
          <w:sz w:val="24"/>
          <w:szCs w:val="24"/>
        </w:rPr>
        <w:t>oši monitoringa rezultā</w:t>
      </w:r>
      <w:r w:rsidR="005A276F">
        <w:rPr>
          <w:rFonts w:ascii="Times New Roman" w:eastAsia="Times New Roman" w:hAnsi="Times New Roman" w:cs="Times New Roman"/>
          <w:color w:val="000000" w:themeColor="text1"/>
          <w:sz w:val="24"/>
          <w:szCs w:val="24"/>
        </w:rPr>
        <w:t>t</w:t>
      </w:r>
      <w:r w:rsidR="00F25C97" w:rsidRPr="00A07F29">
        <w:rPr>
          <w:rFonts w:ascii="Times New Roman" w:eastAsia="Times New Roman" w:hAnsi="Times New Roman" w:cs="Times New Roman"/>
          <w:color w:val="000000" w:themeColor="text1"/>
          <w:sz w:val="24"/>
          <w:szCs w:val="24"/>
        </w:rPr>
        <w:t>iem</w:t>
      </w:r>
      <w:r w:rsidR="00332008">
        <w:rPr>
          <w:rFonts w:ascii="Times New Roman" w:eastAsia="Times New Roman" w:hAnsi="Times New Roman" w:cs="Times New Roman"/>
          <w:color w:val="000000" w:themeColor="text1"/>
          <w:sz w:val="24"/>
          <w:szCs w:val="24"/>
        </w:rPr>
        <w:t>,</w:t>
      </w:r>
      <w:r w:rsidR="00F25C97" w:rsidRPr="00A07F29">
        <w:rPr>
          <w:rFonts w:ascii="Times New Roman" w:eastAsia="Times New Roman" w:hAnsi="Times New Roman" w:cs="Times New Roman"/>
          <w:color w:val="000000" w:themeColor="text1"/>
          <w:sz w:val="24"/>
          <w:szCs w:val="24"/>
        </w:rPr>
        <w:t xml:space="preserve"> </w:t>
      </w:r>
      <w:r w:rsidRPr="00A07F29">
        <w:rPr>
          <w:rFonts w:ascii="Times New Roman" w:eastAsia="Times New Roman" w:hAnsi="Times New Roman" w:cs="Times New Roman"/>
          <w:color w:val="000000" w:themeColor="text1"/>
          <w:sz w:val="24"/>
          <w:szCs w:val="24"/>
        </w:rPr>
        <w:t>ūdra populācijas lielums šajā teritorijā ir 45</w:t>
      </w:r>
      <w:r w:rsidR="00332008">
        <w:rPr>
          <w:rFonts w:ascii="Times New Roman" w:eastAsia="Times New Roman" w:hAnsi="Times New Roman" w:cs="Times New Roman"/>
          <w:color w:val="000000" w:themeColor="text1"/>
          <w:sz w:val="24"/>
          <w:szCs w:val="24"/>
        </w:rPr>
        <w:t> – </w:t>
      </w:r>
      <w:r w:rsidRPr="00A07F29">
        <w:rPr>
          <w:rFonts w:ascii="Times New Roman" w:eastAsia="Times New Roman" w:hAnsi="Times New Roman" w:cs="Times New Roman"/>
          <w:color w:val="000000" w:themeColor="text1"/>
          <w:sz w:val="24"/>
          <w:szCs w:val="24"/>
        </w:rPr>
        <w:t xml:space="preserve">88 ūdri. Biotopu kvalitāte AAA </w:t>
      </w:r>
      <w:r w:rsidR="00F25C97" w:rsidRPr="00A07F29">
        <w:rPr>
          <w:rFonts w:ascii="Times New Roman" w:eastAsia="Times New Roman" w:hAnsi="Times New Roman" w:cs="Times New Roman"/>
          <w:color w:val="000000" w:themeColor="text1"/>
          <w:sz w:val="24"/>
          <w:szCs w:val="24"/>
        </w:rPr>
        <w:t xml:space="preserve">“Augšdaugava” </w:t>
      </w:r>
      <w:r w:rsidRPr="00A07F29">
        <w:rPr>
          <w:rFonts w:ascii="Times New Roman" w:eastAsia="Times New Roman" w:hAnsi="Times New Roman" w:cs="Times New Roman"/>
          <w:color w:val="000000" w:themeColor="text1"/>
          <w:sz w:val="24"/>
          <w:szCs w:val="24"/>
        </w:rPr>
        <w:t xml:space="preserve">apsekotajās vietās novērtēta kā laba vai teicama, līdzīgi kā lielākajā daļā citu </w:t>
      </w:r>
      <w:proofErr w:type="spellStart"/>
      <w:r w:rsidRPr="00A07F29">
        <w:rPr>
          <w:rFonts w:ascii="Times New Roman" w:eastAsia="Times New Roman" w:hAnsi="Times New Roman" w:cs="Times New Roman"/>
          <w:i/>
          <w:color w:val="000000" w:themeColor="text1"/>
          <w:sz w:val="24"/>
          <w:szCs w:val="24"/>
        </w:rPr>
        <w:t>Natura</w:t>
      </w:r>
      <w:proofErr w:type="spellEnd"/>
      <w:r w:rsidRPr="00A07F29">
        <w:rPr>
          <w:rFonts w:ascii="Times New Roman" w:eastAsia="Times New Roman" w:hAnsi="Times New Roman" w:cs="Times New Roman"/>
          <w:i/>
          <w:color w:val="000000" w:themeColor="text1"/>
          <w:sz w:val="24"/>
          <w:szCs w:val="24"/>
        </w:rPr>
        <w:t xml:space="preserve"> 2000</w:t>
      </w:r>
      <w:r w:rsidRPr="00A07F29">
        <w:rPr>
          <w:rFonts w:ascii="Times New Roman" w:eastAsia="Times New Roman" w:hAnsi="Times New Roman" w:cs="Times New Roman"/>
          <w:color w:val="000000" w:themeColor="text1"/>
          <w:sz w:val="24"/>
          <w:szCs w:val="24"/>
        </w:rPr>
        <w:t xml:space="preserve"> teritoriju (sliktas kvalitātes ūdru biotopi </w:t>
      </w:r>
      <w:r w:rsidRPr="00A07F29">
        <w:rPr>
          <w:rFonts w:ascii="Times New Roman" w:eastAsia="Times New Roman" w:hAnsi="Times New Roman" w:cs="Times New Roman"/>
          <w:color w:val="000000" w:themeColor="text1"/>
          <w:sz w:val="24"/>
          <w:szCs w:val="24"/>
        </w:rPr>
        <w:lastRenderedPageBreak/>
        <w:t xml:space="preserve">konstatēti tikai trīs </w:t>
      </w:r>
      <w:proofErr w:type="spellStart"/>
      <w:r w:rsidRPr="00A07F29">
        <w:rPr>
          <w:rFonts w:ascii="Times New Roman" w:eastAsia="Times New Roman" w:hAnsi="Times New Roman" w:cs="Times New Roman"/>
          <w:i/>
          <w:color w:val="000000" w:themeColor="text1"/>
          <w:sz w:val="24"/>
          <w:szCs w:val="24"/>
        </w:rPr>
        <w:t>Natura</w:t>
      </w:r>
      <w:proofErr w:type="spellEnd"/>
      <w:r w:rsidRPr="00A07F29">
        <w:rPr>
          <w:rFonts w:ascii="Times New Roman" w:eastAsia="Times New Roman" w:hAnsi="Times New Roman" w:cs="Times New Roman"/>
          <w:i/>
          <w:color w:val="000000" w:themeColor="text1"/>
          <w:sz w:val="24"/>
          <w:szCs w:val="24"/>
        </w:rPr>
        <w:t xml:space="preserve"> 2000</w:t>
      </w:r>
      <w:r w:rsidRPr="00A07F29">
        <w:rPr>
          <w:rFonts w:ascii="Times New Roman" w:eastAsia="Times New Roman" w:hAnsi="Times New Roman" w:cs="Times New Roman"/>
          <w:color w:val="000000" w:themeColor="text1"/>
          <w:sz w:val="24"/>
          <w:szCs w:val="24"/>
        </w:rPr>
        <w:t xml:space="preserve"> vietās Latvijā).</w:t>
      </w:r>
      <w:r w:rsidR="009D6AD0" w:rsidRPr="00A07F29">
        <w:t xml:space="preserve"> </w:t>
      </w:r>
      <w:r w:rsidR="009D6AD0" w:rsidRPr="00A07F29">
        <w:rPr>
          <w:rFonts w:ascii="Times New Roman" w:eastAsia="Times New Roman" w:hAnsi="Times New Roman" w:cs="Times New Roman"/>
          <w:color w:val="000000" w:themeColor="text1"/>
          <w:sz w:val="24"/>
          <w:szCs w:val="24"/>
        </w:rPr>
        <w:t>Ūdrs ir suga ar augstu dabas aizsardzības nozīmi, sugas stāvoklis valstī šobrīd ir stabils un arī AAA “Augšdaugava”</w:t>
      </w:r>
      <w:r w:rsidR="00D65BBA" w:rsidRPr="00A07F29">
        <w:rPr>
          <w:rFonts w:ascii="Times New Roman" w:eastAsia="Times New Roman" w:hAnsi="Times New Roman" w:cs="Times New Roman"/>
          <w:color w:val="000000" w:themeColor="text1"/>
          <w:sz w:val="24"/>
          <w:szCs w:val="24"/>
        </w:rPr>
        <w:t xml:space="preserve"> </w:t>
      </w:r>
      <w:r w:rsidR="009D6AD0" w:rsidRPr="00A07F29">
        <w:rPr>
          <w:rFonts w:ascii="Times New Roman" w:eastAsia="Times New Roman" w:hAnsi="Times New Roman" w:cs="Times New Roman"/>
          <w:color w:val="000000" w:themeColor="text1"/>
          <w:sz w:val="24"/>
          <w:szCs w:val="24"/>
        </w:rPr>
        <w:t>teritorijā ūdri uzturas pastāvīgi, līdz ar to speciāli aizsardzības pasākumi sugai nav nepieciešami.</w:t>
      </w:r>
    </w:p>
    <w:p w14:paraId="67CBA4EF" w14:textId="0D672F29" w:rsidR="009072CE" w:rsidRPr="00A07F29" w:rsidRDefault="009072CE" w:rsidP="002E34E2">
      <w:pPr>
        <w:spacing w:after="120" w:line="240" w:lineRule="auto"/>
        <w:ind w:firstLine="720"/>
        <w:jc w:val="both"/>
        <w:rPr>
          <w:rFonts w:ascii="Times New Roman" w:eastAsia="Times New Roman" w:hAnsi="Times New Roman" w:cs="Times New Roman"/>
          <w:iCs/>
          <w:color w:val="000000"/>
          <w:sz w:val="24"/>
          <w:szCs w:val="24"/>
        </w:rPr>
      </w:pPr>
      <w:r w:rsidRPr="00A07F29">
        <w:rPr>
          <w:rFonts w:ascii="Times New Roman" w:eastAsia="Times New Roman" w:hAnsi="Times New Roman" w:cs="Times New Roman"/>
          <w:iCs/>
          <w:color w:val="000000"/>
          <w:sz w:val="24"/>
          <w:szCs w:val="24"/>
        </w:rPr>
        <w:t xml:space="preserve">Veicot plēsīgo dzīvnieku atstāto pēdu apsekošanu, kā arī ņemot vērā datus no mežniecībām par </w:t>
      </w:r>
      <w:r w:rsidR="00CE0ECF" w:rsidRPr="00A07F29">
        <w:rPr>
          <w:rFonts w:ascii="Times New Roman" w:eastAsia="Times New Roman" w:hAnsi="Times New Roman" w:cs="Times New Roman"/>
          <w:iCs/>
          <w:color w:val="000000"/>
          <w:sz w:val="24"/>
          <w:szCs w:val="24"/>
        </w:rPr>
        <w:t>AAA</w:t>
      </w:r>
      <w:r w:rsidRPr="00A07F29">
        <w:rPr>
          <w:rFonts w:ascii="Times New Roman" w:eastAsia="Times New Roman" w:hAnsi="Times New Roman" w:cs="Times New Roman"/>
          <w:iCs/>
          <w:color w:val="000000"/>
          <w:sz w:val="24"/>
          <w:szCs w:val="24"/>
        </w:rPr>
        <w:t xml:space="preserve"> sastopamajām plēsīgo dzīvnieku sugām, konstatēts, ka teritorijā sastopamas gandrīz visas Latvijas faunai raksturīgās plēsīgo zīdītājdzīvnieku sugas. Biežāk sastopamās no tām ir lapsa </w:t>
      </w:r>
      <w:proofErr w:type="spellStart"/>
      <w:r w:rsidRPr="00A07F29">
        <w:rPr>
          <w:rFonts w:ascii="Times New Roman" w:eastAsia="Times New Roman" w:hAnsi="Times New Roman" w:cs="Times New Roman"/>
          <w:i/>
          <w:iCs/>
          <w:color w:val="000000"/>
          <w:sz w:val="24"/>
          <w:szCs w:val="24"/>
        </w:rPr>
        <w:t>Vulpes</w:t>
      </w:r>
      <w:proofErr w:type="spellEnd"/>
      <w:r w:rsidRPr="00A07F29">
        <w:rPr>
          <w:rFonts w:ascii="Times New Roman" w:eastAsia="Times New Roman" w:hAnsi="Times New Roman" w:cs="Times New Roman"/>
          <w:i/>
          <w:iCs/>
          <w:color w:val="000000"/>
          <w:sz w:val="24"/>
          <w:szCs w:val="24"/>
        </w:rPr>
        <w:t xml:space="preserve"> </w:t>
      </w:r>
      <w:proofErr w:type="spellStart"/>
      <w:r w:rsidRPr="00A07F29">
        <w:rPr>
          <w:rFonts w:ascii="Times New Roman" w:eastAsia="Times New Roman" w:hAnsi="Times New Roman" w:cs="Times New Roman"/>
          <w:i/>
          <w:iCs/>
          <w:color w:val="000000"/>
          <w:sz w:val="24"/>
          <w:szCs w:val="24"/>
        </w:rPr>
        <w:t>vulpes</w:t>
      </w:r>
      <w:proofErr w:type="spellEnd"/>
      <w:r w:rsidRPr="00A07F29">
        <w:rPr>
          <w:rFonts w:ascii="Times New Roman" w:eastAsia="Times New Roman" w:hAnsi="Times New Roman" w:cs="Times New Roman"/>
          <w:iCs/>
          <w:color w:val="000000"/>
          <w:sz w:val="24"/>
          <w:szCs w:val="24"/>
        </w:rPr>
        <w:t xml:space="preserve">, jenotsuns </w:t>
      </w:r>
      <w:proofErr w:type="spellStart"/>
      <w:r w:rsidRPr="00A07F29">
        <w:rPr>
          <w:rFonts w:ascii="Times New Roman" w:eastAsia="Times New Roman" w:hAnsi="Times New Roman" w:cs="Times New Roman"/>
          <w:i/>
          <w:iCs/>
          <w:color w:val="000000"/>
          <w:sz w:val="24"/>
          <w:szCs w:val="24"/>
        </w:rPr>
        <w:t>Nyctereutes</w:t>
      </w:r>
      <w:proofErr w:type="spellEnd"/>
      <w:r w:rsidRPr="00A07F29">
        <w:rPr>
          <w:rFonts w:ascii="Times New Roman" w:eastAsia="Times New Roman" w:hAnsi="Times New Roman" w:cs="Times New Roman"/>
          <w:i/>
          <w:iCs/>
          <w:color w:val="000000"/>
          <w:sz w:val="24"/>
          <w:szCs w:val="24"/>
        </w:rPr>
        <w:t xml:space="preserve"> </w:t>
      </w:r>
      <w:proofErr w:type="spellStart"/>
      <w:r w:rsidRPr="00A07F29">
        <w:rPr>
          <w:rFonts w:ascii="Times New Roman" w:eastAsia="Times New Roman" w:hAnsi="Times New Roman" w:cs="Times New Roman"/>
          <w:i/>
          <w:iCs/>
          <w:color w:val="000000"/>
          <w:sz w:val="24"/>
          <w:szCs w:val="24"/>
        </w:rPr>
        <w:t>pricyonoides</w:t>
      </w:r>
      <w:proofErr w:type="spellEnd"/>
      <w:r w:rsidRPr="00A07F29">
        <w:rPr>
          <w:rFonts w:ascii="Times New Roman" w:eastAsia="Times New Roman" w:hAnsi="Times New Roman" w:cs="Times New Roman"/>
          <w:iCs/>
          <w:color w:val="000000"/>
          <w:sz w:val="24"/>
          <w:szCs w:val="24"/>
        </w:rPr>
        <w:t xml:space="preserve">, sesks </w:t>
      </w:r>
      <w:proofErr w:type="spellStart"/>
      <w:r w:rsidRPr="00A07F29">
        <w:rPr>
          <w:rFonts w:ascii="Times New Roman" w:eastAsia="Times New Roman" w:hAnsi="Times New Roman" w:cs="Times New Roman"/>
          <w:i/>
          <w:iCs/>
          <w:color w:val="000000"/>
          <w:sz w:val="24"/>
          <w:szCs w:val="24"/>
        </w:rPr>
        <w:t>Mustela</w:t>
      </w:r>
      <w:proofErr w:type="spellEnd"/>
      <w:r w:rsidRPr="00A07F29">
        <w:rPr>
          <w:rFonts w:ascii="Times New Roman" w:eastAsia="Times New Roman" w:hAnsi="Times New Roman" w:cs="Times New Roman"/>
          <w:i/>
          <w:iCs/>
          <w:color w:val="000000"/>
          <w:sz w:val="24"/>
          <w:szCs w:val="24"/>
        </w:rPr>
        <w:t xml:space="preserve"> </w:t>
      </w:r>
      <w:proofErr w:type="spellStart"/>
      <w:r w:rsidRPr="00A07F29">
        <w:rPr>
          <w:rFonts w:ascii="Times New Roman" w:eastAsia="Times New Roman" w:hAnsi="Times New Roman" w:cs="Times New Roman"/>
          <w:i/>
          <w:iCs/>
          <w:color w:val="000000"/>
          <w:sz w:val="24"/>
          <w:szCs w:val="24"/>
        </w:rPr>
        <w:t>putorius</w:t>
      </w:r>
      <w:proofErr w:type="spellEnd"/>
      <w:r w:rsidRPr="00A07F29">
        <w:rPr>
          <w:rFonts w:ascii="Times New Roman" w:eastAsia="Times New Roman" w:hAnsi="Times New Roman" w:cs="Times New Roman"/>
          <w:iCs/>
          <w:color w:val="000000"/>
          <w:sz w:val="24"/>
          <w:szCs w:val="24"/>
        </w:rPr>
        <w:t xml:space="preserve">, Amerikas ūdele </w:t>
      </w:r>
      <w:proofErr w:type="spellStart"/>
      <w:r w:rsidRPr="00A07F29">
        <w:rPr>
          <w:rFonts w:ascii="Times New Roman" w:eastAsia="Times New Roman" w:hAnsi="Times New Roman" w:cs="Times New Roman"/>
          <w:i/>
          <w:iCs/>
          <w:color w:val="000000"/>
          <w:sz w:val="24"/>
          <w:szCs w:val="24"/>
        </w:rPr>
        <w:t>Mustela</w:t>
      </w:r>
      <w:proofErr w:type="spellEnd"/>
      <w:r w:rsidRPr="00A07F29">
        <w:rPr>
          <w:rFonts w:ascii="Times New Roman" w:eastAsia="Times New Roman" w:hAnsi="Times New Roman" w:cs="Times New Roman"/>
          <w:i/>
          <w:iCs/>
          <w:color w:val="000000"/>
          <w:sz w:val="24"/>
          <w:szCs w:val="24"/>
        </w:rPr>
        <w:t xml:space="preserve"> </w:t>
      </w:r>
      <w:proofErr w:type="spellStart"/>
      <w:r w:rsidRPr="00A07F29">
        <w:rPr>
          <w:rFonts w:ascii="Times New Roman" w:eastAsia="Times New Roman" w:hAnsi="Times New Roman" w:cs="Times New Roman"/>
          <w:i/>
          <w:iCs/>
          <w:color w:val="000000"/>
          <w:sz w:val="24"/>
          <w:szCs w:val="24"/>
        </w:rPr>
        <w:t>vison</w:t>
      </w:r>
      <w:proofErr w:type="spellEnd"/>
      <w:r w:rsidRPr="00A07F29">
        <w:rPr>
          <w:rFonts w:ascii="Times New Roman" w:eastAsia="Times New Roman" w:hAnsi="Times New Roman" w:cs="Times New Roman"/>
          <w:iCs/>
          <w:color w:val="000000"/>
          <w:sz w:val="24"/>
          <w:szCs w:val="24"/>
        </w:rPr>
        <w:t xml:space="preserve">, meža cauna </w:t>
      </w:r>
      <w:proofErr w:type="spellStart"/>
      <w:r w:rsidRPr="00A07F29">
        <w:rPr>
          <w:rFonts w:ascii="Times New Roman" w:eastAsia="Times New Roman" w:hAnsi="Times New Roman" w:cs="Times New Roman"/>
          <w:i/>
          <w:iCs/>
          <w:color w:val="000000"/>
          <w:sz w:val="24"/>
          <w:szCs w:val="24"/>
        </w:rPr>
        <w:t>Martes</w:t>
      </w:r>
      <w:proofErr w:type="spellEnd"/>
      <w:r w:rsidRPr="00A07F29">
        <w:rPr>
          <w:rFonts w:ascii="Times New Roman" w:eastAsia="Times New Roman" w:hAnsi="Times New Roman" w:cs="Times New Roman"/>
          <w:i/>
          <w:iCs/>
          <w:color w:val="000000"/>
          <w:sz w:val="24"/>
          <w:szCs w:val="24"/>
        </w:rPr>
        <w:t xml:space="preserve"> </w:t>
      </w:r>
      <w:proofErr w:type="spellStart"/>
      <w:r w:rsidRPr="00A07F29">
        <w:rPr>
          <w:rFonts w:ascii="Times New Roman" w:eastAsia="Times New Roman" w:hAnsi="Times New Roman" w:cs="Times New Roman"/>
          <w:i/>
          <w:iCs/>
          <w:color w:val="000000"/>
          <w:sz w:val="24"/>
          <w:szCs w:val="24"/>
        </w:rPr>
        <w:t>martes</w:t>
      </w:r>
      <w:proofErr w:type="spellEnd"/>
      <w:r w:rsidRPr="00A07F29">
        <w:rPr>
          <w:rFonts w:ascii="Times New Roman" w:eastAsia="Times New Roman" w:hAnsi="Times New Roman" w:cs="Times New Roman"/>
          <w:i/>
          <w:iCs/>
          <w:color w:val="000000"/>
          <w:sz w:val="24"/>
          <w:szCs w:val="24"/>
        </w:rPr>
        <w:t xml:space="preserve">, </w:t>
      </w:r>
      <w:r w:rsidRPr="00A07F29">
        <w:rPr>
          <w:rFonts w:ascii="Times New Roman" w:eastAsia="Times New Roman" w:hAnsi="Times New Roman" w:cs="Times New Roman"/>
          <w:iCs/>
          <w:color w:val="000000"/>
          <w:sz w:val="24"/>
          <w:szCs w:val="24"/>
        </w:rPr>
        <w:t xml:space="preserve">ūdrs </w:t>
      </w:r>
      <w:proofErr w:type="spellStart"/>
      <w:r w:rsidRPr="00A07F29">
        <w:rPr>
          <w:rFonts w:ascii="Times New Roman" w:eastAsia="Times New Roman" w:hAnsi="Times New Roman" w:cs="Times New Roman"/>
          <w:i/>
          <w:iCs/>
          <w:color w:val="000000"/>
          <w:sz w:val="24"/>
          <w:szCs w:val="24"/>
        </w:rPr>
        <w:t>Lutra</w:t>
      </w:r>
      <w:proofErr w:type="spellEnd"/>
      <w:r w:rsidRPr="00A07F29">
        <w:rPr>
          <w:rFonts w:ascii="Times New Roman" w:eastAsia="Times New Roman" w:hAnsi="Times New Roman" w:cs="Times New Roman"/>
          <w:i/>
          <w:iCs/>
          <w:color w:val="000000"/>
          <w:sz w:val="24"/>
          <w:szCs w:val="24"/>
        </w:rPr>
        <w:t xml:space="preserve"> </w:t>
      </w:r>
      <w:proofErr w:type="spellStart"/>
      <w:r w:rsidRPr="00A07F29">
        <w:rPr>
          <w:rFonts w:ascii="Times New Roman" w:eastAsia="Times New Roman" w:hAnsi="Times New Roman" w:cs="Times New Roman"/>
          <w:i/>
          <w:iCs/>
          <w:color w:val="000000"/>
          <w:sz w:val="24"/>
          <w:szCs w:val="24"/>
        </w:rPr>
        <w:t>lutra</w:t>
      </w:r>
      <w:proofErr w:type="spellEnd"/>
      <w:r w:rsidRPr="00A07F29">
        <w:rPr>
          <w:rFonts w:ascii="Times New Roman" w:eastAsia="Times New Roman" w:hAnsi="Times New Roman" w:cs="Times New Roman"/>
          <w:i/>
          <w:iCs/>
          <w:color w:val="000000"/>
          <w:sz w:val="24"/>
          <w:szCs w:val="24"/>
        </w:rPr>
        <w:t xml:space="preserve">. </w:t>
      </w:r>
      <w:r w:rsidRPr="00A07F29">
        <w:rPr>
          <w:rFonts w:ascii="Times New Roman" w:eastAsia="Times New Roman" w:hAnsi="Times New Roman" w:cs="Times New Roman"/>
          <w:iCs/>
          <w:color w:val="000000"/>
          <w:sz w:val="24"/>
          <w:szCs w:val="24"/>
        </w:rPr>
        <w:t xml:space="preserve">Novērota sermuļu </w:t>
      </w:r>
      <w:proofErr w:type="spellStart"/>
      <w:r w:rsidRPr="00A07F29">
        <w:rPr>
          <w:rFonts w:ascii="Times New Roman" w:eastAsia="Times New Roman" w:hAnsi="Times New Roman" w:cs="Times New Roman"/>
          <w:i/>
          <w:iCs/>
          <w:color w:val="000000"/>
          <w:sz w:val="24"/>
          <w:szCs w:val="24"/>
        </w:rPr>
        <w:t>Mustela</w:t>
      </w:r>
      <w:proofErr w:type="spellEnd"/>
      <w:r w:rsidRPr="00A07F29">
        <w:rPr>
          <w:rFonts w:ascii="Times New Roman" w:eastAsia="Times New Roman" w:hAnsi="Times New Roman" w:cs="Times New Roman"/>
          <w:i/>
          <w:iCs/>
          <w:color w:val="000000"/>
          <w:sz w:val="24"/>
          <w:szCs w:val="24"/>
        </w:rPr>
        <w:t xml:space="preserve"> </w:t>
      </w:r>
      <w:proofErr w:type="spellStart"/>
      <w:r w:rsidRPr="00A07F29">
        <w:rPr>
          <w:rFonts w:ascii="Times New Roman" w:eastAsia="Times New Roman" w:hAnsi="Times New Roman" w:cs="Times New Roman"/>
          <w:i/>
          <w:iCs/>
          <w:color w:val="000000"/>
          <w:sz w:val="24"/>
          <w:szCs w:val="24"/>
        </w:rPr>
        <w:t>erminea</w:t>
      </w:r>
      <w:proofErr w:type="spellEnd"/>
      <w:r w:rsidRPr="00A07F29">
        <w:rPr>
          <w:rFonts w:ascii="Times New Roman" w:eastAsia="Times New Roman" w:hAnsi="Times New Roman" w:cs="Times New Roman"/>
          <w:iCs/>
          <w:color w:val="000000"/>
          <w:sz w:val="24"/>
          <w:szCs w:val="24"/>
        </w:rPr>
        <w:t xml:space="preserve">, zebiekstu </w:t>
      </w:r>
      <w:proofErr w:type="spellStart"/>
      <w:r w:rsidRPr="00A07F29">
        <w:rPr>
          <w:rFonts w:ascii="Times New Roman" w:eastAsia="Times New Roman" w:hAnsi="Times New Roman" w:cs="Times New Roman"/>
          <w:i/>
          <w:iCs/>
          <w:color w:val="000000"/>
          <w:sz w:val="24"/>
          <w:szCs w:val="24"/>
        </w:rPr>
        <w:t>Mustela</w:t>
      </w:r>
      <w:proofErr w:type="spellEnd"/>
      <w:r w:rsidRPr="00A07F29">
        <w:rPr>
          <w:rFonts w:ascii="Times New Roman" w:eastAsia="Times New Roman" w:hAnsi="Times New Roman" w:cs="Times New Roman"/>
          <w:i/>
          <w:iCs/>
          <w:color w:val="000000"/>
          <w:sz w:val="24"/>
          <w:szCs w:val="24"/>
        </w:rPr>
        <w:t xml:space="preserve"> </w:t>
      </w:r>
      <w:proofErr w:type="spellStart"/>
      <w:r w:rsidRPr="00A07F29">
        <w:rPr>
          <w:rFonts w:ascii="Times New Roman" w:eastAsia="Times New Roman" w:hAnsi="Times New Roman" w:cs="Times New Roman"/>
          <w:i/>
          <w:iCs/>
          <w:color w:val="000000"/>
          <w:sz w:val="24"/>
          <w:szCs w:val="24"/>
        </w:rPr>
        <w:t>nivalis</w:t>
      </w:r>
      <w:proofErr w:type="spellEnd"/>
      <w:r w:rsidRPr="00A07F29">
        <w:rPr>
          <w:rFonts w:ascii="Times New Roman" w:eastAsia="Times New Roman" w:hAnsi="Times New Roman" w:cs="Times New Roman"/>
          <w:iCs/>
          <w:color w:val="000000"/>
          <w:sz w:val="24"/>
          <w:szCs w:val="24"/>
        </w:rPr>
        <w:t xml:space="preserve">, āpšu </w:t>
      </w:r>
      <w:r w:rsidRPr="00A07F29">
        <w:rPr>
          <w:rFonts w:ascii="Times New Roman" w:eastAsia="Times New Roman" w:hAnsi="Times New Roman" w:cs="Times New Roman"/>
          <w:i/>
          <w:iCs/>
          <w:color w:val="000000"/>
          <w:sz w:val="24"/>
          <w:szCs w:val="24"/>
        </w:rPr>
        <w:t xml:space="preserve">Meles </w:t>
      </w:r>
      <w:proofErr w:type="spellStart"/>
      <w:r w:rsidRPr="00A07F29">
        <w:rPr>
          <w:rFonts w:ascii="Times New Roman" w:eastAsia="Times New Roman" w:hAnsi="Times New Roman" w:cs="Times New Roman"/>
          <w:i/>
          <w:iCs/>
          <w:color w:val="000000"/>
          <w:sz w:val="24"/>
          <w:szCs w:val="24"/>
        </w:rPr>
        <w:t>meles</w:t>
      </w:r>
      <w:proofErr w:type="spellEnd"/>
      <w:r w:rsidRPr="00A07F29">
        <w:rPr>
          <w:rFonts w:ascii="Times New Roman" w:eastAsia="Times New Roman" w:hAnsi="Times New Roman" w:cs="Times New Roman"/>
          <w:iCs/>
          <w:color w:val="000000"/>
          <w:sz w:val="24"/>
          <w:szCs w:val="24"/>
        </w:rPr>
        <w:t xml:space="preserve">, vilku </w:t>
      </w:r>
      <w:proofErr w:type="spellStart"/>
      <w:r w:rsidRPr="00A07F29">
        <w:rPr>
          <w:rFonts w:ascii="Times New Roman" w:eastAsia="Times New Roman" w:hAnsi="Times New Roman" w:cs="Times New Roman"/>
          <w:i/>
          <w:iCs/>
          <w:color w:val="000000"/>
          <w:sz w:val="24"/>
          <w:szCs w:val="24"/>
        </w:rPr>
        <w:t>Canis</w:t>
      </w:r>
      <w:proofErr w:type="spellEnd"/>
      <w:r w:rsidRPr="00A07F29">
        <w:rPr>
          <w:rFonts w:ascii="Times New Roman" w:eastAsia="Times New Roman" w:hAnsi="Times New Roman" w:cs="Times New Roman"/>
          <w:i/>
          <w:iCs/>
          <w:color w:val="000000"/>
          <w:sz w:val="24"/>
          <w:szCs w:val="24"/>
        </w:rPr>
        <w:t xml:space="preserve"> </w:t>
      </w:r>
      <w:proofErr w:type="spellStart"/>
      <w:r w:rsidRPr="00A07F29">
        <w:rPr>
          <w:rFonts w:ascii="Times New Roman" w:eastAsia="Times New Roman" w:hAnsi="Times New Roman" w:cs="Times New Roman"/>
          <w:i/>
          <w:iCs/>
          <w:color w:val="000000"/>
          <w:sz w:val="24"/>
          <w:szCs w:val="24"/>
        </w:rPr>
        <w:t>lupus</w:t>
      </w:r>
      <w:proofErr w:type="spellEnd"/>
      <w:r w:rsidRPr="00A07F29">
        <w:rPr>
          <w:rFonts w:ascii="Times New Roman" w:eastAsia="Times New Roman" w:hAnsi="Times New Roman" w:cs="Times New Roman"/>
          <w:iCs/>
          <w:color w:val="000000"/>
          <w:sz w:val="24"/>
          <w:szCs w:val="24"/>
        </w:rPr>
        <w:t xml:space="preserve"> un lūšu </w:t>
      </w:r>
      <w:proofErr w:type="spellStart"/>
      <w:r w:rsidRPr="00A07F29">
        <w:rPr>
          <w:rFonts w:ascii="Times New Roman" w:eastAsia="Times New Roman" w:hAnsi="Times New Roman" w:cs="Times New Roman"/>
          <w:i/>
          <w:iCs/>
          <w:color w:val="000000"/>
          <w:sz w:val="24"/>
          <w:szCs w:val="24"/>
        </w:rPr>
        <w:t>Lynx</w:t>
      </w:r>
      <w:proofErr w:type="spellEnd"/>
      <w:r w:rsidRPr="00A07F29">
        <w:rPr>
          <w:rFonts w:ascii="Times New Roman" w:eastAsia="Times New Roman" w:hAnsi="Times New Roman" w:cs="Times New Roman"/>
          <w:i/>
          <w:iCs/>
          <w:color w:val="000000"/>
          <w:sz w:val="24"/>
          <w:szCs w:val="24"/>
        </w:rPr>
        <w:t xml:space="preserve"> </w:t>
      </w:r>
      <w:proofErr w:type="spellStart"/>
      <w:r w:rsidRPr="00A07F29">
        <w:rPr>
          <w:rFonts w:ascii="Times New Roman" w:eastAsia="Times New Roman" w:hAnsi="Times New Roman" w:cs="Times New Roman"/>
          <w:i/>
          <w:iCs/>
          <w:color w:val="000000"/>
          <w:sz w:val="24"/>
          <w:szCs w:val="24"/>
        </w:rPr>
        <w:t>lynx</w:t>
      </w:r>
      <w:proofErr w:type="spellEnd"/>
      <w:r w:rsidRPr="00A07F29">
        <w:rPr>
          <w:rFonts w:ascii="Times New Roman" w:eastAsia="Times New Roman" w:hAnsi="Times New Roman" w:cs="Times New Roman"/>
          <w:iCs/>
          <w:color w:val="000000"/>
          <w:sz w:val="24"/>
          <w:szCs w:val="24"/>
        </w:rPr>
        <w:t xml:space="preserve"> klātbūtne.</w:t>
      </w:r>
      <w:r w:rsidR="00D65BBA" w:rsidRPr="00A07F29">
        <w:rPr>
          <w:rFonts w:ascii="Times New Roman" w:eastAsia="Times New Roman" w:hAnsi="Times New Roman" w:cs="Times New Roman"/>
          <w:iCs/>
          <w:color w:val="000000"/>
          <w:sz w:val="24"/>
          <w:szCs w:val="24"/>
        </w:rPr>
        <w:t xml:space="preserve"> </w:t>
      </w:r>
    </w:p>
    <w:p w14:paraId="0A834B08" w14:textId="0119746E" w:rsidR="009072CE" w:rsidRPr="00A07F29" w:rsidRDefault="009072CE" w:rsidP="002E34E2">
      <w:pPr>
        <w:spacing w:after="120" w:line="240" w:lineRule="auto"/>
        <w:ind w:firstLine="720"/>
        <w:jc w:val="both"/>
        <w:rPr>
          <w:rFonts w:ascii="Times New Roman" w:eastAsia="Times New Roman" w:hAnsi="Times New Roman" w:cs="Times New Roman"/>
          <w:iCs/>
          <w:color w:val="000000"/>
          <w:sz w:val="24"/>
          <w:szCs w:val="24"/>
        </w:rPr>
      </w:pPr>
      <w:r w:rsidRPr="00A07F29">
        <w:rPr>
          <w:rFonts w:ascii="Times New Roman" w:eastAsia="Times New Roman" w:hAnsi="Times New Roman" w:cs="Times New Roman"/>
          <w:iCs/>
          <w:color w:val="000000"/>
          <w:sz w:val="24"/>
          <w:szCs w:val="24"/>
        </w:rPr>
        <w:t xml:space="preserve">Pēc </w:t>
      </w:r>
      <w:r w:rsidR="00CF4B2B" w:rsidRPr="00A07F29">
        <w:rPr>
          <w:rFonts w:ascii="Times New Roman" w:eastAsia="Times New Roman" w:hAnsi="Times New Roman" w:cs="Times New Roman"/>
          <w:iCs/>
          <w:color w:val="000000"/>
          <w:sz w:val="24"/>
          <w:szCs w:val="24"/>
        </w:rPr>
        <w:t>VMD datiem</w:t>
      </w:r>
      <w:r w:rsidRPr="00A07F29">
        <w:rPr>
          <w:rFonts w:ascii="Times New Roman" w:eastAsia="Times New Roman" w:hAnsi="Times New Roman" w:cs="Times New Roman"/>
          <w:iCs/>
          <w:color w:val="000000"/>
          <w:sz w:val="24"/>
          <w:szCs w:val="24"/>
        </w:rPr>
        <w:t xml:space="preserve">, </w:t>
      </w:r>
      <w:r w:rsidR="00CF4B2B" w:rsidRPr="00A07F29">
        <w:rPr>
          <w:rFonts w:ascii="Times New Roman" w:eastAsia="Times New Roman" w:hAnsi="Times New Roman" w:cs="Times New Roman"/>
          <w:iCs/>
          <w:color w:val="000000"/>
          <w:sz w:val="24"/>
          <w:szCs w:val="24"/>
        </w:rPr>
        <w:t>AAA “Augšdaugava”</w:t>
      </w:r>
      <w:r w:rsidR="00D65BBA" w:rsidRPr="00A07F29">
        <w:rPr>
          <w:rFonts w:ascii="Times New Roman" w:eastAsia="Times New Roman" w:hAnsi="Times New Roman" w:cs="Times New Roman"/>
          <w:iCs/>
          <w:color w:val="000000"/>
          <w:sz w:val="24"/>
          <w:szCs w:val="24"/>
        </w:rPr>
        <w:t xml:space="preserve"> </w:t>
      </w:r>
      <w:r w:rsidRPr="00A07F29">
        <w:rPr>
          <w:rFonts w:ascii="Times New Roman" w:eastAsia="Times New Roman" w:hAnsi="Times New Roman" w:cs="Times New Roman"/>
          <w:iCs/>
          <w:color w:val="000000"/>
          <w:sz w:val="24"/>
          <w:szCs w:val="24"/>
        </w:rPr>
        <w:t xml:space="preserve">teritorijā uzturas abas Latvijā sastopamās </w:t>
      </w:r>
      <w:proofErr w:type="spellStart"/>
      <w:r w:rsidRPr="00A07F29">
        <w:rPr>
          <w:rFonts w:ascii="Times New Roman" w:eastAsia="Times New Roman" w:hAnsi="Times New Roman" w:cs="Times New Roman"/>
          <w:iCs/>
          <w:color w:val="000000"/>
          <w:sz w:val="24"/>
          <w:szCs w:val="24"/>
        </w:rPr>
        <w:t>zaķveidīgo</w:t>
      </w:r>
      <w:proofErr w:type="spellEnd"/>
      <w:r w:rsidRPr="00A07F29">
        <w:rPr>
          <w:rFonts w:ascii="Times New Roman" w:eastAsia="Times New Roman" w:hAnsi="Times New Roman" w:cs="Times New Roman"/>
          <w:iCs/>
          <w:color w:val="000000"/>
          <w:sz w:val="24"/>
          <w:szCs w:val="24"/>
        </w:rPr>
        <w:t xml:space="preserve"> sugas – baltais zaķis </w:t>
      </w:r>
      <w:proofErr w:type="spellStart"/>
      <w:r w:rsidRPr="00A07F29">
        <w:rPr>
          <w:rFonts w:ascii="Times New Roman" w:eastAsia="Times New Roman" w:hAnsi="Times New Roman" w:cs="Times New Roman"/>
          <w:i/>
          <w:iCs/>
          <w:color w:val="000000"/>
          <w:sz w:val="24"/>
          <w:szCs w:val="24"/>
        </w:rPr>
        <w:t>Lepus</w:t>
      </w:r>
      <w:proofErr w:type="spellEnd"/>
      <w:r w:rsidRPr="00A07F29">
        <w:rPr>
          <w:rFonts w:ascii="Times New Roman" w:eastAsia="Times New Roman" w:hAnsi="Times New Roman" w:cs="Times New Roman"/>
          <w:i/>
          <w:iCs/>
          <w:color w:val="000000"/>
          <w:sz w:val="24"/>
          <w:szCs w:val="24"/>
        </w:rPr>
        <w:t xml:space="preserve"> </w:t>
      </w:r>
      <w:proofErr w:type="spellStart"/>
      <w:r w:rsidRPr="00A07F29">
        <w:rPr>
          <w:rFonts w:ascii="Times New Roman" w:eastAsia="Times New Roman" w:hAnsi="Times New Roman" w:cs="Times New Roman"/>
          <w:i/>
          <w:iCs/>
          <w:color w:val="000000"/>
          <w:sz w:val="24"/>
          <w:szCs w:val="24"/>
        </w:rPr>
        <w:t>timidus</w:t>
      </w:r>
      <w:proofErr w:type="spellEnd"/>
      <w:r w:rsidRPr="00A07F29">
        <w:rPr>
          <w:rFonts w:ascii="Times New Roman" w:eastAsia="Times New Roman" w:hAnsi="Times New Roman" w:cs="Times New Roman"/>
          <w:iCs/>
          <w:color w:val="000000"/>
          <w:sz w:val="24"/>
          <w:szCs w:val="24"/>
        </w:rPr>
        <w:t xml:space="preserve"> un pelēkais zaķis </w:t>
      </w:r>
      <w:proofErr w:type="spellStart"/>
      <w:r w:rsidRPr="00A07F29">
        <w:rPr>
          <w:rFonts w:ascii="Times New Roman" w:eastAsia="Times New Roman" w:hAnsi="Times New Roman" w:cs="Times New Roman"/>
          <w:i/>
          <w:iCs/>
          <w:color w:val="000000"/>
          <w:sz w:val="24"/>
          <w:szCs w:val="24"/>
        </w:rPr>
        <w:t>Lepus</w:t>
      </w:r>
      <w:proofErr w:type="spellEnd"/>
      <w:r w:rsidRPr="00A07F29">
        <w:rPr>
          <w:rFonts w:ascii="Times New Roman" w:eastAsia="Times New Roman" w:hAnsi="Times New Roman" w:cs="Times New Roman"/>
          <w:i/>
          <w:iCs/>
          <w:color w:val="000000"/>
          <w:sz w:val="24"/>
          <w:szCs w:val="24"/>
        </w:rPr>
        <w:t xml:space="preserve"> </w:t>
      </w:r>
      <w:proofErr w:type="spellStart"/>
      <w:r w:rsidRPr="00A07F29">
        <w:rPr>
          <w:rFonts w:ascii="Times New Roman" w:eastAsia="Times New Roman" w:hAnsi="Times New Roman" w:cs="Times New Roman"/>
          <w:i/>
          <w:iCs/>
          <w:color w:val="000000"/>
          <w:sz w:val="24"/>
          <w:szCs w:val="24"/>
        </w:rPr>
        <w:t>europaeus</w:t>
      </w:r>
      <w:proofErr w:type="spellEnd"/>
      <w:r w:rsidRPr="00A07F29">
        <w:rPr>
          <w:rFonts w:ascii="Times New Roman" w:eastAsia="Times New Roman" w:hAnsi="Times New Roman" w:cs="Times New Roman"/>
          <w:iCs/>
          <w:color w:val="000000"/>
          <w:sz w:val="24"/>
          <w:szCs w:val="24"/>
        </w:rPr>
        <w:t xml:space="preserve">. </w:t>
      </w:r>
    </w:p>
    <w:p w14:paraId="69E21C17" w14:textId="17163846" w:rsidR="009072CE" w:rsidRPr="00A07F29" w:rsidRDefault="009072CE" w:rsidP="006750C2">
      <w:pPr>
        <w:spacing w:after="120" w:line="240" w:lineRule="auto"/>
        <w:ind w:firstLine="851"/>
        <w:jc w:val="both"/>
        <w:rPr>
          <w:rFonts w:ascii="Times New Roman" w:eastAsia="Times New Roman" w:hAnsi="Times New Roman" w:cs="Times New Roman"/>
          <w:iCs/>
          <w:color w:val="000000"/>
          <w:sz w:val="24"/>
          <w:szCs w:val="24"/>
        </w:rPr>
      </w:pPr>
      <w:r w:rsidRPr="00A07F29">
        <w:rPr>
          <w:rFonts w:ascii="Times New Roman" w:eastAsia="Times New Roman" w:hAnsi="Times New Roman" w:cs="Times New Roman"/>
          <w:iCs/>
          <w:color w:val="000000"/>
          <w:sz w:val="24"/>
          <w:szCs w:val="24"/>
        </w:rPr>
        <w:t xml:space="preserve">Teritorijā sastopamas arī visas Latvijas pārnadžu sugas. Atklātajā ainavā, mežmalās, bieži novērojamas stirnas </w:t>
      </w:r>
      <w:proofErr w:type="spellStart"/>
      <w:r w:rsidRPr="00A07F29">
        <w:rPr>
          <w:rFonts w:ascii="Times New Roman" w:eastAsia="Times New Roman" w:hAnsi="Times New Roman" w:cs="Times New Roman"/>
          <w:i/>
          <w:iCs/>
          <w:color w:val="000000"/>
          <w:sz w:val="24"/>
          <w:szCs w:val="24"/>
        </w:rPr>
        <w:t>Capreolus</w:t>
      </w:r>
      <w:proofErr w:type="spellEnd"/>
      <w:r w:rsidRPr="00A07F29">
        <w:rPr>
          <w:rFonts w:ascii="Times New Roman" w:eastAsia="Times New Roman" w:hAnsi="Times New Roman" w:cs="Times New Roman"/>
          <w:i/>
          <w:iCs/>
          <w:color w:val="000000"/>
          <w:sz w:val="24"/>
          <w:szCs w:val="24"/>
        </w:rPr>
        <w:t xml:space="preserve"> </w:t>
      </w:r>
      <w:proofErr w:type="spellStart"/>
      <w:r w:rsidRPr="00A07F29">
        <w:rPr>
          <w:rFonts w:ascii="Times New Roman" w:eastAsia="Times New Roman" w:hAnsi="Times New Roman" w:cs="Times New Roman"/>
          <w:i/>
          <w:iCs/>
          <w:color w:val="000000"/>
          <w:sz w:val="24"/>
          <w:szCs w:val="24"/>
        </w:rPr>
        <w:t>capreolus</w:t>
      </w:r>
      <w:proofErr w:type="spellEnd"/>
      <w:r w:rsidRPr="00A07F29">
        <w:rPr>
          <w:rFonts w:ascii="Times New Roman" w:eastAsia="Times New Roman" w:hAnsi="Times New Roman" w:cs="Times New Roman"/>
          <w:iCs/>
          <w:color w:val="000000"/>
          <w:sz w:val="24"/>
          <w:szCs w:val="24"/>
        </w:rPr>
        <w:t xml:space="preserve">. Mežu biotopos samērā bieži redzamas aļņu </w:t>
      </w:r>
      <w:proofErr w:type="spellStart"/>
      <w:r w:rsidRPr="00A07F29">
        <w:rPr>
          <w:rFonts w:ascii="Times New Roman" w:eastAsia="Times New Roman" w:hAnsi="Times New Roman" w:cs="Times New Roman"/>
          <w:i/>
          <w:iCs/>
          <w:color w:val="000000"/>
          <w:sz w:val="24"/>
          <w:szCs w:val="24"/>
        </w:rPr>
        <w:t>Alces</w:t>
      </w:r>
      <w:proofErr w:type="spellEnd"/>
      <w:r w:rsidRPr="00A07F29">
        <w:rPr>
          <w:rFonts w:ascii="Times New Roman" w:eastAsia="Times New Roman" w:hAnsi="Times New Roman" w:cs="Times New Roman"/>
          <w:i/>
          <w:iCs/>
          <w:color w:val="000000"/>
          <w:sz w:val="24"/>
          <w:szCs w:val="24"/>
        </w:rPr>
        <w:t xml:space="preserve"> </w:t>
      </w:r>
      <w:proofErr w:type="spellStart"/>
      <w:r w:rsidRPr="00A07F29">
        <w:rPr>
          <w:rFonts w:ascii="Times New Roman" w:eastAsia="Times New Roman" w:hAnsi="Times New Roman" w:cs="Times New Roman"/>
          <w:i/>
          <w:iCs/>
          <w:color w:val="000000"/>
          <w:sz w:val="24"/>
          <w:szCs w:val="24"/>
        </w:rPr>
        <w:t>alces</w:t>
      </w:r>
      <w:proofErr w:type="spellEnd"/>
      <w:r w:rsidRPr="00A07F29">
        <w:rPr>
          <w:rFonts w:ascii="Times New Roman" w:eastAsia="Times New Roman" w:hAnsi="Times New Roman" w:cs="Times New Roman"/>
          <w:i/>
          <w:iCs/>
          <w:color w:val="000000"/>
          <w:sz w:val="24"/>
          <w:szCs w:val="24"/>
        </w:rPr>
        <w:t xml:space="preserve"> </w:t>
      </w:r>
      <w:r w:rsidRPr="00A07F29">
        <w:rPr>
          <w:rFonts w:ascii="Times New Roman" w:eastAsia="Times New Roman" w:hAnsi="Times New Roman" w:cs="Times New Roman"/>
          <w:iCs/>
          <w:color w:val="000000"/>
          <w:sz w:val="24"/>
          <w:szCs w:val="24"/>
        </w:rPr>
        <w:t>atstātās pēdas. Kā barošanās biotopus aļņi</w:t>
      </w:r>
      <w:r w:rsidR="00F76ED1">
        <w:rPr>
          <w:rFonts w:ascii="Times New Roman" w:eastAsia="Times New Roman" w:hAnsi="Times New Roman" w:cs="Times New Roman"/>
          <w:iCs/>
          <w:color w:val="000000"/>
          <w:sz w:val="24"/>
          <w:szCs w:val="24"/>
        </w:rPr>
        <w:t>,</w:t>
      </w:r>
      <w:r w:rsidRPr="00A07F29">
        <w:rPr>
          <w:rFonts w:ascii="Times New Roman" w:eastAsia="Times New Roman" w:hAnsi="Times New Roman" w:cs="Times New Roman"/>
          <w:iCs/>
          <w:color w:val="000000"/>
          <w:sz w:val="24"/>
          <w:szCs w:val="24"/>
        </w:rPr>
        <w:t xml:space="preserve"> galvenokārt</w:t>
      </w:r>
      <w:r w:rsidR="00F76ED1">
        <w:rPr>
          <w:rFonts w:ascii="Times New Roman" w:eastAsia="Times New Roman" w:hAnsi="Times New Roman" w:cs="Times New Roman"/>
          <w:iCs/>
          <w:color w:val="000000"/>
          <w:sz w:val="24"/>
          <w:szCs w:val="24"/>
        </w:rPr>
        <w:t>,</w:t>
      </w:r>
      <w:r w:rsidRPr="00A07F29">
        <w:rPr>
          <w:rFonts w:ascii="Times New Roman" w:eastAsia="Times New Roman" w:hAnsi="Times New Roman" w:cs="Times New Roman"/>
          <w:iCs/>
          <w:color w:val="000000"/>
          <w:sz w:val="24"/>
          <w:szCs w:val="24"/>
        </w:rPr>
        <w:t xml:space="preserve"> izmanto cirsmas, kā arī Daugavas krastos augošos krūmājus. Mežu biotopos vērojama meža cūku </w:t>
      </w:r>
      <w:r w:rsidRPr="00A07F29">
        <w:rPr>
          <w:rFonts w:ascii="Times New Roman" w:eastAsia="Times New Roman" w:hAnsi="Times New Roman" w:cs="Times New Roman"/>
          <w:i/>
          <w:iCs/>
          <w:color w:val="000000"/>
          <w:sz w:val="24"/>
          <w:szCs w:val="24"/>
        </w:rPr>
        <w:t xml:space="preserve">Sus </w:t>
      </w:r>
      <w:proofErr w:type="spellStart"/>
      <w:r w:rsidRPr="00A07F29">
        <w:rPr>
          <w:rFonts w:ascii="Times New Roman" w:eastAsia="Times New Roman" w:hAnsi="Times New Roman" w:cs="Times New Roman"/>
          <w:i/>
          <w:iCs/>
          <w:color w:val="000000"/>
          <w:sz w:val="24"/>
          <w:szCs w:val="24"/>
        </w:rPr>
        <w:t>scrofa</w:t>
      </w:r>
      <w:proofErr w:type="spellEnd"/>
      <w:r w:rsidRPr="00A07F29">
        <w:rPr>
          <w:rFonts w:ascii="Times New Roman" w:eastAsia="Times New Roman" w:hAnsi="Times New Roman" w:cs="Times New Roman"/>
          <w:iCs/>
          <w:color w:val="000000"/>
          <w:sz w:val="24"/>
          <w:szCs w:val="24"/>
        </w:rPr>
        <w:t xml:space="preserve"> darbība, tomēr ievērojami meža zemsedzes postījumi nav novēroti</w:t>
      </w:r>
      <w:r w:rsidR="004A6E8E" w:rsidRPr="00A07F29">
        <w:rPr>
          <w:rFonts w:ascii="Times New Roman" w:eastAsia="Times New Roman" w:hAnsi="Times New Roman" w:cs="Times New Roman"/>
          <w:iCs/>
          <w:color w:val="000000"/>
          <w:sz w:val="24"/>
          <w:szCs w:val="24"/>
        </w:rPr>
        <w:t xml:space="preserve"> (</w:t>
      </w:r>
      <w:r w:rsidR="003D77CC">
        <w:rPr>
          <w:rFonts w:ascii="Times New Roman" w:eastAsia="Times New Roman" w:hAnsi="Times New Roman" w:cs="Times New Roman"/>
          <w:iCs/>
          <w:color w:val="000000"/>
          <w:sz w:val="24"/>
          <w:szCs w:val="24"/>
        </w:rPr>
        <w:t xml:space="preserve">skat. </w:t>
      </w:r>
      <w:r w:rsidR="004A6E8E" w:rsidRPr="00A07F29">
        <w:rPr>
          <w:rFonts w:ascii="Times New Roman" w:eastAsia="Times New Roman" w:hAnsi="Times New Roman" w:cs="Times New Roman"/>
          <w:iCs/>
          <w:color w:val="000000"/>
          <w:sz w:val="24"/>
          <w:szCs w:val="24"/>
        </w:rPr>
        <w:t>4.</w:t>
      </w:r>
      <w:r w:rsidR="006750C2" w:rsidRPr="00A07F29">
        <w:rPr>
          <w:rFonts w:ascii="Times New Roman" w:eastAsia="Times New Roman" w:hAnsi="Times New Roman" w:cs="Times New Roman"/>
          <w:iCs/>
          <w:color w:val="000000"/>
          <w:sz w:val="24"/>
          <w:szCs w:val="24"/>
        </w:rPr>
        <w:t>11</w:t>
      </w:r>
      <w:r w:rsidR="004A6E8E" w:rsidRPr="00A07F29">
        <w:rPr>
          <w:rFonts w:ascii="Times New Roman" w:eastAsia="Times New Roman" w:hAnsi="Times New Roman" w:cs="Times New Roman"/>
          <w:iCs/>
          <w:color w:val="000000"/>
          <w:sz w:val="24"/>
          <w:szCs w:val="24"/>
        </w:rPr>
        <w:t>.</w:t>
      </w:r>
      <w:r w:rsidR="006750C2" w:rsidRPr="00A07F29">
        <w:rPr>
          <w:rFonts w:ascii="Times New Roman" w:eastAsia="Times New Roman" w:hAnsi="Times New Roman" w:cs="Times New Roman"/>
          <w:iCs/>
          <w:color w:val="000000"/>
          <w:sz w:val="24"/>
          <w:szCs w:val="24"/>
        </w:rPr>
        <w:t>7</w:t>
      </w:r>
      <w:r w:rsidR="004A6E8E" w:rsidRPr="00A07F29">
        <w:rPr>
          <w:rFonts w:ascii="Times New Roman" w:eastAsia="Times New Roman" w:hAnsi="Times New Roman" w:cs="Times New Roman"/>
          <w:iCs/>
          <w:color w:val="000000"/>
          <w:sz w:val="24"/>
          <w:szCs w:val="24"/>
        </w:rPr>
        <w:t>.</w:t>
      </w:r>
      <w:r w:rsidR="003D77CC">
        <w:rPr>
          <w:rFonts w:ascii="Times New Roman" w:eastAsia="Times New Roman" w:hAnsi="Times New Roman" w:cs="Times New Roman"/>
          <w:iCs/>
          <w:color w:val="000000"/>
          <w:sz w:val="24"/>
          <w:szCs w:val="24"/>
        </w:rPr>
        <w:t> </w:t>
      </w:r>
      <w:r w:rsidR="004A6E8E" w:rsidRPr="00A07F29">
        <w:rPr>
          <w:rFonts w:ascii="Times New Roman" w:eastAsia="Times New Roman" w:hAnsi="Times New Roman" w:cs="Times New Roman"/>
          <w:iCs/>
          <w:color w:val="000000"/>
          <w:sz w:val="24"/>
          <w:szCs w:val="24"/>
        </w:rPr>
        <w:t>tabula)</w:t>
      </w:r>
      <w:r w:rsidRPr="00A07F29">
        <w:rPr>
          <w:rFonts w:ascii="Times New Roman" w:eastAsia="Times New Roman" w:hAnsi="Times New Roman" w:cs="Times New Roman"/>
          <w:iCs/>
          <w:color w:val="000000"/>
          <w:sz w:val="24"/>
          <w:szCs w:val="24"/>
        </w:rPr>
        <w:t xml:space="preserve">. </w:t>
      </w:r>
    </w:p>
    <w:p w14:paraId="6656EFF3" w14:textId="541FA57F" w:rsidR="009072CE" w:rsidRPr="00A07F29" w:rsidRDefault="009072CE" w:rsidP="00B2405A">
      <w:pPr>
        <w:spacing w:before="240" w:after="120" w:line="240" w:lineRule="auto"/>
        <w:jc w:val="center"/>
        <w:rPr>
          <w:rFonts w:ascii="Times New Roman" w:eastAsia="Times New Roman" w:hAnsi="Times New Roman" w:cs="Times New Roman"/>
          <w:iCs/>
          <w:color w:val="000000"/>
          <w:sz w:val="24"/>
          <w:szCs w:val="24"/>
        </w:rPr>
      </w:pPr>
      <w:r w:rsidRPr="00A07F29">
        <w:rPr>
          <w:rFonts w:ascii="Times New Roman" w:eastAsia="Times New Roman" w:hAnsi="Times New Roman" w:cs="Times New Roman"/>
          <w:iCs/>
          <w:color w:val="000000"/>
          <w:sz w:val="24"/>
          <w:szCs w:val="24"/>
        </w:rPr>
        <w:t>4.</w:t>
      </w:r>
      <w:r w:rsidR="006750C2" w:rsidRPr="00A07F29">
        <w:rPr>
          <w:rFonts w:ascii="Times New Roman" w:eastAsia="Times New Roman" w:hAnsi="Times New Roman" w:cs="Times New Roman"/>
          <w:iCs/>
          <w:color w:val="000000"/>
          <w:sz w:val="24"/>
          <w:szCs w:val="24"/>
        </w:rPr>
        <w:t>11</w:t>
      </w:r>
      <w:r w:rsidRPr="00A07F29">
        <w:rPr>
          <w:rFonts w:ascii="Times New Roman" w:eastAsia="Times New Roman" w:hAnsi="Times New Roman" w:cs="Times New Roman"/>
          <w:iCs/>
          <w:color w:val="000000"/>
          <w:sz w:val="24"/>
          <w:szCs w:val="24"/>
        </w:rPr>
        <w:t>.</w:t>
      </w:r>
      <w:r w:rsidR="006750C2" w:rsidRPr="00A07F29">
        <w:rPr>
          <w:rFonts w:ascii="Times New Roman" w:eastAsia="Times New Roman" w:hAnsi="Times New Roman" w:cs="Times New Roman"/>
          <w:iCs/>
          <w:color w:val="000000"/>
          <w:sz w:val="24"/>
          <w:szCs w:val="24"/>
        </w:rPr>
        <w:t>7</w:t>
      </w:r>
      <w:r w:rsidRPr="00A07F29">
        <w:rPr>
          <w:rFonts w:ascii="Times New Roman" w:eastAsia="Times New Roman" w:hAnsi="Times New Roman" w:cs="Times New Roman"/>
          <w:iCs/>
          <w:color w:val="000000"/>
          <w:sz w:val="24"/>
          <w:szCs w:val="24"/>
        </w:rPr>
        <w:t>.</w:t>
      </w:r>
      <w:r w:rsidR="003D77CC">
        <w:rPr>
          <w:rFonts w:ascii="Times New Roman" w:eastAsia="Times New Roman" w:hAnsi="Times New Roman" w:cs="Times New Roman"/>
          <w:iCs/>
          <w:color w:val="000000"/>
          <w:sz w:val="24"/>
          <w:szCs w:val="24"/>
        </w:rPr>
        <w:t> </w:t>
      </w:r>
      <w:r w:rsidR="006750C2" w:rsidRPr="00A07F29">
        <w:rPr>
          <w:rFonts w:ascii="Times New Roman" w:eastAsia="Times New Roman" w:hAnsi="Times New Roman" w:cs="Times New Roman"/>
          <w:iCs/>
          <w:color w:val="000000"/>
          <w:sz w:val="24"/>
          <w:szCs w:val="24"/>
        </w:rPr>
        <w:t xml:space="preserve">tabula. </w:t>
      </w:r>
      <w:r w:rsidRPr="00A07F29">
        <w:rPr>
          <w:rFonts w:ascii="Times New Roman" w:eastAsia="Times New Roman" w:hAnsi="Times New Roman" w:cs="Times New Roman"/>
          <w:iCs/>
          <w:color w:val="000000"/>
          <w:sz w:val="24"/>
          <w:szCs w:val="24"/>
        </w:rPr>
        <w:t>Medījamo dzīvnieku uzskaites</w:t>
      </w:r>
      <w:r w:rsidR="00B2405A" w:rsidRPr="00A07F29">
        <w:rPr>
          <w:rFonts w:ascii="Times New Roman" w:eastAsia="Times New Roman" w:hAnsi="Times New Roman" w:cs="Times New Roman"/>
          <w:iCs/>
          <w:color w:val="000000"/>
          <w:sz w:val="24"/>
          <w:szCs w:val="24"/>
        </w:rPr>
        <w:t xml:space="preserve"> (</w:t>
      </w:r>
      <w:r w:rsidRPr="00A07F29">
        <w:rPr>
          <w:rFonts w:ascii="Times New Roman" w:eastAsia="Times New Roman" w:hAnsi="Times New Roman" w:cs="Times New Roman"/>
          <w:iCs/>
          <w:color w:val="000000"/>
          <w:sz w:val="24"/>
          <w:szCs w:val="24"/>
        </w:rPr>
        <w:t>VMD</w:t>
      </w:r>
      <w:r w:rsidR="00613397">
        <w:rPr>
          <w:rFonts w:ascii="Times New Roman" w:eastAsia="Times New Roman" w:hAnsi="Times New Roman" w:cs="Times New Roman"/>
          <w:iCs/>
          <w:color w:val="000000"/>
          <w:sz w:val="24"/>
          <w:szCs w:val="24"/>
        </w:rPr>
        <w:t xml:space="preserve"> dati</w:t>
      </w:r>
      <w:r w:rsidR="006750C2" w:rsidRPr="00A07F29">
        <w:rPr>
          <w:rFonts w:ascii="Times New Roman" w:eastAsia="Times New Roman" w:hAnsi="Times New Roman" w:cs="Times New Roman"/>
          <w:iCs/>
          <w:color w:val="000000"/>
          <w:sz w:val="24"/>
          <w:szCs w:val="24"/>
        </w:rPr>
        <w:t>, 01.04.2019</w:t>
      </w:r>
      <w:r w:rsidR="00B2405A" w:rsidRPr="00A07F29">
        <w:rPr>
          <w:rFonts w:ascii="Times New Roman" w:eastAsia="Times New Roman" w:hAnsi="Times New Roman" w:cs="Times New Roman"/>
          <w:iCs/>
          <w:color w:val="000000"/>
          <w:sz w:val="24"/>
          <w:szCs w:val="24"/>
        </w:rPr>
        <w:t>.</w:t>
      </w:r>
      <w:r w:rsidR="006750C2" w:rsidRPr="00A07F29">
        <w:rPr>
          <w:rFonts w:ascii="Times New Roman" w:eastAsia="Times New Roman" w:hAnsi="Times New Roman" w:cs="Times New Roman"/>
          <w:iCs/>
          <w:color w:val="000000"/>
          <w:sz w:val="24"/>
          <w:szCs w:val="24"/>
        </w:rPr>
        <w:t>)</w:t>
      </w:r>
      <w:r w:rsidRPr="00A07F29">
        <w:rPr>
          <w:rFonts w:ascii="Times New Roman" w:eastAsia="Times New Roman" w:hAnsi="Times New Roman" w:cs="Times New Roman"/>
          <w:iCs/>
          <w:color w:val="000000"/>
          <w:sz w:val="24"/>
          <w:szCs w:val="24"/>
        </w:rPr>
        <w:t xml:space="preserve"> </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992"/>
        <w:gridCol w:w="426"/>
        <w:gridCol w:w="454"/>
        <w:gridCol w:w="396"/>
        <w:gridCol w:w="425"/>
        <w:gridCol w:w="313"/>
        <w:gridCol w:w="425"/>
        <w:gridCol w:w="425"/>
        <w:gridCol w:w="425"/>
        <w:gridCol w:w="426"/>
        <w:gridCol w:w="396"/>
        <w:gridCol w:w="425"/>
        <w:gridCol w:w="426"/>
        <w:gridCol w:w="425"/>
        <w:gridCol w:w="425"/>
        <w:gridCol w:w="567"/>
        <w:gridCol w:w="567"/>
        <w:gridCol w:w="425"/>
      </w:tblGrid>
      <w:tr w:rsidR="009072CE" w:rsidRPr="00A07F29" w14:paraId="5353824D" w14:textId="77777777" w:rsidTr="00786008">
        <w:trPr>
          <w:jc w:val="center"/>
        </w:trPr>
        <w:tc>
          <w:tcPr>
            <w:tcW w:w="709" w:type="dxa"/>
            <w:vMerge w:val="restart"/>
            <w:shd w:val="clear" w:color="auto" w:fill="D6E3BC" w:themeFill="accent3" w:themeFillTint="66"/>
          </w:tcPr>
          <w:p w14:paraId="30402055" w14:textId="77777777" w:rsidR="009072CE" w:rsidRPr="00A07F29" w:rsidRDefault="009072CE" w:rsidP="009072CE">
            <w:pPr>
              <w:spacing w:after="0" w:line="240" w:lineRule="auto"/>
              <w:jc w:val="center"/>
              <w:rPr>
                <w:rFonts w:ascii="Times New Roman" w:eastAsia="Calibri" w:hAnsi="Times New Roman" w:cs="Times New Roman"/>
                <w:sz w:val="18"/>
                <w:szCs w:val="18"/>
              </w:rPr>
            </w:pPr>
            <w:r w:rsidRPr="00A07F29">
              <w:rPr>
                <w:rFonts w:ascii="Times New Roman" w:eastAsia="Calibri" w:hAnsi="Times New Roman" w:cs="Times New Roman"/>
                <w:sz w:val="18"/>
                <w:szCs w:val="18"/>
              </w:rPr>
              <w:t>Uzskaites vienības kods</w:t>
            </w:r>
          </w:p>
        </w:tc>
        <w:tc>
          <w:tcPr>
            <w:tcW w:w="992" w:type="dxa"/>
            <w:vMerge w:val="restart"/>
            <w:shd w:val="clear" w:color="auto" w:fill="D6E3BC" w:themeFill="accent3" w:themeFillTint="66"/>
          </w:tcPr>
          <w:p w14:paraId="27253BAA" w14:textId="77777777" w:rsidR="009072CE" w:rsidRPr="00A07F29" w:rsidRDefault="009072CE" w:rsidP="009072CE">
            <w:pPr>
              <w:spacing w:after="0" w:line="240" w:lineRule="auto"/>
              <w:jc w:val="center"/>
              <w:rPr>
                <w:rFonts w:ascii="Times New Roman" w:eastAsia="Calibri" w:hAnsi="Times New Roman" w:cs="Times New Roman"/>
                <w:sz w:val="18"/>
                <w:szCs w:val="18"/>
              </w:rPr>
            </w:pPr>
            <w:r w:rsidRPr="00A07F29">
              <w:rPr>
                <w:rFonts w:ascii="Times New Roman" w:eastAsia="Calibri" w:hAnsi="Times New Roman" w:cs="Times New Roman"/>
                <w:sz w:val="18"/>
                <w:szCs w:val="18"/>
              </w:rPr>
              <w:t>Uzskaites vienības nosaukums</w:t>
            </w:r>
          </w:p>
        </w:tc>
        <w:tc>
          <w:tcPr>
            <w:tcW w:w="426" w:type="dxa"/>
            <w:vMerge w:val="restart"/>
            <w:tcBorders>
              <w:top w:val="single" w:sz="4" w:space="0" w:color="auto"/>
              <w:left w:val="single" w:sz="4" w:space="0" w:color="auto"/>
              <w:bottom w:val="single" w:sz="4" w:space="0" w:color="auto"/>
              <w:right w:val="single" w:sz="4" w:space="0" w:color="auto"/>
            </w:tcBorders>
            <w:shd w:val="clear" w:color="auto" w:fill="D6E3BC" w:themeFill="accent3" w:themeFillTint="66"/>
            <w:textDirection w:val="btLr"/>
          </w:tcPr>
          <w:p w14:paraId="5A6EB9FB" w14:textId="77777777" w:rsidR="009072CE" w:rsidRPr="00A07F29" w:rsidRDefault="009072CE" w:rsidP="009072CE">
            <w:pPr>
              <w:spacing w:after="0" w:line="240" w:lineRule="auto"/>
              <w:jc w:val="center"/>
              <w:rPr>
                <w:rFonts w:ascii="Times New Roman" w:eastAsia="Calibri" w:hAnsi="Times New Roman" w:cs="Times New Roman"/>
                <w:sz w:val="18"/>
                <w:szCs w:val="18"/>
              </w:rPr>
            </w:pPr>
            <w:r w:rsidRPr="00A07F29">
              <w:rPr>
                <w:rFonts w:ascii="Times New Roman" w:eastAsia="Calibri" w:hAnsi="Times New Roman" w:cs="Times New Roman"/>
                <w:sz w:val="18"/>
                <w:szCs w:val="18"/>
              </w:rPr>
              <w:t>Aļņi</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D6E3BC" w:themeFill="accent3" w:themeFillTint="66"/>
            <w:textDirection w:val="btLr"/>
          </w:tcPr>
          <w:p w14:paraId="64E1A820" w14:textId="77777777" w:rsidR="009072CE" w:rsidRPr="00A07F29" w:rsidRDefault="009072CE" w:rsidP="009072CE">
            <w:pPr>
              <w:spacing w:after="0" w:line="240" w:lineRule="auto"/>
              <w:jc w:val="center"/>
              <w:rPr>
                <w:rFonts w:ascii="Times New Roman" w:eastAsia="Calibri" w:hAnsi="Times New Roman" w:cs="Times New Roman"/>
                <w:sz w:val="18"/>
                <w:szCs w:val="18"/>
              </w:rPr>
            </w:pPr>
            <w:r w:rsidRPr="00A07F29">
              <w:rPr>
                <w:rFonts w:ascii="Times New Roman" w:eastAsia="Calibri" w:hAnsi="Times New Roman" w:cs="Times New Roman"/>
                <w:sz w:val="18"/>
                <w:szCs w:val="18"/>
              </w:rPr>
              <w:t>Staltbrieži</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D6E3BC" w:themeFill="accent3" w:themeFillTint="66"/>
            <w:textDirection w:val="btLr"/>
          </w:tcPr>
          <w:p w14:paraId="3FFBBA94" w14:textId="77777777" w:rsidR="009072CE" w:rsidRPr="00A07F29" w:rsidRDefault="009072CE" w:rsidP="009072CE">
            <w:pPr>
              <w:spacing w:after="0" w:line="240" w:lineRule="auto"/>
              <w:jc w:val="center"/>
              <w:rPr>
                <w:rFonts w:ascii="Times New Roman" w:eastAsia="Calibri" w:hAnsi="Times New Roman" w:cs="Times New Roman"/>
                <w:sz w:val="18"/>
                <w:szCs w:val="18"/>
              </w:rPr>
            </w:pPr>
            <w:r w:rsidRPr="00A07F29">
              <w:rPr>
                <w:rFonts w:ascii="Times New Roman" w:eastAsia="Calibri" w:hAnsi="Times New Roman" w:cs="Times New Roman"/>
                <w:sz w:val="18"/>
                <w:szCs w:val="18"/>
              </w:rPr>
              <w:t>Stirnas</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D6E3BC" w:themeFill="accent3" w:themeFillTint="66"/>
            <w:textDirection w:val="btLr"/>
          </w:tcPr>
          <w:p w14:paraId="37318945" w14:textId="77777777" w:rsidR="009072CE" w:rsidRPr="00A07F29" w:rsidRDefault="009072CE" w:rsidP="009072CE">
            <w:pPr>
              <w:spacing w:after="0" w:line="240" w:lineRule="auto"/>
              <w:jc w:val="center"/>
              <w:rPr>
                <w:rFonts w:ascii="Times New Roman" w:eastAsia="Calibri" w:hAnsi="Times New Roman" w:cs="Times New Roman"/>
                <w:sz w:val="18"/>
                <w:szCs w:val="18"/>
              </w:rPr>
            </w:pPr>
            <w:r w:rsidRPr="00A07F29">
              <w:rPr>
                <w:rFonts w:ascii="Times New Roman" w:eastAsia="Calibri" w:hAnsi="Times New Roman" w:cs="Times New Roman"/>
                <w:sz w:val="18"/>
                <w:szCs w:val="18"/>
              </w:rPr>
              <w:t>Mežacūkas</w:t>
            </w:r>
          </w:p>
        </w:tc>
        <w:tc>
          <w:tcPr>
            <w:tcW w:w="313" w:type="dxa"/>
            <w:vMerge w:val="restart"/>
            <w:tcBorders>
              <w:top w:val="single" w:sz="4" w:space="0" w:color="auto"/>
              <w:left w:val="single" w:sz="4" w:space="0" w:color="auto"/>
              <w:bottom w:val="single" w:sz="4" w:space="0" w:color="auto"/>
              <w:right w:val="single" w:sz="4" w:space="0" w:color="auto"/>
            </w:tcBorders>
            <w:shd w:val="clear" w:color="auto" w:fill="D6E3BC" w:themeFill="accent3" w:themeFillTint="66"/>
            <w:textDirection w:val="btLr"/>
          </w:tcPr>
          <w:p w14:paraId="026BFD2D" w14:textId="77777777" w:rsidR="009072CE" w:rsidRPr="00A07F29" w:rsidRDefault="009072CE" w:rsidP="009072CE">
            <w:pPr>
              <w:spacing w:after="0" w:line="240" w:lineRule="auto"/>
              <w:jc w:val="center"/>
              <w:rPr>
                <w:rFonts w:ascii="Times New Roman" w:eastAsia="Calibri" w:hAnsi="Times New Roman" w:cs="Times New Roman"/>
                <w:sz w:val="18"/>
                <w:szCs w:val="18"/>
              </w:rPr>
            </w:pPr>
            <w:r w:rsidRPr="00A07F29">
              <w:rPr>
                <w:rFonts w:ascii="Times New Roman" w:eastAsia="Calibri" w:hAnsi="Times New Roman" w:cs="Times New Roman"/>
                <w:sz w:val="18"/>
                <w:szCs w:val="18"/>
              </w:rPr>
              <w:t>Vilki</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D6E3BC" w:themeFill="accent3" w:themeFillTint="66"/>
            <w:textDirection w:val="btLr"/>
          </w:tcPr>
          <w:p w14:paraId="03DC6A6A" w14:textId="77777777" w:rsidR="009072CE" w:rsidRPr="00A07F29" w:rsidRDefault="009072CE" w:rsidP="009072CE">
            <w:pPr>
              <w:spacing w:after="0" w:line="240" w:lineRule="auto"/>
              <w:jc w:val="center"/>
              <w:rPr>
                <w:rFonts w:ascii="Times New Roman" w:eastAsia="Calibri" w:hAnsi="Times New Roman" w:cs="Times New Roman"/>
                <w:sz w:val="18"/>
                <w:szCs w:val="18"/>
              </w:rPr>
            </w:pPr>
            <w:r w:rsidRPr="00A07F29">
              <w:rPr>
                <w:rFonts w:ascii="Times New Roman" w:eastAsia="Calibri" w:hAnsi="Times New Roman" w:cs="Times New Roman"/>
                <w:sz w:val="18"/>
                <w:szCs w:val="18"/>
              </w:rPr>
              <w:t>Lūši</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D6E3BC" w:themeFill="accent3" w:themeFillTint="66"/>
            <w:textDirection w:val="btLr"/>
          </w:tcPr>
          <w:p w14:paraId="39EB076D" w14:textId="77777777" w:rsidR="009072CE" w:rsidRPr="00A07F29" w:rsidRDefault="009072CE" w:rsidP="009072CE">
            <w:pPr>
              <w:spacing w:after="0" w:line="240" w:lineRule="auto"/>
              <w:jc w:val="center"/>
              <w:rPr>
                <w:rFonts w:ascii="Times New Roman" w:eastAsia="Calibri" w:hAnsi="Times New Roman" w:cs="Times New Roman"/>
                <w:sz w:val="18"/>
                <w:szCs w:val="18"/>
              </w:rPr>
            </w:pPr>
            <w:r w:rsidRPr="00A07F29">
              <w:rPr>
                <w:rFonts w:ascii="Times New Roman" w:eastAsia="Calibri" w:hAnsi="Times New Roman" w:cs="Times New Roman"/>
                <w:sz w:val="18"/>
                <w:szCs w:val="18"/>
              </w:rPr>
              <w:t>Lapsas</w:t>
            </w:r>
          </w:p>
        </w:tc>
        <w:tc>
          <w:tcPr>
            <w:tcW w:w="851"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0888C3CC" w14:textId="77777777" w:rsidR="009072CE" w:rsidRPr="00A07F29" w:rsidRDefault="009072CE" w:rsidP="009072CE">
            <w:pPr>
              <w:spacing w:after="0" w:line="240" w:lineRule="auto"/>
              <w:jc w:val="center"/>
              <w:rPr>
                <w:rFonts w:ascii="Times New Roman" w:eastAsia="Calibri" w:hAnsi="Times New Roman" w:cs="Times New Roman"/>
                <w:sz w:val="18"/>
                <w:szCs w:val="18"/>
              </w:rPr>
            </w:pPr>
            <w:r w:rsidRPr="00A07F29">
              <w:rPr>
                <w:rFonts w:ascii="Times New Roman" w:eastAsia="Calibri" w:hAnsi="Times New Roman" w:cs="Times New Roman"/>
                <w:sz w:val="18"/>
                <w:szCs w:val="18"/>
              </w:rPr>
              <w:t>Zaķi</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D6E3BC" w:themeFill="accent3" w:themeFillTint="66"/>
            <w:textDirection w:val="btLr"/>
          </w:tcPr>
          <w:p w14:paraId="01CC2030" w14:textId="77777777" w:rsidR="009072CE" w:rsidRPr="00A07F29" w:rsidRDefault="009072CE" w:rsidP="009072CE">
            <w:pPr>
              <w:spacing w:after="0" w:line="240" w:lineRule="auto"/>
              <w:jc w:val="center"/>
              <w:rPr>
                <w:rFonts w:ascii="Times New Roman" w:eastAsia="Calibri" w:hAnsi="Times New Roman" w:cs="Times New Roman"/>
                <w:sz w:val="18"/>
                <w:szCs w:val="18"/>
              </w:rPr>
            </w:pPr>
            <w:r w:rsidRPr="00A07F29">
              <w:rPr>
                <w:rFonts w:ascii="Times New Roman" w:eastAsia="Calibri" w:hAnsi="Times New Roman" w:cs="Times New Roman"/>
                <w:sz w:val="18"/>
                <w:szCs w:val="18"/>
              </w:rPr>
              <w:t>Bebri</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D6E3BC" w:themeFill="accent3" w:themeFillTint="66"/>
            <w:textDirection w:val="btLr"/>
          </w:tcPr>
          <w:p w14:paraId="0EFB71F6" w14:textId="77777777" w:rsidR="009072CE" w:rsidRPr="00A07F29" w:rsidRDefault="009072CE" w:rsidP="009072CE">
            <w:pPr>
              <w:spacing w:after="0" w:line="240" w:lineRule="auto"/>
              <w:jc w:val="center"/>
              <w:rPr>
                <w:rFonts w:ascii="Times New Roman" w:eastAsia="Calibri" w:hAnsi="Times New Roman" w:cs="Times New Roman"/>
                <w:sz w:val="18"/>
                <w:szCs w:val="18"/>
              </w:rPr>
            </w:pPr>
            <w:r w:rsidRPr="00A07F29">
              <w:rPr>
                <w:rFonts w:ascii="Times New Roman" w:eastAsia="Calibri" w:hAnsi="Times New Roman" w:cs="Times New Roman"/>
                <w:sz w:val="18"/>
                <w:szCs w:val="18"/>
              </w:rPr>
              <w:t>Jenotsuņi</w:t>
            </w:r>
          </w:p>
        </w:tc>
        <w:tc>
          <w:tcPr>
            <w:tcW w:w="851" w:type="dxa"/>
            <w:gridSpan w:val="2"/>
            <w:shd w:val="clear" w:color="auto" w:fill="D6E3BC" w:themeFill="accent3" w:themeFillTint="66"/>
          </w:tcPr>
          <w:p w14:paraId="5F4F9766" w14:textId="77777777" w:rsidR="009072CE" w:rsidRPr="00A07F29" w:rsidRDefault="009072CE" w:rsidP="009072CE">
            <w:pPr>
              <w:spacing w:after="0" w:line="240" w:lineRule="auto"/>
              <w:jc w:val="center"/>
              <w:rPr>
                <w:rFonts w:ascii="Times New Roman" w:eastAsia="Calibri" w:hAnsi="Times New Roman" w:cs="Times New Roman"/>
                <w:sz w:val="18"/>
                <w:szCs w:val="18"/>
              </w:rPr>
            </w:pPr>
            <w:r w:rsidRPr="00A07F29">
              <w:rPr>
                <w:rFonts w:ascii="Times New Roman" w:eastAsia="Calibri" w:hAnsi="Times New Roman" w:cs="Times New Roman"/>
                <w:sz w:val="18"/>
                <w:szCs w:val="18"/>
              </w:rPr>
              <w:t>Caunas</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D6E3BC" w:themeFill="accent3" w:themeFillTint="66"/>
            <w:textDirection w:val="btLr"/>
          </w:tcPr>
          <w:p w14:paraId="0B701B45" w14:textId="77777777" w:rsidR="009072CE" w:rsidRPr="00A07F29" w:rsidRDefault="009072CE" w:rsidP="009072CE">
            <w:pPr>
              <w:spacing w:after="0" w:line="240" w:lineRule="auto"/>
              <w:jc w:val="center"/>
              <w:rPr>
                <w:rFonts w:ascii="Times New Roman" w:eastAsia="Calibri" w:hAnsi="Times New Roman" w:cs="Times New Roman"/>
                <w:sz w:val="18"/>
                <w:szCs w:val="18"/>
              </w:rPr>
            </w:pPr>
            <w:r w:rsidRPr="00A07F29">
              <w:rPr>
                <w:rFonts w:ascii="Times New Roman" w:eastAsia="Calibri" w:hAnsi="Times New Roman" w:cs="Times New Roman"/>
                <w:sz w:val="18"/>
                <w:szCs w:val="18"/>
              </w:rPr>
              <w:t>Āpši</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D6E3BC" w:themeFill="accent3" w:themeFillTint="66"/>
            <w:textDirection w:val="btLr"/>
          </w:tcPr>
          <w:p w14:paraId="66D2D92A" w14:textId="77777777" w:rsidR="009072CE" w:rsidRPr="00A07F29" w:rsidRDefault="009072CE" w:rsidP="009072CE">
            <w:pPr>
              <w:spacing w:after="0" w:line="240" w:lineRule="auto"/>
              <w:jc w:val="center"/>
              <w:rPr>
                <w:rFonts w:ascii="Times New Roman" w:eastAsia="Calibri" w:hAnsi="Times New Roman" w:cs="Times New Roman"/>
                <w:sz w:val="18"/>
                <w:szCs w:val="18"/>
              </w:rPr>
            </w:pPr>
            <w:r w:rsidRPr="00A07F29">
              <w:rPr>
                <w:rFonts w:ascii="Times New Roman" w:eastAsia="Calibri" w:hAnsi="Times New Roman" w:cs="Times New Roman"/>
                <w:sz w:val="18"/>
                <w:szCs w:val="18"/>
              </w:rPr>
              <w:t>Seski</w:t>
            </w:r>
          </w:p>
        </w:tc>
        <w:tc>
          <w:tcPr>
            <w:tcW w:w="567" w:type="dxa"/>
            <w:vMerge w:val="restart"/>
            <w:tcBorders>
              <w:top w:val="single" w:sz="4" w:space="0" w:color="auto"/>
              <w:left w:val="single" w:sz="4" w:space="0" w:color="auto"/>
              <w:right w:val="single" w:sz="4" w:space="0" w:color="auto"/>
            </w:tcBorders>
            <w:shd w:val="clear" w:color="auto" w:fill="D6E3BC" w:themeFill="accent3" w:themeFillTint="66"/>
            <w:textDirection w:val="btLr"/>
          </w:tcPr>
          <w:p w14:paraId="41E21BD1" w14:textId="77777777" w:rsidR="009072CE" w:rsidRPr="00A07F29" w:rsidRDefault="009072CE" w:rsidP="009072CE">
            <w:pPr>
              <w:spacing w:after="0" w:line="240" w:lineRule="auto"/>
              <w:jc w:val="center"/>
              <w:rPr>
                <w:rFonts w:ascii="Times New Roman" w:eastAsia="Calibri" w:hAnsi="Times New Roman" w:cs="Times New Roman"/>
                <w:sz w:val="18"/>
                <w:szCs w:val="18"/>
              </w:rPr>
            </w:pPr>
            <w:r w:rsidRPr="00A07F29">
              <w:rPr>
                <w:rFonts w:ascii="Times New Roman" w:eastAsia="Calibri" w:hAnsi="Times New Roman" w:cs="Times New Roman"/>
                <w:sz w:val="18"/>
                <w:szCs w:val="18"/>
              </w:rPr>
              <w:t>Ūdeles</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D6E3BC" w:themeFill="accent3" w:themeFillTint="66"/>
            <w:textDirection w:val="btLr"/>
          </w:tcPr>
          <w:p w14:paraId="1A51E88F" w14:textId="77777777" w:rsidR="009072CE" w:rsidRPr="00A07F29" w:rsidRDefault="009072CE" w:rsidP="009072CE">
            <w:pPr>
              <w:spacing w:after="0" w:line="240" w:lineRule="auto"/>
              <w:jc w:val="center"/>
              <w:rPr>
                <w:rFonts w:ascii="Times New Roman" w:eastAsia="Calibri" w:hAnsi="Times New Roman" w:cs="Times New Roman"/>
                <w:sz w:val="18"/>
                <w:szCs w:val="18"/>
              </w:rPr>
            </w:pPr>
            <w:r w:rsidRPr="00A07F29">
              <w:rPr>
                <w:rFonts w:ascii="Times New Roman" w:eastAsia="Calibri" w:hAnsi="Times New Roman" w:cs="Times New Roman"/>
                <w:sz w:val="18"/>
                <w:szCs w:val="18"/>
              </w:rPr>
              <w:t>Ondatras</w:t>
            </w:r>
          </w:p>
        </w:tc>
      </w:tr>
      <w:tr w:rsidR="009072CE" w:rsidRPr="00A07F29" w14:paraId="0B44F9BB" w14:textId="77777777" w:rsidTr="00786008">
        <w:trPr>
          <w:cantSplit/>
          <w:trHeight w:val="1134"/>
          <w:jc w:val="center"/>
        </w:trPr>
        <w:tc>
          <w:tcPr>
            <w:tcW w:w="709" w:type="dxa"/>
            <w:vMerge/>
            <w:shd w:val="clear" w:color="auto" w:fill="auto"/>
          </w:tcPr>
          <w:p w14:paraId="45BAA155" w14:textId="77777777" w:rsidR="009072CE" w:rsidRPr="00A07F29" w:rsidRDefault="009072CE" w:rsidP="009072CE">
            <w:pPr>
              <w:spacing w:after="0" w:line="240" w:lineRule="auto"/>
              <w:jc w:val="center"/>
              <w:rPr>
                <w:rFonts w:ascii="Times New Roman" w:eastAsia="Calibri" w:hAnsi="Times New Roman" w:cs="Times New Roman"/>
                <w:sz w:val="18"/>
                <w:szCs w:val="18"/>
              </w:rPr>
            </w:pPr>
          </w:p>
        </w:tc>
        <w:tc>
          <w:tcPr>
            <w:tcW w:w="992" w:type="dxa"/>
            <w:vMerge/>
            <w:shd w:val="clear" w:color="auto" w:fill="auto"/>
          </w:tcPr>
          <w:p w14:paraId="23CC2028" w14:textId="77777777" w:rsidR="009072CE" w:rsidRPr="00A07F29" w:rsidRDefault="009072CE" w:rsidP="009072CE">
            <w:pPr>
              <w:spacing w:after="0" w:line="240" w:lineRule="auto"/>
              <w:jc w:val="center"/>
              <w:rPr>
                <w:rFonts w:ascii="Times New Roman" w:eastAsia="Calibri" w:hAnsi="Times New Roman" w:cs="Times New Roman"/>
                <w:sz w:val="18"/>
                <w:szCs w:val="18"/>
              </w:rPr>
            </w:pPr>
          </w:p>
        </w:tc>
        <w:tc>
          <w:tcPr>
            <w:tcW w:w="42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8FA760C" w14:textId="77777777" w:rsidR="009072CE" w:rsidRPr="00A07F29" w:rsidRDefault="009072CE" w:rsidP="009072CE">
            <w:pPr>
              <w:spacing w:after="0" w:line="240" w:lineRule="auto"/>
              <w:jc w:val="center"/>
              <w:rPr>
                <w:rFonts w:ascii="Times New Roman" w:eastAsia="Calibri" w:hAnsi="Times New Roman" w:cs="Times New Roman"/>
                <w:sz w:val="18"/>
                <w:szCs w:val="18"/>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B8F8A31" w14:textId="77777777" w:rsidR="009072CE" w:rsidRPr="00A07F29" w:rsidRDefault="009072CE" w:rsidP="009072CE">
            <w:pPr>
              <w:spacing w:after="0" w:line="240" w:lineRule="auto"/>
              <w:jc w:val="center"/>
              <w:rPr>
                <w:rFonts w:ascii="Times New Roman" w:eastAsia="Calibri" w:hAnsi="Times New Roman" w:cs="Times New Roman"/>
                <w:sz w:val="18"/>
                <w:szCs w:val="18"/>
              </w:rPr>
            </w:pPr>
          </w:p>
        </w:tc>
        <w:tc>
          <w:tcPr>
            <w:tcW w:w="39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CB55FDA" w14:textId="77777777" w:rsidR="009072CE" w:rsidRPr="00A07F29" w:rsidRDefault="009072CE" w:rsidP="009072CE">
            <w:pPr>
              <w:spacing w:after="0" w:line="240" w:lineRule="auto"/>
              <w:jc w:val="center"/>
              <w:rPr>
                <w:rFonts w:ascii="Times New Roman" w:eastAsia="Calibri" w:hAnsi="Times New Roman" w:cs="Times New Roman"/>
                <w:sz w:val="18"/>
                <w:szCs w:val="18"/>
              </w:rPr>
            </w:pPr>
          </w:p>
        </w:tc>
        <w:tc>
          <w:tcPr>
            <w:tcW w:w="4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52B1752" w14:textId="77777777" w:rsidR="009072CE" w:rsidRPr="00A07F29" w:rsidRDefault="009072CE" w:rsidP="009072CE">
            <w:pPr>
              <w:spacing w:after="0" w:line="240" w:lineRule="auto"/>
              <w:jc w:val="center"/>
              <w:rPr>
                <w:rFonts w:ascii="Times New Roman" w:eastAsia="Calibri" w:hAnsi="Times New Roman" w:cs="Times New Roman"/>
                <w:sz w:val="18"/>
                <w:szCs w:val="18"/>
              </w:rPr>
            </w:pPr>
          </w:p>
        </w:tc>
        <w:tc>
          <w:tcPr>
            <w:tcW w:w="31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12A78A2" w14:textId="77777777" w:rsidR="009072CE" w:rsidRPr="00A07F29" w:rsidRDefault="009072CE" w:rsidP="009072CE">
            <w:pPr>
              <w:spacing w:after="0" w:line="240" w:lineRule="auto"/>
              <w:jc w:val="center"/>
              <w:rPr>
                <w:rFonts w:ascii="Times New Roman" w:eastAsia="Calibri" w:hAnsi="Times New Roman" w:cs="Times New Roman"/>
                <w:sz w:val="18"/>
                <w:szCs w:val="18"/>
              </w:rPr>
            </w:pPr>
          </w:p>
        </w:tc>
        <w:tc>
          <w:tcPr>
            <w:tcW w:w="4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562C283" w14:textId="77777777" w:rsidR="009072CE" w:rsidRPr="00A07F29" w:rsidRDefault="009072CE" w:rsidP="009072CE">
            <w:pPr>
              <w:spacing w:after="0" w:line="240" w:lineRule="auto"/>
              <w:jc w:val="center"/>
              <w:rPr>
                <w:rFonts w:ascii="Times New Roman" w:eastAsia="Calibri" w:hAnsi="Times New Roman" w:cs="Times New Roman"/>
                <w:sz w:val="18"/>
                <w:szCs w:val="18"/>
              </w:rPr>
            </w:pPr>
          </w:p>
        </w:tc>
        <w:tc>
          <w:tcPr>
            <w:tcW w:w="4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8CCBF2E" w14:textId="77777777" w:rsidR="009072CE" w:rsidRPr="00A07F29" w:rsidRDefault="009072CE" w:rsidP="009072CE">
            <w:pPr>
              <w:spacing w:after="0" w:line="240" w:lineRule="auto"/>
              <w:jc w:val="center"/>
              <w:rPr>
                <w:rFonts w:ascii="Times New Roman" w:eastAsia="Calibri"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D6E3BC" w:themeFill="accent3" w:themeFillTint="66"/>
            <w:textDirection w:val="btLr"/>
          </w:tcPr>
          <w:p w14:paraId="21CF2C44" w14:textId="77777777" w:rsidR="009072CE" w:rsidRPr="00A07F29" w:rsidRDefault="009072CE" w:rsidP="009072CE">
            <w:pPr>
              <w:spacing w:after="0" w:line="240" w:lineRule="auto"/>
              <w:jc w:val="center"/>
              <w:rPr>
                <w:rFonts w:ascii="Times New Roman" w:eastAsia="Calibri" w:hAnsi="Times New Roman" w:cs="Times New Roman"/>
                <w:sz w:val="18"/>
                <w:szCs w:val="18"/>
              </w:rPr>
            </w:pPr>
            <w:r w:rsidRPr="00A07F29">
              <w:rPr>
                <w:rFonts w:ascii="Times New Roman" w:eastAsia="Calibri" w:hAnsi="Times New Roman" w:cs="Times New Roman"/>
                <w:sz w:val="18"/>
                <w:szCs w:val="18"/>
              </w:rPr>
              <w:t>Pelēkie</w:t>
            </w:r>
          </w:p>
        </w:tc>
        <w:tc>
          <w:tcPr>
            <w:tcW w:w="426" w:type="dxa"/>
            <w:tcBorders>
              <w:top w:val="single" w:sz="4" w:space="0" w:color="auto"/>
              <w:left w:val="single" w:sz="4" w:space="0" w:color="auto"/>
              <w:bottom w:val="single" w:sz="4" w:space="0" w:color="auto"/>
              <w:right w:val="single" w:sz="4" w:space="0" w:color="auto"/>
            </w:tcBorders>
            <w:shd w:val="clear" w:color="auto" w:fill="D6E3BC" w:themeFill="accent3" w:themeFillTint="66"/>
            <w:textDirection w:val="btLr"/>
          </w:tcPr>
          <w:p w14:paraId="23E1FD67" w14:textId="77777777" w:rsidR="009072CE" w:rsidRPr="00A07F29" w:rsidRDefault="009072CE" w:rsidP="009072CE">
            <w:pPr>
              <w:spacing w:after="0" w:line="240" w:lineRule="auto"/>
              <w:jc w:val="center"/>
              <w:rPr>
                <w:rFonts w:ascii="Times New Roman" w:eastAsia="Calibri" w:hAnsi="Times New Roman" w:cs="Times New Roman"/>
                <w:sz w:val="18"/>
                <w:szCs w:val="18"/>
              </w:rPr>
            </w:pPr>
            <w:r w:rsidRPr="00A07F29">
              <w:rPr>
                <w:rFonts w:ascii="Times New Roman" w:eastAsia="Calibri" w:hAnsi="Times New Roman" w:cs="Times New Roman"/>
                <w:sz w:val="18"/>
                <w:szCs w:val="18"/>
              </w:rPr>
              <w:t>Baltie</w:t>
            </w:r>
          </w:p>
        </w:tc>
        <w:tc>
          <w:tcPr>
            <w:tcW w:w="396" w:type="dxa"/>
            <w:vMerge/>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2FC323F2" w14:textId="77777777" w:rsidR="009072CE" w:rsidRPr="00A07F29" w:rsidRDefault="009072CE" w:rsidP="009072CE">
            <w:pPr>
              <w:spacing w:after="0" w:line="240" w:lineRule="auto"/>
              <w:jc w:val="center"/>
              <w:rPr>
                <w:rFonts w:ascii="Times New Roman" w:eastAsia="Calibri" w:hAnsi="Times New Roman" w:cs="Times New Roman"/>
                <w:sz w:val="18"/>
                <w:szCs w:val="18"/>
              </w:rPr>
            </w:pPr>
          </w:p>
        </w:tc>
        <w:tc>
          <w:tcPr>
            <w:tcW w:w="425" w:type="dxa"/>
            <w:vMerge/>
            <w:shd w:val="clear" w:color="auto" w:fill="D6E3BC" w:themeFill="accent3" w:themeFillTint="66"/>
          </w:tcPr>
          <w:p w14:paraId="6C46D859" w14:textId="77777777" w:rsidR="009072CE" w:rsidRPr="00A07F29" w:rsidRDefault="009072CE" w:rsidP="009072CE">
            <w:pPr>
              <w:spacing w:after="0" w:line="240" w:lineRule="auto"/>
              <w:jc w:val="center"/>
              <w:rPr>
                <w:rFonts w:ascii="Times New Roman" w:eastAsia="Calibri" w:hAnsi="Times New Roman" w:cs="Times New Roman"/>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D6E3BC" w:themeFill="accent3" w:themeFillTint="66"/>
            <w:textDirection w:val="btLr"/>
          </w:tcPr>
          <w:p w14:paraId="74E6BB93" w14:textId="77777777" w:rsidR="009072CE" w:rsidRPr="00A07F29" w:rsidRDefault="009072CE" w:rsidP="009072CE">
            <w:pPr>
              <w:spacing w:after="0" w:line="240" w:lineRule="auto"/>
              <w:jc w:val="center"/>
              <w:rPr>
                <w:rFonts w:ascii="Times New Roman" w:eastAsia="Calibri" w:hAnsi="Times New Roman" w:cs="Times New Roman"/>
                <w:sz w:val="18"/>
                <w:szCs w:val="18"/>
              </w:rPr>
            </w:pPr>
            <w:r w:rsidRPr="00A07F29">
              <w:rPr>
                <w:rFonts w:ascii="Times New Roman" w:eastAsia="Calibri" w:hAnsi="Times New Roman" w:cs="Times New Roman"/>
                <w:sz w:val="18"/>
                <w:szCs w:val="18"/>
              </w:rPr>
              <w:t>Meža</w:t>
            </w:r>
          </w:p>
        </w:tc>
        <w:tc>
          <w:tcPr>
            <w:tcW w:w="425" w:type="dxa"/>
            <w:tcBorders>
              <w:top w:val="single" w:sz="4" w:space="0" w:color="auto"/>
              <w:left w:val="single" w:sz="4" w:space="0" w:color="auto"/>
              <w:bottom w:val="single" w:sz="4" w:space="0" w:color="auto"/>
              <w:right w:val="single" w:sz="4" w:space="0" w:color="auto"/>
            </w:tcBorders>
            <w:shd w:val="clear" w:color="auto" w:fill="D6E3BC" w:themeFill="accent3" w:themeFillTint="66"/>
            <w:textDirection w:val="btLr"/>
          </w:tcPr>
          <w:p w14:paraId="52B6F04F" w14:textId="77777777" w:rsidR="009072CE" w:rsidRPr="00A07F29" w:rsidRDefault="009072CE" w:rsidP="009072CE">
            <w:pPr>
              <w:spacing w:after="0" w:line="240" w:lineRule="auto"/>
              <w:jc w:val="center"/>
              <w:rPr>
                <w:rFonts w:ascii="Times New Roman" w:eastAsia="Calibri" w:hAnsi="Times New Roman" w:cs="Times New Roman"/>
                <w:sz w:val="18"/>
                <w:szCs w:val="18"/>
              </w:rPr>
            </w:pPr>
            <w:r w:rsidRPr="00A07F29">
              <w:rPr>
                <w:rFonts w:ascii="Times New Roman" w:eastAsia="Calibri" w:hAnsi="Times New Roman" w:cs="Times New Roman"/>
                <w:sz w:val="18"/>
                <w:szCs w:val="18"/>
              </w:rPr>
              <w:t>Akmeņu</w:t>
            </w:r>
          </w:p>
        </w:tc>
        <w:tc>
          <w:tcPr>
            <w:tcW w:w="4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F2DF4EB" w14:textId="77777777" w:rsidR="009072CE" w:rsidRPr="00A07F29" w:rsidRDefault="009072CE" w:rsidP="009072CE">
            <w:pPr>
              <w:spacing w:after="0" w:line="240" w:lineRule="auto"/>
              <w:jc w:val="center"/>
              <w:rPr>
                <w:rFonts w:ascii="Times New Roman" w:eastAsia="Calibri" w:hAnsi="Times New Roman" w:cs="Times New Roman"/>
                <w:sz w:val="18"/>
                <w:szCs w:val="18"/>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119BCA1" w14:textId="77777777" w:rsidR="009072CE" w:rsidRPr="00A07F29" w:rsidRDefault="009072CE" w:rsidP="009072CE">
            <w:pPr>
              <w:spacing w:after="0" w:line="240" w:lineRule="auto"/>
              <w:jc w:val="center"/>
              <w:rPr>
                <w:rFonts w:ascii="Times New Roman" w:eastAsia="Calibri" w:hAnsi="Times New Roman" w:cs="Times New Roman"/>
                <w:sz w:val="18"/>
                <w:szCs w:val="18"/>
              </w:rPr>
            </w:pPr>
          </w:p>
        </w:tc>
        <w:tc>
          <w:tcPr>
            <w:tcW w:w="567" w:type="dxa"/>
            <w:vMerge/>
            <w:tcBorders>
              <w:left w:val="single" w:sz="4" w:space="0" w:color="auto"/>
              <w:right w:val="single" w:sz="4" w:space="0" w:color="auto"/>
            </w:tcBorders>
            <w:shd w:val="clear" w:color="auto" w:fill="auto"/>
          </w:tcPr>
          <w:p w14:paraId="43663D7C" w14:textId="77777777" w:rsidR="009072CE" w:rsidRPr="00A07F29" w:rsidRDefault="009072CE" w:rsidP="009072CE">
            <w:pPr>
              <w:spacing w:after="0" w:line="240" w:lineRule="auto"/>
              <w:jc w:val="center"/>
              <w:rPr>
                <w:rFonts w:ascii="Times New Roman" w:eastAsia="Calibri" w:hAnsi="Times New Roman" w:cs="Times New Roman"/>
                <w:sz w:val="18"/>
                <w:szCs w:val="18"/>
              </w:rPr>
            </w:pPr>
          </w:p>
        </w:tc>
        <w:tc>
          <w:tcPr>
            <w:tcW w:w="425" w:type="dxa"/>
            <w:vMerge/>
            <w:tcBorders>
              <w:left w:val="single" w:sz="4" w:space="0" w:color="auto"/>
            </w:tcBorders>
            <w:shd w:val="clear" w:color="auto" w:fill="auto"/>
          </w:tcPr>
          <w:p w14:paraId="4451A573" w14:textId="77777777" w:rsidR="009072CE" w:rsidRPr="00A07F29" w:rsidRDefault="009072CE" w:rsidP="009072CE">
            <w:pPr>
              <w:spacing w:after="0" w:line="240" w:lineRule="auto"/>
              <w:jc w:val="center"/>
              <w:rPr>
                <w:rFonts w:ascii="Times New Roman" w:eastAsia="Calibri" w:hAnsi="Times New Roman" w:cs="Times New Roman"/>
                <w:sz w:val="18"/>
                <w:szCs w:val="18"/>
              </w:rPr>
            </w:pPr>
          </w:p>
        </w:tc>
      </w:tr>
      <w:tr w:rsidR="009072CE" w:rsidRPr="00A07F29" w14:paraId="3ABC2C60" w14:textId="77777777" w:rsidTr="00786008">
        <w:trPr>
          <w:jc w:val="center"/>
        </w:trPr>
        <w:tc>
          <w:tcPr>
            <w:tcW w:w="709" w:type="dxa"/>
            <w:shd w:val="clear" w:color="auto" w:fill="auto"/>
          </w:tcPr>
          <w:p w14:paraId="702D4350" w14:textId="77777777" w:rsidR="009072CE" w:rsidRPr="00A07F29" w:rsidRDefault="009072CE" w:rsidP="009072CE">
            <w:pPr>
              <w:spacing w:after="0" w:line="240" w:lineRule="auto"/>
              <w:jc w:val="center"/>
              <w:rPr>
                <w:rFonts w:ascii="Times New Roman" w:eastAsia="Calibri" w:hAnsi="Times New Roman" w:cs="Times New Roman"/>
                <w:sz w:val="18"/>
                <w:szCs w:val="18"/>
              </w:rPr>
            </w:pPr>
            <w:r w:rsidRPr="00A07F29">
              <w:rPr>
                <w:rFonts w:ascii="Times New Roman" w:eastAsia="Calibri" w:hAnsi="Times New Roman" w:cs="Times New Roman"/>
                <w:sz w:val="18"/>
                <w:szCs w:val="18"/>
              </w:rPr>
              <w:t>7844</w:t>
            </w:r>
          </w:p>
        </w:tc>
        <w:tc>
          <w:tcPr>
            <w:tcW w:w="992" w:type="dxa"/>
            <w:shd w:val="clear" w:color="auto" w:fill="auto"/>
          </w:tcPr>
          <w:p w14:paraId="137C3FBD" w14:textId="77777777" w:rsidR="009072CE" w:rsidRPr="00A07F29" w:rsidRDefault="009072CE" w:rsidP="009072CE">
            <w:pPr>
              <w:spacing w:after="0" w:line="240" w:lineRule="auto"/>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Naujenes</w:t>
            </w:r>
          </w:p>
        </w:tc>
        <w:tc>
          <w:tcPr>
            <w:tcW w:w="426" w:type="dxa"/>
            <w:tcBorders>
              <w:top w:val="single" w:sz="4" w:space="0" w:color="auto"/>
              <w:left w:val="single" w:sz="4" w:space="0" w:color="auto"/>
              <w:bottom w:val="single" w:sz="4" w:space="0" w:color="auto"/>
              <w:right w:val="single" w:sz="4" w:space="0" w:color="auto"/>
            </w:tcBorders>
          </w:tcPr>
          <w:p w14:paraId="20A5E9E3"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27</w:t>
            </w:r>
          </w:p>
        </w:tc>
        <w:tc>
          <w:tcPr>
            <w:tcW w:w="454" w:type="dxa"/>
            <w:tcBorders>
              <w:top w:val="single" w:sz="4" w:space="0" w:color="auto"/>
              <w:left w:val="single" w:sz="4" w:space="0" w:color="auto"/>
              <w:bottom w:val="single" w:sz="4" w:space="0" w:color="auto"/>
              <w:right w:val="single" w:sz="4" w:space="0" w:color="auto"/>
            </w:tcBorders>
          </w:tcPr>
          <w:p w14:paraId="180A7419"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6</w:t>
            </w:r>
          </w:p>
        </w:tc>
        <w:tc>
          <w:tcPr>
            <w:tcW w:w="396" w:type="dxa"/>
            <w:tcBorders>
              <w:top w:val="single" w:sz="4" w:space="0" w:color="auto"/>
              <w:left w:val="single" w:sz="4" w:space="0" w:color="auto"/>
              <w:bottom w:val="single" w:sz="4" w:space="0" w:color="auto"/>
              <w:right w:val="single" w:sz="4" w:space="0" w:color="auto"/>
            </w:tcBorders>
          </w:tcPr>
          <w:p w14:paraId="64149342"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380</w:t>
            </w:r>
          </w:p>
        </w:tc>
        <w:tc>
          <w:tcPr>
            <w:tcW w:w="425" w:type="dxa"/>
            <w:tcBorders>
              <w:top w:val="single" w:sz="4" w:space="0" w:color="auto"/>
              <w:left w:val="single" w:sz="4" w:space="0" w:color="auto"/>
              <w:bottom w:val="single" w:sz="4" w:space="0" w:color="auto"/>
              <w:right w:val="single" w:sz="4" w:space="0" w:color="auto"/>
            </w:tcBorders>
          </w:tcPr>
          <w:p w14:paraId="04624351"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15</w:t>
            </w:r>
          </w:p>
        </w:tc>
        <w:tc>
          <w:tcPr>
            <w:tcW w:w="313" w:type="dxa"/>
            <w:tcBorders>
              <w:top w:val="single" w:sz="4" w:space="0" w:color="auto"/>
              <w:left w:val="single" w:sz="4" w:space="0" w:color="auto"/>
              <w:bottom w:val="single" w:sz="4" w:space="0" w:color="auto"/>
              <w:right w:val="single" w:sz="4" w:space="0" w:color="auto"/>
            </w:tcBorders>
          </w:tcPr>
          <w:p w14:paraId="48BD22F6"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w:t>
            </w:r>
          </w:p>
        </w:tc>
        <w:tc>
          <w:tcPr>
            <w:tcW w:w="425" w:type="dxa"/>
            <w:tcBorders>
              <w:top w:val="single" w:sz="4" w:space="0" w:color="auto"/>
              <w:left w:val="single" w:sz="4" w:space="0" w:color="auto"/>
              <w:bottom w:val="single" w:sz="4" w:space="0" w:color="auto"/>
              <w:right w:val="single" w:sz="4" w:space="0" w:color="auto"/>
            </w:tcBorders>
          </w:tcPr>
          <w:p w14:paraId="1AF31B79"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w:t>
            </w:r>
          </w:p>
        </w:tc>
        <w:tc>
          <w:tcPr>
            <w:tcW w:w="425" w:type="dxa"/>
            <w:tcBorders>
              <w:top w:val="single" w:sz="4" w:space="0" w:color="auto"/>
              <w:left w:val="single" w:sz="4" w:space="0" w:color="auto"/>
              <w:bottom w:val="single" w:sz="4" w:space="0" w:color="auto"/>
              <w:right w:val="single" w:sz="4" w:space="0" w:color="auto"/>
            </w:tcBorders>
          </w:tcPr>
          <w:p w14:paraId="7B71BE34"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65</w:t>
            </w:r>
          </w:p>
        </w:tc>
        <w:tc>
          <w:tcPr>
            <w:tcW w:w="425" w:type="dxa"/>
            <w:tcBorders>
              <w:top w:val="single" w:sz="4" w:space="0" w:color="auto"/>
              <w:left w:val="single" w:sz="4" w:space="0" w:color="auto"/>
              <w:bottom w:val="single" w:sz="4" w:space="0" w:color="auto"/>
              <w:right w:val="single" w:sz="4" w:space="0" w:color="auto"/>
            </w:tcBorders>
          </w:tcPr>
          <w:p w14:paraId="559ADB82"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65</w:t>
            </w:r>
          </w:p>
        </w:tc>
        <w:tc>
          <w:tcPr>
            <w:tcW w:w="426" w:type="dxa"/>
            <w:tcBorders>
              <w:top w:val="single" w:sz="4" w:space="0" w:color="auto"/>
              <w:left w:val="single" w:sz="4" w:space="0" w:color="auto"/>
              <w:bottom w:val="single" w:sz="4" w:space="0" w:color="auto"/>
              <w:right w:val="single" w:sz="4" w:space="0" w:color="auto"/>
            </w:tcBorders>
          </w:tcPr>
          <w:p w14:paraId="30E3E591"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10</w:t>
            </w:r>
          </w:p>
        </w:tc>
        <w:tc>
          <w:tcPr>
            <w:tcW w:w="396" w:type="dxa"/>
            <w:tcBorders>
              <w:top w:val="single" w:sz="4" w:space="0" w:color="auto"/>
              <w:left w:val="single" w:sz="4" w:space="0" w:color="auto"/>
              <w:bottom w:val="single" w:sz="4" w:space="0" w:color="auto"/>
              <w:right w:val="single" w:sz="4" w:space="0" w:color="auto"/>
            </w:tcBorders>
          </w:tcPr>
          <w:p w14:paraId="31EAAF43"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90</w:t>
            </w:r>
          </w:p>
        </w:tc>
        <w:tc>
          <w:tcPr>
            <w:tcW w:w="425" w:type="dxa"/>
            <w:tcBorders>
              <w:top w:val="single" w:sz="4" w:space="0" w:color="auto"/>
              <w:left w:val="single" w:sz="4" w:space="0" w:color="auto"/>
              <w:bottom w:val="single" w:sz="4" w:space="0" w:color="auto"/>
              <w:right w:val="single" w:sz="4" w:space="0" w:color="auto"/>
            </w:tcBorders>
          </w:tcPr>
          <w:p w14:paraId="1352710A"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50</w:t>
            </w:r>
          </w:p>
        </w:tc>
        <w:tc>
          <w:tcPr>
            <w:tcW w:w="426" w:type="dxa"/>
            <w:tcBorders>
              <w:top w:val="single" w:sz="4" w:space="0" w:color="auto"/>
              <w:left w:val="single" w:sz="4" w:space="0" w:color="auto"/>
              <w:bottom w:val="single" w:sz="4" w:space="0" w:color="auto"/>
              <w:right w:val="single" w:sz="4" w:space="0" w:color="auto"/>
            </w:tcBorders>
          </w:tcPr>
          <w:p w14:paraId="5CC73BFC"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35</w:t>
            </w:r>
          </w:p>
        </w:tc>
        <w:tc>
          <w:tcPr>
            <w:tcW w:w="425" w:type="dxa"/>
            <w:tcBorders>
              <w:top w:val="single" w:sz="4" w:space="0" w:color="auto"/>
              <w:left w:val="single" w:sz="4" w:space="0" w:color="auto"/>
              <w:bottom w:val="single" w:sz="4" w:space="0" w:color="auto"/>
              <w:right w:val="single" w:sz="4" w:space="0" w:color="auto"/>
            </w:tcBorders>
          </w:tcPr>
          <w:p w14:paraId="62552AF4"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5</w:t>
            </w:r>
          </w:p>
        </w:tc>
        <w:tc>
          <w:tcPr>
            <w:tcW w:w="425" w:type="dxa"/>
            <w:tcBorders>
              <w:top w:val="single" w:sz="4" w:space="0" w:color="auto"/>
              <w:left w:val="single" w:sz="4" w:space="0" w:color="auto"/>
              <w:bottom w:val="single" w:sz="4" w:space="0" w:color="auto"/>
              <w:right w:val="single" w:sz="4" w:space="0" w:color="auto"/>
            </w:tcBorders>
          </w:tcPr>
          <w:p w14:paraId="785DCEDE"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20</w:t>
            </w:r>
          </w:p>
        </w:tc>
        <w:tc>
          <w:tcPr>
            <w:tcW w:w="567" w:type="dxa"/>
            <w:tcBorders>
              <w:top w:val="single" w:sz="4" w:space="0" w:color="auto"/>
              <w:left w:val="single" w:sz="4" w:space="0" w:color="auto"/>
              <w:bottom w:val="single" w:sz="4" w:space="0" w:color="auto"/>
              <w:right w:val="single" w:sz="4" w:space="0" w:color="auto"/>
            </w:tcBorders>
          </w:tcPr>
          <w:p w14:paraId="41D620FF"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200</w:t>
            </w:r>
          </w:p>
        </w:tc>
        <w:tc>
          <w:tcPr>
            <w:tcW w:w="567" w:type="dxa"/>
            <w:tcBorders>
              <w:top w:val="single" w:sz="4" w:space="0" w:color="auto"/>
              <w:left w:val="single" w:sz="4" w:space="0" w:color="auto"/>
              <w:bottom w:val="single" w:sz="4" w:space="0" w:color="auto"/>
              <w:right w:val="single" w:sz="4" w:space="0" w:color="auto"/>
            </w:tcBorders>
          </w:tcPr>
          <w:p w14:paraId="4EBCA456"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20</w:t>
            </w:r>
          </w:p>
        </w:tc>
        <w:tc>
          <w:tcPr>
            <w:tcW w:w="425" w:type="dxa"/>
            <w:tcBorders>
              <w:top w:val="single" w:sz="4" w:space="0" w:color="auto"/>
              <w:left w:val="single" w:sz="4" w:space="0" w:color="auto"/>
              <w:bottom w:val="single" w:sz="4" w:space="0" w:color="auto"/>
              <w:right w:val="single" w:sz="4" w:space="0" w:color="auto"/>
            </w:tcBorders>
          </w:tcPr>
          <w:p w14:paraId="35F95EF2"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25</w:t>
            </w:r>
          </w:p>
        </w:tc>
      </w:tr>
      <w:tr w:rsidR="009072CE" w:rsidRPr="00A07F29" w14:paraId="7DB9AA77" w14:textId="77777777" w:rsidTr="00786008">
        <w:trPr>
          <w:jc w:val="center"/>
        </w:trPr>
        <w:tc>
          <w:tcPr>
            <w:tcW w:w="709" w:type="dxa"/>
            <w:shd w:val="clear" w:color="auto" w:fill="auto"/>
          </w:tcPr>
          <w:p w14:paraId="5FFF3D22" w14:textId="77777777" w:rsidR="009072CE" w:rsidRPr="00A07F29" w:rsidRDefault="009072CE" w:rsidP="009072CE">
            <w:pPr>
              <w:spacing w:after="0" w:line="240" w:lineRule="auto"/>
              <w:jc w:val="center"/>
              <w:rPr>
                <w:rFonts w:ascii="Times New Roman" w:eastAsia="Calibri" w:hAnsi="Times New Roman" w:cs="Times New Roman"/>
                <w:sz w:val="18"/>
                <w:szCs w:val="18"/>
              </w:rPr>
            </w:pPr>
            <w:r w:rsidRPr="00A07F29">
              <w:rPr>
                <w:rFonts w:ascii="Times New Roman" w:eastAsia="Calibri" w:hAnsi="Times New Roman" w:cs="Times New Roman"/>
                <w:sz w:val="18"/>
                <w:szCs w:val="18"/>
              </w:rPr>
              <w:t>7845</w:t>
            </w:r>
          </w:p>
        </w:tc>
        <w:tc>
          <w:tcPr>
            <w:tcW w:w="992" w:type="dxa"/>
            <w:shd w:val="clear" w:color="auto" w:fill="auto"/>
          </w:tcPr>
          <w:p w14:paraId="5DD92E85" w14:textId="77777777" w:rsidR="009072CE" w:rsidRPr="00A07F29" w:rsidRDefault="009072CE" w:rsidP="009072CE">
            <w:pPr>
              <w:spacing w:after="0" w:line="240" w:lineRule="auto"/>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Tabores</w:t>
            </w:r>
          </w:p>
        </w:tc>
        <w:tc>
          <w:tcPr>
            <w:tcW w:w="426" w:type="dxa"/>
            <w:tcBorders>
              <w:top w:val="single" w:sz="4" w:space="0" w:color="auto"/>
              <w:left w:val="single" w:sz="4" w:space="0" w:color="auto"/>
              <w:bottom w:val="single" w:sz="4" w:space="0" w:color="auto"/>
              <w:right w:val="single" w:sz="4" w:space="0" w:color="auto"/>
            </w:tcBorders>
          </w:tcPr>
          <w:p w14:paraId="6FDA971B"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10</w:t>
            </w:r>
          </w:p>
        </w:tc>
        <w:tc>
          <w:tcPr>
            <w:tcW w:w="454" w:type="dxa"/>
            <w:tcBorders>
              <w:top w:val="single" w:sz="4" w:space="0" w:color="auto"/>
              <w:left w:val="single" w:sz="4" w:space="0" w:color="auto"/>
              <w:bottom w:val="single" w:sz="4" w:space="0" w:color="auto"/>
              <w:right w:val="single" w:sz="4" w:space="0" w:color="auto"/>
            </w:tcBorders>
          </w:tcPr>
          <w:p w14:paraId="2FE3CB24"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w:t>
            </w:r>
          </w:p>
        </w:tc>
        <w:tc>
          <w:tcPr>
            <w:tcW w:w="396" w:type="dxa"/>
            <w:tcBorders>
              <w:top w:val="single" w:sz="4" w:space="0" w:color="auto"/>
              <w:left w:val="single" w:sz="4" w:space="0" w:color="auto"/>
              <w:bottom w:val="single" w:sz="4" w:space="0" w:color="auto"/>
              <w:right w:val="single" w:sz="4" w:space="0" w:color="auto"/>
            </w:tcBorders>
          </w:tcPr>
          <w:p w14:paraId="50F4DFF2"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310</w:t>
            </w:r>
          </w:p>
        </w:tc>
        <w:tc>
          <w:tcPr>
            <w:tcW w:w="425" w:type="dxa"/>
            <w:tcBorders>
              <w:top w:val="single" w:sz="4" w:space="0" w:color="auto"/>
              <w:left w:val="single" w:sz="4" w:space="0" w:color="auto"/>
              <w:bottom w:val="single" w:sz="4" w:space="0" w:color="auto"/>
              <w:right w:val="single" w:sz="4" w:space="0" w:color="auto"/>
            </w:tcBorders>
          </w:tcPr>
          <w:p w14:paraId="5D4025C6"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20</w:t>
            </w:r>
          </w:p>
        </w:tc>
        <w:tc>
          <w:tcPr>
            <w:tcW w:w="313" w:type="dxa"/>
            <w:tcBorders>
              <w:top w:val="single" w:sz="4" w:space="0" w:color="auto"/>
              <w:left w:val="single" w:sz="4" w:space="0" w:color="auto"/>
              <w:bottom w:val="single" w:sz="4" w:space="0" w:color="auto"/>
              <w:right w:val="single" w:sz="4" w:space="0" w:color="auto"/>
            </w:tcBorders>
          </w:tcPr>
          <w:p w14:paraId="00F5F520"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w:t>
            </w:r>
          </w:p>
        </w:tc>
        <w:tc>
          <w:tcPr>
            <w:tcW w:w="425" w:type="dxa"/>
            <w:tcBorders>
              <w:top w:val="single" w:sz="4" w:space="0" w:color="auto"/>
              <w:left w:val="single" w:sz="4" w:space="0" w:color="auto"/>
              <w:bottom w:val="single" w:sz="4" w:space="0" w:color="auto"/>
              <w:right w:val="single" w:sz="4" w:space="0" w:color="auto"/>
            </w:tcBorders>
          </w:tcPr>
          <w:p w14:paraId="76C97815"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w:t>
            </w:r>
          </w:p>
        </w:tc>
        <w:tc>
          <w:tcPr>
            <w:tcW w:w="425" w:type="dxa"/>
            <w:tcBorders>
              <w:top w:val="single" w:sz="4" w:space="0" w:color="auto"/>
              <w:left w:val="single" w:sz="4" w:space="0" w:color="auto"/>
              <w:bottom w:val="single" w:sz="4" w:space="0" w:color="auto"/>
              <w:right w:val="single" w:sz="4" w:space="0" w:color="auto"/>
            </w:tcBorders>
          </w:tcPr>
          <w:p w14:paraId="2A10A4F5"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40</w:t>
            </w:r>
          </w:p>
        </w:tc>
        <w:tc>
          <w:tcPr>
            <w:tcW w:w="425" w:type="dxa"/>
            <w:tcBorders>
              <w:top w:val="single" w:sz="4" w:space="0" w:color="auto"/>
              <w:left w:val="single" w:sz="4" w:space="0" w:color="auto"/>
              <w:bottom w:val="single" w:sz="4" w:space="0" w:color="auto"/>
              <w:right w:val="single" w:sz="4" w:space="0" w:color="auto"/>
            </w:tcBorders>
          </w:tcPr>
          <w:p w14:paraId="5B951C99"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20</w:t>
            </w:r>
          </w:p>
        </w:tc>
        <w:tc>
          <w:tcPr>
            <w:tcW w:w="426" w:type="dxa"/>
            <w:tcBorders>
              <w:top w:val="single" w:sz="4" w:space="0" w:color="auto"/>
              <w:left w:val="single" w:sz="4" w:space="0" w:color="auto"/>
              <w:bottom w:val="single" w:sz="4" w:space="0" w:color="auto"/>
              <w:right w:val="single" w:sz="4" w:space="0" w:color="auto"/>
            </w:tcBorders>
          </w:tcPr>
          <w:p w14:paraId="0277125F"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5</w:t>
            </w:r>
          </w:p>
        </w:tc>
        <w:tc>
          <w:tcPr>
            <w:tcW w:w="396" w:type="dxa"/>
            <w:tcBorders>
              <w:top w:val="single" w:sz="4" w:space="0" w:color="auto"/>
              <w:left w:val="single" w:sz="4" w:space="0" w:color="auto"/>
              <w:bottom w:val="single" w:sz="4" w:space="0" w:color="auto"/>
              <w:right w:val="single" w:sz="4" w:space="0" w:color="auto"/>
            </w:tcBorders>
          </w:tcPr>
          <w:p w14:paraId="2D08727F"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110</w:t>
            </w:r>
          </w:p>
        </w:tc>
        <w:tc>
          <w:tcPr>
            <w:tcW w:w="425" w:type="dxa"/>
            <w:tcBorders>
              <w:top w:val="single" w:sz="4" w:space="0" w:color="auto"/>
              <w:left w:val="single" w:sz="4" w:space="0" w:color="auto"/>
              <w:bottom w:val="single" w:sz="4" w:space="0" w:color="auto"/>
              <w:right w:val="single" w:sz="4" w:space="0" w:color="auto"/>
            </w:tcBorders>
          </w:tcPr>
          <w:p w14:paraId="381D3D85"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30</w:t>
            </w:r>
          </w:p>
        </w:tc>
        <w:tc>
          <w:tcPr>
            <w:tcW w:w="426" w:type="dxa"/>
            <w:tcBorders>
              <w:top w:val="single" w:sz="4" w:space="0" w:color="auto"/>
              <w:left w:val="single" w:sz="4" w:space="0" w:color="auto"/>
              <w:bottom w:val="single" w:sz="4" w:space="0" w:color="auto"/>
              <w:right w:val="single" w:sz="4" w:space="0" w:color="auto"/>
            </w:tcBorders>
          </w:tcPr>
          <w:p w14:paraId="54CDD774"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15</w:t>
            </w:r>
          </w:p>
        </w:tc>
        <w:tc>
          <w:tcPr>
            <w:tcW w:w="425" w:type="dxa"/>
            <w:tcBorders>
              <w:top w:val="single" w:sz="4" w:space="0" w:color="auto"/>
              <w:left w:val="single" w:sz="4" w:space="0" w:color="auto"/>
              <w:bottom w:val="single" w:sz="4" w:space="0" w:color="auto"/>
              <w:right w:val="single" w:sz="4" w:space="0" w:color="auto"/>
            </w:tcBorders>
          </w:tcPr>
          <w:p w14:paraId="77CF698F"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10</w:t>
            </w:r>
          </w:p>
        </w:tc>
        <w:tc>
          <w:tcPr>
            <w:tcW w:w="425" w:type="dxa"/>
            <w:tcBorders>
              <w:top w:val="single" w:sz="4" w:space="0" w:color="auto"/>
              <w:left w:val="single" w:sz="4" w:space="0" w:color="auto"/>
              <w:bottom w:val="single" w:sz="4" w:space="0" w:color="auto"/>
              <w:right w:val="single" w:sz="4" w:space="0" w:color="auto"/>
            </w:tcBorders>
          </w:tcPr>
          <w:p w14:paraId="6B118CC8"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4</w:t>
            </w:r>
          </w:p>
        </w:tc>
        <w:tc>
          <w:tcPr>
            <w:tcW w:w="567" w:type="dxa"/>
            <w:tcBorders>
              <w:top w:val="single" w:sz="4" w:space="0" w:color="auto"/>
              <w:left w:val="single" w:sz="4" w:space="0" w:color="auto"/>
              <w:bottom w:val="single" w:sz="4" w:space="0" w:color="auto"/>
              <w:right w:val="single" w:sz="4" w:space="0" w:color="auto"/>
            </w:tcBorders>
          </w:tcPr>
          <w:p w14:paraId="1B52BBFC"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80</w:t>
            </w:r>
          </w:p>
        </w:tc>
        <w:tc>
          <w:tcPr>
            <w:tcW w:w="567" w:type="dxa"/>
            <w:tcBorders>
              <w:top w:val="single" w:sz="4" w:space="0" w:color="auto"/>
              <w:left w:val="single" w:sz="4" w:space="0" w:color="auto"/>
              <w:bottom w:val="single" w:sz="4" w:space="0" w:color="auto"/>
              <w:right w:val="single" w:sz="4" w:space="0" w:color="auto"/>
            </w:tcBorders>
          </w:tcPr>
          <w:p w14:paraId="5002789B"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30</w:t>
            </w:r>
          </w:p>
        </w:tc>
        <w:tc>
          <w:tcPr>
            <w:tcW w:w="425" w:type="dxa"/>
            <w:tcBorders>
              <w:top w:val="single" w:sz="4" w:space="0" w:color="auto"/>
              <w:left w:val="single" w:sz="4" w:space="0" w:color="auto"/>
              <w:bottom w:val="single" w:sz="4" w:space="0" w:color="auto"/>
              <w:right w:val="single" w:sz="4" w:space="0" w:color="auto"/>
            </w:tcBorders>
          </w:tcPr>
          <w:p w14:paraId="09D9A5C8"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30</w:t>
            </w:r>
          </w:p>
        </w:tc>
      </w:tr>
      <w:tr w:rsidR="009072CE" w:rsidRPr="00A07F29" w14:paraId="50620F74" w14:textId="77777777" w:rsidTr="00786008">
        <w:trPr>
          <w:trHeight w:val="307"/>
          <w:jc w:val="center"/>
        </w:trPr>
        <w:tc>
          <w:tcPr>
            <w:tcW w:w="709" w:type="dxa"/>
            <w:shd w:val="clear" w:color="auto" w:fill="auto"/>
          </w:tcPr>
          <w:p w14:paraId="56CD9C01" w14:textId="77777777" w:rsidR="009072CE" w:rsidRPr="00A07F29" w:rsidRDefault="009072CE" w:rsidP="009072CE">
            <w:pPr>
              <w:spacing w:after="0" w:line="240" w:lineRule="auto"/>
              <w:jc w:val="center"/>
              <w:rPr>
                <w:rFonts w:ascii="Times New Roman" w:eastAsia="Calibri" w:hAnsi="Times New Roman" w:cs="Times New Roman"/>
                <w:sz w:val="18"/>
                <w:szCs w:val="18"/>
              </w:rPr>
            </w:pPr>
            <w:r w:rsidRPr="00A07F29">
              <w:rPr>
                <w:rFonts w:ascii="Times New Roman" w:eastAsia="Calibri" w:hAnsi="Times New Roman" w:cs="Times New Roman"/>
                <w:sz w:val="18"/>
                <w:szCs w:val="18"/>
              </w:rPr>
              <w:t>7846</w:t>
            </w:r>
          </w:p>
        </w:tc>
        <w:tc>
          <w:tcPr>
            <w:tcW w:w="992" w:type="dxa"/>
            <w:shd w:val="clear" w:color="auto" w:fill="auto"/>
          </w:tcPr>
          <w:p w14:paraId="28E6A71C" w14:textId="77777777" w:rsidR="009072CE" w:rsidRPr="00A07F29" w:rsidRDefault="009072CE" w:rsidP="009072CE">
            <w:pPr>
              <w:spacing w:after="0" w:line="240" w:lineRule="auto"/>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Vecsalienas</w:t>
            </w:r>
          </w:p>
        </w:tc>
        <w:tc>
          <w:tcPr>
            <w:tcW w:w="426" w:type="dxa"/>
            <w:tcBorders>
              <w:top w:val="single" w:sz="4" w:space="0" w:color="auto"/>
              <w:left w:val="single" w:sz="4" w:space="0" w:color="auto"/>
              <w:bottom w:val="single" w:sz="4" w:space="0" w:color="auto"/>
              <w:right w:val="single" w:sz="4" w:space="0" w:color="auto"/>
            </w:tcBorders>
          </w:tcPr>
          <w:p w14:paraId="33A5A15C"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29</w:t>
            </w:r>
          </w:p>
        </w:tc>
        <w:tc>
          <w:tcPr>
            <w:tcW w:w="454" w:type="dxa"/>
            <w:tcBorders>
              <w:top w:val="single" w:sz="4" w:space="0" w:color="auto"/>
              <w:left w:val="single" w:sz="4" w:space="0" w:color="auto"/>
              <w:bottom w:val="single" w:sz="4" w:space="0" w:color="auto"/>
              <w:right w:val="single" w:sz="4" w:space="0" w:color="auto"/>
            </w:tcBorders>
          </w:tcPr>
          <w:p w14:paraId="742C0522"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w:t>
            </w:r>
          </w:p>
        </w:tc>
        <w:tc>
          <w:tcPr>
            <w:tcW w:w="396" w:type="dxa"/>
            <w:tcBorders>
              <w:top w:val="single" w:sz="4" w:space="0" w:color="auto"/>
              <w:left w:val="single" w:sz="4" w:space="0" w:color="auto"/>
              <w:bottom w:val="single" w:sz="4" w:space="0" w:color="auto"/>
              <w:right w:val="single" w:sz="4" w:space="0" w:color="auto"/>
            </w:tcBorders>
          </w:tcPr>
          <w:p w14:paraId="57CDEAD4"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335</w:t>
            </w:r>
          </w:p>
        </w:tc>
        <w:tc>
          <w:tcPr>
            <w:tcW w:w="425" w:type="dxa"/>
            <w:tcBorders>
              <w:top w:val="single" w:sz="4" w:space="0" w:color="auto"/>
              <w:left w:val="single" w:sz="4" w:space="0" w:color="auto"/>
              <w:bottom w:val="single" w:sz="4" w:space="0" w:color="auto"/>
              <w:right w:val="single" w:sz="4" w:space="0" w:color="auto"/>
            </w:tcBorders>
          </w:tcPr>
          <w:p w14:paraId="11B69C10"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30</w:t>
            </w:r>
          </w:p>
        </w:tc>
        <w:tc>
          <w:tcPr>
            <w:tcW w:w="313" w:type="dxa"/>
            <w:tcBorders>
              <w:top w:val="single" w:sz="4" w:space="0" w:color="auto"/>
              <w:left w:val="single" w:sz="4" w:space="0" w:color="auto"/>
              <w:bottom w:val="single" w:sz="4" w:space="0" w:color="auto"/>
              <w:right w:val="single" w:sz="4" w:space="0" w:color="auto"/>
            </w:tcBorders>
          </w:tcPr>
          <w:p w14:paraId="258DCB82"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w:t>
            </w:r>
          </w:p>
        </w:tc>
        <w:tc>
          <w:tcPr>
            <w:tcW w:w="425" w:type="dxa"/>
            <w:tcBorders>
              <w:top w:val="single" w:sz="4" w:space="0" w:color="auto"/>
              <w:left w:val="single" w:sz="4" w:space="0" w:color="auto"/>
              <w:bottom w:val="single" w:sz="4" w:space="0" w:color="auto"/>
              <w:right w:val="single" w:sz="4" w:space="0" w:color="auto"/>
            </w:tcBorders>
          </w:tcPr>
          <w:p w14:paraId="4BC50ED2"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w:t>
            </w:r>
          </w:p>
        </w:tc>
        <w:tc>
          <w:tcPr>
            <w:tcW w:w="425" w:type="dxa"/>
            <w:tcBorders>
              <w:top w:val="single" w:sz="4" w:space="0" w:color="auto"/>
              <w:left w:val="single" w:sz="4" w:space="0" w:color="auto"/>
              <w:bottom w:val="single" w:sz="4" w:space="0" w:color="auto"/>
              <w:right w:val="single" w:sz="4" w:space="0" w:color="auto"/>
            </w:tcBorders>
          </w:tcPr>
          <w:p w14:paraId="61D66AE6"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26</w:t>
            </w:r>
          </w:p>
        </w:tc>
        <w:tc>
          <w:tcPr>
            <w:tcW w:w="425" w:type="dxa"/>
            <w:tcBorders>
              <w:top w:val="single" w:sz="4" w:space="0" w:color="auto"/>
              <w:left w:val="single" w:sz="4" w:space="0" w:color="auto"/>
              <w:bottom w:val="single" w:sz="4" w:space="0" w:color="auto"/>
              <w:right w:val="single" w:sz="4" w:space="0" w:color="auto"/>
            </w:tcBorders>
          </w:tcPr>
          <w:p w14:paraId="79CFE6DF"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70</w:t>
            </w:r>
          </w:p>
        </w:tc>
        <w:tc>
          <w:tcPr>
            <w:tcW w:w="426" w:type="dxa"/>
            <w:tcBorders>
              <w:top w:val="single" w:sz="4" w:space="0" w:color="auto"/>
              <w:left w:val="single" w:sz="4" w:space="0" w:color="auto"/>
              <w:bottom w:val="single" w:sz="4" w:space="0" w:color="auto"/>
              <w:right w:val="single" w:sz="4" w:space="0" w:color="auto"/>
            </w:tcBorders>
          </w:tcPr>
          <w:p w14:paraId="37D8F9BD"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30</w:t>
            </w:r>
          </w:p>
        </w:tc>
        <w:tc>
          <w:tcPr>
            <w:tcW w:w="396" w:type="dxa"/>
            <w:tcBorders>
              <w:top w:val="single" w:sz="4" w:space="0" w:color="auto"/>
              <w:left w:val="single" w:sz="4" w:space="0" w:color="auto"/>
              <w:bottom w:val="single" w:sz="4" w:space="0" w:color="auto"/>
              <w:right w:val="single" w:sz="4" w:space="0" w:color="auto"/>
            </w:tcBorders>
          </w:tcPr>
          <w:p w14:paraId="19F1A3E6"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250</w:t>
            </w:r>
          </w:p>
        </w:tc>
        <w:tc>
          <w:tcPr>
            <w:tcW w:w="425" w:type="dxa"/>
            <w:tcBorders>
              <w:top w:val="single" w:sz="4" w:space="0" w:color="auto"/>
              <w:left w:val="single" w:sz="4" w:space="0" w:color="auto"/>
              <w:bottom w:val="single" w:sz="4" w:space="0" w:color="auto"/>
              <w:right w:val="single" w:sz="4" w:space="0" w:color="auto"/>
            </w:tcBorders>
          </w:tcPr>
          <w:p w14:paraId="66297908"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30</w:t>
            </w:r>
          </w:p>
        </w:tc>
        <w:tc>
          <w:tcPr>
            <w:tcW w:w="426" w:type="dxa"/>
            <w:tcBorders>
              <w:top w:val="single" w:sz="4" w:space="0" w:color="auto"/>
              <w:left w:val="single" w:sz="4" w:space="0" w:color="auto"/>
              <w:bottom w:val="single" w:sz="4" w:space="0" w:color="auto"/>
              <w:right w:val="single" w:sz="4" w:space="0" w:color="auto"/>
            </w:tcBorders>
          </w:tcPr>
          <w:p w14:paraId="601516E0"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30</w:t>
            </w:r>
          </w:p>
        </w:tc>
        <w:tc>
          <w:tcPr>
            <w:tcW w:w="425" w:type="dxa"/>
            <w:tcBorders>
              <w:top w:val="single" w:sz="4" w:space="0" w:color="auto"/>
              <w:left w:val="single" w:sz="4" w:space="0" w:color="auto"/>
              <w:bottom w:val="single" w:sz="4" w:space="0" w:color="auto"/>
              <w:right w:val="single" w:sz="4" w:space="0" w:color="auto"/>
            </w:tcBorders>
          </w:tcPr>
          <w:p w14:paraId="241B6997"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8</w:t>
            </w:r>
          </w:p>
        </w:tc>
        <w:tc>
          <w:tcPr>
            <w:tcW w:w="425" w:type="dxa"/>
            <w:tcBorders>
              <w:top w:val="single" w:sz="4" w:space="0" w:color="auto"/>
              <w:left w:val="single" w:sz="4" w:space="0" w:color="auto"/>
              <w:bottom w:val="single" w:sz="4" w:space="0" w:color="auto"/>
              <w:right w:val="single" w:sz="4" w:space="0" w:color="auto"/>
            </w:tcBorders>
          </w:tcPr>
          <w:p w14:paraId="4AAE9401"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33</w:t>
            </w:r>
          </w:p>
        </w:tc>
        <w:tc>
          <w:tcPr>
            <w:tcW w:w="567" w:type="dxa"/>
            <w:tcBorders>
              <w:top w:val="single" w:sz="4" w:space="0" w:color="auto"/>
              <w:left w:val="single" w:sz="4" w:space="0" w:color="auto"/>
              <w:bottom w:val="single" w:sz="4" w:space="0" w:color="auto"/>
              <w:right w:val="single" w:sz="4" w:space="0" w:color="auto"/>
            </w:tcBorders>
          </w:tcPr>
          <w:p w14:paraId="2670D583"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60</w:t>
            </w:r>
          </w:p>
        </w:tc>
        <w:tc>
          <w:tcPr>
            <w:tcW w:w="567" w:type="dxa"/>
            <w:tcBorders>
              <w:top w:val="single" w:sz="4" w:space="0" w:color="auto"/>
              <w:left w:val="single" w:sz="4" w:space="0" w:color="auto"/>
              <w:bottom w:val="single" w:sz="4" w:space="0" w:color="auto"/>
              <w:right w:val="single" w:sz="4" w:space="0" w:color="auto"/>
            </w:tcBorders>
          </w:tcPr>
          <w:p w14:paraId="51BBD2B0"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40</w:t>
            </w:r>
          </w:p>
        </w:tc>
        <w:tc>
          <w:tcPr>
            <w:tcW w:w="425" w:type="dxa"/>
            <w:tcBorders>
              <w:top w:val="single" w:sz="4" w:space="0" w:color="auto"/>
              <w:left w:val="single" w:sz="4" w:space="0" w:color="auto"/>
              <w:bottom w:val="single" w:sz="4" w:space="0" w:color="auto"/>
              <w:right w:val="single" w:sz="4" w:space="0" w:color="auto"/>
            </w:tcBorders>
          </w:tcPr>
          <w:p w14:paraId="2D8E8A72"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55</w:t>
            </w:r>
          </w:p>
        </w:tc>
      </w:tr>
      <w:tr w:rsidR="009072CE" w:rsidRPr="00A07F29" w14:paraId="172AF7F4" w14:textId="77777777" w:rsidTr="00786008">
        <w:trPr>
          <w:jc w:val="center"/>
        </w:trPr>
        <w:tc>
          <w:tcPr>
            <w:tcW w:w="709" w:type="dxa"/>
            <w:shd w:val="clear" w:color="auto" w:fill="auto"/>
          </w:tcPr>
          <w:p w14:paraId="5CF7BF63" w14:textId="77777777" w:rsidR="009072CE" w:rsidRPr="00A07F29" w:rsidRDefault="009072CE" w:rsidP="009072CE">
            <w:pPr>
              <w:spacing w:after="0" w:line="240" w:lineRule="auto"/>
              <w:jc w:val="center"/>
              <w:rPr>
                <w:rFonts w:ascii="Times New Roman" w:eastAsia="Calibri" w:hAnsi="Times New Roman" w:cs="Times New Roman"/>
                <w:sz w:val="18"/>
                <w:szCs w:val="18"/>
              </w:rPr>
            </w:pPr>
            <w:r w:rsidRPr="00A07F29">
              <w:rPr>
                <w:rFonts w:ascii="Times New Roman" w:eastAsia="Calibri" w:hAnsi="Times New Roman" w:cs="Times New Roman"/>
                <w:sz w:val="18"/>
                <w:szCs w:val="18"/>
              </w:rPr>
              <w:t>7847</w:t>
            </w:r>
          </w:p>
        </w:tc>
        <w:tc>
          <w:tcPr>
            <w:tcW w:w="992" w:type="dxa"/>
            <w:shd w:val="clear" w:color="auto" w:fill="auto"/>
          </w:tcPr>
          <w:p w14:paraId="27762889" w14:textId="77777777" w:rsidR="009072CE" w:rsidRPr="00A07F29" w:rsidRDefault="009072CE" w:rsidP="009072CE">
            <w:pPr>
              <w:spacing w:after="0" w:line="240" w:lineRule="auto"/>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Salienas</w:t>
            </w:r>
          </w:p>
        </w:tc>
        <w:tc>
          <w:tcPr>
            <w:tcW w:w="426" w:type="dxa"/>
            <w:tcBorders>
              <w:top w:val="single" w:sz="4" w:space="0" w:color="auto"/>
              <w:left w:val="single" w:sz="4" w:space="0" w:color="auto"/>
              <w:bottom w:val="single" w:sz="4" w:space="0" w:color="auto"/>
              <w:right w:val="single" w:sz="4" w:space="0" w:color="auto"/>
            </w:tcBorders>
          </w:tcPr>
          <w:p w14:paraId="7AFDD500"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49</w:t>
            </w:r>
          </w:p>
        </w:tc>
        <w:tc>
          <w:tcPr>
            <w:tcW w:w="454" w:type="dxa"/>
            <w:tcBorders>
              <w:top w:val="single" w:sz="4" w:space="0" w:color="auto"/>
              <w:left w:val="single" w:sz="4" w:space="0" w:color="auto"/>
              <w:bottom w:val="single" w:sz="4" w:space="0" w:color="auto"/>
              <w:right w:val="single" w:sz="4" w:space="0" w:color="auto"/>
            </w:tcBorders>
          </w:tcPr>
          <w:p w14:paraId="76E15AE8"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w:t>
            </w:r>
          </w:p>
        </w:tc>
        <w:tc>
          <w:tcPr>
            <w:tcW w:w="396" w:type="dxa"/>
            <w:tcBorders>
              <w:top w:val="single" w:sz="4" w:space="0" w:color="auto"/>
              <w:left w:val="single" w:sz="4" w:space="0" w:color="auto"/>
              <w:bottom w:val="single" w:sz="4" w:space="0" w:color="auto"/>
              <w:right w:val="single" w:sz="4" w:space="0" w:color="auto"/>
            </w:tcBorders>
          </w:tcPr>
          <w:p w14:paraId="3E696480"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390</w:t>
            </w:r>
          </w:p>
        </w:tc>
        <w:tc>
          <w:tcPr>
            <w:tcW w:w="425" w:type="dxa"/>
            <w:tcBorders>
              <w:top w:val="single" w:sz="4" w:space="0" w:color="auto"/>
              <w:left w:val="single" w:sz="4" w:space="0" w:color="auto"/>
              <w:bottom w:val="single" w:sz="4" w:space="0" w:color="auto"/>
              <w:right w:val="single" w:sz="4" w:space="0" w:color="auto"/>
            </w:tcBorders>
          </w:tcPr>
          <w:p w14:paraId="6C4163D4"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25</w:t>
            </w:r>
          </w:p>
        </w:tc>
        <w:tc>
          <w:tcPr>
            <w:tcW w:w="313" w:type="dxa"/>
            <w:tcBorders>
              <w:top w:val="single" w:sz="4" w:space="0" w:color="auto"/>
              <w:left w:val="single" w:sz="4" w:space="0" w:color="auto"/>
              <w:bottom w:val="single" w:sz="4" w:space="0" w:color="auto"/>
              <w:right w:val="single" w:sz="4" w:space="0" w:color="auto"/>
            </w:tcBorders>
          </w:tcPr>
          <w:p w14:paraId="239FBA59"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1</w:t>
            </w:r>
          </w:p>
        </w:tc>
        <w:tc>
          <w:tcPr>
            <w:tcW w:w="425" w:type="dxa"/>
            <w:tcBorders>
              <w:top w:val="single" w:sz="4" w:space="0" w:color="auto"/>
              <w:left w:val="single" w:sz="4" w:space="0" w:color="auto"/>
              <w:bottom w:val="single" w:sz="4" w:space="0" w:color="auto"/>
              <w:right w:val="single" w:sz="4" w:space="0" w:color="auto"/>
            </w:tcBorders>
          </w:tcPr>
          <w:p w14:paraId="41BCA566"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1</w:t>
            </w:r>
          </w:p>
        </w:tc>
        <w:tc>
          <w:tcPr>
            <w:tcW w:w="425" w:type="dxa"/>
            <w:tcBorders>
              <w:top w:val="single" w:sz="4" w:space="0" w:color="auto"/>
              <w:left w:val="single" w:sz="4" w:space="0" w:color="auto"/>
              <w:bottom w:val="single" w:sz="4" w:space="0" w:color="auto"/>
              <w:right w:val="single" w:sz="4" w:space="0" w:color="auto"/>
            </w:tcBorders>
          </w:tcPr>
          <w:p w14:paraId="7D221550"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30</w:t>
            </w:r>
          </w:p>
        </w:tc>
        <w:tc>
          <w:tcPr>
            <w:tcW w:w="425" w:type="dxa"/>
            <w:tcBorders>
              <w:top w:val="single" w:sz="4" w:space="0" w:color="auto"/>
              <w:left w:val="single" w:sz="4" w:space="0" w:color="auto"/>
              <w:bottom w:val="single" w:sz="4" w:space="0" w:color="auto"/>
              <w:right w:val="single" w:sz="4" w:space="0" w:color="auto"/>
            </w:tcBorders>
          </w:tcPr>
          <w:p w14:paraId="1F98A769"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50</w:t>
            </w:r>
          </w:p>
        </w:tc>
        <w:tc>
          <w:tcPr>
            <w:tcW w:w="426" w:type="dxa"/>
            <w:tcBorders>
              <w:top w:val="single" w:sz="4" w:space="0" w:color="auto"/>
              <w:left w:val="single" w:sz="4" w:space="0" w:color="auto"/>
              <w:bottom w:val="single" w:sz="4" w:space="0" w:color="auto"/>
              <w:right w:val="single" w:sz="4" w:space="0" w:color="auto"/>
            </w:tcBorders>
          </w:tcPr>
          <w:p w14:paraId="3E5B18AC"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25</w:t>
            </w:r>
          </w:p>
        </w:tc>
        <w:tc>
          <w:tcPr>
            <w:tcW w:w="396" w:type="dxa"/>
            <w:tcBorders>
              <w:top w:val="single" w:sz="4" w:space="0" w:color="auto"/>
              <w:left w:val="single" w:sz="4" w:space="0" w:color="auto"/>
              <w:bottom w:val="single" w:sz="4" w:space="0" w:color="auto"/>
              <w:right w:val="single" w:sz="4" w:space="0" w:color="auto"/>
            </w:tcBorders>
          </w:tcPr>
          <w:p w14:paraId="47CE5ACC"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240</w:t>
            </w:r>
          </w:p>
        </w:tc>
        <w:tc>
          <w:tcPr>
            <w:tcW w:w="425" w:type="dxa"/>
            <w:tcBorders>
              <w:top w:val="single" w:sz="4" w:space="0" w:color="auto"/>
              <w:left w:val="single" w:sz="4" w:space="0" w:color="auto"/>
              <w:bottom w:val="single" w:sz="4" w:space="0" w:color="auto"/>
              <w:right w:val="single" w:sz="4" w:space="0" w:color="auto"/>
            </w:tcBorders>
          </w:tcPr>
          <w:p w14:paraId="527E158E"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20</w:t>
            </w:r>
          </w:p>
        </w:tc>
        <w:tc>
          <w:tcPr>
            <w:tcW w:w="426" w:type="dxa"/>
            <w:tcBorders>
              <w:top w:val="single" w:sz="4" w:space="0" w:color="auto"/>
              <w:left w:val="single" w:sz="4" w:space="0" w:color="auto"/>
              <w:bottom w:val="single" w:sz="4" w:space="0" w:color="auto"/>
              <w:right w:val="single" w:sz="4" w:space="0" w:color="auto"/>
            </w:tcBorders>
          </w:tcPr>
          <w:p w14:paraId="4A0DD36F"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40</w:t>
            </w:r>
          </w:p>
        </w:tc>
        <w:tc>
          <w:tcPr>
            <w:tcW w:w="425" w:type="dxa"/>
            <w:tcBorders>
              <w:top w:val="single" w:sz="4" w:space="0" w:color="auto"/>
              <w:left w:val="single" w:sz="4" w:space="0" w:color="auto"/>
              <w:bottom w:val="single" w:sz="4" w:space="0" w:color="auto"/>
              <w:right w:val="single" w:sz="4" w:space="0" w:color="auto"/>
            </w:tcBorders>
          </w:tcPr>
          <w:p w14:paraId="0F7523EA"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10</w:t>
            </w:r>
          </w:p>
        </w:tc>
        <w:tc>
          <w:tcPr>
            <w:tcW w:w="425" w:type="dxa"/>
            <w:tcBorders>
              <w:top w:val="single" w:sz="4" w:space="0" w:color="auto"/>
              <w:left w:val="single" w:sz="4" w:space="0" w:color="auto"/>
              <w:bottom w:val="single" w:sz="4" w:space="0" w:color="auto"/>
              <w:right w:val="single" w:sz="4" w:space="0" w:color="auto"/>
            </w:tcBorders>
          </w:tcPr>
          <w:p w14:paraId="1BEF92A4"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30</w:t>
            </w:r>
          </w:p>
        </w:tc>
        <w:tc>
          <w:tcPr>
            <w:tcW w:w="567" w:type="dxa"/>
            <w:tcBorders>
              <w:top w:val="single" w:sz="4" w:space="0" w:color="auto"/>
              <w:left w:val="single" w:sz="4" w:space="0" w:color="auto"/>
              <w:bottom w:val="single" w:sz="4" w:space="0" w:color="auto"/>
              <w:right w:val="single" w:sz="4" w:space="0" w:color="auto"/>
            </w:tcBorders>
          </w:tcPr>
          <w:p w14:paraId="50D94DC2"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115</w:t>
            </w:r>
          </w:p>
        </w:tc>
        <w:tc>
          <w:tcPr>
            <w:tcW w:w="567" w:type="dxa"/>
            <w:tcBorders>
              <w:top w:val="single" w:sz="4" w:space="0" w:color="auto"/>
              <w:left w:val="single" w:sz="4" w:space="0" w:color="auto"/>
              <w:bottom w:val="single" w:sz="4" w:space="0" w:color="auto"/>
              <w:right w:val="single" w:sz="4" w:space="0" w:color="auto"/>
            </w:tcBorders>
          </w:tcPr>
          <w:p w14:paraId="3B88DD73"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30</w:t>
            </w:r>
          </w:p>
        </w:tc>
        <w:tc>
          <w:tcPr>
            <w:tcW w:w="425" w:type="dxa"/>
            <w:tcBorders>
              <w:top w:val="single" w:sz="4" w:space="0" w:color="auto"/>
              <w:left w:val="single" w:sz="4" w:space="0" w:color="auto"/>
              <w:bottom w:val="single" w:sz="4" w:space="0" w:color="auto"/>
              <w:right w:val="single" w:sz="4" w:space="0" w:color="auto"/>
            </w:tcBorders>
          </w:tcPr>
          <w:p w14:paraId="0CA453AE"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35</w:t>
            </w:r>
          </w:p>
        </w:tc>
      </w:tr>
      <w:tr w:rsidR="009072CE" w:rsidRPr="00A07F29" w14:paraId="5A083413" w14:textId="77777777" w:rsidTr="00786008">
        <w:trPr>
          <w:jc w:val="center"/>
        </w:trPr>
        <w:tc>
          <w:tcPr>
            <w:tcW w:w="709" w:type="dxa"/>
            <w:tcBorders>
              <w:top w:val="single" w:sz="4" w:space="0" w:color="auto"/>
              <w:left w:val="single" w:sz="4" w:space="0" w:color="auto"/>
              <w:bottom w:val="single" w:sz="4" w:space="0" w:color="auto"/>
              <w:right w:val="single" w:sz="4" w:space="0" w:color="auto"/>
            </w:tcBorders>
            <w:shd w:val="clear" w:color="auto" w:fill="auto"/>
          </w:tcPr>
          <w:p w14:paraId="667718E4" w14:textId="77777777" w:rsidR="009072CE" w:rsidRPr="00A07F29" w:rsidRDefault="009072CE" w:rsidP="009072CE">
            <w:pPr>
              <w:spacing w:after="0" w:line="240" w:lineRule="auto"/>
              <w:jc w:val="center"/>
              <w:rPr>
                <w:rFonts w:ascii="Times New Roman" w:eastAsia="Calibri" w:hAnsi="Times New Roman" w:cs="Times New Roman"/>
                <w:sz w:val="18"/>
                <w:szCs w:val="18"/>
              </w:rPr>
            </w:pPr>
            <w:r w:rsidRPr="00A07F29">
              <w:rPr>
                <w:rFonts w:ascii="Times New Roman" w:eastAsia="Calibri" w:hAnsi="Times New Roman" w:cs="Times New Roman"/>
                <w:sz w:val="18"/>
                <w:szCs w:val="18"/>
              </w:rPr>
              <w:t>7853</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202C716" w14:textId="77777777" w:rsidR="009072CE" w:rsidRPr="00A07F29" w:rsidRDefault="009072CE" w:rsidP="009072CE">
            <w:pP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Priedaine</w:t>
            </w:r>
          </w:p>
        </w:tc>
        <w:tc>
          <w:tcPr>
            <w:tcW w:w="426" w:type="dxa"/>
            <w:tcBorders>
              <w:top w:val="single" w:sz="4" w:space="0" w:color="auto"/>
              <w:left w:val="single" w:sz="4" w:space="0" w:color="auto"/>
              <w:bottom w:val="single" w:sz="4" w:space="0" w:color="auto"/>
              <w:right w:val="single" w:sz="4" w:space="0" w:color="auto"/>
            </w:tcBorders>
          </w:tcPr>
          <w:p w14:paraId="3F9C4BD1"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31</w:t>
            </w:r>
          </w:p>
        </w:tc>
        <w:tc>
          <w:tcPr>
            <w:tcW w:w="454" w:type="dxa"/>
            <w:tcBorders>
              <w:top w:val="single" w:sz="4" w:space="0" w:color="auto"/>
              <w:left w:val="single" w:sz="4" w:space="0" w:color="auto"/>
              <w:bottom w:val="single" w:sz="4" w:space="0" w:color="auto"/>
              <w:right w:val="single" w:sz="4" w:space="0" w:color="auto"/>
            </w:tcBorders>
          </w:tcPr>
          <w:p w14:paraId="6A156CF0"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0</w:t>
            </w:r>
          </w:p>
        </w:tc>
        <w:tc>
          <w:tcPr>
            <w:tcW w:w="396" w:type="dxa"/>
            <w:tcBorders>
              <w:top w:val="single" w:sz="4" w:space="0" w:color="auto"/>
              <w:left w:val="single" w:sz="4" w:space="0" w:color="auto"/>
              <w:bottom w:val="single" w:sz="4" w:space="0" w:color="auto"/>
              <w:right w:val="single" w:sz="4" w:space="0" w:color="auto"/>
            </w:tcBorders>
          </w:tcPr>
          <w:p w14:paraId="53012620"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169</w:t>
            </w:r>
          </w:p>
        </w:tc>
        <w:tc>
          <w:tcPr>
            <w:tcW w:w="425" w:type="dxa"/>
            <w:tcBorders>
              <w:top w:val="single" w:sz="4" w:space="0" w:color="auto"/>
              <w:left w:val="single" w:sz="4" w:space="0" w:color="auto"/>
              <w:bottom w:val="single" w:sz="4" w:space="0" w:color="auto"/>
              <w:right w:val="single" w:sz="4" w:space="0" w:color="auto"/>
            </w:tcBorders>
          </w:tcPr>
          <w:p w14:paraId="6E208BE3"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24</w:t>
            </w:r>
          </w:p>
        </w:tc>
        <w:tc>
          <w:tcPr>
            <w:tcW w:w="313" w:type="dxa"/>
            <w:tcBorders>
              <w:top w:val="single" w:sz="4" w:space="0" w:color="auto"/>
              <w:left w:val="single" w:sz="4" w:space="0" w:color="auto"/>
              <w:bottom w:val="single" w:sz="4" w:space="0" w:color="auto"/>
              <w:right w:val="single" w:sz="4" w:space="0" w:color="auto"/>
            </w:tcBorders>
          </w:tcPr>
          <w:p w14:paraId="71A383BD"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0</w:t>
            </w:r>
          </w:p>
        </w:tc>
        <w:tc>
          <w:tcPr>
            <w:tcW w:w="425" w:type="dxa"/>
            <w:tcBorders>
              <w:top w:val="single" w:sz="4" w:space="0" w:color="auto"/>
              <w:left w:val="single" w:sz="4" w:space="0" w:color="auto"/>
              <w:bottom w:val="single" w:sz="4" w:space="0" w:color="auto"/>
              <w:right w:val="single" w:sz="4" w:space="0" w:color="auto"/>
            </w:tcBorders>
          </w:tcPr>
          <w:p w14:paraId="2901E8AA"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4</w:t>
            </w:r>
          </w:p>
        </w:tc>
        <w:tc>
          <w:tcPr>
            <w:tcW w:w="425" w:type="dxa"/>
            <w:tcBorders>
              <w:top w:val="single" w:sz="4" w:space="0" w:color="auto"/>
              <w:left w:val="single" w:sz="4" w:space="0" w:color="auto"/>
              <w:bottom w:val="single" w:sz="4" w:space="0" w:color="auto"/>
              <w:right w:val="single" w:sz="4" w:space="0" w:color="auto"/>
            </w:tcBorders>
          </w:tcPr>
          <w:p w14:paraId="4947971A"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32</w:t>
            </w:r>
          </w:p>
        </w:tc>
        <w:tc>
          <w:tcPr>
            <w:tcW w:w="425" w:type="dxa"/>
            <w:tcBorders>
              <w:top w:val="single" w:sz="4" w:space="0" w:color="auto"/>
              <w:left w:val="single" w:sz="4" w:space="0" w:color="auto"/>
              <w:bottom w:val="single" w:sz="4" w:space="0" w:color="auto"/>
              <w:right w:val="single" w:sz="4" w:space="0" w:color="auto"/>
            </w:tcBorders>
          </w:tcPr>
          <w:p w14:paraId="5A7C9603"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30</w:t>
            </w:r>
          </w:p>
        </w:tc>
        <w:tc>
          <w:tcPr>
            <w:tcW w:w="426" w:type="dxa"/>
            <w:tcBorders>
              <w:top w:val="single" w:sz="4" w:space="0" w:color="auto"/>
              <w:left w:val="single" w:sz="4" w:space="0" w:color="auto"/>
              <w:bottom w:val="single" w:sz="4" w:space="0" w:color="auto"/>
              <w:right w:val="single" w:sz="4" w:space="0" w:color="auto"/>
            </w:tcBorders>
          </w:tcPr>
          <w:p w14:paraId="7893DB8F"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10</w:t>
            </w:r>
          </w:p>
        </w:tc>
        <w:tc>
          <w:tcPr>
            <w:tcW w:w="396" w:type="dxa"/>
            <w:tcBorders>
              <w:top w:val="single" w:sz="4" w:space="0" w:color="auto"/>
              <w:left w:val="single" w:sz="4" w:space="0" w:color="auto"/>
              <w:bottom w:val="single" w:sz="4" w:space="0" w:color="auto"/>
              <w:right w:val="single" w:sz="4" w:space="0" w:color="auto"/>
            </w:tcBorders>
          </w:tcPr>
          <w:p w14:paraId="5B5B016C"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120</w:t>
            </w:r>
          </w:p>
        </w:tc>
        <w:tc>
          <w:tcPr>
            <w:tcW w:w="425" w:type="dxa"/>
            <w:tcBorders>
              <w:top w:val="single" w:sz="4" w:space="0" w:color="auto"/>
              <w:left w:val="single" w:sz="4" w:space="0" w:color="auto"/>
              <w:bottom w:val="single" w:sz="4" w:space="0" w:color="auto"/>
              <w:right w:val="single" w:sz="4" w:space="0" w:color="auto"/>
            </w:tcBorders>
          </w:tcPr>
          <w:p w14:paraId="4D526B78"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48</w:t>
            </w:r>
          </w:p>
        </w:tc>
        <w:tc>
          <w:tcPr>
            <w:tcW w:w="426" w:type="dxa"/>
            <w:tcBorders>
              <w:top w:val="single" w:sz="4" w:space="0" w:color="auto"/>
              <w:left w:val="single" w:sz="4" w:space="0" w:color="auto"/>
              <w:bottom w:val="single" w:sz="4" w:space="0" w:color="auto"/>
              <w:right w:val="single" w:sz="4" w:space="0" w:color="auto"/>
            </w:tcBorders>
          </w:tcPr>
          <w:p w14:paraId="6DF1AF43"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18</w:t>
            </w:r>
          </w:p>
        </w:tc>
        <w:tc>
          <w:tcPr>
            <w:tcW w:w="425" w:type="dxa"/>
            <w:tcBorders>
              <w:top w:val="single" w:sz="4" w:space="0" w:color="auto"/>
              <w:left w:val="single" w:sz="4" w:space="0" w:color="auto"/>
              <w:bottom w:val="single" w:sz="4" w:space="0" w:color="auto"/>
              <w:right w:val="single" w:sz="4" w:space="0" w:color="auto"/>
            </w:tcBorders>
          </w:tcPr>
          <w:p w14:paraId="6BDD80EB"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w:t>
            </w:r>
          </w:p>
        </w:tc>
        <w:tc>
          <w:tcPr>
            <w:tcW w:w="425" w:type="dxa"/>
            <w:tcBorders>
              <w:top w:val="single" w:sz="4" w:space="0" w:color="auto"/>
              <w:left w:val="single" w:sz="4" w:space="0" w:color="auto"/>
              <w:bottom w:val="single" w:sz="4" w:space="0" w:color="auto"/>
              <w:right w:val="single" w:sz="4" w:space="0" w:color="auto"/>
            </w:tcBorders>
          </w:tcPr>
          <w:p w14:paraId="2BA7A0A6"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18</w:t>
            </w:r>
          </w:p>
        </w:tc>
        <w:tc>
          <w:tcPr>
            <w:tcW w:w="567" w:type="dxa"/>
            <w:tcBorders>
              <w:top w:val="single" w:sz="4" w:space="0" w:color="auto"/>
              <w:left w:val="single" w:sz="4" w:space="0" w:color="auto"/>
              <w:bottom w:val="single" w:sz="4" w:space="0" w:color="auto"/>
              <w:right w:val="single" w:sz="4" w:space="0" w:color="auto"/>
            </w:tcBorders>
          </w:tcPr>
          <w:p w14:paraId="58CABBB9"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36</w:t>
            </w:r>
          </w:p>
        </w:tc>
        <w:tc>
          <w:tcPr>
            <w:tcW w:w="567" w:type="dxa"/>
            <w:tcBorders>
              <w:top w:val="single" w:sz="4" w:space="0" w:color="auto"/>
              <w:left w:val="single" w:sz="4" w:space="0" w:color="auto"/>
              <w:bottom w:val="single" w:sz="4" w:space="0" w:color="auto"/>
              <w:right w:val="single" w:sz="4" w:space="0" w:color="auto"/>
            </w:tcBorders>
          </w:tcPr>
          <w:p w14:paraId="7490839E"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16</w:t>
            </w:r>
          </w:p>
        </w:tc>
        <w:tc>
          <w:tcPr>
            <w:tcW w:w="425" w:type="dxa"/>
            <w:tcBorders>
              <w:top w:val="single" w:sz="4" w:space="0" w:color="auto"/>
              <w:left w:val="single" w:sz="4" w:space="0" w:color="auto"/>
              <w:bottom w:val="single" w:sz="4" w:space="0" w:color="auto"/>
              <w:right w:val="single" w:sz="4" w:space="0" w:color="auto"/>
            </w:tcBorders>
          </w:tcPr>
          <w:p w14:paraId="67163550"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10</w:t>
            </w:r>
          </w:p>
        </w:tc>
      </w:tr>
      <w:tr w:rsidR="009072CE" w:rsidRPr="00A07F29" w14:paraId="65B7BB65" w14:textId="77777777" w:rsidTr="00786008">
        <w:trPr>
          <w:jc w:val="center"/>
        </w:trPr>
        <w:tc>
          <w:tcPr>
            <w:tcW w:w="709" w:type="dxa"/>
            <w:tcBorders>
              <w:top w:val="single" w:sz="4" w:space="0" w:color="auto"/>
              <w:left w:val="single" w:sz="4" w:space="0" w:color="auto"/>
              <w:bottom w:val="single" w:sz="4" w:space="0" w:color="auto"/>
              <w:right w:val="single" w:sz="4" w:space="0" w:color="auto"/>
            </w:tcBorders>
            <w:shd w:val="clear" w:color="auto" w:fill="auto"/>
          </w:tcPr>
          <w:p w14:paraId="07C299F8" w14:textId="77777777" w:rsidR="009072CE" w:rsidRPr="00A07F29" w:rsidRDefault="009072CE" w:rsidP="009072CE">
            <w:pPr>
              <w:spacing w:after="0" w:line="240" w:lineRule="auto"/>
              <w:jc w:val="center"/>
              <w:rPr>
                <w:rFonts w:ascii="Times New Roman" w:eastAsia="Calibri" w:hAnsi="Times New Roman" w:cs="Times New Roman"/>
                <w:sz w:val="18"/>
                <w:szCs w:val="18"/>
              </w:rPr>
            </w:pPr>
            <w:r w:rsidRPr="00A07F29">
              <w:rPr>
                <w:rFonts w:ascii="Times New Roman" w:eastAsia="Calibri" w:hAnsi="Times New Roman" w:cs="Times New Roman"/>
                <w:sz w:val="18"/>
                <w:szCs w:val="18"/>
              </w:rPr>
              <w:t>7854</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F996322" w14:textId="77777777" w:rsidR="009072CE" w:rsidRPr="00A07F29" w:rsidRDefault="009072CE" w:rsidP="009072CE">
            <w:pP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Krāslava</w:t>
            </w:r>
          </w:p>
        </w:tc>
        <w:tc>
          <w:tcPr>
            <w:tcW w:w="426" w:type="dxa"/>
            <w:tcBorders>
              <w:top w:val="single" w:sz="4" w:space="0" w:color="auto"/>
              <w:left w:val="single" w:sz="4" w:space="0" w:color="auto"/>
              <w:bottom w:val="single" w:sz="4" w:space="0" w:color="auto"/>
              <w:right w:val="single" w:sz="4" w:space="0" w:color="auto"/>
            </w:tcBorders>
          </w:tcPr>
          <w:p w14:paraId="4A7CF75A"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28</w:t>
            </w:r>
          </w:p>
        </w:tc>
        <w:tc>
          <w:tcPr>
            <w:tcW w:w="454" w:type="dxa"/>
            <w:tcBorders>
              <w:top w:val="single" w:sz="4" w:space="0" w:color="auto"/>
              <w:left w:val="single" w:sz="4" w:space="0" w:color="auto"/>
              <w:bottom w:val="single" w:sz="4" w:space="0" w:color="auto"/>
              <w:right w:val="single" w:sz="4" w:space="0" w:color="auto"/>
            </w:tcBorders>
          </w:tcPr>
          <w:p w14:paraId="372A1608"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0</w:t>
            </w:r>
          </w:p>
        </w:tc>
        <w:tc>
          <w:tcPr>
            <w:tcW w:w="396" w:type="dxa"/>
            <w:tcBorders>
              <w:top w:val="single" w:sz="4" w:space="0" w:color="auto"/>
              <w:left w:val="single" w:sz="4" w:space="0" w:color="auto"/>
              <w:bottom w:val="single" w:sz="4" w:space="0" w:color="auto"/>
              <w:right w:val="single" w:sz="4" w:space="0" w:color="auto"/>
            </w:tcBorders>
          </w:tcPr>
          <w:p w14:paraId="649BFEAE"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185</w:t>
            </w:r>
          </w:p>
        </w:tc>
        <w:tc>
          <w:tcPr>
            <w:tcW w:w="425" w:type="dxa"/>
            <w:tcBorders>
              <w:top w:val="single" w:sz="4" w:space="0" w:color="auto"/>
              <w:left w:val="single" w:sz="4" w:space="0" w:color="auto"/>
              <w:bottom w:val="single" w:sz="4" w:space="0" w:color="auto"/>
              <w:right w:val="single" w:sz="4" w:space="0" w:color="auto"/>
            </w:tcBorders>
          </w:tcPr>
          <w:p w14:paraId="4F8647E1"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18</w:t>
            </w:r>
          </w:p>
        </w:tc>
        <w:tc>
          <w:tcPr>
            <w:tcW w:w="313" w:type="dxa"/>
            <w:tcBorders>
              <w:top w:val="single" w:sz="4" w:space="0" w:color="auto"/>
              <w:left w:val="single" w:sz="4" w:space="0" w:color="auto"/>
              <w:bottom w:val="single" w:sz="4" w:space="0" w:color="auto"/>
              <w:right w:val="single" w:sz="4" w:space="0" w:color="auto"/>
            </w:tcBorders>
          </w:tcPr>
          <w:p w14:paraId="6D806770"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0</w:t>
            </w:r>
          </w:p>
        </w:tc>
        <w:tc>
          <w:tcPr>
            <w:tcW w:w="425" w:type="dxa"/>
            <w:tcBorders>
              <w:top w:val="single" w:sz="4" w:space="0" w:color="auto"/>
              <w:left w:val="single" w:sz="4" w:space="0" w:color="auto"/>
              <w:bottom w:val="single" w:sz="4" w:space="0" w:color="auto"/>
              <w:right w:val="single" w:sz="4" w:space="0" w:color="auto"/>
            </w:tcBorders>
          </w:tcPr>
          <w:p w14:paraId="720D38AF"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0</w:t>
            </w:r>
          </w:p>
        </w:tc>
        <w:tc>
          <w:tcPr>
            <w:tcW w:w="425" w:type="dxa"/>
            <w:tcBorders>
              <w:top w:val="single" w:sz="4" w:space="0" w:color="auto"/>
              <w:left w:val="single" w:sz="4" w:space="0" w:color="auto"/>
              <w:bottom w:val="single" w:sz="4" w:space="0" w:color="auto"/>
              <w:right w:val="single" w:sz="4" w:space="0" w:color="auto"/>
            </w:tcBorders>
          </w:tcPr>
          <w:p w14:paraId="00447B4D"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40</w:t>
            </w:r>
          </w:p>
        </w:tc>
        <w:tc>
          <w:tcPr>
            <w:tcW w:w="425" w:type="dxa"/>
            <w:tcBorders>
              <w:top w:val="single" w:sz="4" w:space="0" w:color="auto"/>
              <w:left w:val="single" w:sz="4" w:space="0" w:color="auto"/>
              <w:bottom w:val="single" w:sz="4" w:space="0" w:color="auto"/>
              <w:right w:val="single" w:sz="4" w:space="0" w:color="auto"/>
            </w:tcBorders>
          </w:tcPr>
          <w:p w14:paraId="5E3AF7D6"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30</w:t>
            </w:r>
          </w:p>
        </w:tc>
        <w:tc>
          <w:tcPr>
            <w:tcW w:w="426" w:type="dxa"/>
            <w:tcBorders>
              <w:top w:val="single" w:sz="4" w:space="0" w:color="auto"/>
              <w:left w:val="single" w:sz="4" w:space="0" w:color="auto"/>
              <w:bottom w:val="single" w:sz="4" w:space="0" w:color="auto"/>
              <w:right w:val="single" w:sz="4" w:space="0" w:color="auto"/>
            </w:tcBorders>
          </w:tcPr>
          <w:p w14:paraId="1742B5CC"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10</w:t>
            </w:r>
          </w:p>
        </w:tc>
        <w:tc>
          <w:tcPr>
            <w:tcW w:w="396" w:type="dxa"/>
            <w:tcBorders>
              <w:top w:val="single" w:sz="4" w:space="0" w:color="auto"/>
              <w:left w:val="single" w:sz="4" w:space="0" w:color="auto"/>
              <w:bottom w:val="single" w:sz="4" w:space="0" w:color="auto"/>
              <w:right w:val="single" w:sz="4" w:space="0" w:color="auto"/>
            </w:tcBorders>
          </w:tcPr>
          <w:p w14:paraId="754507EE"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108</w:t>
            </w:r>
          </w:p>
        </w:tc>
        <w:tc>
          <w:tcPr>
            <w:tcW w:w="425" w:type="dxa"/>
            <w:tcBorders>
              <w:top w:val="single" w:sz="4" w:space="0" w:color="auto"/>
              <w:left w:val="single" w:sz="4" w:space="0" w:color="auto"/>
              <w:bottom w:val="single" w:sz="4" w:space="0" w:color="auto"/>
              <w:right w:val="single" w:sz="4" w:space="0" w:color="auto"/>
            </w:tcBorders>
          </w:tcPr>
          <w:p w14:paraId="744E37D5"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38</w:t>
            </w:r>
          </w:p>
        </w:tc>
        <w:tc>
          <w:tcPr>
            <w:tcW w:w="426" w:type="dxa"/>
            <w:tcBorders>
              <w:top w:val="single" w:sz="4" w:space="0" w:color="auto"/>
              <w:left w:val="single" w:sz="4" w:space="0" w:color="auto"/>
              <w:bottom w:val="single" w:sz="4" w:space="0" w:color="auto"/>
              <w:right w:val="single" w:sz="4" w:space="0" w:color="auto"/>
            </w:tcBorders>
          </w:tcPr>
          <w:p w14:paraId="77C0E8AD"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22</w:t>
            </w:r>
          </w:p>
        </w:tc>
        <w:tc>
          <w:tcPr>
            <w:tcW w:w="425" w:type="dxa"/>
            <w:tcBorders>
              <w:top w:val="single" w:sz="4" w:space="0" w:color="auto"/>
              <w:left w:val="single" w:sz="4" w:space="0" w:color="auto"/>
              <w:bottom w:val="single" w:sz="4" w:space="0" w:color="auto"/>
              <w:right w:val="single" w:sz="4" w:space="0" w:color="auto"/>
            </w:tcBorders>
          </w:tcPr>
          <w:p w14:paraId="3EAB3041"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w:t>
            </w:r>
          </w:p>
        </w:tc>
        <w:tc>
          <w:tcPr>
            <w:tcW w:w="425" w:type="dxa"/>
            <w:tcBorders>
              <w:top w:val="single" w:sz="4" w:space="0" w:color="auto"/>
              <w:left w:val="single" w:sz="4" w:space="0" w:color="auto"/>
              <w:bottom w:val="single" w:sz="4" w:space="0" w:color="auto"/>
              <w:right w:val="single" w:sz="4" w:space="0" w:color="auto"/>
            </w:tcBorders>
          </w:tcPr>
          <w:p w14:paraId="48670DBF"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12</w:t>
            </w:r>
          </w:p>
        </w:tc>
        <w:tc>
          <w:tcPr>
            <w:tcW w:w="567" w:type="dxa"/>
            <w:tcBorders>
              <w:top w:val="single" w:sz="4" w:space="0" w:color="auto"/>
              <w:left w:val="single" w:sz="4" w:space="0" w:color="auto"/>
              <w:bottom w:val="single" w:sz="4" w:space="0" w:color="auto"/>
              <w:right w:val="single" w:sz="4" w:space="0" w:color="auto"/>
            </w:tcBorders>
          </w:tcPr>
          <w:p w14:paraId="348733F3"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20</w:t>
            </w:r>
          </w:p>
        </w:tc>
        <w:tc>
          <w:tcPr>
            <w:tcW w:w="567" w:type="dxa"/>
            <w:tcBorders>
              <w:top w:val="single" w:sz="4" w:space="0" w:color="auto"/>
              <w:left w:val="single" w:sz="4" w:space="0" w:color="auto"/>
              <w:bottom w:val="single" w:sz="4" w:space="0" w:color="auto"/>
              <w:right w:val="single" w:sz="4" w:space="0" w:color="auto"/>
            </w:tcBorders>
          </w:tcPr>
          <w:p w14:paraId="41E0C9C5"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30</w:t>
            </w:r>
          </w:p>
        </w:tc>
        <w:tc>
          <w:tcPr>
            <w:tcW w:w="425" w:type="dxa"/>
            <w:tcBorders>
              <w:top w:val="single" w:sz="4" w:space="0" w:color="auto"/>
              <w:left w:val="single" w:sz="4" w:space="0" w:color="auto"/>
              <w:bottom w:val="single" w:sz="4" w:space="0" w:color="auto"/>
              <w:right w:val="single" w:sz="4" w:space="0" w:color="auto"/>
            </w:tcBorders>
          </w:tcPr>
          <w:p w14:paraId="67A951E5"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6</w:t>
            </w:r>
          </w:p>
        </w:tc>
      </w:tr>
      <w:tr w:rsidR="009072CE" w:rsidRPr="00A07F29" w14:paraId="7652DB35" w14:textId="77777777" w:rsidTr="00786008">
        <w:trPr>
          <w:jc w:val="center"/>
        </w:trPr>
        <w:tc>
          <w:tcPr>
            <w:tcW w:w="709" w:type="dxa"/>
            <w:tcBorders>
              <w:top w:val="single" w:sz="4" w:space="0" w:color="auto"/>
              <w:left w:val="single" w:sz="4" w:space="0" w:color="auto"/>
              <w:bottom w:val="single" w:sz="4" w:space="0" w:color="auto"/>
              <w:right w:val="single" w:sz="4" w:space="0" w:color="auto"/>
            </w:tcBorders>
            <w:shd w:val="clear" w:color="auto" w:fill="auto"/>
          </w:tcPr>
          <w:p w14:paraId="549CFF89" w14:textId="77777777" w:rsidR="009072CE" w:rsidRPr="00A07F29" w:rsidRDefault="009072CE" w:rsidP="009072CE">
            <w:pPr>
              <w:spacing w:after="0" w:line="240" w:lineRule="auto"/>
              <w:jc w:val="center"/>
              <w:rPr>
                <w:rFonts w:ascii="Times New Roman" w:eastAsia="Calibri" w:hAnsi="Times New Roman" w:cs="Times New Roman"/>
                <w:sz w:val="18"/>
                <w:szCs w:val="18"/>
              </w:rPr>
            </w:pPr>
            <w:r w:rsidRPr="00A07F29">
              <w:rPr>
                <w:rFonts w:ascii="Times New Roman" w:eastAsia="Calibri" w:hAnsi="Times New Roman" w:cs="Times New Roman"/>
                <w:sz w:val="18"/>
                <w:szCs w:val="18"/>
              </w:rPr>
              <w:t>7856</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6040F8D" w14:textId="77777777" w:rsidR="009072CE" w:rsidRPr="00A07F29" w:rsidRDefault="009072CE" w:rsidP="009072CE">
            <w:pP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Loks</w:t>
            </w:r>
          </w:p>
        </w:tc>
        <w:tc>
          <w:tcPr>
            <w:tcW w:w="426" w:type="dxa"/>
            <w:tcBorders>
              <w:top w:val="single" w:sz="4" w:space="0" w:color="auto"/>
              <w:left w:val="single" w:sz="4" w:space="0" w:color="auto"/>
              <w:bottom w:val="single" w:sz="4" w:space="0" w:color="auto"/>
              <w:right w:val="single" w:sz="4" w:space="0" w:color="auto"/>
            </w:tcBorders>
          </w:tcPr>
          <w:p w14:paraId="04D55377"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39</w:t>
            </w:r>
          </w:p>
        </w:tc>
        <w:tc>
          <w:tcPr>
            <w:tcW w:w="454" w:type="dxa"/>
            <w:tcBorders>
              <w:top w:val="single" w:sz="4" w:space="0" w:color="auto"/>
              <w:left w:val="single" w:sz="4" w:space="0" w:color="auto"/>
              <w:bottom w:val="single" w:sz="4" w:space="0" w:color="auto"/>
              <w:right w:val="single" w:sz="4" w:space="0" w:color="auto"/>
            </w:tcBorders>
          </w:tcPr>
          <w:p w14:paraId="06EFBB66"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15</w:t>
            </w:r>
          </w:p>
        </w:tc>
        <w:tc>
          <w:tcPr>
            <w:tcW w:w="396" w:type="dxa"/>
            <w:tcBorders>
              <w:top w:val="single" w:sz="4" w:space="0" w:color="auto"/>
              <w:left w:val="single" w:sz="4" w:space="0" w:color="auto"/>
              <w:bottom w:val="single" w:sz="4" w:space="0" w:color="auto"/>
              <w:right w:val="single" w:sz="4" w:space="0" w:color="auto"/>
            </w:tcBorders>
          </w:tcPr>
          <w:p w14:paraId="35F4F040"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95</w:t>
            </w:r>
          </w:p>
        </w:tc>
        <w:tc>
          <w:tcPr>
            <w:tcW w:w="425" w:type="dxa"/>
            <w:tcBorders>
              <w:top w:val="single" w:sz="4" w:space="0" w:color="auto"/>
              <w:left w:val="single" w:sz="4" w:space="0" w:color="auto"/>
              <w:bottom w:val="single" w:sz="4" w:space="0" w:color="auto"/>
              <w:right w:val="single" w:sz="4" w:space="0" w:color="auto"/>
            </w:tcBorders>
          </w:tcPr>
          <w:p w14:paraId="10B1A9EF"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24</w:t>
            </w:r>
          </w:p>
        </w:tc>
        <w:tc>
          <w:tcPr>
            <w:tcW w:w="313" w:type="dxa"/>
            <w:tcBorders>
              <w:top w:val="single" w:sz="4" w:space="0" w:color="auto"/>
              <w:left w:val="single" w:sz="4" w:space="0" w:color="auto"/>
              <w:bottom w:val="single" w:sz="4" w:space="0" w:color="auto"/>
              <w:right w:val="single" w:sz="4" w:space="0" w:color="auto"/>
            </w:tcBorders>
          </w:tcPr>
          <w:p w14:paraId="0AD0F1C5"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2</w:t>
            </w:r>
          </w:p>
        </w:tc>
        <w:tc>
          <w:tcPr>
            <w:tcW w:w="425" w:type="dxa"/>
            <w:tcBorders>
              <w:top w:val="single" w:sz="4" w:space="0" w:color="auto"/>
              <w:left w:val="single" w:sz="4" w:space="0" w:color="auto"/>
              <w:bottom w:val="single" w:sz="4" w:space="0" w:color="auto"/>
              <w:right w:val="single" w:sz="4" w:space="0" w:color="auto"/>
            </w:tcBorders>
          </w:tcPr>
          <w:p w14:paraId="0CD7D209"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2</w:t>
            </w:r>
          </w:p>
        </w:tc>
        <w:tc>
          <w:tcPr>
            <w:tcW w:w="425" w:type="dxa"/>
            <w:tcBorders>
              <w:top w:val="single" w:sz="4" w:space="0" w:color="auto"/>
              <w:left w:val="single" w:sz="4" w:space="0" w:color="auto"/>
              <w:bottom w:val="single" w:sz="4" w:space="0" w:color="auto"/>
              <w:right w:val="single" w:sz="4" w:space="0" w:color="auto"/>
            </w:tcBorders>
          </w:tcPr>
          <w:p w14:paraId="4EA150FA"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25</w:t>
            </w:r>
          </w:p>
        </w:tc>
        <w:tc>
          <w:tcPr>
            <w:tcW w:w="425" w:type="dxa"/>
            <w:tcBorders>
              <w:top w:val="single" w:sz="4" w:space="0" w:color="auto"/>
              <w:left w:val="single" w:sz="4" w:space="0" w:color="auto"/>
              <w:bottom w:val="single" w:sz="4" w:space="0" w:color="auto"/>
              <w:right w:val="single" w:sz="4" w:space="0" w:color="auto"/>
            </w:tcBorders>
          </w:tcPr>
          <w:p w14:paraId="1DAC5905"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25</w:t>
            </w:r>
          </w:p>
        </w:tc>
        <w:tc>
          <w:tcPr>
            <w:tcW w:w="426" w:type="dxa"/>
            <w:tcBorders>
              <w:top w:val="single" w:sz="4" w:space="0" w:color="auto"/>
              <w:left w:val="single" w:sz="4" w:space="0" w:color="auto"/>
              <w:bottom w:val="single" w:sz="4" w:space="0" w:color="auto"/>
              <w:right w:val="single" w:sz="4" w:space="0" w:color="auto"/>
            </w:tcBorders>
          </w:tcPr>
          <w:p w14:paraId="77DFD241"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12</w:t>
            </w:r>
          </w:p>
        </w:tc>
        <w:tc>
          <w:tcPr>
            <w:tcW w:w="396" w:type="dxa"/>
            <w:tcBorders>
              <w:top w:val="single" w:sz="4" w:space="0" w:color="auto"/>
              <w:left w:val="single" w:sz="4" w:space="0" w:color="auto"/>
              <w:bottom w:val="single" w:sz="4" w:space="0" w:color="auto"/>
              <w:right w:val="single" w:sz="4" w:space="0" w:color="auto"/>
            </w:tcBorders>
          </w:tcPr>
          <w:p w14:paraId="609205B7"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120</w:t>
            </w:r>
          </w:p>
        </w:tc>
        <w:tc>
          <w:tcPr>
            <w:tcW w:w="425" w:type="dxa"/>
            <w:tcBorders>
              <w:top w:val="single" w:sz="4" w:space="0" w:color="auto"/>
              <w:left w:val="single" w:sz="4" w:space="0" w:color="auto"/>
              <w:bottom w:val="single" w:sz="4" w:space="0" w:color="auto"/>
              <w:right w:val="single" w:sz="4" w:space="0" w:color="auto"/>
            </w:tcBorders>
          </w:tcPr>
          <w:p w14:paraId="5CF2324B"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22</w:t>
            </w:r>
          </w:p>
        </w:tc>
        <w:tc>
          <w:tcPr>
            <w:tcW w:w="426" w:type="dxa"/>
            <w:tcBorders>
              <w:top w:val="single" w:sz="4" w:space="0" w:color="auto"/>
              <w:left w:val="single" w:sz="4" w:space="0" w:color="auto"/>
              <w:bottom w:val="single" w:sz="4" w:space="0" w:color="auto"/>
              <w:right w:val="single" w:sz="4" w:space="0" w:color="auto"/>
            </w:tcBorders>
          </w:tcPr>
          <w:p w14:paraId="528047E7"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10</w:t>
            </w:r>
          </w:p>
        </w:tc>
        <w:tc>
          <w:tcPr>
            <w:tcW w:w="425" w:type="dxa"/>
            <w:tcBorders>
              <w:top w:val="single" w:sz="4" w:space="0" w:color="auto"/>
              <w:left w:val="single" w:sz="4" w:space="0" w:color="auto"/>
              <w:bottom w:val="single" w:sz="4" w:space="0" w:color="auto"/>
              <w:right w:val="single" w:sz="4" w:space="0" w:color="auto"/>
            </w:tcBorders>
          </w:tcPr>
          <w:p w14:paraId="1E534EE6"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w:t>
            </w:r>
          </w:p>
        </w:tc>
        <w:tc>
          <w:tcPr>
            <w:tcW w:w="425" w:type="dxa"/>
            <w:tcBorders>
              <w:top w:val="single" w:sz="4" w:space="0" w:color="auto"/>
              <w:left w:val="single" w:sz="4" w:space="0" w:color="auto"/>
              <w:bottom w:val="single" w:sz="4" w:space="0" w:color="auto"/>
              <w:right w:val="single" w:sz="4" w:space="0" w:color="auto"/>
            </w:tcBorders>
          </w:tcPr>
          <w:p w14:paraId="7D068932"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12</w:t>
            </w:r>
          </w:p>
        </w:tc>
        <w:tc>
          <w:tcPr>
            <w:tcW w:w="567" w:type="dxa"/>
            <w:tcBorders>
              <w:top w:val="single" w:sz="4" w:space="0" w:color="auto"/>
              <w:left w:val="single" w:sz="4" w:space="0" w:color="auto"/>
              <w:bottom w:val="single" w:sz="4" w:space="0" w:color="auto"/>
              <w:right w:val="single" w:sz="4" w:space="0" w:color="auto"/>
            </w:tcBorders>
          </w:tcPr>
          <w:p w14:paraId="7ECA337A"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12</w:t>
            </w:r>
          </w:p>
        </w:tc>
        <w:tc>
          <w:tcPr>
            <w:tcW w:w="567" w:type="dxa"/>
            <w:tcBorders>
              <w:top w:val="single" w:sz="4" w:space="0" w:color="auto"/>
              <w:left w:val="single" w:sz="4" w:space="0" w:color="auto"/>
              <w:bottom w:val="single" w:sz="4" w:space="0" w:color="auto"/>
              <w:right w:val="single" w:sz="4" w:space="0" w:color="auto"/>
            </w:tcBorders>
          </w:tcPr>
          <w:p w14:paraId="2E25DA50"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10</w:t>
            </w:r>
          </w:p>
        </w:tc>
        <w:tc>
          <w:tcPr>
            <w:tcW w:w="425" w:type="dxa"/>
            <w:tcBorders>
              <w:top w:val="single" w:sz="4" w:space="0" w:color="auto"/>
              <w:left w:val="single" w:sz="4" w:space="0" w:color="auto"/>
              <w:bottom w:val="single" w:sz="4" w:space="0" w:color="auto"/>
              <w:right w:val="single" w:sz="4" w:space="0" w:color="auto"/>
            </w:tcBorders>
          </w:tcPr>
          <w:p w14:paraId="7D3506CD"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10</w:t>
            </w:r>
          </w:p>
        </w:tc>
      </w:tr>
      <w:tr w:rsidR="009072CE" w:rsidRPr="00A07F29" w14:paraId="28ABFB12" w14:textId="77777777" w:rsidTr="00786008">
        <w:trPr>
          <w:jc w:val="center"/>
        </w:trPr>
        <w:tc>
          <w:tcPr>
            <w:tcW w:w="709" w:type="dxa"/>
            <w:tcBorders>
              <w:top w:val="single" w:sz="4" w:space="0" w:color="auto"/>
              <w:left w:val="single" w:sz="4" w:space="0" w:color="auto"/>
              <w:bottom w:val="single" w:sz="4" w:space="0" w:color="auto"/>
              <w:right w:val="single" w:sz="4" w:space="0" w:color="auto"/>
            </w:tcBorders>
            <w:shd w:val="clear" w:color="auto" w:fill="auto"/>
          </w:tcPr>
          <w:p w14:paraId="63B08074" w14:textId="77777777" w:rsidR="009072CE" w:rsidRPr="00A07F29" w:rsidRDefault="009072CE" w:rsidP="009072CE">
            <w:pPr>
              <w:spacing w:after="0" w:line="240" w:lineRule="auto"/>
              <w:jc w:val="center"/>
              <w:rPr>
                <w:rFonts w:ascii="Times New Roman" w:eastAsia="Calibri" w:hAnsi="Times New Roman" w:cs="Times New Roman"/>
                <w:sz w:val="18"/>
                <w:szCs w:val="18"/>
              </w:rPr>
            </w:pPr>
            <w:r w:rsidRPr="00A07F29">
              <w:rPr>
                <w:rFonts w:ascii="Times New Roman" w:eastAsia="Calibri" w:hAnsi="Times New Roman" w:cs="Times New Roman"/>
                <w:sz w:val="18"/>
                <w:szCs w:val="18"/>
              </w:rPr>
              <w:t>7857</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53CDA41" w14:textId="77777777" w:rsidR="009072CE" w:rsidRPr="00A07F29" w:rsidRDefault="009072CE" w:rsidP="009072CE">
            <w:pP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Kalnieši</w:t>
            </w:r>
          </w:p>
        </w:tc>
        <w:tc>
          <w:tcPr>
            <w:tcW w:w="426" w:type="dxa"/>
            <w:tcBorders>
              <w:top w:val="single" w:sz="4" w:space="0" w:color="auto"/>
              <w:left w:val="single" w:sz="4" w:space="0" w:color="auto"/>
              <w:bottom w:val="single" w:sz="4" w:space="0" w:color="auto"/>
              <w:right w:val="single" w:sz="4" w:space="0" w:color="auto"/>
            </w:tcBorders>
          </w:tcPr>
          <w:p w14:paraId="0A8DA99D"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35</w:t>
            </w:r>
          </w:p>
        </w:tc>
        <w:tc>
          <w:tcPr>
            <w:tcW w:w="454" w:type="dxa"/>
            <w:tcBorders>
              <w:top w:val="single" w:sz="4" w:space="0" w:color="auto"/>
              <w:left w:val="single" w:sz="4" w:space="0" w:color="auto"/>
              <w:bottom w:val="single" w:sz="4" w:space="0" w:color="auto"/>
              <w:right w:val="single" w:sz="4" w:space="0" w:color="auto"/>
            </w:tcBorders>
          </w:tcPr>
          <w:p w14:paraId="77B08FC6"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0</w:t>
            </w:r>
          </w:p>
        </w:tc>
        <w:tc>
          <w:tcPr>
            <w:tcW w:w="396" w:type="dxa"/>
            <w:tcBorders>
              <w:top w:val="single" w:sz="4" w:space="0" w:color="auto"/>
              <w:left w:val="single" w:sz="4" w:space="0" w:color="auto"/>
              <w:bottom w:val="single" w:sz="4" w:space="0" w:color="auto"/>
              <w:right w:val="single" w:sz="4" w:space="0" w:color="auto"/>
            </w:tcBorders>
          </w:tcPr>
          <w:p w14:paraId="4B88916B"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304</w:t>
            </w:r>
          </w:p>
        </w:tc>
        <w:tc>
          <w:tcPr>
            <w:tcW w:w="425" w:type="dxa"/>
            <w:tcBorders>
              <w:top w:val="single" w:sz="4" w:space="0" w:color="auto"/>
              <w:left w:val="single" w:sz="4" w:space="0" w:color="auto"/>
              <w:bottom w:val="single" w:sz="4" w:space="0" w:color="auto"/>
              <w:right w:val="single" w:sz="4" w:space="0" w:color="auto"/>
            </w:tcBorders>
          </w:tcPr>
          <w:p w14:paraId="513FA4B0"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20</w:t>
            </w:r>
          </w:p>
        </w:tc>
        <w:tc>
          <w:tcPr>
            <w:tcW w:w="313" w:type="dxa"/>
            <w:tcBorders>
              <w:top w:val="single" w:sz="4" w:space="0" w:color="auto"/>
              <w:left w:val="single" w:sz="4" w:space="0" w:color="auto"/>
              <w:bottom w:val="single" w:sz="4" w:space="0" w:color="auto"/>
              <w:right w:val="single" w:sz="4" w:space="0" w:color="auto"/>
            </w:tcBorders>
          </w:tcPr>
          <w:p w14:paraId="119DE695"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2</w:t>
            </w:r>
          </w:p>
        </w:tc>
        <w:tc>
          <w:tcPr>
            <w:tcW w:w="425" w:type="dxa"/>
            <w:tcBorders>
              <w:top w:val="single" w:sz="4" w:space="0" w:color="auto"/>
              <w:left w:val="single" w:sz="4" w:space="0" w:color="auto"/>
              <w:bottom w:val="single" w:sz="4" w:space="0" w:color="auto"/>
              <w:right w:val="single" w:sz="4" w:space="0" w:color="auto"/>
            </w:tcBorders>
          </w:tcPr>
          <w:p w14:paraId="71A39228"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4</w:t>
            </w:r>
          </w:p>
        </w:tc>
        <w:tc>
          <w:tcPr>
            <w:tcW w:w="425" w:type="dxa"/>
            <w:tcBorders>
              <w:top w:val="single" w:sz="4" w:space="0" w:color="auto"/>
              <w:left w:val="single" w:sz="4" w:space="0" w:color="auto"/>
              <w:bottom w:val="single" w:sz="4" w:space="0" w:color="auto"/>
              <w:right w:val="single" w:sz="4" w:space="0" w:color="auto"/>
            </w:tcBorders>
          </w:tcPr>
          <w:p w14:paraId="2B2AF2EE"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30</w:t>
            </w:r>
          </w:p>
        </w:tc>
        <w:tc>
          <w:tcPr>
            <w:tcW w:w="425" w:type="dxa"/>
            <w:tcBorders>
              <w:top w:val="single" w:sz="4" w:space="0" w:color="auto"/>
              <w:left w:val="single" w:sz="4" w:space="0" w:color="auto"/>
              <w:bottom w:val="single" w:sz="4" w:space="0" w:color="auto"/>
              <w:right w:val="single" w:sz="4" w:space="0" w:color="auto"/>
            </w:tcBorders>
          </w:tcPr>
          <w:p w14:paraId="29B66B9B"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40</w:t>
            </w:r>
          </w:p>
        </w:tc>
        <w:tc>
          <w:tcPr>
            <w:tcW w:w="426" w:type="dxa"/>
            <w:tcBorders>
              <w:top w:val="single" w:sz="4" w:space="0" w:color="auto"/>
              <w:left w:val="single" w:sz="4" w:space="0" w:color="auto"/>
              <w:bottom w:val="single" w:sz="4" w:space="0" w:color="auto"/>
              <w:right w:val="single" w:sz="4" w:space="0" w:color="auto"/>
            </w:tcBorders>
          </w:tcPr>
          <w:p w14:paraId="564AD64D"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10</w:t>
            </w:r>
          </w:p>
        </w:tc>
        <w:tc>
          <w:tcPr>
            <w:tcW w:w="396" w:type="dxa"/>
            <w:tcBorders>
              <w:top w:val="single" w:sz="4" w:space="0" w:color="auto"/>
              <w:left w:val="single" w:sz="4" w:space="0" w:color="auto"/>
              <w:bottom w:val="single" w:sz="4" w:space="0" w:color="auto"/>
              <w:right w:val="single" w:sz="4" w:space="0" w:color="auto"/>
            </w:tcBorders>
          </w:tcPr>
          <w:p w14:paraId="100C1C45"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280</w:t>
            </w:r>
          </w:p>
        </w:tc>
        <w:tc>
          <w:tcPr>
            <w:tcW w:w="425" w:type="dxa"/>
            <w:tcBorders>
              <w:top w:val="single" w:sz="4" w:space="0" w:color="auto"/>
              <w:left w:val="single" w:sz="4" w:space="0" w:color="auto"/>
              <w:bottom w:val="single" w:sz="4" w:space="0" w:color="auto"/>
              <w:right w:val="single" w:sz="4" w:space="0" w:color="auto"/>
            </w:tcBorders>
          </w:tcPr>
          <w:p w14:paraId="3BA543CE"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35</w:t>
            </w:r>
          </w:p>
        </w:tc>
        <w:tc>
          <w:tcPr>
            <w:tcW w:w="426" w:type="dxa"/>
            <w:tcBorders>
              <w:top w:val="single" w:sz="4" w:space="0" w:color="auto"/>
              <w:left w:val="single" w:sz="4" w:space="0" w:color="auto"/>
              <w:bottom w:val="single" w:sz="4" w:space="0" w:color="auto"/>
              <w:right w:val="single" w:sz="4" w:space="0" w:color="auto"/>
            </w:tcBorders>
          </w:tcPr>
          <w:p w14:paraId="4E270D47"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35</w:t>
            </w:r>
          </w:p>
        </w:tc>
        <w:tc>
          <w:tcPr>
            <w:tcW w:w="425" w:type="dxa"/>
            <w:tcBorders>
              <w:top w:val="single" w:sz="4" w:space="0" w:color="auto"/>
              <w:left w:val="single" w:sz="4" w:space="0" w:color="auto"/>
              <w:bottom w:val="single" w:sz="4" w:space="0" w:color="auto"/>
              <w:right w:val="single" w:sz="4" w:space="0" w:color="auto"/>
            </w:tcBorders>
          </w:tcPr>
          <w:p w14:paraId="4B3535A8"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w:t>
            </w:r>
          </w:p>
        </w:tc>
        <w:tc>
          <w:tcPr>
            <w:tcW w:w="425" w:type="dxa"/>
            <w:tcBorders>
              <w:top w:val="single" w:sz="4" w:space="0" w:color="auto"/>
              <w:left w:val="single" w:sz="4" w:space="0" w:color="auto"/>
              <w:bottom w:val="single" w:sz="4" w:space="0" w:color="auto"/>
              <w:right w:val="single" w:sz="4" w:space="0" w:color="auto"/>
            </w:tcBorders>
          </w:tcPr>
          <w:p w14:paraId="53585834"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20</w:t>
            </w:r>
          </w:p>
        </w:tc>
        <w:tc>
          <w:tcPr>
            <w:tcW w:w="567" w:type="dxa"/>
            <w:tcBorders>
              <w:top w:val="single" w:sz="4" w:space="0" w:color="auto"/>
              <w:left w:val="single" w:sz="4" w:space="0" w:color="auto"/>
              <w:bottom w:val="single" w:sz="4" w:space="0" w:color="auto"/>
              <w:right w:val="single" w:sz="4" w:space="0" w:color="auto"/>
            </w:tcBorders>
          </w:tcPr>
          <w:p w14:paraId="7F3CAB7D"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40</w:t>
            </w:r>
          </w:p>
        </w:tc>
        <w:tc>
          <w:tcPr>
            <w:tcW w:w="567" w:type="dxa"/>
            <w:tcBorders>
              <w:top w:val="single" w:sz="4" w:space="0" w:color="auto"/>
              <w:left w:val="single" w:sz="4" w:space="0" w:color="auto"/>
              <w:bottom w:val="single" w:sz="4" w:space="0" w:color="auto"/>
              <w:right w:val="single" w:sz="4" w:space="0" w:color="auto"/>
            </w:tcBorders>
          </w:tcPr>
          <w:p w14:paraId="558BCA21"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50</w:t>
            </w:r>
          </w:p>
        </w:tc>
        <w:tc>
          <w:tcPr>
            <w:tcW w:w="425" w:type="dxa"/>
            <w:tcBorders>
              <w:top w:val="single" w:sz="4" w:space="0" w:color="auto"/>
              <w:left w:val="single" w:sz="4" w:space="0" w:color="auto"/>
              <w:bottom w:val="single" w:sz="4" w:space="0" w:color="auto"/>
              <w:right w:val="single" w:sz="4" w:space="0" w:color="auto"/>
            </w:tcBorders>
          </w:tcPr>
          <w:p w14:paraId="6ED6273B" w14:textId="77777777" w:rsidR="009072CE" w:rsidRPr="00A07F29" w:rsidRDefault="009072CE" w:rsidP="009072CE">
            <w:pPr>
              <w:spacing w:after="0" w:line="240" w:lineRule="auto"/>
              <w:jc w:val="cente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10</w:t>
            </w:r>
          </w:p>
        </w:tc>
      </w:tr>
      <w:tr w:rsidR="009072CE" w:rsidRPr="00A07F29" w14:paraId="5DE5D6B7" w14:textId="77777777" w:rsidTr="00786008">
        <w:trPr>
          <w:jc w:val="center"/>
        </w:trPr>
        <w:tc>
          <w:tcPr>
            <w:tcW w:w="709" w:type="dxa"/>
            <w:tcBorders>
              <w:top w:val="single" w:sz="4" w:space="0" w:color="auto"/>
              <w:left w:val="single" w:sz="4" w:space="0" w:color="auto"/>
              <w:bottom w:val="single" w:sz="4" w:space="0" w:color="auto"/>
              <w:right w:val="single" w:sz="4" w:space="0" w:color="auto"/>
            </w:tcBorders>
            <w:shd w:val="clear" w:color="auto" w:fill="auto"/>
          </w:tcPr>
          <w:p w14:paraId="68CBA619" w14:textId="77777777" w:rsidR="009072CE" w:rsidRPr="00A07F29" w:rsidRDefault="009072CE" w:rsidP="009072CE">
            <w:pPr>
              <w:spacing w:after="0" w:line="240" w:lineRule="auto"/>
              <w:rPr>
                <w:rFonts w:ascii="Times New Roman" w:eastAsia="Calibri" w:hAnsi="Times New Roman" w:cs="Times New Roman"/>
                <w:sz w:val="18"/>
                <w:szCs w:val="18"/>
              </w:rPr>
            </w:pPr>
            <w:r w:rsidRPr="00A07F29">
              <w:rPr>
                <w:rFonts w:ascii="Times New Roman" w:eastAsia="Calibri" w:hAnsi="Times New Roman" w:cs="Times New Roman"/>
                <w:sz w:val="18"/>
                <w:szCs w:val="18"/>
              </w:rPr>
              <w:t>7860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7AFEEA3" w14:textId="77777777" w:rsidR="009072CE" w:rsidRPr="00A07F29" w:rsidRDefault="009072CE" w:rsidP="009072CE">
            <w:pP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Piedruja</w:t>
            </w: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6362D015" w14:textId="77777777" w:rsidR="009072CE" w:rsidRPr="00A07F29" w:rsidRDefault="009072CE" w:rsidP="009072CE">
            <w:pP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16</w:t>
            </w:r>
          </w:p>
        </w:tc>
        <w:tc>
          <w:tcPr>
            <w:tcW w:w="454" w:type="dxa"/>
            <w:tcBorders>
              <w:top w:val="single" w:sz="4" w:space="0" w:color="auto"/>
              <w:left w:val="single" w:sz="4" w:space="0" w:color="auto"/>
              <w:bottom w:val="single" w:sz="4" w:space="0" w:color="auto"/>
              <w:right w:val="single" w:sz="4" w:space="0" w:color="auto"/>
            </w:tcBorders>
            <w:shd w:val="clear" w:color="auto" w:fill="auto"/>
          </w:tcPr>
          <w:p w14:paraId="60D5B2E8" w14:textId="77777777" w:rsidR="009072CE" w:rsidRPr="00A07F29" w:rsidRDefault="009072CE" w:rsidP="009072CE">
            <w:pP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0</w:t>
            </w:r>
          </w:p>
        </w:tc>
        <w:tc>
          <w:tcPr>
            <w:tcW w:w="396" w:type="dxa"/>
            <w:tcBorders>
              <w:top w:val="single" w:sz="4" w:space="0" w:color="auto"/>
              <w:left w:val="single" w:sz="4" w:space="0" w:color="auto"/>
              <w:bottom w:val="single" w:sz="4" w:space="0" w:color="auto"/>
              <w:right w:val="single" w:sz="4" w:space="0" w:color="auto"/>
            </w:tcBorders>
            <w:shd w:val="clear" w:color="auto" w:fill="auto"/>
          </w:tcPr>
          <w:p w14:paraId="013D6319" w14:textId="77777777" w:rsidR="009072CE" w:rsidRPr="00A07F29" w:rsidRDefault="009072CE" w:rsidP="009072CE">
            <w:pP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163</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2B0F7061" w14:textId="77777777" w:rsidR="009072CE" w:rsidRPr="00A07F29" w:rsidRDefault="009072CE" w:rsidP="009072CE">
            <w:pP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19</w:t>
            </w:r>
          </w:p>
        </w:tc>
        <w:tc>
          <w:tcPr>
            <w:tcW w:w="313" w:type="dxa"/>
            <w:tcBorders>
              <w:top w:val="single" w:sz="4" w:space="0" w:color="auto"/>
              <w:left w:val="single" w:sz="4" w:space="0" w:color="auto"/>
              <w:bottom w:val="single" w:sz="4" w:space="0" w:color="auto"/>
              <w:right w:val="single" w:sz="4" w:space="0" w:color="auto"/>
            </w:tcBorders>
            <w:shd w:val="clear" w:color="auto" w:fill="auto"/>
          </w:tcPr>
          <w:p w14:paraId="0A56F8DB" w14:textId="77777777" w:rsidR="009072CE" w:rsidRPr="00A07F29" w:rsidRDefault="009072CE" w:rsidP="009072CE">
            <w:pP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0</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595B0B4" w14:textId="77777777" w:rsidR="009072CE" w:rsidRPr="00A07F29" w:rsidRDefault="009072CE" w:rsidP="009072CE">
            <w:pP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1</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1AA8C1FF" w14:textId="77777777" w:rsidR="009072CE" w:rsidRPr="00A07F29" w:rsidRDefault="009072CE" w:rsidP="009072CE">
            <w:pP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20</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57271247" w14:textId="77777777" w:rsidR="009072CE" w:rsidRPr="00A07F29" w:rsidRDefault="009072CE" w:rsidP="009072CE">
            <w:pP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15</w:t>
            </w: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10F501F1" w14:textId="77777777" w:rsidR="009072CE" w:rsidRPr="00A07F29" w:rsidRDefault="009072CE" w:rsidP="009072CE">
            <w:pP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3</w:t>
            </w:r>
          </w:p>
        </w:tc>
        <w:tc>
          <w:tcPr>
            <w:tcW w:w="396" w:type="dxa"/>
            <w:tcBorders>
              <w:top w:val="single" w:sz="4" w:space="0" w:color="auto"/>
              <w:left w:val="single" w:sz="4" w:space="0" w:color="auto"/>
              <w:bottom w:val="single" w:sz="4" w:space="0" w:color="auto"/>
              <w:right w:val="single" w:sz="4" w:space="0" w:color="auto"/>
            </w:tcBorders>
            <w:shd w:val="clear" w:color="auto" w:fill="auto"/>
          </w:tcPr>
          <w:p w14:paraId="22582D5B" w14:textId="77777777" w:rsidR="009072CE" w:rsidRPr="00A07F29" w:rsidRDefault="009072CE" w:rsidP="009072CE">
            <w:pP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140</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2BD0B561" w14:textId="77777777" w:rsidR="009072CE" w:rsidRPr="00A07F29" w:rsidRDefault="009072CE" w:rsidP="009072CE">
            <w:pP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12</w:t>
            </w: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00CB225C" w14:textId="77777777" w:rsidR="009072CE" w:rsidRPr="00A07F29" w:rsidRDefault="009072CE" w:rsidP="009072CE">
            <w:pP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12</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0BF1C7EA" w14:textId="77777777" w:rsidR="009072CE" w:rsidRPr="00A07F29" w:rsidRDefault="009072CE" w:rsidP="009072CE">
            <w:pP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558F2118" w14:textId="77777777" w:rsidR="009072CE" w:rsidRPr="00A07F29" w:rsidRDefault="009072CE" w:rsidP="009072CE">
            <w:pP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EF566D3" w14:textId="77777777" w:rsidR="009072CE" w:rsidRPr="00A07F29" w:rsidRDefault="009072CE" w:rsidP="009072CE">
            <w:pP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20</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776B1B9" w14:textId="77777777" w:rsidR="009072CE" w:rsidRPr="00A07F29" w:rsidRDefault="009072CE" w:rsidP="009072CE">
            <w:pP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20</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7F8CF6D2" w14:textId="77777777" w:rsidR="009072CE" w:rsidRPr="00A07F29" w:rsidRDefault="009072CE" w:rsidP="009072CE">
            <w:pPr>
              <w:rPr>
                <w:rFonts w:ascii="Times New Roman" w:eastAsia="Times New Roman" w:hAnsi="Times New Roman" w:cs="Times New Roman"/>
                <w:sz w:val="18"/>
                <w:szCs w:val="18"/>
              </w:rPr>
            </w:pPr>
            <w:r w:rsidRPr="00A07F29">
              <w:rPr>
                <w:rFonts w:ascii="Times New Roman" w:eastAsia="Times New Roman" w:hAnsi="Times New Roman" w:cs="Times New Roman"/>
                <w:sz w:val="18"/>
                <w:szCs w:val="18"/>
              </w:rPr>
              <w:t>0</w:t>
            </w:r>
          </w:p>
        </w:tc>
      </w:tr>
    </w:tbl>
    <w:p w14:paraId="556B1135" w14:textId="77777777" w:rsidR="009072CE" w:rsidRPr="00A07F29" w:rsidRDefault="009072CE" w:rsidP="009072CE">
      <w:pPr>
        <w:spacing w:after="0" w:line="240" w:lineRule="auto"/>
        <w:rPr>
          <w:rFonts w:ascii="Times New Roman" w:eastAsia="Times New Roman" w:hAnsi="Times New Roman" w:cs="Times New Roman"/>
          <w:sz w:val="24"/>
          <w:szCs w:val="24"/>
        </w:rPr>
      </w:pPr>
    </w:p>
    <w:p w14:paraId="077FF938" w14:textId="77777777" w:rsidR="009072CE" w:rsidRPr="00A07F29" w:rsidRDefault="009072CE" w:rsidP="009072CE">
      <w:pPr>
        <w:spacing w:after="120"/>
        <w:ind w:firstLine="851"/>
        <w:jc w:val="both"/>
        <w:rPr>
          <w:rFonts w:ascii="Times New Roman" w:eastAsia="Calibri" w:hAnsi="Times New Roman" w:cs="Calibri"/>
          <w:sz w:val="24"/>
        </w:rPr>
      </w:pPr>
    </w:p>
    <w:p w14:paraId="5388A073" w14:textId="1FFF63F0" w:rsidR="009072CE" w:rsidRPr="00A07F29" w:rsidRDefault="009072CE" w:rsidP="00AE4934">
      <w:pPr>
        <w:pStyle w:val="Heading2"/>
        <w:spacing w:before="120" w:after="120"/>
        <w:ind w:firstLine="0"/>
        <w:jc w:val="center"/>
        <w:rPr>
          <w:rFonts w:ascii="Times New Roman" w:hAnsi="Times New Roman"/>
          <w:b w:val="0"/>
        </w:rPr>
      </w:pPr>
      <w:bookmarkStart w:id="94" w:name="_Toc183434025"/>
      <w:r w:rsidRPr="00A07F29">
        <w:rPr>
          <w:rFonts w:ascii="Times New Roman" w:hAnsi="Times New Roman"/>
          <w:i w:val="0"/>
        </w:rPr>
        <w:t>4.</w:t>
      </w:r>
      <w:r w:rsidR="00160B6B" w:rsidRPr="00A07F29">
        <w:rPr>
          <w:rFonts w:ascii="Times New Roman" w:hAnsi="Times New Roman"/>
          <w:i w:val="0"/>
        </w:rPr>
        <w:t>12</w:t>
      </w:r>
      <w:r w:rsidRPr="00A07F29">
        <w:rPr>
          <w:rFonts w:ascii="Times New Roman" w:hAnsi="Times New Roman"/>
          <w:i w:val="0"/>
        </w:rPr>
        <w:t xml:space="preserve">. Citas vērtības </w:t>
      </w:r>
      <w:r w:rsidR="00C12B08" w:rsidRPr="00A07F29">
        <w:rPr>
          <w:rFonts w:ascii="Times New Roman" w:hAnsi="Times New Roman"/>
          <w:i w:val="0"/>
        </w:rPr>
        <w:t>AAA</w:t>
      </w:r>
      <w:r w:rsidR="005D4756" w:rsidRPr="00A07F29">
        <w:rPr>
          <w:rFonts w:ascii="Times New Roman" w:hAnsi="Times New Roman"/>
          <w:i w:val="0"/>
        </w:rPr>
        <w:t xml:space="preserve"> “Augšdaugava”</w:t>
      </w:r>
      <w:r w:rsidRPr="00A07F29">
        <w:rPr>
          <w:rFonts w:ascii="Times New Roman" w:hAnsi="Times New Roman"/>
          <w:i w:val="0"/>
        </w:rPr>
        <w:t xml:space="preserve"> teritorijā un tās ietekmējošie faktori</w:t>
      </w:r>
      <w:bookmarkEnd w:id="94"/>
    </w:p>
    <w:p w14:paraId="3B804414" w14:textId="05990AC5" w:rsidR="009072CE" w:rsidRPr="00A07F29" w:rsidRDefault="009072CE" w:rsidP="00AE4934">
      <w:pPr>
        <w:pStyle w:val="Heading3"/>
        <w:spacing w:before="120" w:after="120" w:line="240" w:lineRule="auto"/>
        <w:jc w:val="center"/>
        <w:rPr>
          <w:b w:val="0"/>
          <w:lang w:eastAsia="ja-JP"/>
        </w:rPr>
      </w:pPr>
      <w:bookmarkStart w:id="95" w:name="_Toc183434026"/>
      <w:r w:rsidRPr="00A07F29">
        <w:rPr>
          <w:lang w:eastAsia="ja-JP"/>
        </w:rPr>
        <w:t>4.</w:t>
      </w:r>
      <w:r w:rsidR="00160B6B" w:rsidRPr="00A07F29">
        <w:rPr>
          <w:lang w:eastAsia="ja-JP"/>
        </w:rPr>
        <w:t>12</w:t>
      </w:r>
      <w:r w:rsidRPr="00A07F29">
        <w:rPr>
          <w:lang w:eastAsia="ja-JP"/>
        </w:rPr>
        <w:t xml:space="preserve">.1. Ģeoloģiskie un </w:t>
      </w:r>
      <w:proofErr w:type="spellStart"/>
      <w:r w:rsidRPr="00A07F29">
        <w:rPr>
          <w:lang w:eastAsia="ja-JP"/>
        </w:rPr>
        <w:t>ģeomorfoloģiskie</w:t>
      </w:r>
      <w:proofErr w:type="spellEnd"/>
      <w:r w:rsidRPr="00A07F29">
        <w:rPr>
          <w:lang w:eastAsia="ja-JP"/>
        </w:rPr>
        <w:t xml:space="preserve"> dabas pieminekļi</w:t>
      </w:r>
      <w:bookmarkEnd w:id="95"/>
    </w:p>
    <w:p w14:paraId="42C0871C" w14:textId="0025F21E" w:rsidR="009072CE" w:rsidRPr="00A07F29" w:rsidRDefault="009072CE" w:rsidP="007E6B59">
      <w:pPr>
        <w:spacing w:after="120" w:line="240" w:lineRule="auto"/>
        <w:ind w:firstLine="851"/>
        <w:jc w:val="both"/>
        <w:rPr>
          <w:rFonts w:ascii="Times New Roman" w:eastAsia="Calibri" w:hAnsi="Times New Roman" w:cs="Calibri"/>
          <w:sz w:val="24"/>
        </w:rPr>
      </w:pPr>
      <w:r w:rsidRPr="00E8415E">
        <w:rPr>
          <w:rFonts w:ascii="Times New Roman" w:eastAsia="Calibri" w:hAnsi="Times New Roman" w:cs="Calibri"/>
          <w:sz w:val="24"/>
        </w:rPr>
        <w:t xml:space="preserve">AAA </w:t>
      </w:r>
      <w:r w:rsidR="001E2C89" w:rsidRPr="00E8415E">
        <w:rPr>
          <w:rFonts w:ascii="Times New Roman" w:eastAsia="Calibri" w:hAnsi="Times New Roman" w:cs="Calibri"/>
          <w:sz w:val="24"/>
        </w:rPr>
        <w:t>“</w:t>
      </w:r>
      <w:r w:rsidRPr="00E8415E">
        <w:rPr>
          <w:rFonts w:ascii="Times New Roman" w:eastAsia="Calibri" w:hAnsi="Times New Roman" w:cs="Calibri"/>
          <w:sz w:val="24"/>
        </w:rPr>
        <w:t>Augšdaugava”</w:t>
      </w:r>
      <w:r w:rsidRPr="00A07F29">
        <w:rPr>
          <w:rFonts w:ascii="Times New Roman" w:eastAsia="Calibri" w:hAnsi="Times New Roman" w:cs="Calibri"/>
          <w:sz w:val="24"/>
        </w:rPr>
        <w:t xml:space="preserve"> teritorijā, saskaņā ar MK </w:t>
      </w:r>
      <w:r w:rsidR="006410F9" w:rsidRPr="00A07F29">
        <w:rPr>
          <w:rFonts w:ascii="Times New Roman" w:eastAsia="Calibri" w:hAnsi="Times New Roman" w:cs="Calibri"/>
          <w:sz w:val="24"/>
        </w:rPr>
        <w:t>2022</w:t>
      </w:r>
      <w:r w:rsidRPr="00A07F29">
        <w:rPr>
          <w:rFonts w:ascii="Times New Roman" w:eastAsia="Calibri" w:hAnsi="Times New Roman" w:cs="Calibri"/>
          <w:sz w:val="24"/>
        </w:rPr>
        <w:t>.</w:t>
      </w:r>
      <w:r w:rsidR="00A8691E">
        <w:rPr>
          <w:rFonts w:ascii="Times New Roman" w:eastAsia="Calibri" w:hAnsi="Times New Roman" w:cs="Calibri"/>
          <w:sz w:val="24"/>
        </w:rPr>
        <w:t> </w:t>
      </w:r>
      <w:r w:rsidRPr="00A07F29">
        <w:rPr>
          <w:rFonts w:ascii="Times New Roman" w:eastAsia="Calibri" w:hAnsi="Times New Roman" w:cs="Calibri"/>
          <w:sz w:val="24"/>
        </w:rPr>
        <w:t>gada 1</w:t>
      </w:r>
      <w:r w:rsidR="006410F9" w:rsidRPr="00A07F29">
        <w:rPr>
          <w:rFonts w:ascii="Times New Roman" w:eastAsia="Calibri" w:hAnsi="Times New Roman" w:cs="Calibri"/>
          <w:sz w:val="24"/>
        </w:rPr>
        <w:t>4</w:t>
      </w:r>
      <w:r w:rsidRPr="00A07F29">
        <w:rPr>
          <w:rFonts w:ascii="Times New Roman" w:eastAsia="Calibri" w:hAnsi="Times New Roman" w:cs="Calibri"/>
          <w:sz w:val="24"/>
        </w:rPr>
        <w:t>.</w:t>
      </w:r>
      <w:r w:rsidR="00A8691E">
        <w:rPr>
          <w:rFonts w:ascii="Times New Roman" w:eastAsia="Calibri" w:hAnsi="Times New Roman" w:cs="Calibri"/>
          <w:sz w:val="24"/>
        </w:rPr>
        <w:t> </w:t>
      </w:r>
      <w:r w:rsidR="006410F9" w:rsidRPr="00A07F29">
        <w:rPr>
          <w:rFonts w:ascii="Times New Roman" w:eastAsia="Calibri" w:hAnsi="Times New Roman" w:cs="Calibri"/>
          <w:sz w:val="24"/>
        </w:rPr>
        <w:t>jūlija</w:t>
      </w:r>
      <w:r w:rsidRPr="00A07F29">
        <w:rPr>
          <w:rFonts w:ascii="Times New Roman" w:eastAsia="Calibri" w:hAnsi="Times New Roman" w:cs="Calibri"/>
          <w:sz w:val="24"/>
        </w:rPr>
        <w:t xml:space="preserve"> </w:t>
      </w:r>
      <w:r w:rsidR="005411F4" w:rsidRPr="00A07F29">
        <w:rPr>
          <w:rFonts w:ascii="Times New Roman" w:eastAsia="Calibri" w:hAnsi="Times New Roman" w:cs="Calibri"/>
          <w:sz w:val="24"/>
        </w:rPr>
        <w:t xml:space="preserve">noteikumiem </w:t>
      </w:r>
      <w:r w:rsidRPr="00A07F29">
        <w:rPr>
          <w:rFonts w:ascii="Times New Roman" w:eastAsia="Calibri" w:hAnsi="Times New Roman" w:cs="Calibri"/>
          <w:sz w:val="24"/>
        </w:rPr>
        <w:t>Nr.</w:t>
      </w:r>
      <w:r w:rsidR="00A8691E">
        <w:rPr>
          <w:rFonts w:ascii="Times New Roman" w:eastAsia="Calibri" w:hAnsi="Times New Roman" w:cs="Calibri"/>
          <w:sz w:val="24"/>
        </w:rPr>
        <w:t> </w:t>
      </w:r>
      <w:r w:rsidR="00123238" w:rsidRPr="00A07F29">
        <w:rPr>
          <w:rFonts w:ascii="Times New Roman" w:eastAsia="Calibri" w:hAnsi="Times New Roman" w:cs="Calibri"/>
          <w:sz w:val="24"/>
        </w:rPr>
        <w:t xml:space="preserve">461 </w:t>
      </w:r>
      <w:r w:rsidRPr="00A07F29">
        <w:rPr>
          <w:rFonts w:ascii="Times New Roman" w:eastAsia="Calibri" w:hAnsi="Times New Roman" w:cs="Calibri"/>
          <w:sz w:val="24"/>
        </w:rPr>
        <w:t xml:space="preserve">“Noteikumi par </w:t>
      </w:r>
      <w:r w:rsidR="00C671C8">
        <w:rPr>
          <w:rFonts w:ascii="Times New Roman" w:eastAsia="Calibri" w:hAnsi="Times New Roman" w:cs="Calibri"/>
          <w:sz w:val="24"/>
        </w:rPr>
        <w:t xml:space="preserve">aizsargājamiem </w:t>
      </w:r>
      <w:r w:rsidRPr="00A07F29">
        <w:rPr>
          <w:rFonts w:ascii="Times New Roman" w:eastAsia="Calibri" w:hAnsi="Times New Roman" w:cs="Calibri"/>
          <w:sz w:val="24"/>
        </w:rPr>
        <w:t xml:space="preserve">ģeoloģiskajiem un </w:t>
      </w:r>
      <w:proofErr w:type="spellStart"/>
      <w:r w:rsidRPr="00A07F29">
        <w:rPr>
          <w:rFonts w:ascii="Times New Roman" w:eastAsia="Calibri" w:hAnsi="Times New Roman" w:cs="Calibri"/>
          <w:sz w:val="24"/>
        </w:rPr>
        <w:t>ģeomorfoloģiskajiem</w:t>
      </w:r>
      <w:proofErr w:type="spellEnd"/>
      <w:r w:rsidRPr="00A07F29">
        <w:rPr>
          <w:rFonts w:ascii="Times New Roman" w:eastAsia="Calibri" w:hAnsi="Times New Roman" w:cs="Calibri"/>
          <w:sz w:val="24"/>
        </w:rPr>
        <w:t xml:space="preserve"> dabas pieminekļiem” atrodas seši valsts nozīmes aizsargājamie ģeoloģiskie un </w:t>
      </w:r>
      <w:proofErr w:type="spellStart"/>
      <w:r w:rsidRPr="00A07F29">
        <w:rPr>
          <w:rFonts w:ascii="Times New Roman" w:eastAsia="Calibri" w:hAnsi="Times New Roman" w:cs="Calibri"/>
          <w:sz w:val="24"/>
        </w:rPr>
        <w:t>ģeomorfoloģiskie</w:t>
      </w:r>
      <w:proofErr w:type="spellEnd"/>
      <w:r w:rsidRPr="00A07F29">
        <w:rPr>
          <w:rFonts w:ascii="Times New Roman" w:eastAsia="Calibri" w:hAnsi="Times New Roman" w:cs="Calibri"/>
          <w:sz w:val="24"/>
        </w:rPr>
        <w:t xml:space="preserve"> dabas pieminekļi – attiecīgi Daugavas </w:t>
      </w:r>
      <w:r w:rsidR="005411F4" w:rsidRPr="00A07F29">
        <w:rPr>
          <w:rFonts w:ascii="Times New Roman" w:eastAsia="Calibri" w:hAnsi="Times New Roman" w:cs="Calibri"/>
          <w:sz w:val="24"/>
        </w:rPr>
        <w:t xml:space="preserve">Vārtu </w:t>
      </w:r>
      <w:r w:rsidRPr="00A07F29">
        <w:rPr>
          <w:rFonts w:ascii="Times New Roman" w:eastAsia="Calibri" w:hAnsi="Times New Roman" w:cs="Calibri"/>
          <w:sz w:val="24"/>
        </w:rPr>
        <w:t xml:space="preserve">kraujas, </w:t>
      </w:r>
      <w:proofErr w:type="spellStart"/>
      <w:r w:rsidRPr="00A07F29">
        <w:rPr>
          <w:rFonts w:ascii="Times New Roman" w:eastAsia="Calibri" w:hAnsi="Times New Roman" w:cs="Calibri"/>
          <w:sz w:val="24"/>
        </w:rPr>
        <w:t>Sandarišķu</w:t>
      </w:r>
      <w:proofErr w:type="spellEnd"/>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sz w:val="24"/>
        </w:rPr>
        <w:t>karengravas</w:t>
      </w:r>
      <w:proofErr w:type="spellEnd"/>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sz w:val="24"/>
        </w:rPr>
        <w:t>Viļušu</w:t>
      </w:r>
      <w:proofErr w:type="spellEnd"/>
      <w:r w:rsidRPr="00A07F29">
        <w:rPr>
          <w:rFonts w:ascii="Times New Roman" w:eastAsia="Calibri" w:hAnsi="Times New Roman" w:cs="Calibri"/>
          <w:sz w:val="24"/>
        </w:rPr>
        <w:t xml:space="preserve"> avots, </w:t>
      </w:r>
      <w:proofErr w:type="spellStart"/>
      <w:r w:rsidRPr="00A07F29">
        <w:rPr>
          <w:rFonts w:ascii="Times New Roman" w:eastAsia="Calibri" w:hAnsi="Times New Roman" w:cs="Calibri"/>
          <w:sz w:val="24"/>
        </w:rPr>
        <w:t>Mālkalnes</w:t>
      </w:r>
      <w:proofErr w:type="spellEnd"/>
      <w:r w:rsidRPr="00A07F29">
        <w:rPr>
          <w:rFonts w:ascii="Times New Roman" w:eastAsia="Calibri" w:hAnsi="Times New Roman" w:cs="Calibri"/>
          <w:sz w:val="24"/>
        </w:rPr>
        <w:t xml:space="preserve"> avoti, Sproģu gravas un Adamovas krauja. Četri no tiem atrodas </w:t>
      </w:r>
      <w:r w:rsidR="00120CDE" w:rsidRPr="00A07F29">
        <w:rPr>
          <w:rFonts w:ascii="Times New Roman" w:eastAsia="Calibri" w:hAnsi="Times New Roman" w:cs="Calibri"/>
          <w:sz w:val="24"/>
        </w:rPr>
        <w:t>Augšdaugavas</w:t>
      </w:r>
      <w:r w:rsidRPr="00A07F29">
        <w:rPr>
          <w:rFonts w:ascii="Times New Roman" w:eastAsia="Calibri" w:hAnsi="Times New Roman" w:cs="Calibri"/>
          <w:sz w:val="24"/>
        </w:rPr>
        <w:t xml:space="preserve"> novadā (</w:t>
      </w:r>
      <w:proofErr w:type="spellStart"/>
      <w:r w:rsidRPr="00A07F29">
        <w:rPr>
          <w:rFonts w:ascii="Times New Roman" w:eastAsia="Calibri" w:hAnsi="Times New Roman" w:cs="Calibri"/>
          <w:sz w:val="24"/>
        </w:rPr>
        <w:t>Viļušu</w:t>
      </w:r>
      <w:proofErr w:type="spellEnd"/>
      <w:r w:rsidRPr="00A07F29">
        <w:rPr>
          <w:rFonts w:ascii="Times New Roman" w:eastAsia="Calibri" w:hAnsi="Times New Roman" w:cs="Calibri"/>
          <w:sz w:val="24"/>
        </w:rPr>
        <w:t xml:space="preserve"> </w:t>
      </w:r>
      <w:r w:rsidRPr="00A07F29">
        <w:rPr>
          <w:rFonts w:ascii="Times New Roman" w:eastAsia="Calibri" w:hAnsi="Times New Roman" w:cs="Calibri"/>
          <w:sz w:val="24"/>
        </w:rPr>
        <w:lastRenderedPageBreak/>
        <w:t xml:space="preserve">avots, </w:t>
      </w:r>
      <w:proofErr w:type="spellStart"/>
      <w:r w:rsidRPr="00A07F29">
        <w:rPr>
          <w:rFonts w:ascii="Times New Roman" w:eastAsia="Calibri" w:hAnsi="Times New Roman" w:cs="Calibri"/>
          <w:sz w:val="24"/>
        </w:rPr>
        <w:t>Sandarišķu</w:t>
      </w:r>
      <w:proofErr w:type="spellEnd"/>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sz w:val="24"/>
        </w:rPr>
        <w:t>karengravas</w:t>
      </w:r>
      <w:proofErr w:type="spellEnd"/>
      <w:r w:rsidRPr="00A07F29">
        <w:rPr>
          <w:rFonts w:ascii="Times New Roman" w:eastAsia="Calibri" w:hAnsi="Times New Roman" w:cs="Calibri"/>
          <w:sz w:val="24"/>
        </w:rPr>
        <w:t xml:space="preserve">, Daugavas vārtu kraujas un </w:t>
      </w:r>
      <w:proofErr w:type="spellStart"/>
      <w:r w:rsidRPr="00A07F29">
        <w:rPr>
          <w:rFonts w:ascii="Times New Roman" w:eastAsia="Calibri" w:hAnsi="Times New Roman" w:cs="Calibri"/>
          <w:sz w:val="24"/>
        </w:rPr>
        <w:t>Mālkalnes</w:t>
      </w:r>
      <w:proofErr w:type="spellEnd"/>
      <w:r w:rsidRPr="00A07F29">
        <w:rPr>
          <w:rFonts w:ascii="Times New Roman" w:eastAsia="Calibri" w:hAnsi="Times New Roman" w:cs="Calibri"/>
          <w:sz w:val="24"/>
        </w:rPr>
        <w:t xml:space="preserve"> avoti) un divi Krāslavas novadā (Sproģu gravas un Adamovas krauja)</w:t>
      </w:r>
      <w:r w:rsidR="007E6B59" w:rsidRPr="00A07F29">
        <w:rPr>
          <w:rFonts w:ascii="Times New Roman" w:eastAsia="Calibri" w:hAnsi="Times New Roman" w:cs="Calibri"/>
          <w:sz w:val="24"/>
        </w:rPr>
        <w:t xml:space="preserve">. Ģeoloģisko un </w:t>
      </w:r>
      <w:proofErr w:type="spellStart"/>
      <w:r w:rsidR="007E6B59" w:rsidRPr="00A07F29">
        <w:rPr>
          <w:rFonts w:ascii="Times New Roman" w:eastAsia="Calibri" w:hAnsi="Times New Roman" w:cs="Calibri"/>
          <w:sz w:val="24"/>
        </w:rPr>
        <w:t>ģeomorfoloģisko</w:t>
      </w:r>
      <w:proofErr w:type="spellEnd"/>
      <w:r w:rsidR="007E6B59" w:rsidRPr="00A07F29">
        <w:rPr>
          <w:rFonts w:ascii="Times New Roman" w:eastAsia="Calibri" w:hAnsi="Times New Roman" w:cs="Calibri"/>
          <w:sz w:val="24"/>
        </w:rPr>
        <w:t xml:space="preserve"> dabas pieminekļu apraksts </w:t>
      </w:r>
      <w:r w:rsidR="000550E6" w:rsidRPr="00A07F29">
        <w:rPr>
          <w:rFonts w:ascii="Times New Roman" w:eastAsia="Calibri" w:hAnsi="Times New Roman" w:cs="Calibri"/>
          <w:sz w:val="24"/>
        </w:rPr>
        <w:t>dots 4.12.</w:t>
      </w:r>
      <w:r w:rsidR="00E835AE">
        <w:rPr>
          <w:rFonts w:ascii="Times New Roman" w:eastAsia="Calibri" w:hAnsi="Times New Roman" w:cs="Calibri"/>
          <w:sz w:val="24"/>
        </w:rPr>
        <w:t> </w:t>
      </w:r>
      <w:r w:rsidR="000550E6" w:rsidRPr="00A07F29">
        <w:rPr>
          <w:rFonts w:ascii="Times New Roman" w:eastAsia="Calibri" w:hAnsi="Times New Roman" w:cs="Calibri"/>
          <w:sz w:val="24"/>
        </w:rPr>
        <w:t xml:space="preserve">pielikumā, </w:t>
      </w:r>
      <w:r w:rsidR="007E6B59" w:rsidRPr="00A07F29">
        <w:rPr>
          <w:rFonts w:ascii="Times New Roman" w:eastAsia="Calibri" w:hAnsi="Times New Roman" w:cs="Calibri"/>
          <w:sz w:val="24"/>
        </w:rPr>
        <w:t>atrašan</w:t>
      </w:r>
      <w:r w:rsidR="003B32C9">
        <w:rPr>
          <w:rFonts w:ascii="Times New Roman" w:eastAsia="Calibri" w:hAnsi="Times New Roman" w:cs="Calibri"/>
          <w:sz w:val="24"/>
        </w:rPr>
        <w:t>ā</w:t>
      </w:r>
      <w:r w:rsidR="007E6B59" w:rsidRPr="00A07F29">
        <w:rPr>
          <w:rFonts w:ascii="Times New Roman" w:eastAsia="Calibri" w:hAnsi="Times New Roman" w:cs="Calibri"/>
          <w:sz w:val="24"/>
        </w:rPr>
        <w:t>s vietas attēlotas kartē 4.13.</w:t>
      </w:r>
      <w:r w:rsidR="003B32C9">
        <w:rPr>
          <w:rFonts w:ascii="Times New Roman" w:eastAsia="Calibri" w:hAnsi="Times New Roman" w:cs="Calibri"/>
          <w:sz w:val="24"/>
        </w:rPr>
        <w:t> </w:t>
      </w:r>
      <w:r w:rsidR="007E6B59" w:rsidRPr="00A07F29">
        <w:rPr>
          <w:rFonts w:ascii="Times New Roman" w:eastAsia="Calibri" w:hAnsi="Times New Roman" w:cs="Calibri"/>
          <w:sz w:val="24"/>
        </w:rPr>
        <w:t>pielikumā</w:t>
      </w:r>
      <w:r w:rsidRPr="00A07F29">
        <w:rPr>
          <w:rFonts w:ascii="Times New Roman" w:eastAsia="Calibri" w:hAnsi="Times New Roman" w:cs="Calibri"/>
          <w:sz w:val="24"/>
        </w:rPr>
        <w:t>.</w:t>
      </w:r>
    </w:p>
    <w:p w14:paraId="3F542ED2" w14:textId="50D62FD0" w:rsidR="009072CE" w:rsidRPr="00A07F29" w:rsidRDefault="009072CE" w:rsidP="00F155EB">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Lauka ekspedīciju gaitā, veicot apsekošanas darbus dabā, konstatēts, ka ainavu apvidū sastopami vēl vairāki nozīmīgi dabas objekti – ģeoloģiskie un </w:t>
      </w:r>
      <w:proofErr w:type="spellStart"/>
      <w:r w:rsidRPr="00A07F29">
        <w:rPr>
          <w:rFonts w:ascii="Times New Roman" w:eastAsia="Calibri" w:hAnsi="Times New Roman" w:cs="Calibri"/>
          <w:sz w:val="24"/>
        </w:rPr>
        <w:t>ģeomorfoloģiskie</w:t>
      </w:r>
      <w:proofErr w:type="spellEnd"/>
      <w:r w:rsidRPr="00A07F29">
        <w:rPr>
          <w:rFonts w:ascii="Times New Roman" w:eastAsia="Calibri" w:hAnsi="Times New Roman" w:cs="Calibri"/>
          <w:sz w:val="24"/>
        </w:rPr>
        <w:t xml:space="preserve"> veidojumi, kurus rekomendējams iekļaut valsts vai vietējas nozīmes aizsargājamo dabas pieminekļu sarakstā</w:t>
      </w:r>
      <w:r w:rsidR="000550E6" w:rsidRPr="00A07F29">
        <w:rPr>
          <w:rFonts w:ascii="Times New Roman" w:eastAsia="Calibri" w:hAnsi="Times New Roman" w:cs="Calibri"/>
          <w:sz w:val="24"/>
        </w:rPr>
        <w:t xml:space="preserve"> (</w:t>
      </w:r>
      <w:r w:rsidR="003B32C9">
        <w:rPr>
          <w:rFonts w:ascii="Times New Roman" w:eastAsia="Calibri" w:hAnsi="Times New Roman" w:cs="Calibri"/>
          <w:sz w:val="24"/>
        </w:rPr>
        <w:t xml:space="preserve">skat. </w:t>
      </w:r>
      <w:r w:rsidR="000550E6" w:rsidRPr="00A07F29">
        <w:rPr>
          <w:rFonts w:ascii="Times New Roman" w:eastAsia="Calibri" w:hAnsi="Times New Roman" w:cs="Calibri"/>
          <w:sz w:val="24"/>
        </w:rPr>
        <w:t>4.12.</w:t>
      </w:r>
      <w:r w:rsidR="003B32C9">
        <w:rPr>
          <w:rFonts w:ascii="Times New Roman" w:eastAsia="Calibri" w:hAnsi="Times New Roman" w:cs="Calibri"/>
          <w:sz w:val="24"/>
        </w:rPr>
        <w:t> </w:t>
      </w:r>
      <w:r w:rsidR="000550E6" w:rsidRPr="00A07F29">
        <w:rPr>
          <w:rFonts w:ascii="Times New Roman" w:eastAsia="Calibri" w:hAnsi="Times New Roman" w:cs="Calibri"/>
          <w:sz w:val="24"/>
        </w:rPr>
        <w:t>pielikums, pasākums A.1.2. DA plāna 5.3.</w:t>
      </w:r>
      <w:r w:rsidR="003909BE">
        <w:rPr>
          <w:rFonts w:ascii="Times New Roman" w:eastAsia="Calibri" w:hAnsi="Times New Roman" w:cs="Calibri"/>
          <w:sz w:val="24"/>
        </w:rPr>
        <w:t> </w:t>
      </w:r>
      <w:r w:rsidR="000550E6" w:rsidRPr="00A07F29">
        <w:rPr>
          <w:rFonts w:ascii="Times New Roman" w:eastAsia="Calibri" w:hAnsi="Times New Roman" w:cs="Calibri"/>
          <w:sz w:val="24"/>
        </w:rPr>
        <w:t>noda</w:t>
      </w:r>
      <w:r w:rsidR="003909BE">
        <w:rPr>
          <w:rFonts w:ascii="Times New Roman" w:eastAsia="Calibri" w:hAnsi="Times New Roman" w:cs="Calibri"/>
          <w:sz w:val="24"/>
        </w:rPr>
        <w:t>ļ</w:t>
      </w:r>
      <w:r w:rsidR="000550E6" w:rsidRPr="00A07F29">
        <w:rPr>
          <w:rFonts w:ascii="Times New Roman" w:eastAsia="Calibri" w:hAnsi="Times New Roman" w:cs="Calibri"/>
          <w:sz w:val="24"/>
        </w:rPr>
        <w:t>ā)</w:t>
      </w:r>
      <w:r w:rsidRPr="00A07F29">
        <w:rPr>
          <w:rFonts w:ascii="Times New Roman" w:eastAsia="Calibri" w:hAnsi="Times New Roman" w:cs="Calibri"/>
          <w:sz w:val="24"/>
        </w:rPr>
        <w:t>.</w:t>
      </w:r>
    </w:p>
    <w:p w14:paraId="205D8600" w14:textId="2F06F1D7" w:rsidR="0024348A" w:rsidRPr="00A07F29" w:rsidRDefault="005D4756" w:rsidP="00D3282D">
      <w:pPr>
        <w:pStyle w:val="Heading3"/>
        <w:spacing w:before="240" w:after="120" w:line="240" w:lineRule="auto"/>
        <w:jc w:val="center"/>
        <w:rPr>
          <w:b w:val="0"/>
          <w:lang w:eastAsia="ja-JP"/>
        </w:rPr>
      </w:pPr>
      <w:bookmarkStart w:id="96" w:name="_Toc183434027"/>
      <w:r w:rsidRPr="00A07F29">
        <w:rPr>
          <w:lang w:eastAsia="ja-JP"/>
        </w:rPr>
        <w:t>4.</w:t>
      </w:r>
      <w:r w:rsidR="00160B6B" w:rsidRPr="00A07F29">
        <w:rPr>
          <w:lang w:eastAsia="ja-JP"/>
        </w:rPr>
        <w:t>12</w:t>
      </w:r>
      <w:r w:rsidRPr="00A07F29">
        <w:rPr>
          <w:lang w:eastAsia="ja-JP"/>
        </w:rPr>
        <w:t>.2. Aizsargājamie dendroloģiskie stādījumi</w:t>
      </w:r>
      <w:r w:rsidR="009E49CA" w:rsidRPr="00A07F29">
        <w:rPr>
          <w:lang w:eastAsia="ja-JP"/>
        </w:rPr>
        <w:t>, alejas, dižkoki</w:t>
      </w:r>
      <w:r w:rsidRPr="00A07F29">
        <w:rPr>
          <w:lang w:eastAsia="ja-JP"/>
        </w:rPr>
        <w:t xml:space="preserve"> AAA “Augšdaugava” teritorijā</w:t>
      </w:r>
      <w:bookmarkEnd w:id="96"/>
      <w:r w:rsidRPr="00A07F29">
        <w:rPr>
          <w:lang w:eastAsia="ja-JP"/>
        </w:rPr>
        <w:t xml:space="preserve"> </w:t>
      </w:r>
    </w:p>
    <w:p w14:paraId="6064E4CB" w14:textId="0EBED567" w:rsidR="005D4756" w:rsidRPr="00A07F29" w:rsidRDefault="00032EE8" w:rsidP="0030565C">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AAA “Augšdaugava” teritorijā saskaņā ar MK </w:t>
      </w:r>
      <w:r w:rsidR="001C173F" w:rsidRPr="00A07F29">
        <w:rPr>
          <w:rFonts w:ascii="Times New Roman" w:eastAsia="Calibri" w:hAnsi="Times New Roman" w:cs="Calibri"/>
          <w:sz w:val="24"/>
        </w:rPr>
        <w:t>202</w:t>
      </w:r>
      <w:r w:rsidR="0030565C" w:rsidRPr="00A07F29">
        <w:rPr>
          <w:rFonts w:ascii="Times New Roman" w:eastAsia="Calibri" w:hAnsi="Times New Roman" w:cs="Calibri"/>
          <w:sz w:val="24"/>
        </w:rPr>
        <w:t>3</w:t>
      </w:r>
      <w:r w:rsidRPr="00A07F29">
        <w:rPr>
          <w:rFonts w:ascii="Times New Roman" w:eastAsia="Calibri" w:hAnsi="Times New Roman" w:cs="Calibri"/>
          <w:sz w:val="24"/>
        </w:rPr>
        <w:t>.</w:t>
      </w:r>
      <w:r w:rsidR="0048694C">
        <w:rPr>
          <w:rFonts w:ascii="Times New Roman" w:eastAsia="Calibri" w:hAnsi="Times New Roman" w:cs="Calibri"/>
          <w:sz w:val="24"/>
        </w:rPr>
        <w:t> </w:t>
      </w:r>
      <w:r w:rsidRPr="00A07F29">
        <w:rPr>
          <w:rFonts w:ascii="Times New Roman" w:eastAsia="Calibri" w:hAnsi="Times New Roman" w:cs="Calibri"/>
          <w:sz w:val="24"/>
        </w:rPr>
        <w:t xml:space="preserve">gada </w:t>
      </w:r>
      <w:r w:rsidR="0030565C" w:rsidRPr="00A07F29">
        <w:rPr>
          <w:rFonts w:ascii="Times New Roman" w:eastAsia="Calibri" w:hAnsi="Times New Roman" w:cs="Calibri"/>
          <w:sz w:val="24"/>
        </w:rPr>
        <w:t>28</w:t>
      </w:r>
      <w:r w:rsidRPr="00A07F29">
        <w:rPr>
          <w:rFonts w:ascii="Times New Roman" w:eastAsia="Calibri" w:hAnsi="Times New Roman" w:cs="Calibri"/>
          <w:sz w:val="24"/>
        </w:rPr>
        <w:t>.</w:t>
      </w:r>
      <w:r w:rsidR="0048694C">
        <w:rPr>
          <w:rFonts w:ascii="Times New Roman" w:eastAsia="Calibri" w:hAnsi="Times New Roman" w:cs="Calibri"/>
          <w:sz w:val="24"/>
        </w:rPr>
        <w:t> </w:t>
      </w:r>
      <w:r w:rsidRPr="00A07F29">
        <w:rPr>
          <w:rFonts w:ascii="Times New Roman" w:eastAsia="Calibri" w:hAnsi="Times New Roman" w:cs="Calibri"/>
          <w:sz w:val="24"/>
        </w:rPr>
        <w:t>marta noteikumiem Nr.</w:t>
      </w:r>
      <w:r w:rsidR="0048694C">
        <w:rPr>
          <w:rFonts w:ascii="Times New Roman" w:eastAsia="Calibri" w:hAnsi="Times New Roman" w:cs="Calibri"/>
          <w:sz w:val="24"/>
        </w:rPr>
        <w:t> </w:t>
      </w:r>
      <w:r w:rsidR="0030565C" w:rsidRPr="00A07F29">
        <w:rPr>
          <w:rFonts w:ascii="Times New Roman" w:eastAsia="Calibri" w:hAnsi="Times New Roman" w:cs="Calibri"/>
          <w:sz w:val="24"/>
        </w:rPr>
        <w:t xml:space="preserve">144 </w:t>
      </w:r>
      <w:r w:rsidRPr="00A07F29">
        <w:rPr>
          <w:rFonts w:ascii="Times New Roman" w:eastAsia="Calibri" w:hAnsi="Times New Roman" w:cs="Calibri"/>
          <w:sz w:val="24"/>
        </w:rPr>
        <w:t xml:space="preserve">“Noteikumi par aizsargājamiem dendroloģiskajiem stādījumiem” atrodas </w:t>
      </w:r>
      <w:r w:rsidR="0030565C" w:rsidRPr="00A07F29">
        <w:rPr>
          <w:rFonts w:ascii="Times New Roman" w:eastAsia="Calibri" w:hAnsi="Times New Roman" w:cs="Calibri"/>
          <w:sz w:val="24"/>
        </w:rPr>
        <w:t xml:space="preserve">divi aizsargājamie </w:t>
      </w:r>
      <w:r w:rsidRPr="00A07F29">
        <w:rPr>
          <w:rFonts w:ascii="Times New Roman" w:eastAsia="Calibri" w:hAnsi="Times New Roman" w:cs="Calibri"/>
          <w:sz w:val="24"/>
        </w:rPr>
        <w:t>dendroloģiski</w:t>
      </w:r>
      <w:r w:rsidR="0030565C" w:rsidRPr="00A07F29">
        <w:rPr>
          <w:rFonts w:ascii="Times New Roman" w:eastAsia="Calibri" w:hAnsi="Times New Roman" w:cs="Calibri"/>
          <w:sz w:val="24"/>
        </w:rPr>
        <w:t>e</w:t>
      </w:r>
      <w:r w:rsidRPr="00A07F29">
        <w:rPr>
          <w:rFonts w:ascii="Times New Roman" w:eastAsia="Calibri" w:hAnsi="Times New Roman" w:cs="Calibri"/>
          <w:sz w:val="24"/>
        </w:rPr>
        <w:t xml:space="preserve"> stādījumi – </w:t>
      </w:r>
      <w:proofErr w:type="spellStart"/>
      <w:r w:rsidRPr="00A07F29">
        <w:rPr>
          <w:rFonts w:ascii="Times New Roman" w:eastAsia="Calibri" w:hAnsi="Times New Roman" w:cs="Calibri"/>
          <w:sz w:val="24"/>
        </w:rPr>
        <w:t>Hoftenbergas</w:t>
      </w:r>
      <w:proofErr w:type="spellEnd"/>
      <w:r w:rsidRPr="00A07F29">
        <w:rPr>
          <w:rFonts w:ascii="Times New Roman" w:eastAsia="Calibri" w:hAnsi="Times New Roman" w:cs="Calibri"/>
          <w:sz w:val="24"/>
        </w:rPr>
        <w:t xml:space="preserve"> parks un </w:t>
      </w:r>
      <w:proofErr w:type="spellStart"/>
      <w:r w:rsidRPr="00A07F29">
        <w:rPr>
          <w:rFonts w:ascii="Times New Roman" w:eastAsia="Calibri" w:hAnsi="Times New Roman" w:cs="Calibri"/>
          <w:sz w:val="24"/>
        </w:rPr>
        <w:t>Juzefovas</w:t>
      </w:r>
      <w:proofErr w:type="spellEnd"/>
      <w:r w:rsidRPr="00A07F29">
        <w:rPr>
          <w:rFonts w:ascii="Times New Roman" w:eastAsia="Calibri" w:hAnsi="Times New Roman" w:cs="Calibri"/>
          <w:sz w:val="24"/>
        </w:rPr>
        <w:t xml:space="preserve"> parks (</w:t>
      </w:r>
      <w:r w:rsidR="00120CDE" w:rsidRPr="00A07F29">
        <w:rPr>
          <w:rFonts w:ascii="Times New Roman" w:eastAsia="Calibri" w:hAnsi="Times New Roman" w:cs="Calibri"/>
          <w:sz w:val="24"/>
        </w:rPr>
        <w:t>Augšdaugavas</w:t>
      </w:r>
      <w:r w:rsidRPr="00A07F29">
        <w:rPr>
          <w:rFonts w:ascii="Times New Roman" w:eastAsia="Calibri" w:hAnsi="Times New Roman" w:cs="Calibri"/>
          <w:sz w:val="24"/>
        </w:rPr>
        <w:t xml:space="preserve"> novada Naujenes pagasts</w:t>
      </w:r>
      <w:r w:rsidR="0030565C" w:rsidRPr="00A07F29">
        <w:rPr>
          <w:rFonts w:ascii="Times New Roman" w:eastAsia="Calibri" w:hAnsi="Times New Roman" w:cs="Calibri"/>
          <w:sz w:val="24"/>
        </w:rPr>
        <w:t>). Līdz ar izmaiņām normatīvajā regulējumā, kādreizēja</w:t>
      </w:r>
      <w:r w:rsidR="003E0ECB" w:rsidRPr="00A07F29">
        <w:rPr>
          <w:rFonts w:ascii="Times New Roman" w:eastAsia="Calibri" w:hAnsi="Times New Roman" w:cs="Calibri"/>
          <w:sz w:val="24"/>
        </w:rPr>
        <w:t>m</w:t>
      </w:r>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sz w:val="24"/>
        </w:rPr>
        <w:t>Rozališķu</w:t>
      </w:r>
      <w:proofErr w:type="spellEnd"/>
      <w:r w:rsidRPr="00A07F29">
        <w:rPr>
          <w:rFonts w:ascii="Times New Roman" w:eastAsia="Calibri" w:hAnsi="Times New Roman" w:cs="Calibri"/>
          <w:sz w:val="24"/>
        </w:rPr>
        <w:t xml:space="preserve"> </w:t>
      </w:r>
      <w:r w:rsidR="003E0ECB" w:rsidRPr="00A07F29">
        <w:rPr>
          <w:rFonts w:ascii="Times New Roman" w:eastAsia="Calibri" w:hAnsi="Times New Roman" w:cs="Calibri"/>
          <w:sz w:val="24"/>
        </w:rPr>
        <w:t xml:space="preserve">parkam </w:t>
      </w:r>
      <w:r w:rsidR="00120CDE" w:rsidRPr="00A07F29">
        <w:rPr>
          <w:rFonts w:ascii="Times New Roman" w:eastAsia="Calibri" w:hAnsi="Times New Roman" w:cs="Calibri"/>
          <w:sz w:val="24"/>
        </w:rPr>
        <w:t>Augšdaugavas</w:t>
      </w:r>
      <w:r w:rsidR="002E0D65" w:rsidRPr="00A07F29">
        <w:rPr>
          <w:rFonts w:ascii="Times New Roman" w:eastAsia="Calibri" w:hAnsi="Times New Roman" w:cs="Calibri"/>
          <w:sz w:val="24"/>
        </w:rPr>
        <w:t xml:space="preserve"> novada Vecsalienas pagastā</w:t>
      </w:r>
      <w:r w:rsidR="000550E6" w:rsidRPr="00A07F29">
        <w:rPr>
          <w:rFonts w:ascii="Times New Roman" w:eastAsia="Calibri" w:hAnsi="Times New Roman" w:cs="Calibri"/>
          <w:sz w:val="24"/>
        </w:rPr>
        <w:t xml:space="preserve"> (</w:t>
      </w:r>
      <w:r w:rsidR="00E24DCB">
        <w:rPr>
          <w:rFonts w:ascii="Times New Roman" w:eastAsia="Calibri" w:hAnsi="Times New Roman" w:cs="Calibri"/>
          <w:sz w:val="24"/>
        </w:rPr>
        <w:t xml:space="preserve">skat. </w:t>
      </w:r>
      <w:r w:rsidR="000550E6" w:rsidRPr="00A07F29">
        <w:rPr>
          <w:rFonts w:ascii="Times New Roman" w:eastAsia="Calibri" w:hAnsi="Times New Roman" w:cs="Calibri"/>
          <w:sz w:val="24"/>
        </w:rPr>
        <w:t>4.13.</w:t>
      </w:r>
      <w:r w:rsidR="00E24DCB">
        <w:rPr>
          <w:rFonts w:ascii="Times New Roman" w:eastAsia="Calibri" w:hAnsi="Times New Roman" w:cs="Calibri"/>
          <w:sz w:val="24"/>
        </w:rPr>
        <w:t> </w:t>
      </w:r>
      <w:r w:rsidR="000550E6" w:rsidRPr="00A07F29">
        <w:rPr>
          <w:rFonts w:ascii="Times New Roman" w:eastAsia="Calibri" w:hAnsi="Times New Roman" w:cs="Calibri"/>
          <w:sz w:val="24"/>
        </w:rPr>
        <w:t>pielikums)</w:t>
      </w:r>
      <w:r w:rsidR="009B0A43" w:rsidRPr="00A07F29">
        <w:rPr>
          <w:rFonts w:ascii="Times New Roman" w:eastAsia="Calibri" w:hAnsi="Times New Roman" w:cs="Calibri"/>
          <w:sz w:val="24"/>
        </w:rPr>
        <w:t xml:space="preserve"> ar MK 2023.</w:t>
      </w:r>
      <w:r w:rsidR="00685E2D">
        <w:rPr>
          <w:rFonts w:ascii="Times New Roman" w:eastAsia="Calibri" w:hAnsi="Times New Roman" w:cs="Calibri"/>
          <w:sz w:val="24"/>
        </w:rPr>
        <w:t> </w:t>
      </w:r>
      <w:r w:rsidR="009B0A43" w:rsidRPr="00A07F29">
        <w:rPr>
          <w:rFonts w:ascii="Times New Roman" w:eastAsia="Calibri" w:hAnsi="Times New Roman" w:cs="Calibri"/>
          <w:sz w:val="24"/>
        </w:rPr>
        <w:t>gada 28.</w:t>
      </w:r>
      <w:r w:rsidR="00685E2D">
        <w:rPr>
          <w:rFonts w:ascii="Times New Roman" w:eastAsia="Calibri" w:hAnsi="Times New Roman" w:cs="Calibri"/>
          <w:sz w:val="24"/>
        </w:rPr>
        <w:t> </w:t>
      </w:r>
      <w:r w:rsidR="009B0A43" w:rsidRPr="00A07F29">
        <w:rPr>
          <w:rFonts w:ascii="Times New Roman" w:eastAsia="Calibri" w:hAnsi="Times New Roman" w:cs="Calibri"/>
          <w:sz w:val="24"/>
        </w:rPr>
        <w:t>marta noteikumiem Nr.</w:t>
      </w:r>
      <w:r w:rsidR="00685E2D">
        <w:rPr>
          <w:rFonts w:ascii="Times New Roman" w:eastAsia="Calibri" w:hAnsi="Times New Roman" w:cs="Calibri"/>
          <w:sz w:val="24"/>
        </w:rPr>
        <w:t> </w:t>
      </w:r>
      <w:r w:rsidR="009B0A43" w:rsidRPr="00A07F29">
        <w:rPr>
          <w:rFonts w:ascii="Times New Roman" w:eastAsia="Calibri" w:hAnsi="Times New Roman" w:cs="Calibri"/>
          <w:sz w:val="24"/>
        </w:rPr>
        <w:t xml:space="preserve">143 “Noteikumi par aizsargājamām alejām” </w:t>
      </w:r>
      <w:r w:rsidR="003E0ECB" w:rsidRPr="00A07F29">
        <w:rPr>
          <w:rFonts w:ascii="Times New Roman" w:eastAsia="Calibri" w:hAnsi="Times New Roman" w:cs="Calibri"/>
          <w:sz w:val="24"/>
        </w:rPr>
        <w:t xml:space="preserve">pārskatītas robežas un </w:t>
      </w:r>
      <w:r w:rsidR="00C46C8F" w:rsidRPr="00A07F29">
        <w:rPr>
          <w:rFonts w:ascii="Times New Roman" w:eastAsia="Calibri" w:hAnsi="Times New Roman" w:cs="Calibri"/>
          <w:sz w:val="24"/>
        </w:rPr>
        <w:t xml:space="preserve">aizsardzības statuss un tas </w:t>
      </w:r>
      <w:r w:rsidR="003E0ECB" w:rsidRPr="00A07F29">
        <w:rPr>
          <w:rFonts w:ascii="Times New Roman" w:eastAsia="Calibri" w:hAnsi="Times New Roman" w:cs="Calibri"/>
          <w:sz w:val="24"/>
        </w:rPr>
        <w:t xml:space="preserve">noteikts kā </w:t>
      </w:r>
      <w:proofErr w:type="spellStart"/>
      <w:r w:rsidR="003E0ECB" w:rsidRPr="00A07F29">
        <w:rPr>
          <w:rFonts w:ascii="Times New Roman" w:eastAsia="Calibri" w:hAnsi="Times New Roman" w:cs="Calibri"/>
          <w:sz w:val="24"/>
        </w:rPr>
        <w:t>Rozališķu</w:t>
      </w:r>
      <w:proofErr w:type="spellEnd"/>
      <w:r w:rsidR="003E0ECB" w:rsidRPr="00A07F29">
        <w:rPr>
          <w:rFonts w:ascii="Times New Roman" w:eastAsia="Calibri" w:hAnsi="Times New Roman" w:cs="Calibri"/>
          <w:sz w:val="24"/>
        </w:rPr>
        <w:t xml:space="preserve"> aleja</w:t>
      </w:r>
      <w:r w:rsidR="002E0D65" w:rsidRPr="00A07F29">
        <w:rPr>
          <w:rFonts w:ascii="Times New Roman" w:eastAsia="Calibri" w:hAnsi="Times New Roman" w:cs="Calibri"/>
          <w:sz w:val="24"/>
        </w:rPr>
        <w:t>.</w:t>
      </w:r>
    </w:p>
    <w:p w14:paraId="424A49FC" w14:textId="5690F26D" w:rsidR="002E0D65" w:rsidRPr="00A07F29" w:rsidRDefault="002E0D65" w:rsidP="00D3282D">
      <w:pPr>
        <w:spacing w:after="120" w:line="240" w:lineRule="auto"/>
        <w:ind w:firstLine="851"/>
        <w:jc w:val="both"/>
        <w:rPr>
          <w:rFonts w:ascii="Times New Roman" w:eastAsia="Calibri" w:hAnsi="Times New Roman" w:cs="Calibri"/>
          <w:sz w:val="24"/>
        </w:rPr>
      </w:pPr>
      <w:proofErr w:type="spellStart"/>
      <w:r w:rsidRPr="00A07F29">
        <w:rPr>
          <w:rFonts w:ascii="Times New Roman" w:eastAsia="Calibri" w:hAnsi="Times New Roman" w:cs="Calibri"/>
          <w:b/>
          <w:bCs/>
          <w:sz w:val="24"/>
        </w:rPr>
        <w:t>Juzefovas</w:t>
      </w:r>
      <w:proofErr w:type="spellEnd"/>
      <w:r w:rsidRPr="00A07F29">
        <w:rPr>
          <w:rFonts w:ascii="Times New Roman" w:eastAsia="Calibri" w:hAnsi="Times New Roman" w:cs="Calibri"/>
          <w:b/>
          <w:bCs/>
          <w:sz w:val="24"/>
        </w:rPr>
        <w:t xml:space="preserve"> parks.</w:t>
      </w:r>
      <w:r w:rsidRPr="00A07F29">
        <w:rPr>
          <w:rFonts w:ascii="Times New Roman" w:eastAsia="Calibri" w:hAnsi="Times New Roman" w:cs="Calibri"/>
          <w:sz w:val="24"/>
        </w:rPr>
        <w:t xml:space="preserve"> Parkā sastopami 31 dažādi koku un krūmu </w:t>
      </w:r>
      <w:proofErr w:type="spellStart"/>
      <w:r w:rsidRPr="00A07F29">
        <w:rPr>
          <w:rFonts w:ascii="Times New Roman" w:eastAsia="Calibri" w:hAnsi="Times New Roman" w:cs="Calibri"/>
          <w:sz w:val="24"/>
        </w:rPr>
        <w:t>taksoni</w:t>
      </w:r>
      <w:proofErr w:type="spellEnd"/>
      <w:r w:rsidRPr="00A07F29">
        <w:rPr>
          <w:rFonts w:ascii="Times New Roman" w:eastAsia="Calibri" w:hAnsi="Times New Roman" w:cs="Calibri"/>
          <w:sz w:val="24"/>
        </w:rPr>
        <w:t xml:space="preserve">, no tiem 13 ir vietējo sugu </w:t>
      </w:r>
      <w:proofErr w:type="spellStart"/>
      <w:r w:rsidRPr="00A07F29">
        <w:rPr>
          <w:rFonts w:ascii="Times New Roman" w:eastAsia="Calibri" w:hAnsi="Times New Roman" w:cs="Calibri"/>
          <w:sz w:val="24"/>
        </w:rPr>
        <w:t>taksoni</w:t>
      </w:r>
      <w:proofErr w:type="spellEnd"/>
      <w:r w:rsidRPr="00A07F29">
        <w:rPr>
          <w:rFonts w:ascii="Times New Roman" w:eastAsia="Calibri" w:hAnsi="Times New Roman" w:cs="Calibri"/>
          <w:sz w:val="24"/>
        </w:rPr>
        <w:t xml:space="preserve">, bet 18 </w:t>
      </w:r>
      <w:r w:rsidR="00685E2D">
        <w:rPr>
          <w:rFonts w:ascii="Times New Roman" w:eastAsia="Calibri" w:hAnsi="Times New Roman" w:cs="Calibri"/>
          <w:sz w:val="24"/>
        </w:rPr>
        <w:t>–</w:t>
      </w:r>
      <w:r w:rsidRPr="00A07F29">
        <w:rPr>
          <w:rFonts w:ascii="Times New Roman" w:eastAsia="Calibri" w:hAnsi="Times New Roman" w:cs="Calibri"/>
          <w:sz w:val="24"/>
        </w:rPr>
        <w:t xml:space="preserve"> svešzemju </w:t>
      </w:r>
      <w:proofErr w:type="spellStart"/>
      <w:r w:rsidRPr="00A07F29">
        <w:rPr>
          <w:rFonts w:ascii="Times New Roman" w:eastAsia="Calibri" w:hAnsi="Times New Roman" w:cs="Calibri"/>
          <w:sz w:val="24"/>
        </w:rPr>
        <w:t>taksoni</w:t>
      </w:r>
      <w:proofErr w:type="spellEnd"/>
      <w:r w:rsidRPr="00A07F29">
        <w:rPr>
          <w:rFonts w:ascii="Times New Roman" w:eastAsia="Calibri" w:hAnsi="Times New Roman" w:cs="Calibri"/>
          <w:sz w:val="24"/>
        </w:rPr>
        <w:t xml:space="preserve">. Kā īpaša dendroloģiska vērtība </w:t>
      </w:r>
      <w:proofErr w:type="spellStart"/>
      <w:r w:rsidRPr="00A07F29">
        <w:rPr>
          <w:rFonts w:ascii="Times New Roman" w:eastAsia="Calibri" w:hAnsi="Times New Roman" w:cs="Calibri"/>
          <w:sz w:val="24"/>
        </w:rPr>
        <w:t>Juzefovas</w:t>
      </w:r>
      <w:proofErr w:type="spellEnd"/>
      <w:r w:rsidRPr="00A07F29">
        <w:rPr>
          <w:rFonts w:ascii="Times New Roman" w:eastAsia="Calibri" w:hAnsi="Times New Roman" w:cs="Calibri"/>
          <w:sz w:val="24"/>
        </w:rPr>
        <w:t xml:space="preserve"> parkā jāatzīmē Eiropas </w:t>
      </w:r>
      <w:proofErr w:type="spellStart"/>
      <w:r w:rsidRPr="00A07F29">
        <w:rPr>
          <w:rFonts w:ascii="Times New Roman" w:eastAsia="Calibri" w:hAnsi="Times New Roman" w:cs="Calibri"/>
          <w:sz w:val="24"/>
        </w:rPr>
        <w:t>ciedrupriede</w:t>
      </w:r>
      <w:proofErr w:type="spellEnd"/>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i/>
          <w:iCs/>
          <w:sz w:val="24"/>
        </w:rPr>
        <w:t>Pinus</w:t>
      </w:r>
      <w:proofErr w:type="spellEnd"/>
      <w:r w:rsidRPr="00A07F29">
        <w:rPr>
          <w:rFonts w:ascii="Times New Roman" w:eastAsia="Calibri" w:hAnsi="Times New Roman" w:cs="Calibri"/>
          <w:i/>
          <w:iCs/>
          <w:sz w:val="24"/>
        </w:rPr>
        <w:t xml:space="preserve"> </w:t>
      </w:r>
      <w:proofErr w:type="spellStart"/>
      <w:r w:rsidRPr="00A07F29">
        <w:rPr>
          <w:rFonts w:ascii="Times New Roman" w:eastAsia="Calibri" w:hAnsi="Times New Roman" w:cs="Calibri"/>
          <w:i/>
          <w:iCs/>
          <w:sz w:val="24"/>
        </w:rPr>
        <w:t>cembra</w:t>
      </w:r>
      <w:proofErr w:type="spellEnd"/>
      <w:r w:rsidRPr="00A07F29">
        <w:rPr>
          <w:rFonts w:ascii="Times New Roman" w:eastAsia="Calibri" w:hAnsi="Times New Roman" w:cs="Calibri"/>
          <w:sz w:val="24"/>
        </w:rPr>
        <w:t xml:space="preserve">, </w:t>
      </w:r>
      <w:r w:rsidR="0096222B" w:rsidRPr="00A07F29">
        <w:rPr>
          <w:rFonts w:ascii="Times New Roman" w:eastAsia="Calibri" w:hAnsi="Times New Roman" w:cs="Calibri"/>
          <w:sz w:val="24"/>
        </w:rPr>
        <w:t xml:space="preserve">stepes </w:t>
      </w:r>
      <w:r w:rsidRPr="00A07F29">
        <w:rPr>
          <w:rFonts w:ascii="Times New Roman" w:eastAsia="Calibri" w:hAnsi="Times New Roman" w:cs="Calibri"/>
          <w:sz w:val="24"/>
        </w:rPr>
        <w:t xml:space="preserve">goba </w:t>
      </w:r>
      <w:proofErr w:type="spellStart"/>
      <w:r w:rsidRPr="00A07F29">
        <w:rPr>
          <w:rFonts w:ascii="Times New Roman" w:eastAsia="Calibri" w:hAnsi="Times New Roman" w:cs="Calibri"/>
          <w:i/>
          <w:iCs/>
          <w:sz w:val="24"/>
        </w:rPr>
        <w:t>Ulmus</w:t>
      </w:r>
      <w:proofErr w:type="spellEnd"/>
      <w:r w:rsidRPr="00A07F29">
        <w:rPr>
          <w:rFonts w:ascii="Times New Roman" w:eastAsia="Calibri" w:hAnsi="Times New Roman" w:cs="Calibri"/>
          <w:i/>
          <w:iCs/>
          <w:sz w:val="24"/>
        </w:rPr>
        <w:t xml:space="preserve"> minor</w:t>
      </w:r>
      <w:r w:rsidRPr="00A07F29">
        <w:rPr>
          <w:rFonts w:ascii="Times New Roman" w:eastAsia="Calibri" w:hAnsi="Times New Roman" w:cs="Calibri"/>
          <w:sz w:val="24"/>
        </w:rPr>
        <w:t xml:space="preserve"> un Krimas liepa </w:t>
      </w:r>
      <w:r w:rsidRPr="00A07F29">
        <w:rPr>
          <w:rFonts w:ascii="Times New Roman" w:eastAsia="Calibri" w:hAnsi="Times New Roman" w:cs="Calibri"/>
          <w:i/>
          <w:iCs/>
          <w:sz w:val="24"/>
        </w:rPr>
        <w:t xml:space="preserve">Tilia x </w:t>
      </w:r>
      <w:proofErr w:type="spellStart"/>
      <w:r w:rsidRPr="00A07F29">
        <w:rPr>
          <w:rFonts w:ascii="Times New Roman" w:eastAsia="Calibri" w:hAnsi="Times New Roman" w:cs="Calibri"/>
          <w:i/>
          <w:iCs/>
          <w:sz w:val="24"/>
        </w:rPr>
        <w:t>euchlora</w:t>
      </w:r>
      <w:proofErr w:type="spellEnd"/>
      <w:r w:rsidRPr="00A07F29">
        <w:rPr>
          <w:rFonts w:ascii="Times New Roman" w:eastAsia="Calibri" w:hAnsi="Times New Roman" w:cs="Calibri"/>
          <w:sz w:val="24"/>
        </w:rPr>
        <w:t>. Diemžēl 2019.</w:t>
      </w:r>
      <w:r w:rsidR="00273C7B">
        <w:rPr>
          <w:rFonts w:ascii="Times New Roman" w:eastAsia="Calibri" w:hAnsi="Times New Roman" w:cs="Calibri"/>
          <w:sz w:val="24"/>
        </w:rPr>
        <w:t> </w:t>
      </w:r>
      <w:r w:rsidRPr="00A07F29">
        <w:rPr>
          <w:rFonts w:ascii="Times New Roman" w:eastAsia="Calibri" w:hAnsi="Times New Roman" w:cs="Calibri"/>
          <w:sz w:val="24"/>
        </w:rPr>
        <w:t xml:space="preserve">gada rudenī, apsekojot parku, konstatēts, ka </w:t>
      </w:r>
      <w:r w:rsidR="009D6AD0" w:rsidRPr="00A07F29">
        <w:rPr>
          <w:rFonts w:ascii="Times New Roman" w:eastAsia="Calibri" w:hAnsi="Times New Roman" w:cs="Calibri"/>
          <w:sz w:val="24"/>
        </w:rPr>
        <w:t xml:space="preserve">Eiropas </w:t>
      </w:r>
      <w:proofErr w:type="spellStart"/>
      <w:r w:rsidR="009D6AD0" w:rsidRPr="00A07F29">
        <w:rPr>
          <w:rFonts w:ascii="Times New Roman" w:eastAsia="Calibri" w:hAnsi="Times New Roman" w:cs="Calibri"/>
          <w:sz w:val="24"/>
        </w:rPr>
        <w:t>ciedrupriedes</w:t>
      </w:r>
      <w:proofErr w:type="spellEnd"/>
      <w:r w:rsidR="009D6AD0" w:rsidRPr="00A07F29">
        <w:rPr>
          <w:rFonts w:ascii="Times New Roman" w:eastAsia="Calibri" w:hAnsi="Times New Roman" w:cs="Calibri"/>
          <w:sz w:val="24"/>
        </w:rPr>
        <w:t xml:space="preserve"> ir gājušas bojā – viena pilnībā nokaltusi, otrai saglabājušās tikai dažas dzīvas skujas un nokritusi miza.</w:t>
      </w:r>
    </w:p>
    <w:p w14:paraId="08195DD9" w14:textId="1DFEC5A1" w:rsidR="002E0D65" w:rsidRPr="00A07F29" w:rsidRDefault="002E0D65" w:rsidP="00D3282D">
      <w:pPr>
        <w:spacing w:after="120" w:line="240" w:lineRule="auto"/>
        <w:ind w:firstLine="851"/>
        <w:jc w:val="both"/>
        <w:rPr>
          <w:rFonts w:ascii="Times New Roman" w:eastAsia="Calibri" w:hAnsi="Times New Roman" w:cs="Calibri"/>
          <w:sz w:val="24"/>
        </w:rPr>
      </w:pPr>
      <w:proofErr w:type="spellStart"/>
      <w:r w:rsidRPr="00A07F29">
        <w:rPr>
          <w:rFonts w:ascii="Times New Roman" w:eastAsia="Calibri" w:hAnsi="Times New Roman" w:cs="Calibri"/>
          <w:sz w:val="24"/>
        </w:rPr>
        <w:t>Juzefovas</w:t>
      </w:r>
      <w:proofErr w:type="spellEnd"/>
      <w:r w:rsidRPr="00A07F29">
        <w:rPr>
          <w:rFonts w:ascii="Times New Roman" w:eastAsia="Calibri" w:hAnsi="Times New Roman" w:cs="Calibri"/>
          <w:sz w:val="24"/>
        </w:rPr>
        <w:t xml:space="preserve"> parkā ir konstatēta</w:t>
      </w:r>
      <w:r w:rsidR="00885C23" w:rsidRPr="00A07F29">
        <w:rPr>
          <w:rFonts w:ascii="Times New Roman" w:eastAsia="Calibri" w:hAnsi="Times New Roman" w:cs="Calibri"/>
          <w:sz w:val="24"/>
        </w:rPr>
        <w:t>s divas</w:t>
      </w:r>
      <w:r w:rsidRPr="00A07F29">
        <w:rPr>
          <w:rFonts w:ascii="Times New Roman" w:eastAsia="Calibri" w:hAnsi="Times New Roman" w:cs="Calibri"/>
          <w:sz w:val="24"/>
        </w:rPr>
        <w:t xml:space="preserve"> </w:t>
      </w:r>
      <w:r w:rsidRPr="001E6A93">
        <w:rPr>
          <w:rFonts w:ascii="Times New Roman" w:eastAsia="Calibri" w:hAnsi="Times New Roman" w:cs="Calibri"/>
          <w:sz w:val="24"/>
        </w:rPr>
        <w:t>īpaši aizsargājamā</w:t>
      </w:r>
      <w:r w:rsidR="00885C23" w:rsidRPr="001E6A93">
        <w:rPr>
          <w:rFonts w:ascii="Times New Roman" w:eastAsia="Calibri" w:hAnsi="Times New Roman" w:cs="Calibri"/>
          <w:sz w:val="24"/>
        </w:rPr>
        <w:t>s</w:t>
      </w:r>
      <w:r w:rsidRPr="001E6A93">
        <w:rPr>
          <w:rFonts w:ascii="Times New Roman" w:eastAsia="Calibri" w:hAnsi="Times New Roman" w:cs="Calibri"/>
          <w:sz w:val="24"/>
        </w:rPr>
        <w:t xml:space="preserve"> </w:t>
      </w:r>
      <w:r w:rsidR="009D6AD0" w:rsidRPr="001E6A93">
        <w:rPr>
          <w:rFonts w:ascii="Times New Roman" w:eastAsia="Calibri" w:hAnsi="Times New Roman" w:cs="Calibri"/>
          <w:sz w:val="24"/>
        </w:rPr>
        <w:t>augu</w:t>
      </w:r>
      <w:r w:rsidR="009D6AD0" w:rsidRPr="00A07F29">
        <w:rPr>
          <w:rFonts w:ascii="Times New Roman" w:eastAsia="Calibri" w:hAnsi="Times New Roman" w:cs="Calibri"/>
          <w:sz w:val="24"/>
        </w:rPr>
        <w:t xml:space="preserve"> </w:t>
      </w:r>
      <w:r w:rsidRPr="00A07F29">
        <w:rPr>
          <w:rFonts w:ascii="Times New Roman" w:eastAsia="Calibri" w:hAnsi="Times New Roman" w:cs="Calibri"/>
          <w:sz w:val="24"/>
        </w:rPr>
        <w:t>suga</w:t>
      </w:r>
      <w:r w:rsidR="00885C23" w:rsidRPr="00A07F29">
        <w:rPr>
          <w:rFonts w:ascii="Times New Roman" w:eastAsia="Calibri" w:hAnsi="Times New Roman" w:cs="Calibri"/>
          <w:sz w:val="24"/>
        </w:rPr>
        <w:t>s</w:t>
      </w:r>
      <w:r w:rsidRPr="00A07F29">
        <w:rPr>
          <w:rFonts w:ascii="Times New Roman" w:eastAsia="Calibri" w:hAnsi="Times New Roman" w:cs="Calibri"/>
          <w:sz w:val="24"/>
        </w:rPr>
        <w:t xml:space="preserve"> </w:t>
      </w:r>
      <w:r w:rsidR="00B17DB0">
        <w:rPr>
          <w:rFonts w:ascii="Times New Roman" w:eastAsia="Calibri" w:hAnsi="Times New Roman" w:cs="Calibri"/>
          <w:sz w:val="24"/>
        </w:rPr>
        <w:t>–</w:t>
      </w:r>
      <w:r w:rsidRPr="00A07F29">
        <w:rPr>
          <w:rFonts w:ascii="Times New Roman" w:eastAsia="Calibri" w:hAnsi="Times New Roman" w:cs="Calibri"/>
          <w:sz w:val="24"/>
        </w:rPr>
        <w:t xml:space="preserve"> matainais grīslis </w:t>
      </w:r>
      <w:proofErr w:type="spellStart"/>
      <w:r w:rsidRPr="00A07F29">
        <w:rPr>
          <w:rFonts w:ascii="Times New Roman" w:eastAsia="Calibri" w:hAnsi="Times New Roman" w:cs="Calibri"/>
          <w:i/>
          <w:iCs/>
          <w:sz w:val="24"/>
        </w:rPr>
        <w:t>Carex</w:t>
      </w:r>
      <w:proofErr w:type="spellEnd"/>
      <w:r w:rsidRPr="00A07F29">
        <w:rPr>
          <w:rFonts w:ascii="Times New Roman" w:eastAsia="Calibri" w:hAnsi="Times New Roman" w:cs="Calibri"/>
          <w:i/>
          <w:iCs/>
          <w:sz w:val="24"/>
        </w:rPr>
        <w:t xml:space="preserve"> </w:t>
      </w:r>
      <w:proofErr w:type="spellStart"/>
      <w:r w:rsidRPr="00A07F29">
        <w:rPr>
          <w:rFonts w:ascii="Times New Roman" w:eastAsia="Calibri" w:hAnsi="Times New Roman" w:cs="Calibri"/>
          <w:i/>
          <w:iCs/>
          <w:sz w:val="24"/>
        </w:rPr>
        <w:t>pilosa</w:t>
      </w:r>
      <w:proofErr w:type="spellEnd"/>
      <w:r w:rsidR="00885C23" w:rsidRPr="00A07F29">
        <w:rPr>
          <w:rFonts w:ascii="Times New Roman" w:eastAsia="Calibri" w:hAnsi="Times New Roman" w:cs="Calibri"/>
          <w:sz w:val="24"/>
        </w:rPr>
        <w:t xml:space="preserve"> un</w:t>
      </w:r>
      <w:r w:rsidRPr="00A07F29">
        <w:rPr>
          <w:rFonts w:ascii="Times New Roman" w:eastAsia="Calibri" w:hAnsi="Times New Roman" w:cs="Calibri"/>
          <w:sz w:val="24"/>
        </w:rPr>
        <w:t xml:space="preserve"> </w:t>
      </w:r>
      <w:proofErr w:type="spellStart"/>
      <w:r w:rsidR="00885C23" w:rsidRPr="00A07F29">
        <w:rPr>
          <w:rFonts w:ascii="Times New Roman" w:eastAsia="Calibri" w:hAnsi="Times New Roman" w:cs="Calibri"/>
          <w:sz w:val="24"/>
        </w:rPr>
        <w:t>villainā</w:t>
      </w:r>
      <w:proofErr w:type="spellEnd"/>
      <w:r w:rsidR="00885C23" w:rsidRPr="00A07F29">
        <w:rPr>
          <w:rFonts w:ascii="Times New Roman" w:eastAsia="Calibri" w:hAnsi="Times New Roman" w:cs="Calibri"/>
          <w:sz w:val="24"/>
        </w:rPr>
        <w:t xml:space="preserve"> gundega </w:t>
      </w:r>
      <w:proofErr w:type="spellStart"/>
      <w:r w:rsidR="00885C23" w:rsidRPr="00A07F29">
        <w:rPr>
          <w:rFonts w:ascii="Times New Roman" w:eastAsia="Calibri" w:hAnsi="Times New Roman" w:cs="Calibri"/>
          <w:i/>
          <w:iCs/>
          <w:sz w:val="24"/>
        </w:rPr>
        <w:t>Ranunculus</w:t>
      </w:r>
      <w:proofErr w:type="spellEnd"/>
      <w:r w:rsidR="00885C23" w:rsidRPr="00A07F29">
        <w:rPr>
          <w:rFonts w:ascii="Times New Roman" w:eastAsia="Calibri" w:hAnsi="Times New Roman" w:cs="Calibri"/>
          <w:i/>
          <w:iCs/>
          <w:sz w:val="24"/>
        </w:rPr>
        <w:t xml:space="preserve"> </w:t>
      </w:r>
      <w:proofErr w:type="spellStart"/>
      <w:r w:rsidR="00885C23" w:rsidRPr="00A07F29">
        <w:rPr>
          <w:rFonts w:ascii="Times New Roman" w:eastAsia="Calibri" w:hAnsi="Times New Roman" w:cs="Calibri"/>
          <w:i/>
          <w:iCs/>
          <w:sz w:val="24"/>
        </w:rPr>
        <w:t>lanuginosa</w:t>
      </w:r>
      <w:proofErr w:type="spellEnd"/>
      <w:r w:rsidR="00885C23" w:rsidRPr="00A07F29">
        <w:rPr>
          <w:rFonts w:ascii="Times New Roman" w:eastAsia="Calibri" w:hAnsi="Times New Roman" w:cs="Calibri"/>
          <w:sz w:val="24"/>
        </w:rPr>
        <w:t>, kā arī</w:t>
      </w:r>
      <w:r w:rsidR="00D65BBA" w:rsidRPr="00A07F29">
        <w:rPr>
          <w:rFonts w:ascii="Times New Roman" w:eastAsia="Calibri" w:hAnsi="Times New Roman" w:cs="Calibri"/>
          <w:sz w:val="24"/>
        </w:rPr>
        <w:t xml:space="preserve"> </w:t>
      </w:r>
      <w:r w:rsidRPr="00A07F29">
        <w:rPr>
          <w:rFonts w:ascii="Times New Roman" w:eastAsia="Calibri" w:hAnsi="Times New Roman" w:cs="Calibri"/>
          <w:sz w:val="24"/>
        </w:rPr>
        <w:t xml:space="preserve">divi vietējas nozīmes dižkoki – baltā apse </w:t>
      </w:r>
      <w:proofErr w:type="spellStart"/>
      <w:r w:rsidRPr="00A07F29">
        <w:rPr>
          <w:rFonts w:ascii="Times New Roman" w:eastAsia="Calibri" w:hAnsi="Times New Roman" w:cs="Calibri"/>
          <w:i/>
          <w:iCs/>
          <w:sz w:val="24"/>
        </w:rPr>
        <w:t>Populus</w:t>
      </w:r>
      <w:proofErr w:type="spellEnd"/>
      <w:r w:rsidRPr="00A07F29">
        <w:rPr>
          <w:rFonts w:ascii="Times New Roman" w:eastAsia="Calibri" w:hAnsi="Times New Roman" w:cs="Calibri"/>
          <w:i/>
          <w:iCs/>
          <w:sz w:val="24"/>
        </w:rPr>
        <w:t xml:space="preserve"> </w:t>
      </w:r>
      <w:proofErr w:type="spellStart"/>
      <w:r w:rsidRPr="00A07F29">
        <w:rPr>
          <w:rFonts w:ascii="Times New Roman" w:eastAsia="Calibri" w:hAnsi="Times New Roman" w:cs="Calibri"/>
          <w:i/>
          <w:iCs/>
          <w:sz w:val="24"/>
        </w:rPr>
        <w:t>alba</w:t>
      </w:r>
      <w:proofErr w:type="spellEnd"/>
      <w:r w:rsidRPr="00A07F29">
        <w:rPr>
          <w:rFonts w:ascii="Times New Roman" w:eastAsia="Calibri" w:hAnsi="Times New Roman" w:cs="Calibri"/>
          <w:sz w:val="24"/>
        </w:rPr>
        <w:t xml:space="preserve"> un parastā liepa </w:t>
      </w:r>
      <w:r w:rsidRPr="00A07F29">
        <w:rPr>
          <w:rFonts w:ascii="Times New Roman" w:eastAsia="Calibri" w:hAnsi="Times New Roman" w:cs="Calibri"/>
          <w:i/>
          <w:iCs/>
          <w:sz w:val="24"/>
        </w:rPr>
        <w:t xml:space="preserve">Tilia </w:t>
      </w:r>
      <w:proofErr w:type="spellStart"/>
      <w:r w:rsidRPr="00A07F29">
        <w:rPr>
          <w:rFonts w:ascii="Times New Roman" w:eastAsia="Calibri" w:hAnsi="Times New Roman" w:cs="Calibri"/>
          <w:i/>
          <w:iCs/>
          <w:sz w:val="24"/>
        </w:rPr>
        <w:t>cordata</w:t>
      </w:r>
      <w:proofErr w:type="spellEnd"/>
      <w:r w:rsidRPr="00A07F29">
        <w:rPr>
          <w:rFonts w:ascii="Times New Roman" w:eastAsia="Calibri" w:hAnsi="Times New Roman" w:cs="Calibri"/>
          <w:sz w:val="24"/>
        </w:rPr>
        <w:t>.</w:t>
      </w:r>
    </w:p>
    <w:p w14:paraId="50320EDE" w14:textId="24A8AA12" w:rsidR="002E0D65" w:rsidRPr="00A07F29" w:rsidRDefault="00885C23" w:rsidP="00D3282D">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Muižas mūra ēku tika cēlis īpašnieks </w:t>
      </w:r>
      <w:proofErr w:type="spellStart"/>
      <w:r w:rsidRPr="00A07F29">
        <w:rPr>
          <w:rFonts w:ascii="Times New Roman" w:eastAsia="Calibri" w:hAnsi="Times New Roman" w:cs="Calibri"/>
          <w:sz w:val="24"/>
        </w:rPr>
        <w:t>Bogdans</w:t>
      </w:r>
      <w:proofErr w:type="spellEnd"/>
      <w:r w:rsidRPr="00A07F29">
        <w:rPr>
          <w:rFonts w:ascii="Times New Roman" w:eastAsia="Calibri" w:hAnsi="Times New Roman" w:cs="Calibri"/>
          <w:sz w:val="24"/>
        </w:rPr>
        <w:t xml:space="preserve"> </w:t>
      </w:r>
      <w:proofErr w:type="spellStart"/>
      <w:r w:rsidRPr="00A07F29">
        <w:rPr>
          <w:rFonts w:ascii="Times New Roman" w:eastAsia="Calibri" w:hAnsi="Times New Roman" w:cs="Calibri"/>
          <w:sz w:val="24"/>
        </w:rPr>
        <w:t>Šahno</w:t>
      </w:r>
      <w:proofErr w:type="spellEnd"/>
      <w:r w:rsidRPr="00A07F29">
        <w:rPr>
          <w:rFonts w:ascii="Times New Roman" w:eastAsia="Calibri" w:hAnsi="Times New Roman" w:cs="Calibri"/>
          <w:sz w:val="24"/>
        </w:rPr>
        <w:t>, izvēloties par paraugu Parīzes tuvumā kādreiz redzēto pili. Pašlaik parkā apskatāmi tikai muižas ēkas pamati. Bijušais barona B.</w:t>
      </w:r>
      <w:r w:rsidR="0082535B">
        <w:rPr>
          <w:rFonts w:ascii="Times New Roman" w:eastAsia="Calibri" w:hAnsi="Times New Roman" w:cs="Calibri"/>
          <w:sz w:val="24"/>
        </w:rPr>
        <w:t> </w:t>
      </w:r>
      <w:proofErr w:type="spellStart"/>
      <w:r w:rsidRPr="00A07F29">
        <w:rPr>
          <w:rFonts w:ascii="Times New Roman" w:eastAsia="Calibri" w:hAnsi="Times New Roman" w:cs="Calibri"/>
          <w:sz w:val="24"/>
        </w:rPr>
        <w:t>Šahno</w:t>
      </w:r>
      <w:proofErr w:type="spellEnd"/>
      <w:r w:rsidRPr="00A07F29">
        <w:rPr>
          <w:rFonts w:ascii="Times New Roman" w:eastAsia="Calibri" w:hAnsi="Times New Roman" w:cs="Calibri"/>
          <w:sz w:val="24"/>
        </w:rPr>
        <w:t xml:space="preserve"> zirgu stallis (drupas) ir vienīgā no </w:t>
      </w:r>
      <w:proofErr w:type="spellStart"/>
      <w:r w:rsidRPr="00A07F29">
        <w:rPr>
          <w:rFonts w:ascii="Times New Roman" w:eastAsia="Calibri" w:hAnsi="Times New Roman" w:cs="Calibri"/>
          <w:sz w:val="24"/>
        </w:rPr>
        <w:t>Juzefovas</w:t>
      </w:r>
      <w:proofErr w:type="spellEnd"/>
      <w:r w:rsidRPr="00A07F29">
        <w:rPr>
          <w:rFonts w:ascii="Times New Roman" w:eastAsia="Calibri" w:hAnsi="Times New Roman" w:cs="Calibri"/>
          <w:sz w:val="24"/>
        </w:rPr>
        <w:t xml:space="preserve"> muižas ēkām, kas ir saglabājusies līdz mūsdienām.</w:t>
      </w:r>
    </w:p>
    <w:p w14:paraId="0F75A422" w14:textId="7A080978" w:rsidR="002E0D65" w:rsidRPr="00A07F29" w:rsidRDefault="00885C23" w:rsidP="00D3282D">
      <w:pPr>
        <w:spacing w:after="120" w:line="240" w:lineRule="auto"/>
        <w:ind w:firstLine="851"/>
        <w:jc w:val="both"/>
        <w:rPr>
          <w:rFonts w:ascii="Times New Roman" w:eastAsia="Calibri" w:hAnsi="Times New Roman" w:cs="Calibri"/>
          <w:sz w:val="24"/>
        </w:rPr>
      </w:pPr>
      <w:proofErr w:type="spellStart"/>
      <w:r w:rsidRPr="00A07F29">
        <w:rPr>
          <w:rFonts w:ascii="Times New Roman" w:eastAsia="Calibri" w:hAnsi="Times New Roman" w:cs="Calibri"/>
          <w:b/>
          <w:bCs/>
          <w:sz w:val="24"/>
        </w:rPr>
        <w:t>Hoftenbergas</w:t>
      </w:r>
      <w:proofErr w:type="spellEnd"/>
      <w:r w:rsidRPr="00A07F29">
        <w:rPr>
          <w:rFonts w:ascii="Times New Roman" w:eastAsia="Calibri" w:hAnsi="Times New Roman" w:cs="Calibri"/>
          <w:b/>
          <w:bCs/>
          <w:sz w:val="24"/>
        </w:rPr>
        <w:t xml:space="preserve"> parks.</w:t>
      </w:r>
      <w:r w:rsidRPr="00A07F29">
        <w:rPr>
          <w:rFonts w:ascii="Times New Roman" w:eastAsia="Calibri" w:hAnsi="Times New Roman" w:cs="Calibri"/>
          <w:sz w:val="24"/>
        </w:rPr>
        <w:t xml:space="preserve"> </w:t>
      </w:r>
      <w:r w:rsidR="0096222B" w:rsidRPr="00A07F29">
        <w:rPr>
          <w:rFonts w:ascii="Times New Roman" w:eastAsia="Calibri" w:hAnsi="Times New Roman" w:cs="Calibri"/>
          <w:sz w:val="24"/>
        </w:rPr>
        <w:t xml:space="preserve">Parks atrodas ainaviskā vietā – uz Daugavas stāvā krasta Naujenes pagasta Kraujas ciematā. Šobrīd parks netiek kopts, tas aizaug un sākotnējā plānojuma iezīmes grūti nojaušamas. Parkā aug iespaidīga izmēra vietējo sugu platlapju koki, stepes gobas </w:t>
      </w:r>
      <w:proofErr w:type="spellStart"/>
      <w:r w:rsidR="0096222B" w:rsidRPr="00A07F29">
        <w:rPr>
          <w:rFonts w:ascii="Times New Roman" w:eastAsia="Calibri" w:hAnsi="Times New Roman" w:cs="Calibri"/>
          <w:i/>
          <w:iCs/>
          <w:sz w:val="24"/>
        </w:rPr>
        <w:t>Ulmus</w:t>
      </w:r>
      <w:proofErr w:type="spellEnd"/>
      <w:r w:rsidR="0096222B" w:rsidRPr="00A07F29">
        <w:rPr>
          <w:rFonts w:ascii="Times New Roman" w:eastAsia="Calibri" w:hAnsi="Times New Roman" w:cs="Calibri"/>
          <w:i/>
          <w:iCs/>
          <w:sz w:val="24"/>
        </w:rPr>
        <w:t xml:space="preserve"> minor</w:t>
      </w:r>
      <w:r w:rsidR="0096222B" w:rsidRPr="00A07F29">
        <w:rPr>
          <w:rFonts w:ascii="Times New Roman" w:eastAsia="Calibri" w:hAnsi="Times New Roman" w:cs="Calibri"/>
          <w:sz w:val="24"/>
        </w:rPr>
        <w:t xml:space="preserve"> audze. </w:t>
      </w:r>
      <w:r w:rsidR="00B4327A" w:rsidRPr="00A07F29">
        <w:rPr>
          <w:rFonts w:ascii="Times New Roman" w:eastAsia="Calibri" w:hAnsi="Times New Roman" w:cs="Calibri"/>
          <w:sz w:val="24"/>
        </w:rPr>
        <w:t>Daļa dabas pieminekļa teritorijas atbilst ES nozīmes biotopam 9180* </w:t>
      </w:r>
      <w:r w:rsidR="00B4327A" w:rsidRPr="002B72F7">
        <w:rPr>
          <w:rFonts w:ascii="Times New Roman" w:eastAsia="Calibri" w:hAnsi="Times New Roman" w:cs="Calibri"/>
          <w:i/>
          <w:iCs/>
          <w:sz w:val="24"/>
        </w:rPr>
        <w:t>Nogāžu un gravu meži</w:t>
      </w:r>
      <w:r w:rsidR="00B4327A" w:rsidRPr="00A07F29">
        <w:rPr>
          <w:rFonts w:ascii="Times New Roman" w:eastAsia="Calibri" w:hAnsi="Times New Roman" w:cs="Calibri"/>
          <w:sz w:val="24"/>
        </w:rPr>
        <w:t xml:space="preserve">. </w:t>
      </w:r>
      <w:r w:rsidR="0096222B" w:rsidRPr="00A07F29">
        <w:rPr>
          <w:rFonts w:ascii="Times New Roman" w:eastAsia="Calibri" w:hAnsi="Times New Roman" w:cs="Calibri"/>
          <w:sz w:val="24"/>
        </w:rPr>
        <w:t xml:space="preserve">Parku apdraud krasta </w:t>
      </w:r>
      <w:r w:rsidR="00B4327A" w:rsidRPr="00A07F29">
        <w:rPr>
          <w:rFonts w:ascii="Times New Roman" w:eastAsia="Calibri" w:hAnsi="Times New Roman" w:cs="Calibri"/>
          <w:sz w:val="24"/>
        </w:rPr>
        <w:t xml:space="preserve">nogāzes </w:t>
      </w:r>
      <w:r w:rsidR="0096222B" w:rsidRPr="00A07F29">
        <w:rPr>
          <w:rFonts w:ascii="Times New Roman" w:eastAsia="Calibri" w:hAnsi="Times New Roman" w:cs="Calibri"/>
          <w:sz w:val="24"/>
        </w:rPr>
        <w:t xml:space="preserve">erozija – veidojas nogruvumi. Konstatēti atsevišķi </w:t>
      </w:r>
      <w:proofErr w:type="spellStart"/>
      <w:r w:rsidR="0096222B" w:rsidRPr="00A07F29">
        <w:rPr>
          <w:rFonts w:ascii="Times New Roman" w:eastAsia="Calibri" w:hAnsi="Times New Roman" w:cs="Calibri"/>
          <w:sz w:val="24"/>
        </w:rPr>
        <w:t>invazīvās</w:t>
      </w:r>
      <w:proofErr w:type="spellEnd"/>
      <w:r w:rsidR="0096222B" w:rsidRPr="00A07F29">
        <w:rPr>
          <w:rFonts w:ascii="Times New Roman" w:eastAsia="Calibri" w:hAnsi="Times New Roman" w:cs="Calibri"/>
          <w:sz w:val="24"/>
        </w:rPr>
        <w:t xml:space="preserve"> sugas – Sosnovska </w:t>
      </w:r>
      <w:proofErr w:type="spellStart"/>
      <w:r w:rsidR="0096222B" w:rsidRPr="00A07F29">
        <w:rPr>
          <w:rFonts w:ascii="Times New Roman" w:eastAsia="Calibri" w:hAnsi="Times New Roman" w:cs="Calibri"/>
          <w:sz w:val="24"/>
        </w:rPr>
        <w:t>latvāņa</w:t>
      </w:r>
      <w:proofErr w:type="spellEnd"/>
      <w:r w:rsidR="0096222B" w:rsidRPr="00A07F29">
        <w:rPr>
          <w:rFonts w:ascii="Times New Roman" w:eastAsia="Calibri" w:hAnsi="Times New Roman" w:cs="Calibri"/>
          <w:sz w:val="24"/>
        </w:rPr>
        <w:t xml:space="preserve"> augi.</w:t>
      </w:r>
    </w:p>
    <w:p w14:paraId="36C7B529" w14:textId="2CA2EACF" w:rsidR="0096222B" w:rsidRPr="00A07F29" w:rsidRDefault="0096222B" w:rsidP="00A65113">
      <w:pPr>
        <w:spacing w:after="120" w:line="240" w:lineRule="auto"/>
        <w:ind w:firstLine="851"/>
        <w:jc w:val="both"/>
        <w:rPr>
          <w:rFonts w:ascii="Times New Roman" w:eastAsia="Calibri" w:hAnsi="Times New Roman" w:cs="Calibri"/>
          <w:sz w:val="24"/>
        </w:rPr>
      </w:pPr>
      <w:proofErr w:type="spellStart"/>
      <w:r w:rsidRPr="00A07F29">
        <w:rPr>
          <w:rFonts w:ascii="Times New Roman" w:eastAsia="Calibri" w:hAnsi="Times New Roman" w:cs="Calibri"/>
          <w:b/>
          <w:bCs/>
          <w:sz w:val="24"/>
        </w:rPr>
        <w:t>Rozališķu</w:t>
      </w:r>
      <w:proofErr w:type="spellEnd"/>
      <w:r w:rsidRPr="00A07F29">
        <w:rPr>
          <w:rFonts w:ascii="Times New Roman" w:eastAsia="Calibri" w:hAnsi="Times New Roman" w:cs="Calibri"/>
          <w:b/>
          <w:bCs/>
          <w:sz w:val="24"/>
        </w:rPr>
        <w:t xml:space="preserve"> </w:t>
      </w:r>
      <w:r w:rsidR="00A65113" w:rsidRPr="00A07F29">
        <w:rPr>
          <w:rFonts w:ascii="Times New Roman" w:eastAsia="Calibri" w:hAnsi="Times New Roman" w:cs="Calibri"/>
          <w:b/>
          <w:bCs/>
          <w:sz w:val="24"/>
        </w:rPr>
        <w:t>aleja</w:t>
      </w:r>
      <w:r w:rsidRPr="00A07F29">
        <w:rPr>
          <w:rFonts w:ascii="Times New Roman" w:eastAsia="Calibri" w:hAnsi="Times New Roman" w:cs="Calibri"/>
          <w:sz w:val="24"/>
        </w:rPr>
        <w:t xml:space="preserve">. </w:t>
      </w:r>
      <w:r w:rsidR="00A65113" w:rsidRPr="00A07F29">
        <w:rPr>
          <w:rFonts w:ascii="Times New Roman" w:eastAsia="Calibri" w:hAnsi="Times New Roman" w:cs="Calibri"/>
          <w:sz w:val="24"/>
        </w:rPr>
        <w:t xml:space="preserve">Šobrīd aizsardzības statuss saglabāts vien alejai, lai gan sākotnēji teritorija bija plašāka </w:t>
      </w:r>
      <w:r w:rsidR="00E8746F">
        <w:rPr>
          <w:rFonts w:ascii="Times New Roman" w:eastAsia="Calibri" w:hAnsi="Times New Roman" w:cs="Calibri"/>
          <w:sz w:val="24"/>
        </w:rPr>
        <w:t>–</w:t>
      </w:r>
      <w:r w:rsidR="00A65113" w:rsidRPr="00A07F29">
        <w:rPr>
          <w:rFonts w:ascii="Times New Roman" w:eastAsia="Calibri" w:hAnsi="Times New Roman" w:cs="Calibri"/>
          <w:sz w:val="24"/>
        </w:rPr>
        <w:t xml:space="preserve"> v</w:t>
      </w:r>
      <w:r w:rsidR="00B42693" w:rsidRPr="00A07F29">
        <w:rPr>
          <w:rFonts w:ascii="Times New Roman" w:eastAsia="Calibri" w:hAnsi="Times New Roman" w:cs="Calibri"/>
          <w:sz w:val="24"/>
        </w:rPr>
        <w:t>eidot</w:t>
      </w:r>
      <w:r w:rsidR="00A65113" w:rsidRPr="00A07F29">
        <w:rPr>
          <w:rFonts w:ascii="Times New Roman" w:eastAsia="Calibri" w:hAnsi="Times New Roman" w:cs="Calibri"/>
          <w:sz w:val="24"/>
        </w:rPr>
        <w:t>s</w:t>
      </w:r>
      <w:r w:rsidR="00B42693" w:rsidRPr="00A07F29">
        <w:rPr>
          <w:rFonts w:ascii="Times New Roman" w:eastAsia="Calibri" w:hAnsi="Times New Roman" w:cs="Calibri"/>
          <w:sz w:val="24"/>
        </w:rPr>
        <w:t xml:space="preserve"> kā </w:t>
      </w:r>
      <w:proofErr w:type="spellStart"/>
      <w:r w:rsidR="00B42693" w:rsidRPr="00A07F29">
        <w:rPr>
          <w:rFonts w:ascii="Times New Roman" w:eastAsia="Calibri" w:hAnsi="Times New Roman" w:cs="Calibri"/>
          <w:sz w:val="24"/>
        </w:rPr>
        <w:t>Rozališķu</w:t>
      </w:r>
      <w:proofErr w:type="spellEnd"/>
      <w:r w:rsidR="00B42693" w:rsidRPr="00A07F29">
        <w:rPr>
          <w:rFonts w:ascii="Times New Roman" w:eastAsia="Calibri" w:hAnsi="Times New Roman" w:cs="Calibri"/>
          <w:sz w:val="24"/>
        </w:rPr>
        <w:t xml:space="preserve"> muižas parks un bijis plašāks un labi plānots. Šobrīd no stādījumiem saglabājušās tikai divas alejas – 55 Eiropas lapegles </w:t>
      </w:r>
      <w:proofErr w:type="spellStart"/>
      <w:r w:rsidR="00B42693" w:rsidRPr="00A07F29">
        <w:rPr>
          <w:rFonts w:ascii="Times New Roman" w:eastAsia="Calibri" w:hAnsi="Times New Roman" w:cs="Calibri"/>
          <w:i/>
          <w:iCs/>
          <w:sz w:val="24"/>
        </w:rPr>
        <w:t>Larix</w:t>
      </w:r>
      <w:proofErr w:type="spellEnd"/>
      <w:r w:rsidR="00B42693" w:rsidRPr="00A07F29">
        <w:rPr>
          <w:rFonts w:ascii="Times New Roman" w:eastAsia="Calibri" w:hAnsi="Times New Roman" w:cs="Calibri"/>
          <w:i/>
          <w:iCs/>
          <w:sz w:val="24"/>
        </w:rPr>
        <w:t xml:space="preserve"> </w:t>
      </w:r>
      <w:proofErr w:type="spellStart"/>
      <w:r w:rsidR="00B42693" w:rsidRPr="00A07F29">
        <w:rPr>
          <w:rFonts w:ascii="Times New Roman" w:eastAsia="Calibri" w:hAnsi="Times New Roman" w:cs="Calibri"/>
          <w:i/>
          <w:iCs/>
          <w:sz w:val="24"/>
        </w:rPr>
        <w:t>decidua</w:t>
      </w:r>
      <w:proofErr w:type="spellEnd"/>
      <w:r w:rsidR="00B42693" w:rsidRPr="00A07F29">
        <w:rPr>
          <w:rFonts w:ascii="Times New Roman" w:eastAsia="Calibri" w:hAnsi="Times New Roman" w:cs="Calibri"/>
          <w:sz w:val="24"/>
        </w:rPr>
        <w:t xml:space="preserve"> un 24 parastās liepas </w:t>
      </w:r>
      <w:r w:rsidR="00B42693" w:rsidRPr="00A07F29">
        <w:rPr>
          <w:rFonts w:ascii="Times New Roman" w:eastAsia="Calibri" w:hAnsi="Times New Roman" w:cs="Calibri"/>
          <w:i/>
          <w:iCs/>
          <w:sz w:val="24"/>
        </w:rPr>
        <w:t xml:space="preserve">Tilia </w:t>
      </w:r>
      <w:proofErr w:type="spellStart"/>
      <w:r w:rsidR="00B42693" w:rsidRPr="00A07F29">
        <w:rPr>
          <w:rFonts w:ascii="Times New Roman" w:eastAsia="Calibri" w:hAnsi="Times New Roman" w:cs="Calibri"/>
          <w:i/>
          <w:iCs/>
          <w:sz w:val="24"/>
        </w:rPr>
        <w:t>cordata</w:t>
      </w:r>
      <w:proofErr w:type="spellEnd"/>
      <w:r w:rsidR="00B42693" w:rsidRPr="00A07F29">
        <w:rPr>
          <w:rFonts w:ascii="Times New Roman" w:eastAsia="Calibri" w:hAnsi="Times New Roman" w:cs="Calibri"/>
          <w:i/>
          <w:iCs/>
          <w:sz w:val="24"/>
        </w:rPr>
        <w:t>.</w:t>
      </w:r>
      <w:r w:rsidR="00B42693" w:rsidRPr="00A07F29">
        <w:rPr>
          <w:rFonts w:ascii="Times New Roman" w:eastAsia="Calibri" w:hAnsi="Times New Roman" w:cs="Calibri"/>
          <w:sz w:val="24"/>
        </w:rPr>
        <w:t xml:space="preserve"> Saskaņā ar valsts nozīmes dabas pieminekļa – dendroloģisko stādījumu “</w:t>
      </w:r>
      <w:proofErr w:type="spellStart"/>
      <w:r w:rsidR="00B42693" w:rsidRPr="00A07F29">
        <w:rPr>
          <w:rFonts w:ascii="Times New Roman" w:eastAsia="Calibri" w:hAnsi="Times New Roman" w:cs="Calibri"/>
          <w:sz w:val="24"/>
        </w:rPr>
        <w:t>Rozališķu</w:t>
      </w:r>
      <w:proofErr w:type="spellEnd"/>
      <w:r w:rsidR="00B42693" w:rsidRPr="00A07F29">
        <w:rPr>
          <w:rFonts w:ascii="Times New Roman" w:eastAsia="Calibri" w:hAnsi="Times New Roman" w:cs="Calibri"/>
          <w:sz w:val="24"/>
        </w:rPr>
        <w:t xml:space="preserve"> parks” novērtējumu, kas sagatavots 2017.</w:t>
      </w:r>
      <w:r w:rsidR="009D280F">
        <w:rPr>
          <w:rFonts w:ascii="Times New Roman" w:eastAsia="Calibri" w:hAnsi="Times New Roman" w:cs="Calibri"/>
          <w:sz w:val="24"/>
        </w:rPr>
        <w:t> </w:t>
      </w:r>
      <w:r w:rsidR="00B42693" w:rsidRPr="00A07F29">
        <w:rPr>
          <w:rFonts w:ascii="Times New Roman" w:eastAsia="Calibri" w:hAnsi="Times New Roman" w:cs="Calibri"/>
          <w:sz w:val="24"/>
        </w:rPr>
        <w:t xml:space="preserve">gadā pēc DAP pasūtījuma, </w:t>
      </w:r>
      <w:r w:rsidR="00A65113" w:rsidRPr="00A07F29">
        <w:rPr>
          <w:rFonts w:ascii="Times New Roman" w:eastAsia="Calibri" w:hAnsi="Times New Roman" w:cs="Calibri"/>
          <w:sz w:val="24"/>
        </w:rPr>
        <w:t>tika</w:t>
      </w:r>
      <w:r w:rsidR="00B42693" w:rsidRPr="00A07F29">
        <w:rPr>
          <w:rFonts w:ascii="Times New Roman" w:eastAsia="Calibri" w:hAnsi="Times New Roman" w:cs="Calibri"/>
          <w:sz w:val="24"/>
        </w:rPr>
        <w:t xml:space="preserve"> ieteikts mainīt dendroloģiskā stādījuma statusu, izveidojot dabas pieminekli – aizsargājamu aleju</w:t>
      </w:r>
      <w:r w:rsidR="00A65113" w:rsidRPr="00A07F29">
        <w:rPr>
          <w:rFonts w:ascii="Times New Roman" w:eastAsia="Calibri" w:hAnsi="Times New Roman" w:cs="Calibri"/>
          <w:sz w:val="24"/>
        </w:rPr>
        <w:t>, kas 2023.</w:t>
      </w:r>
      <w:r w:rsidR="009D280F">
        <w:rPr>
          <w:rFonts w:ascii="Times New Roman" w:eastAsia="Calibri" w:hAnsi="Times New Roman" w:cs="Calibri"/>
          <w:sz w:val="24"/>
        </w:rPr>
        <w:t> </w:t>
      </w:r>
      <w:r w:rsidR="00A65113" w:rsidRPr="00A07F29">
        <w:rPr>
          <w:rFonts w:ascii="Times New Roman" w:eastAsia="Calibri" w:hAnsi="Times New Roman" w:cs="Calibri"/>
          <w:sz w:val="24"/>
        </w:rPr>
        <w:t>gadā arī izdarīts</w:t>
      </w:r>
      <w:r w:rsidR="00B42693" w:rsidRPr="00A07F29">
        <w:rPr>
          <w:rFonts w:ascii="Times New Roman" w:eastAsia="Calibri" w:hAnsi="Times New Roman" w:cs="Calibri"/>
          <w:sz w:val="24"/>
        </w:rPr>
        <w:t>.</w:t>
      </w:r>
    </w:p>
    <w:p w14:paraId="74B52476" w14:textId="626E54B6" w:rsidR="002254F5" w:rsidRPr="00A07F29" w:rsidRDefault="002254F5" w:rsidP="00D3282D">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Nozīmīgs ir arī </w:t>
      </w:r>
      <w:r w:rsidRPr="00A07F29">
        <w:rPr>
          <w:rFonts w:ascii="Times New Roman" w:eastAsia="Calibri" w:hAnsi="Times New Roman" w:cs="Calibri"/>
          <w:b/>
          <w:bCs/>
          <w:sz w:val="24"/>
        </w:rPr>
        <w:t>Vecsalienas (</w:t>
      </w:r>
      <w:proofErr w:type="spellStart"/>
      <w:r w:rsidRPr="00A07F29">
        <w:rPr>
          <w:rFonts w:ascii="Times New Roman" w:eastAsia="Calibri" w:hAnsi="Times New Roman" w:cs="Calibri"/>
          <w:b/>
          <w:bCs/>
          <w:sz w:val="24"/>
        </w:rPr>
        <w:t>Červonkas</w:t>
      </w:r>
      <w:proofErr w:type="spellEnd"/>
      <w:r w:rsidRPr="00A07F29">
        <w:rPr>
          <w:rFonts w:ascii="Times New Roman" w:eastAsia="Calibri" w:hAnsi="Times New Roman" w:cs="Calibri"/>
          <w:b/>
          <w:bCs/>
          <w:sz w:val="24"/>
        </w:rPr>
        <w:t>) muižas parks</w:t>
      </w:r>
      <w:r w:rsidRPr="00A07F29">
        <w:rPr>
          <w:rFonts w:ascii="Times New Roman" w:eastAsia="Calibri" w:hAnsi="Times New Roman" w:cs="Calibri"/>
          <w:sz w:val="24"/>
        </w:rPr>
        <w:t xml:space="preserve">, kas kopā ar Vecsalienas muižas pili iekļauts </w:t>
      </w:r>
      <w:r w:rsidR="00E44FCF" w:rsidRPr="00A07F29">
        <w:rPr>
          <w:rFonts w:ascii="Times New Roman" w:eastAsia="Calibri" w:hAnsi="Times New Roman" w:cs="Calibri"/>
          <w:sz w:val="24"/>
        </w:rPr>
        <w:t>valsts nozīmes kultūras pieminekļu sarakstā. 2020.</w:t>
      </w:r>
      <w:r w:rsidR="009D280F">
        <w:rPr>
          <w:rFonts w:ascii="Times New Roman" w:eastAsia="Calibri" w:hAnsi="Times New Roman" w:cs="Calibri"/>
          <w:sz w:val="24"/>
        </w:rPr>
        <w:t> </w:t>
      </w:r>
      <w:r w:rsidR="00E44FCF" w:rsidRPr="00A07F29">
        <w:rPr>
          <w:rFonts w:ascii="Times New Roman" w:eastAsia="Calibri" w:hAnsi="Times New Roman" w:cs="Calibri"/>
          <w:sz w:val="24"/>
        </w:rPr>
        <w:t xml:space="preserve">gadā Salienas pagasta pārvalde ir pasūtījusi parka pārbūves plānu, ko sagatavo Ināras Caunītes arhitektu birojs, piedaloties ainavu arhitektei Ilzei Mārai </w:t>
      </w:r>
      <w:proofErr w:type="spellStart"/>
      <w:r w:rsidR="00E44FCF" w:rsidRPr="00A07F29">
        <w:rPr>
          <w:rFonts w:ascii="Times New Roman" w:eastAsia="Calibri" w:hAnsi="Times New Roman" w:cs="Calibri"/>
          <w:sz w:val="24"/>
        </w:rPr>
        <w:t>Janelis</w:t>
      </w:r>
      <w:proofErr w:type="spellEnd"/>
      <w:r w:rsidR="00E44FCF" w:rsidRPr="00A07F29">
        <w:rPr>
          <w:rFonts w:ascii="Times New Roman" w:eastAsia="Calibri" w:hAnsi="Times New Roman" w:cs="Calibri"/>
          <w:sz w:val="24"/>
        </w:rPr>
        <w:t xml:space="preserve">. Plānots izmainīt celiņu tīklu, pietuvinot vēsturiskajam plānojumam, novākt </w:t>
      </w:r>
      <w:proofErr w:type="spellStart"/>
      <w:r w:rsidR="00E44FCF" w:rsidRPr="00A07F29">
        <w:rPr>
          <w:rFonts w:ascii="Times New Roman" w:eastAsia="Calibri" w:hAnsi="Times New Roman" w:cs="Calibri"/>
          <w:sz w:val="24"/>
        </w:rPr>
        <w:t>pašsējas</w:t>
      </w:r>
      <w:proofErr w:type="spellEnd"/>
      <w:r w:rsidR="00E44FCF" w:rsidRPr="00A07F29">
        <w:rPr>
          <w:rFonts w:ascii="Times New Roman" w:eastAsia="Calibri" w:hAnsi="Times New Roman" w:cs="Calibri"/>
          <w:sz w:val="24"/>
        </w:rPr>
        <w:t xml:space="preserve"> kokus, atsevišķus bojātus kokus un veidot krūmu stādījumus.</w:t>
      </w:r>
    </w:p>
    <w:p w14:paraId="293A5259" w14:textId="26893FC9" w:rsidR="00B42693" w:rsidRPr="00A07F29" w:rsidRDefault="00B42693" w:rsidP="00D3282D">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lastRenderedPageBreak/>
        <w:t xml:space="preserve">AAA “Augšdaugava” teritorijā </w:t>
      </w:r>
      <w:r w:rsidR="009E49CA" w:rsidRPr="00A07F29">
        <w:rPr>
          <w:rFonts w:ascii="Times New Roman" w:eastAsia="Calibri" w:hAnsi="Times New Roman" w:cs="Calibri"/>
          <w:sz w:val="24"/>
        </w:rPr>
        <w:t xml:space="preserve">ir vēlams piešķirt vismaz vietējas nozīmes dabas pieminekļa statusu interesantam objektam </w:t>
      </w:r>
      <w:r w:rsidR="0059520D">
        <w:rPr>
          <w:rFonts w:ascii="Times New Roman" w:eastAsia="Calibri" w:hAnsi="Times New Roman" w:cs="Calibri"/>
          <w:sz w:val="24"/>
        </w:rPr>
        <w:t>–</w:t>
      </w:r>
      <w:r w:rsidR="009E49CA" w:rsidRPr="00A07F29">
        <w:rPr>
          <w:rFonts w:ascii="Times New Roman" w:eastAsia="Calibri" w:hAnsi="Times New Roman" w:cs="Calibri"/>
          <w:sz w:val="24"/>
        </w:rPr>
        <w:t xml:space="preserve"> vecu lapegļu alejai pie Sproģu gravām.</w:t>
      </w:r>
    </w:p>
    <w:p w14:paraId="5BF7C84B" w14:textId="1E0D8CC1" w:rsidR="009072CE" w:rsidRPr="00A07F29" w:rsidRDefault="009072CE" w:rsidP="00D3282D">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AAA “Augšdaugava” zināmi vairāki aizsargājamie koki (dižkoki), kas aizsargājami kā dabas pieminekļi</w:t>
      </w:r>
      <w:r w:rsidR="00D41DAF" w:rsidRPr="00A07F29">
        <w:rPr>
          <w:rFonts w:ascii="Times New Roman" w:eastAsia="Calibri" w:hAnsi="Times New Roman" w:cs="Calibri"/>
          <w:sz w:val="24"/>
        </w:rPr>
        <w:t xml:space="preserve"> (</w:t>
      </w:r>
      <w:r w:rsidR="004C65D3">
        <w:rPr>
          <w:rFonts w:ascii="Times New Roman" w:eastAsia="Calibri" w:hAnsi="Times New Roman" w:cs="Calibri"/>
          <w:sz w:val="24"/>
        </w:rPr>
        <w:t xml:space="preserve">skat. </w:t>
      </w:r>
      <w:r w:rsidR="000550E6" w:rsidRPr="00A07F29">
        <w:rPr>
          <w:rFonts w:ascii="Times New Roman" w:eastAsia="Calibri" w:hAnsi="Times New Roman" w:cs="Calibri"/>
          <w:sz w:val="24"/>
        </w:rPr>
        <w:t>4.13.</w:t>
      </w:r>
      <w:r w:rsidR="004C65D3">
        <w:rPr>
          <w:rFonts w:ascii="Times New Roman" w:eastAsia="Calibri" w:hAnsi="Times New Roman" w:cs="Calibri"/>
          <w:sz w:val="24"/>
        </w:rPr>
        <w:t> </w:t>
      </w:r>
      <w:r w:rsidR="000550E6" w:rsidRPr="00A07F29">
        <w:rPr>
          <w:rFonts w:ascii="Times New Roman" w:eastAsia="Calibri" w:hAnsi="Times New Roman" w:cs="Calibri"/>
          <w:sz w:val="24"/>
        </w:rPr>
        <w:t>pielikums</w:t>
      </w:r>
      <w:r w:rsidR="00D41DAF" w:rsidRPr="00A07F29">
        <w:rPr>
          <w:rFonts w:ascii="Times New Roman" w:eastAsia="Calibri" w:hAnsi="Times New Roman" w:cs="Calibri"/>
          <w:sz w:val="24"/>
        </w:rPr>
        <w:t>).</w:t>
      </w:r>
      <w:r w:rsidR="00522079" w:rsidRPr="00A07F29">
        <w:rPr>
          <w:rFonts w:ascii="Times New Roman" w:eastAsia="Calibri" w:hAnsi="Times New Roman" w:cs="Calibri"/>
          <w:sz w:val="24"/>
        </w:rPr>
        <w:t xml:space="preserve"> </w:t>
      </w:r>
      <w:r w:rsidRPr="00A07F29">
        <w:rPr>
          <w:rFonts w:ascii="Times New Roman" w:eastAsia="Calibri" w:hAnsi="Times New Roman" w:cs="Calibri"/>
          <w:sz w:val="24"/>
        </w:rPr>
        <w:t xml:space="preserve">Aizsargājamo ozolu saglabāšanai </w:t>
      </w:r>
      <w:r w:rsidR="00522079" w:rsidRPr="00A07F29">
        <w:rPr>
          <w:rFonts w:ascii="Times New Roman" w:eastAsia="Calibri" w:hAnsi="Times New Roman" w:cs="Calibri"/>
          <w:sz w:val="24"/>
        </w:rPr>
        <w:t xml:space="preserve">nepieciešama </w:t>
      </w:r>
      <w:r w:rsidRPr="00A07F29">
        <w:rPr>
          <w:rFonts w:ascii="Times New Roman" w:eastAsia="Calibri" w:hAnsi="Times New Roman" w:cs="Calibri"/>
          <w:sz w:val="24"/>
        </w:rPr>
        <w:t xml:space="preserve">apsaimniekošana, uzturot teritoriju vismaz </w:t>
      </w:r>
      <w:r w:rsidR="000550E6" w:rsidRPr="00A07F29">
        <w:rPr>
          <w:rFonts w:ascii="Times New Roman" w:eastAsia="Calibri" w:hAnsi="Times New Roman" w:cs="Calibri"/>
          <w:sz w:val="24"/>
        </w:rPr>
        <w:t xml:space="preserve">zem </w:t>
      </w:r>
      <w:r w:rsidRPr="00A07F29">
        <w:rPr>
          <w:rFonts w:ascii="Times New Roman" w:eastAsia="Calibri" w:hAnsi="Times New Roman" w:cs="Calibri"/>
          <w:sz w:val="24"/>
        </w:rPr>
        <w:t>koku vainag</w:t>
      </w:r>
      <w:r w:rsidR="000550E6" w:rsidRPr="00A07F29">
        <w:rPr>
          <w:rFonts w:ascii="Times New Roman" w:eastAsia="Calibri" w:hAnsi="Times New Roman" w:cs="Calibri"/>
          <w:sz w:val="24"/>
        </w:rPr>
        <w:t xml:space="preserve">iem </w:t>
      </w:r>
      <w:r w:rsidRPr="00A07F29">
        <w:rPr>
          <w:rFonts w:ascii="Times New Roman" w:eastAsia="Calibri" w:hAnsi="Times New Roman" w:cs="Calibri"/>
          <w:sz w:val="24"/>
        </w:rPr>
        <w:t>brīvu no jaunajiem kokiem un koku atvasēm.</w:t>
      </w:r>
    </w:p>
    <w:p w14:paraId="63DEFCC0" w14:textId="77777777" w:rsidR="0024348A" w:rsidRPr="00A07F29" w:rsidRDefault="0024348A" w:rsidP="00D3282D">
      <w:pPr>
        <w:spacing w:after="120" w:line="240" w:lineRule="auto"/>
        <w:jc w:val="both"/>
        <w:rPr>
          <w:rFonts w:ascii="Times New Roman" w:eastAsia="Calibri" w:hAnsi="Times New Roman" w:cs="Calibri"/>
          <w:sz w:val="24"/>
        </w:rPr>
      </w:pPr>
    </w:p>
    <w:p w14:paraId="4BCBCAD9" w14:textId="3F357152" w:rsidR="009072CE" w:rsidRPr="00A07F29" w:rsidRDefault="009072CE" w:rsidP="00583A96">
      <w:pPr>
        <w:pStyle w:val="Heading2"/>
        <w:spacing w:before="120" w:after="120"/>
        <w:ind w:firstLine="0"/>
        <w:jc w:val="center"/>
        <w:rPr>
          <w:rFonts w:ascii="Times New Roman" w:hAnsi="Times New Roman"/>
          <w:b w:val="0"/>
          <w:iCs w:val="0"/>
        </w:rPr>
      </w:pPr>
      <w:bookmarkStart w:id="97" w:name="_Toc183434028"/>
      <w:r w:rsidRPr="00A07F29">
        <w:rPr>
          <w:rFonts w:ascii="Times New Roman" w:hAnsi="Times New Roman"/>
          <w:i w:val="0"/>
        </w:rPr>
        <w:t>4.1</w:t>
      </w:r>
      <w:r w:rsidR="00160B6B" w:rsidRPr="00A07F29">
        <w:rPr>
          <w:rFonts w:ascii="Times New Roman" w:hAnsi="Times New Roman"/>
          <w:i w:val="0"/>
        </w:rPr>
        <w:t>3</w:t>
      </w:r>
      <w:r w:rsidRPr="00A07F29">
        <w:rPr>
          <w:rFonts w:ascii="Times New Roman" w:hAnsi="Times New Roman"/>
          <w:i w:val="0"/>
        </w:rPr>
        <w:t>. Aizsargājamās teritorijas vērtību apkopojums un pretnostatījums</w:t>
      </w:r>
      <w:bookmarkEnd w:id="97"/>
    </w:p>
    <w:p w14:paraId="6431CC5C" w14:textId="77777777" w:rsidR="009072CE" w:rsidRPr="00A07F29" w:rsidRDefault="009072CE" w:rsidP="00F62FC7">
      <w:pPr>
        <w:spacing w:after="0" w:line="240" w:lineRule="auto"/>
        <w:ind w:firstLine="851"/>
        <w:jc w:val="both"/>
        <w:rPr>
          <w:rFonts w:ascii="Times New Roman" w:eastAsia="Times New Roman" w:hAnsi="Times New Roman" w:cs="Times New Roman"/>
          <w:i/>
          <w:sz w:val="24"/>
          <w:szCs w:val="24"/>
        </w:rPr>
      </w:pPr>
    </w:p>
    <w:p w14:paraId="6579C3FB" w14:textId="77777777" w:rsidR="009072CE" w:rsidRPr="00A07F29" w:rsidRDefault="009072CE" w:rsidP="00F62FC7">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AAA “Augšdaugava” teritorijā ir </w:t>
      </w:r>
      <w:r w:rsidRPr="001E6A93">
        <w:rPr>
          <w:rFonts w:ascii="Times New Roman" w:eastAsia="Calibri" w:hAnsi="Times New Roman" w:cs="Calibri"/>
          <w:sz w:val="24"/>
        </w:rPr>
        <w:t>sastopami īpaši aizsargājamie</w:t>
      </w:r>
      <w:r w:rsidRPr="00A07F29">
        <w:rPr>
          <w:rFonts w:ascii="Times New Roman" w:eastAsia="Calibri" w:hAnsi="Times New Roman" w:cs="Calibri"/>
          <w:sz w:val="24"/>
        </w:rPr>
        <w:t xml:space="preserve"> ezeru un upju biotopi, kuri ir retu un aizsargājamu augu un dzīvnieku sugu dzīvotnes, vienlaikus tiem ir nozīmīga sociālekonomiskā vērtība kā tūrisma un rekreācijas, zivsaimniecības objektiem. Arī aizsargājamie mežu biotopi ir nozīmīgi gan dabas aizsardzībā, gan arī kā tūrisma un rekreācijas resurss, vienlaicīgi arī – potenciāls koksnes resurss. Retajām un aizsargājamām sugām ir augsta zinātniskā vērtība, tās ir nozīmīgas arī kā potenciāls dabas tūrisma un izglītības resurss. </w:t>
      </w:r>
    </w:p>
    <w:p w14:paraId="09F13E98" w14:textId="178F11DB" w:rsidR="009072CE" w:rsidRPr="00A07F29" w:rsidRDefault="009072CE" w:rsidP="00522079">
      <w:pPr>
        <w:spacing w:before="240" w:after="120" w:line="240" w:lineRule="auto"/>
        <w:jc w:val="center"/>
        <w:rPr>
          <w:rFonts w:ascii="Times New Roman" w:eastAsia="Times New Roman" w:hAnsi="Times New Roman" w:cs="Times New Roman"/>
          <w:sz w:val="24"/>
          <w:szCs w:val="24"/>
        </w:rPr>
      </w:pPr>
      <w:r w:rsidRPr="00A07F29">
        <w:rPr>
          <w:rFonts w:ascii="Times New Roman" w:eastAsia="Times New Roman" w:hAnsi="Times New Roman" w:cs="Times New Roman"/>
          <w:sz w:val="24"/>
          <w:szCs w:val="24"/>
        </w:rPr>
        <w:t>4</w:t>
      </w:r>
      <w:r w:rsidR="0003144C">
        <w:rPr>
          <w:rFonts w:ascii="Times New Roman" w:eastAsia="Times New Roman" w:hAnsi="Times New Roman" w:cs="Times New Roman"/>
          <w:sz w:val="24"/>
          <w:szCs w:val="24"/>
        </w:rPr>
        <w:t>.13</w:t>
      </w:r>
      <w:r w:rsidRPr="00A07F29">
        <w:rPr>
          <w:rFonts w:ascii="Times New Roman" w:eastAsia="Times New Roman" w:hAnsi="Times New Roman" w:cs="Times New Roman"/>
          <w:sz w:val="24"/>
          <w:szCs w:val="24"/>
        </w:rPr>
        <w:t>.1.</w:t>
      </w:r>
      <w:r w:rsidR="00BA7972">
        <w:rPr>
          <w:rFonts w:ascii="Times New Roman" w:eastAsia="Times New Roman" w:hAnsi="Times New Roman" w:cs="Times New Roman"/>
          <w:sz w:val="24"/>
          <w:szCs w:val="24"/>
        </w:rPr>
        <w:t> </w:t>
      </w:r>
      <w:r w:rsidRPr="00A07F29">
        <w:rPr>
          <w:rFonts w:ascii="Times New Roman" w:eastAsia="Times New Roman" w:hAnsi="Times New Roman" w:cs="Times New Roman"/>
          <w:sz w:val="24"/>
          <w:szCs w:val="24"/>
        </w:rPr>
        <w:t>tabula. AAA “Augšdaugava” vērtību kopsavilkums un pretnostatījums</w:t>
      </w:r>
    </w:p>
    <w:tbl>
      <w:tblPr>
        <w:tblStyle w:val="TableGrid"/>
        <w:tblW w:w="0" w:type="auto"/>
        <w:jc w:val="center"/>
        <w:tblLook w:val="04A0" w:firstRow="1" w:lastRow="0" w:firstColumn="1" w:lastColumn="0" w:noHBand="0" w:noVBand="1"/>
      </w:tblPr>
      <w:tblGrid>
        <w:gridCol w:w="3028"/>
        <w:gridCol w:w="2973"/>
        <w:gridCol w:w="3015"/>
      </w:tblGrid>
      <w:tr w:rsidR="009072CE" w:rsidRPr="00A07F29" w14:paraId="144E190F" w14:textId="77777777" w:rsidTr="00F62FC7">
        <w:trPr>
          <w:jc w:val="center"/>
        </w:trPr>
        <w:tc>
          <w:tcPr>
            <w:tcW w:w="3028" w:type="dxa"/>
            <w:shd w:val="clear" w:color="auto" w:fill="D6E3BC" w:themeFill="accent3" w:themeFillTint="66"/>
          </w:tcPr>
          <w:p w14:paraId="682269A4" w14:textId="77777777" w:rsidR="009072CE" w:rsidRPr="00A07F29" w:rsidRDefault="009072CE" w:rsidP="009072CE">
            <w:pPr>
              <w:jc w:val="both"/>
              <w:rPr>
                <w:rFonts w:ascii="Times New Roman" w:eastAsia="Times New Roman" w:hAnsi="Times New Roman" w:cs="Times New Roman"/>
                <w:sz w:val="24"/>
                <w:szCs w:val="24"/>
              </w:rPr>
            </w:pPr>
            <w:r w:rsidRPr="00A07F29">
              <w:rPr>
                <w:rFonts w:ascii="Times New Roman" w:eastAsia="Times New Roman" w:hAnsi="Times New Roman" w:cs="Times New Roman"/>
                <w:sz w:val="24"/>
                <w:szCs w:val="24"/>
              </w:rPr>
              <w:t>Teritorijas vērtība</w:t>
            </w:r>
          </w:p>
        </w:tc>
        <w:tc>
          <w:tcPr>
            <w:tcW w:w="2973" w:type="dxa"/>
            <w:shd w:val="clear" w:color="auto" w:fill="D6E3BC" w:themeFill="accent3" w:themeFillTint="66"/>
          </w:tcPr>
          <w:p w14:paraId="0B3BB124" w14:textId="77777777" w:rsidR="009072CE" w:rsidRPr="00A07F29" w:rsidRDefault="009072CE" w:rsidP="009072CE">
            <w:pPr>
              <w:jc w:val="both"/>
              <w:rPr>
                <w:rFonts w:ascii="Times New Roman" w:eastAsia="Times New Roman" w:hAnsi="Times New Roman" w:cs="Times New Roman"/>
                <w:sz w:val="24"/>
                <w:szCs w:val="24"/>
              </w:rPr>
            </w:pPr>
            <w:r w:rsidRPr="00A07F29">
              <w:rPr>
                <w:rFonts w:ascii="Times New Roman" w:eastAsia="Times New Roman" w:hAnsi="Times New Roman" w:cs="Times New Roman"/>
                <w:sz w:val="24"/>
                <w:szCs w:val="24"/>
              </w:rPr>
              <w:t>Dabas aizsardzības nozīme</w:t>
            </w:r>
          </w:p>
        </w:tc>
        <w:tc>
          <w:tcPr>
            <w:tcW w:w="3015" w:type="dxa"/>
            <w:shd w:val="clear" w:color="auto" w:fill="D6E3BC" w:themeFill="accent3" w:themeFillTint="66"/>
          </w:tcPr>
          <w:p w14:paraId="0C076F86" w14:textId="77777777" w:rsidR="009072CE" w:rsidRPr="00A07F29" w:rsidRDefault="009072CE" w:rsidP="009072CE">
            <w:pPr>
              <w:jc w:val="both"/>
              <w:rPr>
                <w:rFonts w:ascii="Times New Roman" w:eastAsia="Times New Roman" w:hAnsi="Times New Roman" w:cs="Times New Roman"/>
                <w:sz w:val="24"/>
                <w:szCs w:val="24"/>
              </w:rPr>
            </w:pPr>
            <w:r w:rsidRPr="00A07F29">
              <w:rPr>
                <w:rFonts w:ascii="Times New Roman" w:eastAsia="Times New Roman" w:hAnsi="Times New Roman" w:cs="Times New Roman"/>
                <w:sz w:val="24"/>
                <w:szCs w:val="24"/>
              </w:rPr>
              <w:t>Sociālekonomiskā nozīme</w:t>
            </w:r>
          </w:p>
        </w:tc>
      </w:tr>
      <w:tr w:rsidR="000562FA" w:rsidRPr="00A07F29" w14:paraId="6B6C78C0" w14:textId="77777777" w:rsidTr="00F62FC7">
        <w:trPr>
          <w:jc w:val="center"/>
        </w:trPr>
        <w:tc>
          <w:tcPr>
            <w:tcW w:w="3028" w:type="dxa"/>
          </w:tcPr>
          <w:p w14:paraId="18BCF023" w14:textId="77777777" w:rsidR="000562FA" w:rsidRPr="00A07F29" w:rsidRDefault="000562FA" w:rsidP="00074106">
            <w:pPr>
              <w:jc w:val="both"/>
              <w:rPr>
                <w:rFonts w:ascii="Times New Roman" w:eastAsia="Times New Roman" w:hAnsi="Times New Roman" w:cs="Times New Roman"/>
                <w:sz w:val="24"/>
                <w:szCs w:val="24"/>
              </w:rPr>
            </w:pPr>
            <w:r w:rsidRPr="00A07F29">
              <w:rPr>
                <w:rFonts w:ascii="Times New Roman" w:eastAsia="Times New Roman" w:hAnsi="Times New Roman" w:cs="Times New Roman"/>
                <w:sz w:val="24"/>
                <w:szCs w:val="24"/>
              </w:rPr>
              <w:t>Meži</w:t>
            </w:r>
          </w:p>
        </w:tc>
        <w:tc>
          <w:tcPr>
            <w:tcW w:w="2973" w:type="dxa"/>
          </w:tcPr>
          <w:p w14:paraId="693D2729" w14:textId="615F6C3C" w:rsidR="000562FA" w:rsidRPr="001E6A93" w:rsidRDefault="000562FA" w:rsidP="00074106">
            <w:pPr>
              <w:jc w:val="both"/>
              <w:rPr>
                <w:rFonts w:ascii="Times New Roman" w:eastAsia="Times New Roman" w:hAnsi="Times New Roman" w:cs="Times New Roman"/>
                <w:sz w:val="24"/>
                <w:szCs w:val="24"/>
              </w:rPr>
            </w:pPr>
            <w:r w:rsidRPr="001E6A93">
              <w:rPr>
                <w:rFonts w:ascii="Times New Roman" w:eastAsia="Times New Roman" w:hAnsi="Times New Roman" w:cs="Times New Roman"/>
                <w:sz w:val="24"/>
                <w:szCs w:val="24"/>
              </w:rPr>
              <w:t>Aizsargājami</w:t>
            </w:r>
            <w:r w:rsidR="00D63F24" w:rsidRPr="001E6A93">
              <w:rPr>
                <w:rFonts w:ascii="Times New Roman" w:eastAsia="Times New Roman" w:hAnsi="Times New Roman" w:cs="Times New Roman"/>
                <w:sz w:val="24"/>
                <w:szCs w:val="24"/>
              </w:rPr>
              <w:t>e</w:t>
            </w:r>
            <w:r w:rsidRPr="001E6A93">
              <w:rPr>
                <w:rFonts w:ascii="Times New Roman" w:eastAsia="Times New Roman" w:hAnsi="Times New Roman" w:cs="Times New Roman"/>
                <w:sz w:val="24"/>
                <w:szCs w:val="24"/>
              </w:rPr>
              <w:t xml:space="preserve"> biotopi, </w:t>
            </w:r>
            <w:r w:rsidR="00D63F24" w:rsidRPr="001E6A93">
              <w:rPr>
                <w:rFonts w:ascii="Times New Roman" w:eastAsia="Times New Roman" w:hAnsi="Times New Roman" w:cs="Times New Roman"/>
                <w:sz w:val="24"/>
                <w:szCs w:val="24"/>
              </w:rPr>
              <w:t>tipisko un reto un īpaši aizsargājamo sugu dzīvotnes.</w:t>
            </w:r>
          </w:p>
          <w:p w14:paraId="2355208B" w14:textId="15EF2B38" w:rsidR="000562FA" w:rsidRPr="001E6A93" w:rsidRDefault="000562FA" w:rsidP="00074106">
            <w:pPr>
              <w:jc w:val="both"/>
              <w:rPr>
                <w:rFonts w:ascii="Times New Roman" w:eastAsia="Times New Roman" w:hAnsi="Times New Roman" w:cs="Times New Roman"/>
                <w:sz w:val="24"/>
                <w:szCs w:val="24"/>
              </w:rPr>
            </w:pPr>
            <w:r w:rsidRPr="001E6A93">
              <w:rPr>
                <w:rFonts w:ascii="Times New Roman" w:eastAsia="Times New Roman" w:hAnsi="Times New Roman" w:cs="Times New Roman"/>
                <w:sz w:val="24"/>
                <w:szCs w:val="24"/>
              </w:rPr>
              <w:t>Oglekļa piesaiste un uzkrāšana</w:t>
            </w:r>
            <w:r w:rsidR="00D63F24" w:rsidRPr="001E6A93">
              <w:rPr>
                <w:rFonts w:ascii="Times New Roman" w:eastAsia="Times New Roman" w:hAnsi="Times New Roman" w:cs="Times New Roman"/>
                <w:sz w:val="24"/>
                <w:szCs w:val="24"/>
              </w:rPr>
              <w:t>.</w:t>
            </w:r>
          </w:p>
        </w:tc>
        <w:tc>
          <w:tcPr>
            <w:tcW w:w="3015" w:type="dxa"/>
          </w:tcPr>
          <w:p w14:paraId="74BF594D" w14:textId="45888C81" w:rsidR="000562FA" w:rsidRPr="00A07F29" w:rsidRDefault="000562FA" w:rsidP="00074106">
            <w:pPr>
              <w:jc w:val="both"/>
              <w:rPr>
                <w:rFonts w:ascii="Times New Roman" w:eastAsia="Times New Roman" w:hAnsi="Times New Roman" w:cs="Times New Roman"/>
                <w:sz w:val="24"/>
                <w:szCs w:val="24"/>
              </w:rPr>
            </w:pPr>
            <w:r w:rsidRPr="00A07F29">
              <w:rPr>
                <w:rFonts w:ascii="Times New Roman" w:eastAsia="Times New Roman" w:hAnsi="Times New Roman" w:cs="Times New Roman"/>
                <w:sz w:val="24"/>
                <w:szCs w:val="24"/>
              </w:rPr>
              <w:t>Koksnes un rekreācijas resursi.</w:t>
            </w:r>
          </w:p>
          <w:p w14:paraId="13CE4652" w14:textId="6D021338" w:rsidR="000562FA" w:rsidRPr="00A07F29" w:rsidRDefault="000562FA" w:rsidP="000562FA">
            <w:pPr>
              <w:jc w:val="both"/>
              <w:rPr>
                <w:rFonts w:ascii="Times New Roman" w:eastAsia="Times New Roman" w:hAnsi="Times New Roman" w:cs="Times New Roman"/>
                <w:sz w:val="24"/>
                <w:szCs w:val="24"/>
              </w:rPr>
            </w:pPr>
            <w:r w:rsidRPr="00A07F29">
              <w:rPr>
                <w:rFonts w:ascii="Times New Roman" w:eastAsia="Times New Roman" w:hAnsi="Times New Roman" w:cs="Times New Roman"/>
                <w:sz w:val="24"/>
                <w:szCs w:val="24"/>
              </w:rPr>
              <w:t>Iespējas ogot, sēņot, nodarboties ar medībām.</w:t>
            </w:r>
          </w:p>
        </w:tc>
      </w:tr>
      <w:tr w:rsidR="000562FA" w:rsidRPr="00A07F29" w14:paraId="63247F6A" w14:textId="77777777" w:rsidTr="00F62FC7">
        <w:trPr>
          <w:jc w:val="center"/>
        </w:trPr>
        <w:tc>
          <w:tcPr>
            <w:tcW w:w="3028" w:type="dxa"/>
          </w:tcPr>
          <w:p w14:paraId="3B614A19" w14:textId="77777777" w:rsidR="000562FA" w:rsidRPr="00A07F29" w:rsidRDefault="000562FA" w:rsidP="00074106">
            <w:pPr>
              <w:jc w:val="both"/>
              <w:rPr>
                <w:rFonts w:ascii="Times New Roman" w:eastAsia="Times New Roman" w:hAnsi="Times New Roman" w:cs="Times New Roman"/>
                <w:sz w:val="24"/>
                <w:szCs w:val="24"/>
              </w:rPr>
            </w:pPr>
            <w:r w:rsidRPr="00A07F29">
              <w:rPr>
                <w:rFonts w:ascii="Times New Roman" w:eastAsia="Times New Roman" w:hAnsi="Times New Roman" w:cs="Times New Roman"/>
                <w:sz w:val="24"/>
                <w:szCs w:val="24"/>
              </w:rPr>
              <w:t>Zālāji</w:t>
            </w:r>
          </w:p>
        </w:tc>
        <w:tc>
          <w:tcPr>
            <w:tcW w:w="2973" w:type="dxa"/>
          </w:tcPr>
          <w:p w14:paraId="22F5E06B" w14:textId="20440CBD" w:rsidR="00D63F24" w:rsidRPr="001E6A93" w:rsidRDefault="00D63F24" w:rsidP="00D63F24">
            <w:pPr>
              <w:jc w:val="both"/>
              <w:rPr>
                <w:rFonts w:ascii="Times New Roman" w:eastAsia="Times New Roman" w:hAnsi="Times New Roman" w:cs="Times New Roman"/>
                <w:sz w:val="24"/>
                <w:szCs w:val="24"/>
              </w:rPr>
            </w:pPr>
            <w:r w:rsidRPr="001E6A93">
              <w:rPr>
                <w:rFonts w:ascii="Times New Roman" w:eastAsia="Times New Roman" w:hAnsi="Times New Roman" w:cs="Times New Roman"/>
                <w:sz w:val="24"/>
                <w:szCs w:val="24"/>
              </w:rPr>
              <w:t>Aizsargājamie biotopi, tipisko un reto un īpaši aizsargājamo sugu dzīvotnes.</w:t>
            </w:r>
          </w:p>
          <w:p w14:paraId="1E646DBC" w14:textId="2BA31A82" w:rsidR="000562FA" w:rsidRPr="001E6A93" w:rsidRDefault="000562FA" w:rsidP="00D63F24">
            <w:pPr>
              <w:jc w:val="both"/>
              <w:rPr>
                <w:rFonts w:ascii="Times New Roman" w:eastAsia="Times New Roman" w:hAnsi="Times New Roman" w:cs="Times New Roman"/>
                <w:sz w:val="24"/>
                <w:szCs w:val="24"/>
              </w:rPr>
            </w:pPr>
          </w:p>
        </w:tc>
        <w:tc>
          <w:tcPr>
            <w:tcW w:w="3015" w:type="dxa"/>
          </w:tcPr>
          <w:p w14:paraId="70143596" w14:textId="77777777" w:rsidR="000562FA" w:rsidRPr="00A07F29" w:rsidRDefault="000562FA" w:rsidP="00074106">
            <w:pPr>
              <w:jc w:val="both"/>
              <w:rPr>
                <w:rFonts w:ascii="Times New Roman" w:eastAsia="Times New Roman" w:hAnsi="Times New Roman" w:cs="Times New Roman"/>
                <w:sz w:val="24"/>
                <w:szCs w:val="24"/>
              </w:rPr>
            </w:pPr>
            <w:r w:rsidRPr="00A07F29">
              <w:rPr>
                <w:rFonts w:ascii="Times New Roman" w:eastAsia="Times New Roman" w:hAnsi="Times New Roman" w:cs="Times New Roman"/>
                <w:sz w:val="24"/>
                <w:szCs w:val="24"/>
              </w:rPr>
              <w:t>Ekstensīva lauksaimniecība, potenciāls tūrismam</w:t>
            </w:r>
            <w:r w:rsidR="00D63F24" w:rsidRPr="00A07F29">
              <w:rPr>
                <w:rFonts w:ascii="Times New Roman" w:eastAsia="Times New Roman" w:hAnsi="Times New Roman" w:cs="Times New Roman"/>
                <w:sz w:val="24"/>
                <w:szCs w:val="24"/>
              </w:rPr>
              <w:t>. Reģionam raksturīga kultūrainava.</w:t>
            </w:r>
          </w:p>
          <w:p w14:paraId="0DD2982C" w14:textId="0906532C" w:rsidR="004909D5" w:rsidRPr="00A07F29" w:rsidRDefault="004909D5" w:rsidP="00074106">
            <w:pPr>
              <w:jc w:val="both"/>
              <w:rPr>
                <w:rFonts w:ascii="Times New Roman" w:eastAsia="Times New Roman" w:hAnsi="Times New Roman" w:cs="Times New Roman"/>
                <w:sz w:val="24"/>
                <w:szCs w:val="24"/>
              </w:rPr>
            </w:pPr>
            <w:r w:rsidRPr="00A07F29">
              <w:rPr>
                <w:rFonts w:ascii="Times New Roman" w:eastAsia="Times New Roman" w:hAnsi="Times New Roman" w:cs="Times New Roman"/>
                <w:sz w:val="24"/>
                <w:szCs w:val="24"/>
              </w:rPr>
              <w:t>Ārstniecības augu vākšana.</w:t>
            </w:r>
          </w:p>
        </w:tc>
      </w:tr>
      <w:tr w:rsidR="009072CE" w:rsidRPr="00A07F29" w14:paraId="206E0406" w14:textId="77777777" w:rsidTr="00F62FC7">
        <w:trPr>
          <w:jc w:val="center"/>
        </w:trPr>
        <w:tc>
          <w:tcPr>
            <w:tcW w:w="3028" w:type="dxa"/>
          </w:tcPr>
          <w:p w14:paraId="132422D4" w14:textId="77777777" w:rsidR="009072CE" w:rsidRPr="00A07F29" w:rsidRDefault="009072CE" w:rsidP="009072CE">
            <w:pPr>
              <w:jc w:val="both"/>
              <w:rPr>
                <w:rFonts w:ascii="Times New Roman" w:eastAsia="Times New Roman" w:hAnsi="Times New Roman" w:cs="Times New Roman"/>
                <w:sz w:val="24"/>
                <w:szCs w:val="24"/>
              </w:rPr>
            </w:pPr>
            <w:r w:rsidRPr="00A07F29">
              <w:rPr>
                <w:rFonts w:ascii="Times New Roman" w:eastAsia="Times New Roman" w:hAnsi="Times New Roman" w:cs="Times New Roman"/>
                <w:sz w:val="24"/>
                <w:szCs w:val="24"/>
              </w:rPr>
              <w:t>Ezeri</w:t>
            </w:r>
          </w:p>
        </w:tc>
        <w:tc>
          <w:tcPr>
            <w:tcW w:w="2973" w:type="dxa"/>
          </w:tcPr>
          <w:p w14:paraId="6C58D257" w14:textId="2B3CB53C" w:rsidR="000562FA" w:rsidRPr="001E6A93" w:rsidRDefault="009E5EA0" w:rsidP="00D63F24">
            <w:pPr>
              <w:jc w:val="both"/>
              <w:rPr>
                <w:rFonts w:ascii="Times New Roman" w:eastAsia="Times New Roman" w:hAnsi="Times New Roman" w:cs="Times New Roman"/>
                <w:sz w:val="24"/>
                <w:szCs w:val="24"/>
              </w:rPr>
            </w:pPr>
            <w:r w:rsidRPr="001E6A93">
              <w:rPr>
                <w:rFonts w:ascii="Times New Roman" w:eastAsia="Times New Roman" w:hAnsi="Times New Roman" w:cs="Times New Roman"/>
                <w:sz w:val="24"/>
                <w:szCs w:val="24"/>
              </w:rPr>
              <w:t>Aizsargājamie biotopi, tipisko un reto un īpaši aizsargājamo sugu dzīvotnes.</w:t>
            </w:r>
          </w:p>
        </w:tc>
        <w:tc>
          <w:tcPr>
            <w:tcW w:w="3015" w:type="dxa"/>
          </w:tcPr>
          <w:p w14:paraId="696BA205" w14:textId="7CBCF43E" w:rsidR="00D63F24" w:rsidRPr="00A07F29" w:rsidRDefault="009E5EA0" w:rsidP="009072CE">
            <w:pPr>
              <w:jc w:val="both"/>
              <w:rPr>
                <w:rFonts w:ascii="Times New Roman" w:eastAsia="Times New Roman" w:hAnsi="Times New Roman" w:cs="Times New Roman"/>
                <w:sz w:val="24"/>
                <w:szCs w:val="24"/>
              </w:rPr>
            </w:pPr>
            <w:r w:rsidRPr="00A07F29">
              <w:rPr>
                <w:rFonts w:ascii="Times New Roman" w:eastAsia="Times New Roman" w:hAnsi="Times New Roman" w:cs="Times New Roman"/>
                <w:sz w:val="24"/>
                <w:szCs w:val="24"/>
              </w:rPr>
              <w:t>Makšķerēšana un zveja, rekreācija</w:t>
            </w:r>
            <w:r w:rsidR="00D63F24" w:rsidRPr="00A07F29">
              <w:rPr>
                <w:rFonts w:ascii="Times New Roman" w:eastAsia="Times New Roman" w:hAnsi="Times New Roman" w:cs="Times New Roman"/>
                <w:sz w:val="24"/>
                <w:szCs w:val="24"/>
              </w:rPr>
              <w:t>.</w:t>
            </w:r>
          </w:p>
          <w:p w14:paraId="268A3DB5" w14:textId="08D8E812" w:rsidR="009072CE" w:rsidRPr="00A07F29" w:rsidRDefault="00D63F24" w:rsidP="009072CE">
            <w:pPr>
              <w:jc w:val="both"/>
              <w:rPr>
                <w:rFonts w:ascii="Times New Roman" w:eastAsia="Times New Roman" w:hAnsi="Times New Roman" w:cs="Times New Roman"/>
                <w:sz w:val="24"/>
                <w:szCs w:val="24"/>
              </w:rPr>
            </w:pPr>
            <w:r w:rsidRPr="00A07F29">
              <w:rPr>
                <w:rFonts w:ascii="Times New Roman" w:eastAsia="Times New Roman" w:hAnsi="Times New Roman" w:cs="Times New Roman"/>
                <w:sz w:val="24"/>
                <w:szCs w:val="24"/>
              </w:rPr>
              <w:t>Vizuāli augstvērtīga ainava.</w:t>
            </w:r>
          </w:p>
        </w:tc>
      </w:tr>
      <w:tr w:rsidR="009072CE" w:rsidRPr="00A07F29" w14:paraId="705C4FE1" w14:textId="77777777" w:rsidTr="00F62FC7">
        <w:trPr>
          <w:trHeight w:val="1996"/>
          <w:jc w:val="center"/>
        </w:trPr>
        <w:tc>
          <w:tcPr>
            <w:tcW w:w="3028" w:type="dxa"/>
          </w:tcPr>
          <w:p w14:paraId="379D27A8" w14:textId="77777777" w:rsidR="009072CE" w:rsidRPr="00A07F29" w:rsidRDefault="009072CE" w:rsidP="009072CE">
            <w:pPr>
              <w:jc w:val="both"/>
              <w:rPr>
                <w:rFonts w:ascii="Times New Roman" w:eastAsia="Times New Roman" w:hAnsi="Times New Roman" w:cs="Times New Roman"/>
                <w:sz w:val="24"/>
                <w:szCs w:val="24"/>
              </w:rPr>
            </w:pPr>
            <w:r w:rsidRPr="00A07F29">
              <w:rPr>
                <w:rFonts w:ascii="Times New Roman" w:eastAsia="Times New Roman" w:hAnsi="Times New Roman" w:cs="Times New Roman"/>
                <w:sz w:val="24"/>
                <w:szCs w:val="24"/>
              </w:rPr>
              <w:t>Upes</w:t>
            </w:r>
          </w:p>
        </w:tc>
        <w:tc>
          <w:tcPr>
            <w:tcW w:w="2973" w:type="dxa"/>
          </w:tcPr>
          <w:p w14:paraId="5B4B6860" w14:textId="460F20CA" w:rsidR="00D63F24" w:rsidRPr="001E6A93" w:rsidRDefault="009E5EA0" w:rsidP="009E5EA0">
            <w:pPr>
              <w:jc w:val="both"/>
              <w:rPr>
                <w:rFonts w:ascii="Times New Roman" w:eastAsia="Times New Roman" w:hAnsi="Times New Roman" w:cs="Times New Roman"/>
                <w:sz w:val="24"/>
                <w:szCs w:val="24"/>
              </w:rPr>
            </w:pPr>
            <w:r w:rsidRPr="001E6A93">
              <w:rPr>
                <w:rFonts w:ascii="Times New Roman" w:eastAsia="Times New Roman" w:hAnsi="Times New Roman" w:cs="Times New Roman"/>
                <w:sz w:val="24"/>
                <w:szCs w:val="24"/>
              </w:rPr>
              <w:t>Aizsargājamie biotopi, tipisko un reto un īpaši aizsargājamo sugu dzīvotnes.</w:t>
            </w:r>
          </w:p>
        </w:tc>
        <w:tc>
          <w:tcPr>
            <w:tcW w:w="3015" w:type="dxa"/>
          </w:tcPr>
          <w:p w14:paraId="57317334" w14:textId="2B7BE888" w:rsidR="009072CE" w:rsidRPr="00A07F29" w:rsidRDefault="009072CE" w:rsidP="009072CE">
            <w:pPr>
              <w:jc w:val="both"/>
              <w:rPr>
                <w:rFonts w:ascii="Times New Roman" w:eastAsia="Times New Roman" w:hAnsi="Times New Roman" w:cs="Times New Roman"/>
                <w:sz w:val="24"/>
                <w:szCs w:val="24"/>
              </w:rPr>
            </w:pPr>
            <w:r w:rsidRPr="00A07F29">
              <w:rPr>
                <w:rFonts w:ascii="Times New Roman" w:eastAsia="Times New Roman" w:hAnsi="Times New Roman" w:cs="Times New Roman"/>
                <w:sz w:val="24"/>
                <w:szCs w:val="24"/>
              </w:rPr>
              <w:t>Makšķerēšana</w:t>
            </w:r>
            <w:r w:rsidR="009E5EA0" w:rsidRPr="00A07F29">
              <w:rPr>
                <w:rFonts w:ascii="Times New Roman" w:eastAsia="Times New Roman" w:hAnsi="Times New Roman" w:cs="Times New Roman"/>
                <w:sz w:val="24"/>
                <w:szCs w:val="24"/>
              </w:rPr>
              <w:t xml:space="preserve"> un zveja</w:t>
            </w:r>
            <w:r w:rsidRPr="00A07F29">
              <w:rPr>
                <w:rFonts w:ascii="Times New Roman" w:eastAsia="Times New Roman" w:hAnsi="Times New Roman" w:cs="Times New Roman"/>
                <w:sz w:val="24"/>
                <w:szCs w:val="24"/>
              </w:rPr>
              <w:t>,</w:t>
            </w:r>
            <w:r w:rsidR="00D65BBA" w:rsidRPr="00A07F29">
              <w:rPr>
                <w:rFonts w:ascii="Times New Roman" w:eastAsia="Times New Roman" w:hAnsi="Times New Roman" w:cs="Times New Roman"/>
                <w:sz w:val="24"/>
                <w:szCs w:val="24"/>
              </w:rPr>
              <w:t xml:space="preserve"> </w:t>
            </w:r>
            <w:proofErr w:type="spellStart"/>
            <w:r w:rsidRPr="00A07F29">
              <w:rPr>
                <w:rFonts w:ascii="Times New Roman" w:eastAsia="Times New Roman" w:hAnsi="Times New Roman" w:cs="Times New Roman"/>
                <w:sz w:val="24"/>
                <w:szCs w:val="24"/>
              </w:rPr>
              <w:t>ūdenstūrisms</w:t>
            </w:r>
            <w:proofErr w:type="spellEnd"/>
            <w:r w:rsidRPr="00A07F29">
              <w:rPr>
                <w:rFonts w:ascii="Times New Roman" w:eastAsia="Times New Roman" w:hAnsi="Times New Roman" w:cs="Times New Roman"/>
                <w:sz w:val="24"/>
                <w:szCs w:val="24"/>
              </w:rPr>
              <w:t>, rekreācija</w:t>
            </w:r>
            <w:r w:rsidR="00D63F24" w:rsidRPr="00A07F29">
              <w:rPr>
                <w:rFonts w:ascii="Times New Roman" w:eastAsia="Times New Roman" w:hAnsi="Times New Roman" w:cs="Times New Roman"/>
                <w:sz w:val="24"/>
                <w:szCs w:val="24"/>
              </w:rPr>
              <w:t>.</w:t>
            </w:r>
          </w:p>
          <w:p w14:paraId="76F000D1" w14:textId="077A70C2" w:rsidR="00D63F24" w:rsidRPr="00A07F29" w:rsidRDefault="00D63F24" w:rsidP="009072CE">
            <w:pPr>
              <w:jc w:val="both"/>
              <w:rPr>
                <w:rFonts w:ascii="Times New Roman" w:eastAsia="Times New Roman" w:hAnsi="Times New Roman" w:cs="Times New Roman"/>
                <w:sz w:val="24"/>
                <w:szCs w:val="24"/>
              </w:rPr>
            </w:pPr>
            <w:r w:rsidRPr="00A07F29">
              <w:rPr>
                <w:rFonts w:ascii="Times New Roman" w:eastAsia="Times New Roman" w:hAnsi="Times New Roman" w:cs="Times New Roman"/>
                <w:sz w:val="24"/>
                <w:szCs w:val="24"/>
              </w:rPr>
              <w:t>Vizuāli augstvērtīga ainava.</w:t>
            </w:r>
          </w:p>
        </w:tc>
      </w:tr>
      <w:tr w:rsidR="009072CE" w:rsidRPr="00A07F29" w14:paraId="21608C7F" w14:textId="77777777" w:rsidTr="00F62FC7">
        <w:trPr>
          <w:jc w:val="center"/>
        </w:trPr>
        <w:tc>
          <w:tcPr>
            <w:tcW w:w="3028" w:type="dxa"/>
          </w:tcPr>
          <w:p w14:paraId="67F959DC" w14:textId="77777777" w:rsidR="009072CE" w:rsidRPr="00A07F29" w:rsidRDefault="009072CE" w:rsidP="009072CE">
            <w:pPr>
              <w:jc w:val="both"/>
              <w:rPr>
                <w:rFonts w:ascii="Times New Roman" w:eastAsia="Times New Roman" w:hAnsi="Times New Roman" w:cs="Times New Roman"/>
                <w:sz w:val="24"/>
                <w:szCs w:val="24"/>
              </w:rPr>
            </w:pPr>
            <w:r w:rsidRPr="00A07F29">
              <w:rPr>
                <w:rFonts w:ascii="Times New Roman" w:eastAsia="Times New Roman" w:hAnsi="Times New Roman" w:cs="Times New Roman"/>
                <w:sz w:val="24"/>
                <w:szCs w:val="24"/>
              </w:rPr>
              <w:t>Purvi</w:t>
            </w:r>
          </w:p>
        </w:tc>
        <w:tc>
          <w:tcPr>
            <w:tcW w:w="2973" w:type="dxa"/>
          </w:tcPr>
          <w:p w14:paraId="63F94122" w14:textId="6F71178F" w:rsidR="009072CE" w:rsidRPr="001E6A93" w:rsidRDefault="009E5EA0" w:rsidP="009072CE">
            <w:pPr>
              <w:jc w:val="both"/>
              <w:rPr>
                <w:rFonts w:ascii="Times New Roman" w:eastAsia="Times New Roman" w:hAnsi="Times New Roman" w:cs="Times New Roman"/>
                <w:sz w:val="24"/>
                <w:szCs w:val="24"/>
              </w:rPr>
            </w:pPr>
            <w:r w:rsidRPr="001E6A93">
              <w:rPr>
                <w:rFonts w:ascii="Times New Roman" w:eastAsia="Times New Roman" w:hAnsi="Times New Roman" w:cs="Times New Roman"/>
                <w:sz w:val="24"/>
                <w:szCs w:val="24"/>
              </w:rPr>
              <w:t>Aizsargājamie biotopi, tipisko un reto un īpaši aizsargājamo sugu dzīvotnes.</w:t>
            </w:r>
          </w:p>
        </w:tc>
        <w:tc>
          <w:tcPr>
            <w:tcW w:w="3015" w:type="dxa"/>
          </w:tcPr>
          <w:p w14:paraId="6C44AAFD" w14:textId="526997E0" w:rsidR="009072CE" w:rsidRPr="00A07F29" w:rsidRDefault="00E66423" w:rsidP="00E66423">
            <w:pPr>
              <w:jc w:val="both"/>
              <w:rPr>
                <w:rFonts w:ascii="Times New Roman" w:eastAsia="Times New Roman" w:hAnsi="Times New Roman" w:cs="Times New Roman"/>
                <w:sz w:val="24"/>
                <w:szCs w:val="24"/>
              </w:rPr>
            </w:pPr>
            <w:r w:rsidRPr="00A07F29">
              <w:rPr>
                <w:rFonts w:ascii="Times New Roman" w:eastAsia="Times New Roman" w:hAnsi="Times New Roman" w:cs="Times New Roman"/>
                <w:sz w:val="24"/>
                <w:szCs w:val="24"/>
              </w:rPr>
              <w:t>Kūdras resursi, iespējas ogot.</w:t>
            </w:r>
          </w:p>
        </w:tc>
      </w:tr>
      <w:tr w:rsidR="009072CE" w:rsidRPr="00A07F29" w14:paraId="25C9C7DD" w14:textId="77777777" w:rsidTr="00F62FC7">
        <w:trPr>
          <w:jc w:val="center"/>
        </w:trPr>
        <w:tc>
          <w:tcPr>
            <w:tcW w:w="3028" w:type="dxa"/>
          </w:tcPr>
          <w:p w14:paraId="0FFA9CDC" w14:textId="52A8EB99" w:rsidR="009072CE" w:rsidRPr="00A07F29" w:rsidRDefault="009072CE" w:rsidP="00D63F24">
            <w:pPr>
              <w:jc w:val="both"/>
              <w:rPr>
                <w:rFonts w:ascii="Times New Roman" w:eastAsia="Times New Roman" w:hAnsi="Times New Roman" w:cs="Times New Roman"/>
                <w:sz w:val="24"/>
                <w:szCs w:val="24"/>
              </w:rPr>
            </w:pPr>
            <w:r w:rsidRPr="00A07F29">
              <w:rPr>
                <w:rFonts w:ascii="Times New Roman" w:eastAsia="Times New Roman" w:hAnsi="Times New Roman" w:cs="Times New Roman"/>
                <w:sz w:val="24"/>
                <w:szCs w:val="24"/>
              </w:rPr>
              <w:t xml:space="preserve">Aizsargājamās </w:t>
            </w:r>
            <w:r w:rsidR="00D63F24" w:rsidRPr="00A07F29">
              <w:rPr>
                <w:rFonts w:ascii="Times New Roman" w:eastAsia="Times New Roman" w:hAnsi="Times New Roman" w:cs="Times New Roman"/>
                <w:sz w:val="24"/>
                <w:szCs w:val="24"/>
              </w:rPr>
              <w:t xml:space="preserve">augu, ķērpju, sēņu, bezmugurkaulnieku, </w:t>
            </w:r>
            <w:r w:rsidR="00D63F24" w:rsidRPr="00A07F29">
              <w:rPr>
                <w:rFonts w:ascii="Times New Roman" w:eastAsia="Times New Roman" w:hAnsi="Times New Roman" w:cs="Times New Roman"/>
                <w:sz w:val="24"/>
                <w:szCs w:val="24"/>
              </w:rPr>
              <w:lastRenderedPageBreak/>
              <w:t xml:space="preserve">zivju, abinieku, rāpuļu, </w:t>
            </w:r>
            <w:r w:rsidRPr="00A07F29">
              <w:rPr>
                <w:rFonts w:ascii="Times New Roman" w:eastAsia="Times New Roman" w:hAnsi="Times New Roman" w:cs="Times New Roman"/>
                <w:sz w:val="24"/>
                <w:szCs w:val="24"/>
              </w:rPr>
              <w:t>putnu</w:t>
            </w:r>
            <w:r w:rsidR="00D63F24" w:rsidRPr="00A07F29">
              <w:rPr>
                <w:rFonts w:ascii="Times New Roman" w:eastAsia="Times New Roman" w:hAnsi="Times New Roman" w:cs="Times New Roman"/>
                <w:sz w:val="24"/>
                <w:szCs w:val="24"/>
              </w:rPr>
              <w:t>, zīdītāju</w:t>
            </w:r>
            <w:r w:rsidRPr="00A07F29">
              <w:rPr>
                <w:rFonts w:ascii="Times New Roman" w:eastAsia="Times New Roman" w:hAnsi="Times New Roman" w:cs="Times New Roman"/>
                <w:sz w:val="24"/>
                <w:szCs w:val="24"/>
              </w:rPr>
              <w:t xml:space="preserve"> sugas</w:t>
            </w:r>
          </w:p>
        </w:tc>
        <w:tc>
          <w:tcPr>
            <w:tcW w:w="2973" w:type="dxa"/>
          </w:tcPr>
          <w:p w14:paraId="1C606AA8" w14:textId="77777777" w:rsidR="009072CE" w:rsidRPr="00A07F29" w:rsidRDefault="009072CE" w:rsidP="009072CE">
            <w:pPr>
              <w:jc w:val="both"/>
              <w:rPr>
                <w:rFonts w:ascii="Times New Roman" w:eastAsia="Times New Roman" w:hAnsi="Times New Roman" w:cs="Times New Roman"/>
                <w:sz w:val="24"/>
                <w:szCs w:val="24"/>
              </w:rPr>
            </w:pPr>
            <w:r w:rsidRPr="00A07F29">
              <w:rPr>
                <w:rFonts w:ascii="Times New Roman" w:eastAsia="Times New Roman" w:hAnsi="Times New Roman" w:cs="Times New Roman"/>
                <w:sz w:val="24"/>
                <w:szCs w:val="24"/>
              </w:rPr>
              <w:lastRenderedPageBreak/>
              <w:t>Zinātniska un aizsardzības vērtība</w:t>
            </w:r>
          </w:p>
        </w:tc>
        <w:tc>
          <w:tcPr>
            <w:tcW w:w="3015" w:type="dxa"/>
          </w:tcPr>
          <w:p w14:paraId="39E8747E" w14:textId="3A27697C" w:rsidR="009072CE" w:rsidRPr="00A07F29" w:rsidRDefault="009072CE" w:rsidP="00D63F24">
            <w:pPr>
              <w:jc w:val="both"/>
              <w:rPr>
                <w:rFonts w:ascii="Times New Roman" w:eastAsia="Times New Roman" w:hAnsi="Times New Roman" w:cs="Times New Roman"/>
                <w:sz w:val="24"/>
                <w:szCs w:val="24"/>
              </w:rPr>
            </w:pPr>
            <w:r w:rsidRPr="00A07F29">
              <w:rPr>
                <w:rFonts w:ascii="Times New Roman" w:eastAsia="Times New Roman" w:hAnsi="Times New Roman" w:cs="Times New Roman"/>
                <w:sz w:val="24"/>
                <w:szCs w:val="24"/>
              </w:rPr>
              <w:t>Izziņas un dabas tūrisma resurss, putnu vēro</w:t>
            </w:r>
            <w:r w:rsidR="00D63F24" w:rsidRPr="00A07F29">
              <w:rPr>
                <w:rFonts w:ascii="Times New Roman" w:eastAsia="Times New Roman" w:hAnsi="Times New Roman" w:cs="Times New Roman"/>
                <w:sz w:val="24"/>
                <w:szCs w:val="24"/>
              </w:rPr>
              <w:t>šana.</w:t>
            </w:r>
          </w:p>
        </w:tc>
      </w:tr>
      <w:tr w:rsidR="00D63F24" w:rsidRPr="00A07F29" w14:paraId="496C3310" w14:textId="77777777" w:rsidTr="00F62FC7">
        <w:trPr>
          <w:jc w:val="center"/>
        </w:trPr>
        <w:tc>
          <w:tcPr>
            <w:tcW w:w="3028" w:type="dxa"/>
          </w:tcPr>
          <w:p w14:paraId="312B1CBF" w14:textId="75F83598" w:rsidR="00D63F24" w:rsidRPr="00A07F29" w:rsidRDefault="009E5EA0" w:rsidP="00D63F24">
            <w:pPr>
              <w:jc w:val="both"/>
              <w:rPr>
                <w:rFonts w:ascii="Times New Roman" w:eastAsia="Times New Roman" w:hAnsi="Times New Roman" w:cs="Times New Roman"/>
                <w:sz w:val="24"/>
                <w:szCs w:val="24"/>
              </w:rPr>
            </w:pPr>
            <w:r w:rsidRPr="00A07F29">
              <w:rPr>
                <w:rFonts w:ascii="Times New Roman" w:eastAsia="Times New Roman" w:hAnsi="Times New Roman" w:cs="Times New Roman"/>
                <w:sz w:val="24"/>
                <w:szCs w:val="24"/>
              </w:rPr>
              <w:t>Lauksaimniecības zemes un apdzīvotas vietas</w:t>
            </w:r>
          </w:p>
        </w:tc>
        <w:tc>
          <w:tcPr>
            <w:tcW w:w="2973" w:type="dxa"/>
          </w:tcPr>
          <w:p w14:paraId="5DFA9663" w14:textId="76B80BEC" w:rsidR="00D63F24" w:rsidRPr="00A07F29" w:rsidRDefault="009E5EA0" w:rsidP="009072CE">
            <w:pPr>
              <w:jc w:val="both"/>
              <w:rPr>
                <w:rFonts w:ascii="Times New Roman" w:eastAsia="Times New Roman" w:hAnsi="Times New Roman" w:cs="Times New Roman"/>
                <w:sz w:val="24"/>
                <w:szCs w:val="24"/>
              </w:rPr>
            </w:pPr>
            <w:r w:rsidRPr="00A07F29">
              <w:rPr>
                <w:rFonts w:ascii="Times New Roman" w:eastAsia="Times New Roman" w:hAnsi="Times New Roman" w:cs="Times New Roman"/>
                <w:sz w:val="24"/>
                <w:szCs w:val="24"/>
              </w:rPr>
              <w:t>Kultūrvēsturis</w:t>
            </w:r>
            <w:r w:rsidR="00E66423" w:rsidRPr="00A07F29">
              <w:rPr>
                <w:rFonts w:ascii="Times New Roman" w:eastAsia="Times New Roman" w:hAnsi="Times New Roman" w:cs="Times New Roman"/>
                <w:sz w:val="24"/>
                <w:szCs w:val="24"/>
              </w:rPr>
              <w:t>k</w:t>
            </w:r>
            <w:r w:rsidRPr="00A07F29">
              <w:rPr>
                <w:rFonts w:ascii="Times New Roman" w:eastAsia="Times New Roman" w:hAnsi="Times New Roman" w:cs="Times New Roman"/>
                <w:sz w:val="24"/>
                <w:szCs w:val="24"/>
              </w:rPr>
              <w:t>ās vērtības, dižkoki, alejas, parki, dendroloģiskie stādījumi.</w:t>
            </w:r>
          </w:p>
        </w:tc>
        <w:tc>
          <w:tcPr>
            <w:tcW w:w="3015" w:type="dxa"/>
          </w:tcPr>
          <w:p w14:paraId="24E80098" w14:textId="77777777" w:rsidR="00D63F24" w:rsidRPr="00A07F29" w:rsidRDefault="009E5EA0" w:rsidP="009E5EA0">
            <w:pPr>
              <w:jc w:val="both"/>
              <w:rPr>
                <w:rFonts w:ascii="Times New Roman" w:eastAsia="Times New Roman" w:hAnsi="Times New Roman" w:cs="Times New Roman"/>
                <w:sz w:val="24"/>
                <w:szCs w:val="24"/>
              </w:rPr>
            </w:pPr>
            <w:r w:rsidRPr="00A07F29">
              <w:rPr>
                <w:rFonts w:ascii="Times New Roman" w:eastAsia="Times New Roman" w:hAnsi="Times New Roman" w:cs="Times New Roman"/>
                <w:sz w:val="24"/>
                <w:szCs w:val="24"/>
              </w:rPr>
              <w:t>Dzīves telpa, darbavietas, ienākumu avots.</w:t>
            </w:r>
          </w:p>
          <w:p w14:paraId="71684D59" w14:textId="0E36A5A2" w:rsidR="009E5EA0" w:rsidRPr="00A07F29" w:rsidRDefault="009E5EA0" w:rsidP="009E5EA0">
            <w:pPr>
              <w:jc w:val="both"/>
              <w:rPr>
                <w:rFonts w:ascii="Times New Roman" w:eastAsia="Times New Roman" w:hAnsi="Times New Roman" w:cs="Times New Roman"/>
                <w:sz w:val="24"/>
                <w:szCs w:val="24"/>
              </w:rPr>
            </w:pPr>
            <w:r w:rsidRPr="00A07F29">
              <w:rPr>
                <w:rFonts w:ascii="Times New Roman" w:eastAsia="Times New Roman" w:hAnsi="Times New Roman" w:cs="Times New Roman"/>
                <w:sz w:val="24"/>
                <w:szCs w:val="24"/>
              </w:rPr>
              <w:t>Reģionam raksturīga kultūrainava.</w:t>
            </w:r>
          </w:p>
        </w:tc>
      </w:tr>
      <w:tr w:rsidR="00D63F24" w:rsidRPr="00A07F29" w14:paraId="5B68F107" w14:textId="77777777" w:rsidTr="00F62FC7">
        <w:trPr>
          <w:jc w:val="center"/>
        </w:trPr>
        <w:tc>
          <w:tcPr>
            <w:tcW w:w="3028" w:type="dxa"/>
          </w:tcPr>
          <w:p w14:paraId="6030A192" w14:textId="46E66FE8" w:rsidR="00D63F24" w:rsidRPr="00A07F29" w:rsidRDefault="00D63F24" w:rsidP="00D63F24">
            <w:pPr>
              <w:jc w:val="both"/>
              <w:rPr>
                <w:rFonts w:ascii="Times New Roman" w:eastAsia="Times New Roman" w:hAnsi="Times New Roman" w:cs="Times New Roman"/>
                <w:sz w:val="24"/>
                <w:szCs w:val="24"/>
              </w:rPr>
            </w:pPr>
            <w:r w:rsidRPr="00A07F29">
              <w:rPr>
                <w:rFonts w:ascii="Times New Roman" w:eastAsia="Times New Roman" w:hAnsi="Times New Roman" w:cs="Times New Roman"/>
                <w:sz w:val="24"/>
                <w:szCs w:val="24"/>
              </w:rPr>
              <w:t>Derīgo izrakteņu krājumi</w:t>
            </w:r>
          </w:p>
        </w:tc>
        <w:tc>
          <w:tcPr>
            <w:tcW w:w="2973" w:type="dxa"/>
          </w:tcPr>
          <w:p w14:paraId="44B34CC8" w14:textId="68FDAFDB" w:rsidR="00D63F24" w:rsidRPr="00A07F29" w:rsidRDefault="009E5EA0" w:rsidP="00E66423">
            <w:pPr>
              <w:jc w:val="both"/>
              <w:rPr>
                <w:rFonts w:ascii="Times New Roman" w:eastAsia="Times New Roman" w:hAnsi="Times New Roman" w:cs="Times New Roman"/>
                <w:sz w:val="24"/>
                <w:szCs w:val="24"/>
              </w:rPr>
            </w:pPr>
            <w:r w:rsidRPr="00A07F29">
              <w:rPr>
                <w:rFonts w:ascii="Times New Roman" w:eastAsia="Times New Roman" w:hAnsi="Times New Roman" w:cs="Times New Roman"/>
                <w:sz w:val="24"/>
                <w:szCs w:val="24"/>
              </w:rPr>
              <w:t>Savdabīgi biot</w:t>
            </w:r>
            <w:r w:rsidR="00E66423" w:rsidRPr="00A07F29">
              <w:rPr>
                <w:rFonts w:ascii="Times New Roman" w:eastAsia="Times New Roman" w:hAnsi="Times New Roman" w:cs="Times New Roman"/>
                <w:sz w:val="24"/>
                <w:szCs w:val="24"/>
              </w:rPr>
              <w:t>o</w:t>
            </w:r>
            <w:r w:rsidRPr="00A07F29">
              <w:rPr>
                <w:rFonts w:ascii="Times New Roman" w:eastAsia="Times New Roman" w:hAnsi="Times New Roman" w:cs="Times New Roman"/>
                <w:sz w:val="24"/>
                <w:szCs w:val="24"/>
              </w:rPr>
              <w:t xml:space="preserve">pi un </w:t>
            </w:r>
            <w:r w:rsidR="00E66423" w:rsidRPr="00A07F29">
              <w:rPr>
                <w:rFonts w:ascii="Times New Roman" w:eastAsia="Times New Roman" w:hAnsi="Times New Roman" w:cs="Times New Roman"/>
                <w:sz w:val="24"/>
                <w:szCs w:val="24"/>
              </w:rPr>
              <w:t>sugu, t.sk. reto un aizsargājamo dzīvotnes pēc ieguves vietu rekultivācijas.</w:t>
            </w:r>
          </w:p>
        </w:tc>
        <w:tc>
          <w:tcPr>
            <w:tcW w:w="3015" w:type="dxa"/>
          </w:tcPr>
          <w:p w14:paraId="2D958054" w14:textId="349E3BDF" w:rsidR="00D63F24" w:rsidRPr="00A07F29" w:rsidRDefault="729E1729" w:rsidP="00D63F24">
            <w:pPr>
              <w:jc w:val="both"/>
              <w:rPr>
                <w:rFonts w:ascii="Times New Roman" w:eastAsia="Times New Roman" w:hAnsi="Times New Roman" w:cs="Times New Roman"/>
                <w:sz w:val="24"/>
                <w:szCs w:val="24"/>
              </w:rPr>
            </w:pPr>
            <w:r w:rsidRPr="00A07F29">
              <w:rPr>
                <w:rFonts w:ascii="Times New Roman" w:eastAsia="Times New Roman" w:hAnsi="Times New Roman" w:cs="Times New Roman"/>
                <w:sz w:val="24"/>
                <w:szCs w:val="24"/>
              </w:rPr>
              <w:t>Resursi būvniecībai, darbavietas, ienākumu avots.</w:t>
            </w:r>
          </w:p>
        </w:tc>
      </w:tr>
    </w:tbl>
    <w:p w14:paraId="1D253C33" w14:textId="42C41464" w:rsidR="009072CE" w:rsidRPr="00A07F29" w:rsidRDefault="009072CE" w:rsidP="00E34453">
      <w:pPr>
        <w:spacing w:after="0" w:line="240" w:lineRule="auto"/>
        <w:ind w:firstLine="851"/>
        <w:jc w:val="both"/>
        <w:rPr>
          <w:rFonts w:ascii="Times New Roman" w:eastAsia="Times New Roman" w:hAnsi="Times New Roman" w:cs="Times New Roman"/>
          <w:sz w:val="24"/>
          <w:szCs w:val="24"/>
        </w:rPr>
      </w:pPr>
    </w:p>
    <w:p w14:paraId="1BBE8FE4" w14:textId="62BCB24C" w:rsidR="00D13BF5" w:rsidRPr="00A07F29" w:rsidRDefault="729E1729" w:rsidP="00044FBB">
      <w:pPr>
        <w:autoSpaceDE w:val="0"/>
        <w:autoSpaceDN w:val="0"/>
        <w:adjustRightInd w:val="0"/>
        <w:spacing w:after="120" w:line="240" w:lineRule="auto"/>
        <w:ind w:firstLine="851"/>
        <w:jc w:val="both"/>
        <w:rPr>
          <w:rFonts w:ascii="Times New Roman" w:eastAsia="Calibri" w:hAnsi="Times New Roman" w:cs="Times New Roman"/>
          <w:color w:val="000000"/>
          <w:sz w:val="24"/>
          <w:szCs w:val="24"/>
          <w:lang w:eastAsia="ar-SA"/>
        </w:rPr>
      </w:pPr>
      <w:r w:rsidRPr="006F3D24">
        <w:rPr>
          <w:rFonts w:ascii="Times New Roman" w:eastAsia="Calibri" w:hAnsi="Times New Roman" w:cs="Times New Roman"/>
          <w:sz w:val="24"/>
          <w:szCs w:val="24"/>
        </w:rPr>
        <w:t>Visas AAA “Augšdaugava”</w:t>
      </w:r>
      <w:r w:rsidRPr="00A07F29">
        <w:rPr>
          <w:rFonts w:ascii="Times New Roman" w:eastAsia="Calibri" w:hAnsi="Times New Roman" w:cs="Times New Roman"/>
          <w:sz w:val="24"/>
          <w:szCs w:val="24"/>
        </w:rPr>
        <w:t xml:space="preserve"> dabiskās ekosistēmas (meži, purvi, zālāji, upes un ezeri) ir nozīmīgas ūdens aprites un teritorijas hidroloģiskā režīma nodrošināšanā, sekmē oglekļa piesaisti un uzkrāšanos, piedalās klimata un mikroklimata veidošanās procesos, kā arī ir vienīgā iespējamā dzīvotne šo ekosistēmu tipiskajām, retajām </w:t>
      </w:r>
      <w:r w:rsidRPr="001E6A93">
        <w:rPr>
          <w:rFonts w:ascii="Times New Roman" w:eastAsia="Calibri" w:hAnsi="Times New Roman" w:cs="Times New Roman"/>
          <w:sz w:val="24"/>
          <w:szCs w:val="24"/>
        </w:rPr>
        <w:t>un īpaši aizsargājamajām</w:t>
      </w:r>
      <w:r w:rsidRPr="00A07F29">
        <w:rPr>
          <w:rFonts w:ascii="Times New Roman" w:eastAsia="Calibri" w:hAnsi="Times New Roman" w:cs="Times New Roman"/>
          <w:sz w:val="24"/>
          <w:szCs w:val="24"/>
        </w:rPr>
        <w:t xml:space="preserve"> sugām. Savukārt visas savvaļas sugas ir iesaistītas barības ķēdēs, vielu apritē un ekosistēmu uzturēšanā. Līdz ar to augu, ķērpju, sēņu, bezmugurkaulnieku, zivju, abinieku, rāpuļu, putnu un zīdītāju sugu daudzveidība ir savstarpēji saistīta un atkarīga viena no otras. Kā nozīmīgi organisko vielu noārdītāji atzīmējami sēnes, gliemji un kukaiņi, kas savukārt ir nozīmīga barība </w:t>
      </w:r>
      <w:r w:rsidRPr="00A07F29">
        <w:rPr>
          <w:rFonts w:ascii="Times New Roman" w:eastAsia="Calibri" w:hAnsi="Times New Roman" w:cs="Times New Roman"/>
          <w:color w:val="000000" w:themeColor="text1"/>
          <w:sz w:val="24"/>
          <w:szCs w:val="24"/>
          <w:lang w:eastAsia="ar-SA"/>
        </w:rPr>
        <w:t>citām organismu grupām.</w:t>
      </w:r>
    </w:p>
    <w:p w14:paraId="5F97F06F" w14:textId="66ACBC39" w:rsidR="00B80115" w:rsidRPr="00A07F29" w:rsidRDefault="00B80115" w:rsidP="00CA3396">
      <w:pPr>
        <w:spacing w:after="120" w:line="240" w:lineRule="auto"/>
        <w:ind w:firstLine="851"/>
        <w:jc w:val="both"/>
        <w:rPr>
          <w:rFonts w:ascii="Times New Roman" w:eastAsia="Calibri" w:hAnsi="Times New Roman" w:cs="Times New Roman"/>
          <w:color w:val="000000"/>
          <w:sz w:val="24"/>
          <w:szCs w:val="24"/>
          <w:lang w:eastAsia="ar-SA"/>
        </w:rPr>
      </w:pPr>
      <w:r w:rsidRPr="00A07F29">
        <w:rPr>
          <w:rFonts w:ascii="Times New Roman" w:eastAsia="Calibri" w:hAnsi="Times New Roman" w:cs="Times New Roman"/>
          <w:color w:val="000000"/>
          <w:sz w:val="24"/>
          <w:szCs w:val="24"/>
          <w:lang w:eastAsia="ar-SA"/>
        </w:rPr>
        <w:t>Lielākā sociāli ekonomiskā nozīme ir zivīm un medījamajiem dzīvniekiem, kā arī sēnēm, ogām</w:t>
      </w:r>
      <w:r w:rsidR="001E3ECF" w:rsidRPr="00A07F29">
        <w:rPr>
          <w:rFonts w:ascii="Times New Roman" w:eastAsia="Calibri" w:hAnsi="Times New Roman" w:cs="Times New Roman"/>
          <w:color w:val="000000"/>
          <w:sz w:val="24"/>
          <w:szCs w:val="24"/>
          <w:lang w:eastAsia="ar-SA"/>
        </w:rPr>
        <w:t xml:space="preserve"> (īpaši mellenēm un brūklenēm)</w:t>
      </w:r>
      <w:r w:rsidR="009228AC" w:rsidRPr="00A07F29">
        <w:rPr>
          <w:rFonts w:ascii="Times New Roman" w:eastAsia="Calibri" w:hAnsi="Times New Roman" w:cs="Times New Roman"/>
          <w:color w:val="000000"/>
          <w:sz w:val="24"/>
          <w:szCs w:val="24"/>
          <w:lang w:eastAsia="ar-SA"/>
        </w:rPr>
        <w:t xml:space="preserve"> </w:t>
      </w:r>
      <w:r w:rsidRPr="00A07F29">
        <w:rPr>
          <w:rFonts w:ascii="Times New Roman" w:eastAsia="Calibri" w:hAnsi="Times New Roman" w:cs="Times New Roman"/>
          <w:color w:val="000000"/>
          <w:sz w:val="24"/>
          <w:szCs w:val="24"/>
          <w:lang w:eastAsia="ar-SA"/>
        </w:rPr>
        <w:t>un ārstniecības augiem</w:t>
      </w:r>
      <w:r w:rsidR="001E3ECF" w:rsidRPr="00A07F29">
        <w:rPr>
          <w:rFonts w:ascii="Times New Roman" w:eastAsia="Calibri" w:hAnsi="Times New Roman" w:cs="Times New Roman"/>
          <w:color w:val="000000"/>
          <w:sz w:val="24"/>
          <w:szCs w:val="24"/>
          <w:lang w:eastAsia="ar-SA"/>
        </w:rPr>
        <w:t>,</w:t>
      </w:r>
      <w:r w:rsidR="00B22D2E" w:rsidRPr="00A07F29">
        <w:rPr>
          <w:rFonts w:ascii="Times New Roman" w:eastAsia="Calibri" w:hAnsi="Times New Roman" w:cs="Calibri"/>
          <w:sz w:val="24"/>
        </w:rPr>
        <w:t xml:space="preserve"> piemēram, gaiļbiksī</w:t>
      </w:r>
      <w:r w:rsidR="001E3ECF" w:rsidRPr="00A07F29">
        <w:rPr>
          <w:rFonts w:ascii="Times New Roman" w:eastAsia="Calibri" w:hAnsi="Times New Roman" w:cs="Calibri"/>
          <w:sz w:val="24"/>
        </w:rPr>
        <w:t>t</w:t>
      </w:r>
      <w:r w:rsidR="00C57D87">
        <w:rPr>
          <w:rFonts w:ascii="Times New Roman" w:eastAsia="Calibri" w:hAnsi="Times New Roman" w:cs="Calibri"/>
          <w:sz w:val="24"/>
        </w:rPr>
        <w:t>ē</w:t>
      </w:r>
      <w:r w:rsidR="001E3ECF" w:rsidRPr="00A07F29">
        <w:rPr>
          <w:rFonts w:ascii="Times New Roman" w:eastAsia="Calibri" w:hAnsi="Times New Roman" w:cs="Calibri"/>
          <w:sz w:val="24"/>
        </w:rPr>
        <w:t xml:space="preserve">m, </w:t>
      </w:r>
      <w:r w:rsidR="00B22D2E" w:rsidRPr="00A07F29">
        <w:rPr>
          <w:rFonts w:ascii="Times New Roman" w:eastAsia="Calibri" w:hAnsi="Times New Roman" w:cs="Calibri"/>
          <w:sz w:val="24"/>
        </w:rPr>
        <w:t>vīgrie</w:t>
      </w:r>
      <w:r w:rsidR="001E3ECF" w:rsidRPr="00A07F29">
        <w:rPr>
          <w:rFonts w:ascii="Times New Roman" w:eastAsia="Calibri" w:hAnsi="Times New Roman" w:cs="Calibri"/>
          <w:sz w:val="24"/>
        </w:rPr>
        <w:t xml:space="preserve">zēm, asinszālēm, </w:t>
      </w:r>
      <w:r w:rsidR="00B22D2E" w:rsidRPr="00A07F29">
        <w:rPr>
          <w:rFonts w:ascii="Times New Roman" w:eastAsia="Calibri" w:hAnsi="Times New Roman" w:cs="Calibri"/>
          <w:sz w:val="24"/>
        </w:rPr>
        <w:t>raude</w:t>
      </w:r>
      <w:r w:rsidR="001E3ECF" w:rsidRPr="00A07F29">
        <w:rPr>
          <w:rFonts w:ascii="Times New Roman" w:eastAsia="Calibri" w:hAnsi="Times New Roman" w:cs="Calibri"/>
          <w:sz w:val="24"/>
        </w:rPr>
        <w:t xml:space="preserve">nēm </w:t>
      </w:r>
      <w:r w:rsidR="00B22D2E" w:rsidRPr="00A07F29">
        <w:rPr>
          <w:rFonts w:ascii="Times New Roman" w:eastAsia="Calibri" w:hAnsi="Times New Roman" w:cs="Calibri"/>
          <w:sz w:val="24"/>
        </w:rPr>
        <w:t>u.c. tējas</w:t>
      </w:r>
      <w:r w:rsidR="0003144C">
        <w:rPr>
          <w:rFonts w:ascii="Times New Roman" w:eastAsia="Calibri" w:hAnsi="Times New Roman" w:cs="Calibri"/>
          <w:sz w:val="24"/>
        </w:rPr>
        <w:t xml:space="preserve"> augiem</w:t>
      </w:r>
      <w:r w:rsidR="00B22D2E" w:rsidRPr="00A07F29">
        <w:rPr>
          <w:rFonts w:ascii="Times New Roman" w:eastAsia="Calibri" w:hAnsi="Times New Roman" w:cs="Calibri"/>
          <w:sz w:val="24"/>
        </w:rPr>
        <w:t>, k</w:t>
      </w:r>
      <w:r w:rsidR="001E3ECF" w:rsidRPr="00A07F29">
        <w:rPr>
          <w:rFonts w:ascii="Times New Roman" w:eastAsia="Calibri" w:hAnsi="Times New Roman" w:cs="Calibri"/>
          <w:sz w:val="24"/>
        </w:rPr>
        <w:t xml:space="preserve">as </w:t>
      </w:r>
      <w:r w:rsidR="00B22D2E" w:rsidRPr="00A07F29">
        <w:rPr>
          <w:rFonts w:ascii="Times New Roman" w:eastAsia="Calibri" w:hAnsi="Times New Roman" w:cs="Calibri"/>
          <w:sz w:val="24"/>
        </w:rPr>
        <w:t xml:space="preserve">bieži sastopamas </w:t>
      </w:r>
      <w:r w:rsidR="001E3ECF" w:rsidRPr="00A07F29">
        <w:rPr>
          <w:rFonts w:ascii="Times New Roman" w:eastAsia="Calibri" w:hAnsi="Times New Roman" w:cs="Calibri"/>
          <w:sz w:val="24"/>
        </w:rPr>
        <w:t xml:space="preserve">terašu un </w:t>
      </w:r>
      <w:r w:rsidR="00B22D2E" w:rsidRPr="00A07F29">
        <w:rPr>
          <w:rFonts w:ascii="Times New Roman" w:eastAsia="Calibri" w:hAnsi="Times New Roman" w:cs="Calibri"/>
          <w:sz w:val="24"/>
        </w:rPr>
        <w:t>palieņu zālājos</w:t>
      </w:r>
      <w:r w:rsidRPr="00A07F29">
        <w:rPr>
          <w:rFonts w:ascii="Times New Roman" w:eastAsia="Calibri" w:hAnsi="Times New Roman" w:cs="Times New Roman"/>
          <w:color w:val="000000"/>
          <w:sz w:val="24"/>
          <w:szCs w:val="24"/>
          <w:lang w:eastAsia="ar-SA"/>
        </w:rPr>
        <w:t>. Taču sociāli ekonomiska nozīme ir arī putnu sugām, uz ko balstās putnu vērošanas tūrisms.</w:t>
      </w:r>
      <w:r w:rsidRPr="00A07F29">
        <w:rPr>
          <w:rFonts w:ascii="Times New Roman" w:eastAsia="Calibri" w:hAnsi="Times New Roman" w:cs="Calibri"/>
          <w:sz w:val="24"/>
        </w:rPr>
        <w:t xml:space="preserve"> Putnu vērošanas tūrisma potenciāls AAA “Augšdaugava” ir ļoti augsts, un tam labvēlīga ir jau esošā ceļu un tūrisma infrastruktūra. Ārzemju putnu vērotājiem īpaši interesanta ir lielā dažādo putnu sugu grupu daudzveidība.</w:t>
      </w:r>
      <w:r w:rsidRPr="00A07F29">
        <w:rPr>
          <w:rFonts w:ascii="Times New Roman" w:eastAsia="Calibri" w:hAnsi="Times New Roman" w:cs="Times New Roman"/>
          <w:color w:val="000000"/>
          <w:sz w:val="24"/>
          <w:szCs w:val="24"/>
          <w:lang w:eastAsia="ar-SA"/>
        </w:rPr>
        <w:t xml:space="preserve"> Līdzīgi var attīstīt arī augu, tauriņu un spāru vērošanu un rīkot ekskursijas to fotografēšanai.</w:t>
      </w:r>
      <w:r w:rsidR="00B22D2E" w:rsidRPr="00A07F29">
        <w:rPr>
          <w:rFonts w:ascii="Times New Roman" w:eastAsia="Calibri" w:hAnsi="Times New Roman" w:cs="Calibri"/>
          <w:sz w:val="24"/>
        </w:rPr>
        <w:t xml:space="preserve"> </w:t>
      </w:r>
      <w:r w:rsidR="00CA3396" w:rsidRPr="00A07F29">
        <w:rPr>
          <w:rFonts w:ascii="Times New Roman" w:eastAsia="Calibri" w:hAnsi="Times New Roman" w:cs="Times New Roman"/>
          <w:sz w:val="24"/>
          <w:szCs w:val="24"/>
        </w:rPr>
        <w:t xml:space="preserve">Īpaša ainaviskā un estētiskā vērtība ir arī vecajās mežaudzēs esošajiem ar sūnām, ķērpjiem un sēnēm apaugušajiem kokiem, kritalām, </w:t>
      </w:r>
      <w:proofErr w:type="spellStart"/>
      <w:r w:rsidR="00CA3396" w:rsidRPr="00A07F29">
        <w:rPr>
          <w:rFonts w:ascii="Times New Roman" w:eastAsia="Calibri" w:hAnsi="Times New Roman" w:cs="Times New Roman"/>
          <w:sz w:val="24"/>
          <w:szCs w:val="24"/>
        </w:rPr>
        <w:t>sausokņiem</w:t>
      </w:r>
      <w:proofErr w:type="spellEnd"/>
      <w:r w:rsidR="00CA3396" w:rsidRPr="00A07F29">
        <w:rPr>
          <w:rFonts w:ascii="Times New Roman" w:eastAsia="Calibri" w:hAnsi="Times New Roman" w:cs="Times New Roman"/>
          <w:sz w:val="24"/>
          <w:szCs w:val="24"/>
        </w:rPr>
        <w:t xml:space="preserve"> un stumbeņiem.</w:t>
      </w:r>
    </w:p>
    <w:p w14:paraId="14A31F7C" w14:textId="72EEA152" w:rsidR="00B22D2E" w:rsidRPr="00A07F29" w:rsidRDefault="00B80115" w:rsidP="00B80115">
      <w:pPr>
        <w:autoSpaceDE w:val="0"/>
        <w:autoSpaceDN w:val="0"/>
        <w:adjustRightInd w:val="0"/>
        <w:spacing w:after="120" w:line="240" w:lineRule="auto"/>
        <w:ind w:firstLine="851"/>
        <w:jc w:val="both"/>
        <w:rPr>
          <w:rFonts w:ascii="Times New Roman" w:eastAsia="Calibri" w:hAnsi="Times New Roman" w:cs="Times New Roman"/>
          <w:color w:val="000000"/>
          <w:sz w:val="24"/>
          <w:szCs w:val="24"/>
          <w:lang w:eastAsia="ar-SA"/>
        </w:rPr>
      </w:pPr>
      <w:r w:rsidRPr="00A07F29">
        <w:rPr>
          <w:rFonts w:ascii="Times New Roman" w:eastAsia="Calibri" w:hAnsi="Times New Roman" w:cs="Times New Roman"/>
          <w:color w:val="000000"/>
          <w:sz w:val="24"/>
          <w:szCs w:val="24"/>
          <w:lang w:eastAsia="ar-SA"/>
        </w:rPr>
        <w:t xml:space="preserve">AAA “Augšdaugava” </w:t>
      </w:r>
      <w:r w:rsidR="00B22D2E" w:rsidRPr="00A07F29">
        <w:rPr>
          <w:rFonts w:ascii="Times New Roman" w:eastAsia="Calibri" w:hAnsi="Times New Roman" w:cs="Times New Roman"/>
          <w:color w:val="000000"/>
          <w:sz w:val="24"/>
          <w:szCs w:val="24"/>
          <w:lang w:eastAsia="ar-SA"/>
        </w:rPr>
        <w:t xml:space="preserve">ekosistēmas un sugu daudzveidība, kā arī </w:t>
      </w:r>
      <w:proofErr w:type="spellStart"/>
      <w:r w:rsidR="00B22D2E" w:rsidRPr="00A07F29">
        <w:rPr>
          <w:rFonts w:ascii="Times New Roman" w:eastAsia="Calibri" w:hAnsi="Times New Roman" w:cs="Times New Roman"/>
          <w:color w:val="000000"/>
          <w:sz w:val="24"/>
          <w:szCs w:val="24"/>
          <w:lang w:eastAsia="ar-SA"/>
        </w:rPr>
        <w:t>ģeomorfoloģija</w:t>
      </w:r>
      <w:proofErr w:type="spellEnd"/>
      <w:r w:rsidR="00B22D2E" w:rsidRPr="00A07F29">
        <w:rPr>
          <w:rFonts w:ascii="Times New Roman" w:eastAsia="Calibri" w:hAnsi="Times New Roman" w:cs="Times New Roman"/>
          <w:color w:val="000000"/>
          <w:sz w:val="24"/>
          <w:szCs w:val="24"/>
          <w:lang w:eastAsia="ar-SA"/>
        </w:rPr>
        <w:t xml:space="preserve"> un kultūrvēsturiskās vērtības ir nozīmīgas zinātnisko pētījumu veikšanai.</w:t>
      </w:r>
    </w:p>
    <w:p w14:paraId="04171AA8" w14:textId="43F6B30E" w:rsidR="00B22D2E" w:rsidRPr="00A07F29" w:rsidRDefault="00B22D2E" w:rsidP="00E66423">
      <w:pPr>
        <w:autoSpaceDE w:val="0"/>
        <w:autoSpaceDN w:val="0"/>
        <w:adjustRightInd w:val="0"/>
        <w:spacing w:after="120" w:line="240" w:lineRule="auto"/>
        <w:ind w:firstLine="851"/>
        <w:jc w:val="both"/>
        <w:rPr>
          <w:rFonts w:ascii="Times New Roman" w:eastAsia="Calibri" w:hAnsi="Times New Roman" w:cs="Calibri"/>
          <w:sz w:val="24"/>
        </w:rPr>
      </w:pPr>
      <w:r w:rsidRPr="00A07F29">
        <w:rPr>
          <w:rFonts w:ascii="Times New Roman" w:hAnsi="Times New Roman" w:cs="Times New Roman"/>
          <w:sz w:val="24"/>
          <w:szCs w:val="24"/>
        </w:rPr>
        <w:t xml:space="preserve">Uzmanība ir pievēršama saldūdens gliemežu sugai – mazajam </w:t>
      </w:r>
      <w:proofErr w:type="spellStart"/>
      <w:r w:rsidRPr="00A07F29">
        <w:rPr>
          <w:rFonts w:ascii="Times New Roman" w:hAnsi="Times New Roman" w:cs="Times New Roman"/>
          <w:sz w:val="24"/>
          <w:szCs w:val="24"/>
        </w:rPr>
        <w:t>dīķgliemezim</w:t>
      </w:r>
      <w:proofErr w:type="spellEnd"/>
      <w:r w:rsidRPr="00A07F29">
        <w:rPr>
          <w:rFonts w:ascii="Times New Roman" w:hAnsi="Times New Roman" w:cs="Times New Roman"/>
          <w:sz w:val="24"/>
          <w:szCs w:val="24"/>
        </w:rPr>
        <w:t xml:space="preserve"> </w:t>
      </w:r>
      <w:proofErr w:type="spellStart"/>
      <w:r w:rsidRPr="00A07F29">
        <w:rPr>
          <w:rFonts w:ascii="Times New Roman" w:hAnsi="Times New Roman" w:cs="Times New Roman"/>
          <w:i/>
          <w:sz w:val="24"/>
          <w:szCs w:val="24"/>
        </w:rPr>
        <w:t>Galba</w:t>
      </w:r>
      <w:proofErr w:type="spellEnd"/>
      <w:r w:rsidRPr="00A07F29">
        <w:rPr>
          <w:rFonts w:ascii="Times New Roman" w:hAnsi="Times New Roman" w:cs="Times New Roman"/>
          <w:i/>
          <w:sz w:val="24"/>
          <w:szCs w:val="24"/>
        </w:rPr>
        <w:t xml:space="preserve"> </w:t>
      </w:r>
      <w:proofErr w:type="spellStart"/>
      <w:r w:rsidRPr="00A07F29">
        <w:rPr>
          <w:rFonts w:ascii="Times New Roman" w:hAnsi="Times New Roman" w:cs="Times New Roman"/>
          <w:i/>
          <w:sz w:val="24"/>
          <w:szCs w:val="24"/>
        </w:rPr>
        <w:t>truncatula</w:t>
      </w:r>
      <w:proofErr w:type="spellEnd"/>
      <w:r w:rsidRPr="00A07F29">
        <w:rPr>
          <w:rFonts w:ascii="Times New Roman" w:hAnsi="Times New Roman" w:cs="Times New Roman"/>
          <w:sz w:val="24"/>
          <w:szCs w:val="24"/>
        </w:rPr>
        <w:t xml:space="preserve">, kas ir starpsaimnieks aknu </w:t>
      </w:r>
      <w:proofErr w:type="spellStart"/>
      <w:r w:rsidRPr="00A07F29">
        <w:rPr>
          <w:rFonts w:ascii="Times New Roman" w:hAnsi="Times New Roman" w:cs="Times New Roman"/>
          <w:sz w:val="24"/>
          <w:szCs w:val="24"/>
        </w:rPr>
        <w:t>fasciolai</w:t>
      </w:r>
      <w:proofErr w:type="spellEnd"/>
      <w:r w:rsidRPr="00A07F29">
        <w:rPr>
          <w:rFonts w:ascii="Times New Roman" w:hAnsi="Times New Roman" w:cs="Times New Roman"/>
          <w:sz w:val="24"/>
          <w:szCs w:val="24"/>
        </w:rPr>
        <w:t xml:space="preserve"> </w:t>
      </w:r>
      <w:proofErr w:type="spellStart"/>
      <w:r w:rsidRPr="00A07F29">
        <w:rPr>
          <w:rFonts w:ascii="Times New Roman" w:hAnsi="Times New Roman" w:cs="Times New Roman"/>
          <w:i/>
          <w:sz w:val="24"/>
          <w:szCs w:val="24"/>
        </w:rPr>
        <w:t>Fasciola</w:t>
      </w:r>
      <w:proofErr w:type="spellEnd"/>
      <w:r w:rsidRPr="00A07F29">
        <w:rPr>
          <w:rFonts w:ascii="Times New Roman" w:hAnsi="Times New Roman" w:cs="Times New Roman"/>
          <w:i/>
          <w:sz w:val="24"/>
          <w:szCs w:val="24"/>
        </w:rPr>
        <w:t xml:space="preserve"> </w:t>
      </w:r>
      <w:proofErr w:type="spellStart"/>
      <w:r w:rsidRPr="00A07F29">
        <w:rPr>
          <w:rFonts w:ascii="Times New Roman" w:hAnsi="Times New Roman" w:cs="Times New Roman"/>
          <w:i/>
          <w:sz w:val="24"/>
          <w:szCs w:val="24"/>
        </w:rPr>
        <w:t>hepatica</w:t>
      </w:r>
      <w:proofErr w:type="spellEnd"/>
      <w:r w:rsidRPr="00A07F29">
        <w:rPr>
          <w:rFonts w:ascii="Times New Roman" w:hAnsi="Times New Roman" w:cs="Times New Roman"/>
          <w:sz w:val="24"/>
          <w:szCs w:val="24"/>
        </w:rPr>
        <w:t xml:space="preserve">. Tā ir </w:t>
      </w:r>
      <w:proofErr w:type="spellStart"/>
      <w:r w:rsidRPr="00A07F29">
        <w:rPr>
          <w:rFonts w:ascii="Times New Roman" w:hAnsi="Times New Roman" w:cs="Times New Roman"/>
          <w:sz w:val="24"/>
          <w:szCs w:val="24"/>
        </w:rPr>
        <w:t>trematode</w:t>
      </w:r>
      <w:proofErr w:type="spellEnd"/>
      <w:r w:rsidRPr="00A07F29">
        <w:rPr>
          <w:rFonts w:ascii="Times New Roman" w:hAnsi="Times New Roman" w:cs="Times New Roman"/>
          <w:sz w:val="24"/>
          <w:szCs w:val="24"/>
        </w:rPr>
        <w:t xml:space="preserve">, kura parazitē zālēdāju, it īpaši aitu un arī govju žultsvados. Augsta mājlopu </w:t>
      </w:r>
      <w:proofErr w:type="spellStart"/>
      <w:r w:rsidRPr="00A07F29">
        <w:rPr>
          <w:rFonts w:ascii="Times New Roman" w:hAnsi="Times New Roman" w:cs="Times New Roman"/>
          <w:sz w:val="24"/>
          <w:szCs w:val="24"/>
        </w:rPr>
        <w:t>invadētība</w:t>
      </w:r>
      <w:proofErr w:type="spellEnd"/>
      <w:r w:rsidRPr="00A07F29">
        <w:rPr>
          <w:rFonts w:ascii="Times New Roman" w:hAnsi="Times New Roman" w:cs="Times New Roman"/>
          <w:sz w:val="24"/>
          <w:szCs w:val="24"/>
        </w:rPr>
        <w:t xml:space="preserve"> ar aknu </w:t>
      </w:r>
      <w:proofErr w:type="spellStart"/>
      <w:r w:rsidRPr="00A07F29">
        <w:rPr>
          <w:rFonts w:ascii="Times New Roman" w:hAnsi="Times New Roman" w:cs="Times New Roman"/>
          <w:sz w:val="24"/>
          <w:szCs w:val="24"/>
        </w:rPr>
        <w:t>fasciolu</w:t>
      </w:r>
      <w:proofErr w:type="spellEnd"/>
      <w:r w:rsidRPr="00A07F29">
        <w:rPr>
          <w:rFonts w:ascii="Times New Roman" w:hAnsi="Times New Roman" w:cs="Times New Roman"/>
          <w:sz w:val="24"/>
          <w:szCs w:val="24"/>
        </w:rPr>
        <w:t xml:space="preserve"> var radīt nopietnus zaudējumus lopkopjiem, bet meža dzīvnieku </w:t>
      </w:r>
      <w:proofErr w:type="spellStart"/>
      <w:r w:rsidRPr="00A07F29">
        <w:rPr>
          <w:rFonts w:ascii="Times New Roman" w:hAnsi="Times New Roman" w:cs="Times New Roman"/>
          <w:sz w:val="24"/>
          <w:szCs w:val="24"/>
        </w:rPr>
        <w:t>invadētība</w:t>
      </w:r>
      <w:proofErr w:type="spellEnd"/>
      <w:r w:rsidRPr="00A07F29">
        <w:rPr>
          <w:rFonts w:ascii="Times New Roman" w:hAnsi="Times New Roman" w:cs="Times New Roman"/>
          <w:sz w:val="24"/>
          <w:szCs w:val="24"/>
        </w:rPr>
        <w:t xml:space="preserve"> var samazināt medījuma kvalitāti. Šīs sugas gliemeži dzīvo ūdenstilpju piekrastē, kā arī staignās un periodiski pārplūstošās vietās arī mežos. Ļoti bieži sastopama Daugavas piekrastē. Lai noskaidrotu patieso mazā </w:t>
      </w:r>
      <w:proofErr w:type="spellStart"/>
      <w:r w:rsidRPr="00A07F29">
        <w:rPr>
          <w:rFonts w:ascii="Times New Roman" w:hAnsi="Times New Roman" w:cs="Times New Roman"/>
          <w:sz w:val="24"/>
          <w:szCs w:val="24"/>
        </w:rPr>
        <w:t>dīķgliemeža</w:t>
      </w:r>
      <w:proofErr w:type="spellEnd"/>
      <w:r w:rsidRPr="00A07F29">
        <w:rPr>
          <w:rFonts w:ascii="Times New Roman" w:hAnsi="Times New Roman" w:cs="Times New Roman"/>
          <w:sz w:val="24"/>
          <w:szCs w:val="24"/>
        </w:rPr>
        <w:t xml:space="preserve"> sastopamību teritorijā un tā </w:t>
      </w:r>
      <w:proofErr w:type="spellStart"/>
      <w:r w:rsidRPr="00A07F29">
        <w:rPr>
          <w:rFonts w:ascii="Times New Roman" w:hAnsi="Times New Roman" w:cs="Times New Roman"/>
          <w:sz w:val="24"/>
          <w:szCs w:val="24"/>
        </w:rPr>
        <w:t>invadētību</w:t>
      </w:r>
      <w:proofErr w:type="spellEnd"/>
      <w:r w:rsidRPr="00A07F29">
        <w:rPr>
          <w:rFonts w:ascii="Times New Roman" w:hAnsi="Times New Roman" w:cs="Times New Roman"/>
          <w:sz w:val="24"/>
          <w:szCs w:val="24"/>
        </w:rPr>
        <w:t xml:space="preserve"> ar aknu </w:t>
      </w:r>
      <w:proofErr w:type="spellStart"/>
      <w:r w:rsidRPr="00A07F29">
        <w:rPr>
          <w:rFonts w:ascii="Times New Roman" w:hAnsi="Times New Roman" w:cs="Times New Roman"/>
          <w:sz w:val="24"/>
          <w:szCs w:val="24"/>
        </w:rPr>
        <w:t>fasciolu</w:t>
      </w:r>
      <w:proofErr w:type="spellEnd"/>
      <w:r w:rsidRPr="00A07F29">
        <w:rPr>
          <w:rFonts w:ascii="Times New Roman" w:hAnsi="Times New Roman" w:cs="Times New Roman"/>
          <w:sz w:val="24"/>
          <w:szCs w:val="24"/>
        </w:rPr>
        <w:t xml:space="preserve">, līdz ar to prognozētu saslimstību un bīstamos reģionus, ir jāveic papildus pētījumi. Arī citu sugu gliemji ir starpsaimnieki daudzu </w:t>
      </w:r>
      <w:proofErr w:type="spellStart"/>
      <w:r w:rsidRPr="00A07F29">
        <w:rPr>
          <w:rFonts w:ascii="Times New Roman" w:hAnsi="Times New Roman" w:cs="Times New Roman"/>
          <w:sz w:val="24"/>
          <w:szCs w:val="24"/>
        </w:rPr>
        <w:t>trematožu</w:t>
      </w:r>
      <w:proofErr w:type="spellEnd"/>
      <w:r w:rsidRPr="00A07F29">
        <w:rPr>
          <w:rFonts w:ascii="Times New Roman" w:hAnsi="Times New Roman" w:cs="Times New Roman"/>
          <w:sz w:val="24"/>
          <w:szCs w:val="24"/>
        </w:rPr>
        <w:t xml:space="preserve"> sugām, no kurām ekonomiski nozīmīgākās ir zivīs parazitējošās </w:t>
      </w:r>
      <w:proofErr w:type="spellStart"/>
      <w:r w:rsidRPr="00A07F29">
        <w:rPr>
          <w:rFonts w:ascii="Times New Roman" w:hAnsi="Times New Roman" w:cs="Times New Roman"/>
          <w:sz w:val="24"/>
          <w:szCs w:val="24"/>
        </w:rPr>
        <w:t>trematodes</w:t>
      </w:r>
      <w:proofErr w:type="spellEnd"/>
      <w:r w:rsidRPr="00A07F29">
        <w:rPr>
          <w:rFonts w:ascii="Times New Roman" w:hAnsi="Times New Roman" w:cs="Times New Roman"/>
          <w:sz w:val="24"/>
          <w:szCs w:val="24"/>
        </w:rPr>
        <w:t>.</w:t>
      </w:r>
      <w:r w:rsidRPr="00A07F29">
        <w:rPr>
          <w:rFonts w:ascii="Times New Roman" w:eastAsia="Calibri" w:hAnsi="Times New Roman" w:cs="Calibri"/>
          <w:sz w:val="24"/>
        </w:rPr>
        <w:t xml:space="preserve"> Arī daži abinieki var pārnest cilvēkiem un dzīvniekiem bīstamus parazītus.</w:t>
      </w:r>
    </w:p>
    <w:p w14:paraId="69C03F7F" w14:textId="3EC489FF" w:rsidR="005C291E" w:rsidRPr="00A07F29" w:rsidRDefault="000F631F" w:rsidP="00E66423">
      <w:pPr>
        <w:autoSpaceDE w:val="0"/>
        <w:autoSpaceDN w:val="0"/>
        <w:adjustRightInd w:val="0"/>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Būtiskā</w:t>
      </w:r>
      <w:r w:rsidR="00074106" w:rsidRPr="00A07F29">
        <w:rPr>
          <w:rFonts w:ascii="Times New Roman" w:eastAsia="Calibri" w:hAnsi="Times New Roman" w:cs="Times New Roman"/>
          <w:sz w:val="24"/>
          <w:szCs w:val="24"/>
        </w:rPr>
        <w:t>kā</w:t>
      </w:r>
      <w:r w:rsidRPr="00A07F29">
        <w:rPr>
          <w:rFonts w:ascii="Times New Roman" w:eastAsia="Calibri" w:hAnsi="Times New Roman" w:cs="Times New Roman"/>
          <w:sz w:val="24"/>
          <w:szCs w:val="24"/>
        </w:rPr>
        <w:t xml:space="preserve"> sociāli ekonomiskā nozīme AAA “Augšdaugava” ir mežu, lauksaimniecības zemju un apdzīvoto vietu teritorijām. Meži ir nozīmīgi ne tikai </w:t>
      </w:r>
      <w:r w:rsidR="005C291E" w:rsidRPr="00A07F29">
        <w:rPr>
          <w:rFonts w:ascii="Times New Roman" w:eastAsia="Calibri" w:hAnsi="Times New Roman" w:cs="Times New Roman"/>
          <w:sz w:val="24"/>
          <w:szCs w:val="24"/>
        </w:rPr>
        <w:t>koksnes ieguvei, bet arī medībām, ogošanai, sēņošanai un atpūtai, īpaši Daugavpils, Krāslavas u.c. apdzīvoto vietu tuvumā. Lauksaimniecības zemes, t.sk. zālāji ne tikai ir tiešs ienākumu avots, bet arī dod iespēju uzturēt tradicionālo dzīvesveidu un attīstīt tūrismu. Apdzīvotās vietas ir nozīmīgas reģiona kultūrvēsturisko vērtību saglabā</w:t>
      </w:r>
      <w:r w:rsidR="003D1B04" w:rsidRPr="00A07F29">
        <w:rPr>
          <w:rFonts w:ascii="Times New Roman" w:eastAsia="Calibri" w:hAnsi="Times New Roman" w:cs="Times New Roman"/>
          <w:sz w:val="24"/>
          <w:szCs w:val="24"/>
        </w:rPr>
        <w:t xml:space="preserve">šanai. Piemēram, </w:t>
      </w:r>
      <w:r w:rsidR="00B22D2E" w:rsidRPr="00A07F29">
        <w:rPr>
          <w:rFonts w:ascii="Times New Roman" w:eastAsia="Calibri" w:hAnsi="Times New Roman" w:cs="Times New Roman"/>
          <w:sz w:val="24"/>
          <w:szCs w:val="24"/>
        </w:rPr>
        <w:t>nozīmīga</w:t>
      </w:r>
      <w:r w:rsidR="003D1B04" w:rsidRPr="00A07F29">
        <w:rPr>
          <w:rFonts w:ascii="Times New Roman" w:eastAsia="Calibri" w:hAnsi="Times New Roman" w:cs="Times New Roman"/>
          <w:sz w:val="24"/>
          <w:szCs w:val="24"/>
        </w:rPr>
        <w:t xml:space="preserve"> ir vecticībnieku kultūras un tradīciju uzturēšana </w:t>
      </w:r>
      <w:proofErr w:type="spellStart"/>
      <w:r w:rsidR="003D1B04" w:rsidRPr="00A07F29">
        <w:rPr>
          <w:rFonts w:ascii="Times New Roman" w:eastAsia="Calibri" w:hAnsi="Times New Roman" w:cs="Times New Roman"/>
          <w:sz w:val="24"/>
          <w:szCs w:val="24"/>
        </w:rPr>
        <w:t>Slutišķu</w:t>
      </w:r>
      <w:proofErr w:type="spellEnd"/>
      <w:r w:rsidR="003D1B04" w:rsidRPr="00A07F29">
        <w:rPr>
          <w:rFonts w:ascii="Times New Roman" w:eastAsia="Calibri" w:hAnsi="Times New Roman" w:cs="Times New Roman"/>
          <w:sz w:val="24"/>
          <w:szCs w:val="24"/>
        </w:rPr>
        <w:t xml:space="preserve"> sādžā.</w:t>
      </w:r>
    </w:p>
    <w:p w14:paraId="47FECB5C" w14:textId="45B25879" w:rsidR="00CA3396" w:rsidRPr="00A07F29" w:rsidRDefault="00CA3396" w:rsidP="00CA3396">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lastRenderedPageBreak/>
        <w:t>Apsaimniekoti – nopļauti vai noganīti zālāji AAA “Augšdaugava” veido pievilcīgu ainavu, kas akcentē Daugavas ielejai raksturīgo reljefu un palielina tūrisma potenciālu. Nozīmīgākie zālāju ekosistēmu pakalpojumi ir:</w:t>
      </w:r>
    </w:p>
    <w:p w14:paraId="14CC53E1" w14:textId="77777777" w:rsidR="00CA3396" w:rsidRPr="00A07F29" w:rsidRDefault="00CA3396" w:rsidP="00F87589">
      <w:pPr>
        <w:pStyle w:val="ListParagraph"/>
        <w:numPr>
          <w:ilvl w:val="0"/>
          <w:numId w:val="32"/>
        </w:numPr>
        <w:spacing w:line="240" w:lineRule="auto"/>
        <w:rPr>
          <w:rFonts w:cs="Times New Roman"/>
          <w:szCs w:val="24"/>
        </w:rPr>
      </w:pPr>
      <w:r w:rsidRPr="00A07F29">
        <w:rPr>
          <w:rFonts w:cs="Times New Roman"/>
          <w:szCs w:val="24"/>
        </w:rPr>
        <w:t>barība savvaļas un lauksaimniecības dzīvniekiem,</w:t>
      </w:r>
    </w:p>
    <w:p w14:paraId="7DBA8ED7" w14:textId="77777777" w:rsidR="00CA3396" w:rsidRPr="00A07F29" w:rsidRDefault="00CA3396" w:rsidP="00F87589">
      <w:pPr>
        <w:pStyle w:val="ListParagraph"/>
        <w:numPr>
          <w:ilvl w:val="0"/>
          <w:numId w:val="32"/>
        </w:numPr>
        <w:spacing w:line="240" w:lineRule="auto"/>
        <w:rPr>
          <w:rFonts w:cs="Times New Roman"/>
          <w:szCs w:val="24"/>
        </w:rPr>
      </w:pPr>
      <w:r w:rsidRPr="00A07F29">
        <w:rPr>
          <w:rFonts w:cs="Times New Roman"/>
          <w:szCs w:val="24"/>
        </w:rPr>
        <w:t>apputeksnēšana, jo zālājos aug nektāraugi, ar kuriem barojas gan savvaļas kukaiņi, gan bišu dravās esošās bites,</w:t>
      </w:r>
    </w:p>
    <w:p w14:paraId="7906BF78" w14:textId="270DCC03" w:rsidR="00CA3396" w:rsidRPr="00A07F29" w:rsidRDefault="00CA3396" w:rsidP="00F87589">
      <w:pPr>
        <w:pStyle w:val="ListParagraph"/>
        <w:numPr>
          <w:ilvl w:val="0"/>
          <w:numId w:val="32"/>
        </w:numPr>
        <w:spacing w:line="240" w:lineRule="auto"/>
        <w:rPr>
          <w:rFonts w:cs="Times New Roman"/>
          <w:szCs w:val="24"/>
        </w:rPr>
      </w:pPr>
      <w:r w:rsidRPr="00A07F29">
        <w:rPr>
          <w:rFonts w:cs="Times New Roman"/>
          <w:szCs w:val="24"/>
        </w:rPr>
        <w:t>iesaiste ūdens apritē un ūdens kvalitātes saglabāšana,</w:t>
      </w:r>
    </w:p>
    <w:p w14:paraId="12EC580E" w14:textId="77777777" w:rsidR="00CA3396" w:rsidRPr="00A07F29" w:rsidRDefault="00CA3396" w:rsidP="00F87589">
      <w:pPr>
        <w:pStyle w:val="ListParagraph"/>
        <w:numPr>
          <w:ilvl w:val="0"/>
          <w:numId w:val="32"/>
        </w:numPr>
        <w:spacing w:line="240" w:lineRule="auto"/>
        <w:rPr>
          <w:rFonts w:cs="Times New Roman"/>
          <w:szCs w:val="24"/>
        </w:rPr>
      </w:pPr>
      <w:r w:rsidRPr="00A07F29">
        <w:rPr>
          <w:rFonts w:cs="Times New Roman"/>
          <w:szCs w:val="24"/>
        </w:rPr>
        <w:t>augsnes saglabāšana,</w:t>
      </w:r>
    </w:p>
    <w:p w14:paraId="0FFAD580" w14:textId="77777777" w:rsidR="00CA3396" w:rsidRPr="00A07F29" w:rsidRDefault="00CA3396" w:rsidP="00F87589">
      <w:pPr>
        <w:pStyle w:val="ListParagraph"/>
        <w:numPr>
          <w:ilvl w:val="0"/>
          <w:numId w:val="32"/>
        </w:numPr>
        <w:spacing w:line="240" w:lineRule="auto"/>
        <w:rPr>
          <w:rFonts w:cs="Times New Roman"/>
          <w:szCs w:val="24"/>
        </w:rPr>
      </w:pPr>
      <w:r w:rsidRPr="00A07F29">
        <w:rPr>
          <w:rFonts w:cs="Times New Roman"/>
          <w:szCs w:val="24"/>
        </w:rPr>
        <w:t>dzīvotņu saglabāšana,</w:t>
      </w:r>
    </w:p>
    <w:p w14:paraId="4374D244" w14:textId="5BACE89E" w:rsidR="00CA3396" w:rsidRPr="00A07F29" w:rsidRDefault="00CA3396" w:rsidP="00F87589">
      <w:pPr>
        <w:pStyle w:val="ListParagraph"/>
        <w:numPr>
          <w:ilvl w:val="0"/>
          <w:numId w:val="32"/>
        </w:numPr>
        <w:spacing w:line="240" w:lineRule="auto"/>
        <w:rPr>
          <w:rFonts w:cs="Times New Roman"/>
          <w:szCs w:val="24"/>
        </w:rPr>
      </w:pPr>
      <w:r w:rsidRPr="00A07F29">
        <w:rPr>
          <w:rFonts w:cs="Times New Roman"/>
          <w:szCs w:val="24"/>
        </w:rPr>
        <w:t>ģenētiskās daudzveidības saglabāšana.</w:t>
      </w:r>
    </w:p>
    <w:p w14:paraId="15083E70" w14:textId="5974A3F5" w:rsidR="005C291E" w:rsidRPr="00A07F29" w:rsidRDefault="00CA3396" w:rsidP="00B22D2E">
      <w:pPr>
        <w:autoSpaceDE w:val="0"/>
        <w:autoSpaceDN w:val="0"/>
        <w:adjustRightInd w:val="0"/>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Tieši ekonomiskie ieguvumi no aizsargājamo zālāju biotopu apsaimniekošanas ir paaugstināti un diferencēti atbalsta maksājumi, ja tiek ievērota pareiza zālāju apsaimniekošana, sienu pļaujot un savācot vai noganot zālāju ar atbilstošu zālēdāju blīvumu. Atbalsta maksājumu apjoms atšķiras atkarībā no biotopa, tā apsaimniekošanas grūtības pakāpes un ražīguma.</w:t>
      </w:r>
      <w:r w:rsidR="00760AF0">
        <w:rPr>
          <w:rFonts w:ascii="Times New Roman" w:eastAsia="Calibri" w:hAnsi="Times New Roman" w:cs="Times New Roman"/>
          <w:sz w:val="24"/>
          <w:szCs w:val="24"/>
        </w:rPr>
        <w:t xml:space="preserve"> </w:t>
      </w:r>
      <w:r w:rsidR="003D1B04" w:rsidRPr="00A07F29">
        <w:rPr>
          <w:rFonts w:ascii="Times New Roman" w:eastAsia="Calibri" w:hAnsi="Times New Roman" w:cs="Times New Roman"/>
          <w:sz w:val="24"/>
          <w:szCs w:val="24"/>
        </w:rPr>
        <w:t xml:space="preserve">Īpaši atzīmējama Daugavas ekoloģiskā, dabas aizsardzības, sociāli ekonomiskā, ainaviskā un kultūrvēsturiskā nozīme un iespēja arī turpmāk saglabāt </w:t>
      </w:r>
      <w:r w:rsidR="00B22D2E" w:rsidRPr="00A07F29">
        <w:rPr>
          <w:rFonts w:ascii="Times New Roman" w:eastAsia="Calibri" w:hAnsi="Times New Roman" w:cs="Times New Roman"/>
          <w:sz w:val="24"/>
          <w:szCs w:val="24"/>
        </w:rPr>
        <w:t xml:space="preserve">un attīstīt </w:t>
      </w:r>
      <w:r w:rsidR="003E77F0" w:rsidRPr="00A07F29">
        <w:rPr>
          <w:rFonts w:ascii="Times New Roman" w:eastAsia="Calibri" w:hAnsi="Times New Roman" w:cs="Times New Roman"/>
          <w:sz w:val="24"/>
          <w:szCs w:val="24"/>
        </w:rPr>
        <w:t>Daugavas visas daudzveidīgās vērtības un funkcijas.</w:t>
      </w:r>
    </w:p>
    <w:p w14:paraId="6164829F" w14:textId="4AF7A9A8" w:rsidR="003E77F0" w:rsidRPr="00A07F29" w:rsidRDefault="003E77F0" w:rsidP="00E66423">
      <w:pPr>
        <w:autoSpaceDE w:val="0"/>
        <w:autoSpaceDN w:val="0"/>
        <w:adjustRightInd w:val="0"/>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Plānojot un īstenojot AAA “</w:t>
      </w:r>
      <w:proofErr w:type="spellStart"/>
      <w:r w:rsidRPr="00A07F29">
        <w:rPr>
          <w:rFonts w:ascii="Times New Roman" w:eastAsia="Calibri" w:hAnsi="Times New Roman" w:cs="Times New Roman"/>
          <w:sz w:val="24"/>
          <w:szCs w:val="24"/>
        </w:rPr>
        <w:t>Augšadaugava</w:t>
      </w:r>
      <w:proofErr w:type="spellEnd"/>
      <w:r w:rsidRPr="00A07F29">
        <w:rPr>
          <w:rFonts w:ascii="Times New Roman" w:eastAsia="Calibri" w:hAnsi="Times New Roman" w:cs="Times New Roman"/>
          <w:sz w:val="24"/>
          <w:szCs w:val="24"/>
        </w:rPr>
        <w:t xml:space="preserve">” turpmāko apsaimniekošanu, </w:t>
      </w:r>
      <w:r w:rsidR="00B22D2E" w:rsidRPr="00A07F29">
        <w:rPr>
          <w:rFonts w:ascii="Times New Roman" w:eastAsia="Calibri" w:hAnsi="Times New Roman" w:cs="Times New Roman"/>
          <w:sz w:val="24"/>
          <w:szCs w:val="24"/>
        </w:rPr>
        <w:t xml:space="preserve">tostarp veidojot teritorijas funkcionālo zonējumu, </w:t>
      </w:r>
      <w:r w:rsidRPr="00A07F29">
        <w:rPr>
          <w:rFonts w:ascii="Times New Roman" w:eastAsia="Calibri" w:hAnsi="Times New Roman" w:cs="Times New Roman"/>
          <w:sz w:val="24"/>
          <w:szCs w:val="24"/>
        </w:rPr>
        <w:t xml:space="preserve">svarīgi </w:t>
      </w:r>
      <w:r w:rsidR="00B22D2E" w:rsidRPr="00A07F29">
        <w:rPr>
          <w:rFonts w:ascii="Times New Roman" w:eastAsia="Calibri" w:hAnsi="Times New Roman" w:cs="Times New Roman"/>
          <w:sz w:val="24"/>
          <w:szCs w:val="24"/>
        </w:rPr>
        <w:t xml:space="preserve">ir </w:t>
      </w:r>
      <w:r w:rsidRPr="00A07F29">
        <w:rPr>
          <w:rFonts w:ascii="Times New Roman" w:eastAsia="Calibri" w:hAnsi="Times New Roman" w:cs="Times New Roman"/>
          <w:sz w:val="24"/>
          <w:szCs w:val="24"/>
        </w:rPr>
        <w:t>saglabāt unikālas un nozīmīgas dabas, ainaviskās, kultūrvēsturiskās vērtības</w:t>
      </w:r>
      <w:r w:rsidR="00074106" w:rsidRPr="00A07F29">
        <w:rPr>
          <w:rFonts w:ascii="Times New Roman" w:eastAsia="Calibri" w:hAnsi="Times New Roman" w:cs="Times New Roman"/>
          <w:sz w:val="24"/>
          <w:szCs w:val="24"/>
        </w:rPr>
        <w:t>, kā arī veicināt darbības, kas sekmē šo vērtību savstarpēju papildināšanos.</w:t>
      </w:r>
    </w:p>
    <w:p w14:paraId="34A94D03" w14:textId="43E8109F" w:rsidR="006A4DCA" w:rsidRPr="00A07F29" w:rsidRDefault="006A4DCA" w:rsidP="00E66423">
      <w:pPr>
        <w:autoSpaceDE w:val="0"/>
        <w:autoSpaceDN w:val="0"/>
        <w:adjustRightInd w:val="0"/>
        <w:spacing w:after="120" w:line="240" w:lineRule="auto"/>
        <w:ind w:firstLine="851"/>
        <w:jc w:val="both"/>
        <w:rPr>
          <w:rFonts w:ascii="Times New Roman" w:eastAsia="Calibri" w:hAnsi="Times New Roman" w:cs="Times New Roman"/>
          <w:sz w:val="24"/>
          <w:szCs w:val="24"/>
        </w:rPr>
      </w:pPr>
    </w:p>
    <w:p w14:paraId="25DEDD9A" w14:textId="7C9D4FD8" w:rsidR="006A4DCA" w:rsidRPr="00A07F29" w:rsidRDefault="006A4DCA" w:rsidP="00E66423">
      <w:pPr>
        <w:autoSpaceDE w:val="0"/>
        <w:autoSpaceDN w:val="0"/>
        <w:adjustRightInd w:val="0"/>
        <w:spacing w:after="120" w:line="240" w:lineRule="auto"/>
        <w:ind w:firstLine="851"/>
        <w:jc w:val="both"/>
        <w:rPr>
          <w:rFonts w:ascii="Times New Roman" w:eastAsia="Calibri" w:hAnsi="Times New Roman" w:cs="Times New Roman"/>
          <w:sz w:val="24"/>
          <w:szCs w:val="24"/>
        </w:rPr>
      </w:pPr>
    </w:p>
    <w:p w14:paraId="3A106FE4" w14:textId="5C8E7F33" w:rsidR="009072CE" w:rsidRPr="00A07F29" w:rsidRDefault="009072CE" w:rsidP="006A4DCA">
      <w:pPr>
        <w:pStyle w:val="Heading1"/>
        <w:spacing w:before="0" w:after="240" w:line="240" w:lineRule="auto"/>
        <w:jc w:val="center"/>
        <w:rPr>
          <w:rFonts w:ascii="Times New Roman" w:eastAsia="Times New Roman" w:hAnsi="Times New Roman" w:cs="Times New Roman"/>
          <w:b w:val="0"/>
          <w:bCs w:val="0"/>
          <w:color w:val="auto"/>
          <w:lang w:eastAsia="ja-JP"/>
        </w:rPr>
      </w:pPr>
      <w:bookmarkStart w:id="98" w:name="_Toc183434029"/>
      <w:r w:rsidRPr="00A07F29">
        <w:rPr>
          <w:rFonts w:ascii="Times New Roman" w:eastAsia="Times New Roman" w:hAnsi="Times New Roman" w:cs="Times New Roman"/>
          <w:color w:val="000000"/>
          <w:lang w:eastAsia="ja-JP"/>
        </w:rPr>
        <w:t>5. INFORMĀCIJA PAR AIZSARGĀJAMĀS TERITORIJAS APSAIMNIEKOŠANU</w:t>
      </w:r>
      <w:bookmarkEnd w:id="98"/>
    </w:p>
    <w:p w14:paraId="23A14503" w14:textId="654306BF" w:rsidR="009072CE" w:rsidRPr="00A07F29" w:rsidRDefault="009072CE" w:rsidP="00583A96">
      <w:pPr>
        <w:pStyle w:val="Heading2"/>
        <w:spacing w:before="120" w:after="120"/>
        <w:ind w:firstLine="0"/>
        <w:jc w:val="center"/>
        <w:rPr>
          <w:rFonts w:ascii="Times New Roman" w:hAnsi="Times New Roman"/>
          <w:b w:val="0"/>
          <w:iCs w:val="0"/>
        </w:rPr>
      </w:pPr>
      <w:bookmarkStart w:id="99" w:name="_Toc7518241"/>
      <w:bookmarkStart w:id="100" w:name="_Toc183434030"/>
      <w:r w:rsidRPr="00A07F29">
        <w:rPr>
          <w:rFonts w:ascii="Times New Roman" w:hAnsi="Times New Roman"/>
          <w:i w:val="0"/>
        </w:rPr>
        <w:t xml:space="preserve">5.1. Iepriekšējā </w:t>
      </w:r>
      <w:r w:rsidR="00BF0E06" w:rsidRPr="00A07F29">
        <w:rPr>
          <w:rFonts w:ascii="Times New Roman" w:hAnsi="Times New Roman"/>
          <w:i w:val="0"/>
        </w:rPr>
        <w:t>DA plāna</w:t>
      </w:r>
      <w:r w:rsidRPr="00A07F29">
        <w:rPr>
          <w:rFonts w:ascii="Times New Roman" w:hAnsi="Times New Roman"/>
          <w:i w:val="0"/>
        </w:rPr>
        <w:t xml:space="preserve"> periodā veikto apsaimniekošanas pasākumu </w:t>
      </w:r>
      <w:proofErr w:type="spellStart"/>
      <w:r w:rsidRPr="00A07F29">
        <w:rPr>
          <w:rFonts w:ascii="Times New Roman" w:hAnsi="Times New Roman"/>
          <w:i w:val="0"/>
        </w:rPr>
        <w:t>izvērtējums</w:t>
      </w:r>
      <w:bookmarkEnd w:id="99"/>
      <w:bookmarkEnd w:id="100"/>
      <w:proofErr w:type="spellEnd"/>
    </w:p>
    <w:p w14:paraId="6A53A25C" w14:textId="634F9373" w:rsidR="009072CE" w:rsidRPr="00A07F29" w:rsidRDefault="009072CE" w:rsidP="0003144C">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Tā kā AAA “Augšdaugava” </w:t>
      </w:r>
      <w:r w:rsidR="00BF0E06" w:rsidRPr="00A07F29">
        <w:rPr>
          <w:rFonts w:ascii="Times New Roman" w:eastAsia="Calibri" w:hAnsi="Times New Roman" w:cs="Calibri"/>
          <w:sz w:val="24"/>
        </w:rPr>
        <w:t>DA plāns</w:t>
      </w:r>
      <w:r w:rsidRPr="00A07F29">
        <w:rPr>
          <w:rFonts w:ascii="Times New Roman" w:eastAsia="Calibri" w:hAnsi="Times New Roman" w:cs="Calibri"/>
          <w:sz w:val="24"/>
        </w:rPr>
        <w:t xml:space="preserve"> līdz šim nav ticis izstrādāts, šajā sadaļā tiks izvērtēta </w:t>
      </w:r>
      <w:r w:rsidR="00BF0E06" w:rsidRPr="00A07F29">
        <w:rPr>
          <w:rFonts w:ascii="Times New Roman" w:eastAsia="Calibri" w:hAnsi="Times New Roman" w:cs="Calibri"/>
          <w:sz w:val="24"/>
        </w:rPr>
        <w:t>DP</w:t>
      </w:r>
      <w:r w:rsidRPr="00A07F29">
        <w:rPr>
          <w:rFonts w:ascii="Times New Roman" w:eastAsia="Calibri" w:hAnsi="Times New Roman" w:cs="Calibri"/>
          <w:sz w:val="24"/>
        </w:rPr>
        <w:t xml:space="preserve"> “Daugavas loki” </w:t>
      </w:r>
      <w:r w:rsidR="00665A15" w:rsidRPr="00A07F29">
        <w:rPr>
          <w:rFonts w:ascii="Times New Roman" w:eastAsia="Calibri" w:hAnsi="Times New Roman" w:cs="Calibri"/>
          <w:sz w:val="24"/>
        </w:rPr>
        <w:t xml:space="preserve">DA </w:t>
      </w:r>
      <w:r w:rsidRPr="00A07F29">
        <w:rPr>
          <w:rFonts w:ascii="Times New Roman" w:eastAsia="Calibri" w:hAnsi="Times New Roman" w:cs="Calibri"/>
          <w:sz w:val="24"/>
        </w:rPr>
        <w:t xml:space="preserve">plāna </w:t>
      </w:r>
      <w:r w:rsidR="00665A15" w:rsidRPr="00A07F29">
        <w:rPr>
          <w:rFonts w:ascii="Times New Roman" w:eastAsia="Calibri" w:hAnsi="Times New Roman" w:cs="Calibri"/>
          <w:sz w:val="24"/>
        </w:rPr>
        <w:t>(izstrādāts laika periodam no 2010.</w:t>
      </w:r>
      <w:r w:rsidR="00CC6E69">
        <w:rPr>
          <w:rFonts w:ascii="Times New Roman" w:eastAsia="Calibri" w:hAnsi="Times New Roman" w:cs="Calibri"/>
          <w:sz w:val="24"/>
        </w:rPr>
        <w:t> </w:t>
      </w:r>
      <w:r w:rsidR="00665A15" w:rsidRPr="00A07F29">
        <w:rPr>
          <w:rFonts w:ascii="Times New Roman" w:eastAsia="Calibri" w:hAnsi="Times New Roman" w:cs="Calibri"/>
          <w:sz w:val="24"/>
        </w:rPr>
        <w:t xml:space="preserve">gada līdz 2022. gadam) </w:t>
      </w:r>
      <w:r w:rsidRPr="00A07F29">
        <w:rPr>
          <w:rFonts w:ascii="Times New Roman" w:eastAsia="Calibri" w:hAnsi="Times New Roman" w:cs="Calibri"/>
          <w:sz w:val="24"/>
        </w:rPr>
        <w:t>apsaimniekošanas pasākumu īstenošana un efektivitāte mērķa sasniegšanā, kā arī AAA “Augšdaugava” 2014.</w:t>
      </w:r>
      <w:r w:rsidR="0013547C">
        <w:rPr>
          <w:rFonts w:ascii="Times New Roman" w:eastAsia="Calibri" w:hAnsi="Times New Roman" w:cs="Calibri"/>
          <w:sz w:val="24"/>
        </w:rPr>
        <w:t> </w:t>
      </w:r>
      <w:r w:rsidRPr="00A07F29">
        <w:rPr>
          <w:rFonts w:ascii="Times New Roman" w:eastAsia="Calibri" w:hAnsi="Times New Roman" w:cs="Calibri"/>
          <w:sz w:val="24"/>
        </w:rPr>
        <w:t>gadā sagatavotā pārvaldības plāna pasākumu īstenošana.</w:t>
      </w:r>
    </w:p>
    <w:p w14:paraId="25888774" w14:textId="77777777" w:rsidR="009072CE" w:rsidRPr="00A07F29" w:rsidRDefault="009072CE" w:rsidP="009072CE">
      <w:pPr>
        <w:spacing w:after="120"/>
        <w:ind w:firstLine="851"/>
        <w:jc w:val="both"/>
        <w:rPr>
          <w:rFonts w:ascii="Times New Roman" w:eastAsia="Calibri" w:hAnsi="Times New Roman" w:cs="Calibri"/>
          <w:sz w:val="24"/>
        </w:rPr>
      </w:pPr>
    </w:p>
    <w:p w14:paraId="66F188DD" w14:textId="77777777" w:rsidR="00665A15" w:rsidRPr="00A07F29" w:rsidRDefault="00665A15" w:rsidP="00665A15">
      <w:pPr>
        <w:spacing w:after="120"/>
        <w:ind w:firstLine="851"/>
        <w:jc w:val="center"/>
        <w:rPr>
          <w:rFonts w:ascii="Times New Roman" w:eastAsia="Calibri" w:hAnsi="Times New Roman" w:cs="Calibri"/>
          <w:sz w:val="24"/>
        </w:rPr>
        <w:sectPr w:rsidR="00665A15" w:rsidRPr="00A07F29" w:rsidSect="00EB6EE6">
          <w:pgSz w:w="11906" w:h="16838"/>
          <w:pgMar w:top="1134" w:right="1134" w:bottom="1134" w:left="1418" w:header="709" w:footer="709" w:gutter="0"/>
          <w:cols w:space="708"/>
          <w:docGrid w:linePitch="360"/>
        </w:sectPr>
      </w:pPr>
    </w:p>
    <w:p w14:paraId="6BDE9E9B" w14:textId="0C7105A0" w:rsidR="009072CE" w:rsidRPr="00A07F29" w:rsidRDefault="009072CE" w:rsidP="00665A15">
      <w:pPr>
        <w:spacing w:after="120"/>
        <w:jc w:val="center"/>
        <w:rPr>
          <w:rFonts w:ascii="Times New Roman" w:eastAsia="Times New Roman" w:hAnsi="Times New Roman" w:cs="Times New Roman"/>
          <w:iCs/>
          <w:color w:val="000000"/>
          <w:sz w:val="24"/>
          <w:szCs w:val="24"/>
          <w:lang w:eastAsia="ja-JP"/>
        </w:rPr>
      </w:pPr>
      <w:r w:rsidRPr="00A07F29">
        <w:rPr>
          <w:rFonts w:ascii="Times New Roman" w:eastAsia="Calibri" w:hAnsi="Times New Roman" w:cs="Calibri"/>
          <w:sz w:val="24"/>
        </w:rPr>
        <w:lastRenderedPageBreak/>
        <w:t xml:space="preserve">5.1.1. tabula. </w:t>
      </w:r>
      <w:r w:rsidR="00BF0E06" w:rsidRPr="00A07F29">
        <w:rPr>
          <w:rFonts w:ascii="Times New Roman" w:eastAsia="Calibri" w:hAnsi="Times New Roman" w:cs="Calibri"/>
          <w:sz w:val="24"/>
        </w:rPr>
        <w:t>DP</w:t>
      </w:r>
      <w:r w:rsidRPr="00A07F29">
        <w:rPr>
          <w:rFonts w:ascii="Times New Roman" w:eastAsia="Calibri" w:hAnsi="Times New Roman" w:cs="Calibri"/>
          <w:sz w:val="24"/>
        </w:rPr>
        <w:t xml:space="preserve"> “Daugavas loki” </w:t>
      </w:r>
      <w:r w:rsidR="00BF0E06" w:rsidRPr="00A07F29">
        <w:rPr>
          <w:rFonts w:ascii="Times New Roman" w:eastAsia="Calibri" w:hAnsi="Times New Roman" w:cs="Calibri"/>
          <w:sz w:val="24"/>
        </w:rPr>
        <w:t>DA plānā</w:t>
      </w:r>
      <w:r w:rsidRPr="00A07F29">
        <w:rPr>
          <w:rFonts w:ascii="Times New Roman" w:eastAsia="Calibri" w:hAnsi="Times New Roman" w:cs="Calibri"/>
          <w:sz w:val="24"/>
        </w:rPr>
        <w:t xml:space="preserve"> paredzēto apsaimniekošanas pasākumu efektivitātes </w:t>
      </w:r>
      <w:proofErr w:type="spellStart"/>
      <w:r w:rsidRPr="00A07F29">
        <w:rPr>
          <w:rFonts w:ascii="Times New Roman" w:eastAsia="Calibri" w:hAnsi="Times New Roman" w:cs="Calibri"/>
          <w:sz w:val="24"/>
        </w:rPr>
        <w:t>izvērtējums</w:t>
      </w:r>
      <w:proofErr w:type="spellEnd"/>
      <w:r w:rsidRPr="00A07F29">
        <w:rPr>
          <w:rFonts w:ascii="Times New Roman" w:eastAsia="Calibri" w:hAnsi="Times New Roman" w:cs="Calibri"/>
          <w:sz w:val="24"/>
        </w:rPr>
        <w:t>.</w:t>
      </w:r>
    </w:p>
    <w:tbl>
      <w:tblPr>
        <w:tblW w:w="147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3"/>
        <w:gridCol w:w="3402"/>
        <w:gridCol w:w="2127"/>
        <w:gridCol w:w="1538"/>
        <w:gridCol w:w="3098"/>
        <w:gridCol w:w="3974"/>
      </w:tblGrid>
      <w:tr w:rsidR="00665A15" w:rsidRPr="00A07F29" w14:paraId="6157D01F" w14:textId="77777777" w:rsidTr="003B2D97">
        <w:trPr>
          <w:jc w:val="center"/>
        </w:trPr>
        <w:tc>
          <w:tcPr>
            <w:tcW w:w="583" w:type="dxa"/>
          </w:tcPr>
          <w:p w14:paraId="5677A17C" w14:textId="77777777" w:rsidR="009072CE" w:rsidRPr="00A07F29" w:rsidRDefault="009072CE" w:rsidP="00665A15">
            <w:pPr>
              <w:spacing w:after="0" w:line="240" w:lineRule="auto"/>
              <w:jc w:val="center"/>
              <w:rPr>
                <w:rFonts w:ascii="Times New Roman" w:eastAsia="Calibri" w:hAnsi="Times New Roman" w:cs="Times New Roman"/>
              </w:rPr>
            </w:pPr>
            <w:proofErr w:type="spellStart"/>
            <w:r w:rsidRPr="00A07F29">
              <w:rPr>
                <w:rFonts w:ascii="Times New Roman" w:eastAsia="Calibri" w:hAnsi="Times New Roman" w:cs="Times New Roman"/>
              </w:rPr>
              <w:t>Nr.p.k</w:t>
            </w:r>
            <w:proofErr w:type="spellEnd"/>
            <w:r w:rsidRPr="00A07F29">
              <w:rPr>
                <w:rFonts w:ascii="Times New Roman" w:eastAsia="Calibri" w:hAnsi="Times New Roman" w:cs="Times New Roman"/>
              </w:rPr>
              <w:t>.</w:t>
            </w:r>
          </w:p>
        </w:tc>
        <w:tc>
          <w:tcPr>
            <w:tcW w:w="3402" w:type="dxa"/>
          </w:tcPr>
          <w:p w14:paraId="467B08A9" w14:textId="77777777" w:rsidR="009072CE" w:rsidRPr="00A07F29" w:rsidRDefault="009072CE" w:rsidP="00665A15">
            <w:pPr>
              <w:spacing w:after="0" w:line="240" w:lineRule="auto"/>
              <w:jc w:val="center"/>
              <w:rPr>
                <w:rFonts w:ascii="Times New Roman" w:eastAsia="Calibri" w:hAnsi="Times New Roman" w:cs="Times New Roman"/>
              </w:rPr>
            </w:pPr>
            <w:r w:rsidRPr="00A07F29">
              <w:rPr>
                <w:rFonts w:ascii="Times New Roman" w:eastAsia="Calibri" w:hAnsi="Times New Roman" w:cs="Times New Roman"/>
              </w:rPr>
              <w:t>Apsaimniekošanas pasākums</w:t>
            </w:r>
          </w:p>
        </w:tc>
        <w:tc>
          <w:tcPr>
            <w:tcW w:w="2127" w:type="dxa"/>
          </w:tcPr>
          <w:p w14:paraId="79080379" w14:textId="77777777" w:rsidR="009072CE" w:rsidRPr="00A07F29" w:rsidRDefault="009072CE" w:rsidP="00665A15">
            <w:pPr>
              <w:spacing w:after="0" w:line="240" w:lineRule="auto"/>
              <w:jc w:val="center"/>
              <w:rPr>
                <w:rFonts w:ascii="Times New Roman" w:eastAsia="Calibri" w:hAnsi="Times New Roman" w:cs="Times New Roman"/>
              </w:rPr>
            </w:pPr>
            <w:r w:rsidRPr="00A07F29">
              <w:rPr>
                <w:rFonts w:ascii="Times New Roman" w:eastAsia="Calibri" w:hAnsi="Times New Roman" w:cs="Times New Roman"/>
              </w:rPr>
              <w:t>Ieviesējs</w:t>
            </w:r>
          </w:p>
        </w:tc>
        <w:tc>
          <w:tcPr>
            <w:tcW w:w="1538" w:type="dxa"/>
          </w:tcPr>
          <w:p w14:paraId="437A2F1E" w14:textId="4BA1E82B" w:rsidR="009072CE" w:rsidRPr="00A07F29" w:rsidRDefault="009072CE" w:rsidP="00665A15">
            <w:pPr>
              <w:spacing w:after="0" w:line="240" w:lineRule="auto"/>
              <w:jc w:val="center"/>
              <w:rPr>
                <w:rFonts w:ascii="Times New Roman" w:eastAsia="Calibri" w:hAnsi="Times New Roman" w:cs="Times New Roman"/>
              </w:rPr>
            </w:pPr>
            <w:r w:rsidRPr="00A07F29">
              <w:rPr>
                <w:rFonts w:ascii="Times New Roman" w:eastAsia="Calibri" w:hAnsi="Times New Roman" w:cs="Times New Roman"/>
              </w:rPr>
              <w:t>Paredzētais īstenošanas laiks</w:t>
            </w:r>
          </w:p>
        </w:tc>
        <w:tc>
          <w:tcPr>
            <w:tcW w:w="3098" w:type="dxa"/>
          </w:tcPr>
          <w:p w14:paraId="416E7CF9" w14:textId="77777777" w:rsidR="009072CE" w:rsidRPr="00A07F29" w:rsidRDefault="009072CE" w:rsidP="00665A15">
            <w:pPr>
              <w:spacing w:after="0" w:line="240" w:lineRule="auto"/>
              <w:jc w:val="center"/>
              <w:rPr>
                <w:rFonts w:ascii="Times New Roman" w:eastAsia="Calibri" w:hAnsi="Times New Roman" w:cs="Times New Roman"/>
              </w:rPr>
            </w:pPr>
            <w:r w:rsidRPr="00A07F29">
              <w:rPr>
                <w:rFonts w:ascii="Times New Roman" w:eastAsia="Calibri" w:hAnsi="Times New Roman" w:cs="Times New Roman"/>
              </w:rPr>
              <w:t>Izpildes rādītāji</w:t>
            </w:r>
          </w:p>
        </w:tc>
        <w:tc>
          <w:tcPr>
            <w:tcW w:w="3974" w:type="dxa"/>
          </w:tcPr>
          <w:p w14:paraId="46BD2596" w14:textId="77777777" w:rsidR="009072CE" w:rsidRPr="00A07F29" w:rsidRDefault="009072CE" w:rsidP="00665A15">
            <w:pPr>
              <w:spacing w:after="0" w:line="240" w:lineRule="auto"/>
              <w:jc w:val="center"/>
              <w:rPr>
                <w:rFonts w:ascii="Times New Roman" w:eastAsia="Calibri" w:hAnsi="Times New Roman" w:cs="Times New Roman"/>
              </w:rPr>
            </w:pPr>
            <w:r w:rsidRPr="00A07F29">
              <w:rPr>
                <w:rFonts w:ascii="Times New Roman" w:eastAsia="Calibri" w:hAnsi="Times New Roman" w:cs="Times New Roman"/>
              </w:rPr>
              <w:t xml:space="preserve">Efektivitātes </w:t>
            </w:r>
            <w:proofErr w:type="spellStart"/>
            <w:r w:rsidRPr="00A07F29">
              <w:rPr>
                <w:rFonts w:ascii="Times New Roman" w:eastAsia="Calibri" w:hAnsi="Times New Roman" w:cs="Times New Roman"/>
              </w:rPr>
              <w:t>izvērtējums</w:t>
            </w:r>
            <w:proofErr w:type="spellEnd"/>
            <w:r w:rsidRPr="00A07F29">
              <w:rPr>
                <w:rFonts w:ascii="Times New Roman" w:eastAsia="Calibri" w:hAnsi="Times New Roman" w:cs="Times New Roman"/>
              </w:rPr>
              <w:t>, turpmākā nepieciešamība</w:t>
            </w:r>
          </w:p>
        </w:tc>
      </w:tr>
      <w:tr w:rsidR="009072CE" w:rsidRPr="00A07F29" w14:paraId="1EC8925F" w14:textId="77777777" w:rsidTr="003B2D97">
        <w:trPr>
          <w:jc w:val="center"/>
        </w:trPr>
        <w:tc>
          <w:tcPr>
            <w:tcW w:w="583" w:type="dxa"/>
          </w:tcPr>
          <w:p w14:paraId="00D80CEF" w14:textId="77777777" w:rsidR="009072CE" w:rsidRPr="00A07F29" w:rsidRDefault="009072CE" w:rsidP="009072CE">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1.</w:t>
            </w:r>
          </w:p>
        </w:tc>
        <w:tc>
          <w:tcPr>
            <w:tcW w:w="3402" w:type="dxa"/>
          </w:tcPr>
          <w:p w14:paraId="7B74CDDD" w14:textId="7BDAA064"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 xml:space="preserve">Biedrības nodibināšana un darbība </w:t>
            </w:r>
            <w:r w:rsidR="00BF0E06" w:rsidRPr="00A07F29">
              <w:rPr>
                <w:rFonts w:ascii="Times New Roman" w:eastAsia="Calibri" w:hAnsi="Times New Roman" w:cs="Times New Roman"/>
              </w:rPr>
              <w:t>DP</w:t>
            </w:r>
            <w:r w:rsidRPr="00A07F29">
              <w:rPr>
                <w:rFonts w:ascii="Times New Roman" w:eastAsia="Calibri" w:hAnsi="Times New Roman" w:cs="Times New Roman"/>
              </w:rPr>
              <w:t xml:space="preserve"> apsaimniekošanas administrēšanai </w:t>
            </w:r>
          </w:p>
        </w:tc>
        <w:tc>
          <w:tcPr>
            <w:tcW w:w="2127" w:type="dxa"/>
          </w:tcPr>
          <w:p w14:paraId="4B0A9B76" w14:textId="6F7F9230"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Pašvaldības</w:t>
            </w:r>
            <w:r w:rsidR="00033304">
              <w:rPr>
                <w:rFonts w:ascii="Times New Roman" w:eastAsia="Calibri" w:hAnsi="Times New Roman" w:cs="Times New Roman"/>
              </w:rPr>
              <w:t>,</w:t>
            </w:r>
          </w:p>
          <w:p w14:paraId="70FACCC4" w14:textId="54668D19" w:rsidR="009072CE" w:rsidRPr="00A07F29" w:rsidRDefault="00033304" w:rsidP="00665A15">
            <w:pPr>
              <w:spacing w:after="0" w:line="240" w:lineRule="auto"/>
              <w:rPr>
                <w:rFonts w:ascii="Times New Roman" w:eastAsia="Calibri" w:hAnsi="Times New Roman" w:cs="Times New Roman"/>
              </w:rPr>
            </w:pPr>
            <w:r>
              <w:rPr>
                <w:rFonts w:ascii="Times New Roman" w:eastAsia="Calibri" w:hAnsi="Times New Roman" w:cs="Times New Roman"/>
              </w:rPr>
              <w:t>s</w:t>
            </w:r>
            <w:r w:rsidR="009072CE" w:rsidRPr="00A07F29">
              <w:rPr>
                <w:rFonts w:ascii="Times New Roman" w:eastAsia="Calibri" w:hAnsi="Times New Roman" w:cs="Times New Roman"/>
              </w:rPr>
              <w:t>abiedriskās organizācijas</w:t>
            </w:r>
            <w:r>
              <w:rPr>
                <w:rFonts w:ascii="Times New Roman" w:eastAsia="Calibri" w:hAnsi="Times New Roman" w:cs="Times New Roman"/>
              </w:rPr>
              <w:t>,</w:t>
            </w:r>
          </w:p>
          <w:p w14:paraId="608E5F4E" w14:textId="1C05EC6F" w:rsidR="009072CE" w:rsidRPr="00A07F29" w:rsidRDefault="00033304" w:rsidP="00665A15">
            <w:pPr>
              <w:spacing w:after="0" w:line="240" w:lineRule="auto"/>
              <w:rPr>
                <w:rFonts w:ascii="Times New Roman" w:eastAsia="Calibri" w:hAnsi="Times New Roman" w:cs="Times New Roman"/>
              </w:rPr>
            </w:pPr>
            <w:r>
              <w:rPr>
                <w:rFonts w:ascii="Times New Roman" w:eastAsia="Calibri" w:hAnsi="Times New Roman" w:cs="Times New Roman"/>
              </w:rPr>
              <w:t>z</w:t>
            </w:r>
            <w:r w:rsidR="009072CE" w:rsidRPr="00A07F29">
              <w:rPr>
                <w:rFonts w:ascii="Times New Roman" w:eastAsia="Calibri" w:hAnsi="Times New Roman" w:cs="Times New Roman"/>
              </w:rPr>
              <w:t>emes īpašnieki u.c. interesenti, DAP, RVP,</w:t>
            </w:r>
            <w:r w:rsidR="0003082B">
              <w:rPr>
                <w:rFonts w:ascii="Times New Roman" w:eastAsia="Calibri" w:hAnsi="Times New Roman" w:cs="Times New Roman"/>
              </w:rPr>
              <w:t xml:space="preserve"> </w:t>
            </w:r>
            <w:r w:rsidR="009072CE" w:rsidRPr="00A07F29">
              <w:rPr>
                <w:rFonts w:ascii="Times New Roman" w:eastAsia="Calibri" w:hAnsi="Times New Roman" w:cs="Times New Roman"/>
              </w:rPr>
              <w:t>NKMP, VMD, LAD</w:t>
            </w:r>
          </w:p>
        </w:tc>
        <w:tc>
          <w:tcPr>
            <w:tcW w:w="1538" w:type="dxa"/>
          </w:tcPr>
          <w:p w14:paraId="50EB26F3" w14:textId="77777777" w:rsidR="009072CE" w:rsidRPr="00A07F29" w:rsidRDefault="009072CE" w:rsidP="00665A15">
            <w:pPr>
              <w:spacing w:after="0" w:line="240" w:lineRule="auto"/>
              <w:ind w:firstLine="851"/>
              <w:rPr>
                <w:rFonts w:ascii="Times New Roman" w:eastAsia="Calibri" w:hAnsi="Times New Roman" w:cs="Times New Roman"/>
              </w:rPr>
            </w:pPr>
          </w:p>
          <w:p w14:paraId="68421C87" w14:textId="2E3DFDAB"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2010.</w:t>
            </w:r>
            <w:r w:rsidR="00205F54">
              <w:rPr>
                <w:rFonts w:ascii="Times New Roman" w:eastAsia="Calibri" w:hAnsi="Times New Roman" w:cs="Times New Roman"/>
              </w:rPr>
              <w:t> </w:t>
            </w:r>
            <w:r w:rsidR="003B2D97">
              <w:rPr>
                <w:rFonts w:ascii="Times New Roman" w:eastAsia="Calibri" w:hAnsi="Times New Roman" w:cs="Times New Roman"/>
              </w:rPr>
              <w:t>–</w:t>
            </w:r>
            <w:r w:rsidR="00205F54">
              <w:rPr>
                <w:rFonts w:ascii="Times New Roman" w:eastAsia="Calibri" w:hAnsi="Times New Roman" w:cs="Times New Roman"/>
              </w:rPr>
              <w:t> </w:t>
            </w:r>
            <w:r w:rsidRPr="00A07F29">
              <w:rPr>
                <w:rFonts w:ascii="Times New Roman" w:eastAsia="Calibri" w:hAnsi="Times New Roman" w:cs="Times New Roman"/>
              </w:rPr>
              <w:t>2022.</w:t>
            </w:r>
          </w:p>
        </w:tc>
        <w:tc>
          <w:tcPr>
            <w:tcW w:w="3098" w:type="dxa"/>
          </w:tcPr>
          <w:p w14:paraId="4B4D6898" w14:textId="09BEA815"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Biedrība nav nodibināta, toties ar Daugavpils novada domes lēmumu 2017.</w:t>
            </w:r>
            <w:r w:rsidR="00AF3EE0">
              <w:rPr>
                <w:rFonts w:ascii="Times New Roman" w:eastAsia="Calibri" w:hAnsi="Times New Roman" w:cs="Times New Roman"/>
              </w:rPr>
              <w:t> </w:t>
            </w:r>
            <w:r w:rsidRPr="00A07F29">
              <w:rPr>
                <w:rFonts w:ascii="Times New Roman" w:eastAsia="Calibri" w:hAnsi="Times New Roman" w:cs="Times New Roman"/>
              </w:rPr>
              <w:t>gadā nodibināta Konsultatīvā padome</w:t>
            </w:r>
            <w:r w:rsidR="00AF3EE0">
              <w:rPr>
                <w:rFonts w:ascii="Times New Roman" w:eastAsia="Calibri" w:hAnsi="Times New Roman" w:cs="Times New Roman"/>
              </w:rPr>
              <w:t>.</w:t>
            </w:r>
          </w:p>
        </w:tc>
        <w:tc>
          <w:tcPr>
            <w:tcW w:w="3974" w:type="dxa"/>
          </w:tcPr>
          <w:p w14:paraId="73B26B3A" w14:textId="77777777"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Konsultatīvās padomes sanāksmēs diskutēts par iespējām virzīt teritoriju nominēšanai UNESCO Pasaules mantojuma sarakstam, citi aktuāli jautājumi. Šobrīd tas nav veicinājis AAA apsaimniekošanu un aizsardzību atbilstoši dabas aizsardzības mērķiem.</w:t>
            </w:r>
          </w:p>
        </w:tc>
      </w:tr>
      <w:tr w:rsidR="009072CE" w:rsidRPr="00A07F29" w14:paraId="09C0A97A" w14:textId="77777777" w:rsidTr="003B2D97">
        <w:trPr>
          <w:jc w:val="center"/>
        </w:trPr>
        <w:tc>
          <w:tcPr>
            <w:tcW w:w="583" w:type="dxa"/>
          </w:tcPr>
          <w:p w14:paraId="0FA41B8F" w14:textId="77777777" w:rsidR="009072CE" w:rsidRPr="00A07F29" w:rsidRDefault="009072CE" w:rsidP="009072CE">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2.</w:t>
            </w:r>
          </w:p>
        </w:tc>
        <w:tc>
          <w:tcPr>
            <w:tcW w:w="3402" w:type="dxa"/>
          </w:tcPr>
          <w:p w14:paraId="25C1F6A5" w14:textId="10E8B795"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 xml:space="preserve">Veicināt Nacionālā parka </w:t>
            </w:r>
            <w:r w:rsidR="00583D8B">
              <w:rPr>
                <w:rFonts w:ascii="Times New Roman" w:eastAsia="Calibri" w:hAnsi="Times New Roman" w:cs="Times New Roman"/>
              </w:rPr>
              <w:t>“</w:t>
            </w:r>
            <w:r w:rsidRPr="00A07F29">
              <w:rPr>
                <w:rFonts w:ascii="Times New Roman" w:eastAsia="Calibri" w:hAnsi="Times New Roman" w:cs="Times New Roman"/>
              </w:rPr>
              <w:t>Daugavas loki” nodibināšanu</w:t>
            </w:r>
          </w:p>
        </w:tc>
        <w:tc>
          <w:tcPr>
            <w:tcW w:w="2127" w:type="dxa"/>
          </w:tcPr>
          <w:p w14:paraId="1D1FEC8A" w14:textId="77777777"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Pašvaldības, sabiedriskās organizācijas, DU, zemes īpašnieki u.c. interesenti</w:t>
            </w:r>
          </w:p>
        </w:tc>
        <w:tc>
          <w:tcPr>
            <w:tcW w:w="1538" w:type="dxa"/>
          </w:tcPr>
          <w:p w14:paraId="6CC22061" w14:textId="77777777" w:rsidR="009072CE" w:rsidRPr="00A07F29" w:rsidRDefault="009072CE" w:rsidP="00665A15">
            <w:pPr>
              <w:spacing w:after="0" w:line="240" w:lineRule="auto"/>
              <w:ind w:firstLine="851"/>
              <w:rPr>
                <w:rFonts w:ascii="Times New Roman" w:eastAsia="Calibri" w:hAnsi="Times New Roman" w:cs="Times New Roman"/>
              </w:rPr>
            </w:pPr>
          </w:p>
          <w:p w14:paraId="6E61168E" w14:textId="01EB3B08"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2010.</w:t>
            </w:r>
            <w:r w:rsidR="00583D8B">
              <w:rPr>
                <w:rFonts w:ascii="Times New Roman" w:eastAsia="Calibri" w:hAnsi="Times New Roman" w:cs="Times New Roman"/>
              </w:rPr>
              <w:t> – </w:t>
            </w:r>
            <w:r w:rsidRPr="00A07F29">
              <w:rPr>
                <w:rFonts w:ascii="Times New Roman" w:eastAsia="Calibri" w:hAnsi="Times New Roman" w:cs="Times New Roman"/>
              </w:rPr>
              <w:t>2022.</w:t>
            </w:r>
          </w:p>
        </w:tc>
        <w:tc>
          <w:tcPr>
            <w:tcW w:w="3098" w:type="dxa"/>
          </w:tcPr>
          <w:p w14:paraId="1DAB4664" w14:textId="77777777"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Daugavpils novada dome ir veikusi aptauju AAA “Augšdaugava” teritorijā un tiešsaistē. Tā kā bija aktīva pretdarbība no uzņēmējiem Krāslavas novadā, jautājums tālāk nav virzīts.</w:t>
            </w:r>
          </w:p>
        </w:tc>
        <w:tc>
          <w:tcPr>
            <w:tcW w:w="3974" w:type="dxa"/>
          </w:tcPr>
          <w:p w14:paraId="4EB82718" w14:textId="77777777"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Nav aktuāli.</w:t>
            </w:r>
          </w:p>
        </w:tc>
      </w:tr>
      <w:tr w:rsidR="009072CE" w:rsidRPr="00A07F29" w14:paraId="4E883D36" w14:textId="77777777" w:rsidTr="003B2D97">
        <w:trPr>
          <w:jc w:val="center"/>
        </w:trPr>
        <w:tc>
          <w:tcPr>
            <w:tcW w:w="583" w:type="dxa"/>
          </w:tcPr>
          <w:p w14:paraId="3F32540F" w14:textId="77777777" w:rsidR="009072CE" w:rsidRPr="00A07F29" w:rsidRDefault="009072CE" w:rsidP="009072CE">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3.</w:t>
            </w:r>
          </w:p>
        </w:tc>
        <w:tc>
          <w:tcPr>
            <w:tcW w:w="3402" w:type="dxa"/>
          </w:tcPr>
          <w:p w14:paraId="08CF99C5" w14:textId="77777777"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Izstrādāt individuālo aizsardzības un izmantošanas noteikumu projektu, balstoties uz ieteikumiem plānā</w:t>
            </w:r>
          </w:p>
        </w:tc>
        <w:tc>
          <w:tcPr>
            <w:tcW w:w="2127" w:type="dxa"/>
          </w:tcPr>
          <w:p w14:paraId="1F4AD7A3" w14:textId="77777777"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VARAM</w:t>
            </w:r>
          </w:p>
        </w:tc>
        <w:tc>
          <w:tcPr>
            <w:tcW w:w="1538" w:type="dxa"/>
          </w:tcPr>
          <w:p w14:paraId="153F3D1E" w14:textId="77777777" w:rsidR="009072CE" w:rsidRPr="00A07F29" w:rsidRDefault="009072CE" w:rsidP="00665A15">
            <w:pPr>
              <w:spacing w:after="0" w:line="240" w:lineRule="auto"/>
              <w:ind w:firstLine="851"/>
              <w:rPr>
                <w:rFonts w:ascii="Times New Roman" w:eastAsia="Calibri" w:hAnsi="Times New Roman" w:cs="Times New Roman"/>
              </w:rPr>
            </w:pPr>
          </w:p>
          <w:p w14:paraId="36186484" w14:textId="7884AFAC"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2011.</w:t>
            </w:r>
            <w:r w:rsidR="007233D7">
              <w:rPr>
                <w:rFonts w:ascii="Times New Roman" w:eastAsia="Calibri" w:hAnsi="Times New Roman" w:cs="Times New Roman"/>
              </w:rPr>
              <w:t> – </w:t>
            </w:r>
            <w:r w:rsidRPr="00A07F29">
              <w:rPr>
                <w:rFonts w:ascii="Times New Roman" w:eastAsia="Calibri" w:hAnsi="Times New Roman" w:cs="Times New Roman"/>
              </w:rPr>
              <w:t xml:space="preserve">2012. </w:t>
            </w:r>
          </w:p>
        </w:tc>
        <w:tc>
          <w:tcPr>
            <w:tcW w:w="3098" w:type="dxa"/>
          </w:tcPr>
          <w:p w14:paraId="60D4F3C4" w14:textId="205AE9E8"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Nav veikts</w:t>
            </w:r>
            <w:r w:rsidR="002F1EFE">
              <w:rPr>
                <w:rFonts w:ascii="Times New Roman" w:eastAsia="Calibri" w:hAnsi="Times New Roman" w:cs="Times New Roman"/>
              </w:rPr>
              <w:t>.</w:t>
            </w:r>
          </w:p>
        </w:tc>
        <w:tc>
          <w:tcPr>
            <w:tcW w:w="3974" w:type="dxa"/>
          </w:tcPr>
          <w:p w14:paraId="6498A1E8" w14:textId="29118653" w:rsidR="009072CE" w:rsidRPr="00A07F29" w:rsidRDefault="00665A15"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Aktuāli, i</w:t>
            </w:r>
            <w:r w:rsidR="009072CE" w:rsidRPr="00A07F29">
              <w:rPr>
                <w:rFonts w:ascii="Times New Roman" w:eastAsia="Calibri" w:hAnsi="Times New Roman" w:cs="Times New Roman"/>
              </w:rPr>
              <w:t>ekļauts kā AAA “Augšdaugava” daļa 6.2.</w:t>
            </w:r>
            <w:r w:rsidR="002F1EFE">
              <w:rPr>
                <w:rFonts w:ascii="Times New Roman" w:eastAsia="Calibri" w:hAnsi="Times New Roman" w:cs="Times New Roman"/>
              </w:rPr>
              <w:t> </w:t>
            </w:r>
            <w:r w:rsidR="009072CE" w:rsidRPr="00A07F29">
              <w:rPr>
                <w:rFonts w:ascii="Times New Roman" w:eastAsia="Calibri" w:hAnsi="Times New Roman" w:cs="Times New Roman"/>
              </w:rPr>
              <w:t>nodaļā</w:t>
            </w:r>
            <w:r w:rsidR="002F1EFE">
              <w:rPr>
                <w:rFonts w:ascii="Times New Roman" w:eastAsia="Calibri" w:hAnsi="Times New Roman" w:cs="Times New Roman"/>
              </w:rPr>
              <w:t>.</w:t>
            </w:r>
          </w:p>
        </w:tc>
      </w:tr>
      <w:tr w:rsidR="009072CE" w:rsidRPr="00A07F29" w14:paraId="7CA8F313" w14:textId="77777777" w:rsidTr="003B2D97">
        <w:trPr>
          <w:jc w:val="center"/>
        </w:trPr>
        <w:tc>
          <w:tcPr>
            <w:tcW w:w="583" w:type="dxa"/>
          </w:tcPr>
          <w:p w14:paraId="5BA12B17" w14:textId="77777777" w:rsidR="009072CE" w:rsidRPr="00A07F29" w:rsidRDefault="009072CE" w:rsidP="009072CE">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4.</w:t>
            </w:r>
          </w:p>
        </w:tc>
        <w:tc>
          <w:tcPr>
            <w:tcW w:w="3402" w:type="dxa"/>
          </w:tcPr>
          <w:p w14:paraId="50FEEF77" w14:textId="77777777"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bCs/>
              </w:rPr>
              <w:t>Īpaši aizsargājamo dabas teritoriju informācijas centra izveide Naujenes novadpētniecības muzeja telpās</w:t>
            </w:r>
          </w:p>
        </w:tc>
        <w:tc>
          <w:tcPr>
            <w:tcW w:w="2127" w:type="dxa"/>
          </w:tcPr>
          <w:p w14:paraId="5F358776" w14:textId="77777777"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DAP, Pašvaldības</w:t>
            </w:r>
          </w:p>
          <w:p w14:paraId="239AB4E7" w14:textId="77777777" w:rsidR="009072CE" w:rsidRPr="00A07F29" w:rsidRDefault="009072CE" w:rsidP="00665A15">
            <w:pPr>
              <w:spacing w:after="0" w:line="240" w:lineRule="auto"/>
              <w:rPr>
                <w:rFonts w:ascii="Times New Roman" w:eastAsia="Calibri" w:hAnsi="Times New Roman" w:cs="Times New Roman"/>
              </w:rPr>
            </w:pPr>
          </w:p>
        </w:tc>
        <w:tc>
          <w:tcPr>
            <w:tcW w:w="1538" w:type="dxa"/>
          </w:tcPr>
          <w:p w14:paraId="011ABF23" w14:textId="77777777" w:rsidR="009072CE" w:rsidRPr="00A07F29" w:rsidRDefault="009072CE" w:rsidP="00665A15">
            <w:pPr>
              <w:spacing w:after="0" w:line="240" w:lineRule="auto"/>
              <w:ind w:firstLine="851"/>
              <w:rPr>
                <w:rFonts w:ascii="Times New Roman" w:eastAsia="Calibri" w:hAnsi="Times New Roman" w:cs="Times New Roman"/>
              </w:rPr>
            </w:pPr>
          </w:p>
          <w:p w14:paraId="7A23648C" w14:textId="21D75039"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2011.</w:t>
            </w:r>
            <w:r w:rsidR="00730388">
              <w:rPr>
                <w:rFonts w:ascii="Times New Roman" w:eastAsia="Calibri" w:hAnsi="Times New Roman" w:cs="Times New Roman"/>
              </w:rPr>
              <w:t> – </w:t>
            </w:r>
            <w:r w:rsidRPr="00A07F29">
              <w:rPr>
                <w:rFonts w:ascii="Times New Roman" w:eastAsia="Calibri" w:hAnsi="Times New Roman" w:cs="Times New Roman"/>
              </w:rPr>
              <w:t xml:space="preserve">2012. </w:t>
            </w:r>
          </w:p>
        </w:tc>
        <w:tc>
          <w:tcPr>
            <w:tcW w:w="3098" w:type="dxa"/>
          </w:tcPr>
          <w:p w14:paraId="3AD54FF6" w14:textId="077CF418"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 xml:space="preserve">Izveidots projekta LLB-2-258 </w:t>
            </w:r>
            <w:r w:rsidR="00730388">
              <w:rPr>
                <w:rFonts w:ascii="Times New Roman" w:eastAsia="Calibri" w:hAnsi="Times New Roman" w:cs="Times New Roman"/>
              </w:rPr>
              <w:t>–</w:t>
            </w:r>
            <w:r w:rsidRPr="00A07F29">
              <w:rPr>
                <w:rFonts w:ascii="Times New Roman" w:eastAsia="Calibri" w:hAnsi="Times New Roman" w:cs="Times New Roman"/>
              </w:rPr>
              <w:t xml:space="preserve"> </w:t>
            </w:r>
            <w:r w:rsidR="00730388">
              <w:rPr>
                <w:rFonts w:ascii="Times New Roman" w:eastAsia="Calibri" w:hAnsi="Times New Roman" w:cs="Times New Roman"/>
              </w:rPr>
              <w:t>“</w:t>
            </w:r>
            <w:r w:rsidRPr="00A07F29">
              <w:rPr>
                <w:rFonts w:ascii="Times New Roman" w:eastAsia="Calibri" w:hAnsi="Times New Roman" w:cs="Times New Roman"/>
              </w:rPr>
              <w:t xml:space="preserve">Pārrobežu daba” / </w:t>
            </w:r>
            <w:r w:rsidR="00730388">
              <w:rPr>
                <w:rFonts w:ascii="Times New Roman" w:eastAsia="Calibri" w:hAnsi="Times New Roman" w:cs="Times New Roman"/>
              </w:rPr>
              <w:t>“</w:t>
            </w:r>
            <w:proofErr w:type="spellStart"/>
            <w:r w:rsidRPr="00A07F29">
              <w:rPr>
                <w:rFonts w:ascii="Times New Roman" w:eastAsia="Calibri" w:hAnsi="Times New Roman" w:cs="Times New Roman"/>
              </w:rPr>
              <w:t>Cross-border</w:t>
            </w:r>
            <w:proofErr w:type="spellEnd"/>
            <w:r w:rsidRPr="00A07F29">
              <w:rPr>
                <w:rFonts w:ascii="Times New Roman" w:eastAsia="Calibri" w:hAnsi="Times New Roman" w:cs="Times New Roman"/>
              </w:rPr>
              <w:t xml:space="preserve"> Nature</w:t>
            </w:r>
            <w:r w:rsidR="00730388">
              <w:rPr>
                <w:rFonts w:ascii="Times New Roman" w:eastAsia="Calibri" w:hAnsi="Times New Roman" w:cs="Times New Roman"/>
              </w:rPr>
              <w:t>”</w:t>
            </w:r>
            <w:r w:rsidRPr="00A07F29">
              <w:rPr>
                <w:rFonts w:ascii="Times New Roman" w:eastAsia="Calibri" w:hAnsi="Times New Roman" w:cs="Times New Roman"/>
              </w:rPr>
              <w:t xml:space="preserve"> ietvaros</w:t>
            </w:r>
            <w:r w:rsidR="00730388">
              <w:rPr>
                <w:rFonts w:ascii="Times New Roman" w:eastAsia="Calibri" w:hAnsi="Times New Roman" w:cs="Times New Roman"/>
              </w:rPr>
              <w:t>.</w:t>
            </w:r>
          </w:p>
        </w:tc>
        <w:tc>
          <w:tcPr>
            <w:tcW w:w="3974" w:type="dxa"/>
          </w:tcPr>
          <w:p w14:paraId="2469748C" w14:textId="0FF29737"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 xml:space="preserve">Izveidota ekspozīcija, muzeja speciālisti informē tūristus par </w:t>
            </w:r>
            <w:r w:rsidR="00BF0E06" w:rsidRPr="00A07F29">
              <w:rPr>
                <w:rFonts w:ascii="Times New Roman" w:eastAsia="Calibri" w:hAnsi="Times New Roman" w:cs="Times New Roman"/>
              </w:rPr>
              <w:t>DP</w:t>
            </w:r>
            <w:r w:rsidRPr="00A07F29">
              <w:rPr>
                <w:rFonts w:ascii="Times New Roman" w:eastAsia="Calibri" w:hAnsi="Times New Roman" w:cs="Times New Roman"/>
              </w:rPr>
              <w:t>. Ekspozīci</w:t>
            </w:r>
            <w:r w:rsidR="00737007" w:rsidRPr="00A07F29">
              <w:rPr>
                <w:rFonts w:ascii="Times New Roman" w:eastAsia="Calibri" w:hAnsi="Times New Roman" w:cs="Times New Roman"/>
              </w:rPr>
              <w:t>j</w:t>
            </w:r>
            <w:r w:rsidRPr="00A07F29">
              <w:rPr>
                <w:rFonts w:ascii="Times New Roman" w:eastAsia="Calibri" w:hAnsi="Times New Roman" w:cs="Times New Roman"/>
              </w:rPr>
              <w:t>a tiek labi apmeklēta un ir interesanta, vēlams, lai muzejā būtu pieejams plašāks</w:t>
            </w:r>
            <w:r w:rsidR="00D65BBA" w:rsidRPr="00A07F29">
              <w:rPr>
                <w:rFonts w:ascii="Times New Roman" w:eastAsia="Calibri" w:hAnsi="Times New Roman" w:cs="Times New Roman"/>
              </w:rPr>
              <w:t xml:space="preserve"> </w:t>
            </w:r>
            <w:r w:rsidRPr="00A07F29">
              <w:rPr>
                <w:rFonts w:ascii="Times New Roman" w:eastAsia="Calibri" w:hAnsi="Times New Roman" w:cs="Times New Roman"/>
              </w:rPr>
              <w:t>izdales informatīvo materiālu klāsts par dabas vērtībām.</w:t>
            </w:r>
          </w:p>
        </w:tc>
      </w:tr>
      <w:tr w:rsidR="009072CE" w:rsidRPr="00A07F29" w14:paraId="29A4E54D" w14:textId="77777777" w:rsidTr="003B2D97">
        <w:trPr>
          <w:jc w:val="center"/>
        </w:trPr>
        <w:tc>
          <w:tcPr>
            <w:tcW w:w="583" w:type="dxa"/>
          </w:tcPr>
          <w:p w14:paraId="78822665" w14:textId="77777777" w:rsidR="009072CE" w:rsidRPr="00A07F29" w:rsidRDefault="009072CE" w:rsidP="009072CE">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5.</w:t>
            </w:r>
          </w:p>
        </w:tc>
        <w:tc>
          <w:tcPr>
            <w:tcW w:w="3402" w:type="dxa"/>
          </w:tcPr>
          <w:p w14:paraId="3407F2B1" w14:textId="52B70FF5" w:rsidR="009072CE" w:rsidRPr="00A07F29" w:rsidRDefault="0045447A" w:rsidP="00665A15">
            <w:pPr>
              <w:spacing w:after="0" w:line="240" w:lineRule="auto"/>
              <w:rPr>
                <w:rFonts w:ascii="Times New Roman" w:eastAsia="Calibri" w:hAnsi="Times New Roman" w:cs="Times New Roman"/>
              </w:rPr>
            </w:pPr>
            <w:r>
              <w:rPr>
                <w:rFonts w:ascii="Times New Roman" w:eastAsia="Calibri" w:hAnsi="Times New Roman" w:cs="Times New Roman"/>
                <w:bCs/>
              </w:rPr>
              <w:t>“</w:t>
            </w:r>
            <w:r w:rsidR="009072CE" w:rsidRPr="00A07F29">
              <w:rPr>
                <w:rFonts w:ascii="Times New Roman" w:eastAsia="Calibri" w:hAnsi="Times New Roman" w:cs="Times New Roman"/>
                <w:bCs/>
              </w:rPr>
              <w:t>Daugavas loki” tūrisma attīstības plāna izstrāde</w:t>
            </w:r>
          </w:p>
        </w:tc>
        <w:tc>
          <w:tcPr>
            <w:tcW w:w="2127" w:type="dxa"/>
          </w:tcPr>
          <w:p w14:paraId="2FF64FD6" w14:textId="77777777"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Pašvaldības,</w:t>
            </w:r>
          </w:p>
          <w:p w14:paraId="17618EED" w14:textId="05AFDD24" w:rsidR="009072CE" w:rsidRPr="00A07F29" w:rsidRDefault="009072CE" w:rsidP="0003144C">
            <w:pPr>
              <w:spacing w:after="0" w:line="240" w:lineRule="auto"/>
              <w:rPr>
                <w:rFonts w:ascii="Times New Roman" w:eastAsia="Calibri" w:hAnsi="Times New Roman" w:cs="Times New Roman"/>
              </w:rPr>
            </w:pPr>
            <w:r w:rsidRPr="00A07F29">
              <w:rPr>
                <w:rFonts w:ascii="Times New Roman" w:eastAsia="Calibri" w:hAnsi="Times New Roman" w:cs="Times New Roman"/>
              </w:rPr>
              <w:t>L</w:t>
            </w:r>
            <w:r w:rsidR="0003144C">
              <w:rPr>
                <w:rFonts w:ascii="Times New Roman" w:eastAsia="Calibri" w:hAnsi="Times New Roman" w:cs="Times New Roman"/>
              </w:rPr>
              <w:t>atvijas Lauku tūrisma asociācija “</w:t>
            </w:r>
            <w:r w:rsidRPr="00A07F29">
              <w:rPr>
                <w:rFonts w:ascii="Times New Roman" w:eastAsia="Calibri" w:hAnsi="Times New Roman" w:cs="Times New Roman"/>
              </w:rPr>
              <w:t xml:space="preserve">Lauku ceļotājs”, </w:t>
            </w:r>
            <w:r w:rsidRPr="00A07F29">
              <w:rPr>
                <w:rFonts w:ascii="Times New Roman" w:eastAsia="Calibri" w:hAnsi="Times New Roman" w:cs="Times New Roman"/>
              </w:rPr>
              <w:lastRenderedPageBreak/>
              <w:t>DU, Latvijas Dabas fonds sadarbībā ar pašvaldībām, TIC, vietēji</w:t>
            </w:r>
            <w:r w:rsidR="00CD225D">
              <w:rPr>
                <w:rFonts w:ascii="Times New Roman" w:eastAsia="Calibri" w:hAnsi="Times New Roman" w:cs="Times New Roman"/>
              </w:rPr>
              <w:t>e</w:t>
            </w:r>
            <w:r w:rsidRPr="00A07F29">
              <w:rPr>
                <w:rFonts w:ascii="Times New Roman" w:eastAsia="Calibri" w:hAnsi="Times New Roman" w:cs="Times New Roman"/>
              </w:rPr>
              <w:t xml:space="preserve"> uzņēmēji u.c. institūcij</w:t>
            </w:r>
            <w:r w:rsidR="00CF66ED">
              <w:rPr>
                <w:rFonts w:ascii="Times New Roman" w:eastAsia="Calibri" w:hAnsi="Times New Roman" w:cs="Times New Roman"/>
              </w:rPr>
              <w:t>as</w:t>
            </w:r>
            <w:r w:rsidRPr="00A07F29">
              <w:rPr>
                <w:rFonts w:ascii="Times New Roman" w:eastAsia="Calibri" w:hAnsi="Times New Roman" w:cs="Times New Roman"/>
              </w:rPr>
              <w:t>.</w:t>
            </w:r>
          </w:p>
        </w:tc>
        <w:tc>
          <w:tcPr>
            <w:tcW w:w="1538" w:type="dxa"/>
          </w:tcPr>
          <w:p w14:paraId="14B4C6D5" w14:textId="5C917E33"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lastRenderedPageBreak/>
              <w:t>2010.</w:t>
            </w:r>
            <w:r w:rsidR="007A486D">
              <w:rPr>
                <w:rFonts w:ascii="Times New Roman" w:eastAsia="Calibri" w:hAnsi="Times New Roman" w:cs="Times New Roman"/>
              </w:rPr>
              <w:t> – </w:t>
            </w:r>
            <w:r w:rsidRPr="00A07F29">
              <w:rPr>
                <w:rFonts w:ascii="Times New Roman" w:eastAsia="Calibri" w:hAnsi="Times New Roman" w:cs="Times New Roman"/>
              </w:rPr>
              <w:t xml:space="preserve">2011. </w:t>
            </w:r>
          </w:p>
        </w:tc>
        <w:tc>
          <w:tcPr>
            <w:tcW w:w="3098" w:type="dxa"/>
          </w:tcPr>
          <w:p w14:paraId="763C9DB6" w14:textId="6B39A602"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Plāns sagatavots 2011.</w:t>
            </w:r>
            <w:r w:rsidR="00CF66ED">
              <w:rPr>
                <w:rFonts w:ascii="Times New Roman" w:eastAsia="Calibri" w:hAnsi="Times New Roman" w:cs="Times New Roman"/>
              </w:rPr>
              <w:t> </w:t>
            </w:r>
            <w:r w:rsidRPr="00A07F29">
              <w:rPr>
                <w:rFonts w:ascii="Times New Roman" w:eastAsia="Calibri" w:hAnsi="Times New Roman" w:cs="Times New Roman"/>
              </w:rPr>
              <w:t>gadā</w:t>
            </w:r>
            <w:r w:rsidR="00741752">
              <w:rPr>
                <w:rStyle w:val="FootnoteReference"/>
                <w:rFonts w:ascii="Times New Roman" w:eastAsia="Calibri" w:hAnsi="Times New Roman" w:cs="Times New Roman"/>
              </w:rPr>
              <w:footnoteReference w:id="51"/>
            </w:r>
            <w:r w:rsidR="00741752">
              <w:rPr>
                <w:rFonts w:ascii="Times New Roman" w:eastAsia="Calibri" w:hAnsi="Times New Roman" w:cs="Calibri"/>
                <w:sz w:val="24"/>
              </w:rPr>
              <w:t>.</w:t>
            </w:r>
            <w:r w:rsidRPr="00A07F29">
              <w:rPr>
                <w:rFonts w:ascii="Times New Roman" w:eastAsia="Calibri" w:hAnsi="Times New Roman" w:cs="Times New Roman"/>
              </w:rPr>
              <w:t xml:space="preserve"> </w:t>
            </w:r>
          </w:p>
        </w:tc>
        <w:tc>
          <w:tcPr>
            <w:tcW w:w="3974" w:type="dxa"/>
          </w:tcPr>
          <w:p w14:paraId="0E7B4223" w14:textId="19820388"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Plāns daļēji īstenots. 2019.</w:t>
            </w:r>
            <w:r w:rsidR="00096BD4">
              <w:rPr>
                <w:rFonts w:ascii="Times New Roman" w:eastAsia="Calibri" w:hAnsi="Times New Roman" w:cs="Times New Roman"/>
              </w:rPr>
              <w:t> </w:t>
            </w:r>
            <w:r w:rsidRPr="00A07F29">
              <w:rPr>
                <w:rFonts w:ascii="Times New Roman" w:eastAsia="Calibri" w:hAnsi="Times New Roman" w:cs="Times New Roman"/>
              </w:rPr>
              <w:t xml:space="preserve">gadā plānam </w:t>
            </w:r>
            <w:r w:rsidR="00D61037" w:rsidRPr="00A07F29">
              <w:rPr>
                <w:rFonts w:ascii="Times New Roman" w:eastAsia="Calibri" w:hAnsi="Times New Roman" w:cs="Times New Roman"/>
              </w:rPr>
              <w:t xml:space="preserve">bija </w:t>
            </w:r>
            <w:r w:rsidRPr="00A07F29">
              <w:rPr>
                <w:rFonts w:ascii="Times New Roman" w:eastAsia="Calibri" w:hAnsi="Times New Roman" w:cs="Times New Roman"/>
              </w:rPr>
              <w:t>paredzēta atjaunošana, kas nav veikts. Šobrīd nav aktuāli.</w:t>
            </w:r>
          </w:p>
        </w:tc>
      </w:tr>
      <w:tr w:rsidR="009072CE" w:rsidRPr="00A07F29" w14:paraId="2F06AEC1" w14:textId="77777777" w:rsidTr="003B2D97">
        <w:trPr>
          <w:jc w:val="center"/>
        </w:trPr>
        <w:tc>
          <w:tcPr>
            <w:tcW w:w="583" w:type="dxa"/>
          </w:tcPr>
          <w:p w14:paraId="35FD715F" w14:textId="77777777" w:rsidR="009072CE" w:rsidRPr="00A07F29" w:rsidRDefault="009072CE" w:rsidP="009072CE">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6.</w:t>
            </w:r>
          </w:p>
        </w:tc>
        <w:tc>
          <w:tcPr>
            <w:tcW w:w="3402" w:type="dxa"/>
          </w:tcPr>
          <w:p w14:paraId="56F31E68" w14:textId="68D23694" w:rsidR="009072CE" w:rsidRPr="00A07F29" w:rsidRDefault="00BF0E06"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DA plāna</w:t>
            </w:r>
            <w:r w:rsidR="009072CE" w:rsidRPr="00A07F29">
              <w:rPr>
                <w:rFonts w:ascii="Times New Roman" w:eastAsia="Calibri" w:hAnsi="Times New Roman" w:cs="Times New Roman"/>
              </w:rPr>
              <w:t xml:space="preserve"> īsās versijas (kopsavilkuma) sagatavošana, publicēšana un izplatīšana </w:t>
            </w:r>
            <w:r w:rsidRPr="00A07F29">
              <w:rPr>
                <w:rFonts w:ascii="Times New Roman" w:eastAsia="Calibri" w:hAnsi="Times New Roman" w:cs="Times New Roman"/>
              </w:rPr>
              <w:t>DP</w:t>
            </w:r>
            <w:r w:rsidR="009072CE" w:rsidRPr="00A07F29">
              <w:rPr>
                <w:rFonts w:ascii="Times New Roman" w:eastAsia="Calibri" w:hAnsi="Times New Roman" w:cs="Times New Roman"/>
              </w:rPr>
              <w:t xml:space="preserve"> iedzīvotājiem, zemes īpašniekiem</w:t>
            </w:r>
          </w:p>
        </w:tc>
        <w:tc>
          <w:tcPr>
            <w:tcW w:w="2127" w:type="dxa"/>
          </w:tcPr>
          <w:p w14:paraId="47E24DE7" w14:textId="54A35B85"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Pašvaldības</w:t>
            </w:r>
            <w:r w:rsidR="007A486D">
              <w:rPr>
                <w:rFonts w:ascii="Times New Roman" w:eastAsia="Calibri" w:hAnsi="Times New Roman" w:cs="Times New Roman"/>
              </w:rPr>
              <w:t>,</w:t>
            </w:r>
          </w:p>
          <w:p w14:paraId="4FD373C1" w14:textId="77777777"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DU</w:t>
            </w:r>
          </w:p>
        </w:tc>
        <w:tc>
          <w:tcPr>
            <w:tcW w:w="1538" w:type="dxa"/>
          </w:tcPr>
          <w:p w14:paraId="7E0C8EF9" w14:textId="77777777" w:rsidR="009072CE" w:rsidRPr="00A07F29" w:rsidRDefault="009072CE" w:rsidP="00665A15">
            <w:pPr>
              <w:spacing w:after="0" w:line="240" w:lineRule="auto"/>
              <w:ind w:firstLine="851"/>
              <w:rPr>
                <w:rFonts w:ascii="Times New Roman" w:eastAsia="Calibri" w:hAnsi="Times New Roman" w:cs="Times New Roman"/>
              </w:rPr>
            </w:pPr>
          </w:p>
          <w:p w14:paraId="42D5DAD2" w14:textId="77777777"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2011.</w:t>
            </w:r>
          </w:p>
        </w:tc>
        <w:tc>
          <w:tcPr>
            <w:tcW w:w="3098" w:type="dxa"/>
          </w:tcPr>
          <w:p w14:paraId="21388794" w14:textId="36D6E204"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Nav veikts</w:t>
            </w:r>
            <w:r w:rsidR="00D44E53">
              <w:rPr>
                <w:rFonts w:ascii="Times New Roman" w:eastAsia="Calibri" w:hAnsi="Times New Roman" w:cs="Times New Roman"/>
              </w:rPr>
              <w:t>.</w:t>
            </w:r>
          </w:p>
        </w:tc>
        <w:tc>
          <w:tcPr>
            <w:tcW w:w="3974" w:type="dxa"/>
          </w:tcPr>
          <w:p w14:paraId="10B5F1B7" w14:textId="77777777"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Šobrīd nav aktuāli – mērķauditorijai vairāk piemēroti informācijas materiāli par konkrētiem aizsardzības pasākumiem, dabas vērtībām.</w:t>
            </w:r>
          </w:p>
        </w:tc>
      </w:tr>
      <w:tr w:rsidR="009072CE" w:rsidRPr="00A07F29" w14:paraId="380ECDA8" w14:textId="77777777" w:rsidTr="003B2D97">
        <w:trPr>
          <w:jc w:val="center"/>
        </w:trPr>
        <w:tc>
          <w:tcPr>
            <w:tcW w:w="583" w:type="dxa"/>
          </w:tcPr>
          <w:p w14:paraId="2E6B0193" w14:textId="77777777" w:rsidR="009072CE" w:rsidRPr="00A07F29" w:rsidRDefault="009072CE" w:rsidP="009072CE">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7.</w:t>
            </w:r>
          </w:p>
        </w:tc>
        <w:tc>
          <w:tcPr>
            <w:tcW w:w="3402" w:type="dxa"/>
          </w:tcPr>
          <w:p w14:paraId="5A28279D" w14:textId="6384BA5C"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 xml:space="preserve">Dabas gidu apmācība darbam ar tūristu grupām </w:t>
            </w:r>
            <w:r w:rsidR="00BF0E06" w:rsidRPr="00A07F29">
              <w:rPr>
                <w:rFonts w:ascii="Times New Roman" w:eastAsia="Calibri" w:hAnsi="Times New Roman" w:cs="Times New Roman"/>
              </w:rPr>
              <w:t>DP</w:t>
            </w:r>
            <w:r w:rsidRPr="00A07F29">
              <w:rPr>
                <w:rFonts w:ascii="Times New Roman" w:eastAsia="Calibri" w:hAnsi="Times New Roman" w:cs="Times New Roman"/>
              </w:rPr>
              <w:t xml:space="preserve"> teritorijā</w:t>
            </w:r>
          </w:p>
        </w:tc>
        <w:tc>
          <w:tcPr>
            <w:tcW w:w="2127" w:type="dxa"/>
          </w:tcPr>
          <w:p w14:paraId="51848940" w14:textId="49AC1677"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Pašvaldības sadarbībā ar VITILA</w:t>
            </w:r>
            <w:r w:rsidR="00C25036">
              <w:rPr>
                <w:rFonts w:ascii="Times New Roman" w:eastAsia="Calibri" w:hAnsi="Times New Roman" w:cs="Times New Roman"/>
              </w:rPr>
              <w:t xml:space="preserve"> (Vides izglītības tīkla izveidošana Latvijā)</w:t>
            </w:r>
            <w:r w:rsidRPr="00A07F29">
              <w:rPr>
                <w:rFonts w:ascii="Times New Roman" w:eastAsia="Calibri" w:hAnsi="Times New Roman" w:cs="Times New Roman"/>
              </w:rPr>
              <w:t xml:space="preserve"> vides gidiem</w:t>
            </w:r>
          </w:p>
        </w:tc>
        <w:tc>
          <w:tcPr>
            <w:tcW w:w="1538" w:type="dxa"/>
          </w:tcPr>
          <w:p w14:paraId="64924692" w14:textId="77777777" w:rsidR="009072CE" w:rsidRPr="00A07F29" w:rsidRDefault="009072CE" w:rsidP="00665A15">
            <w:pPr>
              <w:spacing w:after="0" w:line="240" w:lineRule="auto"/>
              <w:ind w:firstLine="851"/>
              <w:rPr>
                <w:rFonts w:ascii="Times New Roman" w:eastAsia="Calibri" w:hAnsi="Times New Roman" w:cs="Times New Roman"/>
              </w:rPr>
            </w:pPr>
          </w:p>
          <w:p w14:paraId="5AAA4593" w14:textId="1AC34DBB"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2011.</w:t>
            </w:r>
            <w:r w:rsidR="000835E6">
              <w:rPr>
                <w:rFonts w:ascii="Times New Roman" w:eastAsia="Calibri" w:hAnsi="Times New Roman" w:cs="Times New Roman"/>
              </w:rPr>
              <w:t> – </w:t>
            </w:r>
            <w:r w:rsidRPr="00A07F29">
              <w:rPr>
                <w:rFonts w:ascii="Times New Roman" w:eastAsia="Calibri" w:hAnsi="Times New Roman" w:cs="Times New Roman"/>
              </w:rPr>
              <w:t>2016.</w:t>
            </w:r>
          </w:p>
        </w:tc>
        <w:tc>
          <w:tcPr>
            <w:tcW w:w="3098" w:type="dxa"/>
          </w:tcPr>
          <w:p w14:paraId="513BFFE1" w14:textId="1C34F63A"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Daugavpils novadā veikta tūrisma gidu apmācība bez dabas specializācijas, Naujenes novadpētniecības muzeja speciālisti un Daugavpils novada aģentūras “TAKA” piesaistītie gidi vada ekskursijas DP “Daugavas loki”</w:t>
            </w:r>
            <w:r w:rsidR="00D44E53">
              <w:rPr>
                <w:rFonts w:ascii="Times New Roman" w:eastAsia="Calibri" w:hAnsi="Times New Roman" w:cs="Times New Roman"/>
              </w:rPr>
              <w:t>.</w:t>
            </w:r>
          </w:p>
        </w:tc>
        <w:tc>
          <w:tcPr>
            <w:tcW w:w="3974" w:type="dxa"/>
          </w:tcPr>
          <w:p w14:paraId="5EF568C4" w14:textId="34110307" w:rsidR="003B6433" w:rsidRPr="00A07F29" w:rsidRDefault="003B6433"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Tūrisma grupu skaits samazinās, vairāk reģionu apmeklē ģimenes vai nelielas grupas, kas neizvēlas specializētu dabas piedāvājumu, tādēļ informācija par dabas vērtībām iekļaujama tūrisma ceļvežos, stendos, jāpiedāvā tūrisma jomas uzņēmējiem. Nepieciešama AAA “Augšdaugava” praktizējošo tūrisma gidu apmācība, akcentējot teritorijā sastopamās dabas vērtības un to saglabāšanas priekšnosacījumus. Atbilstoši pieprasījumam var organizēt arī dabas gidu apmācību.</w:t>
            </w:r>
          </w:p>
          <w:p w14:paraId="05D42EA9" w14:textId="48D43D8E" w:rsidR="009072CE" w:rsidRPr="00A07F29" w:rsidRDefault="009072CE" w:rsidP="00665A15">
            <w:pPr>
              <w:spacing w:after="0" w:line="240" w:lineRule="auto"/>
              <w:rPr>
                <w:rFonts w:ascii="Times New Roman" w:eastAsia="Calibri" w:hAnsi="Times New Roman" w:cs="Times New Roman"/>
              </w:rPr>
            </w:pPr>
          </w:p>
        </w:tc>
      </w:tr>
      <w:tr w:rsidR="009072CE" w:rsidRPr="00A07F29" w14:paraId="7CCA8B34" w14:textId="77777777" w:rsidTr="003B2D97">
        <w:trPr>
          <w:jc w:val="center"/>
        </w:trPr>
        <w:tc>
          <w:tcPr>
            <w:tcW w:w="583" w:type="dxa"/>
          </w:tcPr>
          <w:p w14:paraId="2AF46BB7" w14:textId="77777777" w:rsidR="009072CE" w:rsidRPr="00A07F29" w:rsidRDefault="009072CE" w:rsidP="009072CE">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8.</w:t>
            </w:r>
          </w:p>
        </w:tc>
        <w:tc>
          <w:tcPr>
            <w:tcW w:w="3402" w:type="dxa"/>
          </w:tcPr>
          <w:p w14:paraId="7DD52278" w14:textId="150FD9F5" w:rsidR="009072CE" w:rsidRPr="00A07F29" w:rsidRDefault="00BF0E06" w:rsidP="00665A15">
            <w:pPr>
              <w:spacing w:after="0" w:line="240" w:lineRule="auto"/>
              <w:rPr>
                <w:rFonts w:ascii="Times New Roman" w:eastAsia="Calibri" w:hAnsi="Times New Roman" w:cs="Times New Roman"/>
                <w:bCs/>
              </w:rPr>
            </w:pPr>
            <w:r w:rsidRPr="00A07F29">
              <w:rPr>
                <w:rFonts w:ascii="Times New Roman" w:eastAsia="Calibri" w:hAnsi="Times New Roman" w:cs="Times New Roman"/>
                <w:bCs/>
              </w:rPr>
              <w:t>DP</w:t>
            </w:r>
            <w:r w:rsidR="009072CE" w:rsidRPr="00A07F29">
              <w:rPr>
                <w:rFonts w:ascii="Times New Roman" w:eastAsia="Calibri" w:hAnsi="Times New Roman" w:cs="Times New Roman"/>
                <w:bCs/>
              </w:rPr>
              <w:t xml:space="preserve"> </w:t>
            </w:r>
            <w:r w:rsidR="00882F76">
              <w:rPr>
                <w:rFonts w:ascii="Times New Roman" w:eastAsia="Calibri" w:hAnsi="Times New Roman" w:cs="Times New Roman"/>
                <w:bCs/>
              </w:rPr>
              <w:t>“</w:t>
            </w:r>
            <w:r w:rsidR="009072CE" w:rsidRPr="00A07F29">
              <w:rPr>
                <w:rFonts w:ascii="Times New Roman" w:eastAsia="Calibri" w:hAnsi="Times New Roman" w:cs="Times New Roman"/>
                <w:bCs/>
              </w:rPr>
              <w:t>Daugavas loki” tūrisma ceļveža sagatavošana un izdošana.</w:t>
            </w:r>
            <w:r w:rsidR="009072CE" w:rsidRPr="00A07F29">
              <w:rPr>
                <w:rFonts w:ascii="Times New Roman" w:eastAsia="Calibri" w:hAnsi="Times New Roman" w:cs="Times New Roman"/>
              </w:rPr>
              <w:t xml:space="preserve"> </w:t>
            </w:r>
          </w:p>
          <w:p w14:paraId="7498515F" w14:textId="77777777" w:rsidR="009072CE" w:rsidRPr="00A07F29" w:rsidRDefault="009072CE" w:rsidP="00665A15">
            <w:pPr>
              <w:spacing w:after="0" w:line="240" w:lineRule="auto"/>
              <w:rPr>
                <w:rFonts w:ascii="Times New Roman" w:eastAsia="Calibri" w:hAnsi="Times New Roman" w:cs="Times New Roman"/>
              </w:rPr>
            </w:pPr>
          </w:p>
        </w:tc>
        <w:tc>
          <w:tcPr>
            <w:tcW w:w="2127" w:type="dxa"/>
          </w:tcPr>
          <w:p w14:paraId="1276AC6A" w14:textId="5BFD58DC"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Teritorijā esošās pašvaldības, TIC, DU Latgales tūrisma asociācija, plānošanas reģiona attīstības aģentūra sadarbībā ar vietējiem uzņēmējiem</w:t>
            </w:r>
          </w:p>
        </w:tc>
        <w:tc>
          <w:tcPr>
            <w:tcW w:w="1538" w:type="dxa"/>
          </w:tcPr>
          <w:p w14:paraId="6DC11E92" w14:textId="77777777" w:rsidR="009072CE" w:rsidRPr="00A07F29" w:rsidRDefault="009072CE" w:rsidP="00665A15">
            <w:pPr>
              <w:spacing w:after="0" w:line="240" w:lineRule="auto"/>
              <w:ind w:firstLine="851"/>
              <w:rPr>
                <w:rFonts w:ascii="Times New Roman" w:eastAsia="Calibri" w:hAnsi="Times New Roman" w:cs="Times New Roman"/>
              </w:rPr>
            </w:pPr>
          </w:p>
          <w:p w14:paraId="24BEAC7E" w14:textId="42E103F1"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2011</w:t>
            </w:r>
            <w:r w:rsidR="00CF6152">
              <w:rPr>
                <w:rFonts w:ascii="Times New Roman" w:eastAsia="Calibri" w:hAnsi="Times New Roman" w:cs="Times New Roman"/>
              </w:rPr>
              <w:t>. – </w:t>
            </w:r>
            <w:r w:rsidRPr="00A07F29">
              <w:rPr>
                <w:rFonts w:ascii="Times New Roman" w:eastAsia="Calibri" w:hAnsi="Times New Roman" w:cs="Times New Roman"/>
              </w:rPr>
              <w:t>2012.</w:t>
            </w:r>
          </w:p>
        </w:tc>
        <w:tc>
          <w:tcPr>
            <w:tcW w:w="3098" w:type="dxa"/>
          </w:tcPr>
          <w:p w14:paraId="41EC3584" w14:textId="440BAFDB"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Atsevišķs tūrisma ceļvedis nav sagatavots, informācija tiek iekļauta Daugavpils un Krāslavas TIC sagatavotajos ceļvežos</w:t>
            </w:r>
            <w:r w:rsidR="00524800">
              <w:rPr>
                <w:rFonts w:ascii="Times New Roman" w:eastAsia="Calibri" w:hAnsi="Times New Roman" w:cs="Times New Roman"/>
              </w:rPr>
              <w:t>.</w:t>
            </w:r>
          </w:p>
        </w:tc>
        <w:tc>
          <w:tcPr>
            <w:tcW w:w="3974" w:type="dxa"/>
          </w:tcPr>
          <w:p w14:paraId="1DCDD755" w14:textId="77777777"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 xml:space="preserve">Tā kā interese par “Daugavas lokiem” pieaug, var apsvērt iespēju sagatavot atsevišķu ceļvedi. </w:t>
            </w:r>
          </w:p>
        </w:tc>
      </w:tr>
      <w:tr w:rsidR="009072CE" w:rsidRPr="00A07F29" w14:paraId="0C0B1C85" w14:textId="77777777" w:rsidTr="003B2D97">
        <w:trPr>
          <w:jc w:val="center"/>
        </w:trPr>
        <w:tc>
          <w:tcPr>
            <w:tcW w:w="583" w:type="dxa"/>
          </w:tcPr>
          <w:p w14:paraId="014B33FE" w14:textId="77777777" w:rsidR="009072CE" w:rsidRPr="00A07F29" w:rsidRDefault="009072CE" w:rsidP="009072CE">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9.</w:t>
            </w:r>
          </w:p>
        </w:tc>
        <w:tc>
          <w:tcPr>
            <w:tcW w:w="3402" w:type="dxa"/>
          </w:tcPr>
          <w:p w14:paraId="3D16528B" w14:textId="28E0153B"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bCs/>
              </w:rPr>
              <w:t xml:space="preserve">Tūrisma kartes </w:t>
            </w:r>
            <w:r w:rsidR="00B6642D">
              <w:rPr>
                <w:rFonts w:ascii="Times New Roman" w:eastAsia="Calibri" w:hAnsi="Times New Roman" w:cs="Times New Roman"/>
                <w:bCs/>
              </w:rPr>
              <w:t>“</w:t>
            </w:r>
            <w:r w:rsidRPr="00A07F29">
              <w:rPr>
                <w:rFonts w:ascii="Times New Roman" w:eastAsia="Calibri" w:hAnsi="Times New Roman" w:cs="Times New Roman"/>
                <w:bCs/>
              </w:rPr>
              <w:t xml:space="preserve">Daugavas loki </w:t>
            </w:r>
            <w:r w:rsidR="00B6642D">
              <w:rPr>
                <w:rFonts w:ascii="Times New Roman" w:eastAsia="Calibri" w:hAnsi="Times New Roman" w:cs="Times New Roman"/>
                <w:bCs/>
              </w:rPr>
              <w:t>–</w:t>
            </w:r>
            <w:r w:rsidRPr="00A07F29">
              <w:rPr>
                <w:rFonts w:ascii="Times New Roman" w:eastAsia="Calibri" w:hAnsi="Times New Roman" w:cs="Times New Roman"/>
                <w:bCs/>
              </w:rPr>
              <w:t xml:space="preserve"> </w:t>
            </w:r>
            <w:r w:rsidR="00BF0E06" w:rsidRPr="00A07F29">
              <w:rPr>
                <w:rFonts w:ascii="Times New Roman" w:eastAsia="Calibri" w:hAnsi="Times New Roman" w:cs="Times New Roman"/>
                <w:bCs/>
              </w:rPr>
              <w:t>DP</w:t>
            </w:r>
            <w:r w:rsidRPr="00A07F29">
              <w:rPr>
                <w:rFonts w:ascii="Times New Roman" w:eastAsia="Calibri" w:hAnsi="Times New Roman" w:cs="Times New Roman"/>
                <w:bCs/>
              </w:rPr>
              <w:t xml:space="preserve">” </w:t>
            </w:r>
            <w:r w:rsidRPr="00A07F29">
              <w:rPr>
                <w:rFonts w:ascii="Times New Roman" w:eastAsia="Calibri" w:hAnsi="Times New Roman" w:cs="Times New Roman"/>
              </w:rPr>
              <w:t xml:space="preserve">mērogā 1:100 000 sagatavošana un izdošana </w:t>
            </w:r>
          </w:p>
        </w:tc>
        <w:tc>
          <w:tcPr>
            <w:tcW w:w="2127" w:type="dxa"/>
          </w:tcPr>
          <w:p w14:paraId="1C696BFA" w14:textId="77777777" w:rsidR="009072CE" w:rsidRPr="00A07F29" w:rsidRDefault="009072CE" w:rsidP="00665A15">
            <w:pPr>
              <w:autoSpaceDE w:val="0"/>
              <w:autoSpaceDN w:val="0"/>
              <w:adjustRightInd w:val="0"/>
              <w:spacing w:after="0" w:line="240" w:lineRule="auto"/>
              <w:rPr>
                <w:rFonts w:ascii="Times New Roman" w:eastAsia="Calibri" w:hAnsi="Times New Roman" w:cs="Times New Roman"/>
              </w:rPr>
            </w:pPr>
            <w:r w:rsidRPr="00A07F29">
              <w:rPr>
                <w:rFonts w:ascii="Times New Roman" w:eastAsia="Calibri" w:hAnsi="Times New Roman" w:cs="Times New Roman"/>
              </w:rPr>
              <w:t xml:space="preserve">Pašvaldības, plānošanas reģiona </w:t>
            </w:r>
            <w:r w:rsidRPr="00A07F29">
              <w:rPr>
                <w:rFonts w:ascii="Times New Roman" w:eastAsia="Calibri" w:hAnsi="Times New Roman" w:cs="Times New Roman"/>
              </w:rPr>
              <w:lastRenderedPageBreak/>
              <w:t>attīstības aģentūra, DU, TIC</w:t>
            </w:r>
          </w:p>
        </w:tc>
        <w:tc>
          <w:tcPr>
            <w:tcW w:w="1538" w:type="dxa"/>
          </w:tcPr>
          <w:p w14:paraId="13600DB8" w14:textId="77777777" w:rsidR="009072CE" w:rsidRPr="00A07F29" w:rsidRDefault="009072CE" w:rsidP="00665A15">
            <w:pPr>
              <w:spacing w:after="0" w:line="240" w:lineRule="auto"/>
              <w:ind w:firstLine="851"/>
              <w:rPr>
                <w:rFonts w:ascii="Times New Roman" w:eastAsia="Calibri" w:hAnsi="Times New Roman" w:cs="Times New Roman"/>
              </w:rPr>
            </w:pPr>
          </w:p>
          <w:p w14:paraId="66FB12A6" w14:textId="5E18DFA7"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2011</w:t>
            </w:r>
            <w:r w:rsidR="00A91071">
              <w:rPr>
                <w:rFonts w:ascii="Times New Roman" w:eastAsia="Calibri" w:hAnsi="Times New Roman" w:cs="Times New Roman"/>
              </w:rPr>
              <w:t>. – </w:t>
            </w:r>
            <w:r w:rsidRPr="00A07F29">
              <w:rPr>
                <w:rFonts w:ascii="Times New Roman" w:eastAsia="Calibri" w:hAnsi="Times New Roman" w:cs="Times New Roman"/>
              </w:rPr>
              <w:t xml:space="preserve">2012. </w:t>
            </w:r>
          </w:p>
        </w:tc>
        <w:tc>
          <w:tcPr>
            <w:tcW w:w="3098" w:type="dxa"/>
          </w:tcPr>
          <w:p w14:paraId="49075D18" w14:textId="77777777"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 xml:space="preserve">Sagatavota un pieejama Daugavpils un Krāslavas TIC. Atsevišķa karte iekļauta arī </w:t>
            </w:r>
            <w:r w:rsidRPr="00A07F29">
              <w:rPr>
                <w:rFonts w:ascii="Times New Roman" w:eastAsia="Calibri" w:hAnsi="Times New Roman" w:cs="Times New Roman"/>
              </w:rPr>
              <w:lastRenderedPageBreak/>
              <w:t>Daugavpils novada ik gadu izdotajā tūrisma kartē.</w:t>
            </w:r>
          </w:p>
        </w:tc>
        <w:tc>
          <w:tcPr>
            <w:tcW w:w="3974" w:type="dxa"/>
          </w:tcPr>
          <w:p w14:paraId="3A8B460C" w14:textId="4EF159BD"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lastRenderedPageBreak/>
              <w:t xml:space="preserve">Tūristi ir ieinteresēti un izmanto karti, izvēloties velo un auto maršrutus </w:t>
            </w:r>
            <w:r w:rsidR="17DF0CF7" w:rsidRPr="00A07F29">
              <w:rPr>
                <w:rFonts w:ascii="Times New Roman" w:eastAsia="Calibri" w:hAnsi="Times New Roman" w:cs="Times New Roman"/>
              </w:rPr>
              <w:t>DP</w:t>
            </w:r>
            <w:r w:rsidRPr="00A07F29">
              <w:rPr>
                <w:rFonts w:ascii="Times New Roman" w:eastAsia="Calibri" w:hAnsi="Times New Roman" w:cs="Times New Roman"/>
              </w:rPr>
              <w:t xml:space="preserve">. Karte ir viens no pieprasītākajiem </w:t>
            </w:r>
            <w:r w:rsidRPr="00A07F29">
              <w:rPr>
                <w:rFonts w:ascii="Times New Roman" w:eastAsia="Calibri" w:hAnsi="Times New Roman" w:cs="Times New Roman"/>
              </w:rPr>
              <w:lastRenderedPageBreak/>
              <w:t xml:space="preserve">materiāliem Daugavpils un Krāslavas TIC, un ir tikusi vairākas reizes atkārtoti izdota. Zemes īpašnieki ir informēti par aktivitātēm galvenajos tūrisma objektos, ir atsevišķas konfliktsituācijas (īpašnieks aizliedz staigāt pa savu zemi pie </w:t>
            </w:r>
            <w:proofErr w:type="spellStart"/>
            <w:r w:rsidRPr="00A07F29">
              <w:rPr>
                <w:rFonts w:ascii="Times New Roman" w:eastAsia="Calibri" w:hAnsi="Times New Roman" w:cs="Times New Roman"/>
              </w:rPr>
              <w:t>Vasargelišķu</w:t>
            </w:r>
            <w:proofErr w:type="spellEnd"/>
            <w:r w:rsidRPr="00A07F29">
              <w:rPr>
                <w:rFonts w:ascii="Times New Roman" w:eastAsia="Calibri" w:hAnsi="Times New Roman" w:cs="Times New Roman"/>
              </w:rPr>
              <w:t xml:space="preserve"> torņa, konflikti ar motociklistiem), toties samazinājies sūdzību skaits par tūristu atstātajiem atkritumiem – īpašnieki, pašvaldības un LVM nodrošina atkritumu savākšanu un izvešanu.</w:t>
            </w:r>
          </w:p>
        </w:tc>
      </w:tr>
      <w:tr w:rsidR="009072CE" w:rsidRPr="00A07F29" w14:paraId="1D10240F" w14:textId="77777777" w:rsidTr="003B2D97">
        <w:trPr>
          <w:jc w:val="center"/>
        </w:trPr>
        <w:tc>
          <w:tcPr>
            <w:tcW w:w="583" w:type="dxa"/>
          </w:tcPr>
          <w:p w14:paraId="2151CBD9" w14:textId="575BD7D9" w:rsidR="009072CE" w:rsidRPr="00A07F29" w:rsidRDefault="009072CE" w:rsidP="009072CE">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lastRenderedPageBreak/>
              <w:t>10</w:t>
            </w:r>
            <w:r w:rsidR="00665A15" w:rsidRPr="00A07F29">
              <w:rPr>
                <w:rFonts w:ascii="Times New Roman" w:eastAsia="Calibri" w:hAnsi="Times New Roman" w:cs="Times New Roman"/>
              </w:rPr>
              <w:t>.</w:t>
            </w:r>
          </w:p>
        </w:tc>
        <w:tc>
          <w:tcPr>
            <w:tcW w:w="3402" w:type="dxa"/>
          </w:tcPr>
          <w:p w14:paraId="5A05F9C7" w14:textId="0A0D8F68" w:rsidR="009072CE" w:rsidRPr="00A07F29" w:rsidRDefault="009072CE" w:rsidP="00665A15">
            <w:pPr>
              <w:autoSpaceDE w:val="0"/>
              <w:autoSpaceDN w:val="0"/>
              <w:adjustRightInd w:val="0"/>
              <w:spacing w:after="0" w:line="240" w:lineRule="auto"/>
              <w:rPr>
                <w:rFonts w:ascii="Times New Roman" w:eastAsia="Calibri" w:hAnsi="Times New Roman" w:cs="Times New Roman"/>
              </w:rPr>
            </w:pPr>
            <w:r w:rsidRPr="00A07F29">
              <w:rPr>
                <w:rFonts w:ascii="Times New Roman" w:eastAsia="Calibri" w:hAnsi="Times New Roman" w:cs="Times New Roman"/>
                <w:bCs/>
              </w:rPr>
              <w:t xml:space="preserve">Informatīvs seminārs un pieredzes apmaiņas brauciens </w:t>
            </w:r>
            <w:r w:rsidR="00BF0E06" w:rsidRPr="00A07F29">
              <w:rPr>
                <w:rFonts w:ascii="Times New Roman" w:eastAsia="Calibri" w:hAnsi="Times New Roman" w:cs="Times New Roman"/>
                <w:bCs/>
              </w:rPr>
              <w:t>DP</w:t>
            </w:r>
            <w:r w:rsidRPr="00A07F29">
              <w:rPr>
                <w:rFonts w:ascii="Times New Roman" w:eastAsia="Calibri" w:hAnsi="Times New Roman" w:cs="Times New Roman"/>
                <w:bCs/>
              </w:rPr>
              <w:t xml:space="preserve"> uzņēmējiem</w:t>
            </w:r>
          </w:p>
        </w:tc>
        <w:tc>
          <w:tcPr>
            <w:tcW w:w="2127" w:type="dxa"/>
          </w:tcPr>
          <w:p w14:paraId="324C3F1B" w14:textId="77777777"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Vietējās pašvaldības, TIC, Latgales tūrisma asociācija sadarbībā ar vietējiem uzņēmējiem</w:t>
            </w:r>
          </w:p>
        </w:tc>
        <w:tc>
          <w:tcPr>
            <w:tcW w:w="1538" w:type="dxa"/>
          </w:tcPr>
          <w:p w14:paraId="6B385CA1" w14:textId="77777777" w:rsidR="00665A15" w:rsidRPr="00A07F29" w:rsidRDefault="00665A15" w:rsidP="00665A15">
            <w:pPr>
              <w:spacing w:after="0" w:line="240" w:lineRule="auto"/>
              <w:rPr>
                <w:rFonts w:ascii="Times New Roman" w:eastAsia="Calibri" w:hAnsi="Times New Roman" w:cs="Times New Roman"/>
              </w:rPr>
            </w:pPr>
          </w:p>
          <w:p w14:paraId="38741ED6" w14:textId="17259144"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2011.</w:t>
            </w:r>
            <w:r w:rsidR="00CD5B27">
              <w:rPr>
                <w:rFonts w:ascii="Times New Roman" w:eastAsia="Calibri" w:hAnsi="Times New Roman" w:cs="Times New Roman"/>
              </w:rPr>
              <w:t> – </w:t>
            </w:r>
            <w:r w:rsidRPr="00A07F29">
              <w:rPr>
                <w:rFonts w:ascii="Times New Roman" w:eastAsia="Calibri" w:hAnsi="Times New Roman" w:cs="Times New Roman"/>
              </w:rPr>
              <w:t>2012.</w:t>
            </w:r>
          </w:p>
        </w:tc>
        <w:tc>
          <w:tcPr>
            <w:tcW w:w="3098" w:type="dxa"/>
          </w:tcPr>
          <w:p w14:paraId="59CFC25F" w14:textId="5809A574"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LVAF projekta ietvaros 2011.</w:t>
            </w:r>
            <w:r w:rsidR="00DF7A00">
              <w:rPr>
                <w:rFonts w:ascii="Times New Roman" w:eastAsia="Calibri" w:hAnsi="Times New Roman" w:cs="Times New Roman"/>
              </w:rPr>
              <w:t> </w:t>
            </w:r>
            <w:r w:rsidRPr="00A07F29">
              <w:rPr>
                <w:rFonts w:ascii="Times New Roman" w:eastAsia="Calibri" w:hAnsi="Times New Roman" w:cs="Times New Roman"/>
              </w:rPr>
              <w:t xml:space="preserve">gadā organizēti semināri </w:t>
            </w:r>
            <w:r w:rsidR="00BF0E06" w:rsidRPr="00A07F29">
              <w:rPr>
                <w:rFonts w:ascii="Times New Roman" w:eastAsia="Calibri" w:hAnsi="Times New Roman" w:cs="Times New Roman"/>
              </w:rPr>
              <w:t>DP</w:t>
            </w:r>
            <w:r w:rsidRPr="00A07F29">
              <w:rPr>
                <w:rFonts w:ascii="Times New Roman" w:eastAsia="Calibri" w:hAnsi="Times New Roman" w:cs="Times New Roman"/>
              </w:rPr>
              <w:t xml:space="preserve"> uzņēmējiem</w:t>
            </w:r>
            <w:r w:rsidR="00513700">
              <w:rPr>
                <w:rFonts w:ascii="Times New Roman" w:eastAsia="Calibri" w:hAnsi="Times New Roman" w:cs="Times New Roman"/>
              </w:rPr>
              <w:t>,</w:t>
            </w:r>
            <w:r w:rsidRPr="00A07F29">
              <w:rPr>
                <w:rFonts w:ascii="Times New Roman" w:eastAsia="Calibri" w:hAnsi="Times New Roman" w:cs="Times New Roman"/>
              </w:rPr>
              <w:t xml:space="preserve"> iedzīvotājiem. DAP organizējusi apmācības tūrisma uzņēmējiem Krāslavā. Latgales tūrisma asociācija “Ezerzeme” regulāri organizē pieredzes apmaiņas braucienus, kur iekļauti arī “zaļie” uzņēmēji un lauku amatnieki, kur var piedalīties arī “Daugavas loki”</w:t>
            </w:r>
            <w:r w:rsidR="00665A15" w:rsidRPr="00A07F29">
              <w:rPr>
                <w:rFonts w:ascii="Times New Roman" w:eastAsia="Calibri" w:hAnsi="Times New Roman" w:cs="Times New Roman"/>
              </w:rPr>
              <w:t xml:space="preserve"> </w:t>
            </w:r>
            <w:r w:rsidRPr="00A07F29">
              <w:rPr>
                <w:rFonts w:ascii="Times New Roman" w:eastAsia="Calibri" w:hAnsi="Times New Roman" w:cs="Times New Roman"/>
              </w:rPr>
              <w:t>teritorijā strādājošie uzņēmēji</w:t>
            </w:r>
            <w:r w:rsidR="00513700">
              <w:rPr>
                <w:rFonts w:ascii="Times New Roman" w:eastAsia="Calibri" w:hAnsi="Times New Roman" w:cs="Times New Roman"/>
              </w:rPr>
              <w:t>.</w:t>
            </w:r>
          </w:p>
        </w:tc>
        <w:tc>
          <w:tcPr>
            <w:tcW w:w="3974" w:type="dxa"/>
          </w:tcPr>
          <w:p w14:paraId="12608D0F" w14:textId="7E49BE14"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 xml:space="preserve">Iespējams, ka semināra forma uzņēmēju iesaistīšanai nav pārāk efektīva. Iespējams sadarboties ar </w:t>
            </w:r>
            <w:r w:rsidR="00665A15" w:rsidRPr="00A07F29">
              <w:rPr>
                <w:rFonts w:ascii="Times New Roman" w:eastAsia="Calibri" w:hAnsi="Times New Roman" w:cs="Times New Roman"/>
              </w:rPr>
              <w:t xml:space="preserve">Latgales tūrisma asociāciju </w:t>
            </w:r>
            <w:r w:rsidRPr="00A07F29">
              <w:rPr>
                <w:rFonts w:ascii="Times New Roman" w:eastAsia="Calibri" w:hAnsi="Times New Roman" w:cs="Times New Roman"/>
              </w:rPr>
              <w:t>“Ezerzeme”, lai sasniegtu mērķi</w:t>
            </w:r>
            <w:r w:rsidR="00BE757D">
              <w:rPr>
                <w:rFonts w:ascii="Times New Roman" w:eastAsia="Calibri" w:hAnsi="Times New Roman" w:cs="Times New Roman"/>
              </w:rPr>
              <w:t>,</w:t>
            </w:r>
            <w:r w:rsidRPr="00A07F29">
              <w:rPr>
                <w:rFonts w:ascii="Times New Roman" w:eastAsia="Calibri" w:hAnsi="Times New Roman" w:cs="Times New Roman"/>
              </w:rPr>
              <w:t xml:space="preserve"> izglītot un iesaistīt </w:t>
            </w:r>
            <w:r w:rsidR="00BF0E06" w:rsidRPr="00A07F29">
              <w:rPr>
                <w:rFonts w:ascii="Times New Roman" w:eastAsia="Calibri" w:hAnsi="Times New Roman" w:cs="Times New Roman"/>
              </w:rPr>
              <w:t>DP</w:t>
            </w:r>
            <w:r w:rsidRPr="00A07F29">
              <w:rPr>
                <w:rFonts w:ascii="Times New Roman" w:eastAsia="Calibri" w:hAnsi="Times New Roman" w:cs="Times New Roman"/>
              </w:rPr>
              <w:t xml:space="preserve"> uzņēmējus.</w:t>
            </w:r>
          </w:p>
        </w:tc>
      </w:tr>
      <w:tr w:rsidR="009072CE" w:rsidRPr="00A07F29" w14:paraId="3870D1DA" w14:textId="77777777" w:rsidTr="003B2D97">
        <w:trPr>
          <w:jc w:val="center"/>
        </w:trPr>
        <w:tc>
          <w:tcPr>
            <w:tcW w:w="583" w:type="dxa"/>
          </w:tcPr>
          <w:p w14:paraId="0F44225A" w14:textId="77777777" w:rsidR="009072CE" w:rsidRPr="00A07F29" w:rsidRDefault="009072CE" w:rsidP="009072CE">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11.</w:t>
            </w:r>
          </w:p>
        </w:tc>
        <w:tc>
          <w:tcPr>
            <w:tcW w:w="3402" w:type="dxa"/>
          </w:tcPr>
          <w:p w14:paraId="43E69470" w14:textId="03EE32B3"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 xml:space="preserve">Latvijas nacionālās vides kvalitātes zīmes </w:t>
            </w:r>
            <w:r w:rsidR="00BE757D">
              <w:rPr>
                <w:rFonts w:ascii="Times New Roman" w:eastAsia="Calibri" w:hAnsi="Times New Roman" w:cs="Times New Roman"/>
              </w:rPr>
              <w:t>“</w:t>
            </w:r>
            <w:r w:rsidRPr="00A07F29">
              <w:rPr>
                <w:rFonts w:ascii="Times New Roman" w:eastAsia="Calibri" w:hAnsi="Times New Roman" w:cs="Times New Roman"/>
                <w:b/>
              </w:rPr>
              <w:t>Zaļais sertifikāts</w:t>
            </w:r>
            <w:r w:rsidRPr="00A07F29">
              <w:rPr>
                <w:rFonts w:ascii="Times New Roman" w:eastAsia="Calibri" w:hAnsi="Times New Roman" w:cs="Times New Roman"/>
              </w:rPr>
              <w:t xml:space="preserve">” ieviešanas veicināšana </w:t>
            </w:r>
            <w:r w:rsidR="00BF0E06" w:rsidRPr="00A07F29">
              <w:rPr>
                <w:rFonts w:ascii="Times New Roman" w:eastAsia="Calibri" w:hAnsi="Times New Roman" w:cs="Times New Roman"/>
              </w:rPr>
              <w:t>DP</w:t>
            </w:r>
            <w:r w:rsidRPr="00A07F29">
              <w:rPr>
                <w:rFonts w:ascii="Times New Roman" w:eastAsia="Calibri" w:hAnsi="Times New Roman" w:cs="Times New Roman"/>
              </w:rPr>
              <w:t xml:space="preserve"> tūrisma mītnēs</w:t>
            </w:r>
          </w:p>
        </w:tc>
        <w:tc>
          <w:tcPr>
            <w:tcW w:w="2127" w:type="dxa"/>
          </w:tcPr>
          <w:p w14:paraId="7FD959EF" w14:textId="03275B28" w:rsidR="009072CE" w:rsidRPr="00A07F29" w:rsidRDefault="0003144C" w:rsidP="0003144C">
            <w:pPr>
              <w:spacing w:after="0" w:line="240" w:lineRule="auto"/>
              <w:rPr>
                <w:rFonts w:ascii="Times New Roman" w:eastAsia="Calibri" w:hAnsi="Times New Roman" w:cs="Times New Roman"/>
              </w:rPr>
            </w:pPr>
            <w:r>
              <w:rPr>
                <w:rFonts w:ascii="Times New Roman" w:eastAsia="Calibri" w:hAnsi="Times New Roman" w:cs="Times New Roman"/>
              </w:rPr>
              <w:t>VARAM,</w:t>
            </w:r>
            <w:r w:rsidR="009072CE" w:rsidRPr="00A07F29">
              <w:rPr>
                <w:rFonts w:ascii="Times New Roman" w:eastAsia="Calibri" w:hAnsi="Times New Roman" w:cs="Times New Roman"/>
              </w:rPr>
              <w:t xml:space="preserve"> Latvijas nacionālā mītņu </w:t>
            </w:r>
            <w:proofErr w:type="spellStart"/>
            <w:r w:rsidR="009072CE" w:rsidRPr="00A07F29">
              <w:rPr>
                <w:rFonts w:ascii="Times New Roman" w:eastAsia="Calibri" w:hAnsi="Times New Roman" w:cs="Times New Roman"/>
              </w:rPr>
              <w:t>ekosertifikācijas</w:t>
            </w:r>
            <w:proofErr w:type="spellEnd"/>
            <w:r w:rsidR="009072CE" w:rsidRPr="00A07F29">
              <w:rPr>
                <w:rFonts w:ascii="Times New Roman" w:eastAsia="Calibri" w:hAnsi="Times New Roman" w:cs="Times New Roman"/>
              </w:rPr>
              <w:t xml:space="preserve"> komisija.</w:t>
            </w:r>
          </w:p>
        </w:tc>
        <w:tc>
          <w:tcPr>
            <w:tcW w:w="1538" w:type="dxa"/>
          </w:tcPr>
          <w:p w14:paraId="505C3071" w14:textId="2F8488CF"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2010</w:t>
            </w:r>
            <w:r w:rsidR="00086EB6">
              <w:rPr>
                <w:rFonts w:ascii="Times New Roman" w:eastAsia="Calibri" w:hAnsi="Times New Roman" w:cs="Times New Roman"/>
              </w:rPr>
              <w:t>. – </w:t>
            </w:r>
            <w:r w:rsidRPr="00A07F29">
              <w:rPr>
                <w:rFonts w:ascii="Times New Roman" w:eastAsia="Calibri" w:hAnsi="Times New Roman" w:cs="Times New Roman"/>
              </w:rPr>
              <w:t xml:space="preserve">2022. </w:t>
            </w:r>
          </w:p>
        </w:tc>
        <w:tc>
          <w:tcPr>
            <w:tcW w:w="3098" w:type="dxa"/>
            <w:shd w:val="clear" w:color="auto" w:fill="FFFFFF" w:themeFill="background1"/>
          </w:tcPr>
          <w:p w14:paraId="7BBB3A63" w14:textId="0A8127CC"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“Zaļais sertifikāts” joprojām piešķirts tikai Zirgu sētai “Klajumi”</w:t>
            </w:r>
            <w:r w:rsidR="00086EB6">
              <w:rPr>
                <w:rFonts w:ascii="Times New Roman" w:eastAsia="Calibri" w:hAnsi="Times New Roman" w:cs="Times New Roman"/>
              </w:rPr>
              <w:t>.</w:t>
            </w:r>
          </w:p>
        </w:tc>
        <w:tc>
          <w:tcPr>
            <w:tcW w:w="3974" w:type="dxa"/>
            <w:shd w:val="clear" w:color="auto" w:fill="FFFFFF" w:themeFill="background1"/>
          </w:tcPr>
          <w:p w14:paraId="58BBD1EA" w14:textId="3ACBBC98" w:rsidR="009072CE" w:rsidRPr="00A07F29" w:rsidRDefault="00522079" w:rsidP="00522079">
            <w:pPr>
              <w:spacing w:after="0" w:line="240" w:lineRule="auto"/>
              <w:rPr>
                <w:rFonts w:ascii="Times New Roman" w:eastAsia="Calibri" w:hAnsi="Times New Roman" w:cs="Times New Roman"/>
              </w:rPr>
            </w:pPr>
            <w:r w:rsidRPr="00A07F29">
              <w:rPr>
                <w:rFonts w:ascii="Times New Roman" w:eastAsia="Calibri" w:hAnsi="Times New Roman" w:cs="Times New Roman"/>
              </w:rPr>
              <w:t xml:space="preserve">Nepieciešams atbalstīt tūrisma mītņu un saimniecību </w:t>
            </w:r>
            <w:r w:rsidR="00FD602A">
              <w:rPr>
                <w:rFonts w:ascii="Times New Roman" w:eastAsia="Calibri" w:hAnsi="Times New Roman" w:cs="Times New Roman"/>
              </w:rPr>
              <w:t>“</w:t>
            </w:r>
            <w:r w:rsidRPr="00A07F29">
              <w:rPr>
                <w:rFonts w:ascii="Times New Roman" w:eastAsia="Calibri" w:hAnsi="Times New Roman" w:cs="Times New Roman"/>
              </w:rPr>
              <w:t>Zaļo sertifikāciju”.</w:t>
            </w:r>
          </w:p>
        </w:tc>
      </w:tr>
      <w:tr w:rsidR="009072CE" w:rsidRPr="00A07F29" w14:paraId="0667CF5D" w14:textId="77777777" w:rsidTr="003B2D97">
        <w:trPr>
          <w:jc w:val="center"/>
        </w:trPr>
        <w:tc>
          <w:tcPr>
            <w:tcW w:w="583" w:type="dxa"/>
          </w:tcPr>
          <w:p w14:paraId="5B2F7BD9" w14:textId="77777777" w:rsidR="009072CE" w:rsidRPr="00A07F29" w:rsidRDefault="009072CE" w:rsidP="009072CE">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12.</w:t>
            </w:r>
          </w:p>
        </w:tc>
        <w:tc>
          <w:tcPr>
            <w:tcW w:w="3402" w:type="dxa"/>
          </w:tcPr>
          <w:p w14:paraId="47AF2400" w14:textId="044015E1"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bCs/>
              </w:rPr>
              <w:t xml:space="preserve">Atsevišķas vienotas sadaļas </w:t>
            </w:r>
            <w:r w:rsidR="00FD602A">
              <w:rPr>
                <w:rFonts w:ascii="Times New Roman" w:eastAsia="Calibri" w:hAnsi="Times New Roman" w:cs="Times New Roman"/>
                <w:bCs/>
                <w:i/>
              </w:rPr>
              <w:t>“</w:t>
            </w:r>
            <w:r w:rsidRPr="00A07F29">
              <w:rPr>
                <w:rFonts w:ascii="Times New Roman" w:eastAsia="Calibri" w:hAnsi="Times New Roman" w:cs="Times New Roman"/>
                <w:bCs/>
                <w:i/>
              </w:rPr>
              <w:t xml:space="preserve">Daugavas loki” </w:t>
            </w:r>
            <w:r w:rsidR="00FD602A">
              <w:rPr>
                <w:rFonts w:ascii="Times New Roman" w:eastAsia="Calibri" w:hAnsi="Times New Roman" w:cs="Times New Roman"/>
                <w:bCs/>
                <w:i/>
              </w:rPr>
              <w:t>–</w:t>
            </w:r>
            <w:r w:rsidRPr="00A07F29">
              <w:rPr>
                <w:rFonts w:ascii="Times New Roman" w:eastAsia="Calibri" w:hAnsi="Times New Roman" w:cs="Times New Roman"/>
                <w:bCs/>
                <w:i/>
              </w:rPr>
              <w:t xml:space="preserve"> </w:t>
            </w:r>
            <w:r w:rsidR="00BF0E06" w:rsidRPr="00A07F29">
              <w:rPr>
                <w:rFonts w:ascii="Times New Roman" w:eastAsia="Calibri" w:hAnsi="Times New Roman" w:cs="Times New Roman"/>
                <w:bCs/>
                <w:i/>
              </w:rPr>
              <w:t>DP</w:t>
            </w:r>
            <w:r w:rsidRPr="00A07F29">
              <w:rPr>
                <w:rFonts w:ascii="Times New Roman" w:eastAsia="Calibri" w:hAnsi="Times New Roman" w:cs="Times New Roman"/>
                <w:bCs/>
              </w:rPr>
              <w:t xml:space="preserve"> izveidošana visu ietilpstošo pašvaldību mājaslapās</w:t>
            </w:r>
            <w:r w:rsidRPr="00A07F29">
              <w:rPr>
                <w:rFonts w:ascii="Times New Roman" w:eastAsia="Calibri" w:hAnsi="Times New Roman" w:cs="Times New Roman"/>
              </w:rPr>
              <w:t xml:space="preserve"> </w:t>
            </w:r>
          </w:p>
        </w:tc>
        <w:tc>
          <w:tcPr>
            <w:tcW w:w="2127" w:type="dxa"/>
          </w:tcPr>
          <w:p w14:paraId="2504EA9E" w14:textId="77777777"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 xml:space="preserve">Pašvaldības, TIC </w:t>
            </w:r>
          </w:p>
        </w:tc>
        <w:tc>
          <w:tcPr>
            <w:tcW w:w="1538" w:type="dxa"/>
          </w:tcPr>
          <w:p w14:paraId="48A98857" w14:textId="27D5E5E9"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2010</w:t>
            </w:r>
            <w:r w:rsidR="00FD602A">
              <w:rPr>
                <w:rFonts w:ascii="Times New Roman" w:eastAsia="Calibri" w:hAnsi="Times New Roman" w:cs="Times New Roman"/>
              </w:rPr>
              <w:t>. – </w:t>
            </w:r>
            <w:r w:rsidRPr="00A07F29">
              <w:rPr>
                <w:rFonts w:ascii="Times New Roman" w:eastAsia="Calibri" w:hAnsi="Times New Roman" w:cs="Times New Roman"/>
              </w:rPr>
              <w:t xml:space="preserve">2022. </w:t>
            </w:r>
          </w:p>
        </w:tc>
        <w:tc>
          <w:tcPr>
            <w:tcW w:w="3098" w:type="dxa"/>
            <w:shd w:val="clear" w:color="auto" w:fill="FFFFFF" w:themeFill="background1"/>
          </w:tcPr>
          <w:p w14:paraId="2AE03C63" w14:textId="0040AC83"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Vienota sadaļa nav izveidota, bet informācija atrodama gan Daugavpils un Krāslavas novadu, gan abu TIC mājaslapās</w:t>
            </w:r>
            <w:r w:rsidR="00E256CF">
              <w:rPr>
                <w:rFonts w:ascii="Times New Roman" w:eastAsia="Calibri" w:hAnsi="Times New Roman" w:cs="Times New Roman"/>
              </w:rPr>
              <w:t>.</w:t>
            </w:r>
          </w:p>
        </w:tc>
        <w:tc>
          <w:tcPr>
            <w:tcW w:w="3974" w:type="dxa"/>
            <w:shd w:val="clear" w:color="auto" w:fill="FFFFFF" w:themeFill="background1"/>
          </w:tcPr>
          <w:p w14:paraId="77796014" w14:textId="77777777"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Pašvaldības atzina, ka vienotas sadaļas izveidošana tehniski un administrēšanas ziņā būs sarežģīta. Ja būs interese kādai no organizācijām, var izveidot atsevišķu mājaslapu ar saitēm uz novadu un TIC mājaslapām.</w:t>
            </w:r>
          </w:p>
        </w:tc>
      </w:tr>
      <w:tr w:rsidR="009072CE" w:rsidRPr="00A07F29" w14:paraId="16B80BF6" w14:textId="77777777" w:rsidTr="003B2D97">
        <w:trPr>
          <w:jc w:val="center"/>
        </w:trPr>
        <w:tc>
          <w:tcPr>
            <w:tcW w:w="583" w:type="dxa"/>
          </w:tcPr>
          <w:p w14:paraId="578ACC12" w14:textId="77777777" w:rsidR="009072CE" w:rsidRPr="00A07F29" w:rsidRDefault="009072CE" w:rsidP="009072CE">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lastRenderedPageBreak/>
              <w:t>13.</w:t>
            </w:r>
          </w:p>
        </w:tc>
        <w:tc>
          <w:tcPr>
            <w:tcW w:w="3402" w:type="dxa"/>
          </w:tcPr>
          <w:p w14:paraId="02C3AB9B" w14:textId="236A4990" w:rsidR="009072CE" w:rsidRPr="00A07F29" w:rsidRDefault="00BF0E06" w:rsidP="00665A15">
            <w:pPr>
              <w:spacing w:after="0" w:line="240" w:lineRule="auto"/>
              <w:rPr>
                <w:rFonts w:ascii="Times New Roman" w:eastAsia="Calibri" w:hAnsi="Times New Roman" w:cs="Times New Roman"/>
              </w:rPr>
            </w:pPr>
            <w:r w:rsidRPr="00042B4F">
              <w:rPr>
                <w:rFonts w:ascii="Times New Roman" w:eastAsia="Calibri" w:hAnsi="Times New Roman" w:cs="Times New Roman"/>
              </w:rPr>
              <w:t>DP</w:t>
            </w:r>
            <w:r w:rsidR="009072CE" w:rsidRPr="00042B4F">
              <w:rPr>
                <w:rFonts w:ascii="Times New Roman" w:eastAsia="Calibri" w:hAnsi="Times New Roman" w:cs="Times New Roman"/>
              </w:rPr>
              <w:t xml:space="preserve"> teritorijas</w:t>
            </w:r>
            <w:r w:rsidR="009072CE" w:rsidRPr="00A07F29">
              <w:rPr>
                <w:rFonts w:ascii="Times New Roman" w:eastAsia="Calibri" w:hAnsi="Times New Roman" w:cs="Times New Roman"/>
              </w:rPr>
              <w:t xml:space="preserve"> apzīmēšana dabā, zīmju atjaunošana</w:t>
            </w:r>
          </w:p>
        </w:tc>
        <w:tc>
          <w:tcPr>
            <w:tcW w:w="2127" w:type="dxa"/>
          </w:tcPr>
          <w:p w14:paraId="279AFD5A" w14:textId="77777777"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Pašvaldības sadarbībā ar DAP</w:t>
            </w:r>
          </w:p>
        </w:tc>
        <w:tc>
          <w:tcPr>
            <w:tcW w:w="1538" w:type="dxa"/>
          </w:tcPr>
          <w:p w14:paraId="7FF62755" w14:textId="02E1CC8A"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2010.</w:t>
            </w:r>
            <w:r w:rsidR="00755615">
              <w:rPr>
                <w:rFonts w:ascii="Times New Roman" w:eastAsia="Calibri" w:hAnsi="Times New Roman" w:cs="Times New Roman"/>
              </w:rPr>
              <w:t> – </w:t>
            </w:r>
            <w:r w:rsidRPr="00A07F29">
              <w:rPr>
                <w:rFonts w:ascii="Times New Roman" w:eastAsia="Calibri" w:hAnsi="Times New Roman" w:cs="Times New Roman"/>
              </w:rPr>
              <w:t>2022.</w:t>
            </w:r>
          </w:p>
        </w:tc>
        <w:tc>
          <w:tcPr>
            <w:tcW w:w="3098" w:type="dxa"/>
          </w:tcPr>
          <w:p w14:paraId="214FDD38" w14:textId="3F978FBC"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 xml:space="preserve">Zīmju uzstādīšana veikta projektā LLB-2-258 </w:t>
            </w:r>
            <w:r w:rsidR="00755615">
              <w:rPr>
                <w:rFonts w:ascii="Times New Roman" w:eastAsia="Calibri" w:hAnsi="Times New Roman" w:cs="Times New Roman"/>
              </w:rPr>
              <w:t>–</w:t>
            </w:r>
            <w:r w:rsidRPr="00A07F29">
              <w:rPr>
                <w:rFonts w:ascii="Times New Roman" w:eastAsia="Calibri" w:hAnsi="Times New Roman" w:cs="Times New Roman"/>
              </w:rPr>
              <w:t xml:space="preserve"> </w:t>
            </w:r>
            <w:r w:rsidR="00755615">
              <w:rPr>
                <w:rFonts w:ascii="Times New Roman" w:eastAsia="Calibri" w:hAnsi="Times New Roman" w:cs="Times New Roman"/>
              </w:rPr>
              <w:t>“</w:t>
            </w:r>
            <w:r w:rsidRPr="00A07F29">
              <w:rPr>
                <w:rFonts w:ascii="Times New Roman" w:eastAsia="Calibri" w:hAnsi="Times New Roman" w:cs="Times New Roman"/>
              </w:rPr>
              <w:t xml:space="preserve">Pārrobežu daba” / </w:t>
            </w:r>
            <w:r w:rsidR="00755615">
              <w:rPr>
                <w:rFonts w:ascii="Times New Roman" w:eastAsia="Calibri" w:hAnsi="Times New Roman" w:cs="Times New Roman"/>
              </w:rPr>
              <w:t>“</w:t>
            </w:r>
            <w:proofErr w:type="spellStart"/>
            <w:r w:rsidRPr="00A07F29">
              <w:rPr>
                <w:rFonts w:ascii="Times New Roman" w:eastAsia="Calibri" w:hAnsi="Times New Roman" w:cs="Times New Roman"/>
              </w:rPr>
              <w:t>Cross-border</w:t>
            </w:r>
            <w:proofErr w:type="spellEnd"/>
            <w:r w:rsidRPr="00A07F29">
              <w:rPr>
                <w:rFonts w:ascii="Times New Roman" w:eastAsia="Calibri" w:hAnsi="Times New Roman" w:cs="Times New Roman"/>
              </w:rPr>
              <w:t xml:space="preserve"> Nature</w:t>
            </w:r>
            <w:r w:rsidR="00755615">
              <w:rPr>
                <w:rFonts w:ascii="Times New Roman" w:eastAsia="Calibri" w:hAnsi="Times New Roman" w:cs="Times New Roman"/>
              </w:rPr>
              <w:t>”</w:t>
            </w:r>
            <w:r w:rsidRPr="00A07F29">
              <w:rPr>
                <w:rFonts w:ascii="Times New Roman" w:eastAsia="Calibri" w:hAnsi="Times New Roman" w:cs="Times New Roman"/>
              </w:rPr>
              <w:t>, uzstādītas arī lielas informatīvas zīmes “Augšdaugava” uz ceļiem</w:t>
            </w:r>
            <w:r w:rsidR="00755615">
              <w:rPr>
                <w:rFonts w:ascii="Times New Roman" w:eastAsia="Calibri" w:hAnsi="Times New Roman" w:cs="Times New Roman"/>
              </w:rPr>
              <w:t>.</w:t>
            </w:r>
          </w:p>
        </w:tc>
        <w:tc>
          <w:tcPr>
            <w:tcW w:w="3974" w:type="dxa"/>
          </w:tcPr>
          <w:p w14:paraId="0FE67235" w14:textId="503E03FC" w:rsidR="009072CE" w:rsidRPr="00A07F29" w:rsidRDefault="00CF286C"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Z</w:t>
            </w:r>
            <w:r w:rsidR="009072CE" w:rsidRPr="00A07F29">
              <w:rPr>
                <w:rFonts w:ascii="Times New Roman" w:eastAsia="Calibri" w:hAnsi="Times New Roman" w:cs="Times New Roman"/>
              </w:rPr>
              <w:t xml:space="preserve">īmju skaits pašlaik </w:t>
            </w:r>
            <w:r w:rsidR="00665A15" w:rsidRPr="00A07F29">
              <w:rPr>
                <w:rFonts w:ascii="Times New Roman" w:eastAsia="Calibri" w:hAnsi="Times New Roman" w:cs="Times New Roman"/>
              </w:rPr>
              <w:t xml:space="preserve">ir </w:t>
            </w:r>
            <w:r w:rsidR="009072CE" w:rsidRPr="00A07F29">
              <w:rPr>
                <w:rFonts w:ascii="Times New Roman" w:eastAsia="Calibri" w:hAnsi="Times New Roman" w:cs="Times New Roman"/>
              </w:rPr>
              <w:t>pietiekams</w:t>
            </w:r>
            <w:r w:rsidR="00371918" w:rsidRPr="00A07F29">
              <w:rPr>
                <w:rFonts w:ascii="Times New Roman" w:eastAsia="Calibri" w:hAnsi="Times New Roman" w:cs="Times New Roman"/>
              </w:rPr>
              <w:t xml:space="preserve"> DP </w:t>
            </w:r>
            <w:r w:rsidR="00FE7FEC">
              <w:rPr>
                <w:rFonts w:ascii="Times New Roman" w:eastAsia="Calibri" w:hAnsi="Times New Roman" w:cs="Times New Roman"/>
              </w:rPr>
              <w:t>“</w:t>
            </w:r>
            <w:r w:rsidR="00371918" w:rsidRPr="00A07F29">
              <w:rPr>
                <w:rFonts w:ascii="Times New Roman" w:eastAsia="Calibri" w:hAnsi="Times New Roman" w:cs="Times New Roman"/>
              </w:rPr>
              <w:t>Daugavas loki</w:t>
            </w:r>
            <w:r w:rsidR="00FE7FEC">
              <w:rPr>
                <w:rFonts w:ascii="Times New Roman" w:eastAsia="Calibri" w:hAnsi="Times New Roman" w:cs="Times New Roman"/>
              </w:rPr>
              <w:t>”</w:t>
            </w:r>
            <w:r w:rsidR="00371918" w:rsidRPr="00A07F29">
              <w:rPr>
                <w:rFonts w:ascii="Times New Roman" w:eastAsia="Calibri" w:hAnsi="Times New Roman" w:cs="Times New Roman"/>
              </w:rPr>
              <w:t xml:space="preserve">, ir lielas </w:t>
            </w:r>
            <w:r w:rsidR="00665A15" w:rsidRPr="00A07F29">
              <w:rPr>
                <w:rFonts w:ascii="Times New Roman" w:eastAsia="Calibri" w:hAnsi="Times New Roman" w:cs="Times New Roman"/>
              </w:rPr>
              <w:t>informatīvas zīmes</w:t>
            </w:r>
            <w:r w:rsidR="00371918" w:rsidRPr="00A07F29">
              <w:rPr>
                <w:rFonts w:ascii="Times New Roman" w:eastAsia="Calibri" w:hAnsi="Times New Roman" w:cs="Times New Roman"/>
              </w:rPr>
              <w:t xml:space="preserve"> “Augšdaugava” uz ceļiem. Nepieciešams iezīmēt visu AAA robežu.</w:t>
            </w:r>
          </w:p>
        </w:tc>
      </w:tr>
      <w:tr w:rsidR="009072CE" w:rsidRPr="00A07F29" w14:paraId="5E959F64" w14:textId="77777777" w:rsidTr="003B2D97">
        <w:trPr>
          <w:jc w:val="center"/>
        </w:trPr>
        <w:tc>
          <w:tcPr>
            <w:tcW w:w="583" w:type="dxa"/>
          </w:tcPr>
          <w:p w14:paraId="2DAF9264" w14:textId="77777777" w:rsidR="009072CE" w:rsidRPr="00A07F29" w:rsidRDefault="009072CE" w:rsidP="009072CE">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14.</w:t>
            </w:r>
          </w:p>
        </w:tc>
        <w:tc>
          <w:tcPr>
            <w:tcW w:w="3402" w:type="dxa"/>
          </w:tcPr>
          <w:p w14:paraId="438FDEBE" w14:textId="77777777"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Ūdens piesārņojuma samazināšana upēs</w:t>
            </w:r>
          </w:p>
        </w:tc>
        <w:tc>
          <w:tcPr>
            <w:tcW w:w="2127" w:type="dxa"/>
          </w:tcPr>
          <w:p w14:paraId="016105C1" w14:textId="14A15A93"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RVP</w:t>
            </w:r>
            <w:r w:rsidR="00FE7FEC">
              <w:rPr>
                <w:rFonts w:ascii="Times New Roman" w:eastAsia="Calibri" w:hAnsi="Times New Roman" w:cs="Times New Roman"/>
              </w:rPr>
              <w:t>,</w:t>
            </w:r>
          </w:p>
          <w:p w14:paraId="022671B8" w14:textId="77777777"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 xml:space="preserve">Pašvaldības </w:t>
            </w:r>
          </w:p>
        </w:tc>
        <w:tc>
          <w:tcPr>
            <w:tcW w:w="1538" w:type="dxa"/>
          </w:tcPr>
          <w:p w14:paraId="17E54097" w14:textId="7036B924"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2010</w:t>
            </w:r>
            <w:r w:rsidR="00FE7FEC">
              <w:rPr>
                <w:rFonts w:ascii="Times New Roman" w:eastAsia="Calibri" w:hAnsi="Times New Roman" w:cs="Times New Roman"/>
              </w:rPr>
              <w:t>. – </w:t>
            </w:r>
            <w:r w:rsidRPr="00A07F29">
              <w:rPr>
                <w:rFonts w:ascii="Times New Roman" w:eastAsia="Calibri" w:hAnsi="Times New Roman" w:cs="Times New Roman"/>
              </w:rPr>
              <w:t>2022.</w:t>
            </w:r>
          </w:p>
        </w:tc>
        <w:tc>
          <w:tcPr>
            <w:tcW w:w="3098" w:type="dxa"/>
          </w:tcPr>
          <w:p w14:paraId="50EBAE4A" w14:textId="7E699016"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Papildu pasākumi nav veikti</w:t>
            </w:r>
            <w:r w:rsidR="00FE7FEC">
              <w:rPr>
                <w:rFonts w:ascii="Times New Roman" w:eastAsia="Calibri" w:hAnsi="Times New Roman" w:cs="Times New Roman"/>
              </w:rPr>
              <w:t>.</w:t>
            </w:r>
          </w:p>
        </w:tc>
        <w:tc>
          <w:tcPr>
            <w:tcW w:w="3974" w:type="dxa"/>
          </w:tcPr>
          <w:p w14:paraId="7C8A3EBC" w14:textId="0E31271D" w:rsidR="009072CE" w:rsidRPr="00A07F29" w:rsidRDefault="00CF286C" w:rsidP="31987BBB">
            <w:pPr>
              <w:spacing w:after="0" w:line="240" w:lineRule="auto"/>
              <w:rPr>
                <w:rFonts w:ascii="Times New Roman" w:eastAsia="Calibri" w:hAnsi="Times New Roman" w:cs="Times New Roman"/>
              </w:rPr>
            </w:pPr>
            <w:r w:rsidRPr="00A07F29">
              <w:rPr>
                <w:rFonts w:ascii="Times New Roman" w:eastAsia="Calibri" w:hAnsi="Times New Roman" w:cs="Times New Roman"/>
              </w:rPr>
              <w:t>Pasākums attiecas uz ikdienas uzturēšanu vai periodiskām talkām. Nav nepieciešams atsevišķs pasākums dabas aizsardzības plānā</w:t>
            </w:r>
            <w:r w:rsidR="00F62D85" w:rsidRPr="00A07F29">
              <w:rPr>
                <w:rFonts w:ascii="Times New Roman" w:eastAsia="Calibri" w:hAnsi="Times New Roman" w:cs="Times New Roman"/>
              </w:rPr>
              <w:t>.</w:t>
            </w:r>
          </w:p>
        </w:tc>
      </w:tr>
      <w:tr w:rsidR="009072CE" w:rsidRPr="00A07F29" w14:paraId="3B42CC9C" w14:textId="77777777" w:rsidTr="003B2D97">
        <w:trPr>
          <w:jc w:val="center"/>
        </w:trPr>
        <w:tc>
          <w:tcPr>
            <w:tcW w:w="583" w:type="dxa"/>
          </w:tcPr>
          <w:p w14:paraId="2D10AB27" w14:textId="77777777" w:rsidR="009072CE" w:rsidRPr="00A07F29" w:rsidRDefault="009072CE" w:rsidP="009072CE">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15.</w:t>
            </w:r>
          </w:p>
        </w:tc>
        <w:tc>
          <w:tcPr>
            <w:tcW w:w="3402" w:type="dxa"/>
          </w:tcPr>
          <w:p w14:paraId="7382B940" w14:textId="0EB642B4"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 xml:space="preserve">Upju (Daugava, </w:t>
            </w:r>
            <w:proofErr w:type="spellStart"/>
            <w:r w:rsidRPr="00A07F29">
              <w:rPr>
                <w:rFonts w:ascii="Times New Roman" w:eastAsia="Calibri" w:hAnsi="Times New Roman" w:cs="Times New Roman"/>
              </w:rPr>
              <w:t>Poguļanka</w:t>
            </w:r>
            <w:proofErr w:type="spellEnd"/>
            <w:r w:rsidRPr="00A07F29">
              <w:rPr>
                <w:rFonts w:ascii="Times New Roman" w:eastAsia="Calibri" w:hAnsi="Times New Roman" w:cs="Times New Roman"/>
              </w:rPr>
              <w:t xml:space="preserve">, </w:t>
            </w:r>
            <w:proofErr w:type="spellStart"/>
            <w:r w:rsidRPr="00A07F29">
              <w:rPr>
                <w:rFonts w:ascii="Times New Roman" w:eastAsia="Calibri" w:hAnsi="Times New Roman" w:cs="Times New Roman"/>
              </w:rPr>
              <w:t>Rudņa</w:t>
            </w:r>
            <w:proofErr w:type="spellEnd"/>
            <w:r w:rsidRPr="00A07F29">
              <w:rPr>
                <w:rFonts w:ascii="Times New Roman" w:eastAsia="Calibri" w:hAnsi="Times New Roman" w:cs="Times New Roman"/>
              </w:rPr>
              <w:t xml:space="preserve"> utt</w:t>
            </w:r>
            <w:r w:rsidR="0035712D">
              <w:rPr>
                <w:rFonts w:ascii="Times New Roman" w:eastAsia="Calibri" w:hAnsi="Times New Roman" w:cs="Times New Roman"/>
              </w:rPr>
              <w:t>.</w:t>
            </w:r>
            <w:r w:rsidRPr="00A07F29">
              <w:rPr>
                <w:rFonts w:ascii="Times New Roman" w:eastAsia="Calibri" w:hAnsi="Times New Roman" w:cs="Times New Roman"/>
              </w:rPr>
              <w:t>) gultnes un krastu tīrīšana no atkritumiem, bebru skaita kontrolēšana</w:t>
            </w:r>
          </w:p>
        </w:tc>
        <w:tc>
          <w:tcPr>
            <w:tcW w:w="2127" w:type="dxa"/>
          </w:tcPr>
          <w:p w14:paraId="7909D464" w14:textId="77777777"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Pašvaldības, mednieku-makšķernieku biedrības</w:t>
            </w:r>
          </w:p>
        </w:tc>
        <w:tc>
          <w:tcPr>
            <w:tcW w:w="1538" w:type="dxa"/>
          </w:tcPr>
          <w:p w14:paraId="0926022F" w14:textId="5CD1E74F"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2010</w:t>
            </w:r>
            <w:r w:rsidR="0004462D">
              <w:rPr>
                <w:rFonts w:ascii="Times New Roman" w:eastAsia="Calibri" w:hAnsi="Times New Roman" w:cs="Times New Roman"/>
              </w:rPr>
              <w:t>. – </w:t>
            </w:r>
            <w:r w:rsidRPr="00A07F29">
              <w:rPr>
                <w:rFonts w:ascii="Times New Roman" w:eastAsia="Calibri" w:hAnsi="Times New Roman" w:cs="Times New Roman"/>
              </w:rPr>
              <w:t>2022.</w:t>
            </w:r>
          </w:p>
        </w:tc>
        <w:tc>
          <w:tcPr>
            <w:tcW w:w="3098" w:type="dxa"/>
          </w:tcPr>
          <w:p w14:paraId="122E7050" w14:textId="6FAC7551"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Upju krastus no atkritumiem tīra pašvaldības tām piederošajās atpūtas vietās, sabiedriskās organizācijas talku veidā</w:t>
            </w:r>
            <w:r w:rsidR="00300D72">
              <w:rPr>
                <w:rFonts w:ascii="Times New Roman" w:eastAsia="Calibri" w:hAnsi="Times New Roman" w:cs="Times New Roman"/>
              </w:rPr>
              <w:t>.</w:t>
            </w:r>
          </w:p>
        </w:tc>
        <w:tc>
          <w:tcPr>
            <w:tcW w:w="3974" w:type="dxa"/>
          </w:tcPr>
          <w:p w14:paraId="1A97591F" w14:textId="67A6CD77"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Pasākums jāturpina regulāri</w:t>
            </w:r>
            <w:r w:rsidR="00A34279">
              <w:rPr>
                <w:rFonts w:ascii="Times New Roman" w:eastAsia="Calibri" w:hAnsi="Times New Roman" w:cs="Times New Roman"/>
              </w:rPr>
              <w:t>.</w:t>
            </w:r>
          </w:p>
        </w:tc>
      </w:tr>
      <w:tr w:rsidR="009072CE" w:rsidRPr="00A07F29" w14:paraId="7814A531" w14:textId="77777777" w:rsidTr="003B2D97">
        <w:trPr>
          <w:jc w:val="center"/>
        </w:trPr>
        <w:tc>
          <w:tcPr>
            <w:tcW w:w="583" w:type="dxa"/>
          </w:tcPr>
          <w:p w14:paraId="0CB0480E" w14:textId="77777777" w:rsidR="009072CE" w:rsidRPr="00A07F29" w:rsidRDefault="009072CE" w:rsidP="009072CE">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16.</w:t>
            </w:r>
          </w:p>
        </w:tc>
        <w:tc>
          <w:tcPr>
            <w:tcW w:w="3402" w:type="dxa"/>
          </w:tcPr>
          <w:p w14:paraId="61C8EA38" w14:textId="6DFB848C"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Veikt tūrisma slodzes monitoringu un, ja nepieciešams,</w:t>
            </w:r>
            <w:r w:rsidR="00D65BBA" w:rsidRPr="00A07F29">
              <w:rPr>
                <w:rFonts w:ascii="Times New Roman" w:eastAsia="Calibri" w:hAnsi="Times New Roman" w:cs="Times New Roman"/>
              </w:rPr>
              <w:t xml:space="preserve"> </w:t>
            </w:r>
            <w:r w:rsidRPr="00A07F29">
              <w:rPr>
                <w:rFonts w:ascii="Times New Roman" w:eastAsia="Calibri" w:hAnsi="Times New Roman" w:cs="Times New Roman"/>
              </w:rPr>
              <w:t>norobežot tūristiem pieejamās kraujas ar nožogojumu (</w:t>
            </w:r>
            <w:proofErr w:type="spellStart"/>
            <w:r w:rsidRPr="00A07F29">
              <w:rPr>
                <w:rFonts w:ascii="Times New Roman" w:eastAsia="Calibri" w:hAnsi="Times New Roman" w:cs="Times New Roman"/>
              </w:rPr>
              <w:t>Slutišķu</w:t>
            </w:r>
            <w:proofErr w:type="spellEnd"/>
            <w:r w:rsidRPr="00A07F29">
              <w:rPr>
                <w:rFonts w:ascii="Times New Roman" w:eastAsia="Calibri" w:hAnsi="Times New Roman" w:cs="Times New Roman"/>
              </w:rPr>
              <w:t xml:space="preserve"> un </w:t>
            </w:r>
            <w:proofErr w:type="spellStart"/>
            <w:r w:rsidRPr="00A07F29">
              <w:rPr>
                <w:rFonts w:ascii="Times New Roman" w:eastAsia="Calibri" w:hAnsi="Times New Roman" w:cs="Times New Roman"/>
              </w:rPr>
              <w:t>Ververu</w:t>
            </w:r>
            <w:proofErr w:type="spellEnd"/>
            <w:r w:rsidRPr="00A07F29">
              <w:rPr>
                <w:rFonts w:ascii="Times New Roman" w:eastAsia="Calibri" w:hAnsi="Times New Roman" w:cs="Times New Roman"/>
              </w:rPr>
              <w:t xml:space="preserve"> krauja, Adamovas krauja, Sproģu gravas)</w:t>
            </w:r>
          </w:p>
        </w:tc>
        <w:tc>
          <w:tcPr>
            <w:tcW w:w="2127" w:type="dxa"/>
          </w:tcPr>
          <w:p w14:paraId="73CE5BD4" w14:textId="476A6197"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Pašvaldības</w:t>
            </w:r>
            <w:r w:rsidR="000D13B9">
              <w:rPr>
                <w:rFonts w:ascii="Times New Roman" w:eastAsia="Calibri" w:hAnsi="Times New Roman" w:cs="Times New Roman"/>
              </w:rPr>
              <w:t>,</w:t>
            </w:r>
          </w:p>
          <w:p w14:paraId="4EA5CD06" w14:textId="77777777"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 xml:space="preserve">DU </w:t>
            </w:r>
          </w:p>
        </w:tc>
        <w:tc>
          <w:tcPr>
            <w:tcW w:w="1538" w:type="dxa"/>
          </w:tcPr>
          <w:p w14:paraId="49B74681" w14:textId="074DC2E3"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2010</w:t>
            </w:r>
            <w:r w:rsidR="000D13B9">
              <w:rPr>
                <w:rFonts w:ascii="Times New Roman" w:eastAsia="Calibri" w:hAnsi="Times New Roman" w:cs="Times New Roman"/>
              </w:rPr>
              <w:t>. – </w:t>
            </w:r>
            <w:r w:rsidRPr="00A07F29">
              <w:rPr>
                <w:rFonts w:ascii="Times New Roman" w:eastAsia="Calibri" w:hAnsi="Times New Roman" w:cs="Times New Roman"/>
              </w:rPr>
              <w:t>2022.</w:t>
            </w:r>
          </w:p>
        </w:tc>
        <w:tc>
          <w:tcPr>
            <w:tcW w:w="3098" w:type="dxa"/>
          </w:tcPr>
          <w:p w14:paraId="6BD4810E" w14:textId="4D3A445F"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Norobežojums un kāpnes uzstādīt</w:t>
            </w:r>
            <w:r w:rsidR="000D13B9">
              <w:rPr>
                <w:rFonts w:ascii="Times New Roman" w:eastAsia="Calibri" w:hAnsi="Times New Roman" w:cs="Times New Roman"/>
              </w:rPr>
              <w:t>a</w:t>
            </w:r>
            <w:r w:rsidRPr="00A07F29">
              <w:rPr>
                <w:rFonts w:ascii="Times New Roman" w:eastAsia="Calibri" w:hAnsi="Times New Roman" w:cs="Times New Roman"/>
              </w:rPr>
              <w:t xml:space="preserve">s </w:t>
            </w:r>
            <w:proofErr w:type="spellStart"/>
            <w:r w:rsidRPr="00A07F29">
              <w:rPr>
                <w:rFonts w:ascii="Times New Roman" w:eastAsia="Calibri" w:hAnsi="Times New Roman" w:cs="Times New Roman"/>
              </w:rPr>
              <w:t>Slutišķu</w:t>
            </w:r>
            <w:proofErr w:type="spellEnd"/>
            <w:r w:rsidRPr="00A07F29">
              <w:rPr>
                <w:rFonts w:ascii="Times New Roman" w:eastAsia="Calibri" w:hAnsi="Times New Roman" w:cs="Times New Roman"/>
              </w:rPr>
              <w:t xml:space="preserve"> kraujā (LVM)</w:t>
            </w:r>
            <w:r w:rsidR="00501DF7" w:rsidRPr="00A07F29">
              <w:rPr>
                <w:rFonts w:ascii="Times New Roman" w:eastAsia="Calibri" w:hAnsi="Times New Roman" w:cs="Times New Roman"/>
              </w:rPr>
              <w:t>.</w:t>
            </w:r>
          </w:p>
          <w:p w14:paraId="1718AF36" w14:textId="62997C50" w:rsidR="00501DF7" w:rsidRPr="00A07F29" w:rsidRDefault="00501DF7"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 xml:space="preserve">Ir uzstādīti apmeklētāju skaitītāji </w:t>
            </w:r>
            <w:r w:rsidR="000D13B9">
              <w:rPr>
                <w:rFonts w:ascii="Times New Roman" w:eastAsia="Calibri" w:hAnsi="Times New Roman" w:cs="Times New Roman"/>
              </w:rPr>
              <w:t>septiņās</w:t>
            </w:r>
            <w:r w:rsidRPr="00A07F29">
              <w:rPr>
                <w:rFonts w:ascii="Times New Roman" w:eastAsia="Calibri" w:hAnsi="Times New Roman" w:cs="Times New Roman"/>
              </w:rPr>
              <w:t xml:space="preserve"> vietās un slodzes monitorings noteikt </w:t>
            </w:r>
            <w:r w:rsidR="00DC7B02">
              <w:rPr>
                <w:rFonts w:ascii="Times New Roman" w:eastAsia="Calibri" w:hAnsi="Times New Roman" w:cs="Times New Roman"/>
              </w:rPr>
              <w:t>divas</w:t>
            </w:r>
            <w:r w:rsidRPr="00A07F29">
              <w:rPr>
                <w:rFonts w:ascii="Times New Roman" w:eastAsia="Calibri" w:hAnsi="Times New Roman" w:cs="Times New Roman"/>
              </w:rPr>
              <w:t xml:space="preserve"> reizes gadā.</w:t>
            </w:r>
          </w:p>
        </w:tc>
        <w:tc>
          <w:tcPr>
            <w:tcW w:w="3974" w:type="dxa"/>
          </w:tcPr>
          <w:p w14:paraId="2906771F" w14:textId="7EAE1136" w:rsidR="009072CE" w:rsidRPr="00A07F29" w:rsidRDefault="00501DF7" w:rsidP="00501DF7">
            <w:pPr>
              <w:spacing w:after="0" w:line="240" w:lineRule="auto"/>
              <w:rPr>
                <w:rFonts w:ascii="Times New Roman" w:eastAsia="Calibri" w:hAnsi="Times New Roman" w:cs="Times New Roman"/>
              </w:rPr>
            </w:pPr>
            <w:r w:rsidRPr="00A07F29">
              <w:rPr>
                <w:rFonts w:ascii="Times New Roman" w:eastAsia="Calibri" w:hAnsi="Times New Roman" w:cs="Times New Roman"/>
              </w:rPr>
              <w:t>Jāturpina</w:t>
            </w:r>
            <w:r w:rsidR="009072CE" w:rsidRPr="00A07F29">
              <w:rPr>
                <w:rFonts w:ascii="Times New Roman" w:eastAsia="Calibri" w:hAnsi="Times New Roman" w:cs="Times New Roman"/>
              </w:rPr>
              <w:t xml:space="preserve"> tūrisma slodzes monitorings, jo ir izveidota jauna infrastruktūra un tūristu plūsma vasaras sezonā palielinās.</w:t>
            </w:r>
          </w:p>
        </w:tc>
      </w:tr>
      <w:tr w:rsidR="009072CE" w:rsidRPr="00A07F29" w14:paraId="4A6244F9" w14:textId="77777777" w:rsidTr="003B2D97">
        <w:trPr>
          <w:jc w:val="center"/>
        </w:trPr>
        <w:tc>
          <w:tcPr>
            <w:tcW w:w="583" w:type="dxa"/>
          </w:tcPr>
          <w:p w14:paraId="4B124D33" w14:textId="77777777" w:rsidR="009072CE" w:rsidRPr="00A07F29" w:rsidRDefault="009072CE" w:rsidP="009072CE">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17.</w:t>
            </w:r>
          </w:p>
        </w:tc>
        <w:tc>
          <w:tcPr>
            <w:tcW w:w="3402" w:type="dxa"/>
          </w:tcPr>
          <w:p w14:paraId="182875DF" w14:textId="05DD89EA"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Daļēji novākt</w:t>
            </w:r>
            <w:r w:rsidR="00D65BBA" w:rsidRPr="00A07F29">
              <w:rPr>
                <w:rFonts w:ascii="Times New Roman" w:eastAsia="Calibri" w:hAnsi="Times New Roman" w:cs="Times New Roman"/>
              </w:rPr>
              <w:t xml:space="preserve"> </w:t>
            </w:r>
            <w:proofErr w:type="spellStart"/>
            <w:r w:rsidRPr="00A07F29">
              <w:rPr>
                <w:rFonts w:ascii="Times New Roman" w:eastAsia="Calibri" w:hAnsi="Times New Roman" w:cs="Times New Roman"/>
              </w:rPr>
              <w:t>Slutišķu</w:t>
            </w:r>
            <w:proofErr w:type="spellEnd"/>
            <w:r w:rsidRPr="00A07F29">
              <w:rPr>
                <w:rFonts w:ascii="Times New Roman" w:eastAsia="Calibri" w:hAnsi="Times New Roman" w:cs="Times New Roman"/>
              </w:rPr>
              <w:t xml:space="preserve"> un </w:t>
            </w:r>
            <w:proofErr w:type="spellStart"/>
            <w:r w:rsidRPr="00A07F29">
              <w:rPr>
                <w:rFonts w:ascii="Times New Roman" w:eastAsia="Calibri" w:hAnsi="Times New Roman" w:cs="Times New Roman"/>
              </w:rPr>
              <w:t>Ververu</w:t>
            </w:r>
            <w:proofErr w:type="spellEnd"/>
            <w:r w:rsidRPr="00A07F29">
              <w:rPr>
                <w:rFonts w:ascii="Times New Roman" w:eastAsia="Calibri" w:hAnsi="Times New Roman" w:cs="Times New Roman"/>
              </w:rPr>
              <w:t xml:space="preserve"> krauju apskati traucējošo apaugumu</w:t>
            </w:r>
          </w:p>
        </w:tc>
        <w:tc>
          <w:tcPr>
            <w:tcW w:w="2127" w:type="dxa"/>
          </w:tcPr>
          <w:p w14:paraId="633EA568" w14:textId="77777777"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DAP</w:t>
            </w:r>
          </w:p>
        </w:tc>
        <w:tc>
          <w:tcPr>
            <w:tcW w:w="1538" w:type="dxa"/>
          </w:tcPr>
          <w:p w14:paraId="755C65DD" w14:textId="0D4B2C8E"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2010.</w:t>
            </w:r>
            <w:r w:rsidR="003109C2">
              <w:rPr>
                <w:rFonts w:ascii="Times New Roman" w:eastAsia="Calibri" w:hAnsi="Times New Roman" w:cs="Times New Roman"/>
              </w:rPr>
              <w:t> – </w:t>
            </w:r>
            <w:r w:rsidRPr="00A07F29">
              <w:rPr>
                <w:rFonts w:ascii="Times New Roman" w:eastAsia="Calibri" w:hAnsi="Times New Roman" w:cs="Times New Roman"/>
              </w:rPr>
              <w:t>2022.</w:t>
            </w:r>
          </w:p>
        </w:tc>
        <w:tc>
          <w:tcPr>
            <w:tcW w:w="3098" w:type="dxa"/>
          </w:tcPr>
          <w:p w14:paraId="74BCBC61" w14:textId="17F90287"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 xml:space="preserve">Apaugums daļēji novākts </w:t>
            </w:r>
            <w:proofErr w:type="spellStart"/>
            <w:r w:rsidRPr="00A07F29">
              <w:rPr>
                <w:rFonts w:ascii="Times New Roman" w:eastAsia="Calibri" w:hAnsi="Times New Roman" w:cs="Times New Roman"/>
              </w:rPr>
              <w:t>Slutišķu</w:t>
            </w:r>
            <w:proofErr w:type="spellEnd"/>
            <w:r w:rsidRPr="00A07F29">
              <w:rPr>
                <w:rFonts w:ascii="Times New Roman" w:eastAsia="Calibri" w:hAnsi="Times New Roman" w:cs="Times New Roman"/>
              </w:rPr>
              <w:t xml:space="preserve"> kraujā</w:t>
            </w:r>
            <w:r w:rsidR="003109C2">
              <w:rPr>
                <w:rFonts w:ascii="Times New Roman" w:eastAsia="Calibri" w:hAnsi="Times New Roman" w:cs="Times New Roman"/>
              </w:rPr>
              <w:t>.</w:t>
            </w:r>
            <w:r w:rsidRPr="00A07F29">
              <w:rPr>
                <w:rFonts w:ascii="Times New Roman" w:eastAsia="Calibri" w:hAnsi="Times New Roman" w:cs="Times New Roman"/>
              </w:rPr>
              <w:t xml:space="preserve"> </w:t>
            </w:r>
          </w:p>
        </w:tc>
        <w:tc>
          <w:tcPr>
            <w:tcW w:w="3974" w:type="dxa"/>
          </w:tcPr>
          <w:p w14:paraId="0793C110" w14:textId="77777777"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Daļēji atvērts skats no atpūtas vietas “</w:t>
            </w:r>
            <w:proofErr w:type="spellStart"/>
            <w:r w:rsidRPr="00A07F29">
              <w:rPr>
                <w:rFonts w:ascii="Times New Roman" w:eastAsia="Calibri" w:hAnsi="Times New Roman" w:cs="Times New Roman"/>
              </w:rPr>
              <w:t>Slutišķu</w:t>
            </w:r>
            <w:proofErr w:type="spellEnd"/>
            <w:r w:rsidRPr="00A07F29">
              <w:rPr>
                <w:rFonts w:ascii="Times New Roman" w:eastAsia="Calibri" w:hAnsi="Times New Roman" w:cs="Times New Roman"/>
              </w:rPr>
              <w:t xml:space="preserve"> krauja”. Nepieciešams turpināt novākšanu.</w:t>
            </w:r>
          </w:p>
        </w:tc>
      </w:tr>
      <w:tr w:rsidR="009072CE" w:rsidRPr="00A07F29" w14:paraId="398BBDE1" w14:textId="77777777" w:rsidTr="003B2D97">
        <w:trPr>
          <w:jc w:val="center"/>
        </w:trPr>
        <w:tc>
          <w:tcPr>
            <w:tcW w:w="583" w:type="dxa"/>
          </w:tcPr>
          <w:p w14:paraId="36FCED35" w14:textId="77777777" w:rsidR="009072CE" w:rsidRPr="00A07F29" w:rsidRDefault="009072CE" w:rsidP="009072CE">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18.</w:t>
            </w:r>
          </w:p>
        </w:tc>
        <w:tc>
          <w:tcPr>
            <w:tcW w:w="3402" w:type="dxa"/>
          </w:tcPr>
          <w:p w14:paraId="2024E18C" w14:textId="77777777"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Piešķirt vietējas/valsts nozīmes dabas pieminekļa statusu (Vecpils gravas avotu ūdenskritumi)</w:t>
            </w:r>
          </w:p>
        </w:tc>
        <w:tc>
          <w:tcPr>
            <w:tcW w:w="2127" w:type="dxa"/>
          </w:tcPr>
          <w:p w14:paraId="41ED82CA" w14:textId="4771FF6D"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Pašvaldības</w:t>
            </w:r>
            <w:r w:rsidR="008F5889">
              <w:rPr>
                <w:rFonts w:ascii="Times New Roman" w:eastAsia="Calibri" w:hAnsi="Times New Roman" w:cs="Times New Roman"/>
              </w:rPr>
              <w:t>,</w:t>
            </w:r>
          </w:p>
          <w:p w14:paraId="4FBF4B6F" w14:textId="697769A7"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LV</w:t>
            </w:r>
            <w:r w:rsidR="008F5889">
              <w:rPr>
                <w:rFonts w:ascii="Times New Roman" w:eastAsia="Calibri" w:hAnsi="Times New Roman" w:cs="Times New Roman"/>
              </w:rPr>
              <w:t>Ģ</w:t>
            </w:r>
            <w:r w:rsidRPr="00A07F29">
              <w:rPr>
                <w:rFonts w:ascii="Times New Roman" w:eastAsia="Calibri" w:hAnsi="Times New Roman" w:cs="Times New Roman"/>
              </w:rPr>
              <w:t>MC</w:t>
            </w:r>
            <w:r w:rsidR="008F5889">
              <w:rPr>
                <w:rFonts w:ascii="Times New Roman" w:eastAsia="Calibri" w:hAnsi="Times New Roman" w:cs="Times New Roman"/>
              </w:rPr>
              <w:t>,</w:t>
            </w:r>
          </w:p>
          <w:p w14:paraId="78BDC92C" w14:textId="77777777"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DAP</w:t>
            </w:r>
          </w:p>
        </w:tc>
        <w:tc>
          <w:tcPr>
            <w:tcW w:w="1538" w:type="dxa"/>
          </w:tcPr>
          <w:p w14:paraId="23DB93BF" w14:textId="2F9CAC15"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2010.</w:t>
            </w:r>
            <w:r w:rsidR="008F5889">
              <w:rPr>
                <w:rFonts w:ascii="Times New Roman" w:eastAsia="Calibri" w:hAnsi="Times New Roman" w:cs="Times New Roman"/>
              </w:rPr>
              <w:t> – </w:t>
            </w:r>
            <w:r w:rsidRPr="00A07F29">
              <w:rPr>
                <w:rFonts w:ascii="Times New Roman" w:eastAsia="Calibri" w:hAnsi="Times New Roman" w:cs="Times New Roman"/>
              </w:rPr>
              <w:t>2011.</w:t>
            </w:r>
          </w:p>
        </w:tc>
        <w:tc>
          <w:tcPr>
            <w:tcW w:w="3098" w:type="dxa"/>
          </w:tcPr>
          <w:p w14:paraId="39BFDC7B" w14:textId="28827759"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Nav veikts</w:t>
            </w:r>
            <w:r w:rsidR="008F5889">
              <w:rPr>
                <w:rFonts w:ascii="Times New Roman" w:eastAsia="Calibri" w:hAnsi="Times New Roman" w:cs="Times New Roman"/>
              </w:rPr>
              <w:t>.</w:t>
            </w:r>
          </w:p>
        </w:tc>
        <w:tc>
          <w:tcPr>
            <w:tcW w:w="3974" w:type="dxa"/>
          </w:tcPr>
          <w:p w14:paraId="107A2936" w14:textId="1E4E6579" w:rsidR="009072CE" w:rsidRPr="00A07F29" w:rsidRDefault="00665A15"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 xml:space="preserve">Aktuāli, </w:t>
            </w:r>
            <w:r w:rsidR="009072CE" w:rsidRPr="00A07F29">
              <w:rPr>
                <w:rFonts w:ascii="Times New Roman" w:eastAsia="Calibri" w:hAnsi="Times New Roman" w:cs="Times New Roman"/>
              </w:rPr>
              <w:t xml:space="preserve">AAA teritorijā atrodas vēl atsevišķi īpatnēji ģeoloģiski veidojumi (Velna dobes </w:t>
            </w:r>
            <w:proofErr w:type="spellStart"/>
            <w:r w:rsidR="009072CE" w:rsidRPr="00A07F29">
              <w:rPr>
                <w:rFonts w:ascii="Times New Roman" w:eastAsia="Calibri" w:hAnsi="Times New Roman" w:cs="Times New Roman"/>
              </w:rPr>
              <w:t>Rudņas</w:t>
            </w:r>
            <w:proofErr w:type="spellEnd"/>
            <w:r w:rsidR="009072CE" w:rsidRPr="00A07F29">
              <w:rPr>
                <w:rFonts w:ascii="Times New Roman" w:eastAsia="Calibri" w:hAnsi="Times New Roman" w:cs="Times New Roman"/>
              </w:rPr>
              <w:t xml:space="preserve"> lokā, Rudais akmens Daugavā pie </w:t>
            </w:r>
            <w:proofErr w:type="spellStart"/>
            <w:r w:rsidR="009072CE" w:rsidRPr="00A07F29">
              <w:rPr>
                <w:rFonts w:ascii="Times New Roman" w:eastAsia="Calibri" w:hAnsi="Times New Roman" w:cs="Times New Roman"/>
              </w:rPr>
              <w:t>Koškovciem</w:t>
            </w:r>
            <w:proofErr w:type="spellEnd"/>
            <w:r w:rsidR="009072CE" w:rsidRPr="00A07F29">
              <w:rPr>
                <w:rFonts w:ascii="Times New Roman" w:eastAsia="Calibri" w:hAnsi="Times New Roman" w:cs="Times New Roman"/>
              </w:rPr>
              <w:t>), kam nav noteikts aizsardzības statuss.</w:t>
            </w:r>
            <w:r w:rsidR="00D65BBA" w:rsidRPr="00A07F29">
              <w:rPr>
                <w:rFonts w:ascii="Times New Roman" w:eastAsia="Calibri" w:hAnsi="Times New Roman" w:cs="Times New Roman"/>
              </w:rPr>
              <w:t xml:space="preserve"> </w:t>
            </w:r>
          </w:p>
        </w:tc>
      </w:tr>
      <w:tr w:rsidR="009072CE" w:rsidRPr="00A07F29" w14:paraId="78E487DE" w14:textId="77777777" w:rsidTr="003B2D97">
        <w:trPr>
          <w:jc w:val="center"/>
        </w:trPr>
        <w:tc>
          <w:tcPr>
            <w:tcW w:w="583" w:type="dxa"/>
          </w:tcPr>
          <w:p w14:paraId="41004298" w14:textId="77777777" w:rsidR="009072CE" w:rsidRPr="00A07F29" w:rsidRDefault="009072CE" w:rsidP="009072CE">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19.</w:t>
            </w:r>
          </w:p>
        </w:tc>
        <w:tc>
          <w:tcPr>
            <w:tcW w:w="3402" w:type="dxa"/>
          </w:tcPr>
          <w:p w14:paraId="4207A39A" w14:textId="77777777" w:rsidR="009072CE" w:rsidRPr="00A07F29" w:rsidRDefault="009072CE" w:rsidP="00665A15">
            <w:pPr>
              <w:spacing w:after="0" w:line="240" w:lineRule="auto"/>
              <w:rPr>
                <w:rFonts w:ascii="Times New Roman" w:eastAsia="Calibri" w:hAnsi="Times New Roman" w:cs="Times New Roman"/>
              </w:rPr>
            </w:pPr>
            <w:proofErr w:type="spellStart"/>
            <w:r w:rsidRPr="00A07F29">
              <w:rPr>
                <w:rFonts w:ascii="Times New Roman" w:eastAsia="Calibri" w:hAnsi="Times New Roman" w:cs="Times New Roman"/>
              </w:rPr>
              <w:t>Ihtioloģiskais</w:t>
            </w:r>
            <w:proofErr w:type="spellEnd"/>
            <w:r w:rsidRPr="00A07F29">
              <w:rPr>
                <w:rFonts w:ascii="Times New Roman" w:eastAsia="Calibri" w:hAnsi="Times New Roman" w:cs="Times New Roman"/>
              </w:rPr>
              <w:t xml:space="preserve"> monitorings (Valsts Bioloģiskās daudzveidības monitoringa programmas sastāvdaļa), apsekojot arī mazās upes</w:t>
            </w:r>
          </w:p>
        </w:tc>
        <w:tc>
          <w:tcPr>
            <w:tcW w:w="2127" w:type="dxa"/>
          </w:tcPr>
          <w:p w14:paraId="3A1C1161" w14:textId="0AE3A489"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LVĢMC</w:t>
            </w:r>
            <w:r w:rsidR="00E34CBF">
              <w:rPr>
                <w:rFonts w:ascii="Times New Roman" w:eastAsia="Calibri" w:hAnsi="Times New Roman" w:cs="Times New Roman"/>
              </w:rPr>
              <w:t>;</w:t>
            </w:r>
          </w:p>
          <w:p w14:paraId="0ACFB203" w14:textId="2F9FA3F5" w:rsidR="009072CE" w:rsidRPr="00A07F29" w:rsidRDefault="009072CE" w:rsidP="002D4403">
            <w:pPr>
              <w:spacing w:after="0" w:line="240" w:lineRule="auto"/>
              <w:rPr>
                <w:rFonts w:ascii="Times New Roman" w:eastAsia="Calibri" w:hAnsi="Times New Roman" w:cs="Times New Roman"/>
              </w:rPr>
            </w:pPr>
            <w:r w:rsidRPr="00A07F29">
              <w:rPr>
                <w:rFonts w:ascii="Times New Roman" w:eastAsia="Calibri" w:hAnsi="Times New Roman" w:cs="Times New Roman"/>
              </w:rPr>
              <w:t>L</w:t>
            </w:r>
            <w:r w:rsidR="00DE7D59">
              <w:rPr>
                <w:rFonts w:ascii="Times New Roman" w:eastAsia="Calibri" w:hAnsi="Times New Roman" w:cs="Times New Roman"/>
              </w:rPr>
              <w:t>atvijas Zivju resursu aģentūra</w:t>
            </w:r>
            <w:r w:rsidR="00BB742C">
              <w:rPr>
                <w:rFonts w:ascii="Times New Roman" w:eastAsia="Calibri" w:hAnsi="Times New Roman" w:cs="Times New Roman"/>
              </w:rPr>
              <w:t xml:space="preserve"> (kopš 01.01.2010. BIOR)</w:t>
            </w:r>
          </w:p>
        </w:tc>
        <w:tc>
          <w:tcPr>
            <w:tcW w:w="1538" w:type="dxa"/>
          </w:tcPr>
          <w:p w14:paraId="5CECD702" w14:textId="2667E645"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2010.</w:t>
            </w:r>
            <w:r w:rsidR="004E3D3C">
              <w:rPr>
                <w:rFonts w:ascii="Times New Roman" w:eastAsia="Calibri" w:hAnsi="Times New Roman" w:cs="Times New Roman"/>
              </w:rPr>
              <w:t> – </w:t>
            </w:r>
            <w:r w:rsidRPr="00A07F29">
              <w:rPr>
                <w:rFonts w:ascii="Times New Roman" w:eastAsia="Calibri" w:hAnsi="Times New Roman" w:cs="Times New Roman"/>
              </w:rPr>
              <w:t>2022.</w:t>
            </w:r>
          </w:p>
        </w:tc>
        <w:tc>
          <w:tcPr>
            <w:tcW w:w="3098" w:type="dxa"/>
          </w:tcPr>
          <w:p w14:paraId="0501513B" w14:textId="7AF9BB61"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Nav veikti speciāli pasākumi</w:t>
            </w:r>
            <w:r w:rsidR="004E3D3C">
              <w:rPr>
                <w:rFonts w:ascii="Times New Roman" w:eastAsia="Calibri" w:hAnsi="Times New Roman" w:cs="Times New Roman"/>
              </w:rPr>
              <w:t>.</w:t>
            </w:r>
          </w:p>
        </w:tc>
        <w:tc>
          <w:tcPr>
            <w:tcW w:w="3974" w:type="dxa"/>
          </w:tcPr>
          <w:p w14:paraId="1E95EE52" w14:textId="59968208"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Jāveic esošā monitoringa ietvaros</w:t>
            </w:r>
            <w:r w:rsidR="004E3D3C">
              <w:rPr>
                <w:rFonts w:ascii="Times New Roman" w:eastAsia="Calibri" w:hAnsi="Times New Roman" w:cs="Times New Roman"/>
              </w:rPr>
              <w:t>.</w:t>
            </w:r>
          </w:p>
        </w:tc>
      </w:tr>
      <w:tr w:rsidR="009072CE" w:rsidRPr="00A07F29" w14:paraId="74E27FBA" w14:textId="77777777" w:rsidTr="003B2D97">
        <w:trPr>
          <w:jc w:val="center"/>
        </w:trPr>
        <w:tc>
          <w:tcPr>
            <w:tcW w:w="583" w:type="dxa"/>
          </w:tcPr>
          <w:p w14:paraId="723D45CF" w14:textId="77777777" w:rsidR="009072CE" w:rsidRPr="00A07F29" w:rsidRDefault="009072CE" w:rsidP="009072CE">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lastRenderedPageBreak/>
              <w:t>20.</w:t>
            </w:r>
          </w:p>
        </w:tc>
        <w:tc>
          <w:tcPr>
            <w:tcW w:w="3402" w:type="dxa"/>
          </w:tcPr>
          <w:p w14:paraId="33AC0146" w14:textId="4C3BDF23"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 xml:space="preserve">Nodrošināt malu zvejas samazināšanu </w:t>
            </w:r>
            <w:r w:rsidR="00BF0E06" w:rsidRPr="00A07F29">
              <w:rPr>
                <w:rFonts w:ascii="Times New Roman" w:eastAsia="Calibri" w:hAnsi="Times New Roman" w:cs="Times New Roman"/>
              </w:rPr>
              <w:t>DP</w:t>
            </w:r>
            <w:r w:rsidRPr="00A07F29">
              <w:rPr>
                <w:rFonts w:ascii="Times New Roman" w:eastAsia="Calibri" w:hAnsi="Times New Roman" w:cs="Times New Roman"/>
              </w:rPr>
              <w:t xml:space="preserve"> teritorijā</w:t>
            </w:r>
          </w:p>
        </w:tc>
        <w:tc>
          <w:tcPr>
            <w:tcW w:w="2127" w:type="dxa"/>
          </w:tcPr>
          <w:p w14:paraId="34C76973" w14:textId="2E8C33F0" w:rsidR="009072CE" w:rsidRPr="00A07F29" w:rsidRDefault="009072CE" w:rsidP="00C25036">
            <w:pPr>
              <w:spacing w:after="0" w:line="240" w:lineRule="auto"/>
              <w:rPr>
                <w:rFonts w:ascii="Times New Roman" w:eastAsia="Calibri" w:hAnsi="Times New Roman" w:cs="Times New Roman"/>
              </w:rPr>
            </w:pPr>
            <w:r w:rsidRPr="00A07F29">
              <w:rPr>
                <w:rFonts w:ascii="Times New Roman" w:eastAsia="Calibri" w:hAnsi="Times New Roman" w:cs="Times New Roman"/>
              </w:rPr>
              <w:t>J</w:t>
            </w:r>
            <w:r w:rsidR="00C25036">
              <w:rPr>
                <w:rFonts w:ascii="Times New Roman" w:eastAsia="Calibri" w:hAnsi="Times New Roman" w:cs="Times New Roman"/>
              </w:rPr>
              <w:t xml:space="preserve">ūras un iekšējo ūdeņu pārvalde </w:t>
            </w:r>
          </w:p>
        </w:tc>
        <w:tc>
          <w:tcPr>
            <w:tcW w:w="1538" w:type="dxa"/>
          </w:tcPr>
          <w:p w14:paraId="61253452" w14:textId="337BD06A"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2010.</w:t>
            </w:r>
            <w:r w:rsidR="00C106B0">
              <w:rPr>
                <w:rFonts w:ascii="Times New Roman" w:eastAsia="Calibri" w:hAnsi="Times New Roman" w:cs="Times New Roman"/>
              </w:rPr>
              <w:t> – </w:t>
            </w:r>
            <w:r w:rsidRPr="00A07F29">
              <w:rPr>
                <w:rFonts w:ascii="Times New Roman" w:eastAsia="Calibri" w:hAnsi="Times New Roman" w:cs="Times New Roman"/>
              </w:rPr>
              <w:t xml:space="preserve">2022. </w:t>
            </w:r>
          </w:p>
        </w:tc>
        <w:tc>
          <w:tcPr>
            <w:tcW w:w="3098" w:type="dxa"/>
          </w:tcPr>
          <w:p w14:paraId="6B551BEE" w14:textId="2FF74C59"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Veiktas kontroles parastajā kārtībā</w:t>
            </w:r>
            <w:r w:rsidR="00C106B0">
              <w:rPr>
                <w:rFonts w:ascii="Times New Roman" w:eastAsia="Calibri" w:hAnsi="Times New Roman" w:cs="Times New Roman"/>
              </w:rPr>
              <w:t>.</w:t>
            </w:r>
          </w:p>
        </w:tc>
        <w:tc>
          <w:tcPr>
            <w:tcW w:w="3974" w:type="dxa"/>
          </w:tcPr>
          <w:p w14:paraId="3B1D7A1D" w14:textId="10A5B6D2"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Veiktas kontroles parastajā kārtībā</w:t>
            </w:r>
            <w:r w:rsidR="005326B1" w:rsidRPr="00A07F29">
              <w:rPr>
                <w:rFonts w:ascii="Times New Roman" w:eastAsia="Calibri" w:hAnsi="Times New Roman" w:cs="Times New Roman"/>
              </w:rPr>
              <w:t>. Nav nepieciešams īpašs pasākums DA plānā</w:t>
            </w:r>
            <w:r w:rsidR="009D3586">
              <w:rPr>
                <w:rFonts w:ascii="Times New Roman" w:eastAsia="Calibri" w:hAnsi="Times New Roman" w:cs="Times New Roman"/>
              </w:rPr>
              <w:t>.</w:t>
            </w:r>
          </w:p>
        </w:tc>
      </w:tr>
      <w:tr w:rsidR="009072CE" w:rsidRPr="00A07F29" w14:paraId="4F115D55" w14:textId="77777777" w:rsidTr="003B2D97">
        <w:trPr>
          <w:jc w:val="center"/>
        </w:trPr>
        <w:tc>
          <w:tcPr>
            <w:tcW w:w="583" w:type="dxa"/>
          </w:tcPr>
          <w:p w14:paraId="304AF091" w14:textId="77777777" w:rsidR="009072CE" w:rsidRPr="00A07F29" w:rsidRDefault="009072CE" w:rsidP="009072CE">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21.</w:t>
            </w:r>
          </w:p>
        </w:tc>
        <w:tc>
          <w:tcPr>
            <w:tcW w:w="3402" w:type="dxa"/>
          </w:tcPr>
          <w:p w14:paraId="45FBB707" w14:textId="18CF848E"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Papildu pētījumu veikšana strauta nēģa, kā arī</w:t>
            </w:r>
            <w:r w:rsidR="00D65BBA" w:rsidRPr="00A07F29">
              <w:rPr>
                <w:rFonts w:ascii="Times New Roman" w:eastAsia="Calibri" w:hAnsi="Times New Roman" w:cs="Times New Roman"/>
              </w:rPr>
              <w:t xml:space="preserve"> </w:t>
            </w:r>
            <w:proofErr w:type="spellStart"/>
            <w:r w:rsidRPr="00A07F29">
              <w:rPr>
                <w:rFonts w:ascii="Times New Roman" w:eastAsia="Calibri" w:hAnsi="Times New Roman" w:cs="Times New Roman"/>
              </w:rPr>
              <w:t>platgalves</w:t>
            </w:r>
            <w:proofErr w:type="spellEnd"/>
            <w:r w:rsidRPr="00A07F29">
              <w:rPr>
                <w:rFonts w:ascii="Times New Roman" w:eastAsia="Calibri" w:hAnsi="Times New Roman" w:cs="Times New Roman"/>
              </w:rPr>
              <w:t xml:space="preserve">, pīkstes un citu aizsargājamo zivju sugu izplatības noteikšanai mazajās upēs </w:t>
            </w:r>
            <w:r w:rsidR="68AF5110" w:rsidRPr="00A07F29">
              <w:rPr>
                <w:rFonts w:ascii="Times New Roman" w:eastAsia="Calibri" w:hAnsi="Times New Roman" w:cs="Times New Roman"/>
              </w:rPr>
              <w:t>DP</w:t>
            </w:r>
          </w:p>
        </w:tc>
        <w:tc>
          <w:tcPr>
            <w:tcW w:w="2127" w:type="dxa"/>
          </w:tcPr>
          <w:p w14:paraId="64A964E7" w14:textId="7088CC9E"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L</w:t>
            </w:r>
            <w:r w:rsidR="00BB742C" w:rsidRPr="00BB742C">
              <w:rPr>
                <w:rFonts w:ascii="Times New Roman" w:eastAsia="Calibri" w:hAnsi="Times New Roman" w:cs="Times New Roman"/>
              </w:rPr>
              <w:t>atvijas Zivju resursu aģentūra (kopš 01.01.2010. BIOR)</w:t>
            </w:r>
          </w:p>
          <w:p w14:paraId="5190D832" w14:textId="77777777" w:rsidR="009072CE" w:rsidRPr="00A07F29" w:rsidRDefault="009072CE" w:rsidP="00665A15">
            <w:pPr>
              <w:autoSpaceDE w:val="0"/>
              <w:autoSpaceDN w:val="0"/>
              <w:adjustRightInd w:val="0"/>
              <w:spacing w:after="0" w:line="240" w:lineRule="auto"/>
              <w:rPr>
                <w:rFonts w:ascii="Times New Roman" w:eastAsia="Calibri" w:hAnsi="Times New Roman" w:cs="Times New Roman"/>
              </w:rPr>
            </w:pPr>
          </w:p>
        </w:tc>
        <w:tc>
          <w:tcPr>
            <w:tcW w:w="1538" w:type="dxa"/>
          </w:tcPr>
          <w:p w14:paraId="3CC2CDAE" w14:textId="5A97AAF1"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2015.</w:t>
            </w:r>
            <w:r w:rsidR="007D72D3">
              <w:rPr>
                <w:rFonts w:ascii="Times New Roman" w:eastAsia="Calibri" w:hAnsi="Times New Roman" w:cs="Times New Roman"/>
              </w:rPr>
              <w:t> – </w:t>
            </w:r>
            <w:r w:rsidRPr="00A07F29">
              <w:rPr>
                <w:rFonts w:ascii="Times New Roman" w:eastAsia="Calibri" w:hAnsi="Times New Roman" w:cs="Times New Roman"/>
              </w:rPr>
              <w:t>2022.</w:t>
            </w:r>
          </w:p>
        </w:tc>
        <w:tc>
          <w:tcPr>
            <w:tcW w:w="3098" w:type="dxa"/>
          </w:tcPr>
          <w:p w14:paraId="18596C0C" w14:textId="0785D38B"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Nav zināms</w:t>
            </w:r>
            <w:r w:rsidR="007D72D3">
              <w:rPr>
                <w:rFonts w:ascii="Times New Roman" w:eastAsia="Calibri" w:hAnsi="Times New Roman" w:cs="Times New Roman"/>
              </w:rPr>
              <w:t>.</w:t>
            </w:r>
            <w:r w:rsidRPr="00A07F29">
              <w:rPr>
                <w:rFonts w:ascii="Times New Roman" w:eastAsia="Calibri" w:hAnsi="Times New Roman" w:cs="Times New Roman"/>
              </w:rPr>
              <w:t xml:space="preserve"> </w:t>
            </w:r>
          </w:p>
        </w:tc>
        <w:tc>
          <w:tcPr>
            <w:tcW w:w="3974" w:type="dxa"/>
          </w:tcPr>
          <w:p w14:paraId="3992C80D" w14:textId="2FEC2CA4"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 xml:space="preserve">Jāveic </w:t>
            </w:r>
            <w:proofErr w:type="spellStart"/>
            <w:r w:rsidR="0092556E" w:rsidRPr="00A07F29">
              <w:rPr>
                <w:rFonts w:ascii="Times New Roman" w:eastAsia="Calibri" w:hAnsi="Times New Roman" w:cs="Times New Roman"/>
                <w:i/>
              </w:rPr>
              <w:t>Natura</w:t>
            </w:r>
            <w:proofErr w:type="spellEnd"/>
            <w:r w:rsidRPr="00A07F29">
              <w:rPr>
                <w:rFonts w:ascii="Times New Roman" w:eastAsia="Calibri" w:hAnsi="Times New Roman" w:cs="Times New Roman"/>
                <w:i/>
              </w:rPr>
              <w:t xml:space="preserve"> 2000</w:t>
            </w:r>
            <w:r w:rsidRPr="00A07F29">
              <w:rPr>
                <w:rFonts w:ascii="Times New Roman" w:eastAsia="Calibri" w:hAnsi="Times New Roman" w:cs="Times New Roman"/>
              </w:rPr>
              <w:t xml:space="preserve"> monitoringa ietvaros</w:t>
            </w:r>
          </w:p>
        </w:tc>
      </w:tr>
      <w:tr w:rsidR="009072CE" w:rsidRPr="00A07F29" w14:paraId="2C5BC70F" w14:textId="77777777" w:rsidTr="003B2D97">
        <w:trPr>
          <w:jc w:val="center"/>
        </w:trPr>
        <w:tc>
          <w:tcPr>
            <w:tcW w:w="583" w:type="dxa"/>
          </w:tcPr>
          <w:p w14:paraId="68367213" w14:textId="77777777" w:rsidR="009072CE" w:rsidRPr="00A07F29" w:rsidRDefault="009072CE" w:rsidP="009072CE">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22.</w:t>
            </w:r>
          </w:p>
        </w:tc>
        <w:tc>
          <w:tcPr>
            <w:tcW w:w="3402" w:type="dxa"/>
          </w:tcPr>
          <w:p w14:paraId="0BC327D6" w14:textId="25397151"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Veikt pļavu vēlo pļaušanu (pēc 15.</w:t>
            </w:r>
            <w:r w:rsidR="00ED56B3">
              <w:rPr>
                <w:rFonts w:ascii="Times New Roman" w:eastAsia="Calibri" w:hAnsi="Times New Roman" w:cs="Times New Roman"/>
              </w:rPr>
              <w:t> </w:t>
            </w:r>
            <w:r w:rsidRPr="00A07F29">
              <w:rPr>
                <w:rFonts w:ascii="Times New Roman" w:eastAsia="Calibri" w:hAnsi="Times New Roman" w:cs="Times New Roman"/>
              </w:rPr>
              <w:t xml:space="preserve">jūlija) vai noganīšanu saskaņā ar </w:t>
            </w:r>
            <w:r w:rsidR="0003144C" w:rsidRPr="0003144C">
              <w:rPr>
                <w:rFonts w:ascii="Times New Roman" w:eastAsia="Calibri" w:hAnsi="Times New Roman" w:cs="Times New Roman"/>
              </w:rPr>
              <w:t>BVZ</w:t>
            </w:r>
            <w:r w:rsidRPr="00A07F29">
              <w:rPr>
                <w:rFonts w:ascii="Times New Roman" w:eastAsia="Calibri" w:hAnsi="Times New Roman" w:cs="Times New Roman"/>
              </w:rPr>
              <w:t xml:space="preserve"> apsaimniekošanas noteikumiem. Atjaunot pļavu platības, izcērtot krūmus un veicot pirmreizējo pļaušanu. </w:t>
            </w:r>
          </w:p>
        </w:tc>
        <w:tc>
          <w:tcPr>
            <w:tcW w:w="2127" w:type="dxa"/>
          </w:tcPr>
          <w:p w14:paraId="58DBE38E" w14:textId="77777777" w:rsidR="009072CE" w:rsidRPr="00A07F29" w:rsidRDefault="009072CE" w:rsidP="00665A15">
            <w:pPr>
              <w:autoSpaceDE w:val="0"/>
              <w:autoSpaceDN w:val="0"/>
              <w:adjustRightInd w:val="0"/>
              <w:spacing w:after="0" w:line="240" w:lineRule="auto"/>
              <w:rPr>
                <w:rFonts w:ascii="Times New Roman" w:eastAsia="Calibri" w:hAnsi="Times New Roman" w:cs="Times New Roman"/>
              </w:rPr>
            </w:pPr>
            <w:r w:rsidRPr="00A07F29">
              <w:rPr>
                <w:rFonts w:ascii="Times New Roman" w:eastAsia="Calibri" w:hAnsi="Times New Roman" w:cs="Times New Roman"/>
              </w:rPr>
              <w:t>Zemes īpašnieki</w:t>
            </w:r>
          </w:p>
        </w:tc>
        <w:tc>
          <w:tcPr>
            <w:tcW w:w="1538" w:type="dxa"/>
          </w:tcPr>
          <w:p w14:paraId="06B59BE0" w14:textId="5A60EB20"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2010.</w:t>
            </w:r>
            <w:r w:rsidR="00ED56B3">
              <w:rPr>
                <w:rFonts w:ascii="Times New Roman" w:eastAsia="Calibri" w:hAnsi="Times New Roman" w:cs="Times New Roman"/>
              </w:rPr>
              <w:t> – </w:t>
            </w:r>
            <w:r w:rsidRPr="00A07F29">
              <w:rPr>
                <w:rFonts w:ascii="Times New Roman" w:eastAsia="Calibri" w:hAnsi="Times New Roman" w:cs="Times New Roman"/>
              </w:rPr>
              <w:t>2022.</w:t>
            </w:r>
          </w:p>
        </w:tc>
        <w:tc>
          <w:tcPr>
            <w:tcW w:w="3098" w:type="dxa"/>
          </w:tcPr>
          <w:p w14:paraId="00299953" w14:textId="016002C9"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Kopējā ES zālāju biotopu platība 1126,41</w:t>
            </w:r>
            <w:r w:rsidR="00483EE6">
              <w:rPr>
                <w:rFonts w:ascii="Times New Roman" w:eastAsia="Calibri" w:hAnsi="Times New Roman" w:cs="Times New Roman"/>
              </w:rPr>
              <w:t> </w:t>
            </w:r>
            <w:r w:rsidRPr="00A07F29">
              <w:rPr>
                <w:rFonts w:ascii="Times New Roman" w:eastAsia="Calibri" w:hAnsi="Times New Roman" w:cs="Times New Roman"/>
              </w:rPr>
              <w:t>ha, maksājumiem ir pieteikti tikai 431,98</w:t>
            </w:r>
            <w:r w:rsidR="00483EE6">
              <w:rPr>
                <w:rFonts w:ascii="Times New Roman" w:eastAsia="Calibri" w:hAnsi="Times New Roman" w:cs="Times New Roman"/>
              </w:rPr>
              <w:t> </w:t>
            </w:r>
            <w:r w:rsidRPr="00A07F29">
              <w:rPr>
                <w:rFonts w:ascii="Times New Roman" w:eastAsia="Calibri" w:hAnsi="Times New Roman" w:cs="Times New Roman"/>
              </w:rPr>
              <w:t xml:space="preserve">ha. Veikti atsevišķi pasākumi atjaunošanai, piemēram, </w:t>
            </w:r>
            <w:proofErr w:type="spellStart"/>
            <w:r w:rsidRPr="00A07F29">
              <w:rPr>
                <w:rFonts w:ascii="Times New Roman" w:eastAsia="Calibri" w:hAnsi="Times New Roman" w:cs="Times New Roman"/>
              </w:rPr>
              <w:t>Slutišķu</w:t>
            </w:r>
            <w:proofErr w:type="spellEnd"/>
            <w:r w:rsidRPr="00A07F29">
              <w:rPr>
                <w:rFonts w:ascii="Times New Roman" w:eastAsia="Calibri" w:hAnsi="Times New Roman" w:cs="Times New Roman"/>
              </w:rPr>
              <w:t xml:space="preserve"> sādžas pļavās.</w:t>
            </w:r>
          </w:p>
        </w:tc>
        <w:tc>
          <w:tcPr>
            <w:tcW w:w="3974" w:type="dxa"/>
          </w:tcPr>
          <w:p w14:paraId="56EBBA6D" w14:textId="43B29953"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Joprojām aktuāls pasākums, kam nepieciešams pievērst uzmanību</w:t>
            </w:r>
            <w:r w:rsidR="000D7059">
              <w:rPr>
                <w:rFonts w:ascii="Times New Roman" w:eastAsia="Calibri" w:hAnsi="Times New Roman" w:cs="Times New Roman"/>
              </w:rPr>
              <w:t>.</w:t>
            </w:r>
            <w:r w:rsidRPr="00A07F29">
              <w:rPr>
                <w:rFonts w:ascii="Times New Roman" w:eastAsia="Calibri" w:hAnsi="Times New Roman" w:cs="Times New Roman"/>
              </w:rPr>
              <w:t xml:space="preserve"> </w:t>
            </w:r>
          </w:p>
        </w:tc>
      </w:tr>
      <w:tr w:rsidR="009072CE" w:rsidRPr="00A07F29" w14:paraId="6CA78933" w14:textId="77777777" w:rsidTr="003B2D97">
        <w:trPr>
          <w:jc w:val="center"/>
        </w:trPr>
        <w:tc>
          <w:tcPr>
            <w:tcW w:w="583" w:type="dxa"/>
          </w:tcPr>
          <w:p w14:paraId="57F05C0C" w14:textId="77777777" w:rsidR="009072CE" w:rsidRPr="00A07F29" w:rsidRDefault="009072CE" w:rsidP="009072CE">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23.</w:t>
            </w:r>
          </w:p>
        </w:tc>
        <w:tc>
          <w:tcPr>
            <w:tcW w:w="3402" w:type="dxa"/>
          </w:tcPr>
          <w:p w14:paraId="3B080AC8" w14:textId="77777777"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bCs/>
              </w:rPr>
              <w:t xml:space="preserve">Veikt regulāru reto augu atradņu apsekošanu mežos, izvērtējot atēnošanas (krūmu un mazvērtīgo kociņu ciršanas) nepieciešamību </w:t>
            </w:r>
          </w:p>
        </w:tc>
        <w:tc>
          <w:tcPr>
            <w:tcW w:w="2127" w:type="dxa"/>
          </w:tcPr>
          <w:p w14:paraId="3E926D01" w14:textId="35B0CFB5"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DU</w:t>
            </w:r>
            <w:r w:rsidR="000D7059">
              <w:rPr>
                <w:rFonts w:ascii="Times New Roman" w:eastAsia="Calibri" w:hAnsi="Times New Roman" w:cs="Times New Roman"/>
              </w:rPr>
              <w:t>,</w:t>
            </w:r>
            <w:r w:rsidRPr="00A07F29">
              <w:rPr>
                <w:rFonts w:ascii="Times New Roman" w:eastAsia="Calibri" w:hAnsi="Times New Roman" w:cs="Times New Roman"/>
              </w:rPr>
              <w:t xml:space="preserve"> </w:t>
            </w:r>
          </w:p>
          <w:p w14:paraId="126C8ABF" w14:textId="5B1D2254"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LVM</w:t>
            </w:r>
            <w:r w:rsidR="000D7059">
              <w:rPr>
                <w:rFonts w:ascii="Times New Roman" w:eastAsia="Calibri" w:hAnsi="Times New Roman" w:cs="Times New Roman"/>
              </w:rPr>
              <w:t>,</w:t>
            </w:r>
          </w:p>
          <w:p w14:paraId="69136A85" w14:textId="77777777" w:rsidR="009072CE" w:rsidRPr="00A07F29" w:rsidRDefault="009072CE" w:rsidP="00665A15">
            <w:pPr>
              <w:autoSpaceDE w:val="0"/>
              <w:autoSpaceDN w:val="0"/>
              <w:adjustRightInd w:val="0"/>
              <w:spacing w:after="0" w:line="240" w:lineRule="auto"/>
              <w:rPr>
                <w:rFonts w:ascii="Times New Roman" w:eastAsia="Calibri" w:hAnsi="Times New Roman" w:cs="Times New Roman"/>
              </w:rPr>
            </w:pPr>
            <w:r w:rsidRPr="00A07F29">
              <w:rPr>
                <w:rFonts w:ascii="Times New Roman" w:eastAsia="Calibri" w:hAnsi="Times New Roman" w:cs="Times New Roman"/>
              </w:rPr>
              <w:t>Zemes īpašnieki</w:t>
            </w:r>
          </w:p>
        </w:tc>
        <w:tc>
          <w:tcPr>
            <w:tcW w:w="1538" w:type="dxa"/>
          </w:tcPr>
          <w:p w14:paraId="28EA65CE" w14:textId="32C50DEE"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2010.</w:t>
            </w:r>
            <w:r w:rsidR="000D7059">
              <w:rPr>
                <w:rFonts w:ascii="Times New Roman" w:eastAsia="Calibri" w:hAnsi="Times New Roman" w:cs="Times New Roman"/>
              </w:rPr>
              <w:t> – </w:t>
            </w:r>
            <w:r w:rsidRPr="00A07F29">
              <w:rPr>
                <w:rFonts w:ascii="Times New Roman" w:eastAsia="Calibri" w:hAnsi="Times New Roman" w:cs="Times New Roman"/>
              </w:rPr>
              <w:t xml:space="preserve">2022. </w:t>
            </w:r>
          </w:p>
        </w:tc>
        <w:tc>
          <w:tcPr>
            <w:tcW w:w="3098" w:type="dxa"/>
          </w:tcPr>
          <w:p w14:paraId="4350627B" w14:textId="5DF94029"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Epizodiski, mērķtiecīgi pasākumi apsaimniekošanai nav veikti</w:t>
            </w:r>
            <w:r w:rsidR="00506517">
              <w:rPr>
                <w:rFonts w:ascii="Times New Roman" w:eastAsia="Calibri" w:hAnsi="Times New Roman" w:cs="Times New Roman"/>
              </w:rPr>
              <w:t>.</w:t>
            </w:r>
          </w:p>
        </w:tc>
        <w:tc>
          <w:tcPr>
            <w:tcW w:w="3974" w:type="dxa"/>
          </w:tcPr>
          <w:p w14:paraId="7DDEEFEE" w14:textId="3E1F4986" w:rsidR="009072CE" w:rsidRPr="00A07F29" w:rsidRDefault="001B277D"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Joprojām ļoti aktuāls pasākums</w:t>
            </w:r>
            <w:r w:rsidR="00506517">
              <w:rPr>
                <w:rFonts w:ascii="Times New Roman" w:eastAsia="Calibri" w:hAnsi="Times New Roman" w:cs="Times New Roman"/>
              </w:rPr>
              <w:t>.</w:t>
            </w:r>
          </w:p>
        </w:tc>
      </w:tr>
      <w:tr w:rsidR="009072CE" w:rsidRPr="00A07F29" w14:paraId="17036778" w14:textId="77777777" w:rsidTr="003B2D97">
        <w:trPr>
          <w:jc w:val="center"/>
        </w:trPr>
        <w:tc>
          <w:tcPr>
            <w:tcW w:w="583" w:type="dxa"/>
          </w:tcPr>
          <w:p w14:paraId="72476096" w14:textId="77777777" w:rsidR="009072CE" w:rsidRPr="00A07F29" w:rsidRDefault="009072CE" w:rsidP="009072CE">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24.</w:t>
            </w:r>
          </w:p>
        </w:tc>
        <w:tc>
          <w:tcPr>
            <w:tcW w:w="3402" w:type="dxa"/>
          </w:tcPr>
          <w:p w14:paraId="37514C75" w14:textId="77777777" w:rsidR="009072CE" w:rsidRPr="00A07F29" w:rsidRDefault="009072CE" w:rsidP="00665A15">
            <w:pPr>
              <w:spacing w:after="0" w:line="240" w:lineRule="auto"/>
              <w:rPr>
                <w:rFonts w:ascii="Times New Roman" w:eastAsia="Calibri" w:hAnsi="Times New Roman" w:cs="Times New Roman"/>
                <w:bCs/>
                <w:i/>
                <w:iCs/>
              </w:rPr>
            </w:pPr>
            <w:r w:rsidRPr="00A07F29">
              <w:rPr>
                <w:rFonts w:ascii="Times New Roman" w:eastAsia="Calibri" w:hAnsi="Times New Roman" w:cs="Times New Roman"/>
                <w:bCs/>
              </w:rPr>
              <w:t xml:space="preserve">Ierobežot </w:t>
            </w:r>
            <w:proofErr w:type="spellStart"/>
            <w:r w:rsidRPr="00A07F29">
              <w:rPr>
                <w:rFonts w:ascii="Times New Roman" w:eastAsia="Calibri" w:hAnsi="Times New Roman" w:cs="Times New Roman"/>
                <w:bCs/>
              </w:rPr>
              <w:t>invazīvo</w:t>
            </w:r>
            <w:proofErr w:type="spellEnd"/>
            <w:r w:rsidRPr="00A07F29">
              <w:rPr>
                <w:rFonts w:ascii="Times New Roman" w:eastAsia="Calibri" w:hAnsi="Times New Roman" w:cs="Times New Roman"/>
                <w:bCs/>
              </w:rPr>
              <w:t xml:space="preserve"> sugu izplatīšanos (</w:t>
            </w:r>
            <w:proofErr w:type="spellStart"/>
            <w:r w:rsidRPr="00A07F29">
              <w:rPr>
                <w:rFonts w:ascii="Times New Roman" w:eastAsia="Calibri" w:hAnsi="Times New Roman" w:cs="Times New Roman"/>
                <w:bCs/>
              </w:rPr>
              <w:t>ošlapu</w:t>
            </w:r>
            <w:proofErr w:type="spellEnd"/>
            <w:r w:rsidRPr="00A07F29">
              <w:rPr>
                <w:rFonts w:ascii="Times New Roman" w:eastAsia="Calibri" w:hAnsi="Times New Roman" w:cs="Times New Roman"/>
                <w:bCs/>
              </w:rPr>
              <w:t xml:space="preserve"> kļavas </w:t>
            </w:r>
            <w:r w:rsidRPr="00A07F29">
              <w:rPr>
                <w:rFonts w:ascii="Times New Roman" w:eastAsia="Calibri" w:hAnsi="Times New Roman" w:cs="Times New Roman"/>
                <w:bCs/>
                <w:i/>
              </w:rPr>
              <w:t xml:space="preserve">Acer </w:t>
            </w:r>
            <w:proofErr w:type="spellStart"/>
            <w:r w:rsidRPr="00A07F29">
              <w:rPr>
                <w:rFonts w:ascii="Times New Roman" w:eastAsia="Calibri" w:hAnsi="Times New Roman" w:cs="Times New Roman"/>
                <w:bCs/>
                <w:i/>
              </w:rPr>
              <w:t>negundo</w:t>
            </w:r>
            <w:proofErr w:type="spellEnd"/>
            <w:r w:rsidRPr="00A07F29">
              <w:rPr>
                <w:rFonts w:ascii="Times New Roman" w:eastAsia="Calibri" w:hAnsi="Times New Roman" w:cs="Times New Roman"/>
                <w:bCs/>
              </w:rPr>
              <w:t xml:space="preserve"> audzes Daugavas palienē, Kanādas </w:t>
            </w:r>
            <w:proofErr w:type="spellStart"/>
            <w:r w:rsidRPr="00A07F29">
              <w:rPr>
                <w:rFonts w:ascii="Times New Roman" w:eastAsia="Calibri" w:hAnsi="Times New Roman" w:cs="Times New Roman"/>
                <w:bCs/>
              </w:rPr>
              <w:t>zeltslotiņa</w:t>
            </w:r>
            <w:proofErr w:type="spellEnd"/>
            <w:r w:rsidRPr="00A07F29">
              <w:rPr>
                <w:rFonts w:ascii="Times New Roman" w:eastAsia="Calibri" w:hAnsi="Times New Roman" w:cs="Times New Roman"/>
                <w:bCs/>
              </w:rPr>
              <w:t xml:space="preserve"> </w:t>
            </w:r>
            <w:proofErr w:type="spellStart"/>
            <w:r w:rsidRPr="00A07F29">
              <w:rPr>
                <w:rFonts w:ascii="Times New Roman" w:eastAsia="Calibri" w:hAnsi="Times New Roman" w:cs="Times New Roman"/>
                <w:bCs/>
                <w:i/>
                <w:iCs/>
              </w:rPr>
              <w:t>Solidago</w:t>
            </w:r>
            <w:proofErr w:type="spellEnd"/>
            <w:r w:rsidRPr="00A07F29">
              <w:rPr>
                <w:rFonts w:ascii="Times New Roman" w:eastAsia="Calibri" w:hAnsi="Times New Roman" w:cs="Times New Roman"/>
                <w:bCs/>
                <w:i/>
                <w:iCs/>
              </w:rPr>
              <w:t xml:space="preserve"> </w:t>
            </w:r>
            <w:proofErr w:type="spellStart"/>
            <w:r w:rsidRPr="00A07F29">
              <w:rPr>
                <w:rFonts w:ascii="Times New Roman" w:eastAsia="Calibri" w:hAnsi="Times New Roman" w:cs="Times New Roman"/>
                <w:bCs/>
                <w:i/>
                <w:iCs/>
              </w:rPr>
              <w:t>canadensis</w:t>
            </w:r>
            <w:proofErr w:type="spellEnd"/>
            <w:r w:rsidRPr="00A07F29">
              <w:rPr>
                <w:rFonts w:ascii="Times New Roman" w:eastAsia="Calibri" w:hAnsi="Times New Roman" w:cs="Times New Roman"/>
                <w:bCs/>
                <w:iCs/>
              </w:rPr>
              <w:t xml:space="preserve"> visā teritorijā)</w:t>
            </w:r>
          </w:p>
          <w:p w14:paraId="44EF08FC" w14:textId="77777777" w:rsidR="009072CE" w:rsidRPr="00A07F29" w:rsidRDefault="009072CE" w:rsidP="00665A15">
            <w:pPr>
              <w:spacing w:after="0" w:line="240" w:lineRule="auto"/>
              <w:ind w:firstLine="851"/>
              <w:rPr>
                <w:rFonts w:ascii="Times New Roman" w:eastAsia="Calibri" w:hAnsi="Times New Roman" w:cs="Times New Roman"/>
                <w:bCs/>
                <w:i/>
                <w:iCs/>
              </w:rPr>
            </w:pPr>
          </w:p>
          <w:p w14:paraId="21387547" w14:textId="77777777" w:rsidR="009072CE" w:rsidRPr="00A07F29" w:rsidRDefault="009072CE" w:rsidP="00665A15">
            <w:pPr>
              <w:spacing w:after="0" w:line="240" w:lineRule="auto"/>
              <w:ind w:firstLine="851"/>
              <w:rPr>
                <w:rFonts w:ascii="Times New Roman" w:eastAsia="Calibri" w:hAnsi="Times New Roman" w:cs="Times New Roman"/>
                <w:bCs/>
                <w:i/>
                <w:iCs/>
              </w:rPr>
            </w:pPr>
          </w:p>
          <w:p w14:paraId="0DF7F472" w14:textId="77777777" w:rsidR="009072CE" w:rsidRPr="00A07F29" w:rsidRDefault="009072CE" w:rsidP="00665A15">
            <w:pPr>
              <w:spacing w:after="0" w:line="240" w:lineRule="auto"/>
              <w:rPr>
                <w:rFonts w:ascii="Times New Roman" w:eastAsia="Calibri" w:hAnsi="Times New Roman" w:cs="Times New Roman"/>
              </w:rPr>
            </w:pPr>
          </w:p>
        </w:tc>
        <w:tc>
          <w:tcPr>
            <w:tcW w:w="2127" w:type="dxa"/>
          </w:tcPr>
          <w:p w14:paraId="7C69701C" w14:textId="77777777" w:rsidR="009072CE" w:rsidRPr="00A07F29" w:rsidRDefault="009072CE" w:rsidP="00665A15">
            <w:pPr>
              <w:autoSpaceDE w:val="0"/>
              <w:autoSpaceDN w:val="0"/>
              <w:adjustRightInd w:val="0"/>
              <w:spacing w:after="0" w:line="240" w:lineRule="auto"/>
              <w:rPr>
                <w:rFonts w:ascii="Times New Roman" w:eastAsia="Calibri" w:hAnsi="Times New Roman" w:cs="Times New Roman"/>
              </w:rPr>
            </w:pPr>
            <w:r w:rsidRPr="00A07F29">
              <w:rPr>
                <w:rFonts w:ascii="Times New Roman" w:eastAsia="Calibri" w:hAnsi="Times New Roman" w:cs="Times New Roman"/>
              </w:rPr>
              <w:t>Zemes īpašnieki</w:t>
            </w:r>
          </w:p>
        </w:tc>
        <w:tc>
          <w:tcPr>
            <w:tcW w:w="1538" w:type="dxa"/>
          </w:tcPr>
          <w:p w14:paraId="73FED2F0" w14:textId="49B35B92"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2010.</w:t>
            </w:r>
            <w:r w:rsidR="00506517">
              <w:rPr>
                <w:rFonts w:ascii="Times New Roman" w:eastAsia="Calibri" w:hAnsi="Times New Roman" w:cs="Times New Roman"/>
              </w:rPr>
              <w:t> – </w:t>
            </w:r>
            <w:r w:rsidRPr="00A07F29">
              <w:rPr>
                <w:rFonts w:ascii="Times New Roman" w:eastAsia="Calibri" w:hAnsi="Times New Roman" w:cs="Times New Roman"/>
              </w:rPr>
              <w:t>2022.</w:t>
            </w:r>
          </w:p>
        </w:tc>
        <w:tc>
          <w:tcPr>
            <w:tcW w:w="3098" w:type="dxa"/>
          </w:tcPr>
          <w:p w14:paraId="11EF2944" w14:textId="4C35A53A" w:rsidR="009072CE" w:rsidRPr="00A07F29" w:rsidRDefault="729E1729"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DAP kopā ar Pasaules dabas fondu 2017.</w:t>
            </w:r>
            <w:r w:rsidR="00506517">
              <w:rPr>
                <w:rFonts w:ascii="Times New Roman" w:eastAsia="Calibri" w:hAnsi="Times New Roman" w:cs="Times New Roman"/>
              </w:rPr>
              <w:t> </w:t>
            </w:r>
            <w:r w:rsidRPr="00A07F29">
              <w:rPr>
                <w:rFonts w:ascii="Times New Roman" w:eastAsia="Calibri" w:hAnsi="Times New Roman" w:cs="Times New Roman"/>
              </w:rPr>
              <w:t xml:space="preserve">gadā rīkoja talku Krāslavas saliņā krūmu, arī </w:t>
            </w:r>
            <w:proofErr w:type="spellStart"/>
            <w:r w:rsidRPr="00A07F29">
              <w:rPr>
                <w:rFonts w:ascii="Times New Roman" w:eastAsia="Calibri" w:hAnsi="Times New Roman" w:cs="Times New Roman"/>
              </w:rPr>
              <w:t>ošlapu</w:t>
            </w:r>
            <w:proofErr w:type="spellEnd"/>
            <w:r w:rsidRPr="00A07F29">
              <w:rPr>
                <w:rFonts w:ascii="Times New Roman" w:eastAsia="Calibri" w:hAnsi="Times New Roman" w:cs="Times New Roman"/>
              </w:rPr>
              <w:t xml:space="preserve"> kļavu ciršanai. Ir iesniegts projekts LVAF, kas netika atbalstīts.</w:t>
            </w:r>
          </w:p>
        </w:tc>
        <w:tc>
          <w:tcPr>
            <w:tcW w:w="3974" w:type="dxa"/>
          </w:tcPr>
          <w:p w14:paraId="1F0ED4B8" w14:textId="2092C010"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Joprojām ļoti aktuāls pasākums</w:t>
            </w:r>
            <w:r w:rsidR="002E23FD">
              <w:rPr>
                <w:rFonts w:ascii="Times New Roman" w:eastAsia="Calibri" w:hAnsi="Times New Roman" w:cs="Times New Roman"/>
              </w:rPr>
              <w:t>.</w:t>
            </w:r>
          </w:p>
        </w:tc>
      </w:tr>
      <w:tr w:rsidR="009072CE" w:rsidRPr="00A07F29" w14:paraId="555AEE70" w14:textId="77777777" w:rsidTr="003B2D97">
        <w:trPr>
          <w:jc w:val="center"/>
        </w:trPr>
        <w:tc>
          <w:tcPr>
            <w:tcW w:w="583" w:type="dxa"/>
          </w:tcPr>
          <w:p w14:paraId="78A52B26" w14:textId="77777777" w:rsidR="009072CE" w:rsidRPr="00A07F29" w:rsidRDefault="009072CE" w:rsidP="009072CE">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25.</w:t>
            </w:r>
          </w:p>
        </w:tc>
        <w:tc>
          <w:tcPr>
            <w:tcW w:w="3402" w:type="dxa"/>
          </w:tcPr>
          <w:p w14:paraId="737558B9" w14:textId="77777777"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 xml:space="preserve">Mežaudzes bioloģiskās vērtības saglabāšana Lazdukalna upītes, </w:t>
            </w:r>
            <w:proofErr w:type="spellStart"/>
            <w:r w:rsidRPr="00A07F29">
              <w:rPr>
                <w:rFonts w:ascii="Times New Roman" w:eastAsia="Calibri" w:hAnsi="Times New Roman" w:cs="Times New Roman"/>
              </w:rPr>
              <w:t>Rudņas</w:t>
            </w:r>
            <w:proofErr w:type="spellEnd"/>
            <w:r w:rsidRPr="00A07F29">
              <w:rPr>
                <w:rFonts w:ascii="Times New Roman" w:eastAsia="Calibri" w:hAnsi="Times New Roman" w:cs="Times New Roman"/>
              </w:rPr>
              <w:t xml:space="preserve">, </w:t>
            </w:r>
            <w:proofErr w:type="spellStart"/>
            <w:r w:rsidRPr="00A07F29">
              <w:rPr>
                <w:rFonts w:ascii="Times New Roman" w:eastAsia="Calibri" w:hAnsi="Times New Roman" w:cs="Times New Roman"/>
              </w:rPr>
              <w:t>Poguļankas</w:t>
            </w:r>
            <w:proofErr w:type="spellEnd"/>
            <w:r w:rsidRPr="00A07F29">
              <w:rPr>
                <w:rFonts w:ascii="Times New Roman" w:eastAsia="Calibri" w:hAnsi="Times New Roman" w:cs="Times New Roman"/>
              </w:rPr>
              <w:t xml:space="preserve"> krastos, Sproģu gravās, citās norādītajās vietās</w:t>
            </w:r>
          </w:p>
        </w:tc>
        <w:tc>
          <w:tcPr>
            <w:tcW w:w="2127" w:type="dxa"/>
          </w:tcPr>
          <w:p w14:paraId="77D99E3A" w14:textId="6F1A6C9C"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Zemes īpašnieki</w:t>
            </w:r>
            <w:r w:rsidR="0033147B">
              <w:rPr>
                <w:rFonts w:ascii="Times New Roman" w:eastAsia="Calibri" w:hAnsi="Times New Roman" w:cs="Times New Roman"/>
              </w:rPr>
              <w:t>,</w:t>
            </w:r>
          </w:p>
          <w:p w14:paraId="7297FBFF" w14:textId="78616AB4"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VMD</w:t>
            </w:r>
            <w:r w:rsidR="0033147B">
              <w:rPr>
                <w:rFonts w:ascii="Times New Roman" w:eastAsia="Calibri" w:hAnsi="Times New Roman" w:cs="Times New Roman"/>
              </w:rPr>
              <w:t>,</w:t>
            </w:r>
          </w:p>
          <w:p w14:paraId="4BAB5940" w14:textId="77777777" w:rsidR="009072CE" w:rsidRPr="00A07F29" w:rsidRDefault="009072CE" w:rsidP="00665A15">
            <w:pPr>
              <w:autoSpaceDE w:val="0"/>
              <w:autoSpaceDN w:val="0"/>
              <w:adjustRightInd w:val="0"/>
              <w:spacing w:after="0" w:line="240" w:lineRule="auto"/>
              <w:rPr>
                <w:rFonts w:ascii="Times New Roman" w:eastAsia="Calibri" w:hAnsi="Times New Roman" w:cs="Times New Roman"/>
              </w:rPr>
            </w:pPr>
            <w:r w:rsidRPr="00A07F29">
              <w:rPr>
                <w:rFonts w:ascii="Times New Roman" w:eastAsia="Calibri" w:hAnsi="Times New Roman" w:cs="Times New Roman"/>
              </w:rPr>
              <w:t>LVM</w:t>
            </w:r>
          </w:p>
        </w:tc>
        <w:tc>
          <w:tcPr>
            <w:tcW w:w="1538" w:type="dxa"/>
          </w:tcPr>
          <w:p w14:paraId="078BD095" w14:textId="087F7237"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2010.</w:t>
            </w:r>
            <w:r w:rsidR="0033147B">
              <w:rPr>
                <w:rFonts w:ascii="Times New Roman" w:eastAsia="Calibri" w:hAnsi="Times New Roman" w:cs="Times New Roman"/>
              </w:rPr>
              <w:t> – </w:t>
            </w:r>
            <w:r w:rsidRPr="00A07F29">
              <w:rPr>
                <w:rFonts w:ascii="Times New Roman" w:eastAsia="Calibri" w:hAnsi="Times New Roman" w:cs="Times New Roman"/>
              </w:rPr>
              <w:t xml:space="preserve">2022. </w:t>
            </w:r>
          </w:p>
        </w:tc>
        <w:tc>
          <w:tcPr>
            <w:tcW w:w="3098" w:type="dxa"/>
          </w:tcPr>
          <w:p w14:paraId="19CD9FED" w14:textId="24CC8996"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 xml:space="preserve">Lazdukalna upītes krasts, </w:t>
            </w:r>
            <w:proofErr w:type="spellStart"/>
            <w:r w:rsidRPr="00A07F29">
              <w:rPr>
                <w:rFonts w:ascii="Times New Roman" w:eastAsia="Calibri" w:hAnsi="Times New Roman" w:cs="Times New Roman"/>
              </w:rPr>
              <w:t>Juzefovas</w:t>
            </w:r>
            <w:proofErr w:type="spellEnd"/>
            <w:r w:rsidRPr="00A07F29">
              <w:rPr>
                <w:rFonts w:ascii="Times New Roman" w:eastAsia="Calibri" w:hAnsi="Times New Roman" w:cs="Times New Roman"/>
              </w:rPr>
              <w:t xml:space="preserve"> grava, Sproģu gravas – mežsaimnieciskā darbība nav veikta, </w:t>
            </w:r>
            <w:proofErr w:type="spellStart"/>
            <w:r w:rsidRPr="00A07F29">
              <w:rPr>
                <w:rFonts w:ascii="Times New Roman" w:eastAsia="Calibri" w:hAnsi="Times New Roman" w:cs="Times New Roman"/>
              </w:rPr>
              <w:t>Rudņas</w:t>
            </w:r>
            <w:proofErr w:type="spellEnd"/>
            <w:r w:rsidRPr="00A07F29">
              <w:rPr>
                <w:rFonts w:ascii="Times New Roman" w:eastAsia="Calibri" w:hAnsi="Times New Roman" w:cs="Times New Roman"/>
              </w:rPr>
              <w:t xml:space="preserve">, </w:t>
            </w:r>
            <w:proofErr w:type="spellStart"/>
            <w:r w:rsidRPr="00A07F29">
              <w:rPr>
                <w:rFonts w:ascii="Times New Roman" w:eastAsia="Calibri" w:hAnsi="Times New Roman" w:cs="Times New Roman"/>
              </w:rPr>
              <w:t>Poguļankas</w:t>
            </w:r>
            <w:proofErr w:type="spellEnd"/>
            <w:r w:rsidRPr="00A07F29">
              <w:rPr>
                <w:rFonts w:ascii="Times New Roman" w:eastAsia="Calibri" w:hAnsi="Times New Roman" w:cs="Times New Roman"/>
              </w:rPr>
              <w:t xml:space="preserve"> krastos ir veiktas atsevišķas kopšanas un izlases cirtes.</w:t>
            </w:r>
          </w:p>
        </w:tc>
        <w:tc>
          <w:tcPr>
            <w:tcW w:w="3974" w:type="dxa"/>
          </w:tcPr>
          <w:p w14:paraId="007CF8A1" w14:textId="1C4D5F21"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Joprojām ļoti aktuāls pasākums</w:t>
            </w:r>
            <w:r w:rsidR="0033147B">
              <w:rPr>
                <w:rFonts w:ascii="Times New Roman" w:eastAsia="Calibri" w:hAnsi="Times New Roman" w:cs="Times New Roman"/>
              </w:rPr>
              <w:t>.</w:t>
            </w:r>
          </w:p>
        </w:tc>
      </w:tr>
      <w:tr w:rsidR="009072CE" w:rsidRPr="00A07F29" w14:paraId="789109B9" w14:textId="77777777" w:rsidTr="003B2D97">
        <w:trPr>
          <w:jc w:val="center"/>
        </w:trPr>
        <w:tc>
          <w:tcPr>
            <w:tcW w:w="583" w:type="dxa"/>
          </w:tcPr>
          <w:p w14:paraId="1C7A1023" w14:textId="77777777" w:rsidR="009072CE" w:rsidRPr="00A07F29" w:rsidRDefault="009072CE" w:rsidP="009072CE">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26.</w:t>
            </w:r>
          </w:p>
        </w:tc>
        <w:tc>
          <w:tcPr>
            <w:tcW w:w="3402" w:type="dxa"/>
          </w:tcPr>
          <w:p w14:paraId="11C9DEAB" w14:textId="77777777"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 xml:space="preserve">Mozaīkveida ainavas saglabāšana, kurā pārstāvēti dažādi biotopi, piemēram, dažādi pļavu un ganību </w:t>
            </w:r>
            <w:r w:rsidRPr="00A07F29">
              <w:rPr>
                <w:rFonts w:ascii="Times New Roman" w:eastAsia="Calibri" w:hAnsi="Times New Roman" w:cs="Times New Roman"/>
              </w:rPr>
              <w:lastRenderedPageBreak/>
              <w:t>tipi, meža puduri, viensētu tipa apbūve, atsevišķi veci koki, parki</w:t>
            </w:r>
          </w:p>
        </w:tc>
        <w:tc>
          <w:tcPr>
            <w:tcW w:w="2127" w:type="dxa"/>
          </w:tcPr>
          <w:p w14:paraId="086FF255" w14:textId="689C4B02"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lastRenderedPageBreak/>
              <w:t>Pašvaldības (teritorijas plānojumos)</w:t>
            </w:r>
            <w:r w:rsidR="00B06567">
              <w:rPr>
                <w:rFonts w:ascii="Times New Roman" w:eastAsia="Calibri" w:hAnsi="Times New Roman" w:cs="Times New Roman"/>
              </w:rPr>
              <w:t>,</w:t>
            </w:r>
          </w:p>
          <w:p w14:paraId="49B060CC" w14:textId="77777777" w:rsidR="009072CE" w:rsidRPr="00A07F29" w:rsidRDefault="009072CE" w:rsidP="00665A15">
            <w:pPr>
              <w:autoSpaceDE w:val="0"/>
              <w:autoSpaceDN w:val="0"/>
              <w:adjustRightInd w:val="0"/>
              <w:spacing w:after="0" w:line="240" w:lineRule="auto"/>
              <w:rPr>
                <w:rFonts w:ascii="Times New Roman" w:eastAsia="Calibri" w:hAnsi="Times New Roman" w:cs="Times New Roman"/>
              </w:rPr>
            </w:pPr>
            <w:r w:rsidRPr="00A07F29">
              <w:rPr>
                <w:rFonts w:ascii="Times New Roman" w:eastAsia="Calibri" w:hAnsi="Times New Roman" w:cs="Times New Roman"/>
              </w:rPr>
              <w:lastRenderedPageBreak/>
              <w:t>Zemes īpašnieki</w:t>
            </w:r>
          </w:p>
        </w:tc>
        <w:tc>
          <w:tcPr>
            <w:tcW w:w="1538" w:type="dxa"/>
          </w:tcPr>
          <w:p w14:paraId="0E7E5B9D" w14:textId="2FCF6E89"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lastRenderedPageBreak/>
              <w:t>2010.</w:t>
            </w:r>
            <w:r w:rsidR="00B06567">
              <w:rPr>
                <w:rFonts w:ascii="Times New Roman" w:eastAsia="Calibri" w:hAnsi="Times New Roman" w:cs="Times New Roman"/>
              </w:rPr>
              <w:t> – </w:t>
            </w:r>
            <w:r w:rsidRPr="00A07F29">
              <w:rPr>
                <w:rFonts w:ascii="Times New Roman" w:eastAsia="Calibri" w:hAnsi="Times New Roman" w:cs="Times New Roman"/>
              </w:rPr>
              <w:t xml:space="preserve">2022. </w:t>
            </w:r>
          </w:p>
        </w:tc>
        <w:tc>
          <w:tcPr>
            <w:tcW w:w="3098" w:type="dxa"/>
          </w:tcPr>
          <w:p w14:paraId="208D3FEC" w14:textId="43D03CB6"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Nav veikts</w:t>
            </w:r>
            <w:r w:rsidR="00B06567">
              <w:rPr>
                <w:rFonts w:ascii="Times New Roman" w:eastAsia="Calibri" w:hAnsi="Times New Roman" w:cs="Times New Roman"/>
              </w:rPr>
              <w:t>.</w:t>
            </w:r>
          </w:p>
        </w:tc>
        <w:tc>
          <w:tcPr>
            <w:tcW w:w="3974" w:type="dxa"/>
          </w:tcPr>
          <w:p w14:paraId="65DA08D0" w14:textId="26B5DBC6"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DA plānā izstrādāts ainavu struktūrplāns, ko pašvaldības varēs izmantot teritorijas plānojumos</w:t>
            </w:r>
            <w:r w:rsidR="00B06567">
              <w:rPr>
                <w:rFonts w:ascii="Times New Roman" w:eastAsia="Calibri" w:hAnsi="Times New Roman" w:cs="Times New Roman"/>
              </w:rPr>
              <w:t>.</w:t>
            </w:r>
          </w:p>
        </w:tc>
      </w:tr>
      <w:tr w:rsidR="009072CE" w:rsidRPr="00A07F29" w14:paraId="08A8EC5D" w14:textId="77777777" w:rsidTr="003B2D97">
        <w:trPr>
          <w:jc w:val="center"/>
        </w:trPr>
        <w:tc>
          <w:tcPr>
            <w:tcW w:w="583" w:type="dxa"/>
          </w:tcPr>
          <w:p w14:paraId="6F2EE934" w14:textId="77777777" w:rsidR="009072CE" w:rsidRPr="00A07F29" w:rsidRDefault="009072CE" w:rsidP="009072CE">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27.</w:t>
            </w:r>
          </w:p>
        </w:tc>
        <w:tc>
          <w:tcPr>
            <w:tcW w:w="3402" w:type="dxa"/>
          </w:tcPr>
          <w:p w14:paraId="75B5586A" w14:textId="12794AC6"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 xml:space="preserve">Dobumaino, arī nokaltušo vai </w:t>
            </w:r>
            <w:proofErr w:type="spellStart"/>
            <w:r w:rsidRPr="00A07F29">
              <w:rPr>
                <w:rFonts w:ascii="Times New Roman" w:eastAsia="Calibri" w:hAnsi="Times New Roman" w:cs="Times New Roman"/>
              </w:rPr>
              <w:t>pusnokaltušo</w:t>
            </w:r>
            <w:proofErr w:type="spellEnd"/>
            <w:r w:rsidRPr="00A07F29">
              <w:rPr>
                <w:rFonts w:ascii="Times New Roman" w:eastAsia="Calibri" w:hAnsi="Times New Roman" w:cs="Times New Roman"/>
              </w:rPr>
              <w:t xml:space="preserve"> koku saglabāšana visā </w:t>
            </w:r>
            <w:r w:rsidR="00BF0E06" w:rsidRPr="00A07F29">
              <w:rPr>
                <w:rFonts w:ascii="Times New Roman" w:eastAsia="Calibri" w:hAnsi="Times New Roman" w:cs="Times New Roman"/>
              </w:rPr>
              <w:t>DP</w:t>
            </w:r>
            <w:r w:rsidRPr="00A07F29">
              <w:rPr>
                <w:rFonts w:ascii="Times New Roman" w:eastAsia="Calibri" w:hAnsi="Times New Roman" w:cs="Times New Roman"/>
              </w:rPr>
              <w:t xml:space="preserve"> teritorijā, ja tie nav bīstami (putnu, bezmugurkaulnieku un sikspārņu aizsardzībai)</w:t>
            </w:r>
          </w:p>
        </w:tc>
        <w:tc>
          <w:tcPr>
            <w:tcW w:w="2127" w:type="dxa"/>
          </w:tcPr>
          <w:p w14:paraId="490DC355" w14:textId="77777777" w:rsidR="009072CE" w:rsidRPr="00A07F29" w:rsidRDefault="009072CE" w:rsidP="00665A15">
            <w:pPr>
              <w:autoSpaceDE w:val="0"/>
              <w:autoSpaceDN w:val="0"/>
              <w:adjustRightInd w:val="0"/>
              <w:spacing w:after="0" w:line="240" w:lineRule="auto"/>
              <w:rPr>
                <w:rFonts w:ascii="Times New Roman" w:eastAsia="Calibri" w:hAnsi="Times New Roman" w:cs="Times New Roman"/>
              </w:rPr>
            </w:pPr>
            <w:r w:rsidRPr="00A07F29">
              <w:rPr>
                <w:rFonts w:ascii="Times New Roman" w:eastAsia="Calibri" w:hAnsi="Times New Roman" w:cs="Times New Roman"/>
              </w:rPr>
              <w:t xml:space="preserve">Zemes īpašnieki, </w:t>
            </w:r>
            <w:proofErr w:type="spellStart"/>
            <w:r w:rsidRPr="00A07F29">
              <w:rPr>
                <w:rFonts w:ascii="Times New Roman" w:eastAsia="Calibri" w:hAnsi="Times New Roman" w:cs="Times New Roman"/>
              </w:rPr>
              <w:t>apsaimniekotāji</w:t>
            </w:r>
            <w:proofErr w:type="spellEnd"/>
          </w:p>
        </w:tc>
        <w:tc>
          <w:tcPr>
            <w:tcW w:w="1538" w:type="dxa"/>
          </w:tcPr>
          <w:p w14:paraId="300B7237" w14:textId="4E450AB2"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2010.</w:t>
            </w:r>
            <w:r w:rsidR="0021416B">
              <w:rPr>
                <w:rFonts w:ascii="Times New Roman" w:eastAsia="Calibri" w:hAnsi="Times New Roman" w:cs="Times New Roman"/>
              </w:rPr>
              <w:t> – </w:t>
            </w:r>
            <w:r w:rsidRPr="00A07F29">
              <w:rPr>
                <w:rFonts w:ascii="Times New Roman" w:eastAsia="Calibri" w:hAnsi="Times New Roman" w:cs="Times New Roman"/>
              </w:rPr>
              <w:t xml:space="preserve">2022. </w:t>
            </w:r>
          </w:p>
        </w:tc>
        <w:tc>
          <w:tcPr>
            <w:tcW w:w="3098" w:type="dxa"/>
          </w:tcPr>
          <w:p w14:paraId="422975C2" w14:textId="2D8BF84E"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Nav veikti īpaši pasākumi, bet zemes īpašniekus informē DAP saskaņojumu un atļauju izsniegšanas procesā</w:t>
            </w:r>
            <w:r w:rsidR="009203B0">
              <w:rPr>
                <w:rFonts w:ascii="Times New Roman" w:eastAsia="Calibri" w:hAnsi="Times New Roman" w:cs="Times New Roman"/>
              </w:rPr>
              <w:t>.</w:t>
            </w:r>
          </w:p>
        </w:tc>
        <w:tc>
          <w:tcPr>
            <w:tcW w:w="3974" w:type="dxa"/>
          </w:tcPr>
          <w:p w14:paraId="4B975BC8" w14:textId="0DCE03F3" w:rsidR="009072CE" w:rsidRPr="00A07F29" w:rsidRDefault="009072CE" w:rsidP="00C25036">
            <w:pPr>
              <w:spacing w:after="0" w:line="240" w:lineRule="auto"/>
              <w:rPr>
                <w:rFonts w:ascii="Times New Roman" w:eastAsia="Calibri" w:hAnsi="Times New Roman" w:cs="Times New Roman"/>
              </w:rPr>
            </w:pPr>
            <w:r w:rsidRPr="00A07F29">
              <w:rPr>
                <w:rFonts w:ascii="Times New Roman" w:eastAsia="Calibri" w:hAnsi="Times New Roman" w:cs="Times New Roman"/>
              </w:rPr>
              <w:t xml:space="preserve">Aktuāls pasākums kā informēšana un izglītošana un kā norma </w:t>
            </w:r>
            <w:r w:rsidR="00C25036">
              <w:rPr>
                <w:rFonts w:ascii="Times New Roman" w:eastAsia="Calibri" w:hAnsi="Times New Roman" w:cs="Times New Roman"/>
              </w:rPr>
              <w:t>Individuālajos aizsardzības un izmantošanas noteikumos.</w:t>
            </w:r>
          </w:p>
        </w:tc>
      </w:tr>
      <w:tr w:rsidR="009072CE" w:rsidRPr="00A07F29" w14:paraId="4B0E1FF3" w14:textId="77777777" w:rsidTr="003B2D97">
        <w:trPr>
          <w:jc w:val="center"/>
        </w:trPr>
        <w:tc>
          <w:tcPr>
            <w:tcW w:w="583" w:type="dxa"/>
          </w:tcPr>
          <w:p w14:paraId="5380640E" w14:textId="77777777" w:rsidR="009072CE" w:rsidRPr="00A07F29" w:rsidRDefault="009072CE" w:rsidP="009072CE">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28.</w:t>
            </w:r>
          </w:p>
        </w:tc>
        <w:tc>
          <w:tcPr>
            <w:tcW w:w="3402" w:type="dxa"/>
          </w:tcPr>
          <w:p w14:paraId="7F8B56BB" w14:textId="52365470"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 xml:space="preserve">Upes un mazā zīriņa koloniju aizsardzības nodrošināšana, paplašinot </w:t>
            </w:r>
            <w:r w:rsidR="00BF0E06" w:rsidRPr="00A07F29">
              <w:rPr>
                <w:rFonts w:ascii="Times New Roman" w:eastAsia="Calibri" w:hAnsi="Times New Roman" w:cs="Times New Roman"/>
              </w:rPr>
              <w:t>DP</w:t>
            </w:r>
            <w:r w:rsidRPr="00A07F29">
              <w:rPr>
                <w:rFonts w:ascii="Times New Roman" w:eastAsia="Calibri" w:hAnsi="Times New Roman" w:cs="Times New Roman"/>
              </w:rPr>
              <w:t xml:space="preserve"> teritoriju</w:t>
            </w:r>
          </w:p>
        </w:tc>
        <w:tc>
          <w:tcPr>
            <w:tcW w:w="2127" w:type="dxa"/>
          </w:tcPr>
          <w:p w14:paraId="1F8B487C" w14:textId="77777777" w:rsidR="009072CE" w:rsidRPr="00A07F29" w:rsidRDefault="009072CE" w:rsidP="00665A15">
            <w:pPr>
              <w:autoSpaceDE w:val="0"/>
              <w:autoSpaceDN w:val="0"/>
              <w:adjustRightInd w:val="0"/>
              <w:spacing w:after="0" w:line="240" w:lineRule="auto"/>
              <w:rPr>
                <w:rFonts w:ascii="Times New Roman" w:eastAsia="Calibri" w:hAnsi="Times New Roman" w:cs="Times New Roman"/>
              </w:rPr>
            </w:pPr>
            <w:r w:rsidRPr="00A07F29">
              <w:rPr>
                <w:rFonts w:ascii="Times New Roman" w:eastAsia="Calibri" w:hAnsi="Times New Roman" w:cs="Times New Roman"/>
              </w:rPr>
              <w:t>VARAM</w:t>
            </w:r>
          </w:p>
        </w:tc>
        <w:tc>
          <w:tcPr>
            <w:tcW w:w="1538" w:type="dxa"/>
          </w:tcPr>
          <w:p w14:paraId="3D687CF6" w14:textId="50706200"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2011.</w:t>
            </w:r>
            <w:r w:rsidR="00EC0991">
              <w:rPr>
                <w:rFonts w:ascii="Times New Roman" w:eastAsia="Calibri" w:hAnsi="Times New Roman" w:cs="Times New Roman"/>
              </w:rPr>
              <w:t> – </w:t>
            </w:r>
            <w:r w:rsidRPr="00A07F29">
              <w:rPr>
                <w:rFonts w:ascii="Times New Roman" w:eastAsia="Calibri" w:hAnsi="Times New Roman" w:cs="Times New Roman"/>
              </w:rPr>
              <w:t>2014</w:t>
            </w:r>
            <w:r w:rsidR="00EC0991">
              <w:rPr>
                <w:rFonts w:ascii="Times New Roman" w:eastAsia="Calibri" w:hAnsi="Times New Roman" w:cs="Times New Roman"/>
              </w:rPr>
              <w:t>.</w:t>
            </w:r>
          </w:p>
        </w:tc>
        <w:tc>
          <w:tcPr>
            <w:tcW w:w="3098" w:type="dxa"/>
          </w:tcPr>
          <w:p w14:paraId="6C8EC0E2" w14:textId="026C8141"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Nav veikts</w:t>
            </w:r>
            <w:r w:rsidR="00EC0991">
              <w:rPr>
                <w:rFonts w:ascii="Times New Roman" w:eastAsia="Calibri" w:hAnsi="Times New Roman" w:cs="Times New Roman"/>
              </w:rPr>
              <w:t>.</w:t>
            </w:r>
          </w:p>
        </w:tc>
        <w:tc>
          <w:tcPr>
            <w:tcW w:w="3974" w:type="dxa"/>
          </w:tcPr>
          <w:p w14:paraId="3B8A7DEF" w14:textId="649A2C23"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Sagatavots zonējums AAA “Augšdaugava”, kas nodrošinās aizsardzību</w:t>
            </w:r>
            <w:r w:rsidR="00781522">
              <w:rPr>
                <w:rFonts w:ascii="Times New Roman" w:eastAsia="Calibri" w:hAnsi="Times New Roman" w:cs="Times New Roman"/>
              </w:rPr>
              <w:t>.</w:t>
            </w:r>
          </w:p>
        </w:tc>
      </w:tr>
      <w:tr w:rsidR="009072CE" w:rsidRPr="00A07F29" w14:paraId="155F7CAE" w14:textId="77777777" w:rsidTr="003B2D97">
        <w:trPr>
          <w:jc w:val="center"/>
        </w:trPr>
        <w:tc>
          <w:tcPr>
            <w:tcW w:w="583" w:type="dxa"/>
          </w:tcPr>
          <w:p w14:paraId="77EC9D38" w14:textId="77777777" w:rsidR="009072CE" w:rsidRPr="00A07F29" w:rsidRDefault="009072CE" w:rsidP="009072CE">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29.</w:t>
            </w:r>
          </w:p>
        </w:tc>
        <w:tc>
          <w:tcPr>
            <w:tcW w:w="3402" w:type="dxa"/>
          </w:tcPr>
          <w:p w14:paraId="4B58556B" w14:textId="0907703C"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 xml:space="preserve">Ligzdošanas vietu saglabāšana </w:t>
            </w:r>
            <w:proofErr w:type="spellStart"/>
            <w:r w:rsidRPr="00A07F29">
              <w:rPr>
                <w:rFonts w:ascii="Times New Roman" w:eastAsia="Calibri" w:hAnsi="Times New Roman" w:cs="Times New Roman"/>
              </w:rPr>
              <w:t>dzeņveidīgajiem</w:t>
            </w:r>
            <w:proofErr w:type="spellEnd"/>
            <w:r w:rsidRPr="00A07F29">
              <w:rPr>
                <w:rFonts w:ascii="Times New Roman" w:eastAsia="Calibri" w:hAnsi="Times New Roman" w:cs="Times New Roman"/>
              </w:rPr>
              <w:t>,</w:t>
            </w:r>
            <w:r w:rsidR="00781522">
              <w:rPr>
                <w:rFonts w:ascii="Times New Roman" w:eastAsia="Calibri" w:hAnsi="Times New Roman" w:cs="Times New Roman"/>
              </w:rPr>
              <w:t xml:space="preserve"> </w:t>
            </w:r>
            <w:r w:rsidRPr="00A07F29">
              <w:rPr>
                <w:rFonts w:ascii="Times New Roman" w:eastAsia="Calibri" w:hAnsi="Times New Roman" w:cs="Times New Roman"/>
              </w:rPr>
              <w:t xml:space="preserve">lielajām </w:t>
            </w:r>
            <w:proofErr w:type="spellStart"/>
            <w:r w:rsidRPr="00A07F29">
              <w:rPr>
                <w:rFonts w:ascii="Times New Roman" w:eastAsia="Calibri" w:hAnsi="Times New Roman" w:cs="Times New Roman"/>
              </w:rPr>
              <w:t>gaurām</w:t>
            </w:r>
            <w:proofErr w:type="spellEnd"/>
            <w:r w:rsidRPr="00A07F29">
              <w:rPr>
                <w:rFonts w:ascii="Times New Roman" w:eastAsia="Calibri" w:hAnsi="Times New Roman" w:cs="Times New Roman"/>
              </w:rPr>
              <w:t>, meža baložiem, pūcēm, gaigalām u.c</w:t>
            </w:r>
            <w:r w:rsidR="00781522">
              <w:rPr>
                <w:rFonts w:ascii="Times New Roman" w:eastAsia="Calibri" w:hAnsi="Times New Roman" w:cs="Times New Roman"/>
              </w:rPr>
              <w:t>.</w:t>
            </w:r>
            <w:r w:rsidRPr="00A07F29">
              <w:rPr>
                <w:rFonts w:ascii="Times New Roman" w:eastAsia="Calibri" w:hAnsi="Times New Roman" w:cs="Times New Roman"/>
              </w:rPr>
              <w:t>, saglabājot vecos kokus mežaudzēs, vecākos bērzu un baltalkšņu nogabalus, īpaši upju krastos</w:t>
            </w:r>
          </w:p>
        </w:tc>
        <w:tc>
          <w:tcPr>
            <w:tcW w:w="2127" w:type="dxa"/>
          </w:tcPr>
          <w:p w14:paraId="16D1CF40" w14:textId="77777777"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 xml:space="preserve">Sabiedriskās organizācijas, </w:t>
            </w:r>
          </w:p>
          <w:p w14:paraId="0A089AE0" w14:textId="4AE55ADB"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DAP, pašvaldības, objektu īpašnieki</w:t>
            </w:r>
            <w:r w:rsidR="008E1117">
              <w:rPr>
                <w:rFonts w:ascii="Times New Roman" w:eastAsia="Calibri" w:hAnsi="Times New Roman" w:cs="Times New Roman"/>
              </w:rPr>
              <w:t>,</w:t>
            </w:r>
          </w:p>
          <w:p w14:paraId="072A47F0" w14:textId="77777777" w:rsidR="009072CE" w:rsidRPr="00A07F29" w:rsidRDefault="009072CE" w:rsidP="00665A15">
            <w:pPr>
              <w:autoSpaceDE w:val="0"/>
              <w:autoSpaceDN w:val="0"/>
              <w:adjustRightInd w:val="0"/>
              <w:spacing w:after="0" w:line="240" w:lineRule="auto"/>
              <w:rPr>
                <w:rFonts w:ascii="Times New Roman" w:eastAsia="Calibri" w:hAnsi="Times New Roman" w:cs="Times New Roman"/>
              </w:rPr>
            </w:pPr>
            <w:r w:rsidRPr="00A07F29">
              <w:rPr>
                <w:rFonts w:ascii="Times New Roman" w:eastAsia="Calibri" w:hAnsi="Times New Roman" w:cs="Times New Roman"/>
              </w:rPr>
              <w:t xml:space="preserve">zemes īpašnieki, </w:t>
            </w:r>
            <w:proofErr w:type="spellStart"/>
            <w:r w:rsidRPr="00A07F29">
              <w:rPr>
                <w:rFonts w:ascii="Times New Roman" w:eastAsia="Calibri" w:hAnsi="Times New Roman" w:cs="Times New Roman"/>
              </w:rPr>
              <w:t>apsaimniekotāji</w:t>
            </w:r>
            <w:proofErr w:type="spellEnd"/>
          </w:p>
        </w:tc>
        <w:tc>
          <w:tcPr>
            <w:tcW w:w="1538" w:type="dxa"/>
          </w:tcPr>
          <w:p w14:paraId="7C167D61" w14:textId="61C5BA40"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2010.</w:t>
            </w:r>
            <w:r w:rsidR="008E1117">
              <w:rPr>
                <w:rFonts w:ascii="Times New Roman" w:eastAsia="Calibri" w:hAnsi="Times New Roman" w:cs="Times New Roman"/>
              </w:rPr>
              <w:t> – </w:t>
            </w:r>
            <w:r w:rsidRPr="00A07F29">
              <w:rPr>
                <w:rFonts w:ascii="Times New Roman" w:eastAsia="Calibri" w:hAnsi="Times New Roman" w:cs="Times New Roman"/>
              </w:rPr>
              <w:t xml:space="preserve">2022. </w:t>
            </w:r>
          </w:p>
        </w:tc>
        <w:tc>
          <w:tcPr>
            <w:tcW w:w="3098" w:type="dxa"/>
          </w:tcPr>
          <w:p w14:paraId="05D4DF1D" w14:textId="79872507"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Nav veikti īpaši pasākumi, bet zemes īpašniekus informē DAP saskaņojumu un atļauju izsniegšanas procesā</w:t>
            </w:r>
            <w:r w:rsidR="008E1117">
              <w:rPr>
                <w:rFonts w:ascii="Times New Roman" w:eastAsia="Calibri" w:hAnsi="Times New Roman" w:cs="Times New Roman"/>
              </w:rPr>
              <w:t>.</w:t>
            </w:r>
          </w:p>
        </w:tc>
        <w:tc>
          <w:tcPr>
            <w:tcW w:w="3974" w:type="dxa"/>
          </w:tcPr>
          <w:p w14:paraId="52800C2A" w14:textId="19AFD16A"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Aktuāls pasākums kā informēšana un izglītošana</w:t>
            </w:r>
            <w:r w:rsidR="00650E48">
              <w:rPr>
                <w:rFonts w:ascii="Times New Roman" w:eastAsia="Calibri" w:hAnsi="Times New Roman" w:cs="Times New Roman"/>
              </w:rPr>
              <w:t>.</w:t>
            </w:r>
          </w:p>
        </w:tc>
      </w:tr>
      <w:tr w:rsidR="009072CE" w:rsidRPr="00A07F29" w14:paraId="25082BB1" w14:textId="77777777" w:rsidTr="003B2D97">
        <w:trPr>
          <w:jc w:val="center"/>
        </w:trPr>
        <w:tc>
          <w:tcPr>
            <w:tcW w:w="583" w:type="dxa"/>
          </w:tcPr>
          <w:p w14:paraId="0B3ED563" w14:textId="77777777" w:rsidR="009072CE" w:rsidRPr="00A07F29" w:rsidRDefault="009072CE" w:rsidP="009072CE">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30.</w:t>
            </w:r>
          </w:p>
        </w:tc>
        <w:tc>
          <w:tcPr>
            <w:tcW w:w="3402" w:type="dxa"/>
          </w:tcPr>
          <w:p w14:paraId="048CF6F5" w14:textId="2AC0B1F9"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Dīķ</w:t>
            </w:r>
            <w:r w:rsidR="00CD45EF" w:rsidRPr="00A07F29">
              <w:rPr>
                <w:rFonts w:ascii="Times New Roman" w:eastAsia="Calibri" w:hAnsi="Times New Roman" w:cs="Times New Roman"/>
              </w:rPr>
              <w:t>u</w:t>
            </w:r>
            <w:r w:rsidRPr="00A07F29">
              <w:rPr>
                <w:rFonts w:ascii="Times New Roman" w:eastAsia="Calibri" w:hAnsi="Times New Roman" w:cs="Times New Roman"/>
              </w:rPr>
              <w:t xml:space="preserve"> </w:t>
            </w:r>
            <w:proofErr w:type="spellStart"/>
            <w:r w:rsidRPr="00A07F29">
              <w:rPr>
                <w:rFonts w:ascii="Times New Roman" w:eastAsia="Calibri" w:hAnsi="Times New Roman" w:cs="Times New Roman"/>
              </w:rPr>
              <w:t>naktssikspārņa</w:t>
            </w:r>
            <w:proofErr w:type="spellEnd"/>
            <w:r w:rsidRPr="00A07F29">
              <w:rPr>
                <w:rFonts w:ascii="Times New Roman" w:eastAsia="Calibri" w:hAnsi="Times New Roman" w:cs="Times New Roman"/>
              </w:rPr>
              <w:t xml:space="preserve"> </w:t>
            </w:r>
            <w:proofErr w:type="spellStart"/>
            <w:r w:rsidRPr="00A07F29">
              <w:rPr>
                <w:rFonts w:ascii="Times New Roman" w:eastAsia="Calibri" w:hAnsi="Times New Roman" w:cs="Times New Roman"/>
              </w:rPr>
              <w:t>aukļkoloniju</w:t>
            </w:r>
            <w:proofErr w:type="spellEnd"/>
            <w:r w:rsidRPr="00A07F29">
              <w:rPr>
                <w:rFonts w:ascii="Times New Roman" w:eastAsia="Calibri" w:hAnsi="Times New Roman" w:cs="Times New Roman"/>
              </w:rPr>
              <w:t xml:space="preserve"> aizsardzība </w:t>
            </w:r>
            <w:proofErr w:type="spellStart"/>
            <w:r w:rsidRPr="00A07F29">
              <w:rPr>
                <w:rFonts w:ascii="Times New Roman" w:eastAsia="Calibri" w:hAnsi="Times New Roman" w:cs="Times New Roman"/>
              </w:rPr>
              <w:t>Borovkas</w:t>
            </w:r>
            <w:proofErr w:type="spellEnd"/>
            <w:r w:rsidRPr="00A07F29">
              <w:rPr>
                <w:rFonts w:ascii="Times New Roman" w:eastAsia="Calibri" w:hAnsi="Times New Roman" w:cs="Times New Roman"/>
              </w:rPr>
              <w:t xml:space="preserve"> baznīcā un </w:t>
            </w:r>
            <w:r w:rsidR="00CD45EF" w:rsidRPr="00A07F29">
              <w:rPr>
                <w:rFonts w:ascii="Times New Roman" w:eastAsia="Calibri" w:hAnsi="Times New Roman" w:cs="Times New Roman"/>
              </w:rPr>
              <w:t>K</w:t>
            </w:r>
            <w:r w:rsidRPr="00A07F29">
              <w:rPr>
                <w:rFonts w:ascii="Times New Roman" w:eastAsia="Calibri" w:hAnsi="Times New Roman" w:cs="Times New Roman"/>
              </w:rPr>
              <w:t>aplavas baznīcā</w:t>
            </w:r>
          </w:p>
        </w:tc>
        <w:tc>
          <w:tcPr>
            <w:tcW w:w="2127" w:type="dxa"/>
          </w:tcPr>
          <w:p w14:paraId="00CC2057" w14:textId="358F41F2" w:rsidR="009072CE" w:rsidRPr="00A07F29" w:rsidRDefault="009072CE" w:rsidP="00665A15">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 xml:space="preserve">DU, </w:t>
            </w:r>
            <w:r w:rsidR="00211A1D">
              <w:rPr>
                <w:rFonts w:ascii="Times New Roman" w:eastAsia="Calibri" w:hAnsi="Times New Roman" w:cs="Times New Roman"/>
              </w:rPr>
              <w:t>s</w:t>
            </w:r>
            <w:r w:rsidRPr="00A07F29">
              <w:rPr>
                <w:rFonts w:ascii="Times New Roman" w:eastAsia="Calibri" w:hAnsi="Times New Roman" w:cs="Times New Roman"/>
              </w:rPr>
              <w:t>abiedriskās organizācijas, pašvaldības, objektu īpašnieki</w:t>
            </w:r>
            <w:r w:rsidR="00665A15" w:rsidRPr="00A07F29">
              <w:rPr>
                <w:rFonts w:ascii="Times New Roman" w:eastAsia="Calibri" w:hAnsi="Times New Roman" w:cs="Times New Roman"/>
              </w:rPr>
              <w:t xml:space="preserve">, </w:t>
            </w:r>
            <w:r w:rsidRPr="00A07F29">
              <w:rPr>
                <w:rFonts w:ascii="Times New Roman" w:eastAsia="Calibri" w:hAnsi="Times New Roman" w:cs="Times New Roman"/>
              </w:rPr>
              <w:t xml:space="preserve">zemes īpašnieki, </w:t>
            </w:r>
            <w:proofErr w:type="spellStart"/>
            <w:r w:rsidRPr="00A07F29">
              <w:rPr>
                <w:rFonts w:ascii="Times New Roman" w:eastAsia="Calibri" w:hAnsi="Times New Roman" w:cs="Times New Roman"/>
              </w:rPr>
              <w:t>apsaimniekotāji</w:t>
            </w:r>
            <w:proofErr w:type="spellEnd"/>
            <w:r w:rsidR="001B1E6F">
              <w:rPr>
                <w:rFonts w:ascii="Times New Roman" w:eastAsia="Calibri" w:hAnsi="Times New Roman" w:cs="Times New Roman"/>
              </w:rPr>
              <w:t>,</w:t>
            </w:r>
          </w:p>
          <w:p w14:paraId="320169AC" w14:textId="77777777" w:rsidR="009072CE" w:rsidRPr="00A07F29" w:rsidRDefault="009072CE" w:rsidP="00665A15">
            <w:pPr>
              <w:autoSpaceDE w:val="0"/>
              <w:autoSpaceDN w:val="0"/>
              <w:adjustRightInd w:val="0"/>
              <w:spacing w:after="0" w:line="240" w:lineRule="auto"/>
              <w:jc w:val="both"/>
              <w:rPr>
                <w:rFonts w:ascii="Times New Roman" w:eastAsia="Calibri" w:hAnsi="Times New Roman" w:cs="Times New Roman"/>
              </w:rPr>
            </w:pPr>
            <w:r w:rsidRPr="00A07F29">
              <w:rPr>
                <w:rFonts w:ascii="Times New Roman" w:eastAsia="Calibri" w:hAnsi="Times New Roman" w:cs="Times New Roman"/>
              </w:rPr>
              <w:t>DAP</w:t>
            </w:r>
          </w:p>
        </w:tc>
        <w:tc>
          <w:tcPr>
            <w:tcW w:w="1538" w:type="dxa"/>
          </w:tcPr>
          <w:p w14:paraId="7B3FAA92" w14:textId="77777777" w:rsidR="009072CE" w:rsidRPr="00A07F29" w:rsidRDefault="009072CE" w:rsidP="00665A15">
            <w:pPr>
              <w:spacing w:after="0" w:line="240" w:lineRule="auto"/>
              <w:ind w:firstLine="851"/>
              <w:rPr>
                <w:rFonts w:ascii="Times New Roman" w:eastAsia="Calibri" w:hAnsi="Times New Roman" w:cs="Times New Roman"/>
              </w:rPr>
            </w:pPr>
          </w:p>
          <w:p w14:paraId="547FAC7E" w14:textId="33FDA4DB"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2010.</w:t>
            </w:r>
            <w:r w:rsidR="001B1E6F">
              <w:rPr>
                <w:rFonts w:ascii="Times New Roman" w:eastAsia="Calibri" w:hAnsi="Times New Roman" w:cs="Times New Roman"/>
              </w:rPr>
              <w:t> – </w:t>
            </w:r>
            <w:r w:rsidRPr="00A07F29">
              <w:rPr>
                <w:rFonts w:ascii="Times New Roman" w:eastAsia="Calibri" w:hAnsi="Times New Roman" w:cs="Times New Roman"/>
              </w:rPr>
              <w:t xml:space="preserve">2022. </w:t>
            </w:r>
          </w:p>
        </w:tc>
        <w:tc>
          <w:tcPr>
            <w:tcW w:w="3098" w:type="dxa"/>
          </w:tcPr>
          <w:p w14:paraId="41095356" w14:textId="24AA307D"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Īpaši pasākumi nav veikti</w:t>
            </w:r>
            <w:r w:rsidR="001B1E6F">
              <w:rPr>
                <w:rFonts w:ascii="Times New Roman" w:eastAsia="Calibri" w:hAnsi="Times New Roman" w:cs="Times New Roman"/>
              </w:rPr>
              <w:t>.</w:t>
            </w:r>
          </w:p>
        </w:tc>
        <w:tc>
          <w:tcPr>
            <w:tcW w:w="3974" w:type="dxa"/>
          </w:tcPr>
          <w:p w14:paraId="1DCEE3DC" w14:textId="5D457E64" w:rsidR="009072CE" w:rsidRPr="00A07F29" w:rsidRDefault="00CD45EF"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Pēc renovācijas 2016.</w:t>
            </w:r>
            <w:r w:rsidR="001B1E6F">
              <w:rPr>
                <w:rFonts w:ascii="Times New Roman" w:eastAsia="Calibri" w:hAnsi="Times New Roman" w:cs="Times New Roman"/>
              </w:rPr>
              <w:t> </w:t>
            </w:r>
            <w:r w:rsidRPr="00A07F29">
              <w:rPr>
                <w:rFonts w:ascii="Times New Roman" w:eastAsia="Calibri" w:hAnsi="Times New Roman" w:cs="Times New Roman"/>
              </w:rPr>
              <w:t xml:space="preserve">gadā sikspārņiem </w:t>
            </w:r>
            <w:proofErr w:type="spellStart"/>
            <w:r w:rsidRPr="00A07F29">
              <w:rPr>
                <w:rFonts w:ascii="Times New Roman" w:eastAsia="Calibri" w:hAnsi="Times New Roman" w:cs="Times New Roman"/>
              </w:rPr>
              <w:t>Borovkas</w:t>
            </w:r>
            <w:proofErr w:type="spellEnd"/>
            <w:r w:rsidRPr="00A07F29">
              <w:rPr>
                <w:rFonts w:ascii="Times New Roman" w:eastAsia="Calibri" w:hAnsi="Times New Roman" w:cs="Times New Roman"/>
              </w:rPr>
              <w:t xml:space="preserve"> baznīcas bēniņi vairs nav pieejami. Dīķu </w:t>
            </w:r>
            <w:proofErr w:type="spellStart"/>
            <w:r w:rsidRPr="00A07F29">
              <w:rPr>
                <w:rFonts w:ascii="Times New Roman" w:eastAsia="Calibri" w:hAnsi="Times New Roman" w:cs="Times New Roman"/>
              </w:rPr>
              <w:t>naktssikspārnim</w:t>
            </w:r>
            <w:proofErr w:type="spellEnd"/>
            <w:r w:rsidRPr="00A07F29">
              <w:rPr>
                <w:rFonts w:ascii="Times New Roman" w:eastAsia="Calibri" w:hAnsi="Times New Roman" w:cs="Times New Roman"/>
              </w:rPr>
              <w:t xml:space="preserve"> AAA </w:t>
            </w:r>
            <w:r w:rsidR="001B1E6F">
              <w:rPr>
                <w:rFonts w:ascii="Times New Roman" w:eastAsia="Calibri" w:hAnsi="Times New Roman" w:cs="Times New Roman"/>
              </w:rPr>
              <w:t>“</w:t>
            </w:r>
            <w:r w:rsidRPr="00A07F29">
              <w:rPr>
                <w:rFonts w:ascii="Times New Roman" w:eastAsia="Calibri" w:hAnsi="Times New Roman" w:cs="Times New Roman"/>
              </w:rPr>
              <w:t>Augšdaugava</w:t>
            </w:r>
            <w:r w:rsidR="001B1E6F">
              <w:rPr>
                <w:rFonts w:ascii="Times New Roman" w:eastAsia="Calibri" w:hAnsi="Times New Roman" w:cs="Times New Roman"/>
              </w:rPr>
              <w:t>”</w:t>
            </w:r>
            <w:r w:rsidRPr="00A07F29">
              <w:rPr>
                <w:rFonts w:ascii="Times New Roman" w:eastAsia="Calibri" w:hAnsi="Times New Roman" w:cs="Times New Roman"/>
              </w:rPr>
              <w:t xml:space="preserve"> zināma viena vairošanās kolonijas mītne – Kaplavas pareizticīgo baznīca. Pasākums aktuāls Kaplavas baznīcas kolonijas aizsardzībai</w:t>
            </w:r>
            <w:r w:rsidR="008A2695">
              <w:rPr>
                <w:rFonts w:ascii="Times New Roman" w:eastAsia="Calibri" w:hAnsi="Times New Roman" w:cs="Times New Roman"/>
              </w:rPr>
              <w:t>.</w:t>
            </w:r>
          </w:p>
        </w:tc>
      </w:tr>
      <w:tr w:rsidR="009072CE" w:rsidRPr="00A07F29" w14:paraId="31A6A560" w14:textId="77777777" w:rsidTr="003B2D97">
        <w:trPr>
          <w:jc w:val="center"/>
        </w:trPr>
        <w:tc>
          <w:tcPr>
            <w:tcW w:w="583" w:type="dxa"/>
          </w:tcPr>
          <w:p w14:paraId="4580E4B1" w14:textId="77777777" w:rsidR="009072CE" w:rsidRPr="00A07F29" w:rsidRDefault="009072CE" w:rsidP="009072CE">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31.</w:t>
            </w:r>
          </w:p>
        </w:tc>
        <w:tc>
          <w:tcPr>
            <w:tcW w:w="3402" w:type="dxa"/>
          </w:tcPr>
          <w:p w14:paraId="7CD22766" w14:textId="6157C036"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Izcērtot krūmus grāvjos, vismaz 25</w:t>
            </w:r>
            <w:r w:rsidR="00951BF6">
              <w:rPr>
                <w:rFonts w:ascii="Times New Roman" w:eastAsia="Calibri" w:hAnsi="Times New Roman" w:cs="Times New Roman"/>
              </w:rPr>
              <w:t> </w:t>
            </w:r>
            <w:r w:rsidRPr="00A07F29">
              <w:rPr>
                <w:rFonts w:ascii="Times New Roman" w:eastAsia="Calibri" w:hAnsi="Times New Roman" w:cs="Times New Roman"/>
              </w:rPr>
              <w:t>% jāatstāj nenocirsti. Vismaz 30</w:t>
            </w:r>
            <w:r w:rsidR="00951BF6">
              <w:rPr>
                <w:rFonts w:ascii="Times New Roman" w:eastAsia="Calibri" w:hAnsi="Times New Roman" w:cs="Times New Roman"/>
              </w:rPr>
              <w:t> </w:t>
            </w:r>
            <w:r w:rsidRPr="00A07F29">
              <w:rPr>
                <w:rFonts w:ascii="Times New Roman" w:eastAsia="Calibri" w:hAnsi="Times New Roman" w:cs="Times New Roman"/>
              </w:rPr>
              <w:t>m uz 100</w:t>
            </w:r>
            <w:r w:rsidR="00951BF6">
              <w:rPr>
                <w:rFonts w:ascii="Times New Roman" w:eastAsia="Calibri" w:hAnsi="Times New Roman" w:cs="Times New Roman"/>
              </w:rPr>
              <w:t> </w:t>
            </w:r>
            <w:r w:rsidRPr="00A07F29">
              <w:rPr>
                <w:rFonts w:ascii="Times New Roman" w:eastAsia="Calibri" w:hAnsi="Times New Roman" w:cs="Times New Roman"/>
              </w:rPr>
              <w:t>m vēlams izcirst.</w:t>
            </w:r>
          </w:p>
        </w:tc>
        <w:tc>
          <w:tcPr>
            <w:tcW w:w="2127" w:type="dxa"/>
          </w:tcPr>
          <w:p w14:paraId="253E70BD" w14:textId="2A092844"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 xml:space="preserve">DU, </w:t>
            </w:r>
            <w:r w:rsidR="00A63AA5">
              <w:rPr>
                <w:rFonts w:ascii="Times New Roman" w:eastAsia="Calibri" w:hAnsi="Times New Roman" w:cs="Times New Roman"/>
              </w:rPr>
              <w:t>s</w:t>
            </w:r>
            <w:r w:rsidRPr="00A07F29">
              <w:rPr>
                <w:rFonts w:ascii="Times New Roman" w:eastAsia="Calibri" w:hAnsi="Times New Roman" w:cs="Times New Roman"/>
              </w:rPr>
              <w:t>abiedriskās organizācijas, pašvaldības, objektu īpašnieki</w:t>
            </w:r>
            <w:r w:rsidR="00A63AA5">
              <w:rPr>
                <w:rFonts w:ascii="Times New Roman" w:eastAsia="Calibri" w:hAnsi="Times New Roman" w:cs="Times New Roman"/>
              </w:rPr>
              <w:t>,</w:t>
            </w:r>
          </w:p>
          <w:p w14:paraId="6777BFBA" w14:textId="77777777" w:rsidR="009072CE" w:rsidRPr="00A07F29" w:rsidRDefault="009072CE" w:rsidP="00665A15">
            <w:pPr>
              <w:autoSpaceDE w:val="0"/>
              <w:autoSpaceDN w:val="0"/>
              <w:adjustRightInd w:val="0"/>
              <w:spacing w:after="0" w:line="240" w:lineRule="auto"/>
              <w:rPr>
                <w:rFonts w:ascii="Times New Roman" w:eastAsia="Calibri" w:hAnsi="Times New Roman" w:cs="Times New Roman"/>
              </w:rPr>
            </w:pPr>
            <w:r w:rsidRPr="00A07F29">
              <w:rPr>
                <w:rFonts w:ascii="Times New Roman" w:eastAsia="Calibri" w:hAnsi="Times New Roman" w:cs="Times New Roman"/>
              </w:rPr>
              <w:t xml:space="preserve">zemes īpašnieki, </w:t>
            </w:r>
            <w:proofErr w:type="spellStart"/>
            <w:r w:rsidRPr="00A07F29">
              <w:rPr>
                <w:rFonts w:ascii="Times New Roman" w:eastAsia="Calibri" w:hAnsi="Times New Roman" w:cs="Times New Roman"/>
              </w:rPr>
              <w:t>apsaimniekotāji</w:t>
            </w:r>
            <w:proofErr w:type="spellEnd"/>
          </w:p>
        </w:tc>
        <w:tc>
          <w:tcPr>
            <w:tcW w:w="1538" w:type="dxa"/>
          </w:tcPr>
          <w:p w14:paraId="78031DD4" w14:textId="3C7AC318"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2010.</w:t>
            </w:r>
            <w:r w:rsidR="00A63AA5">
              <w:rPr>
                <w:rFonts w:ascii="Times New Roman" w:eastAsia="Calibri" w:hAnsi="Times New Roman" w:cs="Times New Roman"/>
              </w:rPr>
              <w:t> – </w:t>
            </w:r>
            <w:r w:rsidRPr="00A07F29">
              <w:rPr>
                <w:rFonts w:ascii="Times New Roman" w:eastAsia="Calibri" w:hAnsi="Times New Roman" w:cs="Times New Roman"/>
              </w:rPr>
              <w:t xml:space="preserve">2022. </w:t>
            </w:r>
          </w:p>
        </w:tc>
        <w:tc>
          <w:tcPr>
            <w:tcW w:w="3098" w:type="dxa"/>
          </w:tcPr>
          <w:p w14:paraId="2A9C575C" w14:textId="4C9B559F"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Nav veikti īpaši pasākumi</w:t>
            </w:r>
            <w:r w:rsidR="00A63AA5">
              <w:rPr>
                <w:rFonts w:ascii="Times New Roman" w:eastAsia="Calibri" w:hAnsi="Times New Roman" w:cs="Times New Roman"/>
              </w:rPr>
              <w:t>.</w:t>
            </w:r>
          </w:p>
        </w:tc>
        <w:tc>
          <w:tcPr>
            <w:tcW w:w="3974" w:type="dxa"/>
          </w:tcPr>
          <w:p w14:paraId="4AD03C50" w14:textId="77777777"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Pasākums var būt aktuāls tikai intensīvi lauksaimniecībā izmantojamās teritorijās, kur savukārt tas būs pretrunā ar meliorācijas sistēmu uzturēšanas prasībām.</w:t>
            </w:r>
          </w:p>
        </w:tc>
      </w:tr>
      <w:tr w:rsidR="009072CE" w:rsidRPr="00A07F29" w14:paraId="13779FC0" w14:textId="77777777" w:rsidTr="003B2D97">
        <w:trPr>
          <w:jc w:val="center"/>
        </w:trPr>
        <w:tc>
          <w:tcPr>
            <w:tcW w:w="583" w:type="dxa"/>
          </w:tcPr>
          <w:p w14:paraId="61232552" w14:textId="77777777" w:rsidR="009072CE" w:rsidRPr="00A07F29" w:rsidRDefault="009072CE" w:rsidP="009072CE">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32.</w:t>
            </w:r>
          </w:p>
        </w:tc>
        <w:tc>
          <w:tcPr>
            <w:tcW w:w="3402" w:type="dxa"/>
          </w:tcPr>
          <w:p w14:paraId="1C5BA5A4" w14:textId="77777777"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Ziemojošo sikspārņu mītņu papildu inventarizācija, to aizsardzība</w:t>
            </w:r>
          </w:p>
        </w:tc>
        <w:tc>
          <w:tcPr>
            <w:tcW w:w="2127" w:type="dxa"/>
          </w:tcPr>
          <w:p w14:paraId="02EE38CF" w14:textId="60249B8B"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 xml:space="preserve">DU, </w:t>
            </w:r>
            <w:r w:rsidR="00DD298F">
              <w:rPr>
                <w:rFonts w:ascii="Times New Roman" w:eastAsia="Calibri" w:hAnsi="Times New Roman" w:cs="Times New Roman"/>
              </w:rPr>
              <w:t>s</w:t>
            </w:r>
            <w:r w:rsidRPr="00A07F29">
              <w:rPr>
                <w:rFonts w:ascii="Times New Roman" w:eastAsia="Calibri" w:hAnsi="Times New Roman" w:cs="Times New Roman"/>
              </w:rPr>
              <w:t>abiedriskās organizācijas, pašvaldības, objektu īpašnieki</w:t>
            </w:r>
            <w:r w:rsidR="00DD298F">
              <w:rPr>
                <w:rFonts w:ascii="Times New Roman" w:eastAsia="Calibri" w:hAnsi="Times New Roman" w:cs="Times New Roman"/>
              </w:rPr>
              <w:t>,</w:t>
            </w:r>
          </w:p>
          <w:p w14:paraId="08060178" w14:textId="7770081F"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lastRenderedPageBreak/>
              <w:t xml:space="preserve">zemes īpašnieki, </w:t>
            </w:r>
            <w:proofErr w:type="spellStart"/>
            <w:r w:rsidRPr="00A07F29">
              <w:rPr>
                <w:rFonts w:ascii="Times New Roman" w:eastAsia="Calibri" w:hAnsi="Times New Roman" w:cs="Times New Roman"/>
              </w:rPr>
              <w:t>apsaimniekotāji</w:t>
            </w:r>
            <w:proofErr w:type="spellEnd"/>
            <w:r w:rsidR="00DD298F">
              <w:rPr>
                <w:rFonts w:ascii="Times New Roman" w:eastAsia="Calibri" w:hAnsi="Times New Roman" w:cs="Times New Roman"/>
              </w:rPr>
              <w:t>,</w:t>
            </w:r>
          </w:p>
          <w:p w14:paraId="697308C6" w14:textId="77777777" w:rsidR="009072CE" w:rsidRPr="00A07F29" w:rsidRDefault="009072CE" w:rsidP="00665A15">
            <w:pPr>
              <w:autoSpaceDE w:val="0"/>
              <w:autoSpaceDN w:val="0"/>
              <w:adjustRightInd w:val="0"/>
              <w:spacing w:after="0" w:line="240" w:lineRule="auto"/>
              <w:rPr>
                <w:rFonts w:ascii="Times New Roman" w:eastAsia="Calibri" w:hAnsi="Times New Roman" w:cs="Times New Roman"/>
              </w:rPr>
            </w:pPr>
            <w:r w:rsidRPr="00A07F29">
              <w:rPr>
                <w:rFonts w:ascii="Times New Roman" w:eastAsia="Calibri" w:hAnsi="Times New Roman" w:cs="Times New Roman"/>
              </w:rPr>
              <w:t>DAP</w:t>
            </w:r>
          </w:p>
        </w:tc>
        <w:tc>
          <w:tcPr>
            <w:tcW w:w="1538" w:type="dxa"/>
          </w:tcPr>
          <w:p w14:paraId="7D247CE4" w14:textId="42346AA0"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lastRenderedPageBreak/>
              <w:t>2010.</w:t>
            </w:r>
            <w:r w:rsidR="00DD298F">
              <w:rPr>
                <w:rFonts w:ascii="Times New Roman" w:eastAsia="Calibri" w:hAnsi="Times New Roman" w:cs="Times New Roman"/>
              </w:rPr>
              <w:t> – </w:t>
            </w:r>
            <w:r w:rsidRPr="00A07F29">
              <w:rPr>
                <w:rFonts w:ascii="Times New Roman" w:eastAsia="Calibri" w:hAnsi="Times New Roman" w:cs="Times New Roman"/>
              </w:rPr>
              <w:t>2022.</w:t>
            </w:r>
          </w:p>
        </w:tc>
        <w:tc>
          <w:tcPr>
            <w:tcW w:w="3098" w:type="dxa"/>
          </w:tcPr>
          <w:p w14:paraId="7BD83A19" w14:textId="6FEB4A46"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Nav veikti īpaši pasākumi</w:t>
            </w:r>
            <w:r w:rsidR="00DD298F">
              <w:rPr>
                <w:rFonts w:ascii="Times New Roman" w:eastAsia="Calibri" w:hAnsi="Times New Roman" w:cs="Times New Roman"/>
              </w:rPr>
              <w:t>.</w:t>
            </w:r>
          </w:p>
        </w:tc>
        <w:tc>
          <w:tcPr>
            <w:tcW w:w="3974" w:type="dxa"/>
          </w:tcPr>
          <w:p w14:paraId="3139DA47" w14:textId="163949ED" w:rsidR="009072CE" w:rsidRPr="00A07F29" w:rsidRDefault="00CD45EF" w:rsidP="00522079">
            <w:pPr>
              <w:spacing w:after="0" w:line="240" w:lineRule="auto"/>
              <w:rPr>
                <w:rFonts w:ascii="Times New Roman" w:eastAsia="Calibri" w:hAnsi="Times New Roman" w:cs="Times New Roman"/>
              </w:rPr>
            </w:pPr>
            <w:r w:rsidRPr="00A07F29">
              <w:rPr>
                <w:rFonts w:ascii="Times New Roman" w:eastAsia="Calibri" w:hAnsi="Times New Roman" w:cs="Times New Roman"/>
              </w:rPr>
              <w:t>Sikspārņu netraucētas ziemošanas nodrošināšana Daugavpils cietoksnī pozitīvi ietekmēs AAA mītošo ziemojošo sikspārņu sugu populācijas.</w:t>
            </w:r>
            <w:r w:rsidR="00522079" w:rsidRPr="00A07F29">
              <w:rPr>
                <w:rFonts w:ascii="Times New Roman" w:eastAsia="Calibri" w:hAnsi="Times New Roman" w:cs="Times New Roman"/>
              </w:rPr>
              <w:t xml:space="preserve"> Nepieciešams saglabāt arī sikspārņu koloniju vasaras </w:t>
            </w:r>
            <w:r w:rsidR="00522079" w:rsidRPr="00A07F29">
              <w:rPr>
                <w:rFonts w:ascii="Times New Roman" w:eastAsia="Calibri" w:hAnsi="Times New Roman" w:cs="Times New Roman"/>
              </w:rPr>
              <w:lastRenderedPageBreak/>
              <w:t>mītnes, kā arī neizgaismot siksp</w:t>
            </w:r>
            <w:r w:rsidR="00D42359">
              <w:rPr>
                <w:rFonts w:ascii="Times New Roman" w:eastAsia="Calibri" w:hAnsi="Times New Roman" w:cs="Times New Roman"/>
              </w:rPr>
              <w:t>ār</w:t>
            </w:r>
            <w:r w:rsidR="00522079" w:rsidRPr="00A07F29">
              <w:rPr>
                <w:rFonts w:ascii="Times New Roman" w:eastAsia="Calibri" w:hAnsi="Times New Roman" w:cs="Times New Roman"/>
              </w:rPr>
              <w:t>ņiem nozīmīgas barošanās teritorijas pie ūdeņiem u.c.</w:t>
            </w:r>
          </w:p>
        </w:tc>
      </w:tr>
      <w:tr w:rsidR="009072CE" w:rsidRPr="00A07F29" w14:paraId="714ADF12" w14:textId="77777777" w:rsidTr="003B2D97">
        <w:trPr>
          <w:jc w:val="center"/>
        </w:trPr>
        <w:tc>
          <w:tcPr>
            <w:tcW w:w="583" w:type="dxa"/>
          </w:tcPr>
          <w:p w14:paraId="6F3846F0" w14:textId="77777777" w:rsidR="009072CE" w:rsidRPr="00A07F29" w:rsidRDefault="009072CE" w:rsidP="009072CE">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lastRenderedPageBreak/>
              <w:t>33.</w:t>
            </w:r>
          </w:p>
        </w:tc>
        <w:tc>
          <w:tcPr>
            <w:tcW w:w="3402" w:type="dxa"/>
          </w:tcPr>
          <w:p w14:paraId="5D065C3F" w14:textId="04614E82"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 xml:space="preserve">Ģenētisko resursu mežaudžu statusa apstiprināšana valsts mežā </w:t>
            </w:r>
            <w:proofErr w:type="spellStart"/>
            <w:r w:rsidRPr="00A07F29">
              <w:rPr>
                <w:rFonts w:ascii="Times New Roman" w:eastAsia="Calibri" w:hAnsi="Times New Roman" w:cs="Times New Roman"/>
              </w:rPr>
              <w:t>Daugavsargu</w:t>
            </w:r>
            <w:proofErr w:type="spellEnd"/>
            <w:r w:rsidRPr="00A07F29">
              <w:rPr>
                <w:rFonts w:ascii="Times New Roman" w:eastAsia="Calibri" w:hAnsi="Times New Roman" w:cs="Times New Roman"/>
              </w:rPr>
              <w:t xml:space="preserve"> un </w:t>
            </w:r>
            <w:proofErr w:type="spellStart"/>
            <w:r w:rsidRPr="00A07F29">
              <w:rPr>
                <w:rFonts w:ascii="Times New Roman" w:eastAsia="Calibri" w:hAnsi="Times New Roman" w:cs="Times New Roman"/>
              </w:rPr>
              <w:t>Ververu</w:t>
            </w:r>
            <w:proofErr w:type="spellEnd"/>
            <w:r w:rsidRPr="00A07F29">
              <w:rPr>
                <w:rFonts w:ascii="Times New Roman" w:eastAsia="Calibri" w:hAnsi="Times New Roman" w:cs="Times New Roman"/>
              </w:rPr>
              <w:t xml:space="preserve"> lokos (kadastra nr.</w:t>
            </w:r>
            <w:r w:rsidR="00307C7D">
              <w:rPr>
                <w:rFonts w:ascii="Times New Roman" w:eastAsia="Calibri" w:hAnsi="Times New Roman" w:cs="Times New Roman"/>
              </w:rPr>
              <w:t> </w:t>
            </w:r>
            <w:r w:rsidRPr="00A07F29">
              <w:rPr>
                <w:rFonts w:ascii="Times New Roman" w:eastAsia="Calibri" w:hAnsi="Times New Roman" w:cs="Times New Roman"/>
              </w:rPr>
              <w:t>44740080192 un 44840010002)</w:t>
            </w:r>
          </w:p>
        </w:tc>
        <w:tc>
          <w:tcPr>
            <w:tcW w:w="2127" w:type="dxa"/>
          </w:tcPr>
          <w:p w14:paraId="580DCEDA" w14:textId="77777777"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VMD</w:t>
            </w:r>
          </w:p>
          <w:p w14:paraId="24C5659A" w14:textId="68DA3590" w:rsidR="009072CE" w:rsidRPr="00A07F29" w:rsidRDefault="009072CE" w:rsidP="00665A15">
            <w:pPr>
              <w:autoSpaceDE w:val="0"/>
              <w:autoSpaceDN w:val="0"/>
              <w:adjustRightInd w:val="0"/>
              <w:spacing w:after="0" w:line="240" w:lineRule="auto"/>
              <w:rPr>
                <w:rFonts w:ascii="Times New Roman" w:eastAsia="Calibri" w:hAnsi="Times New Roman" w:cs="Times New Roman"/>
              </w:rPr>
            </w:pPr>
            <w:r w:rsidRPr="00A07F29">
              <w:rPr>
                <w:rFonts w:ascii="Times New Roman" w:eastAsia="Calibri" w:hAnsi="Times New Roman" w:cs="Times New Roman"/>
              </w:rPr>
              <w:t xml:space="preserve">LVMI </w:t>
            </w:r>
            <w:r w:rsidR="00F964AF">
              <w:rPr>
                <w:rFonts w:ascii="Times New Roman" w:eastAsia="Calibri" w:hAnsi="Times New Roman" w:cs="Times New Roman"/>
              </w:rPr>
              <w:t>“</w:t>
            </w:r>
            <w:r w:rsidRPr="00A07F29">
              <w:rPr>
                <w:rFonts w:ascii="Times New Roman" w:eastAsia="Calibri" w:hAnsi="Times New Roman" w:cs="Times New Roman"/>
              </w:rPr>
              <w:t>Silava</w:t>
            </w:r>
            <w:r w:rsidR="00F964AF">
              <w:rPr>
                <w:rFonts w:ascii="Times New Roman" w:eastAsia="Calibri" w:hAnsi="Times New Roman" w:cs="Times New Roman"/>
              </w:rPr>
              <w:t>”</w:t>
            </w:r>
          </w:p>
        </w:tc>
        <w:tc>
          <w:tcPr>
            <w:tcW w:w="1538" w:type="dxa"/>
          </w:tcPr>
          <w:p w14:paraId="43D787B5" w14:textId="047B3397"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2010.</w:t>
            </w:r>
            <w:r w:rsidR="00F964AF">
              <w:rPr>
                <w:rFonts w:ascii="Times New Roman" w:eastAsia="Calibri" w:hAnsi="Times New Roman" w:cs="Times New Roman"/>
              </w:rPr>
              <w:t> – </w:t>
            </w:r>
            <w:r w:rsidRPr="00A07F29">
              <w:rPr>
                <w:rFonts w:ascii="Times New Roman" w:eastAsia="Calibri" w:hAnsi="Times New Roman" w:cs="Times New Roman"/>
              </w:rPr>
              <w:t>2011.</w:t>
            </w:r>
          </w:p>
        </w:tc>
        <w:tc>
          <w:tcPr>
            <w:tcW w:w="3098" w:type="dxa"/>
          </w:tcPr>
          <w:p w14:paraId="3E7DFE86" w14:textId="0576D112"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Nav veikts</w:t>
            </w:r>
            <w:r w:rsidR="00F964AF">
              <w:rPr>
                <w:rFonts w:ascii="Times New Roman" w:eastAsia="Calibri" w:hAnsi="Times New Roman" w:cs="Times New Roman"/>
              </w:rPr>
              <w:t>.</w:t>
            </w:r>
          </w:p>
        </w:tc>
        <w:tc>
          <w:tcPr>
            <w:tcW w:w="3974" w:type="dxa"/>
          </w:tcPr>
          <w:p w14:paraId="029A375F" w14:textId="1E2B409D" w:rsidR="009072CE" w:rsidRPr="00A07F29" w:rsidRDefault="001B277D"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D</w:t>
            </w:r>
            <w:r w:rsidR="6B6921CE" w:rsidRPr="00A07F29">
              <w:rPr>
                <w:rFonts w:ascii="Times New Roman" w:eastAsia="Calibri" w:hAnsi="Times New Roman" w:cs="Times New Roman"/>
              </w:rPr>
              <w:t>A</w:t>
            </w:r>
            <w:r w:rsidRPr="00A07F29">
              <w:rPr>
                <w:rFonts w:ascii="Times New Roman" w:eastAsia="Calibri" w:hAnsi="Times New Roman" w:cs="Times New Roman"/>
              </w:rPr>
              <w:t xml:space="preserve"> plāna izstrādes laikā LVMI “Silava” speciālisti nav aktualizējuši interesi par ģenētisko resursu mežaudzes statusa apstiprināšanu</w:t>
            </w:r>
            <w:r w:rsidR="6F92FBEF" w:rsidRPr="00A07F29">
              <w:rPr>
                <w:rFonts w:ascii="Times New Roman" w:eastAsia="Calibri" w:hAnsi="Times New Roman" w:cs="Times New Roman"/>
              </w:rPr>
              <w:t xml:space="preserve"> </w:t>
            </w:r>
            <w:proofErr w:type="spellStart"/>
            <w:r w:rsidR="00665A15" w:rsidRPr="00A07F29">
              <w:rPr>
                <w:rFonts w:ascii="Times New Roman" w:eastAsia="Calibri" w:hAnsi="Times New Roman" w:cs="Times New Roman"/>
              </w:rPr>
              <w:t>Daugavsargu</w:t>
            </w:r>
            <w:proofErr w:type="spellEnd"/>
            <w:r w:rsidR="00665A15" w:rsidRPr="00A07F29">
              <w:rPr>
                <w:rFonts w:ascii="Times New Roman" w:eastAsia="Calibri" w:hAnsi="Times New Roman" w:cs="Times New Roman"/>
              </w:rPr>
              <w:t xml:space="preserve"> un </w:t>
            </w:r>
            <w:proofErr w:type="spellStart"/>
            <w:r w:rsidR="00665A15" w:rsidRPr="00A07F29">
              <w:rPr>
                <w:rFonts w:ascii="Times New Roman" w:eastAsia="Calibri" w:hAnsi="Times New Roman" w:cs="Times New Roman"/>
              </w:rPr>
              <w:t>Ververu</w:t>
            </w:r>
            <w:proofErr w:type="spellEnd"/>
            <w:r w:rsidR="00665A15" w:rsidRPr="00A07F29">
              <w:rPr>
                <w:rFonts w:ascii="Times New Roman" w:eastAsia="Calibri" w:hAnsi="Times New Roman" w:cs="Times New Roman"/>
              </w:rPr>
              <w:t xml:space="preserve"> lokos</w:t>
            </w:r>
            <w:r w:rsidR="6F92FBEF" w:rsidRPr="00A07F29">
              <w:rPr>
                <w:rFonts w:ascii="Times New Roman" w:eastAsia="Calibri" w:hAnsi="Times New Roman" w:cs="Times New Roman"/>
              </w:rPr>
              <w:t>. Turpmāk nav nepieciešams.</w:t>
            </w:r>
          </w:p>
        </w:tc>
      </w:tr>
      <w:tr w:rsidR="009072CE" w:rsidRPr="00A07F29" w14:paraId="6BB94A7E" w14:textId="77777777" w:rsidTr="003B2D97">
        <w:trPr>
          <w:jc w:val="center"/>
        </w:trPr>
        <w:tc>
          <w:tcPr>
            <w:tcW w:w="583" w:type="dxa"/>
          </w:tcPr>
          <w:p w14:paraId="605CB225" w14:textId="77777777" w:rsidR="009072CE" w:rsidRPr="00A07F29" w:rsidRDefault="009072CE" w:rsidP="009072CE">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34.</w:t>
            </w:r>
          </w:p>
        </w:tc>
        <w:tc>
          <w:tcPr>
            <w:tcW w:w="3402" w:type="dxa"/>
          </w:tcPr>
          <w:p w14:paraId="5F2B28E8" w14:textId="77777777"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Ģenētisko resursu mežaudžu apsaimniekošanas plāna izstrāde</w:t>
            </w:r>
          </w:p>
        </w:tc>
        <w:tc>
          <w:tcPr>
            <w:tcW w:w="2127" w:type="dxa"/>
          </w:tcPr>
          <w:p w14:paraId="15CD229A" w14:textId="77777777"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LVM</w:t>
            </w:r>
          </w:p>
          <w:p w14:paraId="79B52B02" w14:textId="77777777"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VMD</w:t>
            </w:r>
          </w:p>
          <w:p w14:paraId="363FED5A" w14:textId="262C9DCF" w:rsidR="009072CE" w:rsidRPr="00A07F29" w:rsidRDefault="009072CE" w:rsidP="00665A15">
            <w:pPr>
              <w:autoSpaceDE w:val="0"/>
              <w:autoSpaceDN w:val="0"/>
              <w:adjustRightInd w:val="0"/>
              <w:spacing w:after="0" w:line="240" w:lineRule="auto"/>
              <w:rPr>
                <w:rFonts w:ascii="Times New Roman" w:eastAsia="Calibri" w:hAnsi="Times New Roman" w:cs="Times New Roman"/>
              </w:rPr>
            </w:pPr>
            <w:r w:rsidRPr="00A07F29">
              <w:rPr>
                <w:rFonts w:ascii="Times New Roman" w:eastAsia="Calibri" w:hAnsi="Times New Roman" w:cs="Times New Roman"/>
              </w:rPr>
              <w:t xml:space="preserve">LVMI </w:t>
            </w:r>
            <w:r w:rsidR="002A30FD">
              <w:rPr>
                <w:rFonts w:ascii="Times New Roman" w:eastAsia="Calibri" w:hAnsi="Times New Roman" w:cs="Times New Roman"/>
              </w:rPr>
              <w:t>“</w:t>
            </w:r>
            <w:r w:rsidRPr="00A07F29">
              <w:rPr>
                <w:rFonts w:ascii="Times New Roman" w:eastAsia="Calibri" w:hAnsi="Times New Roman" w:cs="Times New Roman"/>
              </w:rPr>
              <w:t>Silava</w:t>
            </w:r>
            <w:r w:rsidR="002A30FD">
              <w:rPr>
                <w:rFonts w:ascii="Times New Roman" w:eastAsia="Calibri" w:hAnsi="Times New Roman" w:cs="Times New Roman"/>
              </w:rPr>
              <w:t>”</w:t>
            </w:r>
          </w:p>
        </w:tc>
        <w:tc>
          <w:tcPr>
            <w:tcW w:w="1538" w:type="dxa"/>
          </w:tcPr>
          <w:p w14:paraId="4D8178D3" w14:textId="35ECB059"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2011.</w:t>
            </w:r>
            <w:r w:rsidR="002A30FD">
              <w:rPr>
                <w:rFonts w:ascii="Times New Roman" w:eastAsia="Calibri" w:hAnsi="Times New Roman" w:cs="Times New Roman"/>
              </w:rPr>
              <w:t> </w:t>
            </w:r>
            <w:r w:rsidR="00AB6188">
              <w:rPr>
                <w:rFonts w:ascii="Times New Roman" w:eastAsia="Calibri" w:hAnsi="Times New Roman" w:cs="Times New Roman"/>
              </w:rPr>
              <w:t>–</w:t>
            </w:r>
            <w:r w:rsidR="002A30FD">
              <w:rPr>
                <w:rFonts w:ascii="Times New Roman" w:eastAsia="Calibri" w:hAnsi="Times New Roman" w:cs="Times New Roman"/>
              </w:rPr>
              <w:t> </w:t>
            </w:r>
            <w:r w:rsidRPr="00A07F29">
              <w:rPr>
                <w:rFonts w:ascii="Times New Roman" w:eastAsia="Calibri" w:hAnsi="Times New Roman" w:cs="Times New Roman"/>
              </w:rPr>
              <w:t>2012.</w:t>
            </w:r>
          </w:p>
        </w:tc>
        <w:tc>
          <w:tcPr>
            <w:tcW w:w="3098" w:type="dxa"/>
          </w:tcPr>
          <w:p w14:paraId="7B051C67" w14:textId="5436263D"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Nav veikts</w:t>
            </w:r>
            <w:r w:rsidR="00AB6188">
              <w:rPr>
                <w:rFonts w:ascii="Times New Roman" w:eastAsia="Calibri" w:hAnsi="Times New Roman" w:cs="Times New Roman"/>
              </w:rPr>
              <w:t>.</w:t>
            </w:r>
          </w:p>
        </w:tc>
        <w:tc>
          <w:tcPr>
            <w:tcW w:w="3974" w:type="dxa"/>
          </w:tcPr>
          <w:p w14:paraId="0E1F8EE3" w14:textId="091C284D" w:rsidR="009072CE" w:rsidRPr="00A07F29" w:rsidRDefault="00665A15"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 xml:space="preserve">AAA “Augšdaugava” atrodas ģenētisko resursu mežaudze “Priedaines priede”. Ņemot vērā </w:t>
            </w:r>
            <w:r w:rsidR="00D9163C">
              <w:rPr>
                <w:rFonts w:ascii="Times New Roman" w:eastAsia="Calibri" w:hAnsi="Times New Roman" w:cs="Times New Roman"/>
              </w:rPr>
              <w:t>ģenētisko</w:t>
            </w:r>
            <w:r w:rsidR="00C2379F">
              <w:rPr>
                <w:rFonts w:ascii="Times New Roman" w:eastAsia="Calibri" w:hAnsi="Times New Roman" w:cs="Times New Roman"/>
              </w:rPr>
              <w:t xml:space="preserve"> resursu mežaud</w:t>
            </w:r>
            <w:r w:rsidR="00B131B5">
              <w:rPr>
                <w:rFonts w:ascii="Times New Roman" w:eastAsia="Calibri" w:hAnsi="Times New Roman" w:cs="Times New Roman"/>
              </w:rPr>
              <w:t>zēm</w:t>
            </w:r>
            <w:r w:rsidRPr="00A07F29">
              <w:rPr>
                <w:rFonts w:ascii="Times New Roman" w:eastAsia="Calibri" w:hAnsi="Times New Roman" w:cs="Times New Roman"/>
              </w:rPr>
              <w:t xml:space="preserve"> nepieciešamo specifisko apsaimniekošanu un tur sastopamos ES nozīmes biotopus, nepieciešams izstrādāt ar DAP saskaņotu </w:t>
            </w:r>
            <w:r w:rsidR="00B131B5">
              <w:rPr>
                <w:rFonts w:ascii="Times New Roman" w:eastAsia="Calibri" w:hAnsi="Times New Roman" w:cs="Times New Roman"/>
              </w:rPr>
              <w:t>ģenētisko resursu mežaudžu</w:t>
            </w:r>
            <w:r w:rsidRPr="00A07F29">
              <w:rPr>
                <w:rFonts w:ascii="Times New Roman" w:eastAsia="Calibri" w:hAnsi="Times New Roman" w:cs="Times New Roman"/>
              </w:rPr>
              <w:t xml:space="preserve"> apsaimniekošanas plānu.</w:t>
            </w:r>
            <w:r w:rsidRPr="00A07F29" w:rsidDel="00665A15">
              <w:rPr>
                <w:rFonts w:ascii="Times New Roman" w:eastAsia="Calibri" w:hAnsi="Times New Roman" w:cs="Times New Roman"/>
              </w:rPr>
              <w:t xml:space="preserve"> </w:t>
            </w:r>
          </w:p>
        </w:tc>
      </w:tr>
      <w:tr w:rsidR="009072CE" w:rsidRPr="00A07F29" w14:paraId="73DFDEB6" w14:textId="77777777" w:rsidTr="003B2D97">
        <w:trPr>
          <w:jc w:val="center"/>
        </w:trPr>
        <w:tc>
          <w:tcPr>
            <w:tcW w:w="583" w:type="dxa"/>
          </w:tcPr>
          <w:p w14:paraId="3E6BAE2C" w14:textId="77777777" w:rsidR="009072CE" w:rsidRPr="00A07F29" w:rsidRDefault="009072CE" w:rsidP="009072CE">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35.</w:t>
            </w:r>
          </w:p>
        </w:tc>
        <w:tc>
          <w:tcPr>
            <w:tcW w:w="3402" w:type="dxa"/>
          </w:tcPr>
          <w:p w14:paraId="4405A520" w14:textId="77777777"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 xml:space="preserve">Ģenētisko resursu mežaudžu apsaimniekošana </w:t>
            </w:r>
          </w:p>
        </w:tc>
        <w:tc>
          <w:tcPr>
            <w:tcW w:w="2127" w:type="dxa"/>
          </w:tcPr>
          <w:p w14:paraId="279C9FFB" w14:textId="77777777" w:rsidR="009072CE" w:rsidRPr="00A07F29" w:rsidRDefault="009072CE" w:rsidP="00665A15">
            <w:pPr>
              <w:autoSpaceDE w:val="0"/>
              <w:autoSpaceDN w:val="0"/>
              <w:adjustRightInd w:val="0"/>
              <w:spacing w:after="0" w:line="240" w:lineRule="auto"/>
              <w:rPr>
                <w:rFonts w:ascii="Times New Roman" w:eastAsia="Calibri" w:hAnsi="Times New Roman" w:cs="Times New Roman"/>
              </w:rPr>
            </w:pPr>
            <w:r w:rsidRPr="00A07F29">
              <w:rPr>
                <w:rFonts w:ascii="Times New Roman" w:eastAsia="Calibri" w:hAnsi="Times New Roman" w:cs="Times New Roman"/>
              </w:rPr>
              <w:t>LVM</w:t>
            </w:r>
          </w:p>
        </w:tc>
        <w:tc>
          <w:tcPr>
            <w:tcW w:w="1538" w:type="dxa"/>
          </w:tcPr>
          <w:p w14:paraId="3EB2347A" w14:textId="01297565"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2011.</w:t>
            </w:r>
            <w:r w:rsidR="000502FB">
              <w:rPr>
                <w:rFonts w:ascii="Times New Roman" w:eastAsia="Calibri" w:hAnsi="Times New Roman" w:cs="Times New Roman"/>
              </w:rPr>
              <w:t> – </w:t>
            </w:r>
            <w:r w:rsidRPr="00A07F29">
              <w:rPr>
                <w:rFonts w:ascii="Times New Roman" w:eastAsia="Calibri" w:hAnsi="Times New Roman" w:cs="Times New Roman"/>
              </w:rPr>
              <w:t>2022.</w:t>
            </w:r>
          </w:p>
        </w:tc>
        <w:tc>
          <w:tcPr>
            <w:tcW w:w="3098" w:type="dxa"/>
          </w:tcPr>
          <w:p w14:paraId="5594136C" w14:textId="2E894E07"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Nav veikts</w:t>
            </w:r>
            <w:r w:rsidR="000502FB">
              <w:rPr>
                <w:rFonts w:ascii="Times New Roman" w:eastAsia="Calibri" w:hAnsi="Times New Roman" w:cs="Times New Roman"/>
              </w:rPr>
              <w:t>.</w:t>
            </w:r>
          </w:p>
        </w:tc>
        <w:tc>
          <w:tcPr>
            <w:tcW w:w="3974" w:type="dxa"/>
          </w:tcPr>
          <w:p w14:paraId="2CB9EDAD" w14:textId="158D3415" w:rsidR="009072CE" w:rsidRPr="00A07F29" w:rsidRDefault="00665A15"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 xml:space="preserve">AAA “Augšdaugava” esošā </w:t>
            </w:r>
            <w:r w:rsidR="006F02BA">
              <w:rPr>
                <w:rFonts w:ascii="Times New Roman" w:eastAsia="Calibri" w:hAnsi="Times New Roman" w:cs="Times New Roman"/>
              </w:rPr>
              <w:t>ģenētisko resursu mežaudze</w:t>
            </w:r>
            <w:r w:rsidRPr="00A07F29">
              <w:rPr>
                <w:rFonts w:ascii="Times New Roman" w:eastAsia="Calibri" w:hAnsi="Times New Roman" w:cs="Times New Roman"/>
              </w:rPr>
              <w:t xml:space="preserve"> “Priedaines priede” apsaimniekojama saskaņā ar apsaimniekošanas plānu, kas jāizstrādā, saskaņojot ar DAP.</w:t>
            </w:r>
          </w:p>
        </w:tc>
      </w:tr>
      <w:tr w:rsidR="009072CE" w:rsidRPr="00A07F29" w14:paraId="7890291E" w14:textId="77777777" w:rsidTr="003B2D97">
        <w:trPr>
          <w:jc w:val="center"/>
        </w:trPr>
        <w:tc>
          <w:tcPr>
            <w:tcW w:w="583" w:type="dxa"/>
          </w:tcPr>
          <w:p w14:paraId="6E6FD64A" w14:textId="77777777" w:rsidR="009072CE" w:rsidRPr="00A07F29" w:rsidRDefault="009072CE" w:rsidP="009072CE">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36.</w:t>
            </w:r>
          </w:p>
        </w:tc>
        <w:tc>
          <w:tcPr>
            <w:tcW w:w="3402" w:type="dxa"/>
          </w:tcPr>
          <w:p w14:paraId="537CBD8F" w14:textId="77777777"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 xml:space="preserve">Informatīvā stenda par ģenētisko resursu aizsardzību sagatavošana un izvietošana </w:t>
            </w:r>
            <w:proofErr w:type="spellStart"/>
            <w:r w:rsidRPr="00A07F29">
              <w:rPr>
                <w:rFonts w:ascii="Times New Roman" w:eastAsia="Calibri" w:hAnsi="Times New Roman" w:cs="Times New Roman"/>
              </w:rPr>
              <w:t>Daugavsargu</w:t>
            </w:r>
            <w:proofErr w:type="spellEnd"/>
            <w:r w:rsidRPr="00A07F29">
              <w:rPr>
                <w:rFonts w:ascii="Times New Roman" w:eastAsia="Calibri" w:hAnsi="Times New Roman" w:cs="Times New Roman"/>
              </w:rPr>
              <w:t xml:space="preserve"> loka atpūtas vietā pie </w:t>
            </w:r>
            <w:proofErr w:type="spellStart"/>
            <w:r w:rsidRPr="00A07F29">
              <w:rPr>
                <w:rFonts w:ascii="Times New Roman" w:eastAsia="Calibri" w:hAnsi="Times New Roman" w:cs="Times New Roman"/>
              </w:rPr>
              <w:t>Ververu</w:t>
            </w:r>
            <w:proofErr w:type="spellEnd"/>
            <w:r w:rsidRPr="00A07F29">
              <w:rPr>
                <w:rFonts w:ascii="Times New Roman" w:eastAsia="Calibri" w:hAnsi="Times New Roman" w:cs="Times New Roman"/>
              </w:rPr>
              <w:t xml:space="preserve"> kraujas</w:t>
            </w:r>
          </w:p>
        </w:tc>
        <w:tc>
          <w:tcPr>
            <w:tcW w:w="2127" w:type="dxa"/>
          </w:tcPr>
          <w:p w14:paraId="7380E758" w14:textId="77777777" w:rsidR="009072CE" w:rsidRPr="00A07F29" w:rsidRDefault="009072CE" w:rsidP="00665A15">
            <w:pPr>
              <w:autoSpaceDE w:val="0"/>
              <w:autoSpaceDN w:val="0"/>
              <w:adjustRightInd w:val="0"/>
              <w:spacing w:after="0" w:line="240" w:lineRule="auto"/>
              <w:rPr>
                <w:rFonts w:ascii="Times New Roman" w:eastAsia="Calibri" w:hAnsi="Times New Roman" w:cs="Times New Roman"/>
              </w:rPr>
            </w:pPr>
            <w:r w:rsidRPr="00A07F29">
              <w:rPr>
                <w:rFonts w:ascii="Times New Roman" w:eastAsia="Calibri" w:hAnsi="Times New Roman" w:cs="Times New Roman"/>
              </w:rPr>
              <w:t>LVM</w:t>
            </w:r>
          </w:p>
        </w:tc>
        <w:tc>
          <w:tcPr>
            <w:tcW w:w="1538" w:type="dxa"/>
          </w:tcPr>
          <w:p w14:paraId="3338175A" w14:textId="7065585D"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2011.</w:t>
            </w:r>
            <w:r w:rsidR="00E37101">
              <w:rPr>
                <w:rFonts w:ascii="Times New Roman" w:eastAsia="Calibri" w:hAnsi="Times New Roman" w:cs="Times New Roman"/>
              </w:rPr>
              <w:t> – </w:t>
            </w:r>
            <w:r w:rsidRPr="00A07F29">
              <w:rPr>
                <w:rFonts w:ascii="Times New Roman" w:eastAsia="Calibri" w:hAnsi="Times New Roman" w:cs="Times New Roman"/>
              </w:rPr>
              <w:t>2015.</w:t>
            </w:r>
          </w:p>
        </w:tc>
        <w:tc>
          <w:tcPr>
            <w:tcW w:w="3098" w:type="dxa"/>
          </w:tcPr>
          <w:p w14:paraId="09E49F41" w14:textId="7AFBD1F5"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Nav veikts</w:t>
            </w:r>
            <w:r w:rsidR="00E37101">
              <w:rPr>
                <w:rFonts w:ascii="Times New Roman" w:eastAsia="Calibri" w:hAnsi="Times New Roman" w:cs="Times New Roman"/>
              </w:rPr>
              <w:t>.</w:t>
            </w:r>
          </w:p>
        </w:tc>
        <w:tc>
          <w:tcPr>
            <w:tcW w:w="3974" w:type="dxa"/>
          </w:tcPr>
          <w:p w14:paraId="22BE4600" w14:textId="1F8969DD" w:rsidR="009072CE" w:rsidRPr="00A07F29" w:rsidRDefault="00665A15"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 xml:space="preserve">Nepieciešamības gadījumā var izvietot informatīvo stendu pie AAA “Augšdaugava” esošās </w:t>
            </w:r>
            <w:r w:rsidR="00E37101">
              <w:rPr>
                <w:rFonts w:ascii="Times New Roman" w:eastAsia="Calibri" w:hAnsi="Times New Roman" w:cs="Times New Roman"/>
              </w:rPr>
              <w:t>ģenētisko resu</w:t>
            </w:r>
            <w:r w:rsidR="00F901B7">
              <w:rPr>
                <w:rFonts w:ascii="Times New Roman" w:eastAsia="Calibri" w:hAnsi="Times New Roman" w:cs="Times New Roman"/>
              </w:rPr>
              <w:t>rsu mežaudzes</w:t>
            </w:r>
            <w:r w:rsidRPr="00A07F29">
              <w:rPr>
                <w:rFonts w:ascii="Times New Roman" w:eastAsia="Calibri" w:hAnsi="Times New Roman" w:cs="Times New Roman"/>
              </w:rPr>
              <w:t xml:space="preserve"> “Priedaines priede” vai informāciju par ģenētisko resursu aizsardzību var iekļaut citos informatīvajos stendos, kas tiek izvietoti Krāslavas apkārtnē.</w:t>
            </w:r>
          </w:p>
        </w:tc>
      </w:tr>
      <w:tr w:rsidR="009072CE" w:rsidRPr="00A07F29" w14:paraId="559CE276" w14:textId="77777777" w:rsidTr="003B2D97">
        <w:trPr>
          <w:jc w:val="center"/>
        </w:trPr>
        <w:tc>
          <w:tcPr>
            <w:tcW w:w="583" w:type="dxa"/>
          </w:tcPr>
          <w:p w14:paraId="4D8649CD" w14:textId="77777777" w:rsidR="009072CE" w:rsidRPr="00A07F29" w:rsidRDefault="009072CE" w:rsidP="009072CE">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37.</w:t>
            </w:r>
          </w:p>
        </w:tc>
        <w:tc>
          <w:tcPr>
            <w:tcW w:w="3402" w:type="dxa"/>
          </w:tcPr>
          <w:p w14:paraId="33CA1883" w14:textId="7FCFC215"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 xml:space="preserve">Muzeja </w:t>
            </w:r>
            <w:r w:rsidR="00F901B7">
              <w:rPr>
                <w:rFonts w:ascii="Times New Roman" w:eastAsia="Calibri" w:hAnsi="Times New Roman" w:cs="Times New Roman"/>
              </w:rPr>
              <w:t>“</w:t>
            </w:r>
            <w:proofErr w:type="spellStart"/>
            <w:r w:rsidRPr="00A07F29">
              <w:rPr>
                <w:rFonts w:ascii="Times New Roman" w:eastAsia="Calibri" w:hAnsi="Times New Roman" w:cs="Times New Roman"/>
              </w:rPr>
              <w:t>Slutišķu</w:t>
            </w:r>
            <w:proofErr w:type="spellEnd"/>
            <w:r w:rsidRPr="00A07F29">
              <w:rPr>
                <w:rFonts w:ascii="Times New Roman" w:eastAsia="Calibri" w:hAnsi="Times New Roman" w:cs="Times New Roman"/>
              </w:rPr>
              <w:t xml:space="preserve"> vecticībnieku sēta” uzturēšana un remonts</w:t>
            </w:r>
          </w:p>
        </w:tc>
        <w:tc>
          <w:tcPr>
            <w:tcW w:w="2127" w:type="dxa"/>
          </w:tcPr>
          <w:p w14:paraId="6B1B27AA" w14:textId="77777777" w:rsidR="009072CE" w:rsidRPr="00A07F29" w:rsidRDefault="009072CE" w:rsidP="00665A15">
            <w:pPr>
              <w:autoSpaceDE w:val="0"/>
              <w:autoSpaceDN w:val="0"/>
              <w:adjustRightInd w:val="0"/>
              <w:spacing w:after="0" w:line="240" w:lineRule="auto"/>
              <w:rPr>
                <w:rFonts w:ascii="Times New Roman" w:eastAsia="Calibri" w:hAnsi="Times New Roman" w:cs="Times New Roman"/>
              </w:rPr>
            </w:pPr>
            <w:r w:rsidRPr="00A07F29">
              <w:rPr>
                <w:rFonts w:ascii="Times New Roman" w:eastAsia="Calibri" w:hAnsi="Times New Roman" w:cs="Times New Roman"/>
              </w:rPr>
              <w:t xml:space="preserve">Daugavpils novada pašvaldība </w:t>
            </w:r>
          </w:p>
        </w:tc>
        <w:tc>
          <w:tcPr>
            <w:tcW w:w="1538" w:type="dxa"/>
          </w:tcPr>
          <w:p w14:paraId="0BCD88F1" w14:textId="72B63019"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2010.</w:t>
            </w:r>
            <w:r w:rsidR="00F901B7">
              <w:rPr>
                <w:rFonts w:ascii="Times New Roman" w:eastAsia="Calibri" w:hAnsi="Times New Roman" w:cs="Times New Roman"/>
              </w:rPr>
              <w:t> – </w:t>
            </w:r>
            <w:r w:rsidRPr="00A07F29">
              <w:rPr>
                <w:rFonts w:ascii="Times New Roman" w:eastAsia="Calibri" w:hAnsi="Times New Roman" w:cs="Times New Roman"/>
              </w:rPr>
              <w:t>2022.</w:t>
            </w:r>
          </w:p>
        </w:tc>
        <w:tc>
          <w:tcPr>
            <w:tcW w:w="3098" w:type="dxa"/>
          </w:tcPr>
          <w:p w14:paraId="670B337B" w14:textId="1F2AC434"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Ir veikta ēkas rekonstrukcija, tiks veikta blakus esošās ēkas restaurācija</w:t>
            </w:r>
            <w:r w:rsidR="003B0B7B">
              <w:rPr>
                <w:rFonts w:ascii="Times New Roman" w:eastAsia="Calibri" w:hAnsi="Times New Roman" w:cs="Times New Roman"/>
              </w:rPr>
              <w:t>.</w:t>
            </w:r>
          </w:p>
        </w:tc>
        <w:tc>
          <w:tcPr>
            <w:tcW w:w="3974" w:type="dxa"/>
          </w:tcPr>
          <w:p w14:paraId="33C2DCC9" w14:textId="77777777" w:rsidR="009072CE" w:rsidRPr="00A07F29" w:rsidRDefault="009072CE" w:rsidP="00665A15">
            <w:pPr>
              <w:spacing w:after="0" w:line="240" w:lineRule="auto"/>
              <w:rPr>
                <w:rFonts w:ascii="Times New Roman" w:eastAsia="Calibri" w:hAnsi="Times New Roman" w:cs="Times New Roman"/>
              </w:rPr>
            </w:pPr>
            <w:proofErr w:type="spellStart"/>
            <w:r w:rsidRPr="00A07F29">
              <w:rPr>
                <w:rFonts w:ascii="Times New Roman" w:eastAsia="Calibri" w:hAnsi="Times New Roman" w:cs="Times New Roman"/>
              </w:rPr>
              <w:t>Slutišķu</w:t>
            </w:r>
            <w:proofErr w:type="spellEnd"/>
            <w:r w:rsidRPr="00A07F29">
              <w:rPr>
                <w:rFonts w:ascii="Times New Roman" w:eastAsia="Calibri" w:hAnsi="Times New Roman" w:cs="Times New Roman"/>
              </w:rPr>
              <w:t xml:space="preserve"> vecticībnieku sēta ir Naujenes novadpētniecības muzeja filiāle, vasaras sezonā tajā strādā gids.</w:t>
            </w:r>
          </w:p>
        </w:tc>
      </w:tr>
      <w:tr w:rsidR="009072CE" w:rsidRPr="00A07F29" w14:paraId="1CF8353F" w14:textId="77777777" w:rsidTr="003B2D97">
        <w:trPr>
          <w:jc w:val="center"/>
        </w:trPr>
        <w:tc>
          <w:tcPr>
            <w:tcW w:w="583" w:type="dxa"/>
          </w:tcPr>
          <w:p w14:paraId="7EA8A1BB" w14:textId="77777777" w:rsidR="009072CE" w:rsidRPr="00A07F29" w:rsidRDefault="009072CE" w:rsidP="009072CE">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38.</w:t>
            </w:r>
          </w:p>
        </w:tc>
        <w:tc>
          <w:tcPr>
            <w:tcW w:w="3402" w:type="dxa"/>
          </w:tcPr>
          <w:p w14:paraId="26516D1C" w14:textId="77777777" w:rsidR="009072CE" w:rsidRPr="00A07F29" w:rsidRDefault="009072CE" w:rsidP="00665A15">
            <w:pPr>
              <w:spacing w:after="0" w:line="240" w:lineRule="auto"/>
              <w:rPr>
                <w:rFonts w:ascii="Times New Roman" w:eastAsia="Calibri" w:hAnsi="Times New Roman" w:cs="Times New Roman"/>
              </w:rPr>
            </w:pPr>
            <w:proofErr w:type="spellStart"/>
            <w:r w:rsidRPr="00A07F29">
              <w:rPr>
                <w:rFonts w:ascii="Times New Roman" w:eastAsia="Calibri" w:hAnsi="Times New Roman" w:cs="Times New Roman"/>
              </w:rPr>
              <w:t>Veckaplavas</w:t>
            </w:r>
            <w:proofErr w:type="spellEnd"/>
            <w:r w:rsidRPr="00A07F29">
              <w:rPr>
                <w:rFonts w:ascii="Times New Roman" w:eastAsia="Calibri" w:hAnsi="Times New Roman" w:cs="Times New Roman"/>
              </w:rPr>
              <w:t xml:space="preserve"> kultūrvēsturisko objektu inventarizācija un </w:t>
            </w:r>
            <w:r w:rsidRPr="00A07F29">
              <w:rPr>
                <w:rFonts w:ascii="Times New Roman" w:eastAsia="Calibri" w:hAnsi="Times New Roman" w:cs="Times New Roman"/>
              </w:rPr>
              <w:lastRenderedPageBreak/>
              <w:t>restaurācijas tehnisko projektu sagatavošana</w:t>
            </w:r>
          </w:p>
        </w:tc>
        <w:tc>
          <w:tcPr>
            <w:tcW w:w="2127" w:type="dxa"/>
          </w:tcPr>
          <w:p w14:paraId="1CD38D7C" w14:textId="5BF83B5E"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lastRenderedPageBreak/>
              <w:t>NKMP</w:t>
            </w:r>
            <w:r w:rsidR="001A73E3">
              <w:rPr>
                <w:rFonts w:ascii="Times New Roman" w:eastAsia="Calibri" w:hAnsi="Times New Roman" w:cs="Times New Roman"/>
              </w:rPr>
              <w:t>,</w:t>
            </w:r>
          </w:p>
          <w:p w14:paraId="7AE79E5E" w14:textId="3176D7E5"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Krāslavas novada pašvaldība</w:t>
            </w:r>
            <w:r w:rsidR="001A73E3">
              <w:rPr>
                <w:rFonts w:ascii="Times New Roman" w:eastAsia="Calibri" w:hAnsi="Times New Roman" w:cs="Times New Roman"/>
              </w:rPr>
              <w:t>,</w:t>
            </w:r>
          </w:p>
          <w:p w14:paraId="22B37190" w14:textId="77777777" w:rsidR="009072CE" w:rsidRPr="00A07F29" w:rsidRDefault="009072CE" w:rsidP="00665A15">
            <w:pPr>
              <w:autoSpaceDE w:val="0"/>
              <w:autoSpaceDN w:val="0"/>
              <w:adjustRightInd w:val="0"/>
              <w:spacing w:after="0" w:line="240" w:lineRule="auto"/>
              <w:rPr>
                <w:rFonts w:ascii="Times New Roman" w:eastAsia="Calibri" w:hAnsi="Times New Roman" w:cs="Times New Roman"/>
              </w:rPr>
            </w:pPr>
            <w:r w:rsidRPr="00A07F29">
              <w:rPr>
                <w:rFonts w:ascii="Times New Roman" w:eastAsia="Calibri" w:hAnsi="Times New Roman" w:cs="Times New Roman"/>
              </w:rPr>
              <w:lastRenderedPageBreak/>
              <w:t>Jauns projekts</w:t>
            </w:r>
          </w:p>
        </w:tc>
        <w:tc>
          <w:tcPr>
            <w:tcW w:w="1538" w:type="dxa"/>
          </w:tcPr>
          <w:p w14:paraId="59186D10" w14:textId="558C5B2A"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lastRenderedPageBreak/>
              <w:t>2010.</w:t>
            </w:r>
            <w:r w:rsidR="004605EB">
              <w:rPr>
                <w:rFonts w:ascii="Times New Roman" w:eastAsia="Calibri" w:hAnsi="Times New Roman" w:cs="Times New Roman"/>
              </w:rPr>
              <w:t> – </w:t>
            </w:r>
            <w:r w:rsidRPr="00A07F29">
              <w:rPr>
                <w:rFonts w:ascii="Times New Roman" w:eastAsia="Calibri" w:hAnsi="Times New Roman" w:cs="Times New Roman"/>
              </w:rPr>
              <w:t>2014.</w:t>
            </w:r>
          </w:p>
        </w:tc>
        <w:tc>
          <w:tcPr>
            <w:tcW w:w="3098" w:type="dxa"/>
          </w:tcPr>
          <w:p w14:paraId="191CF128" w14:textId="04924064"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Nav veikts</w:t>
            </w:r>
            <w:r w:rsidR="004605EB">
              <w:rPr>
                <w:rFonts w:ascii="Times New Roman" w:eastAsia="Calibri" w:hAnsi="Times New Roman" w:cs="Times New Roman"/>
              </w:rPr>
              <w:t>.</w:t>
            </w:r>
          </w:p>
        </w:tc>
        <w:tc>
          <w:tcPr>
            <w:tcW w:w="3974" w:type="dxa"/>
          </w:tcPr>
          <w:p w14:paraId="065C460E" w14:textId="019F11E2"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Viena no ēkām ir katastrofālā stāvoklī.</w:t>
            </w:r>
            <w:r w:rsidR="00D85771" w:rsidRPr="00A07F29">
              <w:rPr>
                <w:rFonts w:ascii="Times New Roman" w:eastAsia="Calibri" w:hAnsi="Times New Roman" w:cs="Times New Roman"/>
              </w:rPr>
              <w:t xml:space="preserve"> Pasākums aktuāls, jāveic steidzami </w:t>
            </w:r>
            <w:r w:rsidR="00D85771" w:rsidRPr="00A07F29">
              <w:rPr>
                <w:rFonts w:ascii="Times New Roman" w:eastAsia="Calibri" w:hAnsi="Times New Roman" w:cs="Times New Roman"/>
              </w:rPr>
              <w:lastRenderedPageBreak/>
              <w:t>pasākumi saglabāšanai vai dokumentēšanai.</w:t>
            </w:r>
          </w:p>
        </w:tc>
      </w:tr>
      <w:tr w:rsidR="009072CE" w:rsidRPr="00A07F29" w14:paraId="47BDE648" w14:textId="77777777" w:rsidTr="003B2D97">
        <w:trPr>
          <w:jc w:val="center"/>
        </w:trPr>
        <w:tc>
          <w:tcPr>
            <w:tcW w:w="583" w:type="dxa"/>
          </w:tcPr>
          <w:p w14:paraId="791F612A" w14:textId="77777777" w:rsidR="009072CE" w:rsidRPr="00A07F29" w:rsidRDefault="009072CE" w:rsidP="009072CE">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lastRenderedPageBreak/>
              <w:t>39.</w:t>
            </w:r>
          </w:p>
        </w:tc>
        <w:tc>
          <w:tcPr>
            <w:tcW w:w="3402" w:type="dxa"/>
          </w:tcPr>
          <w:p w14:paraId="43DF79B3" w14:textId="77777777" w:rsidR="009072CE" w:rsidRPr="00A07F29" w:rsidRDefault="009072CE" w:rsidP="00665A15">
            <w:pPr>
              <w:spacing w:after="0" w:line="240" w:lineRule="auto"/>
              <w:rPr>
                <w:rFonts w:ascii="Times New Roman" w:eastAsia="Calibri" w:hAnsi="Times New Roman" w:cs="Times New Roman"/>
              </w:rPr>
            </w:pPr>
            <w:proofErr w:type="spellStart"/>
            <w:r w:rsidRPr="00A07F29">
              <w:rPr>
                <w:rFonts w:ascii="Times New Roman" w:eastAsia="Calibri" w:hAnsi="Times New Roman" w:cs="Times New Roman"/>
              </w:rPr>
              <w:t>Veckaplavas</w:t>
            </w:r>
            <w:proofErr w:type="spellEnd"/>
            <w:r w:rsidRPr="00A07F29">
              <w:rPr>
                <w:rFonts w:ascii="Times New Roman" w:eastAsia="Calibri" w:hAnsi="Times New Roman" w:cs="Times New Roman"/>
              </w:rPr>
              <w:t xml:space="preserve"> kultūrvēsturisko objektu restaurācija un uzturēšana</w:t>
            </w:r>
          </w:p>
        </w:tc>
        <w:tc>
          <w:tcPr>
            <w:tcW w:w="2127" w:type="dxa"/>
          </w:tcPr>
          <w:p w14:paraId="6F4CA22A" w14:textId="34FE6753"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NKMP</w:t>
            </w:r>
            <w:r w:rsidR="00F0668D">
              <w:rPr>
                <w:rFonts w:ascii="Times New Roman" w:eastAsia="Calibri" w:hAnsi="Times New Roman" w:cs="Times New Roman"/>
              </w:rPr>
              <w:t>,</w:t>
            </w:r>
          </w:p>
          <w:p w14:paraId="69F612CD" w14:textId="1ECE9945"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Krāslavas novada pašvaldība</w:t>
            </w:r>
            <w:r w:rsidR="00F0668D">
              <w:rPr>
                <w:rFonts w:ascii="Times New Roman" w:eastAsia="Calibri" w:hAnsi="Times New Roman" w:cs="Times New Roman"/>
              </w:rPr>
              <w:t>,</w:t>
            </w:r>
          </w:p>
          <w:p w14:paraId="203C31E5" w14:textId="77777777" w:rsidR="009072CE" w:rsidRPr="00A07F29" w:rsidRDefault="009072CE" w:rsidP="00665A15">
            <w:pPr>
              <w:autoSpaceDE w:val="0"/>
              <w:autoSpaceDN w:val="0"/>
              <w:adjustRightInd w:val="0"/>
              <w:spacing w:after="0" w:line="240" w:lineRule="auto"/>
              <w:rPr>
                <w:rFonts w:ascii="Times New Roman" w:eastAsia="Calibri" w:hAnsi="Times New Roman" w:cs="Times New Roman"/>
              </w:rPr>
            </w:pPr>
            <w:r w:rsidRPr="00A07F29">
              <w:rPr>
                <w:rFonts w:ascii="Times New Roman" w:eastAsia="Calibri" w:hAnsi="Times New Roman" w:cs="Times New Roman"/>
              </w:rPr>
              <w:t>Jauns projekts</w:t>
            </w:r>
          </w:p>
        </w:tc>
        <w:tc>
          <w:tcPr>
            <w:tcW w:w="1538" w:type="dxa"/>
          </w:tcPr>
          <w:p w14:paraId="4052D57D" w14:textId="3055AC1B"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2014.</w:t>
            </w:r>
            <w:r w:rsidR="00F0668D">
              <w:rPr>
                <w:rFonts w:ascii="Times New Roman" w:eastAsia="Calibri" w:hAnsi="Times New Roman" w:cs="Times New Roman"/>
              </w:rPr>
              <w:t> – </w:t>
            </w:r>
            <w:r w:rsidRPr="00A07F29">
              <w:rPr>
                <w:rFonts w:ascii="Times New Roman" w:eastAsia="Calibri" w:hAnsi="Times New Roman" w:cs="Times New Roman"/>
              </w:rPr>
              <w:t>2022.</w:t>
            </w:r>
          </w:p>
        </w:tc>
        <w:tc>
          <w:tcPr>
            <w:tcW w:w="3098" w:type="dxa"/>
          </w:tcPr>
          <w:p w14:paraId="44D4F833" w14:textId="61B85210"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Nav veikts</w:t>
            </w:r>
            <w:r w:rsidR="00F0668D">
              <w:rPr>
                <w:rFonts w:ascii="Times New Roman" w:eastAsia="Calibri" w:hAnsi="Times New Roman" w:cs="Times New Roman"/>
              </w:rPr>
              <w:t>.</w:t>
            </w:r>
          </w:p>
        </w:tc>
        <w:tc>
          <w:tcPr>
            <w:tcW w:w="3974" w:type="dxa"/>
          </w:tcPr>
          <w:p w14:paraId="3942838F" w14:textId="5577734B"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Viena no ēkām ir katastrofālā stāvoklī.</w:t>
            </w:r>
            <w:r w:rsidR="00D85771" w:rsidRPr="00A07F29">
              <w:t xml:space="preserve"> </w:t>
            </w:r>
            <w:r w:rsidR="00D85771" w:rsidRPr="00A07F29">
              <w:rPr>
                <w:rFonts w:ascii="Times New Roman" w:eastAsia="Calibri" w:hAnsi="Times New Roman" w:cs="Times New Roman"/>
              </w:rPr>
              <w:t>Pasākums aktuāls, jāveic steidzami pasākumi saglabāšanai vai dokumentēšanai.</w:t>
            </w:r>
          </w:p>
        </w:tc>
      </w:tr>
      <w:tr w:rsidR="009072CE" w:rsidRPr="00A07F29" w14:paraId="4A627135" w14:textId="77777777" w:rsidTr="003B2D97">
        <w:trPr>
          <w:jc w:val="center"/>
        </w:trPr>
        <w:tc>
          <w:tcPr>
            <w:tcW w:w="583" w:type="dxa"/>
          </w:tcPr>
          <w:p w14:paraId="5B38301F" w14:textId="77777777" w:rsidR="009072CE" w:rsidRPr="00A07F29" w:rsidRDefault="009072CE" w:rsidP="009072CE">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40.</w:t>
            </w:r>
          </w:p>
        </w:tc>
        <w:tc>
          <w:tcPr>
            <w:tcW w:w="3402" w:type="dxa"/>
          </w:tcPr>
          <w:p w14:paraId="159AF88B" w14:textId="5CFDF0D8"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Vēlams nepieļaut teritorijas aizaugšanu ar krūmiem</w:t>
            </w:r>
            <w:r w:rsidR="00D65BBA" w:rsidRPr="00A07F29">
              <w:rPr>
                <w:rFonts w:ascii="Times New Roman" w:eastAsia="Calibri" w:hAnsi="Times New Roman" w:cs="Times New Roman"/>
              </w:rPr>
              <w:t xml:space="preserve"> </w:t>
            </w:r>
            <w:r w:rsidRPr="00A07F29">
              <w:rPr>
                <w:rFonts w:ascii="Times New Roman" w:eastAsia="Calibri" w:hAnsi="Times New Roman" w:cs="Times New Roman"/>
              </w:rPr>
              <w:t>vai apbūvi vietās, kur no autoceļiem, tūrisma objektiem</w:t>
            </w:r>
            <w:r w:rsidR="00D65BBA" w:rsidRPr="00A07F29">
              <w:rPr>
                <w:rFonts w:ascii="Times New Roman" w:eastAsia="Calibri" w:hAnsi="Times New Roman" w:cs="Times New Roman"/>
              </w:rPr>
              <w:t xml:space="preserve"> </w:t>
            </w:r>
            <w:r w:rsidRPr="00A07F29">
              <w:rPr>
                <w:rFonts w:ascii="Times New Roman" w:eastAsia="Calibri" w:hAnsi="Times New Roman" w:cs="Times New Roman"/>
              </w:rPr>
              <w:t>vai skatu punktiem paveras izcils skats uz upes ieleju, kā arī no upju ielejām – uz krastiem</w:t>
            </w:r>
            <w:r w:rsidR="00D65BBA" w:rsidRPr="00A07F29">
              <w:rPr>
                <w:rFonts w:ascii="Times New Roman" w:eastAsia="Calibri" w:hAnsi="Times New Roman" w:cs="Times New Roman"/>
              </w:rPr>
              <w:t xml:space="preserve"> </w:t>
            </w:r>
          </w:p>
        </w:tc>
        <w:tc>
          <w:tcPr>
            <w:tcW w:w="2127" w:type="dxa"/>
          </w:tcPr>
          <w:p w14:paraId="753DB9D2" w14:textId="7002EBE7"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Zemes īpašnieki</w:t>
            </w:r>
            <w:r w:rsidR="0047065E">
              <w:rPr>
                <w:rFonts w:ascii="Times New Roman" w:eastAsia="Calibri" w:hAnsi="Times New Roman" w:cs="Times New Roman"/>
              </w:rPr>
              <w:t>,</w:t>
            </w:r>
          </w:p>
          <w:p w14:paraId="5C0E9883" w14:textId="34898F74" w:rsidR="009072CE" w:rsidRPr="00A07F29" w:rsidRDefault="0047065E" w:rsidP="00665A15">
            <w:pPr>
              <w:spacing w:after="0" w:line="240" w:lineRule="auto"/>
              <w:rPr>
                <w:rFonts w:ascii="Times New Roman" w:eastAsia="Calibri" w:hAnsi="Times New Roman" w:cs="Times New Roman"/>
              </w:rPr>
            </w:pPr>
            <w:r>
              <w:rPr>
                <w:rFonts w:ascii="Times New Roman" w:eastAsia="Calibri" w:hAnsi="Times New Roman" w:cs="Times New Roman"/>
              </w:rPr>
              <w:t>p</w:t>
            </w:r>
            <w:r w:rsidR="009072CE" w:rsidRPr="00A07F29">
              <w:rPr>
                <w:rFonts w:ascii="Times New Roman" w:eastAsia="Calibri" w:hAnsi="Times New Roman" w:cs="Times New Roman"/>
              </w:rPr>
              <w:t>ašvaldības</w:t>
            </w:r>
            <w:r>
              <w:rPr>
                <w:rFonts w:ascii="Times New Roman" w:eastAsia="Calibri" w:hAnsi="Times New Roman" w:cs="Times New Roman"/>
              </w:rPr>
              <w:t>,</w:t>
            </w:r>
          </w:p>
          <w:p w14:paraId="36FDB0BB" w14:textId="713F27F5" w:rsidR="009072CE" w:rsidRPr="00A07F29" w:rsidRDefault="0047065E" w:rsidP="00665A15">
            <w:pPr>
              <w:spacing w:after="0" w:line="240" w:lineRule="auto"/>
              <w:rPr>
                <w:rFonts w:ascii="Times New Roman" w:eastAsia="Calibri" w:hAnsi="Times New Roman" w:cs="Times New Roman"/>
              </w:rPr>
            </w:pPr>
            <w:r>
              <w:rPr>
                <w:rFonts w:ascii="Times New Roman" w:eastAsia="Calibri" w:hAnsi="Times New Roman" w:cs="Times New Roman"/>
              </w:rPr>
              <w:t>s</w:t>
            </w:r>
            <w:r w:rsidR="009072CE" w:rsidRPr="00A07F29">
              <w:rPr>
                <w:rFonts w:ascii="Times New Roman" w:eastAsia="Calibri" w:hAnsi="Times New Roman" w:cs="Times New Roman"/>
              </w:rPr>
              <w:t>abiedriskās organizācijas</w:t>
            </w:r>
          </w:p>
          <w:p w14:paraId="3D71D94A" w14:textId="77777777" w:rsidR="009072CE" w:rsidRPr="00A07F29" w:rsidRDefault="009072CE" w:rsidP="00665A15">
            <w:pPr>
              <w:autoSpaceDE w:val="0"/>
              <w:autoSpaceDN w:val="0"/>
              <w:adjustRightInd w:val="0"/>
              <w:spacing w:after="0" w:line="240" w:lineRule="auto"/>
              <w:rPr>
                <w:rFonts w:ascii="Times New Roman" w:eastAsia="Calibri" w:hAnsi="Times New Roman" w:cs="Times New Roman"/>
              </w:rPr>
            </w:pPr>
          </w:p>
        </w:tc>
        <w:tc>
          <w:tcPr>
            <w:tcW w:w="1538" w:type="dxa"/>
          </w:tcPr>
          <w:p w14:paraId="53A9C02D" w14:textId="67C11E36"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2010.</w:t>
            </w:r>
            <w:r w:rsidR="0047065E">
              <w:rPr>
                <w:rFonts w:ascii="Times New Roman" w:eastAsia="Calibri" w:hAnsi="Times New Roman" w:cs="Times New Roman"/>
              </w:rPr>
              <w:t> – </w:t>
            </w:r>
            <w:r w:rsidRPr="00A07F29">
              <w:rPr>
                <w:rFonts w:ascii="Times New Roman" w:eastAsia="Calibri" w:hAnsi="Times New Roman" w:cs="Times New Roman"/>
              </w:rPr>
              <w:t>2022.</w:t>
            </w:r>
          </w:p>
        </w:tc>
        <w:tc>
          <w:tcPr>
            <w:tcW w:w="3098" w:type="dxa"/>
          </w:tcPr>
          <w:p w14:paraId="323E6573" w14:textId="77777777"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Iekļauts Daugavpils novada teritorijas plānojumā (neaizsegt ainavu). Ir iesniegts projekts LVAF skatu atklāšanai, kas netika atbalstīts.</w:t>
            </w:r>
          </w:p>
        </w:tc>
        <w:tc>
          <w:tcPr>
            <w:tcW w:w="3974" w:type="dxa"/>
          </w:tcPr>
          <w:p w14:paraId="1EC6C439" w14:textId="0F8E2DF0"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Joprojām aktuāls pasākums</w:t>
            </w:r>
            <w:r w:rsidR="009D73F7">
              <w:rPr>
                <w:rFonts w:ascii="Times New Roman" w:eastAsia="Calibri" w:hAnsi="Times New Roman" w:cs="Times New Roman"/>
              </w:rPr>
              <w:t>.</w:t>
            </w:r>
          </w:p>
        </w:tc>
      </w:tr>
      <w:tr w:rsidR="009072CE" w:rsidRPr="00A07F29" w14:paraId="27409477" w14:textId="77777777" w:rsidTr="003B2D97">
        <w:trPr>
          <w:jc w:val="center"/>
        </w:trPr>
        <w:tc>
          <w:tcPr>
            <w:tcW w:w="583" w:type="dxa"/>
          </w:tcPr>
          <w:p w14:paraId="3D9DE86E" w14:textId="77777777" w:rsidR="009072CE" w:rsidRPr="00A07F29" w:rsidRDefault="009072CE" w:rsidP="009072CE">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41.</w:t>
            </w:r>
          </w:p>
        </w:tc>
        <w:tc>
          <w:tcPr>
            <w:tcW w:w="3402" w:type="dxa"/>
          </w:tcPr>
          <w:p w14:paraId="6DEA8632" w14:textId="3FBD80FB"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Nodrošināt atklātu ainavu, izcērtot krūmus</w:t>
            </w:r>
            <w:r w:rsidR="00D65BBA" w:rsidRPr="00A07F29">
              <w:rPr>
                <w:rFonts w:ascii="Times New Roman" w:eastAsia="Calibri" w:hAnsi="Times New Roman" w:cs="Times New Roman"/>
              </w:rPr>
              <w:t xml:space="preserve"> </w:t>
            </w:r>
            <w:r w:rsidRPr="00A07F29">
              <w:rPr>
                <w:rFonts w:ascii="Times New Roman" w:eastAsia="Calibri" w:hAnsi="Times New Roman" w:cs="Times New Roman"/>
              </w:rPr>
              <w:t xml:space="preserve">un veicot pirmreizējo pļaušanu. </w:t>
            </w:r>
          </w:p>
        </w:tc>
        <w:tc>
          <w:tcPr>
            <w:tcW w:w="2127" w:type="dxa"/>
          </w:tcPr>
          <w:p w14:paraId="592B1BE2" w14:textId="77777777" w:rsidR="009072CE" w:rsidRPr="00A07F29" w:rsidRDefault="009072CE" w:rsidP="00665A15">
            <w:pPr>
              <w:autoSpaceDE w:val="0"/>
              <w:autoSpaceDN w:val="0"/>
              <w:adjustRightInd w:val="0"/>
              <w:spacing w:after="0" w:line="240" w:lineRule="auto"/>
              <w:rPr>
                <w:rFonts w:ascii="Times New Roman" w:eastAsia="Calibri" w:hAnsi="Times New Roman" w:cs="Times New Roman"/>
              </w:rPr>
            </w:pPr>
            <w:r w:rsidRPr="00A07F29">
              <w:rPr>
                <w:rFonts w:ascii="Times New Roman" w:eastAsia="Calibri" w:hAnsi="Times New Roman" w:cs="Times New Roman"/>
              </w:rPr>
              <w:t xml:space="preserve">Zemes īpašnieki un </w:t>
            </w:r>
            <w:proofErr w:type="spellStart"/>
            <w:r w:rsidRPr="00A07F29">
              <w:rPr>
                <w:rFonts w:ascii="Times New Roman" w:eastAsia="Calibri" w:hAnsi="Times New Roman" w:cs="Times New Roman"/>
              </w:rPr>
              <w:t>apsaimniekotāji</w:t>
            </w:r>
            <w:proofErr w:type="spellEnd"/>
          </w:p>
        </w:tc>
        <w:tc>
          <w:tcPr>
            <w:tcW w:w="1538" w:type="dxa"/>
          </w:tcPr>
          <w:p w14:paraId="65D98058" w14:textId="54C6B095"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2010.</w:t>
            </w:r>
            <w:r w:rsidR="00C53AE2">
              <w:rPr>
                <w:rFonts w:ascii="Times New Roman" w:eastAsia="Calibri" w:hAnsi="Times New Roman" w:cs="Times New Roman"/>
              </w:rPr>
              <w:t> – </w:t>
            </w:r>
            <w:r w:rsidRPr="00A07F29">
              <w:rPr>
                <w:rFonts w:ascii="Times New Roman" w:eastAsia="Calibri" w:hAnsi="Times New Roman" w:cs="Times New Roman"/>
              </w:rPr>
              <w:t>2022.</w:t>
            </w:r>
          </w:p>
        </w:tc>
        <w:tc>
          <w:tcPr>
            <w:tcW w:w="3098" w:type="dxa"/>
          </w:tcPr>
          <w:p w14:paraId="641DA89A" w14:textId="77777777"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Ir iesniegts projekts LVAF skatu atklāšanai, kas netika atbalstīts.</w:t>
            </w:r>
          </w:p>
        </w:tc>
        <w:tc>
          <w:tcPr>
            <w:tcW w:w="3974" w:type="dxa"/>
          </w:tcPr>
          <w:p w14:paraId="60DA06B7" w14:textId="4615830C"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Joprojām aktuāls pasākums</w:t>
            </w:r>
            <w:r w:rsidR="00C53AE2">
              <w:rPr>
                <w:rFonts w:ascii="Times New Roman" w:eastAsia="Calibri" w:hAnsi="Times New Roman" w:cs="Times New Roman"/>
              </w:rPr>
              <w:t>.</w:t>
            </w:r>
          </w:p>
        </w:tc>
      </w:tr>
      <w:tr w:rsidR="009072CE" w:rsidRPr="00A07F29" w14:paraId="72933BE1" w14:textId="77777777" w:rsidTr="003B2D97">
        <w:trPr>
          <w:jc w:val="center"/>
        </w:trPr>
        <w:tc>
          <w:tcPr>
            <w:tcW w:w="583" w:type="dxa"/>
          </w:tcPr>
          <w:p w14:paraId="738C67FA" w14:textId="77777777" w:rsidR="009072CE" w:rsidRPr="00A07F29" w:rsidRDefault="009072CE" w:rsidP="009072CE">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42.</w:t>
            </w:r>
          </w:p>
        </w:tc>
        <w:tc>
          <w:tcPr>
            <w:tcW w:w="3402" w:type="dxa"/>
          </w:tcPr>
          <w:p w14:paraId="6C7DDE59" w14:textId="77777777"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 xml:space="preserve">Piešķirt vietējas nozīmes dabas pieminekļa statusu lapegļu alejai pie Sproģu gravām </w:t>
            </w:r>
          </w:p>
        </w:tc>
        <w:tc>
          <w:tcPr>
            <w:tcW w:w="2127" w:type="dxa"/>
          </w:tcPr>
          <w:p w14:paraId="33C7F857" w14:textId="3DC60BB8"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Krāslavas novada pašvaldība</w:t>
            </w:r>
            <w:r w:rsidR="00467CBA">
              <w:rPr>
                <w:rFonts w:ascii="Times New Roman" w:eastAsia="Calibri" w:hAnsi="Times New Roman" w:cs="Times New Roman"/>
              </w:rPr>
              <w:t>,</w:t>
            </w:r>
          </w:p>
          <w:p w14:paraId="198EECC3" w14:textId="0E64C2F1"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LV</w:t>
            </w:r>
            <w:r w:rsidR="00467CBA">
              <w:rPr>
                <w:rFonts w:ascii="Times New Roman" w:eastAsia="Calibri" w:hAnsi="Times New Roman" w:cs="Times New Roman"/>
              </w:rPr>
              <w:t>Ģ</w:t>
            </w:r>
            <w:r w:rsidRPr="00A07F29">
              <w:rPr>
                <w:rFonts w:ascii="Times New Roman" w:eastAsia="Calibri" w:hAnsi="Times New Roman" w:cs="Times New Roman"/>
              </w:rPr>
              <w:t>MC</w:t>
            </w:r>
            <w:r w:rsidR="00467CBA">
              <w:rPr>
                <w:rFonts w:ascii="Times New Roman" w:eastAsia="Calibri" w:hAnsi="Times New Roman" w:cs="Times New Roman"/>
              </w:rPr>
              <w:t>,</w:t>
            </w:r>
          </w:p>
          <w:p w14:paraId="1B1DAF70" w14:textId="77777777" w:rsidR="009072CE" w:rsidRPr="00A07F29" w:rsidRDefault="009072CE" w:rsidP="00665A15">
            <w:pPr>
              <w:autoSpaceDE w:val="0"/>
              <w:autoSpaceDN w:val="0"/>
              <w:adjustRightInd w:val="0"/>
              <w:spacing w:after="0" w:line="240" w:lineRule="auto"/>
              <w:rPr>
                <w:rFonts w:ascii="Times New Roman" w:eastAsia="Calibri" w:hAnsi="Times New Roman" w:cs="Times New Roman"/>
              </w:rPr>
            </w:pPr>
            <w:r w:rsidRPr="00A07F29">
              <w:rPr>
                <w:rFonts w:ascii="Times New Roman" w:eastAsia="Calibri" w:hAnsi="Times New Roman" w:cs="Times New Roman"/>
              </w:rPr>
              <w:t>DAP</w:t>
            </w:r>
          </w:p>
        </w:tc>
        <w:tc>
          <w:tcPr>
            <w:tcW w:w="1538" w:type="dxa"/>
          </w:tcPr>
          <w:p w14:paraId="5CE010CF" w14:textId="2D82A8F8"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2011.</w:t>
            </w:r>
            <w:r w:rsidR="00467CBA">
              <w:rPr>
                <w:rFonts w:ascii="Times New Roman" w:eastAsia="Calibri" w:hAnsi="Times New Roman" w:cs="Times New Roman"/>
              </w:rPr>
              <w:t> – </w:t>
            </w:r>
            <w:r w:rsidRPr="00A07F29">
              <w:rPr>
                <w:rFonts w:ascii="Times New Roman" w:eastAsia="Calibri" w:hAnsi="Times New Roman" w:cs="Times New Roman"/>
              </w:rPr>
              <w:t>2013.</w:t>
            </w:r>
          </w:p>
        </w:tc>
        <w:tc>
          <w:tcPr>
            <w:tcW w:w="3098" w:type="dxa"/>
          </w:tcPr>
          <w:p w14:paraId="1AF1CD16" w14:textId="089902F2"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Nav veikts</w:t>
            </w:r>
            <w:r w:rsidR="00467CBA">
              <w:rPr>
                <w:rFonts w:ascii="Times New Roman" w:eastAsia="Calibri" w:hAnsi="Times New Roman" w:cs="Times New Roman"/>
              </w:rPr>
              <w:t>.</w:t>
            </w:r>
          </w:p>
        </w:tc>
        <w:tc>
          <w:tcPr>
            <w:tcW w:w="3974" w:type="dxa"/>
          </w:tcPr>
          <w:p w14:paraId="49559072" w14:textId="7112B103" w:rsidR="009072CE" w:rsidRPr="00A07F29" w:rsidRDefault="7820E51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Joprojām aktuāls pasākums</w:t>
            </w:r>
            <w:r w:rsidR="00467CBA">
              <w:rPr>
                <w:rFonts w:ascii="Times New Roman" w:eastAsia="Calibri" w:hAnsi="Times New Roman" w:cs="Times New Roman"/>
              </w:rPr>
              <w:t>.</w:t>
            </w:r>
          </w:p>
        </w:tc>
      </w:tr>
      <w:tr w:rsidR="009072CE" w:rsidRPr="00A07F29" w14:paraId="2C8A8AF2" w14:textId="77777777" w:rsidTr="003B2D97">
        <w:trPr>
          <w:jc w:val="center"/>
        </w:trPr>
        <w:tc>
          <w:tcPr>
            <w:tcW w:w="583" w:type="dxa"/>
          </w:tcPr>
          <w:p w14:paraId="156D181C" w14:textId="77777777" w:rsidR="009072CE" w:rsidRPr="00A07F29" w:rsidRDefault="009072CE" w:rsidP="009072CE">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43.</w:t>
            </w:r>
          </w:p>
        </w:tc>
        <w:tc>
          <w:tcPr>
            <w:tcW w:w="3402" w:type="dxa"/>
          </w:tcPr>
          <w:p w14:paraId="154296E8" w14:textId="77777777"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Piešķirt vietējas nozīmes dabas pieminekļa statusu Lazdukalna ozoliem</w:t>
            </w:r>
          </w:p>
        </w:tc>
        <w:tc>
          <w:tcPr>
            <w:tcW w:w="2127" w:type="dxa"/>
          </w:tcPr>
          <w:p w14:paraId="36A4069E" w14:textId="751DBBA5"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Daugavpils novada pašvaldība</w:t>
            </w:r>
            <w:r w:rsidR="00467CBA">
              <w:rPr>
                <w:rFonts w:ascii="Times New Roman" w:eastAsia="Calibri" w:hAnsi="Times New Roman" w:cs="Times New Roman"/>
              </w:rPr>
              <w:t>,</w:t>
            </w:r>
          </w:p>
          <w:p w14:paraId="4D9EA80D" w14:textId="019B7242"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LV</w:t>
            </w:r>
            <w:r w:rsidR="00467CBA">
              <w:rPr>
                <w:rFonts w:ascii="Times New Roman" w:eastAsia="Calibri" w:hAnsi="Times New Roman" w:cs="Times New Roman"/>
              </w:rPr>
              <w:t>Ģ</w:t>
            </w:r>
            <w:r w:rsidRPr="00A07F29">
              <w:rPr>
                <w:rFonts w:ascii="Times New Roman" w:eastAsia="Calibri" w:hAnsi="Times New Roman" w:cs="Times New Roman"/>
              </w:rPr>
              <w:t>MC</w:t>
            </w:r>
            <w:r w:rsidR="00467CBA">
              <w:rPr>
                <w:rFonts w:ascii="Times New Roman" w:eastAsia="Calibri" w:hAnsi="Times New Roman" w:cs="Times New Roman"/>
              </w:rPr>
              <w:t>,</w:t>
            </w:r>
          </w:p>
          <w:p w14:paraId="5AA1CD98" w14:textId="77777777" w:rsidR="009072CE" w:rsidRPr="00A07F29" w:rsidRDefault="009072CE" w:rsidP="00665A15">
            <w:pPr>
              <w:autoSpaceDE w:val="0"/>
              <w:autoSpaceDN w:val="0"/>
              <w:adjustRightInd w:val="0"/>
              <w:spacing w:after="0" w:line="240" w:lineRule="auto"/>
              <w:rPr>
                <w:rFonts w:ascii="Times New Roman" w:eastAsia="Calibri" w:hAnsi="Times New Roman" w:cs="Times New Roman"/>
              </w:rPr>
            </w:pPr>
            <w:r w:rsidRPr="00A07F29">
              <w:rPr>
                <w:rFonts w:ascii="Times New Roman" w:eastAsia="Calibri" w:hAnsi="Times New Roman" w:cs="Times New Roman"/>
              </w:rPr>
              <w:t>DAP</w:t>
            </w:r>
          </w:p>
        </w:tc>
        <w:tc>
          <w:tcPr>
            <w:tcW w:w="1538" w:type="dxa"/>
          </w:tcPr>
          <w:p w14:paraId="0C591604" w14:textId="631A9D6F"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2011.</w:t>
            </w:r>
            <w:r w:rsidR="00467CBA">
              <w:rPr>
                <w:rFonts w:ascii="Times New Roman" w:eastAsia="Calibri" w:hAnsi="Times New Roman" w:cs="Times New Roman"/>
              </w:rPr>
              <w:t> – </w:t>
            </w:r>
            <w:r w:rsidRPr="00A07F29">
              <w:rPr>
                <w:rFonts w:ascii="Times New Roman" w:eastAsia="Calibri" w:hAnsi="Times New Roman" w:cs="Times New Roman"/>
              </w:rPr>
              <w:t>2013.</w:t>
            </w:r>
          </w:p>
        </w:tc>
        <w:tc>
          <w:tcPr>
            <w:tcW w:w="3098" w:type="dxa"/>
          </w:tcPr>
          <w:p w14:paraId="50AE4A1B" w14:textId="25EB189D" w:rsidR="009072CE" w:rsidRPr="00A07F29" w:rsidRDefault="00D85771"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Iekļauti Daugavpils novada</w:t>
            </w:r>
            <w:r w:rsidR="009072CE" w:rsidRPr="00A07F29">
              <w:rPr>
                <w:rFonts w:ascii="Times New Roman" w:eastAsia="Calibri" w:hAnsi="Times New Roman" w:cs="Times New Roman"/>
              </w:rPr>
              <w:t xml:space="preserve"> </w:t>
            </w:r>
            <w:r w:rsidRPr="00A07F29">
              <w:rPr>
                <w:rFonts w:ascii="Times New Roman" w:eastAsia="Calibri" w:hAnsi="Times New Roman" w:cs="Times New Roman"/>
              </w:rPr>
              <w:t xml:space="preserve">teritorijas plānojumā. </w:t>
            </w:r>
            <w:r w:rsidR="009072CE" w:rsidRPr="00A07F29">
              <w:rPr>
                <w:rFonts w:ascii="Times New Roman" w:eastAsia="Calibri" w:hAnsi="Times New Roman" w:cs="Times New Roman"/>
              </w:rPr>
              <w:t>Izvietots stends</w:t>
            </w:r>
            <w:r w:rsidR="00C83753">
              <w:rPr>
                <w:rFonts w:ascii="Times New Roman" w:eastAsia="Calibri" w:hAnsi="Times New Roman" w:cs="Times New Roman"/>
              </w:rPr>
              <w:t>.</w:t>
            </w:r>
          </w:p>
        </w:tc>
        <w:tc>
          <w:tcPr>
            <w:tcW w:w="3974" w:type="dxa"/>
          </w:tcPr>
          <w:p w14:paraId="495DBF8E" w14:textId="471C174D" w:rsidR="009072CE" w:rsidRPr="00A07F29" w:rsidRDefault="00D85771"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Saglabāšana un informēšana nodrošināta, nav jāveic pasākumi statusa apstiprināšanai</w:t>
            </w:r>
            <w:r w:rsidR="00C83753">
              <w:rPr>
                <w:rFonts w:ascii="Times New Roman" w:eastAsia="Calibri" w:hAnsi="Times New Roman" w:cs="Times New Roman"/>
              </w:rPr>
              <w:t>.</w:t>
            </w:r>
          </w:p>
        </w:tc>
      </w:tr>
      <w:tr w:rsidR="009072CE" w:rsidRPr="00A07F29" w14:paraId="6038749F" w14:textId="77777777" w:rsidTr="003B2D97">
        <w:trPr>
          <w:jc w:val="center"/>
        </w:trPr>
        <w:tc>
          <w:tcPr>
            <w:tcW w:w="583" w:type="dxa"/>
          </w:tcPr>
          <w:p w14:paraId="5A013004" w14:textId="77777777" w:rsidR="009072CE" w:rsidRPr="00A07F29" w:rsidRDefault="009072CE" w:rsidP="009072CE">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44.</w:t>
            </w:r>
          </w:p>
        </w:tc>
        <w:tc>
          <w:tcPr>
            <w:tcW w:w="3402" w:type="dxa"/>
          </w:tcPr>
          <w:p w14:paraId="7A9BFBF1" w14:textId="6E844545"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Saglabāt visus</w:t>
            </w:r>
            <w:r w:rsidR="00D65BBA" w:rsidRPr="00A07F29">
              <w:rPr>
                <w:rFonts w:ascii="Times New Roman" w:eastAsia="Calibri" w:hAnsi="Times New Roman" w:cs="Times New Roman"/>
              </w:rPr>
              <w:t xml:space="preserve"> </w:t>
            </w:r>
            <w:r w:rsidRPr="00A07F29">
              <w:rPr>
                <w:rFonts w:ascii="Times New Roman" w:eastAsia="Calibri" w:hAnsi="Times New Roman" w:cs="Times New Roman"/>
              </w:rPr>
              <w:t>esošos lauku norobežojumus, meliorācijas sistēmas, līniju stādījumus, grāvjus, akmeņus, akmeņu kaudzes lauka vidū</w:t>
            </w:r>
          </w:p>
        </w:tc>
        <w:tc>
          <w:tcPr>
            <w:tcW w:w="2127" w:type="dxa"/>
          </w:tcPr>
          <w:p w14:paraId="4D1D3B5F" w14:textId="1BB6BDC4"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Zemes īpašnieki</w:t>
            </w:r>
            <w:r w:rsidR="00C83753">
              <w:rPr>
                <w:rFonts w:ascii="Times New Roman" w:eastAsia="Calibri" w:hAnsi="Times New Roman" w:cs="Times New Roman"/>
              </w:rPr>
              <w:t>,</w:t>
            </w:r>
          </w:p>
          <w:p w14:paraId="757B77DC" w14:textId="6730BFF4" w:rsidR="009072CE" w:rsidRPr="00A07F29" w:rsidRDefault="00C83753" w:rsidP="00665A15">
            <w:pPr>
              <w:spacing w:after="0" w:line="240" w:lineRule="auto"/>
              <w:rPr>
                <w:rFonts w:ascii="Times New Roman" w:eastAsia="Calibri" w:hAnsi="Times New Roman" w:cs="Times New Roman"/>
              </w:rPr>
            </w:pPr>
            <w:r>
              <w:rPr>
                <w:rFonts w:ascii="Times New Roman" w:eastAsia="Calibri" w:hAnsi="Times New Roman" w:cs="Times New Roman"/>
              </w:rPr>
              <w:t>p</w:t>
            </w:r>
            <w:r w:rsidR="009072CE" w:rsidRPr="00A07F29">
              <w:rPr>
                <w:rFonts w:ascii="Times New Roman" w:eastAsia="Calibri" w:hAnsi="Times New Roman" w:cs="Times New Roman"/>
              </w:rPr>
              <w:t>ašvaldības</w:t>
            </w:r>
            <w:r>
              <w:rPr>
                <w:rFonts w:ascii="Times New Roman" w:eastAsia="Calibri" w:hAnsi="Times New Roman" w:cs="Times New Roman"/>
              </w:rPr>
              <w:t>,</w:t>
            </w:r>
          </w:p>
          <w:p w14:paraId="1CB236A6" w14:textId="103AF970" w:rsidR="009072CE" w:rsidRPr="00A07F29" w:rsidRDefault="00C83753" w:rsidP="00665A15">
            <w:pPr>
              <w:spacing w:after="0" w:line="240" w:lineRule="auto"/>
              <w:rPr>
                <w:rFonts w:ascii="Times New Roman" w:eastAsia="Calibri" w:hAnsi="Times New Roman" w:cs="Times New Roman"/>
              </w:rPr>
            </w:pPr>
            <w:r>
              <w:rPr>
                <w:rFonts w:ascii="Times New Roman" w:eastAsia="Calibri" w:hAnsi="Times New Roman" w:cs="Times New Roman"/>
              </w:rPr>
              <w:t>s</w:t>
            </w:r>
            <w:r w:rsidR="009072CE" w:rsidRPr="00A07F29">
              <w:rPr>
                <w:rFonts w:ascii="Times New Roman" w:eastAsia="Calibri" w:hAnsi="Times New Roman" w:cs="Times New Roman"/>
              </w:rPr>
              <w:t>abiedriskās organizācijas</w:t>
            </w:r>
          </w:p>
          <w:p w14:paraId="7BE73E5D" w14:textId="77777777" w:rsidR="009072CE" w:rsidRPr="00A07F29" w:rsidRDefault="009072CE" w:rsidP="00665A15">
            <w:pPr>
              <w:autoSpaceDE w:val="0"/>
              <w:autoSpaceDN w:val="0"/>
              <w:adjustRightInd w:val="0"/>
              <w:spacing w:after="0" w:line="240" w:lineRule="auto"/>
              <w:rPr>
                <w:rFonts w:ascii="Times New Roman" w:eastAsia="Calibri" w:hAnsi="Times New Roman" w:cs="Times New Roman"/>
              </w:rPr>
            </w:pPr>
          </w:p>
        </w:tc>
        <w:tc>
          <w:tcPr>
            <w:tcW w:w="1538" w:type="dxa"/>
          </w:tcPr>
          <w:p w14:paraId="71508199" w14:textId="625A9AA9"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2010.</w:t>
            </w:r>
            <w:r w:rsidR="00C83753">
              <w:rPr>
                <w:rFonts w:ascii="Times New Roman" w:eastAsia="Calibri" w:hAnsi="Times New Roman" w:cs="Times New Roman"/>
              </w:rPr>
              <w:t> – </w:t>
            </w:r>
            <w:r w:rsidRPr="00A07F29">
              <w:rPr>
                <w:rFonts w:ascii="Times New Roman" w:eastAsia="Calibri" w:hAnsi="Times New Roman" w:cs="Times New Roman"/>
              </w:rPr>
              <w:t>2022.</w:t>
            </w:r>
          </w:p>
        </w:tc>
        <w:tc>
          <w:tcPr>
            <w:tcW w:w="3098" w:type="dxa"/>
          </w:tcPr>
          <w:p w14:paraId="3888C8B0" w14:textId="48EC25AD"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Nav veikti īpaši pasākumi</w:t>
            </w:r>
            <w:r w:rsidR="00C83753">
              <w:rPr>
                <w:rFonts w:ascii="Times New Roman" w:eastAsia="Calibri" w:hAnsi="Times New Roman" w:cs="Times New Roman"/>
              </w:rPr>
              <w:t>.</w:t>
            </w:r>
          </w:p>
        </w:tc>
        <w:tc>
          <w:tcPr>
            <w:tcW w:w="3974" w:type="dxa"/>
          </w:tcPr>
          <w:p w14:paraId="7287D662" w14:textId="7F2116A0" w:rsidR="009072CE" w:rsidRPr="00A07F29" w:rsidRDefault="0003126D"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 xml:space="preserve">Ainavu plānojumā uzsvērta kultūrvēsturiskās vides elementu saglabāšana. </w:t>
            </w:r>
          </w:p>
        </w:tc>
      </w:tr>
      <w:tr w:rsidR="009072CE" w:rsidRPr="00A07F29" w14:paraId="6B0E9FD1" w14:textId="77777777" w:rsidTr="003B2D97">
        <w:trPr>
          <w:jc w:val="center"/>
        </w:trPr>
        <w:tc>
          <w:tcPr>
            <w:tcW w:w="583" w:type="dxa"/>
          </w:tcPr>
          <w:p w14:paraId="70DEDDE3" w14:textId="77777777" w:rsidR="009072CE" w:rsidRPr="00A07F29" w:rsidRDefault="009072CE" w:rsidP="009072CE">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45.</w:t>
            </w:r>
          </w:p>
        </w:tc>
        <w:tc>
          <w:tcPr>
            <w:tcW w:w="3402" w:type="dxa"/>
          </w:tcPr>
          <w:p w14:paraId="30F33D69" w14:textId="77777777"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Kultūrvēsturiskās ainavas aizsardzības pasākumi abos Daugavas krastos pašvaldību noteiktajās vietās, ierobežojot jauno būvniecību un veicot ainavas kopšanas pasākumus</w:t>
            </w:r>
          </w:p>
        </w:tc>
        <w:tc>
          <w:tcPr>
            <w:tcW w:w="2127" w:type="dxa"/>
          </w:tcPr>
          <w:p w14:paraId="7E87A701" w14:textId="52478610"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NKMP</w:t>
            </w:r>
            <w:r w:rsidR="00F75458">
              <w:rPr>
                <w:rFonts w:ascii="Times New Roman" w:eastAsia="Calibri" w:hAnsi="Times New Roman" w:cs="Times New Roman"/>
              </w:rPr>
              <w:t>,</w:t>
            </w:r>
          </w:p>
          <w:p w14:paraId="351EC49B" w14:textId="155F2E7F" w:rsidR="009072CE" w:rsidRPr="00A07F29" w:rsidRDefault="00F75458" w:rsidP="00665A15">
            <w:pPr>
              <w:spacing w:after="0" w:line="240" w:lineRule="auto"/>
              <w:rPr>
                <w:rFonts w:ascii="Times New Roman" w:eastAsia="Calibri" w:hAnsi="Times New Roman" w:cs="Times New Roman"/>
              </w:rPr>
            </w:pPr>
            <w:r>
              <w:rPr>
                <w:rFonts w:ascii="Times New Roman" w:eastAsia="Calibri" w:hAnsi="Times New Roman" w:cs="Times New Roman"/>
              </w:rPr>
              <w:t>p</w:t>
            </w:r>
            <w:r w:rsidR="009072CE" w:rsidRPr="00A07F29">
              <w:rPr>
                <w:rFonts w:ascii="Times New Roman" w:eastAsia="Calibri" w:hAnsi="Times New Roman" w:cs="Times New Roman"/>
              </w:rPr>
              <w:t>ašvaldības</w:t>
            </w:r>
          </w:p>
          <w:p w14:paraId="78692FDE" w14:textId="77777777" w:rsidR="009072CE" w:rsidRPr="00A07F29" w:rsidRDefault="009072CE" w:rsidP="00665A15">
            <w:pPr>
              <w:autoSpaceDE w:val="0"/>
              <w:autoSpaceDN w:val="0"/>
              <w:adjustRightInd w:val="0"/>
              <w:spacing w:after="0" w:line="240" w:lineRule="auto"/>
              <w:rPr>
                <w:rFonts w:ascii="Times New Roman" w:eastAsia="Calibri" w:hAnsi="Times New Roman" w:cs="Times New Roman"/>
              </w:rPr>
            </w:pPr>
          </w:p>
        </w:tc>
        <w:tc>
          <w:tcPr>
            <w:tcW w:w="1538" w:type="dxa"/>
          </w:tcPr>
          <w:p w14:paraId="765E5560" w14:textId="361F90BE"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2010.</w:t>
            </w:r>
            <w:r w:rsidR="00F75458">
              <w:rPr>
                <w:rFonts w:ascii="Times New Roman" w:eastAsia="Calibri" w:hAnsi="Times New Roman" w:cs="Times New Roman"/>
              </w:rPr>
              <w:t> – </w:t>
            </w:r>
            <w:r w:rsidRPr="00A07F29">
              <w:rPr>
                <w:rFonts w:ascii="Times New Roman" w:eastAsia="Calibri" w:hAnsi="Times New Roman" w:cs="Times New Roman"/>
              </w:rPr>
              <w:t>2022.</w:t>
            </w:r>
          </w:p>
        </w:tc>
        <w:tc>
          <w:tcPr>
            <w:tcW w:w="3098" w:type="dxa"/>
          </w:tcPr>
          <w:p w14:paraId="1BFE3C4A" w14:textId="74009F7D"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Nav veikti īpaši pasākumi</w:t>
            </w:r>
            <w:r w:rsidR="00F75458">
              <w:rPr>
                <w:rFonts w:ascii="Times New Roman" w:eastAsia="Calibri" w:hAnsi="Times New Roman" w:cs="Times New Roman"/>
              </w:rPr>
              <w:t>.</w:t>
            </w:r>
          </w:p>
        </w:tc>
        <w:tc>
          <w:tcPr>
            <w:tcW w:w="3974" w:type="dxa"/>
          </w:tcPr>
          <w:p w14:paraId="035B9277" w14:textId="56F37B3D"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Joprojām aktuāls pasākums</w:t>
            </w:r>
            <w:r w:rsidR="00F75458">
              <w:rPr>
                <w:rFonts w:ascii="Times New Roman" w:eastAsia="Calibri" w:hAnsi="Times New Roman" w:cs="Times New Roman"/>
              </w:rPr>
              <w:t>.</w:t>
            </w:r>
          </w:p>
        </w:tc>
      </w:tr>
      <w:tr w:rsidR="009072CE" w:rsidRPr="00A07F29" w14:paraId="1FCCE73C" w14:textId="77777777" w:rsidTr="003B2D97">
        <w:trPr>
          <w:jc w:val="center"/>
        </w:trPr>
        <w:tc>
          <w:tcPr>
            <w:tcW w:w="583" w:type="dxa"/>
          </w:tcPr>
          <w:p w14:paraId="2B1604CC" w14:textId="77777777" w:rsidR="009072CE" w:rsidRPr="00A07F29" w:rsidRDefault="009072CE" w:rsidP="009072CE">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lastRenderedPageBreak/>
              <w:t>46.</w:t>
            </w:r>
          </w:p>
        </w:tc>
        <w:tc>
          <w:tcPr>
            <w:tcW w:w="3402" w:type="dxa"/>
          </w:tcPr>
          <w:p w14:paraId="06C2C0EF" w14:textId="77777777" w:rsidR="009072CE" w:rsidRPr="00A07F29" w:rsidRDefault="009072CE" w:rsidP="00665A15">
            <w:pPr>
              <w:spacing w:after="0" w:line="240" w:lineRule="auto"/>
              <w:rPr>
                <w:rFonts w:ascii="Times New Roman" w:eastAsia="Calibri" w:hAnsi="Times New Roman" w:cs="Times New Roman"/>
              </w:rPr>
            </w:pPr>
            <w:r w:rsidRPr="003C4D4F">
              <w:rPr>
                <w:rFonts w:ascii="Times New Roman" w:eastAsia="Calibri" w:hAnsi="Times New Roman" w:cs="Times New Roman"/>
              </w:rPr>
              <w:t>Atjaunot</w:t>
            </w:r>
            <w:r w:rsidRPr="00A07F29">
              <w:rPr>
                <w:rFonts w:ascii="Times New Roman" w:eastAsia="Calibri" w:hAnsi="Times New Roman" w:cs="Times New Roman"/>
              </w:rPr>
              <w:t xml:space="preserve"> ainaviski degradētās vietas bijušo karjeru tuvumā </w:t>
            </w:r>
            <w:proofErr w:type="spellStart"/>
            <w:r w:rsidRPr="00A07F29">
              <w:rPr>
                <w:rFonts w:ascii="Times New Roman" w:eastAsia="Calibri" w:hAnsi="Times New Roman" w:cs="Times New Roman"/>
              </w:rPr>
              <w:t>Butišķu</w:t>
            </w:r>
            <w:proofErr w:type="spellEnd"/>
            <w:r w:rsidRPr="00A07F29">
              <w:rPr>
                <w:rFonts w:ascii="Times New Roman" w:eastAsia="Calibri" w:hAnsi="Times New Roman" w:cs="Times New Roman"/>
              </w:rPr>
              <w:t xml:space="preserve"> lokā, izcērtot krūmus, kur nepieciešams, izlīdzinot reljefu, izvācot lūžņus, sakārtojot ūdenstilpnes un to krastus, saglabājot un veidojot dīķus, un daļu platības atstājot putnu un sikspārņu dzīvotnēm</w:t>
            </w:r>
          </w:p>
        </w:tc>
        <w:tc>
          <w:tcPr>
            <w:tcW w:w="2127" w:type="dxa"/>
          </w:tcPr>
          <w:p w14:paraId="7870347D" w14:textId="3D0EE795"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Zemes īpašnieki</w:t>
            </w:r>
            <w:r w:rsidR="006A136F">
              <w:rPr>
                <w:rFonts w:ascii="Times New Roman" w:eastAsia="Calibri" w:hAnsi="Times New Roman" w:cs="Times New Roman"/>
              </w:rPr>
              <w:t>,</w:t>
            </w:r>
          </w:p>
          <w:p w14:paraId="039A8AF0" w14:textId="77777777" w:rsidR="009072CE" w:rsidRPr="00A07F29" w:rsidRDefault="009072CE" w:rsidP="00665A15">
            <w:pPr>
              <w:autoSpaceDE w:val="0"/>
              <w:autoSpaceDN w:val="0"/>
              <w:adjustRightInd w:val="0"/>
              <w:spacing w:after="0" w:line="240" w:lineRule="auto"/>
              <w:rPr>
                <w:rFonts w:ascii="Times New Roman" w:eastAsia="Calibri" w:hAnsi="Times New Roman" w:cs="Times New Roman"/>
              </w:rPr>
            </w:pPr>
            <w:r w:rsidRPr="00A07F29">
              <w:rPr>
                <w:rFonts w:ascii="Times New Roman" w:eastAsia="Calibri" w:hAnsi="Times New Roman" w:cs="Times New Roman"/>
              </w:rPr>
              <w:t>Daugavpils novads</w:t>
            </w:r>
          </w:p>
        </w:tc>
        <w:tc>
          <w:tcPr>
            <w:tcW w:w="1538" w:type="dxa"/>
          </w:tcPr>
          <w:p w14:paraId="5AD0BF79" w14:textId="3DE2BE52"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2010.</w:t>
            </w:r>
            <w:r w:rsidR="00C6250E">
              <w:rPr>
                <w:rFonts w:ascii="Times New Roman" w:eastAsia="Calibri" w:hAnsi="Times New Roman" w:cs="Times New Roman"/>
              </w:rPr>
              <w:t> – </w:t>
            </w:r>
            <w:r w:rsidRPr="00A07F29">
              <w:rPr>
                <w:rFonts w:ascii="Times New Roman" w:eastAsia="Calibri" w:hAnsi="Times New Roman" w:cs="Times New Roman"/>
              </w:rPr>
              <w:t>2022.</w:t>
            </w:r>
          </w:p>
        </w:tc>
        <w:tc>
          <w:tcPr>
            <w:tcW w:w="3098" w:type="dxa"/>
          </w:tcPr>
          <w:p w14:paraId="154E7E32" w14:textId="0971A5B9"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Daļā teritorijas īstenots</w:t>
            </w:r>
            <w:r w:rsidR="00501DF7" w:rsidRPr="00A07F29">
              <w:rPr>
                <w:rFonts w:ascii="Times New Roman" w:eastAsia="Calibri" w:hAnsi="Times New Roman" w:cs="Times New Roman"/>
              </w:rPr>
              <w:t xml:space="preserve"> </w:t>
            </w:r>
            <w:r w:rsidR="00C6250E">
              <w:rPr>
                <w:rFonts w:ascii="Times New Roman" w:eastAsia="Calibri" w:hAnsi="Times New Roman" w:cs="Times New Roman"/>
              </w:rPr>
              <w:t>–</w:t>
            </w:r>
            <w:r w:rsidR="00501DF7" w:rsidRPr="00A07F29">
              <w:rPr>
                <w:rFonts w:ascii="Times New Roman" w:eastAsia="Calibri" w:hAnsi="Times New Roman" w:cs="Times New Roman"/>
              </w:rPr>
              <w:t xml:space="preserve"> izveidots populārs tūrisma objekts (parks “</w:t>
            </w:r>
            <w:proofErr w:type="spellStart"/>
            <w:r w:rsidR="00501DF7" w:rsidRPr="00A07F29">
              <w:rPr>
                <w:rFonts w:ascii="Times New Roman" w:eastAsia="Calibri" w:hAnsi="Times New Roman" w:cs="Times New Roman"/>
              </w:rPr>
              <w:t>Stalkers</w:t>
            </w:r>
            <w:proofErr w:type="spellEnd"/>
            <w:r w:rsidR="00501DF7" w:rsidRPr="00A07F29">
              <w:rPr>
                <w:rFonts w:ascii="Times New Roman" w:eastAsia="Calibri" w:hAnsi="Times New Roman" w:cs="Times New Roman"/>
              </w:rPr>
              <w:t>”), ir otra uzņēmēja ieceres par kempinga veidošanu krastā.</w:t>
            </w:r>
          </w:p>
        </w:tc>
        <w:tc>
          <w:tcPr>
            <w:tcW w:w="3974" w:type="dxa"/>
          </w:tcPr>
          <w:p w14:paraId="7F4BF397" w14:textId="2D349BB2" w:rsidR="009072CE" w:rsidRPr="00A07F29" w:rsidRDefault="00EB01CA" w:rsidP="00501DF7">
            <w:pPr>
              <w:spacing w:after="0" w:line="240" w:lineRule="auto"/>
              <w:rPr>
                <w:rFonts w:ascii="Times New Roman" w:eastAsia="Calibri" w:hAnsi="Times New Roman" w:cs="Times New Roman"/>
              </w:rPr>
            </w:pPr>
            <w:r w:rsidRPr="00A07F29">
              <w:rPr>
                <w:rFonts w:ascii="Times New Roman" w:eastAsia="Calibri" w:hAnsi="Times New Roman" w:cs="Times New Roman"/>
              </w:rPr>
              <w:t>Daļā teritorijas j</w:t>
            </w:r>
            <w:r w:rsidR="0003126D" w:rsidRPr="00A07F29">
              <w:rPr>
                <w:rFonts w:ascii="Times New Roman" w:eastAsia="Calibri" w:hAnsi="Times New Roman" w:cs="Times New Roman"/>
              </w:rPr>
              <w:t>oprojām aktuāls pasākums</w:t>
            </w:r>
            <w:r w:rsidR="0072056C">
              <w:rPr>
                <w:rFonts w:ascii="Times New Roman" w:eastAsia="Calibri" w:hAnsi="Times New Roman" w:cs="Times New Roman"/>
              </w:rPr>
              <w:t>.</w:t>
            </w:r>
          </w:p>
        </w:tc>
      </w:tr>
      <w:tr w:rsidR="009072CE" w:rsidRPr="00A07F29" w14:paraId="43EE7E28" w14:textId="77777777" w:rsidTr="003B2D97">
        <w:trPr>
          <w:jc w:val="center"/>
        </w:trPr>
        <w:tc>
          <w:tcPr>
            <w:tcW w:w="583" w:type="dxa"/>
          </w:tcPr>
          <w:p w14:paraId="12CFBA8C" w14:textId="77777777" w:rsidR="009072CE" w:rsidRPr="00A07F29" w:rsidRDefault="009072CE" w:rsidP="009072CE">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47.</w:t>
            </w:r>
          </w:p>
        </w:tc>
        <w:tc>
          <w:tcPr>
            <w:tcW w:w="3402" w:type="dxa"/>
          </w:tcPr>
          <w:p w14:paraId="463446DB" w14:textId="4F9AA428"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Vidi degradējošu objektu statusa noteikšana bijušajām fermām (</w:t>
            </w:r>
            <w:proofErr w:type="spellStart"/>
            <w:r w:rsidRPr="00A07F29">
              <w:rPr>
                <w:rFonts w:ascii="Times New Roman" w:eastAsia="Calibri" w:hAnsi="Times New Roman" w:cs="Times New Roman"/>
              </w:rPr>
              <w:t>Faļtopi</w:t>
            </w:r>
            <w:proofErr w:type="spellEnd"/>
            <w:r w:rsidRPr="00A07F29">
              <w:rPr>
                <w:rFonts w:ascii="Times New Roman" w:eastAsia="Calibri" w:hAnsi="Times New Roman" w:cs="Times New Roman"/>
              </w:rPr>
              <w:t>, Adamova),</w:t>
            </w:r>
            <w:r w:rsidR="00D65BBA" w:rsidRPr="00A07F29">
              <w:rPr>
                <w:rFonts w:ascii="Times New Roman" w:eastAsia="Calibri" w:hAnsi="Times New Roman" w:cs="Times New Roman"/>
              </w:rPr>
              <w:t xml:space="preserve"> </w:t>
            </w:r>
            <w:r w:rsidRPr="00A07F29">
              <w:rPr>
                <w:rFonts w:ascii="Times New Roman" w:eastAsia="Calibri" w:hAnsi="Times New Roman" w:cs="Times New Roman"/>
              </w:rPr>
              <w:t>paredzot to nojaukšanu vai daļēju rekonstrukciju ainavas reģenerācijas nolūkos</w:t>
            </w:r>
          </w:p>
        </w:tc>
        <w:tc>
          <w:tcPr>
            <w:tcW w:w="2127" w:type="dxa"/>
          </w:tcPr>
          <w:p w14:paraId="5E8F09A9" w14:textId="7FD71691"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Objektu īpašnieki</w:t>
            </w:r>
            <w:r w:rsidR="006A136F">
              <w:rPr>
                <w:rFonts w:ascii="Times New Roman" w:eastAsia="Calibri" w:hAnsi="Times New Roman" w:cs="Times New Roman"/>
              </w:rPr>
              <w:t>,</w:t>
            </w:r>
          </w:p>
          <w:p w14:paraId="30728AE3" w14:textId="3361033E" w:rsidR="009072CE" w:rsidRPr="00A07F29" w:rsidRDefault="006A136F" w:rsidP="00665A15">
            <w:pPr>
              <w:autoSpaceDE w:val="0"/>
              <w:autoSpaceDN w:val="0"/>
              <w:adjustRightInd w:val="0"/>
              <w:spacing w:after="0" w:line="240" w:lineRule="auto"/>
              <w:rPr>
                <w:rFonts w:ascii="Times New Roman" w:eastAsia="Calibri" w:hAnsi="Times New Roman" w:cs="Times New Roman"/>
              </w:rPr>
            </w:pPr>
            <w:r>
              <w:rPr>
                <w:rFonts w:ascii="Times New Roman" w:eastAsia="Calibri" w:hAnsi="Times New Roman" w:cs="Times New Roman"/>
              </w:rPr>
              <w:t>p</w:t>
            </w:r>
            <w:r w:rsidR="009072CE" w:rsidRPr="00A07F29">
              <w:rPr>
                <w:rFonts w:ascii="Times New Roman" w:eastAsia="Calibri" w:hAnsi="Times New Roman" w:cs="Times New Roman"/>
              </w:rPr>
              <w:t>ašvaldības</w:t>
            </w:r>
          </w:p>
        </w:tc>
        <w:tc>
          <w:tcPr>
            <w:tcW w:w="1538" w:type="dxa"/>
          </w:tcPr>
          <w:p w14:paraId="3546EEEC" w14:textId="6EA7A0C2"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2010.</w:t>
            </w:r>
            <w:r w:rsidR="006A136F">
              <w:rPr>
                <w:rFonts w:ascii="Times New Roman" w:eastAsia="Calibri" w:hAnsi="Times New Roman" w:cs="Times New Roman"/>
              </w:rPr>
              <w:t> – </w:t>
            </w:r>
            <w:r w:rsidRPr="00A07F29">
              <w:rPr>
                <w:rFonts w:ascii="Times New Roman" w:eastAsia="Calibri" w:hAnsi="Times New Roman" w:cs="Times New Roman"/>
              </w:rPr>
              <w:t>2022.</w:t>
            </w:r>
          </w:p>
        </w:tc>
        <w:tc>
          <w:tcPr>
            <w:tcW w:w="3098" w:type="dxa"/>
          </w:tcPr>
          <w:p w14:paraId="7D48A002" w14:textId="2FCF203F"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Nav veikts</w:t>
            </w:r>
            <w:r w:rsidR="006A136F">
              <w:rPr>
                <w:rFonts w:ascii="Times New Roman" w:eastAsia="Calibri" w:hAnsi="Times New Roman" w:cs="Times New Roman"/>
              </w:rPr>
              <w:t>.</w:t>
            </w:r>
          </w:p>
        </w:tc>
        <w:tc>
          <w:tcPr>
            <w:tcW w:w="3974" w:type="dxa"/>
          </w:tcPr>
          <w:p w14:paraId="662F697B" w14:textId="3814EEC6" w:rsidR="009072CE" w:rsidRPr="00A07F29" w:rsidRDefault="0058051F"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Joprojām aktuāls</w:t>
            </w:r>
            <w:r w:rsidR="006A136F">
              <w:rPr>
                <w:rFonts w:ascii="Times New Roman" w:eastAsia="Calibri" w:hAnsi="Times New Roman" w:cs="Times New Roman"/>
              </w:rPr>
              <w:t>.</w:t>
            </w:r>
          </w:p>
        </w:tc>
      </w:tr>
      <w:tr w:rsidR="009072CE" w:rsidRPr="00A07F29" w14:paraId="50E37854" w14:textId="77777777" w:rsidTr="003B2D97">
        <w:trPr>
          <w:jc w:val="center"/>
        </w:trPr>
        <w:tc>
          <w:tcPr>
            <w:tcW w:w="583" w:type="dxa"/>
          </w:tcPr>
          <w:p w14:paraId="2F6AA2A4" w14:textId="77777777" w:rsidR="009072CE" w:rsidRPr="00A07F29" w:rsidRDefault="009072CE" w:rsidP="009072CE">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48.</w:t>
            </w:r>
          </w:p>
        </w:tc>
        <w:tc>
          <w:tcPr>
            <w:tcW w:w="3402" w:type="dxa"/>
            <w:vAlign w:val="center"/>
          </w:tcPr>
          <w:p w14:paraId="28EE4CD0" w14:textId="77777777"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color w:val="000000"/>
                <w:lang w:eastAsia="lv-LV"/>
              </w:rPr>
              <w:t>Ceļa posma periodiskā uzturēšana Salienas pagastā</w:t>
            </w:r>
          </w:p>
        </w:tc>
        <w:tc>
          <w:tcPr>
            <w:tcW w:w="2127" w:type="dxa"/>
            <w:vAlign w:val="center"/>
          </w:tcPr>
          <w:p w14:paraId="59059C3B" w14:textId="77777777" w:rsidR="009072CE" w:rsidRPr="00A07F29" w:rsidRDefault="009072CE" w:rsidP="00665A15">
            <w:pPr>
              <w:autoSpaceDE w:val="0"/>
              <w:autoSpaceDN w:val="0"/>
              <w:adjustRightInd w:val="0"/>
              <w:spacing w:after="0" w:line="240" w:lineRule="auto"/>
              <w:rPr>
                <w:rFonts w:ascii="Times New Roman" w:eastAsia="Calibri" w:hAnsi="Times New Roman" w:cs="Times New Roman"/>
              </w:rPr>
            </w:pPr>
            <w:r w:rsidRPr="00A07F29">
              <w:rPr>
                <w:rFonts w:ascii="Times New Roman" w:eastAsia="Calibri" w:hAnsi="Times New Roman" w:cs="Times New Roman"/>
              </w:rPr>
              <w:t>Pašvaldības</w:t>
            </w:r>
          </w:p>
        </w:tc>
        <w:tc>
          <w:tcPr>
            <w:tcW w:w="1538" w:type="dxa"/>
            <w:vAlign w:val="center"/>
          </w:tcPr>
          <w:p w14:paraId="47476703" w14:textId="77777777"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2010.</w:t>
            </w:r>
          </w:p>
        </w:tc>
        <w:tc>
          <w:tcPr>
            <w:tcW w:w="3098" w:type="dxa"/>
          </w:tcPr>
          <w:p w14:paraId="1947C74B" w14:textId="57FEEFD7"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Veikts</w:t>
            </w:r>
            <w:r w:rsidR="00114550">
              <w:rPr>
                <w:rFonts w:ascii="Times New Roman" w:eastAsia="Calibri" w:hAnsi="Times New Roman" w:cs="Times New Roman"/>
              </w:rPr>
              <w:t>.</w:t>
            </w:r>
          </w:p>
        </w:tc>
        <w:tc>
          <w:tcPr>
            <w:tcW w:w="3974" w:type="dxa"/>
          </w:tcPr>
          <w:p w14:paraId="71B53C9E" w14:textId="0C7E5BDA" w:rsidR="009072CE" w:rsidRPr="00A07F29" w:rsidRDefault="00010F6E" w:rsidP="00010F6E">
            <w:pPr>
              <w:spacing w:after="0" w:line="240" w:lineRule="auto"/>
              <w:rPr>
                <w:rFonts w:ascii="Times New Roman" w:eastAsia="Calibri" w:hAnsi="Times New Roman" w:cs="Times New Roman"/>
              </w:rPr>
            </w:pPr>
            <w:r w:rsidRPr="00A07F29">
              <w:rPr>
                <w:rFonts w:ascii="Times New Roman" w:eastAsia="Calibri" w:hAnsi="Times New Roman" w:cs="Times New Roman"/>
              </w:rPr>
              <w:t xml:space="preserve">To veic </w:t>
            </w:r>
            <w:proofErr w:type="spellStart"/>
            <w:r w:rsidRPr="00A07F29">
              <w:rPr>
                <w:rFonts w:ascii="Times New Roman" w:eastAsia="Calibri" w:hAnsi="Times New Roman" w:cs="Times New Roman"/>
              </w:rPr>
              <w:t>apsaimniekotāji</w:t>
            </w:r>
            <w:proofErr w:type="spellEnd"/>
            <w:r w:rsidRPr="00A07F29">
              <w:rPr>
                <w:rFonts w:ascii="Times New Roman" w:eastAsia="Calibri" w:hAnsi="Times New Roman" w:cs="Times New Roman"/>
              </w:rPr>
              <w:t>, n</w:t>
            </w:r>
            <w:r w:rsidR="0058051F" w:rsidRPr="00A07F29">
              <w:rPr>
                <w:rFonts w:ascii="Times New Roman" w:eastAsia="Calibri" w:hAnsi="Times New Roman" w:cs="Times New Roman"/>
              </w:rPr>
              <w:t xml:space="preserve">av jāiekļauj </w:t>
            </w:r>
            <w:r w:rsidR="00665A15" w:rsidRPr="00A07F29">
              <w:rPr>
                <w:rFonts w:ascii="Times New Roman" w:eastAsia="Calibri" w:hAnsi="Times New Roman" w:cs="Times New Roman"/>
              </w:rPr>
              <w:t xml:space="preserve">DA </w:t>
            </w:r>
            <w:r w:rsidR="0058051F" w:rsidRPr="00A07F29">
              <w:rPr>
                <w:rFonts w:ascii="Times New Roman" w:eastAsia="Calibri" w:hAnsi="Times New Roman" w:cs="Times New Roman"/>
              </w:rPr>
              <w:t>plānā</w:t>
            </w:r>
            <w:r w:rsidRPr="00A07F29">
              <w:rPr>
                <w:rFonts w:ascii="Times New Roman" w:eastAsia="Calibri" w:hAnsi="Times New Roman" w:cs="Times New Roman"/>
              </w:rPr>
              <w:t>.</w:t>
            </w:r>
          </w:p>
        </w:tc>
      </w:tr>
      <w:tr w:rsidR="00665A15" w:rsidRPr="00A07F29" w14:paraId="20324590" w14:textId="77777777" w:rsidTr="003B2D97">
        <w:trPr>
          <w:jc w:val="center"/>
        </w:trPr>
        <w:tc>
          <w:tcPr>
            <w:tcW w:w="583" w:type="dxa"/>
          </w:tcPr>
          <w:p w14:paraId="418BFCF7" w14:textId="77777777" w:rsidR="009072CE" w:rsidRPr="00A07F29" w:rsidRDefault="009072CE" w:rsidP="009072CE">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49.</w:t>
            </w:r>
          </w:p>
        </w:tc>
        <w:tc>
          <w:tcPr>
            <w:tcW w:w="3402" w:type="dxa"/>
          </w:tcPr>
          <w:p w14:paraId="32747064" w14:textId="77777777" w:rsidR="009072CE" w:rsidRPr="00A07F29" w:rsidRDefault="009072CE" w:rsidP="00665A15">
            <w:pPr>
              <w:spacing w:after="0" w:line="240" w:lineRule="auto"/>
              <w:rPr>
                <w:rFonts w:ascii="Times New Roman" w:eastAsia="Calibri" w:hAnsi="Times New Roman" w:cs="Times New Roman"/>
                <w:color w:val="000000"/>
                <w:lang w:eastAsia="lv-LV"/>
              </w:rPr>
            </w:pPr>
            <w:r w:rsidRPr="00A07F29">
              <w:rPr>
                <w:rFonts w:ascii="Times New Roman" w:eastAsia="Calibri" w:hAnsi="Times New Roman" w:cs="Times New Roman"/>
                <w:color w:val="000000"/>
                <w:lang w:eastAsia="lv-LV"/>
              </w:rPr>
              <w:t xml:space="preserve">Tilta atjaunošana un ceļa posma </w:t>
            </w:r>
            <w:proofErr w:type="spellStart"/>
            <w:r w:rsidRPr="00A07F29">
              <w:rPr>
                <w:rFonts w:ascii="Times New Roman" w:eastAsia="Calibri" w:hAnsi="Times New Roman" w:cs="Times New Roman"/>
                <w:color w:val="000000"/>
                <w:lang w:eastAsia="lv-LV"/>
              </w:rPr>
              <w:t>rekonstrucija</w:t>
            </w:r>
            <w:proofErr w:type="spellEnd"/>
            <w:r w:rsidRPr="00A07F29">
              <w:rPr>
                <w:rFonts w:ascii="Times New Roman" w:eastAsia="Calibri" w:hAnsi="Times New Roman" w:cs="Times New Roman"/>
                <w:color w:val="000000"/>
                <w:lang w:eastAsia="lv-LV"/>
              </w:rPr>
              <w:t xml:space="preserve"> </w:t>
            </w:r>
            <w:proofErr w:type="spellStart"/>
            <w:r w:rsidRPr="00A07F29">
              <w:rPr>
                <w:rFonts w:ascii="Times New Roman" w:eastAsia="Calibri" w:hAnsi="Times New Roman" w:cs="Times New Roman"/>
                <w:color w:val="000000"/>
                <w:lang w:eastAsia="lv-LV"/>
              </w:rPr>
              <w:t>Vecbornē</w:t>
            </w:r>
            <w:proofErr w:type="spellEnd"/>
            <w:r w:rsidRPr="00A07F29">
              <w:rPr>
                <w:rFonts w:ascii="Times New Roman" w:eastAsia="Calibri" w:hAnsi="Times New Roman" w:cs="Times New Roman"/>
                <w:color w:val="000000"/>
                <w:lang w:eastAsia="lv-LV"/>
              </w:rPr>
              <w:t xml:space="preserve"> </w:t>
            </w:r>
          </w:p>
        </w:tc>
        <w:tc>
          <w:tcPr>
            <w:tcW w:w="2127" w:type="dxa"/>
          </w:tcPr>
          <w:p w14:paraId="38086BF1" w14:textId="6A43F37A"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Objektu īpašnieki</w:t>
            </w:r>
            <w:r w:rsidR="00114550">
              <w:rPr>
                <w:rFonts w:ascii="Times New Roman" w:eastAsia="Calibri" w:hAnsi="Times New Roman" w:cs="Times New Roman"/>
              </w:rPr>
              <w:t>,</w:t>
            </w:r>
          </w:p>
          <w:p w14:paraId="3621DE8F" w14:textId="011437AD" w:rsidR="009072CE" w:rsidRPr="00A07F29" w:rsidRDefault="00114550" w:rsidP="00665A15">
            <w:pPr>
              <w:autoSpaceDE w:val="0"/>
              <w:autoSpaceDN w:val="0"/>
              <w:adjustRightInd w:val="0"/>
              <w:spacing w:after="0" w:line="240" w:lineRule="auto"/>
              <w:rPr>
                <w:rFonts w:ascii="Times New Roman" w:eastAsia="Calibri" w:hAnsi="Times New Roman" w:cs="Times New Roman"/>
              </w:rPr>
            </w:pPr>
            <w:r>
              <w:rPr>
                <w:rFonts w:ascii="Times New Roman" w:eastAsia="Calibri" w:hAnsi="Times New Roman" w:cs="Times New Roman"/>
              </w:rPr>
              <w:t>p</w:t>
            </w:r>
            <w:r w:rsidR="009072CE" w:rsidRPr="00A07F29">
              <w:rPr>
                <w:rFonts w:ascii="Times New Roman" w:eastAsia="Calibri" w:hAnsi="Times New Roman" w:cs="Times New Roman"/>
              </w:rPr>
              <w:t>ašvaldības</w:t>
            </w:r>
          </w:p>
        </w:tc>
        <w:tc>
          <w:tcPr>
            <w:tcW w:w="1538" w:type="dxa"/>
          </w:tcPr>
          <w:p w14:paraId="4C63DDE7" w14:textId="0695EB59"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2012.</w:t>
            </w:r>
            <w:r w:rsidR="00114550">
              <w:rPr>
                <w:rFonts w:ascii="Times New Roman" w:eastAsia="Calibri" w:hAnsi="Times New Roman" w:cs="Times New Roman"/>
              </w:rPr>
              <w:t> – </w:t>
            </w:r>
            <w:r w:rsidRPr="00A07F29">
              <w:rPr>
                <w:rFonts w:ascii="Times New Roman" w:eastAsia="Calibri" w:hAnsi="Times New Roman" w:cs="Times New Roman"/>
              </w:rPr>
              <w:t>2022.</w:t>
            </w:r>
          </w:p>
        </w:tc>
        <w:tc>
          <w:tcPr>
            <w:tcW w:w="3098" w:type="dxa"/>
          </w:tcPr>
          <w:p w14:paraId="2E44CB79" w14:textId="1A8BB042"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Ar biedrības “Daugavas savienība” atbalstu Daugavpils novada dome atjaunojusi tiltu 2017.</w:t>
            </w:r>
            <w:r w:rsidR="00B45669">
              <w:rPr>
                <w:rFonts w:ascii="Times New Roman" w:eastAsia="Calibri" w:hAnsi="Times New Roman" w:cs="Times New Roman"/>
              </w:rPr>
              <w:t> </w:t>
            </w:r>
            <w:r w:rsidRPr="00A07F29">
              <w:rPr>
                <w:rFonts w:ascii="Times New Roman" w:eastAsia="Calibri" w:hAnsi="Times New Roman" w:cs="Times New Roman"/>
              </w:rPr>
              <w:t>gadā</w:t>
            </w:r>
          </w:p>
        </w:tc>
        <w:tc>
          <w:tcPr>
            <w:tcW w:w="3974" w:type="dxa"/>
          </w:tcPr>
          <w:p w14:paraId="203EB1A8" w14:textId="77784BC5" w:rsidR="009072CE" w:rsidRPr="00A07F29" w:rsidRDefault="009072CE" w:rsidP="00291E6E">
            <w:pPr>
              <w:spacing w:after="0" w:line="240" w:lineRule="auto"/>
              <w:rPr>
                <w:rFonts w:ascii="Times New Roman" w:eastAsia="Calibri" w:hAnsi="Times New Roman" w:cs="Times New Roman"/>
              </w:rPr>
            </w:pPr>
            <w:r w:rsidRPr="00A07F29">
              <w:rPr>
                <w:rFonts w:ascii="Times New Roman" w:eastAsia="Calibri" w:hAnsi="Times New Roman" w:cs="Times New Roman"/>
              </w:rPr>
              <w:t xml:space="preserve">Ceļa posma rekonstrukcija </w:t>
            </w:r>
            <w:r w:rsidR="00291E6E" w:rsidRPr="00A07F29">
              <w:rPr>
                <w:rFonts w:ascii="Times New Roman" w:eastAsia="Calibri" w:hAnsi="Times New Roman" w:cs="Times New Roman"/>
              </w:rPr>
              <w:t xml:space="preserve">un tilta </w:t>
            </w:r>
            <w:proofErr w:type="spellStart"/>
            <w:r w:rsidR="00291E6E" w:rsidRPr="00A07F29">
              <w:rPr>
                <w:rFonts w:ascii="Times New Roman" w:eastAsia="Calibri" w:hAnsi="Times New Roman" w:cs="Times New Roman"/>
              </w:rPr>
              <w:t>atjaunoša</w:t>
            </w:r>
            <w:proofErr w:type="spellEnd"/>
            <w:r w:rsidR="00291E6E" w:rsidRPr="00A07F29">
              <w:rPr>
                <w:rFonts w:ascii="Times New Roman" w:eastAsia="Calibri" w:hAnsi="Times New Roman" w:cs="Times New Roman"/>
              </w:rPr>
              <w:t xml:space="preserve"> braukšanai nav aktuāla, jo piebraukšana </w:t>
            </w:r>
            <w:proofErr w:type="spellStart"/>
            <w:r w:rsidR="00291E6E" w:rsidRPr="00A07F29">
              <w:rPr>
                <w:rFonts w:ascii="Times New Roman" w:eastAsia="Calibri" w:hAnsi="Times New Roman" w:cs="Times New Roman"/>
              </w:rPr>
              <w:t>Lielbornes</w:t>
            </w:r>
            <w:proofErr w:type="spellEnd"/>
            <w:r w:rsidR="00291E6E" w:rsidRPr="00A07F29">
              <w:rPr>
                <w:rFonts w:ascii="Times New Roman" w:eastAsia="Calibri" w:hAnsi="Times New Roman" w:cs="Times New Roman"/>
              </w:rPr>
              <w:t xml:space="preserve"> muižai notiek pa otru ceļu. </w:t>
            </w:r>
            <w:r w:rsidRPr="00A07F29">
              <w:rPr>
                <w:rFonts w:ascii="Times New Roman" w:eastAsia="Calibri" w:hAnsi="Times New Roman" w:cs="Times New Roman"/>
              </w:rPr>
              <w:t>Bijušajā ceļa posmā izveidota autostāvvieta un gājēju-velosipēdistu celiņš līdz tiltam.</w:t>
            </w:r>
          </w:p>
        </w:tc>
      </w:tr>
      <w:tr w:rsidR="009072CE" w:rsidRPr="00A07F29" w14:paraId="2F0D2B97" w14:textId="77777777" w:rsidTr="003B2D97">
        <w:trPr>
          <w:jc w:val="center"/>
        </w:trPr>
        <w:tc>
          <w:tcPr>
            <w:tcW w:w="583" w:type="dxa"/>
          </w:tcPr>
          <w:p w14:paraId="43A35C63" w14:textId="77777777" w:rsidR="009072CE" w:rsidRPr="00A07F29" w:rsidRDefault="009072CE" w:rsidP="009072CE">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50.</w:t>
            </w:r>
          </w:p>
        </w:tc>
        <w:tc>
          <w:tcPr>
            <w:tcW w:w="3402" w:type="dxa"/>
            <w:vAlign w:val="center"/>
          </w:tcPr>
          <w:p w14:paraId="6D1C08D8" w14:textId="71AEC66E"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color w:val="000000"/>
                <w:lang w:eastAsia="lv-LV"/>
              </w:rPr>
              <w:t>Ceļa posma</w:t>
            </w:r>
            <w:r w:rsidR="00D65BBA" w:rsidRPr="00A07F29">
              <w:rPr>
                <w:rFonts w:ascii="Times New Roman" w:eastAsia="Calibri" w:hAnsi="Times New Roman" w:cs="Times New Roman"/>
                <w:color w:val="000000"/>
                <w:lang w:eastAsia="lv-LV"/>
              </w:rPr>
              <w:t xml:space="preserve"> </w:t>
            </w:r>
            <w:r w:rsidRPr="00A07F29">
              <w:rPr>
                <w:rFonts w:ascii="Times New Roman" w:eastAsia="Calibri" w:hAnsi="Times New Roman" w:cs="Times New Roman"/>
                <w:color w:val="000000"/>
                <w:lang w:eastAsia="lv-LV"/>
              </w:rPr>
              <w:t xml:space="preserve">periodiskā uzturēšana un transportlīdzekļu </w:t>
            </w:r>
            <w:r w:rsidRPr="00A07F29">
              <w:rPr>
                <w:rFonts w:ascii="Times New Roman" w:eastAsia="Calibri" w:hAnsi="Times New Roman" w:cs="Times New Roman"/>
                <w:lang w:eastAsia="lv-LV"/>
              </w:rPr>
              <w:t>stāvvietas</w:t>
            </w:r>
            <w:r w:rsidRPr="00A07F29">
              <w:rPr>
                <w:rFonts w:ascii="Times New Roman" w:eastAsia="Calibri" w:hAnsi="Times New Roman" w:cs="Times New Roman"/>
                <w:color w:val="FF0000"/>
                <w:lang w:eastAsia="lv-LV"/>
              </w:rPr>
              <w:t xml:space="preserve"> </w:t>
            </w:r>
            <w:r w:rsidRPr="00A07F29">
              <w:rPr>
                <w:rFonts w:ascii="Times New Roman" w:eastAsia="Calibri" w:hAnsi="Times New Roman" w:cs="Times New Roman"/>
                <w:color w:val="000000"/>
                <w:lang w:eastAsia="lv-LV"/>
              </w:rPr>
              <w:t>izveide</w:t>
            </w:r>
            <w:r w:rsidR="00D65BBA" w:rsidRPr="00A07F29">
              <w:rPr>
                <w:rFonts w:ascii="Times New Roman" w:eastAsia="Calibri" w:hAnsi="Times New Roman" w:cs="Times New Roman"/>
                <w:color w:val="000000"/>
                <w:lang w:eastAsia="lv-LV"/>
              </w:rPr>
              <w:t xml:space="preserve"> </w:t>
            </w:r>
            <w:r w:rsidRPr="00A07F29">
              <w:rPr>
                <w:rFonts w:ascii="Times New Roman" w:eastAsia="Calibri" w:hAnsi="Times New Roman" w:cs="Times New Roman"/>
                <w:color w:val="000000"/>
                <w:lang w:eastAsia="lv-LV"/>
              </w:rPr>
              <w:t xml:space="preserve">Vecsalienas pagastā, </w:t>
            </w:r>
            <w:proofErr w:type="spellStart"/>
            <w:r w:rsidRPr="00A07F29">
              <w:rPr>
                <w:rFonts w:ascii="Times New Roman" w:eastAsia="Calibri" w:hAnsi="Times New Roman" w:cs="Times New Roman"/>
                <w:color w:val="000000"/>
                <w:lang w:eastAsia="lv-LV"/>
              </w:rPr>
              <w:t>Sīķelē</w:t>
            </w:r>
            <w:proofErr w:type="spellEnd"/>
          </w:p>
        </w:tc>
        <w:tc>
          <w:tcPr>
            <w:tcW w:w="2127" w:type="dxa"/>
            <w:vAlign w:val="center"/>
          </w:tcPr>
          <w:p w14:paraId="678C403A" w14:textId="77777777" w:rsidR="009072CE" w:rsidRPr="00A07F29" w:rsidRDefault="009072CE" w:rsidP="00665A15">
            <w:pPr>
              <w:autoSpaceDE w:val="0"/>
              <w:autoSpaceDN w:val="0"/>
              <w:adjustRightInd w:val="0"/>
              <w:spacing w:after="0" w:line="240" w:lineRule="auto"/>
              <w:rPr>
                <w:rFonts w:ascii="Times New Roman" w:eastAsia="Calibri" w:hAnsi="Times New Roman" w:cs="Times New Roman"/>
              </w:rPr>
            </w:pPr>
            <w:r w:rsidRPr="00A07F29">
              <w:rPr>
                <w:rFonts w:ascii="Times New Roman" w:eastAsia="Calibri" w:hAnsi="Times New Roman" w:cs="Times New Roman"/>
              </w:rPr>
              <w:t>Pašvaldības</w:t>
            </w:r>
          </w:p>
        </w:tc>
        <w:tc>
          <w:tcPr>
            <w:tcW w:w="1538" w:type="dxa"/>
            <w:vAlign w:val="center"/>
          </w:tcPr>
          <w:p w14:paraId="0A88D15B" w14:textId="28184A4A"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2010.</w:t>
            </w:r>
          </w:p>
        </w:tc>
        <w:tc>
          <w:tcPr>
            <w:tcW w:w="3098" w:type="dxa"/>
          </w:tcPr>
          <w:p w14:paraId="3DD45332" w14:textId="46E6B799"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Veikts</w:t>
            </w:r>
            <w:r w:rsidR="00E639A5">
              <w:rPr>
                <w:rFonts w:ascii="Times New Roman" w:eastAsia="Calibri" w:hAnsi="Times New Roman" w:cs="Times New Roman"/>
              </w:rPr>
              <w:t>.</w:t>
            </w:r>
          </w:p>
        </w:tc>
        <w:tc>
          <w:tcPr>
            <w:tcW w:w="3974" w:type="dxa"/>
          </w:tcPr>
          <w:p w14:paraId="1588756A" w14:textId="1C1E43B3"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Jāplāno stenda atjaunošana stāvvietā</w:t>
            </w:r>
            <w:r w:rsidR="00E639A5">
              <w:rPr>
                <w:rFonts w:ascii="Times New Roman" w:eastAsia="Calibri" w:hAnsi="Times New Roman" w:cs="Times New Roman"/>
              </w:rPr>
              <w:t>.</w:t>
            </w:r>
          </w:p>
        </w:tc>
      </w:tr>
      <w:tr w:rsidR="009072CE" w:rsidRPr="00A07F29" w14:paraId="3F3DE622" w14:textId="77777777" w:rsidTr="003B2D97">
        <w:trPr>
          <w:jc w:val="center"/>
        </w:trPr>
        <w:tc>
          <w:tcPr>
            <w:tcW w:w="583" w:type="dxa"/>
          </w:tcPr>
          <w:p w14:paraId="274E0FA8" w14:textId="77777777" w:rsidR="009072CE" w:rsidRPr="00A07F29" w:rsidRDefault="009072CE" w:rsidP="009072CE">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51.</w:t>
            </w:r>
          </w:p>
        </w:tc>
        <w:tc>
          <w:tcPr>
            <w:tcW w:w="3402" w:type="dxa"/>
            <w:vAlign w:val="center"/>
          </w:tcPr>
          <w:p w14:paraId="78BB64AA" w14:textId="5806311C"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color w:val="000000"/>
                <w:lang w:eastAsia="lv-LV"/>
              </w:rPr>
              <w:t>Transportlīdzekļu stāvvietas</w:t>
            </w:r>
            <w:r w:rsidR="00D65BBA" w:rsidRPr="00A07F29">
              <w:rPr>
                <w:rFonts w:ascii="Times New Roman" w:eastAsia="Calibri" w:hAnsi="Times New Roman" w:cs="Times New Roman"/>
                <w:color w:val="000000"/>
                <w:lang w:eastAsia="lv-LV"/>
              </w:rPr>
              <w:t xml:space="preserve"> </w:t>
            </w:r>
            <w:r w:rsidRPr="00A07F29">
              <w:rPr>
                <w:rFonts w:ascii="Times New Roman" w:eastAsia="Calibri" w:hAnsi="Times New Roman" w:cs="Times New Roman"/>
                <w:color w:val="000000"/>
                <w:lang w:eastAsia="lv-LV"/>
              </w:rPr>
              <w:t xml:space="preserve">periodiskā uzturēšana Naujenes pagastā, </w:t>
            </w:r>
            <w:proofErr w:type="spellStart"/>
            <w:r w:rsidRPr="00A07F29">
              <w:rPr>
                <w:rFonts w:ascii="Times New Roman" w:eastAsia="Calibri" w:hAnsi="Times New Roman" w:cs="Times New Roman"/>
                <w:color w:val="000000"/>
                <w:lang w:eastAsia="lv-LV"/>
              </w:rPr>
              <w:t>Markovā</w:t>
            </w:r>
            <w:proofErr w:type="spellEnd"/>
          </w:p>
        </w:tc>
        <w:tc>
          <w:tcPr>
            <w:tcW w:w="2127" w:type="dxa"/>
            <w:vAlign w:val="center"/>
          </w:tcPr>
          <w:p w14:paraId="4811B648" w14:textId="77777777" w:rsidR="009072CE" w:rsidRPr="00A07F29" w:rsidRDefault="009072CE" w:rsidP="00665A15">
            <w:pPr>
              <w:autoSpaceDE w:val="0"/>
              <w:autoSpaceDN w:val="0"/>
              <w:adjustRightInd w:val="0"/>
              <w:spacing w:after="0" w:line="240" w:lineRule="auto"/>
              <w:rPr>
                <w:rFonts w:ascii="Times New Roman" w:eastAsia="Calibri" w:hAnsi="Times New Roman" w:cs="Times New Roman"/>
              </w:rPr>
            </w:pPr>
            <w:r w:rsidRPr="00A07F29">
              <w:rPr>
                <w:rFonts w:ascii="Times New Roman" w:eastAsia="Calibri" w:hAnsi="Times New Roman" w:cs="Times New Roman"/>
              </w:rPr>
              <w:t>Pašvaldības</w:t>
            </w:r>
          </w:p>
        </w:tc>
        <w:tc>
          <w:tcPr>
            <w:tcW w:w="1538" w:type="dxa"/>
            <w:vAlign w:val="center"/>
          </w:tcPr>
          <w:p w14:paraId="6A8AD0FB" w14:textId="77777777"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2010.</w:t>
            </w:r>
          </w:p>
        </w:tc>
        <w:tc>
          <w:tcPr>
            <w:tcW w:w="3098" w:type="dxa"/>
          </w:tcPr>
          <w:p w14:paraId="6A800B71" w14:textId="5017D8B5"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Veikts</w:t>
            </w:r>
            <w:r w:rsidR="00E639A5">
              <w:rPr>
                <w:rFonts w:ascii="Times New Roman" w:eastAsia="Calibri" w:hAnsi="Times New Roman" w:cs="Times New Roman"/>
              </w:rPr>
              <w:t>.</w:t>
            </w:r>
          </w:p>
        </w:tc>
        <w:tc>
          <w:tcPr>
            <w:tcW w:w="3974" w:type="dxa"/>
          </w:tcPr>
          <w:p w14:paraId="4D43DB39" w14:textId="7C484961" w:rsidR="00925990" w:rsidRPr="00A07F29" w:rsidRDefault="00925990" w:rsidP="00925990">
            <w:pPr>
              <w:spacing w:after="0" w:line="240" w:lineRule="auto"/>
              <w:rPr>
                <w:rFonts w:ascii="Times New Roman" w:eastAsia="Calibri" w:hAnsi="Times New Roman" w:cs="Times New Roman"/>
              </w:rPr>
            </w:pPr>
            <w:r w:rsidRPr="00A07F29">
              <w:rPr>
                <w:rFonts w:ascii="Times New Roman" w:eastAsia="Calibri" w:hAnsi="Times New Roman" w:cs="Times New Roman"/>
              </w:rPr>
              <w:t xml:space="preserve">To </w:t>
            </w:r>
            <w:r w:rsidR="0058051F" w:rsidRPr="00A07F29">
              <w:rPr>
                <w:rFonts w:ascii="Times New Roman" w:eastAsia="Calibri" w:hAnsi="Times New Roman" w:cs="Times New Roman"/>
              </w:rPr>
              <w:t xml:space="preserve">veic </w:t>
            </w:r>
            <w:proofErr w:type="spellStart"/>
            <w:r w:rsidR="0058051F" w:rsidRPr="00A07F29">
              <w:rPr>
                <w:rFonts w:ascii="Times New Roman" w:eastAsia="Calibri" w:hAnsi="Times New Roman" w:cs="Times New Roman"/>
              </w:rPr>
              <w:t>apsaimniekotāji</w:t>
            </w:r>
            <w:proofErr w:type="spellEnd"/>
            <w:r w:rsidR="0058051F" w:rsidRPr="00A07F29">
              <w:rPr>
                <w:rFonts w:ascii="Times New Roman" w:eastAsia="Calibri" w:hAnsi="Times New Roman" w:cs="Times New Roman"/>
              </w:rPr>
              <w:t xml:space="preserve">. </w:t>
            </w:r>
            <w:r w:rsidRPr="00A07F29">
              <w:rPr>
                <w:rFonts w:ascii="Times New Roman" w:eastAsia="Calibri" w:hAnsi="Times New Roman" w:cs="Times New Roman"/>
              </w:rPr>
              <w:t>Šīs u.c. automašīnu stāvvietu uzturēšana jāparedz arī turpmāk.</w:t>
            </w:r>
          </w:p>
        </w:tc>
      </w:tr>
      <w:tr w:rsidR="009072CE" w:rsidRPr="00A07F29" w14:paraId="5E3772A7" w14:textId="77777777" w:rsidTr="003B2D97">
        <w:trPr>
          <w:jc w:val="center"/>
        </w:trPr>
        <w:tc>
          <w:tcPr>
            <w:tcW w:w="583" w:type="dxa"/>
          </w:tcPr>
          <w:p w14:paraId="44B28AAE" w14:textId="77777777" w:rsidR="009072CE" w:rsidRPr="00A07F29" w:rsidRDefault="009072CE" w:rsidP="009072CE">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52.</w:t>
            </w:r>
          </w:p>
        </w:tc>
        <w:tc>
          <w:tcPr>
            <w:tcW w:w="3402" w:type="dxa"/>
            <w:vAlign w:val="center"/>
          </w:tcPr>
          <w:p w14:paraId="107F175F" w14:textId="77777777"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color w:val="000000"/>
                <w:lang w:eastAsia="lv-LV"/>
              </w:rPr>
              <w:t xml:space="preserve">Transportlīdzekļu stāvvietas izveide Salienas pagastā, </w:t>
            </w:r>
            <w:proofErr w:type="spellStart"/>
            <w:r w:rsidRPr="00A07F29">
              <w:rPr>
                <w:rFonts w:ascii="Times New Roman" w:eastAsia="Calibri" w:hAnsi="Times New Roman" w:cs="Times New Roman"/>
                <w:color w:val="000000"/>
                <w:lang w:eastAsia="lv-LV"/>
              </w:rPr>
              <w:t>Jaunbornē</w:t>
            </w:r>
            <w:proofErr w:type="spellEnd"/>
          </w:p>
        </w:tc>
        <w:tc>
          <w:tcPr>
            <w:tcW w:w="2127" w:type="dxa"/>
            <w:vAlign w:val="center"/>
          </w:tcPr>
          <w:p w14:paraId="76B04909" w14:textId="77777777" w:rsidR="009072CE" w:rsidRPr="00A07F29" w:rsidRDefault="009072CE" w:rsidP="00665A15">
            <w:pPr>
              <w:autoSpaceDE w:val="0"/>
              <w:autoSpaceDN w:val="0"/>
              <w:adjustRightInd w:val="0"/>
              <w:spacing w:after="0" w:line="240" w:lineRule="auto"/>
              <w:rPr>
                <w:rFonts w:ascii="Times New Roman" w:eastAsia="Calibri" w:hAnsi="Times New Roman" w:cs="Times New Roman"/>
              </w:rPr>
            </w:pPr>
            <w:r w:rsidRPr="00A07F29">
              <w:rPr>
                <w:rFonts w:ascii="Times New Roman" w:eastAsia="Calibri" w:hAnsi="Times New Roman" w:cs="Times New Roman"/>
              </w:rPr>
              <w:t>Pašvaldības</w:t>
            </w:r>
          </w:p>
        </w:tc>
        <w:tc>
          <w:tcPr>
            <w:tcW w:w="1538" w:type="dxa"/>
            <w:vAlign w:val="center"/>
          </w:tcPr>
          <w:p w14:paraId="63EEE0F1" w14:textId="77777777"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2010.</w:t>
            </w:r>
          </w:p>
        </w:tc>
        <w:tc>
          <w:tcPr>
            <w:tcW w:w="3098" w:type="dxa"/>
          </w:tcPr>
          <w:p w14:paraId="5E38755C" w14:textId="33E1450F"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Veikts</w:t>
            </w:r>
            <w:r w:rsidR="00E639A5">
              <w:rPr>
                <w:rFonts w:ascii="Times New Roman" w:eastAsia="Calibri" w:hAnsi="Times New Roman" w:cs="Times New Roman"/>
              </w:rPr>
              <w:t>.</w:t>
            </w:r>
          </w:p>
        </w:tc>
        <w:tc>
          <w:tcPr>
            <w:tcW w:w="3974" w:type="dxa"/>
          </w:tcPr>
          <w:p w14:paraId="36FB3545" w14:textId="2F1859EA" w:rsidR="009072CE" w:rsidRPr="00A07F29" w:rsidRDefault="0058051F"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Stāvvietu izmanto baznīcas apm</w:t>
            </w:r>
            <w:r w:rsidR="00665A15" w:rsidRPr="00A07F29">
              <w:rPr>
                <w:rFonts w:ascii="Times New Roman" w:eastAsia="Calibri" w:hAnsi="Times New Roman" w:cs="Times New Roman"/>
              </w:rPr>
              <w:t>e</w:t>
            </w:r>
            <w:r w:rsidRPr="00A07F29">
              <w:rPr>
                <w:rFonts w:ascii="Times New Roman" w:eastAsia="Calibri" w:hAnsi="Times New Roman" w:cs="Times New Roman"/>
              </w:rPr>
              <w:t>klētāji un tūristi. Uzlabojumi pašlaik nav nepieciešami</w:t>
            </w:r>
            <w:r w:rsidR="00F95A9B">
              <w:rPr>
                <w:rFonts w:ascii="Times New Roman" w:eastAsia="Calibri" w:hAnsi="Times New Roman" w:cs="Times New Roman"/>
              </w:rPr>
              <w:t>.</w:t>
            </w:r>
          </w:p>
        </w:tc>
      </w:tr>
      <w:tr w:rsidR="009072CE" w:rsidRPr="00A07F29" w14:paraId="3B3FDEBE" w14:textId="77777777" w:rsidTr="003B2D97">
        <w:trPr>
          <w:jc w:val="center"/>
        </w:trPr>
        <w:tc>
          <w:tcPr>
            <w:tcW w:w="583" w:type="dxa"/>
          </w:tcPr>
          <w:p w14:paraId="103661AA" w14:textId="77777777" w:rsidR="009072CE" w:rsidRPr="00A07F29" w:rsidRDefault="009072CE" w:rsidP="009072CE">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53.</w:t>
            </w:r>
          </w:p>
        </w:tc>
        <w:tc>
          <w:tcPr>
            <w:tcW w:w="3402" w:type="dxa"/>
            <w:vAlign w:val="center"/>
          </w:tcPr>
          <w:p w14:paraId="114D66F1" w14:textId="3743ABED"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color w:val="000000"/>
                <w:lang w:eastAsia="lv-LV"/>
              </w:rPr>
              <w:t>Transportlīdzekļu stāvvietas izveide Tabores</w:t>
            </w:r>
            <w:r w:rsidR="00D65BBA" w:rsidRPr="00A07F29">
              <w:rPr>
                <w:rFonts w:ascii="Times New Roman" w:eastAsia="Calibri" w:hAnsi="Times New Roman" w:cs="Times New Roman"/>
                <w:color w:val="000000"/>
                <w:lang w:eastAsia="lv-LV"/>
              </w:rPr>
              <w:t xml:space="preserve"> </w:t>
            </w:r>
            <w:r w:rsidRPr="00A07F29">
              <w:rPr>
                <w:rFonts w:ascii="Times New Roman" w:eastAsia="Calibri" w:hAnsi="Times New Roman" w:cs="Times New Roman"/>
                <w:color w:val="000000"/>
                <w:lang w:eastAsia="lv-LV"/>
              </w:rPr>
              <w:t xml:space="preserve">pagasts, </w:t>
            </w:r>
            <w:proofErr w:type="spellStart"/>
            <w:r w:rsidRPr="00A07F29">
              <w:rPr>
                <w:rFonts w:ascii="Times New Roman" w:eastAsia="Calibri" w:hAnsi="Times New Roman" w:cs="Times New Roman"/>
                <w:color w:val="000000"/>
                <w:lang w:eastAsia="lv-LV"/>
              </w:rPr>
              <w:t>Elernē</w:t>
            </w:r>
            <w:proofErr w:type="spellEnd"/>
          </w:p>
        </w:tc>
        <w:tc>
          <w:tcPr>
            <w:tcW w:w="2127" w:type="dxa"/>
            <w:vAlign w:val="center"/>
          </w:tcPr>
          <w:p w14:paraId="6172D728" w14:textId="77777777" w:rsidR="009072CE" w:rsidRPr="00A07F29" w:rsidRDefault="009072CE" w:rsidP="00665A15">
            <w:pPr>
              <w:autoSpaceDE w:val="0"/>
              <w:autoSpaceDN w:val="0"/>
              <w:adjustRightInd w:val="0"/>
              <w:spacing w:after="0" w:line="240" w:lineRule="auto"/>
              <w:rPr>
                <w:rFonts w:ascii="Times New Roman" w:eastAsia="Calibri" w:hAnsi="Times New Roman" w:cs="Times New Roman"/>
              </w:rPr>
            </w:pPr>
            <w:r w:rsidRPr="00A07F29">
              <w:rPr>
                <w:rFonts w:ascii="Times New Roman" w:eastAsia="Calibri" w:hAnsi="Times New Roman" w:cs="Times New Roman"/>
              </w:rPr>
              <w:t>Pašvaldības</w:t>
            </w:r>
          </w:p>
        </w:tc>
        <w:tc>
          <w:tcPr>
            <w:tcW w:w="1538" w:type="dxa"/>
            <w:vAlign w:val="center"/>
          </w:tcPr>
          <w:p w14:paraId="0DB50ECC" w14:textId="77777777"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2010.</w:t>
            </w:r>
          </w:p>
        </w:tc>
        <w:tc>
          <w:tcPr>
            <w:tcW w:w="3098" w:type="dxa"/>
          </w:tcPr>
          <w:p w14:paraId="760565D9" w14:textId="543E2EB0"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Veikts</w:t>
            </w:r>
            <w:r w:rsidR="00F95A9B">
              <w:rPr>
                <w:rFonts w:ascii="Times New Roman" w:eastAsia="Calibri" w:hAnsi="Times New Roman" w:cs="Times New Roman"/>
              </w:rPr>
              <w:t>.</w:t>
            </w:r>
          </w:p>
        </w:tc>
        <w:tc>
          <w:tcPr>
            <w:tcW w:w="3974" w:type="dxa"/>
          </w:tcPr>
          <w:p w14:paraId="48212972" w14:textId="7091F71E"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Jāplāno stenda atjaunošana stāvvietā</w:t>
            </w:r>
            <w:r w:rsidR="00F95A9B">
              <w:rPr>
                <w:rFonts w:ascii="Times New Roman" w:eastAsia="Calibri" w:hAnsi="Times New Roman" w:cs="Times New Roman"/>
              </w:rPr>
              <w:t>.</w:t>
            </w:r>
          </w:p>
        </w:tc>
      </w:tr>
      <w:tr w:rsidR="009072CE" w:rsidRPr="00A07F29" w14:paraId="7EBF370B" w14:textId="77777777" w:rsidTr="003B2D97">
        <w:trPr>
          <w:jc w:val="center"/>
        </w:trPr>
        <w:tc>
          <w:tcPr>
            <w:tcW w:w="583" w:type="dxa"/>
          </w:tcPr>
          <w:p w14:paraId="1C51012F" w14:textId="77777777" w:rsidR="009072CE" w:rsidRPr="00A07F29" w:rsidRDefault="009072CE" w:rsidP="009072CE">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lastRenderedPageBreak/>
              <w:t>54.</w:t>
            </w:r>
          </w:p>
        </w:tc>
        <w:tc>
          <w:tcPr>
            <w:tcW w:w="3402" w:type="dxa"/>
            <w:vAlign w:val="bottom"/>
          </w:tcPr>
          <w:p w14:paraId="6AA71999" w14:textId="77777777" w:rsidR="009072CE" w:rsidRPr="00A07F29" w:rsidRDefault="009072CE" w:rsidP="00665A15">
            <w:pPr>
              <w:spacing w:after="0" w:line="240" w:lineRule="auto"/>
              <w:rPr>
                <w:rFonts w:ascii="Times New Roman" w:eastAsia="Calibri" w:hAnsi="Times New Roman" w:cs="Times New Roman"/>
              </w:rPr>
            </w:pPr>
            <w:proofErr w:type="spellStart"/>
            <w:r w:rsidRPr="00A07F29">
              <w:rPr>
                <w:rFonts w:ascii="Times New Roman" w:eastAsia="Calibri" w:hAnsi="Times New Roman" w:cs="Times New Roman"/>
                <w:color w:val="000000"/>
                <w:lang w:eastAsia="lv-LV"/>
              </w:rPr>
              <w:t>Elernes</w:t>
            </w:r>
            <w:proofErr w:type="spellEnd"/>
            <w:r w:rsidRPr="00A07F29">
              <w:rPr>
                <w:rFonts w:ascii="Times New Roman" w:eastAsia="Calibri" w:hAnsi="Times New Roman" w:cs="Times New Roman"/>
                <w:color w:val="000000"/>
                <w:lang w:eastAsia="lv-LV"/>
              </w:rPr>
              <w:t xml:space="preserve"> katoļu kapsētas apžogojuma atjaunošana, Tabores pagastā</w:t>
            </w:r>
          </w:p>
        </w:tc>
        <w:tc>
          <w:tcPr>
            <w:tcW w:w="2127" w:type="dxa"/>
          </w:tcPr>
          <w:p w14:paraId="278E0542" w14:textId="77777777" w:rsidR="009072CE" w:rsidRPr="00A07F29" w:rsidRDefault="009072CE" w:rsidP="00665A15">
            <w:pPr>
              <w:autoSpaceDE w:val="0"/>
              <w:autoSpaceDN w:val="0"/>
              <w:adjustRightInd w:val="0"/>
              <w:spacing w:after="0" w:line="240" w:lineRule="auto"/>
              <w:rPr>
                <w:rFonts w:ascii="Times New Roman" w:eastAsia="Calibri" w:hAnsi="Times New Roman" w:cs="Times New Roman"/>
              </w:rPr>
            </w:pPr>
            <w:r w:rsidRPr="00A07F29">
              <w:rPr>
                <w:rFonts w:ascii="Times New Roman" w:eastAsia="Calibri" w:hAnsi="Times New Roman" w:cs="Times New Roman"/>
              </w:rPr>
              <w:t>Pašvaldības</w:t>
            </w:r>
          </w:p>
        </w:tc>
        <w:tc>
          <w:tcPr>
            <w:tcW w:w="1538" w:type="dxa"/>
          </w:tcPr>
          <w:p w14:paraId="0E6C866D" w14:textId="77777777"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2010.</w:t>
            </w:r>
          </w:p>
        </w:tc>
        <w:tc>
          <w:tcPr>
            <w:tcW w:w="3098" w:type="dxa"/>
          </w:tcPr>
          <w:p w14:paraId="746DC814" w14:textId="2AC22A4B"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Veikts</w:t>
            </w:r>
            <w:r w:rsidR="00F95A9B">
              <w:rPr>
                <w:rFonts w:ascii="Times New Roman" w:eastAsia="Calibri" w:hAnsi="Times New Roman" w:cs="Times New Roman"/>
              </w:rPr>
              <w:t>.</w:t>
            </w:r>
          </w:p>
        </w:tc>
        <w:tc>
          <w:tcPr>
            <w:tcW w:w="3974" w:type="dxa"/>
          </w:tcPr>
          <w:p w14:paraId="32A1A838" w14:textId="75DD4467"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Veikts</w:t>
            </w:r>
            <w:r w:rsidR="00F95A9B">
              <w:rPr>
                <w:rFonts w:ascii="Times New Roman" w:eastAsia="Calibri" w:hAnsi="Times New Roman" w:cs="Times New Roman"/>
              </w:rPr>
              <w:t>.</w:t>
            </w:r>
          </w:p>
        </w:tc>
      </w:tr>
      <w:tr w:rsidR="009072CE" w:rsidRPr="00A07F29" w14:paraId="2A6AFDCC" w14:textId="77777777" w:rsidTr="003B2D97">
        <w:trPr>
          <w:jc w:val="center"/>
        </w:trPr>
        <w:tc>
          <w:tcPr>
            <w:tcW w:w="583" w:type="dxa"/>
          </w:tcPr>
          <w:p w14:paraId="08AFA4E0" w14:textId="77777777" w:rsidR="009072CE" w:rsidRPr="00A07F29" w:rsidRDefault="009072CE" w:rsidP="009072CE">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55.</w:t>
            </w:r>
          </w:p>
        </w:tc>
        <w:tc>
          <w:tcPr>
            <w:tcW w:w="3402" w:type="dxa"/>
            <w:vAlign w:val="bottom"/>
          </w:tcPr>
          <w:p w14:paraId="5554CCDC" w14:textId="41588D29"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color w:val="000000"/>
                <w:lang w:eastAsia="lv-LV"/>
              </w:rPr>
              <w:t xml:space="preserve">Sezonālo nojumju izveide </w:t>
            </w:r>
            <w:r w:rsidR="00C125D4">
              <w:rPr>
                <w:rFonts w:ascii="Times New Roman" w:eastAsia="Calibri" w:hAnsi="Times New Roman" w:cs="Times New Roman"/>
                <w:color w:val="000000"/>
                <w:lang w:eastAsia="lv-LV"/>
              </w:rPr>
              <w:t>“</w:t>
            </w:r>
            <w:r w:rsidRPr="00A07F29">
              <w:rPr>
                <w:rFonts w:ascii="Times New Roman" w:eastAsia="Calibri" w:hAnsi="Times New Roman" w:cs="Times New Roman"/>
                <w:color w:val="000000"/>
                <w:lang w:eastAsia="lv-LV"/>
              </w:rPr>
              <w:t>Latgales sētā</w:t>
            </w:r>
            <w:r w:rsidR="00C125D4">
              <w:rPr>
                <w:rFonts w:ascii="Times New Roman" w:eastAsia="Calibri" w:hAnsi="Times New Roman" w:cs="Times New Roman"/>
                <w:color w:val="000000"/>
                <w:lang w:eastAsia="lv-LV"/>
              </w:rPr>
              <w:t>”</w:t>
            </w:r>
            <w:r w:rsidRPr="00A07F29">
              <w:rPr>
                <w:rFonts w:ascii="Times New Roman" w:eastAsia="Calibri" w:hAnsi="Times New Roman" w:cs="Times New Roman"/>
                <w:color w:val="000000"/>
                <w:lang w:eastAsia="lv-LV"/>
              </w:rPr>
              <w:t xml:space="preserve">, </w:t>
            </w:r>
            <w:proofErr w:type="spellStart"/>
            <w:r w:rsidRPr="00A07F29">
              <w:rPr>
                <w:rFonts w:ascii="Times New Roman" w:eastAsia="Calibri" w:hAnsi="Times New Roman" w:cs="Times New Roman"/>
                <w:color w:val="000000"/>
                <w:lang w:eastAsia="lv-LV"/>
              </w:rPr>
              <w:t>Slutišķos</w:t>
            </w:r>
            <w:proofErr w:type="spellEnd"/>
            <w:r w:rsidRPr="00A07F29">
              <w:rPr>
                <w:rFonts w:ascii="Times New Roman" w:eastAsia="Calibri" w:hAnsi="Times New Roman" w:cs="Times New Roman"/>
                <w:color w:val="000000"/>
                <w:lang w:eastAsia="lv-LV"/>
              </w:rPr>
              <w:t>, Naujenes pagastā</w:t>
            </w:r>
          </w:p>
        </w:tc>
        <w:tc>
          <w:tcPr>
            <w:tcW w:w="2127" w:type="dxa"/>
          </w:tcPr>
          <w:p w14:paraId="3144098F" w14:textId="77777777" w:rsidR="009072CE" w:rsidRPr="00A07F29" w:rsidRDefault="009072CE" w:rsidP="00665A15">
            <w:pPr>
              <w:autoSpaceDE w:val="0"/>
              <w:autoSpaceDN w:val="0"/>
              <w:adjustRightInd w:val="0"/>
              <w:spacing w:after="0" w:line="240" w:lineRule="auto"/>
              <w:rPr>
                <w:rFonts w:ascii="Times New Roman" w:eastAsia="Calibri" w:hAnsi="Times New Roman" w:cs="Times New Roman"/>
              </w:rPr>
            </w:pPr>
            <w:r w:rsidRPr="00A07F29">
              <w:rPr>
                <w:rFonts w:ascii="Times New Roman" w:eastAsia="Calibri" w:hAnsi="Times New Roman" w:cs="Times New Roman"/>
              </w:rPr>
              <w:t>Pašvaldības</w:t>
            </w:r>
          </w:p>
        </w:tc>
        <w:tc>
          <w:tcPr>
            <w:tcW w:w="1538" w:type="dxa"/>
          </w:tcPr>
          <w:p w14:paraId="1A2F9389" w14:textId="77777777"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2010.</w:t>
            </w:r>
          </w:p>
        </w:tc>
        <w:tc>
          <w:tcPr>
            <w:tcW w:w="3098" w:type="dxa"/>
          </w:tcPr>
          <w:p w14:paraId="2E3BA76B" w14:textId="7D2C23F3"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Veikts</w:t>
            </w:r>
            <w:r w:rsidR="00C125D4">
              <w:rPr>
                <w:rFonts w:ascii="Times New Roman" w:eastAsia="Calibri" w:hAnsi="Times New Roman" w:cs="Times New Roman"/>
              </w:rPr>
              <w:t>.</w:t>
            </w:r>
          </w:p>
        </w:tc>
        <w:tc>
          <w:tcPr>
            <w:tcW w:w="3974" w:type="dxa"/>
          </w:tcPr>
          <w:p w14:paraId="419273A3" w14:textId="216C1B1D"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Veikts</w:t>
            </w:r>
            <w:r w:rsidR="00C125D4">
              <w:rPr>
                <w:rFonts w:ascii="Times New Roman" w:eastAsia="Calibri" w:hAnsi="Times New Roman" w:cs="Times New Roman"/>
              </w:rPr>
              <w:t>.</w:t>
            </w:r>
          </w:p>
        </w:tc>
      </w:tr>
      <w:tr w:rsidR="009072CE" w:rsidRPr="00A07F29" w14:paraId="06116286" w14:textId="77777777" w:rsidTr="003B2D97">
        <w:trPr>
          <w:jc w:val="center"/>
        </w:trPr>
        <w:tc>
          <w:tcPr>
            <w:tcW w:w="583" w:type="dxa"/>
          </w:tcPr>
          <w:p w14:paraId="65973CD2" w14:textId="77777777" w:rsidR="009072CE" w:rsidRPr="00A07F29" w:rsidRDefault="009072CE" w:rsidP="009072CE">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56.</w:t>
            </w:r>
          </w:p>
        </w:tc>
        <w:tc>
          <w:tcPr>
            <w:tcW w:w="3402" w:type="dxa"/>
            <w:vAlign w:val="center"/>
          </w:tcPr>
          <w:p w14:paraId="76052997" w14:textId="77777777"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color w:val="000000"/>
                <w:lang w:eastAsia="lv-LV"/>
              </w:rPr>
              <w:t xml:space="preserve">Atpūtas vietas izveide </w:t>
            </w:r>
            <w:proofErr w:type="spellStart"/>
            <w:r w:rsidRPr="00A07F29">
              <w:rPr>
                <w:rFonts w:ascii="Times New Roman" w:eastAsia="Calibri" w:hAnsi="Times New Roman" w:cs="Times New Roman"/>
                <w:color w:val="000000"/>
                <w:lang w:eastAsia="lv-LV"/>
              </w:rPr>
              <w:t>Nitišos</w:t>
            </w:r>
            <w:proofErr w:type="spellEnd"/>
            <w:r w:rsidRPr="00A07F29">
              <w:rPr>
                <w:rFonts w:ascii="Times New Roman" w:eastAsia="Calibri" w:hAnsi="Times New Roman" w:cs="Times New Roman"/>
                <w:color w:val="000000"/>
                <w:lang w:eastAsia="lv-LV"/>
              </w:rPr>
              <w:t>, Naujenes pagastā</w:t>
            </w:r>
          </w:p>
        </w:tc>
        <w:tc>
          <w:tcPr>
            <w:tcW w:w="2127" w:type="dxa"/>
            <w:vAlign w:val="center"/>
          </w:tcPr>
          <w:p w14:paraId="3F1975E0" w14:textId="77777777" w:rsidR="009072CE" w:rsidRPr="00A07F29" w:rsidRDefault="009072CE" w:rsidP="00665A15">
            <w:pPr>
              <w:autoSpaceDE w:val="0"/>
              <w:autoSpaceDN w:val="0"/>
              <w:adjustRightInd w:val="0"/>
              <w:spacing w:after="0" w:line="240" w:lineRule="auto"/>
              <w:rPr>
                <w:rFonts w:ascii="Times New Roman" w:eastAsia="Calibri" w:hAnsi="Times New Roman" w:cs="Times New Roman"/>
              </w:rPr>
            </w:pPr>
            <w:r w:rsidRPr="00A07F29">
              <w:rPr>
                <w:rFonts w:ascii="Times New Roman" w:eastAsia="Calibri" w:hAnsi="Times New Roman" w:cs="Times New Roman"/>
              </w:rPr>
              <w:t>Pašvaldības</w:t>
            </w:r>
          </w:p>
        </w:tc>
        <w:tc>
          <w:tcPr>
            <w:tcW w:w="1538" w:type="dxa"/>
            <w:vAlign w:val="center"/>
          </w:tcPr>
          <w:p w14:paraId="4ECBDB21" w14:textId="77777777"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2010.</w:t>
            </w:r>
          </w:p>
        </w:tc>
        <w:tc>
          <w:tcPr>
            <w:tcW w:w="3098" w:type="dxa"/>
          </w:tcPr>
          <w:p w14:paraId="7DA26923" w14:textId="4B58E87F"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Veikts</w:t>
            </w:r>
            <w:r w:rsidR="00C125D4">
              <w:rPr>
                <w:rFonts w:ascii="Times New Roman" w:eastAsia="Calibri" w:hAnsi="Times New Roman" w:cs="Times New Roman"/>
              </w:rPr>
              <w:t>.</w:t>
            </w:r>
          </w:p>
        </w:tc>
        <w:tc>
          <w:tcPr>
            <w:tcW w:w="3974" w:type="dxa"/>
          </w:tcPr>
          <w:p w14:paraId="5AA84FFC" w14:textId="2CDC3C7C"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Nepieciešami uzlabojumi</w:t>
            </w:r>
            <w:r w:rsidR="00C125D4">
              <w:rPr>
                <w:rFonts w:ascii="Times New Roman" w:eastAsia="Calibri" w:hAnsi="Times New Roman" w:cs="Times New Roman"/>
              </w:rPr>
              <w:t>.</w:t>
            </w:r>
          </w:p>
        </w:tc>
      </w:tr>
      <w:tr w:rsidR="009072CE" w:rsidRPr="00A07F29" w14:paraId="20C233D0" w14:textId="77777777" w:rsidTr="003B2D97">
        <w:trPr>
          <w:jc w:val="center"/>
        </w:trPr>
        <w:tc>
          <w:tcPr>
            <w:tcW w:w="583" w:type="dxa"/>
          </w:tcPr>
          <w:p w14:paraId="63FD5857" w14:textId="77777777" w:rsidR="009072CE" w:rsidRPr="00A07F29" w:rsidRDefault="009072CE" w:rsidP="009072CE">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57.</w:t>
            </w:r>
          </w:p>
        </w:tc>
        <w:tc>
          <w:tcPr>
            <w:tcW w:w="3402" w:type="dxa"/>
          </w:tcPr>
          <w:p w14:paraId="0932DB26" w14:textId="77777777"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 xml:space="preserve">Apsaimniekotu </w:t>
            </w:r>
            <w:proofErr w:type="spellStart"/>
            <w:r w:rsidRPr="00A07F29">
              <w:rPr>
                <w:rFonts w:ascii="Times New Roman" w:eastAsia="Calibri" w:hAnsi="Times New Roman" w:cs="Times New Roman"/>
              </w:rPr>
              <w:t>ūdenstūristu</w:t>
            </w:r>
            <w:proofErr w:type="spellEnd"/>
            <w:r w:rsidRPr="00A07F29">
              <w:rPr>
                <w:rFonts w:ascii="Times New Roman" w:eastAsia="Calibri" w:hAnsi="Times New Roman" w:cs="Times New Roman"/>
              </w:rPr>
              <w:t xml:space="preserve"> apmetņu tīkla izveide Daugavas krastos. Potenciālās vietas: Krāslava, </w:t>
            </w:r>
            <w:proofErr w:type="spellStart"/>
            <w:r w:rsidRPr="00A07F29">
              <w:rPr>
                <w:rFonts w:ascii="Times New Roman" w:eastAsia="Calibri" w:hAnsi="Times New Roman" w:cs="Times New Roman"/>
              </w:rPr>
              <w:t>Skerškāni</w:t>
            </w:r>
            <w:proofErr w:type="spellEnd"/>
            <w:r w:rsidRPr="00A07F29">
              <w:rPr>
                <w:rFonts w:ascii="Times New Roman" w:eastAsia="Calibri" w:hAnsi="Times New Roman" w:cs="Times New Roman"/>
              </w:rPr>
              <w:t xml:space="preserve">, Prauliņi, </w:t>
            </w:r>
            <w:proofErr w:type="spellStart"/>
            <w:r w:rsidRPr="00A07F29">
              <w:rPr>
                <w:rFonts w:ascii="Times New Roman" w:eastAsia="Calibri" w:hAnsi="Times New Roman" w:cs="Times New Roman"/>
              </w:rPr>
              <w:t>Lielborne</w:t>
            </w:r>
            <w:proofErr w:type="spellEnd"/>
            <w:r w:rsidRPr="00A07F29">
              <w:rPr>
                <w:rFonts w:ascii="Times New Roman" w:eastAsia="Calibri" w:hAnsi="Times New Roman" w:cs="Times New Roman"/>
              </w:rPr>
              <w:t xml:space="preserve">, </w:t>
            </w:r>
            <w:proofErr w:type="spellStart"/>
            <w:r w:rsidRPr="00A07F29">
              <w:rPr>
                <w:rFonts w:ascii="Times New Roman" w:eastAsia="Calibri" w:hAnsi="Times New Roman" w:cs="Times New Roman"/>
              </w:rPr>
              <w:t>Slutišķi</w:t>
            </w:r>
            <w:proofErr w:type="spellEnd"/>
            <w:r w:rsidRPr="00A07F29">
              <w:rPr>
                <w:rFonts w:ascii="Times New Roman" w:eastAsia="Calibri" w:hAnsi="Times New Roman" w:cs="Times New Roman"/>
              </w:rPr>
              <w:t xml:space="preserve">, </w:t>
            </w:r>
            <w:proofErr w:type="spellStart"/>
            <w:r w:rsidRPr="00A07F29">
              <w:rPr>
                <w:rFonts w:ascii="Times New Roman" w:eastAsia="Calibri" w:hAnsi="Times New Roman" w:cs="Times New Roman"/>
              </w:rPr>
              <w:t>Diļeviči</w:t>
            </w:r>
            <w:proofErr w:type="spellEnd"/>
            <w:r w:rsidRPr="00A07F29">
              <w:rPr>
                <w:rFonts w:ascii="Times New Roman" w:eastAsia="Calibri" w:hAnsi="Times New Roman" w:cs="Times New Roman"/>
              </w:rPr>
              <w:t xml:space="preserve">, pie Naujenes pilskalna </w:t>
            </w:r>
          </w:p>
        </w:tc>
        <w:tc>
          <w:tcPr>
            <w:tcW w:w="2127" w:type="dxa"/>
          </w:tcPr>
          <w:p w14:paraId="7F0DF69A" w14:textId="77777777" w:rsidR="009072CE" w:rsidRPr="00A07F29" w:rsidRDefault="009072CE" w:rsidP="00665A15">
            <w:pPr>
              <w:autoSpaceDE w:val="0"/>
              <w:autoSpaceDN w:val="0"/>
              <w:adjustRightInd w:val="0"/>
              <w:spacing w:after="0" w:line="240" w:lineRule="auto"/>
              <w:rPr>
                <w:rFonts w:ascii="Times New Roman" w:eastAsia="Calibri" w:hAnsi="Times New Roman" w:cs="Times New Roman"/>
              </w:rPr>
            </w:pPr>
            <w:r w:rsidRPr="00A07F29">
              <w:rPr>
                <w:rFonts w:ascii="Times New Roman" w:eastAsia="Calibri" w:hAnsi="Times New Roman" w:cs="Times New Roman"/>
              </w:rPr>
              <w:t>Plānošanas reģiona attīstības aģentūra, pašvaldības sadarbībā ar vietējiem uzņēmējiem</w:t>
            </w:r>
          </w:p>
        </w:tc>
        <w:tc>
          <w:tcPr>
            <w:tcW w:w="1538" w:type="dxa"/>
          </w:tcPr>
          <w:p w14:paraId="55BA5BD1" w14:textId="61606D8F"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2010.</w:t>
            </w:r>
            <w:r w:rsidR="00F26F99">
              <w:rPr>
                <w:rFonts w:ascii="Times New Roman" w:eastAsia="Calibri" w:hAnsi="Times New Roman" w:cs="Times New Roman"/>
              </w:rPr>
              <w:t> – </w:t>
            </w:r>
            <w:r w:rsidRPr="00A07F29">
              <w:rPr>
                <w:rFonts w:ascii="Times New Roman" w:eastAsia="Calibri" w:hAnsi="Times New Roman" w:cs="Times New Roman"/>
              </w:rPr>
              <w:t xml:space="preserve">2022. </w:t>
            </w:r>
          </w:p>
        </w:tc>
        <w:tc>
          <w:tcPr>
            <w:tcW w:w="3098" w:type="dxa"/>
          </w:tcPr>
          <w:p w14:paraId="69615417" w14:textId="77777777"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 xml:space="preserve">Veikts daļēji, jo tikai dažas no vietām tiek apsaimniekotas. </w:t>
            </w:r>
          </w:p>
        </w:tc>
        <w:tc>
          <w:tcPr>
            <w:tcW w:w="3974" w:type="dxa"/>
          </w:tcPr>
          <w:p w14:paraId="55E3D729" w14:textId="4D3AF2F8"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 xml:space="preserve">Jāveic pasākuma aktualizēšana, jo šobrīd mainījušās </w:t>
            </w:r>
            <w:proofErr w:type="spellStart"/>
            <w:r w:rsidRPr="00A07F29">
              <w:rPr>
                <w:rFonts w:ascii="Times New Roman" w:eastAsia="Calibri" w:hAnsi="Times New Roman" w:cs="Times New Roman"/>
              </w:rPr>
              <w:t>ūdenstūristu</w:t>
            </w:r>
            <w:proofErr w:type="spellEnd"/>
            <w:r w:rsidRPr="00A07F29">
              <w:rPr>
                <w:rFonts w:ascii="Times New Roman" w:eastAsia="Calibri" w:hAnsi="Times New Roman" w:cs="Times New Roman"/>
              </w:rPr>
              <w:t xml:space="preserve"> prasības, kā arī uzņēmēju vēlmes un plāni. </w:t>
            </w:r>
          </w:p>
        </w:tc>
      </w:tr>
      <w:tr w:rsidR="009072CE" w:rsidRPr="00A07F29" w14:paraId="731C5F11" w14:textId="77777777" w:rsidTr="003B2D97">
        <w:trPr>
          <w:jc w:val="center"/>
        </w:trPr>
        <w:tc>
          <w:tcPr>
            <w:tcW w:w="583" w:type="dxa"/>
          </w:tcPr>
          <w:p w14:paraId="554A65F6" w14:textId="77777777" w:rsidR="009072CE" w:rsidRPr="00A07F29" w:rsidRDefault="009072CE" w:rsidP="009072CE">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58.</w:t>
            </w:r>
          </w:p>
        </w:tc>
        <w:tc>
          <w:tcPr>
            <w:tcW w:w="3402" w:type="dxa"/>
          </w:tcPr>
          <w:p w14:paraId="22367F70" w14:textId="6967CF8E"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bCs/>
              </w:rPr>
              <w:t xml:space="preserve">Esošā </w:t>
            </w:r>
            <w:proofErr w:type="spellStart"/>
            <w:r w:rsidRPr="00A07F29">
              <w:rPr>
                <w:rFonts w:ascii="Times New Roman" w:eastAsia="Calibri" w:hAnsi="Times New Roman" w:cs="Times New Roman"/>
                <w:bCs/>
              </w:rPr>
              <w:t>velomaršruta</w:t>
            </w:r>
            <w:proofErr w:type="spellEnd"/>
            <w:r w:rsidRPr="00A07F29">
              <w:rPr>
                <w:rFonts w:ascii="Times New Roman" w:eastAsia="Calibri" w:hAnsi="Times New Roman" w:cs="Times New Roman"/>
                <w:bCs/>
              </w:rPr>
              <w:t xml:space="preserve"> </w:t>
            </w:r>
            <w:r w:rsidR="00F26F99">
              <w:rPr>
                <w:rFonts w:ascii="Times New Roman" w:eastAsia="Calibri" w:hAnsi="Times New Roman" w:cs="Times New Roman"/>
                <w:bCs/>
              </w:rPr>
              <w:t>“</w:t>
            </w:r>
            <w:r w:rsidRPr="00A07F29">
              <w:rPr>
                <w:rFonts w:ascii="Times New Roman" w:eastAsia="Calibri" w:hAnsi="Times New Roman" w:cs="Times New Roman"/>
                <w:bCs/>
              </w:rPr>
              <w:t xml:space="preserve">Daugavas loki” marķējuma zīmju uzturēšana un atjaunošana un </w:t>
            </w:r>
            <w:proofErr w:type="spellStart"/>
            <w:r w:rsidRPr="00A07F29">
              <w:rPr>
                <w:rFonts w:ascii="Times New Roman" w:eastAsia="Calibri" w:hAnsi="Times New Roman" w:cs="Times New Roman"/>
                <w:bCs/>
              </w:rPr>
              <w:t>velomaršruta</w:t>
            </w:r>
            <w:proofErr w:type="spellEnd"/>
            <w:r w:rsidRPr="00A07F29">
              <w:rPr>
                <w:rFonts w:ascii="Times New Roman" w:eastAsia="Calibri" w:hAnsi="Times New Roman" w:cs="Times New Roman"/>
                <w:bCs/>
              </w:rPr>
              <w:t xml:space="preserve"> turpinājums Daugavas kreisajā krastā</w:t>
            </w:r>
          </w:p>
        </w:tc>
        <w:tc>
          <w:tcPr>
            <w:tcW w:w="2127" w:type="dxa"/>
          </w:tcPr>
          <w:p w14:paraId="1FC3A2D6" w14:textId="77777777" w:rsidR="009072CE" w:rsidRPr="00A07F29" w:rsidRDefault="009072CE" w:rsidP="00665A15">
            <w:pPr>
              <w:autoSpaceDE w:val="0"/>
              <w:autoSpaceDN w:val="0"/>
              <w:adjustRightInd w:val="0"/>
              <w:spacing w:after="0" w:line="240" w:lineRule="auto"/>
              <w:rPr>
                <w:rFonts w:ascii="Times New Roman" w:eastAsia="Calibri" w:hAnsi="Times New Roman" w:cs="Times New Roman"/>
              </w:rPr>
            </w:pPr>
            <w:r w:rsidRPr="00A07F29">
              <w:rPr>
                <w:rFonts w:ascii="Times New Roman" w:eastAsia="Calibri" w:hAnsi="Times New Roman" w:cs="Times New Roman"/>
              </w:rPr>
              <w:t>Plānošanas reģiona attīstības aģentūra, pašvaldības, TIC, sadarbībā ar vietējiem uzņēmējiem.</w:t>
            </w:r>
          </w:p>
        </w:tc>
        <w:tc>
          <w:tcPr>
            <w:tcW w:w="1538" w:type="dxa"/>
          </w:tcPr>
          <w:p w14:paraId="2F4AB998" w14:textId="1A1CD8D0"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2010.</w:t>
            </w:r>
            <w:r w:rsidR="00552BF8">
              <w:rPr>
                <w:rFonts w:ascii="Times New Roman" w:eastAsia="Calibri" w:hAnsi="Times New Roman" w:cs="Times New Roman"/>
              </w:rPr>
              <w:t> – </w:t>
            </w:r>
            <w:r w:rsidRPr="00A07F29">
              <w:rPr>
                <w:rFonts w:ascii="Times New Roman" w:eastAsia="Calibri" w:hAnsi="Times New Roman" w:cs="Times New Roman"/>
              </w:rPr>
              <w:t>2022.</w:t>
            </w:r>
          </w:p>
        </w:tc>
        <w:tc>
          <w:tcPr>
            <w:tcW w:w="3098" w:type="dxa"/>
          </w:tcPr>
          <w:p w14:paraId="60BECB7E" w14:textId="743849A4"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Veikts. Zīmes atjaunotas un maršruts pagarināts, izveidojot lokveida maršrutu 2018.</w:t>
            </w:r>
            <w:r w:rsidR="00552BF8">
              <w:rPr>
                <w:rFonts w:ascii="Times New Roman" w:eastAsia="Calibri" w:hAnsi="Times New Roman" w:cs="Times New Roman"/>
              </w:rPr>
              <w:t> </w:t>
            </w:r>
            <w:r w:rsidRPr="00A07F29">
              <w:rPr>
                <w:rFonts w:ascii="Times New Roman" w:eastAsia="Calibri" w:hAnsi="Times New Roman" w:cs="Times New Roman"/>
              </w:rPr>
              <w:t>gadā.</w:t>
            </w:r>
          </w:p>
        </w:tc>
        <w:tc>
          <w:tcPr>
            <w:tcW w:w="3974" w:type="dxa"/>
          </w:tcPr>
          <w:p w14:paraId="1291815C" w14:textId="2E6E206D"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Nepieciešama uzturēšana</w:t>
            </w:r>
            <w:r w:rsidR="00552BF8">
              <w:rPr>
                <w:rFonts w:ascii="Times New Roman" w:eastAsia="Calibri" w:hAnsi="Times New Roman" w:cs="Times New Roman"/>
              </w:rPr>
              <w:t>.</w:t>
            </w:r>
          </w:p>
        </w:tc>
      </w:tr>
      <w:tr w:rsidR="009072CE" w:rsidRPr="00A07F29" w14:paraId="24C0E738" w14:textId="77777777" w:rsidTr="003B2D97">
        <w:trPr>
          <w:jc w:val="center"/>
        </w:trPr>
        <w:tc>
          <w:tcPr>
            <w:tcW w:w="583" w:type="dxa"/>
          </w:tcPr>
          <w:p w14:paraId="2277F54E" w14:textId="77777777" w:rsidR="009072CE" w:rsidRPr="00A07F29" w:rsidRDefault="009072CE" w:rsidP="009072CE">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59.</w:t>
            </w:r>
          </w:p>
        </w:tc>
        <w:tc>
          <w:tcPr>
            <w:tcW w:w="3402" w:type="dxa"/>
          </w:tcPr>
          <w:p w14:paraId="6061ED72" w14:textId="20468D2F"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bCs/>
              </w:rPr>
              <w:t xml:space="preserve">Prāmja iekārtošana un satiksmes nodrošināšana starp </w:t>
            </w:r>
            <w:proofErr w:type="spellStart"/>
            <w:r w:rsidRPr="00A07F29">
              <w:rPr>
                <w:rFonts w:ascii="Times New Roman" w:eastAsia="Calibri" w:hAnsi="Times New Roman" w:cs="Times New Roman"/>
                <w:bCs/>
              </w:rPr>
              <w:t>Veckaplavu</w:t>
            </w:r>
            <w:proofErr w:type="spellEnd"/>
            <w:r w:rsidRPr="00A07F29">
              <w:rPr>
                <w:rFonts w:ascii="Times New Roman" w:eastAsia="Calibri" w:hAnsi="Times New Roman" w:cs="Times New Roman"/>
                <w:bCs/>
              </w:rPr>
              <w:t xml:space="preserve"> un </w:t>
            </w:r>
            <w:proofErr w:type="spellStart"/>
            <w:r w:rsidRPr="00A07F29">
              <w:rPr>
                <w:rFonts w:ascii="Times New Roman" w:eastAsia="Calibri" w:hAnsi="Times New Roman" w:cs="Times New Roman"/>
                <w:bCs/>
              </w:rPr>
              <w:t>Augustinišķiem</w:t>
            </w:r>
            <w:proofErr w:type="spellEnd"/>
          </w:p>
        </w:tc>
        <w:tc>
          <w:tcPr>
            <w:tcW w:w="2127" w:type="dxa"/>
          </w:tcPr>
          <w:p w14:paraId="27DF2806" w14:textId="77777777" w:rsidR="009072CE" w:rsidRPr="00A07F29" w:rsidRDefault="009072CE" w:rsidP="00665A15">
            <w:pPr>
              <w:autoSpaceDE w:val="0"/>
              <w:autoSpaceDN w:val="0"/>
              <w:adjustRightInd w:val="0"/>
              <w:spacing w:after="0" w:line="240" w:lineRule="auto"/>
              <w:rPr>
                <w:rFonts w:ascii="Times New Roman" w:eastAsia="Calibri" w:hAnsi="Times New Roman" w:cs="Times New Roman"/>
              </w:rPr>
            </w:pPr>
            <w:r w:rsidRPr="00A07F29">
              <w:rPr>
                <w:rFonts w:ascii="Times New Roman" w:eastAsia="Calibri" w:hAnsi="Times New Roman" w:cs="Times New Roman"/>
              </w:rPr>
              <w:t>pašvaldības, TIC, sadarbībā ar vietējiem uzņēmējiem.</w:t>
            </w:r>
          </w:p>
        </w:tc>
        <w:tc>
          <w:tcPr>
            <w:tcW w:w="1538" w:type="dxa"/>
          </w:tcPr>
          <w:p w14:paraId="370F4074" w14:textId="3B48C670"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2010.</w:t>
            </w:r>
            <w:r w:rsidR="00552BF8">
              <w:rPr>
                <w:rFonts w:ascii="Times New Roman" w:eastAsia="Calibri" w:hAnsi="Times New Roman" w:cs="Times New Roman"/>
              </w:rPr>
              <w:t> – </w:t>
            </w:r>
            <w:r w:rsidRPr="00A07F29">
              <w:rPr>
                <w:rFonts w:ascii="Times New Roman" w:eastAsia="Calibri" w:hAnsi="Times New Roman" w:cs="Times New Roman"/>
              </w:rPr>
              <w:t>2022.</w:t>
            </w:r>
          </w:p>
        </w:tc>
        <w:tc>
          <w:tcPr>
            <w:tcW w:w="3098" w:type="dxa"/>
          </w:tcPr>
          <w:p w14:paraId="5F28668C" w14:textId="71F1941F"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Nav veikts</w:t>
            </w:r>
            <w:r w:rsidR="00552BF8">
              <w:rPr>
                <w:rFonts w:ascii="Times New Roman" w:eastAsia="Calibri" w:hAnsi="Times New Roman" w:cs="Times New Roman"/>
              </w:rPr>
              <w:t>.</w:t>
            </w:r>
          </w:p>
        </w:tc>
        <w:tc>
          <w:tcPr>
            <w:tcW w:w="3974" w:type="dxa"/>
          </w:tcPr>
          <w:p w14:paraId="2BF302D8" w14:textId="4B9F95F6" w:rsidR="00010F6E" w:rsidRPr="00A07F29" w:rsidRDefault="00010F6E" w:rsidP="003B6433">
            <w:pPr>
              <w:spacing w:after="0" w:line="240" w:lineRule="auto"/>
              <w:rPr>
                <w:rFonts w:ascii="Times New Roman" w:eastAsia="Calibri" w:hAnsi="Times New Roman" w:cs="Times New Roman"/>
              </w:rPr>
            </w:pPr>
            <w:r w:rsidRPr="00A07F29">
              <w:rPr>
                <w:rFonts w:ascii="Times New Roman" w:eastAsia="Calibri" w:hAnsi="Times New Roman" w:cs="Times New Roman"/>
              </w:rPr>
              <w:t xml:space="preserve">Var </w:t>
            </w:r>
            <w:r w:rsidR="003B6433" w:rsidRPr="00A07F29">
              <w:rPr>
                <w:rFonts w:ascii="Times New Roman" w:eastAsia="Calibri" w:hAnsi="Times New Roman" w:cs="Times New Roman"/>
              </w:rPr>
              <w:t xml:space="preserve">iekļaut </w:t>
            </w:r>
            <w:r w:rsidRPr="00A07F29">
              <w:rPr>
                <w:rFonts w:ascii="Times New Roman" w:eastAsia="Calibri" w:hAnsi="Times New Roman" w:cs="Times New Roman"/>
              </w:rPr>
              <w:t>DA plān</w:t>
            </w:r>
            <w:r w:rsidR="003B6433" w:rsidRPr="00A07F29">
              <w:rPr>
                <w:rFonts w:ascii="Times New Roman" w:eastAsia="Calibri" w:hAnsi="Times New Roman" w:cs="Times New Roman"/>
              </w:rPr>
              <w:t>ā.</w:t>
            </w:r>
          </w:p>
        </w:tc>
      </w:tr>
      <w:tr w:rsidR="009072CE" w:rsidRPr="00A07F29" w14:paraId="51FA7657" w14:textId="77777777" w:rsidTr="003B2D97">
        <w:trPr>
          <w:jc w:val="center"/>
        </w:trPr>
        <w:tc>
          <w:tcPr>
            <w:tcW w:w="583" w:type="dxa"/>
          </w:tcPr>
          <w:p w14:paraId="17732584" w14:textId="77777777" w:rsidR="009072CE" w:rsidRPr="00A07F29" w:rsidRDefault="009072CE" w:rsidP="009072CE">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60.</w:t>
            </w:r>
          </w:p>
        </w:tc>
        <w:tc>
          <w:tcPr>
            <w:tcW w:w="3402" w:type="dxa"/>
          </w:tcPr>
          <w:p w14:paraId="3772E815" w14:textId="77777777" w:rsidR="009072CE" w:rsidRPr="00A07F29" w:rsidRDefault="009072CE" w:rsidP="00665A15">
            <w:pPr>
              <w:spacing w:after="0" w:line="240" w:lineRule="auto"/>
              <w:rPr>
                <w:rFonts w:ascii="Times New Roman" w:eastAsia="Calibri" w:hAnsi="Times New Roman" w:cs="Times New Roman"/>
              </w:rPr>
            </w:pPr>
            <w:proofErr w:type="spellStart"/>
            <w:r w:rsidRPr="00A07F29">
              <w:rPr>
                <w:rFonts w:ascii="Times New Roman" w:eastAsia="Calibri" w:hAnsi="Times New Roman" w:cs="Times New Roman"/>
              </w:rPr>
              <w:t>Ūdenstūrisma</w:t>
            </w:r>
            <w:proofErr w:type="spellEnd"/>
            <w:r w:rsidRPr="00A07F29">
              <w:rPr>
                <w:rFonts w:ascii="Times New Roman" w:eastAsia="Calibri" w:hAnsi="Times New Roman" w:cs="Times New Roman"/>
              </w:rPr>
              <w:t xml:space="preserve"> maršruta izveide </w:t>
            </w:r>
          </w:p>
        </w:tc>
        <w:tc>
          <w:tcPr>
            <w:tcW w:w="2127" w:type="dxa"/>
          </w:tcPr>
          <w:p w14:paraId="4E3E5122" w14:textId="77777777" w:rsidR="009072CE" w:rsidRPr="00A07F29" w:rsidRDefault="009072CE" w:rsidP="00665A15">
            <w:pPr>
              <w:autoSpaceDE w:val="0"/>
              <w:autoSpaceDN w:val="0"/>
              <w:adjustRightInd w:val="0"/>
              <w:spacing w:after="0" w:line="240" w:lineRule="auto"/>
              <w:rPr>
                <w:rFonts w:ascii="Times New Roman" w:eastAsia="Calibri" w:hAnsi="Times New Roman" w:cs="Times New Roman"/>
              </w:rPr>
            </w:pPr>
            <w:r w:rsidRPr="00A07F29">
              <w:rPr>
                <w:rFonts w:ascii="Times New Roman" w:eastAsia="Calibri" w:hAnsi="Times New Roman" w:cs="Times New Roman"/>
              </w:rPr>
              <w:t>pašvaldības, TIC, sadarbībā ar vietējiem uzņēmējiem.</w:t>
            </w:r>
          </w:p>
        </w:tc>
        <w:tc>
          <w:tcPr>
            <w:tcW w:w="1538" w:type="dxa"/>
          </w:tcPr>
          <w:p w14:paraId="47BB6795" w14:textId="5D208B94"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2010.</w:t>
            </w:r>
            <w:r w:rsidR="00552BF8">
              <w:rPr>
                <w:rFonts w:ascii="Times New Roman" w:eastAsia="Calibri" w:hAnsi="Times New Roman" w:cs="Times New Roman"/>
              </w:rPr>
              <w:t> – </w:t>
            </w:r>
            <w:r w:rsidRPr="00A07F29">
              <w:rPr>
                <w:rFonts w:ascii="Times New Roman" w:eastAsia="Calibri" w:hAnsi="Times New Roman" w:cs="Times New Roman"/>
              </w:rPr>
              <w:t>2022.</w:t>
            </w:r>
          </w:p>
        </w:tc>
        <w:tc>
          <w:tcPr>
            <w:tcW w:w="3098" w:type="dxa"/>
          </w:tcPr>
          <w:p w14:paraId="7B819DFC" w14:textId="086C27EF"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 xml:space="preserve">Veikts. Sagatavota </w:t>
            </w:r>
            <w:proofErr w:type="spellStart"/>
            <w:r w:rsidRPr="00A07F29">
              <w:rPr>
                <w:rFonts w:ascii="Times New Roman" w:eastAsia="Calibri" w:hAnsi="Times New Roman" w:cs="Times New Roman"/>
              </w:rPr>
              <w:t>ūdenstūrisma</w:t>
            </w:r>
            <w:proofErr w:type="spellEnd"/>
            <w:r w:rsidRPr="00A07F29">
              <w:rPr>
                <w:rFonts w:ascii="Times New Roman" w:eastAsia="Calibri" w:hAnsi="Times New Roman" w:cs="Times New Roman"/>
              </w:rPr>
              <w:t xml:space="preserve"> karte un maršruts “Augšdaugava”, 2018.</w:t>
            </w:r>
            <w:r w:rsidR="00552BF8">
              <w:rPr>
                <w:rFonts w:ascii="Times New Roman" w:eastAsia="Calibri" w:hAnsi="Times New Roman" w:cs="Times New Roman"/>
              </w:rPr>
              <w:t> </w:t>
            </w:r>
            <w:r w:rsidRPr="00A07F29">
              <w:rPr>
                <w:rFonts w:ascii="Times New Roman" w:eastAsia="Calibri" w:hAnsi="Times New Roman" w:cs="Times New Roman"/>
              </w:rPr>
              <w:t xml:space="preserve">gadā uzstādīti stendi </w:t>
            </w:r>
            <w:proofErr w:type="spellStart"/>
            <w:r w:rsidRPr="00A07F29">
              <w:rPr>
                <w:rFonts w:ascii="Times New Roman" w:eastAsia="Calibri" w:hAnsi="Times New Roman" w:cs="Times New Roman"/>
              </w:rPr>
              <w:t>ūdenstūristu</w:t>
            </w:r>
            <w:proofErr w:type="spellEnd"/>
            <w:r w:rsidRPr="00A07F29">
              <w:rPr>
                <w:rFonts w:ascii="Times New Roman" w:eastAsia="Calibri" w:hAnsi="Times New Roman" w:cs="Times New Roman"/>
              </w:rPr>
              <w:t xml:space="preserve"> piestāšanas vietās. </w:t>
            </w:r>
          </w:p>
        </w:tc>
        <w:tc>
          <w:tcPr>
            <w:tcW w:w="3974" w:type="dxa"/>
          </w:tcPr>
          <w:p w14:paraId="3696CB1A" w14:textId="5CB85AA0"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Veikts</w:t>
            </w:r>
            <w:r w:rsidR="00D74128">
              <w:rPr>
                <w:rFonts w:ascii="Times New Roman" w:eastAsia="Calibri" w:hAnsi="Times New Roman" w:cs="Times New Roman"/>
              </w:rPr>
              <w:t>.</w:t>
            </w:r>
          </w:p>
        </w:tc>
      </w:tr>
      <w:tr w:rsidR="009072CE" w:rsidRPr="00A07F29" w14:paraId="7F0BA1C3" w14:textId="77777777" w:rsidTr="003B2D97">
        <w:trPr>
          <w:jc w:val="center"/>
        </w:trPr>
        <w:tc>
          <w:tcPr>
            <w:tcW w:w="583" w:type="dxa"/>
          </w:tcPr>
          <w:p w14:paraId="109AD5E7" w14:textId="77777777" w:rsidR="009072CE" w:rsidRPr="00A07F29" w:rsidRDefault="009072CE" w:rsidP="009072CE">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61.</w:t>
            </w:r>
          </w:p>
        </w:tc>
        <w:tc>
          <w:tcPr>
            <w:tcW w:w="3402" w:type="dxa"/>
          </w:tcPr>
          <w:p w14:paraId="1F0CC0C8" w14:textId="77777777" w:rsidR="009072CE" w:rsidRPr="00A07F29" w:rsidRDefault="009072CE" w:rsidP="00665A15">
            <w:pPr>
              <w:spacing w:after="0" w:line="240" w:lineRule="auto"/>
              <w:rPr>
                <w:rFonts w:ascii="Times New Roman" w:eastAsia="Calibri" w:hAnsi="Times New Roman" w:cs="Times New Roman"/>
              </w:rPr>
            </w:pPr>
            <w:proofErr w:type="spellStart"/>
            <w:r w:rsidRPr="00A07F29">
              <w:rPr>
                <w:rFonts w:ascii="Times New Roman" w:eastAsia="Calibri" w:hAnsi="Times New Roman" w:cs="Times New Roman"/>
                <w:bCs/>
              </w:rPr>
              <w:t>Velomaršruta</w:t>
            </w:r>
            <w:proofErr w:type="spellEnd"/>
            <w:r w:rsidRPr="00A07F29">
              <w:rPr>
                <w:rFonts w:ascii="Times New Roman" w:eastAsia="Calibri" w:hAnsi="Times New Roman" w:cs="Times New Roman"/>
                <w:bCs/>
              </w:rPr>
              <w:t xml:space="preserve"> izveide </w:t>
            </w:r>
            <w:proofErr w:type="spellStart"/>
            <w:r w:rsidRPr="00A07F29">
              <w:rPr>
                <w:rFonts w:ascii="Times New Roman" w:eastAsia="Calibri" w:hAnsi="Times New Roman" w:cs="Times New Roman"/>
                <w:bCs/>
              </w:rPr>
              <w:t>Daugavsargu</w:t>
            </w:r>
            <w:proofErr w:type="spellEnd"/>
            <w:r w:rsidRPr="00A07F29">
              <w:rPr>
                <w:rFonts w:ascii="Times New Roman" w:eastAsia="Calibri" w:hAnsi="Times New Roman" w:cs="Times New Roman"/>
                <w:bCs/>
              </w:rPr>
              <w:t xml:space="preserve"> lokā, izvietojot norādes uz šosejas, maršruta garumā, nelielus informācijas stendus un uzlabojot ceļa segumu</w:t>
            </w:r>
          </w:p>
        </w:tc>
        <w:tc>
          <w:tcPr>
            <w:tcW w:w="2127" w:type="dxa"/>
          </w:tcPr>
          <w:p w14:paraId="474C8588" w14:textId="27799C12"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LVM</w:t>
            </w:r>
            <w:r w:rsidR="00D74128">
              <w:rPr>
                <w:rFonts w:ascii="Times New Roman" w:eastAsia="Calibri" w:hAnsi="Times New Roman" w:cs="Times New Roman"/>
              </w:rPr>
              <w:t>,</w:t>
            </w:r>
          </w:p>
          <w:p w14:paraId="5DAB9A2E" w14:textId="77777777" w:rsidR="009072CE" w:rsidRPr="00A07F29" w:rsidRDefault="009072CE" w:rsidP="00665A15">
            <w:pPr>
              <w:autoSpaceDE w:val="0"/>
              <w:autoSpaceDN w:val="0"/>
              <w:adjustRightInd w:val="0"/>
              <w:spacing w:after="0" w:line="240" w:lineRule="auto"/>
              <w:rPr>
                <w:rFonts w:ascii="Times New Roman" w:eastAsia="Calibri" w:hAnsi="Times New Roman" w:cs="Times New Roman"/>
              </w:rPr>
            </w:pPr>
            <w:r w:rsidRPr="00A07F29">
              <w:rPr>
                <w:rFonts w:ascii="Times New Roman" w:eastAsia="Calibri" w:hAnsi="Times New Roman" w:cs="Times New Roman"/>
              </w:rPr>
              <w:t>pašvaldības, TIC, sadarbībā ar vietējiem uzņēmējiem</w:t>
            </w:r>
          </w:p>
        </w:tc>
        <w:tc>
          <w:tcPr>
            <w:tcW w:w="1538" w:type="dxa"/>
          </w:tcPr>
          <w:p w14:paraId="1B46C682" w14:textId="05C63AEF"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2012.</w:t>
            </w:r>
            <w:r w:rsidR="00D74128">
              <w:rPr>
                <w:rFonts w:ascii="Times New Roman" w:eastAsia="Calibri" w:hAnsi="Times New Roman" w:cs="Times New Roman"/>
              </w:rPr>
              <w:t> – </w:t>
            </w:r>
            <w:r w:rsidRPr="00A07F29">
              <w:rPr>
                <w:rFonts w:ascii="Times New Roman" w:eastAsia="Calibri" w:hAnsi="Times New Roman" w:cs="Times New Roman"/>
              </w:rPr>
              <w:t>2016.</w:t>
            </w:r>
          </w:p>
        </w:tc>
        <w:tc>
          <w:tcPr>
            <w:tcW w:w="3098" w:type="dxa"/>
          </w:tcPr>
          <w:p w14:paraId="053A1D02" w14:textId="11AEB090"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Veikts, iekļaujot kopējā maršrutā “Daugavas loki”(Nr.</w:t>
            </w:r>
            <w:r w:rsidR="0078492E">
              <w:rPr>
                <w:rFonts w:ascii="Times New Roman" w:eastAsia="Calibri" w:hAnsi="Times New Roman" w:cs="Times New Roman"/>
              </w:rPr>
              <w:t> </w:t>
            </w:r>
            <w:r w:rsidRPr="00A07F29">
              <w:rPr>
                <w:rFonts w:ascii="Times New Roman" w:eastAsia="Calibri" w:hAnsi="Times New Roman" w:cs="Times New Roman"/>
              </w:rPr>
              <w:t>35)</w:t>
            </w:r>
            <w:r w:rsidR="007709A8">
              <w:rPr>
                <w:rFonts w:ascii="Times New Roman" w:eastAsia="Calibri" w:hAnsi="Times New Roman" w:cs="Times New Roman"/>
              </w:rPr>
              <w:t>.</w:t>
            </w:r>
          </w:p>
        </w:tc>
        <w:tc>
          <w:tcPr>
            <w:tcW w:w="3974" w:type="dxa"/>
          </w:tcPr>
          <w:p w14:paraId="2177768C" w14:textId="43615E29"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Iespējams papildināt ar stendiem</w:t>
            </w:r>
            <w:r w:rsidR="0078492E">
              <w:rPr>
                <w:rFonts w:ascii="Times New Roman" w:eastAsia="Calibri" w:hAnsi="Times New Roman" w:cs="Times New Roman"/>
              </w:rPr>
              <w:t>.</w:t>
            </w:r>
          </w:p>
        </w:tc>
      </w:tr>
      <w:tr w:rsidR="009072CE" w:rsidRPr="00A07F29" w14:paraId="295541D7" w14:textId="77777777" w:rsidTr="003B2D97">
        <w:trPr>
          <w:jc w:val="center"/>
        </w:trPr>
        <w:tc>
          <w:tcPr>
            <w:tcW w:w="583" w:type="dxa"/>
          </w:tcPr>
          <w:p w14:paraId="7C49ABEC" w14:textId="77777777" w:rsidR="009072CE" w:rsidRPr="00A07F29" w:rsidRDefault="009072CE" w:rsidP="009072CE">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62.</w:t>
            </w:r>
          </w:p>
        </w:tc>
        <w:tc>
          <w:tcPr>
            <w:tcW w:w="3402" w:type="dxa"/>
          </w:tcPr>
          <w:p w14:paraId="31558721" w14:textId="77777777"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bCs/>
              </w:rPr>
              <w:t xml:space="preserve">Esošo dabas taku infrastruktūras elementu atjaunošana un turpmāka </w:t>
            </w:r>
            <w:r w:rsidRPr="00A07F29">
              <w:rPr>
                <w:rFonts w:ascii="Times New Roman" w:eastAsia="Calibri" w:hAnsi="Times New Roman" w:cs="Times New Roman"/>
                <w:bCs/>
              </w:rPr>
              <w:lastRenderedPageBreak/>
              <w:t>apsaimniekošana (</w:t>
            </w:r>
            <w:r w:rsidRPr="00A07F29">
              <w:rPr>
                <w:rFonts w:ascii="Times New Roman" w:eastAsia="Calibri" w:hAnsi="Times New Roman" w:cs="Times New Roman"/>
              </w:rPr>
              <w:t xml:space="preserve">Adamovas dabas, </w:t>
            </w:r>
            <w:proofErr w:type="spellStart"/>
            <w:r w:rsidRPr="00A07F29">
              <w:rPr>
                <w:rFonts w:ascii="Times New Roman" w:eastAsia="Calibri" w:hAnsi="Times New Roman" w:cs="Times New Roman"/>
              </w:rPr>
              <w:t>Markovas</w:t>
            </w:r>
            <w:proofErr w:type="spellEnd"/>
            <w:r w:rsidRPr="00A07F29">
              <w:rPr>
                <w:rFonts w:ascii="Times New Roman" w:eastAsia="Calibri" w:hAnsi="Times New Roman" w:cs="Times New Roman"/>
              </w:rPr>
              <w:t xml:space="preserve"> izziņas un Dinaburgas pils taka)</w:t>
            </w:r>
          </w:p>
        </w:tc>
        <w:tc>
          <w:tcPr>
            <w:tcW w:w="2127" w:type="dxa"/>
          </w:tcPr>
          <w:p w14:paraId="392DC359" w14:textId="77777777" w:rsidR="009072CE" w:rsidRPr="00A07F29" w:rsidRDefault="009072CE" w:rsidP="00665A15">
            <w:pPr>
              <w:autoSpaceDE w:val="0"/>
              <w:autoSpaceDN w:val="0"/>
              <w:adjustRightInd w:val="0"/>
              <w:spacing w:after="0" w:line="240" w:lineRule="auto"/>
              <w:rPr>
                <w:rFonts w:ascii="Times New Roman" w:eastAsia="Calibri" w:hAnsi="Times New Roman" w:cs="Times New Roman"/>
              </w:rPr>
            </w:pPr>
            <w:r w:rsidRPr="00A07F29">
              <w:rPr>
                <w:rFonts w:ascii="Times New Roman" w:eastAsia="Calibri" w:hAnsi="Times New Roman" w:cs="Times New Roman"/>
              </w:rPr>
              <w:lastRenderedPageBreak/>
              <w:t xml:space="preserve">Pašvaldības sadarbībā ar šī brīža </w:t>
            </w:r>
            <w:r w:rsidRPr="00A07F29">
              <w:rPr>
                <w:rFonts w:ascii="Times New Roman" w:eastAsia="Calibri" w:hAnsi="Times New Roman" w:cs="Times New Roman"/>
              </w:rPr>
              <w:lastRenderedPageBreak/>
              <w:t xml:space="preserve">taku </w:t>
            </w:r>
            <w:proofErr w:type="spellStart"/>
            <w:r w:rsidRPr="00A07F29">
              <w:rPr>
                <w:rFonts w:ascii="Times New Roman" w:eastAsia="Calibri" w:hAnsi="Times New Roman" w:cs="Times New Roman"/>
              </w:rPr>
              <w:t>apsaimniekotājiem</w:t>
            </w:r>
            <w:proofErr w:type="spellEnd"/>
          </w:p>
        </w:tc>
        <w:tc>
          <w:tcPr>
            <w:tcW w:w="1538" w:type="dxa"/>
          </w:tcPr>
          <w:p w14:paraId="2BABF650" w14:textId="31659343"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lastRenderedPageBreak/>
              <w:t>2010.</w:t>
            </w:r>
            <w:r w:rsidR="0078492E">
              <w:rPr>
                <w:rFonts w:ascii="Times New Roman" w:eastAsia="Calibri" w:hAnsi="Times New Roman" w:cs="Times New Roman"/>
              </w:rPr>
              <w:t> – </w:t>
            </w:r>
            <w:r w:rsidRPr="00A07F29">
              <w:rPr>
                <w:rFonts w:ascii="Times New Roman" w:eastAsia="Calibri" w:hAnsi="Times New Roman" w:cs="Times New Roman"/>
              </w:rPr>
              <w:t>2022.</w:t>
            </w:r>
          </w:p>
        </w:tc>
        <w:tc>
          <w:tcPr>
            <w:tcW w:w="3098" w:type="dxa"/>
          </w:tcPr>
          <w:p w14:paraId="7F1531C0" w14:textId="4BE45571"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 xml:space="preserve">Veikts. Adamovas taka ir rekonstruēta, Dinaburgas pils </w:t>
            </w:r>
            <w:r w:rsidRPr="00A07F29">
              <w:rPr>
                <w:rFonts w:ascii="Times New Roman" w:eastAsia="Calibri" w:hAnsi="Times New Roman" w:cs="Times New Roman"/>
              </w:rPr>
              <w:lastRenderedPageBreak/>
              <w:t xml:space="preserve">taka tiek uzturēta kārtībā regulāri, </w:t>
            </w:r>
            <w:proofErr w:type="spellStart"/>
            <w:r w:rsidRPr="00A07F29">
              <w:rPr>
                <w:rFonts w:ascii="Times New Roman" w:eastAsia="Calibri" w:hAnsi="Times New Roman" w:cs="Times New Roman"/>
              </w:rPr>
              <w:t>Markovas</w:t>
            </w:r>
            <w:proofErr w:type="spellEnd"/>
            <w:r w:rsidRPr="00A07F29">
              <w:rPr>
                <w:rFonts w:ascii="Times New Roman" w:eastAsia="Calibri" w:hAnsi="Times New Roman" w:cs="Times New Roman"/>
              </w:rPr>
              <w:t xml:space="preserve"> takas rekonstrukcija uzsākta 2019.</w:t>
            </w:r>
            <w:r w:rsidR="004E7E50">
              <w:rPr>
                <w:rFonts w:ascii="Times New Roman" w:eastAsia="Calibri" w:hAnsi="Times New Roman" w:cs="Times New Roman"/>
              </w:rPr>
              <w:t> </w:t>
            </w:r>
            <w:r w:rsidRPr="00A07F29">
              <w:rPr>
                <w:rFonts w:ascii="Times New Roman" w:eastAsia="Calibri" w:hAnsi="Times New Roman" w:cs="Times New Roman"/>
              </w:rPr>
              <w:t>gada augustā</w:t>
            </w:r>
            <w:r w:rsidR="007709A8">
              <w:rPr>
                <w:rFonts w:ascii="Times New Roman" w:eastAsia="Calibri" w:hAnsi="Times New Roman" w:cs="Times New Roman"/>
              </w:rPr>
              <w:t>.</w:t>
            </w:r>
          </w:p>
        </w:tc>
        <w:tc>
          <w:tcPr>
            <w:tcW w:w="3974" w:type="dxa"/>
          </w:tcPr>
          <w:p w14:paraId="6B229905" w14:textId="24BFDFAE"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lastRenderedPageBreak/>
              <w:t>Nepieciešama uzturēšana</w:t>
            </w:r>
            <w:r w:rsidR="004E7E50">
              <w:rPr>
                <w:rFonts w:ascii="Times New Roman" w:eastAsia="Calibri" w:hAnsi="Times New Roman" w:cs="Times New Roman"/>
              </w:rPr>
              <w:t>.</w:t>
            </w:r>
          </w:p>
        </w:tc>
      </w:tr>
      <w:tr w:rsidR="009072CE" w:rsidRPr="00A07F29" w14:paraId="4E1485CE" w14:textId="77777777" w:rsidTr="003B2D97">
        <w:trPr>
          <w:jc w:val="center"/>
        </w:trPr>
        <w:tc>
          <w:tcPr>
            <w:tcW w:w="583" w:type="dxa"/>
          </w:tcPr>
          <w:p w14:paraId="46CB93AC" w14:textId="77777777" w:rsidR="009072CE" w:rsidRPr="00A07F29" w:rsidRDefault="009072CE" w:rsidP="009072CE">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63.</w:t>
            </w:r>
          </w:p>
        </w:tc>
        <w:tc>
          <w:tcPr>
            <w:tcW w:w="3402" w:type="dxa"/>
          </w:tcPr>
          <w:p w14:paraId="0AECFAAA" w14:textId="77777777"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bCs/>
              </w:rPr>
              <w:t>Jaunu lauku tūrisma atpūtas kompleksu izveide, īpaši Daugavas kreisajā krastā</w:t>
            </w:r>
          </w:p>
        </w:tc>
        <w:tc>
          <w:tcPr>
            <w:tcW w:w="2127" w:type="dxa"/>
          </w:tcPr>
          <w:p w14:paraId="405902AE" w14:textId="77777777" w:rsidR="009072CE" w:rsidRPr="00A07F29" w:rsidRDefault="009072CE" w:rsidP="00665A15">
            <w:pPr>
              <w:autoSpaceDE w:val="0"/>
              <w:autoSpaceDN w:val="0"/>
              <w:adjustRightInd w:val="0"/>
              <w:spacing w:after="0" w:line="240" w:lineRule="auto"/>
              <w:rPr>
                <w:rFonts w:ascii="Times New Roman" w:eastAsia="Calibri" w:hAnsi="Times New Roman" w:cs="Times New Roman"/>
              </w:rPr>
            </w:pPr>
            <w:r w:rsidRPr="00A07F29">
              <w:rPr>
                <w:rFonts w:ascii="Times New Roman" w:eastAsia="Calibri" w:hAnsi="Times New Roman" w:cs="Times New Roman"/>
              </w:rPr>
              <w:t>Uzņēmēji</w:t>
            </w:r>
          </w:p>
        </w:tc>
        <w:tc>
          <w:tcPr>
            <w:tcW w:w="1538" w:type="dxa"/>
          </w:tcPr>
          <w:p w14:paraId="31C8AC85" w14:textId="507988D7"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2010.</w:t>
            </w:r>
            <w:r w:rsidR="004E7E50">
              <w:rPr>
                <w:rFonts w:ascii="Times New Roman" w:eastAsia="Calibri" w:hAnsi="Times New Roman" w:cs="Times New Roman"/>
              </w:rPr>
              <w:t> – </w:t>
            </w:r>
            <w:r w:rsidRPr="00A07F29">
              <w:rPr>
                <w:rFonts w:ascii="Times New Roman" w:eastAsia="Calibri" w:hAnsi="Times New Roman" w:cs="Times New Roman"/>
              </w:rPr>
              <w:t>2022.</w:t>
            </w:r>
          </w:p>
        </w:tc>
        <w:tc>
          <w:tcPr>
            <w:tcW w:w="3098" w:type="dxa"/>
          </w:tcPr>
          <w:p w14:paraId="7A8F45F3" w14:textId="06B79539"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Notiek – Daugavas kreisajā krastā attīstās komplekss “</w:t>
            </w:r>
            <w:proofErr w:type="spellStart"/>
            <w:r w:rsidRPr="00A07F29">
              <w:rPr>
                <w:rFonts w:ascii="Times New Roman" w:eastAsia="Calibri" w:hAnsi="Times New Roman" w:cs="Times New Roman"/>
              </w:rPr>
              <w:t>Liebornes</w:t>
            </w:r>
            <w:proofErr w:type="spellEnd"/>
            <w:r w:rsidRPr="00A07F29">
              <w:rPr>
                <w:rFonts w:ascii="Times New Roman" w:eastAsia="Calibri" w:hAnsi="Times New Roman" w:cs="Times New Roman"/>
              </w:rPr>
              <w:t xml:space="preserve"> muiža” (Salienas pagasts), labajā krastā veidojas un tiek plānoti vairāki kempingi – “Upes </w:t>
            </w:r>
            <w:proofErr w:type="spellStart"/>
            <w:r w:rsidRPr="00A07F29">
              <w:rPr>
                <w:rFonts w:ascii="Times New Roman" w:eastAsia="Calibri" w:hAnsi="Times New Roman" w:cs="Times New Roman"/>
              </w:rPr>
              <w:t>dižvietas</w:t>
            </w:r>
            <w:proofErr w:type="spellEnd"/>
            <w:r w:rsidRPr="00A07F29">
              <w:rPr>
                <w:rFonts w:ascii="Times New Roman" w:eastAsia="Calibri" w:hAnsi="Times New Roman" w:cs="Times New Roman"/>
              </w:rPr>
              <w:t>”</w:t>
            </w:r>
            <w:r w:rsidR="007709A8">
              <w:rPr>
                <w:rFonts w:ascii="Times New Roman" w:eastAsia="Calibri" w:hAnsi="Times New Roman" w:cs="Times New Roman"/>
              </w:rPr>
              <w:t xml:space="preserve"> </w:t>
            </w:r>
            <w:r w:rsidRPr="00A07F29">
              <w:rPr>
                <w:rFonts w:ascii="Times New Roman" w:eastAsia="Calibri" w:hAnsi="Times New Roman" w:cs="Times New Roman"/>
              </w:rPr>
              <w:t>Ūdrīšu pagastā, “Krasti” Naujenes pagastā, ieplānoti divi jauni kempingi</w:t>
            </w:r>
            <w:r w:rsidR="007709A8">
              <w:rPr>
                <w:rFonts w:ascii="Times New Roman" w:eastAsia="Calibri" w:hAnsi="Times New Roman" w:cs="Times New Roman"/>
              </w:rPr>
              <w:t>.</w:t>
            </w:r>
          </w:p>
        </w:tc>
        <w:tc>
          <w:tcPr>
            <w:tcW w:w="3974" w:type="dxa"/>
          </w:tcPr>
          <w:p w14:paraId="657B8119" w14:textId="75B835FD"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Jāseko tūrisma radītajai slodzei</w:t>
            </w:r>
            <w:r w:rsidR="007709A8">
              <w:rPr>
                <w:rFonts w:ascii="Times New Roman" w:eastAsia="Calibri" w:hAnsi="Times New Roman" w:cs="Times New Roman"/>
              </w:rPr>
              <w:t>.</w:t>
            </w:r>
          </w:p>
        </w:tc>
      </w:tr>
      <w:tr w:rsidR="009072CE" w:rsidRPr="00A07F29" w14:paraId="68EF2EC4" w14:textId="77777777" w:rsidTr="003B2D97">
        <w:trPr>
          <w:jc w:val="center"/>
        </w:trPr>
        <w:tc>
          <w:tcPr>
            <w:tcW w:w="583" w:type="dxa"/>
          </w:tcPr>
          <w:p w14:paraId="045E14FE" w14:textId="77777777" w:rsidR="009072CE" w:rsidRPr="00A07F29" w:rsidRDefault="009072CE" w:rsidP="009072CE">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64.</w:t>
            </w:r>
          </w:p>
        </w:tc>
        <w:tc>
          <w:tcPr>
            <w:tcW w:w="3402" w:type="dxa"/>
          </w:tcPr>
          <w:p w14:paraId="28580FFE" w14:textId="72AE6FE6"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bCs/>
              </w:rPr>
              <w:t xml:space="preserve">Kājnieku </w:t>
            </w:r>
            <w:r w:rsidR="00106545">
              <w:rPr>
                <w:rFonts w:ascii="Times New Roman" w:eastAsia="Calibri" w:hAnsi="Times New Roman" w:cs="Times New Roman"/>
                <w:bCs/>
              </w:rPr>
              <w:t>–</w:t>
            </w:r>
            <w:r w:rsidRPr="00A07F29">
              <w:rPr>
                <w:rFonts w:ascii="Times New Roman" w:eastAsia="Calibri" w:hAnsi="Times New Roman" w:cs="Times New Roman"/>
                <w:bCs/>
              </w:rPr>
              <w:t xml:space="preserve"> </w:t>
            </w:r>
            <w:proofErr w:type="spellStart"/>
            <w:r w:rsidRPr="00A07F29">
              <w:rPr>
                <w:rFonts w:ascii="Times New Roman" w:eastAsia="Calibri" w:hAnsi="Times New Roman" w:cs="Times New Roman"/>
                <w:bCs/>
              </w:rPr>
              <w:t>nūjotāju</w:t>
            </w:r>
            <w:proofErr w:type="spellEnd"/>
            <w:r w:rsidRPr="00A07F29">
              <w:rPr>
                <w:rFonts w:ascii="Times New Roman" w:eastAsia="Calibri" w:hAnsi="Times New Roman" w:cs="Times New Roman"/>
                <w:bCs/>
              </w:rPr>
              <w:t xml:space="preserve"> tūrisma maršruta izveide</w:t>
            </w:r>
            <w:r w:rsidRPr="00A07F29">
              <w:rPr>
                <w:rFonts w:ascii="Times New Roman" w:eastAsia="Calibri" w:hAnsi="Times New Roman" w:cs="Times New Roman"/>
              </w:rPr>
              <w:t xml:space="preserve"> </w:t>
            </w:r>
            <w:r w:rsidR="00106545">
              <w:rPr>
                <w:rFonts w:ascii="Times New Roman" w:eastAsia="Calibri" w:hAnsi="Times New Roman" w:cs="Times New Roman"/>
              </w:rPr>
              <w:t>e</w:t>
            </w:r>
            <w:r w:rsidRPr="00A07F29">
              <w:rPr>
                <w:rFonts w:ascii="Times New Roman" w:eastAsia="Calibri" w:hAnsi="Times New Roman" w:cs="Times New Roman"/>
              </w:rPr>
              <w:t xml:space="preserve">sošā </w:t>
            </w:r>
            <w:proofErr w:type="spellStart"/>
            <w:r w:rsidRPr="00A07F29">
              <w:rPr>
                <w:rFonts w:ascii="Times New Roman" w:eastAsia="Calibri" w:hAnsi="Times New Roman" w:cs="Times New Roman"/>
              </w:rPr>
              <w:t>velomaršruta</w:t>
            </w:r>
            <w:proofErr w:type="spellEnd"/>
            <w:r w:rsidRPr="00A07F29">
              <w:rPr>
                <w:rFonts w:ascii="Times New Roman" w:eastAsia="Calibri" w:hAnsi="Times New Roman" w:cs="Times New Roman"/>
              </w:rPr>
              <w:t xml:space="preserve"> </w:t>
            </w:r>
            <w:r w:rsidR="00106545">
              <w:rPr>
                <w:rFonts w:ascii="Times New Roman" w:eastAsia="Calibri" w:hAnsi="Times New Roman" w:cs="Times New Roman"/>
              </w:rPr>
              <w:t>“</w:t>
            </w:r>
            <w:r w:rsidRPr="00A07F29">
              <w:rPr>
                <w:rFonts w:ascii="Times New Roman" w:eastAsia="Calibri" w:hAnsi="Times New Roman" w:cs="Times New Roman"/>
              </w:rPr>
              <w:t xml:space="preserve">Daugavas loki” </w:t>
            </w:r>
            <w:r w:rsidR="00106545">
              <w:rPr>
                <w:rFonts w:ascii="Times New Roman" w:eastAsia="Calibri" w:hAnsi="Times New Roman" w:cs="Times New Roman"/>
              </w:rPr>
              <w:t>“</w:t>
            </w:r>
            <w:r w:rsidRPr="00A07F29">
              <w:rPr>
                <w:rFonts w:ascii="Times New Roman" w:eastAsia="Calibri" w:hAnsi="Times New Roman" w:cs="Times New Roman"/>
              </w:rPr>
              <w:t xml:space="preserve">pielāgošana” kājnieku tūristu un </w:t>
            </w:r>
            <w:proofErr w:type="spellStart"/>
            <w:r w:rsidRPr="00A07F29">
              <w:rPr>
                <w:rFonts w:ascii="Times New Roman" w:eastAsia="Calibri" w:hAnsi="Times New Roman" w:cs="Times New Roman"/>
              </w:rPr>
              <w:t>nūjotāju</w:t>
            </w:r>
            <w:proofErr w:type="spellEnd"/>
            <w:r w:rsidRPr="00A07F29">
              <w:rPr>
                <w:rFonts w:ascii="Times New Roman" w:eastAsia="Calibri" w:hAnsi="Times New Roman" w:cs="Times New Roman"/>
              </w:rPr>
              <w:t xml:space="preserve"> vajadzībām, izveidojot atbilstošu marķējumu un informāciju</w:t>
            </w:r>
          </w:p>
        </w:tc>
        <w:tc>
          <w:tcPr>
            <w:tcW w:w="2127" w:type="dxa"/>
          </w:tcPr>
          <w:p w14:paraId="556A5432" w14:textId="77777777"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Pašvaldības, TIC, sadarbībā ar vietējiem uzņēmējiem</w:t>
            </w:r>
          </w:p>
          <w:p w14:paraId="6B2CE298" w14:textId="77777777" w:rsidR="009072CE" w:rsidRPr="00A07F29" w:rsidRDefault="009072CE" w:rsidP="00665A15">
            <w:pPr>
              <w:autoSpaceDE w:val="0"/>
              <w:autoSpaceDN w:val="0"/>
              <w:adjustRightInd w:val="0"/>
              <w:spacing w:after="0" w:line="240" w:lineRule="auto"/>
              <w:rPr>
                <w:rFonts w:ascii="Times New Roman" w:eastAsia="Calibri" w:hAnsi="Times New Roman" w:cs="Times New Roman"/>
              </w:rPr>
            </w:pPr>
          </w:p>
        </w:tc>
        <w:tc>
          <w:tcPr>
            <w:tcW w:w="1538" w:type="dxa"/>
          </w:tcPr>
          <w:p w14:paraId="33FDD8A8" w14:textId="44401ADC"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2010.</w:t>
            </w:r>
            <w:r w:rsidR="00BF1CC9">
              <w:rPr>
                <w:rFonts w:ascii="Times New Roman" w:eastAsia="Calibri" w:hAnsi="Times New Roman" w:cs="Times New Roman"/>
              </w:rPr>
              <w:t> – </w:t>
            </w:r>
            <w:r w:rsidRPr="00A07F29">
              <w:rPr>
                <w:rFonts w:ascii="Times New Roman" w:eastAsia="Calibri" w:hAnsi="Times New Roman" w:cs="Times New Roman"/>
              </w:rPr>
              <w:t xml:space="preserve">2014. </w:t>
            </w:r>
          </w:p>
        </w:tc>
        <w:tc>
          <w:tcPr>
            <w:tcW w:w="3098" w:type="dxa"/>
          </w:tcPr>
          <w:p w14:paraId="2C6D6D30" w14:textId="6A534FAC"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Nav veikts, bet veloceliņš Naujenes pagastā daļā maršruta ir piemērots kājāmgājējiem</w:t>
            </w:r>
            <w:r w:rsidR="00BF1CC9">
              <w:rPr>
                <w:rFonts w:ascii="Times New Roman" w:eastAsia="Calibri" w:hAnsi="Times New Roman" w:cs="Times New Roman"/>
              </w:rPr>
              <w:t>.</w:t>
            </w:r>
          </w:p>
        </w:tc>
        <w:tc>
          <w:tcPr>
            <w:tcW w:w="3974" w:type="dxa"/>
          </w:tcPr>
          <w:p w14:paraId="7D02A133" w14:textId="19246CF4"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Jāveic marķēšana</w:t>
            </w:r>
            <w:r w:rsidR="00BF1CC9">
              <w:rPr>
                <w:rFonts w:ascii="Times New Roman" w:eastAsia="Calibri" w:hAnsi="Times New Roman" w:cs="Times New Roman"/>
              </w:rPr>
              <w:t>.</w:t>
            </w:r>
          </w:p>
        </w:tc>
      </w:tr>
      <w:tr w:rsidR="009072CE" w:rsidRPr="00A07F29" w14:paraId="4E35643E" w14:textId="77777777" w:rsidTr="003B2D97">
        <w:trPr>
          <w:jc w:val="center"/>
        </w:trPr>
        <w:tc>
          <w:tcPr>
            <w:tcW w:w="583" w:type="dxa"/>
          </w:tcPr>
          <w:p w14:paraId="3AE1FE2E" w14:textId="77777777" w:rsidR="009072CE" w:rsidRPr="00A07F29" w:rsidRDefault="009072CE" w:rsidP="009072CE">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65.</w:t>
            </w:r>
          </w:p>
        </w:tc>
        <w:tc>
          <w:tcPr>
            <w:tcW w:w="3402" w:type="dxa"/>
          </w:tcPr>
          <w:p w14:paraId="0AE0F08C" w14:textId="77777777"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bCs/>
              </w:rPr>
              <w:t>Pārgājienu ar zirgiem maršrutu izveide un esošo uzturēšana.</w:t>
            </w:r>
            <w:r w:rsidRPr="00A07F29">
              <w:rPr>
                <w:rFonts w:ascii="Times New Roman" w:eastAsia="Calibri" w:hAnsi="Times New Roman" w:cs="Times New Roman"/>
              </w:rPr>
              <w:t xml:space="preserve"> Jauns maršruts no </w:t>
            </w:r>
            <w:proofErr w:type="spellStart"/>
            <w:r w:rsidRPr="00A07F29">
              <w:rPr>
                <w:rFonts w:ascii="Times New Roman" w:eastAsia="Calibri" w:hAnsi="Times New Roman" w:cs="Times New Roman"/>
              </w:rPr>
              <w:t>Juzefovas</w:t>
            </w:r>
            <w:proofErr w:type="spellEnd"/>
            <w:r w:rsidRPr="00A07F29">
              <w:rPr>
                <w:rFonts w:ascii="Times New Roman" w:eastAsia="Calibri" w:hAnsi="Times New Roman" w:cs="Times New Roman"/>
              </w:rPr>
              <w:t xml:space="preserve"> parka uz baznīcu</w:t>
            </w:r>
          </w:p>
        </w:tc>
        <w:tc>
          <w:tcPr>
            <w:tcW w:w="2127" w:type="dxa"/>
          </w:tcPr>
          <w:p w14:paraId="7278E96C" w14:textId="2FE973F1"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 xml:space="preserve">Krāslavas novads, sadarbībā ar Zirgu sētu </w:t>
            </w:r>
            <w:proofErr w:type="spellStart"/>
            <w:r w:rsidRPr="00A07F29">
              <w:rPr>
                <w:rFonts w:ascii="Times New Roman" w:eastAsia="Calibri" w:hAnsi="Times New Roman" w:cs="Times New Roman"/>
                <w:i/>
                <w:iCs/>
              </w:rPr>
              <w:t>Klajum</w:t>
            </w:r>
            <w:r w:rsidR="005707D2">
              <w:rPr>
                <w:rFonts w:ascii="Times New Roman" w:eastAsia="Calibri" w:hAnsi="Times New Roman" w:cs="Times New Roman"/>
                <w:i/>
                <w:iCs/>
              </w:rPr>
              <w:t>,</w:t>
            </w:r>
            <w:r w:rsidRPr="00A07F29">
              <w:rPr>
                <w:rFonts w:ascii="Times New Roman" w:eastAsia="Calibri" w:hAnsi="Times New Roman" w:cs="Times New Roman"/>
                <w:i/>
                <w:iCs/>
              </w:rPr>
              <w:t>i</w:t>
            </w:r>
            <w:proofErr w:type="spellEnd"/>
          </w:p>
          <w:p w14:paraId="43BFD45E" w14:textId="154D52C6" w:rsidR="009072CE" w:rsidRPr="00A07F29" w:rsidRDefault="009072CE" w:rsidP="00665A15">
            <w:pPr>
              <w:autoSpaceDE w:val="0"/>
              <w:autoSpaceDN w:val="0"/>
              <w:adjustRightInd w:val="0"/>
              <w:spacing w:after="0" w:line="240" w:lineRule="auto"/>
              <w:rPr>
                <w:rFonts w:ascii="Times New Roman" w:eastAsia="Calibri" w:hAnsi="Times New Roman" w:cs="Times New Roman"/>
              </w:rPr>
            </w:pPr>
            <w:r w:rsidRPr="00A07F29">
              <w:rPr>
                <w:rFonts w:ascii="Times New Roman" w:eastAsia="Calibri" w:hAnsi="Times New Roman" w:cs="Times New Roman"/>
              </w:rPr>
              <w:t>Daugavpils novads</w:t>
            </w:r>
          </w:p>
        </w:tc>
        <w:tc>
          <w:tcPr>
            <w:tcW w:w="1538" w:type="dxa"/>
          </w:tcPr>
          <w:p w14:paraId="3142E108" w14:textId="44CFBA77"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2010.</w:t>
            </w:r>
            <w:r w:rsidR="005707D2">
              <w:rPr>
                <w:rFonts w:ascii="Times New Roman" w:eastAsia="Calibri" w:hAnsi="Times New Roman" w:cs="Times New Roman"/>
              </w:rPr>
              <w:t> – </w:t>
            </w:r>
            <w:r w:rsidRPr="00A07F29">
              <w:rPr>
                <w:rFonts w:ascii="Times New Roman" w:eastAsia="Calibri" w:hAnsi="Times New Roman" w:cs="Times New Roman"/>
              </w:rPr>
              <w:t>2022</w:t>
            </w:r>
            <w:r w:rsidR="005707D2">
              <w:rPr>
                <w:rFonts w:ascii="Times New Roman" w:eastAsia="Calibri" w:hAnsi="Times New Roman" w:cs="Times New Roman"/>
              </w:rPr>
              <w:t>.</w:t>
            </w:r>
          </w:p>
        </w:tc>
        <w:tc>
          <w:tcPr>
            <w:tcW w:w="3098" w:type="dxa"/>
          </w:tcPr>
          <w:p w14:paraId="6DBFC34D" w14:textId="77777777"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 xml:space="preserve">Zirgu sēta “Klajumi” turpina izmantot maršrutus. </w:t>
            </w:r>
          </w:p>
        </w:tc>
        <w:tc>
          <w:tcPr>
            <w:tcW w:w="3974" w:type="dxa"/>
          </w:tcPr>
          <w:p w14:paraId="70B4412E" w14:textId="77777777"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 xml:space="preserve">Maršruts no </w:t>
            </w:r>
            <w:proofErr w:type="spellStart"/>
            <w:r w:rsidRPr="00A07F29">
              <w:rPr>
                <w:rFonts w:ascii="Times New Roman" w:eastAsia="Calibri" w:hAnsi="Times New Roman" w:cs="Times New Roman"/>
              </w:rPr>
              <w:t>Juzefovas</w:t>
            </w:r>
            <w:proofErr w:type="spellEnd"/>
            <w:r w:rsidRPr="00A07F29">
              <w:rPr>
                <w:rFonts w:ascii="Times New Roman" w:eastAsia="Calibri" w:hAnsi="Times New Roman" w:cs="Times New Roman"/>
              </w:rPr>
              <w:t xml:space="preserve"> parka uz baznīcu nav aktuāls, jo nav bijusi interese par tā izveidi.</w:t>
            </w:r>
          </w:p>
        </w:tc>
      </w:tr>
      <w:tr w:rsidR="009072CE" w:rsidRPr="00A07F29" w14:paraId="2281FCF2" w14:textId="77777777" w:rsidTr="003B2D97">
        <w:trPr>
          <w:jc w:val="center"/>
        </w:trPr>
        <w:tc>
          <w:tcPr>
            <w:tcW w:w="583" w:type="dxa"/>
          </w:tcPr>
          <w:p w14:paraId="715372F7" w14:textId="77777777" w:rsidR="009072CE" w:rsidRPr="00A07F29" w:rsidRDefault="009072CE" w:rsidP="009072CE">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66.</w:t>
            </w:r>
          </w:p>
        </w:tc>
        <w:tc>
          <w:tcPr>
            <w:tcW w:w="3402" w:type="dxa"/>
          </w:tcPr>
          <w:p w14:paraId="296E62C5" w14:textId="77777777"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bCs/>
              </w:rPr>
              <w:t>Skatu torņa izbūve Daugavas ielejas kreisajā krastā pie Lodēm vai Vītiņu apkārtnē</w:t>
            </w:r>
            <w:r w:rsidRPr="00A07F29">
              <w:rPr>
                <w:rFonts w:ascii="Times New Roman" w:eastAsia="Calibri" w:hAnsi="Times New Roman" w:cs="Times New Roman"/>
              </w:rPr>
              <w:t xml:space="preserve"> </w:t>
            </w:r>
          </w:p>
        </w:tc>
        <w:tc>
          <w:tcPr>
            <w:tcW w:w="2127" w:type="dxa"/>
          </w:tcPr>
          <w:p w14:paraId="0ACFEEEB" w14:textId="77777777" w:rsidR="009072CE" w:rsidRPr="00A07F29" w:rsidRDefault="009072CE" w:rsidP="00665A15">
            <w:pPr>
              <w:autoSpaceDE w:val="0"/>
              <w:autoSpaceDN w:val="0"/>
              <w:adjustRightInd w:val="0"/>
              <w:spacing w:after="0" w:line="240" w:lineRule="auto"/>
              <w:rPr>
                <w:rFonts w:ascii="Times New Roman" w:eastAsia="Calibri" w:hAnsi="Times New Roman" w:cs="Times New Roman"/>
              </w:rPr>
            </w:pPr>
            <w:r w:rsidRPr="00A07F29">
              <w:rPr>
                <w:rFonts w:ascii="Times New Roman" w:eastAsia="Calibri" w:hAnsi="Times New Roman" w:cs="Times New Roman"/>
              </w:rPr>
              <w:t>Pašvaldības, plānošanas reģiona attīstības aģentūra</w:t>
            </w:r>
          </w:p>
        </w:tc>
        <w:tc>
          <w:tcPr>
            <w:tcW w:w="1538" w:type="dxa"/>
          </w:tcPr>
          <w:p w14:paraId="660D6E8F" w14:textId="78052265"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2011.</w:t>
            </w:r>
            <w:r w:rsidR="005707D2">
              <w:rPr>
                <w:rFonts w:ascii="Times New Roman" w:eastAsia="Calibri" w:hAnsi="Times New Roman" w:cs="Times New Roman"/>
              </w:rPr>
              <w:t> – </w:t>
            </w:r>
            <w:r w:rsidRPr="00A07F29">
              <w:rPr>
                <w:rFonts w:ascii="Times New Roman" w:eastAsia="Calibri" w:hAnsi="Times New Roman" w:cs="Times New Roman"/>
              </w:rPr>
              <w:t>2015.</w:t>
            </w:r>
          </w:p>
        </w:tc>
        <w:tc>
          <w:tcPr>
            <w:tcW w:w="3098" w:type="dxa"/>
          </w:tcPr>
          <w:p w14:paraId="2C573ED7" w14:textId="3BAA2C08" w:rsidR="009072CE" w:rsidRPr="00A07F29" w:rsidRDefault="729E1729"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Izbūvēts un darbojas (DAP K</w:t>
            </w:r>
            <w:r w:rsidR="00C25036">
              <w:rPr>
                <w:rFonts w:ascii="Times New Roman" w:eastAsia="Calibri" w:hAnsi="Times New Roman" w:cs="Times New Roman"/>
              </w:rPr>
              <w:t>ohēzijas fonda</w:t>
            </w:r>
            <w:r w:rsidRPr="00A07F29">
              <w:rPr>
                <w:rFonts w:ascii="Times New Roman" w:eastAsia="Calibri" w:hAnsi="Times New Roman" w:cs="Times New Roman"/>
              </w:rPr>
              <w:t xml:space="preserve"> projekts), nedaudz precizēta vieta</w:t>
            </w:r>
            <w:r w:rsidR="007B2216">
              <w:rPr>
                <w:rFonts w:ascii="Times New Roman" w:eastAsia="Calibri" w:hAnsi="Times New Roman" w:cs="Times New Roman"/>
              </w:rPr>
              <w:t>.</w:t>
            </w:r>
          </w:p>
        </w:tc>
        <w:tc>
          <w:tcPr>
            <w:tcW w:w="3974" w:type="dxa"/>
          </w:tcPr>
          <w:p w14:paraId="2A127E3F" w14:textId="1C32DD41"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Veikts</w:t>
            </w:r>
            <w:r w:rsidR="007B2216">
              <w:rPr>
                <w:rFonts w:ascii="Times New Roman" w:eastAsia="Calibri" w:hAnsi="Times New Roman" w:cs="Times New Roman"/>
              </w:rPr>
              <w:t>.</w:t>
            </w:r>
          </w:p>
        </w:tc>
      </w:tr>
      <w:tr w:rsidR="009072CE" w:rsidRPr="00A07F29" w14:paraId="5F3781AE" w14:textId="77777777" w:rsidTr="003B2D97">
        <w:trPr>
          <w:jc w:val="center"/>
        </w:trPr>
        <w:tc>
          <w:tcPr>
            <w:tcW w:w="583" w:type="dxa"/>
          </w:tcPr>
          <w:p w14:paraId="6FD1A362" w14:textId="77777777" w:rsidR="009072CE" w:rsidRPr="00A07F29" w:rsidRDefault="009072CE" w:rsidP="009072CE">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67.</w:t>
            </w:r>
          </w:p>
        </w:tc>
        <w:tc>
          <w:tcPr>
            <w:tcW w:w="3402" w:type="dxa"/>
          </w:tcPr>
          <w:p w14:paraId="5875CDC7" w14:textId="0952239C"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bCs/>
              </w:rPr>
              <w:t xml:space="preserve">Norādes zīmju sagatavošana un izvietošana uz nozīmīgākajiem </w:t>
            </w:r>
            <w:r w:rsidR="00BF0E06" w:rsidRPr="00A07F29">
              <w:rPr>
                <w:rFonts w:ascii="Times New Roman" w:eastAsia="Calibri" w:hAnsi="Times New Roman" w:cs="Times New Roman"/>
                <w:bCs/>
              </w:rPr>
              <w:t>DP</w:t>
            </w:r>
            <w:r w:rsidRPr="00A07F29">
              <w:rPr>
                <w:rFonts w:ascii="Times New Roman" w:eastAsia="Calibri" w:hAnsi="Times New Roman" w:cs="Times New Roman"/>
                <w:bCs/>
              </w:rPr>
              <w:t xml:space="preserve"> tūrisma objektiem,</w:t>
            </w:r>
            <w:r w:rsidRPr="00A07F29">
              <w:rPr>
                <w:rFonts w:ascii="Times New Roman" w:eastAsia="Calibri" w:hAnsi="Times New Roman" w:cs="Times New Roman"/>
              </w:rPr>
              <w:t xml:space="preserve"> kuriem nav šādas zīmes</w:t>
            </w:r>
          </w:p>
        </w:tc>
        <w:tc>
          <w:tcPr>
            <w:tcW w:w="2127" w:type="dxa"/>
          </w:tcPr>
          <w:p w14:paraId="3A6429C7" w14:textId="77777777" w:rsidR="009072CE" w:rsidRPr="00A07F29" w:rsidRDefault="009072CE" w:rsidP="00665A15">
            <w:pPr>
              <w:autoSpaceDE w:val="0"/>
              <w:autoSpaceDN w:val="0"/>
              <w:adjustRightInd w:val="0"/>
              <w:spacing w:after="0" w:line="240" w:lineRule="auto"/>
              <w:rPr>
                <w:rFonts w:ascii="Times New Roman" w:eastAsia="Calibri" w:hAnsi="Times New Roman" w:cs="Times New Roman"/>
              </w:rPr>
            </w:pPr>
            <w:r w:rsidRPr="00A07F29">
              <w:rPr>
                <w:rFonts w:ascii="Times New Roman" w:eastAsia="Calibri" w:hAnsi="Times New Roman" w:cs="Times New Roman"/>
              </w:rPr>
              <w:t>pašvaldības, plānošanas reģiona attīstības aģentūra</w:t>
            </w:r>
          </w:p>
        </w:tc>
        <w:tc>
          <w:tcPr>
            <w:tcW w:w="1538" w:type="dxa"/>
          </w:tcPr>
          <w:p w14:paraId="2FA39302" w14:textId="476E5698"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2010.</w:t>
            </w:r>
            <w:r w:rsidR="00EF5EAE">
              <w:rPr>
                <w:rFonts w:ascii="Times New Roman" w:eastAsia="Calibri" w:hAnsi="Times New Roman" w:cs="Times New Roman"/>
              </w:rPr>
              <w:t> </w:t>
            </w:r>
            <w:r w:rsidRPr="00A07F29">
              <w:rPr>
                <w:rFonts w:ascii="Times New Roman" w:eastAsia="Calibri" w:hAnsi="Times New Roman" w:cs="Times New Roman"/>
              </w:rPr>
              <w:t>–</w:t>
            </w:r>
            <w:r w:rsidR="00EF5EAE">
              <w:rPr>
                <w:rFonts w:ascii="Times New Roman" w:eastAsia="Calibri" w:hAnsi="Times New Roman" w:cs="Times New Roman"/>
              </w:rPr>
              <w:t> </w:t>
            </w:r>
            <w:r w:rsidRPr="00A07F29">
              <w:rPr>
                <w:rFonts w:ascii="Times New Roman" w:eastAsia="Calibri" w:hAnsi="Times New Roman" w:cs="Times New Roman"/>
              </w:rPr>
              <w:t xml:space="preserve">2012. </w:t>
            </w:r>
          </w:p>
          <w:p w14:paraId="314B73CB" w14:textId="77777777" w:rsidR="009072CE" w:rsidRPr="00A07F29" w:rsidRDefault="009072CE" w:rsidP="00665A15">
            <w:pPr>
              <w:spacing w:after="0" w:line="240" w:lineRule="auto"/>
              <w:rPr>
                <w:rFonts w:ascii="Times New Roman" w:eastAsia="Calibri" w:hAnsi="Times New Roman" w:cs="Times New Roman"/>
              </w:rPr>
            </w:pPr>
          </w:p>
        </w:tc>
        <w:tc>
          <w:tcPr>
            <w:tcW w:w="3098" w:type="dxa"/>
          </w:tcPr>
          <w:p w14:paraId="36A5F1D6" w14:textId="6EFCD22B"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Lielākai daļai nozīmīgo objektu zīmes uzstādītas</w:t>
            </w:r>
            <w:r w:rsidR="00EF5EAE">
              <w:rPr>
                <w:rFonts w:ascii="Times New Roman" w:eastAsia="Calibri" w:hAnsi="Times New Roman" w:cs="Times New Roman"/>
              </w:rPr>
              <w:t>.</w:t>
            </w:r>
          </w:p>
        </w:tc>
        <w:tc>
          <w:tcPr>
            <w:tcW w:w="3974" w:type="dxa"/>
          </w:tcPr>
          <w:p w14:paraId="173B7656" w14:textId="5D300C15" w:rsidR="009072CE" w:rsidRPr="00A07F29" w:rsidRDefault="00E645D2"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Nepieciešamas vēl atsevišķas norādes.</w:t>
            </w:r>
          </w:p>
        </w:tc>
      </w:tr>
      <w:tr w:rsidR="009072CE" w:rsidRPr="00A07F29" w14:paraId="7DF23D0D" w14:textId="77777777" w:rsidTr="003B2D97">
        <w:trPr>
          <w:jc w:val="center"/>
        </w:trPr>
        <w:tc>
          <w:tcPr>
            <w:tcW w:w="583" w:type="dxa"/>
          </w:tcPr>
          <w:p w14:paraId="6F76D224" w14:textId="77777777" w:rsidR="009072CE" w:rsidRPr="00A07F29" w:rsidRDefault="009072CE" w:rsidP="009072CE">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68.</w:t>
            </w:r>
          </w:p>
        </w:tc>
        <w:tc>
          <w:tcPr>
            <w:tcW w:w="3402" w:type="dxa"/>
          </w:tcPr>
          <w:p w14:paraId="3C68986E" w14:textId="54A412D9" w:rsidR="009072CE" w:rsidRPr="00A07F29" w:rsidRDefault="00BF0E06" w:rsidP="00665A15">
            <w:pPr>
              <w:spacing w:after="0" w:line="240" w:lineRule="auto"/>
              <w:rPr>
                <w:rFonts w:ascii="Times New Roman" w:eastAsia="Calibri" w:hAnsi="Times New Roman" w:cs="Times New Roman"/>
              </w:rPr>
            </w:pPr>
            <w:r w:rsidRPr="00A07F29">
              <w:rPr>
                <w:rFonts w:ascii="Times New Roman" w:eastAsia="Calibri" w:hAnsi="Times New Roman" w:cs="Times New Roman"/>
                <w:bCs/>
              </w:rPr>
              <w:t>DP</w:t>
            </w:r>
            <w:r w:rsidR="009072CE" w:rsidRPr="00A07F29">
              <w:rPr>
                <w:rFonts w:ascii="Times New Roman" w:eastAsia="Calibri" w:hAnsi="Times New Roman" w:cs="Times New Roman"/>
                <w:bCs/>
              </w:rPr>
              <w:t xml:space="preserve"> </w:t>
            </w:r>
            <w:r w:rsidR="00EF5EAE">
              <w:rPr>
                <w:rFonts w:ascii="Times New Roman" w:eastAsia="Calibri" w:hAnsi="Times New Roman" w:cs="Times New Roman"/>
                <w:bCs/>
              </w:rPr>
              <w:t>“</w:t>
            </w:r>
            <w:r w:rsidR="009072CE" w:rsidRPr="00A07F29">
              <w:rPr>
                <w:rFonts w:ascii="Times New Roman" w:eastAsia="Calibri" w:hAnsi="Times New Roman" w:cs="Times New Roman"/>
                <w:bCs/>
              </w:rPr>
              <w:t xml:space="preserve">Daugavas loki” apmeklētāju centra izveide </w:t>
            </w:r>
            <w:proofErr w:type="spellStart"/>
            <w:r w:rsidR="009072CE" w:rsidRPr="00A07F29">
              <w:rPr>
                <w:rFonts w:ascii="Times New Roman" w:eastAsia="Calibri" w:hAnsi="Times New Roman" w:cs="Times New Roman"/>
                <w:bCs/>
              </w:rPr>
              <w:t>Slutišķos</w:t>
            </w:r>
            <w:proofErr w:type="spellEnd"/>
            <w:r w:rsidR="009072CE" w:rsidRPr="00A07F29">
              <w:rPr>
                <w:rFonts w:ascii="Times New Roman" w:eastAsia="Calibri" w:hAnsi="Times New Roman" w:cs="Times New Roman"/>
              </w:rPr>
              <w:t xml:space="preserve"> </w:t>
            </w:r>
          </w:p>
        </w:tc>
        <w:tc>
          <w:tcPr>
            <w:tcW w:w="2127" w:type="dxa"/>
          </w:tcPr>
          <w:p w14:paraId="13AC766D" w14:textId="2F588CDA" w:rsidR="009072CE" w:rsidRPr="00A07F29" w:rsidRDefault="009072CE" w:rsidP="00665A15">
            <w:pPr>
              <w:autoSpaceDE w:val="0"/>
              <w:autoSpaceDN w:val="0"/>
              <w:adjustRightInd w:val="0"/>
              <w:spacing w:after="0" w:line="240" w:lineRule="auto"/>
              <w:rPr>
                <w:rFonts w:ascii="Times New Roman" w:eastAsia="Calibri" w:hAnsi="Times New Roman" w:cs="Times New Roman"/>
              </w:rPr>
            </w:pPr>
            <w:r w:rsidRPr="00A07F29">
              <w:rPr>
                <w:rFonts w:ascii="Times New Roman" w:eastAsia="Calibri" w:hAnsi="Times New Roman" w:cs="Times New Roman"/>
              </w:rPr>
              <w:t xml:space="preserve">Plānošanas reģiona attīstības aģentūra sadarbībā ar </w:t>
            </w:r>
            <w:r w:rsidRPr="00A07F29">
              <w:rPr>
                <w:rFonts w:ascii="Times New Roman" w:eastAsia="Calibri" w:hAnsi="Times New Roman" w:cs="Times New Roman"/>
              </w:rPr>
              <w:lastRenderedPageBreak/>
              <w:t xml:space="preserve">pašvaldību, </w:t>
            </w:r>
            <w:r w:rsidR="0003144C" w:rsidRPr="0003144C">
              <w:rPr>
                <w:rFonts w:ascii="Times New Roman" w:eastAsia="Calibri" w:hAnsi="Times New Roman" w:cs="Times New Roman"/>
              </w:rPr>
              <w:t>DAP</w:t>
            </w:r>
            <w:r w:rsidRPr="00A07F29">
              <w:rPr>
                <w:rFonts w:ascii="Times New Roman" w:eastAsia="Calibri" w:hAnsi="Times New Roman" w:cs="Times New Roman"/>
              </w:rPr>
              <w:t xml:space="preserve"> u.c. institūcijām</w:t>
            </w:r>
          </w:p>
        </w:tc>
        <w:tc>
          <w:tcPr>
            <w:tcW w:w="1538" w:type="dxa"/>
          </w:tcPr>
          <w:p w14:paraId="5A47EB7E" w14:textId="4E8BE4B9"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lastRenderedPageBreak/>
              <w:t>2013.</w:t>
            </w:r>
            <w:r w:rsidR="00EF5EAE">
              <w:rPr>
                <w:rFonts w:ascii="Times New Roman" w:eastAsia="Calibri" w:hAnsi="Times New Roman" w:cs="Times New Roman"/>
              </w:rPr>
              <w:t> – </w:t>
            </w:r>
            <w:r w:rsidRPr="00A07F29">
              <w:rPr>
                <w:rFonts w:ascii="Times New Roman" w:eastAsia="Calibri" w:hAnsi="Times New Roman" w:cs="Times New Roman"/>
              </w:rPr>
              <w:t xml:space="preserve">2022. </w:t>
            </w:r>
          </w:p>
          <w:p w14:paraId="14222DF2" w14:textId="77777777" w:rsidR="009072CE" w:rsidRPr="00A07F29" w:rsidRDefault="009072CE" w:rsidP="00665A15">
            <w:pPr>
              <w:spacing w:after="0" w:line="240" w:lineRule="auto"/>
              <w:rPr>
                <w:rFonts w:ascii="Times New Roman" w:eastAsia="Calibri" w:hAnsi="Times New Roman" w:cs="Times New Roman"/>
              </w:rPr>
            </w:pPr>
          </w:p>
        </w:tc>
        <w:tc>
          <w:tcPr>
            <w:tcW w:w="3098" w:type="dxa"/>
          </w:tcPr>
          <w:p w14:paraId="7E496956" w14:textId="67D25A62"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Nav veikts</w:t>
            </w:r>
            <w:r w:rsidR="00EF5EAE">
              <w:rPr>
                <w:rFonts w:ascii="Times New Roman" w:eastAsia="Calibri" w:hAnsi="Times New Roman" w:cs="Times New Roman"/>
              </w:rPr>
              <w:t>.</w:t>
            </w:r>
          </w:p>
        </w:tc>
        <w:tc>
          <w:tcPr>
            <w:tcW w:w="3974" w:type="dxa"/>
          </w:tcPr>
          <w:p w14:paraId="615B12EF" w14:textId="6F63877E" w:rsidR="009072CE" w:rsidRPr="00A07F29" w:rsidRDefault="009072CE" w:rsidP="00E645D2">
            <w:pPr>
              <w:spacing w:after="0" w:line="240" w:lineRule="auto"/>
              <w:rPr>
                <w:rFonts w:ascii="Times New Roman" w:eastAsia="Calibri" w:hAnsi="Times New Roman" w:cs="Times New Roman"/>
              </w:rPr>
            </w:pPr>
            <w:r w:rsidRPr="00A07F29">
              <w:rPr>
                <w:rFonts w:ascii="Times New Roman" w:eastAsia="Calibri" w:hAnsi="Times New Roman" w:cs="Times New Roman"/>
              </w:rPr>
              <w:t>Apmeklētāju centra izveide ir bijusi iekļauta projektā ar Daugavpils novada domes dalību “</w:t>
            </w:r>
            <w:proofErr w:type="spellStart"/>
            <w:r w:rsidRPr="00A07F29">
              <w:rPr>
                <w:rFonts w:ascii="Times New Roman" w:eastAsia="Calibri" w:hAnsi="Times New Roman" w:cs="Times New Roman"/>
              </w:rPr>
              <w:t>Rīteiropas</w:t>
            </w:r>
            <w:proofErr w:type="spellEnd"/>
            <w:r w:rsidRPr="00A07F29">
              <w:rPr>
                <w:rFonts w:ascii="Times New Roman" w:eastAsia="Calibri" w:hAnsi="Times New Roman" w:cs="Times New Roman"/>
              </w:rPr>
              <w:t xml:space="preserve"> vērtības”, bet līdzekļu trūkuma dēļ nav īstenota.</w:t>
            </w:r>
          </w:p>
        </w:tc>
      </w:tr>
      <w:tr w:rsidR="009072CE" w:rsidRPr="00A07F29" w14:paraId="63B722A0" w14:textId="77777777" w:rsidTr="003B2D97">
        <w:trPr>
          <w:jc w:val="center"/>
        </w:trPr>
        <w:tc>
          <w:tcPr>
            <w:tcW w:w="583" w:type="dxa"/>
          </w:tcPr>
          <w:p w14:paraId="511D20F2" w14:textId="77777777" w:rsidR="009072CE" w:rsidRPr="00A07F29" w:rsidRDefault="009072CE" w:rsidP="009072CE">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69.</w:t>
            </w:r>
          </w:p>
        </w:tc>
        <w:tc>
          <w:tcPr>
            <w:tcW w:w="3402" w:type="dxa"/>
          </w:tcPr>
          <w:p w14:paraId="6585BC41" w14:textId="77777777" w:rsidR="009072CE" w:rsidRPr="00A07F29" w:rsidRDefault="009072CE" w:rsidP="00665A15">
            <w:pPr>
              <w:spacing w:after="0" w:line="240" w:lineRule="auto"/>
              <w:rPr>
                <w:rFonts w:ascii="Times New Roman" w:eastAsia="Calibri" w:hAnsi="Times New Roman" w:cs="Times New Roman"/>
              </w:rPr>
            </w:pPr>
            <w:proofErr w:type="spellStart"/>
            <w:r w:rsidRPr="00A07F29">
              <w:rPr>
                <w:rFonts w:ascii="Times New Roman" w:eastAsia="Calibri" w:hAnsi="Times New Roman" w:cs="Times New Roman"/>
                <w:bCs/>
              </w:rPr>
              <w:t>Vasargelišķu</w:t>
            </w:r>
            <w:proofErr w:type="spellEnd"/>
            <w:r w:rsidRPr="00A07F29">
              <w:rPr>
                <w:rFonts w:ascii="Times New Roman" w:eastAsia="Calibri" w:hAnsi="Times New Roman" w:cs="Times New Roman"/>
                <w:bCs/>
              </w:rPr>
              <w:t xml:space="preserve"> skatu torņa rekonstrukcija esošajā vietā.</w:t>
            </w:r>
          </w:p>
        </w:tc>
        <w:tc>
          <w:tcPr>
            <w:tcW w:w="2127" w:type="dxa"/>
          </w:tcPr>
          <w:p w14:paraId="5693E95F" w14:textId="77777777" w:rsidR="009072CE" w:rsidRPr="00A07F29" w:rsidRDefault="009072CE" w:rsidP="00665A15">
            <w:pPr>
              <w:autoSpaceDE w:val="0"/>
              <w:autoSpaceDN w:val="0"/>
              <w:adjustRightInd w:val="0"/>
              <w:spacing w:after="0" w:line="240" w:lineRule="auto"/>
              <w:rPr>
                <w:rFonts w:ascii="Times New Roman" w:eastAsia="Calibri" w:hAnsi="Times New Roman" w:cs="Times New Roman"/>
              </w:rPr>
            </w:pPr>
            <w:r w:rsidRPr="00A07F29">
              <w:rPr>
                <w:rFonts w:ascii="Times New Roman" w:eastAsia="Calibri" w:hAnsi="Times New Roman" w:cs="Times New Roman"/>
              </w:rPr>
              <w:t>Pašvaldības, plānošanas reģiona attīstības aģentūra</w:t>
            </w:r>
          </w:p>
        </w:tc>
        <w:tc>
          <w:tcPr>
            <w:tcW w:w="1538" w:type="dxa"/>
          </w:tcPr>
          <w:p w14:paraId="036CC09A" w14:textId="20CE41E2"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2013.</w:t>
            </w:r>
            <w:r w:rsidR="00A3040C">
              <w:rPr>
                <w:rFonts w:ascii="Times New Roman" w:eastAsia="Calibri" w:hAnsi="Times New Roman" w:cs="Times New Roman"/>
              </w:rPr>
              <w:t> – </w:t>
            </w:r>
            <w:r w:rsidRPr="00A07F29">
              <w:rPr>
                <w:rFonts w:ascii="Times New Roman" w:eastAsia="Calibri" w:hAnsi="Times New Roman" w:cs="Times New Roman"/>
              </w:rPr>
              <w:t>2022.</w:t>
            </w:r>
          </w:p>
        </w:tc>
        <w:tc>
          <w:tcPr>
            <w:tcW w:w="3098" w:type="dxa"/>
          </w:tcPr>
          <w:p w14:paraId="7E257450" w14:textId="4B0F89D4" w:rsidR="009072CE" w:rsidRPr="00A07F29" w:rsidRDefault="729E1729"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Veikts (DAP K</w:t>
            </w:r>
            <w:r w:rsidR="00C25036">
              <w:rPr>
                <w:rFonts w:ascii="Times New Roman" w:eastAsia="Calibri" w:hAnsi="Times New Roman" w:cs="Times New Roman"/>
              </w:rPr>
              <w:t>ohēzijas fonda</w:t>
            </w:r>
            <w:r w:rsidRPr="00A07F29">
              <w:rPr>
                <w:rFonts w:ascii="Times New Roman" w:eastAsia="Calibri" w:hAnsi="Times New Roman" w:cs="Times New Roman"/>
              </w:rPr>
              <w:t xml:space="preserve"> projekts)</w:t>
            </w:r>
            <w:r w:rsidR="00A3040C">
              <w:rPr>
                <w:rFonts w:ascii="Times New Roman" w:eastAsia="Calibri" w:hAnsi="Times New Roman" w:cs="Times New Roman"/>
              </w:rPr>
              <w:t>.</w:t>
            </w:r>
          </w:p>
        </w:tc>
        <w:tc>
          <w:tcPr>
            <w:tcW w:w="3974" w:type="dxa"/>
          </w:tcPr>
          <w:p w14:paraId="7DEC0CE2" w14:textId="71BDA176"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Veikts</w:t>
            </w:r>
            <w:r w:rsidR="00A3040C">
              <w:rPr>
                <w:rFonts w:ascii="Times New Roman" w:eastAsia="Calibri" w:hAnsi="Times New Roman" w:cs="Times New Roman"/>
              </w:rPr>
              <w:t>.</w:t>
            </w:r>
          </w:p>
        </w:tc>
      </w:tr>
      <w:tr w:rsidR="009072CE" w:rsidRPr="00A07F29" w14:paraId="10B68B5B" w14:textId="77777777" w:rsidTr="003B2D97">
        <w:trPr>
          <w:jc w:val="center"/>
        </w:trPr>
        <w:tc>
          <w:tcPr>
            <w:tcW w:w="583" w:type="dxa"/>
          </w:tcPr>
          <w:p w14:paraId="03B83CF4" w14:textId="77777777" w:rsidR="009072CE" w:rsidRPr="00A07F29" w:rsidRDefault="009072CE" w:rsidP="009072CE">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70.</w:t>
            </w:r>
          </w:p>
        </w:tc>
        <w:tc>
          <w:tcPr>
            <w:tcW w:w="3402" w:type="dxa"/>
          </w:tcPr>
          <w:p w14:paraId="4E071489" w14:textId="77777777"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bCs/>
              </w:rPr>
              <w:t>Informācijas stendu (pēc ĪADT vienotā stila) sagatavošana un izvietošana</w:t>
            </w:r>
            <w:r w:rsidRPr="00A07F29">
              <w:rPr>
                <w:rFonts w:ascii="Times New Roman" w:eastAsia="Calibri" w:hAnsi="Times New Roman" w:cs="Times New Roman"/>
              </w:rPr>
              <w:t xml:space="preserve"> pie nozīmīgākajiem tūrisma objektiem, dižkokiem. </w:t>
            </w:r>
          </w:p>
        </w:tc>
        <w:tc>
          <w:tcPr>
            <w:tcW w:w="2127" w:type="dxa"/>
          </w:tcPr>
          <w:p w14:paraId="00ABB8F2" w14:textId="77777777"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Pašvaldības</w:t>
            </w:r>
          </w:p>
          <w:p w14:paraId="56E2C1FA" w14:textId="77777777" w:rsidR="009072CE" w:rsidRPr="00A07F29" w:rsidRDefault="009072CE" w:rsidP="00665A15">
            <w:pPr>
              <w:autoSpaceDE w:val="0"/>
              <w:autoSpaceDN w:val="0"/>
              <w:adjustRightInd w:val="0"/>
              <w:spacing w:after="0" w:line="240" w:lineRule="auto"/>
              <w:rPr>
                <w:rFonts w:ascii="Times New Roman" w:eastAsia="Calibri" w:hAnsi="Times New Roman" w:cs="Times New Roman"/>
              </w:rPr>
            </w:pPr>
            <w:r w:rsidRPr="00A07F29">
              <w:rPr>
                <w:rFonts w:ascii="Times New Roman" w:eastAsia="Calibri" w:hAnsi="Times New Roman" w:cs="Times New Roman"/>
              </w:rPr>
              <w:t>sadarbībā ar tūrisma objektu īpašniekiem un DAP</w:t>
            </w:r>
          </w:p>
        </w:tc>
        <w:tc>
          <w:tcPr>
            <w:tcW w:w="1538" w:type="dxa"/>
          </w:tcPr>
          <w:p w14:paraId="54387826" w14:textId="28688B36"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2010.</w:t>
            </w:r>
            <w:r w:rsidR="00BB57CD">
              <w:rPr>
                <w:rFonts w:ascii="Times New Roman" w:eastAsia="Calibri" w:hAnsi="Times New Roman" w:cs="Times New Roman"/>
              </w:rPr>
              <w:t> </w:t>
            </w:r>
            <w:r w:rsidRPr="00A07F29">
              <w:rPr>
                <w:rFonts w:ascii="Times New Roman" w:eastAsia="Calibri" w:hAnsi="Times New Roman" w:cs="Times New Roman"/>
              </w:rPr>
              <w:t>–</w:t>
            </w:r>
            <w:r w:rsidR="00BB57CD">
              <w:rPr>
                <w:rFonts w:ascii="Times New Roman" w:eastAsia="Calibri" w:hAnsi="Times New Roman" w:cs="Times New Roman"/>
              </w:rPr>
              <w:t> </w:t>
            </w:r>
            <w:r w:rsidRPr="00A07F29">
              <w:rPr>
                <w:rFonts w:ascii="Times New Roman" w:eastAsia="Calibri" w:hAnsi="Times New Roman" w:cs="Times New Roman"/>
              </w:rPr>
              <w:t xml:space="preserve">2012. </w:t>
            </w:r>
          </w:p>
          <w:p w14:paraId="1566376D" w14:textId="77777777" w:rsidR="009072CE" w:rsidRPr="00A07F29" w:rsidRDefault="009072CE" w:rsidP="00665A15">
            <w:pPr>
              <w:spacing w:after="0" w:line="240" w:lineRule="auto"/>
              <w:rPr>
                <w:rFonts w:ascii="Times New Roman" w:eastAsia="Calibri" w:hAnsi="Times New Roman" w:cs="Times New Roman"/>
              </w:rPr>
            </w:pPr>
          </w:p>
        </w:tc>
        <w:tc>
          <w:tcPr>
            <w:tcW w:w="3098" w:type="dxa"/>
          </w:tcPr>
          <w:p w14:paraId="0D69207A" w14:textId="77777777"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Tiek veikts dažādu projektu īstenošanas vietās, ir izvietoti stendi atpūtas vietās un pie dižkokiem.</w:t>
            </w:r>
          </w:p>
        </w:tc>
        <w:tc>
          <w:tcPr>
            <w:tcW w:w="3974" w:type="dxa"/>
          </w:tcPr>
          <w:p w14:paraId="150F8D90" w14:textId="77777777"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Jāpārskata esošo stendu aktualitāte un lietderīgums, jo dažās populārākajās vietās ir uzstādīti vairāki stendi, kas vizuāli disonē un var saturēt novecojušu informāciju.</w:t>
            </w:r>
          </w:p>
        </w:tc>
      </w:tr>
      <w:tr w:rsidR="009072CE" w:rsidRPr="00A07F29" w14:paraId="640AA1B5" w14:textId="77777777" w:rsidTr="003B2D97">
        <w:trPr>
          <w:jc w:val="center"/>
        </w:trPr>
        <w:tc>
          <w:tcPr>
            <w:tcW w:w="583" w:type="dxa"/>
          </w:tcPr>
          <w:p w14:paraId="460CE4D2" w14:textId="77777777" w:rsidR="009072CE" w:rsidRPr="00A07F29" w:rsidRDefault="009072CE" w:rsidP="009072CE">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71.</w:t>
            </w:r>
          </w:p>
          <w:p w14:paraId="77B3200E" w14:textId="77777777" w:rsidR="009072CE" w:rsidRPr="00A07F29" w:rsidRDefault="009072CE" w:rsidP="009072CE">
            <w:pPr>
              <w:spacing w:after="0" w:line="240" w:lineRule="auto"/>
              <w:jc w:val="both"/>
              <w:rPr>
                <w:rFonts w:ascii="Times New Roman" w:eastAsia="Calibri" w:hAnsi="Times New Roman" w:cs="Times New Roman"/>
              </w:rPr>
            </w:pPr>
          </w:p>
        </w:tc>
        <w:tc>
          <w:tcPr>
            <w:tcW w:w="3402" w:type="dxa"/>
          </w:tcPr>
          <w:p w14:paraId="2DE1BC23" w14:textId="150861D2"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bCs/>
              </w:rPr>
              <w:t>Nozīmīgāko skatu vietu labiekārtošana un turpmāka uzturēšana.</w:t>
            </w:r>
            <w:r w:rsidRPr="00A07F29">
              <w:rPr>
                <w:rFonts w:ascii="Times New Roman" w:eastAsia="Calibri" w:hAnsi="Times New Roman" w:cs="Times New Roman"/>
              </w:rPr>
              <w:t xml:space="preserve"> Skatu vietu labiekārtošana Adamovas takā un tās apkārtnē, </w:t>
            </w:r>
            <w:proofErr w:type="spellStart"/>
            <w:r w:rsidRPr="00A07F29">
              <w:rPr>
                <w:rFonts w:ascii="Times New Roman" w:eastAsia="Calibri" w:hAnsi="Times New Roman" w:cs="Times New Roman"/>
              </w:rPr>
              <w:t>Markovas</w:t>
            </w:r>
            <w:proofErr w:type="spellEnd"/>
            <w:r w:rsidRPr="00A07F29">
              <w:rPr>
                <w:rFonts w:ascii="Times New Roman" w:eastAsia="Calibri" w:hAnsi="Times New Roman" w:cs="Times New Roman"/>
              </w:rPr>
              <w:t xml:space="preserve"> pilskalnā, pie </w:t>
            </w:r>
            <w:proofErr w:type="spellStart"/>
            <w:r w:rsidRPr="00A07F29">
              <w:rPr>
                <w:rFonts w:ascii="Times New Roman" w:eastAsia="Calibri" w:hAnsi="Times New Roman" w:cs="Times New Roman"/>
              </w:rPr>
              <w:t>Slutišķu</w:t>
            </w:r>
            <w:proofErr w:type="spellEnd"/>
            <w:r w:rsidRPr="00A07F29">
              <w:rPr>
                <w:rFonts w:ascii="Times New Roman" w:eastAsia="Calibri" w:hAnsi="Times New Roman" w:cs="Times New Roman"/>
              </w:rPr>
              <w:t xml:space="preserve"> sādžas,</w:t>
            </w:r>
            <w:r w:rsidR="00D65BBA" w:rsidRPr="00A07F29">
              <w:rPr>
                <w:rFonts w:ascii="Times New Roman" w:eastAsia="Calibri" w:hAnsi="Times New Roman" w:cs="Times New Roman"/>
              </w:rPr>
              <w:t xml:space="preserve"> </w:t>
            </w:r>
            <w:r w:rsidRPr="00A07F29">
              <w:rPr>
                <w:rFonts w:ascii="Times New Roman" w:eastAsia="Calibri" w:hAnsi="Times New Roman" w:cs="Times New Roman"/>
              </w:rPr>
              <w:t xml:space="preserve">Daugavas labajā krastā iepretim </w:t>
            </w:r>
            <w:proofErr w:type="spellStart"/>
            <w:r w:rsidRPr="00A07F29">
              <w:rPr>
                <w:rFonts w:ascii="Times New Roman" w:eastAsia="Calibri" w:hAnsi="Times New Roman" w:cs="Times New Roman"/>
              </w:rPr>
              <w:t>Ververu</w:t>
            </w:r>
            <w:proofErr w:type="spellEnd"/>
            <w:r w:rsidRPr="00A07F29">
              <w:rPr>
                <w:rFonts w:ascii="Times New Roman" w:eastAsia="Calibri" w:hAnsi="Times New Roman" w:cs="Times New Roman"/>
              </w:rPr>
              <w:t xml:space="preserve"> kraujai, </w:t>
            </w:r>
            <w:proofErr w:type="spellStart"/>
            <w:r w:rsidRPr="00A07F29">
              <w:rPr>
                <w:rFonts w:ascii="Times New Roman" w:eastAsia="Calibri" w:hAnsi="Times New Roman" w:cs="Times New Roman"/>
              </w:rPr>
              <w:t>Veckaplavā</w:t>
            </w:r>
            <w:proofErr w:type="spellEnd"/>
            <w:r w:rsidRPr="00A07F29">
              <w:rPr>
                <w:rFonts w:ascii="Times New Roman" w:eastAsia="Calibri" w:hAnsi="Times New Roman" w:cs="Times New Roman"/>
              </w:rPr>
              <w:t>, pie Sproģiem. Skatu vietas labiekārto, paplašinot skatu stigas, izveidojot skatu platformas u.c.</w:t>
            </w:r>
          </w:p>
        </w:tc>
        <w:tc>
          <w:tcPr>
            <w:tcW w:w="2127" w:type="dxa"/>
          </w:tcPr>
          <w:p w14:paraId="47FB58B7" w14:textId="71E51523"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EEZ/Norvēģijas projekts</w:t>
            </w:r>
            <w:r w:rsidR="009D6BD1">
              <w:rPr>
                <w:rFonts w:ascii="Times New Roman" w:eastAsia="Calibri" w:hAnsi="Times New Roman" w:cs="Times New Roman"/>
              </w:rPr>
              <w:t>,</w:t>
            </w:r>
          </w:p>
          <w:p w14:paraId="108741B2" w14:textId="5DCD92D7" w:rsidR="009072CE" w:rsidRPr="00A07F29" w:rsidRDefault="009D6BD1" w:rsidP="00665A15">
            <w:pPr>
              <w:spacing w:after="0" w:line="240" w:lineRule="auto"/>
              <w:rPr>
                <w:rFonts w:ascii="Times New Roman" w:eastAsia="Calibri" w:hAnsi="Times New Roman" w:cs="Times New Roman"/>
              </w:rPr>
            </w:pPr>
            <w:r>
              <w:rPr>
                <w:rFonts w:ascii="Times New Roman" w:eastAsia="Calibri" w:hAnsi="Times New Roman" w:cs="Times New Roman"/>
              </w:rPr>
              <w:t>p</w:t>
            </w:r>
            <w:r w:rsidR="009072CE" w:rsidRPr="00A07F29">
              <w:rPr>
                <w:rFonts w:ascii="Times New Roman" w:eastAsia="Calibri" w:hAnsi="Times New Roman" w:cs="Times New Roman"/>
              </w:rPr>
              <w:t>ašvaldības</w:t>
            </w:r>
          </w:p>
          <w:p w14:paraId="2FEFFBA4" w14:textId="77777777" w:rsidR="009072CE" w:rsidRPr="00A07F29" w:rsidRDefault="009072CE" w:rsidP="00665A15">
            <w:pPr>
              <w:spacing w:after="0" w:line="240" w:lineRule="auto"/>
              <w:rPr>
                <w:rFonts w:ascii="Times New Roman" w:eastAsia="Calibri" w:hAnsi="Times New Roman" w:cs="Times New Roman"/>
              </w:rPr>
            </w:pPr>
          </w:p>
        </w:tc>
        <w:tc>
          <w:tcPr>
            <w:tcW w:w="1538" w:type="dxa"/>
          </w:tcPr>
          <w:p w14:paraId="2495A257" w14:textId="037FEF0D"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2011.</w:t>
            </w:r>
            <w:r w:rsidR="009D6BD1">
              <w:rPr>
                <w:rFonts w:ascii="Times New Roman" w:eastAsia="Calibri" w:hAnsi="Times New Roman" w:cs="Times New Roman"/>
              </w:rPr>
              <w:t> – </w:t>
            </w:r>
            <w:r w:rsidRPr="00A07F29">
              <w:rPr>
                <w:rFonts w:ascii="Times New Roman" w:eastAsia="Calibri" w:hAnsi="Times New Roman" w:cs="Times New Roman"/>
              </w:rPr>
              <w:t>2016</w:t>
            </w:r>
            <w:r w:rsidR="009D6BD1">
              <w:rPr>
                <w:rFonts w:ascii="Times New Roman" w:eastAsia="Calibri" w:hAnsi="Times New Roman" w:cs="Times New Roman"/>
              </w:rPr>
              <w:t>.</w:t>
            </w:r>
          </w:p>
        </w:tc>
        <w:tc>
          <w:tcPr>
            <w:tcW w:w="3098" w:type="dxa"/>
          </w:tcPr>
          <w:p w14:paraId="1B819C54" w14:textId="3950ED2B"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Daļēji īstenots, esošās skatu vietas tiek uzturētas, nepieļaujot aizaugšanu. 2019.</w:t>
            </w:r>
            <w:r w:rsidR="00CA5678">
              <w:rPr>
                <w:rFonts w:ascii="Times New Roman" w:eastAsia="Calibri" w:hAnsi="Times New Roman" w:cs="Times New Roman"/>
              </w:rPr>
              <w:t> </w:t>
            </w:r>
            <w:r w:rsidR="00C25036">
              <w:rPr>
                <w:rFonts w:ascii="Times New Roman" w:eastAsia="Calibri" w:hAnsi="Times New Roman" w:cs="Times New Roman"/>
              </w:rPr>
              <w:t>gada augustā tika</w:t>
            </w:r>
            <w:r w:rsidRPr="00A07F29">
              <w:rPr>
                <w:rFonts w:ascii="Times New Roman" w:eastAsia="Calibri" w:hAnsi="Times New Roman" w:cs="Times New Roman"/>
              </w:rPr>
              <w:t xml:space="preserve"> izveidota skatu vieta </w:t>
            </w:r>
            <w:proofErr w:type="spellStart"/>
            <w:r w:rsidRPr="00A07F29">
              <w:rPr>
                <w:rFonts w:ascii="Times New Roman" w:eastAsia="Calibri" w:hAnsi="Times New Roman" w:cs="Times New Roman"/>
              </w:rPr>
              <w:t>Markovas</w:t>
            </w:r>
            <w:proofErr w:type="spellEnd"/>
            <w:r w:rsidRPr="00A07F29">
              <w:rPr>
                <w:rFonts w:ascii="Times New Roman" w:eastAsia="Calibri" w:hAnsi="Times New Roman" w:cs="Times New Roman"/>
              </w:rPr>
              <w:t xml:space="preserve"> pilskalnā, atverot skatu uz </w:t>
            </w:r>
            <w:proofErr w:type="spellStart"/>
            <w:r w:rsidRPr="00A07F29">
              <w:rPr>
                <w:rFonts w:ascii="Times New Roman" w:eastAsia="Calibri" w:hAnsi="Times New Roman" w:cs="Times New Roman"/>
              </w:rPr>
              <w:t>Slutišķu</w:t>
            </w:r>
            <w:proofErr w:type="spellEnd"/>
            <w:r w:rsidRPr="00A07F29">
              <w:rPr>
                <w:rFonts w:ascii="Times New Roman" w:eastAsia="Calibri" w:hAnsi="Times New Roman" w:cs="Times New Roman"/>
              </w:rPr>
              <w:t xml:space="preserve"> sādžu un </w:t>
            </w:r>
            <w:proofErr w:type="spellStart"/>
            <w:r w:rsidRPr="00A07F29">
              <w:rPr>
                <w:rFonts w:ascii="Times New Roman" w:eastAsia="Calibri" w:hAnsi="Times New Roman" w:cs="Times New Roman"/>
              </w:rPr>
              <w:t>Slutišķu</w:t>
            </w:r>
            <w:proofErr w:type="spellEnd"/>
            <w:r w:rsidRPr="00A07F29">
              <w:rPr>
                <w:rFonts w:ascii="Times New Roman" w:eastAsia="Calibri" w:hAnsi="Times New Roman" w:cs="Times New Roman"/>
              </w:rPr>
              <w:t xml:space="preserve"> krauju.</w:t>
            </w:r>
          </w:p>
        </w:tc>
        <w:tc>
          <w:tcPr>
            <w:tcW w:w="3974" w:type="dxa"/>
          </w:tcPr>
          <w:p w14:paraId="5657093F" w14:textId="77777777"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Ainavu plānojumā kopā ar tūrisma eksperti jāaktualizē pasākums, ieplānojot uzturamās skatu vietas.</w:t>
            </w:r>
          </w:p>
        </w:tc>
      </w:tr>
      <w:tr w:rsidR="009072CE" w:rsidRPr="00A07F29" w14:paraId="56DA7B35" w14:textId="77777777" w:rsidTr="003B2D97">
        <w:trPr>
          <w:jc w:val="center"/>
        </w:trPr>
        <w:tc>
          <w:tcPr>
            <w:tcW w:w="583" w:type="dxa"/>
          </w:tcPr>
          <w:p w14:paraId="06EA8535" w14:textId="77777777" w:rsidR="009072CE" w:rsidRPr="00A07F29" w:rsidRDefault="009072CE" w:rsidP="009072CE">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72.</w:t>
            </w:r>
          </w:p>
        </w:tc>
        <w:tc>
          <w:tcPr>
            <w:tcW w:w="3402" w:type="dxa"/>
          </w:tcPr>
          <w:p w14:paraId="6E04FDAB" w14:textId="77777777" w:rsidR="009072CE" w:rsidRPr="00A07F29" w:rsidRDefault="009072CE" w:rsidP="00665A15">
            <w:pPr>
              <w:spacing w:after="0" w:line="240" w:lineRule="auto"/>
              <w:rPr>
                <w:rFonts w:ascii="Times New Roman" w:eastAsia="Calibri" w:hAnsi="Times New Roman" w:cs="Times New Roman"/>
              </w:rPr>
            </w:pPr>
            <w:proofErr w:type="spellStart"/>
            <w:r w:rsidRPr="00A07F29">
              <w:rPr>
                <w:rFonts w:ascii="Times New Roman" w:eastAsia="Calibri" w:hAnsi="Times New Roman" w:cs="Times New Roman"/>
                <w:bCs/>
              </w:rPr>
              <w:t>Ūdenstūristu</w:t>
            </w:r>
            <w:proofErr w:type="spellEnd"/>
            <w:r w:rsidRPr="00A07F29">
              <w:rPr>
                <w:rFonts w:ascii="Times New Roman" w:eastAsia="Calibri" w:hAnsi="Times New Roman" w:cs="Times New Roman"/>
                <w:bCs/>
              </w:rPr>
              <w:t xml:space="preserve"> apmetņu un tūristu atpūtas vietu uzturēšana, izpļaujot zāli vismaz reizi mēnesī, atkritumu savākšana un izvešana no apmetnēm, atpūtas vietām un veloceliņa apkārtnes.</w:t>
            </w:r>
          </w:p>
        </w:tc>
        <w:tc>
          <w:tcPr>
            <w:tcW w:w="2127" w:type="dxa"/>
          </w:tcPr>
          <w:p w14:paraId="50848AE5" w14:textId="77777777"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 xml:space="preserve">Objektu </w:t>
            </w:r>
            <w:proofErr w:type="spellStart"/>
            <w:r w:rsidRPr="00A07F29">
              <w:rPr>
                <w:rFonts w:ascii="Times New Roman" w:eastAsia="Calibri" w:hAnsi="Times New Roman" w:cs="Times New Roman"/>
              </w:rPr>
              <w:t>apsaimniekotāji</w:t>
            </w:r>
            <w:proofErr w:type="spellEnd"/>
          </w:p>
        </w:tc>
        <w:tc>
          <w:tcPr>
            <w:tcW w:w="1538" w:type="dxa"/>
          </w:tcPr>
          <w:p w14:paraId="07D1641D" w14:textId="3D2FC03A"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2011.</w:t>
            </w:r>
            <w:r w:rsidR="00E86157">
              <w:rPr>
                <w:rFonts w:ascii="Times New Roman" w:eastAsia="Calibri" w:hAnsi="Times New Roman" w:cs="Times New Roman"/>
              </w:rPr>
              <w:t> – </w:t>
            </w:r>
            <w:r w:rsidRPr="00A07F29">
              <w:rPr>
                <w:rFonts w:ascii="Times New Roman" w:eastAsia="Calibri" w:hAnsi="Times New Roman" w:cs="Times New Roman"/>
              </w:rPr>
              <w:t>2022.</w:t>
            </w:r>
          </w:p>
        </w:tc>
        <w:tc>
          <w:tcPr>
            <w:tcW w:w="3098" w:type="dxa"/>
          </w:tcPr>
          <w:p w14:paraId="06FA55C0" w14:textId="31158ECC"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Apmetņu vietas tiek izpļautas teritorijās, ko apsaimnieko pagastu pārvaldes vai</w:t>
            </w:r>
            <w:r w:rsidR="00E86157">
              <w:rPr>
                <w:rFonts w:ascii="Times New Roman" w:eastAsia="Calibri" w:hAnsi="Times New Roman" w:cs="Times New Roman"/>
              </w:rPr>
              <w:t>,</w:t>
            </w:r>
            <w:r w:rsidRPr="00A07F29">
              <w:rPr>
                <w:rFonts w:ascii="Times New Roman" w:eastAsia="Calibri" w:hAnsi="Times New Roman" w:cs="Times New Roman"/>
              </w:rPr>
              <w:t xml:space="preserve"> kuras pieder tūrisma uzņēmējiem. Pārējās vietas tiek izpļautas epizodiski. Atkritumi no legāli izveidotajām atpūtas vietām un veloceliņa tiek izvesti (LVM, pagasta pārvaldes, uzņēmēji)</w:t>
            </w:r>
            <w:r w:rsidR="00E86157">
              <w:rPr>
                <w:rFonts w:ascii="Times New Roman" w:eastAsia="Calibri" w:hAnsi="Times New Roman" w:cs="Times New Roman"/>
              </w:rPr>
              <w:t>.</w:t>
            </w:r>
          </w:p>
        </w:tc>
        <w:tc>
          <w:tcPr>
            <w:tcW w:w="3974" w:type="dxa"/>
          </w:tcPr>
          <w:p w14:paraId="4CB8567B" w14:textId="432070E1" w:rsidR="009072CE" w:rsidRPr="00A07F29" w:rsidRDefault="009072CE" w:rsidP="00010F6E">
            <w:pPr>
              <w:spacing w:after="0" w:line="240" w:lineRule="auto"/>
              <w:rPr>
                <w:rFonts w:ascii="Times New Roman" w:eastAsia="Calibri" w:hAnsi="Times New Roman" w:cs="Times New Roman"/>
              </w:rPr>
            </w:pPr>
            <w:r w:rsidRPr="00A07F29">
              <w:rPr>
                <w:rFonts w:ascii="Times New Roman" w:eastAsia="Calibri" w:hAnsi="Times New Roman" w:cs="Times New Roman"/>
              </w:rPr>
              <w:t xml:space="preserve">Pasākums ir pašsaprotams objektu uzturētājiem, nav </w:t>
            </w:r>
            <w:proofErr w:type="spellStart"/>
            <w:r w:rsidR="00010F6E" w:rsidRPr="00A07F29">
              <w:rPr>
                <w:rFonts w:ascii="Times New Roman" w:eastAsia="Calibri" w:hAnsi="Times New Roman" w:cs="Times New Roman"/>
              </w:rPr>
              <w:t>jaizdala</w:t>
            </w:r>
            <w:proofErr w:type="spellEnd"/>
            <w:r w:rsidR="00010F6E" w:rsidRPr="00A07F29">
              <w:rPr>
                <w:rFonts w:ascii="Times New Roman" w:eastAsia="Calibri" w:hAnsi="Times New Roman" w:cs="Times New Roman"/>
              </w:rPr>
              <w:t xml:space="preserve"> kā atsevišķs pasākums </w:t>
            </w:r>
            <w:r w:rsidR="00BF0E06" w:rsidRPr="00A07F29">
              <w:rPr>
                <w:rFonts w:ascii="Times New Roman" w:eastAsia="Calibri" w:hAnsi="Times New Roman" w:cs="Times New Roman"/>
              </w:rPr>
              <w:t>DA plānā</w:t>
            </w:r>
            <w:r w:rsidR="00010F6E" w:rsidRPr="00A07F29">
              <w:rPr>
                <w:rFonts w:ascii="Times New Roman" w:eastAsia="Calibri" w:hAnsi="Times New Roman" w:cs="Times New Roman"/>
              </w:rPr>
              <w:t>.</w:t>
            </w:r>
          </w:p>
        </w:tc>
      </w:tr>
      <w:tr w:rsidR="009072CE" w:rsidRPr="00A07F29" w14:paraId="1234EAA8" w14:textId="77777777" w:rsidTr="003B2D97">
        <w:trPr>
          <w:jc w:val="center"/>
        </w:trPr>
        <w:tc>
          <w:tcPr>
            <w:tcW w:w="583" w:type="dxa"/>
          </w:tcPr>
          <w:p w14:paraId="16B587E2" w14:textId="77777777" w:rsidR="009072CE" w:rsidRPr="00A07F29" w:rsidRDefault="009072CE" w:rsidP="009072CE">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73.</w:t>
            </w:r>
          </w:p>
        </w:tc>
        <w:tc>
          <w:tcPr>
            <w:tcW w:w="3402" w:type="dxa"/>
          </w:tcPr>
          <w:p w14:paraId="4D2AA498" w14:textId="188A47DF" w:rsidR="009072CE" w:rsidRPr="00A07F29" w:rsidRDefault="009072CE" w:rsidP="00665A15">
            <w:pPr>
              <w:spacing w:after="0" w:line="240" w:lineRule="auto"/>
              <w:rPr>
                <w:rFonts w:ascii="Times New Roman" w:eastAsia="Calibri" w:hAnsi="Times New Roman" w:cs="Times New Roman"/>
                <w:bCs/>
              </w:rPr>
            </w:pPr>
            <w:r w:rsidRPr="00A07F29">
              <w:rPr>
                <w:rFonts w:ascii="Times New Roman" w:eastAsia="Calibri" w:hAnsi="Times New Roman" w:cs="Times New Roman"/>
                <w:bCs/>
              </w:rPr>
              <w:t xml:space="preserve">Ieteicams izveidot jaunas kājāmgājēju takas ekspertu </w:t>
            </w:r>
            <w:proofErr w:type="spellStart"/>
            <w:r w:rsidRPr="00A07F29">
              <w:rPr>
                <w:rFonts w:ascii="Times New Roman" w:eastAsia="Calibri" w:hAnsi="Times New Roman" w:cs="Times New Roman"/>
                <w:bCs/>
              </w:rPr>
              <w:t>ieteiktajas</w:t>
            </w:r>
            <w:proofErr w:type="spellEnd"/>
            <w:r w:rsidRPr="00A07F29">
              <w:rPr>
                <w:rFonts w:ascii="Times New Roman" w:eastAsia="Calibri" w:hAnsi="Times New Roman" w:cs="Times New Roman"/>
                <w:bCs/>
              </w:rPr>
              <w:t xml:space="preserve"> vietās</w:t>
            </w:r>
            <w:r w:rsidR="00921BE3">
              <w:rPr>
                <w:rFonts w:ascii="Times New Roman" w:eastAsia="Calibri" w:hAnsi="Times New Roman" w:cs="Times New Roman"/>
                <w:bCs/>
              </w:rPr>
              <w:t>:</w:t>
            </w:r>
            <w:r w:rsidR="00D65BBA" w:rsidRPr="00A07F29">
              <w:rPr>
                <w:rFonts w:ascii="Times New Roman" w:eastAsia="Calibri" w:hAnsi="Times New Roman" w:cs="Times New Roman"/>
                <w:bCs/>
              </w:rPr>
              <w:t xml:space="preserve"> </w:t>
            </w:r>
          </w:p>
          <w:p w14:paraId="77F93D99" w14:textId="390317AB" w:rsidR="009072CE" w:rsidRPr="00A07F29" w:rsidRDefault="009072CE" w:rsidP="00F87589">
            <w:pPr>
              <w:numPr>
                <w:ilvl w:val="0"/>
                <w:numId w:val="7"/>
              </w:numPr>
              <w:tabs>
                <w:tab w:val="num" w:pos="210"/>
              </w:tabs>
              <w:spacing w:after="0" w:line="240" w:lineRule="auto"/>
              <w:ind w:left="237" w:hanging="142"/>
              <w:rPr>
                <w:rFonts w:ascii="Times New Roman" w:eastAsia="Calibri" w:hAnsi="Times New Roman" w:cs="Times New Roman"/>
                <w:bCs/>
              </w:rPr>
            </w:pPr>
            <w:proofErr w:type="spellStart"/>
            <w:r w:rsidRPr="00A07F29">
              <w:rPr>
                <w:rFonts w:ascii="Times New Roman" w:eastAsia="Calibri" w:hAnsi="Times New Roman" w:cs="Times New Roman"/>
                <w:bCs/>
              </w:rPr>
              <w:t>Butišķu</w:t>
            </w:r>
            <w:proofErr w:type="spellEnd"/>
            <w:r w:rsidRPr="00A07F29">
              <w:rPr>
                <w:rFonts w:ascii="Times New Roman" w:eastAsia="Calibri" w:hAnsi="Times New Roman" w:cs="Times New Roman"/>
                <w:bCs/>
              </w:rPr>
              <w:t xml:space="preserve"> lokā (</w:t>
            </w:r>
            <w:r w:rsidR="00921BE3">
              <w:rPr>
                <w:rFonts w:ascii="Times New Roman" w:eastAsia="Calibri" w:hAnsi="Times New Roman" w:cs="Times New Roman"/>
                <w:bCs/>
              </w:rPr>
              <w:t>“</w:t>
            </w:r>
            <w:r w:rsidRPr="00A07F29">
              <w:rPr>
                <w:rFonts w:ascii="Times New Roman" w:eastAsia="Calibri" w:hAnsi="Times New Roman" w:cs="Times New Roman"/>
                <w:bCs/>
              </w:rPr>
              <w:t>Laika taka”) ,</w:t>
            </w:r>
            <w:r w:rsidR="00D65BBA" w:rsidRPr="00A07F29">
              <w:rPr>
                <w:rFonts w:ascii="Times New Roman" w:eastAsia="Calibri" w:hAnsi="Times New Roman" w:cs="Times New Roman"/>
                <w:bCs/>
              </w:rPr>
              <w:t xml:space="preserve"> </w:t>
            </w:r>
          </w:p>
          <w:p w14:paraId="2FBD0361" w14:textId="77777777" w:rsidR="009072CE" w:rsidRPr="00A07F29" w:rsidRDefault="009072CE" w:rsidP="00F87589">
            <w:pPr>
              <w:numPr>
                <w:ilvl w:val="0"/>
                <w:numId w:val="7"/>
              </w:numPr>
              <w:tabs>
                <w:tab w:val="num" w:pos="210"/>
              </w:tabs>
              <w:spacing w:after="0" w:line="240" w:lineRule="auto"/>
              <w:ind w:left="237" w:hanging="142"/>
              <w:rPr>
                <w:rFonts w:ascii="Times New Roman" w:eastAsia="Calibri" w:hAnsi="Times New Roman" w:cs="Times New Roman"/>
                <w:bCs/>
              </w:rPr>
            </w:pPr>
            <w:proofErr w:type="spellStart"/>
            <w:r w:rsidRPr="00A07F29">
              <w:rPr>
                <w:rFonts w:ascii="Times New Roman" w:eastAsia="Calibri" w:hAnsi="Times New Roman" w:cs="Times New Roman"/>
                <w:bCs/>
              </w:rPr>
              <w:t>Ververu</w:t>
            </w:r>
            <w:proofErr w:type="spellEnd"/>
            <w:r w:rsidRPr="00A07F29">
              <w:rPr>
                <w:rFonts w:ascii="Times New Roman" w:eastAsia="Calibri" w:hAnsi="Times New Roman" w:cs="Times New Roman"/>
                <w:bCs/>
              </w:rPr>
              <w:t xml:space="preserve"> lokā, </w:t>
            </w:r>
          </w:p>
          <w:p w14:paraId="01377031" w14:textId="77777777" w:rsidR="009072CE" w:rsidRPr="00A07F29" w:rsidRDefault="009072CE" w:rsidP="00F87589">
            <w:pPr>
              <w:numPr>
                <w:ilvl w:val="0"/>
                <w:numId w:val="7"/>
              </w:numPr>
              <w:tabs>
                <w:tab w:val="num" w:pos="210"/>
              </w:tabs>
              <w:spacing w:after="0" w:line="240" w:lineRule="auto"/>
              <w:ind w:left="237" w:hanging="142"/>
              <w:rPr>
                <w:rFonts w:ascii="Times New Roman" w:eastAsia="Calibri" w:hAnsi="Times New Roman" w:cs="Times New Roman"/>
                <w:bCs/>
              </w:rPr>
            </w:pPr>
            <w:proofErr w:type="spellStart"/>
            <w:r w:rsidRPr="00A07F29">
              <w:rPr>
                <w:rFonts w:ascii="Times New Roman" w:eastAsia="Calibri" w:hAnsi="Times New Roman" w:cs="Times New Roman"/>
                <w:bCs/>
              </w:rPr>
              <w:lastRenderedPageBreak/>
              <w:t>Daugavsargu</w:t>
            </w:r>
            <w:proofErr w:type="spellEnd"/>
            <w:r w:rsidRPr="00A07F29">
              <w:rPr>
                <w:rFonts w:ascii="Times New Roman" w:eastAsia="Calibri" w:hAnsi="Times New Roman" w:cs="Times New Roman"/>
                <w:bCs/>
              </w:rPr>
              <w:t xml:space="preserve"> lokā,</w:t>
            </w:r>
          </w:p>
          <w:p w14:paraId="46D7B402" w14:textId="46AFCE5E" w:rsidR="009072CE" w:rsidRPr="00A07F29" w:rsidRDefault="009072CE" w:rsidP="00F87589">
            <w:pPr>
              <w:numPr>
                <w:ilvl w:val="0"/>
                <w:numId w:val="7"/>
              </w:numPr>
              <w:tabs>
                <w:tab w:val="num" w:pos="210"/>
              </w:tabs>
              <w:spacing w:after="0" w:line="240" w:lineRule="auto"/>
              <w:ind w:left="237" w:hanging="142"/>
              <w:rPr>
                <w:rFonts w:ascii="Times New Roman" w:eastAsia="Calibri" w:hAnsi="Times New Roman" w:cs="Times New Roman"/>
                <w:bCs/>
              </w:rPr>
            </w:pPr>
            <w:r w:rsidRPr="00A07F29">
              <w:rPr>
                <w:rFonts w:ascii="Times New Roman" w:eastAsia="Calibri" w:hAnsi="Times New Roman" w:cs="Times New Roman"/>
                <w:bCs/>
              </w:rPr>
              <w:t>taka uz Sproģu gravām/Aizvējiņu pilskalnu</w:t>
            </w:r>
            <w:r w:rsidR="00921BE3">
              <w:rPr>
                <w:rFonts w:ascii="Times New Roman" w:eastAsia="Calibri" w:hAnsi="Times New Roman" w:cs="Times New Roman"/>
                <w:bCs/>
              </w:rPr>
              <w:t>,</w:t>
            </w:r>
          </w:p>
          <w:p w14:paraId="5C219102" w14:textId="77777777" w:rsidR="009072CE" w:rsidRPr="00A07F29" w:rsidRDefault="009072CE" w:rsidP="00665A15">
            <w:pPr>
              <w:spacing w:after="0" w:line="240" w:lineRule="auto"/>
              <w:ind w:left="237" w:hanging="142"/>
              <w:rPr>
                <w:rFonts w:ascii="Times New Roman" w:eastAsia="Calibri" w:hAnsi="Times New Roman" w:cs="Times New Roman"/>
                <w:bCs/>
              </w:rPr>
            </w:pPr>
            <w:r w:rsidRPr="00A07F29">
              <w:rPr>
                <w:rFonts w:ascii="Times New Roman" w:eastAsia="Calibri" w:hAnsi="Times New Roman" w:cs="Times New Roman"/>
                <w:bCs/>
              </w:rPr>
              <w:t xml:space="preserve"> kā arī papildināt un pagarināt esošās – Adamovas taku līdz Adamovas kraujai, atjaunot Marijas taku </w:t>
            </w:r>
            <w:proofErr w:type="spellStart"/>
            <w:r w:rsidRPr="00A07F29">
              <w:rPr>
                <w:rFonts w:ascii="Times New Roman" w:eastAsia="Calibri" w:hAnsi="Times New Roman" w:cs="Times New Roman"/>
                <w:bCs/>
              </w:rPr>
              <w:t>Juzefovas</w:t>
            </w:r>
            <w:proofErr w:type="spellEnd"/>
            <w:r w:rsidRPr="00A07F29">
              <w:rPr>
                <w:rFonts w:ascii="Times New Roman" w:eastAsia="Calibri" w:hAnsi="Times New Roman" w:cs="Times New Roman"/>
                <w:bCs/>
              </w:rPr>
              <w:t xml:space="preserve"> gravā </w:t>
            </w:r>
          </w:p>
        </w:tc>
        <w:tc>
          <w:tcPr>
            <w:tcW w:w="2127" w:type="dxa"/>
          </w:tcPr>
          <w:p w14:paraId="0EC4EEB1" w14:textId="77777777"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lastRenderedPageBreak/>
              <w:t>Pašvaldības, DU, TIC, LVM</w:t>
            </w:r>
          </w:p>
        </w:tc>
        <w:tc>
          <w:tcPr>
            <w:tcW w:w="1538" w:type="dxa"/>
          </w:tcPr>
          <w:p w14:paraId="3405C488" w14:textId="3C1A513B"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2011.</w:t>
            </w:r>
            <w:r w:rsidR="00D3286D">
              <w:rPr>
                <w:rFonts w:ascii="Times New Roman" w:eastAsia="Calibri" w:hAnsi="Times New Roman" w:cs="Times New Roman"/>
              </w:rPr>
              <w:t> – </w:t>
            </w:r>
            <w:r w:rsidRPr="00A07F29">
              <w:rPr>
                <w:rFonts w:ascii="Times New Roman" w:eastAsia="Calibri" w:hAnsi="Times New Roman" w:cs="Times New Roman"/>
              </w:rPr>
              <w:t>2022</w:t>
            </w:r>
          </w:p>
        </w:tc>
        <w:tc>
          <w:tcPr>
            <w:tcW w:w="3098" w:type="dxa"/>
          </w:tcPr>
          <w:p w14:paraId="5C517324" w14:textId="77777777" w:rsidR="009072CE" w:rsidRPr="00A07F29" w:rsidRDefault="009072CE" w:rsidP="00665A15">
            <w:pPr>
              <w:spacing w:after="0" w:line="240" w:lineRule="auto"/>
              <w:rPr>
                <w:rFonts w:ascii="Times New Roman" w:eastAsia="Calibri" w:hAnsi="Times New Roman" w:cs="Times New Roman"/>
              </w:rPr>
            </w:pPr>
            <w:r w:rsidRPr="00A07F29">
              <w:rPr>
                <w:rFonts w:ascii="Times New Roman" w:eastAsia="Calibri" w:hAnsi="Times New Roman" w:cs="Times New Roman"/>
              </w:rPr>
              <w:t xml:space="preserve">Nav veikts. </w:t>
            </w:r>
          </w:p>
        </w:tc>
        <w:tc>
          <w:tcPr>
            <w:tcW w:w="3974" w:type="dxa"/>
          </w:tcPr>
          <w:p w14:paraId="3BBB0ED6" w14:textId="3E02D497" w:rsidR="009072CE" w:rsidRPr="00A07F29" w:rsidRDefault="008D428B" w:rsidP="008D428B">
            <w:pPr>
              <w:spacing w:after="0" w:line="240" w:lineRule="auto"/>
              <w:rPr>
                <w:rFonts w:ascii="Times New Roman" w:eastAsia="Calibri" w:hAnsi="Times New Roman" w:cs="Times New Roman"/>
              </w:rPr>
            </w:pPr>
            <w:r w:rsidRPr="00A07F29">
              <w:rPr>
                <w:rFonts w:ascii="Times New Roman" w:eastAsia="Calibri" w:hAnsi="Times New Roman" w:cs="Times New Roman"/>
              </w:rPr>
              <w:t xml:space="preserve">Saņemti arī ieteikumi jaunām kājāmgājēju takām. </w:t>
            </w:r>
            <w:r w:rsidR="000C4DA8" w:rsidRPr="00A07F29">
              <w:rPr>
                <w:rFonts w:ascii="Times New Roman" w:eastAsia="Calibri" w:hAnsi="Times New Roman" w:cs="Times New Roman"/>
              </w:rPr>
              <w:t xml:space="preserve">Pasākums </w:t>
            </w:r>
            <w:r w:rsidRPr="00A07F29">
              <w:rPr>
                <w:rFonts w:ascii="Times New Roman" w:eastAsia="Calibri" w:hAnsi="Times New Roman" w:cs="Times New Roman"/>
              </w:rPr>
              <w:t xml:space="preserve">ir </w:t>
            </w:r>
            <w:r w:rsidR="000C4DA8" w:rsidRPr="00A07F29">
              <w:rPr>
                <w:rFonts w:ascii="Times New Roman" w:eastAsia="Calibri" w:hAnsi="Times New Roman" w:cs="Times New Roman"/>
              </w:rPr>
              <w:t>aktuāls.</w:t>
            </w:r>
          </w:p>
        </w:tc>
      </w:tr>
    </w:tbl>
    <w:p w14:paraId="0A9E3953" w14:textId="3459BBC5" w:rsidR="009072CE" w:rsidRPr="00A07F29" w:rsidRDefault="009072CE" w:rsidP="007056FA">
      <w:pPr>
        <w:pageBreakBefore/>
        <w:spacing w:after="120" w:line="240" w:lineRule="auto"/>
        <w:jc w:val="center"/>
        <w:rPr>
          <w:rFonts w:ascii="Times New Roman" w:eastAsia="Calibri" w:hAnsi="Times New Roman" w:cs="Times New Roman"/>
          <w:sz w:val="24"/>
          <w:szCs w:val="24"/>
        </w:rPr>
      </w:pPr>
      <w:r w:rsidRPr="00A07F29">
        <w:rPr>
          <w:rFonts w:ascii="Times New Roman" w:eastAsia="Calibri" w:hAnsi="Times New Roman" w:cs="Times New Roman"/>
          <w:sz w:val="24"/>
          <w:szCs w:val="24"/>
        </w:rPr>
        <w:lastRenderedPageBreak/>
        <w:t>5.1.2.</w:t>
      </w:r>
      <w:r w:rsidR="00D3286D">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tabula. AAA “Augšdaugava” pārvaldības plānā paredzēto apsaimniekošanas pasākumu efektivitātes </w:t>
      </w:r>
      <w:proofErr w:type="spellStart"/>
      <w:r w:rsidRPr="00A07F29">
        <w:rPr>
          <w:rFonts w:ascii="Times New Roman" w:eastAsia="Calibri" w:hAnsi="Times New Roman" w:cs="Times New Roman"/>
          <w:sz w:val="24"/>
          <w:szCs w:val="24"/>
        </w:rPr>
        <w:t>izvērtējums</w:t>
      </w:r>
      <w:proofErr w:type="spellEnd"/>
      <w:r w:rsidRPr="00A07F29">
        <w:rPr>
          <w:rFonts w:ascii="Times New Roman" w:eastAsia="Calibri" w:hAnsi="Times New Roman" w:cs="Times New Roman"/>
          <w:sz w:val="24"/>
          <w:szCs w:val="24"/>
        </w:rPr>
        <w:t>.</w:t>
      </w:r>
    </w:p>
    <w:tbl>
      <w:tblPr>
        <w:tblW w:w="147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6413"/>
        <w:gridCol w:w="1985"/>
        <w:gridCol w:w="2693"/>
        <w:gridCol w:w="2977"/>
      </w:tblGrid>
      <w:tr w:rsidR="00665A15" w:rsidRPr="00A07F29" w14:paraId="2300E032" w14:textId="77777777" w:rsidTr="00A837DD">
        <w:tc>
          <w:tcPr>
            <w:tcW w:w="675" w:type="dxa"/>
          </w:tcPr>
          <w:p w14:paraId="5A1C1D6E" w14:textId="77777777" w:rsidR="009072CE" w:rsidRPr="00A07F29" w:rsidRDefault="009072CE" w:rsidP="007056FA">
            <w:pPr>
              <w:spacing w:after="0" w:line="240" w:lineRule="auto"/>
              <w:rPr>
                <w:rFonts w:ascii="Times New Roman" w:eastAsia="Calibri" w:hAnsi="Times New Roman" w:cs="Times New Roman"/>
              </w:rPr>
            </w:pPr>
            <w:proofErr w:type="spellStart"/>
            <w:r w:rsidRPr="00A07F29">
              <w:rPr>
                <w:rFonts w:ascii="Times New Roman" w:eastAsia="Calibri" w:hAnsi="Times New Roman" w:cs="Times New Roman"/>
              </w:rPr>
              <w:t>Nr.p.k</w:t>
            </w:r>
            <w:proofErr w:type="spellEnd"/>
            <w:r w:rsidRPr="00A07F29">
              <w:rPr>
                <w:rFonts w:ascii="Times New Roman" w:eastAsia="Calibri" w:hAnsi="Times New Roman" w:cs="Times New Roman"/>
              </w:rPr>
              <w:t>.</w:t>
            </w:r>
          </w:p>
        </w:tc>
        <w:tc>
          <w:tcPr>
            <w:tcW w:w="6413" w:type="dxa"/>
          </w:tcPr>
          <w:p w14:paraId="03A1DEA7" w14:textId="77777777" w:rsidR="009072CE" w:rsidRPr="00A07F29" w:rsidRDefault="009072CE" w:rsidP="007056FA">
            <w:pPr>
              <w:spacing w:after="0" w:line="240" w:lineRule="auto"/>
              <w:rPr>
                <w:rFonts w:ascii="Times New Roman" w:eastAsia="Calibri" w:hAnsi="Times New Roman" w:cs="Times New Roman"/>
              </w:rPr>
            </w:pPr>
            <w:r w:rsidRPr="00A07F29">
              <w:rPr>
                <w:rFonts w:ascii="Times New Roman" w:eastAsia="Calibri" w:hAnsi="Times New Roman" w:cs="Times New Roman"/>
              </w:rPr>
              <w:t>Apsaimniekošanas pasākums</w:t>
            </w:r>
          </w:p>
        </w:tc>
        <w:tc>
          <w:tcPr>
            <w:tcW w:w="1985" w:type="dxa"/>
          </w:tcPr>
          <w:p w14:paraId="73E77066" w14:textId="77777777" w:rsidR="009072CE" w:rsidRPr="00A07F29" w:rsidRDefault="009072CE" w:rsidP="007056FA">
            <w:pPr>
              <w:spacing w:after="0" w:line="240" w:lineRule="auto"/>
              <w:rPr>
                <w:rFonts w:ascii="Times New Roman" w:eastAsia="Calibri" w:hAnsi="Times New Roman" w:cs="Times New Roman"/>
              </w:rPr>
            </w:pPr>
            <w:r w:rsidRPr="00A07F29">
              <w:rPr>
                <w:rFonts w:ascii="Times New Roman" w:eastAsia="Calibri" w:hAnsi="Times New Roman" w:cs="Times New Roman"/>
              </w:rPr>
              <w:t>Ieviesējs</w:t>
            </w:r>
          </w:p>
        </w:tc>
        <w:tc>
          <w:tcPr>
            <w:tcW w:w="2693" w:type="dxa"/>
          </w:tcPr>
          <w:p w14:paraId="10D0010E" w14:textId="77777777" w:rsidR="009072CE" w:rsidRPr="00A07F29" w:rsidRDefault="009072CE" w:rsidP="007056FA">
            <w:pPr>
              <w:spacing w:after="0" w:line="240" w:lineRule="auto"/>
              <w:rPr>
                <w:rFonts w:ascii="Times New Roman" w:eastAsia="Calibri" w:hAnsi="Times New Roman" w:cs="Times New Roman"/>
              </w:rPr>
            </w:pPr>
            <w:r w:rsidRPr="00A07F29">
              <w:rPr>
                <w:rFonts w:ascii="Times New Roman" w:eastAsia="Calibri" w:hAnsi="Times New Roman" w:cs="Times New Roman"/>
              </w:rPr>
              <w:t>Izpildes rādītāji</w:t>
            </w:r>
          </w:p>
        </w:tc>
        <w:tc>
          <w:tcPr>
            <w:tcW w:w="2977" w:type="dxa"/>
          </w:tcPr>
          <w:p w14:paraId="16C51D47" w14:textId="77777777" w:rsidR="009072CE" w:rsidRPr="00A07F29" w:rsidRDefault="009072CE" w:rsidP="007056FA">
            <w:pPr>
              <w:spacing w:after="0" w:line="240" w:lineRule="auto"/>
              <w:rPr>
                <w:rFonts w:ascii="Times New Roman" w:eastAsia="Calibri" w:hAnsi="Times New Roman" w:cs="Times New Roman"/>
              </w:rPr>
            </w:pPr>
            <w:r w:rsidRPr="00A07F29">
              <w:rPr>
                <w:rFonts w:ascii="Times New Roman" w:eastAsia="Calibri" w:hAnsi="Times New Roman" w:cs="Times New Roman"/>
              </w:rPr>
              <w:t xml:space="preserve">Efektivitātes </w:t>
            </w:r>
            <w:proofErr w:type="spellStart"/>
            <w:r w:rsidRPr="00A07F29">
              <w:rPr>
                <w:rFonts w:ascii="Times New Roman" w:eastAsia="Calibri" w:hAnsi="Times New Roman" w:cs="Times New Roman"/>
              </w:rPr>
              <w:t>izvērtējums</w:t>
            </w:r>
            <w:proofErr w:type="spellEnd"/>
            <w:r w:rsidRPr="00A07F29">
              <w:rPr>
                <w:rFonts w:ascii="Times New Roman" w:eastAsia="Calibri" w:hAnsi="Times New Roman" w:cs="Times New Roman"/>
              </w:rPr>
              <w:t>, turpmākā nepieciešamība</w:t>
            </w:r>
          </w:p>
        </w:tc>
      </w:tr>
      <w:tr w:rsidR="00665A15" w:rsidRPr="00A07F29" w14:paraId="51E53ED4" w14:textId="77777777" w:rsidTr="00A837DD">
        <w:tc>
          <w:tcPr>
            <w:tcW w:w="675" w:type="dxa"/>
          </w:tcPr>
          <w:p w14:paraId="73A5A8DD" w14:textId="77777777" w:rsidR="009072CE" w:rsidRPr="00A07F29" w:rsidRDefault="009072CE" w:rsidP="007056FA">
            <w:pPr>
              <w:spacing w:after="0" w:line="240" w:lineRule="auto"/>
              <w:rPr>
                <w:rFonts w:ascii="Times New Roman" w:eastAsia="Calibri" w:hAnsi="Times New Roman" w:cs="Times New Roman"/>
              </w:rPr>
            </w:pPr>
            <w:r w:rsidRPr="00A07F29">
              <w:rPr>
                <w:rFonts w:ascii="Times New Roman" w:eastAsia="Calibri" w:hAnsi="Times New Roman" w:cs="Times New Roman"/>
              </w:rPr>
              <w:t>1.</w:t>
            </w:r>
          </w:p>
        </w:tc>
        <w:tc>
          <w:tcPr>
            <w:tcW w:w="6413" w:type="dxa"/>
          </w:tcPr>
          <w:p w14:paraId="354C2A29" w14:textId="0DA529A1" w:rsidR="009072CE" w:rsidRPr="00A07F29" w:rsidRDefault="00BF0E06" w:rsidP="007056FA">
            <w:pPr>
              <w:spacing w:after="0" w:line="240" w:lineRule="auto"/>
              <w:rPr>
                <w:rFonts w:ascii="Times New Roman" w:eastAsia="Calibri" w:hAnsi="Times New Roman" w:cs="Times New Roman"/>
              </w:rPr>
            </w:pPr>
            <w:r w:rsidRPr="00A07F29">
              <w:rPr>
                <w:rFonts w:ascii="Times New Roman" w:eastAsia="Calibri" w:hAnsi="Times New Roman" w:cs="Times New Roman"/>
                <w:bCs/>
              </w:rPr>
              <w:t>DA plāna</w:t>
            </w:r>
            <w:r w:rsidR="009072CE" w:rsidRPr="00A07F29">
              <w:rPr>
                <w:rFonts w:ascii="Times New Roman" w:eastAsia="Calibri" w:hAnsi="Times New Roman" w:cs="Times New Roman"/>
                <w:bCs/>
              </w:rPr>
              <w:t xml:space="preserve"> izstrāde visai AAA teritorijai, sagatavojot arī ainavu telpisko plānojumu un saskaņā ar to un dabas un kultūras vērtību telpisko izvietojumu </w:t>
            </w:r>
            <w:r w:rsidR="00E9683F">
              <w:rPr>
                <w:rFonts w:ascii="Times New Roman" w:eastAsia="Calibri" w:hAnsi="Times New Roman" w:cs="Times New Roman"/>
                <w:bCs/>
              </w:rPr>
              <w:t>–</w:t>
            </w:r>
            <w:r w:rsidR="00D65BBA" w:rsidRPr="00A07F29">
              <w:rPr>
                <w:rFonts w:ascii="Times New Roman" w:eastAsia="Calibri" w:hAnsi="Times New Roman" w:cs="Times New Roman"/>
                <w:bCs/>
              </w:rPr>
              <w:t xml:space="preserve"> </w:t>
            </w:r>
            <w:r w:rsidR="009072CE" w:rsidRPr="00A07F29">
              <w:rPr>
                <w:rFonts w:ascii="Times New Roman" w:eastAsia="Calibri" w:hAnsi="Times New Roman" w:cs="Times New Roman"/>
                <w:bCs/>
              </w:rPr>
              <w:t>teritorijas zonējumu un individuālos aizsardzības un izmantošanas noteikumus</w:t>
            </w:r>
            <w:r w:rsidR="00A83209">
              <w:rPr>
                <w:rFonts w:ascii="Times New Roman" w:eastAsia="Calibri" w:hAnsi="Times New Roman" w:cs="Times New Roman"/>
                <w:bCs/>
              </w:rPr>
              <w:t>.</w:t>
            </w:r>
            <w:r w:rsidR="009072CE" w:rsidRPr="00A07F29">
              <w:rPr>
                <w:rFonts w:ascii="Times New Roman" w:eastAsia="Calibri" w:hAnsi="Times New Roman" w:cs="Times New Roman"/>
                <w:bCs/>
              </w:rPr>
              <w:t xml:space="preserve"> </w:t>
            </w:r>
          </w:p>
        </w:tc>
        <w:tc>
          <w:tcPr>
            <w:tcW w:w="1985" w:type="dxa"/>
          </w:tcPr>
          <w:p w14:paraId="45FA34BF" w14:textId="77777777" w:rsidR="009072CE" w:rsidRPr="00A07F29" w:rsidRDefault="009072CE" w:rsidP="007056FA">
            <w:pPr>
              <w:spacing w:after="0" w:line="240" w:lineRule="auto"/>
              <w:rPr>
                <w:rFonts w:ascii="Times New Roman" w:eastAsia="Calibri" w:hAnsi="Times New Roman" w:cs="Times New Roman"/>
              </w:rPr>
            </w:pPr>
            <w:r w:rsidRPr="00A07F29">
              <w:rPr>
                <w:rFonts w:ascii="Times New Roman" w:eastAsia="Calibri" w:hAnsi="Times New Roman" w:cs="Times New Roman"/>
              </w:rPr>
              <w:t>DAP sadarbībā ar pašvaldībām</w:t>
            </w:r>
          </w:p>
        </w:tc>
        <w:tc>
          <w:tcPr>
            <w:tcW w:w="2693" w:type="dxa"/>
          </w:tcPr>
          <w:p w14:paraId="2AC652AA" w14:textId="2B0767E6" w:rsidR="009072CE" w:rsidRPr="00A07F29" w:rsidRDefault="009072CE" w:rsidP="007056FA">
            <w:pPr>
              <w:spacing w:after="0" w:line="240" w:lineRule="auto"/>
              <w:rPr>
                <w:rFonts w:ascii="Times New Roman" w:eastAsia="Calibri" w:hAnsi="Times New Roman" w:cs="Times New Roman"/>
              </w:rPr>
            </w:pPr>
            <w:r w:rsidRPr="00A07F29">
              <w:rPr>
                <w:rFonts w:ascii="Times New Roman" w:eastAsia="Calibri" w:hAnsi="Times New Roman" w:cs="Times New Roman"/>
              </w:rPr>
              <w:t>Uzsākts 2018.</w:t>
            </w:r>
            <w:r w:rsidR="00DA61AD">
              <w:rPr>
                <w:rFonts w:ascii="Times New Roman" w:eastAsia="Calibri" w:hAnsi="Times New Roman" w:cs="Times New Roman"/>
              </w:rPr>
              <w:t> </w:t>
            </w:r>
            <w:r w:rsidRPr="00A07F29">
              <w:rPr>
                <w:rFonts w:ascii="Times New Roman" w:eastAsia="Calibri" w:hAnsi="Times New Roman" w:cs="Times New Roman"/>
              </w:rPr>
              <w:t>gadā</w:t>
            </w:r>
            <w:r w:rsidR="00DA61AD">
              <w:rPr>
                <w:rFonts w:ascii="Times New Roman" w:eastAsia="Calibri" w:hAnsi="Times New Roman" w:cs="Times New Roman"/>
              </w:rPr>
              <w:t>.</w:t>
            </w:r>
          </w:p>
        </w:tc>
        <w:tc>
          <w:tcPr>
            <w:tcW w:w="2977" w:type="dxa"/>
          </w:tcPr>
          <w:p w14:paraId="155DFDFB" w14:textId="77777777" w:rsidR="009072CE" w:rsidRPr="00A07F29" w:rsidRDefault="009072CE" w:rsidP="007056FA">
            <w:pPr>
              <w:spacing w:after="0" w:line="240" w:lineRule="auto"/>
              <w:rPr>
                <w:rFonts w:ascii="Times New Roman" w:eastAsia="Calibri" w:hAnsi="Times New Roman" w:cs="Times New Roman"/>
              </w:rPr>
            </w:pPr>
            <w:r w:rsidRPr="00A07F29">
              <w:rPr>
                <w:rFonts w:ascii="Times New Roman" w:eastAsia="Calibri" w:hAnsi="Times New Roman" w:cs="Times New Roman"/>
              </w:rPr>
              <w:t>Pēc plāna sagatavošanas jāvirza apstiprināšanai individuālos aizsardzības un izmantošanas noteikumus.</w:t>
            </w:r>
          </w:p>
        </w:tc>
      </w:tr>
      <w:tr w:rsidR="00665A15" w:rsidRPr="00A07F29" w14:paraId="3773C468" w14:textId="77777777" w:rsidTr="00A837DD">
        <w:tc>
          <w:tcPr>
            <w:tcW w:w="675" w:type="dxa"/>
          </w:tcPr>
          <w:p w14:paraId="62A83124" w14:textId="77777777" w:rsidR="009072CE" w:rsidRPr="00A07F29" w:rsidRDefault="009072CE" w:rsidP="007056FA">
            <w:pPr>
              <w:spacing w:after="0" w:line="240" w:lineRule="auto"/>
              <w:rPr>
                <w:rFonts w:ascii="Times New Roman" w:eastAsia="Calibri" w:hAnsi="Times New Roman" w:cs="Times New Roman"/>
              </w:rPr>
            </w:pPr>
            <w:r w:rsidRPr="00A07F29">
              <w:rPr>
                <w:rFonts w:ascii="Times New Roman" w:eastAsia="Calibri" w:hAnsi="Times New Roman" w:cs="Times New Roman"/>
              </w:rPr>
              <w:t>2.</w:t>
            </w:r>
          </w:p>
        </w:tc>
        <w:tc>
          <w:tcPr>
            <w:tcW w:w="6413" w:type="dxa"/>
          </w:tcPr>
          <w:p w14:paraId="69722205" w14:textId="38D34F00" w:rsidR="009072CE" w:rsidRPr="0003144C" w:rsidRDefault="009072CE" w:rsidP="007056FA">
            <w:pPr>
              <w:spacing w:after="0" w:line="240" w:lineRule="auto"/>
              <w:rPr>
                <w:rFonts w:ascii="Times New Roman" w:eastAsia="Calibri" w:hAnsi="Times New Roman" w:cs="Times New Roman"/>
              </w:rPr>
            </w:pPr>
            <w:r w:rsidRPr="0003144C">
              <w:rPr>
                <w:rFonts w:ascii="Times New Roman" w:eastAsia="Calibri" w:hAnsi="Times New Roman" w:cs="Times New Roman"/>
                <w:bCs/>
              </w:rPr>
              <w:t xml:space="preserve">Individuālo aizsardzības un izmantošanas noteikumu projekta sagatavošana un iesniegšana </w:t>
            </w:r>
            <w:r w:rsidR="0003144C" w:rsidRPr="0003144C">
              <w:rPr>
                <w:rFonts w:ascii="Times New Roman" w:eastAsia="Calibri" w:hAnsi="Times New Roman" w:cs="Times New Roman"/>
                <w:bCs/>
              </w:rPr>
              <w:t>MK</w:t>
            </w:r>
            <w:r w:rsidRPr="0003144C">
              <w:rPr>
                <w:rFonts w:ascii="Times New Roman" w:eastAsia="Calibri" w:hAnsi="Times New Roman" w:cs="Times New Roman"/>
                <w:bCs/>
              </w:rPr>
              <w:t xml:space="preserve"> apstiprināšanai, balstoties uz ieteikumiem pārvaldības plānā un/vai </w:t>
            </w:r>
            <w:r w:rsidR="00BF0E06" w:rsidRPr="0003144C">
              <w:rPr>
                <w:rFonts w:ascii="Times New Roman" w:eastAsia="Calibri" w:hAnsi="Times New Roman" w:cs="Times New Roman"/>
                <w:bCs/>
              </w:rPr>
              <w:t>DA plānā</w:t>
            </w:r>
            <w:r w:rsidRPr="0003144C">
              <w:rPr>
                <w:rFonts w:ascii="Times New Roman" w:eastAsia="Calibri" w:hAnsi="Times New Roman" w:cs="Times New Roman"/>
                <w:bCs/>
              </w:rPr>
              <w:t>.</w:t>
            </w:r>
          </w:p>
        </w:tc>
        <w:tc>
          <w:tcPr>
            <w:tcW w:w="1985" w:type="dxa"/>
          </w:tcPr>
          <w:p w14:paraId="5A9001E4" w14:textId="77777777" w:rsidR="009072CE" w:rsidRPr="0003144C" w:rsidRDefault="009072CE" w:rsidP="007056FA">
            <w:pPr>
              <w:spacing w:after="0" w:line="240" w:lineRule="auto"/>
              <w:rPr>
                <w:rFonts w:ascii="Times New Roman" w:eastAsia="Calibri" w:hAnsi="Times New Roman" w:cs="Times New Roman"/>
              </w:rPr>
            </w:pPr>
            <w:r w:rsidRPr="0003144C">
              <w:rPr>
                <w:rFonts w:ascii="Times New Roman" w:eastAsia="Calibri" w:hAnsi="Times New Roman" w:cs="Times New Roman"/>
              </w:rPr>
              <w:t>VARAM</w:t>
            </w:r>
          </w:p>
        </w:tc>
        <w:tc>
          <w:tcPr>
            <w:tcW w:w="2693" w:type="dxa"/>
          </w:tcPr>
          <w:p w14:paraId="61A56D21" w14:textId="6905685E" w:rsidR="009072CE" w:rsidRPr="0003144C" w:rsidRDefault="009072CE" w:rsidP="007056FA">
            <w:pPr>
              <w:spacing w:after="0" w:line="240" w:lineRule="auto"/>
              <w:rPr>
                <w:rFonts w:ascii="Times New Roman" w:eastAsia="Calibri" w:hAnsi="Times New Roman" w:cs="Times New Roman"/>
              </w:rPr>
            </w:pPr>
            <w:r w:rsidRPr="0003144C">
              <w:rPr>
                <w:rFonts w:ascii="Times New Roman" w:eastAsia="Calibri" w:hAnsi="Times New Roman" w:cs="Times New Roman"/>
              </w:rPr>
              <w:t xml:space="preserve">Projekts sagatavots </w:t>
            </w:r>
            <w:r w:rsidR="00CE0ECF" w:rsidRPr="0003144C">
              <w:rPr>
                <w:rFonts w:ascii="Times New Roman" w:eastAsia="Calibri" w:hAnsi="Times New Roman" w:cs="Times New Roman"/>
              </w:rPr>
              <w:t xml:space="preserve">AAA </w:t>
            </w:r>
            <w:r w:rsidR="00BF0E06" w:rsidRPr="0003144C">
              <w:rPr>
                <w:rFonts w:ascii="Times New Roman" w:eastAsia="Calibri" w:hAnsi="Times New Roman" w:cs="Times New Roman"/>
              </w:rPr>
              <w:t>DA plānā</w:t>
            </w:r>
            <w:r w:rsidRPr="0003144C">
              <w:rPr>
                <w:rFonts w:ascii="Times New Roman" w:eastAsia="Calibri" w:hAnsi="Times New Roman" w:cs="Times New Roman"/>
              </w:rPr>
              <w:t>.</w:t>
            </w:r>
          </w:p>
        </w:tc>
        <w:tc>
          <w:tcPr>
            <w:tcW w:w="2977" w:type="dxa"/>
          </w:tcPr>
          <w:p w14:paraId="22587B02" w14:textId="3559FA8D" w:rsidR="009072CE" w:rsidRPr="00A07F29" w:rsidRDefault="009072CE" w:rsidP="007056FA">
            <w:pPr>
              <w:spacing w:after="0" w:line="240" w:lineRule="auto"/>
              <w:rPr>
                <w:rFonts w:ascii="Times New Roman" w:eastAsia="Calibri" w:hAnsi="Times New Roman" w:cs="Times New Roman"/>
              </w:rPr>
            </w:pPr>
            <w:r w:rsidRPr="00A07F29">
              <w:rPr>
                <w:rFonts w:ascii="Times New Roman" w:eastAsia="Calibri" w:hAnsi="Times New Roman" w:cs="Times New Roman"/>
              </w:rPr>
              <w:t xml:space="preserve">Projekts sagatavots </w:t>
            </w:r>
            <w:r w:rsidR="00CE0ECF" w:rsidRPr="00A07F29">
              <w:rPr>
                <w:rFonts w:ascii="Times New Roman" w:eastAsia="Calibri" w:hAnsi="Times New Roman" w:cs="Times New Roman"/>
              </w:rPr>
              <w:t xml:space="preserve">AAA </w:t>
            </w:r>
            <w:r w:rsidR="00BF0E06" w:rsidRPr="00A07F29">
              <w:rPr>
                <w:rFonts w:ascii="Times New Roman" w:eastAsia="Calibri" w:hAnsi="Times New Roman" w:cs="Times New Roman"/>
              </w:rPr>
              <w:t>DA plānā</w:t>
            </w:r>
            <w:r w:rsidRPr="00A07F29">
              <w:rPr>
                <w:rFonts w:ascii="Times New Roman" w:eastAsia="Calibri" w:hAnsi="Times New Roman" w:cs="Times New Roman"/>
              </w:rPr>
              <w:t>.</w:t>
            </w:r>
          </w:p>
        </w:tc>
      </w:tr>
      <w:tr w:rsidR="00665A15" w:rsidRPr="00A07F29" w14:paraId="08B439EE" w14:textId="77777777" w:rsidTr="00A837DD">
        <w:tc>
          <w:tcPr>
            <w:tcW w:w="675" w:type="dxa"/>
          </w:tcPr>
          <w:p w14:paraId="6F42AAF6" w14:textId="77777777" w:rsidR="009072CE" w:rsidRPr="00A07F29" w:rsidRDefault="009072CE" w:rsidP="007056FA">
            <w:pPr>
              <w:spacing w:after="0" w:line="240" w:lineRule="auto"/>
              <w:rPr>
                <w:rFonts w:ascii="Times New Roman" w:eastAsia="Calibri" w:hAnsi="Times New Roman" w:cs="Times New Roman"/>
              </w:rPr>
            </w:pPr>
            <w:r w:rsidRPr="00A07F29">
              <w:rPr>
                <w:rFonts w:ascii="Times New Roman" w:eastAsia="Calibri" w:hAnsi="Times New Roman" w:cs="Times New Roman"/>
              </w:rPr>
              <w:t>3.</w:t>
            </w:r>
          </w:p>
        </w:tc>
        <w:tc>
          <w:tcPr>
            <w:tcW w:w="6413" w:type="dxa"/>
          </w:tcPr>
          <w:p w14:paraId="6BA58FC2" w14:textId="60C556F0" w:rsidR="009072CE" w:rsidRPr="0003144C" w:rsidRDefault="009072CE" w:rsidP="007056FA">
            <w:pPr>
              <w:spacing w:after="0" w:line="240" w:lineRule="auto"/>
              <w:rPr>
                <w:rFonts w:ascii="Times New Roman" w:eastAsia="Calibri" w:hAnsi="Times New Roman" w:cs="Times New Roman"/>
              </w:rPr>
            </w:pPr>
            <w:r w:rsidRPr="0003144C">
              <w:rPr>
                <w:rFonts w:ascii="Times New Roman" w:eastAsia="Calibri" w:hAnsi="Times New Roman" w:cs="Times New Roman"/>
                <w:bCs/>
              </w:rPr>
              <w:t xml:space="preserve">Mikroliegumu iesniegumu sagatavošana un iesniegšana mežā ligzdojošo putnu sugu atradņu aizsardzībai, Šneidera </w:t>
            </w:r>
            <w:proofErr w:type="spellStart"/>
            <w:r w:rsidRPr="0003144C">
              <w:rPr>
                <w:rFonts w:ascii="Times New Roman" w:eastAsia="Calibri" w:hAnsi="Times New Roman" w:cs="Times New Roman"/>
                <w:bCs/>
              </w:rPr>
              <w:t>mizmīļa</w:t>
            </w:r>
            <w:proofErr w:type="spellEnd"/>
            <w:r w:rsidRPr="0003144C">
              <w:rPr>
                <w:rFonts w:ascii="Times New Roman" w:eastAsia="Calibri" w:hAnsi="Times New Roman" w:cs="Times New Roman"/>
                <w:bCs/>
              </w:rPr>
              <w:t xml:space="preserve"> un nozīmīgāko abu </w:t>
            </w:r>
            <w:proofErr w:type="spellStart"/>
            <w:r w:rsidRPr="0003144C">
              <w:rPr>
                <w:rFonts w:ascii="Times New Roman" w:eastAsia="Calibri" w:hAnsi="Times New Roman" w:cs="Times New Roman"/>
                <w:bCs/>
              </w:rPr>
              <w:t>plakanstaipekņu</w:t>
            </w:r>
            <w:proofErr w:type="spellEnd"/>
            <w:r w:rsidRPr="0003144C">
              <w:rPr>
                <w:rFonts w:ascii="Times New Roman" w:eastAsia="Calibri" w:hAnsi="Times New Roman" w:cs="Times New Roman"/>
                <w:bCs/>
              </w:rPr>
              <w:t xml:space="preserve"> sugu atradņu aizsardzībai</w:t>
            </w:r>
            <w:r w:rsidR="00A83209" w:rsidRPr="0003144C">
              <w:rPr>
                <w:rFonts w:ascii="Times New Roman" w:eastAsia="Calibri" w:hAnsi="Times New Roman" w:cs="Times New Roman"/>
                <w:bCs/>
              </w:rPr>
              <w:t>.</w:t>
            </w:r>
            <w:r w:rsidRPr="0003144C">
              <w:rPr>
                <w:rFonts w:ascii="Times New Roman" w:eastAsia="Calibri" w:hAnsi="Times New Roman" w:cs="Times New Roman"/>
                <w:bCs/>
              </w:rPr>
              <w:t xml:space="preserve"> </w:t>
            </w:r>
          </w:p>
        </w:tc>
        <w:tc>
          <w:tcPr>
            <w:tcW w:w="1985" w:type="dxa"/>
          </w:tcPr>
          <w:p w14:paraId="4988F100" w14:textId="77777777" w:rsidR="009072CE" w:rsidRPr="0003144C" w:rsidRDefault="009072CE" w:rsidP="007056FA">
            <w:pPr>
              <w:spacing w:after="0" w:line="240" w:lineRule="auto"/>
              <w:rPr>
                <w:rFonts w:ascii="Times New Roman" w:eastAsia="Calibri" w:hAnsi="Times New Roman" w:cs="Times New Roman"/>
              </w:rPr>
            </w:pPr>
            <w:r w:rsidRPr="0003144C">
              <w:rPr>
                <w:rFonts w:ascii="Times New Roman" w:eastAsia="Calibri" w:hAnsi="Times New Roman" w:cs="Times New Roman"/>
              </w:rPr>
              <w:t>DAP, VMD</w:t>
            </w:r>
          </w:p>
        </w:tc>
        <w:tc>
          <w:tcPr>
            <w:tcW w:w="2693" w:type="dxa"/>
          </w:tcPr>
          <w:p w14:paraId="259259A7" w14:textId="77777777" w:rsidR="009072CE" w:rsidRPr="0003144C" w:rsidRDefault="009072CE" w:rsidP="007056FA">
            <w:pPr>
              <w:spacing w:after="0" w:line="240" w:lineRule="auto"/>
              <w:rPr>
                <w:rFonts w:ascii="Times New Roman" w:eastAsia="Calibri" w:hAnsi="Times New Roman" w:cs="Times New Roman"/>
              </w:rPr>
            </w:pPr>
            <w:r w:rsidRPr="0003144C">
              <w:rPr>
                <w:rFonts w:ascii="Times New Roman" w:eastAsia="Calibri" w:hAnsi="Times New Roman" w:cs="Times New Roman"/>
              </w:rPr>
              <w:t>Ir iesniegti daži mikroliegumu pieteikumi putnu sugu aizsardzībai.</w:t>
            </w:r>
          </w:p>
        </w:tc>
        <w:tc>
          <w:tcPr>
            <w:tcW w:w="2977" w:type="dxa"/>
          </w:tcPr>
          <w:p w14:paraId="7A862E89" w14:textId="77777777" w:rsidR="009072CE" w:rsidRPr="00A07F29" w:rsidRDefault="009072CE" w:rsidP="007056FA">
            <w:pPr>
              <w:spacing w:after="0" w:line="240" w:lineRule="auto"/>
              <w:rPr>
                <w:rFonts w:ascii="Times New Roman" w:eastAsia="Calibri" w:hAnsi="Times New Roman" w:cs="Times New Roman"/>
              </w:rPr>
            </w:pPr>
            <w:r w:rsidRPr="00A07F29">
              <w:rPr>
                <w:rFonts w:ascii="Times New Roman" w:eastAsia="Calibri" w:hAnsi="Times New Roman" w:cs="Times New Roman"/>
              </w:rPr>
              <w:t>Mikroliegumu sugas tiks aizsargātas, iekļaujot to dzīvotnes dabas lieguma vai regulējamā režīma zonās.</w:t>
            </w:r>
          </w:p>
        </w:tc>
      </w:tr>
      <w:tr w:rsidR="00665A15" w:rsidRPr="00A07F29" w14:paraId="682A2033" w14:textId="77777777" w:rsidTr="00A837DD">
        <w:tc>
          <w:tcPr>
            <w:tcW w:w="675" w:type="dxa"/>
          </w:tcPr>
          <w:p w14:paraId="051F1231" w14:textId="77777777" w:rsidR="009072CE" w:rsidRPr="00A07F29" w:rsidRDefault="009072CE" w:rsidP="007056FA">
            <w:pPr>
              <w:spacing w:after="0" w:line="240" w:lineRule="auto"/>
              <w:rPr>
                <w:rFonts w:ascii="Times New Roman" w:eastAsia="Calibri" w:hAnsi="Times New Roman" w:cs="Times New Roman"/>
              </w:rPr>
            </w:pPr>
            <w:r w:rsidRPr="00A07F29">
              <w:rPr>
                <w:rFonts w:ascii="Times New Roman" w:eastAsia="Calibri" w:hAnsi="Times New Roman" w:cs="Times New Roman"/>
              </w:rPr>
              <w:t>4.</w:t>
            </w:r>
          </w:p>
        </w:tc>
        <w:tc>
          <w:tcPr>
            <w:tcW w:w="6413" w:type="dxa"/>
          </w:tcPr>
          <w:p w14:paraId="14099428" w14:textId="64028B8A" w:rsidR="009072CE" w:rsidRPr="0003144C" w:rsidRDefault="009072CE" w:rsidP="007056FA">
            <w:pPr>
              <w:spacing w:after="0" w:line="240" w:lineRule="auto"/>
              <w:rPr>
                <w:rFonts w:ascii="Times New Roman" w:eastAsia="Calibri" w:hAnsi="Times New Roman" w:cs="Times New Roman"/>
              </w:rPr>
            </w:pPr>
            <w:r w:rsidRPr="0003144C">
              <w:rPr>
                <w:rFonts w:ascii="Times New Roman" w:eastAsia="Calibri" w:hAnsi="Times New Roman" w:cs="Times New Roman"/>
                <w:bCs/>
              </w:rPr>
              <w:t xml:space="preserve">Sagatavot un iesniegt </w:t>
            </w:r>
            <w:r w:rsidR="0003144C" w:rsidRPr="0003144C">
              <w:rPr>
                <w:rFonts w:ascii="Times New Roman" w:eastAsia="Calibri" w:hAnsi="Times New Roman" w:cs="Times New Roman"/>
                <w:bCs/>
              </w:rPr>
              <w:t>MK</w:t>
            </w:r>
            <w:r w:rsidRPr="0003144C">
              <w:rPr>
                <w:rFonts w:ascii="Times New Roman" w:eastAsia="Calibri" w:hAnsi="Times New Roman" w:cs="Times New Roman"/>
                <w:bCs/>
              </w:rPr>
              <w:t xml:space="preserve"> priekšlikumu par AAA teritorijā ietilpstošo ģeoloģisko un </w:t>
            </w:r>
            <w:proofErr w:type="spellStart"/>
            <w:r w:rsidRPr="0003144C">
              <w:rPr>
                <w:rFonts w:ascii="Times New Roman" w:eastAsia="Calibri" w:hAnsi="Times New Roman" w:cs="Times New Roman"/>
                <w:bCs/>
              </w:rPr>
              <w:t>ģeomorfoloģisko</w:t>
            </w:r>
            <w:proofErr w:type="spellEnd"/>
            <w:r w:rsidRPr="0003144C">
              <w:rPr>
                <w:rFonts w:ascii="Times New Roman" w:eastAsia="Calibri" w:hAnsi="Times New Roman" w:cs="Times New Roman"/>
                <w:bCs/>
              </w:rPr>
              <w:t xml:space="preserve"> dabas pieminekļu robežu izmaiņām</w:t>
            </w:r>
            <w:r w:rsidR="00A83209" w:rsidRPr="0003144C">
              <w:rPr>
                <w:rFonts w:ascii="Times New Roman" w:eastAsia="Calibri" w:hAnsi="Times New Roman" w:cs="Times New Roman"/>
                <w:bCs/>
              </w:rPr>
              <w:t>.</w:t>
            </w:r>
            <w:r w:rsidRPr="0003144C">
              <w:rPr>
                <w:rFonts w:ascii="Times New Roman" w:eastAsia="Calibri" w:hAnsi="Times New Roman" w:cs="Times New Roman"/>
                <w:bCs/>
              </w:rPr>
              <w:t xml:space="preserve"> </w:t>
            </w:r>
          </w:p>
        </w:tc>
        <w:tc>
          <w:tcPr>
            <w:tcW w:w="1985" w:type="dxa"/>
          </w:tcPr>
          <w:p w14:paraId="4E857867" w14:textId="77777777" w:rsidR="009072CE" w:rsidRPr="0003144C" w:rsidRDefault="009072CE" w:rsidP="007056FA">
            <w:pPr>
              <w:spacing w:after="0" w:line="240" w:lineRule="auto"/>
              <w:rPr>
                <w:rFonts w:ascii="Times New Roman" w:eastAsia="Calibri" w:hAnsi="Times New Roman" w:cs="Times New Roman"/>
              </w:rPr>
            </w:pPr>
            <w:r w:rsidRPr="0003144C">
              <w:rPr>
                <w:rFonts w:ascii="Times New Roman" w:eastAsia="Calibri" w:hAnsi="Times New Roman" w:cs="Times New Roman"/>
              </w:rPr>
              <w:t>DAP, VARAM</w:t>
            </w:r>
          </w:p>
        </w:tc>
        <w:tc>
          <w:tcPr>
            <w:tcW w:w="2693" w:type="dxa"/>
          </w:tcPr>
          <w:p w14:paraId="7168F842" w14:textId="0E137898" w:rsidR="009072CE" w:rsidRPr="0003144C" w:rsidRDefault="009072CE" w:rsidP="007056FA">
            <w:pPr>
              <w:spacing w:after="0" w:line="240" w:lineRule="auto"/>
              <w:rPr>
                <w:rFonts w:ascii="Times New Roman" w:eastAsia="Calibri" w:hAnsi="Times New Roman" w:cs="Times New Roman"/>
              </w:rPr>
            </w:pPr>
            <w:r w:rsidRPr="0003144C">
              <w:rPr>
                <w:rFonts w:ascii="Times New Roman" w:eastAsia="Calibri" w:hAnsi="Times New Roman" w:cs="Times New Roman"/>
              </w:rPr>
              <w:t xml:space="preserve">Robežu izmaiņas apstiprinātas ar </w:t>
            </w:r>
            <w:r w:rsidR="0003144C" w:rsidRPr="0003144C">
              <w:rPr>
                <w:rFonts w:ascii="Times New Roman" w:eastAsia="Calibri" w:hAnsi="Times New Roman" w:cs="Times New Roman"/>
              </w:rPr>
              <w:t>MK</w:t>
            </w:r>
            <w:r w:rsidRPr="0003144C">
              <w:rPr>
                <w:rFonts w:ascii="Times New Roman" w:eastAsia="Calibri" w:hAnsi="Times New Roman" w:cs="Times New Roman"/>
              </w:rPr>
              <w:t xml:space="preserve"> noteikumiem.</w:t>
            </w:r>
          </w:p>
        </w:tc>
        <w:tc>
          <w:tcPr>
            <w:tcW w:w="2977" w:type="dxa"/>
          </w:tcPr>
          <w:p w14:paraId="6308EAF2" w14:textId="60C6EBA2" w:rsidR="009072CE" w:rsidRPr="00A07F29" w:rsidRDefault="009072CE" w:rsidP="007056FA">
            <w:pPr>
              <w:spacing w:after="0" w:line="240" w:lineRule="auto"/>
              <w:rPr>
                <w:rFonts w:ascii="Times New Roman" w:eastAsia="Calibri" w:hAnsi="Times New Roman" w:cs="Times New Roman"/>
              </w:rPr>
            </w:pPr>
            <w:r w:rsidRPr="00A07F29">
              <w:rPr>
                <w:rFonts w:ascii="Times New Roman" w:eastAsia="Calibri" w:hAnsi="Times New Roman" w:cs="Times New Roman"/>
              </w:rPr>
              <w:t>Veikts</w:t>
            </w:r>
            <w:r w:rsidR="00C654BB">
              <w:rPr>
                <w:rFonts w:ascii="Times New Roman" w:eastAsia="Calibri" w:hAnsi="Times New Roman" w:cs="Times New Roman"/>
              </w:rPr>
              <w:t>.</w:t>
            </w:r>
          </w:p>
        </w:tc>
      </w:tr>
      <w:tr w:rsidR="00665A15" w:rsidRPr="00A07F29" w14:paraId="3F7E7305" w14:textId="77777777" w:rsidTr="00A837DD">
        <w:tc>
          <w:tcPr>
            <w:tcW w:w="675" w:type="dxa"/>
          </w:tcPr>
          <w:p w14:paraId="33224003" w14:textId="77777777" w:rsidR="009072CE" w:rsidRPr="00A07F29" w:rsidRDefault="009072CE" w:rsidP="007056FA">
            <w:pPr>
              <w:spacing w:after="0" w:line="240" w:lineRule="auto"/>
              <w:rPr>
                <w:rFonts w:ascii="Times New Roman" w:eastAsia="Calibri" w:hAnsi="Times New Roman" w:cs="Times New Roman"/>
              </w:rPr>
            </w:pPr>
            <w:r w:rsidRPr="00A07F29">
              <w:rPr>
                <w:rFonts w:ascii="Times New Roman" w:eastAsia="Calibri" w:hAnsi="Times New Roman" w:cs="Times New Roman"/>
              </w:rPr>
              <w:t>5.</w:t>
            </w:r>
          </w:p>
        </w:tc>
        <w:tc>
          <w:tcPr>
            <w:tcW w:w="6413" w:type="dxa"/>
          </w:tcPr>
          <w:p w14:paraId="43FE73C1" w14:textId="56E55726" w:rsidR="009072CE" w:rsidRPr="00A07F29" w:rsidRDefault="009072CE" w:rsidP="007056FA">
            <w:pPr>
              <w:spacing w:after="0" w:line="240" w:lineRule="auto"/>
              <w:rPr>
                <w:rFonts w:ascii="Times New Roman" w:eastAsia="Calibri" w:hAnsi="Times New Roman" w:cs="Times New Roman"/>
              </w:rPr>
            </w:pPr>
            <w:r w:rsidRPr="00A07F29">
              <w:rPr>
                <w:rFonts w:ascii="Times New Roman" w:eastAsia="Calibri" w:hAnsi="Times New Roman" w:cs="Times New Roman"/>
                <w:bCs/>
              </w:rPr>
              <w:t xml:space="preserve">Pieņemt lēmumu par vērtīgu ģeoloģisko un </w:t>
            </w:r>
            <w:proofErr w:type="spellStart"/>
            <w:r w:rsidRPr="00A07F29">
              <w:rPr>
                <w:rFonts w:ascii="Times New Roman" w:eastAsia="Calibri" w:hAnsi="Times New Roman" w:cs="Times New Roman"/>
                <w:bCs/>
              </w:rPr>
              <w:t>ģeomorfoloģisko</w:t>
            </w:r>
            <w:proofErr w:type="spellEnd"/>
            <w:r w:rsidRPr="00A07F29">
              <w:rPr>
                <w:rFonts w:ascii="Times New Roman" w:eastAsia="Calibri" w:hAnsi="Times New Roman" w:cs="Times New Roman"/>
                <w:bCs/>
              </w:rPr>
              <w:t xml:space="preserve"> dabas objektu, kas atrodas AAA teritorijā, aizsardzības statusa nodrošināšanu, aizsardzību</w:t>
            </w:r>
            <w:r w:rsidR="00D65BBA" w:rsidRPr="00A07F29">
              <w:rPr>
                <w:rFonts w:ascii="Times New Roman" w:eastAsia="Calibri" w:hAnsi="Times New Roman" w:cs="Times New Roman"/>
                <w:bCs/>
              </w:rPr>
              <w:t xml:space="preserve"> </w:t>
            </w:r>
            <w:r w:rsidRPr="00A07F29">
              <w:rPr>
                <w:rFonts w:ascii="Times New Roman" w:eastAsia="Calibri" w:hAnsi="Times New Roman" w:cs="Times New Roman"/>
                <w:bCs/>
              </w:rPr>
              <w:t xml:space="preserve">un </w:t>
            </w:r>
            <w:r w:rsidRPr="0003144C">
              <w:rPr>
                <w:rFonts w:ascii="Times New Roman" w:eastAsia="Calibri" w:hAnsi="Times New Roman" w:cs="Times New Roman"/>
                <w:bCs/>
              </w:rPr>
              <w:t xml:space="preserve">iesniegt </w:t>
            </w:r>
            <w:r w:rsidR="0003144C" w:rsidRPr="0003144C">
              <w:rPr>
                <w:rFonts w:ascii="Times New Roman" w:eastAsia="Calibri" w:hAnsi="Times New Roman" w:cs="Times New Roman"/>
                <w:bCs/>
              </w:rPr>
              <w:t>MK</w:t>
            </w:r>
            <w:r w:rsidRPr="00A07F29">
              <w:rPr>
                <w:rFonts w:ascii="Times New Roman" w:eastAsia="Calibri" w:hAnsi="Times New Roman" w:cs="Times New Roman"/>
                <w:bCs/>
              </w:rPr>
              <w:t xml:space="preserve"> priekšlikumu par </w:t>
            </w:r>
            <w:r w:rsidR="000D651F">
              <w:rPr>
                <w:rFonts w:ascii="Times New Roman" w:eastAsia="Calibri" w:hAnsi="Times New Roman" w:cs="Times New Roman"/>
                <w:bCs/>
              </w:rPr>
              <w:t>dabas pieminekļu</w:t>
            </w:r>
            <w:r w:rsidRPr="00A07F29">
              <w:rPr>
                <w:rFonts w:ascii="Times New Roman" w:eastAsia="Calibri" w:hAnsi="Times New Roman" w:cs="Times New Roman"/>
                <w:bCs/>
              </w:rPr>
              <w:t xml:space="preserve"> robežu maiņu grozījumiem MK noteikumos </w:t>
            </w:r>
            <w:r w:rsidR="00456E7C">
              <w:rPr>
                <w:rFonts w:ascii="Times New Roman" w:eastAsia="Calibri" w:hAnsi="Times New Roman" w:cs="Times New Roman"/>
                <w:bCs/>
              </w:rPr>
              <w:t>“</w:t>
            </w:r>
            <w:r w:rsidRPr="00A07F29">
              <w:rPr>
                <w:rFonts w:ascii="Times New Roman" w:eastAsia="Calibri" w:hAnsi="Times New Roman" w:cs="Times New Roman"/>
                <w:bCs/>
                <w:i/>
                <w:iCs/>
              </w:rPr>
              <w:t xml:space="preserve">Noteikumi par aizsargājamiem ģeoloģiskajiem un </w:t>
            </w:r>
            <w:proofErr w:type="spellStart"/>
            <w:r w:rsidRPr="00A07F29">
              <w:rPr>
                <w:rFonts w:ascii="Times New Roman" w:eastAsia="Calibri" w:hAnsi="Times New Roman" w:cs="Times New Roman"/>
                <w:bCs/>
                <w:i/>
                <w:iCs/>
              </w:rPr>
              <w:t>ģeomorfoloģiskajiem</w:t>
            </w:r>
            <w:proofErr w:type="spellEnd"/>
            <w:r w:rsidRPr="00A07F29">
              <w:rPr>
                <w:rFonts w:ascii="Times New Roman" w:eastAsia="Calibri" w:hAnsi="Times New Roman" w:cs="Times New Roman"/>
                <w:bCs/>
                <w:i/>
                <w:iCs/>
              </w:rPr>
              <w:t xml:space="preserve"> dabas pieminekļiem</w:t>
            </w:r>
            <w:r w:rsidRPr="00A07F29">
              <w:rPr>
                <w:rFonts w:ascii="Times New Roman" w:eastAsia="Calibri" w:hAnsi="Times New Roman" w:cs="Times New Roman"/>
                <w:bCs/>
              </w:rPr>
              <w:t>” vai ieteikt pašvaldībām pieņemt lēmumu par vietējas nozīmes dabas pieminekļu statusu.</w:t>
            </w:r>
          </w:p>
        </w:tc>
        <w:tc>
          <w:tcPr>
            <w:tcW w:w="1985" w:type="dxa"/>
          </w:tcPr>
          <w:p w14:paraId="13AB8397" w14:textId="77777777" w:rsidR="009072CE" w:rsidRPr="00A07F29" w:rsidRDefault="009072CE" w:rsidP="007056FA">
            <w:pPr>
              <w:spacing w:after="0" w:line="240" w:lineRule="auto"/>
              <w:rPr>
                <w:rFonts w:ascii="Times New Roman" w:eastAsia="Calibri" w:hAnsi="Times New Roman" w:cs="Times New Roman"/>
              </w:rPr>
            </w:pPr>
            <w:r w:rsidRPr="00A07F29">
              <w:rPr>
                <w:rFonts w:ascii="Times New Roman" w:eastAsia="Calibri" w:hAnsi="Times New Roman" w:cs="Times New Roman"/>
              </w:rPr>
              <w:t>DAP, VARAM</w:t>
            </w:r>
          </w:p>
        </w:tc>
        <w:tc>
          <w:tcPr>
            <w:tcW w:w="2693" w:type="dxa"/>
          </w:tcPr>
          <w:p w14:paraId="35E3EE7B" w14:textId="77777777" w:rsidR="009072CE" w:rsidRPr="00A07F29" w:rsidRDefault="009072CE" w:rsidP="007056FA">
            <w:pPr>
              <w:spacing w:after="0" w:line="240" w:lineRule="auto"/>
              <w:rPr>
                <w:rFonts w:ascii="Times New Roman" w:eastAsia="Calibri" w:hAnsi="Times New Roman" w:cs="Times New Roman"/>
              </w:rPr>
            </w:pPr>
            <w:r w:rsidRPr="00A07F29">
              <w:rPr>
                <w:rFonts w:ascii="Times New Roman" w:eastAsia="Calibri" w:hAnsi="Times New Roman" w:cs="Times New Roman"/>
              </w:rPr>
              <w:t>Vairāki ģeoloģiskie objekti ir bez aizsardzības statusa.</w:t>
            </w:r>
          </w:p>
        </w:tc>
        <w:tc>
          <w:tcPr>
            <w:tcW w:w="2977" w:type="dxa"/>
          </w:tcPr>
          <w:p w14:paraId="0440A81F" w14:textId="41950796" w:rsidR="009072CE" w:rsidRPr="00A07F29" w:rsidRDefault="009072CE" w:rsidP="007056FA">
            <w:pPr>
              <w:spacing w:after="0" w:line="240" w:lineRule="auto"/>
              <w:rPr>
                <w:rFonts w:ascii="Times New Roman" w:eastAsia="Calibri" w:hAnsi="Times New Roman" w:cs="Times New Roman"/>
              </w:rPr>
            </w:pPr>
            <w:r w:rsidRPr="00A07F29">
              <w:rPr>
                <w:rFonts w:ascii="Times New Roman" w:eastAsia="Calibri" w:hAnsi="Times New Roman" w:cs="Times New Roman"/>
              </w:rPr>
              <w:t>Jāizvērtē iespēju to teritorijas iekļaut zonējumā</w:t>
            </w:r>
            <w:r w:rsidR="009F7358" w:rsidRPr="00A07F29">
              <w:rPr>
                <w:rFonts w:ascii="Times New Roman" w:eastAsia="Calibri" w:hAnsi="Times New Roman" w:cs="Times New Roman"/>
              </w:rPr>
              <w:t xml:space="preserve"> vai rosināt tām noteikt dabas pieminekļu statusu</w:t>
            </w:r>
            <w:r w:rsidRPr="00A07F29">
              <w:rPr>
                <w:rFonts w:ascii="Times New Roman" w:eastAsia="Calibri" w:hAnsi="Times New Roman" w:cs="Times New Roman"/>
              </w:rPr>
              <w:t>.</w:t>
            </w:r>
          </w:p>
        </w:tc>
      </w:tr>
      <w:tr w:rsidR="00665A15" w:rsidRPr="00A07F29" w14:paraId="2D4EEA7C" w14:textId="77777777" w:rsidTr="00A837DD">
        <w:tc>
          <w:tcPr>
            <w:tcW w:w="675" w:type="dxa"/>
          </w:tcPr>
          <w:p w14:paraId="710F64C6" w14:textId="77777777" w:rsidR="009072CE" w:rsidRPr="00A07F29" w:rsidRDefault="009072CE" w:rsidP="007056FA">
            <w:pPr>
              <w:spacing w:after="0" w:line="240" w:lineRule="auto"/>
              <w:rPr>
                <w:rFonts w:ascii="Times New Roman" w:eastAsia="Calibri" w:hAnsi="Times New Roman" w:cs="Times New Roman"/>
              </w:rPr>
            </w:pPr>
            <w:r w:rsidRPr="00A07F29">
              <w:rPr>
                <w:rFonts w:ascii="Times New Roman" w:eastAsia="Calibri" w:hAnsi="Times New Roman" w:cs="Times New Roman"/>
              </w:rPr>
              <w:t>6.</w:t>
            </w:r>
          </w:p>
        </w:tc>
        <w:tc>
          <w:tcPr>
            <w:tcW w:w="6413" w:type="dxa"/>
          </w:tcPr>
          <w:p w14:paraId="7699F796" w14:textId="77777777" w:rsidR="009072CE" w:rsidRPr="00A07F29" w:rsidRDefault="009072CE" w:rsidP="007056FA">
            <w:pPr>
              <w:spacing w:after="0" w:line="240" w:lineRule="auto"/>
              <w:rPr>
                <w:rFonts w:ascii="Times New Roman" w:eastAsia="Calibri" w:hAnsi="Times New Roman" w:cs="Times New Roman"/>
              </w:rPr>
            </w:pPr>
            <w:r w:rsidRPr="00A07F29">
              <w:rPr>
                <w:rFonts w:ascii="Times New Roman" w:eastAsia="Calibri" w:hAnsi="Times New Roman" w:cs="Times New Roman"/>
                <w:bCs/>
              </w:rPr>
              <w:t>Krāslavas pilsētas teritorijā izvietot informatīvus stendus par kaiju kolonijās uz salām ligzdojošajām sugām.</w:t>
            </w:r>
          </w:p>
        </w:tc>
        <w:tc>
          <w:tcPr>
            <w:tcW w:w="1985" w:type="dxa"/>
          </w:tcPr>
          <w:p w14:paraId="0BBC38D8" w14:textId="2D635B8F" w:rsidR="009072CE" w:rsidRPr="00A07F29" w:rsidRDefault="009072CE" w:rsidP="007056FA">
            <w:pPr>
              <w:spacing w:after="0" w:line="240" w:lineRule="auto"/>
              <w:rPr>
                <w:rFonts w:ascii="Times New Roman" w:eastAsia="Calibri" w:hAnsi="Times New Roman" w:cs="Times New Roman"/>
              </w:rPr>
            </w:pPr>
            <w:r w:rsidRPr="00A07F29">
              <w:rPr>
                <w:rFonts w:ascii="Times New Roman" w:eastAsia="Calibri" w:hAnsi="Times New Roman" w:cs="Times New Roman"/>
              </w:rPr>
              <w:t xml:space="preserve">DAP sadarbībā ar Krāslavas novada </w:t>
            </w:r>
            <w:r w:rsidR="00A83209">
              <w:rPr>
                <w:rFonts w:ascii="Times New Roman" w:eastAsia="Calibri" w:hAnsi="Times New Roman" w:cs="Times New Roman"/>
              </w:rPr>
              <w:t>d</w:t>
            </w:r>
            <w:r w:rsidRPr="00A07F29">
              <w:rPr>
                <w:rFonts w:ascii="Times New Roman" w:eastAsia="Calibri" w:hAnsi="Times New Roman" w:cs="Times New Roman"/>
              </w:rPr>
              <w:t>omi</w:t>
            </w:r>
          </w:p>
        </w:tc>
        <w:tc>
          <w:tcPr>
            <w:tcW w:w="2693" w:type="dxa"/>
          </w:tcPr>
          <w:p w14:paraId="4EDD79FB" w14:textId="57BC36B8" w:rsidR="009072CE" w:rsidRPr="00A07F29" w:rsidRDefault="009072CE" w:rsidP="007056FA">
            <w:pPr>
              <w:spacing w:after="0" w:line="240" w:lineRule="auto"/>
              <w:rPr>
                <w:rFonts w:ascii="Times New Roman" w:eastAsia="Calibri" w:hAnsi="Times New Roman" w:cs="Times New Roman"/>
              </w:rPr>
            </w:pPr>
            <w:r w:rsidRPr="00A07F29">
              <w:rPr>
                <w:rFonts w:ascii="Times New Roman" w:eastAsia="Calibri" w:hAnsi="Times New Roman" w:cs="Times New Roman"/>
              </w:rPr>
              <w:t>Nav veikts</w:t>
            </w:r>
            <w:r w:rsidR="00A83209">
              <w:rPr>
                <w:rFonts w:ascii="Times New Roman" w:eastAsia="Calibri" w:hAnsi="Times New Roman" w:cs="Times New Roman"/>
              </w:rPr>
              <w:t>.</w:t>
            </w:r>
          </w:p>
        </w:tc>
        <w:tc>
          <w:tcPr>
            <w:tcW w:w="2977" w:type="dxa"/>
          </w:tcPr>
          <w:p w14:paraId="219D5EEA" w14:textId="6A8C0C67" w:rsidR="009072CE" w:rsidRPr="00A07F29" w:rsidRDefault="009072CE" w:rsidP="007056FA">
            <w:pPr>
              <w:spacing w:after="0" w:line="240" w:lineRule="auto"/>
              <w:rPr>
                <w:rFonts w:ascii="Times New Roman" w:eastAsia="Calibri" w:hAnsi="Times New Roman" w:cs="Times New Roman"/>
              </w:rPr>
            </w:pPr>
            <w:r w:rsidRPr="00A07F29">
              <w:rPr>
                <w:rFonts w:ascii="Times New Roman" w:eastAsia="Calibri" w:hAnsi="Times New Roman" w:cs="Times New Roman"/>
              </w:rPr>
              <w:t>Aktuāli</w:t>
            </w:r>
            <w:r w:rsidR="00A83209">
              <w:rPr>
                <w:rFonts w:ascii="Times New Roman" w:eastAsia="Calibri" w:hAnsi="Times New Roman" w:cs="Times New Roman"/>
              </w:rPr>
              <w:t>.</w:t>
            </w:r>
          </w:p>
        </w:tc>
      </w:tr>
      <w:tr w:rsidR="00665A15" w:rsidRPr="00A07F29" w14:paraId="597B8E39" w14:textId="77777777" w:rsidTr="00A837DD">
        <w:tc>
          <w:tcPr>
            <w:tcW w:w="675" w:type="dxa"/>
          </w:tcPr>
          <w:p w14:paraId="478668B8" w14:textId="77777777" w:rsidR="009072CE" w:rsidRPr="00A07F29" w:rsidRDefault="009072CE" w:rsidP="007056FA">
            <w:pPr>
              <w:spacing w:after="0" w:line="240" w:lineRule="auto"/>
              <w:rPr>
                <w:rFonts w:ascii="Times New Roman" w:eastAsia="Calibri" w:hAnsi="Times New Roman" w:cs="Times New Roman"/>
              </w:rPr>
            </w:pPr>
            <w:r w:rsidRPr="00A07F29">
              <w:rPr>
                <w:rFonts w:ascii="Times New Roman" w:eastAsia="Calibri" w:hAnsi="Times New Roman" w:cs="Times New Roman"/>
              </w:rPr>
              <w:t>7.</w:t>
            </w:r>
          </w:p>
        </w:tc>
        <w:tc>
          <w:tcPr>
            <w:tcW w:w="6413" w:type="dxa"/>
          </w:tcPr>
          <w:p w14:paraId="0A6C343D" w14:textId="77777777" w:rsidR="009072CE" w:rsidRPr="00A07F29" w:rsidRDefault="009072CE" w:rsidP="007056FA">
            <w:pPr>
              <w:spacing w:after="0" w:line="240" w:lineRule="auto"/>
              <w:rPr>
                <w:rFonts w:ascii="Times New Roman" w:eastAsia="Calibri" w:hAnsi="Times New Roman" w:cs="Times New Roman"/>
              </w:rPr>
            </w:pPr>
            <w:r w:rsidRPr="00A07F29">
              <w:rPr>
                <w:rFonts w:ascii="Times New Roman" w:eastAsia="Calibri" w:hAnsi="Times New Roman" w:cs="Times New Roman"/>
                <w:bCs/>
              </w:rPr>
              <w:t xml:space="preserve">Uzstādīt brīdinājuma un informācijas zīmes </w:t>
            </w:r>
            <w:proofErr w:type="spellStart"/>
            <w:r w:rsidRPr="00A07F29">
              <w:rPr>
                <w:rFonts w:ascii="Times New Roman" w:eastAsia="Calibri" w:hAnsi="Times New Roman" w:cs="Times New Roman"/>
                <w:bCs/>
              </w:rPr>
              <w:t>laivotājiem</w:t>
            </w:r>
            <w:proofErr w:type="spellEnd"/>
            <w:r w:rsidRPr="00A07F29">
              <w:rPr>
                <w:rFonts w:ascii="Times New Roman" w:eastAsia="Calibri" w:hAnsi="Times New Roman" w:cs="Times New Roman"/>
                <w:bCs/>
              </w:rPr>
              <w:t xml:space="preserve">, lai novērstu izkāpšanu uz salām, kur ligzdo </w:t>
            </w:r>
            <w:proofErr w:type="spellStart"/>
            <w:r w:rsidRPr="00A07F29">
              <w:rPr>
                <w:rFonts w:ascii="Times New Roman" w:eastAsia="Calibri" w:hAnsi="Times New Roman" w:cs="Times New Roman"/>
                <w:bCs/>
              </w:rPr>
              <w:t>kaijveidīgie</w:t>
            </w:r>
            <w:proofErr w:type="spellEnd"/>
            <w:r w:rsidRPr="00A07F29">
              <w:rPr>
                <w:rFonts w:ascii="Times New Roman" w:eastAsia="Calibri" w:hAnsi="Times New Roman" w:cs="Times New Roman"/>
                <w:bCs/>
              </w:rPr>
              <w:t xml:space="preserve"> putni, izglītot laivošanas pakalpojumu sniedzējus. </w:t>
            </w:r>
          </w:p>
        </w:tc>
        <w:tc>
          <w:tcPr>
            <w:tcW w:w="1985" w:type="dxa"/>
          </w:tcPr>
          <w:p w14:paraId="741CB005" w14:textId="77777777" w:rsidR="009072CE" w:rsidRPr="00A07F29" w:rsidRDefault="009072CE" w:rsidP="007056FA">
            <w:pPr>
              <w:spacing w:after="0" w:line="240" w:lineRule="auto"/>
              <w:rPr>
                <w:rFonts w:ascii="Times New Roman" w:eastAsia="Calibri" w:hAnsi="Times New Roman" w:cs="Times New Roman"/>
              </w:rPr>
            </w:pPr>
            <w:r w:rsidRPr="00A07F29">
              <w:rPr>
                <w:rFonts w:ascii="Times New Roman" w:eastAsia="Calibri" w:hAnsi="Times New Roman" w:cs="Times New Roman"/>
              </w:rPr>
              <w:t>DAP sadarbībā ar pakalpojumu sniedzējiem</w:t>
            </w:r>
          </w:p>
        </w:tc>
        <w:tc>
          <w:tcPr>
            <w:tcW w:w="2693" w:type="dxa"/>
          </w:tcPr>
          <w:p w14:paraId="0B99A1F0" w14:textId="19C4CA46" w:rsidR="009072CE" w:rsidRPr="00A07F29" w:rsidRDefault="009072CE" w:rsidP="007056FA">
            <w:pPr>
              <w:spacing w:after="0" w:line="240" w:lineRule="auto"/>
              <w:rPr>
                <w:rFonts w:ascii="Times New Roman" w:eastAsia="Calibri" w:hAnsi="Times New Roman" w:cs="Times New Roman"/>
              </w:rPr>
            </w:pPr>
            <w:r w:rsidRPr="00A07F29">
              <w:rPr>
                <w:rFonts w:ascii="Times New Roman" w:eastAsia="Calibri" w:hAnsi="Times New Roman" w:cs="Times New Roman"/>
              </w:rPr>
              <w:t>Nav veikts</w:t>
            </w:r>
            <w:r w:rsidR="00A83209">
              <w:rPr>
                <w:rFonts w:ascii="Times New Roman" w:eastAsia="Calibri" w:hAnsi="Times New Roman" w:cs="Times New Roman"/>
              </w:rPr>
              <w:t>.</w:t>
            </w:r>
          </w:p>
        </w:tc>
        <w:tc>
          <w:tcPr>
            <w:tcW w:w="2977" w:type="dxa"/>
          </w:tcPr>
          <w:p w14:paraId="1FE619E1" w14:textId="2D90A6C3" w:rsidR="009072CE" w:rsidRPr="00A07F29" w:rsidRDefault="009072CE" w:rsidP="007056FA">
            <w:pPr>
              <w:spacing w:after="0" w:line="240" w:lineRule="auto"/>
              <w:rPr>
                <w:rFonts w:ascii="Times New Roman" w:eastAsia="Calibri" w:hAnsi="Times New Roman" w:cs="Times New Roman"/>
              </w:rPr>
            </w:pPr>
            <w:r w:rsidRPr="00A07F29">
              <w:rPr>
                <w:rFonts w:ascii="Times New Roman" w:eastAsia="Calibri" w:hAnsi="Times New Roman" w:cs="Times New Roman"/>
              </w:rPr>
              <w:t>Aktuāli</w:t>
            </w:r>
            <w:r w:rsidR="00A83209">
              <w:rPr>
                <w:rFonts w:ascii="Times New Roman" w:eastAsia="Calibri" w:hAnsi="Times New Roman" w:cs="Times New Roman"/>
              </w:rPr>
              <w:t>.</w:t>
            </w:r>
          </w:p>
        </w:tc>
      </w:tr>
      <w:tr w:rsidR="00665A15" w:rsidRPr="00A07F29" w14:paraId="19CA9A81" w14:textId="77777777" w:rsidTr="00A837DD">
        <w:tc>
          <w:tcPr>
            <w:tcW w:w="675" w:type="dxa"/>
          </w:tcPr>
          <w:p w14:paraId="740C1777" w14:textId="36C970A6" w:rsidR="009072CE" w:rsidRPr="00A07F29" w:rsidRDefault="005F4236" w:rsidP="007056FA">
            <w:pPr>
              <w:spacing w:after="0" w:line="240" w:lineRule="auto"/>
              <w:rPr>
                <w:rFonts w:ascii="Times New Roman" w:eastAsia="Calibri" w:hAnsi="Times New Roman" w:cs="Times New Roman"/>
              </w:rPr>
            </w:pPr>
            <w:r w:rsidRPr="00A07F29">
              <w:rPr>
                <w:rFonts w:ascii="Times New Roman" w:eastAsia="Calibri" w:hAnsi="Times New Roman" w:cs="Times New Roman"/>
              </w:rPr>
              <w:t>8.</w:t>
            </w:r>
          </w:p>
        </w:tc>
        <w:tc>
          <w:tcPr>
            <w:tcW w:w="6413" w:type="dxa"/>
          </w:tcPr>
          <w:p w14:paraId="0EED2C9D" w14:textId="77777777" w:rsidR="009072CE" w:rsidRPr="00A07F29" w:rsidRDefault="009072CE" w:rsidP="007056FA">
            <w:pPr>
              <w:spacing w:after="0" w:line="240" w:lineRule="auto"/>
              <w:rPr>
                <w:rFonts w:ascii="Times New Roman" w:eastAsia="Calibri" w:hAnsi="Times New Roman" w:cs="Times New Roman"/>
              </w:rPr>
            </w:pPr>
            <w:r w:rsidRPr="00A07F29">
              <w:rPr>
                <w:rFonts w:ascii="Times New Roman" w:eastAsia="Calibri" w:hAnsi="Times New Roman" w:cs="Times New Roman"/>
                <w:bCs/>
              </w:rPr>
              <w:t>Sagatavot informāciju masu medijiem par teritorijas dabas un kultūras vērtībām.</w:t>
            </w:r>
          </w:p>
        </w:tc>
        <w:tc>
          <w:tcPr>
            <w:tcW w:w="1985" w:type="dxa"/>
          </w:tcPr>
          <w:p w14:paraId="3BD54A98" w14:textId="77777777" w:rsidR="009072CE" w:rsidRPr="00A07F29" w:rsidRDefault="009072CE" w:rsidP="007056FA">
            <w:pPr>
              <w:spacing w:after="0" w:line="240" w:lineRule="auto"/>
              <w:rPr>
                <w:rFonts w:ascii="Times New Roman" w:eastAsia="Calibri" w:hAnsi="Times New Roman" w:cs="Times New Roman"/>
              </w:rPr>
            </w:pPr>
            <w:r w:rsidRPr="00A07F29">
              <w:rPr>
                <w:rFonts w:ascii="Times New Roman" w:eastAsia="Calibri" w:hAnsi="Times New Roman" w:cs="Times New Roman"/>
              </w:rPr>
              <w:t>DAP</w:t>
            </w:r>
          </w:p>
        </w:tc>
        <w:tc>
          <w:tcPr>
            <w:tcW w:w="2693" w:type="dxa"/>
          </w:tcPr>
          <w:p w14:paraId="009B6E9B" w14:textId="76FA5044" w:rsidR="009072CE" w:rsidRPr="00A07F29" w:rsidRDefault="009072CE" w:rsidP="007056FA">
            <w:pPr>
              <w:spacing w:after="0" w:line="240" w:lineRule="auto"/>
              <w:rPr>
                <w:rFonts w:ascii="Times New Roman" w:eastAsia="Calibri" w:hAnsi="Times New Roman" w:cs="Times New Roman"/>
              </w:rPr>
            </w:pPr>
            <w:r w:rsidRPr="00A07F29">
              <w:rPr>
                <w:rFonts w:ascii="Times New Roman" w:eastAsia="Calibri" w:hAnsi="Times New Roman" w:cs="Times New Roman"/>
              </w:rPr>
              <w:t>Ir sagatavota informācija presei, dalība raidījumos</w:t>
            </w:r>
            <w:r w:rsidR="009F76A5">
              <w:rPr>
                <w:rFonts w:ascii="Times New Roman" w:eastAsia="Calibri" w:hAnsi="Times New Roman" w:cs="Times New Roman"/>
              </w:rPr>
              <w:t>.</w:t>
            </w:r>
          </w:p>
        </w:tc>
        <w:tc>
          <w:tcPr>
            <w:tcW w:w="2977" w:type="dxa"/>
          </w:tcPr>
          <w:p w14:paraId="65EEEB6D" w14:textId="7BE63969" w:rsidR="009072CE" w:rsidRPr="00A07F29" w:rsidRDefault="009072CE" w:rsidP="007056FA">
            <w:pPr>
              <w:spacing w:after="0" w:line="240" w:lineRule="auto"/>
              <w:rPr>
                <w:rFonts w:ascii="Times New Roman" w:eastAsia="Calibri" w:hAnsi="Times New Roman" w:cs="Times New Roman"/>
              </w:rPr>
            </w:pPr>
            <w:r w:rsidRPr="00A07F29">
              <w:rPr>
                <w:rFonts w:ascii="Times New Roman" w:eastAsia="Calibri" w:hAnsi="Times New Roman" w:cs="Times New Roman"/>
              </w:rPr>
              <w:t>Regulārs pasākums, ko nav nepieciešams iekļaut DA plānā</w:t>
            </w:r>
            <w:r w:rsidR="009F76A5">
              <w:rPr>
                <w:rFonts w:ascii="Times New Roman" w:eastAsia="Calibri" w:hAnsi="Times New Roman" w:cs="Times New Roman"/>
              </w:rPr>
              <w:t>.</w:t>
            </w:r>
          </w:p>
        </w:tc>
      </w:tr>
      <w:tr w:rsidR="00665A15" w:rsidRPr="00A07F29" w14:paraId="0E3D9A85" w14:textId="77777777" w:rsidTr="00A837DD">
        <w:tc>
          <w:tcPr>
            <w:tcW w:w="675" w:type="dxa"/>
          </w:tcPr>
          <w:p w14:paraId="0C960701" w14:textId="5A677FB4" w:rsidR="009072CE" w:rsidRPr="00A07F29" w:rsidRDefault="005F4236" w:rsidP="007056FA">
            <w:pPr>
              <w:spacing w:after="0" w:line="240" w:lineRule="auto"/>
              <w:rPr>
                <w:rFonts w:ascii="Times New Roman" w:eastAsia="Calibri" w:hAnsi="Times New Roman" w:cs="Times New Roman"/>
              </w:rPr>
            </w:pPr>
            <w:r w:rsidRPr="00A07F29">
              <w:rPr>
                <w:rFonts w:ascii="Times New Roman" w:eastAsia="Calibri" w:hAnsi="Times New Roman" w:cs="Times New Roman"/>
              </w:rPr>
              <w:lastRenderedPageBreak/>
              <w:t>9.</w:t>
            </w:r>
          </w:p>
        </w:tc>
        <w:tc>
          <w:tcPr>
            <w:tcW w:w="6413" w:type="dxa"/>
          </w:tcPr>
          <w:p w14:paraId="7297776B" w14:textId="77777777" w:rsidR="009072CE" w:rsidRPr="00A07F29" w:rsidRDefault="009072CE" w:rsidP="007056FA">
            <w:pPr>
              <w:spacing w:after="0" w:line="240" w:lineRule="auto"/>
              <w:rPr>
                <w:rFonts w:ascii="Times New Roman" w:eastAsia="Calibri" w:hAnsi="Times New Roman" w:cs="Times New Roman"/>
              </w:rPr>
            </w:pPr>
            <w:r w:rsidRPr="00A07F29">
              <w:rPr>
                <w:rFonts w:ascii="Times New Roman" w:eastAsia="Calibri" w:hAnsi="Times New Roman" w:cs="Times New Roman"/>
                <w:bCs/>
              </w:rPr>
              <w:t xml:space="preserve">Organizēt seminārus pašvaldībām un iedzīvotājiem par teritorijas dabas un kultūras vērtībām. </w:t>
            </w:r>
          </w:p>
        </w:tc>
        <w:tc>
          <w:tcPr>
            <w:tcW w:w="1985" w:type="dxa"/>
          </w:tcPr>
          <w:p w14:paraId="37CD3DB5" w14:textId="77777777" w:rsidR="009072CE" w:rsidRPr="00A07F29" w:rsidRDefault="009072CE" w:rsidP="007056FA">
            <w:pPr>
              <w:spacing w:after="0" w:line="240" w:lineRule="auto"/>
              <w:rPr>
                <w:rFonts w:ascii="Times New Roman" w:eastAsia="Calibri" w:hAnsi="Times New Roman" w:cs="Times New Roman"/>
              </w:rPr>
            </w:pPr>
            <w:r w:rsidRPr="00A07F29">
              <w:rPr>
                <w:rFonts w:ascii="Times New Roman" w:eastAsia="Calibri" w:hAnsi="Times New Roman" w:cs="Times New Roman"/>
              </w:rPr>
              <w:t>DAP sadarbībā ar pašvaldībām</w:t>
            </w:r>
          </w:p>
        </w:tc>
        <w:tc>
          <w:tcPr>
            <w:tcW w:w="2693" w:type="dxa"/>
          </w:tcPr>
          <w:p w14:paraId="57C509B7" w14:textId="2684FED3" w:rsidR="009072CE" w:rsidRPr="00A07F29" w:rsidRDefault="009072CE" w:rsidP="007056FA">
            <w:pPr>
              <w:spacing w:after="0" w:line="240" w:lineRule="auto"/>
              <w:rPr>
                <w:rFonts w:ascii="Times New Roman" w:eastAsia="Calibri" w:hAnsi="Times New Roman" w:cs="Times New Roman"/>
              </w:rPr>
            </w:pPr>
            <w:r w:rsidRPr="00A07F29">
              <w:rPr>
                <w:rFonts w:ascii="Times New Roman" w:eastAsia="Calibri" w:hAnsi="Times New Roman" w:cs="Times New Roman"/>
              </w:rPr>
              <w:t>Semināri organizēti, dalība citu organizētos semināros</w:t>
            </w:r>
            <w:r w:rsidR="0074377B">
              <w:rPr>
                <w:rFonts w:ascii="Times New Roman" w:eastAsia="Calibri" w:hAnsi="Times New Roman" w:cs="Times New Roman"/>
              </w:rPr>
              <w:t>.</w:t>
            </w:r>
          </w:p>
        </w:tc>
        <w:tc>
          <w:tcPr>
            <w:tcW w:w="2977" w:type="dxa"/>
          </w:tcPr>
          <w:p w14:paraId="3D129DD4" w14:textId="1F383717" w:rsidR="00A05DC9" w:rsidRPr="00A07F29" w:rsidRDefault="00A05DC9" w:rsidP="00A05DC9">
            <w:pPr>
              <w:spacing w:after="0" w:line="240" w:lineRule="auto"/>
              <w:rPr>
                <w:rFonts w:ascii="Times New Roman" w:eastAsia="Calibri" w:hAnsi="Times New Roman" w:cs="Times New Roman"/>
              </w:rPr>
            </w:pPr>
            <w:r w:rsidRPr="00A07F29">
              <w:rPr>
                <w:rFonts w:ascii="Times New Roman" w:eastAsia="Calibri" w:hAnsi="Times New Roman" w:cs="Times New Roman"/>
              </w:rPr>
              <w:t>Joprojām aktuāli.</w:t>
            </w:r>
          </w:p>
        </w:tc>
      </w:tr>
      <w:tr w:rsidR="00665A15" w:rsidRPr="00A07F29" w14:paraId="4FE01157" w14:textId="77777777" w:rsidTr="00A837DD">
        <w:tc>
          <w:tcPr>
            <w:tcW w:w="675" w:type="dxa"/>
          </w:tcPr>
          <w:p w14:paraId="6C5DA540" w14:textId="078ED8EC" w:rsidR="009072CE" w:rsidRPr="00A07F29" w:rsidRDefault="005F4236" w:rsidP="007056FA">
            <w:pPr>
              <w:spacing w:after="0" w:line="240" w:lineRule="auto"/>
              <w:rPr>
                <w:rFonts w:ascii="Times New Roman" w:eastAsia="Calibri" w:hAnsi="Times New Roman" w:cs="Times New Roman"/>
              </w:rPr>
            </w:pPr>
            <w:r w:rsidRPr="00A07F29">
              <w:rPr>
                <w:rFonts w:ascii="Times New Roman" w:eastAsia="Calibri" w:hAnsi="Times New Roman" w:cs="Times New Roman"/>
              </w:rPr>
              <w:t>10.</w:t>
            </w:r>
          </w:p>
        </w:tc>
        <w:tc>
          <w:tcPr>
            <w:tcW w:w="6413" w:type="dxa"/>
          </w:tcPr>
          <w:p w14:paraId="5F996649" w14:textId="5C7EC7B0" w:rsidR="009072CE" w:rsidRPr="00A07F29" w:rsidRDefault="009072CE" w:rsidP="007056FA">
            <w:pPr>
              <w:spacing w:after="0" w:line="240" w:lineRule="auto"/>
              <w:rPr>
                <w:rFonts w:ascii="Times New Roman" w:eastAsia="Calibri" w:hAnsi="Times New Roman" w:cs="Times New Roman"/>
              </w:rPr>
            </w:pPr>
            <w:r w:rsidRPr="00A07F29">
              <w:rPr>
                <w:rFonts w:ascii="Times New Roman" w:eastAsia="Calibri" w:hAnsi="Times New Roman" w:cs="Times New Roman"/>
                <w:bCs/>
              </w:rPr>
              <w:t>Visas AAA teritorijas iezīmēšana dabā ar speciālajām informatīvajām zīmēm aizsargājamo teritoriju apzīmēšanai (</w:t>
            </w:r>
            <w:r w:rsidR="0074377B">
              <w:rPr>
                <w:rFonts w:ascii="Times New Roman" w:eastAsia="Calibri" w:hAnsi="Times New Roman" w:cs="Times New Roman"/>
                <w:bCs/>
              </w:rPr>
              <w:t>“</w:t>
            </w:r>
            <w:r w:rsidRPr="00A07F29">
              <w:rPr>
                <w:rFonts w:ascii="Times New Roman" w:eastAsia="Calibri" w:hAnsi="Times New Roman" w:cs="Times New Roman"/>
                <w:bCs/>
              </w:rPr>
              <w:t xml:space="preserve">ozollapa”), uzraugot pašreiz izvietoto 43 informatīvo zīmju, kā arī </w:t>
            </w:r>
            <w:r w:rsidR="0074377B">
              <w:rPr>
                <w:rFonts w:ascii="Times New Roman" w:eastAsia="Calibri" w:hAnsi="Times New Roman" w:cs="Times New Roman"/>
                <w:bCs/>
              </w:rPr>
              <w:t>piecu</w:t>
            </w:r>
            <w:r w:rsidRPr="00A07F29">
              <w:rPr>
                <w:rFonts w:ascii="Times New Roman" w:eastAsia="Calibri" w:hAnsi="Times New Roman" w:cs="Times New Roman"/>
                <w:bCs/>
              </w:rPr>
              <w:t xml:space="preserve"> lielo informācijas robežzīmju nolietojumu un nepieciešamības gadījumā atjaunojot tās. </w:t>
            </w:r>
          </w:p>
        </w:tc>
        <w:tc>
          <w:tcPr>
            <w:tcW w:w="1985" w:type="dxa"/>
          </w:tcPr>
          <w:p w14:paraId="1AF5D6DD" w14:textId="77777777" w:rsidR="009072CE" w:rsidRPr="00A07F29" w:rsidRDefault="009072CE" w:rsidP="007056FA">
            <w:pPr>
              <w:spacing w:after="0" w:line="240" w:lineRule="auto"/>
              <w:rPr>
                <w:rFonts w:ascii="Times New Roman" w:eastAsia="Calibri" w:hAnsi="Times New Roman" w:cs="Times New Roman"/>
              </w:rPr>
            </w:pPr>
            <w:r w:rsidRPr="00A07F29">
              <w:rPr>
                <w:rFonts w:ascii="Times New Roman" w:eastAsia="Calibri" w:hAnsi="Times New Roman" w:cs="Times New Roman"/>
              </w:rPr>
              <w:t>DAP sadarbībā ar pašvaldībām</w:t>
            </w:r>
          </w:p>
        </w:tc>
        <w:tc>
          <w:tcPr>
            <w:tcW w:w="2693" w:type="dxa"/>
          </w:tcPr>
          <w:p w14:paraId="644095AE" w14:textId="27AC260E" w:rsidR="009072CE" w:rsidRPr="00A07F29" w:rsidRDefault="00BF0E06" w:rsidP="007056FA">
            <w:pPr>
              <w:spacing w:after="0" w:line="240" w:lineRule="auto"/>
              <w:rPr>
                <w:rFonts w:ascii="Times New Roman" w:eastAsia="Calibri" w:hAnsi="Times New Roman" w:cs="Times New Roman"/>
              </w:rPr>
            </w:pPr>
            <w:r w:rsidRPr="00A07F29">
              <w:rPr>
                <w:rFonts w:ascii="Times New Roman" w:eastAsia="Calibri" w:hAnsi="Times New Roman" w:cs="Times New Roman"/>
              </w:rPr>
              <w:t>DA plāna</w:t>
            </w:r>
            <w:r w:rsidR="009072CE" w:rsidRPr="00A07F29">
              <w:rPr>
                <w:rFonts w:ascii="Times New Roman" w:eastAsia="Calibri" w:hAnsi="Times New Roman" w:cs="Times New Roman"/>
              </w:rPr>
              <w:t xml:space="preserve"> izstrādes laikā jāizvērtē papildu zīmju nepieciešamība.</w:t>
            </w:r>
          </w:p>
        </w:tc>
        <w:tc>
          <w:tcPr>
            <w:tcW w:w="2977" w:type="dxa"/>
          </w:tcPr>
          <w:p w14:paraId="1CBB134C" w14:textId="79769B1B" w:rsidR="009072CE" w:rsidRPr="00A07F29" w:rsidRDefault="00E645D2" w:rsidP="007056FA">
            <w:pPr>
              <w:spacing w:after="0" w:line="240" w:lineRule="auto"/>
              <w:rPr>
                <w:rFonts w:ascii="Times New Roman" w:eastAsia="Calibri" w:hAnsi="Times New Roman" w:cs="Times New Roman"/>
              </w:rPr>
            </w:pPr>
            <w:r w:rsidRPr="00A07F29">
              <w:rPr>
                <w:rFonts w:ascii="Times New Roman" w:eastAsia="Calibri" w:hAnsi="Times New Roman" w:cs="Times New Roman"/>
              </w:rPr>
              <w:t>Nepieciešama robežzīmju uzturēšana, kā arī daļa vēl jāizvieto.</w:t>
            </w:r>
          </w:p>
        </w:tc>
      </w:tr>
      <w:tr w:rsidR="00665A15" w:rsidRPr="00A07F29" w14:paraId="72784851" w14:textId="77777777" w:rsidTr="00A837DD">
        <w:tc>
          <w:tcPr>
            <w:tcW w:w="675" w:type="dxa"/>
          </w:tcPr>
          <w:p w14:paraId="6206226D" w14:textId="7630ECB6" w:rsidR="009072CE" w:rsidRPr="00A07F29" w:rsidRDefault="005F4236" w:rsidP="007056FA">
            <w:pPr>
              <w:spacing w:after="0" w:line="240" w:lineRule="auto"/>
              <w:rPr>
                <w:rFonts w:ascii="Times New Roman" w:eastAsia="Calibri" w:hAnsi="Times New Roman" w:cs="Times New Roman"/>
              </w:rPr>
            </w:pPr>
            <w:r w:rsidRPr="00A07F29">
              <w:rPr>
                <w:rFonts w:ascii="Times New Roman" w:eastAsia="Calibri" w:hAnsi="Times New Roman" w:cs="Times New Roman"/>
              </w:rPr>
              <w:t>11.</w:t>
            </w:r>
          </w:p>
        </w:tc>
        <w:tc>
          <w:tcPr>
            <w:tcW w:w="6413" w:type="dxa"/>
          </w:tcPr>
          <w:p w14:paraId="2063980D" w14:textId="4462D67F" w:rsidR="009072CE" w:rsidRPr="00A07F29" w:rsidRDefault="009072CE" w:rsidP="007056FA">
            <w:pPr>
              <w:spacing w:after="0" w:line="240" w:lineRule="auto"/>
              <w:rPr>
                <w:rFonts w:ascii="Times New Roman" w:eastAsia="Calibri" w:hAnsi="Times New Roman" w:cs="Times New Roman"/>
              </w:rPr>
            </w:pPr>
            <w:r w:rsidRPr="00A07F29">
              <w:rPr>
                <w:rFonts w:ascii="Times New Roman" w:eastAsia="Calibri" w:hAnsi="Times New Roman" w:cs="Times New Roman"/>
                <w:bCs/>
              </w:rPr>
              <w:t xml:space="preserve">Reto augu sugu, biotopu un pļavās un ganībās ligzdojošu putnu saglabāšanai (griezes un citi) veicināt, lai tiktu veikta zālāju – pļavu un ganību pļaušana (nepieļaujot zāles smalcināšanu un atstāšanu) vai noganīšana saskaņā ar </w:t>
            </w:r>
            <w:r w:rsidR="0003144C" w:rsidRPr="0003144C">
              <w:rPr>
                <w:rFonts w:ascii="Times New Roman" w:eastAsia="Calibri" w:hAnsi="Times New Roman" w:cs="Times New Roman"/>
                <w:bCs/>
              </w:rPr>
              <w:t>BVZ</w:t>
            </w:r>
            <w:r w:rsidRPr="0003144C">
              <w:rPr>
                <w:rFonts w:ascii="Times New Roman" w:eastAsia="Calibri" w:hAnsi="Times New Roman" w:cs="Times New Roman"/>
                <w:bCs/>
              </w:rPr>
              <w:t xml:space="preserve"> a</w:t>
            </w:r>
            <w:r w:rsidRPr="00A07F29">
              <w:rPr>
                <w:rFonts w:ascii="Times New Roman" w:eastAsia="Calibri" w:hAnsi="Times New Roman" w:cs="Times New Roman"/>
                <w:bCs/>
              </w:rPr>
              <w:t xml:space="preserve">psaimniekošanas ieteikumiem (ja pļavas pieteiktas LAD </w:t>
            </w:r>
            <w:proofErr w:type="spellStart"/>
            <w:r w:rsidRPr="00A07F29">
              <w:rPr>
                <w:rFonts w:ascii="Times New Roman" w:eastAsia="Calibri" w:hAnsi="Times New Roman" w:cs="Times New Roman"/>
                <w:bCs/>
              </w:rPr>
              <w:t>agrovides</w:t>
            </w:r>
            <w:proofErr w:type="spellEnd"/>
            <w:r w:rsidRPr="00A07F29">
              <w:rPr>
                <w:rFonts w:ascii="Times New Roman" w:eastAsia="Calibri" w:hAnsi="Times New Roman" w:cs="Times New Roman"/>
                <w:bCs/>
              </w:rPr>
              <w:t xml:space="preserve"> programmas atbalstam – saskaņā ar programmas noteikumiem). </w:t>
            </w:r>
          </w:p>
        </w:tc>
        <w:tc>
          <w:tcPr>
            <w:tcW w:w="1985" w:type="dxa"/>
          </w:tcPr>
          <w:p w14:paraId="27CCE625" w14:textId="1AC71F18" w:rsidR="009072CE" w:rsidRPr="00A07F29" w:rsidRDefault="009072CE" w:rsidP="007056FA">
            <w:pPr>
              <w:spacing w:after="0" w:line="240" w:lineRule="auto"/>
              <w:rPr>
                <w:rFonts w:ascii="Times New Roman" w:eastAsia="Calibri" w:hAnsi="Times New Roman" w:cs="Times New Roman"/>
              </w:rPr>
            </w:pPr>
            <w:r w:rsidRPr="00A07F29">
              <w:rPr>
                <w:rFonts w:ascii="Times New Roman" w:eastAsia="Calibri" w:hAnsi="Times New Roman" w:cs="Times New Roman"/>
              </w:rPr>
              <w:t>DAP sadarbībā ar zemes īpašniekiem vai nomniekiem</w:t>
            </w:r>
            <w:r w:rsidR="003E036A">
              <w:rPr>
                <w:rFonts w:ascii="Times New Roman" w:eastAsia="Calibri" w:hAnsi="Times New Roman" w:cs="Times New Roman"/>
              </w:rPr>
              <w:t>,</w:t>
            </w:r>
            <w:r w:rsidRPr="00A07F29">
              <w:rPr>
                <w:rFonts w:ascii="Times New Roman" w:eastAsia="Calibri" w:hAnsi="Times New Roman" w:cs="Times New Roman"/>
              </w:rPr>
              <w:t xml:space="preserve"> LAD</w:t>
            </w:r>
          </w:p>
          <w:p w14:paraId="7AA5CE7D" w14:textId="77777777" w:rsidR="009072CE" w:rsidRPr="00A07F29" w:rsidRDefault="009072CE" w:rsidP="007056FA">
            <w:pPr>
              <w:spacing w:after="0" w:line="240" w:lineRule="auto"/>
              <w:rPr>
                <w:rFonts w:ascii="Times New Roman" w:eastAsia="Calibri" w:hAnsi="Times New Roman" w:cs="Times New Roman"/>
              </w:rPr>
            </w:pPr>
          </w:p>
        </w:tc>
        <w:tc>
          <w:tcPr>
            <w:tcW w:w="2693" w:type="dxa"/>
          </w:tcPr>
          <w:p w14:paraId="45EF8254" w14:textId="64009E67" w:rsidR="009072CE" w:rsidRPr="00A07F29" w:rsidRDefault="009072CE" w:rsidP="007056FA">
            <w:pPr>
              <w:spacing w:after="0" w:line="240" w:lineRule="auto"/>
              <w:rPr>
                <w:rFonts w:ascii="Times New Roman" w:eastAsia="Calibri" w:hAnsi="Times New Roman" w:cs="Times New Roman"/>
              </w:rPr>
            </w:pPr>
            <w:r w:rsidRPr="00A07F29">
              <w:rPr>
                <w:rFonts w:ascii="Times New Roman" w:eastAsia="Calibri" w:hAnsi="Times New Roman" w:cs="Times New Roman"/>
              </w:rPr>
              <w:t xml:space="preserve">“Dabas skaitīšana” projektā apzinātas vērtības, atbalstīta iniciatīva pļavu apsaimniekošanai </w:t>
            </w:r>
            <w:proofErr w:type="spellStart"/>
            <w:r w:rsidRPr="00A07F29">
              <w:rPr>
                <w:rFonts w:ascii="Times New Roman" w:eastAsia="Calibri" w:hAnsi="Times New Roman" w:cs="Times New Roman"/>
              </w:rPr>
              <w:t>Slutišķos</w:t>
            </w:r>
            <w:proofErr w:type="spellEnd"/>
            <w:r w:rsidR="003E036A">
              <w:rPr>
                <w:rFonts w:ascii="Times New Roman" w:eastAsia="Calibri" w:hAnsi="Times New Roman" w:cs="Times New Roman"/>
              </w:rPr>
              <w:t>.</w:t>
            </w:r>
          </w:p>
        </w:tc>
        <w:tc>
          <w:tcPr>
            <w:tcW w:w="2977" w:type="dxa"/>
          </w:tcPr>
          <w:p w14:paraId="1067A02B" w14:textId="2ED9FB81" w:rsidR="009072CE" w:rsidRPr="00A07F29" w:rsidRDefault="00E645D2" w:rsidP="007056FA">
            <w:pPr>
              <w:spacing w:after="0" w:line="240" w:lineRule="auto"/>
              <w:rPr>
                <w:rFonts w:ascii="Times New Roman" w:eastAsia="Calibri" w:hAnsi="Times New Roman" w:cs="Times New Roman"/>
              </w:rPr>
            </w:pPr>
            <w:r w:rsidRPr="00A07F29">
              <w:rPr>
                <w:rFonts w:ascii="Times New Roman" w:eastAsia="Calibri" w:hAnsi="Times New Roman" w:cs="Times New Roman"/>
              </w:rPr>
              <w:t>Joprojām aktuāli.</w:t>
            </w:r>
          </w:p>
        </w:tc>
      </w:tr>
      <w:tr w:rsidR="00665A15" w:rsidRPr="00A07F29" w14:paraId="16D035B3" w14:textId="77777777" w:rsidTr="00A837DD">
        <w:tc>
          <w:tcPr>
            <w:tcW w:w="675" w:type="dxa"/>
          </w:tcPr>
          <w:p w14:paraId="0B7B3C32" w14:textId="7EFCE50F" w:rsidR="009072CE" w:rsidRPr="00A07F29" w:rsidRDefault="005F4236" w:rsidP="007056FA">
            <w:pPr>
              <w:spacing w:after="0" w:line="240" w:lineRule="auto"/>
              <w:rPr>
                <w:rFonts w:ascii="Times New Roman" w:eastAsia="Calibri" w:hAnsi="Times New Roman" w:cs="Times New Roman"/>
              </w:rPr>
            </w:pPr>
            <w:r w:rsidRPr="00A07F29">
              <w:rPr>
                <w:rFonts w:ascii="Times New Roman" w:eastAsia="Calibri" w:hAnsi="Times New Roman" w:cs="Times New Roman"/>
              </w:rPr>
              <w:t>12.</w:t>
            </w:r>
          </w:p>
        </w:tc>
        <w:tc>
          <w:tcPr>
            <w:tcW w:w="6413" w:type="dxa"/>
          </w:tcPr>
          <w:p w14:paraId="11C10BE1" w14:textId="77777777" w:rsidR="009072CE" w:rsidRPr="00A07F29" w:rsidRDefault="009072CE" w:rsidP="007056FA">
            <w:pPr>
              <w:spacing w:after="0" w:line="240" w:lineRule="auto"/>
              <w:rPr>
                <w:rFonts w:ascii="Times New Roman" w:eastAsia="Calibri" w:hAnsi="Times New Roman" w:cs="Times New Roman"/>
              </w:rPr>
            </w:pPr>
            <w:r w:rsidRPr="00A07F29">
              <w:rPr>
                <w:rFonts w:ascii="Times New Roman" w:eastAsia="Calibri" w:hAnsi="Times New Roman" w:cs="Times New Roman"/>
                <w:bCs/>
              </w:rPr>
              <w:t xml:space="preserve">Sauso smiltāju zālāju – reto kukaiņu sugu atradņu (piemēram, </w:t>
            </w:r>
            <w:proofErr w:type="spellStart"/>
            <w:r w:rsidRPr="00A07F29">
              <w:rPr>
                <w:rFonts w:ascii="Times New Roman" w:eastAsia="Calibri" w:hAnsi="Times New Roman" w:cs="Times New Roman"/>
                <w:bCs/>
              </w:rPr>
              <w:t>garlūpas</w:t>
            </w:r>
            <w:proofErr w:type="spellEnd"/>
            <w:r w:rsidRPr="00A07F29">
              <w:rPr>
                <w:rFonts w:ascii="Times New Roman" w:eastAsia="Calibri" w:hAnsi="Times New Roman" w:cs="Times New Roman"/>
                <w:bCs/>
              </w:rPr>
              <w:t xml:space="preserve"> </w:t>
            </w:r>
            <w:proofErr w:type="spellStart"/>
            <w:r w:rsidRPr="00A07F29">
              <w:rPr>
                <w:rFonts w:ascii="Times New Roman" w:eastAsia="Calibri" w:hAnsi="Times New Roman" w:cs="Times New Roman"/>
                <w:bCs/>
              </w:rPr>
              <w:t>racējlapsenes</w:t>
            </w:r>
            <w:proofErr w:type="spellEnd"/>
            <w:r w:rsidRPr="00A07F29">
              <w:rPr>
                <w:rFonts w:ascii="Times New Roman" w:eastAsia="Calibri" w:hAnsi="Times New Roman" w:cs="Times New Roman"/>
                <w:bCs/>
              </w:rPr>
              <w:t xml:space="preserve"> atradnes pie Piedrujas) apsaimniekošanas nodrošināšana.</w:t>
            </w:r>
          </w:p>
        </w:tc>
        <w:tc>
          <w:tcPr>
            <w:tcW w:w="1985" w:type="dxa"/>
          </w:tcPr>
          <w:p w14:paraId="35F175AE" w14:textId="77777777" w:rsidR="009072CE" w:rsidRPr="00A07F29" w:rsidRDefault="009072CE" w:rsidP="007056FA">
            <w:pPr>
              <w:spacing w:after="0" w:line="240" w:lineRule="auto"/>
              <w:rPr>
                <w:rFonts w:ascii="Times New Roman" w:eastAsia="Calibri" w:hAnsi="Times New Roman" w:cs="Times New Roman"/>
              </w:rPr>
            </w:pPr>
            <w:r w:rsidRPr="00A07F29">
              <w:rPr>
                <w:rFonts w:ascii="Times New Roman" w:eastAsia="Calibri" w:hAnsi="Times New Roman" w:cs="Times New Roman"/>
              </w:rPr>
              <w:t>DAP sadarbībā ar zemes īpašniekiem vai nomniekiem</w:t>
            </w:r>
          </w:p>
        </w:tc>
        <w:tc>
          <w:tcPr>
            <w:tcW w:w="2693" w:type="dxa"/>
          </w:tcPr>
          <w:p w14:paraId="0B3C5DDE" w14:textId="6419D9AB" w:rsidR="009072CE" w:rsidRPr="00A07F29" w:rsidRDefault="009072CE" w:rsidP="007056FA">
            <w:pPr>
              <w:spacing w:after="0" w:line="240" w:lineRule="auto"/>
              <w:rPr>
                <w:rFonts w:ascii="Times New Roman" w:eastAsia="Calibri" w:hAnsi="Times New Roman" w:cs="Times New Roman"/>
              </w:rPr>
            </w:pPr>
            <w:r w:rsidRPr="00A07F29">
              <w:rPr>
                <w:rFonts w:ascii="Times New Roman" w:eastAsia="Calibri" w:hAnsi="Times New Roman" w:cs="Times New Roman"/>
              </w:rPr>
              <w:t>Nav informācijas</w:t>
            </w:r>
            <w:r w:rsidR="00372231">
              <w:rPr>
                <w:rFonts w:ascii="Times New Roman" w:eastAsia="Calibri" w:hAnsi="Times New Roman" w:cs="Times New Roman"/>
              </w:rPr>
              <w:t>.</w:t>
            </w:r>
          </w:p>
        </w:tc>
        <w:tc>
          <w:tcPr>
            <w:tcW w:w="2977" w:type="dxa"/>
          </w:tcPr>
          <w:p w14:paraId="25E9D655" w14:textId="4EC05F4B" w:rsidR="009072CE" w:rsidRPr="00A07F29" w:rsidRDefault="009072CE" w:rsidP="007056FA">
            <w:pPr>
              <w:spacing w:after="0" w:line="240" w:lineRule="auto"/>
              <w:rPr>
                <w:rFonts w:ascii="Times New Roman" w:eastAsia="Calibri" w:hAnsi="Times New Roman" w:cs="Times New Roman"/>
              </w:rPr>
            </w:pPr>
            <w:r w:rsidRPr="00A07F29">
              <w:rPr>
                <w:rFonts w:ascii="Times New Roman" w:eastAsia="Calibri" w:hAnsi="Times New Roman" w:cs="Times New Roman"/>
              </w:rPr>
              <w:t>Aktuāli</w:t>
            </w:r>
            <w:r w:rsidR="00372231">
              <w:rPr>
                <w:rFonts w:ascii="Times New Roman" w:eastAsia="Calibri" w:hAnsi="Times New Roman" w:cs="Times New Roman"/>
              </w:rPr>
              <w:t>.</w:t>
            </w:r>
          </w:p>
        </w:tc>
      </w:tr>
      <w:tr w:rsidR="00665A15" w:rsidRPr="00A07F29" w14:paraId="430A0E45" w14:textId="77777777" w:rsidTr="00A837DD">
        <w:tc>
          <w:tcPr>
            <w:tcW w:w="675" w:type="dxa"/>
          </w:tcPr>
          <w:p w14:paraId="4CA8DE0E" w14:textId="4E5B754F" w:rsidR="009072CE" w:rsidRPr="00A07F29" w:rsidRDefault="005F4236" w:rsidP="007056FA">
            <w:pPr>
              <w:spacing w:after="0" w:line="240" w:lineRule="auto"/>
              <w:rPr>
                <w:rFonts w:ascii="Times New Roman" w:eastAsia="Calibri" w:hAnsi="Times New Roman" w:cs="Times New Roman"/>
              </w:rPr>
            </w:pPr>
            <w:r w:rsidRPr="00A07F29">
              <w:rPr>
                <w:rFonts w:ascii="Times New Roman" w:eastAsia="Calibri" w:hAnsi="Times New Roman" w:cs="Times New Roman"/>
              </w:rPr>
              <w:t>13.</w:t>
            </w:r>
          </w:p>
        </w:tc>
        <w:tc>
          <w:tcPr>
            <w:tcW w:w="6413" w:type="dxa"/>
          </w:tcPr>
          <w:p w14:paraId="055BAA9D" w14:textId="77777777" w:rsidR="009072CE" w:rsidRPr="00A07F29" w:rsidRDefault="009072CE" w:rsidP="007056FA">
            <w:pPr>
              <w:spacing w:after="0" w:line="240" w:lineRule="auto"/>
              <w:rPr>
                <w:rFonts w:ascii="Times New Roman" w:eastAsia="Calibri" w:hAnsi="Times New Roman" w:cs="Times New Roman"/>
              </w:rPr>
            </w:pPr>
            <w:r w:rsidRPr="00A07F29">
              <w:rPr>
                <w:rFonts w:ascii="Times New Roman" w:eastAsia="Calibri" w:hAnsi="Times New Roman" w:cs="Times New Roman"/>
                <w:bCs/>
              </w:rPr>
              <w:t xml:space="preserve">Dobumaino, arī nokaltušo vai </w:t>
            </w:r>
            <w:proofErr w:type="spellStart"/>
            <w:r w:rsidRPr="00A07F29">
              <w:rPr>
                <w:rFonts w:ascii="Times New Roman" w:eastAsia="Calibri" w:hAnsi="Times New Roman" w:cs="Times New Roman"/>
                <w:bCs/>
              </w:rPr>
              <w:t>pusnokaltušo</w:t>
            </w:r>
            <w:proofErr w:type="spellEnd"/>
            <w:r w:rsidRPr="00A07F29">
              <w:rPr>
                <w:rFonts w:ascii="Times New Roman" w:eastAsia="Calibri" w:hAnsi="Times New Roman" w:cs="Times New Roman"/>
                <w:bCs/>
              </w:rPr>
              <w:t xml:space="preserve"> koku saglabāšana visā teritorijā, ja tie nav bīstami vai konkrētajā vietā vizuāli nepievilcīgi (putnu, bezmugurkaulnieku un sikspārņu aizsardzībai).</w:t>
            </w:r>
          </w:p>
        </w:tc>
        <w:tc>
          <w:tcPr>
            <w:tcW w:w="1985" w:type="dxa"/>
          </w:tcPr>
          <w:p w14:paraId="28ACEF40" w14:textId="77777777" w:rsidR="009072CE" w:rsidRPr="00A07F29" w:rsidRDefault="009072CE" w:rsidP="007056FA">
            <w:pPr>
              <w:spacing w:after="0" w:line="240" w:lineRule="auto"/>
              <w:rPr>
                <w:rFonts w:ascii="Times New Roman" w:eastAsia="Calibri" w:hAnsi="Times New Roman" w:cs="Times New Roman"/>
              </w:rPr>
            </w:pPr>
            <w:r w:rsidRPr="00A07F29">
              <w:rPr>
                <w:rFonts w:ascii="Times New Roman" w:eastAsia="Calibri" w:hAnsi="Times New Roman" w:cs="Times New Roman"/>
              </w:rPr>
              <w:t>DAP sadarbībā ar zemes īpašniekiem vai nomniekiem</w:t>
            </w:r>
          </w:p>
        </w:tc>
        <w:tc>
          <w:tcPr>
            <w:tcW w:w="2693" w:type="dxa"/>
          </w:tcPr>
          <w:p w14:paraId="0D633628" w14:textId="4514A8D9" w:rsidR="009072CE" w:rsidRPr="00A07F29" w:rsidRDefault="009072CE" w:rsidP="007056FA">
            <w:pPr>
              <w:spacing w:after="0" w:line="240" w:lineRule="auto"/>
              <w:rPr>
                <w:rFonts w:ascii="Times New Roman" w:eastAsia="Calibri" w:hAnsi="Times New Roman" w:cs="Times New Roman"/>
              </w:rPr>
            </w:pPr>
            <w:r w:rsidRPr="00A07F29">
              <w:rPr>
                <w:rFonts w:ascii="Times New Roman" w:eastAsia="Calibri" w:hAnsi="Times New Roman" w:cs="Times New Roman"/>
              </w:rPr>
              <w:t>Nav veikti speciāli pasākumi</w:t>
            </w:r>
            <w:r w:rsidR="00372231">
              <w:rPr>
                <w:rFonts w:ascii="Times New Roman" w:eastAsia="Calibri" w:hAnsi="Times New Roman" w:cs="Times New Roman"/>
              </w:rPr>
              <w:t>.</w:t>
            </w:r>
          </w:p>
        </w:tc>
        <w:tc>
          <w:tcPr>
            <w:tcW w:w="2977" w:type="dxa"/>
          </w:tcPr>
          <w:p w14:paraId="32215015" w14:textId="4BE087F6" w:rsidR="009072CE" w:rsidRPr="00A07F29" w:rsidRDefault="009072CE" w:rsidP="007056FA">
            <w:pPr>
              <w:spacing w:after="0" w:line="240" w:lineRule="auto"/>
              <w:rPr>
                <w:rFonts w:ascii="Times New Roman" w:eastAsia="Calibri" w:hAnsi="Times New Roman" w:cs="Times New Roman"/>
              </w:rPr>
            </w:pPr>
            <w:r w:rsidRPr="00A07F29">
              <w:rPr>
                <w:rFonts w:ascii="Times New Roman" w:eastAsia="Calibri" w:hAnsi="Times New Roman" w:cs="Times New Roman"/>
              </w:rPr>
              <w:t xml:space="preserve">Iekļauts </w:t>
            </w:r>
            <w:r w:rsidR="00550E6A">
              <w:rPr>
                <w:rFonts w:ascii="Times New Roman" w:eastAsia="Calibri" w:hAnsi="Times New Roman" w:cs="Times New Roman"/>
              </w:rPr>
              <w:t>individuālajos aizsardzības un izmantošanas noteikumos.</w:t>
            </w:r>
          </w:p>
        </w:tc>
      </w:tr>
      <w:tr w:rsidR="00665A15" w:rsidRPr="00A07F29" w14:paraId="5FB858B2" w14:textId="77777777" w:rsidTr="00A837DD">
        <w:tc>
          <w:tcPr>
            <w:tcW w:w="675" w:type="dxa"/>
          </w:tcPr>
          <w:p w14:paraId="73D24255" w14:textId="1632F729" w:rsidR="009072CE" w:rsidRPr="00A07F29" w:rsidRDefault="005F4236" w:rsidP="007056FA">
            <w:pPr>
              <w:spacing w:after="0" w:line="240" w:lineRule="auto"/>
              <w:rPr>
                <w:rFonts w:ascii="Times New Roman" w:eastAsia="Calibri" w:hAnsi="Times New Roman" w:cs="Times New Roman"/>
              </w:rPr>
            </w:pPr>
            <w:r w:rsidRPr="00A07F29">
              <w:rPr>
                <w:rFonts w:ascii="Times New Roman" w:eastAsia="Calibri" w:hAnsi="Times New Roman" w:cs="Times New Roman"/>
              </w:rPr>
              <w:t>14.</w:t>
            </w:r>
          </w:p>
        </w:tc>
        <w:tc>
          <w:tcPr>
            <w:tcW w:w="6413" w:type="dxa"/>
          </w:tcPr>
          <w:p w14:paraId="6447ABD7" w14:textId="6C2C38A6" w:rsidR="009072CE" w:rsidRPr="00A07F29" w:rsidRDefault="009072CE" w:rsidP="007056FA">
            <w:pPr>
              <w:spacing w:after="0" w:line="240" w:lineRule="auto"/>
              <w:rPr>
                <w:rFonts w:ascii="Times New Roman" w:eastAsia="Calibri" w:hAnsi="Times New Roman" w:cs="Times New Roman"/>
              </w:rPr>
            </w:pPr>
            <w:r w:rsidRPr="00A07F29">
              <w:rPr>
                <w:rFonts w:ascii="Times New Roman" w:eastAsia="Calibri" w:hAnsi="Times New Roman" w:cs="Times New Roman"/>
                <w:bCs/>
              </w:rPr>
              <w:t>Sadarbība ar NKMP un pašvaldībām, objektu īpašniekiem, lai kopīgi plānotu teritorijas kultūrvēsturisko vērtību saglabāšanu un, ja nepieciešams,</w:t>
            </w:r>
            <w:r w:rsidR="00D65BBA" w:rsidRPr="00A07F29">
              <w:rPr>
                <w:rFonts w:ascii="Times New Roman" w:eastAsia="Calibri" w:hAnsi="Times New Roman" w:cs="Times New Roman"/>
                <w:bCs/>
              </w:rPr>
              <w:t xml:space="preserve"> </w:t>
            </w:r>
            <w:r w:rsidRPr="00A07F29">
              <w:rPr>
                <w:rFonts w:ascii="Times New Roman" w:eastAsia="Calibri" w:hAnsi="Times New Roman" w:cs="Times New Roman"/>
                <w:bCs/>
              </w:rPr>
              <w:t>restaurāciju.</w:t>
            </w:r>
          </w:p>
        </w:tc>
        <w:tc>
          <w:tcPr>
            <w:tcW w:w="1985" w:type="dxa"/>
          </w:tcPr>
          <w:p w14:paraId="2C9845C7" w14:textId="77777777" w:rsidR="009072CE" w:rsidRPr="00A07F29" w:rsidRDefault="009072CE" w:rsidP="007056FA">
            <w:pPr>
              <w:spacing w:after="0" w:line="240" w:lineRule="auto"/>
              <w:rPr>
                <w:rFonts w:ascii="Times New Roman" w:eastAsia="Calibri" w:hAnsi="Times New Roman" w:cs="Times New Roman"/>
              </w:rPr>
            </w:pPr>
            <w:r w:rsidRPr="00A07F29">
              <w:rPr>
                <w:rFonts w:ascii="Times New Roman" w:eastAsia="Calibri" w:hAnsi="Times New Roman" w:cs="Times New Roman"/>
              </w:rPr>
              <w:t>DAP sadarbībā ar NKMP</w:t>
            </w:r>
          </w:p>
        </w:tc>
        <w:tc>
          <w:tcPr>
            <w:tcW w:w="2693" w:type="dxa"/>
          </w:tcPr>
          <w:p w14:paraId="68B9A1A2" w14:textId="7D3FD633" w:rsidR="009072CE" w:rsidRPr="00A07F29" w:rsidRDefault="009072CE" w:rsidP="007056FA">
            <w:pPr>
              <w:spacing w:after="0" w:line="240" w:lineRule="auto"/>
              <w:rPr>
                <w:rFonts w:ascii="Times New Roman" w:eastAsia="Calibri" w:hAnsi="Times New Roman" w:cs="Times New Roman"/>
              </w:rPr>
            </w:pPr>
            <w:r w:rsidRPr="00A07F29">
              <w:rPr>
                <w:rFonts w:ascii="Times New Roman" w:eastAsia="Calibri" w:hAnsi="Times New Roman" w:cs="Times New Roman"/>
              </w:rPr>
              <w:t>Nav veikts</w:t>
            </w:r>
            <w:r w:rsidR="00E27640">
              <w:rPr>
                <w:rFonts w:ascii="Times New Roman" w:eastAsia="Calibri" w:hAnsi="Times New Roman" w:cs="Times New Roman"/>
              </w:rPr>
              <w:t>.</w:t>
            </w:r>
          </w:p>
        </w:tc>
        <w:tc>
          <w:tcPr>
            <w:tcW w:w="2977" w:type="dxa"/>
          </w:tcPr>
          <w:p w14:paraId="347AA27D" w14:textId="15096BA6" w:rsidR="009072CE" w:rsidRPr="00A07F29" w:rsidRDefault="009072CE" w:rsidP="007056FA">
            <w:pPr>
              <w:spacing w:after="0" w:line="240" w:lineRule="auto"/>
              <w:rPr>
                <w:rFonts w:ascii="Times New Roman" w:eastAsia="Calibri" w:hAnsi="Times New Roman" w:cs="Times New Roman"/>
              </w:rPr>
            </w:pPr>
            <w:r w:rsidRPr="00A07F29">
              <w:rPr>
                <w:rFonts w:ascii="Times New Roman" w:eastAsia="Calibri" w:hAnsi="Times New Roman" w:cs="Times New Roman"/>
              </w:rPr>
              <w:t>Aktuāli</w:t>
            </w:r>
            <w:r w:rsidR="00E27640">
              <w:rPr>
                <w:rFonts w:ascii="Times New Roman" w:eastAsia="Calibri" w:hAnsi="Times New Roman" w:cs="Times New Roman"/>
              </w:rPr>
              <w:t>.</w:t>
            </w:r>
          </w:p>
        </w:tc>
      </w:tr>
      <w:tr w:rsidR="00665A15" w:rsidRPr="00A07F29" w14:paraId="7413F700" w14:textId="77777777" w:rsidTr="00A837DD">
        <w:tc>
          <w:tcPr>
            <w:tcW w:w="675" w:type="dxa"/>
          </w:tcPr>
          <w:p w14:paraId="3E2F82D9" w14:textId="01FB7103" w:rsidR="009072CE" w:rsidRPr="00A07F29" w:rsidRDefault="005F4236" w:rsidP="007056FA">
            <w:pPr>
              <w:spacing w:after="0" w:line="240" w:lineRule="auto"/>
              <w:rPr>
                <w:rFonts w:ascii="Times New Roman" w:eastAsia="Calibri" w:hAnsi="Times New Roman" w:cs="Times New Roman"/>
              </w:rPr>
            </w:pPr>
            <w:r w:rsidRPr="00A07F29">
              <w:rPr>
                <w:rFonts w:ascii="Times New Roman" w:eastAsia="Calibri" w:hAnsi="Times New Roman" w:cs="Times New Roman"/>
              </w:rPr>
              <w:t>15.</w:t>
            </w:r>
          </w:p>
        </w:tc>
        <w:tc>
          <w:tcPr>
            <w:tcW w:w="6413" w:type="dxa"/>
          </w:tcPr>
          <w:p w14:paraId="3FBBA509" w14:textId="11B09F1E" w:rsidR="009072CE" w:rsidRPr="00A07F29" w:rsidRDefault="009072CE" w:rsidP="007056FA">
            <w:pPr>
              <w:spacing w:after="0" w:line="240" w:lineRule="auto"/>
              <w:rPr>
                <w:rFonts w:ascii="Times New Roman" w:eastAsia="Calibri" w:hAnsi="Times New Roman" w:cs="Times New Roman"/>
              </w:rPr>
            </w:pPr>
            <w:r w:rsidRPr="00A07F29">
              <w:rPr>
                <w:rFonts w:ascii="Times New Roman" w:eastAsia="Calibri" w:hAnsi="Times New Roman" w:cs="Times New Roman"/>
                <w:bCs/>
              </w:rPr>
              <w:t xml:space="preserve">Publiski pieejamo skatu punktu un krauju (ģeoloģisko un </w:t>
            </w:r>
            <w:proofErr w:type="spellStart"/>
            <w:r w:rsidRPr="00A07F29">
              <w:rPr>
                <w:rFonts w:ascii="Times New Roman" w:eastAsia="Calibri" w:hAnsi="Times New Roman" w:cs="Times New Roman"/>
                <w:bCs/>
              </w:rPr>
              <w:t>ģeomorfoloģisko</w:t>
            </w:r>
            <w:proofErr w:type="spellEnd"/>
            <w:r w:rsidRPr="00A07F29">
              <w:rPr>
                <w:rFonts w:ascii="Times New Roman" w:eastAsia="Calibri" w:hAnsi="Times New Roman" w:cs="Times New Roman"/>
                <w:bCs/>
              </w:rPr>
              <w:t xml:space="preserve"> pieminekļu</w:t>
            </w:r>
            <w:r w:rsidR="00C37252">
              <w:rPr>
                <w:rFonts w:ascii="Times New Roman" w:eastAsia="Calibri" w:hAnsi="Times New Roman" w:cs="Times New Roman"/>
                <w:bCs/>
              </w:rPr>
              <w:t>)</w:t>
            </w:r>
            <w:r w:rsidRPr="00A07F29">
              <w:rPr>
                <w:rFonts w:ascii="Times New Roman" w:eastAsia="Calibri" w:hAnsi="Times New Roman" w:cs="Times New Roman"/>
                <w:bCs/>
              </w:rPr>
              <w:t xml:space="preserve"> atjaunošanas plānošana un organizēšana, lai novāktu daļu apauguma.</w:t>
            </w:r>
            <w:r w:rsidR="00D65BBA" w:rsidRPr="00A07F29">
              <w:rPr>
                <w:rFonts w:ascii="Times New Roman" w:eastAsia="Calibri" w:hAnsi="Times New Roman" w:cs="Times New Roman"/>
                <w:bCs/>
              </w:rPr>
              <w:t xml:space="preserve"> </w:t>
            </w:r>
            <w:r w:rsidRPr="00A07F29">
              <w:rPr>
                <w:rFonts w:ascii="Times New Roman" w:eastAsia="Calibri" w:hAnsi="Times New Roman" w:cs="Times New Roman"/>
                <w:bCs/>
              </w:rPr>
              <w:t>Pēc pasākuma veikšanas jānodrošina izcirstās platības uzturēšana, izpļaujot atvases.</w:t>
            </w:r>
          </w:p>
        </w:tc>
        <w:tc>
          <w:tcPr>
            <w:tcW w:w="1985" w:type="dxa"/>
          </w:tcPr>
          <w:p w14:paraId="1CB71AD2" w14:textId="77777777" w:rsidR="009072CE" w:rsidRPr="00A07F29" w:rsidRDefault="009072CE" w:rsidP="007056FA">
            <w:pPr>
              <w:spacing w:after="0" w:line="240" w:lineRule="auto"/>
              <w:rPr>
                <w:rFonts w:ascii="Times New Roman" w:eastAsia="Calibri" w:hAnsi="Times New Roman" w:cs="Times New Roman"/>
              </w:rPr>
            </w:pPr>
            <w:r w:rsidRPr="00A07F29">
              <w:rPr>
                <w:rFonts w:ascii="Times New Roman" w:eastAsia="Calibri" w:hAnsi="Times New Roman" w:cs="Times New Roman"/>
              </w:rPr>
              <w:t xml:space="preserve">DAP sadarbībā ar zemes īpašniekiem vai </w:t>
            </w:r>
            <w:proofErr w:type="spellStart"/>
            <w:r w:rsidRPr="00A07F29">
              <w:rPr>
                <w:rFonts w:ascii="Times New Roman" w:eastAsia="Calibri" w:hAnsi="Times New Roman" w:cs="Times New Roman"/>
              </w:rPr>
              <w:t>apsaimniekotājiem</w:t>
            </w:r>
            <w:proofErr w:type="spellEnd"/>
          </w:p>
        </w:tc>
        <w:tc>
          <w:tcPr>
            <w:tcW w:w="2693" w:type="dxa"/>
          </w:tcPr>
          <w:p w14:paraId="378CA7E2" w14:textId="6191EB5B" w:rsidR="009072CE" w:rsidRPr="00A07F29" w:rsidRDefault="009072CE" w:rsidP="007056FA">
            <w:pPr>
              <w:spacing w:after="0" w:line="240" w:lineRule="auto"/>
              <w:rPr>
                <w:rFonts w:ascii="Times New Roman" w:eastAsia="Calibri" w:hAnsi="Times New Roman" w:cs="Times New Roman"/>
              </w:rPr>
            </w:pPr>
            <w:r w:rsidRPr="00A07F29">
              <w:rPr>
                <w:rFonts w:ascii="Times New Roman" w:eastAsia="Calibri" w:hAnsi="Times New Roman" w:cs="Times New Roman"/>
              </w:rPr>
              <w:t>Daļēji īstenots, esošās skatu vietas tiek uzturētas, nepieļaujot aizaugšanu. 2019.</w:t>
            </w:r>
            <w:r w:rsidR="00AC7D13">
              <w:rPr>
                <w:rFonts w:ascii="Times New Roman" w:eastAsia="Calibri" w:hAnsi="Times New Roman" w:cs="Times New Roman"/>
              </w:rPr>
              <w:t> </w:t>
            </w:r>
            <w:r w:rsidR="00C25036">
              <w:rPr>
                <w:rFonts w:ascii="Times New Roman" w:eastAsia="Calibri" w:hAnsi="Times New Roman" w:cs="Times New Roman"/>
              </w:rPr>
              <w:t>gada augustā tika</w:t>
            </w:r>
            <w:r w:rsidRPr="00A07F29">
              <w:rPr>
                <w:rFonts w:ascii="Times New Roman" w:eastAsia="Calibri" w:hAnsi="Times New Roman" w:cs="Times New Roman"/>
              </w:rPr>
              <w:t xml:space="preserve"> izveidota skatu vieta </w:t>
            </w:r>
            <w:proofErr w:type="spellStart"/>
            <w:r w:rsidRPr="00A07F29">
              <w:rPr>
                <w:rFonts w:ascii="Times New Roman" w:eastAsia="Calibri" w:hAnsi="Times New Roman" w:cs="Times New Roman"/>
              </w:rPr>
              <w:t>Markovas</w:t>
            </w:r>
            <w:proofErr w:type="spellEnd"/>
            <w:r w:rsidRPr="00A07F29">
              <w:rPr>
                <w:rFonts w:ascii="Times New Roman" w:eastAsia="Calibri" w:hAnsi="Times New Roman" w:cs="Times New Roman"/>
              </w:rPr>
              <w:t xml:space="preserve"> pilskalnā, atverot skatu uz </w:t>
            </w:r>
            <w:proofErr w:type="spellStart"/>
            <w:r w:rsidRPr="00A07F29">
              <w:rPr>
                <w:rFonts w:ascii="Times New Roman" w:eastAsia="Calibri" w:hAnsi="Times New Roman" w:cs="Times New Roman"/>
              </w:rPr>
              <w:t>Slutišķu</w:t>
            </w:r>
            <w:proofErr w:type="spellEnd"/>
            <w:r w:rsidRPr="00A07F29">
              <w:rPr>
                <w:rFonts w:ascii="Times New Roman" w:eastAsia="Calibri" w:hAnsi="Times New Roman" w:cs="Times New Roman"/>
              </w:rPr>
              <w:t xml:space="preserve"> sādžu un </w:t>
            </w:r>
            <w:proofErr w:type="spellStart"/>
            <w:r w:rsidRPr="00A07F29">
              <w:rPr>
                <w:rFonts w:ascii="Times New Roman" w:eastAsia="Calibri" w:hAnsi="Times New Roman" w:cs="Times New Roman"/>
              </w:rPr>
              <w:t>Slutišķu</w:t>
            </w:r>
            <w:proofErr w:type="spellEnd"/>
            <w:r w:rsidRPr="00A07F29">
              <w:rPr>
                <w:rFonts w:ascii="Times New Roman" w:eastAsia="Calibri" w:hAnsi="Times New Roman" w:cs="Times New Roman"/>
              </w:rPr>
              <w:t xml:space="preserve"> krauju.</w:t>
            </w:r>
          </w:p>
        </w:tc>
        <w:tc>
          <w:tcPr>
            <w:tcW w:w="2977" w:type="dxa"/>
          </w:tcPr>
          <w:p w14:paraId="2A11486B" w14:textId="2E8F782E" w:rsidR="009072CE" w:rsidRPr="00A07F29" w:rsidRDefault="009072CE" w:rsidP="00A05DC9">
            <w:pPr>
              <w:spacing w:after="0" w:line="240" w:lineRule="auto"/>
              <w:rPr>
                <w:rFonts w:ascii="Times New Roman" w:eastAsia="Calibri" w:hAnsi="Times New Roman" w:cs="Times New Roman"/>
              </w:rPr>
            </w:pPr>
            <w:r w:rsidRPr="00A07F29">
              <w:rPr>
                <w:rFonts w:ascii="Times New Roman" w:eastAsia="Calibri" w:hAnsi="Times New Roman" w:cs="Times New Roman"/>
              </w:rPr>
              <w:t>Iekļauts ain</w:t>
            </w:r>
            <w:r w:rsidR="00A05DC9" w:rsidRPr="00A07F29">
              <w:rPr>
                <w:rFonts w:ascii="Times New Roman" w:eastAsia="Calibri" w:hAnsi="Times New Roman" w:cs="Times New Roman"/>
              </w:rPr>
              <w:t>avu struktūrplānā un ieteikumos skatu vietu uzturēšanai.</w:t>
            </w:r>
          </w:p>
        </w:tc>
      </w:tr>
      <w:tr w:rsidR="00665A15" w:rsidRPr="00A07F29" w14:paraId="775962C3" w14:textId="77777777" w:rsidTr="00A837DD">
        <w:tc>
          <w:tcPr>
            <w:tcW w:w="675" w:type="dxa"/>
          </w:tcPr>
          <w:p w14:paraId="3CF7BBCD" w14:textId="7EBCF256" w:rsidR="009072CE" w:rsidRPr="00A07F29" w:rsidRDefault="005F4236" w:rsidP="007056FA">
            <w:pPr>
              <w:spacing w:after="0" w:line="240" w:lineRule="auto"/>
              <w:rPr>
                <w:rFonts w:ascii="Times New Roman" w:eastAsia="Calibri" w:hAnsi="Times New Roman" w:cs="Times New Roman"/>
              </w:rPr>
            </w:pPr>
            <w:r w:rsidRPr="00A07F29">
              <w:rPr>
                <w:rFonts w:ascii="Times New Roman" w:eastAsia="Calibri" w:hAnsi="Times New Roman" w:cs="Times New Roman"/>
              </w:rPr>
              <w:t>16.</w:t>
            </w:r>
          </w:p>
        </w:tc>
        <w:tc>
          <w:tcPr>
            <w:tcW w:w="6413" w:type="dxa"/>
          </w:tcPr>
          <w:p w14:paraId="06EC8A9B" w14:textId="77777777" w:rsidR="009072CE" w:rsidRPr="00A07F29" w:rsidRDefault="009072CE" w:rsidP="007056FA">
            <w:pPr>
              <w:spacing w:after="0" w:line="240" w:lineRule="auto"/>
              <w:rPr>
                <w:rFonts w:ascii="Times New Roman" w:eastAsia="Calibri" w:hAnsi="Times New Roman" w:cs="Times New Roman"/>
              </w:rPr>
            </w:pPr>
            <w:r w:rsidRPr="00A07F29">
              <w:rPr>
                <w:rFonts w:ascii="Times New Roman" w:eastAsia="Calibri" w:hAnsi="Times New Roman" w:cs="Times New Roman"/>
                <w:bCs/>
              </w:rPr>
              <w:t>Tūrisma infrastruktūras plānojuma sagatavošana, izvērtējot, pie kuriem objektiem nepieciešanas norādes un stendi, jaunu taku un veloceliņu plānošana, skatu vietu plānošana. Jāņem vērā, ka tūristu plūsmas palielināšanās var apdraudēt daļu objektu, tāpat jāizvērtē, vai objekti ir pieejami pa esošajiem ceļiem.</w:t>
            </w:r>
          </w:p>
        </w:tc>
        <w:tc>
          <w:tcPr>
            <w:tcW w:w="1985" w:type="dxa"/>
          </w:tcPr>
          <w:p w14:paraId="3B8E1BB3" w14:textId="77777777" w:rsidR="009072CE" w:rsidRPr="00A07F29" w:rsidRDefault="009072CE" w:rsidP="007056FA">
            <w:pPr>
              <w:spacing w:after="0" w:line="240" w:lineRule="auto"/>
              <w:rPr>
                <w:rFonts w:ascii="Times New Roman" w:eastAsia="Calibri" w:hAnsi="Times New Roman" w:cs="Times New Roman"/>
              </w:rPr>
            </w:pPr>
            <w:r w:rsidRPr="00A07F29">
              <w:rPr>
                <w:rFonts w:ascii="Times New Roman" w:eastAsia="Calibri" w:hAnsi="Times New Roman" w:cs="Times New Roman"/>
              </w:rPr>
              <w:t>DAP</w:t>
            </w:r>
          </w:p>
        </w:tc>
        <w:tc>
          <w:tcPr>
            <w:tcW w:w="2693" w:type="dxa"/>
          </w:tcPr>
          <w:p w14:paraId="55C96F21" w14:textId="410BFB26" w:rsidR="009072CE" w:rsidRPr="00A07F29" w:rsidRDefault="009072CE" w:rsidP="007056FA">
            <w:pPr>
              <w:spacing w:after="0" w:line="240" w:lineRule="auto"/>
              <w:rPr>
                <w:rFonts w:ascii="Times New Roman" w:eastAsia="Calibri" w:hAnsi="Times New Roman" w:cs="Times New Roman"/>
              </w:rPr>
            </w:pPr>
            <w:r w:rsidRPr="00A07F29">
              <w:rPr>
                <w:rFonts w:ascii="Times New Roman" w:eastAsia="Calibri" w:hAnsi="Times New Roman" w:cs="Times New Roman"/>
              </w:rPr>
              <w:t>Nav veikts</w:t>
            </w:r>
            <w:r w:rsidR="004B09EF">
              <w:rPr>
                <w:rFonts w:ascii="Times New Roman" w:eastAsia="Calibri" w:hAnsi="Times New Roman" w:cs="Times New Roman"/>
              </w:rPr>
              <w:t>.</w:t>
            </w:r>
          </w:p>
        </w:tc>
        <w:tc>
          <w:tcPr>
            <w:tcW w:w="2977" w:type="dxa"/>
          </w:tcPr>
          <w:p w14:paraId="2BB91B4F" w14:textId="03AEC669" w:rsidR="009072CE" w:rsidRPr="00A07F29" w:rsidRDefault="009072CE" w:rsidP="007056FA">
            <w:pPr>
              <w:spacing w:after="0" w:line="240" w:lineRule="auto"/>
              <w:rPr>
                <w:rFonts w:ascii="Times New Roman" w:eastAsia="Calibri" w:hAnsi="Times New Roman" w:cs="Times New Roman"/>
              </w:rPr>
            </w:pPr>
            <w:r w:rsidRPr="00A07F29">
              <w:rPr>
                <w:rFonts w:ascii="Times New Roman" w:eastAsia="Calibri" w:hAnsi="Times New Roman" w:cs="Times New Roman"/>
              </w:rPr>
              <w:t>Iekļauts ainavu struktūrplānā un ieteikumos tūrisma infrastruktūras uzlabošanai</w:t>
            </w:r>
            <w:r w:rsidR="004B09EF">
              <w:rPr>
                <w:rFonts w:ascii="Times New Roman" w:eastAsia="Calibri" w:hAnsi="Times New Roman" w:cs="Times New Roman"/>
              </w:rPr>
              <w:t>.</w:t>
            </w:r>
          </w:p>
        </w:tc>
      </w:tr>
    </w:tbl>
    <w:p w14:paraId="146857A1" w14:textId="77777777" w:rsidR="00665A15" w:rsidRPr="00A07F29" w:rsidRDefault="00665A15" w:rsidP="009072CE">
      <w:pPr>
        <w:keepNext/>
        <w:spacing w:after="0" w:line="240" w:lineRule="auto"/>
        <w:ind w:left="420"/>
        <w:jc w:val="both"/>
        <w:outlineLvl w:val="1"/>
        <w:rPr>
          <w:rFonts w:ascii="Times New Roman" w:eastAsia="Times New Roman" w:hAnsi="Times New Roman" w:cs="Times New Roman"/>
          <w:b/>
          <w:iCs/>
          <w:color w:val="000000"/>
          <w:lang w:eastAsia="ja-JP"/>
        </w:rPr>
        <w:sectPr w:rsidR="00665A15" w:rsidRPr="00A07F29" w:rsidSect="00A837DD">
          <w:pgSz w:w="16838" w:h="11906" w:orient="landscape" w:code="9"/>
          <w:pgMar w:top="1134" w:right="1134" w:bottom="851" w:left="1134" w:header="709" w:footer="709" w:gutter="0"/>
          <w:cols w:space="708"/>
          <w:docGrid w:linePitch="360"/>
        </w:sectPr>
      </w:pPr>
    </w:p>
    <w:p w14:paraId="3ADBFB2D" w14:textId="0E522AAD" w:rsidR="009072CE" w:rsidRPr="00A07F29" w:rsidRDefault="009072CE" w:rsidP="00665A15">
      <w:pPr>
        <w:pStyle w:val="Heading2"/>
        <w:spacing w:before="120" w:after="120"/>
        <w:ind w:firstLine="0"/>
        <w:jc w:val="center"/>
        <w:rPr>
          <w:rFonts w:ascii="Times New Roman" w:hAnsi="Times New Roman"/>
          <w:b w:val="0"/>
          <w:iCs w:val="0"/>
        </w:rPr>
      </w:pPr>
      <w:bookmarkStart w:id="101" w:name="_Toc183434031"/>
      <w:r w:rsidRPr="00A07F29">
        <w:rPr>
          <w:rFonts w:ascii="Times New Roman" w:hAnsi="Times New Roman"/>
          <w:i w:val="0"/>
        </w:rPr>
        <w:lastRenderedPageBreak/>
        <w:t>5.2. Aizsargājamās teritorijas apsaimniekošanas ilgtermiņa un īstermiņa mērķi plānā noteiktajam apsaimniekošanas periodam</w:t>
      </w:r>
      <w:bookmarkEnd w:id="101"/>
    </w:p>
    <w:p w14:paraId="243FBA73" w14:textId="62062263" w:rsidR="009072CE" w:rsidRPr="00A07F29" w:rsidRDefault="009072CE" w:rsidP="00BC5E31">
      <w:pPr>
        <w:pStyle w:val="Heading3"/>
        <w:spacing w:before="240" w:after="240" w:line="240" w:lineRule="auto"/>
        <w:jc w:val="center"/>
        <w:rPr>
          <w:b w:val="0"/>
          <w:lang w:eastAsia="ja-JP"/>
        </w:rPr>
      </w:pPr>
      <w:bookmarkStart w:id="102" w:name="_Toc183434032"/>
      <w:r w:rsidRPr="00A07F29">
        <w:rPr>
          <w:lang w:eastAsia="ja-JP"/>
        </w:rPr>
        <w:t>5.2.1. Teritorijas apsaimniekošanas ideālais jeb ilgtermiņa mērķis</w:t>
      </w:r>
      <w:bookmarkEnd w:id="102"/>
    </w:p>
    <w:p w14:paraId="3BE0A418" w14:textId="122EE1E4" w:rsidR="009072CE" w:rsidRPr="00A07F29" w:rsidRDefault="009072CE" w:rsidP="009072CE">
      <w:pPr>
        <w:spacing w:before="120" w:after="0" w:line="240" w:lineRule="auto"/>
        <w:ind w:firstLine="851"/>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 xml:space="preserve">Saglabāt AAA </w:t>
      </w:r>
      <w:r w:rsidR="009A65D2">
        <w:rPr>
          <w:rFonts w:ascii="Times New Roman" w:eastAsia="Calibri" w:hAnsi="Times New Roman" w:cs="Calibri"/>
          <w:sz w:val="24"/>
          <w:lang w:eastAsia="ja-JP"/>
        </w:rPr>
        <w:t>“</w:t>
      </w:r>
      <w:r w:rsidRPr="00A07F29">
        <w:rPr>
          <w:rFonts w:ascii="Times New Roman" w:eastAsia="Calibri" w:hAnsi="Times New Roman" w:cs="Calibri"/>
          <w:sz w:val="24"/>
          <w:lang w:eastAsia="ja-JP"/>
        </w:rPr>
        <w:t xml:space="preserve">Augšdaugava” dabas un kultūrvēsturiskās vērtības – cilvēka neizmainīto Daugavas upes posmu un upei pieguļošo teritoriju, aizsargājot tās ainavisko struktūru, kā arī biotopu un sugu daudzveidību, </w:t>
      </w:r>
      <w:r w:rsidR="00ED61C1" w:rsidRPr="00A07F29">
        <w:rPr>
          <w:rFonts w:ascii="Times New Roman" w:eastAsia="Calibri" w:hAnsi="Times New Roman" w:cs="Calibri"/>
          <w:sz w:val="24"/>
          <w:lang w:eastAsia="ja-JP"/>
        </w:rPr>
        <w:t xml:space="preserve">vienlaikus </w:t>
      </w:r>
      <w:r w:rsidRPr="00A07F29">
        <w:rPr>
          <w:rFonts w:ascii="Times New Roman" w:eastAsia="Calibri" w:hAnsi="Times New Roman" w:cs="Calibri"/>
          <w:sz w:val="24"/>
          <w:lang w:eastAsia="ja-JP"/>
        </w:rPr>
        <w:t>veicinot teritorijas ilgtspējīgu attīstību un līdzsvarojot dabas aizsardzības, kultūrvēsturisko vērtību aizsardzības un sociālekonomiskās intereses.</w:t>
      </w:r>
    </w:p>
    <w:p w14:paraId="357F0C16" w14:textId="77777777" w:rsidR="00F760A0" w:rsidRPr="00A07F29" w:rsidRDefault="00F760A0" w:rsidP="009072CE">
      <w:pPr>
        <w:spacing w:before="120" w:after="0" w:line="240" w:lineRule="auto"/>
        <w:ind w:firstLine="851"/>
        <w:jc w:val="both"/>
        <w:rPr>
          <w:rFonts w:ascii="Times New Roman" w:eastAsia="Calibri" w:hAnsi="Times New Roman" w:cs="Calibri"/>
          <w:sz w:val="24"/>
          <w:lang w:eastAsia="ja-JP"/>
        </w:rPr>
      </w:pPr>
    </w:p>
    <w:p w14:paraId="34041026" w14:textId="7E78F1BA" w:rsidR="009072CE" w:rsidRPr="00A07F29" w:rsidRDefault="009072CE" w:rsidP="00665A15">
      <w:pPr>
        <w:pStyle w:val="Heading3"/>
        <w:spacing w:before="120" w:after="120" w:line="240" w:lineRule="auto"/>
        <w:jc w:val="center"/>
        <w:rPr>
          <w:b w:val="0"/>
          <w:lang w:eastAsia="ja-JP"/>
        </w:rPr>
      </w:pPr>
      <w:bookmarkStart w:id="103" w:name="_Toc183434033"/>
      <w:r w:rsidRPr="00A07F29">
        <w:rPr>
          <w:lang w:eastAsia="ja-JP"/>
        </w:rPr>
        <w:t>5.2.2. Teritorijas apsaimniekošanas īstermiņa mērķi plānā apskatītajam apsaimniekošanas periodam</w:t>
      </w:r>
      <w:bookmarkEnd w:id="103"/>
    </w:p>
    <w:p w14:paraId="33F7B6F7" w14:textId="5E6ED926" w:rsidR="0089304D" w:rsidRPr="00A07F29" w:rsidRDefault="009072CE" w:rsidP="009072CE">
      <w:pPr>
        <w:spacing w:before="120" w:after="0" w:line="240" w:lineRule="auto"/>
        <w:ind w:firstLine="851"/>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Plāna darbības periodā sasniedzamie īstermiņa mērķi sadalīti pa grupām</w:t>
      </w:r>
      <w:r w:rsidR="00ED61C1" w:rsidRPr="00A07F29">
        <w:rPr>
          <w:rFonts w:ascii="Times New Roman" w:eastAsia="Calibri" w:hAnsi="Times New Roman" w:cs="Calibri"/>
          <w:sz w:val="24"/>
          <w:lang w:eastAsia="ja-JP"/>
        </w:rPr>
        <w:t xml:space="preserve"> un k</w:t>
      </w:r>
      <w:r w:rsidR="0089304D" w:rsidRPr="00A07F29">
        <w:rPr>
          <w:rFonts w:ascii="Times New Roman" w:eastAsia="Calibri" w:hAnsi="Times New Roman" w:cs="Calibri"/>
          <w:sz w:val="24"/>
          <w:lang w:eastAsia="ja-JP"/>
        </w:rPr>
        <w:t>atram īstermiņa mērķim definēti pasākumi, ar kuru palīdzību šie mērķi sasniedzami. Īss mērķu un atbilstošo apsaimniekošanas pasākumu pārskats sniegts 5.3.1.</w:t>
      </w:r>
      <w:r w:rsidR="004C3D3E">
        <w:rPr>
          <w:rFonts w:ascii="Times New Roman" w:eastAsia="Calibri" w:hAnsi="Times New Roman" w:cs="Calibri"/>
          <w:sz w:val="24"/>
          <w:lang w:eastAsia="ja-JP"/>
        </w:rPr>
        <w:t> </w:t>
      </w:r>
      <w:r w:rsidR="0089304D" w:rsidRPr="00A07F29">
        <w:rPr>
          <w:rFonts w:ascii="Times New Roman" w:eastAsia="Calibri" w:hAnsi="Times New Roman" w:cs="Calibri"/>
          <w:sz w:val="24"/>
          <w:lang w:eastAsia="ja-JP"/>
        </w:rPr>
        <w:t>tabulā 5.3.</w:t>
      </w:r>
      <w:r w:rsidR="004C3D3E">
        <w:rPr>
          <w:rFonts w:ascii="Times New Roman" w:eastAsia="Calibri" w:hAnsi="Times New Roman" w:cs="Calibri"/>
          <w:sz w:val="24"/>
          <w:lang w:eastAsia="ja-JP"/>
        </w:rPr>
        <w:t> </w:t>
      </w:r>
      <w:r w:rsidR="0089304D" w:rsidRPr="00A07F29">
        <w:rPr>
          <w:rFonts w:ascii="Times New Roman" w:eastAsia="Calibri" w:hAnsi="Times New Roman" w:cs="Calibri"/>
          <w:sz w:val="24"/>
          <w:lang w:eastAsia="ja-JP"/>
        </w:rPr>
        <w:t>nodaļā. Detalizētāk plānotie apsaimniekošanas pasākumi aprakstīti 5.</w:t>
      </w:r>
      <w:r w:rsidR="00831470" w:rsidRPr="00A07F29">
        <w:rPr>
          <w:rFonts w:ascii="Times New Roman" w:eastAsia="Calibri" w:hAnsi="Times New Roman" w:cs="Calibri"/>
          <w:sz w:val="24"/>
          <w:lang w:eastAsia="ja-JP"/>
        </w:rPr>
        <w:t>3</w:t>
      </w:r>
      <w:r w:rsidR="0089304D" w:rsidRPr="00A07F29">
        <w:rPr>
          <w:rFonts w:ascii="Times New Roman" w:eastAsia="Calibri" w:hAnsi="Times New Roman" w:cs="Calibri"/>
          <w:sz w:val="24"/>
          <w:lang w:eastAsia="ja-JP"/>
        </w:rPr>
        <w:t>.1.</w:t>
      </w:r>
      <w:r w:rsidR="000D6C59">
        <w:rPr>
          <w:rFonts w:ascii="Times New Roman" w:eastAsia="Calibri" w:hAnsi="Times New Roman" w:cs="Calibri"/>
          <w:sz w:val="24"/>
          <w:lang w:eastAsia="ja-JP"/>
        </w:rPr>
        <w:t> </w:t>
      </w:r>
      <w:r w:rsidR="0089304D" w:rsidRPr="00A07F29">
        <w:rPr>
          <w:rFonts w:ascii="Times New Roman" w:eastAsia="Calibri" w:hAnsi="Times New Roman" w:cs="Calibri"/>
          <w:sz w:val="24"/>
          <w:lang w:eastAsia="ja-JP"/>
        </w:rPr>
        <w:t>nodaļā.</w:t>
      </w:r>
    </w:p>
    <w:p w14:paraId="78BB3827" w14:textId="7524F161" w:rsidR="009072CE" w:rsidRPr="00A07F29" w:rsidRDefault="009072CE" w:rsidP="00B110AA">
      <w:pPr>
        <w:spacing w:before="240" w:after="0" w:line="240" w:lineRule="auto"/>
        <w:jc w:val="both"/>
        <w:rPr>
          <w:rFonts w:ascii="Times New Roman" w:eastAsia="Calibri" w:hAnsi="Times New Roman" w:cs="Calibri"/>
          <w:b/>
          <w:sz w:val="24"/>
          <w:lang w:eastAsia="ja-JP"/>
        </w:rPr>
      </w:pPr>
      <w:r w:rsidRPr="00A07F29">
        <w:rPr>
          <w:rFonts w:ascii="Times New Roman" w:eastAsia="Calibri" w:hAnsi="Times New Roman" w:cs="Calibri"/>
          <w:b/>
          <w:sz w:val="24"/>
          <w:lang w:eastAsia="ja-JP"/>
        </w:rPr>
        <w:t xml:space="preserve">A. Administratīvie un organizatoriskie </w:t>
      </w:r>
      <w:r w:rsidR="005E1781" w:rsidRPr="00A07F29">
        <w:rPr>
          <w:rFonts w:ascii="Times New Roman" w:eastAsia="Calibri" w:hAnsi="Times New Roman" w:cs="Calibri"/>
          <w:b/>
          <w:sz w:val="24"/>
          <w:lang w:eastAsia="ja-JP"/>
        </w:rPr>
        <w:t>aspekti</w:t>
      </w:r>
    </w:p>
    <w:p w14:paraId="48110155" w14:textId="16F1C6E3" w:rsidR="00975AD0" w:rsidRPr="00A07F29" w:rsidRDefault="009072CE" w:rsidP="009072CE">
      <w:pPr>
        <w:spacing w:before="120" w:after="0" w:line="240" w:lineRule="auto"/>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A.1.</w:t>
      </w:r>
      <w:r w:rsidR="000D6C59">
        <w:rPr>
          <w:rFonts w:ascii="Times New Roman" w:eastAsia="Calibri" w:hAnsi="Times New Roman" w:cs="Calibri"/>
          <w:sz w:val="24"/>
          <w:lang w:eastAsia="ja-JP"/>
        </w:rPr>
        <w:t> </w:t>
      </w:r>
      <w:r w:rsidR="00975AD0" w:rsidRPr="00A07F29">
        <w:rPr>
          <w:rFonts w:ascii="Times New Roman" w:eastAsia="Calibri" w:hAnsi="Times New Roman" w:cs="Calibri"/>
          <w:sz w:val="24"/>
          <w:lang w:eastAsia="ja-JP"/>
        </w:rPr>
        <w:t xml:space="preserve">Noteikt AAA “Augšdaugava” </w:t>
      </w:r>
      <w:r w:rsidR="00EA7224" w:rsidRPr="00A07F29">
        <w:rPr>
          <w:rFonts w:ascii="Times New Roman" w:eastAsia="Calibri" w:hAnsi="Times New Roman" w:cs="Calibri"/>
          <w:sz w:val="24"/>
          <w:lang w:eastAsia="ja-JP"/>
        </w:rPr>
        <w:t>vērtību saglabāšanai atbilstošas juridiski saistošas prasības</w:t>
      </w:r>
      <w:r w:rsidR="00AA3962" w:rsidRPr="00A07F29">
        <w:rPr>
          <w:rFonts w:ascii="Times New Roman" w:eastAsia="Calibri" w:hAnsi="Times New Roman" w:cs="Calibri"/>
          <w:sz w:val="24"/>
          <w:lang w:eastAsia="ja-JP"/>
        </w:rPr>
        <w:t>.</w:t>
      </w:r>
    </w:p>
    <w:p w14:paraId="574F5A17" w14:textId="2A190069" w:rsidR="00881526" w:rsidRPr="00A07F29" w:rsidRDefault="0E6B778D" w:rsidP="0E6B778D">
      <w:pPr>
        <w:spacing w:before="120" w:after="0" w:line="240" w:lineRule="auto"/>
        <w:jc w:val="both"/>
        <w:rPr>
          <w:rFonts w:ascii="Times New Roman" w:eastAsia="Calibri" w:hAnsi="Times New Roman" w:cs="Calibri"/>
          <w:sz w:val="24"/>
          <w:szCs w:val="24"/>
          <w:highlight w:val="yellow"/>
          <w:lang w:eastAsia="ja-JP"/>
        </w:rPr>
      </w:pPr>
      <w:r w:rsidRPr="00A07F29">
        <w:rPr>
          <w:rFonts w:ascii="Times New Roman" w:eastAsia="Calibri" w:hAnsi="Times New Roman" w:cs="Calibri"/>
          <w:sz w:val="24"/>
          <w:szCs w:val="24"/>
          <w:lang w:eastAsia="ja-JP"/>
        </w:rPr>
        <w:t>A.2.</w:t>
      </w:r>
      <w:r w:rsidR="000D6C59">
        <w:rPr>
          <w:rFonts w:ascii="Times New Roman" w:eastAsia="Calibri" w:hAnsi="Times New Roman" w:cs="Calibri"/>
          <w:sz w:val="24"/>
          <w:szCs w:val="24"/>
          <w:lang w:eastAsia="ja-JP"/>
        </w:rPr>
        <w:t> </w:t>
      </w:r>
      <w:r w:rsidRPr="00A07F29">
        <w:rPr>
          <w:rFonts w:ascii="Times New Roman" w:eastAsia="Calibri" w:hAnsi="Times New Roman" w:cs="Calibri"/>
          <w:sz w:val="24"/>
          <w:szCs w:val="24"/>
          <w:lang w:eastAsia="ja-JP"/>
        </w:rPr>
        <w:t>Nodrošināt AAA “Augšdaugava” robežu atpazīstamību dabā.</w:t>
      </w:r>
    </w:p>
    <w:p w14:paraId="772FD6E3" w14:textId="6D1DB8CE" w:rsidR="00F7498A" w:rsidRPr="00A07F29" w:rsidRDefault="00F7498A" w:rsidP="009072CE">
      <w:pPr>
        <w:spacing w:before="120" w:after="0" w:line="240" w:lineRule="auto"/>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A.3.</w:t>
      </w:r>
      <w:r w:rsidR="0038331F">
        <w:rPr>
          <w:rFonts w:ascii="Times New Roman" w:eastAsia="Calibri" w:hAnsi="Times New Roman" w:cs="Calibri"/>
          <w:sz w:val="24"/>
          <w:lang w:eastAsia="ja-JP"/>
        </w:rPr>
        <w:t> </w:t>
      </w:r>
      <w:r w:rsidRPr="00A07F29">
        <w:rPr>
          <w:rFonts w:ascii="Times New Roman" w:eastAsia="Calibri" w:hAnsi="Times New Roman" w:cs="Calibri"/>
          <w:sz w:val="24"/>
          <w:lang w:eastAsia="ja-JP"/>
        </w:rPr>
        <w:t>Iekļaut AAA “Augšdaugava” pieguloš</w:t>
      </w:r>
      <w:r w:rsidR="0006451B" w:rsidRPr="00A07F29">
        <w:rPr>
          <w:rFonts w:ascii="Times New Roman" w:eastAsia="Calibri" w:hAnsi="Times New Roman" w:cs="Calibri"/>
          <w:sz w:val="24"/>
          <w:lang w:eastAsia="ja-JP"/>
        </w:rPr>
        <w:t>o</w:t>
      </w:r>
      <w:r w:rsidRPr="00A07F29">
        <w:rPr>
          <w:rFonts w:ascii="Times New Roman" w:eastAsia="Calibri" w:hAnsi="Times New Roman" w:cs="Calibri"/>
          <w:sz w:val="24"/>
          <w:lang w:eastAsia="ja-JP"/>
        </w:rPr>
        <w:t xml:space="preserve"> </w:t>
      </w:r>
      <w:r w:rsidR="0006451B" w:rsidRPr="00A07F29">
        <w:rPr>
          <w:rFonts w:ascii="Times New Roman" w:eastAsia="Calibri" w:hAnsi="Times New Roman" w:cs="Calibri"/>
          <w:sz w:val="24"/>
          <w:lang w:eastAsia="ja-JP"/>
        </w:rPr>
        <w:t xml:space="preserve">lapkoku </w:t>
      </w:r>
      <w:proofErr w:type="spellStart"/>
      <w:r w:rsidR="0006451B" w:rsidRPr="00A07F29">
        <w:rPr>
          <w:rFonts w:ascii="Times New Roman" w:eastAsia="Calibri" w:hAnsi="Times New Roman" w:cs="Calibri"/>
          <w:sz w:val="24"/>
          <w:lang w:eastAsia="ja-JP"/>
        </w:rPr>
        <w:t>praulgrauža</w:t>
      </w:r>
      <w:proofErr w:type="spellEnd"/>
      <w:r w:rsidR="0006451B" w:rsidRPr="00A07F29">
        <w:rPr>
          <w:rFonts w:ascii="Times New Roman" w:eastAsia="Calibri" w:hAnsi="Times New Roman" w:cs="Calibri"/>
          <w:sz w:val="24"/>
          <w:lang w:eastAsia="ja-JP"/>
        </w:rPr>
        <w:t xml:space="preserve"> atradni</w:t>
      </w:r>
      <w:r w:rsidR="0038331F">
        <w:rPr>
          <w:rFonts w:ascii="Times New Roman" w:eastAsia="Calibri" w:hAnsi="Times New Roman" w:cs="Calibri"/>
          <w:sz w:val="24"/>
          <w:lang w:eastAsia="ja-JP"/>
        </w:rPr>
        <w:t>.</w:t>
      </w:r>
    </w:p>
    <w:p w14:paraId="12A14E5F" w14:textId="77777777" w:rsidR="009072CE" w:rsidRPr="00A07F29" w:rsidRDefault="009072CE" w:rsidP="00B110AA">
      <w:pPr>
        <w:spacing w:before="240" w:after="0" w:line="240" w:lineRule="auto"/>
        <w:jc w:val="both"/>
        <w:rPr>
          <w:rFonts w:ascii="Times New Roman" w:eastAsia="Calibri" w:hAnsi="Times New Roman" w:cs="Calibri"/>
          <w:b/>
          <w:sz w:val="24"/>
          <w:lang w:eastAsia="ja-JP"/>
        </w:rPr>
      </w:pPr>
      <w:r w:rsidRPr="00A07F29">
        <w:rPr>
          <w:rFonts w:ascii="Times New Roman" w:eastAsia="Calibri" w:hAnsi="Times New Roman" w:cs="Calibri"/>
          <w:b/>
          <w:sz w:val="24"/>
          <w:lang w:eastAsia="ja-JP"/>
        </w:rPr>
        <w:t>B. Dabas vērtību aizsardzība un apsaimniekošana</w:t>
      </w:r>
    </w:p>
    <w:p w14:paraId="4E08ECD0" w14:textId="386EECFE" w:rsidR="00182C3D" w:rsidRPr="00A07F29" w:rsidRDefault="009072CE" w:rsidP="461809C0">
      <w:pPr>
        <w:spacing w:before="120" w:after="0" w:line="240" w:lineRule="auto"/>
        <w:jc w:val="both"/>
        <w:rPr>
          <w:rFonts w:ascii="Times New Roman" w:eastAsia="Calibri" w:hAnsi="Times New Roman" w:cs="Calibri"/>
          <w:sz w:val="24"/>
          <w:szCs w:val="24"/>
          <w:lang w:eastAsia="ja-JP"/>
        </w:rPr>
      </w:pPr>
      <w:r w:rsidRPr="00A07F29">
        <w:rPr>
          <w:rFonts w:ascii="Times New Roman" w:eastAsia="Calibri" w:hAnsi="Times New Roman" w:cs="Calibri"/>
          <w:sz w:val="24"/>
          <w:szCs w:val="24"/>
          <w:lang w:eastAsia="ja-JP"/>
        </w:rPr>
        <w:t>B.1.</w:t>
      </w:r>
      <w:r w:rsidR="0038331F">
        <w:rPr>
          <w:rFonts w:ascii="Times New Roman" w:eastAsia="Calibri" w:hAnsi="Times New Roman" w:cs="Calibri"/>
          <w:sz w:val="24"/>
          <w:szCs w:val="24"/>
          <w:lang w:eastAsia="ja-JP"/>
        </w:rPr>
        <w:t> </w:t>
      </w:r>
      <w:r w:rsidR="00E273E6" w:rsidRPr="00A07F29">
        <w:rPr>
          <w:rFonts w:ascii="Times New Roman" w:eastAsia="Calibri" w:hAnsi="Times New Roman" w:cs="Calibri"/>
          <w:sz w:val="24"/>
          <w:szCs w:val="24"/>
          <w:lang w:eastAsia="ja-JP"/>
        </w:rPr>
        <w:t>Saglabāt vai uzlabot kvalitāti 31</w:t>
      </w:r>
      <w:r w:rsidR="005F3D04" w:rsidRPr="00A07F29">
        <w:rPr>
          <w:rFonts w:ascii="Times New Roman" w:eastAsia="Calibri" w:hAnsi="Times New Roman" w:cs="Calibri"/>
          <w:sz w:val="24"/>
          <w:szCs w:val="24"/>
          <w:lang w:eastAsia="ja-JP"/>
        </w:rPr>
        <w:t>8</w:t>
      </w:r>
      <w:r w:rsidR="0038331F">
        <w:rPr>
          <w:rFonts w:ascii="Times New Roman" w:eastAsia="Calibri" w:hAnsi="Times New Roman" w:cs="Calibri"/>
          <w:sz w:val="24"/>
          <w:szCs w:val="24"/>
          <w:lang w:eastAsia="ja-JP"/>
        </w:rPr>
        <w:t> </w:t>
      </w:r>
      <w:r w:rsidR="00E273E6" w:rsidRPr="00A07F29">
        <w:rPr>
          <w:rFonts w:ascii="Times New Roman" w:eastAsia="Calibri" w:hAnsi="Times New Roman" w:cs="Calibri"/>
          <w:sz w:val="24"/>
          <w:szCs w:val="24"/>
          <w:lang w:eastAsia="ja-JP"/>
        </w:rPr>
        <w:t xml:space="preserve">ha </w:t>
      </w:r>
      <w:r w:rsidR="00182C3D" w:rsidRPr="00A07F29">
        <w:rPr>
          <w:rFonts w:ascii="Times New Roman" w:eastAsia="Calibri" w:hAnsi="Times New Roman" w:cs="Calibri"/>
          <w:sz w:val="24"/>
          <w:szCs w:val="24"/>
          <w:lang w:eastAsia="ja-JP"/>
        </w:rPr>
        <w:t>ES</w:t>
      </w:r>
      <w:r w:rsidR="005F3D04" w:rsidRPr="00A07F29">
        <w:rPr>
          <w:rFonts w:ascii="Times New Roman" w:eastAsia="Calibri" w:hAnsi="Times New Roman" w:cs="Calibri"/>
          <w:sz w:val="24"/>
          <w:szCs w:val="24"/>
          <w:lang w:eastAsia="ja-JP"/>
        </w:rPr>
        <w:t xml:space="preserve"> nozīmes ezeru biotopu un 1532</w:t>
      </w:r>
      <w:r w:rsidR="0038331F">
        <w:rPr>
          <w:rFonts w:ascii="Times New Roman" w:eastAsia="Calibri" w:hAnsi="Times New Roman" w:cs="Calibri"/>
          <w:sz w:val="24"/>
          <w:szCs w:val="24"/>
          <w:lang w:eastAsia="ja-JP"/>
        </w:rPr>
        <w:t> </w:t>
      </w:r>
      <w:r w:rsidR="00182C3D" w:rsidRPr="00A07F29">
        <w:rPr>
          <w:rFonts w:ascii="Times New Roman" w:eastAsia="Calibri" w:hAnsi="Times New Roman" w:cs="Calibri"/>
          <w:sz w:val="24"/>
          <w:szCs w:val="24"/>
          <w:lang w:eastAsia="ja-JP"/>
        </w:rPr>
        <w:t>ha ES nozīmes upju biotopu.</w:t>
      </w:r>
    </w:p>
    <w:p w14:paraId="5E8EF71D" w14:textId="67D1DBCF" w:rsidR="009072CE" w:rsidRPr="00A07F29" w:rsidRDefault="00AA3962" w:rsidP="00B429CE">
      <w:pPr>
        <w:spacing w:before="120" w:after="0" w:line="240" w:lineRule="auto"/>
        <w:jc w:val="both"/>
        <w:rPr>
          <w:rFonts w:ascii="Times New Roman" w:eastAsia="Calibri" w:hAnsi="Times New Roman" w:cs="Calibri"/>
          <w:sz w:val="24"/>
          <w:lang w:eastAsia="ja-JP"/>
        </w:rPr>
      </w:pPr>
      <w:r w:rsidRPr="00A07F29">
        <w:rPr>
          <w:rFonts w:ascii="Times New Roman" w:eastAsia="Calibri" w:hAnsi="Times New Roman" w:cs="Calibri"/>
          <w:bCs/>
          <w:iCs/>
          <w:sz w:val="24"/>
          <w:lang w:eastAsia="ja-JP"/>
        </w:rPr>
        <w:t>B.2.</w:t>
      </w:r>
      <w:r w:rsidR="0038331F">
        <w:rPr>
          <w:rFonts w:ascii="Times New Roman" w:eastAsia="Calibri" w:hAnsi="Times New Roman" w:cs="Calibri"/>
          <w:bCs/>
          <w:iCs/>
          <w:sz w:val="24"/>
          <w:lang w:eastAsia="ja-JP"/>
        </w:rPr>
        <w:t> </w:t>
      </w:r>
      <w:r w:rsidRPr="00A07F29">
        <w:rPr>
          <w:rFonts w:ascii="Times New Roman" w:eastAsia="Calibri" w:hAnsi="Times New Roman" w:cs="Calibri"/>
          <w:bCs/>
          <w:iCs/>
          <w:sz w:val="24"/>
          <w:lang w:eastAsia="ja-JP"/>
        </w:rPr>
        <w:t xml:space="preserve">Apsaimniekot </w:t>
      </w:r>
      <w:r w:rsidR="00E645D2" w:rsidRPr="00A07F29">
        <w:rPr>
          <w:rFonts w:ascii="Times New Roman" w:eastAsia="Calibri" w:hAnsi="Times New Roman" w:cs="Calibri"/>
          <w:bCs/>
          <w:iCs/>
          <w:sz w:val="24"/>
          <w:lang w:eastAsia="ja-JP"/>
        </w:rPr>
        <w:t>14</w:t>
      </w:r>
      <w:r w:rsidR="00591873" w:rsidRPr="00A07F29">
        <w:rPr>
          <w:rFonts w:ascii="Times New Roman" w:eastAsia="Calibri" w:hAnsi="Times New Roman" w:cs="Calibri"/>
          <w:bCs/>
          <w:iCs/>
          <w:sz w:val="24"/>
          <w:lang w:eastAsia="ja-JP"/>
        </w:rPr>
        <w:t>13</w:t>
      </w:r>
      <w:r w:rsidR="0038331F">
        <w:rPr>
          <w:rFonts w:ascii="Times New Roman" w:eastAsia="Calibri" w:hAnsi="Times New Roman" w:cs="Calibri"/>
          <w:bCs/>
          <w:iCs/>
          <w:sz w:val="24"/>
          <w:lang w:eastAsia="ja-JP"/>
        </w:rPr>
        <w:t> </w:t>
      </w:r>
      <w:r w:rsidRPr="00A07F29">
        <w:rPr>
          <w:rFonts w:ascii="Times New Roman" w:eastAsia="Calibri" w:hAnsi="Times New Roman" w:cs="Calibri"/>
          <w:bCs/>
          <w:iCs/>
          <w:sz w:val="24"/>
          <w:lang w:eastAsia="ja-JP"/>
        </w:rPr>
        <w:t>ha zālāju, t.sk. vismaz 9</w:t>
      </w:r>
      <w:r w:rsidR="005F3D04" w:rsidRPr="00A07F29">
        <w:rPr>
          <w:rFonts w:ascii="Times New Roman" w:eastAsia="Calibri" w:hAnsi="Times New Roman" w:cs="Calibri"/>
          <w:bCs/>
          <w:iCs/>
          <w:sz w:val="24"/>
          <w:lang w:eastAsia="ja-JP"/>
        </w:rPr>
        <w:t>28</w:t>
      </w:r>
      <w:r w:rsidR="0038331F">
        <w:rPr>
          <w:rFonts w:ascii="Times New Roman" w:eastAsia="Calibri" w:hAnsi="Times New Roman" w:cs="Calibri"/>
          <w:bCs/>
          <w:iCs/>
          <w:sz w:val="24"/>
          <w:lang w:eastAsia="ja-JP"/>
        </w:rPr>
        <w:t> </w:t>
      </w:r>
      <w:r w:rsidRPr="00A07F29">
        <w:rPr>
          <w:rFonts w:ascii="Times New Roman" w:eastAsia="Calibri" w:hAnsi="Times New Roman" w:cs="Calibri"/>
          <w:bCs/>
          <w:iCs/>
          <w:sz w:val="24"/>
          <w:lang w:eastAsia="ja-JP"/>
        </w:rPr>
        <w:t>ha ES nozīmes zālāju biotopu.</w:t>
      </w:r>
    </w:p>
    <w:p w14:paraId="7FB9CC4C" w14:textId="4557192D" w:rsidR="00AC605B" w:rsidRPr="00A07F29" w:rsidRDefault="009072CE" w:rsidP="00AC605B">
      <w:pPr>
        <w:spacing w:before="120" w:after="0" w:line="240" w:lineRule="auto"/>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B.3.</w:t>
      </w:r>
      <w:r w:rsidR="0038331F">
        <w:rPr>
          <w:rFonts w:ascii="Times New Roman" w:eastAsia="Calibri" w:hAnsi="Times New Roman" w:cs="Calibri"/>
          <w:sz w:val="24"/>
          <w:lang w:eastAsia="ja-JP"/>
        </w:rPr>
        <w:t> </w:t>
      </w:r>
      <w:r w:rsidR="00590557" w:rsidRPr="00A07F29">
        <w:rPr>
          <w:rFonts w:ascii="Times New Roman" w:eastAsia="Calibri" w:hAnsi="Times New Roman" w:cs="Calibri"/>
          <w:sz w:val="24"/>
          <w:lang w:eastAsia="ja-JP"/>
        </w:rPr>
        <w:t xml:space="preserve">Saglabāt </w:t>
      </w:r>
      <w:r w:rsidR="005F3D04" w:rsidRPr="00A07F29">
        <w:rPr>
          <w:rFonts w:ascii="Times New Roman" w:eastAsia="Calibri" w:hAnsi="Times New Roman" w:cs="Calibri"/>
          <w:sz w:val="24"/>
          <w:lang w:eastAsia="ja-JP"/>
        </w:rPr>
        <w:t>71</w:t>
      </w:r>
      <w:r w:rsidR="0038331F">
        <w:rPr>
          <w:rFonts w:ascii="Times New Roman" w:eastAsia="Calibri" w:hAnsi="Times New Roman" w:cs="Calibri"/>
          <w:sz w:val="24"/>
          <w:lang w:eastAsia="ja-JP"/>
        </w:rPr>
        <w:t> </w:t>
      </w:r>
      <w:r w:rsidR="00AA3962" w:rsidRPr="00A07F29">
        <w:rPr>
          <w:rFonts w:ascii="Times New Roman" w:eastAsia="Calibri" w:hAnsi="Times New Roman" w:cs="Calibri"/>
          <w:sz w:val="24"/>
          <w:lang w:eastAsia="ja-JP"/>
        </w:rPr>
        <w:t xml:space="preserve">ha ES nozīmes purvu biotopu, t.sk. uzlabot biotopa kvalitāti </w:t>
      </w:r>
      <w:r w:rsidR="00E645D2" w:rsidRPr="00A07F29">
        <w:rPr>
          <w:rFonts w:ascii="Times New Roman" w:eastAsia="Calibri" w:hAnsi="Times New Roman" w:cs="Calibri"/>
          <w:sz w:val="24"/>
          <w:lang w:eastAsia="ja-JP"/>
        </w:rPr>
        <w:t>1,37</w:t>
      </w:r>
      <w:r w:rsidR="0038331F">
        <w:rPr>
          <w:rFonts w:ascii="Times New Roman" w:eastAsia="Calibri" w:hAnsi="Times New Roman" w:cs="Calibri"/>
          <w:sz w:val="24"/>
          <w:lang w:eastAsia="ja-JP"/>
        </w:rPr>
        <w:t> </w:t>
      </w:r>
      <w:r w:rsidR="00AA3962" w:rsidRPr="00A07F29">
        <w:rPr>
          <w:rFonts w:ascii="Times New Roman" w:eastAsia="Calibri" w:hAnsi="Times New Roman" w:cs="Calibri"/>
          <w:sz w:val="24"/>
          <w:lang w:eastAsia="ja-JP"/>
        </w:rPr>
        <w:t>ha.</w:t>
      </w:r>
    </w:p>
    <w:p w14:paraId="107D69C9" w14:textId="787A4390" w:rsidR="00AC605B" w:rsidRPr="00A07F29" w:rsidRDefault="009072CE" w:rsidP="00AC605B">
      <w:pPr>
        <w:spacing w:before="120" w:after="0" w:line="240" w:lineRule="auto"/>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B.4.</w:t>
      </w:r>
      <w:r w:rsidR="0038331F">
        <w:rPr>
          <w:rFonts w:ascii="Times New Roman" w:eastAsia="Calibri" w:hAnsi="Times New Roman" w:cs="Calibri"/>
          <w:sz w:val="24"/>
          <w:lang w:eastAsia="ja-JP"/>
        </w:rPr>
        <w:t> </w:t>
      </w:r>
      <w:r w:rsidR="00AC605B" w:rsidRPr="00A07F29">
        <w:rPr>
          <w:rFonts w:ascii="Times New Roman" w:eastAsia="Calibri" w:hAnsi="Times New Roman" w:cs="Calibri"/>
          <w:sz w:val="24"/>
          <w:lang w:eastAsia="ja-JP"/>
        </w:rPr>
        <w:t xml:space="preserve">Saglabāt </w:t>
      </w:r>
      <w:r w:rsidR="00AA3962" w:rsidRPr="00A07F29">
        <w:rPr>
          <w:rFonts w:ascii="Times New Roman" w:eastAsia="Calibri" w:hAnsi="Times New Roman" w:cs="Calibri"/>
          <w:sz w:val="24"/>
          <w:lang w:eastAsia="ja-JP"/>
        </w:rPr>
        <w:t>167</w:t>
      </w:r>
      <w:r w:rsidR="005F3D04" w:rsidRPr="00A07F29">
        <w:rPr>
          <w:rFonts w:ascii="Times New Roman" w:eastAsia="Calibri" w:hAnsi="Times New Roman" w:cs="Calibri"/>
          <w:sz w:val="24"/>
          <w:lang w:eastAsia="ja-JP"/>
        </w:rPr>
        <w:t>7</w:t>
      </w:r>
      <w:r w:rsidR="0038331F">
        <w:rPr>
          <w:rFonts w:ascii="Times New Roman" w:eastAsia="Calibri" w:hAnsi="Times New Roman" w:cs="Calibri"/>
          <w:sz w:val="24"/>
          <w:lang w:eastAsia="ja-JP"/>
        </w:rPr>
        <w:t> </w:t>
      </w:r>
      <w:r w:rsidR="00AA3962" w:rsidRPr="00A07F29">
        <w:rPr>
          <w:rFonts w:ascii="Times New Roman" w:eastAsia="Calibri" w:hAnsi="Times New Roman" w:cs="Calibri"/>
          <w:sz w:val="24"/>
          <w:lang w:eastAsia="ja-JP"/>
        </w:rPr>
        <w:t>ha ES nozīmes meža biotopu.</w:t>
      </w:r>
    </w:p>
    <w:p w14:paraId="52E9E480" w14:textId="6F0470CE" w:rsidR="009072CE" w:rsidRPr="00A07F29" w:rsidRDefault="009072CE" w:rsidP="00B429CE">
      <w:pPr>
        <w:spacing w:before="120" w:after="0" w:line="240" w:lineRule="auto"/>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B.5.</w:t>
      </w:r>
      <w:r w:rsidR="0038331F">
        <w:rPr>
          <w:rFonts w:ascii="Times New Roman" w:eastAsia="Calibri" w:hAnsi="Times New Roman" w:cs="Calibri"/>
          <w:sz w:val="24"/>
          <w:lang w:eastAsia="ja-JP"/>
        </w:rPr>
        <w:t> </w:t>
      </w:r>
      <w:r w:rsidR="00B429CE" w:rsidRPr="00A07F29">
        <w:rPr>
          <w:rFonts w:ascii="Times New Roman" w:eastAsia="Calibri" w:hAnsi="Times New Roman" w:cs="Calibri"/>
          <w:sz w:val="24"/>
          <w:lang w:eastAsia="ja-JP"/>
        </w:rPr>
        <w:t>Saglabāt AAA teritorijā sastopamo reto un aizsargājamo sugu populācijas vismaz</w:t>
      </w:r>
      <w:r w:rsidR="00ED61C1" w:rsidRPr="00A07F29">
        <w:rPr>
          <w:rFonts w:ascii="Times New Roman" w:eastAsia="Calibri" w:hAnsi="Times New Roman" w:cs="Calibri"/>
          <w:sz w:val="24"/>
          <w:lang w:eastAsia="ja-JP"/>
        </w:rPr>
        <w:t xml:space="preserve"> </w:t>
      </w:r>
      <w:r w:rsidR="00B429CE" w:rsidRPr="00A07F29">
        <w:rPr>
          <w:rFonts w:ascii="Times New Roman" w:eastAsia="Calibri" w:hAnsi="Times New Roman" w:cs="Calibri"/>
          <w:sz w:val="24"/>
          <w:lang w:eastAsia="ja-JP"/>
        </w:rPr>
        <w:t>to pašreizējā stāvoklī, kā arī īstenot to aizsardzībai nepieciešamos pasākumus</w:t>
      </w:r>
      <w:r w:rsidR="00AA3962" w:rsidRPr="00A07F29">
        <w:rPr>
          <w:rFonts w:ascii="Times New Roman" w:eastAsia="Calibri" w:hAnsi="Times New Roman" w:cs="Calibri"/>
          <w:sz w:val="24"/>
          <w:lang w:eastAsia="ja-JP"/>
        </w:rPr>
        <w:t>.</w:t>
      </w:r>
    </w:p>
    <w:p w14:paraId="71EFEEB2" w14:textId="15C32072" w:rsidR="009072CE" w:rsidRPr="00A07F29" w:rsidRDefault="009072CE" w:rsidP="009072CE">
      <w:pPr>
        <w:spacing w:before="120" w:after="0" w:line="240" w:lineRule="auto"/>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B.6.</w:t>
      </w:r>
      <w:r w:rsidR="003F09BE">
        <w:rPr>
          <w:rFonts w:ascii="Times New Roman" w:eastAsia="Calibri" w:hAnsi="Times New Roman" w:cs="Calibri"/>
          <w:sz w:val="24"/>
          <w:lang w:eastAsia="ja-JP"/>
        </w:rPr>
        <w:t> </w:t>
      </w:r>
      <w:r w:rsidR="00B429CE" w:rsidRPr="00A07F29">
        <w:rPr>
          <w:rFonts w:ascii="Times New Roman" w:eastAsia="Calibri" w:hAnsi="Times New Roman" w:cs="Calibri"/>
          <w:sz w:val="24"/>
          <w:lang w:eastAsia="ja-JP"/>
        </w:rPr>
        <w:t xml:space="preserve">Ierobežot </w:t>
      </w:r>
      <w:proofErr w:type="spellStart"/>
      <w:r w:rsidR="00B429CE" w:rsidRPr="00A07F29">
        <w:rPr>
          <w:rFonts w:ascii="Times New Roman" w:eastAsia="Calibri" w:hAnsi="Times New Roman" w:cs="Calibri"/>
          <w:sz w:val="24"/>
          <w:lang w:eastAsia="ja-JP"/>
        </w:rPr>
        <w:t>i</w:t>
      </w:r>
      <w:r w:rsidRPr="00A07F29">
        <w:rPr>
          <w:rFonts w:ascii="Times New Roman" w:eastAsia="Calibri" w:hAnsi="Times New Roman" w:cs="Calibri"/>
          <w:sz w:val="24"/>
          <w:lang w:eastAsia="ja-JP"/>
        </w:rPr>
        <w:t>nvazīvo</w:t>
      </w:r>
      <w:proofErr w:type="spellEnd"/>
      <w:r w:rsidRPr="00A07F29">
        <w:rPr>
          <w:rFonts w:ascii="Times New Roman" w:eastAsia="Calibri" w:hAnsi="Times New Roman" w:cs="Calibri"/>
          <w:sz w:val="24"/>
          <w:lang w:eastAsia="ja-JP"/>
        </w:rPr>
        <w:t xml:space="preserve"> sugu </w:t>
      </w:r>
      <w:r w:rsidR="00B429CE" w:rsidRPr="00A07F29">
        <w:rPr>
          <w:rFonts w:ascii="Times New Roman" w:eastAsia="Calibri" w:hAnsi="Times New Roman" w:cs="Calibri"/>
          <w:sz w:val="24"/>
          <w:lang w:eastAsia="ja-JP"/>
        </w:rPr>
        <w:t>izplatību, novēršot ainavas un biotopu degradāciju</w:t>
      </w:r>
      <w:r w:rsidR="00AA3962" w:rsidRPr="00A07F29">
        <w:rPr>
          <w:rFonts w:ascii="Times New Roman" w:eastAsia="Calibri" w:hAnsi="Times New Roman" w:cs="Calibri"/>
          <w:sz w:val="24"/>
          <w:lang w:eastAsia="ja-JP"/>
        </w:rPr>
        <w:t>.</w:t>
      </w:r>
    </w:p>
    <w:p w14:paraId="396FA237" w14:textId="68D1DE7A" w:rsidR="00B80017" w:rsidRPr="00A07F29" w:rsidRDefault="00B80017" w:rsidP="009072CE">
      <w:pPr>
        <w:spacing w:before="120" w:after="0" w:line="240" w:lineRule="auto"/>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B.7.</w:t>
      </w:r>
      <w:r w:rsidR="003F09BE">
        <w:rPr>
          <w:rFonts w:ascii="Times New Roman" w:eastAsia="Calibri" w:hAnsi="Times New Roman" w:cs="Calibri"/>
          <w:sz w:val="24"/>
          <w:lang w:eastAsia="ja-JP"/>
        </w:rPr>
        <w:t> </w:t>
      </w:r>
      <w:r w:rsidRPr="00A07F29">
        <w:rPr>
          <w:rFonts w:ascii="Times New Roman" w:eastAsia="Calibri" w:hAnsi="Times New Roman" w:cs="Calibri"/>
          <w:sz w:val="24"/>
          <w:lang w:eastAsia="ja-JP"/>
        </w:rPr>
        <w:t>Saglabāt alejas un dižkokus.</w:t>
      </w:r>
    </w:p>
    <w:p w14:paraId="37D1D41A" w14:textId="7BD50352" w:rsidR="003A4837" w:rsidRPr="00A07F29" w:rsidRDefault="003A4837" w:rsidP="003A4837">
      <w:pPr>
        <w:spacing w:before="120" w:after="0" w:line="240" w:lineRule="auto"/>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B.8.</w:t>
      </w:r>
      <w:r w:rsidR="003F09BE">
        <w:rPr>
          <w:rFonts w:ascii="Times New Roman" w:eastAsia="Calibri" w:hAnsi="Times New Roman" w:cs="Calibri"/>
          <w:sz w:val="24"/>
          <w:lang w:eastAsia="ja-JP"/>
        </w:rPr>
        <w:t> </w:t>
      </w:r>
      <w:r w:rsidRPr="00A07F29">
        <w:rPr>
          <w:rFonts w:ascii="Times New Roman" w:eastAsia="Calibri" w:hAnsi="Times New Roman" w:cs="Calibri"/>
          <w:sz w:val="24"/>
          <w:lang w:eastAsia="ja-JP"/>
        </w:rPr>
        <w:t>Mazināt klimata pārmaiņu ietekmi AAA “Augšdaugava”</w:t>
      </w:r>
      <w:r w:rsidR="003F09BE">
        <w:rPr>
          <w:rFonts w:ascii="Times New Roman" w:eastAsia="Calibri" w:hAnsi="Times New Roman" w:cs="Calibri"/>
          <w:sz w:val="24"/>
          <w:lang w:eastAsia="ja-JP"/>
        </w:rPr>
        <w:t>.</w:t>
      </w:r>
    </w:p>
    <w:p w14:paraId="02211F79" w14:textId="77777777" w:rsidR="009072CE" w:rsidRPr="00A07F29" w:rsidRDefault="009072CE" w:rsidP="00B110AA">
      <w:pPr>
        <w:spacing w:before="240" w:after="0" w:line="240" w:lineRule="auto"/>
        <w:jc w:val="both"/>
        <w:rPr>
          <w:rFonts w:ascii="Times New Roman" w:eastAsia="Calibri" w:hAnsi="Times New Roman" w:cs="Calibri"/>
          <w:b/>
          <w:sz w:val="24"/>
          <w:lang w:eastAsia="ja-JP"/>
        </w:rPr>
      </w:pPr>
      <w:r w:rsidRPr="00A07F29">
        <w:rPr>
          <w:rFonts w:ascii="Times New Roman" w:eastAsia="Calibri" w:hAnsi="Times New Roman" w:cs="Calibri"/>
          <w:b/>
          <w:sz w:val="24"/>
          <w:lang w:eastAsia="ja-JP"/>
        </w:rPr>
        <w:t>C. Izglītojošie un informējošie pasākumi</w:t>
      </w:r>
    </w:p>
    <w:p w14:paraId="4E028139" w14:textId="6D2213DD" w:rsidR="007B5727" w:rsidRPr="00A07F29" w:rsidRDefault="007B5727" w:rsidP="009072CE">
      <w:pPr>
        <w:spacing w:before="120" w:after="0" w:line="240" w:lineRule="auto"/>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C.1.</w:t>
      </w:r>
      <w:r w:rsidR="003F09BE">
        <w:rPr>
          <w:rFonts w:ascii="Times New Roman" w:eastAsia="Calibri" w:hAnsi="Times New Roman" w:cs="Calibri"/>
          <w:sz w:val="24"/>
          <w:lang w:eastAsia="ja-JP"/>
        </w:rPr>
        <w:t> </w:t>
      </w:r>
      <w:r w:rsidRPr="00A07F29">
        <w:rPr>
          <w:rFonts w:ascii="Times New Roman" w:eastAsia="Calibri" w:hAnsi="Times New Roman" w:cs="Calibri"/>
          <w:sz w:val="24"/>
          <w:lang w:eastAsia="ja-JP"/>
        </w:rPr>
        <w:t>Atjaunot, izvietot un uzturēt informācijas stendus un norādes</w:t>
      </w:r>
      <w:r w:rsidR="0003020B" w:rsidRPr="00A07F29">
        <w:rPr>
          <w:rFonts w:ascii="Times New Roman" w:eastAsia="Calibri" w:hAnsi="Times New Roman" w:cs="Calibri"/>
          <w:sz w:val="24"/>
          <w:lang w:eastAsia="ja-JP"/>
        </w:rPr>
        <w:t>.</w:t>
      </w:r>
    </w:p>
    <w:p w14:paraId="00925532" w14:textId="5813BE78" w:rsidR="007B5727" w:rsidRPr="00A07F29" w:rsidRDefault="00B03CF0" w:rsidP="009072CE">
      <w:pPr>
        <w:spacing w:before="120" w:after="0" w:line="240" w:lineRule="auto"/>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C.</w:t>
      </w:r>
      <w:r w:rsidR="007B5727" w:rsidRPr="00A07F29">
        <w:rPr>
          <w:rFonts w:ascii="Times New Roman" w:eastAsia="Calibri" w:hAnsi="Times New Roman" w:cs="Calibri"/>
          <w:sz w:val="24"/>
          <w:lang w:eastAsia="ja-JP"/>
        </w:rPr>
        <w:t>2.</w:t>
      </w:r>
      <w:r w:rsidR="003F09BE">
        <w:rPr>
          <w:rFonts w:ascii="Times New Roman" w:eastAsia="Calibri" w:hAnsi="Times New Roman" w:cs="Calibri"/>
          <w:sz w:val="24"/>
          <w:lang w:eastAsia="ja-JP"/>
        </w:rPr>
        <w:t> </w:t>
      </w:r>
      <w:r w:rsidR="007B5727" w:rsidRPr="00A07F29">
        <w:rPr>
          <w:rFonts w:ascii="Times New Roman" w:eastAsia="Calibri" w:hAnsi="Times New Roman" w:cs="Calibri"/>
          <w:sz w:val="24"/>
          <w:lang w:eastAsia="ja-JP"/>
        </w:rPr>
        <w:t>Sagatavot informatīvos materiālus teritorijas iedzīvotājiem un apmeklētājiem</w:t>
      </w:r>
      <w:r w:rsidR="0003020B" w:rsidRPr="00A07F29">
        <w:rPr>
          <w:rFonts w:ascii="Times New Roman" w:eastAsia="Calibri" w:hAnsi="Times New Roman" w:cs="Calibri"/>
          <w:sz w:val="24"/>
          <w:lang w:eastAsia="ja-JP"/>
        </w:rPr>
        <w:t>.</w:t>
      </w:r>
    </w:p>
    <w:p w14:paraId="334C6FF5" w14:textId="42FA2E11" w:rsidR="007B5727" w:rsidRPr="00A07F29" w:rsidRDefault="4284A616" w:rsidP="4284A616">
      <w:pPr>
        <w:spacing w:before="120" w:after="0" w:line="240" w:lineRule="auto"/>
        <w:jc w:val="both"/>
        <w:rPr>
          <w:rFonts w:ascii="Times New Roman" w:eastAsia="Calibri" w:hAnsi="Times New Roman" w:cs="Calibri"/>
          <w:sz w:val="24"/>
          <w:szCs w:val="24"/>
          <w:lang w:eastAsia="ja-JP"/>
        </w:rPr>
      </w:pPr>
      <w:r w:rsidRPr="00A07F29">
        <w:rPr>
          <w:rFonts w:ascii="Times New Roman" w:eastAsia="Calibri" w:hAnsi="Times New Roman" w:cs="Calibri"/>
          <w:sz w:val="24"/>
          <w:szCs w:val="24"/>
          <w:lang w:eastAsia="ja-JP"/>
        </w:rPr>
        <w:t>C.3.</w:t>
      </w:r>
      <w:r w:rsidR="007C6B01">
        <w:rPr>
          <w:rFonts w:ascii="Times New Roman" w:eastAsia="Calibri" w:hAnsi="Times New Roman" w:cs="Calibri"/>
          <w:sz w:val="24"/>
          <w:szCs w:val="24"/>
          <w:lang w:eastAsia="ja-JP"/>
        </w:rPr>
        <w:t> </w:t>
      </w:r>
      <w:r w:rsidRPr="00A07F29">
        <w:rPr>
          <w:rFonts w:ascii="Times New Roman" w:eastAsia="Calibri" w:hAnsi="Times New Roman" w:cs="Calibri"/>
          <w:sz w:val="24"/>
          <w:szCs w:val="24"/>
          <w:lang w:eastAsia="ja-JP"/>
        </w:rPr>
        <w:t>Organizēt izglītojošus pasākumus vietējiem iedzīvotājiem, uzņēmējiem un teritorijas apmeklētājiem.</w:t>
      </w:r>
    </w:p>
    <w:p w14:paraId="10841E03" w14:textId="568F2738" w:rsidR="007B5727" w:rsidRPr="00A07F29" w:rsidRDefault="00B03CF0" w:rsidP="009072CE">
      <w:pPr>
        <w:spacing w:before="120" w:after="0" w:line="240" w:lineRule="auto"/>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C.</w:t>
      </w:r>
      <w:r w:rsidR="007B5727" w:rsidRPr="00A07F29">
        <w:rPr>
          <w:rFonts w:ascii="Times New Roman" w:eastAsia="Calibri" w:hAnsi="Times New Roman" w:cs="Calibri"/>
          <w:sz w:val="24"/>
          <w:lang w:eastAsia="ja-JP"/>
        </w:rPr>
        <w:t>4.</w:t>
      </w:r>
      <w:r w:rsidR="007C6B01">
        <w:rPr>
          <w:rFonts w:ascii="Times New Roman" w:eastAsia="Calibri" w:hAnsi="Times New Roman" w:cs="Calibri"/>
          <w:sz w:val="24"/>
          <w:lang w:eastAsia="ja-JP"/>
        </w:rPr>
        <w:t> </w:t>
      </w:r>
      <w:r w:rsidR="007B5727" w:rsidRPr="00A07F29">
        <w:rPr>
          <w:rFonts w:ascii="Times New Roman" w:eastAsia="Calibri" w:hAnsi="Times New Roman" w:cs="Calibri"/>
          <w:sz w:val="24"/>
          <w:lang w:eastAsia="ja-JP"/>
        </w:rPr>
        <w:t>Organizēt publiskos tematiskos pasākumus</w:t>
      </w:r>
      <w:r w:rsidR="0003020B" w:rsidRPr="00A07F29">
        <w:rPr>
          <w:rFonts w:ascii="Times New Roman" w:eastAsia="Calibri" w:hAnsi="Times New Roman" w:cs="Calibri"/>
          <w:sz w:val="24"/>
          <w:lang w:eastAsia="ja-JP"/>
        </w:rPr>
        <w:t>.</w:t>
      </w:r>
    </w:p>
    <w:p w14:paraId="51687240" w14:textId="6504F377" w:rsidR="009072CE" w:rsidRPr="00A07F29" w:rsidRDefault="009072CE" w:rsidP="00B110AA">
      <w:pPr>
        <w:spacing w:before="240" w:after="0" w:line="240" w:lineRule="auto"/>
        <w:jc w:val="both"/>
        <w:rPr>
          <w:rFonts w:ascii="Times New Roman" w:eastAsia="Calibri" w:hAnsi="Times New Roman" w:cs="Calibri"/>
          <w:b/>
          <w:sz w:val="24"/>
          <w:lang w:eastAsia="ja-JP"/>
        </w:rPr>
      </w:pPr>
      <w:r w:rsidRPr="00A07F29">
        <w:rPr>
          <w:rFonts w:ascii="Times New Roman" w:eastAsia="Calibri" w:hAnsi="Times New Roman" w:cs="Calibri"/>
          <w:b/>
          <w:sz w:val="24"/>
          <w:lang w:eastAsia="ja-JP"/>
        </w:rPr>
        <w:lastRenderedPageBreak/>
        <w:t>D. Tūrism</w:t>
      </w:r>
      <w:r w:rsidR="005E1781" w:rsidRPr="00A07F29">
        <w:rPr>
          <w:rFonts w:ascii="Times New Roman" w:eastAsia="Calibri" w:hAnsi="Times New Roman" w:cs="Calibri"/>
          <w:b/>
          <w:sz w:val="24"/>
          <w:lang w:eastAsia="ja-JP"/>
        </w:rPr>
        <w:t>a</w:t>
      </w:r>
      <w:r w:rsidRPr="00A07F29">
        <w:rPr>
          <w:rFonts w:ascii="Times New Roman" w:eastAsia="Calibri" w:hAnsi="Times New Roman" w:cs="Calibri"/>
          <w:b/>
          <w:sz w:val="24"/>
          <w:lang w:eastAsia="ja-JP"/>
        </w:rPr>
        <w:t xml:space="preserve"> un atpūtas organizēšana</w:t>
      </w:r>
    </w:p>
    <w:p w14:paraId="6D97C526" w14:textId="3B1E445A" w:rsidR="006F5B58" w:rsidRPr="00A07F29" w:rsidRDefault="006F5B58" w:rsidP="006F5B58">
      <w:pPr>
        <w:spacing w:before="120" w:after="0" w:line="240" w:lineRule="auto"/>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D.1.</w:t>
      </w:r>
      <w:r w:rsidR="007C6B01">
        <w:rPr>
          <w:rFonts w:ascii="Times New Roman" w:eastAsia="Calibri" w:hAnsi="Times New Roman" w:cs="Calibri"/>
          <w:sz w:val="24"/>
          <w:lang w:eastAsia="ja-JP"/>
        </w:rPr>
        <w:t> </w:t>
      </w:r>
      <w:r w:rsidRPr="00A07F29">
        <w:rPr>
          <w:rFonts w:ascii="Times New Roman" w:eastAsia="Calibri" w:hAnsi="Times New Roman" w:cs="Calibri"/>
          <w:sz w:val="24"/>
          <w:lang w:eastAsia="ja-JP"/>
        </w:rPr>
        <w:t>Ierīkot, pilnveidot un uzturēt dabas un kultūrvēsturisko objektu apmeklēšanai nepieciešamo infrastruktūru</w:t>
      </w:r>
      <w:r w:rsidR="007C6B01">
        <w:rPr>
          <w:rFonts w:ascii="Times New Roman" w:eastAsia="Calibri" w:hAnsi="Times New Roman" w:cs="Calibri"/>
          <w:sz w:val="24"/>
          <w:lang w:eastAsia="ja-JP"/>
        </w:rPr>
        <w:t>.</w:t>
      </w:r>
    </w:p>
    <w:p w14:paraId="72732CC0" w14:textId="3D5DCB47" w:rsidR="006F5B58" w:rsidRPr="00A07F29" w:rsidRDefault="006F5B58" w:rsidP="006F5B58">
      <w:pPr>
        <w:spacing w:before="120" w:after="0" w:line="240" w:lineRule="auto"/>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D.2.</w:t>
      </w:r>
      <w:r w:rsidR="007C6B01">
        <w:rPr>
          <w:rFonts w:ascii="Times New Roman" w:eastAsia="Calibri" w:hAnsi="Times New Roman" w:cs="Calibri"/>
          <w:sz w:val="24"/>
          <w:lang w:eastAsia="ja-JP"/>
        </w:rPr>
        <w:t> </w:t>
      </w:r>
      <w:r w:rsidRPr="00A07F29">
        <w:rPr>
          <w:rFonts w:ascii="Times New Roman" w:eastAsia="Calibri" w:hAnsi="Times New Roman" w:cs="Calibri"/>
          <w:sz w:val="24"/>
          <w:lang w:eastAsia="ja-JP"/>
        </w:rPr>
        <w:t>Ierīkot, pilnveidot un uzturēt takas</w:t>
      </w:r>
      <w:r w:rsidR="007C6B01">
        <w:rPr>
          <w:rFonts w:ascii="Times New Roman" w:eastAsia="Calibri" w:hAnsi="Times New Roman" w:cs="Calibri"/>
          <w:sz w:val="24"/>
          <w:lang w:eastAsia="ja-JP"/>
        </w:rPr>
        <w:t>.</w:t>
      </w:r>
    </w:p>
    <w:p w14:paraId="4788BBF5" w14:textId="7088583B" w:rsidR="006F5B58" w:rsidRPr="00A07F29" w:rsidRDefault="006F5B58" w:rsidP="006F5B58">
      <w:pPr>
        <w:spacing w:before="120" w:after="0" w:line="240" w:lineRule="auto"/>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D.3.</w:t>
      </w:r>
      <w:r w:rsidR="007C6B01">
        <w:rPr>
          <w:rFonts w:ascii="Times New Roman" w:eastAsia="Calibri" w:hAnsi="Times New Roman" w:cs="Calibri"/>
          <w:sz w:val="24"/>
          <w:lang w:eastAsia="ja-JP"/>
        </w:rPr>
        <w:t> </w:t>
      </w:r>
      <w:r w:rsidRPr="00A07F29">
        <w:rPr>
          <w:rFonts w:ascii="Times New Roman" w:eastAsia="Calibri" w:hAnsi="Times New Roman" w:cs="Calibri"/>
          <w:sz w:val="24"/>
          <w:lang w:eastAsia="ja-JP"/>
        </w:rPr>
        <w:t>Ierīkot, pilnveidot un uzturēt atpūtas vietas</w:t>
      </w:r>
      <w:r w:rsidR="007C6B01">
        <w:rPr>
          <w:rFonts w:ascii="Times New Roman" w:eastAsia="Calibri" w:hAnsi="Times New Roman" w:cs="Calibri"/>
          <w:sz w:val="24"/>
          <w:lang w:eastAsia="ja-JP"/>
        </w:rPr>
        <w:t>.</w:t>
      </w:r>
    </w:p>
    <w:p w14:paraId="639F89BB" w14:textId="33977AE2" w:rsidR="006F5B58" w:rsidRPr="00A07F29" w:rsidRDefault="006F5B58" w:rsidP="006F5B58">
      <w:pPr>
        <w:spacing w:before="120" w:after="0" w:line="240" w:lineRule="auto"/>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D.4.</w:t>
      </w:r>
      <w:r w:rsidR="007C6B01">
        <w:rPr>
          <w:rFonts w:ascii="Times New Roman" w:eastAsia="Calibri" w:hAnsi="Times New Roman" w:cs="Calibri"/>
          <w:sz w:val="24"/>
          <w:lang w:eastAsia="ja-JP"/>
        </w:rPr>
        <w:t> </w:t>
      </w:r>
      <w:r w:rsidRPr="00A07F29">
        <w:rPr>
          <w:rFonts w:ascii="Times New Roman" w:eastAsia="Calibri" w:hAnsi="Times New Roman" w:cs="Calibri"/>
          <w:sz w:val="24"/>
          <w:lang w:eastAsia="ja-JP"/>
        </w:rPr>
        <w:t xml:space="preserve">Ierīkot, pilnveidot un uzturēt </w:t>
      </w:r>
      <w:proofErr w:type="spellStart"/>
      <w:r w:rsidRPr="00A07F29">
        <w:rPr>
          <w:rFonts w:ascii="Times New Roman" w:eastAsia="Calibri" w:hAnsi="Times New Roman" w:cs="Calibri"/>
          <w:sz w:val="24"/>
          <w:lang w:eastAsia="ja-JP"/>
        </w:rPr>
        <w:t>ūdenstūrismam</w:t>
      </w:r>
      <w:proofErr w:type="spellEnd"/>
      <w:r w:rsidRPr="00A07F29">
        <w:rPr>
          <w:rFonts w:ascii="Times New Roman" w:eastAsia="Calibri" w:hAnsi="Times New Roman" w:cs="Calibri"/>
          <w:sz w:val="24"/>
          <w:lang w:eastAsia="ja-JP"/>
        </w:rPr>
        <w:t xml:space="preserve"> un atpūtai uz ūdens nepieciešamo infrastruktūru</w:t>
      </w:r>
      <w:r w:rsidR="00B26A27">
        <w:rPr>
          <w:rFonts w:ascii="Times New Roman" w:eastAsia="Calibri" w:hAnsi="Times New Roman" w:cs="Calibri"/>
          <w:sz w:val="24"/>
          <w:lang w:eastAsia="ja-JP"/>
        </w:rPr>
        <w:t>.</w:t>
      </w:r>
    </w:p>
    <w:p w14:paraId="7A73C211" w14:textId="5D9FC82D" w:rsidR="006F5B58" w:rsidRPr="00A07F29" w:rsidRDefault="006F5B58" w:rsidP="006F5B58">
      <w:pPr>
        <w:spacing w:before="120" w:after="0" w:line="240" w:lineRule="auto"/>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D.5.</w:t>
      </w:r>
      <w:r w:rsidR="00B26A27">
        <w:rPr>
          <w:rFonts w:ascii="Times New Roman" w:eastAsia="Calibri" w:hAnsi="Times New Roman" w:cs="Calibri"/>
          <w:sz w:val="24"/>
          <w:lang w:eastAsia="ja-JP"/>
        </w:rPr>
        <w:t> </w:t>
      </w:r>
      <w:r w:rsidRPr="00A07F29">
        <w:rPr>
          <w:rFonts w:ascii="Times New Roman" w:eastAsia="Calibri" w:hAnsi="Times New Roman" w:cs="Calibri"/>
          <w:sz w:val="24"/>
          <w:lang w:eastAsia="ja-JP"/>
        </w:rPr>
        <w:t xml:space="preserve">Ierīkot, pilnveidot un uzturēt </w:t>
      </w:r>
      <w:proofErr w:type="spellStart"/>
      <w:r w:rsidRPr="00A07F29">
        <w:rPr>
          <w:rFonts w:ascii="Times New Roman" w:eastAsia="Calibri" w:hAnsi="Times New Roman" w:cs="Calibri"/>
          <w:sz w:val="24"/>
          <w:lang w:eastAsia="ja-JP"/>
        </w:rPr>
        <w:t>velotūrismam</w:t>
      </w:r>
      <w:proofErr w:type="spellEnd"/>
      <w:r w:rsidRPr="00A07F29">
        <w:rPr>
          <w:rFonts w:ascii="Times New Roman" w:eastAsia="Calibri" w:hAnsi="Times New Roman" w:cs="Calibri"/>
          <w:sz w:val="24"/>
          <w:lang w:eastAsia="ja-JP"/>
        </w:rPr>
        <w:t xml:space="preserve"> nepieciešamo infrastruktūru</w:t>
      </w:r>
      <w:r w:rsidR="00B26A27">
        <w:rPr>
          <w:rFonts w:ascii="Times New Roman" w:eastAsia="Calibri" w:hAnsi="Times New Roman" w:cs="Calibri"/>
          <w:sz w:val="24"/>
          <w:lang w:eastAsia="ja-JP"/>
        </w:rPr>
        <w:t>.</w:t>
      </w:r>
    </w:p>
    <w:p w14:paraId="616BFFA6" w14:textId="3C87C6B6" w:rsidR="006F5B58" w:rsidRPr="00A07F29" w:rsidRDefault="006F5B58" w:rsidP="006F5B58">
      <w:pPr>
        <w:spacing w:before="120" w:after="0" w:line="240" w:lineRule="auto"/>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D.6.</w:t>
      </w:r>
      <w:r w:rsidR="00B26A27">
        <w:rPr>
          <w:rFonts w:ascii="Times New Roman" w:eastAsia="Calibri" w:hAnsi="Times New Roman" w:cs="Calibri"/>
          <w:sz w:val="24"/>
          <w:lang w:eastAsia="ja-JP"/>
        </w:rPr>
        <w:t> </w:t>
      </w:r>
      <w:r w:rsidRPr="00A07F29">
        <w:rPr>
          <w:rFonts w:ascii="Times New Roman" w:eastAsia="Calibri" w:hAnsi="Times New Roman" w:cs="Calibri"/>
          <w:sz w:val="24"/>
          <w:lang w:eastAsia="ja-JP"/>
        </w:rPr>
        <w:t>Pilnveidot tūrisma piedāvājum</w:t>
      </w:r>
      <w:r w:rsidR="006B2B38">
        <w:rPr>
          <w:rFonts w:ascii="Times New Roman" w:eastAsia="Calibri" w:hAnsi="Times New Roman" w:cs="Calibri"/>
          <w:sz w:val="24"/>
          <w:lang w:eastAsia="ja-JP"/>
        </w:rPr>
        <w:t>u</w:t>
      </w:r>
      <w:r w:rsidRPr="00A07F29">
        <w:rPr>
          <w:rFonts w:ascii="Times New Roman" w:eastAsia="Calibri" w:hAnsi="Times New Roman" w:cs="Calibri"/>
          <w:sz w:val="24"/>
          <w:lang w:eastAsia="ja-JP"/>
        </w:rPr>
        <w:t xml:space="preserve"> AAA “Augšdaugava”</w:t>
      </w:r>
      <w:r w:rsidR="006B2B38">
        <w:rPr>
          <w:rFonts w:ascii="Times New Roman" w:eastAsia="Calibri" w:hAnsi="Times New Roman" w:cs="Calibri"/>
          <w:sz w:val="24"/>
          <w:lang w:eastAsia="ja-JP"/>
        </w:rPr>
        <w:t>.</w:t>
      </w:r>
    </w:p>
    <w:p w14:paraId="625A36D6" w14:textId="17B3A274" w:rsidR="009072CE" w:rsidRPr="00A07F29" w:rsidRDefault="009072CE" w:rsidP="00B110AA">
      <w:pPr>
        <w:spacing w:before="240" w:after="0" w:line="240" w:lineRule="auto"/>
        <w:jc w:val="both"/>
        <w:rPr>
          <w:rFonts w:ascii="Times New Roman" w:eastAsia="Calibri" w:hAnsi="Times New Roman" w:cs="Calibri"/>
          <w:b/>
          <w:sz w:val="24"/>
          <w:lang w:eastAsia="ja-JP"/>
        </w:rPr>
      </w:pPr>
      <w:r w:rsidRPr="00A07F29">
        <w:rPr>
          <w:rFonts w:ascii="Times New Roman" w:eastAsia="Calibri" w:hAnsi="Times New Roman" w:cs="Calibri"/>
          <w:b/>
          <w:sz w:val="24"/>
          <w:lang w:eastAsia="ja-JP"/>
        </w:rPr>
        <w:t>E. Ainavisko un kultūrvēsturisko vērtību apsaimniekošana</w:t>
      </w:r>
    </w:p>
    <w:p w14:paraId="39F6901A" w14:textId="6D354A02" w:rsidR="009072CE" w:rsidRPr="00A07F29" w:rsidRDefault="009072CE" w:rsidP="009072CE">
      <w:pPr>
        <w:spacing w:before="120" w:after="0" w:line="240" w:lineRule="auto"/>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E.1.</w:t>
      </w:r>
      <w:r w:rsidR="006B2B38">
        <w:rPr>
          <w:rFonts w:ascii="Times New Roman" w:eastAsia="Calibri" w:hAnsi="Times New Roman" w:cs="Calibri"/>
          <w:sz w:val="24"/>
          <w:lang w:eastAsia="ja-JP"/>
        </w:rPr>
        <w:t> </w:t>
      </w:r>
      <w:r w:rsidR="00B429CE" w:rsidRPr="00A07F29">
        <w:rPr>
          <w:rFonts w:ascii="Times New Roman" w:eastAsia="Calibri" w:hAnsi="Times New Roman" w:cs="Calibri"/>
          <w:sz w:val="24"/>
          <w:lang w:eastAsia="ja-JP"/>
        </w:rPr>
        <w:t>Īstenot a</w:t>
      </w:r>
      <w:r w:rsidRPr="00A07F29">
        <w:rPr>
          <w:rFonts w:ascii="Times New Roman" w:eastAsia="Calibri" w:hAnsi="Times New Roman" w:cs="Calibri"/>
          <w:sz w:val="24"/>
          <w:lang w:eastAsia="ja-JP"/>
        </w:rPr>
        <w:t>inavu struktūrplāna nosacījumu</w:t>
      </w:r>
      <w:r w:rsidR="00B429CE" w:rsidRPr="00A07F29">
        <w:rPr>
          <w:rFonts w:ascii="Times New Roman" w:eastAsia="Calibri" w:hAnsi="Times New Roman" w:cs="Calibri"/>
          <w:sz w:val="24"/>
          <w:lang w:eastAsia="ja-JP"/>
        </w:rPr>
        <w:t>s</w:t>
      </w:r>
      <w:r w:rsidR="0003020B" w:rsidRPr="00A07F29">
        <w:rPr>
          <w:rFonts w:ascii="Times New Roman" w:eastAsia="Calibri" w:hAnsi="Times New Roman" w:cs="Calibri"/>
          <w:sz w:val="24"/>
          <w:lang w:eastAsia="ja-JP"/>
        </w:rPr>
        <w:t>.</w:t>
      </w:r>
    </w:p>
    <w:p w14:paraId="65129059" w14:textId="30EC3E7E" w:rsidR="009072CE" w:rsidRPr="00A07F29" w:rsidRDefault="000E23D3" w:rsidP="009072CE">
      <w:pPr>
        <w:spacing w:before="120" w:after="0" w:line="240" w:lineRule="auto"/>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E.2.</w:t>
      </w:r>
      <w:r w:rsidR="006B2B38">
        <w:rPr>
          <w:rFonts w:ascii="Times New Roman" w:eastAsia="Calibri" w:hAnsi="Times New Roman" w:cs="Calibri"/>
          <w:sz w:val="24"/>
          <w:lang w:eastAsia="ja-JP"/>
        </w:rPr>
        <w:t> </w:t>
      </w:r>
      <w:r w:rsidRPr="00A07F29">
        <w:rPr>
          <w:rFonts w:ascii="Times New Roman" w:eastAsia="Calibri" w:hAnsi="Times New Roman" w:cs="Calibri"/>
          <w:sz w:val="24"/>
          <w:lang w:eastAsia="ja-JP"/>
        </w:rPr>
        <w:t>Veicināt kultūrvēsturiskā mantojuma saglabāšanu un iesaistīšanu tūrisma piedāvājumā</w:t>
      </w:r>
      <w:r w:rsidR="0003020B" w:rsidRPr="00A07F29">
        <w:rPr>
          <w:rFonts w:ascii="Times New Roman" w:eastAsia="Calibri" w:hAnsi="Times New Roman" w:cs="Calibri"/>
          <w:sz w:val="24"/>
          <w:lang w:eastAsia="ja-JP"/>
        </w:rPr>
        <w:t>.</w:t>
      </w:r>
    </w:p>
    <w:p w14:paraId="14389527" w14:textId="77777777" w:rsidR="009072CE" w:rsidRPr="00A07F29" w:rsidRDefault="009072CE" w:rsidP="00B110AA">
      <w:pPr>
        <w:spacing w:before="240" w:after="0" w:line="240" w:lineRule="auto"/>
        <w:jc w:val="both"/>
        <w:rPr>
          <w:rFonts w:ascii="Times New Roman" w:eastAsia="Calibri" w:hAnsi="Times New Roman" w:cs="Calibri"/>
          <w:b/>
          <w:sz w:val="24"/>
          <w:lang w:eastAsia="ja-JP"/>
        </w:rPr>
      </w:pPr>
      <w:r w:rsidRPr="00A07F29">
        <w:rPr>
          <w:rFonts w:ascii="Times New Roman" w:eastAsia="Calibri" w:hAnsi="Times New Roman" w:cs="Calibri"/>
          <w:b/>
          <w:sz w:val="24"/>
          <w:lang w:eastAsia="ja-JP"/>
        </w:rPr>
        <w:t>F. Izpēte un monitorings</w:t>
      </w:r>
    </w:p>
    <w:p w14:paraId="59BEC572" w14:textId="6881180A" w:rsidR="009072CE" w:rsidRPr="00A07F29" w:rsidRDefault="009072CE" w:rsidP="009072CE">
      <w:pPr>
        <w:spacing w:before="120" w:after="0" w:line="240" w:lineRule="auto"/>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F.1.</w:t>
      </w:r>
      <w:r w:rsidR="001168C9">
        <w:rPr>
          <w:rFonts w:ascii="Times New Roman" w:eastAsia="Calibri" w:hAnsi="Times New Roman" w:cs="Calibri"/>
          <w:sz w:val="24"/>
          <w:lang w:eastAsia="ja-JP"/>
        </w:rPr>
        <w:t> </w:t>
      </w:r>
      <w:r w:rsidR="00B429CE" w:rsidRPr="00A07F29">
        <w:rPr>
          <w:rFonts w:ascii="Times New Roman" w:eastAsia="Calibri" w:hAnsi="Times New Roman" w:cs="Calibri"/>
          <w:sz w:val="24"/>
          <w:lang w:eastAsia="ja-JP"/>
        </w:rPr>
        <w:t>Nodrošināt apsaimniekošanas pasākumu efektivitātes monitoringu</w:t>
      </w:r>
      <w:r w:rsidR="001168C9">
        <w:rPr>
          <w:rFonts w:ascii="Times New Roman" w:eastAsia="Calibri" w:hAnsi="Times New Roman" w:cs="Calibri"/>
          <w:sz w:val="24"/>
          <w:lang w:eastAsia="ja-JP"/>
        </w:rPr>
        <w:t>.</w:t>
      </w:r>
    </w:p>
    <w:p w14:paraId="06A97CCF" w14:textId="22A3393F" w:rsidR="009072CE" w:rsidRPr="00A07F29" w:rsidRDefault="009072CE" w:rsidP="009072CE">
      <w:pPr>
        <w:spacing w:before="120" w:after="0" w:line="240" w:lineRule="auto"/>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F.2.</w:t>
      </w:r>
      <w:r w:rsidR="001168C9">
        <w:rPr>
          <w:rFonts w:ascii="Times New Roman" w:eastAsia="Calibri" w:hAnsi="Times New Roman" w:cs="Calibri"/>
          <w:sz w:val="24"/>
          <w:lang w:eastAsia="ja-JP"/>
        </w:rPr>
        <w:t> </w:t>
      </w:r>
      <w:r w:rsidR="00B429CE" w:rsidRPr="00C25036">
        <w:rPr>
          <w:rFonts w:ascii="Times New Roman" w:eastAsia="Calibri" w:hAnsi="Times New Roman" w:cs="Calibri"/>
          <w:sz w:val="24"/>
          <w:lang w:eastAsia="ja-JP"/>
        </w:rPr>
        <w:t>Nodrošināt īpaši aizsargājamo biotopu</w:t>
      </w:r>
      <w:r w:rsidR="00B429CE" w:rsidRPr="00A07F29">
        <w:rPr>
          <w:rFonts w:ascii="Times New Roman" w:eastAsia="Calibri" w:hAnsi="Times New Roman" w:cs="Calibri"/>
          <w:sz w:val="24"/>
          <w:lang w:eastAsia="ja-JP"/>
        </w:rPr>
        <w:t xml:space="preserve"> un sugu monitoringu</w:t>
      </w:r>
      <w:r w:rsidR="001168C9">
        <w:rPr>
          <w:rFonts w:ascii="Times New Roman" w:eastAsia="Calibri" w:hAnsi="Times New Roman" w:cs="Calibri"/>
          <w:sz w:val="24"/>
          <w:lang w:eastAsia="ja-JP"/>
        </w:rPr>
        <w:t>.</w:t>
      </w:r>
    </w:p>
    <w:p w14:paraId="2F25D53C" w14:textId="176317CF" w:rsidR="009072CE" w:rsidRPr="00A07F29" w:rsidRDefault="009072CE" w:rsidP="009072CE">
      <w:pPr>
        <w:spacing w:before="120" w:after="0" w:line="240" w:lineRule="auto"/>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F.3.</w:t>
      </w:r>
      <w:r w:rsidR="001168C9">
        <w:rPr>
          <w:rFonts w:ascii="Times New Roman" w:eastAsia="Calibri" w:hAnsi="Times New Roman" w:cs="Calibri"/>
          <w:sz w:val="24"/>
          <w:lang w:eastAsia="ja-JP"/>
        </w:rPr>
        <w:t> </w:t>
      </w:r>
      <w:r w:rsidR="00B429CE" w:rsidRPr="00A07F29">
        <w:rPr>
          <w:rFonts w:ascii="Times New Roman" w:eastAsia="Calibri" w:hAnsi="Times New Roman" w:cs="Calibri"/>
          <w:sz w:val="24"/>
          <w:lang w:eastAsia="ja-JP"/>
        </w:rPr>
        <w:t>Nodrošināt ainavu izmaiņu monitoringu</w:t>
      </w:r>
      <w:r w:rsidR="001168C9">
        <w:rPr>
          <w:rFonts w:ascii="Times New Roman" w:eastAsia="Calibri" w:hAnsi="Times New Roman" w:cs="Calibri"/>
          <w:sz w:val="24"/>
          <w:lang w:eastAsia="ja-JP"/>
        </w:rPr>
        <w:t>.</w:t>
      </w:r>
    </w:p>
    <w:p w14:paraId="597235F0" w14:textId="2CE5B3F8" w:rsidR="009072CE" w:rsidRPr="00A07F29" w:rsidRDefault="009072CE" w:rsidP="009072CE">
      <w:pPr>
        <w:spacing w:before="120" w:after="0" w:line="240" w:lineRule="auto"/>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F.4.</w:t>
      </w:r>
      <w:r w:rsidR="001168C9">
        <w:rPr>
          <w:rFonts w:ascii="Times New Roman" w:eastAsia="Calibri" w:hAnsi="Times New Roman" w:cs="Calibri"/>
          <w:sz w:val="24"/>
          <w:lang w:eastAsia="ja-JP"/>
        </w:rPr>
        <w:t> </w:t>
      </w:r>
      <w:r w:rsidR="00B429CE" w:rsidRPr="00A07F29">
        <w:rPr>
          <w:rFonts w:ascii="Times New Roman" w:eastAsia="Calibri" w:hAnsi="Times New Roman" w:cs="Calibri"/>
          <w:sz w:val="24"/>
          <w:lang w:eastAsia="ja-JP"/>
        </w:rPr>
        <w:t>Nodrošināt t</w:t>
      </w:r>
      <w:r w:rsidRPr="00A07F29">
        <w:rPr>
          <w:rFonts w:ascii="Times New Roman" w:eastAsia="Calibri" w:hAnsi="Times New Roman" w:cs="Calibri"/>
          <w:sz w:val="24"/>
          <w:lang w:eastAsia="ja-JP"/>
        </w:rPr>
        <w:t>ūrisma un atpūtas ietekmju monitoring</w:t>
      </w:r>
      <w:r w:rsidR="00B429CE" w:rsidRPr="00A07F29">
        <w:rPr>
          <w:rFonts w:ascii="Times New Roman" w:eastAsia="Calibri" w:hAnsi="Times New Roman" w:cs="Calibri"/>
          <w:sz w:val="24"/>
          <w:lang w:eastAsia="ja-JP"/>
        </w:rPr>
        <w:t>u</w:t>
      </w:r>
      <w:r w:rsidR="001168C9">
        <w:rPr>
          <w:rFonts w:ascii="Times New Roman" w:eastAsia="Calibri" w:hAnsi="Times New Roman" w:cs="Calibri"/>
          <w:sz w:val="24"/>
          <w:lang w:eastAsia="ja-JP"/>
        </w:rPr>
        <w:t>.</w:t>
      </w:r>
    </w:p>
    <w:p w14:paraId="0D8C1B8C" w14:textId="77777777" w:rsidR="009072CE" w:rsidRPr="00A07F29" w:rsidRDefault="009072CE" w:rsidP="009072CE">
      <w:pPr>
        <w:spacing w:before="120" w:after="0" w:line="240" w:lineRule="auto"/>
        <w:ind w:firstLine="851"/>
        <w:jc w:val="both"/>
        <w:rPr>
          <w:rFonts w:ascii="Times New Roman" w:eastAsia="Calibri" w:hAnsi="Times New Roman" w:cs="Calibri"/>
          <w:sz w:val="24"/>
          <w:lang w:eastAsia="ja-JP"/>
        </w:rPr>
      </w:pPr>
    </w:p>
    <w:p w14:paraId="530977CA" w14:textId="404C5CC1" w:rsidR="009072CE" w:rsidRPr="00A07F29" w:rsidRDefault="009072CE" w:rsidP="0079137F">
      <w:pPr>
        <w:pStyle w:val="Heading2"/>
        <w:spacing w:before="120" w:after="120"/>
        <w:ind w:firstLine="0"/>
        <w:jc w:val="center"/>
        <w:rPr>
          <w:rFonts w:ascii="Times New Roman" w:hAnsi="Times New Roman"/>
          <w:b w:val="0"/>
          <w:bCs w:val="0"/>
        </w:rPr>
      </w:pPr>
      <w:bookmarkStart w:id="104" w:name="_Toc183434034"/>
      <w:r w:rsidRPr="00A07F29">
        <w:rPr>
          <w:rFonts w:ascii="Times New Roman" w:hAnsi="Times New Roman"/>
          <w:i w:val="0"/>
        </w:rPr>
        <w:t>5.3. Plānotie apsaimniekošanas pasākumi</w:t>
      </w:r>
      <w:bookmarkEnd w:id="104"/>
    </w:p>
    <w:p w14:paraId="367D0FA2" w14:textId="3DD9C9EE" w:rsidR="00B110AA" w:rsidRPr="00A07F29" w:rsidRDefault="009072CE" w:rsidP="009072CE">
      <w:pPr>
        <w:spacing w:before="120" w:after="0" w:line="240" w:lineRule="auto"/>
        <w:ind w:firstLine="851"/>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 xml:space="preserve">Apsaimniekošanas pasākumi plānoti laika periodam no </w:t>
      </w:r>
      <w:r w:rsidR="00871A2E" w:rsidRPr="00A07F29">
        <w:rPr>
          <w:rFonts w:ascii="Times New Roman" w:eastAsia="Calibri" w:hAnsi="Times New Roman" w:cs="Calibri"/>
          <w:sz w:val="24"/>
          <w:lang w:eastAsia="ja-JP"/>
        </w:rPr>
        <w:t>2024</w:t>
      </w:r>
      <w:r w:rsidR="00B110AA" w:rsidRPr="00A07F29">
        <w:rPr>
          <w:rFonts w:ascii="Times New Roman" w:eastAsia="Calibri" w:hAnsi="Times New Roman" w:cs="Calibri"/>
          <w:sz w:val="24"/>
          <w:lang w:eastAsia="ja-JP"/>
        </w:rPr>
        <w:t>. </w:t>
      </w:r>
      <w:r w:rsidRPr="00A07F29">
        <w:rPr>
          <w:rFonts w:ascii="Times New Roman" w:eastAsia="Calibri" w:hAnsi="Times New Roman" w:cs="Calibri"/>
          <w:sz w:val="24"/>
          <w:lang w:eastAsia="ja-JP"/>
        </w:rPr>
        <w:t xml:space="preserve">gada līdz </w:t>
      </w:r>
      <w:r w:rsidR="001D3EA6" w:rsidRPr="00A07F29">
        <w:rPr>
          <w:rFonts w:ascii="Times New Roman" w:eastAsia="Calibri" w:hAnsi="Times New Roman" w:cs="Calibri"/>
          <w:sz w:val="24"/>
          <w:lang w:eastAsia="ja-JP"/>
        </w:rPr>
        <w:t>2036</w:t>
      </w:r>
      <w:r w:rsidRPr="00A07F29">
        <w:rPr>
          <w:rFonts w:ascii="Times New Roman" w:eastAsia="Calibri" w:hAnsi="Times New Roman" w:cs="Calibri"/>
          <w:sz w:val="24"/>
          <w:lang w:eastAsia="ja-JP"/>
        </w:rPr>
        <w:t>.</w:t>
      </w:r>
      <w:r w:rsidR="00B110AA" w:rsidRPr="00A07F29">
        <w:rPr>
          <w:rFonts w:ascii="Times New Roman" w:eastAsia="Calibri" w:hAnsi="Times New Roman" w:cs="Calibri"/>
          <w:sz w:val="24"/>
          <w:lang w:eastAsia="ja-JP"/>
        </w:rPr>
        <w:t> </w:t>
      </w:r>
      <w:r w:rsidRPr="00A07F29">
        <w:rPr>
          <w:rFonts w:ascii="Times New Roman" w:eastAsia="Calibri" w:hAnsi="Times New Roman" w:cs="Calibri"/>
          <w:sz w:val="24"/>
          <w:lang w:eastAsia="ja-JP"/>
        </w:rPr>
        <w:t xml:space="preserve">gadam, taču </w:t>
      </w:r>
      <w:r w:rsidR="00B110AA" w:rsidRPr="00A07F29">
        <w:rPr>
          <w:rFonts w:ascii="Times New Roman" w:eastAsia="Calibri" w:hAnsi="Times New Roman" w:cs="Calibri"/>
          <w:sz w:val="24"/>
          <w:lang w:eastAsia="ja-JP"/>
        </w:rPr>
        <w:t>tos var aktualizēt, mainīt un papildināt, ņemot vērtā monitoringa rezultātus un teritorijas papildus izpētē iegūto informāciju.</w:t>
      </w:r>
    </w:p>
    <w:p w14:paraId="3D997924" w14:textId="3CA8B26E" w:rsidR="00B110AA" w:rsidRPr="00A07F29" w:rsidRDefault="009072CE" w:rsidP="00B110AA">
      <w:pPr>
        <w:spacing w:before="120" w:after="0" w:line="240" w:lineRule="auto"/>
        <w:ind w:firstLine="851"/>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 xml:space="preserve">Apsaimniekošanas pasākumiem vērtēta to realizēšanas nepieciešamība, </w:t>
      </w:r>
      <w:r w:rsidR="00B110AA" w:rsidRPr="00A07F29">
        <w:rPr>
          <w:rFonts w:ascii="Times New Roman" w:eastAsia="Calibri" w:hAnsi="Times New Roman" w:cs="Calibri"/>
          <w:sz w:val="24"/>
          <w:lang w:eastAsia="ja-JP"/>
        </w:rPr>
        <w:t>ņemot vērā</w:t>
      </w:r>
      <w:r w:rsidRPr="00A07F29">
        <w:rPr>
          <w:rFonts w:ascii="Times New Roman" w:eastAsia="Calibri" w:hAnsi="Times New Roman" w:cs="Calibri"/>
          <w:sz w:val="24"/>
          <w:lang w:eastAsia="ja-JP"/>
        </w:rPr>
        <w:t xml:space="preserve"> pasākuma </w:t>
      </w:r>
      <w:r w:rsidR="00B110AA" w:rsidRPr="00A07F29">
        <w:rPr>
          <w:rFonts w:ascii="Times New Roman" w:eastAsia="Calibri" w:hAnsi="Times New Roman" w:cs="Calibri"/>
          <w:sz w:val="24"/>
          <w:lang w:eastAsia="ja-JP"/>
        </w:rPr>
        <w:t xml:space="preserve">ietekmi </w:t>
      </w:r>
      <w:r w:rsidRPr="00A07F29">
        <w:rPr>
          <w:rFonts w:ascii="Times New Roman" w:eastAsia="Calibri" w:hAnsi="Times New Roman" w:cs="Calibri"/>
          <w:sz w:val="24"/>
          <w:lang w:eastAsia="ja-JP"/>
        </w:rPr>
        <w:t xml:space="preserve">uz dabas vērtību saglabāšanu un citu sabiedrībai nozīmīgu interešu </w:t>
      </w:r>
      <w:r w:rsidR="00B110AA" w:rsidRPr="00A07F29">
        <w:rPr>
          <w:rFonts w:ascii="Times New Roman" w:eastAsia="Calibri" w:hAnsi="Times New Roman" w:cs="Calibri"/>
          <w:sz w:val="24"/>
          <w:lang w:eastAsia="ja-JP"/>
        </w:rPr>
        <w:t>īstenošanu:</w:t>
      </w:r>
    </w:p>
    <w:p w14:paraId="177AA23C" w14:textId="446FB2AA" w:rsidR="00B110AA" w:rsidRPr="00A07F29" w:rsidRDefault="00B110AA" w:rsidP="00B110AA">
      <w:pPr>
        <w:spacing w:before="120" w:after="0" w:line="240" w:lineRule="auto"/>
        <w:ind w:firstLine="851"/>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I – prioritāri veicams pasākums, kas ir būtisks sugu un biotopu saglabāšanai un kura nerealizēšana var novest pie šo sugu un biotopu kvantitatīvo vai kvalitatīvo parametru samazināšanās;</w:t>
      </w:r>
    </w:p>
    <w:p w14:paraId="56AE971C" w14:textId="492F6BDB" w:rsidR="00B110AA" w:rsidRPr="00A07F29" w:rsidRDefault="00B110AA" w:rsidP="00B110AA">
      <w:pPr>
        <w:spacing w:before="120" w:after="0" w:line="240" w:lineRule="auto"/>
        <w:ind w:firstLine="851"/>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II – vajadzīgs pasākums, kura īstenošana pozitīvi ietekmē dabas vērtību saglabāšanos</w:t>
      </w:r>
      <w:r w:rsidR="00315E9F" w:rsidRPr="00A07F29">
        <w:t xml:space="preserve"> </w:t>
      </w:r>
      <w:r w:rsidR="00315E9F" w:rsidRPr="00A07F29">
        <w:rPr>
          <w:rFonts w:ascii="Times New Roman" w:eastAsia="Calibri" w:hAnsi="Times New Roman" w:cs="Calibri"/>
          <w:sz w:val="24"/>
          <w:lang w:eastAsia="ja-JP"/>
        </w:rPr>
        <w:t>vai citu sabiedrībai nozīmīgu interešu nodrošināšanu teritorijā, vai arī ir prioritāri veicamo pasākumu priekšnoteikums</w:t>
      </w:r>
      <w:r w:rsidRPr="00A07F29">
        <w:rPr>
          <w:rFonts w:ascii="Times New Roman" w:eastAsia="Calibri" w:hAnsi="Times New Roman" w:cs="Calibri"/>
          <w:sz w:val="24"/>
          <w:lang w:eastAsia="ja-JP"/>
        </w:rPr>
        <w:t>;</w:t>
      </w:r>
    </w:p>
    <w:p w14:paraId="0A3435B6" w14:textId="3C94252D" w:rsidR="00B110AA" w:rsidRPr="00A07F29" w:rsidRDefault="00B110AA" w:rsidP="00B110AA">
      <w:pPr>
        <w:spacing w:before="120" w:after="0" w:line="240" w:lineRule="auto"/>
        <w:ind w:firstLine="851"/>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 xml:space="preserve">III – pasākums, ko var veikt, ja ieinteresētās puses uzskata to par nepieciešamu. </w:t>
      </w:r>
      <w:r w:rsidR="009072CE" w:rsidRPr="00A07F29">
        <w:rPr>
          <w:rFonts w:ascii="Times New Roman" w:eastAsia="Calibri" w:hAnsi="Times New Roman" w:cs="Calibri"/>
          <w:sz w:val="24"/>
          <w:lang w:eastAsia="ja-JP"/>
        </w:rPr>
        <w:t>Apsaimniekošanas pasākumu karti skatīt 5.1.</w:t>
      </w:r>
      <w:r w:rsidR="00EC2AED">
        <w:rPr>
          <w:rFonts w:ascii="Times New Roman" w:eastAsia="Calibri" w:hAnsi="Times New Roman" w:cs="Calibri"/>
          <w:sz w:val="24"/>
          <w:lang w:eastAsia="ja-JP"/>
        </w:rPr>
        <w:t>1. un 5.1.1a.</w:t>
      </w:r>
      <w:r w:rsidR="009346F8">
        <w:rPr>
          <w:rFonts w:ascii="Times New Roman" w:eastAsia="Calibri" w:hAnsi="Times New Roman" w:cs="Calibri"/>
          <w:sz w:val="24"/>
          <w:lang w:eastAsia="ja-JP"/>
        </w:rPr>
        <w:t> </w:t>
      </w:r>
      <w:r w:rsidR="009072CE" w:rsidRPr="00A07F29">
        <w:rPr>
          <w:rFonts w:ascii="Times New Roman" w:eastAsia="Calibri" w:hAnsi="Times New Roman" w:cs="Calibri"/>
          <w:sz w:val="24"/>
          <w:lang w:eastAsia="ja-JP"/>
        </w:rPr>
        <w:t>pielikumā.</w:t>
      </w:r>
    </w:p>
    <w:p w14:paraId="5F4C11FE" w14:textId="77777777" w:rsidR="00315E9F" w:rsidRPr="00A07F29" w:rsidRDefault="00315E9F" w:rsidP="00B110AA">
      <w:pPr>
        <w:spacing w:before="120" w:after="0" w:line="240" w:lineRule="auto"/>
        <w:ind w:firstLine="851"/>
        <w:jc w:val="both"/>
        <w:rPr>
          <w:rFonts w:ascii="Times New Roman" w:eastAsia="Calibri" w:hAnsi="Times New Roman" w:cs="Calibri"/>
          <w:sz w:val="24"/>
        </w:rPr>
      </w:pPr>
    </w:p>
    <w:p w14:paraId="734C0F5F" w14:textId="77777777" w:rsidR="002D2FB8" w:rsidRPr="00A07F29" w:rsidRDefault="002D2FB8" w:rsidP="00A21E83">
      <w:pPr>
        <w:spacing w:after="120"/>
        <w:ind w:firstLine="851"/>
        <w:rPr>
          <w:rFonts w:ascii="Times New Roman" w:eastAsia="Calibri" w:hAnsi="Times New Roman" w:cs="Calibri"/>
          <w:b/>
          <w:sz w:val="24"/>
        </w:rPr>
        <w:sectPr w:rsidR="002D2FB8" w:rsidRPr="00A07F29" w:rsidSect="00665A15">
          <w:type w:val="continuous"/>
          <w:pgSz w:w="11906" w:h="16838"/>
          <w:pgMar w:top="1134" w:right="1134" w:bottom="1134" w:left="1701" w:header="709" w:footer="709" w:gutter="0"/>
          <w:cols w:space="708"/>
          <w:docGrid w:linePitch="360"/>
        </w:sectPr>
      </w:pPr>
      <w:bookmarkStart w:id="105" w:name="_Hlk36926628"/>
    </w:p>
    <w:p w14:paraId="2C109C80" w14:textId="17AC76BC" w:rsidR="00107885" w:rsidRPr="00A07F29" w:rsidRDefault="00A21E83" w:rsidP="00B110AA">
      <w:pPr>
        <w:spacing w:after="120"/>
        <w:ind w:firstLine="851"/>
        <w:jc w:val="center"/>
        <w:rPr>
          <w:rFonts w:ascii="Times New Roman" w:eastAsia="Calibri" w:hAnsi="Times New Roman" w:cs="Calibri"/>
          <w:b/>
          <w:sz w:val="24"/>
        </w:rPr>
      </w:pPr>
      <w:r w:rsidRPr="00A07F29">
        <w:rPr>
          <w:rFonts w:ascii="Times New Roman" w:eastAsia="Calibri" w:hAnsi="Times New Roman" w:cs="Calibri"/>
          <w:b/>
          <w:sz w:val="24"/>
        </w:rPr>
        <w:lastRenderedPageBreak/>
        <w:t>5.3.1.</w:t>
      </w:r>
      <w:bookmarkEnd w:id="105"/>
      <w:r w:rsidR="009346F8">
        <w:rPr>
          <w:rFonts w:ascii="Times New Roman" w:eastAsia="Calibri" w:hAnsi="Times New Roman" w:cs="Calibri"/>
          <w:b/>
          <w:sz w:val="24"/>
        </w:rPr>
        <w:t> </w:t>
      </w:r>
      <w:r w:rsidRPr="00A07F29">
        <w:rPr>
          <w:rFonts w:ascii="Times New Roman" w:eastAsia="Calibri" w:hAnsi="Times New Roman" w:cs="Calibri"/>
          <w:b/>
          <w:sz w:val="24"/>
        </w:rPr>
        <w:t>tabula. Plānotie apsaimniekošanas pasākumi</w:t>
      </w: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3402"/>
        <w:gridCol w:w="1701"/>
        <w:gridCol w:w="1984"/>
        <w:gridCol w:w="1560"/>
        <w:gridCol w:w="1984"/>
        <w:gridCol w:w="3686"/>
      </w:tblGrid>
      <w:tr w:rsidR="00B57963" w:rsidRPr="00A07F29" w14:paraId="0B41DAD2" w14:textId="16DC3195" w:rsidTr="4284A616">
        <w:trPr>
          <w:trHeight w:val="971"/>
          <w:tblHeader/>
          <w:jc w:val="center"/>
        </w:trPr>
        <w:tc>
          <w:tcPr>
            <w:tcW w:w="846" w:type="dxa"/>
            <w:shd w:val="clear" w:color="auto" w:fill="D6E3BC" w:themeFill="accent3" w:themeFillTint="66"/>
            <w:vAlign w:val="center"/>
          </w:tcPr>
          <w:p w14:paraId="51FE311A" w14:textId="77777777" w:rsidR="00B57963" w:rsidRPr="00A07F29" w:rsidRDefault="00B57963" w:rsidP="00B57963">
            <w:pPr>
              <w:spacing w:after="0" w:line="240" w:lineRule="auto"/>
              <w:jc w:val="center"/>
              <w:rPr>
                <w:rFonts w:ascii="Times New Roman" w:eastAsia="Calibri" w:hAnsi="Times New Roman" w:cs="Times New Roman"/>
                <w:b/>
                <w:bCs/>
                <w:sz w:val="20"/>
                <w:szCs w:val="20"/>
              </w:rPr>
            </w:pPr>
            <w:r w:rsidRPr="00A07F29">
              <w:rPr>
                <w:rFonts w:ascii="Times New Roman" w:eastAsia="Calibri" w:hAnsi="Times New Roman" w:cs="Times New Roman"/>
                <w:b/>
                <w:bCs/>
                <w:sz w:val="20"/>
                <w:szCs w:val="20"/>
              </w:rPr>
              <w:t>Mērķa Nr.</w:t>
            </w:r>
          </w:p>
          <w:p w14:paraId="06DAE5B5" w14:textId="77777777" w:rsidR="00B57963" w:rsidRPr="00A07F29" w:rsidRDefault="00B57963" w:rsidP="00B57963">
            <w:pPr>
              <w:spacing w:after="0" w:line="240" w:lineRule="auto"/>
              <w:jc w:val="center"/>
              <w:rPr>
                <w:rFonts w:ascii="Times New Roman" w:eastAsia="Calibri" w:hAnsi="Times New Roman" w:cs="Times New Roman"/>
                <w:b/>
                <w:bCs/>
                <w:sz w:val="20"/>
                <w:szCs w:val="20"/>
              </w:rPr>
            </w:pPr>
          </w:p>
        </w:tc>
        <w:tc>
          <w:tcPr>
            <w:tcW w:w="3402" w:type="dxa"/>
            <w:shd w:val="clear" w:color="auto" w:fill="D6E3BC" w:themeFill="accent3" w:themeFillTint="66"/>
            <w:vAlign w:val="center"/>
            <w:hideMark/>
          </w:tcPr>
          <w:p w14:paraId="248DAA7E" w14:textId="358D3FF2" w:rsidR="00B57963" w:rsidRPr="00A07F29" w:rsidRDefault="00B57963" w:rsidP="002B10DB">
            <w:pPr>
              <w:spacing w:after="0" w:line="240" w:lineRule="auto"/>
              <w:jc w:val="center"/>
              <w:rPr>
                <w:rFonts w:ascii="Times New Roman" w:eastAsia="Calibri" w:hAnsi="Times New Roman" w:cs="Times New Roman"/>
                <w:b/>
                <w:bCs/>
                <w:sz w:val="20"/>
                <w:szCs w:val="20"/>
              </w:rPr>
            </w:pPr>
            <w:r w:rsidRPr="00A07F29">
              <w:rPr>
                <w:rFonts w:ascii="Times New Roman" w:eastAsia="Calibri" w:hAnsi="Times New Roman" w:cs="Times New Roman"/>
                <w:b/>
                <w:bCs/>
                <w:sz w:val="20"/>
                <w:szCs w:val="20"/>
              </w:rPr>
              <w:t>Apsaimniekošanas pasākums</w:t>
            </w:r>
          </w:p>
        </w:tc>
        <w:tc>
          <w:tcPr>
            <w:tcW w:w="1701" w:type="dxa"/>
            <w:shd w:val="clear" w:color="auto" w:fill="D6E3BC" w:themeFill="accent3" w:themeFillTint="66"/>
            <w:vAlign w:val="center"/>
            <w:hideMark/>
          </w:tcPr>
          <w:p w14:paraId="463BE8DE" w14:textId="391853BA" w:rsidR="00B57963" w:rsidRPr="00A07F29" w:rsidRDefault="00B57963" w:rsidP="00B57963">
            <w:pPr>
              <w:spacing w:after="0" w:line="240" w:lineRule="auto"/>
              <w:rPr>
                <w:rFonts w:ascii="Times New Roman" w:eastAsia="Calibri" w:hAnsi="Times New Roman" w:cs="Times New Roman"/>
                <w:b/>
                <w:bCs/>
                <w:sz w:val="20"/>
                <w:szCs w:val="20"/>
              </w:rPr>
            </w:pPr>
            <w:r w:rsidRPr="00A07F29">
              <w:rPr>
                <w:rFonts w:ascii="Times New Roman" w:eastAsia="Calibri" w:hAnsi="Times New Roman" w:cs="Times New Roman"/>
                <w:b/>
                <w:bCs/>
                <w:sz w:val="20"/>
                <w:szCs w:val="20"/>
              </w:rPr>
              <w:t>Prioritāte, izpildes termiņš</w:t>
            </w:r>
          </w:p>
        </w:tc>
        <w:tc>
          <w:tcPr>
            <w:tcW w:w="1984" w:type="dxa"/>
            <w:shd w:val="clear" w:color="auto" w:fill="D6E3BC" w:themeFill="accent3" w:themeFillTint="66"/>
            <w:vAlign w:val="center"/>
          </w:tcPr>
          <w:p w14:paraId="2CBFEE63" w14:textId="3C2B388C" w:rsidR="00B57963" w:rsidRPr="00A07F29" w:rsidRDefault="00B57963" w:rsidP="00B57963">
            <w:pPr>
              <w:spacing w:after="0" w:line="240" w:lineRule="auto"/>
              <w:jc w:val="center"/>
              <w:rPr>
                <w:rFonts w:ascii="Times New Roman" w:eastAsia="Calibri" w:hAnsi="Times New Roman" w:cs="Times New Roman"/>
                <w:b/>
                <w:bCs/>
                <w:sz w:val="20"/>
                <w:szCs w:val="20"/>
              </w:rPr>
            </w:pPr>
            <w:r w:rsidRPr="00A07F29">
              <w:rPr>
                <w:rFonts w:ascii="Times New Roman" w:eastAsia="Calibri" w:hAnsi="Times New Roman" w:cs="Times New Roman"/>
                <w:b/>
                <w:bCs/>
                <w:sz w:val="20"/>
                <w:szCs w:val="20"/>
              </w:rPr>
              <w:t>Iespējamie īstenotāji, iesaistītās puses</w:t>
            </w:r>
          </w:p>
        </w:tc>
        <w:tc>
          <w:tcPr>
            <w:tcW w:w="1560" w:type="dxa"/>
            <w:shd w:val="clear" w:color="auto" w:fill="D6E3BC" w:themeFill="accent3" w:themeFillTint="66"/>
            <w:vAlign w:val="center"/>
          </w:tcPr>
          <w:p w14:paraId="7227A301" w14:textId="5A4B9A21" w:rsidR="00B57963" w:rsidRPr="00A07F29" w:rsidRDefault="00B57963" w:rsidP="00B57963">
            <w:pPr>
              <w:spacing w:after="0" w:line="240" w:lineRule="auto"/>
              <w:jc w:val="center"/>
              <w:rPr>
                <w:rFonts w:ascii="Times New Roman" w:eastAsia="Calibri" w:hAnsi="Times New Roman" w:cs="Times New Roman"/>
                <w:b/>
                <w:bCs/>
                <w:sz w:val="20"/>
                <w:szCs w:val="20"/>
              </w:rPr>
            </w:pPr>
            <w:r w:rsidRPr="00A07F29">
              <w:rPr>
                <w:rFonts w:ascii="Times New Roman" w:eastAsia="Calibri" w:hAnsi="Times New Roman" w:cs="Times New Roman"/>
                <w:b/>
                <w:bCs/>
                <w:sz w:val="20"/>
                <w:szCs w:val="20"/>
              </w:rPr>
              <w:t>Nepieciešamais finansējums, EUR (ja to iespējams noteikt)</w:t>
            </w:r>
          </w:p>
        </w:tc>
        <w:tc>
          <w:tcPr>
            <w:tcW w:w="1984" w:type="dxa"/>
            <w:shd w:val="clear" w:color="auto" w:fill="D6E3BC" w:themeFill="accent3" w:themeFillTint="66"/>
            <w:vAlign w:val="center"/>
          </w:tcPr>
          <w:p w14:paraId="70AFEA64" w14:textId="512777B1" w:rsidR="00B57963" w:rsidRPr="00A07F29" w:rsidRDefault="00B57963" w:rsidP="00B57963">
            <w:pPr>
              <w:spacing w:after="0" w:line="240" w:lineRule="auto"/>
              <w:jc w:val="center"/>
              <w:rPr>
                <w:rFonts w:ascii="Times New Roman" w:eastAsia="Calibri" w:hAnsi="Times New Roman" w:cs="Times New Roman"/>
                <w:b/>
                <w:bCs/>
                <w:sz w:val="20"/>
                <w:szCs w:val="20"/>
              </w:rPr>
            </w:pPr>
            <w:r w:rsidRPr="00A07F29">
              <w:rPr>
                <w:rFonts w:ascii="Times New Roman" w:eastAsia="Calibri" w:hAnsi="Times New Roman" w:cs="Times New Roman"/>
                <w:b/>
                <w:bCs/>
                <w:sz w:val="20"/>
                <w:szCs w:val="20"/>
              </w:rPr>
              <w:t>Iespējamais finansējuma avots</w:t>
            </w:r>
          </w:p>
        </w:tc>
        <w:tc>
          <w:tcPr>
            <w:tcW w:w="3686" w:type="dxa"/>
            <w:shd w:val="clear" w:color="auto" w:fill="D6E3BC" w:themeFill="accent3" w:themeFillTint="66"/>
            <w:vAlign w:val="center"/>
          </w:tcPr>
          <w:p w14:paraId="1866E64A" w14:textId="2F9A5CE5" w:rsidR="00B57963" w:rsidRPr="00A07F29" w:rsidRDefault="00B57963" w:rsidP="002B10DB">
            <w:pPr>
              <w:spacing w:after="0" w:line="240" w:lineRule="auto"/>
              <w:jc w:val="center"/>
              <w:rPr>
                <w:rFonts w:ascii="Times New Roman" w:eastAsia="Calibri" w:hAnsi="Times New Roman" w:cs="Times New Roman"/>
                <w:b/>
                <w:bCs/>
                <w:sz w:val="20"/>
                <w:szCs w:val="20"/>
              </w:rPr>
            </w:pPr>
            <w:r w:rsidRPr="00A07F29">
              <w:rPr>
                <w:rFonts w:ascii="Times New Roman" w:eastAsia="Calibri" w:hAnsi="Times New Roman" w:cs="Times New Roman"/>
                <w:b/>
                <w:bCs/>
                <w:sz w:val="20"/>
                <w:szCs w:val="20"/>
              </w:rPr>
              <w:t>Izpildes indikatori</w:t>
            </w:r>
          </w:p>
        </w:tc>
      </w:tr>
      <w:tr w:rsidR="00B57963" w:rsidRPr="00A07F29" w14:paraId="10D881E8" w14:textId="3E9D7176" w:rsidTr="4284A616">
        <w:trPr>
          <w:jc w:val="center"/>
        </w:trPr>
        <w:tc>
          <w:tcPr>
            <w:tcW w:w="846" w:type="dxa"/>
            <w:shd w:val="clear" w:color="auto" w:fill="FFFFFF" w:themeFill="background1"/>
          </w:tcPr>
          <w:p w14:paraId="3B0A4EE1" w14:textId="1FAE961A" w:rsidR="00B57963" w:rsidRPr="00A07F29" w:rsidRDefault="00B57963" w:rsidP="00B57963">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bCs/>
                <w:sz w:val="20"/>
                <w:szCs w:val="20"/>
              </w:rPr>
              <w:t>A.1.</w:t>
            </w:r>
          </w:p>
        </w:tc>
        <w:tc>
          <w:tcPr>
            <w:tcW w:w="3402" w:type="dxa"/>
            <w:shd w:val="clear" w:color="auto" w:fill="FFFFFF" w:themeFill="background1"/>
            <w:hideMark/>
          </w:tcPr>
          <w:p w14:paraId="5B5A0FAD" w14:textId="4752B4E0" w:rsidR="00B57963" w:rsidRPr="00A07F29" w:rsidRDefault="00B57963" w:rsidP="00315E9F">
            <w:pPr>
              <w:spacing w:after="0" w:line="240" w:lineRule="auto"/>
              <w:rPr>
                <w:rFonts w:ascii="Times New Roman" w:eastAsia="Calibri" w:hAnsi="Times New Roman" w:cs="Times New Roman"/>
                <w:sz w:val="20"/>
                <w:szCs w:val="20"/>
              </w:rPr>
            </w:pPr>
            <w:r w:rsidRPr="00A07F29">
              <w:rPr>
                <w:rFonts w:ascii="Times New Roman" w:eastAsia="Calibri" w:hAnsi="Times New Roman" w:cs="Times New Roman"/>
                <w:sz w:val="20"/>
                <w:szCs w:val="20"/>
              </w:rPr>
              <w:t>A.1.1.</w:t>
            </w:r>
            <w:r w:rsidR="001169F1">
              <w:rPr>
                <w:rFonts w:ascii="Times New Roman" w:eastAsia="Calibri" w:hAnsi="Times New Roman" w:cs="Times New Roman"/>
                <w:sz w:val="20"/>
                <w:szCs w:val="20"/>
              </w:rPr>
              <w:t> </w:t>
            </w:r>
            <w:r w:rsidRPr="00A07F29">
              <w:rPr>
                <w:rFonts w:ascii="Times New Roman" w:eastAsia="Calibri" w:hAnsi="Times New Roman" w:cs="Times New Roman"/>
                <w:sz w:val="20"/>
                <w:szCs w:val="20"/>
              </w:rPr>
              <w:t>AAA “Augšdaugava” individuālo aizsardzības un izmantošanas noteikumu izstrādāšana un apstiprināšana</w:t>
            </w:r>
          </w:p>
        </w:tc>
        <w:tc>
          <w:tcPr>
            <w:tcW w:w="1701" w:type="dxa"/>
            <w:shd w:val="clear" w:color="auto" w:fill="FFFFFF" w:themeFill="background1"/>
            <w:hideMark/>
          </w:tcPr>
          <w:p w14:paraId="6C3BBC7E" w14:textId="182D8F31" w:rsidR="00B57963" w:rsidRPr="00A07F29" w:rsidRDefault="00B57963" w:rsidP="00B57963">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I,</w:t>
            </w:r>
          </w:p>
          <w:p w14:paraId="255AD938" w14:textId="672492E4" w:rsidR="00B57963" w:rsidRPr="00A07F29" w:rsidRDefault="00BD349A" w:rsidP="00B57963">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bCs/>
                <w:sz w:val="20"/>
                <w:szCs w:val="20"/>
              </w:rPr>
              <w:t>2026</w:t>
            </w:r>
            <w:r w:rsidR="00B57963" w:rsidRPr="00A07F29">
              <w:rPr>
                <w:rFonts w:ascii="Times New Roman" w:eastAsia="Calibri" w:hAnsi="Times New Roman" w:cs="Times New Roman"/>
                <w:bCs/>
                <w:sz w:val="20"/>
                <w:szCs w:val="20"/>
              </w:rPr>
              <w:t>.</w:t>
            </w:r>
          </w:p>
        </w:tc>
        <w:tc>
          <w:tcPr>
            <w:tcW w:w="1984" w:type="dxa"/>
            <w:shd w:val="clear" w:color="auto" w:fill="FFFFFF" w:themeFill="background1"/>
          </w:tcPr>
          <w:p w14:paraId="76CD2AD1" w14:textId="4098CBB3" w:rsidR="00B57963" w:rsidRPr="00A07F29" w:rsidRDefault="00B57963" w:rsidP="00B57963">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VARAM, DAP</w:t>
            </w:r>
          </w:p>
        </w:tc>
        <w:tc>
          <w:tcPr>
            <w:tcW w:w="1560" w:type="dxa"/>
            <w:shd w:val="clear" w:color="auto" w:fill="FFFFFF" w:themeFill="background1"/>
          </w:tcPr>
          <w:p w14:paraId="63345EBB" w14:textId="2164CDDD" w:rsidR="00B57963" w:rsidRPr="00A07F29" w:rsidRDefault="00B57963" w:rsidP="00B57963">
            <w:pPr>
              <w:spacing w:after="0" w:line="240" w:lineRule="auto"/>
              <w:ind w:left="34"/>
              <w:jc w:val="both"/>
              <w:rPr>
                <w:rFonts w:ascii="Times New Roman" w:eastAsia="Calibri" w:hAnsi="Times New Roman" w:cs="Times New Roman"/>
                <w:color w:val="000000" w:themeColor="text1"/>
                <w:sz w:val="20"/>
                <w:szCs w:val="20"/>
              </w:rPr>
            </w:pPr>
            <w:r w:rsidRPr="00A07F29">
              <w:rPr>
                <w:rFonts w:ascii="Times New Roman" w:eastAsia="Calibri" w:hAnsi="Times New Roman" w:cs="Times New Roman"/>
                <w:sz w:val="20"/>
                <w:szCs w:val="20"/>
              </w:rPr>
              <w:t>Administratīvās izmaksas</w:t>
            </w:r>
          </w:p>
        </w:tc>
        <w:tc>
          <w:tcPr>
            <w:tcW w:w="1984" w:type="dxa"/>
            <w:shd w:val="clear" w:color="auto" w:fill="FFFFFF" w:themeFill="background1"/>
          </w:tcPr>
          <w:p w14:paraId="08C8B96F" w14:textId="75A5582B" w:rsidR="00B57963" w:rsidRPr="00A07F29" w:rsidRDefault="00B57963" w:rsidP="00B57963">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color w:val="000000" w:themeColor="text1"/>
                <w:sz w:val="20"/>
                <w:szCs w:val="20"/>
              </w:rPr>
              <w:t>VARAM, DAP</w:t>
            </w:r>
          </w:p>
        </w:tc>
        <w:tc>
          <w:tcPr>
            <w:tcW w:w="3686" w:type="dxa"/>
            <w:shd w:val="clear" w:color="auto" w:fill="FFFFFF" w:themeFill="background1"/>
          </w:tcPr>
          <w:p w14:paraId="391687C5" w14:textId="27BFEBE0" w:rsidR="00B57963" w:rsidRPr="00A07F29" w:rsidRDefault="00B57963" w:rsidP="00315E9F">
            <w:pPr>
              <w:spacing w:after="0" w:line="240" w:lineRule="auto"/>
              <w:ind w:left="34"/>
              <w:rPr>
                <w:rFonts w:ascii="Times New Roman" w:eastAsia="Calibri" w:hAnsi="Times New Roman" w:cs="Times New Roman"/>
                <w:color w:val="000000" w:themeColor="text1"/>
                <w:sz w:val="20"/>
                <w:szCs w:val="20"/>
              </w:rPr>
            </w:pPr>
            <w:r w:rsidRPr="00A07F29">
              <w:rPr>
                <w:rFonts w:ascii="Times New Roman" w:eastAsia="Calibri" w:hAnsi="Times New Roman" w:cs="Times New Roman"/>
                <w:sz w:val="20"/>
                <w:szCs w:val="20"/>
              </w:rPr>
              <w:t xml:space="preserve">Apstiprināti AAA “Augšdaugava” individuālie aizsardzības un izmantošanas noteikumi </w:t>
            </w:r>
          </w:p>
        </w:tc>
      </w:tr>
      <w:tr w:rsidR="00B57963" w:rsidRPr="00A07F29" w14:paraId="4D168E26" w14:textId="30636A7B" w:rsidTr="4284A616">
        <w:trPr>
          <w:jc w:val="center"/>
        </w:trPr>
        <w:tc>
          <w:tcPr>
            <w:tcW w:w="846" w:type="dxa"/>
            <w:shd w:val="clear" w:color="auto" w:fill="FFFFFF" w:themeFill="background1"/>
          </w:tcPr>
          <w:p w14:paraId="0E3DDF0F" w14:textId="07C12D41" w:rsidR="00B57963" w:rsidRPr="00A07F29" w:rsidRDefault="00B57963" w:rsidP="00B57963">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bCs/>
                <w:sz w:val="20"/>
                <w:szCs w:val="20"/>
              </w:rPr>
              <w:t>A.1.</w:t>
            </w:r>
          </w:p>
        </w:tc>
        <w:tc>
          <w:tcPr>
            <w:tcW w:w="3402" w:type="dxa"/>
            <w:shd w:val="clear" w:color="auto" w:fill="FFFFFF" w:themeFill="background1"/>
          </w:tcPr>
          <w:p w14:paraId="40E00586" w14:textId="3914A940" w:rsidR="00B57963" w:rsidRPr="00A07F29" w:rsidRDefault="00B57963" w:rsidP="00315E9F">
            <w:pPr>
              <w:spacing w:after="0" w:line="240" w:lineRule="auto"/>
              <w:rPr>
                <w:rFonts w:ascii="Times New Roman" w:eastAsia="Calibri" w:hAnsi="Times New Roman" w:cs="Times New Roman"/>
                <w:sz w:val="20"/>
                <w:szCs w:val="20"/>
              </w:rPr>
            </w:pPr>
            <w:r w:rsidRPr="00A07F29">
              <w:rPr>
                <w:rFonts w:ascii="Times New Roman" w:eastAsia="Calibri" w:hAnsi="Times New Roman" w:cs="Times New Roman"/>
                <w:sz w:val="20"/>
                <w:szCs w:val="20"/>
              </w:rPr>
              <w:t>A.1.2.</w:t>
            </w:r>
            <w:r w:rsidR="001169F1">
              <w:rPr>
                <w:rFonts w:ascii="Times New Roman" w:eastAsia="Calibri" w:hAnsi="Times New Roman" w:cs="Times New Roman"/>
                <w:sz w:val="20"/>
                <w:szCs w:val="20"/>
              </w:rPr>
              <w:t> </w:t>
            </w:r>
            <w:r w:rsidRPr="00A07F29">
              <w:rPr>
                <w:rFonts w:ascii="Times New Roman" w:eastAsia="Calibri" w:hAnsi="Times New Roman" w:cs="Times New Roman"/>
                <w:sz w:val="20"/>
                <w:szCs w:val="20"/>
              </w:rPr>
              <w:t xml:space="preserve">Ģeoloģisko un </w:t>
            </w:r>
            <w:proofErr w:type="spellStart"/>
            <w:r w:rsidRPr="00A07F29">
              <w:rPr>
                <w:rFonts w:ascii="Times New Roman" w:eastAsia="Calibri" w:hAnsi="Times New Roman" w:cs="Times New Roman"/>
                <w:sz w:val="20"/>
                <w:szCs w:val="20"/>
              </w:rPr>
              <w:t>ģeomorfoloģisko</w:t>
            </w:r>
            <w:proofErr w:type="spellEnd"/>
            <w:r w:rsidRPr="00A07F29">
              <w:rPr>
                <w:rFonts w:ascii="Times New Roman" w:eastAsia="Calibri" w:hAnsi="Times New Roman" w:cs="Times New Roman"/>
                <w:sz w:val="20"/>
                <w:szCs w:val="20"/>
              </w:rPr>
              <w:t xml:space="preserve"> dabas pieminekļu robežu precizēšana un statusa noteikšana</w:t>
            </w:r>
          </w:p>
        </w:tc>
        <w:tc>
          <w:tcPr>
            <w:tcW w:w="1701" w:type="dxa"/>
            <w:shd w:val="clear" w:color="auto" w:fill="FFFFFF" w:themeFill="background1"/>
          </w:tcPr>
          <w:p w14:paraId="2C3ED090" w14:textId="77777777" w:rsidR="00B57963" w:rsidRPr="00A07F29" w:rsidRDefault="00B57963" w:rsidP="00B57963">
            <w:pPr>
              <w:spacing w:after="0" w:line="240" w:lineRule="auto"/>
              <w:jc w:val="center"/>
              <w:rPr>
                <w:rFonts w:ascii="Times New Roman" w:eastAsia="Calibri" w:hAnsi="Times New Roman" w:cs="Times New Roman"/>
                <w:bCs/>
                <w:sz w:val="20"/>
                <w:szCs w:val="20"/>
              </w:rPr>
            </w:pPr>
            <w:r w:rsidRPr="00A07F29">
              <w:rPr>
                <w:rFonts w:ascii="Times New Roman" w:eastAsia="Calibri" w:hAnsi="Times New Roman" w:cs="Times New Roman"/>
                <w:sz w:val="20"/>
                <w:szCs w:val="20"/>
              </w:rPr>
              <w:t>I,</w:t>
            </w:r>
            <w:r w:rsidRPr="00A07F29">
              <w:rPr>
                <w:rFonts w:ascii="Times New Roman" w:eastAsia="Calibri" w:hAnsi="Times New Roman" w:cs="Times New Roman"/>
                <w:bCs/>
                <w:sz w:val="20"/>
                <w:szCs w:val="20"/>
              </w:rPr>
              <w:t xml:space="preserve"> </w:t>
            </w:r>
          </w:p>
          <w:p w14:paraId="68E338C5" w14:textId="01241018" w:rsidR="00B57963" w:rsidRPr="00A07F29" w:rsidRDefault="00BD349A" w:rsidP="00B57963">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bCs/>
                <w:sz w:val="20"/>
                <w:szCs w:val="20"/>
              </w:rPr>
              <w:t>2026</w:t>
            </w:r>
            <w:r w:rsidR="00B57963" w:rsidRPr="00A07F29">
              <w:rPr>
                <w:rFonts w:ascii="Times New Roman" w:eastAsia="Calibri" w:hAnsi="Times New Roman" w:cs="Times New Roman"/>
                <w:bCs/>
                <w:sz w:val="20"/>
                <w:szCs w:val="20"/>
              </w:rPr>
              <w:t>.</w:t>
            </w:r>
          </w:p>
        </w:tc>
        <w:tc>
          <w:tcPr>
            <w:tcW w:w="1984" w:type="dxa"/>
            <w:shd w:val="clear" w:color="auto" w:fill="FFFFFF" w:themeFill="background1"/>
          </w:tcPr>
          <w:p w14:paraId="21D75A1A" w14:textId="40CB6A12" w:rsidR="00B57963" w:rsidRPr="00A07F29" w:rsidRDefault="00B57963" w:rsidP="00B57963">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VARAM, DAP</w:t>
            </w:r>
          </w:p>
        </w:tc>
        <w:tc>
          <w:tcPr>
            <w:tcW w:w="1560" w:type="dxa"/>
            <w:shd w:val="clear" w:color="auto" w:fill="FFFFFF" w:themeFill="background1"/>
          </w:tcPr>
          <w:p w14:paraId="3ED71298" w14:textId="333A6403" w:rsidR="00B57963" w:rsidRPr="00A07F29" w:rsidRDefault="00B57963" w:rsidP="00B57963">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Administratīvās izmaksas</w:t>
            </w:r>
          </w:p>
        </w:tc>
        <w:tc>
          <w:tcPr>
            <w:tcW w:w="1984" w:type="dxa"/>
            <w:shd w:val="clear" w:color="auto" w:fill="FFFFFF" w:themeFill="background1"/>
          </w:tcPr>
          <w:p w14:paraId="6D32458C" w14:textId="6B232889" w:rsidR="00B57963" w:rsidRPr="00A07F29" w:rsidRDefault="00B57963" w:rsidP="00B57963">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VARAM, DAP</w:t>
            </w:r>
          </w:p>
        </w:tc>
        <w:tc>
          <w:tcPr>
            <w:tcW w:w="3686" w:type="dxa"/>
            <w:shd w:val="clear" w:color="auto" w:fill="FFFFFF" w:themeFill="background1"/>
          </w:tcPr>
          <w:p w14:paraId="70F8C952" w14:textId="79DDA9BF" w:rsidR="00B57963" w:rsidRPr="00A07F29" w:rsidRDefault="00B57963" w:rsidP="00315E9F">
            <w:pPr>
              <w:spacing w:after="0" w:line="240" w:lineRule="auto"/>
              <w:ind w:left="34"/>
              <w:rPr>
                <w:rFonts w:ascii="Times New Roman" w:eastAsia="Calibri" w:hAnsi="Times New Roman" w:cs="Times New Roman"/>
                <w:sz w:val="20"/>
                <w:szCs w:val="20"/>
              </w:rPr>
            </w:pPr>
            <w:r w:rsidRPr="00A07F29">
              <w:rPr>
                <w:rFonts w:ascii="Times New Roman" w:eastAsia="Calibri" w:hAnsi="Times New Roman" w:cs="Times New Roman"/>
                <w:sz w:val="20"/>
                <w:szCs w:val="20"/>
              </w:rPr>
              <w:t xml:space="preserve">Apstiprināti grozījumi “Noteikumos par aizsargājamiem ģeoloģiskajiem un </w:t>
            </w:r>
            <w:proofErr w:type="spellStart"/>
            <w:r w:rsidRPr="00A07F29">
              <w:rPr>
                <w:rFonts w:ascii="Times New Roman" w:eastAsia="Calibri" w:hAnsi="Times New Roman" w:cs="Times New Roman"/>
                <w:sz w:val="20"/>
                <w:szCs w:val="20"/>
              </w:rPr>
              <w:t>ģeomorfoloģiskajiem</w:t>
            </w:r>
            <w:proofErr w:type="spellEnd"/>
            <w:r w:rsidRPr="00A07F29">
              <w:rPr>
                <w:rFonts w:ascii="Times New Roman" w:eastAsia="Calibri" w:hAnsi="Times New Roman" w:cs="Times New Roman"/>
                <w:sz w:val="20"/>
                <w:szCs w:val="20"/>
              </w:rPr>
              <w:t xml:space="preserve"> dabas pieminekļiem” </w:t>
            </w:r>
            <w:r w:rsidR="00266078">
              <w:rPr>
                <w:rFonts w:ascii="Times New Roman" w:eastAsia="Calibri" w:hAnsi="Times New Roman" w:cs="Times New Roman"/>
                <w:sz w:val="20"/>
                <w:szCs w:val="20"/>
              </w:rPr>
              <w:t>–</w:t>
            </w:r>
            <w:r w:rsidRPr="00A07F29">
              <w:rPr>
                <w:rFonts w:ascii="Times New Roman" w:eastAsia="Calibri" w:hAnsi="Times New Roman" w:cs="Times New Roman"/>
                <w:sz w:val="20"/>
                <w:szCs w:val="20"/>
              </w:rPr>
              <w:t xml:space="preserve"> noteikti </w:t>
            </w:r>
            <w:r w:rsidR="00266078">
              <w:rPr>
                <w:rFonts w:ascii="Times New Roman" w:eastAsia="Calibri" w:hAnsi="Times New Roman" w:cs="Times New Roman"/>
                <w:sz w:val="20"/>
                <w:szCs w:val="20"/>
              </w:rPr>
              <w:t>astoņi</w:t>
            </w:r>
            <w:r w:rsidRPr="00A07F29">
              <w:rPr>
                <w:rFonts w:ascii="Times New Roman" w:eastAsia="Calibri" w:hAnsi="Times New Roman" w:cs="Times New Roman"/>
                <w:sz w:val="20"/>
                <w:szCs w:val="20"/>
              </w:rPr>
              <w:t xml:space="preserve"> jauni valsts nozīmes dabas pieminekļi</w:t>
            </w:r>
          </w:p>
        </w:tc>
      </w:tr>
      <w:tr w:rsidR="00B57963" w:rsidRPr="00A07F29" w14:paraId="0C626F4F" w14:textId="77777777" w:rsidTr="4284A616">
        <w:trPr>
          <w:jc w:val="center"/>
        </w:trPr>
        <w:tc>
          <w:tcPr>
            <w:tcW w:w="846" w:type="dxa"/>
            <w:shd w:val="clear" w:color="auto" w:fill="FFFFFF" w:themeFill="background1"/>
          </w:tcPr>
          <w:p w14:paraId="24025512" w14:textId="65591E03" w:rsidR="00B57963" w:rsidRPr="00A07F29" w:rsidRDefault="00B57963" w:rsidP="00B57963">
            <w:pPr>
              <w:spacing w:after="0" w:line="240" w:lineRule="auto"/>
              <w:jc w:val="center"/>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A.1.</w:t>
            </w:r>
          </w:p>
        </w:tc>
        <w:tc>
          <w:tcPr>
            <w:tcW w:w="3402" w:type="dxa"/>
            <w:shd w:val="clear" w:color="auto" w:fill="FFFFFF" w:themeFill="background1"/>
          </w:tcPr>
          <w:p w14:paraId="088648F7" w14:textId="111E3874" w:rsidR="00B57963" w:rsidRPr="00A07F29" w:rsidRDefault="00B57963" w:rsidP="00315E9F">
            <w:pPr>
              <w:spacing w:after="0" w:line="240" w:lineRule="auto"/>
              <w:rPr>
                <w:rFonts w:ascii="Times New Roman" w:eastAsia="Calibri" w:hAnsi="Times New Roman" w:cs="Times New Roman"/>
                <w:sz w:val="20"/>
                <w:szCs w:val="20"/>
              </w:rPr>
            </w:pPr>
            <w:r w:rsidRPr="00A07F29">
              <w:rPr>
                <w:rFonts w:ascii="Times New Roman" w:eastAsia="Calibri" w:hAnsi="Times New Roman" w:cs="Times New Roman"/>
                <w:sz w:val="20"/>
                <w:szCs w:val="20"/>
              </w:rPr>
              <w:t>A.1.3.</w:t>
            </w:r>
            <w:r w:rsidR="00266078">
              <w:rPr>
                <w:rFonts w:ascii="Times New Roman" w:eastAsia="Calibri" w:hAnsi="Times New Roman" w:cs="Times New Roman"/>
                <w:sz w:val="20"/>
                <w:szCs w:val="20"/>
              </w:rPr>
              <w:t> </w:t>
            </w:r>
            <w:r w:rsidRPr="00A07F29">
              <w:rPr>
                <w:rFonts w:ascii="Times New Roman" w:eastAsia="Calibri" w:hAnsi="Times New Roman" w:cs="Times New Roman"/>
                <w:sz w:val="20"/>
                <w:szCs w:val="20"/>
              </w:rPr>
              <w:t>Ģenētisko resursu mežaudzes “Priedaines priede” apsaimniekošanas plāna izstrādāšana</w:t>
            </w:r>
          </w:p>
        </w:tc>
        <w:tc>
          <w:tcPr>
            <w:tcW w:w="1701" w:type="dxa"/>
            <w:shd w:val="clear" w:color="auto" w:fill="FFFFFF" w:themeFill="background1"/>
          </w:tcPr>
          <w:p w14:paraId="570D526A" w14:textId="77777777" w:rsidR="00B57963" w:rsidRPr="00A07F29" w:rsidRDefault="00B57963" w:rsidP="00B57963">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I,</w:t>
            </w:r>
          </w:p>
          <w:p w14:paraId="22A9F2C4" w14:textId="51C72C0F" w:rsidR="00B57963" w:rsidRPr="00A07F29" w:rsidRDefault="00BD349A" w:rsidP="00B57963">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2026</w:t>
            </w:r>
            <w:r w:rsidR="00B57963" w:rsidRPr="00A07F29">
              <w:rPr>
                <w:rFonts w:ascii="Times New Roman" w:eastAsia="Calibri" w:hAnsi="Times New Roman" w:cs="Times New Roman"/>
                <w:sz w:val="20"/>
                <w:szCs w:val="20"/>
              </w:rPr>
              <w:t>.</w:t>
            </w:r>
          </w:p>
        </w:tc>
        <w:tc>
          <w:tcPr>
            <w:tcW w:w="1984" w:type="dxa"/>
            <w:shd w:val="clear" w:color="auto" w:fill="FFFFFF" w:themeFill="background1"/>
          </w:tcPr>
          <w:p w14:paraId="0B5CC4B6" w14:textId="5F2A1218" w:rsidR="00B57963" w:rsidRPr="00A07F29" w:rsidRDefault="00B57963" w:rsidP="00B57963">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LVM, DAP</w:t>
            </w:r>
          </w:p>
        </w:tc>
        <w:tc>
          <w:tcPr>
            <w:tcW w:w="1560" w:type="dxa"/>
            <w:shd w:val="clear" w:color="auto" w:fill="FFFFFF" w:themeFill="background1"/>
          </w:tcPr>
          <w:p w14:paraId="4EE8264B" w14:textId="12A61070" w:rsidR="00B57963" w:rsidRPr="00A07F29" w:rsidRDefault="00B57963" w:rsidP="00B57963">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Administratīvās izmaksas</w:t>
            </w:r>
          </w:p>
        </w:tc>
        <w:tc>
          <w:tcPr>
            <w:tcW w:w="1984" w:type="dxa"/>
            <w:shd w:val="clear" w:color="auto" w:fill="FFFFFF" w:themeFill="background1"/>
          </w:tcPr>
          <w:p w14:paraId="534113F2" w14:textId="21A5036F" w:rsidR="00B57963" w:rsidRPr="00A07F29" w:rsidRDefault="00B57963" w:rsidP="00B57963">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LVM</w:t>
            </w:r>
          </w:p>
        </w:tc>
        <w:tc>
          <w:tcPr>
            <w:tcW w:w="3686" w:type="dxa"/>
            <w:shd w:val="clear" w:color="auto" w:fill="FFFFFF" w:themeFill="background1"/>
          </w:tcPr>
          <w:p w14:paraId="00F32F18" w14:textId="05FD4612" w:rsidR="00B57963" w:rsidRPr="00A07F29" w:rsidRDefault="00B57963" w:rsidP="00315E9F">
            <w:pPr>
              <w:spacing w:after="0" w:line="240" w:lineRule="auto"/>
              <w:ind w:left="34"/>
              <w:rPr>
                <w:rFonts w:ascii="Times New Roman" w:eastAsia="Calibri" w:hAnsi="Times New Roman" w:cs="Times New Roman"/>
                <w:sz w:val="20"/>
                <w:szCs w:val="20"/>
              </w:rPr>
            </w:pPr>
            <w:r w:rsidRPr="00A07F29">
              <w:rPr>
                <w:rFonts w:ascii="Times New Roman" w:eastAsia="Calibri" w:hAnsi="Times New Roman" w:cs="Times New Roman"/>
                <w:sz w:val="20"/>
                <w:szCs w:val="20"/>
              </w:rPr>
              <w:t>Apsaimniekošanas plāns s</w:t>
            </w:r>
            <w:r w:rsidR="00A0103C" w:rsidRPr="00A07F29">
              <w:rPr>
                <w:rFonts w:ascii="Times New Roman" w:eastAsia="Calibri" w:hAnsi="Times New Roman" w:cs="Times New Roman"/>
                <w:sz w:val="20"/>
                <w:szCs w:val="20"/>
              </w:rPr>
              <w:t>askaņots ar DAP un apstiprināts</w:t>
            </w:r>
          </w:p>
        </w:tc>
      </w:tr>
      <w:tr w:rsidR="00032A3C" w:rsidRPr="00A07F29" w14:paraId="180830D9" w14:textId="77777777" w:rsidTr="4284A616">
        <w:trPr>
          <w:jc w:val="center"/>
        </w:trPr>
        <w:tc>
          <w:tcPr>
            <w:tcW w:w="846" w:type="dxa"/>
            <w:shd w:val="clear" w:color="auto" w:fill="FFFFFF" w:themeFill="background1"/>
          </w:tcPr>
          <w:p w14:paraId="2963754F" w14:textId="22A93E90" w:rsidR="00032A3C" w:rsidRPr="00A07F29" w:rsidRDefault="00032A3C" w:rsidP="00B57963">
            <w:pPr>
              <w:spacing w:after="0" w:line="240" w:lineRule="auto"/>
              <w:jc w:val="center"/>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A.1.</w:t>
            </w:r>
          </w:p>
        </w:tc>
        <w:tc>
          <w:tcPr>
            <w:tcW w:w="3402" w:type="dxa"/>
            <w:shd w:val="clear" w:color="auto" w:fill="FFFFFF" w:themeFill="background1"/>
          </w:tcPr>
          <w:p w14:paraId="67982523" w14:textId="7D845577" w:rsidR="00032A3C" w:rsidRPr="00A07F29" w:rsidRDefault="00032A3C" w:rsidP="00160C92">
            <w:pPr>
              <w:spacing w:after="0" w:line="240" w:lineRule="auto"/>
              <w:rPr>
                <w:rFonts w:ascii="Times New Roman" w:eastAsia="Calibri" w:hAnsi="Times New Roman" w:cs="Times New Roman"/>
                <w:sz w:val="20"/>
                <w:szCs w:val="20"/>
              </w:rPr>
            </w:pPr>
            <w:r w:rsidRPr="00A07F29">
              <w:rPr>
                <w:rFonts w:ascii="Times New Roman" w:eastAsia="Calibri" w:hAnsi="Times New Roman" w:cs="Times New Roman"/>
                <w:sz w:val="20"/>
                <w:szCs w:val="20"/>
              </w:rPr>
              <w:t>A.1.4.</w:t>
            </w:r>
            <w:r w:rsidR="00F4581B">
              <w:rPr>
                <w:sz w:val="20"/>
                <w:szCs w:val="20"/>
              </w:rPr>
              <w:t> </w:t>
            </w:r>
            <w:r w:rsidR="00160C92" w:rsidRPr="00A07F29">
              <w:rPr>
                <w:rFonts w:ascii="Times New Roman" w:hAnsi="Times New Roman" w:cs="Times New Roman"/>
                <w:sz w:val="20"/>
                <w:szCs w:val="20"/>
              </w:rPr>
              <w:t xml:space="preserve">Daugavas loku uzturēšana </w:t>
            </w:r>
            <w:r w:rsidRPr="00A07F29">
              <w:rPr>
                <w:rFonts w:ascii="Times New Roman" w:eastAsia="Calibri" w:hAnsi="Times New Roman" w:cs="Times New Roman"/>
                <w:sz w:val="20"/>
                <w:szCs w:val="20"/>
              </w:rPr>
              <w:t>UNESCO Pasaules mantojuma Latvijas nacionāl</w:t>
            </w:r>
            <w:r w:rsidR="00160C92" w:rsidRPr="00A07F29">
              <w:rPr>
                <w:rFonts w:ascii="Times New Roman" w:eastAsia="Calibri" w:hAnsi="Times New Roman" w:cs="Times New Roman"/>
                <w:sz w:val="20"/>
                <w:szCs w:val="20"/>
              </w:rPr>
              <w:t xml:space="preserve">ajā sarakstā un </w:t>
            </w:r>
            <w:r w:rsidR="005C7FBA" w:rsidRPr="00A07F29">
              <w:rPr>
                <w:rFonts w:ascii="Times New Roman" w:eastAsia="Calibri" w:hAnsi="Times New Roman" w:cs="Times New Roman"/>
                <w:sz w:val="20"/>
                <w:szCs w:val="20"/>
              </w:rPr>
              <w:t xml:space="preserve">Augšdaugavas </w:t>
            </w:r>
            <w:r w:rsidR="00160C92" w:rsidRPr="00A07F29">
              <w:rPr>
                <w:rFonts w:ascii="Times New Roman" w:eastAsia="Calibri" w:hAnsi="Times New Roman" w:cs="Times New Roman"/>
                <w:sz w:val="20"/>
                <w:szCs w:val="20"/>
              </w:rPr>
              <w:t>nominācijas sagatavošana Pasaules mantojuma sarakstam</w:t>
            </w:r>
          </w:p>
        </w:tc>
        <w:tc>
          <w:tcPr>
            <w:tcW w:w="1701" w:type="dxa"/>
            <w:shd w:val="clear" w:color="auto" w:fill="FFFFFF" w:themeFill="background1"/>
          </w:tcPr>
          <w:p w14:paraId="57A9BBE2" w14:textId="77777777" w:rsidR="00032A3C" w:rsidRPr="00A07F29" w:rsidRDefault="00160C92" w:rsidP="00B57963">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I,</w:t>
            </w:r>
          </w:p>
          <w:p w14:paraId="52D59235" w14:textId="60F21C41" w:rsidR="00160C92" w:rsidRPr="00A07F29" w:rsidRDefault="00160C92" w:rsidP="00B57963">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2027., 2032.</w:t>
            </w:r>
          </w:p>
        </w:tc>
        <w:tc>
          <w:tcPr>
            <w:tcW w:w="1984" w:type="dxa"/>
            <w:shd w:val="clear" w:color="auto" w:fill="FFFFFF" w:themeFill="background1"/>
          </w:tcPr>
          <w:p w14:paraId="6656DF5B" w14:textId="19E04CF9" w:rsidR="00032A3C" w:rsidRPr="00A07F29" w:rsidRDefault="00160C92" w:rsidP="00A23261">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LU</w:t>
            </w:r>
            <w:r w:rsidR="00A23261" w:rsidRPr="00A07F29">
              <w:rPr>
                <w:rFonts w:ascii="Times New Roman" w:eastAsia="Calibri" w:hAnsi="Times New Roman" w:cs="Times New Roman"/>
                <w:sz w:val="20"/>
                <w:szCs w:val="20"/>
              </w:rPr>
              <w:t xml:space="preserve"> Bioloģijas institūts </w:t>
            </w:r>
            <w:r w:rsidRPr="00A07F29">
              <w:rPr>
                <w:rFonts w:ascii="Times New Roman" w:eastAsia="Calibri" w:hAnsi="Times New Roman" w:cs="Times New Roman"/>
                <w:sz w:val="20"/>
                <w:szCs w:val="20"/>
              </w:rPr>
              <w:t xml:space="preserve">sadarbībā ar </w:t>
            </w:r>
            <w:r w:rsidR="00A23261" w:rsidRPr="00A07F29">
              <w:rPr>
                <w:rFonts w:ascii="Times New Roman" w:eastAsia="Calibri" w:hAnsi="Times New Roman" w:cs="Times New Roman"/>
                <w:sz w:val="20"/>
                <w:szCs w:val="20"/>
              </w:rPr>
              <w:t>LZA</w:t>
            </w:r>
            <w:r w:rsidR="00CD1E48" w:rsidRPr="00A07F29">
              <w:rPr>
                <w:rFonts w:ascii="Times New Roman" w:eastAsia="Calibri" w:hAnsi="Times New Roman" w:cs="Times New Roman"/>
                <w:sz w:val="20"/>
                <w:szCs w:val="20"/>
              </w:rPr>
              <w:t xml:space="preserve"> un </w:t>
            </w:r>
            <w:r w:rsidRPr="00A07F29">
              <w:rPr>
                <w:rFonts w:ascii="Times New Roman" w:eastAsia="Calibri" w:hAnsi="Times New Roman" w:cs="Times New Roman"/>
                <w:sz w:val="20"/>
                <w:szCs w:val="20"/>
              </w:rPr>
              <w:t>pašvaldībām</w:t>
            </w:r>
          </w:p>
        </w:tc>
        <w:tc>
          <w:tcPr>
            <w:tcW w:w="1560" w:type="dxa"/>
            <w:shd w:val="clear" w:color="auto" w:fill="FFFFFF" w:themeFill="background1"/>
          </w:tcPr>
          <w:p w14:paraId="2DC399AD" w14:textId="77777777" w:rsidR="00032A3C" w:rsidRPr="00A07F29" w:rsidRDefault="00032A3C" w:rsidP="00B57963">
            <w:pPr>
              <w:spacing w:after="0" w:line="240" w:lineRule="auto"/>
              <w:ind w:left="34"/>
              <w:jc w:val="both"/>
              <w:rPr>
                <w:rFonts w:ascii="Times New Roman" w:eastAsia="Calibri" w:hAnsi="Times New Roman" w:cs="Times New Roman"/>
                <w:sz w:val="20"/>
                <w:szCs w:val="20"/>
              </w:rPr>
            </w:pPr>
          </w:p>
        </w:tc>
        <w:tc>
          <w:tcPr>
            <w:tcW w:w="1984" w:type="dxa"/>
            <w:shd w:val="clear" w:color="auto" w:fill="FFFFFF" w:themeFill="background1"/>
          </w:tcPr>
          <w:p w14:paraId="43EB3FBD" w14:textId="60B58129" w:rsidR="00032A3C" w:rsidRPr="00A07F29" w:rsidRDefault="00032A3C" w:rsidP="00A23261">
            <w:pPr>
              <w:spacing w:after="0" w:line="240" w:lineRule="auto"/>
              <w:jc w:val="both"/>
              <w:rPr>
                <w:rFonts w:ascii="Times New Roman" w:eastAsia="Calibri" w:hAnsi="Times New Roman" w:cs="Times New Roman"/>
                <w:sz w:val="20"/>
                <w:szCs w:val="20"/>
              </w:rPr>
            </w:pPr>
          </w:p>
        </w:tc>
        <w:tc>
          <w:tcPr>
            <w:tcW w:w="3686" w:type="dxa"/>
            <w:shd w:val="clear" w:color="auto" w:fill="FFFFFF" w:themeFill="background1"/>
          </w:tcPr>
          <w:p w14:paraId="32F910D9" w14:textId="5A42D764" w:rsidR="00032A3C" w:rsidRPr="00A07F29" w:rsidRDefault="00CD1E48" w:rsidP="00CD1E48">
            <w:pPr>
              <w:spacing w:after="0" w:line="240" w:lineRule="auto"/>
              <w:ind w:left="34"/>
              <w:rPr>
                <w:rFonts w:ascii="Times New Roman" w:eastAsia="Calibri" w:hAnsi="Times New Roman" w:cs="Times New Roman"/>
                <w:sz w:val="20"/>
                <w:szCs w:val="20"/>
              </w:rPr>
            </w:pPr>
            <w:r w:rsidRPr="00A07F29">
              <w:rPr>
                <w:rFonts w:ascii="Times New Roman" w:eastAsia="Calibri" w:hAnsi="Times New Roman" w:cs="Times New Roman"/>
                <w:sz w:val="20"/>
                <w:szCs w:val="20"/>
              </w:rPr>
              <w:t xml:space="preserve">Sagatavots un iesniegts ziņojums reizi </w:t>
            </w:r>
            <w:r w:rsidR="00F4581B">
              <w:rPr>
                <w:rFonts w:ascii="Times New Roman" w:eastAsia="Calibri" w:hAnsi="Times New Roman" w:cs="Times New Roman"/>
                <w:sz w:val="20"/>
                <w:szCs w:val="20"/>
              </w:rPr>
              <w:t>piecos</w:t>
            </w:r>
            <w:r w:rsidRPr="00A07F29">
              <w:rPr>
                <w:rFonts w:ascii="Times New Roman" w:eastAsia="Calibri" w:hAnsi="Times New Roman" w:cs="Times New Roman"/>
                <w:sz w:val="20"/>
                <w:szCs w:val="20"/>
              </w:rPr>
              <w:t xml:space="preserve"> gados. Sagatavota Augšdaugavas nominācija Pasaules mantojuma sarakstam.</w:t>
            </w:r>
          </w:p>
        </w:tc>
      </w:tr>
      <w:tr w:rsidR="00B57963" w:rsidRPr="00A07F29" w14:paraId="031F395B" w14:textId="13504A6C" w:rsidTr="4284A616">
        <w:trPr>
          <w:jc w:val="center"/>
        </w:trPr>
        <w:tc>
          <w:tcPr>
            <w:tcW w:w="846" w:type="dxa"/>
            <w:shd w:val="clear" w:color="auto" w:fill="FFFFFF" w:themeFill="background1"/>
          </w:tcPr>
          <w:p w14:paraId="67D4F355" w14:textId="18F1C6DF" w:rsidR="00B57963" w:rsidRPr="00A07F29" w:rsidRDefault="00B57963" w:rsidP="00B57963">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bCs/>
                <w:sz w:val="20"/>
                <w:szCs w:val="20"/>
              </w:rPr>
              <w:t>A.2.</w:t>
            </w:r>
          </w:p>
        </w:tc>
        <w:tc>
          <w:tcPr>
            <w:tcW w:w="3402" w:type="dxa"/>
            <w:shd w:val="clear" w:color="auto" w:fill="FFFFFF" w:themeFill="background1"/>
            <w:hideMark/>
          </w:tcPr>
          <w:p w14:paraId="4C60413E" w14:textId="1F2E27DC" w:rsidR="00B57963" w:rsidRPr="00A07F29" w:rsidRDefault="00B57963" w:rsidP="007A3FDE">
            <w:pPr>
              <w:spacing w:after="0" w:line="240" w:lineRule="auto"/>
              <w:rPr>
                <w:rFonts w:ascii="Times New Roman" w:eastAsia="Calibri" w:hAnsi="Times New Roman" w:cs="Times New Roman"/>
                <w:sz w:val="20"/>
                <w:szCs w:val="20"/>
              </w:rPr>
            </w:pPr>
            <w:r w:rsidRPr="00A07F29">
              <w:rPr>
                <w:rFonts w:ascii="Times New Roman" w:eastAsia="Calibri" w:hAnsi="Times New Roman" w:cs="Times New Roman"/>
                <w:sz w:val="20"/>
                <w:szCs w:val="20"/>
              </w:rPr>
              <w:t>A.2.1.</w:t>
            </w:r>
            <w:r w:rsidR="00C64E6E">
              <w:rPr>
                <w:rFonts w:ascii="Times New Roman" w:eastAsia="Calibri" w:hAnsi="Times New Roman" w:cs="Times New Roman"/>
                <w:sz w:val="20"/>
                <w:szCs w:val="20"/>
              </w:rPr>
              <w:t> </w:t>
            </w:r>
            <w:r w:rsidRPr="00A07F29">
              <w:rPr>
                <w:rFonts w:ascii="Times New Roman" w:eastAsia="Calibri" w:hAnsi="Times New Roman" w:cs="Times New Roman"/>
                <w:sz w:val="20"/>
                <w:szCs w:val="20"/>
              </w:rPr>
              <w:t xml:space="preserve">Informatīvo </w:t>
            </w:r>
            <w:r w:rsidR="007A3FDE" w:rsidRPr="00A07F29">
              <w:rPr>
                <w:rFonts w:ascii="Times New Roman" w:eastAsia="Calibri" w:hAnsi="Times New Roman" w:cs="Times New Roman"/>
                <w:sz w:val="20"/>
                <w:szCs w:val="20"/>
              </w:rPr>
              <w:t xml:space="preserve">robežzīmju </w:t>
            </w:r>
            <w:r w:rsidRPr="00A07F29">
              <w:rPr>
                <w:rFonts w:ascii="Times New Roman" w:eastAsia="Calibri" w:hAnsi="Times New Roman" w:cs="Times New Roman"/>
                <w:sz w:val="20"/>
                <w:szCs w:val="20"/>
              </w:rPr>
              <w:t>(“ozollapa”) izgatavošana, izvietošana un uzturēšana</w:t>
            </w:r>
          </w:p>
        </w:tc>
        <w:tc>
          <w:tcPr>
            <w:tcW w:w="1701" w:type="dxa"/>
            <w:shd w:val="clear" w:color="auto" w:fill="FFFFFF" w:themeFill="background1"/>
            <w:hideMark/>
          </w:tcPr>
          <w:p w14:paraId="20B3F8B3" w14:textId="77777777" w:rsidR="00B57963" w:rsidRPr="00A07F29" w:rsidRDefault="00B57963" w:rsidP="00B57963">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II,</w:t>
            </w:r>
          </w:p>
          <w:p w14:paraId="453879FD" w14:textId="10E9925B" w:rsidR="00B57963" w:rsidRPr="00A07F29" w:rsidRDefault="00B57963" w:rsidP="00B57963">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bCs/>
                <w:sz w:val="20"/>
                <w:szCs w:val="20"/>
              </w:rPr>
              <w:t xml:space="preserve">vienreizējs pasākums, uzturēšana – </w:t>
            </w:r>
            <w:r w:rsidR="00EF10FF" w:rsidRPr="00A07F29">
              <w:rPr>
                <w:rFonts w:ascii="Times New Roman" w:eastAsia="Calibri" w:hAnsi="Times New Roman" w:cs="Times New Roman"/>
                <w:bCs/>
                <w:sz w:val="20"/>
                <w:szCs w:val="20"/>
              </w:rPr>
              <w:t>visu plāna periodu</w:t>
            </w:r>
          </w:p>
        </w:tc>
        <w:tc>
          <w:tcPr>
            <w:tcW w:w="1984" w:type="dxa"/>
            <w:shd w:val="clear" w:color="auto" w:fill="FFFFFF" w:themeFill="background1"/>
          </w:tcPr>
          <w:p w14:paraId="1EBED558" w14:textId="56B0F86C" w:rsidR="00B57963" w:rsidRPr="00A07F29" w:rsidRDefault="00B57963" w:rsidP="00B57963">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DAP sadarbībā ar pašvaldībām</w:t>
            </w:r>
          </w:p>
        </w:tc>
        <w:tc>
          <w:tcPr>
            <w:tcW w:w="1560" w:type="dxa"/>
            <w:shd w:val="clear" w:color="auto" w:fill="FFFFFF" w:themeFill="background1"/>
          </w:tcPr>
          <w:p w14:paraId="378B9A4E" w14:textId="383147DA" w:rsidR="00B57963" w:rsidRPr="00A07F29" w:rsidRDefault="00E507CC" w:rsidP="00B57963">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 xml:space="preserve">Ik gadu – 1000 </w:t>
            </w:r>
            <w:proofErr w:type="spellStart"/>
            <w:r w:rsidRPr="00A07F29">
              <w:rPr>
                <w:rFonts w:ascii="Times New Roman" w:eastAsia="Calibri" w:hAnsi="Times New Roman" w:cs="Times New Roman"/>
                <w:sz w:val="20"/>
                <w:szCs w:val="20"/>
              </w:rPr>
              <w:t>euro</w:t>
            </w:r>
            <w:proofErr w:type="spellEnd"/>
          </w:p>
        </w:tc>
        <w:tc>
          <w:tcPr>
            <w:tcW w:w="1984" w:type="dxa"/>
            <w:shd w:val="clear" w:color="auto" w:fill="FFFFFF" w:themeFill="background1"/>
          </w:tcPr>
          <w:p w14:paraId="5C265504" w14:textId="11EDB32E" w:rsidR="00B57963" w:rsidRPr="00A07F29" w:rsidRDefault="00B57963" w:rsidP="00B57963">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DAP, projektu finansējums</w:t>
            </w:r>
          </w:p>
        </w:tc>
        <w:tc>
          <w:tcPr>
            <w:tcW w:w="3686" w:type="dxa"/>
            <w:shd w:val="clear" w:color="auto" w:fill="FFFFFF" w:themeFill="background1"/>
          </w:tcPr>
          <w:p w14:paraId="0A43DFFD" w14:textId="27528BAD" w:rsidR="00B57963" w:rsidRPr="00A07F29" w:rsidRDefault="00B57963" w:rsidP="00BC3DCA">
            <w:pPr>
              <w:spacing w:after="0" w:line="240" w:lineRule="auto"/>
              <w:ind w:left="34"/>
              <w:rPr>
                <w:rFonts w:ascii="Times New Roman" w:eastAsia="Calibri" w:hAnsi="Times New Roman" w:cs="Times New Roman"/>
                <w:bCs/>
                <w:sz w:val="20"/>
                <w:szCs w:val="20"/>
              </w:rPr>
            </w:pPr>
            <w:r w:rsidRPr="00A07F29">
              <w:rPr>
                <w:rFonts w:ascii="Times New Roman" w:eastAsia="Calibri" w:hAnsi="Times New Roman" w:cs="Times New Roman"/>
                <w:sz w:val="20"/>
                <w:szCs w:val="20"/>
              </w:rPr>
              <w:t xml:space="preserve">Izvietotas </w:t>
            </w:r>
            <w:r w:rsidR="001860F7" w:rsidRPr="00A07F29">
              <w:rPr>
                <w:rFonts w:ascii="Times New Roman" w:eastAsia="Calibri" w:hAnsi="Times New Roman" w:cs="Times New Roman"/>
                <w:sz w:val="20"/>
                <w:szCs w:val="20"/>
              </w:rPr>
              <w:t>1</w:t>
            </w:r>
            <w:r w:rsidR="00BC3DCA" w:rsidRPr="00A07F29">
              <w:rPr>
                <w:rFonts w:ascii="Times New Roman" w:eastAsia="Calibri" w:hAnsi="Times New Roman" w:cs="Times New Roman"/>
                <w:sz w:val="20"/>
                <w:szCs w:val="20"/>
              </w:rPr>
              <w:t>4</w:t>
            </w:r>
            <w:r w:rsidRPr="00A07F29">
              <w:rPr>
                <w:rFonts w:ascii="Times New Roman" w:eastAsia="Calibri" w:hAnsi="Times New Roman" w:cs="Times New Roman"/>
                <w:sz w:val="20"/>
                <w:szCs w:val="20"/>
              </w:rPr>
              <w:t xml:space="preserve"> jaunas robežzīmes, uzturētas </w:t>
            </w:r>
            <w:r w:rsidR="00BC3DCA" w:rsidRPr="00A07F29">
              <w:rPr>
                <w:rFonts w:ascii="Times New Roman" w:eastAsia="Calibri" w:hAnsi="Times New Roman" w:cs="Times New Roman"/>
                <w:sz w:val="20"/>
                <w:szCs w:val="20"/>
              </w:rPr>
              <w:t>30</w:t>
            </w:r>
            <w:r w:rsidRPr="00A07F29">
              <w:rPr>
                <w:rFonts w:ascii="Times New Roman" w:eastAsia="Calibri" w:hAnsi="Times New Roman" w:cs="Times New Roman"/>
                <w:sz w:val="20"/>
                <w:szCs w:val="20"/>
              </w:rPr>
              <w:t xml:space="preserve"> </w:t>
            </w:r>
            <w:r w:rsidR="00BC3DCA" w:rsidRPr="00A07F29">
              <w:rPr>
                <w:rFonts w:ascii="Times New Roman" w:eastAsia="Calibri" w:hAnsi="Times New Roman" w:cs="Times New Roman"/>
                <w:sz w:val="20"/>
                <w:szCs w:val="20"/>
              </w:rPr>
              <w:t xml:space="preserve">esošās </w:t>
            </w:r>
            <w:r w:rsidRPr="00A07F29">
              <w:rPr>
                <w:rFonts w:ascii="Times New Roman" w:eastAsia="Calibri" w:hAnsi="Times New Roman" w:cs="Times New Roman"/>
                <w:sz w:val="20"/>
                <w:szCs w:val="20"/>
              </w:rPr>
              <w:t xml:space="preserve">robežzīmes, t.sk. </w:t>
            </w:r>
            <w:r w:rsidR="00C64E6E">
              <w:rPr>
                <w:rFonts w:ascii="Times New Roman" w:eastAsia="Calibri" w:hAnsi="Times New Roman" w:cs="Times New Roman"/>
                <w:sz w:val="20"/>
                <w:szCs w:val="20"/>
              </w:rPr>
              <w:t>piecas</w:t>
            </w:r>
            <w:r w:rsidR="00E645D2" w:rsidRPr="00A07F29">
              <w:rPr>
                <w:rFonts w:ascii="Times New Roman" w:eastAsia="Calibri" w:hAnsi="Times New Roman" w:cs="Times New Roman"/>
                <w:sz w:val="20"/>
                <w:szCs w:val="20"/>
              </w:rPr>
              <w:t xml:space="preserve"> </w:t>
            </w:r>
            <w:r w:rsidR="00A0103C" w:rsidRPr="00A07F29">
              <w:rPr>
                <w:rFonts w:ascii="Times New Roman" w:eastAsia="Calibri" w:hAnsi="Times New Roman" w:cs="Times New Roman"/>
                <w:sz w:val="20"/>
                <w:szCs w:val="20"/>
              </w:rPr>
              <w:t>lielās</w:t>
            </w:r>
          </w:p>
        </w:tc>
      </w:tr>
      <w:tr w:rsidR="00B57963" w:rsidRPr="00A07F29" w14:paraId="1EAEB9E1" w14:textId="68F49CB6" w:rsidTr="4284A616">
        <w:trPr>
          <w:jc w:val="center"/>
        </w:trPr>
        <w:tc>
          <w:tcPr>
            <w:tcW w:w="846" w:type="dxa"/>
            <w:shd w:val="clear" w:color="auto" w:fill="FFFFFF" w:themeFill="background1"/>
          </w:tcPr>
          <w:p w14:paraId="4D8208C9" w14:textId="0E670B97" w:rsidR="00B57963" w:rsidRPr="00A07F29" w:rsidRDefault="00B57963" w:rsidP="00B57963">
            <w:pPr>
              <w:spacing w:after="0" w:line="240" w:lineRule="auto"/>
              <w:jc w:val="center"/>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A.2.</w:t>
            </w:r>
          </w:p>
        </w:tc>
        <w:tc>
          <w:tcPr>
            <w:tcW w:w="3402" w:type="dxa"/>
            <w:shd w:val="clear" w:color="auto" w:fill="FFFFFF" w:themeFill="background1"/>
            <w:hideMark/>
          </w:tcPr>
          <w:p w14:paraId="2BBF2956" w14:textId="68CA604C" w:rsidR="00B57963" w:rsidRPr="00A07F29" w:rsidRDefault="00B57963" w:rsidP="00315E9F">
            <w:pPr>
              <w:spacing w:after="0" w:line="240" w:lineRule="auto"/>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A.2.2.</w:t>
            </w:r>
            <w:r w:rsidR="00C64E6E">
              <w:rPr>
                <w:rFonts w:ascii="Times New Roman" w:eastAsia="Calibri" w:hAnsi="Times New Roman" w:cs="Times New Roman"/>
                <w:bCs/>
                <w:sz w:val="20"/>
                <w:szCs w:val="20"/>
              </w:rPr>
              <w:t> </w:t>
            </w:r>
            <w:r w:rsidRPr="00A07F29">
              <w:rPr>
                <w:rFonts w:ascii="Times New Roman" w:eastAsia="Calibri" w:hAnsi="Times New Roman" w:cs="Times New Roman"/>
                <w:bCs/>
                <w:sz w:val="20"/>
                <w:szCs w:val="20"/>
              </w:rPr>
              <w:t>AAA “Augšdaugava” ārējās robežas uzmērīšana</w:t>
            </w:r>
          </w:p>
        </w:tc>
        <w:tc>
          <w:tcPr>
            <w:tcW w:w="1701" w:type="dxa"/>
            <w:shd w:val="clear" w:color="auto" w:fill="FFFFFF" w:themeFill="background1"/>
            <w:hideMark/>
          </w:tcPr>
          <w:p w14:paraId="375182DA" w14:textId="77777777" w:rsidR="00B57963" w:rsidRPr="00A07F29" w:rsidRDefault="00B57963" w:rsidP="00B57963">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II,</w:t>
            </w:r>
          </w:p>
          <w:p w14:paraId="52532529" w14:textId="43218C94" w:rsidR="00B57963" w:rsidRPr="00A07F29" w:rsidRDefault="00B57963" w:rsidP="00B57963">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bCs/>
                <w:sz w:val="20"/>
                <w:szCs w:val="20"/>
              </w:rPr>
              <w:t>vienreizējs pasākums</w:t>
            </w:r>
          </w:p>
        </w:tc>
        <w:tc>
          <w:tcPr>
            <w:tcW w:w="1984" w:type="dxa"/>
            <w:shd w:val="clear" w:color="auto" w:fill="FFFFFF" w:themeFill="background1"/>
          </w:tcPr>
          <w:p w14:paraId="41330E36" w14:textId="5E3736CD" w:rsidR="00B57963" w:rsidRPr="00A07F29" w:rsidRDefault="00B57963" w:rsidP="00B57963">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DAP</w:t>
            </w:r>
          </w:p>
        </w:tc>
        <w:tc>
          <w:tcPr>
            <w:tcW w:w="1560" w:type="dxa"/>
            <w:shd w:val="clear" w:color="auto" w:fill="FFFFFF" w:themeFill="background1"/>
          </w:tcPr>
          <w:p w14:paraId="28CDB2C8" w14:textId="77777777" w:rsidR="00B57963" w:rsidRPr="00A07F29" w:rsidRDefault="00B57963" w:rsidP="00B57963">
            <w:pPr>
              <w:spacing w:after="0" w:line="240" w:lineRule="auto"/>
              <w:ind w:left="34"/>
              <w:jc w:val="both"/>
              <w:rPr>
                <w:rFonts w:ascii="Times New Roman" w:hAnsi="Times New Roman" w:cs="Times New Roman"/>
                <w:sz w:val="20"/>
                <w:szCs w:val="20"/>
              </w:rPr>
            </w:pPr>
          </w:p>
        </w:tc>
        <w:tc>
          <w:tcPr>
            <w:tcW w:w="1984" w:type="dxa"/>
            <w:shd w:val="clear" w:color="auto" w:fill="FFFFFF" w:themeFill="background1"/>
          </w:tcPr>
          <w:p w14:paraId="03C65D4F" w14:textId="4332DD87" w:rsidR="00B57963" w:rsidRPr="00A07F29" w:rsidRDefault="00B57963" w:rsidP="00B57963">
            <w:pPr>
              <w:spacing w:after="0" w:line="240" w:lineRule="auto"/>
              <w:ind w:left="34"/>
              <w:jc w:val="both"/>
              <w:rPr>
                <w:rFonts w:ascii="Times New Roman" w:eastAsia="Calibri" w:hAnsi="Times New Roman" w:cs="Times New Roman"/>
                <w:sz w:val="20"/>
                <w:szCs w:val="20"/>
              </w:rPr>
            </w:pPr>
            <w:r w:rsidRPr="00A07F29">
              <w:rPr>
                <w:rFonts w:ascii="Times New Roman" w:hAnsi="Times New Roman" w:cs="Times New Roman"/>
                <w:sz w:val="20"/>
                <w:szCs w:val="20"/>
              </w:rPr>
              <w:t>DAP</w:t>
            </w:r>
            <w:r w:rsidR="00BD349A" w:rsidRPr="00A07F29">
              <w:rPr>
                <w:rFonts w:ascii="Times New Roman" w:hAnsi="Times New Roman" w:cs="Times New Roman"/>
                <w:sz w:val="20"/>
                <w:szCs w:val="20"/>
              </w:rPr>
              <w:t>, ja pieejams finansējums</w:t>
            </w:r>
            <w:r w:rsidRPr="00A07F29">
              <w:rPr>
                <w:rFonts w:ascii="Times New Roman" w:hAnsi="Times New Roman" w:cs="Times New Roman"/>
                <w:sz w:val="20"/>
                <w:szCs w:val="20"/>
              </w:rPr>
              <w:t xml:space="preserve"> </w:t>
            </w:r>
          </w:p>
        </w:tc>
        <w:tc>
          <w:tcPr>
            <w:tcW w:w="3686" w:type="dxa"/>
            <w:shd w:val="clear" w:color="auto" w:fill="FFFFFF" w:themeFill="background1"/>
          </w:tcPr>
          <w:p w14:paraId="0B2CEDFA" w14:textId="45986E25" w:rsidR="00B57963" w:rsidRPr="00A07F29" w:rsidRDefault="00B57963" w:rsidP="00315E9F">
            <w:pPr>
              <w:spacing w:after="0" w:line="240" w:lineRule="auto"/>
              <w:ind w:left="34"/>
              <w:rPr>
                <w:rFonts w:ascii="Times New Roman" w:hAnsi="Times New Roman" w:cs="Times New Roman"/>
                <w:sz w:val="20"/>
                <w:szCs w:val="20"/>
              </w:rPr>
            </w:pPr>
            <w:r w:rsidRPr="00A07F29">
              <w:rPr>
                <w:rFonts w:ascii="Times New Roman" w:eastAsia="Calibri" w:hAnsi="Times New Roman" w:cs="Times New Roman"/>
                <w:sz w:val="20"/>
                <w:szCs w:val="20"/>
              </w:rPr>
              <w:t>AAA “Augšdaugava” robeža uzmērīta, dati reģistrēti</w:t>
            </w:r>
          </w:p>
        </w:tc>
      </w:tr>
      <w:tr w:rsidR="0E6B778D" w:rsidRPr="00A07F29" w14:paraId="5BB2F958" w14:textId="77777777" w:rsidTr="4284A616">
        <w:trPr>
          <w:jc w:val="center"/>
        </w:trPr>
        <w:tc>
          <w:tcPr>
            <w:tcW w:w="846" w:type="dxa"/>
            <w:shd w:val="clear" w:color="auto" w:fill="FFFFFF" w:themeFill="background1"/>
          </w:tcPr>
          <w:p w14:paraId="25CA314F" w14:textId="7B71FDDD" w:rsidR="0E6B778D" w:rsidRPr="00A07F29" w:rsidRDefault="0E6B778D" w:rsidP="0E6B778D">
            <w:pPr>
              <w:spacing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A.2.</w:t>
            </w:r>
          </w:p>
        </w:tc>
        <w:tc>
          <w:tcPr>
            <w:tcW w:w="3402" w:type="dxa"/>
            <w:shd w:val="clear" w:color="auto" w:fill="FFFFFF" w:themeFill="background1"/>
            <w:hideMark/>
          </w:tcPr>
          <w:p w14:paraId="2141FD9E" w14:textId="0285E36F" w:rsidR="0E6B778D" w:rsidRPr="00A07F29" w:rsidRDefault="0E6B778D" w:rsidP="0E6B778D">
            <w:pPr>
              <w:spacing w:line="240" w:lineRule="auto"/>
              <w:rPr>
                <w:rFonts w:ascii="Times New Roman" w:eastAsia="Calibri" w:hAnsi="Times New Roman" w:cs="Times New Roman"/>
                <w:sz w:val="20"/>
                <w:szCs w:val="20"/>
              </w:rPr>
            </w:pPr>
            <w:r w:rsidRPr="00A07F29">
              <w:rPr>
                <w:rFonts w:ascii="Times New Roman" w:eastAsia="Calibri" w:hAnsi="Times New Roman" w:cs="Times New Roman"/>
                <w:sz w:val="20"/>
                <w:szCs w:val="20"/>
              </w:rPr>
              <w:t>A.2.3.</w:t>
            </w:r>
            <w:r w:rsidR="00193688">
              <w:rPr>
                <w:rFonts w:ascii="Times New Roman" w:eastAsia="Calibri" w:hAnsi="Times New Roman" w:cs="Times New Roman"/>
                <w:sz w:val="20"/>
                <w:szCs w:val="20"/>
              </w:rPr>
              <w:t> </w:t>
            </w:r>
            <w:r w:rsidRPr="00A07F29">
              <w:rPr>
                <w:rFonts w:ascii="Times New Roman" w:eastAsia="Calibri" w:hAnsi="Times New Roman" w:cs="Times New Roman"/>
                <w:sz w:val="20"/>
                <w:szCs w:val="20"/>
              </w:rPr>
              <w:t>Robežas joslas ierīkošana un uzturēšana.</w:t>
            </w:r>
          </w:p>
        </w:tc>
        <w:tc>
          <w:tcPr>
            <w:tcW w:w="1701" w:type="dxa"/>
            <w:shd w:val="clear" w:color="auto" w:fill="FFFFFF" w:themeFill="background1"/>
            <w:hideMark/>
          </w:tcPr>
          <w:p w14:paraId="466C5C26" w14:textId="11695DCF" w:rsidR="0E6B778D" w:rsidRPr="00A07F29" w:rsidRDefault="0E6B778D" w:rsidP="0E6B778D">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I,</w:t>
            </w:r>
          </w:p>
          <w:p w14:paraId="20F362AE" w14:textId="44D799A4" w:rsidR="0E6B778D" w:rsidRPr="00A07F29" w:rsidRDefault="0E6B778D" w:rsidP="0E6B778D">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vienreizējs pasākums, uzturēšana – visu plāna periodu</w:t>
            </w:r>
          </w:p>
        </w:tc>
        <w:tc>
          <w:tcPr>
            <w:tcW w:w="1984" w:type="dxa"/>
            <w:shd w:val="clear" w:color="auto" w:fill="FFFFFF" w:themeFill="background1"/>
          </w:tcPr>
          <w:p w14:paraId="70B6F950" w14:textId="780D5E25" w:rsidR="0E6B778D" w:rsidRPr="00A07F29" w:rsidRDefault="0E6B778D" w:rsidP="0E6B778D">
            <w:pPr>
              <w:spacing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Valsts robežsardze</w:t>
            </w:r>
          </w:p>
        </w:tc>
        <w:tc>
          <w:tcPr>
            <w:tcW w:w="1560" w:type="dxa"/>
            <w:shd w:val="clear" w:color="auto" w:fill="FFFFFF" w:themeFill="background1"/>
          </w:tcPr>
          <w:p w14:paraId="5C25A48E" w14:textId="34E49AF4" w:rsidR="0E6B778D" w:rsidRPr="00A07F29" w:rsidRDefault="0E6B778D" w:rsidP="0E6B778D">
            <w:pPr>
              <w:spacing w:line="240" w:lineRule="auto"/>
              <w:jc w:val="both"/>
              <w:rPr>
                <w:rFonts w:ascii="Times New Roman" w:hAnsi="Times New Roman" w:cs="Times New Roman"/>
                <w:sz w:val="20"/>
                <w:szCs w:val="20"/>
              </w:rPr>
            </w:pPr>
            <w:r w:rsidRPr="00A07F29">
              <w:rPr>
                <w:rFonts w:ascii="Times New Roman" w:hAnsi="Times New Roman" w:cs="Times New Roman"/>
                <w:sz w:val="20"/>
                <w:szCs w:val="20"/>
              </w:rPr>
              <w:t xml:space="preserve">Atbilstoši </w:t>
            </w:r>
            <w:r w:rsidR="00A0103C" w:rsidRPr="00A07F29">
              <w:rPr>
                <w:rFonts w:ascii="Times New Roman" w:hAnsi="Times New Roman" w:cs="Times New Roman"/>
                <w:sz w:val="20"/>
                <w:szCs w:val="20"/>
              </w:rPr>
              <w:t>tehniskajam projektam</w:t>
            </w:r>
            <w:r w:rsidR="00C2585A" w:rsidRPr="00A07F29">
              <w:rPr>
                <w:rFonts w:ascii="Times New Roman" w:hAnsi="Times New Roman" w:cs="Times New Roman"/>
                <w:sz w:val="20"/>
                <w:szCs w:val="20"/>
              </w:rPr>
              <w:t>, nav nosakāmas</w:t>
            </w:r>
          </w:p>
        </w:tc>
        <w:tc>
          <w:tcPr>
            <w:tcW w:w="1984" w:type="dxa"/>
            <w:shd w:val="clear" w:color="auto" w:fill="FFFFFF" w:themeFill="background1"/>
          </w:tcPr>
          <w:p w14:paraId="1EAF9990" w14:textId="124098E8" w:rsidR="0E6B778D" w:rsidRPr="00A07F29" w:rsidRDefault="0E6B778D" w:rsidP="0E6B778D">
            <w:pPr>
              <w:spacing w:line="240" w:lineRule="auto"/>
              <w:jc w:val="both"/>
              <w:rPr>
                <w:rFonts w:ascii="Times New Roman" w:hAnsi="Times New Roman" w:cs="Times New Roman"/>
                <w:sz w:val="20"/>
                <w:szCs w:val="20"/>
              </w:rPr>
            </w:pPr>
            <w:r w:rsidRPr="00A07F29">
              <w:rPr>
                <w:rFonts w:ascii="Times New Roman" w:hAnsi="Times New Roman" w:cs="Times New Roman"/>
                <w:sz w:val="20"/>
                <w:szCs w:val="20"/>
              </w:rPr>
              <w:t>Robežas joslas ierīkošanai piešķirtais finansējums.</w:t>
            </w:r>
          </w:p>
        </w:tc>
        <w:tc>
          <w:tcPr>
            <w:tcW w:w="3686" w:type="dxa"/>
            <w:shd w:val="clear" w:color="auto" w:fill="FFFFFF" w:themeFill="background1"/>
          </w:tcPr>
          <w:p w14:paraId="7CF60C79" w14:textId="34707527" w:rsidR="0E6B778D" w:rsidRPr="00A07F29" w:rsidRDefault="0E6B778D" w:rsidP="0E6B778D">
            <w:pPr>
              <w:spacing w:line="240" w:lineRule="auto"/>
              <w:rPr>
                <w:rFonts w:ascii="Times New Roman" w:eastAsia="Calibri" w:hAnsi="Times New Roman" w:cs="Times New Roman"/>
                <w:sz w:val="20"/>
                <w:szCs w:val="20"/>
              </w:rPr>
            </w:pPr>
            <w:r w:rsidRPr="00A07F29">
              <w:rPr>
                <w:rFonts w:ascii="Times New Roman" w:eastAsia="Calibri" w:hAnsi="Times New Roman" w:cs="Times New Roman"/>
                <w:sz w:val="20"/>
                <w:szCs w:val="20"/>
              </w:rPr>
              <w:t>Valsts robežas josla ierīkota un uzturēta atbilstoši n</w:t>
            </w:r>
            <w:r w:rsidR="00A4590E" w:rsidRPr="00A07F29">
              <w:rPr>
                <w:rFonts w:ascii="Times New Roman" w:eastAsia="Calibri" w:hAnsi="Times New Roman" w:cs="Times New Roman"/>
                <w:sz w:val="20"/>
                <w:szCs w:val="20"/>
              </w:rPr>
              <w:t>ormatīvu prasībām, iespēju robež</w:t>
            </w:r>
            <w:r w:rsidRPr="00A07F29">
              <w:rPr>
                <w:rFonts w:ascii="Times New Roman" w:eastAsia="Calibri" w:hAnsi="Times New Roman" w:cs="Times New Roman"/>
                <w:sz w:val="20"/>
                <w:szCs w:val="20"/>
              </w:rPr>
              <w:t>ās saglabāti dabiski robežupju krastmalu posmi, dabiski izveidojušās dzīv</w:t>
            </w:r>
            <w:r w:rsidR="00A0103C" w:rsidRPr="00A07F29">
              <w:rPr>
                <w:rFonts w:ascii="Times New Roman" w:eastAsia="Calibri" w:hAnsi="Times New Roman" w:cs="Times New Roman"/>
                <w:sz w:val="20"/>
                <w:szCs w:val="20"/>
              </w:rPr>
              <w:t>nieku pārejās nav ierīkots žogs</w:t>
            </w:r>
            <w:r w:rsidR="00BD349A" w:rsidRPr="00A07F29">
              <w:rPr>
                <w:rFonts w:ascii="Times New Roman" w:eastAsia="Calibri" w:hAnsi="Times New Roman" w:cs="Times New Roman"/>
                <w:sz w:val="20"/>
                <w:szCs w:val="20"/>
              </w:rPr>
              <w:t xml:space="preserve"> vai žogs izveidots tā, ka ir iespējams </w:t>
            </w:r>
            <w:r w:rsidR="00F31129" w:rsidRPr="00A07F29">
              <w:rPr>
                <w:rFonts w:ascii="Times New Roman" w:eastAsia="Calibri" w:hAnsi="Times New Roman" w:cs="Times New Roman"/>
                <w:sz w:val="20"/>
                <w:szCs w:val="20"/>
              </w:rPr>
              <w:lastRenderedPageBreak/>
              <w:t>nodrošināt dzīvnieku pārvietošanos pār robežām</w:t>
            </w:r>
          </w:p>
        </w:tc>
      </w:tr>
      <w:tr w:rsidR="00B57963" w:rsidRPr="00A07F29" w14:paraId="1D13102E" w14:textId="55B24CF6" w:rsidTr="4284A616">
        <w:trPr>
          <w:jc w:val="center"/>
        </w:trPr>
        <w:tc>
          <w:tcPr>
            <w:tcW w:w="846" w:type="dxa"/>
            <w:shd w:val="clear" w:color="auto" w:fill="FFFFFF" w:themeFill="background1"/>
          </w:tcPr>
          <w:p w14:paraId="30630986" w14:textId="22346AA3" w:rsidR="00B57963" w:rsidRPr="00A07F29" w:rsidRDefault="00B57963" w:rsidP="00B57963">
            <w:pPr>
              <w:spacing w:after="0" w:line="240" w:lineRule="auto"/>
              <w:jc w:val="center"/>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lastRenderedPageBreak/>
              <w:t>A.3.</w:t>
            </w:r>
          </w:p>
        </w:tc>
        <w:tc>
          <w:tcPr>
            <w:tcW w:w="3402" w:type="dxa"/>
            <w:shd w:val="clear" w:color="auto" w:fill="FFFFFF" w:themeFill="background1"/>
          </w:tcPr>
          <w:p w14:paraId="30CFC282" w14:textId="09F4A435" w:rsidR="00B57963" w:rsidRPr="00A07F29" w:rsidRDefault="00B57963" w:rsidP="00315E9F">
            <w:pPr>
              <w:spacing w:after="0" w:line="240" w:lineRule="auto"/>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A.3.1.</w:t>
            </w:r>
            <w:r w:rsidR="00FD4A53">
              <w:rPr>
                <w:rFonts w:ascii="Times New Roman" w:eastAsia="Calibri" w:hAnsi="Times New Roman" w:cs="Times New Roman"/>
                <w:bCs/>
                <w:sz w:val="20"/>
                <w:szCs w:val="20"/>
              </w:rPr>
              <w:t> </w:t>
            </w:r>
            <w:r w:rsidRPr="00A07F29">
              <w:rPr>
                <w:rFonts w:ascii="Times New Roman" w:eastAsia="Calibri" w:hAnsi="Times New Roman" w:cs="Times New Roman"/>
                <w:bCs/>
                <w:sz w:val="20"/>
                <w:szCs w:val="20"/>
              </w:rPr>
              <w:t xml:space="preserve">Lapkoku </w:t>
            </w:r>
            <w:proofErr w:type="spellStart"/>
            <w:r w:rsidRPr="00A07F29">
              <w:rPr>
                <w:rFonts w:ascii="Times New Roman" w:eastAsia="Calibri" w:hAnsi="Times New Roman" w:cs="Times New Roman"/>
                <w:bCs/>
                <w:sz w:val="20"/>
                <w:szCs w:val="20"/>
              </w:rPr>
              <w:t>praulgrauža</w:t>
            </w:r>
            <w:proofErr w:type="spellEnd"/>
            <w:r w:rsidRPr="00A07F29">
              <w:rPr>
                <w:rFonts w:ascii="Times New Roman" w:eastAsia="Calibri" w:hAnsi="Times New Roman" w:cs="Times New Roman"/>
                <w:bCs/>
                <w:sz w:val="20"/>
                <w:szCs w:val="20"/>
              </w:rPr>
              <w:t xml:space="preserve"> atradnes ieļaušana AAA “Augšdaugava”</w:t>
            </w:r>
          </w:p>
        </w:tc>
        <w:tc>
          <w:tcPr>
            <w:tcW w:w="1701" w:type="dxa"/>
            <w:shd w:val="clear" w:color="auto" w:fill="FFFFFF" w:themeFill="background1"/>
          </w:tcPr>
          <w:p w14:paraId="7D6A1227" w14:textId="77777777" w:rsidR="00B57963" w:rsidRPr="00A07F29" w:rsidRDefault="00B57963" w:rsidP="00B57963">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II,</w:t>
            </w:r>
          </w:p>
          <w:p w14:paraId="325BB82A" w14:textId="5336B36D" w:rsidR="00B57963" w:rsidRPr="00A07F29" w:rsidRDefault="00F31129" w:rsidP="00B57963">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2026</w:t>
            </w:r>
            <w:r w:rsidR="00B57963" w:rsidRPr="00A07F29">
              <w:rPr>
                <w:rFonts w:ascii="Times New Roman" w:eastAsia="Calibri" w:hAnsi="Times New Roman" w:cs="Times New Roman"/>
                <w:sz w:val="20"/>
                <w:szCs w:val="20"/>
              </w:rPr>
              <w:t>.</w:t>
            </w:r>
          </w:p>
        </w:tc>
        <w:tc>
          <w:tcPr>
            <w:tcW w:w="1984" w:type="dxa"/>
            <w:shd w:val="clear" w:color="auto" w:fill="FFFFFF" w:themeFill="background1"/>
          </w:tcPr>
          <w:p w14:paraId="6045582F" w14:textId="3B4A88AD" w:rsidR="00B57963" w:rsidRPr="00A07F29" w:rsidRDefault="00B57963" w:rsidP="00B57963">
            <w:pPr>
              <w:spacing w:after="0" w:line="240" w:lineRule="auto"/>
              <w:ind w:left="34"/>
              <w:jc w:val="both"/>
              <w:rPr>
                <w:rFonts w:ascii="Times New Roman" w:hAnsi="Times New Roman" w:cs="Times New Roman"/>
                <w:sz w:val="20"/>
                <w:szCs w:val="20"/>
              </w:rPr>
            </w:pPr>
            <w:r w:rsidRPr="00A07F29">
              <w:rPr>
                <w:rFonts w:ascii="Times New Roman" w:hAnsi="Times New Roman" w:cs="Times New Roman"/>
                <w:sz w:val="20"/>
                <w:szCs w:val="20"/>
              </w:rPr>
              <w:t>VARAM, DAP</w:t>
            </w:r>
          </w:p>
        </w:tc>
        <w:tc>
          <w:tcPr>
            <w:tcW w:w="1560" w:type="dxa"/>
            <w:shd w:val="clear" w:color="auto" w:fill="FFFFFF" w:themeFill="background1"/>
          </w:tcPr>
          <w:p w14:paraId="0829C3CD" w14:textId="353809A9" w:rsidR="00B57963" w:rsidRPr="00A07F29" w:rsidRDefault="00B57963" w:rsidP="00B57963">
            <w:pPr>
              <w:spacing w:after="0" w:line="240" w:lineRule="auto"/>
              <w:ind w:left="34"/>
              <w:jc w:val="both"/>
              <w:rPr>
                <w:rFonts w:ascii="Times New Roman" w:hAnsi="Times New Roman" w:cs="Times New Roman"/>
                <w:sz w:val="20"/>
                <w:szCs w:val="20"/>
              </w:rPr>
            </w:pPr>
            <w:r w:rsidRPr="00A07F29">
              <w:rPr>
                <w:rFonts w:ascii="Times New Roman" w:hAnsi="Times New Roman" w:cs="Times New Roman"/>
                <w:sz w:val="20"/>
                <w:szCs w:val="20"/>
              </w:rPr>
              <w:t>Administratīvās izmaksas</w:t>
            </w:r>
          </w:p>
        </w:tc>
        <w:tc>
          <w:tcPr>
            <w:tcW w:w="1984" w:type="dxa"/>
            <w:shd w:val="clear" w:color="auto" w:fill="FFFFFF" w:themeFill="background1"/>
          </w:tcPr>
          <w:p w14:paraId="621B8B74" w14:textId="47C50FFA" w:rsidR="00B57963" w:rsidRPr="00A07F29" w:rsidRDefault="00B57963" w:rsidP="00B57963">
            <w:pPr>
              <w:spacing w:after="0" w:line="240" w:lineRule="auto"/>
              <w:ind w:left="34"/>
              <w:jc w:val="both"/>
              <w:rPr>
                <w:rFonts w:ascii="Times New Roman" w:hAnsi="Times New Roman" w:cs="Times New Roman"/>
                <w:sz w:val="20"/>
                <w:szCs w:val="20"/>
              </w:rPr>
            </w:pPr>
            <w:r w:rsidRPr="00A07F29">
              <w:rPr>
                <w:rFonts w:ascii="Times New Roman" w:eastAsia="Calibri" w:hAnsi="Times New Roman" w:cs="Times New Roman"/>
                <w:sz w:val="20"/>
                <w:szCs w:val="20"/>
              </w:rPr>
              <w:t>VARAM, DAP</w:t>
            </w:r>
          </w:p>
        </w:tc>
        <w:tc>
          <w:tcPr>
            <w:tcW w:w="3686" w:type="dxa"/>
            <w:shd w:val="clear" w:color="auto" w:fill="FFFFFF" w:themeFill="background1"/>
          </w:tcPr>
          <w:p w14:paraId="343F5B99" w14:textId="7E72AA95" w:rsidR="004D4361" w:rsidRPr="00A07F29" w:rsidRDefault="004D4361" w:rsidP="004D4361">
            <w:pPr>
              <w:spacing w:after="0" w:line="240" w:lineRule="auto"/>
              <w:ind w:left="34"/>
              <w:rPr>
                <w:rFonts w:ascii="Times New Roman" w:hAnsi="Times New Roman" w:cs="Times New Roman"/>
                <w:sz w:val="20"/>
                <w:szCs w:val="20"/>
              </w:rPr>
            </w:pPr>
            <w:r w:rsidRPr="00A07F29">
              <w:rPr>
                <w:rFonts w:ascii="Times New Roman" w:hAnsi="Times New Roman" w:cs="Times New Roman"/>
                <w:sz w:val="20"/>
                <w:szCs w:val="20"/>
              </w:rPr>
              <w:t>Apstiprināti grozījumi MK noteikumos “Par aizsargājamo ainavu apvidiem”, iekļaujot AAA “Augšdaugava” teritor</w:t>
            </w:r>
            <w:r w:rsidR="00A0103C" w:rsidRPr="00A07F29">
              <w:rPr>
                <w:rFonts w:ascii="Times New Roman" w:hAnsi="Times New Roman" w:cs="Times New Roman"/>
                <w:sz w:val="20"/>
                <w:szCs w:val="20"/>
              </w:rPr>
              <w:t xml:space="preserve">ijā lapkoku </w:t>
            </w:r>
            <w:proofErr w:type="spellStart"/>
            <w:r w:rsidR="00A0103C" w:rsidRPr="00A07F29">
              <w:rPr>
                <w:rFonts w:ascii="Times New Roman" w:hAnsi="Times New Roman" w:cs="Times New Roman"/>
                <w:sz w:val="20"/>
                <w:szCs w:val="20"/>
              </w:rPr>
              <w:t>praulgrauža</w:t>
            </w:r>
            <w:proofErr w:type="spellEnd"/>
            <w:r w:rsidR="00A0103C" w:rsidRPr="00A07F29">
              <w:rPr>
                <w:rFonts w:ascii="Times New Roman" w:hAnsi="Times New Roman" w:cs="Times New Roman"/>
                <w:sz w:val="20"/>
                <w:szCs w:val="20"/>
              </w:rPr>
              <w:t xml:space="preserve"> atradni</w:t>
            </w:r>
            <w:r w:rsidR="00F31129" w:rsidRPr="00A07F29">
              <w:rPr>
                <w:rFonts w:ascii="Times New Roman" w:hAnsi="Times New Roman" w:cs="Times New Roman"/>
                <w:sz w:val="20"/>
                <w:szCs w:val="20"/>
              </w:rPr>
              <w:t>.</w:t>
            </w:r>
          </w:p>
        </w:tc>
      </w:tr>
      <w:tr w:rsidR="00B57963" w:rsidRPr="00A07F29" w14:paraId="58BE7E9D" w14:textId="567D5A6B" w:rsidTr="4284A616">
        <w:trPr>
          <w:jc w:val="center"/>
        </w:trPr>
        <w:tc>
          <w:tcPr>
            <w:tcW w:w="846" w:type="dxa"/>
            <w:shd w:val="clear" w:color="auto" w:fill="FFFFFF" w:themeFill="background1"/>
          </w:tcPr>
          <w:p w14:paraId="17B1817A" w14:textId="4FEBAD54" w:rsidR="00B57963" w:rsidRPr="00A07F29" w:rsidRDefault="00B57963" w:rsidP="00B57963">
            <w:pPr>
              <w:suppressLineNumbers/>
              <w:spacing w:after="0" w:line="240" w:lineRule="auto"/>
              <w:jc w:val="center"/>
              <w:rPr>
                <w:rFonts w:ascii="Times New Roman" w:eastAsia="Source Han Sans CN Regular" w:hAnsi="Times New Roman" w:cs="Times New Roman"/>
                <w:color w:val="000000"/>
                <w:kern w:val="2"/>
                <w:sz w:val="20"/>
                <w:szCs w:val="20"/>
              </w:rPr>
            </w:pPr>
            <w:r w:rsidRPr="00A07F29">
              <w:rPr>
                <w:rFonts w:ascii="Times New Roman" w:eastAsia="Calibri" w:hAnsi="Times New Roman" w:cs="Times New Roman"/>
                <w:bCs/>
                <w:sz w:val="20"/>
                <w:szCs w:val="20"/>
              </w:rPr>
              <w:t>B.1.</w:t>
            </w:r>
          </w:p>
        </w:tc>
        <w:tc>
          <w:tcPr>
            <w:tcW w:w="3402" w:type="dxa"/>
            <w:shd w:val="clear" w:color="auto" w:fill="FFFFFF" w:themeFill="background1"/>
            <w:tcMar>
              <w:top w:w="0" w:type="dxa"/>
              <w:left w:w="107" w:type="dxa"/>
              <w:bottom w:w="0" w:type="dxa"/>
              <w:right w:w="108" w:type="dxa"/>
            </w:tcMar>
            <w:hideMark/>
          </w:tcPr>
          <w:p w14:paraId="725DCBAE" w14:textId="458E2BD6" w:rsidR="00B57963" w:rsidRPr="00C25036" w:rsidRDefault="00B57963" w:rsidP="003A6A84">
            <w:pPr>
              <w:suppressLineNumbers/>
              <w:spacing w:after="0" w:line="240" w:lineRule="auto"/>
              <w:rPr>
                <w:rFonts w:ascii="Times New Roman" w:eastAsia="Source Han Sans CN Regular" w:hAnsi="Times New Roman" w:cs="Times New Roman"/>
                <w:color w:val="000000"/>
                <w:kern w:val="2"/>
                <w:sz w:val="20"/>
                <w:szCs w:val="20"/>
              </w:rPr>
            </w:pPr>
            <w:r w:rsidRPr="00C25036">
              <w:rPr>
                <w:rFonts w:ascii="Times New Roman" w:eastAsia="Source Han Sans CN Regular" w:hAnsi="Times New Roman" w:cs="Times New Roman"/>
                <w:color w:val="000000"/>
                <w:kern w:val="2"/>
                <w:sz w:val="20"/>
                <w:szCs w:val="20"/>
              </w:rPr>
              <w:t>B.1.1.</w:t>
            </w:r>
            <w:r w:rsidR="008B3704" w:rsidRPr="00C25036">
              <w:rPr>
                <w:rFonts w:ascii="Times New Roman" w:eastAsia="Source Han Sans CN Regular" w:hAnsi="Times New Roman" w:cs="Times New Roman"/>
                <w:color w:val="000000"/>
                <w:kern w:val="2"/>
                <w:sz w:val="20"/>
                <w:szCs w:val="20"/>
              </w:rPr>
              <w:t> </w:t>
            </w:r>
            <w:proofErr w:type="spellStart"/>
            <w:r w:rsidRPr="00C25036">
              <w:rPr>
                <w:rFonts w:ascii="Times New Roman" w:eastAsia="Source Han Sans CN Regular" w:hAnsi="Times New Roman" w:cs="Times New Roman"/>
                <w:color w:val="000000"/>
                <w:kern w:val="2"/>
                <w:sz w:val="20"/>
                <w:szCs w:val="20"/>
              </w:rPr>
              <w:t>Balticas</w:t>
            </w:r>
            <w:proofErr w:type="spellEnd"/>
            <w:r w:rsidRPr="00C25036">
              <w:rPr>
                <w:rFonts w:ascii="Times New Roman" w:eastAsia="Source Han Sans CN Regular" w:hAnsi="Times New Roman" w:cs="Times New Roman"/>
                <w:color w:val="000000"/>
                <w:kern w:val="2"/>
                <w:sz w:val="20"/>
                <w:szCs w:val="20"/>
              </w:rPr>
              <w:t xml:space="preserve"> ezera </w:t>
            </w:r>
            <w:r w:rsidR="00C25036" w:rsidRPr="00C25036">
              <w:rPr>
                <w:rFonts w:ascii="Times New Roman" w:eastAsia="Source Han Sans CN Regular" w:hAnsi="Times New Roman" w:cs="Times New Roman"/>
                <w:color w:val="000000"/>
                <w:kern w:val="2"/>
                <w:sz w:val="20"/>
                <w:szCs w:val="20"/>
              </w:rPr>
              <w:t>R</w:t>
            </w:r>
            <w:r w:rsidRPr="00C25036">
              <w:rPr>
                <w:rFonts w:ascii="Times New Roman" w:eastAsia="Source Han Sans CN Regular" w:hAnsi="Times New Roman" w:cs="Times New Roman"/>
                <w:color w:val="000000"/>
                <w:kern w:val="2"/>
                <w:sz w:val="20"/>
                <w:szCs w:val="20"/>
              </w:rPr>
              <w:t xml:space="preserve"> piekrastes attīrīšana no koku stumbru, zaru sagāzumiem</w:t>
            </w:r>
          </w:p>
        </w:tc>
        <w:tc>
          <w:tcPr>
            <w:tcW w:w="1701" w:type="dxa"/>
            <w:shd w:val="clear" w:color="auto" w:fill="FFFFFF" w:themeFill="background1"/>
            <w:tcMar>
              <w:top w:w="0" w:type="dxa"/>
              <w:left w:w="107" w:type="dxa"/>
              <w:bottom w:w="0" w:type="dxa"/>
              <w:right w:w="108" w:type="dxa"/>
            </w:tcMar>
            <w:hideMark/>
          </w:tcPr>
          <w:p w14:paraId="3E1EA5C4" w14:textId="77777777" w:rsidR="00B57963" w:rsidRPr="00A07F29" w:rsidRDefault="00B57963" w:rsidP="00B57963">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II,</w:t>
            </w:r>
          </w:p>
          <w:p w14:paraId="42E9522C" w14:textId="0619919D" w:rsidR="00B57963" w:rsidRPr="00A07F29" w:rsidRDefault="00B57963" w:rsidP="00B57963">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bCs/>
                <w:sz w:val="20"/>
                <w:szCs w:val="20"/>
              </w:rPr>
              <w:t xml:space="preserve">vienreizējs pasākums, uzturēšana – </w:t>
            </w:r>
            <w:r w:rsidR="00EF10FF" w:rsidRPr="00A07F29">
              <w:rPr>
                <w:rFonts w:ascii="Times New Roman" w:eastAsia="Calibri" w:hAnsi="Times New Roman" w:cs="Times New Roman"/>
                <w:bCs/>
                <w:sz w:val="20"/>
                <w:szCs w:val="20"/>
              </w:rPr>
              <w:t>visu plāna periodu</w:t>
            </w:r>
          </w:p>
        </w:tc>
        <w:tc>
          <w:tcPr>
            <w:tcW w:w="1984" w:type="dxa"/>
            <w:shd w:val="clear" w:color="auto" w:fill="FFFFFF" w:themeFill="background1"/>
          </w:tcPr>
          <w:p w14:paraId="303B5D13" w14:textId="2DCBEBF1" w:rsidR="00B57963" w:rsidRPr="00C25036" w:rsidRDefault="008A5CD7" w:rsidP="008A5CD7">
            <w:pPr>
              <w:spacing w:after="0" w:line="240" w:lineRule="auto"/>
              <w:ind w:left="34"/>
              <w:jc w:val="both"/>
              <w:rPr>
                <w:rFonts w:ascii="Times New Roman" w:eastAsia="Calibri" w:hAnsi="Times New Roman" w:cs="Times New Roman"/>
                <w:sz w:val="20"/>
                <w:szCs w:val="20"/>
              </w:rPr>
            </w:pPr>
            <w:r w:rsidRPr="00C25036">
              <w:rPr>
                <w:rFonts w:ascii="Times New Roman" w:eastAsia="Calibri" w:hAnsi="Times New Roman" w:cs="Times New Roman"/>
                <w:sz w:val="20"/>
                <w:szCs w:val="20"/>
              </w:rPr>
              <w:t>Ezera īpašnieks, DAP</w:t>
            </w:r>
            <w:r w:rsidR="00F31129" w:rsidRPr="00C25036">
              <w:rPr>
                <w:rFonts w:ascii="Times New Roman" w:eastAsia="Calibri" w:hAnsi="Times New Roman" w:cs="Times New Roman"/>
                <w:sz w:val="20"/>
                <w:szCs w:val="20"/>
              </w:rPr>
              <w:t xml:space="preserve">, </w:t>
            </w:r>
            <w:r w:rsidR="00C25036" w:rsidRPr="00C25036">
              <w:rPr>
                <w:rFonts w:ascii="Times New Roman" w:eastAsia="Calibri" w:hAnsi="Times New Roman" w:cs="Times New Roman"/>
                <w:sz w:val="20"/>
                <w:szCs w:val="20"/>
              </w:rPr>
              <w:t>NVO</w:t>
            </w:r>
          </w:p>
        </w:tc>
        <w:tc>
          <w:tcPr>
            <w:tcW w:w="1560" w:type="dxa"/>
            <w:shd w:val="clear" w:color="auto" w:fill="FFFFFF" w:themeFill="background1"/>
          </w:tcPr>
          <w:p w14:paraId="240AD370" w14:textId="7F77595F" w:rsidR="00B57963" w:rsidRPr="00A07F29" w:rsidRDefault="00890540" w:rsidP="00B57963">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Ap 1000</w:t>
            </w:r>
            <w:r w:rsidR="008F7421">
              <w:rPr>
                <w:rFonts w:ascii="Times New Roman" w:eastAsia="Calibri" w:hAnsi="Times New Roman" w:cs="Times New Roman"/>
                <w:sz w:val="20"/>
                <w:szCs w:val="20"/>
              </w:rPr>
              <w:t> </w:t>
            </w:r>
            <w:r w:rsidRPr="00A07F29">
              <w:rPr>
                <w:rFonts w:ascii="Times New Roman" w:eastAsia="Calibri" w:hAnsi="Times New Roman" w:cs="Times New Roman"/>
                <w:sz w:val="20"/>
                <w:szCs w:val="20"/>
              </w:rPr>
              <w:t>EUR pirmreizējās izmaksas, 500</w:t>
            </w:r>
            <w:r w:rsidR="008F7421">
              <w:rPr>
                <w:rFonts w:ascii="Times New Roman" w:eastAsia="Calibri" w:hAnsi="Times New Roman" w:cs="Times New Roman"/>
                <w:sz w:val="20"/>
                <w:szCs w:val="20"/>
              </w:rPr>
              <w:t> </w:t>
            </w:r>
            <w:r w:rsidRPr="00A07F29">
              <w:rPr>
                <w:rFonts w:ascii="Times New Roman" w:eastAsia="Calibri" w:hAnsi="Times New Roman" w:cs="Times New Roman"/>
                <w:sz w:val="20"/>
                <w:szCs w:val="20"/>
              </w:rPr>
              <w:t xml:space="preserve">EUR gadā </w:t>
            </w:r>
            <w:r w:rsidR="008F7421">
              <w:rPr>
                <w:rFonts w:ascii="Times New Roman" w:eastAsia="Calibri" w:hAnsi="Times New Roman" w:cs="Times New Roman"/>
                <w:sz w:val="20"/>
                <w:szCs w:val="20"/>
              </w:rPr>
              <w:t>–</w:t>
            </w:r>
            <w:r w:rsidRPr="00A07F29">
              <w:rPr>
                <w:rFonts w:ascii="Times New Roman" w:eastAsia="Calibri" w:hAnsi="Times New Roman" w:cs="Times New Roman"/>
                <w:sz w:val="20"/>
                <w:szCs w:val="20"/>
              </w:rPr>
              <w:t xml:space="preserve"> uzturēšana</w:t>
            </w:r>
          </w:p>
        </w:tc>
        <w:tc>
          <w:tcPr>
            <w:tcW w:w="1984" w:type="dxa"/>
            <w:shd w:val="clear" w:color="auto" w:fill="FFFFFF" w:themeFill="background1"/>
          </w:tcPr>
          <w:p w14:paraId="03F58372" w14:textId="080D3B2D" w:rsidR="00B57963" w:rsidRPr="00A07F29" w:rsidRDefault="00B57963" w:rsidP="008A5CD7">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 xml:space="preserve">Projektu finansējums, </w:t>
            </w:r>
            <w:r w:rsidR="008A5CD7" w:rsidRPr="00A07F29">
              <w:rPr>
                <w:rFonts w:ascii="Times New Roman" w:eastAsia="Calibri" w:hAnsi="Times New Roman" w:cs="Times New Roman"/>
                <w:sz w:val="20"/>
                <w:szCs w:val="20"/>
              </w:rPr>
              <w:t>ezera</w:t>
            </w:r>
            <w:r w:rsidRPr="00A07F29">
              <w:rPr>
                <w:rFonts w:ascii="Times New Roman" w:eastAsia="Calibri" w:hAnsi="Times New Roman" w:cs="Times New Roman"/>
                <w:sz w:val="20"/>
                <w:szCs w:val="20"/>
              </w:rPr>
              <w:t xml:space="preserve"> īpašnieka līdzekļi</w:t>
            </w:r>
          </w:p>
        </w:tc>
        <w:tc>
          <w:tcPr>
            <w:tcW w:w="3686" w:type="dxa"/>
            <w:shd w:val="clear" w:color="auto" w:fill="FFFFFF" w:themeFill="background1"/>
          </w:tcPr>
          <w:p w14:paraId="2202A93E" w14:textId="122CDED4" w:rsidR="00B57963" w:rsidRPr="00A07F29" w:rsidRDefault="00B57963" w:rsidP="005F3D04">
            <w:pPr>
              <w:spacing w:after="0" w:line="240" w:lineRule="auto"/>
              <w:ind w:left="34"/>
              <w:rPr>
                <w:rFonts w:ascii="Times New Roman" w:eastAsia="Calibri" w:hAnsi="Times New Roman" w:cs="Times New Roman"/>
                <w:bCs/>
                <w:sz w:val="20"/>
                <w:szCs w:val="20"/>
              </w:rPr>
            </w:pPr>
            <w:r w:rsidRPr="00A07F29">
              <w:rPr>
                <w:rFonts w:ascii="Times New Roman" w:eastAsia="Calibri" w:hAnsi="Times New Roman" w:cs="Times New Roman"/>
                <w:sz w:val="20"/>
                <w:szCs w:val="20"/>
              </w:rPr>
              <w:t>Izvākti sakrituš</w:t>
            </w:r>
            <w:r w:rsidR="00A0103C" w:rsidRPr="00A07F29">
              <w:rPr>
                <w:rFonts w:ascii="Times New Roman" w:eastAsia="Calibri" w:hAnsi="Times New Roman" w:cs="Times New Roman"/>
                <w:sz w:val="20"/>
                <w:szCs w:val="20"/>
              </w:rPr>
              <w:t>ie koki un zari 0,3</w:t>
            </w:r>
            <w:r w:rsidR="005F3D04" w:rsidRPr="00A07F29">
              <w:rPr>
                <w:rFonts w:ascii="Times New Roman" w:eastAsia="Calibri" w:hAnsi="Times New Roman" w:cs="Times New Roman"/>
                <w:sz w:val="20"/>
                <w:szCs w:val="20"/>
              </w:rPr>
              <w:t>3</w:t>
            </w:r>
            <w:r w:rsidR="001754DB">
              <w:rPr>
                <w:rFonts w:ascii="Times New Roman" w:eastAsia="Calibri" w:hAnsi="Times New Roman" w:cs="Times New Roman"/>
                <w:sz w:val="20"/>
                <w:szCs w:val="20"/>
              </w:rPr>
              <w:t> </w:t>
            </w:r>
            <w:r w:rsidR="00A0103C" w:rsidRPr="00A07F29">
              <w:rPr>
                <w:rFonts w:ascii="Times New Roman" w:eastAsia="Calibri" w:hAnsi="Times New Roman" w:cs="Times New Roman"/>
                <w:sz w:val="20"/>
                <w:szCs w:val="20"/>
              </w:rPr>
              <w:t>ha platībā</w:t>
            </w:r>
          </w:p>
        </w:tc>
      </w:tr>
      <w:tr w:rsidR="00B57963" w:rsidRPr="00A07F29" w14:paraId="32D568D2" w14:textId="5B23785A" w:rsidTr="4284A616">
        <w:trPr>
          <w:jc w:val="center"/>
        </w:trPr>
        <w:tc>
          <w:tcPr>
            <w:tcW w:w="846" w:type="dxa"/>
            <w:shd w:val="clear" w:color="auto" w:fill="FFFFFF" w:themeFill="background1"/>
          </w:tcPr>
          <w:p w14:paraId="75F90861" w14:textId="1F655F9C" w:rsidR="00B57963" w:rsidRPr="00A07F29" w:rsidRDefault="00B57963" w:rsidP="00B57963">
            <w:pPr>
              <w:suppressLineNumbers/>
              <w:spacing w:after="0" w:line="240" w:lineRule="auto"/>
              <w:jc w:val="center"/>
              <w:rPr>
                <w:rFonts w:ascii="Times New Roman" w:eastAsia="Source Han Sans CN Regular" w:hAnsi="Times New Roman" w:cs="Times New Roman"/>
                <w:color w:val="000000"/>
                <w:kern w:val="2"/>
                <w:sz w:val="20"/>
                <w:szCs w:val="20"/>
              </w:rPr>
            </w:pPr>
            <w:r w:rsidRPr="00A07F29">
              <w:rPr>
                <w:rFonts w:ascii="Times New Roman" w:eastAsia="Calibri" w:hAnsi="Times New Roman" w:cs="Times New Roman"/>
                <w:bCs/>
                <w:sz w:val="20"/>
                <w:szCs w:val="20"/>
              </w:rPr>
              <w:t>B.1.</w:t>
            </w:r>
          </w:p>
        </w:tc>
        <w:tc>
          <w:tcPr>
            <w:tcW w:w="3402" w:type="dxa"/>
            <w:shd w:val="clear" w:color="auto" w:fill="FFFFFF" w:themeFill="background1"/>
            <w:tcMar>
              <w:top w:w="0" w:type="dxa"/>
              <w:left w:w="107" w:type="dxa"/>
              <w:bottom w:w="0" w:type="dxa"/>
              <w:right w:w="108" w:type="dxa"/>
            </w:tcMar>
            <w:hideMark/>
          </w:tcPr>
          <w:p w14:paraId="1F0C30EB" w14:textId="4C030FD2" w:rsidR="00B57963" w:rsidRPr="00C25036" w:rsidRDefault="00B57963" w:rsidP="003A6A84">
            <w:pPr>
              <w:suppressLineNumbers/>
              <w:spacing w:after="0" w:line="240" w:lineRule="auto"/>
              <w:rPr>
                <w:rFonts w:ascii="Times New Roman" w:eastAsia="Source Han Sans CN Regular" w:hAnsi="Times New Roman" w:cs="Times New Roman"/>
                <w:color w:val="000000"/>
                <w:kern w:val="2"/>
                <w:sz w:val="20"/>
                <w:szCs w:val="20"/>
              </w:rPr>
            </w:pPr>
            <w:r w:rsidRPr="00C25036">
              <w:rPr>
                <w:rFonts w:ascii="Times New Roman" w:eastAsia="Source Han Sans CN Regular" w:hAnsi="Times New Roman" w:cs="Times New Roman"/>
                <w:color w:val="000000"/>
                <w:kern w:val="2"/>
                <w:sz w:val="20"/>
                <w:szCs w:val="20"/>
              </w:rPr>
              <w:t>B.1.2.</w:t>
            </w:r>
            <w:r w:rsidR="001754DB" w:rsidRPr="00C25036">
              <w:rPr>
                <w:rFonts w:ascii="Times New Roman" w:eastAsia="Source Han Sans CN Regular" w:hAnsi="Times New Roman" w:cs="Times New Roman"/>
                <w:color w:val="000000"/>
                <w:kern w:val="2"/>
                <w:sz w:val="20"/>
                <w:szCs w:val="20"/>
              </w:rPr>
              <w:t> </w:t>
            </w:r>
            <w:proofErr w:type="spellStart"/>
            <w:r w:rsidRPr="00C25036">
              <w:rPr>
                <w:rFonts w:ascii="Times New Roman" w:eastAsia="Source Han Sans CN Regular" w:hAnsi="Times New Roman" w:cs="Times New Roman"/>
                <w:color w:val="000000"/>
                <w:kern w:val="2"/>
                <w:sz w:val="20"/>
                <w:szCs w:val="20"/>
              </w:rPr>
              <w:t>Balticas</w:t>
            </w:r>
            <w:proofErr w:type="spellEnd"/>
            <w:r w:rsidRPr="00C25036">
              <w:rPr>
                <w:rFonts w:ascii="Times New Roman" w:eastAsia="Source Han Sans CN Regular" w:hAnsi="Times New Roman" w:cs="Times New Roman"/>
                <w:color w:val="000000"/>
                <w:kern w:val="2"/>
                <w:sz w:val="20"/>
                <w:szCs w:val="20"/>
              </w:rPr>
              <w:t xml:space="preserve"> ezera</w:t>
            </w:r>
            <w:r w:rsidR="003A6A84" w:rsidRPr="00C25036">
              <w:rPr>
                <w:rFonts w:ascii="Times New Roman" w:eastAsia="Source Han Sans CN Regular" w:hAnsi="Times New Roman" w:cs="Times New Roman"/>
                <w:color w:val="000000"/>
                <w:kern w:val="2"/>
                <w:sz w:val="20"/>
                <w:szCs w:val="20"/>
              </w:rPr>
              <w:t xml:space="preserve"> </w:t>
            </w:r>
            <w:r w:rsidR="00C25036" w:rsidRPr="00C25036">
              <w:rPr>
                <w:rFonts w:ascii="Times New Roman" w:eastAsia="Source Han Sans CN Regular" w:hAnsi="Times New Roman" w:cs="Times New Roman"/>
                <w:color w:val="000000"/>
                <w:kern w:val="2"/>
                <w:sz w:val="20"/>
                <w:szCs w:val="20"/>
              </w:rPr>
              <w:t>A</w:t>
            </w:r>
            <w:r w:rsidRPr="00C25036">
              <w:rPr>
                <w:rFonts w:ascii="Times New Roman" w:eastAsia="Source Han Sans CN Regular" w:hAnsi="Times New Roman" w:cs="Times New Roman"/>
                <w:color w:val="000000"/>
                <w:kern w:val="2"/>
                <w:sz w:val="20"/>
                <w:szCs w:val="20"/>
              </w:rPr>
              <w:t xml:space="preserve"> krasta slīkšņas un krūmāja aizņemtās platības samazināšana un koku joslas izveidošana</w:t>
            </w:r>
          </w:p>
        </w:tc>
        <w:tc>
          <w:tcPr>
            <w:tcW w:w="1701" w:type="dxa"/>
            <w:shd w:val="clear" w:color="auto" w:fill="FFFFFF" w:themeFill="background1"/>
            <w:tcMar>
              <w:top w:w="0" w:type="dxa"/>
              <w:left w:w="107" w:type="dxa"/>
              <w:bottom w:w="0" w:type="dxa"/>
              <w:right w:w="108" w:type="dxa"/>
            </w:tcMar>
            <w:hideMark/>
          </w:tcPr>
          <w:p w14:paraId="28112B7B" w14:textId="77777777" w:rsidR="00B57963" w:rsidRPr="00A07F29" w:rsidRDefault="00B57963" w:rsidP="00B57963">
            <w:pPr>
              <w:spacing w:after="0" w:line="240" w:lineRule="auto"/>
              <w:jc w:val="center"/>
              <w:rPr>
                <w:rFonts w:ascii="Times New Roman" w:eastAsia="Calibri" w:hAnsi="Times New Roman" w:cs="Times New Roman"/>
                <w:bCs/>
                <w:sz w:val="20"/>
                <w:szCs w:val="20"/>
              </w:rPr>
            </w:pPr>
            <w:r w:rsidRPr="00A07F29">
              <w:rPr>
                <w:rFonts w:ascii="Times New Roman" w:eastAsia="Calibri" w:hAnsi="Times New Roman" w:cs="Times New Roman"/>
                <w:sz w:val="20"/>
                <w:szCs w:val="20"/>
              </w:rPr>
              <w:t>II</w:t>
            </w:r>
            <w:r w:rsidRPr="00A07F29">
              <w:rPr>
                <w:rFonts w:ascii="Times New Roman" w:eastAsia="Calibri" w:hAnsi="Times New Roman" w:cs="Times New Roman"/>
                <w:bCs/>
                <w:sz w:val="20"/>
                <w:szCs w:val="20"/>
              </w:rPr>
              <w:t>,</w:t>
            </w:r>
          </w:p>
          <w:p w14:paraId="490DE019" w14:textId="1DF3E3EB" w:rsidR="00B57963" w:rsidRPr="00A07F29" w:rsidRDefault="00B57963" w:rsidP="00B57963">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bCs/>
                <w:sz w:val="20"/>
                <w:szCs w:val="20"/>
              </w:rPr>
              <w:t xml:space="preserve">vienreizējs pasākums, uzturēšana – </w:t>
            </w:r>
            <w:r w:rsidR="00EF10FF" w:rsidRPr="00A07F29">
              <w:rPr>
                <w:rFonts w:ascii="Times New Roman" w:eastAsia="Calibri" w:hAnsi="Times New Roman" w:cs="Times New Roman"/>
                <w:bCs/>
                <w:sz w:val="20"/>
                <w:szCs w:val="20"/>
              </w:rPr>
              <w:t>visu plāna periodu</w:t>
            </w:r>
          </w:p>
        </w:tc>
        <w:tc>
          <w:tcPr>
            <w:tcW w:w="1984" w:type="dxa"/>
            <w:shd w:val="clear" w:color="auto" w:fill="FFFFFF" w:themeFill="background1"/>
          </w:tcPr>
          <w:p w14:paraId="5996994E" w14:textId="10B7BC67" w:rsidR="00B57963" w:rsidRPr="00C25036" w:rsidRDefault="008A5CD7" w:rsidP="00B57963">
            <w:pPr>
              <w:spacing w:after="0" w:line="240" w:lineRule="auto"/>
              <w:ind w:left="34"/>
              <w:jc w:val="both"/>
              <w:rPr>
                <w:rFonts w:ascii="Times New Roman" w:eastAsia="Calibri" w:hAnsi="Times New Roman" w:cs="Times New Roman"/>
                <w:sz w:val="20"/>
                <w:szCs w:val="20"/>
              </w:rPr>
            </w:pPr>
            <w:r w:rsidRPr="00C25036">
              <w:rPr>
                <w:rFonts w:ascii="Times New Roman" w:eastAsia="Calibri" w:hAnsi="Times New Roman" w:cs="Times New Roman"/>
                <w:sz w:val="20"/>
                <w:szCs w:val="20"/>
              </w:rPr>
              <w:t>Z</w:t>
            </w:r>
            <w:r w:rsidR="00B57963" w:rsidRPr="00C25036">
              <w:rPr>
                <w:rFonts w:ascii="Times New Roman" w:eastAsia="Calibri" w:hAnsi="Times New Roman" w:cs="Times New Roman"/>
                <w:sz w:val="20"/>
                <w:szCs w:val="20"/>
              </w:rPr>
              <w:t>emes īpašnieks</w:t>
            </w:r>
            <w:r w:rsidRPr="00C25036">
              <w:rPr>
                <w:rFonts w:ascii="Times New Roman" w:eastAsia="Calibri" w:hAnsi="Times New Roman" w:cs="Times New Roman"/>
                <w:sz w:val="20"/>
                <w:szCs w:val="20"/>
              </w:rPr>
              <w:t>, DAP</w:t>
            </w:r>
            <w:r w:rsidR="00F31129" w:rsidRPr="00C25036">
              <w:rPr>
                <w:rFonts w:ascii="Times New Roman" w:eastAsia="Calibri" w:hAnsi="Times New Roman" w:cs="Times New Roman"/>
                <w:sz w:val="20"/>
                <w:szCs w:val="20"/>
              </w:rPr>
              <w:t xml:space="preserve">, </w:t>
            </w:r>
            <w:r w:rsidR="00C25036" w:rsidRPr="00C25036">
              <w:rPr>
                <w:rFonts w:ascii="Times New Roman" w:eastAsia="Calibri" w:hAnsi="Times New Roman" w:cs="Times New Roman"/>
                <w:sz w:val="20"/>
                <w:szCs w:val="20"/>
              </w:rPr>
              <w:t>NVO</w:t>
            </w:r>
          </w:p>
        </w:tc>
        <w:tc>
          <w:tcPr>
            <w:tcW w:w="1560" w:type="dxa"/>
            <w:shd w:val="clear" w:color="auto" w:fill="FFFFFF" w:themeFill="background1"/>
          </w:tcPr>
          <w:p w14:paraId="0F3AF41E" w14:textId="2011C101" w:rsidR="00B57963" w:rsidRPr="00A07F29" w:rsidRDefault="00890540" w:rsidP="00B57963">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Ap 800</w:t>
            </w:r>
            <w:r w:rsidR="003E31C4">
              <w:rPr>
                <w:rFonts w:ascii="Times New Roman" w:eastAsia="Calibri" w:hAnsi="Times New Roman" w:cs="Times New Roman"/>
                <w:sz w:val="20"/>
                <w:szCs w:val="20"/>
              </w:rPr>
              <w:t> </w:t>
            </w:r>
            <w:r w:rsidRPr="00A07F29">
              <w:rPr>
                <w:rFonts w:ascii="Times New Roman" w:eastAsia="Calibri" w:hAnsi="Times New Roman" w:cs="Times New Roman"/>
                <w:sz w:val="20"/>
                <w:szCs w:val="20"/>
              </w:rPr>
              <w:t>EUR atjaunošana, 200</w:t>
            </w:r>
            <w:r w:rsidR="003E31C4">
              <w:rPr>
                <w:rFonts w:ascii="Times New Roman" w:eastAsia="Calibri" w:hAnsi="Times New Roman" w:cs="Times New Roman"/>
                <w:sz w:val="20"/>
                <w:szCs w:val="20"/>
              </w:rPr>
              <w:t> </w:t>
            </w:r>
            <w:r w:rsidRPr="00A07F29">
              <w:rPr>
                <w:rFonts w:ascii="Times New Roman" w:eastAsia="Calibri" w:hAnsi="Times New Roman" w:cs="Times New Roman"/>
                <w:sz w:val="20"/>
                <w:szCs w:val="20"/>
              </w:rPr>
              <w:t xml:space="preserve">EUR gadā </w:t>
            </w:r>
            <w:r w:rsidR="003E31C4">
              <w:rPr>
                <w:rFonts w:ascii="Times New Roman" w:eastAsia="Calibri" w:hAnsi="Times New Roman" w:cs="Times New Roman"/>
                <w:sz w:val="20"/>
                <w:szCs w:val="20"/>
              </w:rPr>
              <w:t>–</w:t>
            </w:r>
            <w:r w:rsidRPr="00A07F29">
              <w:rPr>
                <w:rFonts w:ascii="Times New Roman" w:eastAsia="Calibri" w:hAnsi="Times New Roman" w:cs="Times New Roman"/>
                <w:sz w:val="20"/>
                <w:szCs w:val="20"/>
              </w:rPr>
              <w:t xml:space="preserve"> uzturēšana</w:t>
            </w:r>
          </w:p>
        </w:tc>
        <w:tc>
          <w:tcPr>
            <w:tcW w:w="1984" w:type="dxa"/>
            <w:shd w:val="clear" w:color="auto" w:fill="FFFFFF" w:themeFill="background1"/>
          </w:tcPr>
          <w:p w14:paraId="7BF4B672" w14:textId="5BC3270C" w:rsidR="00B57963" w:rsidRPr="00A07F29" w:rsidRDefault="008A5CD7" w:rsidP="008A5CD7">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Zemes īpašnieka līdzekļi, p</w:t>
            </w:r>
            <w:r w:rsidR="00B57963" w:rsidRPr="00A07F29">
              <w:rPr>
                <w:rFonts w:ascii="Times New Roman" w:eastAsia="Calibri" w:hAnsi="Times New Roman" w:cs="Times New Roman"/>
                <w:sz w:val="20"/>
                <w:szCs w:val="20"/>
              </w:rPr>
              <w:t>rojektu finansējums</w:t>
            </w:r>
          </w:p>
        </w:tc>
        <w:tc>
          <w:tcPr>
            <w:tcW w:w="3686" w:type="dxa"/>
            <w:shd w:val="clear" w:color="auto" w:fill="FFFFFF" w:themeFill="background1"/>
          </w:tcPr>
          <w:p w14:paraId="7ACD03D0" w14:textId="3995C5BC" w:rsidR="00B57963" w:rsidRPr="00A07F29" w:rsidRDefault="00B57963" w:rsidP="00315E9F">
            <w:pPr>
              <w:spacing w:after="0" w:line="240" w:lineRule="auto"/>
              <w:ind w:left="34"/>
              <w:rPr>
                <w:rFonts w:ascii="Times New Roman" w:eastAsia="Calibri" w:hAnsi="Times New Roman" w:cs="Times New Roman"/>
                <w:bCs/>
                <w:sz w:val="20"/>
                <w:szCs w:val="20"/>
              </w:rPr>
            </w:pPr>
            <w:r w:rsidRPr="00A07F29">
              <w:rPr>
                <w:rFonts w:ascii="Times New Roman" w:eastAsia="Calibri" w:hAnsi="Times New Roman" w:cs="Times New Roman"/>
                <w:sz w:val="20"/>
                <w:szCs w:val="20"/>
              </w:rPr>
              <w:t>30</w:t>
            </w:r>
            <w:r w:rsidR="003E31C4">
              <w:rPr>
                <w:rFonts w:ascii="Times New Roman" w:eastAsia="Calibri" w:hAnsi="Times New Roman" w:cs="Times New Roman"/>
                <w:sz w:val="20"/>
                <w:szCs w:val="20"/>
              </w:rPr>
              <w:t> </w:t>
            </w:r>
            <w:r w:rsidRPr="00A07F29">
              <w:rPr>
                <w:rFonts w:ascii="Times New Roman" w:eastAsia="Calibri" w:hAnsi="Times New Roman" w:cs="Times New Roman"/>
                <w:sz w:val="20"/>
                <w:szCs w:val="20"/>
              </w:rPr>
              <w:t>m garā posmā 5</w:t>
            </w:r>
            <w:r w:rsidR="002201C0">
              <w:rPr>
                <w:rFonts w:ascii="Times New Roman" w:eastAsia="Calibri" w:hAnsi="Times New Roman" w:cs="Times New Roman"/>
                <w:sz w:val="20"/>
                <w:szCs w:val="20"/>
              </w:rPr>
              <w:t> – </w:t>
            </w:r>
            <w:r w:rsidRPr="00A07F29">
              <w:rPr>
                <w:rFonts w:ascii="Times New Roman" w:eastAsia="Calibri" w:hAnsi="Times New Roman" w:cs="Times New Roman"/>
                <w:sz w:val="20"/>
                <w:szCs w:val="20"/>
              </w:rPr>
              <w:t>10</w:t>
            </w:r>
            <w:r w:rsidR="002201C0">
              <w:rPr>
                <w:rFonts w:ascii="Times New Roman" w:eastAsia="Calibri" w:hAnsi="Times New Roman" w:cs="Times New Roman"/>
                <w:sz w:val="20"/>
                <w:szCs w:val="20"/>
              </w:rPr>
              <w:t> </w:t>
            </w:r>
            <w:r w:rsidRPr="00A07F29">
              <w:rPr>
                <w:rFonts w:ascii="Times New Roman" w:eastAsia="Calibri" w:hAnsi="Times New Roman" w:cs="Times New Roman"/>
                <w:sz w:val="20"/>
                <w:szCs w:val="20"/>
              </w:rPr>
              <w:t xml:space="preserve">m platumā noņemts pāraugušais krasts un krūmājs </w:t>
            </w:r>
            <w:r w:rsidRPr="00A07F29">
              <w:rPr>
                <w:rFonts w:ascii="Times New Roman" w:eastAsia="Calibri" w:hAnsi="Times New Roman" w:cs="Times New Roman"/>
                <w:bCs/>
                <w:sz w:val="20"/>
                <w:szCs w:val="20"/>
              </w:rPr>
              <w:t>0,05</w:t>
            </w:r>
            <w:r w:rsidR="002201C0">
              <w:rPr>
                <w:rFonts w:ascii="Times New Roman" w:eastAsia="Calibri" w:hAnsi="Times New Roman" w:cs="Times New Roman"/>
                <w:bCs/>
                <w:sz w:val="20"/>
                <w:szCs w:val="20"/>
              </w:rPr>
              <w:t> </w:t>
            </w:r>
            <w:r w:rsidRPr="00A07F29">
              <w:rPr>
                <w:rFonts w:ascii="Times New Roman" w:eastAsia="Calibri" w:hAnsi="Times New Roman" w:cs="Times New Roman"/>
                <w:bCs/>
                <w:sz w:val="20"/>
                <w:szCs w:val="20"/>
              </w:rPr>
              <w:t>ha platībā</w:t>
            </w:r>
            <w:r w:rsidR="00A0103C" w:rsidRPr="00A07F29">
              <w:rPr>
                <w:rFonts w:ascii="Times New Roman" w:eastAsia="Calibri" w:hAnsi="Times New Roman" w:cs="Times New Roman"/>
                <w:sz w:val="20"/>
                <w:szCs w:val="20"/>
              </w:rPr>
              <w:t>, krastā koku josla</w:t>
            </w:r>
          </w:p>
        </w:tc>
      </w:tr>
      <w:tr w:rsidR="00B57963" w:rsidRPr="00A07F29" w14:paraId="1D0D6557" w14:textId="26182AB7" w:rsidTr="4284A616">
        <w:trPr>
          <w:jc w:val="center"/>
        </w:trPr>
        <w:tc>
          <w:tcPr>
            <w:tcW w:w="846" w:type="dxa"/>
            <w:shd w:val="clear" w:color="auto" w:fill="FFFFFF" w:themeFill="background1"/>
          </w:tcPr>
          <w:p w14:paraId="7D2BD612" w14:textId="0F11B353" w:rsidR="00B57963" w:rsidRPr="00A07F29" w:rsidRDefault="00B57963" w:rsidP="00B57963">
            <w:pPr>
              <w:suppressLineNumbers/>
              <w:spacing w:after="0" w:line="240" w:lineRule="auto"/>
              <w:jc w:val="center"/>
              <w:rPr>
                <w:rFonts w:ascii="Times New Roman" w:eastAsia="Source Han Sans CN Regular" w:hAnsi="Times New Roman" w:cs="Times New Roman"/>
                <w:color w:val="000000"/>
                <w:kern w:val="2"/>
                <w:sz w:val="20"/>
                <w:szCs w:val="20"/>
              </w:rPr>
            </w:pPr>
            <w:r w:rsidRPr="00A07F29">
              <w:rPr>
                <w:rFonts w:ascii="Times New Roman" w:eastAsia="Calibri" w:hAnsi="Times New Roman" w:cs="Times New Roman"/>
                <w:bCs/>
                <w:sz w:val="20"/>
                <w:szCs w:val="20"/>
              </w:rPr>
              <w:t>B.1.</w:t>
            </w:r>
          </w:p>
        </w:tc>
        <w:tc>
          <w:tcPr>
            <w:tcW w:w="3402" w:type="dxa"/>
            <w:shd w:val="clear" w:color="auto" w:fill="FFFFFF" w:themeFill="background1"/>
            <w:tcMar>
              <w:top w:w="0" w:type="dxa"/>
              <w:left w:w="107" w:type="dxa"/>
              <w:bottom w:w="0" w:type="dxa"/>
              <w:right w:w="108" w:type="dxa"/>
            </w:tcMar>
            <w:hideMark/>
          </w:tcPr>
          <w:p w14:paraId="4023017A" w14:textId="53EBAB21" w:rsidR="00B57963" w:rsidRPr="00A07F29" w:rsidRDefault="00B57963" w:rsidP="002B10DB">
            <w:pPr>
              <w:suppressLineNumbers/>
              <w:spacing w:after="0" w:line="240" w:lineRule="auto"/>
              <w:rPr>
                <w:rFonts w:ascii="Times New Roman" w:eastAsia="Source Han Sans CN Regular" w:hAnsi="Times New Roman" w:cs="Times New Roman"/>
                <w:color w:val="000000"/>
                <w:kern w:val="2"/>
                <w:sz w:val="20"/>
                <w:szCs w:val="20"/>
              </w:rPr>
            </w:pPr>
            <w:r w:rsidRPr="00A07F29">
              <w:rPr>
                <w:rFonts w:ascii="Times New Roman" w:eastAsia="Source Han Sans CN Regular" w:hAnsi="Times New Roman" w:cs="Times New Roman"/>
                <w:color w:val="000000"/>
                <w:kern w:val="2"/>
                <w:sz w:val="20"/>
                <w:szCs w:val="20"/>
              </w:rPr>
              <w:t>B.1.3.</w:t>
            </w:r>
            <w:r w:rsidR="002201C0">
              <w:rPr>
                <w:rFonts w:ascii="Times New Roman" w:eastAsia="Source Han Sans CN Regular" w:hAnsi="Times New Roman" w:cs="Times New Roman"/>
                <w:color w:val="000000"/>
                <w:kern w:val="2"/>
                <w:sz w:val="20"/>
                <w:szCs w:val="20"/>
              </w:rPr>
              <w:t> </w:t>
            </w:r>
            <w:r w:rsidRPr="00A07F29">
              <w:rPr>
                <w:rFonts w:ascii="Times New Roman" w:eastAsia="Source Han Sans CN Regular" w:hAnsi="Times New Roman" w:cs="Times New Roman"/>
                <w:color w:val="000000"/>
                <w:kern w:val="2"/>
                <w:sz w:val="20"/>
                <w:szCs w:val="20"/>
              </w:rPr>
              <w:t xml:space="preserve">Avotu ūdeņu pieplūdes nodrošināšana </w:t>
            </w:r>
            <w:proofErr w:type="spellStart"/>
            <w:r w:rsidRPr="00A07F29">
              <w:rPr>
                <w:rFonts w:ascii="Times New Roman" w:eastAsia="Source Han Sans CN Regular" w:hAnsi="Times New Roman" w:cs="Times New Roman"/>
                <w:color w:val="000000"/>
                <w:kern w:val="2"/>
                <w:sz w:val="20"/>
                <w:szCs w:val="20"/>
              </w:rPr>
              <w:t>Balticas</w:t>
            </w:r>
            <w:proofErr w:type="spellEnd"/>
            <w:r w:rsidRPr="00A07F29">
              <w:rPr>
                <w:rFonts w:ascii="Times New Roman" w:eastAsia="Source Han Sans CN Regular" w:hAnsi="Times New Roman" w:cs="Times New Roman"/>
                <w:color w:val="000000"/>
                <w:kern w:val="2"/>
                <w:sz w:val="20"/>
                <w:szCs w:val="20"/>
              </w:rPr>
              <w:t xml:space="preserve"> ezerā no sateces baseina</w:t>
            </w:r>
          </w:p>
        </w:tc>
        <w:tc>
          <w:tcPr>
            <w:tcW w:w="1701" w:type="dxa"/>
            <w:shd w:val="clear" w:color="auto" w:fill="FFFFFF" w:themeFill="background1"/>
            <w:tcMar>
              <w:top w:w="0" w:type="dxa"/>
              <w:left w:w="107" w:type="dxa"/>
              <w:bottom w:w="0" w:type="dxa"/>
              <w:right w:w="108" w:type="dxa"/>
            </w:tcMar>
            <w:hideMark/>
          </w:tcPr>
          <w:p w14:paraId="19F59F5A" w14:textId="77777777" w:rsidR="00B57963" w:rsidRPr="00A07F29" w:rsidRDefault="00B57963" w:rsidP="00B57963">
            <w:pPr>
              <w:spacing w:after="0" w:line="240" w:lineRule="auto"/>
              <w:jc w:val="center"/>
              <w:rPr>
                <w:rFonts w:ascii="Times New Roman" w:eastAsia="Calibri" w:hAnsi="Times New Roman" w:cs="Times New Roman"/>
                <w:bCs/>
                <w:sz w:val="20"/>
                <w:szCs w:val="20"/>
              </w:rPr>
            </w:pPr>
            <w:r w:rsidRPr="00A07F29">
              <w:rPr>
                <w:rFonts w:ascii="Times New Roman" w:eastAsia="Calibri" w:hAnsi="Times New Roman" w:cs="Times New Roman"/>
                <w:sz w:val="20"/>
                <w:szCs w:val="20"/>
              </w:rPr>
              <w:t>II</w:t>
            </w:r>
            <w:r w:rsidRPr="00A07F29">
              <w:rPr>
                <w:rFonts w:ascii="Times New Roman" w:eastAsia="Calibri" w:hAnsi="Times New Roman" w:cs="Times New Roman"/>
                <w:bCs/>
                <w:sz w:val="20"/>
                <w:szCs w:val="20"/>
              </w:rPr>
              <w:t>,</w:t>
            </w:r>
          </w:p>
          <w:p w14:paraId="06CF57C2" w14:textId="307B6478" w:rsidR="00B57963" w:rsidRPr="00A07F29" w:rsidRDefault="00B57963" w:rsidP="00B57963">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bCs/>
                <w:sz w:val="20"/>
                <w:szCs w:val="20"/>
              </w:rPr>
              <w:t xml:space="preserve">vienreizējs pasākums, uzturēšana – </w:t>
            </w:r>
            <w:r w:rsidR="00EF10FF" w:rsidRPr="00A07F29">
              <w:rPr>
                <w:rFonts w:ascii="Times New Roman" w:eastAsia="Calibri" w:hAnsi="Times New Roman" w:cs="Times New Roman"/>
                <w:bCs/>
                <w:sz w:val="20"/>
                <w:szCs w:val="20"/>
              </w:rPr>
              <w:t>visu plāna periodu</w:t>
            </w:r>
          </w:p>
        </w:tc>
        <w:tc>
          <w:tcPr>
            <w:tcW w:w="1984" w:type="dxa"/>
            <w:shd w:val="clear" w:color="auto" w:fill="FFFFFF" w:themeFill="background1"/>
          </w:tcPr>
          <w:p w14:paraId="4883E6CA" w14:textId="1D4830E5" w:rsidR="00B57963" w:rsidRPr="00C25036" w:rsidRDefault="008A5CD7" w:rsidP="00B57963">
            <w:pPr>
              <w:spacing w:after="0" w:line="240" w:lineRule="auto"/>
              <w:ind w:left="34"/>
              <w:jc w:val="both"/>
              <w:rPr>
                <w:rFonts w:ascii="Times New Roman" w:eastAsia="Calibri" w:hAnsi="Times New Roman" w:cs="Times New Roman"/>
                <w:bCs/>
                <w:sz w:val="20"/>
                <w:szCs w:val="20"/>
              </w:rPr>
            </w:pPr>
            <w:r w:rsidRPr="00C25036">
              <w:rPr>
                <w:rFonts w:ascii="Times New Roman" w:eastAsia="Calibri" w:hAnsi="Times New Roman" w:cs="Times New Roman"/>
                <w:sz w:val="20"/>
                <w:szCs w:val="20"/>
              </w:rPr>
              <w:t>Z</w:t>
            </w:r>
            <w:r w:rsidR="00B57963" w:rsidRPr="00C25036">
              <w:rPr>
                <w:rFonts w:ascii="Times New Roman" w:eastAsia="Calibri" w:hAnsi="Times New Roman" w:cs="Times New Roman"/>
                <w:sz w:val="20"/>
                <w:szCs w:val="20"/>
              </w:rPr>
              <w:t>emes īpašnieks</w:t>
            </w:r>
            <w:r w:rsidRPr="00C25036">
              <w:rPr>
                <w:rFonts w:ascii="Times New Roman" w:eastAsia="Calibri" w:hAnsi="Times New Roman" w:cs="Times New Roman"/>
                <w:sz w:val="20"/>
                <w:szCs w:val="20"/>
              </w:rPr>
              <w:t>, DAP</w:t>
            </w:r>
            <w:r w:rsidR="00F31129" w:rsidRPr="00C25036">
              <w:rPr>
                <w:rFonts w:ascii="Times New Roman" w:eastAsia="Calibri" w:hAnsi="Times New Roman" w:cs="Times New Roman"/>
                <w:sz w:val="20"/>
                <w:szCs w:val="20"/>
              </w:rPr>
              <w:t xml:space="preserve">, </w:t>
            </w:r>
            <w:r w:rsidR="00C25036" w:rsidRPr="00C25036">
              <w:rPr>
                <w:rFonts w:ascii="Times New Roman" w:eastAsia="Calibri" w:hAnsi="Times New Roman" w:cs="Times New Roman"/>
                <w:sz w:val="20"/>
                <w:szCs w:val="20"/>
              </w:rPr>
              <w:t>NVO</w:t>
            </w:r>
          </w:p>
        </w:tc>
        <w:tc>
          <w:tcPr>
            <w:tcW w:w="1560" w:type="dxa"/>
            <w:shd w:val="clear" w:color="auto" w:fill="FFFFFF" w:themeFill="background1"/>
          </w:tcPr>
          <w:p w14:paraId="086FCD4E" w14:textId="2214EE67" w:rsidR="00B57963" w:rsidRPr="00A07F29" w:rsidRDefault="00890540" w:rsidP="00B57963">
            <w:pPr>
              <w:spacing w:after="0" w:line="240" w:lineRule="auto"/>
              <w:ind w:left="34"/>
              <w:jc w:val="both"/>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Nelielas izmaksas</w:t>
            </w:r>
          </w:p>
        </w:tc>
        <w:tc>
          <w:tcPr>
            <w:tcW w:w="1984" w:type="dxa"/>
            <w:shd w:val="clear" w:color="auto" w:fill="FFFFFF" w:themeFill="background1"/>
          </w:tcPr>
          <w:p w14:paraId="30A32953" w14:textId="7A960EFC" w:rsidR="00B57963" w:rsidRPr="00A07F29" w:rsidRDefault="00B57963" w:rsidP="00B57963">
            <w:pPr>
              <w:spacing w:after="0" w:line="240" w:lineRule="auto"/>
              <w:ind w:left="34"/>
              <w:jc w:val="both"/>
              <w:rPr>
                <w:rFonts w:ascii="Times New Roman" w:eastAsia="Calibri" w:hAnsi="Times New Roman" w:cs="Times New Roman"/>
                <w:bCs/>
                <w:sz w:val="20"/>
                <w:szCs w:val="20"/>
              </w:rPr>
            </w:pPr>
            <w:r w:rsidRPr="00A07F29">
              <w:rPr>
                <w:rFonts w:ascii="Times New Roman" w:eastAsia="Calibri" w:hAnsi="Times New Roman" w:cs="Times New Roman"/>
                <w:sz w:val="20"/>
                <w:szCs w:val="20"/>
              </w:rPr>
              <w:t>Projektu finansējums</w:t>
            </w:r>
          </w:p>
        </w:tc>
        <w:tc>
          <w:tcPr>
            <w:tcW w:w="3686" w:type="dxa"/>
            <w:shd w:val="clear" w:color="auto" w:fill="FFFFFF" w:themeFill="background1"/>
          </w:tcPr>
          <w:p w14:paraId="082B748B" w14:textId="7D2D2407" w:rsidR="00B57963" w:rsidRPr="00A07F29" w:rsidRDefault="00B57963" w:rsidP="00315E9F">
            <w:pPr>
              <w:spacing w:after="0" w:line="240" w:lineRule="auto"/>
              <w:ind w:left="34"/>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Samazināta slīkšņas platība ezera D gala sašaurinājumā. Strauta gultne R krastā attīrīta no kritalām (platība 0,13</w:t>
            </w:r>
            <w:r w:rsidR="00BD29D6">
              <w:rPr>
                <w:rFonts w:ascii="Times New Roman" w:eastAsia="Calibri" w:hAnsi="Times New Roman" w:cs="Times New Roman"/>
                <w:bCs/>
                <w:sz w:val="20"/>
                <w:szCs w:val="20"/>
              </w:rPr>
              <w:t> </w:t>
            </w:r>
            <w:r w:rsidRPr="00A07F29">
              <w:rPr>
                <w:rFonts w:ascii="Times New Roman" w:eastAsia="Calibri" w:hAnsi="Times New Roman" w:cs="Times New Roman"/>
                <w:bCs/>
                <w:sz w:val="20"/>
                <w:szCs w:val="20"/>
              </w:rPr>
              <w:t>ha)</w:t>
            </w:r>
          </w:p>
        </w:tc>
      </w:tr>
      <w:tr w:rsidR="00B57963" w:rsidRPr="00A07F29" w14:paraId="260E3BBE" w14:textId="0622A59B" w:rsidTr="4284A616">
        <w:trPr>
          <w:jc w:val="center"/>
        </w:trPr>
        <w:tc>
          <w:tcPr>
            <w:tcW w:w="846" w:type="dxa"/>
            <w:shd w:val="clear" w:color="auto" w:fill="FFFFFF" w:themeFill="background1"/>
          </w:tcPr>
          <w:p w14:paraId="12F6F7AB" w14:textId="35192DDA" w:rsidR="00B57963" w:rsidRPr="00A07F29" w:rsidRDefault="00B57963" w:rsidP="00B57963">
            <w:pPr>
              <w:suppressLineNumbers/>
              <w:spacing w:after="0" w:line="240" w:lineRule="auto"/>
              <w:jc w:val="center"/>
              <w:rPr>
                <w:rFonts w:ascii="Times New Roman" w:eastAsia="Source Han Sans CN Regular" w:hAnsi="Times New Roman" w:cs="Times New Roman"/>
                <w:color w:val="000000"/>
                <w:kern w:val="2"/>
                <w:sz w:val="20"/>
                <w:szCs w:val="20"/>
              </w:rPr>
            </w:pPr>
            <w:r w:rsidRPr="00A07F29">
              <w:rPr>
                <w:rFonts w:ascii="Times New Roman" w:eastAsia="Calibri" w:hAnsi="Times New Roman" w:cs="Times New Roman"/>
                <w:bCs/>
                <w:sz w:val="20"/>
                <w:szCs w:val="20"/>
              </w:rPr>
              <w:t>B.1.</w:t>
            </w:r>
          </w:p>
        </w:tc>
        <w:tc>
          <w:tcPr>
            <w:tcW w:w="3402" w:type="dxa"/>
            <w:shd w:val="clear" w:color="auto" w:fill="FFFFFF" w:themeFill="background1"/>
            <w:tcMar>
              <w:top w:w="0" w:type="dxa"/>
              <w:left w:w="107" w:type="dxa"/>
              <w:bottom w:w="0" w:type="dxa"/>
              <w:right w:w="108" w:type="dxa"/>
            </w:tcMar>
            <w:hideMark/>
          </w:tcPr>
          <w:p w14:paraId="25F572A7" w14:textId="7AF7893D" w:rsidR="00B57963" w:rsidRPr="00A07F29" w:rsidRDefault="00B57963" w:rsidP="002B10DB">
            <w:pPr>
              <w:suppressLineNumbers/>
              <w:spacing w:after="0" w:line="240" w:lineRule="auto"/>
              <w:rPr>
                <w:rFonts w:ascii="Times New Roman" w:eastAsia="Source Han Sans CN Regular" w:hAnsi="Times New Roman" w:cs="Times New Roman"/>
                <w:color w:val="000000"/>
                <w:kern w:val="2"/>
                <w:sz w:val="20"/>
                <w:szCs w:val="20"/>
              </w:rPr>
            </w:pPr>
            <w:r w:rsidRPr="00A07F29">
              <w:rPr>
                <w:rFonts w:ascii="Times New Roman" w:eastAsia="Source Han Sans CN Regular" w:hAnsi="Times New Roman" w:cs="Times New Roman"/>
                <w:color w:val="000000"/>
                <w:kern w:val="2"/>
                <w:sz w:val="20"/>
                <w:szCs w:val="20"/>
              </w:rPr>
              <w:t>B.1.4.</w:t>
            </w:r>
            <w:r w:rsidR="00BD29D6">
              <w:rPr>
                <w:rFonts w:ascii="Times New Roman" w:eastAsia="Source Han Sans CN Regular" w:hAnsi="Times New Roman" w:cs="Times New Roman"/>
                <w:color w:val="000000"/>
                <w:kern w:val="2"/>
                <w:sz w:val="20"/>
                <w:szCs w:val="20"/>
              </w:rPr>
              <w:t> </w:t>
            </w:r>
            <w:r w:rsidRPr="00A07F29">
              <w:rPr>
                <w:rFonts w:ascii="Times New Roman" w:eastAsia="Source Han Sans CN Regular" w:hAnsi="Times New Roman" w:cs="Times New Roman"/>
                <w:color w:val="000000"/>
                <w:kern w:val="2"/>
                <w:sz w:val="20"/>
                <w:szCs w:val="20"/>
              </w:rPr>
              <w:t xml:space="preserve">Koku sagāzumu likvidēšana no </w:t>
            </w:r>
            <w:proofErr w:type="spellStart"/>
            <w:r w:rsidRPr="00A07F29">
              <w:rPr>
                <w:rFonts w:ascii="Times New Roman" w:eastAsia="Source Han Sans CN Regular" w:hAnsi="Times New Roman" w:cs="Times New Roman"/>
                <w:color w:val="000000"/>
                <w:kern w:val="2"/>
                <w:sz w:val="20"/>
                <w:szCs w:val="20"/>
              </w:rPr>
              <w:t>Varnaviču</w:t>
            </w:r>
            <w:proofErr w:type="spellEnd"/>
            <w:r w:rsidRPr="00A07F29">
              <w:rPr>
                <w:rFonts w:ascii="Times New Roman" w:eastAsia="Source Han Sans CN Regular" w:hAnsi="Times New Roman" w:cs="Times New Roman"/>
                <w:color w:val="000000"/>
                <w:kern w:val="2"/>
                <w:sz w:val="20"/>
                <w:szCs w:val="20"/>
              </w:rPr>
              <w:t xml:space="preserve"> ezera iztekošajā </w:t>
            </w:r>
            <w:proofErr w:type="spellStart"/>
            <w:r w:rsidRPr="00A07F29">
              <w:rPr>
                <w:rFonts w:ascii="Times New Roman" w:eastAsia="Source Han Sans CN Regular" w:hAnsi="Times New Roman" w:cs="Times New Roman"/>
                <w:color w:val="000000"/>
                <w:kern w:val="2"/>
                <w:sz w:val="20"/>
                <w:szCs w:val="20"/>
              </w:rPr>
              <w:t>Varnaviču</w:t>
            </w:r>
            <w:proofErr w:type="spellEnd"/>
            <w:r w:rsidRPr="00A07F29">
              <w:rPr>
                <w:rFonts w:ascii="Times New Roman" w:eastAsia="Source Han Sans CN Regular" w:hAnsi="Times New Roman" w:cs="Times New Roman"/>
                <w:color w:val="000000"/>
                <w:kern w:val="2"/>
                <w:sz w:val="20"/>
                <w:szCs w:val="20"/>
              </w:rPr>
              <w:t xml:space="preserve"> strautā un tā krastos</w:t>
            </w:r>
          </w:p>
        </w:tc>
        <w:tc>
          <w:tcPr>
            <w:tcW w:w="1701" w:type="dxa"/>
            <w:shd w:val="clear" w:color="auto" w:fill="FFFFFF" w:themeFill="background1"/>
            <w:tcMar>
              <w:top w:w="0" w:type="dxa"/>
              <w:left w:w="107" w:type="dxa"/>
              <w:bottom w:w="0" w:type="dxa"/>
              <w:right w:w="108" w:type="dxa"/>
            </w:tcMar>
            <w:hideMark/>
          </w:tcPr>
          <w:p w14:paraId="3567CED9" w14:textId="7F9E4BC7" w:rsidR="00B57963" w:rsidRPr="00A07F29" w:rsidRDefault="00B57963" w:rsidP="00B57963">
            <w:pPr>
              <w:spacing w:after="0" w:line="240" w:lineRule="auto"/>
              <w:jc w:val="center"/>
              <w:rPr>
                <w:rFonts w:ascii="Times New Roman" w:eastAsia="Calibri" w:hAnsi="Times New Roman" w:cs="Times New Roman"/>
                <w:bCs/>
                <w:sz w:val="20"/>
                <w:szCs w:val="20"/>
              </w:rPr>
            </w:pPr>
            <w:r w:rsidRPr="00A07F29">
              <w:rPr>
                <w:rFonts w:ascii="Times New Roman" w:eastAsia="Calibri" w:hAnsi="Times New Roman" w:cs="Times New Roman"/>
                <w:sz w:val="20"/>
                <w:szCs w:val="20"/>
              </w:rPr>
              <w:t>I</w:t>
            </w:r>
            <w:r w:rsidRPr="00A07F29">
              <w:rPr>
                <w:rFonts w:ascii="Times New Roman" w:eastAsia="Calibri" w:hAnsi="Times New Roman" w:cs="Times New Roman"/>
                <w:bCs/>
                <w:sz w:val="20"/>
                <w:szCs w:val="20"/>
              </w:rPr>
              <w:t>,</w:t>
            </w:r>
          </w:p>
          <w:p w14:paraId="273FB7B2" w14:textId="08CA2EFB" w:rsidR="00B57963" w:rsidRPr="00A07F29" w:rsidRDefault="00B57963" w:rsidP="00B57963">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bCs/>
                <w:sz w:val="20"/>
                <w:szCs w:val="20"/>
              </w:rPr>
              <w:t xml:space="preserve">vienreizējs pasākums, uzturēšana – </w:t>
            </w:r>
            <w:r w:rsidR="00EF10FF" w:rsidRPr="00A07F29">
              <w:rPr>
                <w:rFonts w:ascii="Times New Roman" w:eastAsia="Calibri" w:hAnsi="Times New Roman" w:cs="Times New Roman"/>
                <w:bCs/>
                <w:sz w:val="20"/>
                <w:szCs w:val="20"/>
              </w:rPr>
              <w:t>visu plāna periodu</w:t>
            </w:r>
          </w:p>
        </w:tc>
        <w:tc>
          <w:tcPr>
            <w:tcW w:w="1984" w:type="dxa"/>
            <w:shd w:val="clear" w:color="auto" w:fill="FFFFFF" w:themeFill="background1"/>
          </w:tcPr>
          <w:p w14:paraId="4C27304A" w14:textId="64A60D45" w:rsidR="00B57963" w:rsidRPr="00C25036" w:rsidRDefault="008A5CD7" w:rsidP="008A5CD7">
            <w:pPr>
              <w:spacing w:after="0" w:line="240" w:lineRule="auto"/>
              <w:ind w:left="34"/>
              <w:jc w:val="both"/>
              <w:rPr>
                <w:rFonts w:ascii="Times New Roman" w:eastAsia="Calibri" w:hAnsi="Times New Roman" w:cs="Times New Roman"/>
                <w:sz w:val="20"/>
                <w:szCs w:val="20"/>
              </w:rPr>
            </w:pPr>
            <w:r w:rsidRPr="00C25036">
              <w:rPr>
                <w:rFonts w:ascii="Times New Roman" w:eastAsia="Calibri" w:hAnsi="Times New Roman" w:cs="Times New Roman"/>
                <w:sz w:val="20"/>
                <w:szCs w:val="20"/>
              </w:rPr>
              <w:t>Zemes īpašnieks, DAP</w:t>
            </w:r>
            <w:r w:rsidR="00890540" w:rsidRPr="00C25036">
              <w:rPr>
                <w:rFonts w:ascii="Times New Roman" w:eastAsia="Calibri" w:hAnsi="Times New Roman" w:cs="Times New Roman"/>
                <w:sz w:val="20"/>
                <w:szCs w:val="20"/>
              </w:rPr>
              <w:t xml:space="preserve">, </w:t>
            </w:r>
            <w:r w:rsidR="00C25036" w:rsidRPr="00C25036">
              <w:rPr>
                <w:rFonts w:ascii="Times New Roman" w:eastAsia="Calibri" w:hAnsi="Times New Roman" w:cs="Times New Roman"/>
                <w:sz w:val="20"/>
                <w:szCs w:val="20"/>
              </w:rPr>
              <w:t>NVO</w:t>
            </w:r>
          </w:p>
        </w:tc>
        <w:tc>
          <w:tcPr>
            <w:tcW w:w="1560" w:type="dxa"/>
            <w:shd w:val="clear" w:color="auto" w:fill="FFFFFF" w:themeFill="background1"/>
          </w:tcPr>
          <w:p w14:paraId="2F25A5E0" w14:textId="719242DF" w:rsidR="00B57963" w:rsidRPr="00A07F29" w:rsidRDefault="00890540" w:rsidP="00B57963">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Nelielas izmaksas</w:t>
            </w:r>
          </w:p>
        </w:tc>
        <w:tc>
          <w:tcPr>
            <w:tcW w:w="1984" w:type="dxa"/>
            <w:shd w:val="clear" w:color="auto" w:fill="FFFFFF" w:themeFill="background1"/>
          </w:tcPr>
          <w:p w14:paraId="6D17C04B" w14:textId="18A2896D" w:rsidR="00B57963" w:rsidRPr="00A07F29" w:rsidRDefault="00B57963" w:rsidP="00B57963">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Zemes īpašnieka līdzekļi</w:t>
            </w:r>
            <w:r w:rsidR="000E2EC0" w:rsidRPr="00A07F29">
              <w:rPr>
                <w:rFonts w:ascii="Times New Roman" w:eastAsia="Calibri" w:hAnsi="Times New Roman" w:cs="Times New Roman"/>
                <w:sz w:val="20"/>
                <w:szCs w:val="20"/>
              </w:rPr>
              <w:t>, projektu finansējums</w:t>
            </w:r>
          </w:p>
        </w:tc>
        <w:tc>
          <w:tcPr>
            <w:tcW w:w="3686" w:type="dxa"/>
            <w:shd w:val="clear" w:color="auto" w:fill="FFFFFF" w:themeFill="background1"/>
          </w:tcPr>
          <w:p w14:paraId="7A37EC1E" w14:textId="6F8F881F" w:rsidR="00B57963" w:rsidRPr="00A07F29" w:rsidRDefault="00B57963" w:rsidP="00315E9F">
            <w:pPr>
              <w:spacing w:after="0" w:line="240" w:lineRule="auto"/>
              <w:ind w:left="34"/>
              <w:rPr>
                <w:rFonts w:ascii="Times New Roman" w:eastAsia="Calibri" w:hAnsi="Times New Roman" w:cs="Times New Roman"/>
                <w:bCs/>
                <w:sz w:val="20"/>
                <w:szCs w:val="20"/>
              </w:rPr>
            </w:pPr>
            <w:r w:rsidRPr="00A07F29">
              <w:rPr>
                <w:rFonts w:ascii="Times New Roman" w:eastAsia="Calibri" w:hAnsi="Times New Roman" w:cs="Times New Roman"/>
                <w:sz w:val="20"/>
                <w:szCs w:val="20"/>
              </w:rPr>
              <w:t xml:space="preserve">Novākti koku sagāzumi strautā un tā krastos </w:t>
            </w:r>
            <w:r w:rsidRPr="00A07F29">
              <w:rPr>
                <w:rFonts w:ascii="Times New Roman" w:eastAsia="Calibri" w:hAnsi="Times New Roman" w:cs="Times New Roman"/>
                <w:bCs/>
                <w:sz w:val="20"/>
                <w:szCs w:val="20"/>
              </w:rPr>
              <w:t>0,38</w:t>
            </w:r>
            <w:r w:rsidR="00394E7E">
              <w:rPr>
                <w:rFonts w:ascii="Times New Roman" w:eastAsia="Calibri" w:hAnsi="Times New Roman" w:cs="Times New Roman"/>
                <w:bCs/>
                <w:sz w:val="20"/>
                <w:szCs w:val="20"/>
              </w:rPr>
              <w:t> </w:t>
            </w:r>
            <w:r w:rsidRPr="00A07F29">
              <w:rPr>
                <w:rFonts w:ascii="Times New Roman" w:eastAsia="Calibri" w:hAnsi="Times New Roman" w:cs="Times New Roman"/>
                <w:bCs/>
                <w:sz w:val="20"/>
                <w:szCs w:val="20"/>
              </w:rPr>
              <w:t xml:space="preserve">ha platībā, ūdens plūsmā strauta iztekā no ezera nav šķēršļu, </w:t>
            </w:r>
            <w:r w:rsidR="00A0103C" w:rsidRPr="00A07F29">
              <w:rPr>
                <w:rFonts w:ascii="Times New Roman" w:eastAsia="Calibri" w:hAnsi="Times New Roman" w:cs="Times New Roman"/>
                <w:bCs/>
                <w:sz w:val="20"/>
                <w:szCs w:val="20"/>
              </w:rPr>
              <w:t>ezera līmenis nav paaugstināts</w:t>
            </w:r>
          </w:p>
        </w:tc>
      </w:tr>
      <w:tr w:rsidR="00B57963" w:rsidRPr="00A07F29" w14:paraId="65A3A747" w14:textId="4E6A3FAC" w:rsidTr="4284A616">
        <w:trPr>
          <w:jc w:val="center"/>
        </w:trPr>
        <w:tc>
          <w:tcPr>
            <w:tcW w:w="846" w:type="dxa"/>
            <w:shd w:val="clear" w:color="auto" w:fill="FFFFFF" w:themeFill="background1"/>
          </w:tcPr>
          <w:p w14:paraId="2D0BCE12" w14:textId="2200CE9A" w:rsidR="00B57963" w:rsidRPr="00A07F29" w:rsidRDefault="00B57963" w:rsidP="00B57963">
            <w:pPr>
              <w:spacing w:after="0" w:line="240" w:lineRule="auto"/>
              <w:jc w:val="center"/>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B.1.</w:t>
            </w:r>
          </w:p>
        </w:tc>
        <w:tc>
          <w:tcPr>
            <w:tcW w:w="3402" w:type="dxa"/>
            <w:shd w:val="clear" w:color="auto" w:fill="FFFFFF" w:themeFill="background1"/>
            <w:hideMark/>
          </w:tcPr>
          <w:p w14:paraId="0B16A1B9" w14:textId="4A38141C" w:rsidR="00B57963" w:rsidRPr="00A07F29" w:rsidRDefault="00B57963" w:rsidP="00315E9F">
            <w:pPr>
              <w:spacing w:after="0" w:line="240" w:lineRule="auto"/>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B.1.5.</w:t>
            </w:r>
            <w:r w:rsidR="00597CF6">
              <w:rPr>
                <w:rFonts w:ascii="Times New Roman" w:eastAsia="Calibri" w:hAnsi="Times New Roman" w:cs="Times New Roman"/>
                <w:bCs/>
                <w:sz w:val="20"/>
                <w:szCs w:val="20"/>
              </w:rPr>
              <w:t> </w:t>
            </w:r>
            <w:proofErr w:type="spellStart"/>
            <w:r w:rsidRPr="00A07F29">
              <w:rPr>
                <w:rFonts w:ascii="Times New Roman" w:eastAsia="Calibri" w:hAnsi="Times New Roman" w:cs="Times New Roman"/>
                <w:bCs/>
                <w:sz w:val="20"/>
                <w:szCs w:val="20"/>
              </w:rPr>
              <w:t>Virsūdens</w:t>
            </w:r>
            <w:proofErr w:type="spellEnd"/>
            <w:r w:rsidRPr="00A07F29">
              <w:rPr>
                <w:rFonts w:ascii="Times New Roman" w:eastAsia="Calibri" w:hAnsi="Times New Roman" w:cs="Times New Roman"/>
                <w:bCs/>
                <w:sz w:val="20"/>
                <w:szCs w:val="20"/>
              </w:rPr>
              <w:t xml:space="preserve"> (niedru) augāja pļaušana un izvākšana </w:t>
            </w:r>
            <w:r w:rsidR="00597CF6">
              <w:rPr>
                <w:rFonts w:ascii="Times New Roman" w:eastAsia="Calibri" w:hAnsi="Times New Roman" w:cs="Times New Roman"/>
                <w:bCs/>
                <w:sz w:val="20"/>
                <w:szCs w:val="20"/>
              </w:rPr>
              <w:t>sešos</w:t>
            </w:r>
            <w:r w:rsidRPr="00A07F29">
              <w:rPr>
                <w:rFonts w:ascii="Times New Roman" w:eastAsia="Calibri" w:hAnsi="Times New Roman" w:cs="Times New Roman"/>
                <w:bCs/>
                <w:sz w:val="20"/>
                <w:szCs w:val="20"/>
              </w:rPr>
              <w:t xml:space="preserve"> ezeros</w:t>
            </w:r>
          </w:p>
        </w:tc>
        <w:tc>
          <w:tcPr>
            <w:tcW w:w="1701" w:type="dxa"/>
            <w:shd w:val="clear" w:color="auto" w:fill="FFFFFF" w:themeFill="background1"/>
            <w:hideMark/>
          </w:tcPr>
          <w:p w14:paraId="43A146AE" w14:textId="77777777" w:rsidR="00B57963" w:rsidRPr="00A07F29" w:rsidRDefault="00B57963" w:rsidP="00B57963">
            <w:pPr>
              <w:spacing w:after="0" w:line="240" w:lineRule="auto"/>
              <w:jc w:val="center"/>
              <w:rPr>
                <w:rFonts w:ascii="Times New Roman" w:eastAsia="Calibri" w:hAnsi="Times New Roman" w:cs="Times New Roman"/>
                <w:bCs/>
                <w:sz w:val="20"/>
                <w:szCs w:val="20"/>
              </w:rPr>
            </w:pPr>
            <w:r w:rsidRPr="00A07F29">
              <w:rPr>
                <w:rFonts w:ascii="Times New Roman" w:eastAsia="Calibri" w:hAnsi="Times New Roman" w:cs="Times New Roman"/>
                <w:sz w:val="20"/>
                <w:szCs w:val="20"/>
              </w:rPr>
              <w:t>II</w:t>
            </w:r>
            <w:r w:rsidRPr="00A07F29">
              <w:rPr>
                <w:rFonts w:ascii="Times New Roman" w:eastAsia="Calibri" w:hAnsi="Times New Roman" w:cs="Times New Roman"/>
                <w:bCs/>
                <w:sz w:val="20"/>
                <w:szCs w:val="20"/>
              </w:rPr>
              <w:t>,</w:t>
            </w:r>
          </w:p>
          <w:p w14:paraId="00B6794E" w14:textId="7251A3EF" w:rsidR="00B57963" w:rsidRPr="00A07F29" w:rsidRDefault="00EF10FF" w:rsidP="00B57963">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bCs/>
                <w:sz w:val="20"/>
                <w:szCs w:val="20"/>
              </w:rPr>
              <w:t>visu plāna periodu</w:t>
            </w:r>
          </w:p>
        </w:tc>
        <w:tc>
          <w:tcPr>
            <w:tcW w:w="1984" w:type="dxa"/>
            <w:shd w:val="clear" w:color="auto" w:fill="FFFFFF" w:themeFill="background1"/>
          </w:tcPr>
          <w:p w14:paraId="09DA88F1" w14:textId="31450D75" w:rsidR="00B57963" w:rsidRPr="00C25036" w:rsidRDefault="008A5CD7" w:rsidP="00B57963">
            <w:pPr>
              <w:spacing w:after="0" w:line="240" w:lineRule="auto"/>
              <w:ind w:left="34"/>
              <w:jc w:val="both"/>
              <w:rPr>
                <w:rFonts w:ascii="Times New Roman" w:eastAsia="Calibri" w:hAnsi="Times New Roman" w:cs="Times New Roman"/>
                <w:bCs/>
                <w:sz w:val="20"/>
                <w:szCs w:val="20"/>
              </w:rPr>
            </w:pPr>
            <w:r w:rsidRPr="00C25036">
              <w:rPr>
                <w:rFonts w:ascii="Times New Roman" w:eastAsia="Calibri" w:hAnsi="Times New Roman" w:cs="Times New Roman"/>
                <w:sz w:val="20"/>
                <w:szCs w:val="20"/>
              </w:rPr>
              <w:t>Z</w:t>
            </w:r>
            <w:r w:rsidR="000E2EC0" w:rsidRPr="00C25036">
              <w:rPr>
                <w:rFonts w:ascii="Times New Roman" w:eastAsia="Calibri" w:hAnsi="Times New Roman" w:cs="Times New Roman"/>
                <w:sz w:val="20"/>
                <w:szCs w:val="20"/>
              </w:rPr>
              <w:t>emes īpašnieki</w:t>
            </w:r>
            <w:r w:rsidRPr="00C25036">
              <w:rPr>
                <w:rFonts w:ascii="Times New Roman" w:eastAsia="Calibri" w:hAnsi="Times New Roman" w:cs="Times New Roman"/>
                <w:sz w:val="20"/>
                <w:szCs w:val="20"/>
              </w:rPr>
              <w:t>, DAP</w:t>
            </w:r>
            <w:r w:rsidR="00890540" w:rsidRPr="00C25036">
              <w:rPr>
                <w:rFonts w:ascii="Times New Roman" w:eastAsia="Calibri" w:hAnsi="Times New Roman" w:cs="Times New Roman"/>
                <w:sz w:val="20"/>
                <w:szCs w:val="20"/>
              </w:rPr>
              <w:t xml:space="preserve">, </w:t>
            </w:r>
            <w:r w:rsidR="00C25036" w:rsidRPr="00C25036">
              <w:rPr>
                <w:rFonts w:ascii="Times New Roman" w:eastAsia="Calibri" w:hAnsi="Times New Roman" w:cs="Times New Roman"/>
                <w:sz w:val="20"/>
                <w:szCs w:val="20"/>
              </w:rPr>
              <w:t>NVO</w:t>
            </w:r>
          </w:p>
        </w:tc>
        <w:tc>
          <w:tcPr>
            <w:tcW w:w="1560" w:type="dxa"/>
            <w:shd w:val="clear" w:color="auto" w:fill="FFFFFF" w:themeFill="background1"/>
          </w:tcPr>
          <w:p w14:paraId="449330EF" w14:textId="694BC142" w:rsidR="00B57963" w:rsidRPr="00A07F29" w:rsidRDefault="00720BF9" w:rsidP="00B57963">
            <w:pPr>
              <w:spacing w:after="0" w:line="240" w:lineRule="auto"/>
              <w:ind w:left="34"/>
              <w:jc w:val="both"/>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20</w:t>
            </w:r>
            <w:r w:rsidR="00597CF6">
              <w:rPr>
                <w:rFonts w:ascii="Times New Roman" w:eastAsia="Calibri" w:hAnsi="Times New Roman" w:cs="Times New Roman"/>
                <w:bCs/>
                <w:sz w:val="20"/>
                <w:szCs w:val="20"/>
              </w:rPr>
              <w:t> </w:t>
            </w:r>
            <w:r w:rsidRPr="00A07F29">
              <w:rPr>
                <w:rFonts w:ascii="Times New Roman" w:eastAsia="Calibri" w:hAnsi="Times New Roman" w:cs="Times New Roman"/>
                <w:bCs/>
                <w:sz w:val="20"/>
                <w:szCs w:val="20"/>
              </w:rPr>
              <w:t>000</w:t>
            </w:r>
            <w:r w:rsidR="00597CF6">
              <w:rPr>
                <w:rFonts w:ascii="Times New Roman" w:eastAsia="Calibri" w:hAnsi="Times New Roman" w:cs="Times New Roman"/>
                <w:bCs/>
                <w:sz w:val="20"/>
                <w:szCs w:val="20"/>
              </w:rPr>
              <w:t> </w:t>
            </w:r>
            <w:r w:rsidRPr="00A07F29">
              <w:rPr>
                <w:rFonts w:ascii="Times New Roman" w:eastAsia="Calibri" w:hAnsi="Times New Roman" w:cs="Times New Roman"/>
                <w:bCs/>
                <w:sz w:val="20"/>
                <w:szCs w:val="20"/>
              </w:rPr>
              <w:t>EUR ik gadu</w:t>
            </w:r>
          </w:p>
        </w:tc>
        <w:tc>
          <w:tcPr>
            <w:tcW w:w="1984" w:type="dxa"/>
            <w:shd w:val="clear" w:color="auto" w:fill="FFFFFF" w:themeFill="background1"/>
          </w:tcPr>
          <w:p w14:paraId="798B971C" w14:textId="14A7BCDC" w:rsidR="00B57963" w:rsidRPr="00A07F29" w:rsidRDefault="00B57963" w:rsidP="00B57963">
            <w:pPr>
              <w:spacing w:after="0" w:line="240" w:lineRule="auto"/>
              <w:ind w:left="34"/>
              <w:jc w:val="both"/>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Projektu finansējums</w:t>
            </w:r>
          </w:p>
        </w:tc>
        <w:tc>
          <w:tcPr>
            <w:tcW w:w="3686" w:type="dxa"/>
            <w:shd w:val="clear" w:color="auto" w:fill="FFFFFF" w:themeFill="background1"/>
          </w:tcPr>
          <w:p w14:paraId="5D197E3A" w14:textId="06B92AF9" w:rsidR="00B57963" w:rsidRPr="00A07F29" w:rsidRDefault="00880DCB" w:rsidP="005F3D04">
            <w:pPr>
              <w:spacing w:after="0" w:line="240" w:lineRule="auto"/>
              <w:ind w:left="34"/>
              <w:rPr>
                <w:rFonts w:ascii="Times New Roman" w:eastAsia="Calibri" w:hAnsi="Times New Roman" w:cs="Times New Roman"/>
                <w:bCs/>
                <w:sz w:val="20"/>
                <w:szCs w:val="20"/>
              </w:rPr>
            </w:pPr>
            <w:r>
              <w:rPr>
                <w:rFonts w:ascii="Times New Roman" w:eastAsia="Calibri" w:hAnsi="Times New Roman" w:cs="Times New Roman"/>
                <w:bCs/>
                <w:sz w:val="20"/>
                <w:szCs w:val="20"/>
              </w:rPr>
              <w:t>Sešos</w:t>
            </w:r>
            <w:r w:rsidR="00B57963" w:rsidRPr="00A07F29">
              <w:rPr>
                <w:rFonts w:ascii="Times New Roman" w:eastAsia="Calibri" w:hAnsi="Times New Roman" w:cs="Times New Roman"/>
                <w:bCs/>
                <w:sz w:val="20"/>
                <w:szCs w:val="20"/>
              </w:rPr>
              <w:t xml:space="preserve"> ezeros samazināts </w:t>
            </w:r>
            <w:proofErr w:type="spellStart"/>
            <w:r w:rsidR="00B57963" w:rsidRPr="00A07F29">
              <w:rPr>
                <w:rFonts w:ascii="Times New Roman" w:eastAsia="Calibri" w:hAnsi="Times New Roman" w:cs="Times New Roman"/>
                <w:bCs/>
                <w:sz w:val="20"/>
                <w:szCs w:val="20"/>
              </w:rPr>
              <w:t>aizaugums</w:t>
            </w:r>
            <w:proofErr w:type="spellEnd"/>
            <w:r w:rsidR="00B57963" w:rsidRPr="00A07F29">
              <w:rPr>
                <w:rFonts w:ascii="Times New Roman" w:eastAsia="Calibri" w:hAnsi="Times New Roman" w:cs="Times New Roman"/>
                <w:bCs/>
                <w:sz w:val="20"/>
                <w:szCs w:val="20"/>
              </w:rPr>
              <w:t xml:space="preserve"> ar niedri (niedru audžu platība un blīvums)</w:t>
            </w:r>
            <w:r w:rsidR="00A0103C" w:rsidRPr="00A07F29">
              <w:rPr>
                <w:rFonts w:ascii="Times New Roman" w:eastAsia="Calibri" w:hAnsi="Times New Roman" w:cs="Times New Roman"/>
                <w:bCs/>
                <w:sz w:val="20"/>
                <w:szCs w:val="20"/>
              </w:rPr>
              <w:t xml:space="preserve"> </w:t>
            </w:r>
            <w:r w:rsidR="005F3D04" w:rsidRPr="00A07F29">
              <w:rPr>
                <w:rFonts w:ascii="Times New Roman" w:eastAsia="Calibri" w:hAnsi="Times New Roman" w:cs="Times New Roman"/>
                <w:bCs/>
                <w:sz w:val="20"/>
                <w:szCs w:val="20"/>
              </w:rPr>
              <w:t>6,7</w:t>
            </w:r>
            <w:r>
              <w:rPr>
                <w:rFonts w:ascii="Times New Roman" w:eastAsia="Calibri" w:hAnsi="Times New Roman" w:cs="Times New Roman"/>
                <w:bCs/>
                <w:sz w:val="20"/>
                <w:szCs w:val="20"/>
              </w:rPr>
              <w:t> </w:t>
            </w:r>
            <w:r w:rsidR="00B57963" w:rsidRPr="00A07F29">
              <w:rPr>
                <w:rFonts w:ascii="Times New Roman" w:eastAsia="Calibri" w:hAnsi="Times New Roman" w:cs="Times New Roman"/>
                <w:bCs/>
                <w:sz w:val="20"/>
                <w:szCs w:val="20"/>
              </w:rPr>
              <w:t xml:space="preserve">ha kopplatībā </w:t>
            </w:r>
          </w:p>
        </w:tc>
      </w:tr>
      <w:tr w:rsidR="00B57963" w:rsidRPr="00A07F29" w14:paraId="22E661EB" w14:textId="360C619F" w:rsidTr="4284A616">
        <w:trPr>
          <w:jc w:val="center"/>
        </w:trPr>
        <w:tc>
          <w:tcPr>
            <w:tcW w:w="846" w:type="dxa"/>
            <w:shd w:val="clear" w:color="auto" w:fill="FFFFFF" w:themeFill="background1"/>
          </w:tcPr>
          <w:p w14:paraId="02AAFA08" w14:textId="1402AB96" w:rsidR="00B57963" w:rsidRPr="00A07F29" w:rsidRDefault="00B57963" w:rsidP="00B57963">
            <w:pPr>
              <w:spacing w:after="0" w:line="240" w:lineRule="auto"/>
              <w:jc w:val="center"/>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B.1.</w:t>
            </w:r>
          </w:p>
        </w:tc>
        <w:tc>
          <w:tcPr>
            <w:tcW w:w="3402" w:type="dxa"/>
            <w:shd w:val="clear" w:color="auto" w:fill="FFFFFF" w:themeFill="background1"/>
            <w:hideMark/>
          </w:tcPr>
          <w:p w14:paraId="525530A6" w14:textId="3B8D83D9" w:rsidR="00B57963" w:rsidRPr="00A07F29" w:rsidRDefault="00B57963" w:rsidP="00315E9F">
            <w:pPr>
              <w:spacing w:after="0" w:line="240" w:lineRule="auto"/>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B.1.6.</w:t>
            </w:r>
            <w:r w:rsidR="00880DCB">
              <w:rPr>
                <w:rFonts w:ascii="Times New Roman" w:eastAsia="Calibri" w:hAnsi="Times New Roman" w:cs="Times New Roman"/>
                <w:bCs/>
                <w:sz w:val="20"/>
                <w:szCs w:val="20"/>
              </w:rPr>
              <w:t> </w:t>
            </w:r>
            <w:r w:rsidRPr="00A07F29">
              <w:rPr>
                <w:rFonts w:ascii="Times New Roman" w:eastAsia="Calibri" w:hAnsi="Times New Roman" w:cs="Times New Roman"/>
                <w:bCs/>
                <w:sz w:val="20"/>
                <w:szCs w:val="20"/>
              </w:rPr>
              <w:t xml:space="preserve">Ūdens līmeņa normalizēšana (caurtekas pārbūve) </w:t>
            </w:r>
            <w:proofErr w:type="spellStart"/>
            <w:r w:rsidRPr="00A07F29">
              <w:rPr>
                <w:rFonts w:ascii="Times New Roman" w:eastAsia="Calibri" w:hAnsi="Times New Roman" w:cs="Times New Roman"/>
                <w:bCs/>
                <w:sz w:val="20"/>
                <w:szCs w:val="20"/>
              </w:rPr>
              <w:t>Varnaviču</w:t>
            </w:r>
            <w:proofErr w:type="spellEnd"/>
            <w:r w:rsidRPr="00A07F29">
              <w:rPr>
                <w:rFonts w:ascii="Times New Roman" w:eastAsia="Calibri" w:hAnsi="Times New Roman" w:cs="Times New Roman"/>
                <w:bCs/>
                <w:sz w:val="20"/>
                <w:szCs w:val="20"/>
              </w:rPr>
              <w:t xml:space="preserve">, </w:t>
            </w:r>
            <w:proofErr w:type="spellStart"/>
            <w:r w:rsidRPr="00A07F29">
              <w:rPr>
                <w:rFonts w:ascii="Times New Roman" w:eastAsia="Calibri" w:hAnsi="Times New Roman" w:cs="Times New Roman"/>
                <w:bCs/>
                <w:sz w:val="20"/>
                <w:szCs w:val="20"/>
              </w:rPr>
              <w:t>Krivoje</w:t>
            </w:r>
            <w:proofErr w:type="spellEnd"/>
            <w:r w:rsidRPr="00A07F29">
              <w:rPr>
                <w:rFonts w:ascii="Times New Roman" w:eastAsia="Calibri" w:hAnsi="Times New Roman" w:cs="Times New Roman"/>
                <w:bCs/>
                <w:sz w:val="20"/>
                <w:szCs w:val="20"/>
              </w:rPr>
              <w:t xml:space="preserve"> un </w:t>
            </w:r>
            <w:proofErr w:type="spellStart"/>
            <w:r w:rsidRPr="00A07F29">
              <w:rPr>
                <w:rFonts w:ascii="Times New Roman" w:eastAsia="Calibri" w:hAnsi="Times New Roman" w:cs="Times New Roman"/>
                <w:bCs/>
                <w:sz w:val="20"/>
                <w:szCs w:val="20"/>
              </w:rPr>
              <w:t>Jablonkas</w:t>
            </w:r>
            <w:proofErr w:type="spellEnd"/>
            <w:r w:rsidRPr="00A07F29">
              <w:rPr>
                <w:rFonts w:ascii="Times New Roman" w:eastAsia="Calibri" w:hAnsi="Times New Roman" w:cs="Times New Roman"/>
                <w:bCs/>
                <w:sz w:val="20"/>
                <w:szCs w:val="20"/>
              </w:rPr>
              <w:t xml:space="preserve"> ezerā</w:t>
            </w:r>
          </w:p>
        </w:tc>
        <w:tc>
          <w:tcPr>
            <w:tcW w:w="1701" w:type="dxa"/>
            <w:shd w:val="clear" w:color="auto" w:fill="FFFFFF" w:themeFill="background1"/>
            <w:hideMark/>
          </w:tcPr>
          <w:p w14:paraId="21CB37B4" w14:textId="410AF1C6" w:rsidR="00EF10FF" w:rsidRPr="00A07F29" w:rsidRDefault="00B57963" w:rsidP="00EF10F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I,</w:t>
            </w:r>
          </w:p>
          <w:p w14:paraId="6BFD505E" w14:textId="2002AD9E" w:rsidR="00B57963" w:rsidRPr="00A07F29" w:rsidRDefault="00B57963" w:rsidP="00EF10F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v</w:t>
            </w:r>
            <w:r w:rsidRPr="00A07F29">
              <w:rPr>
                <w:rFonts w:ascii="Times New Roman" w:eastAsia="Calibri" w:hAnsi="Times New Roman" w:cs="Times New Roman"/>
                <w:bCs/>
                <w:sz w:val="20"/>
                <w:szCs w:val="20"/>
              </w:rPr>
              <w:t>ienreizējs pasākums</w:t>
            </w:r>
          </w:p>
        </w:tc>
        <w:tc>
          <w:tcPr>
            <w:tcW w:w="1984" w:type="dxa"/>
            <w:shd w:val="clear" w:color="auto" w:fill="FFFFFF" w:themeFill="background1"/>
          </w:tcPr>
          <w:p w14:paraId="47F75A41" w14:textId="470233AD" w:rsidR="00B57963" w:rsidRPr="00A07F29" w:rsidRDefault="00B57963" w:rsidP="00B57963">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Objekta īpašnieks</w:t>
            </w:r>
          </w:p>
        </w:tc>
        <w:tc>
          <w:tcPr>
            <w:tcW w:w="1560" w:type="dxa"/>
            <w:shd w:val="clear" w:color="auto" w:fill="FFFFFF" w:themeFill="background1"/>
          </w:tcPr>
          <w:p w14:paraId="087AED23" w14:textId="586F75D3" w:rsidR="00B57963" w:rsidRPr="00A07F29" w:rsidRDefault="00720BF9" w:rsidP="00B57963">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Nav nosakāms</w:t>
            </w:r>
          </w:p>
        </w:tc>
        <w:tc>
          <w:tcPr>
            <w:tcW w:w="1984" w:type="dxa"/>
            <w:shd w:val="clear" w:color="auto" w:fill="FFFFFF" w:themeFill="background1"/>
          </w:tcPr>
          <w:p w14:paraId="253C7DCB" w14:textId="0585020D" w:rsidR="00B57963" w:rsidRPr="00A07F29" w:rsidRDefault="008A5CD7" w:rsidP="00A4590E">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P</w:t>
            </w:r>
            <w:r w:rsidR="00A4590E" w:rsidRPr="00A07F29">
              <w:rPr>
                <w:rFonts w:ascii="Times New Roman" w:eastAsia="Calibri" w:hAnsi="Times New Roman" w:cs="Times New Roman"/>
                <w:sz w:val="20"/>
                <w:szCs w:val="20"/>
              </w:rPr>
              <w:t>rojekta finansējums.</w:t>
            </w:r>
          </w:p>
        </w:tc>
        <w:tc>
          <w:tcPr>
            <w:tcW w:w="3686" w:type="dxa"/>
            <w:shd w:val="clear" w:color="auto" w:fill="FFFFFF" w:themeFill="background1"/>
          </w:tcPr>
          <w:p w14:paraId="1409CF7B" w14:textId="10492A63" w:rsidR="00B57963" w:rsidRPr="00A07F29" w:rsidRDefault="00B57963" w:rsidP="00315E9F">
            <w:pPr>
              <w:spacing w:after="0" w:line="240" w:lineRule="auto"/>
              <w:ind w:left="34"/>
              <w:rPr>
                <w:rFonts w:ascii="Times New Roman" w:eastAsia="Calibri" w:hAnsi="Times New Roman" w:cs="Times New Roman"/>
                <w:bCs/>
                <w:sz w:val="20"/>
                <w:szCs w:val="20"/>
              </w:rPr>
            </w:pPr>
            <w:r w:rsidRPr="00A07F29">
              <w:rPr>
                <w:rFonts w:ascii="Times New Roman" w:eastAsia="Calibri" w:hAnsi="Times New Roman" w:cs="Times New Roman"/>
                <w:sz w:val="20"/>
                <w:szCs w:val="20"/>
              </w:rPr>
              <w:t xml:space="preserve">Pārbūvēta caurteka, normalizēts ūdens līmenis </w:t>
            </w:r>
            <w:proofErr w:type="spellStart"/>
            <w:r w:rsidRPr="00A07F29">
              <w:rPr>
                <w:rFonts w:ascii="Times New Roman" w:eastAsia="Calibri" w:hAnsi="Times New Roman" w:cs="Times New Roman"/>
                <w:sz w:val="20"/>
                <w:szCs w:val="20"/>
              </w:rPr>
              <w:t>Varn</w:t>
            </w:r>
            <w:r w:rsidR="00A0103C" w:rsidRPr="00A07F29">
              <w:rPr>
                <w:rFonts w:ascii="Times New Roman" w:eastAsia="Calibri" w:hAnsi="Times New Roman" w:cs="Times New Roman"/>
                <w:sz w:val="20"/>
                <w:szCs w:val="20"/>
              </w:rPr>
              <w:t>aviču</w:t>
            </w:r>
            <w:proofErr w:type="spellEnd"/>
            <w:r w:rsidR="00A0103C" w:rsidRPr="00A07F29">
              <w:rPr>
                <w:rFonts w:ascii="Times New Roman" w:eastAsia="Calibri" w:hAnsi="Times New Roman" w:cs="Times New Roman"/>
                <w:sz w:val="20"/>
                <w:szCs w:val="20"/>
              </w:rPr>
              <w:t xml:space="preserve">, </w:t>
            </w:r>
            <w:proofErr w:type="spellStart"/>
            <w:r w:rsidR="00A0103C" w:rsidRPr="00A07F29">
              <w:rPr>
                <w:rFonts w:ascii="Times New Roman" w:eastAsia="Calibri" w:hAnsi="Times New Roman" w:cs="Times New Roman"/>
                <w:sz w:val="20"/>
                <w:szCs w:val="20"/>
              </w:rPr>
              <w:t>Krivoje</w:t>
            </w:r>
            <w:proofErr w:type="spellEnd"/>
            <w:r w:rsidR="00A0103C" w:rsidRPr="00A07F29">
              <w:rPr>
                <w:rFonts w:ascii="Times New Roman" w:eastAsia="Calibri" w:hAnsi="Times New Roman" w:cs="Times New Roman"/>
                <w:sz w:val="20"/>
                <w:szCs w:val="20"/>
              </w:rPr>
              <w:t xml:space="preserve">, </w:t>
            </w:r>
            <w:proofErr w:type="spellStart"/>
            <w:r w:rsidR="00A0103C" w:rsidRPr="00A07F29">
              <w:rPr>
                <w:rFonts w:ascii="Times New Roman" w:eastAsia="Calibri" w:hAnsi="Times New Roman" w:cs="Times New Roman"/>
                <w:sz w:val="20"/>
                <w:szCs w:val="20"/>
              </w:rPr>
              <w:t>Jablonkas</w:t>
            </w:r>
            <w:proofErr w:type="spellEnd"/>
            <w:r w:rsidR="00A0103C" w:rsidRPr="00A07F29">
              <w:rPr>
                <w:rFonts w:ascii="Times New Roman" w:eastAsia="Calibri" w:hAnsi="Times New Roman" w:cs="Times New Roman"/>
                <w:sz w:val="20"/>
                <w:szCs w:val="20"/>
              </w:rPr>
              <w:t xml:space="preserve"> ezerā</w:t>
            </w:r>
          </w:p>
        </w:tc>
      </w:tr>
      <w:tr w:rsidR="00B57963" w:rsidRPr="00A07F29" w14:paraId="05EFEFDE" w14:textId="5769566F" w:rsidTr="4284A616">
        <w:trPr>
          <w:jc w:val="center"/>
        </w:trPr>
        <w:tc>
          <w:tcPr>
            <w:tcW w:w="846" w:type="dxa"/>
            <w:shd w:val="clear" w:color="auto" w:fill="FFFFFF" w:themeFill="background1"/>
          </w:tcPr>
          <w:p w14:paraId="5711054D" w14:textId="457D5177" w:rsidR="00B57963" w:rsidRPr="00A07F29" w:rsidRDefault="00B57963" w:rsidP="00B57963">
            <w:pPr>
              <w:suppressLineNumbers/>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bCs/>
                <w:sz w:val="20"/>
                <w:szCs w:val="20"/>
              </w:rPr>
              <w:lastRenderedPageBreak/>
              <w:t>B.1.</w:t>
            </w:r>
          </w:p>
        </w:tc>
        <w:tc>
          <w:tcPr>
            <w:tcW w:w="3402" w:type="dxa"/>
            <w:shd w:val="clear" w:color="auto" w:fill="FFFFFF" w:themeFill="background1"/>
            <w:hideMark/>
          </w:tcPr>
          <w:p w14:paraId="7B473A6D" w14:textId="45216431" w:rsidR="00B57963" w:rsidRPr="00A07F29" w:rsidRDefault="00B57963" w:rsidP="002B10DB">
            <w:pPr>
              <w:suppressLineNumbers/>
              <w:spacing w:after="0" w:line="240" w:lineRule="auto"/>
              <w:rPr>
                <w:rFonts w:ascii="Times New Roman" w:eastAsia="Source Han Sans CN Regular" w:hAnsi="Times New Roman" w:cs="Times New Roman"/>
                <w:color w:val="000000"/>
                <w:kern w:val="2"/>
                <w:sz w:val="20"/>
                <w:szCs w:val="20"/>
              </w:rPr>
            </w:pPr>
            <w:r w:rsidRPr="00A07F29">
              <w:rPr>
                <w:rFonts w:ascii="Times New Roman" w:eastAsia="Calibri" w:hAnsi="Times New Roman" w:cs="Times New Roman"/>
                <w:sz w:val="20"/>
                <w:szCs w:val="20"/>
              </w:rPr>
              <w:t>B.1.7.</w:t>
            </w:r>
            <w:r w:rsidR="007809A6">
              <w:rPr>
                <w:rFonts w:ascii="Times New Roman" w:eastAsia="Calibri" w:hAnsi="Times New Roman" w:cs="Times New Roman"/>
                <w:sz w:val="20"/>
                <w:szCs w:val="20"/>
              </w:rPr>
              <w:t> </w:t>
            </w:r>
            <w:r w:rsidRPr="00A07F29">
              <w:rPr>
                <w:rFonts w:ascii="Times New Roman" w:eastAsia="Source Han Sans CN Regular" w:hAnsi="Times New Roman" w:cs="Times New Roman"/>
                <w:color w:val="000000"/>
                <w:kern w:val="2"/>
                <w:sz w:val="20"/>
                <w:szCs w:val="20"/>
              </w:rPr>
              <w:t xml:space="preserve">Niedru pļaušana un izvākšana no </w:t>
            </w:r>
            <w:proofErr w:type="spellStart"/>
            <w:r w:rsidRPr="00A07F29">
              <w:rPr>
                <w:rFonts w:ascii="Times New Roman" w:eastAsia="Source Han Sans CN Regular" w:hAnsi="Times New Roman" w:cs="Times New Roman"/>
                <w:color w:val="000000"/>
                <w:kern w:val="2"/>
                <w:sz w:val="20"/>
                <w:szCs w:val="20"/>
              </w:rPr>
              <w:t>Varnaviču</w:t>
            </w:r>
            <w:proofErr w:type="spellEnd"/>
            <w:r w:rsidRPr="00A07F29">
              <w:rPr>
                <w:rFonts w:ascii="Times New Roman" w:eastAsia="Source Han Sans CN Regular" w:hAnsi="Times New Roman" w:cs="Times New Roman"/>
                <w:color w:val="000000"/>
                <w:kern w:val="2"/>
                <w:sz w:val="20"/>
                <w:szCs w:val="20"/>
              </w:rPr>
              <w:t xml:space="preserve"> ezera ziemā</w:t>
            </w:r>
          </w:p>
        </w:tc>
        <w:tc>
          <w:tcPr>
            <w:tcW w:w="1701" w:type="dxa"/>
            <w:shd w:val="clear" w:color="auto" w:fill="FFFFFF" w:themeFill="background1"/>
            <w:hideMark/>
          </w:tcPr>
          <w:p w14:paraId="5805475D" w14:textId="77777777" w:rsidR="00B57963" w:rsidRPr="00A07F29" w:rsidRDefault="00B57963" w:rsidP="00B57963">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II,</w:t>
            </w:r>
          </w:p>
          <w:p w14:paraId="753BA049" w14:textId="3CF8EB96" w:rsidR="00B57963" w:rsidRPr="00A07F29" w:rsidRDefault="00EF10FF" w:rsidP="00B57963">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bCs/>
                <w:sz w:val="20"/>
                <w:szCs w:val="20"/>
              </w:rPr>
              <w:t>visu plāna periodu</w:t>
            </w:r>
          </w:p>
        </w:tc>
        <w:tc>
          <w:tcPr>
            <w:tcW w:w="1984" w:type="dxa"/>
            <w:shd w:val="clear" w:color="auto" w:fill="FFFFFF" w:themeFill="background1"/>
          </w:tcPr>
          <w:p w14:paraId="12DD47E0" w14:textId="12BF0AD7" w:rsidR="00B57963" w:rsidRPr="00A07F29" w:rsidRDefault="008A5CD7" w:rsidP="00B57963">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Ezera īpašnieks</w:t>
            </w:r>
          </w:p>
        </w:tc>
        <w:tc>
          <w:tcPr>
            <w:tcW w:w="1560" w:type="dxa"/>
            <w:shd w:val="clear" w:color="auto" w:fill="FFFFFF" w:themeFill="background1"/>
          </w:tcPr>
          <w:p w14:paraId="599D0A78" w14:textId="45028AEA" w:rsidR="00B57963" w:rsidRPr="00A07F29" w:rsidRDefault="00720BF9" w:rsidP="00B57963">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Nav nosakāms</w:t>
            </w:r>
          </w:p>
        </w:tc>
        <w:tc>
          <w:tcPr>
            <w:tcW w:w="1984" w:type="dxa"/>
            <w:shd w:val="clear" w:color="auto" w:fill="FFFFFF" w:themeFill="background1"/>
          </w:tcPr>
          <w:p w14:paraId="08EFBB12" w14:textId="386FB9FE" w:rsidR="00B57963" w:rsidRPr="00A07F29" w:rsidRDefault="00B57963" w:rsidP="00B57963">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Projektu finansējums</w:t>
            </w:r>
          </w:p>
        </w:tc>
        <w:tc>
          <w:tcPr>
            <w:tcW w:w="3686" w:type="dxa"/>
            <w:shd w:val="clear" w:color="auto" w:fill="FFFFFF" w:themeFill="background1"/>
          </w:tcPr>
          <w:p w14:paraId="7F25B55D" w14:textId="4CD47CAF" w:rsidR="00B57963" w:rsidRPr="00A07F29" w:rsidRDefault="00B57963" w:rsidP="005F3D04">
            <w:pPr>
              <w:spacing w:after="0" w:line="240" w:lineRule="auto"/>
              <w:ind w:left="34"/>
              <w:rPr>
                <w:rFonts w:ascii="Times New Roman" w:eastAsia="Calibri" w:hAnsi="Times New Roman" w:cs="Times New Roman"/>
                <w:bCs/>
                <w:sz w:val="20"/>
                <w:szCs w:val="20"/>
              </w:rPr>
            </w:pPr>
            <w:r w:rsidRPr="00A07F29">
              <w:rPr>
                <w:rFonts w:ascii="Times New Roman" w:eastAsia="Calibri" w:hAnsi="Times New Roman" w:cs="Times New Roman"/>
                <w:sz w:val="20"/>
                <w:szCs w:val="20"/>
              </w:rPr>
              <w:t xml:space="preserve">Samazināts niedru audžu blīvums </w:t>
            </w:r>
            <w:r w:rsidR="005F3D04" w:rsidRPr="00A07F29">
              <w:rPr>
                <w:rFonts w:ascii="Times New Roman" w:eastAsia="Calibri" w:hAnsi="Times New Roman" w:cs="Times New Roman"/>
                <w:sz w:val="20"/>
                <w:szCs w:val="20"/>
              </w:rPr>
              <w:t>3,6</w:t>
            </w:r>
            <w:r w:rsidR="00A77180">
              <w:rPr>
                <w:rFonts w:ascii="Times New Roman" w:eastAsia="Calibri" w:hAnsi="Times New Roman" w:cs="Times New Roman"/>
                <w:sz w:val="20"/>
                <w:szCs w:val="20"/>
              </w:rPr>
              <w:t> </w:t>
            </w:r>
            <w:r w:rsidRPr="00A07F29">
              <w:rPr>
                <w:rFonts w:ascii="Times New Roman" w:eastAsia="Calibri" w:hAnsi="Times New Roman" w:cs="Times New Roman"/>
                <w:sz w:val="20"/>
                <w:szCs w:val="20"/>
              </w:rPr>
              <w:t>ha platībā</w:t>
            </w:r>
          </w:p>
        </w:tc>
      </w:tr>
      <w:tr w:rsidR="00B57963" w:rsidRPr="00A07F29" w14:paraId="25824387" w14:textId="64ABB734" w:rsidTr="4284A616">
        <w:trPr>
          <w:jc w:val="center"/>
        </w:trPr>
        <w:tc>
          <w:tcPr>
            <w:tcW w:w="846" w:type="dxa"/>
            <w:shd w:val="clear" w:color="auto" w:fill="FFFFFF" w:themeFill="background1"/>
          </w:tcPr>
          <w:p w14:paraId="3D1ABAF4" w14:textId="73AB1001" w:rsidR="00B57963" w:rsidRPr="00A07F29" w:rsidRDefault="00B57963" w:rsidP="00B57963">
            <w:pPr>
              <w:spacing w:after="0" w:line="240" w:lineRule="auto"/>
              <w:jc w:val="center"/>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B.1.</w:t>
            </w:r>
          </w:p>
        </w:tc>
        <w:tc>
          <w:tcPr>
            <w:tcW w:w="3402" w:type="dxa"/>
            <w:shd w:val="clear" w:color="auto" w:fill="FFFFFF" w:themeFill="background1"/>
            <w:hideMark/>
          </w:tcPr>
          <w:p w14:paraId="0CC37D70" w14:textId="7EC6718B" w:rsidR="00B57963" w:rsidRPr="00A07F29" w:rsidRDefault="00B57963" w:rsidP="00315E9F">
            <w:pPr>
              <w:spacing w:after="0" w:line="240" w:lineRule="auto"/>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B.1.8.</w:t>
            </w:r>
            <w:r w:rsidR="00A77180">
              <w:rPr>
                <w:rFonts w:ascii="Times New Roman" w:eastAsia="Calibri" w:hAnsi="Times New Roman" w:cs="Times New Roman"/>
                <w:bCs/>
                <w:sz w:val="20"/>
                <w:szCs w:val="20"/>
              </w:rPr>
              <w:t> </w:t>
            </w:r>
            <w:r w:rsidRPr="00A07F29">
              <w:rPr>
                <w:rFonts w:ascii="Times New Roman" w:eastAsia="Calibri" w:hAnsi="Times New Roman" w:cs="Times New Roman"/>
                <w:bCs/>
                <w:sz w:val="20"/>
                <w:szCs w:val="20"/>
              </w:rPr>
              <w:t xml:space="preserve">Pārraktās </w:t>
            </w:r>
            <w:proofErr w:type="spellStart"/>
            <w:r w:rsidRPr="00A07F29">
              <w:rPr>
                <w:rFonts w:ascii="Times New Roman" w:eastAsia="Calibri" w:hAnsi="Times New Roman" w:cs="Times New Roman"/>
                <w:bCs/>
                <w:sz w:val="20"/>
                <w:szCs w:val="20"/>
              </w:rPr>
              <w:t>ūdenšķirtnes</w:t>
            </w:r>
            <w:proofErr w:type="spellEnd"/>
            <w:r w:rsidRPr="00A07F29">
              <w:rPr>
                <w:rFonts w:ascii="Times New Roman" w:eastAsia="Calibri" w:hAnsi="Times New Roman" w:cs="Times New Roman"/>
                <w:bCs/>
                <w:sz w:val="20"/>
                <w:szCs w:val="20"/>
              </w:rPr>
              <w:t xml:space="preserve"> aizbēršana pie Kaudzīšu ezera</w:t>
            </w:r>
          </w:p>
        </w:tc>
        <w:tc>
          <w:tcPr>
            <w:tcW w:w="1701" w:type="dxa"/>
            <w:shd w:val="clear" w:color="auto" w:fill="FFFFFF" w:themeFill="background1"/>
            <w:hideMark/>
          </w:tcPr>
          <w:p w14:paraId="663BECA0" w14:textId="77777777" w:rsidR="00B57963" w:rsidRPr="00A07F29" w:rsidRDefault="00B57963" w:rsidP="00B57963">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II,</w:t>
            </w:r>
          </w:p>
          <w:p w14:paraId="6F761F42" w14:textId="65A2C5A9" w:rsidR="00B57963" w:rsidRPr="00A07F29" w:rsidRDefault="00B57963" w:rsidP="00B57963">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bCs/>
                <w:sz w:val="20"/>
                <w:szCs w:val="20"/>
              </w:rPr>
              <w:t>vienreizējs pasākums</w:t>
            </w:r>
          </w:p>
        </w:tc>
        <w:tc>
          <w:tcPr>
            <w:tcW w:w="1984" w:type="dxa"/>
            <w:shd w:val="clear" w:color="auto" w:fill="FFFFFF" w:themeFill="background1"/>
          </w:tcPr>
          <w:p w14:paraId="7EC3354C" w14:textId="25B7997C" w:rsidR="00B57963" w:rsidRPr="00A07F29" w:rsidRDefault="00B57963" w:rsidP="00B57963">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Objekta īpašnieks</w:t>
            </w:r>
          </w:p>
        </w:tc>
        <w:tc>
          <w:tcPr>
            <w:tcW w:w="1560" w:type="dxa"/>
            <w:shd w:val="clear" w:color="auto" w:fill="FFFFFF" w:themeFill="background1"/>
          </w:tcPr>
          <w:p w14:paraId="4C052A57" w14:textId="42F35396" w:rsidR="00B57963" w:rsidRPr="00A07F29" w:rsidRDefault="00720BF9" w:rsidP="00B57963">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Nav nosakāms</w:t>
            </w:r>
          </w:p>
        </w:tc>
        <w:tc>
          <w:tcPr>
            <w:tcW w:w="1984" w:type="dxa"/>
            <w:shd w:val="clear" w:color="auto" w:fill="FFFFFF" w:themeFill="background1"/>
          </w:tcPr>
          <w:p w14:paraId="4087FB50" w14:textId="4504C67F" w:rsidR="00B57963" w:rsidRPr="00A07F29" w:rsidRDefault="008A5CD7" w:rsidP="00B57963">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Objekta</w:t>
            </w:r>
            <w:r w:rsidR="00B57963" w:rsidRPr="00A07F29">
              <w:rPr>
                <w:rFonts w:ascii="Times New Roman" w:eastAsia="Calibri" w:hAnsi="Times New Roman" w:cs="Times New Roman"/>
                <w:sz w:val="20"/>
                <w:szCs w:val="20"/>
              </w:rPr>
              <w:t xml:space="preserve"> īpašnieka līdzekļi</w:t>
            </w:r>
            <w:r w:rsidRPr="00A07F29">
              <w:rPr>
                <w:rFonts w:ascii="Times New Roman" w:eastAsia="Calibri" w:hAnsi="Times New Roman" w:cs="Times New Roman"/>
                <w:sz w:val="20"/>
                <w:szCs w:val="20"/>
              </w:rPr>
              <w:t>, projekta finansējums</w:t>
            </w:r>
          </w:p>
        </w:tc>
        <w:tc>
          <w:tcPr>
            <w:tcW w:w="3686" w:type="dxa"/>
            <w:shd w:val="clear" w:color="auto" w:fill="FFFFFF" w:themeFill="background1"/>
          </w:tcPr>
          <w:p w14:paraId="2AA04100" w14:textId="2A101EA7" w:rsidR="00B57963" w:rsidRPr="00A07F29" w:rsidRDefault="00B57963" w:rsidP="00315E9F">
            <w:pPr>
              <w:spacing w:after="0" w:line="240" w:lineRule="auto"/>
              <w:ind w:left="34"/>
              <w:rPr>
                <w:rFonts w:ascii="Times New Roman" w:eastAsia="Calibri" w:hAnsi="Times New Roman" w:cs="Times New Roman"/>
                <w:bCs/>
                <w:sz w:val="20"/>
                <w:szCs w:val="20"/>
              </w:rPr>
            </w:pPr>
            <w:r w:rsidRPr="00A07F29">
              <w:rPr>
                <w:rFonts w:ascii="Times New Roman" w:eastAsia="Calibri" w:hAnsi="Times New Roman" w:cs="Times New Roman"/>
                <w:sz w:val="20"/>
                <w:szCs w:val="20"/>
              </w:rPr>
              <w:t xml:space="preserve">Aizbērta ūdensšķirtne, </w:t>
            </w:r>
            <w:proofErr w:type="spellStart"/>
            <w:r w:rsidRPr="00A07F29">
              <w:rPr>
                <w:rFonts w:ascii="Times New Roman" w:eastAsia="Calibri" w:hAnsi="Times New Roman" w:cs="Times New Roman"/>
                <w:bCs/>
                <w:sz w:val="20"/>
                <w:szCs w:val="20"/>
              </w:rPr>
              <w:t>Varnaviču</w:t>
            </w:r>
            <w:proofErr w:type="spellEnd"/>
            <w:r w:rsidRPr="00A07F29">
              <w:rPr>
                <w:rFonts w:ascii="Times New Roman" w:eastAsia="Calibri" w:hAnsi="Times New Roman" w:cs="Times New Roman"/>
                <w:bCs/>
                <w:sz w:val="20"/>
                <w:szCs w:val="20"/>
              </w:rPr>
              <w:t xml:space="preserve"> up</w:t>
            </w:r>
            <w:r w:rsidR="00A0103C" w:rsidRPr="00A07F29">
              <w:rPr>
                <w:rFonts w:ascii="Times New Roman" w:eastAsia="Calibri" w:hAnsi="Times New Roman" w:cs="Times New Roman"/>
                <w:bCs/>
                <w:sz w:val="20"/>
                <w:szCs w:val="20"/>
              </w:rPr>
              <w:t>īte neplūst caur Kaudzīšu ezeru</w:t>
            </w:r>
          </w:p>
        </w:tc>
      </w:tr>
      <w:tr w:rsidR="00B57963" w:rsidRPr="00A07F29" w14:paraId="27E858A1" w14:textId="60EA612F" w:rsidTr="4284A616">
        <w:trPr>
          <w:jc w:val="center"/>
        </w:trPr>
        <w:tc>
          <w:tcPr>
            <w:tcW w:w="846" w:type="dxa"/>
            <w:shd w:val="clear" w:color="auto" w:fill="FFFFFF" w:themeFill="background1"/>
          </w:tcPr>
          <w:p w14:paraId="4E367FAE" w14:textId="0491E509" w:rsidR="00B57963" w:rsidRPr="00A07F29" w:rsidRDefault="00B57963" w:rsidP="00B57963">
            <w:pPr>
              <w:spacing w:after="0" w:line="240" w:lineRule="auto"/>
              <w:jc w:val="center"/>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B.1.</w:t>
            </w:r>
          </w:p>
        </w:tc>
        <w:tc>
          <w:tcPr>
            <w:tcW w:w="3402" w:type="dxa"/>
            <w:shd w:val="clear" w:color="auto" w:fill="FFFFFF" w:themeFill="background1"/>
            <w:hideMark/>
          </w:tcPr>
          <w:p w14:paraId="11654DD7" w14:textId="5495D3AD" w:rsidR="00B57963" w:rsidRPr="00A07F29" w:rsidRDefault="00B57963" w:rsidP="00315E9F">
            <w:pPr>
              <w:spacing w:after="0" w:line="240" w:lineRule="auto"/>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B.1.9.</w:t>
            </w:r>
            <w:r w:rsidR="00A77180">
              <w:rPr>
                <w:rFonts w:ascii="Times New Roman" w:eastAsia="Calibri" w:hAnsi="Times New Roman" w:cs="Times New Roman"/>
                <w:bCs/>
                <w:sz w:val="20"/>
                <w:szCs w:val="20"/>
              </w:rPr>
              <w:t> </w:t>
            </w:r>
            <w:r w:rsidRPr="00A07F29">
              <w:rPr>
                <w:rFonts w:ascii="Times New Roman" w:eastAsia="Calibri" w:hAnsi="Times New Roman" w:cs="Times New Roman"/>
                <w:bCs/>
                <w:sz w:val="20"/>
                <w:szCs w:val="20"/>
              </w:rPr>
              <w:t xml:space="preserve">Sakritušo koku izvākšana no Mazā </w:t>
            </w:r>
            <w:proofErr w:type="spellStart"/>
            <w:r w:rsidRPr="00A07F29">
              <w:rPr>
                <w:rFonts w:ascii="Times New Roman" w:eastAsia="Calibri" w:hAnsi="Times New Roman" w:cs="Times New Roman"/>
                <w:bCs/>
                <w:sz w:val="20"/>
                <w:szCs w:val="20"/>
              </w:rPr>
              <w:t>Borvinkas</w:t>
            </w:r>
            <w:proofErr w:type="spellEnd"/>
            <w:r w:rsidRPr="00A07F29">
              <w:rPr>
                <w:rFonts w:ascii="Times New Roman" w:eastAsia="Calibri" w:hAnsi="Times New Roman" w:cs="Times New Roman"/>
                <w:bCs/>
                <w:sz w:val="20"/>
                <w:szCs w:val="20"/>
              </w:rPr>
              <w:t xml:space="preserve"> ezera</w:t>
            </w:r>
          </w:p>
        </w:tc>
        <w:tc>
          <w:tcPr>
            <w:tcW w:w="1701" w:type="dxa"/>
            <w:shd w:val="clear" w:color="auto" w:fill="FFFFFF" w:themeFill="background1"/>
            <w:hideMark/>
          </w:tcPr>
          <w:p w14:paraId="57366FCB" w14:textId="114CC857" w:rsidR="00B57963" w:rsidRPr="00A07F29" w:rsidRDefault="00B57963" w:rsidP="00B57963">
            <w:pPr>
              <w:spacing w:after="0" w:line="240" w:lineRule="auto"/>
              <w:jc w:val="center"/>
              <w:rPr>
                <w:rFonts w:ascii="Times New Roman" w:eastAsia="Calibri" w:hAnsi="Times New Roman" w:cs="Times New Roman"/>
                <w:bCs/>
                <w:sz w:val="20"/>
                <w:szCs w:val="20"/>
              </w:rPr>
            </w:pPr>
            <w:r w:rsidRPr="00A07F29">
              <w:rPr>
                <w:rFonts w:ascii="Times New Roman" w:eastAsia="Calibri" w:hAnsi="Times New Roman" w:cs="Times New Roman"/>
                <w:sz w:val="20"/>
                <w:szCs w:val="20"/>
              </w:rPr>
              <w:t>II,</w:t>
            </w:r>
          </w:p>
          <w:p w14:paraId="0A6E3D2B" w14:textId="3472A34C" w:rsidR="00B57963" w:rsidRPr="00A07F29" w:rsidRDefault="00B57963" w:rsidP="00B57963">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bCs/>
                <w:sz w:val="20"/>
                <w:szCs w:val="20"/>
              </w:rPr>
              <w:t xml:space="preserve">vienreizējs pasākums, uzturēšana – </w:t>
            </w:r>
            <w:r w:rsidR="00EF10FF" w:rsidRPr="00A07F29">
              <w:rPr>
                <w:rFonts w:ascii="Times New Roman" w:eastAsia="Calibri" w:hAnsi="Times New Roman" w:cs="Times New Roman"/>
                <w:bCs/>
                <w:sz w:val="20"/>
                <w:szCs w:val="20"/>
              </w:rPr>
              <w:t>visu plāna periodu</w:t>
            </w:r>
          </w:p>
        </w:tc>
        <w:tc>
          <w:tcPr>
            <w:tcW w:w="1984" w:type="dxa"/>
            <w:shd w:val="clear" w:color="auto" w:fill="FFFFFF" w:themeFill="background1"/>
          </w:tcPr>
          <w:p w14:paraId="3F3FB26B" w14:textId="0F87EAA3" w:rsidR="00B57963" w:rsidRPr="00A07F29" w:rsidRDefault="00B57963" w:rsidP="00B57963">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Ezera īpašnieks, DAP</w:t>
            </w:r>
          </w:p>
        </w:tc>
        <w:tc>
          <w:tcPr>
            <w:tcW w:w="1560" w:type="dxa"/>
            <w:shd w:val="clear" w:color="auto" w:fill="FFFFFF" w:themeFill="background1"/>
          </w:tcPr>
          <w:p w14:paraId="21FF4FD0" w14:textId="1CF98067" w:rsidR="00B57963" w:rsidRPr="00A07F29" w:rsidRDefault="00720BF9" w:rsidP="00B57963">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Nelielas izmaksas</w:t>
            </w:r>
          </w:p>
        </w:tc>
        <w:tc>
          <w:tcPr>
            <w:tcW w:w="1984" w:type="dxa"/>
            <w:shd w:val="clear" w:color="auto" w:fill="FFFFFF" w:themeFill="background1"/>
          </w:tcPr>
          <w:p w14:paraId="772EBF09" w14:textId="53821755" w:rsidR="00B57963" w:rsidRPr="00A07F29" w:rsidRDefault="008A5CD7" w:rsidP="00B57963">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Ezera</w:t>
            </w:r>
            <w:r w:rsidR="00B57963" w:rsidRPr="00A07F29">
              <w:rPr>
                <w:rFonts w:ascii="Times New Roman" w:eastAsia="Calibri" w:hAnsi="Times New Roman" w:cs="Times New Roman"/>
                <w:sz w:val="20"/>
                <w:szCs w:val="20"/>
              </w:rPr>
              <w:t xml:space="preserve"> īpašnieka līdzekļi</w:t>
            </w:r>
            <w:r w:rsidRPr="00A07F29">
              <w:rPr>
                <w:rFonts w:ascii="Times New Roman" w:eastAsia="Calibri" w:hAnsi="Times New Roman" w:cs="Times New Roman"/>
                <w:sz w:val="20"/>
                <w:szCs w:val="20"/>
              </w:rPr>
              <w:t>, projekta finansējums.</w:t>
            </w:r>
          </w:p>
        </w:tc>
        <w:tc>
          <w:tcPr>
            <w:tcW w:w="3686" w:type="dxa"/>
            <w:shd w:val="clear" w:color="auto" w:fill="FFFFFF" w:themeFill="background1"/>
          </w:tcPr>
          <w:p w14:paraId="1A9F2D28" w14:textId="0E11FB53" w:rsidR="00B57963" w:rsidRPr="00A07F29" w:rsidRDefault="00B57963" w:rsidP="00315E9F">
            <w:pPr>
              <w:spacing w:after="0" w:line="240" w:lineRule="auto"/>
              <w:ind w:left="34"/>
              <w:rPr>
                <w:rFonts w:ascii="Times New Roman" w:eastAsia="Calibri" w:hAnsi="Times New Roman" w:cs="Times New Roman"/>
                <w:bCs/>
                <w:sz w:val="20"/>
                <w:szCs w:val="20"/>
              </w:rPr>
            </w:pPr>
            <w:r w:rsidRPr="00A07F29">
              <w:rPr>
                <w:rFonts w:ascii="Times New Roman" w:eastAsia="Calibri" w:hAnsi="Times New Roman" w:cs="Times New Roman"/>
                <w:sz w:val="20"/>
                <w:szCs w:val="20"/>
              </w:rPr>
              <w:t>Izvākta</w:t>
            </w:r>
            <w:r w:rsidR="00A0103C" w:rsidRPr="00A07F29">
              <w:rPr>
                <w:rFonts w:ascii="Times New Roman" w:eastAsia="Calibri" w:hAnsi="Times New Roman" w:cs="Times New Roman"/>
                <w:sz w:val="20"/>
                <w:szCs w:val="20"/>
              </w:rPr>
              <w:t xml:space="preserve"> egle, ezerā nav iekritušu koku</w:t>
            </w:r>
          </w:p>
        </w:tc>
      </w:tr>
      <w:tr w:rsidR="00B57963" w:rsidRPr="00A07F29" w14:paraId="61FD2435" w14:textId="67940C47" w:rsidTr="4284A616">
        <w:trPr>
          <w:jc w:val="center"/>
        </w:trPr>
        <w:tc>
          <w:tcPr>
            <w:tcW w:w="846" w:type="dxa"/>
            <w:shd w:val="clear" w:color="auto" w:fill="FFFFFF" w:themeFill="background1"/>
          </w:tcPr>
          <w:p w14:paraId="2793F5E0" w14:textId="6C0C48AF" w:rsidR="00B57963" w:rsidRPr="00A07F29" w:rsidRDefault="00B57963" w:rsidP="00B57963">
            <w:pPr>
              <w:spacing w:after="0" w:line="240" w:lineRule="auto"/>
              <w:jc w:val="center"/>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B.1.</w:t>
            </w:r>
          </w:p>
        </w:tc>
        <w:tc>
          <w:tcPr>
            <w:tcW w:w="3402" w:type="dxa"/>
            <w:shd w:val="clear" w:color="auto" w:fill="FFFFFF" w:themeFill="background1"/>
            <w:hideMark/>
          </w:tcPr>
          <w:p w14:paraId="6704163C" w14:textId="5A3CE786" w:rsidR="00B57963" w:rsidRPr="00A07F29" w:rsidRDefault="00B57963" w:rsidP="00315E9F">
            <w:pPr>
              <w:spacing w:after="0" w:line="240" w:lineRule="auto"/>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B.1.10.</w:t>
            </w:r>
            <w:r w:rsidR="00FC7505">
              <w:rPr>
                <w:rFonts w:ascii="Times New Roman" w:eastAsia="Calibri" w:hAnsi="Times New Roman" w:cs="Times New Roman"/>
                <w:bCs/>
                <w:sz w:val="20"/>
                <w:szCs w:val="20"/>
              </w:rPr>
              <w:t> </w:t>
            </w:r>
            <w:r w:rsidRPr="00A07F29">
              <w:rPr>
                <w:rFonts w:ascii="Times New Roman" w:eastAsia="Calibri" w:hAnsi="Times New Roman" w:cs="Times New Roman"/>
                <w:bCs/>
                <w:sz w:val="20"/>
                <w:szCs w:val="20"/>
              </w:rPr>
              <w:t xml:space="preserve">Bebru darbības kontrole </w:t>
            </w:r>
            <w:proofErr w:type="spellStart"/>
            <w:r w:rsidRPr="00A07F29">
              <w:rPr>
                <w:rFonts w:ascii="Times New Roman" w:eastAsia="Calibri" w:hAnsi="Times New Roman" w:cs="Times New Roman"/>
                <w:bCs/>
                <w:sz w:val="20"/>
                <w:szCs w:val="20"/>
              </w:rPr>
              <w:t>Gluhoje</w:t>
            </w:r>
            <w:proofErr w:type="spellEnd"/>
            <w:r w:rsidRPr="00A07F29">
              <w:rPr>
                <w:rFonts w:ascii="Times New Roman" w:eastAsia="Calibri" w:hAnsi="Times New Roman" w:cs="Times New Roman"/>
                <w:bCs/>
                <w:sz w:val="20"/>
                <w:szCs w:val="20"/>
              </w:rPr>
              <w:t xml:space="preserve">, </w:t>
            </w:r>
            <w:proofErr w:type="spellStart"/>
            <w:r w:rsidRPr="00A07F29">
              <w:rPr>
                <w:rFonts w:ascii="Times New Roman" w:eastAsia="Calibri" w:hAnsi="Times New Roman" w:cs="Times New Roman"/>
                <w:bCs/>
                <w:sz w:val="20"/>
                <w:szCs w:val="20"/>
              </w:rPr>
              <w:t>Zimašu</w:t>
            </w:r>
            <w:proofErr w:type="spellEnd"/>
            <w:r w:rsidRPr="00A07F29">
              <w:rPr>
                <w:rFonts w:ascii="Times New Roman" w:eastAsia="Calibri" w:hAnsi="Times New Roman" w:cs="Times New Roman"/>
                <w:bCs/>
                <w:sz w:val="20"/>
                <w:szCs w:val="20"/>
              </w:rPr>
              <w:t xml:space="preserve">, </w:t>
            </w:r>
            <w:proofErr w:type="spellStart"/>
            <w:r w:rsidRPr="00A07F29">
              <w:rPr>
                <w:rFonts w:ascii="Times New Roman" w:eastAsia="Calibri" w:hAnsi="Times New Roman" w:cs="Times New Roman"/>
                <w:bCs/>
                <w:sz w:val="20"/>
                <w:szCs w:val="20"/>
              </w:rPr>
              <w:t>Dubinkas</w:t>
            </w:r>
            <w:proofErr w:type="spellEnd"/>
            <w:r w:rsidRPr="00A07F29">
              <w:rPr>
                <w:rFonts w:ascii="Times New Roman" w:eastAsia="Calibri" w:hAnsi="Times New Roman" w:cs="Times New Roman"/>
                <w:bCs/>
                <w:sz w:val="20"/>
                <w:szCs w:val="20"/>
              </w:rPr>
              <w:t xml:space="preserve">, </w:t>
            </w:r>
            <w:proofErr w:type="spellStart"/>
            <w:r w:rsidRPr="00A07F29">
              <w:rPr>
                <w:rFonts w:ascii="Times New Roman" w:eastAsia="Calibri" w:hAnsi="Times New Roman" w:cs="Times New Roman"/>
                <w:bCs/>
                <w:sz w:val="20"/>
                <w:szCs w:val="20"/>
              </w:rPr>
              <w:t>Prūdeņa</w:t>
            </w:r>
            <w:proofErr w:type="spellEnd"/>
            <w:r w:rsidRPr="00A07F29">
              <w:rPr>
                <w:rFonts w:ascii="Times New Roman" w:eastAsia="Calibri" w:hAnsi="Times New Roman" w:cs="Times New Roman"/>
                <w:bCs/>
                <w:sz w:val="20"/>
                <w:szCs w:val="20"/>
              </w:rPr>
              <w:t xml:space="preserve"> un </w:t>
            </w:r>
            <w:proofErr w:type="spellStart"/>
            <w:r w:rsidRPr="00A07F29">
              <w:rPr>
                <w:rFonts w:ascii="Times New Roman" w:eastAsia="Calibri" w:hAnsi="Times New Roman" w:cs="Times New Roman"/>
                <w:bCs/>
                <w:sz w:val="20"/>
                <w:szCs w:val="20"/>
              </w:rPr>
              <w:t>Šlapuka</w:t>
            </w:r>
            <w:proofErr w:type="spellEnd"/>
            <w:r w:rsidRPr="00A07F29">
              <w:rPr>
                <w:rFonts w:ascii="Times New Roman" w:eastAsia="Calibri" w:hAnsi="Times New Roman" w:cs="Times New Roman"/>
                <w:bCs/>
                <w:sz w:val="20"/>
                <w:szCs w:val="20"/>
              </w:rPr>
              <w:t xml:space="preserve"> ezerā</w:t>
            </w:r>
          </w:p>
        </w:tc>
        <w:tc>
          <w:tcPr>
            <w:tcW w:w="1701" w:type="dxa"/>
            <w:shd w:val="clear" w:color="auto" w:fill="FFFFFF" w:themeFill="background1"/>
            <w:hideMark/>
          </w:tcPr>
          <w:p w14:paraId="76C9B2D5" w14:textId="76CE1D42" w:rsidR="00B57963" w:rsidRPr="00A07F29" w:rsidRDefault="00B57963" w:rsidP="00B57963">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I,</w:t>
            </w:r>
          </w:p>
          <w:p w14:paraId="01BC3105" w14:textId="78D79702" w:rsidR="00B57963" w:rsidRPr="00A07F29" w:rsidRDefault="00EF10FF" w:rsidP="00B57963">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bCs/>
                <w:sz w:val="20"/>
                <w:szCs w:val="20"/>
              </w:rPr>
              <w:t>visu plāna periodu</w:t>
            </w:r>
          </w:p>
        </w:tc>
        <w:tc>
          <w:tcPr>
            <w:tcW w:w="1984" w:type="dxa"/>
            <w:shd w:val="clear" w:color="auto" w:fill="FFFFFF" w:themeFill="background1"/>
          </w:tcPr>
          <w:p w14:paraId="39B929A5" w14:textId="4A609AE3" w:rsidR="00B57963" w:rsidRPr="00A07F29" w:rsidRDefault="00B57963" w:rsidP="00781CA2">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Med</w:t>
            </w:r>
            <w:r w:rsidR="00781CA2" w:rsidRPr="00A07F29">
              <w:rPr>
                <w:rFonts w:ascii="Times New Roman" w:eastAsia="Calibri" w:hAnsi="Times New Roman" w:cs="Times New Roman"/>
                <w:sz w:val="20"/>
                <w:szCs w:val="20"/>
              </w:rPr>
              <w:t>nieku</w:t>
            </w:r>
            <w:r w:rsidR="00D65BBA" w:rsidRPr="00A07F29">
              <w:rPr>
                <w:rFonts w:ascii="Times New Roman" w:eastAsia="Calibri" w:hAnsi="Times New Roman" w:cs="Times New Roman"/>
                <w:sz w:val="20"/>
                <w:szCs w:val="20"/>
              </w:rPr>
              <w:t xml:space="preserve"> </w:t>
            </w:r>
            <w:r w:rsidRPr="00A07F29">
              <w:rPr>
                <w:rFonts w:ascii="Times New Roman" w:eastAsia="Calibri" w:hAnsi="Times New Roman" w:cs="Times New Roman"/>
                <w:sz w:val="20"/>
                <w:szCs w:val="20"/>
              </w:rPr>
              <w:t>kolektīvi, VMD, zemes īpašnieki</w:t>
            </w:r>
          </w:p>
        </w:tc>
        <w:tc>
          <w:tcPr>
            <w:tcW w:w="1560" w:type="dxa"/>
            <w:shd w:val="clear" w:color="auto" w:fill="FFFFFF" w:themeFill="background1"/>
          </w:tcPr>
          <w:p w14:paraId="1D8CD38C" w14:textId="55494935" w:rsidR="00B57963" w:rsidRPr="00A07F29" w:rsidRDefault="00720BF9" w:rsidP="00B57963">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Nav nosakāms</w:t>
            </w:r>
          </w:p>
        </w:tc>
        <w:tc>
          <w:tcPr>
            <w:tcW w:w="1984" w:type="dxa"/>
            <w:shd w:val="clear" w:color="auto" w:fill="FFFFFF" w:themeFill="background1"/>
          </w:tcPr>
          <w:p w14:paraId="2687939F" w14:textId="2D6D6F45" w:rsidR="00B57963" w:rsidRPr="00A07F29" w:rsidRDefault="008A5CD7" w:rsidP="00B57963">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Mednieku un zemes īpašnieku līdzekļi, projektu finansējums</w:t>
            </w:r>
          </w:p>
        </w:tc>
        <w:tc>
          <w:tcPr>
            <w:tcW w:w="3686" w:type="dxa"/>
            <w:shd w:val="clear" w:color="auto" w:fill="FFFFFF" w:themeFill="background1"/>
          </w:tcPr>
          <w:p w14:paraId="35A7FB33" w14:textId="5763B0EF" w:rsidR="00B57963" w:rsidRPr="00A07F29" w:rsidRDefault="00B57963" w:rsidP="00315E9F">
            <w:pPr>
              <w:spacing w:after="0" w:line="240" w:lineRule="auto"/>
              <w:ind w:left="34"/>
              <w:rPr>
                <w:rFonts w:ascii="Times New Roman" w:eastAsia="Calibri" w:hAnsi="Times New Roman" w:cs="Times New Roman"/>
                <w:bCs/>
                <w:sz w:val="20"/>
                <w:szCs w:val="20"/>
              </w:rPr>
            </w:pPr>
            <w:r w:rsidRPr="00A07F29">
              <w:rPr>
                <w:rFonts w:ascii="Times New Roman" w:eastAsia="Calibri" w:hAnsi="Times New Roman" w:cs="Times New Roman"/>
                <w:sz w:val="20"/>
                <w:szCs w:val="20"/>
              </w:rPr>
              <w:t xml:space="preserve">Regulāri izjaukti bebru dambji uz iztekošajām upītēm un grāvjiem, ūdens līmenis ezeros nav paaugstināts </w:t>
            </w:r>
          </w:p>
        </w:tc>
      </w:tr>
      <w:tr w:rsidR="00CE1A0B" w:rsidRPr="00A07F29" w14:paraId="7786560B" w14:textId="085CB397" w:rsidTr="4284A616">
        <w:trPr>
          <w:jc w:val="center"/>
        </w:trPr>
        <w:tc>
          <w:tcPr>
            <w:tcW w:w="846" w:type="dxa"/>
            <w:shd w:val="clear" w:color="auto" w:fill="auto"/>
          </w:tcPr>
          <w:p w14:paraId="76C9A3B4" w14:textId="2E4D472E" w:rsidR="00B57963" w:rsidRPr="00A07F29" w:rsidRDefault="00B57963" w:rsidP="00B57963">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bCs/>
                <w:sz w:val="20"/>
                <w:szCs w:val="20"/>
              </w:rPr>
              <w:t>B.1.</w:t>
            </w:r>
          </w:p>
        </w:tc>
        <w:tc>
          <w:tcPr>
            <w:tcW w:w="3402" w:type="dxa"/>
            <w:shd w:val="clear" w:color="auto" w:fill="auto"/>
          </w:tcPr>
          <w:p w14:paraId="0D4EF59D" w14:textId="000E3747" w:rsidR="00B57963" w:rsidRPr="00A07F29" w:rsidRDefault="00B57963" w:rsidP="00315E9F">
            <w:pPr>
              <w:spacing w:after="0" w:line="240" w:lineRule="auto"/>
              <w:rPr>
                <w:rFonts w:ascii="Times New Roman" w:eastAsia="Calibri" w:hAnsi="Times New Roman" w:cs="Times New Roman"/>
                <w:sz w:val="20"/>
                <w:szCs w:val="20"/>
              </w:rPr>
            </w:pPr>
            <w:r w:rsidRPr="00A07F29">
              <w:rPr>
                <w:rFonts w:ascii="Times New Roman" w:eastAsia="Calibri" w:hAnsi="Times New Roman" w:cs="Times New Roman"/>
                <w:sz w:val="20"/>
                <w:szCs w:val="20"/>
              </w:rPr>
              <w:t>B.1.11.</w:t>
            </w:r>
            <w:r w:rsidR="00E80CFA">
              <w:rPr>
                <w:rFonts w:ascii="Times New Roman" w:eastAsia="Calibri" w:hAnsi="Times New Roman" w:cs="Times New Roman"/>
                <w:sz w:val="20"/>
                <w:szCs w:val="20"/>
              </w:rPr>
              <w:t> </w:t>
            </w:r>
            <w:r w:rsidRPr="00A07F29">
              <w:rPr>
                <w:rFonts w:ascii="Times New Roman" w:eastAsia="Calibri" w:hAnsi="Times New Roman" w:cs="Times New Roman"/>
                <w:sz w:val="20"/>
                <w:szCs w:val="20"/>
              </w:rPr>
              <w:t>Aizsargājamo upju biotopu apsaimniekošana</w:t>
            </w:r>
          </w:p>
        </w:tc>
        <w:tc>
          <w:tcPr>
            <w:tcW w:w="1701" w:type="dxa"/>
            <w:shd w:val="clear" w:color="auto" w:fill="auto"/>
          </w:tcPr>
          <w:p w14:paraId="3F63D2FB" w14:textId="17BB8ABF" w:rsidR="00B57963" w:rsidRPr="00A07F29" w:rsidRDefault="00B57963" w:rsidP="00B57963">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I,</w:t>
            </w:r>
          </w:p>
          <w:p w14:paraId="607A259F" w14:textId="1ACBE148" w:rsidR="00B57963" w:rsidRPr="00A07F29" w:rsidRDefault="00EF10FF" w:rsidP="00B57963">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bCs/>
                <w:sz w:val="20"/>
                <w:szCs w:val="20"/>
              </w:rPr>
              <w:t>visu plāna periodu</w:t>
            </w:r>
          </w:p>
        </w:tc>
        <w:tc>
          <w:tcPr>
            <w:tcW w:w="1984" w:type="dxa"/>
            <w:shd w:val="clear" w:color="auto" w:fill="auto"/>
          </w:tcPr>
          <w:p w14:paraId="291B38E4" w14:textId="0A33D9B4" w:rsidR="00B57963" w:rsidRPr="00A07F29" w:rsidRDefault="00781CA2" w:rsidP="00B57963">
            <w:pPr>
              <w:spacing w:after="0" w:line="240" w:lineRule="auto"/>
              <w:ind w:left="34"/>
              <w:jc w:val="both"/>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Zemes īpašnieki, mednieku kolektīvi</w:t>
            </w:r>
            <w:r w:rsidR="008A5CD7" w:rsidRPr="00A07F29">
              <w:rPr>
                <w:rFonts w:ascii="Times New Roman" w:eastAsia="Calibri" w:hAnsi="Times New Roman" w:cs="Times New Roman"/>
                <w:bCs/>
                <w:sz w:val="20"/>
                <w:szCs w:val="20"/>
              </w:rPr>
              <w:t>, DAP</w:t>
            </w:r>
          </w:p>
        </w:tc>
        <w:tc>
          <w:tcPr>
            <w:tcW w:w="1560" w:type="dxa"/>
            <w:shd w:val="clear" w:color="auto" w:fill="auto"/>
          </w:tcPr>
          <w:p w14:paraId="11A1B1F7" w14:textId="35630A01" w:rsidR="00B57963" w:rsidRPr="00A07F29" w:rsidRDefault="00546E71" w:rsidP="00B57963">
            <w:pPr>
              <w:spacing w:after="0" w:line="240" w:lineRule="auto"/>
              <w:ind w:left="34"/>
              <w:jc w:val="both"/>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Nav nosakāms</w:t>
            </w:r>
          </w:p>
        </w:tc>
        <w:tc>
          <w:tcPr>
            <w:tcW w:w="1984" w:type="dxa"/>
            <w:shd w:val="clear" w:color="auto" w:fill="auto"/>
          </w:tcPr>
          <w:p w14:paraId="6C779CA0" w14:textId="7A356398" w:rsidR="00B57963" w:rsidRPr="00A07F29" w:rsidRDefault="00B57963" w:rsidP="008A5CD7">
            <w:pPr>
              <w:spacing w:after="0" w:line="240" w:lineRule="auto"/>
              <w:ind w:left="34"/>
              <w:jc w:val="both"/>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Projektu finansējums, zemes īpašniek</w:t>
            </w:r>
            <w:r w:rsidR="008A5CD7" w:rsidRPr="00A07F29">
              <w:rPr>
                <w:rFonts w:ascii="Times New Roman" w:eastAsia="Calibri" w:hAnsi="Times New Roman" w:cs="Times New Roman"/>
                <w:bCs/>
                <w:sz w:val="20"/>
                <w:szCs w:val="20"/>
              </w:rPr>
              <w:t>u</w:t>
            </w:r>
            <w:r w:rsidRPr="00A07F29">
              <w:rPr>
                <w:rFonts w:ascii="Times New Roman" w:eastAsia="Calibri" w:hAnsi="Times New Roman" w:cs="Times New Roman"/>
                <w:bCs/>
                <w:sz w:val="20"/>
                <w:szCs w:val="20"/>
              </w:rPr>
              <w:t xml:space="preserve"> līdzekļi</w:t>
            </w:r>
          </w:p>
        </w:tc>
        <w:tc>
          <w:tcPr>
            <w:tcW w:w="3686" w:type="dxa"/>
            <w:shd w:val="clear" w:color="auto" w:fill="auto"/>
          </w:tcPr>
          <w:p w14:paraId="67625616" w14:textId="6FF5AF71" w:rsidR="00B57963" w:rsidRPr="00A07F29" w:rsidRDefault="00A0103C" w:rsidP="00315E9F">
            <w:pPr>
              <w:spacing w:after="0" w:line="240" w:lineRule="auto"/>
              <w:ind w:left="34"/>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Dabiska ūdens plūsma upēs, nav piegružojums ar atkritumiem</w:t>
            </w:r>
          </w:p>
        </w:tc>
      </w:tr>
      <w:tr w:rsidR="00237B36" w:rsidRPr="00A07F29" w14:paraId="73138C67" w14:textId="77777777" w:rsidTr="4284A616">
        <w:trPr>
          <w:jc w:val="center"/>
        </w:trPr>
        <w:tc>
          <w:tcPr>
            <w:tcW w:w="846" w:type="dxa"/>
            <w:shd w:val="clear" w:color="auto" w:fill="auto"/>
          </w:tcPr>
          <w:p w14:paraId="77CC804F" w14:textId="01BC9FAB" w:rsidR="00237B36" w:rsidRPr="00A07F29" w:rsidRDefault="00237B36" w:rsidP="00B57963">
            <w:pPr>
              <w:spacing w:after="0" w:line="240" w:lineRule="auto"/>
              <w:jc w:val="center"/>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B.1.</w:t>
            </w:r>
          </w:p>
        </w:tc>
        <w:tc>
          <w:tcPr>
            <w:tcW w:w="3402" w:type="dxa"/>
            <w:shd w:val="clear" w:color="auto" w:fill="auto"/>
          </w:tcPr>
          <w:p w14:paraId="7B63503B" w14:textId="2E1D92A6" w:rsidR="00237B36" w:rsidRPr="00A07F29" w:rsidRDefault="00237B36" w:rsidP="002D4C4E">
            <w:pPr>
              <w:spacing w:after="0" w:line="240" w:lineRule="auto"/>
              <w:rPr>
                <w:rFonts w:ascii="Times New Roman" w:eastAsia="Calibri" w:hAnsi="Times New Roman" w:cs="Times New Roman"/>
                <w:sz w:val="20"/>
                <w:szCs w:val="20"/>
              </w:rPr>
            </w:pPr>
            <w:r w:rsidRPr="00A07F29">
              <w:rPr>
                <w:rFonts w:ascii="Times New Roman" w:eastAsia="Calibri" w:hAnsi="Times New Roman" w:cs="Times New Roman"/>
                <w:sz w:val="20"/>
                <w:szCs w:val="20"/>
              </w:rPr>
              <w:t>B.1.12.</w:t>
            </w:r>
            <w:r w:rsidR="0010531D">
              <w:rPr>
                <w:rFonts w:ascii="Times New Roman" w:eastAsia="Calibri" w:hAnsi="Times New Roman" w:cs="Times New Roman"/>
                <w:sz w:val="20"/>
                <w:szCs w:val="20"/>
              </w:rPr>
              <w:t> </w:t>
            </w:r>
            <w:r w:rsidR="002D4C4E" w:rsidRPr="00A07F29">
              <w:rPr>
                <w:rFonts w:ascii="Times New Roman" w:eastAsia="Calibri" w:hAnsi="Times New Roman" w:cs="Times New Roman"/>
                <w:sz w:val="20"/>
                <w:szCs w:val="20"/>
              </w:rPr>
              <w:t xml:space="preserve">Infrastruktūras izveidošana </w:t>
            </w:r>
            <w:proofErr w:type="spellStart"/>
            <w:r w:rsidR="002D4C4E" w:rsidRPr="00A07F29">
              <w:rPr>
                <w:rFonts w:ascii="Times New Roman" w:eastAsia="Calibri" w:hAnsi="Times New Roman" w:cs="Times New Roman"/>
                <w:sz w:val="20"/>
                <w:szCs w:val="20"/>
              </w:rPr>
              <w:t>piesāņojuma</w:t>
            </w:r>
            <w:proofErr w:type="spellEnd"/>
            <w:r w:rsidR="002D4C4E" w:rsidRPr="00A07F29">
              <w:rPr>
                <w:rFonts w:ascii="Times New Roman" w:eastAsia="Calibri" w:hAnsi="Times New Roman" w:cs="Times New Roman"/>
                <w:sz w:val="20"/>
                <w:szCs w:val="20"/>
              </w:rPr>
              <w:t xml:space="preserve"> savākšanai Daugavā</w:t>
            </w:r>
          </w:p>
        </w:tc>
        <w:tc>
          <w:tcPr>
            <w:tcW w:w="1701" w:type="dxa"/>
            <w:shd w:val="clear" w:color="auto" w:fill="auto"/>
          </w:tcPr>
          <w:p w14:paraId="625CA6B4" w14:textId="77777777" w:rsidR="00237B36" w:rsidRPr="00A07F29" w:rsidRDefault="00237B36" w:rsidP="00237B36">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I,</w:t>
            </w:r>
          </w:p>
          <w:p w14:paraId="2C09E4A4" w14:textId="17742F78" w:rsidR="00237B36" w:rsidRPr="00A07F29" w:rsidRDefault="00237B36" w:rsidP="00237B36">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bCs/>
                <w:sz w:val="20"/>
                <w:szCs w:val="20"/>
              </w:rPr>
              <w:t>visu plāna periodu</w:t>
            </w:r>
          </w:p>
        </w:tc>
        <w:tc>
          <w:tcPr>
            <w:tcW w:w="1984" w:type="dxa"/>
            <w:shd w:val="clear" w:color="auto" w:fill="auto"/>
          </w:tcPr>
          <w:p w14:paraId="12952F23" w14:textId="70962203" w:rsidR="00237B36" w:rsidRPr="00A07F29" w:rsidRDefault="002D4C4E" w:rsidP="00B57963">
            <w:pPr>
              <w:spacing w:after="0" w:line="240" w:lineRule="auto"/>
              <w:ind w:left="34"/>
              <w:jc w:val="both"/>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Pašvaldības, VVD</w:t>
            </w:r>
          </w:p>
        </w:tc>
        <w:tc>
          <w:tcPr>
            <w:tcW w:w="1560" w:type="dxa"/>
            <w:shd w:val="clear" w:color="auto" w:fill="auto"/>
          </w:tcPr>
          <w:p w14:paraId="003E171A" w14:textId="76994750" w:rsidR="00237B36" w:rsidRPr="00A07F29" w:rsidRDefault="00C54730" w:rsidP="00B57963">
            <w:pPr>
              <w:spacing w:after="0" w:line="240" w:lineRule="auto"/>
              <w:ind w:left="34"/>
              <w:jc w:val="both"/>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Nav nosakāms</w:t>
            </w:r>
          </w:p>
        </w:tc>
        <w:tc>
          <w:tcPr>
            <w:tcW w:w="1984" w:type="dxa"/>
            <w:shd w:val="clear" w:color="auto" w:fill="auto"/>
          </w:tcPr>
          <w:p w14:paraId="6908FB90" w14:textId="417303F6" w:rsidR="00237B36" w:rsidRPr="00A07F29" w:rsidRDefault="002D4C4E" w:rsidP="008A5CD7">
            <w:pPr>
              <w:spacing w:after="0" w:line="240" w:lineRule="auto"/>
              <w:ind w:left="34"/>
              <w:jc w:val="both"/>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Projektu līdzekļi, pašvaldību un valsts budžeta līdzekļi</w:t>
            </w:r>
          </w:p>
        </w:tc>
        <w:tc>
          <w:tcPr>
            <w:tcW w:w="3686" w:type="dxa"/>
            <w:shd w:val="clear" w:color="auto" w:fill="auto"/>
          </w:tcPr>
          <w:p w14:paraId="18A7A938" w14:textId="6F9EA7F7" w:rsidR="00237B36" w:rsidRPr="00A07F29" w:rsidRDefault="002D4C4E" w:rsidP="002D4C4E">
            <w:pPr>
              <w:spacing w:after="0" w:line="240" w:lineRule="auto"/>
              <w:ind w:left="34"/>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Apzinātas potenciālās piesārņojuma riska vietas Daugavā, krastā ierīkotas piesārņojuma savākšanas bonu enkurvietas.</w:t>
            </w:r>
          </w:p>
        </w:tc>
      </w:tr>
      <w:tr w:rsidR="00B57963" w:rsidRPr="00A07F29" w14:paraId="61D531B2" w14:textId="428D669B" w:rsidTr="4284A616">
        <w:trPr>
          <w:jc w:val="center"/>
        </w:trPr>
        <w:tc>
          <w:tcPr>
            <w:tcW w:w="846" w:type="dxa"/>
            <w:shd w:val="clear" w:color="auto" w:fill="FFFFFF" w:themeFill="background1"/>
          </w:tcPr>
          <w:p w14:paraId="26190B09" w14:textId="65B06EE0" w:rsidR="00B57963" w:rsidRPr="00A07F29" w:rsidRDefault="00B57963" w:rsidP="00B57963">
            <w:pPr>
              <w:spacing w:after="0" w:line="240" w:lineRule="auto"/>
              <w:jc w:val="center"/>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B.2.</w:t>
            </w:r>
          </w:p>
        </w:tc>
        <w:tc>
          <w:tcPr>
            <w:tcW w:w="3402" w:type="dxa"/>
            <w:shd w:val="clear" w:color="auto" w:fill="FFFFFF" w:themeFill="background1"/>
            <w:hideMark/>
          </w:tcPr>
          <w:p w14:paraId="70BE15F9" w14:textId="06B61A1C" w:rsidR="00B57963" w:rsidRPr="00A07F29" w:rsidRDefault="00B57963" w:rsidP="00315E9F">
            <w:pPr>
              <w:spacing w:after="0" w:line="240" w:lineRule="auto"/>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B.2.1.</w:t>
            </w:r>
            <w:r w:rsidR="00971F2F">
              <w:rPr>
                <w:rFonts w:ascii="Times New Roman" w:eastAsia="Calibri" w:hAnsi="Times New Roman" w:cs="Times New Roman"/>
                <w:bCs/>
                <w:sz w:val="20"/>
                <w:szCs w:val="20"/>
              </w:rPr>
              <w:t> </w:t>
            </w:r>
            <w:r w:rsidRPr="00A07F29">
              <w:rPr>
                <w:rFonts w:ascii="Times New Roman" w:eastAsia="Calibri" w:hAnsi="Times New Roman" w:cs="Times New Roman"/>
                <w:bCs/>
                <w:sz w:val="20"/>
                <w:szCs w:val="20"/>
              </w:rPr>
              <w:t>Aizsargājamo zālāju biotopu apsaimniekošana un kvalitātes uzlabošana</w:t>
            </w:r>
          </w:p>
        </w:tc>
        <w:tc>
          <w:tcPr>
            <w:tcW w:w="1701" w:type="dxa"/>
            <w:shd w:val="clear" w:color="auto" w:fill="FFFFFF" w:themeFill="background1"/>
            <w:hideMark/>
          </w:tcPr>
          <w:p w14:paraId="09A8AC1F" w14:textId="77777777" w:rsidR="00B57963" w:rsidRPr="00A07F29" w:rsidRDefault="00B57963" w:rsidP="00B57963">
            <w:pPr>
              <w:spacing w:after="0" w:line="240" w:lineRule="auto"/>
              <w:jc w:val="center"/>
              <w:rPr>
                <w:rFonts w:ascii="Times New Roman" w:eastAsia="Calibri" w:hAnsi="Times New Roman" w:cs="Times New Roman"/>
                <w:bCs/>
                <w:sz w:val="20"/>
                <w:szCs w:val="20"/>
              </w:rPr>
            </w:pPr>
            <w:r w:rsidRPr="00A07F29">
              <w:rPr>
                <w:rFonts w:ascii="Times New Roman" w:eastAsia="Calibri" w:hAnsi="Times New Roman" w:cs="Times New Roman"/>
                <w:sz w:val="20"/>
                <w:szCs w:val="20"/>
              </w:rPr>
              <w:t>I</w:t>
            </w:r>
            <w:r w:rsidRPr="00A07F29">
              <w:rPr>
                <w:rFonts w:ascii="Times New Roman" w:eastAsia="Calibri" w:hAnsi="Times New Roman" w:cs="Times New Roman"/>
                <w:bCs/>
                <w:sz w:val="20"/>
                <w:szCs w:val="20"/>
              </w:rPr>
              <w:t>,</w:t>
            </w:r>
          </w:p>
          <w:p w14:paraId="29E9E680" w14:textId="1F20A98A" w:rsidR="00B57963" w:rsidRPr="00A07F29" w:rsidRDefault="00EF10FF" w:rsidP="00B57963">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bCs/>
                <w:sz w:val="20"/>
                <w:szCs w:val="20"/>
              </w:rPr>
              <w:t>visu plāna periodu</w:t>
            </w:r>
          </w:p>
        </w:tc>
        <w:tc>
          <w:tcPr>
            <w:tcW w:w="1984" w:type="dxa"/>
            <w:shd w:val="clear" w:color="auto" w:fill="FFFFFF" w:themeFill="background1"/>
          </w:tcPr>
          <w:p w14:paraId="04144CAD" w14:textId="298F43A8" w:rsidR="00B57963" w:rsidRPr="00A07F29" w:rsidRDefault="00B57963" w:rsidP="00F230F9">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Zemes īpašnieki vai nomnieki,</w:t>
            </w:r>
            <w:r w:rsidR="00F230F9">
              <w:rPr>
                <w:rFonts w:ascii="Times New Roman" w:eastAsia="Calibri" w:hAnsi="Times New Roman" w:cs="Times New Roman"/>
                <w:sz w:val="20"/>
                <w:szCs w:val="20"/>
              </w:rPr>
              <w:t xml:space="preserve"> </w:t>
            </w:r>
            <w:r w:rsidR="008A5CD7" w:rsidRPr="00A07F29">
              <w:rPr>
                <w:rFonts w:ascii="Times New Roman" w:eastAsia="Calibri" w:hAnsi="Times New Roman" w:cs="Times New Roman"/>
                <w:sz w:val="20"/>
                <w:szCs w:val="20"/>
              </w:rPr>
              <w:t xml:space="preserve">LAD, </w:t>
            </w:r>
            <w:r w:rsidRPr="00A07F29">
              <w:rPr>
                <w:rFonts w:ascii="Times New Roman" w:eastAsia="Calibri" w:hAnsi="Times New Roman" w:cs="Times New Roman"/>
                <w:sz w:val="20"/>
                <w:szCs w:val="20"/>
              </w:rPr>
              <w:t>DAP</w:t>
            </w:r>
          </w:p>
          <w:p w14:paraId="17A1B650" w14:textId="77777777" w:rsidR="00B57963" w:rsidRPr="00A07F29" w:rsidRDefault="00B57963" w:rsidP="00B57963">
            <w:pPr>
              <w:spacing w:after="0" w:line="240" w:lineRule="auto"/>
              <w:ind w:left="34"/>
              <w:jc w:val="both"/>
              <w:rPr>
                <w:rFonts w:ascii="Times New Roman" w:eastAsia="Calibri" w:hAnsi="Times New Roman" w:cs="Times New Roman"/>
                <w:sz w:val="20"/>
                <w:szCs w:val="20"/>
              </w:rPr>
            </w:pPr>
          </w:p>
        </w:tc>
        <w:tc>
          <w:tcPr>
            <w:tcW w:w="1560" w:type="dxa"/>
            <w:shd w:val="clear" w:color="auto" w:fill="FFFFFF" w:themeFill="background1"/>
          </w:tcPr>
          <w:p w14:paraId="24A72EA7" w14:textId="60D94A20" w:rsidR="00B57963" w:rsidRPr="00A07F29" w:rsidRDefault="00F479BD" w:rsidP="0085224C">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Ap 2000</w:t>
            </w:r>
            <w:r w:rsidR="0085224C">
              <w:rPr>
                <w:rFonts w:ascii="Times New Roman" w:eastAsia="Calibri" w:hAnsi="Times New Roman" w:cs="Times New Roman"/>
                <w:sz w:val="20"/>
                <w:szCs w:val="20"/>
              </w:rPr>
              <w:t> </w:t>
            </w:r>
            <w:r w:rsidRPr="00A07F29">
              <w:rPr>
                <w:rFonts w:ascii="Times New Roman" w:eastAsia="Calibri" w:hAnsi="Times New Roman" w:cs="Times New Roman"/>
                <w:sz w:val="20"/>
                <w:szCs w:val="20"/>
              </w:rPr>
              <w:t>EUR/ha – atjaunošana; turpmāk</w:t>
            </w:r>
            <w:r w:rsidR="008032B0">
              <w:rPr>
                <w:rFonts w:ascii="Times New Roman" w:eastAsia="Calibri" w:hAnsi="Times New Roman" w:cs="Times New Roman"/>
                <w:sz w:val="20"/>
                <w:szCs w:val="20"/>
              </w:rPr>
              <w:t xml:space="preserve"> – </w:t>
            </w:r>
            <w:r w:rsidRPr="00A07F29">
              <w:rPr>
                <w:rFonts w:ascii="Times New Roman" w:eastAsia="Calibri" w:hAnsi="Times New Roman" w:cs="Times New Roman"/>
                <w:sz w:val="20"/>
                <w:szCs w:val="20"/>
              </w:rPr>
              <w:t>uzturē</w:t>
            </w:r>
            <w:r w:rsidR="0085224C">
              <w:rPr>
                <w:rFonts w:ascii="Times New Roman" w:eastAsia="Calibri" w:hAnsi="Times New Roman" w:cs="Times New Roman"/>
                <w:sz w:val="20"/>
                <w:szCs w:val="20"/>
              </w:rPr>
              <w:t>š</w:t>
            </w:r>
            <w:r w:rsidRPr="00A07F29">
              <w:rPr>
                <w:rFonts w:ascii="Times New Roman" w:eastAsia="Calibri" w:hAnsi="Times New Roman" w:cs="Times New Roman"/>
                <w:sz w:val="20"/>
                <w:szCs w:val="20"/>
              </w:rPr>
              <w:t>anai ik gadu sākot no 300</w:t>
            </w:r>
            <w:r w:rsidR="008032B0">
              <w:rPr>
                <w:rFonts w:ascii="Times New Roman" w:eastAsia="Calibri" w:hAnsi="Times New Roman" w:cs="Times New Roman"/>
                <w:sz w:val="20"/>
                <w:szCs w:val="20"/>
              </w:rPr>
              <w:t> </w:t>
            </w:r>
            <w:r w:rsidRPr="00A07F29">
              <w:rPr>
                <w:rFonts w:ascii="Times New Roman" w:eastAsia="Calibri" w:hAnsi="Times New Roman" w:cs="Times New Roman"/>
                <w:sz w:val="20"/>
                <w:szCs w:val="20"/>
              </w:rPr>
              <w:t>EUR/ha</w:t>
            </w:r>
          </w:p>
        </w:tc>
        <w:tc>
          <w:tcPr>
            <w:tcW w:w="1984" w:type="dxa"/>
            <w:shd w:val="clear" w:color="auto" w:fill="FFFFFF" w:themeFill="background1"/>
          </w:tcPr>
          <w:p w14:paraId="4F74E4F3" w14:textId="43DA6A9E" w:rsidR="00B57963" w:rsidRPr="00A07F29" w:rsidRDefault="00781CA2" w:rsidP="00781CA2">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bCs/>
                <w:sz w:val="20"/>
                <w:szCs w:val="20"/>
              </w:rPr>
              <w:t>Zemes īpašnieku līdzekļi, atbalsta maksājumi</w:t>
            </w:r>
          </w:p>
        </w:tc>
        <w:tc>
          <w:tcPr>
            <w:tcW w:w="3686" w:type="dxa"/>
            <w:shd w:val="clear" w:color="auto" w:fill="FFFFFF" w:themeFill="background1"/>
          </w:tcPr>
          <w:p w14:paraId="45A60F44" w14:textId="3EC6696C" w:rsidR="00B57963" w:rsidRPr="00A07F29" w:rsidRDefault="00B57963" w:rsidP="005F3D04">
            <w:pPr>
              <w:spacing w:after="0" w:line="240" w:lineRule="auto"/>
              <w:ind w:left="34"/>
              <w:rPr>
                <w:rFonts w:ascii="Times New Roman" w:eastAsia="Calibri" w:hAnsi="Times New Roman" w:cs="Times New Roman"/>
                <w:bCs/>
                <w:sz w:val="20"/>
                <w:szCs w:val="20"/>
              </w:rPr>
            </w:pPr>
            <w:r w:rsidRPr="00A07F29">
              <w:rPr>
                <w:rFonts w:ascii="Times New Roman" w:eastAsia="Calibri" w:hAnsi="Times New Roman" w:cs="Times New Roman"/>
                <w:sz w:val="20"/>
                <w:szCs w:val="20"/>
              </w:rPr>
              <w:t>Apsaimniekoti 9</w:t>
            </w:r>
            <w:r w:rsidR="005F3D04" w:rsidRPr="00A07F29">
              <w:rPr>
                <w:rFonts w:ascii="Times New Roman" w:eastAsia="Calibri" w:hAnsi="Times New Roman" w:cs="Times New Roman"/>
                <w:sz w:val="20"/>
                <w:szCs w:val="20"/>
              </w:rPr>
              <w:t>28</w:t>
            </w:r>
            <w:r w:rsidR="008032B0">
              <w:rPr>
                <w:rFonts w:ascii="Times New Roman" w:eastAsia="Calibri" w:hAnsi="Times New Roman" w:cs="Times New Roman"/>
                <w:sz w:val="20"/>
                <w:szCs w:val="20"/>
              </w:rPr>
              <w:t> </w:t>
            </w:r>
            <w:r w:rsidR="00A0103C" w:rsidRPr="00A07F29">
              <w:rPr>
                <w:rFonts w:ascii="Times New Roman" w:eastAsia="Calibri" w:hAnsi="Times New Roman" w:cs="Times New Roman"/>
                <w:sz w:val="20"/>
                <w:szCs w:val="20"/>
              </w:rPr>
              <w:t>ha ES nozīmes zālāju biotopu</w:t>
            </w:r>
          </w:p>
        </w:tc>
      </w:tr>
      <w:tr w:rsidR="00B57963" w:rsidRPr="00A07F29" w14:paraId="7105A6B9" w14:textId="0EA47E12" w:rsidTr="4284A616">
        <w:trPr>
          <w:jc w:val="center"/>
        </w:trPr>
        <w:tc>
          <w:tcPr>
            <w:tcW w:w="846" w:type="dxa"/>
            <w:shd w:val="clear" w:color="auto" w:fill="FFFFFF" w:themeFill="background1"/>
          </w:tcPr>
          <w:p w14:paraId="25F05538" w14:textId="567ADEF5" w:rsidR="00B57963" w:rsidRPr="00A07F29" w:rsidRDefault="4284A616" w:rsidP="4284A616">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B.2.</w:t>
            </w:r>
          </w:p>
        </w:tc>
        <w:tc>
          <w:tcPr>
            <w:tcW w:w="3402" w:type="dxa"/>
            <w:shd w:val="clear" w:color="auto" w:fill="FFFFFF" w:themeFill="background1"/>
            <w:hideMark/>
          </w:tcPr>
          <w:p w14:paraId="4AE07299" w14:textId="032B228B" w:rsidR="00B57963" w:rsidRPr="00A07F29" w:rsidRDefault="00B57963" w:rsidP="00315E9F">
            <w:pPr>
              <w:spacing w:after="0" w:line="240" w:lineRule="auto"/>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B.2.2.</w:t>
            </w:r>
            <w:r w:rsidR="009337C5">
              <w:rPr>
                <w:rFonts w:ascii="Times New Roman" w:eastAsia="Calibri" w:hAnsi="Times New Roman" w:cs="Times New Roman"/>
                <w:bCs/>
                <w:sz w:val="20"/>
                <w:szCs w:val="20"/>
              </w:rPr>
              <w:t> </w:t>
            </w:r>
            <w:r w:rsidRPr="00A07F29">
              <w:rPr>
                <w:rFonts w:ascii="Times New Roman" w:eastAsia="Calibri" w:hAnsi="Times New Roman" w:cs="Times New Roman"/>
                <w:bCs/>
                <w:sz w:val="20"/>
                <w:szCs w:val="20"/>
              </w:rPr>
              <w:t>Potenciālo aizsargājamo zālāju biotopu un vēsturisko zālāju apsaimniekošana</w:t>
            </w:r>
          </w:p>
        </w:tc>
        <w:tc>
          <w:tcPr>
            <w:tcW w:w="1701" w:type="dxa"/>
            <w:shd w:val="clear" w:color="auto" w:fill="FFFFFF" w:themeFill="background1"/>
            <w:hideMark/>
          </w:tcPr>
          <w:p w14:paraId="6656EC08" w14:textId="77777777" w:rsidR="00B57963" w:rsidRPr="00A07F29" w:rsidRDefault="00B57963" w:rsidP="00B57963">
            <w:pPr>
              <w:spacing w:after="0" w:line="240" w:lineRule="auto"/>
              <w:jc w:val="center"/>
              <w:rPr>
                <w:rFonts w:ascii="Times New Roman" w:eastAsia="Calibri" w:hAnsi="Times New Roman" w:cs="Times New Roman"/>
                <w:bCs/>
                <w:sz w:val="20"/>
                <w:szCs w:val="20"/>
              </w:rPr>
            </w:pPr>
            <w:r w:rsidRPr="00A07F29">
              <w:rPr>
                <w:rFonts w:ascii="Times New Roman" w:eastAsia="Calibri" w:hAnsi="Times New Roman" w:cs="Times New Roman"/>
                <w:sz w:val="20"/>
                <w:szCs w:val="20"/>
              </w:rPr>
              <w:t>I,</w:t>
            </w:r>
          </w:p>
          <w:p w14:paraId="4CD0759A" w14:textId="11952382" w:rsidR="00B57963" w:rsidRPr="00A07F29" w:rsidRDefault="00EF10FF" w:rsidP="00B57963">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bCs/>
                <w:sz w:val="20"/>
                <w:szCs w:val="20"/>
              </w:rPr>
              <w:t>visu plāna periodu</w:t>
            </w:r>
          </w:p>
        </w:tc>
        <w:tc>
          <w:tcPr>
            <w:tcW w:w="1984" w:type="dxa"/>
            <w:shd w:val="clear" w:color="auto" w:fill="FFFFFF" w:themeFill="background1"/>
          </w:tcPr>
          <w:p w14:paraId="1628E8F2" w14:textId="3B7E69C7" w:rsidR="00B57963" w:rsidRPr="00A07F29" w:rsidRDefault="00B57963" w:rsidP="009337C5">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Zemes īpašnieki vai nomnieki,</w:t>
            </w:r>
            <w:r w:rsidR="009337C5">
              <w:rPr>
                <w:rFonts w:ascii="Times New Roman" w:eastAsia="Calibri" w:hAnsi="Times New Roman" w:cs="Times New Roman"/>
                <w:sz w:val="20"/>
                <w:szCs w:val="20"/>
              </w:rPr>
              <w:t xml:space="preserve"> </w:t>
            </w:r>
            <w:r w:rsidR="008A5CD7" w:rsidRPr="00A07F29">
              <w:rPr>
                <w:rFonts w:ascii="Times New Roman" w:eastAsia="Calibri" w:hAnsi="Times New Roman" w:cs="Times New Roman"/>
                <w:sz w:val="20"/>
                <w:szCs w:val="20"/>
              </w:rPr>
              <w:t xml:space="preserve">LAD, </w:t>
            </w:r>
            <w:r w:rsidRPr="00A07F29">
              <w:rPr>
                <w:rFonts w:ascii="Times New Roman" w:eastAsia="Calibri" w:hAnsi="Times New Roman" w:cs="Times New Roman"/>
                <w:sz w:val="20"/>
                <w:szCs w:val="20"/>
              </w:rPr>
              <w:t>DAP</w:t>
            </w:r>
          </w:p>
          <w:p w14:paraId="582ABA54" w14:textId="77777777" w:rsidR="00B57963" w:rsidRPr="00A07F29" w:rsidRDefault="00B57963" w:rsidP="00B57963">
            <w:pPr>
              <w:spacing w:after="0" w:line="240" w:lineRule="auto"/>
              <w:ind w:left="34"/>
              <w:jc w:val="both"/>
              <w:rPr>
                <w:rFonts w:ascii="Times New Roman" w:eastAsia="Calibri" w:hAnsi="Times New Roman" w:cs="Times New Roman"/>
                <w:sz w:val="20"/>
                <w:szCs w:val="20"/>
              </w:rPr>
            </w:pPr>
          </w:p>
        </w:tc>
        <w:tc>
          <w:tcPr>
            <w:tcW w:w="1560" w:type="dxa"/>
            <w:shd w:val="clear" w:color="auto" w:fill="FFFFFF" w:themeFill="background1"/>
          </w:tcPr>
          <w:p w14:paraId="1842DC9E" w14:textId="7BD8FEFD" w:rsidR="00B57963" w:rsidRPr="00A07F29" w:rsidRDefault="00F479BD" w:rsidP="001016E6">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Ap 2000</w:t>
            </w:r>
            <w:r w:rsidR="009337C5">
              <w:rPr>
                <w:rFonts w:ascii="Times New Roman" w:eastAsia="Calibri" w:hAnsi="Times New Roman" w:cs="Times New Roman"/>
                <w:sz w:val="20"/>
                <w:szCs w:val="20"/>
              </w:rPr>
              <w:t> </w:t>
            </w:r>
            <w:r w:rsidRPr="00A07F29">
              <w:rPr>
                <w:rFonts w:ascii="Times New Roman" w:eastAsia="Calibri" w:hAnsi="Times New Roman" w:cs="Times New Roman"/>
                <w:sz w:val="20"/>
                <w:szCs w:val="20"/>
              </w:rPr>
              <w:t xml:space="preserve">EUR/ha – atjaunošana/kvalitātes uzlabošana; turpmāk </w:t>
            </w:r>
            <w:r w:rsidR="001016E6">
              <w:rPr>
                <w:rFonts w:ascii="Times New Roman" w:eastAsia="Calibri" w:hAnsi="Times New Roman" w:cs="Times New Roman"/>
                <w:sz w:val="20"/>
                <w:szCs w:val="20"/>
              </w:rPr>
              <w:t xml:space="preserve">– </w:t>
            </w:r>
            <w:r w:rsidRPr="00A07F29">
              <w:rPr>
                <w:rFonts w:ascii="Times New Roman" w:eastAsia="Calibri" w:hAnsi="Times New Roman" w:cs="Times New Roman"/>
                <w:sz w:val="20"/>
                <w:szCs w:val="20"/>
              </w:rPr>
              <w:lastRenderedPageBreak/>
              <w:t>uzturē</w:t>
            </w:r>
            <w:r w:rsidR="001016E6">
              <w:rPr>
                <w:rFonts w:ascii="Times New Roman" w:eastAsia="Calibri" w:hAnsi="Times New Roman" w:cs="Times New Roman"/>
                <w:sz w:val="20"/>
                <w:szCs w:val="20"/>
              </w:rPr>
              <w:t>š</w:t>
            </w:r>
            <w:r w:rsidRPr="00A07F29">
              <w:rPr>
                <w:rFonts w:ascii="Times New Roman" w:eastAsia="Calibri" w:hAnsi="Times New Roman" w:cs="Times New Roman"/>
                <w:sz w:val="20"/>
                <w:szCs w:val="20"/>
              </w:rPr>
              <w:t>anai ik gadu sākot no 300</w:t>
            </w:r>
            <w:r w:rsidR="001016E6">
              <w:rPr>
                <w:rFonts w:ascii="Times New Roman" w:eastAsia="Calibri" w:hAnsi="Times New Roman" w:cs="Times New Roman"/>
                <w:sz w:val="20"/>
                <w:szCs w:val="20"/>
              </w:rPr>
              <w:t> </w:t>
            </w:r>
            <w:r w:rsidRPr="00A07F29">
              <w:rPr>
                <w:rFonts w:ascii="Times New Roman" w:eastAsia="Calibri" w:hAnsi="Times New Roman" w:cs="Times New Roman"/>
                <w:sz w:val="20"/>
                <w:szCs w:val="20"/>
              </w:rPr>
              <w:t>EUR/ha</w:t>
            </w:r>
          </w:p>
        </w:tc>
        <w:tc>
          <w:tcPr>
            <w:tcW w:w="1984" w:type="dxa"/>
            <w:shd w:val="clear" w:color="auto" w:fill="FFFFFF" w:themeFill="background1"/>
          </w:tcPr>
          <w:p w14:paraId="19FB881D" w14:textId="5DD11C82" w:rsidR="00B57963" w:rsidRPr="00A07F29" w:rsidRDefault="00781CA2" w:rsidP="00B57963">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lastRenderedPageBreak/>
              <w:t>Zemes īpašnieku līdzekļi, atbalsta maksājumi</w:t>
            </w:r>
          </w:p>
        </w:tc>
        <w:tc>
          <w:tcPr>
            <w:tcW w:w="3686" w:type="dxa"/>
            <w:shd w:val="clear" w:color="auto" w:fill="FFFFFF" w:themeFill="background1"/>
          </w:tcPr>
          <w:p w14:paraId="57852E43" w14:textId="7E866680" w:rsidR="00B57963" w:rsidRPr="00A07F29" w:rsidRDefault="00B57963" w:rsidP="005A35D7">
            <w:pPr>
              <w:spacing w:after="0" w:line="240" w:lineRule="auto"/>
              <w:ind w:left="34"/>
              <w:rPr>
                <w:rFonts w:ascii="Times New Roman" w:eastAsia="Calibri" w:hAnsi="Times New Roman" w:cs="Times New Roman"/>
                <w:sz w:val="20"/>
                <w:szCs w:val="20"/>
              </w:rPr>
            </w:pPr>
            <w:r w:rsidRPr="00A07F29">
              <w:rPr>
                <w:rFonts w:ascii="Times New Roman" w:eastAsia="Calibri" w:hAnsi="Times New Roman" w:cs="Times New Roman"/>
                <w:sz w:val="20"/>
                <w:szCs w:val="20"/>
              </w:rPr>
              <w:t xml:space="preserve">Apsaimniekoti </w:t>
            </w:r>
            <w:r w:rsidR="005A35D7" w:rsidRPr="00A07F29">
              <w:rPr>
                <w:rFonts w:ascii="Times New Roman" w:eastAsia="Calibri" w:hAnsi="Times New Roman" w:cs="Times New Roman"/>
                <w:sz w:val="20"/>
                <w:szCs w:val="20"/>
              </w:rPr>
              <w:t>216</w:t>
            </w:r>
            <w:r w:rsidR="001016E6">
              <w:rPr>
                <w:rFonts w:ascii="Times New Roman" w:eastAsia="Calibri" w:hAnsi="Times New Roman" w:cs="Times New Roman"/>
                <w:sz w:val="20"/>
                <w:szCs w:val="20"/>
              </w:rPr>
              <w:t> </w:t>
            </w:r>
            <w:r w:rsidRPr="00A07F29">
              <w:rPr>
                <w:rFonts w:ascii="Times New Roman" w:eastAsia="Calibri" w:hAnsi="Times New Roman" w:cs="Times New Roman"/>
                <w:sz w:val="20"/>
                <w:szCs w:val="20"/>
              </w:rPr>
              <w:t>ha potenciālo aizsargājamo zālāju biotopu un pārējo ilggadīgo zālāju</w:t>
            </w:r>
          </w:p>
        </w:tc>
      </w:tr>
      <w:tr w:rsidR="00B57963" w:rsidRPr="00A07F29" w14:paraId="73786B0F" w14:textId="2B4CA33F" w:rsidTr="4284A616">
        <w:trPr>
          <w:jc w:val="center"/>
        </w:trPr>
        <w:tc>
          <w:tcPr>
            <w:tcW w:w="846" w:type="dxa"/>
            <w:shd w:val="clear" w:color="auto" w:fill="FFFFFF" w:themeFill="background1"/>
          </w:tcPr>
          <w:p w14:paraId="37573A97" w14:textId="0A456482" w:rsidR="00B57963" w:rsidRPr="00A07F29" w:rsidRDefault="00B57963" w:rsidP="00B57963">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bCs/>
                <w:sz w:val="20"/>
                <w:szCs w:val="20"/>
              </w:rPr>
              <w:t>B.2.</w:t>
            </w:r>
          </w:p>
        </w:tc>
        <w:tc>
          <w:tcPr>
            <w:tcW w:w="3402" w:type="dxa"/>
            <w:shd w:val="clear" w:color="auto" w:fill="FFFFFF" w:themeFill="background1"/>
            <w:hideMark/>
          </w:tcPr>
          <w:p w14:paraId="306DA33B" w14:textId="611C935A" w:rsidR="00B57963" w:rsidRPr="00A07F29" w:rsidRDefault="00B57963" w:rsidP="00315E9F">
            <w:pPr>
              <w:spacing w:after="0" w:line="240" w:lineRule="auto"/>
              <w:rPr>
                <w:rFonts w:ascii="Times New Roman" w:eastAsia="Calibri" w:hAnsi="Times New Roman" w:cs="Times New Roman"/>
                <w:bCs/>
                <w:sz w:val="20"/>
                <w:szCs w:val="20"/>
              </w:rPr>
            </w:pPr>
            <w:r w:rsidRPr="00A07F29">
              <w:rPr>
                <w:rFonts w:ascii="Times New Roman" w:eastAsia="Calibri" w:hAnsi="Times New Roman" w:cs="Times New Roman"/>
                <w:sz w:val="20"/>
                <w:szCs w:val="20"/>
              </w:rPr>
              <w:t>B.2.3.</w:t>
            </w:r>
            <w:r w:rsidR="006B0215">
              <w:rPr>
                <w:rFonts w:ascii="Times New Roman" w:eastAsia="Calibri" w:hAnsi="Times New Roman" w:cs="Times New Roman"/>
                <w:sz w:val="20"/>
                <w:szCs w:val="20"/>
              </w:rPr>
              <w:t> </w:t>
            </w:r>
            <w:r w:rsidRPr="00A07F29">
              <w:rPr>
                <w:rFonts w:ascii="Times New Roman" w:eastAsia="Calibri" w:hAnsi="Times New Roman" w:cs="Times New Roman"/>
                <w:sz w:val="20"/>
                <w:szCs w:val="20"/>
              </w:rPr>
              <w:t>Vēsturisko zālāju atjaunošana un apsaimniekošana</w:t>
            </w:r>
          </w:p>
        </w:tc>
        <w:tc>
          <w:tcPr>
            <w:tcW w:w="1701" w:type="dxa"/>
            <w:shd w:val="clear" w:color="auto" w:fill="FFFFFF" w:themeFill="background1"/>
          </w:tcPr>
          <w:p w14:paraId="230F7529" w14:textId="4BECC7DB" w:rsidR="00B57963" w:rsidRPr="00A07F29" w:rsidRDefault="00B57963" w:rsidP="00B57963">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II</w:t>
            </w:r>
          </w:p>
          <w:p w14:paraId="3DD300CD" w14:textId="42CCD9DD" w:rsidR="00B57963" w:rsidRPr="00A07F29" w:rsidRDefault="00EF10FF" w:rsidP="00B57963">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bCs/>
                <w:sz w:val="20"/>
                <w:szCs w:val="20"/>
              </w:rPr>
              <w:t>visu plāna periodu</w:t>
            </w:r>
          </w:p>
        </w:tc>
        <w:tc>
          <w:tcPr>
            <w:tcW w:w="1984" w:type="dxa"/>
            <w:shd w:val="clear" w:color="auto" w:fill="FFFFFF" w:themeFill="background1"/>
          </w:tcPr>
          <w:p w14:paraId="49231D33" w14:textId="4D32C279" w:rsidR="00B57963" w:rsidRPr="00A07F29" w:rsidRDefault="00B57963" w:rsidP="00F20708">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Zemes īpašnieki vai nomnieki,</w:t>
            </w:r>
            <w:r w:rsidR="00F20708">
              <w:rPr>
                <w:rFonts w:ascii="Times New Roman" w:eastAsia="Calibri" w:hAnsi="Times New Roman" w:cs="Times New Roman"/>
                <w:sz w:val="20"/>
                <w:szCs w:val="20"/>
              </w:rPr>
              <w:t xml:space="preserve"> </w:t>
            </w:r>
            <w:r w:rsidR="008A5CD7" w:rsidRPr="00A07F29">
              <w:rPr>
                <w:rFonts w:ascii="Times New Roman" w:eastAsia="Calibri" w:hAnsi="Times New Roman" w:cs="Times New Roman"/>
                <w:sz w:val="20"/>
                <w:szCs w:val="20"/>
              </w:rPr>
              <w:t xml:space="preserve">LAD, </w:t>
            </w:r>
            <w:r w:rsidRPr="00A07F29">
              <w:rPr>
                <w:rFonts w:ascii="Times New Roman" w:eastAsia="Calibri" w:hAnsi="Times New Roman" w:cs="Times New Roman"/>
                <w:sz w:val="20"/>
                <w:szCs w:val="20"/>
              </w:rPr>
              <w:t>DAP</w:t>
            </w:r>
          </w:p>
        </w:tc>
        <w:tc>
          <w:tcPr>
            <w:tcW w:w="1560" w:type="dxa"/>
            <w:shd w:val="clear" w:color="auto" w:fill="FFFFFF" w:themeFill="background1"/>
          </w:tcPr>
          <w:p w14:paraId="6D8F7C84" w14:textId="41827319" w:rsidR="00B57963" w:rsidRPr="00A07F29" w:rsidRDefault="00637C8F" w:rsidP="00637C8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Ap 2000</w:t>
            </w:r>
            <w:r w:rsidR="00F20708">
              <w:rPr>
                <w:rFonts w:ascii="Times New Roman" w:eastAsia="Calibri" w:hAnsi="Times New Roman" w:cs="Times New Roman"/>
                <w:sz w:val="20"/>
                <w:szCs w:val="20"/>
              </w:rPr>
              <w:t> </w:t>
            </w:r>
            <w:r w:rsidRPr="00A07F29">
              <w:rPr>
                <w:rFonts w:ascii="Times New Roman" w:eastAsia="Calibri" w:hAnsi="Times New Roman" w:cs="Times New Roman"/>
                <w:sz w:val="20"/>
                <w:szCs w:val="20"/>
              </w:rPr>
              <w:t>EUR/ha – atjaunošana; turpmāk</w:t>
            </w:r>
            <w:r w:rsidR="00F20708">
              <w:rPr>
                <w:rFonts w:ascii="Times New Roman" w:eastAsia="Calibri" w:hAnsi="Times New Roman" w:cs="Times New Roman"/>
                <w:sz w:val="20"/>
                <w:szCs w:val="20"/>
              </w:rPr>
              <w:t xml:space="preserve"> –</w:t>
            </w:r>
            <w:r w:rsidRPr="00A07F29">
              <w:rPr>
                <w:rFonts w:ascii="Times New Roman" w:eastAsia="Calibri" w:hAnsi="Times New Roman" w:cs="Times New Roman"/>
                <w:sz w:val="20"/>
                <w:szCs w:val="20"/>
              </w:rPr>
              <w:t xml:space="preserve"> uzturēšanai ik gadu sākot no 300</w:t>
            </w:r>
            <w:r w:rsidR="00074945">
              <w:rPr>
                <w:rFonts w:ascii="Times New Roman" w:eastAsia="Calibri" w:hAnsi="Times New Roman" w:cs="Times New Roman"/>
                <w:sz w:val="20"/>
                <w:szCs w:val="20"/>
              </w:rPr>
              <w:t> </w:t>
            </w:r>
            <w:r w:rsidRPr="00A07F29">
              <w:rPr>
                <w:rFonts w:ascii="Times New Roman" w:eastAsia="Calibri" w:hAnsi="Times New Roman" w:cs="Times New Roman"/>
                <w:sz w:val="20"/>
                <w:szCs w:val="20"/>
              </w:rPr>
              <w:t>EUR/ha</w:t>
            </w:r>
          </w:p>
        </w:tc>
        <w:tc>
          <w:tcPr>
            <w:tcW w:w="1984" w:type="dxa"/>
            <w:shd w:val="clear" w:color="auto" w:fill="FFFFFF" w:themeFill="background1"/>
          </w:tcPr>
          <w:p w14:paraId="0A11C716" w14:textId="002F60AB" w:rsidR="00B57963" w:rsidRPr="00A07F29" w:rsidRDefault="00781CA2" w:rsidP="00781CA2">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Zemes īpašnieku līdzekļi, projektu finansējums</w:t>
            </w:r>
            <w:r w:rsidR="008A5CD7" w:rsidRPr="00A07F29">
              <w:rPr>
                <w:rFonts w:ascii="Times New Roman" w:eastAsia="Calibri" w:hAnsi="Times New Roman" w:cs="Times New Roman"/>
                <w:sz w:val="20"/>
                <w:szCs w:val="20"/>
              </w:rPr>
              <w:t>, atbalsta maksājumi</w:t>
            </w:r>
          </w:p>
        </w:tc>
        <w:tc>
          <w:tcPr>
            <w:tcW w:w="3686" w:type="dxa"/>
            <w:shd w:val="clear" w:color="auto" w:fill="FFFFFF" w:themeFill="background1"/>
          </w:tcPr>
          <w:p w14:paraId="361F78BC" w14:textId="7287ED7D" w:rsidR="00B57963" w:rsidRPr="00A07F29" w:rsidRDefault="00B57963" w:rsidP="005A35D7">
            <w:pPr>
              <w:spacing w:after="0" w:line="240" w:lineRule="auto"/>
              <w:ind w:left="34"/>
              <w:rPr>
                <w:rFonts w:ascii="Times New Roman" w:eastAsia="Calibri" w:hAnsi="Times New Roman" w:cs="Times New Roman"/>
                <w:bCs/>
                <w:sz w:val="20"/>
                <w:szCs w:val="20"/>
              </w:rPr>
            </w:pPr>
            <w:r w:rsidRPr="00A07F29">
              <w:rPr>
                <w:rFonts w:ascii="Times New Roman" w:eastAsia="Calibri" w:hAnsi="Times New Roman" w:cs="Times New Roman"/>
                <w:sz w:val="20"/>
                <w:szCs w:val="20"/>
              </w:rPr>
              <w:t xml:space="preserve">Uzsākta apsaimniekošana vēsturiskajos zālājos </w:t>
            </w:r>
            <w:r w:rsidR="007A3FDE" w:rsidRPr="00A07F29">
              <w:rPr>
                <w:rFonts w:ascii="Times New Roman" w:eastAsia="Calibri" w:hAnsi="Times New Roman" w:cs="Times New Roman"/>
                <w:bCs/>
                <w:sz w:val="20"/>
                <w:szCs w:val="20"/>
              </w:rPr>
              <w:t>2</w:t>
            </w:r>
            <w:r w:rsidR="005A35D7" w:rsidRPr="00A07F29">
              <w:rPr>
                <w:rFonts w:ascii="Times New Roman" w:eastAsia="Calibri" w:hAnsi="Times New Roman" w:cs="Times New Roman"/>
                <w:bCs/>
                <w:sz w:val="20"/>
                <w:szCs w:val="20"/>
              </w:rPr>
              <w:t>73</w:t>
            </w:r>
            <w:r w:rsidR="00074945">
              <w:rPr>
                <w:rFonts w:ascii="Times New Roman" w:eastAsia="Calibri" w:hAnsi="Times New Roman" w:cs="Times New Roman"/>
                <w:bCs/>
                <w:sz w:val="20"/>
                <w:szCs w:val="20"/>
              </w:rPr>
              <w:t> </w:t>
            </w:r>
            <w:r w:rsidRPr="00A07F29">
              <w:rPr>
                <w:rFonts w:ascii="Times New Roman" w:eastAsia="Calibri" w:hAnsi="Times New Roman" w:cs="Times New Roman"/>
                <w:sz w:val="20"/>
                <w:szCs w:val="20"/>
              </w:rPr>
              <w:t>ha platībā</w:t>
            </w:r>
          </w:p>
        </w:tc>
      </w:tr>
      <w:tr w:rsidR="00B57963" w:rsidRPr="00A07F29" w14:paraId="30C02C81" w14:textId="70679DC2" w:rsidTr="4284A616">
        <w:trPr>
          <w:jc w:val="center"/>
        </w:trPr>
        <w:tc>
          <w:tcPr>
            <w:tcW w:w="846" w:type="dxa"/>
            <w:shd w:val="clear" w:color="auto" w:fill="FFFFFF" w:themeFill="background1"/>
          </w:tcPr>
          <w:p w14:paraId="59AF0342" w14:textId="232D8B2C" w:rsidR="00B57963" w:rsidRPr="00A07F29" w:rsidRDefault="00B57963" w:rsidP="00B57963">
            <w:pPr>
              <w:spacing w:after="0" w:line="240" w:lineRule="auto"/>
              <w:jc w:val="center"/>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B.3.</w:t>
            </w:r>
          </w:p>
        </w:tc>
        <w:tc>
          <w:tcPr>
            <w:tcW w:w="3402" w:type="dxa"/>
            <w:shd w:val="clear" w:color="auto" w:fill="FFFFFF" w:themeFill="background1"/>
            <w:hideMark/>
          </w:tcPr>
          <w:p w14:paraId="09B66EE6" w14:textId="32036A43" w:rsidR="00B57963" w:rsidRPr="00A07F29" w:rsidRDefault="00B57963" w:rsidP="00315E9F">
            <w:pPr>
              <w:spacing w:after="0" w:line="240" w:lineRule="auto"/>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B.3.1.</w:t>
            </w:r>
            <w:r w:rsidR="00074945">
              <w:rPr>
                <w:rFonts w:ascii="Times New Roman" w:eastAsia="Calibri" w:hAnsi="Times New Roman" w:cs="Times New Roman"/>
                <w:bCs/>
                <w:sz w:val="20"/>
                <w:szCs w:val="20"/>
              </w:rPr>
              <w:t> </w:t>
            </w:r>
            <w:r w:rsidRPr="00A07F29">
              <w:rPr>
                <w:rFonts w:ascii="Times New Roman" w:eastAsia="Calibri" w:hAnsi="Times New Roman" w:cs="Times New Roman"/>
                <w:bCs/>
                <w:sz w:val="20"/>
                <w:szCs w:val="20"/>
              </w:rPr>
              <w:t>Biotopa 7140</w:t>
            </w:r>
            <w:r w:rsidR="00074945">
              <w:rPr>
                <w:rFonts w:ascii="Times New Roman" w:eastAsia="Calibri" w:hAnsi="Times New Roman" w:cs="Times New Roman"/>
                <w:bCs/>
                <w:sz w:val="20"/>
                <w:szCs w:val="20"/>
              </w:rPr>
              <w:t> </w:t>
            </w:r>
            <w:r w:rsidRPr="00074945">
              <w:rPr>
                <w:rFonts w:ascii="Times New Roman" w:eastAsia="Calibri" w:hAnsi="Times New Roman" w:cs="Times New Roman"/>
                <w:bCs/>
                <w:i/>
                <w:iCs/>
                <w:sz w:val="20"/>
                <w:szCs w:val="20"/>
              </w:rPr>
              <w:t>Pārejas purvi un slīkšņas</w:t>
            </w:r>
            <w:r w:rsidRPr="00A07F29">
              <w:rPr>
                <w:rFonts w:ascii="Times New Roman" w:eastAsia="Calibri" w:hAnsi="Times New Roman" w:cs="Times New Roman"/>
                <w:bCs/>
                <w:sz w:val="20"/>
                <w:szCs w:val="20"/>
              </w:rPr>
              <w:t xml:space="preserve"> kvalitātes uzlabošana</w:t>
            </w:r>
          </w:p>
        </w:tc>
        <w:tc>
          <w:tcPr>
            <w:tcW w:w="1701" w:type="dxa"/>
            <w:shd w:val="clear" w:color="auto" w:fill="FFFFFF" w:themeFill="background1"/>
            <w:hideMark/>
          </w:tcPr>
          <w:p w14:paraId="102C4890" w14:textId="77777777" w:rsidR="00B57963" w:rsidRPr="00A07F29" w:rsidRDefault="00B57963" w:rsidP="00B57963">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II,</w:t>
            </w:r>
          </w:p>
          <w:p w14:paraId="2E7B4885" w14:textId="648EAB90" w:rsidR="00B57963" w:rsidRPr="00A07F29" w:rsidRDefault="00EF10FF" w:rsidP="00B57963">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bCs/>
                <w:sz w:val="20"/>
                <w:szCs w:val="20"/>
              </w:rPr>
              <w:t>visu plāna periodu</w:t>
            </w:r>
          </w:p>
        </w:tc>
        <w:tc>
          <w:tcPr>
            <w:tcW w:w="1984" w:type="dxa"/>
            <w:shd w:val="clear" w:color="auto" w:fill="FFFFFF" w:themeFill="background1"/>
          </w:tcPr>
          <w:p w14:paraId="775B3CE8" w14:textId="0F22208D" w:rsidR="00B57963" w:rsidRPr="00A07F29" w:rsidRDefault="00B57963" w:rsidP="00494E2A">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Zemes īpašnieki vai nomnieki,</w:t>
            </w:r>
            <w:r w:rsidR="00D65BBA" w:rsidRPr="00A07F29">
              <w:rPr>
                <w:rFonts w:ascii="Times New Roman" w:eastAsia="Calibri" w:hAnsi="Times New Roman" w:cs="Times New Roman"/>
                <w:sz w:val="20"/>
                <w:szCs w:val="20"/>
              </w:rPr>
              <w:t xml:space="preserve"> </w:t>
            </w:r>
            <w:r w:rsidRPr="00A07F29">
              <w:rPr>
                <w:rFonts w:ascii="Times New Roman" w:eastAsia="Calibri" w:hAnsi="Times New Roman" w:cs="Times New Roman"/>
                <w:sz w:val="20"/>
                <w:szCs w:val="20"/>
              </w:rPr>
              <w:t>DAP</w:t>
            </w:r>
          </w:p>
        </w:tc>
        <w:tc>
          <w:tcPr>
            <w:tcW w:w="1560" w:type="dxa"/>
            <w:shd w:val="clear" w:color="auto" w:fill="FFFFFF" w:themeFill="background1"/>
          </w:tcPr>
          <w:p w14:paraId="47E3621D" w14:textId="0137E1DE" w:rsidR="00B57963" w:rsidRPr="00A07F29" w:rsidRDefault="003728DD" w:rsidP="003728DD">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Ap 10</w:t>
            </w:r>
            <w:r w:rsidR="00494E2A">
              <w:rPr>
                <w:rFonts w:ascii="Times New Roman" w:eastAsia="Calibri" w:hAnsi="Times New Roman" w:cs="Times New Roman"/>
                <w:sz w:val="20"/>
                <w:szCs w:val="20"/>
              </w:rPr>
              <w:t> </w:t>
            </w:r>
            <w:r w:rsidRPr="00A07F29">
              <w:rPr>
                <w:rFonts w:ascii="Times New Roman" w:eastAsia="Calibri" w:hAnsi="Times New Roman" w:cs="Times New Roman"/>
                <w:sz w:val="20"/>
                <w:szCs w:val="20"/>
              </w:rPr>
              <w:t>000</w:t>
            </w:r>
            <w:r w:rsidR="00494E2A">
              <w:rPr>
                <w:rFonts w:ascii="Times New Roman" w:eastAsia="Calibri" w:hAnsi="Times New Roman" w:cs="Times New Roman"/>
                <w:sz w:val="20"/>
                <w:szCs w:val="20"/>
              </w:rPr>
              <w:t> </w:t>
            </w:r>
            <w:r w:rsidRPr="00A07F29">
              <w:rPr>
                <w:rFonts w:ascii="Times New Roman" w:eastAsia="Calibri" w:hAnsi="Times New Roman" w:cs="Times New Roman"/>
                <w:sz w:val="20"/>
                <w:szCs w:val="20"/>
              </w:rPr>
              <w:t xml:space="preserve">EUR, vienreizējs pasākums, uzturēšanai </w:t>
            </w:r>
            <w:r w:rsidR="001439A0" w:rsidRPr="00A07F29">
              <w:rPr>
                <w:rFonts w:ascii="Times New Roman" w:eastAsia="Calibri" w:hAnsi="Times New Roman" w:cs="Times New Roman"/>
                <w:sz w:val="20"/>
                <w:szCs w:val="20"/>
              </w:rPr>
              <w:t>300</w:t>
            </w:r>
            <w:r w:rsidR="00494E2A">
              <w:rPr>
                <w:rFonts w:ascii="Times New Roman" w:eastAsia="Calibri" w:hAnsi="Times New Roman" w:cs="Times New Roman"/>
                <w:sz w:val="20"/>
                <w:szCs w:val="20"/>
              </w:rPr>
              <w:t> </w:t>
            </w:r>
            <w:r w:rsidRPr="00A07F29">
              <w:rPr>
                <w:rFonts w:ascii="Times New Roman" w:eastAsia="Calibri" w:hAnsi="Times New Roman" w:cs="Times New Roman"/>
                <w:sz w:val="20"/>
                <w:szCs w:val="20"/>
              </w:rPr>
              <w:t>EUR ikgadēji</w:t>
            </w:r>
          </w:p>
        </w:tc>
        <w:tc>
          <w:tcPr>
            <w:tcW w:w="1984" w:type="dxa"/>
            <w:shd w:val="clear" w:color="auto" w:fill="FFFFFF" w:themeFill="background1"/>
          </w:tcPr>
          <w:p w14:paraId="4E4FEA4B" w14:textId="45D109D8" w:rsidR="00B57963" w:rsidRPr="00A07F29" w:rsidRDefault="00781CA2" w:rsidP="00B57963">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Zemes īpašnieku līdzekļi, projektu finansējums</w:t>
            </w:r>
          </w:p>
        </w:tc>
        <w:tc>
          <w:tcPr>
            <w:tcW w:w="3686" w:type="dxa"/>
            <w:shd w:val="clear" w:color="auto" w:fill="FFFFFF" w:themeFill="background1"/>
          </w:tcPr>
          <w:p w14:paraId="521C1708" w14:textId="2F8E43C2" w:rsidR="00B57963" w:rsidRPr="00A07F29" w:rsidRDefault="00B57963" w:rsidP="007A3FDE">
            <w:pPr>
              <w:spacing w:after="0" w:line="240" w:lineRule="auto"/>
              <w:ind w:left="34"/>
              <w:rPr>
                <w:rFonts w:ascii="Times New Roman" w:eastAsia="Calibri" w:hAnsi="Times New Roman" w:cs="Times New Roman"/>
                <w:bCs/>
                <w:sz w:val="20"/>
                <w:szCs w:val="20"/>
              </w:rPr>
            </w:pPr>
            <w:r w:rsidRPr="00A07F29">
              <w:rPr>
                <w:rFonts w:ascii="Times New Roman" w:eastAsia="Calibri" w:hAnsi="Times New Roman" w:cs="Times New Roman"/>
                <w:sz w:val="20"/>
                <w:szCs w:val="20"/>
              </w:rPr>
              <w:t xml:space="preserve">Izcirsti un novākti krūmi, nopļauta un izvesta zāle un niedres </w:t>
            </w:r>
            <w:r w:rsidR="007A3FDE" w:rsidRPr="00A07F29">
              <w:rPr>
                <w:rFonts w:ascii="Times New Roman" w:eastAsia="Calibri" w:hAnsi="Times New Roman" w:cs="Times New Roman"/>
                <w:sz w:val="20"/>
                <w:szCs w:val="20"/>
              </w:rPr>
              <w:t>1,37</w:t>
            </w:r>
            <w:r w:rsidR="00925670">
              <w:rPr>
                <w:rFonts w:ascii="Times New Roman" w:eastAsia="Calibri" w:hAnsi="Times New Roman" w:cs="Times New Roman"/>
                <w:sz w:val="20"/>
                <w:szCs w:val="20"/>
              </w:rPr>
              <w:t> </w:t>
            </w:r>
            <w:r w:rsidRPr="00A07F29">
              <w:rPr>
                <w:rFonts w:ascii="Times New Roman" w:eastAsia="Calibri" w:hAnsi="Times New Roman" w:cs="Times New Roman"/>
                <w:sz w:val="20"/>
                <w:szCs w:val="20"/>
              </w:rPr>
              <w:t>ha platībā</w:t>
            </w:r>
          </w:p>
        </w:tc>
      </w:tr>
      <w:tr w:rsidR="00B57963" w:rsidRPr="00A07F29" w14:paraId="1FBC5A66" w14:textId="1AAC7BFA" w:rsidTr="4284A616">
        <w:trPr>
          <w:jc w:val="center"/>
        </w:trPr>
        <w:tc>
          <w:tcPr>
            <w:tcW w:w="846" w:type="dxa"/>
            <w:shd w:val="clear" w:color="auto" w:fill="FFFFFF" w:themeFill="background1"/>
          </w:tcPr>
          <w:p w14:paraId="316A6D16" w14:textId="2540D673" w:rsidR="00B57963" w:rsidRPr="00A07F29" w:rsidRDefault="00B57963" w:rsidP="00B57963">
            <w:pPr>
              <w:spacing w:after="0" w:line="240" w:lineRule="auto"/>
              <w:jc w:val="center"/>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B.4.</w:t>
            </w:r>
          </w:p>
        </w:tc>
        <w:tc>
          <w:tcPr>
            <w:tcW w:w="3402" w:type="dxa"/>
            <w:shd w:val="clear" w:color="auto" w:fill="FFFFFF" w:themeFill="background1"/>
            <w:hideMark/>
          </w:tcPr>
          <w:p w14:paraId="2DB80132" w14:textId="093E1D60" w:rsidR="00B57963" w:rsidRPr="00A07F29" w:rsidRDefault="00B57963" w:rsidP="00315E9F">
            <w:pPr>
              <w:spacing w:after="0" w:line="240" w:lineRule="auto"/>
              <w:rPr>
                <w:rFonts w:ascii="Times New Roman" w:eastAsia="Calibri" w:hAnsi="Times New Roman" w:cs="Times New Roman"/>
                <w:bCs/>
                <w:sz w:val="20"/>
                <w:szCs w:val="20"/>
              </w:rPr>
            </w:pPr>
            <w:bookmarkStart w:id="106" w:name="_Hlk40219208"/>
            <w:r w:rsidRPr="00A07F29">
              <w:rPr>
                <w:rFonts w:ascii="Times New Roman" w:eastAsia="Calibri" w:hAnsi="Times New Roman" w:cs="Times New Roman"/>
                <w:bCs/>
                <w:sz w:val="20"/>
                <w:szCs w:val="20"/>
              </w:rPr>
              <w:t>B.4.1.</w:t>
            </w:r>
            <w:r w:rsidR="00925670">
              <w:rPr>
                <w:rFonts w:ascii="Times New Roman" w:eastAsia="Calibri" w:hAnsi="Times New Roman" w:cs="Times New Roman"/>
                <w:bCs/>
                <w:sz w:val="20"/>
                <w:szCs w:val="20"/>
              </w:rPr>
              <w:t> </w:t>
            </w:r>
            <w:r w:rsidRPr="00A07F29">
              <w:rPr>
                <w:rFonts w:ascii="Times New Roman" w:eastAsia="Calibri" w:hAnsi="Times New Roman" w:cs="Times New Roman"/>
                <w:bCs/>
                <w:sz w:val="20"/>
                <w:szCs w:val="20"/>
              </w:rPr>
              <w:t>Neiejaukšanās ES nozīmes biotopu dabiskā attīstībā</w:t>
            </w:r>
            <w:bookmarkEnd w:id="106"/>
          </w:p>
        </w:tc>
        <w:tc>
          <w:tcPr>
            <w:tcW w:w="1701" w:type="dxa"/>
            <w:shd w:val="clear" w:color="auto" w:fill="FFFFFF" w:themeFill="background1"/>
            <w:hideMark/>
          </w:tcPr>
          <w:p w14:paraId="36C1C395" w14:textId="77777777" w:rsidR="00B57963" w:rsidRPr="00A07F29" w:rsidRDefault="00B57963" w:rsidP="00B57963">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I,</w:t>
            </w:r>
          </w:p>
          <w:p w14:paraId="70E2599F" w14:textId="70963E0D" w:rsidR="00B57963" w:rsidRPr="00A07F29" w:rsidRDefault="00EF10FF" w:rsidP="00B57963">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bCs/>
                <w:sz w:val="20"/>
                <w:szCs w:val="20"/>
              </w:rPr>
              <w:t>visu plāna periodu</w:t>
            </w:r>
          </w:p>
        </w:tc>
        <w:tc>
          <w:tcPr>
            <w:tcW w:w="1984" w:type="dxa"/>
            <w:shd w:val="clear" w:color="auto" w:fill="FFFFFF" w:themeFill="background1"/>
          </w:tcPr>
          <w:p w14:paraId="64DC60B1" w14:textId="5F745D6B" w:rsidR="00B57963" w:rsidRPr="00A07F29" w:rsidRDefault="00B57963" w:rsidP="00B57963">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Zemes īpašnieki</w:t>
            </w:r>
          </w:p>
        </w:tc>
        <w:tc>
          <w:tcPr>
            <w:tcW w:w="1560" w:type="dxa"/>
            <w:shd w:val="clear" w:color="auto" w:fill="FFFFFF" w:themeFill="background1"/>
          </w:tcPr>
          <w:p w14:paraId="6D5D6866" w14:textId="31351036" w:rsidR="00B57963" w:rsidRPr="00A07F29" w:rsidRDefault="001439A0" w:rsidP="00B57963">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Izmaksas atbilstoši noteiktajam kompensāciju apmēram par saimnieciskās darbības ierobežojumiem</w:t>
            </w:r>
          </w:p>
        </w:tc>
        <w:tc>
          <w:tcPr>
            <w:tcW w:w="1984" w:type="dxa"/>
            <w:shd w:val="clear" w:color="auto" w:fill="FFFFFF" w:themeFill="background1"/>
          </w:tcPr>
          <w:p w14:paraId="1B41F591" w14:textId="129DB887" w:rsidR="00B57963" w:rsidRPr="00A07F29" w:rsidRDefault="001439A0" w:rsidP="00B57963">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Valsts un ES līdzekļi kompensācijām par saimnieciskās darbības ierobežojumiem</w:t>
            </w:r>
          </w:p>
        </w:tc>
        <w:tc>
          <w:tcPr>
            <w:tcW w:w="3686" w:type="dxa"/>
            <w:shd w:val="clear" w:color="auto" w:fill="FFFFFF" w:themeFill="background1"/>
          </w:tcPr>
          <w:p w14:paraId="661CF923" w14:textId="38EA56CD" w:rsidR="00B57963" w:rsidRPr="00A07F29" w:rsidRDefault="005A35D7" w:rsidP="00315E9F">
            <w:pPr>
              <w:spacing w:after="0" w:line="240" w:lineRule="auto"/>
              <w:ind w:left="34"/>
              <w:rPr>
                <w:rFonts w:ascii="Times New Roman" w:eastAsia="Calibri" w:hAnsi="Times New Roman" w:cs="Times New Roman"/>
                <w:bCs/>
                <w:sz w:val="20"/>
                <w:szCs w:val="20"/>
              </w:rPr>
            </w:pPr>
            <w:r w:rsidRPr="00A07F29">
              <w:rPr>
                <w:rFonts w:ascii="Times New Roman" w:eastAsia="Calibri" w:hAnsi="Times New Roman" w:cs="Times New Roman"/>
                <w:sz w:val="20"/>
                <w:szCs w:val="20"/>
              </w:rPr>
              <w:t>Neiejaukšanās 1679</w:t>
            </w:r>
            <w:r w:rsidR="00925670">
              <w:rPr>
                <w:rFonts w:ascii="Times New Roman" w:eastAsia="Calibri" w:hAnsi="Times New Roman" w:cs="Times New Roman"/>
                <w:sz w:val="20"/>
                <w:szCs w:val="20"/>
              </w:rPr>
              <w:t> </w:t>
            </w:r>
            <w:r w:rsidR="00B57963" w:rsidRPr="00A07F29">
              <w:rPr>
                <w:rFonts w:ascii="Times New Roman" w:eastAsia="Calibri" w:hAnsi="Times New Roman" w:cs="Times New Roman"/>
                <w:sz w:val="20"/>
                <w:szCs w:val="20"/>
              </w:rPr>
              <w:t>ha platībā ES nozīmes m</w:t>
            </w:r>
            <w:r w:rsidR="00A0103C" w:rsidRPr="00A07F29">
              <w:rPr>
                <w:rFonts w:ascii="Times New Roman" w:eastAsia="Calibri" w:hAnsi="Times New Roman" w:cs="Times New Roman"/>
                <w:sz w:val="20"/>
                <w:szCs w:val="20"/>
              </w:rPr>
              <w:t>eža biotopu dabiskajā attīstībā</w:t>
            </w:r>
          </w:p>
        </w:tc>
      </w:tr>
      <w:tr w:rsidR="00B57963" w:rsidRPr="00A07F29" w14:paraId="1D14F52F" w14:textId="008EB352" w:rsidTr="4284A616">
        <w:trPr>
          <w:jc w:val="center"/>
        </w:trPr>
        <w:tc>
          <w:tcPr>
            <w:tcW w:w="846" w:type="dxa"/>
            <w:shd w:val="clear" w:color="auto" w:fill="FFFFFF" w:themeFill="background1"/>
          </w:tcPr>
          <w:p w14:paraId="075FE541" w14:textId="436FCDD9" w:rsidR="00B57963" w:rsidRPr="00A07F29" w:rsidRDefault="00B57963" w:rsidP="00B57963">
            <w:pPr>
              <w:spacing w:after="0" w:line="240" w:lineRule="auto"/>
              <w:jc w:val="center"/>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B.5.</w:t>
            </w:r>
          </w:p>
        </w:tc>
        <w:tc>
          <w:tcPr>
            <w:tcW w:w="3402" w:type="dxa"/>
            <w:shd w:val="clear" w:color="auto" w:fill="FFFFFF" w:themeFill="background1"/>
            <w:hideMark/>
          </w:tcPr>
          <w:p w14:paraId="0D1744DC" w14:textId="225DA0FA" w:rsidR="00B57963" w:rsidRPr="00A07F29" w:rsidRDefault="00B57963" w:rsidP="00315E9F">
            <w:pPr>
              <w:spacing w:after="0" w:line="240" w:lineRule="auto"/>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B.5.1.</w:t>
            </w:r>
            <w:r w:rsidR="00FB5084">
              <w:rPr>
                <w:rFonts w:ascii="Times New Roman" w:eastAsia="Calibri" w:hAnsi="Times New Roman" w:cs="Times New Roman"/>
                <w:bCs/>
                <w:sz w:val="20"/>
                <w:szCs w:val="20"/>
              </w:rPr>
              <w:t> </w:t>
            </w:r>
            <w:proofErr w:type="spellStart"/>
            <w:r w:rsidRPr="00A07F29">
              <w:rPr>
                <w:rFonts w:ascii="Times New Roman" w:hAnsi="Times New Roman" w:cs="Times New Roman"/>
                <w:sz w:val="20"/>
                <w:szCs w:val="20"/>
              </w:rPr>
              <w:t>Kaijveidīgo</w:t>
            </w:r>
            <w:proofErr w:type="spellEnd"/>
            <w:r w:rsidRPr="00A07F29">
              <w:rPr>
                <w:rFonts w:ascii="Times New Roman" w:hAnsi="Times New Roman" w:cs="Times New Roman"/>
                <w:sz w:val="20"/>
                <w:szCs w:val="20"/>
              </w:rPr>
              <w:t xml:space="preserve"> putnu apdzīvoto Daugavas salu apsaimniekošana</w:t>
            </w:r>
            <w:r w:rsidRPr="00A07F29">
              <w:rPr>
                <w:rFonts w:ascii="Times New Roman" w:eastAsia="Calibri" w:hAnsi="Times New Roman" w:cs="Times New Roman"/>
                <w:bCs/>
                <w:sz w:val="20"/>
                <w:szCs w:val="20"/>
              </w:rPr>
              <w:t>.</w:t>
            </w:r>
          </w:p>
        </w:tc>
        <w:tc>
          <w:tcPr>
            <w:tcW w:w="1701" w:type="dxa"/>
            <w:shd w:val="clear" w:color="auto" w:fill="FFFFFF" w:themeFill="background1"/>
          </w:tcPr>
          <w:p w14:paraId="4D31CF4F" w14:textId="77777777" w:rsidR="00B57963" w:rsidRPr="00A07F29" w:rsidRDefault="00B57963" w:rsidP="00B57963">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I,</w:t>
            </w:r>
          </w:p>
          <w:p w14:paraId="70855522" w14:textId="2F0F1CEF" w:rsidR="00B57963" w:rsidRPr="00A07F29" w:rsidRDefault="00EF10FF" w:rsidP="00B57963">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bCs/>
                <w:sz w:val="20"/>
                <w:szCs w:val="20"/>
              </w:rPr>
              <w:t>visu plāna periodu</w:t>
            </w:r>
          </w:p>
        </w:tc>
        <w:tc>
          <w:tcPr>
            <w:tcW w:w="1984" w:type="dxa"/>
            <w:shd w:val="clear" w:color="auto" w:fill="FFFFFF" w:themeFill="background1"/>
          </w:tcPr>
          <w:p w14:paraId="5A21ED38" w14:textId="0E30B2AF" w:rsidR="00B57963" w:rsidRPr="00A07F29" w:rsidRDefault="00B57963" w:rsidP="00B57963">
            <w:pPr>
              <w:spacing w:after="0" w:line="240" w:lineRule="auto"/>
              <w:ind w:left="34"/>
              <w:jc w:val="both"/>
              <w:rPr>
                <w:rFonts w:ascii="Times New Roman" w:eastAsia="Calibri" w:hAnsi="Times New Roman" w:cs="Times New Roman"/>
                <w:bCs/>
                <w:sz w:val="20"/>
                <w:szCs w:val="20"/>
              </w:rPr>
            </w:pPr>
            <w:r w:rsidRPr="00A07F29">
              <w:rPr>
                <w:rFonts w:ascii="Times New Roman" w:eastAsia="Calibri" w:hAnsi="Times New Roman" w:cs="Times New Roman"/>
                <w:sz w:val="20"/>
                <w:szCs w:val="20"/>
              </w:rPr>
              <w:t>DAP, NVO, pašvaldība</w:t>
            </w:r>
          </w:p>
        </w:tc>
        <w:tc>
          <w:tcPr>
            <w:tcW w:w="1560" w:type="dxa"/>
            <w:shd w:val="clear" w:color="auto" w:fill="FFFFFF" w:themeFill="background1"/>
          </w:tcPr>
          <w:p w14:paraId="0ED9D633" w14:textId="1B0B39B9" w:rsidR="001439A0" w:rsidRPr="00A07F29" w:rsidRDefault="001439A0" w:rsidP="001439A0">
            <w:pPr>
              <w:spacing w:after="0" w:line="240" w:lineRule="auto"/>
              <w:ind w:left="34"/>
              <w:jc w:val="both"/>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Nav nosakāms</w:t>
            </w:r>
          </w:p>
        </w:tc>
        <w:tc>
          <w:tcPr>
            <w:tcW w:w="1984" w:type="dxa"/>
            <w:shd w:val="clear" w:color="auto" w:fill="FFFFFF" w:themeFill="background1"/>
          </w:tcPr>
          <w:p w14:paraId="7B4A4685" w14:textId="555F2EB6" w:rsidR="00B57963" w:rsidRPr="00A07F29" w:rsidRDefault="00781CA2" w:rsidP="00781CA2">
            <w:pPr>
              <w:spacing w:after="0" w:line="240" w:lineRule="auto"/>
              <w:ind w:left="34"/>
              <w:jc w:val="both"/>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Projektu finansējums</w:t>
            </w:r>
          </w:p>
        </w:tc>
        <w:tc>
          <w:tcPr>
            <w:tcW w:w="3686" w:type="dxa"/>
            <w:shd w:val="clear" w:color="auto" w:fill="FFFFFF" w:themeFill="background1"/>
          </w:tcPr>
          <w:p w14:paraId="7D821113" w14:textId="6B04A233" w:rsidR="00B57963" w:rsidRPr="00A07F29" w:rsidRDefault="00B57963" w:rsidP="001218D6">
            <w:pPr>
              <w:spacing w:after="0" w:line="240" w:lineRule="auto"/>
              <w:ind w:left="34"/>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 xml:space="preserve">Saglabāta </w:t>
            </w:r>
            <w:proofErr w:type="spellStart"/>
            <w:r w:rsidRPr="00A07F29">
              <w:rPr>
                <w:rFonts w:ascii="Times New Roman" w:eastAsia="Calibri" w:hAnsi="Times New Roman" w:cs="Times New Roman"/>
                <w:sz w:val="20"/>
                <w:szCs w:val="20"/>
              </w:rPr>
              <w:t>kaijveidīgo</w:t>
            </w:r>
            <w:proofErr w:type="spellEnd"/>
            <w:r w:rsidRPr="00A07F29">
              <w:rPr>
                <w:rFonts w:ascii="Times New Roman" w:eastAsia="Calibri" w:hAnsi="Times New Roman" w:cs="Times New Roman"/>
                <w:sz w:val="20"/>
                <w:szCs w:val="20"/>
              </w:rPr>
              <w:t xml:space="preserve"> putnu </w:t>
            </w:r>
            <w:r w:rsidRPr="00A07F29">
              <w:rPr>
                <w:rFonts w:ascii="Times New Roman" w:eastAsia="Calibri" w:hAnsi="Times New Roman" w:cs="Times New Roman"/>
                <w:bCs/>
                <w:sz w:val="20"/>
                <w:szCs w:val="20"/>
              </w:rPr>
              <w:t xml:space="preserve">sugu </w:t>
            </w:r>
            <w:r w:rsidRPr="00A07F29">
              <w:rPr>
                <w:rFonts w:ascii="Times New Roman" w:eastAsia="Calibri" w:hAnsi="Times New Roman" w:cs="Times New Roman"/>
                <w:sz w:val="20"/>
                <w:szCs w:val="20"/>
              </w:rPr>
              <w:t xml:space="preserve">dzīvotne </w:t>
            </w:r>
            <w:r w:rsidR="001218D6" w:rsidRPr="00A07F29">
              <w:rPr>
                <w:rFonts w:ascii="Times New Roman" w:eastAsia="Calibri" w:hAnsi="Times New Roman" w:cs="Times New Roman"/>
                <w:bCs/>
                <w:sz w:val="20"/>
                <w:szCs w:val="20"/>
              </w:rPr>
              <w:t>3,2</w:t>
            </w:r>
            <w:r w:rsidR="00FB5084">
              <w:rPr>
                <w:rFonts w:ascii="Times New Roman" w:eastAsia="Calibri" w:hAnsi="Times New Roman" w:cs="Times New Roman"/>
                <w:bCs/>
                <w:sz w:val="20"/>
                <w:szCs w:val="20"/>
              </w:rPr>
              <w:t> </w:t>
            </w:r>
            <w:r w:rsidR="00A0103C" w:rsidRPr="00A07F29">
              <w:rPr>
                <w:rFonts w:ascii="Times New Roman" w:eastAsia="Calibri" w:hAnsi="Times New Roman" w:cs="Times New Roman"/>
                <w:bCs/>
                <w:sz w:val="20"/>
                <w:szCs w:val="20"/>
              </w:rPr>
              <w:t>ha platībā</w:t>
            </w:r>
          </w:p>
        </w:tc>
      </w:tr>
      <w:tr w:rsidR="00CE1A0B" w:rsidRPr="00A07F29" w14:paraId="24FE0F57" w14:textId="01D60044" w:rsidTr="4284A616">
        <w:trPr>
          <w:jc w:val="center"/>
        </w:trPr>
        <w:tc>
          <w:tcPr>
            <w:tcW w:w="846" w:type="dxa"/>
            <w:shd w:val="clear" w:color="auto" w:fill="FFFFFF" w:themeFill="background1"/>
          </w:tcPr>
          <w:p w14:paraId="37480A50" w14:textId="3338D008" w:rsidR="00B57963" w:rsidRPr="00A07F29" w:rsidRDefault="00B57963" w:rsidP="00B57963">
            <w:pPr>
              <w:spacing w:after="0" w:line="240" w:lineRule="auto"/>
              <w:jc w:val="center"/>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B.5.</w:t>
            </w:r>
          </w:p>
        </w:tc>
        <w:tc>
          <w:tcPr>
            <w:tcW w:w="3402" w:type="dxa"/>
            <w:shd w:val="clear" w:color="auto" w:fill="FFFFFF" w:themeFill="background1"/>
          </w:tcPr>
          <w:p w14:paraId="4D19BFC1" w14:textId="4F410015" w:rsidR="00B57963" w:rsidRPr="00A07F29" w:rsidRDefault="00B57963" w:rsidP="00315E9F">
            <w:pPr>
              <w:spacing w:after="0" w:line="240" w:lineRule="auto"/>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B. 5.2.</w:t>
            </w:r>
            <w:r w:rsidR="00FB5084">
              <w:rPr>
                <w:rFonts w:ascii="Times New Roman" w:eastAsia="Calibri" w:hAnsi="Times New Roman" w:cs="Times New Roman"/>
                <w:bCs/>
                <w:sz w:val="20"/>
                <w:szCs w:val="20"/>
              </w:rPr>
              <w:t> </w:t>
            </w:r>
            <w:r w:rsidRPr="00A07F29">
              <w:rPr>
                <w:rFonts w:ascii="Times New Roman" w:eastAsia="Calibri" w:hAnsi="Times New Roman" w:cs="Times New Roman"/>
                <w:bCs/>
                <w:sz w:val="20"/>
                <w:szCs w:val="20"/>
              </w:rPr>
              <w:t xml:space="preserve">Reto </w:t>
            </w:r>
            <w:r w:rsidRPr="00C25036">
              <w:rPr>
                <w:rFonts w:ascii="Times New Roman" w:eastAsia="Calibri" w:hAnsi="Times New Roman" w:cs="Times New Roman"/>
                <w:bCs/>
                <w:sz w:val="20"/>
                <w:szCs w:val="20"/>
              </w:rPr>
              <w:t>un īpaši aizsargājamo</w:t>
            </w:r>
            <w:r w:rsidRPr="00A07F29">
              <w:rPr>
                <w:rFonts w:ascii="Times New Roman" w:eastAsia="Calibri" w:hAnsi="Times New Roman" w:cs="Times New Roman"/>
                <w:bCs/>
                <w:sz w:val="20"/>
                <w:szCs w:val="20"/>
              </w:rPr>
              <w:t xml:space="preserve"> gliemju sugu dzīvotņu apsaimniekošana</w:t>
            </w:r>
          </w:p>
        </w:tc>
        <w:tc>
          <w:tcPr>
            <w:tcW w:w="1701" w:type="dxa"/>
            <w:shd w:val="clear" w:color="auto" w:fill="FFFFFF" w:themeFill="background1"/>
          </w:tcPr>
          <w:p w14:paraId="1056D9F5" w14:textId="77777777" w:rsidR="00781CA2" w:rsidRPr="00A07F29" w:rsidRDefault="00781CA2" w:rsidP="00781CA2">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I,</w:t>
            </w:r>
          </w:p>
          <w:p w14:paraId="3AA1D59F" w14:textId="71D5C56D" w:rsidR="00B57963" w:rsidRPr="00A07F29" w:rsidRDefault="00EF10FF" w:rsidP="00781CA2">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bCs/>
                <w:sz w:val="20"/>
                <w:szCs w:val="20"/>
              </w:rPr>
              <w:t>visu plāna periodu</w:t>
            </w:r>
          </w:p>
        </w:tc>
        <w:tc>
          <w:tcPr>
            <w:tcW w:w="1984" w:type="dxa"/>
            <w:shd w:val="clear" w:color="auto" w:fill="FFFFFF" w:themeFill="background1"/>
          </w:tcPr>
          <w:p w14:paraId="3D75EDEB" w14:textId="79D52853" w:rsidR="00B57963" w:rsidRPr="00A07F29" w:rsidRDefault="00781CA2" w:rsidP="00B57963">
            <w:pPr>
              <w:spacing w:after="0" w:line="240" w:lineRule="auto"/>
              <w:ind w:left="34"/>
              <w:jc w:val="both"/>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Zemes īpašnieki, DAP</w:t>
            </w:r>
          </w:p>
        </w:tc>
        <w:tc>
          <w:tcPr>
            <w:tcW w:w="1560" w:type="dxa"/>
            <w:shd w:val="clear" w:color="auto" w:fill="FFFFFF" w:themeFill="background1"/>
          </w:tcPr>
          <w:p w14:paraId="1C17DB15" w14:textId="29D25A11" w:rsidR="00B57963" w:rsidRPr="00A07F29" w:rsidRDefault="001439A0" w:rsidP="00B57963">
            <w:pPr>
              <w:spacing w:after="0" w:line="240" w:lineRule="auto"/>
              <w:ind w:left="34"/>
              <w:jc w:val="both"/>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Nav nosakāms</w:t>
            </w:r>
          </w:p>
        </w:tc>
        <w:tc>
          <w:tcPr>
            <w:tcW w:w="1984" w:type="dxa"/>
            <w:shd w:val="clear" w:color="auto" w:fill="FFFFFF" w:themeFill="background1"/>
          </w:tcPr>
          <w:p w14:paraId="35AC749A" w14:textId="26A1FD10" w:rsidR="00B57963" w:rsidRPr="00A07F29" w:rsidRDefault="00781CA2" w:rsidP="00B57963">
            <w:pPr>
              <w:spacing w:after="0" w:line="240" w:lineRule="auto"/>
              <w:ind w:left="34"/>
              <w:jc w:val="both"/>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Zemes īpašnieku līdzekļi, projektu finansējums</w:t>
            </w:r>
          </w:p>
        </w:tc>
        <w:tc>
          <w:tcPr>
            <w:tcW w:w="3686" w:type="dxa"/>
            <w:shd w:val="clear" w:color="auto" w:fill="FFFFFF" w:themeFill="background1"/>
          </w:tcPr>
          <w:p w14:paraId="09D4E12F" w14:textId="0F61B1C6" w:rsidR="00B57963" w:rsidRPr="00A07F29" w:rsidRDefault="00781CA2" w:rsidP="00315E9F">
            <w:pPr>
              <w:spacing w:after="0" w:line="240" w:lineRule="auto"/>
              <w:ind w:left="34"/>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Uzturētas gli</w:t>
            </w:r>
            <w:r w:rsidR="00A0103C" w:rsidRPr="00A07F29">
              <w:rPr>
                <w:rFonts w:ascii="Times New Roman" w:eastAsia="Calibri" w:hAnsi="Times New Roman" w:cs="Times New Roman"/>
                <w:bCs/>
                <w:sz w:val="20"/>
                <w:szCs w:val="20"/>
              </w:rPr>
              <w:t>emju sugām piemērotas dzīvotnes</w:t>
            </w:r>
          </w:p>
        </w:tc>
      </w:tr>
      <w:tr w:rsidR="00B57963" w:rsidRPr="00A07F29" w14:paraId="5801C61F" w14:textId="46CF8F8F" w:rsidTr="4284A616">
        <w:trPr>
          <w:jc w:val="center"/>
        </w:trPr>
        <w:tc>
          <w:tcPr>
            <w:tcW w:w="846" w:type="dxa"/>
            <w:shd w:val="clear" w:color="auto" w:fill="FFFFFF" w:themeFill="background1"/>
          </w:tcPr>
          <w:p w14:paraId="31079ACA" w14:textId="25918059" w:rsidR="00B57963" w:rsidRPr="00A07F29" w:rsidRDefault="00B57963" w:rsidP="00B57963">
            <w:pPr>
              <w:spacing w:after="0" w:line="240" w:lineRule="auto"/>
              <w:jc w:val="center"/>
              <w:rPr>
                <w:rFonts w:ascii="Times New Roman" w:eastAsia="Calibri" w:hAnsi="Times New Roman" w:cs="Times New Roman"/>
                <w:bCs/>
                <w:sz w:val="20"/>
                <w:szCs w:val="20"/>
                <w:lang w:eastAsia="ja-JP"/>
              </w:rPr>
            </w:pPr>
            <w:r w:rsidRPr="00A07F29">
              <w:rPr>
                <w:rFonts w:ascii="Times New Roman" w:eastAsia="Calibri" w:hAnsi="Times New Roman" w:cs="Times New Roman"/>
                <w:bCs/>
                <w:sz w:val="20"/>
                <w:szCs w:val="20"/>
              </w:rPr>
              <w:t>B.5.</w:t>
            </w:r>
          </w:p>
        </w:tc>
        <w:tc>
          <w:tcPr>
            <w:tcW w:w="3402" w:type="dxa"/>
            <w:shd w:val="clear" w:color="auto" w:fill="FFFFFF" w:themeFill="background1"/>
            <w:hideMark/>
          </w:tcPr>
          <w:p w14:paraId="58430786" w14:textId="7E8A83BC" w:rsidR="00B57963" w:rsidRPr="00A07F29" w:rsidRDefault="00B57963" w:rsidP="00315E9F">
            <w:pPr>
              <w:spacing w:after="0" w:line="240" w:lineRule="auto"/>
              <w:rPr>
                <w:rFonts w:ascii="Times New Roman" w:eastAsia="Calibri" w:hAnsi="Times New Roman" w:cs="Times New Roman"/>
                <w:sz w:val="20"/>
                <w:szCs w:val="20"/>
              </w:rPr>
            </w:pPr>
            <w:r w:rsidRPr="00A07F29">
              <w:rPr>
                <w:rFonts w:ascii="Times New Roman" w:eastAsia="Calibri" w:hAnsi="Times New Roman" w:cs="Times New Roman"/>
                <w:bCs/>
                <w:sz w:val="20"/>
                <w:szCs w:val="20"/>
                <w:lang w:eastAsia="ja-JP"/>
              </w:rPr>
              <w:t>B.5.3.</w:t>
            </w:r>
            <w:r w:rsidR="00D03631">
              <w:rPr>
                <w:rFonts w:ascii="Times New Roman" w:eastAsia="Calibri" w:hAnsi="Times New Roman" w:cs="Times New Roman"/>
                <w:bCs/>
                <w:sz w:val="20"/>
                <w:szCs w:val="20"/>
                <w:lang w:eastAsia="ja-JP"/>
              </w:rPr>
              <w:t> </w:t>
            </w:r>
            <w:r w:rsidRPr="00A07F29">
              <w:rPr>
                <w:rFonts w:ascii="Times New Roman" w:eastAsia="Calibri" w:hAnsi="Times New Roman" w:cs="Times New Roman"/>
                <w:bCs/>
                <w:sz w:val="20"/>
                <w:szCs w:val="20"/>
                <w:lang w:eastAsia="ja-JP"/>
              </w:rPr>
              <w:t xml:space="preserve">Sikspārņu vasaras mītņu </w:t>
            </w:r>
            <w:r w:rsidR="008A5CD7" w:rsidRPr="00A07F29">
              <w:rPr>
                <w:rFonts w:ascii="Times New Roman" w:eastAsia="Calibri" w:hAnsi="Times New Roman" w:cs="Times New Roman"/>
                <w:bCs/>
                <w:sz w:val="20"/>
                <w:szCs w:val="20"/>
                <w:lang w:eastAsia="ja-JP"/>
              </w:rPr>
              <w:t xml:space="preserve">un </w:t>
            </w:r>
            <w:r w:rsidRPr="00A07F29">
              <w:rPr>
                <w:rFonts w:ascii="Times New Roman" w:eastAsia="Calibri" w:hAnsi="Times New Roman" w:cs="Times New Roman"/>
                <w:bCs/>
                <w:sz w:val="20"/>
                <w:szCs w:val="20"/>
                <w:lang w:eastAsia="ja-JP"/>
              </w:rPr>
              <w:t>barošanās teritoriju saglabāšana</w:t>
            </w:r>
          </w:p>
        </w:tc>
        <w:tc>
          <w:tcPr>
            <w:tcW w:w="1701" w:type="dxa"/>
            <w:shd w:val="clear" w:color="auto" w:fill="FFFFFF" w:themeFill="background1"/>
          </w:tcPr>
          <w:p w14:paraId="52D80F4A" w14:textId="3E5F4ADF" w:rsidR="00B57963" w:rsidRPr="00A07F29" w:rsidRDefault="00B57963" w:rsidP="00B57963">
            <w:pPr>
              <w:spacing w:after="0" w:line="240" w:lineRule="auto"/>
              <w:jc w:val="center"/>
              <w:rPr>
                <w:rFonts w:ascii="Times New Roman" w:eastAsia="Calibri" w:hAnsi="Times New Roman" w:cs="Times New Roman"/>
                <w:bCs/>
                <w:sz w:val="20"/>
                <w:szCs w:val="20"/>
              </w:rPr>
            </w:pPr>
            <w:r w:rsidRPr="00A07F29">
              <w:rPr>
                <w:rFonts w:ascii="Times New Roman" w:eastAsia="Calibri" w:hAnsi="Times New Roman" w:cs="Times New Roman"/>
                <w:sz w:val="20"/>
                <w:szCs w:val="20"/>
              </w:rPr>
              <w:t>I,</w:t>
            </w:r>
          </w:p>
          <w:p w14:paraId="5A61FE8F" w14:textId="3103E72D" w:rsidR="00B57963" w:rsidRPr="00A07F29" w:rsidRDefault="00EF10FF" w:rsidP="00B57963">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bCs/>
                <w:sz w:val="20"/>
                <w:szCs w:val="20"/>
              </w:rPr>
              <w:t>visu plāna periodu</w:t>
            </w:r>
          </w:p>
        </w:tc>
        <w:tc>
          <w:tcPr>
            <w:tcW w:w="1984" w:type="dxa"/>
            <w:shd w:val="clear" w:color="auto" w:fill="FFFFFF" w:themeFill="background1"/>
          </w:tcPr>
          <w:p w14:paraId="419E76EE" w14:textId="7D438AC2" w:rsidR="00B57963" w:rsidRPr="00A07F29" w:rsidRDefault="00B57963" w:rsidP="00B57963">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Ēku īpašnieki, DAP, pašvaldību būvvaldes</w:t>
            </w:r>
          </w:p>
        </w:tc>
        <w:tc>
          <w:tcPr>
            <w:tcW w:w="1560" w:type="dxa"/>
            <w:shd w:val="clear" w:color="auto" w:fill="FFFFFF" w:themeFill="background1"/>
          </w:tcPr>
          <w:p w14:paraId="5B7839B6" w14:textId="105AFA2F" w:rsidR="00B57963" w:rsidRPr="00A07F29" w:rsidRDefault="001439A0" w:rsidP="00B57963">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Nav nosakāms</w:t>
            </w:r>
          </w:p>
        </w:tc>
        <w:tc>
          <w:tcPr>
            <w:tcW w:w="1984" w:type="dxa"/>
            <w:shd w:val="clear" w:color="auto" w:fill="FFFFFF" w:themeFill="background1"/>
          </w:tcPr>
          <w:p w14:paraId="4A328E94" w14:textId="53A65B23" w:rsidR="00B57963" w:rsidRPr="00A07F29" w:rsidRDefault="001234BC" w:rsidP="00B57963">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Zemes īpašnieku līdzekļi, projektu finansējums</w:t>
            </w:r>
          </w:p>
        </w:tc>
        <w:tc>
          <w:tcPr>
            <w:tcW w:w="3686" w:type="dxa"/>
            <w:shd w:val="clear" w:color="auto" w:fill="FFFFFF" w:themeFill="background1"/>
          </w:tcPr>
          <w:p w14:paraId="23C3365C" w14:textId="14D3A847" w:rsidR="00B57963" w:rsidRPr="00A07F29" w:rsidRDefault="00B57963" w:rsidP="00315E9F">
            <w:pPr>
              <w:spacing w:after="0" w:line="240" w:lineRule="auto"/>
              <w:ind w:left="34"/>
              <w:rPr>
                <w:rFonts w:ascii="Times New Roman" w:eastAsia="Calibri" w:hAnsi="Times New Roman" w:cs="Times New Roman"/>
                <w:bCs/>
                <w:sz w:val="20"/>
                <w:szCs w:val="20"/>
              </w:rPr>
            </w:pPr>
            <w:r w:rsidRPr="00A07F29">
              <w:rPr>
                <w:rFonts w:ascii="Times New Roman" w:eastAsia="Calibri" w:hAnsi="Times New Roman" w:cs="Times New Roman"/>
                <w:sz w:val="20"/>
                <w:szCs w:val="20"/>
              </w:rPr>
              <w:t>Saglabā</w:t>
            </w:r>
            <w:r w:rsidR="008A5CD7" w:rsidRPr="00A07F29">
              <w:rPr>
                <w:rFonts w:ascii="Times New Roman" w:eastAsia="Calibri" w:hAnsi="Times New Roman" w:cs="Times New Roman"/>
                <w:sz w:val="20"/>
                <w:szCs w:val="20"/>
              </w:rPr>
              <w:t>tas sikspārņu dzīvesvietas ēkās, nenotiek sikspārņiem nela</w:t>
            </w:r>
            <w:r w:rsidR="00A0103C" w:rsidRPr="00A07F29">
              <w:rPr>
                <w:rFonts w:ascii="Times New Roman" w:eastAsia="Calibri" w:hAnsi="Times New Roman" w:cs="Times New Roman"/>
                <w:sz w:val="20"/>
                <w:szCs w:val="20"/>
              </w:rPr>
              <w:t>bvēlīga apgaismojuma ierīkošana</w:t>
            </w:r>
          </w:p>
        </w:tc>
      </w:tr>
      <w:tr w:rsidR="00B57963" w:rsidRPr="00A07F29" w14:paraId="44E90F37" w14:textId="130934AD" w:rsidTr="4284A616">
        <w:trPr>
          <w:jc w:val="center"/>
        </w:trPr>
        <w:tc>
          <w:tcPr>
            <w:tcW w:w="846" w:type="dxa"/>
            <w:shd w:val="clear" w:color="auto" w:fill="FFFFFF" w:themeFill="background1"/>
          </w:tcPr>
          <w:p w14:paraId="5E4C142F" w14:textId="59F5AE12" w:rsidR="00B57963" w:rsidRPr="00A07F29" w:rsidRDefault="00B57963" w:rsidP="00B57963">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bCs/>
                <w:sz w:val="20"/>
                <w:szCs w:val="20"/>
              </w:rPr>
              <w:lastRenderedPageBreak/>
              <w:t>B.5.</w:t>
            </w:r>
          </w:p>
        </w:tc>
        <w:tc>
          <w:tcPr>
            <w:tcW w:w="3402" w:type="dxa"/>
            <w:shd w:val="clear" w:color="auto" w:fill="FFFFFF" w:themeFill="background1"/>
            <w:hideMark/>
          </w:tcPr>
          <w:p w14:paraId="2A39DC17" w14:textId="5AD04D97" w:rsidR="00B57963" w:rsidRPr="00A07F29" w:rsidRDefault="00B57963" w:rsidP="00315E9F">
            <w:pPr>
              <w:spacing w:after="0" w:line="240" w:lineRule="auto"/>
              <w:rPr>
                <w:rFonts w:ascii="Times New Roman" w:eastAsia="Calibri" w:hAnsi="Times New Roman" w:cs="Times New Roman"/>
                <w:bCs/>
                <w:sz w:val="20"/>
                <w:szCs w:val="20"/>
              </w:rPr>
            </w:pPr>
            <w:r w:rsidRPr="00A07F29">
              <w:rPr>
                <w:rFonts w:ascii="Times New Roman" w:eastAsia="Calibri" w:hAnsi="Times New Roman" w:cs="Times New Roman"/>
                <w:sz w:val="20"/>
                <w:szCs w:val="20"/>
              </w:rPr>
              <w:t>B.5.4.</w:t>
            </w:r>
            <w:r w:rsidR="000C1475">
              <w:rPr>
                <w:rFonts w:ascii="Times New Roman" w:eastAsia="Calibri" w:hAnsi="Times New Roman" w:cs="Times New Roman"/>
                <w:sz w:val="20"/>
                <w:szCs w:val="20"/>
              </w:rPr>
              <w:t> </w:t>
            </w:r>
            <w:proofErr w:type="spellStart"/>
            <w:r w:rsidRPr="00A07F29">
              <w:rPr>
                <w:rFonts w:ascii="Times New Roman" w:eastAsia="Calibri" w:hAnsi="Times New Roman" w:cs="Times New Roman"/>
                <w:bCs/>
                <w:sz w:val="20"/>
                <w:szCs w:val="20"/>
              </w:rPr>
              <w:t>Sarkanvēdera</w:t>
            </w:r>
            <w:proofErr w:type="spellEnd"/>
            <w:r w:rsidRPr="00A07F29">
              <w:rPr>
                <w:rFonts w:ascii="Times New Roman" w:eastAsia="Calibri" w:hAnsi="Times New Roman" w:cs="Times New Roman"/>
                <w:bCs/>
                <w:sz w:val="20"/>
                <w:szCs w:val="20"/>
              </w:rPr>
              <w:t xml:space="preserve"> </w:t>
            </w:r>
            <w:proofErr w:type="spellStart"/>
            <w:r w:rsidRPr="00A07F29">
              <w:rPr>
                <w:rFonts w:ascii="Times New Roman" w:eastAsia="Calibri" w:hAnsi="Times New Roman" w:cs="Times New Roman"/>
                <w:bCs/>
                <w:sz w:val="20"/>
                <w:szCs w:val="20"/>
              </w:rPr>
              <w:t>ugunskrupja</w:t>
            </w:r>
            <w:proofErr w:type="spellEnd"/>
            <w:r w:rsidRPr="00A07F29">
              <w:rPr>
                <w:rFonts w:ascii="Times New Roman" w:eastAsia="Calibri" w:hAnsi="Times New Roman" w:cs="Times New Roman"/>
                <w:bCs/>
                <w:sz w:val="20"/>
                <w:szCs w:val="20"/>
              </w:rPr>
              <w:t xml:space="preserve"> dīķu atjaunošana</w:t>
            </w:r>
          </w:p>
        </w:tc>
        <w:tc>
          <w:tcPr>
            <w:tcW w:w="1701" w:type="dxa"/>
            <w:shd w:val="clear" w:color="auto" w:fill="FFFFFF" w:themeFill="background1"/>
          </w:tcPr>
          <w:p w14:paraId="28704B71" w14:textId="77777777" w:rsidR="00B57963" w:rsidRPr="00A07F29" w:rsidRDefault="00B57963" w:rsidP="00B57963">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I,</w:t>
            </w:r>
          </w:p>
          <w:p w14:paraId="5A41F474" w14:textId="0E9D2E4A" w:rsidR="00B57963" w:rsidRPr="00A07F29" w:rsidRDefault="00EF10FF" w:rsidP="00B57963">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bCs/>
                <w:sz w:val="20"/>
                <w:szCs w:val="20"/>
              </w:rPr>
              <w:t>visu plāna periodu</w:t>
            </w:r>
          </w:p>
        </w:tc>
        <w:tc>
          <w:tcPr>
            <w:tcW w:w="1984" w:type="dxa"/>
            <w:shd w:val="clear" w:color="auto" w:fill="FFFFFF" w:themeFill="background1"/>
          </w:tcPr>
          <w:p w14:paraId="39DF0C68" w14:textId="7AE9495B" w:rsidR="00B57963" w:rsidRPr="00A07F29" w:rsidRDefault="00B57963" w:rsidP="00B57963">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 xml:space="preserve">Latgales </w:t>
            </w:r>
            <w:proofErr w:type="spellStart"/>
            <w:r w:rsidRPr="00A07F29">
              <w:rPr>
                <w:rFonts w:ascii="Times New Roman" w:eastAsia="Calibri" w:hAnsi="Times New Roman" w:cs="Times New Roman"/>
                <w:sz w:val="20"/>
                <w:szCs w:val="20"/>
              </w:rPr>
              <w:t>zoo</w:t>
            </w:r>
            <w:proofErr w:type="spellEnd"/>
            <w:r w:rsidRPr="00A07F29">
              <w:rPr>
                <w:rFonts w:ascii="Times New Roman" w:eastAsia="Calibri" w:hAnsi="Times New Roman" w:cs="Times New Roman"/>
                <w:sz w:val="20"/>
                <w:szCs w:val="20"/>
              </w:rPr>
              <w:t>, NVO,</w:t>
            </w:r>
            <w:r w:rsidR="001234BC" w:rsidRPr="00A07F29">
              <w:rPr>
                <w:rFonts w:ascii="Times New Roman" w:eastAsia="Calibri" w:hAnsi="Times New Roman" w:cs="Times New Roman"/>
                <w:sz w:val="20"/>
                <w:szCs w:val="20"/>
              </w:rPr>
              <w:t xml:space="preserve"> zemes īpašnieki,</w:t>
            </w:r>
            <w:r w:rsidRPr="00A07F29">
              <w:rPr>
                <w:rFonts w:ascii="Times New Roman" w:eastAsia="Calibri" w:hAnsi="Times New Roman" w:cs="Times New Roman"/>
                <w:sz w:val="20"/>
                <w:szCs w:val="20"/>
              </w:rPr>
              <w:t xml:space="preserve"> DAP</w:t>
            </w:r>
          </w:p>
        </w:tc>
        <w:tc>
          <w:tcPr>
            <w:tcW w:w="1560" w:type="dxa"/>
            <w:shd w:val="clear" w:color="auto" w:fill="FFFFFF" w:themeFill="background1"/>
          </w:tcPr>
          <w:p w14:paraId="0911DE95" w14:textId="77C70459" w:rsidR="001439A0" w:rsidRPr="00A07F29" w:rsidRDefault="001439A0" w:rsidP="001439A0">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Vismaz 2000</w:t>
            </w:r>
            <w:r w:rsidR="00E161CB">
              <w:rPr>
                <w:rFonts w:ascii="Times New Roman" w:eastAsia="Calibri" w:hAnsi="Times New Roman" w:cs="Times New Roman"/>
                <w:sz w:val="20"/>
                <w:szCs w:val="20"/>
              </w:rPr>
              <w:t> – </w:t>
            </w:r>
            <w:r w:rsidRPr="00A07F29">
              <w:rPr>
                <w:rFonts w:ascii="Times New Roman" w:eastAsia="Calibri" w:hAnsi="Times New Roman" w:cs="Times New Roman"/>
                <w:sz w:val="20"/>
                <w:szCs w:val="20"/>
              </w:rPr>
              <w:t>3000</w:t>
            </w:r>
            <w:r w:rsidR="00E54077">
              <w:rPr>
                <w:rFonts w:ascii="Times New Roman" w:eastAsia="Calibri" w:hAnsi="Times New Roman" w:cs="Times New Roman"/>
                <w:sz w:val="20"/>
                <w:szCs w:val="20"/>
              </w:rPr>
              <w:t xml:space="preserve"> </w:t>
            </w:r>
            <w:r w:rsidRPr="00A07F29">
              <w:rPr>
                <w:rFonts w:ascii="Times New Roman" w:eastAsia="Calibri" w:hAnsi="Times New Roman" w:cs="Times New Roman"/>
                <w:sz w:val="20"/>
                <w:szCs w:val="20"/>
              </w:rPr>
              <w:t>EUR uz dīķi vienreizējās izmaksas, periodiski nepieciešami ieguldījumi rezultātu uzturēšanai</w:t>
            </w:r>
          </w:p>
        </w:tc>
        <w:tc>
          <w:tcPr>
            <w:tcW w:w="1984" w:type="dxa"/>
            <w:shd w:val="clear" w:color="auto" w:fill="FFFFFF" w:themeFill="background1"/>
          </w:tcPr>
          <w:p w14:paraId="2E192FE2" w14:textId="44C8A9C8" w:rsidR="00B57963" w:rsidRPr="00A07F29" w:rsidRDefault="00781CA2" w:rsidP="00B57963">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Projektu finansējums</w:t>
            </w:r>
            <w:r w:rsidR="001234BC" w:rsidRPr="00A07F29">
              <w:rPr>
                <w:rFonts w:ascii="Times New Roman" w:eastAsia="Calibri" w:hAnsi="Times New Roman" w:cs="Times New Roman"/>
                <w:sz w:val="20"/>
                <w:szCs w:val="20"/>
              </w:rPr>
              <w:t>, zemes īpašnieku līdzekļi</w:t>
            </w:r>
          </w:p>
        </w:tc>
        <w:tc>
          <w:tcPr>
            <w:tcW w:w="3686" w:type="dxa"/>
            <w:shd w:val="clear" w:color="auto" w:fill="FFFFFF" w:themeFill="background1"/>
          </w:tcPr>
          <w:p w14:paraId="63368EBD" w14:textId="4F31782C" w:rsidR="00A0103C" w:rsidRPr="00A07F29" w:rsidRDefault="00B57963" w:rsidP="001218D6">
            <w:pPr>
              <w:spacing w:after="0" w:line="240" w:lineRule="auto"/>
              <w:ind w:left="34"/>
              <w:rPr>
                <w:rFonts w:ascii="Times New Roman" w:eastAsia="Calibri" w:hAnsi="Times New Roman" w:cs="Times New Roman"/>
                <w:bCs/>
                <w:sz w:val="20"/>
                <w:szCs w:val="20"/>
              </w:rPr>
            </w:pPr>
            <w:r w:rsidRPr="00A07F29">
              <w:rPr>
                <w:rFonts w:ascii="Times New Roman" w:eastAsia="Calibri" w:hAnsi="Times New Roman" w:cs="Times New Roman"/>
                <w:sz w:val="20"/>
                <w:szCs w:val="20"/>
              </w:rPr>
              <w:t xml:space="preserve">Izveidoti dīķi un attīrītas dzīvotnes </w:t>
            </w:r>
            <w:r w:rsidR="001218D6" w:rsidRPr="00A07F29">
              <w:rPr>
                <w:rFonts w:ascii="Times New Roman" w:eastAsia="Calibri" w:hAnsi="Times New Roman" w:cs="Times New Roman"/>
                <w:bCs/>
                <w:sz w:val="20"/>
                <w:szCs w:val="20"/>
              </w:rPr>
              <w:t>8</w:t>
            </w:r>
            <w:r w:rsidR="00E54077">
              <w:rPr>
                <w:rFonts w:ascii="Times New Roman" w:eastAsia="Calibri" w:hAnsi="Times New Roman" w:cs="Times New Roman"/>
                <w:bCs/>
                <w:sz w:val="20"/>
                <w:szCs w:val="20"/>
              </w:rPr>
              <w:t> </w:t>
            </w:r>
            <w:r w:rsidRPr="00A07F29">
              <w:rPr>
                <w:rFonts w:ascii="Times New Roman" w:eastAsia="Calibri" w:hAnsi="Times New Roman" w:cs="Times New Roman"/>
                <w:bCs/>
                <w:sz w:val="20"/>
                <w:szCs w:val="20"/>
              </w:rPr>
              <w:t>ha platībā.</w:t>
            </w:r>
          </w:p>
        </w:tc>
      </w:tr>
      <w:tr w:rsidR="00B57963" w:rsidRPr="00A07F29" w14:paraId="445A441E" w14:textId="3F0EC3D9" w:rsidTr="4284A616">
        <w:trPr>
          <w:jc w:val="center"/>
        </w:trPr>
        <w:tc>
          <w:tcPr>
            <w:tcW w:w="846" w:type="dxa"/>
            <w:shd w:val="clear" w:color="auto" w:fill="FFFFFF" w:themeFill="background1"/>
          </w:tcPr>
          <w:p w14:paraId="08E3669A" w14:textId="4123DD47" w:rsidR="00B57963" w:rsidRPr="00A07F29" w:rsidRDefault="00B57963" w:rsidP="00B57963">
            <w:pPr>
              <w:spacing w:after="0" w:line="240" w:lineRule="auto"/>
              <w:jc w:val="center"/>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B.5.</w:t>
            </w:r>
          </w:p>
        </w:tc>
        <w:tc>
          <w:tcPr>
            <w:tcW w:w="3402" w:type="dxa"/>
            <w:shd w:val="clear" w:color="auto" w:fill="FFFFFF" w:themeFill="background1"/>
            <w:hideMark/>
          </w:tcPr>
          <w:p w14:paraId="3BF98892" w14:textId="0FF8CF40" w:rsidR="00B57963" w:rsidRPr="00A07F29" w:rsidRDefault="00B57963" w:rsidP="00315E9F">
            <w:pPr>
              <w:spacing w:after="0" w:line="240" w:lineRule="auto"/>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B.5.5.</w:t>
            </w:r>
            <w:r w:rsidR="00E54077">
              <w:rPr>
                <w:rFonts w:ascii="Times New Roman" w:eastAsia="Calibri" w:hAnsi="Times New Roman" w:cs="Times New Roman"/>
                <w:bCs/>
                <w:sz w:val="20"/>
                <w:szCs w:val="20"/>
              </w:rPr>
              <w:t> </w:t>
            </w:r>
            <w:proofErr w:type="spellStart"/>
            <w:r w:rsidRPr="00A07F29">
              <w:rPr>
                <w:rFonts w:ascii="Times New Roman" w:eastAsia="Calibri" w:hAnsi="Times New Roman" w:cs="Times New Roman"/>
                <w:bCs/>
                <w:sz w:val="20"/>
                <w:szCs w:val="20"/>
              </w:rPr>
              <w:t>Sarkanvēdera</w:t>
            </w:r>
            <w:proofErr w:type="spellEnd"/>
            <w:r w:rsidRPr="00A07F29">
              <w:rPr>
                <w:rFonts w:ascii="Times New Roman" w:eastAsia="Calibri" w:hAnsi="Times New Roman" w:cs="Times New Roman"/>
                <w:bCs/>
                <w:sz w:val="20"/>
                <w:szCs w:val="20"/>
              </w:rPr>
              <w:t xml:space="preserve"> </w:t>
            </w:r>
            <w:proofErr w:type="spellStart"/>
            <w:r w:rsidRPr="00A07F29">
              <w:rPr>
                <w:rFonts w:ascii="Times New Roman" w:eastAsia="Calibri" w:hAnsi="Times New Roman" w:cs="Times New Roman"/>
                <w:bCs/>
                <w:sz w:val="20"/>
                <w:szCs w:val="20"/>
              </w:rPr>
              <w:t>ugunskrupja</w:t>
            </w:r>
            <w:proofErr w:type="spellEnd"/>
            <w:r w:rsidRPr="00A07F29">
              <w:rPr>
                <w:rFonts w:ascii="Times New Roman" w:eastAsia="Calibri" w:hAnsi="Times New Roman" w:cs="Times New Roman"/>
                <w:bCs/>
                <w:sz w:val="20"/>
                <w:szCs w:val="20"/>
              </w:rPr>
              <w:t xml:space="preserve"> populāciju uzlabošana ar </w:t>
            </w:r>
            <w:proofErr w:type="spellStart"/>
            <w:r w:rsidRPr="00A07F29">
              <w:rPr>
                <w:rFonts w:ascii="Times New Roman" w:eastAsia="Calibri" w:hAnsi="Times New Roman" w:cs="Times New Roman"/>
                <w:bCs/>
                <w:sz w:val="20"/>
                <w:szCs w:val="20"/>
              </w:rPr>
              <w:t>zookultūrā</w:t>
            </w:r>
            <w:proofErr w:type="spellEnd"/>
            <w:r w:rsidRPr="00A07F29">
              <w:rPr>
                <w:rFonts w:ascii="Times New Roman" w:eastAsia="Calibri" w:hAnsi="Times New Roman" w:cs="Times New Roman"/>
                <w:bCs/>
                <w:sz w:val="20"/>
                <w:szCs w:val="20"/>
              </w:rPr>
              <w:t xml:space="preserve"> audzētiem īpatņiem</w:t>
            </w:r>
          </w:p>
        </w:tc>
        <w:tc>
          <w:tcPr>
            <w:tcW w:w="1701" w:type="dxa"/>
            <w:shd w:val="clear" w:color="auto" w:fill="FFFFFF" w:themeFill="background1"/>
          </w:tcPr>
          <w:p w14:paraId="0A60BE3F" w14:textId="5DE52F34" w:rsidR="00B57963" w:rsidRPr="00A07F29" w:rsidRDefault="00B57963" w:rsidP="00B57963">
            <w:pPr>
              <w:spacing w:after="0" w:line="240" w:lineRule="auto"/>
              <w:jc w:val="center"/>
              <w:rPr>
                <w:rFonts w:ascii="Times New Roman" w:eastAsia="Calibri" w:hAnsi="Times New Roman" w:cs="Times New Roman"/>
                <w:bCs/>
                <w:sz w:val="20"/>
                <w:szCs w:val="20"/>
              </w:rPr>
            </w:pPr>
            <w:r w:rsidRPr="00A07F29">
              <w:rPr>
                <w:rFonts w:ascii="Times New Roman" w:eastAsia="Calibri" w:hAnsi="Times New Roman" w:cs="Times New Roman"/>
                <w:sz w:val="20"/>
                <w:szCs w:val="20"/>
              </w:rPr>
              <w:t>I</w:t>
            </w:r>
            <w:r w:rsidRPr="00A07F29">
              <w:rPr>
                <w:rFonts w:ascii="Times New Roman" w:eastAsia="Calibri" w:hAnsi="Times New Roman" w:cs="Times New Roman"/>
                <w:bCs/>
                <w:sz w:val="20"/>
                <w:szCs w:val="20"/>
              </w:rPr>
              <w:t>,</w:t>
            </w:r>
          </w:p>
          <w:p w14:paraId="68AD2D09" w14:textId="4FAA2BA6" w:rsidR="00B57963" w:rsidRPr="00A07F29" w:rsidRDefault="00EF10FF" w:rsidP="00B57963">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bCs/>
                <w:sz w:val="20"/>
                <w:szCs w:val="20"/>
              </w:rPr>
              <w:t>visu plāna periodu</w:t>
            </w:r>
          </w:p>
        </w:tc>
        <w:tc>
          <w:tcPr>
            <w:tcW w:w="1984" w:type="dxa"/>
            <w:shd w:val="clear" w:color="auto" w:fill="FFFFFF" w:themeFill="background1"/>
          </w:tcPr>
          <w:p w14:paraId="3C59EB29" w14:textId="5CE52FE0" w:rsidR="00B57963" w:rsidRPr="00A07F29" w:rsidRDefault="00B57963" w:rsidP="001234BC">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 xml:space="preserve">Latgales </w:t>
            </w:r>
            <w:proofErr w:type="spellStart"/>
            <w:r w:rsidRPr="00A07F29">
              <w:rPr>
                <w:rFonts w:ascii="Times New Roman" w:eastAsia="Calibri" w:hAnsi="Times New Roman" w:cs="Times New Roman"/>
                <w:sz w:val="20"/>
                <w:szCs w:val="20"/>
              </w:rPr>
              <w:t>zoo</w:t>
            </w:r>
            <w:proofErr w:type="spellEnd"/>
            <w:r w:rsidR="001234BC" w:rsidRPr="00A07F29">
              <w:rPr>
                <w:rFonts w:ascii="Times New Roman" w:eastAsia="Calibri" w:hAnsi="Times New Roman" w:cs="Times New Roman"/>
                <w:sz w:val="20"/>
                <w:szCs w:val="20"/>
              </w:rPr>
              <w:t>, NVO</w:t>
            </w:r>
          </w:p>
        </w:tc>
        <w:tc>
          <w:tcPr>
            <w:tcW w:w="1560" w:type="dxa"/>
            <w:shd w:val="clear" w:color="auto" w:fill="FFFFFF" w:themeFill="background1"/>
          </w:tcPr>
          <w:p w14:paraId="1D6FF27D" w14:textId="6EC6C09E" w:rsidR="00B57963" w:rsidRPr="00A07F29" w:rsidRDefault="001439A0" w:rsidP="00B57963">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Nav nosakāmas</w:t>
            </w:r>
          </w:p>
        </w:tc>
        <w:tc>
          <w:tcPr>
            <w:tcW w:w="1984" w:type="dxa"/>
            <w:shd w:val="clear" w:color="auto" w:fill="FFFFFF" w:themeFill="background1"/>
          </w:tcPr>
          <w:p w14:paraId="40F53D74" w14:textId="512E3542" w:rsidR="00B57963" w:rsidRPr="00A07F29" w:rsidRDefault="00781CA2" w:rsidP="00B57963">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Projektu finansējums</w:t>
            </w:r>
          </w:p>
        </w:tc>
        <w:tc>
          <w:tcPr>
            <w:tcW w:w="3686" w:type="dxa"/>
            <w:shd w:val="clear" w:color="auto" w:fill="FFFFFF" w:themeFill="background1"/>
          </w:tcPr>
          <w:p w14:paraId="347C37D8" w14:textId="53C342DE" w:rsidR="00B57963" w:rsidRPr="00A07F29" w:rsidRDefault="00B57963" w:rsidP="00315E9F">
            <w:pPr>
              <w:spacing w:after="0" w:line="240" w:lineRule="auto"/>
              <w:ind w:left="34"/>
              <w:rPr>
                <w:rFonts w:ascii="Times New Roman" w:eastAsia="Calibri" w:hAnsi="Times New Roman" w:cs="Times New Roman"/>
                <w:bCs/>
                <w:sz w:val="20"/>
                <w:szCs w:val="20"/>
              </w:rPr>
            </w:pPr>
            <w:r w:rsidRPr="00A07F29">
              <w:rPr>
                <w:rFonts w:ascii="Times New Roman" w:eastAsia="Calibri" w:hAnsi="Times New Roman" w:cs="Times New Roman"/>
                <w:sz w:val="20"/>
                <w:szCs w:val="20"/>
              </w:rPr>
              <w:t xml:space="preserve">Izlaisti dabā </w:t>
            </w:r>
            <w:proofErr w:type="spellStart"/>
            <w:r w:rsidRPr="00A07F29">
              <w:rPr>
                <w:rFonts w:ascii="Times New Roman" w:eastAsia="Calibri" w:hAnsi="Times New Roman" w:cs="Times New Roman"/>
                <w:sz w:val="20"/>
                <w:szCs w:val="20"/>
              </w:rPr>
              <w:t>zookultū</w:t>
            </w:r>
            <w:r w:rsidR="00A0103C" w:rsidRPr="00A07F29">
              <w:rPr>
                <w:rFonts w:ascii="Times New Roman" w:eastAsia="Calibri" w:hAnsi="Times New Roman" w:cs="Times New Roman"/>
                <w:sz w:val="20"/>
                <w:szCs w:val="20"/>
              </w:rPr>
              <w:t>rā</w:t>
            </w:r>
            <w:proofErr w:type="spellEnd"/>
            <w:r w:rsidR="00A0103C" w:rsidRPr="00A07F29">
              <w:rPr>
                <w:rFonts w:ascii="Times New Roman" w:eastAsia="Calibri" w:hAnsi="Times New Roman" w:cs="Times New Roman"/>
                <w:sz w:val="20"/>
                <w:szCs w:val="20"/>
              </w:rPr>
              <w:t xml:space="preserve"> audzēti īpatņi</w:t>
            </w:r>
          </w:p>
        </w:tc>
      </w:tr>
      <w:tr w:rsidR="00B57963" w:rsidRPr="00A07F29" w14:paraId="4F5CDE0A" w14:textId="12F1BDD8" w:rsidTr="4284A616">
        <w:trPr>
          <w:jc w:val="center"/>
        </w:trPr>
        <w:tc>
          <w:tcPr>
            <w:tcW w:w="846" w:type="dxa"/>
            <w:shd w:val="clear" w:color="auto" w:fill="FFFFFF" w:themeFill="background1"/>
          </w:tcPr>
          <w:p w14:paraId="5D0F9888" w14:textId="718746C8" w:rsidR="00B57963" w:rsidRPr="00A07F29" w:rsidRDefault="00B57963" w:rsidP="00B57963">
            <w:pPr>
              <w:spacing w:after="0" w:line="240" w:lineRule="auto"/>
              <w:jc w:val="center"/>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B.6.</w:t>
            </w:r>
          </w:p>
        </w:tc>
        <w:tc>
          <w:tcPr>
            <w:tcW w:w="3402" w:type="dxa"/>
            <w:shd w:val="clear" w:color="auto" w:fill="FFFFFF" w:themeFill="background1"/>
            <w:hideMark/>
          </w:tcPr>
          <w:p w14:paraId="5E53016B" w14:textId="316E47C3" w:rsidR="00B57963" w:rsidRPr="00A07F29" w:rsidRDefault="00B57963" w:rsidP="00315E9F">
            <w:pPr>
              <w:spacing w:after="0" w:line="240" w:lineRule="auto"/>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B.6.1.</w:t>
            </w:r>
            <w:r w:rsidR="000A35F2">
              <w:rPr>
                <w:rFonts w:ascii="Times New Roman" w:eastAsia="Calibri" w:hAnsi="Times New Roman" w:cs="Times New Roman"/>
                <w:bCs/>
                <w:sz w:val="20"/>
                <w:szCs w:val="20"/>
              </w:rPr>
              <w:t> </w:t>
            </w:r>
            <w:proofErr w:type="spellStart"/>
            <w:r w:rsidRPr="00A07F29">
              <w:rPr>
                <w:rFonts w:ascii="Times New Roman" w:eastAsia="Calibri" w:hAnsi="Times New Roman" w:cs="Times New Roman"/>
                <w:bCs/>
                <w:sz w:val="20"/>
                <w:szCs w:val="20"/>
              </w:rPr>
              <w:t>Invazīvo</w:t>
            </w:r>
            <w:proofErr w:type="spellEnd"/>
            <w:r w:rsidRPr="00A07F29">
              <w:rPr>
                <w:rFonts w:ascii="Times New Roman" w:eastAsia="Calibri" w:hAnsi="Times New Roman" w:cs="Times New Roman"/>
                <w:bCs/>
                <w:sz w:val="20"/>
                <w:szCs w:val="20"/>
              </w:rPr>
              <w:t xml:space="preserve"> augu sugu ierobežošanas un apkarošanas pasākumi</w:t>
            </w:r>
          </w:p>
        </w:tc>
        <w:tc>
          <w:tcPr>
            <w:tcW w:w="1701" w:type="dxa"/>
            <w:shd w:val="clear" w:color="auto" w:fill="FFFFFF" w:themeFill="background1"/>
          </w:tcPr>
          <w:p w14:paraId="23C89524" w14:textId="77777777" w:rsidR="00B57963" w:rsidRPr="00A07F29" w:rsidRDefault="00B57963" w:rsidP="00B57963">
            <w:pPr>
              <w:spacing w:after="0" w:line="240" w:lineRule="auto"/>
              <w:jc w:val="center"/>
              <w:rPr>
                <w:rFonts w:ascii="Times New Roman" w:eastAsia="Calibri" w:hAnsi="Times New Roman" w:cs="Times New Roman"/>
                <w:bCs/>
                <w:sz w:val="20"/>
                <w:szCs w:val="20"/>
              </w:rPr>
            </w:pPr>
            <w:r w:rsidRPr="00A07F29">
              <w:rPr>
                <w:rFonts w:ascii="Times New Roman" w:eastAsia="Calibri" w:hAnsi="Times New Roman" w:cs="Times New Roman"/>
                <w:sz w:val="20"/>
                <w:szCs w:val="20"/>
              </w:rPr>
              <w:t>I,</w:t>
            </w:r>
          </w:p>
          <w:p w14:paraId="557F6AC0" w14:textId="533C8371" w:rsidR="00B57963" w:rsidRPr="00A07F29" w:rsidRDefault="00EF10FF" w:rsidP="00B57963">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bCs/>
                <w:sz w:val="20"/>
                <w:szCs w:val="20"/>
              </w:rPr>
              <w:t>visu plāna periodu</w:t>
            </w:r>
          </w:p>
        </w:tc>
        <w:tc>
          <w:tcPr>
            <w:tcW w:w="1984" w:type="dxa"/>
            <w:shd w:val="clear" w:color="auto" w:fill="FFFFFF" w:themeFill="background1"/>
          </w:tcPr>
          <w:p w14:paraId="7D7CA411" w14:textId="442AC617" w:rsidR="00B57963" w:rsidRPr="00A07F29" w:rsidRDefault="00B57963" w:rsidP="00B57963">
            <w:pPr>
              <w:spacing w:after="0" w:line="240" w:lineRule="auto"/>
              <w:ind w:left="34"/>
              <w:jc w:val="both"/>
              <w:rPr>
                <w:rFonts w:ascii="Times New Roman" w:eastAsia="Calibri" w:hAnsi="Times New Roman" w:cs="Times New Roman"/>
                <w:bCs/>
                <w:sz w:val="20"/>
                <w:szCs w:val="20"/>
              </w:rPr>
            </w:pPr>
            <w:r w:rsidRPr="00A07F29">
              <w:rPr>
                <w:rFonts w:ascii="Times New Roman" w:eastAsia="Calibri" w:hAnsi="Times New Roman" w:cs="Times New Roman"/>
                <w:sz w:val="20"/>
                <w:szCs w:val="20"/>
              </w:rPr>
              <w:t>Pašvaldības un zemes īpašnieki, sadarbībā ar DAP, V</w:t>
            </w:r>
            <w:r w:rsidR="00C25036">
              <w:rPr>
                <w:rFonts w:ascii="Times New Roman" w:eastAsia="Calibri" w:hAnsi="Times New Roman" w:cs="Times New Roman"/>
                <w:sz w:val="20"/>
                <w:szCs w:val="20"/>
              </w:rPr>
              <w:t>alsts augu aizsardzības dienests</w:t>
            </w:r>
            <w:r w:rsidRPr="00A07F29">
              <w:rPr>
                <w:rFonts w:ascii="Times New Roman" w:eastAsia="Calibri" w:hAnsi="Times New Roman" w:cs="Times New Roman"/>
                <w:sz w:val="20"/>
                <w:szCs w:val="20"/>
              </w:rPr>
              <w:t>, LAD</w:t>
            </w:r>
          </w:p>
        </w:tc>
        <w:tc>
          <w:tcPr>
            <w:tcW w:w="1560" w:type="dxa"/>
            <w:shd w:val="clear" w:color="auto" w:fill="FFFFFF" w:themeFill="background1"/>
          </w:tcPr>
          <w:p w14:paraId="7417849F" w14:textId="0A868FF3" w:rsidR="00B57963" w:rsidRPr="00A07F29" w:rsidRDefault="001439A0" w:rsidP="00B57963">
            <w:pPr>
              <w:spacing w:after="0" w:line="240" w:lineRule="auto"/>
              <w:ind w:left="34"/>
              <w:jc w:val="both"/>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Vismaz 500</w:t>
            </w:r>
            <w:r w:rsidR="000A35F2">
              <w:rPr>
                <w:rFonts w:ascii="Times New Roman" w:eastAsia="Calibri" w:hAnsi="Times New Roman" w:cs="Times New Roman"/>
                <w:bCs/>
                <w:sz w:val="20"/>
                <w:szCs w:val="20"/>
              </w:rPr>
              <w:t> </w:t>
            </w:r>
            <w:r w:rsidRPr="00A07F29">
              <w:rPr>
                <w:rFonts w:ascii="Times New Roman" w:eastAsia="Calibri" w:hAnsi="Times New Roman" w:cs="Times New Roman"/>
                <w:bCs/>
                <w:sz w:val="20"/>
                <w:szCs w:val="20"/>
              </w:rPr>
              <w:t>EUR/ha (atkarībā no sugas un invāzijas pakāpes)</w:t>
            </w:r>
          </w:p>
        </w:tc>
        <w:tc>
          <w:tcPr>
            <w:tcW w:w="1984" w:type="dxa"/>
            <w:shd w:val="clear" w:color="auto" w:fill="FFFFFF" w:themeFill="background1"/>
          </w:tcPr>
          <w:p w14:paraId="01F354F7" w14:textId="6F7DF3EC" w:rsidR="00B57963" w:rsidRPr="00A07F29" w:rsidRDefault="00781CA2" w:rsidP="00B57963">
            <w:pPr>
              <w:spacing w:after="0" w:line="240" w:lineRule="auto"/>
              <w:ind w:left="34"/>
              <w:jc w:val="both"/>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Zemes īpašnieku līdzekļi, projektu finansējums</w:t>
            </w:r>
          </w:p>
        </w:tc>
        <w:tc>
          <w:tcPr>
            <w:tcW w:w="3686" w:type="dxa"/>
            <w:shd w:val="clear" w:color="auto" w:fill="FFFFFF" w:themeFill="background1"/>
          </w:tcPr>
          <w:p w14:paraId="5F0CB9D2" w14:textId="2CD8E2F7" w:rsidR="00B57963" w:rsidRPr="00A07F29" w:rsidRDefault="00B57963" w:rsidP="00315E9F">
            <w:pPr>
              <w:spacing w:after="0" w:line="240" w:lineRule="auto"/>
              <w:ind w:left="34"/>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 xml:space="preserve">Ierobežota </w:t>
            </w:r>
            <w:proofErr w:type="spellStart"/>
            <w:r w:rsidRPr="00A07F29">
              <w:rPr>
                <w:rFonts w:ascii="Times New Roman" w:eastAsia="Calibri" w:hAnsi="Times New Roman" w:cs="Times New Roman"/>
                <w:bCs/>
                <w:sz w:val="20"/>
                <w:szCs w:val="20"/>
              </w:rPr>
              <w:t>invazīvo</w:t>
            </w:r>
            <w:proofErr w:type="spellEnd"/>
            <w:r w:rsidRPr="00A07F29">
              <w:rPr>
                <w:rFonts w:ascii="Times New Roman" w:eastAsia="Calibri" w:hAnsi="Times New Roman" w:cs="Times New Roman"/>
                <w:bCs/>
                <w:sz w:val="20"/>
                <w:szCs w:val="20"/>
              </w:rPr>
              <w:t xml:space="preserve"> sugu izplatīšanās</w:t>
            </w:r>
          </w:p>
        </w:tc>
      </w:tr>
      <w:tr w:rsidR="00B57963" w:rsidRPr="00A07F29" w14:paraId="30AF075D" w14:textId="77777777" w:rsidTr="4284A616">
        <w:trPr>
          <w:jc w:val="center"/>
        </w:trPr>
        <w:tc>
          <w:tcPr>
            <w:tcW w:w="846" w:type="dxa"/>
            <w:shd w:val="clear" w:color="auto" w:fill="FFFFFF" w:themeFill="background1"/>
          </w:tcPr>
          <w:p w14:paraId="5BBA5F9A" w14:textId="008C707E" w:rsidR="00B57963" w:rsidRPr="00A07F29" w:rsidRDefault="00B57963" w:rsidP="00B57963">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bCs/>
                <w:sz w:val="20"/>
                <w:szCs w:val="20"/>
              </w:rPr>
              <w:t>B.7.</w:t>
            </w:r>
          </w:p>
        </w:tc>
        <w:tc>
          <w:tcPr>
            <w:tcW w:w="3402" w:type="dxa"/>
            <w:shd w:val="clear" w:color="auto" w:fill="FFFFFF" w:themeFill="background1"/>
          </w:tcPr>
          <w:p w14:paraId="17F283D2" w14:textId="551A9A41" w:rsidR="00B57963" w:rsidRPr="00A07F29" w:rsidRDefault="00B57963" w:rsidP="00315E9F">
            <w:pPr>
              <w:spacing w:after="0" w:line="240" w:lineRule="auto"/>
              <w:rPr>
                <w:rFonts w:ascii="Times New Roman" w:eastAsia="Calibri" w:hAnsi="Times New Roman" w:cs="Times New Roman"/>
                <w:sz w:val="20"/>
                <w:szCs w:val="20"/>
              </w:rPr>
            </w:pPr>
            <w:r w:rsidRPr="00A07F29">
              <w:rPr>
                <w:rFonts w:ascii="Times New Roman" w:eastAsia="Calibri" w:hAnsi="Times New Roman" w:cs="Times New Roman"/>
                <w:sz w:val="20"/>
                <w:szCs w:val="20"/>
              </w:rPr>
              <w:t>B.7.1.</w:t>
            </w:r>
            <w:r w:rsidR="00F9373C">
              <w:rPr>
                <w:rFonts w:ascii="Times New Roman" w:hAnsi="Times New Roman" w:cs="Times New Roman"/>
                <w:sz w:val="20"/>
                <w:szCs w:val="20"/>
              </w:rPr>
              <w:t> </w:t>
            </w:r>
            <w:r w:rsidRPr="00A07F29">
              <w:rPr>
                <w:rFonts w:ascii="Times New Roman" w:eastAsia="Calibri" w:hAnsi="Times New Roman" w:cs="Times New Roman"/>
                <w:sz w:val="20"/>
                <w:szCs w:val="20"/>
              </w:rPr>
              <w:t xml:space="preserve">Aleju un dižkoku </w:t>
            </w:r>
            <w:r w:rsidR="00736AA4" w:rsidRPr="00A07F29">
              <w:rPr>
                <w:rFonts w:ascii="Times New Roman" w:eastAsia="Calibri" w:hAnsi="Times New Roman" w:cs="Times New Roman"/>
                <w:sz w:val="20"/>
                <w:szCs w:val="20"/>
              </w:rPr>
              <w:t>kopšana</w:t>
            </w:r>
          </w:p>
        </w:tc>
        <w:tc>
          <w:tcPr>
            <w:tcW w:w="1701" w:type="dxa"/>
            <w:shd w:val="clear" w:color="auto" w:fill="FFFFFF" w:themeFill="background1"/>
          </w:tcPr>
          <w:p w14:paraId="4DB7BFD8" w14:textId="017F9D45" w:rsidR="00B57963" w:rsidRPr="00A07F29" w:rsidRDefault="00B57963" w:rsidP="00B57963">
            <w:pPr>
              <w:spacing w:after="0" w:line="240" w:lineRule="auto"/>
              <w:jc w:val="center"/>
              <w:rPr>
                <w:rFonts w:ascii="Times New Roman" w:eastAsia="Calibri" w:hAnsi="Times New Roman" w:cs="Times New Roman"/>
                <w:bCs/>
                <w:sz w:val="20"/>
                <w:szCs w:val="20"/>
              </w:rPr>
            </w:pPr>
            <w:r w:rsidRPr="00A07F29">
              <w:rPr>
                <w:rFonts w:ascii="Times New Roman" w:eastAsia="Calibri" w:hAnsi="Times New Roman" w:cs="Times New Roman"/>
                <w:sz w:val="20"/>
                <w:szCs w:val="20"/>
              </w:rPr>
              <w:t>I,</w:t>
            </w:r>
          </w:p>
          <w:p w14:paraId="1D478FEC" w14:textId="538B6E93" w:rsidR="00B57963" w:rsidRPr="00A07F29" w:rsidRDefault="00EF10FF" w:rsidP="00B57963">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bCs/>
                <w:sz w:val="20"/>
                <w:szCs w:val="20"/>
              </w:rPr>
              <w:t>visu plāna periodu</w:t>
            </w:r>
          </w:p>
        </w:tc>
        <w:tc>
          <w:tcPr>
            <w:tcW w:w="1984" w:type="dxa"/>
            <w:shd w:val="clear" w:color="auto" w:fill="FFFFFF" w:themeFill="background1"/>
          </w:tcPr>
          <w:p w14:paraId="1AB65D53" w14:textId="77777777" w:rsidR="00B57963" w:rsidRPr="00A07F29" w:rsidRDefault="00B57963" w:rsidP="00B57963">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DAP, pašvaldības, zemes īpašnieki, NVO</w:t>
            </w:r>
          </w:p>
        </w:tc>
        <w:tc>
          <w:tcPr>
            <w:tcW w:w="1560" w:type="dxa"/>
            <w:shd w:val="clear" w:color="auto" w:fill="FFFFFF" w:themeFill="background1"/>
          </w:tcPr>
          <w:p w14:paraId="6AF7E145" w14:textId="2AAABDC9" w:rsidR="00B57963" w:rsidRPr="00A07F29" w:rsidRDefault="001439A0" w:rsidP="00B57963">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Atkarībā no koku skaita un veicamā kopšanas darbu apjoma, bet viena koka sapošana sākot no 500</w:t>
            </w:r>
            <w:r w:rsidR="00F9373C">
              <w:rPr>
                <w:rFonts w:ascii="Times New Roman" w:eastAsia="Calibri" w:hAnsi="Times New Roman" w:cs="Times New Roman"/>
                <w:sz w:val="20"/>
                <w:szCs w:val="20"/>
              </w:rPr>
              <w:t> </w:t>
            </w:r>
            <w:r w:rsidRPr="00A07F29">
              <w:rPr>
                <w:rFonts w:ascii="Times New Roman" w:eastAsia="Calibri" w:hAnsi="Times New Roman" w:cs="Times New Roman"/>
                <w:sz w:val="20"/>
                <w:szCs w:val="20"/>
              </w:rPr>
              <w:t>EUR</w:t>
            </w:r>
          </w:p>
        </w:tc>
        <w:tc>
          <w:tcPr>
            <w:tcW w:w="1984" w:type="dxa"/>
            <w:shd w:val="clear" w:color="auto" w:fill="FFFFFF" w:themeFill="background1"/>
          </w:tcPr>
          <w:p w14:paraId="3687701E" w14:textId="22573FB2" w:rsidR="00B57963" w:rsidRPr="00A07F29" w:rsidRDefault="00410414" w:rsidP="00B57963">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Zemes īpašnieku līdzekļi, projektu finansējums</w:t>
            </w:r>
          </w:p>
        </w:tc>
        <w:tc>
          <w:tcPr>
            <w:tcW w:w="3686" w:type="dxa"/>
            <w:shd w:val="clear" w:color="auto" w:fill="FFFFFF" w:themeFill="background1"/>
          </w:tcPr>
          <w:p w14:paraId="08FBFC93" w14:textId="77777777" w:rsidR="00B57963" w:rsidRPr="00A07F29" w:rsidRDefault="00B57963" w:rsidP="00315E9F">
            <w:pPr>
              <w:spacing w:after="0" w:line="240" w:lineRule="auto"/>
              <w:ind w:left="34"/>
              <w:rPr>
                <w:rFonts w:ascii="Times New Roman" w:eastAsia="Calibri" w:hAnsi="Times New Roman" w:cs="Times New Roman"/>
                <w:sz w:val="20"/>
                <w:szCs w:val="20"/>
              </w:rPr>
            </w:pPr>
            <w:r w:rsidRPr="00A07F29">
              <w:rPr>
                <w:rFonts w:ascii="Times New Roman" w:eastAsia="Calibri" w:hAnsi="Times New Roman" w:cs="Times New Roman"/>
                <w:sz w:val="20"/>
                <w:szCs w:val="20"/>
              </w:rPr>
              <w:t>Veikta aleju un dižkoku kopšana.</w:t>
            </w:r>
          </w:p>
          <w:p w14:paraId="6127031B" w14:textId="09666DAF" w:rsidR="00CE1A0B" w:rsidRPr="00A07F29" w:rsidRDefault="00CE1A0B" w:rsidP="001234BC">
            <w:pPr>
              <w:spacing w:after="0" w:line="240" w:lineRule="auto"/>
              <w:ind w:left="34"/>
              <w:rPr>
                <w:rFonts w:ascii="Times New Roman" w:eastAsia="Calibri" w:hAnsi="Times New Roman" w:cs="Times New Roman"/>
                <w:sz w:val="20"/>
                <w:szCs w:val="20"/>
              </w:rPr>
            </w:pPr>
            <w:r w:rsidRPr="00A07F29">
              <w:rPr>
                <w:rFonts w:ascii="Times New Roman" w:eastAsia="Calibri" w:hAnsi="Times New Roman" w:cs="Times New Roman"/>
                <w:sz w:val="20"/>
                <w:szCs w:val="20"/>
              </w:rPr>
              <w:t xml:space="preserve">Apzināti </w:t>
            </w:r>
            <w:r w:rsidRPr="00C25036">
              <w:rPr>
                <w:rFonts w:ascii="Times New Roman" w:eastAsia="Calibri" w:hAnsi="Times New Roman" w:cs="Times New Roman"/>
                <w:sz w:val="20"/>
                <w:szCs w:val="20"/>
              </w:rPr>
              <w:t xml:space="preserve">un </w:t>
            </w:r>
            <w:r w:rsidR="00C25036" w:rsidRPr="00C25036">
              <w:rPr>
                <w:rFonts w:ascii="Times New Roman" w:eastAsia="Calibri" w:hAnsi="Times New Roman" w:cs="Times New Roman"/>
                <w:sz w:val="20"/>
                <w:szCs w:val="20"/>
              </w:rPr>
              <w:t xml:space="preserve">DDPS </w:t>
            </w:r>
            <w:r w:rsidR="00C25036">
              <w:rPr>
                <w:rFonts w:ascii="Times New Roman" w:eastAsia="Calibri" w:hAnsi="Times New Roman" w:cs="Times New Roman"/>
                <w:sz w:val="20"/>
                <w:szCs w:val="20"/>
              </w:rPr>
              <w:t>“OZOLS”</w:t>
            </w:r>
            <w:r w:rsidRPr="00A07F29">
              <w:rPr>
                <w:rFonts w:ascii="Times New Roman" w:eastAsia="Calibri" w:hAnsi="Times New Roman" w:cs="Times New Roman"/>
                <w:sz w:val="20"/>
                <w:szCs w:val="20"/>
              </w:rPr>
              <w:t xml:space="preserve"> reģistrēti jauni dižkoki.</w:t>
            </w:r>
          </w:p>
        </w:tc>
      </w:tr>
      <w:tr w:rsidR="00CF2DBE" w:rsidRPr="00A07F29" w14:paraId="52CD47E4" w14:textId="77777777" w:rsidTr="4284A616">
        <w:trPr>
          <w:jc w:val="center"/>
        </w:trPr>
        <w:tc>
          <w:tcPr>
            <w:tcW w:w="846" w:type="dxa"/>
            <w:shd w:val="clear" w:color="auto" w:fill="FFFFFF" w:themeFill="background1"/>
          </w:tcPr>
          <w:p w14:paraId="27B5D07D" w14:textId="3A924454" w:rsidR="00CF2DBE" w:rsidRPr="00A07F29" w:rsidRDefault="00CF2DBE" w:rsidP="00B57963">
            <w:pPr>
              <w:spacing w:after="0" w:line="240" w:lineRule="auto"/>
              <w:jc w:val="center"/>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B.8.</w:t>
            </w:r>
          </w:p>
        </w:tc>
        <w:tc>
          <w:tcPr>
            <w:tcW w:w="3402" w:type="dxa"/>
            <w:shd w:val="clear" w:color="auto" w:fill="FFFFFF" w:themeFill="background1"/>
          </w:tcPr>
          <w:p w14:paraId="050C13F2" w14:textId="3E04DCE5" w:rsidR="00CF2DBE" w:rsidRPr="00A07F29" w:rsidRDefault="00CF2DBE" w:rsidP="00CF2DBE">
            <w:pPr>
              <w:spacing w:after="0" w:line="240" w:lineRule="auto"/>
              <w:rPr>
                <w:rFonts w:ascii="Times New Roman" w:eastAsia="Calibri" w:hAnsi="Times New Roman" w:cs="Times New Roman"/>
                <w:sz w:val="20"/>
                <w:szCs w:val="20"/>
              </w:rPr>
            </w:pPr>
            <w:r w:rsidRPr="00A07F29">
              <w:rPr>
                <w:rFonts w:ascii="Times New Roman" w:eastAsia="Calibri" w:hAnsi="Times New Roman" w:cs="Times New Roman"/>
                <w:sz w:val="20"/>
                <w:szCs w:val="20"/>
              </w:rPr>
              <w:t>B.8.1.</w:t>
            </w:r>
            <w:r w:rsidR="00BA230D">
              <w:rPr>
                <w:rFonts w:ascii="Times New Roman" w:eastAsia="Calibri" w:hAnsi="Times New Roman" w:cs="Times New Roman"/>
                <w:sz w:val="20"/>
                <w:szCs w:val="20"/>
              </w:rPr>
              <w:t> </w:t>
            </w:r>
            <w:r w:rsidRPr="00A07F29">
              <w:rPr>
                <w:rFonts w:ascii="Times New Roman" w:eastAsia="Calibri" w:hAnsi="Times New Roman" w:cs="Times New Roman"/>
                <w:sz w:val="20"/>
                <w:szCs w:val="20"/>
              </w:rPr>
              <w:t>Klimata pārmaiņu ietekmes mazināšanas un pielāgošanās pasākumu īstenošana atbilstoši pašvaldību ilgtspējīgas enerģētikas un klimata rīcības plāniem un dabas aizsardzības plānam</w:t>
            </w:r>
          </w:p>
        </w:tc>
        <w:tc>
          <w:tcPr>
            <w:tcW w:w="1701" w:type="dxa"/>
            <w:shd w:val="clear" w:color="auto" w:fill="FFFFFF" w:themeFill="background1"/>
          </w:tcPr>
          <w:p w14:paraId="66589608" w14:textId="526996EB" w:rsidR="00CF2DBE" w:rsidRPr="00A07F29" w:rsidRDefault="00CF2DBE" w:rsidP="00B57963">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II,</w:t>
            </w:r>
          </w:p>
          <w:p w14:paraId="3B65D7CC" w14:textId="0DB7FC59" w:rsidR="00CF2DBE" w:rsidRPr="00A07F29" w:rsidRDefault="00CF2DBE" w:rsidP="00B57963">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visu plāna periodu</w:t>
            </w:r>
          </w:p>
        </w:tc>
        <w:tc>
          <w:tcPr>
            <w:tcW w:w="1984" w:type="dxa"/>
            <w:shd w:val="clear" w:color="auto" w:fill="FFFFFF" w:themeFill="background1"/>
          </w:tcPr>
          <w:p w14:paraId="4D147F61" w14:textId="4CEFD61D" w:rsidR="00CF2DBE" w:rsidRPr="00A07F29" w:rsidRDefault="00CF2DBE" w:rsidP="00B57963">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Pašvaldības, zemes īpašnieki, DAP, VMD</w:t>
            </w:r>
          </w:p>
        </w:tc>
        <w:tc>
          <w:tcPr>
            <w:tcW w:w="1560" w:type="dxa"/>
            <w:shd w:val="clear" w:color="auto" w:fill="FFFFFF" w:themeFill="background1"/>
          </w:tcPr>
          <w:p w14:paraId="26679703" w14:textId="77777777" w:rsidR="00CF2DBE" w:rsidRPr="00A07F29" w:rsidRDefault="00CF2DBE" w:rsidP="00B57963">
            <w:pPr>
              <w:spacing w:after="0" w:line="240" w:lineRule="auto"/>
              <w:ind w:left="34"/>
              <w:jc w:val="both"/>
              <w:rPr>
                <w:rFonts w:ascii="Times New Roman" w:eastAsia="Calibri" w:hAnsi="Times New Roman" w:cs="Times New Roman"/>
                <w:sz w:val="20"/>
                <w:szCs w:val="20"/>
              </w:rPr>
            </w:pPr>
          </w:p>
        </w:tc>
        <w:tc>
          <w:tcPr>
            <w:tcW w:w="1984" w:type="dxa"/>
            <w:shd w:val="clear" w:color="auto" w:fill="FFFFFF" w:themeFill="background1"/>
          </w:tcPr>
          <w:p w14:paraId="6F1921B5" w14:textId="1400AE2D" w:rsidR="00CF2DBE" w:rsidRPr="00A07F29" w:rsidRDefault="00CF2DBE" w:rsidP="00B57963">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Projektu finansējums, zemes īpašnieku līdzekļi</w:t>
            </w:r>
          </w:p>
        </w:tc>
        <w:tc>
          <w:tcPr>
            <w:tcW w:w="3686" w:type="dxa"/>
            <w:shd w:val="clear" w:color="auto" w:fill="FFFFFF" w:themeFill="background1"/>
          </w:tcPr>
          <w:p w14:paraId="322F11DE" w14:textId="57AB3360" w:rsidR="00CF2DBE" w:rsidRPr="00A07F29" w:rsidRDefault="00CF2DBE" w:rsidP="00315E9F">
            <w:pPr>
              <w:spacing w:after="0" w:line="240" w:lineRule="auto"/>
              <w:ind w:left="34"/>
              <w:rPr>
                <w:rFonts w:ascii="Times New Roman" w:eastAsia="Calibri" w:hAnsi="Times New Roman" w:cs="Times New Roman"/>
                <w:sz w:val="20"/>
                <w:szCs w:val="20"/>
              </w:rPr>
            </w:pPr>
            <w:r w:rsidRPr="00A07F29">
              <w:rPr>
                <w:rFonts w:ascii="Times New Roman" w:eastAsia="Calibri" w:hAnsi="Times New Roman" w:cs="Times New Roman"/>
                <w:sz w:val="20"/>
                <w:szCs w:val="20"/>
              </w:rPr>
              <w:t>Veikti pasākumi klimata pārmaiņu ietekmes mazināšanai.</w:t>
            </w:r>
          </w:p>
        </w:tc>
      </w:tr>
      <w:tr w:rsidR="00B57963" w:rsidRPr="00A07F29" w14:paraId="637CECCA" w14:textId="06418988" w:rsidTr="4284A616">
        <w:trPr>
          <w:jc w:val="center"/>
        </w:trPr>
        <w:tc>
          <w:tcPr>
            <w:tcW w:w="846" w:type="dxa"/>
            <w:shd w:val="clear" w:color="auto" w:fill="FFFFFF" w:themeFill="background1"/>
          </w:tcPr>
          <w:p w14:paraId="66043425" w14:textId="6DB34849" w:rsidR="00B57963" w:rsidRPr="00A07F29" w:rsidRDefault="00B57963" w:rsidP="00B57963">
            <w:pPr>
              <w:spacing w:after="0" w:line="240" w:lineRule="auto"/>
              <w:jc w:val="center"/>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lastRenderedPageBreak/>
              <w:t>C.1.</w:t>
            </w:r>
          </w:p>
        </w:tc>
        <w:tc>
          <w:tcPr>
            <w:tcW w:w="3402" w:type="dxa"/>
            <w:shd w:val="clear" w:color="auto" w:fill="FFFFFF" w:themeFill="background1"/>
            <w:hideMark/>
          </w:tcPr>
          <w:p w14:paraId="2E57C276" w14:textId="2332AC1B" w:rsidR="00B57963" w:rsidRPr="00A07F29" w:rsidRDefault="00B57963" w:rsidP="00315E9F">
            <w:pPr>
              <w:spacing w:after="0" w:line="240" w:lineRule="auto"/>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C.1.1.</w:t>
            </w:r>
            <w:r w:rsidR="00610C5C">
              <w:rPr>
                <w:rFonts w:ascii="Times New Roman" w:eastAsia="Calibri" w:hAnsi="Times New Roman" w:cs="Times New Roman"/>
                <w:bCs/>
                <w:sz w:val="20"/>
                <w:szCs w:val="20"/>
              </w:rPr>
              <w:t> </w:t>
            </w:r>
            <w:r w:rsidRPr="00A07F29">
              <w:rPr>
                <w:rFonts w:ascii="Times New Roman" w:eastAsia="Calibri" w:hAnsi="Times New Roman" w:cs="Times New Roman"/>
                <w:bCs/>
                <w:sz w:val="20"/>
                <w:szCs w:val="20"/>
              </w:rPr>
              <w:t>Informatīvs stends par kaiju kolonijās ligzdojošajām sugām</w:t>
            </w:r>
          </w:p>
        </w:tc>
        <w:tc>
          <w:tcPr>
            <w:tcW w:w="1701" w:type="dxa"/>
            <w:shd w:val="clear" w:color="auto" w:fill="FFFFFF" w:themeFill="background1"/>
            <w:hideMark/>
          </w:tcPr>
          <w:p w14:paraId="4151E3F5" w14:textId="77777777" w:rsidR="00B57963" w:rsidRPr="00A07F29" w:rsidRDefault="00B57963" w:rsidP="00B57963">
            <w:pPr>
              <w:spacing w:after="0" w:line="240" w:lineRule="auto"/>
              <w:jc w:val="center"/>
              <w:rPr>
                <w:rFonts w:ascii="Times New Roman" w:eastAsia="Calibri" w:hAnsi="Times New Roman" w:cs="Times New Roman"/>
                <w:bCs/>
                <w:sz w:val="20"/>
                <w:szCs w:val="20"/>
              </w:rPr>
            </w:pPr>
            <w:r w:rsidRPr="00A07F29">
              <w:rPr>
                <w:rFonts w:ascii="Times New Roman" w:eastAsia="Calibri" w:hAnsi="Times New Roman" w:cs="Times New Roman"/>
                <w:sz w:val="20"/>
                <w:szCs w:val="20"/>
              </w:rPr>
              <w:t>II</w:t>
            </w:r>
            <w:r w:rsidRPr="00A07F29">
              <w:rPr>
                <w:rFonts w:ascii="Times New Roman" w:eastAsia="Calibri" w:hAnsi="Times New Roman" w:cs="Times New Roman"/>
                <w:bCs/>
                <w:sz w:val="20"/>
                <w:szCs w:val="20"/>
              </w:rPr>
              <w:t>,</w:t>
            </w:r>
          </w:p>
          <w:p w14:paraId="659F8D4F" w14:textId="43EE189E" w:rsidR="00B57963" w:rsidRPr="00A07F29" w:rsidRDefault="00B57963" w:rsidP="00B57963">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bCs/>
                <w:sz w:val="20"/>
                <w:szCs w:val="20"/>
              </w:rPr>
              <w:t>vienreizējs pasākums</w:t>
            </w:r>
          </w:p>
        </w:tc>
        <w:tc>
          <w:tcPr>
            <w:tcW w:w="1984" w:type="dxa"/>
            <w:shd w:val="clear" w:color="auto" w:fill="FFFFFF" w:themeFill="background1"/>
          </w:tcPr>
          <w:p w14:paraId="246ED286" w14:textId="5C732BC0" w:rsidR="00B57963" w:rsidRPr="00A07F29" w:rsidRDefault="001234BC" w:rsidP="001234BC">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DAP, NVO, pašvaldība</w:t>
            </w:r>
          </w:p>
        </w:tc>
        <w:tc>
          <w:tcPr>
            <w:tcW w:w="1560" w:type="dxa"/>
            <w:shd w:val="clear" w:color="auto" w:fill="FFFFFF" w:themeFill="background1"/>
          </w:tcPr>
          <w:p w14:paraId="4383AC0E" w14:textId="0FE664CA" w:rsidR="00B57963" w:rsidRPr="00A07F29" w:rsidRDefault="00F95E15" w:rsidP="00B57963">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Sākot no 800</w:t>
            </w:r>
            <w:r w:rsidR="00C93814">
              <w:rPr>
                <w:rFonts w:ascii="Times New Roman" w:eastAsia="Calibri" w:hAnsi="Times New Roman" w:cs="Times New Roman"/>
                <w:sz w:val="20"/>
                <w:szCs w:val="20"/>
              </w:rPr>
              <w:t> </w:t>
            </w:r>
            <w:r w:rsidRPr="00A07F29">
              <w:rPr>
                <w:rFonts w:ascii="Times New Roman" w:eastAsia="Calibri" w:hAnsi="Times New Roman" w:cs="Times New Roman"/>
                <w:sz w:val="20"/>
                <w:szCs w:val="20"/>
              </w:rPr>
              <w:t>EUR</w:t>
            </w:r>
          </w:p>
        </w:tc>
        <w:tc>
          <w:tcPr>
            <w:tcW w:w="1984" w:type="dxa"/>
            <w:shd w:val="clear" w:color="auto" w:fill="FFFFFF" w:themeFill="background1"/>
          </w:tcPr>
          <w:p w14:paraId="620B86A4" w14:textId="7FDA849E" w:rsidR="00B57963" w:rsidRPr="00A07F29" w:rsidRDefault="00410414" w:rsidP="00B57963">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Projektu finansējums</w:t>
            </w:r>
          </w:p>
        </w:tc>
        <w:tc>
          <w:tcPr>
            <w:tcW w:w="3686" w:type="dxa"/>
            <w:shd w:val="clear" w:color="auto" w:fill="FFFFFF" w:themeFill="background1"/>
          </w:tcPr>
          <w:p w14:paraId="1B45CA86" w14:textId="04E50C0A" w:rsidR="00B57963" w:rsidRPr="00A07F29" w:rsidRDefault="00B57963" w:rsidP="00315E9F">
            <w:pPr>
              <w:spacing w:after="0" w:line="240" w:lineRule="auto"/>
              <w:ind w:left="34"/>
              <w:rPr>
                <w:rFonts w:ascii="Times New Roman" w:eastAsia="Calibri" w:hAnsi="Times New Roman" w:cs="Times New Roman"/>
                <w:bCs/>
                <w:sz w:val="20"/>
                <w:szCs w:val="20"/>
              </w:rPr>
            </w:pPr>
            <w:r w:rsidRPr="00A07F29">
              <w:rPr>
                <w:rFonts w:ascii="Times New Roman" w:eastAsia="Calibri" w:hAnsi="Times New Roman" w:cs="Times New Roman"/>
                <w:sz w:val="20"/>
                <w:szCs w:val="20"/>
              </w:rPr>
              <w:t>Izvietoti stendi</w:t>
            </w:r>
          </w:p>
        </w:tc>
      </w:tr>
      <w:tr w:rsidR="00B57963" w:rsidRPr="00A07F29" w14:paraId="05CD1E78" w14:textId="5F773F49" w:rsidTr="4284A616">
        <w:trPr>
          <w:jc w:val="center"/>
        </w:trPr>
        <w:tc>
          <w:tcPr>
            <w:tcW w:w="846" w:type="dxa"/>
            <w:shd w:val="clear" w:color="auto" w:fill="FFFFFF" w:themeFill="background1"/>
          </w:tcPr>
          <w:p w14:paraId="2F0A1793" w14:textId="11E90C70" w:rsidR="00B57963" w:rsidRPr="00A07F29" w:rsidRDefault="00B57963" w:rsidP="00B57963">
            <w:pPr>
              <w:spacing w:after="0" w:line="240" w:lineRule="auto"/>
              <w:jc w:val="center"/>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C.1.</w:t>
            </w:r>
          </w:p>
        </w:tc>
        <w:tc>
          <w:tcPr>
            <w:tcW w:w="3402" w:type="dxa"/>
            <w:shd w:val="clear" w:color="auto" w:fill="FFFFFF" w:themeFill="background1"/>
            <w:hideMark/>
          </w:tcPr>
          <w:p w14:paraId="4A94E915" w14:textId="43085286" w:rsidR="00B57963" w:rsidRPr="00A07F29" w:rsidRDefault="00B57963" w:rsidP="00315E9F">
            <w:pPr>
              <w:spacing w:after="0" w:line="240" w:lineRule="auto"/>
              <w:rPr>
                <w:rFonts w:ascii="Times New Roman" w:eastAsia="Calibri" w:hAnsi="Times New Roman" w:cs="Times New Roman"/>
                <w:bCs/>
                <w:sz w:val="20"/>
                <w:szCs w:val="20"/>
              </w:rPr>
            </w:pPr>
            <w:bookmarkStart w:id="107" w:name="_Hlk44464895"/>
            <w:r w:rsidRPr="00A07F29">
              <w:rPr>
                <w:rFonts w:ascii="Times New Roman" w:eastAsia="Calibri" w:hAnsi="Times New Roman" w:cs="Times New Roman"/>
                <w:bCs/>
                <w:sz w:val="20"/>
                <w:szCs w:val="20"/>
              </w:rPr>
              <w:t>C.1.2.</w:t>
            </w:r>
            <w:r w:rsidR="00D212A5">
              <w:rPr>
                <w:rFonts w:ascii="Times New Roman" w:eastAsia="Calibri" w:hAnsi="Times New Roman" w:cs="Times New Roman"/>
                <w:bCs/>
                <w:sz w:val="20"/>
                <w:szCs w:val="20"/>
              </w:rPr>
              <w:t> </w:t>
            </w:r>
            <w:r w:rsidRPr="00A07F29">
              <w:rPr>
                <w:rFonts w:ascii="Times New Roman" w:eastAsia="Calibri" w:hAnsi="Times New Roman" w:cs="Times New Roman"/>
                <w:bCs/>
                <w:sz w:val="20"/>
                <w:szCs w:val="20"/>
              </w:rPr>
              <w:t xml:space="preserve">Informatīvo stendu un norāžu izvietošana pie ģeoloģiskajiem un </w:t>
            </w:r>
            <w:proofErr w:type="spellStart"/>
            <w:r w:rsidRPr="00A07F29">
              <w:rPr>
                <w:rFonts w:ascii="Times New Roman" w:eastAsia="Calibri" w:hAnsi="Times New Roman" w:cs="Times New Roman"/>
                <w:bCs/>
                <w:sz w:val="20"/>
                <w:szCs w:val="20"/>
              </w:rPr>
              <w:t>ģeomorfoloģiskajiem</w:t>
            </w:r>
            <w:proofErr w:type="spellEnd"/>
            <w:r w:rsidRPr="00A07F29">
              <w:rPr>
                <w:rFonts w:ascii="Times New Roman" w:eastAsia="Calibri" w:hAnsi="Times New Roman" w:cs="Times New Roman"/>
                <w:bCs/>
                <w:sz w:val="20"/>
                <w:szCs w:val="20"/>
              </w:rPr>
              <w:t xml:space="preserve"> dabas pieminekļiem</w:t>
            </w:r>
            <w:bookmarkEnd w:id="107"/>
          </w:p>
        </w:tc>
        <w:tc>
          <w:tcPr>
            <w:tcW w:w="1701" w:type="dxa"/>
            <w:shd w:val="clear" w:color="auto" w:fill="FFFFFF" w:themeFill="background1"/>
          </w:tcPr>
          <w:p w14:paraId="18037BE3" w14:textId="77777777" w:rsidR="00B57963" w:rsidRPr="00A07F29" w:rsidRDefault="00B57963" w:rsidP="00B57963">
            <w:pPr>
              <w:spacing w:after="0" w:line="240" w:lineRule="auto"/>
              <w:jc w:val="center"/>
              <w:rPr>
                <w:rFonts w:ascii="Times New Roman" w:eastAsia="Calibri" w:hAnsi="Times New Roman" w:cs="Times New Roman"/>
                <w:bCs/>
                <w:sz w:val="20"/>
                <w:szCs w:val="20"/>
              </w:rPr>
            </w:pPr>
            <w:r w:rsidRPr="00A07F29">
              <w:rPr>
                <w:rFonts w:ascii="Times New Roman" w:eastAsia="Calibri" w:hAnsi="Times New Roman" w:cs="Times New Roman"/>
                <w:sz w:val="20"/>
                <w:szCs w:val="20"/>
              </w:rPr>
              <w:t>II</w:t>
            </w:r>
            <w:r w:rsidRPr="00A07F29">
              <w:rPr>
                <w:rFonts w:ascii="Times New Roman" w:eastAsia="Calibri" w:hAnsi="Times New Roman" w:cs="Times New Roman"/>
                <w:bCs/>
                <w:sz w:val="20"/>
                <w:szCs w:val="20"/>
              </w:rPr>
              <w:t>,</w:t>
            </w:r>
          </w:p>
          <w:p w14:paraId="27F74767" w14:textId="480BC5D9" w:rsidR="00B57963" w:rsidRPr="00A07F29" w:rsidRDefault="00B57963" w:rsidP="00B57963">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bCs/>
                <w:sz w:val="20"/>
                <w:szCs w:val="20"/>
              </w:rPr>
              <w:t>vienreizējs pasākums</w:t>
            </w:r>
          </w:p>
        </w:tc>
        <w:tc>
          <w:tcPr>
            <w:tcW w:w="1984" w:type="dxa"/>
            <w:shd w:val="clear" w:color="auto" w:fill="FFFFFF" w:themeFill="background1"/>
          </w:tcPr>
          <w:p w14:paraId="71DD0A7B" w14:textId="15069648" w:rsidR="00B57963" w:rsidRPr="00A07F29" w:rsidRDefault="00B57963" w:rsidP="00B57963">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DAP</w:t>
            </w:r>
            <w:r w:rsidR="001234BC" w:rsidRPr="00A07F29">
              <w:rPr>
                <w:rFonts w:ascii="Times New Roman" w:eastAsia="Calibri" w:hAnsi="Times New Roman" w:cs="Times New Roman"/>
                <w:sz w:val="20"/>
                <w:szCs w:val="20"/>
              </w:rPr>
              <w:t>, NVO, TIC</w:t>
            </w:r>
          </w:p>
        </w:tc>
        <w:tc>
          <w:tcPr>
            <w:tcW w:w="1560" w:type="dxa"/>
            <w:shd w:val="clear" w:color="auto" w:fill="FFFFFF" w:themeFill="background1"/>
          </w:tcPr>
          <w:p w14:paraId="3549DBDD" w14:textId="4B3BD1FB" w:rsidR="00B57963" w:rsidRPr="00A07F29" w:rsidRDefault="00F95E15" w:rsidP="00B57963">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Viens stends – sākot no 500</w:t>
            </w:r>
            <w:r w:rsidR="00D212A5">
              <w:rPr>
                <w:rFonts w:ascii="Times New Roman" w:eastAsia="Calibri" w:hAnsi="Times New Roman" w:cs="Times New Roman"/>
                <w:sz w:val="20"/>
                <w:szCs w:val="20"/>
              </w:rPr>
              <w:t> </w:t>
            </w:r>
            <w:r w:rsidRPr="00A07F29">
              <w:rPr>
                <w:rFonts w:ascii="Times New Roman" w:eastAsia="Calibri" w:hAnsi="Times New Roman" w:cs="Times New Roman"/>
                <w:sz w:val="20"/>
                <w:szCs w:val="20"/>
              </w:rPr>
              <w:t>EUR</w:t>
            </w:r>
          </w:p>
        </w:tc>
        <w:tc>
          <w:tcPr>
            <w:tcW w:w="1984" w:type="dxa"/>
            <w:shd w:val="clear" w:color="auto" w:fill="FFFFFF" w:themeFill="background1"/>
          </w:tcPr>
          <w:p w14:paraId="7E5ED836" w14:textId="6308068D" w:rsidR="00B57963" w:rsidRPr="00A07F29" w:rsidRDefault="00CE1A0B" w:rsidP="00B57963">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Projektu finansējums</w:t>
            </w:r>
          </w:p>
        </w:tc>
        <w:tc>
          <w:tcPr>
            <w:tcW w:w="3686" w:type="dxa"/>
            <w:shd w:val="clear" w:color="auto" w:fill="FFFFFF" w:themeFill="background1"/>
          </w:tcPr>
          <w:p w14:paraId="7CC3ADBB" w14:textId="6F392574" w:rsidR="00B57963" w:rsidRPr="00A07F29" w:rsidRDefault="00B57963" w:rsidP="00315E9F">
            <w:pPr>
              <w:spacing w:after="0" w:line="240" w:lineRule="auto"/>
              <w:ind w:left="34"/>
              <w:rPr>
                <w:rFonts w:ascii="Times New Roman" w:eastAsia="Calibri" w:hAnsi="Times New Roman" w:cs="Times New Roman"/>
                <w:bCs/>
                <w:sz w:val="20"/>
                <w:szCs w:val="20"/>
              </w:rPr>
            </w:pPr>
            <w:r w:rsidRPr="00A07F29">
              <w:rPr>
                <w:rFonts w:ascii="Times New Roman" w:eastAsia="Calibri" w:hAnsi="Times New Roman" w:cs="Times New Roman"/>
                <w:sz w:val="20"/>
                <w:szCs w:val="20"/>
              </w:rPr>
              <w:t>Izvietoti stendi</w:t>
            </w:r>
          </w:p>
        </w:tc>
      </w:tr>
      <w:tr w:rsidR="00B57963" w:rsidRPr="00A07F29" w14:paraId="4550316F" w14:textId="79ECD372" w:rsidTr="4284A616">
        <w:trPr>
          <w:jc w:val="center"/>
        </w:trPr>
        <w:tc>
          <w:tcPr>
            <w:tcW w:w="846" w:type="dxa"/>
            <w:shd w:val="clear" w:color="auto" w:fill="FFFFFF" w:themeFill="background1"/>
          </w:tcPr>
          <w:p w14:paraId="2D73DAB1" w14:textId="348ED82A" w:rsidR="00B57963" w:rsidRPr="00A07F29" w:rsidRDefault="00B57963" w:rsidP="00B57963">
            <w:pPr>
              <w:spacing w:after="0" w:line="240" w:lineRule="auto"/>
              <w:jc w:val="center"/>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C.1.</w:t>
            </w:r>
          </w:p>
        </w:tc>
        <w:tc>
          <w:tcPr>
            <w:tcW w:w="3402" w:type="dxa"/>
            <w:shd w:val="clear" w:color="auto" w:fill="FFFFFF" w:themeFill="background1"/>
            <w:hideMark/>
          </w:tcPr>
          <w:p w14:paraId="29169D63" w14:textId="27A6C572" w:rsidR="00B57963" w:rsidRPr="00A07F29" w:rsidRDefault="00B57963" w:rsidP="00315E9F">
            <w:pPr>
              <w:spacing w:after="0" w:line="240" w:lineRule="auto"/>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C.1.3.</w:t>
            </w:r>
            <w:r w:rsidR="00D212A5">
              <w:rPr>
                <w:rFonts w:ascii="Times New Roman" w:eastAsia="Calibri" w:hAnsi="Times New Roman" w:cs="Times New Roman"/>
                <w:bCs/>
                <w:sz w:val="20"/>
                <w:szCs w:val="20"/>
              </w:rPr>
              <w:t> </w:t>
            </w:r>
            <w:r w:rsidRPr="00A07F29">
              <w:rPr>
                <w:rFonts w:ascii="Times New Roman" w:eastAsia="Calibri" w:hAnsi="Times New Roman" w:cs="Times New Roman"/>
                <w:bCs/>
                <w:sz w:val="20"/>
                <w:szCs w:val="20"/>
              </w:rPr>
              <w:t>Esošo tūrisma informācijas stendu atjaunošana</w:t>
            </w:r>
          </w:p>
        </w:tc>
        <w:tc>
          <w:tcPr>
            <w:tcW w:w="1701" w:type="dxa"/>
            <w:shd w:val="clear" w:color="auto" w:fill="FFFFFF" w:themeFill="background1"/>
          </w:tcPr>
          <w:p w14:paraId="5BA92804" w14:textId="77777777" w:rsidR="00B57963" w:rsidRPr="00A07F29" w:rsidRDefault="00B57963" w:rsidP="00B57963">
            <w:pPr>
              <w:spacing w:after="0" w:line="240" w:lineRule="auto"/>
              <w:jc w:val="center"/>
              <w:rPr>
                <w:rFonts w:ascii="Times New Roman" w:eastAsia="Calibri" w:hAnsi="Times New Roman" w:cs="Times New Roman"/>
                <w:bCs/>
                <w:sz w:val="20"/>
                <w:szCs w:val="20"/>
              </w:rPr>
            </w:pPr>
            <w:r w:rsidRPr="00A07F29">
              <w:rPr>
                <w:rFonts w:ascii="Times New Roman" w:eastAsia="Calibri" w:hAnsi="Times New Roman" w:cs="Times New Roman"/>
                <w:sz w:val="20"/>
                <w:szCs w:val="20"/>
              </w:rPr>
              <w:t>II</w:t>
            </w:r>
            <w:r w:rsidRPr="00A07F29">
              <w:rPr>
                <w:rFonts w:ascii="Times New Roman" w:eastAsia="Calibri" w:hAnsi="Times New Roman" w:cs="Times New Roman"/>
                <w:bCs/>
                <w:sz w:val="20"/>
                <w:szCs w:val="20"/>
              </w:rPr>
              <w:t>,</w:t>
            </w:r>
          </w:p>
          <w:p w14:paraId="2793CBDF" w14:textId="19C8934B" w:rsidR="00B57963" w:rsidRPr="00A07F29" w:rsidRDefault="00B57963" w:rsidP="00B57963">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bCs/>
                <w:sz w:val="20"/>
                <w:szCs w:val="20"/>
              </w:rPr>
              <w:t>vienreizējs pasākums</w:t>
            </w:r>
          </w:p>
        </w:tc>
        <w:tc>
          <w:tcPr>
            <w:tcW w:w="1984" w:type="dxa"/>
            <w:shd w:val="clear" w:color="auto" w:fill="FFFFFF" w:themeFill="background1"/>
          </w:tcPr>
          <w:p w14:paraId="291F715B" w14:textId="7EA1532C" w:rsidR="00B57963" w:rsidRPr="00A07F29" w:rsidRDefault="001234BC" w:rsidP="001234BC">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 xml:space="preserve">Pašvaldības, </w:t>
            </w:r>
            <w:r w:rsidR="00B57963" w:rsidRPr="00A07F29">
              <w:rPr>
                <w:rFonts w:ascii="Times New Roman" w:eastAsia="Calibri" w:hAnsi="Times New Roman" w:cs="Times New Roman"/>
                <w:sz w:val="20"/>
                <w:szCs w:val="20"/>
              </w:rPr>
              <w:t>TIC</w:t>
            </w:r>
            <w:r w:rsidRPr="00A07F29">
              <w:rPr>
                <w:rFonts w:ascii="Times New Roman" w:eastAsia="Calibri" w:hAnsi="Times New Roman" w:cs="Times New Roman"/>
                <w:sz w:val="20"/>
                <w:szCs w:val="20"/>
              </w:rPr>
              <w:t xml:space="preserve">, tūrisma objektu </w:t>
            </w:r>
            <w:proofErr w:type="spellStart"/>
            <w:r w:rsidRPr="00A07F29">
              <w:rPr>
                <w:rFonts w:ascii="Times New Roman" w:eastAsia="Calibri" w:hAnsi="Times New Roman" w:cs="Times New Roman"/>
                <w:sz w:val="20"/>
                <w:szCs w:val="20"/>
              </w:rPr>
              <w:t>apsaimniekotāji</w:t>
            </w:r>
            <w:proofErr w:type="spellEnd"/>
          </w:p>
        </w:tc>
        <w:tc>
          <w:tcPr>
            <w:tcW w:w="1560" w:type="dxa"/>
            <w:shd w:val="clear" w:color="auto" w:fill="FFFFFF" w:themeFill="background1"/>
          </w:tcPr>
          <w:p w14:paraId="0EF6172C" w14:textId="6737D8EB" w:rsidR="00B57963" w:rsidRPr="00A07F29" w:rsidRDefault="00F95E15" w:rsidP="00B57963">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 xml:space="preserve">Atkarībā no </w:t>
            </w:r>
            <w:r w:rsidR="00FF7CB7" w:rsidRPr="00A07F29">
              <w:rPr>
                <w:rFonts w:ascii="Times New Roman" w:eastAsia="Calibri" w:hAnsi="Times New Roman" w:cs="Times New Roman"/>
                <w:sz w:val="20"/>
                <w:szCs w:val="20"/>
              </w:rPr>
              <w:t>atjaunošanas darbu veida un apjoma, sākot no 200</w:t>
            </w:r>
            <w:r w:rsidR="00994FEB">
              <w:rPr>
                <w:rFonts w:ascii="Times New Roman" w:eastAsia="Calibri" w:hAnsi="Times New Roman" w:cs="Times New Roman"/>
                <w:sz w:val="20"/>
                <w:szCs w:val="20"/>
              </w:rPr>
              <w:t> </w:t>
            </w:r>
            <w:r w:rsidR="00FF7CB7" w:rsidRPr="00A07F29">
              <w:rPr>
                <w:rFonts w:ascii="Times New Roman" w:eastAsia="Calibri" w:hAnsi="Times New Roman" w:cs="Times New Roman"/>
                <w:sz w:val="20"/>
                <w:szCs w:val="20"/>
              </w:rPr>
              <w:t>EUR par stendu</w:t>
            </w:r>
          </w:p>
        </w:tc>
        <w:tc>
          <w:tcPr>
            <w:tcW w:w="1984" w:type="dxa"/>
            <w:shd w:val="clear" w:color="auto" w:fill="FFFFFF" w:themeFill="background1"/>
          </w:tcPr>
          <w:p w14:paraId="76D957EF" w14:textId="3F98AD72" w:rsidR="00B57963" w:rsidRPr="00A07F29" w:rsidRDefault="00CE1A0B" w:rsidP="001234BC">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Pašvaldību budžets, projektu finansējums</w:t>
            </w:r>
            <w:r w:rsidR="001234BC" w:rsidRPr="00A07F29">
              <w:rPr>
                <w:rFonts w:ascii="Times New Roman" w:eastAsia="Calibri" w:hAnsi="Times New Roman" w:cs="Times New Roman"/>
                <w:sz w:val="20"/>
                <w:szCs w:val="20"/>
              </w:rPr>
              <w:t xml:space="preserve">, tūrisma objektu </w:t>
            </w:r>
            <w:proofErr w:type="spellStart"/>
            <w:r w:rsidR="001234BC" w:rsidRPr="00A07F29">
              <w:rPr>
                <w:rFonts w:ascii="Times New Roman" w:eastAsia="Calibri" w:hAnsi="Times New Roman" w:cs="Times New Roman"/>
                <w:sz w:val="20"/>
                <w:szCs w:val="20"/>
              </w:rPr>
              <w:t>apsaimniekotāju</w:t>
            </w:r>
            <w:proofErr w:type="spellEnd"/>
            <w:r w:rsidR="001234BC" w:rsidRPr="00A07F29">
              <w:rPr>
                <w:rFonts w:ascii="Times New Roman" w:eastAsia="Calibri" w:hAnsi="Times New Roman" w:cs="Times New Roman"/>
                <w:sz w:val="20"/>
                <w:szCs w:val="20"/>
              </w:rPr>
              <w:t xml:space="preserve"> līdzekļi</w:t>
            </w:r>
          </w:p>
        </w:tc>
        <w:tc>
          <w:tcPr>
            <w:tcW w:w="3686" w:type="dxa"/>
            <w:shd w:val="clear" w:color="auto" w:fill="FFFFFF" w:themeFill="background1"/>
          </w:tcPr>
          <w:p w14:paraId="0D78A7A4" w14:textId="1799803D" w:rsidR="00B57963" w:rsidRPr="00A07F29" w:rsidRDefault="00B57963" w:rsidP="00315E9F">
            <w:pPr>
              <w:spacing w:after="0" w:line="240" w:lineRule="auto"/>
              <w:ind w:left="34"/>
              <w:rPr>
                <w:rFonts w:ascii="Times New Roman" w:eastAsia="Calibri" w:hAnsi="Times New Roman" w:cs="Times New Roman"/>
                <w:bCs/>
                <w:sz w:val="20"/>
                <w:szCs w:val="20"/>
              </w:rPr>
            </w:pPr>
            <w:r w:rsidRPr="00A07F29">
              <w:rPr>
                <w:rFonts w:ascii="Times New Roman" w:eastAsia="Calibri" w:hAnsi="Times New Roman" w:cs="Times New Roman"/>
                <w:sz w:val="20"/>
                <w:szCs w:val="20"/>
              </w:rPr>
              <w:t>Izvietoti stendi</w:t>
            </w:r>
          </w:p>
        </w:tc>
      </w:tr>
      <w:tr w:rsidR="00B57963" w:rsidRPr="00A07F29" w14:paraId="08A35A77" w14:textId="68C3EF5B" w:rsidTr="4284A616">
        <w:trPr>
          <w:jc w:val="center"/>
        </w:trPr>
        <w:tc>
          <w:tcPr>
            <w:tcW w:w="846" w:type="dxa"/>
            <w:shd w:val="clear" w:color="auto" w:fill="FFFFFF" w:themeFill="background1"/>
          </w:tcPr>
          <w:p w14:paraId="2ACB0BD1" w14:textId="670794ED" w:rsidR="00B57963" w:rsidRPr="00A07F29" w:rsidRDefault="00B57963" w:rsidP="00B57963">
            <w:pPr>
              <w:spacing w:after="0" w:line="240" w:lineRule="auto"/>
              <w:jc w:val="center"/>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C.1.</w:t>
            </w:r>
          </w:p>
        </w:tc>
        <w:tc>
          <w:tcPr>
            <w:tcW w:w="3402" w:type="dxa"/>
            <w:shd w:val="clear" w:color="auto" w:fill="FFFFFF" w:themeFill="background1"/>
            <w:hideMark/>
          </w:tcPr>
          <w:p w14:paraId="308547F7" w14:textId="10555542" w:rsidR="00B57963" w:rsidRPr="00A07F29" w:rsidRDefault="00B57963" w:rsidP="00315E9F">
            <w:pPr>
              <w:spacing w:after="0" w:line="240" w:lineRule="auto"/>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C.1.4.</w:t>
            </w:r>
            <w:r w:rsidR="00994FEB">
              <w:rPr>
                <w:rFonts w:ascii="Times New Roman" w:eastAsia="Calibri" w:hAnsi="Times New Roman" w:cs="Times New Roman"/>
                <w:bCs/>
                <w:sz w:val="20"/>
                <w:szCs w:val="20"/>
              </w:rPr>
              <w:t> </w:t>
            </w:r>
            <w:r w:rsidRPr="00A07F29">
              <w:rPr>
                <w:rFonts w:ascii="Times New Roman" w:eastAsia="Calibri" w:hAnsi="Times New Roman" w:cs="Times New Roman"/>
                <w:bCs/>
                <w:sz w:val="20"/>
                <w:szCs w:val="20"/>
              </w:rPr>
              <w:t>Jaunu informācijas stendu izvietošana pie esošajiem tūrisma objektiem</w:t>
            </w:r>
          </w:p>
        </w:tc>
        <w:tc>
          <w:tcPr>
            <w:tcW w:w="1701" w:type="dxa"/>
            <w:shd w:val="clear" w:color="auto" w:fill="FFFFFF" w:themeFill="background1"/>
          </w:tcPr>
          <w:p w14:paraId="63835A57" w14:textId="77777777" w:rsidR="00B57963" w:rsidRPr="00A07F29" w:rsidRDefault="00B57963" w:rsidP="00B57963">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II,</w:t>
            </w:r>
          </w:p>
          <w:p w14:paraId="596E6299" w14:textId="425D10CA" w:rsidR="00B57963" w:rsidRPr="00A07F29" w:rsidRDefault="00B57963" w:rsidP="00B57963">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bCs/>
                <w:sz w:val="20"/>
                <w:szCs w:val="20"/>
              </w:rPr>
              <w:t>vienreizējs pasākums</w:t>
            </w:r>
          </w:p>
        </w:tc>
        <w:tc>
          <w:tcPr>
            <w:tcW w:w="1984" w:type="dxa"/>
            <w:shd w:val="clear" w:color="auto" w:fill="FFFFFF" w:themeFill="background1"/>
          </w:tcPr>
          <w:p w14:paraId="2C48684C" w14:textId="2FF5D17E" w:rsidR="00B57963" w:rsidRPr="00A07F29" w:rsidRDefault="00B57963" w:rsidP="001234BC">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Pašvaldības, TIC</w:t>
            </w:r>
            <w:r w:rsidR="001234BC" w:rsidRPr="00A07F29">
              <w:rPr>
                <w:rFonts w:ascii="Times New Roman" w:eastAsia="Calibri" w:hAnsi="Times New Roman" w:cs="Times New Roman"/>
                <w:sz w:val="20"/>
                <w:szCs w:val="20"/>
              </w:rPr>
              <w:t xml:space="preserve">, tūrisma objektu </w:t>
            </w:r>
            <w:proofErr w:type="spellStart"/>
            <w:r w:rsidR="001234BC" w:rsidRPr="00A07F29">
              <w:rPr>
                <w:rFonts w:ascii="Times New Roman" w:eastAsia="Calibri" w:hAnsi="Times New Roman" w:cs="Times New Roman"/>
                <w:sz w:val="20"/>
                <w:szCs w:val="20"/>
              </w:rPr>
              <w:t>apsaimniekotāji</w:t>
            </w:r>
            <w:proofErr w:type="spellEnd"/>
          </w:p>
        </w:tc>
        <w:tc>
          <w:tcPr>
            <w:tcW w:w="1560" w:type="dxa"/>
            <w:shd w:val="clear" w:color="auto" w:fill="FFFFFF" w:themeFill="background1"/>
          </w:tcPr>
          <w:p w14:paraId="676FB7C7" w14:textId="0E074314" w:rsidR="00B57963" w:rsidRPr="00A07F29" w:rsidRDefault="00FF7CB7" w:rsidP="00B57963">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Viens stends – sākot no 500</w:t>
            </w:r>
            <w:r w:rsidR="00994FEB">
              <w:rPr>
                <w:rFonts w:ascii="Times New Roman" w:eastAsia="Calibri" w:hAnsi="Times New Roman" w:cs="Times New Roman"/>
                <w:sz w:val="20"/>
                <w:szCs w:val="20"/>
              </w:rPr>
              <w:t> </w:t>
            </w:r>
            <w:r w:rsidRPr="00A07F29">
              <w:rPr>
                <w:rFonts w:ascii="Times New Roman" w:eastAsia="Calibri" w:hAnsi="Times New Roman" w:cs="Times New Roman"/>
                <w:sz w:val="20"/>
                <w:szCs w:val="20"/>
              </w:rPr>
              <w:t>EUR</w:t>
            </w:r>
          </w:p>
        </w:tc>
        <w:tc>
          <w:tcPr>
            <w:tcW w:w="1984" w:type="dxa"/>
            <w:shd w:val="clear" w:color="auto" w:fill="FFFFFF" w:themeFill="background1"/>
          </w:tcPr>
          <w:p w14:paraId="66E45A91" w14:textId="7ABD0759" w:rsidR="00B57963" w:rsidRPr="00A07F29" w:rsidRDefault="00CE1A0B" w:rsidP="00B57963">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Pašvaldību budžets, projektu finansējums</w:t>
            </w:r>
            <w:r w:rsidR="001234BC" w:rsidRPr="00A07F29">
              <w:rPr>
                <w:rFonts w:ascii="Times New Roman" w:eastAsia="Calibri" w:hAnsi="Times New Roman" w:cs="Times New Roman"/>
                <w:sz w:val="20"/>
                <w:szCs w:val="20"/>
              </w:rPr>
              <w:t xml:space="preserve">, tūrisma objektu </w:t>
            </w:r>
            <w:proofErr w:type="spellStart"/>
            <w:r w:rsidR="001234BC" w:rsidRPr="00A07F29">
              <w:rPr>
                <w:rFonts w:ascii="Times New Roman" w:eastAsia="Calibri" w:hAnsi="Times New Roman" w:cs="Times New Roman"/>
                <w:sz w:val="20"/>
                <w:szCs w:val="20"/>
              </w:rPr>
              <w:t>apsaimniekotāju</w:t>
            </w:r>
            <w:proofErr w:type="spellEnd"/>
            <w:r w:rsidR="001234BC" w:rsidRPr="00A07F29">
              <w:rPr>
                <w:rFonts w:ascii="Times New Roman" w:eastAsia="Calibri" w:hAnsi="Times New Roman" w:cs="Times New Roman"/>
                <w:sz w:val="20"/>
                <w:szCs w:val="20"/>
              </w:rPr>
              <w:t xml:space="preserve"> līdzekļi</w:t>
            </w:r>
          </w:p>
        </w:tc>
        <w:tc>
          <w:tcPr>
            <w:tcW w:w="3686" w:type="dxa"/>
            <w:shd w:val="clear" w:color="auto" w:fill="FFFFFF" w:themeFill="background1"/>
          </w:tcPr>
          <w:p w14:paraId="3FC2596A" w14:textId="0B0F595F" w:rsidR="00B57963" w:rsidRPr="00A07F29" w:rsidRDefault="00B57963" w:rsidP="00315E9F">
            <w:pPr>
              <w:spacing w:after="0" w:line="240" w:lineRule="auto"/>
              <w:ind w:left="34"/>
              <w:rPr>
                <w:rFonts w:ascii="Times New Roman" w:eastAsia="Calibri" w:hAnsi="Times New Roman" w:cs="Times New Roman"/>
                <w:bCs/>
                <w:sz w:val="20"/>
                <w:szCs w:val="20"/>
              </w:rPr>
            </w:pPr>
            <w:r w:rsidRPr="00A07F29">
              <w:rPr>
                <w:rFonts w:ascii="Times New Roman" w:eastAsia="Calibri" w:hAnsi="Times New Roman" w:cs="Times New Roman"/>
                <w:sz w:val="20"/>
                <w:szCs w:val="20"/>
              </w:rPr>
              <w:t>Izvietoti stendi</w:t>
            </w:r>
          </w:p>
        </w:tc>
      </w:tr>
      <w:tr w:rsidR="00B57963" w:rsidRPr="00A07F29" w14:paraId="61C857FF" w14:textId="1DED0BCE" w:rsidTr="4284A616">
        <w:trPr>
          <w:jc w:val="center"/>
        </w:trPr>
        <w:tc>
          <w:tcPr>
            <w:tcW w:w="846" w:type="dxa"/>
            <w:shd w:val="clear" w:color="auto" w:fill="FFFFFF" w:themeFill="background1"/>
          </w:tcPr>
          <w:p w14:paraId="3CC0E2C8" w14:textId="28E947DA" w:rsidR="00B57963" w:rsidRPr="00A07F29" w:rsidRDefault="00B57963" w:rsidP="00B57963">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bCs/>
                <w:sz w:val="20"/>
                <w:szCs w:val="20"/>
              </w:rPr>
              <w:t>C.1.</w:t>
            </w:r>
          </w:p>
        </w:tc>
        <w:tc>
          <w:tcPr>
            <w:tcW w:w="3402" w:type="dxa"/>
            <w:shd w:val="clear" w:color="auto" w:fill="FFFFFF" w:themeFill="background1"/>
            <w:hideMark/>
          </w:tcPr>
          <w:p w14:paraId="7DD22ABE" w14:textId="130D2CD5" w:rsidR="00B57963" w:rsidRPr="00A07F29" w:rsidRDefault="00B57963" w:rsidP="00315E9F">
            <w:pPr>
              <w:spacing w:after="0" w:line="240" w:lineRule="auto"/>
              <w:rPr>
                <w:rFonts w:ascii="Times New Roman" w:eastAsia="Calibri" w:hAnsi="Times New Roman" w:cs="Times New Roman"/>
                <w:bCs/>
                <w:sz w:val="20"/>
                <w:szCs w:val="20"/>
              </w:rPr>
            </w:pPr>
            <w:r w:rsidRPr="00A07F29">
              <w:rPr>
                <w:rFonts w:ascii="Times New Roman" w:eastAsia="Calibri" w:hAnsi="Times New Roman" w:cs="Times New Roman"/>
                <w:sz w:val="20"/>
                <w:szCs w:val="20"/>
              </w:rPr>
              <w:t>C.1.5.</w:t>
            </w:r>
            <w:r w:rsidR="00F32712">
              <w:t> </w:t>
            </w:r>
            <w:r w:rsidRPr="00A07F29">
              <w:rPr>
                <w:rFonts w:ascii="Times New Roman" w:eastAsia="Calibri" w:hAnsi="Times New Roman" w:cs="Times New Roman"/>
                <w:sz w:val="20"/>
                <w:szCs w:val="20"/>
              </w:rPr>
              <w:t>Ceļa norāžu uz esošajiem tūrisma objektiem izvietošana</w:t>
            </w:r>
          </w:p>
        </w:tc>
        <w:tc>
          <w:tcPr>
            <w:tcW w:w="1701" w:type="dxa"/>
            <w:shd w:val="clear" w:color="auto" w:fill="FFFFFF" w:themeFill="background1"/>
          </w:tcPr>
          <w:p w14:paraId="1D31D884" w14:textId="77777777" w:rsidR="00B57963" w:rsidRPr="00A07F29" w:rsidRDefault="00B57963" w:rsidP="00B57963">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II,</w:t>
            </w:r>
          </w:p>
          <w:p w14:paraId="6AB12B59" w14:textId="3B135157" w:rsidR="00B57963" w:rsidRPr="00A07F29" w:rsidRDefault="00B57963" w:rsidP="00B57963">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bCs/>
                <w:sz w:val="20"/>
                <w:szCs w:val="20"/>
              </w:rPr>
              <w:t>vienreizējs pasākums</w:t>
            </w:r>
          </w:p>
        </w:tc>
        <w:tc>
          <w:tcPr>
            <w:tcW w:w="1984" w:type="dxa"/>
            <w:shd w:val="clear" w:color="auto" w:fill="FFFFFF" w:themeFill="background1"/>
          </w:tcPr>
          <w:p w14:paraId="5920F20D" w14:textId="2E9A14C1" w:rsidR="00B57963" w:rsidRPr="00A07F29" w:rsidRDefault="00B57963" w:rsidP="00B57963">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Pašvaldības, TIC</w:t>
            </w:r>
            <w:r w:rsidR="001234BC" w:rsidRPr="00A07F29">
              <w:rPr>
                <w:rFonts w:ascii="Times New Roman" w:eastAsia="Calibri" w:hAnsi="Times New Roman" w:cs="Times New Roman"/>
                <w:sz w:val="20"/>
                <w:szCs w:val="20"/>
              </w:rPr>
              <w:t xml:space="preserve">, tūrisma objektu </w:t>
            </w:r>
            <w:proofErr w:type="spellStart"/>
            <w:r w:rsidR="001234BC" w:rsidRPr="00A07F29">
              <w:rPr>
                <w:rFonts w:ascii="Times New Roman" w:eastAsia="Calibri" w:hAnsi="Times New Roman" w:cs="Times New Roman"/>
                <w:sz w:val="20"/>
                <w:szCs w:val="20"/>
              </w:rPr>
              <w:t>apsaimniekotāji</w:t>
            </w:r>
            <w:proofErr w:type="spellEnd"/>
          </w:p>
        </w:tc>
        <w:tc>
          <w:tcPr>
            <w:tcW w:w="1560" w:type="dxa"/>
            <w:shd w:val="clear" w:color="auto" w:fill="FFFFFF" w:themeFill="background1"/>
          </w:tcPr>
          <w:p w14:paraId="0964CF98" w14:textId="1FDF2AA0" w:rsidR="00B57963" w:rsidRPr="00A07F29" w:rsidRDefault="00FF7CB7" w:rsidP="00B57963">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Nav precīzi nosakāms. Ikgadējie izdevumi izvietot un uzturēt – vairāki tūkstoši EUR visā AAA</w:t>
            </w:r>
          </w:p>
        </w:tc>
        <w:tc>
          <w:tcPr>
            <w:tcW w:w="1984" w:type="dxa"/>
            <w:shd w:val="clear" w:color="auto" w:fill="FFFFFF" w:themeFill="background1"/>
          </w:tcPr>
          <w:p w14:paraId="1EF7A108" w14:textId="73924BAF" w:rsidR="00B57963" w:rsidRPr="00A07F29" w:rsidRDefault="00CE1A0B" w:rsidP="00B57963">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Pašvaldību budžets, projektu finansējums</w:t>
            </w:r>
            <w:r w:rsidR="001234BC" w:rsidRPr="00A07F29">
              <w:rPr>
                <w:rFonts w:ascii="Times New Roman" w:eastAsia="Calibri" w:hAnsi="Times New Roman" w:cs="Times New Roman"/>
                <w:sz w:val="20"/>
                <w:szCs w:val="20"/>
              </w:rPr>
              <w:t xml:space="preserve">, tūrisma objektu </w:t>
            </w:r>
            <w:proofErr w:type="spellStart"/>
            <w:r w:rsidR="001234BC" w:rsidRPr="00A07F29">
              <w:rPr>
                <w:rFonts w:ascii="Times New Roman" w:eastAsia="Calibri" w:hAnsi="Times New Roman" w:cs="Times New Roman"/>
                <w:sz w:val="20"/>
                <w:szCs w:val="20"/>
              </w:rPr>
              <w:t>apsaimniekotāju</w:t>
            </w:r>
            <w:proofErr w:type="spellEnd"/>
            <w:r w:rsidR="001234BC" w:rsidRPr="00A07F29">
              <w:rPr>
                <w:rFonts w:ascii="Times New Roman" w:eastAsia="Calibri" w:hAnsi="Times New Roman" w:cs="Times New Roman"/>
                <w:sz w:val="20"/>
                <w:szCs w:val="20"/>
              </w:rPr>
              <w:t xml:space="preserve"> līdzekļi</w:t>
            </w:r>
          </w:p>
        </w:tc>
        <w:tc>
          <w:tcPr>
            <w:tcW w:w="3686" w:type="dxa"/>
            <w:shd w:val="clear" w:color="auto" w:fill="FFFFFF" w:themeFill="background1"/>
          </w:tcPr>
          <w:p w14:paraId="29EA9E93" w14:textId="61734A56" w:rsidR="00B57963" w:rsidRPr="00A07F29" w:rsidRDefault="00B57963" w:rsidP="00315E9F">
            <w:pPr>
              <w:spacing w:after="0" w:line="240" w:lineRule="auto"/>
              <w:ind w:left="34"/>
              <w:rPr>
                <w:rFonts w:ascii="Times New Roman" w:eastAsia="Calibri" w:hAnsi="Times New Roman" w:cs="Times New Roman"/>
                <w:bCs/>
                <w:sz w:val="20"/>
                <w:szCs w:val="20"/>
              </w:rPr>
            </w:pPr>
            <w:r w:rsidRPr="00A07F29">
              <w:rPr>
                <w:rFonts w:ascii="Times New Roman" w:eastAsia="Calibri" w:hAnsi="Times New Roman" w:cs="Times New Roman"/>
                <w:sz w:val="20"/>
                <w:szCs w:val="20"/>
              </w:rPr>
              <w:t>Izvietotas norādes</w:t>
            </w:r>
          </w:p>
        </w:tc>
      </w:tr>
      <w:tr w:rsidR="00B57963" w:rsidRPr="00A07F29" w14:paraId="6B97F815" w14:textId="28D244D8" w:rsidTr="4284A616">
        <w:trPr>
          <w:jc w:val="center"/>
        </w:trPr>
        <w:tc>
          <w:tcPr>
            <w:tcW w:w="846" w:type="dxa"/>
            <w:shd w:val="clear" w:color="auto" w:fill="FFFFFF" w:themeFill="background1"/>
          </w:tcPr>
          <w:p w14:paraId="0E4DA87E" w14:textId="1876446C" w:rsidR="00B57963" w:rsidRPr="00A07F29" w:rsidRDefault="00B57963" w:rsidP="00B57963">
            <w:pPr>
              <w:spacing w:after="0" w:line="240" w:lineRule="auto"/>
              <w:jc w:val="center"/>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C.1.</w:t>
            </w:r>
          </w:p>
        </w:tc>
        <w:tc>
          <w:tcPr>
            <w:tcW w:w="3402" w:type="dxa"/>
            <w:shd w:val="clear" w:color="auto" w:fill="FFFFFF" w:themeFill="background1"/>
            <w:hideMark/>
          </w:tcPr>
          <w:p w14:paraId="5DE4C6D3" w14:textId="409C4AF1" w:rsidR="00B57963" w:rsidRPr="00A07F29" w:rsidRDefault="00B57963" w:rsidP="00315E9F">
            <w:pPr>
              <w:spacing w:after="0" w:line="240" w:lineRule="auto"/>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C.1.6.</w:t>
            </w:r>
            <w:r w:rsidR="00F32712">
              <w:rPr>
                <w:rFonts w:ascii="Times New Roman" w:eastAsia="Calibri" w:hAnsi="Times New Roman" w:cs="Times New Roman"/>
                <w:bCs/>
                <w:sz w:val="20"/>
                <w:szCs w:val="20"/>
              </w:rPr>
              <w:t> </w:t>
            </w:r>
            <w:proofErr w:type="spellStart"/>
            <w:r w:rsidRPr="00A07F29">
              <w:rPr>
                <w:rFonts w:ascii="Times New Roman" w:eastAsia="Calibri" w:hAnsi="Times New Roman" w:cs="Times New Roman"/>
                <w:bCs/>
                <w:sz w:val="20"/>
                <w:szCs w:val="20"/>
              </w:rPr>
              <w:t>Sarkanvēdera</w:t>
            </w:r>
            <w:proofErr w:type="spellEnd"/>
            <w:r w:rsidRPr="00A07F29">
              <w:rPr>
                <w:rFonts w:ascii="Times New Roman" w:eastAsia="Calibri" w:hAnsi="Times New Roman" w:cs="Times New Roman"/>
                <w:bCs/>
                <w:sz w:val="20"/>
                <w:szCs w:val="20"/>
              </w:rPr>
              <w:t xml:space="preserve"> </w:t>
            </w:r>
            <w:proofErr w:type="spellStart"/>
            <w:r w:rsidRPr="00A07F29">
              <w:rPr>
                <w:rFonts w:ascii="Times New Roman" w:eastAsia="Calibri" w:hAnsi="Times New Roman" w:cs="Times New Roman"/>
                <w:bCs/>
                <w:sz w:val="20"/>
                <w:szCs w:val="20"/>
              </w:rPr>
              <w:t>ugunskrupja</w:t>
            </w:r>
            <w:proofErr w:type="spellEnd"/>
            <w:r w:rsidRPr="00A07F29">
              <w:rPr>
                <w:rFonts w:ascii="Times New Roman" w:eastAsia="Calibri" w:hAnsi="Times New Roman" w:cs="Times New Roman"/>
                <w:bCs/>
                <w:sz w:val="20"/>
                <w:szCs w:val="20"/>
              </w:rPr>
              <w:t xml:space="preserve"> informatīvie stendi</w:t>
            </w:r>
          </w:p>
        </w:tc>
        <w:tc>
          <w:tcPr>
            <w:tcW w:w="1701" w:type="dxa"/>
            <w:shd w:val="clear" w:color="auto" w:fill="FFFFFF" w:themeFill="background1"/>
          </w:tcPr>
          <w:p w14:paraId="2D8DAB73" w14:textId="77777777" w:rsidR="00EF10FF" w:rsidRPr="00A07F29" w:rsidRDefault="00B57963" w:rsidP="00B57963">
            <w:pPr>
              <w:spacing w:after="0" w:line="240" w:lineRule="auto"/>
              <w:jc w:val="center"/>
              <w:rPr>
                <w:rFonts w:ascii="Times New Roman" w:eastAsia="Calibri" w:hAnsi="Times New Roman" w:cs="Times New Roman"/>
                <w:bCs/>
                <w:sz w:val="20"/>
                <w:szCs w:val="20"/>
              </w:rPr>
            </w:pPr>
            <w:r w:rsidRPr="00A07F29">
              <w:rPr>
                <w:rFonts w:ascii="Times New Roman" w:eastAsia="Calibri" w:hAnsi="Times New Roman" w:cs="Times New Roman"/>
                <w:sz w:val="20"/>
                <w:szCs w:val="20"/>
              </w:rPr>
              <w:t>II,</w:t>
            </w:r>
          </w:p>
          <w:p w14:paraId="0C4CD9E5" w14:textId="271DE627" w:rsidR="00B57963" w:rsidRPr="00A07F29" w:rsidRDefault="00B57963" w:rsidP="00B57963">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bCs/>
                <w:sz w:val="20"/>
                <w:szCs w:val="20"/>
              </w:rPr>
              <w:t>vienreizējs pasākums</w:t>
            </w:r>
          </w:p>
          <w:p w14:paraId="70D5B40D" w14:textId="2AC61629" w:rsidR="00B57963" w:rsidRPr="00A07F29" w:rsidRDefault="00B57963" w:rsidP="00B57963">
            <w:pPr>
              <w:spacing w:after="0" w:line="240" w:lineRule="auto"/>
              <w:jc w:val="center"/>
              <w:rPr>
                <w:rFonts w:ascii="Times New Roman" w:eastAsia="Calibri" w:hAnsi="Times New Roman" w:cs="Times New Roman"/>
                <w:sz w:val="20"/>
                <w:szCs w:val="20"/>
              </w:rPr>
            </w:pPr>
          </w:p>
        </w:tc>
        <w:tc>
          <w:tcPr>
            <w:tcW w:w="1984" w:type="dxa"/>
            <w:shd w:val="clear" w:color="auto" w:fill="FFFFFF" w:themeFill="background1"/>
          </w:tcPr>
          <w:p w14:paraId="7C780DCF" w14:textId="30520686" w:rsidR="00B57963" w:rsidRPr="00A07F29" w:rsidRDefault="001234BC" w:rsidP="00B57963">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 xml:space="preserve">Latgales </w:t>
            </w:r>
            <w:proofErr w:type="spellStart"/>
            <w:r w:rsidRPr="00A07F29">
              <w:rPr>
                <w:rFonts w:ascii="Times New Roman" w:eastAsia="Calibri" w:hAnsi="Times New Roman" w:cs="Times New Roman"/>
                <w:sz w:val="20"/>
                <w:szCs w:val="20"/>
              </w:rPr>
              <w:t>zoo</w:t>
            </w:r>
            <w:proofErr w:type="spellEnd"/>
            <w:r w:rsidRPr="00A07F29">
              <w:rPr>
                <w:rFonts w:ascii="Times New Roman" w:eastAsia="Calibri" w:hAnsi="Times New Roman" w:cs="Times New Roman"/>
                <w:sz w:val="20"/>
                <w:szCs w:val="20"/>
              </w:rPr>
              <w:t xml:space="preserve">, </w:t>
            </w:r>
            <w:r w:rsidR="00B57963" w:rsidRPr="00A07F29">
              <w:rPr>
                <w:rFonts w:ascii="Times New Roman" w:eastAsia="Calibri" w:hAnsi="Times New Roman" w:cs="Times New Roman"/>
                <w:sz w:val="20"/>
                <w:szCs w:val="20"/>
              </w:rPr>
              <w:t>NVO</w:t>
            </w:r>
            <w:r w:rsidRPr="00A07F29">
              <w:rPr>
                <w:rFonts w:ascii="Times New Roman" w:eastAsia="Calibri" w:hAnsi="Times New Roman" w:cs="Times New Roman"/>
                <w:sz w:val="20"/>
                <w:szCs w:val="20"/>
              </w:rPr>
              <w:t>, DAP</w:t>
            </w:r>
          </w:p>
        </w:tc>
        <w:tc>
          <w:tcPr>
            <w:tcW w:w="1560" w:type="dxa"/>
            <w:shd w:val="clear" w:color="auto" w:fill="FFFFFF" w:themeFill="background1"/>
          </w:tcPr>
          <w:p w14:paraId="7BDDB7C7" w14:textId="1D8ACB25" w:rsidR="00B57963" w:rsidRPr="00A07F29" w:rsidRDefault="00FF7CB7" w:rsidP="00B57963">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Viens stends – sākot no 500</w:t>
            </w:r>
            <w:r w:rsidR="00F32712">
              <w:rPr>
                <w:rFonts w:ascii="Times New Roman" w:eastAsia="Calibri" w:hAnsi="Times New Roman" w:cs="Times New Roman"/>
                <w:sz w:val="20"/>
                <w:szCs w:val="20"/>
              </w:rPr>
              <w:t> </w:t>
            </w:r>
            <w:r w:rsidRPr="00A07F29">
              <w:rPr>
                <w:rFonts w:ascii="Times New Roman" w:eastAsia="Calibri" w:hAnsi="Times New Roman" w:cs="Times New Roman"/>
                <w:sz w:val="20"/>
                <w:szCs w:val="20"/>
              </w:rPr>
              <w:t>EUR</w:t>
            </w:r>
          </w:p>
        </w:tc>
        <w:tc>
          <w:tcPr>
            <w:tcW w:w="1984" w:type="dxa"/>
            <w:shd w:val="clear" w:color="auto" w:fill="FFFFFF" w:themeFill="background1"/>
          </w:tcPr>
          <w:p w14:paraId="4384B685" w14:textId="70CFCFEE" w:rsidR="00B57963" w:rsidRPr="00A07F29" w:rsidRDefault="00CE1A0B" w:rsidP="00B57963">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Projektu finansējums</w:t>
            </w:r>
          </w:p>
        </w:tc>
        <w:tc>
          <w:tcPr>
            <w:tcW w:w="3686" w:type="dxa"/>
            <w:shd w:val="clear" w:color="auto" w:fill="FFFFFF" w:themeFill="background1"/>
          </w:tcPr>
          <w:p w14:paraId="25A7EB56" w14:textId="1CE976F1" w:rsidR="00B57963" w:rsidRPr="00A07F29" w:rsidRDefault="00B57963" w:rsidP="00315E9F">
            <w:pPr>
              <w:spacing w:after="0" w:line="240" w:lineRule="auto"/>
              <w:ind w:left="34"/>
              <w:rPr>
                <w:rFonts w:ascii="Times New Roman" w:eastAsia="Calibri" w:hAnsi="Times New Roman" w:cs="Times New Roman"/>
                <w:bCs/>
                <w:sz w:val="20"/>
                <w:szCs w:val="20"/>
              </w:rPr>
            </w:pPr>
            <w:r w:rsidRPr="00A07F29">
              <w:rPr>
                <w:rFonts w:ascii="Times New Roman" w:eastAsia="Calibri" w:hAnsi="Times New Roman" w:cs="Times New Roman"/>
                <w:sz w:val="20"/>
                <w:szCs w:val="20"/>
              </w:rPr>
              <w:t>Izvietoti stendi</w:t>
            </w:r>
          </w:p>
        </w:tc>
      </w:tr>
      <w:tr w:rsidR="00B57963" w:rsidRPr="00A07F29" w14:paraId="0F12E672" w14:textId="114F7E83" w:rsidTr="4284A616">
        <w:trPr>
          <w:jc w:val="center"/>
        </w:trPr>
        <w:tc>
          <w:tcPr>
            <w:tcW w:w="846" w:type="dxa"/>
            <w:shd w:val="clear" w:color="auto" w:fill="FFFFFF" w:themeFill="background1"/>
          </w:tcPr>
          <w:p w14:paraId="798315F0" w14:textId="02E4EBE4" w:rsidR="00B57963" w:rsidRPr="00A07F29" w:rsidRDefault="00B57963" w:rsidP="00B57963">
            <w:pPr>
              <w:spacing w:after="0" w:line="240" w:lineRule="auto"/>
              <w:jc w:val="center"/>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C.2.</w:t>
            </w:r>
          </w:p>
        </w:tc>
        <w:tc>
          <w:tcPr>
            <w:tcW w:w="3402" w:type="dxa"/>
            <w:shd w:val="clear" w:color="auto" w:fill="FFFFFF" w:themeFill="background1"/>
          </w:tcPr>
          <w:p w14:paraId="4DCB560F" w14:textId="485DC9B1" w:rsidR="00B57963" w:rsidRPr="00A07F29" w:rsidRDefault="00B57963" w:rsidP="00315E9F">
            <w:pPr>
              <w:spacing w:after="0" w:line="240" w:lineRule="auto"/>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C.2.1.</w:t>
            </w:r>
            <w:r w:rsidR="00F32712">
              <w:rPr>
                <w:rFonts w:ascii="Times New Roman" w:eastAsia="Calibri" w:hAnsi="Times New Roman" w:cs="Times New Roman"/>
                <w:bCs/>
                <w:sz w:val="20"/>
                <w:szCs w:val="20"/>
              </w:rPr>
              <w:t> </w:t>
            </w:r>
            <w:r w:rsidRPr="00A07F29">
              <w:rPr>
                <w:rFonts w:ascii="Times New Roman" w:eastAsia="Calibri" w:hAnsi="Times New Roman" w:cs="Times New Roman"/>
                <w:bCs/>
                <w:sz w:val="20"/>
                <w:szCs w:val="20"/>
              </w:rPr>
              <w:t>AAA “Augšdaugava” tūrisma ceļveža sagatavošana</w:t>
            </w:r>
          </w:p>
        </w:tc>
        <w:tc>
          <w:tcPr>
            <w:tcW w:w="1701" w:type="dxa"/>
            <w:shd w:val="clear" w:color="auto" w:fill="FFFFFF" w:themeFill="background1"/>
          </w:tcPr>
          <w:p w14:paraId="6A22B783" w14:textId="77777777" w:rsidR="00B57963" w:rsidRPr="00A07F29" w:rsidRDefault="00B57963" w:rsidP="00B57963">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II,</w:t>
            </w:r>
          </w:p>
          <w:p w14:paraId="0ABEFFF0" w14:textId="62171691" w:rsidR="00B57963" w:rsidRPr="00A07F29" w:rsidRDefault="00B57963" w:rsidP="00B57963">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bCs/>
                <w:sz w:val="20"/>
                <w:szCs w:val="20"/>
              </w:rPr>
              <w:t>vienreizējs pasākums</w:t>
            </w:r>
          </w:p>
        </w:tc>
        <w:tc>
          <w:tcPr>
            <w:tcW w:w="1984" w:type="dxa"/>
            <w:shd w:val="clear" w:color="auto" w:fill="FFFFFF" w:themeFill="background1"/>
          </w:tcPr>
          <w:p w14:paraId="04EB4552" w14:textId="7B596671" w:rsidR="00B57963" w:rsidRPr="00A07F29" w:rsidRDefault="00B57963" w:rsidP="005512F6">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TIC</w:t>
            </w:r>
            <w:r w:rsidR="005512F6" w:rsidRPr="00A07F29">
              <w:rPr>
                <w:rFonts w:ascii="Times New Roman" w:eastAsia="Calibri" w:hAnsi="Times New Roman" w:cs="Times New Roman"/>
                <w:sz w:val="20"/>
                <w:szCs w:val="20"/>
              </w:rPr>
              <w:t>, NVO, tūrisma uzņēmumi, pašvaldības</w:t>
            </w:r>
          </w:p>
        </w:tc>
        <w:tc>
          <w:tcPr>
            <w:tcW w:w="1560" w:type="dxa"/>
            <w:shd w:val="clear" w:color="auto" w:fill="FFFFFF" w:themeFill="background1"/>
          </w:tcPr>
          <w:p w14:paraId="76AA4A42" w14:textId="5F6AFC87" w:rsidR="00B57963" w:rsidRPr="00A07F29" w:rsidRDefault="00FF7CB7" w:rsidP="00B57963">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Nav nosakāms</w:t>
            </w:r>
          </w:p>
        </w:tc>
        <w:tc>
          <w:tcPr>
            <w:tcW w:w="1984" w:type="dxa"/>
            <w:shd w:val="clear" w:color="auto" w:fill="FFFFFF" w:themeFill="background1"/>
          </w:tcPr>
          <w:p w14:paraId="45472550" w14:textId="2AE8B6AD" w:rsidR="00B57963" w:rsidRPr="00A07F29" w:rsidRDefault="00CE1A0B" w:rsidP="00B57963">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Projektu finansējums</w:t>
            </w:r>
          </w:p>
        </w:tc>
        <w:tc>
          <w:tcPr>
            <w:tcW w:w="3686" w:type="dxa"/>
            <w:shd w:val="clear" w:color="auto" w:fill="FFFFFF" w:themeFill="background1"/>
          </w:tcPr>
          <w:p w14:paraId="31B51466" w14:textId="31167304" w:rsidR="00B57963" w:rsidRPr="00A07F29" w:rsidRDefault="00B57963" w:rsidP="00315E9F">
            <w:pPr>
              <w:spacing w:after="0" w:line="240" w:lineRule="auto"/>
              <w:ind w:left="34"/>
              <w:rPr>
                <w:rFonts w:ascii="Times New Roman" w:eastAsia="Calibri" w:hAnsi="Times New Roman" w:cs="Times New Roman"/>
                <w:bCs/>
                <w:sz w:val="20"/>
                <w:szCs w:val="20"/>
              </w:rPr>
            </w:pPr>
            <w:r w:rsidRPr="00A07F29">
              <w:rPr>
                <w:rFonts w:ascii="Times New Roman" w:eastAsia="Calibri" w:hAnsi="Times New Roman" w:cs="Times New Roman"/>
                <w:sz w:val="20"/>
                <w:szCs w:val="20"/>
              </w:rPr>
              <w:t>Sagatavots un izdots ceļvedis</w:t>
            </w:r>
          </w:p>
        </w:tc>
      </w:tr>
      <w:tr w:rsidR="00B57963" w:rsidRPr="00A07F29" w14:paraId="7E00AC6B" w14:textId="0ADC585C" w:rsidTr="4284A616">
        <w:trPr>
          <w:jc w:val="center"/>
        </w:trPr>
        <w:tc>
          <w:tcPr>
            <w:tcW w:w="846" w:type="dxa"/>
            <w:shd w:val="clear" w:color="auto" w:fill="FFFFFF" w:themeFill="background1"/>
          </w:tcPr>
          <w:p w14:paraId="1B3557E8" w14:textId="233A4459" w:rsidR="00B57963" w:rsidRPr="00A07F29" w:rsidRDefault="00B57963" w:rsidP="00B57963">
            <w:pPr>
              <w:spacing w:after="0" w:line="240" w:lineRule="auto"/>
              <w:jc w:val="center"/>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lastRenderedPageBreak/>
              <w:t>C.2.</w:t>
            </w:r>
          </w:p>
        </w:tc>
        <w:tc>
          <w:tcPr>
            <w:tcW w:w="3402" w:type="dxa"/>
            <w:shd w:val="clear" w:color="auto" w:fill="FFFFFF" w:themeFill="background1"/>
          </w:tcPr>
          <w:p w14:paraId="4525B189" w14:textId="7090BE4A" w:rsidR="00B57963" w:rsidRPr="00A07F29" w:rsidRDefault="00B57963" w:rsidP="00A0103C">
            <w:pPr>
              <w:spacing w:after="0" w:line="240" w:lineRule="auto"/>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C.2.2.</w:t>
            </w:r>
            <w:r w:rsidR="0075088A">
              <w:rPr>
                <w:rFonts w:ascii="Times New Roman" w:eastAsia="Calibri" w:hAnsi="Times New Roman" w:cs="Times New Roman"/>
                <w:bCs/>
                <w:sz w:val="20"/>
                <w:szCs w:val="20"/>
              </w:rPr>
              <w:t> </w:t>
            </w:r>
            <w:r w:rsidRPr="00A07F29">
              <w:rPr>
                <w:rFonts w:ascii="Times New Roman" w:eastAsia="Calibri" w:hAnsi="Times New Roman" w:cs="Times New Roman"/>
                <w:bCs/>
                <w:sz w:val="20"/>
                <w:szCs w:val="20"/>
              </w:rPr>
              <w:t>Tematisko maršrutu karšu sagatavo</w:t>
            </w:r>
            <w:r w:rsidR="00A0103C" w:rsidRPr="00A07F29">
              <w:rPr>
                <w:rFonts w:ascii="Times New Roman" w:eastAsia="Calibri" w:hAnsi="Times New Roman" w:cs="Times New Roman"/>
                <w:bCs/>
                <w:sz w:val="20"/>
                <w:szCs w:val="20"/>
              </w:rPr>
              <w:t>š</w:t>
            </w:r>
            <w:r w:rsidRPr="00A07F29">
              <w:rPr>
                <w:rFonts w:ascii="Times New Roman" w:eastAsia="Calibri" w:hAnsi="Times New Roman" w:cs="Times New Roman"/>
                <w:bCs/>
                <w:sz w:val="20"/>
                <w:szCs w:val="20"/>
              </w:rPr>
              <w:t>ana</w:t>
            </w:r>
          </w:p>
        </w:tc>
        <w:tc>
          <w:tcPr>
            <w:tcW w:w="1701" w:type="dxa"/>
            <w:shd w:val="clear" w:color="auto" w:fill="FFFFFF" w:themeFill="background1"/>
          </w:tcPr>
          <w:p w14:paraId="1267A26E" w14:textId="77777777" w:rsidR="00B57963" w:rsidRPr="00A07F29" w:rsidRDefault="00B57963" w:rsidP="00B57963">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II,</w:t>
            </w:r>
          </w:p>
          <w:p w14:paraId="1800A792" w14:textId="5C0D3288" w:rsidR="00B57963" w:rsidRPr="00A07F29" w:rsidRDefault="00B57963" w:rsidP="00B57963">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bCs/>
                <w:sz w:val="20"/>
                <w:szCs w:val="20"/>
              </w:rPr>
              <w:t>vienreizējs pasākums</w:t>
            </w:r>
          </w:p>
        </w:tc>
        <w:tc>
          <w:tcPr>
            <w:tcW w:w="1984" w:type="dxa"/>
            <w:shd w:val="clear" w:color="auto" w:fill="FFFFFF" w:themeFill="background1"/>
          </w:tcPr>
          <w:p w14:paraId="3529186F" w14:textId="31F6EB47" w:rsidR="00B57963" w:rsidRPr="00A07F29" w:rsidRDefault="00B57963" w:rsidP="00B57963">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TIC</w:t>
            </w:r>
            <w:r w:rsidR="005512F6" w:rsidRPr="00A07F29">
              <w:rPr>
                <w:rFonts w:ascii="Times New Roman" w:eastAsia="Calibri" w:hAnsi="Times New Roman" w:cs="Times New Roman"/>
                <w:sz w:val="20"/>
                <w:szCs w:val="20"/>
              </w:rPr>
              <w:t xml:space="preserve">, NVO, tūrisma uzņēmumi, </w:t>
            </w:r>
            <w:proofErr w:type="spellStart"/>
            <w:r w:rsidR="005512F6" w:rsidRPr="00A07F29">
              <w:rPr>
                <w:rFonts w:ascii="Times New Roman" w:eastAsia="Calibri" w:hAnsi="Times New Roman" w:cs="Times New Roman"/>
                <w:sz w:val="20"/>
                <w:szCs w:val="20"/>
              </w:rPr>
              <w:t>pašvalības</w:t>
            </w:r>
            <w:proofErr w:type="spellEnd"/>
          </w:p>
        </w:tc>
        <w:tc>
          <w:tcPr>
            <w:tcW w:w="1560" w:type="dxa"/>
            <w:shd w:val="clear" w:color="auto" w:fill="FFFFFF" w:themeFill="background1"/>
          </w:tcPr>
          <w:p w14:paraId="7222896C" w14:textId="72B8C5FC" w:rsidR="00B57963" w:rsidRPr="00A07F29" w:rsidRDefault="00FF7CB7" w:rsidP="00B57963">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Nav nosakāms</w:t>
            </w:r>
          </w:p>
        </w:tc>
        <w:tc>
          <w:tcPr>
            <w:tcW w:w="1984" w:type="dxa"/>
            <w:shd w:val="clear" w:color="auto" w:fill="FFFFFF" w:themeFill="background1"/>
          </w:tcPr>
          <w:p w14:paraId="28BBDF60" w14:textId="61120D2F" w:rsidR="00B57963" w:rsidRPr="00A07F29" w:rsidRDefault="00CE1A0B" w:rsidP="00B57963">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Projektu finansējums</w:t>
            </w:r>
          </w:p>
        </w:tc>
        <w:tc>
          <w:tcPr>
            <w:tcW w:w="3686" w:type="dxa"/>
            <w:shd w:val="clear" w:color="auto" w:fill="FFFFFF" w:themeFill="background1"/>
          </w:tcPr>
          <w:p w14:paraId="423689F4" w14:textId="036E060A" w:rsidR="00B57963" w:rsidRPr="00A07F29" w:rsidRDefault="00B57963" w:rsidP="00315E9F">
            <w:pPr>
              <w:spacing w:after="0" w:line="240" w:lineRule="auto"/>
              <w:ind w:left="34"/>
              <w:rPr>
                <w:rFonts w:ascii="Times New Roman" w:eastAsia="Calibri" w:hAnsi="Times New Roman" w:cs="Times New Roman"/>
                <w:bCs/>
                <w:sz w:val="20"/>
                <w:szCs w:val="20"/>
              </w:rPr>
            </w:pPr>
            <w:r w:rsidRPr="00A07F29">
              <w:rPr>
                <w:rFonts w:ascii="Times New Roman" w:eastAsia="Calibri" w:hAnsi="Times New Roman" w:cs="Times New Roman"/>
                <w:sz w:val="20"/>
                <w:szCs w:val="20"/>
              </w:rPr>
              <w:t xml:space="preserve">Sagatavotas un </w:t>
            </w:r>
            <w:r w:rsidR="0075088A">
              <w:rPr>
                <w:rFonts w:ascii="Times New Roman" w:eastAsia="Calibri" w:hAnsi="Times New Roman" w:cs="Times New Roman"/>
                <w:sz w:val="20"/>
                <w:szCs w:val="20"/>
              </w:rPr>
              <w:t>i</w:t>
            </w:r>
            <w:r w:rsidRPr="00A07F29">
              <w:rPr>
                <w:rFonts w:ascii="Times New Roman" w:eastAsia="Calibri" w:hAnsi="Times New Roman" w:cs="Times New Roman"/>
                <w:sz w:val="20"/>
                <w:szCs w:val="20"/>
              </w:rPr>
              <w:t>zdotas kartes</w:t>
            </w:r>
          </w:p>
        </w:tc>
      </w:tr>
      <w:tr w:rsidR="00B57963" w:rsidRPr="00A07F29" w14:paraId="057C0D07" w14:textId="415728E3" w:rsidTr="4284A616">
        <w:trPr>
          <w:jc w:val="center"/>
        </w:trPr>
        <w:tc>
          <w:tcPr>
            <w:tcW w:w="846" w:type="dxa"/>
            <w:shd w:val="clear" w:color="auto" w:fill="FFFFFF" w:themeFill="background1"/>
          </w:tcPr>
          <w:p w14:paraId="2FC97BA8" w14:textId="0D5CDEDB" w:rsidR="00B57963" w:rsidRPr="00A07F29" w:rsidRDefault="00B57963" w:rsidP="00B57963">
            <w:pPr>
              <w:spacing w:after="0" w:line="240" w:lineRule="auto"/>
              <w:jc w:val="center"/>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C.2.</w:t>
            </w:r>
          </w:p>
        </w:tc>
        <w:tc>
          <w:tcPr>
            <w:tcW w:w="3402" w:type="dxa"/>
            <w:shd w:val="clear" w:color="auto" w:fill="FFFFFF" w:themeFill="background1"/>
          </w:tcPr>
          <w:p w14:paraId="0F05D139" w14:textId="719375B8" w:rsidR="00B57963" w:rsidRPr="00A07F29" w:rsidRDefault="00B57963" w:rsidP="00315E9F">
            <w:pPr>
              <w:spacing w:after="0" w:line="240" w:lineRule="auto"/>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C.2.3.</w:t>
            </w:r>
            <w:r w:rsidR="0075088A">
              <w:rPr>
                <w:rFonts w:ascii="Times New Roman" w:eastAsia="Calibri" w:hAnsi="Times New Roman" w:cs="Times New Roman"/>
                <w:bCs/>
                <w:sz w:val="20"/>
                <w:szCs w:val="20"/>
              </w:rPr>
              <w:t> </w:t>
            </w:r>
            <w:r w:rsidRPr="00A07F29">
              <w:rPr>
                <w:rFonts w:ascii="Times New Roman" w:eastAsia="Calibri" w:hAnsi="Times New Roman" w:cs="Times New Roman"/>
                <w:bCs/>
                <w:sz w:val="20"/>
                <w:szCs w:val="20"/>
              </w:rPr>
              <w:t>Dabas objektu ceļveža sagatavošana</w:t>
            </w:r>
          </w:p>
        </w:tc>
        <w:tc>
          <w:tcPr>
            <w:tcW w:w="1701" w:type="dxa"/>
            <w:shd w:val="clear" w:color="auto" w:fill="FFFFFF" w:themeFill="background1"/>
          </w:tcPr>
          <w:p w14:paraId="102BDB1F" w14:textId="77777777" w:rsidR="00B57963" w:rsidRPr="00A07F29" w:rsidRDefault="00B57963" w:rsidP="00B57963">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II,</w:t>
            </w:r>
          </w:p>
          <w:p w14:paraId="2247546F" w14:textId="2B08DB1D" w:rsidR="00B57963" w:rsidRPr="00A07F29" w:rsidRDefault="00B57963" w:rsidP="00B57963">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bCs/>
                <w:sz w:val="20"/>
                <w:szCs w:val="20"/>
              </w:rPr>
              <w:t>vienreizējs pasākums</w:t>
            </w:r>
          </w:p>
        </w:tc>
        <w:tc>
          <w:tcPr>
            <w:tcW w:w="1984" w:type="dxa"/>
            <w:shd w:val="clear" w:color="auto" w:fill="FFFFFF" w:themeFill="background1"/>
          </w:tcPr>
          <w:p w14:paraId="4E0B0503" w14:textId="2853F51E" w:rsidR="00B57963" w:rsidRPr="00A07F29" w:rsidRDefault="00B57963" w:rsidP="005512F6">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TIC</w:t>
            </w:r>
            <w:r w:rsidR="005512F6" w:rsidRPr="00A07F29">
              <w:rPr>
                <w:rFonts w:ascii="Times New Roman" w:eastAsia="Calibri" w:hAnsi="Times New Roman" w:cs="Times New Roman"/>
                <w:sz w:val="20"/>
                <w:szCs w:val="20"/>
              </w:rPr>
              <w:t>, NVO, pašvaldības</w:t>
            </w:r>
          </w:p>
        </w:tc>
        <w:tc>
          <w:tcPr>
            <w:tcW w:w="1560" w:type="dxa"/>
            <w:shd w:val="clear" w:color="auto" w:fill="FFFFFF" w:themeFill="background1"/>
          </w:tcPr>
          <w:p w14:paraId="1DFCB28A" w14:textId="68A339BC" w:rsidR="00B57963" w:rsidRPr="00A07F29" w:rsidRDefault="00FF7CB7" w:rsidP="00B57963">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Nav nosakāms</w:t>
            </w:r>
          </w:p>
        </w:tc>
        <w:tc>
          <w:tcPr>
            <w:tcW w:w="1984" w:type="dxa"/>
            <w:shd w:val="clear" w:color="auto" w:fill="FFFFFF" w:themeFill="background1"/>
          </w:tcPr>
          <w:p w14:paraId="0EE3839D" w14:textId="76E0017F" w:rsidR="00B57963" w:rsidRPr="00A07F29" w:rsidRDefault="00CE1A0B" w:rsidP="00B57963">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Projektu finansējums</w:t>
            </w:r>
          </w:p>
        </w:tc>
        <w:tc>
          <w:tcPr>
            <w:tcW w:w="3686" w:type="dxa"/>
            <w:shd w:val="clear" w:color="auto" w:fill="FFFFFF" w:themeFill="background1"/>
          </w:tcPr>
          <w:p w14:paraId="47C85EBC" w14:textId="4A753E4A" w:rsidR="00B57963" w:rsidRPr="00A07F29" w:rsidRDefault="00B57963" w:rsidP="00315E9F">
            <w:pPr>
              <w:spacing w:after="0" w:line="240" w:lineRule="auto"/>
              <w:ind w:left="34"/>
              <w:rPr>
                <w:rFonts w:ascii="Times New Roman" w:eastAsia="Calibri" w:hAnsi="Times New Roman" w:cs="Times New Roman"/>
                <w:bCs/>
                <w:sz w:val="20"/>
                <w:szCs w:val="20"/>
              </w:rPr>
            </w:pPr>
            <w:r w:rsidRPr="00A07F29">
              <w:rPr>
                <w:rFonts w:ascii="Times New Roman" w:eastAsia="Calibri" w:hAnsi="Times New Roman" w:cs="Times New Roman"/>
                <w:sz w:val="20"/>
                <w:szCs w:val="20"/>
              </w:rPr>
              <w:t>Izdots ceļvedis</w:t>
            </w:r>
          </w:p>
        </w:tc>
      </w:tr>
      <w:tr w:rsidR="00B57963" w:rsidRPr="00A07F29" w14:paraId="32B71803" w14:textId="6CE73D11" w:rsidTr="4284A616">
        <w:trPr>
          <w:jc w:val="center"/>
        </w:trPr>
        <w:tc>
          <w:tcPr>
            <w:tcW w:w="846" w:type="dxa"/>
            <w:shd w:val="clear" w:color="auto" w:fill="FFFFFF" w:themeFill="background1"/>
          </w:tcPr>
          <w:p w14:paraId="24BDF663" w14:textId="3EDE3DD7" w:rsidR="00B57963" w:rsidRPr="00A07F29" w:rsidRDefault="00B57963" w:rsidP="00B57963">
            <w:pPr>
              <w:spacing w:after="0" w:line="240" w:lineRule="auto"/>
              <w:jc w:val="center"/>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C.2.</w:t>
            </w:r>
          </w:p>
        </w:tc>
        <w:tc>
          <w:tcPr>
            <w:tcW w:w="3402" w:type="dxa"/>
            <w:shd w:val="clear" w:color="auto" w:fill="FFFFFF" w:themeFill="background1"/>
          </w:tcPr>
          <w:p w14:paraId="030C877C" w14:textId="2E4E0E4E" w:rsidR="00B57963" w:rsidRPr="00A07F29" w:rsidRDefault="00B57963" w:rsidP="00315E9F">
            <w:pPr>
              <w:spacing w:after="0" w:line="240" w:lineRule="auto"/>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C.2.4.</w:t>
            </w:r>
            <w:r w:rsidR="000B583F">
              <w:rPr>
                <w:rFonts w:ascii="Times New Roman" w:eastAsia="Calibri" w:hAnsi="Times New Roman" w:cs="Times New Roman"/>
                <w:bCs/>
                <w:sz w:val="20"/>
                <w:szCs w:val="20"/>
              </w:rPr>
              <w:t> </w:t>
            </w:r>
            <w:r w:rsidRPr="00A07F29">
              <w:rPr>
                <w:rFonts w:ascii="Times New Roman" w:eastAsia="Calibri" w:hAnsi="Times New Roman" w:cs="Times New Roman"/>
                <w:bCs/>
                <w:sz w:val="20"/>
                <w:szCs w:val="20"/>
              </w:rPr>
              <w:t>AAA “Augšdaugava” tūrisma interneta vietnes sagatavošana</w:t>
            </w:r>
          </w:p>
        </w:tc>
        <w:tc>
          <w:tcPr>
            <w:tcW w:w="1701" w:type="dxa"/>
            <w:shd w:val="clear" w:color="auto" w:fill="FFFFFF" w:themeFill="background1"/>
          </w:tcPr>
          <w:p w14:paraId="1302907A" w14:textId="77777777" w:rsidR="00B57963" w:rsidRPr="00A07F29" w:rsidRDefault="00B57963" w:rsidP="00B57963">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II,</w:t>
            </w:r>
          </w:p>
          <w:p w14:paraId="76C917B2" w14:textId="4A573829" w:rsidR="00B57963" w:rsidRPr="00A07F29" w:rsidRDefault="00B57963" w:rsidP="00B57963">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bCs/>
                <w:sz w:val="20"/>
                <w:szCs w:val="20"/>
              </w:rPr>
              <w:t xml:space="preserve">vienreizējs pasākums, uzturēšana – </w:t>
            </w:r>
            <w:r w:rsidR="00EF10FF" w:rsidRPr="00A07F29">
              <w:rPr>
                <w:rFonts w:ascii="Times New Roman" w:eastAsia="Calibri" w:hAnsi="Times New Roman" w:cs="Times New Roman"/>
                <w:bCs/>
                <w:sz w:val="20"/>
                <w:szCs w:val="20"/>
              </w:rPr>
              <w:t>visu plāna periodu</w:t>
            </w:r>
          </w:p>
        </w:tc>
        <w:tc>
          <w:tcPr>
            <w:tcW w:w="1984" w:type="dxa"/>
            <w:shd w:val="clear" w:color="auto" w:fill="FFFFFF" w:themeFill="background1"/>
          </w:tcPr>
          <w:p w14:paraId="0C68A7DA" w14:textId="14961620" w:rsidR="00B57963" w:rsidRPr="00A07F29" w:rsidRDefault="00B57963" w:rsidP="005512F6">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TIC</w:t>
            </w:r>
            <w:r w:rsidR="005512F6" w:rsidRPr="00A07F29">
              <w:rPr>
                <w:rFonts w:ascii="Times New Roman" w:eastAsia="Calibri" w:hAnsi="Times New Roman" w:cs="Times New Roman"/>
                <w:sz w:val="20"/>
                <w:szCs w:val="20"/>
              </w:rPr>
              <w:t>, pašvaldības,</w:t>
            </w:r>
          </w:p>
        </w:tc>
        <w:tc>
          <w:tcPr>
            <w:tcW w:w="1560" w:type="dxa"/>
            <w:shd w:val="clear" w:color="auto" w:fill="FFFFFF" w:themeFill="background1"/>
          </w:tcPr>
          <w:p w14:paraId="5522BE55" w14:textId="4D6CE44D" w:rsidR="00FF7CB7" w:rsidRPr="00A07F29" w:rsidRDefault="00FF7CB7" w:rsidP="00FF7CB7">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Nav nosakāms</w:t>
            </w:r>
          </w:p>
        </w:tc>
        <w:tc>
          <w:tcPr>
            <w:tcW w:w="1984" w:type="dxa"/>
            <w:shd w:val="clear" w:color="auto" w:fill="FFFFFF" w:themeFill="background1"/>
          </w:tcPr>
          <w:p w14:paraId="3D697E53" w14:textId="4B272D40" w:rsidR="00B57963" w:rsidRPr="00A07F29" w:rsidRDefault="00CE1A0B" w:rsidP="00CE1A0B">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TIC budžets, projektu finansējums</w:t>
            </w:r>
          </w:p>
        </w:tc>
        <w:tc>
          <w:tcPr>
            <w:tcW w:w="3686" w:type="dxa"/>
            <w:shd w:val="clear" w:color="auto" w:fill="FFFFFF" w:themeFill="background1"/>
          </w:tcPr>
          <w:p w14:paraId="7E1EAF28" w14:textId="493CD2A2" w:rsidR="00B57963" w:rsidRPr="00A07F29" w:rsidRDefault="00B57963" w:rsidP="00315E9F">
            <w:pPr>
              <w:spacing w:after="0" w:line="240" w:lineRule="auto"/>
              <w:ind w:left="34"/>
              <w:rPr>
                <w:rFonts w:ascii="Times New Roman" w:eastAsia="Calibri" w:hAnsi="Times New Roman" w:cs="Times New Roman"/>
                <w:bCs/>
                <w:sz w:val="20"/>
                <w:szCs w:val="20"/>
              </w:rPr>
            </w:pPr>
            <w:r w:rsidRPr="00A07F29">
              <w:rPr>
                <w:rFonts w:ascii="Times New Roman" w:eastAsia="Calibri" w:hAnsi="Times New Roman" w:cs="Times New Roman"/>
                <w:sz w:val="20"/>
                <w:szCs w:val="20"/>
              </w:rPr>
              <w:t>Izveidota un uzturēta mājaslapa</w:t>
            </w:r>
          </w:p>
        </w:tc>
      </w:tr>
      <w:tr w:rsidR="007A479F" w:rsidRPr="00A07F29" w14:paraId="739F823D" w14:textId="7A3286A4" w:rsidTr="4284A616">
        <w:trPr>
          <w:jc w:val="center"/>
        </w:trPr>
        <w:tc>
          <w:tcPr>
            <w:tcW w:w="846" w:type="dxa"/>
            <w:shd w:val="clear" w:color="auto" w:fill="FFFFFF" w:themeFill="background1"/>
          </w:tcPr>
          <w:p w14:paraId="2F212A3B" w14:textId="6EF7497A" w:rsidR="007A479F" w:rsidRPr="00A07F29" w:rsidRDefault="007A479F" w:rsidP="007A479F">
            <w:pPr>
              <w:spacing w:after="0" w:line="240" w:lineRule="auto"/>
              <w:jc w:val="center"/>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C.2.</w:t>
            </w:r>
          </w:p>
        </w:tc>
        <w:tc>
          <w:tcPr>
            <w:tcW w:w="3402" w:type="dxa"/>
            <w:shd w:val="clear" w:color="auto" w:fill="FFFFFF" w:themeFill="background1"/>
          </w:tcPr>
          <w:p w14:paraId="3520F5CB" w14:textId="04A2D553" w:rsidR="007A479F" w:rsidRPr="00A07F29" w:rsidRDefault="007A479F" w:rsidP="007A479F">
            <w:pPr>
              <w:spacing w:after="0" w:line="240" w:lineRule="auto"/>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C.2.5.</w:t>
            </w:r>
            <w:r w:rsidR="000B583F">
              <w:rPr>
                <w:rFonts w:ascii="Times New Roman" w:eastAsia="Calibri" w:hAnsi="Times New Roman" w:cs="Times New Roman"/>
                <w:bCs/>
                <w:sz w:val="20"/>
                <w:szCs w:val="20"/>
              </w:rPr>
              <w:t> </w:t>
            </w:r>
            <w:r w:rsidRPr="00A07F29">
              <w:rPr>
                <w:rFonts w:ascii="Times New Roman" w:eastAsia="Calibri" w:hAnsi="Times New Roman" w:cs="Times New Roman"/>
                <w:bCs/>
                <w:sz w:val="20"/>
                <w:szCs w:val="20"/>
              </w:rPr>
              <w:t>AAA “Augšdaugava” sadaļas izveidošana Augšdaugavas un Krāslavas novadu tūrisma mājaslapās</w:t>
            </w:r>
          </w:p>
        </w:tc>
        <w:tc>
          <w:tcPr>
            <w:tcW w:w="1701" w:type="dxa"/>
            <w:shd w:val="clear" w:color="auto" w:fill="FFFFFF" w:themeFill="background1"/>
          </w:tcPr>
          <w:p w14:paraId="663B055F" w14:textId="77777777"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II,</w:t>
            </w:r>
          </w:p>
          <w:p w14:paraId="3D6793D4" w14:textId="0F1264C0"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bCs/>
                <w:sz w:val="20"/>
                <w:szCs w:val="20"/>
              </w:rPr>
              <w:t>vienreizējs pasākums, uzturēšana – visu plāna periodu</w:t>
            </w:r>
          </w:p>
        </w:tc>
        <w:tc>
          <w:tcPr>
            <w:tcW w:w="1984" w:type="dxa"/>
            <w:shd w:val="clear" w:color="auto" w:fill="FFFFFF" w:themeFill="background1"/>
          </w:tcPr>
          <w:p w14:paraId="52732CFD" w14:textId="487F65EE" w:rsidR="007A479F" w:rsidRPr="00A07F29" w:rsidRDefault="007A479F"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Pašvaldības, TIC</w:t>
            </w:r>
          </w:p>
        </w:tc>
        <w:tc>
          <w:tcPr>
            <w:tcW w:w="1560" w:type="dxa"/>
            <w:shd w:val="clear" w:color="auto" w:fill="FFFFFF" w:themeFill="background1"/>
          </w:tcPr>
          <w:p w14:paraId="01677A76" w14:textId="21EC122B" w:rsidR="007A479F" w:rsidRPr="00A07F29" w:rsidRDefault="007A479F"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Nav nosakāms</w:t>
            </w:r>
          </w:p>
        </w:tc>
        <w:tc>
          <w:tcPr>
            <w:tcW w:w="1984" w:type="dxa"/>
            <w:shd w:val="clear" w:color="auto" w:fill="FFFFFF" w:themeFill="background1"/>
          </w:tcPr>
          <w:p w14:paraId="4C7D5E33" w14:textId="265E363D" w:rsidR="007A479F" w:rsidRPr="00A07F29" w:rsidRDefault="007A479F"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Pašvaldību, TIC budžets</w:t>
            </w:r>
          </w:p>
        </w:tc>
        <w:tc>
          <w:tcPr>
            <w:tcW w:w="3686" w:type="dxa"/>
            <w:shd w:val="clear" w:color="auto" w:fill="FFFFFF" w:themeFill="background1"/>
          </w:tcPr>
          <w:p w14:paraId="7F643E2E" w14:textId="24EF64F5" w:rsidR="007A479F" w:rsidRPr="00A07F29" w:rsidRDefault="007A479F" w:rsidP="007A479F">
            <w:pPr>
              <w:spacing w:after="0" w:line="240" w:lineRule="auto"/>
              <w:ind w:left="34"/>
              <w:rPr>
                <w:rFonts w:ascii="Times New Roman" w:eastAsia="Calibri" w:hAnsi="Times New Roman" w:cs="Times New Roman"/>
                <w:bCs/>
                <w:sz w:val="20"/>
                <w:szCs w:val="20"/>
              </w:rPr>
            </w:pPr>
            <w:r w:rsidRPr="00A07F29">
              <w:rPr>
                <w:rFonts w:ascii="Times New Roman" w:eastAsia="Calibri" w:hAnsi="Times New Roman" w:cs="Times New Roman"/>
                <w:sz w:val="20"/>
                <w:szCs w:val="20"/>
              </w:rPr>
              <w:t xml:space="preserve">Izveidotas sadaļas </w:t>
            </w:r>
            <w:r w:rsidRPr="00A07F29">
              <w:rPr>
                <w:rFonts w:ascii="Times New Roman" w:eastAsia="Calibri" w:hAnsi="Times New Roman" w:cs="Times New Roman"/>
                <w:bCs/>
                <w:sz w:val="20"/>
                <w:szCs w:val="20"/>
              </w:rPr>
              <w:t>Augšdaugavas un Krāslavas novadu tūrisma mājaslapās</w:t>
            </w:r>
          </w:p>
        </w:tc>
      </w:tr>
      <w:tr w:rsidR="007A479F" w:rsidRPr="00A07F29" w14:paraId="50605E28" w14:textId="43B26D9C" w:rsidTr="4284A616">
        <w:trPr>
          <w:jc w:val="center"/>
        </w:trPr>
        <w:tc>
          <w:tcPr>
            <w:tcW w:w="846" w:type="dxa"/>
            <w:shd w:val="clear" w:color="auto" w:fill="FFFFFF" w:themeFill="background1"/>
          </w:tcPr>
          <w:p w14:paraId="787F2D52" w14:textId="1FCACE80" w:rsidR="007A479F" w:rsidRPr="00A07F29" w:rsidRDefault="007A479F" w:rsidP="007A479F">
            <w:pPr>
              <w:spacing w:after="0" w:line="240" w:lineRule="auto"/>
              <w:jc w:val="center"/>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C.2.</w:t>
            </w:r>
          </w:p>
        </w:tc>
        <w:tc>
          <w:tcPr>
            <w:tcW w:w="3402" w:type="dxa"/>
            <w:shd w:val="clear" w:color="auto" w:fill="FFFFFF" w:themeFill="background1"/>
          </w:tcPr>
          <w:p w14:paraId="11978108" w14:textId="4E6A12F8" w:rsidR="007A479F" w:rsidRPr="00A07F29" w:rsidRDefault="007A479F" w:rsidP="007A479F">
            <w:pPr>
              <w:spacing w:after="0" w:line="240" w:lineRule="auto"/>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C.2.6</w:t>
            </w:r>
            <w:r w:rsidR="00D50257">
              <w:rPr>
                <w:rFonts w:ascii="Times New Roman" w:eastAsia="Calibri" w:hAnsi="Times New Roman" w:cs="Times New Roman"/>
                <w:bCs/>
                <w:sz w:val="20"/>
                <w:szCs w:val="20"/>
              </w:rPr>
              <w:t> </w:t>
            </w:r>
            <w:r w:rsidRPr="00A07F29">
              <w:rPr>
                <w:rFonts w:ascii="Times New Roman" w:eastAsia="Calibri" w:hAnsi="Times New Roman" w:cs="Times New Roman"/>
                <w:bCs/>
                <w:sz w:val="20"/>
                <w:szCs w:val="20"/>
              </w:rPr>
              <w:t>AAA “Augšdaugava” konta izveidošana un uzturēšana sociālajos tīklos</w:t>
            </w:r>
          </w:p>
        </w:tc>
        <w:tc>
          <w:tcPr>
            <w:tcW w:w="1701" w:type="dxa"/>
            <w:shd w:val="clear" w:color="auto" w:fill="FFFFFF" w:themeFill="background1"/>
          </w:tcPr>
          <w:p w14:paraId="5827FEAF" w14:textId="77777777"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II,</w:t>
            </w:r>
          </w:p>
          <w:p w14:paraId="6C404CF2" w14:textId="4FAFC3C9"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bCs/>
                <w:sz w:val="20"/>
                <w:szCs w:val="20"/>
              </w:rPr>
              <w:t>vienreizējs pasākums, uzturēšana – visu plāna periodu</w:t>
            </w:r>
          </w:p>
        </w:tc>
        <w:tc>
          <w:tcPr>
            <w:tcW w:w="1984" w:type="dxa"/>
            <w:shd w:val="clear" w:color="auto" w:fill="FFFFFF" w:themeFill="background1"/>
          </w:tcPr>
          <w:p w14:paraId="20AEF54F" w14:textId="5E43D0D0" w:rsidR="007A479F" w:rsidRPr="00A07F29" w:rsidRDefault="007A479F"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TIC, pašvaldības</w:t>
            </w:r>
          </w:p>
        </w:tc>
        <w:tc>
          <w:tcPr>
            <w:tcW w:w="1560" w:type="dxa"/>
            <w:shd w:val="clear" w:color="auto" w:fill="FFFFFF" w:themeFill="background1"/>
          </w:tcPr>
          <w:p w14:paraId="7C70AC1B" w14:textId="7881B1F1" w:rsidR="007A479F" w:rsidRPr="00A07F29" w:rsidRDefault="007A479F"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Nav nosakāms</w:t>
            </w:r>
          </w:p>
        </w:tc>
        <w:tc>
          <w:tcPr>
            <w:tcW w:w="1984" w:type="dxa"/>
            <w:shd w:val="clear" w:color="auto" w:fill="FFFFFF" w:themeFill="background1"/>
          </w:tcPr>
          <w:p w14:paraId="3C8E0AE1" w14:textId="2858EC42" w:rsidR="007A479F" w:rsidRPr="00A07F29" w:rsidRDefault="007A479F"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TIC, pašvaldību, budžets</w:t>
            </w:r>
          </w:p>
        </w:tc>
        <w:tc>
          <w:tcPr>
            <w:tcW w:w="3686" w:type="dxa"/>
            <w:shd w:val="clear" w:color="auto" w:fill="FFFFFF" w:themeFill="background1"/>
          </w:tcPr>
          <w:p w14:paraId="2F23E01A" w14:textId="6A29FAC6" w:rsidR="007A479F" w:rsidRPr="00A07F29" w:rsidRDefault="007A479F" w:rsidP="007A479F">
            <w:pPr>
              <w:spacing w:after="0" w:line="240" w:lineRule="auto"/>
              <w:ind w:left="34"/>
              <w:rPr>
                <w:rFonts w:ascii="Times New Roman" w:eastAsia="Calibri" w:hAnsi="Times New Roman" w:cs="Times New Roman"/>
                <w:bCs/>
                <w:sz w:val="20"/>
                <w:szCs w:val="20"/>
              </w:rPr>
            </w:pPr>
            <w:r w:rsidRPr="00A07F29">
              <w:rPr>
                <w:rFonts w:ascii="Times New Roman" w:eastAsia="Calibri" w:hAnsi="Times New Roman" w:cs="Times New Roman"/>
                <w:sz w:val="20"/>
                <w:szCs w:val="20"/>
              </w:rPr>
              <w:t>Izveidots un uzturēts konts sociālajos tīklos</w:t>
            </w:r>
          </w:p>
        </w:tc>
      </w:tr>
      <w:tr w:rsidR="007A479F" w:rsidRPr="00A07F29" w14:paraId="75BD429C" w14:textId="0E59048A" w:rsidTr="4284A616">
        <w:trPr>
          <w:jc w:val="center"/>
        </w:trPr>
        <w:tc>
          <w:tcPr>
            <w:tcW w:w="846" w:type="dxa"/>
            <w:shd w:val="clear" w:color="auto" w:fill="FFFFFF" w:themeFill="background1"/>
          </w:tcPr>
          <w:p w14:paraId="4679E589" w14:textId="4260BDAC" w:rsidR="007A479F" w:rsidRPr="00A07F29" w:rsidRDefault="007A479F" w:rsidP="007A479F">
            <w:pPr>
              <w:spacing w:after="0" w:line="240" w:lineRule="auto"/>
              <w:jc w:val="center"/>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C.2.</w:t>
            </w:r>
          </w:p>
        </w:tc>
        <w:tc>
          <w:tcPr>
            <w:tcW w:w="3402" w:type="dxa"/>
            <w:shd w:val="clear" w:color="auto" w:fill="FFFFFF" w:themeFill="background1"/>
          </w:tcPr>
          <w:p w14:paraId="1C08F66E" w14:textId="3640686E" w:rsidR="007A479F" w:rsidRPr="00A07F29" w:rsidRDefault="007A479F" w:rsidP="007A479F">
            <w:pPr>
              <w:spacing w:after="0" w:line="240" w:lineRule="auto"/>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C.2.7.</w:t>
            </w:r>
            <w:r w:rsidR="00D50257">
              <w:rPr>
                <w:rFonts w:ascii="Times New Roman" w:eastAsia="Calibri" w:hAnsi="Times New Roman" w:cs="Times New Roman"/>
                <w:bCs/>
                <w:sz w:val="20"/>
                <w:szCs w:val="20"/>
              </w:rPr>
              <w:t> </w:t>
            </w:r>
            <w:r w:rsidRPr="00A07F29">
              <w:rPr>
                <w:rFonts w:ascii="Times New Roman" w:eastAsia="Calibri" w:hAnsi="Times New Roman" w:cs="Times New Roman"/>
                <w:bCs/>
                <w:sz w:val="20"/>
                <w:szCs w:val="20"/>
              </w:rPr>
              <w:t>Rokasgrāmatas par vietējās vēsturiskās celtniecības tradīcijām izdošana</w:t>
            </w:r>
          </w:p>
        </w:tc>
        <w:tc>
          <w:tcPr>
            <w:tcW w:w="1701" w:type="dxa"/>
            <w:shd w:val="clear" w:color="auto" w:fill="FFFFFF" w:themeFill="background1"/>
          </w:tcPr>
          <w:p w14:paraId="780B9463" w14:textId="77777777"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II,</w:t>
            </w:r>
          </w:p>
          <w:p w14:paraId="7769900D" w14:textId="143F5488"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bCs/>
                <w:sz w:val="20"/>
                <w:szCs w:val="20"/>
              </w:rPr>
              <w:t>vienreizējs pasākums</w:t>
            </w:r>
          </w:p>
        </w:tc>
        <w:tc>
          <w:tcPr>
            <w:tcW w:w="1984" w:type="dxa"/>
            <w:shd w:val="clear" w:color="auto" w:fill="FFFFFF" w:themeFill="background1"/>
          </w:tcPr>
          <w:p w14:paraId="37A1E48C" w14:textId="0620C30B" w:rsidR="007A479F" w:rsidRPr="00A07F29" w:rsidRDefault="007A479F"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NVO, NKMP</w:t>
            </w:r>
          </w:p>
        </w:tc>
        <w:tc>
          <w:tcPr>
            <w:tcW w:w="1560" w:type="dxa"/>
            <w:shd w:val="clear" w:color="auto" w:fill="FFFFFF" w:themeFill="background1"/>
          </w:tcPr>
          <w:p w14:paraId="2D858357" w14:textId="22945ED7" w:rsidR="007A479F" w:rsidRPr="00A07F29" w:rsidRDefault="007A479F"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Nav nosakāms</w:t>
            </w:r>
          </w:p>
        </w:tc>
        <w:tc>
          <w:tcPr>
            <w:tcW w:w="1984" w:type="dxa"/>
            <w:shd w:val="clear" w:color="auto" w:fill="FFFFFF" w:themeFill="background1"/>
          </w:tcPr>
          <w:p w14:paraId="42FFF776" w14:textId="1D7304C7" w:rsidR="007A479F" w:rsidRPr="00A07F29" w:rsidRDefault="007A479F"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Projektu finansējums</w:t>
            </w:r>
          </w:p>
        </w:tc>
        <w:tc>
          <w:tcPr>
            <w:tcW w:w="3686" w:type="dxa"/>
            <w:shd w:val="clear" w:color="auto" w:fill="FFFFFF" w:themeFill="background1"/>
          </w:tcPr>
          <w:p w14:paraId="080FD35D" w14:textId="3044305C" w:rsidR="007A479F" w:rsidRPr="00A07F29" w:rsidRDefault="007A479F" w:rsidP="007A479F">
            <w:pPr>
              <w:spacing w:after="0" w:line="240" w:lineRule="auto"/>
              <w:ind w:left="34"/>
              <w:rPr>
                <w:rFonts w:ascii="Times New Roman" w:eastAsia="Calibri" w:hAnsi="Times New Roman" w:cs="Times New Roman"/>
                <w:bCs/>
                <w:sz w:val="20"/>
                <w:szCs w:val="20"/>
              </w:rPr>
            </w:pPr>
            <w:r w:rsidRPr="00A07F29">
              <w:rPr>
                <w:rFonts w:ascii="Times New Roman" w:eastAsia="Calibri" w:hAnsi="Times New Roman" w:cs="Times New Roman"/>
                <w:sz w:val="20"/>
                <w:szCs w:val="20"/>
              </w:rPr>
              <w:t>Sagatavota un izdota rokasgrāmata</w:t>
            </w:r>
          </w:p>
        </w:tc>
      </w:tr>
      <w:tr w:rsidR="007A479F" w:rsidRPr="00A07F29" w14:paraId="22ACDCB6" w14:textId="622C5739" w:rsidTr="4284A616">
        <w:trPr>
          <w:jc w:val="center"/>
        </w:trPr>
        <w:tc>
          <w:tcPr>
            <w:tcW w:w="846" w:type="dxa"/>
            <w:shd w:val="clear" w:color="auto" w:fill="FFFFFF" w:themeFill="background1"/>
          </w:tcPr>
          <w:p w14:paraId="1A8CCF8B" w14:textId="145939AB" w:rsidR="007A479F" w:rsidRPr="00A07F29" w:rsidRDefault="007A479F" w:rsidP="007A479F">
            <w:pPr>
              <w:spacing w:after="0" w:line="240" w:lineRule="auto"/>
              <w:jc w:val="center"/>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C.3.</w:t>
            </w:r>
          </w:p>
        </w:tc>
        <w:tc>
          <w:tcPr>
            <w:tcW w:w="3402" w:type="dxa"/>
            <w:shd w:val="clear" w:color="auto" w:fill="FFFFFF" w:themeFill="background1"/>
          </w:tcPr>
          <w:p w14:paraId="2371D057" w14:textId="0277A303" w:rsidR="007A479F" w:rsidRPr="00A07F29" w:rsidRDefault="007A479F" w:rsidP="007A479F">
            <w:pPr>
              <w:spacing w:after="0" w:line="240" w:lineRule="auto"/>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C.3.1.</w:t>
            </w:r>
            <w:r w:rsidR="00F84671">
              <w:t> </w:t>
            </w:r>
            <w:r w:rsidRPr="00A07F29">
              <w:rPr>
                <w:rFonts w:ascii="Times New Roman" w:eastAsia="Calibri" w:hAnsi="Times New Roman" w:cs="Times New Roman"/>
                <w:bCs/>
                <w:sz w:val="20"/>
                <w:szCs w:val="20"/>
              </w:rPr>
              <w:t>Vietējo iedzīvotāju un uzņēmēju informēšana un iesaistīšana dabas vērtību, kultūras mantojuma un vides kvalitātes saglabāšanā</w:t>
            </w:r>
          </w:p>
        </w:tc>
        <w:tc>
          <w:tcPr>
            <w:tcW w:w="1701" w:type="dxa"/>
            <w:shd w:val="clear" w:color="auto" w:fill="FFFFFF" w:themeFill="background1"/>
          </w:tcPr>
          <w:p w14:paraId="53B4793C" w14:textId="77777777"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II,</w:t>
            </w:r>
          </w:p>
          <w:p w14:paraId="50DF8ABD" w14:textId="2AFE6331"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bCs/>
                <w:sz w:val="20"/>
                <w:szCs w:val="20"/>
              </w:rPr>
              <w:t>visu plāna periodu</w:t>
            </w:r>
          </w:p>
        </w:tc>
        <w:tc>
          <w:tcPr>
            <w:tcW w:w="1984" w:type="dxa"/>
            <w:shd w:val="clear" w:color="auto" w:fill="FFFFFF" w:themeFill="background1"/>
          </w:tcPr>
          <w:p w14:paraId="47435BC6" w14:textId="61E24865" w:rsidR="007A479F" w:rsidRPr="00A07F29" w:rsidRDefault="007A479F"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Pašvaldības, DAP, NVO, NKMP</w:t>
            </w:r>
          </w:p>
        </w:tc>
        <w:tc>
          <w:tcPr>
            <w:tcW w:w="1560" w:type="dxa"/>
            <w:shd w:val="clear" w:color="auto" w:fill="FFFFFF" w:themeFill="background1"/>
          </w:tcPr>
          <w:p w14:paraId="56F62244" w14:textId="6CF0090C" w:rsidR="007A479F" w:rsidRPr="00A07F29" w:rsidRDefault="007A479F"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Administratīvie izdevumi</w:t>
            </w:r>
          </w:p>
        </w:tc>
        <w:tc>
          <w:tcPr>
            <w:tcW w:w="1984" w:type="dxa"/>
            <w:shd w:val="clear" w:color="auto" w:fill="FFFFFF" w:themeFill="background1"/>
          </w:tcPr>
          <w:p w14:paraId="5D0DAE0B" w14:textId="460F9479" w:rsidR="007A479F" w:rsidRPr="00A07F29" w:rsidRDefault="007A479F"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Pašvaldību, DAP budžets, projektu finansējums</w:t>
            </w:r>
          </w:p>
        </w:tc>
        <w:tc>
          <w:tcPr>
            <w:tcW w:w="3686" w:type="dxa"/>
            <w:shd w:val="clear" w:color="auto" w:fill="FFFFFF" w:themeFill="background1"/>
          </w:tcPr>
          <w:p w14:paraId="5A1B07A3" w14:textId="70C552FD" w:rsidR="007A479F" w:rsidRPr="00A07F29" w:rsidRDefault="007A479F" w:rsidP="007A479F">
            <w:pPr>
              <w:spacing w:after="0" w:line="240" w:lineRule="auto"/>
              <w:ind w:left="34"/>
              <w:rPr>
                <w:rFonts w:ascii="Times New Roman" w:eastAsia="Calibri" w:hAnsi="Times New Roman" w:cs="Times New Roman"/>
                <w:bCs/>
                <w:sz w:val="20"/>
                <w:szCs w:val="20"/>
              </w:rPr>
            </w:pPr>
            <w:r w:rsidRPr="00A07F29">
              <w:rPr>
                <w:rFonts w:ascii="Times New Roman" w:eastAsia="Calibri" w:hAnsi="Times New Roman" w:cs="Times New Roman"/>
                <w:sz w:val="20"/>
                <w:szCs w:val="20"/>
              </w:rPr>
              <w:t>Noorganizēti semināri, talkas un apmācības</w:t>
            </w:r>
          </w:p>
        </w:tc>
      </w:tr>
      <w:tr w:rsidR="007A479F" w:rsidRPr="00A07F29" w14:paraId="6F7DFF9E" w14:textId="5A00E190" w:rsidTr="4284A616">
        <w:trPr>
          <w:jc w:val="center"/>
        </w:trPr>
        <w:tc>
          <w:tcPr>
            <w:tcW w:w="846" w:type="dxa"/>
            <w:shd w:val="clear" w:color="auto" w:fill="FFFFFF" w:themeFill="background1"/>
          </w:tcPr>
          <w:p w14:paraId="30D3FCB9" w14:textId="669B9BB5" w:rsidR="007A479F" w:rsidRPr="00A07F29" w:rsidRDefault="007A479F" w:rsidP="007A479F">
            <w:pPr>
              <w:spacing w:after="0" w:line="240" w:lineRule="auto"/>
              <w:jc w:val="center"/>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C.3.</w:t>
            </w:r>
          </w:p>
        </w:tc>
        <w:tc>
          <w:tcPr>
            <w:tcW w:w="3402" w:type="dxa"/>
            <w:shd w:val="clear" w:color="auto" w:fill="FFFFFF" w:themeFill="background1"/>
          </w:tcPr>
          <w:p w14:paraId="22EBF963" w14:textId="76DC64D6" w:rsidR="007A479F" w:rsidRPr="00A07F29" w:rsidRDefault="007A479F" w:rsidP="007A479F">
            <w:pPr>
              <w:spacing w:after="0" w:line="240" w:lineRule="auto"/>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C.3.2.</w:t>
            </w:r>
            <w:r w:rsidR="00D53F3B">
              <w:rPr>
                <w:rFonts w:ascii="Times New Roman" w:eastAsia="Calibri" w:hAnsi="Times New Roman" w:cs="Times New Roman"/>
                <w:bCs/>
                <w:sz w:val="20"/>
                <w:szCs w:val="20"/>
              </w:rPr>
              <w:t> </w:t>
            </w:r>
            <w:r w:rsidRPr="00A07F29">
              <w:rPr>
                <w:rFonts w:ascii="Times New Roman" w:eastAsia="Calibri" w:hAnsi="Times New Roman" w:cs="Times New Roman"/>
                <w:bCs/>
                <w:sz w:val="20"/>
                <w:szCs w:val="20"/>
              </w:rPr>
              <w:t xml:space="preserve">Semināri un apmācības tūrisma uzņēmējiem </w:t>
            </w:r>
          </w:p>
        </w:tc>
        <w:tc>
          <w:tcPr>
            <w:tcW w:w="1701" w:type="dxa"/>
            <w:shd w:val="clear" w:color="auto" w:fill="FFFFFF" w:themeFill="background1"/>
          </w:tcPr>
          <w:p w14:paraId="4A9AA964" w14:textId="7AB166C0"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II,</w:t>
            </w:r>
          </w:p>
          <w:p w14:paraId="7644C78D" w14:textId="5B83308E"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bCs/>
                <w:sz w:val="20"/>
                <w:szCs w:val="20"/>
              </w:rPr>
              <w:t>visu plāna periodu</w:t>
            </w:r>
          </w:p>
        </w:tc>
        <w:tc>
          <w:tcPr>
            <w:tcW w:w="1984" w:type="dxa"/>
            <w:shd w:val="clear" w:color="auto" w:fill="FFFFFF" w:themeFill="background1"/>
          </w:tcPr>
          <w:p w14:paraId="5CF0554A" w14:textId="77E4D3BE" w:rsidR="007A479F" w:rsidRPr="00A07F29" w:rsidRDefault="007A479F"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Tūrisma organizācijas un uzņēmumi</w:t>
            </w:r>
          </w:p>
        </w:tc>
        <w:tc>
          <w:tcPr>
            <w:tcW w:w="1560" w:type="dxa"/>
            <w:shd w:val="clear" w:color="auto" w:fill="FFFFFF" w:themeFill="background1"/>
          </w:tcPr>
          <w:p w14:paraId="3DE3514D" w14:textId="12B2A35F" w:rsidR="007A479F" w:rsidRPr="00A07F29" w:rsidRDefault="007A479F"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Nav nosakāms</w:t>
            </w:r>
          </w:p>
        </w:tc>
        <w:tc>
          <w:tcPr>
            <w:tcW w:w="1984" w:type="dxa"/>
            <w:shd w:val="clear" w:color="auto" w:fill="FFFFFF" w:themeFill="background1"/>
          </w:tcPr>
          <w:p w14:paraId="11F19F3F" w14:textId="6ACD35DD" w:rsidR="007A479F" w:rsidRPr="00A07F29" w:rsidRDefault="007A479F"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Projektu finansējums</w:t>
            </w:r>
          </w:p>
        </w:tc>
        <w:tc>
          <w:tcPr>
            <w:tcW w:w="3686" w:type="dxa"/>
            <w:shd w:val="clear" w:color="auto" w:fill="FFFFFF" w:themeFill="background1"/>
          </w:tcPr>
          <w:p w14:paraId="6EDA39FC" w14:textId="70DAB8D4" w:rsidR="007A479F" w:rsidRPr="00A07F29" w:rsidRDefault="007A479F" w:rsidP="007A479F">
            <w:pPr>
              <w:spacing w:after="0" w:line="240" w:lineRule="auto"/>
              <w:ind w:left="34"/>
              <w:rPr>
                <w:rFonts w:ascii="Times New Roman" w:eastAsia="Calibri" w:hAnsi="Times New Roman" w:cs="Times New Roman"/>
                <w:bCs/>
                <w:sz w:val="20"/>
                <w:szCs w:val="20"/>
              </w:rPr>
            </w:pPr>
            <w:r w:rsidRPr="00A07F29">
              <w:rPr>
                <w:rFonts w:ascii="Times New Roman" w:eastAsia="Calibri" w:hAnsi="Times New Roman" w:cs="Times New Roman"/>
                <w:sz w:val="20"/>
                <w:szCs w:val="20"/>
              </w:rPr>
              <w:t>Noorganizēti pasākumi</w:t>
            </w:r>
          </w:p>
        </w:tc>
      </w:tr>
      <w:tr w:rsidR="007A479F" w:rsidRPr="00A07F29" w14:paraId="4D790641" w14:textId="44EF6F3C" w:rsidTr="4284A616">
        <w:trPr>
          <w:jc w:val="center"/>
        </w:trPr>
        <w:tc>
          <w:tcPr>
            <w:tcW w:w="846" w:type="dxa"/>
            <w:shd w:val="clear" w:color="auto" w:fill="FFFFFF" w:themeFill="background1"/>
          </w:tcPr>
          <w:p w14:paraId="577D1F2A" w14:textId="0781F2E6" w:rsidR="007A479F" w:rsidRPr="00A07F29" w:rsidRDefault="007A479F" w:rsidP="007A479F">
            <w:pPr>
              <w:spacing w:after="0" w:line="240" w:lineRule="auto"/>
              <w:jc w:val="center"/>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lastRenderedPageBreak/>
              <w:t>C.4.</w:t>
            </w:r>
          </w:p>
        </w:tc>
        <w:tc>
          <w:tcPr>
            <w:tcW w:w="3402" w:type="dxa"/>
            <w:shd w:val="clear" w:color="auto" w:fill="FFFFFF" w:themeFill="background1"/>
          </w:tcPr>
          <w:p w14:paraId="460031F0" w14:textId="61399F9D" w:rsidR="007A479F" w:rsidRPr="00A07F29" w:rsidRDefault="007A479F" w:rsidP="007A479F">
            <w:pPr>
              <w:spacing w:after="0" w:line="240" w:lineRule="auto"/>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C.4.1.</w:t>
            </w:r>
            <w:r w:rsidR="00CB0A3C">
              <w:rPr>
                <w:rFonts w:ascii="Times New Roman" w:eastAsia="Calibri" w:hAnsi="Times New Roman" w:cs="Times New Roman"/>
                <w:bCs/>
                <w:sz w:val="20"/>
                <w:szCs w:val="20"/>
              </w:rPr>
              <w:t> </w:t>
            </w:r>
            <w:r w:rsidRPr="00A07F29">
              <w:rPr>
                <w:rFonts w:ascii="Times New Roman" w:eastAsia="Calibri" w:hAnsi="Times New Roman" w:cs="Times New Roman"/>
                <w:bCs/>
                <w:sz w:val="20"/>
                <w:szCs w:val="20"/>
              </w:rPr>
              <w:t>Dabas skolas izveidošana</w:t>
            </w:r>
          </w:p>
        </w:tc>
        <w:tc>
          <w:tcPr>
            <w:tcW w:w="1701" w:type="dxa"/>
            <w:shd w:val="clear" w:color="auto" w:fill="FFFFFF" w:themeFill="background1"/>
          </w:tcPr>
          <w:p w14:paraId="0BD8B09C" w14:textId="77777777"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II,</w:t>
            </w:r>
          </w:p>
          <w:p w14:paraId="62181BC0" w14:textId="0DAB7F52"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bCs/>
                <w:sz w:val="20"/>
                <w:szCs w:val="20"/>
              </w:rPr>
              <w:t>visu plāna periodu</w:t>
            </w:r>
          </w:p>
        </w:tc>
        <w:tc>
          <w:tcPr>
            <w:tcW w:w="1984" w:type="dxa"/>
            <w:shd w:val="clear" w:color="auto" w:fill="FFFFFF" w:themeFill="background1"/>
          </w:tcPr>
          <w:p w14:paraId="533374C6" w14:textId="000AC5CF" w:rsidR="007A479F" w:rsidRPr="00A07F29" w:rsidRDefault="007A479F"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Pašvaldības, izglītības iestādes, NVO</w:t>
            </w:r>
          </w:p>
        </w:tc>
        <w:tc>
          <w:tcPr>
            <w:tcW w:w="1560" w:type="dxa"/>
            <w:shd w:val="clear" w:color="auto" w:fill="FFFFFF" w:themeFill="background1"/>
          </w:tcPr>
          <w:p w14:paraId="6B40CA63" w14:textId="0504580D" w:rsidR="007A479F" w:rsidRPr="00A07F29" w:rsidRDefault="007A479F"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Nav nosakāms</w:t>
            </w:r>
          </w:p>
        </w:tc>
        <w:tc>
          <w:tcPr>
            <w:tcW w:w="1984" w:type="dxa"/>
            <w:shd w:val="clear" w:color="auto" w:fill="FFFFFF" w:themeFill="background1"/>
          </w:tcPr>
          <w:p w14:paraId="53D640A2" w14:textId="08E599C8" w:rsidR="007A479F" w:rsidRPr="00A07F29" w:rsidRDefault="007A479F"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Pašvaldību budžets, projektu finansējums</w:t>
            </w:r>
          </w:p>
        </w:tc>
        <w:tc>
          <w:tcPr>
            <w:tcW w:w="3686" w:type="dxa"/>
            <w:shd w:val="clear" w:color="auto" w:fill="FFFFFF" w:themeFill="background1"/>
          </w:tcPr>
          <w:p w14:paraId="308B1FD9" w14:textId="7D76DBAC" w:rsidR="007A479F" w:rsidRPr="00A07F29" w:rsidRDefault="007A479F" w:rsidP="007A479F">
            <w:pPr>
              <w:spacing w:after="0" w:line="240" w:lineRule="auto"/>
              <w:ind w:left="34"/>
              <w:rPr>
                <w:rFonts w:ascii="Times New Roman" w:eastAsia="Calibri" w:hAnsi="Times New Roman" w:cs="Times New Roman"/>
                <w:bCs/>
                <w:sz w:val="20"/>
                <w:szCs w:val="20"/>
              </w:rPr>
            </w:pPr>
            <w:r w:rsidRPr="00A07F29">
              <w:rPr>
                <w:rFonts w:ascii="Times New Roman" w:eastAsia="Calibri" w:hAnsi="Times New Roman" w:cs="Times New Roman"/>
                <w:sz w:val="20"/>
                <w:szCs w:val="20"/>
              </w:rPr>
              <w:t>Notiek nodarbības, piemērotas telpas un informācijas materiāli</w:t>
            </w:r>
          </w:p>
        </w:tc>
      </w:tr>
      <w:tr w:rsidR="007A479F" w:rsidRPr="00A07F29" w14:paraId="153E2CF7" w14:textId="64519382" w:rsidTr="4284A616">
        <w:trPr>
          <w:jc w:val="center"/>
        </w:trPr>
        <w:tc>
          <w:tcPr>
            <w:tcW w:w="846" w:type="dxa"/>
            <w:shd w:val="clear" w:color="auto" w:fill="FFFFFF" w:themeFill="background1"/>
          </w:tcPr>
          <w:p w14:paraId="7ABD3796" w14:textId="1F5007D8" w:rsidR="007A479F" w:rsidRPr="00A07F29" w:rsidRDefault="007A479F" w:rsidP="007A479F">
            <w:pPr>
              <w:spacing w:after="0" w:line="240" w:lineRule="auto"/>
              <w:jc w:val="center"/>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C.4.</w:t>
            </w:r>
          </w:p>
        </w:tc>
        <w:tc>
          <w:tcPr>
            <w:tcW w:w="3402" w:type="dxa"/>
            <w:shd w:val="clear" w:color="auto" w:fill="FFFFFF" w:themeFill="background1"/>
          </w:tcPr>
          <w:p w14:paraId="7094EF09" w14:textId="22E5F460" w:rsidR="007A479F" w:rsidRPr="00A07F29" w:rsidRDefault="007A479F" w:rsidP="007A479F">
            <w:pPr>
              <w:spacing w:after="0" w:line="240" w:lineRule="auto"/>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C.4.2.</w:t>
            </w:r>
            <w:r w:rsidR="0077208D">
              <w:rPr>
                <w:rFonts w:ascii="Times New Roman" w:eastAsia="Calibri" w:hAnsi="Times New Roman" w:cs="Times New Roman"/>
                <w:bCs/>
                <w:sz w:val="20"/>
                <w:szCs w:val="20"/>
              </w:rPr>
              <w:t> </w:t>
            </w:r>
            <w:r w:rsidRPr="00A07F29">
              <w:rPr>
                <w:rFonts w:ascii="Times New Roman" w:eastAsia="Calibri" w:hAnsi="Times New Roman" w:cs="Times New Roman"/>
                <w:bCs/>
                <w:sz w:val="20"/>
                <w:szCs w:val="20"/>
              </w:rPr>
              <w:t>Tematisko ekskursiju un pārgājienu organizēšana</w:t>
            </w:r>
          </w:p>
        </w:tc>
        <w:tc>
          <w:tcPr>
            <w:tcW w:w="1701" w:type="dxa"/>
            <w:shd w:val="clear" w:color="auto" w:fill="FFFFFF" w:themeFill="background1"/>
          </w:tcPr>
          <w:p w14:paraId="53CF3330" w14:textId="77777777"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II,</w:t>
            </w:r>
          </w:p>
          <w:p w14:paraId="38392EF2" w14:textId="4580FB94"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bCs/>
                <w:sz w:val="20"/>
                <w:szCs w:val="20"/>
              </w:rPr>
              <w:t>visu plāna periodu</w:t>
            </w:r>
          </w:p>
        </w:tc>
        <w:tc>
          <w:tcPr>
            <w:tcW w:w="1984" w:type="dxa"/>
            <w:shd w:val="clear" w:color="auto" w:fill="FFFFFF" w:themeFill="background1"/>
          </w:tcPr>
          <w:p w14:paraId="27C06115" w14:textId="79341A19" w:rsidR="007A479F" w:rsidRPr="00A07F29" w:rsidRDefault="007A479F" w:rsidP="007A479F">
            <w:pPr>
              <w:spacing w:after="0" w:line="240" w:lineRule="auto"/>
              <w:ind w:left="34"/>
              <w:jc w:val="both"/>
              <w:rPr>
                <w:rFonts w:ascii="Times New Roman" w:hAnsi="Times New Roman" w:cs="Times New Roman"/>
                <w:sz w:val="20"/>
                <w:szCs w:val="20"/>
              </w:rPr>
            </w:pPr>
            <w:r w:rsidRPr="00A07F29">
              <w:rPr>
                <w:rFonts w:ascii="Times New Roman" w:eastAsia="Calibri" w:hAnsi="Times New Roman" w:cs="Times New Roman"/>
                <w:sz w:val="20"/>
                <w:szCs w:val="20"/>
              </w:rPr>
              <w:t>Tūrisma organizācijas un uzņēmumi, DAP, TIC, NVO</w:t>
            </w:r>
          </w:p>
        </w:tc>
        <w:tc>
          <w:tcPr>
            <w:tcW w:w="1560" w:type="dxa"/>
            <w:shd w:val="clear" w:color="auto" w:fill="FFFFFF" w:themeFill="background1"/>
          </w:tcPr>
          <w:p w14:paraId="54CCB433" w14:textId="6ADCC896" w:rsidR="007A479F" w:rsidRPr="00A07F29" w:rsidRDefault="007A479F" w:rsidP="007A479F">
            <w:pPr>
              <w:spacing w:after="0" w:line="240" w:lineRule="auto"/>
              <w:ind w:left="34"/>
              <w:jc w:val="both"/>
              <w:rPr>
                <w:rFonts w:ascii="Times New Roman" w:hAnsi="Times New Roman" w:cs="Times New Roman"/>
                <w:sz w:val="20"/>
                <w:szCs w:val="20"/>
              </w:rPr>
            </w:pPr>
            <w:r w:rsidRPr="00A07F29">
              <w:rPr>
                <w:rFonts w:ascii="Times New Roman" w:hAnsi="Times New Roman" w:cs="Times New Roman"/>
                <w:sz w:val="20"/>
                <w:szCs w:val="20"/>
              </w:rPr>
              <w:t>Nav nosakāms</w:t>
            </w:r>
          </w:p>
        </w:tc>
        <w:tc>
          <w:tcPr>
            <w:tcW w:w="1984" w:type="dxa"/>
            <w:shd w:val="clear" w:color="auto" w:fill="FFFFFF" w:themeFill="background1"/>
          </w:tcPr>
          <w:p w14:paraId="396C4887" w14:textId="0783749E" w:rsidR="007A479F" w:rsidRPr="00A07F29" w:rsidRDefault="007A479F" w:rsidP="007A479F">
            <w:pPr>
              <w:spacing w:after="0" w:line="240" w:lineRule="auto"/>
              <w:ind w:left="34"/>
              <w:jc w:val="both"/>
              <w:rPr>
                <w:rFonts w:ascii="Times New Roman" w:hAnsi="Times New Roman" w:cs="Times New Roman"/>
                <w:sz w:val="20"/>
                <w:szCs w:val="20"/>
              </w:rPr>
            </w:pPr>
            <w:r w:rsidRPr="00A07F29">
              <w:rPr>
                <w:rFonts w:ascii="Times New Roman" w:hAnsi="Times New Roman" w:cs="Times New Roman"/>
                <w:sz w:val="20"/>
                <w:szCs w:val="20"/>
              </w:rPr>
              <w:t>Tūrisma organizāciju un uzņēmumu līdzekļi, projektu finansējums</w:t>
            </w:r>
          </w:p>
        </w:tc>
        <w:tc>
          <w:tcPr>
            <w:tcW w:w="3686" w:type="dxa"/>
            <w:shd w:val="clear" w:color="auto" w:fill="FFFFFF" w:themeFill="background1"/>
          </w:tcPr>
          <w:p w14:paraId="2894CD9A" w14:textId="5D7A5719" w:rsidR="007A479F" w:rsidRPr="00A07F29" w:rsidRDefault="007A479F" w:rsidP="007A479F">
            <w:pPr>
              <w:spacing w:after="0" w:line="240" w:lineRule="auto"/>
              <w:ind w:left="34"/>
              <w:rPr>
                <w:rFonts w:ascii="Times New Roman" w:hAnsi="Times New Roman" w:cs="Times New Roman"/>
                <w:sz w:val="20"/>
                <w:szCs w:val="20"/>
              </w:rPr>
            </w:pPr>
            <w:r w:rsidRPr="00A07F29">
              <w:rPr>
                <w:rFonts w:ascii="Times New Roman" w:hAnsi="Times New Roman" w:cs="Times New Roman"/>
                <w:sz w:val="20"/>
                <w:szCs w:val="20"/>
              </w:rPr>
              <w:t>Noorganizēti pasākumi</w:t>
            </w:r>
          </w:p>
        </w:tc>
      </w:tr>
      <w:tr w:rsidR="007A479F" w:rsidRPr="00A07F29" w14:paraId="40035987" w14:textId="6FA04B95" w:rsidTr="4284A616">
        <w:trPr>
          <w:jc w:val="center"/>
        </w:trPr>
        <w:tc>
          <w:tcPr>
            <w:tcW w:w="846" w:type="dxa"/>
            <w:shd w:val="clear" w:color="auto" w:fill="FFFFFF" w:themeFill="background1"/>
          </w:tcPr>
          <w:p w14:paraId="54747DDC" w14:textId="5C49BC57" w:rsidR="007A479F" w:rsidRPr="00A07F29" w:rsidRDefault="007A479F" w:rsidP="007A479F">
            <w:pPr>
              <w:spacing w:after="0" w:line="240" w:lineRule="auto"/>
              <w:jc w:val="center"/>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C.4.</w:t>
            </w:r>
          </w:p>
        </w:tc>
        <w:tc>
          <w:tcPr>
            <w:tcW w:w="3402" w:type="dxa"/>
            <w:shd w:val="clear" w:color="auto" w:fill="FFFFFF" w:themeFill="background1"/>
          </w:tcPr>
          <w:p w14:paraId="35E83706" w14:textId="0E23D452" w:rsidR="007A479F" w:rsidRPr="00A07F29" w:rsidRDefault="007A479F" w:rsidP="007A479F">
            <w:pPr>
              <w:spacing w:after="0" w:line="240" w:lineRule="auto"/>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C.4.3.</w:t>
            </w:r>
            <w:r w:rsidR="007F353F">
              <w:rPr>
                <w:rFonts w:ascii="Times New Roman" w:eastAsia="Calibri" w:hAnsi="Times New Roman" w:cs="Times New Roman"/>
                <w:bCs/>
                <w:sz w:val="20"/>
                <w:szCs w:val="20"/>
              </w:rPr>
              <w:t> </w:t>
            </w:r>
            <w:r w:rsidRPr="00A07F29">
              <w:rPr>
                <w:rFonts w:ascii="Times New Roman" w:eastAsia="Calibri" w:hAnsi="Times New Roman" w:cs="Times New Roman"/>
                <w:bCs/>
                <w:sz w:val="20"/>
                <w:szCs w:val="20"/>
              </w:rPr>
              <w:t>Tematisko izglītojošo pasākumu organizēšana</w:t>
            </w:r>
          </w:p>
        </w:tc>
        <w:tc>
          <w:tcPr>
            <w:tcW w:w="1701" w:type="dxa"/>
            <w:shd w:val="clear" w:color="auto" w:fill="FFFFFF" w:themeFill="background1"/>
          </w:tcPr>
          <w:p w14:paraId="298FEC23" w14:textId="77777777"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II,</w:t>
            </w:r>
          </w:p>
          <w:p w14:paraId="449D55F5" w14:textId="391CF9C2"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bCs/>
                <w:sz w:val="20"/>
                <w:szCs w:val="20"/>
              </w:rPr>
              <w:t>visu plāna periodu</w:t>
            </w:r>
          </w:p>
        </w:tc>
        <w:tc>
          <w:tcPr>
            <w:tcW w:w="1984" w:type="dxa"/>
            <w:shd w:val="clear" w:color="auto" w:fill="FFFFFF" w:themeFill="background1"/>
          </w:tcPr>
          <w:p w14:paraId="692A3F07" w14:textId="1D1328B1" w:rsidR="007A479F" w:rsidRPr="00A07F29" w:rsidRDefault="007A479F"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NVO, TIC</w:t>
            </w:r>
          </w:p>
        </w:tc>
        <w:tc>
          <w:tcPr>
            <w:tcW w:w="1560" w:type="dxa"/>
            <w:shd w:val="clear" w:color="auto" w:fill="FFFFFF" w:themeFill="background1"/>
          </w:tcPr>
          <w:p w14:paraId="7CB02F65" w14:textId="0F9506F6" w:rsidR="007A479F" w:rsidRPr="00A07F29" w:rsidRDefault="007A479F"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Nav nosakāms</w:t>
            </w:r>
          </w:p>
        </w:tc>
        <w:tc>
          <w:tcPr>
            <w:tcW w:w="1984" w:type="dxa"/>
            <w:shd w:val="clear" w:color="auto" w:fill="FFFFFF" w:themeFill="background1"/>
          </w:tcPr>
          <w:p w14:paraId="1CD64D1B" w14:textId="0513518B" w:rsidR="007A479F" w:rsidRPr="00A07F29" w:rsidRDefault="007A479F"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Projektu finansējums</w:t>
            </w:r>
          </w:p>
        </w:tc>
        <w:tc>
          <w:tcPr>
            <w:tcW w:w="3686" w:type="dxa"/>
            <w:shd w:val="clear" w:color="auto" w:fill="FFFFFF" w:themeFill="background1"/>
          </w:tcPr>
          <w:p w14:paraId="73808DA2" w14:textId="70CE26CD" w:rsidR="007A479F" w:rsidRPr="00A07F29" w:rsidRDefault="007A479F" w:rsidP="007A479F">
            <w:pPr>
              <w:spacing w:after="0" w:line="240" w:lineRule="auto"/>
              <w:ind w:left="34"/>
              <w:rPr>
                <w:rFonts w:ascii="Times New Roman" w:eastAsia="Calibri" w:hAnsi="Times New Roman" w:cs="Times New Roman"/>
                <w:bCs/>
                <w:sz w:val="20"/>
                <w:szCs w:val="20"/>
              </w:rPr>
            </w:pPr>
            <w:r w:rsidRPr="00A07F29">
              <w:rPr>
                <w:rFonts w:ascii="Times New Roman" w:eastAsia="Calibri" w:hAnsi="Times New Roman" w:cs="Times New Roman"/>
                <w:sz w:val="20"/>
                <w:szCs w:val="20"/>
              </w:rPr>
              <w:t>Notiek nodarbības, ir piemērotas telpas un informācijas materiāli</w:t>
            </w:r>
          </w:p>
        </w:tc>
      </w:tr>
      <w:tr w:rsidR="007A479F" w:rsidRPr="00A07F29" w14:paraId="29C229DE" w14:textId="25C67F75" w:rsidTr="4284A616">
        <w:trPr>
          <w:jc w:val="center"/>
        </w:trPr>
        <w:tc>
          <w:tcPr>
            <w:tcW w:w="846" w:type="dxa"/>
            <w:shd w:val="clear" w:color="auto" w:fill="FFFFFF" w:themeFill="background1"/>
          </w:tcPr>
          <w:p w14:paraId="59E4C466" w14:textId="13CB2B67" w:rsidR="007A479F" w:rsidRPr="00A07F29" w:rsidRDefault="007A479F" w:rsidP="007A479F">
            <w:pPr>
              <w:spacing w:after="0" w:line="240" w:lineRule="auto"/>
              <w:jc w:val="center"/>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C.4.</w:t>
            </w:r>
          </w:p>
        </w:tc>
        <w:tc>
          <w:tcPr>
            <w:tcW w:w="3402" w:type="dxa"/>
            <w:shd w:val="clear" w:color="auto" w:fill="FFFFFF" w:themeFill="background1"/>
          </w:tcPr>
          <w:p w14:paraId="6364F3CA" w14:textId="16652EF5" w:rsidR="007A479F" w:rsidRPr="00A07F29" w:rsidRDefault="007A479F" w:rsidP="007A479F">
            <w:pPr>
              <w:spacing w:after="0" w:line="240" w:lineRule="auto"/>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C.4.4.</w:t>
            </w:r>
            <w:r w:rsidR="007F353F">
              <w:rPr>
                <w:rFonts w:ascii="Times New Roman" w:eastAsia="Calibri" w:hAnsi="Times New Roman" w:cs="Times New Roman"/>
                <w:bCs/>
                <w:sz w:val="20"/>
                <w:szCs w:val="20"/>
              </w:rPr>
              <w:t> </w:t>
            </w:r>
            <w:r w:rsidRPr="00A07F29">
              <w:rPr>
                <w:rFonts w:ascii="Times New Roman" w:eastAsia="Calibri" w:hAnsi="Times New Roman" w:cs="Times New Roman"/>
                <w:bCs/>
                <w:sz w:val="20"/>
                <w:szCs w:val="20"/>
              </w:rPr>
              <w:t>Tematisko sporta un tūrisma pasākumu organizēšana</w:t>
            </w:r>
          </w:p>
        </w:tc>
        <w:tc>
          <w:tcPr>
            <w:tcW w:w="1701" w:type="dxa"/>
            <w:shd w:val="clear" w:color="auto" w:fill="FFFFFF" w:themeFill="background1"/>
          </w:tcPr>
          <w:p w14:paraId="3882D22B" w14:textId="5342592C"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III,</w:t>
            </w:r>
          </w:p>
          <w:p w14:paraId="44250F47" w14:textId="357A3A47"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bCs/>
                <w:sz w:val="20"/>
                <w:szCs w:val="20"/>
              </w:rPr>
              <w:t>visu plāna periodu</w:t>
            </w:r>
          </w:p>
        </w:tc>
        <w:tc>
          <w:tcPr>
            <w:tcW w:w="1984" w:type="dxa"/>
            <w:shd w:val="clear" w:color="auto" w:fill="FFFFFF" w:themeFill="background1"/>
          </w:tcPr>
          <w:p w14:paraId="4505AEBC" w14:textId="49B50E7F" w:rsidR="007A479F" w:rsidRPr="00A07F29" w:rsidRDefault="007A479F"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Pašvaldības, TIC, uzņēmēji</w:t>
            </w:r>
          </w:p>
        </w:tc>
        <w:tc>
          <w:tcPr>
            <w:tcW w:w="1560" w:type="dxa"/>
            <w:shd w:val="clear" w:color="auto" w:fill="FFFFFF" w:themeFill="background1"/>
          </w:tcPr>
          <w:p w14:paraId="2D053226" w14:textId="42C73157" w:rsidR="007A479F" w:rsidRPr="00A07F29" w:rsidRDefault="007A479F"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Nav nosakāms</w:t>
            </w:r>
          </w:p>
        </w:tc>
        <w:tc>
          <w:tcPr>
            <w:tcW w:w="1984" w:type="dxa"/>
            <w:shd w:val="clear" w:color="auto" w:fill="FFFFFF" w:themeFill="background1"/>
          </w:tcPr>
          <w:p w14:paraId="3CD600D8" w14:textId="6F1DA090" w:rsidR="007A479F" w:rsidRPr="00A07F29" w:rsidRDefault="007A479F"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Pašvaldību un TIC budžets, uzņēmēju līdzekļi, projektu finansējums</w:t>
            </w:r>
          </w:p>
        </w:tc>
        <w:tc>
          <w:tcPr>
            <w:tcW w:w="3686" w:type="dxa"/>
            <w:shd w:val="clear" w:color="auto" w:fill="FFFFFF" w:themeFill="background1"/>
          </w:tcPr>
          <w:p w14:paraId="4B146BDE" w14:textId="6458C6F8" w:rsidR="007A479F" w:rsidRPr="00A07F29" w:rsidRDefault="007A479F" w:rsidP="007A479F">
            <w:pPr>
              <w:spacing w:after="0" w:line="240" w:lineRule="auto"/>
              <w:ind w:left="34"/>
              <w:rPr>
                <w:rFonts w:ascii="Times New Roman" w:eastAsia="Calibri" w:hAnsi="Times New Roman" w:cs="Times New Roman"/>
                <w:bCs/>
                <w:sz w:val="20"/>
                <w:szCs w:val="20"/>
              </w:rPr>
            </w:pPr>
            <w:r w:rsidRPr="00A07F29">
              <w:rPr>
                <w:rFonts w:ascii="Times New Roman" w:eastAsia="Calibri" w:hAnsi="Times New Roman" w:cs="Times New Roman"/>
                <w:sz w:val="20"/>
                <w:szCs w:val="20"/>
              </w:rPr>
              <w:t>Ik gadu notiek “Lielais plosts” u.c. pasākumi</w:t>
            </w:r>
          </w:p>
        </w:tc>
      </w:tr>
      <w:tr w:rsidR="007A479F" w:rsidRPr="00A07F29" w14:paraId="7BF6FF1A" w14:textId="697AFE9C" w:rsidTr="4284A616">
        <w:trPr>
          <w:jc w:val="center"/>
        </w:trPr>
        <w:tc>
          <w:tcPr>
            <w:tcW w:w="846" w:type="dxa"/>
            <w:shd w:val="clear" w:color="auto" w:fill="FFFFFF" w:themeFill="background1"/>
          </w:tcPr>
          <w:p w14:paraId="59E19D0A" w14:textId="232842BF" w:rsidR="007A479F" w:rsidRPr="00A07F29" w:rsidRDefault="007A479F" w:rsidP="007A479F">
            <w:pPr>
              <w:spacing w:after="0" w:line="240" w:lineRule="auto"/>
              <w:jc w:val="center"/>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C.4.</w:t>
            </w:r>
          </w:p>
        </w:tc>
        <w:tc>
          <w:tcPr>
            <w:tcW w:w="3402" w:type="dxa"/>
            <w:shd w:val="clear" w:color="auto" w:fill="FFFFFF" w:themeFill="background1"/>
          </w:tcPr>
          <w:p w14:paraId="1AB65172" w14:textId="58750FED" w:rsidR="007A479F" w:rsidRPr="00A07F29" w:rsidRDefault="007A479F" w:rsidP="007A479F">
            <w:pPr>
              <w:spacing w:after="0" w:line="240" w:lineRule="auto"/>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C.4.5.</w:t>
            </w:r>
            <w:r w:rsidR="00AA0235">
              <w:rPr>
                <w:rFonts w:ascii="Times New Roman" w:eastAsia="Calibri" w:hAnsi="Times New Roman" w:cs="Times New Roman"/>
                <w:bCs/>
                <w:sz w:val="20"/>
                <w:szCs w:val="20"/>
              </w:rPr>
              <w:t> </w:t>
            </w:r>
            <w:r w:rsidRPr="00A07F29">
              <w:rPr>
                <w:rFonts w:ascii="Times New Roman" w:eastAsia="Calibri" w:hAnsi="Times New Roman" w:cs="Times New Roman"/>
                <w:bCs/>
                <w:sz w:val="20"/>
                <w:szCs w:val="20"/>
              </w:rPr>
              <w:t>Tematisko kultūras pasākumu organizēšana</w:t>
            </w:r>
          </w:p>
        </w:tc>
        <w:tc>
          <w:tcPr>
            <w:tcW w:w="1701" w:type="dxa"/>
            <w:shd w:val="clear" w:color="auto" w:fill="FFFFFF" w:themeFill="background1"/>
          </w:tcPr>
          <w:p w14:paraId="16CCCBB7" w14:textId="274FE64C"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II,</w:t>
            </w:r>
          </w:p>
          <w:p w14:paraId="66D08D64" w14:textId="6D55DEEB"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bCs/>
                <w:sz w:val="20"/>
                <w:szCs w:val="20"/>
              </w:rPr>
              <w:t>visu plāna periodu</w:t>
            </w:r>
          </w:p>
        </w:tc>
        <w:tc>
          <w:tcPr>
            <w:tcW w:w="1984" w:type="dxa"/>
            <w:shd w:val="clear" w:color="auto" w:fill="FFFFFF" w:themeFill="background1"/>
          </w:tcPr>
          <w:p w14:paraId="474CBF6B" w14:textId="50AF65FB" w:rsidR="007A479F" w:rsidRPr="00A07F29" w:rsidRDefault="007A479F"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Pašvaldības, TIC, NVO</w:t>
            </w:r>
          </w:p>
        </w:tc>
        <w:tc>
          <w:tcPr>
            <w:tcW w:w="1560" w:type="dxa"/>
            <w:shd w:val="clear" w:color="auto" w:fill="FFFFFF" w:themeFill="background1"/>
          </w:tcPr>
          <w:p w14:paraId="2A521CDA" w14:textId="1DF0EE63" w:rsidR="007A479F" w:rsidRPr="00A07F29" w:rsidRDefault="007A479F" w:rsidP="007A479F">
            <w:pPr>
              <w:spacing w:after="0" w:line="240" w:lineRule="auto"/>
              <w:ind w:left="34"/>
              <w:jc w:val="both"/>
              <w:rPr>
                <w:rFonts w:ascii="Times New Roman" w:eastAsia="Calibri" w:hAnsi="Times New Roman" w:cs="Times New Roman"/>
                <w:sz w:val="20"/>
                <w:szCs w:val="20"/>
              </w:rPr>
            </w:pPr>
            <w:r w:rsidRPr="00A07F29">
              <w:rPr>
                <w:rFonts w:ascii="Times New Roman" w:hAnsi="Times New Roman" w:cs="Times New Roman"/>
                <w:sz w:val="20"/>
                <w:szCs w:val="20"/>
              </w:rPr>
              <w:t>Nav nosakāms</w:t>
            </w:r>
          </w:p>
        </w:tc>
        <w:tc>
          <w:tcPr>
            <w:tcW w:w="1984" w:type="dxa"/>
            <w:shd w:val="clear" w:color="auto" w:fill="FFFFFF" w:themeFill="background1"/>
          </w:tcPr>
          <w:p w14:paraId="727A44C4" w14:textId="46297606" w:rsidR="007A479F" w:rsidRPr="00A07F29" w:rsidRDefault="007A479F"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Pašvaldību budžets, projektu finansējums</w:t>
            </w:r>
          </w:p>
        </w:tc>
        <w:tc>
          <w:tcPr>
            <w:tcW w:w="3686" w:type="dxa"/>
            <w:shd w:val="clear" w:color="auto" w:fill="FFFFFF" w:themeFill="background1"/>
          </w:tcPr>
          <w:p w14:paraId="2E869425" w14:textId="1FD4460C" w:rsidR="007A479F" w:rsidRPr="00A07F29" w:rsidRDefault="007A479F" w:rsidP="007A479F">
            <w:pPr>
              <w:spacing w:after="0" w:line="240" w:lineRule="auto"/>
              <w:ind w:left="34"/>
              <w:rPr>
                <w:rFonts w:ascii="Times New Roman" w:eastAsia="Calibri" w:hAnsi="Times New Roman" w:cs="Times New Roman"/>
                <w:bCs/>
                <w:sz w:val="20"/>
                <w:szCs w:val="20"/>
              </w:rPr>
            </w:pPr>
            <w:r w:rsidRPr="00A07F29">
              <w:rPr>
                <w:rFonts w:ascii="Times New Roman" w:eastAsia="Calibri" w:hAnsi="Times New Roman" w:cs="Times New Roman"/>
                <w:sz w:val="20"/>
                <w:szCs w:val="20"/>
              </w:rPr>
              <w:t>Notiek starptautiskais tautas mākslas festivāls “Augšdaugava” u.c. tematiski kultūras pasākumi</w:t>
            </w:r>
          </w:p>
        </w:tc>
      </w:tr>
      <w:tr w:rsidR="007A479F" w:rsidRPr="00A07F29" w14:paraId="4D7F9EA8" w14:textId="77777777" w:rsidTr="4284A616">
        <w:trPr>
          <w:jc w:val="center"/>
        </w:trPr>
        <w:tc>
          <w:tcPr>
            <w:tcW w:w="846" w:type="dxa"/>
            <w:shd w:val="clear" w:color="auto" w:fill="FFFFFF" w:themeFill="background1"/>
          </w:tcPr>
          <w:p w14:paraId="2CBF1AA3" w14:textId="16AB20FA" w:rsidR="007A479F" w:rsidRPr="00A07F29" w:rsidRDefault="007A479F" w:rsidP="007A479F">
            <w:pPr>
              <w:spacing w:after="0" w:line="240" w:lineRule="auto"/>
              <w:jc w:val="center"/>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D.1.</w:t>
            </w:r>
          </w:p>
        </w:tc>
        <w:tc>
          <w:tcPr>
            <w:tcW w:w="3402" w:type="dxa"/>
            <w:shd w:val="clear" w:color="auto" w:fill="FFFFFF" w:themeFill="background1"/>
          </w:tcPr>
          <w:p w14:paraId="3A6DAB7E" w14:textId="0DFBB7DB" w:rsidR="007A479F" w:rsidRPr="00A07F29" w:rsidRDefault="007A479F" w:rsidP="007A479F">
            <w:pPr>
              <w:spacing w:after="0" w:line="240" w:lineRule="auto"/>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D.1.1.</w:t>
            </w:r>
            <w:r w:rsidR="00CB72E5">
              <w:rPr>
                <w:rFonts w:ascii="Times New Roman" w:eastAsia="Calibri" w:hAnsi="Times New Roman" w:cs="Times New Roman"/>
                <w:bCs/>
                <w:sz w:val="20"/>
                <w:szCs w:val="20"/>
              </w:rPr>
              <w:t> </w:t>
            </w:r>
            <w:r w:rsidRPr="00A07F29">
              <w:rPr>
                <w:rFonts w:ascii="Times New Roman" w:eastAsia="Calibri" w:hAnsi="Times New Roman" w:cs="Times New Roman"/>
                <w:bCs/>
                <w:sz w:val="20"/>
                <w:szCs w:val="20"/>
              </w:rPr>
              <w:t>Adamovas pilskalna skatu laukuma infrastruktūras pilnveidošana un uzturēšana</w:t>
            </w:r>
          </w:p>
        </w:tc>
        <w:tc>
          <w:tcPr>
            <w:tcW w:w="1701" w:type="dxa"/>
            <w:shd w:val="clear" w:color="auto" w:fill="FFFFFF" w:themeFill="background1"/>
          </w:tcPr>
          <w:p w14:paraId="1822056A" w14:textId="77777777"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II,</w:t>
            </w:r>
          </w:p>
          <w:p w14:paraId="1C58D72B" w14:textId="34AFAD47"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bCs/>
                <w:sz w:val="20"/>
                <w:szCs w:val="20"/>
              </w:rPr>
              <w:t>visu plāna periodu</w:t>
            </w:r>
          </w:p>
        </w:tc>
        <w:tc>
          <w:tcPr>
            <w:tcW w:w="1984" w:type="dxa"/>
            <w:shd w:val="clear" w:color="auto" w:fill="FFFFFF" w:themeFill="background1"/>
          </w:tcPr>
          <w:p w14:paraId="4264BF57" w14:textId="63A78F99" w:rsidR="007A479F" w:rsidRPr="00A07F29" w:rsidRDefault="007A479F"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Pašvaldība, uzņēmēji</w:t>
            </w:r>
          </w:p>
        </w:tc>
        <w:tc>
          <w:tcPr>
            <w:tcW w:w="1560" w:type="dxa"/>
            <w:shd w:val="clear" w:color="auto" w:fill="FFFFFF" w:themeFill="background1"/>
          </w:tcPr>
          <w:p w14:paraId="79CCD430" w14:textId="71DED583" w:rsidR="007A479F" w:rsidRPr="00A07F29" w:rsidRDefault="00BA730D"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Atkarībā no tehniskā projekta, sākot no 250</w:t>
            </w:r>
            <w:r w:rsidR="00FF241E">
              <w:rPr>
                <w:rFonts w:ascii="Times New Roman" w:eastAsia="Calibri" w:hAnsi="Times New Roman" w:cs="Times New Roman"/>
                <w:sz w:val="20"/>
                <w:szCs w:val="20"/>
              </w:rPr>
              <w:t> </w:t>
            </w:r>
            <w:r w:rsidRPr="00A07F29">
              <w:rPr>
                <w:rFonts w:ascii="Times New Roman" w:eastAsia="Calibri" w:hAnsi="Times New Roman" w:cs="Times New Roman"/>
                <w:sz w:val="20"/>
                <w:szCs w:val="20"/>
              </w:rPr>
              <w:t>000</w:t>
            </w:r>
            <w:r w:rsidR="00FF241E">
              <w:rPr>
                <w:rFonts w:ascii="Times New Roman" w:eastAsia="Calibri" w:hAnsi="Times New Roman" w:cs="Times New Roman"/>
                <w:sz w:val="20"/>
                <w:szCs w:val="20"/>
              </w:rPr>
              <w:t> </w:t>
            </w:r>
            <w:r w:rsidRPr="00A07F29">
              <w:rPr>
                <w:rFonts w:ascii="Times New Roman" w:eastAsia="Calibri" w:hAnsi="Times New Roman" w:cs="Times New Roman"/>
                <w:sz w:val="20"/>
                <w:szCs w:val="20"/>
              </w:rPr>
              <w:t>EUR</w:t>
            </w:r>
          </w:p>
        </w:tc>
        <w:tc>
          <w:tcPr>
            <w:tcW w:w="1984" w:type="dxa"/>
            <w:shd w:val="clear" w:color="auto" w:fill="FFFFFF" w:themeFill="background1"/>
          </w:tcPr>
          <w:p w14:paraId="23BD6653" w14:textId="4B006D53" w:rsidR="007A479F" w:rsidRPr="00A07F29" w:rsidRDefault="007A479F"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Pašvaldības budžets, projektu finansējums</w:t>
            </w:r>
          </w:p>
        </w:tc>
        <w:tc>
          <w:tcPr>
            <w:tcW w:w="3686" w:type="dxa"/>
            <w:shd w:val="clear" w:color="auto" w:fill="FFFFFF" w:themeFill="background1"/>
          </w:tcPr>
          <w:p w14:paraId="2E0D40E7" w14:textId="27477BEC" w:rsidR="007A479F" w:rsidRPr="00A07F29" w:rsidRDefault="007A479F" w:rsidP="007A479F">
            <w:pPr>
              <w:spacing w:after="0" w:line="240" w:lineRule="auto"/>
              <w:ind w:left="34"/>
              <w:rPr>
                <w:rFonts w:ascii="Times New Roman" w:eastAsia="Calibri" w:hAnsi="Times New Roman" w:cs="Times New Roman"/>
                <w:sz w:val="20"/>
                <w:szCs w:val="20"/>
              </w:rPr>
            </w:pPr>
            <w:r w:rsidRPr="00A07F29">
              <w:rPr>
                <w:rFonts w:ascii="Times New Roman" w:eastAsia="Calibri" w:hAnsi="Times New Roman" w:cs="Times New Roman"/>
                <w:sz w:val="20"/>
                <w:szCs w:val="20"/>
              </w:rPr>
              <w:t>Atjaunots auto stāvlaukuma un ietvju segums, ierīkotas kāpnes u.c. infrastruktūra, sanitārais mezgls pieslēgts pie centrālās kanalizācijas un ūdensvada tīkliem, infrastruktūra labā kārtībā</w:t>
            </w:r>
          </w:p>
        </w:tc>
      </w:tr>
      <w:tr w:rsidR="007A479F" w:rsidRPr="00A07F29" w14:paraId="30489CE4" w14:textId="77777777" w:rsidTr="4284A616">
        <w:trPr>
          <w:jc w:val="center"/>
        </w:trPr>
        <w:tc>
          <w:tcPr>
            <w:tcW w:w="846" w:type="dxa"/>
            <w:shd w:val="clear" w:color="auto" w:fill="FFFFFF" w:themeFill="background1"/>
          </w:tcPr>
          <w:p w14:paraId="7E39638D" w14:textId="4E59F68D" w:rsidR="007A479F" w:rsidRPr="00A07F29" w:rsidRDefault="007A479F" w:rsidP="007A479F">
            <w:pPr>
              <w:spacing w:after="0" w:line="240" w:lineRule="auto"/>
              <w:jc w:val="center"/>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D.1.</w:t>
            </w:r>
          </w:p>
        </w:tc>
        <w:tc>
          <w:tcPr>
            <w:tcW w:w="3402" w:type="dxa"/>
            <w:shd w:val="clear" w:color="auto" w:fill="FFFFFF" w:themeFill="background1"/>
          </w:tcPr>
          <w:p w14:paraId="7AAD1C2B" w14:textId="44E79F4F" w:rsidR="007A479F" w:rsidRPr="00A07F29" w:rsidRDefault="007A479F" w:rsidP="007A479F">
            <w:pPr>
              <w:spacing w:after="0" w:line="240" w:lineRule="auto"/>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D.1.2.</w:t>
            </w:r>
            <w:r w:rsidR="004A682A">
              <w:rPr>
                <w:rFonts w:ascii="Times New Roman" w:eastAsia="Calibri" w:hAnsi="Times New Roman" w:cs="Times New Roman"/>
                <w:bCs/>
                <w:sz w:val="20"/>
                <w:szCs w:val="20"/>
              </w:rPr>
              <w:t> </w:t>
            </w:r>
            <w:r w:rsidRPr="00A07F29">
              <w:rPr>
                <w:rFonts w:ascii="Times New Roman" w:eastAsia="Calibri" w:hAnsi="Times New Roman" w:cs="Times New Roman"/>
                <w:bCs/>
                <w:sz w:val="20"/>
                <w:szCs w:val="20"/>
              </w:rPr>
              <w:t>Dinaburgas kultūrvēsturiskā kompleksa infrastruktūras uzturēšana un attīstība</w:t>
            </w:r>
          </w:p>
        </w:tc>
        <w:tc>
          <w:tcPr>
            <w:tcW w:w="1701" w:type="dxa"/>
            <w:shd w:val="clear" w:color="auto" w:fill="FFFFFF" w:themeFill="background1"/>
          </w:tcPr>
          <w:p w14:paraId="02244101" w14:textId="77777777"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II,</w:t>
            </w:r>
          </w:p>
          <w:p w14:paraId="5E1E98E0" w14:textId="1E783624"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bCs/>
                <w:sz w:val="20"/>
                <w:szCs w:val="20"/>
              </w:rPr>
              <w:t>visu plāna periodu</w:t>
            </w:r>
          </w:p>
        </w:tc>
        <w:tc>
          <w:tcPr>
            <w:tcW w:w="1984" w:type="dxa"/>
            <w:shd w:val="clear" w:color="auto" w:fill="FFFFFF" w:themeFill="background1"/>
          </w:tcPr>
          <w:p w14:paraId="2595E53B" w14:textId="72A933B2" w:rsidR="007A479F" w:rsidRPr="00A07F29" w:rsidRDefault="007A479F"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Pašvaldība</w:t>
            </w:r>
          </w:p>
        </w:tc>
        <w:tc>
          <w:tcPr>
            <w:tcW w:w="1560" w:type="dxa"/>
            <w:shd w:val="clear" w:color="auto" w:fill="FFFFFF" w:themeFill="background1"/>
          </w:tcPr>
          <w:p w14:paraId="765CCECE" w14:textId="5926C88F" w:rsidR="007A479F" w:rsidRPr="00A07F29" w:rsidRDefault="00BA730D"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Atkarībā no tehniskā projekta</w:t>
            </w:r>
          </w:p>
        </w:tc>
        <w:tc>
          <w:tcPr>
            <w:tcW w:w="1984" w:type="dxa"/>
            <w:shd w:val="clear" w:color="auto" w:fill="FFFFFF" w:themeFill="background1"/>
          </w:tcPr>
          <w:p w14:paraId="31DCA137" w14:textId="03A296BE" w:rsidR="007A479F" w:rsidRPr="00A07F29" w:rsidRDefault="007A479F"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Pašvaldības budžets, projektu finansējums</w:t>
            </w:r>
          </w:p>
        </w:tc>
        <w:tc>
          <w:tcPr>
            <w:tcW w:w="3686" w:type="dxa"/>
            <w:shd w:val="clear" w:color="auto" w:fill="FFFFFF" w:themeFill="background1"/>
          </w:tcPr>
          <w:p w14:paraId="0287D6D0" w14:textId="202B5080" w:rsidR="007A479F" w:rsidRPr="00A07F29" w:rsidRDefault="007A479F" w:rsidP="007A479F">
            <w:pPr>
              <w:spacing w:after="0" w:line="240" w:lineRule="auto"/>
              <w:ind w:left="34"/>
              <w:rPr>
                <w:rFonts w:ascii="Times New Roman" w:eastAsia="Calibri" w:hAnsi="Times New Roman" w:cs="Times New Roman"/>
                <w:sz w:val="20"/>
                <w:szCs w:val="20"/>
              </w:rPr>
            </w:pPr>
            <w:r w:rsidRPr="00A07F29">
              <w:rPr>
                <w:rFonts w:ascii="Times New Roman" w:eastAsia="Calibri" w:hAnsi="Times New Roman" w:cs="Times New Roman"/>
                <w:sz w:val="20"/>
                <w:szCs w:val="20"/>
              </w:rPr>
              <w:t xml:space="preserve">Infrastruktūra labā kārtībā, izvietoti </w:t>
            </w:r>
            <w:r w:rsidR="004A682A">
              <w:rPr>
                <w:rFonts w:ascii="Times New Roman" w:eastAsia="Calibri" w:hAnsi="Times New Roman" w:cs="Times New Roman"/>
                <w:sz w:val="20"/>
                <w:szCs w:val="20"/>
              </w:rPr>
              <w:t>trīs</w:t>
            </w:r>
            <w:r w:rsidRPr="00A07F29">
              <w:rPr>
                <w:rFonts w:ascii="Times New Roman" w:eastAsia="Calibri" w:hAnsi="Times New Roman" w:cs="Times New Roman"/>
                <w:sz w:val="20"/>
                <w:szCs w:val="20"/>
              </w:rPr>
              <w:t xml:space="preserve"> stendi</w:t>
            </w:r>
          </w:p>
        </w:tc>
      </w:tr>
      <w:tr w:rsidR="007A479F" w:rsidRPr="00A07F29" w14:paraId="6ADCB024" w14:textId="77777777" w:rsidTr="4284A616">
        <w:trPr>
          <w:jc w:val="center"/>
        </w:trPr>
        <w:tc>
          <w:tcPr>
            <w:tcW w:w="846" w:type="dxa"/>
            <w:shd w:val="clear" w:color="auto" w:fill="FFFFFF" w:themeFill="background1"/>
          </w:tcPr>
          <w:p w14:paraId="498D0F8F" w14:textId="1B5C8EFD" w:rsidR="007A479F" w:rsidRPr="00A07F29" w:rsidRDefault="007A479F" w:rsidP="007A479F">
            <w:pPr>
              <w:spacing w:after="0" w:line="240" w:lineRule="auto"/>
              <w:jc w:val="center"/>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D.1.</w:t>
            </w:r>
          </w:p>
        </w:tc>
        <w:tc>
          <w:tcPr>
            <w:tcW w:w="3402" w:type="dxa"/>
            <w:shd w:val="clear" w:color="auto" w:fill="FFFFFF" w:themeFill="background1"/>
          </w:tcPr>
          <w:p w14:paraId="439ACA73" w14:textId="22241D1C" w:rsidR="007A479F" w:rsidRPr="00A07F29" w:rsidRDefault="007A479F" w:rsidP="007A479F">
            <w:pPr>
              <w:spacing w:after="0" w:line="240" w:lineRule="auto"/>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D.1.3.</w:t>
            </w:r>
            <w:r w:rsidR="004A682A">
              <w:rPr>
                <w:rFonts w:ascii="Times New Roman" w:eastAsia="Calibri" w:hAnsi="Times New Roman" w:cs="Times New Roman"/>
                <w:bCs/>
                <w:sz w:val="20"/>
                <w:szCs w:val="20"/>
              </w:rPr>
              <w:t> </w:t>
            </w:r>
            <w:r w:rsidRPr="00A07F29">
              <w:rPr>
                <w:rFonts w:ascii="Times New Roman" w:eastAsia="Calibri" w:hAnsi="Times New Roman" w:cs="Times New Roman"/>
                <w:bCs/>
                <w:sz w:val="20"/>
                <w:szCs w:val="20"/>
              </w:rPr>
              <w:t xml:space="preserve">Infrastruktūras pilnveidošana un uzturēšana pie </w:t>
            </w:r>
            <w:proofErr w:type="spellStart"/>
            <w:r w:rsidRPr="00A07F29">
              <w:rPr>
                <w:rFonts w:ascii="Times New Roman" w:eastAsia="Calibri" w:hAnsi="Times New Roman" w:cs="Times New Roman"/>
                <w:bCs/>
                <w:sz w:val="20"/>
                <w:szCs w:val="20"/>
              </w:rPr>
              <w:t>Poguļankas</w:t>
            </w:r>
            <w:proofErr w:type="spellEnd"/>
            <w:r w:rsidRPr="00A07F29">
              <w:rPr>
                <w:rFonts w:ascii="Times New Roman" w:eastAsia="Calibri" w:hAnsi="Times New Roman" w:cs="Times New Roman"/>
                <w:bCs/>
                <w:sz w:val="20"/>
                <w:szCs w:val="20"/>
              </w:rPr>
              <w:t xml:space="preserve"> </w:t>
            </w:r>
            <w:proofErr w:type="spellStart"/>
            <w:r w:rsidRPr="00A07F29">
              <w:rPr>
                <w:rFonts w:ascii="Times New Roman" w:eastAsia="Calibri" w:hAnsi="Times New Roman" w:cs="Times New Roman"/>
                <w:bCs/>
                <w:sz w:val="20"/>
                <w:szCs w:val="20"/>
              </w:rPr>
              <w:t>arkveida</w:t>
            </w:r>
            <w:proofErr w:type="spellEnd"/>
            <w:r w:rsidRPr="00A07F29">
              <w:rPr>
                <w:rFonts w:ascii="Times New Roman" w:eastAsia="Calibri" w:hAnsi="Times New Roman" w:cs="Times New Roman"/>
                <w:bCs/>
                <w:sz w:val="20"/>
                <w:szCs w:val="20"/>
              </w:rPr>
              <w:t xml:space="preserve"> tilta</w:t>
            </w:r>
          </w:p>
        </w:tc>
        <w:tc>
          <w:tcPr>
            <w:tcW w:w="1701" w:type="dxa"/>
            <w:shd w:val="clear" w:color="auto" w:fill="FFFFFF" w:themeFill="background1"/>
          </w:tcPr>
          <w:p w14:paraId="04F2010E" w14:textId="77777777"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II,</w:t>
            </w:r>
          </w:p>
          <w:p w14:paraId="24556E07" w14:textId="42F6A84F"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bCs/>
                <w:sz w:val="20"/>
                <w:szCs w:val="20"/>
              </w:rPr>
              <w:t>visu plāna periodu</w:t>
            </w:r>
          </w:p>
        </w:tc>
        <w:tc>
          <w:tcPr>
            <w:tcW w:w="1984" w:type="dxa"/>
            <w:shd w:val="clear" w:color="auto" w:fill="FFFFFF" w:themeFill="background1"/>
          </w:tcPr>
          <w:p w14:paraId="2A5DE7CF" w14:textId="71ADE78D" w:rsidR="007A479F" w:rsidRPr="00A07F29" w:rsidRDefault="007A479F"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Pašvaldība</w:t>
            </w:r>
          </w:p>
        </w:tc>
        <w:tc>
          <w:tcPr>
            <w:tcW w:w="1560" w:type="dxa"/>
            <w:shd w:val="clear" w:color="auto" w:fill="FFFFFF" w:themeFill="background1"/>
          </w:tcPr>
          <w:p w14:paraId="1E37DE8F" w14:textId="739978A9" w:rsidR="007A479F" w:rsidRPr="00A07F29" w:rsidRDefault="00BA730D"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Atkarībā no tehniskā projekta, sākot no 200</w:t>
            </w:r>
            <w:r w:rsidR="00BF4AD7">
              <w:rPr>
                <w:rFonts w:ascii="Times New Roman" w:eastAsia="Calibri" w:hAnsi="Times New Roman" w:cs="Times New Roman"/>
                <w:sz w:val="20"/>
                <w:szCs w:val="20"/>
              </w:rPr>
              <w:t> </w:t>
            </w:r>
            <w:r w:rsidRPr="00A07F29">
              <w:rPr>
                <w:rFonts w:ascii="Times New Roman" w:eastAsia="Calibri" w:hAnsi="Times New Roman" w:cs="Times New Roman"/>
                <w:sz w:val="20"/>
                <w:szCs w:val="20"/>
              </w:rPr>
              <w:t>000</w:t>
            </w:r>
            <w:r w:rsidR="00BF4AD7">
              <w:rPr>
                <w:rFonts w:ascii="Times New Roman" w:eastAsia="Calibri" w:hAnsi="Times New Roman" w:cs="Times New Roman"/>
                <w:sz w:val="20"/>
                <w:szCs w:val="20"/>
              </w:rPr>
              <w:t> </w:t>
            </w:r>
            <w:r w:rsidRPr="00A07F29">
              <w:rPr>
                <w:rFonts w:ascii="Times New Roman" w:eastAsia="Calibri" w:hAnsi="Times New Roman" w:cs="Times New Roman"/>
                <w:sz w:val="20"/>
                <w:szCs w:val="20"/>
              </w:rPr>
              <w:t>EUR</w:t>
            </w:r>
          </w:p>
        </w:tc>
        <w:tc>
          <w:tcPr>
            <w:tcW w:w="1984" w:type="dxa"/>
            <w:shd w:val="clear" w:color="auto" w:fill="FFFFFF" w:themeFill="background1"/>
          </w:tcPr>
          <w:p w14:paraId="38A80CDF" w14:textId="3B455A30" w:rsidR="007A479F" w:rsidRPr="00A07F29" w:rsidRDefault="007A479F"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Pašvaldības budžets, projektu finansējums</w:t>
            </w:r>
          </w:p>
        </w:tc>
        <w:tc>
          <w:tcPr>
            <w:tcW w:w="3686" w:type="dxa"/>
            <w:shd w:val="clear" w:color="auto" w:fill="FFFFFF" w:themeFill="background1"/>
          </w:tcPr>
          <w:p w14:paraId="6F92B954" w14:textId="6CE0A9E4" w:rsidR="007A479F" w:rsidRPr="00A07F29" w:rsidRDefault="007A479F" w:rsidP="007A479F">
            <w:pPr>
              <w:spacing w:after="0" w:line="240" w:lineRule="auto"/>
              <w:ind w:left="34"/>
              <w:rPr>
                <w:rFonts w:ascii="Times New Roman" w:eastAsia="Calibri" w:hAnsi="Times New Roman" w:cs="Times New Roman"/>
                <w:sz w:val="20"/>
                <w:szCs w:val="20"/>
              </w:rPr>
            </w:pPr>
            <w:r w:rsidRPr="00A07F29">
              <w:rPr>
                <w:rFonts w:ascii="Times New Roman" w:eastAsia="Calibri" w:hAnsi="Times New Roman" w:cs="Times New Roman"/>
                <w:sz w:val="20"/>
                <w:szCs w:val="20"/>
              </w:rPr>
              <w:t xml:space="preserve">Izveidota automašīnu stāvvieta, atjaunots piebraucamais ceļš, atjaunoti pakāpieni uz avotu, </w:t>
            </w:r>
            <w:proofErr w:type="spellStart"/>
            <w:r w:rsidRPr="00A07F29">
              <w:rPr>
                <w:rFonts w:ascii="Times New Roman" w:eastAsia="Calibri" w:hAnsi="Times New Roman" w:cs="Times New Roman"/>
                <w:sz w:val="20"/>
                <w:szCs w:val="20"/>
              </w:rPr>
              <w:t>infrastuktūra</w:t>
            </w:r>
            <w:proofErr w:type="spellEnd"/>
            <w:r w:rsidRPr="00A07F29">
              <w:rPr>
                <w:rFonts w:ascii="Times New Roman" w:eastAsia="Calibri" w:hAnsi="Times New Roman" w:cs="Times New Roman"/>
                <w:sz w:val="20"/>
                <w:szCs w:val="20"/>
              </w:rPr>
              <w:t xml:space="preserve"> labā kārtībā</w:t>
            </w:r>
          </w:p>
        </w:tc>
      </w:tr>
      <w:tr w:rsidR="007A479F" w:rsidRPr="00A07F29" w14:paraId="0AD0C83F" w14:textId="77777777" w:rsidTr="4284A616">
        <w:trPr>
          <w:jc w:val="center"/>
        </w:trPr>
        <w:tc>
          <w:tcPr>
            <w:tcW w:w="846" w:type="dxa"/>
            <w:shd w:val="clear" w:color="auto" w:fill="FFFFFF" w:themeFill="background1"/>
          </w:tcPr>
          <w:p w14:paraId="339DF0C0" w14:textId="09C576D1" w:rsidR="007A479F" w:rsidRPr="00A07F29" w:rsidRDefault="007A479F" w:rsidP="007A479F">
            <w:pPr>
              <w:spacing w:after="0" w:line="240" w:lineRule="auto"/>
              <w:jc w:val="center"/>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D.1.</w:t>
            </w:r>
          </w:p>
        </w:tc>
        <w:tc>
          <w:tcPr>
            <w:tcW w:w="3402" w:type="dxa"/>
            <w:shd w:val="clear" w:color="auto" w:fill="FFFFFF" w:themeFill="background1"/>
          </w:tcPr>
          <w:p w14:paraId="4D29B583" w14:textId="3F067A86" w:rsidR="007A479F" w:rsidRPr="00A07F29" w:rsidRDefault="007A479F" w:rsidP="007A479F">
            <w:pPr>
              <w:spacing w:after="0" w:line="240" w:lineRule="auto"/>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D.1.4.</w:t>
            </w:r>
            <w:r w:rsidR="00BF4AD7">
              <w:rPr>
                <w:rFonts w:ascii="Times New Roman" w:eastAsia="Calibri" w:hAnsi="Times New Roman" w:cs="Times New Roman"/>
                <w:bCs/>
                <w:sz w:val="20"/>
                <w:szCs w:val="20"/>
              </w:rPr>
              <w:t> </w:t>
            </w:r>
            <w:r w:rsidRPr="00A07F29">
              <w:rPr>
                <w:rFonts w:ascii="Times New Roman" w:eastAsia="Calibri" w:hAnsi="Times New Roman" w:cs="Times New Roman"/>
                <w:bCs/>
                <w:sz w:val="20"/>
                <w:szCs w:val="20"/>
              </w:rPr>
              <w:t>Infrastruktūras izveidošana un uzturēšana pie Sproģu gravām</w:t>
            </w:r>
          </w:p>
        </w:tc>
        <w:tc>
          <w:tcPr>
            <w:tcW w:w="1701" w:type="dxa"/>
            <w:shd w:val="clear" w:color="auto" w:fill="FFFFFF" w:themeFill="background1"/>
          </w:tcPr>
          <w:p w14:paraId="75FA979D" w14:textId="77777777"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II,</w:t>
            </w:r>
          </w:p>
          <w:p w14:paraId="54255288" w14:textId="18EFF5F0"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bCs/>
                <w:sz w:val="20"/>
                <w:szCs w:val="20"/>
              </w:rPr>
              <w:t>visu plāna periodu</w:t>
            </w:r>
          </w:p>
        </w:tc>
        <w:tc>
          <w:tcPr>
            <w:tcW w:w="1984" w:type="dxa"/>
            <w:shd w:val="clear" w:color="auto" w:fill="FFFFFF" w:themeFill="background1"/>
          </w:tcPr>
          <w:p w14:paraId="55B7C590" w14:textId="7D8764E7" w:rsidR="007A479F" w:rsidRPr="00A07F29" w:rsidRDefault="007A479F"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Objekta īpašnieks, TIC</w:t>
            </w:r>
          </w:p>
        </w:tc>
        <w:tc>
          <w:tcPr>
            <w:tcW w:w="1560" w:type="dxa"/>
            <w:shd w:val="clear" w:color="auto" w:fill="FFFFFF" w:themeFill="background1"/>
          </w:tcPr>
          <w:p w14:paraId="22129370" w14:textId="27B189FF" w:rsidR="007A479F" w:rsidRPr="00A07F29" w:rsidRDefault="00BA730D"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 xml:space="preserve">Atkarībā no tehniskā projekta, sākot </w:t>
            </w:r>
            <w:r w:rsidRPr="00A07F29">
              <w:rPr>
                <w:rFonts w:ascii="Times New Roman" w:eastAsia="Calibri" w:hAnsi="Times New Roman" w:cs="Times New Roman"/>
                <w:sz w:val="20"/>
                <w:szCs w:val="20"/>
              </w:rPr>
              <w:lastRenderedPageBreak/>
              <w:t>no 200</w:t>
            </w:r>
            <w:r w:rsidR="00630BE0">
              <w:rPr>
                <w:rFonts w:ascii="Times New Roman" w:eastAsia="Calibri" w:hAnsi="Times New Roman" w:cs="Times New Roman"/>
                <w:sz w:val="20"/>
                <w:szCs w:val="20"/>
              </w:rPr>
              <w:t> </w:t>
            </w:r>
            <w:r w:rsidRPr="00A07F29">
              <w:rPr>
                <w:rFonts w:ascii="Times New Roman" w:eastAsia="Calibri" w:hAnsi="Times New Roman" w:cs="Times New Roman"/>
                <w:sz w:val="20"/>
                <w:szCs w:val="20"/>
              </w:rPr>
              <w:t>000</w:t>
            </w:r>
            <w:r w:rsidR="00630BE0">
              <w:rPr>
                <w:rFonts w:ascii="Times New Roman" w:eastAsia="Calibri" w:hAnsi="Times New Roman" w:cs="Times New Roman"/>
                <w:sz w:val="20"/>
                <w:szCs w:val="20"/>
              </w:rPr>
              <w:t> </w:t>
            </w:r>
            <w:r w:rsidRPr="00A07F29">
              <w:rPr>
                <w:rFonts w:ascii="Times New Roman" w:eastAsia="Calibri" w:hAnsi="Times New Roman" w:cs="Times New Roman"/>
                <w:sz w:val="20"/>
                <w:szCs w:val="20"/>
              </w:rPr>
              <w:t>EUR</w:t>
            </w:r>
          </w:p>
        </w:tc>
        <w:tc>
          <w:tcPr>
            <w:tcW w:w="1984" w:type="dxa"/>
            <w:shd w:val="clear" w:color="auto" w:fill="FFFFFF" w:themeFill="background1"/>
          </w:tcPr>
          <w:p w14:paraId="57F3331C" w14:textId="3CF7D286" w:rsidR="007A479F" w:rsidRPr="00A07F29" w:rsidRDefault="007A479F"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lastRenderedPageBreak/>
              <w:t>Projektu finansējums</w:t>
            </w:r>
          </w:p>
        </w:tc>
        <w:tc>
          <w:tcPr>
            <w:tcW w:w="3686" w:type="dxa"/>
            <w:shd w:val="clear" w:color="auto" w:fill="FFFFFF" w:themeFill="background1"/>
          </w:tcPr>
          <w:p w14:paraId="0623145C" w14:textId="79ECF7CD" w:rsidR="007A479F" w:rsidRPr="00A07F29" w:rsidRDefault="007A479F" w:rsidP="007A479F">
            <w:pPr>
              <w:spacing w:after="0" w:line="240" w:lineRule="auto"/>
              <w:ind w:left="34"/>
              <w:rPr>
                <w:rFonts w:ascii="Times New Roman" w:eastAsia="Calibri" w:hAnsi="Times New Roman" w:cs="Times New Roman"/>
                <w:sz w:val="20"/>
                <w:szCs w:val="20"/>
              </w:rPr>
            </w:pPr>
            <w:r w:rsidRPr="00A07F29">
              <w:rPr>
                <w:rFonts w:ascii="Times New Roman" w:eastAsia="Calibri" w:hAnsi="Times New Roman" w:cs="Times New Roman"/>
                <w:sz w:val="20"/>
                <w:szCs w:val="20"/>
              </w:rPr>
              <w:t xml:space="preserve">Izveidota labiekārtota taka un automašīnu stāvlaukums, </w:t>
            </w:r>
            <w:proofErr w:type="spellStart"/>
            <w:r w:rsidRPr="00A07F29">
              <w:rPr>
                <w:rFonts w:ascii="Times New Roman" w:eastAsia="Calibri" w:hAnsi="Times New Roman" w:cs="Times New Roman"/>
                <w:sz w:val="20"/>
                <w:szCs w:val="20"/>
              </w:rPr>
              <w:t>infrastuktūra</w:t>
            </w:r>
            <w:proofErr w:type="spellEnd"/>
            <w:r w:rsidRPr="00A07F29">
              <w:rPr>
                <w:rFonts w:ascii="Times New Roman" w:eastAsia="Calibri" w:hAnsi="Times New Roman" w:cs="Times New Roman"/>
                <w:sz w:val="20"/>
                <w:szCs w:val="20"/>
              </w:rPr>
              <w:t xml:space="preserve"> labā kārtībā</w:t>
            </w:r>
          </w:p>
        </w:tc>
      </w:tr>
      <w:tr w:rsidR="007A479F" w:rsidRPr="00A07F29" w14:paraId="72866F81" w14:textId="77777777" w:rsidTr="4284A616">
        <w:trPr>
          <w:jc w:val="center"/>
        </w:trPr>
        <w:tc>
          <w:tcPr>
            <w:tcW w:w="846" w:type="dxa"/>
            <w:shd w:val="clear" w:color="auto" w:fill="FFFFFF" w:themeFill="background1"/>
          </w:tcPr>
          <w:p w14:paraId="08A01C8F" w14:textId="5A72079C" w:rsidR="007A479F" w:rsidRPr="00A07F29" w:rsidRDefault="007A479F" w:rsidP="007A479F">
            <w:pPr>
              <w:spacing w:after="0" w:line="240" w:lineRule="auto"/>
              <w:jc w:val="center"/>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D.1.</w:t>
            </w:r>
          </w:p>
        </w:tc>
        <w:tc>
          <w:tcPr>
            <w:tcW w:w="3402" w:type="dxa"/>
            <w:shd w:val="clear" w:color="auto" w:fill="FFFFFF" w:themeFill="background1"/>
          </w:tcPr>
          <w:p w14:paraId="0174450A" w14:textId="01D25ACF" w:rsidR="007A479F" w:rsidRPr="00A07F29" w:rsidRDefault="007A479F" w:rsidP="007A479F">
            <w:pPr>
              <w:spacing w:after="0" w:line="240" w:lineRule="auto"/>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D.1.5.</w:t>
            </w:r>
            <w:r w:rsidR="00630BE0">
              <w:rPr>
                <w:rFonts w:ascii="Times New Roman" w:eastAsia="Calibri" w:hAnsi="Times New Roman" w:cs="Times New Roman"/>
                <w:bCs/>
                <w:sz w:val="20"/>
                <w:szCs w:val="20"/>
              </w:rPr>
              <w:t> </w:t>
            </w:r>
            <w:r w:rsidRPr="00A07F29">
              <w:rPr>
                <w:rFonts w:ascii="Times New Roman" w:eastAsia="Calibri" w:hAnsi="Times New Roman" w:cs="Times New Roman"/>
                <w:bCs/>
                <w:sz w:val="20"/>
                <w:szCs w:val="20"/>
              </w:rPr>
              <w:t>Krāslavas promenādes izveidošana un uzturēšana</w:t>
            </w:r>
          </w:p>
        </w:tc>
        <w:tc>
          <w:tcPr>
            <w:tcW w:w="1701" w:type="dxa"/>
            <w:shd w:val="clear" w:color="auto" w:fill="FFFFFF" w:themeFill="background1"/>
          </w:tcPr>
          <w:p w14:paraId="026C9A48" w14:textId="77777777"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II,</w:t>
            </w:r>
          </w:p>
          <w:p w14:paraId="64892EC1" w14:textId="0510C2F8"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bCs/>
                <w:sz w:val="20"/>
                <w:szCs w:val="20"/>
              </w:rPr>
              <w:t>visu plāna periodu</w:t>
            </w:r>
          </w:p>
        </w:tc>
        <w:tc>
          <w:tcPr>
            <w:tcW w:w="1984" w:type="dxa"/>
            <w:shd w:val="clear" w:color="auto" w:fill="FFFFFF" w:themeFill="background1"/>
          </w:tcPr>
          <w:p w14:paraId="7DD37CB3" w14:textId="3B810E12" w:rsidR="007A479F" w:rsidRPr="00A07F29" w:rsidRDefault="007A479F"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Pašvaldība, TIC, uzņēmēji</w:t>
            </w:r>
          </w:p>
        </w:tc>
        <w:tc>
          <w:tcPr>
            <w:tcW w:w="1560" w:type="dxa"/>
            <w:shd w:val="clear" w:color="auto" w:fill="FFFFFF" w:themeFill="background1"/>
          </w:tcPr>
          <w:p w14:paraId="3563DB7C" w14:textId="4E223E06" w:rsidR="007A479F" w:rsidRPr="00A07F29" w:rsidRDefault="00BA730D"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Atkarībā no tehniskā projekta, izmaksas nav nosakāmas</w:t>
            </w:r>
          </w:p>
        </w:tc>
        <w:tc>
          <w:tcPr>
            <w:tcW w:w="1984" w:type="dxa"/>
            <w:shd w:val="clear" w:color="auto" w:fill="FFFFFF" w:themeFill="background1"/>
          </w:tcPr>
          <w:p w14:paraId="52E7F2A5" w14:textId="1999581C" w:rsidR="007A479F" w:rsidRPr="00A07F29" w:rsidRDefault="007A479F"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Pašvaldības budžets, projektu finansējums</w:t>
            </w:r>
          </w:p>
        </w:tc>
        <w:tc>
          <w:tcPr>
            <w:tcW w:w="3686" w:type="dxa"/>
            <w:shd w:val="clear" w:color="auto" w:fill="FFFFFF" w:themeFill="background1"/>
          </w:tcPr>
          <w:p w14:paraId="2754928A" w14:textId="3B92A21E" w:rsidR="007A479F" w:rsidRPr="00A07F29" w:rsidRDefault="007A479F" w:rsidP="007A479F">
            <w:pPr>
              <w:spacing w:after="0" w:line="240" w:lineRule="auto"/>
              <w:ind w:left="34"/>
              <w:rPr>
                <w:rFonts w:ascii="Times New Roman" w:eastAsia="Calibri" w:hAnsi="Times New Roman" w:cs="Times New Roman"/>
                <w:sz w:val="20"/>
                <w:szCs w:val="20"/>
              </w:rPr>
            </w:pPr>
            <w:r w:rsidRPr="00A07F29">
              <w:rPr>
                <w:rFonts w:ascii="Times New Roman" w:eastAsia="Calibri" w:hAnsi="Times New Roman" w:cs="Times New Roman"/>
                <w:sz w:val="20"/>
                <w:szCs w:val="20"/>
              </w:rPr>
              <w:t>Izbūvēta, labiekārtota un apsaimniekota promenāde</w:t>
            </w:r>
          </w:p>
        </w:tc>
      </w:tr>
      <w:tr w:rsidR="007A479F" w:rsidRPr="00A07F29" w14:paraId="15A43F55" w14:textId="77777777" w:rsidTr="4284A616">
        <w:trPr>
          <w:jc w:val="center"/>
        </w:trPr>
        <w:tc>
          <w:tcPr>
            <w:tcW w:w="846" w:type="dxa"/>
            <w:shd w:val="clear" w:color="auto" w:fill="FFFFFF" w:themeFill="background1"/>
          </w:tcPr>
          <w:p w14:paraId="2A708A9F" w14:textId="7A2523DB" w:rsidR="007A479F" w:rsidRPr="00A07F29" w:rsidRDefault="007A479F" w:rsidP="007A479F">
            <w:pPr>
              <w:spacing w:after="0" w:line="240" w:lineRule="auto"/>
              <w:jc w:val="center"/>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D.1.</w:t>
            </w:r>
          </w:p>
        </w:tc>
        <w:tc>
          <w:tcPr>
            <w:tcW w:w="3402" w:type="dxa"/>
            <w:shd w:val="clear" w:color="auto" w:fill="FFFFFF" w:themeFill="background1"/>
          </w:tcPr>
          <w:p w14:paraId="3A82B8D3" w14:textId="75506958" w:rsidR="007A479F" w:rsidRPr="00A07F29" w:rsidRDefault="007A479F" w:rsidP="007A479F">
            <w:pPr>
              <w:spacing w:after="0" w:line="240" w:lineRule="auto"/>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D.1.6.</w:t>
            </w:r>
            <w:r w:rsidR="00A56A30">
              <w:rPr>
                <w:rFonts w:ascii="Times New Roman" w:eastAsia="Calibri" w:hAnsi="Times New Roman" w:cs="Times New Roman"/>
                <w:bCs/>
                <w:sz w:val="20"/>
                <w:szCs w:val="20"/>
              </w:rPr>
              <w:t> </w:t>
            </w:r>
            <w:r w:rsidRPr="00A07F29">
              <w:rPr>
                <w:rFonts w:ascii="Times New Roman" w:eastAsia="Calibri" w:hAnsi="Times New Roman" w:cs="Times New Roman"/>
                <w:bCs/>
                <w:sz w:val="20"/>
                <w:szCs w:val="20"/>
              </w:rPr>
              <w:t>Pārceltuves pār Daugavu ierīkošana un uzturēšana</w:t>
            </w:r>
          </w:p>
        </w:tc>
        <w:tc>
          <w:tcPr>
            <w:tcW w:w="1701" w:type="dxa"/>
            <w:shd w:val="clear" w:color="auto" w:fill="FFFFFF" w:themeFill="background1"/>
          </w:tcPr>
          <w:p w14:paraId="5214059F" w14:textId="77777777"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III,</w:t>
            </w:r>
          </w:p>
          <w:p w14:paraId="43F93FEF" w14:textId="621C4A4D"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bCs/>
                <w:sz w:val="20"/>
                <w:szCs w:val="20"/>
              </w:rPr>
              <w:t>visu plāna periodu</w:t>
            </w:r>
          </w:p>
        </w:tc>
        <w:tc>
          <w:tcPr>
            <w:tcW w:w="1984" w:type="dxa"/>
            <w:shd w:val="clear" w:color="auto" w:fill="FFFFFF" w:themeFill="background1"/>
          </w:tcPr>
          <w:p w14:paraId="4C168007" w14:textId="2A6CB821" w:rsidR="007A479F" w:rsidRPr="00A07F29" w:rsidRDefault="007A479F"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Uzņēmējs, pašvaldība</w:t>
            </w:r>
          </w:p>
        </w:tc>
        <w:tc>
          <w:tcPr>
            <w:tcW w:w="1560" w:type="dxa"/>
            <w:shd w:val="clear" w:color="auto" w:fill="FFFFFF" w:themeFill="background1"/>
          </w:tcPr>
          <w:p w14:paraId="163A5BF8" w14:textId="26E96293" w:rsidR="007A479F" w:rsidRPr="00A07F29" w:rsidRDefault="00BA730D"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Atkarībā no tehniskā projekta, izmaksas nav nosakāmas</w:t>
            </w:r>
          </w:p>
        </w:tc>
        <w:tc>
          <w:tcPr>
            <w:tcW w:w="1984" w:type="dxa"/>
            <w:shd w:val="clear" w:color="auto" w:fill="FFFFFF" w:themeFill="background1"/>
          </w:tcPr>
          <w:p w14:paraId="57E70140" w14:textId="01AAF482" w:rsidR="007A479F" w:rsidRPr="00A07F29" w:rsidRDefault="007A479F"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Uzņēmēja līdzekļi, pašvaldības budžets, projekta finansējums.</w:t>
            </w:r>
          </w:p>
        </w:tc>
        <w:tc>
          <w:tcPr>
            <w:tcW w:w="3686" w:type="dxa"/>
            <w:shd w:val="clear" w:color="auto" w:fill="FFFFFF" w:themeFill="background1"/>
          </w:tcPr>
          <w:p w14:paraId="5427CB04" w14:textId="5F3D7811" w:rsidR="007A479F" w:rsidRPr="00A07F29" w:rsidRDefault="007A479F" w:rsidP="007A479F">
            <w:pPr>
              <w:spacing w:after="0" w:line="240" w:lineRule="auto"/>
              <w:rPr>
                <w:rFonts w:ascii="Times New Roman" w:eastAsia="Calibri" w:hAnsi="Times New Roman" w:cs="Times New Roman"/>
                <w:sz w:val="20"/>
                <w:szCs w:val="20"/>
              </w:rPr>
            </w:pPr>
            <w:r w:rsidRPr="00A07F29">
              <w:rPr>
                <w:rFonts w:ascii="Times New Roman" w:eastAsia="Calibri" w:hAnsi="Times New Roman" w:cs="Times New Roman"/>
                <w:sz w:val="20"/>
                <w:szCs w:val="20"/>
              </w:rPr>
              <w:t>Pārceltuve darbojas</w:t>
            </w:r>
          </w:p>
        </w:tc>
      </w:tr>
      <w:tr w:rsidR="007A479F" w:rsidRPr="00A07F29" w14:paraId="42396D06" w14:textId="77777777" w:rsidTr="4284A616">
        <w:trPr>
          <w:jc w:val="center"/>
        </w:trPr>
        <w:tc>
          <w:tcPr>
            <w:tcW w:w="846" w:type="dxa"/>
            <w:shd w:val="clear" w:color="auto" w:fill="FFFFFF" w:themeFill="background1"/>
          </w:tcPr>
          <w:p w14:paraId="591E626A" w14:textId="7DC0931F" w:rsidR="007A479F" w:rsidRPr="00A07F29" w:rsidRDefault="007A479F" w:rsidP="007A479F">
            <w:pPr>
              <w:spacing w:after="0" w:line="240" w:lineRule="auto"/>
              <w:jc w:val="center"/>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D.1.</w:t>
            </w:r>
          </w:p>
        </w:tc>
        <w:tc>
          <w:tcPr>
            <w:tcW w:w="3402" w:type="dxa"/>
            <w:shd w:val="clear" w:color="auto" w:fill="FFFFFF" w:themeFill="background1"/>
          </w:tcPr>
          <w:p w14:paraId="7DB261BC" w14:textId="4CE7C220" w:rsidR="007A479F" w:rsidRPr="00A07F29" w:rsidRDefault="007A479F" w:rsidP="007A479F">
            <w:pPr>
              <w:spacing w:after="0" w:line="240" w:lineRule="auto"/>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D.1.7.</w:t>
            </w:r>
            <w:r w:rsidR="00E4590D">
              <w:rPr>
                <w:rFonts w:ascii="Times New Roman" w:eastAsia="Calibri" w:hAnsi="Times New Roman" w:cs="Times New Roman"/>
                <w:bCs/>
                <w:sz w:val="20"/>
                <w:szCs w:val="20"/>
              </w:rPr>
              <w:t> </w:t>
            </w:r>
            <w:r w:rsidRPr="00A07F29">
              <w:rPr>
                <w:rFonts w:ascii="Times New Roman" w:eastAsia="Calibri" w:hAnsi="Times New Roman" w:cs="Times New Roman"/>
                <w:bCs/>
                <w:sz w:val="20"/>
                <w:szCs w:val="20"/>
              </w:rPr>
              <w:t>Pontonu platformas ierīkošana un uzturēšana uz Daugavas</w:t>
            </w:r>
          </w:p>
        </w:tc>
        <w:tc>
          <w:tcPr>
            <w:tcW w:w="1701" w:type="dxa"/>
            <w:shd w:val="clear" w:color="auto" w:fill="FFFFFF" w:themeFill="background1"/>
          </w:tcPr>
          <w:p w14:paraId="7CE82EDC" w14:textId="77777777"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III,</w:t>
            </w:r>
          </w:p>
          <w:p w14:paraId="3F5C5259" w14:textId="437FECA2"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bCs/>
                <w:sz w:val="20"/>
                <w:szCs w:val="20"/>
              </w:rPr>
              <w:t>visu plāna periodu</w:t>
            </w:r>
          </w:p>
        </w:tc>
        <w:tc>
          <w:tcPr>
            <w:tcW w:w="1984" w:type="dxa"/>
            <w:shd w:val="clear" w:color="auto" w:fill="FFFFFF" w:themeFill="background1"/>
          </w:tcPr>
          <w:p w14:paraId="53CFED48" w14:textId="0B409929" w:rsidR="007A479F" w:rsidRPr="00A07F29" w:rsidRDefault="007A479F"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Uzņēmējs</w:t>
            </w:r>
          </w:p>
        </w:tc>
        <w:tc>
          <w:tcPr>
            <w:tcW w:w="1560" w:type="dxa"/>
            <w:shd w:val="clear" w:color="auto" w:fill="FFFFFF" w:themeFill="background1"/>
          </w:tcPr>
          <w:p w14:paraId="6ACED1E6" w14:textId="3751A904" w:rsidR="007A479F" w:rsidRPr="00A07F29" w:rsidRDefault="00BA730D"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Atkarībā no tehniskā projekta, izmaksas nav nosakāmas</w:t>
            </w:r>
          </w:p>
        </w:tc>
        <w:tc>
          <w:tcPr>
            <w:tcW w:w="1984" w:type="dxa"/>
            <w:shd w:val="clear" w:color="auto" w:fill="FFFFFF" w:themeFill="background1"/>
          </w:tcPr>
          <w:p w14:paraId="1B57503B" w14:textId="3F5CDAEB" w:rsidR="007A479F" w:rsidRPr="00A07F29" w:rsidRDefault="007A479F"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Uzņēmēja līdzekļi, projekta finansējums.</w:t>
            </w:r>
          </w:p>
        </w:tc>
        <w:tc>
          <w:tcPr>
            <w:tcW w:w="3686" w:type="dxa"/>
            <w:shd w:val="clear" w:color="auto" w:fill="FFFFFF" w:themeFill="background1"/>
          </w:tcPr>
          <w:p w14:paraId="7FAD9BA8" w14:textId="684A07D2" w:rsidR="007A479F" w:rsidRPr="00A07F29" w:rsidRDefault="007A479F" w:rsidP="007A479F">
            <w:pPr>
              <w:spacing w:after="0" w:line="240" w:lineRule="auto"/>
              <w:ind w:left="34"/>
              <w:rPr>
                <w:rFonts w:ascii="Times New Roman" w:eastAsia="Calibri" w:hAnsi="Times New Roman" w:cs="Times New Roman"/>
                <w:sz w:val="20"/>
                <w:szCs w:val="20"/>
              </w:rPr>
            </w:pPr>
            <w:r w:rsidRPr="00A07F29">
              <w:rPr>
                <w:rFonts w:ascii="Times New Roman" w:eastAsia="Calibri" w:hAnsi="Times New Roman" w:cs="Times New Roman"/>
                <w:sz w:val="20"/>
                <w:szCs w:val="20"/>
              </w:rPr>
              <w:t>Uzbūvēta un tiek izmantota pārvietojama pontonu platforma Daugavā</w:t>
            </w:r>
          </w:p>
        </w:tc>
      </w:tr>
      <w:tr w:rsidR="007A479F" w:rsidRPr="00A07F29" w14:paraId="1FCB1ACD" w14:textId="77777777" w:rsidTr="4284A616">
        <w:trPr>
          <w:jc w:val="center"/>
        </w:trPr>
        <w:tc>
          <w:tcPr>
            <w:tcW w:w="846" w:type="dxa"/>
            <w:shd w:val="clear" w:color="auto" w:fill="FFFFFF" w:themeFill="background1"/>
          </w:tcPr>
          <w:p w14:paraId="7521BD4E" w14:textId="741D1C8C" w:rsidR="007A479F" w:rsidRPr="00A07F29" w:rsidRDefault="007A479F" w:rsidP="007A479F">
            <w:pPr>
              <w:spacing w:after="0" w:line="240" w:lineRule="auto"/>
              <w:jc w:val="center"/>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D.1.</w:t>
            </w:r>
          </w:p>
        </w:tc>
        <w:tc>
          <w:tcPr>
            <w:tcW w:w="3402" w:type="dxa"/>
            <w:shd w:val="clear" w:color="auto" w:fill="FFFFFF" w:themeFill="background1"/>
          </w:tcPr>
          <w:p w14:paraId="2A684409" w14:textId="4BBACCEF" w:rsidR="007A479F" w:rsidRPr="00A07F29" w:rsidRDefault="007A479F" w:rsidP="007A479F">
            <w:pPr>
              <w:spacing w:after="0" w:line="240" w:lineRule="auto"/>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D.1.8.</w:t>
            </w:r>
            <w:r w:rsidR="00E4590D">
              <w:rPr>
                <w:rFonts w:ascii="Times New Roman" w:eastAsia="Calibri" w:hAnsi="Times New Roman" w:cs="Times New Roman"/>
                <w:bCs/>
                <w:sz w:val="20"/>
                <w:szCs w:val="20"/>
              </w:rPr>
              <w:t> </w:t>
            </w:r>
            <w:r w:rsidRPr="00A07F29">
              <w:rPr>
                <w:rFonts w:ascii="Times New Roman" w:eastAsia="Calibri" w:hAnsi="Times New Roman" w:cs="Times New Roman"/>
                <w:bCs/>
                <w:sz w:val="20"/>
                <w:szCs w:val="20"/>
              </w:rPr>
              <w:t>Skatu torņu un platformu uzturēšana un būvniecība</w:t>
            </w:r>
          </w:p>
        </w:tc>
        <w:tc>
          <w:tcPr>
            <w:tcW w:w="1701" w:type="dxa"/>
            <w:shd w:val="clear" w:color="auto" w:fill="FFFFFF" w:themeFill="background1"/>
          </w:tcPr>
          <w:p w14:paraId="5272AE17" w14:textId="77777777"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II,</w:t>
            </w:r>
          </w:p>
          <w:p w14:paraId="7D06D9EB" w14:textId="1E2EDE77"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bCs/>
                <w:sz w:val="20"/>
                <w:szCs w:val="20"/>
              </w:rPr>
              <w:t>visu plāna periodu</w:t>
            </w:r>
          </w:p>
        </w:tc>
        <w:tc>
          <w:tcPr>
            <w:tcW w:w="1984" w:type="dxa"/>
            <w:shd w:val="clear" w:color="auto" w:fill="FFFFFF" w:themeFill="background1"/>
          </w:tcPr>
          <w:p w14:paraId="0AE3059C" w14:textId="5A01A8F5" w:rsidR="007A479F" w:rsidRPr="00A07F29" w:rsidRDefault="007A479F"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 xml:space="preserve">Objektu īpašnieki un </w:t>
            </w:r>
            <w:proofErr w:type="spellStart"/>
            <w:r w:rsidRPr="00A07F29">
              <w:rPr>
                <w:rFonts w:ascii="Times New Roman" w:eastAsia="Calibri" w:hAnsi="Times New Roman" w:cs="Times New Roman"/>
                <w:sz w:val="20"/>
                <w:szCs w:val="20"/>
              </w:rPr>
              <w:t>apsaimniekotāji</w:t>
            </w:r>
            <w:proofErr w:type="spellEnd"/>
          </w:p>
        </w:tc>
        <w:tc>
          <w:tcPr>
            <w:tcW w:w="1560" w:type="dxa"/>
            <w:shd w:val="clear" w:color="auto" w:fill="FFFFFF" w:themeFill="background1"/>
          </w:tcPr>
          <w:p w14:paraId="425AE140" w14:textId="542EC854" w:rsidR="007A479F" w:rsidRPr="00A07F29" w:rsidRDefault="00BA730D"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Atkarībā no tehniskā projekta, izmaksas nav nosakāmas</w:t>
            </w:r>
          </w:p>
        </w:tc>
        <w:tc>
          <w:tcPr>
            <w:tcW w:w="1984" w:type="dxa"/>
            <w:shd w:val="clear" w:color="auto" w:fill="FFFFFF" w:themeFill="background1"/>
          </w:tcPr>
          <w:p w14:paraId="33803B34" w14:textId="0380E2CF" w:rsidR="007A479F" w:rsidRPr="00A07F29" w:rsidRDefault="007A479F"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 xml:space="preserve">Objektu īpašnieku un </w:t>
            </w:r>
            <w:proofErr w:type="spellStart"/>
            <w:r w:rsidRPr="00A07F29">
              <w:rPr>
                <w:rFonts w:ascii="Times New Roman" w:eastAsia="Calibri" w:hAnsi="Times New Roman" w:cs="Times New Roman"/>
                <w:sz w:val="20"/>
                <w:szCs w:val="20"/>
              </w:rPr>
              <w:t>apsaimniekotāju</w:t>
            </w:r>
            <w:proofErr w:type="spellEnd"/>
            <w:r w:rsidRPr="00A07F29">
              <w:rPr>
                <w:rFonts w:ascii="Times New Roman" w:eastAsia="Calibri" w:hAnsi="Times New Roman" w:cs="Times New Roman"/>
                <w:sz w:val="20"/>
                <w:szCs w:val="20"/>
              </w:rPr>
              <w:t xml:space="preserve"> līd</w:t>
            </w:r>
            <w:r w:rsidR="004857F8">
              <w:rPr>
                <w:rFonts w:ascii="Times New Roman" w:eastAsia="Calibri" w:hAnsi="Times New Roman" w:cs="Times New Roman"/>
                <w:sz w:val="20"/>
                <w:szCs w:val="20"/>
              </w:rPr>
              <w:t>z</w:t>
            </w:r>
            <w:r w:rsidRPr="00A07F29">
              <w:rPr>
                <w:rFonts w:ascii="Times New Roman" w:eastAsia="Calibri" w:hAnsi="Times New Roman" w:cs="Times New Roman"/>
                <w:sz w:val="20"/>
                <w:szCs w:val="20"/>
              </w:rPr>
              <w:t>ekļi, projektu finansējums.</w:t>
            </w:r>
          </w:p>
        </w:tc>
        <w:tc>
          <w:tcPr>
            <w:tcW w:w="3686" w:type="dxa"/>
            <w:shd w:val="clear" w:color="auto" w:fill="FFFFFF" w:themeFill="background1"/>
          </w:tcPr>
          <w:p w14:paraId="596C0365" w14:textId="38560BD5" w:rsidR="007A479F" w:rsidRPr="00A07F29" w:rsidRDefault="007A479F" w:rsidP="007A479F">
            <w:pPr>
              <w:spacing w:after="0" w:line="240" w:lineRule="auto"/>
              <w:ind w:left="34"/>
              <w:rPr>
                <w:rFonts w:ascii="Times New Roman" w:eastAsia="Calibri" w:hAnsi="Times New Roman" w:cs="Times New Roman"/>
                <w:sz w:val="20"/>
                <w:szCs w:val="20"/>
              </w:rPr>
            </w:pPr>
            <w:r w:rsidRPr="00A07F29">
              <w:rPr>
                <w:rFonts w:ascii="Times New Roman" w:eastAsia="Calibri" w:hAnsi="Times New Roman" w:cs="Times New Roman"/>
                <w:sz w:val="20"/>
                <w:szCs w:val="20"/>
              </w:rPr>
              <w:t>Labā kārtībā uztu</w:t>
            </w:r>
            <w:r w:rsidR="00F55B92">
              <w:rPr>
                <w:rFonts w:ascii="Times New Roman" w:eastAsia="Calibri" w:hAnsi="Times New Roman" w:cs="Times New Roman"/>
                <w:sz w:val="20"/>
                <w:szCs w:val="20"/>
              </w:rPr>
              <w:t>r</w:t>
            </w:r>
            <w:r w:rsidRPr="00A07F29">
              <w:rPr>
                <w:rFonts w:ascii="Times New Roman" w:eastAsia="Calibri" w:hAnsi="Times New Roman" w:cs="Times New Roman"/>
                <w:sz w:val="20"/>
                <w:szCs w:val="20"/>
              </w:rPr>
              <w:t xml:space="preserve">ēti </w:t>
            </w:r>
            <w:proofErr w:type="spellStart"/>
            <w:r w:rsidRPr="00A07F29">
              <w:rPr>
                <w:rFonts w:ascii="Times New Roman" w:eastAsia="Calibri" w:hAnsi="Times New Roman" w:cs="Times New Roman"/>
                <w:sz w:val="20"/>
                <w:szCs w:val="20"/>
              </w:rPr>
              <w:t>Vasergališķu</w:t>
            </w:r>
            <w:proofErr w:type="spellEnd"/>
            <w:r w:rsidRPr="00A07F29">
              <w:rPr>
                <w:rFonts w:ascii="Times New Roman" w:eastAsia="Calibri" w:hAnsi="Times New Roman" w:cs="Times New Roman"/>
                <w:sz w:val="20"/>
                <w:szCs w:val="20"/>
              </w:rPr>
              <w:t>, Priedaines un Lazdukalna skatu torņi un ar tiem saistītā infrastruktūra, uzbūvēts skatu tornis pie Tabores</w:t>
            </w:r>
          </w:p>
        </w:tc>
      </w:tr>
      <w:tr w:rsidR="007A479F" w:rsidRPr="00A07F29" w14:paraId="2880F492" w14:textId="77777777" w:rsidTr="4284A616">
        <w:trPr>
          <w:jc w:val="center"/>
        </w:trPr>
        <w:tc>
          <w:tcPr>
            <w:tcW w:w="846" w:type="dxa"/>
            <w:shd w:val="clear" w:color="auto" w:fill="FFFFFF" w:themeFill="background1"/>
          </w:tcPr>
          <w:p w14:paraId="36E84302" w14:textId="5C366748" w:rsidR="007A479F" w:rsidRPr="00A07F29" w:rsidRDefault="007A479F" w:rsidP="007A479F">
            <w:pPr>
              <w:spacing w:after="0" w:line="240" w:lineRule="auto"/>
              <w:jc w:val="center"/>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D.1.</w:t>
            </w:r>
          </w:p>
        </w:tc>
        <w:tc>
          <w:tcPr>
            <w:tcW w:w="3402" w:type="dxa"/>
            <w:shd w:val="clear" w:color="auto" w:fill="FFFFFF" w:themeFill="background1"/>
          </w:tcPr>
          <w:p w14:paraId="075F81EA" w14:textId="13E30570" w:rsidR="007A479F" w:rsidRPr="00A07F29" w:rsidRDefault="007A479F" w:rsidP="007A479F">
            <w:pPr>
              <w:spacing w:after="0" w:line="240" w:lineRule="auto"/>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D.1.9.</w:t>
            </w:r>
            <w:r w:rsidR="00F55B92">
              <w:rPr>
                <w:rFonts w:ascii="Times New Roman" w:eastAsia="Calibri" w:hAnsi="Times New Roman" w:cs="Times New Roman"/>
                <w:bCs/>
                <w:sz w:val="20"/>
                <w:szCs w:val="20"/>
              </w:rPr>
              <w:t> </w:t>
            </w:r>
            <w:r w:rsidRPr="00A07F29">
              <w:rPr>
                <w:rFonts w:ascii="Times New Roman" w:eastAsia="Calibri" w:hAnsi="Times New Roman" w:cs="Times New Roman"/>
                <w:bCs/>
                <w:sz w:val="20"/>
                <w:szCs w:val="20"/>
              </w:rPr>
              <w:t xml:space="preserve">Infrastruktūras pilnveidošana un uzturēšana </w:t>
            </w:r>
            <w:proofErr w:type="spellStart"/>
            <w:r w:rsidRPr="00A07F29">
              <w:rPr>
                <w:rFonts w:ascii="Times New Roman" w:eastAsia="Calibri" w:hAnsi="Times New Roman" w:cs="Times New Roman"/>
                <w:bCs/>
                <w:sz w:val="20"/>
                <w:szCs w:val="20"/>
              </w:rPr>
              <w:t>Slutišķos</w:t>
            </w:r>
            <w:proofErr w:type="spellEnd"/>
            <w:r w:rsidRPr="00A07F29">
              <w:rPr>
                <w:rFonts w:ascii="Times New Roman" w:eastAsia="Calibri" w:hAnsi="Times New Roman" w:cs="Times New Roman"/>
                <w:bCs/>
                <w:sz w:val="20"/>
                <w:szCs w:val="20"/>
              </w:rPr>
              <w:t xml:space="preserve"> un to apkārtnē</w:t>
            </w:r>
          </w:p>
        </w:tc>
        <w:tc>
          <w:tcPr>
            <w:tcW w:w="1701" w:type="dxa"/>
            <w:shd w:val="clear" w:color="auto" w:fill="FFFFFF" w:themeFill="background1"/>
          </w:tcPr>
          <w:p w14:paraId="40DF2B97" w14:textId="77777777"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II,</w:t>
            </w:r>
          </w:p>
          <w:p w14:paraId="7607ADD8" w14:textId="0C23A9A6"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visu plāna periodu</w:t>
            </w:r>
          </w:p>
        </w:tc>
        <w:tc>
          <w:tcPr>
            <w:tcW w:w="1984" w:type="dxa"/>
            <w:shd w:val="clear" w:color="auto" w:fill="FFFFFF" w:themeFill="background1"/>
          </w:tcPr>
          <w:p w14:paraId="1FA52E62" w14:textId="1D0CA992" w:rsidR="007A479F" w:rsidRPr="00A07F29" w:rsidRDefault="007A479F"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 xml:space="preserve">Pašvaldība, objektu īpašnieki un </w:t>
            </w:r>
            <w:proofErr w:type="spellStart"/>
            <w:r w:rsidRPr="00A07F29">
              <w:rPr>
                <w:rFonts w:ascii="Times New Roman" w:eastAsia="Calibri" w:hAnsi="Times New Roman" w:cs="Times New Roman"/>
                <w:sz w:val="20"/>
                <w:szCs w:val="20"/>
              </w:rPr>
              <w:t>apsaimniekotāji</w:t>
            </w:r>
            <w:proofErr w:type="spellEnd"/>
          </w:p>
        </w:tc>
        <w:tc>
          <w:tcPr>
            <w:tcW w:w="1560" w:type="dxa"/>
            <w:shd w:val="clear" w:color="auto" w:fill="FFFFFF" w:themeFill="background1"/>
          </w:tcPr>
          <w:p w14:paraId="1EF12345" w14:textId="635D267D" w:rsidR="007A479F" w:rsidRPr="00A07F29" w:rsidRDefault="00BA730D"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Atkarībā no tehniskā projekta, izmaksas nav nosakāmas</w:t>
            </w:r>
          </w:p>
        </w:tc>
        <w:tc>
          <w:tcPr>
            <w:tcW w:w="1984" w:type="dxa"/>
            <w:shd w:val="clear" w:color="auto" w:fill="FFFFFF" w:themeFill="background1"/>
          </w:tcPr>
          <w:p w14:paraId="23E2D45A" w14:textId="79E4BF93" w:rsidR="007A479F" w:rsidRPr="00A07F29" w:rsidRDefault="007A479F"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 xml:space="preserve">Pašvaldības budžets, objektu īpašnieku un </w:t>
            </w:r>
            <w:proofErr w:type="spellStart"/>
            <w:r w:rsidRPr="00A07F29">
              <w:rPr>
                <w:rFonts w:ascii="Times New Roman" w:eastAsia="Calibri" w:hAnsi="Times New Roman" w:cs="Times New Roman"/>
                <w:sz w:val="20"/>
                <w:szCs w:val="20"/>
              </w:rPr>
              <w:t>apsaimniekotāju</w:t>
            </w:r>
            <w:proofErr w:type="spellEnd"/>
            <w:r w:rsidRPr="00A07F29">
              <w:rPr>
                <w:rFonts w:ascii="Times New Roman" w:eastAsia="Calibri" w:hAnsi="Times New Roman" w:cs="Times New Roman"/>
                <w:sz w:val="20"/>
                <w:szCs w:val="20"/>
              </w:rPr>
              <w:t xml:space="preserve"> līd</w:t>
            </w:r>
            <w:r w:rsidR="00C903A1">
              <w:rPr>
                <w:rFonts w:ascii="Times New Roman" w:eastAsia="Calibri" w:hAnsi="Times New Roman" w:cs="Times New Roman"/>
                <w:sz w:val="20"/>
                <w:szCs w:val="20"/>
              </w:rPr>
              <w:t>z</w:t>
            </w:r>
            <w:r w:rsidRPr="00A07F29">
              <w:rPr>
                <w:rFonts w:ascii="Times New Roman" w:eastAsia="Calibri" w:hAnsi="Times New Roman" w:cs="Times New Roman"/>
                <w:sz w:val="20"/>
                <w:szCs w:val="20"/>
              </w:rPr>
              <w:t>ekļi, projektu finansējums.</w:t>
            </w:r>
          </w:p>
        </w:tc>
        <w:tc>
          <w:tcPr>
            <w:tcW w:w="3686" w:type="dxa"/>
            <w:shd w:val="clear" w:color="auto" w:fill="FFFFFF" w:themeFill="background1"/>
          </w:tcPr>
          <w:p w14:paraId="4FF942B5" w14:textId="5249E58F" w:rsidR="007A479F" w:rsidRPr="00A07F29" w:rsidRDefault="007A479F" w:rsidP="007A479F">
            <w:pPr>
              <w:spacing w:after="0" w:line="240" w:lineRule="auto"/>
              <w:ind w:left="34"/>
              <w:rPr>
                <w:rFonts w:ascii="Times New Roman" w:eastAsia="Calibri" w:hAnsi="Times New Roman" w:cs="Times New Roman"/>
                <w:sz w:val="20"/>
                <w:szCs w:val="20"/>
              </w:rPr>
            </w:pPr>
            <w:r w:rsidRPr="00A07F29">
              <w:rPr>
                <w:rFonts w:ascii="Times New Roman" w:eastAsia="Calibri" w:hAnsi="Times New Roman" w:cs="Times New Roman"/>
                <w:sz w:val="20"/>
                <w:szCs w:val="20"/>
              </w:rPr>
              <w:t xml:space="preserve">Darbojas muzejs “Vecticībnieku lauku sēta”, tā apkārtne labiekārtota, “Latgales sētas” infrastruktūra labā kārtībā, uzlabota laivu ielaišanas vieta pie </w:t>
            </w:r>
            <w:proofErr w:type="spellStart"/>
            <w:r w:rsidRPr="00A07F29">
              <w:rPr>
                <w:rFonts w:ascii="Times New Roman" w:eastAsia="Calibri" w:hAnsi="Times New Roman" w:cs="Times New Roman"/>
                <w:sz w:val="20"/>
                <w:szCs w:val="20"/>
              </w:rPr>
              <w:t>Markovas</w:t>
            </w:r>
            <w:proofErr w:type="spellEnd"/>
            <w:r w:rsidRPr="00A07F29">
              <w:rPr>
                <w:rFonts w:ascii="Times New Roman" w:eastAsia="Calibri" w:hAnsi="Times New Roman" w:cs="Times New Roman"/>
                <w:sz w:val="20"/>
                <w:szCs w:val="20"/>
              </w:rPr>
              <w:t xml:space="preserve"> kapiem</w:t>
            </w:r>
          </w:p>
        </w:tc>
      </w:tr>
      <w:tr w:rsidR="007A479F" w:rsidRPr="00A07F29" w14:paraId="24263ECC" w14:textId="77777777" w:rsidTr="4284A616">
        <w:trPr>
          <w:jc w:val="center"/>
        </w:trPr>
        <w:tc>
          <w:tcPr>
            <w:tcW w:w="846" w:type="dxa"/>
            <w:shd w:val="clear" w:color="auto" w:fill="FFFFFF" w:themeFill="background1"/>
          </w:tcPr>
          <w:p w14:paraId="28E8D859" w14:textId="579FCFDC" w:rsidR="007A479F" w:rsidRPr="00A07F29" w:rsidRDefault="007A479F" w:rsidP="007A479F">
            <w:pPr>
              <w:spacing w:after="0" w:line="240" w:lineRule="auto"/>
              <w:jc w:val="center"/>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D.2.</w:t>
            </w:r>
          </w:p>
        </w:tc>
        <w:tc>
          <w:tcPr>
            <w:tcW w:w="3402" w:type="dxa"/>
            <w:shd w:val="clear" w:color="auto" w:fill="FFFFFF" w:themeFill="background1"/>
          </w:tcPr>
          <w:p w14:paraId="07C0899B" w14:textId="0FDC61BC" w:rsidR="007A479F" w:rsidRPr="00A07F29" w:rsidRDefault="007A479F" w:rsidP="007A479F">
            <w:pPr>
              <w:spacing w:after="0" w:line="240" w:lineRule="auto"/>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D.2.1.</w:t>
            </w:r>
            <w:r w:rsidR="006B2700">
              <w:rPr>
                <w:rFonts w:ascii="Times New Roman" w:eastAsia="Calibri" w:hAnsi="Times New Roman" w:cs="Times New Roman"/>
                <w:bCs/>
                <w:sz w:val="20"/>
                <w:szCs w:val="20"/>
              </w:rPr>
              <w:t> </w:t>
            </w:r>
            <w:r w:rsidRPr="00A07F29">
              <w:rPr>
                <w:rFonts w:ascii="Times New Roman" w:eastAsia="Calibri" w:hAnsi="Times New Roman" w:cs="Times New Roman"/>
                <w:bCs/>
                <w:sz w:val="20"/>
                <w:szCs w:val="20"/>
              </w:rPr>
              <w:t xml:space="preserve">Taku labiekārtošana un uzturēšana pie </w:t>
            </w:r>
            <w:proofErr w:type="spellStart"/>
            <w:r w:rsidRPr="00A07F29">
              <w:rPr>
                <w:rFonts w:ascii="Times New Roman" w:eastAsia="Calibri" w:hAnsi="Times New Roman" w:cs="Times New Roman"/>
                <w:bCs/>
                <w:sz w:val="20"/>
                <w:szCs w:val="20"/>
              </w:rPr>
              <w:t>Slutišķu</w:t>
            </w:r>
            <w:proofErr w:type="spellEnd"/>
            <w:r w:rsidRPr="00A07F29">
              <w:rPr>
                <w:rFonts w:ascii="Times New Roman" w:eastAsia="Calibri" w:hAnsi="Times New Roman" w:cs="Times New Roman"/>
                <w:bCs/>
                <w:sz w:val="20"/>
                <w:szCs w:val="20"/>
              </w:rPr>
              <w:t xml:space="preserve"> sādžas</w:t>
            </w:r>
          </w:p>
        </w:tc>
        <w:tc>
          <w:tcPr>
            <w:tcW w:w="1701" w:type="dxa"/>
            <w:shd w:val="clear" w:color="auto" w:fill="FFFFFF" w:themeFill="background1"/>
          </w:tcPr>
          <w:p w14:paraId="55FD0CA6" w14:textId="77777777"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II,</w:t>
            </w:r>
          </w:p>
          <w:p w14:paraId="006BA66D" w14:textId="0D85BEC3"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bCs/>
                <w:sz w:val="20"/>
                <w:szCs w:val="20"/>
              </w:rPr>
              <w:t>visu plāna periodu</w:t>
            </w:r>
          </w:p>
        </w:tc>
        <w:tc>
          <w:tcPr>
            <w:tcW w:w="1984" w:type="dxa"/>
            <w:shd w:val="clear" w:color="auto" w:fill="FFFFFF" w:themeFill="background1"/>
          </w:tcPr>
          <w:p w14:paraId="3CDC5008" w14:textId="29B4FBF6" w:rsidR="007A479F" w:rsidRPr="00A07F29" w:rsidRDefault="007A479F"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 xml:space="preserve">Pašvaldība, objektu </w:t>
            </w:r>
            <w:proofErr w:type="spellStart"/>
            <w:r w:rsidRPr="00A07F29">
              <w:rPr>
                <w:rFonts w:ascii="Times New Roman" w:eastAsia="Calibri" w:hAnsi="Times New Roman" w:cs="Times New Roman"/>
                <w:sz w:val="20"/>
                <w:szCs w:val="20"/>
              </w:rPr>
              <w:t>apsaimniekotāji</w:t>
            </w:r>
            <w:proofErr w:type="spellEnd"/>
            <w:r w:rsidRPr="00A07F29">
              <w:rPr>
                <w:rFonts w:ascii="Times New Roman" w:eastAsia="Calibri" w:hAnsi="Times New Roman" w:cs="Times New Roman"/>
                <w:sz w:val="20"/>
                <w:szCs w:val="20"/>
              </w:rPr>
              <w:t xml:space="preserve"> </w:t>
            </w:r>
          </w:p>
        </w:tc>
        <w:tc>
          <w:tcPr>
            <w:tcW w:w="1560" w:type="dxa"/>
            <w:shd w:val="clear" w:color="auto" w:fill="FFFFFF" w:themeFill="background1"/>
          </w:tcPr>
          <w:p w14:paraId="6AF711BB" w14:textId="46E4EAFD" w:rsidR="007A479F" w:rsidRPr="00A07F29" w:rsidRDefault="00BA730D"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Atkarībā no tehniskā projekta, izmaksas nav nosakāmas</w:t>
            </w:r>
          </w:p>
        </w:tc>
        <w:tc>
          <w:tcPr>
            <w:tcW w:w="1984" w:type="dxa"/>
            <w:shd w:val="clear" w:color="auto" w:fill="FFFFFF" w:themeFill="background1"/>
          </w:tcPr>
          <w:p w14:paraId="23701B89" w14:textId="2252EC2F" w:rsidR="007A479F" w:rsidRPr="00A07F29" w:rsidRDefault="007A479F"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 xml:space="preserve">Pašvaldības budžets, objektu </w:t>
            </w:r>
            <w:proofErr w:type="spellStart"/>
            <w:r w:rsidRPr="00A07F29">
              <w:rPr>
                <w:rFonts w:ascii="Times New Roman" w:eastAsia="Calibri" w:hAnsi="Times New Roman" w:cs="Times New Roman"/>
                <w:sz w:val="20"/>
                <w:szCs w:val="20"/>
              </w:rPr>
              <w:t>apsaimniekotāju</w:t>
            </w:r>
            <w:proofErr w:type="spellEnd"/>
            <w:r w:rsidRPr="00A07F29">
              <w:rPr>
                <w:rFonts w:ascii="Times New Roman" w:eastAsia="Calibri" w:hAnsi="Times New Roman" w:cs="Times New Roman"/>
                <w:sz w:val="20"/>
                <w:szCs w:val="20"/>
              </w:rPr>
              <w:t xml:space="preserve"> līdzekļi, projekta finansējums.</w:t>
            </w:r>
          </w:p>
        </w:tc>
        <w:tc>
          <w:tcPr>
            <w:tcW w:w="3686" w:type="dxa"/>
            <w:shd w:val="clear" w:color="auto" w:fill="FFFFFF" w:themeFill="background1"/>
          </w:tcPr>
          <w:p w14:paraId="1EDD2020" w14:textId="0EF59FFB" w:rsidR="007A479F" w:rsidRPr="00A07F29" w:rsidRDefault="007A479F" w:rsidP="007A479F">
            <w:pPr>
              <w:spacing w:after="0" w:line="240" w:lineRule="auto"/>
              <w:ind w:left="34"/>
              <w:rPr>
                <w:rFonts w:ascii="Times New Roman" w:eastAsia="Calibri" w:hAnsi="Times New Roman" w:cs="Times New Roman"/>
                <w:sz w:val="20"/>
                <w:szCs w:val="20"/>
              </w:rPr>
            </w:pPr>
            <w:r w:rsidRPr="00A07F29">
              <w:rPr>
                <w:rFonts w:ascii="Times New Roman" w:eastAsia="Calibri" w:hAnsi="Times New Roman" w:cs="Times New Roman"/>
                <w:sz w:val="20"/>
                <w:szCs w:val="20"/>
              </w:rPr>
              <w:t>Takas tiek apsaimniekotas un uzturētas labā kārtībā, novākts bojātais stends, izvietoti vides objekti, darbojas apmeklētāju skaitītāji</w:t>
            </w:r>
          </w:p>
        </w:tc>
      </w:tr>
      <w:tr w:rsidR="007A479F" w:rsidRPr="00A07F29" w14:paraId="0BCBF856" w14:textId="77777777" w:rsidTr="4284A616">
        <w:trPr>
          <w:jc w:val="center"/>
        </w:trPr>
        <w:tc>
          <w:tcPr>
            <w:tcW w:w="846" w:type="dxa"/>
            <w:shd w:val="clear" w:color="auto" w:fill="FFFFFF" w:themeFill="background1"/>
          </w:tcPr>
          <w:p w14:paraId="6A43E369" w14:textId="2826CC67" w:rsidR="007A479F" w:rsidRPr="00A07F29" w:rsidRDefault="007A479F" w:rsidP="007A479F">
            <w:pPr>
              <w:spacing w:after="0" w:line="240" w:lineRule="auto"/>
              <w:jc w:val="center"/>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lastRenderedPageBreak/>
              <w:t>D.2.</w:t>
            </w:r>
          </w:p>
        </w:tc>
        <w:tc>
          <w:tcPr>
            <w:tcW w:w="3402" w:type="dxa"/>
            <w:shd w:val="clear" w:color="auto" w:fill="FFFFFF" w:themeFill="background1"/>
          </w:tcPr>
          <w:p w14:paraId="4978220A" w14:textId="2CAF135E" w:rsidR="007A479F" w:rsidRPr="00A07F29" w:rsidRDefault="007A479F" w:rsidP="007A479F">
            <w:pPr>
              <w:spacing w:after="0" w:line="240" w:lineRule="auto"/>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D.2.2.</w:t>
            </w:r>
            <w:r w:rsidR="004413BB">
              <w:rPr>
                <w:rFonts w:ascii="Times New Roman" w:eastAsia="Calibri" w:hAnsi="Times New Roman" w:cs="Times New Roman"/>
                <w:bCs/>
                <w:sz w:val="20"/>
                <w:szCs w:val="20"/>
              </w:rPr>
              <w:t> </w:t>
            </w:r>
            <w:r w:rsidRPr="00A07F29">
              <w:rPr>
                <w:rFonts w:ascii="Times New Roman" w:eastAsia="Calibri" w:hAnsi="Times New Roman" w:cs="Times New Roman"/>
                <w:bCs/>
                <w:sz w:val="20"/>
                <w:szCs w:val="20"/>
              </w:rPr>
              <w:t>Adamovas dabas takas pārbūve un uzturēšana</w:t>
            </w:r>
          </w:p>
        </w:tc>
        <w:tc>
          <w:tcPr>
            <w:tcW w:w="1701" w:type="dxa"/>
            <w:shd w:val="clear" w:color="auto" w:fill="FFFFFF" w:themeFill="background1"/>
          </w:tcPr>
          <w:p w14:paraId="7D5B6219" w14:textId="77777777"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II,</w:t>
            </w:r>
          </w:p>
          <w:p w14:paraId="20BEACE1" w14:textId="23FC9D13"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bCs/>
                <w:sz w:val="20"/>
                <w:szCs w:val="20"/>
              </w:rPr>
              <w:t>visu plāna periodu</w:t>
            </w:r>
          </w:p>
        </w:tc>
        <w:tc>
          <w:tcPr>
            <w:tcW w:w="1984" w:type="dxa"/>
            <w:shd w:val="clear" w:color="auto" w:fill="FFFFFF" w:themeFill="background1"/>
          </w:tcPr>
          <w:p w14:paraId="4DFB0602" w14:textId="30C26C27" w:rsidR="007A479F" w:rsidRPr="00A07F29" w:rsidRDefault="007A479F"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Pašvaldība, TIC, uzņēmēji</w:t>
            </w:r>
          </w:p>
        </w:tc>
        <w:tc>
          <w:tcPr>
            <w:tcW w:w="1560" w:type="dxa"/>
            <w:shd w:val="clear" w:color="auto" w:fill="FFFFFF" w:themeFill="background1"/>
          </w:tcPr>
          <w:p w14:paraId="32226580" w14:textId="28E4ECA1" w:rsidR="007A479F" w:rsidRPr="00A07F29" w:rsidRDefault="00BA730D"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Atkarībā no tehniskā projekta, sākot no 250</w:t>
            </w:r>
            <w:r w:rsidR="00925CFE">
              <w:rPr>
                <w:rFonts w:ascii="Times New Roman" w:eastAsia="Calibri" w:hAnsi="Times New Roman" w:cs="Times New Roman"/>
                <w:sz w:val="20"/>
                <w:szCs w:val="20"/>
              </w:rPr>
              <w:t> </w:t>
            </w:r>
            <w:r w:rsidRPr="00A07F29">
              <w:rPr>
                <w:rFonts w:ascii="Times New Roman" w:eastAsia="Calibri" w:hAnsi="Times New Roman" w:cs="Times New Roman"/>
                <w:sz w:val="20"/>
                <w:szCs w:val="20"/>
              </w:rPr>
              <w:t>000</w:t>
            </w:r>
            <w:r w:rsidR="00925CFE">
              <w:rPr>
                <w:rFonts w:ascii="Times New Roman" w:eastAsia="Calibri" w:hAnsi="Times New Roman" w:cs="Times New Roman"/>
                <w:sz w:val="20"/>
                <w:szCs w:val="20"/>
              </w:rPr>
              <w:t> </w:t>
            </w:r>
            <w:r w:rsidRPr="00A07F29">
              <w:rPr>
                <w:rFonts w:ascii="Times New Roman" w:eastAsia="Calibri" w:hAnsi="Times New Roman" w:cs="Times New Roman"/>
                <w:sz w:val="20"/>
                <w:szCs w:val="20"/>
              </w:rPr>
              <w:t>EUR</w:t>
            </w:r>
          </w:p>
        </w:tc>
        <w:tc>
          <w:tcPr>
            <w:tcW w:w="1984" w:type="dxa"/>
            <w:shd w:val="clear" w:color="auto" w:fill="FFFFFF" w:themeFill="background1"/>
          </w:tcPr>
          <w:p w14:paraId="6C9CB31E" w14:textId="28DA86FD" w:rsidR="007A479F" w:rsidRPr="00A07F29" w:rsidRDefault="007A479F"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Pašvaldības budžets, projektu finansējums, uzņēmēju līdzekļi.</w:t>
            </w:r>
          </w:p>
        </w:tc>
        <w:tc>
          <w:tcPr>
            <w:tcW w:w="3686" w:type="dxa"/>
            <w:shd w:val="clear" w:color="auto" w:fill="FFFFFF" w:themeFill="background1"/>
          </w:tcPr>
          <w:p w14:paraId="52907B03" w14:textId="5517D5A7" w:rsidR="007A479F" w:rsidRPr="00A07F29" w:rsidRDefault="007A479F" w:rsidP="007A479F">
            <w:pPr>
              <w:spacing w:after="0" w:line="240" w:lineRule="auto"/>
              <w:ind w:left="34"/>
              <w:rPr>
                <w:rFonts w:ascii="Times New Roman" w:eastAsia="Calibri" w:hAnsi="Times New Roman" w:cs="Times New Roman"/>
                <w:sz w:val="20"/>
                <w:szCs w:val="20"/>
              </w:rPr>
            </w:pPr>
            <w:r w:rsidRPr="00A07F29">
              <w:rPr>
                <w:rFonts w:ascii="Times New Roman" w:eastAsia="Calibri" w:hAnsi="Times New Roman" w:cs="Times New Roman"/>
                <w:sz w:val="20"/>
                <w:szCs w:val="20"/>
              </w:rPr>
              <w:t>Ierīkota un apsaimniekota labiekārtota taka</w:t>
            </w:r>
          </w:p>
        </w:tc>
      </w:tr>
      <w:tr w:rsidR="007A479F" w:rsidRPr="00A07F29" w14:paraId="4C37EECF" w14:textId="77777777" w:rsidTr="4284A616">
        <w:trPr>
          <w:jc w:val="center"/>
        </w:trPr>
        <w:tc>
          <w:tcPr>
            <w:tcW w:w="846" w:type="dxa"/>
            <w:shd w:val="clear" w:color="auto" w:fill="FFFFFF" w:themeFill="background1"/>
          </w:tcPr>
          <w:p w14:paraId="2B02B158" w14:textId="59369BDF" w:rsidR="007A479F" w:rsidRPr="00A07F29" w:rsidRDefault="007A479F" w:rsidP="007A479F">
            <w:pPr>
              <w:spacing w:after="0" w:line="240" w:lineRule="auto"/>
              <w:jc w:val="center"/>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D.2.</w:t>
            </w:r>
          </w:p>
        </w:tc>
        <w:tc>
          <w:tcPr>
            <w:tcW w:w="3402" w:type="dxa"/>
            <w:shd w:val="clear" w:color="auto" w:fill="FFFFFF" w:themeFill="background1"/>
          </w:tcPr>
          <w:p w14:paraId="215A35FE" w14:textId="253EE178" w:rsidR="007A479F" w:rsidRPr="00A07F29" w:rsidRDefault="007A479F" w:rsidP="007A479F">
            <w:pPr>
              <w:spacing w:after="0" w:line="240" w:lineRule="auto"/>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D.2.3.</w:t>
            </w:r>
            <w:r w:rsidR="00925CFE">
              <w:rPr>
                <w:rFonts w:ascii="Times New Roman" w:eastAsia="Calibri" w:hAnsi="Times New Roman" w:cs="Times New Roman"/>
                <w:bCs/>
                <w:sz w:val="20"/>
                <w:szCs w:val="20"/>
              </w:rPr>
              <w:t> </w:t>
            </w:r>
            <w:r w:rsidRPr="00A07F29">
              <w:rPr>
                <w:rFonts w:ascii="Times New Roman" w:eastAsia="Calibri" w:hAnsi="Times New Roman" w:cs="Times New Roman"/>
                <w:bCs/>
                <w:sz w:val="20"/>
                <w:szCs w:val="20"/>
              </w:rPr>
              <w:t>Piedrujas dabas takas labiekārtošana un uzturēšana</w:t>
            </w:r>
          </w:p>
        </w:tc>
        <w:tc>
          <w:tcPr>
            <w:tcW w:w="1701" w:type="dxa"/>
            <w:shd w:val="clear" w:color="auto" w:fill="FFFFFF" w:themeFill="background1"/>
          </w:tcPr>
          <w:p w14:paraId="5E532715" w14:textId="77777777"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II,</w:t>
            </w:r>
          </w:p>
          <w:p w14:paraId="1CD60D85" w14:textId="208BFBA3"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bCs/>
                <w:sz w:val="20"/>
                <w:szCs w:val="20"/>
              </w:rPr>
              <w:t>visu plāna periodu</w:t>
            </w:r>
          </w:p>
        </w:tc>
        <w:tc>
          <w:tcPr>
            <w:tcW w:w="1984" w:type="dxa"/>
            <w:shd w:val="clear" w:color="auto" w:fill="FFFFFF" w:themeFill="background1"/>
          </w:tcPr>
          <w:p w14:paraId="5AD15C4A" w14:textId="321CD76E" w:rsidR="007A479F" w:rsidRPr="00A07F29" w:rsidRDefault="007A479F"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Pašvaldība, TIC</w:t>
            </w:r>
          </w:p>
        </w:tc>
        <w:tc>
          <w:tcPr>
            <w:tcW w:w="1560" w:type="dxa"/>
            <w:shd w:val="clear" w:color="auto" w:fill="FFFFFF" w:themeFill="background1"/>
          </w:tcPr>
          <w:p w14:paraId="2CCE6CD5" w14:textId="7401992A" w:rsidR="007A479F" w:rsidRPr="00A07F29" w:rsidRDefault="00BA730D"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Atkarībā no tehniskā projekta, sākot no 250</w:t>
            </w:r>
            <w:r w:rsidR="00925CFE">
              <w:rPr>
                <w:rFonts w:ascii="Times New Roman" w:eastAsia="Calibri" w:hAnsi="Times New Roman" w:cs="Times New Roman"/>
                <w:sz w:val="20"/>
                <w:szCs w:val="20"/>
              </w:rPr>
              <w:t> </w:t>
            </w:r>
            <w:r w:rsidRPr="00A07F29">
              <w:rPr>
                <w:rFonts w:ascii="Times New Roman" w:eastAsia="Calibri" w:hAnsi="Times New Roman" w:cs="Times New Roman"/>
                <w:sz w:val="20"/>
                <w:szCs w:val="20"/>
              </w:rPr>
              <w:t>000</w:t>
            </w:r>
            <w:r w:rsidR="00925CFE">
              <w:rPr>
                <w:rFonts w:ascii="Times New Roman" w:eastAsia="Calibri" w:hAnsi="Times New Roman" w:cs="Times New Roman"/>
                <w:sz w:val="20"/>
                <w:szCs w:val="20"/>
              </w:rPr>
              <w:t> </w:t>
            </w:r>
            <w:r w:rsidRPr="00A07F29">
              <w:rPr>
                <w:rFonts w:ascii="Times New Roman" w:eastAsia="Calibri" w:hAnsi="Times New Roman" w:cs="Times New Roman"/>
                <w:sz w:val="20"/>
                <w:szCs w:val="20"/>
              </w:rPr>
              <w:t>EUR</w:t>
            </w:r>
          </w:p>
        </w:tc>
        <w:tc>
          <w:tcPr>
            <w:tcW w:w="1984" w:type="dxa"/>
            <w:shd w:val="clear" w:color="auto" w:fill="FFFFFF" w:themeFill="background1"/>
          </w:tcPr>
          <w:p w14:paraId="0631FB14" w14:textId="343954D2" w:rsidR="007A479F" w:rsidRPr="00A07F29" w:rsidRDefault="007A479F"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Pašvaldības budžets, projekta finansējums.</w:t>
            </w:r>
          </w:p>
        </w:tc>
        <w:tc>
          <w:tcPr>
            <w:tcW w:w="3686" w:type="dxa"/>
            <w:shd w:val="clear" w:color="auto" w:fill="FFFFFF" w:themeFill="background1"/>
          </w:tcPr>
          <w:p w14:paraId="4679DD9F" w14:textId="4227AFFF" w:rsidR="007A479F" w:rsidRPr="00A07F29" w:rsidRDefault="007A479F" w:rsidP="007A479F">
            <w:pPr>
              <w:spacing w:after="0" w:line="240" w:lineRule="auto"/>
              <w:ind w:left="34"/>
              <w:rPr>
                <w:rFonts w:ascii="Times New Roman" w:eastAsia="Calibri" w:hAnsi="Times New Roman" w:cs="Times New Roman"/>
                <w:sz w:val="20"/>
                <w:szCs w:val="20"/>
              </w:rPr>
            </w:pPr>
            <w:r w:rsidRPr="00A07F29">
              <w:rPr>
                <w:rFonts w:ascii="Times New Roman" w:eastAsia="Calibri" w:hAnsi="Times New Roman" w:cs="Times New Roman"/>
                <w:sz w:val="20"/>
                <w:szCs w:val="20"/>
              </w:rPr>
              <w:t>Ierīkota un apsaimniekota labiekārtota taka</w:t>
            </w:r>
          </w:p>
        </w:tc>
      </w:tr>
      <w:tr w:rsidR="007A479F" w:rsidRPr="00A07F29" w14:paraId="111B704E" w14:textId="77777777" w:rsidTr="4284A616">
        <w:trPr>
          <w:jc w:val="center"/>
        </w:trPr>
        <w:tc>
          <w:tcPr>
            <w:tcW w:w="846" w:type="dxa"/>
            <w:shd w:val="clear" w:color="auto" w:fill="FFFFFF" w:themeFill="background1"/>
          </w:tcPr>
          <w:p w14:paraId="18D15112" w14:textId="23CD6B19" w:rsidR="007A479F" w:rsidRPr="00A07F29" w:rsidRDefault="007A479F" w:rsidP="007A479F">
            <w:pPr>
              <w:spacing w:after="0" w:line="240" w:lineRule="auto"/>
              <w:jc w:val="center"/>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D.2.</w:t>
            </w:r>
          </w:p>
        </w:tc>
        <w:tc>
          <w:tcPr>
            <w:tcW w:w="3402" w:type="dxa"/>
            <w:shd w:val="clear" w:color="auto" w:fill="FFFFFF" w:themeFill="background1"/>
          </w:tcPr>
          <w:p w14:paraId="311FD929" w14:textId="1CCDC21A" w:rsidR="007A479F" w:rsidRPr="00A07F29" w:rsidRDefault="007A479F" w:rsidP="007A479F">
            <w:pPr>
              <w:spacing w:after="0" w:line="240" w:lineRule="auto"/>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D.2.4.</w:t>
            </w:r>
            <w:r w:rsidR="001D463F">
              <w:rPr>
                <w:rFonts w:ascii="Times New Roman" w:eastAsia="Calibri" w:hAnsi="Times New Roman" w:cs="Times New Roman"/>
                <w:bCs/>
                <w:sz w:val="20"/>
                <w:szCs w:val="20"/>
              </w:rPr>
              <w:t> </w:t>
            </w:r>
            <w:r w:rsidRPr="00A07F29">
              <w:rPr>
                <w:rFonts w:ascii="Times New Roman" w:eastAsia="Calibri" w:hAnsi="Times New Roman" w:cs="Times New Roman"/>
                <w:bCs/>
                <w:sz w:val="20"/>
                <w:szCs w:val="20"/>
              </w:rPr>
              <w:t>Zirgu sētas “Klajumi” Odu takas atjaunošana un uzturēšana</w:t>
            </w:r>
          </w:p>
        </w:tc>
        <w:tc>
          <w:tcPr>
            <w:tcW w:w="1701" w:type="dxa"/>
            <w:shd w:val="clear" w:color="auto" w:fill="FFFFFF" w:themeFill="background1"/>
          </w:tcPr>
          <w:p w14:paraId="69D49BD9" w14:textId="4C4DCC45"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II,</w:t>
            </w:r>
          </w:p>
          <w:p w14:paraId="2DDAC786" w14:textId="47260644"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bCs/>
                <w:sz w:val="20"/>
                <w:szCs w:val="20"/>
              </w:rPr>
              <w:t>visu plāna periodu</w:t>
            </w:r>
          </w:p>
        </w:tc>
        <w:tc>
          <w:tcPr>
            <w:tcW w:w="1984" w:type="dxa"/>
            <w:shd w:val="clear" w:color="auto" w:fill="FFFFFF" w:themeFill="background1"/>
          </w:tcPr>
          <w:p w14:paraId="3D251A0D" w14:textId="2E29DB97" w:rsidR="007A479F" w:rsidRPr="00A07F29" w:rsidRDefault="007A479F"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Objekta īpašnieks</w:t>
            </w:r>
          </w:p>
        </w:tc>
        <w:tc>
          <w:tcPr>
            <w:tcW w:w="1560" w:type="dxa"/>
            <w:shd w:val="clear" w:color="auto" w:fill="FFFFFF" w:themeFill="background1"/>
          </w:tcPr>
          <w:p w14:paraId="53652B4E" w14:textId="0064790B" w:rsidR="007A479F" w:rsidRPr="00A07F29" w:rsidRDefault="00BA730D"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Atkarībā no tehniskā projekta, izmaksas nav nosakāmas</w:t>
            </w:r>
          </w:p>
        </w:tc>
        <w:tc>
          <w:tcPr>
            <w:tcW w:w="1984" w:type="dxa"/>
            <w:shd w:val="clear" w:color="auto" w:fill="FFFFFF" w:themeFill="background1"/>
          </w:tcPr>
          <w:p w14:paraId="6B3B2D38" w14:textId="2DC557F6" w:rsidR="007A479F" w:rsidRPr="00A07F29" w:rsidRDefault="007A479F"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Objekta īpašnieka līdzekļi, projektu finansējums.</w:t>
            </w:r>
          </w:p>
        </w:tc>
        <w:tc>
          <w:tcPr>
            <w:tcW w:w="3686" w:type="dxa"/>
            <w:shd w:val="clear" w:color="auto" w:fill="FFFFFF" w:themeFill="background1"/>
          </w:tcPr>
          <w:p w14:paraId="5842AE09" w14:textId="32C9D6B9" w:rsidR="007A479F" w:rsidRPr="00A07F29" w:rsidRDefault="007A479F" w:rsidP="007A479F">
            <w:pPr>
              <w:spacing w:after="0" w:line="240" w:lineRule="auto"/>
              <w:ind w:left="34"/>
              <w:rPr>
                <w:rFonts w:ascii="Times New Roman" w:eastAsia="Calibri" w:hAnsi="Times New Roman" w:cs="Times New Roman"/>
                <w:sz w:val="20"/>
                <w:szCs w:val="20"/>
              </w:rPr>
            </w:pPr>
            <w:r w:rsidRPr="00A07F29">
              <w:rPr>
                <w:rFonts w:ascii="Times New Roman" w:eastAsia="Calibri" w:hAnsi="Times New Roman" w:cs="Times New Roman"/>
                <w:sz w:val="20"/>
                <w:szCs w:val="20"/>
              </w:rPr>
              <w:t>Atjaunota un apsaimniekota labiekārtota taka</w:t>
            </w:r>
          </w:p>
        </w:tc>
      </w:tr>
      <w:tr w:rsidR="007A479F" w:rsidRPr="00A07F29" w14:paraId="08AAE1BC" w14:textId="77777777" w:rsidTr="4284A616">
        <w:trPr>
          <w:jc w:val="center"/>
        </w:trPr>
        <w:tc>
          <w:tcPr>
            <w:tcW w:w="846" w:type="dxa"/>
            <w:shd w:val="clear" w:color="auto" w:fill="FFFFFF" w:themeFill="background1"/>
          </w:tcPr>
          <w:p w14:paraId="4507C252" w14:textId="6C77D4C2" w:rsidR="007A479F" w:rsidRPr="00A07F29" w:rsidRDefault="007A479F" w:rsidP="007A479F">
            <w:pPr>
              <w:spacing w:after="0" w:line="240" w:lineRule="auto"/>
              <w:jc w:val="center"/>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D.2.</w:t>
            </w:r>
          </w:p>
        </w:tc>
        <w:tc>
          <w:tcPr>
            <w:tcW w:w="3402" w:type="dxa"/>
            <w:shd w:val="clear" w:color="auto" w:fill="FFFFFF" w:themeFill="background1"/>
          </w:tcPr>
          <w:p w14:paraId="55B6AF76" w14:textId="2DDBD363" w:rsidR="007A479F" w:rsidRPr="00A07F29" w:rsidRDefault="007A479F" w:rsidP="007A479F">
            <w:pPr>
              <w:spacing w:after="0" w:line="240" w:lineRule="auto"/>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D.2.5.</w:t>
            </w:r>
            <w:r w:rsidR="001D463F">
              <w:rPr>
                <w:rFonts w:ascii="Times New Roman" w:eastAsia="Calibri" w:hAnsi="Times New Roman" w:cs="Times New Roman"/>
                <w:bCs/>
                <w:sz w:val="20"/>
                <w:szCs w:val="20"/>
              </w:rPr>
              <w:t> </w:t>
            </w:r>
            <w:proofErr w:type="spellStart"/>
            <w:r w:rsidRPr="00A07F29">
              <w:rPr>
                <w:rFonts w:ascii="Times New Roman" w:eastAsia="Calibri" w:hAnsi="Times New Roman" w:cs="Times New Roman"/>
                <w:bCs/>
                <w:sz w:val="20"/>
                <w:szCs w:val="20"/>
              </w:rPr>
              <w:t>Lielbornes</w:t>
            </w:r>
            <w:proofErr w:type="spellEnd"/>
            <w:r w:rsidRPr="00A07F29">
              <w:rPr>
                <w:rFonts w:ascii="Times New Roman" w:eastAsia="Calibri" w:hAnsi="Times New Roman" w:cs="Times New Roman"/>
                <w:bCs/>
                <w:sz w:val="20"/>
                <w:szCs w:val="20"/>
              </w:rPr>
              <w:t xml:space="preserve"> muižas taku pilnveidošana un uzturēšana</w:t>
            </w:r>
          </w:p>
        </w:tc>
        <w:tc>
          <w:tcPr>
            <w:tcW w:w="1701" w:type="dxa"/>
            <w:shd w:val="clear" w:color="auto" w:fill="FFFFFF" w:themeFill="background1"/>
          </w:tcPr>
          <w:p w14:paraId="1A8361A7" w14:textId="60DBE356"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II,</w:t>
            </w:r>
          </w:p>
          <w:p w14:paraId="5C761C61" w14:textId="28FDC637"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bCs/>
                <w:sz w:val="20"/>
                <w:szCs w:val="20"/>
              </w:rPr>
              <w:t>visu plāna periodu</w:t>
            </w:r>
          </w:p>
        </w:tc>
        <w:tc>
          <w:tcPr>
            <w:tcW w:w="1984" w:type="dxa"/>
            <w:shd w:val="clear" w:color="auto" w:fill="FFFFFF" w:themeFill="background1"/>
          </w:tcPr>
          <w:p w14:paraId="3A2B9F43" w14:textId="3514CA54" w:rsidR="007A479F" w:rsidRPr="00A07F29" w:rsidRDefault="007A479F"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Objekta īpašnieks</w:t>
            </w:r>
          </w:p>
        </w:tc>
        <w:tc>
          <w:tcPr>
            <w:tcW w:w="1560" w:type="dxa"/>
            <w:shd w:val="clear" w:color="auto" w:fill="FFFFFF" w:themeFill="background1"/>
          </w:tcPr>
          <w:p w14:paraId="3689A801" w14:textId="1366E672" w:rsidR="007A479F" w:rsidRPr="00A07F29" w:rsidRDefault="00BA730D"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Atkarībā no tehniskā projekta, izmaksas nav nosakāmas</w:t>
            </w:r>
          </w:p>
        </w:tc>
        <w:tc>
          <w:tcPr>
            <w:tcW w:w="1984" w:type="dxa"/>
            <w:shd w:val="clear" w:color="auto" w:fill="FFFFFF" w:themeFill="background1"/>
          </w:tcPr>
          <w:p w14:paraId="59FEFFF5" w14:textId="4935C42F" w:rsidR="007A479F" w:rsidRPr="00A07F29" w:rsidRDefault="007A479F"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Objekta īpašnieka līdzekļi, projektu finansējums.</w:t>
            </w:r>
          </w:p>
        </w:tc>
        <w:tc>
          <w:tcPr>
            <w:tcW w:w="3686" w:type="dxa"/>
            <w:shd w:val="clear" w:color="auto" w:fill="FFFFFF" w:themeFill="background1"/>
          </w:tcPr>
          <w:p w14:paraId="26AE52CA" w14:textId="745133A3" w:rsidR="007A479F" w:rsidRPr="00A07F29" w:rsidRDefault="007A479F" w:rsidP="007A479F">
            <w:pPr>
              <w:spacing w:after="0" w:line="240" w:lineRule="auto"/>
              <w:ind w:left="34"/>
              <w:rPr>
                <w:rFonts w:ascii="Times New Roman" w:eastAsia="Calibri" w:hAnsi="Times New Roman" w:cs="Times New Roman"/>
                <w:sz w:val="20"/>
                <w:szCs w:val="20"/>
              </w:rPr>
            </w:pPr>
            <w:r w:rsidRPr="00A07F29">
              <w:rPr>
                <w:rFonts w:ascii="Times New Roman" w:eastAsia="Calibri" w:hAnsi="Times New Roman" w:cs="Times New Roman"/>
                <w:sz w:val="20"/>
                <w:szCs w:val="20"/>
              </w:rPr>
              <w:t>Takas apsaimniekotas, izvietotas norādes</w:t>
            </w:r>
          </w:p>
        </w:tc>
      </w:tr>
      <w:tr w:rsidR="007A479F" w:rsidRPr="00A07F29" w14:paraId="708A4ADB" w14:textId="77777777" w:rsidTr="4284A616">
        <w:trPr>
          <w:jc w:val="center"/>
        </w:trPr>
        <w:tc>
          <w:tcPr>
            <w:tcW w:w="846" w:type="dxa"/>
            <w:shd w:val="clear" w:color="auto" w:fill="FFFFFF" w:themeFill="background1"/>
          </w:tcPr>
          <w:p w14:paraId="0D766CD6" w14:textId="59C6DEE6"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D.2.</w:t>
            </w:r>
          </w:p>
        </w:tc>
        <w:tc>
          <w:tcPr>
            <w:tcW w:w="3402" w:type="dxa"/>
            <w:shd w:val="clear" w:color="auto" w:fill="FFFFFF" w:themeFill="background1"/>
          </w:tcPr>
          <w:p w14:paraId="133A12C1" w14:textId="32FDF03B" w:rsidR="007A479F" w:rsidRPr="00A07F29" w:rsidRDefault="007A479F" w:rsidP="007A479F">
            <w:pPr>
              <w:spacing w:after="0" w:line="240" w:lineRule="auto"/>
              <w:rPr>
                <w:rFonts w:ascii="Times New Roman" w:eastAsia="Calibri" w:hAnsi="Times New Roman" w:cs="Times New Roman"/>
                <w:sz w:val="20"/>
                <w:szCs w:val="20"/>
              </w:rPr>
            </w:pPr>
            <w:r w:rsidRPr="00A07F29">
              <w:rPr>
                <w:rFonts w:ascii="Times New Roman" w:eastAsia="Calibri" w:hAnsi="Times New Roman" w:cs="Times New Roman"/>
                <w:sz w:val="20"/>
                <w:szCs w:val="20"/>
              </w:rPr>
              <w:t>D.2.6.</w:t>
            </w:r>
            <w:r w:rsidR="00516673">
              <w:rPr>
                <w:rFonts w:ascii="Times New Roman" w:eastAsia="Calibri" w:hAnsi="Times New Roman" w:cs="Times New Roman"/>
                <w:sz w:val="20"/>
                <w:szCs w:val="20"/>
              </w:rPr>
              <w:t> </w:t>
            </w:r>
            <w:r w:rsidRPr="00A07F29">
              <w:rPr>
                <w:rFonts w:ascii="Times New Roman" w:eastAsia="Calibri" w:hAnsi="Times New Roman" w:cs="Times New Roman"/>
                <w:sz w:val="20"/>
                <w:szCs w:val="20"/>
              </w:rPr>
              <w:t xml:space="preserve">Dabas takas izveidošana un uzturēšana pie </w:t>
            </w:r>
            <w:proofErr w:type="spellStart"/>
            <w:r w:rsidRPr="00A07F29">
              <w:rPr>
                <w:rFonts w:ascii="Times New Roman" w:eastAsia="Calibri" w:hAnsi="Times New Roman" w:cs="Times New Roman"/>
                <w:sz w:val="20"/>
                <w:szCs w:val="20"/>
              </w:rPr>
              <w:t>Vecračinas</w:t>
            </w:r>
            <w:proofErr w:type="spellEnd"/>
            <w:r w:rsidRPr="00A07F29">
              <w:rPr>
                <w:rFonts w:ascii="Times New Roman" w:eastAsia="Calibri" w:hAnsi="Times New Roman" w:cs="Times New Roman"/>
                <w:sz w:val="20"/>
                <w:szCs w:val="20"/>
              </w:rPr>
              <w:t xml:space="preserve"> pilskalna</w:t>
            </w:r>
          </w:p>
        </w:tc>
        <w:tc>
          <w:tcPr>
            <w:tcW w:w="1701" w:type="dxa"/>
            <w:shd w:val="clear" w:color="auto" w:fill="FFFFFF" w:themeFill="background1"/>
          </w:tcPr>
          <w:p w14:paraId="08488080" w14:textId="77777777"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II,</w:t>
            </w:r>
          </w:p>
          <w:p w14:paraId="35EE34C1" w14:textId="1F11FFEF"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bCs/>
                <w:sz w:val="20"/>
                <w:szCs w:val="20"/>
              </w:rPr>
              <w:t>visu plāna periodu</w:t>
            </w:r>
          </w:p>
        </w:tc>
        <w:tc>
          <w:tcPr>
            <w:tcW w:w="1984" w:type="dxa"/>
            <w:shd w:val="clear" w:color="auto" w:fill="FFFFFF" w:themeFill="background1"/>
          </w:tcPr>
          <w:p w14:paraId="0E6AA443" w14:textId="3BB82298" w:rsidR="007A479F" w:rsidRPr="00A07F29" w:rsidRDefault="007A479F" w:rsidP="007A479F">
            <w:pPr>
              <w:spacing w:after="0" w:line="240" w:lineRule="auto"/>
              <w:ind w:left="34"/>
              <w:jc w:val="both"/>
              <w:rPr>
                <w:rFonts w:ascii="Times New Roman" w:hAnsi="Times New Roman" w:cs="Times New Roman"/>
                <w:sz w:val="20"/>
                <w:szCs w:val="20"/>
              </w:rPr>
            </w:pPr>
            <w:r w:rsidRPr="00A07F29">
              <w:rPr>
                <w:rFonts w:ascii="Times New Roman" w:eastAsia="Calibri" w:hAnsi="Times New Roman" w:cs="Times New Roman"/>
                <w:sz w:val="20"/>
                <w:szCs w:val="20"/>
              </w:rPr>
              <w:t>Pašvaldība</w:t>
            </w:r>
          </w:p>
        </w:tc>
        <w:tc>
          <w:tcPr>
            <w:tcW w:w="1560" w:type="dxa"/>
            <w:shd w:val="clear" w:color="auto" w:fill="FFFFFF" w:themeFill="background1"/>
          </w:tcPr>
          <w:p w14:paraId="2C2C5125" w14:textId="43A68C20" w:rsidR="007A479F" w:rsidRPr="00A07F29" w:rsidRDefault="00BA730D" w:rsidP="007A479F">
            <w:pPr>
              <w:spacing w:after="0" w:line="240" w:lineRule="auto"/>
              <w:ind w:left="34"/>
              <w:jc w:val="both"/>
              <w:rPr>
                <w:rFonts w:ascii="Times New Roman" w:hAnsi="Times New Roman" w:cs="Times New Roman"/>
                <w:sz w:val="20"/>
                <w:szCs w:val="20"/>
              </w:rPr>
            </w:pPr>
            <w:r w:rsidRPr="00A07F29">
              <w:rPr>
                <w:rFonts w:ascii="Times New Roman" w:eastAsia="Calibri" w:hAnsi="Times New Roman" w:cs="Times New Roman"/>
                <w:sz w:val="20"/>
                <w:szCs w:val="20"/>
              </w:rPr>
              <w:t>Atkarībā no tehniskā projekta, izmaksas nav nosakāmas</w:t>
            </w:r>
          </w:p>
        </w:tc>
        <w:tc>
          <w:tcPr>
            <w:tcW w:w="1984" w:type="dxa"/>
            <w:shd w:val="clear" w:color="auto" w:fill="FFFFFF" w:themeFill="background1"/>
          </w:tcPr>
          <w:p w14:paraId="3B31B1C3" w14:textId="52F5DAAE" w:rsidR="007A479F" w:rsidRPr="00A07F29" w:rsidRDefault="007A479F" w:rsidP="007A479F">
            <w:pPr>
              <w:spacing w:after="0" w:line="240" w:lineRule="auto"/>
              <w:ind w:left="34"/>
              <w:jc w:val="both"/>
              <w:rPr>
                <w:rFonts w:ascii="Times New Roman" w:hAnsi="Times New Roman" w:cs="Times New Roman"/>
                <w:sz w:val="20"/>
                <w:szCs w:val="20"/>
              </w:rPr>
            </w:pPr>
            <w:r w:rsidRPr="00A07F29">
              <w:rPr>
                <w:rFonts w:ascii="Times New Roman" w:hAnsi="Times New Roman" w:cs="Times New Roman"/>
                <w:sz w:val="20"/>
                <w:szCs w:val="20"/>
              </w:rPr>
              <w:t>Pašvaldības budžets, projektu fina</w:t>
            </w:r>
            <w:r w:rsidR="00516673">
              <w:rPr>
                <w:rFonts w:ascii="Times New Roman" w:hAnsi="Times New Roman" w:cs="Times New Roman"/>
                <w:sz w:val="20"/>
                <w:szCs w:val="20"/>
              </w:rPr>
              <w:t>n</w:t>
            </w:r>
            <w:r w:rsidRPr="00A07F29">
              <w:rPr>
                <w:rFonts w:ascii="Times New Roman" w:hAnsi="Times New Roman" w:cs="Times New Roman"/>
                <w:sz w:val="20"/>
                <w:szCs w:val="20"/>
              </w:rPr>
              <w:t>sējums.</w:t>
            </w:r>
          </w:p>
        </w:tc>
        <w:tc>
          <w:tcPr>
            <w:tcW w:w="3686" w:type="dxa"/>
            <w:shd w:val="clear" w:color="auto" w:fill="FFFFFF" w:themeFill="background1"/>
          </w:tcPr>
          <w:p w14:paraId="7C7D5DF4" w14:textId="71289814" w:rsidR="007A479F" w:rsidRPr="00A07F29" w:rsidRDefault="007A479F" w:rsidP="007A479F">
            <w:pPr>
              <w:spacing w:after="0" w:line="240" w:lineRule="auto"/>
              <w:ind w:left="34"/>
              <w:rPr>
                <w:rFonts w:ascii="Times New Roman" w:eastAsia="Calibri" w:hAnsi="Times New Roman" w:cs="Times New Roman"/>
                <w:bCs/>
                <w:sz w:val="20"/>
                <w:szCs w:val="20"/>
              </w:rPr>
            </w:pPr>
            <w:r w:rsidRPr="00A07F29">
              <w:rPr>
                <w:rFonts w:ascii="Times New Roman" w:hAnsi="Times New Roman" w:cs="Times New Roman"/>
                <w:sz w:val="20"/>
                <w:szCs w:val="20"/>
              </w:rPr>
              <w:t>Izveidota un apsaimniekota dabas taka</w:t>
            </w:r>
          </w:p>
        </w:tc>
      </w:tr>
      <w:tr w:rsidR="007A479F" w:rsidRPr="00A07F29" w14:paraId="51B470A7" w14:textId="77777777" w:rsidTr="4284A616">
        <w:trPr>
          <w:jc w:val="center"/>
        </w:trPr>
        <w:tc>
          <w:tcPr>
            <w:tcW w:w="846" w:type="dxa"/>
            <w:shd w:val="clear" w:color="auto" w:fill="FFFFFF" w:themeFill="background1"/>
          </w:tcPr>
          <w:p w14:paraId="7F06AD0C" w14:textId="2783D9D9"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D.2.</w:t>
            </w:r>
          </w:p>
        </w:tc>
        <w:tc>
          <w:tcPr>
            <w:tcW w:w="3402" w:type="dxa"/>
            <w:shd w:val="clear" w:color="auto" w:fill="FFFFFF" w:themeFill="background1"/>
          </w:tcPr>
          <w:p w14:paraId="3E29A2DD" w14:textId="0938B476" w:rsidR="007A479F" w:rsidRPr="00A07F29" w:rsidRDefault="007A479F" w:rsidP="007A479F">
            <w:pPr>
              <w:spacing w:after="0" w:line="240" w:lineRule="auto"/>
              <w:rPr>
                <w:rFonts w:ascii="Times New Roman" w:eastAsia="Calibri" w:hAnsi="Times New Roman" w:cs="Times New Roman"/>
                <w:sz w:val="20"/>
                <w:szCs w:val="20"/>
              </w:rPr>
            </w:pPr>
            <w:r w:rsidRPr="00A07F29">
              <w:rPr>
                <w:rFonts w:ascii="Times New Roman" w:eastAsia="Calibri" w:hAnsi="Times New Roman" w:cs="Times New Roman"/>
                <w:sz w:val="20"/>
                <w:szCs w:val="20"/>
              </w:rPr>
              <w:t>D.2.7.</w:t>
            </w:r>
            <w:r w:rsidR="00516673">
              <w:rPr>
                <w:rFonts w:ascii="Times New Roman" w:eastAsia="Calibri" w:hAnsi="Times New Roman" w:cs="Times New Roman"/>
                <w:sz w:val="20"/>
                <w:szCs w:val="20"/>
              </w:rPr>
              <w:t> </w:t>
            </w:r>
            <w:r w:rsidRPr="00A07F29">
              <w:rPr>
                <w:rFonts w:ascii="Times New Roman" w:eastAsia="Calibri" w:hAnsi="Times New Roman" w:cs="Times New Roman"/>
                <w:sz w:val="20"/>
                <w:szCs w:val="20"/>
              </w:rPr>
              <w:t>Dabas takas izveidošana un uzturēšana Tabores muižas parkā</w:t>
            </w:r>
          </w:p>
        </w:tc>
        <w:tc>
          <w:tcPr>
            <w:tcW w:w="1701" w:type="dxa"/>
            <w:shd w:val="clear" w:color="auto" w:fill="FFFFFF" w:themeFill="background1"/>
          </w:tcPr>
          <w:p w14:paraId="2386FFFF" w14:textId="77777777"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II,</w:t>
            </w:r>
          </w:p>
          <w:p w14:paraId="5E59DBB7" w14:textId="0D17AA7D"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visu plāna periodu</w:t>
            </w:r>
          </w:p>
        </w:tc>
        <w:tc>
          <w:tcPr>
            <w:tcW w:w="1984" w:type="dxa"/>
            <w:shd w:val="clear" w:color="auto" w:fill="FFFFFF" w:themeFill="background1"/>
          </w:tcPr>
          <w:p w14:paraId="384ED6BE" w14:textId="4E1B4C70" w:rsidR="007A479F" w:rsidRPr="00A07F29" w:rsidRDefault="007A479F"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Pašvaldība</w:t>
            </w:r>
          </w:p>
        </w:tc>
        <w:tc>
          <w:tcPr>
            <w:tcW w:w="1560" w:type="dxa"/>
            <w:shd w:val="clear" w:color="auto" w:fill="FFFFFF" w:themeFill="background1"/>
          </w:tcPr>
          <w:p w14:paraId="43911A01" w14:textId="34E16D7C" w:rsidR="007A479F" w:rsidRPr="00A07F29" w:rsidRDefault="00BA730D" w:rsidP="007A479F">
            <w:pPr>
              <w:spacing w:after="0" w:line="240" w:lineRule="auto"/>
              <w:ind w:left="34"/>
              <w:jc w:val="both"/>
              <w:rPr>
                <w:rFonts w:ascii="Times New Roman" w:hAnsi="Times New Roman" w:cs="Times New Roman"/>
                <w:sz w:val="20"/>
                <w:szCs w:val="20"/>
              </w:rPr>
            </w:pPr>
            <w:r w:rsidRPr="00A07F29">
              <w:rPr>
                <w:rFonts w:ascii="Times New Roman" w:eastAsia="Calibri" w:hAnsi="Times New Roman" w:cs="Times New Roman"/>
                <w:sz w:val="20"/>
                <w:szCs w:val="20"/>
              </w:rPr>
              <w:t>Atkarībā no tehniskā projekta, izmaksas nav nosakāmas</w:t>
            </w:r>
          </w:p>
        </w:tc>
        <w:tc>
          <w:tcPr>
            <w:tcW w:w="1984" w:type="dxa"/>
            <w:shd w:val="clear" w:color="auto" w:fill="FFFFFF" w:themeFill="background1"/>
          </w:tcPr>
          <w:p w14:paraId="309F702E" w14:textId="1D066871" w:rsidR="007A479F" w:rsidRPr="00A07F29" w:rsidRDefault="007A479F" w:rsidP="007A479F">
            <w:pPr>
              <w:spacing w:after="0" w:line="240" w:lineRule="auto"/>
              <w:ind w:left="34"/>
              <w:jc w:val="both"/>
              <w:rPr>
                <w:rFonts w:ascii="Times New Roman" w:hAnsi="Times New Roman" w:cs="Times New Roman"/>
                <w:sz w:val="20"/>
                <w:szCs w:val="20"/>
              </w:rPr>
            </w:pPr>
            <w:r w:rsidRPr="00A07F29">
              <w:rPr>
                <w:rFonts w:ascii="Times New Roman" w:hAnsi="Times New Roman" w:cs="Times New Roman"/>
                <w:sz w:val="20"/>
                <w:szCs w:val="20"/>
              </w:rPr>
              <w:t>Pašvaldības budžets, projektu fina</w:t>
            </w:r>
            <w:r w:rsidR="000A3AE8">
              <w:rPr>
                <w:rFonts w:ascii="Times New Roman" w:hAnsi="Times New Roman" w:cs="Times New Roman"/>
                <w:sz w:val="20"/>
                <w:szCs w:val="20"/>
              </w:rPr>
              <w:t>n</w:t>
            </w:r>
            <w:r w:rsidRPr="00A07F29">
              <w:rPr>
                <w:rFonts w:ascii="Times New Roman" w:hAnsi="Times New Roman" w:cs="Times New Roman"/>
                <w:sz w:val="20"/>
                <w:szCs w:val="20"/>
              </w:rPr>
              <w:t>sējums.</w:t>
            </w:r>
          </w:p>
        </w:tc>
        <w:tc>
          <w:tcPr>
            <w:tcW w:w="3686" w:type="dxa"/>
            <w:shd w:val="clear" w:color="auto" w:fill="FFFFFF" w:themeFill="background1"/>
          </w:tcPr>
          <w:p w14:paraId="6F9F6A0D" w14:textId="2B474E2C" w:rsidR="007A479F" w:rsidRPr="00A07F29" w:rsidRDefault="007A479F" w:rsidP="007A479F">
            <w:pPr>
              <w:spacing w:after="0" w:line="240" w:lineRule="auto"/>
              <w:ind w:left="34"/>
              <w:rPr>
                <w:rFonts w:ascii="Times New Roman" w:hAnsi="Times New Roman" w:cs="Times New Roman"/>
                <w:sz w:val="20"/>
                <w:szCs w:val="20"/>
              </w:rPr>
            </w:pPr>
            <w:r w:rsidRPr="00A07F29">
              <w:rPr>
                <w:rFonts w:ascii="Times New Roman" w:hAnsi="Times New Roman" w:cs="Times New Roman"/>
                <w:sz w:val="20"/>
                <w:szCs w:val="20"/>
              </w:rPr>
              <w:t>Izveidota un apsaimniekota dabas taka</w:t>
            </w:r>
          </w:p>
        </w:tc>
      </w:tr>
      <w:tr w:rsidR="007A479F" w:rsidRPr="00A07F29" w14:paraId="60F84F41" w14:textId="77777777" w:rsidTr="4284A616">
        <w:trPr>
          <w:jc w:val="center"/>
        </w:trPr>
        <w:tc>
          <w:tcPr>
            <w:tcW w:w="846" w:type="dxa"/>
            <w:shd w:val="clear" w:color="auto" w:fill="FFFFFF" w:themeFill="background1"/>
          </w:tcPr>
          <w:p w14:paraId="076EFE58" w14:textId="5D68839C"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D.2.</w:t>
            </w:r>
          </w:p>
        </w:tc>
        <w:tc>
          <w:tcPr>
            <w:tcW w:w="3402" w:type="dxa"/>
            <w:shd w:val="clear" w:color="auto" w:fill="FFFFFF" w:themeFill="background1"/>
          </w:tcPr>
          <w:p w14:paraId="4820367B" w14:textId="772DF54F" w:rsidR="007A479F" w:rsidRPr="00A07F29" w:rsidRDefault="007A479F" w:rsidP="007A479F">
            <w:pPr>
              <w:spacing w:after="0" w:line="240" w:lineRule="auto"/>
              <w:rPr>
                <w:rFonts w:ascii="Times New Roman" w:eastAsia="Calibri" w:hAnsi="Times New Roman" w:cs="Times New Roman"/>
                <w:sz w:val="20"/>
                <w:szCs w:val="20"/>
              </w:rPr>
            </w:pPr>
            <w:r w:rsidRPr="00A07F29">
              <w:rPr>
                <w:rFonts w:ascii="Times New Roman" w:eastAsia="Calibri" w:hAnsi="Times New Roman" w:cs="Times New Roman"/>
                <w:sz w:val="20"/>
                <w:szCs w:val="20"/>
              </w:rPr>
              <w:t>D.2.8.</w:t>
            </w:r>
            <w:r w:rsidR="000A3AE8">
              <w:rPr>
                <w:rFonts w:ascii="Times New Roman" w:eastAsia="Calibri" w:hAnsi="Times New Roman" w:cs="Times New Roman"/>
                <w:sz w:val="20"/>
                <w:szCs w:val="20"/>
              </w:rPr>
              <w:t> </w:t>
            </w:r>
            <w:proofErr w:type="spellStart"/>
            <w:r w:rsidRPr="00A07F29">
              <w:rPr>
                <w:rFonts w:ascii="Times New Roman" w:eastAsia="Calibri" w:hAnsi="Times New Roman" w:cs="Times New Roman"/>
                <w:sz w:val="20"/>
                <w:szCs w:val="20"/>
              </w:rPr>
              <w:t>Balticas</w:t>
            </w:r>
            <w:proofErr w:type="spellEnd"/>
            <w:r w:rsidRPr="00A07F29">
              <w:rPr>
                <w:rFonts w:ascii="Times New Roman" w:eastAsia="Calibri" w:hAnsi="Times New Roman" w:cs="Times New Roman"/>
                <w:sz w:val="20"/>
                <w:szCs w:val="20"/>
              </w:rPr>
              <w:t xml:space="preserve"> ezera dabas takas izveidošana un uzturēšana</w:t>
            </w:r>
          </w:p>
        </w:tc>
        <w:tc>
          <w:tcPr>
            <w:tcW w:w="1701" w:type="dxa"/>
            <w:shd w:val="clear" w:color="auto" w:fill="FFFFFF" w:themeFill="background1"/>
          </w:tcPr>
          <w:p w14:paraId="1FFED322" w14:textId="77777777"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II,</w:t>
            </w:r>
          </w:p>
          <w:p w14:paraId="16D6F596" w14:textId="0DF69286"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visu plāna periodu</w:t>
            </w:r>
          </w:p>
        </w:tc>
        <w:tc>
          <w:tcPr>
            <w:tcW w:w="1984" w:type="dxa"/>
            <w:shd w:val="clear" w:color="auto" w:fill="FFFFFF" w:themeFill="background1"/>
          </w:tcPr>
          <w:p w14:paraId="4F983A5B" w14:textId="21C7720C" w:rsidR="007A479F" w:rsidRPr="00A07F29" w:rsidRDefault="007A479F"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Zemes īpašnieki</w:t>
            </w:r>
          </w:p>
        </w:tc>
        <w:tc>
          <w:tcPr>
            <w:tcW w:w="1560" w:type="dxa"/>
            <w:shd w:val="clear" w:color="auto" w:fill="FFFFFF" w:themeFill="background1"/>
          </w:tcPr>
          <w:p w14:paraId="1E039E1C" w14:textId="6EFAC603" w:rsidR="007A479F" w:rsidRPr="00A07F29" w:rsidRDefault="00BA730D" w:rsidP="007A479F">
            <w:pPr>
              <w:spacing w:after="0" w:line="240" w:lineRule="auto"/>
              <w:ind w:left="34"/>
              <w:jc w:val="both"/>
              <w:rPr>
                <w:rFonts w:ascii="Times New Roman" w:hAnsi="Times New Roman" w:cs="Times New Roman"/>
                <w:sz w:val="20"/>
                <w:szCs w:val="20"/>
              </w:rPr>
            </w:pPr>
            <w:r w:rsidRPr="00A07F29">
              <w:rPr>
                <w:rFonts w:ascii="Times New Roman" w:eastAsia="Calibri" w:hAnsi="Times New Roman" w:cs="Times New Roman"/>
                <w:sz w:val="20"/>
                <w:szCs w:val="20"/>
              </w:rPr>
              <w:t xml:space="preserve">Atkarībā no tehniskā projekta, </w:t>
            </w:r>
            <w:r w:rsidRPr="00A07F29">
              <w:rPr>
                <w:rFonts w:ascii="Times New Roman" w:eastAsia="Calibri" w:hAnsi="Times New Roman" w:cs="Times New Roman"/>
                <w:sz w:val="20"/>
                <w:szCs w:val="20"/>
              </w:rPr>
              <w:lastRenderedPageBreak/>
              <w:t>izmaksas nav nosakāmas</w:t>
            </w:r>
          </w:p>
        </w:tc>
        <w:tc>
          <w:tcPr>
            <w:tcW w:w="1984" w:type="dxa"/>
            <w:shd w:val="clear" w:color="auto" w:fill="FFFFFF" w:themeFill="background1"/>
          </w:tcPr>
          <w:p w14:paraId="0BD564FA" w14:textId="6F9CC886" w:rsidR="007A479F" w:rsidRPr="00A07F29" w:rsidRDefault="007A479F" w:rsidP="007A479F">
            <w:pPr>
              <w:spacing w:after="0" w:line="240" w:lineRule="auto"/>
              <w:ind w:left="34"/>
              <w:jc w:val="both"/>
              <w:rPr>
                <w:rFonts w:ascii="Times New Roman" w:hAnsi="Times New Roman" w:cs="Times New Roman"/>
                <w:sz w:val="20"/>
                <w:szCs w:val="20"/>
              </w:rPr>
            </w:pPr>
            <w:r w:rsidRPr="00A07F29">
              <w:rPr>
                <w:rFonts w:ascii="Times New Roman" w:hAnsi="Times New Roman" w:cs="Times New Roman"/>
                <w:sz w:val="20"/>
                <w:szCs w:val="20"/>
              </w:rPr>
              <w:lastRenderedPageBreak/>
              <w:t>Zemes īpašnieku līdzekļi, projektu finansējums</w:t>
            </w:r>
          </w:p>
        </w:tc>
        <w:tc>
          <w:tcPr>
            <w:tcW w:w="3686" w:type="dxa"/>
            <w:shd w:val="clear" w:color="auto" w:fill="FFFFFF" w:themeFill="background1"/>
          </w:tcPr>
          <w:p w14:paraId="148F8544" w14:textId="44CE027E" w:rsidR="007A479F" w:rsidRPr="00A07F29" w:rsidRDefault="007A479F" w:rsidP="007A479F">
            <w:pPr>
              <w:spacing w:after="0" w:line="240" w:lineRule="auto"/>
              <w:ind w:left="34"/>
              <w:rPr>
                <w:rFonts w:ascii="Times New Roman" w:hAnsi="Times New Roman" w:cs="Times New Roman"/>
                <w:sz w:val="20"/>
                <w:szCs w:val="20"/>
              </w:rPr>
            </w:pPr>
            <w:r w:rsidRPr="00A07F29">
              <w:rPr>
                <w:rFonts w:ascii="Times New Roman" w:hAnsi="Times New Roman" w:cs="Times New Roman"/>
                <w:sz w:val="20"/>
                <w:szCs w:val="20"/>
              </w:rPr>
              <w:t>Izveidota un apsaimniekota dabas taka</w:t>
            </w:r>
          </w:p>
        </w:tc>
      </w:tr>
      <w:tr w:rsidR="007A479F" w:rsidRPr="00A07F29" w14:paraId="28EC869C" w14:textId="77777777" w:rsidTr="4284A616">
        <w:trPr>
          <w:jc w:val="center"/>
        </w:trPr>
        <w:tc>
          <w:tcPr>
            <w:tcW w:w="846" w:type="dxa"/>
            <w:shd w:val="clear" w:color="auto" w:fill="FFFFFF" w:themeFill="background1"/>
          </w:tcPr>
          <w:p w14:paraId="0B6C454B" w14:textId="4B86775B" w:rsidR="007A479F" w:rsidRPr="00A07F29" w:rsidRDefault="007A479F" w:rsidP="007A479F">
            <w:pPr>
              <w:spacing w:after="0" w:line="240" w:lineRule="auto"/>
              <w:jc w:val="center"/>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D.3.</w:t>
            </w:r>
          </w:p>
        </w:tc>
        <w:tc>
          <w:tcPr>
            <w:tcW w:w="3402" w:type="dxa"/>
            <w:shd w:val="clear" w:color="auto" w:fill="FFFFFF" w:themeFill="background1"/>
          </w:tcPr>
          <w:p w14:paraId="53AB0372" w14:textId="42C641D6" w:rsidR="007A479F" w:rsidRPr="00A07F29" w:rsidRDefault="007A479F" w:rsidP="007A479F">
            <w:pPr>
              <w:spacing w:after="0" w:line="240" w:lineRule="auto"/>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D.3.1.</w:t>
            </w:r>
            <w:r w:rsidR="009674D5">
              <w:rPr>
                <w:rFonts w:ascii="Times New Roman" w:eastAsia="Calibri" w:hAnsi="Times New Roman" w:cs="Times New Roman"/>
                <w:bCs/>
                <w:sz w:val="20"/>
                <w:szCs w:val="20"/>
              </w:rPr>
              <w:t> </w:t>
            </w:r>
            <w:r w:rsidR="00C25036" w:rsidRPr="00C25036">
              <w:rPr>
                <w:rFonts w:ascii="Times New Roman" w:eastAsia="Calibri" w:hAnsi="Times New Roman" w:cs="Times New Roman"/>
                <w:bCs/>
                <w:sz w:val="20"/>
                <w:szCs w:val="20"/>
              </w:rPr>
              <w:t>LVM</w:t>
            </w:r>
            <w:r w:rsidRPr="00A07F29">
              <w:rPr>
                <w:rFonts w:ascii="Times New Roman" w:eastAsia="Calibri" w:hAnsi="Times New Roman" w:cs="Times New Roman"/>
                <w:bCs/>
                <w:sz w:val="20"/>
                <w:szCs w:val="20"/>
              </w:rPr>
              <w:t xml:space="preserve"> ierīkoto atpūtas vietu pilnveidošana un uzturēšana</w:t>
            </w:r>
          </w:p>
        </w:tc>
        <w:tc>
          <w:tcPr>
            <w:tcW w:w="1701" w:type="dxa"/>
            <w:shd w:val="clear" w:color="auto" w:fill="FFFFFF" w:themeFill="background1"/>
          </w:tcPr>
          <w:p w14:paraId="21DF960E" w14:textId="2C78B8D4"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II,</w:t>
            </w:r>
          </w:p>
          <w:p w14:paraId="62B004E7" w14:textId="1FCF022C"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bCs/>
                <w:sz w:val="20"/>
                <w:szCs w:val="20"/>
              </w:rPr>
              <w:t>visu plāna periodu</w:t>
            </w:r>
          </w:p>
        </w:tc>
        <w:tc>
          <w:tcPr>
            <w:tcW w:w="1984" w:type="dxa"/>
            <w:shd w:val="clear" w:color="auto" w:fill="FFFFFF" w:themeFill="background1"/>
          </w:tcPr>
          <w:p w14:paraId="15B8FF9E" w14:textId="152A1174" w:rsidR="007A479F" w:rsidRPr="00A07F29" w:rsidRDefault="007A479F"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LVM</w:t>
            </w:r>
          </w:p>
        </w:tc>
        <w:tc>
          <w:tcPr>
            <w:tcW w:w="1560" w:type="dxa"/>
            <w:shd w:val="clear" w:color="auto" w:fill="FFFFFF" w:themeFill="background1"/>
          </w:tcPr>
          <w:p w14:paraId="753300E0" w14:textId="63935B2C" w:rsidR="007A479F" w:rsidRPr="00A07F29" w:rsidRDefault="00BA730D"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Atkarībā no tehniskā projekta, izmaksas nav nosakāmas</w:t>
            </w:r>
          </w:p>
        </w:tc>
        <w:tc>
          <w:tcPr>
            <w:tcW w:w="1984" w:type="dxa"/>
            <w:shd w:val="clear" w:color="auto" w:fill="FFFFFF" w:themeFill="background1"/>
          </w:tcPr>
          <w:p w14:paraId="40B57F38" w14:textId="153D4410" w:rsidR="007A479F" w:rsidRPr="00A07F29" w:rsidRDefault="007A479F"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LVM līdzekļi, projektu finansējums</w:t>
            </w:r>
          </w:p>
        </w:tc>
        <w:tc>
          <w:tcPr>
            <w:tcW w:w="3686" w:type="dxa"/>
            <w:shd w:val="clear" w:color="auto" w:fill="FFFFFF" w:themeFill="background1"/>
          </w:tcPr>
          <w:p w14:paraId="0DDE6C47" w14:textId="0363E3C7" w:rsidR="007A479F" w:rsidRPr="00A07F29" w:rsidRDefault="007A479F" w:rsidP="007A479F">
            <w:pPr>
              <w:spacing w:after="0" w:line="240" w:lineRule="auto"/>
              <w:ind w:left="34"/>
              <w:rPr>
                <w:rFonts w:ascii="Times New Roman" w:eastAsia="Calibri" w:hAnsi="Times New Roman" w:cs="Times New Roman"/>
                <w:sz w:val="20"/>
                <w:szCs w:val="20"/>
              </w:rPr>
            </w:pPr>
            <w:r w:rsidRPr="00A07F29">
              <w:rPr>
                <w:rFonts w:ascii="Times New Roman" w:eastAsia="Calibri" w:hAnsi="Times New Roman" w:cs="Times New Roman"/>
                <w:sz w:val="20"/>
                <w:szCs w:val="20"/>
              </w:rPr>
              <w:t xml:space="preserve">Uzturētas un apsaimniekotas </w:t>
            </w:r>
            <w:r w:rsidR="009674D5">
              <w:rPr>
                <w:rFonts w:ascii="Times New Roman" w:eastAsia="Calibri" w:hAnsi="Times New Roman" w:cs="Times New Roman"/>
                <w:sz w:val="20"/>
                <w:szCs w:val="20"/>
              </w:rPr>
              <w:t>deviņas</w:t>
            </w:r>
            <w:r w:rsidRPr="00A07F29">
              <w:rPr>
                <w:rFonts w:ascii="Times New Roman" w:eastAsia="Calibri" w:hAnsi="Times New Roman" w:cs="Times New Roman"/>
                <w:sz w:val="20"/>
                <w:szCs w:val="20"/>
              </w:rPr>
              <w:t xml:space="preserve"> atpūtas vietas</w:t>
            </w:r>
          </w:p>
        </w:tc>
      </w:tr>
      <w:tr w:rsidR="007A479F" w:rsidRPr="00A07F29" w14:paraId="3FBEE6FC" w14:textId="77777777" w:rsidTr="4284A616">
        <w:trPr>
          <w:jc w:val="center"/>
        </w:trPr>
        <w:tc>
          <w:tcPr>
            <w:tcW w:w="846" w:type="dxa"/>
            <w:shd w:val="clear" w:color="auto" w:fill="FFFFFF" w:themeFill="background1"/>
          </w:tcPr>
          <w:p w14:paraId="14F4C599" w14:textId="669068ED" w:rsidR="007A479F" w:rsidRPr="00A07F29" w:rsidRDefault="007A479F" w:rsidP="007A479F">
            <w:pPr>
              <w:spacing w:after="0" w:line="240" w:lineRule="auto"/>
              <w:jc w:val="center"/>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D.3.</w:t>
            </w:r>
          </w:p>
        </w:tc>
        <w:tc>
          <w:tcPr>
            <w:tcW w:w="3402" w:type="dxa"/>
            <w:shd w:val="clear" w:color="auto" w:fill="FFFFFF" w:themeFill="background1"/>
          </w:tcPr>
          <w:p w14:paraId="0D4D3788" w14:textId="0BFD7EA9" w:rsidR="007A479F" w:rsidRPr="00A07F29" w:rsidRDefault="007A479F" w:rsidP="007A479F">
            <w:pPr>
              <w:spacing w:after="0" w:line="240" w:lineRule="auto"/>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D.3.2.</w:t>
            </w:r>
            <w:r w:rsidR="009674D5">
              <w:rPr>
                <w:rFonts w:ascii="Times New Roman" w:eastAsia="Calibri" w:hAnsi="Times New Roman" w:cs="Times New Roman"/>
                <w:bCs/>
                <w:sz w:val="20"/>
                <w:szCs w:val="20"/>
              </w:rPr>
              <w:t> </w:t>
            </w:r>
            <w:r w:rsidRPr="00A07F29">
              <w:rPr>
                <w:rFonts w:ascii="Times New Roman" w:eastAsia="Calibri" w:hAnsi="Times New Roman" w:cs="Times New Roman"/>
                <w:bCs/>
                <w:sz w:val="20"/>
                <w:szCs w:val="20"/>
              </w:rPr>
              <w:t>Atpūtas vietas labiekārtošana Krāslavā, Ostas ielā</w:t>
            </w:r>
          </w:p>
        </w:tc>
        <w:tc>
          <w:tcPr>
            <w:tcW w:w="1701" w:type="dxa"/>
            <w:shd w:val="clear" w:color="auto" w:fill="FFFFFF" w:themeFill="background1"/>
          </w:tcPr>
          <w:p w14:paraId="72895198" w14:textId="190D99F4"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II,</w:t>
            </w:r>
          </w:p>
          <w:p w14:paraId="665811AE" w14:textId="794802F5"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bCs/>
                <w:sz w:val="20"/>
                <w:szCs w:val="20"/>
              </w:rPr>
              <w:t>visu plāna periodu</w:t>
            </w:r>
          </w:p>
        </w:tc>
        <w:tc>
          <w:tcPr>
            <w:tcW w:w="1984" w:type="dxa"/>
            <w:shd w:val="clear" w:color="auto" w:fill="FFFFFF" w:themeFill="background1"/>
          </w:tcPr>
          <w:p w14:paraId="5BAB1FAB" w14:textId="096653A9" w:rsidR="007A479F" w:rsidRPr="00A07F29" w:rsidRDefault="007A479F"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Pašvaldība</w:t>
            </w:r>
          </w:p>
        </w:tc>
        <w:tc>
          <w:tcPr>
            <w:tcW w:w="1560" w:type="dxa"/>
            <w:shd w:val="clear" w:color="auto" w:fill="FFFFFF" w:themeFill="background1"/>
          </w:tcPr>
          <w:p w14:paraId="4EEACCB2" w14:textId="24FB15EA" w:rsidR="007A479F" w:rsidRPr="00A07F29" w:rsidRDefault="00BA730D"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Atkarībā no tehniskā projekta, izmaksas nav nosakāmas</w:t>
            </w:r>
          </w:p>
        </w:tc>
        <w:tc>
          <w:tcPr>
            <w:tcW w:w="1984" w:type="dxa"/>
            <w:shd w:val="clear" w:color="auto" w:fill="FFFFFF" w:themeFill="background1"/>
          </w:tcPr>
          <w:p w14:paraId="20BB9FE2" w14:textId="71247BCB" w:rsidR="007A479F" w:rsidRPr="00A07F29" w:rsidRDefault="007A479F"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Pašvaldības budžets, projekta finansējums.</w:t>
            </w:r>
          </w:p>
        </w:tc>
        <w:tc>
          <w:tcPr>
            <w:tcW w:w="3686" w:type="dxa"/>
            <w:shd w:val="clear" w:color="auto" w:fill="FFFFFF" w:themeFill="background1"/>
          </w:tcPr>
          <w:p w14:paraId="58F1650F" w14:textId="7B943A22" w:rsidR="007A479F" w:rsidRPr="00A07F29" w:rsidRDefault="007A479F" w:rsidP="007A479F">
            <w:pPr>
              <w:spacing w:after="0" w:line="240" w:lineRule="auto"/>
              <w:ind w:left="34"/>
              <w:rPr>
                <w:rFonts w:ascii="Times New Roman" w:eastAsia="Calibri" w:hAnsi="Times New Roman" w:cs="Times New Roman"/>
                <w:sz w:val="20"/>
                <w:szCs w:val="20"/>
              </w:rPr>
            </w:pPr>
            <w:r w:rsidRPr="00A07F29">
              <w:rPr>
                <w:rFonts w:ascii="Times New Roman" w:eastAsia="Calibri" w:hAnsi="Times New Roman" w:cs="Times New Roman"/>
                <w:sz w:val="20"/>
                <w:szCs w:val="20"/>
              </w:rPr>
              <w:t>Labiekārtota un apsaimniekota atpūtas vieta</w:t>
            </w:r>
          </w:p>
        </w:tc>
      </w:tr>
      <w:tr w:rsidR="007A479F" w:rsidRPr="00A07F29" w14:paraId="3C6C3988" w14:textId="77777777" w:rsidTr="4284A616">
        <w:trPr>
          <w:jc w:val="center"/>
        </w:trPr>
        <w:tc>
          <w:tcPr>
            <w:tcW w:w="846" w:type="dxa"/>
            <w:shd w:val="clear" w:color="auto" w:fill="FFFFFF" w:themeFill="background1"/>
          </w:tcPr>
          <w:p w14:paraId="19B03907" w14:textId="411F65B8" w:rsidR="007A479F" w:rsidRPr="00A07F29" w:rsidRDefault="007A479F" w:rsidP="007A479F">
            <w:pPr>
              <w:spacing w:after="0" w:line="240" w:lineRule="auto"/>
              <w:jc w:val="center"/>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D.3.</w:t>
            </w:r>
          </w:p>
        </w:tc>
        <w:tc>
          <w:tcPr>
            <w:tcW w:w="3402" w:type="dxa"/>
            <w:shd w:val="clear" w:color="auto" w:fill="FFFFFF" w:themeFill="background1"/>
          </w:tcPr>
          <w:p w14:paraId="18886F1A" w14:textId="2E01D713" w:rsidR="007A479F" w:rsidRPr="00A07F29" w:rsidRDefault="007A479F" w:rsidP="007A479F">
            <w:pPr>
              <w:spacing w:after="0" w:line="240" w:lineRule="auto"/>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D.3.3.</w:t>
            </w:r>
            <w:r w:rsidR="008C146F">
              <w:rPr>
                <w:rFonts w:ascii="Times New Roman" w:eastAsia="Calibri" w:hAnsi="Times New Roman" w:cs="Times New Roman"/>
                <w:bCs/>
                <w:sz w:val="20"/>
                <w:szCs w:val="20"/>
              </w:rPr>
              <w:t> </w:t>
            </w:r>
            <w:r w:rsidRPr="00A07F29">
              <w:rPr>
                <w:rFonts w:ascii="Times New Roman" w:eastAsia="Calibri" w:hAnsi="Times New Roman" w:cs="Times New Roman"/>
                <w:bCs/>
                <w:sz w:val="20"/>
                <w:szCs w:val="20"/>
              </w:rPr>
              <w:t xml:space="preserve">Atpūtas vietas ierīkošana un uzturēšana pie </w:t>
            </w:r>
            <w:proofErr w:type="spellStart"/>
            <w:r w:rsidRPr="00A07F29">
              <w:rPr>
                <w:rFonts w:ascii="Times New Roman" w:eastAsia="Calibri" w:hAnsi="Times New Roman" w:cs="Times New Roman"/>
                <w:bCs/>
                <w:sz w:val="20"/>
                <w:szCs w:val="20"/>
              </w:rPr>
              <w:t>Kolodas</w:t>
            </w:r>
            <w:proofErr w:type="spellEnd"/>
            <w:r w:rsidRPr="00A07F29">
              <w:rPr>
                <w:rFonts w:ascii="Times New Roman" w:eastAsia="Calibri" w:hAnsi="Times New Roman" w:cs="Times New Roman"/>
                <w:bCs/>
                <w:sz w:val="20"/>
                <w:szCs w:val="20"/>
              </w:rPr>
              <w:t xml:space="preserve"> ezera</w:t>
            </w:r>
          </w:p>
        </w:tc>
        <w:tc>
          <w:tcPr>
            <w:tcW w:w="1701" w:type="dxa"/>
            <w:shd w:val="clear" w:color="auto" w:fill="FFFFFF" w:themeFill="background1"/>
          </w:tcPr>
          <w:p w14:paraId="0C000EA7" w14:textId="77777777"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II,</w:t>
            </w:r>
          </w:p>
          <w:p w14:paraId="451AFCB4" w14:textId="07D44EB0"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bCs/>
                <w:sz w:val="20"/>
                <w:szCs w:val="20"/>
              </w:rPr>
              <w:t>visu plāna periodu</w:t>
            </w:r>
          </w:p>
        </w:tc>
        <w:tc>
          <w:tcPr>
            <w:tcW w:w="1984" w:type="dxa"/>
            <w:shd w:val="clear" w:color="auto" w:fill="FFFFFF" w:themeFill="background1"/>
          </w:tcPr>
          <w:p w14:paraId="375D7170" w14:textId="70C9D7E5" w:rsidR="007A479F" w:rsidRPr="00A07F29" w:rsidRDefault="007A479F"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Pašvaldība, TIC</w:t>
            </w:r>
          </w:p>
        </w:tc>
        <w:tc>
          <w:tcPr>
            <w:tcW w:w="1560" w:type="dxa"/>
            <w:shd w:val="clear" w:color="auto" w:fill="FFFFFF" w:themeFill="background1"/>
          </w:tcPr>
          <w:p w14:paraId="16D5ACAF" w14:textId="5870FD9E" w:rsidR="007A479F" w:rsidRPr="00A07F29" w:rsidRDefault="00BA730D"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Atkarībā no tehniskā projekta, izmaksas nav nosakāmas</w:t>
            </w:r>
          </w:p>
        </w:tc>
        <w:tc>
          <w:tcPr>
            <w:tcW w:w="1984" w:type="dxa"/>
            <w:shd w:val="clear" w:color="auto" w:fill="FFFFFF" w:themeFill="background1"/>
          </w:tcPr>
          <w:p w14:paraId="1E4E64A2" w14:textId="50A45AD8" w:rsidR="007A479F" w:rsidRPr="00A07F29" w:rsidRDefault="007A479F"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Pašvaldības budžets, projekta finansējums.</w:t>
            </w:r>
          </w:p>
        </w:tc>
        <w:tc>
          <w:tcPr>
            <w:tcW w:w="3686" w:type="dxa"/>
            <w:shd w:val="clear" w:color="auto" w:fill="FFFFFF" w:themeFill="background1"/>
          </w:tcPr>
          <w:p w14:paraId="40775106" w14:textId="7E8DF2E4" w:rsidR="007A479F" w:rsidRPr="00A07F29" w:rsidRDefault="007A479F" w:rsidP="007A479F">
            <w:pPr>
              <w:spacing w:after="0" w:line="240" w:lineRule="auto"/>
              <w:ind w:left="34"/>
              <w:rPr>
                <w:rFonts w:ascii="Times New Roman" w:eastAsia="Calibri" w:hAnsi="Times New Roman" w:cs="Times New Roman"/>
                <w:sz w:val="20"/>
                <w:szCs w:val="20"/>
              </w:rPr>
            </w:pPr>
            <w:r w:rsidRPr="00A07F29">
              <w:rPr>
                <w:rFonts w:ascii="Times New Roman" w:eastAsia="Calibri" w:hAnsi="Times New Roman" w:cs="Times New Roman"/>
                <w:sz w:val="20"/>
                <w:szCs w:val="20"/>
              </w:rPr>
              <w:t>Labiekārtota un apsaimniekota atpūtas vieta</w:t>
            </w:r>
          </w:p>
        </w:tc>
      </w:tr>
      <w:tr w:rsidR="007A479F" w:rsidRPr="00A07F29" w14:paraId="676EBDBE" w14:textId="77777777" w:rsidTr="4284A616">
        <w:trPr>
          <w:jc w:val="center"/>
        </w:trPr>
        <w:tc>
          <w:tcPr>
            <w:tcW w:w="846" w:type="dxa"/>
            <w:shd w:val="clear" w:color="auto" w:fill="FFFFFF" w:themeFill="background1"/>
          </w:tcPr>
          <w:p w14:paraId="3A4905EE" w14:textId="21D39C3F" w:rsidR="007A479F" w:rsidRPr="00A07F29" w:rsidRDefault="007A479F" w:rsidP="007A479F">
            <w:pPr>
              <w:spacing w:after="0" w:line="240" w:lineRule="auto"/>
              <w:jc w:val="center"/>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D.3.</w:t>
            </w:r>
          </w:p>
        </w:tc>
        <w:tc>
          <w:tcPr>
            <w:tcW w:w="3402" w:type="dxa"/>
            <w:shd w:val="clear" w:color="auto" w:fill="FFFFFF" w:themeFill="background1"/>
          </w:tcPr>
          <w:p w14:paraId="1E755261" w14:textId="24A74F8A" w:rsidR="007A479F" w:rsidRPr="00A07F29" w:rsidRDefault="007A479F" w:rsidP="007A479F">
            <w:pPr>
              <w:spacing w:after="0" w:line="240" w:lineRule="auto"/>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D.3.4.</w:t>
            </w:r>
            <w:r w:rsidR="008C146F">
              <w:rPr>
                <w:rFonts w:ascii="Times New Roman" w:eastAsia="Calibri" w:hAnsi="Times New Roman" w:cs="Times New Roman"/>
                <w:bCs/>
                <w:sz w:val="20"/>
                <w:szCs w:val="20"/>
              </w:rPr>
              <w:t> </w:t>
            </w:r>
            <w:r w:rsidRPr="00A07F29">
              <w:rPr>
                <w:rFonts w:ascii="Times New Roman" w:eastAsia="Calibri" w:hAnsi="Times New Roman" w:cs="Times New Roman"/>
                <w:bCs/>
                <w:sz w:val="20"/>
                <w:szCs w:val="20"/>
              </w:rPr>
              <w:t>Labiekārtotas atpūtas vietas izveidošana pie kempinga “Krasti”</w:t>
            </w:r>
          </w:p>
        </w:tc>
        <w:tc>
          <w:tcPr>
            <w:tcW w:w="1701" w:type="dxa"/>
            <w:shd w:val="clear" w:color="auto" w:fill="FFFFFF" w:themeFill="background1"/>
          </w:tcPr>
          <w:p w14:paraId="45006A22" w14:textId="77777777"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II,</w:t>
            </w:r>
          </w:p>
          <w:p w14:paraId="15E621B1" w14:textId="763CBD1E"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visu plāna periodu</w:t>
            </w:r>
          </w:p>
        </w:tc>
        <w:tc>
          <w:tcPr>
            <w:tcW w:w="1984" w:type="dxa"/>
            <w:shd w:val="clear" w:color="auto" w:fill="FFFFFF" w:themeFill="background1"/>
          </w:tcPr>
          <w:p w14:paraId="38A73D99" w14:textId="54A8D900" w:rsidR="007A479F" w:rsidRPr="00A07F29" w:rsidRDefault="007A479F"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Uzņēmējs, pašvaldība</w:t>
            </w:r>
          </w:p>
        </w:tc>
        <w:tc>
          <w:tcPr>
            <w:tcW w:w="1560" w:type="dxa"/>
            <w:shd w:val="clear" w:color="auto" w:fill="FFFFFF" w:themeFill="background1"/>
          </w:tcPr>
          <w:p w14:paraId="02F2D633" w14:textId="16F56F44" w:rsidR="007A479F" w:rsidRPr="00A07F29" w:rsidRDefault="00BA730D"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Atkarībā no tehniskā projekta, izmaksas nav nosakāmas</w:t>
            </w:r>
          </w:p>
        </w:tc>
        <w:tc>
          <w:tcPr>
            <w:tcW w:w="1984" w:type="dxa"/>
            <w:shd w:val="clear" w:color="auto" w:fill="FFFFFF" w:themeFill="background1"/>
          </w:tcPr>
          <w:p w14:paraId="39101E2C" w14:textId="752188E8" w:rsidR="007A479F" w:rsidRPr="00A07F29" w:rsidRDefault="007A479F"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Uzņēmēja līdzekļi, projektu finansējums</w:t>
            </w:r>
          </w:p>
        </w:tc>
        <w:tc>
          <w:tcPr>
            <w:tcW w:w="3686" w:type="dxa"/>
            <w:shd w:val="clear" w:color="auto" w:fill="FFFFFF" w:themeFill="background1"/>
          </w:tcPr>
          <w:p w14:paraId="3A6247F1" w14:textId="46B34FA4" w:rsidR="007A479F" w:rsidRPr="00A07F29" w:rsidRDefault="007A479F" w:rsidP="007A479F">
            <w:pPr>
              <w:spacing w:after="0" w:line="240" w:lineRule="auto"/>
              <w:ind w:left="34"/>
              <w:rPr>
                <w:rFonts w:ascii="Times New Roman" w:eastAsia="Calibri" w:hAnsi="Times New Roman" w:cs="Times New Roman"/>
                <w:sz w:val="20"/>
                <w:szCs w:val="20"/>
              </w:rPr>
            </w:pPr>
            <w:r w:rsidRPr="00A07F29">
              <w:rPr>
                <w:rFonts w:ascii="Times New Roman" w:eastAsia="Calibri" w:hAnsi="Times New Roman" w:cs="Times New Roman"/>
                <w:sz w:val="20"/>
                <w:szCs w:val="20"/>
              </w:rPr>
              <w:t>Labiekārtota un apsaimniekota atpūtas vieta</w:t>
            </w:r>
          </w:p>
        </w:tc>
      </w:tr>
      <w:tr w:rsidR="007A479F" w:rsidRPr="00A07F29" w14:paraId="6C698337" w14:textId="77777777" w:rsidTr="4284A616">
        <w:trPr>
          <w:jc w:val="center"/>
        </w:trPr>
        <w:tc>
          <w:tcPr>
            <w:tcW w:w="846" w:type="dxa"/>
            <w:shd w:val="clear" w:color="auto" w:fill="FFFFFF" w:themeFill="background1"/>
          </w:tcPr>
          <w:p w14:paraId="1E04ABAA" w14:textId="3D974AB0" w:rsidR="007A479F" w:rsidRPr="00A07F29" w:rsidRDefault="007A479F" w:rsidP="007A479F">
            <w:pPr>
              <w:spacing w:after="0" w:line="240" w:lineRule="auto"/>
              <w:jc w:val="center"/>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D.4.</w:t>
            </w:r>
          </w:p>
        </w:tc>
        <w:tc>
          <w:tcPr>
            <w:tcW w:w="3402" w:type="dxa"/>
            <w:shd w:val="clear" w:color="auto" w:fill="FFFFFF" w:themeFill="background1"/>
          </w:tcPr>
          <w:p w14:paraId="343A50A8" w14:textId="22637319" w:rsidR="007A479F" w:rsidRPr="00A07F29" w:rsidRDefault="007A479F" w:rsidP="007A479F">
            <w:pPr>
              <w:spacing w:after="0" w:line="240" w:lineRule="auto"/>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D.4.1.</w:t>
            </w:r>
            <w:r w:rsidR="00C43275">
              <w:rPr>
                <w:rFonts w:ascii="Times New Roman" w:eastAsia="Calibri" w:hAnsi="Times New Roman" w:cs="Times New Roman"/>
                <w:bCs/>
                <w:sz w:val="20"/>
                <w:szCs w:val="20"/>
              </w:rPr>
              <w:t> </w:t>
            </w:r>
            <w:r w:rsidRPr="00A07F29">
              <w:rPr>
                <w:rFonts w:ascii="Times New Roman" w:eastAsia="Calibri" w:hAnsi="Times New Roman" w:cs="Times New Roman"/>
                <w:bCs/>
                <w:sz w:val="20"/>
                <w:szCs w:val="20"/>
              </w:rPr>
              <w:t>Laivu piestātņu un laivu nolaišanas vietu labiekārtošana un uzturēšana</w:t>
            </w:r>
          </w:p>
        </w:tc>
        <w:tc>
          <w:tcPr>
            <w:tcW w:w="1701" w:type="dxa"/>
            <w:shd w:val="clear" w:color="auto" w:fill="FFFFFF" w:themeFill="background1"/>
          </w:tcPr>
          <w:p w14:paraId="2A9C84BA" w14:textId="77777777"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II,</w:t>
            </w:r>
          </w:p>
          <w:p w14:paraId="3C3503D7" w14:textId="6BD181C0"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bCs/>
                <w:sz w:val="20"/>
                <w:szCs w:val="20"/>
              </w:rPr>
              <w:t>visu plāna periodu</w:t>
            </w:r>
          </w:p>
        </w:tc>
        <w:tc>
          <w:tcPr>
            <w:tcW w:w="1984" w:type="dxa"/>
            <w:shd w:val="clear" w:color="auto" w:fill="FFFFFF" w:themeFill="background1"/>
          </w:tcPr>
          <w:p w14:paraId="58E11B88" w14:textId="14E86746" w:rsidR="007A479F" w:rsidRPr="00A07F29" w:rsidRDefault="007A479F"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Uzņēmēji, pašvaldības</w:t>
            </w:r>
          </w:p>
        </w:tc>
        <w:tc>
          <w:tcPr>
            <w:tcW w:w="1560" w:type="dxa"/>
            <w:shd w:val="clear" w:color="auto" w:fill="FFFFFF" w:themeFill="background1"/>
          </w:tcPr>
          <w:p w14:paraId="4EEA14BC" w14:textId="6D47A3FA" w:rsidR="007A479F" w:rsidRPr="00A07F29" w:rsidRDefault="00BA730D"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Atkarībā no tehniskā projekta, izmaksas nav nosakāmas</w:t>
            </w:r>
          </w:p>
        </w:tc>
        <w:tc>
          <w:tcPr>
            <w:tcW w:w="1984" w:type="dxa"/>
            <w:shd w:val="clear" w:color="auto" w:fill="FFFFFF" w:themeFill="background1"/>
          </w:tcPr>
          <w:p w14:paraId="052A5275" w14:textId="2FEEF9E6" w:rsidR="007A479F" w:rsidRPr="00A07F29" w:rsidRDefault="007A479F"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Uzņēmēju līdzekļi, pašvaldību budžets, projektu finansējums.</w:t>
            </w:r>
          </w:p>
        </w:tc>
        <w:tc>
          <w:tcPr>
            <w:tcW w:w="3686" w:type="dxa"/>
            <w:shd w:val="clear" w:color="auto" w:fill="FFFFFF" w:themeFill="background1"/>
          </w:tcPr>
          <w:p w14:paraId="43AA0408" w14:textId="4B4349A1" w:rsidR="007A479F" w:rsidRPr="00A07F29" w:rsidRDefault="007A479F" w:rsidP="007A479F">
            <w:pPr>
              <w:spacing w:after="0" w:line="240" w:lineRule="auto"/>
              <w:ind w:left="34"/>
              <w:rPr>
                <w:rFonts w:ascii="Times New Roman" w:eastAsia="Calibri" w:hAnsi="Times New Roman" w:cs="Times New Roman"/>
                <w:sz w:val="20"/>
                <w:szCs w:val="20"/>
              </w:rPr>
            </w:pPr>
            <w:r w:rsidRPr="00A07F29">
              <w:rPr>
                <w:rFonts w:ascii="Times New Roman" w:eastAsia="Calibri" w:hAnsi="Times New Roman" w:cs="Times New Roman"/>
                <w:sz w:val="20"/>
                <w:szCs w:val="20"/>
              </w:rPr>
              <w:t>Ierīkotas un apsaimniekotas 6</w:t>
            </w:r>
            <w:r w:rsidR="000D6F87">
              <w:rPr>
                <w:rFonts w:ascii="Times New Roman" w:eastAsia="Calibri" w:hAnsi="Times New Roman" w:cs="Times New Roman"/>
                <w:sz w:val="20"/>
                <w:szCs w:val="20"/>
              </w:rPr>
              <w:t> – </w:t>
            </w:r>
            <w:r w:rsidRPr="00A07F29">
              <w:rPr>
                <w:rFonts w:ascii="Times New Roman" w:eastAsia="Calibri" w:hAnsi="Times New Roman" w:cs="Times New Roman"/>
                <w:sz w:val="20"/>
                <w:szCs w:val="20"/>
              </w:rPr>
              <w:t>8</w:t>
            </w:r>
            <w:r w:rsidR="000D6F87">
              <w:rPr>
                <w:rFonts w:ascii="Times New Roman" w:eastAsia="Calibri" w:hAnsi="Times New Roman" w:cs="Times New Roman"/>
                <w:sz w:val="20"/>
                <w:szCs w:val="20"/>
              </w:rPr>
              <w:t xml:space="preserve"> l</w:t>
            </w:r>
            <w:r w:rsidRPr="00A07F29">
              <w:rPr>
                <w:rFonts w:ascii="Times New Roman" w:eastAsia="Calibri" w:hAnsi="Times New Roman" w:cs="Times New Roman"/>
                <w:sz w:val="20"/>
                <w:szCs w:val="20"/>
              </w:rPr>
              <w:t>abiekārtotas laivu piestātnes un nolaišanas vietas</w:t>
            </w:r>
          </w:p>
        </w:tc>
      </w:tr>
      <w:tr w:rsidR="007A479F" w:rsidRPr="00A07F29" w14:paraId="237B442E" w14:textId="77777777" w:rsidTr="4284A616">
        <w:trPr>
          <w:jc w:val="center"/>
        </w:trPr>
        <w:tc>
          <w:tcPr>
            <w:tcW w:w="846" w:type="dxa"/>
            <w:shd w:val="clear" w:color="auto" w:fill="FFFFFF" w:themeFill="background1"/>
          </w:tcPr>
          <w:p w14:paraId="26DBCCCB" w14:textId="349AAD07" w:rsidR="007A479F" w:rsidRPr="00A07F29" w:rsidRDefault="007A479F" w:rsidP="007A479F">
            <w:pPr>
              <w:spacing w:after="0" w:line="240" w:lineRule="auto"/>
              <w:jc w:val="center"/>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D.4.</w:t>
            </w:r>
          </w:p>
        </w:tc>
        <w:tc>
          <w:tcPr>
            <w:tcW w:w="3402" w:type="dxa"/>
            <w:shd w:val="clear" w:color="auto" w:fill="FFFFFF" w:themeFill="background1"/>
          </w:tcPr>
          <w:p w14:paraId="594C4C4E" w14:textId="32ECEDB4" w:rsidR="007A479F" w:rsidRPr="00A07F29" w:rsidRDefault="007A479F" w:rsidP="007A479F">
            <w:pPr>
              <w:spacing w:after="0" w:line="240" w:lineRule="auto"/>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D.4.2.</w:t>
            </w:r>
            <w:r w:rsidR="000D6F87">
              <w:rPr>
                <w:rFonts w:ascii="Times New Roman" w:eastAsia="Calibri" w:hAnsi="Times New Roman" w:cs="Times New Roman"/>
                <w:bCs/>
                <w:sz w:val="20"/>
                <w:szCs w:val="20"/>
              </w:rPr>
              <w:t> </w:t>
            </w:r>
            <w:proofErr w:type="spellStart"/>
            <w:r w:rsidRPr="00A07F29">
              <w:rPr>
                <w:rFonts w:ascii="Times New Roman" w:eastAsia="Calibri" w:hAnsi="Times New Roman" w:cs="Times New Roman"/>
                <w:bCs/>
                <w:sz w:val="20"/>
                <w:szCs w:val="20"/>
              </w:rPr>
              <w:t>Ūdenstūristu</w:t>
            </w:r>
            <w:proofErr w:type="spellEnd"/>
            <w:r w:rsidRPr="00A07F29">
              <w:rPr>
                <w:rFonts w:ascii="Times New Roman" w:eastAsia="Calibri" w:hAnsi="Times New Roman" w:cs="Times New Roman"/>
                <w:bCs/>
                <w:sz w:val="20"/>
                <w:szCs w:val="20"/>
              </w:rPr>
              <w:t xml:space="preserve"> apmetņu ierīkošana un apsaimniekošana</w:t>
            </w:r>
          </w:p>
        </w:tc>
        <w:tc>
          <w:tcPr>
            <w:tcW w:w="1701" w:type="dxa"/>
            <w:shd w:val="clear" w:color="auto" w:fill="FFFFFF" w:themeFill="background1"/>
          </w:tcPr>
          <w:p w14:paraId="22DE0A92" w14:textId="77777777"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II,</w:t>
            </w:r>
          </w:p>
          <w:p w14:paraId="5F182DE4" w14:textId="50094F0B"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bCs/>
                <w:sz w:val="20"/>
                <w:szCs w:val="20"/>
              </w:rPr>
              <w:t>visu plāna periodu</w:t>
            </w:r>
          </w:p>
        </w:tc>
        <w:tc>
          <w:tcPr>
            <w:tcW w:w="1984" w:type="dxa"/>
            <w:shd w:val="clear" w:color="auto" w:fill="FFFFFF" w:themeFill="background1"/>
          </w:tcPr>
          <w:p w14:paraId="3DA570B3" w14:textId="10A8041B" w:rsidR="007A479F" w:rsidRPr="00A07F29" w:rsidRDefault="007A479F"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Uzņēmēji, zemes īpašnieki, pašvaldības</w:t>
            </w:r>
          </w:p>
        </w:tc>
        <w:tc>
          <w:tcPr>
            <w:tcW w:w="1560" w:type="dxa"/>
            <w:shd w:val="clear" w:color="auto" w:fill="FFFFFF" w:themeFill="background1"/>
          </w:tcPr>
          <w:p w14:paraId="0EE159F3" w14:textId="224F3F11" w:rsidR="007A479F" w:rsidRPr="00A07F29" w:rsidRDefault="00BA730D"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Atkarībā no tehniskā projekta, izmaksas nav nosakāmas</w:t>
            </w:r>
          </w:p>
        </w:tc>
        <w:tc>
          <w:tcPr>
            <w:tcW w:w="1984" w:type="dxa"/>
            <w:shd w:val="clear" w:color="auto" w:fill="FFFFFF" w:themeFill="background1"/>
          </w:tcPr>
          <w:p w14:paraId="7644675C" w14:textId="10620FF2" w:rsidR="007A479F" w:rsidRPr="00A07F29" w:rsidRDefault="007A479F"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Uzņēmēju līdzekļi, projektu finansējums.</w:t>
            </w:r>
          </w:p>
        </w:tc>
        <w:tc>
          <w:tcPr>
            <w:tcW w:w="3686" w:type="dxa"/>
            <w:shd w:val="clear" w:color="auto" w:fill="FFFFFF" w:themeFill="background1"/>
          </w:tcPr>
          <w:p w14:paraId="393E3B72" w14:textId="7C28DE0A" w:rsidR="007A479F" w:rsidRPr="00A07F29" w:rsidRDefault="007A479F" w:rsidP="007A479F">
            <w:pPr>
              <w:spacing w:after="0" w:line="240" w:lineRule="auto"/>
              <w:ind w:left="34"/>
              <w:rPr>
                <w:rFonts w:ascii="Times New Roman" w:eastAsia="Calibri" w:hAnsi="Times New Roman" w:cs="Times New Roman"/>
                <w:sz w:val="20"/>
                <w:szCs w:val="20"/>
              </w:rPr>
            </w:pPr>
            <w:r w:rsidRPr="00A07F29">
              <w:rPr>
                <w:rFonts w:ascii="Times New Roman" w:eastAsia="Calibri" w:hAnsi="Times New Roman" w:cs="Times New Roman"/>
                <w:sz w:val="20"/>
                <w:szCs w:val="20"/>
              </w:rPr>
              <w:t>Ierīkotas un apsaimniekotas 5</w:t>
            </w:r>
            <w:r w:rsidR="0097072B">
              <w:rPr>
                <w:rFonts w:ascii="Times New Roman" w:eastAsia="Calibri" w:hAnsi="Times New Roman" w:cs="Times New Roman"/>
                <w:sz w:val="20"/>
                <w:szCs w:val="20"/>
              </w:rPr>
              <w:t> – </w:t>
            </w:r>
            <w:r w:rsidRPr="00A07F29">
              <w:rPr>
                <w:rFonts w:ascii="Times New Roman" w:eastAsia="Calibri" w:hAnsi="Times New Roman" w:cs="Times New Roman"/>
                <w:sz w:val="20"/>
                <w:szCs w:val="20"/>
              </w:rPr>
              <w:t>9</w:t>
            </w:r>
            <w:r w:rsidR="0097072B">
              <w:rPr>
                <w:rFonts w:ascii="Times New Roman" w:eastAsia="Calibri" w:hAnsi="Times New Roman" w:cs="Times New Roman"/>
                <w:sz w:val="20"/>
                <w:szCs w:val="20"/>
              </w:rPr>
              <w:t xml:space="preserve"> </w:t>
            </w:r>
            <w:proofErr w:type="spellStart"/>
            <w:r w:rsidRPr="00A07F29">
              <w:rPr>
                <w:rFonts w:ascii="Times New Roman" w:eastAsia="Calibri" w:hAnsi="Times New Roman" w:cs="Times New Roman"/>
                <w:sz w:val="20"/>
                <w:szCs w:val="20"/>
              </w:rPr>
              <w:t>ūdenstūristu</w:t>
            </w:r>
            <w:proofErr w:type="spellEnd"/>
            <w:r w:rsidRPr="00A07F29">
              <w:rPr>
                <w:rFonts w:ascii="Times New Roman" w:eastAsia="Calibri" w:hAnsi="Times New Roman" w:cs="Times New Roman"/>
                <w:sz w:val="20"/>
                <w:szCs w:val="20"/>
              </w:rPr>
              <w:t xml:space="preserve"> apmetnes</w:t>
            </w:r>
          </w:p>
        </w:tc>
      </w:tr>
      <w:tr w:rsidR="007A479F" w:rsidRPr="00A07F29" w14:paraId="6A639945" w14:textId="77777777" w:rsidTr="4284A616">
        <w:trPr>
          <w:jc w:val="center"/>
        </w:trPr>
        <w:tc>
          <w:tcPr>
            <w:tcW w:w="846" w:type="dxa"/>
            <w:shd w:val="clear" w:color="auto" w:fill="FFFFFF" w:themeFill="background1"/>
          </w:tcPr>
          <w:p w14:paraId="1EA28E50" w14:textId="6E7AF32D" w:rsidR="007A479F" w:rsidRPr="00A07F29" w:rsidRDefault="007A479F" w:rsidP="007A479F">
            <w:pPr>
              <w:spacing w:after="0" w:line="240" w:lineRule="auto"/>
              <w:jc w:val="center"/>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lastRenderedPageBreak/>
              <w:t>D.5.</w:t>
            </w:r>
          </w:p>
        </w:tc>
        <w:tc>
          <w:tcPr>
            <w:tcW w:w="3402" w:type="dxa"/>
            <w:shd w:val="clear" w:color="auto" w:fill="FFFFFF" w:themeFill="background1"/>
          </w:tcPr>
          <w:p w14:paraId="5D3A628F" w14:textId="54372E3F" w:rsidR="007A479F" w:rsidRPr="00A07F29" w:rsidRDefault="007A479F" w:rsidP="007A479F">
            <w:pPr>
              <w:spacing w:after="0" w:line="240" w:lineRule="auto"/>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D.5.1.</w:t>
            </w:r>
            <w:r w:rsidR="0097072B">
              <w:rPr>
                <w:rFonts w:ascii="Times New Roman" w:eastAsia="Calibri" w:hAnsi="Times New Roman" w:cs="Times New Roman"/>
                <w:bCs/>
                <w:sz w:val="20"/>
                <w:szCs w:val="20"/>
              </w:rPr>
              <w:t> </w:t>
            </w:r>
            <w:proofErr w:type="spellStart"/>
            <w:r w:rsidRPr="00A07F29">
              <w:rPr>
                <w:rFonts w:ascii="Times New Roman" w:eastAsia="Calibri" w:hAnsi="Times New Roman" w:cs="Times New Roman"/>
                <w:bCs/>
                <w:sz w:val="20"/>
                <w:szCs w:val="20"/>
              </w:rPr>
              <w:t>Velomaršruta</w:t>
            </w:r>
            <w:proofErr w:type="spellEnd"/>
            <w:r w:rsidRPr="00A07F29">
              <w:rPr>
                <w:rFonts w:ascii="Times New Roman" w:eastAsia="Calibri" w:hAnsi="Times New Roman" w:cs="Times New Roman"/>
                <w:bCs/>
                <w:sz w:val="20"/>
                <w:szCs w:val="20"/>
              </w:rPr>
              <w:t xml:space="preserve"> Nr.</w:t>
            </w:r>
            <w:r w:rsidR="0097072B">
              <w:rPr>
                <w:rFonts w:ascii="Times New Roman" w:eastAsia="Calibri" w:hAnsi="Times New Roman" w:cs="Times New Roman"/>
                <w:bCs/>
                <w:sz w:val="20"/>
                <w:szCs w:val="20"/>
              </w:rPr>
              <w:t> </w:t>
            </w:r>
            <w:r w:rsidRPr="00A07F29">
              <w:rPr>
                <w:rFonts w:ascii="Times New Roman" w:eastAsia="Calibri" w:hAnsi="Times New Roman" w:cs="Times New Roman"/>
                <w:bCs/>
                <w:sz w:val="20"/>
                <w:szCs w:val="20"/>
              </w:rPr>
              <w:t>35 “Daugavas loki” pilnveidošana</w:t>
            </w:r>
          </w:p>
        </w:tc>
        <w:tc>
          <w:tcPr>
            <w:tcW w:w="1701" w:type="dxa"/>
            <w:shd w:val="clear" w:color="auto" w:fill="FFFFFF" w:themeFill="background1"/>
          </w:tcPr>
          <w:p w14:paraId="7A519250" w14:textId="77777777"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II,</w:t>
            </w:r>
          </w:p>
          <w:p w14:paraId="23E3FD70" w14:textId="01E68260"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bCs/>
                <w:sz w:val="20"/>
                <w:szCs w:val="20"/>
              </w:rPr>
              <w:t>visu plāna periodu</w:t>
            </w:r>
          </w:p>
        </w:tc>
        <w:tc>
          <w:tcPr>
            <w:tcW w:w="1984" w:type="dxa"/>
            <w:shd w:val="clear" w:color="auto" w:fill="FFFFFF" w:themeFill="background1"/>
          </w:tcPr>
          <w:p w14:paraId="7C7E8454" w14:textId="4F00438A" w:rsidR="007A479F" w:rsidRPr="00A07F29" w:rsidRDefault="007A479F"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Pašvaldības, TIC, NVO, uzņēmēji</w:t>
            </w:r>
          </w:p>
        </w:tc>
        <w:tc>
          <w:tcPr>
            <w:tcW w:w="1560" w:type="dxa"/>
            <w:shd w:val="clear" w:color="auto" w:fill="FFFFFF" w:themeFill="background1"/>
          </w:tcPr>
          <w:p w14:paraId="1CA79822" w14:textId="3D6138B9" w:rsidR="007A479F" w:rsidRPr="00A07F29" w:rsidRDefault="00BA730D"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Atkarībā no tehniskā projekta, izmaksas nav nosakāmas</w:t>
            </w:r>
          </w:p>
        </w:tc>
        <w:tc>
          <w:tcPr>
            <w:tcW w:w="1984" w:type="dxa"/>
            <w:shd w:val="clear" w:color="auto" w:fill="FFFFFF" w:themeFill="background1"/>
          </w:tcPr>
          <w:p w14:paraId="64840F84" w14:textId="056FC9B3" w:rsidR="007A479F" w:rsidRPr="00A07F29" w:rsidRDefault="007A479F"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Pašvaldību un TIC budžets, projektu finansējums</w:t>
            </w:r>
          </w:p>
        </w:tc>
        <w:tc>
          <w:tcPr>
            <w:tcW w:w="3686" w:type="dxa"/>
            <w:shd w:val="clear" w:color="auto" w:fill="FFFFFF" w:themeFill="background1"/>
          </w:tcPr>
          <w:p w14:paraId="39541983" w14:textId="36921218" w:rsidR="007A479F" w:rsidRPr="00A07F29" w:rsidRDefault="007A479F" w:rsidP="007A479F">
            <w:pPr>
              <w:spacing w:after="0" w:line="240" w:lineRule="auto"/>
              <w:ind w:left="34"/>
              <w:rPr>
                <w:rFonts w:ascii="Times New Roman" w:eastAsia="Calibri" w:hAnsi="Times New Roman" w:cs="Times New Roman"/>
                <w:sz w:val="20"/>
                <w:szCs w:val="20"/>
              </w:rPr>
            </w:pPr>
            <w:r w:rsidRPr="00A07F29">
              <w:rPr>
                <w:rFonts w:ascii="Times New Roman" w:eastAsia="Calibri" w:hAnsi="Times New Roman" w:cs="Times New Roman"/>
                <w:sz w:val="20"/>
                <w:szCs w:val="20"/>
              </w:rPr>
              <w:t xml:space="preserve">Uzturēts marķēts </w:t>
            </w:r>
            <w:proofErr w:type="spellStart"/>
            <w:r w:rsidRPr="00A07F29">
              <w:rPr>
                <w:rFonts w:ascii="Times New Roman" w:eastAsia="Calibri" w:hAnsi="Times New Roman" w:cs="Times New Roman"/>
                <w:sz w:val="20"/>
                <w:szCs w:val="20"/>
              </w:rPr>
              <w:t>velomaršruts</w:t>
            </w:r>
            <w:proofErr w:type="spellEnd"/>
            <w:r w:rsidRPr="00A07F29">
              <w:rPr>
                <w:rFonts w:ascii="Times New Roman" w:eastAsia="Calibri" w:hAnsi="Times New Roman" w:cs="Times New Roman"/>
                <w:sz w:val="20"/>
                <w:szCs w:val="20"/>
              </w:rPr>
              <w:t>, ierīkoti veloservisa punkti</w:t>
            </w:r>
          </w:p>
        </w:tc>
      </w:tr>
      <w:tr w:rsidR="007A479F" w:rsidRPr="00A07F29" w14:paraId="1EE1A5F4" w14:textId="77777777" w:rsidTr="4284A616">
        <w:trPr>
          <w:jc w:val="center"/>
        </w:trPr>
        <w:tc>
          <w:tcPr>
            <w:tcW w:w="846" w:type="dxa"/>
            <w:shd w:val="clear" w:color="auto" w:fill="FFFFFF" w:themeFill="background1"/>
          </w:tcPr>
          <w:p w14:paraId="09FBCE60" w14:textId="54DC6B2D" w:rsidR="007A479F" w:rsidRPr="00A07F29" w:rsidRDefault="007A479F" w:rsidP="007A479F">
            <w:pPr>
              <w:spacing w:after="0" w:line="240" w:lineRule="auto"/>
              <w:jc w:val="center"/>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D.5.</w:t>
            </w:r>
          </w:p>
        </w:tc>
        <w:tc>
          <w:tcPr>
            <w:tcW w:w="3402" w:type="dxa"/>
            <w:shd w:val="clear" w:color="auto" w:fill="FFFFFF" w:themeFill="background1"/>
          </w:tcPr>
          <w:p w14:paraId="1C28F857" w14:textId="201200B1" w:rsidR="007A479F" w:rsidRPr="00A07F29" w:rsidRDefault="007A479F" w:rsidP="007A479F">
            <w:pPr>
              <w:spacing w:after="0" w:line="240" w:lineRule="auto"/>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D.5.2.</w:t>
            </w:r>
            <w:r w:rsidR="00A400D2">
              <w:rPr>
                <w:rFonts w:ascii="Times New Roman" w:eastAsia="Calibri" w:hAnsi="Times New Roman" w:cs="Times New Roman"/>
                <w:bCs/>
                <w:sz w:val="20"/>
                <w:szCs w:val="20"/>
              </w:rPr>
              <w:t> </w:t>
            </w:r>
            <w:proofErr w:type="spellStart"/>
            <w:r w:rsidRPr="00A07F29">
              <w:rPr>
                <w:rFonts w:ascii="Times New Roman" w:eastAsia="Calibri" w:hAnsi="Times New Roman" w:cs="Times New Roman"/>
                <w:bCs/>
                <w:sz w:val="20"/>
                <w:szCs w:val="20"/>
              </w:rPr>
              <w:t>Velomaršruta</w:t>
            </w:r>
            <w:proofErr w:type="spellEnd"/>
            <w:r w:rsidRPr="00A07F29">
              <w:rPr>
                <w:rFonts w:ascii="Times New Roman" w:eastAsia="Calibri" w:hAnsi="Times New Roman" w:cs="Times New Roman"/>
                <w:bCs/>
                <w:sz w:val="20"/>
                <w:szCs w:val="20"/>
              </w:rPr>
              <w:t xml:space="preserve"> (Krāslava – Piedruja) izveidošana un uzturēšana</w:t>
            </w:r>
          </w:p>
        </w:tc>
        <w:tc>
          <w:tcPr>
            <w:tcW w:w="1701" w:type="dxa"/>
            <w:shd w:val="clear" w:color="auto" w:fill="FFFFFF" w:themeFill="background1"/>
          </w:tcPr>
          <w:p w14:paraId="774AA1B9" w14:textId="77777777"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II,</w:t>
            </w:r>
          </w:p>
          <w:p w14:paraId="6ACBF5AC" w14:textId="600CED69"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bCs/>
                <w:sz w:val="20"/>
                <w:szCs w:val="20"/>
              </w:rPr>
              <w:t>visu plāna periodu</w:t>
            </w:r>
          </w:p>
        </w:tc>
        <w:tc>
          <w:tcPr>
            <w:tcW w:w="1984" w:type="dxa"/>
            <w:shd w:val="clear" w:color="auto" w:fill="FFFFFF" w:themeFill="background1"/>
          </w:tcPr>
          <w:p w14:paraId="2D9CC00C" w14:textId="7430F06B" w:rsidR="007A479F" w:rsidRPr="00A07F29" w:rsidRDefault="007A479F"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 xml:space="preserve">Pašvaldība, TIC, NVO, </w:t>
            </w:r>
            <w:proofErr w:type="spellStart"/>
            <w:r w:rsidRPr="00A07F29">
              <w:rPr>
                <w:rFonts w:ascii="Times New Roman" w:eastAsia="Calibri" w:hAnsi="Times New Roman" w:cs="Times New Roman"/>
                <w:sz w:val="20"/>
                <w:szCs w:val="20"/>
              </w:rPr>
              <w:t>izņēmēji</w:t>
            </w:r>
            <w:proofErr w:type="spellEnd"/>
          </w:p>
        </w:tc>
        <w:tc>
          <w:tcPr>
            <w:tcW w:w="1560" w:type="dxa"/>
            <w:shd w:val="clear" w:color="auto" w:fill="FFFFFF" w:themeFill="background1"/>
          </w:tcPr>
          <w:p w14:paraId="718049DF" w14:textId="57AF56F8" w:rsidR="007A479F" w:rsidRPr="00A07F29" w:rsidRDefault="00BA730D"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Atkarībā no tehniskā projekta, izmaksas nav nosakāmas</w:t>
            </w:r>
          </w:p>
        </w:tc>
        <w:tc>
          <w:tcPr>
            <w:tcW w:w="1984" w:type="dxa"/>
            <w:shd w:val="clear" w:color="auto" w:fill="FFFFFF" w:themeFill="background1"/>
          </w:tcPr>
          <w:p w14:paraId="619EF515" w14:textId="50436B3F" w:rsidR="007A479F" w:rsidRPr="00A07F29" w:rsidRDefault="007A479F"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Pašvaldību un TIC budžets, projektu finansējums</w:t>
            </w:r>
          </w:p>
        </w:tc>
        <w:tc>
          <w:tcPr>
            <w:tcW w:w="3686" w:type="dxa"/>
            <w:shd w:val="clear" w:color="auto" w:fill="FFFFFF" w:themeFill="background1"/>
          </w:tcPr>
          <w:p w14:paraId="2A2D173F" w14:textId="4033A2B8" w:rsidR="007A479F" w:rsidRPr="00A07F29" w:rsidRDefault="007A479F" w:rsidP="007A479F">
            <w:pPr>
              <w:spacing w:after="0" w:line="240" w:lineRule="auto"/>
              <w:ind w:left="34"/>
              <w:rPr>
                <w:rFonts w:ascii="Times New Roman" w:eastAsia="Calibri" w:hAnsi="Times New Roman" w:cs="Times New Roman"/>
                <w:sz w:val="20"/>
                <w:szCs w:val="20"/>
              </w:rPr>
            </w:pPr>
            <w:r w:rsidRPr="00A07F29">
              <w:rPr>
                <w:rFonts w:ascii="Times New Roman" w:eastAsia="Calibri" w:hAnsi="Times New Roman" w:cs="Times New Roman"/>
                <w:sz w:val="20"/>
                <w:szCs w:val="20"/>
              </w:rPr>
              <w:t xml:space="preserve">Izveidots un uzturēts marķēts </w:t>
            </w:r>
            <w:proofErr w:type="spellStart"/>
            <w:r w:rsidRPr="00A07F29">
              <w:rPr>
                <w:rFonts w:ascii="Times New Roman" w:eastAsia="Calibri" w:hAnsi="Times New Roman" w:cs="Times New Roman"/>
                <w:sz w:val="20"/>
                <w:szCs w:val="20"/>
              </w:rPr>
              <w:t>velomaršruts</w:t>
            </w:r>
            <w:proofErr w:type="spellEnd"/>
            <w:r w:rsidRPr="00A07F29">
              <w:rPr>
                <w:rFonts w:ascii="Times New Roman" w:eastAsia="Calibri" w:hAnsi="Times New Roman" w:cs="Times New Roman"/>
                <w:sz w:val="20"/>
                <w:szCs w:val="20"/>
              </w:rPr>
              <w:t>, ierīkoti veloservisa punkti</w:t>
            </w:r>
          </w:p>
        </w:tc>
      </w:tr>
      <w:tr w:rsidR="007A479F" w:rsidRPr="00A07F29" w14:paraId="2A899FCC" w14:textId="77777777" w:rsidTr="4284A616">
        <w:trPr>
          <w:jc w:val="center"/>
        </w:trPr>
        <w:tc>
          <w:tcPr>
            <w:tcW w:w="846" w:type="dxa"/>
            <w:shd w:val="clear" w:color="auto" w:fill="FFFFFF" w:themeFill="background1"/>
          </w:tcPr>
          <w:p w14:paraId="51A841DA" w14:textId="6055F3B9" w:rsidR="007A479F" w:rsidRPr="00A07F29" w:rsidRDefault="007A479F" w:rsidP="007A479F">
            <w:pPr>
              <w:spacing w:after="0" w:line="240" w:lineRule="auto"/>
              <w:jc w:val="center"/>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D.5.</w:t>
            </w:r>
          </w:p>
        </w:tc>
        <w:tc>
          <w:tcPr>
            <w:tcW w:w="3402" w:type="dxa"/>
            <w:shd w:val="clear" w:color="auto" w:fill="FFFFFF" w:themeFill="background1"/>
          </w:tcPr>
          <w:p w14:paraId="3EF33B96" w14:textId="43E9BE8E" w:rsidR="007A479F" w:rsidRPr="00A07F29" w:rsidRDefault="007A479F" w:rsidP="007A479F">
            <w:pPr>
              <w:spacing w:after="0" w:line="240" w:lineRule="auto"/>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D.5.3.</w:t>
            </w:r>
            <w:r w:rsidR="00A400D2">
              <w:rPr>
                <w:rFonts w:ascii="Times New Roman" w:eastAsia="Calibri" w:hAnsi="Times New Roman" w:cs="Times New Roman"/>
                <w:bCs/>
                <w:sz w:val="20"/>
                <w:szCs w:val="20"/>
              </w:rPr>
              <w:t> </w:t>
            </w:r>
            <w:r w:rsidRPr="00A07F29">
              <w:rPr>
                <w:rFonts w:ascii="Times New Roman" w:eastAsia="Calibri" w:hAnsi="Times New Roman" w:cs="Times New Roman"/>
                <w:bCs/>
                <w:sz w:val="20"/>
                <w:szCs w:val="20"/>
              </w:rPr>
              <w:t xml:space="preserve">AAA “Augšdaugava” </w:t>
            </w:r>
            <w:proofErr w:type="spellStart"/>
            <w:r w:rsidRPr="00A07F29">
              <w:rPr>
                <w:rFonts w:ascii="Times New Roman" w:eastAsia="Calibri" w:hAnsi="Times New Roman" w:cs="Times New Roman"/>
                <w:bCs/>
                <w:sz w:val="20"/>
                <w:szCs w:val="20"/>
              </w:rPr>
              <w:t>velomaršruta</w:t>
            </w:r>
            <w:proofErr w:type="spellEnd"/>
            <w:r w:rsidRPr="00A07F29">
              <w:rPr>
                <w:rFonts w:ascii="Times New Roman" w:eastAsia="Calibri" w:hAnsi="Times New Roman" w:cs="Times New Roman"/>
                <w:bCs/>
                <w:sz w:val="20"/>
                <w:szCs w:val="20"/>
              </w:rPr>
              <w:t xml:space="preserve"> izstrādāšana</w:t>
            </w:r>
          </w:p>
        </w:tc>
        <w:tc>
          <w:tcPr>
            <w:tcW w:w="1701" w:type="dxa"/>
            <w:shd w:val="clear" w:color="auto" w:fill="FFFFFF" w:themeFill="background1"/>
          </w:tcPr>
          <w:p w14:paraId="31651561" w14:textId="77777777"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III,</w:t>
            </w:r>
          </w:p>
          <w:p w14:paraId="1441B8D8" w14:textId="606A9766"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bCs/>
                <w:sz w:val="20"/>
                <w:szCs w:val="20"/>
              </w:rPr>
              <w:t>visu plāna periodu</w:t>
            </w:r>
          </w:p>
        </w:tc>
        <w:tc>
          <w:tcPr>
            <w:tcW w:w="1984" w:type="dxa"/>
            <w:shd w:val="clear" w:color="auto" w:fill="FFFFFF" w:themeFill="background1"/>
          </w:tcPr>
          <w:p w14:paraId="385CF7A8" w14:textId="72AE5A6A" w:rsidR="007A479F" w:rsidRPr="00A07F29" w:rsidRDefault="007A479F"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Pašvaldība, TIC, NVO</w:t>
            </w:r>
          </w:p>
        </w:tc>
        <w:tc>
          <w:tcPr>
            <w:tcW w:w="1560" w:type="dxa"/>
            <w:shd w:val="clear" w:color="auto" w:fill="FFFFFF" w:themeFill="background1"/>
          </w:tcPr>
          <w:p w14:paraId="6195C2EB" w14:textId="73E5EE4E" w:rsidR="007A479F" w:rsidRPr="00A07F29" w:rsidRDefault="00BA730D"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Administratīvās izmaksas</w:t>
            </w:r>
          </w:p>
        </w:tc>
        <w:tc>
          <w:tcPr>
            <w:tcW w:w="1984" w:type="dxa"/>
            <w:shd w:val="clear" w:color="auto" w:fill="FFFFFF" w:themeFill="background1"/>
          </w:tcPr>
          <w:p w14:paraId="496397DF" w14:textId="6F1DFFED" w:rsidR="007A479F" w:rsidRPr="00A07F29" w:rsidRDefault="007A479F"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Pašvaldību un TIC budžets.</w:t>
            </w:r>
          </w:p>
        </w:tc>
        <w:tc>
          <w:tcPr>
            <w:tcW w:w="3686" w:type="dxa"/>
            <w:shd w:val="clear" w:color="auto" w:fill="FFFFFF" w:themeFill="background1"/>
          </w:tcPr>
          <w:p w14:paraId="0CC63270" w14:textId="45044645" w:rsidR="007A479F" w:rsidRPr="00A07F29" w:rsidRDefault="007A479F" w:rsidP="007A479F">
            <w:pPr>
              <w:spacing w:after="0" w:line="240" w:lineRule="auto"/>
              <w:ind w:left="34"/>
              <w:rPr>
                <w:rFonts w:ascii="Times New Roman" w:eastAsia="Calibri" w:hAnsi="Times New Roman" w:cs="Times New Roman"/>
                <w:sz w:val="20"/>
                <w:szCs w:val="20"/>
              </w:rPr>
            </w:pPr>
            <w:r w:rsidRPr="00A07F29">
              <w:rPr>
                <w:rFonts w:ascii="Times New Roman" w:eastAsia="Calibri" w:hAnsi="Times New Roman" w:cs="Times New Roman"/>
                <w:sz w:val="20"/>
                <w:szCs w:val="20"/>
              </w:rPr>
              <w:t xml:space="preserve">Izstrādāts </w:t>
            </w:r>
            <w:proofErr w:type="spellStart"/>
            <w:r w:rsidRPr="00A07F29">
              <w:rPr>
                <w:rFonts w:ascii="Times New Roman" w:eastAsia="Calibri" w:hAnsi="Times New Roman" w:cs="Times New Roman"/>
                <w:sz w:val="20"/>
                <w:szCs w:val="20"/>
              </w:rPr>
              <w:t>velomaršruts</w:t>
            </w:r>
            <w:proofErr w:type="spellEnd"/>
          </w:p>
        </w:tc>
      </w:tr>
      <w:tr w:rsidR="007A479F" w:rsidRPr="00A07F29" w14:paraId="35EC9850" w14:textId="77777777" w:rsidTr="4284A616">
        <w:trPr>
          <w:jc w:val="center"/>
        </w:trPr>
        <w:tc>
          <w:tcPr>
            <w:tcW w:w="846" w:type="dxa"/>
            <w:shd w:val="clear" w:color="auto" w:fill="FFFFFF" w:themeFill="background1"/>
          </w:tcPr>
          <w:p w14:paraId="31371804" w14:textId="510B7BCB" w:rsidR="007A479F" w:rsidRPr="00A07F29" w:rsidRDefault="007A479F" w:rsidP="007A479F">
            <w:pPr>
              <w:spacing w:after="0" w:line="240" w:lineRule="auto"/>
              <w:jc w:val="center"/>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D.6.</w:t>
            </w:r>
          </w:p>
        </w:tc>
        <w:tc>
          <w:tcPr>
            <w:tcW w:w="3402" w:type="dxa"/>
            <w:shd w:val="clear" w:color="auto" w:fill="FFFFFF" w:themeFill="background1"/>
          </w:tcPr>
          <w:p w14:paraId="29A11E8E" w14:textId="282EE2DE" w:rsidR="007A479F" w:rsidRPr="00A07F29" w:rsidRDefault="007A479F" w:rsidP="007A479F">
            <w:pPr>
              <w:spacing w:after="0" w:line="240" w:lineRule="auto"/>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D.6.1.</w:t>
            </w:r>
            <w:r w:rsidR="00BA718C">
              <w:rPr>
                <w:rFonts w:ascii="Times New Roman" w:eastAsia="Calibri" w:hAnsi="Times New Roman" w:cs="Times New Roman"/>
                <w:bCs/>
                <w:sz w:val="20"/>
                <w:szCs w:val="20"/>
              </w:rPr>
              <w:t> </w:t>
            </w:r>
            <w:r w:rsidRPr="00A07F29">
              <w:rPr>
                <w:rFonts w:ascii="Times New Roman" w:eastAsia="Calibri" w:hAnsi="Times New Roman" w:cs="Times New Roman"/>
                <w:bCs/>
                <w:sz w:val="20"/>
                <w:szCs w:val="20"/>
              </w:rPr>
              <w:t>Vasaras sezonas autobusa reisa izveidošana</w:t>
            </w:r>
          </w:p>
        </w:tc>
        <w:tc>
          <w:tcPr>
            <w:tcW w:w="1701" w:type="dxa"/>
            <w:shd w:val="clear" w:color="auto" w:fill="FFFFFF" w:themeFill="background1"/>
          </w:tcPr>
          <w:p w14:paraId="14045745" w14:textId="77777777"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II,</w:t>
            </w:r>
          </w:p>
          <w:p w14:paraId="251E03E8" w14:textId="662148FA"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bCs/>
                <w:sz w:val="20"/>
                <w:szCs w:val="20"/>
              </w:rPr>
              <w:t>visu plāna periodu</w:t>
            </w:r>
          </w:p>
        </w:tc>
        <w:tc>
          <w:tcPr>
            <w:tcW w:w="1984" w:type="dxa"/>
            <w:shd w:val="clear" w:color="auto" w:fill="FFFFFF" w:themeFill="background1"/>
          </w:tcPr>
          <w:p w14:paraId="0B88985A" w14:textId="7743CFEF" w:rsidR="007A479F" w:rsidRPr="00A07F29" w:rsidRDefault="007A479F"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Pašvaldība, TIC</w:t>
            </w:r>
          </w:p>
        </w:tc>
        <w:tc>
          <w:tcPr>
            <w:tcW w:w="1560" w:type="dxa"/>
            <w:shd w:val="clear" w:color="auto" w:fill="FFFFFF" w:themeFill="background1"/>
          </w:tcPr>
          <w:p w14:paraId="12496999" w14:textId="1265344C" w:rsidR="007A479F" w:rsidRPr="00A07F29" w:rsidRDefault="00BA730D"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Administratīvās izmaksas</w:t>
            </w:r>
          </w:p>
        </w:tc>
        <w:tc>
          <w:tcPr>
            <w:tcW w:w="1984" w:type="dxa"/>
            <w:shd w:val="clear" w:color="auto" w:fill="FFFFFF" w:themeFill="background1"/>
          </w:tcPr>
          <w:p w14:paraId="2564CF33" w14:textId="46897FD4" w:rsidR="007A479F" w:rsidRPr="00A07F29" w:rsidRDefault="007A479F"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Pašvaldību un TIC budžets.</w:t>
            </w:r>
          </w:p>
        </w:tc>
        <w:tc>
          <w:tcPr>
            <w:tcW w:w="3686" w:type="dxa"/>
            <w:shd w:val="clear" w:color="auto" w:fill="FFFFFF" w:themeFill="background1"/>
          </w:tcPr>
          <w:p w14:paraId="276DAF58" w14:textId="63907068" w:rsidR="007A479F" w:rsidRPr="00A07F29" w:rsidRDefault="007A479F" w:rsidP="007A479F">
            <w:pPr>
              <w:spacing w:after="0" w:line="240" w:lineRule="auto"/>
              <w:ind w:left="34"/>
              <w:rPr>
                <w:rFonts w:ascii="Times New Roman" w:eastAsia="Calibri" w:hAnsi="Times New Roman" w:cs="Times New Roman"/>
                <w:sz w:val="20"/>
                <w:szCs w:val="20"/>
              </w:rPr>
            </w:pPr>
            <w:r w:rsidRPr="00A07F29">
              <w:rPr>
                <w:rFonts w:ascii="Times New Roman" w:eastAsia="Calibri" w:hAnsi="Times New Roman" w:cs="Times New Roman"/>
                <w:sz w:val="20"/>
                <w:szCs w:val="20"/>
              </w:rPr>
              <w:t>Darbojas autobusa reiss</w:t>
            </w:r>
          </w:p>
        </w:tc>
      </w:tr>
      <w:tr w:rsidR="007A479F" w:rsidRPr="00A07F29" w14:paraId="5EA57EF0" w14:textId="77777777" w:rsidTr="4284A616">
        <w:trPr>
          <w:jc w:val="center"/>
        </w:trPr>
        <w:tc>
          <w:tcPr>
            <w:tcW w:w="846" w:type="dxa"/>
            <w:shd w:val="clear" w:color="auto" w:fill="FFFFFF" w:themeFill="background1"/>
          </w:tcPr>
          <w:p w14:paraId="509C0AA1" w14:textId="6A2F2093" w:rsidR="007A479F" w:rsidRPr="00A07F29" w:rsidRDefault="007A479F" w:rsidP="007A479F">
            <w:pPr>
              <w:spacing w:after="0" w:line="240" w:lineRule="auto"/>
              <w:jc w:val="center"/>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D.6.</w:t>
            </w:r>
          </w:p>
        </w:tc>
        <w:tc>
          <w:tcPr>
            <w:tcW w:w="3402" w:type="dxa"/>
            <w:shd w:val="clear" w:color="auto" w:fill="FFFFFF" w:themeFill="background1"/>
          </w:tcPr>
          <w:p w14:paraId="0D50ACF7" w14:textId="1A5A0C75" w:rsidR="007A479F" w:rsidRPr="00A07F29" w:rsidRDefault="007A479F" w:rsidP="007A479F">
            <w:pPr>
              <w:spacing w:after="0" w:line="240" w:lineRule="auto"/>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D.6.2.</w:t>
            </w:r>
            <w:r w:rsidR="00BA718C">
              <w:rPr>
                <w:rFonts w:ascii="Times New Roman" w:eastAsia="Calibri" w:hAnsi="Times New Roman" w:cs="Times New Roman"/>
                <w:bCs/>
                <w:sz w:val="20"/>
                <w:szCs w:val="20"/>
              </w:rPr>
              <w:t> </w:t>
            </w:r>
            <w:r w:rsidRPr="00A07F29">
              <w:rPr>
                <w:rFonts w:ascii="Times New Roman" w:eastAsia="Calibri" w:hAnsi="Times New Roman" w:cs="Times New Roman"/>
                <w:bCs/>
                <w:sz w:val="20"/>
                <w:szCs w:val="20"/>
              </w:rPr>
              <w:t>Baznīcu iekļaušana tūrisma piedāvājumā</w:t>
            </w:r>
          </w:p>
        </w:tc>
        <w:tc>
          <w:tcPr>
            <w:tcW w:w="1701" w:type="dxa"/>
            <w:shd w:val="clear" w:color="auto" w:fill="FFFFFF" w:themeFill="background1"/>
          </w:tcPr>
          <w:p w14:paraId="54F02A41" w14:textId="77777777"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III,</w:t>
            </w:r>
          </w:p>
          <w:p w14:paraId="6B08377A" w14:textId="3AE0367E"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bCs/>
                <w:sz w:val="20"/>
                <w:szCs w:val="20"/>
              </w:rPr>
              <w:t>visu plāna periodu</w:t>
            </w:r>
          </w:p>
        </w:tc>
        <w:tc>
          <w:tcPr>
            <w:tcW w:w="1984" w:type="dxa"/>
            <w:shd w:val="clear" w:color="auto" w:fill="FFFFFF" w:themeFill="background1"/>
          </w:tcPr>
          <w:p w14:paraId="3545228E" w14:textId="0238F224" w:rsidR="007A479F" w:rsidRPr="00A07F29" w:rsidRDefault="007A479F"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Draudzes, TIC</w:t>
            </w:r>
          </w:p>
        </w:tc>
        <w:tc>
          <w:tcPr>
            <w:tcW w:w="1560" w:type="dxa"/>
            <w:shd w:val="clear" w:color="auto" w:fill="FFFFFF" w:themeFill="background1"/>
          </w:tcPr>
          <w:p w14:paraId="384B7655" w14:textId="704098D7" w:rsidR="007A479F" w:rsidRPr="00A07F29" w:rsidRDefault="00BA730D"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Administratīvās izmaksas</w:t>
            </w:r>
          </w:p>
        </w:tc>
        <w:tc>
          <w:tcPr>
            <w:tcW w:w="1984" w:type="dxa"/>
            <w:shd w:val="clear" w:color="auto" w:fill="FFFFFF" w:themeFill="background1"/>
          </w:tcPr>
          <w:p w14:paraId="42075F10" w14:textId="7B9CD65D" w:rsidR="007A479F" w:rsidRPr="00A07F29" w:rsidRDefault="007A479F"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Draudžu līdzekļi.</w:t>
            </w:r>
          </w:p>
        </w:tc>
        <w:tc>
          <w:tcPr>
            <w:tcW w:w="3686" w:type="dxa"/>
            <w:shd w:val="clear" w:color="auto" w:fill="FFFFFF" w:themeFill="background1"/>
          </w:tcPr>
          <w:p w14:paraId="2FD6CDE4" w14:textId="30C4A376" w:rsidR="007A479F" w:rsidRPr="00A07F29" w:rsidRDefault="007A479F" w:rsidP="007A479F">
            <w:pPr>
              <w:spacing w:after="0" w:line="240" w:lineRule="auto"/>
              <w:ind w:left="34"/>
              <w:rPr>
                <w:rFonts w:ascii="Times New Roman" w:eastAsia="Calibri" w:hAnsi="Times New Roman" w:cs="Times New Roman"/>
                <w:sz w:val="20"/>
                <w:szCs w:val="20"/>
              </w:rPr>
            </w:pPr>
            <w:r w:rsidRPr="00A07F29">
              <w:rPr>
                <w:rFonts w:ascii="Times New Roman" w:eastAsia="Calibri" w:hAnsi="Times New Roman" w:cs="Times New Roman"/>
                <w:sz w:val="20"/>
                <w:szCs w:val="20"/>
              </w:rPr>
              <w:t>Baznīcas ir atvērtas apskatei</w:t>
            </w:r>
          </w:p>
        </w:tc>
      </w:tr>
      <w:tr w:rsidR="007A479F" w:rsidRPr="00A07F29" w14:paraId="080BC16D" w14:textId="77777777" w:rsidTr="4284A616">
        <w:trPr>
          <w:jc w:val="center"/>
        </w:trPr>
        <w:tc>
          <w:tcPr>
            <w:tcW w:w="846" w:type="dxa"/>
            <w:shd w:val="clear" w:color="auto" w:fill="FFFFFF" w:themeFill="background1"/>
          </w:tcPr>
          <w:p w14:paraId="0E03B899" w14:textId="34396D45" w:rsidR="007A479F" w:rsidRPr="00A07F29" w:rsidRDefault="007A479F" w:rsidP="007A479F">
            <w:pPr>
              <w:spacing w:after="0" w:line="240" w:lineRule="auto"/>
              <w:jc w:val="center"/>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D.6.</w:t>
            </w:r>
          </w:p>
        </w:tc>
        <w:tc>
          <w:tcPr>
            <w:tcW w:w="3402" w:type="dxa"/>
            <w:shd w:val="clear" w:color="auto" w:fill="FFFFFF" w:themeFill="background1"/>
          </w:tcPr>
          <w:p w14:paraId="3FCD7F47" w14:textId="3C6AE154" w:rsidR="007A479F" w:rsidRPr="00A07F29" w:rsidRDefault="007A479F" w:rsidP="007A479F">
            <w:pPr>
              <w:spacing w:after="0" w:line="240" w:lineRule="auto"/>
              <w:rPr>
                <w:rFonts w:ascii="Times New Roman" w:eastAsia="Calibri" w:hAnsi="Times New Roman" w:cs="Times New Roman"/>
                <w:sz w:val="20"/>
                <w:szCs w:val="20"/>
              </w:rPr>
            </w:pPr>
            <w:r w:rsidRPr="00A07F29">
              <w:rPr>
                <w:rFonts w:ascii="Times New Roman" w:eastAsia="Calibri" w:hAnsi="Times New Roman" w:cs="Times New Roman"/>
                <w:sz w:val="20"/>
                <w:szCs w:val="20"/>
              </w:rPr>
              <w:t>D.6.3.</w:t>
            </w:r>
            <w:r w:rsidR="006270CC">
              <w:rPr>
                <w:rFonts w:ascii="Times New Roman" w:eastAsia="Calibri" w:hAnsi="Times New Roman" w:cs="Times New Roman"/>
                <w:sz w:val="20"/>
                <w:szCs w:val="20"/>
              </w:rPr>
              <w:t> </w:t>
            </w:r>
            <w:proofErr w:type="spellStart"/>
            <w:r w:rsidRPr="00A07F29">
              <w:rPr>
                <w:rFonts w:ascii="Times New Roman" w:eastAsia="Calibri" w:hAnsi="Times New Roman" w:cs="Times New Roman"/>
                <w:sz w:val="20"/>
                <w:szCs w:val="20"/>
              </w:rPr>
              <w:t>Červonkas</w:t>
            </w:r>
            <w:proofErr w:type="spellEnd"/>
            <w:r w:rsidRPr="00A07F29">
              <w:rPr>
                <w:rFonts w:ascii="Times New Roman" w:eastAsia="Calibri" w:hAnsi="Times New Roman" w:cs="Times New Roman"/>
                <w:sz w:val="20"/>
                <w:szCs w:val="20"/>
              </w:rPr>
              <w:t xml:space="preserve"> muižas pils tūrisma piedāvājuma pilnveidošana</w:t>
            </w:r>
          </w:p>
        </w:tc>
        <w:tc>
          <w:tcPr>
            <w:tcW w:w="1701" w:type="dxa"/>
            <w:shd w:val="clear" w:color="auto" w:fill="FFFFFF" w:themeFill="background1"/>
          </w:tcPr>
          <w:p w14:paraId="63D30122" w14:textId="77777777"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III,</w:t>
            </w:r>
          </w:p>
          <w:p w14:paraId="49989B63" w14:textId="3FF36241"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bCs/>
                <w:sz w:val="20"/>
                <w:szCs w:val="20"/>
              </w:rPr>
              <w:t>visu plāna periodu</w:t>
            </w:r>
          </w:p>
        </w:tc>
        <w:tc>
          <w:tcPr>
            <w:tcW w:w="1984" w:type="dxa"/>
            <w:shd w:val="clear" w:color="auto" w:fill="FFFFFF" w:themeFill="background1"/>
          </w:tcPr>
          <w:p w14:paraId="7E8E0193" w14:textId="3188AB8A" w:rsidR="007A479F" w:rsidRPr="00A07F29" w:rsidRDefault="007A479F"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Pašvaldība, TIC</w:t>
            </w:r>
          </w:p>
        </w:tc>
        <w:tc>
          <w:tcPr>
            <w:tcW w:w="1560" w:type="dxa"/>
            <w:shd w:val="clear" w:color="auto" w:fill="FFFFFF" w:themeFill="background1"/>
          </w:tcPr>
          <w:p w14:paraId="28DF51B9" w14:textId="50EAEF69" w:rsidR="007A479F" w:rsidRPr="00A07F29" w:rsidRDefault="00BA730D"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Administratīvās izmaksas</w:t>
            </w:r>
          </w:p>
        </w:tc>
        <w:tc>
          <w:tcPr>
            <w:tcW w:w="1984" w:type="dxa"/>
            <w:shd w:val="clear" w:color="auto" w:fill="FFFFFF" w:themeFill="background1"/>
          </w:tcPr>
          <w:p w14:paraId="1A4F00A6" w14:textId="0371D463" w:rsidR="007A479F" w:rsidRPr="00A07F29" w:rsidRDefault="007A479F"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Pašvaldības un TIC budžets, projektu finansējums</w:t>
            </w:r>
          </w:p>
        </w:tc>
        <w:tc>
          <w:tcPr>
            <w:tcW w:w="3686" w:type="dxa"/>
            <w:shd w:val="clear" w:color="auto" w:fill="FFFFFF" w:themeFill="background1"/>
          </w:tcPr>
          <w:p w14:paraId="63D89CFF" w14:textId="3FCDE570" w:rsidR="007A479F" w:rsidRPr="00A07F29" w:rsidRDefault="007A479F" w:rsidP="007A479F">
            <w:pPr>
              <w:spacing w:after="0" w:line="240" w:lineRule="auto"/>
              <w:ind w:left="34"/>
              <w:rPr>
                <w:rFonts w:ascii="Times New Roman" w:eastAsia="Calibri" w:hAnsi="Times New Roman" w:cs="Times New Roman"/>
                <w:sz w:val="20"/>
                <w:szCs w:val="20"/>
              </w:rPr>
            </w:pPr>
            <w:proofErr w:type="spellStart"/>
            <w:r w:rsidRPr="00A07F29">
              <w:rPr>
                <w:rFonts w:ascii="Times New Roman" w:eastAsia="Calibri" w:hAnsi="Times New Roman" w:cs="Times New Roman"/>
                <w:sz w:val="20"/>
                <w:szCs w:val="20"/>
              </w:rPr>
              <w:t>Červonkas</w:t>
            </w:r>
            <w:proofErr w:type="spellEnd"/>
            <w:r w:rsidRPr="00A07F29">
              <w:rPr>
                <w:rFonts w:ascii="Times New Roman" w:eastAsia="Calibri" w:hAnsi="Times New Roman" w:cs="Times New Roman"/>
                <w:sz w:val="20"/>
                <w:szCs w:val="20"/>
              </w:rPr>
              <w:t xml:space="preserve"> muižas pils darbojas kā tūrisma objekts</w:t>
            </w:r>
          </w:p>
        </w:tc>
      </w:tr>
      <w:tr w:rsidR="007A479F" w:rsidRPr="00A07F29" w14:paraId="78D07BCE" w14:textId="77777777" w:rsidTr="4284A616">
        <w:trPr>
          <w:jc w:val="center"/>
        </w:trPr>
        <w:tc>
          <w:tcPr>
            <w:tcW w:w="846" w:type="dxa"/>
            <w:shd w:val="clear" w:color="auto" w:fill="FFFFFF" w:themeFill="background1"/>
          </w:tcPr>
          <w:p w14:paraId="46081D75" w14:textId="724EC22F" w:rsidR="007A479F" w:rsidRPr="00A07F29" w:rsidRDefault="007A479F" w:rsidP="007A479F">
            <w:pPr>
              <w:spacing w:after="0" w:line="240" w:lineRule="auto"/>
              <w:jc w:val="center"/>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D.6.</w:t>
            </w:r>
          </w:p>
        </w:tc>
        <w:tc>
          <w:tcPr>
            <w:tcW w:w="3402" w:type="dxa"/>
            <w:shd w:val="clear" w:color="auto" w:fill="FFFFFF" w:themeFill="background1"/>
          </w:tcPr>
          <w:p w14:paraId="405EE772" w14:textId="6EBE07B9" w:rsidR="007A479F" w:rsidRPr="00A07F29" w:rsidRDefault="007A479F" w:rsidP="007A479F">
            <w:pPr>
              <w:spacing w:after="0" w:line="240" w:lineRule="auto"/>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D.6.4.</w:t>
            </w:r>
            <w:r w:rsidR="006270CC">
              <w:rPr>
                <w:rFonts w:ascii="Times New Roman" w:eastAsia="Calibri" w:hAnsi="Times New Roman" w:cs="Times New Roman"/>
                <w:bCs/>
                <w:sz w:val="20"/>
                <w:szCs w:val="20"/>
              </w:rPr>
              <w:t> </w:t>
            </w:r>
            <w:proofErr w:type="spellStart"/>
            <w:r w:rsidRPr="00A07F29">
              <w:rPr>
                <w:rFonts w:ascii="Times New Roman" w:eastAsia="Calibri" w:hAnsi="Times New Roman" w:cs="Times New Roman"/>
                <w:bCs/>
                <w:sz w:val="20"/>
                <w:szCs w:val="20"/>
              </w:rPr>
              <w:t>Hoftenbergas</w:t>
            </w:r>
            <w:proofErr w:type="spellEnd"/>
            <w:r w:rsidRPr="00A07F29">
              <w:rPr>
                <w:rFonts w:ascii="Times New Roman" w:eastAsia="Calibri" w:hAnsi="Times New Roman" w:cs="Times New Roman"/>
                <w:bCs/>
                <w:sz w:val="20"/>
                <w:szCs w:val="20"/>
              </w:rPr>
              <w:t xml:space="preserve"> muižas atjaunošana un tūrisma piedāvājuma izveidošana</w:t>
            </w:r>
          </w:p>
        </w:tc>
        <w:tc>
          <w:tcPr>
            <w:tcW w:w="1701" w:type="dxa"/>
            <w:shd w:val="clear" w:color="auto" w:fill="FFFFFF" w:themeFill="background1"/>
          </w:tcPr>
          <w:p w14:paraId="54CF5249" w14:textId="77777777"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II,</w:t>
            </w:r>
          </w:p>
          <w:p w14:paraId="13E1E75E" w14:textId="3A88155F"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bCs/>
                <w:sz w:val="20"/>
                <w:szCs w:val="20"/>
              </w:rPr>
              <w:t>visu plāna periodu</w:t>
            </w:r>
          </w:p>
        </w:tc>
        <w:tc>
          <w:tcPr>
            <w:tcW w:w="1984" w:type="dxa"/>
            <w:shd w:val="clear" w:color="auto" w:fill="FFFFFF" w:themeFill="background1"/>
          </w:tcPr>
          <w:p w14:paraId="5C75CAA7" w14:textId="2970DFDE" w:rsidR="007A479F" w:rsidRPr="00A07F29" w:rsidRDefault="007A479F"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Objekta īpašnieks, pašvaldība, TIC</w:t>
            </w:r>
          </w:p>
        </w:tc>
        <w:tc>
          <w:tcPr>
            <w:tcW w:w="1560" w:type="dxa"/>
            <w:shd w:val="clear" w:color="auto" w:fill="FFFFFF" w:themeFill="background1"/>
          </w:tcPr>
          <w:p w14:paraId="2DEC49C7" w14:textId="49F2078F" w:rsidR="007A479F" w:rsidRPr="00A07F29" w:rsidRDefault="00BA730D"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Atkarībā no tehniskā projekta, izmaksas nav nosakāmas</w:t>
            </w:r>
          </w:p>
        </w:tc>
        <w:tc>
          <w:tcPr>
            <w:tcW w:w="1984" w:type="dxa"/>
            <w:shd w:val="clear" w:color="auto" w:fill="FFFFFF" w:themeFill="background1"/>
          </w:tcPr>
          <w:p w14:paraId="5CD71A5A" w14:textId="19A15BA7" w:rsidR="007A479F" w:rsidRPr="00A07F29" w:rsidRDefault="007A479F"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Uzņēmēja līdzekļi, projektu finansējums.</w:t>
            </w:r>
          </w:p>
        </w:tc>
        <w:tc>
          <w:tcPr>
            <w:tcW w:w="3686" w:type="dxa"/>
            <w:shd w:val="clear" w:color="auto" w:fill="FFFFFF" w:themeFill="background1"/>
          </w:tcPr>
          <w:p w14:paraId="431ADE57" w14:textId="22635059" w:rsidR="007A479F" w:rsidRPr="00A07F29" w:rsidRDefault="007A479F" w:rsidP="007A479F">
            <w:pPr>
              <w:spacing w:after="0" w:line="240" w:lineRule="auto"/>
              <w:ind w:left="34"/>
              <w:rPr>
                <w:rFonts w:ascii="Times New Roman" w:eastAsia="Calibri" w:hAnsi="Times New Roman" w:cs="Times New Roman"/>
                <w:sz w:val="20"/>
                <w:szCs w:val="20"/>
              </w:rPr>
            </w:pPr>
            <w:r w:rsidRPr="00A07F29">
              <w:rPr>
                <w:rFonts w:ascii="Times New Roman" w:eastAsia="Calibri" w:hAnsi="Times New Roman" w:cs="Times New Roman"/>
                <w:sz w:val="20"/>
                <w:szCs w:val="20"/>
              </w:rPr>
              <w:t>Izveidots norobežojums ap muižas drupām, nostiprināta krasta nogāze, veikta parka un muižas rekonstrukcija un muiža darbojas kā tūrisma objekts</w:t>
            </w:r>
          </w:p>
        </w:tc>
      </w:tr>
      <w:tr w:rsidR="007A479F" w:rsidRPr="00A07F29" w14:paraId="6A2648D2" w14:textId="77777777" w:rsidTr="4284A616">
        <w:trPr>
          <w:jc w:val="center"/>
        </w:trPr>
        <w:tc>
          <w:tcPr>
            <w:tcW w:w="846" w:type="dxa"/>
            <w:shd w:val="clear" w:color="auto" w:fill="FFFFFF" w:themeFill="background1"/>
          </w:tcPr>
          <w:p w14:paraId="712A839F" w14:textId="15FDB4B2" w:rsidR="007A479F" w:rsidRPr="00A07F29" w:rsidRDefault="007A479F" w:rsidP="007A479F">
            <w:pPr>
              <w:spacing w:after="0" w:line="240" w:lineRule="auto"/>
              <w:jc w:val="center"/>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D.6.</w:t>
            </w:r>
          </w:p>
        </w:tc>
        <w:tc>
          <w:tcPr>
            <w:tcW w:w="3402" w:type="dxa"/>
            <w:shd w:val="clear" w:color="auto" w:fill="FFFFFF" w:themeFill="background1"/>
          </w:tcPr>
          <w:p w14:paraId="07085949" w14:textId="14845C2D" w:rsidR="007A479F" w:rsidRPr="00A07F29" w:rsidRDefault="007A479F" w:rsidP="007A479F">
            <w:pPr>
              <w:spacing w:after="0" w:line="240" w:lineRule="auto"/>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D.6.5.</w:t>
            </w:r>
            <w:r w:rsidR="00E341B0">
              <w:rPr>
                <w:rFonts w:ascii="Times New Roman" w:eastAsia="Calibri" w:hAnsi="Times New Roman" w:cs="Times New Roman"/>
                <w:bCs/>
                <w:sz w:val="20"/>
                <w:szCs w:val="20"/>
              </w:rPr>
              <w:t> </w:t>
            </w:r>
            <w:r w:rsidRPr="00A07F29">
              <w:rPr>
                <w:rFonts w:ascii="Times New Roman" w:eastAsia="Calibri" w:hAnsi="Times New Roman" w:cs="Times New Roman"/>
                <w:bCs/>
                <w:sz w:val="20"/>
                <w:szCs w:val="20"/>
              </w:rPr>
              <w:t>Vietējo pārtikas ražotāju, mājražotāju un amatnieku preču iekļaušana tūrisma piedāvājumā</w:t>
            </w:r>
          </w:p>
        </w:tc>
        <w:tc>
          <w:tcPr>
            <w:tcW w:w="1701" w:type="dxa"/>
            <w:shd w:val="clear" w:color="auto" w:fill="FFFFFF" w:themeFill="background1"/>
          </w:tcPr>
          <w:p w14:paraId="5AD9DD39" w14:textId="77777777"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III,</w:t>
            </w:r>
          </w:p>
          <w:p w14:paraId="6655F5FF" w14:textId="4A1A06A2"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bCs/>
                <w:sz w:val="20"/>
                <w:szCs w:val="20"/>
              </w:rPr>
              <w:t>visu plāna periodu</w:t>
            </w:r>
          </w:p>
        </w:tc>
        <w:tc>
          <w:tcPr>
            <w:tcW w:w="1984" w:type="dxa"/>
            <w:shd w:val="clear" w:color="auto" w:fill="FFFFFF" w:themeFill="background1"/>
          </w:tcPr>
          <w:p w14:paraId="0ACB257C" w14:textId="48DBF049" w:rsidR="007A479F" w:rsidRPr="00A07F29" w:rsidRDefault="007A479F"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Uzņēmēji, NVO, pašvaldības, TIC</w:t>
            </w:r>
          </w:p>
        </w:tc>
        <w:tc>
          <w:tcPr>
            <w:tcW w:w="1560" w:type="dxa"/>
            <w:shd w:val="clear" w:color="auto" w:fill="FFFFFF" w:themeFill="background1"/>
          </w:tcPr>
          <w:p w14:paraId="2E69C477" w14:textId="2D60B7D5" w:rsidR="007A479F" w:rsidRPr="00A07F29" w:rsidRDefault="00BA730D"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Administratīvās izmaksas</w:t>
            </w:r>
          </w:p>
        </w:tc>
        <w:tc>
          <w:tcPr>
            <w:tcW w:w="1984" w:type="dxa"/>
            <w:shd w:val="clear" w:color="auto" w:fill="FFFFFF" w:themeFill="background1"/>
          </w:tcPr>
          <w:p w14:paraId="2AA2C879" w14:textId="71E3F31A" w:rsidR="007A479F" w:rsidRPr="00A07F29" w:rsidRDefault="007A479F"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Uzņēmēju līdzekļi, TIC budžets.</w:t>
            </w:r>
          </w:p>
        </w:tc>
        <w:tc>
          <w:tcPr>
            <w:tcW w:w="3686" w:type="dxa"/>
            <w:shd w:val="clear" w:color="auto" w:fill="FFFFFF" w:themeFill="background1"/>
          </w:tcPr>
          <w:p w14:paraId="41F1891F" w14:textId="2FA4706F" w:rsidR="007A479F" w:rsidRPr="00A07F29" w:rsidRDefault="007A479F" w:rsidP="007A479F">
            <w:pPr>
              <w:spacing w:after="0" w:line="240" w:lineRule="auto"/>
              <w:ind w:left="34"/>
              <w:rPr>
                <w:rFonts w:ascii="Times New Roman" w:eastAsia="Calibri" w:hAnsi="Times New Roman" w:cs="Times New Roman"/>
                <w:sz w:val="20"/>
                <w:szCs w:val="20"/>
              </w:rPr>
            </w:pPr>
            <w:r w:rsidRPr="00A07F29">
              <w:rPr>
                <w:rFonts w:ascii="Times New Roman" w:eastAsia="Calibri" w:hAnsi="Times New Roman" w:cs="Times New Roman"/>
                <w:sz w:val="20"/>
                <w:szCs w:val="20"/>
              </w:rPr>
              <w:t>Darbojas tirdziņi u.c. pakalpojumu objekti, palielinās vietējo ražotāju un mājražotāju preču noiets</w:t>
            </w:r>
          </w:p>
        </w:tc>
      </w:tr>
      <w:tr w:rsidR="007A479F" w:rsidRPr="00A07F29" w14:paraId="5216762F" w14:textId="77777777" w:rsidTr="4284A616">
        <w:trPr>
          <w:jc w:val="center"/>
        </w:trPr>
        <w:tc>
          <w:tcPr>
            <w:tcW w:w="846" w:type="dxa"/>
            <w:shd w:val="clear" w:color="auto" w:fill="FFFFFF" w:themeFill="background1"/>
          </w:tcPr>
          <w:p w14:paraId="59C482F8" w14:textId="4D4C49A1" w:rsidR="007A479F" w:rsidRPr="00A07F29" w:rsidRDefault="007A479F" w:rsidP="007A479F">
            <w:pPr>
              <w:spacing w:after="0" w:line="240" w:lineRule="auto"/>
              <w:jc w:val="center"/>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D.6.</w:t>
            </w:r>
          </w:p>
        </w:tc>
        <w:tc>
          <w:tcPr>
            <w:tcW w:w="3402" w:type="dxa"/>
            <w:shd w:val="clear" w:color="auto" w:fill="FFFFFF" w:themeFill="background1"/>
          </w:tcPr>
          <w:p w14:paraId="62E14666" w14:textId="2873354A" w:rsidR="007A479F" w:rsidRPr="00A07F29" w:rsidRDefault="007A479F" w:rsidP="007A479F">
            <w:pPr>
              <w:spacing w:after="0" w:line="240" w:lineRule="auto"/>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D.6.6.</w:t>
            </w:r>
            <w:r w:rsidR="00E341B0">
              <w:rPr>
                <w:rFonts w:ascii="Times New Roman" w:eastAsia="Calibri" w:hAnsi="Times New Roman" w:cs="Times New Roman"/>
                <w:bCs/>
                <w:sz w:val="20"/>
                <w:szCs w:val="20"/>
              </w:rPr>
              <w:t> </w:t>
            </w:r>
            <w:r w:rsidRPr="00A07F29">
              <w:rPr>
                <w:rFonts w:ascii="Times New Roman" w:eastAsia="Calibri" w:hAnsi="Times New Roman" w:cs="Times New Roman"/>
                <w:bCs/>
                <w:sz w:val="20"/>
                <w:szCs w:val="20"/>
              </w:rPr>
              <w:t>Lauku saimniecību iekļaušana tūrisma piedāvājumā</w:t>
            </w:r>
          </w:p>
        </w:tc>
        <w:tc>
          <w:tcPr>
            <w:tcW w:w="1701" w:type="dxa"/>
            <w:shd w:val="clear" w:color="auto" w:fill="FFFFFF" w:themeFill="background1"/>
          </w:tcPr>
          <w:p w14:paraId="6883ED70" w14:textId="77777777"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III,</w:t>
            </w:r>
          </w:p>
          <w:p w14:paraId="77569CE1" w14:textId="793D7549"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bCs/>
                <w:sz w:val="20"/>
                <w:szCs w:val="20"/>
              </w:rPr>
              <w:t>visu plāna periodu</w:t>
            </w:r>
          </w:p>
        </w:tc>
        <w:tc>
          <w:tcPr>
            <w:tcW w:w="1984" w:type="dxa"/>
            <w:shd w:val="clear" w:color="auto" w:fill="FFFFFF" w:themeFill="background1"/>
          </w:tcPr>
          <w:p w14:paraId="50CD5E2C" w14:textId="588E04BA" w:rsidR="007A479F" w:rsidRPr="00A07F29" w:rsidRDefault="007A479F"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Uzņēmēji, NVO, pašvaldības, TIC</w:t>
            </w:r>
          </w:p>
        </w:tc>
        <w:tc>
          <w:tcPr>
            <w:tcW w:w="1560" w:type="dxa"/>
            <w:shd w:val="clear" w:color="auto" w:fill="FFFFFF" w:themeFill="background1"/>
          </w:tcPr>
          <w:p w14:paraId="71A29054" w14:textId="14853B54" w:rsidR="007A479F" w:rsidRPr="00A07F29" w:rsidRDefault="00BA730D"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Administratīvās izmaksas</w:t>
            </w:r>
          </w:p>
        </w:tc>
        <w:tc>
          <w:tcPr>
            <w:tcW w:w="1984" w:type="dxa"/>
            <w:shd w:val="clear" w:color="auto" w:fill="FFFFFF" w:themeFill="background1"/>
          </w:tcPr>
          <w:p w14:paraId="0487D843" w14:textId="00C8CBDD" w:rsidR="007A479F" w:rsidRPr="00A07F29" w:rsidRDefault="007A479F"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Uzņēmēju līdzekļi, TIC budžets, projektu finansējums.</w:t>
            </w:r>
          </w:p>
        </w:tc>
        <w:tc>
          <w:tcPr>
            <w:tcW w:w="3686" w:type="dxa"/>
            <w:shd w:val="clear" w:color="auto" w:fill="FFFFFF" w:themeFill="background1"/>
          </w:tcPr>
          <w:p w14:paraId="6A802BA0" w14:textId="0062CFB6" w:rsidR="007A479F" w:rsidRPr="00A07F29" w:rsidRDefault="007A479F" w:rsidP="007A479F">
            <w:pPr>
              <w:spacing w:after="0" w:line="240" w:lineRule="auto"/>
              <w:ind w:left="34"/>
              <w:rPr>
                <w:rFonts w:ascii="Times New Roman" w:eastAsia="Calibri" w:hAnsi="Times New Roman" w:cs="Times New Roman"/>
                <w:sz w:val="20"/>
                <w:szCs w:val="20"/>
              </w:rPr>
            </w:pPr>
            <w:r w:rsidRPr="00A07F29">
              <w:rPr>
                <w:rFonts w:ascii="Times New Roman" w:eastAsia="Calibri" w:hAnsi="Times New Roman" w:cs="Times New Roman"/>
                <w:sz w:val="20"/>
                <w:szCs w:val="20"/>
              </w:rPr>
              <w:t>Jaunas apskates saimniecības</w:t>
            </w:r>
          </w:p>
        </w:tc>
      </w:tr>
      <w:tr w:rsidR="007A479F" w:rsidRPr="00A07F29" w14:paraId="7E43EA70" w14:textId="77777777" w:rsidTr="4284A616">
        <w:trPr>
          <w:jc w:val="center"/>
        </w:trPr>
        <w:tc>
          <w:tcPr>
            <w:tcW w:w="846" w:type="dxa"/>
            <w:shd w:val="clear" w:color="auto" w:fill="FFFFFF" w:themeFill="background1"/>
          </w:tcPr>
          <w:p w14:paraId="42C0D9D7" w14:textId="1ED1DAF7" w:rsidR="007A479F" w:rsidRPr="00A07F29" w:rsidRDefault="007A479F" w:rsidP="007A479F">
            <w:pPr>
              <w:spacing w:after="0" w:line="240" w:lineRule="auto"/>
              <w:jc w:val="center"/>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D.6.</w:t>
            </w:r>
          </w:p>
        </w:tc>
        <w:tc>
          <w:tcPr>
            <w:tcW w:w="3402" w:type="dxa"/>
            <w:shd w:val="clear" w:color="auto" w:fill="FFFFFF" w:themeFill="background1"/>
          </w:tcPr>
          <w:p w14:paraId="7B71F51A" w14:textId="132FC653" w:rsidR="007A479F" w:rsidRPr="00A07F29" w:rsidRDefault="007A479F" w:rsidP="007A479F">
            <w:pPr>
              <w:spacing w:after="0" w:line="240" w:lineRule="auto"/>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D.6.7.</w:t>
            </w:r>
            <w:r w:rsidR="006A5318">
              <w:rPr>
                <w:rFonts w:ascii="Times New Roman" w:eastAsia="Calibri" w:hAnsi="Times New Roman" w:cs="Times New Roman"/>
                <w:bCs/>
                <w:sz w:val="20"/>
                <w:szCs w:val="20"/>
              </w:rPr>
              <w:t> </w:t>
            </w:r>
            <w:r w:rsidRPr="00A07F29">
              <w:rPr>
                <w:rFonts w:ascii="Times New Roman" w:eastAsia="Calibri" w:hAnsi="Times New Roman" w:cs="Times New Roman"/>
                <w:bCs/>
                <w:sz w:val="20"/>
                <w:szCs w:val="20"/>
              </w:rPr>
              <w:t>Amatnieku darbnīcu atbalstīšana un iekļaušan</w:t>
            </w:r>
            <w:r w:rsidR="006A5318">
              <w:rPr>
                <w:rFonts w:ascii="Times New Roman" w:eastAsia="Calibri" w:hAnsi="Times New Roman" w:cs="Times New Roman"/>
                <w:bCs/>
                <w:sz w:val="20"/>
                <w:szCs w:val="20"/>
              </w:rPr>
              <w:t>a</w:t>
            </w:r>
            <w:r w:rsidRPr="00A07F29">
              <w:rPr>
                <w:rFonts w:ascii="Times New Roman" w:eastAsia="Calibri" w:hAnsi="Times New Roman" w:cs="Times New Roman"/>
                <w:bCs/>
                <w:sz w:val="20"/>
                <w:szCs w:val="20"/>
              </w:rPr>
              <w:t xml:space="preserve"> tūrisma piedāvājumā</w:t>
            </w:r>
          </w:p>
        </w:tc>
        <w:tc>
          <w:tcPr>
            <w:tcW w:w="1701" w:type="dxa"/>
            <w:shd w:val="clear" w:color="auto" w:fill="FFFFFF" w:themeFill="background1"/>
          </w:tcPr>
          <w:p w14:paraId="3F7B498F" w14:textId="77777777"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III,</w:t>
            </w:r>
          </w:p>
          <w:p w14:paraId="5DD4EB24" w14:textId="1D72F3C7"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bCs/>
                <w:sz w:val="20"/>
                <w:szCs w:val="20"/>
              </w:rPr>
              <w:t>visu plāna periodu</w:t>
            </w:r>
          </w:p>
        </w:tc>
        <w:tc>
          <w:tcPr>
            <w:tcW w:w="1984" w:type="dxa"/>
            <w:shd w:val="clear" w:color="auto" w:fill="FFFFFF" w:themeFill="background1"/>
          </w:tcPr>
          <w:p w14:paraId="4C4DB84B" w14:textId="49D9B2DA" w:rsidR="007A479F" w:rsidRPr="00A07F29" w:rsidRDefault="007A479F"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Uzņēmēji, NVO, pašvaldības, TIC</w:t>
            </w:r>
          </w:p>
        </w:tc>
        <w:tc>
          <w:tcPr>
            <w:tcW w:w="1560" w:type="dxa"/>
            <w:shd w:val="clear" w:color="auto" w:fill="FFFFFF" w:themeFill="background1"/>
          </w:tcPr>
          <w:p w14:paraId="5CA3E485" w14:textId="6D6EB40F" w:rsidR="007A479F" w:rsidRPr="00A07F29" w:rsidRDefault="00BA730D"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Administratīvās izmaksas</w:t>
            </w:r>
          </w:p>
        </w:tc>
        <w:tc>
          <w:tcPr>
            <w:tcW w:w="1984" w:type="dxa"/>
            <w:shd w:val="clear" w:color="auto" w:fill="FFFFFF" w:themeFill="background1"/>
          </w:tcPr>
          <w:p w14:paraId="1682A2E7" w14:textId="6567BF43" w:rsidR="007A479F" w:rsidRPr="00A07F29" w:rsidRDefault="007A479F"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Uzņēmēju līdzekļi, TIC budžets, projektu finansējums.</w:t>
            </w:r>
          </w:p>
        </w:tc>
        <w:tc>
          <w:tcPr>
            <w:tcW w:w="3686" w:type="dxa"/>
            <w:shd w:val="clear" w:color="auto" w:fill="FFFFFF" w:themeFill="background1"/>
          </w:tcPr>
          <w:p w14:paraId="2CB03091" w14:textId="2A926B5C" w:rsidR="007A479F" w:rsidRPr="00A07F29" w:rsidRDefault="007A479F" w:rsidP="007A479F">
            <w:pPr>
              <w:spacing w:after="0" w:line="240" w:lineRule="auto"/>
              <w:ind w:left="34"/>
              <w:rPr>
                <w:rFonts w:ascii="Times New Roman" w:eastAsia="Calibri" w:hAnsi="Times New Roman" w:cs="Times New Roman"/>
                <w:sz w:val="20"/>
                <w:szCs w:val="20"/>
              </w:rPr>
            </w:pPr>
            <w:r w:rsidRPr="00A07F29">
              <w:rPr>
                <w:rFonts w:ascii="Times New Roman" w:eastAsia="Calibri" w:hAnsi="Times New Roman" w:cs="Times New Roman"/>
                <w:sz w:val="20"/>
                <w:szCs w:val="20"/>
              </w:rPr>
              <w:t>Jaunas amatnieku darbnīcas</w:t>
            </w:r>
          </w:p>
        </w:tc>
      </w:tr>
      <w:tr w:rsidR="007A479F" w:rsidRPr="00A07F29" w14:paraId="20661A1B" w14:textId="77777777" w:rsidTr="4284A616">
        <w:trPr>
          <w:jc w:val="center"/>
        </w:trPr>
        <w:tc>
          <w:tcPr>
            <w:tcW w:w="846" w:type="dxa"/>
            <w:shd w:val="clear" w:color="auto" w:fill="FFFFFF" w:themeFill="background1"/>
          </w:tcPr>
          <w:p w14:paraId="0E85BAA2" w14:textId="30D3C71B" w:rsidR="007A479F" w:rsidRPr="00A07F29" w:rsidRDefault="007A479F" w:rsidP="007A479F">
            <w:pPr>
              <w:spacing w:after="0" w:line="240" w:lineRule="auto"/>
              <w:jc w:val="center"/>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lastRenderedPageBreak/>
              <w:t>D.6.</w:t>
            </w:r>
          </w:p>
        </w:tc>
        <w:tc>
          <w:tcPr>
            <w:tcW w:w="3402" w:type="dxa"/>
            <w:shd w:val="clear" w:color="auto" w:fill="FFFFFF" w:themeFill="background1"/>
          </w:tcPr>
          <w:p w14:paraId="3B559AB7" w14:textId="3E3D3E41" w:rsidR="007A479F" w:rsidRPr="00A07F29" w:rsidRDefault="007A479F" w:rsidP="007A479F">
            <w:pPr>
              <w:spacing w:after="0" w:line="240" w:lineRule="auto"/>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D.6.8.</w:t>
            </w:r>
            <w:r w:rsidR="006A5318">
              <w:rPr>
                <w:rFonts w:ascii="Times New Roman" w:eastAsia="Calibri" w:hAnsi="Times New Roman" w:cs="Times New Roman"/>
                <w:bCs/>
                <w:sz w:val="20"/>
                <w:szCs w:val="20"/>
              </w:rPr>
              <w:t> </w:t>
            </w:r>
            <w:r w:rsidRPr="00A07F29">
              <w:rPr>
                <w:rFonts w:ascii="Times New Roman" w:eastAsia="Calibri" w:hAnsi="Times New Roman" w:cs="Times New Roman"/>
                <w:bCs/>
                <w:sz w:val="20"/>
                <w:szCs w:val="20"/>
              </w:rPr>
              <w:t>Naktsmītņu piedāvājuma attīstīšana</w:t>
            </w:r>
          </w:p>
        </w:tc>
        <w:tc>
          <w:tcPr>
            <w:tcW w:w="1701" w:type="dxa"/>
            <w:shd w:val="clear" w:color="auto" w:fill="FFFFFF" w:themeFill="background1"/>
          </w:tcPr>
          <w:p w14:paraId="6329EBA6" w14:textId="77777777"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III,</w:t>
            </w:r>
          </w:p>
          <w:p w14:paraId="5E1D2B5B" w14:textId="000A1620"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bCs/>
                <w:sz w:val="20"/>
                <w:szCs w:val="20"/>
              </w:rPr>
              <w:t>visu plāna periodu</w:t>
            </w:r>
          </w:p>
        </w:tc>
        <w:tc>
          <w:tcPr>
            <w:tcW w:w="1984" w:type="dxa"/>
            <w:shd w:val="clear" w:color="auto" w:fill="FFFFFF" w:themeFill="background1"/>
          </w:tcPr>
          <w:p w14:paraId="201529D6" w14:textId="769AFA04" w:rsidR="007A479F" w:rsidRPr="00A07F29" w:rsidRDefault="007A479F"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Uzņēmēji</w:t>
            </w:r>
          </w:p>
        </w:tc>
        <w:tc>
          <w:tcPr>
            <w:tcW w:w="1560" w:type="dxa"/>
            <w:shd w:val="clear" w:color="auto" w:fill="FFFFFF" w:themeFill="background1"/>
          </w:tcPr>
          <w:p w14:paraId="66F2C02B" w14:textId="7944747B" w:rsidR="007A479F" w:rsidRPr="00A07F29" w:rsidRDefault="00BA730D"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c>
          <w:tcPr>
            <w:tcW w:w="1984" w:type="dxa"/>
            <w:shd w:val="clear" w:color="auto" w:fill="FFFFFF" w:themeFill="background1"/>
          </w:tcPr>
          <w:p w14:paraId="09C33220" w14:textId="6E39C50E" w:rsidR="007A479F" w:rsidRPr="00A07F29" w:rsidRDefault="007A479F"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Uzņēmēju līdzek</w:t>
            </w:r>
            <w:r w:rsidR="003A6885">
              <w:rPr>
                <w:rFonts w:ascii="Times New Roman" w:eastAsia="Calibri" w:hAnsi="Times New Roman" w:cs="Times New Roman"/>
                <w:sz w:val="20"/>
                <w:szCs w:val="20"/>
              </w:rPr>
              <w:t>ļ</w:t>
            </w:r>
            <w:r w:rsidRPr="00A07F29">
              <w:rPr>
                <w:rFonts w:ascii="Times New Roman" w:eastAsia="Calibri" w:hAnsi="Times New Roman" w:cs="Times New Roman"/>
                <w:sz w:val="20"/>
                <w:szCs w:val="20"/>
              </w:rPr>
              <w:t>i, projektu finansējums.</w:t>
            </w:r>
          </w:p>
        </w:tc>
        <w:tc>
          <w:tcPr>
            <w:tcW w:w="3686" w:type="dxa"/>
            <w:shd w:val="clear" w:color="auto" w:fill="FFFFFF" w:themeFill="background1"/>
          </w:tcPr>
          <w:p w14:paraId="2066BCCF" w14:textId="5AB0BBE4" w:rsidR="007A479F" w:rsidRPr="00A07F29" w:rsidRDefault="007A479F" w:rsidP="007A479F">
            <w:pPr>
              <w:spacing w:after="0" w:line="240" w:lineRule="auto"/>
              <w:ind w:left="34"/>
              <w:rPr>
                <w:rFonts w:ascii="Times New Roman" w:eastAsia="Calibri" w:hAnsi="Times New Roman" w:cs="Times New Roman"/>
                <w:sz w:val="20"/>
                <w:szCs w:val="20"/>
              </w:rPr>
            </w:pPr>
            <w:r w:rsidRPr="00A07F29">
              <w:rPr>
                <w:rFonts w:ascii="Times New Roman" w:eastAsia="Calibri" w:hAnsi="Times New Roman" w:cs="Times New Roman"/>
                <w:sz w:val="20"/>
                <w:szCs w:val="20"/>
              </w:rPr>
              <w:t>Jaunas naktsmītnes</w:t>
            </w:r>
          </w:p>
        </w:tc>
      </w:tr>
      <w:tr w:rsidR="007A479F" w:rsidRPr="00A07F29" w14:paraId="4026AB14" w14:textId="77777777" w:rsidTr="4284A616">
        <w:trPr>
          <w:jc w:val="center"/>
        </w:trPr>
        <w:tc>
          <w:tcPr>
            <w:tcW w:w="846" w:type="dxa"/>
            <w:shd w:val="clear" w:color="auto" w:fill="FFFFFF" w:themeFill="background1"/>
          </w:tcPr>
          <w:p w14:paraId="7360CAFA" w14:textId="478A2841" w:rsidR="007A479F" w:rsidRPr="00A07F29" w:rsidRDefault="007A479F" w:rsidP="007A479F">
            <w:pPr>
              <w:spacing w:after="0" w:line="240" w:lineRule="auto"/>
              <w:jc w:val="center"/>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D.6.</w:t>
            </w:r>
          </w:p>
        </w:tc>
        <w:tc>
          <w:tcPr>
            <w:tcW w:w="3402" w:type="dxa"/>
            <w:shd w:val="clear" w:color="auto" w:fill="FFFFFF" w:themeFill="background1"/>
          </w:tcPr>
          <w:p w14:paraId="6357C0E5" w14:textId="549ED30A" w:rsidR="007A479F" w:rsidRPr="00A07F29" w:rsidRDefault="007A479F" w:rsidP="007A479F">
            <w:pPr>
              <w:spacing w:after="0" w:line="240" w:lineRule="auto"/>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D.6.9.</w:t>
            </w:r>
            <w:r w:rsidR="0019287E">
              <w:rPr>
                <w:rFonts w:ascii="Times New Roman" w:eastAsia="Calibri" w:hAnsi="Times New Roman" w:cs="Times New Roman"/>
                <w:bCs/>
                <w:sz w:val="20"/>
                <w:szCs w:val="20"/>
              </w:rPr>
              <w:t> </w:t>
            </w:r>
            <w:r w:rsidRPr="00A07F29">
              <w:rPr>
                <w:rFonts w:ascii="Times New Roman" w:eastAsia="Calibri" w:hAnsi="Times New Roman" w:cs="Times New Roman"/>
                <w:bCs/>
                <w:sz w:val="20"/>
                <w:szCs w:val="20"/>
              </w:rPr>
              <w:t>Aktīvās atpūtas piedāvājuma pilnveidošana</w:t>
            </w:r>
          </w:p>
        </w:tc>
        <w:tc>
          <w:tcPr>
            <w:tcW w:w="1701" w:type="dxa"/>
            <w:shd w:val="clear" w:color="auto" w:fill="FFFFFF" w:themeFill="background1"/>
          </w:tcPr>
          <w:p w14:paraId="02FF8B79" w14:textId="77777777"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III,</w:t>
            </w:r>
          </w:p>
          <w:p w14:paraId="388FF692" w14:textId="6519B8FD"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bCs/>
                <w:sz w:val="20"/>
                <w:szCs w:val="20"/>
              </w:rPr>
              <w:t>visu plāna periodu</w:t>
            </w:r>
          </w:p>
        </w:tc>
        <w:tc>
          <w:tcPr>
            <w:tcW w:w="1984" w:type="dxa"/>
            <w:shd w:val="clear" w:color="auto" w:fill="FFFFFF" w:themeFill="background1"/>
          </w:tcPr>
          <w:p w14:paraId="05F30FAA" w14:textId="15D2116A" w:rsidR="007A479F" w:rsidRPr="00A07F29" w:rsidRDefault="007A479F"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Uzņēmēji</w:t>
            </w:r>
          </w:p>
        </w:tc>
        <w:tc>
          <w:tcPr>
            <w:tcW w:w="1560" w:type="dxa"/>
            <w:shd w:val="clear" w:color="auto" w:fill="FFFFFF" w:themeFill="background1"/>
          </w:tcPr>
          <w:p w14:paraId="58ACB151" w14:textId="56F70223" w:rsidR="007A479F" w:rsidRPr="00A07F29" w:rsidRDefault="00BA730D"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w:t>
            </w:r>
          </w:p>
        </w:tc>
        <w:tc>
          <w:tcPr>
            <w:tcW w:w="1984" w:type="dxa"/>
            <w:shd w:val="clear" w:color="auto" w:fill="FFFFFF" w:themeFill="background1"/>
          </w:tcPr>
          <w:p w14:paraId="741B51FB" w14:textId="312B2670" w:rsidR="007A479F" w:rsidRPr="00A07F29" w:rsidRDefault="007A479F"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Uzņēmēju līdzek</w:t>
            </w:r>
            <w:r w:rsidR="0019287E">
              <w:rPr>
                <w:rFonts w:ascii="Times New Roman" w:eastAsia="Calibri" w:hAnsi="Times New Roman" w:cs="Times New Roman"/>
                <w:sz w:val="20"/>
                <w:szCs w:val="20"/>
              </w:rPr>
              <w:t>ļ</w:t>
            </w:r>
            <w:r w:rsidRPr="00A07F29">
              <w:rPr>
                <w:rFonts w:ascii="Times New Roman" w:eastAsia="Calibri" w:hAnsi="Times New Roman" w:cs="Times New Roman"/>
                <w:sz w:val="20"/>
                <w:szCs w:val="20"/>
              </w:rPr>
              <w:t>i, projektu finansējums.</w:t>
            </w:r>
          </w:p>
        </w:tc>
        <w:tc>
          <w:tcPr>
            <w:tcW w:w="3686" w:type="dxa"/>
            <w:shd w:val="clear" w:color="auto" w:fill="FFFFFF" w:themeFill="background1"/>
          </w:tcPr>
          <w:p w14:paraId="5724F70E" w14:textId="161658D8" w:rsidR="007A479F" w:rsidRPr="00A07F29" w:rsidRDefault="007A479F" w:rsidP="007A479F">
            <w:pPr>
              <w:spacing w:after="0" w:line="240" w:lineRule="auto"/>
              <w:ind w:left="34"/>
              <w:rPr>
                <w:rFonts w:ascii="Times New Roman" w:eastAsia="Calibri" w:hAnsi="Times New Roman" w:cs="Times New Roman"/>
                <w:sz w:val="20"/>
                <w:szCs w:val="20"/>
              </w:rPr>
            </w:pPr>
            <w:r w:rsidRPr="00A07F29">
              <w:rPr>
                <w:rFonts w:ascii="Times New Roman" w:eastAsia="Calibri" w:hAnsi="Times New Roman" w:cs="Times New Roman"/>
                <w:sz w:val="20"/>
                <w:szCs w:val="20"/>
              </w:rPr>
              <w:t>Izveidots distanču slēpošanas maršruts u.c. aktīvās atpūtas piedāvājums</w:t>
            </w:r>
          </w:p>
        </w:tc>
      </w:tr>
      <w:tr w:rsidR="007A479F" w:rsidRPr="00A07F29" w14:paraId="77E0E953" w14:textId="77777777" w:rsidTr="4284A616">
        <w:trPr>
          <w:jc w:val="center"/>
        </w:trPr>
        <w:tc>
          <w:tcPr>
            <w:tcW w:w="846" w:type="dxa"/>
            <w:shd w:val="clear" w:color="auto" w:fill="FFFFFF" w:themeFill="background1"/>
          </w:tcPr>
          <w:p w14:paraId="267DF3B0" w14:textId="1A373077" w:rsidR="007A479F" w:rsidRPr="00A07F29" w:rsidRDefault="007A479F" w:rsidP="007A479F">
            <w:pPr>
              <w:spacing w:after="0" w:line="240" w:lineRule="auto"/>
              <w:jc w:val="center"/>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D.6.</w:t>
            </w:r>
          </w:p>
        </w:tc>
        <w:tc>
          <w:tcPr>
            <w:tcW w:w="3402" w:type="dxa"/>
            <w:shd w:val="clear" w:color="auto" w:fill="FFFFFF" w:themeFill="background1"/>
          </w:tcPr>
          <w:p w14:paraId="48FA5D1C" w14:textId="6DFE94E7" w:rsidR="007A479F" w:rsidRPr="00A07F29" w:rsidRDefault="007A479F" w:rsidP="007A479F">
            <w:pPr>
              <w:spacing w:after="0" w:line="240" w:lineRule="auto"/>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D.6.10.</w:t>
            </w:r>
            <w:r w:rsidR="00BB567B">
              <w:rPr>
                <w:rFonts w:ascii="Times New Roman" w:eastAsia="Calibri" w:hAnsi="Times New Roman" w:cs="Times New Roman"/>
                <w:bCs/>
                <w:sz w:val="20"/>
                <w:szCs w:val="20"/>
              </w:rPr>
              <w:t> </w:t>
            </w:r>
            <w:r w:rsidRPr="00A07F29">
              <w:rPr>
                <w:rFonts w:ascii="Times New Roman" w:eastAsia="Calibri" w:hAnsi="Times New Roman" w:cs="Times New Roman"/>
                <w:bCs/>
                <w:sz w:val="20"/>
                <w:szCs w:val="20"/>
              </w:rPr>
              <w:t>Jaunu tematisko tūrisma maršrutu izveide</w:t>
            </w:r>
          </w:p>
        </w:tc>
        <w:tc>
          <w:tcPr>
            <w:tcW w:w="1701" w:type="dxa"/>
            <w:shd w:val="clear" w:color="auto" w:fill="FFFFFF" w:themeFill="background1"/>
          </w:tcPr>
          <w:p w14:paraId="70DAFA1A" w14:textId="77777777"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III,</w:t>
            </w:r>
          </w:p>
          <w:p w14:paraId="47D2E186" w14:textId="6DD2D7FF"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bCs/>
                <w:sz w:val="20"/>
                <w:szCs w:val="20"/>
              </w:rPr>
              <w:t>visu plāna periodu</w:t>
            </w:r>
          </w:p>
        </w:tc>
        <w:tc>
          <w:tcPr>
            <w:tcW w:w="1984" w:type="dxa"/>
            <w:shd w:val="clear" w:color="auto" w:fill="FFFFFF" w:themeFill="background1"/>
          </w:tcPr>
          <w:p w14:paraId="0022B02B" w14:textId="3FB25CA3" w:rsidR="007A479F" w:rsidRPr="00A07F29" w:rsidRDefault="007A479F"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TIC, NVO</w:t>
            </w:r>
          </w:p>
        </w:tc>
        <w:tc>
          <w:tcPr>
            <w:tcW w:w="1560" w:type="dxa"/>
            <w:shd w:val="clear" w:color="auto" w:fill="FFFFFF" w:themeFill="background1"/>
          </w:tcPr>
          <w:p w14:paraId="4DCD16F8" w14:textId="41178A23" w:rsidR="007A479F" w:rsidRPr="00A07F29" w:rsidRDefault="00BA730D"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Administratīvās izmaksas</w:t>
            </w:r>
          </w:p>
        </w:tc>
        <w:tc>
          <w:tcPr>
            <w:tcW w:w="1984" w:type="dxa"/>
            <w:shd w:val="clear" w:color="auto" w:fill="FFFFFF" w:themeFill="background1"/>
          </w:tcPr>
          <w:p w14:paraId="4FF70E86" w14:textId="2D506F63" w:rsidR="007A479F" w:rsidRPr="00A07F29" w:rsidRDefault="007A479F"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 xml:space="preserve">TIC budžets, projektu finansējums </w:t>
            </w:r>
          </w:p>
        </w:tc>
        <w:tc>
          <w:tcPr>
            <w:tcW w:w="3686" w:type="dxa"/>
            <w:shd w:val="clear" w:color="auto" w:fill="FFFFFF" w:themeFill="background1"/>
          </w:tcPr>
          <w:p w14:paraId="53F4F828" w14:textId="6A0D523B" w:rsidR="007A479F" w:rsidRPr="00A07F29" w:rsidRDefault="007A479F" w:rsidP="007A479F">
            <w:pPr>
              <w:spacing w:after="0" w:line="240" w:lineRule="auto"/>
              <w:ind w:left="34"/>
              <w:rPr>
                <w:rFonts w:ascii="Times New Roman" w:eastAsia="Calibri" w:hAnsi="Times New Roman" w:cs="Times New Roman"/>
                <w:sz w:val="20"/>
                <w:szCs w:val="20"/>
              </w:rPr>
            </w:pPr>
            <w:r w:rsidRPr="00A07F29">
              <w:rPr>
                <w:rFonts w:ascii="Times New Roman" w:eastAsia="Calibri" w:hAnsi="Times New Roman" w:cs="Times New Roman"/>
                <w:sz w:val="20"/>
                <w:szCs w:val="20"/>
              </w:rPr>
              <w:t>Izveidoti tematiskie tūrisma maršruti</w:t>
            </w:r>
          </w:p>
        </w:tc>
      </w:tr>
      <w:tr w:rsidR="007A479F" w:rsidRPr="00A07F29" w14:paraId="653C4BDA" w14:textId="5E94CF61" w:rsidTr="4284A616">
        <w:trPr>
          <w:jc w:val="center"/>
        </w:trPr>
        <w:tc>
          <w:tcPr>
            <w:tcW w:w="846" w:type="dxa"/>
            <w:shd w:val="clear" w:color="auto" w:fill="FFFFFF" w:themeFill="background1"/>
          </w:tcPr>
          <w:p w14:paraId="0997F842" w14:textId="28682AA8"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bCs/>
                <w:sz w:val="20"/>
                <w:szCs w:val="20"/>
              </w:rPr>
              <w:t>E.1.</w:t>
            </w:r>
          </w:p>
        </w:tc>
        <w:tc>
          <w:tcPr>
            <w:tcW w:w="3402" w:type="dxa"/>
            <w:shd w:val="clear" w:color="auto" w:fill="FFFFFF" w:themeFill="background1"/>
          </w:tcPr>
          <w:p w14:paraId="21B6F430" w14:textId="12E856CD" w:rsidR="007A479F" w:rsidRPr="00A07F29" w:rsidRDefault="007A479F" w:rsidP="007A479F">
            <w:pPr>
              <w:spacing w:after="0" w:line="240" w:lineRule="auto"/>
              <w:rPr>
                <w:rFonts w:ascii="Times New Roman" w:eastAsia="Calibri" w:hAnsi="Times New Roman" w:cs="Times New Roman"/>
                <w:bCs/>
                <w:sz w:val="20"/>
                <w:szCs w:val="20"/>
              </w:rPr>
            </w:pPr>
            <w:bookmarkStart w:id="108" w:name="_Hlk48937657"/>
            <w:r w:rsidRPr="00A07F29">
              <w:rPr>
                <w:rFonts w:ascii="Times New Roman" w:eastAsia="Calibri" w:hAnsi="Times New Roman" w:cs="Times New Roman"/>
                <w:sz w:val="20"/>
                <w:szCs w:val="20"/>
              </w:rPr>
              <w:t>E.1.1.</w:t>
            </w:r>
            <w:r w:rsidR="003E2C30">
              <w:rPr>
                <w:rFonts w:ascii="Times New Roman" w:eastAsia="Calibri" w:hAnsi="Times New Roman" w:cs="Times New Roman"/>
                <w:sz w:val="20"/>
                <w:szCs w:val="20"/>
              </w:rPr>
              <w:t> </w:t>
            </w:r>
            <w:r w:rsidRPr="00A07F29">
              <w:rPr>
                <w:rFonts w:ascii="Times New Roman" w:eastAsia="Calibri" w:hAnsi="Times New Roman" w:cs="Times New Roman"/>
                <w:sz w:val="20"/>
                <w:szCs w:val="20"/>
              </w:rPr>
              <w:t>Ainavu skatu vietu uzturēšana un atjaunošana</w:t>
            </w:r>
            <w:bookmarkEnd w:id="108"/>
          </w:p>
        </w:tc>
        <w:tc>
          <w:tcPr>
            <w:tcW w:w="1701" w:type="dxa"/>
            <w:shd w:val="clear" w:color="auto" w:fill="FFFFFF" w:themeFill="background1"/>
          </w:tcPr>
          <w:p w14:paraId="7CA29198" w14:textId="77777777"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II,</w:t>
            </w:r>
          </w:p>
          <w:p w14:paraId="7F2D4698" w14:textId="03B79B6E"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bCs/>
                <w:sz w:val="20"/>
                <w:szCs w:val="20"/>
              </w:rPr>
              <w:t>visu plāna periodu</w:t>
            </w:r>
          </w:p>
        </w:tc>
        <w:tc>
          <w:tcPr>
            <w:tcW w:w="1984" w:type="dxa"/>
            <w:shd w:val="clear" w:color="auto" w:fill="FFFFFF" w:themeFill="background1"/>
          </w:tcPr>
          <w:p w14:paraId="349B0FC6" w14:textId="4FCDBF8F" w:rsidR="007A479F" w:rsidRPr="00A07F29" w:rsidRDefault="007A479F"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Zemes īpašnieki, TIC, DAP</w:t>
            </w:r>
          </w:p>
        </w:tc>
        <w:tc>
          <w:tcPr>
            <w:tcW w:w="1560" w:type="dxa"/>
            <w:shd w:val="clear" w:color="auto" w:fill="FFFFFF" w:themeFill="background1"/>
          </w:tcPr>
          <w:p w14:paraId="71BCB164" w14:textId="168594E1" w:rsidR="007A479F" w:rsidRPr="00A07F29" w:rsidRDefault="004C1E66"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100</w:t>
            </w:r>
            <w:r w:rsidR="00554DAF">
              <w:rPr>
                <w:rFonts w:ascii="Times New Roman" w:eastAsia="Calibri" w:hAnsi="Times New Roman" w:cs="Times New Roman"/>
                <w:sz w:val="20"/>
                <w:szCs w:val="20"/>
              </w:rPr>
              <w:t> </w:t>
            </w:r>
            <w:r w:rsidRPr="00A07F29">
              <w:rPr>
                <w:rFonts w:ascii="Times New Roman" w:eastAsia="Calibri" w:hAnsi="Times New Roman" w:cs="Times New Roman"/>
                <w:sz w:val="20"/>
                <w:szCs w:val="20"/>
              </w:rPr>
              <w:t>000</w:t>
            </w:r>
            <w:r w:rsidR="00554DAF">
              <w:rPr>
                <w:rFonts w:ascii="Times New Roman" w:eastAsia="Calibri" w:hAnsi="Times New Roman" w:cs="Times New Roman"/>
                <w:sz w:val="20"/>
                <w:szCs w:val="20"/>
              </w:rPr>
              <w:t> </w:t>
            </w:r>
            <w:r w:rsidRPr="00A07F29">
              <w:rPr>
                <w:rFonts w:ascii="Times New Roman" w:eastAsia="Calibri" w:hAnsi="Times New Roman" w:cs="Times New Roman"/>
                <w:sz w:val="20"/>
                <w:szCs w:val="20"/>
              </w:rPr>
              <w:t>–300</w:t>
            </w:r>
            <w:r w:rsidR="00554DAF">
              <w:rPr>
                <w:rFonts w:ascii="Times New Roman" w:eastAsia="Calibri" w:hAnsi="Times New Roman" w:cs="Times New Roman"/>
                <w:sz w:val="20"/>
                <w:szCs w:val="20"/>
              </w:rPr>
              <w:t> </w:t>
            </w:r>
            <w:r w:rsidRPr="00A07F29">
              <w:rPr>
                <w:rFonts w:ascii="Times New Roman" w:eastAsia="Calibri" w:hAnsi="Times New Roman" w:cs="Times New Roman"/>
                <w:sz w:val="20"/>
                <w:szCs w:val="20"/>
              </w:rPr>
              <w:t>000</w:t>
            </w:r>
            <w:r w:rsidR="00554DAF">
              <w:rPr>
                <w:rFonts w:ascii="Times New Roman" w:eastAsia="Calibri" w:hAnsi="Times New Roman" w:cs="Times New Roman"/>
                <w:sz w:val="20"/>
                <w:szCs w:val="20"/>
              </w:rPr>
              <w:t> </w:t>
            </w:r>
            <w:r w:rsidRPr="00A07F29">
              <w:rPr>
                <w:rFonts w:ascii="Times New Roman" w:eastAsia="Calibri" w:hAnsi="Times New Roman" w:cs="Times New Roman"/>
                <w:sz w:val="20"/>
                <w:szCs w:val="20"/>
              </w:rPr>
              <w:t>EUR ainavas vietu veidošanai, uzturēšanai.</w:t>
            </w:r>
          </w:p>
        </w:tc>
        <w:tc>
          <w:tcPr>
            <w:tcW w:w="1984" w:type="dxa"/>
            <w:shd w:val="clear" w:color="auto" w:fill="FFFFFF" w:themeFill="background1"/>
          </w:tcPr>
          <w:p w14:paraId="70E2FFA8" w14:textId="16AB9C1C" w:rsidR="007A479F" w:rsidRPr="00A07F29" w:rsidRDefault="007A479F"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Zemes īpašnieku līdzekļi, projektu finansējums</w:t>
            </w:r>
          </w:p>
        </w:tc>
        <w:tc>
          <w:tcPr>
            <w:tcW w:w="3686" w:type="dxa"/>
            <w:shd w:val="clear" w:color="auto" w:fill="FFFFFF" w:themeFill="background1"/>
          </w:tcPr>
          <w:p w14:paraId="0DE4AEF5" w14:textId="5F94F760" w:rsidR="007A479F" w:rsidRPr="00A07F29" w:rsidRDefault="007A479F" w:rsidP="007A479F">
            <w:pPr>
              <w:spacing w:after="0" w:line="240" w:lineRule="auto"/>
              <w:ind w:left="34"/>
              <w:rPr>
                <w:rFonts w:ascii="Times New Roman" w:eastAsia="Calibri" w:hAnsi="Times New Roman" w:cs="Times New Roman"/>
                <w:bCs/>
                <w:sz w:val="20"/>
                <w:szCs w:val="20"/>
              </w:rPr>
            </w:pPr>
            <w:r w:rsidRPr="00A07F29">
              <w:rPr>
                <w:rFonts w:ascii="Times New Roman" w:eastAsia="Calibri" w:hAnsi="Times New Roman" w:cs="Times New Roman"/>
                <w:sz w:val="20"/>
                <w:szCs w:val="20"/>
              </w:rPr>
              <w:t>Saglabātas ainavu skatu vietas</w:t>
            </w:r>
          </w:p>
        </w:tc>
      </w:tr>
      <w:tr w:rsidR="007A479F" w:rsidRPr="00A07F29" w14:paraId="061A9428" w14:textId="1918A401" w:rsidTr="4284A616">
        <w:trPr>
          <w:jc w:val="center"/>
        </w:trPr>
        <w:tc>
          <w:tcPr>
            <w:tcW w:w="846" w:type="dxa"/>
            <w:shd w:val="clear" w:color="auto" w:fill="FFFFFF" w:themeFill="background1"/>
          </w:tcPr>
          <w:p w14:paraId="0F438586" w14:textId="3F393A42"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bCs/>
                <w:sz w:val="20"/>
                <w:szCs w:val="20"/>
              </w:rPr>
              <w:t>E.1.</w:t>
            </w:r>
          </w:p>
        </w:tc>
        <w:tc>
          <w:tcPr>
            <w:tcW w:w="3402" w:type="dxa"/>
            <w:shd w:val="clear" w:color="auto" w:fill="FFFFFF" w:themeFill="background1"/>
          </w:tcPr>
          <w:p w14:paraId="2AF60013" w14:textId="6F52F56E" w:rsidR="007A479F" w:rsidRPr="00A07F29" w:rsidRDefault="007A479F" w:rsidP="007A479F">
            <w:pPr>
              <w:spacing w:after="0" w:line="240" w:lineRule="auto"/>
              <w:rPr>
                <w:rFonts w:ascii="Times New Roman" w:eastAsia="Calibri" w:hAnsi="Times New Roman" w:cs="Times New Roman"/>
                <w:sz w:val="20"/>
                <w:szCs w:val="20"/>
              </w:rPr>
            </w:pPr>
            <w:r w:rsidRPr="00A07F29">
              <w:rPr>
                <w:rFonts w:ascii="Times New Roman" w:eastAsia="Calibri" w:hAnsi="Times New Roman" w:cs="Times New Roman"/>
                <w:sz w:val="20"/>
                <w:szCs w:val="20"/>
              </w:rPr>
              <w:t>E.1.2.</w:t>
            </w:r>
            <w:r w:rsidR="00B66B07">
              <w:rPr>
                <w:rFonts w:ascii="Times New Roman" w:eastAsia="Calibri" w:hAnsi="Times New Roman" w:cs="Times New Roman"/>
                <w:sz w:val="20"/>
                <w:szCs w:val="20"/>
              </w:rPr>
              <w:t> </w:t>
            </w:r>
            <w:r w:rsidRPr="00A07F29">
              <w:rPr>
                <w:rFonts w:ascii="Times New Roman" w:eastAsia="Calibri" w:hAnsi="Times New Roman" w:cs="Times New Roman"/>
                <w:sz w:val="20"/>
                <w:szCs w:val="20"/>
              </w:rPr>
              <w:t xml:space="preserve">Ainavu un vidi degradējošu objektu, </w:t>
            </w:r>
            <w:r w:rsidR="00C25036" w:rsidRPr="00C25036">
              <w:rPr>
                <w:rFonts w:ascii="Times New Roman" w:eastAsia="Calibri" w:hAnsi="Times New Roman" w:cs="Times New Roman"/>
                <w:sz w:val="20"/>
                <w:szCs w:val="20"/>
              </w:rPr>
              <w:t>t.sk.</w:t>
            </w:r>
            <w:r w:rsidRPr="00A07F29">
              <w:rPr>
                <w:rFonts w:ascii="Times New Roman" w:eastAsia="Calibri" w:hAnsi="Times New Roman" w:cs="Times New Roman"/>
                <w:sz w:val="20"/>
                <w:szCs w:val="20"/>
              </w:rPr>
              <w:t xml:space="preserve"> karjeru, rekultivācija</w:t>
            </w:r>
          </w:p>
        </w:tc>
        <w:tc>
          <w:tcPr>
            <w:tcW w:w="1701" w:type="dxa"/>
            <w:shd w:val="clear" w:color="auto" w:fill="FFFFFF" w:themeFill="background1"/>
          </w:tcPr>
          <w:p w14:paraId="79C4221C" w14:textId="77777777"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II,</w:t>
            </w:r>
          </w:p>
          <w:p w14:paraId="19C2FEFD" w14:textId="5AFFA8DE"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bCs/>
                <w:sz w:val="20"/>
                <w:szCs w:val="20"/>
              </w:rPr>
              <w:t>vienreizējs pasākums</w:t>
            </w:r>
          </w:p>
        </w:tc>
        <w:tc>
          <w:tcPr>
            <w:tcW w:w="1984" w:type="dxa"/>
            <w:shd w:val="clear" w:color="auto" w:fill="FFFFFF" w:themeFill="background1"/>
          </w:tcPr>
          <w:p w14:paraId="3F2CF1C5" w14:textId="1A304548" w:rsidR="007A479F" w:rsidRPr="00A07F29" w:rsidRDefault="007A479F"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Objektu īpašnieki</w:t>
            </w:r>
          </w:p>
        </w:tc>
        <w:tc>
          <w:tcPr>
            <w:tcW w:w="1560" w:type="dxa"/>
            <w:shd w:val="clear" w:color="auto" w:fill="FFFFFF" w:themeFill="background1"/>
          </w:tcPr>
          <w:p w14:paraId="4362DC5D" w14:textId="2E2E89B6" w:rsidR="007A479F" w:rsidRPr="00A07F29" w:rsidRDefault="004C1E66"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Nav nosakāms</w:t>
            </w:r>
          </w:p>
        </w:tc>
        <w:tc>
          <w:tcPr>
            <w:tcW w:w="1984" w:type="dxa"/>
            <w:shd w:val="clear" w:color="auto" w:fill="FFFFFF" w:themeFill="background1"/>
          </w:tcPr>
          <w:p w14:paraId="18C3E624" w14:textId="33E228DF" w:rsidR="007A479F" w:rsidRPr="00A07F29" w:rsidRDefault="007A479F"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Objektu īpašnieku līdzekļi, projektu finansējums.</w:t>
            </w:r>
          </w:p>
        </w:tc>
        <w:tc>
          <w:tcPr>
            <w:tcW w:w="3686" w:type="dxa"/>
            <w:shd w:val="clear" w:color="auto" w:fill="FFFFFF" w:themeFill="background1"/>
          </w:tcPr>
          <w:p w14:paraId="61587A47" w14:textId="4F76B9D4" w:rsidR="007A479F" w:rsidRPr="00A07F29" w:rsidRDefault="007A479F" w:rsidP="007A479F">
            <w:pPr>
              <w:spacing w:after="0" w:line="240" w:lineRule="auto"/>
              <w:ind w:left="34"/>
              <w:rPr>
                <w:rFonts w:ascii="Times New Roman" w:eastAsia="Calibri" w:hAnsi="Times New Roman" w:cs="Times New Roman"/>
                <w:bCs/>
                <w:sz w:val="20"/>
                <w:szCs w:val="20"/>
              </w:rPr>
            </w:pPr>
            <w:r w:rsidRPr="00A07F29">
              <w:rPr>
                <w:rFonts w:ascii="Times New Roman" w:eastAsia="Calibri" w:hAnsi="Times New Roman" w:cs="Times New Roman"/>
                <w:sz w:val="20"/>
                <w:szCs w:val="20"/>
              </w:rPr>
              <w:t xml:space="preserve">Objekti </w:t>
            </w:r>
            <w:proofErr w:type="spellStart"/>
            <w:r w:rsidRPr="00A07F29">
              <w:rPr>
                <w:rFonts w:ascii="Times New Roman" w:eastAsia="Calibri" w:hAnsi="Times New Roman" w:cs="Times New Roman"/>
                <w:sz w:val="20"/>
                <w:szCs w:val="20"/>
              </w:rPr>
              <w:t>rekultivēti</w:t>
            </w:r>
            <w:proofErr w:type="spellEnd"/>
          </w:p>
        </w:tc>
      </w:tr>
      <w:tr w:rsidR="007A479F" w:rsidRPr="00A07F29" w14:paraId="1701274B" w14:textId="1A57CD50" w:rsidTr="4284A616">
        <w:trPr>
          <w:jc w:val="center"/>
        </w:trPr>
        <w:tc>
          <w:tcPr>
            <w:tcW w:w="846" w:type="dxa"/>
            <w:shd w:val="clear" w:color="auto" w:fill="FFFFFF" w:themeFill="background1"/>
          </w:tcPr>
          <w:p w14:paraId="63616AE4" w14:textId="117CDDE8"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bCs/>
                <w:sz w:val="20"/>
                <w:szCs w:val="20"/>
              </w:rPr>
              <w:t>E.1.</w:t>
            </w:r>
          </w:p>
        </w:tc>
        <w:tc>
          <w:tcPr>
            <w:tcW w:w="3402" w:type="dxa"/>
            <w:shd w:val="clear" w:color="auto" w:fill="FFFFFF" w:themeFill="background1"/>
          </w:tcPr>
          <w:p w14:paraId="3360B0C9" w14:textId="716C08C9" w:rsidR="007A479F" w:rsidRPr="00A07F29" w:rsidRDefault="007A479F" w:rsidP="007A479F">
            <w:pPr>
              <w:spacing w:after="0" w:line="240" w:lineRule="auto"/>
              <w:rPr>
                <w:rFonts w:ascii="Times New Roman" w:eastAsia="Calibri" w:hAnsi="Times New Roman" w:cs="Times New Roman"/>
                <w:sz w:val="20"/>
                <w:szCs w:val="20"/>
              </w:rPr>
            </w:pPr>
            <w:r w:rsidRPr="00A07F29">
              <w:rPr>
                <w:rFonts w:ascii="Times New Roman" w:eastAsia="Calibri" w:hAnsi="Times New Roman" w:cs="Times New Roman"/>
                <w:sz w:val="20"/>
                <w:szCs w:val="20"/>
              </w:rPr>
              <w:t>E.1.3.</w:t>
            </w:r>
            <w:r w:rsidR="00CA5BB5">
              <w:rPr>
                <w:rFonts w:ascii="Times New Roman" w:eastAsia="Calibri" w:hAnsi="Times New Roman" w:cs="Times New Roman"/>
                <w:sz w:val="20"/>
                <w:szCs w:val="20"/>
              </w:rPr>
              <w:t> </w:t>
            </w:r>
            <w:r w:rsidRPr="00A07F29">
              <w:rPr>
                <w:rFonts w:ascii="Times New Roman" w:eastAsia="Calibri" w:hAnsi="Times New Roman" w:cs="Times New Roman"/>
                <w:sz w:val="20"/>
                <w:szCs w:val="20"/>
              </w:rPr>
              <w:t>Ainavisko ceļu un ceļa posmu uzturēšana</w:t>
            </w:r>
          </w:p>
        </w:tc>
        <w:tc>
          <w:tcPr>
            <w:tcW w:w="1701" w:type="dxa"/>
            <w:shd w:val="clear" w:color="auto" w:fill="FFFFFF" w:themeFill="background1"/>
          </w:tcPr>
          <w:p w14:paraId="61278821" w14:textId="77777777"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II,</w:t>
            </w:r>
          </w:p>
          <w:p w14:paraId="634BD367" w14:textId="64E51BE7" w:rsidR="007A479F" w:rsidRPr="00A07F29" w:rsidRDefault="007A479F" w:rsidP="007A479F">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bCs/>
                <w:sz w:val="20"/>
                <w:szCs w:val="20"/>
              </w:rPr>
              <w:t>visu plāna periodu</w:t>
            </w:r>
          </w:p>
        </w:tc>
        <w:tc>
          <w:tcPr>
            <w:tcW w:w="1984" w:type="dxa"/>
            <w:shd w:val="clear" w:color="auto" w:fill="FFFFFF" w:themeFill="background1"/>
          </w:tcPr>
          <w:p w14:paraId="58EB594F" w14:textId="48DEAD34" w:rsidR="007A479F" w:rsidRPr="00A07F29" w:rsidRDefault="007A479F"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 xml:space="preserve">Pašvaldība, valsts ceļu </w:t>
            </w:r>
            <w:proofErr w:type="spellStart"/>
            <w:r w:rsidRPr="00A07F29">
              <w:rPr>
                <w:rFonts w:ascii="Times New Roman" w:eastAsia="Calibri" w:hAnsi="Times New Roman" w:cs="Times New Roman"/>
                <w:sz w:val="20"/>
                <w:szCs w:val="20"/>
              </w:rPr>
              <w:t>apsaimniekotājs</w:t>
            </w:r>
            <w:proofErr w:type="spellEnd"/>
          </w:p>
        </w:tc>
        <w:tc>
          <w:tcPr>
            <w:tcW w:w="1560" w:type="dxa"/>
            <w:shd w:val="clear" w:color="auto" w:fill="FFFFFF" w:themeFill="background1"/>
          </w:tcPr>
          <w:p w14:paraId="78307C3D" w14:textId="5899EC19" w:rsidR="007A479F" w:rsidRPr="00A07F29" w:rsidRDefault="004C1E66"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Nav nosakāms</w:t>
            </w:r>
          </w:p>
        </w:tc>
        <w:tc>
          <w:tcPr>
            <w:tcW w:w="1984" w:type="dxa"/>
            <w:shd w:val="clear" w:color="auto" w:fill="FFFFFF" w:themeFill="background1"/>
          </w:tcPr>
          <w:p w14:paraId="4D808025" w14:textId="2C166A1F" w:rsidR="007A479F" w:rsidRPr="00A07F29" w:rsidRDefault="007A479F" w:rsidP="007A479F">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 xml:space="preserve">Ceļu </w:t>
            </w:r>
            <w:proofErr w:type="spellStart"/>
            <w:r w:rsidRPr="00A07F29">
              <w:rPr>
                <w:rFonts w:ascii="Times New Roman" w:eastAsia="Calibri" w:hAnsi="Times New Roman" w:cs="Times New Roman"/>
                <w:sz w:val="20"/>
                <w:szCs w:val="20"/>
              </w:rPr>
              <w:t>apsaimniekotāja</w:t>
            </w:r>
            <w:proofErr w:type="spellEnd"/>
            <w:r w:rsidRPr="00A07F29">
              <w:rPr>
                <w:rFonts w:ascii="Times New Roman" w:eastAsia="Calibri" w:hAnsi="Times New Roman" w:cs="Times New Roman"/>
                <w:sz w:val="20"/>
                <w:szCs w:val="20"/>
              </w:rPr>
              <w:t xml:space="preserve"> līdzekļi, projektu finansējums.</w:t>
            </w:r>
          </w:p>
        </w:tc>
        <w:tc>
          <w:tcPr>
            <w:tcW w:w="3686" w:type="dxa"/>
            <w:shd w:val="clear" w:color="auto" w:fill="FFFFFF" w:themeFill="background1"/>
          </w:tcPr>
          <w:p w14:paraId="356C2F89" w14:textId="2E60AAAD" w:rsidR="007A479F" w:rsidRPr="00A07F29" w:rsidRDefault="007A479F" w:rsidP="007A479F">
            <w:pPr>
              <w:spacing w:after="0" w:line="240" w:lineRule="auto"/>
              <w:ind w:left="34"/>
              <w:rPr>
                <w:rFonts w:ascii="Times New Roman" w:eastAsia="Calibri" w:hAnsi="Times New Roman" w:cs="Times New Roman"/>
                <w:bCs/>
                <w:sz w:val="20"/>
                <w:szCs w:val="20"/>
              </w:rPr>
            </w:pPr>
            <w:r w:rsidRPr="00A07F29">
              <w:rPr>
                <w:rFonts w:ascii="Times New Roman" w:eastAsia="Calibri" w:hAnsi="Times New Roman" w:cs="Times New Roman"/>
                <w:sz w:val="20"/>
                <w:szCs w:val="20"/>
              </w:rPr>
              <w:t>Saglabāti ainaviski skati no ceļiem</w:t>
            </w:r>
          </w:p>
        </w:tc>
      </w:tr>
      <w:tr w:rsidR="004C1E66" w:rsidRPr="00A07F29" w14:paraId="4895D2DE" w14:textId="5BB6732A" w:rsidTr="4284A616">
        <w:trPr>
          <w:jc w:val="center"/>
        </w:trPr>
        <w:tc>
          <w:tcPr>
            <w:tcW w:w="846" w:type="dxa"/>
            <w:shd w:val="clear" w:color="auto" w:fill="FFFFFF" w:themeFill="background1"/>
          </w:tcPr>
          <w:p w14:paraId="66E53073" w14:textId="20F361CC" w:rsidR="004C1E66" w:rsidRPr="00A07F29" w:rsidRDefault="004C1E66" w:rsidP="004C1E66">
            <w:pPr>
              <w:spacing w:after="0" w:line="240" w:lineRule="auto"/>
              <w:jc w:val="center"/>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E.2.</w:t>
            </w:r>
          </w:p>
        </w:tc>
        <w:tc>
          <w:tcPr>
            <w:tcW w:w="3402" w:type="dxa"/>
            <w:shd w:val="clear" w:color="auto" w:fill="FFFFFF" w:themeFill="background1"/>
          </w:tcPr>
          <w:p w14:paraId="36CC7B3C" w14:textId="2BDEFC6D" w:rsidR="004C1E66" w:rsidRPr="00A07F29" w:rsidRDefault="004C1E66" w:rsidP="004C1E66">
            <w:pPr>
              <w:spacing w:after="0" w:line="240" w:lineRule="auto"/>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E.2.1.</w:t>
            </w:r>
            <w:r w:rsidR="00445D16">
              <w:rPr>
                <w:rFonts w:ascii="Times New Roman" w:eastAsia="Calibri" w:hAnsi="Times New Roman" w:cs="Times New Roman"/>
                <w:bCs/>
                <w:sz w:val="20"/>
                <w:szCs w:val="20"/>
              </w:rPr>
              <w:t> </w:t>
            </w:r>
            <w:proofErr w:type="spellStart"/>
            <w:r w:rsidRPr="00A07F29">
              <w:rPr>
                <w:rFonts w:ascii="Times New Roman" w:eastAsia="Calibri" w:hAnsi="Times New Roman" w:cs="Times New Roman"/>
                <w:bCs/>
                <w:sz w:val="20"/>
                <w:szCs w:val="20"/>
              </w:rPr>
              <w:t>Vecbornes</w:t>
            </w:r>
            <w:proofErr w:type="spellEnd"/>
            <w:r w:rsidRPr="00A07F29">
              <w:rPr>
                <w:rFonts w:ascii="Times New Roman" w:eastAsia="Calibri" w:hAnsi="Times New Roman" w:cs="Times New Roman"/>
                <w:bCs/>
                <w:sz w:val="20"/>
                <w:szCs w:val="20"/>
              </w:rPr>
              <w:t xml:space="preserve"> muižas atjaunošana</w:t>
            </w:r>
          </w:p>
        </w:tc>
        <w:tc>
          <w:tcPr>
            <w:tcW w:w="1701" w:type="dxa"/>
            <w:shd w:val="clear" w:color="auto" w:fill="FFFFFF" w:themeFill="background1"/>
          </w:tcPr>
          <w:p w14:paraId="46ED252C" w14:textId="77777777" w:rsidR="004C1E66" w:rsidRPr="00A07F29" w:rsidRDefault="004C1E66" w:rsidP="004C1E66">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III,</w:t>
            </w:r>
          </w:p>
          <w:p w14:paraId="71237ADA" w14:textId="4439668A" w:rsidR="004C1E66" w:rsidRPr="00A07F29" w:rsidRDefault="004C1E66" w:rsidP="004C1E66">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bCs/>
                <w:sz w:val="20"/>
                <w:szCs w:val="20"/>
              </w:rPr>
              <w:t>visu plāna periodu</w:t>
            </w:r>
          </w:p>
        </w:tc>
        <w:tc>
          <w:tcPr>
            <w:tcW w:w="1984" w:type="dxa"/>
            <w:shd w:val="clear" w:color="auto" w:fill="FFFFFF" w:themeFill="background1"/>
          </w:tcPr>
          <w:p w14:paraId="3C6897F8" w14:textId="2E1DE118" w:rsidR="004C1E66" w:rsidRPr="00A07F29" w:rsidRDefault="004C1E66" w:rsidP="004C1E66">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Objekta īpašnieks</w:t>
            </w:r>
          </w:p>
        </w:tc>
        <w:tc>
          <w:tcPr>
            <w:tcW w:w="1560" w:type="dxa"/>
            <w:shd w:val="clear" w:color="auto" w:fill="FFFFFF" w:themeFill="background1"/>
          </w:tcPr>
          <w:p w14:paraId="04072ED0" w14:textId="2486AA6E" w:rsidR="004C1E66" w:rsidRPr="00A07F29" w:rsidRDefault="004C1E66" w:rsidP="004C1E66">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Nav nosakāms</w:t>
            </w:r>
          </w:p>
        </w:tc>
        <w:tc>
          <w:tcPr>
            <w:tcW w:w="1984" w:type="dxa"/>
            <w:shd w:val="clear" w:color="auto" w:fill="FFFFFF" w:themeFill="background1"/>
          </w:tcPr>
          <w:p w14:paraId="2BBFA832" w14:textId="7C53EFDF" w:rsidR="004C1E66" w:rsidRPr="00A07F29" w:rsidRDefault="004C1E66" w:rsidP="004C1E66">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Objekta īpašnieka līdzekļi, projektu finansējums</w:t>
            </w:r>
          </w:p>
        </w:tc>
        <w:tc>
          <w:tcPr>
            <w:tcW w:w="3686" w:type="dxa"/>
            <w:shd w:val="clear" w:color="auto" w:fill="FFFFFF" w:themeFill="background1"/>
          </w:tcPr>
          <w:p w14:paraId="016D02CE" w14:textId="72B8847D" w:rsidR="004C1E66" w:rsidRPr="00A07F29" w:rsidRDefault="004C1E66" w:rsidP="004C1E66">
            <w:pPr>
              <w:spacing w:after="0" w:line="240" w:lineRule="auto"/>
              <w:ind w:left="34"/>
              <w:rPr>
                <w:rFonts w:ascii="Times New Roman" w:eastAsia="Calibri" w:hAnsi="Times New Roman" w:cs="Times New Roman"/>
                <w:bCs/>
                <w:sz w:val="20"/>
                <w:szCs w:val="20"/>
              </w:rPr>
            </w:pPr>
            <w:r w:rsidRPr="00A07F29">
              <w:rPr>
                <w:rFonts w:ascii="Times New Roman" w:eastAsia="Calibri" w:hAnsi="Times New Roman" w:cs="Times New Roman"/>
                <w:sz w:val="20"/>
                <w:szCs w:val="20"/>
              </w:rPr>
              <w:t>Muiža atjaunota kā tūrisma objekts.</w:t>
            </w:r>
          </w:p>
        </w:tc>
      </w:tr>
      <w:tr w:rsidR="004C1E66" w:rsidRPr="00A07F29" w14:paraId="558A1D1B" w14:textId="4E114591" w:rsidTr="4284A616">
        <w:trPr>
          <w:jc w:val="center"/>
        </w:trPr>
        <w:tc>
          <w:tcPr>
            <w:tcW w:w="846" w:type="dxa"/>
            <w:shd w:val="clear" w:color="auto" w:fill="FFFFFF" w:themeFill="background1"/>
          </w:tcPr>
          <w:p w14:paraId="3AE06C94" w14:textId="33FB90F9" w:rsidR="004C1E66" w:rsidRPr="00A07F29" w:rsidRDefault="004C1E66" w:rsidP="004C1E66">
            <w:pPr>
              <w:spacing w:after="0" w:line="240" w:lineRule="auto"/>
              <w:jc w:val="center"/>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E.2.</w:t>
            </w:r>
          </w:p>
        </w:tc>
        <w:tc>
          <w:tcPr>
            <w:tcW w:w="3402" w:type="dxa"/>
            <w:shd w:val="clear" w:color="auto" w:fill="FFFFFF" w:themeFill="background1"/>
          </w:tcPr>
          <w:p w14:paraId="36C75DC6" w14:textId="507313EA" w:rsidR="004C1E66" w:rsidRPr="00A07F29" w:rsidRDefault="004C1E66" w:rsidP="004C1E66">
            <w:pPr>
              <w:spacing w:after="0" w:line="240" w:lineRule="auto"/>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E.2.2.</w:t>
            </w:r>
            <w:r w:rsidR="00AF47B5">
              <w:rPr>
                <w:rFonts w:ascii="Times New Roman" w:eastAsia="Calibri" w:hAnsi="Times New Roman" w:cs="Times New Roman"/>
                <w:bCs/>
                <w:sz w:val="20"/>
                <w:szCs w:val="20"/>
              </w:rPr>
              <w:t> </w:t>
            </w:r>
            <w:proofErr w:type="spellStart"/>
            <w:r w:rsidRPr="00A07F29">
              <w:rPr>
                <w:rFonts w:ascii="Times New Roman" w:eastAsia="Calibri" w:hAnsi="Times New Roman" w:cs="Times New Roman"/>
                <w:bCs/>
                <w:sz w:val="20"/>
                <w:szCs w:val="20"/>
              </w:rPr>
              <w:t>Kultūrvēsturisturisko</w:t>
            </w:r>
            <w:proofErr w:type="spellEnd"/>
            <w:r w:rsidRPr="00A07F29">
              <w:rPr>
                <w:rFonts w:ascii="Times New Roman" w:eastAsia="Calibri" w:hAnsi="Times New Roman" w:cs="Times New Roman"/>
                <w:bCs/>
                <w:sz w:val="20"/>
                <w:szCs w:val="20"/>
              </w:rPr>
              <w:t xml:space="preserve"> ēku un kultūrainavas atjaunošana un uzturēšana</w:t>
            </w:r>
          </w:p>
        </w:tc>
        <w:tc>
          <w:tcPr>
            <w:tcW w:w="1701" w:type="dxa"/>
            <w:shd w:val="clear" w:color="auto" w:fill="FFFFFF" w:themeFill="background1"/>
          </w:tcPr>
          <w:p w14:paraId="5A190F0E" w14:textId="77777777" w:rsidR="004C1E66" w:rsidRPr="00A07F29" w:rsidRDefault="004C1E66" w:rsidP="004C1E66">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II,</w:t>
            </w:r>
          </w:p>
          <w:p w14:paraId="5D77B9A7" w14:textId="7C088048" w:rsidR="004C1E66" w:rsidRPr="00A07F29" w:rsidRDefault="004C1E66" w:rsidP="004C1E66">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bCs/>
                <w:sz w:val="20"/>
                <w:szCs w:val="20"/>
              </w:rPr>
              <w:t>visu plāna periodu</w:t>
            </w:r>
          </w:p>
        </w:tc>
        <w:tc>
          <w:tcPr>
            <w:tcW w:w="1984" w:type="dxa"/>
            <w:shd w:val="clear" w:color="auto" w:fill="FFFFFF" w:themeFill="background1"/>
          </w:tcPr>
          <w:p w14:paraId="33DAF15D" w14:textId="43E43239" w:rsidR="004C1E66" w:rsidRPr="00A07F29" w:rsidRDefault="004C1E66" w:rsidP="004C1E66">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Objektu īpašnieki</w:t>
            </w:r>
          </w:p>
        </w:tc>
        <w:tc>
          <w:tcPr>
            <w:tcW w:w="1560" w:type="dxa"/>
            <w:shd w:val="clear" w:color="auto" w:fill="FFFFFF" w:themeFill="background1"/>
          </w:tcPr>
          <w:p w14:paraId="434A4DFB" w14:textId="69CFCB1A" w:rsidR="004C1E66" w:rsidRPr="00A07F29" w:rsidRDefault="004C1E66" w:rsidP="004C1E66">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Nav nosakāms</w:t>
            </w:r>
          </w:p>
        </w:tc>
        <w:tc>
          <w:tcPr>
            <w:tcW w:w="1984" w:type="dxa"/>
            <w:shd w:val="clear" w:color="auto" w:fill="FFFFFF" w:themeFill="background1"/>
          </w:tcPr>
          <w:p w14:paraId="25E464F8" w14:textId="648C4AA1" w:rsidR="004C1E66" w:rsidRPr="00A07F29" w:rsidRDefault="004C1E66" w:rsidP="004C1E66">
            <w:pPr>
              <w:spacing w:after="0" w:line="240" w:lineRule="auto"/>
              <w:ind w:left="34"/>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Objektu īpašnieku līdzekļi, projektu finansējums</w:t>
            </w:r>
          </w:p>
        </w:tc>
        <w:tc>
          <w:tcPr>
            <w:tcW w:w="3686" w:type="dxa"/>
            <w:shd w:val="clear" w:color="auto" w:fill="FFFFFF" w:themeFill="background1"/>
          </w:tcPr>
          <w:p w14:paraId="07A6B661" w14:textId="72A45882" w:rsidR="004C1E66" w:rsidRPr="00A07F29" w:rsidRDefault="004C1E66" w:rsidP="004C1E66">
            <w:pPr>
              <w:spacing w:after="0" w:line="240" w:lineRule="auto"/>
              <w:ind w:left="34"/>
              <w:rPr>
                <w:rFonts w:ascii="Times New Roman" w:eastAsia="Calibri" w:hAnsi="Times New Roman" w:cs="Times New Roman"/>
                <w:bCs/>
                <w:sz w:val="20"/>
                <w:szCs w:val="20"/>
              </w:rPr>
            </w:pPr>
            <w:r w:rsidRPr="00A07F29">
              <w:rPr>
                <w:rFonts w:ascii="Times New Roman" w:eastAsia="Calibri" w:hAnsi="Times New Roman" w:cs="Times New Roman"/>
                <w:sz w:val="20"/>
                <w:szCs w:val="20"/>
              </w:rPr>
              <w:t>Objekti uzturēti un/vai rekonstruēti</w:t>
            </w:r>
          </w:p>
        </w:tc>
      </w:tr>
      <w:tr w:rsidR="004C1E66" w:rsidRPr="00A07F29" w14:paraId="370A9CB8" w14:textId="77777777" w:rsidTr="4284A616">
        <w:trPr>
          <w:jc w:val="center"/>
        </w:trPr>
        <w:tc>
          <w:tcPr>
            <w:tcW w:w="846" w:type="dxa"/>
            <w:shd w:val="clear" w:color="auto" w:fill="FFFFFF" w:themeFill="background1"/>
          </w:tcPr>
          <w:p w14:paraId="72D2D92D" w14:textId="106D44F8" w:rsidR="004C1E66" w:rsidRPr="00A07F29" w:rsidRDefault="004C1E66" w:rsidP="004C1E66">
            <w:pPr>
              <w:spacing w:after="0" w:line="240" w:lineRule="auto"/>
              <w:jc w:val="center"/>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F.1.</w:t>
            </w:r>
          </w:p>
        </w:tc>
        <w:tc>
          <w:tcPr>
            <w:tcW w:w="3402" w:type="dxa"/>
            <w:shd w:val="clear" w:color="auto" w:fill="FFFFFF" w:themeFill="background1"/>
          </w:tcPr>
          <w:p w14:paraId="1DE281F2" w14:textId="64D70E0F" w:rsidR="004C1E66" w:rsidRPr="00A07F29" w:rsidRDefault="004C1E66" w:rsidP="004C1E66">
            <w:pPr>
              <w:spacing w:after="0" w:line="240" w:lineRule="auto"/>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F.1.1.</w:t>
            </w:r>
            <w:r w:rsidR="00D93DC3">
              <w:rPr>
                <w:rFonts w:ascii="Times New Roman" w:eastAsia="Calibri" w:hAnsi="Times New Roman" w:cs="Times New Roman"/>
                <w:bCs/>
                <w:sz w:val="20"/>
                <w:szCs w:val="20"/>
              </w:rPr>
              <w:t> </w:t>
            </w:r>
            <w:r w:rsidRPr="00A07F29">
              <w:rPr>
                <w:rFonts w:ascii="Times New Roman" w:eastAsia="Calibri" w:hAnsi="Times New Roman" w:cs="Times New Roman"/>
                <w:bCs/>
                <w:sz w:val="20"/>
                <w:szCs w:val="20"/>
              </w:rPr>
              <w:t>Virszemes ūdeņu kvalitātes monitorings</w:t>
            </w:r>
          </w:p>
        </w:tc>
        <w:tc>
          <w:tcPr>
            <w:tcW w:w="1701" w:type="dxa"/>
            <w:shd w:val="clear" w:color="auto" w:fill="FFFFFF" w:themeFill="background1"/>
          </w:tcPr>
          <w:p w14:paraId="7AB16B6C" w14:textId="551E3892" w:rsidR="004C1E66" w:rsidRPr="00A07F29" w:rsidRDefault="004C1E66" w:rsidP="004C1E66">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I,</w:t>
            </w:r>
          </w:p>
          <w:p w14:paraId="159FD84A" w14:textId="373604C3" w:rsidR="004C1E66" w:rsidRPr="00A07F29" w:rsidRDefault="004C1E66" w:rsidP="004C1E66">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bCs/>
                <w:sz w:val="20"/>
                <w:szCs w:val="20"/>
              </w:rPr>
              <w:t>visu plāna periodu</w:t>
            </w:r>
          </w:p>
        </w:tc>
        <w:tc>
          <w:tcPr>
            <w:tcW w:w="1984" w:type="dxa"/>
            <w:shd w:val="clear" w:color="auto" w:fill="FFFFFF" w:themeFill="background1"/>
          </w:tcPr>
          <w:p w14:paraId="30394B47" w14:textId="47750C8C" w:rsidR="004C1E66" w:rsidRPr="00A07F29" w:rsidRDefault="004C1E66" w:rsidP="004C1E66">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LVĢMC, zinātniskās institūcijas, NVO</w:t>
            </w:r>
          </w:p>
        </w:tc>
        <w:tc>
          <w:tcPr>
            <w:tcW w:w="1560" w:type="dxa"/>
            <w:shd w:val="clear" w:color="auto" w:fill="FFFFFF" w:themeFill="background1"/>
          </w:tcPr>
          <w:p w14:paraId="2109A5B5" w14:textId="315F4017" w:rsidR="004C1E66" w:rsidRPr="00A07F29" w:rsidRDefault="004C1E66" w:rsidP="004C1E66">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Piešķirtā valsts budžeta ietvaros</w:t>
            </w:r>
          </w:p>
        </w:tc>
        <w:tc>
          <w:tcPr>
            <w:tcW w:w="1984" w:type="dxa"/>
            <w:shd w:val="clear" w:color="auto" w:fill="FFFFFF" w:themeFill="background1"/>
          </w:tcPr>
          <w:p w14:paraId="0A26CC1A" w14:textId="66A5EDDB" w:rsidR="004C1E66" w:rsidRPr="00A07F29" w:rsidRDefault="004C1E66" w:rsidP="004C1E66">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LVĢMC budžets, projektu finansējums.</w:t>
            </w:r>
          </w:p>
        </w:tc>
        <w:tc>
          <w:tcPr>
            <w:tcW w:w="3686" w:type="dxa"/>
            <w:shd w:val="clear" w:color="auto" w:fill="FFFFFF" w:themeFill="background1"/>
          </w:tcPr>
          <w:p w14:paraId="0D70AF88" w14:textId="56FDA419" w:rsidR="004C1E66" w:rsidRPr="00A07F29" w:rsidRDefault="004C1E66" w:rsidP="004C1E66">
            <w:pPr>
              <w:spacing w:after="0" w:line="240" w:lineRule="auto"/>
              <w:rPr>
                <w:rFonts w:ascii="Times New Roman" w:eastAsia="Calibri" w:hAnsi="Times New Roman" w:cs="Times New Roman"/>
                <w:sz w:val="20"/>
                <w:szCs w:val="20"/>
              </w:rPr>
            </w:pPr>
            <w:r w:rsidRPr="00A07F29">
              <w:rPr>
                <w:rFonts w:ascii="Times New Roman" w:eastAsia="Calibri" w:hAnsi="Times New Roman" w:cs="Times New Roman"/>
                <w:sz w:val="20"/>
                <w:szCs w:val="20"/>
              </w:rPr>
              <w:t>Iegūti dati par ūdens kvalitāti</w:t>
            </w:r>
            <w:r w:rsidR="00D93DC3">
              <w:rPr>
                <w:rFonts w:ascii="Times New Roman" w:eastAsia="Calibri" w:hAnsi="Times New Roman" w:cs="Times New Roman"/>
                <w:sz w:val="20"/>
                <w:szCs w:val="20"/>
              </w:rPr>
              <w:t>:</w:t>
            </w:r>
            <w:r w:rsidRPr="00A07F29">
              <w:rPr>
                <w:rFonts w:ascii="Times New Roman" w:eastAsia="Calibri" w:hAnsi="Times New Roman" w:cs="Times New Roman"/>
                <w:sz w:val="20"/>
                <w:szCs w:val="20"/>
              </w:rPr>
              <w:t xml:space="preserve"> Daugavā, </w:t>
            </w:r>
            <w:proofErr w:type="spellStart"/>
            <w:r w:rsidRPr="00A07F29">
              <w:rPr>
                <w:rFonts w:ascii="Times New Roman" w:eastAsia="Calibri" w:hAnsi="Times New Roman" w:cs="Times New Roman"/>
                <w:sz w:val="20"/>
                <w:szCs w:val="20"/>
              </w:rPr>
              <w:t>Rosicā</w:t>
            </w:r>
            <w:proofErr w:type="spellEnd"/>
            <w:r w:rsidRPr="00A07F29">
              <w:rPr>
                <w:rFonts w:ascii="Times New Roman" w:eastAsia="Calibri" w:hAnsi="Times New Roman" w:cs="Times New Roman"/>
                <w:sz w:val="20"/>
                <w:szCs w:val="20"/>
              </w:rPr>
              <w:t xml:space="preserve">, </w:t>
            </w:r>
            <w:proofErr w:type="spellStart"/>
            <w:r w:rsidRPr="00A07F29">
              <w:rPr>
                <w:rFonts w:ascii="Times New Roman" w:eastAsia="Calibri" w:hAnsi="Times New Roman" w:cs="Times New Roman"/>
                <w:sz w:val="20"/>
                <w:szCs w:val="20"/>
              </w:rPr>
              <w:t>Indricā</w:t>
            </w:r>
            <w:proofErr w:type="spellEnd"/>
            <w:r w:rsidRPr="00A07F29">
              <w:rPr>
                <w:rFonts w:ascii="Times New Roman" w:eastAsia="Calibri" w:hAnsi="Times New Roman" w:cs="Times New Roman"/>
                <w:sz w:val="20"/>
                <w:szCs w:val="20"/>
              </w:rPr>
              <w:t xml:space="preserve">, kā arī </w:t>
            </w:r>
            <w:proofErr w:type="spellStart"/>
            <w:r w:rsidRPr="00A07F29">
              <w:rPr>
                <w:rFonts w:ascii="Times New Roman" w:eastAsia="Calibri" w:hAnsi="Times New Roman" w:cs="Times New Roman"/>
                <w:sz w:val="20"/>
                <w:szCs w:val="20"/>
              </w:rPr>
              <w:t>Šilovkas</w:t>
            </w:r>
            <w:proofErr w:type="spellEnd"/>
            <w:r w:rsidRPr="00A07F29">
              <w:rPr>
                <w:rFonts w:ascii="Times New Roman" w:eastAsia="Calibri" w:hAnsi="Times New Roman" w:cs="Times New Roman"/>
                <w:sz w:val="20"/>
                <w:szCs w:val="20"/>
              </w:rPr>
              <w:t xml:space="preserve">, </w:t>
            </w:r>
            <w:proofErr w:type="spellStart"/>
            <w:r w:rsidRPr="00A07F29">
              <w:rPr>
                <w:rFonts w:ascii="Times New Roman" w:eastAsia="Calibri" w:hAnsi="Times New Roman" w:cs="Times New Roman"/>
                <w:sz w:val="20"/>
                <w:szCs w:val="20"/>
              </w:rPr>
              <w:t>Varnaviču</w:t>
            </w:r>
            <w:proofErr w:type="spellEnd"/>
            <w:r w:rsidRPr="00A07F29">
              <w:rPr>
                <w:rFonts w:ascii="Times New Roman" w:eastAsia="Calibri" w:hAnsi="Times New Roman" w:cs="Times New Roman"/>
                <w:sz w:val="20"/>
                <w:szCs w:val="20"/>
              </w:rPr>
              <w:t xml:space="preserve">, Dziļajā, </w:t>
            </w:r>
            <w:proofErr w:type="spellStart"/>
            <w:r w:rsidRPr="00A07F29">
              <w:rPr>
                <w:rFonts w:ascii="Times New Roman" w:eastAsia="Calibri" w:hAnsi="Times New Roman" w:cs="Times New Roman"/>
                <w:sz w:val="20"/>
                <w:szCs w:val="20"/>
              </w:rPr>
              <w:t>Krivoje</w:t>
            </w:r>
            <w:proofErr w:type="spellEnd"/>
            <w:r w:rsidRPr="00A07F29">
              <w:rPr>
                <w:rFonts w:ascii="Times New Roman" w:eastAsia="Calibri" w:hAnsi="Times New Roman" w:cs="Times New Roman"/>
                <w:sz w:val="20"/>
                <w:szCs w:val="20"/>
              </w:rPr>
              <w:t xml:space="preserve">, </w:t>
            </w:r>
            <w:proofErr w:type="spellStart"/>
            <w:r w:rsidRPr="00A07F29">
              <w:rPr>
                <w:rFonts w:ascii="Times New Roman" w:eastAsia="Calibri" w:hAnsi="Times New Roman" w:cs="Times New Roman"/>
                <w:sz w:val="20"/>
                <w:szCs w:val="20"/>
              </w:rPr>
              <w:t>Riņģa</w:t>
            </w:r>
            <w:proofErr w:type="spellEnd"/>
            <w:r w:rsidRPr="00A07F29">
              <w:rPr>
                <w:rFonts w:ascii="Times New Roman" w:eastAsia="Calibri" w:hAnsi="Times New Roman" w:cs="Times New Roman"/>
                <w:sz w:val="20"/>
                <w:szCs w:val="20"/>
              </w:rPr>
              <w:t xml:space="preserve">, </w:t>
            </w:r>
            <w:proofErr w:type="spellStart"/>
            <w:r w:rsidRPr="00A07F29">
              <w:rPr>
                <w:rFonts w:ascii="Times New Roman" w:eastAsia="Calibri" w:hAnsi="Times New Roman" w:cs="Times New Roman"/>
                <w:sz w:val="20"/>
                <w:szCs w:val="20"/>
              </w:rPr>
              <w:t>Balticas</w:t>
            </w:r>
            <w:proofErr w:type="spellEnd"/>
            <w:r w:rsidRPr="00A07F29">
              <w:rPr>
                <w:rFonts w:ascii="Times New Roman" w:eastAsia="Calibri" w:hAnsi="Times New Roman" w:cs="Times New Roman"/>
                <w:sz w:val="20"/>
                <w:szCs w:val="20"/>
              </w:rPr>
              <w:t>, Dauguļu</w:t>
            </w:r>
            <w:r w:rsidR="00AB3A64">
              <w:rPr>
                <w:rFonts w:ascii="Times New Roman" w:eastAsia="Calibri" w:hAnsi="Times New Roman" w:cs="Times New Roman"/>
                <w:sz w:val="20"/>
                <w:szCs w:val="20"/>
              </w:rPr>
              <w:t>,</w:t>
            </w:r>
            <w:r w:rsidRPr="00A07F29">
              <w:rPr>
                <w:rFonts w:ascii="Times New Roman" w:eastAsia="Calibri" w:hAnsi="Times New Roman" w:cs="Times New Roman"/>
                <w:sz w:val="20"/>
                <w:szCs w:val="20"/>
              </w:rPr>
              <w:t xml:space="preserve"> </w:t>
            </w:r>
            <w:proofErr w:type="spellStart"/>
            <w:r w:rsidRPr="00A07F29">
              <w:rPr>
                <w:rFonts w:ascii="Times New Roman" w:eastAsia="Calibri" w:hAnsi="Times New Roman" w:cs="Times New Roman"/>
                <w:sz w:val="20"/>
                <w:szCs w:val="20"/>
              </w:rPr>
              <w:t>Jabloņkas</w:t>
            </w:r>
            <w:proofErr w:type="spellEnd"/>
            <w:r w:rsidRPr="00A07F29">
              <w:rPr>
                <w:rFonts w:ascii="Times New Roman" w:eastAsia="Calibri" w:hAnsi="Times New Roman" w:cs="Times New Roman"/>
                <w:sz w:val="20"/>
                <w:szCs w:val="20"/>
              </w:rPr>
              <w:t xml:space="preserve">, </w:t>
            </w:r>
            <w:proofErr w:type="spellStart"/>
            <w:r w:rsidRPr="00A07F29">
              <w:rPr>
                <w:rFonts w:ascii="Times New Roman" w:eastAsia="Calibri" w:hAnsi="Times New Roman" w:cs="Times New Roman"/>
                <w:sz w:val="20"/>
                <w:szCs w:val="20"/>
              </w:rPr>
              <w:t>Saučenku</w:t>
            </w:r>
            <w:proofErr w:type="spellEnd"/>
            <w:r w:rsidRPr="00A07F29">
              <w:rPr>
                <w:rFonts w:ascii="Times New Roman" w:eastAsia="Calibri" w:hAnsi="Times New Roman" w:cs="Times New Roman"/>
                <w:sz w:val="20"/>
                <w:szCs w:val="20"/>
              </w:rPr>
              <w:t xml:space="preserve"> un </w:t>
            </w:r>
            <w:proofErr w:type="spellStart"/>
            <w:r w:rsidRPr="00A07F29">
              <w:rPr>
                <w:rFonts w:ascii="Times New Roman" w:eastAsia="Calibri" w:hAnsi="Times New Roman" w:cs="Times New Roman"/>
                <w:sz w:val="20"/>
                <w:szCs w:val="20"/>
              </w:rPr>
              <w:t>Bedušu</w:t>
            </w:r>
            <w:proofErr w:type="spellEnd"/>
            <w:r w:rsidRPr="00A07F29">
              <w:rPr>
                <w:rFonts w:ascii="Times New Roman" w:eastAsia="Calibri" w:hAnsi="Times New Roman" w:cs="Times New Roman"/>
                <w:sz w:val="20"/>
                <w:szCs w:val="20"/>
              </w:rPr>
              <w:t xml:space="preserve"> ezerā.</w:t>
            </w:r>
          </w:p>
        </w:tc>
      </w:tr>
      <w:tr w:rsidR="004C1E66" w:rsidRPr="00A07F29" w14:paraId="16E549AF" w14:textId="77777777" w:rsidTr="4284A616">
        <w:trPr>
          <w:jc w:val="center"/>
        </w:trPr>
        <w:tc>
          <w:tcPr>
            <w:tcW w:w="846" w:type="dxa"/>
            <w:shd w:val="clear" w:color="auto" w:fill="FFFFFF" w:themeFill="background1"/>
          </w:tcPr>
          <w:p w14:paraId="2D2B0E0B" w14:textId="2DE80811" w:rsidR="004C1E66" w:rsidRPr="00A07F29" w:rsidRDefault="004C1E66" w:rsidP="004C1E66">
            <w:pPr>
              <w:spacing w:after="0" w:line="240" w:lineRule="auto"/>
              <w:jc w:val="center"/>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F.1.</w:t>
            </w:r>
          </w:p>
        </w:tc>
        <w:tc>
          <w:tcPr>
            <w:tcW w:w="3402" w:type="dxa"/>
            <w:shd w:val="clear" w:color="auto" w:fill="FFFFFF" w:themeFill="background1"/>
          </w:tcPr>
          <w:p w14:paraId="67C6959C" w14:textId="516BB221" w:rsidR="004C1E66" w:rsidRPr="00A07F29" w:rsidRDefault="004C1E66" w:rsidP="004C1E66">
            <w:pPr>
              <w:spacing w:after="0" w:line="240" w:lineRule="auto"/>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F.1.2.</w:t>
            </w:r>
            <w:r w:rsidR="00AB3A64">
              <w:rPr>
                <w:rFonts w:ascii="Times New Roman" w:eastAsia="Calibri" w:hAnsi="Times New Roman" w:cs="Times New Roman"/>
                <w:bCs/>
                <w:sz w:val="20"/>
                <w:szCs w:val="20"/>
              </w:rPr>
              <w:t> </w:t>
            </w:r>
            <w:proofErr w:type="spellStart"/>
            <w:r w:rsidRPr="00A07F29">
              <w:rPr>
                <w:rFonts w:ascii="Times New Roman" w:eastAsia="Calibri" w:hAnsi="Times New Roman" w:cs="Times New Roman"/>
                <w:bCs/>
                <w:i/>
                <w:sz w:val="20"/>
                <w:szCs w:val="20"/>
              </w:rPr>
              <w:t>Natura</w:t>
            </w:r>
            <w:proofErr w:type="spellEnd"/>
            <w:r w:rsidRPr="00A07F29">
              <w:rPr>
                <w:rFonts w:ascii="Times New Roman" w:eastAsia="Calibri" w:hAnsi="Times New Roman" w:cs="Times New Roman"/>
                <w:bCs/>
                <w:i/>
                <w:sz w:val="20"/>
                <w:szCs w:val="20"/>
              </w:rPr>
              <w:t xml:space="preserve"> 2000</w:t>
            </w:r>
            <w:r w:rsidRPr="00A07F29">
              <w:rPr>
                <w:rFonts w:ascii="Times New Roman" w:eastAsia="Calibri" w:hAnsi="Times New Roman" w:cs="Times New Roman"/>
                <w:bCs/>
                <w:sz w:val="20"/>
                <w:szCs w:val="20"/>
              </w:rPr>
              <w:t xml:space="preserve"> vietu monitorings</w:t>
            </w:r>
          </w:p>
        </w:tc>
        <w:tc>
          <w:tcPr>
            <w:tcW w:w="1701" w:type="dxa"/>
            <w:shd w:val="clear" w:color="auto" w:fill="FFFFFF" w:themeFill="background1"/>
          </w:tcPr>
          <w:p w14:paraId="52D7B986" w14:textId="77777777" w:rsidR="004C1E66" w:rsidRPr="00A07F29" w:rsidRDefault="004C1E66" w:rsidP="004C1E66">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I,</w:t>
            </w:r>
          </w:p>
          <w:p w14:paraId="486664CD" w14:textId="15BE098A" w:rsidR="004C1E66" w:rsidRPr="00A07F29" w:rsidRDefault="004C1E66" w:rsidP="004C1E66">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bCs/>
                <w:sz w:val="20"/>
                <w:szCs w:val="20"/>
              </w:rPr>
              <w:t>visu plāna periodu</w:t>
            </w:r>
          </w:p>
        </w:tc>
        <w:tc>
          <w:tcPr>
            <w:tcW w:w="1984" w:type="dxa"/>
            <w:shd w:val="clear" w:color="auto" w:fill="FFFFFF" w:themeFill="background1"/>
          </w:tcPr>
          <w:p w14:paraId="1B35F23A" w14:textId="434F91B3" w:rsidR="004C1E66" w:rsidRPr="00A07F29" w:rsidRDefault="004C1E66" w:rsidP="004C1E66">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DAP, zinātniskās institūcijas, NVO</w:t>
            </w:r>
          </w:p>
        </w:tc>
        <w:tc>
          <w:tcPr>
            <w:tcW w:w="1560" w:type="dxa"/>
            <w:shd w:val="clear" w:color="auto" w:fill="FFFFFF" w:themeFill="background1"/>
          </w:tcPr>
          <w:p w14:paraId="7F9A682B" w14:textId="219D03D7" w:rsidR="004C1E66" w:rsidRPr="00A07F29" w:rsidRDefault="004C1E66" w:rsidP="004C1E66">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Piešķirtā valsts budžeta ietvaros</w:t>
            </w:r>
          </w:p>
        </w:tc>
        <w:tc>
          <w:tcPr>
            <w:tcW w:w="1984" w:type="dxa"/>
            <w:shd w:val="clear" w:color="auto" w:fill="FFFFFF" w:themeFill="background1"/>
          </w:tcPr>
          <w:p w14:paraId="619B364D" w14:textId="5338E603" w:rsidR="004C1E66" w:rsidRPr="00A07F29" w:rsidRDefault="004C1E66" w:rsidP="004C1E66">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DAP budžets</w:t>
            </w:r>
          </w:p>
        </w:tc>
        <w:tc>
          <w:tcPr>
            <w:tcW w:w="3686" w:type="dxa"/>
            <w:shd w:val="clear" w:color="auto" w:fill="FFFFFF" w:themeFill="background1"/>
          </w:tcPr>
          <w:p w14:paraId="1A7F0B68" w14:textId="703290C3" w:rsidR="004C1E66" w:rsidRPr="00A07F29" w:rsidRDefault="004C1E66" w:rsidP="004C1E66">
            <w:pPr>
              <w:spacing w:after="0" w:line="240" w:lineRule="auto"/>
              <w:rPr>
                <w:rFonts w:ascii="Times New Roman" w:eastAsia="Calibri" w:hAnsi="Times New Roman" w:cs="Times New Roman"/>
                <w:sz w:val="20"/>
                <w:szCs w:val="20"/>
              </w:rPr>
            </w:pPr>
            <w:r w:rsidRPr="00A07F29">
              <w:rPr>
                <w:rFonts w:ascii="Times New Roman" w:eastAsia="Calibri" w:hAnsi="Times New Roman" w:cs="Times New Roman"/>
                <w:sz w:val="20"/>
                <w:szCs w:val="20"/>
              </w:rPr>
              <w:t xml:space="preserve">Reizi </w:t>
            </w:r>
            <w:r w:rsidR="00AB3A64">
              <w:rPr>
                <w:rFonts w:ascii="Times New Roman" w:eastAsia="Calibri" w:hAnsi="Times New Roman" w:cs="Times New Roman"/>
                <w:sz w:val="20"/>
                <w:szCs w:val="20"/>
              </w:rPr>
              <w:t>sešos</w:t>
            </w:r>
            <w:r w:rsidRPr="00A07F29">
              <w:rPr>
                <w:rFonts w:ascii="Times New Roman" w:eastAsia="Calibri" w:hAnsi="Times New Roman" w:cs="Times New Roman"/>
                <w:sz w:val="20"/>
                <w:szCs w:val="20"/>
              </w:rPr>
              <w:t xml:space="preserve"> gados iegūti dati par teritorijai nozīmīgāko sugu un biotopu stāvokli</w:t>
            </w:r>
          </w:p>
        </w:tc>
      </w:tr>
      <w:tr w:rsidR="004C1E66" w:rsidRPr="00A07F29" w14:paraId="3BACCB76" w14:textId="77777777" w:rsidTr="4284A616">
        <w:trPr>
          <w:jc w:val="center"/>
        </w:trPr>
        <w:tc>
          <w:tcPr>
            <w:tcW w:w="846" w:type="dxa"/>
            <w:shd w:val="clear" w:color="auto" w:fill="FFFFFF" w:themeFill="background1"/>
          </w:tcPr>
          <w:p w14:paraId="75487B30" w14:textId="454BF854" w:rsidR="004C1E66" w:rsidRPr="00A07F29" w:rsidRDefault="004C1E66" w:rsidP="004C1E66">
            <w:pPr>
              <w:spacing w:after="0" w:line="240" w:lineRule="auto"/>
              <w:jc w:val="center"/>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F.1.</w:t>
            </w:r>
          </w:p>
        </w:tc>
        <w:tc>
          <w:tcPr>
            <w:tcW w:w="3402" w:type="dxa"/>
            <w:shd w:val="clear" w:color="auto" w:fill="FFFFFF" w:themeFill="background1"/>
          </w:tcPr>
          <w:p w14:paraId="78AADE9D" w14:textId="1737DB44" w:rsidR="004C1E66" w:rsidRPr="00A07F29" w:rsidRDefault="004C1E66" w:rsidP="004C1E66">
            <w:pPr>
              <w:spacing w:after="0" w:line="240" w:lineRule="auto"/>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F.1.3.</w:t>
            </w:r>
            <w:r w:rsidR="00AB3A64">
              <w:rPr>
                <w:rFonts w:ascii="Times New Roman" w:eastAsia="Calibri" w:hAnsi="Times New Roman" w:cs="Times New Roman"/>
                <w:bCs/>
                <w:sz w:val="20"/>
                <w:szCs w:val="20"/>
              </w:rPr>
              <w:t> </w:t>
            </w:r>
            <w:proofErr w:type="spellStart"/>
            <w:r w:rsidRPr="00A07F29">
              <w:rPr>
                <w:rFonts w:ascii="Times New Roman" w:eastAsia="Calibri" w:hAnsi="Times New Roman" w:cs="Times New Roman"/>
                <w:bCs/>
                <w:sz w:val="20"/>
                <w:szCs w:val="20"/>
              </w:rPr>
              <w:t>Šilovkas</w:t>
            </w:r>
            <w:proofErr w:type="spellEnd"/>
            <w:r w:rsidRPr="00A07F29">
              <w:rPr>
                <w:rFonts w:ascii="Times New Roman" w:eastAsia="Calibri" w:hAnsi="Times New Roman" w:cs="Times New Roman"/>
                <w:bCs/>
                <w:sz w:val="20"/>
                <w:szCs w:val="20"/>
              </w:rPr>
              <w:t xml:space="preserve"> ezera iegrimušo </w:t>
            </w:r>
            <w:proofErr w:type="spellStart"/>
            <w:r w:rsidRPr="00A07F29">
              <w:rPr>
                <w:rFonts w:ascii="Times New Roman" w:eastAsia="Calibri" w:hAnsi="Times New Roman" w:cs="Times New Roman"/>
                <w:bCs/>
                <w:sz w:val="20"/>
                <w:szCs w:val="20"/>
              </w:rPr>
              <w:t>makrofītu</w:t>
            </w:r>
            <w:proofErr w:type="spellEnd"/>
            <w:r w:rsidRPr="00A07F29">
              <w:rPr>
                <w:rFonts w:ascii="Times New Roman" w:eastAsia="Calibri" w:hAnsi="Times New Roman" w:cs="Times New Roman"/>
                <w:bCs/>
                <w:sz w:val="20"/>
                <w:szCs w:val="20"/>
              </w:rPr>
              <w:t xml:space="preserve"> mazās sastopamības cēloņa izpēte</w:t>
            </w:r>
          </w:p>
        </w:tc>
        <w:tc>
          <w:tcPr>
            <w:tcW w:w="1701" w:type="dxa"/>
            <w:shd w:val="clear" w:color="auto" w:fill="FFFFFF" w:themeFill="background1"/>
          </w:tcPr>
          <w:p w14:paraId="189D1AE1" w14:textId="5392469E" w:rsidR="004C1E66" w:rsidRPr="00A07F29" w:rsidRDefault="004C1E66" w:rsidP="004C1E66">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II,</w:t>
            </w:r>
          </w:p>
          <w:p w14:paraId="4E2B28BE" w14:textId="5E1CEAC6" w:rsidR="004C1E66" w:rsidRPr="00A07F29" w:rsidRDefault="004C1E66" w:rsidP="004C1E66">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bCs/>
                <w:sz w:val="20"/>
                <w:szCs w:val="20"/>
              </w:rPr>
              <w:t>vienreizējs pasākums</w:t>
            </w:r>
          </w:p>
        </w:tc>
        <w:tc>
          <w:tcPr>
            <w:tcW w:w="1984" w:type="dxa"/>
            <w:shd w:val="clear" w:color="auto" w:fill="FFFFFF" w:themeFill="background1"/>
          </w:tcPr>
          <w:p w14:paraId="68C6D6AA" w14:textId="79444426" w:rsidR="004C1E66" w:rsidRPr="00A07F29" w:rsidRDefault="004C1E66" w:rsidP="004C1E66">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Zinātniskās institūcijas, NVO</w:t>
            </w:r>
          </w:p>
        </w:tc>
        <w:tc>
          <w:tcPr>
            <w:tcW w:w="1560" w:type="dxa"/>
            <w:shd w:val="clear" w:color="auto" w:fill="FFFFFF" w:themeFill="background1"/>
          </w:tcPr>
          <w:p w14:paraId="2F262933" w14:textId="6662B2FA" w:rsidR="004C1E66" w:rsidRPr="00A07F29" w:rsidRDefault="004C1E66" w:rsidP="004C1E66">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Līdz 20</w:t>
            </w:r>
            <w:r w:rsidR="005425C4">
              <w:rPr>
                <w:rFonts w:ascii="Times New Roman" w:eastAsia="Calibri" w:hAnsi="Times New Roman" w:cs="Times New Roman"/>
                <w:sz w:val="20"/>
                <w:szCs w:val="20"/>
              </w:rPr>
              <w:t> </w:t>
            </w:r>
            <w:r w:rsidRPr="00A07F29">
              <w:rPr>
                <w:rFonts w:ascii="Times New Roman" w:eastAsia="Calibri" w:hAnsi="Times New Roman" w:cs="Times New Roman"/>
                <w:sz w:val="20"/>
                <w:szCs w:val="20"/>
              </w:rPr>
              <w:t>000</w:t>
            </w:r>
            <w:r w:rsidR="005425C4">
              <w:rPr>
                <w:rFonts w:ascii="Times New Roman" w:eastAsia="Calibri" w:hAnsi="Times New Roman" w:cs="Times New Roman"/>
                <w:sz w:val="20"/>
                <w:szCs w:val="20"/>
              </w:rPr>
              <w:t> </w:t>
            </w:r>
            <w:r w:rsidRPr="00A07F29">
              <w:rPr>
                <w:rFonts w:ascii="Times New Roman" w:eastAsia="Calibri" w:hAnsi="Times New Roman" w:cs="Times New Roman"/>
                <w:sz w:val="20"/>
                <w:szCs w:val="20"/>
              </w:rPr>
              <w:t>EUR</w:t>
            </w:r>
          </w:p>
        </w:tc>
        <w:tc>
          <w:tcPr>
            <w:tcW w:w="1984" w:type="dxa"/>
            <w:shd w:val="clear" w:color="auto" w:fill="FFFFFF" w:themeFill="background1"/>
          </w:tcPr>
          <w:p w14:paraId="66076384" w14:textId="56BEE0E6" w:rsidR="004C1E66" w:rsidRPr="00A07F29" w:rsidRDefault="004C1E66" w:rsidP="004C1E66">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Projektu finansējums</w:t>
            </w:r>
          </w:p>
        </w:tc>
        <w:tc>
          <w:tcPr>
            <w:tcW w:w="3686" w:type="dxa"/>
            <w:shd w:val="clear" w:color="auto" w:fill="FFFFFF" w:themeFill="background1"/>
          </w:tcPr>
          <w:p w14:paraId="44819E90" w14:textId="692FBE08" w:rsidR="004C1E66" w:rsidRPr="00A07F29" w:rsidRDefault="004C1E66" w:rsidP="004C1E66">
            <w:pPr>
              <w:spacing w:after="0" w:line="240" w:lineRule="auto"/>
              <w:rPr>
                <w:rFonts w:ascii="Times New Roman" w:eastAsia="Calibri" w:hAnsi="Times New Roman" w:cs="Times New Roman"/>
                <w:sz w:val="20"/>
                <w:szCs w:val="20"/>
              </w:rPr>
            </w:pPr>
            <w:r w:rsidRPr="00A07F29">
              <w:rPr>
                <w:rFonts w:ascii="Times New Roman" w:eastAsia="Calibri" w:hAnsi="Times New Roman" w:cs="Times New Roman"/>
                <w:sz w:val="20"/>
                <w:szCs w:val="20"/>
              </w:rPr>
              <w:t xml:space="preserve">Izskatīta hipotēze par mikroelementu trūkumu ezera ūdenī. Noskaidrots </w:t>
            </w:r>
            <w:r w:rsidRPr="00A07F29">
              <w:rPr>
                <w:rFonts w:ascii="Times New Roman" w:eastAsia="Calibri" w:hAnsi="Times New Roman" w:cs="Times New Roman"/>
                <w:sz w:val="20"/>
                <w:szCs w:val="20"/>
              </w:rPr>
              <w:lastRenderedPageBreak/>
              <w:t xml:space="preserve">iegrimušo </w:t>
            </w:r>
            <w:proofErr w:type="spellStart"/>
            <w:r w:rsidRPr="00A07F29">
              <w:rPr>
                <w:rFonts w:ascii="Times New Roman" w:eastAsia="Calibri" w:hAnsi="Times New Roman" w:cs="Times New Roman"/>
                <w:sz w:val="20"/>
                <w:szCs w:val="20"/>
              </w:rPr>
              <w:t>makrofītu</w:t>
            </w:r>
            <w:proofErr w:type="spellEnd"/>
            <w:r w:rsidRPr="00A07F29">
              <w:rPr>
                <w:rFonts w:ascii="Times New Roman" w:eastAsia="Calibri" w:hAnsi="Times New Roman" w:cs="Times New Roman"/>
                <w:sz w:val="20"/>
                <w:szCs w:val="20"/>
              </w:rPr>
              <w:t xml:space="preserve"> mazās sastopamības (un zilaļģu lielās sastopamības) cēlonis.</w:t>
            </w:r>
          </w:p>
        </w:tc>
      </w:tr>
      <w:tr w:rsidR="004C1E66" w:rsidRPr="00A07F29" w14:paraId="154FCE21" w14:textId="77777777" w:rsidTr="4284A616">
        <w:trPr>
          <w:jc w:val="center"/>
        </w:trPr>
        <w:tc>
          <w:tcPr>
            <w:tcW w:w="846" w:type="dxa"/>
            <w:shd w:val="clear" w:color="auto" w:fill="FFFFFF" w:themeFill="background1"/>
          </w:tcPr>
          <w:p w14:paraId="7E645CE3" w14:textId="105FA738" w:rsidR="004C1E66" w:rsidRPr="00A07F29" w:rsidRDefault="004C1E66" w:rsidP="004C1E66">
            <w:pPr>
              <w:spacing w:after="0" w:line="240" w:lineRule="auto"/>
              <w:jc w:val="center"/>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lastRenderedPageBreak/>
              <w:t>F.2.</w:t>
            </w:r>
          </w:p>
        </w:tc>
        <w:tc>
          <w:tcPr>
            <w:tcW w:w="3402" w:type="dxa"/>
            <w:shd w:val="clear" w:color="auto" w:fill="FFFFFF" w:themeFill="background1"/>
          </w:tcPr>
          <w:p w14:paraId="6B4C6A12" w14:textId="0DBF7777" w:rsidR="004C1E66" w:rsidRPr="00A07F29" w:rsidRDefault="004C1E66" w:rsidP="004C1E66">
            <w:pPr>
              <w:spacing w:after="0" w:line="240" w:lineRule="auto"/>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F.2.1.</w:t>
            </w:r>
            <w:r w:rsidR="0032173F">
              <w:rPr>
                <w:rFonts w:ascii="Times New Roman" w:eastAsia="Calibri" w:hAnsi="Times New Roman" w:cs="Times New Roman"/>
                <w:bCs/>
                <w:sz w:val="20"/>
                <w:szCs w:val="20"/>
              </w:rPr>
              <w:t> </w:t>
            </w:r>
            <w:r w:rsidRPr="00A07F29">
              <w:rPr>
                <w:rFonts w:ascii="Times New Roman" w:eastAsia="Calibri" w:hAnsi="Times New Roman" w:cs="Times New Roman"/>
                <w:bCs/>
                <w:sz w:val="20"/>
                <w:szCs w:val="20"/>
              </w:rPr>
              <w:t>Apsaimniekošanas pasākumu monitorings</w:t>
            </w:r>
          </w:p>
        </w:tc>
        <w:tc>
          <w:tcPr>
            <w:tcW w:w="1701" w:type="dxa"/>
            <w:shd w:val="clear" w:color="auto" w:fill="FFFFFF" w:themeFill="background1"/>
          </w:tcPr>
          <w:p w14:paraId="4C6E6EB7" w14:textId="77777777" w:rsidR="004C1E66" w:rsidRPr="00A07F29" w:rsidRDefault="004C1E66" w:rsidP="004C1E66">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I,</w:t>
            </w:r>
          </w:p>
          <w:p w14:paraId="6D8E2D3F" w14:textId="4F004861" w:rsidR="004C1E66" w:rsidRPr="00A07F29" w:rsidRDefault="004C1E66" w:rsidP="004C1E66">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bCs/>
                <w:sz w:val="20"/>
                <w:szCs w:val="20"/>
              </w:rPr>
              <w:t>visu plāna periodu</w:t>
            </w:r>
          </w:p>
        </w:tc>
        <w:tc>
          <w:tcPr>
            <w:tcW w:w="1984" w:type="dxa"/>
            <w:shd w:val="clear" w:color="auto" w:fill="FFFFFF" w:themeFill="background1"/>
          </w:tcPr>
          <w:p w14:paraId="026ABBB5" w14:textId="6773B07C" w:rsidR="004C1E66" w:rsidRPr="00A07F29" w:rsidRDefault="004C1E66" w:rsidP="004C1E66">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Pasākumu īstenotāji sadarbībā ar DAP un sugu un biotopu ekspertiem.</w:t>
            </w:r>
          </w:p>
        </w:tc>
        <w:tc>
          <w:tcPr>
            <w:tcW w:w="1560" w:type="dxa"/>
            <w:shd w:val="clear" w:color="auto" w:fill="FFFFFF" w:themeFill="background1"/>
          </w:tcPr>
          <w:p w14:paraId="53AFBEEF" w14:textId="6B0FA795" w:rsidR="004C1E66" w:rsidRPr="00A07F29" w:rsidRDefault="004C1E66" w:rsidP="004C1E66">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 xml:space="preserve">Piešķirtā valsts budžeta ietvaros, projektu finansējuma ietvaros </w:t>
            </w:r>
          </w:p>
        </w:tc>
        <w:tc>
          <w:tcPr>
            <w:tcW w:w="1984" w:type="dxa"/>
            <w:shd w:val="clear" w:color="auto" w:fill="FFFFFF" w:themeFill="background1"/>
          </w:tcPr>
          <w:p w14:paraId="183CA8CD" w14:textId="3296027C" w:rsidR="004C1E66" w:rsidRPr="00A07F29" w:rsidRDefault="004C1E66" w:rsidP="004C1E66">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Pasākumu īstenotāju līdzekļi, projektu finansējums</w:t>
            </w:r>
          </w:p>
        </w:tc>
        <w:tc>
          <w:tcPr>
            <w:tcW w:w="3686" w:type="dxa"/>
            <w:shd w:val="clear" w:color="auto" w:fill="FFFFFF" w:themeFill="background1"/>
          </w:tcPr>
          <w:p w14:paraId="6A248002" w14:textId="11956A63" w:rsidR="004C1E66" w:rsidRPr="00A07F29" w:rsidRDefault="004C1E66" w:rsidP="004C1E66">
            <w:pPr>
              <w:spacing w:after="0" w:line="240" w:lineRule="auto"/>
              <w:rPr>
                <w:rFonts w:ascii="Times New Roman" w:eastAsia="Calibri" w:hAnsi="Times New Roman" w:cs="Times New Roman"/>
                <w:sz w:val="20"/>
                <w:szCs w:val="20"/>
              </w:rPr>
            </w:pPr>
            <w:r w:rsidRPr="00A07F29">
              <w:rPr>
                <w:rFonts w:ascii="Times New Roman" w:eastAsia="Calibri" w:hAnsi="Times New Roman" w:cs="Times New Roman"/>
                <w:sz w:val="20"/>
                <w:szCs w:val="20"/>
              </w:rPr>
              <w:t xml:space="preserve">Iegūti dati par apsaimniekošanas pasākumu rezultātiem (izmaiņām augāja struktūrā un sugu sastāvā, </w:t>
            </w:r>
            <w:proofErr w:type="spellStart"/>
            <w:r w:rsidRPr="00A07F29">
              <w:rPr>
                <w:rFonts w:ascii="Times New Roman" w:eastAsia="Calibri" w:hAnsi="Times New Roman" w:cs="Times New Roman"/>
                <w:sz w:val="20"/>
                <w:szCs w:val="20"/>
              </w:rPr>
              <w:t>invazīvo</w:t>
            </w:r>
            <w:proofErr w:type="spellEnd"/>
            <w:r w:rsidRPr="00A07F29">
              <w:rPr>
                <w:rFonts w:ascii="Times New Roman" w:eastAsia="Calibri" w:hAnsi="Times New Roman" w:cs="Times New Roman"/>
                <w:sz w:val="20"/>
                <w:szCs w:val="20"/>
              </w:rPr>
              <w:t xml:space="preserve"> sugu sastopamību, bebru dambju, koku sagāzumu, sakritušo koku un atkritumu sastopamību, </w:t>
            </w:r>
            <w:proofErr w:type="spellStart"/>
            <w:r w:rsidRPr="00A07F29">
              <w:rPr>
                <w:rFonts w:ascii="Times New Roman" w:eastAsia="Calibri" w:hAnsi="Times New Roman" w:cs="Times New Roman"/>
                <w:sz w:val="20"/>
                <w:szCs w:val="20"/>
              </w:rPr>
              <w:t>ugunskrupja</w:t>
            </w:r>
            <w:proofErr w:type="spellEnd"/>
            <w:r w:rsidRPr="00A07F29">
              <w:rPr>
                <w:rFonts w:ascii="Times New Roman" w:eastAsia="Calibri" w:hAnsi="Times New Roman" w:cs="Times New Roman"/>
                <w:sz w:val="20"/>
                <w:szCs w:val="20"/>
              </w:rPr>
              <w:t xml:space="preserve"> sastopamību, ūdens līmeni ezeros un pārejas purvos).</w:t>
            </w:r>
          </w:p>
        </w:tc>
      </w:tr>
      <w:tr w:rsidR="004C1E66" w:rsidRPr="00A07F29" w14:paraId="019A3B64" w14:textId="77777777" w:rsidTr="4284A616">
        <w:trPr>
          <w:jc w:val="center"/>
        </w:trPr>
        <w:tc>
          <w:tcPr>
            <w:tcW w:w="846" w:type="dxa"/>
            <w:shd w:val="clear" w:color="auto" w:fill="FFFFFF" w:themeFill="background1"/>
          </w:tcPr>
          <w:p w14:paraId="6F063CD7" w14:textId="327E5EF5" w:rsidR="004C1E66" w:rsidRPr="00A07F29" w:rsidRDefault="004C1E66" w:rsidP="004C1E66">
            <w:pPr>
              <w:spacing w:after="0" w:line="240" w:lineRule="auto"/>
              <w:jc w:val="center"/>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F.3.</w:t>
            </w:r>
          </w:p>
        </w:tc>
        <w:tc>
          <w:tcPr>
            <w:tcW w:w="3402" w:type="dxa"/>
            <w:shd w:val="clear" w:color="auto" w:fill="FFFFFF" w:themeFill="background1"/>
          </w:tcPr>
          <w:p w14:paraId="5D58EF2D" w14:textId="757D236C" w:rsidR="004C1E66" w:rsidRPr="00A07F29" w:rsidRDefault="004C1E66" w:rsidP="004C1E66">
            <w:pPr>
              <w:spacing w:after="0" w:line="240" w:lineRule="auto"/>
              <w:rPr>
                <w:rFonts w:ascii="Times New Roman" w:eastAsia="Calibri" w:hAnsi="Times New Roman" w:cs="Times New Roman"/>
                <w:bCs/>
                <w:sz w:val="20"/>
                <w:szCs w:val="20"/>
              </w:rPr>
            </w:pPr>
            <w:r w:rsidRPr="00A07F29">
              <w:rPr>
                <w:rFonts w:ascii="Times New Roman" w:eastAsia="Calibri" w:hAnsi="Times New Roman" w:cs="Times New Roman"/>
                <w:bCs/>
                <w:sz w:val="20"/>
                <w:szCs w:val="20"/>
              </w:rPr>
              <w:t>F.3.1.</w:t>
            </w:r>
            <w:r w:rsidR="009B7791">
              <w:rPr>
                <w:rFonts w:ascii="Times New Roman" w:eastAsia="Calibri" w:hAnsi="Times New Roman" w:cs="Times New Roman"/>
                <w:bCs/>
                <w:sz w:val="20"/>
                <w:szCs w:val="20"/>
              </w:rPr>
              <w:t> </w:t>
            </w:r>
            <w:r w:rsidRPr="00A07F29">
              <w:rPr>
                <w:rFonts w:ascii="Times New Roman" w:eastAsia="Calibri" w:hAnsi="Times New Roman" w:cs="Times New Roman"/>
                <w:bCs/>
                <w:sz w:val="20"/>
                <w:szCs w:val="20"/>
              </w:rPr>
              <w:t>Tūrisma un atpūtas ietekmju monitorings</w:t>
            </w:r>
          </w:p>
        </w:tc>
        <w:tc>
          <w:tcPr>
            <w:tcW w:w="1701" w:type="dxa"/>
            <w:shd w:val="clear" w:color="auto" w:fill="FFFFFF" w:themeFill="background1"/>
          </w:tcPr>
          <w:p w14:paraId="2EEE3537" w14:textId="77777777" w:rsidR="004C1E66" w:rsidRPr="00A07F29" w:rsidRDefault="004C1E66" w:rsidP="004C1E66">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sz w:val="20"/>
                <w:szCs w:val="20"/>
              </w:rPr>
              <w:t>I,</w:t>
            </w:r>
          </w:p>
          <w:p w14:paraId="37DC80EB" w14:textId="439A6823" w:rsidR="004C1E66" w:rsidRPr="00A07F29" w:rsidRDefault="004C1E66" w:rsidP="004C1E66">
            <w:pPr>
              <w:spacing w:after="0" w:line="240" w:lineRule="auto"/>
              <w:jc w:val="center"/>
              <w:rPr>
                <w:rFonts w:ascii="Times New Roman" w:eastAsia="Calibri" w:hAnsi="Times New Roman" w:cs="Times New Roman"/>
                <w:sz w:val="20"/>
                <w:szCs w:val="20"/>
              </w:rPr>
            </w:pPr>
            <w:r w:rsidRPr="00A07F29">
              <w:rPr>
                <w:rFonts w:ascii="Times New Roman" w:eastAsia="Calibri" w:hAnsi="Times New Roman" w:cs="Times New Roman"/>
                <w:bCs/>
                <w:sz w:val="20"/>
                <w:szCs w:val="20"/>
              </w:rPr>
              <w:t>visu plāna periodu</w:t>
            </w:r>
          </w:p>
        </w:tc>
        <w:tc>
          <w:tcPr>
            <w:tcW w:w="1984" w:type="dxa"/>
            <w:shd w:val="clear" w:color="auto" w:fill="FFFFFF" w:themeFill="background1"/>
          </w:tcPr>
          <w:p w14:paraId="214A7C9B" w14:textId="56FB95E8" w:rsidR="004C1E66" w:rsidRPr="00A07F29" w:rsidRDefault="004C1E66" w:rsidP="004C1E66">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 xml:space="preserve">Tūrisma infrastruktūras </w:t>
            </w:r>
            <w:proofErr w:type="spellStart"/>
            <w:r w:rsidRPr="00A07F29">
              <w:rPr>
                <w:rFonts w:ascii="Times New Roman" w:eastAsia="Calibri" w:hAnsi="Times New Roman" w:cs="Times New Roman"/>
                <w:sz w:val="20"/>
                <w:szCs w:val="20"/>
              </w:rPr>
              <w:t>apsaimniekotāji</w:t>
            </w:r>
            <w:proofErr w:type="spellEnd"/>
            <w:r w:rsidRPr="00A07F29">
              <w:rPr>
                <w:rFonts w:ascii="Times New Roman" w:eastAsia="Calibri" w:hAnsi="Times New Roman" w:cs="Times New Roman"/>
                <w:sz w:val="20"/>
                <w:szCs w:val="20"/>
              </w:rPr>
              <w:t xml:space="preserve"> sadarbībā ar DAP un ekspertiem.</w:t>
            </w:r>
          </w:p>
        </w:tc>
        <w:tc>
          <w:tcPr>
            <w:tcW w:w="1560" w:type="dxa"/>
            <w:shd w:val="clear" w:color="auto" w:fill="FFFFFF" w:themeFill="background1"/>
          </w:tcPr>
          <w:p w14:paraId="419B19DB" w14:textId="529CFC68" w:rsidR="004C1E66" w:rsidRPr="00A07F29" w:rsidRDefault="004C1E66" w:rsidP="004C1E66">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Piešķirtā valsts budžeta ietvaros</w:t>
            </w:r>
          </w:p>
        </w:tc>
        <w:tc>
          <w:tcPr>
            <w:tcW w:w="1984" w:type="dxa"/>
            <w:shd w:val="clear" w:color="auto" w:fill="FFFFFF" w:themeFill="background1"/>
          </w:tcPr>
          <w:p w14:paraId="763BAE56" w14:textId="71E0B9FD" w:rsidR="004C1E66" w:rsidRPr="00A07F29" w:rsidRDefault="004C1E66" w:rsidP="004C1E66">
            <w:pPr>
              <w:spacing w:after="0" w:line="240" w:lineRule="auto"/>
              <w:jc w:val="both"/>
              <w:rPr>
                <w:rFonts w:ascii="Times New Roman" w:eastAsia="Calibri" w:hAnsi="Times New Roman" w:cs="Times New Roman"/>
                <w:sz w:val="20"/>
                <w:szCs w:val="20"/>
              </w:rPr>
            </w:pPr>
            <w:r w:rsidRPr="00A07F29">
              <w:rPr>
                <w:rFonts w:ascii="Times New Roman" w:eastAsia="Calibri" w:hAnsi="Times New Roman" w:cs="Times New Roman"/>
                <w:sz w:val="20"/>
                <w:szCs w:val="20"/>
              </w:rPr>
              <w:t xml:space="preserve">Tūrisma infrastruktūras </w:t>
            </w:r>
            <w:proofErr w:type="spellStart"/>
            <w:r w:rsidRPr="00A07F29">
              <w:rPr>
                <w:rFonts w:ascii="Times New Roman" w:eastAsia="Calibri" w:hAnsi="Times New Roman" w:cs="Times New Roman"/>
                <w:sz w:val="20"/>
                <w:szCs w:val="20"/>
              </w:rPr>
              <w:t>apsaimniekotāju</w:t>
            </w:r>
            <w:proofErr w:type="spellEnd"/>
            <w:r w:rsidRPr="00A07F29">
              <w:rPr>
                <w:rFonts w:ascii="Times New Roman" w:eastAsia="Calibri" w:hAnsi="Times New Roman" w:cs="Times New Roman"/>
                <w:sz w:val="20"/>
                <w:szCs w:val="20"/>
              </w:rPr>
              <w:t xml:space="preserve"> līdzekļi, projektu finansējums</w:t>
            </w:r>
          </w:p>
        </w:tc>
        <w:tc>
          <w:tcPr>
            <w:tcW w:w="3686" w:type="dxa"/>
            <w:shd w:val="clear" w:color="auto" w:fill="FFFFFF" w:themeFill="background1"/>
          </w:tcPr>
          <w:p w14:paraId="306D213D" w14:textId="635C6FD0" w:rsidR="004C1E66" w:rsidRPr="00A07F29" w:rsidRDefault="004C1E66" w:rsidP="004C1E66">
            <w:pPr>
              <w:spacing w:after="0" w:line="240" w:lineRule="auto"/>
              <w:rPr>
                <w:rFonts w:ascii="Times New Roman" w:eastAsia="Calibri" w:hAnsi="Times New Roman" w:cs="Times New Roman"/>
                <w:sz w:val="20"/>
                <w:szCs w:val="20"/>
              </w:rPr>
            </w:pPr>
            <w:r w:rsidRPr="00A07F29">
              <w:rPr>
                <w:rFonts w:ascii="Times New Roman" w:eastAsia="Calibri" w:hAnsi="Times New Roman" w:cs="Times New Roman"/>
                <w:sz w:val="20"/>
                <w:szCs w:val="20"/>
              </w:rPr>
              <w:t>Iegūti dati</w:t>
            </w:r>
            <w:r w:rsidRPr="00A07F29">
              <w:t xml:space="preserve"> </w:t>
            </w:r>
            <w:r w:rsidRPr="00A07F29">
              <w:rPr>
                <w:rFonts w:ascii="Times New Roman" w:eastAsia="Calibri" w:hAnsi="Times New Roman" w:cs="Times New Roman"/>
                <w:sz w:val="20"/>
                <w:szCs w:val="20"/>
              </w:rPr>
              <w:t>par apmeklētāju plūsmu.</w:t>
            </w:r>
          </w:p>
          <w:p w14:paraId="6A9C19E4" w14:textId="75E753FC" w:rsidR="004C1E66" w:rsidRPr="00A07F29" w:rsidRDefault="004C1E66" w:rsidP="004C1E66">
            <w:pPr>
              <w:spacing w:after="0" w:line="240" w:lineRule="auto"/>
              <w:rPr>
                <w:rFonts w:ascii="Times New Roman" w:eastAsia="Calibri" w:hAnsi="Times New Roman" w:cs="Times New Roman"/>
                <w:sz w:val="20"/>
                <w:szCs w:val="20"/>
              </w:rPr>
            </w:pPr>
            <w:r w:rsidRPr="00A07F29">
              <w:rPr>
                <w:rFonts w:ascii="Times New Roman" w:eastAsia="Calibri" w:hAnsi="Times New Roman" w:cs="Times New Roman"/>
                <w:sz w:val="20"/>
                <w:szCs w:val="20"/>
              </w:rPr>
              <w:t>Izvērtēta un novērsta tūrisma slodze.</w:t>
            </w:r>
          </w:p>
        </w:tc>
      </w:tr>
    </w:tbl>
    <w:p w14:paraId="3466B9E4" w14:textId="10163D8F" w:rsidR="00A21E83" w:rsidRPr="00A07F29" w:rsidRDefault="00A21E83" w:rsidP="00A21E83">
      <w:pPr>
        <w:spacing w:after="0" w:line="240" w:lineRule="auto"/>
        <w:ind w:firstLine="851"/>
        <w:jc w:val="both"/>
        <w:rPr>
          <w:rFonts w:ascii="Times New Roman" w:eastAsia="Calibri" w:hAnsi="Times New Roman" w:cs="Times New Roman"/>
          <w:bCs/>
          <w:sz w:val="20"/>
          <w:szCs w:val="20"/>
        </w:rPr>
      </w:pPr>
    </w:p>
    <w:p w14:paraId="404457C4" w14:textId="77777777" w:rsidR="00315E9F" w:rsidRPr="00A07F29" w:rsidRDefault="00315E9F" w:rsidP="00A21E83">
      <w:pPr>
        <w:spacing w:after="0" w:line="240" w:lineRule="auto"/>
        <w:ind w:firstLine="851"/>
        <w:jc w:val="both"/>
        <w:rPr>
          <w:rFonts w:ascii="Times New Roman" w:eastAsia="Calibri" w:hAnsi="Times New Roman" w:cs="Times New Roman"/>
          <w:i/>
          <w:iCs/>
          <w:sz w:val="18"/>
          <w:szCs w:val="18"/>
        </w:rPr>
      </w:pPr>
    </w:p>
    <w:p w14:paraId="5B083086" w14:textId="77777777" w:rsidR="002D2FB8" w:rsidRPr="00A07F29" w:rsidRDefault="002D2FB8" w:rsidP="00A21E83">
      <w:pPr>
        <w:spacing w:after="120"/>
        <w:ind w:firstLine="851"/>
        <w:jc w:val="both"/>
        <w:rPr>
          <w:rFonts w:ascii="Times New Roman" w:eastAsia="Calibri" w:hAnsi="Times New Roman" w:cs="Calibri"/>
          <w:sz w:val="24"/>
        </w:rPr>
        <w:sectPr w:rsidR="002D2FB8" w:rsidRPr="00A07F29" w:rsidSect="002D2FB8">
          <w:pgSz w:w="16838" w:h="11906" w:orient="landscape"/>
          <w:pgMar w:top="1134" w:right="1134" w:bottom="1701" w:left="1134" w:header="709" w:footer="709" w:gutter="0"/>
          <w:cols w:space="708"/>
          <w:docGrid w:linePitch="360"/>
        </w:sectPr>
      </w:pPr>
    </w:p>
    <w:p w14:paraId="4C76F03E" w14:textId="720045B7" w:rsidR="00A21E83" w:rsidRPr="00A07F29" w:rsidRDefault="00A21E83" w:rsidP="008760E2">
      <w:pPr>
        <w:pStyle w:val="Heading3"/>
        <w:spacing w:before="120" w:after="120" w:line="240" w:lineRule="auto"/>
        <w:jc w:val="center"/>
        <w:rPr>
          <w:b w:val="0"/>
          <w:lang w:eastAsia="ja-JP"/>
        </w:rPr>
      </w:pPr>
      <w:bookmarkStart w:id="109" w:name="_Toc183434035"/>
      <w:r w:rsidRPr="00A07F29">
        <w:rPr>
          <w:lang w:eastAsia="ja-JP"/>
        </w:rPr>
        <w:lastRenderedPageBreak/>
        <w:t>5.3.1. Plānoto apsaimniekošanas pasākumu apraksts</w:t>
      </w:r>
      <w:bookmarkEnd w:id="109"/>
    </w:p>
    <w:p w14:paraId="26D64584" w14:textId="045C3264" w:rsidR="00A21E83" w:rsidRPr="00A07F29" w:rsidRDefault="00A21E83" w:rsidP="00E273E6">
      <w:pPr>
        <w:spacing w:before="240" w:after="0" w:line="240" w:lineRule="auto"/>
        <w:jc w:val="both"/>
        <w:rPr>
          <w:rFonts w:ascii="Times New Roman" w:eastAsia="Calibri" w:hAnsi="Times New Roman" w:cs="Calibri"/>
          <w:caps/>
          <w:sz w:val="24"/>
          <w:lang w:eastAsia="ja-JP"/>
        </w:rPr>
      </w:pPr>
      <w:r w:rsidRPr="00A07F29">
        <w:rPr>
          <w:rFonts w:ascii="Times New Roman" w:eastAsia="Calibri" w:hAnsi="Times New Roman" w:cs="Calibri"/>
          <w:caps/>
          <w:sz w:val="24"/>
          <w:lang w:eastAsia="ja-JP"/>
        </w:rPr>
        <w:t>A. Administratīvie un organizatoriskie mērķi</w:t>
      </w:r>
    </w:p>
    <w:p w14:paraId="65F201E9" w14:textId="34D5EB7D" w:rsidR="005D698E" w:rsidRPr="00A07F29" w:rsidRDefault="005D698E" w:rsidP="005D698E">
      <w:pPr>
        <w:spacing w:before="120" w:after="0" w:line="240" w:lineRule="auto"/>
        <w:jc w:val="both"/>
        <w:rPr>
          <w:rFonts w:ascii="Times New Roman" w:eastAsia="Calibri" w:hAnsi="Times New Roman" w:cs="Calibri"/>
          <w:b/>
          <w:sz w:val="24"/>
          <w:lang w:eastAsia="ja-JP"/>
        </w:rPr>
      </w:pPr>
      <w:r w:rsidRPr="00A07F29">
        <w:rPr>
          <w:rFonts w:ascii="Times New Roman" w:eastAsia="Calibri" w:hAnsi="Times New Roman" w:cs="Calibri"/>
          <w:b/>
          <w:sz w:val="24"/>
          <w:lang w:eastAsia="ja-JP"/>
        </w:rPr>
        <w:t>A.1. Noteikt AAA “Augšdaugava” vērtību saglabāšanai atbilstošas juridiski saistošas prasības</w:t>
      </w:r>
    </w:p>
    <w:p w14:paraId="239A1F1A" w14:textId="7ABE92D0" w:rsidR="001D7726" w:rsidRPr="00A07F29" w:rsidRDefault="001D7726" w:rsidP="001D7726">
      <w:pPr>
        <w:autoSpaceDE w:val="0"/>
        <w:autoSpaceDN w:val="0"/>
        <w:adjustRightInd w:val="0"/>
        <w:spacing w:before="120" w:after="120" w:line="240" w:lineRule="auto"/>
        <w:jc w:val="both"/>
        <w:rPr>
          <w:rFonts w:ascii="Times New Roman" w:hAnsi="Times New Roman"/>
          <w:b/>
          <w:i/>
          <w:color w:val="000000"/>
          <w:sz w:val="24"/>
          <w:szCs w:val="24"/>
          <w:lang w:eastAsia="lv-LV"/>
        </w:rPr>
      </w:pPr>
      <w:r w:rsidRPr="00A07F29">
        <w:rPr>
          <w:rFonts w:ascii="Times New Roman" w:hAnsi="Times New Roman"/>
          <w:b/>
          <w:i/>
          <w:color w:val="000000"/>
          <w:sz w:val="24"/>
          <w:szCs w:val="24"/>
          <w:lang w:eastAsia="lv-LV"/>
        </w:rPr>
        <w:t>A.1.1. AAA “Augšdaugava” individuālo aizsardzības un izmantošanas noteikumu izstrādāšana un apstiprināšana</w:t>
      </w:r>
    </w:p>
    <w:p w14:paraId="3373AFD0" w14:textId="0A6F1E9A" w:rsidR="001D7726" w:rsidRPr="00A07F29" w:rsidRDefault="001D7726" w:rsidP="001D7726">
      <w:pPr>
        <w:spacing w:before="120" w:after="0" w:line="240" w:lineRule="auto"/>
        <w:ind w:firstLine="851"/>
        <w:jc w:val="both"/>
        <w:rPr>
          <w:rFonts w:ascii="Times New Roman" w:hAnsi="Times New Roman"/>
          <w:color w:val="000000"/>
          <w:sz w:val="24"/>
          <w:szCs w:val="24"/>
          <w:lang w:eastAsia="lv-LV"/>
        </w:rPr>
      </w:pPr>
      <w:r w:rsidRPr="00A07F29">
        <w:rPr>
          <w:rFonts w:ascii="Times New Roman" w:hAnsi="Times New Roman"/>
          <w:color w:val="000000"/>
          <w:sz w:val="24"/>
          <w:szCs w:val="24"/>
          <w:lang w:eastAsia="lv-LV"/>
        </w:rPr>
        <w:t>Pasākums daļēji veikts DA plāna izstrādes ietvaros, sagatavojot priekšlikumus individuālajiem aizsardzības un izmantošanas noteikumiem un funkcionālajam zonējumam</w:t>
      </w:r>
      <w:r w:rsidR="009706D7" w:rsidRPr="00A07F29">
        <w:rPr>
          <w:rFonts w:ascii="Times New Roman" w:hAnsi="Times New Roman"/>
          <w:color w:val="000000"/>
          <w:sz w:val="24"/>
          <w:szCs w:val="24"/>
          <w:lang w:eastAsia="lv-LV"/>
        </w:rPr>
        <w:t xml:space="preserve"> (skat. 6.2. nodaļu un ieteikto funkcionālo zonējumu 6. pielikumā)</w:t>
      </w:r>
      <w:r w:rsidRPr="00A07F29">
        <w:rPr>
          <w:rFonts w:ascii="Times New Roman" w:hAnsi="Times New Roman"/>
          <w:color w:val="000000"/>
          <w:sz w:val="24"/>
          <w:szCs w:val="24"/>
          <w:lang w:eastAsia="lv-LV"/>
        </w:rPr>
        <w:t>.</w:t>
      </w:r>
    </w:p>
    <w:p w14:paraId="1D1B95E1" w14:textId="2DA6F1E0" w:rsidR="00092B5D" w:rsidRPr="00A07F29" w:rsidRDefault="001D7726" w:rsidP="001D7726">
      <w:pPr>
        <w:spacing w:before="120" w:after="0" w:line="240" w:lineRule="auto"/>
        <w:ind w:firstLine="851"/>
        <w:jc w:val="both"/>
        <w:rPr>
          <w:rFonts w:ascii="Times New Roman" w:hAnsi="Times New Roman"/>
          <w:color w:val="000000"/>
          <w:sz w:val="24"/>
          <w:szCs w:val="24"/>
          <w:lang w:eastAsia="lv-LV"/>
        </w:rPr>
      </w:pPr>
      <w:r w:rsidRPr="00A07F29">
        <w:rPr>
          <w:rFonts w:ascii="Times New Roman" w:hAnsi="Times New Roman"/>
          <w:color w:val="000000"/>
          <w:sz w:val="24"/>
          <w:szCs w:val="24"/>
          <w:lang w:eastAsia="lv-LV"/>
        </w:rPr>
        <w:t xml:space="preserve">Pēc DA plāna apstiprināšanas VARAM, MK noteikumu projekta sagatavošanu turpina VARAM Dabas aizsardzības departaments. Noteikumus </w:t>
      </w:r>
      <w:r w:rsidRPr="00C25036">
        <w:rPr>
          <w:rFonts w:ascii="Times New Roman" w:hAnsi="Times New Roman"/>
          <w:color w:val="000000"/>
          <w:sz w:val="24"/>
          <w:szCs w:val="24"/>
          <w:lang w:eastAsia="lv-LV"/>
        </w:rPr>
        <w:t xml:space="preserve">apstiprina </w:t>
      </w:r>
      <w:r w:rsidR="00C25036" w:rsidRPr="00C25036">
        <w:rPr>
          <w:rFonts w:ascii="Times New Roman" w:hAnsi="Times New Roman"/>
          <w:color w:val="000000"/>
          <w:sz w:val="24"/>
          <w:szCs w:val="24"/>
          <w:lang w:eastAsia="lv-LV"/>
        </w:rPr>
        <w:t>MK</w:t>
      </w:r>
      <w:r w:rsidRPr="00C25036">
        <w:rPr>
          <w:rFonts w:ascii="Times New Roman" w:hAnsi="Times New Roman"/>
          <w:color w:val="000000"/>
          <w:sz w:val="24"/>
          <w:szCs w:val="24"/>
          <w:lang w:eastAsia="lv-LV"/>
        </w:rPr>
        <w:t>.</w:t>
      </w:r>
    </w:p>
    <w:p w14:paraId="3EBFE8C6" w14:textId="29076241" w:rsidR="001D7726" w:rsidRPr="00A07F29" w:rsidRDefault="00092B5D" w:rsidP="001D7726">
      <w:pPr>
        <w:spacing w:before="120" w:after="0" w:line="240" w:lineRule="auto"/>
        <w:ind w:firstLine="851"/>
        <w:jc w:val="both"/>
        <w:rPr>
          <w:rFonts w:ascii="Times New Roman" w:hAnsi="Times New Roman"/>
          <w:color w:val="000000"/>
          <w:sz w:val="24"/>
          <w:szCs w:val="24"/>
          <w:lang w:eastAsia="lv-LV"/>
        </w:rPr>
      </w:pPr>
      <w:r w:rsidRPr="00A07F29">
        <w:rPr>
          <w:rFonts w:ascii="Times New Roman" w:hAnsi="Times New Roman"/>
          <w:color w:val="000000"/>
          <w:sz w:val="24"/>
          <w:szCs w:val="24"/>
          <w:lang w:eastAsia="lv-LV"/>
        </w:rPr>
        <w:t>Saskaņā ar likuma Par īpaši aizsargājamām dabas teritorijām 11.</w:t>
      </w:r>
      <w:r w:rsidR="00EE625C">
        <w:rPr>
          <w:rFonts w:ascii="Times New Roman" w:hAnsi="Times New Roman"/>
          <w:color w:val="000000"/>
          <w:sz w:val="24"/>
          <w:szCs w:val="24"/>
          <w:lang w:eastAsia="lv-LV"/>
        </w:rPr>
        <w:t> </w:t>
      </w:r>
      <w:r w:rsidRPr="00A07F29">
        <w:rPr>
          <w:rFonts w:ascii="Times New Roman" w:hAnsi="Times New Roman"/>
          <w:color w:val="000000"/>
          <w:sz w:val="24"/>
          <w:szCs w:val="24"/>
          <w:lang w:eastAsia="lv-LV"/>
        </w:rPr>
        <w:t>pantā noteikto “</w:t>
      </w:r>
      <w:r w:rsidRPr="00A07F29">
        <w:rPr>
          <w:rFonts w:ascii="Times New Roman" w:hAnsi="Times New Roman"/>
          <w:i/>
          <w:color w:val="000000"/>
          <w:sz w:val="24"/>
          <w:szCs w:val="24"/>
          <w:lang w:eastAsia="lv-LV"/>
        </w:rPr>
        <w:t>(4) Pieņemot lēmumu par aizsargājamās teritorijas izveidošanu, kā arī teritorijas robežu, zonējuma, kategorijas vai aizsardzības režīma izmaiņām, ņem vērā tās pašvaldības atzinumu, kuras administratīvajā teritorijā paredzēts izveidot aizsargājamo teritoriju vai atrodas aizsargājamā teritorija.</w:t>
      </w:r>
      <w:r w:rsidRPr="00A07F29">
        <w:rPr>
          <w:rFonts w:ascii="Times New Roman" w:hAnsi="Times New Roman"/>
          <w:color w:val="000000"/>
          <w:sz w:val="24"/>
          <w:szCs w:val="24"/>
          <w:lang w:eastAsia="lv-LV"/>
        </w:rPr>
        <w:t>”</w:t>
      </w:r>
    </w:p>
    <w:p w14:paraId="761D68E6" w14:textId="14301653" w:rsidR="006B3664" w:rsidRPr="00A07F29" w:rsidRDefault="001D7726" w:rsidP="006B3664">
      <w:pPr>
        <w:spacing w:before="120" w:after="0" w:line="240" w:lineRule="auto"/>
        <w:ind w:firstLine="851"/>
        <w:jc w:val="both"/>
        <w:rPr>
          <w:rFonts w:ascii="Times New Roman" w:eastAsia="Calibri" w:hAnsi="Times New Roman" w:cs="Calibri"/>
          <w:sz w:val="24"/>
          <w:szCs w:val="24"/>
          <w:lang w:eastAsia="ja-JP"/>
        </w:rPr>
      </w:pPr>
      <w:r w:rsidRPr="00A07F29">
        <w:rPr>
          <w:rFonts w:ascii="Times New Roman" w:eastAsia="Calibri" w:hAnsi="Times New Roman" w:cs="Calibri"/>
          <w:sz w:val="24"/>
          <w:szCs w:val="24"/>
          <w:lang w:eastAsia="ja-JP"/>
        </w:rPr>
        <w:t xml:space="preserve">AAA “Augšdaugava” teritorijā esošos mikroliegumus paredzēts iekļaut regulējamā režīma zonā. Pēc individuālo aizsardzības un izmantošanas noteikumu apstiprināšanas izvērtējams </w:t>
      </w:r>
      <w:r w:rsidR="00533AB6" w:rsidRPr="00A07F29">
        <w:rPr>
          <w:rFonts w:ascii="Times New Roman" w:eastAsia="Calibri" w:hAnsi="Times New Roman" w:cs="Calibri"/>
          <w:sz w:val="24"/>
          <w:szCs w:val="24"/>
          <w:lang w:eastAsia="ja-JP"/>
        </w:rPr>
        <w:t>mikroliegumu statuss un tie atceļami, ja apstiprinātie noteikumi un zonējums nodrošina to vērtību saglabāšanos, kuru aizsardzī</w:t>
      </w:r>
      <w:r w:rsidR="006B3664" w:rsidRPr="00A07F29">
        <w:rPr>
          <w:rFonts w:ascii="Times New Roman" w:eastAsia="Calibri" w:hAnsi="Times New Roman" w:cs="Calibri"/>
          <w:sz w:val="24"/>
          <w:szCs w:val="24"/>
          <w:lang w:eastAsia="ja-JP"/>
        </w:rPr>
        <w:t>b</w:t>
      </w:r>
      <w:r w:rsidR="00533AB6" w:rsidRPr="00A07F29">
        <w:rPr>
          <w:rFonts w:ascii="Times New Roman" w:eastAsia="Calibri" w:hAnsi="Times New Roman" w:cs="Calibri"/>
          <w:sz w:val="24"/>
          <w:szCs w:val="24"/>
          <w:lang w:eastAsia="ja-JP"/>
        </w:rPr>
        <w:t>ai mikroliegum</w:t>
      </w:r>
      <w:r w:rsidR="006B3664" w:rsidRPr="00A07F29">
        <w:rPr>
          <w:rFonts w:ascii="Times New Roman" w:eastAsia="Calibri" w:hAnsi="Times New Roman" w:cs="Calibri"/>
          <w:sz w:val="24"/>
          <w:szCs w:val="24"/>
          <w:lang w:eastAsia="ja-JP"/>
        </w:rPr>
        <w:t>i</w:t>
      </w:r>
      <w:r w:rsidR="00533AB6" w:rsidRPr="00A07F29">
        <w:rPr>
          <w:rFonts w:ascii="Times New Roman" w:eastAsia="Calibri" w:hAnsi="Times New Roman" w:cs="Calibri"/>
          <w:sz w:val="24"/>
          <w:szCs w:val="24"/>
          <w:lang w:eastAsia="ja-JP"/>
        </w:rPr>
        <w:t xml:space="preserve"> tika izveidoti.</w:t>
      </w:r>
    </w:p>
    <w:p w14:paraId="35347B43" w14:textId="5D41755E" w:rsidR="00533AB6" w:rsidRPr="00A07F29" w:rsidRDefault="00533AB6" w:rsidP="00100BEC">
      <w:pPr>
        <w:autoSpaceDE w:val="0"/>
        <w:autoSpaceDN w:val="0"/>
        <w:adjustRightInd w:val="0"/>
        <w:spacing w:before="240" w:after="120" w:line="240" w:lineRule="auto"/>
        <w:jc w:val="both"/>
        <w:rPr>
          <w:rFonts w:ascii="Times New Roman" w:hAnsi="Times New Roman"/>
          <w:b/>
          <w:i/>
          <w:color w:val="000000"/>
          <w:sz w:val="24"/>
          <w:szCs w:val="24"/>
          <w:lang w:eastAsia="lv-LV"/>
        </w:rPr>
      </w:pPr>
      <w:r w:rsidRPr="00A07F29">
        <w:rPr>
          <w:rFonts w:ascii="Times New Roman" w:hAnsi="Times New Roman"/>
          <w:b/>
          <w:i/>
          <w:color w:val="000000"/>
          <w:sz w:val="24"/>
          <w:szCs w:val="24"/>
          <w:lang w:eastAsia="lv-LV"/>
        </w:rPr>
        <w:t xml:space="preserve">A.1.2. </w:t>
      </w:r>
      <w:r w:rsidR="002C4A30" w:rsidRPr="00A07F29">
        <w:rPr>
          <w:rFonts w:ascii="Times New Roman" w:hAnsi="Times New Roman"/>
          <w:b/>
          <w:i/>
          <w:color w:val="000000"/>
          <w:sz w:val="24"/>
          <w:szCs w:val="24"/>
          <w:lang w:eastAsia="lv-LV"/>
        </w:rPr>
        <w:t xml:space="preserve">Ģeoloģisko un </w:t>
      </w:r>
      <w:proofErr w:type="spellStart"/>
      <w:r w:rsidR="002C4A30" w:rsidRPr="00A07F29">
        <w:rPr>
          <w:rFonts w:ascii="Times New Roman" w:hAnsi="Times New Roman"/>
          <w:b/>
          <w:i/>
          <w:color w:val="000000"/>
          <w:sz w:val="24"/>
          <w:szCs w:val="24"/>
          <w:lang w:eastAsia="lv-LV"/>
        </w:rPr>
        <w:t>ģeomorfoloģisko</w:t>
      </w:r>
      <w:proofErr w:type="spellEnd"/>
      <w:r w:rsidR="002C4A30" w:rsidRPr="00A07F29">
        <w:rPr>
          <w:rFonts w:ascii="Times New Roman" w:hAnsi="Times New Roman"/>
          <w:b/>
          <w:i/>
          <w:color w:val="000000"/>
          <w:sz w:val="24"/>
          <w:szCs w:val="24"/>
          <w:lang w:eastAsia="lv-LV"/>
        </w:rPr>
        <w:t xml:space="preserve"> d</w:t>
      </w:r>
      <w:r w:rsidRPr="00A07F29">
        <w:rPr>
          <w:rFonts w:ascii="Times New Roman" w:hAnsi="Times New Roman"/>
          <w:b/>
          <w:i/>
          <w:color w:val="000000"/>
          <w:sz w:val="24"/>
          <w:szCs w:val="24"/>
          <w:lang w:eastAsia="lv-LV"/>
        </w:rPr>
        <w:t>abas pieminekļ</w:t>
      </w:r>
      <w:r w:rsidR="002C4A30" w:rsidRPr="00A07F29">
        <w:rPr>
          <w:rFonts w:ascii="Times New Roman" w:hAnsi="Times New Roman"/>
          <w:b/>
          <w:i/>
          <w:color w:val="000000"/>
          <w:sz w:val="24"/>
          <w:szCs w:val="24"/>
          <w:lang w:eastAsia="lv-LV"/>
        </w:rPr>
        <w:t>u</w:t>
      </w:r>
      <w:r w:rsidRPr="00A07F29">
        <w:rPr>
          <w:rFonts w:ascii="Times New Roman" w:hAnsi="Times New Roman"/>
          <w:b/>
          <w:i/>
          <w:color w:val="000000"/>
          <w:sz w:val="24"/>
          <w:szCs w:val="24"/>
          <w:lang w:eastAsia="lv-LV"/>
        </w:rPr>
        <w:t xml:space="preserve"> </w:t>
      </w:r>
      <w:r w:rsidR="002C4A30" w:rsidRPr="00A07F29">
        <w:rPr>
          <w:rFonts w:ascii="Times New Roman" w:hAnsi="Times New Roman"/>
          <w:b/>
          <w:i/>
          <w:color w:val="000000"/>
          <w:sz w:val="24"/>
          <w:szCs w:val="24"/>
          <w:lang w:eastAsia="lv-LV"/>
        </w:rPr>
        <w:t>robežu precizēšana un statusa noteikšana</w:t>
      </w:r>
      <w:r w:rsidR="00B80017" w:rsidRPr="00A07F29">
        <w:rPr>
          <w:rFonts w:ascii="Times New Roman" w:hAnsi="Times New Roman"/>
          <w:b/>
          <w:i/>
          <w:color w:val="000000"/>
          <w:sz w:val="24"/>
          <w:szCs w:val="24"/>
          <w:lang w:eastAsia="lv-LV"/>
        </w:rPr>
        <w:t xml:space="preserve"> jauniem objektiem</w:t>
      </w:r>
    </w:p>
    <w:p w14:paraId="5D38F86D" w14:textId="4FA83322" w:rsidR="006374C0" w:rsidRPr="00A07F29" w:rsidRDefault="002C4A30" w:rsidP="00201CE8">
      <w:pPr>
        <w:spacing w:before="120" w:after="0" w:line="240" w:lineRule="auto"/>
        <w:ind w:firstLine="851"/>
        <w:jc w:val="both"/>
        <w:rPr>
          <w:rFonts w:ascii="Times New Roman" w:hAnsi="Times New Roman"/>
          <w:color w:val="000000"/>
          <w:sz w:val="24"/>
          <w:szCs w:val="24"/>
          <w:lang w:eastAsia="lv-LV"/>
        </w:rPr>
      </w:pPr>
      <w:r w:rsidRPr="00A07F29">
        <w:rPr>
          <w:rFonts w:ascii="Times New Roman" w:eastAsia="Calibri" w:hAnsi="Times New Roman" w:cs="Calibri"/>
          <w:sz w:val="24"/>
          <w:lang w:eastAsia="ja-JP"/>
        </w:rPr>
        <w:t>Saskaņā ar veikto izpēti (</w:t>
      </w:r>
      <w:r w:rsidR="00B65BE5">
        <w:rPr>
          <w:rFonts w:ascii="Times New Roman" w:eastAsia="Calibri" w:hAnsi="Times New Roman" w:cs="Calibri"/>
          <w:sz w:val="24"/>
          <w:lang w:eastAsia="ja-JP"/>
        </w:rPr>
        <w:t xml:space="preserve">skat. </w:t>
      </w:r>
      <w:r w:rsidRPr="00A07F29">
        <w:rPr>
          <w:rFonts w:ascii="Times New Roman" w:eastAsia="Calibri" w:hAnsi="Times New Roman" w:cs="Calibri"/>
          <w:sz w:val="24"/>
          <w:lang w:eastAsia="ja-JP"/>
        </w:rPr>
        <w:t>4.</w:t>
      </w:r>
      <w:r w:rsidR="00652C52" w:rsidRPr="00A07F29">
        <w:rPr>
          <w:rFonts w:ascii="Times New Roman" w:eastAsia="Calibri" w:hAnsi="Times New Roman" w:cs="Calibri"/>
          <w:sz w:val="24"/>
          <w:lang w:eastAsia="ja-JP"/>
        </w:rPr>
        <w:t>12</w:t>
      </w:r>
      <w:r w:rsidRPr="00A07F29">
        <w:rPr>
          <w:rFonts w:ascii="Times New Roman" w:eastAsia="Calibri" w:hAnsi="Times New Roman" w:cs="Calibri"/>
          <w:sz w:val="24"/>
          <w:lang w:eastAsia="ja-JP"/>
        </w:rPr>
        <w:t>.</w:t>
      </w:r>
      <w:r w:rsidR="00B65BE5">
        <w:rPr>
          <w:rFonts w:ascii="Times New Roman" w:eastAsia="Calibri" w:hAnsi="Times New Roman" w:cs="Calibri"/>
          <w:sz w:val="24"/>
          <w:lang w:eastAsia="ja-JP"/>
        </w:rPr>
        <w:t> </w:t>
      </w:r>
      <w:r w:rsidRPr="00A07F29">
        <w:rPr>
          <w:rFonts w:ascii="Times New Roman" w:eastAsia="Calibri" w:hAnsi="Times New Roman" w:cs="Calibri"/>
          <w:sz w:val="24"/>
          <w:lang w:eastAsia="ja-JP"/>
        </w:rPr>
        <w:t>pielikums)</w:t>
      </w:r>
      <w:r w:rsidR="00A808AB" w:rsidRPr="00A07F29">
        <w:rPr>
          <w:rFonts w:ascii="Times New Roman" w:eastAsia="Calibri" w:hAnsi="Times New Roman" w:cs="Calibri"/>
          <w:sz w:val="24"/>
          <w:lang w:eastAsia="ja-JP"/>
        </w:rPr>
        <w:t>,</w:t>
      </w:r>
      <w:r w:rsidRPr="00A07F29">
        <w:rPr>
          <w:rFonts w:ascii="Times New Roman" w:eastAsia="Calibri" w:hAnsi="Times New Roman" w:cs="Calibri"/>
          <w:sz w:val="24"/>
          <w:lang w:eastAsia="ja-JP"/>
        </w:rPr>
        <w:t xml:space="preserve"> </w:t>
      </w:r>
      <w:r w:rsidR="009D1B75" w:rsidRPr="00A07F29">
        <w:rPr>
          <w:rFonts w:ascii="Times New Roman" w:eastAsia="Calibri" w:hAnsi="Times New Roman" w:cs="Calibri"/>
          <w:sz w:val="24"/>
          <w:lang w:eastAsia="ja-JP"/>
        </w:rPr>
        <w:t xml:space="preserve">ir </w:t>
      </w:r>
      <w:r w:rsidR="009706D7" w:rsidRPr="00A07F29">
        <w:rPr>
          <w:rFonts w:ascii="Times New Roman" w:eastAsia="Calibri" w:hAnsi="Times New Roman" w:cs="Calibri"/>
          <w:sz w:val="24"/>
          <w:lang w:eastAsia="ja-JP"/>
        </w:rPr>
        <w:t>nepieciešama</w:t>
      </w:r>
      <w:r w:rsidRPr="00A07F29">
        <w:rPr>
          <w:rFonts w:ascii="Times New Roman" w:eastAsia="Calibri" w:hAnsi="Times New Roman" w:cs="Calibri"/>
          <w:sz w:val="24"/>
          <w:lang w:eastAsia="ja-JP"/>
        </w:rPr>
        <w:t xml:space="preserve"> </w:t>
      </w:r>
      <w:r w:rsidRPr="00A07F29">
        <w:rPr>
          <w:rFonts w:ascii="Times New Roman" w:hAnsi="Times New Roman"/>
          <w:color w:val="000000"/>
          <w:sz w:val="24"/>
          <w:szCs w:val="24"/>
          <w:lang w:eastAsia="lv-LV"/>
        </w:rPr>
        <w:t xml:space="preserve">ģeoloģisko un </w:t>
      </w:r>
      <w:proofErr w:type="spellStart"/>
      <w:r w:rsidRPr="00A07F29">
        <w:rPr>
          <w:rFonts w:ascii="Times New Roman" w:hAnsi="Times New Roman"/>
          <w:color w:val="000000"/>
          <w:sz w:val="24"/>
          <w:szCs w:val="24"/>
          <w:lang w:eastAsia="lv-LV"/>
        </w:rPr>
        <w:t>ģeomorfoloģisko</w:t>
      </w:r>
      <w:proofErr w:type="spellEnd"/>
      <w:r w:rsidRPr="00A07F29">
        <w:rPr>
          <w:rFonts w:ascii="Times New Roman" w:hAnsi="Times New Roman"/>
          <w:color w:val="000000"/>
          <w:sz w:val="24"/>
          <w:szCs w:val="24"/>
          <w:lang w:eastAsia="lv-LV"/>
        </w:rPr>
        <w:t xml:space="preserve"> dabas pieminekļu “</w:t>
      </w:r>
      <w:proofErr w:type="spellStart"/>
      <w:r w:rsidRPr="00A07F29">
        <w:rPr>
          <w:rFonts w:ascii="Times New Roman" w:eastAsia="Calibri" w:hAnsi="Times New Roman" w:cs="Calibri"/>
          <w:sz w:val="24"/>
          <w:lang w:eastAsia="ja-JP"/>
        </w:rPr>
        <w:t>Sandarišķu</w:t>
      </w:r>
      <w:proofErr w:type="spellEnd"/>
      <w:r w:rsidRPr="00A07F29">
        <w:rPr>
          <w:rFonts w:ascii="Times New Roman" w:eastAsia="Calibri" w:hAnsi="Times New Roman" w:cs="Calibri"/>
          <w:sz w:val="24"/>
          <w:lang w:eastAsia="ja-JP"/>
        </w:rPr>
        <w:t xml:space="preserve"> </w:t>
      </w:r>
      <w:proofErr w:type="spellStart"/>
      <w:r w:rsidRPr="00A07F29">
        <w:rPr>
          <w:rFonts w:ascii="Times New Roman" w:eastAsia="Calibri" w:hAnsi="Times New Roman" w:cs="Calibri"/>
          <w:sz w:val="24"/>
          <w:lang w:eastAsia="ja-JP"/>
        </w:rPr>
        <w:t>karengravas</w:t>
      </w:r>
      <w:proofErr w:type="spellEnd"/>
      <w:r w:rsidRPr="00A07F29">
        <w:rPr>
          <w:rFonts w:ascii="Times New Roman" w:eastAsia="Calibri" w:hAnsi="Times New Roman" w:cs="Calibri"/>
          <w:sz w:val="24"/>
          <w:lang w:eastAsia="ja-JP"/>
        </w:rPr>
        <w:t>” un “Adamovas krauja”</w:t>
      </w:r>
      <w:r w:rsidRPr="00A07F29">
        <w:rPr>
          <w:rFonts w:ascii="Times New Roman" w:hAnsi="Times New Roman"/>
          <w:color w:val="000000"/>
          <w:sz w:val="24"/>
          <w:szCs w:val="24"/>
          <w:lang w:eastAsia="lv-LV"/>
        </w:rPr>
        <w:t xml:space="preserve"> robežu precizēšana</w:t>
      </w:r>
      <w:r w:rsidR="009D1B75" w:rsidRPr="00A07F29">
        <w:rPr>
          <w:rFonts w:ascii="Times New Roman" w:hAnsi="Times New Roman"/>
          <w:color w:val="000000"/>
          <w:sz w:val="24"/>
          <w:szCs w:val="24"/>
          <w:lang w:eastAsia="lv-LV"/>
        </w:rPr>
        <w:t xml:space="preserve">, lai tās atbilstu </w:t>
      </w:r>
      <w:proofErr w:type="spellStart"/>
      <w:r w:rsidR="009D1B75" w:rsidRPr="00A07F29">
        <w:rPr>
          <w:rFonts w:ascii="Times New Roman" w:hAnsi="Times New Roman"/>
          <w:color w:val="000000"/>
          <w:sz w:val="24"/>
          <w:szCs w:val="24"/>
          <w:lang w:eastAsia="lv-LV"/>
        </w:rPr>
        <w:t>ģeomorfoloģisko</w:t>
      </w:r>
      <w:proofErr w:type="spellEnd"/>
      <w:r w:rsidR="009D1B75" w:rsidRPr="00A07F29">
        <w:rPr>
          <w:rFonts w:ascii="Times New Roman" w:hAnsi="Times New Roman"/>
          <w:color w:val="000000"/>
          <w:sz w:val="24"/>
          <w:szCs w:val="24"/>
          <w:lang w:eastAsia="lv-LV"/>
        </w:rPr>
        <w:t xml:space="preserve"> objektu izvietojumam</w:t>
      </w:r>
      <w:r w:rsidR="00E67E7A" w:rsidRPr="00A07F29">
        <w:rPr>
          <w:rFonts w:ascii="Times New Roman" w:hAnsi="Times New Roman"/>
          <w:color w:val="000000"/>
          <w:sz w:val="24"/>
          <w:szCs w:val="24"/>
          <w:lang w:eastAsia="lv-LV"/>
        </w:rPr>
        <w:t>.</w:t>
      </w:r>
      <w:r w:rsidR="006374C0" w:rsidRPr="00A07F29">
        <w:rPr>
          <w:rFonts w:ascii="Times New Roman" w:hAnsi="Times New Roman"/>
          <w:color w:val="000000"/>
          <w:sz w:val="24"/>
          <w:szCs w:val="24"/>
          <w:lang w:eastAsia="lv-LV"/>
        </w:rPr>
        <w:t xml:space="preserve"> </w:t>
      </w:r>
      <w:r w:rsidR="00A808AB" w:rsidRPr="00A07F29">
        <w:rPr>
          <w:rFonts w:ascii="Times New Roman" w:hAnsi="Times New Roman"/>
          <w:color w:val="000000"/>
          <w:sz w:val="24"/>
          <w:szCs w:val="24"/>
          <w:lang w:eastAsia="lv-LV"/>
        </w:rPr>
        <w:t xml:space="preserve">VARAM </w:t>
      </w:r>
      <w:r w:rsidR="00201CE8" w:rsidRPr="00A07F29">
        <w:rPr>
          <w:rFonts w:ascii="Times New Roman" w:hAnsi="Times New Roman"/>
          <w:color w:val="000000"/>
          <w:sz w:val="24"/>
          <w:szCs w:val="24"/>
          <w:lang w:eastAsia="lv-LV"/>
        </w:rPr>
        <w:t xml:space="preserve">virzīja un ir apstiprināti jauni noteikumi </w:t>
      </w:r>
      <w:r w:rsidR="004B5F04">
        <w:rPr>
          <w:rFonts w:ascii="Times New Roman" w:hAnsi="Times New Roman"/>
          <w:color w:val="000000"/>
          <w:sz w:val="24"/>
          <w:szCs w:val="24"/>
          <w:lang w:eastAsia="lv-LV"/>
        </w:rPr>
        <w:t>–</w:t>
      </w:r>
      <w:r w:rsidR="00201CE8" w:rsidRPr="00A07F29">
        <w:rPr>
          <w:rFonts w:ascii="Times New Roman" w:hAnsi="Times New Roman"/>
          <w:color w:val="000000"/>
          <w:sz w:val="24"/>
          <w:szCs w:val="24"/>
          <w:lang w:eastAsia="lv-LV"/>
        </w:rPr>
        <w:t xml:space="preserve"> MK 2022.</w:t>
      </w:r>
      <w:r w:rsidR="004B5F04">
        <w:rPr>
          <w:rFonts w:ascii="Times New Roman" w:hAnsi="Times New Roman"/>
          <w:color w:val="000000"/>
          <w:sz w:val="24"/>
          <w:szCs w:val="24"/>
          <w:lang w:eastAsia="lv-LV"/>
        </w:rPr>
        <w:t> </w:t>
      </w:r>
      <w:r w:rsidR="00201CE8" w:rsidRPr="00A07F29">
        <w:rPr>
          <w:rFonts w:ascii="Times New Roman" w:hAnsi="Times New Roman"/>
          <w:color w:val="000000"/>
          <w:sz w:val="24"/>
          <w:szCs w:val="24"/>
          <w:lang w:eastAsia="lv-LV"/>
        </w:rPr>
        <w:t>gada 14.</w:t>
      </w:r>
      <w:r w:rsidR="004B5F04">
        <w:rPr>
          <w:rFonts w:ascii="Times New Roman" w:hAnsi="Times New Roman"/>
          <w:color w:val="000000"/>
          <w:sz w:val="24"/>
          <w:szCs w:val="24"/>
          <w:lang w:eastAsia="lv-LV"/>
        </w:rPr>
        <w:t> </w:t>
      </w:r>
      <w:r w:rsidR="00201CE8" w:rsidRPr="00A07F29">
        <w:rPr>
          <w:rFonts w:ascii="Times New Roman" w:hAnsi="Times New Roman"/>
          <w:color w:val="000000"/>
          <w:sz w:val="24"/>
          <w:szCs w:val="24"/>
          <w:lang w:eastAsia="lv-LV"/>
        </w:rPr>
        <w:t>jūlija noteikumi Nr.</w:t>
      </w:r>
      <w:r w:rsidR="004B5F04">
        <w:rPr>
          <w:rFonts w:ascii="Times New Roman" w:hAnsi="Times New Roman"/>
          <w:color w:val="000000"/>
          <w:sz w:val="24"/>
          <w:szCs w:val="24"/>
          <w:lang w:eastAsia="lv-LV"/>
        </w:rPr>
        <w:t> </w:t>
      </w:r>
      <w:r w:rsidR="00201CE8" w:rsidRPr="00A07F29">
        <w:rPr>
          <w:rFonts w:ascii="Times New Roman" w:hAnsi="Times New Roman"/>
          <w:color w:val="000000"/>
          <w:sz w:val="24"/>
          <w:szCs w:val="24"/>
          <w:lang w:eastAsia="lv-LV"/>
        </w:rPr>
        <w:t xml:space="preserve">461 “Noteikumi par aizsargājamiem ģeoloģiskajiem un </w:t>
      </w:r>
      <w:proofErr w:type="spellStart"/>
      <w:r w:rsidR="00201CE8" w:rsidRPr="00A07F29">
        <w:rPr>
          <w:rFonts w:ascii="Times New Roman" w:hAnsi="Times New Roman"/>
          <w:color w:val="000000"/>
          <w:sz w:val="24"/>
          <w:szCs w:val="24"/>
          <w:lang w:eastAsia="lv-LV"/>
        </w:rPr>
        <w:t>ģeomorfoloģiskajiem</w:t>
      </w:r>
      <w:proofErr w:type="spellEnd"/>
      <w:r w:rsidR="00201CE8" w:rsidRPr="00A07F29">
        <w:rPr>
          <w:rFonts w:ascii="Times New Roman" w:hAnsi="Times New Roman"/>
          <w:color w:val="000000"/>
          <w:sz w:val="24"/>
          <w:szCs w:val="24"/>
          <w:lang w:eastAsia="lv-LV"/>
        </w:rPr>
        <w:t xml:space="preserve"> dabas pieminekļiem”, ar kuriem </w:t>
      </w:r>
      <w:r w:rsidR="006374C0" w:rsidRPr="00A07F29">
        <w:rPr>
          <w:rFonts w:ascii="Times New Roman" w:hAnsi="Times New Roman"/>
          <w:color w:val="000000"/>
          <w:sz w:val="24"/>
          <w:szCs w:val="24"/>
          <w:lang w:eastAsia="lv-LV"/>
        </w:rPr>
        <w:t>dabas pieminekļu “</w:t>
      </w:r>
      <w:proofErr w:type="spellStart"/>
      <w:r w:rsidR="006374C0" w:rsidRPr="00A07F29">
        <w:rPr>
          <w:rFonts w:ascii="Times New Roman" w:hAnsi="Times New Roman"/>
          <w:color w:val="000000"/>
          <w:sz w:val="24"/>
          <w:szCs w:val="24"/>
          <w:lang w:eastAsia="lv-LV"/>
        </w:rPr>
        <w:t>Sandarišķu</w:t>
      </w:r>
      <w:proofErr w:type="spellEnd"/>
      <w:r w:rsidR="006374C0" w:rsidRPr="00A07F29">
        <w:rPr>
          <w:rFonts w:ascii="Times New Roman" w:hAnsi="Times New Roman"/>
          <w:color w:val="000000"/>
          <w:sz w:val="24"/>
          <w:szCs w:val="24"/>
          <w:lang w:eastAsia="lv-LV"/>
        </w:rPr>
        <w:t xml:space="preserve"> </w:t>
      </w:r>
      <w:proofErr w:type="spellStart"/>
      <w:r w:rsidR="006374C0" w:rsidRPr="00A07F29">
        <w:rPr>
          <w:rFonts w:ascii="Times New Roman" w:hAnsi="Times New Roman"/>
          <w:color w:val="000000"/>
          <w:sz w:val="24"/>
          <w:szCs w:val="24"/>
          <w:lang w:eastAsia="lv-LV"/>
        </w:rPr>
        <w:t>karengravas</w:t>
      </w:r>
      <w:proofErr w:type="spellEnd"/>
      <w:r w:rsidR="006374C0" w:rsidRPr="00A07F29">
        <w:rPr>
          <w:rFonts w:ascii="Times New Roman" w:hAnsi="Times New Roman"/>
          <w:color w:val="000000"/>
          <w:sz w:val="24"/>
          <w:szCs w:val="24"/>
          <w:lang w:eastAsia="lv-LV"/>
        </w:rPr>
        <w:t xml:space="preserve">” un “Adamovas krauja” </w:t>
      </w:r>
      <w:r w:rsidR="00201CE8" w:rsidRPr="00A07F29">
        <w:rPr>
          <w:rFonts w:ascii="Times New Roman" w:hAnsi="Times New Roman"/>
          <w:color w:val="000000"/>
          <w:sz w:val="24"/>
          <w:szCs w:val="24"/>
          <w:lang w:eastAsia="lv-LV"/>
        </w:rPr>
        <w:t xml:space="preserve">robežas </w:t>
      </w:r>
      <w:r w:rsidR="005777F9" w:rsidRPr="00A07F29">
        <w:rPr>
          <w:rFonts w:ascii="Times New Roman" w:hAnsi="Times New Roman"/>
          <w:color w:val="000000"/>
          <w:sz w:val="24"/>
          <w:szCs w:val="24"/>
          <w:lang w:eastAsia="lv-LV"/>
        </w:rPr>
        <w:t>tika</w:t>
      </w:r>
      <w:r w:rsidR="00201CE8" w:rsidRPr="00A07F29">
        <w:rPr>
          <w:rFonts w:ascii="Times New Roman" w:hAnsi="Times New Roman"/>
          <w:color w:val="000000"/>
          <w:sz w:val="24"/>
          <w:szCs w:val="24"/>
          <w:lang w:eastAsia="lv-LV"/>
        </w:rPr>
        <w:t xml:space="preserve"> pārskatītas</w:t>
      </w:r>
      <w:r w:rsidR="006374C0" w:rsidRPr="00A07F29">
        <w:rPr>
          <w:rFonts w:ascii="Times New Roman" w:hAnsi="Times New Roman"/>
          <w:color w:val="000000"/>
          <w:sz w:val="24"/>
          <w:szCs w:val="24"/>
          <w:lang w:eastAsia="lv-LV"/>
        </w:rPr>
        <w:t>.</w:t>
      </w:r>
    </w:p>
    <w:p w14:paraId="50998155" w14:textId="10F3437D" w:rsidR="00633EF1" w:rsidRPr="00A07F29" w:rsidRDefault="00903972" w:rsidP="00633EF1">
      <w:pPr>
        <w:spacing w:after="0" w:line="240" w:lineRule="auto"/>
        <w:ind w:firstLine="851"/>
        <w:jc w:val="both"/>
        <w:rPr>
          <w:rFonts w:ascii="Times New Roman" w:hAnsi="Times New Roman"/>
          <w:color w:val="000000"/>
          <w:sz w:val="24"/>
          <w:szCs w:val="24"/>
          <w:lang w:eastAsia="lv-LV"/>
        </w:rPr>
      </w:pPr>
      <w:r w:rsidRPr="00A07F29">
        <w:rPr>
          <w:rFonts w:ascii="Times New Roman" w:hAnsi="Times New Roman"/>
          <w:color w:val="000000"/>
          <w:sz w:val="24"/>
          <w:szCs w:val="24"/>
          <w:lang w:eastAsia="lv-LV"/>
        </w:rPr>
        <w:t xml:space="preserve">Lai nodrošinātu </w:t>
      </w:r>
      <w:proofErr w:type="spellStart"/>
      <w:r w:rsidRPr="00A07F29">
        <w:rPr>
          <w:rFonts w:ascii="Times New Roman" w:hAnsi="Times New Roman"/>
          <w:color w:val="000000"/>
          <w:sz w:val="24"/>
          <w:szCs w:val="24"/>
          <w:lang w:eastAsia="lv-LV"/>
        </w:rPr>
        <w:t>ģeomorfoloģisko</w:t>
      </w:r>
      <w:proofErr w:type="spellEnd"/>
      <w:r w:rsidRPr="00A07F29">
        <w:rPr>
          <w:rFonts w:ascii="Times New Roman" w:hAnsi="Times New Roman"/>
          <w:color w:val="000000"/>
          <w:sz w:val="24"/>
          <w:szCs w:val="24"/>
          <w:lang w:eastAsia="lv-LV"/>
        </w:rPr>
        <w:t xml:space="preserve"> un bioloģisko dabas vērtību saglabāšanu un vienlaikus nepamatoti neierobežotu zemes īpašumu izmantošanas iespējas, </w:t>
      </w:r>
      <w:r w:rsidR="005777F9" w:rsidRPr="00A07F29">
        <w:rPr>
          <w:rFonts w:ascii="Times New Roman" w:hAnsi="Times New Roman"/>
          <w:color w:val="000000"/>
          <w:sz w:val="24"/>
          <w:szCs w:val="24"/>
          <w:lang w:eastAsia="lv-LV"/>
        </w:rPr>
        <w:t xml:space="preserve">DA plāna izstrādes ietvaros tika ierosināts </w:t>
      </w:r>
      <w:r w:rsidR="0032057A" w:rsidRPr="00A07F29">
        <w:rPr>
          <w:rFonts w:ascii="Times New Roman" w:hAnsi="Times New Roman"/>
          <w:color w:val="000000"/>
          <w:sz w:val="24"/>
          <w:szCs w:val="24"/>
          <w:lang w:eastAsia="lv-LV"/>
        </w:rPr>
        <w:t>dabas pieminekļa “</w:t>
      </w:r>
      <w:proofErr w:type="spellStart"/>
      <w:r w:rsidR="0032057A" w:rsidRPr="00A07F29">
        <w:rPr>
          <w:rFonts w:ascii="Times New Roman" w:hAnsi="Times New Roman"/>
          <w:color w:val="000000"/>
          <w:sz w:val="24"/>
          <w:szCs w:val="24"/>
          <w:lang w:eastAsia="lv-LV"/>
        </w:rPr>
        <w:t>Sandarišku</w:t>
      </w:r>
      <w:proofErr w:type="spellEnd"/>
      <w:r w:rsidR="0032057A" w:rsidRPr="00A07F29">
        <w:rPr>
          <w:rFonts w:ascii="Times New Roman" w:hAnsi="Times New Roman"/>
          <w:color w:val="000000"/>
          <w:sz w:val="24"/>
          <w:szCs w:val="24"/>
          <w:lang w:eastAsia="lv-LV"/>
        </w:rPr>
        <w:t xml:space="preserve"> </w:t>
      </w:r>
      <w:proofErr w:type="spellStart"/>
      <w:r w:rsidR="0032057A" w:rsidRPr="00A07F29">
        <w:rPr>
          <w:rFonts w:ascii="Times New Roman" w:hAnsi="Times New Roman"/>
          <w:color w:val="000000"/>
          <w:sz w:val="24"/>
          <w:szCs w:val="24"/>
          <w:lang w:eastAsia="lv-LV"/>
        </w:rPr>
        <w:t>karengravas</w:t>
      </w:r>
      <w:proofErr w:type="spellEnd"/>
      <w:r w:rsidR="0032057A" w:rsidRPr="00A07F29">
        <w:rPr>
          <w:rFonts w:ascii="Times New Roman" w:hAnsi="Times New Roman"/>
          <w:color w:val="000000"/>
          <w:sz w:val="24"/>
          <w:szCs w:val="24"/>
          <w:lang w:eastAsia="lv-LV"/>
        </w:rPr>
        <w:t xml:space="preserve">” teritorijā zemes </w:t>
      </w:r>
      <w:r w:rsidRPr="00A07F29">
        <w:rPr>
          <w:rFonts w:ascii="Times New Roman" w:hAnsi="Times New Roman"/>
          <w:color w:val="000000"/>
          <w:sz w:val="24"/>
          <w:szCs w:val="24"/>
          <w:lang w:eastAsia="lv-LV"/>
        </w:rPr>
        <w:t>vienībā</w:t>
      </w:r>
      <w:r w:rsidR="008139F9" w:rsidRPr="00A07F29">
        <w:rPr>
          <w:rFonts w:ascii="Times New Roman" w:hAnsi="Times New Roman"/>
          <w:color w:val="000000"/>
          <w:sz w:val="24"/>
          <w:szCs w:val="24"/>
          <w:lang w:eastAsia="lv-LV"/>
        </w:rPr>
        <w:t>s</w:t>
      </w:r>
      <w:r w:rsidRPr="00A07F29">
        <w:rPr>
          <w:rFonts w:ascii="Times New Roman" w:hAnsi="Times New Roman"/>
          <w:color w:val="000000"/>
          <w:sz w:val="24"/>
          <w:szCs w:val="24"/>
          <w:lang w:eastAsia="lv-LV"/>
        </w:rPr>
        <w:t xml:space="preserve"> </w:t>
      </w:r>
      <w:r w:rsidR="000927CB" w:rsidRPr="00A07F29">
        <w:rPr>
          <w:rFonts w:ascii="Times New Roman" w:hAnsi="Times New Roman"/>
          <w:color w:val="000000"/>
          <w:sz w:val="24"/>
          <w:szCs w:val="24"/>
          <w:lang w:eastAsia="lv-LV"/>
        </w:rPr>
        <w:t xml:space="preserve">ar </w:t>
      </w:r>
      <w:r w:rsidR="0032057A" w:rsidRPr="00A07F29">
        <w:rPr>
          <w:rFonts w:ascii="Times New Roman" w:hAnsi="Times New Roman"/>
          <w:color w:val="000000"/>
          <w:sz w:val="24"/>
          <w:szCs w:val="24"/>
          <w:lang w:eastAsia="lv-LV"/>
        </w:rPr>
        <w:t>kadastra apzīmējum</w:t>
      </w:r>
      <w:r w:rsidR="008139F9" w:rsidRPr="00A07F29">
        <w:rPr>
          <w:rFonts w:ascii="Times New Roman" w:hAnsi="Times New Roman"/>
          <w:color w:val="000000"/>
          <w:sz w:val="24"/>
          <w:szCs w:val="24"/>
          <w:lang w:eastAsia="lv-LV"/>
        </w:rPr>
        <w:t>iem</w:t>
      </w:r>
      <w:r w:rsidR="0032057A" w:rsidRPr="00A07F29">
        <w:rPr>
          <w:rFonts w:ascii="Times New Roman" w:hAnsi="Times New Roman"/>
          <w:color w:val="000000"/>
          <w:sz w:val="24"/>
          <w:szCs w:val="24"/>
          <w:lang w:eastAsia="lv-LV"/>
        </w:rPr>
        <w:t xml:space="preserve"> 44740080329 </w:t>
      </w:r>
      <w:r w:rsidR="008139F9" w:rsidRPr="00A07F29">
        <w:rPr>
          <w:rFonts w:ascii="Times New Roman" w:hAnsi="Times New Roman"/>
          <w:color w:val="000000"/>
          <w:sz w:val="24"/>
          <w:szCs w:val="24"/>
          <w:lang w:eastAsia="lv-LV"/>
        </w:rPr>
        <w:t xml:space="preserve">un </w:t>
      </w:r>
      <w:r w:rsidR="008139F9" w:rsidRPr="00A07F29">
        <w:rPr>
          <w:rFonts w:ascii="Times New Roman" w:eastAsia="Times New Roman" w:hAnsi="Times New Roman" w:cs="Times New Roman"/>
          <w:sz w:val="24"/>
          <w:szCs w:val="24"/>
          <w:lang w:eastAsia="lv-LV"/>
        </w:rPr>
        <w:t xml:space="preserve">44740080025 </w:t>
      </w:r>
      <w:r w:rsidR="00426482" w:rsidRPr="00A07F29">
        <w:rPr>
          <w:rFonts w:ascii="Times New Roman" w:hAnsi="Times New Roman"/>
          <w:color w:val="000000"/>
          <w:sz w:val="24"/>
          <w:szCs w:val="24"/>
          <w:lang w:eastAsia="lv-LV"/>
        </w:rPr>
        <w:t>t</w:t>
      </w:r>
      <w:r w:rsidR="008139F9" w:rsidRPr="00A07F29">
        <w:rPr>
          <w:rFonts w:ascii="Times New Roman" w:hAnsi="Times New Roman"/>
          <w:color w:val="000000"/>
          <w:sz w:val="24"/>
          <w:szCs w:val="24"/>
          <w:lang w:eastAsia="lv-LV"/>
        </w:rPr>
        <w:t xml:space="preserve">o </w:t>
      </w:r>
      <w:r w:rsidR="0032057A" w:rsidRPr="00A07F29">
        <w:rPr>
          <w:rFonts w:ascii="Times New Roman" w:hAnsi="Times New Roman"/>
          <w:color w:val="000000"/>
          <w:sz w:val="24"/>
          <w:szCs w:val="24"/>
          <w:lang w:eastAsia="lv-LV"/>
        </w:rPr>
        <w:t>līdzenajā ceļam pieguļošajā daļā, kā arī kempingam “</w:t>
      </w:r>
      <w:proofErr w:type="spellStart"/>
      <w:r w:rsidR="0032057A" w:rsidRPr="00A07F29">
        <w:rPr>
          <w:rFonts w:ascii="Times New Roman" w:hAnsi="Times New Roman"/>
          <w:color w:val="000000"/>
          <w:sz w:val="24"/>
          <w:szCs w:val="24"/>
          <w:lang w:eastAsia="lv-LV"/>
        </w:rPr>
        <w:t>Ozianna</w:t>
      </w:r>
      <w:proofErr w:type="spellEnd"/>
      <w:r w:rsidR="0032057A" w:rsidRPr="00A07F29">
        <w:rPr>
          <w:rFonts w:ascii="Times New Roman" w:hAnsi="Times New Roman"/>
          <w:color w:val="000000"/>
          <w:sz w:val="24"/>
          <w:szCs w:val="24"/>
          <w:lang w:eastAsia="lv-LV"/>
        </w:rPr>
        <w:t xml:space="preserve">” piederošajā zemes </w:t>
      </w:r>
      <w:r w:rsidRPr="00A07F29">
        <w:rPr>
          <w:rFonts w:ascii="Times New Roman" w:hAnsi="Times New Roman"/>
          <w:color w:val="000000"/>
          <w:sz w:val="24"/>
          <w:szCs w:val="24"/>
          <w:lang w:eastAsia="lv-LV"/>
        </w:rPr>
        <w:t>vienībā</w:t>
      </w:r>
      <w:r w:rsidR="0032057A" w:rsidRPr="00A07F29">
        <w:rPr>
          <w:rFonts w:ascii="Times New Roman" w:hAnsi="Times New Roman"/>
          <w:color w:val="000000"/>
          <w:sz w:val="24"/>
          <w:szCs w:val="24"/>
          <w:lang w:eastAsia="lv-LV"/>
        </w:rPr>
        <w:t xml:space="preserve"> ar kadastra </w:t>
      </w:r>
      <w:r w:rsidRPr="00A07F29">
        <w:rPr>
          <w:rFonts w:ascii="Times New Roman" w:hAnsi="Times New Roman"/>
          <w:color w:val="000000"/>
          <w:sz w:val="24"/>
          <w:szCs w:val="24"/>
          <w:lang w:eastAsia="lv-LV"/>
        </w:rPr>
        <w:t>apzīmējumu</w:t>
      </w:r>
      <w:r w:rsidR="0032057A" w:rsidRPr="00A07F29">
        <w:rPr>
          <w:rFonts w:ascii="Times New Roman" w:hAnsi="Times New Roman"/>
          <w:color w:val="000000"/>
          <w:sz w:val="24"/>
          <w:szCs w:val="24"/>
          <w:lang w:eastAsia="lv-LV"/>
        </w:rPr>
        <w:t xml:space="preserve"> 447</w:t>
      </w:r>
      <w:r w:rsidRPr="00A07F29">
        <w:rPr>
          <w:rFonts w:ascii="Times New Roman" w:hAnsi="Times New Roman"/>
          <w:color w:val="000000"/>
          <w:sz w:val="24"/>
          <w:szCs w:val="24"/>
          <w:lang w:eastAsia="lv-LV"/>
        </w:rPr>
        <w:t>40080245 ceļam pieguļošajā daļā</w:t>
      </w:r>
      <w:r w:rsidR="0032057A" w:rsidRPr="00A07F29">
        <w:rPr>
          <w:rFonts w:ascii="Times New Roman" w:hAnsi="Times New Roman"/>
          <w:color w:val="000000"/>
          <w:sz w:val="24"/>
          <w:szCs w:val="24"/>
          <w:lang w:eastAsia="lv-LV"/>
        </w:rPr>
        <w:t xml:space="preserve"> atļaut zemes lietošanas kategorijas maiņ</w:t>
      </w:r>
      <w:r w:rsidR="005777F9" w:rsidRPr="00A07F29">
        <w:rPr>
          <w:rFonts w:ascii="Times New Roman" w:hAnsi="Times New Roman"/>
          <w:color w:val="000000"/>
          <w:sz w:val="24"/>
          <w:szCs w:val="24"/>
          <w:lang w:eastAsia="lv-LV"/>
        </w:rPr>
        <w:t>u</w:t>
      </w:r>
      <w:r w:rsidR="0032057A" w:rsidRPr="00A07F29">
        <w:rPr>
          <w:rFonts w:ascii="Times New Roman" w:hAnsi="Times New Roman"/>
          <w:color w:val="000000"/>
          <w:sz w:val="24"/>
          <w:szCs w:val="24"/>
          <w:lang w:eastAsia="lv-LV"/>
        </w:rPr>
        <w:t xml:space="preserve">, saskaņojot to ar </w:t>
      </w:r>
      <w:r w:rsidR="00C25036" w:rsidRPr="00C25036">
        <w:rPr>
          <w:rFonts w:ascii="Times New Roman" w:hAnsi="Times New Roman"/>
          <w:color w:val="000000"/>
          <w:sz w:val="24"/>
          <w:szCs w:val="24"/>
          <w:lang w:eastAsia="lv-LV"/>
        </w:rPr>
        <w:t>DAP</w:t>
      </w:r>
      <w:r w:rsidRPr="00A07F29">
        <w:rPr>
          <w:rFonts w:ascii="Times New Roman" w:hAnsi="Times New Roman"/>
          <w:color w:val="000000"/>
          <w:sz w:val="24"/>
          <w:szCs w:val="24"/>
          <w:lang w:eastAsia="lv-LV"/>
        </w:rPr>
        <w:t xml:space="preserve"> (</w:t>
      </w:r>
      <w:r w:rsidR="0022157C">
        <w:rPr>
          <w:rFonts w:ascii="Times New Roman" w:hAnsi="Times New Roman"/>
          <w:color w:val="000000"/>
          <w:sz w:val="24"/>
          <w:szCs w:val="24"/>
          <w:lang w:eastAsia="lv-LV"/>
        </w:rPr>
        <w:t xml:space="preserve">skat. </w:t>
      </w:r>
      <w:r w:rsidR="00C25036">
        <w:rPr>
          <w:rFonts w:ascii="Times New Roman" w:hAnsi="Times New Roman"/>
          <w:color w:val="000000"/>
          <w:sz w:val="24"/>
          <w:szCs w:val="24"/>
          <w:lang w:eastAsia="lv-LV"/>
        </w:rPr>
        <w:t>5</w:t>
      </w:r>
      <w:r w:rsidRPr="00A07F29">
        <w:rPr>
          <w:rFonts w:ascii="Times New Roman" w:hAnsi="Times New Roman"/>
          <w:color w:val="000000"/>
          <w:sz w:val="24"/>
          <w:szCs w:val="24"/>
          <w:lang w:eastAsia="lv-LV"/>
        </w:rPr>
        <w:t>.</w:t>
      </w:r>
      <w:r w:rsidR="00C25036">
        <w:rPr>
          <w:rFonts w:ascii="Times New Roman" w:hAnsi="Times New Roman"/>
          <w:color w:val="000000"/>
          <w:sz w:val="24"/>
          <w:szCs w:val="24"/>
          <w:lang w:eastAsia="lv-LV"/>
        </w:rPr>
        <w:t>3</w:t>
      </w:r>
      <w:r w:rsidRPr="00A07F29">
        <w:rPr>
          <w:rFonts w:ascii="Times New Roman" w:hAnsi="Times New Roman"/>
          <w:color w:val="000000"/>
          <w:sz w:val="24"/>
          <w:szCs w:val="24"/>
          <w:lang w:eastAsia="lv-LV"/>
        </w:rPr>
        <w:t>.1.</w:t>
      </w:r>
      <w:r w:rsidR="0022157C">
        <w:rPr>
          <w:rFonts w:ascii="Times New Roman" w:hAnsi="Times New Roman"/>
          <w:color w:val="000000"/>
          <w:sz w:val="24"/>
          <w:szCs w:val="24"/>
          <w:lang w:eastAsia="lv-LV"/>
        </w:rPr>
        <w:t> </w:t>
      </w:r>
      <w:r w:rsidRPr="00A07F29">
        <w:rPr>
          <w:rFonts w:ascii="Times New Roman" w:hAnsi="Times New Roman"/>
          <w:color w:val="000000"/>
          <w:sz w:val="24"/>
          <w:szCs w:val="24"/>
          <w:lang w:eastAsia="lv-LV"/>
        </w:rPr>
        <w:t>attēls).</w:t>
      </w:r>
      <w:r w:rsidR="006374C0" w:rsidRPr="00A07F29">
        <w:rPr>
          <w:rFonts w:ascii="Times New Roman" w:hAnsi="Times New Roman"/>
          <w:color w:val="000000"/>
          <w:sz w:val="24"/>
          <w:szCs w:val="24"/>
          <w:lang w:eastAsia="lv-LV"/>
        </w:rPr>
        <w:t xml:space="preserve"> Šis nosac</w:t>
      </w:r>
      <w:r w:rsidR="009706D7" w:rsidRPr="00A07F29">
        <w:rPr>
          <w:rFonts w:ascii="Times New Roman" w:hAnsi="Times New Roman"/>
          <w:color w:val="000000"/>
          <w:sz w:val="24"/>
          <w:szCs w:val="24"/>
          <w:lang w:eastAsia="lv-LV"/>
        </w:rPr>
        <w:t>ījum</w:t>
      </w:r>
      <w:r w:rsidR="006374C0" w:rsidRPr="00A07F29">
        <w:rPr>
          <w:rFonts w:ascii="Times New Roman" w:hAnsi="Times New Roman"/>
          <w:color w:val="000000"/>
          <w:sz w:val="24"/>
          <w:szCs w:val="24"/>
          <w:lang w:eastAsia="lv-LV"/>
        </w:rPr>
        <w:t>s iekļaujams AAA “Augšdaugava” individuālajos aizsardzības un izmantošanas noteikumos</w:t>
      </w:r>
      <w:r w:rsidR="00633EF1" w:rsidRPr="00A07F29">
        <w:rPr>
          <w:rFonts w:ascii="Times New Roman" w:hAnsi="Times New Roman"/>
          <w:color w:val="000000"/>
          <w:sz w:val="24"/>
          <w:szCs w:val="24"/>
          <w:lang w:eastAsia="lv-LV"/>
        </w:rPr>
        <w:t xml:space="preserve"> </w:t>
      </w:r>
      <w:r w:rsidR="00810944">
        <w:rPr>
          <w:rFonts w:ascii="Times New Roman" w:hAnsi="Times New Roman"/>
          <w:color w:val="000000"/>
          <w:sz w:val="24"/>
          <w:szCs w:val="24"/>
          <w:lang w:eastAsia="lv-LV"/>
        </w:rPr>
        <w:t>(</w:t>
      </w:r>
      <w:r w:rsidR="006374C0" w:rsidRPr="00A07F29">
        <w:rPr>
          <w:rFonts w:ascii="Times New Roman" w:hAnsi="Times New Roman"/>
          <w:color w:val="000000"/>
          <w:sz w:val="24"/>
          <w:szCs w:val="24"/>
          <w:lang w:eastAsia="lv-LV"/>
        </w:rPr>
        <w:t>skat. DA plāna 6.2.</w:t>
      </w:r>
      <w:r w:rsidR="0022157C">
        <w:rPr>
          <w:rFonts w:ascii="Times New Roman" w:hAnsi="Times New Roman"/>
          <w:color w:val="000000"/>
          <w:sz w:val="24"/>
          <w:szCs w:val="24"/>
          <w:lang w:eastAsia="lv-LV"/>
        </w:rPr>
        <w:t> </w:t>
      </w:r>
      <w:r w:rsidR="006374C0" w:rsidRPr="00A07F29">
        <w:rPr>
          <w:rFonts w:ascii="Times New Roman" w:hAnsi="Times New Roman"/>
          <w:color w:val="000000"/>
          <w:sz w:val="24"/>
          <w:szCs w:val="24"/>
          <w:lang w:eastAsia="lv-LV"/>
        </w:rPr>
        <w:t>noda</w:t>
      </w:r>
      <w:r w:rsidR="00633EF1" w:rsidRPr="00A07F29">
        <w:rPr>
          <w:rFonts w:ascii="Times New Roman" w:hAnsi="Times New Roman"/>
          <w:color w:val="000000"/>
          <w:sz w:val="24"/>
          <w:szCs w:val="24"/>
          <w:lang w:eastAsia="lv-LV"/>
        </w:rPr>
        <w:t>ļā</w:t>
      </w:r>
      <w:r w:rsidR="00810944">
        <w:rPr>
          <w:rFonts w:ascii="Times New Roman" w:hAnsi="Times New Roman"/>
          <w:color w:val="000000"/>
          <w:sz w:val="24"/>
          <w:szCs w:val="24"/>
          <w:lang w:eastAsia="lv-LV"/>
        </w:rPr>
        <w:t>)</w:t>
      </w:r>
      <w:r w:rsidR="00633EF1" w:rsidRPr="00A07F29">
        <w:rPr>
          <w:rFonts w:ascii="Times New Roman" w:hAnsi="Times New Roman"/>
          <w:color w:val="000000"/>
          <w:sz w:val="24"/>
          <w:szCs w:val="24"/>
          <w:lang w:eastAsia="lv-LV"/>
        </w:rPr>
        <w:t>:</w:t>
      </w:r>
    </w:p>
    <w:p w14:paraId="3140EAEC" w14:textId="7923BD60" w:rsidR="00633EF1" w:rsidRPr="00A07F29" w:rsidRDefault="00810944" w:rsidP="00633EF1">
      <w:pPr>
        <w:spacing w:after="0" w:line="240" w:lineRule="auto"/>
        <w:ind w:firstLine="851"/>
        <w:jc w:val="both"/>
        <w:rPr>
          <w:rFonts w:ascii="Times New Roman" w:hAnsi="Times New Roman"/>
          <w:color w:val="000000"/>
          <w:sz w:val="24"/>
          <w:szCs w:val="24"/>
          <w:lang w:eastAsia="lv-LV"/>
        </w:rPr>
      </w:pPr>
      <w:r>
        <w:rPr>
          <w:rFonts w:ascii="Times New Roman" w:hAnsi="Times New Roman"/>
          <w:color w:val="000000"/>
          <w:sz w:val="24"/>
          <w:szCs w:val="24"/>
          <w:lang w:eastAsia="lv-LV"/>
        </w:rPr>
        <w:t>“</w:t>
      </w:r>
      <w:r w:rsidR="00633EF1" w:rsidRPr="00A07F29">
        <w:rPr>
          <w:rFonts w:ascii="Times New Roman" w:hAnsi="Times New Roman"/>
          <w:color w:val="000000"/>
          <w:sz w:val="24"/>
          <w:szCs w:val="24"/>
          <w:lang w:eastAsia="lv-LV"/>
        </w:rPr>
        <w:t>50.</w:t>
      </w:r>
      <w:r>
        <w:rPr>
          <w:rFonts w:ascii="Times New Roman" w:hAnsi="Times New Roman"/>
          <w:color w:val="000000"/>
          <w:sz w:val="24"/>
          <w:szCs w:val="24"/>
          <w:lang w:eastAsia="lv-LV"/>
        </w:rPr>
        <w:t> </w:t>
      </w:r>
      <w:r w:rsidR="00633EF1" w:rsidRPr="00A07F29">
        <w:rPr>
          <w:rFonts w:ascii="Times New Roman" w:hAnsi="Times New Roman"/>
          <w:color w:val="000000"/>
          <w:sz w:val="24"/>
          <w:szCs w:val="24"/>
          <w:lang w:eastAsia="lv-LV"/>
        </w:rPr>
        <w:t>Dabas pieminekļu teritorijā aizliegts:</w:t>
      </w:r>
    </w:p>
    <w:p w14:paraId="22811CBA" w14:textId="04B52AD1" w:rsidR="00633EF1" w:rsidRPr="00A07F29" w:rsidRDefault="00633EF1" w:rsidP="00633EF1">
      <w:pPr>
        <w:spacing w:after="0" w:line="240" w:lineRule="auto"/>
        <w:ind w:firstLine="851"/>
        <w:jc w:val="both"/>
        <w:rPr>
          <w:rFonts w:ascii="Times New Roman" w:hAnsi="Times New Roman"/>
          <w:color w:val="000000"/>
          <w:sz w:val="24"/>
          <w:szCs w:val="24"/>
          <w:lang w:eastAsia="lv-LV"/>
        </w:rPr>
      </w:pPr>
      <w:r w:rsidRPr="00A07F29">
        <w:rPr>
          <w:rFonts w:ascii="Times New Roman" w:hAnsi="Times New Roman"/>
          <w:color w:val="000000"/>
          <w:sz w:val="24"/>
          <w:szCs w:val="24"/>
          <w:lang w:eastAsia="lv-LV"/>
        </w:rPr>
        <w:t>50.3.</w:t>
      </w:r>
      <w:r w:rsidR="00810944">
        <w:rPr>
          <w:rFonts w:ascii="Times New Roman" w:hAnsi="Times New Roman"/>
          <w:color w:val="000000"/>
          <w:sz w:val="24"/>
          <w:szCs w:val="24"/>
          <w:lang w:eastAsia="lv-LV"/>
        </w:rPr>
        <w:t> </w:t>
      </w:r>
      <w:r w:rsidRPr="00A07F29">
        <w:rPr>
          <w:rFonts w:ascii="Times New Roman" w:hAnsi="Times New Roman"/>
          <w:color w:val="000000"/>
          <w:sz w:val="24"/>
          <w:szCs w:val="24"/>
          <w:lang w:eastAsia="lv-LV"/>
        </w:rPr>
        <w:t>veikt darbības, kuru rezultātā tiek mainīta zemes lietošanas kategorija, izņemot:</w:t>
      </w:r>
    </w:p>
    <w:p w14:paraId="4E37DFDD" w14:textId="49F89906" w:rsidR="00633EF1" w:rsidRPr="00A07F29" w:rsidRDefault="00633EF1" w:rsidP="00633EF1">
      <w:pPr>
        <w:spacing w:after="0" w:line="240" w:lineRule="auto"/>
        <w:ind w:left="1418" w:hanging="567"/>
        <w:jc w:val="both"/>
        <w:rPr>
          <w:rFonts w:ascii="Times New Roman" w:hAnsi="Times New Roman"/>
          <w:color w:val="000000"/>
          <w:sz w:val="24"/>
          <w:szCs w:val="24"/>
          <w:lang w:eastAsia="lv-LV"/>
        </w:rPr>
      </w:pPr>
      <w:r w:rsidRPr="00A07F29">
        <w:rPr>
          <w:rFonts w:ascii="Times New Roman" w:hAnsi="Times New Roman"/>
          <w:color w:val="000000"/>
          <w:sz w:val="24"/>
          <w:szCs w:val="24"/>
          <w:lang w:eastAsia="lv-LV"/>
        </w:rPr>
        <w:t>50.3.1.</w:t>
      </w:r>
      <w:r w:rsidR="00810944">
        <w:rPr>
          <w:rFonts w:ascii="Times New Roman" w:hAnsi="Times New Roman"/>
          <w:color w:val="000000"/>
          <w:sz w:val="24"/>
          <w:szCs w:val="24"/>
          <w:lang w:eastAsia="lv-LV"/>
        </w:rPr>
        <w:t> </w:t>
      </w:r>
      <w:r w:rsidRPr="00A07F29">
        <w:rPr>
          <w:rFonts w:ascii="Times New Roman" w:hAnsi="Times New Roman"/>
          <w:color w:val="000000"/>
          <w:sz w:val="24"/>
          <w:szCs w:val="24"/>
          <w:lang w:eastAsia="lv-LV"/>
        </w:rPr>
        <w:t xml:space="preserve">gadījumos, kad aizsargājamos dendroloģiskos stādījumus izveido par parku vai </w:t>
      </w:r>
      <w:proofErr w:type="spellStart"/>
      <w:r w:rsidRPr="00A07F29">
        <w:rPr>
          <w:rFonts w:ascii="Times New Roman" w:hAnsi="Times New Roman"/>
          <w:color w:val="000000"/>
          <w:sz w:val="24"/>
          <w:szCs w:val="24"/>
          <w:lang w:eastAsia="lv-LV"/>
        </w:rPr>
        <w:t>mežaparku</w:t>
      </w:r>
      <w:proofErr w:type="spellEnd"/>
      <w:r w:rsidRPr="00A07F29">
        <w:rPr>
          <w:rFonts w:ascii="Times New Roman" w:hAnsi="Times New Roman"/>
          <w:color w:val="000000"/>
          <w:sz w:val="24"/>
          <w:szCs w:val="24"/>
          <w:lang w:eastAsia="lv-LV"/>
        </w:rPr>
        <w:t xml:space="preserve"> saskaņā ar normatīvajiem aktiem par parku un </w:t>
      </w:r>
      <w:proofErr w:type="spellStart"/>
      <w:r w:rsidRPr="00A07F29">
        <w:rPr>
          <w:rFonts w:ascii="Times New Roman" w:hAnsi="Times New Roman"/>
          <w:color w:val="000000"/>
          <w:sz w:val="24"/>
          <w:szCs w:val="24"/>
          <w:lang w:eastAsia="lv-LV"/>
        </w:rPr>
        <w:t>mežaparku</w:t>
      </w:r>
      <w:proofErr w:type="spellEnd"/>
      <w:r w:rsidRPr="00A07F29">
        <w:rPr>
          <w:rFonts w:ascii="Times New Roman" w:hAnsi="Times New Roman"/>
          <w:color w:val="000000"/>
          <w:sz w:val="24"/>
          <w:szCs w:val="24"/>
          <w:lang w:eastAsia="lv-LV"/>
        </w:rPr>
        <w:t xml:space="preserve"> ierīkošanu un apsaimniekošanu,</w:t>
      </w:r>
    </w:p>
    <w:p w14:paraId="03D45F1A" w14:textId="3C24C456" w:rsidR="0032057A" w:rsidRPr="00A07F29" w:rsidRDefault="00633EF1" w:rsidP="00633EF1">
      <w:pPr>
        <w:spacing w:after="0" w:line="240" w:lineRule="auto"/>
        <w:ind w:left="1418" w:hanging="567"/>
        <w:jc w:val="both"/>
        <w:rPr>
          <w:rFonts w:ascii="Times New Roman" w:hAnsi="Times New Roman"/>
          <w:color w:val="000000"/>
          <w:sz w:val="24"/>
          <w:szCs w:val="24"/>
          <w:highlight w:val="yellow"/>
          <w:lang w:eastAsia="lv-LV"/>
        </w:rPr>
      </w:pPr>
      <w:r w:rsidRPr="00A07F29">
        <w:rPr>
          <w:rFonts w:ascii="Times New Roman" w:hAnsi="Times New Roman"/>
          <w:color w:val="000000"/>
          <w:sz w:val="24"/>
          <w:szCs w:val="24"/>
          <w:lang w:eastAsia="lv-LV"/>
        </w:rPr>
        <w:t>50.3.2.</w:t>
      </w:r>
      <w:r w:rsidR="00810944">
        <w:rPr>
          <w:rFonts w:ascii="Times New Roman" w:hAnsi="Times New Roman"/>
          <w:color w:val="000000"/>
          <w:sz w:val="24"/>
          <w:szCs w:val="24"/>
          <w:lang w:eastAsia="lv-LV"/>
        </w:rPr>
        <w:t> </w:t>
      </w:r>
      <w:r w:rsidRPr="00A07F29">
        <w:rPr>
          <w:rFonts w:ascii="Times New Roman" w:hAnsi="Times New Roman"/>
          <w:color w:val="000000"/>
          <w:sz w:val="24"/>
          <w:szCs w:val="24"/>
          <w:lang w:eastAsia="lv-LV"/>
        </w:rPr>
        <w:t>ar Dabas aizsardzības pārvaldes rakstisku atļauju dabas pieminekļa “</w:t>
      </w:r>
      <w:proofErr w:type="spellStart"/>
      <w:r w:rsidRPr="00A07F29">
        <w:rPr>
          <w:rFonts w:ascii="Times New Roman" w:hAnsi="Times New Roman"/>
          <w:color w:val="000000"/>
          <w:sz w:val="24"/>
          <w:szCs w:val="24"/>
          <w:lang w:eastAsia="lv-LV"/>
        </w:rPr>
        <w:t>Sandarišku</w:t>
      </w:r>
      <w:proofErr w:type="spellEnd"/>
      <w:r w:rsidRPr="00A07F29">
        <w:rPr>
          <w:rFonts w:ascii="Times New Roman" w:hAnsi="Times New Roman"/>
          <w:color w:val="000000"/>
          <w:sz w:val="24"/>
          <w:szCs w:val="24"/>
          <w:lang w:eastAsia="lv-LV"/>
        </w:rPr>
        <w:t xml:space="preserve"> </w:t>
      </w:r>
      <w:proofErr w:type="spellStart"/>
      <w:r w:rsidRPr="00A07F29">
        <w:rPr>
          <w:rFonts w:ascii="Times New Roman" w:hAnsi="Times New Roman"/>
          <w:color w:val="000000"/>
          <w:sz w:val="24"/>
          <w:szCs w:val="24"/>
          <w:lang w:eastAsia="lv-LV"/>
        </w:rPr>
        <w:t>karengravas</w:t>
      </w:r>
      <w:proofErr w:type="spellEnd"/>
      <w:r w:rsidRPr="00A07F29">
        <w:rPr>
          <w:rFonts w:ascii="Times New Roman" w:hAnsi="Times New Roman"/>
          <w:color w:val="000000"/>
          <w:sz w:val="24"/>
          <w:szCs w:val="24"/>
          <w:lang w:eastAsia="lv-LV"/>
        </w:rPr>
        <w:t>” teritorijā zemes vienībās ar kadastra apzīmējumu 44740080329</w:t>
      </w:r>
      <w:r w:rsidR="008139F9" w:rsidRPr="00A07F29">
        <w:rPr>
          <w:rFonts w:ascii="Times New Roman" w:hAnsi="Times New Roman"/>
          <w:color w:val="000000"/>
          <w:sz w:val="24"/>
          <w:szCs w:val="24"/>
          <w:lang w:eastAsia="lv-LV"/>
        </w:rPr>
        <w:t xml:space="preserve">, </w:t>
      </w:r>
      <w:r w:rsidRPr="00A07F29">
        <w:rPr>
          <w:rFonts w:ascii="Times New Roman" w:hAnsi="Times New Roman"/>
          <w:color w:val="000000"/>
          <w:sz w:val="24"/>
          <w:szCs w:val="24"/>
          <w:lang w:eastAsia="lv-LV"/>
        </w:rPr>
        <w:t>44740080245</w:t>
      </w:r>
      <w:r w:rsidR="008139F9" w:rsidRPr="00A07F29">
        <w:rPr>
          <w:rFonts w:ascii="Times New Roman" w:hAnsi="Times New Roman"/>
          <w:color w:val="000000"/>
          <w:sz w:val="24"/>
          <w:szCs w:val="24"/>
          <w:lang w:eastAsia="lv-LV"/>
        </w:rPr>
        <w:t xml:space="preserve"> un </w:t>
      </w:r>
      <w:r w:rsidR="008139F9" w:rsidRPr="00A07F29">
        <w:rPr>
          <w:rFonts w:ascii="Times New Roman" w:eastAsia="Times New Roman" w:hAnsi="Times New Roman" w:cs="Times New Roman"/>
          <w:sz w:val="24"/>
          <w:szCs w:val="24"/>
          <w:lang w:eastAsia="lv-LV"/>
        </w:rPr>
        <w:t>44740080025</w:t>
      </w:r>
      <w:r w:rsidRPr="00A07F29">
        <w:rPr>
          <w:rFonts w:ascii="Times New Roman" w:hAnsi="Times New Roman"/>
          <w:color w:val="000000"/>
          <w:sz w:val="24"/>
          <w:szCs w:val="24"/>
          <w:lang w:eastAsia="lv-LV"/>
        </w:rPr>
        <w:t>.</w:t>
      </w:r>
    </w:p>
    <w:p w14:paraId="25792CAD" w14:textId="6F2B012B" w:rsidR="0032057A" w:rsidRPr="00A07F29" w:rsidRDefault="007320F6" w:rsidP="000927CB">
      <w:pPr>
        <w:spacing w:before="240" w:after="0" w:line="240" w:lineRule="auto"/>
        <w:jc w:val="center"/>
        <w:rPr>
          <w:rFonts w:ascii="Times New Roman" w:hAnsi="Times New Roman"/>
          <w:color w:val="000000"/>
          <w:sz w:val="24"/>
          <w:szCs w:val="24"/>
          <w:highlight w:val="yellow"/>
          <w:lang w:eastAsia="lv-LV"/>
        </w:rPr>
      </w:pPr>
      <w:r w:rsidRPr="00A07F29">
        <w:rPr>
          <w:rFonts w:ascii="Times New Roman" w:hAnsi="Times New Roman"/>
          <w:noProof/>
          <w:color w:val="000000"/>
          <w:sz w:val="24"/>
          <w:szCs w:val="24"/>
          <w:lang w:eastAsia="lv-LV"/>
        </w:rPr>
        <w:lastRenderedPageBreak/>
        <w:drawing>
          <wp:inline distT="0" distB="0" distL="0" distR="0" wp14:anchorId="5FD8C2D5" wp14:editId="0DE8E754">
            <wp:extent cx="5401056" cy="3599688"/>
            <wp:effectExtent l="0" t="0" r="0" b="1270"/>
            <wp:docPr id="918145595" name="Picture 918145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145595" name="Sandariski_transformacija.jpg"/>
                    <pic:cNvPicPr/>
                  </pic:nvPicPr>
                  <pic:blipFill>
                    <a:blip r:embed="rId99" cstate="print">
                      <a:extLst>
                        <a:ext uri="{28A0092B-C50C-407E-A947-70E740481C1C}">
                          <a14:useLocalDpi xmlns:a14="http://schemas.microsoft.com/office/drawing/2010/main" val="0"/>
                        </a:ext>
                      </a:extLst>
                    </a:blip>
                    <a:stretch>
                      <a:fillRect/>
                    </a:stretch>
                  </pic:blipFill>
                  <pic:spPr>
                    <a:xfrm>
                      <a:off x="0" y="0"/>
                      <a:ext cx="5401056" cy="3599688"/>
                    </a:xfrm>
                    <a:prstGeom prst="rect">
                      <a:avLst/>
                    </a:prstGeom>
                  </pic:spPr>
                </pic:pic>
              </a:graphicData>
            </a:graphic>
          </wp:inline>
        </w:drawing>
      </w:r>
    </w:p>
    <w:p w14:paraId="2AC9419B" w14:textId="658EEC52" w:rsidR="0032057A" w:rsidRPr="008C639B" w:rsidRDefault="00C25036" w:rsidP="00903972">
      <w:pPr>
        <w:spacing w:before="120" w:after="0" w:line="240" w:lineRule="auto"/>
        <w:jc w:val="both"/>
        <w:rPr>
          <w:rFonts w:ascii="Times New Roman" w:hAnsi="Times New Roman"/>
          <w:color w:val="000000"/>
          <w:sz w:val="20"/>
          <w:szCs w:val="20"/>
          <w:lang w:eastAsia="lv-LV"/>
        </w:rPr>
      </w:pPr>
      <w:r>
        <w:rPr>
          <w:rFonts w:ascii="Times New Roman" w:hAnsi="Times New Roman"/>
          <w:color w:val="000000"/>
          <w:sz w:val="20"/>
          <w:szCs w:val="20"/>
          <w:lang w:eastAsia="lv-LV"/>
        </w:rPr>
        <w:t>5</w:t>
      </w:r>
      <w:r w:rsidR="00903972" w:rsidRPr="008C639B">
        <w:rPr>
          <w:rFonts w:ascii="Times New Roman" w:hAnsi="Times New Roman"/>
          <w:color w:val="000000"/>
          <w:sz w:val="20"/>
          <w:szCs w:val="20"/>
          <w:lang w:eastAsia="lv-LV"/>
        </w:rPr>
        <w:t>.</w:t>
      </w:r>
      <w:r>
        <w:rPr>
          <w:rFonts w:ascii="Times New Roman" w:hAnsi="Times New Roman"/>
          <w:color w:val="000000"/>
          <w:sz w:val="20"/>
          <w:szCs w:val="20"/>
          <w:lang w:eastAsia="lv-LV"/>
        </w:rPr>
        <w:t>3</w:t>
      </w:r>
      <w:r w:rsidR="00903972" w:rsidRPr="008C639B">
        <w:rPr>
          <w:rFonts w:ascii="Times New Roman" w:hAnsi="Times New Roman"/>
          <w:color w:val="000000"/>
          <w:sz w:val="20"/>
          <w:szCs w:val="20"/>
          <w:lang w:eastAsia="lv-LV"/>
        </w:rPr>
        <w:t>.1.</w:t>
      </w:r>
      <w:r w:rsidR="004574FA" w:rsidRPr="008C639B">
        <w:rPr>
          <w:rFonts w:ascii="Times New Roman" w:hAnsi="Times New Roman"/>
          <w:color w:val="000000"/>
          <w:sz w:val="20"/>
          <w:szCs w:val="20"/>
          <w:lang w:eastAsia="lv-LV"/>
        </w:rPr>
        <w:t> </w:t>
      </w:r>
      <w:r w:rsidR="00903972" w:rsidRPr="008C639B">
        <w:rPr>
          <w:rFonts w:ascii="Times New Roman" w:hAnsi="Times New Roman"/>
          <w:color w:val="000000"/>
          <w:sz w:val="20"/>
          <w:szCs w:val="20"/>
          <w:lang w:eastAsia="lv-LV"/>
        </w:rPr>
        <w:t>att</w:t>
      </w:r>
      <w:r w:rsidR="004574FA" w:rsidRPr="008C639B">
        <w:rPr>
          <w:rFonts w:ascii="Times New Roman" w:hAnsi="Times New Roman"/>
          <w:color w:val="000000"/>
          <w:sz w:val="20"/>
          <w:szCs w:val="20"/>
          <w:lang w:eastAsia="lv-LV"/>
        </w:rPr>
        <w:t>ēls</w:t>
      </w:r>
      <w:r w:rsidR="00903972" w:rsidRPr="008C639B">
        <w:rPr>
          <w:rFonts w:ascii="Times New Roman" w:hAnsi="Times New Roman"/>
          <w:color w:val="000000"/>
          <w:sz w:val="20"/>
          <w:szCs w:val="20"/>
          <w:lang w:eastAsia="lv-LV"/>
        </w:rPr>
        <w:t>. Teritor</w:t>
      </w:r>
      <w:r w:rsidR="007815F7" w:rsidRPr="008C639B">
        <w:rPr>
          <w:rFonts w:ascii="Times New Roman" w:hAnsi="Times New Roman"/>
          <w:color w:val="000000"/>
          <w:sz w:val="20"/>
          <w:szCs w:val="20"/>
          <w:lang w:eastAsia="lv-LV"/>
        </w:rPr>
        <w:t>i</w:t>
      </w:r>
      <w:r w:rsidR="00903972" w:rsidRPr="008C639B">
        <w:rPr>
          <w:rFonts w:ascii="Times New Roman" w:hAnsi="Times New Roman"/>
          <w:color w:val="000000"/>
          <w:sz w:val="20"/>
          <w:szCs w:val="20"/>
          <w:lang w:eastAsia="lv-LV"/>
        </w:rPr>
        <w:t>jas, kurās atļauta zemes lietošanas kategorijas maiņa dabas pieminekļa “</w:t>
      </w:r>
      <w:proofErr w:type="spellStart"/>
      <w:r w:rsidR="00903972" w:rsidRPr="008C639B">
        <w:rPr>
          <w:rFonts w:ascii="Times New Roman" w:hAnsi="Times New Roman"/>
          <w:color w:val="000000"/>
          <w:sz w:val="20"/>
          <w:szCs w:val="20"/>
          <w:lang w:eastAsia="lv-LV"/>
        </w:rPr>
        <w:t>Sandarišku</w:t>
      </w:r>
      <w:proofErr w:type="spellEnd"/>
      <w:r w:rsidR="00903972" w:rsidRPr="008C639B">
        <w:rPr>
          <w:rFonts w:ascii="Times New Roman" w:hAnsi="Times New Roman"/>
          <w:color w:val="000000"/>
          <w:sz w:val="20"/>
          <w:szCs w:val="20"/>
          <w:lang w:eastAsia="lv-LV"/>
        </w:rPr>
        <w:t xml:space="preserve"> </w:t>
      </w:r>
      <w:proofErr w:type="spellStart"/>
      <w:r w:rsidR="00903972" w:rsidRPr="008C639B">
        <w:rPr>
          <w:rFonts w:ascii="Times New Roman" w:hAnsi="Times New Roman"/>
          <w:color w:val="000000"/>
          <w:sz w:val="20"/>
          <w:szCs w:val="20"/>
          <w:lang w:eastAsia="lv-LV"/>
        </w:rPr>
        <w:t>karengravas</w:t>
      </w:r>
      <w:proofErr w:type="spellEnd"/>
      <w:r w:rsidR="00903972" w:rsidRPr="008C639B">
        <w:rPr>
          <w:rFonts w:ascii="Times New Roman" w:hAnsi="Times New Roman"/>
          <w:color w:val="000000"/>
          <w:sz w:val="20"/>
          <w:szCs w:val="20"/>
          <w:lang w:eastAsia="lv-LV"/>
        </w:rPr>
        <w:t>” teritorijā.</w:t>
      </w:r>
    </w:p>
    <w:p w14:paraId="55FCF818" w14:textId="309F9A35" w:rsidR="00E67E7A" w:rsidRPr="00A07F29" w:rsidRDefault="00E67E7A" w:rsidP="007815F7">
      <w:pPr>
        <w:spacing w:before="240" w:after="0" w:line="240" w:lineRule="auto"/>
        <w:ind w:firstLine="851"/>
        <w:jc w:val="both"/>
        <w:rPr>
          <w:rFonts w:ascii="Times New Roman" w:hAnsi="Times New Roman"/>
          <w:color w:val="000000"/>
          <w:sz w:val="24"/>
          <w:szCs w:val="24"/>
          <w:lang w:eastAsia="lv-LV"/>
        </w:rPr>
      </w:pPr>
      <w:r w:rsidRPr="00A07F29">
        <w:rPr>
          <w:rFonts w:ascii="Times New Roman" w:hAnsi="Times New Roman"/>
          <w:color w:val="000000"/>
          <w:sz w:val="24"/>
          <w:szCs w:val="24"/>
          <w:lang w:eastAsia="lv-LV"/>
        </w:rPr>
        <w:t>Saskaņā ar veikto izpēti (</w:t>
      </w:r>
      <w:r w:rsidR="008C639B">
        <w:rPr>
          <w:rFonts w:ascii="Times New Roman" w:hAnsi="Times New Roman"/>
          <w:color w:val="000000"/>
          <w:sz w:val="24"/>
          <w:szCs w:val="24"/>
          <w:lang w:eastAsia="lv-LV"/>
        </w:rPr>
        <w:t xml:space="preserve">skat. </w:t>
      </w:r>
      <w:r w:rsidRPr="00A07F29">
        <w:rPr>
          <w:rFonts w:ascii="Times New Roman" w:hAnsi="Times New Roman"/>
          <w:color w:val="000000"/>
          <w:sz w:val="24"/>
          <w:szCs w:val="24"/>
          <w:lang w:eastAsia="lv-LV"/>
        </w:rPr>
        <w:t>4.</w:t>
      </w:r>
      <w:r w:rsidR="00652C52" w:rsidRPr="00A07F29">
        <w:rPr>
          <w:rFonts w:ascii="Times New Roman" w:hAnsi="Times New Roman"/>
          <w:color w:val="000000"/>
          <w:sz w:val="24"/>
          <w:szCs w:val="24"/>
          <w:lang w:eastAsia="lv-LV"/>
        </w:rPr>
        <w:t>12</w:t>
      </w:r>
      <w:r w:rsidRPr="00A07F29">
        <w:rPr>
          <w:rFonts w:ascii="Times New Roman" w:hAnsi="Times New Roman"/>
          <w:color w:val="000000"/>
          <w:sz w:val="24"/>
          <w:szCs w:val="24"/>
          <w:lang w:eastAsia="lv-LV"/>
        </w:rPr>
        <w:t>.</w:t>
      </w:r>
      <w:r w:rsidR="008C639B">
        <w:rPr>
          <w:rFonts w:ascii="Times New Roman" w:hAnsi="Times New Roman"/>
          <w:color w:val="000000"/>
          <w:sz w:val="24"/>
          <w:szCs w:val="24"/>
          <w:lang w:eastAsia="lv-LV"/>
        </w:rPr>
        <w:t> </w:t>
      </w:r>
      <w:r w:rsidRPr="00A07F29">
        <w:rPr>
          <w:rFonts w:ascii="Times New Roman" w:hAnsi="Times New Roman"/>
          <w:color w:val="000000"/>
          <w:sz w:val="24"/>
          <w:szCs w:val="24"/>
          <w:lang w:eastAsia="lv-LV"/>
        </w:rPr>
        <w:t>pielikums</w:t>
      </w:r>
      <w:r w:rsidR="00652C52" w:rsidRPr="00A07F29">
        <w:rPr>
          <w:rFonts w:ascii="Times New Roman" w:hAnsi="Times New Roman"/>
          <w:color w:val="000000"/>
          <w:sz w:val="24"/>
          <w:szCs w:val="24"/>
          <w:lang w:eastAsia="lv-LV"/>
        </w:rPr>
        <w:t>, 4.13.</w:t>
      </w:r>
      <w:r w:rsidR="009703AC">
        <w:rPr>
          <w:rFonts w:ascii="Times New Roman" w:hAnsi="Times New Roman"/>
          <w:color w:val="000000"/>
          <w:sz w:val="24"/>
          <w:szCs w:val="24"/>
          <w:lang w:eastAsia="lv-LV"/>
        </w:rPr>
        <w:t> </w:t>
      </w:r>
      <w:r w:rsidR="00652C52" w:rsidRPr="00A07F29">
        <w:rPr>
          <w:rFonts w:ascii="Times New Roman" w:hAnsi="Times New Roman"/>
          <w:color w:val="000000"/>
          <w:sz w:val="24"/>
          <w:szCs w:val="24"/>
          <w:lang w:eastAsia="lv-LV"/>
        </w:rPr>
        <w:t>pielikums</w:t>
      </w:r>
      <w:r w:rsidRPr="00A07F29">
        <w:rPr>
          <w:rFonts w:ascii="Times New Roman" w:hAnsi="Times New Roman"/>
          <w:color w:val="000000"/>
          <w:sz w:val="24"/>
          <w:szCs w:val="24"/>
          <w:lang w:eastAsia="lv-LV"/>
        </w:rPr>
        <w:t>) ieteikts piešķirt aizsargājama dabas pieminekļa status</w:t>
      </w:r>
      <w:r w:rsidR="00903972" w:rsidRPr="00A07F29">
        <w:rPr>
          <w:rFonts w:ascii="Times New Roman" w:hAnsi="Times New Roman"/>
          <w:color w:val="000000"/>
          <w:sz w:val="24"/>
          <w:szCs w:val="24"/>
          <w:lang w:eastAsia="lv-LV"/>
        </w:rPr>
        <w:t>u</w:t>
      </w:r>
      <w:r w:rsidRPr="00A07F29">
        <w:rPr>
          <w:rFonts w:ascii="Times New Roman" w:hAnsi="Times New Roman"/>
          <w:color w:val="000000"/>
          <w:sz w:val="24"/>
          <w:szCs w:val="24"/>
          <w:lang w:eastAsia="lv-LV"/>
        </w:rPr>
        <w:t xml:space="preserve"> vairākiem ģeoloģiskajiem un </w:t>
      </w:r>
      <w:proofErr w:type="spellStart"/>
      <w:r w:rsidRPr="00A07F29">
        <w:rPr>
          <w:rFonts w:ascii="Times New Roman" w:hAnsi="Times New Roman"/>
          <w:color w:val="000000"/>
          <w:sz w:val="24"/>
          <w:szCs w:val="24"/>
          <w:lang w:eastAsia="lv-LV"/>
        </w:rPr>
        <w:t>ģeomorfoloģiskajiem</w:t>
      </w:r>
      <w:proofErr w:type="spellEnd"/>
      <w:r w:rsidRPr="00A07F29">
        <w:rPr>
          <w:rFonts w:ascii="Times New Roman" w:hAnsi="Times New Roman"/>
          <w:color w:val="000000"/>
          <w:sz w:val="24"/>
          <w:szCs w:val="24"/>
          <w:lang w:eastAsia="lv-LV"/>
        </w:rPr>
        <w:t xml:space="preserve"> objektiem: </w:t>
      </w:r>
      <w:bookmarkStart w:id="110" w:name="_Toc126040749"/>
    </w:p>
    <w:p w14:paraId="7D7CA934" w14:textId="333C92AC" w:rsidR="00E67E7A" w:rsidRPr="00A07F29" w:rsidRDefault="00E67E7A" w:rsidP="006B3664">
      <w:pPr>
        <w:pStyle w:val="ListParagraph"/>
        <w:numPr>
          <w:ilvl w:val="0"/>
          <w:numId w:val="62"/>
        </w:numPr>
        <w:spacing w:before="120" w:after="0" w:line="240" w:lineRule="auto"/>
        <w:rPr>
          <w:i/>
        </w:rPr>
      </w:pPr>
      <w:r w:rsidRPr="00A07F29">
        <w:rPr>
          <w:i/>
        </w:rPr>
        <w:t>Salienas dižakmens</w:t>
      </w:r>
      <w:r w:rsidR="006B3664" w:rsidRPr="00A07F29">
        <w:rPr>
          <w:i/>
        </w:rPr>
        <w:t>;</w:t>
      </w:r>
    </w:p>
    <w:p w14:paraId="6D779CCA" w14:textId="57F83A16" w:rsidR="00E67E7A" w:rsidRPr="00A07F29" w:rsidRDefault="00E67E7A" w:rsidP="006B3664">
      <w:pPr>
        <w:pStyle w:val="ListParagraph"/>
        <w:numPr>
          <w:ilvl w:val="0"/>
          <w:numId w:val="62"/>
        </w:numPr>
        <w:spacing w:before="120" w:after="0" w:line="240" w:lineRule="auto"/>
        <w:rPr>
          <w:i/>
        </w:rPr>
      </w:pPr>
      <w:proofErr w:type="spellStart"/>
      <w:r w:rsidRPr="00A07F29">
        <w:rPr>
          <w:i/>
        </w:rPr>
        <w:t>Robeždaugavas</w:t>
      </w:r>
      <w:proofErr w:type="spellEnd"/>
      <w:r w:rsidRPr="00A07F29">
        <w:rPr>
          <w:i/>
        </w:rPr>
        <w:t xml:space="preserve"> akmens (arī Rudais akmens, arī </w:t>
      </w:r>
      <w:proofErr w:type="spellStart"/>
      <w:r w:rsidRPr="00A07F29">
        <w:rPr>
          <w:i/>
        </w:rPr>
        <w:t>Sauleviča</w:t>
      </w:r>
      <w:proofErr w:type="spellEnd"/>
      <w:r w:rsidRPr="00A07F29">
        <w:rPr>
          <w:i/>
        </w:rPr>
        <w:t xml:space="preserve"> akmens)</w:t>
      </w:r>
      <w:r w:rsidR="006B3664" w:rsidRPr="00A07F29">
        <w:rPr>
          <w:i/>
        </w:rPr>
        <w:t>;</w:t>
      </w:r>
    </w:p>
    <w:p w14:paraId="33847D0C" w14:textId="77777777" w:rsidR="00A91F08" w:rsidRPr="00A07F29" w:rsidRDefault="00A91F08" w:rsidP="006B3664">
      <w:pPr>
        <w:pStyle w:val="ListParagraph"/>
        <w:numPr>
          <w:ilvl w:val="0"/>
          <w:numId w:val="62"/>
        </w:numPr>
        <w:spacing w:before="120" w:after="0" w:line="240" w:lineRule="auto"/>
        <w:rPr>
          <w:i/>
        </w:rPr>
      </w:pPr>
      <w:r w:rsidRPr="00A07F29">
        <w:rPr>
          <w:i/>
        </w:rPr>
        <w:t xml:space="preserve">devona </w:t>
      </w:r>
      <w:proofErr w:type="spellStart"/>
      <w:r w:rsidRPr="00A07F29">
        <w:rPr>
          <w:i/>
        </w:rPr>
        <w:t>pamatiežu</w:t>
      </w:r>
      <w:proofErr w:type="spellEnd"/>
      <w:r w:rsidRPr="00A07F29">
        <w:rPr>
          <w:i/>
        </w:rPr>
        <w:t xml:space="preserve"> atsegumi pie </w:t>
      </w:r>
      <w:proofErr w:type="spellStart"/>
      <w:r w:rsidRPr="00A07F29">
        <w:rPr>
          <w:i/>
        </w:rPr>
        <w:t>Zīmeļas</w:t>
      </w:r>
      <w:proofErr w:type="spellEnd"/>
      <w:r w:rsidRPr="00A07F29">
        <w:rPr>
          <w:i/>
        </w:rPr>
        <w:t xml:space="preserve"> upes ietekas Daugavā, lejpus Krāslavas pie Adamovas, Zvejnieku lokā pie </w:t>
      </w:r>
      <w:proofErr w:type="spellStart"/>
      <w:r w:rsidRPr="00A07F29">
        <w:rPr>
          <w:i/>
        </w:rPr>
        <w:t>Užingoras</w:t>
      </w:r>
      <w:proofErr w:type="spellEnd"/>
      <w:r w:rsidRPr="00A07F29">
        <w:rPr>
          <w:i/>
        </w:rPr>
        <w:t xml:space="preserve">, </w:t>
      </w:r>
      <w:proofErr w:type="spellStart"/>
      <w:r w:rsidRPr="00A07F29">
        <w:rPr>
          <w:i/>
        </w:rPr>
        <w:t>Rozališku</w:t>
      </w:r>
      <w:proofErr w:type="spellEnd"/>
      <w:r w:rsidRPr="00A07F29">
        <w:rPr>
          <w:i/>
        </w:rPr>
        <w:t xml:space="preserve"> lokā;</w:t>
      </w:r>
    </w:p>
    <w:bookmarkEnd w:id="110"/>
    <w:p w14:paraId="7EE20020" w14:textId="330CD03C" w:rsidR="00E67E7A" w:rsidRPr="00A07F29" w:rsidRDefault="00F66CAD" w:rsidP="006B3664">
      <w:pPr>
        <w:pStyle w:val="ListParagraph"/>
        <w:numPr>
          <w:ilvl w:val="0"/>
          <w:numId w:val="62"/>
        </w:numPr>
        <w:spacing w:before="120" w:after="0" w:line="240" w:lineRule="auto"/>
        <w:rPr>
          <w:i/>
        </w:rPr>
      </w:pPr>
      <w:r w:rsidRPr="00A07F29">
        <w:rPr>
          <w:i/>
        </w:rPr>
        <w:t>Vecpils gravas avotu ūdenskritumi</w:t>
      </w:r>
      <w:r w:rsidR="006B3664" w:rsidRPr="00A07F29">
        <w:rPr>
          <w:i/>
        </w:rPr>
        <w:t>;</w:t>
      </w:r>
    </w:p>
    <w:p w14:paraId="2D2F69B9" w14:textId="285D385A" w:rsidR="00E67E7A" w:rsidRPr="00A07F29" w:rsidRDefault="00F25A57" w:rsidP="006B3664">
      <w:pPr>
        <w:pStyle w:val="ListParagraph"/>
        <w:numPr>
          <w:ilvl w:val="0"/>
          <w:numId w:val="62"/>
        </w:numPr>
        <w:spacing w:before="120" w:after="0" w:line="240" w:lineRule="auto"/>
        <w:rPr>
          <w:i/>
        </w:rPr>
      </w:pPr>
      <w:r w:rsidRPr="00A07F29">
        <w:rPr>
          <w:i/>
        </w:rPr>
        <w:t xml:space="preserve">Lielo Muļķu sādžas </w:t>
      </w:r>
      <w:proofErr w:type="spellStart"/>
      <w:r w:rsidRPr="00A07F29">
        <w:rPr>
          <w:i/>
        </w:rPr>
        <w:t>svētavots</w:t>
      </w:r>
      <w:proofErr w:type="spellEnd"/>
      <w:r w:rsidR="006B3664" w:rsidRPr="00A07F29">
        <w:rPr>
          <w:i/>
        </w:rPr>
        <w:t>;</w:t>
      </w:r>
    </w:p>
    <w:p w14:paraId="65B1DF0A" w14:textId="44622A89" w:rsidR="00E67E7A" w:rsidRPr="00A07F29" w:rsidRDefault="00F25A57" w:rsidP="006B3664">
      <w:pPr>
        <w:pStyle w:val="ListParagraph"/>
        <w:numPr>
          <w:ilvl w:val="0"/>
          <w:numId w:val="62"/>
        </w:numPr>
        <w:spacing w:before="120" w:after="0" w:line="240" w:lineRule="auto"/>
        <w:rPr>
          <w:i/>
        </w:rPr>
      </w:pPr>
      <w:r w:rsidRPr="00A07F29">
        <w:rPr>
          <w:i/>
        </w:rPr>
        <w:t>Tartaka</w:t>
      </w:r>
      <w:r w:rsidR="00A91F08" w:rsidRPr="00A07F29">
        <w:rPr>
          <w:i/>
        </w:rPr>
        <w:t xml:space="preserve"> un </w:t>
      </w:r>
      <w:proofErr w:type="spellStart"/>
      <w:r w:rsidR="00A91F08" w:rsidRPr="00A07F29">
        <w:rPr>
          <w:i/>
        </w:rPr>
        <w:t>Daugavsargu</w:t>
      </w:r>
      <w:proofErr w:type="spellEnd"/>
      <w:r w:rsidRPr="00A07F29">
        <w:rPr>
          <w:i/>
        </w:rPr>
        <w:t xml:space="preserve"> loka </w:t>
      </w:r>
      <w:r w:rsidR="0098205F">
        <w:rPr>
          <w:i/>
        </w:rPr>
        <w:t>“</w:t>
      </w:r>
      <w:r w:rsidRPr="00A07F29">
        <w:rPr>
          <w:i/>
        </w:rPr>
        <w:t>velna dobes”</w:t>
      </w:r>
      <w:r w:rsidR="00A91F08" w:rsidRPr="00A07F29">
        <w:rPr>
          <w:i/>
        </w:rPr>
        <w:t xml:space="preserve"> (</w:t>
      </w:r>
      <w:proofErr w:type="spellStart"/>
      <w:r w:rsidR="00A91F08" w:rsidRPr="00A07F29">
        <w:rPr>
          <w:i/>
        </w:rPr>
        <w:t>glaciokarsta</w:t>
      </w:r>
      <w:proofErr w:type="spellEnd"/>
      <w:r w:rsidR="00A91F08" w:rsidRPr="00A07F29">
        <w:rPr>
          <w:i/>
        </w:rPr>
        <w:t xml:space="preserve"> </w:t>
      </w:r>
      <w:proofErr w:type="spellStart"/>
      <w:r w:rsidR="00A91F08" w:rsidRPr="00A07F29">
        <w:rPr>
          <w:i/>
        </w:rPr>
        <w:t>ieplakas</w:t>
      </w:r>
      <w:proofErr w:type="spellEnd"/>
      <w:r w:rsidR="00A91F08" w:rsidRPr="00A07F29">
        <w:rPr>
          <w:i/>
        </w:rPr>
        <w:t>)</w:t>
      </w:r>
      <w:r w:rsidR="006B3664" w:rsidRPr="00A07F29">
        <w:rPr>
          <w:i/>
        </w:rPr>
        <w:t>;</w:t>
      </w:r>
    </w:p>
    <w:p w14:paraId="0350935A" w14:textId="108F4794" w:rsidR="00F25A57" w:rsidRPr="00A07F29" w:rsidRDefault="00F25A57" w:rsidP="006B3664">
      <w:pPr>
        <w:pStyle w:val="ListParagraph"/>
        <w:numPr>
          <w:ilvl w:val="0"/>
          <w:numId w:val="62"/>
        </w:numPr>
        <w:spacing w:before="120" w:after="0" w:line="240" w:lineRule="auto"/>
        <w:rPr>
          <w:i/>
        </w:rPr>
      </w:pPr>
      <w:proofErr w:type="spellStart"/>
      <w:r w:rsidRPr="00A07F29">
        <w:rPr>
          <w:i/>
        </w:rPr>
        <w:t>Šilovkas</w:t>
      </w:r>
      <w:proofErr w:type="spellEnd"/>
      <w:r w:rsidRPr="00A07F29">
        <w:rPr>
          <w:i/>
        </w:rPr>
        <w:t xml:space="preserve"> </w:t>
      </w:r>
      <w:proofErr w:type="spellStart"/>
      <w:r w:rsidRPr="00A07F29">
        <w:rPr>
          <w:i/>
        </w:rPr>
        <w:t>avotcirki</w:t>
      </w:r>
      <w:proofErr w:type="spellEnd"/>
      <w:r w:rsidR="006B3664" w:rsidRPr="00A07F29">
        <w:rPr>
          <w:i/>
        </w:rPr>
        <w:t>;</w:t>
      </w:r>
    </w:p>
    <w:p w14:paraId="480F312C" w14:textId="248FB410" w:rsidR="00A91F08" w:rsidRPr="00A07F29" w:rsidRDefault="00A91F08" w:rsidP="006B3664">
      <w:pPr>
        <w:pStyle w:val="ListParagraph"/>
        <w:numPr>
          <w:ilvl w:val="0"/>
          <w:numId w:val="62"/>
        </w:numPr>
        <w:spacing w:before="120" w:after="0" w:line="240" w:lineRule="auto"/>
        <w:rPr>
          <w:i/>
        </w:rPr>
      </w:pPr>
      <w:r w:rsidRPr="00A07F29">
        <w:rPr>
          <w:i/>
        </w:rPr>
        <w:t>krāces Daugavas gultnē.</w:t>
      </w:r>
    </w:p>
    <w:p w14:paraId="27FF7209" w14:textId="77777777" w:rsidR="002F2C06" w:rsidRDefault="00100BEC" w:rsidP="0098205F">
      <w:pPr>
        <w:spacing w:before="120" w:after="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Nepieciešams sagatavot un izdarīt attiecīgus grozījumus </w:t>
      </w:r>
      <w:r w:rsidR="005777F9" w:rsidRPr="00A07F29">
        <w:rPr>
          <w:rFonts w:ascii="Times New Roman" w:eastAsia="Calibri" w:hAnsi="Times New Roman" w:cs="Calibri"/>
          <w:sz w:val="24"/>
        </w:rPr>
        <w:t>MK 2022.</w:t>
      </w:r>
      <w:r w:rsidR="0098205F">
        <w:rPr>
          <w:rFonts w:ascii="Times New Roman" w:eastAsia="Calibri" w:hAnsi="Times New Roman" w:cs="Calibri"/>
          <w:sz w:val="24"/>
        </w:rPr>
        <w:t> </w:t>
      </w:r>
      <w:r w:rsidR="005777F9" w:rsidRPr="00A07F29">
        <w:rPr>
          <w:rFonts w:ascii="Times New Roman" w:eastAsia="Calibri" w:hAnsi="Times New Roman" w:cs="Calibri"/>
          <w:sz w:val="24"/>
        </w:rPr>
        <w:t>gada 14.</w:t>
      </w:r>
      <w:r w:rsidR="0098205F">
        <w:rPr>
          <w:rFonts w:ascii="Times New Roman" w:eastAsia="Calibri" w:hAnsi="Times New Roman" w:cs="Calibri"/>
          <w:sz w:val="24"/>
        </w:rPr>
        <w:t> </w:t>
      </w:r>
      <w:r w:rsidR="005777F9" w:rsidRPr="00A07F29">
        <w:rPr>
          <w:rFonts w:ascii="Times New Roman" w:eastAsia="Calibri" w:hAnsi="Times New Roman" w:cs="Calibri"/>
          <w:sz w:val="24"/>
        </w:rPr>
        <w:t>jūlija noteikum</w:t>
      </w:r>
      <w:r w:rsidR="00ED5074" w:rsidRPr="00A07F29">
        <w:rPr>
          <w:rFonts w:ascii="Times New Roman" w:eastAsia="Calibri" w:hAnsi="Times New Roman" w:cs="Calibri"/>
          <w:sz w:val="24"/>
        </w:rPr>
        <w:t xml:space="preserve">os </w:t>
      </w:r>
      <w:r w:rsidR="005777F9" w:rsidRPr="00A07F29">
        <w:rPr>
          <w:rFonts w:ascii="Times New Roman" w:eastAsia="Calibri" w:hAnsi="Times New Roman" w:cs="Calibri"/>
          <w:sz w:val="24"/>
        </w:rPr>
        <w:t>Nr.</w:t>
      </w:r>
      <w:r w:rsidR="0098205F">
        <w:rPr>
          <w:rFonts w:ascii="Times New Roman" w:eastAsia="Calibri" w:hAnsi="Times New Roman" w:cs="Calibri"/>
          <w:sz w:val="24"/>
        </w:rPr>
        <w:t> </w:t>
      </w:r>
      <w:r w:rsidR="005777F9" w:rsidRPr="00A07F29">
        <w:rPr>
          <w:rFonts w:ascii="Times New Roman" w:eastAsia="Calibri" w:hAnsi="Times New Roman" w:cs="Calibri"/>
          <w:sz w:val="24"/>
        </w:rPr>
        <w:t xml:space="preserve">461 “Noteikumi par aizsargājamiem ģeoloģiskajiem un </w:t>
      </w:r>
      <w:proofErr w:type="spellStart"/>
      <w:r w:rsidR="005777F9" w:rsidRPr="00A07F29">
        <w:rPr>
          <w:rFonts w:ascii="Times New Roman" w:eastAsia="Calibri" w:hAnsi="Times New Roman" w:cs="Calibri"/>
          <w:sz w:val="24"/>
        </w:rPr>
        <w:t>ģeomorfoloģiskajiem</w:t>
      </w:r>
      <w:proofErr w:type="spellEnd"/>
      <w:r w:rsidR="005777F9" w:rsidRPr="00A07F29">
        <w:rPr>
          <w:rFonts w:ascii="Times New Roman" w:eastAsia="Calibri" w:hAnsi="Times New Roman" w:cs="Calibri"/>
          <w:sz w:val="24"/>
        </w:rPr>
        <w:t xml:space="preserve"> dabas pieminekļiem</w:t>
      </w:r>
      <w:r w:rsidR="005C4A56">
        <w:rPr>
          <w:rFonts w:ascii="Times New Roman" w:eastAsia="Calibri" w:hAnsi="Times New Roman" w:cs="Calibri"/>
          <w:sz w:val="24"/>
        </w:rPr>
        <w:t>”</w:t>
      </w:r>
      <w:r w:rsidR="00ED5074" w:rsidRPr="00A07F29">
        <w:rPr>
          <w:rFonts w:ascii="Times New Roman" w:eastAsia="Calibri" w:hAnsi="Times New Roman" w:cs="Calibri"/>
          <w:sz w:val="24"/>
        </w:rPr>
        <w:t xml:space="preserve">, lai saglabātu augstāk minētos objektus, izņemot dižakmeņus, jo to aizsardzību nodrošina </w:t>
      </w:r>
      <w:r w:rsidR="00AB2AEF" w:rsidRPr="00A07F29">
        <w:rPr>
          <w:rFonts w:ascii="Times New Roman" w:eastAsia="Calibri" w:hAnsi="Times New Roman" w:cs="Calibri"/>
          <w:sz w:val="24"/>
        </w:rPr>
        <w:t>šobrīd spēkā esošo noteikumu 1.</w:t>
      </w:r>
      <w:r w:rsidR="00547945">
        <w:rPr>
          <w:rFonts w:ascii="Times New Roman" w:eastAsia="Calibri" w:hAnsi="Times New Roman" w:cs="Calibri"/>
          <w:sz w:val="24"/>
        </w:rPr>
        <w:t> </w:t>
      </w:r>
      <w:r w:rsidR="00AB2AEF" w:rsidRPr="00A07F29">
        <w:rPr>
          <w:rFonts w:ascii="Times New Roman" w:eastAsia="Calibri" w:hAnsi="Times New Roman" w:cs="Calibri"/>
          <w:sz w:val="24"/>
        </w:rPr>
        <w:t>punkts, kas nosaka, ka aizsargājami ir dižakmeņi (laukakmeņi, kuru virszemes tilpums ir 10 un vairāk kubikmetru) un 10</w:t>
      </w:r>
      <w:r w:rsidR="00666207">
        <w:rPr>
          <w:rFonts w:ascii="Times New Roman" w:eastAsia="Calibri" w:hAnsi="Times New Roman" w:cs="Calibri"/>
          <w:sz w:val="24"/>
        </w:rPr>
        <w:t> </w:t>
      </w:r>
      <w:r w:rsidR="00AB2AEF" w:rsidRPr="00A07F29">
        <w:rPr>
          <w:rFonts w:ascii="Times New Roman" w:eastAsia="Calibri" w:hAnsi="Times New Roman" w:cs="Calibri"/>
          <w:sz w:val="24"/>
        </w:rPr>
        <w:t>metru plata josla ap tiem.</w:t>
      </w:r>
    </w:p>
    <w:p w14:paraId="379B0E7B" w14:textId="29B1E087" w:rsidR="005D698E" w:rsidRPr="00A07F29" w:rsidRDefault="005D698E" w:rsidP="002F2C06">
      <w:pPr>
        <w:spacing w:before="120" w:after="0" w:line="240" w:lineRule="auto"/>
        <w:jc w:val="both"/>
        <w:rPr>
          <w:rFonts w:ascii="Times New Roman" w:eastAsia="Calibri" w:hAnsi="Times New Roman" w:cs="Calibri"/>
          <w:b/>
          <w:i/>
          <w:sz w:val="24"/>
          <w:lang w:eastAsia="ja-JP"/>
        </w:rPr>
      </w:pPr>
      <w:r w:rsidRPr="00A07F29">
        <w:rPr>
          <w:rFonts w:ascii="Times New Roman" w:eastAsia="Calibri" w:hAnsi="Times New Roman" w:cs="Calibri"/>
          <w:b/>
          <w:i/>
          <w:sz w:val="24"/>
          <w:lang w:eastAsia="ja-JP"/>
        </w:rPr>
        <w:t>A.1.3. Ģenēti</w:t>
      </w:r>
      <w:r w:rsidR="00AA0899" w:rsidRPr="00A07F29">
        <w:rPr>
          <w:rFonts w:ascii="Times New Roman" w:eastAsia="Calibri" w:hAnsi="Times New Roman" w:cs="Calibri"/>
          <w:b/>
          <w:i/>
          <w:sz w:val="24"/>
          <w:lang w:eastAsia="ja-JP"/>
        </w:rPr>
        <w:t>s</w:t>
      </w:r>
      <w:r w:rsidRPr="00A07F29">
        <w:rPr>
          <w:rFonts w:ascii="Times New Roman" w:eastAsia="Calibri" w:hAnsi="Times New Roman" w:cs="Calibri"/>
          <w:b/>
          <w:i/>
          <w:sz w:val="24"/>
          <w:lang w:eastAsia="ja-JP"/>
        </w:rPr>
        <w:t>ko resursu mežaudzes “Priedaines priede” apsaimniekošanas plāna izstrādāšana</w:t>
      </w:r>
    </w:p>
    <w:p w14:paraId="250EC616" w14:textId="107BDA1C" w:rsidR="009E0864" w:rsidRPr="00A07F29" w:rsidRDefault="009E0864" w:rsidP="009E0864">
      <w:pPr>
        <w:spacing w:before="120" w:after="0" w:line="240" w:lineRule="auto"/>
        <w:ind w:firstLine="851"/>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 xml:space="preserve">Priedes ģenētiskās daudzveidības saglabāšanai </w:t>
      </w:r>
      <w:r w:rsidR="005D698E" w:rsidRPr="00A07F29">
        <w:rPr>
          <w:rFonts w:ascii="Times New Roman" w:eastAsia="Calibri" w:hAnsi="Times New Roman" w:cs="Calibri"/>
          <w:sz w:val="24"/>
          <w:lang w:eastAsia="ja-JP"/>
        </w:rPr>
        <w:t>AAA “Augšdauga</w:t>
      </w:r>
      <w:r w:rsidRPr="00A07F29">
        <w:rPr>
          <w:rFonts w:ascii="Times New Roman" w:eastAsia="Calibri" w:hAnsi="Times New Roman" w:cs="Calibri"/>
          <w:sz w:val="24"/>
          <w:lang w:eastAsia="ja-JP"/>
        </w:rPr>
        <w:t>va teritorijā Priedaines lokā valsts mežā ir noteikta ģenētisko resursu mežaudze</w:t>
      </w:r>
      <w:r w:rsidR="00AA0899" w:rsidRPr="00A07F29">
        <w:rPr>
          <w:rFonts w:ascii="Times New Roman" w:eastAsia="Calibri" w:hAnsi="Times New Roman" w:cs="Calibri"/>
          <w:sz w:val="24"/>
          <w:lang w:eastAsia="ja-JP"/>
        </w:rPr>
        <w:t xml:space="preserve"> </w:t>
      </w:r>
      <w:r w:rsidRPr="00A07F29">
        <w:rPr>
          <w:rFonts w:ascii="Times New Roman" w:eastAsia="Calibri" w:hAnsi="Times New Roman" w:cs="Calibri"/>
          <w:sz w:val="24"/>
          <w:lang w:eastAsia="ja-JP"/>
        </w:rPr>
        <w:t>“Priedaines priede”. Ģenētisko resursu mežaudzi apsaimnieko saskaņā ar indivi</w:t>
      </w:r>
      <w:r w:rsidR="006B3664" w:rsidRPr="00A07F29">
        <w:rPr>
          <w:rFonts w:ascii="Times New Roman" w:eastAsia="Calibri" w:hAnsi="Times New Roman" w:cs="Calibri"/>
          <w:sz w:val="24"/>
          <w:lang w:eastAsia="ja-JP"/>
        </w:rPr>
        <w:t>d</w:t>
      </w:r>
      <w:r w:rsidRPr="00A07F29">
        <w:rPr>
          <w:rFonts w:ascii="Times New Roman" w:eastAsia="Calibri" w:hAnsi="Times New Roman" w:cs="Calibri"/>
          <w:sz w:val="24"/>
          <w:lang w:eastAsia="ja-JP"/>
        </w:rPr>
        <w:t xml:space="preserve">uālu apsaimniekošanas plānu. Lai pēc iespējas labāk integrētu ģenētiskās daudzveidības un </w:t>
      </w:r>
      <w:r w:rsidR="00AA0899" w:rsidRPr="00C25036">
        <w:rPr>
          <w:rFonts w:ascii="Times New Roman" w:eastAsia="Calibri" w:hAnsi="Times New Roman" w:cs="Calibri"/>
          <w:sz w:val="24"/>
          <w:lang w:eastAsia="ja-JP"/>
        </w:rPr>
        <w:t xml:space="preserve">īpaši aizsargājamo </w:t>
      </w:r>
      <w:r w:rsidRPr="00C25036">
        <w:rPr>
          <w:rFonts w:ascii="Times New Roman" w:eastAsia="Calibri" w:hAnsi="Times New Roman" w:cs="Calibri"/>
          <w:sz w:val="24"/>
          <w:lang w:eastAsia="ja-JP"/>
        </w:rPr>
        <w:t>sugu</w:t>
      </w:r>
      <w:r w:rsidRPr="00A07F29">
        <w:rPr>
          <w:rFonts w:ascii="Times New Roman" w:eastAsia="Calibri" w:hAnsi="Times New Roman" w:cs="Calibri"/>
          <w:sz w:val="24"/>
          <w:lang w:eastAsia="ja-JP"/>
        </w:rPr>
        <w:t xml:space="preserve"> un biotopu </w:t>
      </w:r>
      <w:r w:rsidR="00AA0899" w:rsidRPr="00A07F29">
        <w:rPr>
          <w:rFonts w:ascii="Times New Roman" w:eastAsia="Calibri" w:hAnsi="Times New Roman" w:cs="Calibri"/>
          <w:sz w:val="24"/>
          <w:lang w:eastAsia="ja-JP"/>
        </w:rPr>
        <w:t xml:space="preserve">saglabāšanas </w:t>
      </w:r>
      <w:r w:rsidR="00AA0899" w:rsidRPr="00A07F29">
        <w:rPr>
          <w:rFonts w:ascii="Times New Roman" w:eastAsia="Calibri" w:hAnsi="Times New Roman" w:cs="Calibri"/>
          <w:sz w:val="24"/>
          <w:lang w:eastAsia="ja-JP"/>
        </w:rPr>
        <w:lastRenderedPageBreak/>
        <w:t xml:space="preserve">vajadzības, </w:t>
      </w:r>
      <w:r w:rsidR="003663D5">
        <w:rPr>
          <w:rFonts w:ascii="Times New Roman" w:eastAsia="Calibri" w:hAnsi="Times New Roman" w:cs="Calibri"/>
          <w:sz w:val="24"/>
          <w:lang w:eastAsia="ja-JP"/>
        </w:rPr>
        <w:t>ģenētisko resursu mežaudze</w:t>
      </w:r>
      <w:r w:rsidR="000F1200">
        <w:rPr>
          <w:rFonts w:ascii="Times New Roman" w:eastAsia="Calibri" w:hAnsi="Times New Roman" w:cs="Calibri"/>
          <w:sz w:val="24"/>
          <w:lang w:eastAsia="ja-JP"/>
        </w:rPr>
        <w:t>s</w:t>
      </w:r>
      <w:r w:rsidR="00AA0899" w:rsidRPr="00A07F29">
        <w:rPr>
          <w:rFonts w:ascii="Times New Roman" w:eastAsia="Calibri" w:hAnsi="Times New Roman" w:cs="Calibri"/>
          <w:sz w:val="24"/>
          <w:lang w:eastAsia="ja-JP"/>
        </w:rPr>
        <w:t xml:space="preserve"> “Priedaines priede” apsaimniekošanas plānu izstrādā sada</w:t>
      </w:r>
      <w:r w:rsidR="00C25036">
        <w:rPr>
          <w:rFonts w:ascii="Times New Roman" w:eastAsia="Calibri" w:hAnsi="Times New Roman" w:cs="Calibri"/>
          <w:sz w:val="24"/>
          <w:lang w:eastAsia="ja-JP"/>
        </w:rPr>
        <w:t>rbībā ar LVMI</w:t>
      </w:r>
      <w:r w:rsidR="00AA0899" w:rsidRPr="00A07F29">
        <w:rPr>
          <w:rFonts w:ascii="Times New Roman" w:eastAsia="Calibri" w:hAnsi="Times New Roman" w:cs="Calibri"/>
          <w:sz w:val="24"/>
          <w:lang w:eastAsia="ja-JP"/>
        </w:rPr>
        <w:t xml:space="preserve"> “Silava” un </w:t>
      </w:r>
      <w:r w:rsidR="004063E9" w:rsidRPr="00A07F29">
        <w:rPr>
          <w:rFonts w:ascii="Times New Roman" w:eastAsia="Calibri" w:hAnsi="Times New Roman" w:cs="Calibri"/>
          <w:sz w:val="24"/>
          <w:lang w:eastAsia="ja-JP"/>
        </w:rPr>
        <w:t>DAP</w:t>
      </w:r>
      <w:r w:rsidR="00AA0899" w:rsidRPr="00A07F29">
        <w:rPr>
          <w:rFonts w:ascii="Times New Roman" w:eastAsia="Calibri" w:hAnsi="Times New Roman" w:cs="Calibri"/>
          <w:sz w:val="24"/>
          <w:lang w:eastAsia="ja-JP"/>
        </w:rPr>
        <w:t xml:space="preserve">. Plānu pirms apstiprināšanas saskaņo ar </w:t>
      </w:r>
      <w:r w:rsidR="004063E9" w:rsidRPr="00A07F29">
        <w:rPr>
          <w:rFonts w:ascii="Times New Roman" w:eastAsia="Calibri" w:hAnsi="Times New Roman" w:cs="Calibri"/>
          <w:sz w:val="24"/>
          <w:lang w:eastAsia="ja-JP"/>
        </w:rPr>
        <w:t>DAP</w:t>
      </w:r>
      <w:r w:rsidR="00AA0899" w:rsidRPr="00A07F29">
        <w:rPr>
          <w:rFonts w:ascii="Times New Roman" w:eastAsia="Calibri" w:hAnsi="Times New Roman" w:cs="Calibri"/>
          <w:sz w:val="24"/>
          <w:lang w:eastAsia="ja-JP"/>
        </w:rPr>
        <w:t>.</w:t>
      </w:r>
    </w:p>
    <w:p w14:paraId="46FA4F94" w14:textId="09029970" w:rsidR="00160C92" w:rsidRPr="00A07F29" w:rsidRDefault="00160C92" w:rsidP="00160C92">
      <w:pPr>
        <w:keepNext/>
        <w:spacing w:before="240" w:after="120" w:line="240" w:lineRule="auto"/>
        <w:jc w:val="both"/>
        <w:rPr>
          <w:rFonts w:ascii="Times New Roman" w:eastAsia="Calibri" w:hAnsi="Times New Roman" w:cs="Calibri"/>
          <w:b/>
          <w:i/>
          <w:sz w:val="24"/>
          <w:lang w:eastAsia="ja-JP"/>
        </w:rPr>
      </w:pPr>
      <w:r w:rsidRPr="00A07F29">
        <w:rPr>
          <w:rFonts w:ascii="Times New Roman" w:eastAsia="Calibri" w:hAnsi="Times New Roman" w:cs="Calibri"/>
          <w:b/>
          <w:i/>
          <w:sz w:val="24"/>
          <w:lang w:eastAsia="ja-JP"/>
        </w:rPr>
        <w:t xml:space="preserve">A.1.4. Daugavas loku uzturēšana UNESCO Pasaules mantojuma Latvijas nacionālajā sarakstā un </w:t>
      </w:r>
      <w:r w:rsidR="005C7FBA" w:rsidRPr="00A07F29">
        <w:rPr>
          <w:rFonts w:ascii="Times New Roman" w:eastAsia="Calibri" w:hAnsi="Times New Roman" w:cs="Calibri"/>
          <w:b/>
          <w:i/>
          <w:sz w:val="24"/>
          <w:lang w:eastAsia="ja-JP"/>
        </w:rPr>
        <w:t xml:space="preserve">Augšdaugavas </w:t>
      </w:r>
      <w:r w:rsidRPr="00A07F29">
        <w:rPr>
          <w:rFonts w:ascii="Times New Roman" w:eastAsia="Calibri" w:hAnsi="Times New Roman" w:cs="Calibri"/>
          <w:b/>
          <w:i/>
          <w:sz w:val="24"/>
          <w:lang w:eastAsia="ja-JP"/>
        </w:rPr>
        <w:t>nominācijas sagatavošana Pasaules mantojuma sarakstam</w:t>
      </w:r>
    </w:p>
    <w:p w14:paraId="42B62C83" w14:textId="392BED5F" w:rsidR="00160C92" w:rsidRPr="00A07F29" w:rsidRDefault="00160C92" w:rsidP="00160C92">
      <w:pPr>
        <w:spacing w:before="120" w:after="0" w:line="240" w:lineRule="auto"/>
        <w:ind w:firstLine="851"/>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Daugavas loki ir iekļauti UNESCO Pasaules mantojum</w:t>
      </w:r>
      <w:r w:rsidR="0044374C" w:rsidRPr="00A07F29">
        <w:rPr>
          <w:rFonts w:ascii="Times New Roman" w:eastAsia="Calibri" w:hAnsi="Times New Roman" w:cs="Calibri"/>
          <w:sz w:val="24"/>
          <w:lang w:eastAsia="ja-JP"/>
        </w:rPr>
        <w:t>a Latvijas nacionālajā sarakstā</w:t>
      </w:r>
      <w:r w:rsidRPr="00A07F29">
        <w:rPr>
          <w:rFonts w:ascii="Times New Roman" w:eastAsia="Calibri" w:hAnsi="Times New Roman" w:cs="Calibri"/>
          <w:sz w:val="24"/>
          <w:lang w:eastAsia="ja-JP"/>
        </w:rPr>
        <w:t xml:space="preserve"> un ik p</w:t>
      </w:r>
      <w:r w:rsidR="0044374C" w:rsidRPr="00A07F29">
        <w:rPr>
          <w:rFonts w:ascii="Times New Roman" w:eastAsia="Calibri" w:hAnsi="Times New Roman" w:cs="Calibri"/>
          <w:sz w:val="24"/>
          <w:lang w:eastAsia="ja-JP"/>
        </w:rPr>
        <w:t>ēc</w:t>
      </w:r>
      <w:r w:rsidRPr="00A07F29">
        <w:rPr>
          <w:rFonts w:ascii="Times New Roman" w:eastAsia="Calibri" w:hAnsi="Times New Roman" w:cs="Calibri"/>
          <w:sz w:val="24"/>
          <w:lang w:eastAsia="ja-JP"/>
        </w:rPr>
        <w:t xml:space="preserve"> pieciem gadiem ir jāsniedz ziņojums par nominētās vietas stāvokli un aktivitātēm tajā. To </w:t>
      </w:r>
      <w:r w:rsidR="0044374C" w:rsidRPr="00A07F29">
        <w:rPr>
          <w:rFonts w:ascii="Times New Roman" w:eastAsia="Calibri" w:hAnsi="Times New Roman" w:cs="Calibri"/>
          <w:sz w:val="24"/>
          <w:lang w:eastAsia="ja-JP"/>
        </w:rPr>
        <w:t>sagatavos un iesniegs</w:t>
      </w:r>
      <w:r w:rsidRPr="00A07F29">
        <w:rPr>
          <w:rFonts w:ascii="Times New Roman" w:eastAsia="Calibri" w:hAnsi="Times New Roman" w:cs="Calibri"/>
          <w:sz w:val="24"/>
          <w:lang w:eastAsia="ja-JP"/>
        </w:rPr>
        <w:t xml:space="preserve"> </w:t>
      </w:r>
      <w:r w:rsidR="00C25036" w:rsidRPr="00C25036">
        <w:rPr>
          <w:rFonts w:ascii="Times New Roman" w:eastAsia="Calibri" w:hAnsi="Times New Roman" w:cs="Calibri"/>
          <w:sz w:val="24"/>
          <w:lang w:eastAsia="ja-JP"/>
        </w:rPr>
        <w:t>LU</w:t>
      </w:r>
      <w:r w:rsidRPr="00A07F29">
        <w:rPr>
          <w:rFonts w:ascii="Times New Roman" w:eastAsia="Calibri" w:hAnsi="Times New Roman" w:cs="Calibri"/>
          <w:sz w:val="24"/>
          <w:lang w:eastAsia="ja-JP"/>
        </w:rPr>
        <w:t xml:space="preserve"> Bioloģijas institūts sadarbībā </w:t>
      </w:r>
      <w:r w:rsidRPr="00C25036">
        <w:rPr>
          <w:rFonts w:ascii="Times New Roman" w:eastAsia="Calibri" w:hAnsi="Times New Roman" w:cs="Calibri"/>
          <w:sz w:val="24"/>
          <w:lang w:eastAsia="ja-JP"/>
        </w:rPr>
        <w:t xml:space="preserve">ar </w:t>
      </w:r>
      <w:r w:rsidR="00C25036" w:rsidRPr="00C25036">
        <w:rPr>
          <w:rFonts w:ascii="Times New Roman" w:eastAsia="Calibri" w:hAnsi="Times New Roman" w:cs="Calibri"/>
          <w:sz w:val="24"/>
          <w:lang w:eastAsia="ja-JP"/>
        </w:rPr>
        <w:t>LZA</w:t>
      </w:r>
      <w:r w:rsidRPr="00A07F29">
        <w:rPr>
          <w:rFonts w:ascii="Times New Roman" w:eastAsia="Calibri" w:hAnsi="Times New Roman" w:cs="Calibri"/>
          <w:sz w:val="24"/>
          <w:lang w:eastAsia="ja-JP"/>
        </w:rPr>
        <w:t xml:space="preserve"> un Augšdaugavas un Krāslavas novadu </w:t>
      </w:r>
      <w:r w:rsidR="00A23261" w:rsidRPr="00A07F29">
        <w:rPr>
          <w:rFonts w:ascii="Times New Roman" w:eastAsia="Calibri" w:hAnsi="Times New Roman" w:cs="Calibri"/>
          <w:sz w:val="24"/>
          <w:lang w:eastAsia="ja-JP"/>
        </w:rPr>
        <w:t>pašvaldībām</w:t>
      </w:r>
      <w:r w:rsidRPr="00A07F29">
        <w:rPr>
          <w:rFonts w:ascii="Times New Roman" w:eastAsia="Calibri" w:hAnsi="Times New Roman" w:cs="Calibri"/>
          <w:sz w:val="24"/>
          <w:lang w:eastAsia="ja-JP"/>
        </w:rPr>
        <w:t>.</w:t>
      </w:r>
    </w:p>
    <w:p w14:paraId="22697ACF" w14:textId="584A4866" w:rsidR="0044374C" w:rsidRPr="00A07F29" w:rsidRDefault="0044374C" w:rsidP="00160C92">
      <w:pPr>
        <w:spacing w:before="120" w:after="0" w:line="240" w:lineRule="auto"/>
        <w:ind w:firstLine="851"/>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Ieteicams turpināt darbu pie Augšdaugavas teritorijas izpētes un informācijas apkopošanas, lai sagatavotu nepieciešamos materiālus Augšdaugavas pieteikšanai Pasaules mantojuma sarakstam un uzsāktu ceļu uz Augšdaugavas nomināciju kā vispasaules vērtību.</w:t>
      </w:r>
    </w:p>
    <w:p w14:paraId="20B44C28" w14:textId="59B9CF72" w:rsidR="00AA0899" w:rsidRPr="00A07F29" w:rsidRDefault="00160C92" w:rsidP="009E0864">
      <w:pPr>
        <w:spacing w:before="120" w:after="0" w:line="240" w:lineRule="auto"/>
        <w:ind w:firstLine="851"/>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 xml:space="preserve"> </w:t>
      </w:r>
    </w:p>
    <w:p w14:paraId="4B6484CA" w14:textId="61B1429C" w:rsidR="005D698E" w:rsidRPr="00A07F29" w:rsidRDefault="005D698E" w:rsidP="00AA0899">
      <w:pPr>
        <w:keepNext/>
        <w:spacing w:after="0" w:line="240" w:lineRule="auto"/>
        <w:jc w:val="both"/>
        <w:rPr>
          <w:rFonts w:ascii="Times New Roman" w:eastAsia="Calibri" w:hAnsi="Times New Roman" w:cs="Calibri"/>
          <w:b/>
          <w:sz w:val="24"/>
          <w:highlight w:val="yellow"/>
          <w:lang w:eastAsia="ja-JP"/>
        </w:rPr>
      </w:pPr>
      <w:r w:rsidRPr="00A07F29">
        <w:rPr>
          <w:rFonts w:ascii="Times New Roman" w:eastAsia="Calibri" w:hAnsi="Times New Roman" w:cs="Calibri"/>
          <w:b/>
          <w:sz w:val="24"/>
          <w:lang w:eastAsia="ja-JP"/>
        </w:rPr>
        <w:t>A.2. Nodrošināt dabas parka robežu atpazīstamību dabā.</w:t>
      </w:r>
    </w:p>
    <w:p w14:paraId="585C06CE" w14:textId="491248DC" w:rsidR="00E612E7" w:rsidRPr="00A07F29" w:rsidRDefault="00E612E7" w:rsidP="006F0289">
      <w:pPr>
        <w:keepNext/>
        <w:autoSpaceDE w:val="0"/>
        <w:autoSpaceDN w:val="0"/>
        <w:adjustRightInd w:val="0"/>
        <w:spacing w:before="240" w:after="120" w:line="240" w:lineRule="auto"/>
        <w:jc w:val="both"/>
        <w:rPr>
          <w:rFonts w:ascii="Times New Roman" w:hAnsi="Times New Roman"/>
          <w:b/>
          <w:i/>
          <w:color w:val="000000"/>
          <w:sz w:val="24"/>
          <w:szCs w:val="24"/>
          <w:lang w:eastAsia="lv-LV"/>
        </w:rPr>
      </w:pPr>
      <w:r w:rsidRPr="00A07F29">
        <w:rPr>
          <w:rFonts w:ascii="Times New Roman" w:hAnsi="Times New Roman"/>
          <w:b/>
          <w:i/>
          <w:color w:val="000000"/>
          <w:sz w:val="24"/>
          <w:szCs w:val="24"/>
          <w:lang w:eastAsia="lv-LV"/>
        </w:rPr>
        <w:t>A.2.1. Informatīvo robežzīmju (</w:t>
      </w:r>
      <w:r w:rsidR="00FB3D51">
        <w:rPr>
          <w:rFonts w:ascii="Times New Roman" w:hAnsi="Times New Roman"/>
          <w:b/>
          <w:i/>
          <w:color w:val="000000"/>
          <w:sz w:val="24"/>
          <w:szCs w:val="24"/>
          <w:lang w:eastAsia="lv-LV"/>
        </w:rPr>
        <w:t>“</w:t>
      </w:r>
      <w:r w:rsidRPr="00A07F29">
        <w:rPr>
          <w:rFonts w:ascii="Times New Roman" w:hAnsi="Times New Roman"/>
          <w:b/>
          <w:i/>
          <w:color w:val="000000"/>
          <w:sz w:val="24"/>
          <w:szCs w:val="24"/>
          <w:lang w:eastAsia="lv-LV"/>
        </w:rPr>
        <w:t>ozollapa”) izgatavošana, izvietošana un uzturēšana</w:t>
      </w:r>
    </w:p>
    <w:p w14:paraId="5D0434FE" w14:textId="5E91B870" w:rsidR="00E612E7" w:rsidRPr="00A07F29" w:rsidRDefault="00E612E7" w:rsidP="00E612E7">
      <w:pPr>
        <w:spacing w:before="120" w:after="0" w:line="240" w:lineRule="auto"/>
        <w:ind w:firstLine="851"/>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Paredzēta visas AAA teritorijas iezīmēšana dabā ar speciālajām informatīvajām zīmēm aizsargājamo teritoriju apzīmēšanai (paraugu skat. plāna 6.2.</w:t>
      </w:r>
      <w:r w:rsidR="00730A39">
        <w:rPr>
          <w:rFonts w:ascii="Times New Roman" w:eastAsia="Calibri" w:hAnsi="Times New Roman" w:cs="Calibri"/>
          <w:sz w:val="24"/>
          <w:lang w:eastAsia="ja-JP"/>
        </w:rPr>
        <w:t> </w:t>
      </w:r>
      <w:r w:rsidRPr="00A07F29">
        <w:rPr>
          <w:rFonts w:ascii="Times New Roman" w:eastAsia="Calibri" w:hAnsi="Times New Roman" w:cs="Calibri"/>
          <w:sz w:val="24"/>
          <w:lang w:eastAsia="ja-JP"/>
        </w:rPr>
        <w:t xml:space="preserve">nodaļā), kā </w:t>
      </w:r>
      <w:r w:rsidR="006E61CA">
        <w:rPr>
          <w:rFonts w:ascii="Times New Roman" w:eastAsia="Calibri" w:hAnsi="Times New Roman" w:cs="Calibri"/>
          <w:sz w:val="24"/>
          <w:lang w:eastAsia="ja-JP"/>
        </w:rPr>
        <w:t>arī piecu</w:t>
      </w:r>
      <w:r w:rsidRPr="00A07F29">
        <w:rPr>
          <w:rFonts w:ascii="Times New Roman" w:eastAsia="Calibri" w:hAnsi="Times New Roman" w:cs="Calibri"/>
          <w:sz w:val="24"/>
          <w:lang w:eastAsia="ja-JP"/>
        </w:rPr>
        <w:t xml:space="preserve"> lielo informācijas robežzīmju uzturēšana.</w:t>
      </w:r>
    </w:p>
    <w:p w14:paraId="6E41418B" w14:textId="2933FFA2" w:rsidR="00E612E7" w:rsidRPr="00A07F29" w:rsidRDefault="00E612E7" w:rsidP="00E612E7">
      <w:pPr>
        <w:spacing w:before="120" w:after="0" w:line="240" w:lineRule="auto"/>
        <w:ind w:firstLine="851"/>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 xml:space="preserve">Dabā pašlaik esošo robežzīmju un lielo informatīvo zīmju un ieteicamo robežzīmju atrašanās vietas parādītas </w:t>
      </w:r>
      <w:r w:rsidR="007A3FDE" w:rsidRPr="00A07F29">
        <w:rPr>
          <w:rFonts w:ascii="Times New Roman" w:eastAsia="Calibri" w:hAnsi="Times New Roman" w:cs="Calibri"/>
          <w:sz w:val="24"/>
          <w:lang w:eastAsia="ja-JP"/>
        </w:rPr>
        <w:t>5.1.2</w:t>
      </w:r>
      <w:r w:rsidRPr="00A07F29">
        <w:rPr>
          <w:rFonts w:ascii="Times New Roman" w:eastAsia="Calibri" w:hAnsi="Times New Roman" w:cs="Calibri"/>
          <w:sz w:val="24"/>
          <w:lang w:eastAsia="ja-JP"/>
        </w:rPr>
        <w:t>.</w:t>
      </w:r>
      <w:r w:rsidR="006B66CF">
        <w:rPr>
          <w:rFonts w:ascii="Times New Roman" w:eastAsia="Calibri" w:hAnsi="Times New Roman" w:cs="Calibri"/>
          <w:sz w:val="24"/>
          <w:lang w:eastAsia="ja-JP"/>
        </w:rPr>
        <w:t> </w:t>
      </w:r>
      <w:r w:rsidR="00345747">
        <w:rPr>
          <w:rFonts w:ascii="Times New Roman" w:eastAsia="Calibri" w:hAnsi="Times New Roman" w:cs="Calibri"/>
          <w:sz w:val="24"/>
          <w:lang w:eastAsia="ja-JP"/>
        </w:rPr>
        <w:t>un 5.1.2a. </w:t>
      </w:r>
      <w:r w:rsidRPr="00A07F29">
        <w:rPr>
          <w:rFonts w:ascii="Times New Roman" w:eastAsia="Calibri" w:hAnsi="Times New Roman" w:cs="Calibri"/>
          <w:sz w:val="24"/>
          <w:lang w:eastAsia="ja-JP"/>
        </w:rPr>
        <w:t>pielikumā.</w:t>
      </w:r>
    </w:p>
    <w:p w14:paraId="5BB5286F" w14:textId="2A278957" w:rsidR="0E6B778D" w:rsidRPr="00A07F29" w:rsidRDefault="0E6B778D" w:rsidP="006F0289">
      <w:pPr>
        <w:spacing w:before="120" w:after="0" w:line="240" w:lineRule="auto"/>
        <w:ind w:firstLine="851"/>
        <w:jc w:val="both"/>
        <w:rPr>
          <w:rFonts w:ascii="Times New Roman" w:eastAsia="Calibri" w:hAnsi="Times New Roman" w:cs="Calibri"/>
          <w:sz w:val="24"/>
          <w:szCs w:val="24"/>
          <w:lang w:eastAsia="ja-JP"/>
        </w:rPr>
      </w:pPr>
      <w:r w:rsidRPr="00A07F29">
        <w:rPr>
          <w:rFonts w:ascii="Times New Roman" w:eastAsia="Calibri" w:hAnsi="Times New Roman" w:cs="Calibri"/>
          <w:sz w:val="24"/>
          <w:szCs w:val="24"/>
          <w:lang w:eastAsia="ja-JP"/>
        </w:rPr>
        <w:t xml:space="preserve">Robežzīmju izvietošanu un atjaunošanu veic DAP, sadarbojoties ar pašvaldībām vai attiecīgo zemju </w:t>
      </w:r>
      <w:proofErr w:type="spellStart"/>
      <w:r w:rsidRPr="00A07F29">
        <w:rPr>
          <w:rFonts w:ascii="Times New Roman" w:eastAsia="Calibri" w:hAnsi="Times New Roman" w:cs="Calibri"/>
          <w:sz w:val="24"/>
          <w:szCs w:val="24"/>
          <w:lang w:eastAsia="ja-JP"/>
        </w:rPr>
        <w:t>apsaimniekotājiem</w:t>
      </w:r>
      <w:proofErr w:type="spellEnd"/>
      <w:r w:rsidRPr="00A07F29">
        <w:rPr>
          <w:rFonts w:ascii="Times New Roman" w:eastAsia="Calibri" w:hAnsi="Times New Roman" w:cs="Calibri"/>
          <w:sz w:val="24"/>
          <w:szCs w:val="24"/>
          <w:lang w:eastAsia="ja-JP"/>
        </w:rPr>
        <w:t>.</w:t>
      </w:r>
    </w:p>
    <w:p w14:paraId="41F0A204" w14:textId="6E2D98FF" w:rsidR="0004566D" w:rsidRPr="00A07F29" w:rsidRDefault="0004566D" w:rsidP="006F0289">
      <w:pPr>
        <w:keepNext/>
        <w:autoSpaceDE w:val="0"/>
        <w:autoSpaceDN w:val="0"/>
        <w:adjustRightInd w:val="0"/>
        <w:spacing w:before="240" w:after="120" w:line="240" w:lineRule="auto"/>
        <w:jc w:val="both"/>
        <w:rPr>
          <w:rFonts w:ascii="Times New Roman" w:hAnsi="Times New Roman"/>
          <w:b/>
          <w:i/>
          <w:color w:val="000000"/>
          <w:sz w:val="24"/>
          <w:szCs w:val="24"/>
          <w:lang w:eastAsia="lv-LV"/>
        </w:rPr>
      </w:pPr>
      <w:r w:rsidRPr="00A07F29">
        <w:rPr>
          <w:rFonts w:ascii="Times New Roman" w:hAnsi="Times New Roman"/>
          <w:b/>
          <w:i/>
          <w:color w:val="000000"/>
          <w:sz w:val="24"/>
          <w:szCs w:val="24"/>
          <w:lang w:eastAsia="lv-LV"/>
        </w:rPr>
        <w:t>A.2.2. AAA “Augšdaugava” ārējās robežas uzmērīšana</w:t>
      </w:r>
    </w:p>
    <w:p w14:paraId="4D7A0CEA" w14:textId="02C94FC3" w:rsidR="0E6B778D" w:rsidRPr="00A07F29" w:rsidRDefault="0E6B778D" w:rsidP="006F0289">
      <w:pPr>
        <w:spacing w:before="120" w:after="0" w:line="240" w:lineRule="auto"/>
        <w:ind w:firstLine="567"/>
        <w:jc w:val="both"/>
        <w:rPr>
          <w:rFonts w:ascii="Times New Roman" w:eastAsia="Calibri" w:hAnsi="Times New Roman" w:cs="Calibri"/>
          <w:sz w:val="24"/>
          <w:szCs w:val="24"/>
          <w:lang w:eastAsia="ja-JP"/>
        </w:rPr>
      </w:pPr>
      <w:r w:rsidRPr="00A07F29">
        <w:rPr>
          <w:rFonts w:ascii="Times New Roman" w:eastAsia="Calibri" w:hAnsi="Times New Roman" w:cs="Calibri"/>
          <w:sz w:val="24"/>
          <w:szCs w:val="24"/>
          <w:lang w:eastAsia="ja-JP"/>
        </w:rPr>
        <w:t>Veicama AAA “Augšdaugava” ārējās robežas uzmērīšana</w:t>
      </w:r>
    </w:p>
    <w:p w14:paraId="55ACB797" w14:textId="38E857CA" w:rsidR="0E6B778D" w:rsidRPr="00A07F29" w:rsidRDefault="0E6B778D" w:rsidP="006F0289">
      <w:pPr>
        <w:spacing w:before="240" w:after="120" w:line="240" w:lineRule="auto"/>
        <w:jc w:val="both"/>
        <w:rPr>
          <w:rFonts w:ascii="Times New Roman" w:hAnsi="Times New Roman"/>
          <w:b/>
          <w:bCs/>
          <w:i/>
          <w:iCs/>
          <w:color w:val="000000" w:themeColor="text1"/>
          <w:sz w:val="24"/>
          <w:szCs w:val="24"/>
          <w:lang w:eastAsia="lv-LV"/>
        </w:rPr>
      </w:pPr>
      <w:r w:rsidRPr="00A07F29">
        <w:rPr>
          <w:rFonts w:ascii="Times New Roman" w:hAnsi="Times New Roman"/>
          <w:b/>
          <w:bCs/>
          <w:i/>
          <w:iCs/>
          <w:color w:val="000000" w:themeColor="text1"/>
          <w:sz w:val="24"/>
          <w:szCs w:val="24"/>
          <w:lang w:eastAsia="lv-LV"/>
        </w:rPr>
        <w:t>A.2.3. Robežas joslas ierīkošana un uzturēšana</w:t>
      </w:r>
    </w:p>
    <w:p w14:paraId="6D700CF4" w14:textId="64D14D5A" w:rsidR="00D362A9" w:rsidRPr="00A07F29" w:rsidRDefault="00C25036" w:rsidP="00913C20">
      <w:pPr>
        <w:spacing w:after="0" w:line="240" w:lineRule="auto"/>
        <w:ind w:firstLine="851"/>
        <w:jc w:val="both"/>
        <w:rPr>
          <w:rFonts w:ascii="Times New Roman" w:eastAsia="Times New Roman" w:hAnsi="Times New Roman" w:cs="Times New Roman"/>
          <w:sz w:val="24"/>
          <w:szCs w:val="24"/>
        </w:rPr>
      </w:pPr>
      <w:r w:rsidRPr="00C25036">
        <w:rPr>
          <w:rFonts w:ascii="Times New Roman" w:eastAsia="Times New Roman" w:hAnsi="Times New Roman" w:cs="Times New Roman"/>
          <w:sz w:val="24"/>
          <w:szCs w:val="24"/>
        </w:rPr>
        <w:t>MK</w:t>
      </w:r>
      <w:r w:rsidR="00D362A9" w:rsidRPr="00A07F29">
        <w:rPr>
          <w:rFonts w:ascii="Times New Roman" w:eastAsia="Times New Roman" w:hAnsi="Times New Roman" w:cs="Times New Roman"/>
          <w:sz w:val="24"/>
          <w:szCs w:val="24"/>
        </w:rPr>
        <w:t xml:space="preserve"> “</w:t>
      </w:r>
      <w:r w:rsidRPr="00C25036">
        <w:rPr>
          <w:rFonts w:ascii="Times New Roman" w:eastAsia="Times New Roman" w:hAnsi="Times New Roman" w:cs="Times New Roman"/>
          <w:bCs/>
          <w:sz w:val="24"/>
          <w:szCs w:val="24"/>
        </w:rPr>
        <w:t>Noteikumi par Latvijas Republikas valsts robežas joslu, pierobežas joslu un pierobežu, kā arī pierobežas, pierobežas joslas, valsts robežas joslas un patrulēšanas joslas norāžu paraugiem un to uzstādīšanas kārtību</w:t>
      </w:r>
      <w:r w:rsidR="00D362A9" w:rsidRPr="00A07F29">
        <w:rPr>
          <w:rFonts w:ascii="Times New Roman" w:eastAsia="Times New Roman" w:hAnsi="Times New Roman" w:cs="Times New Roman"/>
          <w:sz w:val="24"/>
          <w:szCs w:val="24"/>
        </w:rPr>
        <w:t>” nosaka, ka Latvijas Republikas valsts robežas joslas platums ar Baltkrievijas Republiku ir 12</w:t>
      </w:r>
      <w:r w:rsidR="00D71DA2">
        <w:rPr>
          <w:rFonts w:ascii="Times New Roman" w:eastAsia="Times New Roman" w:hAnsi="Times New Roman" w:cs="Times New Roman"/>
          <w:sz w:val="24"/>
          <w:szCs w:val="24"/>
        </w:rPr>
        <w:t xml:space="preserve"> </w:t>
      </w:r>
      <w:r w:rsidR="00D362A9" w:rsidRPr="00A07F29">
        <w:rPr>
          <w:rFonts w:ascii="Times New Roman" w:eastAsia="Times New Roman" w:hAnsi="Times New Roman" w:cs="Times New Roman"/>
          <w:sz w:val="24"/>
          <w:szCs w:val="24"/>
        </w:rPr>
        <w:t xml:space="preserve">metri, un to iedala: </w:t>
      </w:r>
    </w:p>
    <w:p w14:paraId="7EADE499" w14:textId="77777777" w:rsidR="00D362A9" w:rsidRPr="00A07F29" w:rsidRDefault="00D362A9" w:rsidP="00913C20">
      <w:pPr>
        <w:numPr>
          <w:ilvl w:val="0"/>
          <w:numId w:val="63"/>
        </w:numPr>
        <w:tabs>
          <w:tab w:val="left" w:pos="1276"/>
        </w:tabs>
        <w:spacing w:before="80" w:after="0" w:line="240" w:lineRule="auto"/>
        <w:ind w:left="1134" w:hanging="283"/>
        <w:jc w:val="both"/>
        <w:rPr>
          <w:rFonts w:ascii="Times New Roman" w:eastAsia="Times New Roman" w:hAnsi="Times New Roman" w:cs="Times New Roman"/>
          <w:sz w:val="24"/>
          <w:szCs w:val="24"/>
        </w:rPr>
      </w:pPr>
      <w:r w:rsidRPr="00A07F29">
        <w:rPr>
          <w:rFonts w:ascii="Times New Roman" w:eastAsia="Times New Roman" w:hAnsi="Times New Roman" w:cs="Times New Roman"/>
          <w:sz w:val="24"/>
          <w:szCs w:val="24"/>
          <w:shd w:val="clear" w:color="auto" w:fill="FFFFFF"/>
        </w:rPr>
        <w:t>robežzīmju novērošanas zona, kas ir līdz astoņiem metriem plata valsts robežas joslas daļa, kuru iekārto, sākot no valsts robežas, ūdensteces krasta kraujas augšmalas (</w:t>
      </w:r>
      <w:proofErr w:type="spellStart"/>
      <w:r w:rsidRPr="00A07F29">
        <w:rPr>
          <w:rFonts w:ascii="Times New Roman" w:eastAsia="Times New Roman" w:hAnsi="Times New Roman" w:cs="Times New Roman"/>
          <w:sz w:val="24"/>
          <w:szCs w:val="24"/>
          <w:shd w:val="clear" w:color="auto" w:fill="FFFFFF"/>
        </w:rPr>
        <w:t>krotes</w:t>
      </w:r>
      <w:proofErr w:type="spellEnd"/>
      <w:r w:rsidRPr="00A07F29">
        <w:rPr>
          <w:rFonts w:ascii="Times New Roman" w:eastAsia="Times New Roman" w:hAnsi="Times New Roman" w:cs="Times New Roman"/>
          <w:sz w:val="24"/>
          <w:szCs w:val="24"/>
          <w:shd w:val="clear" w:color="auto" w:fill="FFFFFF"/>
        </w:rPr>
        <w:t>) līnijas vai ūdens līmeņa līnijas normālā ūdens stāvoklī, vai grāvja malas,</w:t>
      </w:r>
    </w:p>
    <w:p w14:paraId="7027C8D3" w14:textId="4BA8FCE2" w:rsidR="00D362A9" w:rsidRPr="00A07F29" w:rsidRDefault="00D362A9" w:rsidP="00913C20">
      <w:pPr>
        <w:numPr>
          <w:ilvl w:val="0"/>
          <w:numId w:val="63"/>
        </w:numPr>
        <w:tabs>
          <w:tab w:val="left" w:pos="1276"/>
        </w:tabs>
        <w:spacing w:before="80" w:after="0" w:line="240" w:lineRule="auto"/>
        <w:ind w:left="1134" w:hanging="283"/>
        <w:jc w:val="both"/>
        <w:rPr>
          <w:rFonts w:ascii="Times New Roman" w:eastAsia="Times New Roman" w:hAnsi="Times New Roman" w:cs="Times New Roman"/>
          <w:sz w:val="24"/>
          <w:szCs w:val="24"/>
        </w:rPr>
      </w:pPr>
      <w:proofErr w:type="spellStart"/>
      <w:r w:rsidRPr="00A07F29">
        <w:rPr>
          <w:rFonts w:ascii="Times New Roman" w:eastAsia="Times New Roman" w:hAnsi="Times New Roman" w:cs="Times New Roman"/>
          <w:sz w:val="24"/>
          <w:szCs w:val="24"/>
          <w:shd w:val="clear" w:color="auto" w:fill="FFFFFF"/>
        </w:rPr>
        <w:t>patruļtakas</w:t>
      </w:r>
      <w:proofErr w:type="spellEnd"/>
      <w:r w:rsidRPr="00A07F29">
        <w:rPr>
          <w:rFonts w:ascii="Times New Roman" w:eastAsia="Times New Roman" w:hAnsi="Times New Roman" w:cs="Times New Roman"/>
          <w:sz w:val="24"/>
          <w:szCs w:val="24"/>
          <w:shd w:val="clear" w:color="auto" w:fill="FFFFFF"/>
        </w:rPr>
        <w:t xml:space="preserve"> zona, kas ir </w:t>
      </w:r>
      <w:r w:rsidR="00D25DFF">
        <w:rPr>
          <w:rFonts w:ascii="Times New Roman" w:eastAsia="Times New Roman" w:hAnsi="Times New Roman" w:cs="Times New Roman"/>
          <w:sz w:val="24"/>
          <w:szCs w:val="24"/>
          <w:shd w:val="clear" w:color="auto" w:fill="FFFFFF"/>
        </w:rPr>
        <w:t>2 – </w:t>
      </w:r>
      <w:r w:rsidRPr="00A07F29">
        <w:rPr>
          <w:rFonts w:ascii="Times New Roman" w:eastAsia="Times New Roman" w:hAnsi="Times New Roman" w:cs="Times New Roman"/>
          <w:sz w:val="24"/>
          <w:szCs w:val="24"/>
          <w:shd w:val="clear" w:color="auto" w:fill="FFFFFF"/>
        </w:rPr>
        <w:t>3,5</w:t>
      </w:r>
      <w:r w:rsidR="00D71DA2">
        <w:rPr>
          <w:rFonts w:ascii="Times New Roman" w:eastAsia="Times New Roman" w:hAnsi="Times New Roman" w:cs="Times New Roman"/>
          <w:sz w:val="24"/>
          <w:szCs w:val="24"/>
          <w:shd w:val="clear" w:color="auto" w:fill="FFFFFF"/>
        </w:rPr>
        <w:t xml:space="preserve"> </w:t>
      </w:r>
      <w:r w:rsidRPr="00A07F29">
        <w:rPr>
          <w:rFonts w:ascii="Times New Roman" w:eastAsia="Times New Roman" w:hAnsi="Times New Roman" w:cs="Times New Roman"/>
          <w:sz w:val="24"/>
          <w:szCs w:val="24"/>
          <w:shd w:val="clear" w:color="auto" w:fill="FFFFFF"/>
        </w:rPr>
        <w:t>m</w:t>
      </w:r>
      <w:r w:rsidR="00D71DA2">
        <w:rPr>
          <w:rFonts w:ascii="Times New Roman" w:eastAsia="Times New Roman" w:hAnsi="Times New Roman" w:cs="Times New Roman"/>
          <w:sz w:val="24"/>
          <w:szCs w:val="24"/>
          <w:shd w:val="clear" w:color="auto" w:fill="FFFFFF"/>
        </w:rPr>
        <w:t>etrus</w:t>
      </w:r>
      <w:r w:rsidRPr="00A07F29">
        <w:rPr>
          <w:rFonts w:ascii="Times New Roman" w:eastAsia="Times New Roman" w:hAnsi="Times New Roman" w:cs="Times New Roman"/>
          <w:sz w:val="24"/>
          <w:szCs w:val="24"/>
          <w:shd w:val="clear" w:color="auto" w:fill="FFFFFF"/>
        </w:rPr>
        <w:t xml:space="preserve"> plata valsts robežas joslas daļa, kuru iekārto starp robežzīmju novērošanas zonu un brīvās novērošanas zonu,</w:t>
      </w:r>
    </w:p>
    <w:p w14:paraId="4150419C" w14:textId="77777777" w:rsidR="00D362A9" w:rsidRPr="00A07F29" w:rsidRDefault="00D362A9" w:rsidP="00913C20">
      <w:pPr>
        <w:numPr>
          <w:ilvl w:val="0"/>
          <w:numId w:val="63"/>
        </w:numPr>
        <w:tabs>
          <w:tab w:val="left" w:pos="1276"/>
        </w:tabs>
        <w:spacing w:before="80" w:after="80" w:line="240" w:lineRule="auto"/>
        <w:ind w:left="1134" w:hanging="283"/>
        <w:jc w:val="both"/>
        <w:rPr>
          <w:rFonts w:ascii="Times New Roman" w:eastAsia="Times New Roman" w:hAnsi="Times New Roman" w:cs="Times New Roman"/>
          <w:sz w:val="24"/>
          <w:szCs w:val="24"/>
        </w:rPr>
      </w:pPr>
      <w:r w:rsidRPr="00A07F29">
        <w:rPr>
          <w:rFonts w:ascii="Times New Roman" w:eastAsia="Times New Roman" w:hAnsi="Times New Roman" w:cs="Times New Roman"/>
          <w:sz w:val="24"/>
          <w:szCs w:val="24"/>
          <w:shd w:val="clear" w:color="auto" w:fill="FFFFFF"/>
        </w:rPr>
        <w:t xml:space="preserve">brīvās novērošanas zona, kas ir līdz diviem metriem plata valsts robežas joslas daļa, kuru iekārto aiz </w:t>
      </w:r>
      <w:proofErr w:type="spellStart"/>
      <w:r w:rsidRPr="00A07F29">
        <w:rPr>
          <w:rFonts w:ascii="Times New Roman" w:eastAsia="Times New Roman" w:hAnsi="Times New Roman" w:cs="Times New Roman"/>
          <w:sz w:val="24"/>
          <w:szCs w:val="24"/>
          <w:shd w:val="clear" w:color="auto" w:fill="FFFFFF"/>
        </w:rPr>
        <w:t>patruļtakas</w:t>
      </w:r>
      <w:proofErr w:type="spellEnd"/>
      <w:r w:rsidRPr="00A07F29">
        <w:rPr>
          <w:rFonts w:ascii="Times New Roman" w:eastAsia="Times New Roman" w:hAnsi="Times New Roman" w:cs="Times New Roman"/>
          <w:sz w:val="24"/>
          <w:szCs w:val="24"/>
          <w:shd w:val="clear" w:color="auto" w:fill="FFFFFF"/>
        </w:rPr>
        <w:t xml:space="preserve"> zonas tālāk no valsts robežas.</w:t>
      </w:r>
    </w:p>
    <w:p w14:paraId="3EF1DA5C" w14:textId="77777777" w:rsidR="00D362A9" w:rsidRPr="00A07F29" w:rsidRDefault="00D362A9" w:rsidP="00913C20">
      <w:pPr>
        <w:spacing w:after="0" w:line="240" w:lineRule="auto"/>
        <w:ind w:firstLine="851"/>
        <w:jc w:val="both"/>
        <w:rPr>
          <w:rFonts w:ascii="Times New Roman" w:eastAsia="Times New Roman" w:hAnsi="Times New Roman" w:cs="Times New Roman"/>
          <w:sz w:val="24"/>
          <w:szCs w:val="24"/>
        </w:rPr>
      </w:pPr>
      <w:r w:rsidRPr="00A07F29">
        <w:rPr>
          <w:rFonts w:ascii="Times New Roman" w:eastAsia="Times New Roman" w:hAnsi="Times New Roman" w:cs="Times New Roman"/>
          <w:sz w:val="24"/>
          <w:szCs w:val="24"/>
        </w:rPr>
        <w:t xml:space="preserve">Noteikumi pieļauj, ka gadījumos, kad </w:t>
      </w:r>
      <w:proofErr w:type="spellStart"/>
      <w:r w:rsidRPr="00A07F29">
        <w:rPr>
          <w:rFonts w:ascii="Times New Roman" w:eastAsia="Times New Roman" w:hAnsi="Times New Roman" w:cs="Times New Roman"/>
          <w:sz w:val="24"/>
          <w:szCs w:val="24"/>
        </w:rPr>
        <w:t>patruļtakas</w:t>
      </w:r>
      <w:proofErr w:type="spellEnd"/>
      <w:r w:rsidRPr="00A07F29">
        <w:rPr>
          <w:rFonts w:ascii="Times New Roman" w:eastAsia="Times New Roman" w:hAnsi="Times New Roman" w:cs="Times New Roman"/>
          <w:sz w:val="24"/>
          <w:szCs w:val="24"/>
        </w:rPr>
        <w:t xml:space="preserve"> zonā ir dabiski šķēršļi, kuru dēļ nav iespējams izveidot </w:t>
      </w:r>
      <w:proofErr w:type="spellStart"/>
      <w:r w:rsidRPr="00A07F29">
        <w:rPr>
          <w:rFonts w:ascii="Times New Roman" w:eastAsia="Times New Roman" w:hAnsi="Times New Roman" w:cs="Times New Roman"/>
          <w:sz w:val="24"/>
          <w:szCs w:val="24"/>
        </w:rPr>
        <w:t>patruļtaku</w:t>
      </w:r>
      <w:proofErr w:type="spellEnd"/>
      <w:r w:rsidRPr="00A07F29">
        <w:rPr>
          <w:rFonts w:ascii="Times New Roman" w:eastAsia="Times New Roman" w:hAnsi="Times New Roman" w:cs="Times New Roman"/>
          <w:sz w:val="24"/>
          <w:szCs w:val="24"/>
        </w:rPr>
        <w:t>, to izveido brīvās novērošanas zonā. Tāpat arī gadījumos, kad dabisku šķēršļu dēļ žogu nav iespējams ierīkot robežzīmju novērošanas zonā, to ierīko brīvās novērošanas zonā.</w:t>
      </w:r>
    </w:p>
    <w:p w14:paraId="5F52C959" w14:textId="3D422B6A" w:rsidR="00D362A9" w:rsidRPr="00A07F29" w:rsidRDefault="00D362A9" w:rsidP="00913C20">
      <w:pPr>
        <w:spacing w:after="0" w:line="240" w:lineRule="auto"/>
        <w:ind w:firstLine="851"/>
        <w:jc w:val="both"/>
        <w:rPr>
          <w:rFonts w:ascii="Times New Roman" w:eastAsia="Times New Roman" w:hAnsi="Times New Roman" w:cs="Times New Roman"/>
          <w:sz w:val="24"/>
          <w:szCs w:val="24"/>
        </w:rPr>
      </w:pPr>
      <w:r w:rsidRPr="00A07F29">
        <w:rPr>
          <w:rFonts w:ascii="Times New Roman" w:eastAsia="Times New Roman" w:hAnsi="Times New Roman" w:cs="Times New Roman"/>
          <w:sz w:val="24"/>
          <w:szCs w:val="24"/>
        </w:rPr>
        <w:t xml:space="preserve">MK </w:t>
      </w:r>
      <w:r w:rsidR="00B7105F" w:rsidRPr="00A07F29">
        <w:rPr>
          <w:rFonts w:ascii="Times New Roman" w:eastAsia="Times New Roman" w:hAnsi="Times New Roman" w:cs="Times New Roman"/>
          <w:sz w:val="24"/>
          <w:szCs w:val="24"/>
        </w:rPr>
        <w:t>2022.</w:t>
      </w:r>
      <w:r w:rsidR="003D630C">
        <w:rPr>
          <w:rFonts w:ascii="Times New Roman" w:eastAsia="Times New Roman" w:hAnsi="Times New Roman" w:cs="Times New Roman"/>
          <w:sz w:val="24"/>
          <w:szCs w:val="24"/>
        </w:rPr>
        <w:t> </w:t>
      </w:r>
      <w:r w:rsidR="00B7105F" w:rsidRPr="00A07F29">
        <w:rPr>
          <w:rFonts w:ascii="Times New Roman" w:eastAsia="Times New Roman" w:hAnsi="Times New Roman" w:cs="Times New Roman"/>
          <w:sz w:val="24"/>
          <w:szCs w:val="24"/>
        </w:rPr>
        <w:t xml:space="preserve">gada </w:t>
      </w:r>
      <w:r w:rsidR="00E12B3B" w:rsidRPr="00A07F29">
        <w:rPr>
          <w:rFonts w:ascii="Times New Roman" w:eastAsia="Times New Roman" w:hAnsi="Times New Roman" w:cs="Times New Roman"/>
          <w:sz w:val="24"/>
          <w:szCs w:val="24"/>
        </w:rPr>
        <w:t>1.</w:t>
      </w:r>
      <w:r w:rsidR="003D630C">
        <w:rPr>
          <w:rFonts w:ascii="Times New Roman" w:eastAsia="Times New Roman" w:hAnsi="Times New Roman" w:cs="Times New Roman"/>
          <w:sz w:val="24"/>
          <w:szCs w:val="24"/>
        </w:rPr>
        <w:t> </w:t>
      </w:r>
      <w:r w:rsidR="00E12B3B" w:rsidRPr="00A07F29">
        <w:rPr>
          <w:rFonts w:ascii="Times New Roman" w:eastAsia="Times New Roman" w:hAnsi="Times New Roman" w:cs="Times New Roman"/>
          <w:sz w:val="24"/>
          <w:szCs w:val="24"/>
        </w:rPr>
        <w:t xml:space="preserve">februāra </w:t>
      </w:r>
      <w:r w:rsidRPr="00A07F29">
        <w:rPr>
          <w:rFonts w:ascii="Times New Roman" w:eastAsia="Times New Roman" w:hAnsi="Times New Roman" w:cs="Times New Roman"/>
          <w:sz w:val="24"/>
          <w:szCs w:val="24"/>
        </w:rPr>
        <w:t xml:space="preserve">noteikumi </w:t>
      </w:r>
      <w:r w:rsidR="00E12B3B" w:rsidRPr="00A07F29">
        <w:rPr>
          <w:rFonts w:ascii="Times New Roman" w:eastAsia="Times New Roman" w:hAnsi="Times New Roman" w:cs="Times New Roman"/>
          <w:sz w:val="24"/>
          <w:szCs w:val="24"/>
        </w:rPr>
        <w:t>Nr.</w:t>
      </w:r>
      <w:r w:rsidR="003D630C">
        <w:rPr>
          <w:rFonts w:ascii="Times New Roman" w:eastAsia="Times New Roman" w:hAnsi="Times New Roman" w:cs="Times New Roman"/>
          <w:sz w:val="24"/>
          <w:szCs w:val="24"/>
        </w:rPr>
        <w:t> </w:t>
      </w:r>
      <w:r w:rsidR="00E12B3B" w:rsidRPr="00A07F29">
        <w:rPr>
          <w:rFonts w:ascii="Times New Roman" w:eastAsia="Times New Roman" w:hAnsi="Times New Roman" w:cs="Times New Roman"/>
          <w:sz w:val="24"/>
          <w:szCs w:val="24"/>
        </w:rPr>
        <w:t xml:space="preserve">79 </w:t>
      </w:r>
      <w:r w:rsidRPr="00A07F29">
        <w:rPr>
          <w:rFonts w:ascii="Times New Roman" w:eastAsia="Times New Roman" w:hAnsi="Times New Roman" w:cs="Times New Roman"/>
          <w:sz w:val="24"/>
          <w:szCs w:val="24"/>
        </w:rPr>
        <w:t xml:space="preserve">“Latvijas Republikas valsts robežas joslas, patrulēšanas joslas un robežzīmju uzraudzības joslas iekārtošanas un uzturēšanas noteikumi” </w:t>
      </w:r>
      <w:r w:rsidRPr="00A07F29">
        <w:rPr>
          <w:rFonts w:ascii="Times New Roman" w:eastAsia="Times New Roman" w:hAnsi="Times New Roman" w:cs="Times New Roman"/>
          <w:sz w:val="24"/>
          <w:szCs w:val="24"/>
        </w:rPr>
        <w:lastRenderedPageBreak/>
        <w:t xml:space="preserve">nosaka, ka valsts robežas joslu iekārto, </w:t>
      </w:r>
      <w:r w:rsidR="006F3CD2" w:rsidRPr="00A07F29">
        <w:rPr>
          <w:rFonts w:ascii="Times New Roman" w:eastAsia="Times New Roman" w:hAnsi="Times New Roman" w:cs="Times New Roman"/>
          <w:sz w:val="24"/>
          <w:szCs w:val="24"/>
        </w:rPr>
        <w:t>attīrot to no kokiem, krūmiem, to saknēm un nolīdzinot augsnes virsējo kārtu</w:t>
      </w:r>
      <w:r w:rsidRPr="00A07F29">
        <w:rPr>
          <w:rFonts w:ascii="Times New Roman" w:eastAsia="Times New Roman" w:hAnsi="Times New Roman" w:cs="Times New Roman"/>
          <w:sz w:val="24"/>
          <w:szCs w:val="24"/>
        </w:rPr>
        <w:t>, kā arī nosaka, ka robežzīmju novērošanas zonā un brīvās novērošanas zonā pieļaujamais zāles augstums nedrīkst pārsniegt 0,3</w:t>
      </w:r>
      <w:r w:rsidR="00224B02">
        <w:rPr>
          <w:rFonts w:ascii="Times New Roman" w:eastAsia="Times New Roman" w:hAnsi="Times New Roman" w:cs="Times New Roman"/>
          <w:sz w:val="24"/>
          <w:szCs w:val="24"/>
        </w:rPr>
        <w:t> </w:t>
      </w:r>
      <w:r w:rsidRPr="00A07F29">
        <w:rPr>
          <w:rFonts w:ascii="Times New Roman" w:eastAsia="Times New Roman" w:hAnsi="Times New Roman" w:cs="Times New Roman"/>
          <w:sz w:val="24"/>
          <w:szCs w:val="24"/>
        </w:rPr>
        <w:t>metrus.</w:t>
      </w:r>
    </w:p>
    <w:p w14:paraId="4391B0DD" w14:textId="6CD0C4FA" w:rsidR="00D362A9" w:rsidRPr="00A07F29" w:rsidRDefault="00D362A9" w:rsidP="0038759B">
      <w:pPr>
        <w:spacing w:after="0" w:line="240" w:lineRule="auto"/>
        <w:ind w:firstLine="851"/>
        <w:jc w:val="both"/>
        <w:rPr>
          <w:rFonts w:ascii="Times New Roman" w:eastAsia="Times New Roman" w:hAnsi="Times New Roman" w:cs="Times New Roman"/>
          <w:sz w:val="24"/>
          <w:szCs w:val="24"/>
        </w:rPr>
      </w:pPr>
      <w:r w:rsidRPr="00A07F29">
        <w:rPr>
          <w:rFonts w:ascii="Times New Roman" w:eastAsia="Times New Roman" w:hAnsi="Times New Roman" w:cs="Times New Roman"/>
          <w:sz w:val="24"/>
          <w:szCs w:val="24"/>
        </w:rPr>
        <w:t>Latvijas Republikas valsts robežas likuma 13.</w:t>
      </w:r>
      <w:r w:rsidR="00F6201A">
        <w:rPr>
          <w:rFonts w:ascii="Times New Roman" w:eastAsia="Times New Roman" w:hAnsi="Times New Roman" w:cs="Times New Roman"/>
          <w:sz w:val="24"/>
          <w:szCs w:val="24"/>
        </w:rPr>
        <w:t> </w:t>
      </w:r>
      <w:r w:rsidRPr="00A07F29">
        <w:rPr>
          <w:rFonts w:ascii="Times New Roman" w:eastAsia="Times New Roman" w:hAnsi="Times New Roman" w:cs="Times New Roman"/>
          <w:sz w:val="24"/>
          <w:szCs w:val="24"/>
        </w:rPr>
        <w:t>panta 2.</w:t>
      </w:r>
      <w:r w:rsidR="00F6201A">
        <w:rPr>
          <w:rFonts w:ascii="Times New Roman" w:eastAsia="Times New Roman" w:hAnsi="Times New Roman" w:cs="Times New Roman"/>
          <w:sz w:val="24"/>
          <w:szCs w:val="24"/>
        </w:rPr>
        <w:t> </w:t>
      </w:r>
      <w:r w:rsidRPr="00A07F29">
        <w:rPr>
          <w:rFonts w:ascii="Times New Roman" w:eastAsia="Times New Roman" w:hAnsi="Times New Roman" w:cs="Times New Roman"/>
          <w:sz w:val="24"/>
          <w:szCs w:val="24"/>
        </w:rPr>
        <w:t xml:space="preserve">daļa nosaka, ka, ja </w:t>
      </w:r>
      <w:r w:rsidR="00C25036" w:rsidRPr="00C25036">
        <w:rPr>
          <w:rFonts w:ascii="Times New Roman" w:eastAsia="Times New Roman" w:hAnsi="Times New Roman" w:cs="Times New Roman"/>
          <w:sz w:val="24"/>
          <w:szCs w:val="24"/>
        </w:rPr>
        <w:t>LR</w:t>
      </w:r>
      <w:r w:rsidRPr="00A07F29">
        <w:rPr>
          <w:rFonts w:ascii="Times New Roman" w:eastAsia="Times New Roman" w:hAnsi="Times New Roman" w:cs="Times New Roman"/>
          <w:sz w:val="24"/>
          <w:szCs w:val="24"/>
        </w:rPr>
        <w:t xml:space="preserve"> ārējā robeža noteikta pa upes (izņemot publisko upi), strauta, kanāla vai grāvja vidu, valsts robežas josla nosakāma no ūdensteces krasta kraujas augšmalas (</w:t>
      </w:r>
      <w:proofErr w:type="spellStart"/>
      <w:r w:rsidRPr="00A07F29">
        <w:rPr>
          <w:rFonts w:ascii="Times New Roman" w:eastAsia="Times New Roman" w:hAnsi="Times New Roman" w:cs="Times New Roman"/>
          <w:sz w:val="24"/>
          <w:szCs w:val="24"/>
        </w:rPr>
        <w:t>krotes</w:t>
      </w:r>
      <w:proofErr w:type="spellEnd"/>
      <w:r w:rsidRPr="00A07F29">
        <w:rPr>
          <w:rFonts w:ascii="Times New Roman" w:eastAsia="Times New Roman" w:hAnsi="Times New Roman" w:cs="Times New Roman"/>
          <w:sz w:val="24"/>
          <w:szCs w:val="24"/>
        </w:rPr>
        <w:t>) līnijas vai ūdens līmeņa līnijas normālā ūdens stāvoklī, vai grāvja malas. Zemes un ūdens virsmas platība starp ūdensteces krasta kraujas augšmalas (</w:t>
      </w:r>
      <w:proofErr w:type="spellStart"/>
      <w:r w:rsidRPr="00A07F29">
        <w:rPr>
          <w:rFonts w:ascii="Times New Roman" w:eastAsia="Times New Roman" w:hAnsi="Times New Roman" w:cs="Times New Roman"/>
          <w:sz w:val="24"/>
          <w:szCs w:val="24"/>
        </w:rPr>
        <w:t>krotes</w:t>
      </w:r>
      <w:proofErr w:type="spellEnd"/>
      <w:r w:rsidRPr="00A07F29">
        <w:rPr>
          <w:rFonts w:ascii="Times New Roman" w:eastAsia="Times New Roman" w:hAnsi="Times New Roman" w:cs="Times New Roman"/>
          <w:sz w:val="24"/>
          <w:szCs w:val="24"/>
        </w:rPr>
        <w:t>) līniju vai ūdens līmeņa līniju normālā ūdens stāvoklī, vai grāvja malu un valsts robežu papildus iekļaujama valsts robežas joslā.</w:t>
      </w:r>
    </w:p>
    <w:p w14:paraId="473AEDAB" w14:textId="0DD1C2D0" w:rsidR="00D362A9" w:rsidRPr="00A07F29" w:rsidRDefault="00D362A9" w:rsidP="00913C20">
      <w:pPr>
        <w:spacing w:after="0" w:line="240" w:lineRule="auto"/>
        <w:ind w:firstLine="851"/>
        <w:jc w:val="both"/>
        <w:rPr>
          <w:rFonts w:ascii="Times New Roman" w:eastAsia="Times New Roman" w:hAnsi="Times New Roman" w:cs="Times New Roman"/>
          <w:sz w:val="24"/>
          <w:szCs w:val="24"/>
        </w:rPr>
      </w:pPr>
      <w:r w:rsidRPr="00A07F29">
        <w:rPr>
          <w:rFonts w:ascii="Times New Roman" w:eastAsia="Times New Roman" w:hAnsi="Times New Roman" w:cs="Times New Roman"/>
          <w:sz w:val="24"/>
          <w:szCs w:val="24"/>
        </w:rPr>
        <w:t>Latvijas Republikas valsts robežas likuma 13.</w:t>
      </w:r>
      <w:r w:rsidR="004336C2">
        <w:rPr>
          <w:rFonts w:ascii="Times New Roman" w:eastAsia="Times New Roman" w:hAnsi="Times New Roman" w:cs="Times New Roman"/>
          <w:sz w:val="24"/>
          <w:szCs w:val="24"/>
        </w:rPr>
        <w:t> </w:t>
      </w:r>
      <w:r w:rsidRPr="00A07F29">
        <w:rPr>
          <w:rFonts w:ascii="Times New Roman" w:eastAsia="Times New Roman" w:hAnsi="Times New Roman" w:cs="Times New Roman"/>
          <w:sz w:val="24"/>
          <w:szCs w:val="24"/>
        </w:rPr>
        <w:t>pan</w:t>
      </w:r>
      <w:r w:rsidR="004336C2">
        <w:rPr>
          <w:rFonts w:ascii="Times New Roman" w:eastAsia="Times New Roman" w:hAnsi="Times New Roman" w:cs="Times New Roman"/>
          <w:sz w:val="24"/>
          <w:szCs w:val="24"/>
        </w:rPr>
        <w:t>t</w:t>
      </w:r>
      <w:r w:rsidRPr="00A07F29">
        <w:rPr>
          <w:rFonts w:ascii="Times New Roman" w:eastAsia="Times New Roman" w:hAnsi="Times New Roman" w:cs="Times New Roman"/>
          <w:sz w:val="24"/>
          <w:szCs w:val="24"/>
        </w:rPr>
        <w:t>a 5.</w:t>
      </w:r>
      <w:r w:rsidR="004336C2">
        <w:rPr>
          <w:rFonts w:ascii="Times New Roman" w:eastAsia="Times New Roman" w:hAnsi="Times New Roman" w:cs="Times New Roman"/>
          <w:sz w:val="24"/>
          <w:szCs w:val="24"/>
        </w:rPr>
        <w:t> </w:t>
      </w:r>
      <w:r w:rsidRPr="00A07F29">
        <w:rPr>
          <w:rFonts w:ascii="Times New Roman" w:eastAsia="Times New Roman" w:hAnsi="Times New Roman" w:cs="Times New Roman"/>
          <w:sz w:val="24"/>
          <w:szCs w:val="24"/>
        </w:rPr>
        <w:t xml:space="preserve">daļa nosaka, ka vietās, kur gar ārējo robežu valsts robežas josla nav nosakāma (publiskās upes un ezeri) vai to nevar noteikt dabisku šķēršļu (applūstoša vai pārpurvota teritorija, </w:t>
      </w:r>
      <w:proofErr w:type="spellStart"/>
      <w:r w:rsidRPr="00A07F29">
        <w:rPr>
          <w:rFonts w:ascii="Times New Roman" w:eastAsia="Times New Roman" w:hAnsi="Times New Roman" w:cs="Times New Roman"/>
          <w:sz w:val="24"/>
          <w:szCs w:val="24"/>
        </w:rPr>
        <w:t>stāvkrasts</w:t>
      </w:r>
      <w:proofErr w:type="spellEnd"/>
      <w:r w:rsidRPr="00A07F29">
        <w:rPr>
          <w:rFonts w:ascii="Times New Roman" w:eastAsia="Times New Roman" w:hAnsi="Times New Roman" w:cs="Times New Roman"/>
          <w:sz w:val="24"/>
          <w:szCs w:val="24"/>
        </w:rPr>
        <w:t xml:space="preserve">) dēļ un citā veidā pie ārējās robežas nav iespējams nodrošināt robežapsardzības sistēmas pastāvēšanai nepieciešamos apstākļus, Ministru kabinets var noteikt patrulēšanas joslu. Patrulēšanas joslu nosaka pēc iespējas tuvāk valsts robežai. </w:t>
      </w:r>
    </w:p>
    <w:p w14:paraId="3ABC9BBA" w14:textId="49F663E2" w:rsidR="00D362A9" w:rsidRPr="00A07F29" w:rsidRDefault="00D362A9" w:rsidP="00913C20">
      <w:pPr>
        <w:spacing w:after="0" w:line="240" w:lineRule="auto"/>
        <w:ind w:firstLine="851"/>
        <w:jc w:val="both"/>
        <w:rPr>
          <w:rFonts w:ascii="Times New Roman" w:eastAsia="Times New Roman" w:hAnsi="Times New Roman" w:cs="Times New Roman"/>
          <w:sz w:val="24"/>
          <w:szCs w:val="24"/>
        </w:rPr>
      </w:pPr>
      <w:r w:rsidRPr="00A07F29">
        <w:rPr>
          <w:rFonts w:ascii="Times New Roman" w:eastAsia="Times New Roman" w:hAnsi="Times New Roman" w:cs="Times New Roman"/>
          <w:sz w:val="24"/>
          <w:szCs w:val="24"/>
        </w:rPr>
        <w:t xml:space="preserve">AAA “Augšdaugava” teritorijā patrulēšanas joslu paredzēts ierīkot posmā, kur valsts robeža noteikta pa Daugavas vidu. Patrulēšanas joslā paredzēts izbūvēt ceļu, atsevišķos posmos stiprinot krastus, kā arī izvietot novērošanas torņus. Lai nodrošinātu patrulēšanas joslas </w:t>
      </w:r>
      <w:proofErr w:type="spellStart"/>
      <w:r w:rsidRPr="00A07F29">
        <w:rPr>
          <w:rFonts w:ascii="Times New Roman" w:eastAsia="Times New Roman" w:hAnsi="Times New Roman" w:cs="Times New Roman"/>
          <w:sz w:val="24"/>
          <w:szCs w:val="24"/>
        </w:rPr>
        <w:t>pārredzamību</w:t>
      </w:r>
      <w:proofErr w:type="spellEnd"/>
      <w:r w:rsidRPr="00A07F29">
        <w:rPr>
          <w:rFonts w:ascii="Times New Roman" w:eastAsia="Times New Roman" w:hAnsi="Times New Roman" w:cs="Times New Roman"/>
          <w:sz w:val="24"/>
          <w:szCs w:val="24"/>
        </w:rPr>
        <w:t xml:space="preserve">, pieļaujams likvidēt </w:t>
      </w:r>
      <w:proofErr w:type="spellStart"/>
      <w:r w:rsidRPr="00A07F29">
        <w:rPr>
          <w:rFonts w:ascii="Times New Roman" w:eastAsia="Times New Roman" w:hAnsi="Times New Roman" w:cs="Times New Roman"/>
          <w:sz w:val="24"/>
          <w:szCs w:val="24"/>
        </w:rPr>
        <w:t>aizaugumu</w:t>
      </w:r>
      <w:proofErr w:type="spellEnd"/>
      <w:r w:rsidRPr="00A07F29">
        <w:rPr>
          <w:rFonts w:ascii="Times New Roman" w:eastAsia="Times New Roman" w:hAnsi="Times New Roman" w:cs="Times New Roman"/>
          <w:sz w:val="24"/>
          <w:szCs w:val="24"/>
        </w:rPr>
        <w:t xml:space="preserve"> ar kokiem un krūmiem, vienlaikus iespēju robežās saglabājot atsevišķus lielākus kokus kā ainavas elementus. Ceļa novietojums, izmantojamie materiāli un būvniecības tehniskie parametri precizējami projektēšanas ietvaros, izvēloties risinājumus ar pēc iespējas mazākām ietekmēm uz vidi, kā arī ņemot vērā ceļa būvniecības un uzturēšanas izmaksas. Vietās, kur </w:t>
      </w:r>
      <w:proofErr w:type="spellStart"/>
      <w:r w:rsidRPr="00A07F29">
        <w:rPr>
          <w:rFonts w:ascii="Times New Roman" w:eastAsia="Times New Roman" w:hAnsi="Times New Roman" w:cs="Times New Roman"/>
          <w:sz w:val="24"/>
          <w:szCs w:val="24"/>
        </w:rPr>
        <w:t>jaunizbūvējamais</w:t>
      </w:r>
      <w:proofErr w:type="spellEnd"/>
      <w:r w:rsidRPr="00A07F29">
        <w:rPr>
          <w:rFonts w:ascii="Times New Roman" w:eastAsia="Times New Roman" w:hAnsi="Times New Roman" w:cs="Times New Roman"/>
          <w:sz w:val="24"/>
          <w:szCs w:val="24"/>
        </w:rPr>
        <w:t xml:space="preserve"> ceļš šķērso gravas, veidojami tilti.  </w:t>
      </w:r>
    </w:p>
    <w:p w14:paraId="70AF09E8" w14:textId="77777777" w:rsidR="00D362A9" w:rsidRPr="00A07F29" w:rsidRDefault="00D362A9" w:rsidP="00913C20">
      <w:pPr>
        <w:spacing w:after="0" w:line="240" w:lineRule="auto"/>
        <w:ind w:firstLine="851"/>
        <w:jc w:val="both"/>
        <w:rPr>
          <w:rFonts w:ascii="Times New Roman" w:eastAsia="Times New Roman" w:hAnsi="Times New Roman" w:cs="Times New Roman"/>
          <w:sz w:val="24"/>
          <w:szCs w:val="24"/>
        </w:rPr>
      </w:pPr>
      <w:r w:rsidRPr="00A07F29">
        <w:rPr>
          <w:rFonts w:ascii="Times New Roman" w:eastAsia="Times New Roman" w:hAnsi="Times New Roman" w:cs="Times New Roman"/>
          <w:sz w:val="24"/>
          <w:szCs w:val="24"/>
        </w:rPr>
        <w:t xml:space="preserve">Valsts robežas josla, robežzīmju uzraudzības josla un patrulēšanas josla ierīkojama un uzturama atbilstoši normatīvu prasībām. Lai mazinātu ietekmi uz Robežupes un </w:t>
      </w:r>
      <w:proofErr w:type="spellStart"/>
      <w:r w:rsidRPr="00A07F29">
        <w:rPr>
          <w:rFonts w:ascii="Times New Roman" w:eastAsia="Times New Roman" w:hAnsi="Times New Roman" w:cs="Times New Roman"/>
          <w:sz w:val="24"/>
          <w:szCs w:val="24"/>
        </w:rPr>
        <w:t>Viļeikas</w:t>
      </w:r>
      <w:proofErr w:type="spellEnd"/>
      <w:r w:rsidRPr="00A07F29">
        <w:rPr>
          <w:rFonts w:ascii="Times New Roman" w:eastAsia="Times New Roman" w:hAnsi="Times New Roman" w:cs="Times New Roman"/>
          <w:sz w:val="24"/>
          <w:szCs w:val="24"/>
        </w:rPr>
        <w:t xml:space="preserve"> upju ekosistēmām, nepieciešams saglabāt dabisku Robežupes un </w:t>
      </w:r>
      <w:proofErr w:type="spellStart"/>
      <w:r w:rsidRPr="00A07F29">
        <w:rPr>
          <w:rFonts w:ascii="Times New Roman" w:eastAsia="Times New Roman" w:hAnsi="Times New Roman" w:cs="Times New Roman"/>
          <w:sz w:val="24"/>
          <w:szCs w:val="24"/>
        </w:rPr>
        <w:t>Viļeikas</w:t>
      </w:r>
      <w:proofErr w:type="spellEnd"/>
      <w:r w:rsidRPr="00A07F29">
        <w:rPr>
          <w:rFonts w:ascii="Times New Roman" w:eastAsia="Times New Roman" w:hAnsi="Times New Roman" w:cs="Times New Roman"/>
          <w:sz w:val="24"/>
          <w:szCs w:val="24"/>
        </w:rPr>
        <w:t xml:space="preserve"> krastmalu reljefu un krastos augošos kokus, ciktāl tas nav pretrunā ar normatīviem par valsts robežas joslas ierīkošanu un robežapsardzības mērķa sasniegšanu.</w:t>
      </w:r>
    </w:p>
    <w:p w14:paraId="3AC19A15" w14:textId="1C5B3ADE" w:rsidR="00E1633E" w:rsidRPr="006F0289" w:rsidRDefault="00D362A9" w:rsidP="006F0289">
      <w:pPr>
        <w:spacing w:after="0" w:line="240" w:lineRule="auto"/>
        <w:ind w:right="-144" w:firstLine="851"/>
        <w:jc w:val="both"/>
      </w:pPr>
      <w:r w:rsidRPr="00A07F29">
        <w:rPr>
          <w:rFonts w:ascii="Times New Roman" w:eastAsia="Times New Roman" w:hAnsi="Times New Roman" w:cs="Times New Roman"/>
          <w:sz w:val="24"/>
          <w:szCs w:val="24"/>
        </w:rPr>
        <w:t>Lai mazinātu negatīvo ietekmi uz zīdītāju migrāciju, attiecīgajos valsts robežas joslas posmos, žoga izbūves plānojumā tiek paredzētas dzīvnieku pāreju vietas.</w:t>
      </w:r>
    </w:p>
    <w:p w14:paraId="26A79F97" w14:textId="7BB64687" w:rsidR="005D698E" w:rsidRPr="00A07F29" w:rsidRDefault="0E6B778D" w:rsidP="0E6B778D">
      <w:pPr>
        <w:spacing w:beforeAutospacing="1" w:after="120" w:line="240" w:lineRule="auto"/>
        <w:jc w:val="both"/>
        <w:rPr>
          <w:rFonts w:ascii="Times New Roman" w:eastAsia="Calibri" w:hAnsi="Times New Roman" w:cs="Calibri"/>
          <w:b/>
          <w:bCs/>
          <w:sz w:val="24"/>
          <w:szCs w:val="24"/>
          <w:lang w:eastAsia="ja-JP"/>
        </w:rPr>
      </w:pPr>
      <w:r w:rsidRPr="00A07F29">
        <w:rPr>
          <w:rFonts w:ascii="Times New Roman" w:eastAsia="Calibri" w:hAnsi="Times New Roman" w:cs="Calibri"/>
          <w:b/>
          <w:bCs/>
          <w:sz w:val="24"/>
          <w:szCs w:val="24"/>
          <w:lang w:eastAsia="ja-JP"/>
        </w:rPr>
        <w:t xml:space="preserve">A.3. </w:t>
      </w:r>
      <w:r w:rsidR="0006451B" w:rsidRPr="00A07F29">
        <w:rPr>
          <w:rFonts w:ascii="Times New Roman" w:eastAsia="Calibri" w:hAnsi="Times New Roman" w:cs="Calibri"/>
          <w:b/>
          <w:bCs/>
          <w:sz w:val="24"/>
          <w:szCs w:val="24"/>
          <w:lang w:eastAsia="ja-JP"/>
        </w:rPr>
        <w:t xml:space="preserve">Iekļaut AAA “Augšdaugava” piegulošo lapkoku </w:t>
      </w:r>
      <w:proofErr w:type="spellStart"/>
      <w:r w:rsidR="0006451B" w:rsidRPr="00A07F29">
        <w:rPr>
          <w:rFonts w:ascii="Times New Roman" w:eastAsia="Calibri" w:hAnsi="Times New Roman" w:cs="Calibri"/>
          <w:b/>
          <w:bCs/>
          <w:sz w:val="24"/>
          <w:szCs w:val="24"/>
          <w:lang w:eastAsia="ja-JP"/>
        </w:rPr>
        <w:t>praulgrauža</w:t>
      </w:r>
      <w:proofErr w:type="spellEnd"/>
      <w:r w:rsidR="0006451B" w:rsidRPr="00A07F29">
        <w:rPr>
          <w:rFonts w:ascii="Times New Roman" w:eastAsia="Calibri" w:hAnsi="Times New Roman" w:cs="Calibri"/>
          <w:b/>
          <w:bCs/>
          <w:sz w:val="24"/>
          <w:szCs w:val="24"/>
          <w:lang w:eastAsia="ja-JP"/>
        </w:rPr>
        <w:t xml:space="preserve"> atradni</w:t>
      </w:r>
    </w:p>
    <w:p w14:paraId="675ABDAA" w14:textId="597E4B99" w:rsidR="005D698E" w:rsidRPr="00A07F29" w:rsidRDefault="00AA0899" w:rsidP="006F0289">
      <w:pPr>
        <w:keepNext/>
        <w:autoSpaceDE w:val="0"/>
        <w:autoSpaceDN w:val="0"/>
        <w:adjustRightInd w:val="0"/>
        <w:spacing w:before="240" w:after="120" w:line="240" w:lineRule="auto"/>
        <w:jc w:val="both"/>
        <w:rPr>
          <w:rFonts w:ascii="Times New Roman" w:hAnsi="Times New Roman"/>
          <w:b/>
          <w:i/>
          <w:color w:val="000000"/>
          <w:sz w:val="24"/>
          <w:szCs w:val="24"/>
          <w:lang w:eastAsia="lv-LV"/>
        </w:rPr>
      </w:pPr>
      <w:r w:rsidRPr="00A07F29">
        <w:rPr>
          <w:rFonts w:ascii="Times New Roman" w:hAnsi="Times New Roman"/>
          <w:b/>
          <w:i/>
          <w:color w:val="000000"/>
          <w:sz w:val="24"/>
          <w:szCs w:val="24"/>
          <w:lang w:eastAsia="lv-LV"/>
        </w:rPr>
        <w:t xml:space="preserve">A.3.1. Lapkoku </w:t>
      </w:r>
      <w:proofErr w:type="spellStart"/>
      <w:r w:rsidRPr="00A07F29">
        <w:rPr>
          <w:rFonts w:ascii="Times New Roman" w:hAnsi="Times New Roman"/>
          <w:b/>
          <w:i/>
          <w:color w:val="000000"/>
          <w:sz w:val="24"/>
          <w:szCs w:val="24"/>
          <w:lang w:eastAsia="lv-LV"/>
        </w:rPr>
        <w:t>praulgrauža</w:t>
      </w:r>
      <w:proofErr w:type="spellEnd"/>
      <w:r w:rsidRPr="00A07F29">
        <w:rPr>
          <w:rFonts w:ascii="Times New Roman" w:hAnsi="Times New Roman"/>
          <w:b/>
          <w:i/>
          <w:color w:val="000000"/>
          <w:sz w:val="24"/>
          <w:szCs w:val="24"/>
          <w:lang w:eastAsia="lv-LV"/>
        </w:rPr>
        <w:t xml:space="preserve"> atradnes iekļaušana AAA “</w:t>
      </w:r>
      <w:r w:rsidR="004E7341" w:rsidRPr="00A07F29">
        <w:rPr>
          <w:rFonts w:ascii="Times New Roman" w:hAnsi="Times New Roman"/>
          <w:b/>
          <w:i/>
          <w:color w:val="000000"/>
          <w:sz w:val="24"/>
          <w:szCs w:val="24"/>
          <w:lang w:eastAsia="lv-LV"/>
        </w:rPr>
        <w:t>A</w:t>
      </w:r>
      <w:r w:rsidRPr="00A07F29">
        <w:rPr>
          <w:rFonts w:ascii="Times New Roman" w:hAnsi="Times New Roman"/>
          <w:b/>
          <w:i/>
          <w:color w:val="000000"/>
          <w:sz w:val="24"/>
          <w:szCs w:val="24"/>
          <w:lang w:eastAsia="lv-LV"/>
        </w:rPr>
        <w:t xml:space="preserve">ugšdaugava” teritorijā </w:t>
      </w:r>
    </w:p>
    <w:p w14:paraId="5120B87B" w14:textId="7D20A5ED" w:rsidR="004E7341" w:rsidRPr="00A07F29" w:rsidRDefault="004E7341" w:rsidP="004E7341">
      <w:pPr>
        <w:spacing w:before="120" w:after="0" w:line="240" w:lineRule="auto"/>
        <w:ind w:firstLine="851"/>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Sagatavots priekšlikums AAA “Augšdaugava” iekļaut piegulošajā teritorijā konstatēt</w:t>
      </w:r>
      <w:r w:rsidR="00820558" w:rsidRPr="00A07F29">
        <w:rPr>
          <w:rFonts w:ascii="Times New Roman" w:eastAsia="Calibri" w:hAnsi="Times New Roman" w:cs="Calibri"/>
          <w:sz w:val="24"/>
          <w:lang w:eastAsia="ja-JP"/>
        </w:rPr>
        <w:t>o</w:t>
      </w:r>
      <w:r w:rsidRPr="00A07F29">
        <w:rPr>
          <w:rFonts w:ascii="Times New Roman" w:eastAsia="Calibri" w:hAnsi="Times New Roman" w:cs="Calibri"/>
          <w:sz w:val="24"/>
          <w:lang w:eastAsia="ja-JP"/>
        </w:rPr>
        <w:t xml:space="preserve"> lapkoku </w:t>
      </w:r>
      <w:proofErr w:type="spellStart"/>
      <w:r w:rsidRPr="00A07F29">
        <w:rPr>
          <w:rFonts w:ascii="Times New Roman" w:eastAsia="Calibri" w:hAnsi="Times New Roman" w:cs="Calibri"/>
          <w:sz w:val="24"/>
          <w:lang w:eastAsia="ja-JP"/>
        </w:rPr>
        <w:t>praulgrauža</w:t>
      </w:r>
      <w:proofErr w:type="spellEnd"/>
      <w:r w:rsidRPr="00A07F29">
        <w:rPr>
          <w:rFonts w:ascii="Times New Roman" w:eastAsia="Calibri" w:hAnsi="Times New Roman" w:cs="Calibri"/>
          <w:sz w:val="24"/>
          <w:lang w:eastAsia="ja-JP"/>
        </w:rPr>
        <w:t xml:space="preserve"> </w:t>
      </w:r>
      <w:proofErr w:type="spellStart"/>
      <w:r w:rsidRPr="00571CFE">
        <w:rPr>
          <w:rFonts w:ascii="Times New Roman" w:eastAsia="Calibri" w:hAnsi="Times New Roman" w:cs="Calibri"/>
          <w:i/>
          <w:iCs/>
          <w:sz w:val="24"/>
          <w:lang w:eastAsia="ja-JP"/>
        </w:rPr>
        <w:t>Osmoderma</w:t>
      </w:r>
      <w:proofErr w:type="spellEnd"/>
      <w:r w:rsidRPr="00571CFE">
        <w:rPr>
          <w:rFonts w:ascii="Times New Roman" w:eastAsia="Calibri" w:hAnsi="Times New Roman" w:cs="Calibri"/>
          <w:i/>
          <w:iCs/>
          <w:sz w:val="24"/>
          <w:lang w:eastAsia="ja-JP"/>
        </w:rPr>
        <w:t xml:space="preserve"> </w:t>
      </w:r>
      <w:proofErr w:type="spellStart"/>
      <w:r w:rsidRPr="00571CFE">
        <w:rPr>
          <w:rFonts w:ascii="Times New Roman" w:eastAsia="Calibri" w:hAnsi="Times New Roman" w:cs="Calibri"/>
          <w:i/>
          <w:iCs/>
          <w:sz w:val="24"/>
          <w:lang w:eastAsia="ja-JP"/>
        </w:rPr>
        <w:t>barnabita</w:t>
      </w:r>
      <w:proofErr w:type="spellEnd"/>
      <w:r w:rsidRPr="00A07F29">
        <w:rPr>
          <w:rFonts w:ascii="Times New Roman" w:eastAsia="Calibri" w:hAnsi="Times New Roman" w:cs="Calibri"/>
          <w:sz w:val="24"/>
          <w:lang w:eastAsia="ja-JP"/>
        </w:rPr>
        <w:t xml:space="preserve"> atradn</w:t>
      </w:r>
      <w:r w:rsidR="00820558" w:rsidRPr="00A07F29">
        <w:rPr>
          <w:rFonts w:ascii="Times New Roman" w:eastAsia="Calibri" w:hAnsi="Times New Roman" w:cs="Calibri"/>
          <w:sz w:val="24"/>
          <w:lang w:eastAsia="ja-JP"/>
        </w:rPr>
        <w:t>i</w:t>
      </w:r>
      <w:r w:rsidRPr="00A07F29">
        <w:rPr>
          <w:rFonts w:ascii="Times New Roman" w:eastAsia="Calibri" w:hAnsi="Times New Roman" w:cs="Calibri"/>
          <w:sz w:val="24"/>
          <w:lang w:eastAsia="ja-JP"/>
        </w:rPr>
        <w:t xml:space="preserve"> (Kalniņš</w:t>
      </w:r>
      <w:r w:rsidR="004240CF">
        <w:rPr>
          <w:rFonts w:ascii="Times New Roman" w:eastAsia="Calibri" w:hAnsi="Times New Roman" w:cs="Calibri"/>
          <w:sz w:val="24"/>
          <w:lang w:eastAsia="ja-JP"/>
        </w:rPr>
        <w:t xml:space="preserve"> M.</w:t>
      </w:r>
      <w:r w:rsidRPr="00A07F29">
        <w:rPr>
          <w:rFonts w:ascii="Times New Roman" w:eastAsia="Calibri" w:hAnsi="Times New Roman" w:cs="Calibri"/>
          <w:sz w:val="24"/>
          <w:lang w:eastAsia="ja-JP"/>
        </w:rPr>
        <w:t xml:space="preserve">, 2014). Suga konstatēta divās liepās alejā starp šoseju un dzelzceļa pārbrauktuvi pie </w:t>
      </w:r>
      <w:proofErr w:type="spellStart"/>
      <w:r w:rsidRPr="00A07F29">
        <w:rPr>
          <w:rFonts w:ascii="Times New Roman" w:eastAsia="Calibri" w:hAnsi="Times New Roman" w:cs="Calibri"/>
          <w:sz w:val="24"/>
          <w:lang w:eastAsia="ja-JP"/>
        </w:rPr>
        <w:t>Jezufovas</w:t>
      </w:r>
      <w:proofErr w:type="spellEnd"/>
      <w:r w:rsidRPr="00A07F29">
        <w:rPr>
          <w:rFonts w:ascii="Times New Roman" w:eastAsia="Calibri" w:hAnsi="Times New Roman" w:cs="Calibri"/>
          <w:sz w:val="24"/>
          <w:lang w:eastAsia="ja-JP"/>
        </w:rPr>
        <w:t xml:space="preserve"> parka. </w:t>
      </w:r>
    </w:p>
    <w:p w14:paraId="3F479028" w14:textId="2A29BE4D" w:rsidR="00AA0899" w:rsidRPr="00A07F29" w:rsidRDefault="004E7341" w:rsidP="00DA51BA">
      <w:pPr>
        <w:spacing w:before="120" w:after="120" w:line="240" w:lineRule="auto"/>
        <w:ind w:firstLine="851"/>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AAA “Augšdaugava” ieteicams iekļaut liepu aleju starp šoseju un dzelzceļu un mājvietas apstādījumus 12</w:t>
      </w:r>
      <w:r w:rsidR="002676DE">
        <w:rPr>
          <w:rFonts w:ascii="Times New Roman" w:eastAsia="Calibri" w:hAnsi="Times New Roman" w:cs="Calibri"/>
          <w:sz w:val="24"/>
          <w:lang w:eastAsia="ja-JP"/>
        </w:rPr>
        <w:t> </w:t>
      </w:r>
      <w:r w:rsidRPr="00A07F29">
        <w:rPr>
          <w:rFonts w:ascii="Times New Roman" w:eastAsia="Calibri" w:hAnsi="Times New Roman" w:cs="Calibri"/>
          <w:sz w:val="24"/>
          <w:lang w:eastAsia="ja-JP"/>
        </w:rPr>
        <w:t>ha platībā (</w:t>
      </w:r>
      <w:r w:rsidR="002676DE">
        <w:rPr>
          <w:rFonts w:ascii="Times New Roman" w:eastAsia="Calibri" w:hAnsi="Times New Roman" w:cs="Calibri"/>
          <w:sz w:val="24"/>
          <w:lang w:eastAsia="ja-JP"/>
        </w:rPr>
        <w:t xml:space="preserve">skat. </w:t>
      </w:r>
      <w:r w:rsidR="00C25036">
        <w:rPr>
          <w:rFonts w:ascii="Times New Roman" w:eastAsia="Calibri" w:hAnsi="Times New Roman" w:cs="Calibri"/>
          <w:sz w:val="24"/>
          <w:lang w:eastAsia="ja-JP"/>
        </w:rPr>
        <w:t>5.3</w:t>
      </w:r>
      <w:r w:rsidRPr="00A07F29">
        <w:rPr>
          <w:rFonts w:ascii="Times New Roman" w:eastAsia="Calibri" w:hAnsi="Times New Roman" w:cs="Calibri"/>
          <w:sz w:val="24"/>
          <w:lang w:eastAsia="ja-JP"/>
        </w:rPr>
        <w:t>.</w:t>
      </w:r>
      <w:r w:rsidR="00C25036">
        <w:rPr>
          <w:rFonts w:ascii="Times New Roman" w:eastAsia="Calibri" w:hAnsi="Times New Roman" w:cs="Calibri"/>
          <w:sz w:val="24"/>
          <w:lang w:eastAsia="ja-JP"/>
        </w:rPr>
        <w:t>2</w:t>
      </w:r>
      <w:r w:rsidR="002676DE">
        <w:rPr>
          <w:rFonts w:ascii="Times New Roman" w:eastAsia="Calibri" w:hAnsi="Times New Roman" w:cs="Calibri"/>
          <w:sz w:val="24"/>
          <w:lang w:eastAsia="ja-JP"/>
        </w:rPr>
        <w:t>. </w:t>
      </w:r>
      <w:r w:rsidRPr="00A07F29">
        <w:rPr>
          <w:rFonts w:ascii="Times New Roman" w:eastAsia="Calibri" w:hAnsi="Times New Roman" w:cs="Calibri"/>
          <w:sz w:val="24"/>
          <w:lang w:eastAsia="ja-JP"/>
        </w:rPr>
        <w:t>att</w:t>
      </w:r>
      <w:r w:rsidR="002676DE">
        <w:rPr>
          <w:rFonts w:ascii="Times New Roman" w:eastAsia="Calibri" w:hAnsi="Times New Roman" w:cs="Calibri"/>
          <w:sz w:val="24"/>
          <w:lang w:eastAsia="ja-JP"/>
        </w:rPr>
        <w:t>ēls</w:t>
      </w:r>
      <w:r w:rsidRPr="00A07F29">
        <w:rPr>
          <w:rFonts w:ascii="Times New Roman" w:eastAsia="Calibri" w:hAnsi="Times New Roman" w:cs="Calibri"/>
          <w:sz w:val="24"/>
          <w:lang w:eastAsia="ja-JP"/>
        </w:rPr>
        <w:t>).</w:t>
      </w:r>
      <w:r w:rsidR="00443767" w:rsidRPr="00A07F29">
        <w:rPr>
          <w:rFonts w:ascii="Times New Roman" w:eastAsia="Calibri" w:hAnsi="Times New Roman" w:cs="Calibri"/>
          <w:sz w:val="24"/>
          <w:lang w:eastAsia="ja-JP"/>
        </w:rPr>
        <w:t xml:space="preserve"> </w:t>
      </w:r>
      <w:r w:rsidR="00443767" w:rsidRPr="00084955">
        <w:rPr>
          <w:rFonts w:ascii="Times New Roman" w:eastAsia="Calibri" w:hAnsi="Times New Roman" w:cs="Calibri"/>
          <w:sz w:val="24"/>
          <w:lang w:eastAsia="ja-JP"/>
        </w:rPr>
        <w:t>Izdarāmi grozījumi</w:t>
      </w:r>
      <w:r w:rsidR="00443767" w:rsidRPr="00A07F29">
        <w:rPr>
          <w:rFonts w:ascii="Times New Roman" w:eastAsia="Calibri" w:hAnsi="Times New Roman" w:cs="Calibri"/>
          <w:sz w:val="24"/>
          <w:lang w:eastAsia="ja-JP"/>
        </w:rPr>
        <w:t xml:space="preserve"> MK</w:t>
      </w:r>
      <w:r w:rsidR="00AD68EB" w:rsidRPr="00A07F29">
        <w:rPr>
          <w:rFonts w:ascii="Times New Roman" w:eastAsia="Calibri" w:hAnsi="Times New Roman" w:cs="Calibri"/>
          <w:sz w:val="24"/>
          <w:lang w:eastAsia="ja-JP"/>
        </w:rPr>
        <w:t xml:space="preserve"> </w:t>
      </w:r>
      <w:r w:rsidR="00A71B4E">
        <w:rPr>
          <w:rFonts w:ascii="Times New Roman" w:eastAsia="Calibri" w:hAnsi="Times New Roman" w:cs="Calibri"/>
          <w:sz w:val="24"/>
          <w:lang w:eastAsia="ja-JP"/>
        </w:rPr>
        <w:t>2024</w:t>
      </w:r>
      <w:r w:rsidR="00AD68EB" w:rsidRPr="00A07F29">
        <w:rPr>
          <w:rFonts w:ascii="Times New Roman" w:eastAsia="Calibri" w:hAnsi="Times New Roman" w:cs="Calibri"/>
          <w:sz w:val="24"/>
          <w:lang w:eastAsia="ja-JP"/>
        </w:rPr>
        <w:t>.</w:t>
      </w:r>
      <w:r w:rsidR="00A71B4E">
        <w:rPr>
          <w:rFonts w:ascii="Times New Roman" w:eastAsia="Calibri" w:hAnsi="Times New Roman" w:cs="Calibri"/>
          <w:sz w:val="24"/>
          <w:lang w:eastAsia="ja-JP"/>
        </w:rPr>
        <w:t> </w:t>
      </w:r>
      <w:r w:rsidR="00AD68EB" w:rsidRPr="00A07F29">
        <w:rPr>
          <w:rFonts w:ascii="Times New Roman" w:eastAsia="Calibri" w:hAnsi="Times New Roman" w:cs="Calibri"/>
          <w:sz w:val="24"/>
          <w:lang w:eastAsia="ja-JP"/>
        </w:rPr>
        <w:t>gada 2</w:t>
      </w:r>
      <w:r w:rsidR="00A71B4E">
        <w:rPr>
          <w:rFonts w:ascii="Times New Roman" w:eastAsia="Calibri" w:hAnsi="Times New Roman" w:cs="Calibri"/>
          <w:sz w:val="24"/>
          <w:lang w:eastAsia="ja-JP"/>
        </w:rPr>
        <w:t>6</w:t>
      </w:r>
      <w:r w:rsidR="00AD68EB" w:rsidRPr="00A07F29">
        <w:rPr>
          <w:rFonts w:ascii="Times New Roman" w:eastAsia="Calibri" w:hAnsi="Times New Roman" w:cs="Calibri"/>
          <w:sz w:val="24"/>
          <w:lang w:eastAsia="ja-JP"/>
        </w:rPr>
        <w:t>.</w:t>
      </w:r>
      <w:r w:rsidR="00A71B4E">
        <w:rPr>
          <w:rFonts w:ascii="Times New Roman" w:eastAsia="Calibri" w:hAnsi="Times New Roman" w:cs="Calibri"/>
          <w:sz w:val="24"/>
          <w:lang w:eastAsia="ja-JP"/>
        </w:rPr>
        <w:t> novembr</w:t>
      </w:r>
      <w:r w:rsidR="00AD68EB" w:rsidRPr="00A07F29">
        <w:rPr>
          <w:rFonts w:ascii="Times New Roman" w:eastAsia="Calibri" w:hAnsi="Times New Roman" w:cs="Calibri"/>
          <w:sz w:val="24"/>
          <w:lang w:eastAsia="ja-JP"/>
        </w:rPr>
        <w:t>a noteikumos Nr.</w:t>
      </w:r>
      <w:r w:rsidR="00A71B4E">
        <w:rPr>
          <w:rFonts w:ascii="Times New Roman" w:eastAsia="Calibri" w:hAnsi="Times New Roman" w:cs="Calibri"/>
          <w:sz w:val="24"/>
          <w:lang w:eastAsia="ja-JP"/>
        </w:rPr>
        <w:t> 749</w:t>
      </w:r>
      <w:r w:rsidR="00443767" w:rsidRPr="00A07F29">
        <w:rPr>
          <w:rFonts w:ascii="Times New Roman" w:eastAsia="Calibri" w:hAnsi="Times New Roman" w:cs="Calibri"/>
          <w:sz w:val="24"/>
          <w:lang w:eastAsia="ja-JP"/>
        </w:rPr>
        <w:t xml:space="preserve"> “</w:t>
      </w:r>
      <w:r w:rsidR="00AD68EB" w:rsidRPr="00A07F29">
        <w:rPr>
          <w:rFonts w:ascii="Times New Roman" w:eastAsia="Calibri" w:hAnsi="Times New Roman" w:cs="Calibri"/>
          <w:sz w:val="24"/>
          <w:lang w:eastAsia="ja-JP"/>
        </w:rPr>
        <w:t xml:space="preserve">Noteikumi </w:t>
      </w:r>
      <w:r w:rsidR="00443767" w:rsidRPr="00A07F29">
        <w:rPr>
          <w:rFonts w:ascii="Times New Roman" w:eastAsia="Calibri" w:hAnsi="Times New Roman" w:cs="Calibri"/>
          <w:sz w:val="24"/>
          <w:lang w:eastAsia="ja-JP"/>
        </w:rPr>
        <w:t>par</w:t>
      </w:r>
      <w:r w:rsidR="00B32D63" w:rsidRPr="00A07F29">
        <w:rPr>
          <w:rFonts w:ascii="Times New Roman" w:eastAsia="Calibri" w:hAnsi="Times New Roman" w:cs="Calibri"/>
          <w:sz w:val="24"/>
          <w:lang w:eastAsia="ja-JP"/>
        </w:rPr>
        <w:t xml:space="preserve"> aizsargājamo ainavu apvidiem”. Sagatavojot grozījumus MK </w:t>
      </w:r>
      <w:r w:rsidR="00F77B46">
        <w:rPr>
          <w:rFonts w:ascii="Times New Roman" w:eastAsia="Calibri" w:hAnsi="Times New Roman" w:cs="Calibri"/>
          <w:sz w:val="24"/>
          <w:lang w:eastAsia="ja-JP"/>
        </w:rPr>
        <w:t>2024</w:t>
      </w:r>
      <w:r w:rsidR="00AD68EB" w:rsidRPr="00A07F29">
        <w:rPr>
          <w:rFonts w:ascii="Times New Roman" w:eastAsia="Calibri" w:hAnsi="Times New Roman" w:cs="Calibri"/>
          <w:sz w:val="24"/>
          <w:lang w:eastAsia="ja-JP"/>
        </w:rPr>
        <w:t>.</w:t>
      </w:r>
      <w:r w:rsidR="00F77B46">
        <w:rPr>
          <w:rFonts w:ascii="Times New Roman" w:eastAsia="Calibri" w:hAnsi="Times New Roman" w:cs="Calibri"/>
          <w:sz w:val="24"/>
          <w:lang w:eastAsia="ja-JP"/>
        </w:rPr>
        <w:t> </w:t>
      </w:r>
      <w:r w:rsidR="00AD68EB" w:rsidRPr="00A07F29">
        <w:rPr>
          <w:rFonts w:ascii="Times New Roman" w:eastAsia="Calibri" w:hAnsi="Times New Roman" w:cs="Calibri"/>
          <w:sz w:val="24"/>
          <w:lang w:eastAsia="ja-JP"/>
        </w:rPr>
        <w:t>gada 2</w:t>
      </w:r>
      <w:r w:rsidR="00F77B46">
        <w:rPr>
          <w:rFonts w:ascii="Times New Roman" w:eastAsia="Calibri" w:hAnsi="Times New Roman" w:cs="Calibri"/>
          <w:sz w:val="24"/>
          <w:lang w:eastAsia="ja-JP"/>
        </w:rPr>
        <w:t>6</w:t>
      </w:r>
      <w:r w:rsidR="00AD68EB" w:rsidRPr="00A07F29">
        <w:rPr>
          <w:rFonts w:ascii="Times New Roman" w:eastAsia="Calibri" w:hAnsi="Times New Roman" w:cs="Calibri"/>
          <w:sz w:val="24"/>
          <w:lang w:eastAsia="ja-JP"/>
        </w:rPr>
        <w:t>.</w:t>
      </w:r>
      <w:r w:rsidR="00F77B46">
        <w:rPr>
          <w:rFonts w:ascii="Times New Roman" w:eastAsia="Calibri" w:hAnsi="Times New Roman" w:cs="Calibri"/>
          <w:sz w:val="24"/>
          <w:lang w:eastAsia="ja-JP"/>
        </w:rPr>
        <w:t> novembra</w:t>
      </w:r>
      <w:r w:rsidR="00AD68EB" w:rsidRPr="00A07F29">
        <w:rPr>
          <w:rFonts w:ascii="Times New Roman" w:eastAsia="Calibri" w:hAnsi="Times New Roman" w:cs="Calibri"/>
          <w:sz w:val="24"/>
          <w:lang w:eastAsia="ja-JP"/>
        </w:rPr>
        <w:t xml:space="preserve"> noteikumos Nr.</w:t>
      </w:r>
      <w:r w:rsidR="00F77B46">
        <w:rPr>
          <w:rFonts w:ascii="Times New Roman" w:eastAsia="Calibri" w:hAnsi="Times New Roman" w:cs="Calibri"/>
          <w:sz w:val="24"/>
          <w:lang w:eastAsia="ja-JP"/>
        </w:rPr>
        <w:t> 749</w:t>
      </w:r>
      <w:r w:rsidR="00AD68EB" w:rsidRPr="00A07F29">
        <w:rPr>
          <w:rFonts w:ascii="Times New Roman" w:eastAsia="Calibri" w:hAnsi="Times New Roman" w:cs="Calibri"/>
          <w:sz w:val="24"/>
          <w:lang w:eastAsia="ja-JP"/>
        </w:rPr>
        <w:t xml:space="preserve"> </w:t>
      </w:r>
      <w:r w:rsidR="00B32D63" w:rsidRPr="00A07F29">
        <w:rPr>
          <w:rFonts w:ascii="Times New Roman" w:eastAsia="Calibri" w:hAnsi="Times New Roman" w:cs="Calibri"/>
          <w:sz w:val="24"/>
          <w:lang w:eastAsia="ja-JP"/>
        </w:rPr>
        <w:t>“</w:t>
      </w:r>
      <w:r w:rsidR="00AD68EB" w:rsidRPr="00A07F29">
        <w:rPr>
          <w:rFonts w:ascii="Times New Roman" w:eastAsia="Calibri" w:hAnsi="Times New Roman" w:cs="Calibri"/>
          <w:sz w:val="24"/>
          <w:lang w:eastAsia="ja-JP"/>
        </w:rPr>
        <w:t xml:space="preserve">Noteikumi </w:t>
      </w:r>
      <w:r w:rsidR="00B32D63" w:rsidRPr="00A07F29">
        <w:rPr>
          <w:rFonts w:ascii="Times New Roman" w:eastAsia="Calibri" w:hAnsi="Times New Roman" w:cs="Calibri"/>
          <w:sz w:val="24"/>
          <w:lang w:eastAsia="ja-JP"/>
        </w:rPr>
        <w:t>par aizsargājamo ainavu apvidiem”, nepieciešams informēt AAA “Augšdaugava” iekļaujamo zemes vienību īpašniekus un izvērt</w:t>
      </w:r>
      <w:r w:rsidR="00EE3D56" w:rsidRPr="00A07F29">
        <w:rPr>
          <w:rFonts w:ascii="Times New Roman" w:eastAsia="Calibri" w:hAnsi="Times New Roman" w:cs="Calibri"/>
          <w:sz w:val="24"/>
          <w:lang w:eastAsia="ja-JP"/>
        </w:rPr>
        <w:t xml:space="preserve">ēt zemes īpašnieku viedokli. Zemes īpašnieku informēšanu un viedokļu izvērtēšanu veic </w:t>
      </w:r>
      <w:r w:rsidR="0054467D" w:rsidRPr="00A07F29">
        <w:rPr>
          <w:rFonts w:ascii="Times New Roman" w:eastAsia="Calibri" w:hAnsi="Times New Roman" w:cs="Calibri"/>
          <w:sz w:val="24"/>
          <w:lang w:eastAsia="ja-JP"/>
        </w:rPr>
        <w:t xml:space="preserve">DAP un </w:t>
      </w:r>
      <w:r w:rsidR="00EE3D56" w:rsidRPr="00A07F29">
        <w:rPr>
          <w:rFonts w:ascii="Times New Roman" w:eastAsia="Calibri" w:hAnsi="Times New Roman" w:cs="Calibri"/>
          <w:sz w:val="24"/>
          <w:lang w:eastAsia="ja-JP"/>
        </w:rPr>
        <w:t>VARAM.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33"/>
      </w:tblGrid>
      <w:tr w:rsidR="004E7341" w:rsidRPr="00A07F29" w14:paraId="19C4A0A0" w14:textId="77777777" w:rsidTr="63C42FA1">
        <w:tc>
          <w:tcPr>
            <w:tcW w:w="9344" w:type="dxa"/>
          </w:tcPr>
          <w:p w14:paraId="431F1064" w14:textId="456192DA" w:rsidR="004E7341" w:rsidRPr="00A07F29" w:rsidRDefault="00443767" w:rsidP="00443767">
            <w:pPr>
              <w:spacing w:before="120"/>
              <w:jc w:val="center"/>
              <w:rPr>
                <w:rFonts w:ascii="Times New Roman" w:eastAsia="Calibri" w:hAnsi="Times New Roman" w:cs="Calibri"/>
                <w:sz w:val="24"/>
                <w:lang w:eastAsia="ja-JP"/>
              </w:rPr>
            </w:pPr>
            <w:r w:rsidRPr="00A07F29">
              <w:rPr>
                <w:noProof/>
                <w:lang w:eastAsia="lv-LV"/>
              </w:rPr>
              <w:lastRenderedPageBreak/>
              <w:drawing>
                <wp:inline distT="0" distB="0" distL="0" distR="0" wp14:anchorId="03CFBC33" wp14:editId="641ECCC1">
                  <wp:extent cx="4827722" cy="3413056"/>
                  <wp:effectExtent l="0" t="0" r="0" b="0"/>
                  <wp:docPr id="170371782" name="Picture 170371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371782"/>
                          <pic:cNvPicPr/>
                        </pic:nvPicPr>
                        <pic:blipFill>
                          <a:blip r:embed="rId100">
                            <a:extLst>
                              <a:ext uri="{28A0092B-C50C-407E-A947-70E740481C1C}">
                                <a14:useLocalDpi xmlns:a14="http://schemas.microsoft.com/office/drawing/2010/main" val="0"/>
                              </a:ext>
                            </a:extLst>
                          </a:blip>
                          <a:stretch>
                            <a:fillRect/>
                          </a:stretch>
                        </pic:blipFill>
                        <pic:spPr>
                          <a:xfrm>
                            <a:off x="0" y="0"/>
                            <a:ext cx="4827722" cy="3413056"/>
                          </a:xfrm>
                          <a:prstGeom prst="rect">
                            <a:avLst/>
                          </a:prstGeom>
                        </pic:spPr>
                      </pic:pic>
                    </a:graphicData>
                  </a:graphic>
                </wp:inline>
              </w:drawing>
            </w:r>
          </w:p>
        </w:tc>
      </w:tr>
      <w:tr w:rsidR="004E7341" w:rsidRPr="00A07F29" w14:paraId="30A327BA" w14:textId="77777777" w:rsidTr="63C42FA1">
        <w:tc>
          <w:tcPr>
            <w:tcW w:w="9344" w:type="dxa"/>
          </w:tcPr>
          <w:p w14:paraId="2752DADD" w14:textId="6181E762" w:rsidR="004E7341" w:rsidRPr="00177557" w:rsidRDefault="00C25036" w:rsidP="00652C52">
            <w:pPr>
              <w:autoSpaceDE w:val="0"/>
              <w:autoSpaceDN w:val="0"/>
              <w:adjustRightInd w:val="0"/>
              <w:jc w:val="both"/>
              <w:rPr>
                <w:rFonts w:ascii="Times New Roman" w:eastAsia="Calibri" w:hAnsi="Times New Roman" w:cs="Calibri"/>
                <w:sz w:val="20"/>
                <w:szCs w:val="20"/>
                <w:lang w:eastAsia="ja-JP"/>
              </w:rPr>
            </w:pPr>
            <w:r>
              <w:rPr>
                <w:rFonts w:ascii="Times New Roman" w:hAnsi="Times New Roman" w:cs="Times New Roman"/>
                <w:color w:val="000000"/>
                <w:sz w:val="20"/>
                <w:szCs w:val="20"/>
                <w:lang w:eastAsia="ar-SA"/>
              </w:rPr>
              <w:t>5</w:t>
            </w:r>
            <w:r w:rsidR="00652C52" w:rsidRPr="00177557">
              <w:rPr>
                <w:rFonts w:ascii="Times New Roman" w:hAnsi="Times New Roman" w:cs="Times New Roman"/>
                <w:color w:val="000000"/>
                <w:sz w:val="20"/>
                <w:szCs w:val="20"/>
                <w:lang w:eastAsia="ar-SA"/>
              </w:rPr>
              <w:t>.</w:t>
            </w:r>
            <w:r>
              <w:rPr>
                <w:rFonts w:ascii="Times New Roman" w:hAnsi="Times New Roman" w:cs="Times New Roman"/>
                <w:color w:val="000000"/>
                <w:sz w:val="20"/>
                <w:szCs w:val="20"/>
                <w:lang w:eastAsia="ar-SA"/>
              </w:rPr>
              <w:t>3</w:t>
            </w:r>
            <w:r w:rsidR="00652C52" w:rsidRPr="00177557">
              <w:rPr>
                <w:rFonts w:ascii="Times New Roman" w:hAnsi="Times New Roman" w:cs="Times New Roman"/>
                <w:color w:val="000000"/>
                <w:sz w:val="20"/>
                <w:szCs w:val="20"/>
                <w:lang w:eastAsia="ar-SA"/>
              </w:rPr>
              <w:t>.</w:t>
            </w:r>
            <w:r>
              <w:rPr>
                <w:rFonts w:ascii="Times New Roman" w:hAnsi="Times New Roman" w:cs="Times New Roman"/>
                <w:color w:val="000000"/>
                <w:sz w:val="20"/>
                <w:szCs w:val="20"/>
                <w:lang w:eastAsia="ar-SA"/>
              </w:rPr>
              <w:t>2</w:t>
            </w:r>
            <w:r w:rsidR="004D4361" w:rsidRPr="00177557">
              <w:rPr>
                <w:rFonts w:ascii="Times New Roman" w:hAnsi="Times New Roman" w:cs="Times New Roman"/>
                <w:color w:val="000000"/>
                <w:sz w:val="20"/>
                <w:szCs w:val="20"/>
                <w:lang w:eastAsia="ar-SA"/>
              </w:rPr>
              <w:t>.</w:t>
            </w:r>
            <w:r w:rsidR="00B5508C" w:rsidRPr="00177557">
              <w:rPr>
                <w:rFonts w:ascii="Times New Roman" w:hAnsi="Times New Roman" w:cs="Times New Roman"/>
                <w:color w:val="000000"/>
                <w:sz w:val="20"/>
                <w:szCs w:val="20"/>
                <w:lang w:eastAsia="ar-SA"/>
              </w:rPr>
              <w:t> </w:t>
            </w:r>
            <w:r w:rsidR="004E7341" w:rsidRPr="00177557">
              <w:rPr>
                <w:rFonts w:ascii="Times New Roman" w:hAnsi="Times New Roman" w:cs="Times New Roman"/>
                <w:color w:val="000000"/>
                <w:sz w:val="20"/>
                <w:szCs w:val="20"/>
                <w:lang w:eastAsia="ar-SA"/>
              </w:rPr>
              <w:t xml:space="preserve">attēls. Teritorija, kuru ierosināts iekļaut AAA “Augšdaugava”, lai nodrošinātu ārpus </w:t>
            </w:r>
            <w:proofErr w:type="spellStart"/>
            <w:r w:rsidR="004E7341" w:rsidRPr="00177557">
              <w:rPr>
                <w:rFonts w:ascii="Times New Roman" w:hAnsi="Times New Roman" w:cs="Times New Roman"/>
                <w:i/>
                <w:color w:val="000000"/>
                <w:sz w:val="20"/>
                <w:szCs w:val="20"/>
                <w:lang w:eastAsia="ar-SA"/>
              </w:rPr>
              <w:t>Natura</w:t>
            </w:r>
            <w:proofErr w:type="spellEnd"/>
            <w:r w:rsidR="004E7341" w:rsidRPr="00177557">
              <w:rPr>
                <w:rFonts w:ascii="Times New Roman" w:hAnsi="Times New Roman" w:cs="Times New Roman"/>
                <w:i/>
                <w:color w:val="000000"/>
                <w:sz w:val="20"/>
                <w:szCs w:val="20"/>
                <w:lang w:eastAsia="ar-SA"/>
              </w:rPr>
              <w:t xml:space="preserve"> 2000</w:t>
            </w:r>
            <w:r w:rsidR="004E7341" w:rsidRPr="00177557">
              <w:rPr>
                <w:rFonts w:ascii="Times New Roman" w:hAnsi="Times New Roman" w:cs="Times New Roman"/>
                <w:color w:val="000000"/>
                <w:sz w:val="20"/>
                <w:szCs w:val="20"/>
                <w:lang w:eastAsia="ar-SA"/>
              </w:rPr>
              <w:t xml:space="preserve"> teritorijas izvietoto lapkoku </w:t>
            </w:r>
            <w:proofErr w:type="spellStart"/>
            <w:r w:rsidR="004E7341" w:rsidRPr="00177557">
              <w:rPr>
                <w:rFonts w:ascii="Times New Roman" w:hAnsi="Times New Roman" w:cs="Times New Roman"/>
                <w:color w:val="000000"/>
                <w:sz w:val="20"/>
                <w:szCs w:val="20"/>
                <w:lang w:eastAsia="ar-SA"/>
              </w:rPr>
              <w:t>praulgrauža</w:t>
            </w:r>
            <w:proofErr w:type="spellEnd"/>
            <w:r w:rsidR="004E7341" w:rsidRPr="00177557">
              <w:rPr>
                <w:rFonts w:ascii="Times New Roman" w:hAnsi="Times New Roman" w:cs="Times New Roman"/>
                <w:color w:val="000000"/>
                <w:sz w:val="20"/>
                <w:szCs w:val="20"/>
                <w:lang w:eastAsia="ar-SA"/>
              </w:rPr>
              <w:t xml:space="preserve"> dzīvotņu aizsardzību.</w:t>
            </w:r>
          </w:p>
        </w:tc>
      </w:tr>
    </w:tbl>
    <w:p w14:paraId="3CEBF28B" w14:textId="349A79C7" w:rsidR="004E7341" w:rsidRPr="00A07F29" w:rsidRDefault="004E7341" w:rsidP="00E612E7">
      <w:pPr>
        <w:spacing w:before="120" w:after="0" w:line="240" w:lineRule="auto"/>
        <w:ind w:firstLine="851"/>
        <w:jc w:val="both"/>
        <w:rPr>
          <w:rFonts w:ascii="Times New Roman" w:eastAsia="Calibri" w:hAnsi="Times New Roman" w:cs="Calibri"/>
          <w:sz w:val="24"/>
          <w:lang w:eastAsia="ja-JP"/>
        </w:rPr>
      </w:pPr>
    </w:p>
    <w:p w14:paraId="09B5FB39" w14:textId="3C86901A" w:rsidR="00A21E83" w:rsidRPr="00A07F29" w:rsidRDefault="00A21E83" w:rsidP="00675806">
      <w:pPr>
        <w:keepNext/>
        <w:spacing w:before="120" w:after="0" w:line="240" w:lineRule="auto"/>
        <w:jc w:val="both"/>
        <w:rPr>
          <w:rFonts w:ascii="Times New Roman" w:eastAsia="Calibri" w:hAnsi="Times New Roman" w:cs="Calibri"/>
          <w:caps/>
          <w:sz w:val="24"/>
          <w:lang w:eastAsia="ja-JP"/>
        </w:rPr>
      </w:pPr>
      <w:r w:rsidRPr="00A07F29">
        <w:rPr>
          <w:rFonts w:ascii="Times New Roman" w:eastAsia="Calibri" w:hAnsi="Times New Roman" w:cs="Calibri"/>
          <w:caps/>
          <w:sz w:val="24"/>
          <w:lang w:eastAsia="ja-JP"/>
        </w:rPr>
        <w:t>B. Dabas vērtību aizsardzība un apsaimniekošana</w:t>
      </w:r>
    </w:p>
    <w:p w14:paraId="257377D3" w14:textId="69D526C5" w:rsidR="00A21E83" w:rsidRPr="00A07F29" w:rsidRDefault="00182C3D" w:rsidP="00EE27E2">
      <w:pPr>
        <w:keepNext/>
        <w:spacing w:before="120" w:after="120" w:line="240" w:lineRule="auto"/>
        <w:jc w:val="both"/>
        <w:rPr>
          <w:rFonts w:ascii="Times New Roman" w:eastAsia="Calibri" w:hAnsi="Times New Roman" w:cs="Calibri"/>
          <w:b/>
          <w:bCs/>
          <w:iCs/>
          <w:sz w:val="24"/>
          <w:lang w:eastAsia="ja-JP"/>
        </w:rPr>
      </w:pPr>
      <w:r w:rsidRPr="00A07F29">
        <w:rPr>
          <w:rFonts w:ascii="Times New Roman" w:eastAsia="Calibri" w:hAnsi="Times New Roman" w:cs="Calibri"/>
          <w:b/>
          <w:sz w:val="24"/>
          <w:szCs w:val="24"/>
          <w:lang w:eastAsia="ja-JP"/>
        </w:rPr>
        <w:t xml:space="preserve">B.1. Saglabāt vai uzlabot kvalitāti </w:t>
      </w:r>
      <w:r w:rsidR="001218D6" w:rsidRPr="00A07F29">
        <w:rPr>
          <w:rFonts w:ascii="Times New Roman" w:eastAsia="Calibri" w:hAnsi="Times New Roman" w:cs="Calibri"/>
          <w:b/>
          <w:sz w:val="24"/>
          <w:szCs w:val="24"/>
          <w:lang w:eastAsia="ja-JP"/>
        </w:rPr>
        <w:t>318</w:t>
      </w:r>
      <w:r w:rsidR="001E517D">
        <w:rPr>
          <w:rFonts w:ascii="Times New Roman" w:eastAsia="Calibri" w:hAnsi="Times New Roman" w:cs="Calibri"/>
          <w:b/>
          <w:sz w:val="24"/>
          <w:szCs w:val="24"/>
          <w:lang w:eastAsia="ja-JP"/>
        </w:rPr>
        <w:t> </w:t>
      </w:r>
      <w:r w:rsidR="001218D6" w:rsidRPr="00A07F29">
        <w:rPr>
          <w:rFonts w:ascii="Times New Roman" w:eastAsia="Calibri" w:hAnsi="Times New Roman" w:cs="Calibri"/>
          <w:b/>
          <w:sz w:val="24"/>
          <w:szCs w:val="24"/>
          <w:lang w:eastAsia="ja-JP"/>
        </w:rPr>
        <w:t>ha ES nozīmes ezeru biotopu un 1532</w:t>
      </w:r>
      <w:r w:rsidR="001E517D">
        <w:rPr>
          <w:rFonts w:ascii="Times New Roman" w:eastAsia="Calibri" w:hAnsi="Times New Roman" w:cs="Calibri"/>
          <w:b/>
          <w:sz w:val="24"/>
          <w:szCs w:val="24"/>
          <w:lang w:eastAsia="ja-JP"/>
        </w:rPr>
        <w:t> </w:t>
      </w:r>
      <w:r w:rsidR="001218D6" w:rsidRPr="00A07F29">
        <w:rPr>
          <w:rFonts w:ascii="Times New Roman" w:eastAsia="Calibri" w:hAnsi="Times New Roman" w:cs="Calibri"/>
          <w:b/>
          <w:sz w:val="24"/>
          <w:szCs w:val="24"/>
          <w:lang w:eastAsia="ja-JP"/>
        </w:rPr>
        <w:t>ha ES nozīmes upju biotopu</w:t>
      </w:r>
    </w:p>
    <w:p w14:paraId="191196A0" w14:textId="77777777" w:rsidR="007F60BD" w:rsidRPr="00A07F29" w:rsidRDefault="00A21E83" w:rsidP="00340783">
      <w:pPr>
        <w:widowControl w:val="0"/>
        <w:autoSpaceDE w:val="0"/>
        <w:autoSpaceDN w:val="0"/>
        <w:adjustRightInd w:val="0"/>
        <w:spacing w:after="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Ezeru apsaimniekošanas galvenā prioritāte Augšdaugavas </w:t>
      </w:r>
      <w:r w:rsidR="00B960ED" w:rsidRPr="00A07F29">
        <w:rPr>
          <w:rFonts w:ascii="Times New Roman" w:eastAsia="Calibri" w:hAnsi="Times New Roman" w:cs="Times New Roman"/>
          <w:sz w:val="24"/>
          <w:szCs w:val="24"/>
        </w:rPr>
        <w:t>AAA</w:t>
      </w:r>
      <w:r w:rsidRPr="00A07F29">
        <w:rPr>
          <w:rFonts w:ascii="Times New Roman" w:eastAsia="Calibri" w:hAnsi="Times New Roman" w:cs="Times New Roman"/>
          <w:sz w:val="24"/>
          <w:szCs w:val="24"/>
        </w:rPr>
        <w:t xml:space="preserve"> ir </w:t>
      </w:r>
      <w:proofErr w:type="spellStart"/>
      <w:r w:rsidRPr="00A07F29">
        <w:rPr>
          <w:rFonts w:ascii="Times New Roman" w:eastAsia="Calibri" w:hAnsi="Times New Roman" w:cs="Times New Roman"/>
          <w:sz w:val="24"/>
          <w:szCs w:val="24"/>
        </w:rPr>
        <w:t>mezotrofā</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Varnaviču</w:t>
      </w:r>
      <w:proofErr w:type="spellEnd"/>
      <w:r w:rsidRPr="00A07F29">
        <w:rPr>
          <w:rFonts w:ascii="Times New Roman" w:eastAsia="Calibri" w:hAnsi="Times New Roman" w:cs="Times New Roman"/>
          <w:sz w:val="24"/>
          <w:szCs w:val="24"/>
        </w:rPr>
        <w:t xml:space="preserve">, kā arī </w:t>
      </w:r>
      <w:proofErr w:type="spellStart"/>
      <w:r w:rsidRPr="00A07F29">
        <w:rPr>
          <w:rFonts w:ascii="Times New Roman" w:eastAsia="Calibri" w:hAnsi="Times New Roman" w:cs="Times New Roman"/>
          <w:sz w:val="24"/>
          <w:szCs w:val="24"/>
        </w:rPr>
        <w:t>eitrofā</w:t>
      </w:r>
      <w:proofErr w:type="spellEnd"/>
      <w:r w:rsidRPr="00A07F29">
        <w:rPr>
          <w:rFonts w:ascii="Times New Roman" w:eastAsia="Calibri" w:hAnsi="Times New Roman" w:cs="Times New Roman"/>
          <w:sz w:val="24"/>
          <w:szCs w:val="24"/>
        </w:rPr>
        <w:t xml:space="preserve"> Dziļā, </w:t>
      </w:r>
      <w:proofErr w:type="spellStart"/>
      <w:r w:rsidRPr="00A07F29">
        <w:rPr>
          <w:rFonts w:ascii="Times New Roman" w:eastAsia="Calibri" w:hAnsi="Times New Roman" w:cs="Times New Roman"/>
          <w:sz w:val="24"/>
          <w:szCs w:val="24"/>
        </w:rPr>
        <w:t>Jabloņkas</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Krivoje</w:t>
      </w:r>
      <w:proofErr w:type="spellEnd"/>
      <w:r w:rsidRPr="00A07F29">
        <w:rPr>
          <w:rFonts w:ascii="Times New Roman" w:eastAsia="Calibri" w:hAnsi="Times New Roman" w:cs="Times New Roman"/>
          <w:sz w:val="24"/>
          <w:szCs w:val="24"/>
        </w:rPr>
        <w:t xml:space="preserve"> un </w:t>
      </w:r>
      <w:proofErr w:type="spellStart"/>
      <w:r w:rsidRPr="00A07F29">
        <w:rPr>
          <w:rFonts w:ascii="Times New Roman" w:eastAsia="Calibri" w:hAnsi="Times New Roman" w:cs="Times New Roman"/>
          <w:sz w:val="24"/>
          <w:szCs w:val="24"/>
        </w:rPr>
        <w:t>Riņģa</w:t>
      </w:r>
      <w:proofErr w:type="spellEnd"/>
      <w:r w:rsidRPr="00A07F29">
        <w:rPr>
          <w:rFonts w:ascii="Times New Roman" w:eastAsia="Calibri" w:hAnsi="Times New Roman" w:cs="Times New Roman"/>
          <w:sz w:val="24"/>
          <w:szCs w:val="24"/>
        </w:rPr>
        <w:t xml:space="preserve"> dabas vērtību saglabāšana un kvalitātes uzlabošana, kā arī biotopu kvalitātes uzlabošana Dauguļu ezerā un </w:t>
      </w:r>
      <w:proofErr w:type="spellStart"/>
      <w:r w:rsidRPr="00A07F29">
        <w:rPr>
          <w:rFonts w:ascii="Times New Roman" w:eastAsia="Calibri" w:hAnsi="Times New Roman" w:cs="Times New Roman"/>
          <w:sz w:val="24"/>
          <w:szCs w:val="24"/>
        </w:rPr>
        <w:t>Kalodā</w:t>
      </w:r>
      <w:proofErr w:type="spellEnd"/>
      <w:r w:rsidRPr="00A07F29">
        <w:rPr>
          <w:rFonts w:ascii="Times New Roman" w:eastAsia="Calibri" w:hAnsi="Times New Roman" w:cs="Times New Roman"/>
          <w:sz w:val="24"/>
          <w:szCs w:val="24"/>
        </w:rPr>
        <w:t>.</w:t>
      </w:r>
    </w:p>
    <w:p w14:paraId="0130B641" w14:textId="4F9684A0" w:rsidR="00A21E83" w:rsidRPr="00A07F29" w:rsidRDefault="00A21E83" w:rsidP="00340783">
      <w:pPr>
        <w:widowControl w:val="0"/>
        <w:autoSpaceDE w:val="0"/>
        <w:autoSpaceDN w:val="0"/>
        <w:adjustRightInd w:val="0"/>
        <w:spacing w:after="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Apsaimniekošanas pasākumu galvenie mērķi ir ūdensaugu </w:t>
      </w:r>
      <w:proofErr w:type="spellStart"/>
      <w:r w:rsidRPr="00A07F29">
        <w:rPr>
          <w:rFonts w:ascii="Times New Roman" w:eastAsia="Calibri" w:hAnsi="Times New Roman" w:cs="Times New Roman"/>
          <w:sz w:val="24"/>
          <w:szCs w:val="24"/>
        </w:rPr>
        <w:t>aizauguma</w:t>
      </w:r>
      <w:proofErr w:type="spellEnd"/>
      <w:r w:rsidRPr="00A07F29">
        <w:rPr>
          <w:rFonts w:ascii="Times New Roman" w:eastAsia="Calibri" w:hAnsi="Times New Roman" w:cs="Times New Roman"/>
          <w:sz w:val="24"/>
          <w:szCs w:val="24"/>
        </w:rPr>
        <w:t xml:space="preserve"> samazināšana, kas mazinās arī klimata pārmaiņu rezultātā radīto negatīvo ietekmi. Tas panākams atbilstoši apsaimniekojot Dauguļu, Dziļā, </w:t>
      </w:r>
      <w:proofErr w:type="spellStart"/>
      <w:r w:rsidRPr="00A07F29">
        <w:rPr>
          <w:rFonts w:ascii="Times New Roman" w:eastAsia="Calibri" w:hAnsi="Times New Roman" w:cs="Times New Roman"/>
          <w:sz w:val="24"/>
          <w:szCs w:val="24"/>
        </w:rPr>
        <w:t>Jabloņkas</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Krivoje</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Varnaviču</w:t>
      </w:r>
      <w:proofErr w:type="spellEnd"/>
      <w:r w:rsidRPr="00A07F29">
        <w:rPr>
          <w:rFonts w:ascii="Times New Roman" w:eastAsia="Calibri" w:hAnsi="Times New Roman" w:cs="Times New Roman"/>
          <w:sz w:val="24"/>
          <w:szCs w:val="24"/>
        </w:rPr>
        <w:t xml:space="preserve"> ezera, kā arī </w:t>
      </w:r>
      <w:proofErr w:type="spellStart"/>
      <w:r w:rsidRPr="00A07F29">
        <w:rPr>
          <w:rFonts w:ascii="Times New Roman" w:eastAsia="Calibri" w:hAnsi="Times New Roman" w:cs="Times New Roman"/>
          <w:sz w:val="24"/>
          <w:szCs w:val="24"/>
        </w:rPr>
        <w:t>Kalodas</w:t>
      </w:r>
      <w:proofErr w:type="spellEnd"/>
      <w:r w:rsidRPr="00A07F29">
        <w:rPr>
          <w:rFonts w:ascii="Times New Roman" w:eastAsia="Calibri" w:hAnsi="Times New Roman" w:cs="Times New Roman"/>
          <w:sz w:val="24"/>
          <w:szCs w:val="24"/>
        </w:rPr>
        <w:t xml:space="preserve"> un </w:t>
      </w:r>
      <w:proofErr w:type="spellStart"/>
      <w:r w:rsidRPr="00A07F29">
        <w:rPr>
          <w:rFonts w:ascii="Times New Roman" w:eastAsia="Calibri" w:hAnsi="Times New Roman" w:cs="Times New Roman"/>
          <w:sz w:val="24"/>
          <w:szCs w:val="24"/>
        </w:rPr>
        <w:t>Riņģa</w:t>
      </w:r>
      <w:proofErr w:type="spellEnd"/>
      <w:r w:rsidRPr="00A07F29">
        <w:rPr>
          <w:rFonts w:ascii="Times New Roman" w:eastAsia="Calibri" w:hAnsi="Times New Roman" w:cs="Times New Roman"/>
          <w:sz w:val="24"/>
          <w:szCs w:val="24"/>
        </w:rPr>
        <w:t xml:space="preserve"> sateces baseinus un aizsargjoslas, regulējot optimālās rekreācijas slodzes un apbūvi, nodrošinot pienācīgu notekūdeņu attīrīšanu, veicot niedru pļaušanu eitrofikācijas rezultātā blīvi aizaugušajos ezeru </w:t>
      </w:r>
      <w:proofErr w:type="spellStart"/>
      <w:r w:rsidRPr="00A07F29">
        <w:rPr>
          <w:rFonts w:ascii="Times New Roman" w:eastAsia="Calibri" w:hAnsi="Times New Roman" w:cs="Times New Roman"/>
          <w:sz w:val="24"/>
          <w:szCs w:val="24"/>
        </w:rPr>
        <w:t>litorāla</w:t>
      </w:r>
      <w:proofErr w:type="spellEnd"/>
      <w:r w:rsidRPr="00A07F29">
        <w:rPr>
          <w:rFonts w:ascii="Times New Roman" w:eastAsia="Calibri" w:hAnsi="Times New Roman" w:cs="Times New Roman"/>
          <w:sz w:val="24"/>
          <w:szCs w:val="24"/>
        </w:rPr>
        <w:t xml:space="preserve"> posmos. Tā kā ezeru bagātināšanos nosaka no jauna radīto barības vielu daudzuma pieaugums, viens no galvenajiem ezeru apsaimniekošanas uzdevumiem ir barības vielu noteces ierobežošana (Urtāne</w:t>
      </w:r>
      <w:r w:rsidR="00C25036">
        <w:rPr>
          <w:rFonts w:ascii="Times New Roman" w:eastAsia="Calibri" w:hAnsi="Times New Roman" w:cs="Times New Roman"/>
          <w:sz w:val="24"/>
          <w:szCs w:val="24"/>
        </w:rPr>
        <w:t xml:space="preserve"> L.</w:t>
      </w:r>
      <w:r w:rsidRPr="00A07F29">
        <w:rPr>
          <w:rFonts w:ascii="Times New Roman" w:eastAsia="Calibri" w:hAnsi="Times New Roman" w:cs="Times New Roman"/>
          <w:sz w:val="24"/>
          <w:szCs w:val="24"/>
        </w:rPr>
        <w:t>, 2014). Ezeru apsaimniekošanas pasākumu kopējais mērķis ir:</w:t>
      </w:r>
    </w:p>
    <w:p w14:paraId="44CC9250" w14:textId="389250E9" w:rsidR="00A21E83" w:rsidRPr="00A07F29" w:rsidRDefault="00A21E83" w:rsidP="00340783">
      <w:pPr>
        <w:widowControl w:val="0"/>
        <w:autoSpaceDE w:val="0"/>
        <w:autoSpaceDN w:val="0"/>
        <w:adjustRightInd w:val="0"/>
        <w:spacing w:after="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1)</w:t>
      </w:r>
      <w:r w:rsidR="00065560">
        <w:rPr>
          <w:rFonts w:ascii="Times New Roman" w:eastAsia="Calibri" w:hAnsi="Times New Roman" w:cs="Times New Roman"/>
          <w:sz w:val="24"/>
          <w:szCs w:val="24"/>
        </w:rPr>
        <w:t> </w:t>
      </w:r>
      <w:r w:rsidRPr="00A07F29">
        <w:rPr>
          <w:rFonts w:ascii="Times New Roman" w:eastAsia="Calibri" w:hAnsi="Times New Roman" w:cs="Times New Roman"/>
          <w:sz w:val="24"/>
          <w:szCs w:val="24"/>
        </w:rPr>
        <w:t>ezeru funkcionalitātes uzlabošana, lai mazinātu barības vielu izgulsnēšanos ezeros un kavētu nogulumos saistītā fosfora atgriešanos ūdens vidē;</w:t>
      </w:r>
    </w:p>
    <w:p w14:paraId="7715D177" w14:textId="09DE1BDC" w:rsidR="00A21E83" w:rsidRPr="00A07F29" w:rsidRDefault="00A21E83" w:rsidP="00340783">
      <w:pPr>
        <w:widowControl w:val="0"/>
        <w:autoSpaceDE w:val="0"/>
        <w:autoSpaceDN w:val="0"/>
        <w:adjustRightInd w:val="0"/>
        <w:spacing w:after="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2)</w:t>
      </w:r>
      <w:r w:rsidR="00A61135">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ezeru piekrastes zonas funkcionalitātes uzlabošana, lai samazinātu vai novērstu jaunu barības vielu ienesi no sateces baseina, palielinātu </w:t>
      </w:r>
      <w:proofErr w:type="spellStart"/>
      <w:r w:rsidRPr="00A07F29">
        <w:rPr>
          <w:rFonts w:ascii="Times New Roman" w:eastAsia="Calibri" w:hAnsi="Times New Roman" w:cs="Times New Roman"/>
          <w:sz w:val="24"/>
          <w:szCs w:val="24"/>
        </w:rPr>
        <w:t>biogēnu</w:t>
      </w:r>
      <w:proofErr w:type="spellEnd"/>
      <w:r w:rsidRPr="00A07F29">
        <w:rPr>
          <w:rFonts w:ascii="Times New Roman" w:eastAsia="Calibri" w:hAnsi="Times New Roman" w:cs="Times New Roman"/>
          <w:sz w:val="24"/>
          <w:szCs w:val="24"/>
        </w:rPr>
        <w:t xml:space="preserve"> akumulācijas spēju un spēju aizturēt augsnes erozijas materiālus;</w:t>
      </w:r>
    </w:p>
    <w:p w14:paraId="1B11B5B3" w14:textId="1F143BFD" w:rsidR="00A21E83" w:rsidRPr="00A07F29" w:rsidRDefault="00A21E83" w:rsidP="00340783">
      <w:pPr>
        <w:widowControl w:val="0"/>
        <w:autoSpaceDE w:val="0"/>
        <w:autoSpaceDN w:val="0"/>
        <w:adjustRightInd w:val="0"/>
        <w:spacing w:after="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3)</w:t>
      </w:r>
      <w:r w:rsidR="00A61135">
        <w:rPr>
          <w:rFonts w:ascii="Times New Roman" w:eastAsia="Calibri" w:hAnsi="Times New Roman" w:cs="Times New Roman"/>
          <w:sz w:val="24"/>
          <w:szCs w:val="24"/>
        </w:rPr>
        <w:t> </w:t>
      </w:r>
      <w:r w:rsidRPr="00A07F29">
        <w:rPr>
          <w:rFonts w:ascii="Times New Roman" w:eastAsia="Calibri" w:hAnsi="Times New Roman" w:cs="Times New Roman"/>
          <w:sz w:val="24"/>
          <w:szCs w:val="24"/>
        </w:rPr>
        <w:t>ezeros esošo barības vielu daudzuma samazināšana;</w:t>
      </w:r>
    </w:p>
    <w:p w14:paraId="1174440F" w14:textId="5F0F57AA" w:rsidR="00A21E83" w:rsidRPr="00A07F29" w:rsidRDefault="00A21E83" w:rsidP="00340783">
      <w:pPr>
        <w:widowControl w:val="0"/>
        <w:autoSpaceDE w:val="0"/>
        <w:autoSpaceDN w:val="0"/>
        <w:adjustRightInd w:val="0"/>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4)</w:t>
      </w:r>
      <w:r w:rsidR="00A61135">
        <w:rPr>
          <w:rFonts w:ascii="Times New Roman" w:eastAsia="Calibri" w:hAnsi="Times New Roman" w:cs="Times New Roman"/>
          <w:sz w:val="24"/>
          <w:szCs w:val="24"/>
        </w:rPr>
        <w:t> </w:t>
      </w:r>
      <w:r w:rsidRPr="00A07F29">
        <w:rPr>
          <w:rFonts w:ascii="Times New Roman" w:eastAsia="Calibri" w:hAnsi="Times New Roman" w:cs="Times New Roman"/>
          <w:sz w:val="24"/>
          <w:szCs w:val="24"/>
        </w:rPr>
        <w:t>viļņošanās efekta pastiprināšana, lai uzlabotu skābekļa režīmu ezeru ūdenī un iznestu ezeru krastā ūdensaugus.</w:t>
      </w:r>
    </w:p>
    <w:p w14:paraId="6ECA7772" w14:textId="10F192B2" w:rsidR="00D27638" w:rsidRPr="00A07F29" w:rsidRDefault="00A21E83" w:rsidP="00992D21">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Lai uzlabotu </w:t>
      </w:r>
      <w:r w:rsidR="005E1F8A" w:rsidRPr="00A07F29">
        <w:rPr>
          <w:rFonts w:ascii="Times New Roman" w:eastAsia="Calibri" w:hAnsi="Times New Roman" w:cs="Times New Roman"/>
          <w:sz w:val="24"/>
          <w:szCs w:val="24"/>
        </w:rPr>
        <w:t>ES</w:t>
      </w:r>
      <w:r w:rsidRPr="00A07F29">
        <w:rPr>
          <w:rFonts w:ascii="Times New Roman" w:eastAsia="Calibri" w:hAnsi="Times New Roman" w:cs="Times New Roman"/>
          <w:sz w:val="24"/>
          <w:szCs w:val="24"/>
        </w:rPr>
        <w:t xml:space="preserve"> </w:t>
      </w:r>
      <w:r w:rsidR="00F8721D" w:rsidRPr="00A07F29">
        <w:rPr>
          <w:rFonts w:ascii="Times New Roman" w:eastAsia="Calibri" w:hAnsi="Times New Roman" w:cs="Times New Roman"/>
          <w:sz w:val="24"/>
          <w:szCs w:val="24"/>
        </w:rPr>
        <w:t xml:space="preserve">nozīmes </w:t>
      </w:r>
      <w:r w:rsidRPr="00A07F29">
        <w:rPr>
          <w:rFonts w:ascii="Times New Roman" w:eastAsia="Calibri" w:hAnsi="Times New Roman" w:cs="Times New Roman"/>
          <w:sz w:val="24"/>
          <w:szCs w:val="24"/>
        </w:rPr>
        <w:t xml:space="preserve">un Latvijas aizsargājamo biotopu kvalitāti, kā arī reto un aizsargājamo </w:t>
      </w:r>
      <w:proofErr w:type="spellStart"/>
      <w:r w:rsidRPr="00A07F29">
        <w:rPr>
          <w:rFonts w:ascii="Times New Roman" w:eastAsia="Calibri" w:hAnsi="Times New Roman" w:cs="Times New Roman"/>
          <w:sz w:val="24"/>
          <w:szCs w:val="24"/>
        </w:rPr>
        <w:t>mieturaļģu</w:t>
      </w:r>
      <w:proofErr w:type="spellEnd"/>
      <w:r w:rsidRPr="00A07F29">
        <w:rPr>
          <w:rFonts w:ascii="Times New Roman" w:eastAsia="Calibri" w:hAnsi="Times New Roman" w:cs="Times New Roman"/>
          <w:sz w:val="24"/>
          <w:szCs w:val="24"/>
        </w:rPr>
        <w:t xml:space="preserve">, sūnaugu un </w:t>
      </w:r>
      <w:proofErr w:type="spellStart"/>
      <w:r w:rsidRPr="00A07F29">
        <w:rPr>
          <w:rFonts w:ascii="Times New Roman" w:eastAsia="Calibri" w:hAnsi="Times New Roman" w:cs="Times New Roman"/>
          <w:sz w:val="24"/>
          <w:szCs w:val="24"/>
        </w:rPr>
        <w:t>vaskulāro</w:t>
      </w:r>
      <w:proofErr w:type="spellEnd"/>
      <w:r w:rsidRPr="00A07F29">
        <w:rPr>
          <w:rFonts w:ascii="Times New Roman" w:eastAsia="Calibri" w:hAnsi="Times New Roman" w:cs="Times New Roman"/>
          <w:sz w:val="24"/>
          <w:szCs w:val="24"/>
        </w:rPr>
        <w:t xml:space="preserve"> augu sugu populāciju stāvokli, </w:t>
      </w:r>
      <w:r w:rsidR="00D27638" w:rsidRPr="00A07F29">
        <w:rPr>
          <w:rFonts w:ascii="Times New Roman" w:eastAsia="Calibri" w:hAnsi="Times New Roman" w:cs="Times New Roman"/>
          <w:sz w:val="24"/>
          <w:szCs w:val="24"/>
        </w:rPr>
        <w:t xml:space="preserve">14 </w:t>
      </w:r>
      <w:r w:rsidR="005E1F8A" w:rsidRPr="00A07F29">
        <w:rPr>
          <w:rFonts w:ascii="Times New Roman" w:eastAsia="Calibri" w:hAnsi="Times New Roman" w:cs="Times New Roman"/>
          <w:sz w:val="24"/>
          <w:szCs w:val="24"/>
        </w:rPr>
        <w:t xml:space="preserve">AAA </w:t>
      </w:r>
      <w:r w:rsidR="005E1F8A" w:rsidRPr="00A07F29">
        <w:rPr>
          <w:rFonts w:ascii="Times New Roman" w:eastAsia="Calibri" w:hAnsi="Times New Roman" w:cs="Times New Roman"/>
          <w:sz w:val="24"/>
          <w:szCs w:val="24"/>
        </w:rPr>
        <w:lastRenderedPageBreak/>
        <w:t>“</w:t>
      </w:r>
      <w:proofErr w:type="spellStart"/>
      <w:r w:rsidR="005E1F8A" w:rsidRPr="00A07F29">
        <w:rPr>
          <w:rFonts w:ascii="Times New Roman" w:eastAsia="Calibri" w:hAnsi="Times New Roman" w:cs="Times New Roman"/>
          <w:sz w:val="24"/>
          <w:szCs w:val="24"/>
        </w:rPr>
        <w:t>Augsdaugava</w:t>
      </w:r>
      <w:proofErr w:type="spellEnd"/>
      <w:r w:rsidR="005E1F8A" w:rsidRPr="00A07F29">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ezeros nepieciešams veikt vairākus apsaimniekošanas pasākumus</w:t>
      </w:r>
      <w:r w:rsidR="00992D21" w:rsidRPr="00A07F29">
        <w:rPr>
          <w:rFonts w:ascii="Times New Roman" w:eastAsia="Calibri" w:hAnsi="Times New Roman" w:cs="Times New Roman"/>
          <w:sz w:val="24"/>
          <w:szCs w:val="24"/>
        </w:rPr>
        <w:t xml:space="preserve"> (</w:t>
      </w:r>
      <w:r w:rsidR="00D27638" w:rsidRPr="00A07F29">
        <w:rPr>
          <w:rFonts w:ascii="Times New Roman" w:eastAsia="Calibri" w:hAnsi="Times New Roman" w:cs="Times New Roman"/>
          <w:sz w:val="24"/>
          <w:szCs w:val="24"/>
        </w:rPr>
        <w:t>skat. tālāk pasākumu B.1.1.</w:t>
      </w:r>
      <w:r w:rsidR="000670A9">
        <w:rPr>
          <w:rFonts w:ascii="Times New Roman" w:eastAsia="Calibri" w:hAnsi="Times New Roman" w:cs="Times New Roman"/>
          <w:sz w:val="24"/>
          <w:szCs w:val="24"/>
        </w:rPr>
        <w:t> – </w:t>
      </w:r>
      <w:r w:rsidR="00D27638" w:rsidRPr="00A07F29">
        <w:rPr>
          <w:rFonts w:ascii="Times New Roman" w:eastAsia="Calibri" w:hAnsi="Times New Roman" w:cs="Times New Roman"/>
          <w:sz w:val="24"/>
          <w:szCs w:val="24"/>
        </w:rPr>
        <w:t>B</w:t>
      </w:r>
      <w:r w:rsidR="000670A9">
        <w:rPr>
          <w:rFonts w:ascii="Times New Roman" w:eastAsia="Calibri" w:hAnsi="Times New Roman" w:cs="Times New Roman"/>
          <w:sz w:val="24"/>
          <w:szCs w:val="24"/>
        </w:rPr>
        <w:t>.</w:t>
      </w:r>
      <w:r w:rsidR="00D27638" w:rsidRPr="00A07F29">
        <w:rPr>
          <w:rFonts w:ascii="Times New Roman" w:eastAsia="Calibri" w:hAnsi="Times New Roman" w:cs="Times New Roman"/>
          <w:sz w:val="24"/>
          <w:szCs w:val="24"/>
        </w:rPr>
        <w:t>1.10.</w:t>
      </w:r>
      <w:r w:rsidR="00660799">
        <w:rPr>
          <w:rFonts w:ascii="Times New Roman" w:eastAsia="Calibri" w:hAnsi="Times New Roman" w:cs="Times New Roman"/>
          <w:sz w:val="24"/>
          <w:szCs w:val="24"/>
        </w:rPr>
        <w:t> </w:t>
      </w:r>
      <w:r w:rsidR="00D27638" w:rsidRPr="00A07F29">
        <w:rPr>
          <w:rFonts w:ascii="Times New Roman" w:eastAsia="Calibri" w:hAnsi="Times New Roman" w:cs="Times New Roman"/>
          <w:sz w:val="24"/>
          <w:szCs w:val="24"/>
        </w:rPr>
        <w:t>aprakstu)</w:t>
      </w:r>
      <w:r w:rsidRPr="00A07F29">
        <w:rPr>
          <w:rFonts w:ascii="Times New Roman" w:eastAsia="Calibri" w:hAnsi="Times New Roman" w:cs="Times New Roman"/>
          <w:sz w:val="24"/>
          <w:szCs w:val="24"/>
        </w:rPr>
        <w:t>.</w:t>
      </w:r>
    </w:p>
    <w:p w14:paraId="3533FCE8" w14:textId="2AC7D93A" w:rsidR="00182C3D" w:rsidRPr="00A07F29" w:rsidRDefault="00D27638" w:rsidP="00D27638">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Apsaimniekošanas pasākumi šobrīd nav nepieciešami </w:t>
      </w:r>
      <w:r w:rsidRPr="00A07F29">
        <w:rPr>
          <w:rFonts w:ascii="Times New Roman" w:hAnsi="Times New Roman" w:cs="Times New Roman"/>
          <w:sz w:val="24"/>
          <w:szCs w:val="24"/>
        </w:rPr>
        <w:t>1</w:t>
      </w:r>
      <w:r w:rsidR="00992D21" w:rsidRPr="00A07F29">
        <w:rPr>
          <w:rFonts w:ascii="Times New Roman" w:hAnsi="Times New Roman" w:cs="Times New Roman"/>
          <w:sz w:val="24"/>
          <w:szCs w:val="24"/>
        </w:rPr>
        <w:t>5</w:t>
      </w:r>
      <w:r w:rsidRPr="00A07F29">
        <w:rPr>
          <w:rFonts w:ascii="Times New Roman" w:eastAsia="Calibri" w:hAnsi="Times New Roman" w:cs="Times New Roman"/>
          <w:sz w:val="24"/>
          <w:szCs w:val="24"/>
        </w:rPr>
        <w:t xml:space="preserve"> AAA “</w:t>
      </w:r>
      <w:proofErr w:type="spellStart"/>
      <w:r w:rsidRPr="00A07F29">
        <w:rPr>
          <w:rFonts w:ascii="Times New Roman" w:eastAsia="Calibri" w:hAnsi="Times New Roman" w:cs="Times New Roman"/>
          <w:sz w:val="24"/>
          <w:szCs w:val="24"/>
        </w:rPr>
        <w:t>Augsdaugava</w:t>
      </w:r>
      <w:proofErr w:type="spellEnd"/>
      <w:r w:rsidRPr="00A07F29">
        <w:rPr>
          <w:rFonts w:ascii="Times New Roman" w:eastAsia="Calibri" w:hAnsi="Times New Roman" w:cs="Times New Roman"/>
          <w:sz w:val="24"/>
          <w:szCs w:val="24"/>
        </w:rPr>
        <w:t>” ezeros</w:t>
      </w:r>
      <w:r w:rsidR="00992D21" w:rsidRPr="00A07F29">
        <w:rPr>
          <w:rFonts w:ascii="Times New Roman" w:eastAsia="Calibri" w:hAnsi="Times New Roman" w:cs="Times New Roman"/>
          <w:sz w:val="24"/>
          <w:szCs w:val="24"/>
        </w:rPr>
        <w:t xml:space="preserve">: </w:t>
      </w:r>
      <w:proofErr w:type="spellStart"/>
      <w:r w:rsidRPr="00A07F29">
        <w:rPr>
          <w:rFonts w:ascii="Times New Roman" w:hAnsi="Times New Roman" w:cs="Times New Roman"/>
          <w:sz w:val="24"/>
          <w:szCs w:val="24"/>
        </w:rPr>
        <w:t>Šilovkas</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Dolgoje</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Krugloje</w:t>
      </w:r>
      <w:proofErr w:type="spellEnd"/>
      <w:r w:rsidRPr="00A07F29">
        <w:rPr>
          <w:rFonts w:ascii="Times New Roman" w:eastAsia="Calibri" w:hAnsi="Times New Roman" w:cs="Times New Roman"/>
          <w:sz w:val="24"/>
          <w:szCs w:val="24"/>
        </w:rPr>
        <w:t xml:space="preserve">, Lielais </w:t>
      </w:r>
      <w:proofErr w:type="spellStart"/>
      <w:r w:rsidRPr="00A07F29">
        <w:rPr>
          <w:rFonts w:ascii="Times New Roman" w:eastAsia="Calibri" w:hAnsi="Times New Roman" w:cs="Times New Roman"/>
          <w:sz w:val="24"/>
          <w:szCs w:val="24"/>
        </w:rPr>
        <w:t>Borvinkas</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Lukštānu</w:t>
      </w:r>
      <w:proofErr w:type="spellEnd"/>
      <w:r w:rsidRPr="00A07F29">
        <w:rPr>
          <w:rFonts w:ascii="Times New Roman" w:eastAsia="Calibri" w:hAnsi="Times New Roman" w:cs="Times New Roman"/>
          <w:sz w:val="24"/>
          <w:szCs w:val="24"/>
        </w:rPr>
        <w:t xml:space="preserve">, Maču, Vidus </w:t>
      </w:r>
      <w:proofErr w:type="spellStart"/>
      <w:r w:rsidRPr="00A07F29">
        <w:rPr>
          <w:rFonts w:ascii="Times New Roman" w:eastAsia="Calibri" w:hAnsi="Times New Roman" w:cs="Times New Roman"/>
          <w:sz w:val="24"/>
          <w:szCs w:val="24"/>
        </w:rPr>
        <w:t>Dolgoje</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Mjaļina</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Skumbiņu</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Š</w:t>
      </w:r>
      <w:r w:rsidR="00992D21" w:rsidRPr="00A07F29">
        <w:rPr>
          <w:rFonts w:ascii="Times New Roman" w:eastAsia="Calibri" w:hAnsi="Times New Roman" w:cs="Times New Roman"/>
          <w:sz w:val="24"/>
          <w:szCs w:val="24"/>
        </w:rPr>
        <w:t>kļarovščinas</w:t>
      </w:r>
      <w:proofErr w:type="spellEnd"/>
      <w:r w:rsidR="00992D21" w:rsidRPr="00A07F29">
        <w:rPr>
          <w:rFonts w:ascii="Times New Roman" w:eastAsia="Calibri" w:hAnsi="Times New Roman" w:cs="Times New Roman"/>
          <w:sz w:val="24"/>
          <w:szCs w:val="24"/>
        </w:rPr>
        <w:t xml:space="preserve">, </w:t>
      </w:r>
      <w:proofErr w:type="spellStart"/>
      <w:r w:rsidR="00992D21" w:rsidRPr="00A07F29">
        <w:rPr>
          <w:rFonts w:ascii="Times New Roman" w:eastAsia="Calibri" w:hAnsi="Times New Roman" w:cs="Times New Roman"/>
          <w:sz w:val="24"/>
          <w:szCs w:val="24"/>
        </w:rPr>
        <w:t>Vaičuku</w:t>
      </w:r>
      <w:proofErr w:type="spellEnd"/>
      <w:r w:rsidR="00992D21" w:rsidRPr="00A07F29">
        <w:rPr>
          <w:rFonts w:ascii="Times New Roman" w:eastAsia="Calibri" w:hAnsi="Times New Roman" w:cs="Times New Roman"/>
          <w:sz w:val="24"/>
          <w:szCs w:val="24"/>
        </w:rPr>
        <w:t xml:space="preserve"> un Zariņa, </w:t>
      </w:r>
      <w:proofErr w:type="spellStart"/>
      <w:r w:rsidR="00992D21" w:rsidRPr="00A07F29">
        <w:rPr>
          <w:rFonts w:ascii="Times New Roman" w:eastAsia="Calibri" w:hAnsi="Times New Roman" w:cs="Times New Roman"/>
          <w:sz w:val="24"/>
          <w:szCs w:val="24"/>
        </w:rPr>
        <w:t>Dūnekļa</w:t>
      </w:r>
      <w:proofErr w:type="spellEnd"/>
      <w:r w:rsidRPr="00A07F29">
        <w:rPr>
          <w:rFonts w:ascii="Times New Roman" w:eastAsia="Calibri" w:hAnsi="Times New Roman" w:cs="Times New Roman"/>
          <w:sz w:val="24"/>
          <w:szCs w:val="24"/>
        </w:rPr>
        <w:t xml:space="preserve">, Dienvidu </w:t>
      </w:r>
      <w:proofErr w:type="spellStart"/>
      <w:r w:rsidRPr="00A07F29">
        <w:rPr>
          <w:rFonts w:ascii="Times New Roman" w:eastAsia="Calibri" w:hAnsi="Times New Roman" w:cs="Times New Roman"/>
          <w:sz w:val="24"/>
          <w:szCs w:val="24"/>
        </w:rPr>
        <w:t>Dolgoje</w:t>
      </w:r>
      <w:proofErr w:type="spellEnd"/>
      <w:r w:rsidRPr="00A07F29">
        <w:rPr>
          <w:rFonts w:ascii="Times New Roman" w:eastAsia="Calibri" w:hAnsi="Times New Roman" w:cs="Times New Roman"/>
          <w:sz w:val="24"/>
          <w:szCs w:val="24"/>
        </w:rPr>
        <w:t xml:space="preserve"> un Zīmeļ</w:t>
      </w:r>
      <w:r w:rsidR="00992D21" w:rsidRPr="00A07F29">
        <w:rPr>
          <w:rFonts w:ascii="Times New Roman" w:eastAsia="Calibri" w:hAnsi="Times New Roman" w:cs="Times New Roman"/>
          <w:sz w:val="24"/>
          <w:szCs w:val="24"/>
        </w:rPr>
        <w:t>a ezerā.</w:t>
      </w:r>
    </w:p>
    <w:p w14:paraId="0E653A12" w14:textId="55355799" w:rsidR="007A435B" w:rsidRPr="00A07F29" w:rsidRDefault="00182C3D" w:rsidP="00BA7898">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Upju apsaimniekošanas galvenā prioritāte ir dabiska hidroloģiskā režīma </w:t>
      </w:r>
      <w:r w:rsidR="00BA7898" w:rsidRPr="00A07F29">
        <w:rPr>
          <w:rFonts w:ascii="Times New Roman" w:eastAsia="Calibri" w:hAnsi="Times New Roman" w:cs="Times New Roman"/>
          <w:sz w:val="24"/>
          <w:szCs w:val="24"/>
        </w:rPr>
        <w:t xml:space="preserve">saglabāšana </w:t>
      </w:r>
      <w:r w:rsidRPr="00A07F29">
        <w:rPr>
          <w:rFonts w:ascii="Times New Roman" w:eastAsia="Calibri" w:hAnsi="Times New Roman" w:cs="Times New Roman"/>
          <w:sz w:val="24"/>
          <w:szCs w:val="24"/>
        </w:rPr>
        <w:t xml:space="preserve">un nepieciešamības gadījumā – upju un to piekrastes zonas funkcionalitātes uzlabošana, </w:t>
      </w:r>
      <w:r w:rsidR="007A435B" w:rsidRPr="00A07F29">
        <w:rPr>
          <w:rFonts w:ascii="Times New Roman" w:eastAsia="Calibri" w:hAnsi="Times New Roman" w:cs="Times New Roman"/>
          <w:sz w:val="24"/>
          <w:szCs w:val="24"/>
        </w:rPr>
        <w:t>regulējot bebru darbību, izvācot bebru dambjus un koku sagāzumus, kā arī retinot p</w:t>
      </w:r>
      <w:r w:rsidR="00DF375A">
        <w:rPr>
          <w:rFonts w:ascii="Times New Roman" w:eastAsia="Calibri" w:hAnsi="Times New Roman" w:cs="Times New Roman"/>
          <w:sz w:val="24"/>
          <w:szCs w:val="24"/>
        </w:rPr>
        <w:t>ā</w:t>
      </w:r>
      <w:r w:rsidR="007A435B" w:rsidRPr="00A07F29">
        <w:rPr>
          <w:rFonts w:ascii="Times New Roman" w:eastAsia="Calibri" w:hAnsi="Times New Roman" w:cs="Times New Roman"/>
          <w:sz w:val="24"/>
          <w:szCs w:val="24"/>
        </w:rPr>
        <w:t>rāk blīvu koku un krūmu apaugumu krastos (</w:t>
      </w:r>
      <w:r w:rsidR="00C1665B">
        <w:rPr>
          <w:rFonts w:ascii="Times New Roman" w:eastAsia="Calibri" w:hAnsi="Times New Roman" w:cs="Times New Roman"/>
          <w:sz w:val="24"/>
          <w:szCs w:val="24"/>
        </w:rPr>
        <w:t xml:space="preserve">skat. </w:t>
      </w:r>
      <w:r w:rsidR="007A435B" w:rsidRPr="00A07F29">
        <w:rPr>
          <w:rFonts w:ascii="Times New Roman" w:eastAsia="Calibri" w:hAnsi="Times New Roman" w:cs="Times New Roman"/>
          <w:sz w:val="24"/>
          <w:szCs w:val="24"/>
        </w:rPr>
        <w:t>B.1.11.</w:t>
      </w:r>
      <w:r w:rsidR="00660799">
        <w:rPr>
          <w:rFonts w:ascii="Times New Roman" w:eastAsia="Calibri" w:hAnsi="Times New Roman" w:cs="Times New Roman"/>
          <w:sz w:val="24"/>
          <w:szCs w:val="24"/>
        </w:rPr>
        <w:t> </w:t>
      </w:r>
      <w:r w:rsidR="007A435B" w:rsidRPr="00A07F29">
        <w:rPr>
          <w:rFonts w:ascii="Times New Roman" w:eastAsia="Calibri" w:hAnsi="Times New Roman" w:cs="Times New Roman"/>
          <w:sz w:val="24"/>
          <w:szCs w:val="24"/>
        </w:rPr>
        <w:t>pasākums).</w:t>
      </w:r>
    </w:p>
    <w:p w14:paraId="73CA5A30" w14:textId="763508F6" w:rsidR="00D27638" w:rsidRPr="00A07F29" w:rsidRDefault="00182C3D" w:rsidP="00D27638">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E</w:t>
      </w:r>
      <w:r w:rsidR="00660799">
        <w:rPr>
          <w:rFonts w:ascii="Times New Roman" w:eastAsia="Calibri" w:hAnsi="Times New Roman" w:cs="Times New Roman"/>
          <w:sz w:val="24"/>
          <w:szCs w:val="24"/>
        </w:rPr>
        <w:t>S</w:t>
      </w:r>
      <w:r w:rsidRPr="00A07F29">
        <w:rPr>
          <w:rFonts w:ascii="Times New Roman" w:eastAsia="Calibri" w:hAnsi="Times New Roman" w:cs="Times New Roman"/>
          <w:sz w:val="24"/>
          <w:szCs w:val="24"/>
        </w:rPr>
        <w:t xml:space="preserve"> nozīmes saldūdeņu biotopu kvalitātes saglabāšanos un uzlabošanos sekmēs arī AAA “Augšdaugava” individuālo aizsardzības un izmantošanas noteikumu un funkcionālā zonējuma izstrādāšana un apstiprināšana (</w:t>
      </w:r>
      <w:r w:rsidR="00C1665B">
        <w:rPr>
          <w:rFonts w:ascii="Times New Roman" w:eastAsia="Calibri" w:hAnsi="Times New Roman" w:cs="Times New Roman"/>
          <w:sz w:val="24"/>
          <w:szCs w:val="24"/>
        </w:rPr>
        <w:t xml:space="preserve">skat. </w:t>
      </w:r>
      <w:r w:rsidRPr="00A07F29">
        <w:rPr>
          <w:rFonts w:ascii="Times New Roman" w:eastAsia="Calibri" w:hAnsi="Times New Roman" w:cs="Times New Roman"/>
          <w:sz w:val="24"/>
          <w:szCs w:val="24"/>
        </w:rPr>
        <w:t>A.1.1.</w:t>
      </w:r>
      <w:r w:rsidR="00660799">
        <w:rPr>
          <w:rFonts w:ascii="Times New Roman" w:eastAsia="Calibri" w:hAnsi="Times New Roman" w:cs="Times New Roman"/>
          <w:sz w:val="24"/>
          <w:szCs w:val="24"/>
        </w:rPr>
        <w:t> </w:t>
      </w:r>
      <w:r w:rsidRPr="00A07F29">
        <w:rPr>
          <w:rFonts w:ascii="Times New Roman" w:eastAsia="Calibri" w:hAnsi="Times New Roman" w:cs="Times New Roman"/>
          <w:sz w:val="24"/>
          <w:szCs w:val="24"/>
        </w:rPr>
        <w:t>pasākums, DA plāna 6.2.</w:t>
      </w:r>
      <w:r w:rsidR="00660799">
        <w:rPr>
          <w:rFonts w:ascii="Times New Roman" w:eastAsia="Calibri" w:hAnsi="Times New Roman" w:cs="Times New Roman"/>
          <w:sz w:val="24"/>
          <w:szCs w:val="24"/>
        </w:rPr>
        <w:t> </w:t>
      </w:r>
      <w:r w:rsidRPr="00A07F29">
        <w:rPr>
          <w:rFonts w:ascii="Times New Roman" w:eastAsia="Calibri" w:hAnsi="Times New Roman" w:cs="Times New Roman"/>
          <w:sz w:val="24"/>
          <w:szCs w:val="24"/>
        </w:rPr>
        <w:t>nodaļa).</w:t>
      </w:r>
    </w:p>
    <w:p w14:paraId="7082E730" w14:textId="07A5BEFC" w:rsidR="00A21E83" w:rsidRPr="00A07F29" w:rsidRDefault="00A21E83" w:rsidP="00C9177B">
      <w:pPr>
        <w:keepNext/>
        <w:spacing w:before="240" w:after="120" w:line="240" w:lineRule="auto"/>
        <w:jc w:val="both"/>
        <w:rPr>
          <w:rFonts w:ascii="Times New Roman" w:eastAsia="Calibri" w:hAnsi="Times New Roman" w:cs="Times New Roman"/>
          <w:b/>
          <w:i/>
          <w:sz w:val="24"/>
          <w:szCs w:val="24"/>
        </w:rPr>
      </w:pPr>
      <w:r w:rsidRPr="00A07F29">
        <w:rPr>
          <w:rFonts w:ascii="Times New Roman" w:eastAsia="Calibri" w:hAnsi="Times New Roman" w:cs="Times New Roman"/>
          <w:b/>
          <w:i/>
          <w:sz w:val="24"/>
          <w:szCs w:val="24"/>
        </w:rPr>
        <w:t xml:space="preserve">B.1.1. </w:t>
      </w:r>
      <w:proofErr w:type="spellStart"/>
      <w:r w:rsidRPr="00A07F29">
        <w:rPr>
          <w:rFonts w:ascii="Times New Roman" w:eastAsia="Calibri" w:hAnsi="Times New Roman" w:cs="Times New Roman"/>
          <w:b/>
          <w:i/>
          <w:sz w:val="24"/>
          <w:szCs w:val="24"/>
        </w:rPr>
        <w:t>Balticas</w:t>
      </w:r>
      <w:proofErr w:type="spellEnd"/>
      <w:r w:rsidRPr="00A07F29">
        <w:rPr>
          <w:rFonts w:ascii="Times New Roman" w:eastAsia="Calibri" w:hAnsi="Times New Roman" w:cs="Times New Roman"/>
          <w:b/>
          <w:i/>
          <w:sz w:val="24"/>
          <w:szCs w:val="24"/>
        </w:rPr>
        <w:t xml:space="preserve"> ezera </w:t>
      </w:r>
      <w:r w:rsidR="00C25036" w:rsidRPr="00C25036">
        <w:rPr>
          <w:rFonts w:ascii="Times New Roman" w:eastAsia="Calibri" w:hAnsi="Times New Roman" w:cs="Times New Roman"/>
          <w:b/>
          <w:i/>
          <w:sz w:val="24"/>
          <w:szCs w:val="24"/>
        </w:rPr>
        <w:t>R</w:t>
      </w:r>
      <w:r w:rsidRPr="00A07F29">
        <w:rPr>
          <w:rFonts w:ascii="Times New Roman" w:eastAsia="Calibri" w:hAnsi="Times New Roman" w:cs="Times New Roman"/>
          <w:b/>
          <w:i/>
          <w:sz w:val="24"/>
          <w:szCs w:val="24"/>
        </w:rPr>
        <w:t xml:space="preserve"> piekrastes attīrīšana no koku stumbru, zaru sagāzumiem</w:t>
      </w:r>
    </w:p>
    <w:p w14:paraId="68EBFFCA" w14:textId="77777777" w:rsidR="00A21E83" w:rsidRPr="00A07F29" w:rsidRDefault="00A21E83" w:rsidP="00992D21">
      <w:pPr>
        <w:keepNext/>
        <w:spacing w:after="0" w:line="240" w:lineRule="auto"/>
        <w:jc w:val="both"/>
        <w:rPr>
          <w:rFonts w:ascii="Times New Roman" w:eastAsia="Calibri" w:hAnsi="Times New Roman" w:cs="Times New Roman"/>
          <w:sz w:val="24"/>
          <w:szCs w:val="24"/>
        </w:rPr>
      </w:pPr>
      <w:r w:rsidRPr="00A07F29">
        <w:rPr>
          <w:rFonts w:ascii="Times New Roman" w:eastAsia="Calibri" w:hAnsi="Times New Roman" w:cs="Times New Roman"/>
          <w:i/>
          <w:iCs/>
          <w:sz w:val="24"/>
          <w:szCs w:val="24"/>
        </w:rPr>
        <w:t>Mērķis</w:t>
      </w:r>
    </w:p>
    <w:p w14:paraId="40C0E331" w14:textId="0A202092" w:rsidR="00A21E83" w:rsidRPr="00A07F29" w:rsidRDefault="00A21E83" w:rsidP="00340783">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Izvācot sakritušos kokus R piekrastē</w:t>
      </w:r>
      <w:r w:rsidR="00C244EF" w:rsidRPr="00A07F29">
        <w:rPr>
          <w:rFonts w:ascii="Times New Roman" w:eastAsia="Calibri" w:hAnsi="Times New Roman" w:cs="Times New Roman"/>
          <w:sz w:val="24"/>
          <w:szCs w:val="24"/>
        </w:rPr>
        <w:t xml:space="preserve"> (</w:t>
      </w:r>
      <w:r w:rsidR="006665A7">
        <w:rPr>
          <w:rFonts w:ascii="Times New Roman" w:eastAsia="Calibri" w:hAnsi="Times New Roman" w:cs="Times New Roman"/>
          <w:sz w:val="24"/>
          <w:szCs w:val="24"/>
        </w:rPr>
        <w:t xml:space="preserve">skat. </w:t>
      </w:r>
      <w:r w:rsidR="00C244EF" w:rsidRPr="00A07F29">
        <w:rPr>
          <w:rFonts w:ascii="Times New Roman" w:eastAsia="Calibri" w:hAnsi="Times New Roman" w:cs="Times New Roman"/>
          <w:sz w:val="24"/>
          <w:szCs w:val="24"/>
        </w:rPr>
        <w:t>5.3.</w:t>
      </w:r>
      <w:r w:rsidR="00E051CA">
        <w:rPr>
          <w:rFonts w:ascii="Times New Roman" w:eastAsia="Calibri" w:hAnsi="Times New Roman" w:cs="Times New Roman"/>
          <w:sz w:val="24"/>
          <w:szCs w:val="24"/>
        </w:rPr>
        <w:t>3</w:t>
      </w:r>
      <w:r w:rsidR="00C244EF" w:rsidRPr="00A07F29">
        <w:rPr>
          <w:rFonts w:ascii="Times New Roman" w:eastAsia="Calibri" w:hAnsi="Times New Roman" w:cs="Times New Roman"/>
          <w:sz w:val="24"/>
          <w:szCs w:val="24"/>
        </w:rPr>
        <w:t>.</w:t>
      </w:r>
      <w:r w:rsidR="006665A7">
        <w:rPr>
          <w:rFonts w:ascii="Times New Roman" w:eastAsia="Calibri" w:hAnsi="Times New Roman" w:cs="Times New Roman"/>
          <w:sz w:val="24"/>
          <w:szCs w:val="24"/>
        </w:rPr>
        <w:t> </w:t>
      </w:r>
      <w:r w:rsidR="00C244EF" w:rsidRPr="00A07F29">
        <w:rPr>
          <w:rFonts w:ascii="Times New Roman" w:eastAsia="Calibri" w:hAnsi="Times New Roman" w:cs="Times New Roman"/>
          <w:sz w:val="24"/>
          <w:szCs w:val="24"/>
        </w:rPr>
        <w:t>att</w:t>
      </w:r>
      <w:r w:rsidR="006665A7">
        <w:rPr>
          <w:rFonts w:ascii="Times New Roman" w:eastAsia="Calibri" w:hAnsi="Times New Roman" w:cs="Times New Roman"/>
          <w:sz w:val="24"/>
          <w:szCs w:val="24"/>
        </w:rPr>
        <w:t>ēls</w:t>
      </w:r>
      <w:r w:rsidR="00C244EF" w:rsidRPr="00A07F29">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palēnināsies dūņu uzkrāšanās, jo R piekraste ir vienīgais piekrastes posms, kurā vietām saglabājusies </w:t>
      </w:r>
      <w:proofErr w:type="spellStart"/>
      <w:r w:rsidRPr="00A07F29">
        <w:rPr>
          <w:rFonts w:ascii="Times New Roman" w:eastAsia="Calibri" w:hAnsi="Times New Roman" w:cs="Times New Roman"/>
          <w:sz w:val="24"/>
          <w:szCs w:val="24"/>
        </w:rPr>
        <w:t>minerālgrunts</w:t>
      </w:r>
      <w:proofErr w:type="spellEnd"/>
      <w:r w:rsidRPr="00A07F29">
        <w:rPr>
          <w:rFonts w:ascii="Times New Roman" w:eastAsia="Calibri" w:hAnsi="Times New Roman" w:cs="Times New Roman"/>
          <w:sz w:val="24"/>
          <w:szCs w:val="24"/>
        </w:rPr>
        <w:t xml:space="preserve"> (izņemot A peldvietu). Samazināsies iespējas izveidoties slīkšņai vai ieķerties sakritušajos koku zaros no citurienes pieskalotiem slīkšņas gabaliem.</w:t>
      </w:r>
    </w:p>
    <w:p w14:paraId="42D89D7A" w14:textId="77777777" w:rsidR="00A21E83" w:rsidRPr="00A07F29" w:rsidRDefault="00A21E83" w:rsidP="00A21E83">
      <w:pPr>
        <w:spacing w:after="0" w:line="240" w:lineRule="auto"/>
        <w:jc w:val="both"/>
        <w:rPr>
          <w:rFonts w:ascii="Times New Roman" w:eastAsia="Calibri" w:hAnsi="Times New Roman" w:cs="Times New Roman"/>
          <w:i/>
          <w:iCs/>
          <w:sz w:val="24"/>
          <w:szCs w:val="24"/>
        </w:rPr>
      </w:pPr>
      <w:r w:rsidRPr="00A07F29">
        <w:rPr>
          <w:rFonts w:ascii="Times New Roman" w:eastAsia="Calibri" w:hAnsi="Times New Roman" w:cs="Times New Roman"/>
          <w:i/>
          <w:iCs/>
          <w:sz w:val="24"/>
          <w:szCs w:val="24"/>
        </w:rPr>
        <w:t>Pasākuma apraksts, nosacījumi pasākuma veikšanai, ieteicamie tehniskie paņēmieni</w:t>
      </w:r>
    </w:p>
    <w:p w14:paraId="0B1E2086" w14:textId="745908B8" w:rsidR="00A21E83" w:rsidRPr="00A07F29" w:rsidRDefault="00A21E83" w:rsidP="00F8721D">
      <w:pPr>
        <w:spacing w:after="0" w:line="240" w:lineRule="auto"/>
        <w:ind w:firstLine="851"/>
        <w:jc w:val="both"/>
        <w:rPr>
          <w:rFonts w:ascii="Times New Roman" w:eastAsia="Calibri" w:hAnsi="Times New Roman" w:cs="Times New Roman"/>
          <w:sz w:val="24"/>
          <w:szCs w:val="24"/>
        </w:rPr>
      </w:pPr>
      <w:proofErr w:type="spellStart"/>
      <w:r w:rsidRPr="00620297">
        <w:rPr>
          <w:rFonts w:ascii="Times New Roman" w:eastAsia="Calibri" w:hAnsi="Times New Roman" w:cs="Times New Roman"/>
          <w:sz w:val="24"/>
          <w:szCs w:val="24"/>
        </w:rPr>
        <w:t>Balticas</w:t>
      </w:r>
      <w:proofErr w:type="spellEnd"/>
      <w:r w:rsidRPr="00620297">
        <w:rPr>
          <w:rFonts w:ascii="Times New Roman" w:eastAsia="Calibri" w:hAnsi="Times New Roman" w:cs="Times New Roman"/>
          <w:sz w:val="24"/>
          <w:szCs w:val="24"/>
        </w:rPr>
        <w:t xml:space="preserve"> ezera</w:t>
      </w:r>
      <w:r w:rsidRPr="00A07F29">
        <w:rPr>
          <w:rFonts w:ascii="Times New Roman" w:eastAsia="Calibri" w:hAnsi="Times New Roman" w:cs="Times New Roman"/>
          <w:sz w:val="24"/>
          <w:szCs w:val="24"/>
        </w:rPr>
        <w:t xml:space="preserve"> R piekrastē sakritušo koku stumbru un zaru izvākšana uzlabos piekrastes struktūru </w:t>
      </w:r>
      <w:r w:rsidR="00700203">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samazināsies dūņu uzkrāšanās intensitāte piekrastē un ilgstošāk saglabāsies </w:t>
      </w:r>
      <w:proofErr w:type="spellStart"/>
      <w:r w:rsidRPr="00A07F29">
        <w:rPr>
          <w:rFonts w:ascii="Times New Roman" w:eastAsia="Calibri" w:hAnsi="Times New Roman" w:cs="Times New Roman"/>
          <w:sz w:val="24"/>
          <w:szCs w:val="24"/>
        </w:rPr>
        <w:t>nedaudzie</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minerālgrunts</w:t>
      </w:r>
      <w:proofErr w:type="spellEnd"/>
      <w:r w:rsidRPr="00A07F29">
        <w:rPr>
          <w:rFonts w:ascii="Times New Roman" w:eastAsia="Calibri" w:hAnsi="Times New Roman" w:cs="Times New Roman"/>
          <w:sz w:val="24"/>
          <w:szCs w:val="24"/>
        </w:rPr>
        <w:t xml:space="preserve"> posmi. Daži lielāko dimensiju koki ir atstājami kā slēptuves ūdensdzīvniekiem.</w:t>
      </w:r>
    </w:p>
    <w:p w14:paraId="1DD267EF" w14:textId="77777777" w:rsidR="00A21E83" w:rsidRPr="00A07F29" w:rsidRDefault="00A21E83" w:rsidP="00F8721D">
      <w:pPr>
        <w:spacing w:after="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Nevēlama parādība ir no slīkšņaina krasta atrauti nelieli slīkšņas gabali, kurus vējš piedzen arī pie R krasta. Sakritušie koki un zari veicina slīkšņas gabalu palikšanu. Slīkšņa nosedz </w:t>
      </w:r>
      <w:proofErr w:type="spellStart"/>
      <w:r w:rsidRPr="00A07F29">
        <w:rPr>
          <w:rFonts w:ascii="Times New Roman" w:eastAsia="Calibri" w:hAnsi="Times New Roman" w:cs="Times New Roman"/>
          <w:sz w:val="24"/>
          <w:szCs w:val="24"/>
        </w:rPr>
        <w:t>minerālgrunti</w:t>
      </w:r>
      <w:proofErr w:type="spellEnd"/>
      <w:r w:rsidRPr="00A07F29">
        <w:rPr>
          <w:rFonts w:ascii="Times New Roman" w:eastAsia="Calibri" w:hAnsi="Times New Roman" w:cs="Times New Roman"/>
          <w:sz w:val="24"/>
          <w:szCs w:val="24"/>
        </w:rPr>
        <w:t>, un uzsākas krasta pāraugšanas process.</w:t>
      </w:r>
    </w:p>
    <w:p w14:paraId="2BE9F898" w14:textId="753F317B" w:rsidR="00A21E83" w:rsidRPr="00A07F29" w:rsidRDefault="00A21E83" w:rsidP="00340783">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Iekritušos kokus iesakāms izvilkt no piekrastes, aizķerot ar trosēm,</w:t>
      </w:r>
      <w:r w:rsidR="00D65BBA" w:rsidRPr="00A07F29">
        <w:rPr>
          <w:rFonts w:ascii="Times New Roman" w:eastAsia="Calibri" w:hAnsi="Times New Roman" w:cs="Times New Roman"/>
          <w:sz w:val="24"/>
          <w:szCs w:val="24"/>
        </w:rPr>
        <w:t xml:space="preserve"> </w:t>
      </w:r>
      <w:r w:rsidRPr="00A07F29">
        <w:rPr>
          <w:rFonts w:ascii="Times New Roman" w:eastAsia="Calibri" w:hAnsi="Times New Roman" w:cs="Times New Roman"/>
          <w:sz w:val="24"/>
          <w:szCs w:val="24"/>
        </w:rPr>
        <w:t>ar rokas darba rīkiem,</w:t>
      </w:r>
      <w:r w:rsidR="7C5C62C8" w:rsidRPr="00A07F29">
        <w:rPr>
          <w:rFonts w:ascii="Times New Roman" w:eastAsia="Calibri" w:hAnsi="Times New Roman" w:cs="Times New Roman"/>
          <w:sz w:val="24"/>
          <w:szCs w:val="24"/>
        </w:rPr>
        <w:t xml:space="preserve"> </w:t>
      </w:r>
      <w:r w:rsidRPr="00A07F29">
        <w:rPr>
          <w:rFonts w:ascii="Times New Roman" w:eastAsia="Calibri" w:hAnsi="Times New Roman" w:cs="Times New Roman"/>
          <w:sz w:val="24"/>
          <w:szCs w:val="24"/>
        </w:rPr>
        <w:t>vai vietās, kur krasts ir piebraucams, ar mehāniskām vinčām. Darbošanās no ūdens puses, no plosta, varētu būt tehniski grūtāka. Vietās, kur pie ezera nav iespējams piebraukt, izvilktos kokus var atstāt turpat, krastā.</w:t>
      </w:r>
      <w:r w:rsidR="00C844F5" w:rsidRPr="00A07F29">
        <w:rPr>
          <w:rFonts w:ascii="Times New Roman" w:eastAsia="Calibri" w:hAnsi="Times New Roman" w:cs="Times New Roman"/>
          <w:sz w:val="24"/>
          <w:szCs w:val="24"/>
        </w:rPr>
        <w:t xml:space="preserve"> Piebraukšana u.c. darbības ezera krastā saskaņojamas ar meža zemes </w:t>
      </w:r>
      <w:proofErr w:type="spellStart"/>
      <w:r w:rsidR="00C844F5" w:rsidRPr="00A07F29">
        <w:rPr>
          <w:rFonts w:ascii="Times New Roman" w:eastAsia="Calibri" w:hAnsi="Times New Roman" w:cs="Times New Roman"/>
          <w:sz w:val="24"/>
          <w:szCs w:val="24"/>
        </w:rPr>
        <w:t>apsaimniekotāju</w:t>
      </w:r>
      <w:proofErr w:type="spellEnd"/>
      <w:r w:rsidR="00C844F5" w:rsidRPr="00A07F29">
        <w:rPr>
          <w:rFonts w:ascii="Times New Roman" w:eastAsia="Calibri" w:hAnsi="Times New Roman" w:cs="Times New Roman"/>
          <w:sz w:val="24"/>
          <w:szCs w:val="24"/>
        </w:rPr>
        <w:t xml:space="preserve"> – </w:t>
      </w:r>
      <w:r w:rsidR="00C25036" w:rsidRPr="00C25036">
        <w:rPr>
          <w:rFonts w:ascii="Times New Roman" w:eastAsia="Calibri" w:hAnsi="Times New Roman" w:cs="Times New Roman"/>
          <w:sz w:val="24"/>
          <w:szCs w:val="24"/>
        </w:rPr>
        <w:t>LVM</w:t>
      </w:r>
      <w:r w:rsidR="00C844F5" w:rsidRPr="00C25036">
        <w:rPr>
          <w:rFonts w:ascii="Times New Roman" w:eastAsia="Calibri" w:hAnsi="Times New Roman" w:cs="Times New Roman"/>
          <w:sz w:val="24"/>
          <w:szCs w:val="24"/>
        </w:rPr>
        <w:t>.</w:t>
      </w:r>
    </w:p>
    <w:p w14:paraId="7BBB93C5" w14:textId="6436EB1B" w:rsidR="00A21E83" w:rsidRPr="00A07F29" w:rsidRDefault="00A21E83" w:rsidP="00A55A80">
      <w:pPr>
        <w:keepNext/>
        <w:spacing w:before="240" w:after="120" w:line="240" w:lineRule="auto"/>
        <w:jc w:val="both"/>
        <w:rPr>
          <w:rFonts w:ascii="Times New Roman" w:eastAsia="Calibri" w:hAnsi="Times New Roman" w:cs="Times New Roman"/>
          <w:b/>
          <w:i/>
          <w:sz w:val="24"/>
          <w:szCs w:val="24"/>
        </w:rPr>
      </w:pPr>
      <w:r w:rsidRPr="00A07F29">
        <w:rPr>
          <w:rFonts w:ascii="Times New Roman" w:eastAsia="Calibri" w:hAnsi="Times New Roman" w:cs="Times New Roman"/>
          <w:b/>
          <w:i/>
          <w:sz w:val="24"/>
          <w:szCs w:val="24"/>
        </w:rPr>
        <w:t xml:space="preserve">B.1.2. </w:t>
      </w:r>
      <w:proofErr w:type="spellStart"/>
      <w:r w:rsidRPr="00A07F29">
        <w:rPr>
          <w:rFonts w:ascii="Times New Roman" w:eastAsia="Calibri" w:hAnsi="Times New Roman" w:cs="Times New Roman"/>
          <w:b/>
          <w:i/>
          <w:sz w:val="24"/>
          <w:szCs w:val="24"/>
        </w:rPr>
        <w:t>Balticas</w:t>
      </w:r>
      <w:proofErr w:type="spellEnd"/>
      <w:r w:rsidRPr="00A07F29">
        <w:rPr>
          <w:rFonts w:ascii="Times New Roman" w:eastAsia="Calibri" w:hAnsi="Times New Roman" w:cs="Times New Roman"/>
          <w:b/>
          <w:i/>
          <w:sz w:val="24"/>
          <w:szCs w:val="24"/>
        </w:rPr>
        <w:t xml:space="preserve"> ezerā </w:t>
      </w:r>
      <w:r w:rsidR="00C25036" w:rsidRPr="00C25036">
        <w:rPr>
          <w:rFonts w:ascii="Times New Roman" w:eastAsia="Calibri" w:hAnsi="Times New Roman" w:cs="Times New Roman"/>
          <w:b/>
          <w:i/>
          <w:sz w:val="24"/>
          <w:szCs w:val="24"/>
        </w:rPr>
        <w:t>A</w:t>
      </w:r>
      <w:r w:rsidRPr="00C25036">
        <w:rPr>
          <w:rFonts w:ascii="Times New Roman" w:eastAsia="Calibri" w:hAnsi="Times New Roman" w:cs="Times New Roman"/>
          <w:b/>
          <w:i/>
          <w:sz w:val="24"/>
          <w:szCs w:val="24"/>
        </w:rPr>
        <w:t xml:space="preserve"> k</w:t>
      </w:r>
      <w:r w:rsidRPr="00A07F29">
        <w:rPr>
          <w:rFonts w:ascii="Times New Roman" w:eastAsia="Calibri" w:hAnsi="Times New Roman" w:cs="Times New Roman"/>
          <w:b/>
          <w:i/>
          <w:sz w:val="24"/>
          <w:szCs w:val="24"/>
        </w:rPr>
        <w:t>rasta slīkšņas un krūmāja aizņemtās platības samazināšana un koku joslas izveidošana</w:t>
      </w:r>
    </w:p>
    <w:p w14:paraId="6620E93F" w14:textId="77777777" w:rsidR="00A21E83" w:rsidRPr="00A07F29" w:rsidRDefault="00A21E83" w:rsidP="00A21E83">
      <w:pPr>
        <w:spacing w:after="0" w:line="240" w:lineRule="auto"/>
        <w:jc w:val="both"/>
        <w:rPr>
          <w:rFonts w:ascii="Times New Roman" w:eastAsia="Calibri" w:hAnsi="Times New Roman" w:cs="Times New Roman"/>
          <w:sz w:val="24"/>
          <w:szCs w:val="24"/>
        </w:rPr>
      </w:pPr>
      <w:r w:rsidRPr="00A07F29">
        <w:rPr>
          <w:rFonts w:ascii="Times New Roman" w:eastAsia="Calibri" w:hAnsi="Times New Roman" w:cs="Times New Roman"/>
          <w:i/>
          <w:iCs/>
          <w:sz w:val="24"/>
          <w:szCs w:val="24"/>
        </w:rPr>
        <w:t>Mērķis</w:t>
      </w:r>
    </w:p>
    <w:p w14:paraId="17A0F952" w14:textId="61445FD3" w:rsidR="00A21E83" w:rsidRPr="00A07F29" w:rsidRDefault="00A21E83" w:rsidP="00340783">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Atjaunot </w:t>
      </w:r>
      <w:proofErr w:type="spellStart"/>
      <w:r w:rsidRPr="00A07F29">
        <w:rPr>
          <w:rFonts w:ascii="Times New Roman" w:eastAsia="Calibri" w:hAnsi="Times New Roman" w:cs="Times New Roman"/>
          <w:sz w:val="24"/>
          <w:szCs w:val="24"/>
        </w:rPr>
        <w:t>minerālgrunts</w:t>
      </w:r>
      <w:proofErr w:type="spellEnd"/>
      <w:r w:rsidRPr="00A07F29">
        <w:rPr>
          <w:rFonts w:ascii="Times New Roman" w:eastAsia="Calibri" w:hAnsi="Times New Roman" w:cs="Times New Roman"/>
          <w:sz w:val="24"/>
          <w:szCs w:val="24"/>
        </w:rPr>
        <w:t xml:space="preserve"> piekrasti apmēram 30 m posmā uz D no peldvietas un izveidot koku joslu krūmāja vietā, kas nodrošinātu daļēju noēnojumu piekrastē</w:t>
      </w:r>
      <w:r w:rsidR="00C244EF" w:rsidRPr="00A07F29">
        <w:rPr>
          <w:rFonts w:ascii="Times New Roman" w:eastAsia="Calibri" w:hAnsi="Times New Roman" w:cs="Times New Roman"/>
          <w:sz w:val="24"/>
          <w:szCs w:val="24"/>
        </w:rPr>
        <w:t xml:space="preserve"> (</w:t>
      </w:r>
      <w:r w:rsidR="005C2142">
        <w:rPr>
          <w:rFonts w:ascii="Times New Roman" w:eastAsia="Calibri" w:hAnsi="Times New Roman" w:cs="Times New Roman"/>
          <w:sz w:val="24"/>
          <w:szCs w:val="24"/>
        </w:rPr>
        <w:t xml:space="preserve">skat. </w:t>
      </w:r>
      <w:r w:rsidR="00C244EF" w:rsidRPr="00A07F29">
        <w:rPr>
          <w:rFonts w:ascii="Times New Roman" w:eastAsia="Calibri" w:hAnsi="Times New Roman" w:cs="Times New Roman"/>
          <w:sz w:val="24"/>
          <w:szCs w:val="24"/>
        </w:rPr>
        <w:t>5.3.</w:t>
      </w:r>
      <w:r w:rsidR="005C2142">
        <w:rPr>
          <w:rFonts w:ascii="Times New Roman" w:eastAsia="Calibri" w:hAnsi="Times New Roman" w:cs="Times New Roman"/>
          <w:sz w:val="24"/>
          <w:szCs w:val="24"/>
        </w:rPr>
        <w:t>3</w:t>
      </w:r>
      <w:r w:rsidR="00C244EF" w:rsidRPr="00A07F29">
        <w:rPr>
          <w:rFonts w:ascii="Times New Roman" w:eastAsia="Calibri" w:hAnsi="Times New Roman" w:cs="Times New Roman"/>
          <w:sz w:val="24"/>
          <w:szCs w:val="24"/>
        </w:rPr>
        <w:t>.</w:t>
      </w:r>
      <w:r w:rsidR="005C2142">
        <w:rPr>
          <w:rFonts w:ascii="Times New Roman" w:eastAsia="Calibri" w:hAnsi="Times New Roman" w:cs="Times New Roman"/>
          <w:sz w:val="24"/>
          <w:szCs w:val="24"/>
        </w:rPr>
        <w:t> </w:t>
      </w:r>
      <w:r w:rsidR="00C244EF" w:rsidRPr="00A07F29">
        <w:rPr>
          <w:rFonts w:ascii="Times New Roman" w:eastAsia="Calibri" w:hAnsi="Times New Roman" w:cs="Times New Roman"/>
          <w:sz w:val="24"/>
          <w:szCs w:val="24"/>
        </w:rPr>
        <w:t>att</w:t>
      </w:r>
      <w:r w:rsidR="005C2142">
        <w:rPr>
          <w:rFonts w:ascii="Times New Roman" w:eastAsia="Calibri" w:hAnsi="Times New Roman" w:cs="Times New Roman"/>
          <w:sz w:val="24"/>
          <w:szCs w:val="24"/>
        </w:rPr>
        <w:t>ēls</w:t>
      </w:r>
      <w:r w:rsidR="00C244EF" w:rsidRPr="00A07F29">
        <w:rPr>
          <w:rFonts w:ascii="Times New Roman" w:eastAsia="Calibri" w:hAnsi="Times New Roman" w:cs="Times New Roman"/>
          <w:sz w:val="24"/>
          <w:szCs w:val="24"/>
        </w:rPr>
        <w:t>)</w:t>
      </w:r>
      <w:r w:rsidRPr="00A07F29">
        <w:rPr>
          <w:rFonts w:ascii="Times New Roman" w:eastAsia="Calibri" w:hAnsi="Times New Roman" w:cs="Times New Roman"/>
          <w:sz w:val="24"/>
          <w:szCs w:val="24"/>
        </w:rPr>
        <w:t>.</w:t>
      </w:r>
    </w:p>
    <w:p w14:paraId="158973B1" w14:textId="77777777" w:rsidR="00A21E83" w:rsidRPr="00A07F29" w:rsidRDefault="00A21E83" w:rsidP="00A21E83">
      <w:pPr>
        <w:spacing w:after="0" w:line="240" w:lineRule="auto"/>
        <w:jc w:val="both"/>
        <w:rPr>
          <w:rFonts w:ascii="Times New Roman" w:eastAsia="Calibri" w:hAnsi="Times New Roman" w:cs="Times New Roman"/>
          <w:i/>
          <w:iCs/>
          <w:sz w:val="24"/>
          <w:szCs w:val="24"/>
        </w:rPr>
      </w:pPr>
      <w:r w:rsidRPr="00A07F29">
        <w:rPr>
          <w:rFonts w:ascii="Times New Roman" w:eastAsia="Calibri" w:hAnsi="Times New Roman" w:cs="Times New Roman"/>
          <w:i/>
          <w:iCs/>
          <w:sz w:val="24"/>
          <w:szCs w:val="24"/>
        </w:rPr>
        <w:t>Pasākuma apraksts, nosacījumi pasākuma veikšanai, ieteicamie tehniskie paņēmieni</w:t>
      </w:r>
    </w:p>
    <w:p w14:paraId="21F0C681" w14:textId="15947BB7" w:rsidR="001470B7" w:rsidRPr="00A07F29" w:rsidRDefault="001470B7" w:rsidP="001470B7">
      <w:pPr>
        <w:spacing w:after="0" w:line="240" w:lineRule="auto"/>
        <w:ind w:firstLine="851"/>
        <w:jc w:val="both"/>
      </w:pPr>
      <w:r w:rsidRPr="00A07F29">
        <w:rPr>
          <w:rFonts w:ascii="Times New Roman" w:eastAsia="Calibri" w:hAnsi="Times New Roman" w:cs="Times New Roman"/>
          <w:sz w:val="24"/>
          <w:szCs w:val="24"/>
        </w:rPr>
        <w:t xml:space="preserve">A krastā, D no peldvietas apmēram 30 m posmā šobrīd ir pārauguša krasta posms. </w:t>
      </w:r>
      <w:proofErr w:type="spellStart"/>
      <w:r w:rsidRPr="00A07F29">
        <w:rPr>
          <w:rFonts w:ascii="Times New Roman" w:eastAsia="Calibri" w:hAnsi="Times New Roman" w:cs="Times New Roman"/>
          <w:sz w:val="24"/>
          <w:szCs w:val="24"/>
        </w:rPr>
        <w:t>Pārauguma</w:t>
      </w:r>
      <w:proofErr w:type="spellEnd"/>
      <w:r w:rsidRPr="00A07F29">
        <w:rPr>
          <w:rFonts w:ascii="Times New Roman" w:eastAsia="Calibri" w:hAnsi="Times New Roman" w:cs="Times New Roman"/>
          <w:sz w:val="24"/>
          <w:szCs w:val="24"/>
        </w:rPr>
        <w:t xml:space="preserve"> joslas platums ir 5</w:t>
      </w:r>
      <w:r w:rsidR="001D5453">
        <w:rPr>
          <w:rFonts w:ascii="Times New Roman" w:eastAsia="Calibri" w:hAnsi="Times New Roman" w:cs="Times New Roman"/>
          <w:sz w:val="24"/>
          <w:szCs w:val="24"/>
        </w:rPr>
        <w:t> – </w:t>
      </w:r>
      <w:r w:rsidRPr="00A07F29">
        <w:rPr>
          <w:rFonts w:ascii="Times New Roman" w:eastAsia="Calibri" w:hAnsi="Times New Roman" w:cs="Times New Roman"/>
          <w:sz w:val="24"/>
          <w:szCs w:val="24"/>
        </w:rPr>
        <w:t xml:space="preserve">10 m. Noņemot un izvedot slīkšņu (uz netālu esošo lauksaimniecības zemi), šajā posmā ir iespējams atjaunot </w:t>
      </w:r>
      <w:proofErr w:type="spellStart"/>
      <w:r w:rsidRPr="00A07F29">
        <w:rPr>
          <w:rFonts w:ascii="Times New Roman" w:eastAsia="Calibri" w:hAnsi="Times New Roman" w:cs="Times New Roman"/>
          <w:sz w:val="24"/>
          <w:szCs w:val="24"/>
        </w:rPr>
        <w:t>minerālgrunts</w:t>
      </w:r>
      <w:proofErr w:type="spellEnd"/>
      <w:r w:rsidRPr="00A07F29">
        <w:rPr>
          <w:rFonts w:ascii="Times New Roman" w:eastAsia="Calibri" w:hAnsi="Times New Roman" w:cs="Times New Roman"/>
          <w:sz w:val="24"/>
          <w:szCs w:val="24"/>
        </w:rPr>
        <w:t xml:space="preserve"> piekrasti, kas kopumā ezerā ir sastopama maz. </w:t>
      </w:r>
      <w:r w:rsidRPr="00A07F29">
        <w:rPr>
          <w:rFonts w:ascii="Times New Roman" w:hAnsi="Times New Roman" w:cs="Times New Roman"/>
          <w:sz w:val="24"/>
          <w:szCs w:val="24"/>
        </w:rPr>
        <w:t>Piebraukšana ar tehniku – no viensētas puses.</w:t>
      </w:r>
      <w:r w:rsidRPr="00A07F29">
        <w:rPr>
          <w:rFonts w:ascii="Times New Roman" w:eastAsia="Calibri" w:hAnsi="Times New Roman" w:cs="Times New Roman"/>
          <w:sz w:val="24"/>
          <w:szCs w:val="24"/>
        </w:rPr>
        <w:t xml:space="preserve"> </w:t>
      </w:r>
    </w:p>
    <w:p w14:paraId="460F2CF1" w14:textId="2CFBF537" w:rsidR="001470B7" w:rsidRPr="00A07F29" w:rsidRDefault="001470B7" w:rsidP="001470B7">
      <w:pPr>
        <w:spacing w:after="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Krastā saaugušo krūmāju (melnalkšņi, bērzi) vēlams izkopt, pārveidojot par koku joslu, lai veidotos spēcīgi vainagi, kas nodrošinātu daļēju noēnojumu piekrastei un kavētu piekrastes aizaugšanu ar </w:t>
      </w:r>
      <w:proofErr w:type="spellStart"/>
      <w:r w:rsidRPr="00A07F29">
        <w:rPr>
          <w:rFonts w:ascii="Times New Roman" w:eastAsia="Calibri" w:hAnsi="Times New Roman" w:cs="Times New Roman"/>
          <w:sz w:val="24"/>
          <w:szCs w:val="24"/>
        </w:rPr>
        <w:t>virsūdens</w:t>
      </w:r>
      <w:proofErr w:type="spellEnd"/>
      <w:r w:rsidRPr="00A07F29">
        <w:rPr>
          <w:rFonts w:ascii="Times New Roman" w:eastAsia="Calibri" w:hAnsi="Times New Roman" w:cs="Times New Roman"/>
          <w:sz w:val="24"/>
          <w:szCs w:val="24"/>
        </w:rPr>
        <w:t xml:space="preserve"> augāju. Koku joslas izkopšanu uzsākt pēc </w:t>
      </w:r>
      <w:proofErr w:type="spellStart"/>
      <w:r w:rsidRPr="00A07F29">
        <w:rPr>
          <w:rFonts w:ascii="Times New Roman" w:eastAsia="Calibri" w:hAnsi="Times New Roman" w:cs="Times New Roman"/>
          <w:sz w:val="24"/>
          <w:szCs w:val="24"/>
        </w:rPr>
        <w:t>pārauguma</w:t>
      </w:r>
      <w:proofErr w:type="spellEnd"/>
      <w:r w:rsidRPr="00A07F29">
        <w:rPr>
          <w:rFonts w:ascii="Times New Roman" w:eastAsia="Calibri" w:hAnsi="Times New Roman" w:cs="Times New Roman"/>
          <w:sz w:val="24"/>
          <w:szCs w:val="24"/>
        </w:rPr>
        <w:t xml:space="preserve"> noņemšanas, jo </w:t>
      </w:r>
      <w:proofErr w:type="spellStart"/>
      <w:r w:rsidRPr="00A07F29">
        <w:rPr>
          <w:rFonts w:ascii="Times New Roman" w:eastAsia="Calibri" w:hAnsi="Times New Roman" w:cs="Times New Roman"/>
          <w:sz w:val="24"/>
          <w:szCs w:val="24"/>
        </w:rPr>
        <w:t>pārauguma</w:t>
      </w:r>
      <w:proofErr w:type="spellEnd"/>
      <w:r w:rsidRPr="00A07F29">
        <w:rPr>
          <w:rFonts w:ascii="Times New Roman" w:eastAsia="Calibri" w:hAnsi="Times New Roman" w:cs="Times New Roman"/>
          <w:sz w:val="24"/>
          <w:szCs w:val="24"/>
        </w:rPr>
        <w:t xml:space="preserve"> noņemšanas gaitā krasta augājs var tikt bojāts.</w:t>
      </w:r>
    </w:p>
    <w:p w14:paraId="7C11542F" w14:textId="0D6E9110" w:rsidR="00A21E83" w:rsidRPr="00A07F29" w:rsidRDefault="00A21E83" w:rsidP="00340783">
      <w:pPr>
        <w:spacing w:after="120" w:line="240" w:lineRule="auto"/>
        <w:ind w:firstLine="851"/>
        <w:jc w:val="both"/>
        <w:rPr>
          <w:rFonts w:ascii="Times New Roman" w:eastAsia="Calibri" w:hAnsi="Times New Roman" w:cs="Times New Roman"/>
          <w:sz w:val="24"/>
          <w:szCs w:val="24"/>
        </w:rPr>
      </w:pPr>
      <w:proofErr w:type="spellStart"/>
      <w:r w:rsidRPr="00A07F29">
        <w:rPr>
          <w:rFonts w:ascii="Times New Roman" w:eastAsia="Calibri" w:hAnsi="Times New Roman" w:cs="Times New Roman"/>
          <w:sz w:val="24"/>
          <w:szCs w:val="24"/>
        </w:rPr>
        <w:lastRenderedPageBreak/>
        <w:t>Pāraugumu</w:t>
      </w:r>
      <w:proofErr w:type="spellEnd"/>
      <w:r w:rsidRPr="00A07F29">
        <w:rPr>
          <w:rFonts w:ascii="Times New Roman" w:eastAsia="Calibri" w:hAnsi="Times New Roman" w:cs="Times New Roman"/>
          <w:sz w:val="24"/>
          <w:szCs w:val="24"/>
        </w:rPr>
        <w:t xml:space="preserve"> var noņemt ar </w:t>
      </w:r>
      <w:proofErr w:type="spellStart"/>
      <w:r w:rsidRPr="00A07F29">
        <w:rPr>
          <w:rFonts w:ascii="Times New Roman" w:eastAsia="Calibri" w:hAnsi="Times New Roman" w:cs="Times New Roman"/>
          <w:sz w:val="24"/>
          <w:szCs w:val="24"/>
        </w:rPr>
        <w:t>ekskavēšanu</w:t>
      </w:r>
      <w:proofErr w:type="spellEnd"/>
      <w:r w:rsidRPr="00A07F29">
        <w:rPr>
          <w:rFonts w:ascii="Times New Roman" w:eastAsia="Calibri" w:hAnsi="Times New Roman" w:cs="Times New Roman"/>
          <w:sz w:val="24"/>
          <w:szCs w:val="24"/>
        </w:rPr>
        <w:t xml:space="preserve"> no krasta. Noņemšanu jāsāk no krasta puses, krastam paralēlās joslās, lai pēc iespējas samazinātu </w:t>
      </w:r>
      <w:proofErr w:type="spellStart"/>
      <w:r w:rsidRPr="00A07F29">
        <w:rPr>
          <w:rFonts w:ascii="Times New Roman" w:eastAsia="Calibri" w:hAnsi="Times New Roman" w:cs="Times New Roman"/>
          <w:sz w:val="24"/>
          <w:szCs w:val="24"/>
        </w:rPr>
        <w:t>uzduļķojuma</w:t>
      </w:r>
      <w:proofErr w:type="spellEnd"/>
      <w:r w:rsidRPr="00A07F29">
        <w:rPr>
          <w:rFonts w:ascii="Times New Roman" w:eastAsia="Calibri" w:hAnsi="Times New Roman" w:cs="Times New Roman"/>
          <w:sz w:val="24"/>
          <w:szCs w:val="24"/>
        </w:rPr>
        <w:t xml:space="preserve"> nokļūšanu ezerā. Pasākums ir veicams vasaras beigu </w:t>
      </w:r>
      <w:r w:rsidR="00F468A3">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rudens sākuma </w:t>
      </w:r>
      <w:proofErr w:type="spellStart"/>
      <w:r w:rsidRPr="00A07F29">
        <w:rPr>
          <w:rFonts w:ascii="Times New Roman" w:eastAsia="Calibri" w:hAnsi="Times New Roman" w:cs="Times New Roman"/>
          <w:sz w:val="24"/>
          <w:szCs w:val="24"/>
        </w:rPr>
        <w:t>mazūdens</w:t>
      </w:r>
      <w:proofErr w:type="spellEnd"/>
      <w:r w:rsidRPr="00A07F29">
        <w:rPr>
          <w:rFonts w:ascii="Times New Roman" w:eastAsia="Calibri" w:hAnsi="Times New Roman" w:cs="Times New Roman"/>
          <w:sz w:val="24"/>
          <w:szCs w:val="24"/>
        </w:rPr>
        <w:t xml:space="preserve"> periodā.</w:t>
      </w:r>
      <w:r w:rsidR="006D4B4A" w:rsidRPr="00A07F29">
        <w:t xml:space="preserve"> </w:t>
      </w:r>
      <w:proofErr w:type="spellStart"/>
      <w:r w:rsidR="006D4B4A" w:rsidRPr="00A07F29">
        <w:rPr>
          <w:rFonts w:ascii="Times New Roman" w:eastAsia="Calibri" w:hAnsi="Times New Roman" w:cs="Times New Roman"/>
          <w:sz w:val="24"/>
          <w:szCs w:val="24"/>
        </w:rPr>
        <w:t>Balticas</w:t>
      </w:r>
      <w:proofErr w:type="spellEnd"/>
      <w:r w:rsidR="006D4B4A" w:rsidRPr="00A07F29">
        <w:rPr>
          <w:rFonts w:ascii="Times New Roman" w:eastAsia="Calibri" w:hAnsi="Times New Roman" w:cs="Times New Roman"/>
          <w:sz w:val="24"/>
          <w:szCs w:val="24"/>
        </w:rPr>
        <w:t xml:space="preserve"> ezers ir nozīmīgs AAA ezers, un tā biotopa kvalitāti ir svarīgi uzlabot. Situācijā, ja slīkšņā būtu konstatētas aizsargājamās sugas, tiktu vērtētas aizsardzības prioritātes. Pasākums paredzēts vietās, kur aizsargājamas sugas nav konstatētas (pēdējo gadu izpētē).</w:t>
      </w:r>
    </w:p>
    <w:p w14:paraId="3FD78AC8" w14:textId="77777777" w:rsidR="00A21E83" w:rsidRPr="00A07F29" w:rsidRDefault="00A21E83" w:rsidP="007A435B">
      <w:pPr>
        <w:keepNext/>
        <w:spacing w:before="240" w:after="120" w:line="240" w:lineRule="auto"/>
        <w:jc w:val="both"/>
        <w:rPr>
          <w:rFonts w:ascii="Times New Roman" w:eastAsia="Calibri" w:hAnsi="Times New Roman" w:cs="Times New Roman"/>
          <w:b/>
          <w:i/>
          <w:sz w:val="24"/>
          <w:szCs w:val="24"/>
        </w:rPr>
      </w:pPr>
      <w:r w:rsidRPr="00A07F29">
        <w:rPr>
          <w:rFonts w:ascii="Times New Roman" w:eastAsia="Calibri" w:hAnsi="Times New Roman" w:cs="Times New Roman"/>
          <w:b/>
          <w:i/>
          <w:sz w:val="24"/>
          <w:szCs w:val="24"/>
        </w:rPr>
        <w:t xml:space="preserve">B.1.3. Avotu ūdeņu pieplūdes nodrošināšana </w:t>
      </w:r>
      <w:proofErr w:type="spellStart"/>
      <w:r w:rsidRPr="00A07F29">
        <w:rPr>
          <w:rFonts w:ascii="Times New Roman" w:eastAsia="Calibri" w:hAnsi="Times New Roman" w:cs="Times New Roman"/>
          <w:b/>
          <w:i/>
          <w:sz w:val="24"/>
          <w:szCs w:val="24"/>
        </w:rPr>
        <w:t>Balticas</w:t>
      </w:r>
      <w:proofErr w:type="spellEnd"/>
      <w:r w:rsidRPr="00A07F29">
        <w:rPr>
          <w:rFonts w:ascii="Times New Roman" w:eastAsia="Calibri" w:hAnsi="Times New Roman" w:cs="Times New Roman"/>
          <w:b/>
          <w:i/>
          <w:sz w:val="24"/>
          <w:szCs w:val="24"/>
        </w:rPr>
        <w:t xml:space="preserve"> ezerā no sateces baseina</w:t>
      </w:r>
    </w:p>
    <w:p w14:paraId="4AF3F04D" w14:textId="77777777" w:rsidR="00A21E83" w:rsidRPr="00A07F29" w:rsidRDefault="00A21E83" w:rsidP="007A435B">
      <w:pPr>
        <w:keepNext/>
        <w:spacing w:after="0" w:line="240" w:lineRule="auto"/>
        <w:jc w:val="both"/>
        <w:rPr>
          <w:rFonts w:ascii="Times New Roman" w:eastAsia="Calibri" w:hAnsi="Times New Roman" w:cs="Times New Roman"/>
          <w:sz w:val="24"/>
          <w:szCs w:val="24"/>
        </w:rPr>
      </w:pPr>
      <w:r w:rsidRPr="00A07F29">
        <w:rPr>
          <w:rFonts w:ascii="Times New Roman" w:eastAsia="Calibri" w:hAnsi="Times New Roman" w:cs="Times New Roman"/>
          <w:i/>
          <w:iCs/>
          <w:sz w:val="24"/>
          <w:szCs w:val="24"/>
        </w:rPr>
        <w:t>Mērķis</w:t>
      </w:r>
    </w:p>
    <w:p w14:paraId="0B56850E" w14:textId="01AE6BD9" w:rsidR="00A21E83" w:rsidRPr="00A07F29" w:rsidRDefault="00A21E83" w:rsidP="00340783">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Saglabāt brīvu avotu ūdeņu pieplūdi ezera D galā, samazinot slīkšņas aizņemto platību ezera D gala sašaurinājumā. Nodrošināt R krasta avota strauta ūdeņu pieplūdi ezeram, attīrot strauta gultni no kritalām</w:t>
      </w:r>
      <w:r w:rsidR="00C244EF" w:rsidRPr="00A07F29">
        <w:rPr>
          <w:rFonts w:ascii="Times New Roman" w:eastAsia="Calibri" w:hAnsi="Times New Roman" w:cs="Times New Roman"/>
          <w:sz w:val="24"/>
          <w:szCs w:val="24"/>
        </w:rPr>
        <w:t xml:space="preserve"> (</w:t>
      </w:r>
      <w:r w:rsidR="005C1924">
        <w:rPr>
          <w:rFonts w:ascii="Times New Roman" w:eastAsia="Calibri" w:hAnsi="Times New Roman" w:cs="Times New Roman"/>
          <w:sz w:val="24"/>
          <w:szCs w:val="24"/>
        </w:rPr>
        <w:t xml:space="preserve">skat. </w:t>
      </w:r>
      <w:r w:rsidR="00C244EF" w:rsidRPr="00A07F29">
        <w:rPr>
          <w:rFonts w:ascii="Times New Roman" w:eastAsia="Calibri" w:hAnsi="Times New Roman" w:cs="Times New Roman"/>
          <w:sz w:val="24"/>
          <w:szCs w:val="24"/>
        </w:rPr>
        <w:t>5.3.</w:t>
      </w:r>
      <w:r w:rsidR="005C1924">
        <w:rPr>
          <w:rFonts w:ascii="Times New Roman" w:eastAsia="Calibri" w:hAnsi="Times New Roman" w:cs="Times New Roman"/>
          <w:sz w:val="24"/>
          <w:szCs w:val="24"/>
        </w:rPr>
        <w:t>3</w:t>
      </w:r>
      <w:r w:rsidR="00C244EF" w:rsidRPr="00A07F29">
        <w:rPr>
          <w:rFonts w:ascii="Times New Roman" w:eastAsia="Calibri" w:hAnsi="Times New Roman" w:cs="Times New Roman"/>
          <w:sz w:val="24"/>
          <w:szCs w:val="24"/>
        </w:rPr>
        <w:t>.</w:t>
      </w:r>
      <w:r w:rsidR="005C1924">
        <w:rPr>
          <w:rFonts w:ascii="Times New Roman" w:eastAsia="Calibri" w:hAnsi="Times New Roman" w:cs="Times New Roman"/>
          <w:sz w:val="24"/>
          <w:szCs w:val="24"/>
        </w:rPr>
        <w:t> </w:t>
      </w:r>
      <w:r w:rsidR="00C244EF" w:rsidRPr="00A07F29">
        <w:rPr>
          <w:rFonts w:ascii="Times New Roman" w:eastAsia="Calibri" w:hAnsi="Times New Roman" w:cs="Times New Roman"/>
          <w:sz w:val="24"/>
          <w:szCs w:val="24"/>
        </w:rPr>
        <w:t>att</w:t>
      </w:r>
      <w:r w:rsidR="005C1924">
        <w:rPr>
          <w:rFonts w:ascii="Times New Roman" w:eastAsia="Calibri" w:hAnsi="Times New Roman" w:cs="Times New Roman"/>
          <w:sz w:val="24"/>
          <w:szCs w:val="24"/>
        </w:rPr>
        <w:t>ēls</w:t>
      </w:r>
      <w:r w:rsidR="00C244EF" w:rsidRPr="00A07F29">
        <w:rPr>
          <w:rFonts w:ascii="Times New Roman" w:eastAsia="Calibri" w:hAnsi="Times New Roman" w:cs="Times New Roman"/>
          <w:sz w:val="24"/>
          <w:szCs w:val="24"/>
        </w:rPr>
        <w:t>)</w:t>
      </w:r>
      <w:r w:rsidRPr="00A07F29">
        <w:rPr>
          <w:rFonts w:ascii="Times New Roman" w:eastAsia="Calibri" w:hAnsi="Times New Roman" w:cs="Times New Roman"/>
          <w:sz w:val="24"/>
          <w:szCs w:val="24"/>
        </w:rPr>
        <w:t>.</w:t>
      </w:r>
    </w:p>
    <w:p w14:paraId="113B1DB7" w14:textId="77777777" w:rsidR="00A21E83" w:rsidRPr="00A07F29" w:rsidRDefault="00A21E83" w:rsidP="00A21E83">
      <w:pPr>
        <w:spacing w:after="0" w:line="240" w:lineRule="auto"/>
        <w:jc w:val="both"/>
        <w:rPr>
          <w:rFonts w:ascii="Times New Roman" w:eastAsia="Calibri" w:hAnsi="Times New Roman" w:cs="Times New Roman"/>
          <w:i/>
          <w:iCs/>
          <w:sz w:val="24"/>
          <w:szCs w:val="24"/>
        </w:rPr>
      </w:pPr>
      <w:r w:rsidRPr="00A07F29">
        <w:rPr>
          <w:rFonts w:ascii="Times New Roman" w:eastAsia="Calibri" w:hAnsi="Times New Roman" w:cs="Times New Roman"/>
          <w:i/>
          <w:iCs/>
          <w:sz w:val="24"/>
          <w:szCs w:val="24"/>
        </w:rPr>
        <w:t>Pasākuma apraksts, nosacījumi pasākuma veikšanai, ieteicamie tehniskie paņēmieni</w:t>
      </w:r>
    </w:p>
    <w:p w14:paraId="23EFAEBA" w14:textId="0D08A0F4" w:rsidR="00A21E83" w:rsidRPr="00A07F29" w:rsidRDefault="00A21E83" w:rsidP="002E4629">
      <w:pPr>
        <w:spacing w:after="0" w:line="240" w:lineRule="auto"/>
        <w:ind w:firstLine="851"/>
        <w:jc w:val="both"/>
        <w:rPr>
          <w:rFonts w:ascii="Times New Roman" w:eastAsia="Calibri" w:hAnsi="Times New Roman" w:cs="Times New Roman"/>
          <w:sz w:val="24"/>
          <w:szCs w:val="24"/>
        </w:rPr>
      </w:pPr>
      <w:proofErr w:type="spellStart"/>
      <w:r w:rsidRPr="00A07F29">
        <w:rPr>
          <w:rFonts w:ascii="Times New Roman" w:eastAsia="Calibri" w:hAnsi="Times New Roman" w:cs="Times New Roman"/>
          <w:sz w:val="24"/>
          <w:szCs w:val="24"/>
        </w:rPr>
        <w:t>Balticas</w:t>
      </w:r>
      <w:proofErr w:type="spellEnd"/>
      <w:r w:rsidRPr="00A07F29">
        <w:rPr>
          <w:rFonts w:ascii="Times New Roman" w:eastAsia="Calibri" w:hAnsi="Times New Roman" w:cs="Times New Roman"/>
          <w:sz w:val="24"/>
          <w:szCs w:val="24"/>
        </w:rPr>
        <w:t xml:space="preserve"> ezera D gala sašaurinājumam, pa kuru ezerā ieplūst D krasta avotu strauta ūdeņi, ir tendence pamazām pāraugt, no abām pusēm pieaugot slīkšņu aizņemtai platībai. </w:t>
      </w:r>
      <w:proofErr w:type="spellStart"/>
      <w:r w:rsidRPr="00A07F29">
        <w:rPr>
          <w:rFonts w:ascii="Times New Roman" w:eastAsia="Calibri" w:hAnsi="Times New Roman" w:cs="Times New Roman"/>
          <w:sz w:val="24"/>
          <w:szCs w:val="24"/>
        </w:rPr>
        <w:t>Biogēnu</w:t>
      </w:r>
      <w:proofErr w:type="spellEnd"/>
      <w:r w:rsidRPr="00A07F29">
        <w:rPr>
          <w:rFonts w:ascii="Times New Roman" w:eastAsia="Calibri" w:hAnsi="Times New Roman" w:cs="Times New Roman"/>
          <w:sz w:val="24"/>
          <w:szCs w:val="24"/>
        </w:rPr>
        <w:t xml:space="preserve"> koncentrācijas avotu strautu ūdenī uzrādījās mazas, tādēļ ir vēlams saglabāt un veicināt avotu ūdeņu brīvu pieplūdi ezeram. Lai novērstu slīkšņu platības pieaugumu un šaurā D gala iespējamo pāraugšanu, kas traucētu avotu ūdeņu pieplūdi, vēlams vietām mazināt krasta </w:t>
      </w:r>
      <w:proofErr w:type="spellStart"/>
      <w:r w:rsidRPr="00A07F29">
        <w:rPr>
          <w:rFonts w:ascii="Times New Roman" w:eastAsia="Calibri" w:hAnsi="Times New Roman" w:cs="Times New Roman"/>
          <w:sz w:val="24"/>
          <w:szCs w:val="24"/>
        </w:rPr>
        <w:t>pāraugumu</w:t>
      </w:r>
      <w:proofErr w:type="spellEnd"/>
      <w:r w:rsidRPr="00A07F29">
        <w:rPr>
          <w:rFonts w:ascii="Times New Roman" w:eastAsia="Calibri" w:hAnsi="Times New Roman" w:cs="Times New Roman"/>
          <w:sz w:val="24"/>
          <w:szCs w:val="24"/>
        </w:rPr>
        <w:t xml:space="preserve">. Pasākums ir attiecināms uz šauro, ap 100 m garo D galu </w:t>
      </w:r>
      <w:r w:rsidR="00F93D83">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no avotu strauta ietekas vietas līdz ezera plašākās un dziļākās zonas sākumam. </w:t>
      </w:r>
      <w:proofErr w:type="spellStart"/>
      <w:r w:rsidRPr="00A07F29">
        <w:rPr>
          <w:rFonts w:ascii="Times New Roman" w:eastAsia="Calibri" w:hAnsi="Times New Roman" w:cs="Times New Roman"/>
          <w:sz w:val="24"/>
          <w:szCs w:val="24"/>
        </w:rPr>
        <w:t>Lēzela</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lipares</w:t>
      </w:r>
      <w:proofErr w:type="spellEnd"/>
      <w:r w:rsidRPr="00A07F29">
        <w:rPr>
          <w:rFonts w:ascii="Times New Roman" w:eastAsia="Calibri" w:hAnsi="Times New Roman" w:cs="Times New Roman"/>
          <w:sz w:val="24"/>
          <w:szCs w:val="24"/>
        </w:rPr>
        <w:t xml:space="preserve"> dzīvotne uz ezera D daļas slīkšņas malas atrodas ārpus pasākuma vietas.</w:t>
      </w:r>
      <w:r w:rsidR="006D4B4A" w:rsidRPr="00A07F29">
        <w:t xml:space="preserve"> </w:t>
      </w:r>
      <w:proofErr w:type="spellStart"/>
      <w:r w:rsidR="006D4B4A" w:rsidRPr="00A07F29">
        <w:rPr>
          <w:rFonts w:ascii="Times New Roman" w:eastAsia="Calibri" w:hAnsi="Times New Roman" w:cs="Times New Roman"/>
          <w:sz w:val="24"/>
          <w:szCs w:val="24"/>
        </w:rPr>
        <w:t>Balticas</w:t>
      </w:r>
      <w:proofErr w:type="spellEnd"/>
      <w:r w:rsidR="006D4B4A" w:rsidRPr="00A07F29">
        <w:rPr>
          <w:rFonts w:ascii="Times New Roman" w:eastAsia="Calibri" w:hAnsi="Times New Roman" w:cs="Times New Roman"/>
          <w:sz w:val="24"/>
          <w:szCs w:val="24"/>
        </w:rPr>
        <w:t xml:space="preserve"> ezers ir nozīmīgs AAA ezers, un tā biotopa kvalitāti ir svarīgi uzlabot. Situācijā, ja slīkšņā būtu konstatētas aizsargājamās sugas, tiktu vērtētas aizsardzības prioritātes. Pasākums paredzēts vietās, kur aizsargājamas sugas nav konstatētas (pēdējo gadu izpētē).</w:t>
      </w:r>
    </w:p>
    <w:p w14:paraId="621A4EF6" w14:textId="7392D490" w:rsidR="001F3DA9" w:rsidRPr="00A07F29" w:rsidRDefault="001F3DA9" w:rsidP="001F3DA9">
      <w:pPr>
        <w:spacing w:after="0" w:line="240" w:lineRule="auto"/>
        <w:ind w:firstLine="851"/>
        <w:jc w:val="both"/>
      </w:pPr>
      <w:r w:rsidRPr="00A07F29">
        <w:rPr>
          <w:rFonts w:ascii="Times New Roman" w:eastAsia="Calibri" w:hAnsi="Times New Roman" w:cs="Times New Roman"/>
          <w:sz w:val="24"/>
          <w:szCs w:val="24"/>
        </w:rPr>
        <w:t xml:space="preserve">Veicot pasākumu, nav pieļaujama ezera padziļināšana un iegrimušā augāja izņemšana. Pasākums ir veicams vasaras beigu </w:t>
      </w:r>
      <w:r w:rsidR="006E2EDC">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rudens sākuma </w:t>
      </w:r>
      <w:proofErr w:type="spellStart"/>
      <w:r w:rsidRPr="00A07F29">
        <w:rPr>
          <w:rFonts w:ascii="Times New Roman" w:eastAsia="Calibri" w:hAnsi="Times New Roman" w:cs="Times New Roman"/>
          <w:sz w:val="24"/>
          <w:szCs w:val="24"/>
        </w:rPr>
        <w:t>mazūdens</w:t>
      </w:r>
      <w:proofErr w:type="spellEnd"/>
      <w:r w:rsidRPr="00A07F29">
        <w:rPr>
          <w:rFonts w:ascii="Times New Roman" w:eastAsia="Calibri" w:hAnsi="Times New Roman" w:cs="Times New Roman"/>
          <w:sz w:val="24"/>
          <w:szCs w:val="24"/>
        </w:rPr>
        <w:t xml:space="preserve"> periodā. </w:t>
      </w:r>
      <w:proofErr w:type="spellStart"/>
      <w:r w:rsidRPr="00A07F29">
        <w:rPr>
          <w:rFonts w:ascii="Times New Roman" w:eastAsia="Calibri" w:hAnsi="Times New Roman" w:cs="Times New Roman"/>
          <w:sz w:val="24"/>
          <w:szCs w:val="24"/>
        </w:rPr>
        <w:t>Pārauguma</w:t>
      </w:r>
      <w:proofErr w:type="spellEnd"/>
      <w:r w:rsidRPr="00A07F29">
        <w:rPr>
          <w:rFonts w:ascii="Times New Roman" w:eastAsia="Calibri" w:hAnsi="Times New Roman" w:cs="Times New Roman"/>
          <w:sz w:val="24"/>
          <w:szCs w:val="24"/>
        </w:rPr>
        <w:t xml:space="preserve"> noņemšana ir veicama ar </w:t>
      </w:r>
      <w:proofErr w:type="spellStart"/>
      <w:r w:rsidRPr="00A07F29">
        <w:rPr>
          <w:rFonts w:ascii="Times New Roman" w:eastAsia="Calibri" w:hAnsi="Times New Roman" w:cs="Times New Roman"/>
          <w:sz w:val="24"/>
          <w:szCs w:val="24"/>
        </w:rPr>
        <w:t>ekskavēšanas</w:t>
      </w:r>
      <w:proofErr w:type="spellEnd"/>
      <w:r w:rsidRPr="00A07F29">
        <w:rPr>
          <w:rFonts w:ascii="Times New Roman" w:eastAsia="Calibri" w:hAnsi="Times New Roman" w:cs="Times New Roman"/>
          <w:sz w:val="24"/>
          <w:szCs w:val="24"/>
        </w:rPr>
        <w:t xml:space="preserve"> metodi no krasta. Piekļūšana ar ekskavatoru ir iespējama no DA puses, cauri mežam no 100 m attālumā esošā piebraucamā ceļa uz viensētu. Izņemtā slīkšņa ir izvedama izmantošanai lauksaimniecības zemēs.</w:t>
      </w:r>
    </w:p>
    <w:p w14:paraId="3759EA2A" w14:textId="30C5ED45" w:rsidR="001F3DA9" w:rsidRPr="00A07F29" w:rsidRDefault="001F3DA9" w:rsidP="001F3DA9">
      <w:pPr>
        <w:spacing w:after="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Veicama R krasta avotu strauta gultnes attīrīšana no kritalām, lai nodrošinātu netraucētu avotu ūdeņu tiešu ieplūdi ezerā pa strauta gultni un novērstu esošās strauta gultnes aizsērēšanu un avota ūdeņu izplūšanu plašā krasta zonā un </w:t>
      </w:r>
      <w:proofErr w:type="spellStart"/>
      <w:r w:rsidRPr="00A07F29">
        <w:rPr>
          <w:rFonts w:ascii="Times New Roman" w:eastAsia="Calibri" w:hAnsi="Times New Roman" w:cs="Times New Roman"/>
          <w:sz w:val="24"/>
          <w:szCs w:val="24"/>
        </w:rPr>
        <w:t>biogēnu</w:t>
      </w:r>
      <w:proofErr w:type="spellEnd"/>
      <w:r w:rsidRPr="00A07F29">
        <w:rPr>
          <w:rFonts w:ascii="Times New Roman" w:eastAsia="Calibri" w:hAnsi="Times New Roman" w:cs="Times New Roman"/>
          <w:sz w:val="24"/>
          <w:szCs w:val="24"/>
        </w:rPr>
        <w:t xml:space="preserve"> ieskalošanos ezerā no šīs krasta zonas.</w:t>
      </w:r>
    </w:p>
    <w:p w14:paraId="342C4C9B" w14:textId="77777777" w:rsidR="00C244EF" w:rsidRPr="00A07F29" w:rsidRDefault="00C244EF" w:rsidP="001F3DA9">
      <w:pPr>
        <w:spacing w:after="0" w:line="240" w:lineRule="auto"/>
        <w:ind w:firstLine="851"/>
        <w:jc w:val="both"/>
        <w:rPr>
          <w:rFonts w:ascii="Times New Roman" w:eastAsia="Calibri" w:hAnsi="Times New Roman" w:cs="Times New Roman"/>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6"/>
      </w:tblGrid>
      <w:tr w:rsidR="00C244EF" w:rsidRPr="00A07F29" w14:paraId="19923522" w14:textId="77777777" w:rsidTr="63C42FA1">
        <w:trPr>
          <w:jc w:val="center"/>
        </w:trPr>
        <w:tc>
          <w:tcPr>
            <w:tcW w:w="0" w:type="auto"/>
          </w:tcPr>
          <w:p w14:paraId="43CFE508" w14:textId="47EA0122" w:rsidR="00C244EF" w:rsidRPr="00A07F29" w:rsidRDefault="00652C52" w:rsidP="001F3DA9">
            <w:pPr>
              <w:jc w:val="both"/>
              <w:rPr>
                <w:rFonts w:ascii="Times New Roman" w:eastAsia="Calibri" w:hAnsi="Times New Roman" w:cs="Times New Roman"/>
                <w:sz w:val="24"/>
                <w:szCs w:val="24"/>
              </w:rPr>
            </w:pPr>
            <w:r w:rsidRPr="00A07F29">
              <w:rPr>
                <w:noProof/>
                <w:lang w:eastAsia="lv-LV"/>
              </w:rPr>
              <w:lastRenderedPageBreak/>
              <w:drawing>
                <wp:inline distT="0" distB="0" distL="0" distR="0" wp14:anchorId="6D976358" wp14:editId="2C3732EB">
                  <wp:extent cx="5731510" cy="4051935"/>
                  <wp:effectExtent l="0" t="0" r="254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01">
                            <a:extLst>
                              <a:ext uri="{28A0092B-C50C-407E-A947-70E740481C1C}">
                                <a14:useLocalDpi xmlns:a14="http://schemas.microsoft.com/office/drawing/2010/main" val="0"/>
                              </a:ext>
                            </a:extLst>
                          </a:blip>
                          <a:stretch>
                            <a:fillRect/>
                          </a:stretch>
                        </pic:blipFill>
                        <pic:spPr>
                          <a:xfrm>
                            <a:off x="0" y="0"/>
                            <a:ext cx="5731510" cy="4051935"/>
                          </a:xfrm>
                          <a:prstGeom prst="rect">
                            <a:avLst/>
                          </a:prstGeom>
                        </pic:spPr>
                      </pic:pic>
                    </a:graphicData>
                  </a:graphic>
                </wp:inline>
              </w:drawing>
            </w:r>
          </w:p>
        </w:tc>
      </w:tr>
      <w:tr w:rsidR="00C244EF" w:rsidRPr="00A07F29" w14:paraId="241C796A" w14:textId="77777777" w:rsidTr="003A6A84">
        <w:trPr>
          <w:trHeight w:val="68"/>
          <w:jc w:val="center"/>
        </w:trPr>
        <w:tc>
          <w:tcPr>
            <w:tcW w:w="0" w:type="auto"/>
          </w:tcPr>
          <w:p w14:paraId="190D08EF" w14:textId="128BBA22" w:rsidR="00C244EF" w:rsidRPr="00F33065" w:rsidRDefault="00C244EF" w:rsidP="00C244EF">
            <w:pPr>
              <w:jc w:val="both"/>
              <w:rPr>
                <w:rFonts w:ascii="Times New Roman" w:eastAsia="Calibri" w:hAnsi="Times New Roman" w:cs="Times New Roman"/>
                <w:sz w:val="20"/>
                <w:szCs w:val="20"/>
              </w:rPr>
            </w:pPr>
            <w:r w:rsidRPr="00F33065">
              <w:rPr>
                <w:rFonts w:ascii="Times New Roman" w:eastAsia="Calibri" w:hAnsi="Times New Roman" w:cs="Times New Roman"/>
                <w:bCs/>
                <w:sz w:val="20"/>
                <w:szCs w:val="20"/>
              </w:rPr>
              <w:t>5.3.</w:t>
            </w:r>
            <w:r w:rsidR="00F33065" w:rsidRPr="00F33065">
              <w:rPr>
                <w:rFonts w:ascii="Times New Roman" w:eastAsia="Calibri" w:hAnsi="Times New Roman" w:cs="Times New Roman"/>
                <w:bCs/>
                <w:sz w:val="20"/>
                <w:szCs w:val="20"/>
              </w:rPr>
              <w:t>3</w:t>
            </w:r>
            <w:r w:rsidRPr="00F33065">
              <w:rPr>
                <w:rFonts w:ascii="Times New Roman" w:eastAsia="Calibri" w:hAnsi="Times New Roman" w:cs="Times New Roman"/>
                <w:bCs/>
                <w:sz w:val="20"/>
                <w:szCs w:val="20"/>
              </w:rPr>
              <w:t xml:space="preserve">. attēls. </w:t>
            </w:r>
            <w:proofErr w:type="spellStart"/>
            <w:r w:rsidRPr="00F33065">
              <w:rPr>
                <w:rFonts w:ascii="Times New Roman" w:eastAsia="Calibri" w:hAnsi="Times New Roman" w:cs="Times New Roman"/>
                <w:bCs/>
                <w:sz w:val="20"/>
                <w:szCs w:val="20"/>
              </w:rPr>
              <w:t>Balticas</w:t>
            </w:r>
            <w:proofErr w:type="spellEnd"/>
            <w:r w:rsidRPr="00F33065">
              <w:rPr>
                <w:rFonts w:ascii="Times New Roman" w:eastAsia="Calibri" w:hAnsi="Times New Roman" w:cs="Times New Roman"/>
                <w:bCs/>
                <w:sz w:val="20"/>
                <w:szCs w:val="20"/>
              </w:rPr>
              <w:t xml:space="preserve"> ezera apsaimniekošanas pasākumi B.1.1., B.1.2., B.1.3.</w:t>
            </w:r>
          </w:p>
        </w:tc>
      </w:tr>
    </w:tbl>
    <w:p w14:paraId="42F46819" w14:textId="77777777" w:rsidR="00C244EF" w:rsidRPr="00A07F29" w:rsidRDefault="00C244EF" w:rsidP="001F3DA9">
      <w:pPr>
        <w:spacing w:after="0" w:line="240" w:lineRule="auto"/>
        <w:ind w:firstLine="851"/>
        <w:jc w:val="both"/>
        <w:rPr>
          <w:rFonts w:ascii="Times New Roman" w:eastAsia="Calibri" w:hAnsi="Times New Roman" w:cs="Times New Roman"/>
          <w:sz w:val="24"/>
          <w:szCs w:val="24"/>
        </w:rPr>
      </w:pPr>
    </w:p>
    <w:p w14:paraId="01BE1001" w14:textId="77777777" w:rsidR="00A21E83" w:rsidRPr="00A07F29" w:rsidRDefault="00A21E83" w:rsidP="00A55A80">
      <w:pPr>
        <w:keepNext/>
        <w:spacing w:before="240" w:after="120" w:line="240" w:lineRule="auto"/>
        <w:jc w:val="both"/>
        <w:rPr>
          <w:rFonts w:ascii="Times New Roman" w:eastAsia="Calibri" w:hAnsi="Times New Roman" w:cs="Times New Roman"/>
          <w:b/>
          <w:i/>
          <w:sz w:val="24"/>
          <w:szCs w:val="24"/>
        </w:rPr>
      </w:pPr>
      <w:r w:rsidRPr="00A07F29">
        <w:rPr>
          <w:rFonts w:ascii="Times New Roman" w:eastAsia="Calibri" w:hAnsi="Times New Roman" w:cs="Times New Roman"/>
          <w:b/>
          <w:i/>
          <w:sz w:val="24"/>
          <w:szCs w:val="24"/>
        </w:rPr>
        <w:t xml:space="preserve">B.1.4. Koku sagāzumu likvidēšana no </w:t>
      </w:r>
      <w:proofErr w:type="spellStart"/>
      <w:r w:rsidRPr="00A07F29">
        <w:rPr>
          <w:rFonts w:ascii="Times New Roman" w:eastAsia="Calibri" w:hAnsi="Times New Roman" w:cs="Times New Roman"/>
          <w:b/>
          <w:i/>
          <w:sz w:val="24"/>
          <w:szCs w:val="24"/>
        </w:rPr>
        <w:t>Varnaviču</w:t>
      </w:r>
      <w:proofErr w:type="spellEnd"/>
      <w:r w:rsidRPr="00A07F29">
        <w:rPr>
          <w:rFonts w:ascii="Times New Roman" w:eastAsia="Calibri" w:hAnsi="Times New Roman" w:cs="Times New Roman"/>
          <w:b/>
          <w:i/>
          <w:sz w:val="24"/>
          <w:szCs w:val="24"/>
        </w:rPr>
        <w:t xml:space="preserve"> ezera iztekošajā </w:t>
      </w:r>
      <w:proofErr w:type="spellStart"/>
      <w:r w:rsidRPr="00A07F29">
        <w:rPr>
          <w:rFonts w:ascii="Times New Roman" w:eastAsia="Calibri" w:hAnsi="Times New Roman" w:cs="Times New Roman"/>
          <w:b/>
          <w:i/>
          <w:sz w:val="24"/>
          <w:szCs w:val="24"/>
        </w:rPr>
        <w:t>Varnaviču</w:t>
      </w:r>
      <w:proofErr w:type="spellEnd"/>
      <w:r w:rsidRPr="00A07F29">
        <w:rPr>
          <w:rFonts w:ascii="Times New Roman" w:eastAsia="Calibri" w:hAnsi="Times New Roman" w:cs="Times New Roman"/>
          <w:b/>
          <w:i/>
          <w:sz w:val="24"/>
          <w:szCs w:val="24"/>
        </w:rPr>
        <w:t xml:space="preserve"> strautā un tā krastos</w:t>
      </w:r>
    </w:p>
    <w:p w14:paraId="73789934" w14:textId="77777777" w:rsidR="00A21E83" w:rsidRPr="00A07F29" w:rsidRDefault="00A21E83" w:rsidP="00A21E83">
      <w:pPr>
        <w:spacing w:after="0" w:line="240" w:lineRule="auto"/>
        <w:jc w:val="both"/>
        <w:rPr>
          <w:rFonts w:ascii="Times New Roman" w:eastAsia="Calibri" w:hAnsi="Times New Roman" w:cs="Times New Roman"/>
          <w:sz w:val="24"/>
          <w:szCs w:val="24"/>
        </w:rPr>
      </w:pPr>
      <w:r w:rsidRPr="00A07F29">
        <w:rPr>
          <w:rFonts w:ascii="Times New Roman" w:eastAsia="Calibri" w:hAnsi="Times New Roman" w:cs="Times New Roman"/>
          <w:i/>
          <w:iCs/>
          <w:sz w:val="24"/>
          <w:szCs w:val="24"/>
        </w:rPr>
        <w:t>Mērķis</w:t>
      </w:r>
    </w:p>
    <w:p w14:paraId="749A4B7D" w14:textId="1657B04E" w:rsidR="00A21E83" w:rsidRPr="00A07F29" w:rsidRDefault="00A21E83" w:rsidP="00340783">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Nodrošināt ūdens caurplūdumu </w:t>
      </w:r>
      <w:proofErr w:type="spellStart"/>
      <w:r w:rsidRPr="00A07F29">
        <w:rPr>
          <w:rFonts w:ascii="Times New Roman" w:eastAsia="Calibri" w:hAnsi="Times New Roman" w:cs="Times New Roman"/>
          <w:sz w:val="24"/>
          <w:szCs w:val="24"/>
        </w:rPr>
        <w:t>Varnaviču</w:t>
      </w:r>
      <w:proofErr w:type="spellEnd"/>
      <w:r w:rsidRPr="00A07F29">
        <w:rPr>
          <w:rFonts w:ascii="Times New Roman" w:eastAsia="Calibri" w:hAnsi="Times New Roman" w:cs="Times New Roman"/>
          <w:sz w:val="24"/>
          <w:szCs w:val="24"/>
        </w:rPr>
        <w:t xml:space="preserve"> strauta augštecē, lai neveidotos līmeņa paaugstinājums ezerā</w:t>
      </w:r>
      <w:r w:rsidR="006D54DB">
        <w:rPr>
          <w:rFonts w:ascii="Times New Roman" w:eastAsia="Calibri" w:hAnsi="Times New Roman" w:cs="Times New Roman"/>
          <w:sz w:val="24"/>
          <w:szCs w:val="24"/>
        </w:rPr>
        <w:t>.</w:t>
      </w:r>
    </w:p>
    <w:p w14:paraId="5E4EE508" w14:textId="77777777" w:rsidR="00A21E83" w:rsidRPr="00A07F29" w:rsidRDefault="00A21E83" w:rsidP="00A21E83">
      <w:pPr>
        <w:spacing w:after="0" w:line="240" w:lineRule="auto"/>
        <w:jc w:val="both"/>
        <w:rPr>
          <w:rFonts w:ascii="Times New Roman" w:eastAsia="Calibri" w:hAnsi="Times New Roman" w:cs="Times New Roman"/>
          <w:i/>
          <w:iCs/>
          <w:sz w:val="24"/>
          <w:szCs w:val="24"/>
        </w:rPr>
      </w:pPr>
      <w:r w:rsidRPr="00A07F29">
        <w:rPr>
          <w:rFonts w:ascii="Times New Roman" w:eastAsia="Calibri" w:hAnsi="Times New Roman" w:cs="Times New Roman"/>
          <w:i/>
          <w:iCs/>
          <w:sz w:val="24"/>
          <w:szCs w:val="24"/>
        </w:rPr>
        <w:t>Pasākuma apraksts, nosacījumi pasākuma veikšanai, ieteicamie tehniskie paņēmieni</w:t>
      </w:r>
    </w:p>
    <w:p w14:paraId="2551B3AD" w14:textId="55BBAE48" w:rsidR="00A55A80" w:rsidRPr="00A07F29" w:rsidRDefault="00A55A80" w:rsidP="00534ECC">
      <w:pPr>
        <w:spacing w:after="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No </w:t>
      </w:r>
      <w:proofErr w:type="spellStart"/>
      <w:r w:rsidRPr="00A07F29">
        <w:rPr>
          <w:rFonts w:ascii="Times New Roman" w:eastAsia="Calibri" w:hAnsi="Times New Roman" w:cs="Times New Roman"/>
          <w:sz w:val="24"/>
          <w:szCs w:val="24"/>
        </w:rPr>
        <w:t>Varnaviču</w:t>
      </w:r>
      <w:proofErr w:type="spellEnd"/>
      <w:r w:rsidRPr="00A07F29">
        <w:rPr>
          <w:rFonts w:ascii="Times New Roman" w:eastAsia="Calibri" w:hAnsi="Times New Roman" w:cs="Times New Roman"/>
          <w:sz w:val="24"/>
          <w:szCs w:val="24"/>
        </w:rPr>
        <w:t xml:space="preserve"> ezera iztekošā strauta krasti ezera tuvumā ir apauguši ar kokiem, pārsvarā kārkliem, baltalkšņiem</w:t>
      </w:r>
      <w:r w:rsidR="00EC4E24" w:rsidRPr="00A07F29">
        <w:rPr>
          <w:rFonts w:ascii="Times New Roman" w:eastAsia="Calibri" w:hAnsi="Times New Roman" w:cs="Times New Roman"/>
          <w:sz w:val="24"/>
          <w:szCs w:val="24"/>
        </w:rPr>
        <w:t xml:space="preserve"> (</w:t>
      </w:r>
      <w:r w:rsidR="002D524A">
        <w:rPr>
          <w:rFonts w:ascii="Times New Roman" w:eastAsia="Calibri" w:hAnsi="Times New Roman" w:cs="Times New Roman"/>
          <w:sz w:val="24"/>
          <w:szCs w:val="24"/>
        </w:rPr>
        <w:t xml:space="preserve">skat. </w:t>
      </w:r>
      <w:r w:rsidR="00EC4E24" w:rsidRPr="00A07F29">
        <w:rPr>
          <w:rFonts w:ascii="Times New Roman" w:eastAsia="Calibri" w:hAnsi="Times New Roman" w:cs="Times New Roman"/>
          <w:sz w:val="24"/>
          <w:szCs w:val="24"/>
        </w:rPr>
        <w:t>5.3.</w:t>
      </w:r>
      <w:r w:rsidR="000F37D1">
        <w:rPr>
          <w:rFonts w:ascii="Times New Roman" w:eastAsia="Calibri" w:hAnsi="Times New Roman" w:cs="Times New Roman"/>
          <w:sz w:val="24"/>
          <w:szCs w:val="24"/>
        </w:rPr>
        <w:t>5</w:t>
      </w:r>
      <w:r w:rsidR="00EC4E24" w:rsidRPr="00A07F29">
        <w:rPr>
          <w:rFonts w:ascii="Times New Roman" w:eastAsia="Calibri" w:hAnsi="Times New Roman" w:cs="Times New Roman"/>
          <w:sz w:val="24"/>
          <w:szCs w:val="24"/>
        </w:rPr>
        <w:t>.</w:t>
      </w:r>
      <w:r w:rsidR="000F37D1">
        <w:rPr>
          <w:rFonts w:ascii="Times New Roman" w:eastAsia="Calibri" w:hAnsi="Times New Roman" w:cs="Times New Roman"/>
          <w:sz w:val="24"/>
          <w:szCs w:val="24"/>
        </w:rPr>
        <w:t> </w:t>
      </w:r>
      <w:r w:rsidR="00EC4E24" w:rsidRPr="00A07F29">
        <w:rPr>
          <w:rFonts w:ascii="Times New Roman" w:eastAsia="Calibri" w:hAnsi="Times New Roman" w:cs="Times New Roman"/>
          <w:sz w:val="24"/>
          <w:szCs w:val="24"/>
        </w:rPr>
        <w:t>att</w:t>
      </w:r>
      <w:r w:rsidR="000F37D1">
        <w:rPr>
          <w:rFonts w:ascii="Times New Roman" w:eastAsia="Calibri" w:hAnsi="Times New Roman" w:cs="Times New Roman"/>
          <w:sz w:val="24"/>
          <w:szCs w:val="24"/>
        </w:rPr>
        <w:t>ēls</w:t>
      </w:r>
      <w:r w:rsidR="00EC4E24" w:rsidRPr="00A07F29">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Kokaudzes</w:t>
      </w:r>
      <w:proofErr w:type="spellEnd"/>
      <w:r w:rsidRPr="00A07F29">
        <w:rPr>
          <w:rFonts w:ascii="Times New Roman" w:eastAsia="Calibri" w:hAnsi="Times New Roman" w:cs="Times New Roman"/>
          <w:sz w:val="24"/>
          <w:szCs w:val="24"/>
        </w:rPr>
        <w:t xml:space="preserve"> ir nekoptas un daļa koku nokaltuši un sagāzušies krastā un ūdenī, kā arī pārkrituši pāri strautam, radot risku izveidoties strauta nosprostojumam. Problemātiskais posms ir strauta sākumposmā </w:t>
      </w:r>
      <w:r w:rsidR="00D87227">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pašvaldības īpašumā. Ņemot vērā dzīvojamo māju ar malkas apkuri tiešo tuvumu, </w:t>
      </w:r>
      <w:proofErr w:type="spellStart"/>
      <w:r w:rsidRPr="00A07F29">
        <w:rPr>
          <w:rFonts w:ascii="Times New Roman" w:eastAsia="Calibri" w:hAnsi="Times New Roman" w:cs="Times New Roman"/>
          <w:sz w:val="24"/>
          <w:szCs w:val="24"/>
        </w:rPr>
        <w:t>kokaudžu</w:t>
      </w:r>
      <w:proofErr w:type="spellEnd"/>
      <w:r w:rsidRPr="00A07F29">
        <w:rPr>
          <w:rFonts w:ascii="Times New Roman" w:eastAsia="Calibri" w:hAnsi="Times New Roman" w:cs="Times New Roman"/>
          <w:sz w:val="24"/>
          <w:szCs w:val="24"/>
        </w:rPr>
        <w:t xml:space="preserve"> sakopšanai (nokaltušo un kalstošo koku izzāģēšanai un </w:t>
      </w:r>
      <w:proofErr w:type="spellStart"/>
      <w:r w:rsidRPr="00A07F29">
        <w:rPr>
          <w:rFonts w:ascii="Times New Roman" w:eastAsia="Calibri" w:hAnsi="Times New Roman" w:cs="Times New Roman"/>
          <w:sz w:val="24"/>
          <w:szCs w:val="24"/>
        </w:rPr>
        <w:t>kokaudžu</w:t>
      </w:r>
      <w:proofErr w:type="spellEnd"/>
      <w:r w:rsidRPr="00A07F29">
        <w:rPr>
          <w:rFonts w:ascii="Times New Roman" w:eastAsia="Calibri" w:hAnsi="Times New Roman" w:cs="Times New Roman"/>
          <w:sz w:val="24"/>
          <w:szCs w:val="24"/>
        </w:rPr>
        <w:t xml:space="preserve"> izretināšanai) varētu būt pietiekami ar zemes īpašnieka (pašvaldības) atļauju.</w:t>
      </w:r>
    </w:p>
    <w:p w14:paraId="714C6F67" w14:textId="4CAB0EB4" w:rsidR="00AF1CB8" w:rsidRPr="00A07F29" w:rsidRDefault="00A21E83" w:rsidP="00A55A80">
      <w:pPr>
        <w:keepNext/>
        <w:spacing w:before="240" w:after="120" w:line="240" w:lineRule="auto"/>
        <w:jc w:val="both"/>
        <w:rPr>
          <w:rFonts w:ascii="Times New Roman" w:eastAsia="Calibri" w:hAnsi="Times New Roman" w:cs="Times New Roman"/>
          <w:b/>
          <w:i/>
          <w:sz w:val="24"/>
          <w:szCs w:val="24"/>
        </w:rPr>
      </w:pPr>
      <w:r w:rsidRPr="00A07F29">
        <w:rPr>
          <w:rFonts w:ascii="Times New Roman" w:eastAsia="Calibri" w:hAnsi="Times New Roman" w:cs="Times New Roman"/>
          <w:b/>
          <w:i/>
          <w:sz w:val="24"/>
          <w:szCs w:val="24"/>
        </w:rPr>
        <w:t xml:space="preserve">B.1.5. </w:t>
      </w:r>
      <w:proofErr w:type="spellStart"/>
      <w:r w:rsidRPr="00A07F29">
        <w:rPr>
          <w:rFonts w:ascii="Times New Roman" w:eastAsia="Calibri" w:hAnsi="Times New Roman" w:cs="Times New Roman"/>
          <w:b/>
          <w:i/>
          <w:sz w:val="24"/>
          <w:szCs w:val="24"/>
        </w:rPr>
        <w:t>Virsūdens</w:t>
      </w:r>
      <w:proofErr w:type="spellEnd"/>
      <w:r w:rsidRPr="00A07F29">
        <w:rPr>
          <w:rFonts w:ascii="Times New Roman" w:eastAsia="Calibri" w:hAnsi="Times New Roman" w:cs="Times New Roman"/>
          <w:b/>
          <w:i/>
          <w:sz w:val="24"/>
          <w:szCs w:val="24"/>
        </w:rPr>
        <w:t xml:space="preserve"> (niedru) augāja </w:t>
      </w:r>
      <w:r w:rsidR="00AF1CB8" w:rsidRPr="00A07F29">
        <w:rPr>
          <w:rFonts w:ascii="Times New Roman" w:eastAsia="Calibri" w:hAnsi="Times New Roman" w:cs="Times New Roman"/>
          <w:b/>
          <w:i/>
          <w:sz w:val="24"/>
          <w:szCs w:val="24"/>
        </w:rPr>
        <w:t xml:space="preserve">pļaušana </w:t>
      </w:r>
      <w:r w:rsidRPr="00A07F29">
        <w:rPr>
          <w:rFonts w:ascii="Times New Roman" w:eastAsia="Calibri" w:hAnsi="Times New Roman" w:cs="Times New Roman"/>
          <w:b/>
          <w:i/>
          <w:sz w:val="24"/>
          <w:szCs w:val="24"/>
        </w:rPr>
        <w:t xml:space="preserve">un </w:t>
      </w:r>
      <w:r w:rsidR="00AF1CB8" w:rsidRPr="00A07F29">
        <w:rPr>
          <w:rFonts w:ascii="Times New Roman" w:eastAsia="Calibri" w:hAnsi="Times New Roman" w:cs="Times New Roman"/>
          <w:b/>
          <w:i/>
          <w:sz w:val="24"/>
          <w:szCs w:val="24"/>
        </w:rPr>
        <w:t xml:space="preserve">izvākšana </w:t>
      </w:r>
      <w:r w:rsidR="00486BD2">
        <w:rPr>
          <w:rFonts w:ascii="Times New Roman" w:eastAsia="Calibri" w:hAnsi="Times New Roman" w:cs="Times New Roman"/>
          <w:b/>
          <w:i/>
          <w:sz w:val="24"/>
          <w:szCs w:val="24"/>
        </w:rPr>
        <w:t>sešos</w:t>
      </w:r>
      <w:r w:rsidR="00AF1CB8" w:rsidRPr="00A07F29">
        <w:rPr>
          <w:rFonts w:ascii="Times New Roman" w:eastAsia="Calibri" w:hAnsi="Times New Roman" w:cs="Times New Roman"/>
          <w:b/>
          <w:i/>
          <w:sz w:val="24"/>
          <w:szCs w:val="24"/>
        </w:rPr>
        <w:t xml:space="preserve"> </w:t>
      </w:r>
      <w:r w:rsidRPr="00A07F29">
        <w:rPr>
          <w:rFonts w:ascii="Times New Roman" w:eastAsia="Calibri" w:hAnsi="Times New Roman" w:cs="Times New Roman"/>
          <w:b/>
          <w:i/>
          <w:sz w:val="24"/>
          <w:szCs w:val="24"/>
        </w:rPr>
        <w:t>ezeros</w:t>
      </w:r>
    </w:p>
    <w:p w14:paraId="4FCF5B36" w14:textId="1948BFBE" w:rsidR="00AF1CB8" w:rsidRPr="00A07F29" w:rsidRDefault="00AF1CB8" w:rsidP="00AF1CB8">
      <w:pPr>
        <w:spacing w:after="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Pasākums veicams </w:t>
      </w:r>
      <w:r w:rsidR="00A21E83" w:rsidRPr="00A07F29">
        <w:rPr>
          <w:rFonts w:ascii="Times New Roman" w:eastAsia="Calibri" w:hAnsi="Times New Roman" w:cs="Times New Roman"/>
          <w:sz w:val="24"/>
          <w:szCs w:val="24"/>
        </w:rPr>
        <w:t>Dauguļu (trīs poligoni 1,23</w:t>
      </w:r>
      <w:r w:rsidR="00486BD2">
        <w:rPr>
          <w:rFonts w:ascii="Times New Roman" w:eastAsia="Calibri" w:hAnsi="Times New Roman" w:cs="Times New Roman"/>
          <w:sz w:val="24"/>
          <w:szCs w:val="24"/>
        </w:rPr>
        <w:t> </w:t>
      </w:r>
      <w:r w:rsidR="00A21E83" w:rsidRPr="00A07F29">
        <w:rPr>
          <w:rFonts w:ascii="Times New Roman" w:eastAsia="Calibri" w:hAnsi="Times New Roman" w:cs="Times New Roman"/>
          <w:sz w:val="24"/>
          <w:szCs w:val="24"/>
        </w:rPr>
        <w:t>ha kopplatībā), Dziļajā (divi poligoni 0,43</w:t>
      </w:r>
      <w:r w:rsidR="00486BD2">
        <w:rPr>
          <w:rFonts w:ascii="Times New Roman" w:eastAsia="Calibri" w:hAnsi="Times New Roman" w:cs="Times New Roman"/>
          <w:sz w:val="24"/>
          <w:szCs w:val="24"/>
        </w:rPr>
        <w:t> </w:t>
      </w:r>
      <w:r w:rsidR="00A21E83" w:rsidRPr="00A07F29">
        <w:rPr>
          <w:rFonts w:ascii="Times New Roman" w:eastAsia="Calibri" w:hAnsi="Times New Roman" w:cs="Times New Roman"/>
          <w:sz w:val="24"/>
          <w:szCs w:val="24"/>
        </w:rPr>
        <w:t xml:space="preserve">ha kopplatībā), </w:t>
      </w:r>
      <w:proofErr w:type="spellStart"/>
      <w:r w:rsidR="00A21E83" w:rsidRPr="00A07F29">
        <w:rPr>
          <w:rFonts w:ascii="Times New Roman" w:eastAsia="Calibri" w:hAnsi="Times New Roman" w:cs="Times New Roman"/>
          <w:sz w:val="24"/>
          <w:szCs w:val="24"/>
        </w:rPr>
        <w:t>Jabloņkas</w:t>
      </w:r>
      <w:proofErr w:type="spellEnd"/>
      <w:r w:rsidR="00A21E83" w:rsidRPr="00A07F29">
        <w:rPr>
          <w:rFonts w:ascii="Times New Roman" w:eastAsia="Calibri" w:hAnsi="Times New Roman" w:cs="Times New Roman"/>
          <w:sz w:val="24"/>
          <w:szCs w:val="24"/>
        </w:rPr>
        <w:t xml:space="preserve"> (divi poligoni 0,47</w:t>
      </w:r>
      <w:r w:rsidR="00486BD2">
        <w:rPr>
          <w:rFonts w:ascii="Times New Roman" w:eastAsia="Calibri" w:hAnsi="Times New Roman" w:cs="Times New Roman"/>
          <w:sz w:val="24"/>
          <w:szCs w:val="24"/>
        </w:rPr>
        <w:t> </w:t>
      </w:r>
      <w:r w:rsidR="00A21E83" w:rsidRPr="00A07F29">
        <w:rPr>
          <w:rFonts w:ascii="Times New Roman" w:eastAsia="Calibri" w:hAnsi="Times New Roman" w:cs="Times New Roman"/>
          <w:sz w:val="24"/>
          <w:szCs w:val="24"/>
        </w:rPr>
        <w:t xml:space="preserve">ha kopplatībā), </w:t>
      </w:r>
      <w:proofErr w:type="spellStart"/>
      <w:r w:rsidR="00A21E83" w:rsidRPr="00A07F29">
        <w:rPr>
          <w:rFonts w:ascii="Times New Roman" w:eastAsia="Calibri" w:hAnsi="Times New Roman" w:cs="Times New Roman"/>
          <w:sz w:val="24"/>
          <w:szCs w:val="24"/>
        </w:rPr>
        <w:t>Krivoje</w:t>
      </w:r>
      <w:proofErr w:type="spellEnd"/>
      <w:r w:rsidR="00A21E83" w:rsidRPr="00A07F29">
        <w:rPr>
          <w:rFonts w:ascii="Times New Roman" w:eastAsia="Calibri" w:hAnsi="Times New Roman" w:cs="Times New Roman"/>
          <w:sz w:val="24"/>
          <w:szCs w:val="24"/>
        </w:rPr>
        <w:t xml:space="preserve"> (divi poligoni 1,32</w:t>
      </w:r>
      <w:r w:rsidR="00486BD2">
        <w:rPr>
          <w:rFonts w:ascii="Times New Roman" w:eastAsia="Calibri" w:hAnsi="Times New Roman" w:cs="Times New Roman"/>
          <w:sz w:val="24"/>
          <w:szCs w:val="24"/>
        </w:rPr>
        <w:t> </w:t>
      </w:r>
      <w:r w:rsidR="00A21E83" w:rsidRPr="00A07F29">
        <w:rPr>
          <w:rFonts w:ascii="Times New Roman" w:eastAsia="Calibri" w:hAnsi="Times New Roman" w:cs="Times New Roman"/>
          <w:sz w:val="24"/>
          <w:szCs w:val="24"/>
        </w:rPr>
        <w:t xml:space="preserve">ha kopplatībā), </w:t>
      </w:r>
      <w:proofErr w:type="spellStart"/>
      <w:r w:rsidR="00EC4E24" w:rsidRPr="00A07F29">
        <w:rPr>
          <w:rFonts w:ascii="Times New Roman" w:eastAsia="Calibri" w:hAnsi="Times New Roman" w:cs="Times New Roman"/>
          <w:sz w:val="24"/>
          <w:szCs w:val="24"/>
        </w:rPr>
        <w:t>Kalodas</w:t>
      </w:r>
      <w:proofErr w:type="spellEnd"/>
      <w:r w:rsidR="00EC4E24" w:rsidRPr="00A07F29">
        <w:rPr>
          <w:rFonts w:ascii="Times New Roman" w:eastAsia="Calibri" w:hAnsi="Times New Roman" w:cs="Times New Roman"/>
          <w:sz w:val="24"/>
          <w:szCs w:val="24"/>
        </w:rPr>
        <w:t xml:space="preserve"> </w:t>
      </w:r>
      <w:r w:rsidR="00A21E83" w:rsidRPr="00A07F29">
        <w:rPr>
          <w:rFonts w:ascii="Times New Roman" w:eastAsia="Calibri" w:hAnsi="Times New Roman" w:cs="Times New Roman"/>
          <w:sz w:val="24"/>
          <w:szCs w:val="24"/>
        </w:rPr>
        <w:t>(četri poligoni 1,06</w:t>
      </w:r>
      <w:r w:rsidR="00486BD2">
        <w:rPr>
          <w:rFonts w:ascii="Times New Roman" w:eastAsia="Calibri" w:hAnsi="Times New Roman" w:cs="Times New Roman"/>
          <w:sz w:val="24"/>
          <w:szCs w:val="24"/>
        </w:rPr>
        <w:t> </w:t>
      </w:r>
      <w:r w:rsidR="00A21E83" w:rsidRPr="00A07F29">
        <w:rPr>
          <w:rFonts w:ascii="Times New Roman" w:eastAsia="Calibri" w:hAnsi="Times New Roman" w:cs="Times New Roman"/>
          <w:sz w:val="24"/>
          <w:szCs w:val="24"/>
        </w:rPr>
        <w:t xml:space="preserve">ha kopplatībā) un </w:t>
      </w:r>
      <w:proofErr w:type="spellStart"/>
      <w:r w:rsidR="00EC4E24" w:rsidRPr="00A07F29">
        <w:rPr>
          <w:rFonts w:ascii="Times New Roman" w:eastAsia="Calibri" w:hAnsi="Times New Roman" w:cs="Times New Roman"/>
          <w:sz w:val="24"/>
          <w:szCs w:val="24"/>
        </w:rPr>
        <w:t>Riņģa</w:t>
      </w:r>
      <w:proofErr w:type="spellEnd"/>
      <w:r w:rsidR="00EC4E24" w:rsidRPr="00A07F29">
        <w:rPr>
          <w:rFonts w:ascii="Times New Roman" w:eastAsia="Calibri" w:hAnsi="Times New Roman" w:cs="Times New Roman"/>
          <w:sz w:val="24"/>
          <w:szCs w:val="24"/>
        </w:rPr>
        <w:t xml:space="preserve"> </w:t>
      </w:r>
      <w:r w:rsidR="00A21E83" w:rsidRPr="00A07F29">
        <w:rPr>
          <w:rFonts w:ascii="Times New Roman" w:eastAsia="Calibri" w:hAnsi="Times New Roman" w:cs="Times New Roman"/>
          <w:sz w:val="24"/>
          <w:szCs w:val="24"/>
        </w:rPr>
        <w:t>(viens poligon</w:t>
      </w:r>
      <w:r w:rsidR="00EC4E24" w:rsidRPr="00A07F29">
        <w:rPr>
          <w:rFonts w:ascii="Times New Roman" w:eastAsia="Calibri" w:hAnsi="Times New Roman" w:cs="Times New Roman"/>
          <w:sz w:val="24"/>
          <w:szCs w:val="24"/>
        </w:rPr>
        <w:t>s</w:t>
      </w:r>
      <w:r w:rsidR="00A21E83" w:rsidRPr="00A07F29">
        <w:rPr>
          <w:rFonts w:ascii="Times New Roman" w:eastAsia="Calibri" w:hAnsi="Times New Roman" w:cs="Times New Roman"/>
          <w:sz w:val="24"/>
          <w:szCs w:val="24"/>
        </w:rPr>
        <w:t xml:space="preserve"> 2,00</w:t>
      </w:r>
      <w:r w:rsidR="00070A58">
        <w:rPr>
          <w:rFonts w:ascii="Times New Roman" w:eastAsia="Calibri" w:hAnsi="Times New Roman" w:cs="Times New Roman"/>
          <w:sz w:val="24"/>
          <w:szCs w:val="24"/>
        </w:rPr>
        <w:t> </w:t>
      </w:r>
      <w:r w:rsidR="00A21E83" w:rsidRPr="00A07F29">
        <w:rPr>
          <w:rFonts w:ascii="Times New Roman" w:eastAsia="Calibri" w:hAnsi="Times New Roman" w:cs="Times New Roman"/>
          <w:sz w:val="24"/>
          <w:szCs w:val="24"/>
        </w:rPr>
        <w:t>ha kopplatībā)</w:t>
      </w:r>
      <w:r w:rsidR="00EC4E24" w:rsidRPr="00A07F29">
        <w:rPr>
          <w:rFonts w:ascii="Times New Roman" w:eastAsia="Calibri" w:hAnsi="Times New Roman" w:cs="Times New Roman"/>
          <w:sz w:val="24"/>
          <w:szCs w:val="24"/>
        </w:rPr>
        <w:t xml:space="preserve"> ezerā (</w:t>
      </w:r>
      <w:r w:rsidR="00070A58">
        <w:rPr>
          <w:rFonts w:ascii="Times New Roman" w:eastAsia="Calibri" w:hAnsi="Times New Roman" w:cs="Times New Roman"/>
          <w:sz w:val="24"/>
          <w:szCs w:val="24"/>
        </w:rPr>
        <w:t xml:space="preserve">skat. </w:t>
      </w:r>
      <w:r w:rsidR="00EC4E24" w:rsidRPr="00A07F29">
        <w:rPr>
          <w:rFonts w:ascii="Times New Roman" w:eastAsia="Calibri" w:hAnsi="Times New Roman" w:cs="Times New Roman"/>
          <w:sz w:val="24"/>
          <w:szCs w:val="24"/>
        </w:rPr>
        <w:t>5.3.</w:t>
      </w:r>
      <w:r w:rsidR="00070A58">
        <w:rPr>
          <w:rFonts w:ascii="Times New Roman" w:eastAsia="Calibri" w:hAnsi="Times New Roman" w:cs="Times New Roman"/>
          <w:sz w:val="24"/>
          <w:szCs w:val="24"/>
        </w:rPr>
        <w:t>4</w:t>
      </w:r>
      <w:r w:rsidR="00EC4E24" w:rsidRPr="00A07F29">
        <w:rPr>
          <w:rFonts w:ascii="Times New Roman" w:eastAsia="Calibri" w:hAnsi="Times New Roman" w:cs="Times New Roman"/>
          <w:sz w:val="24"/>
          <w:szCs w:val="24"/>
        </w:rPr>
        <w:t>.</w:t>
      </w:r>
      <w:r w:rsidR="00070A58">
        <w:rPr>
          <w:rFonts w:ascii="Times New Roman" w:eastAsia="Calibri" w:hAnsi="Times New Roman" w:cs="Times New Roman"/>
          <w:sz w:val="24"/>
          <w:szCs w:val="24"/>
        </w:rPr>
        <w:t> </w:t>
      </w:r>
      <w:r w:rsidR="00EC4E24" w:rsidRPr="00A07F29">
        <w:rPr>
          <w:rFonts w:ascii="Times New Roman" w:eastAsia="Calibri" w:hAnsi="Times New Roman" w:cs="Times New Roman"/>
          <w:sz w:val="24"/>
          <w:szCs w:val="24"/>
        </w:rPr>
        <w:t>att</w:t>
      </w:r>
      <w:r w:rsidR="00070A58">
        <w:rPr>
          <w:rFonts w:ascii="Times New Roman" w:eastAsia="Calibri" w:hAnsi="Times New Roman" w:cs="Times New Roman"/>
          <w:sz w:val="24"/>
          <w:szCs w:val="24"/>
        </w:rPr>
        <w:t>ēls</w:t>
      </w:r>
      <w:r w:rsidR="00EC4E24" w:rsidRPr="00A07F29">
        <w:rPr>
          <w:rFonts w:ascii="Times New Roman" w:eastAsia="Calibri" w:hAnsi="Times New Roman" w:cs="Times New Roman"/>
          <w:sz w:val="24"/>
          <w:szCs w:val="24"/>
        </w:rPr>
        <w:t>)</w:t>
      </w:r>
      <w:r w:rsidR="00A21E83" w:rsidRPr="00A07F29">
        <w:rPr>
          <w:rFonts w:ascii="Times New Roman" w:eastAsia="Calibri" w:hAnsi="Times New Roman" w:cs="Times New Roman"/>
          <w:sz w:val="24"/>
          <w:szCs w:val="24"/>
        </w:rPr>
        <w:t xml:space="preserve">. </w:t>
      </w:r>
    </w:p>
    <w:p w14:paraId="6ED3D6A7" w14:textId="29E64BC4" w:rsidR="00AF1CB8" w:rsidRPr="00A07F29" w:rsidRDefault="00A21E83" w:rsidP="00AF1CB8">
      <w:pPr>
        <w:spacing w:after="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Atbilstoši Latvijā spēkā esošajai likumdošanai, ūdensaugu izpļaušana ir atļauta no 1</w:t>
      </w:r>
      <w:r w:rsidR="00AF1CB8" w:rsidRPr="00A07F29">
        <w:rPr>
          <w:rFonts w:ascii="Times New Roman" w:eastAsia="Calibri" w:hAnsi="Times New Roman" w:cs="Times New Roman"/>
          <w:sz w:val="24"/>
          <w:szCs w:val="24"/>
        </w:rPr>
        <w:t>. </w:t>
      </w:r>
      <w:r w:rsidRPr="00A07F29">
        <w:rPr>
          <w:rFonts w:ascii="Times New Roman" w:eastAsia="Calibri" w:hAnsi="Times New Roman" w:cs="Times New Roman"/>
          <w:sz w:val="24"/>
          <w:szCs w:val="24"/>
        </w:rPr>
        <w:t>jūlija līdz 31.</w:t>
      </w:r>
      <w:r w:rsidR="00070A58">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martam, pārējā laikā tas ir iespējams ar sertificēta eksperta atzinumu, kā arī saskaņojumu ar </w:t>
      </w:r>
      <w:r w:rsidR="0E99A6CB" w:rsidRPr="00A07F29">
        <w:rPr>
          <w:rFonts w:ascii="Times New Roman" w:eastAsia="Calibri" w:hAnsi="Times New Roman" w:cs="Times New Roman"/>
          <w:sz w:val="24"/>
          <w:szCs w:val="24"/>
        </w:rPr>
        <w:t>DAP</w:t>
      </w:r>
      <w:r w:rsidRPr="00A07F29">
        <w:rPr>
          <w:rFonts w:ascii="Times New Roman" w:eastAsia="Calibri" w:hAnsi="Times New Roman" w:cs="Times New Roman"/>
          <w:sz w:val="24"/>
          <w:szCs w:val="24"/>
        </w:rPr>
        <w:t xml:space="preserve"> un </w:t>
      </w:r>
      <w:r w:rsidR="40454569" w:rsidRPr="00A07F29">
        <w:rPr>
          <w:rFonts w:ascii="Times New Roman" w:eastAsia="Calibri" w:hAnsi="Times New Roman" w:cs="Times New Roman"/>
          <w:sz w:val="24"/>
          <w:szCs w:val="24"/>
        </w:rPr>
        <w:t>VVD</w:t>
      </w:r>
      <w:r w:rsidRPr="00A07F29">
        <w:rPr>
          <w:rFonts w:ascii="Times New Roman" w:eastAsia="Calibri" w:hAnsi="Times New Roman" w:cs="Times New Roman"/>
          <w:sz w:val="24"/>
          <w:szCs w:val="24"/>
        </w:rPr>
        <w:t xml:space="preserve"> (Urtāns</w:t>
      </w:r>
      <w:r w:rsidR="00AC5F7F">
        <w:rPr>
          <w:rFonts w:ascii="Times New Roman" w:eastAsia="Calibri" w:hAnsi="Times New Roman" w:cs="Times New Roman"/>
          <w:sz w:val="24"/>
          <w:szCs w:val="24"/>
        </w:rPr>
        <w:t xml:space="preserve"> A. V.</w:t>
      </w:r>
      <w:r w:rsidRPr="00A07F29">
        <w:rPr>
          <w:rFonts w:ascii="Times New Roman" w:eastAsia="Calibri" w:hAnsi="Times New Roman" w:cs="Times New Roman"/>
          <w:sz w:val="24"/>
          <w:szCs w:val="24"/>
        </w:rPr>
        <w:t xml:space="preserve">, 2017). Pasākums vislabāk veicams jūlijā, jo augustā </w:t>
      </w:r>
      <w:r w:rsidRPr="00A07F29">
        <w:rPr>
          <w:rFonts w:ascii="Times New Roman" w:eastAsia="Calibri" w:hAnsi="Times New Roman" w:cs="Times New Roman"/>
          <w:sz w:val="24"/>
          <w:szCs w:val="24"/>
        </w:rPr>
        <w:lastRenderedPageBreak/>
        <w:t>ūdensaugi sāk gatavoties ziemas sezonai un tajos esošās barības vielas sāk uzkrāt saknēs, tāpēc kopā ar izpļauto ūdensaugu masu no ezera tiks izņemta tikai ļoti neliela barības vielu daļa (Urtāne</w:t>
      </w:r>
      <w:r w:rsidR="00C25036">
        <w:rPr>
          <w:rFonts w:ascii="Times New Roman" w:eastAsia="Calibri" w:hAnsi="Times New Roman" w:cs="Times New Roman"/>
          <w:sz w:val="24"/>
          <w:szCs w:val="24"/>
        </w:rPr>
        <w:t xml:space="preserve"> L.</w:t>
      </w:r>
      <w:r w:rsidRPr="00A07F29">
        <w:rPr>
          <w:rFonts w:ascii="Times New Roman" w:eastAsia="Calibri" w:hAnsi="Times New Roman" w:cs="Times New Roman"/>
          <w:sz w:val="24"/>
          <w:szCs w:val="24"/>
        </w:rPr>
        <w:t>, 2014, Urtāns</w:t>
      </w:r>
      <w:r w:rsidR="00784A3A">
        <w:rPr>
          <w:rFonts w:ascii="Times New Roman" w:eastAsia="Calibri" w:hAnsi="Times New Roman" w:cs="Times New Roman"/>
          <w:sz w:val="24"/>
          <w:szCs w:val="24"/>
        </w:rPr>
        <w:t xml:space="preserve"> A. V.</w:t>
      </w:r>
      <w:r w:rsidRPr="00A07F29">
        <w:rPr>
          <w:rFonts w:ascii="Times New Roman" w:eastAsia="Calibri" w:hAnsi="Times New Roman" w:cs="Times New Roman"/>
          <w:sz w:val="24"/>
          <w:szCs w:val="24"/>
        </w:rPr>
        <w:t>, 2017).</w:t>
      </w:r>
    </w:p>
    <w:p w14:paraId="36806626" w14:textId="2AF98D35" w:rsidR="00AF1CB8" w:rsidRPr="00A07F29" w:rsidRDefault="00A21E83" w:rsidP="00AF1CB8">
      <w:pPr>
        <w:spacing w:after="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Niedres jāpļauj no laivas ar uzmontētu </w:t>
      </w:r>
      <w:proofErr w:type="spellStart"/>
      <w:r w:rsidRPr="00A07F29">
        <w:rPr>
          <w:rFonts w:ascii="Times New Roman" w:eastAsia="Calibri" w:hAnsi="Times New Roman" w:cs="Times New Roman"/>
          <w:sz w:val="24"/>
          <w:szCs w:val="24"/>
        </w:rPr>
        <w:t>iekšdedzes</w:t>
      </w:r>
      <w:proofErr w:type="spellEnd"/>
      <w:r w:rsidRPr="00A07F29">
        <w:rPr>
          <w:rFonts w:ascii="Times New Roman" w:eastAsia="Calibri" w:hAnsi="Times New Roman" w:cs="Times New Roman"/>
          <w:sz w:val="24"/>
          <w:szCs w:val="24"/>
        </w:rPr>
        <w:t xml:space="preserve"> pļaujmašīnu, pļaujot iespējami tuvu ezera gruntij. Nopļautās niedres un citi ūdensaugi, kas aug niedru joslā, tūlīt ir jāizvāc no ūdens un jānovieto pagaidu uzglabāšanas vietās tādā attālumā, lai viļņošanās rezultātā tās atkal nenonāktu ezerā. Atrodoties pagaidu uzglabāšanās vietā, zaļās masas apjomi ievērojami samazinās, jo no tiem iztvaiko uzkrātais ūdens. Pēc tam izpļautā un apžuvusī augu masa ir jānogādā tam paredzētās utilizācijas (piem</w:t>
      </w:r>
      <w:r w:rsidR="005E3CD2">
        <w:rPr>
          <w:rFonts w:ascii="Times New Roman" w:eastAsia="Calibri" w:hAnsi="Times New Roman" w:cs="Times New Roman"/>
          <w:sz w:val="24"/>
          <w:szCs w:val="24"/>
        </w:rPr>
        <w:t>ēram</w:t>
      </w:r>
      <w:r w:rsidRPr="00A07F29">
        <w:rPr>
          <w:rFonts w:ascii="Times New Roman" w:eastAsia="Calibri" w:hAnsi="Times New Roman" w:cs="Times New Roman"/>
          <w:sz w:val="24"/>
          <w:szCs w:val="24"/>
        </w:rPr>
        <w:t>, kompostēšanas vietās). Tā kā tiek nopļautas auga zaļās daļas, izpļautie ūdensaugi ataug jau tajā pašā gadā, tāpēc izpļaušana vienā gadā ir jāveic 3</w:t>
      </w:r>
      <w:r w:rsidR="00C64DBA">
        <w:rPr>
          <w:rFonts w:ascii="Times New Roman" w:eastAsia="Calibri" w:hAnsi="Times New Roman" w:cs="Times New Roman"/>
          <w:sz w:val="24"/>
          <w:szCs w:val="24"/>
        </w:rPr>
        <w:t> – </w:t>
      </w:r>
      <w:r w:rsidRPr="00A07F29">
        <w:rPr>
          <w:rFonts w:ascii="Times New Roman" w:eastAsia="Calibri" w:hAnsi="Times New Roman" w:cs="Times New Roman"/>
          <w:sz w:val="24"/>
          <w:szCs w:val="24"/>
        </w:rPr>
        <w:t>4 reizes un jāatkārto 2</w:t>
      </w:r>
      <w:r w:rsidR="00C64DBA">
        <w:rPr>
          <w:rFonts w:ascii="Times New Roman" w:eastAsia="Calibri" w:hAnsi="Times New Roman" w:cs="Times New Roman"/>
          <w:sz w:val="24"/>
          <w:szCs w:val="24"/>
        </w:rPr>
        <w:t> </w:t>
      </w:r>
      <w:r w:rsidR="000F1FFD">
        <w:rPr>
          <w:rFonts w:ascii="Times New Roman" w:eastAsia="Calibri" w:hAnsi="Times New Roman" w:cs="Times New Roman"/>
          <w:sz w:val="24"/>
          <w:szCs w:val="24"/>
        </w:rPr>
        <w:t>–</w:t>
      </w:r>
      <w:r w:rsidR="00C64DBA">
        <w:rPr>
          <w:rFonts w:ascii="Times New Roman" w:eastAsia="Calibri" w:hAnsi="Times New Roman" w:cs="Times New Roman"/>
          <w:sz w:val="24"/>
          <w:szCs w:val="24"/>
        </w:rPr>
        <w:t> </w:t>
      </w:r>
      <w:r w:rsidRPr="00A07F29">
        <w:rPr>
          <w:rFonts w:ascii="Times New Roman" w:eastAsia="Calibri" w:hAnsi="Times New Roman" w:cs="Times New Roman"/>
          <w:sz w:val="24"/>
          <w:szCs w:val="24"/>
        </w:rPr>
        <w:t>3</w:t>
      </w:r>
      <w:r w:rsidR="000F1FFD">
        <w:rPr>
          <w:rFonts w:ascii="Times New Roman" w:eastAsia="Calibri" w:hAnsi="Times New Roman" w:cs="Times New Roman"/>
          <w:sz w:val="24"/>
          <w:szCs w:val="24"/>
        </w:rPr>
        <w:t xml:space="preserve"> </w:t>
      </w:r>
      <w:r w:rsidRPr="00A07F29">
        <w:rPr>
          <w:rFonts w:ascii="Times New Roman" w:eastAsia="Calibri" w:hAnsi="Times New Roman" w:cs="Times New Roman"/>
          <w:sz w:val="24"/>
          <w:szCs w:val="24"/>
        </w:rPr>
        <w:t>gadus pēc kārtas.</w:t>
      </w:r>
    </w:p>
    <w:p w14:paraId="0992D884" w14:textId="77777777" w:rsidR="00C244EF" w:rsidRPr="00A07F29" w:rsidRDefault="00A21E83" w:rsidP="00AF1CB8">
      <w:pPr>
        <w:spacing w:after="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Pasākuma rezultātā ezeros tiks būtiski samazināts ekspansīvais </w:t>
      </w:r>
      <w:proofErr w:type="spellStart"/>
      <w:r w:rsidRPr="00A07F29">
        <w:rPr>
          <w:rFonts w:ascii="Times New Roman" w:eastAsia="Calibri" w:hAnsi="Times New Roman" w:cs="Times New Roman"/>
          <w:sz w:val="24"/>
          <w:szCs w:val="24"/>
        </w:rPr>
        <w:t>virsūdens</w:t>
      </w:r>
      <w:proofErr w:type="spellEnd"/>
      <w:r w:rsidRPr="00A07F29">
        <w:rPr>
          <w:rFonts w:ascii="Times New Roman" w:eastAsia="Calibri" w:hAnsi="Times New Roman" w:cs="Times New Roman"/>
          <w:sz w:val="24"/>
          <w:szCs w:val="24"/>
        </w:rPr>
        <w:t xml:space="preserve"> apaugums. Paralēli tam, būtiski uzlabosies viļņošanās efekts, šādā veidā veicinot </w:t>
      </w:r>
      <w:proofErr w:type="spellStart"/>
      <w:r w:rsidRPr="00A07F29">
        <w:rPr>
          <w:rFonts w:ascii="Times New Roman" w:eastAsia="Calibri" w:hAnsi="Times New Roman" w:cs="Times New Roman"/>
          <w:sz w:val="24"/>
          <w:szCs w:val="24"/>
        </w:rPr>
        <w:t>sedimentu</w:t>
      </w:r>
      <w:proofErr w:type="spellEnd"/>
      <w:r w:rsidRPr="00A07F29">
        <w:rPr>
          <w:rFonts w:ascii="Times New Roman" w:eastAsia="Calibri" w:hAnsi="Times New Roman" w:cs="Times New Roman"/>
          <w:sz w:val="24"/>
          <w:szCs w:val="24"/>
        </w:rPr>
        <w:t xml:space="preserve"> izmešanu ezeru krastos un skābekļa režīma uzlabošanos ezeros, kā arī kopējo ezeru ekosistēmu atveseļošanos un antropogēnās eitrofikācijas līmeņa samazināšanos.</w:t>
      </w:r>
    </w:p>
    <w:p w14:paraId="2DC82800" w14:textId="240A5DCA" w:rsidR="00A21E83" w:rsidRPr="00A07F29" w:rsidRDefault="00A21E83" w:rsidP="00AF1CB8">
      <w:pPr>
        <w:spacing w:after="0" w:line="240" w:lineRule="auto"/>
        <w:ind w:firstLine="851"/>
        <w:jc w:val="both"/>
        <w:rPr>
          <w:rFonts w:ascii="Times New Roman" w:eastAsia="Calibri"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6"/>
      </w:tblGrid>
      <w:tr w:rsidR="00C244EF" w:rsidRPr="00A07F29" w14:paraId="3012C91C" w14:textId="77777777" w:rsidTr="63C42FA1">
        <w:tc>
          <w:tcPr>
            <w:tcW w:w="9061" w:type="dxa"/>
          </w:tcPr>
          <w:p w14:paraId="09557FC1" w14:textId="1C855263" w:rsidR="00C244EF" w:rsidRPr="00A07F29" w:rsidRDefault="006C7E95" w:rsidP="00BD1DC3">
            <w:pPr>
              <w:keepNext/>
              <w:jc w:val="both"/>
              <w:rPr>
                <w:rFonts w:ascii="Times New Roman" w:eastAsia="Calibri" w:hAnsi="Times New Roman" w:cs="Times New Roman"/>
                <w:sz w:val="24"/>
                <w:szCs w:val="24"/>
              </w:rPr>
            </w:pPr>
            <w:r w:rsidRPr="00A07F29">
              <w:rPr>
                <w:noProof/>
                <w:lang w:eastAsia="lv-LV"/>
              </w:rPr>
              <w:drawing>
                <wp:inline distT="0" distB="0" distL="0" distR="0" wp14:anchorId="21DBAEF8" wp14:editId="39B5DC82">
                  <wp:extent cx="5760084" cy="4072255"/>
                  <wp:effectExtent l="0" t="0" r="0" b="4445"/>
                  <wp:docPr id="918145588" name="Picture 918145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8145588"/>
                          <pic:cNvPicPr/>
                        </pic:nvPicPr>
                        <pic:blipFill>
                          <a:blip r:embed="rId102">
                            <a:extLst>
                              <a:ext uri="{28A0092B-C50C-407E-A947-70E740481C1C}">
                                <a14:useLocalDpi xmlns:a14="http://schemas.microsoft.com/office/drawing/2010/main" val="0"/>
                              </a:ext>
                            </a:extLst>
                          </a:blip>
                          <a:stretch>
                            <a:fillRect/>
                          </a:stretch>
                        </pic:blipFill>
                        <pic:spPr>
                          <a:xfrm>
                            <a:off x="0" y="0"/>
                            <a:ext cx="5760084" cy="4072255"/>
                          </a:xfrm>
                          <a:prstGeom prst="rect">
                            <a:avLst/>
                          </a:prstGeom>
                        </pic:spPr>
                      </pic:pic>
                    </a:graphicData>
                  </a:graphic>
                </wp:inline>
              </w:drawing>
            </w:r>
          </w:p>
        </w:tc>
      </w:tr>
      <w:tr w:rsidR="00C244EF" w:rsidRPr="00A07F29" w14:paraId="09CFCCEC" w14:textId="77777777" w:rsidTr="63C42FA1">
        <w:tc>
          <w:tcPr>
            <w:tcW w:w="9061" w:type="dxa"/>
          </w:tcPr>
          <w:p w14:paraId="5BBA0146" w14:textId="67E4298B" w:rsidR="00C244EF" w:rsidRPr="00FA13F0" w:rsidRDefault="00C244EF" w:rsidP="00A21E83">
            <w:pPr>
              <w:jc w:val="both"/>
              <w:rPr>
                <w:rFonts w:ascii="Times New Roman" w:eastAsia="Calibri" w:hAnsi="Times New Roman" w:cs="Times New Roman"/>
                <w:sz w:val="20"/>
                <w:szCs w:val="20"/>
              </w:rPr>
            </w:pPr>
            <w:r w:rsidRPr="00FA13F0">
              <w:rPr>
                <w:rFonts w:ascii="Times New Roman" w:eastAsia="Calibri" w:hAnsi="Times New Roman" w:cs="Times New Roman"/>
                <w:bCs/>
                <w:sz w:val="20"/>
                <w:szCs w:val="20"/>
              </w:rPr>
              <w:t>5.3.</w:t>
            </w:r>
            <w:r w:rsidR="00FA13F0" w:rsidRPr="00FA13F0">
              <w:rPr>
                <w:rFonts w:ascii="Times New Roman" w:eastAsia="Calibri" w:hAnsi="Times New Roman" w:cs="Times New Roman"/>
                <w:bCs/>
                <w:sz w:val="20"/>
                <w:szCs w:val="20"/>
              </w:rPr>
              <w:t>4</w:t>
            </w:r>
            <w:r w:rsidRPr="00FA13F0">
              <w:rPr>
                <w:rFonts w:ascii="Times New Roman" w:eastAsia="Calibri" w:hAnsi="Times New Roman" w:cs="Times New Roman"/>
                <w:bCs/>
                <w:sz w:val="20"/>
                <w:szCs w:val="20"/>
              </w:rPr>
              <w:t>.</w:t>
            </w:r>
            <w:r w:rsidR="00FA13F0" w:rsidRPr="00FA13F0">
              <w:rPr>
                <w:rFonts w:ascii="Times New Roman" w:eastAsia="Calibri" w:hAnsi="Times New Roman" w:cs="Times New Roman"/>
                <w:bCs/>
                <w:sz w:val="20"/>
                <w:szCs w:val="20"/>
              </w:rPr>
              <w:t> </w:t>
            </w:r>
            <w:r w:rsidRPr="00FA13F0">
              <w:rPr>
                <w:rFonts w:ascii="Times New Roman" w:eastAsia="Calibri" w:hAnsi="Times New Roman" w:cs="Times New Roman"/>
                <w:bCs/>
                <w:sz w:val="20"/>
                <w:szCs w:val="20"/>
              </w:rPr>
              <w:t>attēls. Niedru pļaušana ezeru krastos (B.1.5.)</w:t>
            </w:r>
          </w:p>
        </w:tc>
      </w:tr>
    </w:tbl>
    <w:p w14:paraId="1BD92716" w14:textId="77777777" w:rsidR="00A21E83" w:rsidRPr="00A07F29" w:rsidRDefault="00A21E83" w:rsidP="00A21E83">
      <w:pPr>
        <w:spacing w:after="0" w:line="240" w:lineRule="auto"/>
        <w:jc w:val="both"/>
        <w:rPr>
          <w:rFonts w:ascii="Times New Roman" w:eastAsia="Calibri" w:hAnsi="Times New Roman" w:cs="Times New Roman"/>
          <w:sz w:val="24"/>
          <w:szCs w:val="24"/>
        </w:rPr>
      </w:pPr>
    </w:p>
    <w:p w14:paraId="74BD4357" w14:textId="7D726A0C" w:rsidR="00A21E83" w:rsidRPr="00A07F29" w:rsidRDefault="00A21E83" w:rsidP="00340783">
      <w:pPr>
        <w:spacing w:before="120" w:after="120" w:line="240" w:lineRule="auto"/>
        <w:jc w:val="both"/>
        <w:rPr>
          <w:rFonts w:ascii="Times New Roman" w:eastAsia="Calibri" w:hAnsi="Times New Roman" w:cs="Times New Roman"/>
          <w:sz w:val="24"/>
          <w:szCs w:val="24"/>
        </w:rPr>
      </w:pPr>
      <w:r w:rsidRPr="00A07F29">
        <w:rPr>
          <w:rFonts w:ascii="Times New Roman" w:eastAsia="Calibri" w:hAnsi="Times New Roman" w:cs="Times New Roman"/>
          <w:b/>
          <w:i/>
          <w:sz w:val="24"/>
          <w:szCs w:val="24"/>
        </w:rPr>
        <w:t xml:space="preserve">B.1.6. Ūdens līmeņa normalizēšana </w:t>
      </w:r>
      <w:r w:rsidR="007A6053" w:rsidRPr="00A07F29">
        <w:rPr>
          <w:rFonts w:ascii="Times New Roman" w:eastAsia="Calibri" w:hAnsi="Times New Roman" w:cs="Times New Roman"/>
          <w:b/>
          <w:i/>
          <w:sz w:val="24"/>
          <w:szCs w:val="24"/>
        </w:rPr>
        <w:t>(</w:t>
      </w:r>
      <w:r w:rsidR="00A55A80" w:rsidRPr="00A07F29">
        <w:rPr>
          <w:rFonts w:ascii="Times New Roman" w:eastAsia="Calibri" w:hAnsi="Times New Roman" w:cs="Times New Roman"/>
          <w:b/>
          <w:i/>
          <w:sz w:val="24"/>
          <w:szCs w:val="24"/>
        </w:rPr>
        <w:t>c</w:t>
      </w:r>
      <w:r w:rsidRPr="00A07F29">
        <w:rPr>
          <w:rFonts w:ascii="Times New Roman" w:eastAsia="Calibri" w:hAnsi="Times New Roman" w:cs="Times New Roman"/>
          <w:b/>
          <w:i/>
          <w:sz w:val="24"/>
          <w:szCs w:val="24"/>
        </w:rPr>
        <w:t>aurtekas pārbūve</w:t>
      </w:r>
      <w:r w:rsidR="007A6053" w:rsidRPr="00A07F29">
        <w:rPr>
          <w:rFonts w:ascii="Times New Roman" w:eastAsia="Calibri" w:hAnsi="Times New Roman" w:cs="Times New Roman"/>
          <w:b/>
          <w:i/>
          <w:sz w:val="24"/>
          <w:szCs w:val="24"/>
        </w:rPr>
        <w:t>)</w:t>
      </w:r>
      <w:r w:rsidRPr="00A07F29">
        <w:rPr>
          <w:rFonts w:ascii="Times New Roman" w:eastAsia="Calibri" w:hAnsi="Times New Roman" w:cs="Times New Roman"/>
          <w:b/>
          <w:i/>
          <w:sz w:val="24"/>
          <w:szCs w:val="24"/>
        </w:rPr>
        <w:t xml:space="preserve"> </w:t>
      </w:r>
      <w:proofErr w:type="spellStart"/>
      <w:r w:rsidRPr="00A07F29">
        <w:rPr>
          <w:rFonts w:ascii="Times New Roman" w:eastAsia="Calibri" w:hAnsi="Times New Roman" w:cs="Times New Roman"/>
          <w:b/>
          <w:i/>
          <w:sz w:val="24"/>
          <w:szCs w:val="24"/>
        </w:rPr>
        <w:t>Varnaviču</w:t>
      </w:r>
      <w:proofErr w:type="spellEnd"/>
      <w:r w:rsidRPr="00A07F29">
        <w:rPr>
          <w:rFonts w:ascii="Times New Roman" w:eastAsia="Calibri" w:hAnsi="Times New Roman" w:cs="Times New Roman"/>
          <w:b/>
          <w:i/>
          <w:sz w:val="24"/>
          <w:szCs w:val="24"/>
        </w:rPr>
        <w:t xml:space="preserve">, </w:t>
      </w:r>
      <w:proofErr w:type="spellStart"/>
      <w:r w:rsidRPr="00A07F29">
        <w:rPr>
          <w:rFonts w:ascii="Times New Roman" w:eastAsia="Calibri" w:hAnsi="Times New Roman" w:cs="Times New Roman"/>
          <w:b/>
          <w:i/>
          <w:sz w:val="24"/>
          <w:szCs w:val="24"/>
        </w:rPr>
        <w:t>Krivoje</w:t>
      </w:r>
      <w:proofErr w:type="spellEnd"/>
      <w:r w:rsidRPr="00A07F29">
        <w:rPr>
          <w:rFonts w:ascii="Times New Roman" w:eastAsia="Calibri" w:hAnsi="Times New Roman" w:cs="Times New Roman"/>
          <w:b/>
          <w:i/>
          <w:sz w:val="24"/>
          <w:szCs w:val="24"/>
        </w:rPr>
        <w:t xml:space="preserve"> un </w:t>
      </w:r>
      <w:proofErr w:type="spellStart"/>
      <w:r w:rsidRPr="00A07F29">
        <w:rPr>
          <w:rFonts w:ascii="Times New Roman" w:eastAsia="Calibri" w:hAnsi="Times New Roman" w:cs="Times New Roman"/>
          <w:b/>
          <w:i/>
          <w:sz w:val="24"/>
          <w:szCs w:val="24"/>
        </w:rPr>
        <w:t>Jablonkas</w:t>
      </w:r>
      <w:proofErr w:type="spellEnd"/>
      <w:r w:rsidRPr="00A07F29">
        <w:rPr>
          <w:rFonts w:ascii="Times New Roman" w:eastAsia="Calibri" w:hAnsi="Times New Roman" w:cs="Times New Roman"/>
          <w:b/>
          <w:i/>
          <w:sz w:val="24"/>
          <w:szCs w:val="24"/>
        </w:rPr>
        <w:t xml:space="preserve"> ezerā</w:t>
      </w:r>
    </w:p>
    <w:p w14:paraId="1BCD6455" w14:textId="77777777" w:rsidR="00A21E83" w:rsidRPr="00A07F29" w:rsidRDefault="00A21E83" w:rsidP="00A21E83">
      <w:pPr>
        <w:spacing w:after="0" w:line="240" w:lineRule="auto"/>
        <w:jc w:val="both"/>
        <w:rPr>
          <w:rFonts w:ascii="Times New Roman" w:eastAsia="Calibri" w:hAnsi="Times New Roman" w:cs="Times New Roman"/>
          <w:sz w:val="24"/>
          <w:szCs w:val="24"/>
        </w:rPr>
      </w:pPr>
      <w:r w:rsidRPr="00A07F29">
        <w:rPr>
          <w:rFonts w:ascii="Times New Roman" w:eastAsia="Calibri" w:hAnsi="Times New Roman" w:cs="Times New Roman"/>
          <w:bCs/>
          <w:i/>
          <w:iCs/>
          <w:sz w:val="24"/>
          <w:szCs w:val="24"/>
        </w:rPr>
        <w:t>Mērķis</w:t>
      </w:r>
    </w:p>
    <w:p w14:paraId="318ED0F2" w14:textId="6898CF11" w:rsidR="00A21E83" w:rsidRPr="00A07F29" w:rsidRDefault="00A21E83" w:rsidP="00340783">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bCs/>
          <w:sz w:val="24"/>
          <w:szCs w:val="24"/>
        </w:rPr>
        <w:t xml:space="preserve">Samazināt </w:t>
      </w:r>
      <w:proofErr w:type="spellStart"/>
      <w:r w:rsidRPr="00A07F29">
        <w:rPr>
          <w:rFonts w:ascii="Times New Roman" w:eastAsia="Calibri" w:hAnsi="Times New Roman" w:cs="Times New Roman"/>
          <w:bCs/>
          <w:sz w:val="24"/>
          <w:szCs w:val="24"/>
        </w:rPr>
        <w:t>biogēnu</w:t>
      </w:r>
      <w:proofErr w:type="spellEnd"/>
      <w:r w:rsidRPr="00A07F29">
        <w:rPr>
          <w:rFonts w:ascii="Times New Roman" w:eastAsia="Calibri" w:hAnsi="Times New Roman" w:cs="Times New Roman"/>
          <w:bCs/>
          <w:sz w:val="24"/>
          <w:szCs w:val="24"/>
        </w:rPr>
        <w:t xml:space="preserve"> ieskalošanos ezerā no krasta, kas veicina ezera piekrastes aizaugšanu ar </w:t>
      </w:r>
      <w:proofErr w:type="spellStart"/>
      <w:r w:rsidRPr="00A07F29">
        <w:rPr>
          <w:rFonts w:ascii="Times New Roman" w:eastAsia="Calibri" w:hAnsi="Times New Roman" w:cs="Times New Roman"/>
          <w:bCs/>
          <w:sz w:val="24"/>
          <w:szCs w:val="24"/>
        </w:rPr>
        <w:t>virsūdens</w:t>
      </w:r>
      <w:proofErr w:type="spellEnd"/>
      <w:r w:rsidRPr="00A07F29">
        <w:rPr>
          <w:rFonts w:ascii="Times New Roman" w:eastAsia="Calibri" w:hAnsi="Times New Roman" w:cs="Times New Roman"/>
          <w:bCs/>
          <w:sz w:val="24"/>
          <w:szCs w:val="24"/>
        </w:rPr>
        <w:t xml:space="preserve"> augāju un ezera </w:t>
      </w:r>
      <w:proofErr w:type="spellStart"/>
      <w:r w:rsidRPr="00A07F29">
        <w:rPr>
          <w:rFonts w:ascii="Times New Roman" w:eastAsia="Calibri" w:hAnsi="Times New Roman" w:cs="Times New Roman"/>
          <w:bCs/>
          <w:sz w:val="24"/>
          <w:szCs w:val="24"/>
        </w:rPr>
        <w:t>eitroficēšanos</w:t>
      </w:r>
      <w:proofErr w:type="spellEnd"/>
      <w:r w:rsidRPr="00A07F29">
        <w:rPr>
          <w:rFonts w:ascii="Times New Roman" w:eastAsia="Calibri" w:hAnsi="Times New Roman" w:cs="Times New Roman"/>
          <w:bCs/>
          <w:sz w:val="24"/>
          <w:szCs w:val="24"/>
        </w:rPr>
        <w:t>.</w:t>
      </w:r>
    </w:p>
    <w:p w14:paraId="4EF29301" w14:textId="77777777" w:rsidR="00A21E83" w:rsidRPr="00A07F29" w:rsidRDefault="00A21E83" w:rsidP="00A21E83">
      <w:pPr>
        <w:spacing w:after="0" w:line="240" w:lineRule="auto"/>
        <w:jc w:val="both"/>
        <w:rPr>
          <w:rFonts w:ascii="Times New Roman" w:eastAsia="Calibri" w:hAnsi="Times New Roman" w:cs="Times New Roman"/>
          <w:i/>
          <w:iCs/>
          <w:sz w:val="24"/>
          <w:szCs w:val="24"/>
        </w:rPr>
      </w:pPr>
      <w:r w:rsidRPr="00A07F29">
        <w:rPr>
          <w:rFonts w:ascii="Times New Roman" w:eastAsia="Calibri" w:hAnsi="Times New Roman" w:cs="Times New Roman"/>
          <w:bCs/>
          <w:i/>
          <w:iCs/>
          <w:sz w:val="24"/>
          <w:szCs w:val="24"/>
        </w:rPr>
        <w:t>Pasākuma apraksts, nosacījumi pasākuma veikšanai, ieteicamie tehniskie paņēmieni</w:t>
      </w:r>
    </w:p>
    <w:p w14:paraId="4AFE64F4" w14:textId="14779D90" w:rsidR="00A21E83" w:rsidRPr="00A07F29" w:rsidRDefault="00A21E83" w:rsidP="00E646BC">
      <w:pPr>
        <w:spacing w:after="0" w:line="240" w:lineRule="auto"/>
        <w:ind w:firstLine="851"/>
        <w:jc w:val="both"/>
        <w:rPr>
          <w:rFonts w:ascii="Times New Roman" w:eastAsia="Calibri" w:hAnsi="Times New Roman" w:cs="Times New Roman"/>
          <w:sz w:val="24"/>
          <w:szCs w:val="24"/>
        </w:rPr>
      </w:pPr>
      <w:proofErr w:type="spellStart"/>
      <w:r w:rsidRPr="00FC129D">
        <w:rPr>
          <w:rFonts w:ascii="Times New Roman" w:eastAsia="Calibri" w:hAnsi="Times New Roman" w:cs="Times New Roman"/>
          <w:sz w:val="24"/>
          <w:szCs w:val="24"/>
        </w:rPr>
        <w:lastRenderedPageBreak/>
        <w:t>Varnaviču</w:t>
      </w:r>
      <w:proofErr w:type="spellEnd"/>
      <w:r w:rsidRPr="00FC129D">
        <w:rPr>
          <w:rFonts w:ascii="Times New Roman" w:eastAsia="Calibri" w:hAnsi="Times New Roman" w:cs="Times New Roman"/>
          <w:sz w:val="24"/>
          <w:szCs w:val="24"/>
        </w:rPr>
        <w:t xml:space="preserve"> ezera</w:t>
      </w:r>
      <w:r w:rsidRPr="00A07F29">
        <w:rPr>
          <w:rFonts w:ascii="Times New Roman" w:eastAsia="Calibri" w:hAnsi="Times New Roman" w:cs="Times New Roman"/>
          <w:sz w:val="24"/>
          <w:szCs w:val="24"/>
        </w:rPr>
        <w:t xml:space="preserve"> izpētē tika pārbaudīta informācija par ezera līmeņa paaugstinājumu sakarā ar pārāk augstu iebūvētu caurteku zem </w:t>
      </w:r>
      <w:r w:rsidR="00E646BC" w:rsidRPr="00A07F29">
        <w:rPr>
          <w:rFonts w:ascii="Times New Roman" w:eastAsia="Calibri" w:hAnsi="Times New Roman" w:cs="Times New Roman"/>
          <w:bCs/>
          <w:sz w:val="24"/>
          <w:szCs w:val="24"/>
        </w:rPr>
        <w:t xml:space="preserve">Priedaines – </w:t>
      </w:r>
      <w:proofErr w:type="spellStart"/>
      <w:r w:rsidR="00E646BC" w:rsidRPr="00A07F29">
        <w:rPr>
          <w:rFonts w:ascii="Times New Roman" w:eastAsia="Calibri" w:hAnsi="Times New Roman" w:cs="Times New Roman"/>
          <w:bCs/>
          <w:sz w:val="24"/>
          <w:szCs w:val="24"/>
        </w:rPr>
        <w:t>Robeždaugavas</w:t>
      </w:r>
      <w:proofErr w:type="spellEnd"/>
      <w:r w:rsidR="00E646BC" w:rsidRPr="00A07F29">
        <w:rPr>
          <w:rFonts w:ascii="Times New Roman" w:eastAsia="Calibri" w:hAnsi="Times New Roman" w:cs="Times New Roman"/>
          <w:bCs/>
          <w:sz w:val="24"/>
          <w:szCs w:val="24"/>
        </w:rPr>
        <w:t xml:space="preserve"> </w:t>
      </w:r>
      <w:r w:rsidRPr="00A07F29">
        <w:rPr>
          <w:rFonts w:ascii="Times New Roman" w:eastAsia="Calibri" w:hAnsi="Times New Roman" w:cs="Times New Roman"/>
          <w:sz w:val="24"/>
          <w:szCs w:val="24"/>
        </w:rPr>
        <w:t>ceļa</w:t>
      </w:r>
      <w:r w:rsidR="00EC4E24" w:rsidRPr="00A07F29">
        <w:rPr>
          <w:rFonts w:ascii="Times New Roman" w:eastAsia="Calibri" w:hAnsi="Times New Roman" w:cs="Times New Roman"/>
          <w:sz w:val="24"/>
          <w:szCs w:val="24"/>
        </w:rPr>
        <w:t xml:space="preserve"> (</w:t>
      </w:r>
      <w:r w:rsidR="00862737">
        <w:rPr>
          <w:rFonts w:ascii="Times New Roman" w:eastAsia="Calibri" w:hAnsi="Times New Roman" w:cs="Times New Roman"/>
          <w:sz w:val="24"/>
          <w:szCs w:val="24"/>
        </w:rPr>
        <w:t>skat.</w:t>
      </w:r>
      <w:r w:rsidR="00154467">
        <w:rPr>
          <w:rFonts w:ascii="Times New Roman" w:eastAsia="Calibri" w:hAnsi="Times New Roman" w:cs="Times New Roman"/>
          <w:sz w:val="24"/>
          <w:szCs w:val="24"/>
        </w:rPr>
        <w:t xml:space="preserve"> </w:t>
      </w:r>
      <w:r w:rsidR="00EC4E24" w:rsidRPr="00A07F29">
        <w:rPr>
          <w:rFonts w:ascii="Times New Roman" w:eastAsia="Calibri" w:hAnsi="Times New Roman" w:cs="Times New Roman"/>
          <w:sz w:val="24"/>
          <w:szCs w:val="24"/>
        </w:rPr>
        <w:t>5.3.</w:t>
      </w:r>
      <w:r w:rsidR="00154467">
        <w:rPr>
          <w:rFonts w:ascii="Times New Roman" w:eastAsia="Calibri" w:hAnsi="Times New Roman" w:cs="Times New Roman"/>
          <w:sz w:val="24"/>
          <w:szCs w:val="24"/>
        </w:rPr>
        <w:t>5</w:t>
      </w:r>
      <w:r w:rsidR="00EC4E24" w:rsidRPr="00A07F29">
        <w:rPr>
          <w:rFonts w:ascii="Times New Roman" w:eastAsia="Calibri" w:hAnsi="Times New Roman" w:cs="Times New Roman"/>
          <w:sz w:val="24"/>
          <w:szCs w:val="24"/>
        </w:rPr>
        <w:t>.</w:t>
      </w:r>
      <w:r w:rsidR="00154467">
        <w:rPr>
          <w:rFonts w:ascii="Times New Roman" w:eastAsia="Calibri" w:hAnsi="Times New Roman" w:cs="Times New Roman"/>
          <w:sz w:val="24"/>
          <w:szCs w:val="24"/>
        </w:rPr>
        <w:t> </w:t>
      </w:r>
      <w:r w:rsidR="00EC4E24" w:rsidRPr="00A07F29">
        <w:rPr>
          <w:rFonts w:ascii="Times New Roman" w:eastAsia="Calibri" w:hAnsi="Times New Roman" w:cs="Times New Roman"/>
          <w:sz w:val="24"/>
          <w:szCs w:val="24"/>
        </w:rPr>
        <w:t>att</w:t>
      </w:r>
      <w:r w:rsidR="00154467">
        <w:rPr>
          <w:rFonts w:ascii="Times New Roman" w:eastAsia="Calibri" w:hAnsi="Times New Roman" w:cs="Times New Roman"/>
          <w:sz w:val="24"/>
          <w:szCs w:val="24"/>
        </w:rPr>
        <w:t>ēls</w:t>
      </w:r>
      <w:r w:rsidR="00EC4E24" w:rsidRPr="00A07F29">
        <w:rPr>
          <w:rFonts w:ascii="Times New Roman" w:eastAsia="Calibri" w:hAnsi="Times New Roman" w:cs="Times New Roman"/>
          <w:sz w:val="24"/>
          <w:szCs w:val="24"/>
        </w:rPr>
        <w:t>)</w:t>
      </w:r>
      <w:r w:rsidRPr="00A07F29">
        <w:rPr>
          <w:rFonts w:ascii="Times New Roman" w:eastAsia="Calibri" w:hAnsi="Times New Roman" w:cs="Times New Roman"/>
          <w:sz w:val="24"/>
          <w:szCs w:val="24"/>
        </w:rPr>
        <w:t>. Konstatēts ezera līmeņa paaugstinājums par apmēram 0,</w:t>
      </w:r>
      <w:r w:rsidR="006D4B4A" w:rsidRPr="00A07F29">
        <w:rPr>
          <w:rFonts w:ascii="Times New Roman" w:eastAsia="Calibri" w:hAnsi="Times New Roman" w:cs="Times New Roman"/>
          <w:sz w:val="24"/>
          <w:szCs w:val="24"/>
        </w:rPr>
        <w:t>5</w:t>
      </w:r>
      <w:r w:rsidR="00154467">
        <w:rPr>
          <w:rFonts w:ascii="Times New Roman" w:eastAsia="Calibri" w:hAnsi="Times New Roman" w:cs="Times New Roman"/>
          <w:sz w:val="24"/>
          <w:szCs w:val="24"/>
        </w:rPr>
        <w:t> </w:t>
      </w:r>
      <w:r w:rsidR="006D4B4A" w:rsidRPr="00A07F29">
        <w:rPr>
          <w:rFonts w:ascii="Times New Roman" w:eastAsia="Calibri" w:hAnsi="Times New Roman" w:cs="Times New Roman"/>
          <w:sz w:val="24"/>
          <w:szCs w:val="24"/>
        </w:rPr>
        <w:t>m.</w:t>
      </w:r>
      <w:r w:rsidRPr="00A07F29">
        <w:rPr>
          <w:rFonts w:ascii="Times New Roman" w:eastAsia="Calibri" w:hAnsi="Times New Roman" w:cs="Times New Roman"/>
          <w:sz w:val="24"/>
          <w:szCs w:val="24"/>
        </w:rPr>
        <w:t xml:space="preserve"> </w:t>
      </w:r>
    </w:p>
    <w:p w14:paraId="1C73CB72" w14:textId="3BE75E89" w:rsidR="00A21E83" w:rsidRPr="00A07F29" w:rsidRDefault="00A21E83" w:rsidP="00E646BC">
      <w:pPr>
        <w:spacing w:after="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Līmeņa paaugstināšana negatīvi ietekmē ezeru ekoloģisko kvalitāti, bet sevišķi būtiska var būt līmeņa paaugstināšanas ietekme uz </w:t>
      </w:r>
      <w:proofErr w:type="spellStart"/>
      <w:r w:rsidRPr="00A07F29">
        <w:rPr>
          <w:rFonts w:ascii="Times New Roman" w:eastAsia="Calibri" w:hAnsi="Times New Roman" w:cs="Times New Roman"/>
          <w:sz w:val="24"/>
          <w:szCs w:val="24"/>
        </w:rPr>
        <w:t>mezotrofajiem</w:t>
      </w:r>
      <w:proofErr w:type="spellEnd"/>
      <w:r w:rsidRPr="00A07F29">
        <w:rPr>
          <w:rFonts w:ascii="Times New Roman" w:eastAsia="Calibri" w:hAnsi="Times New Roman" w:cs="Times New Roman"/>
          <w:sz w:val="24"/>
          <w:szCs w:val="24"/>
        </w:rPr>
        <w:t xml:space="preserve"> ezeriem. Sakarā ar mazo </w:t>
      </w:r>
      <w:proofErr w:type="spellStart"/>
      <w:r w:rsidRPr="00A07F29">
        <w:rPr>
          <w:rFonts w:ascii="Times New Roman" w:eastAsia="Calibri" w:hAnsi="Times New Roman" w:cs="Times New Roman"/>
          <w:sz w:val="24"/>
          <w:szCs w:val="24"/>
        </w:rPr>
        <w:t>biogēnu</w:t>
      </w:r>
      <w:proofErr w:type="spellEnd"/>
      <w:r w:rsidRPr="00A07F29">
        <w:rPr>
          <w:rFonts w:ascii="Times New Roman" w:eastAsia="Calibri" w:hAnsi="Times New Roman" w:cs="Times New Roman"/>
          <w:sz w:val="24"/>
          <w:szCs w:val="24"/>
        </w:rPr>
        <w:t xml:space="preserve"> daudzumu ekosistēmā</w:t>
      </w:r>
      <w:r w:rsidR="000E5146">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no pārpludinātās augsnes ieskaloto </w:t>
      </w:r>
      <w:proofErr w:type="spellStart"/>
      <w:r w:rsidRPr="00A07F29">
        <w:rPr>
          <w:rFonts w:ascii="Times New Roman" w:eastAsia="Calibri" w:hAnsi="Times New Roman" w:cs="Times New Roman"/>
          <w:sz w:val="24"/>
          <w:szCs w:val="24"/>
        </w:rPr>
        <w:t>biogēnu</w:t>
      </w:r>
      <w:proofErr w:type="spellEnd"/>
      <w:r w:rsidRPr="00A07F29">
        <w:rPr>
          <w:rFonts w:ascii="Times New Roman" w:eastAsia="Calibri" w:hAnsi="Times New Roman" w:cs="Times New Roman"/>
          <w:sz w:val="24"/>
          <w:szCs w:val="24"/>
        </w:rPr>
        <w:t xml:space="preserve"> daudzums ir procentuāli augsts.</w:t>
      </w:r>
    </w:p>
    <w:p w14:paraId="21508FFC" w14:textId="42115276" w:rsidR="00A21E83" w:rsidRPr="00A07F29" w:rsidRDefault="00A21E83" w:rsidP="00E646BC">
      <w:pPr>
        <w:spacing w:after="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Caurtekas pārbūve ir augstas prioritātes pasākums, lai ezerā nodrošinātu normālo ūdens līmeni. </w:t>
      </w:r>
      <w:r w:rsidR="00A55A80" w:rsidRPr="00A07F29">
        <w:rPr>
          <w:rFonts w:ascii="Times New Roman" w:hAnsi="Times New Roman" w:cs="Times New Roman"/>
          <w:sz w:val="24"/>
          <w:szCs w:val="24"/>
        </w:rPr>
        <w:t xml:space="preserve">Ūdens līmeņa normalizēšanās tiks panākta arī </w:t>
      </w:r>
      <w:proofErr w:type="spellStart"/>
      <w:r w:rsidR="00A55A80" w:rsidRPr="00A07F29">
        <w:rPr>
          <w:rFonts w:ascii="Times New Roman" w:hAnsi="Times New Roman" w:cs="Times New Roman"/>
          <w:sz w:val="24"/>
          <w:szCs w:val="24"/>
        </w:rPr>
        <w:t>Varnaviču</w:t>
      </w:r>
      <w:proofErr w:type="spellEnd"/>
      <w:r w:rsidR="00A55A80" w:rsidRPr="00A07F29">
        <w:rPr>
          <w:rFonts w:ascii="Times New Roman" w:hAnsi="Times New Roman" w:cs="Times New Roman"/>
          <w:sz w:val="24"/>
          <w:szCs w:val="24"/>
        </w:rPr>
        <w:t xml:space="preserve"> ezera sateces baseinā esošajos ezeros – </w:t>
      </w:r>
      <w:proofErr w:type="spellStart"/>
      <w:r w:rsidR="00A55A80" w:rsidRPr="00A07F29">
        <w:rPr>
          <w:rFonts w:ascii="Times New Roman" w:hAnsi="Times New Roman" w:cs="Times New Roman"/>
          <w:sz w:val="24"/>
          <w:szCs w:val="24"/>
        </w:rPr>
        <w:t>Krivoje</w:t>
      </w:r>
      <w:proofErr w:type="spellEnd"/>
      <w:r w:rsidR="00A55A80" w:rsidRPr="00A07F29">
        <w:rPr>
          <w:rFonts w:ascii="Times New Roman" w:hAnsi="Times New Roman" w:cs="Times New Roman"/>
          <w:sz w:val="24"/>
          <w:szCs w:val="24"/>
        </w:rPr>
        <w:t xml:space="preserve"> un </w:t>
      </w:r>
      <w:proofErr w:type="spellStart"/>
      <w:r w:rsidR="00A55A80" w:rsidRPr="00A07F29">
        <w:rPr>
          <w:rFonts w:ascii="Times New Roman" w:hAnsi="Times New Roman" w:cs="Times New Roman"/>
          <w:sz w:val="24"/>
          <w:szCs w:val="24"/>
        </w:rPr>
        <w:t>Jablonkas</w:t>
      </w:r>
      <w:proofErr w:type="spellEnd"/>
      <w:r w:rsidR="00A55A80" w:rsidRPr="00A07F29">
        <w:rPr>
          <w:rFonts w:ascii="Times New Roman" w:hAnsi="Times New Roman" w:cs="Times New Roman"/>
          <w:sz w:val="24"/>
          <w:szCs w:val="24"/>
        </w:rPr>
        <w:t xml:space="preserve"> ezerā.</w:t>
      </w:r>
    </w:p>
    <w:p w14:paraId="2AB07989" w14:textId="77777777" w:rsidR="00A21E83" w:rsidRPr="00A07F29" w:rsidRDefault="00A21E83" w:rsidP="00E646BC">
      <w:pPr>
        <w:spacing w:after="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Vienlaicīgi, ja caurteka tiek pārveidota, būtu vēlams nodrošināt caurtekai pietiekamu rezervi plūdu situācijās.</w:t>
      </w:r>
    </w:p>
    <w:p w14:paraId="4F333F15" w14:textId="407F0899" w:rsidR="00A21E83" w:rsidRPr="00A07F29" w:rsidRDefault="00A21E83" w:rsidP="00E646BC">
      <w:pPr>
        <w:spacing w:after="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Uz iztekošā </w:t>
      </w:r>
      <w:proofErr w:type="spellStart"/>
      <w:r w:rsidRPr="00A07F29">
        <w:rPr>
          <w:rFonts w:ascii="Times New Roman" w:eastAsia="Calibri" w:hAnsi="Times New Roman" w:cs="Times New Roman"/>
          <w:sz w:val="24"/>
          <w:szCs w:val="24"/>
        </w:rPr>
        <w:t>Varnaviču</w:t>
      </w:r>
      <w:proofErr w:type="spellEnd"/>
      <w:r w:rsidRPr="00A07F29">
        <w:rPr>
          <w:rFonts w:ascii="Times New Roman" w:eastAsia="Calibri" w:hAnsi="Times New Roman" w:cs="Times New Roman"/>
          <w:sz w:val="24"/>
          <w:szCs w:val="24"/>
        </w:rPr>
        <w:t xml:space="preserve"> strauta, posmā no ezera līdz autoceļam (valsts vietējais autoceļš V633 Krāslava </w:t>
      </w:r>
      <w:r w:rsidR="00D624E1">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Varnaviči</w:t>
      </w:r>
      <w:proofErr w:type="spellEnd"/>
      <w:r w:rsidRPr="00A07F29">
        <w:rPr>
          <w:rFonts w:ascii="Times New Roman" w:eastAsia="Calibri" w:hAnsi="Times New Roman" w:cs="Times New Roman"/>
          <w:sz w:val="24"/>
          <w:szCs w:val="24"/>
        </w:rPr>
        <w:t xml:space="preserve"> </w:t>
      </w:r>
      <w:r w:rsidR="00D624E1">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Robeždaugava</w:t>
      </w:r>
      <w:proofErr w:type="spellEnd"/>
      <w:r w:rsidRPr="00A07F29">
        <w:rPr>
          <w:rFonts w:ascii="Times New Roman" w:eastAsia="Calibri" w:hAnsi="Times New Roman" w:cs="Times New Roman"/>
          <w:sz w:val="24"/>
          <w:szCs w:val="24"/>
        </w:rPr>
        <w:t xml:space="preserve">) ir izveidots dīķis, ar sašaurinājumu iztekošajā galā un strautu pilnībā nosprostojošiem sietiem </w:t>
      </w:r>
      <w:r w:rsidR="00625347">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norobežotais strauta posms ir apmēram 90 m garš. </w:t>
      </w:r>
    </w:p>
    <w:p w14:paraId="7C07D8F3" w14:textId="77777777" w:rsidR="00A21E83" w:rsidRPr="00A07F29" w:rsidRDefault="00A21E83" w:rsidP="00E646BC">
      <w:pPr>
        <w:spacing w:after="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bCs/>
          <w:sz w:val="24"/>
          <w:szCs w:val="24"/>
        </w:rPr>
        <w:t>Nepieciešams izvērtēt šāda nosprostojuma veidošanas uz iztekošās ūdensteces atbilstību normatīvo aktu prasībām, un neatbilstības gadījumā ir jāizskata iespējas dīķi likvidēt. Pēc caurtekas pārbūves un ūdens līmeņa normalizēšanas ezerā, ūdens līmenis dīķī kritīsies, un pastāv potenciāls apdraudējums ezeram, ja ūdens līmeni dīķī mēģinās noturēt ar aizsprostu, kas dīķa lejasgala sašaurinājumā ir viegli izdarāms.</w:t>
      </w:r>
    </w:p>
    <w:p w14:paraId="541AD7B0" w14:textId="700F560A" w:rsidR="00A21E83" w:rsidRPr="00A07F29" w:rsidRDefault="00A21E83" w:rsidP="00A21E83">
      <w:pPr>
        <w:spacing w:after="0" w:line="240" w:lineRule="auto"/>
        <w:jc w:val="both"/>
        <w:rPr>
          <w:rFonts w:ascii="Times New Roman" w:eastAsia="Calibri" w:hAnsi="Times New Roman" w:cs="Times New Roman"/>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1"/>
      </w:tblGrid>
      <w:tr w:rsidR="00EC4E24" w:rsidRPr="00A07F29" w14:paraId="0FC0C534" w14:textId="77777777" w:rsidTr="63C42FA1">
        <w:tc>
          <w:tcPr>
            <w:tcW w:w="9061" w:type="dxa"/>
          </w:tcPr>
          <w:p w14:paraId="67A71440" w14:textId="5152A08B" w:rsidR="00EC4E24" w:rsidRPr="00A07F29" w:rsidRDefault="006C7E95" w:rsidP="00BD1DC3">
            <w:pPr>
              <w:keepNext/>
              <w:jc w:val="both"/>
              <w:rPr>
                <w:rFonts w:ascii="Times New Roman" w:eastAsia="Calibri" w:hAnsi="Times New Roman" w:cs="Times New Roman"/>
                <w:bCs/>
                <w:sz w:val="24"/>
                <w:szCs w:val="24"/>
              </w:rPr>
            </w:pPr>
            <w:r w:rsidRPr="00A07F29">
              <w:rPr>
                <w:noProof/>
                <w:lang w:eastAsia="lv-LV"/>
              </w:rPr>
              <w:drawing>
                <wp:inline distT="0" distB="0" distL="0" distR="0" wp14:anchorId="546BE841" wp14:editId="761FD53A">
                  <wp:extent cx="4456740" cy="3150820"/>
                  <wp:effectExtent l="0" t="0" r="1270" b="0"/>
                  <wp:docPr id="918145592" name="Picture 918145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8145592"/>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4489286" cy="3173829"/>
                          </a:xfrm>
                          <a:prstGeom prst="rect">
                            <a:avLst/>
                          </a:prstGeom>
                        </pic:spPr>
                      </pic:pic>
                    </a:graphicData>
                  </a:graphic>
                </wp:inline>
              </w:drawing>
            </w:r>
          </w:p>
        </w:tc>
      </w:tr>
      <w:tr w:rsidR="00EC4E24" w:rsidRPr="00A07F29" w14:paraId="2620A56D" w14:textId="77777777" w:rsidTr="63C42FA1">
        <w:tc>
          <w:tcPr>
            <w:tcW w:w="9061" w:type="dxa"/>
          </w:tcPr>
          <w:p w14:paraId="715A0938" w14:textId="48E0FE28" w:rsidR="00EC4E24" w:rsidRPr="000F1FFD" w:rsidRDefault="00EC4E24" w:rsidP="00A21E83">
            <w:pPr>
              <w:jc w:val="both"/>
              <w:rPr>
                <w:rFonts w:ascii="Times New Roman" w:eastAsia="Calibri" w:hAnsi="Times New Roman" w:cs="Times New Roman"/>
                <w:bCs/>
                <w:sz w:val="20"/>
                <w:szCs w:val="20"/>
              </w:rPr>
            </w:pPr>
            <w:r w:rsidRPr="000F1FFD">
              <w:rPr>
                <w:rFonts w:ascii="Times New Roman" w:eastAsia="Calibri" w:hAnsi="Times New Roman" w:cs="Times New Roman"/>
                <w:bCs/>
                <w:sz w:val="20"/>
                <w:szCs w:val="20"/>
              </w:rPr>
              <w:t>5.3.</w:t>
            </w:r>
            <w:r w:rsidR="000F1FFD" w:rsidRPr="000F1FFD">
              <w:rPr>
                <w:rFonts w:ascii="Times New Roman" w:eastAsia="Calibri" w:hAnsi="Times New Roman" w:cs="Times New Roman"/>
                <w:bCs/>
                <w:sz w:val="20"/>
                <w:szCs w:val="20"/>
              </w:rPr>
              <w:t>5</w:t>
            </w:r>
            <w:r w:rsidRPr="000F1FFD">
              <w:rPr>
                <w:rFonts w:ascii="Times New Roman" w:eastAsia="Calibri" w:hAnsi="Times New Roman" w:cs="Times New Roman"/>
                <w:bCs/>
                <w:sz w:val="20"/>
                <w:szCs w:val="20"/>
              </w:rPr>
              <w:t>.</w:t>
            </w:r>
            <w:r w:rsidR="000F1FFD" w:rsidRPr="000F1FFD">
              <w:rPr>
                <w:rFonts w:ascii="Times New Roman" w:eastAsia="Calibri" w:hAnsi="Times New Roman" w:cs="Times New Roman"/>
                <w:bCs/>
                <w:sz w:val="20"/>
                <w:szCs w:val="20"/>
              </w:rPr>
              <w:t> </w:t>
            </w:r>
            <w:r w:rsidRPr="000F1FFD">
              <w:rPr>
                <w:rFonts w:ascii="Times New Roman" w:eastAsia="Calibri" w:hAnsi="Times New Roman" w:cs="Times New Roman"/>
                <w:bCs/>
                <w:sz w:val="20"/>
                <w:szCs w:val="20"/>
              </w:rPr>
              <w:t xml:space="preserve">attēls. Pasākumi </w:t>
            </w:r>
            <w:proofErr w:type="spellStart"/>
            <w:r w:rsidRPr="000F1FFD">
              <w:rPr>
                <w:rFonts w:ascii="Times New Roman" w:eastAsia="Calibri" w:hAnsi="Times New Roman" w:cs="Times New Roman"/>
                <w:bCs/>
                <w:sz w:val="20"/>
                <w:szCs w:val="20"/>
              </w:rPr>
              <w:t>Varnaviču</w:t>
            </w:r>
            <w:proofErr w:type="spellEnd"/>
            <w:r w:rsidRPr="000F1FFD">
              <w:rPr>
                <w:rFonts w:ascii="Times New Roman" w:eastAsia="Calibri" w:hAnsi="Times New Roman" w:cs="Times New Roman"/>
                <w:bCs/>
                <w:sz w:val="20"/>
                <w:szCs w:val="20"/>
              </w:rPr>
              <w:t xml:space="preserve"> ezera apsaimniekošanai (B.1.4. un B.1.6.)</w:t>
            </w:r>
            <w:r w:rsidR="00A32E62" w:rsidRPr="000F1FFD">
              <w:rPr>
                <w:rFonts w:ascii="Times New Roman" w:eastAsia="Calibri" w:hAnsi="Times New Roman" w:cs="Times New Roman"/>
                <w:bCs/>
                <w:sz w:val="20"/>
                <w:szCs w:val="20"/>
              </w:rPr>
              <w:t>.</w:t>
            </w:r>
          </w:p>
        </w:tc>
      </w:tr>
    </w:tbl>
    <w:p w14:paraId="7F911288" w14:textId="77777777" w:rsidR="0017530E" w:rsidRPr="00A07F29" w:rsidRDefault="00A21E83" w:rsidP="00EE27E2">
      <w:pPr>
        <w:keepNext/>
        <w:spacing w:before="240" w:after="120" w:line="240" w:lineRule="auto"/>
        <w:jc w:val="both"/>
        <w:rPr>
          <w:rFonts w:ascii="Times New Roman" w:eastAsia="Calibri" w:hAnsi="Times New Roman" w:cs="Times New Roman"/>
          <w:b/>
          <w:bCs/>
          <w:i/>
          <w:iCs/>
          <w:sz w:val="24"/>
          <w:szCs w:val="24"/>
        </w:rPr>
      </w:pPr>
      <w:r w:rsidRPr="00A07F29">
        <w:rPr>
          <w:rFonts w:ascii="Times New Roman" w:eastAsia="Calibri" w:hAnsi="Times New Roman" w:cs="Times New Roman"/>
          <w:b/>
          <w:i/>
          <w:sz w:val="24"/>
          <w:szCs w:val="24"/>
        </w:rPr>
        <w:t xml:space="preserve">B.1.7. </w:t>
      </w:r>
      <w:r w:rsidR="0017530E" w:rsidRPr="00A07F29">
        <w:rPr>
          <w:rFonts w:ascii="Times New Roman" w:eastAsia="Calibri" w:hAnsi="Times New Roman" w:cs="Times New Roman"/>
          <w:b/>
          <w:bCs/>
          <w:i/>
          <w:iCs/>
          <w:sz w:val="24"/>
          <w:szCs w:val="24"/>
        </w:rPr>
        <w:t xml:space="preserve">Niedru pļaušana un izvākšana no </w:t>
      </w:r>
      <w:proofErr w:type="spellStart"/>
      <w:r w:rsidR="0017530E" w:rsidRPr="00A07F29">
        <w:rPr>
          <w:rFonts w:ascii="Times New Roman" w:eastAsia="Calibri" w:hAnsi="Times New Roman" w:cs="Times New Roman"/>
          <w:b/>
          <w:bCs/>
          <w:i/>
          <w:iCs/>
          <w:sz w:val="24"/>
          <w:szCs w:val="24"/>
        </w:rPr>
        <w:t>Varnaviču</w:t>
      </w:r>
      <w:proofErr w:type="spellEnd"/>
      <w:r w:rsidR="0017530E" w:rsidRPr="00A07F29">
        <w:rPr>
          <w:rFonts w:ascii="Times New Roman" w:eastAsia="Calibri" w:hAnsi="Times New Roman" w:cs="Times New Roman"/>
          <w:b/>
          <w:bCs/>
          <w:i/>
          <w:iCs/>
          <w:sz w:val="24"/>
          <w:szCs w:val="24"/>
        </w:rPr>
        <w:t xml:space="preserve"> ezera ziemā</w:t>
      </w:r>
    </w:p>
    <w:p w14:paraId="1C686B02" w14:textId="77777777" w:rsidR="0017530E" w:rsidRPr="00A07F29" w:rsidRDefault="0017530E" w:rsidP="00EE27E2">
      <w:pPr>
        <w:keepNext/>
        <w:spacing w:after="0" w:line="240" w:lineRule="auto"/>
        <w:jc w:val="both"/>
        <w:rPr>
          <w:rFonts w:ascii="Times New Roman" w:eastAsia="Calibri" w:hAnsi="Times New Roman" w:cs="Times New Roman"/>
          <w:i/>
          <w:iCs/>
          <w:sz w:val="24"/>
          <w:szCs w:val="24"/>
        </w:rPr>
      </w:pPr>
      <w:r w:rsidRPr="00A07F29">
        <w:rPr>
          <w:rFonts w:ascii="Times New Roman" w:eastAsia="Calibri" w:hAnsi="Times New Roman" w:cs="Times New Roman"/>
          <w:i/>
          <w:iCs/>
          <w:sz w:val="24"/>
          <w:szCs w:val="24"/>
        </w:rPr>
        <w:t>Mērķis</w:t>
      </w:r>
    </w:p>
    <w:p w14:paraId="6CDDFB13" w14:textId="77777777" w:rsidR="0017530E" w:rsidRPr="00A07F29" w:rsidRDefault="0017530E" w:rsidP="00A32E62">
      <w:pPr>
        <w:spacing w:after="120" w:line="240" w:lineRule="auto"/>
        <w:ind w:firstLine="851"/>
        <w:jc w:val="both"/>
        <w:rPr>
          <w:rFonts w:ascii="Times New Roman" w:eastAsia="Calibri" w:hAnsi="Times New Roman" w:cs="Times New Roman"/>
          <w:sz w:val="24"/>
          <w:szCs w:val="24"/>
        </w:rPr>
      </w:pPr>
      <w:r w:rsidRPr="002D4304">
        <w:rPr>
          <w:rFonts w:ascii="Times New Roman" w:eastAsia="Calibri" w:hAnsi="Times New Roman" w:cs="Times New Roman"/>
          <w:sz w:val="24"/>
          <w:szCs w:val="24"/>
        </w:rPr>
        <w:t>Samazināt niedru</w:t>
      </w:r>
      <w:r w:rsidRPr="00A07F29">
        <w:rPr>
          <w:rFonts w:ascii="Times New Roman" w:eastAsia="Calibri" w:hAnsi="Times New Roman" w:cs="Times New Roman"/>
          <w:sz w:val="24"/>
          <w:szCs w:val="24"/>
        </w:rPr>
        <w:t xml:space="preserve"> blīvumu un detrīta veidošanos un uzkrāšanos ezera </w:t>
      </w:r>
      <w:proofErr w:type="spellStart"/>
      <w:r w:rsidRPr="00A07F29">
        <w:rPr>
          <w:rFonts w:ascii="Times New Roman" w:eastAsia="Calibri" w:hAnsi="Times New Roman" w:cs="Times New Roman"/>
          <w:sz w:val="24"/>
          <w:szCs w:val="24"/>
          <w:u w:val="single"/>
        </w:rPr>
        <w:t>minerālgrunts</w:t>
      </w:r>
      <w:proofErr w:type="spellEnd"/>
      <w:r w:rsidRPr="00A07F29">
        <w:rPr>
          <w:rFonts w:ascii="Times New Roman" w:eastAsia="Calibri" w:hAnsi="Times New Roman" w:cs="Times New Roman"/>
          <w:sz w:val="24"/>
          <w:szCs w:val="24"/>
          <w:u w:val="single"/>
        </w:rPr>
        <w:t xml:space="preserve"> litorālē</w:t>
      </w:r>
      <w:r w:rsidRPr="00A07F29">
        <w:rPr>
          <w:rFonts w:ascii="Times New Roman" w:eastAsia="Calibri" w:hAnsi="Times New Roman" w:cs="Times New Roman"/>
          <w:sz w:val="24"/>
          <w:szCs w:val="24"/>
        </w:rPr>
        <w:t xml:space="preserve"> un saglabāt niedru spēju uztvert </w:t>
      </w:r>
      <w:proofErr w:type="spellStart"/>
      <w:r w:rsidRPr="00A07F29">
        <w:rPr>
          <w:rFonts w:ascii="Times New Roman" w:eastAsia="Calibri" w:hAnsi="Times New Roman" w:cs="Times New Roman"/>
          <w:sz w:val="24"/>
          <w:szCs w:val="24"/>
        </w:rPr>
        <w:t>biogēnus</w:t>
      </w:r>
      <w:proofErr w:type="spellEnd"/>
      <w:r w:rsidRPr="00A07F29">
        <w:rPr>
          <w:rFonts w:ascii="Times New Roman" w:eastAsia="Calibri" w:hAnsi="Times New Roman" w:cs="Times New Roman"/>
          <w:sz w:val="24"/>
          <w:szCs w:val="24"/>
        </w:rPr>
        <w:t xml:space="preserve"> veģetācijas periodā. Pasākums ir efektīvs </w:t>
      </w:r>
      <w:proofErr w:type="spellStart"/>
      <w:r w:rsidRPr="00A07F29">
        <w:rPr>
          <w:rFonts w:ascii="Times New Roman" w:eastAsia="Calibri" w:hAnsi="Times New Roman" w:cs="Times New Roman"/>
          <w:sz w:val="24"/>
          <w:szCs w:val="24"/>
        </w:rPr>
        <w:t>mezotrofos</w:t>
      </w:r>
      <w:proofErr w:type="spellEnd"/>
      <w:r w:rsidRPr="00A07F29">
        <w:rPr>
          <w:rFonts w:ascii="Times New Roman" w:eastAsia="Calibri" w:hAnsi="Times New Roman" w:cs="Times New Roman"/>
          <w:sz w:val="24"/>
          <w:szCs w:val="24"/>
        </w:rPr>
        <w:t xml:space="preserve"> vai vāji </w:t>
      </w:r>
      <w:proofErr w:type="spellStart"/>
      <w:r w:rsidRPr="00A07F29">
        <w:rPr>
          <w:rFonts w:ascii="Times New Roman" w:eastAsia="Calibri" w:hAnsi="Times New Roman" w:cs="Times New Roman"/>
          <w:sz w:val="24"/>
          <w:szCs w:val="24"/>
        </w:rPr>
        <w:t>eitrofos</w:t>
      </w:r>
      <w:proofErr w:type="spellEnd"/>
      <w:r w:rsidRPr="00A07F29">
        <w:rPr>
          <w:rFonts w:ascii="Times New Roman" w:eastAsia="Calibri" w:hAnsi="Times New Roman" w:cs="Times New Roman"/>
          <w:sz w:val="24"/>
          <w:szCs w:val="24"/>
        </w:rPr>
        <w:t xml:space="preserve"> ezeros, kur litorālē nav uzkrājies biezs dūņu slānis.</w:t>
      </w:r>
    </w:p>
    <w:p w14:paraId="67F0102D" w14:textId="54FCBA68" w:rsidR="0017530E" w:rsidRPr="00A07F29" w:rsidRDefault="0017530E" w:rsidP="0017530E">
      <w:pPr>
        <w:spacing w:after="0" w:line="240" w:lineRule="auto"/>
        <w:jc w:val="both"/>
        <w:rPr>
          <w:rFonts w:ascii="Times New Roman" w:eastAsia="Calibri" w:hAnsi="Times New Roman" w:cs="Times New Roman"/>
          <w:sz w:val="24"/>
          <w:szCs w:val="24"/>
        </w:rPr>
      </w:pPr>
      <w:r w:rsidRPr="00A07F29">
        <w:rPr>
          <w:rFonts w:ascii="Times New Roman" w:eastAsia="Calibri" w:hAnsi="Times New Roman" w:cs="Times New Roman"/>
          <w:bCs/>
          <w:i/>
          <w:iCs/>
          <w:sz w:val="24"/>
          <w:szCs w:val="24"/>
        </w:rPr>
        <w:t>Pasākuma apraksts, nosacījumi pasākuma veikšanai, ieteicamie tehniskie paņēmieni</w:t>
      </w:r>
    </w:p>
    <w:p w14:paraId="250B3D33" w14:textId="6ABEC47B" w:rsidR="0017530E" w:rsidRPr="00A07F29" w:rsidRDefault="0017530E" w:rsidP="0017530E">
      <w:pPr>
        <w:spacing w:after="0" w:line="240" w:lineRule="auto"/>
        <w:ind w:firstLine="851"/>
        <w:jc w:val="both"/>
        <w:rPr>
          <w:rFonts w:ascii="Times New Roman" w:eastAsia="Calibri" w:hAnsi="Times New Roman" w:cs="Times New Roman"/>
          <w:sz w:val="24"/>
          <w:szCs w:val="24"/>
        </w:rPr>
      </w:pPr>
      <w:proofErr w:type="spellStart"/>
      <w:r w:rsidRPr="00A07F29">
        <w:rPr>
          <w:rFonts w:ascii="Times New Roman" w:eastAsia="Calibri" w:hAnsi="Times New Roman" w:cs="Times New Roman"/>
          <w:sz w:val="24"/>
          <w:szCs w:val="24"/>
        </w:rPr>
        <w:t>Varnaviču</w:t>
      </w:r>
      <w:proofErr w:type="spellEnd"/>
      <w:r w:rsidRPr="00A07F29">
        <w:rPr>
          <w:rFonts w:ascii="Times New Roman" w:eastAsia="Calibri" w:hAnsi="Times New Roman" w:cs="Times New Roman"/>
          <w:sz w:val="24"/>
          <w:szCs w:val="24"/>
        </w:rPr>
        <w:t xml:space="preserve"> ezerā niedru pļaušanu un izvākšanu veic ziemā virs ledus vienreiz gadā. Pļaujot niedru sausās daļas ziemā </w:t>
      </w:r>
      <w:r w:rsidRPr="00A07F29">
        <w:rPr>
          <w:rFonts w:ascii="Times New Roman" w:eastAsia="Calibri" w:hAnsi="Times New Roman" w:cs="Times New Roman"/>
          <w:sz w:val="24"/>
          <w:szCs w:val="24"/>
          <w:u w:val="single"/>
        </w:rPr>
        <w:t>virs ledus</w:t>
      </w:r>
      <w:r w:rsidRPr="00A07F29">
        <w:rPr>
          <w:rFonts w:ascii="Times New Roman" w:eastAsia="Calibri" w:hAnsi="Times New Roman" w:cs="Times New Roman"/>
          <w:sz w:val="24"/>
          <w:szCs w:val="24"/>
        </w:rPr>
        <w:t xml:space="preserve">, samazinās niedrāju blīvums, samazinās detrīta </w:t>
      </w:r>
      <w:r w:rsidRPr="00A07F29">
        <w:rPr>
          <w:rFonts w:ascii="Times New Roman" w:eastAsia="Calibri" w:hAnsi="Times New Roman" w:cs="Times New Roman"/>
          <w:sz w:val="24"/>
          <w:szCs w:val="24"/>
        </w:rPr>
        <w:lastRenderedPageBreak/>
        <w:t xml:space="preserve">veidošanās un uzkrāšanās </w:t>
      </w:r>
      <w:proofErr w:type="spellStart"/>
      <w:r w:rsidRPr="00A07F29">
        <w:rPr>
          <w:rFonts w:ascii="Times New Roman" w:eastAsia="Calibri" w:hAnsi="Times New Roman" w:cs="Times New Roman"/>
          <w:sz w:val="24"/>
          <w:szCs w:val="24"/>
        </w:rPr>
        <w:t>seklūdens</w:t>
      </w:r>
      <w:proofErr w:type="spellEnd"/>
      <w:r w:rsidRPr="00A07F29">
        <w:rPr>
          <w:rFonts w:ascii="Times New Roman" w:eastAsia="Calibri" w:hAnsi="Times New Roman" w:cs="Times New Roman"/>
          <w:sz w:val="24"/>
          <w:szCs w:val="24"/>
        </w:rPr>
        <w:t xml:space="preserve"> zonā, no ezera tiek izvākts arī fosfors. Vienlaicīgi netiek apdraudēti iegrimušie augi, </w:t>
      </w:r>
      <w:proofErr w:type="spellStart"/>
      <w:r w:rsidRPr="00A07F29">
        <w:rPr>
          <w:rFonts w:ascii="Times New Roman" w:eastAsia="Calibri" w:hAnsi="Times New Roman" w:cs="Times New Roman"/>
          <w:sz w:val="24"/>
          <w:szCs w:val="24"/>
        </w:rPr>
        <w:t>virsūdens</w:t>
      </w:r>
      <w:proofErr w:type="spellEnd"/>
      <w:r w:rsidRPr="00A07F29">
        <w:rPr>
          <w:rFonts w:ascii="Times New Roman" w:eastAsia="Calibri" w:hAnsi="Times New Roman" w:cs="Times New Roman"/>
          <w:sz w:val="24"/>
          <w:szCs w:val="24"/>
        </w:rPr>
        <w:t xml:space="preserve"> augājs netiek likvidēts, saglabājot spēju uztvert </w:t>
      </w:r>
      <w:proofErr w:type="spellStart"/>
      <w:r w:rsidRPr="00A07F29">
        <w:rPr>
          <w:rFonts w:ascii="Times New Roman" w:eastAsia="Calibri" w:hAnsi="Times New Roman" w:cs="Times New Roman"/>
          <w:sz w:val="24"/>
          <w:szCs w:val="24"/>
        </w:rPr>
        <w:t>biogēnus</w:t>
      </w:r>
      <w:proofErr w:type="spellEnd"/>
      <w:r w:rsidRPr="00A07F29">
        <w:rPr>
          <w:rFonts w:ascii="Times New Roman" w:eastAsia="Calibri" w:hAnsi="Times New Roman" w:cs="Times New Roman"/>
          <w:sz w:val="24"/>
          <w:szCs w:val="24"/>
        </w:rPr>
        <w:t xml:space="preserve"> veģetācijas periodā. Vēl viena priekšrocība </w:t>
      </w:r>
      <w:proofErr w:type="spellStart"/>
      <w:r w:rsidRPr="00A07F29">
        <w:rPr>
          <w:rFonts w:ascii="Times New Roman" w:eastAsia="Calibri" w:hAnsi="Times New Roman" w:cs="Times New Roman"/>
          <w:sz w:val="24"/>
          <w:szCs w:val="24"/>
        </w:rPr>
        <w:t>virsūdens</w:t>
      </w:r>
      <w:proofErr w:type="spellEnd"/>
      <w:r w:rsidRPr="00A07F29">
        <w:rPr>
          <w:rFonts w:ascii="Times New Roman" w:eastAsia="Calibri" w:hAnsi="Times New Roman" w:cs="Times New Roman"/>
          <w:sz w:val="24"/>
          <w:szCs w:val="24"/>
        </w:rPr>
        <w:t xml:space="preserve"> augu pļaušanai ziemā virs ledus ir procesa vairākas reizes zemākās izmaksas, salīdzinot ar pļaušanu vasarā, kā rezultātā vienas fosfora vienības izvākšana no ekosistēmas izmaksā mazāk. Ūdensaugu pļaušana vasarā </w:t>
      </w:r>
      <w:proofErr w:type="spellStart"/>
      <w:r w:rsidRPr="00A07F29">
        <w:rPr>
          <w:rFonts w:ascii="Times New Roman" w:eastAsia="Calibri" w:hAnsi="Times New Roman" w:cs="Times New Roman"/>
          <w:sz w:val="24"/>
          <w:szCs w:val="24"/>
        </w:rPr>
        <w:t>Varnaviču</w:t>
      </w:r>
      <w:proofErr w:type="spellEnd"/>
      <w:r w:rsidRPr="00A07F29">
        <w:rPr>
          <w:rFonts w:ascii="Times New Roman" w:eastAsia="Calibri" w:hAnsi="Times New Roman" w:cs="Times New Roman"/>
          <w:sz w:val="24"/>
          <w:szCs w:val="24"/>
        </w:rPr>
        <w:t xml:space="preserve"> ezerā nav pieļaujama dēļ negatīviem blakusefektiem – iegrimušo augu izpļaušana kopā ar niedrēm, samazināta </w:t>
      </w:r>
      <w:proofErr w:type="spellStart"/>
      <w:r w:rsidRPr="00A07F29">
        <w:rPr>
          <w:rFonts w:ascii="Times New Roman" w:eastAsia="Calibri" w:hAnsi="Times New Roman" w:cs="Times New Roman"/>
          <w:sz w:val="24"/>
          <w:szCs w:val="24"/>
        </w:rPr>
        <w:t>makrofītu</w:t>
      </w:r>
      <w:proofErr w:type="spellEnd"/>
      <w:r w:rsidRPr="00A07F29">
        <w:rPr>
          <w:rFonts w:ascii="Times New Roman" w:eastAsia="Calibri" w:hAnsi="Times New Roman" w:cs="Times New Roman"/>
          <w:sz w:val="24"/>
          <w:szCs w:val="24"/>
        </w:rPr>
        <w:t xml:space="preserve"> spēja uztvert </w:t>
      </w:r>
      <w:proofErr w:type="spellStart"/>
      <w:r w:rsidRPr="00A07F29">
        <w:rPr>
          <w:rFonts w:ascii="Times New Roman" w:eastAsia="Calibri" w:hAnsi="Times New Roman" w:cs="Times New Roman"/>
          <w:sz w:val="24"/>
          <w:szCs w:val="24"/>
        </w:rPr>
        <w:t>biogēnus</w:t>
      </w:r>
      <w:proofErr w:type="spellEnd"/>
      <w:r w:rsidR="00DD0058">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kā rezultātā </w:t>
      </w:r>
      <w:proofErr w:type="spellStart"/>
      <w:r w:rsidRPr="00A07F29">
        <w:rPr>
          <w:rFonts w:ascii="Times New Roman" w:eastAsia="Calibri" w:hAnsi="Times New Roman" w:cs="Times New Roman"/>
          <w:sz w:val="24"/>
          <w:szCs w:val="24"/>
        </w:rPr>
        <w:t>biogēni</w:t>
      </w:r>
      <w:proofErr w:type="spellEnd"/>
      <w:r w:rsidRPr="00A07F29">
        <w:rPr>
          <w:rFonts w:ascii="Times New Roman" w:eastAsia="Calibri" w:hAnsi="Times New Roman" w:cs="Times New Roman"/>
          <w:sz w:val="24"/>
          <w:szCs w:val="24"/>
        </w:rPr>
        <w:t xml:space="preserve"> kļūst pieejamāki fitoplanktonam, litorāles izbraukāšana ar niedru izvešanas tehniku.</w:t>
      </w:r>
    </w:p>
    <w:p w14:paraId="3B37A1D3" w14:textId="77777777" w:rsidR="0017530E" w:rsidRPr="00A07F29" w:rsidRDefault="0017530E" w:rsidP="0017530E">
      <w:pPr>
        <w:spacing w:after="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Pļaušanai ziemā nav nepieciešama specializēta tehnika.</w:t>
      </w:r>
    </w:p>
    <w:p w14:paraId="6047DC64" w14:textId="77777777" w:rsidR="0017530E" w:rsidRPr="00A07F29" w:rsidRDefault="0017530E" w:rsidP="0017530E">
      <w:pPr>
        <w:spacing w:after="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Nopļautās niedres no ezera izvāc, nogādā ārpus ezera </w:t>
      </w:r>
      <w:proofErr w:type="spellStart"/>
      <w:r w:rsidRPr="00A07F29">
        <w:rPr>
          <w:rFonts w:ascii="Times New Roman" w:eastAsia="Calibri" w:hAnsi="Times New Roman" w:cs="Times New Roman"/>
          <w:sz w:val="24"/>
          <w:szCs w:val="24"/>
        </w:rPr>
        <w:t>pamatbaseina</w:t>
      </w:r>
      <w:proofErr w:type="spellEnd"/>
      <w:r w:rsidRPr="00A07F29">
        <w:rPr>
          <w:rFonts w:ascii="Times New Roman" w:eastAsia="Calibri" w:hAnsi="Times New Roman" w:cs="Times New Roman"/>
          <w:sz w:val="24"/>
          <w:szCs w:val="24"/>
        </w:rPr>
        <w:t xml:space="preserve"> un utilizē (piemēram, sadedzina).</w:t>
      </w:r>
    </w:p>
    <w:p w14:paraId="3FDEBFC5" w14:textId="77777777" w:rsidR="0017530E" w:rsidRPr="00A07F29" w:rsidRDefault="0017530E" w:rsidP="0017530E">
      <w:pPr>
        <w:spacing w:after="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Pļaušana nav pielietojama peldvietu tuvumā, jo pēc pļaušanas paliek stiebru gali, kas var radīt traumas peldētājiem.</w:t>
      </w:r>
    </w:p>
    <w:p w14:paraId="5F6FC16E" w14:textId="27081CD3" w:rsidR="0017530E" w:rsidRPr="00A07F29" w:rsidRDefault="0017530E" w:rsidP="0017530E">
      <w:pPr>
        <w:spacing w:after="0" w:line="240" w:lineRule="auto"/>
        <w:jc w:val="both"/>
        <w:rPr>
          <w:rFonts w:ascii="Times New Roman" w:eastAsia="Calibri"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1"/>
      </w:tblGrid>
      <w:tr w:rsidR="00A32E62" w:rsidRPr="00A07F29" w14:paraId="3DE5C120" w14:textId="77777777" w:rsidTr="63C42FA1">
        <w:tc>
          <w:tcPr>
            <w:tcW w:w="9061" w:type="dxa"/>
          </w:tcPr>
          <w:p w14:paraId="1C21206D" w14:textId="57E1EB31" w:rsidR="00A32E62" w:rsidRPr="00A07F29" w:rsidRDefault="00652C52" w:rsidP="0017530E">
            <w:pPr>
              <w:jc w:val="both"/>
              <w:rPr>
                <w:rFonts w:ascii="Times New Roman" w:eastAsia="Calibri" w:hAnsi="Times New Roman" w:cs="Times New Roman"/>
                <w:sz w:val="24"/>
                <w:szCs w:val="24"/>
              </w:rPr>
            </w:pPr>
            <w:r w:rsidRPr="00A07F29">
              <w:rPr>
                <w:noProof/>
                <w:lang w:eastAsia="lv-LV"/>
              </w:rPr>
              <w:drawing>
                <wp:inline distT="0" distB="0" distL="0" distR="0" wp14:anchorId="61E7017F" wp14:editId="4A596B24">
                  <wp:extent cx="4502844" cy="318332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4535353" cy="3206303"/>
                          </a:xfrm>
                          <a:prstGeom prst="rect">
                            <a:avLst/>
                          </a:prstGeom>
                        </pic:spPr>
                      </pic:pic>
                    </a:graphicData>
                  </a:graphic>
                </wp:inline>
              </w:drawing>
            </w:r>
          </w:p>
        </w:tc>
      </w:tr>
      <w:tr w:rsidR="00A32E62" w:rsidRPr="00A07F29" w14:paraId="47711AB2" w14:textId="77777777" w:rsidTr="63C42FA1">
        <w:tc>
          <w:tcPr>
            <w:tcW w:w="9061" w:type="dxa"/>
          </w:tcPr>
          <w:p w14:paraId="322EC610" w14:textId="2FF27E1E" w:rsidR="00A32E62" w:rsidRPr="00301D94" w:rsidRDefault="00A32E62" w:rsidP="00A32E62">
            <w:pPr>
              <w:jc w:val="both"/>
              <w:rPr>
                <w:rFonts w:ascii="Times New Roman" w:eastAsia="Calibri" w:hAnsi="Times New Roman" w:cs="Times New Roman"/>
                <w:sz w:val="20"/>
                <w:szCs w:val="20"/>
              </w:rPr>
            </w:pPr>
            <w:r w:rsidRPr="00301D94">
              <w:rPr>
                <w:rFonts w:ascii="Times New Roman" w:eastAsia="Calibri" w:hAnsi="Times New Roman" w:cs="Times New Roman"/>
                <w:bCs/>
                <w:sz w:val="20"/>
                <w:szCs w:val="20"/>
              </w:rPr>
              <w:t>5.3.</w:t>
            </w:r>
            <w:r w:rsidR="00301D94" w:rsidRPr="00301D94">
              <w:rPr>
                <w:rFonts w:ascii="Times New Roman" w:eastAsia="Calibri" w:hAnsi="Times New Roman" w:cs="Times New Roman"/>
                <w:bCs/>
                <w:sz w:val="20"/>
                <w:szCs w:val="20"/>
              </w:rPr>
              <w:t>6</w:t>
            </w:r>
            <w:r w:rsidRPr="00301D94">
              <w:rPr>
                <w:rFonts w:ascii="Times New Roman" w:eastAsia="Calibri" w:hAnsi="Times New Roman" w:cs="Times New Roman"/>
                <w:bCs/>
                <w:sz w:val="20"/>
                <w:szCs w:val="20"/>
              </w:rPr>
              <w:t>.</w:t>
            </w:r>
            <w:r w:rsidR="00301D94" w:rsidRPr="00301D94">
              <w:rPr>
                <w:rFonts w:ascii="Times New Roman" w:eastAsia="Calibri" w:hAnsi="Times New Roman" w:cs="Times New Roman"/>
                <w:bCs/>
                <w:sz w:val="20"/>
                <w:szCs w:val="20"/>
              </w:rPr>
              <w:t> </w:t>
            </w:r>
            <w:r w:rsidRPr="00301D94">
              <w:rPr>
                <w:rFonts w:ascii="Times New Roman" w:eastAsia="Calibri" w:hAnsi="Times New Roman" w:cs="Times New Roman"/>
                <w:bCs/>
                <w:sz w:val="20"/>
                <w:szCs w:val="20"/>
              </w:rPr>
              <w:t xml:space="preserve">attēls. Niedru pļaušana </w:t>
            </w:r>
            <w:r w:rsidR="00623F41">
              <w:rPr>
                <w:rFonts w:ascii="Times New Roman" w:eastAsia="Calibri" w:hAnsi="Times New Roman" w:cs="Times New Roman"/>
                <w:bCs/>
                <w:sz w:val="20"/>
                <w:szCs w:val="20"/>
              </w:rPr>
              <w:t>virs</w:t>
            </w:r>
            <w:r w:rsidRPr="00301D94">
              <w:rPr>
                <w:rFonts w:ascii="Times New Roman" w:eastAsia="Calibri" w:hAnsi="Times New Roman" w:cs="Times New Roman"/>
                <w:bCs/>
                <w:sz w:val="20"/>
                <w:szCs w:val="20"/>
              </w:rPr>
              <w:t xml:space="preserve"> ledus </w:t>
            </w:r>
            <w:proofErr w:type="spellStart"/>
            <w:r w:rsidRPr="00301D94">
              <w:rPr>
                <w:rFonts w:ascii="Times New Roman" w:eastAsia="Calibri" w:hAnsi="Times New Roman" w:cs="Times New Roman"/>
                <w:bCs/>
                <w:sz w:val="20"/>
                <w:szCs w:val="20"/>
              </w:rPr>
              <w:t>Varnaviču</w:t>
            </w:r>
            <w:proofErr w:type="spellEnd"/>
            <w:r w:rsidRPr="00301D94">
              <w:rPr>
                <w:rFonts w:ascii="Times New Roman" w:eastAsia="Calibri" w:hAnsi="Times New Roman" w:cs="Times New Roman"/>
                <w:bCs/>
                <w:sz w:val="20"/>
                <w:szCs w:val="20"/>
              </w:rPr>
              <w:t xml:space="preserve"> ezerā (B.1.7.)</w:t>
            </w:r>
          </w:p>
        </w:tc>
      </w:tr>
    </w:tbl>
    <w:p w14:paraId="3B6CE1C3" w14:textId="0BB641D6" w:rsidR="00A32E62" w:rsidRPr="00A07F29" w:rsidRDefault="00A32E62" w:rsidP="0017530E">
      <w:pPr>
        <w:spacing w:after="0" w:line="240" w:lineRule="auto"/>
        <w:jc w:val="both"/>
        <w:rPr>
          <w:rFonts w:ascii="Times New Roman" w:eastAsia="Calibri" w:hAnsi="Times New Roman" w:cs="Times New Roman"/>
          <w:sz w:val="24"/>
          <w:szCs w:val="24"/>
        </w:rPr>
      </w:pPr>
    </w:p>
    <w:p w14:paraId="1113D562" w14:textId="1EC8D501" w:rsidR="00A32E62" w:rsidRPr="00A07F29" w:rsidRDefault="00A21E83" w:rsidP="007813D1">
      <w:pPr>
        <w:keepNext/>
        <w:spacing w:before="240" w:after="120" w:line="240" w:lineRule="auto"/>
        <w:jc w:val="both"/>
        <w:rPr>
          <w:rFonts w:ascii="Times New Roman" w:eastAsia="Calibri" w:hAnsi="Times New Roman" w:cs="Times New Roman"/>
          <w:b/>
          <w:i/>
          <w:sz w:val="24"/>
          <w:szCs w:val="24"/>
        </w:rPr>
      </w:pPr>
      <w:r w:rsidRPr="00A07F29">
        <w:rPr>
          <w:rFonts w:ascii="Times New Roman" w:eastAsia="Calibri" w:hAnsi="Times New Roman" w:cs="Times New Roman"/>
          <w:b/>
          <w:i/>
          <w:sz w:val="24"/>
          <w:szCs w:val="24"/>
        </w:rPr>
        <w:t>B.1.</w:t>
      </w:r>
      <w:r w:rsidR="00BD75A2" w:rsidRPr="00A07F29">
        <w:rPr>
          <w:rFonts w:ascii="Times New Roman" w:eastAsia="Calibri" w:hAnsi="Times New Roman" w:cs="Times New Roman"/>
          <w:b/>
          <w:i/>
          <w:sz w:val="24"/>
          <w:szCs w:val="24"/>
        </w:rPr>
        <w:t>8</w:t>
      </w:r>
      <w:r w:rsidRPr="00A07F29">
        <w:rPr>
          <w:rFonts w:ascii="Times New Roman" w:eastAsia="Calibri" w:hAnsi="Times New Roman" w:cs="Times New Roman"/>
          <w:b/>
          <w:i/>
          <w:sz w:val="24"/>
          <w:szCs w:val="24"/>
        </w:rPr>
        <w:t xml:space="preserve">. </w:t>
      </w:r>
      <w:r w:rsidR="00E331C0" w:rsidRPr="00A07F29">
        <w:rPr>
          <w:rFonts w:ascii="Times New Roman" w:eastAsia="Calibri" w:hAnsi="Times New Roman" w:cs="Times New Roman"/>
          <w:b/>
          <w:i/>
          <w:sz w:val="24"/>
          <w:szCs w:val="24"/>
        </w:rPr>
        <w:t xml:space="preserve">Pārraktās ūdensšķirtnes aizbēršana pie </w:t>
      </w:r>
      <w:r w:rsidR="00A32E62" w:rsidRPr="00A07F29">
        <w:rPr>
          <w:rFonts w:ascii="Times New Roman" w:eastAsia="Calibri" w:hAnsi="Times New Roman" w:cs="Times New Roman"/>
          <w:b/>
          <w:i/>
          <w:sz w:val="24"/>
          <w:szCs w:val="24"/>
        </w:rPr>
        <w:t>Kaudzīšu ezera</w:t>
      </w:r>
    </w:p>
    <w:p w14:paraId="7F189600" w14:textId="7228B8BA" w:rsidR="00865EB4" w:rsidRPr="00A07F29" w:rsidRDefault="00865EB4" w:rsidP="00A32E62">
      <w:pPr>
        <w:spacing w:after="0" w:line="240" w:lineRule="auto"/>
        <w:ind w:firstLine="851"/>
        <w:jc w:val="both"/>
        <w:rPr>
          <w:rFonts w:ascii="Times New Roman" w:eastAsia="Noto Sans CJK SC" w:hAnsi="Times New Roman" w:cs="Lohit Devanagari"/>
          <w:kern w:val="2"/>
          <w:sz w:val="24"/>
          <w:szCs w:val="24"/>
          <w:lang w:eastAsia="zh-CN" w:bidi="hi-IN"/>
        </w:rPr>
      </w:pPr>
      <w:r w:rsidRPr="00A07F29">
        <w:rPr>
          <w:rFonts w:ascii="Times New Roman" w:eastAsia="Noto Sans CJK SC" w:hAnsi="Times New Roman" w:cs="Lohit Devanagari"/>
          <w:kern w:val="2"/>
          <w:sz w:val="24"/>
          <w:szCs w:val="24"/>
          <w:lang w:eastAsia="zh-CN" w:bidi="hi-IN"/>
        </w:rPr>
        <w:t>Ap 2005.</w:t>
      </w:r>
      <w:r w:rsidR="008A5147">
        <w:rPr>
          <w:rFonts w:ascii="Times New Roman" w:eastAsia="Noto Sans CJK SC" w:hAnsi="Times New Roman" w:cs="Lohit Devanagari"/>
          <w:kern w:val="2"/>
          <w:sz w:val="24"/>
          <w:szCs w:val="24"/>
          <w:lang w:eastAsia="zh-CN" w:bidi="hi-IN"/>
        </w:rPr>
        <w:t> </w:t>
      </w:r>
      <w:r w:rsidRPr="00A07F29">
        <w:rPr>
          <w:rFonts w:ascii="Times New Roman" w:eastAsia="Noto Sans CJK SC" w:hAnsi="Times New Roman" w:cs="Lohit Devanagari"/>
          <w:kern w:val="2"/>
          <w:sz w:val="24"/>
          <w:szCs w:val="24"/>
          <w:lang w:eastAsia="zh-CN" w:bidi="hi-IN"/>
        </w:rPr>
        <w:t xml:space="preserve">gadu notikusī ūdensšķirtnes pārrakšana un </w:t>
      </w:r>
      <w:proofErr w:type="spellStart"/>
      <w:r w:rsidRPr="00A07F29">
        <w:rPr>
          <w:rFonts w:ascii="Times New Roman" w:eastAsia="Noto Sans CJK SC" w:hAnsi="Times New Roman" w:cs="Lohit Devanagari"/>
          <w:kern w:val="2"/>
          <w:sz w:val="24"/>
          <w:szCs w:val="24"/>
          <w:lang w:eastAsia="zh-CN" w:bidi="hi-IN"/>
        </w:rPr>
        <w:t>Varnaviču</w:t>
      </w:r>
      <w:proofErr w:type="spellEnd"/>
      <w:r w:rsidRPr="00A07F29">
        <w:rPr>
          <w:rFonts w:ascii="Times New Roman" w:eastAsia="Noto Sans CJK SC" w:hAnsi="Times New Roman" w:cs="Lohit Devanagari"/>
          <w:kern w:val="2"/>
          <w:sz w:val="24"/>
          <w:szCs w:val="24"/>
          <w:lang w:eastAsia="zh-CN" w:bidi="hi-IN"/>
        </w:rPr>
        <w:t xml:space="preserve"> upītes ievadīšana Kaudzīšu ezerā izraisījusi ļoti ievērojamu un joprojām aktīvu augsnes eroziju.</w:t>
      </w:r>
    </w:p>
    <w:p w14:paraId="341E456B" w14:textId="2122C211" w:rsidR="00A21E83" w:rsidRPr="00A07F29" w:rsidRDefault="00865EB4" w:rsidP="00A32E62">
      <w:pPr>
        <w:spacing w:after="0" w:line="240" w:lineRule="auto"/>
        <w:ind w:firstLine="851"/>
        <w:jc w:val="both"/>
        <w:rPr>
          <w:rFonts w:ascii="Times New Roman" w:eastAsia="Calibri" w:hAnsi="Times New Roman" w:cs="Times New Roman"/>
          <w:sz w:val="24"/>
          <w:szCs w:val="24"/>
        </w:rPr>
      </w:pPr>
      <w:r w:rsidRPr="00A07F29">
        <w:rPr>
          <w:rFonts w:ascii="Times New Roman" w:eastAsia="Noto Sans CJK SC" w:hAnsi="Times New Roman" w:cs="Lohit Devanagari"/>
          <w:kern w:val="2"/>
          <w:sz w:val="24"/>
          <w:szCs w:val="24"/>
          <w:lang w:eastAsia="zh-CN" w:bidi="hi-IN"/>
        </w:rPr>
        <w:t xml:space="preserve">Nepieciešams aizbērt </w:t>
      </w:r>
      <w:r w:rsidRPr="00A07F29">
        <w:rPr>
          <w:rFonts w:ascii="Times New Roman" w:eastAsia="Calibri" w:hAnsi="Times New Roman" w:cs="Times New Roman"/>
          <w:sz w:val="24"/>
          <w:szCs w:val="24"/>
        </w:rPr>
        <w:t xml:space="preserve">pārrakto </w:t>
      </w:r>
      <w:proofErr w:type="spellStart"/>
      <w:r w:rsidRPr="00A07F29">
        <w:rPr>
          <w:rFonts w:ascii="Times New Roman" w:eastAsia="Calibri" w:hAnsi="Times New Roman" w:cs="Times New Roman"/>
          <w:sz w:val="24"/>
          <w:szCs w:val="24"/>
        </w:rPr>
        <w:t>ūdenšķirtni</w:t>
      </w:r>
      <w:proofErr w:type="spellEnd"/>
      <w:r w:rsidR="00A21E83" w:rsidRPr="00A07F29">
        <w:rPr>
          <w:rFonts w:ascii="Times New Roman" w:eastAsia="Calibri" w:hAnsi="Times New Roman" w:cs="Times New Roman"/>
          <w:sz w:val="24"/>
          <w:szCs w:val="24"/>
        </w:rPr>
        <w:t xml:space="preserve">, atgriežot </w:t>
      </w:r>
      <w:proofErr w:type="spellStart"/>
      <w:r w:rsidR="00A21E83" w:rsidRPr="00A07F29">
        <w:rPr>
          <w:rFonts w:ascii="Times New Roman" w:eastAsia="Calibri" w:hAnsi="Times New Roman" w:cs="Times New Roman"/>
          <w:sz w:val="24"/>
          <w:szCs w:val="24"/>
        </w:rPr>
        <w:t>Varnaviču</w:t>
      </w:r>
      <w:proofErr w:type="spellEnd"/>
      <w:r w:rsidR="00A21E83" w:rsidRPr="00A07F29">
        <w:rPr>
          <w:rFonts w:ascii="Times New Roman" w:eastAsia="Calibri" w:hAnsi="Times New Roman" w:cs="Times New Roman"/>
          <w:sz w:val="24"/>
          <w:szCs w:val="24"/>
        </w:rPr>
        <w:t xml:space="preserve"> upīti tās </w:t>
      </w:r>
      <w:r w:rsidRPr="00A07F29">
        <w:rPr>
          <w:rFonts w:ascii="Times New Roman" w:eastAsia="Calibri" w:hAnsi="Times New Roman" w:cs="Times New Roman"/>
          <w:sz w:val="24"/>
          <w:szCs w:val="24"/>
        </w:rPr>
        <w:t xml:space="preserve">sākotnējā </w:t>
      </w:r>
      <w:r w:rsidR="00A21E83" w:rsidRPr="00A07F29">
        <w:rPr>
          <w:rFonts w:ascii="Times New Roman" w:eastAsia="Calibri" w:hAnsi="Times New Roman" w:cs="Times New Roman"/>
          <w:sz w:val="24"/>
          <w:szCs w:val="24"/>
        </w:rPr>
        <w:t>gultnē un neļaujot tai plūst cauri Kaudzīšu ezeram.</w:t>
      </w:r>
    </w:p>
    <w:p w14:paraId="0859DF09" w14:textId="72F31AEC" w:rsidR="00A21E83" w:rsidRPr="00A07F29" w:rsidRDefault="00A21E83" w:rsidP="00A21E83">
      <w:pPr>
        <w:spacing w:after="0" w:line="240" w:lineRule="auto"/>
        <w:jc w:val="both"/>
        <w:rPr>
          <w:rFonts w:ascii="Times New Roman" w:eastAsia="Calibri" w:hAnsi="Times New Roman" w:cs="Times New Roman"/>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82"/>
      </w:tblGrid>
      <w:tr w:rsidR="00A32E62" w:rsidRPr="00A07F29" w14:paraId="0B595AF0" w14:textId="77777777" w:rsidTr="63C42FA1">
        <w:trPr>
          <w:jc w:val="center"/>
        </w:trPr>
        <w:tc>
          <w:tcPr>
            <w:tcW w:w="0" w:type="auto"/>
          </w:tcPr>
          <w:p w14:paraId="10223509" w14:textId="40ABC92F" w:rsidR="00A32E62" w:rsidRPr="00A07F29" w:rsidRDefault="00652C52" w:rsidP="00007501">
            <w:pPr>
              <w:keepNext/>
              <w:rPr>
                <w:rFonts w:ascii="Times New Roman" w:eastAsia="Calibri" w:hAnsi="Times New Roman" w:cs="Times New Roman"/>
                <w:sz w:val="24"/>
                <w:szCs w:val="24"/>
              </w:rPr>
            </w:pPr>
            <w:r w:rsidRPr="00A07F29">
              <w:rPr>
                <w:noProof/>
                <w:lang w:eastAsia="lv-LV"/>
              </w:rPr>
              <w:lastRenderedPageBreak/>
              <w:drawing>
                <wp:inline distT="0" distB="0" distL="0" distR="0" wp14:anchorId="4C552FE2" wp14:editId="50A31B13">
                  <wp:extent cx="4423745" cy="3127401"/>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4438977" cy="3138169"/>
                          </a:xfrm>
                          <a:prstGeom prst="rect">
                            <a:avLst/>
                          </a:prstGeom>
                        </pic:spPr>
                      </pic:pic>
                    </a:graphicData>
                  </a:graphic>
                </wp:inline>
              </w:drawing>
            </w:r>
          </w:p>
        </w:tc>
      </w:tr>
      <w:tr w:rsidR="00A32E62" w:rsidRPr="00A07F29" w14:paraId="3A426799" w14:textId="77777777" w:rsidTr="63C42FA1">
        <w:trPr>
          <w:jc w:val="center"/>
        </w:trPr>
        <w:tc>
          <w:tcPr>
            <w:tcW w:w="0" w:type="auto"/>
          </w:tcPr>
          <w:p w14:paraId="7E02534B" w14:textId="413BDB0C" w:rsidR="00A32E62" w:rsidRPr="007768C2" w:rsidRDefault="00A32E62" w:rsidP="00E2019C">
            <w:pPr>
              <w:jc w:val="both"/>
              <w:rPr>
                <w:rFonts w:ascii="Times New Roman" w:eastAsia="Calibri" w:hAnsi="Times New Roman" w:cs="Times New Roman"/>
                <w:sz w:val="20"/>
                <w:szCs w:val="20"/>
              </w:rPr>
            </w:pPr>
            <w:r w:rsidRPr="007768C2">
              <w:rPr>
                <w:rFonts w:ascii="Times New Roman" w:eastAsia="Calibri" w:hAnsi="Times New Roman" w:cs="Times New Roman"/>
                <w:bCs/>
                <w:sz w:val="20"/>
                <w:szCs w:val="20"/>
              </w:rPr>
              <w:t>5.3.</w:t>
            </w:r>
            <w:r w:rsidR="00AB2501" w:rsidRPr="007768C2">
              <w:rPr>
                <w:rFonts w:ascii="Times New Roman" w:eastAsia="Calibri" w:hAnsi="Times New Roman" w:cs="Times New Roman"/>
                <w:bCs/>
                <w:sz w:val="20"/>
                <w:szCs w:val="20"/>
              </w:rPr>
              <w:t>7</w:t>
            </w:r>
            <w:r w:rsidRPr="007768C2">
              <w:rPr>
                <w:rFonts w:ascii="Times New Roman" w:eastAsia="Calibri" w:hAnsi="Times New Roman" w:cs="Times New Roman"/>
                <w:bCs/>
                <w:sz w:val="20"/>
                <w:szCs w:val="20"/>
              </w:rPr>
              <w:t>.</w:t>
            </w:r>
            <w:r w:rsidR="00AB2501" w:rsidRPr="007768C2">
              <w:rPr>
                <w:rFonts w:ascii="Times New Roman" w:eastAsia="Calibri" w:hAnsi="Times New Roman" w:cs="Times New Roman"/>
                <w:bCs/>
                <w:sz w:val="20"/>
                <w:szCs w:val="20"/>
              </w:rPr>
              <w:t> </w:t>
            </w:r>
            <w:r w:rsidRPr="007768C2">
              <w:rPr>
                <w:rFonts w:ascii="Times New Roman" w:eastAsia="Calibri" w:hAnsi="Times New Roman" w:cs="Times New Roman"/>
                <w:bCs/>
                <w:sz w:val="20"/>
                <w:szCs w:val="20"/>
              </w:rPr>
              <w:t>attēls.</w:t>
            </w:r>
            <w:r w:rsidRPr="007768C2">
              <w:rPr>
                <w:sz w:val="20"/>
                <w:szCs w:val="20"/>
              </w:rPr>
              <w:t xml:space="preserve"> </w:t>
            </w:r>
            <w:r w:rsidR="00865EB4" w:rsidRPr="007768C2">
              <w:rPr>
                <w:rFonts w:ascii="Times New Roman" w:eastAsia="Calibri" w:hAnsi="Times New Roman" w:cs="Times New Roman"/>
                <w:bCs/>
                <w:sz w:val="20"/>
                <w:szCs w:val="20"/>
              </w:rPr>
              <w:t>P</w:t>
            </w:r>
            <w:r w:rsidRPr="007768C2">
              <w:rPr>
                <w:rFonts w:ascii="Times New Roman" w:eastAsia="Calibri" w:hAnsi="Times New Roman" w:cs="Times New Roman"/>
                <w:bCs/>
                <w:sz w:val="20"/>
                <w:szCs w:val="20"/>
              </w:rPr>
              <w:t xml:space="preserve">ārraktās </w:t>
            </w:r>
            <w:proofErr w:type="spellStart"/>
            <w:r w:rsidRPr="007768C2">
              <w:rPr>
                <w:rFonts w:ascii="Times New Roman" w:eastAsia="Calibri" w:hAnsi="Times New Roman" w:cs="Times New Roman"/>
                <w:bCs/>
                <w:sz w:val="20"/>
                <w:szCs w:val="20"/>
              </w:rPr>
              <w:t>ūdenšķirtnes</w:t>
            </w:r>
            <w:proofErr w:type="spellEnd"/>
            <w:r w:rsidRPr="007768C2">
              <w:rPr>
                <w:rFonts w:ascii="Times New Roman" w:eastAsia="Calibri" w:hAnsi="Times New Roman" w:cs="Times New Roman"/>
                <w:bCs/>
                <w:sz w:val="20"/>
                <w:szCs w:val="20"/>
              </w:rPr>
              <w:t xml:space="preserve"> aizbēršana </w:t>
            </w:r>
            <w:r w:rsidR="00E331C0" w:rsidRPr="007768C2">
              <w:rPr>
                <w:rFonts w:ascii="Times New Roman" w:eastAsia="Calibri" w:hAnsi="Times New Roman" w:cs="Times New Roman"/>
                <w:bCs/>
                <w:sz w:val="20"/>
                <w:szCs w:val="20"/>
              </w:rPr>
              <w:t xml:space="preserve">pie Kaudzīšu ezera </w:t>
            </w:r>
            <w:r w:rsidRPr="007768C2">
              <w:rPr>
                <w:rFonts w:ascii="Times New Roman" w:eastAsia="Calibri" w:hAnsi="Times New Roman" w:cs="Times New Roman"/>
                <w:bCs/>
                <w:sz w:val="20"/>
                <w:szCs w:val="20"/>
              </w:rPr>
              <w:t>(B.1.</w:t>
            </w:r>
            <w:r w:rsidR="00BD75A2" w:rsidRPr="007768C2">
              <w:rPr>
                <w:rFonts w:ascii="Times New Roman" w:eastAsia="Calibri" w:hAnsi="Times New Roman" w:cs="Times New Roman"/>
                <w:bCs/>
                <w:sz w:val="20"/>
                <w:szCs w:val="20"/>
              </w:rPr>
              <w:t>8</w:t>
            </w:r>
            <w:r w:rsidR="00E2019C" w:rsidRPr="007768C2">
              <w:rPr>
                <w:rFonts w:ascii="Times New Roman" w:eastAsia="Calibri" w:hAnsi="Times New Roman" w:cs="Times New Roman"/>
                <w:bCs/>
                <w:sz w:val="20"/>
                <w:szCs w:val="20"/>
              </w:rPr>
              <w:t>.</w:t>
            </w:r>
            <w:r w:rsidRPr="007768C2">
              <w:rPr>
                <w:rFonts w:ascii="Times New Roman" w:eastAsia="Calibri" w:hAnsi="Times New Roman" w:cs="Times New Roman"/>
                <w:bCs/>
                <w:sz w:val="20"/>
                <w:szCs w:val="20"/>
              </w:rPr>
              <w:t>)</w:t>
            </w:r>
          </w:p>
        </w:tc>
      </w:tr>
    </w:tbl>
    <w:p w14:paraId="428BB9E1" w14:textId="4BE9CA32" w:rsidR="00E331C0" w:rsidRPr="00A07F29" w:rsidRDefault="00A21E83" w:rsidP="00BD75A2">
      <w:pPr>
        <w:spacing w:before="240" w:after="120" w:line="240" w:lineRule="auto"/>
        <w:jc w:val="both"/>
        <w:rPr>
          <w:rFonts w:ascii="Times New Roman" w:eastAsia="Calibri" w:hAnsi="Times New Roman" w:cs="Times New Roman"/>
          <w:b/>
          <w:i/>
          <w:sz w:val="24"/>
          <w:szCs w:val="24"/>
        </w:rPr>
      </w:pPr>
      <w:r w:rsidRPr="00A07F29">
        <w:rPr>
          <w:rFonts w:ascii="Times New Roman" w:eastAsia="Calibri" w:hAnsi="Times New Roman" w:cs="Times New Roman"/>
          <w:b/>
          <w:i/>
          <w:sz w:val="24"/>
          <w:szCs w:val="24"/>
        </w:rPr>
        <w:t>B.1.</w:t>
      </w:r>
      <w:r w:rsidR="00BD75A2" w:rsidRPr="00A07F29">
        <w:rPr>
          <w:rFonts w:ascii="Times New Roman" w:eastAsia="Calibri" w:hAnsi="Times New Roman" w:cs="Times New Roman"/>
          <w:b/>
          <w:i/>
          <w:sz w:val="24"/>
          <w:szCs w:val="24"/>
        </w:rPr>
        <w:t>9</w:t>
      </w:r>
      <w:r w:rsidRPr="00A07F29">
        <w:rPr>
          <w:rFonts w:ascii="Times New Roman" w:eastAsia="Calibri" w:hAnsi="Times New Roman" w:cs="Times New Roman"/>
          <w:b/>
          <w:i/>
          <w:sz w:val="24"/>
          <w:szCs w:val="24"/>
        </w:rPr>
        <w:t xml:space="preserve">. </w:t>
      </w:r>
      <w:r w:rsidR="00E331C0" w:rsidRPr="00A07F29">
        <w:rPr>
          <w:rFonts w:ascii="Times New Roman" w:eastAsia="Calibri" w:hAnsi="Times New Roman" w:cs="Times New Roman"/>
          <w:b/>
          <w:i/>
          <w:sz w:val="24"/>
          <w:szCs w:val="24"/>
        </w:rPr>
        <w:t>Sakrit</w:t>
      </w:r>
      <w:r w:rsidR="00992D21" w:rsidRPr="00A07F29">
        <w:rPr>
          <w:rFonts w:ascii="Times New Roman" w:eastAsia="Calibri" w:hAnsi="Times New Roman" w:cs="Times New Roman"/>
          <w:b/>
          <w:i/>
          <w:sz w:val="24"/>
          <w:szCs w:val="24"/>
        </w:rPr>
        <w:t>u</w:t>
      </w:r>
      <w:r w:rsidR="00E331C0" w:rsidRPr="00A07F29">
        <w:rPr>
          <w:rFonts w:ascii="Times New Roman" w:eastAsia="Calibri" w:hAnsi="Times New Roman" w:cs="Times New Roman"/>
          <w:b/>
          <w:i/>
          <w:sz w:val="24"/>
          <w:szCs w:val="24"/>
        </w:rPr>
        <w:t xml:space="preserve">šo koku izvākšana no </w:t>
      </w:r>
      <w:r w:rsidRPr="00A07F29">
        <w:rPr>
          <w:rFonts w:ascii="Times New Roman" w:eastAsia="Calibri" w:hAnsi="Times New Roman" w:cs="Times New Roman"/>
          <w:b/>
          <w:i/>
          <w:sz w:val="24"/>
          <w:szCs w:val="24"/>
        </w:rPr>
        <w:t xml:space="preserve">Mazā </w:t>
      </w:r>
      <w:proofErr w:type="spellStart"/>
      <w:r w:rsidRPr="00A07F29">
        <w:rPr>
          <w:rFonts w:ascii="Times New Roman" w:eastAsia="Calibri" w:hAnsi="Times New Roman" w:cs="Times New Roman"/>
          <w:b/>
          <w:i/>
          <w:sz w:val="24"/>
          <w:szCs w:val="24"/>
        </w:rPr>
        <w:t>Borvinkas</w:t>
      </w:r>
      <w:proofErr w:type="spellEnd"/>
      <w:r w:rsidRPr="00A07F29">
        <w:rPr>
          <w:rFonts w:ascii="Times New Roman" w:eastAsia="Calibri" w:hAnsi="Times New Roman" w:cs="Times New Roman"/>
          <w:b/>
          <w:i/>
          <w:sz w:val="24"/>
          <w:szCs w:val="24"/>
        </w:rPr>
        <w:t xml:space="preserve"> </w:t>
      </w:r>
      <w:r w:rsidR="00E331C0" w:rsidRPr="00A07F29">
        <w:rPr>
          <w:rFonts w:ascii="Times New Roman" w:eastAsia="Calibri" w:hAnsi="Times New Roman" w:cs="Times New Roman"/>
          <w:b/>
          <w:i/>
          <w:sz w:val="24"/>
          <w:szCs w:val="24"/>
        </w:rPr>
        <w:t>ezera</w:t>
      </w:r>
    </w:p>
    <w:p w14:paraId="1C0CE529" w14:textId="4F680A15" w:rsidR="00E331C0" w:rsidRPr="00A07F29" w:rsidRDefault="00E331C0" w:rsidP="00BD75A2">
      <w:pPr>
        <w:spacing w:after="0" w:line="240" w:lineRule="auto"/>
        <w:ind w:firstLine="851"/>
        <w:jc w:val="both"/>
        <w:rPr>
          <w:rFonts w:ascii="Times New Roman" w:eastAsia="Noto Sans CJK SC" w:hAnsi="Times New Roman" w:cs="Lohit Devanagari"/>
          <w:kern w:val="2"/>
          <w:sz w:val="24"/>
          <w:szCs w:val="24"/>
          <w:lang w:eastAsia="zh-CN" w:bidi="hi-IN"/>
        </w:rPr>
      </w:pPr>
      <w:r w:rsidRPr="00A07F29">
        <w:rPr>
          <w:rFonts w:ascii="Times New Roman" w:eastAsia="Noto Sans CJK SC" w:hAnsi="Times New Roman" w:cs="Lohit Devanagari"/>
          <w:kern w:val="2"/>
          <w:sz w:val="24"/>
          <w:szCs w:val="24"/>
          <w:lang w:eastAsia="zh-CN" w:bidi="hi-IN"/>
        </w:rPr>
        <w:t xml:space="preserve">Nepieciešams izvākt </w:t>
      </w:r>
      <w:r w:rsidR="00A21E83" w:rsidRPr="00A07F29">
        <w:rPr>
          <w:rFonts w:ascii="Times New Roman" w:eastAsia="Noto Sans CJK SC" w:hAnsi="Times New Roman" w:cs="Lohit Devanagari"/>
          <w:kern w:val="2"/>
          <w:sz w:val="24"/>
          <w:szCs w:val="24"/>
          <w:lang w:eastAsia="zh-CN" w:bidi="hi-IN"/>
        </w:rPr>
        <w:t>2019.</w:t>
      </w:r>
      <w:r w:rsidR="007768C2">
        <w:rPr>
          <w:rFonts w:ascii="Times New Roman" w:eastAsia="Noto Sans CJK SC" w:hAnsi="Times New Roman" w:cs="Lohit Devanagari"/>
          <w:kern w:val="2"/>
          <w:sz w:val="24"/>
          <w:szCs w:val="24"/>
          <w:lang w:eastAsia="zh-CN" w:bidi="hi-IN"/>
        </w:rPr>
        <w:t> </w:t>
      </w:r>
      <w:r w:rsidR="00A21E83" w:rsidRPr="00A07F29">
        <w:rPr>
          <w:rFonts w:ascii="Times New Roman" w:eastAsia="Noto Sans CJK SC" w:hAnsi="Times New Roman" w:cs="Lohit Devanagari"/>
          <w:kern w:val="2"/>
          <w:sz w:val="24"/>
          <w:szCs w:val="24"/>
          <w:lang w:eastAsia="zh-CN" w:bidi="hi-IN"/>
        </w:rPr>
        <w:t xml:space="preserve">gadā </w:t>
      </w:r>
      <w:r w:rsidRPr="00A07F29">
        <w:rPr>
          <w:rFonts w:ascii="Times New Roman" w:eastAsia="Noto Sans CJK SC" w:hAnsi="Times New Roman" w:cs="Lohit Devanagari"/>
          <w:kern w:val="2"/>
          <w:sz w:val="24"/>
          <w:szCs w:val="24"/>
          <w:lang w:eastAsia="zh-CN" w:bidi="hi-IN"/>
        </w:rPr>
        <w:t xml:space="preserve">iegāzušos iekritušo egli </w:t>
      </w:r>
      <w:r w:rsidR="00A21E83" w:rsidRPr="00A07F29">
        <w:rPr>
          <w:rFonts w:ascii="Times New Roman" w:eastAsia="Noto Sans CJK SC" w:hAnsi="Times New Roman" w:cs="Lohit Devanagari"/>
          <w:kern w:val="2"/>
          <w:sz w:val="24"/>
          <w:szCs w:val="24"/>
          <w:lang w:eastAsia="zh-CN" w:bidi="hi-IN"/>
        </w:rPr>
        <w:t>(</w:t>
      </w:r>
      <w:proofErr w:type="spellStart"/>
      <w:r w:rsidR="00A21E83" w:rsidRPr="00A07F29">
        <w:rPr>
          <w:rFonts w:ascii="Times New Roman" w:eastAsia="Noto Sans CJK SC" w:hAnsi="Times New Roman" w:cs="Lohit Devanagari"/>
          <w:kern w:val="2"/>
          <w:sz w:val="24"/>
          <w:szCs w:val="24"/>
          <w:lang w:eastAsia="zh-CN" w:bidi="hi-IN"/>
        </w:rPr>
        <w:t>koord</w:t>
      </w:r>
      <w:proofErr w:type="spellEnd"/>
      <w:r w:rsidR="00A21E83" w:rsidRPr="00A07F29">
        <w:rPr>
          <w:rFonts w:ascii="Times New Roman" w:eastAsia="Noto Sans CJK SC" w:hAnsi="Times New Roman" w:cs="Lohit Devanagari"/>
          <w:kern w:val="2"/>
          <w:sz w:val="24"/>
          <w:szCs w:val="24"/>
          <w:lang w:eastAsia="zh-CN" w:bidi="hi-IN"/>
        </w:rPr>
        <w:t>. 703984/6188521).</w:t>
      </w:r>
    </w:p>
    <w:p w14:paraId="5D5FF31D" w14:textId="67F2329E" w:rsidR="00BD75A2" w:rsidRPr="00A07F29" w:rsidRDefault="00BD75A2" w:rsidP="00BD75A2">
      <w:pPr>
        <w:spacing w:after="0" w:line="240" w:lineRule="auto"/>
        <w:ind w:firstLine="851"/>
        <w:jc w:val="both"/>
        <w:rPr>
          <w:rFonts w:ascii="Times New Roman" w:eastAsia="Noto Sans CJK SC" w:hAnsi="Times New Roman" w:cs="Lohit Devanagari"/>
          <w:kern w:val="2"/>
          <w:sz w:val="24"/>
          <w:szCs w:val="24"/>
          <w:lang w:eastAsia="zh-CN" w:bidi="hi-IN"/>
        </w:rPr>
      </w:pPr>
      <w:r w:rsidRPr="00A07F29">
        <w:rPr>
          <w:rFonts w:ascii="Times New Roman" w:eastAsia="Noto Sans CJK SC" w:hAnsi="Times New Roman" w:cs="Lohit Devanagari"/>
          <w:kern w:val="2"/>
          <w:sz w:val="24"/>
          <w:szCs w:val="24"/>
          <w:lang w:eastAsia="zh-CN" w:bidi="hi-IN"/>
        </w:rPr>
        <w:t>Jāseko līdzi ezera stāvoklim un arī turpmāk jāizvāc koki, kuri iekrīt ezerā.</w:t>
      </w:r>
    </w:p>
    <w:p w14:paraId="5F2D2E4F" w14:textId="74B110CE" w:rsidR="00A21E83" w:rsidRPr="00A07F29" w:rsidRDefault="00A21E83" w:rsidP="00A21E83">
      <w:pPr>
        <w:spacing w:after="0" w:line="240" w:lineRule="auto"/>
        <w:jc w:val="both"/>
        <w:rPr>
          <w:rFonts w:ascii="Times New Roman" w:eastAsia="Calibri" w:hAnsi="Times New Roman" w:cs="Times New Roman"/>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20"/>
      </w:tblGrid>
      <w:tr w:rsidR="00BD75A2" w:rsidRPr="00A07F29" w14:paraId="0092B15D" w14:textId="77777777" w:rsidTr="63C42FA1">
        <w:trPr>
          <w:jc w:val="center"/>
        </w:trPr>
        <w:tc>
          <w:tcPr>
            <w:tcW w:w="0" w:type="auto"/>
          </w:tcPr>
          <w:p w14:paraId="78877B50" w14:textId="5983F214" w:rsidR="00BD75A2" w:rsidRPr="00A07F29" w:rsidRDefault="00652C52" w:rsidP="00A21E83">
            <w:pPr>
              <w:jc w:val="both"/>
              <w:rPr>
                <w:rFonts w:ascii="Times New Roman" w:eastAsia="Calibri" w:hAnsi="Times New Roman" w:cs="Times New Roman"/>
                <w:sz w:val="24"/>
                <w:szCs w:val="24"/>
              </w:rPr>
            </w:pPr>
            <w:r w:rsidRPr="00A07F29">
              <w:rPr>
                <w:noProof/>
                <w:lang w:eastAsia="lv-LV"/>
              </w:rPr>
              <w:drawing>
                <wp:inline distT="0" distB="0" distL="0" distR="0" wp14:anchorId="052512E1" wp14:editId="7FEC70F3">
                  <wp:extent cx="3876085" cy="2740228"/>
                  <wp:effectExtent l="0" t="0" r="0" b="317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3876085" cy="2740228"/>
                          </a:xfrm>
                          <a:prstGeom prst="rect">
                            <a:avLst/>
                          </a:prstGeom>
                        </pic:spPr>
                      </pic:pic>
                    </a:graphicData>
                  </a:graphic>
                </wp:inline>
              </w:drawing>
            </w:r>
          </w:p>
        </w:tc>
      </w:tr>
      <w:tr w:rsidR="00BD75A2" w:rsidRPr="00A07F29" w14:paraId="379F02B4" w14:textId="77777777" w:rsidTr="63C42FA1">
        <w:trPr>
          <w:jc w:val="center"/>
        </w:trPr>
        <w:tc>
          <w:tcPr>
            <w:tcW w:w="0" w:type="auto"/>
          </w:tcPr>
          <w:p w14:paraId="16AAF5A9" w14:textId="7605341C" w:rsidR="00BD75A2" w:rsidRPr="00A61DF4" w:rsidRDefault="00BD75A2" w:rsidP="00E2019C">
            <w:pPr>
              <w:jc w:val="both"/>
              <w:rPr>
                <w:rFonts w:ascii="Times New Roman" w:eastAsia="Calibri" w:hAnsi="Times New Roman" w:cs="Times New Roman"/>
                <w:sz w:val="20"/>
                <w:szCs w:val="20"/>
              </w:rPr>
            </w:pPr>
            <w:r w:rsidRPr="00A61DF4">
              <w:rPr>
                <w:rFonts w:ascii="Times New Roman" w:eastAsia="Calibri" w:hAnsi="Times New Roman" w:cs="Times New Roman"/>
                <w:sz w:val="20"/>
                <w:szCs w:val="20"/>
              </w:rPr>
              <w:t>5.3.</w:t>
            </w:r>
            <w:r w:rsidR="00A61DF4" w:rsidRPr="00A61DF4">
              <w:rPr>
                <w:rFonts w:ascii="Times New Roman" w:eastAsia="Calibri" w:hAnsi="Times New Roman" w:cs="Times New Roman"/>
                <w:sz w:val="20"/>
                <w:szCs w:val="20"/>
              </w:rPr>
              <w:t>8</w:t>
            </w:r>
            <w:r w:rsidRPr="00A61DF4">
              <w:rPr>
                <w:rFonts w:ascii="Times New Roman" w:eastAsia="Calibri" w:hAnsi="Times New Roman" w:cs="Times New Roman"/>
                <w:sz w:val="20"/>
                <w:szCs w:val="20"/>
              </w:rPr>
              <w:t>.</w:t>
            </w:r>
            <w:r w:rsidR="00A61DF4" w:rsidRPr="00A61DF4">
              <w:rPr>
                <w:rFonts w:ascii="Times New Roman" w:eastAsia="Calibri" w:hAnsi="Times New Roman" w:cs="Times New Roman"/>
                <w:sz w:val="20"/>
                <w:szCs w:val="20"/>
              </w:rPr>
              <w:t> </w:t>
            </w:r>
            <w:r w:rsidRPr="00A61DF4">
              <w:rPr>
                <w:rFonts w:ascii="Times New Roman" w:eastAsia="Calibri" w:hAnsi="Times New Roman" w:cs="Times New Roman"/>
                <w:sz w:val="20"/>
                <w:szCs w:val="20"/>
              </w:rPr>
              <w:t xml:space="preserve">attēls. Egles izvākšana no Mazā </w:t>
            </w:r>
            <w:proofErr w:type="spellStart"/>
            <w:r w:rsidRPr="00A61DF4">
              <w:rPr>
                <w:rFonts w:ascii="Times New Roman" w:eastAsia="Calibri" w:hAnsi="Times New Roman" w:cs="Times New Roman"/>
                <w:sz w:val="20"/>
                <w:szCs w:val="20"/>
              </w:rPr>
              <w:t>Borvinkas</w:t>
            </w:r>
            <w:proofErr w:type="spellEnd"/>
            <w:r w:rsidRPr="00A61DF4">
              <w:rPr>
                <w:rFonts w:ascii="Times New Roman" w:eastAsia="Calibri" w:hAnsi="Times New Roman" w:cs="Times New Roman"/>
                <w:sz w:val="20"/>
                <w:szCs w:val="20"/>
              </w:rPr>
              <w:t xml:space="preserve"> ezera (B.1.9.)</w:t>
            </w:r>
          </w:p>
        </w:tc>
      </w:tr>
    </w:tbl>
    <w:p w14:paraId="3E1F0675" w14:textId="112A3514" w:rsidR="00BD75A2" w:rsidRPr="00A07F29" w:rsidRDefault="00BD75A2" w:rsidP="007813D1">
      <w:pPr>
        <w:keepNext/>
        <w:spacing w:before="240" w:after="120" w:line="240" w:lineRule="auto"/>
        <w:jc w:val="both"/>
        <w:rPr>
          <w:rFonts w:ascii="Times New Roman" w:eastAsia="Calibri" w:hAnsi="Times New Roman" w:cs="Times New Roman"/>
          <w:b/>
          <w:i/>
          <w:sz w:val="24"/>
          <w:szCs w:val="24"/>
        </w:rPr>
      </w:pPr>
      <w:r w:rsidRPr="00A07F29">
        <w:rPr>
          <w:rFonts w:ascii="Times New Roman" w:eastAsia="Calibri" w:hAnsi="Times New Roman" w:cs="Times New Roman"/>
          <w:b/>
          <w:i/>
          <w:sz w:val="24"/>
          <w:szCs w:val="24"/>
        </w:rPr>
        <w:t xml:space="preserve">B.1.10. Bebru darbības kontrole </w:t>
      </w:r>
      <w:proofErr w:type="spellStart"/>
      <w:r w:rsidRPr="00A07F29">
        <w:rPr>
          <w:rFonts w:ascii="Times New Roman" w:eastAsia="Calibri" w:hAnsi="Times New Roman" w:cs="Times New Roman"/>
          <w:b/>
          <w:i/>
          <w:sz w:val="24"/>
          <w:szCs w:val="24"/>
        </w:rPr>
        <w:t>Gluhoje</w:t>
      </w:r>
      <w:proofErr w:type="spellEnd"/>
      <w:r w:rsidRPr="00A07F29">
        <w:rPr>
          <w:rFonts w:ascii="Times New Roman" w:eastAsia="Calibri" w:hAnsi="Times New Roman" w:cs="Times New Roman"/>
          <w:b/>
          <w:i/>
          <w:sz w:val="24"/>
          <w:szCs w:val="24"/>
        </w:rPr>
        <w:t xml:space="preserve">, </w:t>
      </w:r>
      <w:proofErr w:type="spellStart"/>
      <w:r w:rsidRPr="00A07F29">
        <w:rPr>
          <w:rFonts w:ascii="Times New Roman" w:eastAsia="Calibri" w:hAnsi="Times New Roman" w:cs="Times New Roman"/>
          <w:b/>
          <w:i/>
          <w:sz w:val="24"/>
          <w:szCs w:val="24"/>
        </w:rPr>
        <w:t>Zimašu</w:t>
      </w:r>
      <w:proofErr w:type="spellEnd"/>
      <w:r w:rsidRPr="00A07F29">
        <w:rPr>
          <w:rFonts w:ascii="Times New Roman" w:eastAsia="Calibri" w:hAnsi="Times New Roman" w:cs="Times New Roman"/>
          <w:b/>
          <w:i/>
          <w:sz w:val="24"/>
          <w:szCs w:val="24"/>
        </w:rPr>
        <w:t xml:space="preserve">, </w:t>
      </w:r>
      <w:proofErr w:type="spellStart"/>
      <w:r w:rsidRPr="00A07F29">
        <w:rPr>
          <w:rFonts w:ascii="Times New Roman" w:eastAsia="Calibri" w:hAnsi="Times New Roman" w:cs="Times New Roman"/>
          <w:b/>
          <w:i/>
          <w:sz w:val="24"/>
          <w:szCs w:val="24"/>
        </w:rPr>
        <w:t>Dubinkas</w:t>
      </w:r>
      <w:proofErr w:type="spellEnd"/>
      <w:r w:rsidRPr="00A07F29">
        <w:rPr>
          <w:rFonts w:ascii="Times New Roman" w:eastAsia="Calibri" w:hAnsi="Times New Roman" w:cs="Times New Roman"/>
          <w:b/>
          <w:i/>
          <w:sz w:val="24"/>
          <w:szCs w:val="24"/>
        </w:rPr>
        <w:t xml:space="preserve">, </w:t>
      </w:r>
      <w:proofErr w:type="spellStart"/>
      <w:r w:rsidRPr="00A07F29">
        <w:rPr>
          <w:rFonts w:ascii="Times New Roman" w:eastAsia="Calibri" w:hAnsi="Times New Roman" w:cs="Times New Roman"/>
          <w:b/>
          <w:i/>
          <w:sz w:val="24"/>
          <w:szCs w:val="24"/>
        </w:rPr>
        <w:t>Prūdeņa</w:t>
      </w:r>
      <w:proofErr w:type="spellEnd"/>
      <w:r w:rsidRPr="00A07F29">
        <w:rPr>
          <w:rFonts w:ascii="Times New Roman" w:eastAsia="Calibri" w:hAnsi="Times New Roman" w:cs="Times New Roman"/>
          <w:b/>
          <w:i/>
          <w:sz w:val="24"/>
          <w:szCs w:val="24"/>
        </w:rPr>
        <w:t xml:space="preserve"> un </w:t>
      </w:r>
      <w:proofErr w:type="spellStart"/>
      <w:r w:rsidRPr="00A07F29">
        <w:rPr>
          <w:rFonts w:ascii="Times New Roman" w:eastAsia="Calibri" w:hAnsi="Times New Roman" w:cs="Times New Roman"/>
          <w:b/>
          <w:i/>
          <w:sz w:val="24"/>
          <w:szCs w:val="24"/>
        </w:rPr>
        <w:t>Šlapuka</w:t>
      </w:r>
      <w:proofErr w:type="spellEnd"/>
      <w:r w:rsidRPr="00A07F29">
        <w:rPr>
          <w:rFonts w:ascii="Times New Roman" w:eastAsia="Calibri" w:hAnsi="Times New Roman" w:cs="Times New Roman"/>
          <w:b/>
          <w:i/>
          <w:sz w:val="24"/>
          <w:szCs w:val="24"/>
        </w:rPr>
        <w:t xml:space="preserve"> ezerā</w:t>
      </w:r>
    </w:p>
    <w:p w14:paraId="47479224" w14:textId="77777777" w:rsidR="00BD75A2" w:rsidRPr="00A07F29" w:rsidRDefault="00BD75A2" w:rsidP="00BD75A2">
      <w:pPr>
        <w:spacing w:after="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Nojaucami esošie bebru dambji no </w:t>
      </w:r>
      <w:proofErr w:type="spellStart"/>
      <w:r w:rsidRPr="00A07F29">
        <w:rPr>
          <w:rFonts w:ascii="Times New Roman" w:eastAsia="Calibri" w:hAnsi="Times New Roman" w:cs="Times New Roman"/>
          <w:sz w:val="24"/>
          <w:szCs w:val="24"/>
        </w:rPr>
        <w:t>Prūdeņa</w:t>
      </w:r>
      <w:proofErr w:type="spellEnd"/>
      <w:r w:rsidRPr="00A07F29">
        <w:rPr>
          <w:rFonts w:ascii="Times New Roman" w:eastAsia="Calibri" w:hAnsi="Times New Roman" w:cs="Times New Roman"/>
          <w:sz w:val="24"/>
          <w:szCs w:val="24"/>
        </w:rPr>
        <w:t xml:space="preserve"> iztekošajā Stirnas upē un no </w:t>
      </w:r>
      <w:proofErr w:type="spellStart"/>
      <w:r w:rsidRPr="00A07F29">
        <w:rPr>
          <w:rFonts w:ascii="Times New Roman" w:eastAsia="Calibri" w:hAnsi="Times New Roman" w:cs="Times New Roman"/>
          <w:sz w:val="24"/>
          <w:szCs w:val="24"/>
        </w:rPr>
        <w:t>Šlapuka</w:t>
      </w:r>
      <w:proofErr w:type="spellEnd"/>
      <w:r w:rsidRPr="00A07F29">
        <w:rPr>
          <w:rFonts w:ascii="Times New Roman" w:eastAsia="Calibri" w:hAnsi="Times New Roman" w:cs="Times New Roman"/>
          <w:sz w:val="24"/>
          <w:szCs w:val="24"/>
        </w:rPr>
        <w:t xml:space="preserve"> ezera iztekošajā upītē.</w:t>
      </w:r>
    </w:p>
    <w:p w14:paraId="1FBE4E8A" w14:textId="370681A0" w:rsidR="00BD75A2" w:rsidRPr="00A07F29" w:rsidRDefault="00BD75A2" w:rsidP="00BD75A2">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Nepieciešams sekot līdzi bebru darbībai un izvācami bebru dambji, ja tādi parādās, no visām no </w:t>
      </w:r>
      <w:proofErr w:type="spellStart"/>
      <w:r w:rsidRPr="00A07F29">
        <w:rPr>
          <w:rFonts w:ascii="Times New Roman" w:eastAsia="Calibri" w:hAnsi="Times New Roman" w:cs="Times New Roman"/>
          <w:sz w:val="24"/>
          <w:szCs w:val="24"/>
        </w:rPr>
        <w:t>Gluhoje</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Zimašu</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Dubinkas</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Prūdeņa</w:t>
      </w:r>
      <w:proofErr w:type="spellEnd"/>
      <w:r w:rsidRPr="00A07F29">
        <w:rPr>
          <w:rFonts w:ascii="Times New Roman" w:eastAsia="Calibri" w:hAnsi="Times New Roman" w:cs="Times New Roman"/>
          <w:sz w:val="24"/>
          <w:szCs w:val="24"/>
        </w:rPr>
        <w:t xml:space="preserve"> un </w:t>
      </w:r>
      <w:proofErr w:type="spellStart"/>
      <w:r w:rsidRPr="00A07F29">
        <w:rPr>
          <w:rFonts w:ascii="Times New Roman" w:eastAsia="Calibri" w:hAnsi="Times New Roman" w:cs="Times New Roman"/>
          <w:sz w:val="24"/>
          <w:szCs w:val="24"/>
        </w:rPr>
        <w:t>Šlapuka</w:t>
      </w:r>
      <w:proofErr w:type="spellEnd"/>
      <w:r w:rsidRPr="00A07F29">
        <w:rPr>
          <w:rFonts w:ascii="Times New Roman" w:eastAsia="Calibri" w:hAnsi="Times New Roman" w:cs="Times New Roman"/>
          <w:sz w:val="24"/>
          <w:szCs w:val="24"/>
        </w:rPr>
        <w:t xml:space="preserve"> ezera iztekošajām ūdenstecēm, lai nepieļautu ezeru ūdens līmeņa paaugstināšanos</w:t>
      </w:r>
      <w:r w:rsidR="00E2019C" w:rsidRPr="00A07F29">
        <w:rPr>
          <w:rFonts w:ascii="Times New Roman" w:eastAsia="Calibri" w:hAnsi="Times New Roman" w:cs="Times New Roman"/>
          <w:sz w:val="24"/>
          <w:szCs w:val="24"/>
        </w:rPr>
        <w:t xml:space="preserve"> (</w:t>
      </w:r>
      <w:r w:rsidR="00A21259">
        <w:rPr>
          <w:rFonts w:ascii="Times New Roman" w:eastAsia="Calibri" w:hAnsi="Times New Roman" w:cs="Times New Roman"/>
          <w:sz w:val="24"/>
          <w:szCs w:val="24"/>
        </w:rPr>
        <w:t xml:space="preserve">skat. </w:t>
      </w:r>
      <w:r w:rsidR="00E2019C" w:rsidRPr="00A07F29">
        <w:rPr>
          <w:rFonts w:ascii="Times New Roman" w:eastAsia="Calibri" w:hAnsi="Times New Roman" w:cs="Times New Roman"/>
          <w:sz w:val="24"/>
          <w:szCs w:val="24"/>
        </w:rPr>
        <w:t>5.3.</w:t>
      </w:r>
      <w:r w:rsidR="00A21259">
        <w:rPr>
          <w:rFonts w:ascii="Times New Roman" w:eastAsia="Calibri" w:hAnsi="Times New Roman" w:cs="Times New Roman"/>
          <w:sz w:val="24"/>
          <w:szCs w:val="24"/>
        </w:rPr>
        <w:t>9</w:t>
      </w:r>
      <w:r w:rsidR="00E2019C" w:rsidRPr="00A07F29">
        <w:rPr>
          <w:rFonts w:ascii="Times New Roman" w:eastAsia="Calibri" w:hAnsi="Times New Roman" w:cs="Times New Roman"/>
          <w:sz w:val="24"/>
          <w:szCs w:val="24"/>
        </w:rPr>
        <w:t>.</w:t>
      </w:r>
      <w:r w:rsidR="00A21259">
        <w:rPr>
          <w:rFonts w:ascii="Times New Roman" w:eastAsia="Calibri" w:hAnsi="Times New Roman" w:cs="Times New Roman"/>
          <w:sz w:val="24"/>
          <w:szCs w:val="24"/>
        </w:rPr>
        <w:t> </w:t>
      </w:r>
      <w:r w:rsidR="00E2019C" w:rsidRPr="00A07F29">
        <w:rPr>
          <w:rFonts w:ascii="Times New Roman" w:eastAsia="Calibri" w:hAnsi="Times New Roman" w:cs="Times New Roman"/>
          <w:sz w:val="24"/>
          <w:szCs w:val="24"/>
        </w:rPr>
        <w:t>att</w:t>
      </w:r>
      <w:r w:rsidR="00A21259">
        <w:rPr>
          <w:rFonts w:ascii="Times New Roman" w:eastAsia="Calibri" w:hAnsi="Times New Roman" w:cs="Times New Roman"/>
          <w:sz w:val="24"/>
          <w:szCs w:val="24"/>
        </w:rPr>
        <w:t>ēls</w:t>
      </w:r>
      <w:r w:rsidR="00E2019C" w:rsidRPr="00A07F29">
        <w:rPr>
          <w:rFonts w:ascii="Times New Roman" w:eastAsia="Calibri" w:hAnsi="Times New Roman" w:cs="Times New Roman"/>
          <w:sz w:val="24"/>
          <w:szCs w:val="24"/>
        </w:rPr>
        <w:t>).</w:t>
      </w:r>
    </w:p>
    <w:p w14:paraId="1089A60D" w14:textId="0452319A" w:rsidR="00652C52" w:rsidRPr="00A07F29" w:rsidRDefault="00652C52" w:rsidP="00652C52">
      <w:pPr>
        <w:spacing w:after="120" w:line="240" w:lineRule="auto"/>
        <w:jc w:val="both"/>
        <w:rPr>
          <w:rFonts w:ascii="Times New Roman" w:eastAsia="Calibri" w:hAnsi="Times New Roman" w:cs="Times New Roman"/>
          <w:sz w:val="24"/>
          <w:szCs w:val="24"/>
        </w:rPr>
      </w:pPr>
      <w:r w:rsidRPr="00A07F29">
        <w:rPr>
          <w:noProof/>
          <w:lang w:eastAsia="lv-LV"/>
        </w:rPr>
        <w:lastRenderedPageBreak/>
        <w:drawing>
          <wp:inline distT="0" distB="0" distL="0" distR="0" wp14:anchorId="6A7DCDCA" wp14:editId="088125DA">
            <wp:extent cx="5731510" cy="2078355"/>
            <wp:effectExtent l="0" t="0" r="254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pic:nvPicPr>
                  <pic:blipFill>
                    <a:blip r:embed="rId107">
                      <a:extLst>
                        <a:ext uri="{28A0092B-C50C-407E-A947-70E740481C1C}">
                          <a14:useLocalDpi xmlns:a14="http://schemas.microsoft.com/office/drawing/2010/main" val="0"/>
                        </a:ext>
                      </a:extLst>
                    </a:blip>
                    <a:stretch>
                      <a:fillRect/>
                    </a:stretch>
                  </pic:blipFill>
                  <pic:spPr>
                    <a:xfrm>
                      <a:off x="0" y="0"/>
                      <a:ext cx="5731510" cy="2078355"/>
                    </a:xfrm>
                    <a:prstGeom prst="rect">
                      <a:avLst/>
                    </a:prstGeom>
                  </pic:spPr>
                </pic:pic>
              </a:graphicData>
            </a:graphic>
          </wp:inline>
        </w:drawing>
      </w:r>
    </w:p>
    <w:p w14:paraId="604582BD" w14:textId="3D3B9A79" w:rsidR="00652C52" w:rsidRPr="00BD3AFC" w:rsidRDefault="00652C52" w:rsidP="00652C52">
      <w:pPr>
        <w:spacing w:after="120" w:line="240" w:lineRule="auto"/>
        <w:jc w:val="both"/>
        <w:rPr>
          <w:rFonts w:ascii="Times New Roman" w:eastAsia="Calibri" w:hAnsi="Times New Roman" w:cs="Times New Roman"/>
          <w:sz w:val="20"/>
          <w:szCs w:val="20"/>
        </w:rPr>
      </w:pPr>
      <w:r w:rsidRPr="00BD3AFC">
        <w:rPr>
          <w:rFonts w:ascii="Times New Roman" w:eastAsia="Calibri" w:hAnsi="Times New Roman" w:cs="Times New Roman"/>
          <w:sz w:val="20"/>
          <w:szCs w:val="20"/>
        </w:rPr>
        <w:t>5.3.</w:t>
      </w:r>
      <w:r w:rsidR="00BD3AFC" w:rsidRPr="00BD3AFC">
        <w:rPr>
          <w:rFonts w:ascii="Times New Roman" w:eastAsia="Calibri" w:hAnsi="Times New Roman" w:cs="Times New Roman"/>
          <w:sz w:val="20"/>
          <w:szCs w:val="20"/>
        </w:rPr>
        <w:t>9</w:t>
      </w:r>
      <w:r w:rsidRPr="00BD3AFC">
        <w:rPr>
          <w:rFonts w:ascii="Times New Roman" w:eastAsia="Calibri" w:hAnsi="Times New Roman" w:cs="Times New Roman"/>
          <w:sz w:val="20"/>
          <w:szCs w:val="20"/>
        </w:rPr>
        <w:t>.</w:t>
      </w:r>
      <w:r w:rsidR="00BD3AFC" w:rsidRPr="00BD3AFC">
        <w:rPr>
          <w:rFonts w:ascii="Times New Roman" w:eastAsia="Calibri" w:hAnsi="Times New Roman" w:cs="Times New Roman"/>
          <w:sz w:val="20"/>
          <w:szCs w:val="20"/>
        </w:rPr>
        <w:t> </w:t>
      </w:r>
      <w:r w:rsidRPr="00BD3AFC">
        <w:rPr>
          <w:rFonts w:ascii="Times New Roman" w:eastAsia="Calibri" w:hAnsi="Times New Roman" w:cs="Times New Roman"/>
          <w:sz w:val="20"/>
          <w:szCs w:val="20"/>
        </w:rPr>
        <w:t xml:space="preserve">attēls. </w:t>
      </w:r>
      <w:r w:rsidR="00E2019C" w:rsidRPr="00BD3AFC">
        <w:rPr>
          <w:rFonts w:ascii="Times New Roman" w:eastAsia="Calibri" w:hAnsi="Times New Roman" w:cs="Times New Roman"/>
          <w:sz w:val="20"/>
          <w:szCs w:val="20"/>
        </w:rPr>
        <w:t xml:space="preserve">Bebru darbības kontrole </w:t>
      </w:r>
      <w:proofErr w:type="spellStart"/>
      <w:r w:rsidR="00E2019C" w:rsidRPr="00BD3AFC">
        <w:rPr>
          <w:rFonts w:ascii="Times New Roman" w:eastAsia="Calibri" w:hAnsi="Times New Roman" w:cs="Times New Roman"/>
          <w:sz w:val="20"/>
          <w:szCs w:val="20"/>
        </w:rPr>
        <w:t>Gluhoje</w:t>
      </w:r>
      <w:proofErr w:type="spellEnd"/>
      <w:r w:rsidR="00E2019C" w:rsidRPr="00BD3AFC">
        <w:rPr>
          <w:rFonts w:ascii="Times New Roman" w:eastAsia="Calibri" w:hAnsi="Times New Roman" w:cs="Times New Roman"/>
          <w:sz w:val="20"/>
          <w:szCs w:val="20"/>
        </w:rPr>
        <w:t xml:space="preserve">, </w:t>
      </w:r>
      <w:proofErr w:type="spellStart"/>
      <w:r w:rsidR="00E2019C" w:rsidRPr="00BD3AFC">
        <w:rPr>
          <w:rFonts w:ascii="Times New Roman" w:eastAsia="Calibri" w:hAnsi="Times New Roman" w:cs="Times New Roman"/>
          <w:sz w:val="20"/>
          <w:szCs w:val="20"/>
        </w:rPr>
        <w:t>Zimašu</w:t>
      </w:r>
      <w:proofErr w:type="spellEnd"/>
      <w:r w:rsidR="00E2019C" w:rsidRPr="00BD3AFC">
        <w:rPr>
          <w:rFonts w:ascii="Times New Roman" w:eastAsia="Calibri" w:hAnsi="Times New Roman" w:cs="Times New Roman"/>
          <w:sz w:val="20"/>
          <w:szCs w:val="20"/>
        </w:rPr>
        <w:t xml:space="preserve">, </w:t>
      </w:r>
      <w:proofErr w:type="spellStart"/>
      <w:r w:rsidR="00E2019C" w:rsidRPr="00BD3AFC">
        <w:rPr>
          <w:rFonts w:ascii="Times New Roman" w:eastAsia="Calibri" w:hAnsi="Times New Roman" w:cs="Times New Roman"/>
          <w:sz w:val="20"/>
          <w:szCs w:val="20"/>
        </w:rPr>
        <w:t>Dubinkas</w:t>
      </w:r>
      <w:proofErr w:type="spellEnd"/>
      <w:r w:rsidR="00E2019C" w:rsidRPr="00BD3AFC">
        <w:rPr>
          <w:rFonts w:ascii="Times New Roman" w:eastAsia="Calibri" w:hAnsi="Times New Roman" w:cs="Times New Roman"/>
          <w:sz w:val="20"/>
          <w:szCs w:val="20"/>
        </w:rPr>
        <w:t xml:space="preserve">, </w:t>
      </w:r>
      <w:proofErr w:type="spellStart"/>
      <w:r w:rsidR="00E2019C" w:rsidRPr="00BD3AFC">
        <w:rPr>
          <w:rFonts w:ascii="Times New Roman" w:eastAsia="Calibri" w:hAnsi="Times New Roman" w:cs="Times New Roman"/>
          <w:sz w:val="20"/>
          <w:szCs w:val="20"/>
        </w:rPr>
        <w:t>Prūdeņa</w:t>
      </w:r>
      <w:proofErr w:type="spellEnd"/>
      <w:r w:rsidR="00E2019C" w:rsidRPr="00BD3AFC">
        <w:rPr>
          <w:rFonts w:ascii="Times New Roman" w:eastAsia="Calibri" w:hAnsi="Times New Roman" w:cs="Times New Roman"/>
          <w:sz w:val="20"/>
          <w:szCs w:val="20"/>
        </w:rPr>
        <w:t xml:space="preserve"> un </w:t>
      </w:r>
      <w:proofErr w:type="spellStart"/>
      <w:r w:rsidR="00E2019C" w:rsidRPr="00BD3AFC">
        <w:rPr>
          <w:rFonts w:ascii="Times New Roman" w:eastAsia="Calibri" w:hAnsi="Times New Roman" w:cs="Times New Roman"/>
          <w:sz w:val="20"/>
          <w:szCs w:val="20"/>
        </w:rPr>
        <w:t>Šlapuka</w:t>
      </w:r>
      <w:proofErr w:type="spellEnd"/>
      <w:r w:rsidR="00E2019C" w:rsidRPr="00BD3AFC">
        <w:rPr>
          <w:rFonts w:ascii="Times New Roman" w:eastAsia="Calibri" w:hAnsi="Times New Roman" w:cs="Times New Roman"/>
          <w:sz w:val="20"/>
          <w:szCs w:val="20"/>
        </w:rPr>
        <w:t xml:space="preserve"> ezerā (B.1.10.).</w:t>
      </w:r>
    </w:p>
    <w:p w14:paraId="2D5CB694" w14:textId="0880EEB7" w:rsidR="00C95C0E" w:rsidRPr="00A07F29" w:rsidRDefault="00C95C0E" w:rsidP="002E73C4">
      <w:pPr>
        <w:spacing w:before="240" w:after="120" w:line="240" w:lineRule="auto"/>
        <w:jc w:val="both"/>
        <w:rPr>
          <w:rFonts w:ascii="Times New Roman" w:eastAsia="Calibri" w:hAnsi="Times New Roman" w:cs="Times New Roman"/>
          <w:b/>
          <w:i/>
          <w:sz w:val="24"/>
          <w:szCs w:val="24"/>
        </w:rPr>
      </w:pPr>
      <w:r w:rsidRPr="00A07F29">
        <w:rPr>
          <w:rFonts w:ascii="Times New Roman" w:eastAsia="Calibri" w:hAnsi="Times New Roman" w:cs="Times New Roman"/>
          <w:b/>
          <w:i/>
          <w:sz w:val="24"/>
          <w:szCs w:val="24"/>
        </w:rPr>
        <w:t>B.1.11. Aizsargājamo upju biotopu apsaimniekošana</w:t>
      </w:r>
    </w:p>
    <w:p w14:paraId="5552944F" w14:textId="6EF76BC9" w:rsidR="00C95C0E" w:rsidRPr="00A07F29" w:rsidRDefault="00C95C0E" w:rsidP="00BD75A2">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Lai sekmētu aizsargājamo upju biotopu kvalitātes saglabāšanos un uzlabošanos, nepieciešams:</w:t>
      </w:r>
    </w:p>
    <w:p w14:paraId="6E66DAC9" w14:textId="09B87B91" w:rsidR="003B70BF" w:rsidRPr="00A07F29" w:rsidRDefault="00C95C0E" w:rsidP="00BD75A2">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 </w:t>
      </w:r>
      <w:r w:rsidR="003B70BF" w:rsidRPr="00A07F29">
        <w:rPr>
          <w:rFonts w:ascii="Times New Roman" w:eastAsia="Calibri" w:hAnsi="Times New Roman" w:cs="Times New Roman"/>
          <w:sz w:val="24"/>
          <w:szCs w:val="24"/>
        </w:rPr>
        <w:t>izvākt sadzīves atkritumus,</w:t>
      </w:r>
    </w:p>
    <w:p w14:paraId="2C130A07" w14:textId="5B7A6C2E" w:rsidR="003B70BF" w:rsidRPr="00A07F29" w:rsidRDefault="003B70BF" w:rsidP="00BD75A2">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nepieļaut piesārņojošu vielu ieplūdi,</w:t>
      </w:r>
    </w:p>
    <w:p w14:paraId="24EEFE60" w14:textId="093161F8" w:rsidR="00C95C0E" w:rsidRPr="00A07F29" w:rsidRDefault="003B70BF" w:rsidP="00BD75A2">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 </w:t>
      </w:r>
      <w:r w:rsidR="00C95C0E" w:rsidRPr="00A07F29">
        <w:rPr>
          <w:rFonts w:ascii="Times New Roman" w:eastAsia="Calibri" w:hAnsi="Times New Roman" w:cs="Times New Roman"/>
          <w:sz w:val="24"/>
          <w:szCs w:val="24"/>
        </w:rPr>
        <w:t>kontrolēt bebru darbību un nepieļaut pārmērīgu bebru savairošanos,</w:t>
      </w:r>
    </w:p>
    <w:p w14:paraId="2B7F907A" w14:textId="77777777" w:rsidR="003B70BF" w:rsidRPr="00A07F29" w:rsidRDefault="00C95C0E" w:rsidP="00BD75A2">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izvāk</w:t>
      </w:r>
      <w:r w:rsidR="003B70BF" w:rsidRPr="00A07F29">
        <w:rPr>
          <w:rFonts w:ascii="Times New Roman" w:eastAsia="Calibri" w:hAnsi="Times New Roman" w:cs="Times New Roman"/>
          <w:sz w:val="24"/>
          <w:szCs w:val="24"/>
        </w:rPr>
        <w:t>t</w:t>
      </w:r>
      <w:r w:rsidRPr="00A07F29">
        <w:rPr>
          <w:rFonts w:ascii="Times New Roman" w:eastAsia="Calibri" w:hAnsi="Times New Roman" w:cs="Times New Roman"/>
          <w:sz w:val="24"/>
          <w:szCs w:val="24"/>
        </w:rPr>
        <w:t xml:space="preserve"> </w:t>
      </w:r>
      <w:r w:rsidR="003B70BF" w:rsidRPr="00A07F29">
        <w:rPr>
          <w:rFonts w:ascii="Times New Roman" w:eastAsia="Calibri" w:hAnsi="Times New Roman" w:cs="Times New Roman"/>
          <w:sz w:val="24"/>
          <w:szCs w:val="24"/>
        </w:rPr>
        <w:t>bebru dambjus un koku sagāzumus,</w:t>
      </w:r>
    </w:p>
    <w:p w14:paraId="41E2445E" w14:textId="144DE85D" w:rsidR="003B70BF" w:rsidRPr="00A07F29" w:rsidRDefault="003B70BF" w:rsidP="003B70BF">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retināt blīvas baltalkšņu audzes krastos.</w:t>
      </w:r>
    </w:p>
    <w:p w14:paraId="40C5E87C" w14:textId="0F1A0987" w:rsidR="002E73C4" w:rsidRPr="00A07F29" w:rsidRDefault="003B70BF" w:rsidP="003B70BF">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Pasākums nepieciešamības gadījumā īstenojams jebkurā AAA “Augšdaugava” upē (skat. upju aprakstus </w:t>
      </w:r>
      <w:r w:rsidR="00BF7504">
        <w:rPr>
          <w:rFonts w:ascii="Times New Roman" w:eastAsia="Calibri" w:hAnsi="Times New Roman" w:cs="Times New Roman"/>
          <w:sz w:val="24"/>
          <w:szCs w:val="24"/>
        </w:rPr>
        <w:t xml:space="preserve">DA plāna </w:t>
      </w:r>
      <w:r w:rsidRPr="00A07F29">
        <w:rPr>
          <w:rFonts w:ascii="Times New Roman" w:eastAsia="Calibri" w:hAnsi="Times New Roman" w:cs="Times New Roman"/>
          <w:sz w:val="24"/>
          <w:szCs w:val="24"/>
        </w:rPr>
        <w:t>4.3.2.</w:t>
      </w:r>
      <w:r w:rsidR="00BF7504">
        <w:rPr>
          <w:rFonts w:ascii="Times New Roman" w:eastAsia="Calibri" w:hAnsi="Times New Roman" w:cs="Times New Roman"/>
          <w:sz w:val="24"/>
          <w:szCs w:val="24"/>
        </w:rPr>
        <w:t> </w:t>
      </w:r>
      <w:r w:rsidRPr="00A07F29">
        <w:rPr>
          <w:rFonts w:ascii="Times New Roman" w:eastAsia="Calibri" w:hAnsi="Times New Roman" w:cs="Times New Roman"/>
          <w:sz w:val="24"/>
          <w:szCs w:val="24"/>
        </w:rPr>
        <w:t>nodaļā</w:t>
      </w:r>
      <w:r w:rsidR="009B50E0" w:rsidRPr="00A07F29">
        <w:rPr>
          <w:rFonts w:ascii="Times New Roman" w:eastAsia="Calibri" w:hAnsi="Times New Roman" w:cs="Times New Roman"/>
          <w:sz w:val="24"/>
          <w:szCs w:val="24"/>
        </w:rPr>
        <w:t xml:space="preserve">, </w:t>
      </w:r>
      <w:r w:rsidR="00E2019C" w:rsidRPr="00A07F29">
        <w:rPr>
          <w:rFonts w:ascii="Times New Roman" w:eastAsia="Calibri" w:hAnsi="Times New Roman" w:cs="Calibri"/>
          <w:sz w:val="24"/>
          <w:szCs w:val="24"/>
          <w:lang w:eastAsia="ja-JP"/>
        </w:rPr>
        <w:t>5.1.1.</w:t>
      </w:r>
      <w:r w:rsidR="00345747">
        <w:rPr>
          <w:rFonts w:ascii="Times New Roman" w:eastAsia="Calibri" w:hAnsi="Times New Roman" w:cs="Calibri"/>
          <w:sz w:val="24"/>
          <w:szCs w:val="24"/>
          <w:lang w:eastAsia="ja-JP"/>
        </w:rPr>
        <w:t xml:space="preserve"> un 5.1.1a.</w:t>
      </w:r>
      <w:r w:rsidR="00BF7504">
        <w:rPr>
          <w:rFonts w:ascii="Times New Roman" w:eastAsia="Calibri" w:hAnsi="Times New Roman" w:cs="Calibri"/>
          <w:sz w:val="24"/>
          <w:szCs w:val="24"/>
          <w:lang w:eastAsia="ja-JP"/>
        </w:rPr>
        <w:t> </w:t>
      </w:r>
      <w:r w:rsidR="009B50E0" w:rsidRPr="00A07F29">
        <w:rPr>
          <w:rFonts w:ascii="Times New Roman" w:eastAsia="Calibri" w:hAnsi="Times New Roman" w:cs="Calibri"/>
          <w:sz w:val="24"/>
          <w:szCs w:val="24"/>
          <w:lang w:eastAsia="ja-JP"/>
        </w:rPr>
        <w:t>pielikumu</w:t>
      </w:r>
      <w:r w:rsidRPr="00A07F29">
        <w:rPr>
          <w:rFonts w:ascii="Times New Roman" w:eastAsia="Calibri" w:hAnsi="Times New Roman" w:cs="Times New Roman"/>
          <w:sz w:val="24"/>
          <w:szCs w:val="24"/>
        </w:rPr>
        <w:t>), pirmkārt</w:t>
      </w:r>
      <w:r w:rsidR="004C1BD6">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izvēloties sliktākā kvalitātē esošos apdraudētākos upju posmus, kur sagaidāma pasākuma būtiska pozitīva ietekme, kā arī ņemot vērā </w:t>
      </w:r>
      <w:r w:rsidR="002E73C4" w:rsidRPr="00A07F29">
        <w:rPr>
          <w:rFonts w:ascii="Times New Roman" w:eastAsia="Calibri" w:hAnsi="Times New Roman" w:cs="Times New Roman"/>
          <w:sz w:val="24"/>
          <w:szCs w:val="24"/>
        </w:rPr>
        <w:t xml:space="preserve">iespējas uzturēt pasākuma rezultātus. </w:t>
      </w:r>
    </w:p>
    <w:p w14:paraId="10A1F3AB" w14:textId="174BA4C4" w:rsidR="00CD2A93" w:rsidRPr="00A07F29" w:rsidRDefault="26F09819" w:rsidP="00CD2A93">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Darbu apjoms konkrētajā upes posmā precizējams pirms darbu veikšanas, nepieciešamības gadījumā konsultējoties ar tekošu saldūdeņu biotopu ekspertu.</w:t>
      </w:r>
    </w:p>
    <w:p w14:paraId="6640BDED" w14:textId="61D5CD4B" w:rsidR="00A21E83" w:rsidRPr="00A07F29" w:rsidRDefault="00463854" w:rsidP="00BE4C1C">
      <w:pPr>
        <w:spacing w:after="120" w:line="240" w:lineRule="auto"/>
        <w:ind w:firstLine="851"/>
        <w:jc w:val="both"/>
        <w:rPr>
          <w:rFonts w:ascii="Times New Roman" w:eastAsia="Calibri" w:hAnsi="Times New Roman" w:cs="Times New Roman"/>
          <w:sz w:val="24"/>
          <w:szCs w:val="24"/>
        </w:rPr>
      </w:pPr>
      <w:proofErr w:type="spellStart"/>
      <w:r w:rsidRPr="00A07F29">
        <w:rPr>
          <w:rFonts w:ascii="Times New Roman" w:eastAsia="Calibri" w:hAnsi="Times New Roman" w:cs="Times New Roman"/>
          <w:sz w:val="24"/>
          <w:szCs w:val="24"/>
        </w:rPr>
        <w:t>Viļeikas</w:t>
      </w:r>
      <w:proofErr w:type="spellEnd"/>
      <w:r w:rsidRPr="00A07F29">
        <w:rPr>
          <w:rFonts w:ascii="Times New Roman" w:eastAsia="Calibri" w:hAnsi="Times New Roman" w:cs="Times New Roman"/>
          <w:sz w:val="24"/>
          <w:szCs w:val="24"/>
        </w:rPr>
        <w:t xml:space="preserve"> augštece pie Klajumu mājām ir viena no pasākuma veikšanas prioritārajām vietām.</w:t>
      </w:r>
    </w:p>
    <w:p w14:paraId="1C5444C2" w14:textId="377E1308" w:rsidR="002D4C4E" w:rsidRPr="00A07F29" w:rsidRDefault="002D4C4E" w:rsidP="002D4C4E">
      <w:pPr>
        <w:spacing w:before="240" w:after="120" w:line="240" w:lineRule="auto"/>
        <w:jc w:val="both"/>
        <w:rPr>
          <w:rFonts w:ascii="Times New Roman" w:eastAsia="Calibri" w:hAnsi="Times New Roman" w:cs="Times New Roman"/>
          <w:b/>
          <w:i/>
          <w:sz w:val="24"/>
          <w:szCs w:val="24"/>
        </w:rPr>
      </w:pPr>
      <w:r w:rsidRPr="00A07F29">
        <w:rPr>
          <w:rFonts w:ascii="Times New Roman" w:eastAsia="Calibri" w:hAnsi="Times New Roman" w:cs="Times New Roman"/>
          <w:b/>
          <w:i/>
          <w:sz w:val="24"/>
          <w:szCs w:val="24"/>
        </w:rPr>
        <w:t xml:space="preserve">B.1.12. Infrastruktūras izveidošana </w:t>
      </w:r>
      <w:proofErr w:type="spellStart"/>
      <w:r w:rsidRPr="00A07F29">
        <w:rPr>
          <w:rFonts w:ascii="Times New Roman" w:eastAsia="Calibri" w:hAnsi="Times New Roman" w:cs="Times New Roman"/>
          <w:b/>
          <w:i/>
          <w:sz w:val="24"/>
          <w:szCs w:val="24"/>
        </w:rPr>
        <w:t>piesāņojuma</w:t>
      </w:r>
      <w:proofErr w:type="spellEnd"/>
      <w:r w:rsidRPr="00A07F29">
        <w:rPr>
          <w:rFonts w:ascii="Times New Roman" w:eastAsia="Calibri" w:hAnsi="Times New Roman" w:cs="Times New Roman"/>
          <w:b/>
          <w:i/>
          <w:sz w:val="24"/>
          <w:szCs w:val="24"/>
        </w:rPr>
        <w:t xml:space="preserve"> savākšanai Daugavā</w:t>
      </w:r>
    </w:p>
    <w:p w14:paraId="62EB054E" w14:textId="23E413FC" w:rsidR="0078154E" w:rsidRPr="00A07F29" w:rsidRDefault="002D4C4E" w:rsidP="002D4C4E">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Nepieciešams apzināt situāciju saistībā ar iespējamo pārrobežu piesārņojumu Daugavā</w:t>
      </w:r>
      <w:r w:rsidR="000376A8" w:rsidRPr="00A07F29">
        <w:rPr>
          <w:rFonts w:ascii="Times New Roman" w:eastAsia="Calibri" w:hAnsi="Times New Roman" w:cs="Times New Roman"/>
          <w:sz w:val="24"/>
          <w:szCs w:val="24"/>
        </w:rPr>
        <w:t>, kā arī v</w:t>
      </w:r>
      <w:r w:rsidRPr="00A07F29">
        <w:rPr>
          <w:rFonts w:ascii="Times New Roman" w:eastAsia="Calibri" w:hAnsi="Times New Roman" w:cs="Times New Roman"/>
          <w:sz w:val="24"/>
          <w:szCs w:val="24"/>
        </w:rPr>
        <w:t>ietas AAA “Augšdaugava”, kur var rasties piesārņojuma noplūde Daugav</w:t>
      </w:r>
      <w:r w:rsidR="000376A8" w:rsidRPr="00A07F29">
        <w:rPr>
          <w:rFonts w:ascii="Times New Roman" w:eastAsia="Calibri" w:hAnsi="Times New Roman" w:cs="Times New Roman"/>
          <w:sz w:val="24"/>
          <w:szCs w:val="24"/>
        </w:rPr>
        <w:t xml:space="preserve">ā, </w:t>
      </w:r>
      <w:r w:rsidR="00246141" w:rsidRPr="00A07F29">
        <w:rPr>
          <w:rFonts w:ascii="Times New Roman" w:eastAsia="Calibri" w:hAnsi="Times New Roman" w:cs="Times New Roman"/>
          <w:sz w:val="24"/>
          <w:szCs w:val="24"/>
        </w:rPr>
        <w:t>tostarp izvērtējams</w:t>
      </w:r>
      <w:r w:rsidR="00DC79D0" w:rsidRPr="00A07F29">
        <w:rPr>
          <w:rFonts w:ascii="Times New Roman" w:eastAsia="Calibri" w:hAnsi="Times New Roman" w:cs="Times New Roman"/>
          <w:sz w:val="24"/>
          <w:szCs w:val="24"/>
        </w:rPr>
        <w:t>, vai un kur Daugavas krastos būtu izveidojamas stacionāras iekārtas piesārņojuma savākšanai nepieciešamo bonu piestiprināšanai (piemēram, pie Baltkrievijas robežas, lejpus Krāslavas)</w:t>
      </w:r>
      <w:r w:rsidR="000376A8" w:rsidRPr="00A07F29">
        <w:rPr>
          <w:rFonts w:ascii="Times New Roman" w:eastAsia="Calibri" w:hAnsi="Times New Roman" w:cs="Times New Roman"/>
          <w:sz w:val="24"/>
          <w:szCs w:val="24"/>
        </w:rPr>
        <w:t>.</w:t>
      </w:r>
      <w:r w:rsidR="00246141" w:rsidRPr="00A07F29">
        <w:rPr>
          <w:rFonts w:ascii="Times New Roman" w:eastAsia="Calibri" w:hAnsi="Times New Roman" w:cs="Times New Roman"/>
          <w:sz w:val="24"/>
          <w:szCs w:val="24"/>
        </w:rPr>
        <w:t xml:space="preserve"> Tostarp </w:t>
      </w:r>
      <w:r w:rsidR="0078154E" w:rsidRPr="00A07F29">
        <w:rPr>
          <w:rFonts w:ascii="Times New Roman" w:eastAsia="Calibri" w:hAnsi="Times New Roman" w:cs="Times New Roman"/>
          <w:sz w:val="24"/>
          <w:szCs w:val="24"/>
        </w:rPr>
        <w:t>izvērt</w:t>
      </w:r>
      <w:r w:rsidR="00246141" w:rsidRPr="00A07F29">
        <w:rPr>
          <w:rFonts w:ascii="Times New Roman" w:eastAsia="Calibri" w:hAnsi="Times New Roman" w:cs="Times New Roman"/>
          <w:sz w:val="24"/>
          <w:szCs w:val="24"/>
        </w:rPr>
        <w:t>ējam</w:t>
      </w:r>
      <w:r w:rsidR="007A6FB3">
        <w:rPr>
          <w:rFonts w:ascii="Times New Roman" w:eastAsia="Calibri" w:hAnsi="Times New Roman" w:cs="Times New Roman"/>
          <w:sz w:val="24"/>
          <w:szCs w:val="24"/>
        </w:rPr>
        <w:t>a</w:t>
      </w:r>
      <w:r w:rsidR="0078154E" w:rsidRPr="00A07F29">
        <w:rPr>
          <w:rFonts w:ascii="Times New Roman" w:eastAsia="Calibri" w:hAnsi="Times New Roman" w:cs="Times New Roman"/>
          <w:sz w:val="24"/>
          <w:szCs w:val="24"/>
        </w:rPr>
        <w:t xml:space="preserve"> </w:t>
      </w:r>
      <w:r w:rsidR="0078154E" w:rsidRPr="00623F41">
        <w:rPr>
          <w:rFonts w:ascii="Times New Roman" w:eastAsia="Calibri" w:hAnsi="Times New Roman" w:cs="Times New Roman"/>
          <w:sz w:val="24"/>
          <w:szCs w:val="24"/>
        </w:rPr>
        <w:t>Vides ministrijas</w:t>
      </w:r>
      <w:r w:rsidR="0078154E" w:rsidRPr="00A07F29">
        <w:rPr>
          <w:rFonts w:ascii="Times New Roman" w:eastAsia="Calibri" w:hAnsi="Times New Roman" w:cs="Times New Roman"/>
          <w:sz w:val="24"/>
          <w:szCs w:val="24"/>
        </w:rPr>
        <w:t xml:space="preserve"> savulaik </w:t>
      </w:r>
      <w:r w:rsidR="007538A4">
        <w:rPr>
          <w:rFonts w:ascii="Times New Roman" w:eastAsia="Calibri" w:hAnsi="Times New Roman" w:cs="Times New Roman"/>
          <w:sz w:val="24"/>
          <w:szCs w:val="24"/>
        </w:rPr>
        <w:t>izstrādātā</w:t>
      </w:r>
      <w:r w:rsidR="00246141" w:rsidRPr="00A07F29">
        <w:rPr>
          <w:rFonts w:ascii="Times New Roman" w:eastAsia="Calibri" w:hAnsi="Times New Roman" w:cs="Times New Roman"/>
          <w:sz w:val="24"/>
          <w:szCs w:val="24"/>
        </w:rPr>
        <w:t xml:space="preserve"> </w:t>
      </w:r>
      <w:r w:rsidR="0078154E" w:rsidRPr="00A07F29">
        <w:rPr>
          <w:rFonts w:ascii="Times New Roman" w:eastAsia="Calibri" w:hAnsi="Times New Roman" w:cs="Times New Roman"/>
          <w:sz w:val="24"/>
          <w:szCs w:val="24"/>
        </w:rPr>
        <w:t>programma par stacionāro aizsardzības būvju būvniecību bīstamo vielu ierobežošanai Daugavā 2008.</w:t>
      </w:r>
      <w:r w:rsidR="000F4284">
        <w:rPr>
          <w:rFonts w:ascii="Times New Roman" w:eastAsia="Calibri" w:hAnsi="Times New Roman" w:cs="Times New Roman"/>
          <w:sz w:val="24"/>
          <w:szCs w:val="24"/>
        </w:rPr>
        <w:t> </w:t>
      </w:r>
      <w:r w:rsidR="0078154E" w:rsidRPr="00A07F29">
        <w:rPr>
          <w:rFonts w:ascii="Times New Roman" w:eastAsia="Calibri" w:hAnsi="Times New Roman" w:cs="Times New Roman"/>
          <w:sz w:val="24"/>
          <w:szCs w:val="24"/>
        </w:rPr>
        <w:t>–</w:t>
      </w:r>
      <w:r w:rsidR="000F4284">
        <w:rPr>
          <w:rFonts w:ascii="Times New Roman" w:eastAsia="Calibri" w:hAnsi="Times New Roman" w:cs="Times New Roman"/>
          <w:sz w:val="24"/>
          <w:szCs w:val="24"/>
        </w:rPr>
        <w:t> </w:t>
      </w:r>
      <w:r w:rsidR="0078154E" w:rsidRPr="00A07F29">
        <w:rPr>
          <w:rFonts w:ascii="Times New Roman" w:eastAsia="Calibri" w:hAnsi="Times New Roman" w:cs="Times New Roman"/>
          <w:sz w:val="24"/>
          <w:szCs w:val="24"/>
        </w:rPr>
        <w:t>2012.</w:t>
      </w:r>
      <w:r w:rsidR="000F4284">
        <w:rPr>
          <w:rFonts w:ascii="Times New Roman" w:eastAsia="Calibri" w:hAnsi="Times New Roman" w:cs="Times New Roman"/>
          <w:sz w:val="24"/>
          <w:szCs w:val="24"/>
        </w:rPr>
        <w:t> </w:t>
      </w:r>
      <w:r w:rsidR="0078154E" w:rsidRPr="00A07F29">
        <w:rPr>
          <w:rFonts w:ascii="Times New Roman" w:eastAsia="Calibri" w:hAnsi="Times New Roman" w:cs="Times New Roman"/>
          <w:sz w:val="24"/>
          <w:szCs w:val="24"/>
        </w:rPr>
        <w:t>gadam</w:t>
      </w:r>
      <w:r w:rsidR="00351136">
        <w:rPr>
          <w:rStyle w:val="FootnoteReference"/>
          <w:rFonts w:ascii="Times New Roman" w:eastAsia="Calibri" w:hAnsi="Times New Roman" w:cs="Times New Roman"/>
          <w:sz w:val="24"/>
          <w:szCs w:val="24"/>
        </w:rPr>
        <w:footnoteReference w:id="52"/>
      </w:r>
      <w:r w:rsidR="0078154E" w:rsidRPr="00A07F29">
        <w:rPr>
          <w:rFonts w:ascii="Times New Roman" w:eastAsia="Calibri" w:hAnsi="Times New Roman" w:cs="Times New Roman"/>
          <w:sz w:val="24"/>
          <w:szCs w:val="24"/>
        </w:rPr>
        <w:t xml:space="preserve"> un saistībā ar tās īstenošanu veicam</w:t>
      </w:r>
      <w:r w:rsidR="00246141" w:rsidRPr="00A07F29">
        <w:rPr>
          <w:rFonts w:ascii="Times New Roman" w:eastAsia="Calibri" w:hAnsi="Times New Roman" w:cs="Times New Roman"/>
          <w:sz w:val="24"/>
          <w:szCs w:val="24"/>
        </w:rPr>
        <w:t xml:space="preserve">ie </w:t>
      </w:r>
      <w:r w:rsidR="0078154E" w:rsidRPr="00A07F29">
        <w:rPr>
          <w:rFonts w:ascii="Times New Roman" w:eastAsia="Calibri" w:hAnsi="Times New Roman" w:cs="Times New Roman"/>
          <w:sz w:val="24"/>
          <w:szCs w:val="24"/>
        </w:rPr>
        <w:t>pas</w:t>
      </w:r>
      <w:r w:rsidR="00246141" w:rsidRPr="00A07F29">
        <w:rPr>
          <w:rFonts w:ascii="Times New Roman" w:eastAsia="Calibri" w:hAnsi="Times New Roman" w:cs="Times New Roman"/>
          <w:sz w:val="24"/>
          <w:szCs w:val="24"/>
        </w:rPr>
        <w:t>ākumi.</w:t>
      </w:r>
    </w:p>
    <w:p w14:paraId="5E7E9549" w14:textId="3084774C" w:rsidR="002D4C4E" w:rsidRPr="00A07F29" w:rsidRDefault="0053773F" w:rsidP="002D4C4E">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lastRenderedPageBreak/>
        <w:t>N</w:t>
      </w:r>
      <w:r w:rsidR="000376A8" w:rsidRPr="00A07F29">
        <w:rPr>
          <w:rFonts w:ascii="Times New Roman" w:eastAsia="Calibri" w:hAnsi="Times New Roman" w:cs="Times New Roman"/>
          <w:sz w:val="24"/>
          <w:szCs w:val="24"/>
        </w:rPr>
        <w:t xml:space="preserve">epieciešamajās vietās izveidojamas stacionāras </w:t>
      </w:r>
      <w:proofErr w:type="spellStart"/>
      <w:r w:rsidR="000376A8" w:rsidRPr="00A07F29">
        <w:rPr>
          <w:rFonts w:ascii="Times New Roman" w:eastAsia="Calibri" w:hAnsi="Times New Roman" w:cs="Times New Roman"/>
          <w:sz w:val="24"/>
          <w:szCs w:val="24"/>
        </w:rPr>
        <w:t>aizsargbūves</w:t>
      </w:r>
      <w:proofErr w:type="spellEnd"/>
      <w:r w:rsidR="000376A8" w:rsidRPr="00A07F29">
        <w:rPr>
          <w:rFonts w:ascii="Times New Roman" w:eastAsia="Calibri" w:hAnsi="Times New Roman" w:cs="Times New Roman"/>
          <w:sz w:val="24"/>
          <w:szCs w:val="24"/>
        </w:rPr>
        <w:t xml:space="preserve"> piesārņojumu aizturošo un uztverošo bonu vieglākai un ātrākai uzstādīšanai.</w:t>
      </w:r>
      <w:r w:rsidRPr="00A07F29">
        <w:rPr>
          <w:rFonts w:ascii="Times New Roman" w:eastAsia="Calibri" w:hAnsi="Times New Roman" w:cs="Times New Roman"/>
          <w:sz w:val="24"/>
          <w:szCs w:val="24"/>
        </w:rPr>
        <w:t xml:space="preserve"> Informācija par izveidotajām stacionārajām būvēm iesniedzama civilās aizsardzības komisijai.</w:t>
      </w:r>
    </w:p>
    <w:p w14:paraId="3FBA0172" w14:textId="77777777" w:rsidR="000376A8" w:rsidRPr="00A07F29" w:rsidRDefault="000376A8" w:rsidP="002D4C4E">
      <w:pPr>
        <w:spacing w:after="120" w:line="240" w:lineRule="auto"/>
        <w:ind w:firstLine="851"/>
        <w:jc w:val="both"/>
        <w:rPr>
          <w:rFonts w:ascii="Times New Roman" w:eastAsia="Calibri" w:hAnsi="Times New Roman" w:cs="Times New Roman"/>
          <w:sz w:val="24"/>
          <w:szCs w:val="24"/>
        </w:rPr>
      </w:pPr>
    </w:p>
    <w:p w14:paraId="49FA1D3C" w14:textId="43ECA1F2" w:rsidR="00A21E83" w:rsidRPr="00A07F29" w:rsidRDefault="00A21E83" w:rsidP="001B3DD7">
      <w:pPr>
        <w:keepNext/>
        <w:spacing w:after="120" w:line="240" w:lineRule="auto"/>
        <w:jc w:val="both"/>
        <w:rPr>
          <w:rFonts w:ascii="Times New Roman" w:eastAsia="Calibri" w:hAnsi="Times New Roman" w:cs="Calibri"/>
          <w:b/>
          <w:bCs/>
          <w:iCs/>
          <w:sz w:val="24"/>
          <w:lang w:eastAsia="ja-JP"/>
        </w:rPr>
      </w:pPr>
      <w:r w:rsidRPr="00A07F29">
        <w:rPr>
          <w:rFonts w:ascii="Times New Roman" w:eastAsia="Calibri" w:hAnsi="Times New Roman" w:cs="Calibri"/>
          <w:b/>
          <w:bCs/>
          <w:iCs/>
          <w:sz w:val="24"/>
          <w:lang w:eastAsia="ja-JP"/>
        </w:rPr>
        <w:t xml:space="preserve">B.2. </w:t>
      </w:r>
      <w:r w:rsidR="009A4E12" w:rsidRPr="00A07F29">
        <w:rPr>
          <w:rFonts w:ascii="Times New Roman" w:eastAsia="Calibri" w:hAnsi="Times New Roman" w:cs="Calibri"/>
          <w:b/>
          <w:bCs/>
          <w:iCs/>
          <w:sz w:val="24"/>
          <w:lang w:eastAsia="ja-JP"/>
        </w:rPr>
        <w:t xml:space="preserve">Apsaimniekot </w:t>
      </w:r>
      <w:r w:rsidR="00591873" w:rsidRPr="00A07F29">
        <w:rPr>
          <w:rFonts w:ascii="Times New Roman" w:eastAsia="Calibri" w:hAnsi="Times New Roman" w:cs="Calibri"/>
          <w:b/>
          <w:bCs/>
          <w:iCs/>
          <w:sz w:val="24"/>
          <w:lang w:eastAsia="ja-JP"/>
        </w:rPr>
        <w:t>1413</w:t>
      </w:r>
      <w:r w:rsidR="00135907">
        <w:rPr>
          <w:rFonts w:ascii="Times New Roman" w:eastAsia="Calibri" w:hAnsi="Times New Roman" w:cs="Calibri"/>
          <w:b/>
          <w:bCs/>
          <w:iCs/>
          <w:sz w:val="24"/>
          <w:lang w:eastAsia="ja-JP"/>
        </w:rPr>
        <w:t> </w:t>
      </w:r>
      <w:r w:rsidR="009A4E12" w:rsidRPr="00A07F29">
        <w:rPr>
          <w:rFonts w:ascii="Times New Roman" w:eastAsia="Calibri" w:hAnsi="Times New Roman" w:cs="Calibri"/>
          <w:b/>
          <w:bCs/>
          <w:iCs/>
          <w:sz w:val="24"/>
          <w:lang w:eastAsia="ja-JP"/>
        </w:rPr>
        <w:t>ha zāl</w:t>
      </w:r>
      <w:r w:rsidR="00433353" w:rsidRPr="00A07F29">
        <w:rPr>
          <w:rFonts w:ascii="Times New Roman" w:eastAsia="Calibri" w:hAnsi="Times New Roman" w:cs="Calibri"/>
          <w:b/>
          <w:bCs/>
          <w:iCs/>
          <w:sz w:val="24"/>
          <w:lang w:eastAsia="ja-JP"/>
        </w:rPr>
        <w:t>āju</w:t>
      </w:r>
      <w:r w:rsidR="009A4E12" w:rsidRPr="00A07F29">
        <w:rPr>
          <w:rFonts w:ascii="Times New Roman" w:eastAsia="Calibri" w:hAnsi="Times New Roman" w:cs="Calibri"/>
          <w:b/>
          <w:bCs/>
          <w:iCs/>
          <w:sz w:val="24"/>
          <w:lang w:eastAsia="ja-JP"/>
        </w:rPr>
        <w:t xml:space="preserve">, t.sk. </w:t>
      </w:r>
      <w:r w:rsidR="0043211C" w:rsidRPr="00A07F29">
        <w:rPr>
          <w:rFonts w:ascii="Times New Roman" w:eastAsia="Calibri" w:hAnsi="Times New Roman" w:cs="Calibri"/>
          <w:b/>
          <w:bCs/>
          <w:iCs/>
          <w:sz w:val="24"/>
          <w:lang w:eastAsia="ja-JP"/>
        </w:rPr>
        <w:t>vismaz 9</w:t>
      </w:r>
      <w:r w:rsidR="00591873" w:rsidRPr="00A07F29">
        <w:rPr>
          <w:rFonts w:ascii="Times New Roman" w:eastAsia="Calibri" w:hAnsi="Times New Roman" w:cs="Calibri"/>
          <w:b/>
          <w:bCs/>
          <w:iCs/>
          <w:sz w:val="24"/>
          <w:lang w:eastAsia="ja-JP"/>
        </w:rPr>
        <w:t>28</w:t>
      </w:r>
      <w:r w:rsidR="00135907">
        <w:rPr>
          <w:rFonts w:ascii="Times New Roman" w:eastAsia="Calibri" w:hAnsi="Times New Roman" w:cs="Calibri"/>
          <w:b/>
          <w:bCs/>
          <w:iCs/>
          <w:sz w:val="24"/>
          <w:lang w:eastAsia="ja-JP"/>
        </w:rPr>
        <w:t> </w:t>
      </w:r>
      <w:r w:rsidR="009A4E12" w:rsidRPr="00A07F29">
        <w:rPr>
          <w:rFonts w:ascii="Times New Roman" w:eastAsia="Calibri" w:hAnsi="Times New Roman" w:cs="Calibri"/>
          <w:b/>
          <w:bCs/>
          <w:iCs/>
          <w:sz w:val="24"/>
          <w:lang w:eastAsia="ja-JP"/>
        </w:rPr>
        <w:t xml:space="preserve">ha ES nozīmes </w:t>
      </w:r>
      <w:r w:rsidR="0043211C" w:rsidRPr="00A07F29">
        <w:rPr>
          <w:rFonts w:ascii="Times New Roman" w:eastAsia="Calibri" w:hAnsi="Times New Roman" w:cs="Calibri"/>
          <w:b/>
          <w:bCs/>
          <w:iCs/>
          <w:sz w:val="24"/>
          <w:lang w:eastAsia="ja-JP"/>
        </w:rPr>
        <w:t xml:space="preserve">zālāju </w:t>
      </w:r>
      <w:r w:rsidR="009A4E12" w:rsidRPr="00A07F29">
        <w:rPr>
          <w:rFonts w:ascii="Times New Roman" w:eastAsia="Calibri" w:hAnsi="Times New Roman" w:cs="Calibri"/>
          <w:b/>
          <w:bCs/>
          <w:iCs/>
          <w:sz w:val="24"/>
          <w:lang w:eastAsia="ja-JP"/>
        </w:rPr>
        <w:t>biotopu</w:t>
      </w:r>
      <w:r w:rsidR="00591873" w:rsidRPr="00A07F29">
        <w:rPr>
          <w:rFonts w:ascii="Times New Roman" w:eastAsia="Calibri" w:hAnsi="Times New Roman" w:cs="Calibri"/>
          <w:b/>
          <w:bCs/>
          <w:iCs/>
          <w:sz w:val="24"/>
          <w:lang w:eastAsia="ja-JP"/>
        </w:rPr>
        <w:t xml:space="preserve"> </w:t>
      </w:r>
    </w:p>
    <w:p w14:paraId="6BC01C40" w14:textId="3AC972A4" w:rsidR="00C63286" w:rsidRPr="00A07F29" w:rsidRDefault="00A21E83" w:rsidP="001B3DD7">
      <w:pPr>
        <w:keepNext/>
        <w:spacing w:before="120" w:after="120" w:line="240" w:lineRule="auto"/>
        <w:jc w:val="both"/>
        <w:rPr>
          <w:rFonts w:ascii="Times New Roman" w:eastAsia="Calibri" w:hAnsi="Times New Roman" w:cs="Times New Roman"/>
          <w:b/>
          <w:i/>
          <w:sz w:val="24"/>
          <w:szCs w:val="24"/>
        </w:rPr>
      </w:pPr>
      <w:r w:rsidRPr="00A07F29">
        <w:rPr>
          <w:rFonts w:ascii="Times New Roman" w:eastAsia="Calibri" w:hAnsi="Times New Roman" w:cs="Times New Roman"/>
          <w:b/>
          <w:i/>
          <w:sz w:val="24"/>
          <w:szCs w:val="24"/>
        </w:rPr>
        <w:t xml:space="preserve">B.2.1. </w:t>
      </w:r>
      <w:r w:rsidR="001B3DD7" w:rsidRPr="00A07F29">
        <w:rPr>
          <w:rFonts w:ascii="Times New Roman" w:eastAsia="Calibri" w:hAnsi="Times New Roman" w:cs="Times New Roman"/>
          <w:b/>
          <w:i/>
          <w:sz w:val="24"/>
          <w:szCs w:val="24"/>
        </w:rPr>
        <w:t xml:space="preserve">Aizsargājamo </w:t>
      </w:r>
      <w:r w:rsidR="00C63286" w:rsidRPr="00A07F29">
        <w:rPr>
          <w:rFonts w:ascii="Times New Roman" w:eastAsia="Calibri" w:hAnsi="Times New Roman" w:cs="Times New Roman"/>
          <w:b/>
          <w:i/>
          <w:sz w:val="24"/>
          <w:szCs w:val="24"/>
        </w:rPr>
        <w:t>zālāju biotopu apsaimniekošana</w:t>
      </w:r>
      <w:r w:rsidR="0064205F" w:rsidRPr="00A07F29">
        <w:rPr>
          <w:rFonts w:ascii="Times New Roman" w:eastAsia="Calibri" w:hAnsi="Times New Roman" w:cs="Times New Roman"/>
          <w:b/>
          <w:i/>
          <w:sz w:val="24"/>
          <w:szCs w:val="24"/>
        </w:rPr>
        <w:t xml:space="preserve"> un kvalitātes uzlabošana</w:t>
      </w:r>
    </w:p>
    <w:p w14:paraId="0F0A676D" w14:textId="45C16EBB" w:rsidR="00A21E83" w:rsidRPr="00A07F29" w:rsidRDefault="0043211C" w:rsidP="0043211C">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Jāturpina aizsargājamo </w:t>
      </w:r>
      <w:r w:rsidR="00B34AB9" w:rsidRPr="00A07F29">
        <w:rPr>
          <w:rFonts w:ascii="Times New Roman" w:eastAsia="Calibri" w:hAnsi="Times New Roman" w:cs="Times New Roman"/>
          <w:sz w:val="24"/>
          <w:szCs w:val="24"/>
        </w:rPr>
        <w:t xml:space="preserve">zālāju </w:t>
      </w:r>
      <w:r w:rsidRPr="00A07F29">
        <w:rPr>
          <w:rFonts w:ascii="Times New Roman" w:eastAsia="Calibri" w:hAnsi="Times New Roman" w:cs="Times New Roman"/>
          <w:sz w:val="24"/>
          <w:szCs w:val="24"/>
        </w:rPr>
        <w:t xml:space="preserve">biotopu apsaimniekošana </w:t>
      </w:r>
      <w:r w:rsidR="006D1827" w:rsidRPr="00A07F29">
        <w:rPr>
          <w:rFonts w:ascii="Times New Roman" w:eastAsia="Calibri" w:hAnsi="Times New Roman" w:cs="Times New Roman"/>
          <w:sz w:val="24"/>
          <w:szCs w:val="24"/>
        </w:rPr>
        <w:t>9</w:t>
      </w:r>
      <w:r w:rsidR="00591873" w:rsidRPr="00A07F29">
        <w:rPr>
          <w:rFonts w:ascii="Times New Roman" w:eastAsia="Calibri" w:hAnsi="Times New Roman" w:cs="Times New Roman"/>
          <w:sz w:val="24"/>
          <w:szCs w:val="24"/>
        </w:rPr>
        <w:t>28</w:t>
      </w:r>
      <w:r w:rsidR="00E7217F">
        <w:rPr>
          <w:rFonts w:ascii="Times New Roman" w:eastAsia="Calibri" w:hAnsi="Times New Roman" w:cs="Times New Roman"/>
          <w:sz w:val="24"/>
          <w:szCs w:val="24"/>
        </w:rPr>
        <w:t> </w:t>
      </w:r>
      <w:r w:rsidRPr="00A07F29">
        <w:rPr>
          <w:rFonts w:ascii="Times New Roman" w:eastAsia="Calibri" w:hAnsi="Times New Roman" w:cs="Times New Roman"/>
          <w:sz w:val="24"/>
          <w:szCs w:val="24"/>
        </w:rPr>
        <w:t>ha platībā (</w:t>
      </w:r>
      <w:r w:rsidR="00E7217F">
        <w:rPr>
          <w:rFonts w:ascii="Times New Roman" w:eastAsia="Calibri" w:hAnsi="Times New Roman" w:cs="Times New Roman"/>
          <w:sz w:val="24"/>
          <w:szCs w:val="24"/>
        </w:rPr>
        <w:t xml:space="preserve">skat. </w:t>
      </w:r>
      <w:r w:rsidR="006D1827" w:rsidRPr="00A07F29">
        <w:rPr>
          <w:rFonts w:ascii="Times New Roman" w:eastAsia="Calibri" w:hAnsi="Times New Roman" w:cs="Times New Roman"/>
          <w:sz w:val="24"/>
          <w:szCs w:val="24"/>
        </w:rPr>
        <w:t>5.1.1.</w:t>
      </w:r>
      <w:r w:rsidR="002A2C3B">
        <w:rPr>
          <w:rFonts w:ascii="Times New Roman" w:eastAsia="Calibri" w:hAnsi="Times New Roman" w:cs="Times New Roman"/>
          <w:sz w:val="24"/>
          <w:szCs w:val="24"/>
        </w:rPr>
        <w:t xml:space="preserve"> un 5.1.1a.</w:t>
      </w:r>
      <w:r w:rsidR="006D1827" w:rsidRPr="00A07F29">
        <w:rPr>
          <w:rFonts w:ascii="Times New Roman" w:eastAsia="Calibri" w:hAnsi="Times New Roman" w:cs="Times New Roman"/>
          <w:sz w:val="24"/>
          <w:szCs w:val="24"/>
        </w:rPr>
        <w:t> </w:t>
      </w:r>
      <w:r w:rsidRPr="00A07F29">
        <w:rPr>
          <w:rFonts w:ascii="Times New Roman" w:eastAsia="Calibri" w:hAnsi="Times New Roman" w:cs="Times New Roman"/>
          <w:sz w:val="24"/>
          <w:szCs w:val="24"/>
        </w:rPr>
        <w:t>pielikum</w:t>
      </w:r>
      <w:r w:rsidR="002A2C3B">
        <w:rPr>
          <w:rFonts w:ascii="Times New Roman" w:eastAsia="Calibri" w:hAnsi="Times New Roman" w:cs="Times New Roman"/>
          <w:sz w:val="24"/>
          <w:szCs w:val="24"/>
        </w:rPr>
        <w:t>u</w:t>
      </w:r>
      <w:r w:rsidRPr="00A07F29">
        <w:rPr>
          <w:rFonts w:ascii="Times New Roman" w:eastAsia="Calibri" w:hAnsi="Times New Roman" w:cs="Times New Roman"/>
          <w:sz w:val="24"/>
          <w:szCs w:val="24"/>
        </w:rPr>
        <w:t>), iespēju robežās izvēloties</w:t>
      </w:r>
      <w:r w:rsidR="00344F6A" w:rsidRPr="00A07F29">
        <w:rPr>
          <w:rFonts w:ascii="Times New Roman" w:eastAsia="Calibri" w:hAnsi="Times New Roman" w:cs="Times New Roman"/>
          <w:sz w:val="24"/>
          <w:szCs w:val="24"/>
        </w:rPr>
        <w:t xml:space="preserve"> </w:t>
      </w:r>
      <w:r w:rsidRPr="00A07F29">
        <w:rPr>
          <w:rFonts w:ascii="Times New Roman" w:eastAsia="Calibri" w:hAnsi="Times New Roman" w:cs="Times New Roman"/>
          <w:sz w:val="24"/>
          <w:szCs w:val="24"/>
        </w:rPr>
        <w:t xml:space="preserve">katram biotopu veidam atbilstošāko </w:t>
      </w:r>
      <w:r w:rsidR="00344F6A" w:rsidRPr="00A07F29">
        <w:rPr>
          <w:rFonts w:ascii="Times New Roman" w:eastAsia="Calibri" w:hAnsi="Times New Roman" w:cs="Times New Roman"/>
          <w:sz w:val="24"/>
          <w:szCs w:val="24"/>
        </w:rPr>
        <w:t>apsaimniekošanas paņēmienu</w:t>
      </w:r>
      <w:r w:rsidRPr="00A07F29">
        <w:rPr>
          <w:rFonts w:ascii="Times New Roman" w:eastAsia="Calibri" w:hAnsi="Times New Roman" w:cs="Times New Roman"/>
          <w:sz w:val="24"/>
          <w:szCs w:val="24"/>
        </w:rPr>
        <w:t>.</w:t>
      </w:r>
    </w:p>
    <w:p w14:paraId="7EB17176" w14:textId="16BF321C" w:rsidR="00661744" w:rsidRPr="00A07F29" w:rsidRDefault="00661744" w:rsidP="009A4E12">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Lai nodrošinātu 6120*</w:t>
      </w:r>
      <w:r w:rsidR="00ED6BD9">
        <w:rPr>
          <w:rFonts w:ascii="Times New Roman" w:eastAsia="Calibri" w:hAnsi="Times New Roman" w:cs="Times New Roman"/>
          <w:sz w:val="24"/>
          <w:szCs w:val="24"/>
        </w:rPr>
        <w:t> </w:t>
      </w:r>
      <w:r w:rsidRPr="00A07F29">
        <w:rPr>
          <w:rFonts w:ascii="Times New Roman" w:eastAsia="Calibri" w:hAnsi="Times New Roman" w:cs="Times New Roman"/>
          <w:i/>
          <w:sz w:val="24"/>
          <w:szCs w:val="24"/>
        </w:rPr>
        <w:t>Smiltāju zālāju</w:t>
      </w:r>
      <w:r w:rsidRPr="00A07F29">
        <w:rPr>
          <w:rFonts w:ascii="Times New Roman" w:eastAsia="Calibri" w:hAnsi="Times New Roman" w:cs="Times New Roman"/>
          <w:sz w:val="24"/>
          <w:szCs w:val="24"/>
        </w:rPr>
        <w:t xml:space="preserve"> un 6210</w:t>
      </w:r>
      <w:r w:rsidR="00ED6BD9">
        <w:rPr>
          <w:rFonts w:ascii="Times New Roman" w:eastAsia="Calibri" w:hAnsi="Times New Roman" w:cs="Times New Roman"/>
          <w:sz w:val="24"/>
          <w:szCs w:val="24"/>
        </w:rPr>
        <w:t> </w:t>
      </w:r>
      <w:r w:rsidRPr="00A07F29">
        <w:rPr>
          <w:rFonts w:ascii="Times New Roman" w:eastAsia="Calibri" w:hAnsi="Times New Roman" w:cs="Times New Roman"/>
          <w:i/>
          <w:sz w:val="24"/>
          <w:szCs w:val="24"/>
        </w:rPr>
        <w:t>Sausi zālāji kaļķainās augsnēs</w:t>
      </w:r>
      <w:r w:rsidRPr="00A07F29">
        <w:rPr>
          <w:rFonts w:ascii="Times New Roman" w:eastAsia="Calibri" w:hAnsi="Times New Roman" w:cs="Times New Roman"/>
          <w:sz w:val="24"/>
          <w:szCs w:val="24"/>
        </w:rPr>
        <w:t xml:space="preserve"> saglabāšanos</w:t>
      </w:r>
      <w:r w:rsidR="009A4E12" w:rsidRPr="00A07F29">
        <w:rPr>
          <w:rFonts w:ascii="Times New Roman" w:eastAsia="Calibri" w:hAnsi="Times New Roman" w:cs="Times New Roman"/>
          <w:sz w:val="24"/>
          <w:szCs w:val="24"/>
        </w:rPr>
        <w:t xml:space="preserve"> un labu kvalitāti</w:t>
      </w:r>
      <w:r w:rsidRPr="00A07F29">
        <w:rPr>
          <w:rFonts w:ascii="Times New Roman" w:eastAsia="Calibri" w:hAnsi="Times New Roman" w:cs="Times New Roman"/>
          <w:sz w:val="24"/>
          <w:szCs w:val="24"/>
        </w:rPr>
        <w:t>, ieteicama pļaušana reizi sezonā no jūnija vidus līdz jūlija vidum ar obligātu siena savākšanu. Šāds pļaušanas laiks ir izvēlēts, lai maksimāli efektīvi veidotu raksturīgo zālāja struktūru, mazinātu ekspansīvo sugu klātbūtni un optimizētu apsaimniekošanas ietekmi uz aizsargājamo tauriņu sugu populācijām. Sausos zālājus pļauj zemu (3</w:t>
      </w:r>
      <w:r w:rsidR="008933A5">
        <w:rPr>
          <w:rFonts w:ascii="Times New Roman" w:eastAsia="Calibri" w:hAnsi="Times New Roman" w:cs="Times New Roman"/>
          <w:sz w:val="24"/>
          <w:szCs w:val="24"/>
        </w:rPr>
        <w:t> – </w:t>
      </w:r>
      <w:r w:rsidRPr="00A07F29">
        <w:rPr>
          <w:rFonts w:ascii="Times New Roman" w:eastAsia="Calibri" w:hAnsi="Times New Roman" w:cs="Times New Roman"/>
          <w:sz w:val="24"/>
          <w:szCs w:val="24"/>
        </w:rPr>
        <w:t>5</w:t>
      </w:r>
      <w:r w:rsidR="008933A5">
        <w:rPr>
          <w:rFonts w:ascii="Times New Roman" w:eastAsia="Calibri" w:hAnsi="Times New Roman" w:cs="Times New Roman"/>
          <w:sz w:val="24"/>
          <w:szCs w:val="24"/>
        </w:rPr>
        <w:t> </w:t>
      </w:r>
      <w:r w:rsidRPr="00A07F29">
        <w:rPr>
          <w:rFonts w:ascii="Times New Roman" w:eastAsia="Calibri" w:hAnsi="Times New Roman" w:cs="Times New Roman"/>
          <w:sz w:val="24"/>
          <w:szCs w:val="24"/>
        </w:rPr>
        <w:t>cm), lai pēc iespējas novāktu lielāko daļu biomasas, citādi</w:t>
      </w:r>
      <w:r w:rsidR="00D65BBA" w:rsidRPr="00A07F29">
        <w:rPr>
          <w:rFonts w:ascii="Times New Roman" w:eastAsia="Calibri" w:hAnsi="Times New Roman" w:cs="Times New Roman"/>
          <w:sz w:val="24"/>
          <w:szCs w:val="24"/>
        </w:rPr>
        <w:t xml:space="preserve"> </w:t>
      </w:r>
      <w:r w:rsidRPr="00A07F29">
        <w:rPr>
          <w:rFonts w:ascii="Times New Roman" w:eastAsia="Calibri" w:hAnsi="Times New Roman" w:cs="Times New Roman"/>
          <w:sz w:val="24"/>
          <w:szCs w:val="24"/>
        </w:rPr>
        <w:t>zālāji ar laiku bagātināsies, aizzels ar ekspansīvajām sugām un nebūs piemērots sauso zālāju raksturīgajām sugām (Rūsiņa</w:t>
      </w:r>
      <w:r w:rsidR="00BA6357">
        <w:rPr>
          <w:rFonts w:ascii="Times New Roman" w:eastAsia="Calibri" w:hAnsi="Times New Roman" w:cs="Times New Roman"/>
          <w:sz w:val="24"/>
          <w:szCs w:val="24"/>
        </w:rPr>
        <w:t xml:space="preserve"> S.</w:t>
      </w:r>
      <w:r w:rsidRPr="00A07F29">
        <w:rPr>
          <w:rFonts w:ascii="Times New Roman" w:eastAsia="Calibri" w:hAnsi="Times New Roman" w:cs="Times New Roman"/>
          <w:sz w:val="24"/>
          <w:szCs w:val="24"/>
        </w:rPr>
        <w:t>, 2017).</w:t>
      </w:r>
    </w:p>
    <w:p w14:paraId="2A9FCFC1" w14:textId="66FD90D3" w:rsidR="009A4E12" w:rsidRPr="00A07F29" w:rsidRDefault="009A4E12" w:rsidP="009A4E12">
      <w:pPr>
        <w:spacing w:after="120" w:line="240" w:lineRule="auto"/>
        <w:ind w:firstLine="851"/>
        <w:jc w:val="both"/>
        <w:rPr>
          <w:rFonts w:ascii="Times New Roman" w:eastAsia="Times New Roman" w:hAnsi="Times New Roman" w:cs="Times New Roman"/>
          <w:bCs/>
          <w:color w:val="000000"/>
          <w:sz w:val="24"/>
          <w:szCs w:val="24"/>
          <w:lang w:eastAsia="lv-LV"/>
        </w:rPr>
      </w:pPr>
      <w:r w:rsidRPr="00A07F29">
        <w:rPr>
          <w:rFonts w:ascii="Times New Roman" w:eastAsia="Times New Roman" w:hAnsi="Times New Roman" w:cs="Times New Roman"/>
          <w:bCs/>
          <w:color w:val="000000"/>
          <w:sz w:val="24"/>
          <w:szCs w:val="24"/>
          <w:lang w:eastAsia="lv-LV"/>
        </w:rPr>
        <w:t>Teritorijā esošajiem 6230*</w:t>
      </w:r>
      <w:r w:rsidR="00BA6357">
        <w:rPr>
          <w:rFonts w:ascii="Times New Roman" w:eastAsia="Times New Roman" w:hAnsi="Times New Roman" w:cs="Times New Roman"/>
          <w:bCs/>
          <w:color w:val="000000"/>
          <w:sz w:val="24"/>
          <w:szCs w:val="24"/>
          <w:lang w:eastAsia="lv-LV"/>
        </w:rPr>
        <w:t> </w:t>
      </w:r>
      <w:r w:rsidRPr="00A07F29">
        <w:rPr>
          <w:rFonts w:ascii="Times New Roman" w:eastAsia="Times New Roman" w:hAnsi="Times New Roman" w:cs="Times New Roman"/>
          <w:bCs/>
          <w:i/>
          <w:iCs/>
          <w:color w:val="000000"/>
          <w:sz w:val="24"/>
          <w:szCs w:val="24"/>
          <w:lang w:eastAsia="lv-LV"/>
        </w:rPr>
        <w:t>Vilkakūlas (</w:t>
      </w:r>
      <w:proofErr w:type="spellStart"/>
      <w:r w:rsidRPr="00A07F29">
        <w:rPr>
          <w:rFonts w:ascii="Times New Roman" w:eastAsia="Times New Roman" w:hAnsi="Times New Roman" w:cs="Times New Roman"/>
          <w:bCs/>
          <w:i/>
          <w:iCs/>
          <w:color w:val="000000"/>
          <w:sz w:val="24"/>
          <w:szCs w:val="24"/>
          <w:lang w:eastAsia="lv-LV"/>
        </w:rPr>
        <w:t>tukšaiņu</w:t>
      </w:r>
      <w:proofErr w:type="spellEnd"/>
      <w:r w:rsidRPr="00A07F29">
        <w:rPr>
          <w:rFonts w:ascii="Times New Roman" w:eastAsia="Times New Roman" w:hAnsi="Times New Roman" w:cs="Times New Roman"/>
          <w:bCs/>
          <w:i/>
          <w:iCs/>
          <w:color w:val="000000"/>
          <w:sz w:val="24"/>
          <w:szCs w:val="24"/>
          <w:lang w:eastAsia="lv-LV"/>
        </w:rPr>
        <w:t>) zālājiem</w:t>
      </w:r>
      <w:r w:rsidRPr="00A07F29">
        <w:rPr>
          <w:rFonts w:ascii="Times New Roman" w:eastAsia="Times New Roman" w:hAnsi="Times New Roman" w:cs="Times New Roman"/>
          <w:bCs/>
          <w:color w:val="000000"/>
          <w:sz w:val="24"/>
          <w:szCs w:val="24"/>
          <w:lang w:eastAsia="lv-LV"/>
        </w:rPr>
        <w:t xml:space="preserve"> piemērotākā uzturēšana ir ganīšana ar liellopiem vai kazām. Var veikt arī pļaušanu, zāli novācot, jūnija beigās vai jūlija sākumā un vienreizēju atāla noganīšanu. Ganīt var arī agri pavasarī, līdz maija beigām, jūnija vidum, bet tad pļauj tikai vasaras beigās – augusta otrajā pusē, kad vairums augu sēklu ir ienākušās. Ja zālājā daudz stāvās vilkakūlas </w:t>
      </w:r>
      <w:proofErr w:type="spellStart"/>
      <w:r w:rsidRPr="00A07F29">
        <w:rPr>
          <w:rFonts w:ascii="Times New Roman" w:eastAsia="Times New Roman" w:hAnsi="Times New Roman" w:cs="Times New Roman"/>
          <w:bCs/>
          <w:i/>
          <w:iCs/>
          <w:color w:val="000000"/>
          <w:sz w:val="24"/>
          <w:szCs w:val="24"/>
          <w:lang w:eastAsia="lv-LV"/>
        </w:rPr>
        <w:t>Nardus</w:t>
      </w:r>
      <w:proofErr w:type="spellEnd"/>
      <w:r w:rsidRPr="00A07F29">
        <w:rPr>
          <w:rFonts w:ascii="Times New Roman" w:eastAsia="Times New Roman" w:hAnsi="Times New Roman" w:cs="Times New Roman"/>
          <w:bCs/>
          <w:i/>
          <w:i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stricta</w:t>
      </w:r>
      <w:proofErr w:type="spellEnd"/>
      <w:r w:rsidRPr="00A07F29">
        <w:rPr>
          <w:rFonts w:ascii="Times New Roman" w:eastAsia="Times New Roman" w:hAnsi="Times New Roman" w:cs="Times New Roman"/>
          <w:bCs/>
          <w:color w:val="000000"/>
          <w:sz w:val="24"/>
          <w:szCs w:val="24"/>
          <w:lang w:eastAsia="lv-LV"/>
        </w:rPr>
        <w:t>, tad pavasara ganīšana to var ierobežot, jo augs ir mīkstāks un dzīvnieki to labāk ēd. Ļoti nelabvēlīga 6230*</w:t>
      </w:r>
      <w:r w:rsidR="001646FA">
        <w:rPr>
          <w:rFonts w:ascii="Times New Roman" w:eastAsia="Times New Roman" w:hAnsi="Times New Roman" w:cs="Times New Roman"/>
          <w:bCs/>
          <w:color w:val="000000"/>
          <w:sz w:val="24"/>
          <w:szCs w:val="24"/>
          <w:lang w:eastAsia="lv-LV"/>
        </w:rPr>
        <w:t> </w:t>
      </w:r>
      <w:r w:rsidRPr="00A07F29">
        <w:rPr>
          <w:rFonts w:ascii="Times New Roman" w:eastAsia="Times New Roman" w:hAnsi="Times New Roman" w:cs="Times New Roman"/>
          <w:bCs/>
          <w:i/>
          <w:iCs/>
          <w:color w:val="000000"/>
          <w:sz w:val="24"/>
          <w:szCs w:val="24"/>
          <w:lang w:eastAsia="lv-LV"/>
        </w:rPr>
        <w:t>Vilkakūlas zālājiem</w:t>
      </w:r>
      <w:r w:rsidRPr="00A07F29">
        <w:rPr>
          <w:rFonts w:ascii="Times New Roman" w:eastAsia="Times New Roman" w:hAnsi="Times New Roman" w:cs="Times New Roman"/>
          <w:bCs/>
          <w:color w:val="000000"/>
          <w:sz w:val="24"/>
          <w:szCs w:val="24"/>
          <w:lang w:eastAsia="lv-LV"/>
        </w:rPr>
        <w:t xml:space="preserve"> ir vēlā pļaušana vai pļaušana zāli atstājot, jo abos gadījumos augsne vairāk bagātinās ar slāpekli.</w:t>
      </w:r>
    </w:p>
    <w:p w14:paraId="60D2FB19" w14:textId="7B9549F5" w:rsidR="009A4E12" w:rsidRPr="00A07F29" w:rsidRDefault="009A4E12" w:rsidP="009A4E12">
      <w:pPr>
        <w:spacing w:after="120" w:line="240" w:lineRule="auto"/>
        <w:ind w:firstLine="851"/>
        <w:jc w:val="both"/>
        <w:rPr>
          <w:rFonts w:ascii="Times New Roman" w:eastAsia="Times New Roman" w:hAnsi="Times New Roman" w:cs="Times New Roman"/>
          <w:bCs/>
          <w:color w:val="000000"/>
          <w:sz w:val="24"/>
          <w:szCs w:val="24"/>
          <w:lang w:eastAsia="lv-LV"/>
        </w:rPr>
      </w:pPr>
      <w:r w:rsidRPr="00A07F29">
        <w:rPr>
          <w:rFonts w:ascii="Times New Roman" w:eastAsia="Times New Roman" w:hAnsi="Times New Roman" w:cs="Times New Roman"/>
          <w:color w:val="000000" w:themeColor="text1"/>
          <w:sz w:val="24"/>
          <w:szCs w:val="24"/>
          <w:lang w:eastAsia="lv-LV"/>
        </w:rPr>
        <w:t>6270*</w:t>
      </w:r>
      <w:r w:rsidR="009F636F">
        <w:rPr>
          <w:rFonts w:ascii="Times New Roman" w:eastAsia="Times New Roman" w:hAnsi="Times New Roman" w:cs="Times New Roman"/>
          <w:color w:val="000000" w:themeColor="text1"/>
          <w:sz w:val="24"/>
          <w:szCs w:val="24"/>
          <w:lang w:eastAsia="lv-LV"/>
        </w:rPr>
        <w:t> </w:t>
      </w:r>
      <w:r w:rsidRPr="00A07F29">
        <w:rPr>
          <w:rFonts w:ascii="Times New Roman" w:eastAsia="Times New Roman" w:hAnsi="Times New Roman" w:cs="Times New Roman"/>
          <w:i/>
          <w:iCs/>
          <w:color w:val="000000" w:themeColor="text1"/>
          <w:sz w:val="24"/>
          <w:szCs w:val="24"/>
          <w:lang w:eastAsia="lv-LV"/>
        </w:rPr>
        <w:t>Sugām bagātas ganības un ganītas pļavas</w:t>
      </w:r>
      <w:r w:rsidRPr="00A07F29">
        <w:rPr>
          <w:rFonts w:ascii="Times New Roman" w:eastAsia="Times New Roman" w:hAnsi="Times New Roman" w:cs="Times New Roman"/>
          <w:color w:val="000000" w:themeColor="text1"/>
          <w:sz w:val="24"/>
          <w:szCs w:val="24"/>
          <w:lang w:eastAsia="lv-LV"/>
        </w:rPr>
        <w:t xml:space="preserve"> piemērotākā uzturēšana ir brīva vai regulēta ekstensīva ganīšana. Optimāla ir tāda ganību slodze, kas veģetācijā veido mozaīku no zemu noēstas un tikai daļēji noēstas vai nenoēstas zāles. Pļaušana bez ganīšanas atālā kā galvenais apsaimniekošanas veids ir pieļaujama, taču jārēķinās, ka tā ilgstošā laika posmā biotopu pārveidos citā biotopā 6510</w:t>
      </w:r>
      <w:r w:rsidR="00DC11D0">
        <w:rPr>
          <w:rFonts w:ascii="Times New Roman" w:eastAsia="Times New Roman" w:hAnsi="Times New Roman" w:cs="Times New Roman"/>
          <w:i/>
          <w:iCs/>
          <w:color w:val="000000" w:themeColor="text1"/>
          <w:sz w:val="24"/>
          <w:szCs w:val="24"/>
          <w:lang w:eastAsia="lv-LV"/>
        </w:rPr>
        <w:t> </w:t>
      </w:r>
      <w:r w:rsidRPr="00A07F29">
        <w:rPr>
          <w:rFonts w:ascii="Times New Roman" w:eastAsia="Times New Roman" w:hAnsi="Times New Roman" w:cs="Times New Roman"/>
          <w:i/>
          <w:iCs/>
          <w:color w:val="000000" w:themeColor="text1"/>
          <w:sz w:val="24"/>
          <w:szCs w:val="24"/>
          <w:lang w:eastAsia="lv-LV"/>
        </w:rPr>
        <w:t>Mēreni mitras pļavas</w:t>
      </w:r>
      <w:r w:rsidRPr="00A07F29">
        <w:rPr>
          <w:rFonts w:ascii="Times New Roman" w:eastAsia="Times New Roman" w:hAnsi="Times New Roman" w:cs="Times New Roman"/>
          <w:color w:val="000000" w:themeColor="text1"/>
          <w:sz w:val="24"/>
          <w:szCs w:val="24"/>
          <w:lang w:eastAsia="lv-LV"/>
        </w:rPr>
        <w:t xml:space="preserve"> (Rūsiņa</w:t>
      </w:r>
      <w:r w:rsidR="00DC11D0">
        <w:rPr>
          <w:rFonts w:ascii="Times New Roman" w:eastAsia="Times New Roman" w:hAnsi="Times New Roman" w:cs="Times New Roman"/>
          <w:color w:val="000000" w:themeColor="text1"/>
          <w:sz w:val="24"/>
          <w:szCs w:val="24"/>
          <w:lang w:eastAsia="lv-LV"/>
        </w:rPr>
        <w:t xml:space="preserve"> S.</w:t>
      </w:r>
      <w:r w:rsidRPr="00A07F29">
        <w:rPr>
          <w:rFonts w:ascii="Times New Roman" w:eastAsia="Times New Roman" w:hAnsi="Times New Roman" w:cs="Times New Roman"/>
          <w:color w:val="000000" w:themeColor="text1"/>
          <w:sz w:val="24"/>
          <w:szCs w:val="24"/>
          <w:lang w:eastAsia="lv-LV"/>
        </w:rPr>
        <w:t xml:space="preserve">, 2017). </w:t>
      </w:r>
    </w:p>
    <w:p w14:paraId="4FF1F3C8" w14:textId="34952A32" w:rsidR="009A4E12" w:rsidRPr="00A07F29" w:rsidRDefault="009A4E12" w:rsidP="009A4E12">
      <w:pPr>
        <w:spacing w:after="120" w:line="240" w:lineRule="auto"/>
        <w:ind w:firstLine="851"/>
        <w:jc w:val="both"/>
        <w:rPr>
          <w:rFonts w:ascii="Times New Roman" w:eastAsia="Times New Roman" w:hAnsi="Times New Roman" w:cs="Times New Roman"/>
          <w:color w:val="000000"/>
          <w:sz w:val="24"/>
          <w:szCs w:val="24"/>
          <w:lang w:eastAsia="lv-LV"/>
        </w:rPr>
      </w:pPr>
      <w:r w:rsidRPr="00A07F29">
        <w:rPr>
          <w:rFonts w:ascii="Times New Roman" w:eastAsia="Times New Roman" w:hAnsi="Times New Roman" w:cs="Times New Roman"/>
          <w:bCs/>
          <w:color w:val="000000"/>
          <w:sz w:val="24"/>
          <w:szCs w:val="24"/>
          <w:lang w:eastAsia="lv-LV"/>
        </w:rPr>
        <w:t>6510</w:t>
      </w:r>
      <w:r w:rsidRPr="00A07F29">
        <w:rPr>
          <w:rFonts w:ascii="Times New Roman" w:eastAsia="Times New Roman" w:hAnsi="Times New Roman" w:cs="Times New Roman"/>
          <w:bCs/>
          <w:i/>
          <w:iCs/>
          <w:color w:val="000000"/>
          <w:sz w:val="24"/>
          <w:szCs w:val="24"/>
          <w:lang w:eastAsia="lv-LV"/>
        </w:rPr>
        <w:t> Mēreni mitrās pļavās</w:t>
      </w:r>
      <w:r w:rsidRPr="00A07F29">
        <w:rPr>
          <w:rFonts w:ascii="Times New Roman" w:eastAsia="Times New Roman" w:hAnsi="Times New Roman" w:cs="Times New Roman"/>
          <w:bCs/>
          <w:color w:val="000000"/>
          <w:sz w:val="24"/>
          <w:szCs w:val="24"/>
          <w:lang w:eastAsia="lv-LV"/>
        </w:rPr>
        <w:t>,</w:t>
      </w:r>
      <w:r w:rsidR="00DC11D0">
        <w:rPr>
          <w:rFonts w:ascii="Times New Roman" w:eastAsia="Times New Roman" w:hAnsi="Times New Roman" w:cs="Times New Roman"/>
          <w:bCs/>
          <w:color w:val="000000"/>
          <w:sz w:val="24"/>
          <w:szCs w:val="24"/>
          <w:lang w:eastAsia="lv-LV"/>
        </w:rPr>
        <w:t xml:space="preserve"> </w:t>
      </w:r>
      <w:r w:rsidRPr="00A07F29">
        <w:rPr>
          <w:rFonts w:ascii="Times New Roman" w:eastAsia="Times New Roman" w:hAnsi="Times New Roman" w:cs="Times New Roman"/>
          <w:bCs/>
          <w:color w:val="000000"/>
          <w:sz w:val="24"/>
          <w:szCs w:val="24"/>
          <w:lang w:eastAsia="lv-LV"/>
        </w:rPr>
        <w:t>lai radītu labvēlīgus apstākļus gan augiem, gan bezmugurkaulniekiem</w:t>
      </w:r>
      <w:r w:rsidR="00FC1AD3">
        <w:rPr>
          <w:rFonts w:ascii="Times New Roman" w:eastAsia="Times New Roman" w:hAnsi="Times New Roman" w:cs="Times New Roman"/>
          <w:bCs/>
          <w:color w:val="000000"/>
          <w:sz w:val="24"/>
          <w:szCs w:val="24"/>
          <w:lang w:eastAsia="lv-LV"/>
        </w:rPr>
        <w:t>,</w:t>
      </w:r>
      <w:r w:rsidRPr="00A07F29">
        <w:rPr>
          <w:rFonts w:ascii="Times New Roman" w:eastAsia="Times New Roman" w:hAnsi="Times New Roman" w:cs="Times New Roman"/>
          <w:bCs/>
          <w:color w:val="000000"/>
          <w:sz w:val="24"/>
          <w:szCs w:val="24"/>
          <w:lang w:eastAsia="lv-LV"/>
        </w:rPr>
        <w:t xml:space="preserve"> pļauj </w:t>
      </w:r>
      <w:r w:rsidR="00FC1AD3">
        <w:rPr>
          <w:rFonts w:ascii="Times New Roman" w:eastAsia="Times New Roman" w:hAnsi="Times New Roman" w:cs="Times New Roman"/>
          <w:bCs/>
          <w:color w:val="000000"/>
          <w:sz w:val="24"/>
          <w:szCs w:val="24"/>
          <w:lang w:eastAsia="lv-LV"/>
        </w:rPr>
        <w:t>vienu</w:t>
      </w:r>
      <w:r w:rsidRPr="00A07F29">
        <w:rPr>
          <w:rFonts w:ascii="Times New Roman" w:eastAsia="Times New Roman" w:hAnsi="Times New Roman" w:cs="Times New Roman"/>
          <w:bCs/>
          <w:color w:val="000000"/>
          <w:sz w:val="24"/>
          <w:szCs w:val="24"/>
          <w:lang w:eastAsia="lv-LV"/>
        </w:rPr>
        <w:t xml:space="preserve"> reizi sezonā no jūnija vidus līdz jūlija vidum ar noganīšanu atālā. Ja noganīšanas atālā nav, tad gadījumos, ja atāls izaudzis liels un biezs un var veidot vienlaidus </w:t>
      </w:r>
      <w:proofErr w:type="spellStart"/>
      <w:r w:rsidRPr="00A07F29">
        <w:rPr>
          <w:rFonts w:ascii="Times New Roman" w:eastAsia="Times New Roman" w:hAnsi="Times New Roman" w:cs="Times New Roman"/>
          <w:bCs/>
          <w:color w:val="000000"/>
          <w:sz w:val="24"/>
          <w:szCs w:val="24"/>
          <w:lang w:eastAsia="lv-LV"/>
        </w:rPr>
        <w:t>sagūlušu</w:t>
      </w:r>
      <w:proofErr w:type="spellEnd"/>
      <w:r w:rsidRPr="00A07F29">
        <w:rPr>
          <w:rFonts w:ascii="Times New Roman" w:eastAsia="Times New Roman" w:hAnsi="Times New Roman" w:cs="Times New Roman"/>
          <w:bCs/>
          <w:color w:val="000000"/>
          <w:sz w:val="24"/>
          <w:szCs w:val="24"/>
          <w:lang w:eastAsia="lv-LV"/>
        </w:rPr>
        <w:t xml:space="preserve"> kūlu, pļauj atkārtoti. Ja zālājos ir griezes, pļauj </w:t>
      </w:r>
      <w:r w:rsidR="00057431">
        <w:rPr>
          <w:rFonts w:ascii="Times New Roman" w:eastAsia="Times New Roman" w:hAnsi="Times New Roman" w:cs="Times New Roman"/>
          <w:bCs/>
          <w:color w:val="000000"/>
          <w:sz w:val="24"/>
          <w:szCs w:val="24"/>
          <w:lang w:eastAsia="lv-LV"/>
        </w:rPr>
        <w:t>vienu</w:t>
      </w:r>
      <w:r w:rsidRPr="00A07F29">
        <w:rPr>
          <w:rFonts w:ascii="Times New Roman" w:eastAsia="Times New Roman" w:hAnsi="Times New Roman" w:cs="Times New Roman"/>
          <w:bCs/>
          <w:color w:val="000000"/>
          <w:sz w:val="24"/>
          <w:szCs w:val="24"/>
          <w:lang w:eastAsia="lv-LV"/>
        </w:rPr>
        <w:t xml:space="preserve"> reizi sezonā pēc 10.</w:t>
      </w:r>
      <w:r w:rsidR="00057431">
        <w:rPr>
          <w:rFonts w:ascii="Times New Roman" w:eastAsia="Times New Roman" w:hAnsi="Times New Roman" w:cs="Times New Roman"/>
          <w:bCs/>
          <w:color w:val="000000"/>
          <w:sz w:val="24"/>
          <w:szCs w:val="24"/>
          <w:lang w:eastAsia="lv-LV"/>
        </w:rPr>
        <w:t> </w:t>
      </w:r>
      <w:r w:rsidRPr="00A07F29">
        <w:rPr>
          <w:rFonts w:ascii="Times New Roman" w:eastAsia="Times New Roman" w:hAnsi="Times New Roman" w:cs="Times New Roman"/>
          <w:bCs/>
          <w:color w:val="000000"/>
          <w:sz w:val="24"/>
          <w:szCs w:val="24"/>
          <w:lang w:eastAsia="lv-LV"/>
        </w:rPr>
        <w:t>jūlija (Rūsiņa</w:t>
      </w:r>
      <w:r w:rsidR="00057431">
        <w:rPr>
          <w:rFonts w:ascii="Times New Roman" w:eastAsia="Times New Roman" w:hAnsi="Times New Roman" w:cs="Times New Roman"/>
          <w:bCs/>
          <w:color w:val="000000"/>
          <w:sz w:val="24"/>
          <w:szCs w:val="24"/>
          <w:lang w:eastAsia="lv-LV"/>
        </w:rPr>
        <w:t xml:space="preserve"> S.</w:t>
      </w:r>
      <w:r w:rsidRPr="00A07F29">
        <w:rPr>
          <w:rFonts w:ascii="Times New Roman" w:eastAsia="Times New Roman" w:hAnsi="Times New Roman" w:cs="Times New Roman"/>
          <w:bCs/>
          <w:color w:val="000000"/>
          <w:sz w:val="24"/>
          <w:szCs w:val="24"/>
          <w:lang w:eastAsia="lv-LV"/>
        </w:rPr>
        <w:t>, 2017).</w:t>
      </w:r>
      <w:r w:rsidR="00433353" w:rsidRPr="00A07F29">
        <w:rPr>
          <w:rFonts w:ascii="Times New Roman" w:eastAsia="Times New Roman" w:hAnsi="Times New Roman" w:cs="Times New Roman"/>
          <w:color w:val="000000" w:themeColor="text1"/>
          <w:sz w:val="24"/>
          <w:szCs w:val="24"/>
          <w:lang w:eastAsia="lv-LV"/>
        </w:rPr>
        <w:t xml:space="preserve"> Reizi piecos gados zālāju biotopus</w:t>
      </w:r>
      <w:r w:rsidR="00D65BBA" w:rsidRPr="00A07F29">
        <w:rPr>
          <w:rFonts w:ascii="Times New Roman" w:eastAsia="Times New Roman" w:hAnsi="Times New Roman" w:cs="Times New Roman"/>
          <w:color w:val="000000" w:themeColor="text1"/>
          <w:sz w:val="24"/>
          <w:szCs w:val="24"/>
          <w:lang w:eastAsia="lv-LV"/>
        </w:rPr>
        <w:t xml:space="preserve"> </w:t>
      </w:r>
      <w:r w:rsidR="00433353" w:rsidRPr="00A07F29">
        <w:rPr>
          <w:rFonts w:ascii="Times New Roman" w:eastAsia="Times New Roman" w:hAnsi="Times New Roman" w:cs="Times New Roman"/>
          <w:color w:val="000000" w:themeColor="text1"/>
          <w:sz w:val="24"/>
          <w:szCs w:val="24"/>
          <w:lang w:eastAsia="lv-LV"/>
        </w:rPr>
        <w:t>6510</w:t>
      </w:r>
      <w:r w:rsidR="00057431">
        <w:rPr>
          <w:rFonts w:ascii="Times New Roman" w:eastAsia="Times New Roman" w:hAnsi="Times New Roman" w:cs="Times New Roman"/>
          <w:color w:val="000000" w:themeColor="text1"/>
          <w:sz w:val="24"/>
          <w:szCs w:val="24"/>
          <w:lang w:eastAsia="lv-LV"/>
        </w:rPr>
        <w:t> </w:t>
      </w:r>
      <w:r w:rsidR="00433353" w:rsidRPr="00057431">
        <w:rPr>
          <w:rFonts w:ascii="Times New Roman" w:eastAsia="Times New Roman" w:hAnsi="Times New Roman" w:cs="Times New Roman"/>
          <w:i/>
          <w:iCs/>
          <w:color w:val="000000" w:themeColor="text1"/>
          <w:sz w:val="24"/>
          <w:szCs w:val="24"/>
          <w:lang w:eastAsia="lv-LV"/>
        </w:rPr>
        <w:t>Mēreni mitras pļavas</w:t>
      </w:r>
      <w:r w:rsidR="00433353" w:rsidRPr="00A07F29">
        <w:rPr>
          <w:rFonts w:ascii="Times New Roman" w:eastAsia="Times New Roman" w:hAnsi="Times New Roman" w:cs="Times New Roman"/>
          <w:color w:val="000000" w:themeColor="text1"/>
          <w:sz w:val="24"/>
          <w:szCs w:val="24"/>
          <w:lang w:eastAsia="lv-LV"/>
        </w:rPr>
        <w:t xml:space="preserve"> un 6270*</w:t>
      </w:r>
      <w:r w:rsidR="00057431">
        <w:rPr>
          <w:rFonts w:ascii="Times New Roman" w:eastAsia="Times New Roman" w:hAnsi="Times New Roman" w:cs="Times New Roman"/>
          <w:color w:val="000000" w:themeColor="text1"/>
          <w:sz w:val="24"/>
          <w:szCs w:val="24"/>
          <w:lang w:eastAsia="lv-LV"/>
        </w:rPr>
        <w:t> </w:t>
      </w:r>
      <w:r w:rsidR="00433353" w:rsidRPr="00A07F29">
        <w:rPr>
          <w:rFonts w:ascii="Times New Roman" w:eastAsia="Times New Roman" w:hAnsi="Times New Roman" w:cs="Times New Roman"/>
          <w:i/>
          <w:iCs/>
          <w:color w:val="000000" w:themeColor="text1"/>
          <w:sz w:val="24"/>
          <w:szCs w:val="24"/>
          <w:lang w:eastAsia="lv-LV"/>
        </w:rPr>
        <w:t>Sugām bagātas ganības un ganītas pļavas</w:t>
      </w:r>
      <w:r w:rsidR="00433353" w:rsidRPr="00A07F29">
        <w:rPr>
          <w:rFonts w:ascii="Times New Roman" w:eastAsia="Times New Roman" w:hAnsi="Times New Roman" w:cs="Times New Roman"/>
          <w:color w:val="000000" w:themeColor="text1"/>
          <w:sz w:val="24"/>
          <w:szCs w:val="24"/>
          <w:lang w:eastAsia="lv-LV"/>
        </w:rPr>
        <w:t xml:space="preserve"> var nenopļaut un/vai nenoganīt.</w:t>
      </w:r>
    </w:p>
    <w:p w14:paraId="1022233D" w14:textId="5110EBE1" w:rsidR="009A4E12" w:rsidRPr="00A07F29" w:rsidRDefault="009A4E12" w:rsidP="009A4E12">
      <w:pPr>
        <w:spacing w:after="120" w:line="240" w:lineRule="auto"/>
        <w:ind w:firstLine="851"/>
        <w:jc w:val="both"/>
        <w:rPr>
          <w:rFonts w:ascii="Times New Roman" w:eastAsia="Times New Roman" w:hAnsi="Times New Roman" w:cs="Times New Roman"/>
          <w:bCs/>
          <w:color w:val="000000"/>
          <w:sz w:val="24"/>
          <w:szCs w:val="24"/>
          <w:lang w:eastAsia="lv-LV"/>
        </w:rPr>
      </w:pPr>
      <w:r w:rsidRPr="00A07F29">
        <w:rPr>
          <w:rFonts w:ascii="Times New Roman" w:eastAsia="Times New Roman" w:hAnsi="Times New Roman" w:cs="Times New Roman"/>
          <w:bCs/>
          <w:color w:val="000000"/>
          <w:sz w:val="24"/>
          <w:szCs w:val="24"/>
          <w:lang w:eastAsia="lv-LV"/>
        </w:rPr>
        <w:t>6410</w:t>
      </w:r>
      <w:r w:rsidR="00607D53">
        <w:rPr>
          <w:rFonts w:ascii="Times New Roman" w:eastAsia="Times New Roman" w:hAnsi="Times New Roman" w:cs="Times New Roman"/>
          <w:bCs/>
          <w:color w:val="000000"/>
          <w:sz w:val="24"/>
          <w:szCs w:val="24"/>
          <w:lang w:eastAsia="lv-LV"/>
        </w:rPr>
        <w:t> </w:t>
      </w:r>
      <w:r w:rsidRPr="00A07F29">
        <w:rPr>
          <w:rFonts w:ascii="Times New Roman" w:eastAsia="Times New Roman" w:hAnsi="Times New Roman" w:cs="Times New Roman"/>
          <w:bCs/>
          <w:i/>
          <w:iCs/>
          <w:color w:val="000000"/>
          <w:sz w:val="24"/>
          <w:szCs w:val="24"/>
          <w:lang w:eastAsia="lv-LV"/>
        </w:rPr>
        <w:t>Mitri zālāji periodiski izžūstošās augsnēs</w:t>
      </w:r>
      <w:r w:rsidRPr="00A07F29">
        <w:rPr>
          <w:rFonts w:ascii="Times New Roman" w:eastAsia="Times New Roman" w:hAnsi="Times New Roman" w:cs="Times New Roman"/>
          <w:bCs/>
          <w:color w:val="000000"/>
          <w:sz w:val="24"/>
          <w:szCs w:val="24"/>
          <w:lang w:eastAsia="lv-LV"/>
        </w:rPr>
        <w:t xml:space="preserve"> piemērotākā uzturēšana ir pļaušana, sienu novācot no jūlija vidus līdz beigām. Ja pļauj jūnija beigās, tad daļā zālāja jānodrošina vēlā pļaušana vai nenopļauti laukumi, lai saudzētu augu un dzīvnieku sugas (Rūsiņa</w:t>
      </w:r>
      <w:r w:rsidR="00607D53">
        <w:rPr>
          <w:rFonts w:ascii="Times New Roman" w:eastAsia="Times New Roman" w:hAnsi="Times New Roman" w:cs="Times New Roman"/>
          <w:bCs/>
          <w:color w:val="000000"/>
          <w:sz w:val="24"/>
          <w:szCs w:val="24"/>
          <w:lang w:eastAsia="lv-LV"/>
        </w:rPr>
        <w:t xml:space="preserve"> S.</w:t>
      </w:r>
      <w:r w:rsidRPr="00A07F29">
        <w:rPr>
          <w:rFonts w:ascii="Times New Roman" w:eastAsia="Times New Roman" w:hAnsi="Times New Roman" w:cs="Times New Roman"/>
          <w:bCs/>
          <w:color w:val="000000"/>
          <w:sz w:val="24"/>
          <w:szCs w:val="24"/>
          <w:lang w:eastAsia="lv-LV"/>
        </w:rPr>
        <w:t>, 2017). Svarīgi pļaušanas laiku saskaņot ar konkrētās pļavas mitruma apstākļiem – pļaut sausākajā laikā, lai ar lauksaimniecības tehniku nebojātu zemsedzi.</w:t>
      </w:r>
    </w:p>
    <w:p w14:paraId="08AE9E00" w14:textId="751ACCF5" w:rsidR="009A4E12" w:rsidRPr="00A07F29" w:rsidRDefault="009A4E12" w:rsidP="009A4E12">
      <w:pPr>
        <w:spacing w:after="120" w:line="240" w:lineRule="auto"/>
        <w:ind w:firstLine="851"/>
        <w:jc w:val="both"/>
        <w:rPr>
          <w:rFonts w:ascii="Times New Roman" w:eastAsia="Times New Roman" w:hAnsi="Times New Roman" w:cs="Times New Roman"/>
          <w:bCs/>
          <w:color w:val="000000"/>
          <w:sz w:val="24"/>
          <w:szCs w:val="24"/>
          <w:lang w:eastAsia="lv-LV"/>
        </w:rPr>
      </w:pPr>
      <w:r w:rsidRPr="00A07F29">
        <w:rPr>
          <w:rFonts w:ascii="Times New Roman" w:eastAsia="Times New Roman" w:hAnsi="Times New Roman" w:cs="Times New Roman"/>
          <w:bCs/>
          <w:color w:val="000000"/>
          <w:sz w:val="24"/>
          <w:szCs w:val="24"/>
          <w:lang w:eastAsia="lv-LV"/>
        </w:rPr>
        <w:t>Ja biotopu 6430</w:t>
      </w:r>
      <w:r w:rsidR="00252B8F">
        <w:rPr>
          <w:rFonts w:ascii="Times New Roman" w:eastAsia="Times New Roman" w:hAnsi="Times New Roman" w:cs="Times New Roman"/>
          <w:bCs/>
          <w:color w:val="000000"/>
          <w:sz w:val="24"/>
          <w:szCs w:val="24"/>
          <w:lang w:eastAsia="lv-LV"/>
        </w:rPr>
        <w:t> </w:t>
      </w:r>
      <w:proofErr w:type="spellStart"/>
      <w:r w:rsidRPr="00A07F29">
        <w:rPr>
          <w:rFonts w:ascii="Times New Roman" w:eastAsia="Times New Roman" w:hAnsi="Times New Roman" w:cs="Times New Roman"/>
          <w:bCs/>
          <w:i/>
          <w:iCs/>
          <w:color w:val="000000"/>
          <w:sz w:val="24"/>
          <w:szCs w:val="24"/>
          <w:lang w:eastAsia="lv-LV"/>
        </w:rPr>
        <w:t>Eitrofas</w:t>
      </w:r>
      <w:proofErr w:type="spellEnd"/>
      <w:r w:rsidRPr="00A07F29">
        <w:rPr>
          <w:rFonts w:ascii="Times New Roman" w:eastAsia="Times New Roman" w:hAnsi="Times New Roman" w:cs="Times New Roman"/>
          <w:bCs/>
          <w:i/>
          <w:iCs/>
          <w:color w:val="000000"/>
          <w:sz w:val="24"/>
          <w:szCs w:val="24"/>
          <w:lang w:eastAsia="lv-LV"/>
        </w:rPr>
        <w:t xml:space="preserve"> augsto lakstaugu audzes</w:t>
      </w:r>
      <w:r w:rsidRPr="00A07F29">
        <w:rPr>
          <w:rFonts w:ascii="Times New Roman" w:eastAsia="Times New Roman" w:hAnsi="Times New Roman" w:cs="Times New Roman"/>
          <w:bCs/>
          <w:color w:val="000000"/>
          <w:sz w:val="24"/>
          <w:szCs w:val="24"/>
          <w:lang w:eastAsia="lv-LV"/>
        </w:rPr>
        <w:t xml:space="preserve"> nav ietekmējusi cilvēku darbība un tajā nav apdraudējumu, tad uzturēšana nav nepieciešama. Daugavas palienē esošajās 6430</w:t>
      </w:r>
      <w:r w:rsidR="00252B8F">
        <w:rPr>
          <w:rFonts w:ascii="Times New Roman" w:eastAsia="Times New Roman" w:hAnsi="Times New Roman" w:cs="Times New Roman"/>
          <w:bCs/>
          <w:i/>
          <w:iCs/>
          <w:color w:val="000000"/>
          <w:sz w:val="24"/>
          <w:szCs w:val="24"/>
          <w:lang w:eastAsia="lv-LV"/>
        </w:rPr>
        <w:t> </w:t>
      </w:r>
      <w:proofErr w:type="spellStart"/>
      <w:r w:rsidRPr="00A07F29">
        <w:rPr>
          <w:rFonts w:ascii="Times New Roman" w:eastAsia="Times New Roman" w:hAnsi="Times New Roman" w:cs="Times New Roman"/>
          <w:bCs/>
          <w:i/>
          <w:iCs/>
          <w:color w:val="000000"/>
          <w:sz w:val="24"/>
          <w:szCs w:val="24"/>
          <w:lang w:eastAsia="lv-LV"/>
        </w:rPr>
        <w:t>Eitrofo</w:t>
      </w:r>
      <w:proofErr w:type="spellEnd"/>
      <w:r w:rsidRPr="00A07F29">
        <w:rPr>
          <w:rFonts w:ascii="Times New Roman" w:eastAsia="Times New Roman" w:hAnsi="Times New Roman" w:cs="Times New Roman"/>
          <w:bCs/>
          <w:i/>
          <w:iCs/>
          <w:color w:val="000000"/>
          <w:sz w:val="24"/>
          <w:szCs w:val="24"/>
          <w:lang w:eastAsia="lv-LV"/>
        </w:rPr>
        <w:t xml:space="preserve"> augsto lakstaugu audzēs</w:t>
      </w:r>
      <w:r w:rsidRPr="00A07F29">
        <w:rPr>
          <w:rFonts w:ascii="Times New Roman" w:eastAsia="Times New Roman" w:hAnsi="Times New Roman" w:cs="Times New Roman"/>
          <w:bCs/>
          <w:color w:val="000000"/>
          <w:sz w:val="24"/>
          <w:szCs w:val="24"/>
          <w:lang w:eastAsia="lv-LV"/>
        </w:rPr>
        <w:t xml:space="preserve"> sastopamas </w:t>
      </w:r>
      <w:proofErr w:type="spellStart"/>
      <w:r w:rsidRPr="00A07F29">
        <w:rPr>
          <w:rFonts w:ascii="Times New Roman" w:eastAsia="Times New Roman" w:hAnsi="Times New Roman" w:cs="Times New Roman"/>
          <w:bCs/>
          <w:color w:val="000000"/>
          <w:sz w:val="24"/>
          <w:szCs w:val="24"/>
          <w:lang w:eastAsia="lv-LV"/>
        </w:rPr>
        <w:t>invazīvās</w:t>
      </w:r>
      <w:proofErr w:type="spellEnd"/>
      <w:r w:rsidRPr="00A07F29">
        <w:rPr>
          <w:rFonts w:ascii="Times New Roman" w:eastAsia="Times New Roman" w:hAnsi="Times New Roman" w:cs="Times New Roman"/>
          <w:bCs/>
          <w:color w:val="000000"/>
          <w:sz w:val="24"/>
          <w:szCs w:val="24"/>
          <w:lang w:eastAsia="lv-LV"/>
        </w:rPr>
        <w:t xml:space="preserve"> augu sugas – adatainais </w:t>
      </w:r>
      <w:proofErr w:type="spellStart"/>
      <w:r w:rsidRPr="00A07F29">
        <w:rPr>
          <w:rFonts w:ascii="Times New Roman" w:eastAsia="Times New Roman" w:hAnsi="Times New Roman" w:cs="Times New Roman"/>
          <w:bCs/>
          <w:color w:val="000000"/>
          <w:sz w:val="24"/>
          <w:szCs w:val="24"/>
          <w:lang w:eastAsia="lv-LV"/>
        </w:rPr>
        <w:t>dzeloņgurķis</w:t>
      </w:r>
      <w:proofErr w:type="spellEnd"/>
      <w:r w:rsidRPr="00A07F29">
        <w:rPr>
          <w:rFonts w:ascii="Times New Roman" w:eastAsia="Times New Roman" w:hAnsi="Times New Roman" w:cs="Times New Roman"/>
          <w:b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Echinocystis</w:t>
      </w:r>
      <w:proofErr w:type="spellEnd"/>
      <w:r w:rsidRPr="00A07F29">
        <w:rPr>
          <w:rFonts w:ascii="Times New Roman" w:eastAsia="Times New Roman" w:hAnsi="Times New Roman" w:cs="Times New Roman"/>
          <w:bCs/>
          <w:i/>
          <w:i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lobata</w:t>
      </w:r>
      <w:proofErr w:type="spellEnd"/>
      <w:r w:rsidRPr="00A07F29">
        <w:rPr>
          <w:rFonts w:ascii="Times New Roman" w:eastAsia="Times New Roman" w:hAnsi="Times New Roman" w:cs="Times New Roman"/>
          <w:bCs/>
          <w:color w:val="000000"/>
          <w:sz w:val="24"/>
          <w:szCs w:val="24"/>
          <w:lang w:eastAsia="lv-LV"/>
        </w:rPr>
        <w:t xml:space="preserve">, </w:t>
      </w:r>
      <w:proofErr w:type="spellStart"/>
      <w:r w:rsidRPr="00A07F29">
        <w:rPr>
          <w:rFonts w:ascii="Times New Roman" w:eastAsia="Times New Roman" w:hAnsi="Times New Roman" w:cs="Times New Roman"/>
          <w:bCs/>
          <w:color w:val="000000"/>
          <w:sz w:val="24"/>
          <w:szCs w:val="24"/>
          <w:lang w:eastAsia="lv-LV"/>
        </w:rPr>
        <w:t>ošlapu</w:t>
      </w:r>
      <w:proofErr w:type="spellEnd"/>
      <w:r w:rsidRPr="00A07F29">
        <w:rPr>
          <w:rFonts w:ascii="Times New Roman" w:eastAsia="Times New Roman" w:hAnsi="Times New Roman" w:cs="Times New Roman"/>
          <w:bCs/>
          <w:color w:val="000000"/>
          <w:sz w:val="24"/>
          <w:szCs w:val="24"/>
          <w:lang w:eastAsia="lv-LV"/>
        </w:rPr>
        <w:t xml:space="preserve"> kļava </w:t>
      </w:r>
      <w:r w:rsidRPr="00A07F29">
        <w:rPr>
          <w:rFonts w:ascii="Times New Roman" w:eastAsia="Times New Roman" w:hAnsi="Times New Roman" w:cs="Times New Roman"/>
          <w:bCs/>
          <w:i/>
          <w:iCs/>
          <w:color w:val="000000"/>
          <w:sz w:val="24"/>
          <w:szCs w:val="24"/>
          <w:lang w:eastAsia="lv-LV"/>
        </w:rPr>
        <w:t xml:space="preserve">Acer </w:t>
      </w:r>
      <w:proofErr w:type="spellStart"/>
      <w:r w:rsidRPr="00A07F29">
        <w:rPr>
          <w:rFonts w:ascii="Times New Roman" w:eastAsia="Times New Roman" w:hAnsi="Times New Roman" w:cs="Times New Roman"/>
          <w:bCs/>
          <w:i/>
          <w:iCs/>
          <w:color w:val="000000"/>
          <w:sz w:val="24"/>
          <w:szCs w:val="24"/>
          <w:lang w:eastAsia="lv-LV"/>
        </w:rPr>
        <w:t>negundo</w:t>
      </w:r>
      <w:proofErr w:type="spellEnd"/>
      <w:r w:rsidRPr="00A07F29">
        <w:rPr>
          <w:rFonts w:ascii="Times New Roman" w:eastAsia="Times New Roman" w:hAnsi="Times New Roman" w:cs="Times New Roman"/>
          <w:bCs/>
          <w:color w:val="000000"/>
          <w:sz w:val="24"/>
          <w:szCs w:val="24"/>
          <w:lang w:eastAsia="lv-LV"/>
        </w:rPr>
        <w:t xml:space="preserve">, puķu sprigane </w:t>
      </w:r>
      <w:proofErr w:type="spellStart"/>
      <w:r w:rsidRPr="00A07F29">
        <w:rPr>
          <w:rFonts w:ascii="Times New Roman" w:eastAsia="Times New Roman" w:hAnsi="Times New Roman" w:cs="Times New Roman"/>
          <w:bCs/>
          <w:i/>
          <w:iCs/>
          <w:color w:val="000000"/>
          <w:sz w:val="24"/>
          <w:szCs w:val="24"/>
          <w:lang w:eastAsia="lv-LV"/>
        </w:rPr>
        <w:t>Impatiens</w:t>
      </w:r>
      <w:proofErr w:type="spellEnd"/>
      <w:r w:rsidRPr="00A07F29">
        <w:rPr>
          <w:rFonts w:ascii="Times New Roman" w:eastAsia="Times New Roman" w:hAnsi="Times New Roman" w:cs="Times New Roman"/>
          <w:bCs/>
          <w:i/>
          <w:i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glandulifera</w:t>
      </w:r>
      <w:proofErr w:type="spellEnd"/>
      <w:r w:rsidRPr="00A07F29">
        <w:rPr>
          <w:rFonts w:ascii="Times New Roman" w:eastAsia="Times New Roman" w:hAnsi="Times New Roman" w:cs="Times New Roman"/>
          <w:bCs/>
          <w:color w:val="000000"/>
          <w:sz w:val="24"/>
          <w:szCs w:val="24"/>
          <w:lang w:eastAsia="lv-LV"/>
        </w:rPr>
        <w:t xml:space="preserve">, Kanādas </w:t>
      </w:r>
      <w:proofErr w:type="spellStart"/>
      <w:r w:rsidRPr="00A07F29">
        <w:rPr>
          <w:rFonts w:ascii="Times New Roman" w:eastAsia="Times New Roman" w:hAnsi="Times New Roman" w:cs="Times New Roman"/>
          <w:bCs/>
          <w:color w:val="000000"/>
          <w:sz w:val="24"/>
          <w:szCs w:val="24"/>
          <w:lang w:eastAsia="lv-LV"/>
        </w:rPr>
        <w:t>zeltslotiņa</w:t>
      </w:r>
      <w:proofErr w:type="spellEnd"/>
      <w:r w:rsidRPr="00A07F29">
        <w:rPr>
          <w:rFonts w:ascii="Times New Roman" w:eastAsia="Times New Roman" w:hAnsi="Times New Roman" w:cs="Times New Roman"/>
          <w:b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Solidago</w:t>
      </w:r>
      <w:proofErr w:type="spellEnd"/>
      <w:r w:rsidRPr="00A07F29">
        <w:rPr>
          <w:rFonts w:ascii="Times New Roman" w:eastAsia="Times New Roman" w:hAnsi="Times New Roman" w:cs="Times New Roman"/>
          <w:bCs/>
          <w:i/>
          <w:i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canadensis</w:t>
      </w:r>
      <w:proofErr w:type="spellEnd"/>
      <w:r w:rsidRPr="00A07F29">
        <w:rPr>
          <w:rFonts w:ascii="Times New Roman" w:eastAsia="Times New Roman" w:hAnsi="Times New Roman" w:cs="Times New Roman"/>
          <w:bCs/>
          <w:i/>
          <w:iCs/>
          <w:color w:val="000000"/>
          <w:sz w:val="24"/>
          <w:szCs w:val="24"/>
          <w:lang w:eastAsia="lv-LV"/>
        </w:rPr>
        <w:t xml:space="preserve"> </w:t>
      </w:r>
      <w:r w:rsidRPr="00A07F29">
        <w:rPr>
          <w:rFonts w:ascii="Times New Roman" w:eastAsia="Times New Roman" w:hAnsi="Times New Roman" w:cs="Times New Roman"/>
          <w:bCs/>
          <w:color w:val="000000"/>
          <w:sz w:val="24"/>
          <w:szCs w:val="24"/>
          <w:lang w:eastAsia="lv-LV"/>
        </w:rPr>
        <w:t xml:space="preserve">u.c. sugas. </w:t>
      </w:r>
      <w:proofErr w:type="spellStart"/>
      <w:r w:rsidRPr="00A07F29">
        <w:rPr>
          <w:rFonts w:ascii="Times New Roman" w:eastAsia="Times New Roman" w:hAnsi="Times New Roman" w:cs="Times New Roman"/>
          <w:bCs/>
          <w:color w:val="000000"/>
          <w:sz w:val="24"/>
          <w:szCs w:val="24"/>
          <w:lang w:eastAsia="lv-LV"/>
        </w:rPr>
        <w:t>Invazīvās</w:t>
      </w:r>
      <w:proofErr w:type="spellEnd"/>
      <w:r w:rsidRPr="00A07F29">
        <w:rPr>
          <w:rFonts w:ascii="Times New Roman" w:eastAsia="Times New Roman" w:hAnsi="Times New Roman" w:cs="Times New Roman"/>
          <w:bCs/>
          <w:color w:val="000000"/>
          <w:sz w:val="24"/>
          <w:szCs w:val="24"/>
          <w:lang w:eastAsia="lv-LV"/>
        </w:rPr>
        <w:t xml:space="preserve"> sugas biotopos nepieciešams ierobežot, piemēram, </w:t>
      </w:r>
      <w:proofErr w:type="spellStart"/>
      <w:r w:rsidRPr="00A07F29">
        <w:rPr>
          <w:rFonts w:ascii="Times New Roman" w:eastAsia="Times New Roman" w:hAnsi="Times New Roman" w:cs="Times New Roman"/>
          <w:bCs/>
          <w:color w:val="000000"/>
          <w:sz w:val="24"/>
          <w:szCs w:val="24"/>
          <w:lang w:eastAsia="lv-LV"/>
        </w:rPr>
        <w:lastRenderedPageBreak/>
        <w:t>ošlapu</w:t>
      </w:r>
      <w:proofErr w:type="spellEnd"/>
      <w:r w:rsidRPr="00A07F29">
        <w:rPr>
          <w:rFonts w:ascii="Times New Roman" w:eastAsia="Times New Roman" w:hAnsi="Times New Roman" w:cs="Times New Roman"/>
          <w:bCs/>
          <w:color w:val="000000"/>
          <w:sz w:val="24"/>
          <w:szCs w:val="24"/>
          <w:lang w:eastAsia="lv-LV"/>
        </w:rPr>
        <w:t xml:space="preserve"> kļavu un citus svešzemju krūmus izcērtot, lakstaugus pļaujot un biomasu izvācot no biotopa pirms </w:t>
      </w:r>
      <w:proofErr w:type="spellStart"/>
      <w:r w:rsidRPr="00A07F29">
        <w:rPr>
          <w:rFonts w:ascii="Times New Roman" w:eastAsia="Times New Roman" w:hAnsi="Times New Roman" w:cs="Times New Roman"/>
          <w:bCs/>
          <w:color w:val="000000"/>
          <w:sz w:val="24"/>
          <w:szCs w:val="24"/>
          <w:lang w:eastAsia="lv-LV"/>
        </w:rPr>
        <w:t>invazīvajām</w:t>
      </w:r>
      <w:proofErr w:type="spellEnd"/>
      <w:r w:rsidRPr="00A07F29">
        <w:rPr>
          <w:rFonts w:ascii="Times New Roman" w:eastAsia="Times New Roman" w:hAnsi="Times New Roman" w:cs="Times New Roman"/>
          <w:bCs/>
          <w:color w:val="000000"/>
          <w:sz w:val="24"/>
          <w:szCs w:val="24"/>
          <w:lang w:eastAsia="lv-LV"/>
        </w:rPr>
        <w:t xml:space="preserve"> sugām ir ienākušās sēklas (</w:t>
      </w:r>
      <w:r w:rsidR="00344F6A" w:rsidRPr="00A07F29">
        <w:rPr>
          <w:rFonts w:ascii="Times New Roman" w:eastAsia="Times New Roman" w:hAnsi="Times New Roman" w:cs="Times New Roman"/>
          <w:bCs/>
          <w:color w:val="000000"/>
          <w:sz w:val="24"/>
          <w:szCs w:val="24"/>
          <w:lang w:eastAsia="lv-LV"/>
        </w:rPr>
        <w:t xml:space="preserve">skat. pasākumu </w:t>
      </w:r>
      <w:r w:rsidRPr="00A07F29">
        <w:rPr>
          <w:rFonts w:ascii="Times New Roman" w:eastAsia="Times New Roman" w:hAnsi="Times New Roman" w:cs="Times New Roman"/>
          <w:bCs/>
          <w:color w:val="000000"/>
          <w:sz w:val="24"/>
          <w:szCs w:val="24"/>
          <w:lang w:eastAsia="lv-LV"/>
        </w:rPr>
        <w:t>B.6.</w:t>
      </w:r>
      <w:r w:rsidR="00344F6A" w:rsidRPr="00A07F29">
        <w:rPr>
          <w:rFonts w:ascii="Times New Roman" w:eastAsia="Times New Roman" w:hAnsi="Times New Roman" w:cs="Times New Roman"/>
          <w:bCs/>
          <w:color w:val="000000"/>
          <w:sz w:val="24"/>
          <w:szCs w:val="24"/>
          <w:lang w:eastAsia="lv-LV"/>
        </w:rPr>
        <w:t>1.</w:t>
      </w:r>
      <w:r w:rsidRPr="00A07F29">
        <w:rPr>
          <w:rFonts w:ascii="Times New Roman" w:eastAsia="Times New Roman" w:hAnsi="Times New Roman" w:cs="Times New Roman"/>
          <w:bCs/>
          <w:color w:val="000000"/>
          <w:sz w:val="24"/>
          <w:szCs w:val="24"/>
          <w:lang w:eastAsia="lv-LV"/>
        </w:rPr>
        <w:t>).</w:t>
      </w:r>
    </w:p>
    <w:p w14:paraId="6F30AD70" w14:textId="5AA604D1" w:rsidR="009A4E12" w:rsidRPr="00A07F29" w:rsidRDefault="009A4E12" w:rsidP="009A4E12">
      <w:pPr>
        <w:spacing w:after="120" w:line="240" w:lineRule="auto"/>
        <w:ind w:firstLine="851"/>
        <w:jc w:val="both"/>
        <w:rPr>
          <w:rFonts w:ascii="Times New Roman" w:eastAsia="Times New Roman" w:hAnsi="Times New Roman" w:cs="Times New Roman"/>
          <w:bCs/>
          <w:color w:val="000000"/>
          <w:sz w:val="24"/>
          <w:szCs w:val="24"/>
          <w:lang w:eastAsia="lv-LV"/>
        </w:rPr>
      </w:pPr>
      <w:r w:rsidRPr="00A07F29">
        <w:rPr>
          <w:rFonts w:ascii="Times New Roman" w:eastAsia="Times New Roman" w:hAnsi="Times New Roman" w:cs="Times New Roman"/>
          <w:bCs/>
          <w:color w:val="000000"/>
          <w:sz w:val="24"/>
          <w:szCs w:val="24"/>
          <w:lang w:eastAsia="lv-LV"/>
        </w:rPr>
        <w:t>Tradicionāli 6450</w:t>
      </w:r>
      <w:r w:rsidR="00F46D99">
        <w:rPr>
          <w:rFonts w:ascii="Times New Roman" w:eastAsia="Times New Roman" w:hAnsi="Times New Roman" w:cs="Times New Roman"/>
          <w:bCs/>
          <w:color w:val="000000"/>
          <w:sz w:val="24"/>
          <w:szCs w:val="24"/>
          <w:lang w:eastAsia="lv-LV"/>
        </w:rPr>
        <w:t> </w:t>
      </w:r>
      <w:r w:rsidRPr="00A07F29">
        <w:rPr>
          <w:rFonts w:ascii="Times New Roman" w:eastAsia="Times New Roman" w:hAnsi="Times New Roman" w:cs="Times New Roman"/>
          <w:bCs/>
          <w:i/>
          <w:iCs/>
          <w:color w:val="000000"/>
          <w:sz w:val="24"/>
          <w:szCs w:val="24"/>
          <w:lang w:eastAsia="lv-LV"/>
        </w:rPr>
        <w:t>Palieņu zālājus</w:t>
      </w:r>
      <w:r w:rsidRPr="00A07F29">
        <w:rPr>
          <w:rFonts w:ascii="Times New Roman" w:eastAsia="Times New Roman" w:hAnsi="Times New Roman" w:cs="Times New Roman"/>
          <w:bCs/>
          <w:color w:val="000000"/>
          <w:sz w:val="24"/>
          <w:szCs w:val="24"/>
          <w:lang w:eastAsia="lv-LV"/>
        </w:rPr>
        <w:t xml:space="preserve"> pļāva, lai iegūtu kvalitatīvu lopbarību ziemai, bet ganīja tikai atālā. 6450</w:t>
      </w:r>
      <w:r w:rsidR="00F46D99">
        <w:rPr>
          <w:rFonts w:ascii="Times New Roman" w:eastAsia="Times New Roman" w:hAnsi="Times New Roman" w:cs="Times New Roman"/>
          <w:bCs/>
          <w:color w:val="000000"/>
          <w:sz w:val="24"/>
          <w:szCs w:val="24"/>
          <w:lang w:eastAsia="lv-LV"/>
        </w:rPr>
        <w:t> </w:t>
      </w:r>
      <w:r w:rsidRPr="00A07F29">
        <w:rPr>
          <w:rFonts w:ascii="Times New Roman" w:eastAsia="Times New Roman" w:hAnsi="Times New Roman" w:cs="Times New Roman"/>
          <w:bCs/>
          <w:i/>
          <w:iCs/>
          <w:color w:val="000000"/>
          <w:sz w:val="24"/>
          <w:szCs w:val="24"/>
          <w:lang w:eastAsia="lv-LV"/>
        </w:rPr>
        <w:t>Palieņu zālāju</w:t>
      </w:r>
      <w:r w:rsidRPr="00A07F29">
        <w:rPr>
          <w:rFonts w:ascii="Times New Roman" w:eastAsia="Times New Roman" w:hAnsi="Times New Roman" w:cs="Times New Roman"/>
          <w:bCs/>
          <w:color w:val="000000"/>
          <w:sz w:val="24"/>
          <w:szCs w:val="24"/>
          <w:lang w:eastAsia="lv-LV"/>
        </w:rPr>
        <w:t xml:space="preserve"> pļaušanas laiks jāsaskaņo ar mitruma apstākļiem. Pļaušana jāveic vasaras sausākajā periodā. No augiem labvēlīga apsaimniekošanas viedokļa vēlama pļaušana no jūnija vidus līdz jūlija sākumam, zāli novācot (atstājot nepļautus laukumus augu ziedēšanai un sēklu nogatavināšanai) un vienreizēja atāla noganīšana. No bridējputnu </w:t>
      </w:r>
      <w:r w:rsidR="00433353" w:rsidRPr="00A07F29">
        <w:rPr>
          <w:rFonts w:ascii="Times New Roman" w:eastAsia="Times New Roman" w:hAnsi="Times New Roman" w:cs="Times New Roman"/>
          <w:bCs/>
          <w:color w:val="000000"/>
          <w:sz w:val="24"/>
          <w:szCs w:val="24"/>
          <w:lang w:eastAsia="lv-LV"/>
        </w:rPr>
        <w:t xml:space="preserve">aizsardzības </w:t>
      </w:r>
      <w:r w:rsidRPr="00A07F29">
        <w:rPr>
          <w:rFonts w:ascii="Times New Roman" w:eastAsia="Times New Roman" w:hAnsi="Times New Roman" w:cs="Times New Roman"/>
          <w:bCs/>
          <w:color w:val="000000"/>
          <w:sz w:val="24"/>
          <w:szCs w:val="24"/>
          <w:lang w:eastAsia="lv-LV"/>
        </w:rPr>
        <w:t xml:space="preserve">viedokļa pļaušana palienē būtu jāsaskaņo ar palu laiku – pļaut ne agrāk kā </w:t>
      </w:r>
      <w:r w:rsidR="00B42FFA">
        <w:rPr>
          <w:rFonts w:ascii="Times New Roman" w:eastAsia="Times New Roman" w:hAnsi="Times New Roman" w:cs="Times New Roman"/>
          <w:bCs/>
          <w:color w:val="000000"/>
          <w:sz w:val="24"/>
          <w:szCs w:val="24"/>
          <w:lang w:eastAsia="lv-LV"/>
        </w:rPr>
        <w:t>divus</w:t>
      </w:r>
      <w:r w:rsidRPr="00A07F29">
        <w:rPr>
          <w:rFonts w:ascii="Times New Roman" w:eastAsia="Times New Roman" w:hAnsi="Times New Roman" w:cs="Times New Roman"/>
          <w:bCs/>
          <w:color w:val="000000"/>
          <w:sz w:val="24"/>
          <w:szCs w:val="24"/>
          <w:lang w:eastAsia="lv-LV"/>
        </w:rPr>
        <w:t xml:space="preserve"> mēnešus pēc palu atkāpšanās. </w:t>
      </w:r>
      <w:r w:rsidR="00433353" w:rsidRPr="00A07F29">
        <w:rPr>
          <w:rFonts w:ascii="Times New Roman" w:eastAsia="Times New Roman" w:hAnsi="Times New Roman" w:cs="Times New Roman"/>
          <w:bCs/>
          <w:color w:val="000000"/>
          <w:sz w:val="24"/>
          <w:szCs w:val="24"/>
          <w:lang w:eastAsia="lv-LV"/>
        </w:rPr>
        <w:t xml:space="preserve">Nepieciešama arī </w:t>
      </w:r>
      <w:proofErr w:type="spellStart"/>
      <w:r w:rsidRPr="00A07F29">
        <w:rPr>
          <w:rFonts w:ascii="Times New Roman" w:eastAsia="Times New Roman" w:hAnsi="Times New Roman" w:cs="Times New Roman"/>
          <w:bCs/>
          <w:color w:val="000000"/>
          <w:sz w:val="24"/>
          <w:szCs w:val="24"/>
          <w:lang w:eastAsia="lv-LV"/>
        </w:rPr>
        <w:t>invazīvo</w:t>
      </w:r>
      <w:proofErr w:type="spellEnd"/>
      <w:r w:rsidRPr="00A07F29">
        <w:rPr>
          <w:rFonts w:ascii="Times New Roman" w:eastAsia="Times New Roman" w:hAnsi="Times New Roman" w:cs="Times New Roman"/>
          <w:bCs/>
          <w:color w:val="000000"/>
          <w:sz w:val="24"/>
          <w:szCs w:val="24"/>
          <w:lang w:eastAsia="lv-LV"/>
        </w:rPr>
        <w:t xml:space="preserve"> </w:t>
      </w:r>
      <w:r w:rsidR="00433353" w:rsidRPr="00A07F29">
        <w:rPr>
          <w:rFonts w:ascii="Times New Roman" w:eastAsia="Times New Roman" w:hAnsi="Times New Roman" w:cs="Times New Roman"/>
          <w:bCs/>
          <w:color w:val="000000"/>
          <w:sz w:val="24"/>
          <w:szCs w:val="24"/>
          <w:lang w:eastAsia="lv-LV"/>
        </w:rPr>
        <w:t xml:space="preserve">augu </w:t>
      </w:r>
      <w:r w:rsidRPr="00A07F29">
        <w:rPr>
          <w:rFonts w:ascii="Times New Roman" w:eastAsia="Times New Roman" w:hAnsi="Times New Roman" w:cs="Times New Roman"/>
          <w:bCs/>
          <w:color w:val="000000"/>
          <w:sz w:val="24"/>
          <w:szCs w:val="24"/>
          <w:lang w:eastAsia="lv-LV"/>
        </w:rPr>
        <w:t xml:space="preserve">sugu </w:t>
      </w:r>
      <w:r w:rsidR="00433353" w:rsidRPr="00A07F29">
        <w:rPr>
          <w:rFonts w:ascii="Times New Roman" w:eastAsia="Times New Roman" w:hAnsi="Times New Roman" w:cs="Times New Roman"/>
          <w:bCs/>
          <w:color w:val="000000"/>
          <w:sz w:val="24"/>
          <w:szCs w:val="24"/>
          <w:lang w:eastAsia="lv-LV"/>
        </w:rPr>
        <w:t xml:space="preserve">apkarošana </w:t>
      </w:r>
      <w:r w:rsidRPr="00A07F29">
        <w:rPr>
          <w:rFonts w:ascii="Times New Roman" w:eastAsia="Times New Roman" w:hAnsi="Times New Roman" w:cs="Times New Roman"/>
          <w:bCs/>
          <w:color w:val="000000"/>
          <w:sz w:val="24"/>
          <w:szCs w:val="24"/>
          <w:lang w:eastAsia="lv-LV"/>
        </w:rPr>
        <w:t xml:space="preserve">un krūmu apauguma </w:t>
      </w:r>
      <w:r w:rsidR="00433353" w:rsidRPr="00A07F29">
        <w:rPr>
          <w:rFonts w:ascii="Times New Roman" w:eastAsia="Times New Roman" w:hAnsi="Times New Roman" w:cs="Times New Roman"/>
          <w:bCs/>
          <w:color w:val="000000"/>
          <w:sz w:val="24"/>
          <w:szCs w:val="24"/>
          <w:lang w:eastAsia="lv-LV"/>
        </w:rPr>
        <w:t>samazināšana</w:t>
      </w:r>
      <w:r w:rsidRPr="00A07F29">
        <w:rPr>
          <w:rFonts w:ascii="Times New Roman" w:eastAsia="Times New Roman" w:hAnsi="Times New Roman" w:cs="Times New Roman"/>
          <w:bCs/>
          <w:color w:val="000000"/>
          <w:sz w:val="24"/>
          <w:szCs w:val="24"/>
          <w:lang w:eastAsia="lv-LV"/>
        </w:rPr>
        <w:t>,</w:t>
      </w:r>
      <w:r w:rsidR="00433353" w:rsidRPr="00A07F29">
        <w:rPr>
          <w:rFonts w:ascii="Times New Roman" w:eastAsia="Times New Roman" w:hAnsi="Times New Roman" w:cs="Times New Roman"/>
          <w:bCs/>
          <w:color w:val="000000"/>
          <w:sz w:val="24"/>
          <w:szCs w:val="24"/>
          <w:lang w:eastAsia="lv-LV"/>
        </w:rPr>
        <w:t xml:space="preserve"> lai nepieļautu zālāju platības samazināšanos un uzturētu putniem piemērotas vienlaidus zālāju platības.</w:t>
      </w:r>
    </w:p>
    <w:p w14:paraId="669A7861" w14:textId="06CB8AE7" w:rsidR="00886EE7" w:rsidRPr="00A07F29" w:rsidRDefault="00955945" w:rsidP="009A4E12">
      <w:pPr>
        <w:spacing w:after="120" w:line="240" w:lineRule="auto"/>
        <w:ind w:firstLine="851"/>
        <w:jc w:val="both"/>
        <w:rPr>
          <w:rFonts w:ascii="Times New Roman" w:eastAsia="Times New Roman" w:hAnsi="Times New Roman" w:cs="Times New Roman"/>
          <w:bCs/>
          <w:color w:val="000000"/>
          <w:sz w:val="24"/>
          <w:szCs w:val="24"/>
          <w:lang w:eastAsia="lv-LV"/>
        </w:rPr>
      </w:pPr>
      <w:r w:rsidRPr="00A07F29">
        <w:rPr>
          <w:rFonts w:ascii="Times New Roman" w:eastAsia="Times New Roman" w:hAnsi="Times New Roman" w:cs="Times New Roman"/>
          <w:bCs/>
          <w:color w:val="000000"/>
          <w:sz w:val="24"/>
          <w:szCs w:val="24"/>
          <w:lang w:eastAsia="lv-LV"/>
        </w:rPr>
        <w:t xml:space="preserve">Zālājos, kuros ir zināmas </w:t>
      </w:r>
      <w:r w:rsidR="00DA00E4" w:rsidRPr="00A07F29">
        <w:rPr>
          <w:rFonts w:ascii="Times New Roman" w:eastAsia="Times New Roman" w:hAnsi="Times New Roman" w:cs="Times New Roman"/>
          <w:bCs/>
          <w:color w:val="000000"/>
          <w:sz w:val="24"/>
          <w:szCs w:val="24"/>
          <w:lang w:eastAsia="lv-LV"/>
        </w:rPr>
        <w:t xml:space="preserve">reto un </w:t>
      </w:r>
      <w:r w:rsidRPr="00A07F29">
        <w:rPr>
          <w:rFonts w:ascii="Times New Roman" w:eastAsia="Times New Roman" w:hAnsi="Times New Roman" w:cs="Times New Roman"/>
          <w:bCs/>
          <w:color w:val="000000"/>
          <w:sz w:val="24"/>
          <w:szCs w:val="24"/>
          <w:lang w:eastAsia="lv-LV"/>
        </w:rPr>
        <w:t xml:space="preserve">aizsargājamo gliemju </w:t>
      </w:r>
      <w:r w:rsidR="005A0F9B" w:rsidRPr="00A07F29">
        <w:rPr>
          <w:rFonts w:ascii="Times New Roman" w:eastAsia="Times New Roman" w:hAnsi="Times New Roman" w:cs="Times New Roman"/>
          <w:bCs/>
          <w:color w:val="000000"/>
          <w:sz w:val="24"/>
          <w:szCs w:val="24"/>
          <w:lang w:eastAsia="lv-LV"/>
        </w:rPr>
        <w:t xml:space="preserve">sugu </w:t>
      </w:r>
      <w:r w:rsidRPr="00A07F29">
        <w:rPr>
          <w:rFonts w:ascii="Times New Roman" w:eastAsia="Times New Roman" w:hAnsi="Times New Roman" w:cs="Times New Roman"/>
          <w:bCs/>
          <w:color w:val="000000"/>
          <w:sz w:val="24"/>
          <w:szCs w:val="24"/>
          <w:lang w:eastAsia="lv-LV"/>
        </w:rPr>
        <w:t>atradnes</w:t>
      </w:r>
      <w:r w:rsidR="005A0F9B" w:rsidRPr="00A07F29">
        <w:rPr>
          <w:rFonts w:ascii="Times New Roman" w:eastAsia="Times New Roman" w:hAnsi="Times New Roman" w:cs="Times New Roman"/>
          <w:bCs/>
          <w:color w:val="000000"/>
          <w:sz w:val="24"/>
          <w:szCs w:val="24"/>
          <w:lang w:eastAsia="lv-LV"/>
        </w:rPr>
        <w:t xml:space="preserve"> (skat. B.5.2</w:t>
      </w:r>
      <w:r w:rsidR="00DA00E4" w:rsidRPr="00A07F29">
        <w:rPr>
          <w:rFonts w:ascii="Times New Roman" w:eastAsia="Times New Roman" w:hAnsi="Times New Roman" w:cs="Times New Roman"/>
          <w:bCs/>
          <w:color w:val="000000"/>
          <w:sz w:val="24"/>
          <w:szCs w:val="24"/>
          <w:lang w:eastAsia="lv-LV"/>
        </w:rPr>
        <w:t>. </w:t>
      </w:r>
      <w:r w:rsidR="005A0F9B" w:rsidRPr="00A07F29">
        <w:rPr>
          <w:rFonts w:ascii="Times New Roman" w:eastAsia="Times New Roman" w:hAnsi="Times New Roman" w:cs="Times New Roman"/>
          <w:bCs/>
          <w:color w:val="000000"/>
          <w:sz w:val="24"/>
          <w:szCs w:val="24"/>
          <w:lang w:eastAsia="lv-LV"/>
        </w:rPr>
        <w:t xml:space="preserve">pasākumu, </w:t>
      </w:r>
      <w:r w:rsidR="006D1827" w:rsidRPr="00A07F29">
        <w:rPr>
          <w:rFonts w:ascii="Times New Roman" w:eastAsia="Times New Roman" w:hAnsi="Times New Roman" w:cs="Times New Roman"/>
          <w:bCs/>
          <w:color w:val="000000"/>
          <w:sz w:val="24"/>
          <w:szCs w:val="24"/>
          <w:lang w:eastAsia="lv-LV"/>
        </w:rPr>
        <w:t>5.1.1</w:t>
      </w:r>
      <w:r w:rsidR="005A0F9B" w:rsidRPr="00A07F29">
        <w:rPr>
          <w:rFonts w:ascii="Times New Roman" w:eastAsia="Times New Roman" w:hAnsi="Times New Roman" w:cs="Times New Roman"/>
          <w:bCs/>
          <w:color w:val="000000"/>
          <w:sz w:val="24"/>
          <w:szCs w:val="24"/>
          <w:lang w:eastAsia="lv-LV"/>
        </w:rPr>
        <w:t>.</w:t>
      </w:r>
      <w:r w:rsidR="002A2C3B">
        <w:rPr>
          <w:rFonts w:ascii="Times New Roman" w:eastAsia="Times New Roman" w:hAnsi="Times New Roman" w:cs="Times New Roman"/>
          <w:bCs/>
          <w:color w:val="000000"/>
          <w:sz w:val="24"/>
          <w:szCs w:val="24"/>
          <w:lang w:eastAsia="lv-LV"/>
        </w:rPr>
        <w:t xml:space="preserve"> un 5.1.1a.</w:t>
      </w:r>
      <w:r w:rsidR="00946330">
        <w:rPr>
          <w:rFonts w:ascii="Times New Roman" w:eastAsia="Times New Roman" w:hAnsi="Times New Roman" w:cs="Times New Roman"/>
          <w:bCs/>
          <w:color w:val="000000"/>
          <w:sz w:val="24"/>
          <w:szCs w:val="24"/>
          <w:lang w:eastAsia="lv-LV"/>
        </w:rPr>
        <w:t> </w:t>
      </w:r>
      <w:r w:rsidR="005A0F9B" w:rsidRPr="00A07F29">
        <w:rPr>
          <w:rFonts w:ascii="Times New Roman" w:eastAsia="Times New Roman" w:hAnsi="Times New Roman" w:cs="Times New Roman"/>
          <w:bCs/>
          <w:color w:val="000000"/>
          <w:sz w:val="24"/>
          <w:szCs w:val="24"/>
          <w:lang w:eastAsia="lv-LV"/>
        </w:rPr>
        <w:t>pielikumu)</w:t>
      </w:r>
      <w:r w:rsidRPr="00A07F29">
        <w:rPr>
          <w:rFonts w:ascii="Times New Roman" w:eastAsia="Times New Roman" w:hAnsi="Times New Roman" w:cs="Times New Roman"/>
          <w:bCs/>
          <w:color w:val="000000"/>
          <w:sz w:val="24"/>
          <w:szCs w:val="24"/>
          <w:lang w:eastAsia="lv-LV"/>
        </w:rPr>
        <w:t xml:space="preserve">, </w:t>
      </w:r>
      <w:r w:rsidR="00886EE7" w:rsidRPr="00A07F29">
        <w:rPr>
          <w:rFonts w:ascii="Times New Roman" w:eastAsia="Times New Roman" w:hAnsi="Times New Roman" w:cs="Times New Roman"/>
          <w:bCs/>
          <w:color w:val="000000"/>
          <w:sz w:val="24"/>
          <w:szCs w:val="24"/>
          <w:lang w:eastAsia="lv-LV"/>
        </w:rPr>
        <w:t>vispiemērotākā ir ekstensīva noganīšana ar zirgiem. Pļaušana šajos zālājos pieļaujama tikai tad, ja nav iespējams nodrošināt piemērotu noganīšanas režīmu</w:t>
      </w:r>
      <w:r w:rsidR="00DA00E4" w:rsidRPr="00A07F29">
        <w:rPr>
          <w:rFonts w:ascii="Times New Roman" w:eastAsia="Times New Roman" w:hAnsi="Times New Roman" w:cs="Times New Roman"/>
          <w:bCs/>
          <w:color w:val="000000"/>
          <w:sz w:val="24"/>
          <w:szCs w:val="24"/>
          <w:lang w:eastAsia="lv-LV"/>
        </w:rPr>
        <w:t>.</w:t>
      </w:r>
      <w:r w:rsidR="00D65BBA" w:rsidRPr="00A07F29">
        <w:rPr>
          <w:rFonts w:ascii="Times New Roman" w:eastAsia="Times New Roman" w:hAnsi="Times New Roman" w:cs="Times New Roman"/>
          <w:bCs/>
          <w:color w:val="000000"/>
          <w:sz w:val="24"/>
          <w:szCs w:val="24"/>
          <w:lang w:eastAsia="lv-LV"/>
        </w:rPr>
        <w:t xml:space="preserve"> </w:t>
      </w:r>
      <w:r w:rsidR="00DA00E4" w:rsidRPr="00A07F29">
        <w:rPr>
          <w:rFonts w:ascii="Times New Roman" w:eastAsia="Times New Roman" w:hAnsi="Times New Roman" w:cs="Times New Roman"/>
          <w:bCs/>
          <w:color w:val="000000"/>
          <w:sz w:val="24"/>
          <w:szCs w:val="24"/>
          <w:lang w:eastAsia="lv-LV"/>
        </w:rPr>
        <w:t xml:space="preserve">Reto un aizsargājamo gliemju sugu </w:t>
      </w:r>
      <w:r w:rsidR="00AF2AD0" w:rsidRPr="00A07F29">
        <w:rPr>
          <w:rFonts w:ascii="Times New Roman" w:eastAsia="Times New Roman" w:hAnsi="Times New Roman" w:cs="Times New Roman"/>
          <w:bCs/>
          <w:color w:val="000000"/>
          <w:sz w:val="24"/>
          <w:szCs w:val="24"/>
          <w:lang w:eastAsia="lv-LV"/>
        </w:rPr>
        <w:t>dzī</w:t>
      </w:r>
      <w:r w:rsidR="00DA00E4" w:rsidRPr="00A07F29">
        <w:rPr>
          <w:rFonts w:ascii="Times New Roman" w:eastAsia="Times New Roman" w:hAnsi="Times New Roman" w:cs="Times New Roman"/>
          <w:bCs/>
          <w:color w:val="000000"/>
          <w:sz w:val="24"/>
          <w:szCs w:val="24"/>
          <w:lang w:eastAsia="lv-LV"/>
        </w:rPr>
        <w:t xml:space="preserve">votnēs nedrīkst ierīkot liellopu vai </w:t>
      </w:r>
      <w:r w:rsidR="00AF2AD0" w:rsidRPr="00A07F29">
        <w:rPr>
          <w:rFonts w:ascii="Times New Roman" w:eastAsia="Times New Roman" w:hAnsi="Times New Roman" w:cs="Times New Roman"/>
          <w:bCs/>
          <w:color w:val="000000"/>
          <w:sz w:val="24"/>
          <w:szCs w:val="24"/>
          <w:lang w:eastAsia="lv-LV"/>
        </w:rPr>
        <w:t>savvaļas pārnadžu koncentrēšanās un piebarošanas</w:t>
      </w:r>
      <w:r w:rsidR="00D65BBA" w:rsidRPr="00A07F29">
        <w:rPr>
          <w:rFonts w:ascii="Times New Roman" w:eastAsia="Times New Roman" w:hAnsi="Times New Roman" w:cs="Times New Roman"/>
          <w:bCs/>
          <w:color w:val="000000"/>
          <w:sz w:val="24"/>
          <w:szCs w:val="24"/>
          <w:lang w:eastAsia="lv-LV"/>
        </w:rPr>
        <w:t xml:space="preserve"> </w:t>
      </w:r>
      <w:r w:rsidR="00AF2AD0" w:rsidRPr="00A07F29">
        <w:rPr>
          <w:rFonts w:ascii="Times New Roman" w:eastAsia="Times New Roman" w:hAnsi="Times New Roman" w:cs="Times New Roman"/>
          <w:bCs/>
          <w:color w:val="000000"/>
          <w:sz w:val="24"/>
          <w:szCs w:val="24"/>
          <w:lang w:eastAsia="lv-LV"/>
        </w:rPr>
        <w:t>vietas</w:t>
      </w:r>
      <w:r w:rsidR="00DA00E4" w:rsidRPr="00A07F29">
        <w:rPr>
          <w:rFonts w:ascii="Times New Roman" w:eastAsia="Times New Roman" w:hAnsi="Times New Roman" w:cs="Times New Roman"/>
          <w:bCs/>
          <w:color w:val="000000"/>
          <w:sz w:val="24"/>
          <w:szCs w:val="24"/>
          <w:lang w:eastAsia="lv-LV"/>
        </w:rPr>
        <w:t>.</w:t>
      </w:r>
    </w:p>
    <w:p w14:paraId="685478FC" w14:textId="586A8F82" w:rsidR="00344F6A" w:rsidRPr="00A07F29" w:rsidRDefault="00344F6A" w:rsidP="006D1827">
      <w:pPr>
        <w:spacing w:after="120" w:line="240" w:lineRule="auto"/>
        <w:ind w:firstLine="851"/>
        <w:jc w:val="both"/>
        <w:rPr>
          <w:rFonts w:ascii="Times New Roman" w:eastAsia="Calibri" w:hAnsi="Times New Roman" w:cs="Times New Roman"/>
          <w:sz w:val="24"/>
          <w:szCs w:val="24"/>
        </w:rPr>
      </w:pPr>
      <w:r w:rsidRPr="00A07F29">
        <w:rPr>
          <w:rFonts w:ascii="Times New Roman" w:eastAsia="Times New Roman" w:hAnsi="Times New Roman" w:cs="Times New Roman"/>
          <w:bCs/>
          <w:color w:val="000000"/>
          <w:sz w:val="24"/>
          <w:szCs w:val="24"/>
          <w:lang w:eastAsia="lv-LV"/>
        </w:rPr>
        <w:t xml:space="preserve">Lai nepieļautu aizsargājamo zālāju </w:t>
      </w:r>
      <w:r w:rsidR="00924C65" w:rsidRPr="00A07F29">
        <w:rPr>
          <w:rFonts w:ascii="Times New Roman" w:eastAsia="Times New Roman" w:hAnsi="Times New Roman" w:cs="Times New Roman"/>
          <w:bCs/>
          <w:color w:val="000000"/>
          <w:sz w:val="24"/>
          <w:szCs w:val="24"/>
          <w:lang w:eastAsia="lv-LV"/>
        </w:rPr>
        <w:t xml:space="preserve">biotopu degradēšanos un </w:t>
      </w:r>
      <w:r w:rsidRPr="00A07F29">
        <w:rPr>
          <w:rFonts w:ascii="Times New Roman" w:eastAsia="Times New Roman" w:hAnsi="Times New Roman" w:cs="Times New Roman"/>
          <w:bCs/>
          <w:color w:val="000000"/>
          <w:sz w:val="24"/>
          <w:szCs w:val="24"/>
          <w:lang w:eastAsia="lv-LV"/>
        </w:rPr>
        <w:t xml:space="preserve">platības samazināšanos, </w:t>
      </w:r>
      <w:r w:rsidRPr="00A07F29">
        <w:rPr>
          <w:rFonts w:ascii="Times New Roman" w:eastAsia="Calibri" w:hAnsi="Times New Roman" w:cs="Times New Roman"/>
          <w:sz w:val="24"/>
          <w:szCs w:val="24"/>
        </w:rPr>
        <w:t xml:space="preserve">nepieciešama apsaimniekošanas atsākšana un kvalitātes uzlabošana </w:t>
      </w:r>
      <w:r w:rsidR="006D1827" w:rsidRPr="00A07F29">
        <w:rPr>
          <w:rFonts w:ascii="Times New Roman" w:eastAsia="Calibri" w:hAnsi="Times New Roman" w:cs="Times New Roman"/>
          <w:sz w:val="24"/>
          <w:szCs w:val="24"/>
        </w:rPr>
        <w:t>pašlaik neapsaimniekotajos zālājos</w:t>
      </w:r>
      <w:r w:rsidRPr="00A07F29">
        <w:rPr>
          <w:rFonts w:ascii="Times New Roman" w:eastAsia="Calibri" w:hAnsi="Times New Roman" w:cs="Times New Roman"/>
          <w:sz w:val="24"/>
          <w:szCs w:val="24"/>
        </w:rPr>
        <w:t>.</w:t>
      </w:r>
    </w:p>
    <w:p w14:paraId="1658CA1F" w14:textId="4EF6AF2A" w:rsidR="00A34DE6" w:rsidRPr="00A07F29" w:rsidRDefault="00B34AB9" w:rsidP="001B3DD7">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Atkarībā no zālāja veida un stāvokļa</w:t>
      </w:r>
      <w:r w:rsidR="00A21E83" w:rsidRPr="00A07F29">
        <w:rPr>
          <w:rFonts w:ascii="Times New Roman" w:eastAsia="Calibri" w:hAnsi="Times New Roman" w:cs="Times New Roman"/>
          <w:sz w:val="24"/>
          <w:szCs w:val="24"/>
        </w:rPr>
        <w:t xml:space="preserve"> jā</w:t>
      </w:r>
      <w:r w:rsidR="00B429CE" w:rsidRPr="00A07F29">
        <w:rPr>
          <w:rFonts w:ascii="Times New Roman" w:eastAsia="Calibri" w:hAnsi="Times New Roman" w:cs="Times New Roman"/>
          <w:sz w:val="24"/>
          <w:szCs w:val="24"/>
        </w:rPr>
        <w:t>īsteno</w:t>
      </w:r>
      <w:r w:rsidR="00A21E83" w:rsidRPr="00A07F29">
        <w:rPr>
          <w:rFonts w:ascii="Times New Roman" w:eastAsia="Calibri" w:hAnsi="Times New Roman" w:cs="Times New Roman"/>
          <w:sz w:val="24"/>
          <w:szCs w:val="24"/>
        </w:rPr>
        <w:t xml:space="preserve"> atbilstoši apsaimniekošanas pasākumi: </w:t>
      </w:r>
      <w:r w:rsidR="00E04578" w:rsidRPr="00A07F29">
        <w:rPr>
          <w:rFonts w:ascii="Times New Roman" w:eastAsia="Calibri" w:hAnsi="Times New Roman" w:cs="Times New Roman"/>
          <w:sz w:val="24"/>
          <w:szCs w:val="24"/>
        </w:rPr>
        <w:t xml:space="preserve">koku un krūmu izciršana, </w:t>
      </w:r>
      <w:r w:rsidR="00A21E83" w:rsidRPr="00A07F29">
        <w:rPr>
          <w:rFonts w:ascii="Times New Roman" w:eastAsia="Calibri" w:hAnsi="Times New Roman" w:cs="Times New Roman"/>
          <w:sz w:val="24"/>
          <w:szCs w:val="24"/>
        </w:rPr>
        <w:t xml:space="preserve">atjaunojoša pļaušana un ganīšana; kūlas un sūnu novākšana; zālāja virsas – ciņu, skudru pūžņu, kurmju rakumu un mežacūku rakumu nolīdzināšana; koku un krūmu apauguma novākšana; mitruma režīma atjaunošana; augsnes auglības samazināšana; augu sastāva mērķtiecīga veidošana; ekspansīvu un </w:t>
      </w:r>
      <w:proofErr w:type="spellStart"/>
      <w:r w:rsidR="00A21E83" w:rsidRPr="00A07F29">
        <w:rPr>
          <w:rFonts w:ascii="Times New Roman" w:eastAsia="Calibri" w:hAnsi="Times New Roman" w:cs="Times New Roman"/>
          <w:sz w:val="24"/>
          <w:szCs w:val="24"/>
        </w:rPr>
        <w:t>invazīvu</w:t>
      </w:r>
      <w:proofErr w:type="spellEnd"/>
      <w:r w:rsidR="00A21E83" w:rsidRPr="00A07F29">
        <w:rPr>
          <w:rFonts w:ascii="Times New Roman" w:eastAsia="Calibri" w:hAnsi="Times New Roman" w:cs="Times New Roman"/>
          <w:sz w:val="24"/>
          <w:szCs w:val="24"/>
        </w:rPr>
        <w:t xml:space="preserve"> sugu ierobežošana.</w:t>
      </w:r>
      <w:r w:rsidR="00012385" w:rsidRPr="00A07F29">
        <w:rPr>
          <w:rFonts w:ascii="Times New Roman" w:eastAsia="Calibri" w:hAnsi="Times New Roman" w:cs="Times New Roman"/>
          <w:sz w:val="24"/>
          <w:szCs w:val="24"/>
        </w:rPr>
        <w:t xml:space="preserve"> Detāli par zālāju biotopu atjaunošanas un uzturēšanas metodēm skat</w:t>
      </w:r>
      <w:r w:rsidR="00D40301">
        <w:rPr>
          <w:rFonts w:ascii="Times New Roman" w:eastAsia="Calibri" w:hAnsi="Times New Roman" w:cs="Times New Roman"/>
          <w:sz w:val="24"/>
          <w:szCs w:val="24"/>
        </w:rPr>
        <w:t>īt</w:t>
      </w:r>
      <w:r w:rsidR="00012385" w:rsidRPr="00A07F29">
        <w:rPr>
          <w:rFonts w:ascii="Times New Roman" w:eastAsia="Calibri" w:hAnsi="Times New Roman" w:cs="Times New Roman"/>
          <w:sz w:val="24"/>
          <w:szCs w:val="24"/>
        </w:rPr>
        <w:t xml:space="preserve"> izdevuma “Aizsargājamo biotopu saglabāšanas vadlīnijas Latvijā. 3.</w:t>
      </w:r>
      <w:r w:rsidR="00156D06">
        <w:rPr>
          <w:rFonts w:ascii="Times New Roman" w:eastAsia="Calibri" w:hAnsi="Times New Roman" w:cs="Times New Roman"/>
          <w:sz w:val="24"/>
          <w:szCs w:val="24"/>
        </w:rPr>
        <w:t> </w:t>
      </w:r>
      <w:r w:rsidR="00012385" w:rsidRPr="00A07F29">
        <w:rPr>
          <w:rFonts w:ascii="Times New Roman" w:eastAsia="Calibri" w:hAnsi="Times New Roman" w:cs="Times New Roman"/>
          <w:sz w:val="24"/>
          <w:szCs w:val="24"/>
        </w:rPr>
        <w:t>sējums. Dabiskās pļavas un ganības” (2017) 4.</w:t>
      </w:r>
      <w:r w:rsidR="00156D06">
        <w:rPr>
          <w:rFonts w:ascii="Times New Roman" w:eastAsia="Calibri" w:hAnsi="Times New Roman" w:cs="Times New Roman"/>
          <w:sz w:val="24"/>
          <w:szCs w:val="24"/>
        </w:rPr>
        <w:t> </w:t>
      </w:r>
      <w:r w:rsidR="00012385" w:rsidRPr="00A07F29">
        <w:rPr>
          <w:rFonts w:ascii="Times New Roman" w:eastAsia="Calibri" w:hAnsi="Times New Roman" w:cs="Times New Roman"/>
          <w:sz w:val="24"/>
          <w:szCs w:val="24"/>
        </w:rPr>
        <w:t>nodaļā</w:t>
      </w:r>
      <w:r w:rsidR="00B4637E">
        <w:rPr>
          <w:rStyle w:val="FootnoteReference"/>
          <w:rFonts w:ascii="Times New Roman" w:eastAsia="Calibri" w:hAnsi="Times New Roman" w:cs="Times New Roman"/>
          <w:sz w:val="24"/>
          <w:szCs w:val="24"/>
        </w:rPr>
        <w:footnoteReference w:id="53"/>
      </w:r>
      <w:r w:rsidR="00012385" w:rsidRPr="00A07F29">
        <w:rPr>
          <w:rFonts w:ascii="Times New Roman" w:eastAsia="Calibri" w:hAnsi="Times New Roman" w:cs="Times New Roman"/>
          <w:sz w:val="24"/>
          <w:szCs w:val="24"/>
        </w:rPr>
        <w:t>.</w:t>
      </w:r>
    </w:p>
    <w:p w14:paraId="0A78FA6C" w14:textId="3DDA1132" w:rsidR="00A34DE6" w:rsidRPr="00A07F29" w:rsidRDefault="00A21E83" w:rsidP="001B3DD7">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Salīdzinoši ātri atjaunojas zālāji, kuros joprojām ir saglabājušās raksturīgās sugas un notiek atbilstoši ekoloģiskie procesi.</w:t>
      </w:r>
    </w:p>
    <w:p w14:paraId="4659E015" w14:textId="1C404296" w:rsidR="00A21E83" w:rsidRPr="00A07F29" w:rsidRDefault="00A21E83" w:rsidP="001B3DD7">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Pēc biotopa atjaunošanas ir jāturpina </w:t>
      </w:r>
      <w:r w:rsidR="00344F6A" w:rsidRPr="00A07F29">
        <w:rPr>
          <w:rFonts w:ascii="Times New Roman" w:eastAsia="Calibri" w:hAnsi="Times New Roman" w:cs="Times New Roman"/>
          <w:sz w:val="24"/>
          <w:szCs w:val="24"/>
        </w:rPr>
        <w:t xml:space="preserve">biotopu veidam </w:t>
      </w:r>
      <w:r w:rsidRPr="00A07F29">
        <w:rPr>
          <w:rFonts w:ascii="Times New Roman" w:eastAsia="Calibri" w:hAnsi="Times New Roman" w:cs="Times New Roman"/>
          <w:sz w:val="24"/>
          <w:szCs w:val="24"/>
        </w:rPr>
        <w:t xml:space="preserve">atbilstoša apsaimniekošana, lai uzturētu zālāju labvēlīgā stāvoklī. </w:t>
      </w:r>
    </w:p>
    <w:p w14:paraId="77B01750" w14:textId="469DD95A" w:rsidR="00661744" w:rsidRPr="00A07F29" w:rsidRDefault="00661744" w:rsidP="001B3DD7">
      <w:pPr>
        <w:spacing w:after="120" w:line="240" w:lineRule="auto"/>
        <w:ind w:firstLine="851"/>
        <w:jc w:val="both"/>
        <w:rPr>
          <w:rFonts w:ascii="Times New Roman" w:eastAsia="Times New Roman" w:hAnsi="Times New Roman" w:cs="Times New Roman"/>
          <w:bCs/>
          <w:color w:val="000000"/>
          <w:sz w:val="24"/>
          <w:szCs w:val="24"/>
          <w:lang w:eastAsia="lv-LV"/>
        </w:rPr>
      </w:pPr>
      <w:r w:rsidRPr="00A07F29">
        <w:rPr>
          <w:rFonts w:ascii="Times New Roman" w:eastAsia="Times New Roman" w:hAnsi="Times New Roman" w:cs="Times New Roman"/>
          <w:bCs/>
          <w:color w:val="000000"/>
          <w:sz w:val="24"/>
          <w:szCs w:val="24"/>
          <w:lang w:eastAsia="lv-LV"/>
        </w:rPr>
        <w:t>Aizaugošajos</w:t>
      </w:r>
      <w:r w:rsidR="00A21E83" w:rsidRPr="00A07F29">
        <w:rPr>
          <w:rFonts w:ascii="Times New Roman" w:eastAsia="Times New Roman" w:hAnsi="Times New Roman" w:cs="Times New Roman"/>
          <w:bCs/>
          <w:color w:val="000000"/>
          <w:sz w:val="24"/>
          <w:szCs w:val="24"/>
          <w:lang w:eastAsia="lv-LV"/>
        </w:rPr>
        <w:t xml:space="preserve">, ilgstoši </w:t>
      </w:r>
      <w:r w:rsidRPr="00A07F29">
        <w:rPr>
          <w:rFonts w:ascii="Times New Roman" w:eastAsia="Times New Roman" w:hAnsi="Times New Roman" w:cs="Times New Roman"/>
          <w:bCs/>
          <w:color w:val="000000"/>
          <w:sz w:val="24"/>
          <w:szCs w:val="24"/>
          <w:lang w:eastAsia="lv-LV"/>
        </w:rPr>
        <w:t>neapsaimniekotajos zālājos</w:t>
      </w:r>
      <w:r w:rsidR="00A21E83" w:rsidRPr="00A07F29">
        <w:rPr>
          <w:rFonts w:ascii="Times New Roman" w:eastAsia="Times New Roman" w:hAnsi="Times New Roman" w:cs="Times New Roman"/>
          <w:bCs/>
          <w:color w:val="000000"/>
          <w:sz w:val="24"/>
          <w:szCs w:val="24"/>
          <w:lang w:eastAsia="lv-LV"/>
        </w:rPr>
        <w:t>, pirms atjaunot pļaušanu vai ganīšanu, nepieciešama krūmu izciršana.</w:t>
      </w:r>
    </w:p>
    <w:p w14:paraId="32B034BE" w14:textId="71BE3E9C" w:rsidR="009A4E12" w:rsidRPr="00A07F29" w:rsidRDefault="009A4E12" w:rsidP="001B3DD7">
      <w:pPr>
        <w:spacing w:after="120" w:line="240" w:lineRule="auto"/>
        <w:ind w:firstLine="851"/>
        <w:jc w:val="both"/>
        <w:rPr>
          <w:rFonts w:ascii="Times New Roman" w:eastAsia="Times New Roman" w:hAnsi="Times New Roman" w:cs="Times New Roman"/>
          <w:bCs/>
          <w:color w:val="000000"/>
          <w:sz w:val="24"/>
          <w:szCs w:val="24"/>
          <w:lang w:eastAsia="lv-LV"/>
        </w:rPr>
      </w:pPr>
      <w:r w:rsidRPr="00A07F29">
        <w:rPr>
          <w:rFonts w:ascii="Times New Roman" w:eastAsia="Times New Roman" w:hAnsi="Times New Roman" w:cs="Times New Roman"/>
          <w:bCs/>
          <w:color w:val="000000"/>
          <w:sz w:val="24"/>
          <w:szCs w:val="24"/>
          <w:lang w:eastAsia="lv-LV"/>
        </w:rPr>
        <w:t xml:space="preserve">Ja ir saglabājušās daudz sauso dabisko zālāju </w:t>
      </w:r>
      <w:proofErr w:type="spellStart"/>
      <w:r w:rsidR="001B3DD7" w:rsidRPr="00A07F29">
        <w:rPr>
          <w:rFonts w:ascii="Times New Roman" w:eastAsia="Times New Roman" w:hAnsi="Times New Roman" w:cs="Times New Roman"/>
          <w:bCs/>
          <w:color w:val="000000"/>
          <w:sz w:val="24"/>
          <w:szCs w:val="24"/>
          <w:lang w:eastAsia="lv-LV"/>
        </w:rPr>
        <w:t>indikatorsugu</w:t>
      </w:r>
      <w:proofErr w:type="spellEnd"/>
      <w:r w:rsidRPr="00A07F29">
        <w:rPr>
          <w:rFonts w:ascii="Times New Roman" w:eastAsia="Times New Roman" w:hAnsi="Times New Roman" w:cs="Times New Roman"/>
          <w:bCs/>
          <w:color w:val="000000"/>
          <w:sz w:val="24"/>
          <w:szCs w:val="24"/>
          <w:lang w:eastAsia="lv-LV"/>
        </w:rPr>
        <w:t xml:space="preserve">, piemēram, klinšu </w:t>
      </w:r>
      <w:proofErr w:type="spellStart"/>
      <w:r w:rsidRPr="00A07F29">
        <w:rPr>
          <w:rFonts w:ascii="Times New Roman" w:eastAsia="Times New Roman" w:hAnsi="Times New Roman" w:cs="Times New Roman"/>
          <w:bCs/>
          <w:color w:val="000000"/>
          <w:sz w:val="24"/>
          <w:szCs w:val="24"/>
          <w:lang w:eastAsia="lv-LV"/>
        </w:rPr>
        <w:t>noraga</w:t>
      </w:r>
      <w:proofErr w:type="spellEnd"/>
      <w:r w:rsidRPr="00A07F29">
        <w:rPr>
          <w:rFonts w:ascii="Times New Roman" w:eastAsia="Times New Roman" w:hAnsi="Times New Roman" w:cs="Times New Roman"/>
          <w:b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Pimpinella</w:t>
      </w:r>
      <w:proofErr w:type="spellEnd"/>
      <w:r w:rsidRPr="00A07F29">
        <w:rPr>
          <w:rFonts w:ascii="Times New Roman" w:eastAsia="Times New Roman" w:hAnsi="Times New Roman" w:cs="Times New Roman"/>
          <w:bCs/>
          <w:i/>
          <w:i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saxifraga</w:t>
      </w:r>
      <w:proofErr w:type="spellEnd"/>
      <w:r w:rsidRPr="00A07F29">
        <w:rPr>
          <w:rFonts w:ascii="Times New Roman" w:eastAsia="Times New Roman" w:hAnsi="Times New Roman" w:cs="Times New Roman"/>
          <w:bCs/>
          <w:color w:val="000000"/>
          <w:sz w:val="24"/>
          <w:szCs w:val="24"/>
          <w:lang w:eastAsia="lv-LV"/>
        </w:rPr>
        <w:t xml:space="preserve">, ārstniecības </w:t>
      </w:r>
      <w:proofErr w:type="spellStart"/>
      <w:r w:rsidRPr="00A07F29">
        <w:rPr>
          <w:rFonts w:ascii="Times New Roman" w:eastAsia="Times New Roman" w:hAnsi="Times New Roman" w:cs="Times New Roman"/>
          <w:bCs/>
          <w:color w:val="000000"/>
          <w:sz w:val="24"/>
          <w:szCs w:val="24"/>
          <w:lang w:eastAsia="lv-LV"/>
        </w:rPr>
        <w:t>ancītis</w:t>
      </w:r>
      <w:proofErr w:type="spellEnd"/>
      <w:r w:rsidRPr="00A07F29">
        <w:rPr>
          <w:rFonts w:ascii="Times New Roman" w:eastAsia="Times New Roman" w:hAnsi="Times New Roman" w:cs="Times New Roman"/>
          <w:b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Agrimonia</w:t>
      </w:r>
      <w:proofErr w:type="spellEnd"/>
      <w:r w:rsidRPr="00A07F29">
        <w:rPr>
          <w:rFonts w:ascii="Times New Roman" w:eastAsia="Times New Roman" w:hAnsi="Times New Roman" w:cs="Times New Roman"/>
          <w:bCs/>
          <w:i/>
          <w:i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eupatoria</w:t>
      </w:r>
      <w:proofErr w:type="spellEnd"/>
      <w:r w:rsidRPr="00A07F29">
        <w:rPr>
          <w:rFonts w:ascii="Times New Roman" w:eastAsia="Times New Roman" w:hAnsi="Times New Roman" w:cs="Times New Roman"/>
          <w:bCs/>
          <w:color w:val="000000"/>
          <w:sz w:val="24"/>
          <w:szCs w:val="24"/>
          <w:lang w:eastAsia="lv-LV"/>
        </w:rPr>
        <w:t xml:space="preserve">, parastais vizulis </w:t>
      </w:r>
      <w:proofErr w:type="spellStart"/>
      <w:r w:rsidRPr="00A07F29">
        <w:rPr>
          <w:rFonts w:ascii="Times New Roman" w:eastAsia="Times New Roman" w:hAnsi="Times New Roman" w:cs="Times New Roman"/>
          <w:bCs/>
          <w:i/>
          <w:iCs/>
          <w:color w:val="000000"/>
          <w:sz w:val="24"/>
          <w:szCs w:val="24"/>
          <w:lang w:eastAsia="lv-LV"/>
        </w:rPr>
        <w:t>Briza</w:t>
      </w:r>
      <w:proofErr w:type="spellEnd"/>
      <w:r w:rsidRPr="00A07F29">
        <w:rPr>
          <w:rFonts w:ascii="Times New Roman" w:eastAsia="Times New Roman" w:hAnsi="Times New Roman" w:cs="Times New Roman"/>
          <w:bCs/>
          <w:i/>
          <w:iCs/>
          <w:color w:val="000000"/>
          <w:sz w:val="24"/>
          <w:szCs w:val="24"/>
          <w:lang w:eastAsia="lv-LV"/>
        </w:rPr>
        <w:t xml:space="preserve"> </w:t>
      </w:r>
      <w:proofErr w:type="spellStart"/>
      <w:r w:rsidRPr="00A07F29">
        <w:rPr>
          <w:rFonts w:ascii="Times New Roman" w:eastAsia="Times New Roman" w:hAnsi="Times New Roman" w:cs="Times New Roman"/>
          <w:bCs/>
          <w:i/>
          <w:iCs/>
          <w:color w:val="000000"/>
          <w:sz w:val="24"/>
          <w:szCs w:val="24"/>
          <w:lang w:eastAsia="lv-LV"/>
        </w:rPr>
        <w:t>media</w:t>
      </w:r>
      <w:proofErr w:type="spellEnd"/>
      <w:r w:rsidRPr="00A07F29">
        <w:rPr>
          <w:rFonts w:ascii="Times New Roman" w:eastAsia="Times New Roman" w:hAnsi="Times New Roman" w:cs="Times New Roman"/>
          <w:bCs/>
          <w:color w:val="000000"/>
          <w:sz w:val="24"/>
          <w:szCs w:val="24"/>
          <w:lang w:eastAsia="lv-LV"/>
        </w:rPr>
        <w:t xml:space="preserve"> u.c</w:t>
      </w:r>
      <w:r w:rsidR="00B54D48">
        <w:rPr>
          <w:rFonts w:ascii="Times New Roman" w:eastAsia="Times New Roman" w:hAnsi="Times New Roman" w:cs="Times New Roman"/>
          <w:bCs/>
          <w:color w:val="000000"/>
          <w:sz w:val="24"/>
          <w:szCs w:val="24"/>
          <w:lang w:eastAsia="lv-LV"/>
        </w:rPr>
        <w:t>.</w:t>
      </w:r>
      <w:r w:rsidRPr="00A07F29">
        <w:rPr>
          <w:rFonts w:ascii="Times New Roman" w:eastAsia="Times New Roman" w:hAnsi="Times New Roman" w:cs="Times New Roman"/>
          <w:bCs/>
          <w:color w:val="000000"/>
          <w:sz w:val="24"/>
          <w:szCs w:val="24"/>
          <w:lang w:eastAsia="lv-LV"/>
        </w:rPr>
        <w:t>, tad šeit ieteicamie apsaimniekošanas pasākumi ir atjaunot regulāru pļaušanu un/vai ganīšanu. Kā rāda pieredze, tas efektīvi ierobežos ekspansīvo sugu izplatību un relatīvi īsā laika posmā (3</w:t>
      </w:r>
      <w:r w:rsidR="003410F2">
        <w:rPr>
          <w:rFonts w:ascii="Times New Roman" w:eastAsia="Times New Roman" w:hAnsi="Times New Roman" w:cs="Times New Roman"/>
          <w:bCs/>
          <w:color w:val="000000"/>
          <w:sz w:val="24"/>
          <w:szCs w:val="24"/>
          <w:lang w:eastAsia="lv-LV"/>
        </w:rPr>
        <w:t> – </w:t>
      </w:r>
      <w:r w:rsidRPr="00A07F29">
        <w:rPr>
          <w:rFonts w:ascii="Times New Roman" w:eastAsia="Times New Roman" w:hAnsi="Times New Roman" w:cs="Times New Roman"/>
          <w:bCs/>
          <w:color w:val="000000"/>
          <w:sz w:val="24"/>
          <w:szCs w:val="24"/>
          <w:lang w:eastAsia="lv-LV"/>
        </w:rPr>
        <w:t>5</w:t>
      </w:r>
      <w:r w:rsidR="003410F2">
        <w:rPr>
          <w:rFonts w:ascii="Times New Roman" w:eastAsia="Times New Roman" w:hAnsi="Times New Roman" w:cs="Times New Roman"/>
          <w:bCs/>
          <w:color w:val="000000"/>
          <w:sz w:val="24"/>
          <w:szCs w:val="24"/>
          <w:lang w:eastAsia="lv-LV"/>
        </w:rPr>
        <w:t> </w:t>
      </w:r>
      <w:r w:rsidRPr="00A07F29">
        <w:rPr>
          <w:rFonts w:ascii="Times New Roman" w:eastAsia="Times New Roman" w:hAnsi="Times New Roman" w:cs="Times New Roman"/>
          <w:bCs/>
          <w:color w:val="000000"/>
          <w:sz w:val="24"/>
          <w:szCs w:val="24"/>
          <w:lang w:eastAsia="lv-LV"/>
        </w:rPr>
        <w:t>gadi) ievērojami uzlabos biotopam raksturīgo sugu sastāvu un kopējo zālāja kvalitāti.</w:t>
      </w:r>
    </w:p>
    <w:p w14:paraId="7209C277" w14:textId="10B2C831" w:rsidR="00A21E83" w:rsidRPr="00A07F29" w:rsidRDefault="00A21E83" w:rsidP="001B3DD7">
      <w:pPr>
        <w:spacing w:after="120" w:line="240" w:lineRule="auto"/>
        <w:ind w:firstLine="851"/>
        <w:jc w:val="both"/>
        <w:rPr>
          <w:rFonts w:ascii="Times New Roman" w:eastAsia="Times New Roman" w:hAnsi="Times New Roman" w:cs="Times New Roman"/>
          <w:bCs/>
          <w:color w:val="000000"/>
          <w:sz w:val="24"/>
          <w:szCs w:val="24"/>
          <w:lang w:eastAsia="lv-LV"/>
        </w:rPr>
      </w:pPr>
      <w:r w:rsidRPr="00A07F29">
        <w:rPr>
          <w:rFonts w:ascii="Times New Roman" w:eastAsia="Times New Roman" w:hAnsi="Times New Roman" w:cs="Times New Roman"/>
          <w:bCs/>
          <w:color w:val="000000"/>
          <w:sz w:val="24"/>
          <w:szCs w:val="24"/>
          <w:lang w:eastAsia="lv-LV"/>
        </w:rPr>
        <w:t xml:space="preserve">Atjaunojot zālāju, gadiem uzkrātu kūlas slāni var iznīcināt dedzinot, taču tas ir vienreizējs pasākums zālāja apsaimniekošanu atsākot un nav atkārtojams katru gadu. </w:t>
      </w:r>
    </w:p>
    <w:p w14:paraId="2FF3551C" w14:textId="1CB7A95C" w:rsidR="00AF6EC5" w:rsidRPr="00A07F29" w:rsidRDefault="00A21E83" w:rsidP="001B3DD7">
      <w:pPr>
        <w:keepNext/>
        <w:spacing w:before="240" w:after="120" w:line="240" w:lineRule="auto"/>
        <w:jc w:val="both"/>
        <w:rPr>
          <w:rFonts w:ascii="Times New Roman" w:eastAsia="Calibri" w:hAnsi="Times New Roman" w:cs="Times New Roman"/>
          <w:b/>
          <w:i/>
          <w:sz w:val="24"/>
          <w:szCs w:val="24"/>
        </w:rPr>
      </w:pPr>
      <w:r w:rsidRPr="00A07F29">
        <w:rPr>
          <w:rFonts w:ascii="Times New Roman" w:eastAsia="Calibri" w:hAnsi="Times New Roman" w:cs="Times New Roman"/>
          <w:b/>
          <w:i/>
          <w:sz w:val="24"/>
          <w:szCs w:val="24"/>
        </w:rPr>
        <w:lastRenderedPageBreak/>
        <w:t>B.2.</w:t>
      </w:r>
      <w:r w:rsidR="00344F6A" w:rsidRPr="00A07F29">
        <w:rPr>
          <w:rFonts w:ascii="Times New Roman" w:eastAsia="Calibri" w:hAnsi="Times New Roman" w:cs="Times New Roman"/>
          <w:b/>
          <w:i/>
          <w:sz w:val="24"/>
          <w:szCs w:val="24"/>
        </w:rPr>
        <w:t>2</w:t>
      </w:r>
      <w:r w:rsidRPr="00A07F29">
        <w:rPr>
          <w:rFonts w:ascii="Times New Roman" w:eastAsia="Calibri" w:hAnsi="Times New Roman" w:cs="Times New Roman"/>
          <w:b/>
          <w:i/>
          <w:sz w:val="24"/>
          <w:szCs w:val="24"/>
        </w:rPr>
        <w:t xml:space="preserve">. </w:t>
      </w:r>
      <w:r w:rsidR="00AF6EC5" w:rsidRPr="00A07F29">
        <w:rPr>
          <w:rFonts w:ascii="Times New Roman" w:eastAsia="Calibri" w:hAnsi="Times New Roman" w:cs="Times New Roman"/>
          <w:b/>
          <w:i/>
          <w:sz w:val="24"/>
          <w:szCs w:val="24"/>
        </w:rPr>
        <w:t xml:space="preserve">Potenciālo aizsargājamo zālāju biotopu </w:t>
      </w:r>
      <w:r w:rsidR="00344F6A" w:rsidRPr="00A07F29">
        <w:rPr>
          <w:rFonts w:ascii="Times New Roman" w:eastAsia="Calibri" w:hAnsi="Times New Roman" w:cs="Times New Roman"/>
          <w:b/>
          <w:i/>
          <w:sz w:val="24"/>
          <w:szCs w:val="24"/>
        </w:rPr>
        <w:t xml:space="preserve">un vēsturisko zālāju </w:t>
      </w:r>
      <w:r w:rsidR="00AF6EC5" w:rsidRPr="00A07F29">
        <w:rPr>
          <w:rFonts w:ascii="Times New Roman" w:eastAsia="Calibri" w:hAnsi="Times New Roman" w:cs="Times New Roman"/>
          <w:b/>
          <w:i/>
          <w:sz w:val="24"/>
          <w:szCs w:val="24"/>
        </w:rPr>
        <w:t>apsaimniekošana</w:t>
      </w:r>
    </w:p>
    <w:p w14:paraId="50FEC858" w14:textId="55B45AA1" w:rsidR="00E112E6" w:rsidRPr="00A07F29" w:rsidRDefault="00924C65" w:rsidP="0001238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Nokartētie potenciālie aizsargājamie zālāju biotopi</w:t>
      </w:r>
      <w:r w:rsidR="00AD5175" w:rsidRPr="00A07F29">
        <w:rPr>
          <w:rFonts w:ascii="Times New Roman" w:eastAsia="Calibri" w:hAnsi="Times New Roman" w:cs="Times New Roman"/>
          <w:sz w:val="24"/>
          <w:szCs w:val="24"/>
        </w:rPr>
        <w:t xml:space="preserve"> un citi vēsturiskie zālāji</w:t>
      </w:r>
      <w:r w:rsidR="00E112E6" w:rsidRPr="00A07F29">
        <w:rPr>
          <w:rFonts w:ascii="Times New Roman" w:eastAsia="Calibri" w:hAnsi="Times New Roman" w:cs="Times New Roman"/>
          <w:sz w:val="24"/>
          <w:szCs w:val="24"/>
        </w:rPr>
        <w:t>, kurus atbilstoši apsaimniekojot, ir sagaidāma to sugu daudzveidības palielināšanās</w:t>
      </w:r>
      <w:r w:rsidR="00487FF6" w:rsidRPr="00A07F29">
        <w:rPr>
          <w:rFonts w:ascii="Times New Roman" w:eastAsia="Calibri" w:hAnsi="Times New Roman" w:cs="Times New Roman"/>
          <w:sz w:val="24"/>
          <w:szCs w:val="24"/>
        </w:rPr>
        <w:t xml:space="preserve">, </w:t>
      </w:r>
      <w:r w:rsidR="00E112E6" w:rsidRPr="00A07F29">
        <w:rPr>
          <w:rFonts w:ascii="Times New Roman" w:eastAsia="Calibri" w:hAnsi="Times New Roman" w:cs="Times New Roman"/>
          <w:sz w:val="24"/>
          <w:szCs w:val="24"/>
        </w:rPr>
        <w:t>kvalitātes uzlabošanās</w:t>
      </w:r>
      <w:r w:rsidR="00487FF6" w:rsidRPr="00A07F29">
        <w:rPr>
          <w:rFonts w:ascii="Times New Roman" w:eastAsia="Calibri" w:hAnsi="Times New Roman" w:cs="Times New Roman"/>
          <w:sz w:val="24"/>
          <w:szCs w:val="24"/>
        </w:rPr>
        <w:t xml:space="preserve"> un aizsargājamajiem zālāju biotopiem atbilstošo kritēriju sasniegšana</w:t>
      </w:r>
      <w:r w:rsidR="00E112E6" w:rsidRPr="00A07F29">
        <w:rPr>
          <w:rFonts w:ascii="Times New Roman" w:eastAsia="Calibri" w:hAnsi="Times New Roman" w:cs="Times New Roman"/>
          <w:sz w:val="24"/>
          <w:szCs w:val="24"/>
        </w:rPr>
        <w:t xml:space="preserve">, aizņem </w:t>
      </w:r>
      <w:r w:rsidR="00AD5175" w:rsidRPr="00A07F29">
        <w:rPr>
          <w:rFonts w:ascii="Times New Roman" w:eastAsia="Calibri" w:hAnsi="Times New Roman" w:cs="Times New Roman"/>
          <w:sz w:val="24"/>
          <w:szCs w:val="24"/>
        </w:rPr>
        <w:t>216 </w:t>
      </w:r>
      <w:r w:rsidR="00E112E6" w:rsidRPr="00A07F29">
        <w:rPr>
          <w:rFonts w:ascii="Times New Roman" w:eastAsia="Calibri" w:hAnsi="Times New Roman" w:cs="Times New Roman"/>
          <w:sz w:val="24"/>
          <w:szCs w:val="24"/>
        </w:rPr>
        <w:t>ha</w:t>
      </w:r>
      <w:r w:rsidR="00AD5175" w:rsidRPr="00A07F29">
        <w:rPr>
          <w:rFonts w:ascii="Times New Roman" w:eastAsia="Calibri" w:hAnsi="Times New Roman" w:cs="Times New Roman"/>
          <w:sz w:val="24"/>
          <w:szCs w:val="24"/>
        </w:rPr>
        <w:t xml:space="preserve"> (</w:t>
      </w:r>
      <w:r w:rsidR="00484267">
        <w:rPr>
          <w:rFonts w:ascii="Times New Roman" w:eastAsia="Calibri" w:hAnsi="Times New Roman" w:cs="Times New Roman"/>
          <w:sz w:val="24"/>
          <w:szCs w:val="24"/>
        </w:rPr>
        <w:t xml:space="preserve">skat. </w:t>
      </w:r>
      <w:r w:rsidR="00AD5175" w:rsidRPr="00A07F29">
        <w:rPr>
          <w:rFonts w:ascii="Times New Roman" w:eastAsia="Calibri" w:hAnsi="Times New Roman" w:cs="Times New Roman"/>
          <w:sz w:val="24"/>
          <w:szCs w:val="24"/>
        </w:rPr>
        <w:t>5.1.1.</w:t>
      </w:r>
      <w:r w:rsidR="00484267">
        <w:rPr>
          <w:rFonts w:ascii="Times New Roman" w:eastAsia="Calibri" w:hAnsi="Times New Roman" w:cs="Times New Roman"/>
          <w:sz w:val="24"/>
          <w:szCs w:val="24"/>
        </w:rPr>
        <w:t> </w:t>
      </w:r>
      <w:r w:rsidR="009B7DF1">
        <w:rPr>
          <w:rFonts w:ascii="Times New Roman" w:eastAsia="Calibri" w:hAnsi="Times New Roman" w:cs="Times New Roman"/>
          <w:sz w:val="24"/>
          <w:szCs w:val="24"/>
        </w:rPr>
        <w:t>un 5.1.1a. </w:t>
      </w:r>
      <w:r w:rsidR="00AD5175" w:rsidRPr="00A07F29">
        <w:rPr>
          <w:rFonts w:ascii="Times New Roman" w:eastAsia="Calibri" w:hAnsi="Times New Roman" w:cs="Times New Roman"/>
          <w:sz w:val="24"/>
          <w:szCs w:val="24"/>
        </w:rPr>
        <w:t>pielikums).</w:t>
      </w:r>
    </w:p>
    <w:p w14:paraId="1314AC7E" w14:textId="7E592C12" w:rsidR="00E112E6" w:rsidRPr="00A07F29" w:rsidRDefault="00E112E6" w:rsidP="0001238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Šie zālāji </w:t>
      </w:r>
      <w:r w:rsidR="00487FF6" w:rsidRPr="00A07F29">
        <w:rPr>
          <w:rFonts w:ascii="Times New Roman" w:eastAsia="Calibri" w:hAnsi="Times New Roman" w:cs="Times New Roman"/>
          <w:sz w:val="24"/>
          <w:szCs w:val="24"/>
        </w:rPr>
        <w:t xml:space="preserve">ir </w:t>
      </w:r>
      <w:r w:rsidRPr="00A07F29">
        <w:rPr>
          <w:rFonts w:ascii="Times New Roman" w:eastAsia="Calibri" w:hAnsi="Times New Roman" w:cs="Times New Roman"/>
          <w:sz w:val="24"/>
          <w:szCs w:val="24"/>
        </w:rPr>
        <w:t xml:space="preserve">apsaimniekojami līdzīgi kā </w:t>
      </w:r>
      <w:r w:rsidR="00487FF6" w:rsidRPr="00A07F29">
        <w:rPr>
          <w:rFonts w:ascii="Times New Roman" w:eastAsia="Calibri" w:hAnsi="Times New Roman" w:cs="Times New Roman"/>
          <w:sz w:val="24"/>
          <w:szCs w:val="24"/>
        </w:rPr>
        <w:t>aizsargājamie zālāju biotopi – pļaujot reizi sezonā ar siena novākšanu vai noganot. Konkrētajam zālājam piemērotāko apsaimniekošanu izvēlas atbilstoši zālāja augšanas apstākļiem un apsaimniekošanas rezultātā sagaidāmajam aizsargājamā zālāju biotopa veidam (skat. pasākuma B.2.1.</w:t>
      </w:r>
      <w:r w:rsidR="00AB1AAE">
        <w:rPr>
          <w:rFonts w:ascii="Times New Roman" w:eastAsia="Calibri" w:hAnsi="Times New Roman" w:cs="Times New Roman"/>
          <w:sz w:val="24"/>
          <w:szCs w:val="24"/>
        </w:rPr>
        <w:t> </w:t>
      </w:r>
      <w:r w:rsidR="00487FF6" w:rsidRPr="00A07F29">
        <w:rPr>
          <w:rFonts w:ascii="Times New Roman" w:eastAsia="Calibri" w:hAnsi="Times New Roman" w:cs="Times New Roman"/>
          <w:sz w:val="24"/>
          <w:szCs w:val="24"/>
        </w:rPr>
        <w:t>aprakstu).</w:t>
      </w:r>
    </w:p>
    <w:p w14:paraId="5AC35FDC" w14:textId="5A5050CD" w:rsidR="00487FF6" w:rsidRPr="00A07F29" w:rsidRDefault="00A21E83" w:rsidP="00487FF6">
      <w:pPr>
        <w:keepNext/>
        <w:spacing w:before="240" w:after="120" w:line="240" w:lineRule="auto"/>
        <w:jc w:val="both"/>
        <w:rPr>
          <w:rFonts w:ascii="Times New Roman" w:eastAsia="Calibri" w:hAnsi="Times New Roman" w:cs="Times New Roman"/>
          <w:b/>
          <w:i/>
          <w:sz w:val="24"/>
          <w:szCs w:val="24"/>
        </w:rPr>
      </w:pPr>
      <w:r w:rsidRPr="00A07F29">
        <w:rPr>
          <w:rFonts w:ascii="Times New Roman" w:eastAsia="Calibri" w:hAnsi="Times New Roman" w:cs="Times New Roman"/>
          <w:b/>
          <w:i/>
          <w:sz w:val="24"/>
          <w:szCs w:val="24"/>
        </w:rPr>
        <w:t>B.2.</w:t>
      </w:r>
      <w:r w:rsidR="00463854" w:rsidRPr="00A07F29">
        <w:rPr>
          <w:rFonts w:ascii="Times New Roman" w:eastAsia="Calibri" w:hAnsi="Times New Roman" w:cs="Times New Roman"/>
          <w:b/>
          <w:i/>
          <w:sz w:val="24"/>
          <w:szCs w:val="24"/>
        </w:rPr>
        <w:t>3</w:t>
      </w:r>
      <w:r w:rsidRPr="00A07F29">
        <w:rPr>
          <w:rFonts w:ascii="Times New Roman" w:eastAsia="Calibri" w:hAnsi="Times New Roman" w:cs="Times New Roman"/>
          <w:b/>
          <w:i/>
          <w:sz w:val="24"/>
          <w:szCs w:val="24"/>
        </w:rPr>
        <w:t xml:space="preserve">. </w:t>
      </w:r>
      <w:r w:rsidR="00487FF6" w:rsidRPr="00A07F29">
        <w:rPr>
          <w:rFonts w:ascii="Times New Roman" w:eastAsia="Calibri" w:hAnsi="Times New Roman" w:cs="Times New Roman"/>
          <w:b/>
          <w:i/>
          <w:sz w:val="24"/>
          <w:szCs w:val="24"/>
        </w:rPr>
        <w:t>Vēsturisko zālāju atjaunošana un apsaimniekošana</w:t>
      </w:r>
    </w:p>
    <w:p w14:paraId="21DF67E5" w14:textId="4976E246" w:rsidR="00A21E83" w:rsidRPr="00A07F29" w:rsidRDefault="00924C65" w:rsidP="00487FF6">
      <w:pPr>
        <w:spacing w:before="120"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AAA “Augšdaugava”</w:t>
      </w:r>
      <w:r w:rsidR="00A21E83" w:rsidRPr="00A07F29">
        <w:rPr>
          <w:rFonts w:ascii="Times New Roman" w:eastAsia="Calibri" w:hAnsi="Times New Roman" w:cs="Times New Roman"/>
          <w:sz w:val="24"/>
          <w:szCs w:val="24"/>
        </w:rPr>
        <w:t xml:space="preserve"> iespējams palielināt zālāju īpatsvaru, atjaunojot </w:t>
      </w:r>
      <w:r w:rsidR="00C95C0E" w:rsidRPr="00A07F29">
        <w:rPr>
          <w:rFonts w:ascii="Times New Roman" w:eastAsia="Calibri" w:hAnsi="Times New Roman" w:cs="Times New Roman"/>
          <w:sz w:val="24"/>
          <w:szCs w:val="24"/>
        </w:rPr>
        <w:t xml:space="preserve">pašlaik neapsaimniekotos </w:t>
      </w:r>
      <w:r w:rsidR="00A21E83" w:rsidRPr="00A07F29">
        <w:rPr>
          <w:rFonts w:ascii="Times New Roman" w:eastAsia="Calibri" w:hAnsi="Times New Roman" w:cs="Times New Roman"/>
          <w:sz w:val="24"/>
          <w:szCs w:val="24"/>
        </w:rPr>
        <w:t xml:space="preserve">vēsturiskos zālājus, kas teritorijā aizņem kopumā </w:t>
      </w:r>
      <w:r w:rsidR="006D1827" w:rsidRPr="00A07F29">
        <w:rPr>
          <w:rFonts w:ascii="Times New Roman" w:eastAsia="Calibri" w:hAnsi="Times New Roman" w:cs="Times New Roman"/>
          <w:sz w:val="24"/>
          <w:szCs w:val="24"/>
        </w:rPr>
        <w:t>2</w:t>
      </w:r>
      <w:r w:rsidR="00AD5175" w:rsidRPr="00A07F29">
        <w:rPr>
          <w:rFonts w:ascii="Times New Roman" w:eastAsia="Calibri" w:hAnsi="Times New Roman" w:cs="Times New Roman"/>
          <w:sz w:val="24"/>
          <w:szCs w:val="24"/>
        </w:rPr>
        <w:t>73</w:t>
      </w:r>
      <w:r w:rsidR="008A7E66">
        <w:rPr>
          <w:rFonts w:ascii="Times New Roman" w:eastAsia="Calibri" w:hAnsi="Times New Roman" w:cs="Times New Roman"/>
          <w:sz w:val="24"/>
          <w:szCs w:val="24"/>
        </w:rPr>
        <w:t> </w:t>
      </w:r>
      <w:r w:rsidR="00A21E83" w:rsidRPr="00A07F29">
        <w:rPr>
          <w:rFonts w:ascii="Times New Roman" w:eastAsia="Calibri" w:hAnsi="Times New Roman" w:cs="Times New Roman"/>
          <w:sz w:val="24"/>
          <w:szCs w:val="24"/>
        </w:rPr>
        <w:t>ha</w:t>
      </w:r>
      <w:r w:rsidR="00C95C0E" w:rsidRPr="00A07F29">
        <w:rPr>
          <w:rFonts w:ascii="Times New Roman" w:eastAsia="Calibri" w:hAnsi="Times New Roman" w:cs="Times New Roman"/>
          <w:sz w:val="24"/>
          <w:szCs w:val="24"/>
        </w:rPr>
        <w:t xml:space="preserve"> (</w:t>
      </w:r>
      <w:r w:rsidR="008A7E66">
        <w:rPr>
          <w:rFonts w:ascii="Times New Roman" w:eastAsia="Calibri" w:hAnsi="Times New Roman" w:cs="Times New Roman"/>
          <w:sz w:val="24"/>
          <w:szCs w:val="24"/>
        </w:rPr>
        <w:t xml:space="preserve">skat. </w:t>
      </w:r>
      <w:r w:rsidR="006D1827" w:rsidRPr="00A07F29">
        <w:rPr>
          <w:rFonts w:ascii="Times New Roman" w:eastAsia="Calibri" w:hAnsi="Times New Roman" w:cs="Times New Roman"/>
          <w:sz w:val="24"/>
          <w:szCs w:val="24"/>
        </w:rPr>
        <w:t>5.1.1.</w:t>
      </w:r>
      <w:r w:rsidR="009B7DF1">
        <w:rPr>
          <w:rFonts w:ascii="Times New Roman" w:eastAsia="Calibri" w:hAnsi="Times New Roman" w:cs="Times New Roman"/>
          <w:sz w:val="24"/>
          <w:szCs w:val="24"/>
        </w:rPr>
        <w:t xml:space="preserve"> un 5.1.1a.</w:t>
      </w:r>
      <w:r w:rsidR="006D1827" w:rsidRPr="00A07F29">
        <w:rPr>
          <w:rFonts w:ascii="Times New Roman" w:eastAsia="Calibri" w:hAnsi="Times New Roman" w:cs="Times New Roman"/>
          <w:sz w:val="24"/>
          <w:szCs w:val="24"/>
        </w:rPr>
        <w:t> </w:t>
      </w:r>
      <w:r w:rsidR="00C95C0E" w:rsidRPr="00A07F29">
        <w:rPr>
          <w:rFonts w:ascii="Times New Roman" w:eastAsia="Calibri" w:hAnsi="Times New Roman" w:cs="Times New Roman"/>
          <w:sz w:val="24"/>
          <w:szCs w:val="24"/>
        </w:rPr>
        <w:t>pielikums).</w:t>
      </w:r>
    </w:p>
    <w:p w14:paraId="70E54D07" w14:textId="7233B688" w:rsidR="00DF65BA" w:rsidRPr="00A07F29" w:rsidRDefault="00924C65" w:rsidP="007F20B5">
      <w:pPr>
        <w:spacing w:before="120" w:after="0" w:line="240" w:lineRule="auto"/>
        <w:ind w:firstLine="851"/>
        <w:jc w:val="both"/>
        <w:rPr>
          <w:rFonts w:ascii="Times New Roman" w:eastAsia="Calibri" w:hAnsi="Times New Roman" w:cs="Times New Roman"/>
          <w:sz w:val="24"/>
          <w:szCs w:val="24"/>
          <w:highlight w:val="yellow"/>
        </w:rPr>
      </w:pPr>
      <w:r w:rsidRPr="00A07F29">
        <w:rPr>
          <w:rFonts w:ascii="Times New Roman" w:eastAsia="Calibri" w:hAnsi="Times New Roman" w:cs="Times New Roman"/>
          <w:sz w:val="24"/>
          <w:szCs w:val="24"/>
        </w:rPr>
        <w:t>Neapsaimniekotajos zālājos veicama koku un kūmu izciršana</w:t>
      </w:r>
      <w:r w:rsidR="00C95C0E" w:rsidRPr="00A07F29">
        <w:rPr>
          <w:rFonts w:ascii="Times New Roman" w:eastAsia="Calibri" w:hAnsi="Times New Roman" w:cs="Times New Roman"/>
          <w:sz w:val="24"/>
          <w:szCs w:val="24"/>
        </w:rPr>
        <w:t xml:space="preserve">, atjaunojoša pļaušana, noganīšana, kā arī </w:t>
      </w:r>
      <w:r w:rsidRPr="00A07F29">
        <w:rPr>
          <w:rFonts w:ascii="Times New Roman" w:eastAsia="Calibri" w:hAnsi="Times New Roman" w:cs="Times New Roman"/>
          <w:sz w:val="24"/>
          <w:szCs w:val="24"/>
        </w:rPr>
        <w:t>specifiski pasākumi, kas veicina aizsargājamā zālāju biotopa veidošanos. Detāli par zālāju biotopu atjaunošanas un uzturēšanas metodēm skat</w:t>
      </w:r>
      <w:r w:rsidR="008A7E66">
        <w:rPr>
          <w:rFonts w:ascii="Times New Roman" w:eastAsia="Calibri" w:hAnsi="Times New Roman" w:cs="Times New Roman"/>
          <w:sz w:val="24"/>
          <w:szCs w:val="24"/>
        </w:rPr>
        <w:t>īt</w:t>
      </w:r>
      <w:r w:rsidRPr="00A07F29">
        <w:rPr>
          <w:rFonts w:ascii="Times New Roman" w:eastAsia="Calibri" w:hAnsi="Times New Roman" w:cs="Times New Roman"/>
          <w:sz w:val="24"/>
          <w:szCs w:val="24"/>
        </w:rPr>
        <w:t xml:space="preserve"> izdevuma “Aizsargājamo biotopu saglabāšanas vadlīnijas Latvijā. 3.</w:t>
      </w:r>
      <w:r w:rsidR="00852CF2">
        <w:rPr>
          <w:rFonts w:ascii="Times New Roman" w:eastAsia="Calibri" w:hAnsi="Times New Roman" w:cs="Times New Roman"/>
          <w:sz w:val="24"/>
          <w:szCs w:val="24"/>
        </w:rPr>
        <w:t> </w:t>
      </w:r>
      <w:r w:rsidRPr="00A07F29">
        <w:rPr>
          <w:rFonts w:ascii="Times New Roman" w:eastAsia="Calibri" w:hAnsi="Times New Roman" w:cs="Times New Roman"/>
          <w:sz w:val="24"/>
          <w:szCs w:val="24"/>
        </w:rPr>
        <w:t>sējums. Dabiskās pļavas un ganības” (2017) 4.</w:t>
      </w:r>
      <w:r w:rsidR="00852CF2">
        <w:rPr>
          <w:rFonts w:ascii="Times New Roman" w:eastAsia="Calibri" w:hAnsi="Times New Roman" w:cs="Times New Roman"/>
          <w:sz w:val="24"/>
          <w:szCs w:val="24"/>
        </w:rPr>
        <w:t> </w:t>
      </w:r>
      <w:r w:rsidRPr="00A07F29">
        <w:rPr>
          <w:rFonts w:ascii="Times New Roman" w:eastAsia="Calibri" w:hAnsi="Times New Roman" w:cs="Times New Roman"/>
          <w:sz w:val="24"/>
          <w:szCs w:val="24"/>
        </w:rPr>
        <w:t>nodaļā</w:t>
      </w:r>
      <w:r w:rsidR="00852CF2">
        <w:rPr>
          <w:rStyle w:val="FootnoteReference"/>
          <w:rFonts w:ascii="Times New Roman" w:eastAsia="Calibri" w:hAnsi="Times New Roman" w:cs="Times New Roman"/>
          <w:sz w:val="24"/>
          <w:szCs w:val="24"/>
        </w:rPr>
        <w:footnoteReference w:id="54"/>
      </w:r>
      <w:r w:rsidRPr="00A07F29">
        <w:rPr>
          <w:rFonts w:ascii="Times New Roman" w:eastAsia="Calibri" w:hAnsi="Times New Roman" w:cs="Times New Roman"/>
          <w:sz w:val="24"/>
          <w:szCs w:val="24"/>
        </w:rPr>
        <w:t>.</w:t>
      </w:r>
    </w:p>
    <w:p w14:paraId="32CF589C" w14:textId="77777777" w:rsidR="007F20B5" w:rsidRPr="00A07F29" w:rsidRDefault="007F20B5" w:rsidP="007F20B5">
      <w:pPr>
        <w:spacing w:after="0" w:line="240" w:lineRule="auto"/>
        <w:jc w:val="both"/>
        <w:rPr>
          <w:rFonts w:ascii="Times New Roman" w:eastAsia="Calibri" w:hAnsi="Times New Roman" w:cs="Times New Roman"/>
          <w:sz w:val="24"/>
          <w:szCs w:val="24"/>
        </w:rPr>
      </w:pPr>
    </w:p>
    <w:p w14:paraId="4E76A40C" w14:textId="0DC64787" w:rsidR="00A21E83" w:rsidRPr="00A07F29" w:rsidRDefault="00BA7898" w:rsidP="00B12739">
      <w:pPr>
        <w:spacing w:before="240" w:after="0" w:line="240" w:lineRule="auto"/>
        <w:jc w:val="both"/>
        <w:rPr>
          <w:rFonts w:ascii="Times New Roman" w:eastAsia="Calibri" w:hAnsi="Times New Roman" w:cs="Calibri"/>
          <w:b/>
          <w:bCs/>
          <w:iCs/>
          <w:sz w:val="24"/>
          <w:lang w:eastAsia="ja-JP"/>
        </w:rPr>
      </w:pPr>
      <w:r w:rsidRPr="00A07F29">
        <w:rPr>
          <w:rFonts w:ascii="Times New Roman" w:eastAsia="Calibri" w:hAnsi="Times New Roman" w:cs="Calibri"/>
          <w:b/>
          <w:sz w:val="24"/>
          <w:lang w:eastAsia="ja-JP"/>
        </w:rPr>
        <w:t xml:space="preserve">B.3. Saglabāt </w:t>
      </w:r>
      <w:r w:rsidR="00AD5175" w:rsidRPr="00A07F29">
        <w:rPr>
          <w:rFonts w:ascii="Times New Roman" w:eastAsia="Calibri" w:hAnsi="Times New Roman" w:cs="Calibri"/>
          <w:b/>
          <w:sz w:val="24"/>
          <w:lang w:eastAsia="ja-JP"/>
        </w:rPr>
        <w:t>71</w:t>
      </w:r>
      <w:r w:rsidR="00BD6277">
        <w:rPr>
          <w:rFonts w:ascii="Times New Roman" w:eastAsia="Calibri" w:hAnsi="Times New Roman" w:cs="Calibri"/>
          <w:b/>
          <w:sz w:val="24"/>
          <w:lang w:eastAsia="ja-JP"/>
        </w:rPr>
        <w:t> </w:t>
      </w:r>
      <w:r w:rsidRPr="00A07F29">
        <w:rPr>
          <w:rFonts w:ascii="Times New Roman" w:eastAsia="Calibri" w:hAnsi="Times New Roman" w:cs="Calibri"/>
          <w:b/>
          <w:sz w:val="24"/>
          <w:lang w:eastAsia="ja-JP"/>
        </w:rPr>
        <w:t xml:space="preserve">ha ES nozīmes purvu biotopu, t.sk. uzlabot biotopa kvalitāti </w:t>
      </w:r>
      <w:r w:rsidR="00F03A3A" w:rsidRPr="00A07F29">
        <w:rPr>
          <w:rFonts w:ascii="Times New Roman" w:eastAsia="Calibri" w:hAnsi="Times New Roman" w:cs="Calibri"/>
          <w:b/>
          <w:sz w:val="24"/>
          <w:lang w:eastAsia="ja-JP"/>
        </w:rPr>
        <w:t>1,37</w:t>
      </w:r>
      <w:r w:rsidR="00BD6277">
        <w:rPr>
          <w:rFonts w:ascii="Times New Roman" w:eastAsia="Calibri" w:hAnsi="Times New Roman" w:cs="Calibri"/>
          <w:b/>
          <w:sz w:val="24"/>
          <w:lang w:eastAsia="ja-JP"/>
        </w:rPr>
        <w:t> </w:t>
      </w:r>
      <w:r w:rsidR="00DD7395" w:rsidRPr="00A07F29">
        <w:rPr>
          <w:rFonts w:ascii="Times New Roman" w:eastAsia="Calibri" w:hAnsi="Times New Roman" w:cs="Calibri"/>
          <w:b/>
          <w:sz w:val="24"/>
          <w:lang w:eastAsia="ja-JP"/>
        </w:rPr>
        <w:t>ha</w:t>
      </w:r>
    </w:p>
    <w:p w14:paraId="679EA50F" w14:textId="73BC5621" w:rsidR="00B12739" w:rsidRPr="00A07F29" w:rsidRDefault="00B12739" w:rsidP="00B12739">
      <w:pPr>
        <w:keepNext/>
        <w:spacing w:before="120" w:after="120" w:line="240" w:lineRule="auto"/>
        <w:jc w:val="both"/>
        <w:rPr>
          <w:rFonts w:ascii="Times New Roman" w:eastAsia="Calibri" w:hAnsi="Times New Roman" w:cs="Times New Roman"/>
          <w:b/>
          <w:i/>
          <w:sz w:val="24"/>
          <w:szCs w:val="24"/>
        </w:rPr>
      </w:pPr>
      <w:r w:rsidRPr="00A07F29">
        <w:rPr>
          <w:rFonts w:ascii="Times New Roman" w:eastAsia="Calibri" w:hAnsi="Times New Roman" w:cs="Times New Roman"/>
          <w:b/>
          <w:i/>
          <w:sz w:val="24"/>
          <w:szCs w:val="24"/>
        </w:rPr>
        <w:t>B.3.1. Biotopa 7140</w:t>
      </w:r>
      <w:r w:rsidR="0061469F">
        <w:rPr>
          <w:rFonts w:ascii="Times New Roman" w:eastAsia="Calibri" w:hAnsi="Times New Roman" w:cs="Times New Roman"/>
          <w:b/>
          <w:i/>
          <w:sz w:val="24"/>
          <w:szCs w:val="24"/>
        </w:rPr>
        <w:t> </w:t>
      </w:r>
      <w:r w:rsidRPr="00A07F29">
        <w:rPr>
          <w:rFonts w:ascii="Times New Roman" w:eastAsia="Calibri" w:hAnsi="Times New Roman" w:cs="Times New Roman"/>
          <w:b/>
          <w:i/>
          <w:sz w:val="24"/>
          <w:szCs w:val="24"/>
        </w:rPr>
        <w:t>Pārejas purvi un slīkšņas kvalitātes uzlabošana</w:t>
      </w:r>
    </w:p>
    <w:p w14:paraId="0015E276" w14:textId="77777777" w:rsidR="00B12739" w:rsidRPr="00A07F29" w:rsidRDefault="007F20B5" w:rsidP="00B12739">
      <w:pPr>
        <w:spacing w:before="120" w:after="0" w:line="240" w:lineRule="auto"/>
        <w:ind w:firstLine="851"/>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Bebru darbības ietekmē ir appludināts pārejas purvs uz D</w:t>
      </w:r>
      <w:r w:rsidR="00B12739" w:rsidRPr="00A07F29">
        <w:rPr>
          <w:rFonts w:ascii="Times New Roman" w:eastAsia="Calibri" w:hAnsi="Times New Roman" w:cs="Calibri"/>
          <w:sz w:val="24"/>
          <w:lang w:eastAsia="ja-JP"/>
        </w:rPr>
        <w:t>R</w:t>
      </w:r>
      <w:r w:rsidRPr="00A07F29">
        <w:rPr>
          <w:rFonts w:ascii="Times New Roman" w:eastAsia="Calibri" w:hAnsi="Times New Roman" w:cs="Calibri"/>
          <w:sz w:val="24"/>
          <w:lang w:eastAsia="ja-JP"/>
        </w:rPr>
        <w:t xml:space="preserve"> no Ceplīšiem, kur </w:t>
      </w:r>
      <w:r w:rsidR="00B12739" w:rsidRPr="00A07F29">
        <w:rPr>
          <w:rFonts w:ascii="Times New Roman" w:eastAsia="Calibri" w:hAnsi="Times New Roman" w:cs="Calibri"/>
          <w:sz w:val="24"/>
          <w:lang w:eastAsia="ja-JP"/>
        </w:rPr>
        <w:t xml:space="preserve">ir </w:t>
      </w:r>
      <w:r w:rsidRPr="00A07F29">
        <w:rPr>
          <w:rFonts w:ascii="Times New Roman" w:eastAsia="Calibri" w:hAnsi="Times New Roman" w:cs="Calibri"/>
          <w:sz w:val="24"/>
          <w:lang w:eastAsia="ja-JP"/>
        </w:rPr>
        <w:t xml:space="preserve">zināma dzeltenās akmeņlauzītes </w:t>
      </w:r>
      <w:proofErr w:type="spellStart"/>
      <w:r w:rsidRPr="00A07F29">
        <w:rPr>
          <w:rFonts w:ascii="Times New Roman" w:eastAsia="Calibri" w:hAnsi="Times New Roman" w:cs="Calibri"/>
          <w:i/>
          <w:iCs/>
          <w:sz w:val="24"/>
          <w:lang w:eastAsia="ja-JP"/>
        </w:rPr>
        <w:t>Saxifraga</w:t>
      </w:r>
      <w:proofErr w:type="spellEnd"/>
      <w:r w:rsidRPr="00A07F29">
        <w:rPr>
          <w:rFonts w:ascii="Times New Roman" w:eastAsia="Calibri" w:hAnsi="Times New Roman" w:cs="Calibri"/>
          <w:i/>
          <w:iCs/>
          <w:sz w:val="24"/>
          <w:lang w:eastAsia="ja-JP"/>
        </w:rPr>
        <w:t xml:space="preserve"> </w:t>
      </w:r>
      <w:proofErr w:type="spellStart"/>
      <w:r w:rsidRPr="00A07F29">
        <w:rPr>
          <w:rFonts w:ascii="Times New Roman" w:eastAsia="Calibri" w:hAnsi="Times New Roman" w:cs="Calibri"/>
          <w:i/>
          <w:iCs/>
          <w:sz w:val="24"/>
          <w:lang w:eastAsia="ja-JP"/>
        </w:rPr>
        <w:t>hirculus</w:t>
      </w:r>
      <w:proofErr w:type="spellEnd"/>
      <w:r w:rsidRPr="00A07F29">
        <w:rPr>
          <w:rFonts w:ascii="Times New Roman" w:eastAsia="Calibri" w:hAnsi="Times New Roman" w:cs="Calibri"/>
          <w:sz w:val="24"/>
          <w:lang w:eastAsia="ja-JP"/>
        </w:rPr>
        <w:t xml:space="preserve"> atradne</w:t>
      </w:r>
      <w:r w:rsidR="00B12739" w:rsidRPr="00A07F29">
        <w:rPr>
          <w:rFonts w:ascii="Times New Roman" w:eastAsia="Calibri" w:hAnsi="Times New Roman" w:cs="Calibri"/>
          <w:sz w:val="24"/>
          <w:lang w:eastAsia="ja-JP"/>
        </w:rPr>
        <w:t>, kā arī purvs aizaug ar niedrēm.</w:t>
      </w:r>
    </w:p>
    <w:p w14:paraId="3DD1C14F" w14:textId="36D7CD3E" w:rsidR="004C07C4" w:rsidRPr="00A07F29" w:rsidRDefault="00B12739" w:rsidP="00494008">
      <w:pPr>
        <w:spacing w:before="120" w:after="0" w:line="240" w:lineRule="auto"/>
        <w:ind w:firstLine="851"/>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Lai atjaunotu dabisko ūdens līmeni, nojaucami bebru dambji uz purvam cauri tekoš</w:t>
      </w:r>
      <w:r w:rsidR="004C07C4" w:rsidRPr="00A07F29">
        <w:rPr>
          <w:rFonts w:ascii="Times New Roman" w:eastAsia="Calibri" w:hAnsi="Times New Roman" w:cs="Calibri"/>
          <w:sz w:val="24"/>
          <w:lang w:eastAsia="ja-JP"/>
        </w:rPr>
        <w:t xml:space="preserve">ā strauta. Regulāri </w:t>
      </w:r>
      <w:r w:rsidR="00494008" w:rsidRPr="00A07F29">
        <w:rPr>
          <w:rFonts w:ascii="Times New Roman" w:eastAsia="Calibri" w:hAnsi="Times New Roman" w:cs="Calibri"/>
          <w:sz w:val="24"/>
          <w:lang w:eastAsia="ja-JP"/>
        </w:rPr>
        <w:t xml:space="preserve">jāseko </w:t>
      </w:r>
      <w:r w:rsidR="004C07C4" w:rsidRPr="00A07F29">
        <w:rPr>
          <w:rFonts w:ascii="Times New Roman" w:eastAsia="Calibri" w:hAnsi="Times New Roman" w:cs="Calibri"/>
          <w:sz w:val="24"/>
          <w:lang w:eastAsia="ja-JP"/>
        </w:rPr>
        <w:t xml:space="preserve">līdzi situācijai purvā un nepieciešamības gadījumā </w:t>
      </w:r>
      <w:r w:rsidR="00494008" w:rsidRPr="00A07F29">
        <w:rPr>
          <w:rFonts w:ascii="Times New Roman" w:eastAsia="Calibri" w:hAnsi="Times New Roman" w:cs="Calibri"/>
          <w:sz w:val="24"/>
          <w:lang w:eastAsia="ja-JP"/>
        </w:rPr>
        <w:t>jā</w:t>
      </w:r>
      <w:r w:rsidR="004C07C4" w:rsidRPr="00A07F29">
        <w:rPr>
          <w:rFonts w:ascii="Times New Roman" w:eastAsia="Calibri" w:hAnsi="Times New Roman" w:cs="Calibri"/>
          <w:sz w:val="24"/>
          <w:lang w:eastAsia="ja-JP"/>
        </w:rPr>
        <w:t>veic atkārtota bebru dambju nojaukšana.</w:t>
      </w:r>
    </w:p>
    <w:p w14:paraId="774FE797" w14:textId="2486EEBA" w:rsidR="004C07C4" w:rsidRPr="00A07F29" w:rsidRDefault="004C07C4" w:rsidP="004C07C4">
      <w:pPr>
        <w:spacing w:before="120" w:after="0" w:line="240" w:lineRule="auto"/>
        <w:ind w:firstLine="851"/>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Lai ierobežotu bebru darbību, veicamas bebru medības to apdzīvotajās teritorijās purv</w:t>
      </w:r>
      <w:r w:rsidR="000D5013" w:rsidRPr="00A07F29">
        <w:rPr>
          <w:rFonts w:ascii="Times New Roman" w:eastAsia="Calibri" w:hAnsi="Times New Roman" w:cs="Calibri"/>
          <w:sz w:val="24"/>
          <w:lang w:eastAsia="ja-JP"/>
        </w:rPr>
        <w:t xml:space="preserve">ā un tā </w:t>
      </w:r>
      <w:r w:rsidRPr="00A07F29">
        <w:rPr>
          <w:rFonts w:ascii="Times New Roman" w:eastAsia="Calibri" w:hAnsi="Times New Roman" w:cs="Calibri"/>
          <w:sz w:val="24"/>
          <w:lang w:eastAsia="ja-JP"/>
        </w:rPr>
        <w:t>apkārtnē.</w:t>
      </w:r>
    </w:p>
    <w:p w14:paraId="351CDE3B" w14:textId="0B95E7DF" w:rsidR="00F15A75" w:rsidRPr="00A07F29" w:rsidRDefault="004C07C4" w:rsidP="00B12739">
      <w:pPr>
        <w:spacing w:before="120" w:after="0" w:line="240" w:lineRule="auto"/>
        <w:ind w:firstLine="851"/>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V</w:t>
      </w:r>
      <w:r w:rsidR="00F15A75" w:rsidRPr="00A07F29">
        <w:rPr>
          <w:rFonts w:ascii="Times New Roman" w:eastAsia="Calibri" w:hAnsi="Times New Roman" w:cs="Calibri"/>
          <w:sz w:val="24"/>
          <w:lang w:eastAsia="ja-JP"/>
        </w:rPr>
        <w:t>eicama arī niedru pļaušana. Nopļautās niedres izvācamas no purva.</w:t>
      </w:r>
      <w:r w:rsidRPr="00A07F29">
        <w:rPr>
          <w:rFonts w:ascii="Times New Roman" w:eastAsia="Calibri" w:hAnsi="Times New Roman" w:cs="Calibri"/>
          <w:sz w:val="24"/>
          <w:lang w:eastAsia="ja-JP"/>
        </w:rPr>
        <w:t xml:space="preserve"> </w:t>
      </w:r>
      <w:r w:rsidR="00F15A75" w:rsidRPr="00A07F29">
        <w:rPr>
          <w:rFonts w:ascii="Times New Roman" w:eastAsia="Calibri" w:hAnsi="Times New Roman" w:cs="Calibri"/>
          <w:sz w:val="24"/>
          <w:lang w:eastAsia="ja-JP"/>
        </w:rPr>
        <w:t>Pasākums atkārtojams pēc nepieciešamības, līdz tiek samazināta niedres ekspansija un augāju veido biotopam ra</w:t>
      </w:r>
      <w:r w:rsidR="004D6EAB">
        <w:rPr>
          <w:rFonts w:ascii="Times New Roman" w:eastAsia="Calibri" w:hAnsi="Times New Roman" w:cs="Calibri"/>
          <w:sz w:val="24"/>
          <w:lang w:eastAsia="ja-JP"/>
        </w:rPr>
        <w:t>ks</w:t>
      </w:r>
      <w:r w:rsidR="00F15A75" w:rsidRPr="00A07F29">
        <w:rPr>
          <w:rFonts w:ascii="Times New Roman" w:eastAsia="Calibri" w:hAnsi="Times New Roman" w:cs="Calibri"/>
          <w:sz w:val="24"/>
          <w:lang w:eastAsia="ja-JP"/>
        </w:rPr>
        <w:t>turīgās un tipiskās sugas.</w:t>
      </w:r>
    </w:p>
    <w:p w14:paraId="69900FE8" w14:textId="240CBB55" w:rsidR="00FB4AE4" w:rsidRPr="00A07F29" w:rsidRDefault="00FB4AE4" w:rsidP="00B12739">
      <w:pPr>
        <w:spacing w:before="120" w:after="0" w:line="240" w:lineRule="auto"/>
        <w:ind w:firstLine="851"/>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Nepieciešamības gadījumā ūdens līmeņa normalizēšana un niedru pļaušana veicama arī citās biotopa 7140</w:t>
      </w:r>
      <w:r w:rsidR="004D6EAB">
        <w:rPr>
          <w:rFonts w:ascii="Times New Roman" w:eastAsia="Calibri" w:hAnsi="Times New Roman" w:cs="Calibri"/>
          <w:sz w:val="24"/>
          <w:lang w:eastAsia="ja-JP"/>
        </w:rPr>
        <w:t> </w:t>
      </w:r>
      <w:r w:rsidRPr="00A07F29">
        <w:rPr>
          <w:rFonts w:ascii="Times New Roman" w:eastAsia="Calibri" w:hAnsi="Times New Roman" w:cs="Calibri"/>
          <w:i/>
          <w:sz w:val="24"/>
          <w:lang w:eastAsia="ja-JP"/>
        </w:rPr>
        <w:t>Pārejas purvi un slīkšņas</w:t>
      </w:r>
      <w:r w:rsidRPr="00A07F29">
        <w:rPr>
          <w:rFonts w:ascii="Times New Roman" w:eastAsia="Calibri" w:hAnsi="Times New Roman" w:cs="Calibri"/>
          <w:sz w:val="24"/>
          <w:lang w:eastAsia="ja-JP"/>
        </w:rPr>
        <w:t xml:space="preserve"> teri</w:t>
      </w:r>
      <w:r w:rsidR="00CD2A93" w:rsidRPr="00A07F29">
        <w:rPr>
          <w:rFonts w:ascii="Times New Roman" w:eastAsia="Calibri" w:hAnsi="Times New Roman" w:cs="Calibri"/>
          <w:sz w:val="24"/>
          <w:lang w:eastAsia="ja-JP"/>
        </w:rPr>
        <w:t>t</w:t>
      </w:r>
      <w:r w:rsidRPr="00A07F29">
        <w:rPr>
          <w:rFonts w:ascii="Times New Roman" w:eastAsia="Calibri" w:hAnsi="Times New Roman" w:cs="Calibri"/>
          <w:sz w:val="24"/>
          <w:lang w:eastAsia="ja-JP"/>
        </w:rPr>
        <w:t>orijās.</w:t>
      </w:r>
    </w:p>
    <w:p w14:paraId="76968876" w14:textId="7726D439" w:rsidR="004C07C4" w:rsidRPr="00A07F29" w:rsidRDefault="00F03A3A" w:rsidP="00EA08AF">
      <w:pPr>
        <w:spacing w:before="120" w:after="0" w:line="240" w:lineRule="auto"/>
        <w:jc w:val="center"/>
        <w:rPr>
          <w:rFonts w:ascii="Times New Roman" w:eastAsia="Calibri" w:hAnsi="Times New Roman" w:cs="Calibri"/>
          <w:sz w:val="24"/>
          <w:lang w:eastAsia="ja-JP"/>
        </w:rPr>
      </w:pPr>
      <w:r w:rsidRPr="00A07F29">
        <w:rPr>
          <w:noProof/>
          <w:lang w:eastAsia="lv-LV"/>
        </w:rPr>
        <w:lastRenderedPageBreak/>
        <w:drawing>
          <wp:inline distT="0" distB="0" distL="0" distR="0" wp14:anchorId="13376B05" wp14:editId="1C6DA338">
            <wp:extent cx="5731510" cy="4051935"/>
            <wp:effectExtent l="0" t="0" r="2540" b="571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pic:nvPicPr>
                  <pic:blipFill>
                    <a:blip r:embed="rId108">
                      <a:extLst>
                        <a:ext uri="{28A0092B-C50C-407E-A947-70E740481C1C}">
                          <a14:useLocalDpi xmlns:a14="http://schemas.microsoft.com/office/drawing/2010/main" val="0"/>
                        </a:ext>
                      </a:extLst>
                    </a:blip>
                    <a:stretch>
                      <a:fillRect/>
                    </a:stretch>
                  </pic:blipFill>
                  <pic:spPr>
                    <a:xfrm>
                      <a:off x="0" y="0"/>
                      <a:ext cx="5731510" cy="4051935"/>
                    </a:xfrm>
                    <a:prstGeom prst="rect">
                      <a:avLst/>
                    </a:prstGeom>
                  </pic:spPr>
                </pic:pic>
              </a:graphicData>
            </a:graphic>
          </wp:inline>
        </w:drawing>
      </w:r>
    </w:p>
    <w:p w14:paraId="27A88937" w14:textId="5A262FC5" w:rsidR="00F03A3A" w:rsidRPr="006C0137" w:rsidRDefault="00F03A3A" w:rsidP="0538F1F0">
      <w:pPr>
        <w:spacing w:before="120" w:after="0" w:line="240" w:lineRule="auto"/>
        <w:jc w:val="both"/>
        <w:rPr>
          <w:rFonts w:ascii="Times New Roman" w:eastAsia="Calibri" w:hAnsi="Times New Roman" w:cs="Calibri"/>
          <w:sz w:val="20"/>
          <w:szCs w:val="20"/>
          <w:lang w:eastAsia="ja-JP"/>
        </w:rPr>
      </w:pPr>
      <w:r w:rsidRPr="006C0137">
        <w:rPr>
          <w:rFonts w:ascii="Times New Roman" w:eastAsia="Calibri" w:hAnsi="Times New Roman" w:cs="Calibri"/>
          <w:sz w:val="20"/>
          <w:szCs w:val="20"/>
          <w:lang w:eastAsia="ja-JP"/>
        </w:rPr>
        <w:t>5.3.</w:t>
      </w:r>
      <w:r w:rsidR="006C0137" w:rsidRPr="006C0137">
        <w:rPr>
          <w:rFonts w:ascii="Times New Roman" w:eastAsia="Calibri" w:hAnsi="Times New Roman" w:cs="Calibri"/>
          <w:sz w:val="20"/>
          <w:szCs w:val="20"/>
          <w:lang w:eastAsia="ja-JP"/>
        </w:rPr>
        <w:t>10</w:t>
      </w:r>
      <w:r w:rsidRPr="006C0137">
        <w:rPr>
          <w:rFonts w:ascii="Times New Roman" w:eastAsia="Calibri" w:hAnsi="Times New Roman" w:cs="Calibri"/>
          <w:sz w:val="20"/>
          <w:szCs w:val="20"/>
          <w:lang w:eastAsia="ja-JP"/>
        </w:rPr>
        <w:t>.</w:t>
      </w:r>
      <w:r w:rsidR="006C0137" w:rsidRPr="006C0137">
        <w:rPr>
          <w:rFonts w:ascii="Times New Roman" w:eastAsia="Calibri" w:hAnsi="Times New Roman" w:cs="Calibri"/>
          <w:sz w:val="20"/>
          <w:szCs w:val="20"/>
          <w:lang w:eastAsia="ja-JP"/>
        </w:rPr>
        <w:t> </w:t>
      </w:r>
      <w:r w:rsidRPr="006C0137">
        <w:rPr>
          <w:rFonts w:ascii="Times New Roman" w:eastAsia="Calibri" w:hAnsi="Times New Roman" w:cs="Calibri"/>
          <w:sz w:val="20"/>
          <w:szCs w:val="20"/>
          <w:lang w:eastAsia="ja-JP"/>
        </w:rPr>
        <w:t xml:space="preserve">attēls. </w:t>
      </w:r>
      <w:r w:rsidR="00EA08AF" w:rsidRPr="006C0137">
        <w:rPr>
          <w:rFonts w:ascii="Times New Roman" w:eastAsia="Calibri" w:hAnsi="Times New Roman" w:cs="Calibri"/>
          <w:sz w:val="20"/>
          <w:szCs w:val="20"/>
          <w:lang w:eastAsia="ja-JP"/>
        </w:rPr>
        <w:t xml:space="preserve">Biotopa 7140 </w:t>
      </w:r>
      <w:r w:rsidRPr="006C0137">
        <w:rPr>
          <w:rFonts w:ascii="Times New Roman" w:eastAsia="Calibri" w:hAnsi="Times New Roman" w:cs="Calibri"/>
          <w:i/>
          <w:sz w:val="20"/>
          <w:szCs w:val="20"/>
          <w:lang w:eastAsia="ja-JP"/>
        </w:rPr>
        <w:t>Pārejas purv</w:t>
      </w:r>
      <w:r w:rsidR="00EA08AF" w:rsidRPr="006C0137">
        <w:rPr>
          <w:rFonts w:ascii="Times New Roman" w:eastAsia="Calibri" w:hAnsi="Times New Roman" w:cs="Calibri"/>
          <w:i/>
          <w:sz w:val="20"/>
          <w:szCs w:val="20"/>
          <w:lang w:eastAsia="ja-JP"/>
        </w:rPr>
        <w:t>i un slīkšņas</w:t>
      </w:r>
      <w:r w:rsidR="00EA08AF" w:rsidRPr="006C0137">
        <w:rPr>
          <w:rFonts w:ascii="Times New Roman" w:eastAsia="Calibri" w:hAnsi="Times New Roman" w:cs="Calibri"/>
          <w:sz w:val="20"/>
          <w:szCs w:val="20"/>
          <w:lang w:eastAsia="ja-JP"/>
        </w:rPr>
        <w:t xml:space="preserve"> </w:t>
      </w:r>
      <w:r w:rsidRPr="006C0137">
        <w:rPr>
          <w:rFonts w:ascii="Times New Roman" w:eastAsia="Calibri" w:hAnsi="Times New Roman" w:cs="Calibri"/>
          <w:sz w:val="20"/>
          <w:szCs w:val="20"/>
          <w:lang w:eastAsia="ja-JP"/>
        </w:rPr>
        <w:t xml:space="preserve">kvalitātes uzlabošana </w:t>
      </w:r>
      <w:r w:rsidR="00EA08AF" w:rsidRPr="006C0137">
        <w:rPr>
          <w:rFonts w:ascii="Times New Roman" w:eastAsia="Calibri" w:hAnsi="Times New Roman" w:cs="Calibri"/>
          <w:sz w:val="20"/>
          <w:szCs w:val="20"/>
          <w:lang w:eastAsia="ja-JP"/>
        </w:rPr>
        <w:t>pie Ceplīšiem.</w:t>
      </w:r>
    </w:p>
    <w:p w14:paraId="1C668487" w14:textId="77777777" w:rsidR="00EA08AF" w:rsidRPr="00A07F29" w:rsidRDefault="00EA08AF" w:rsidP="0538F1F0">
      <w:pPr>
        <w:spacing w:before="120" w:after="0" w:line="240" w:lineRule="auto"/>
        <w:jc w:val="both"/>
        <w:rPr>
          <w:rFonts w:ascii="Times New Roman" w:eastAsia="Calibri" w:hAnsi="Times New Roman" w:cs="Calibri"/>
          <w:b/>
          <w:sz w:val="24"/>
          <w:lang w:eastAsia="ja-JP"/>
        </w:rPr>
      </w:pPr>
    </w:p>
    <w:p w14:paraId="1EEBA813" w14:textId="505B75BD" w:rsidR="00A21E83" w:rsidRPr="00A07F29" w:rsidRDefault="00BA7898" w:rsidP="0538F1F0">
      <w:pPr>
        <w:spacing w:before="120" w:after="0" w:line="240" w:lineRule="auto"/>
        <w:jc w:val="both"/>
        <w:rPr>
          <w:rFonts w:ascii="Times New Roman" w:eastAsia="Calibri" w:hAnsi="Times New Roman" w:cs="Calibri"/>
          <w:b/>
          <w:bCs/>
          <w:i/>
          <w:iCs/>
          <w:sz w:val="24"/>
          <w:szCs w:val="24"/>
          <w:lang w:eastAsia="ja-JP"/>
        </w:rPr>
      </w:pPr>
      <w:r w:rsidRPr="00A07F29">
        <w:rPr>
          <w:rFonts w:ascii="Times New Roman" w:eastAsia="Calibri" w:hAnsi="Times New Roman" w:cs="Calibri"/>
          <w:b/>
          <w:sz w:val="24"/>
          <w:lang w:eastAsia="ja-JP"/>
        </w:rPr>
        <w:t xml:space="preserve">B.4. Saglabāt </w:t>
      </w:r>
      <w:r w:rsidR="00AD5175" w:rsidRPr="00A07F29">
        <w:rPr>
          <w:rFonts w:ascii="Times New Roman" w:eastAsia="Calibri" w:hAnsi="Times New Roman" w:cs="Calibri"/>
          <w:b/>
          <w:sz w:val="24"/>
          <w:lang w:eastAsia="ja-JP"/>
        </w:rPr>
        <w:t>1677</w:t>
      </w:r>
      <w:r w:rsidR="006C0137">
        <w:rPr>
          <w:rFonts w:ascii="Times New Roman" w:eastAsia="Calibri" w:hAnsi="Times New Roman" w:cs="Calibri"/>
          <w:b/>
          <w:sz w:val="24"/>
          <w:lang w:eastAsia="ja-JP"/>
        </w:rPr>
        <w:t> </w:t>
      </w:r>
      <w:r w:rsidRPr="00A07F29">
        <w:rPr>
          <w:rFonts w:ascii="Times New Roman" w:eastAsia="Calibri" w:hAnsi="Times New Roman" w:cs="Calibri"/>
          <w:b/>
          <w:sz w:val="24"/>
          <w:lang w:eastAsia="ja-JP"/>
        </w:rPr>
        <w:t>ha ES nozīmes meža biotopu</w:t>
      </w:r>
    </w:p>
    <w:p w14:paraId="40B61334" w14:textId="4E8B2FE8" w:rsidR="00CA51AF" w:rsidRPr="00A07F29" w:rsidRDefault="00A21E83" w:rsidP="00A21E83">
      <w:pPr>
        <w:spacing w:before="120" w:after="0" w:line="240" w:lineRule="auto"/>
        <w:jc w:val="both"/>
        <w:rPr>
          <w:rFonts w:ascii="Times New Roman" w:eastAsia="Calibri" w:hAnsi="Times New Roman" w:cs="Calibri"/>
          <w:b/>
          <w:i/>
          <w:sz w:val="24"/>
          <w:lang w:eastAsia="ja-JP"/>
        </w:rPr>
      </w:pPr>
      <w:r w:rsidRPr="00A07F29">
        <w:rPr>
          <w:rFonts w:ascii="Times New Roman" w:eastAsia="Calibri" w:hAnsi="Times New Roman" w:cs="Calibri"/>
          <w:b/>
          <w:i/>
          <w:sz w:val="24"/>
          <w:lang w:eastAsia="ja-JP"/>
        </w:rPr>
        <w:t xml:space="preserve">B.4.1. </w:t>
      </w:r>
      <w:r w:rsidR="000D5013" w:rsidRPr="00A07F29">
        <w:rPr>
          <w:rFonts w:ascii="Times New Roman" w:eastAsia="Calibri" w:hAnsi="Times New Roman" w:cs="Calibri"/>
          <w:b/>
          <w:i/>
          <w:sz w:val="24"/>
          <w:lang w:eastAsia="ja-JP"/>
        </w:rPr>
        <w:t>Neiejaukšanās ES nozīmes biotopu dabiskā attīstībā</w:t>
      </w:r>
    </w:p>
    <w:p w14:paraId="799AB74D" w14:textId="56B102F4" w:rsidR="009777B4" w:rsidRPr="00A07F29" w:rsidRDefault="009777B4" w:rsidP="00DC3810">
      <w:pPr>
        <w:spacing w:before="120" w:after="0" w:line="240" w:lineRule="auto"/>
        <w:ind w:firstLine="851"/>
        <w:jc w:val="both"/>
        <w:rPr>
          <w:rFonts w:ascii="Times New Roman" w:eastAsia="Calibri" w:hAnsi="Times New Roman" w:cs="Calibri"/>
          <w:sz w:val="24"/>
          <w:szCs w:val="24"/>
          <w:lang w:eastAsia="ja-JP"/>
        </w:rPr>
      </w:pPr>
      <w:r w:rsidRPr="00A07F29">
        <w:rPr>
          <w:rFonts w:ascii="Times New Roman" w:eastAsia="Calibri" w:hAnsi="Times New Roman" w:cs="Calibri"/>
          <w:sz w:val="24"/>
          <w:szCs w:val="24"/>
          <w:lang w:eastAsia="ja-JP"/>
        </w:rPr>
        <w:t>ES nozīmes meža biotopos nepieciešams nodrošināt meža dabisku att</w:t>
      </w:r>
      <w:r w:rsidR="009D4B49">
        <w:rPr>
          <w:rFonts w:ascii="Times New Roman" w:eastAsia="Calibri" w:hAnsi="Times New Roman" w:cs="Calibri"/>
          <w:sz w:val="24"/>
          <w:szCs w:val="24"/>
          <w:lang w:eastAsia="ja-JP"/>
        </w:rPr>
        <w:t>ī</w:t>
      </w:r>
      <w:r w:rsidRPr="00A07F29">
        <w:rPr>
          <w:rFonts w:ascii="Times New Roman" w:eastAsia="Calibri" w:hAnsi="Times New Roman" w:cs="Calibri"/>
          <w:sz w:val="24"/>
          <w:szCs w:val="24"/>
          <w:lang w:eastAsia="ja-JP"/>
        </w:rPr>
        <w:t xml:space="preserve">stību, kas sekmēs biotopu kvalitātes saglabāšanos un uzlabošanos, tostarp mirušās koksnes daudzuma palielināšanos. Tās ir teritorijas </w:t>
      </w:r>
      <w:r w:rsidR="00DC3810" w:rsidRPr="00A07F29">
        <w:rPr>
          <w:rFonts w:ascii="Times New Roman" w:eastAsia="Calibri" w:hAnsi="Times New Roman" w:cs="Calibri"/>
          <w:sz w:val="24"/>
          <w:szCs w:val="24"/>
          <w:lang w:eastAsia="ja-JP"/>
        </w:rPr>
        <w:t xml:space="preserve">Lazdukalna upītes, </w:t>
      </w:r>
      <w:proofErr w:type="spellStart"/>
      <w:r w:rsidR="00DC3810" w:rsidRPr="00A07F29">
        <w:rPr>
          <w:rFonts w:ascii="Times New Roman" w:eastAsia="Calibri" w:hAnsi="Times New Roman" w:cs="Calibri"/>
          <w:sz w:val="24"/>
          <w:szCs w:val="24"/>
          <w:lang w:eastAsia="ja-JP"/>
        </w:rPr>
        <w:t>Rudņas</w:t>
      </w:r>
      <w:proofErr w:type="spellEnd"/>
      <w:r w:rsidR="00DC3810" w:rsidRPr="00A07F29">
        <w:rPr>
          <w:rFonts w:ascii="Times New Roman" w:eastAsia="Calibri" w:hAnsi="Times New Roman" w:cs="Calibri"/>
          <w:sz w:val="24"/>
          <w:szCs w:val="24"/>
          <w:lang w:eastAsia="ja-JP"/>
        </w:rPr>
        <w:t xml:space="preserve">, </w:t>
      </w:r>
      <w:proofErr w:type="spellStart"/>
      <w:r w:rsidR="00DC3810" w:rsidRPr="00A07F29">
        <w:rPr>
          <w:rFonts w:ascii="Times New Roman" w:eastAsia="Calibri" w:hAnsi="Times New Roman" w:cs="Calibri"/>
          <w:sz w:val="24"/>
          <w:szCs w:val="24"/>
          <w:lang w:eastAsia="ja-JP"/>
        </w:rPr>
        <w:t>Poguļankas</w:t>
      </w:r>
      <w:proofErr w:type="spellEnd"/>
      <w:r w:rsidR="00DC3810" w:rsidRPr="00A07F29">
        <w:rPr>
          <w:rFonts w:ascii="Times New Roman" w:eastAsia="Calibri" w:hAnsi="Times New Roman" w:cs="Calibri"/>
          <w:sz w:val="24"/>
          <w:szCs w:val="24"/>
          <w:lang w:eastAsia="ja-JP"/>
        </w:rPr>
        <w:t xml:space="preserve"> krastos, Sproģu gravās</w:t>
      </w:r>
      <w:r w:rsidRPr="00A07F29">
        <w:rPr>
          <w:rFonts w:ascii="Times New Roman" w:eastAsia="Calibri" w:hAnsi="Times New Roman" w:cs="Calibri"/>
          <w:sz w:val="24"/>
          <w:szCs w:val="24"/>
          <w:lang w:eastAsia="ja-JP"/>
        </w:rPr>
        <w:t>, kā arī pārējie konstatētie ES nozīmes meža biotopi</w:t>
      </w:r>
      <w:r w:rsidR="00CD2A93" w:rsidRPr="00A07F29">
        <w:rPr>
          <w:rFonts w:ascii="Times New Roman" w:eastAsia="Calibri" w:hAnsi="Times New Roman" w:cs="Calibri"/>
          <w:sz w:val="24"/>
          <w:szCs w:val="24"/>
          <w:lang w:eastAsia="ja-JP"/>
        </w:rPr>
        <w:t xml:space="preserve"> (</w:t>
      </w:r>
      <w:r w:rsidR="009D4B49">
        <w:rPr>
          <w:rFonts w:ascii="Times New Roman" w:eastAsia="Calibri" w:hAnsi="Times New Roman" w:cs="Calibri"/>
          <w:sz w:val="24"/>
          <w:szCs w:val="24"/>
          <w:lang w:eastAsia="ja-JP"/>
        </w:rPr>
        <w:t xml:space="preserve">skat. </w:t>
      </w:r>
      <w:r w:rsidR="00EA08AF" w:rsidRPr="00A07F29">
        <w:rPr>
          <w:rFonts w:ascii="Times New Roman" w:eastAsia="Calibri" w:hAnsi="Times New Roman" w:cs="Calibri"/>
          <w:sz w:val="24"/>
          <w:szCs w:val="24"/>
          <w:lang w:eastAsia="ja-JP"/>
        </w:rPr>
        <w:t>5.1.1.</w:t>
      </w:r>
      <w:r w:rsidR="009B7DF1">
        <w:rPr>
          <w:rFonts w:ascii="Times New Roman" w:eastAsia="Calibri" w:hAnsi="Times New Roman" w:cs="Calibri"/>
          <w:sz w:val="24"/>
          <w:szCs w:val="24"/>
          <w:lang w:eastAsia="ja-JP"/>
        </w:rPr>
        <w:t xml:space="preserve"> un 5.1.1a.</w:t>
      </w:r>
      <w:r w:rsidR="009D4B49">
        <w:rPr>
          <w:rFonts w:ascii="Times New Roman" w:eastAsia="Calibri" w:hAnsi="Times New Roman" w:cs="Calibri"/>
          <w:sz w:val="24"/>
          <w:szCs w:val="24"/>
          <w:lang w:eastAsia="ja-JP"/>
        </w:rPr>
        <w:t> </w:t>
      </w:r>
      <w:r w:rsidR="00CD2A93" w:rsidRPr="00A07F29">
        <w:rPr>
          <w:rFonts w:ascii="Times New Roman" w:eastAsia="Calibri" w:hAnsi="Times New Roman" w:cs="Calibri"/>
          <w:sz w:val="24"/>
          <w:szCs w:val="24"/>
          <w:lang w:eastAsia="ja-JP"/>
        </w:rPr>
        <w:t>pielikums)</w:t>
      </w:r>
      <w:r w:rsidRPr="00A07F29">
        <w:rPr>
          <w:rFonts w:ascii="Times New Roman" w:eastAsia="Calibri" w:hAnsi="Times New Roman" w:cs="Calibri"/>
          <w:sz w:val="24"/>
          <w:szCs w:val="24"/>
          <w:lang w:eastAsia="ja-JP"/>
        </w:rPr>
        <w:t>.</w:t>
      </w:r>
    </w:p>
    <w:p w14:paraId="37F450C6" w14:textId="77777777" w:rsidR="0020442F" w:rsidRPr="00A07F29" w:rsidRDefault="0020442F" w:rsidP="00DC3810">
      <w:pPr>
        <w:spacing w:before="120" w:after="0" w:line="240" w:lineRule="auto"/>
        <w:ind w:firstLine="851"/>
        <w:jc w:val="both"/>
        <w:rPr>
          <w:rFonts w:ascii="Times New Roman" w:eastAsia="Calibri" w:hAnsi="Times New Roman" w:cs="Calibri"/>
          <w:sz w:val="24"/>
          <w:szCs w:val="24"/>
          <w:lang w:eastAsia="ja-JP"/>
        </w:rPr>
      </w:pPr>
    </w:p>
    <w:p w14:paraId="20B26841" w14:textId="2BDDFE03" w:rsidR="00A21E83" w:rsidRPr="00A07F29" w:rsidRDefault="00A21E83" w:rsidP="009B590B">
      <w:pPr>
        <w:spacing w:before="120" w:after="120" w:line="240" w:lineRule="auto"/>
        <w:jc w:val="both"/>
        <w:rPr>
          <w:rFonts w:ascii="Times New Roman" w:eastAsia="Calibri" w:hAnsi="Times New Roman" w:cs="Calibri"/>
          <w:b/>
          <w:bCs/>
          <w:iCs/>
          <w:sz w:val="24"/>
          <w:lang w:eastAsia="ja-JP"/>
        </w:rPr>
      </w:pPr>
      <w:r w:rsidRPr="00A07F29">
        <w:rPr>
          <w:rFonts w:ascii="Times New Roman" w:eastAsia="Calibri" w:hAnsi="Times New Roman" w:cs="Calibri"/>
          <w:b/>
          <w:bCs/>
          <w:iCs/>
          <w:sz w:val="24"/>
          <w:lang w:eastAsia="ja-JP"/>
        </w:rPr>
        <w:t xml:space="preserve">B.5. </w:t>
      </w:r>
      <w:r w:rsidR="00831470" w:rsidRPr="00A07F29">
        <w:rPr>
          <w:rFonts w:ascii="Times New Roman" w:eastAsia="Calibri" w:hAnsi="Times New Roman" w:cs="Calibri"/>
          <w:b/>
          <w:bCs/>
          <w:iCs/>
          <w:sz w:val="24"/>
          <w:lang w:eastAsia="ja-JP"/>
        </w:rPr>
        <w:t>Saglabāt AAA teritorijā sastopamo reto un aizsargājamo sugu populācijas vismaz</w:t>
      </w:r>
      <w:r w:rsidR="0020442F" w:rsidRPr="00A07F29">
        <w:rPr>
          <w:rFonts w:ascii="Times New Roman" w:eastAsia="Calibri" w:hAnsi="Times New Roman" w:cs="Calibri"/>
          <w:b/>
          <w:bCs/>
          <w:iCs/>
          <w:sz w:val="24"/>
          <w:lang w:eastAsia="ja-JP"/>
        </w:rPr>
        <w:t xml:space="preserve"> </w:t>
      </w:r>
      <w:r w:rsidR="00831470" w:rsidRPr="00A07F29">
        <w:rPr>
          <w:rFonts w:ascii="Times New Roman" w:eastAsia="Calibri" w:hAnsi="Times New Roman" w:cs="Calibri"/>
          <w:b/>
          <w:bCs/>
          <w:iCs/>
          <w:sz w:val="24"/>
          <w:lang w:eastAsia="ja-JP"/>
        </w:rPr>
        <w:t>to pašreizējā stāvoklī, kā arī īstenot to aizsardzībai nepieciešamos pasākumus</w:t>
      </w:r>
    </w:p>
    <w:p w14:paraId="4DE142E3" w14:textId="3234BC56" w:rsidR="0097648D" w:rsidRPr="00A07F29" w:rsidRDefault="0097648D" w:rsidP="009B590B">
      <w:pPr>
        <w:spacing w:before="120" w:after="0" w:line="240" w:lineRule="auto"/>
        <w:ind w:firstLine="851"/>
        <w:jc w:val="both"/>
        <w:rPr>
          <w:rFonts w:ascii="Times New Roman" w:eastAsia="Calibri" w:hAnsi="Times New Roman" w:cs="Calibri"/>
          <w:bCs/>
          <w:iCs/>
          <w:sz w:val="24"/>
          <w:lang w:eastAsia="ja-JP"/>
        </w:rPr>
      </w:pPr>
      <w:r w:rsidRPr="00A07F29">
        <w:rPr>
          <w:rFonts w:ascii="Times New Roman" w:eastAsia="Calibri" w:hAnsi="Times New Roman" w:cs="Calibri"/>
          <w:bCs/>
          <w:iCs/>
          <w:sz w:val="24"/>
          <w:lang w:eastAsia="ja-JP"/>
        </w:rPr>
        <w:t>Reto un aizsargājamo sugu populāciju saglabāšanai nozīmīg</w:t>
      </w:r>
      <w:r w:rsidR="00B66266" w:rsidRPr="00A07F29">
        <w:rPr>
          <w:rFonts w:ascii="Times New Roman" w:eastAsia="Calibri" w:hAnsi="Times New Roman" w:cs="Calibri"/>
          <w:bCs/>
          <w:iCs/>
          <w:sz w:val="24"/>
          <w:lang w:eastAsia="ja-JP"/>
        </w:rPr>
        <w:t>s</w:t>
      </w:r>
      <w:r w:rsidRPr="00A07F29">
        <w:rPr>
          <w:rFonts w:ascii="Times New Roman" w:eastAsia="Calibri" w:hAnsi="Times New Roman" w:cs="Calibri"/>
          <w:bCs/>
          <w:iCs/>
          <w:sz w:val="24"/>
          <w:lang w:eastAsia="ja-JP"/>
        </w:rPr>
        <w:t xml:space="preserve"> pasākum</w:t>
      </w:r>
      <w:r w:rsidR="00B66266" w:rsidRPr="00A07F29">
        <w:rPr>
          <w:rFonts w:ascii="Times New Roman" w:eastAsia="Calibri" w:hAnsi="Times New Roman" w:cs="Calibri"/>
          <w:bCs/>
          <w:iCs/>
          <w:sz w:val="24"/>
          <w:lang w:eastAsia="ja-JP"/>
        </w:rPr>
        <w:t>s</w:t>
      </w:r>
      <w:r w:rsidRPr="00A07F29">
        <w:rPr>
          <w:rFonts w:ascii="Times New Roman" w:eastAsia="Calibri" w:hAnsi="Times New Roman" w:cs="Calibri"/>
          <w:bCs/>
          <w:iCs/>
          <w:sz w:val="24"/>
          <w:lang w:eastAsia="ja-JP"/>
        </w:rPr>
        <w:t xml:space="preserve"> ir AAA “Augšdaugava” individuālo aizsardzības un </w:t>
      </w:r>
      <w:proofErr w:type="spellStart"/>
      <w:r w:rsidRPr="00A07F29">
        <w:rPr>
          <w:rFonts w:ascii="Times New Roman" w:eastAsia="Calibri" w:hAnsi="Times New Roman" w:cs="Calibri"/>
          <w:bCs/>
          <w:iCs/>
          <w:sz w:val="24"/>
          <w:lang w:eastAsia="ja-JP"/>
        </w:rPr>
        <w:t>izmanošanas</w:t>
      </w:r>
      <w:proofErr w:type="spellEnd"/>
      <w:r w:rsidRPr="00A07F29">
        <w:rPr>
          <w:rFonts w:ascii="Times New Roman" w:eastAsia="Calibri" w:hAnsi="Times New Roman" w:cs="Calibri"/>
          <w:bCs/>
          <w:iCs/>
          <w:sz w:val="24"/>
          <w:lang w:eastAsia="ja-JP"/>
        </w:rPr>
        <w:t xml:space="preserve"> noteikumu un funkcionālā zonējuma apstiprināšana (pasākums A.1.1., DA plāna 6.2.</w:t>
      </w:r>
      <w:r w:rsidR="00820BEB">
        <w:rPr>
          <w:rFonts w:ascii="Times New Roman" w:eastAsia="Calibri" w:hAnsi="Times New Roman" w:cs="Calibri"/>
          <w:bCs/>
          <w:iCs/>
          <w:sz w:val="24"/>
          <w:lang w:eastAsia="ja-JP"/>
        </w:rPr>
        <w:t> </w:t>
      </w:r>
      <w:r w:rsidRPr="00A07F29">
        <w:rPr>
          <w:rFonts w:ascii="Times New Roman" w:eastAsia="Calibri" w:hAnsi="Times New Roman" w:cs="Calibri"/>
          <w:bCs/>
          <w:iCs/>
          <w:sz w:val="24"/>
          <w:lang w:eastAsia="ja-JP"/>
        </w:rPr>
        <w:t>nodaļa), kur</w:t>
      </w:r>
      <w:r w:rsidR="00B66266" w:rsidRPr="00A07F29">
        <w:rPr>
          <w:rFonts w:ascii="Times New Roman" w:eastAsia="Calibri" w:hAnsi="Times New Roman" w:cs="Calibri"/>
          <w:bCs/>
          <w:iCs/>
          <w:sz w:val="24"/>
          <w:lang w:eastAsia="ja-JP"/>
        </w:rPr>
        <w:t>:</w:t>
      </w:r>
    </w:p>
    <w:p w14:paraId="2510CEC4" w14:textId="679A7799" w:rsidR="00462C09" w:rsidRPr="00A07F29" w:rsidRDefault="00462C09" w:rsidP="00F87589">
      <w:pPr>
        <w:pStyle w:val="ListParagraph"/>
        <w:numPr>
          <w:ilvl w:val="1"/>
          <w:numId w:val="47"/>
        </w:numPr>
        <w:spacing w:before="120" w:after="0" w:line="240" w:lineRule="auto"/>
        <w:ind w:left="1135" w:hanging="284"/>
        <w:contextualSpacing w:val="0"/>
        <w:rPr>
          <w:bCs/>
          <w:iCs/>
          <w:lang w:eastAsia="ja-JP"/>
        </w:rPr>
      </w:pPr>
      <w:r w:rsidRPr="00A07F29">
        <w:rPr>
          <w:bCs/>
          <w:iCs/>
          <w:lang w:eastAsia="ja-JP"/>
        </w:rPr>
        <w:t>n</w:t>
      </w:r>
      <w:r w:rsidR="0097648D" w:rsidRPr="00A07F29">
        <w:rPr>
          <w:bCs/>
          <w:iCs/>
          <w:lang w:eastAsia="ja-JP"/>
        </w:rPr>
        <w:t xml:space="preserve">ozīmīgākās </w:t>
      </w:r>
      <w:r w:rsidRPr="00A07F29">
        <w:rPr>
          <w:bCs/>
          <w:iCs/>
          <w:lang w:eastAsia="ja-JP"/>
        </w:rPr>
        <w:t xml:space="preserve">reto un aizsargājamo </w:t>
      </w:r>
      <w:r w:rsidR="0097648D" w:rsidRPr="00A07F29">
        <w:rPr>
          <w:bCs/>
          <w:iCs/>
          <w:lang w:eastAsia="ja-JP"/>
        </w:rPr>
        <w:t xml:space="preserve">sugu atradnes ir ietvertas </w:t>
      </w:r>
      <w:r w:rsidRPr="00A07F29">
        <w:rPr>
          <w:bCs/>
          <w:iCs/>
          <w:lang w:eastAsia="ja-JP"/>
        </w:rPr>
        <w:t>regulējamā režīma, dabas lieguma un dabas parka zonās ar attiecīgiem saimnieciskās darbības ierobežojumiem, kas sekmē sugu atradņu saglabāšanos;</w:t>
      </w:r>
    </w:p>
    <w:p w14:paraId="776A7323" w14:textId="0CD9B5A6" w:rsidR="00462C09" w:rsidRPr="00A07F29" w:rsidRDefault="00462C09" w:rsidP="00F87589">
      <w:pPr>
        <w:pStyle w:val="ListParagraph"/>
        <w:numPr>
          <w:ilvl w:val="1"/>
          <w:numId w:val="47"/>
        </w:numPr>
        <w:spacing w:before="120" w:after="0" w:line="240" w:lineRule="auto"/>
        <w:ind w:left="1135" w:hanging="284"/>
        <w:contextualSpacing w:val="0"/>
        <w:rPr>
          <w:bCs/>
          <w:iCs/>
          <w:lang w:eastAsia="ja-JP"/>
        </w:rPr>
      </w:pPr>
      <w:r w:rsidRPr="00A07F29">
        <w:rPr>
          <w:bCs/>
          <w:iCs/>
          <w:lang w:eastAsia="ja-JP"/>
        </w:rPr>
        <w:t>noteikts aizliegums būvēt jaunus un atjaunot pašlaik neesošus hidroelektrostaciju aizsprostus un veidot jebkādus mehāniskus šķēršļus uz up</w:t>
      </w:r>
      <w:r w:rsidR="00B66266" w:rsidRPr="00A07F29">
        <w:rPr>
          <w:bCs/>
          <w:iCs/>
          <w:lang w:eastAsia="ja-JP"/>
        </w:rPr>
        <w:t>ēm, kas nodrošina ar upēm un to palien</w:t>
      </w:r>
      <w:r w:rsidR="00AE6802">
        <w:rPr>
          <w:bCs/>
          <w:iCs/>
          <w:lang w:eastAsia="ja-JP"/>
        </w:rPr>
        <w:t>ē</w:t>
      </w:r>
      <w:r w:rsidR="00B66266" w:rsidRPr="00A07F29">
        <w:rPr>
          <w:bCs/>
          <w:iCs/>
          <w:lang w:eastAsia="ja-JP"/>
        </w:rPr>
        <w:t>m saistīto sugu atradņu saglabāšanos;</w:t>
      </w:r>
    </w:p>
    <w:p w14:paraId="6E5299A3" w14:textId="08E1410D" w:rsidR="00B66266" w:rsidRPr="00A07F29" w:rsidRDefault="00B66266" w:rsidP="009B590B">
      <w:pPr>
        <w:spacing w:before="120" w:after="0" w:line="240" w:lineRule="auto"/>
        <w:ind w:firstLine="851"/>
        <w:jc w:val="both"/>
        <w:rPr>
          <w:rFonts w:ascii="Times New Roman" w:eastAsia="Calibri" w:hAnsi="Times New Roman" w:cs="Calibri"/>
          <w:bCs/>
          <w:iCs/>
          <w:sz w:val="24"/>
          <w:lang w:eastAsia="ja-JP"/>
        </w:rPr>
      </w:pPr>
      <w:r w:rsidRPr="00A07F29">
        <w:rPr>
          <w:rFonts w:ascii="Times New Roman" w:eastAsia="Calibri" w:hAnsi="Times New Roman" w:cs="Calibri"/>
          <w:bCs/>
          <w:iCs/>
          <w:sz w:val="24"/>
          <w:lang w:eastAsia="ja-JP"/>
        </w:rPr>
        <w:lastRenderedPageBreak/>
        <w:t>Reto un aizsargājamo sugu populāciju saglabāšanos nodrošina arī biotopu apsaimniekošana, no kurām ir atkarīgas šīs sugas:</w:t>
      </w:r>
    </w:p>
    <w:p w14:paraId="4489460C" w14:textId="5C6904D1" w:rsidR="00B66266" w:rsidRPr="00A07F29" w:rsidRDefault="00B66266" w:rsidP="00F87589">
      <w:pPr>
        <w:pStyle w:val="ListParagraph"/>
        <w:numPr>
          <w:ilvl w:val="1"/>
          <w:numId w:val="47"/>
        </w:numPr>
        <w:spacing w:before="120" w:after="0" w:line="240" w:lineRule="auto"/>
        <w:ind w:left="1135" w:hanging="284"/>
        <w:contextualSpacing w:val="0"/>
        <w:rPr>
          <w:bCs/>
          <w:iCs/>
          <w:lang w:eastAsia="ja-JP"/>
        </w:rPr>
      </w:pPr>
      <w:r w:rsidRPr="00A07F29">
        <w:rPr>
          <w:bCs/>
          <w:iCs/>
          <w:lang w:eastAsia="ja-JP"/>
        </w:rPr>
        <w:t>zālāju apsaimniekošana</w:t>
      </w:r>
      <w:r w:rsidR="009D54CE">
        <w:rPr>
          <w:bCs/>
          <w:iCs/>
          <w:lang w:eastAsia="ja-JP"/>
        </w:rPr>
        <w:t>,</w:t>
      </w:r>
      <w:r w:rsidRPr="00A07F29">
        <w:rPr>
          <w:bCs/>
          <w:iCs/>
          <w:lang w:eastAsia="ja-JP"/>
        </w:rPr>
        <w:t xml:space="preserve"> atjaunošana (B.2.1.</w:t>
      </w:r>
      <w:r w:rsidR="007C7C32" w:rsidRPr="00A07F29">
        <w:rPr>
          <w:bCs/>
          <w:iCs/>
          <w:lang w:eastAsia="ja-JP"/>
        </w:rPr>
        <w:t xml:space="preserve"> – </w:t>
      </w:r>
      <w:r w:rsidRPr="00A07F29">
        <w:rPr>
          <w:bCs/>
          <w:iCs/>
          <w:lang w:eastAsia="ja-JP"/>
        </w:rPr>
        <w:t>B.2.3.</w:t>
      </w:r>
      <w:r w:rsidR="009D54CE">
        <w:rPr>
          <w:bCs/>
          <w:iCs/>
          <w:lang w:eastAsia="ja-JP"/>
        </w:rPr>
        <w:t> </w:t>
      </w:r>
      <w:r w:rsidRPr="00A07F29">
        <w:rPr>
          <w:bCs/>
          <w:iCs/>
          <w:lang w:eastAsia="ja-JP"/>
        </w:rPr>
        <w:t>pasākum</w:t>
      </w:r>
      <w:r w:rsidR="007813D1" w:rsidRPr="00A07F29">
        <w:rPr>
          <w:bCs/>
          <w:iCs/>
          <w:lang w:eastAsia="ja-JP"/>
        </w:rPr>
        <w:t>i);</w:t>
      </w:r>
    </w:p>
    <w:p w14:paraId="48C185F7" w14:textId="1CC61F72" w:rsidR="007813D1" w:rsidRPr="00A07F29" w:rsidRDefault="007813D1" w:rsidP="00F87589">
      <w:pPr>
        <w:pStyle w:val="ListParagraph"/>
        <w:numPr>
          <w:ilvl w:val="1"/>
          <w:numId w:val="47"/>
        </w:numPr>
        <w:spacing w:before="120" w:after="0" w:line="240" w:lineRule="auto"/>
        <w:ind w:left="1135" w:hanging="284"/>
        <w:contextualSpacing w:val="0"/>
        <w:rPr>
          <w:bCs/>
          <w:iCs/>
          <w:lang w:eastAsia="ja-JP"/>
        </w:rPr>
      </w:pPr>
      <w:r w:rsidRPr="00A07F29">
        <w:rPr>
          <w:bCs/>
          <w:iCs/>
          <w:lang w:eastAsia="ja-JP"/>
        </w:rPr>
        <w:t>bebru darbības kontrole un upju biotopu apsaimniekošana (B.1.10., B.1.11.</w:t>
      </w:r>
      <w:r w:rsidR="009D54CE">
        <w:rPr>
          <w:bCs/>
          <w:iCs/>
          <w:lang w:eastAsia="ja-JP"/>
        </w:rPr>
        <w:t> </w:t>
      </w:r>
      <w:r w:rsidRPr="00A07F29">
        <w:rPr>
          <w:bCs/>
          <w:iCs/>
          <w:lang w:eastAsia="ja-JP"/>
        </w:rPr>
        <w:t>pasākumi);</w:t>
      </w:r>
    </w:p>
    <w:p w14:paraId="16F4E955" w14:textId="5E38FA77" w:rsidR="00B66266" w:rsidRPr="00A07F29" w:rsidRDefault="007813D1" w:rsidP="00F87589">
      <w:pPr>
        <w:pStyle w:val="ListParagraph"/>
        <w:numPr>
          <w:ilvl w:val="1"/>
          <w:numId w:val="47"/>
        </w:numPr>
        <w:spacing w:before="120" w:after="0" w:line="240" w:lineRule="auto"/>
        <w:ind w:left="1135" w:hanging="284"/>
        <w:contextualSpacing w:val="0"/>
        <w:rPr>
          <w:bCs/>
          <w:iCs/>
          <w:lang w:eastAsia="ja-JP"/>
        </w:rPr>
      </w:pPr>
      <w:r w:rsidRPr="00A07F29">
        <w:rPr>
          <w:bCs/>
          <w:iCs/>
          <w:lang w:eastAsia="ja-JP"/>
        </w:rPr>
        <w:t>pārejas purvu un slīkšņu biotopu kvalitātes uzlabošana (B.3.1.</w:t>
      </w:r>
      <w:r w:rsidR="009D54CE">
        <w:rPr>
          <w:bCs/>
          <w:iCs/>
          <w:lang w:eastAsia="ja-JP"/>
        </w:rPr>
        <w:t> </w:t>
      </w:r>
      <w:r w:rsidRPr="00A07F29">
        <w:rPr>
          <w:bCs/>
          <w:iCs/>
          <w:lang w:eastAsia="ja-JP"/>
        </w:rPr>
        <w:t>pasākums, īpaši nozīmīgs dzeltenās akmeņlauzītes atradnes saglabāšanai);</w:t>
      </w:r>
    </w:p>
    <w:p w14:paraId="5BA5E07C" w14:textId="559C4460" w:rsidR="007813D1" w:rsidRPr="00A07F29" w:rsidRDefault="009B590B" w:rsidP="00F87589">
      <w:pPr>
        <w:pStyle w:val="ListParagraph"/>
        <w:numPr>
          <w:ilvl w:val="1"/>
          <w:numId w:val="47"/>
        </w:numPr>
        <w:spacing w:before="120" w:after="0" w:line="240" w:lineRule="auto"/>
        <w:ind w:left="1135" w:hanging="284"/>
        <w:contextualSpacing w:val="0"/>
        <w:rPr>
          <w:bCs/>
          <w:iCs/>
          <w:lang w:eastAsia="ja-JP"/>
        </w:rPr>
      </w:pPr>
      <w:r w:rsidRPr="00A07F29">
        <w:rPr>
          <w:bCs/>
          <w:iCs/>
          <w:lang w:eastAsia="ja-JP"/>
        </w:rPr>
        <w:t>neiejaukšanās ES nozīmes mežu biotopos (B.4.1.</w:t>
      </w:r>
      <w:r w:rsidR="001F2155">
        <w:rPr>
          <w:bCs/>
          <w:iCs/>
          <w:lang w:eastAsia="ja-JP"/>
        </w:rPr>
        <w:t> </w:t>
      </w:r>
      <w:r w:rsidRPr="00A07F29">
        <w:rPr>
          <w:bCs/>
          <w:iCs/>
          <w:lang w:eastAsia="ja-JP"/>
        </w:rPr>
        <w:t>pasākums).</w:t>
      </w:r>
    </w:p>
    <w:p w14:paraId="27F58E06" w14:textId="1E798904" w:rsidR="00B66266" w:rsidRPr="00A07F29" w:rsidRDefault="009B50E0" w:rsidP="009B50E0">
      <w:pPr>
        <w:spacing w:before="120" w:after="120" w:line="240" w:lineRule="auto"/>
        <w:ind w:firstLine="851"/>
        <w:jc w:val="both"/>
        <w:rPr>
          <w:rFonts w:ascii="Times New Roman" w:eastAsia="Calibri" w:hAnsi="Times New Roman" w:cs="Calibri"/>
          <w:bCs/>
          <w:iCs/>
          <w:sz w:val="24"/>
          <w:lang w:eastAsia="ja-JP"/>
        </w:rPr>
      </w:pPr>
      <w:r w:rsidRPr="00A07F29">
        <w:rPr>
          <w:rFonts w:ascii="Times New Roman" w:eastAsia="Calibri" w:hAnsi="Times New Roman" w:cs="Calibri"/>
          <w:bCs/>
          <w:iCs/>
          <w:sz w:val="24"/>
          <w:lang w:eastAsia="ja-JP"/>
        </w:rPr>
        <w:t>Lai sekmētu reto un aizsargājamo sugu populāciju saglabāšanos AAA</w:t>
      </w:r>
      <w:r w:rsidR="00D65BBA" w:rsidRPr="00A07F29">
        <w:rPr>
          <w:rFonts w:ascii="Times New Roman" w:eastAsia="Calibri" w:hAnsi="Times New Roman" w:cs="Calibri"/>
          <w:bCs/>
          <w:iCs/>
          <w:sz w:val="24"/>
          <w:lang w:eastAsia="ja-JP"/>
        </w:rPr>
        <w:t xml:space="preserve"> </w:t>
      </w:r>
      <w:r w:rsidRPr="00A07F29">
        <w:rPr>
          <w:rFonts w:ascii="Times New Roman" w:eastAsia="Calibri" w:hAnsi="Times New Roman" w:cs="Calibri"/>
          <w:bCs/>
          <w:iCs/>
          <w:sz w:val="24"/>
          <w:lang w:eastAsia="ja-JP"/>
        </w:rPr>
        <w:t>“Augšdaugava” nepieciešami arī vairāki specifiski pasākumi, skat</w:t>
      </w:r>
      <w:r w:rsidR="001F2155">
        <w:rPr>
          <w:rFonts w:ascii="Times New Roman" w:eastAsia="Calibri" w:hAnsi="Times New Roman" w:cs="Calibri"/>
          <w:bCs/>
          <w:iCs/>
          <w:sz w:val="24"/>
          <w:lang w:eastAsia="ja-JP"/>
        </w:rPr>
        <w:t>īt</w:t>
      </w:r>
      <w:r w:rsidRPr="00A07F29">
        <w:rPr>
          <w:rFonts w:ascii="Times New Roman" w:eastAsia="Calibri" w:hAnsi="Times New Roman" w:cs="Calibri"/>
          <w:bCs/>
          <w:iCs/>
          <w:sz w:val="24"/>
          <w:lang w:eastAsia="ja-JP"/>
        </w:rPr>
        <w:t xml:space="preserve"> tālāk pasākumu B.5.1. – B.5.</w:t>
      </w:r>
      <w:r w:rsidR="00EA08AF" w:rsidRPr="00A07F29">
        <w:rPr>
          <w:rFonts w:ascii="Times New Roman" w:eastAsia="Calibri" w:hAnsi="Times New Roman" w:cs="Calibri"/>
          <w:bCs/>
          <w:iCs/>
          <w:sz w:val="24"/>
          <w:lang w:eastAsia="ja-JP"/>
        </w:rPr>
        <w:t>5</w:t>
      </w:r>
      <w:r w:rsidRPr="00A07F29">
        <w:rPr>
          <w:rFonts w:ascii="Times New Roman" w:eastAsia="Calibri" w:hAnsi="Times New Roman" w:cs="Calibri"/>
          <w:bCs/>
          <w:iCs/>
          <w:sz w:val="24"/>
          <w:lang w:eastAsia="ja-JP"/>
        </w:rPr>
        <w:t>.</w:t>
      </w:r>
      <w:r w:rsidR="001F2155">
        <w:rPr>
          <w:rFonts w:ascii="Times New Roman" w:eastAsia="Calibri" w:hAnsi="Times New Roman" w:cs="Calibri"/>
          <w:bCs/>
          <w:iCs/>
          <w:sz w:val="24"/>
          <w:lang w:eastAsia="ja-JP"/>
        </w:rPr>
        <w:t> </w:t>
      </w:r>
      <w:r w:rsidRPr="00A07F29">
        <w:rPr>
          <w:rFonts w:ascii="Times New Roman" w:eastAsia="Calibri" w:hAnsi="Times New Roman" w:cs="Calibri"/>
          <w:bCs/>
          <w:iCs/>
          <w:sz w:val="24"/>
          <w:lang w:eastAsia="ja-JP"/>
        </w:rPr>
        <w:t>aprakstus.</w:t>
      </w:r>
    </w:p>
    <w:p w14:paraId="4EA61F38" w14:textId="5846F7F0" w:rsidR="00A21E83" w:rsidRPr="00A07F29" w:rsidRDefault="009B590B" w:rsidP="009B50E0">
      <w:pPr>
        <w:spacing w:before="240" w:after="0" w:line="240" w:lineRule="auto"/>
        <w:jc w:val="both"/>
        <w:rPr>
          <w:rFonts w:ascii="Times New Roman" w:eastAsia="Calibri" w:hAnsi="Times New Roman" w:cs="Calibri"/>
          <w:b/>
          <w:bCs/>
          <w:i/>
          <w:sz w:val="24"/>
          <w:lang w:eastAsia="ja-JP"/>
        </w:rPr>
      </w:pPr>
      <w:r w:rsidRPr="00A07F29">
        <w:rPr>
          <w:rFonts w:ascii="Times New Roman" w:eastAsia="Calibri" w:hAnsi="Times New Roman" w:cs="Calibri"/>
          <w:b/>
          <w:bCs/>
          <w:i/>
          <w:sz w:val="24"/>
          <w:lang w:eastAsia="ja-JP"/>
        </w:rPr>
        <w:t xml:space="preserve">B.5.1. </w:t>
      </w:r>
      <w:proofErr w:type="spellStart"/>
      <w:r w:rsidRPr="00A07F29">
        <w:rPr>
          <w:rFonts w:ascii="Times New Roman" w:eastAsia="Calibri" w:hAnsi="Times New Roman" w:cs="Calibri"/>
          <w:b/>
          <w:bCs/>
          <w:i/>
          <w:sz w:val="24"/>
          <w:lang w:eastAsia="ja-JP"/>
        </w:rPr>
        <w:t>Kaijveidīgo</w:t>
      </w:r>
      <w:proofErr w:type="spellEnd"/>
      <w:r w:rsidRPr="00A07F29">
        <w:rPr>
          <w:rFonts w:ascii="Times New Roman" w:eastAsia="Calibri" w:hAnsi="Times New Roman" w:cs="Calibri"/>
          <w:b/>
          <w:bCs/>
          <w:i/>
          <w:sz w:val="24"/>
          <w:lang w:eastAsia="ja-JP"/>
        </w:rPr>
        <w:t xml:space="preserve"> putnu apdzīvoto Daugavas salu apsaimniekošana</w:t>
      </w:r>
    </w:p>
    <w:p w14:paraId="5CC3BBA9" w14:textId="38D5EA16" w:rsidR="00A21E83" w:rsidRPr="00A07F29" w:rsidRDefault="00A21E83" w:rsidP="009B590B">
      <w:pPr>
        <w:spacing w:before="120" w:after="0" w:line="240" w:lineRule="auto"/>
        <w:ind w:firstLine="851"/>
        <w:jc w:val="both"/>
        <w:rPr>
          <w:rFonts w:ascii="Times New Roman" w:eastAsia="Calibri" w:hAnsi="Times New Roman" w:cs="Calibri"/>
          <w:bCs/>
          <w:sz w:val="24"/>
          <w:lang w:eastAsia="ja-JP"/>
        </w:rPr>
      </w:pPr>
      <w:r w:rsidRPr="00A07F29">
        <w:rPr>
          <w:rFonts w:ascii="Times New Roman" w:eastAsia="Calibri" w:hAnsi="Times New Roman" w:cs="Calibri"/>
          <w:bCs/>
          <w:sz w:val="24"/>
          <w:lang w:eastAsia="ja-JP"/>
        </w:rPr>
        <w:t xml:space="preserve">Daugavas salas un periodiski applūstošās smilšu sēres nodrošina labvēlīgus apstākļus dažādu </w:t>
      </w:r>
      <w:proofErr w:type="spellStart"/>
      <w:r w:rsidRPr="00A07F29">
        <w:rPr>
          <w:rFonts w:ascii="Times New Roman" w:eastAsia="Calibri" w:hAnsi="Times New Roman" w:cs="Calibri"/>
          <w:bCs/>
          <w:sz w:val="24"/>
          <w:lang w:eastAsia="ja-JP"/>
        </w:rPr>
        <w:t>kaijveidīgo</w:t>
      </w:r>
      <w:proofErr w:type="spellEnd"/>
      <w:r w:rsidRPr="00A07F29">
        <w:rPr>
          <w:rFonts w:ascii="Times New Roman" w:eastAsia="Calibri" w:hAnsi="Times New Roman" w:cs="Calibri"/>
          <w:bCs/>
          <w:sz w:val="24"/>
          <w:lang w:eastAsia="ja-JP"/>
        </w:rPr>
        <w:t xml:space="preserve"> un </w:t>
      </w:r>
      <w:proofErr w:type="spellStart"/>
      <w:r w:rsidRPr="00A07F29">
        <w:rPr>
          <w:rFonts w:ascii="Times New Roman" w:eastAsia="Calibri" w:hAnsi="Times New Roman" w:cs="Calibri"/>
          <w:bCs/>
          <w:sz w:val="24"/>
          <w:lang w:eastAsia="ja-JP"/>
        </w:rPr>
        <w:t>tārtiņveidīgo</w:t>
      </w:r>
      <w:proofErr w:type="spellEnd"/>
      <w:r w:rsidRPr="00A07F29">
        <w:rPr>
          <w:rFonts w:ascii="Times New Roman" w:eastAsia="Calibri" w:hAnsi="Times New Roman" w:cs="Calibri"/>
          <w:bCs/>
          <w:sz w:val="24"/>
          <w:lang w:eastAsia="ja-JP"/>
        </w:rPr>
        <w:t xml:space="preserve"> putnu ligzdošanai. Patstāvīgas salas (neatkarīgi no ikgadējām ūdens līmeņa svārstībām) ir iepretī Gorbačovai un pretī Krāslavas pilsētai.</w:t>
      </w:r>
      <w:r w:rsidR="009B590B" w:rsidRPr="00A07F29">
        <w:rPr>
          <w:rFonts w:ascii="Times New Roman" w:eastAsia="Calibri" w:hAnsi="Times New Roman" w:cs="Calibri"/>
          <w:bCs/>
          <w:sz w:val="24"/>
          <w:lang w:eastAsia="ja-JP"/>
        </w:rPr>
        <w:t xml:space="preserve"> </w:t>
      </w:r>
      <w:r w:rsidRPr="00A07F29">
        <w:rPr>
          <w:rFonts w:ascii="Times New Roman" w:eastAsia="Calibri" w:hAnsi="Times New Roman" w:cs="Calibri"/>
          <w:bCs/>
          <w:sz w:val="24"/>
          <w:lang w:eastAsia="ja-JP"/>
        </w:rPr>
        <w:t xml:space="preserve">Uz Daugavas salām ligzdo arī citi bridējputni, kuriem Latvijā nav noteikts aizsardzības statuss: upes tārtiņš </w:t>
      </w:r>
      <w:proofErr w:type="spellStart"/>
      <w:r w:rsidRPr="00A07F29">
        <w:rPr>
          <w:rFonts w:ascii="Times New Roman" w:eastAsia="Calibri" w:hAnsi="Times New Roman" w:cs="Calibri"/>
          <w:bCs/>
          <w:i/>
          <w:iCs/>
          <w:sz w:val="24"/>
          <w:lang w:eastAsia="ja-JP"/>
        </w:rPr>
        <w:t>Charadrius</w:t>
      </w:r>
      <w:proofErr w:type="spellEnd"/>
      <w:r w:rsidRPr="00A07F29">
        <w:rPr>
          <w:rFonts w:ascii="Times New Roman" w:eastAsia="Calibri" w:hAnsi="Times New Roman" w:cs="Calibri"/>
          <w:bCs/>
          <w:i/>
          <w:iCs/>
          <w:sz w:val="24"/>
          <w:lang w:eastAsia="ja-JP"/>
        </w:rPr>
        <w:t xml:space="preserve"> </w:t>
      </w:r>
      <w:proofErr w:type="spellStart"/>
      <w:r w:rsidRPr="00A07F29">
        <w:rPr>
          <w:rFonts w:ascii="Times New Roman" w:eastAsia="Calibri" w:hAnsi="Times New Roman" w:cs="Calibri"/>
          <w:bCs/>
          <w:i/>
          <w:iCs/>
          <w:sz w:val="24"/>
          <w:lang w:eastAsia="ja-JP"/>
        </w:rPr>
        <w:t>dubius</w:t>
      </w:r>
      <w:proofErr w:type="spellEnd"/>
      <w:r w:rsidRPr="00A07F29">
        <w:rPr>
          <w:rFonts w:ascii="Times New Roman" w:eastAsia="Calibri" w:hAnsi="Times New Roman" w:cs="Calibri"/>
          <w:bCs/>
          <w:sz w:val="24"/>
          <w:lang w:eastAsia="ja-JP"/>
        </w:rPr>
        <w:t xml:space="preserve">, upes tilbīte </w:t>
      </w:r>
      <w:proofErr w:type="spellStart"/>
      <w:r w:rsidRPr="00A07F29">
        <w:rPr>
          <w:rFonts w:ascii="Times New Roman" w:eastAsia="Calibri" w:hAnsi="Times New Roman" w:cs="Calibri"/>
          <w:bCs/>
          <w:i/>
          <w:iCs/>
          <w:sz w:val="24"/>
          <w:lang w:eastAsia="ja-JP"/>
        </w:rPr>
        <w:t>Actitis</w:t>
      </w:r>
      <w:proofErr w:type="spellEnd"/>
      <w:r w:rsidRPr="00A07F29">
        <w:rPr>
          <w:rFonts w:ascii="Times New Roman" w:eastAsia="Calibri" w:hAnsi="Times New Roman" w:cs="Calibri"/>
          <w:bCs/>
          <w:i/>
          <w:iCs/>
          <w:sz w:val="24"/>
          <w:lang w:eastAsia="ja-JP"/>
        </w:rPr>
        <w:t xml:space="preserve"> </w:t>
      </w:r>
      <w:proofErr w:type="spellStart"/>
      <w:r w:rsidRPr="00A07F29">
        <w:rPr>
          <w:rFonts w:ascii="Times New Roman" w:eastAsia="Calibri" w:hAnsi="Times New Roman" w:cs="Calibri"/>
          <w:bCs/>
          <w:i/>
          <w:iCs/>
          <w:sz w:val="24"/>
          <w:lang w:eastAsia="ja-JP"/>
        </w:rPr>
        <w:t>hypoleuca</w:t>
      </w:r>
      <w:proofErr w:type="spellEnd"/>
      <w:r w:rsidRPr="00A07F29">
        <w:rPr>
          <w:rFonts w:ascii="Times New Roman" w:eastAsia="Calibri" w:hAnsi="Times New Roman" w:cs="Calibri"/>
          <w:bCs/>
          <w:sz w:val="24"/>
          <w:lang w:eastAsia="ja-JP"/>
        </w:rPr>
        <w:t xml:space="preserve">, ķīvīte </w:t>
      </w:r>
      <w:proofErr w:type="spellStart"/>
      <w:r w:rsidRPr="00A07F29">
        <w:rPr>
          <w:rFonts w:ascii="Times New Roman" w:eastAsia="Calibri" w:hAnsi="Times New Roman" w:cs="Calibri"/>
          <w:bCs/>
          <w:i/>
          <w:iCs/>
          <w:sz w:val="24"/>
          <w:lang w:eastAsia="ja-JP"/>
        </w:rPr>
        <w:t>Vanellus</w:t>
      </w:r>
      <w:proofErr w:type="spellEnd"/>
      <w:r w:rsidRPr="00A07F29">
        <w:rPr>
          <w:rFonts w:ascii="Times New Roman" w:eastAsia="Calibri" w:hAnsi="Times New Roman" w:cs="Calibri"/>
          <w:bCs/>
          <w:i/>
          <w:iCs/>
          <w:sz w:val="24"/>
          <w:lang w:eastAsia="ja-JP"/>
        </w:rPr>
        <w:t xml:space="preserve"> </w:t>
      </w:r>
      <w:proofErr w:type="spellStart"/>
      <w:r w:rsidRPr="00A07F29">
        <w:rPr>
          <w:rFonts w:ascii="Times New Roman" w:eastAsia="Calibri" w:hAnsi="Times New Roman" w:cs="Calibri"/>
          <w:bCs/>
          <w:i/>
          <w:iCs/>
          <w:sz w:val="24"/>
          <w:lang w:eastAsia="ja-JP"/>
        </w:rPr>
        <w:t>vanellus</w:t>
      </w:r>
      <w:proofErr w:type="spellEnd"/>
      <w:r w:rsidRPr="00A07F29">
        <w:rPr>
          <w:rFonts w:ascii="Times New Roman" w:eastAsia="Calibri" w:hAnsi="Times New Roman" w:cs="Calibri"/>
          <w:bCs/>
          <w:sz w:val="24"/>
          <w:lang w:eastAsia="ja-JP"/>
        </w:rPr>
        <w:t>.</w:t>
      </w:r>
    </w:p>
    <w:p w14:paraId="48F9E1B1" w14:textId="77777777" w:rsidR="009B590B" w:rsidRPr="00A07F29" w:rsidRDefault="00A21E83" w:rsidP="009B590B">
      <w:pPr>
        <w:spacing w:before="120" w:after="0" w:line="240" w:lineRule="auto"/>
        <w:ind w:firstLine="851"/>
        <w:jc w:val="both"/>
        <w:rPr>
          <w:rFonts w:ascii="Times New Roman" w:eastAsia="Calibri" w:hAnsi="Times New Roman" w:cs="Calibri"/>
          <w:bCs/>
          <w:sz w:val="24"/>
          <w:lang w:eastAsia="ja-JP"/>
        </w:rPr>
      </w:pPr>
      <w:proofErr w:type="spellStart"/>
      <w:r w:rsidRPr="00A07F29">
        <w:rPr>
          <w:rFonts w:ascii="Times New Roman" w:eastAsia="Calibri" w:hAnsi="Times New Roman" w:cs="Calibri"/>
          <w:bCs/>
          <w:sz w:val="24"/>
          <w:lang w:eastAsia="ja-JP"/>
        </w:rPr>
        <w:t>Kaijveidīgo</w:t>
      </w:r>
      <w:proofErr w:type="spellEnd"/>
      <w:r w:rsidRPr="00A07F29">
        <w:rPr>
          <w:rFonts w:ascii="Times New Roman" w:eastAsia="Calibri" w:hAnsi="Times New Roman" w:cs="Calibri"/>
          <w:bCs/>
          <w:sz w:val="24"/>
          <w:lang w:eastAsia="ja-JP"/>
        </w:rPr>
        <w:t xml:space="preserve"> putnu apdzīvotajās Daugavas salās periodiski nepieciešams novākt veģetāciju, veicot krūmu un koku izciršanu ārpus putnu ligzdošanas sezonas. Koki un krūmi pēc nociršanas sadedzināmi vai citādi aizvācami no salām.</w:t>
      </w:r>
    </w:p>
    <w:p w14:paraId="5C0338C8" w14:textId="6E452353" w:rsidR="00A21E83" w:rsidRPr="00A07F29" w:rsidRDefault="009B590B" w:rsidP="009B590B">
      <w:pPr>
        <w:spacing w:before="120" w:after="0" w:line="240" w:lineRule="auto"/>
        <w:ind w:firstLine="851"/>
        <w:jc w:val="both"/>
        <w:rPr>
          <w:rFonts w:ascii="Times New Roman" w:eastAsia="Calibri" w:hAnsi="Times New Roman" w:cs="Calibri"/>
          <w:bCs/>
          <w:sz w:val="24"/>
          <w:lang w:eastAsia="ja-JP"/>
        </w:rPr>
      </w:pPr>
      <w:r w:rsidRPr="00A07F29">
        <w:rPr>
          <w:rFonts w:ascii="Times New Roman" w:eastAsia="Calibri" w:hAnsi="Times New Roman" w:cs="Calibri"/>
          <w:bCs/>
          <w:sz w:val="24"/>
          <w:lang w:eastAsia="ja-JP"/>
        </w:rPr>
        <w:t xml:space="preserve">Lai </w:t>
      </w:r>
      <w:r w:rsidR="00240A6F" w:rsidRPr="00A07F29">
        <w:rPr>
          <w:rFonts w:ascii="Times New Roman" w:eastAsia="Calibri" w:hAnsi="Times New Roman" w:cs="Calibri"/>
          <w:bCs/>
          <w:sz w:val="24"/>
          <w:lang w:eastAsia="ja-JP"/>
        </w:rPr>
        <w:t xml:space="preserve">nodrošinātu netraucētu putnu ligzdošanu, nav pieļaujama </w:t>
      </w:r>
      <w:r w:rsidRPr="00A07F29">
        <w:rPr>
          <w:rFonts w:ascii="Times New Roman" w:eastAsia="Calibri" w:hAnsi="Times New Roman" w:cs="Calibri"/>
          <w:bCs/>
          <w:sz w:val="24"/>
          <w:lang w:eastAsia="ja-JP"/>
        </w:rPr>
        <w:t>cilvēku</w:t>
      </w:r>
      <w:r w:rsidR="0096678E" w:rsidRPr="00A07F29">
        <w:rPr>
          <w:rFonts w:ascii="Times New Roman" w:eastAsia="Calibri" w:hAnsi="Times New Roman" w:cs="Calibri"/>
          <w:bCs/>
          <w:sz w:val="24"/>
          <w:lang w:eastAsia="ja-JP"/>
        </w:rPr>
        <w:t xml:space="preserve"> tuvošanās un </w:t>
      </w:r>
      <w:r w:rsidRPr="00A07F29">
        <w:rPr>
          <w:rFonts w:ascii="Times New Roman" w:eastAsia="Calibri" w:hAnsi="Times New Roman" w:cs="Calibri"/>
          <w:bCs/>
          <w:sz w:val="24"/>
          <w:lang w:eastAsia="ja-JP"/>
        </w:rPr>
        <w:t>izkāpšan</w:t>
      </w:r>
      <w:r w:rsidR="00240A6F" w:rsidRPr="00A07F29">
        <w:rPr>
          <w:rFonts w:ascii="Times New Roman" w:eastAsia="Calibri" w:hAnsi="Times New Roman" w:cs="Calibri"/>
          <w:bCs/>
          <w:sz w:val="24"/>
          <w:lang w:eastAsia="ja-JP"/>
        </w:rPr>
        <w:t>a</w:t>
      </w:r>
      <w:r w:rsidRPr="00A07F29">
        <w:rPr>
          <w:rFonts w:ascii="Times New Roman" w:eastAsia="Calibri" w:hAnsi="Times New Roman" w:cs="Calibri"/>
          <w:bCs/>
          <w:sz w:val="24"/>
          <w:lang w:eastAsia="ja-JP"/>
        </w:rPr>
        <w:t xml:space="preserve"> </w:t>
      </w:r>
      <w:r w:rsidR="009B50E0" w:rsidRPr="00A07F29">
        <w:rPr>
          <w:rFonts w:ascii="Times New Roman" w:eastAsia="Calibri" w:hAnsi="Times New Roman" w:cs="Calibri"/>
          <w:bCs/>
          <w:sz w:val="24"/>
          <w:lang w:eastAsia="ja-JP"/>
        </w:rPr>
        <w:t xml:space="preserve">uz </w:t>
      </w:r>
      <w:proofErr w:type="spellStart"/>
      <w:r w:rsidRPr="00A07F29">
        <w:rPr>
          <w:rFonts w:ascii="Times New Roman" w:eastAsia="Calibri" w:hAnsi="Times New Roman" w:cs="Calibri"/>
          <w:bCs/>
          <w:sz w:val="24"/>
          <w:lang w:eastAsia="ja-JP"/>
        </w:rPr>
        <w:t>kaij</w:t>
      </w:r>
      <w:r w:rsidR="00240A6F" w:rsidRPr="00A07F29">
        <w:rPr>
          <w:rFonts w:ascii="Times New Roman" w:eastAsia="Calibri" w:hAnsi="Times New Roman" w:cs="Calibri"/>
          <w:bCs/>
          <w:sz w:val="24"/>
          <w:lang w:eastAsia="ja-JP"/>
        </w:rPr>
        <w:t>veidīgo</w:t>
      </w:r>
      <w:proofErr w:type="spellEnd"/>
      <w:r w:rsidR="00240A6F" w:rsidRPr="00A07F29">
        <w:rPr>
          <w:rFonts w:ascii="Times New Roman" w:eastAsia="Calibri" w:hAnsi="Times New Roman" w:cs="Calibri"/>
          <w:bCs/>
          <w:sz w:val="24"/>
          <w:lang w:eastAsia="ja-JP"/>
        </w:rPr>
        <w:t xml:space="preserve"> </w:t>
      </w:r>
      <w:r w:rsidRPr="00A07F29">
        <w:rPr>
          <w:rFonts w:ascii="Times New Roman" w:eastAsia="Calibri" w:hAnsi="Times New Roman" w:cs="Calibri"/>
          <w:bCs/>
          <w:sz w:val="24"/>
          <w:lang w:eastAsia="ja-JP"/>
        </w:rPr>
        <w:t>apdzīvotajām salām ligzdošanas sezonas laikā</w:t>
      </w:r>
      <w:r w:rsidR="00240A6F" w:rsidRPr="00A07F29">
        <w:rPr>
          <w:rFonts w:ascii="Times New Roman" w:eastAsia="Calibri" w:hAnsi="Times New Roman" w:cs="Calibri"/>
          <w:bCs/>
          <w:sz w:val="24"/>
          <w:lang w:eastAsia="ja-JP"/>
        </w:rPr>
        <w:t xml:space="preserve"> no 1.</w:t>
      </w:r>
      <w:r w:rsidR="009A6295">
        <w:rPr>
          <w:rFonts w:ascii="Times New Roman" w:eastAsia="Calibri" w:hAnsi="Times New Roman" w:cs="Calibri"/>
          <w:bCs/>
          <w:sz w:val="24"/>
          <w:lang w:eastAsia="ja-JP"/>
        </w:rPr>
        <w:t> </w:t>
      </w:r>
      <w:r w:rsidR="00240A6F" w:rsidRPr="00A07F29">
        <w:rPr>
          <w:rFonts w:ascii="Times New Roman" w:eastAsia="Calibri" w:hAnsi="Times New Roman" w:cs="Calibri"/>
          <w:bCs/>
          <w:sz w:val="24"/>
          <w:lang w:eastAsia="ja-JP"/>
        </w:rPr>
        <w:t>marta līdz 31.</w:t>
      </w:r>
      <w:r w:rsidR="0096678E" w:rsidRPr="00A07F29">
        <w:rPr>
          <w:rFonts w:ascii="Times New Roman" w:eastAsia="Calibri" w:hAnsi="Times New Roman" w:cs="Calibri"/>
          <w:bCs/>
          <w:sz w:val="24"/>
          <w:lang w:eastAsia="ja-JP"/>
        </w:rPr>
        <w:t> </w:t>
      </w:r>
      <w:r w:rsidR="00240A6F" w:rsidRPr="00A07F29">
        <w:rPr>
          <w:rFonts w:ascii="Times New Roman" w:eastAsia="Calibri" w:hAnsi="Times New Roman" w:cs="Calibri"/>
          <w:bCs/>
          <w:sz w:val="24"/>
          <w:lang w:eastAsia="ja-JP"/>
        </w:rPr>
        <w:t xml:space="preserve">jūlijam. Lai novērstu salu apmeklēšanu, </w:t>
      </w:r>
      <w:r w:rsidRPr="00A07F29">
        <w:rPr>
          <w:rFonts w:ascii="Times New Roman" w:eastAsia="Calibri" w:hAnsi="Times New Roman" w:cs="Calibri"/>
          <w:bCs/>
          <w:sz w:val="24"/>
          <w:lang w:eastAsia="ja-JP"/>
        </w:rPr>
        <w:t xml:space="preserve">nepieciešams uzstādīt brīdinājuma un informācijas zīmes </w:t>
      </w:r>
      <w:proofErr w:type="spellStart"/>
      <w:r w:rsidRPr="00A07F29">
        <w:rPr>
          <w:rFonts w:ascii="Times New Roman" w:eastAsia="Calibri" w:hAnsi="Times New Roman" w:cs="Calibri"/>
          <w:bCs/>
          <w:sz w:val="24"/>
          <w:lang w:eastAsia="ja-JP"/>
        </w:rPr>
        <w:t>laivotājiem</w:t>
      </w:r>
      <w:proofErr w:type="spellEnd"/>
      <w:r w:rsidRPr="00A07F29">
        <w:rPr>
          <w:rFonts w:ascii="Times New Roman" w:eastAsia="Calibri" w:hAnsi="Times New Roman" w:cs="Calibri"/>
          <w:bCs/>
          <w:sz w:val="24"/>
          <w:lang w:eastAsia="ja-JP"/>
        </w:rPr>
        <w:t>, kā arī izglītot laivošanas pakalpojumu sniedzējus.</w:t>
      </w:r>
    </w:p>
    <w:p w14:paraId="0E530608" w14:textId="40F40B95" w:rsidR="00A21E83" w:rsidRPr="00A07F29" w:rsidRDefault="00EA08AF" w:rsidP="009B50E0">
      <w:pPr>
        <w:spacing w:before="120" w:after="0" w:line="240" w:lineRule="auto"/>
        <w:jc w:val="center"/>
        <w:rPr>
          <w:rFonts w:ascii="Times New Roman" w:eastAsia="Calibri" w:hAnsi="Times New Roman" w:cs="Calibri"/>
          <w:bCs/>
          <w:sz w:val="24"/>
          <w:lang w:eastAsia="ja-JP"/>
        </w:rPr>
      </w:pPr>
      <w:r w:rsidRPr="00A07F29">
        <w:rPr>
          <w:noProof/>
          <w:lang w:eastAsia="lv-LV"/>
        </w:rPr>
        <w:lastRenderedPageBreak/>
        <w:drawing>
          <wp:inline distT="0" distB="0" distL="0" distR="0" wp14:anchorId="4609EBEB" wp14:editId="5C952014">
            <wp:extent cx="5731510" cy="4051935"/>
            <wp:effectExtent l="0" t="0" r="2540" b="5715"/>
            <wp:docPr id="918145538" name="Picture 918145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8145538"/>
                    <pic:cNvPicPr/>
                  </pic:nvPicPr>
                  <pic:blipFill>
                    <a:blip r:embed="rId109">
                      <a:extLst>
                        <a:ext uri="{28A0092B-C50C-407E-A947-70E740481C1C}">
                          <a14:useLocalDpi xmlns:a14="http://schemas.microsoft.com/office/drawing/2010/main" val="0"/>
                        </a:ext>
                      </a:extLst>
                    </a:blip>
                    <a:stretch>
                      <a:fillRect/>
                    </a:stretch>
                  </pic:blipFill>
                  <pic:spPr>
                    <a:xfrm>
                      <a:off x="0" y="0"/>
                      <a:ext cx="5731510" cy="4051935"/>
                    </a:xfrm>
                    <a:prstGeom prst="rect">
                      <a:avLst/>
                    </a:prstGeom>
                  </pic:spPr>
                </pic:pic>
              </a:graphicData>
            </a:graphic>
          </wp:inline>
        </w:drawing>
      </w:r>
    </w:p>
    <w:p w14:paraId="6A87647A" w14:textId="75A41530" w:rsidR="00D627DD" w:rsidRPr="002525E2" w:rsidRDefault="00D627DD" w:rsidP="002525E2">
      <w:pPr>
        <w:spacing w:after="0" w:line="240" w:lineRule="auto"/>
        <w:jc w:val="both"/>
        <w:rPr>
          <w:rFonts w:ascii="Times New Roman" w:eastAsia="Calibri" w:hAnsi="Times New Roman" w:cs="Calibri"/>
          <w:sz w:val="20"/>
          <w:szCs w:val="20"/>
          <w:lang w:eastAsia="ja-JP"/>
        </w:rPr>
      </w:pPr>
      <w:r w:rsidRPr="002525E2">
        <w:rPr>
          <w:rFonts w:ascii="Times New Roman" w:eastAsia="Calibri" w:hAnsi="Times New Roman" w:cs="Calibri"/>
          <w:sz w:val="20"/>
          <w:szCs w:val="20"/>
          <w:lang w:eastAsia="ja-JP"/>
        </w:rPr>
        <w:t>5.3.</w:t>
      </w:r>
      <w:r w:rsidR="007B0EA6" w:rsidRPr="002525E2">
        <w:rPr>
          <w:rFonts w:ascii="Times New Roman" w:eastAsia="Calibri" w:hAnsi="Times New Roman" w:cs="Calibri"/>
          <w:sz w:val="20"/>
          <w:szCs w:val="20"/>
          <w:lang w:eastAsia="ja-JP"/>
        </w:rPr>
        <w:t>11</w:t>
      </w:r>
      <w:r w:rsidRPr="002525E2">
        <w:rPr>
          <w:rFonts w:ascii="Times New Roman" w:eastAsia="Calibri" w:hAnsi="Times New Roman" w:cs="Calibri"/>
          <w:sz w:val="20"/>
          <w:szCs w:val="20"/>
          <w:lang w:eastAsia="ja-JP"/>
        </w:rPr>
        <w:t>.</w:t>
      </w:r>
      <w:r w:rsidR="007B0EA6" w:rsidRPr="002525E2">
        <w:rPr>
          <w:rFonts w:ascii="Times New Roman" w:eastAsia="Calibri" w:hAnsi="Times New Roman" w:cs="Calibri"/>
          <w:sz w:val="20"/>
          <w:szCs w:val="20"/>
          <w:lang w:eastAsia="ja-JP"/>
        </w:rPr>
        <w:t> </w:t>
      </w:r>
      <w:r w:rsidRPr="002525E2">
        <w:rPr>
          <w:rFonts w:ascii="Times New Roman" w:eastAsia="Calibri" w:hAnsi="Times New Roman" w:cs="Calibri"/>
          <w:sz w:val="20"/>
          <w:szCs w:val="20"/>
          <w:lang w:eastAsia="ja-JP"/>
        </w:rPr>
        <w:t xml:space="preserve">attēls. </w:t>
      </w:r>
      <w:proofErr w:type="spellStart"/>
      <w:r w:rsidRPr="002525E2">
        <w:rPr>
          <w:rFonts w:ascii="Times New Roman" w:eastAsia="Calibri" w:hAnsi="Times New Roman" w:cs="Calibri"/>
          <w:sz w:val="20"/>
          <w:szCs w:val="20"/>
          <w:lang w:eastAsia="ja-JP"/>
        </w:rPr>
        <w:t>Kaijveidīgo</w:t>
      </w:r>
      <w:proofErr w:type="spellEnd"/>
      <w:r w:rsidRPr="002525E2">
        <w:rPr>
          <w:rFonts w:ascii="Times New Roman" w:eastAsia="Calibri" w:hAnsi="Times New Roman" w:cs="Calibri"/>
          <w:sz w:val="20"/>
          <w:szCs w:val="20"/>
          <w:lang w:eastAsia="ja-JP"/>
        </w:rPr>
        <w:t xml:space="preserve"> putnu apdzīvoto salu apsaimniekošana un brīdinājuma zīmju izvietošana (B.5.</w:t>
      </w:r>
      <w:r w:rsidR="009B50E0" w:rsidRPr="002525E2">
        <w:rPr>
          <w:rFonts w:ascii="Times New Roman" w:eastAsia="Calibri" w:hAnsi="Times New Roman" w:cs="Calibri"/>
          <w:sz w:val="20"/>
          <w:szCs w:val="20"/>
          <w:lang w:eastAsia="ja-JP"/>
        </w:rPr>
        <w:t>1</w:t>
      </w:r>
      <w:r w:rsidRPr="002525E2">
        <w:rPr>
          <w:rFonts w:ascii="Times New Roman" w:eastAsia="Calibri" w:hAnsi="Times New Roman" w:cs="Calibri"/>
          <w:sz w:val="20"/>
          <w:szCs w:val="20"/>
          <w:lang w:eastAsia="ja-JP"/>
        </w:rPr>
        <w:t>.)</w:t>
      </w:r>
      <w:r w:rsidR="009B50E0" w:rsidRPr="002525E2">
        <w:rPr>
          <w:rFonts w:ascii="Times New Roman" w:eastAsia="Calibri" w:hAnsi="Times New Roman" w:cs="Calibri"/>
          <w:sz w:val="20"/>
          <w:szCs w:val="20"/>
          <w:lang w:eastAsia="ja-JP"/>
        </w:rPr>
        <w:t>.</w:t>
      </w:r>
    </w:p>
    <w:p w14:paraId="2A14CDEF" w14:textId="2F9231B9" w:rsidR="00A21E83" w:rsidRPr="00A07F29" w:rsidRDefault="00886EE7" w:rsidP="00DA00E4">
      <w:pPr>
        <w:keepNext/>
        <w:spacing w:before="360" w:after="0" w:line="240" w:lineRule="auto"/>
        <w:jc w:val="both"/>
        <w:rPr>
          <w:rFonts w:ascii="Times New Roman" w:eastAsia="Calibri" w:hAnsi="Times New Roman" w:cs="Calibri"/>
          <w:b/>
          <w:bCs/>
          <w:i/>
          <w:iCs/>
          <w:sz w:val="24"/>
          <w:lang w:eastAsia="ja-JP"/>
        </w:rPr>
      </w:pPr>
      <w:r w:rsidRPr="00A07F29">
        <w:rPr>
          <w:rFonts w:ascii="Times New Roman" w:eastAsia="Calibri" w:hAnsi="Times New Roman" w:cs="Calibri"/>
          <w:b/>
          <w:bCs/>
          <w:i/>
          <w:iCs/>
          <w:sz w:val="24"/>
          <w:lang w:eastAsia="ja-JP"/>
        </w:rPr>
        <w:t xml:space="preserve">B. 5.2. Reto un </w:t>
      </w:r>
      <w:r w:rsidRPr="00623F41">
        <w:rPr>
          <w:rFonts w:ascii="Times New Roman" w:eastAsia="Calibri" w:hAnsi="Times New Roman" w:cs="Calibri"/>
          <w:b/>
          <w:bCs/>
          <w:i/>
          <w:iCs/>
          <w:sz w:val="24"/>
          <w:lang w:eastAsia="ja-JP"/>
        </w:rPr>
        <w:t>īpaši aizsargājamo gliemju</w:t>
      </w:r>
      <w:r w:rsidRPr="00A07F29">
        <w:rPr>
          <w:rFonts w:ascii="Times New Roman" w:eastAsia="Calibri" w:hAnsi="Times New Roman" w:cs="Calibri"/>
          <w:b/>
          <w:bCs/>
          <w:i/>
          <w:iCs/>
          <w:sz w:val="24"/>
          <w:lang w:eastAsia="ja-JP"/>
        </w:rPr>
        <w:t xml:space="preserve"> sugu dzīvotņu </w:t>
      </w:r>
      <w:r w:rsidR="00D16D4F" w:rsidRPr="00A07F29">
        <w:rPr>
          <w:rFonts w:ascii="Times New Roman" w:eastAsia="Calibri" w:hAnsi="Times New Roman" w:cs="Calibri"/>
          <w:b/>
          <w:bCs/>
          <w:i/>
          <w:iCs/>
          <w:sz w:val="24"/>
          <w:lang w:eastAsia="ja-JP"/>
        </w:rPr>
        <w:t>saglabāšana</w:t>
      </w:r>
    </w:p>
    <w:p w14:paraId="7B2D2648" w14:textId="18DAF374" w:rsidR="00A21E83" w:rsidRPr="00A07F29" w:rsidRDefault="00A21E83" w:rsidP="00886EE7">
      <w:pPr>
        <w:spacing w:before="120" w:after="0" w:line="240" w:lineRule="auto"/>
        <w:ind w:firstLine="851"/>
        <w:jc w:val="both"/>
        <w:rPr>
          <w:rFonts w:ascii="Times New Roman" w:eastAsia="Calibri" w:hAnsi="Times New Roman" w:cs="Calibri"/>
          <w:bCs/>
          <w:sz w:val="24"/>
          <w:lang w:eastAsia="ja-JP"/>
        </w:rPr>
      </w:pPr>
      <w:r w:rsidRPr="00A07F29">
        <w:rPr>
          <w:rFonts w:ascii="Times New Roman" w:eastAsia="Calibri" w:hAnsi="Times New Roman" w:cs="Calibri"/>
          <w:bCs/>
          <w:sz w:val="24"/>
          <w:lang w:eastAsia="ja-JP"/>
        </w:rPr>
        <w:t xml:space="preserve">Pirms uzsākt biotopa apsaimniekošanu </w:t>
      </w:r>
      <w:r w:rsidR="00886EE7" w:rsidRPr="00A07F29">
        <w:rPr>
          <w:rFonts w:ascii="Times New Roman" w:eastAsia="Calibri" w:hAnsi="Times New Roman" w:cs="Calibri"/>
          <w:bCs/>
          <w:sz w:val="24"/>
          <w:lang w:eastAsia="ja-JP"/>
        </w:rPr>
        <w:t xml:space="preserve">gliemju </w:t>
      </w:r>
      <w:r w:rsidRPr="00A07F29">
        <w:rPr>
          <w:rFonts w:ascii="Times New Roman" w:eastAsia="Calibri" w:hAnsi="Times New Roman" w:cs="Calibri"/>
          <w:bCs/>
          <w:sz w:val="24"/>
          <w:lang w:eastAsia="ja-JP"/>
        </w:rPr>
        <w:t>sugas atradnē, ja tā pirms tam nav veikta, katru vietu vispirms individuāli jāizvērtē un</w:t>
      </w:r>
      <w:r w:rsidR="00F51059">
        <w:rPr>
          <w:rFonts w:ascii="Times New Roman" w:eastAsia="Calibri" w:hAnsi="Times New Roman" w:cs="Calibri"/>
          <w:bCs/>
          <w:sz w:val="24"/>
          <w:lang w:eastAsia="ja-JP"/>
        </w:rPr>
        <w:t>,</w:t>
      </w:r>
      <w:r w:rsidRPr="00A07F29">
        <w:rPr>
          <w:rFonts w:ascii="Times New Roman" w:eastAsia="Calibri" w:hAnsi="Times New Roman" w:cs="Calibri"/>
          <w:bCs/>
          <w:sz w:val="24"/>
          <w:lang w:eastAsia="ja-JP"/>
        </w:rPr>
        <w:t xml:space="preserve"> tikai tad </w:t>
      </w:r>
      <w:r w:rsidR="00AF2AD0" w:rsidRPr="00A07F29">
        <w:rPr>
          <w:rFonts w:ascii="Times New Roman" w:eastAsia="Calibri" w:hAnsi="Times New Roman" w:cs="Calibri"/>
          <w:bCs/>
          <w:sz w:val="24"/>
          <w:lang w:eastAsia="ja-JP"/>
        </w:rPr>
        <w:t xml:space="preserve">var </w:t>
      </w:r>
      <w:r w:rsidRPr="00A07F29">
        <w:rPr>
          <w:rFonts w:ascii="Times New Roman" w:eastAsia="Calibri" w:hAnsi="Times New Roman" w:cs="Calibri"/>
          <w:bCs/>
          <w:sz w:val="24"/>
          <w:lang w:eastAsia="ja-JP"/>
        </w:rPr>
        <w:t xml:space="preserve">pieņemt </w:t>
      </w:r>
      <w:r w:rsidR="00AF2AD0" w:rsidRPr="00A07F29">
        <w:rPr>
          <w:rFonts w:ascii="Times New Roman" w:eastAsia="Calibri" w:hAnsi="Times New Roman" w:cs="Calibri"/>
          <w:bCs/>
          <w:sz w:val="24"/>
          <w:lang w:eastAsia="ja-JP"/>
        </w:rPr>
        <w:t xml:space="preserve">lēmumu par </w:t>
      </w:r>
      <w:r w:rsidRPr="00A07F29">
        <w:rPr>
          <w:rFonts w:ascii="Times New Roman" w:eastAsia="Calibri" w:hAnsi="Times New Roman" w:cs="Calibri"/>
          <w:bCs/>
          <w:sz w:val="24"/>
          <w:lang w:eastAsia="ja-JP"/>
        </w:rPr>
        <w:t xml:space="preserve">atbilstošu apsaimniekošanas režīmu, konsultējoties ar attiecīgās sugu grupas ekspertu. AAA “Augšdaugava” plānojot vai veicot apsaimniekošanas pasākumus </w:t>
      </w:r>
      <w:r w:rsidRPr="00623F41">
        <w:rPr>
          <w:rFonts w:ascii="Times New Roman" w:eastAsia="Calibri" w:hAnsi="Times New Roman" w:cs="Calibri"/>
          <w:bCs/>
          <w:sz w:val="24"/>
          <w:lang w:eastAsia="ja-JP"/>
        </w:rPr>
        <w:t>īpaši aizsargājamo</w:t>
      </w:r>
      <w:r w:rsidRPr="00A07F29">
        <w:rPr>
          <w:rFonts w:ascii="Times New Roman" w:eastAsia="Calibri" w:hAnsi="Times New Roman" w:cs="Calibri"/>
          <w:bCs/>
          <w:sz w:val="24"/>
          <w:lang w:eastAsia="ja-JP"/>
        </w:rPr>
        <w:t xml:space="preserve"> gliemju sugu atradnēs, jāņem vērā sekojošais</w:t>
      </w:r>
      <w:r w:rsidR="00886EE7" w:rsidRPr="00A07F29">
        <w:rPr>
          <w:rFonts w:ascii="Times New Roman" w:eastAsia="Calibri" w:hAnsi="Times New Roman" w:cs="Calibri"/>
          <w:bCs/>
          <w:sz w:val="24"/>
          <w:lang w:eastAsia="ja-JP"/>
        </w:rPr>
        <w:t xml:space="preserve"> (</w:t>
      </w:r>
      <w:proofErr w:type="spellStart"/>
      <w:r w:rsidR="00886EE7" w:rsidRPr="00A07F29">
        <w:rPr>
          <w:rFonts w:ascii="Times New Roman" w:eastAsia="Calibri" w:hAnsi="Times New Roman" w:cs="Calibri"/>
          <w:bCs/>
          <w:sz w:val="24"/>
          <w:lang w:eastAsia="ja-JP"/>
        </w:rPr>
        <w:t>Cameron</w:t>
      </w:r>
      <w:proofErr w:type="spellEnd"/>
      <w:r w:rsidR="00886EE7" w:rsidRPr="00A07F29">
        <w:rPr>
          <w:rFonts w:ascii="Times New Roman" w:eastAsia="Calibri" w:hAnsi="Times New Roman" w:cs="Calibri"/>
          <w:bCs/>
          <w:sz w:val="24"/>
          <w:lang w:eastAsia="ja-JP"/>
        </w:rPr>
        <w:t xml:space="preserve"> </w:t>
      </w:r>
      <w:r w:rsidR="00623F41">
        <w:rPr>
          <w:rFonts w:ascii="Times New Roman" w:eastAsia="Calibri" w:hAnsi="Times New Roman" w:cs="Calibri"/>
          <w:bCs/>
          <w:sz w:val="24"/>
          <w:lang w:eastAsia="ja-JP"/>
        </w:rPr>
        <w:t xml:space="preserve">R. A. D., </w:t>
      </w:r>
      <w:proofErr w:type="spellStart"/>
      <w:r w:rsidR="00886EE7" w:rsidRPr="00A07F29">
        <w:rPr>
          <w:rFonts w:ascii="Times New Roman" w:eastAsia="Calibri" w:hAnsi="Times New Roman" w:cs="Calibri"/>
          <w:bCs/>
          <w:sz w:val="24"/>
          <w:lang w:eastAsia="ja-JP"/>
        </w:rPr>
        <w:t>et</w:t>
      </w:r>
      <w:proofErr w:type="spellEnd"/>
      <w:r w:rsidR="00886EE7" w:rsidRPr="00A07F29">
        <w:rPr>
          <w:rFonts w:ascii="Times New Roman" w:eastAsia="Calibri" w:hAnsi="Times New Roman" w:cs="Calibri"/>
          <w:bCs/>
          <w:sz w:val="24"/>
          <w:lang w:eastAsia="ja-JP"/>
        </w:rPr>
        <w:t xml:space="preserve"> al.</w:t>
      </w:r>
      <w:r w:rsidR="00623F41">
        <w:rPr>
          <w:rFonts w:ascii="Times New Roman" w:eastAsia="Calibri" w:hAnsi="Times New Roman" w:cs="Calibri"/>
          <w:bCs/>
          <w:sz w:val="24"/>
          <w:lang w:eastAsia="ja-JP"/>
        </w:rPr>
        <w:t>,</w:t>
      </w:r>
      <w:r w:rsidR="00886EE7" w:rsidRPr="00A07F29">
        <w:rPr>
          <w:rFonts w:ascii="Times New Roman" w:eastAsia="Calibri" w:hAnsi="Times New Roman" w:cs="Calibri"/>
          <w:bCs/>
          <w:sz w:val="24"/>
          <w:lang w:eastAsia="ja-JP"/>
        </w:rPr>
        <w:t xml:space="preserve"> 2003)</w:t>
      </w:r>
      <w:r w:rsidRPr="00A07F29">
        <w:rPr>
          <w:rFonts w:ascii="Times New Roman" w:eastAsia="Calibri" w:hAnsi="Times New Roman" w:cs="Calibri"/>
          <w:bCs/>
          <w:sz w:val="24"/>
          <w:lang w:eastAsia="ja-JP"/>
        </w:rPr>
        <w:t>:</w:t>
      </w:r>
    </w:p>
    <w:p w14:paraId="64DCC70E" w14:textId="03FC6397" w:rsidR="00AF2AD0" w:rsidRPr="00A07F29" w:rsidRDefault="00AF2AD0" w:rsidP="00F87589">
      <w:pPr>
        <w:pStyle w:val="ListParagraph"/>
        <w:numPr>
          <w:ilvl w:val="0"/>
          <w:numId w:val="38"/>
        </w:numPr>
        <w:spacing w:before="120" w:after="0" w:line="240" w:lineRule="auto"/>
        <w:contextualSpacing w:val="0"/>
        <w:rPr>
          <w:bCs/>
          <w:lang w:eastAsia="ja-JP"/>
        </w:rPr>
      </w:pPr>
      <w:r w:rsidRPr="00A07F29">
        <w:rPr>
          <w:bCs/>
          <w:lang w:eastAsia="ja-JP"/>
        </w:rPr>
        <w:t>papildus apsaimniekošanas pasākumi nav nepieciešami, ja dzīvotnē zālājos un purvos ganās savvaļas pārnadži, kas ir vislabākais dzīvotnes uzturēšanas veids;</w:t>
      </w:r>
    </w:p>
    <w:p w14:paraId="5C92FC0E" w14:textId="53317778" w:rsidR="00AF2AD0" w:rsidRPr="00A07F29" w:rsidRDefault="00AF2AD0" w:rsidP="00F87589">
      <w:pPr>
        <w:pStyle w:val="ListParagraph"/>
        <w:numPr>
          <w:ilvl w:val="0"/>
          <w:numId w:val="38"/>
        </w:numPr>
        <w:spacing w:before="120" w:after="0" w:line="240" w:lineRule="auto"/>
        <w:ind w:left="1077" w:hanging="357"/>
        <w:contextualSpacing w:val="0"/>
        <w:rPr>
          <w:bCs/>
          <w:lang w:eastAsia="ja-JP"/>
        </w:rPr>
      </w:pPr>
      <w:r w:rsidRPr="00A07F29">
        <w:rPr>
          <w:bCs/>
          <w:lang w:eastAsia="ja-JP"/>
        </w:rPr>
        <w:t>lai dzīvotnes zālājos un purvos neaizaugtu ar krūmiem un kokiem, vislabākais tās uzturēšanas veids ir apauguma izciršana reizi 10 gados;</w:t>
      </w:r>
    </w:p>
    <w:p w14:paraId="61108999" w14:textId="02EAC895" w:rsidR="00A21E83" w:rsidRPr="00A07F29" w:rsidRDefault="00A21E83" w:rsidP="00F87589">
      <w:pPr>
        <w:pStyle w:val="ListParagraph"/>
        <w:numPr>
          <w:ilvl w:val="0"/>
          <w:numId w:val="38"/>
        </w:numPr>
        <w:spacing w:before="120" w:after="0" w:line="240" w:lineRule="auto"/>
        <w:ind w:left="1077" w:hanging="357"/>
        <w:contextualSpacing w:val="0"/>
        <w:rPr>
          <w:bCs/>
          <w:lang w:eastAsia="ja-JP"/>
        </w:rPr>
      </w:pPr>
      <w:r w:rsidRPr="00A07F29">
        <w:rPr>
          <w:bCs/>
          <w:lang w:eastAsia="ja-JP"/>
        </w:rPr>
        <w:t xml:space="preserve">zālājos </w:t>
      </w:r>
      <w:r w:rsidR="00AF2AD0" w:rsidRPr="00A07F29">
        <w:rPr>
          <w:bCs/>
          <w:lang w:eastAsia="ja-JP"/>
        </w:rPr>
        <w:t xml:space="preserve">jāturpina </w:t>
      </w:r>
      <w:r w:rsidRPr="00A07F29">
        <w:rPr>
          <w:bCs/>
          <w:lang w:eastAsia="ja-JP"/>
        </w:rPr>
        <w:t xml:space="preserve">līdz šim </w:t>
      </w:r>
      <w:r w:rsidR="00AF2AD0" w:rsidRPr="00A07F29">
        <w:rPr>
          <w:bCs/>
          <w:lang w:eastAsia="ja-JP"/>
        </w:rPr>
        <w:t xml:space="preserve">veiktā </w:t>
      </w:r>
      <w:r w:rsidRPr="00A07F29">
        <w:rPr>
          <w:bCs/>
          <w:lang w:eastAsia="ja-JP"/>
        </w:rPr>
        <w:t xml:space="preserve">vai </w:t>
      </w:r>
      <w:r w:rsidR="00AF2AD0" w:rsidRPr="00A07F29">
        <w:rPr>
          <w:bCs/>
          <w:lang w:eastAsia="ja-JP"/>
        </w:rPr>
        <w:t>jā</w:t>
      </w:r>
      <w:r w:rsidRPr="00A07F29">
        <w:rPr>
          <w:bCs/>
          <w:lang w:eastAsia="ja-JP"/>
        </w:rPr>
        <w:t xml:space="preserve">uzsāk vēsturiski </w:t>
      </w:r>
      <w:r w:rsidR="00AF2AD0" w:rsidRPr="00A07F29">
        <w:rPr>
          <w:bCs/>
          <w:lang w:eastAsia="ja-JP"/>
        </w:rPr>
        <w:t xml:space="preserve">veiktā apsaimniekošana </w:t>
      </w:r>
      <w:r w:rsidRPr="00A07F29">
        <w:rPr>
          <w:bCs/>
          <w:lang w:eastAsia="ja-JP"/>
        </w:rPr>
        <w:t>(B.2.1</w:t>
      </w:r>
      <w:r w:rsidR="00AF2AD0" w:rsidRPr="00A07F29">
        <w:rPr>
          <w:bCs/>
          <w:lang w:eastAsia="ja-JP"/>
        </w:rPr>
        <w:t>.</w:t>
      </w:r>
      <w:r w:rsidR="00844EBB">
        <w:rPr>
          <w:bCs/>
          <w:lang w:eastAsia="ja-JP"/>
        </w:rPr>
        <w:t> </w:t>
      </w:r>
      <w:r w:rsidR="00AF2AD0" w:rsidRPr="00A07F29">
        <w:rPr>
          <w:bCs/>
          <w:lang w:eastAsia="ja-JP"/>
        </w:rPr>
        <w:t>–</w:t>
      </w:r>
      <w:r w:rsidR="00844EBB">
        <w:rPr>
          <w:bCs/>
          <w:lang w:eastAsia="ja-JP"/>
        </w:rPr>
        <w:t> </w:t>
      </w:r>
      <w:r w:rsidRPr="00A07F29">
        <w:rPr>
          <w:bCs/>
          <w:lang w:eastAsia="ja-JP"/>
        </w:rPr>
        <w:t>B.2.</w:t>
      </w:r>
      <w:r w:rsidR="00AF2AD0" w:rsidRPr="00A07F29">
        <w:rPr>
          <w:bCs/>
          <w:lang w:eastAsia="ja-JP"/>
        </w:rPr>
        <w:t>3</w:t>
      </w:r>
      <w:r w:rsidRPr="00A07F29">
        <w:rPr>
          <w:bCs/>
          <w:lang w:eastAsia="ja-JP"/>
        </w:rPr>
        <w:t>.</w:t>
      </w:r>
      <w:r w:rsidR="00844EBB">
        <w:rPr>
          <w:bCs/>
          <w:lang w:eastAsia="ja-JP"/>
        </w:rPr>
        <w:t> </w:t>
      </w:r>
      <w:r w:rsidR="00AF2AD0" w:rsidRPr="00A07F29">
        <w:rPr>
          <w:bCs/>
          <w:lang w:eastAsia="ja-JP"/>
        </w:rPr>
        <w:t>pasākums</w:t>
      </w:r>
      <w:r w:rsidRPr="00A07F29">
        <w:rPr>
          <w:bCs/>
          <w:lang w:eastAsia="ja-JP"/>
        </w:rPr>
        <w:t>);</w:t>
      </w:r>
    </w:p>
    <w:p w14:paraId="5D2A4750" w14:textId="42243E8F" w:rsidR="00A21E83" w:rsidRPr="00A07F29" w:rsidRDefault="00AF2AD0" w:rsidP="00F87589">
      <w:pPr>
        <w:pStyle w:val="ListParagraph"/>
        <w:numPr>
          <w:ilvl w:val="0"/>
          <w:numId w:val="38"/>
        </w:numPr>
        <w:spacing w:before="120" w:after="0" w:line="240" w:lineRule="auto"/>
        <w:ind w:left="1077" w:hanging="357"/>
        <w:contextualSpacing w:val="0"/>
        <w:rPr>
          <w:bCs/>
          <w:lang w:eastAsia="ja-JP"/>
        </w:rPr>
      </w:pPr>
      <w:r w:rsidRPr="00A07F29">
        <w:rPr>
          <w:bCs/>
          <w:lang w:eastAsia="ja-JP"/>
        </w:rPr>
        <w:t>no</w:t>
      </w:r>
      <w:r w:rsidR="00A21E83" w:rsidRPr="00A07F29">
        <w:rPr>
          <w:bCs/>
          <w:lang w:eastAsia="ja-JP"/>
        </w:rPr>
        <w:t>ganīšanai jābūt ekstensīvai</w:t>
      </w:r>
      <w:r w:rsidRPr="00A07F29">
        <w:rPr>
          <w:bCs/>
          <w:lang w:eastAsia="ja-JP"/>
        </w:rPr>
        <w:t xml:space="preserve"> un v</w:t>
      </w:r>
      <w:r w:rsidR="00A21E83" w:rsidRPr="00A07F29">
        <w:rPr>
          <w:bCs/>
          <w:lang w:eastAsia="ja-JP"/>
        </w:rPr>
        <w:t>ispiemērotākie ir zirgi</w:t>
      </w:r>
      <w:r w:rsidRPr="00A07F29">
        <w:rPr>
          <w:bCs/>
          <w:lang w:eastAsia="ja-JP"/>
        </w:rPr>
        <w:t>; n</w:t>
      </w:r>
      <w:r w:rsidR="00A21E83" w:rsidRPr="00A07F29">
        <w:rPr>
          <w:bCs/>
          <w:lang w:eastAsia="ja-JP"/>
        </w:rPr>
        <w:t>oganīšanai nav ieteicamas “smagās” liellopu šķirnes un visnepiemērotākās ir piena govis ar augstām barošanas prasībām; nedrīkst ganīt aitas;</w:t>
      </w:r>
    </w:p>
    <w:p w14:paraId="39FEC09F" w14:textId="1160C172" w:rsidR="00A21E83" w:rsidRPr="00A07F29" w:rsidRDefault="00DA00E4" w:rsidP="00F87589">
      <w:pPr>
        <w:pStyle w:val="ListParagraph"/>
        <w:numPr>
          <w:ilvl w:val="0"/>
          <w:numId w:val="38"/>
        </w:numPr>
        <w:spacing w:before="120" w:after="0" w:line="240" w:lineRule="auto"/>
        <w:ind w:left="1077" w:hanging="357"/>
        <w:contextualSpacing w:val="0"/>
        <w:rPr>
          <w:bCs/>
          <w:lang w:eastAsia="ja-JP"/>
        </w:rPr>
      </w:pPr>
      <w:r w:rsidRPr="00A07F29">
        <w:rPr>
          <w:bCs/>
          <w:lang w:eastAsia="ja-JP"/>
        </w:rPr>
        <w:t xml:space="preserve">gliemju </w:t>
      </w:r>
      <w:r w:rsidR="00A21E83" w:rsidRPr="00A07F29">
        <w:rPr>
          <w:bCs/>
          <w:lang w:eastAsia="ja-JP"/>
        </w:rPr>
        <w:t>dzīvotnē</w:t>
      </w:r>
      <w:r w:rsidRPr="00A07F29">
        <w:rPr>
          <w:bCs/>
          <w:lang w:eastAsia="ja-JP"/>
        </w:rPr>
        <w:t>s</w:t>
      </w:r>
      <w:r w:rsidR="00A21E83" w:rsidRPr="00A07F29">
        <w:rPr>
          <w:bCs/>
          <w:lang w:eastAsia="ja-JP"/>
        </w:rPr>
        <w:t xml:space="preserve"> nedrīkst ierīkot liellopu/savvaļas pārnadžu koncentrēšanās un piebarošanas vietas;</w:t>
      </w:r>
    </w:p>
    <w:p w14:paraId="4767CD6B" w14:textId="72FC73E5" w:rsidR="00A21E83" w:rsidRPr="00A07F29" w:rsidRDefault="00DA00E4" w:rsidP="00F87589">
      <w:pPr>
        <w:pStyle w:val="ListParagraph"/>
        <w:numPr>
          <w:ilvl w:val="0"/>
          <w:numId w:val="38"/>
        </w:numPr>
        <w:spacing w:before="120" w:after="0" w:line="240" w:lineRule="auto"/>
        <w:ind w:left="1077" w:hanging="357"/>
        <w:contextualSpacing w:val="0"/>
        <w:rPr>
          <w:bCs/>
          <w:lang w:eastAsia="ja-JP"/>
        </w:rPr>
      </w:pPr>
      <w:r w:rsidRPr="00A07F29">
        <w:rPr>
          <w:bCs/>
          <w:lang w:eastAsia="ja-JP"/>
        </w:rPr>
        <w:t xml:space="preserve">gliemju </w:t>
      </w:r>
      <w:r w:rsidR="00A21E83" w:rsidRPr="00A07F29">
        <w:rPr>
          <w:bCs/>
          <w:lang w:eastAsia="ja-JP"/>
        </w:rPr>
        <w:t>dzīvotnē</w:t>
      </w:r>
      <w:r w:rsidRPr="00A07F29">
        <w:rPr>
          <w:bCs/>
          <w:lang w:eastAsia="ja-JP"/>
        </w:rPr>
        <w:t>s</w:t>
      </w:r>
      <w:r w:rsidR="00A21E83" w:rsidRPr="00A07F29">
        <w:rPr>
          <w:bCs/>
          <w:lang w:eastAsia="ja-JP"/>
        </w:rPr>
        <w:t xml:space="preserve"> nav pieļaujama visu veidu augsnes kultivēšana, frēzēšana un aršana (ieskaitot mežā) vai apmežošana;</w:t>
      </w:r>
    </w:p>
    <w:p w14:paraId="74405051" w14:textId="2C91F9E9" w:rsidR="00A21E83" w:rsidRPr="00A07F29" w:rsidRDefault="00A21E83" w:rsidP="00F87589">
      <w:pPr>
        <w:pStyle w:val="ListParagraph"/>
        <w:numPr>
          <w:ilvl w:val="0"/>
          <w:numId w:val="38"/>
        </w:numPr>
        <w:spacing w:before="120" w:after="0" w:line="240" w:lineRule="auto"/>
        <w:ind w:left="1077" w:hanging="357"/>
        <w:contextualSpacing w:val="0"/>
        <w:rPr>
          <w:bCs/>
          <w:lang w:eastAsia="ja-JP"/>
        </w:rPr>
      </w:pPr>
      <w:r w:rsidRPr="00A07F29">
        <w:rPr>
          <w:bCs/>
          <w:lang w:eastAsia="ja-JP"/>
        </w:rPr>
        <w:lastRenderedPageBreak/>
        <w:t>nav pieļaujama ne tikai dzīvotnē (ieskaitot ūdenstilpes), bet arī tās tuvumā mēslošana (ieskaitot ar organiskiem mēsliem, vircu, pienotavu notekūdeņiem)</w:t>
      </w:r>
      <w:r w:rsidR="00DA00E4" w:rsidRPr="00A07F29">
        <w:rPr>
          <w:bCs/>
          <w:lang w:eastAsia="ja-JP"/>
        </w:rPr>
        <w:t>, kā arī</w:t>
      </w:r>
      <w:r w:rsidRPr="00A07F29">
        <w:rPr>
          <w:bCs/>
          <w:lang w:eastAsia="ja-JP"/>
        </w:rPr>
        <w:t xml:space="preserve"> pesticīdu un herbicīdu izmantošana;</w:t>
      </w:r>
    </w:p>
    <w:p w14:paraId="62563A72" w14:textId="77777777" w:rsidR="00A21E83" w:rsidRPr="00A07F29" w:rsidRDefault="00A21E83" w:rsidP="00F87589">
      <w:pPr>
        <w:pStyle w:val="ListParagraph"/>
        <w:numPr>
          <w:ilvl w:val="0"/>
          <w:numId w:val="38"/>
        </w:numPr>
        <w:spacing w:before="120" w:after="0" w:line="240" w:lineRule="auto"/>
        <w:ind w:left="1077" w:hanging="357"/>
        <w:contextualSpacing w:val="0"/>
        <w:rPr>
          <w:bCs/>
          <w:lang w:eastAsia="ja-JP"/>
        </w:rPr>
      </w:pPr>
      <w:r w:rsidRPr="00A07F29">
        <w:rPr>
          <w:bCs/>
          <w:lang w:eastAsia="ja-JP"/>
        </w:rPr>
        <w:t xml:space="preserve">nav pieļaujamas </w:t>
      </w:r>
      <w:proofErr w:type="spellStart"/>
      <w:r w:rsidRPr="00A07F29">
        <w:rPr>
          <w:bCs/>
          <w:lang w:eastAsia="ja-JP"/>
        </w:rPr>
        <w:t>invazīvās</w:t>
      </w:r>
      <w:proofErr w:type="spellEnd"/>
      <w:r w:rsidRPr="00A07F29">
        <w:rPr>
          <w:bCs/>
          <w:lang w:eastAsia="ja-JP"/>
        </w:rPr>
        <w:t xml:space="preserve"> un citas introducētās augu sugas;</w:t>
      </w:r>
    </w:p>
    <w:p w14:paraId="3833FD11" w14:textId="4F4F0B36" w:rsidR="00DA00E4" w:rsidRPr="00A07F29" w:rsidRDefault="00A21E83" w:rsidP="00F87589">
      <w:pPr>
        <w:pStyle w:val="ListParagraph"/>
        <w:numPr>
          <w:ilvl w:val="0"/>
          <w:numId w:val="38"/>
        </w:numPr>
        <w:spacing w:before="120" w:after="0" w:line="240" w:lineRule="auto"/>
        <w:ind w:left="1077" w:hanging="357"/>
        <w:contextualSpacing w:val="0"/>
        <w:rPr>
          <w:bCs/>
          <w:lang w:eastAsia="ja-JP"/>
        </w:rPr>
      </w:pPr>
      <w:r w:rsidRPr="00A07F29">
        <w:rPr>
          <w:bCs/>
          <w:lang w:eastAsia="ja-JP"/>
        </w:rPr>
        <w:t xml:space="preserve">nav pieļaujama </w:t>
      </w:r>
      <w:r w:rsidR="00DA00E4" w:rsidRPr="00A07F29">
        <w:rPr>
          <w:bCs/>
          <w:lang w:eastAsia="ja-JP"/>
        </w:rPr>
        <w:t>gliemju dzīvotnes kvalitātes pasliktināšanās bebru darbības rezultātā – jākontrolē bebru darbība, nepieciešamības gadījumā nojaucot bebru dambjus un regulējot bebru skaitu ar medībām;</w:t>
      </w:r>
    </w:p>
    <w:p w14:paraId="0CCD5714" w14:textId="774B3161" w:rsidR="00A21E83" w:rsidRPr="00A07F29" w:rsidRDefault="00A21E83" w:rsidP="00F87589">
      <w:pPr>
        <w:pStyle w:val="ListParagraph"/>
        <w:numPr>
          <w:ilvl w:val="0"/>
          <w:numId w:val="38"/>
        </w:numPr>
        <w:spacing w:before="120" w:after="0" w:line="240" w:lineRule="auto"/>
        <w:ind w:left="1077" w:hanging="357"/>
        <w:contextualSpacing w:val="0"/>
        <w:rPr>
          <w:bCs/>
          <w:lang w:eastAsia="ja-JP"/>
        </w:rPr>
      </w:pPr>
      <w:r w:rsidRPr="00A07F29">
        <w:rPr>
          <w:bCs/>
          <w:lang w:eastAsia="ja-JP"/>
        </w:rPr>
        <w:t xml:space="preserve">nav pieļaujama hidroloģiskā režīma maiņa (meliorācijas sistēmu atjaunošana vai jaunas izveidošana, jaunu dambju izveidošana uz upēm) </w:t>
      </w:r>
      <w:r w:rsidR="00DA00E4" w:rsidRPr="00A07F29">
        <w:rPr>
          <w:bCs/>
          <w:lang w:eastAsia="ja-JP"/>
        </w:rPr>
        <w:t xml:space="preserve">gliemju </w:t>
      </w:r>
      <w:r w:rsidRPr="00A07F29">
        <w:rPr>
          <w:bCs/>
          <w:lang w:eastAsia="ja-JP"/>
        </w:rPr>
        <w:t>dzīvotnē un tās tiešā tuvumā;</w:t>
      </w:r>
    </w:p>
    <w:p w14:paraId="3C925BFA" w14:textId="22BA5DD1" w:rsidR="00A21E83" w:rsidRPr="00A07F29" w:rsidRDefault="00A21E83" w:rsidP="00F87589">
      <w:pPr>
        <w:pStyle w:val="ListParagraph"/>
        <w:numPr>
          <w:ilvl w:val="0"/>
          <w:numId w:val="38"/>
        </w:numPr>
        <w:spacing w:before="120" w:after="0" w:line="240" w:lineRule="auto"/>
        <w:ind w:left="1077" w:hanging="357"/>
        <w:contextualSpacing w:val="0"/>
        <w:rPr>
          <w:bCs/>
          <w:lang w:eastAsia="ja-JP"/>
        </w:rPr>
      </w:pPr>
      <w:r w:rsidRPr="00A07F29">
        <w:rPr>
          <w:bCs/>
          <w:lang w:eastAsia="ja-JP"/>
        </w:rPr>
        <w:t xml:space="preserve">nogāžu un gravu mežu apsaimniekošanā </w:t>
      </w:r>
      <w:r w:rsidR="00DA00E4" w:rsidRPr="00A07F29">
        <w:rPr>
          <w:bCs/>
          <w:lang w:eastAsia="ja-JP"/>
        </w:rPr>
        <w:t xml:space="preserve">jānodrošina neiejaukšanās </w:t>
      </w:r>
      <w:r w:rsidRPr="00A07F29">
        <w:rPr>
          <w:bCs/>
          <w:lang w:eastAsia="ja-JP"/>
        </w:rPr>
        <w:t>dabiskajos procesos (B.4.</w:t>
      </w:r>
      <w:r w:rsidR="00DA00E4" w:rsidRPr="00A07F29">
        <w:rPr>
          <w:bCs/>
          <w:lang w:eastAsia="ja-JP"/>
        </w:rPr>
        <w:t>1</w:t>
      </w:r>
      <w:r w:rsidRPr="00A07F29">
        <w:rPr>
          <w:bCs/>
          <w:lang w:eastAsia="ja-JP"/>
        </w:rPr>
        <w:t>.</w:t>
      </w:r>
      <w:r w:rsidR="002E25A6">
        <w:rPr>
          <w:bCs/>
          <w:lang w:eastAsia="ja-JP"/>
        </w:rPr>
        <w:t> </w:t>
      </w:r>
      <w:r w:rsidR="00DA00E4" w:rsidRPr="00A07F29">
        <w:rPr>
          <w:bCs/>
          <w:lang w:eastAsia="ja-JP"/>
        </w:rPr>
        <w:t>pasākums</w:t>
      </w:r>
      <w:r w:rsidRPr="00A07F29">
        <w:rPr>
          <w:bCs/>
          <w:lang w:eastAsia="ja-JP"/>
        </w:rPr>
        <w:t xml:space="preserve">) un </w:t>
      </w:r>
      <w:r w:rsidR="00DA00E4" w:rsidRPr="00A07F29">
        <w:rPr>
          <w:bCs/>
          <w:lang w:eastAsia="ja-JP"/>
        </w:rPr>
        <w:t>jā</w:t>
      </w:r>
      <w:r w:rsidRPr="00A07F29">
        <w:rPr>
          <w:bCs/>
          <w:lang w:eastAsia="ja-JP"/>
        </w:rPr>
        <w:t xml:space="preserve">ievēro </w:t>
      </w:r>
      <w:r w:rsidR="00DA00E4" w:rsidRPr="00A07F29">
        <w:rPr>
          <w:bCs/>
          <w:lang w:eastAsia="ja-JP"/>
        </w:rPr>
        <w:t>buferzona</w:t>
      </w:r>
      <w:r w:rsidRPr="00A07F29">
        <w:rPr>
          <w:bCs/>
          <w:lang w:eastAsia="ja-JP"/>
        </w:rPr>
        <w:t xml:space="preserve">, kā norādīts meža biotopu apsaimniekošanas vadlīnijās (Ikauniece </w:t>
      </w:r>
      <w:r w:rsidR="00623F41">
        <w:rPr>
          <w:bCs/>
          <w:lang w:eastAsia="ja-JP"/>
        </w:rPr>
        <w:t xml:space="preserve">S., </w:t>
      </w:r>
      <w:r w:rsidRPr="00A07F29">
        <w:rPr>
          <w:bCs/>
          <w:lang w:eastAsia="ja-JP"/>
        </w:rPr>
        <w:t>2017).</w:t>
      </w:r>
    </w:p>
    <w:p w14:paraId="55DF6B1F" w14:textId="3579FEEF" w:rsidR="00A21E83" w:rsidRPr="00A07F29" w:rsidRDefault="00D130FC" w:rsidP="00697218">
      <w:pPr>
        <w:keepNext/>
        <w:spacing w:before="360" w:after="0" w:line="240" w:lineRule="auto"/>
        <w:jc w:val="both"/>
        <w:rPr>
          <w:rFonts w:ascii="Times New Roman" w:eastAsia="Calibri" w:hAnsi="Times New Roman" w:cs="Calibri"/>
          <w:b/>
          <w:bCs/>
          <w:i/>
          <w:iCs/>
          <w:sz w:val="24"/>
          <w:lang w:eastAsia="ja-JP"/>
        </w:rPr>
      </w:pPr>
      <w:r w:rsidRPr="00A07F29">
        <w:rPr>
          <w:rFonts w:ascii="Times New Roman" w:eastAsia="Calibri" w:hAnsi="Times New Roman" w:cs="Calibri"/>
          <w:b/>
          <w:bCs/>
          <w:i/>
          <w:iCs/>
          <w:sz w:val="24"/>
          <w:lang w:eastAsia="ja-JP"/>
        </w:rPr>
        <w:t xml:space="preserve">B.5.3. </w:t>
      </w:r>
      <w:r w:rsidR="00A21E83" w:rsidRPr="00A07F29">
        <w:rPr>
          <w:rFonts w:ascii="Times New Roman" w:eastAsia="Calibri" w:hAnsi="Times New Roman" w:cs="Calibri"/>
          <w:b/>
          <w:bCs/>
          <w:i/>
          <w:iCs/>
          <w:sz w:val="24"/>
          <w:lang w:eastAsia="ja-JP"/>
        </w:rPr>
        <w:t xml:space="preserve">Sikspārņu </w:t>
      </w:r>
      <w:r w:rsidR="00795E4B" w:rsidRPr="00A07F29">
        <w:rPr>
          <w:rFonts w:ascii="Times New Roman" w:eastAsia="Calibri" w:hAnsi="Times New Roman" w:cs="Calibri"/>
          <w:b/>
          <w:bCs/>
          <w:i/>
          <w:iCs/>
          <w:sz w:val="24"/>
          <w:lang w:eastAsia="ja-JP"/>
        </w:rPr>
        <w:t xml:space="preserve">vasaras mītņu </w:t>
      </w:r>
      <w:r w:rsidR="00EA08AF" w:rsidRPr="00A07F29">
        <w:rPr>
          <w:rFonts w:ascii="Times New Roman" w:eastAsia="Calibri" w:hAnsi="Times New Roman" w:cs="Calibri"/>
          <w:b/>
          <w:bCs/>
          <w:i/>
          <w:iCs/>
          <w:sz w:val="24"/>
          <w:lang w:eastAsia="ja-JP"/>
        </w:rPr>
        <w:t xml:space="preserve">un </w:t>
      </w:r>
      <w:r w:rsidR="00F3093D" w:rsidRPr="00A07F29">
        <w:rPr>
          <w:rFonts w:ascii="Times New Roman" w:eastAsia="Calibri" w:hAnsi="Times New Roman" w:cs="Calibri"/>
          <w:b/>
          <w:bCs/>
          <w:i/>
          <w:iCs/>
          <w:sz w:val="24"/>
          <w:lang w:eastAsia="ja-JP"/>
        </w:rPr>
        <w:t xml:space="preserve">barošanās teritoriju </w:t>
      </w:r>
      <w:r w:rsidR="00795E4B" w:rsidRPr="00A07F29">
        <w:rPr>
          <w:rFonts w:ascii="Times New Roman" w:eastAsia="Calibri" w:hAnsi="Times New Roman" w:cs="Calibri"/>
          <w:b/>
          <w:bCs/>
          <w:i/>
          <w:iCs/>
          <w:sz w:val="24"/>
          <w:lang w:eastAsia="ja-JP"/>
        </w:rPr>
        <w:t>saglabāšana</w:t>
      </w:r>
    </w:p>
    <w:p w14:paraId="68905D12" w14:textId="42E04E57" w:rsidR="00D130FC" w:rsidRPr="00A07F29" w:rsidRDefault="00A21E83" w:rsidP="00697218">
      <w:pPr>
        <w:spacing w:before="120" w:after="0" w:line="240" w:lineRule="auto"/>
        <w:ind w:firstLine="851"/>
        <w:jc w:val="both"/>
        <w:rPr>
          <w:rFonts w:ascii="Times New Roman" w:eastAsia="Calibri" w:hAnsi="Times New Roman" w:cs="Calibri"/>
          <w:bCs/>
          <w:sz w:val="24"/>
          <w:lang w:eastAsia="ja-JP"/>
        </w:rPr>
      </w:pPr>
      <w:r w:rsidRPr="00A07F29">
        <w:rPr>
          <w:rFonts w:ascii="Times New Roman" w:eastAsia="Calibri" w:hAnsi="Times New Roman" w:cs="Calibri"/>
          <w:bCs/>
          <w:sz w:val="24"/>
          <w:lang w:eastAsia="ja-JP"/>
        </w:rPr>
        <w:t xml:space="preserve">No sikspārņu sugu aizsardzības viedokļa AAA </w:t>
      </w:r>
      <w:r w:rsidR="00A75FAE">
        <w:rPr>
          <w:rFonts w:ascii="Times New Roman" w:eastAsia="Calibri" w:hAnsi="Times New Roman" w:cs="Calibri"/>
          <w:bCs/>
          <w:sz w:val="24"/>
          <w:lang w:eastAsia="ja-JP"/>
        </w:rPr>
        <w:t>“</w:t>
      </w:r>
      <w:r w:rsidRPr="00A07F29">
        <w:rPr>
          <w:rFonts w:ascii="Times New Roman" w:eastAsia="Calibri" w:hAnsi="Times New Roman" w:cs="Calibri"/>
          <w:bCs/>
          <w:sz w:val="24"/>
          <w:lang w:eastAsia="ja-JP"/>
        </w:rPr>
        <w:t>Augšdaugava</w:t>
      </w:r>
      <w:r w:rsidR="00A75FAE">
        <w:rPr>
          <w:rFonts w:ascii="Times New Roman" w:eastAsia="Calibri" w:hAnsi="Times New Roman" w:cs="Calibri"/>
          <w:bCs/>
          <w:sz w:val="24"/>
          <w:lang w:eastAsia="ja-JP"/>
        </w:rPr>
        <w:t>”</w:t>
      </w:r>
      <w:r w:rsidRPr="00A07F29">
        <w:rPr>
          <w:rFonts w:ascii="Times New Roman" w:eastAsia="Calibri" w:hAnsi="Times New Roman" w:cs="Calibri"/>
          <w:bCs/>
          <w:sz w:val="24"/>
          <w:lang w:eastAsia="ja-JP"/>
        </w:rPr>
        <w:t xml:space="preserve"> teritorijā prioritāra ir to vasaras mītņu </w:t>
      </w:r>
      <w:r w:rsidR="00795E4B" w:rsidRPr="00A07F29">
        <w:rPr>
          <w:rFonts w:ascii="Times New Roman" w:eastAsia="Calibri" w:hAnsi="Times New Roman" w:cs="Calibri"/>
          <w:bCs/>
          <w:sz w:val="24"/>
          <w:lang w:eastAsia="ja-JP"/>
        </w:rPr>
        <w:t>saglabāšan</w:t>
      </w:r>
      <w:r w:rsidRPr="00A07F29">
        <w:rPr>
          <w:rFonts w:ascii="Times New Roman" w:eastAsia="Calibri" w:hAnsi="Times New Roman" w:cs="Calibri"/>
          <w:bCs/>
          <w:sz w:val="24"/>
          <w:lang w:eastAsia="ja-JP"/>
        </w:rPr>
        <w:t>a</w:t>
      </w:r>
      <w:r w:rsidR="00D130FC" w:rsidRPr="00A07F29">
        <w:rPr>
          <w:rFonts w:ascii="Times New Roman" w:eastAsia="Calibri" w:hAnsi="Times New Roman" w:cs="Calibri"/>
          <w:bCs/>
          <w:sz w:val="24"/>
          <w:lang w:eastAsia="ja-JP"/>
        </w:rPr>
        <w:t>.</w:t>
      </w:r>
      <w:r w:rsidRPr="00A07F29">
        <w:rPr>
          <w:rFonts w:ascii="Times New Roman" w:eastAsia="Calibri" w:hAnsi="Times New Roman" w:cs="Calibri"/>
          <w:bCs/>
          <w:sz w:val="24"/>
          <w:lang w:eastAsia="ja-JP"/>
        </w:rPr>
        <w:t xml:space="preserve"> Sikspārņu sugām, kas apdzīvo ēkas, ir svarīga </w:t>
      </w:r>
      <w:r w:rsidR="00D130FC" w:rsidRPr="00A07F29">
        <w:rPr>
          <w:rFonts w:ascii="Times New Roman" w:eastAsia="Calibri" w:hAnsi="Times New Roman" w:cs="Calibri"/>
          <w:bCs/>
          <w:sz w:val="24"/>
          <w:lang w:eastAsia="ja-JP"/>
        </w:rPr>
        <w:t xml:space="preserve">piemērotu </w:t>
      </w:r>
      <w:r w:rsidRPr="00A07F29">
        <w:rPr>
          <w:rFonts w:ascii="Times New Roman" w:eastAsia="Calibri" w:hAnsi="Times New Roman" w:cs="Calibri"/>
          <w:bCs/>
          <w:sz w:val="24"/>
          <w:lang w:eastAsia="ja-JP"/>
        </w:rPr>
        <w:t xml:space="preserve">apstākļu nodrošināšana šajās mītnēs, </w:t>
      </w:r>
      <w:r w:rsidR="00D130FC" w:rsidRPr="00A07F29">
        <w:rPr>
          <w:rFonts w:ascii="Times New Roman" w:eastAsia="Calibri" w:hAnsi="Times New Roman" w:cs="Calibri"/>
          <w:bCs/>
          <w:sz w:val="24"/>
          <w:lang w:eastAsia="ja-JP"/>
        </w:rPr>
        <w:t xml:space="preserve">t.i., </w:t>
      </w:r>
      <w:r w:rsidRPr="00A07F29">
        <w:rPr>
          <w:rFonts w:ascii="Times New Roman" w:eastAsia="Calibri" w:hAnsi="Times New Roman" w:cs="Calibri"/>
          <w:bCs/>
          <w:sz w:val="24"/>
          <w:lang w:eastAsia="ja-JP"/>
        </w:rPr>
        <w:t xml:space="preserve">ēku iedzīvotāju vai </w:t>
      </w:r>
      <w:proofErr w:type="spellStart"/>
      <w:r w:rsidRPr="00A07F29">
        <w:rPr>
          <w:rFonts w:ascii="Times New Roman" w:eastAsia="Calibri" w:hAnsi="Times New Roman" w:cs="Calibri"/>
          <w:bCs/>
          <w:sz w:val="24"/>
          <w:lang w:eastAsia="ja-JP"/>
        </w:rPr>
        <w:t>apsaimniekotāju</w:t>
      </w:r>
      <w:proofErr w:type="spellEnd"/>
      <w:r w:rsidRPr="00A07F29">
        <w:rPr>
          <w:rFonts w:ascii="Times New Roman" w:eastAsia="Calibri" w:hAnsi="Times New Roman" w:cs="Calibri"/>
          <w:bCs/>
          <w:sz w:val="24"/>
          <w:lang w:eastAsia="ja-JP"/>
        </w:rPr>
        <w:t xml:space="preserve"> labvēlīga attieksme </w:t>
      </w:r>
      <w:r w:rsidR="00D130FC" w:rsidRPr="00A07F29">
        <w:rPr>
          <w:rFonts w:ascii="Times New Roman" w:eastAsia="Calibri" w:hAnsi="Times New Roman" w:cs="Calibri"/>
          <w:bCs/>
          <w:sz w:val="24"/>
          <w:lang w:eastAsia="ja-JP"/>
        </w:rPr>
        <w:t xml:space="preserve">un </w:t>
      </w:r>
      <w:r w:rsidRPr="00A07F29">
        <w:rPr>
          <w:rFonts w:ascii="Times New Roman" w:eastAsia="Calibri" w:hAnsi="Times New Roman" w:cs="Calibri"/>
          <w:bCs/>
          <w:sz w:val="24"/>
          <w:lang w:eastAsia="ja-JP"/>
        </w:rPr>
        <w:t xml:space="preserve">sikspārņu vajadzību respektēšana ēku pārbūves vai </w:t>
      </w:r>
      <w:r w:rsidR="00D130FC" w:rsidRPr="00A07F29">
        <w:rPr>
          <w:rFonts w:ascii="Times New Roman" w:eastAsia="Calibri" w:hAnsi="Times New Roman" w:cs="Calibri"/>
          <w:bCs/>
          <w:sz w:val="24"/>
          <w:lang w:eastAsia="ja-JP"/>
        </w:rPr>
        <w:t xml:space="preserve">atjaunošanas </w:t>
      </w:r>
      <w:r w:rsidRPr="00A07F29">
        <w:rPr>
          <w:rFonts w:ascii="Times New Roman" w:eastAsia="Calibri" w:hAnsi="Times New Roman" w:cs="Calibri"/>
          <w:bCs/>
          <w:sz w:val="24"/>
          <w:lang w:eastAsia="ja-JP"/>
        </w:rPr>
        <w:t>gadījumos</w:t>
      </w:r>
      <w:r w:rsidR="00D130FC" w:rsidRPr="00A07F29">
        <w:rPr>
          <w:rFonts w:ascii="Times New Roman" w:eastAsia="Calibri" w:hAnsi="Times New Roman" w:cs="Calibri"/>
          <w:bCs/>
          <w:sz w:val="24"/>
          <w:lang w:eastAsia="ja-JP"/>
        </w:rPr>
        <w:t xml:space="preserve">. </w:t>
      </w:r>
      <w:r w:rsidRPr="00A07F29">
        <w:rPr>
          <w:rFonts w:ascii="Times New Roman" w:eastAsia="Calibri" w:hAnsi="Times New Roman" w:cs="Calibri"/>
          <w:bCs/>
          <w:sz w:val="24"/>
          <w:lang w:eastAsia="ja-JP"/>
        </w:rPr>
        <w:t xml:space="preserve">AAA teritorijā šobrīd apzinātas trīs ēkas, kuras apdzīvo sikspārņu mātīšu vairošanās kolonijas – Kaplavas pareizticīgo baznīca, </w:t>
      </w:r>
      <w:proofErr w:type="spellStart"/>
      <w:r w:rsidRPr="00A07F29">
        <w:rPr>
          <w:rFonts w:ascii="Times New Roman" w:eastAsia="Calibri" w:hAnsi="Times New Roman" w:cs="Calibri"/>
          <w:bCs/>
          <w:sz w:val="24"/>
          <w:lang w:eastAsia="ja-JP"/>
        </w:rPr>
        <w:t>Sīķeles</w:t>
      </w:r>
      <w:proofErr w:type="spellEnd"/>
      <w:r w:rsidRPr="00A07F29">
        <w:rPr>
          <w:rFonts w:ascii="Times New Roman" w:eastAsia="Calibri" w:hAnsi="Times New Roman" w:cs="Calibri"/>
          <w:bCs/>
          <w:sz w:val="24"/>
          <w:lang w:eastAsia="ja-JP"/>
        </w:rPr>
        <w:t xml:space="preserve"> luterāņu baznīca un Kaplavas pagasta Pazaru mājas</w:t>
      </w:r>
      <w:r w:rsidR="00EA08AF" w:rsidRPr="00A07F29">
        <w:rPr>
          <w:rFonts w:ascii="Times New Roman" w:eastAsia="Calibri" w:hAnsi="Times New Roman" w:cs="Calibri"/>
          <w:bCs/>
          <w:sz w:val="24"/>
          <w:lang w:eastAsia="ja-JP"/>
        </w:rPr>
        <w:t xml:space="preserve"> (</w:t>
      </w:r>
      <w:r w:rsidR="00327D37">
        <w:rPr>
          <w:rFonts w:ascii="Times New Roman" w:eastAsia="Calibri" w:hAnsi="Times New Roman" w:cs="Calibri"/>
          <w:bCs/>
          <w:sz w:val="24"/>
          <w:lang w:eastAsia="ja-JP"/>
        </w:rPr>
        <w:t xml:space="preserve">skat. </w:t>
      </w:r>
      <w:r w:rsidR="00EA08AF" w:rsidRPr="00A07F29">
        <w:rPr>
          <w:rFonts w:ascii="Times New Roman" w:eastAsia="Calibri" w:hAnsi="Times New Roman" w:cs="Calibri"/>
          <w:bCs/>
          <w:sz w:val="24"/>
          <w:lang w:eastAsia="ja-JP"/>
        </w:rPr>
        <w:t>5.3.1</w:t>
      </w:r>
      <w:r w:rsidR="00327D37">
        <w:rPr>
          <w:rFonts w:ascii="Times New Roman" w:eastAsia="Calibri" w:hAnsi="Times New Roman" w:cs="Calibri"/>
          <w:bCs/>
          <w:sz w:val="24"/>
          <w:lang w:eastAsia="ja-JP"/>
        </w:rPr>
        <w:t>2</w:t>
      </w:r>
      <w:r w:rsidR="00EA08AF" w:rsidRPr="00A07F29">
        <w:rPr>
          <w:rFonts w:ascii="Times New Roman" w:eastAsia="Calibri" w:hAnsi="Times New Roman" w:cs="Calibri"/>
          <w:bCs/>
          <w:sz w:val="24"/>
          <w:lang w:eastAsia="ja-JP"/>
        </w:rPr>
        <w:t>.</w:t>
      </w:r>
      <w:r w:rsidR="00327D37">
        <w:rPr>
          <w:rFonts w:ascii="Times New Roman" w:eastAsia="Calibri" w:hAnsi="Times New Roman" w:cs="Calibri"/>
          <w:bCs/>
          <w:sz w:val="24"/>
          <w:lang w:eastAsia="ja-JP"/>
        </w:rPr>
        <w:t> </w:t>
      </w:r>
      <w:r w:rsidR="00EA08AF" w:rsidRPr="00A07F29">
        <w:rPr>
          <w:rFonts w:ascii="Times New Roman" w:eastAsia="Calibri" w:hAnsi="Times New Roman" w:cs="Calibri"/>
          <w:bCs/>
          <w:sz w:val="24"/>
          <w:lang w:eastAsia="ja-JP"/>
        </w:rPr>
        <w:t>att</w:t>
      </w:r>
      <w:r w:rsidR="00327D37">
        <w:rPr>
          <w:rFonts w:ascii="Times New Roman" w:eastAsia="Calibri" w:hAnsi="Times New Roman" w:cs="Calibri"/>
          <w:bCs/>
          <w:sz w:val="24"/>
          <w:lang w:eastAsia="ja-JP"/>
        </w:rPr>
        <w:t>ēls</w:t>
      </w:r>
      <w:r w:rsidR="00EA08AF" w:rsidRPr="00A07F29">
        <w:rPr>
          <w:rFonts w:ascii="Times New Roman" w:eastAsia="Calibri" w:hAnsi="Times New Roman" w:cs="Calibri"/>
          <w:bCs/>
          <w:sz w:val="24"/>
          <w:lang w:eastAsia="ja-JP"/>
        </w:rPr>
        <w:t>).</w:t>
      </w:r>
    </w:p>
    <w:p w14:paraId="4566288D" w14:textId="430AECAF" w:rsidR="00795E4B" w:rsidRPr="00A07F29" w:rsidRDefault="00D130FC" w:rsidP="00697218">
      <w:pPr>
        <w:spacing w:before="120" w:after="0" w:line="240" w:lineRule="auto"/>
        <w:ind w:firstLine="851"/>
        <w:jc w:val="both"/>
        <w:rPr>
          <w:rFonts w:ascii="Times New Roman" w:eastAsia="Calibri" w:hAnsi="Times New Roman" w:cs="Calibri"/>
          <w:bCs/>
          <w:sz w:val="24"/>
          <w:lang w:eastAsia="ja-JP"/>
        </w:rPr>
      </w:pPr>
      <w:r w:rsidRPr="00A07F29">
        <w:rPr>
          <w:rFonts w:ascii="Times New Roman" w:eastAsia="Calibri" w:hAnsi="Times New Roman" w:cs="Calibri"/>
          <w:bCs/>
          <w:sz w:val="24"/>
          <w:lang w:eastAsia="ja-JP"/>
        </w:rPr>
        <w:t xml:space="preserve">Ēku, kuras apdzīvo sikspārņu mātīšu vairošanās kolonija, atjaunošana un pārbūve veicama </w:t>
      </w:r>
      <w:r w:rsidR="00795E4B" w:rsidRPr="00A07F29">
        <w:rPr>
          <w:rFonts w:ascii="Times New Roman" w:eastAsia="Calibri" w:hAnsi="Times New Roman" w:cs="Calibri"/>
          <w:bCs/>
          <w:sz w:val="24"/>
          <w:lang w:eastAsia="ja-JP"/>
        </w:rPr>
        <w:t>sikspārņiem draudzīgā veidā – laikā, kad sikspārņi nav ēkās un saglabājot iespējas izmantot ēkas arī pēc remonta. Svarīgi ir saglabāt sikspārņiem viņu pašlaik izmantotās ielidošanas/izlidošanas skrejas</w:t>
      </w:r>
      <w:r w:rsidR="007D6B39">
        <w:rPr>
          <w:rFonts w:ascii="Times New Roman" w:eastAsia="Calibri" w:hAnsi="Times New Roman" w:cs="Calibri"/>
          <w:bCs/>
          <w:sz w:val="24"/>
          <w:lang w:eastAsia="ja-JP"/>
        </w:rPr>
        <w:t>,</w:t>
      </w:r>
      <w:r w:rsidR="00795E4B" w:rsidRPr="00A07F29">
        <w:rPr>
          <w:rFonts w:ascii="Times New Roman" w:eastAsia="Calibri" w:hAnsi="Times New Roman" w:cs="Calibri"/>
          <w:bCs/>
          <w:sz w:val="24"/>
          <w:lang w:eastAsia="ja-JP"/>
        </w:rPr>
        <w:t xml:space="preserve"> kā arī neizmantot sikspārņiem bīstamus koksnes apstrādes līdzekļus.</w:t>
      </w:r>
    </w:p>
    <w:p w14:paraId="47EBE240" w14:textId="6DB841BC" w:rsidR="00795E4B" w:rsidRPr="00A07F29" w:rsidRDefault="00294A00" w:rsidP="00697218">
      <w:pPr>
        <w:spacing w:before="120" w:after="0" w:line="240" w:lineRule="auto"/>
        <w:ind w:firstLine="851"/>
        <w:jc w:val="both"/>
        <w:rPr>
          <w:rFonts w:ascii="Times New Roman" w:eastAsia="Calibri" w:hAnsi="Times New Roman" w:cs="Calibri"/>
          <w:bCs/>
          <w:sz w:val="24"/>
          <w:lang w:eastAsia="ja-JP"/>
        </w:rPr>
      </w:pPr>
      <w:r w:rsidRPr="00A07F29">
        <w:rPr>
          <w:rFonts w:ascii="Times New Roman" w:eastAsia="Calibri" w:hAnsi="Times New Roman" w:cs="Calibri"/>
          <w:bCs/>
          <w:sz w:val="24"/>
          <w:lang w:eastAsia="ja-JP"/>
        </w:rPr>
        <w:t xml:space="preserve">Nav </w:t>
      </w:r>
      <w:proofErr w:type="spellStart"/>
      <w:r w:rsidRPr="00A07F29">
        <w:rPr>
          <w:rFonts w:ascii="Times New Roman" w:eastAsia="Calibri" w:hAnsi="Times New Roman" w:cs="Calibri"/>
          <w:bCs/>
          <w:sz w:val="24"/>
          <w:lang w:eastAsia="ja-JP"/>
        </w:rPr>
        <w:t>pielaujama</w:t>
      </w:r>
      <w:proofErr w:type="spellEnd"/>
      <w:r w:rsidRPr="00A07F29">
        <w:rPr>
          <w:rFonts w:ascii="Times New Roman" w:eastAsia="Calibri" w:hAnsi="Times New Roman" w:cs="Calibri"/>
          <w:bCs/>
          <w:sz w:val="24"/>
          <w:lang w:eastAsia="ja-JP"/>
        </w:rPr>
        <w:t xml:space="preserve"> </w:t>
      </w:r>
      <w:r w:rsidR="00795E4B" w:rsidRPr="00A07F29">
        <w:rPr>
          <w:rFonts w:ascii="Times New Roman" w:eastAsia="Calibri" w:hAnsi="Times New Roman" w:cs="Calibri"/>
          <w:bCs/>
          <w:sz w:val="24"/>
          <w:lang w:eastAsia="ja-JP"/>
        </w:rPr>
        <w:t xml:space="preserve">ārsienu un apkārtnes </w:t>
      </w:r>
      <w:r w:rsidRPr="00A07F29">
        <w:rPr>
          <w:rFonts w:ascii="Times New Roman" w:eastAsia="Calibri" w:hAnsi="Times New Roman" w:cs="Calibri"/>
          <w:bCs/>
          <w:sz w:val="24"/>
          <w:lang w:eastAsia="ja-JP"/>
        </w:rPr>
        <w:t>mākslīga</w:t>
      </w:r>
      <w:r w:rsidR="00F3093D" w:rsidRPr="00A07F29">
        <w:rPr>
          <w:rFonts w:ascii="Times New Roman" w:eastAsia="Calibri" w:hAnsi="Times New Roman" w:cs="Calibri"/>
          <w:bCs/>
          <w:sz w:val="24"/>
          <w:lang w:eastAsia="ja-JP"/>
        </w:rPr>
        <w:t xml:space="preserve"> </w:t>
      </w:r>
      <w:r w:rsidRPr="00A07F29">
        <w:rPr>
          <w:rFonts w:ascii="Times New Roman" w:eastAsia="Calibri" w:hAnsi="Times New Roman" w:cs="Calibri"/>
          <w:bCs/>
          <w:sz w:val="24"/>
          <w:lang w:eastAsia="ja-JP"/>
        </w:rPr>
        <w:t>apgaismošana</w:t>
      </w:r>
      <w:r w:rsidR="00795E4B" w:rsidRPr="00A07F29">
        <w:rPr>
          <w:rFonts w:ascii="Times New Roman" w:eastAsia="Calibri" w:hAnsi="Times New Roman" w:cs="Calibri"/>
          <w:bCs/>
          <w:sz w:val="24"/>
          <w:lang w:eastAsia="ja-JP"/>
        </w:rPr>
        <w:t xml:space="preserve"> laikā, kad </w:t>
      </w:r>
      <w:r w:rsidR="00F3093D" w:rsidRPr="00A07F29">
        <w:rPr>
          <w:rFonts w:ascii="Times New Roman" w:eastAsia="Calibri" w:hAnsi="Times New Roman" w:cs="Calibri"/>
          <w:bCs/>
          <w:sz w:val="24"/>
          <w:lang w:eastAsia="ja-JP"/>
        </w:rPr>
        <w:t>ēkā</w:t>
      </w:r>
      <w:r w:rsidR="00795E4B" w:rsidRPr="00A07F29">
        <w:rPr>
          <w:rFonts w:ascii="Times New Roman" w:eastAsia="Calibri" w:hAnsi="Times New Roman" w:cs="Calibri"/>
          <w:bCs/>
          <w:sz w:val="24"/>
          <w:lang w:eastAsia="ja-JP"/>
        </w:rPr>
        <w:t xml:space="preserve"> uzturas sikspārņi, jo ir zināms, ka sikspārņi pamet koloniju mītnes drīz vien pēc apgaismojuma ierīkošanas.</w:t>
      </w:r>
    </w:p>
    <w:p w14:paraId="1265D043" w14:textId="71B3BB14" w:rsidR="00D130FC" w:rsidRPr="00A07F29" w:rsidRDefault="00795E4B" w:rsidP="00697218">
      <w:pPr>
        <w:spacing w:before="120" w:after="0" w:line="240" w:lineRule="auto"/>
        <w:ind w:firstLine="851"/>
        <w:jc w:val="both"/>
        <w:rPr>
          <w:rFonts w:ascii="Times New Roman" w:eastAsia="Calibri" w:hAnsi="Times New Roman" w:cs="Calibri"/>
          <w:bCs/>
          <w:sz w:val="24"/>
          <w:lang w:eastAsia="ja-JP"/>
        </w:rPr>
      </w:pPr>
      <w:r w:rsidRPr="00A07F29">
        <w:rPr>
          <w:rFonts w:ascii="Times New Roman" w:eastAsia="Calibri" w:hAnsi="Times New Roman" w:cs="Calibri"/>
          <w:bCs/>
          <w:sz w:val="24"/>
          <w:lang w:eastAsia="ja-JP"/>
        </w:rPr>
        <w:t xml:space="preserve">Pazaru </w:t>
      </w:r>
      <w:r w:rsidR="00F3093D" w:rsidRPr="00A07F29">
        <w:rPr>
          <w:rFonts w:ascii="Times New Roman" w:eastAsia="Calibri" w:hAnsi="Times New Roman" w:cs="Calibri"/>
          <w:bCs/>
          <w:sz w:val="24"/>
          <w:lang w:eastAsia="ja-JP"/>
        </w:rPr>
        <w:t>dzīvojamā mājā sikspārņi ieradās pēc tam, kad tās baļķu ārsienas tika apsistas ar dēļiem, radot sikspārņiem piemērotu slēptuvi. M</w:t>
      </w:r>
      <w:r w:rsidRPr="00A07F29">
        <w:rPr>
          <w:rFonts w:ascii="Times New Roman" w:eastAsia="Calibri" w:hAnsi="Times New Roman" w:cs="Calibri"/>
          <w:bCs/>
          <w:sz w:val="24"/>
          <w:lang w:eastAsia="ja-JP"/>
        </w:rPr>
        <w:t>āj</w:t>
      </w:r>
      <w:r w:rsidR="00F3093D" w:rsidRPr="00A07F29">
        <w:rPr>
          <w:rFonts w:ascii="Times New Roman" w:eastAsia="Calibri" w:hAnsi="Times New Roman" w:cs="Calibri"/>
          <w:bCs/>
          <w:sz w:val="24"/>
          <w:lang w:eastAsia="ja-JP"/>
        </w:rPr>
        <w:t>as sienā mītošā lielā sikspārņu kolonija rada neērtības mājas iedzīvotājiem, jo sakrājušies s</w:t>
      </w:r>
      <w:r w:rsidRPr="00A07F29">
        <w:rPr>
          <w:rFonts w:ascii="Times New Roman" w:eastAsia="Calibri" w:hAnsi="Times New Roman" w:cs="Calibri"/>
          <w:bCs/>
          <w:sz w:val="24"/>
          <w:lang w:eastAsia="ja-JP"/>
        </w:rPr>
        <w:t>ikspārņu ekskrementi</w:t>
      </w:r>
      <w:r w:rsidR="00F3093D" w:rsidRPr="00A07F29">
        <w:rPr>
          <w:rFonts w:ascii="Times New Roman" w:eastAsia="Calibri" w:hAnsi="Times New Roman" w:cs="Calibri"/>
          <w:bCs/>
          <w:sz w:val="24"/>
          <w:lang w:eastAsia="ja-JP"/>
        </w:rPr>
        <w:t xml:space="preserve"> </w:t>
      </w:r>
      <w:r w:rsidRPr="00A07F29">
        <w:rPr>
          <w:rFonts w:ascii="Times New Roman" w:eastAsia="Calibri" w:hAnsi="Times New Roman" w:cs="Calibri"/>
          <w:bCs/>
          <w:sz w:val="24"/>
          <w:lang w:eastAsia="ja-JP"/>
        </w:rPr>
        <w:t xml:space="preserve">rada smaku, kas jūtama arī iekštelpās. </w:t>
      </w:r>
      <w:r w:rsidR="00F3093D" w:rsidRPr="00A07F29">
        <w:rPr>
          <w:rFonts w:ascii="Times New Roman" w:eastAsia="Calibri" w:hAnsi="Times New Roman" w:cs="Calibri"/>
          <w:bCs/>
          <w:sz w:val="24"/>
          <w:lang w:eastAsia="ja-JP"/>
        </w:rPr>
        <w:t>Tādēļ s</w:t>
      </w:r>
      <w:r w:rsidRPr="00A07F29">
        <w:rPr>
          <w:rFonts w:ascii="Times New Roman" w:eastAsia="Calibri" w:hAnsi="Times New Roman" w:cs="Calibri"/>
          <w:bCs/>
          <w:sz w:val="24"/>
          <w:lang w:eastAsia="ja-JP"/>
        </w:rPr>
        <w:t xml:space="preserve">aimnieki plāno pārbūvēt ārsienas apšuvumu, novēršot </w:t>
      </w:r>
      <w:r w:rsidR="00F3093D" w:rsidRPr="00A07F29">
        <w:rPr>
          <w:rFonts w:ascii="Times New Roman" w:eastAsia="Calibri" w:hAnsi="Times New Roman" w:cs="Calibri"/>
          <w:bCs/>
          <w:sz w:val="24"/>
          <w:lang w:eastAsia="ja-JP"/>
        </w:rPr>
        <w:t xml:space="preserve">iespēju </w:t>
      </w:r>
      <w:r w:rsidRPr="00A07F29">
        <w:rPr>
          <w:rFonts w:ascii="Times New Roman" w:eastAsia="Calibri" w:hAnsi="Times New Roman" w:cs="Calibri"/>
          <w:bCs/>
          <w:sz w:val="24"/>
          <w:lang w:eastAsia="ja-JP"/>
        </w:rPr>
        <w:t>sikspārņiem izmantot</w:t>
      </w:r>
      <w:r w:rsidR="00F3093D" w:rsidRPr="00A07F29">
        <w:rPr>
          <w:rFonts w:ascii="Times New Roman" w:eastAsia="Calibri" w:hAnsi="Times New Roman" w:cs="Calibri"/>
          <w:bCs/>
          <w:sz w:val="24"/>
          <w:lang w:eastAsia="ja-JP"/>
        </w:rPr>
        <w:t xml:space="preserve"> ēku</w:t>
      </w:r>
      <w:r w:rsidRPr="00A07F29">
        <w:rPr>
          <w:rFonts w:ascii="Times New Roman" w:eastAsia="Calibri" w:hAnsi="Times New Roman" w:cs="Calibri"/>
          <w:bCs/>
          <w:sz w:val="24"/>
          <w:lang w:eastAsia="ja-JP"/>
        </w:rPr>
        <w:t>. Kā kompromiss šajā gadījumā varētu būt mākslīgu slēptuvju jeb liela izmēra sikspārņu būru piestiprināšana pie saimniecības ēku ārsienas.</w:t>
      </w:r>
    </w:p>
    <w:p w14:paraId="465022B0" w14:textId="62ADE900" w:rsidR="0017330D" w:rsidRPr="00A07F29" w:rsidRDefault="00F3093D" w:rsidP="00294A00">
      <w:pPr>
        <w:spacing w:before="120" w:after="0" w:line="240" w:lineRule="auto"/>
        <w:ind w:firstLine="851"/>
        <w:jc w:val="both"/>
        <w:rPr>
          <w:rFonts w:ascii="Times New Roman" w:eastAsia="Calibri" w:hAnsi="Times New Roman" w:cs="Calibri"/>
          <w:bCs/>
          <w:sz w:val="24"/>
          <w:lang w:eastAsia="ja-JP"/>
        </w:rPr>
      </w:pPr>
      <w:r w:rsidRPr="00A07F29">
        <w:rPr>
          <w:rFonts w:ascii="Times New Roman" w:eastAsia="Calibri" w:hAnsi="Times New Roman" w:cs="Calibri"/>
          <w:bCs/>
          <w:sz w:val="24"/>
          <w:lang w:eastAsia="ja-JP"/>
        </w:rPr>
        <w:t xml:space="preserve">Lai saglabātu sikspārņiem pieejamas barošanās teritorijas, pēc iespējas jāizvairās no mākslīgā apgaismojuma </w:t>
      </w:r>
      <w:r w:rsidR="00610045" w:rsidRPr="00A07F29">
        <w:rPr>
          <w:rFonts w:ascii="Times New Roman" w:eastAsia="Calibri" w:hAnsi="Times New Roman" w:cs="Calibri"/>
          <w:bCs/>
          <w:sz w:val="24"/>
          <w:lang w:eastAsia="ja-JP"/>
        </w:rPr>
        <w:t xml:space="preserve">ierīkošanas </w:t>
      </w:r>
      <w:r w:rsidR="00977D88" w:rsidRPr="00A07F29">
        <w:rPr>
          <w:rFonts w:ascii="Times New Roman" w:eastAsia="Calibri" w:hAnsi="Times New Roman" w:cs="Calibri"/>
          <w:bCs/>
          <w:sz w:val="24"/>
          <w:lang w:eastAsia="ja-JP"/>
        </w:rPr>
        <w:t>ūdenstilpju krastos, parkos</w:t>
      </w:r>
      <w:r w:rsidR="0017330D" w:rsidRPr="00A07F29">
        <w:rPr>
          <w:rFonts w:ascii="Times New Roman" w:eastAsia="Calibri" w:hAnsi="Times New Roman" w:cs="Calibri"/>
          <w:bCs/>
          <w:sz w:val="24"/>
          <w:lang w:eastAsia="ja-JP"/>
        </w:rPr>
        <w:t>, mežmalās</w:t>
      </w:r>
      <w:r w:rsidR="00977D88" w:rsidRPr="00A07F29">
        <w:rPr>
          <w:rFonts w:ascii="Times New Roman" w:eastAsia="Calibri" w:hAnsi="Times New Roman" w:cs="Calibri"/>
          <w:bCs/>
          <w:sz w:val="24"/>
          <w:lang w:eastAsia="ja-JP"/>
        </w:rPr>
        <w:t xml:space="preserve"> u</w:t>
      </w:r>
      <w:r w:rsidR="00623F41">
        <w:rPr>
          <w:rFonts w:ascii="Times New Roman" w:eastAsia="Calibri" w:hAnsi="Times New Roman" w:cs="Calibri"/>
          <w:bCs/>
          <w:sz w:val="24"/>
          <w:lang w:eastAsia="ja-JP"/>
        </w:rPr>
        <w:t>.</w:t>
      </w:r>
      <w:r w:rsidR="00977D88" w:rsidRPr="00A07F29">
        <w:rPr>
          <w:rFonts w:ascii="Times New Roman" w:eastAsia="Calibri" w:hAnsi="Times New Roman" w:cs="Calibri"/>
          <w:bCs/>
          <w:sz w:val="24"/>
          <w:lang w:eastAsia="ja-JP"/>
        </w:rPr>
        <w:t>t</w:t>
      </w:r>
      <w:r w:rsidRPr="00A07F29">
        <w:rPr>
          <w:rFonts w:ascii="Times New Roman" w:eastAsia="Calibri" w:hAnsi="Times New Roman" w:cs="Calibri"/>
          <w:bCs/>
          <w:sz w:val="24"/>
          <w:lang w:eastAsia="ja-JP"/>
        </w:rPr>
        <w:t>m</w:t>
      </w:r>
      <w:r w:rsidR="00977D88" w:rsidRPr="00A07F29">
        <w:rPr>
          <w:rFonts w:ascii="Times New Roman" w:eastAsia="Calibri" w:hAnsi="Times New Roman" w:cs="Calibri"/>
          <w:bCs/>
          <w:sz w:val="24"/>
          <w:lang w:eastAsia="ja-JP"/>
        </w:rPr>
        <w:t>l</w:t>
      </w:r>
      <w:r w:rsidRPr="00A07F29">
        <w:rPr>
          <w:rFonts w:ascii="Times New Roman" w:eastAsia="Calibri" w:hAnsi="Times New Roman" w:cs="Calibri"/>
          <w:bCs/>
          <w:sz w:val="24"/>
          <w:lang w:eastAsia="ja-JP"/>
        </w:rPr>
        <w:t>.</w:t>
      </w:r>
      <w:r w:rsidR="00697218" w:rsidRPr="00A07F29">
        <w:rPr>
          <w:rFonts w:ascii="Times New Roman" w:eastAsia="Calibri" w:hAnsi="Times New Roman" w:cs="Calibri"/>
          <w:bCs/>
          <w:sz w:val="24"/>
          <w:lang w:eastAsia="ja-JP"/>
        </w:rPr>
        <w:t xml:space="preserve"> sikspārņiem nozīmīgos biotopos</w:t>
      </w:r>
      <w:r w:rsidRPr="00A07F29">
        <w:rPr>
          <w:rFonts w:ascii="Times New Roman" w:eastAsia="Calibri" w:hAnsi="Times New Roman" w:cs="Calibri"/>
          <w:bCs/>
          <w:sz w:val="24"/>
          <w:lang w:eastAsia="ja-JP"/>
        </w:rPr>
        <w:t>, jo</w:t>
      </w:r>
      <w:r w:rsidR="00697218" w:rsidRPr="00A07F29">
        <w:rPr>
          <w:rFonts w:ascii="Times New Roman" w:eastAsia="Calibri" w:hAnsi="Times New Roman" w:cs="Calibri"/>
          <w:bCs/>
          <w:sz w:val="24"/>
          <w:lang w:eastAsia="ja-JP"/>
        </w:rPr>
        <w:t>,</w:t>
      </w:r>
      <w:r w:rsidRPr="00A07F29">
        <w:rPr>
          <w:rFonts w:ascii="Times New Roman" w:eastAsia="Calibri" w:hAnsi="Times New Roman" w:cs="Calibri"/>
          <w:bCs/>
          <w:sz w:val="24"/>
          <w:lang w:eastAsia="ja-JP"/>
        </w:rPr>
        <w:t xml:space="preserve"> ierīkojot lampas vai prožektorus, apgaismotā teritorija sikspārņiem kļūst neizmantojama.</w:t>
      </w:r>
    </w:p>
    <w:p w14:paraId="13BA76C5" w14:textId="4B4C39BF" w:rsidR="00294A00" w:rsidRPr="00A07F29" w:rsidRDefault="00294A00" w:rsidP="00294A00">
      <w:pPr>
        <w:spacing w:before="120" w:after="0" w:line="240" w:lineRule="auto"/>
        <w:ind w:firstLine="851"/>
        <w:jc w:val="both"/>
        <w:rPr>
          <w:rFonts w:ascii="Times New Roman" w:eastAsia="Calibri" w:hAnsi="Times New Roman" w:cs="Calibri"/>
          <w:bCs/>
          <w:sz w:val="24"/>
          <w:lang w:eastAsia="ja-JP"/>
        </w:rPr>
      </w:pPr>
      <w:r w:rsidRPr="00A07F29">
        <w:rPr>
          <w:rFonts w:ascii="Times New Roman" w:eastAsia="Calibri" w:hAnsi="Times New Roman" w:cs="Calibri"/>
          <w:bCs/>
          <w:sz w:val="24"/>
          <w:lang w:eastAsia="ja-JP"/>
        </w:rPr>
        <w:t>Īpaši jāizvairās pilnībā izgaismot nelielas ūdenstilpes, tostarp parkos, kā arī ierīkot apgaismojumu pie/zem tiltiem, kas rada gaismas barjeru virs ūdens lidojošiem sikspārņiem.</w:t>
      </w:r>
    </w:p>
    <w:p w14:paraId="2130E5A9" w14:textId="2442E193" w:rsidR="00294A00" w:rsidRPr="00A07F29" w:rsidRDefault="00977D88" w:rsidP="00294A00">
      <w:pPr>
        <w:spacing w:before="120" w:after="0" w:line="240" w:lineRule="auto"/>
        <w:ind w:firstLine="851"/>
        <w:jc w:val="both"/>
        <w:rPr>
          <w:rFonts w:ascii="Times New Roman" w:eastAsia="Calibri" w:hAnsi="Times New Roman" w:cs="Calibri"/>
          <w:bCs/>
          <w:sz w:val="24"/>
          <w:lang w:eastAsia="ja-JP"/>
        </w:rPr>
      </w:pPr>
      <w:r w:rsidRPr="00A07F29">
        <w:rPr>
          <w:rFonts w:ascii="Times New Roman" w:eastAsia="Calibri" w:hAnsi="Times New Roman" w:cs="Calibri"/>
          <w:bCs/>
          <w:sz w:val="24"/>
          <w:lang w:eastAsia="ja-JP"/>
        </w:rPr>
        <w:t>Kā kompromisa risinājums vietās, kur apgaismojums objektīvi nepieciešams, ir lampas</w:t>
      </w:r>
      <w:r w:rsidR="00CB1024" w:rsidRPr="00A07F29">
        <w:rPr>
          <w:rFonts w:ascii="Times New Roman" w:eastAsia="Calibri" w:hAnsi="Times New Roman" w:cs="Calibri"/>
          <w:bCs/>
          <w:sz w:val="24"/>
          <w:lang w:eastAsia="ja-JP"/>
        </w:rPr>
        <w:t xml:space="preserve">, </w:t>
      </w:r>
      <w:r w:rsidR="00294A00" w:rsidRPr="00A07F29">
        <w:rPr>
          <w:rFonts w:ascii="Times New Roman" w:eastAsia="Calibri" w:hAnsi="Times New Roman" w:cs="Calibri"/>
          <w:bCs/>
          <w:sz w:val="24"/>
          <w:lang w:eastAsia="ja-JP"/>
        </w:rPr>
        <w:t>kas novietotas uz iespējami zemiem (līdz 3</w:t>
      </w:r>
      <w:r w:rsidR="006F1158">
        <w:rPr>
          <w:rFonts w:ascii="Times New Roman" w:eastAsia="Calibri" w:hAnsi="Times New Roman" w:cs="Calibri"/>
          <w:bCs/>
          <w:sz w:val="24"/>
          <w:lang w:eastAsia="ja-JP"/>
        </w:rPr>
        <w:t> </w:t>
      </w:r>
      <w:r w:rsidR="00294A00" w:rsidRPr="00A07F29">
        <w:rPr>
          <w:rFonts w:ascii="Times New Roman" w:eastAsia="Calibri" w:hAnsi="Times New Roman" w:cs="Calibri"/>
          <w:bCs/>
          <w:sz w:val="24"/>
          <w:lang w:eastAsia="ja-JP"/>
        </w:rPr>
        <w:t>m augstiem) stabiem un</w:t>
      </w:r>
      <w:r w:rsidR="006973DF">
        <w:rPr>
          <w:rFonts w:ascii="Times New Roman" w:eastAsia="Calibri" w:hAnsi="Times New Roman" w:cs="Calibri"/>
          <w:bCs/>
          <w:sz w:val="24"/>
          <w:lang w:eastAsia="ja-JP"/>
        </w:rPr>
        <w:t>,</w:t>
      </w:r>
      <w:r w:rsidR="00294A00" w:rsidRPr="00A07F29">
        <w:rPr>
          <w:rFonts w:ascii="Times New Roman" w:eastAsia="Calibri" w:hAnsi="Times New Roman" w:cs="Calibri"/>
          <w:bCs/>
          <w:sz w:val="24"/>
          <w:lang w:eastAsia="ja-JP"/>
        </w:rPr>
        <w:t xml:space="preserve"> kuru gaisma vērsta vienīgi uz zemi (virs lampas jābūt </w:t>
      </w:r>
      <w:r w:rsidR="00207881">
        <w:rPr>
          <w:rFonts w:ascii="Times New Roman" w:eastAsia="Calibri" w:hAnsi="Times New Roman" w:cs="Calibri"/>
          <w:bCs/>
          <w:sz w:val="24"/>
          <w:lang w:eastAsia="ja-JP"/>
        </w:rPr>
        <w:t>“</w:t>
      </w:r>
      <w:proofErr w:type="spellStart"/>
      <w:r w:rsidR="00294A00" w:rsidRPr="00A07F29">
        <w:rPr>
          <w:rFonts w:ascii="Times New Roman" w:eastAsia="Calibri" w:hAnsi="Times New Roman" w:cs="Calibri"/>
          <w:bCs/>
          <w:sz w:val="24"/>
          <w:lang w:eastAsia="ja-JP"/>
        </w:rPr>
        <w:t>aizvairogam</w:t>
      </w:r>
      <w:proofErr w:type="spellEnd"/>
      <w:r w:rsidR="00207881">
        <w:rPr>
          <w:rFonts w:ascii="Times New Roman" w:eastAsia="Calibri" w:hAnsi="Times New Roman" w:cs="Calibri"/>
          <w:bCs/>
          <w:sz w:val="24"/>
          <w:lang w:eastAsia="ja-JP"/>
        </w:rPr>
        <w:t>”</w:t>
      </w:r>
      <w:r w:rsidR="00294A00" w:rsidRPr="00A07F29">
        <w:rPr>
          <w:rFonts w:ascii="Times New Roman" w:eastAsia="Calibri" w:hAnsi="Times New Roman" w:cs="Calibri"/>
          <w:bCs/>
          <w:sz w:val="24"/>
          <w:lang w:eastAsia="ja-JP"/>
        </w:rPr>
        <w:t xml:space="preserve">, kas novērš koku lapotņu apgaismošanu). Vēl </w:t>
      </w:r>
      <w:r w:rsidR="00294A00" w:rsidRPr="00A07F29">
        <w:rPr>
          <w:rFonts w:ascii="Times New Roman" w:eastAsia="Calibri" w:hAnsi="Times New Roman" w:cs="Calibri"/>
          <w:bCs/>
          <w:sz w:val="24"/>
          <w:lang w:eastAsia="ja-JP"/>
        </w:rPr>
        <w:lastRenderedPageBreak/>
        <w:t xml:space="preserve">piemērotāks ir apgaismojums, kas </w:t>
      </w:r>
      <w:r w:rsidR="00CB1024" w:rsidRPr="00A07F29">
        <w:rPr>
          <w:rFonts w:ascii="Times New Roman" w:eastAsia="Calibri" w:hAnsi="Times New Roman" w:cs="Calibri"/>
          <w:bCs/>
          <w:sz w:val="24"/>
          <w:lang w:eastAsia="ja-JP"/>
        </w:rPr>
        <w:t>ar releja palīdzību ieslēdzas tikai pēc nepieciešamības, ja pārvietojas transport</w:t>
      </w:r>
      <w:r w:rsidR="00294A00" w:rsidRPr="00A07F29">
        <w:rPr>
          <w:rFonts w:ascii="Times New Roman" w:eastAsia="Calibri" w:hAnsi="Times New Roman" w:cs="Calibri"/>
          <w:bCs/>
          <w:sz w:val="24"/>
          <w:lang w:eastAsia="ja-JP"/>
        </w:rPr>
        <w:t xml:space="preserve">līdzeklis vai gājējs. Ieteicams neizmantot lampas, kas izdala t.s. </w:t>
      </w:r>
      <w:r w:rsidR="00207881">
        <w:rPr>
          <w:rFonts w:ascii="Times New Roman" w:eastAsia="Calibri" w:hAnsi="Times New Roman" w:cs="Calibri"/>
          <w:bCs/>
          <w:sz w:val="24"/>
          <w:lang w:eastAsia="ja-JP"/>
        </w:rPr>
        <w:t>“</w:t>
      </w:r>
      <w:r w:rsidR="00294A00" w:rsidRPr="00A07F29">
        <w:rPr>
          <w:rFonts w:ascii="Times New Roman" w:eastAsia="Calibri" w:hAnsi="Times New Roman" w:cs="Calibri"/>
          <w:bCs/>
          <w:sz w:val="24"/>
          <w:lang w:eastAsia="ja-JP"/>
        </w:rPr>
        <w:t>auksti-baltās</w:t>
      </w:r>
      <w:r w:rsidR="00207881">
        <w:rPr>
          <w:rFonts w:ascii="Times New Roman" w:eastAsia="Calibri" w:hAnsi="Times New Roman" w:cs="Calibri"/>
          <w:bCs/>
          <w:sz w:val="24"/>
          <w:lang w:eastAsia="ja-JP"/>
        </w:rPr>
        <w:t>”</w:t>
      </w:r>
      <w:r w:rsidR="00294A00" w:rsidRPr="00A07F29">
        <w:rPr>
          <w:rFonts w:ascii="Times New Roman" w:eastAsia="Calibri" w:hAnsi="Times New Roman" w:cs="Calibri"/>
          <w:bCs/>
          <w:sz w:val="24"/>
          <w:lang w:eastAsia="ja-JP"/>
        </w:rPr>
        <w:t xml:space="preserve"> un ultravioletās gaismas (&lt;540</w:t>
      </w:r>
      <w:r w:rsidR="00207881">
        <w:rPr>
          <w:rFonts w:ascii="Times New Roman" w:eastAsia="Calibri" w:hAnsi="Times New Roman" w:cs="Calibri"/>
          <w:bCs/>
          <w:sz w:val="24"/>
          <w:lang w:eastAsia="ja-JP"/>
        </w:rPr>
        <w:t> </w:t>
      </w:r>
      <w:proofErr w:type="spellStart"/>
      <w:r w:rsidR="00294A00" w:rsidRPr="00A07F29">
        <w:rPr>
          <w:rFonts w:ascii="Times New Roman" w:eastAsia="Calibri" w:hAnsi="Times New Roman" w:cs="Calibri"/>
          <w:bCs/>
          <w:sz w:val="24"/>
          <w:lang w:eastAsia="ja-JP"/>
        </w:rPr>
        <w:t>nm</w:t>
      </w:r>
      <w:proofErr w:type="spellEnd"/>
      <w:r w:rsidR="00294A00" w:rsidRPr="00A07F29">
        <w:rPr>
          <w:rFonts w:ascii="Times New Roman" w:eastAsia="Calibri" w:hAnsi="Times New Roman" w:cs="Calibri"/>
          <w:bCs/>
          <w:sz w:val="24"/>
          <w:lang w:eastAsia="ja-JP"/>
        </w:rPr>
        <w:t>).</w:t>
      </w:r>
    </w:p>
    <w:p w14:paraId="65A5A234" w14:textId="78B73238" w:rsidR="00EA08AF" w:rsidRPr="00A07F29" w:rsidRDefault="00EA08AF" w:rsidP="00EA08AF">
      <w:pPr>
        <w:spacing w:before="120" w:after="0" w:line="240" w:lineRule="auto"/>
        <w:jc w:val="center"/>
        <w:rPr>
          <w:rFonts w:ascii="Times New Roman" w:eastAsia="Calibri" w:hAnsi="Times New Roman" w:cs="Calibri"/>
          <w:bCs/>
          <w:sz w:val="24"/>
          <w:lang w:eastAsia="ja-JP"/>
        </w:rPr>
      </w:pPr>
      <w:r w:rsidRPr="00A07F29">
        <w:rPr>
          <w:noProof/>
          <w:lang w:eastAsia="lv-LV"/>
        </w:rPr>
        <w:drawing>
          <wp:inline distT="0" distB="0" distL="0" distR="0" wp14:anchorId="30CBD2B7" wp14:editId="1B6AF739">
            <wp:extent cx="5731510" cy="2084070"/>
            <wp:effectExtent l="0" t="0" r="2540" b="0"/>
            <wp:docPr id="918145543" name="Picture 918145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8145543"/>
                    <pic:cNvPicPr/>
                  </pic:nvPicPr>
                  <pic:blipFill>
                    <a:blip r:embed="rId110">
                      <a:extLst>
                        <a:ext uri="{28A0092B-C50C-407E-A947-70E740481C1C}">
                          <a14:useLocalDpi xmlns:a14="http://schemas.microsoft.com/office/drawing/2010/main" val="0"/>
                        </a:ext>
                      </a:extLst>
                    </a:blip>
                    <a:stretch>
                      <a:fillRect/>
                    </a:stretch>
                  </pic:blipFill>
                  <pic:spPr>
                    <a:xfrm>
                      <a:off x="0" y="0"/>
                      <a:ext cx="5731510" cy="2084070"/>
                    </a:xfrm>
                    <a:prstGeom prst="rect">
                      <a:avLst/>
                    </a:prstGeom>
                  </pic:spPr>
                </pic:pic>
              </a:graphicData>
            </a:graphic>
          </wp:inline>
        </w:drawing>
      </w:r>
    </w:p>
    <w:p w14:paraId="270E95F7" w14:textId="4487B017" w:rsidR="00EA08AF" w:rsidRPr="005909C6" w:rsidRDefault="00EA08AF" w:rsidP="00EA08AF">
      <w:pPr>
        <w:spacing w:after="0" w:line="240" w:lineRule="auto"/>
        <w:rPr>
          <w:rFonts w:ascii="Times New Roman" w:eastAsia="Calibri" w:hAnsi="Times New Roman" w:cs="Calibri"/>
          <w:sz w:val="20"/>
          <w:szCs w:val="20"/>
          <w:lang w:eastAsia="ja-JP"/>
        </w:rPr>
      </w:pPr>
      <w:r w:rsidRPr="005909C6">
        <w:rPr>
          <w:rFonts w:ascii="Times New Roman" w:eastAsia="Calibri" w:hAnsi="Times New Roman" w:cs="Calibri"/>
          <w:sz w:val="20"/>
          <w:szCs w:val="20"/>
          <w:lang w:eastAsia="ja-JP"/>
        </w:rPr>
        <w:t>5.3.1</w:t>
      </w:r>
      <w:r w:rsidR="00207881" w:rsidRPr="005909C6">
        <w:rPr>
          <w:rFonts w:ascii="Times New Roman" w:eastAsia="Calibri" w:hAnsi="Times New Roman" w:cs="Calibri"/>
          <w:sz w:val="20"/>
          <w:szCs w:val="20"/>
          <w:lang w:eastAsia="ja-JP"/>
        </w:rPr>
        <w:t>2</w:t>
      </w:r>
      <w:r w:rsidRPr="005909C6">
        <w:rPr>
          <w:rFonts w:ascii="Times New Roman" w:eastAsia="Calibri" w:hAnsi="Times New Roman" w:cs="Calibri"/>
          <w:sz w:val="20"/>
          <w:szCs w:val="20"/>
          <w:lang w:eastAsia="ja-JP"/>
        </w:rPr>
        <w:t>.</w:t>
      </w:r>
      <w:r w:rsidR="005909C6" w:rsidRPr="005909C6">
        <w:rPr>
          <w:rFonts w:ascii="Times New Roman" w:eastAsia="Calibri" w:hAnsi="Times New Roman" w:cs="Calibri"/>
          <w:sz w:val="20"/>
          <w:szCs w:val="20"/>
          <w:lang w:eastAsia="ja-JP"/>
        </w:rPr>
        <w:t> </w:t>
      </w:r>
      <w:r w:rsidRPr="005909C6">
        <w:rPr>
          <w:rFonts w:ascii="Times New Roman" w:eastAsia="Calibri" w:hAnsi="Times New Roman" w:cs="Calibri"/>
          <w:sz w:val="20"/>
          <w:szCs w:val="20"/>
          <w:lang w:eastAsia="ja-JP"/>
        </w:rPr>
        <w:t>attēls. Sikspārņu vasaras mītņu saglabāšana.</w:t>
      </w:r>
    </w:p>
    <w:p w14:paraId="414F6297" w14:textId="61C79BB2" w:rsidR="00A21E83" w:rsidRPr="00A07F29" w:rsidRDefault="00A21E83" w:rsidP="005F006D">
      <w:pPr>
        <w:keepNext/>
        <w:spacing w:before="360" w:after="0" w:line="240" w:lineRule="auto"/>
        <w:jc w:val="both"/>
        <w:rPr>
          <w:rFonts w:ascii="Times New Roman" w:eastAsia="Calibri" w:hAnsi="Times New Roman" w:cs="Calibri"/>
          <w:b/>
          <w:bCs/>
          <w:i/>
          <w:iCs/>
          <w:sz w:val="24"/>
          <w:lang w:eastAsia="ja-JP"/>
        </w:rPr>
      </w:pPr>
      <w:r w:rsidRPr="00A07F29">
        <w:rPr>
          <w:rFonts w:ascii="Times New Roman" w:eastAsia="Calibri" w:hAnsi="Times New Roman" w:cs="Calibri"/>
          <w:b/>
          <w:bCs/>
          <w:i/>
          <w:iCs/>
          <w:sz w:val="24"/>
          <w:lang w:eastAsia="ja-JP"/>
        </w:rPr>
        <w:t>B.5.</w:t>
      </w:r>
      <w:r w:rsidR="00697218" w:rsidRPr="00A07F29">
        <w:rPr>
          <w:rFonts w:ascii="Times New Roman" w:eastAsia="Calibri" w:hAnsi="Times New Roman" w:cs="Calibri"/>
          <w:b/>
          <w:bCs/>
          <w:i/>
          <w:iCs/>
          <w:sz w:val="24"/>
          <w:lang w:eastAsia="ja-JP"/>
        </w:rPr>
        <w:t>4</w:t>
      </w:r>
      <w:r w:rsidRPr="00A07F29">
        <w:rPr>
          <w:rFonts w:ascii="Times New Roman" w:eastAsia="Calibri" w:hAnsi="Times New Roman" w:cs="Calibri"/>
          <w:b/>
          <w:bCs/>
          <w:i/>
          <w:iCs/>
          <w:sz w:val="24"/>
          <w:lang w:eastAsia="ja-JP"/>
        </w:rPr>
        <w:t xml:space="preserve">. </w:t>
      </w:r>
      <w:proofErr w:type="spellStart"/>
      <w:r w:rsidR="003B2D7B" w:rsidRPr="00A07F29">
        <w:rPr>
          <w:rFonts w:ascii="Times New Roman" w:eastAsia="Calibri" w:hAnsi="Times New Roman" w:cs="Calibri"/>
          <w:b/>
          <w:bCs/>
          <w:i/>
          <w:iCs/>
          <w:sz w:val="24"/>
          <w:lang w:eastAsia="ja-JP"/>
        </w:rPr>
        <w:t>Sarkanvēdera</w:t>
      </w:r>
      <w:proofErr w:type="spellEnd"/>
      <w:r w:rsidR="003B2D7B" w:rsidRPr="00A07F29">
        <w:rPr>
          <w:rFonts w:ascii="Times New Roman" w:eastAsia="Calibri" w:hAnsi="Times New Roman" w:cs="Calibri"/>
          <w:b/>
          <w:bCs/>
          <w:i/>
          <w:iCs/>
          <w:sz w:val="24"/>
          <w:lang w:eastAsia="ja-JP"/>
        </w:rPr>
        <w:t xml:space="preserve"> </w:t>
      </w:r>
      <w:proofErr w:type="spellStart"/>
      <w:r w:rsidR="003B2D7B" w:rsidRPr="00A07F29">
        <w:rPr>
          <w:rFonts w:ascii="Times New Roman" w:eastAsia="Calibri" w:hAnsi="Times New Roman" w:cs="Calibri"/>
          <w:b/>
          <w:bCs/>
          <w:i/>
          <w:iCs/>
          <w:sz w:val="24"/>
          <w:lang w:eastAsia="ja-JP"/>
        </w:rPr>
        <w:t>ugunskrupja</w:t>
      </w:r>
      <w:proofErr w:type="spellEnd"/>
      <w:r w:rsidR="003B2D7B" w:rsidRPr="00A07F29">
        <w:rPr>
          <w:rFonts w:ascii="Times New Roman" w:eastAsia="Calibri" w:hAnsi="Times New Roman" w:cs="Calibri"/>
          <w:b/>
          <w:bCs/>
          <w:i/>
          <w:iCs/>
          <w:sz w:val="24"/>
          <w:lang w:eastAsia="ja-JP"/>
        </w:rPr>
        <w:t xml:space="preserve"> dīķu atjaunošana</w:t>
      </w:r>
    </w:p>
    <w:p w14:paraId="3D2986AE" w14:textId="4856CEC2" w:rsidR="00CE69A8" w:rsidRPr="00A07F29" w:rsidRDefault="00CE69A8" w:rsidP="00CE69A8">
      <w:pPr>
        <w:spacing w:before="120" w:after="0" w:line="240" w:lineRule="auto"/>
        <w:ind w:firstLine="851"/>
        <w:jc w:val="both"/>
        <w:rPr>
          <w:rFonts w:ascii="Times New Roman" w:eastAsia="Calibri" w:hAnsi="Times New Roman" w:cs="Calibri"/>
          <w:bCs/>
          <w:sz w:val="24"/>
          <w:lang w:eastAsia="ja-JP"/>
        </w:rPr>
      </w:pPr>
      <w:r w:rsidRPr="00A07F29">
        <w:rPr>
          <w:rFonts w:ascii="Times New Roman" w:eastAsia="Calibri" w:hAnsi="Times New Roman" w:cs="Calibri"/>
          <w:bCs/>
          <w:sz w:val="24"/>
          <w:lang w:eastAsia="ja-JP"/>
        </w:rPr>
        <w:t xml:space="preserve">Dīķu apauguma likvidēšana nepieciešama dīķa noēnošanas novēršanai, kas padara tos pārāk aukstus un nepiemērotus </w:t>
      </w:r>
      <w:proofErr w:type="spellStart"/>
      <w:r w:rsidRPr="00A07F29">
        <w:rPr>
          <w:rFonts w:ascii="Times New Roman" w:eastAsia="Calibri" w:hAnsi="Times New Roman" w:cs="Calibri"/>
          <w:bCs/>
          <w:sz w:val="24"/>
          <w:lang w:eastAsia="ja-JP"/>
        </w:rPr>
        <w:t>ugunskrupju</w:t>
      </w:r>
      <w:proofErr w:type="spellEnd"/>
      <w:r w:rsidRPr="00A07F29">
        <w:rPr>
          <w:rFonts w:ascii="Times New Roman" w:eastAsia="Calibri" w:hAnsi="Times New Roman" w:cs="Calibri"/>
          <w:bCs/>
          <w:sz w:val="24"/>
          <w:lang w:eastAsia="ja-JP"/>
        </w:rPr>
        <w:t xml:space="preserve"> prasībām. Atjaunotie dīķi atbilst arī lielā tritona un brūnā </w:t>
      </w:r>
      <w:proofErr w:type="spellStart"/>
      <w:r w:rsidRPr="00A07F29">
        <w:rPr>
          <w:rFonts w:ascii="Times New Roman" w:eastAsia="Calibri" w:hAnsi="Times New Roman" w:cs="Calibri"/>
          <w:bCs/>
          <w:sz w:val="24"/>
          <w:lang w:eastAsia="ja-JP"/>
        </w:rPr>
        <w:t>varžukrupja</w:t>
      </w:r>
      <w:proofErr w:type="spellEnd"/>
      <w:r w:rsidRPr="00A07F29">
        <w:rPr>
          <w:rFonts w:ascii="Times New Roman" w:eastAsia="Calibri" w:hAnsi="Times New Roman" w:cs="Calibri"/>
          <w:bCs/>
          <w:sz w:val="24"/>
          <w:lang w:eastAsia="ja-JP"/>
        </w:rPr>
        <w:t>, citu abinieku un ūdens rāpuļu (parastais zalktis, purva bruņurupucis) prasībām.</w:t>
      </w:r>
    </w:p>
    <w:p w14:paraId="09C2094D" w14:textId="0F2B7DEF" w:rsidR="00CE69A8" w:rsidRPr="00A07F29" w:rsidRDefault="00CE69A8" w:rsidP="00CE69A8">
      <w:pPr>
        <w:spacing w:before="120" w:after="0" w:line="240" w:lineRule="auto"/>
        <w:ind w:firstLine="851"/>
        <w:jc w:val="both"/>
        <w:rPr>
          <w:rFonts w:ascii="Times New Roman" w:eastAsia="Calibri" w:hAnsi="Times New Roman" w:cs="Calibri"/>
          <w:bCs/>
          <w:sz w:val="24"/>
          <w:lang w:eastAsia="ja-JP"/>
        </w:rPr>
      </w:pPr>
      <w:r w:rsidRPr="00A07F29">
        <w:rPr>
          <w:rFonts w:ascii="Times New Roman" w:eastAsia="Calibri" w:hAnsi="Times New Roman" w:cs="Calibri"/>
          <w:bCs/>
          <w:sz w:val="24"/>
          <w:lang w:eastAsia="ja-JP"/>
        </w:rPr>
        <w:t>Noēnojošie augi – koki, krūmi tiek izcirsti mozaīkveidā, īpaši no ūdenstilpes dienvidpuses, atbrīvojot 50</w:t>
      </w:r>
      <w:r w:rsidR="000E09AD">
        <w:rPr>
          <w:rFonts w:ascii="Times New Roman" w:eastAsia="Calibri" w:hAnsi="Times New Roman" w:cs="Calibri"/>
          <w:bCs/>
          <w:sz w:val="24"/>
          <w:lang w:eastAsia="ja-JP"/>
        </w:rPr>
        <w:t> – </w:t>
      </w:r>
      <w:r w:rsidRPr="00A07F29">
        <w:rPr>
          <w:rFonts w:ascii="Times New Roman" w:eastAsia="Calibri" w:hAnsi="Times New Roman" w:cs="Calibri"/>
          <w:bCs/>
          <w:sz w:val="24"/>
          <w:lang w:eastAsia="ja-JP"/>
        </w:rPr>
        <w:t>60</w:t>
      </w:r>
      <w:r w:rsidR="000E09AD">
        <w:rPr>
          <w:rFonts w:ascii="Times New Roman" w:eastAsia="Calibri" w:hAnsi="Times New Roman" w:cs="Calibri"/>
          <w:bCs/>
          <w:sz w:val="24"/>
          <w:lang w:eastAsia="ja-JP"/>
        </w:rPr>
        <w:t> </w:t>
      </w:r>
      <w:r w:rsidRPr="00A07F29">
        <w:rPr>
          <w:rFonts w:ascii="Times New Roman" w:eastAsia="Calibri" w:hAnsi="Times New Roman" w:cs="Calibri"/>
          <w:bCs/>
          <w:sz w:val="24"/>
          <w:lang w:eastAsia="ja-JP"/>
        </w:rPr>
        <w:t xml:space="preserve">% no ūdenstilpes krasta līnijas, atstājot aizsargjoslu pret </w:t>
      </w:r>
      <w:r w:rsidR="00623F41" w:rsidRPr="00623F41">
        <w:rPr>
          <w:rFonts w:ascii="Times New Roman" w:eastAsia="Calibri" w:hAnsi="Times New Roman" w:cs="Calibri"/>
          <w:bCs/>
          <w:sz w:val="24"/>
          <w:lang w:eastAsia="ja-JP"/>
        </w:rPr>
        <w:t>Z</w:t>
      </w:r>
      <w:r w:rsidRPr="00A07F29">
        <w:rPr>
          <w:rFonts w:ascii="Times New Roman" w:eastAsia="Calibri" w:hAnsi="Times New Roman" w:cs="Calibri"/>
          <w:bCs/>
          <w:sz w:val="24"/>
          <w:lang w:eastAsia="ja-JP"/>
        </w:rPr>
        <w:t xml:space="preserve"> vēju. Niedres tiek izpļautas vai likvidētas ar ekskavatora palīdzību. Atjaunojama dīķa litorāle 20</w:t>
      </w:r>
      <w:r w:rsidR="00302C92">
        <w:rPr>
          <w:rFonts w:ascii="Times New Roman" w:eastAsia="Calibri" w:hAnsi="Times New Roman" w:cs="Calibri"/>
          <w:bCs/>
          <w:sz w:val="24"/>
          <w:lang w:eastAsia="ja-JP"/>
        </w:rPr>
        <w:t> – </w:t>
      </w:r>
      <w:r w:rsidRPr="00A07F29">
        <w:rPr>
          <w:rFonts w:ascii="Times New Roman" w:eastAsia="Calibri" w:hAnsi="Times New Roman" w:cs="Calibri"/>
          <w:bCs/>
          <w:sz w:val="24"/>
          <w:lang w:eastAsia="ja-JP"/>
        </w:rPr>
        <w:t>30</w:t>
      </w:r>
      <w:r w:rsidR="00302C92">
        <w:rPr>
          <w:rFonts w:ascii="Times New Roman" w:eastAsia="Calibri" w:hAnsi="Times New Roman" w:cs="Calibri"/>
          <w:bCs/>
          <w:sz w:val="24"/>
          <w:lang w:eastAsia="ja-JP"/>
        </w:rPr>
        <w:t> </w:t>
      </w:r>
      <w:r w:rsidRPr="00A07F29">
        <w:rPr>
          <w:rFonts w:ascii="Times New Roman" w:eastAsia="Calibri" w:hAnsi="Times New Roman" w:cs="Calibri"/>
          <w:bCs/>
          <w:sz w:val="24"/>
          <w:lang w:eastAsia="ja-JP"/>
        </w:rPr>
        <w:t>cm dziļumā ap 30</w:t>
      </w:r>
      <w:r w:rsidR="00302C92">
        <w:rPr>
          <w:rFonts w:ascii="Times New Roman" w:eastAsia="Calibri" w:hAnsi="Times New Roman" w:cs="Calibri"/>
          <w:bCs/>
          <w:sz w:val="24"/>
          <w:lang w:eastAsia="ja-JP"/>
        </w:rPr>
        <w:t> – </w:t>
      </w:r>
      <w:r w:rsidRPr="00A07F29">
        <w:rPr>
          <w:rFonts w:ascii="Times New Roman" w:eastAsia="Calibri" w:hAnsi="Times New Roman" w:cs="Calibri"/>
          <w:bCs/>
          <w:sz w:val="24"/>
          <w:lang w:eastAsia="ja-JP"/>
        </w:rPr>
        <w:t>40</w:t>
      </w:r>
      <w:r w:rsidR="00302C92">
        <w:rPr>
          <w:rFonts w:ascii="Times New Roman" w:eastAsia="Calibri" w:hAnsi="Times New Roman" w:cs="Calibri"/>
          <w:bCs/>
          <w:sz w:val="24"/>
          <w:lang w:eastAsia="ja-JP"/>
        </w:rPr>
        <w:t> </w:t>
      </w:r>
      <w:r w:rsidRPr="00A07F29">
        <w:rPr>
          <w:rFonts w:ascii="Times New Roman" w:eastAsia="Calibri" w:hAnsi="Times New Roman" w:cs="Calibri"/>
          <w:bCs/>
          <w:sz w:val="24"/>
          <w:lang w:eastAsia="ja-JP"/>
        </w:rPr>
        <w:t xml:space="preserve">% no dīķa platības. Darbi veicami abinieku un rāpuļu sugu eksperta, speciālista </w:t>
      </w:r>
      <w:proofErr w:type="spellStart"/>
      <w:r w:rsidRPr="00A07F29">
        <w:rPr>
          <w:rFonts w:ascii="Times New Roman" w:eastAsia="Calibri" w:hAnsi="Times New Roman" w:cs="Calibri"/>
          <w:bCs/>
          <w:sz w:val="24"/>
          <w:lang w:eastAsia="ja-JP"/>
        </w:rPr>
        <w:t>ugunskrupju</w:t>
      </w:r>
      <w:proofErr w:type="spellEnd"/>
      <w:r w:rsidRPr="00A07F29">
        <w:rPr>
          <w:rFonts w:ascii="Times New Roman" w:eastAsia="Calibri" w:hAnsi="Times New Roman" w:cs="Calibri"/>
          <w:bCs/>
          <w:sz w:val="24"/>
          <w:lang w:eastAsia="ja-JP"/>
        </w:rPr>
        <w:t xml:space="preserve"> ekoloģijā uzraudzībā un saskaņā ar eksperta norādēm.</w:t>
      </w:r>
    </w:p>
    <w:p w14:paraId="738B95D5" w14:textId="503C75AA" w:rsidR="00CE69A8" w:rsidRPr="00A07F29" w:rsidRDefault="00CE69A8" w:rsidP="00CE69A8">
      <w:pPr>
        <w:spacing w:before="120" w:after="0" w:line="240" w:lineRule="auto"/>
        <w:ind w:firstLine="851"/>
        <w:jc w:val="both"/>
        <w:rPr>
          <w:rFonts w:ascii="Times New Roman" w:eastAsia="Times New Roman" w:hAnsi="Times New Roman" w:cs="Times New Roman"/>
          <w:bCs/>
          <w:color w:val="000000"/>
          <w:sz w:val="24"/>
          <w:szCs w:val="24"/>
        </w:rPr>
      </w:pPr>
      <w:r w:rsidRPr="00A07F29">
        <w:rPr>
          <w:rFonts w:ascii="Times New Roman" w:eastAsia="Times New Roman" w:hAnsi="Times New Roman" w:cs="Times New Roman"/>
          <w:bCs/>
          <w:color w:val="000000"/>
          <w:sz w:val="24"/>
          <w:szCs w:val="24"/>
        </w:rPr>
        <w:t>Dzīvotņu stāvoklis novērtējams reizi 2</w:t>
      </w:r>
      <w:r w:rsidR="00661EE8">
        <w:rPr>
          <w:rFonts w:ascii="Times New Roman" w:eastAsia="Times New Roman" w:hAnsi="Times New Roman" w:cs="Times New Roman"/>
          <w:bCs/>
          <w:color w:val="000000"/>
          <w:sz w:val="24"/>
          <w:szCs w:val="24"/>
        </w:rPr>
        <w:t> – </w:t>
      </w:r>
      <w:r w:rsidRPr="00A07F29">
        <w:rPr>
          <w:rFonts w:ascii="Times New Roman" w:eastAsia="Times New Roman" w:hAnsi="Times New Roman" w:cs="Times New Roman"/>
          <w:bCs/>
          <w:color w:val="000000"/>
          <w:sz w:val="24"/>
          <w:szCs w:val="24"/>
        </w:rPr>
        <w:t>3</w:t>
      </w:r>
      <w:r w:rsidR="00661EE8">
        <w:rPr>
          <w:rFonts w:ascii="Times New Roman" w:eastAsia="Times New Roman" w:hAnsi="Times New Roman" w:cs="Times New Roman"/>
          <w:bCs/>
          <w:color w:val="000000"/>
          <w:sz w:val="24"/>
          <w:szCs w:val="24"/>
        </w:rPr>
        <w:t> </w:t>
      </w:r>
      <w:r w:rsidRPr="00A07F29">
        <w:rPr>
          <w:rFonts w:ascii="Times New Roman" w:eastAsia="Times New Roman" w:hAnsi="Times New Roman" w:cs="Times New Roman"/>
          <w:bCs/>
          <w:color w:val="000000"/>
          <w:sz w:val="24"/>
          <w:szCs w:val="24"/>
        </w:rPr>
        <w:t xml:space="preserve">gados un nepieciešamības gadījumā </w:t>
      </w:r>
      <w:proofErr w:type="spellStart"/>
      <w:r w:rsidRPr="00A07F29">
        <w:rPr>
          <w:rFonts w:ascii="Times New Roman" w:eastAsia="Times New Roman" w:hAnsi="Times New Roman" w:cs="Times New Roman"/>
          <w:bCs/>
          <w:color w:val="000000"/>
          <w:sz w:val="24"/>
          <w:szCs w:val="24"/>
        </w:rPr>
        <w:t>aizauguma</w:t>
      </w:r>
      <w:proofErr w:type="spellEnd"/>
      <w:r w:rsidRPr="00A07F29">
        <w:rPr>
          <w:rFonts w:ascii="Times New Roman" w:eastAsia="Times New Roman" w:hAnsi="Times New Roman" w:cs="Times New Roman"/>
          <w:bCs/>
          <w:color w:val="000000"/>
          <w:sz w:val="24"/>
          <w:szCs w:val="24"/>
        </w:rPr>
        <w:t xml:space="preserve"> samazināšanas pasākumi veicami atkārtoti.</w:t>
      </w:r>
    </w:p>
    <w:p w14:paraId="01813FC1" w14:textId="57103720" w:rsidR="00CE69A8" w:rsidRPr="00A07F29" w:rsidRDefault="00CE69A8" w:rsidP="00CE69A8">
      <w:pPr>
        <w:spacing w:before="120" w:after="0" w:line="240" w:lineRule="auto"/>
        <w:ind w:firstLine="851"/>
        <w:jc w:val="both"/>
        <w:rPr>
          <w:rFonts w:ascii="Times New Roman" w:eastAsia="Calibri" w:hAnsi="Times New Roman" w:cs="Calibri"/>
          <w:bCs/>
          <w:sz w:val="24"/>
          <w:lang w:eastAsia="ja-JP"/>
        </w:rPr>
      </w:pPr>
      <w:r w:rsidRPr="00A07F29">
        <w:rPr>
          <w:rFonts w:ascii="Times New Roman" w:eastAsia="Calibri" w:hAnsi="Times New Roman" w:cs="Calibri"/>
          <w:bCs/>
          <w:sz w:val="24"/>
          <w:lang w:eastAsia="ja-JP"/>
        </w:rPr>
        <w:t xml:space="preserve">Pasākumi veicami </w:t>
      </w:r>
      <w:proofErr w:type="spellStart"/>
      <w:r w:rsidRPr="00A07F29">
        <w:rPr>
          <w:rFonts w:ascii="Times New Roman" w:eastAsia="Calibri" w:hAnsi="Times New Roman" w:cs="Calibri"/>
          <w:bCs/>
          <w:sz w:val="24"/>
          <w:lang w:eastAsia="ja-JP"/>
        </w:rPr>
        <w:t>ugunskrupju</w:t>
      </w:r>
      <w:proofErr w:type="spellEnd"/>
      <w:r w:rsidRPr="00A07F29">
        <w:rPr>
          <w:rFonts w:ascii="Times New Roman" w:eastAsia="Calibri" w:hAnsi="Times New Roman" w:cs="Calibri"/>
          <w:bCs/>
          <w:sz w:val="24"/>
          <w:lang w:eastAsia="ja-JP"/>
        </w:rPr>
        <w:t xml:space="preserve"> dzīvotnēs AAA “Augšdaugava” D daļā </w:t>
      </w:r>
      <w:r w:rsidR="00217B64">
        <w:rPr>
          <w:rFonts w:ascii="Times New Roman" w:eastAsia="Calibri" w:hAnsi="Times New Roman" w:cs="Calibri"/>
          <w:bCs/>
          <w:sz w:val="24"/>
          <w:lang w:eastAsia="ja-JP"/>
        </w:rPr>
        <w:t>sešās</w:t>
      </w:r>
      <w:r w:rsidRPr="00A07F29">
        <w:rPr>
          <w:rFonts w:ascii="Times New Roman" w:eastAsia="Calibri" w:hAnsi="Times New Roman" w:cs="Calibri"/>
          <w:bCs/>
          <w:sz w:val="24"/>
          <w:lang w:eastAsia="ja-JP"/>
        </w:rPr>
        <w:t xml:space="preserve"> vietās Kaplavas apkaimē (</w:t>
      </w:r>
      <w:r w:rsidR="00217B64">
        <w:rPr>
          <w:rFonts w:ascii="Times New Roman" w:eastAsia="Calibri" w:hAnsi="Times New Roman" w:cs="Calibri"/>
          <w:bCs/>
          <w:sz w:val="24"/>
          <w:lang w:eastAsia="ja-JP"/>
        </w:rPr>
        <w:t xml:space="preserve">skat. </w:t>
      </w:r>
      <w:r w:rsidR="0079714C" w:rsidRPr="00A07F29">
        <w:rPr>
          <w:rFonts w:ascii="Times New Roman" w:eastAsia="Calibri" w:hAnsi="Times New Roman" w:cs="Calibri"/>
          <w:bCs/>
          <w:sz w:val="24"/>
          <w:lang w:eastAsia="ja-JP"/>
        </w:rPr>
        <w:t>5.3.1</w:t>
      </w:r>
      <w:r w:rsidR="00217B64">
        <w:rPr>
          <w:rFonts w:ascii="Times New Roman" w:eastAsia="Calibri" w:hAnsi="Times New Roman" w:cs="Calibri"/>
          <w:bCs/>
          <w:sz w:val="24"/>
          <w:lang w:eastAsia="ja-JP"/>
        </w:rPr>
        <w:t>3</w:t>
      </w:r>
      <w:r w:rsidR="0079714C" w:rsidRPr="00A07F29">
        <w:rPr>
          <w:rFonts w:ascii="Times New Roman" w:eastAsia="Calibri" w:hAnsi="Times New Roman" w:cs="Calibri"/>
          <w:bCs/>
          <w:sz w:val="24"/>
          <w:lang w:eastAsia="ja-JP"/>
        </w:rPr>
        <w:t>.</w:t>
      </w:r>
      <w:r w:rsidR="00217B64">
        <w:rPr>
          <w:rFonts w:ascii="Times New Roman" w:eastAsia="Calibri" w:hAnsi="Times New Roman" w:cs="Calibri"/>
          <w:bCs/>
          <w:sz w:val="24"/>
          <w:lang w:eastAsia="ja-JP"/>
        </w:rPr>
        <w:t> </w:t>
      </w:r>
      <w:r w:rsidRPr="00A07F29">
        <w:rPr>
          <w:rFonts w:ascii="Times New Roman" w:eastAsia="Calibri" w:hAnsi="Times New Roman" w:cs="Calibri"/>
          <w:bCs/>
          <w:sz w:val="24"/>
          <w:lang w:eastAsia="ja-JP"/>
        </w:rPr>
        <w:t>att</w:t>
      </w:r>
      <w:r w:rsidR="00217B64">
        <w:rPr>
          <w:rFonts w:ascii="Times New Roman" w:eastAsia="Calibri" w:hAnsi="Times New Roman" w:cs="Calibri"/>
          <w:bCs/>
          <w:sz w:val="24"/>
          <w:lang w:eastAsia="ja-JP"/>
        </w:rPr>
        <w:t>ēls</w:t>
      </w:r>
      <w:r w:rsidRPr="00A07F29">
        <w:rPr>
          <w:rFonts w:ascii="Times New Roman" w:eastAsia="Calibri" w:hAnsi="Times New Roman" w:cs="Calibri"/>
          <w:bCs/>
          <w:sz w:val="24"/>
          <w:lang w:eastAsia="ja-JP"/>
        </w:rPr>
        <w:t xml:space="preserve">), </w:t>
      </w:r>
      <w:r w:rsidR="00217B64">
        <w:rPr>
          <w:rFonts w:ascii="Times New Roman" w:eastAsia="Calibri" w:hAnsi="Times New Roman" w:cs="Calibri"/>
          <w:bCs/>
          <w:sz w:val="24"/>
          <w:lang w:eastAsia="ja-JP"/>
        </w:rPr>
        <w:t>piecās</w:t>
      </w:r>
      <w:r w:rsidRPr="00A07F29">
        <w:rPr>
          <w:rFonts w:ascii="Times New Roman" w:eastAsia="Calibri" w:hAnsi="Times New Roman" w:cs="Calibri"/>
          <w:bCs/>
          <w:sz w:val="24"/>
          <w:lang w:eastAsia="ja-JP"/>
        </w:rPr>
        <w:t xml:space="preserve"> vietās </w:t>
      </w:r>
      <w:proofErr w:type="spellStart"/>
      <w:r w:rsidRPr="00A07F29">
        <w:rPr>
          <w:rFonts w:ascii="Times New Roman" w:eastAsia="Calibri" w:hAnsi="Times New Roman" w:cs="Calibri"/>
          <w:bCs/>
          <w:sz w:val="24"/>
          <w:lang w:eastAsia="ja-JP"/>
        </w:rPr>
        <w:t>Matulišķu</w:t>
      </w:r>
      <w:proofErr w:type="spellEnd"/>
      <w:r w:rsidRPr="00A07F29">
        <w:rPr>
          <w:rFonts w:ascii="Times New Roman" w:eastAsia="Calibri" w:hAnsi="Times New Roman" w:cs="Calibri"/>
          <w:bCs/>
          <w:sz w:val="24"/>
          <w:lang w:eastAsia="ja-JP"/>
        </w:rPr>
        <w:t xml:space="preserve"> apkaimē (</w:t>
      </w:r>
      <w:r w:rsidR="00217B64">
        <w:rPr>
          <w:rFonts w:ascii="Times New Roman" w:eastAsia="Calibri" w:hAnsi="Times New Roman" w:cs="Calibri"/>
          <w:bCs/>
          <w:sz w:val="24"/>
          <w:lang w:eastAsia="ja-JP"/>
        </w:rPr>
        <w:t xml:space="preserve">skat. </w:t>
      </w:r>
      <w:r w:rsidR="0079714C" w:rsidRPr="00A07F29">
        <w:rPr>
          <w:rFonts w:ascii="Times New Roman" w:eastAsia="Calibri" w:hAnsi="Times New Roman" w:cs="Calibri"/>
          <w:bCs/>
          <w:sz w:val="24"/>
          <w:lang w:eastAsia="ja-JP"/>
        </w:rPr>
        <w:t>5.3.1</w:t>
      </w:r>
      <w:r w:rsidR="002B23D0">
        <w:rPr>
          <w:rFonts w:ascii="Times New Roman" w:eastAsia="Calibri" w:hAnsi="Times New Roman" w:cs="Calibri"/>
          <w:bCs/>
          <w:sz w:val="24"/>
          <w:lang w:eastAsia="ja-JP"/>
        </w:rPr>
        <w:t>4</w:t>
      </w:r>
      <w:r w:rsidR="0079714C" w:rsidRPr="00A07F29">
        <w:rPr>
          <w:rFonts w:ascii="Times New Roman" w:eastAsia="Calibri" w:hAnsi="Times New Roman" w:cs="Calibri"/>
          <w:bCs/>
          <w:sz w:val="24"/>
          <w:lang w:eastAsia="ja-JP"/>
        </w:rPr>
        <w:t>.</w:t>
      </w:r>
      <w:r w:rsidR="002B23D0">
        <w:rPr>
          <w:rFonts w:ascii="Times New Roman" w:eastAsia="Calibri" w:hAnsi="Times New Roman" w:cs="Calibri"/>
          <w:bCs/>
          <w:sz w:val="24"/>
          <w:lang w:eastAsia="ja-JP"/>
        </w:rPr>
        <w:t> </w:t>
      </w:r>
      <w:r w:rsidRPr="00A07F29">
        <w:rPr>
          <w:rFonts w:ascii="Times New Roman" w:eastAsia="Calibri" w:hAnsi="Times New Roman" w:cs="Calibri"/>
          <w:bCs/>
          <w:sz w:val="24"/>
          <w:lang w:eastAsia="ja-JP"/>
        </w:rPr>
        <w:t>att</w:t>
      </w:r>
      <w:r w:rsidR="002B23D0">
        <w:rPr>
          <w:rFonts w:ascii="Times New Roman" w:eastAsia="Calibri" w:hAnsi="Times New Roman" w:cs="Calibri"/>
          <w:bCs/>
          <w:sz w:val="24"/>
          <w:lang w:eastAsia="ja-JP"/>
        </w:rPr>
        <w:t>ēls</w:t>
      </w:r>
      <w:r w:rsidRPr="00A07F29">
        <w:rPr>
          <w:rFonts w:ascii="Times New Roman" w:eastAsia="Calibri" w:hAnsi="Times New Roman" w:cs="Calibri"/>
          <w:bCs/>
          <w:sz w:val="24"/>
          <w:lang w:eastAsia="ja-JP"/>
        </w:rPr>
        <w:t xml:space="preserve">), </w:t>
      </w:r>
      <w:r w:rsidR="002B23D0">
        <w:rPr>
          <w:rFonts w:ascii="Times New Roman" w:eastAsia="Calibri" w:hAnsi="Times New Roman" w:cs="Calibri"/>
          <w:bCs/>
          <w:sz w:val="24"/>
          <w:lang w:eastAsia="ja-JP"/>
        </w:rPr>
        <w:t>vienā</w:t>
      </w:r>
      <w:r w:rsidRPr="00A07F29">
        <w:rPr>
          <w:rFonts w:ascii="Times New Roman" w:eastAsia="Calibri" w:hAnsi="Times New Roman" w:cs="Calibri"/>
          <w:bCs/>
          <w:sz w:val="24"/>
          <w:lang w:eastAsia="ja-JP"/>
        </w:rPr>
        <w:t xml:space="preserve"> vietā </w:t>
      </w:r>
      <w:proofErr w:type="spellStart"/>
      <w:r w:rsidR="0079714C" w:rsidRPr="00A07F29">
        <w:rPr>
          <w:rFonts w:ascii="Times New Roman" w:eastAsia="Calibri" w:hAnsi="Times New Roman" w:cs="Calibri"/>
          <w:bCs/>
          <w:sz w:val="24"/>
          <w:lang w:eastAsia="ja-JP"/>
        </w:rPr>
        <w:t>Stašališķu</w:t>
      </w:r>
      <w:proofErr w:type="spellEnd"/>
      <w:r w:rsidR="0079714C" w:rsidRPr="00A07F29">
        <w:rPr>
          <w:rFonts w:ascii="Times New Roman" w:eastAsia="Calibri" w:hAnsi="Times New Roman" w:cs="Calibri"/>
          <w:bCs/>
          <w:sz w:val="24"/>
          <w:lang w:eastAsia="ja-JP"/>
        </w:rPr>
        <w:t xml:space="preserve"> </w:t>
      </w:r>
      <w:r w:rsidRPr="00A07F29">
        <w:rPr>
          <w:rFonts w:ascii="Times New Roman" w:eastAsia="Calibri" w:hAnsi="Times New Roman" w:cs="Calibri"/>
          <w:bCs/>
          <w:sz w:val="24"/>
          <w:lang w:eastAsia="ja-JP"/>
        </w:rPr>
        <w:t>apkaimē (</w:t>
      </w:r>
      <w:r w:rsidR="002B23D0">
        <w:rPr>
          <w:rFonts w:ascii="Times New Roman" w:eastAsia="Calibri" w:hAnsi="Times New Roman" w:cs="Calibri"/>
          <w:bCs/>
          <w:sz w:val="24"/>
          <w:lang w:eastAsia="ja-JP"/>
        </w:rPr>
        <w:t xml:space="preserve">skat. </w:t>
      </w:r>
      <w:r w:rsidR="0079714C" w:rsidRPr="00A07F29">
        <w:rPr>
          <w:rFonts w:ascii="Times New Roman" w:eastAsia="Calibri" w:hAnsi="Times New Roman" w:cs="Calibri"/>
          <w:bCs/>
          <w:sz w:val="24"/>
          <w:lang w:eastAsia="ja-JP"/>
        </w:rPr>
        <w:t>5.3.1</w:t>
      </w:r>
      <w:r w:rsidR="002B23D0">
        <w:rPr>
          <w:rFonts w:ascii="Times New Roman" w:eastAsia="Calibri" w:hAnsi="Times New Roman" w:cs="Calibri"/>
          <w:bCs/>
          <w:sz w:val="24"/>
          <w:lang w:eastAsia="ja-JP"/>
        </w:rPr>
        <w:t>5</w:t>
      </w:r>
      <w:r w:rsidR="0079714C" w:rsidRPr="00A07F29">
        <w:rPr>
          <w:rFonts w:ascii="Times New Roman" w:eastAsia="Calibri" w:hAnsi="Times New Roman" w:cs="Calibri"/>
          <w:bCs/>
          <w:sz w:val="24"/>
          <w:lang w:eastAsia="ja-JP"/>
        </w:rPr>
        <w:t>.</w:t>
      </w:r>
      <w:r w:rsidR="002B23D0">
        <w:rPr>
          <w:rFonts w:ascii="Times New Roman" w:eastAsia="Calibri" w:hAnsi="Times New Roman" w:cs="Calibri"/>
          <w:bCs/>
          <w:sz w:val="24"/>
          <w:lang w:eastAsia="ja-JP"/>
        </w:rPr>
        <w:t> </w:t>
      </w:r>
      <w:r w:rsidRPr="00A07F29">
        <w:rPr>
          <w:rFonts w:ascii="Times New Roman" w:eastAsia="Calibri" w:hAnsi="Times New Roman" w:cs="Calibri"/>
          <w:bCs/>
          <w:sz w:val="24"/>
          <w:lang w:eastAsia="ja-JP"/>
        </w:rPr>
        <w:t>att</w:t>
      </w:r>
      <w:r w:rsidR="002B23D0">
        <w:rPr>
          <w:rFonts w:ascii="Times New Roman" w:eastAsia="Calibri" w:hAnsi="Times New Roman" w:cs="Calibri"/>
          <w:bCs/>
          <w:sz w:val="24"/>
          <w:lang w:eastAsia="ja-JP"/>
        </w:rPr>
        <w:t>ēls</w:t>
      </w:r>
      <w:r w:rsidRPr="00A07F29">
        <w:rPr>
          <w:rFonts w:ascii="Times New Roman" w:eastAsia="Calibri" w:hAnsi="Times New Roman" w:cs="Calibri"/>
          <w:bCs/>
          <w:sz w:val="24"/>
          <w:lang w:eastAsia="ja-JP"/>
        </w:rPr>
        <w:t>). Kopējā biotopu uzlabošanas darbu platība – 7,5</w:t>
      </w:r>
      <w:r w:rsidR="00A1491D">
        <w:rPr>
          <w:rFonts w:ascii="Times New Roman" w:eastAsia="Calibri" w:hAnsi="Times New Roman" w:cs="Calibri"/>
          <w:bCs/>
          <w:sz w:val="24"/>
          <w:lang w:eastAsia="ja-JP"/>
        </w:rPr>
        <w:t> </w:t>
      </w:r>
      <w:r w:rsidRPr="00A07F29">
        <w:rPr>
          <w:rFonts w:ascii="Times New Roman" w:eastAsia="Calibri" w:hAnsi="Times New Roman" w:cs="Calibri"/>
          <w:bCs/>
          <w:sz w:val="24"/>
          <w:lang w:eastAsia="ja-JP"/>
        </w:rPr>
        <w:t>ha. Norādītās dzīvotņu uzlabošanas vietas un platības ir indikatīvas un var mainīties atbilstoši jaunāk</w:t>
      </w:r>
      <w:r w:rsidR="00A1491D">
        <w:rPr>
          <w:rFonts w:ascii="Times New Roman" w:eastAsia="Calibri" w:hAnsi="Times New Roman" w:cs="Calibri"/>
          <w:bCs/>
          <w:sz w:val="24"/>
          <w:lang w:eastAsia="ja-JP"/>
        </w:rPr>
        <w:t>ā</w:t>
      </w:r>
      <w:r w:rsidRPr="00A07F29">
        <w:rPr>
          <w:rFonts w:ascii="Times New Roman" w:eastAsia="Calibri" w:hAnsi="Times New Roman" w:cs="Calibri"/>
          <w:bCs/>
          <w:sz w:val="24"/>
          <w:lang w:eastAsia="ja-JP"/>
        </w:rPr>
        <w:t>s izpētes rezultātiem un pēc saskaņošanas ar zemes īpašniekiem.</w:t>
      </w:r>
    </w:p>
    <w:p w14:paraId="0A17672F" w14:textId="0EA3057E" w:rsidR="0079714C" w:rsidRPr="00A07F29" w:rsidRDefault="0079714C" w:rsidP="00A21E83">
      <w:pPr>
        <w:spacing w:after="120" w:line="240" w:lineRule="auto"/>
        <w:jc w:val="both"/>
        <w:rPr>
          <w:rFonts w:ascii="Times New Roman" w:eastAsia="Times New Roman" w:hAnsi="Times New Roman" w:cs="Times New Roman"/>
          <w:bCs/>
          <w:color w:val="000000"/>
          <w:sz w:val="24"/>
          <w:szCs w:val="24"/>
        </w:rPr>
      </w:pPr>
      <w:r w:rsidRPr="00A07F29">
        <w:rPr>
          <w:noProof/>
          <w:lang w:eastAsia="lv-LV"/>
        </w:rPr>
        <w:lastRenderedPageBreak/>
        <w:drawing>
          <wp:inline distT="0" distB="0" distL="0" distR="0" wp14:anchorId="1669805B" wp14:editId="4F944D64">
            <wp:extent cx="5731510" cy="4051935"/>
            <wp:effectExtent l="0" t="0" r="2540" b="5715"/>
            <wp:docPr id="918145552" name="Picture 918145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8145552"/>
                    <pic:cNvPicPr/>
                  </pic:nvPicPr>
                  <pic:blipFill>
                    <a:blip r:embed="rId111">
                      <a:extLst>
                        <a:ext uri="{28A0092B-C50C-407E-A947-70E740481C1C}">
                          <a14:useLocalDpi xmlns:a14="http://schemas.microsoft.com/office/drawing/2010/main" val="0"/>
                        </a:ext>
                      </a:extLst>
                    </a:blip>
                    <a:stretch>
                      <a:fillRect/>
                    </a:stretch>
                  </pic:blipFill>
                  <pic:spPr>
                    <a:xfrm>
                      <a:off x="0" y="0"/>
                      <a:ext cx="5731510" cy="4051935"/>
                    </a:xfrm>
                    <a:prstGeom prst="rect">
                      <a:avLst/>
                    </a:prstGeom>
                  </pic:spPr>
                </pic:pic>
              </a:graphicData>
            </a:graphic>
          </wp:inline>
        </w:drawing>
      </w:r>
    </w:p>
    <w:p w14:paraId="1F166AF9" w14:textId="1E4BAF19" w:rsidR="0079714C" w:rsidRPr="003C791A" w:rsidRDefault="0079714C" w:rsidP="00A21E83">
      <w:pPr>
        <w:spacing w:after="120" w:line="240" w:lineRule="auto"/>
        <w:jc w:val="both"/>
        <w:rPr>
          <w:rFonts w:ascii="Times New Roman" w:eastAsia="Calibri" w:hAnsi="Times New Roman" w:cs="Calibri"/>
          <w:sz w:val="20"/>
          <w:szCs w:val="20"/>
          <w:lang w:eastAsia="ja-JP"/>
        </w:rPr>
      </w:pPr>
      <w:r w:rsidRPr="003C791A">
        <w:rPr>
          <w:rFonts w:ascii="Times New Roman" w:eastAsia="Calibri" w:hAnsi="Times New Roman" w:cs="Calibri"/>
          <w:sz w:val="20"/>
          <w:szCs w:val="20"/>
          <w:lang w:eastAsia="ja-JP"/>
        </w:rPr>
        <w:t>5.3.1</w:t>
      </w:r>
      <w:r w:rsidR="003C791A" w:rsidRPr="003C791A">
        <w:rPr>
          <w:rFonts w:ascii="Times New Roman" w:eastAsia="Calibri" w:hAnsi="Times New Roman" w:cs="Calibri"/>
          <w:sz w:val="20"/>
          <w:szCs w:val="20"/>
          <w:lang w:eastAsia="ja-JP"/>
        </w:rPr>
        <w:t>3</w:t>
      </w:r>
      <w:r w:rsidRPr="003C791A">
        <w:rPr>
          <w:rFonts w:ascii="Times New Roman" w:eastAsia="Calibri" w:hAnsi="Times New Roman" w:cs="Calibri"/>
          <w:sz w:val="20"/>
          <w:szCs w:val="20"/>
          <w:lang w:eastAsia="ja-JP"/>
        </w:rPr>
        <w:t>.</w:t>
      </w:r>
      <w:r w:rsidR="003C791A" w:rsidRPr="003C791A">
        <w:rPr>
          <w:rFonts w:ascii="Times New Roman" w:eastAsia="Calibri" w:hAnsi="Times New Roman" w:cs="Calibri"/>
          <w:sz w:val="20"/>
          <w:szCs w:val="20"/>
          <w:lang w:eastAsia="ja-JP"/>
        </w:rPr>
        <w:t> </w:t>
      </w:r>
      <w:r w:rsidRPr="003C791A">
        <w:rPr>
          <w:rFonts w:ascii="Times New Roman" w:eastAsia="Calibri" w:hAnsi="Times New Roman" w:cs="Calibri"/>
          <w:sz w:val="20"/>
          <w:szCs w:val="20"/>
          <w:lang w:eastAsia="ja-JP"/>
        </w:rPr>
        <w:t xml:space="preserve">attēls. </w:t>
      </w:r>
      <w:proofErr w:type="spellStart"/>
      <w:r w:rsidRPr="003C791A">
        <w:rPr>
          <w:rFonts w:ascii="Times New Roman" w:eastAsia="Calibri" w:hAnsi="Times New Roman" w:cs="Calibri"/>
          <w:sz w:val="20"/>
          <w:szCs w:val="20"/>
          <w:lang w:eastAsia="ja-JP"/>
        </w:rPr>
        <w:t>Ugunskrupju</w:t>
      </w:r>
      <w:proofErr w:type="spellEnd"/>
      <w:r w:rsidRPr="003C791A">
        <w:rPr>
          <w:rFonts w:ascii="Times New Roman" w:eastAsia="Calibri" w:hAnsi="Times New Roman" w:cs="Calibri"/>
          <w:sz w:val="20"/>
          <w:szCs w:val="20"/>
          <w:lang w:eastAsia="ja-JP"/>
        </w:rPr>
        <w:t xml:space="preserve"> dīķu atjaunošana Kaplavas apkārtnē.</w:t>
      </w:r>
    </w:p>
    <w:p w14:paraId="580ADF07" w14:textId="77777777" w:rsidR="0079714C" w:rsidRPr="00A07F29" w:rsidRDefault="0079714C" w:rsidP="00A21E83">
      <w:pPr>
        <w:spacing w:after="120" w:line="240" w:lineRule="auto"/>
        <w:jc w:val="both"/>
        <w:rPr>
          <w:rFonts w:ascii="Times New Roman" w:eastAsia="Times New Roman" w:hAnsi="Times New Roman" w:cs="Times New Roman"/>
          <w:bCs/>
          <w:color w:val="000000"/>
        </w:rPr>
      </w:pPr>
    </w:p>
    <w:p w14:paraId="15EEEFD0" w14:textId="092D1EFE" w:rsidR="0079714C" w:rsidRPr="00A07F29" w:rsidRDefault="0079714C" w:rsidP="00A21E83">
      <w:pPr>
        <w:spacing w:after="120" w:line="240" w:lineRule="auto"/>
        <w:jc w:val="both"/>
        <w:rPr>
          <w:rFonts w:ascii="Times New Roman" w:eastAsia="Times New Roman" w:hAnsi="Times New Roman" w:cs="Times New Roman"/>
          <w:bCs/>
          <w:color w:val="000000"/>
          <w:sz w:val="24"/>
          <w:szCs w:val="24"/>
        </w:rPr>
      </w:pPr>
      <w:r w:rsidRPr="00A07F29">
        <w:rPr>
          <w:noProof/>
          <w:lang w:eastAsia="lv-LV"/>
        </w:rPr>
        <w:drawing>
          <wp:inline distT="0" distB="0" distL="0" distR="0" wp14:anchorId="36202ED8" wp14:editId="1AC0CA66">
            <wp:extent cx="5278356" cy="3731574"/>
            <wp:effectExtent l="0" t="0" r="0" b="2540"/>
            <wp:docPr id="918145556" name="Picture 918145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8145556"/>
                    <pic:cNvPicPr/>
                  </pic:nvPicPr>
                  <pic:blipFill>
                    <a:blip r:embed="rId112">
                      <a:extLst>
                        <a:ext uri="{28A0092B-C50C-407E-A947-70E740481C1C}">
                          <a14:useLocalDpi xmlns:a14="http://schemas.microsoft.com/office/drawing/2010/main" val="0"/>
                        </a:ext>
                      </a:extLst>
                    </a:blip>
                    <a:stretch>
                      <a:fillRect/>
                    </a:stretch>
                  </pic:blipFill>
                  <pic:spPr>
                    <a:xfrm>
                      <a:off x="0" y="0"/>
                      <a:ext cx="5278356" cy="3731574"/>
                    </a:xfrm>
                    <a:prstGeom prst="rect">
                      <a:avLst/>
                    </a:prstGeom>
                  </pic:spPr>
                </pic:pic>
              </a:graphicData>
            </a:graphic>
          </wp:inline>
        </w:drawing>
      </w:r>
    </w:p>
    <w:p w14:paraId="230AB930" w14:textId="189CF997" w:rsidR="0079714C" w:rsidRPr="00E94BFF" w:rsidRDefault="0079714C" w:rsidP="00A21E83">
      <w:pPr>
        <w:spacing w:after="120" w:line="240" w:lineRule="auto"/>
        <w:jc w:val="both"/>
        <w:rPr>
          <w:rFonts w:ascii="Times New Roman" w:eastAsia="Times New Roman" w:hAnsi="Times New Roman" w:cs="Times New Roman"/>
          <w:bCs/>
          <w:color w:val="000000"/>
          <w:sz w:val="20"/>
          <w:szCs w:val="20"/>
        </w:rPr>
      </w:pPr>
      <w:r w:rsidRPr="00E94BFF">
        <w:rPr>
          <w:rFonts w:ascii="Times New Roman" w:eastAsia="Times New Roman" w:hAnsi="Times New Roman" w:cs="Times New Roman"/>
          <w:bCs/>
          <w:color w:val="000000"/>
          <w:sz w:val="20"/>
          <w:szCs w:val="20"/>
        </w:rPr>
        <w:t>5.3.1</w:t>
      </w:r>
      <w:r w:rsidR="003C791A" w:rsidRPr="00E94BFF">
        <w:rPr>
          <w:rFonts w:ascii="Times New Roman" w:eastAsia="Times New Roman" w:hAnsi="Times New Roman" w:cs="Times New Roman"/>
          <w:bCs/>
          <w:color w:val="000000"/>
          <w:sz w:val="20"/>
          <w:szCs w:val="20"/>
        </w:rPr>
        <w:t>4</w:t>
      </w:r>
      <w:r w:rsidRPr="00E94BFF">
        <w:rPr>
          <w:rFonts w:ascii="Times New Roman" w:eastAsia="Times New Roman" w:hAnsi="Times New Roman" w:cs="Times New Roman"/>
          <w:bCs/>
          <w:color w:val="000000"/>
          <w:sz w:val="20"/>
          <w:szCs w:val="20"/>
        </w:rPr>
        <w:t>.</w:t>
      </w:r>
      <w:r w:rsidR="003C791A" w:rsidRPr="00E94BFF">
        <w:rPr>
          <w:rFonts w:ascii="Times New Roman" w:eastAsia="Times New Roman" w:hAnsi="Times New Roman" w:cs="Times New Roman"/>
          <w:bCs/>
          <w:color w:val="000000"/>
          <w:sz w:val="20"/>
          <w:szCs w:val="20"/>
        </w:rPr>
        <w:t> </w:t>
      </w:r>
      <w:r w:rsidRPr="00E94BFF">
        <w:rPr>
          <w:rFonts w:ascii="Times New Roman" w:eastAsia="Times New Roman" w:hAnsi="Times New Roman" w:cs="Times New Roman"/>
          <w:bCs/>
          <w:color w:val="000000"/>
          <w:sz w:val="20"/>
          <w:szCs w:val="20"/>
        </w:rPr>
        <w:t xml:space="preserve">attēls. </w:t>
      </w:r>
      <w:proofErr w:type="spellStart"/>
      <w:r w:rsidRPr="00E94BFF">
        <w:rPr>
          <w:rFonts w:ascii="Times New Roman" w:eastAsia="Times New Roman" w:hAnsi="Times New Roman" w:cs="Times New Roman"/>
          <w:bCs/>
          <w:color w:val="000000"/>
          <w:sz w:val="20"/>
          <w:szCs w:val="20"/>
        </w:rPr>
        <w:t>Ugunskrupju</w:t>
      </w:r>
      <w:proofErr w:type="spellEnd"/>
      <w:r w:rsidRPr="00E94BFF">
        <w:rPr>
          <w:rFonts w:ascii="Times New Roman" w:eastAsia="Times New Roman" w:hAnsi="Times New Roman" w:cs="Times New Roman"/>
          <w:bCs/>
          <w:color w:val="000000"/>
          <w:sz w:val="20"/>
          <w:szCs w:val="20"/>
        </w:rPr>
        <w:t xml:space="preserve"> dīķu atjaunošana </w:t>
      </w:r>
      <w:proofErr w:type="spellStart"/>
      <w:r w:rsidRPr="00E94BFF">
        <w:rPr>
          <w:rFonts w:ascii="Times New Roman" w:eastAsia="Times New Roman" w:hAnsi="Times New Roman" w:cs="Times New Roman"/>
          <w:bCs/>
          <w:color w:val="000000"/>
          <w:sz w:val="20"/>
          <w:szCs w:val="20"/>
        </w:rPr>
        <w:t>Matulišķu</w:t>
      </w:r>
      <w:proofErr w:type="spellEnd"/>
      <w:r w:rsidRPr="00E94BFF">
        <w:rPr>
          <w:rFonts w:ascii="Times New Roman" w:eastAsia="Times New Roman" w:hAnsi="Times New Roman" w:cs="Times New Roman"/>
          <w:bCs/>
          <w:color w:val="000000"/>
          <w:sz w:val="20"/>
          <w:szCs w:val="20"/>
        </w:rPr>
        <w:t xml:space="preserve"> apkārtnē.</w:t>
      </w:r>
    </w:p>
    <w:p w14:paraId="671EBF0E" w14:textId="396CB7BE" w:rsidR="00A21E83" w:rsidRPr="00A07F29" w:rsidRDefault="0079714C" w:rsidP="00A21E83">
      <w:pPr>
        <w:spacing w:after="120" w:line="240" w:lineRule="auto"/>
        <w:jc w:val="both"/>
        <w:rPr>
          <w:rFonts w:ascii="Times New Roman" w:eastAsia="Times New Roman" w:hAnsi="Times New Roman" w:cs="Times New Roman"/>
          <w:bCs/>
          <w:color w:val="000000"/>
          <w:sz w:val="24"/>
          <w:szCs w:val="24"/>
        </w:rPr>
      </w:pPr>
      <w:r w:rsidRPr="00A07F29">
        <w:rPr>
          <w:noProof/>
          <w:lang w:eastAsia="lv-LV"/>
        </w:rPr>
        <w:lastRenderedPageBreak/>
        <w:drawing>
          <wp:inline distT="0" distB="0" distL="0" distR="0" wp14:anchorId="723B2984" wp14:editId="1AF974D7">
            <wp:extent cx="5731510" cy="4051935"/>
            <wp:effectExtent l="0" t="0" r="2540" b="5715"/>
            <wp:docPr id="918145561" name="Picture 918145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8145561"/>
                    <pic:cNvPicPr/>
                  </pic:nvPicPr>
                  <pic:blipFill>
                    <a:blip r:embed="rId113">
                      <a:extLst>
                        <a:ext uri="{28A0092B-C50C-407E-A947-70E740481C1C}">
                          <a14:useLocalDpi xmlns:a14="http://schemas.microsoft.com/office/drawing/2010/main" val="0"/>
                        </a:ext>
                      </a:extLst>
                    </a:blip>
                    <a:stretch>
                      <a:fillRect/>
                    </a:stretch>
                  </pic:blipFill>
                  <pic:spPr>
                    <a:xfrm>
                      <a:off x="0" y="0"/>
                      <a:ext cx="5731510" cy="4051935"/>
                    </a:xfrm>
                    <a:prstGeom prst="rect">
                      <a:avLst/>
                    </a:prstGeom>
                  </pic:spPr>
                </pic:pic>
              </a:graphicData>
            </a:graphic>
          </wp:inline>
        </w:drawing>
      </w:r>
    </w:p>
    <w:p w14:paraId="3CFB33F1" w14:textId="15FD73BA" w:rsidR="0079714C" w:rsidRPr="00E94BFF" w:rsidRDefault="0079714C" w:rsidP="00A21E83">
      <w:pPr>
        <w:spacing w:after="120" w:line="240" w:lineRule="auto"/>
        <w:jc w:val="both"/>
        <w:rPr>
          <w:rFonts w:ascii="Times New Roman" w:eastAsia="Times New Roman" w:hAnsi="Times New Roman" w:cs="Times New Roman"/>
          <w:bCs/>
          <w:color w:val="000000"/>
          <w:sz w:val="20"/>
          <w:szCs w:val="20"/>
        </w:rPr>
      </w:pPr>
      <w:r w:rsidRPr="00E94BFF">
        <w:rPr>
          <w:rFonts w:ascii="Times New Roman" w:eastAsia="Times New Roman" w:hAnsi="Times New Roman" w:cs="Times New Roman"/>
          <w:bCs/>
          <w:color w:val="000000"/>
          <w:sz w:val="20"/>
          <w:szCs w:val="20"/>
        </w:rPr>
        <w:t>5.3.1</w:t>
      </w:r>
      <w:r w:rsidR="00E94BFF" w:rsidRPr="00E94BFF">
        <w:rPr>
          <w:rFonts w:ascii="Times New Roman" w:eastAsia="Times New Roman" w:hAnsi="Times New Roman" w:cs="Times New Roman"/>
          <w:bCs/>
          <w:color w:val="000000"/>
          <w:sz w:val="20"/>
          <w:szCs w:val="20"/>
        </w:rPr>
        <w:t>5</w:t>
      </w:r>
      <w:r w:rsidRPr="00E94BFF">
        <w:rPr>
          <w:rFonts w:ascii="Times New Roman" w:eastAsia="Times New Roman" w:hAnsi="Times New Roman" w:cs="Times New Roman"/>
          <w:bCs/>
          <w:color w:val="000000"/>
          <w:sz w:val="20"/>
          <w:szCs w:val="20"/>
        </w:rPr>
        <w:t>.</w:t>
      </w:r>
      <w:r w:rsidR="00E94BFF" w:rsidRPr="00E94BFF">
        <w:rPr>
          <w:rFonts w:ascii="Times New Roman" w:eastAsia="Times New Roman" w:hAnsi="Times New Roman" w:cs="Times New Roman"/>
          <w:bCs/>
          <w:color w:val="000000"/>
          <w:sz w:val="20"/>
          <w:szCs w:val="20"/>
        </w:rPr>
        <w:t> </w:t>
      </w:r>
      <w:r w:rsidRPr="00E94BFF">
        <w:rPr>
          <w:rFonts w:ascii="Times New Roman" w:eastAsia="Times New Roman" w:hAnsi="Times New Roman" w:cs="Times New Roman"/>
          <w:bCs/>
          <w:color w:val="000000"/>
          <w:sz w:val="20"/>
          <w:szCs w:val="20"/>
        </w:rPr>
        <w:t xml:space="preserve">attēls. </w:t>
      </w:r>
      <w:proofErr w:type="spellStart"/>
      <w:r w:rsidRPr="00E94BFF">
        <w:rPr>
          <w:rFonts w:ascii="Times New Roman" w:eastAsia="Times New Roman" w:hAnsi="Times New Roman" w:cs="Times New Roman"/>
          <w:bCs/>
          <w:color w:val="000000"/>
          <w:sz w:val="20"/>
          <w:szCs w:val="20"/>
        </w:rPr>
        <w:t>Ugunskrupju</w:t>
      </w:r>
      <w:proofErr w:type="spellEnd"/>
      <w:r w:rsidRPr="00E94BFF">
        <w:rPr>
          <w:rFonts w:ascii="Times New Roman" w:eastAsia="Times New Roman" w:hAnsi="Times New Roman" w:cs="Times New Roman"/>
          <w:bCs/>
          <w:color w:val="000000"/>
          <w:sz w:val="20"/>
          <w:szCs w:val="20"/>
        </w:rPr>
        <w:t xml:space="preserve"> dīķu atjaunošana </w:t>
      </w:r>
      <w:proofErr w:type="spellStart"/>
      <w:r w:rsidRPr="00E94BFF">
        <w:rPr>
          <w:rFonts w:ascii="Times New Roman" w:eastAsia="Times New Roman" w:hAnsi="Times New Roman" w:cs="Times New Roman"/>
          <w:bCs/>
          <w:color w:val="000000"/>
          <w:sz w:val="20"/>
          <w:szCs w:val="20"/>
        </w:rPr>
        <w:t>Stašališķu</w:t>
      </w:r>
      <w:proofErr w:type="spellEnd"/>
      <w:r w:rsidRPr="00E94BFF">
        <w:rPr>
          <w:rFonts w:ascii="Times New Roman" w:eastAsia="Times New Roman" w:hAnsi="Times New Roman" w:cs="Times New Roman"/>
          <w:bCs/>
          <w:color w:val="000000"/>
          <w:sz w:val="20"/>
          <w:szCs w:val="20"/>
        </w:rPr>
        <w:t xml:space="preserve"> apkārtnē.</w:t>
      </w:r>
    </w:p>
    <w:p w14:paraId="5651ACFF" w14:textId="57FEC584" w:rsidR="00A21E83" w:rsidRPr="00A07F29" w:rsidRDefault="00A21E83" w:rsidP="00F35B98">
      <w:pPr>
        <w:keepNext/>
        <w:spacing w:before="360" w:after="120" w:line="240" w:lineRule="auto"/>
        <w:jc w:val="both"/>
        <w:rPr>
          <w:rFonts w:ascii="Times New Roman" w:eastAsia="Calibri" w:hAnsi="Times New Roman" w:cs="Calibri"/>
          <w:b/>
          <w:bCs/>
          <w:i/>
          <w:iCs/>
          <w:sz w:val="24"/>
          <w:lang w:eastAsia="ja-JP"/>
        </w:rPr>
      </w:pPr>
      <w:r w:rsidRPr="00A07F29">
        <w:rPr>
          <w:rFonts w:ascii="Times New Roman" w:eastAsia="Calibri" w:hAnsi="Times New Roman" w:cs="Calibri"/>
          <w:b/>
          <w:bCs/>
          <w:i/>
          <w:iCs/>
          <w:sz w:val="24"/>
          <w:lang w:eastAsia="ja-JP"/>
        </w:rPr>
        <w:t>B.5.</w:t>
      </w:r>
      <w:r w:rsidR="00697218" w:rsidRPr="00A07F29">
        <w:rPr>
          <w:rFonts w:ascii="Times New Roman" w:eastAsia="Calibri" w:hAnsi="Times New Roman" w:cs="Calibri"/>
          <w:b/>
          <w:bCs/>
          <w:i/>
          <w:iCs/>
          <w:sz w:val="24"/>
          <w:lang w:eastAsia="ja-JP"/>
        </w:rPr>
        <w:t>5</w:t>
      </w:r>
      <w:r w:rsidRPr="00A07F29">
        <w:rPr>
          <w:rFonts w:ascii="Times New Roman" w:eastAsia="Calibri" w:hAnsi="Times New Roman" w:cs="Calibri"/>
          <w:b/>
          <w:bCs/>
          <w:i/>
          <w:iCs/>
          <w:sz w:val="24"/>
          <w:lang w:eastAsia="ja-JP"/>
        </w:rPr>
        <w:t xml:space="preserve">. </w:t>
      </w:r>
      <w:proofErr w:type="spellStart"/>
      <w:r w:rsidRPr="00A07F29">
        <w:rPr>
          <w:rFonts w:ascii="Times New Roman" w:eastAsia="Calibri" w:hAnsi="Times New Roman" w:cs="Calibri"/>
          <w:b/>
          <w:bCs/>
          <w:i/>
          <w:iCs/>
          <w:sz w:val="24"/>
          <w:lang w:eastAsia="ja-JP"/>
        </w:rPr>
        <w:t>Sarkanvēdera</w:t>
      </w:r>
      <w:proofErr w:type="spellEnd"/>
      <w:r w:rsidRPr="00A07F29">
        <w:rPr>
          <w:rFonts w:ascii="Times New Roman" w:eastAsia="Calibri" w:hAnsi="Times New Roman" w:cs="Calibri"/>
          <w:b/>
          <w:bCs/>
          <w:i/>
          <w:iCs/>
          <w:sz w:val="24"/>
          <w:lang w:eastAsia="ja-JP"/>
        </w:rPr>
        <w:t xml:space="preserve"> </w:t>
      </w:r>
      <w:proofErr w:type="spellStart"/>
      <w:r w:rsidRPr="00A07F29">
        <w:rPr>
          <w:rFonts w:ascii="Times New Roman" w:eastAsia="Calibri" w:hAnsi="Times New Roman" w:cs="Calibri"/>
          <w:b/>
          <w:bCs/>
          <w:i/>
          <w:iCs/>
          <w:sz w:val="24"/>
          <w:lang w:eastAsia="ja-JP"/>
        </w:rPr>
        <w:t>ugunskrupju</w:t>
      </w:r>
      <w:proofErr w:type="spellEnd"/>
      <w:r w:rsidRPr="00A07F29">
        <w:rPr>
          <w:rFonts w:ascii="Times New Roman" w:eastAsia="Calibri" w:hAnsi="Times New Roman" w:cs="Calibri"/>
          <w:b/>
          <w:bCs/>
          <w:i/>
          <w:iCs/>
          <w:sz w:val="24"/>
          <w:lang w:eastAsia="ja-JP"/>
        </w:rPr>
        <w:t xml:space="preserve"> populāciju uzlabošana ar </w:t>
      </w:r>
      <w:proofErr w:type="spellStart"/>
      <w:r w:rsidRPr="00A07F29">
        <w:rPr>
          <w:rFonts w:ascii="Times New Roman" w:eastAsia="Calibri" w:hAnsi="Times New Roman" w:cs="Calibri"/>
          <w:b/>
          <w:bCs/>
          <w:i/>
          <w:iCs/>
          <w:sz w:val="24"/>
          <w:lang w:eastAsia="ja-JP"/>
        </w:rPr>
        <w:t>zookultūrā</w:t>
      </w:r>
      <w:proofErr w:type="spellEnd"/>
      <w:r w:rsidRPr="00A07F29">
        <w:rPr>
          <w:rFonts w:ascii="Times New Roman" w:eastAsia="Calibri" w:hAnsi="Times New Roman" w:cs="Calibri"/>
          <w:b/>
          <w:bCs/>
          <w:i/>
          <w:iCs/>
          <w:sz w:val="24"/>
          <w:lang w:eastAsia="ja-JP"/>
        </w:rPr>
        <w:t xml:space="preserve"> audzētiem īpatņiem</w:t>
      </w:r>
    </w:p>
    <w:p w14:paraId="166697A5" w14:textId="7963124B" w:rsidR="00A21E83" w:rsidRPr="00A07F29" w:rsidRDefault="00A21E83" w:rsidP="00676D29">
      <w:pPr>
        <w:spacing w:after="120" w:line="240" w:lineRule="auto"/>
        <w:ind w:firstLine="851"/>
        <w:jc w:val="both"/>
        <w:rPr>
          <w:rFonts w:ascii="Times New Roman" w:eastAsia="Times New Roman" w:hAnsi="Times New Roman" w:cs="Times New Roman"/>
          <w:color w:val="000000" w:themeColor="text1"/>
          <w:sz w:val="24"/>
          <w:szCs w:val="24"/>
        </w:rPr>
      </w:pPr>
      <w:proofErr w:type="spellStart"/>
      <w:r w:rsidRPr="00A07F29">
        <w:rPr>
          <w:rFonts w:ascii="Times New Roman" w:eastAsia="Times New Roman" w:hAnsi="Times New Roman" w:cs="Times New Roman"/>
          <w:color w:val="000000" w:themeColor="text1"/>
          <w:sz w:val="24"/>
          <w:szCs w:val="24"/>
        </w:rPr>
        <w:t>Zookultūrā</w:t>
      </w:r>
      <w:proofErr w:type="spellEnd"/>
      <w:r w:rsidRPr="00A07F29">
        <w:rPr>
          <w:rFonts w:ascii="Times New Roman" w:eastAsia="Times New Roman" w:hAnsi="Times New Roman" w:cs="Times New Roman"/>
          <w:color w:val="000000" w:themeColor="text1"/>
          <w:sz w:val="24"/>
          <w:szCs w:val="24"/>
        </w:rPr>
        <w:t xml:space="preserve"> audzēti </w:t>
      </w:r>
      <w:proofErr w:type="spellStart"/>
      <w:r w:rsidRPr="00A07F29">
        <w:rPr>
          <w:rFonts w:ascii="Times New Roman" w:eastAsia="Times New Roman" w:hAnsi="Times New Roman" w:cs="Times New Roman"/>
          <w:color w:val="000000" w:themeColor="text1"/>
          <w:sz w:val="24"/>
          <w:szCs w:val="24"/>
        </w:rPr>
        <w:t>ugunskrupji</w:t>
      </w:r>
      <w:proofErr w:type="spellEnd"/>
      <w:r w:rsidRPr="00A07F29">
        <w:rPr>
          <w:rFonts w:ascii="Times New Roman" w:eastAsia="Times New Roman" w:hAnsi="Times New Roman" w:cs="Times New Roman"/>
          <w:color w:val="000000" w:themeColor="text1"/>
          <w:sz w:val="24"/>
          <w:szCs w:val="24"/>
        </w:rPr>
        <w:t xml:space="preserve"> tiek izlaisti dabā populācijas uzlabošanai </w:t>
      </w:r>
      <w:proofErr w:type="spellStart"/>
      <w:r w:rsidR="00676D29" w:rsidRPr="00A07F29">
        <w:rPr>
          <w:rFonts w:ascii="Times New Roman" w:eastAsia="Times New Roman" w:hAnsi="Times New Roman" w:cs="Times New Roman"/>
          <w:color w:val="000000" w:themeColor="text1"/>
          <w:sz w:val="24"/>
          <w:szCs w:val="24"/>
        </w:rPr>
        <w:t>ugunskrupjiem</w:t>
      </w:r>
      <w:proofErr w:type="spellEnd"/>
      <w:r w:rsidR="00676D29" w:rsidRPr="00A07F29">
        <w:rPr>
          <w:rFonts w:ascii="Times New Roman" w:eastAsia="Times New Roman" w:hAnsi="Times New Roman" w:cs="Times New Roman"/>
          <w:color w:val="000000" w:themeColor="text1"/>
          <w:sz w:val="24"/>
          <w:szCs w:val="24"/>
        </w:rPr>
        <w:t xml:space="preserve"> piemērotos dīķos</w:t>
      </w:r>
      <w:r w:rsidRPr="00A07F29">
        <w:rPr>
          <w:rFonts w:ascii="Times New Roman" w:eastAsia="Times New Roman" w:hAnsi="Times New Roman" w:cs="Times New Roman"/>
          <w:color w:val="000000" w:themeColor="text1"/>
          <w:sz w:val="24"/>
          <w:szCs w:val="24"/>
        </w:rPr>
        <w:t xml:space="preserve">, izlaižot </w:t>
      </w:r>
      <w:proofErr w:type="spellStart"/>
      <w:r w:rsidRPr="00A07F29">
        <w:rPr>
          <w:rFonts w:ascii="Times New Roman" w:eastAsia="Times New Roman" w:hAnsi="Times New Roman" w:cs="Times New Roman"/>
          <w:color w:val="000000" w:themeColor="text1"/>
          <w:sz w:val="24"/>
          <w:szCs w:val="24"/>
        </w:rPr>
        <w:t>šīgadeņus</w:t>
      </w:r>
      <w:proofErr w:type="spellEnd"/>
      <w:r w:rsidRPr="00A07F29">
        <w:rPr>
          <w:rFonts w:ascii="Times New Roman" w:eastAsia="Times New Roman" w:hAnsi="Times New Roman" w:cs="Times New Roman"/>
          <w:color w:val="000000" w:themeColor="text1"/>
          <w:sz w:val="24"/>
          <w:szCs w:val="24"/>
        </w:rPr>
        <w:t xml:space="preserve"> pēc metamorfozes vai </w:t>
      </w:r>
      <w:proofErr w:type="spellStart"/>
      <w:r w:rsidRPr="00A07F29">
        <w:rPr>
          <w:rFonts w:ascii="Times New Roman" w:eastAsia="Times New Roman" w:hAnsi="Times New Roman" w:cs="Times New Roman"/>
          <w:color w:val="000000" w:themeColor="text1"/>
          <w:sz w:val="24"/>
          <w:szCs w:val="24"/>
        </w:rPr>
        <w:t>metamorfizējošus</w:t>
      </w:r>
      <w:proofErr w:type="spellEnd"/>
      <w:r w:rsidRPr="00A07F29">
        <w:rPr>
          <w:rFonts w:ascii="Times New Roman" w:eastAsia="Times New Roman" w:hAnsi="Times New Roman" w:cs="Times New Roman"/>
          <w:color w:val="000000" w:themeColor="text1"/>
          <w:sz w:val="24"/>
          <w:szCs w:val="24"/>
        </w:rPr>
        <w:t xml:space="preserve"> īpatņus. </w:t>
      </w:r>
      <w:r w:rsidR="00676D29" w:rsidRPr="00A07F29">
        <w:rPr>
          <w:rFonts w:ascii="Times New Roman" w:eastAsia="Times New Roman" w:hAnsi="Times New Roman" w:cs="Times New Roman"/>
          <w:color w:val="000000" w:themeColor="text1"/>
          <w:sz w:val="24"/>
          <w:szCs w:val="24"/>
        </w:rPr>
        <w:t xml:space="preserve">Pasākums veicams </w:t>
      </w:r>
      <w:proofErr w:type="spellStart"/>
      <w:r w:rsidRPr="00A07F29">
        <w:rPr>
          <w:rFonts w:ascii="Times New Roman" w:eastAsia="Times New Roman" w:hAnsi="Times New Roman" w:cs="Times New Roman"/>
          <w:color w:val="000000" w:themeColor="text1"/>
          <w:sz w:val="24"/>
          <w:szCs w:val="24"/>
        </w:rPr>
        <w:t>ugunskrupju</w:t>
      </w:r>
      <w:proofErr w:type="spellEnd"/>
      <w:r w:rsidRPr="00A07F29">
        <w:rPr>
          <w:rFonts w:ascii="Times New Roman" w:eastAsia="Times New Roman" w:hAnsi="Times New Roman" w:cs="Times New Roman"/>
          <w:color w:val="000000" w:themeColor="text1"/>
          <w:sz w:val="24"/>
          <w:szCs w:val="24"/>
        </w:rPr>
        <w:t xml:space="preserve"> </w:t>
      </w:r>
      <w:r w:rsidR="00676D29" w:rsidRPr="00A07F29">
        <w:rPr>
          <w:rFonts w:ascii="Times New Roman" w:eastAsia="Times New Roman" w:hAnsi="Times New Roman" w:cs="Times New Roman"/>
          <w:color w:val="000000" w:themeColor="text1"/>
          <w:sz w:val="24"/>
          <w:szCs w:val="24"/>
        </w:rPr>
        <w:t xml:space="preserve">esošās </w:t>
      </w:r>
      <w:r w:rsidRPr="00A07F29">
        <w:rPr>
          <w:rFonts w:ascii="Times New Roman" w:eastAsia="Times New Roman" w:hAnsi="Times New Roman" w:cs="Times New Roman"/>
          <w:color w:val="000000" w:themeColor="text1"/>
          <w:sz w:val="24"/>
          <w:szCs w:val="24"/>
        </w:rPr>
        <w:t xml:space="preserve">un </w:t>
      </w:r>
      <w:r w:rsidR="00676D29" w:rsidRPr="00A07F29">
        <w:rPr>
          <w:rFonts w:ascii="Times New Roman" w:eastAsia="Times New Roman" w:hAnsi="Times New Roman" w:cs="Times New Roman"/>
          <w:color w:val="000000" w:themeColor="text1"/>
          <w:sz w:val="24"/>
          <w:szCs w:val="24"/>
        </w:rPr>
        <w:t xml:space="preserve">atjaunotās vai </w:t>
      </w:r>
      <w:proofErr w:type="spellStart"/>
      <w:r w:rsidRPr="00A07F29">
        <w:rPr>
          <w:rFonts w:ascii="Times New Roman" w:eastAsia="Times New Roman" w:hAnsi="Times New Roman" w:cs="Times New Roman"/>
          <w:color w:val="000000" w:themeColor="text1"/>
          <w:sz w:val="24"/>
          <w:szCs w:val="24"/>
        </w:rPr>
        <w:t>jaunizveidot</w:t>
      </w:r>
      <w:r w:rsidR="00676D29" w:rsidRPr="00A07F29">
        <w:rPr>
          <w:rFonts w:ascii="Times New Roman" w:eastAsia="Times New Roman" w:hAnsi="Times New Roman" w:cs="Times New Roman"/>
          <w:color w:val="000000" w:themeColor="text1"/>
          <w:sz w:val="24"/>
          <w:szCs w:val="24"/>
        </w:rPr>
        <w:t>ās</w:t>
      </w:r>
      <w:proofErr w:type="spellEnd"/>
      <w:r w:rsidR="00676D29" w:rsidRPr="00A07F29">
        <w:rPr>
          <w:rFonts w:ascii="Times New Roman" w:eastAsia="Times New Roman" w:hAnsi="Times New Roman" w:cs="Times New Roman"/>
          <w:color w:val="000000" w:themeColor="text1"/>
          <w:sz w:val="24"/>
          <w:szCs w:val="24"/>
        </w:rPr>
        <w:t xml:space="preserve"> dzīvotnēs</w:t>
      </w:r>
      <w:r w:rsidRPr="00A07F29">
        <w:rPr>
          <w:rFonts w:ascii="Times New Roman" w:eastAsia="Times New Roman" w:hAnsi="Times New Roman" w:cs="Times New Roman"/>
          <w:color w:val="000000" w:themeColor="text1"/>
          <w:sz w:val="24"/>
          <w:szCs w:val="24"/>
        </w:rPr>
        <w:t xml:space="preserve"> AAA </w:t>
      </w:r>
      <w:r w:rsidR="00676D29" w:rsidRPr="00A07F29">
        <w:rPr>
          <w:rFonts w:ascii="Times New Roman" w:eastAsia="Times New Roman" w:hAnsi="Times New Roman" w:cs="Times New Roman"/>
          <w:color w:val="000000" w:themeColor="text1"/>
          <w:sz w:val="24"/>
          <w:szCs w:val="24"/>
        </w:rPr>
        <w:t xml:space="preserve">“Augšdaugava” D </w:t>
      </w:r>
      <w:r w:rsidRPr="00A07F29">
        <w:rPr>
          <w:rFonts w:ascii="Times New Roman" w:eastAsia="Times New Roman" w:hAnsi="Times New Roman" w:cs="Times New Roman"/>
          <w:color w:val="000000" w:themeColor="text1"/>
          <w:sz w:val="24"/>
          <w:szCs w:val="24"/>
        </w:rPr>
        <w:t xml:space="preserve">daļā Kaplavas, </w:t>
      </w:r>
      <w:proofErr w:type="spellStart"/>
      <w:r w:rsidRPr="00A07F29">
        <w:rPr>
          <w:rFonts w:ascii="Times New Roman" w:eastAsia="Times New Roman" w:hAnsi="Times New Roman" w:cs="Times New Roman"/>
          <w:color w:val="000000" w:themeColor="text1"/>
          <w:sz w:val="24"/>
          <w:szCs w:val="24"/>
        </w:rPr>
        <w:t>Matulišķu</w:t>
      </w:r>
      <w:proofErr w:type="spellEnd"/>
      <w:r w:rsidRPr="00A07F29">
        <w:rPr>
          <w:rFonts w:ascii="Times New Roman" w:eastAsia="Times New Roman" w:hAnsi="Times New Roman" w:cs="Times New Roman"/>
          <w:color w:val="000000" w:themeColor="text1"/>
          <w:sz w:val="24"/>
          <w:szCs w:val="24"/>
        </w:rPr>
        <w:t xml:space="preserve"> un </w:t>
      </w:r>
      <w:proofErr w:type="spellStart"/>
      <w:r w:rsidRPr="00A07F29">
        <w:rPr>
          <w:rFonts w:ascii="Times New Roman" w:eastAsia="Times New Roman" w:hAnsi="Times New Roman" w:cs="Times New Roman"/>
          <w:color w:val="000000" w:themeColor="text1"/>
          <w:sz w:val="24"/>
          <w:szCs w:val="24"/>
        </w:rPr>
        <w:t>Stašališ</w:t>
      </w:r>
      <w:r w:rsidR="00B74CB6">
        <w:rPr>
          <w:rFonts w:ascii="Times New Roman" w:eastAsia="Times New Roman" w:hAnsi="Times New Roman" w:cs="Times New Roman"/>
          <w:color w:val="000000" w:themeColor="text1"/>
          <w:sz w:val="24"/>
          <w:szCs w:val="24"/>
        </w:rPr>
        <w:t>ķ</w:t>
      </w:r>
      <w:r w:rsidRPr="00A07F29">
        <w:rPr>
          <w:rFonts w:ascii="Times New Roman" w:eastAsia="Times New Roman" w:hAnsi="Times New Roman" w:cs="Times New Roman"/>
          <w:color w:val="000000" w:themeColor="text1"/>
          <w:sz w:val="24"/>
          <w:szCs w:val="24"/>
        </w:rPr>
        <w:t>u</w:t>
      </w:r>
      <w:proofErr w:type="spellEnd"/>
      <w:r w:rsidRPr="00A07F29">
        <w:rPr>
          <w:rFonts w:ascii="Times New Roman" w:eastAsia="Times New Roman" w:hAnsi="Times New Roman" w:cs="Times New Roman"/>
          <w:color w:val="000000" w:themeColor="text1"/>
          <w:sz w:val="24"/>
          <w:szCs w:val="24"/>
        </w:rPr>
        <w:t xml:space="preserve"> apkaimē.</w:t>
      </w:r>
    </w:p>
    <w:p w14:paraId="02108C60" w14:textId="673F891D" w:rsidR="00A21E83" w:rsidRPr="00A07F29" w:rsidRDefault="00A21E83" w:rsidP="002176FE">
      <w:pPr>
        <w:spacing w:after="120" w:line="240" w:lineRule="auto"/>
        <w:ind w:firstLine="851"/>
        <w:jc w:val="both"/>
        <w:rPr>
          <w:rFonts w:ascii="Times New Roman" w:eastAsia="Times New Roman" w:hAnsi="Times New Roman" w:cs="Times New Roman"/>
          <w:bCs/>
          <w:color w:val="000000"/>
          <w:sz w:val="24"/>
          <w:szCs w:val="24"/>
        </w:rPr>
      </w:pPr>
      <w:r w:rsidRPr="00A07F29">
        <w:rPr>
          <w:rFonts w:ascii="Times New Roman" w:eastAsia="Times New Roman" w:hAnsi="Times New Roman" w:cs="Times New Roman"/>
          <w:bCs/>
          <w:color w:val="000000"/>
          <w:sz w:val="24"/>
          <w:szCs w:val="24"/>
        </w:rPr>
        <w:t xml:space="preserve">Pielietojama dabā ņemtu ikru vai </w:t>
      </w:r>
      <w:proofErr w:type="spellStart"/>
      <w:r w:rsidRPr="00A07F29">
        <w:rPr>
          <w:rFonts w:ascii="Times New Roman" w:eastAsia="Times New Roman" w:hAnsi="Times New Roman" w:cs="Times New Roman"/>
          <w:bCs/>
          <w:color w:val="000000"/>
          <w:sz w:val="24"/>
          <w:szCs w:val="24"/>
        </w:rPr>
        <w:t>zookultūrā</w:t>
      </w:r>
      <w:proofErr w:type="spellEnd"/>
      <w:r w:rsidRPr="00A07F29">
        <w:rPr>
          <w:rFonts w:ascii="Times New Roman" w:eastAsia="Times New Roman" w:hAnsi="Times New Roman" w:cs="Times New Roman"/>
          <w:bCs/>
          <w:color w:val="000000"/>
          <w:sz w:val="24"/>
          <w:szCs w:val="24"/>
        </w:rPr>
        <w:t xml:space="preserve"> iegūtu kurkuļu izaudzēšana līdz metamorfozes stadijai. Pieļaujama īpatņu izmantošana, kas ņemti no citām Latvijas populācijām.</w:t>
      </w:r>
    </w:p>
    <w:p w14:paraId="56EBB651" w14:textId="77777777" w:rsidR="00676D29" w:rsidRPr="00A07F29" w:rsidRDefault="00676D29" w:rsidP="0040082D">
      <w:pPr>
        <w:spacing w:after="120" w:line="240" w:lineRule="auto"/>
        <w:ind w:firstLine="851"/>
        <w:jc w:val="both"/>
        <w:rPr>
          <w:rFonts w:ascii="Times New Roman" w:eastAsia="Times New Roman" w:hAnsi="Times New Roman" w:cs="Times New Roman"/>
          <w:bCs/>
          <w:color w:val="000000"/>
          <w:sz w:val="24"/>
          <w:szCs w:val="24"/>
        </w:rPr>
      </w:pPr>
      <w:r w:rsidRPr="00A07F29">
        <w:rPr>
          <w:rFonts w:ascii="Times New Roman" w:eastAsia="Times New Roman" w:hAnsi="Times New Roman" w:cs="Times New Roman"/>
          <w:bCs/>
          <w:color w:val="000000"/>
          <w:sz w:val="24"/>
          <w:szCs w:val="24"/>
        </w:rPr>
        <w:t>Nākošajā gadā pēc izlaišanas veicams monitorings izlaišanas vietā, lai novērtētu pasākuma sekmes.</w:t>
      </w:r>
    </w:p>
    <w:p w14:paraId="03411178" w14:textId="27DC75EB" w:rsidR="00A21E83" w:rsidRPr="00A07F29" w:rsidRDefault="00A21E83" w:rsidP="006C594A">
      <w:pPr>
        <w:spacing w:before="240" w:after="120" w:line="240" w:lineRule="auto"/>
        <w:jc w:val="both"/>
        <w:rPr>
          <w:rFonts w:ascii="Times New Roman" w:eastAsia="Calibri" w:hAnsi="Times New Roman" w:cs="Calibri"/>
          <w:b/>
          <w:bCs/>
          <w:sz w:val="24"/>
          <w:lang w:eastAsia="ja-JP"/>
        </w:rPr>
      </w:pPr>
      <w:r w:rsidRPr="00A07F29">
        <w:rPr>
          <w:rFonts w:ascii="Times New Roman" w:eastAsia="Calibri" w:hAnsi="Times New Roman" w:cs="Calibri"/>
          <w:b/>
          <w:bCs/>
          <w:sz w:val="24"/>
          <w:lang w:eastAsia="ja-JP"/>
        </w:rPr>
        <w:t xml:space="preserve">B.6. </w:t>
      </w:r>
      <w:r w:rsidR="00831470" w:rsidRPr="00A07F29">
        <w:rPr>
          <w:rFonts w:ascii="Times New Roman" w:eastAsia="Calibri" w:hAnsi="Times New Roman" w:cs="Calibri"/>
          <w:b/>
          <w:bCs/>
          <w:sz w:val="24"/>
          <w:lang w:eastAsia="ja-JP"/>
        </w:rPr>
        <w:t xml:space="preserve">Ierobežot </w:t>
      </w:r>
      <w:proofErr w:type="spellStart"/>
      <w:r w:rsidR="00831470" w:rsidRPr="00A07F29">
        <w:rPr>
          <w:rFonts w:ascii="Times New Roman" w:eastAsia="Calibri" w:hAnsi="Times New Roman" w:cs="Calibri"/>
          <w:b/>
          <w:bCs/>
          <w:sz w:val="24"/>
          <w:lang w:eastAsia="ja-JP"/>
        </w:rPr>
        <w:t>invazīvo</w:t>
      </w:r>
      <w:proofErr w:type="spellEnd"/>
      <w:r w:rsidR="00831470" w:rsidRPr="00A07F29">
        <w:rPr>
          <w:rFonts w:ascii="Times New Roman" w:eastAsia="Calibri" w:hAnsi="Times New Roman" w:cs="Calibri"/>
          <w:b/>
          <w:bCs/>
          <w:sz w:val="24"/>
          <w:lang w:eastAsia="ja-JP"/>
        </w:rPr>
        <w:t xml:space="preserve"> sugu izplatību, novēršot ainavas un biotopu degradāciju</w:t>
      </w:r>
    </w:p>
    <w:p w14:paraId="531C2211" w14:textId="430DEA9D" w:rsidR="006C594A" w:rsidRPr="00A07F29" w:rsidRDefault="0040082D" w:rsidP="006C594A">
      <w:pPr>
        <w:widowControl w:val="0"/>
        <w:suppressAutoHyphens/>
        <w:spacing w:after="120" w:line="240" w:lineRule="auto"/>
        <w:ind w:firstLine="851"/>
        <w:jc w:val="both"/>
        <w:rPr>
          <w:rFonts w:ascii="Times New Roman" w:eastAsia="Lucida Sans Unicode" w:hAnsi="Times New Roman" w:cs="Times New Roman"/>
          <w:kern w:val="2"/>
          <w:sz w:val="24"/>
          <w:szCs w:val="24"/>
          <w:lang w:eastAsia="ar-SA"/>
        </w:rPr>
      </w:pPr>
      <w:r w:rsidRPr="004E14F7">
        <w:rPr>
          <w:rFonts w:ascii="Times New Roman" w:eastAsia="Lucida Sans Unicode" w:hAnsi="Times New Roman" w:cs="Times New Roman"/>
          <w:kern w:val="2"/>
          <w:sz w:val="24"/>
          <w:szCs w:val="24"/>
          <w:lang w:eastAsia="ar-SA"/>
        </w:rPr>
        <w:t>Priekšlikumi</w:t>
      </w:r>
      <w:r w:rsidRPr="00A07F29">
        <w:rPr>
          <w:rFonts w:ascii="Times New Roman" w:eastAsia="Lucida Sans Unicode" w:hAnsi="Times New Roman" w:cs="Times New Roman"/>
          <w:kern w:val="2"/>
          <w:sz w:val="24"/>
          <w:szCs w:val="24"/>
          <w:lang w:eastAsia="ar-SA"/>
        </w:rPr>
        <w:t xml:space="preserve"> pasākumiem </w:t>
      </w:r>
      <w:proofErr w:type="spellStart"/>
      <w:r w:rsidRPr="00A07F29">
        <w:rPr>
          <w:rFonts w:ascii="Times New Roman" w:eastAsia="Lucida Sans Unicode" w:hAnsi="Times New Roman" w:cs="Times New Roman"/>
          <w:kern w:val="2"/>
          <w:sz w:val="24"/>
          <w:szCs w:val="24"/>
          <w:lang w:eastAsia="ar-SA"/>
        </w:rPr>
        <w:t>invazīvo</w:t>
      </w:r>
      <w:proofErr w:type="spellEnd"/>
      <w:r w:rsidRPr="00A07F29">
        <w:rPr>
          <w:rFonts w:ascii="Times New Roman" w:eastAsia="Lucida Sans Unicode" w:hAnsi="Times New Roman" w:cs="Times New Roman"/>
          <w:kern w:val="2"/>
          <w:sz w:val="24"/>
          <w:szCs w:val="24"/>
          <w:lang w:eastAsia="ar-SA"/>
        </w:rPr>
        <w:t xml:space="preserve"> augu sugu izplatības ierobežošanai sagatavoti</w:t>
      </w:r>
      <w:r w:rsidR="006C594A" w:rsidRPr="00A07F29">
        <w:rPr>
          <w:rFonts w:ascii="Times New Roman" w:eastAsia="Lucida Sans Unicode" w:hAnsi="Times New Roman" w:cs="Times New Roman"/>
          <w:kern w:val="2"/>
          <w:sz w:val="24"/>
          <w:szCs w:val="24"/>
          <w:lang w:eastAsia="ar-SA"/>
        </w:rPr>
        <w:t>, izvērtējot ar DA plāna izstrādi saistītos pētījumus, kā arī tajā integrēti 2016.</w:t>
      </w:r>
      <w:r w:rsidR="00804FAD">
        <w:rPr>
          <w:rFonts w:ascii="Times New Roman" w:eastAsia="Lucida Sans Unicode" w:hAnsi="Times New Roman" w:cs="Times New Roman"/>
          <w:kern w:val="2"/>
          <w:sz w:val="24"/>
          <w:szCs w:val="24"/>
          <w:lang w:eastAsia="ar-SA"/>
        </w:rPr>
        <w:t> </w:t>
      </w:r>
      <w:r w:rsidR="006C594A" w:rsidRPr="00A07F29">
        <w:rPr>
          <w:rFonts w:ascii="Times New Roman" w:eastAsia="Lucida Sans Unicode" w:hAnsi="Times New Roman" w:cs="Times New Roman"/>
          <w:kern w:val="2"/>
          <w:sz w:val="24"/>
          <w:szCs w:val="24"/>
          <w:lang w:eastAsia="ar-SA"/>
        </w:rPr>
        <w:t xml:space="preserve">gadā veiktie pētījumi par Latvijā prioritāri </w:t>
      </w:r>
      <w:proofErr w:type="spellStart"/>
      <w:r w:rsidR="006C594A" w:rsidRPr="00A07F29">
        <w:rPr>
          <w:rFonts w:ascii="Times New Roman" w:eastAsia="Lucida Sans Unicode" w:hAnsi="Times New Roman" w:cs="Times New Roman"/>
          <w:kern w:val="2"/>
          <w:sz w:val="24"/>
          <w:szCs w:val="24"/>
          <w:lang w:eastAsia="ar-SA"/>
        </w:rPr>
        <w:t>monitorējamām</w:t>
      </w:r>
      <w:proofErr w:type="spellEnd"/>
      <w:r w:rsidR="006C594A" w:rsidRPr="00A07F29">
        <w:rPr>
          <w:rFonts w:ascii="Times New Roman" w:eastAsia="Lucida Sans Unicode" w:hAnsi="Times New Roman" w:cs="Times New Roman"/>
          <w:kern w:val="2"/>
          <w:sz w:val="24"/>
          <w:szCs w:val="24"/>
          <w:lang w:eastAsia="ar-SA"/>
        </w:rPr>
        <w:t xml:space="preserve"> </w:t>
      </w:r>
      <w:proofErr w:type="spellStart"/>
      <w:r w:rsidR="006C594A" w:rsidRPr="00A07F29">
        <w:rPr>
          <w:rFonts w:ascii="Times New Roman" w:eastAsia="Lucida Sans Unicode" w:hAnsi="Times New Roman" w:cs="Times New Roman"/>
          <w:kern w:val="2"/>
          <w:sz w:val="24"/>
          <w:szCs w:val="24"/>
          <w:lang w:eastAsia="ar-SA"/>
        </w:rPr>
        <w:t>invazīvām</w:t>
      </w:r>
      <w:proofErr w:type="spellEnd"/>
      <w:r w:rsidR="006C594A" w:rsidRPr="00A07F29">
        <w:rPr>
          <w:rFonts w:ascii="Times New Roman" w:eastAsia="Lucida Sans Unicode" w:hAnsi="Times New Roman" w:cs="Times New Roman"/>
          <w:kern w:val="2"/>
          <w:sz w:val="24"/>
          <w:szCs w:val="24"/>
          <w:lang w:eastAsia="ar-SA"/>
        </w:rPr>
        <w:t xml:space="preserve"> sugām DP “Daugavas loki” teritorijā (Frolova</w:t>
      </w:r>
      <w:r w:rsidR="00E8292E">
        <w:rPr>
          <w:rFonts w:ascii="Times New Roman" w:eastAsia="Lucida Sans Unicode" w:hAnsi="Times New Roman" w:cs="Times New Roman"/>
          <w:kern w:val="2"/>
          <w:sz w:val="24"/>
          <w:szCs w:val="24"/>
          <w:lang w:eastAsia="ar-SA"/>
        </w:rPr>
        <w:t xml:space="preserve"> O.,</w:t>
      </w:r>
      <w:r w:rsidR="006C594A" w:rsidRPr="00A07F29">
        <w:rPr>
          <w:rFonts w:ascii="Times New Roman" w:eastAsia="Lucida Sans Unicode" w:hAnsi="Times New Roman" w:cs="Times New Roman"/>
          <w:kern w:val="2"/>
          <w:sz w:val="24"/>
          <w:szCs w:val="24"/>
          <w:lang w:eastAsia="ar-SA"/>
        </w:rPr>
        <w:t xml:space="preserve"> 2017, </w:t>
      </w:r>
      <w:proofErr w:type="spellStart"/>
      <w:r w:rsidR="006C594A" w:rsidRPr="00A07F29">
        <w:rPr>
          <w:rFonts w:ascii="Times New Roman" w:eastAsia="Lucida Sans Unicode" w:hAnsi="Times New Roman" w:cs="Times New Roman"/>
          <w:kern w:val="2"/>
          <w:sz w:val="24"/>
          <w:szCs w:val="24"/>
          <w:lang w:eastAsia="ar-SA"/>
        </w:rPr>
        <w:t>Rutkovska</w:t>
      </w:r>
      <w:proofErr w:type="spellEnd"/>
      <w:r w:rsidR="0020172C">
        <w:rPr>
          <w:rFonts w:ascii="Times New Roman" w:eastAsia="Lucida Sans Unicode" w:hAnsi="Times New Roman" w:cs="Times New Roman"/>
          <w:kern w:val="2"/>
          <w:sz w:val="24"/>
          <w:szCs w:val="24"/>
          <w:lang w:eastAsia="ar-SA"/>
        </w:rPr>
        <w:t xml:space="preserve"> S.,</w:t>
      </w:r>
      <w:r w:rsidR="006C594A" w:rsidRPr="00A07F29">
        <w:rPr>
          <w:rFonts w:ascii="Times New Roman" w:eastAsia="Lucida Sans Unicode" w:hAnsi="Times New Roman" w:cs="Times New Roman"/>
          <w:kern w:val="2"/>
          <w:sz w:val="24"/>
          <w:szCs w:val="24"/>
          <w:lang w:eastAsia="ar-SA"/>
        </w:rPr>
        <w:t xml:space="preserve"> </w:t>
      </w:r>
      <w:proofErr w:type="spellStart"/>
      <w:r w:rsidR="006C594A" w:rsidRPr="00A07F29">
        <w:rPr>
          <w:rFonts w:ascii="Times New Roman" w:eastAsia="Lucida Sans Unicode" w:hAnsi="Times New Roman" w:cs="Times New Roman"/>
          <w:kern w:val="2"/>
          <w:sz w:val="24"/>
          <w:szCs w:val="24"/>
          <w:lang w:eastAsia="ar-SA"/>
        </w:rPr>
        <w:t>et</w:t>
      </w:r>
      <w:proofErr w:type="spellEnd"/>
      <w:r w:rsidR="006C594A" w:rsidRPr="00A07F29">
        <w:rPr>
          <w:rFonts w:ascii="Times New Roman" w:eastAsia="Lucida Sans Unicode" w:hAnsi="Times New Roman" w:cs="Times New Roman"/>
          <w:kern w:val="2"/>
          <w:sz w:val="24"/>
          <w:szCs w:val="24"/>
          <w:lang w:eastAsia="ar-SA"/>
        </w:rPr>
        <w:t xml:space="preserve"> </w:t>
      </w:r>
      <w:proofErr w:type="spellStart"/>
      <w:r w:rsidR="006C594A" w:rsidRPr="00A07F29">
        <w:rPr>
          <w:rFonts w:ascii="Times New Roman" w:eastAsia="Lucida Sans Unicode" w:hAnsi="Times New Roman" w:cs="Times New Roman"/>
          <w:kern w:val="2"/>
          <w:sz w:val="24"/>
          <w:szCs w:val="24"/>
          <w:lang w:eastAsia="ar-SA"/>
        </w:rPr>
        <w:t>al</w:t>
      </w:r>
      <w:proofErr w:type="spellEnd"/>
      <w:r w:rsidR="006C594A" w:rsidRPr="00A07F29">
        <w:rPr>
          <w:rFonts w:ascii="Times New Roman" w:eastAsia="Lucida Sans Unicode" w:hAnsi="Times New Roman" w:cs="Times New Roman"/>
          <w:kern w:val="2"/>
          <w:sz w:val="24"/>
          <w:szCs w:val="24"/>
          <w:lang w:eastAsia="ar-SA"/>
        </w:rPr>
        <w:t>.</w:t>
      </w:r>
      <w:r w:rsidR="0020172C">
        <w:rPr>
          <w:rFonts w:ascii="Times New Roman" w:eastAsia="Lucida Sans Unicode" w:hAnsi="Times New Roman" w:cs="Times New Roman"/>
          <w:kern w:val="2"/>
          <w:sz w:val="24"/>
          <w:szCs w:val="24"/>
          <w:lang w:eastAsia="ar-SA"/>
        </w:rPr>
        <w:t>,</w:t>
      </w:r>
      <w:r w:rsidR="006C594A" w:rsidRPr="00A07F29">
        <w:rPr>
          <w:rFonts w:ascii="Times New Roman" w:eastAsia="Lucida Sans Unicode" w:hAnsi="Times New Roman" w:cs="Times New Roman"/>
          <w:kern w:val="2"/>
          <w:sz w:val="24"/>
          <w:szCs w:val="24"/>
          <w:lang w:eastAsia="ar-SA"/>
        </w:rPr>
        <w:t xml:space="preserve"> 2017, 2018.). Pētījuma laikā apsekoti 100 nejauši izvēlēti 500</w:t>
      </w:r>
      <w:r w:rsidR="00535CD4">
        <w:rPr>
          <w:rFonts w:ascii="Times New Roman" w:eastAsia="Lucida Sans Unicode" w:hAnsi="Times New Roman" w:cs="Times New Roman"/>
          <w:kern w:val="2"/>
          <w:sz w:val="24"/>
          <w:szCs w:val="24"/>
          <w:lang w:eastAsia="ar-SA"/>
        </w:rPr>
        <w:t> </w:t>
      </w:r>
      <w:r w:rsidR="006C594A" w:rsidRPr="00A07F29">
        <w:rPr>
          <w:rFonts w:ascii="Times New Roman" w:eastAsia="Lucida Sans Unicode" w:hAnsi="Times New Roman" w:cs="Times New Roman"/>
          <w:kern w:val="2"/>
          <w:sz w:val="24"/>
          <w:szCs w:val="24"/>
          <w:lang w:eastAsia="ar-SA"/>
        </w:rPr>
        <w:t>x</w:t>
      </w:r>
      <w:r w:rsidR="00535CD4">
        <w:rPr>
          <w:rFonts w:ascii="Times New Roman" w:eastAsia="Lucida Sans Unicode" w:hAnsi="Times New Roman" w:cs="Times New Roman"/>
          <w:kern w:val="2"/>
          <w:sz w:val="24"/>
          <w:szCs w:val="24"/>
          <w:lang w:eastAsia="ar-SA"/>
        </w:rPr>
        <w:t> </w:t>
      </w:r>
      <w:r w:rsidR="006C594A" w:rsidRPr="00A07F29">
        <w:rPr>
          <w:rFonts w:ascii="Times New Roman" w:eastAsia="Lucida Sans Unicode" w:hAnsi="Times New Roman" w:cs="Times New Roman"/>
          <w:kern w:val="2"/>
          <w:sz w:val="24"/>
          <w:szCs w:val="24"/>
          <w:lang w:eastAsia="ar-SA"/>
        </w:rPr>
        <w:t>500</w:t>
      </w:r>
      <w:r w:rsidR="00535CD4">
        <w:rPr>
          <w:rFonts w:ascii="Times New Roman" w:eastAsia="Lucida Sans Unicode" w:hAnsi="Times New Roman" w:cs="Times New Roman"/>
          <w:kern w:val="2"/>
          <w:sz w:val="24"/>
          <w:szCs w:val="24"/>
          <w:lang w:eastAsia="ar-SA"/>
        </w:rPr>
        <w:t> </w:t>
      </w:r>
      <w:r w:rsidR="006C594A" w:rsidRPr="00A07F29">
        <w:rPr>
          <w:rFonts w:ascii="Times New Roman" w:eastAsia="Lucida Sans Unicode" w:hAnsi="Times New Roman" w:cs="Times New Roman"/>
          <w:kern w:val="2"/>
          <w:sz w:val="24"/>
          <w:szCs w:val="24"/>
          <w:lang w:eastAsia="ar-SA"/>
        </w:rPr>
        <w:t>m kvadrāti, kas aizņem 26</w:t>
      </w:r>
      <w:r w:rsidR="00535CD4">
        <w:rPr>
          <w:rFonts w:ascii="Times New Roman" w:eastAsia="Lucida Sans Unicode" w:hAnsi="Times New Roman" w:cs="Times New Roman"/>
          <w:kern w:val="2"/>
          <w:sz w:val="24"/>
          <w:szCs w:val="24"/>
          <w:lang w:eastAsia="ar-SA"/>
        </w:rPr>
        <w:t> </w:t>
      </w:r>
      <w:r w:rsidR="006C594A" w:rsidRPr="00A07F29">
        <w:rPr>
          <w:rFonts w:ascii="Times New Roman" w:eastAsia="Lucida Sans Unicode" w:hAnsi="Times New Roman" w:cs="Times New Roman"/>
          <w:kern w:val="2"/>
          <w:sz w:val="24"/>
          <w:szCs w:val="24"/>
          <w:lang w:eastAsia="ar-SA"/>
        </w:rPr>
        <w:t xml:space="preserve">% no DP “Daugavas loki” teritorijas. Pētījumā konstatētas 32 </w:t>
      </w:r>
      <w:proofErr w:type="spellStart"/>
      <w:r w:rsidR="006C594A" w:rsidRPr="00A07F29">
        <w:rPr>
          <w:rFonts w:ascii="Times New Roman" w:eastAsia="Lucida Sans Unicode" w:hAnsi="Times New Roman" w:cs="Times New Roman"/>
          <w:kern w:val="2"/>
          <w:sz w:val="24"/>
          <w:szCs w:val="24"/>
          <w:lang w:eastAsia="ar-SA"/>
        </w:rPr>
        <w:t>invazīvas</w:t>
      </w:r>
      <w:proofErr w:type="spellEnd"/>
      <w:r w:rsidR="006C594A" w:rsidRPr="00A07F29">
        <w:rPr>
          <w:rFonts w:ascii="Times New Roman" w:eastAsia="Lucida Sans Unicode" w:hAnsi="Times New Roman" w:cs="Times New Roman"/>
          <w:kern w:val="2"/>
          <w:sz w:val="24"/>
          <w:szCs w:val="24"/>
          <w:lang w:eastAsia="ar-SA"/>
        </w:rPr>
        <w:t xml:space="preserve"> augu sugas, kurām fiksētas 1222 atradnes</w:t>
      </w:r>
      <w:r w:rsidR="0079714C" w:rsidRPr="00A07F29">
        <w:rPr>
          <w:rFonts w:ascii="Times New Roman" w:eastAsia="Lucida Sans Unicode" w:hAnsi="Times New Roman" w:cs="Times New Roman"/>
          <w:kern w:val="2"/>
          <w:sz w:val="24"/>
          <w:szCs w:val="24"/>
          <w:lang w:eastAsia="ar-SA"/>
        </w:rPr>
        <w:t xml:space="preserve"> (</w:t>
      </w:r>
      <w:r w:rsidR="00535CD4">
        <w:rPr>
          <w:rFonts w:ascii="Times New Roman" w:eastAsia="Lucida Sans Unicode" w:hAnsi="Times New Roman" w:cs="Times New Roman"/>
          <w:kern w:val="2"/>
          <w:sz w:val="24"/>
          <w:szCs w:val="24"/>
          <w:lang w:eastAsia="ar-SA"/>
        </w:rPr>
        <w:t xml:space="preserve">skat. </w:t>
      </w:r>
      <w:r w:rsidR="0079714C" w:rsidRPr="00A07F29">
        <w:rPr>
          <w:rFonts w:ascii="Times New Roman" w:eastAsia="Lucida Sans Unicode" w:hAnsi="Times New Roman" w:cs="Times New Roman"/>
          <w:kern w:val="2"/>
          <w:sz w:val="24"/>
          <w:szCs w:val="24"/>
          <w:lang w:eastAsia="ar-SA"/>
        </w:rPr>
        <w:t>5.1.1.</w:t>
      </w:r>
      <w:r w:rsidR="00B27851">
        <w:rPr>
          <w:rFonts w:ascii="Times New Roman" w:eastAsia="Lucida Sans Unicode" w:hAnsi="Times New Roman" w:cs="Times New Roman"/>
          <w:kern w:val="2"/>
          <w:sz w:val="24"/>
          <w:szCs w:val="24"/>
          <w:lang w:eastAsia="ar-SA"/>
        </w:rPr>
        <w:t xml:space="preserve"> un 5.1.1a.</w:t>
      </w:r>
      <w:r w:rsidR="00535CD4">
        <w:rPr>
          <w:rFonts w:ascii="Times New Roman" w:eastAsia="Lucida Sans Unicode" w:hAnsi="Times New Roman" w:cs="Times New Roman"/>
          <w:kern w:val="2"/>
          <w:sz w:val="24"/>
          <w:szCs w:val="24"/>
          <w:lang w:eastAsia="ar-SA"/>
        </w:rPr>
        <w:t> </w:t>
      </w:r>
      <w:r w:rsidR="0079714C" w:rsidRPr="00A07F29">
        <w:rPr>
          <w:rFonts w:ascii="Times New Roman" w:eastAsia="Lucida Sans Unicode" w:hAnsi="Times New Roman" w:cs="Times New Roman"/>
          <w:kern w:val="2"/>
          <w:sz w:val="24"/>
          <w:szCs w:val="24"/>
          <w:lang w:eastAsia="ar-SA"/>
        </w:rPr>
        <w:t>pielikums)</w:t>
      </w:r>
      <w:r w:rsidR="006C594A" w:rsidRPr="00A07F29">
        <w:rPr>
          <w:rFonts w:ascii="Times New Roman" w:eastAsia="Lucida Sans Unicode" w:hAnsi="Times New Roman" w:cs="Times New Roman"/>
          <w:kern w:val="2"/>
          <w:sz w:val="24"/>
          <w:szCs w:val="24"/>
          <w:lang w:eastAsia="ar-SA"/>
        </w:rPr>
        <w:t>.</w:t>
      </w:r>
    </w:p>
    <w:p w14:paraId="21C8D440" w14:textId="1495BFAC" w:rsidR="0040082D" w:rsidRPr="00A07F29" w:rsidRDefault="0040082D" w:rsidP="006C594A">
      <w:pPr>
        <w:widowControl w:val="0"/>
        <w:suppressAutoHyphens/>
        <w:spacing w:after="120" w:line="240" w:lineRule="auto"/>
        <w:ind w:firstLine="851"/>
        <w:jc w:val="both"/>
        <w:rPr>
          <w:rFonts w:ascii="Times New Roman" w:eastAsia="Lucida Sans Unicode" w:hAnsi="Times New Roman" w:cs="Times New Roman"/>
          <w:strike/>
          <w:kern w:val="2"/>
          <w:sz w:val="24"/>
          <w:szCs w:val="24"/>
          <w:lang w:eastAsia="ar-SA"/>
        </w:rPr>
      </w:pPr>
      <w:r w:rsidRPr="00A07F29">
        <w:rPr>
          <w:rFonts w:ascii="Times New Roman" w:eastAsia="Lucida Sans Unicode" w:hAnsi="Times New Roman" w:cs="Times New Roman"/>
          <w:kern w:val="2"/>
          <w:sz w:val="24"/>
          <w:szCs w:val="24"/>
          <w:lang w:eastAsia="ar-SA"/>
        </w:rPr>
        <w:t xml:space="preserve">Straujās izplatības un apdzīvoto biotopu transformēšanas dēļ ir svarīgi sugas apkarot vai ierobežot pēc iespējas ātrāk. </w:t>
      </w:r>
      <w:proofErr w:type="spellStart"/>
      <w:r w:rsidRPr="00A07F29">
        <w:rPr>
          <w:rFonts w:ascii="Times New Roman" w:eastAsia="Lucida Sans Unicode" w:hAnsi="Times New Roman" w:cs="Times New Roman"/>
          <w:kern w:val="2"/>
          <w:sz w:val="24"/>
          <w:szCs w:val="24"/>
          <w:lang w:eastAsia="ar-SA"/>
        </w:rPr>
        <w:t>Invazīvie</w:t>
      </w:r>
      <w:proofErr w:type="spellEnd"/>
      <w:r w:rsidRPr="00A07F29">
        <w:rPr>
          <w:rFonts w:ascii="Times New Roman" w:eastAsia="Lucida Sans Unicode" w:hAnsi="Times New Roman" w:cs="Times New Roman"/>
          <w:kern w:val="2"/>
          <w:sz w:val="24"/>
          <w:szCs w:val="24"/>
          <w:lang w:eastAsia="ar-SA"/>
        </w:rPr>
        <w:t xml:space="preserve"> augi, tāpat kā citur, arī Augšdaugavā izplatās upju ielejās (galvenokārt Daugavas ielejā), piepilsētas mežos, gar transporta mezgliem, mazdārziņu un kapu apkārtnē, kā arī neapsaimniekotās lauksaimniecības zemēs un izstrādātos meža masīvos. Šīm </w:t>
      </w:r>
      <w:r w:rsidRPr="00A07F29">
        <w:rPr>
          <w:rFonts w:ascii="Times New Roman" w:eastAsia="Lucida Sans Unicode" w:hAnsi="Times New Roman" w:cs="Times New Roman"/>
          <w:kern w:val="2"/>
          <w:sz w:val="24"/>
          <w:szCs w:val="24"/>
          <w:lang w:eastAsia="ar-SA"/>
        </w:rPr>
        <w:lastRenderedPageBreak/>
        <w:t xml:space="preserve">vietām jāpievērš uzmanība, uzsākot </w:t>
      </w:r>
      <w:proofErr w:type="spellStart"/>
      <w:r w:rsidRPr="00A07F29">
        <w:rPr>
          <w:rFonts w:ascii="Times New Roman" w:eastAsia="Lucida Sans Unicode" w:hAnsi="Times New Roman" w:cs="Times New Roman"/>
          <w:kern w:val="2"/>
          <w:sz w:val="24"/>
          <w:szCs w:val="24"/>
          <w:lang w:eastAsia="ar-SA"/>
        </w:rPr>
        <w:t>invazīvo</w:t>
      </w:r>
      <w:proofErr w:type="spellEnd"/>
      <w:r w:rsidRPr="00A07F29">
        <w:rPr>
          <w:rFonts w:ascii="Times New Roman" w:eastAsia="Lucida Sans Unicode" w:hAnsi="Times New Roman" w:cs="Times New Roman"/>
          <w:kern w:val="2"/>
          <w:sz w:val="24"/>
          <w:szCs w:val="24"/>
          <w:lang w:eastAsia="ar-SA"/>
        </w:rPr>
        <w:t xml:space="preserve"> augu apkarošanu. Arī tūristu plūsma veicina neapzinātu </w:t>
      </w:r>
      <w:proofErr w:type="spellStart"/>
      <w:r w:rsidRPr="00A07F29">
        <w:rPr>
          <w:rFonts w:ascii="Times New Roman" w:eastAsia="Lucida Sans Unicode" w:hAnsi="Times New Roman" w:cs="Times New Roman"/>
          <w:kern w:val="2"/>
          <w:sz w:val="24"/>
          <w:szCs w:val="24"/>
          <w:lang w:eastAsia="ar-SA"/>
        </w:rPr>
        <w:t>invazīvo</w:t>
      </w:r>
      <w:proofErr w:type="spellEnd"/>
      <w:r w:rsidRPr="00A07F29">
        <w:rPr>
          <w:rFonts w:ascii="Times New Roman" w:eastAsia="Lucida Sans Unicode" w:hAnsi="Times New Roman" w:cs="Times New Roman"/>
          <w:kern w:val="2"/>
          <w:sz w:val="24"/>
          <w:szCs w:val="24"/>
          <w:lang w:eastAsia="ar-SA"/>
        </w:rPr>
        <w:t xml:space="preserve"> sugu izplatību.</w:t>
      </w:r>
    </w:p>
    <w:p w14:paraId="7953D73D" w14:textId="3A211F58" w:rsidR="006C594A" w:rsidRPr="00A07F29" w:rsidRDefault="006C594A" w:rsidP="00D86B02">
      <w:pPr>
        <w:widowControl w:val="0"/>
        <w:suppressAutoHyphens/>
        <w:spacing w:after="120" w:line="240" w:lineRule="auto"/>
        <w:ind w:firstLine="851"/>
        <w:jc w:val="both"/>
        <w:rPr>
          <w:rFonts w:ascii="Times New Roman" w:eastAsia="Lucida Sans Unicode" w:hAnsi="Times New Roman" w:cs="Times New Roman"/>
          <w:kern w:val="2"/>
          <w:sz w:val="24"/>
          <w:szCs w:val="24"/>
          <w:lang w:eastAsia="ar-SA"/>
        </w:rPr>
      </w:pPr>
      <w:r w:rsidRPr="00A07F29">
        <w:rPr>
          <w:rFonts w:ascii="Times New Roman" w:eastAsia="Lucida Sans Unicode" w:hAnsi="Times New Roman" w:cs="Times New Roman"/>
          <w:kern w:val="2"/>
          <w:sz w:val="24"/>
          <w:szCs w:val="24"/>
          <w:lang w:eastAsia="ar-SA"/>
        </w:rPr>
        <w:t xml:space="preserve">Lai arī saskaņā ar MK </w:t>
      </w:r>
      <w:r w:rsidR="004E3DF6">
        <w:rPr>
          <w:rFonts w:ascii="Times New Roman" w:eastAsia="Lucida Sans Unicode" w:hAnsi="Times New Roman" w:cs="Times New Roman"/>
          <w:kern w:val="2"/>
          <w:sz w:val="24"/>
          <w:szCs w:val="24"/>
          <w:lang w:eastAsia="ar-SA"/>
        </w:rPr>
        <w:t xml:space="preserve">2008. gada 30. jūnija </w:t>
      </w:r>
      <w:r w:rsidRPr="00A07F29">
        <w:rPr>
          <w:rFonts w:ascii="Times New Roman" w:eastAsia="Lucida Sans Unicode" w:hAnsi="Times New Roman" w:cs="Times New Roman"/>
          <w:kern w:val="2"/>
          <w:sz w:val="24"/>
          <w:szCs w:val="24"/>
          <w:lang w:eastAsia="ar-SA"/>
        </w:rPr>
        <w:t>noteikumiem Nr.</w:t>
      </w:r>
      <w:r w:rsidR="004E3DF6">
        <w:rPr>
          <w:rFonts w:ascii="Times New Roman" w:eastAsia="Lucida Sans Unicode" w:hAnsi="Times New Roman" w:cs="Times New Roman"/>
          <w:kern w:val="2"/>
          <w:sz w:val="24"/>
          <w:szCs w:val="24"/>
          <w:lang w:eastAsia="ar-SA"/>
        </w:rPr>
        <w:t> </w:t>
      </w:r>
      <w:r w:rsidRPr="00A07F29">
        <w:rPr>
          <w:rFonts w:ascii="Times New Roman" w:eastAsia="Lucida Sans Unicode" w:hAnsi="Times New Roman" w:cs="Times New Roman"/>
          <w:kern w:val="2"/>
          <w:sz w:val="24"/>
          <w:szCs w:val="24"/>
          <w:lang w:eastAsia="ar-SA"/>
        </w:rPr>
        <w:t>4</w:t>
      </w:r>
      <w:r w:rsidR="00E50098">
        <w:rPr>
          <w:rFonts w:ascii="Times New Roman" w:eastAsia="Lucida Sans Unicode" w:hAnsi="Times New Roman" w:cs="Times New Roman"/>
          <w:kern w:val="2"/>
          <w:sz w:val="24"/>
          <w:szCs w:val="24"/>
          <w:lang w:eastAsia="ar-SA"/>
        </w:rPr>
        <w:t>6</w:t>
      </w:r>
      <w:r w:rsidRPr="00A07F29">
        <w:rPr>
          <w:rFonts w:ascii="Times New Roman" w:eastAsia="Lucida Sans Unicode" w:hAnsi="Times New Roman" w:cs="Times New Roman"/>
          <w:kern w:val="2"/>
          <w:sz w:val="24"/>
          <w:szCs w:val="24"/>
          <w:lang w:eastAsia="ar-SA"/>
        </w:rPr>
        <w:t xml:space="preserve">8 </w:t>
      </w:r>
      <w:r w:rsidR="00E666B6" w:rsidRPr="00A07F29">
        <w:rPr>
          <w:rFonts w:ascii="Times New Roman" w:eastAsia="Lucida Sans Unicode" w:hAnsi="Times New Roman" w:cs="Times New Roman"/>
          <w:kern w:val="2"/>
          <w:sz w:val="24"/>
          <w:szCs w:val="24"/>
          <w:lang w:eastAsia="ar-SA"/>
        </w:rPr>
        <w:t>“</w:t>
      </w:r>
      <w:proofErr w:type="spellStart"/>
      <w:r w:rsidR="00E666B6" w:rsidRPr="00A07F29">
        <w:rPr>
          <w:rFonts w:ascii="Times New Roman" w:eastAsia="Lucida Sans Unicode" w:hAnsi="Times New Roman" w:cs="Times New Roman"/>
          <w:kern w:val="2"/>
          <w:sz w:val="24"/>
          <w:szCs w:val="24"/>
          <w:lang w:eastAsia="ar-SA"/>
        </w:rPr>
        <w:t>Invazīvo</w:t>
      </w:r>
      <w:proofErr w:type="spellEnd"/>
      <w:r w:rsidR="00E666B6" w:rsidRPr="00A07F29">
        <w:rPr>
          <w:rFonts w:ascii="Times New Roman" w:eastAsia="Lucida Sans Unicode" w:hAnsi="Times New Roman" w:cs="Times New Roman"/>
          <w:kern w:val="2"/>
          <w:sz w:val="24"/>
          <w:szCs w:val="24"/>
          <w:lang w:eastAsia="ar-SA"/>
        </w:rPr>
        <w:t xml:space="preserve"> augu sugu saraksts” </w:t>
      </w:r>
      <w:r w:rsidRPr="00A07F29">
        <w:rPr>
          <w:rFonts w:ascii="Times New Roman" w:eastAsia="Lucida Sans Unicode" w:hAnsi="Times New Roman" w:cs="Times New Roman"/>
          <w:kern w:val="2"/>
          <w:sz w:val="24"/>
          <w:szCs w:val="24"/>
          <w:lang w:eastAsia="ar-SA"/>
        </w:rPr>
        <w:t xml:space="preserve">Latvijā ir tikai viena </w:t>
      </w:r>
      <w:proofErr w:type="spellStart"/>
      <w:r w:rsidRPr="00A07F29">
        <w:rPr>
          <w:rFonts w:ascii="Times New Roman" w:eastAsia="Lucida Sans Unicode" w:hAnsi="Times New Roman" w:cs="Times New Roman"/>
          <w:kern w:val="2"/>
          <w:sz w:val="24"/>
          <w:szCs w:val="24"/>
          <w:lang w:eastAsia="ar-SA"/>
        </w:rPr>
        <w:t>invazīvo</w:t>
      </w:r>
      <w:proofErr w:type="spellEnd"/>
      <w:r w:rsidRPr="00A07F29">
        <w:rPr>
          <w:rFonts w:ascii="Times New Roman" w:eastAsia="Lucida Sans Unicode" w:hAnsi="Times New Roman" w:cs="Times New Roman"/>
          <w:kern w:val="2"/>
          <w:sz w:val="24"/>
          <w:szCs w:val="24"/>
          <w:lang w:eastAsia="ar-SA"/>
        </w:rPr>
        <w:t xml:space="preserve"> augu suga Sosnovska </w:t>
      </w:r>
      <w:proofErr w:type="spellStart"/>
      <w:r w:rsidRPr="00A07F29">
        <w:rPr>
          <w:rFonts w:ascii="Times New Roman" w:eastAsia="Lucida Sans Unicode" w:hAnsi="Times New Roman" w:cs="Times New Roman"/>
          <w:kern w:val="2"/>
          <w:sz w:val="24"/>
          <w:szCs w:val="24"/>
          <w:lang w:eastAsia="ar-SA"/>
        </w:rPr>
        <w:t>latvānis</w:t>
      </w:r>
      <w:proofErr w:type="spellEnd"/>
      <w:r w:rsidRPr="00A07F29">
        <w:rPr>
          <w:rFonts w:ascii="Times New Roman" w:eastAsia="Lucida Sans Unicode" w:hAnsi="Times New Roman" w:cs="Times New Roman"/>
          <w:kern w:val="2"/>
          <w:sz w:val="24"/>
          <w:szCs w:val="24"/>
          <w:lang w:eastAsia="ar-SA"/>
        </w:rPr>
        <w:t xml:space="preserve"> </w:t>
      </w:r>
      <w:proofErr w:type="spellStart"/>
      <w:r w:rsidRPr="00A07F29">
        <w:rPr>
          <w:rFonts w:ascii="Times New Roman" w:eastAsia="Lucida Sans Unicode" w:hAnsi="Times New Roman" w:cs="Times New Roman"/>
          <w:i/>
          <w:kern w:val="2"/>
          <w:sz w:val="24"/>
          <w:szCs w:val="24"/>
          <w:lang w:eastAsia="ar-SA"/>
        </w:rPr>
        <w:t>Heracleum</w:t>
      </w:r>
      <w:proofErr w:type="spellEnd"/>
      <w:r w:rsidRPr="00A07F29">
        <w:rPr>
          <w:rFonts w:ascii="Times New Roman" w:eastAsia="Lucida Sans Unicode" w:hAnsi="Times New Roman" w:cs="Times New Roman"/>
          <w:i/>
          <w:kern w:val="2"/>
          <w:sz w:val="24"/>
          <w:szCs w:val="24"/>
          <w:lang w:eastAsia="ar-SA"/>
        </w:rPr>
        <w:t xml:space="preserve"> </w:t>
      </w:r>
      <w:proofErr w:type="spellStart"/>
      <w:r w:rsidRPr="00A07F29">
        <w:rPr>
          <w:rFonts w:ascii="Times New Roman" w:eastAsia="Lucida Sans Unicode" w:hAnsi="Times New Roman" w:cs="Times New Roman"/>
          <w:i/>
          <w:kern w:val="2"/>
          <w:sz w:val="24"/>
          <w:szCs w:val="24"/>
          <w:lang w:eastAsia="ar-SA"/>
        </w:rPr>
        <w:t>sosnowskyi</w:t>
      </w:r>
      <w:proofErr w:type="spellEnd"/>
      <w:r w:rsidRPr="00A07F29">
        <w:rPr>
          <w:rFonts w:ascii="Times New Roman" w:eastAsia="Lucida Sans Unicode" w:hAnsi="Times New Roman" w:cs="Times New Roman"/>
          <w:kern w:val="2"/>
          <w:sz w:val="24"/>
          <w:szCs w:val="24"/>
          <w:lang w:eastAsia="ar-SA"/>
        </w:rPr>
        <w:t>,</w:t>
      </w:r>
      <w:r w:rsidRPr="00A07F29">
        <w:rPr>
          <w:rFonts w:ascii="Times New Roman" w:eastAsia="Lucida Sans Unicode" w:hAnsi="Times New Roman" w:cs="Times New Roman"/>
          <w:i/>
          <w:kern w:val="2"/>
          <w:sz w:val="24"/>
          <w:szCs w:val="24"/>
          <w:lang w:eastAsia="ar-SA"/>
        </w:rPr>
        <w:t xml:space="preserve"> </w:t>
      </w:r>
      <w:r w:rsidRPr="00A07F29">
        <w:rPr>
          <w:rFonts w:ascii="Times New Roman" w:eastAsia="Lucida Sans Unicode" w:hAnsi="Times New Roman" w:cs="Times New Roman"/>
          <w:kern w:val="2"/>
          <w:sz w:val="24"/>
          <w:szCs w:val="24"/>
          <w:lang w:eastAsia="ar-SA"/>
        </w:rPr>
        <w:t>taču</w:t>
      </w:r>
      <w:r w:rsidRPr="00A07F29">
        <w:rPr>
          <w:rFonts w:ascii="Times New Roman" w:eastAsia="Lucida Sans Unicode" w:hAnsi="Times New Roman" w:cs="Times New Roman"/>
          <w:i/>
          <w:kern w:val="2"/>
          <w:sz w:val="24"/>
          <w:szCs w:val="24"/>
          <w:lang w:eastAsia="ar-SA"/>
        </w:rPr>
        <w:t xml:space="preserve"> </w:t>
      </w:r>
      <w:r w:rsidRPr="00A07F29">
        <w:rPr>
          <w:rFonts w:ascii="Times New Roman" w:eastAsia="Lucida Sans Unicode" w:hAnsi="Times New Roman" w:cs="Times New Roman"/>
          <w:kern w:val="2"/>
          <w:sz w:val="24"/>
          <w:szCs w:val="24"/>
          <w:lang w:eastAsia="ar-SA"/>
        </w:rPr>
        <w:t xml:space="preserve">AAA </w:t>
      </w:r>
      <w:r w:rsidR="00E666B6" w:rsidRPr="00A07F29">
        <w:rPr>
          <w:rFonts w:ascii="Times New Roman" w:eastAsia="Lucida Sans Unicode" w:hAnsi="Times New Roman" w:cs="Times New Roman"/>
          <w:kern w:val="2"/>
          <w:sz w:val="24"/>
          <w:szCs w:val="24"/>
          <w:lang w:eastAsia="ar-SA"/>
        </w:rPr>
        <w:t xml:space="preserve">“Augšdaugava” </w:t>
      </w:r>
      <w:r w:rsidRPr="00A07F29">
        <w:rPr>
          <w:rFonts w:ascii="Times New Roman" w:eastAsia="Lucida Sans Unicode" w:hAnsi="Times New Roman" w:cs="Times New Roman"/>
          <w:kern w:val="2"/>
          <w:sz w:val="24"/>
          <w:szCs w:val="24"/>
          <w:lang w:eastAsia="ar-SA"/>
        </w:rPr>
        <w:t xml:space="preserve">teritorijā, biotopos un ārpus tiem, ir sastopamas 32 </w:t>
      </w:r>
      <w:proofErr w:type="spellStart"/>
      <w:r w:rsidRPr="00A07F29">
        <w:rPr>
          <w:rFonts w:ascii="Times New Roman" w:eastAsia="Lucida Sans Unicode" w:hAnsi="Times New Roman" w:cs="Times New Roman"/>
          <w:kern w:val="2"/>
          <w:sz w:val="24"/>
          <w:szCs w:val="24"/>
          <w:lang w:eastAsia="ar-SA"/>
        </w:rPr>
        <w:t>invazīvās</w:t>
      </w:r>
      <w:proofErr w:type="spellEnd"/>
      <w:r w:rsidRPr="00A07F29">
        <w:rPr>
          <w:rFonts w:ascii="Times New Roman" w:eastAsia="Lucida Sans Unicode" w:hAnsi="Times New Roman" w:cs="Times New Roman"/>
          <w:kern w:val="2"/>
          <w:sz w:val="24"/>
          <w:szCs w:val="24"/>
          <w:lang w:eastAsia="ar-SA"/>
        </w:rPr>
        <w:t xml:space="preserve"> augu sugas (skat. </w:t>
      </w:r>
      <w:r w:rsidR="00E666B6" w:rsidRPr="00A07F29">
        <w:rPr>
          <w:rFonts w:ascii="Times New Roman" w:eastAsia="Lucida Sans Unicode" w:hAnsi="Times New Roman" w:cs="Times New Roman"/>
          <w:kern w:val="2"/>
          <w:sz w:val="24"/>
          <w:szCs w:val="24"/>
          <w:lang w:eastAsia="ar-SA"/>
        </w:rPr>
        <w:t>5.3.</w:t>
      </w:r>
      <w:r w:rsidRPr="00A07F29">
        <w:rPr>
          <w:rFonts w:ascii="Times New Roman" w:eastAsia="Lucida Sans Unicode" w:hAnsi="Times New Roman" w:cs="Times New Roman"/>
          <w:kern w:val="2"/>
          <w:sz w:val="24"/>
          <w:szCs w:val="24"/>
          <w:lang w:eastAsia="ar-SA"/>
        </w:rPr>
        <w:t>1.</w:t>
      </w:r>
      <w:r w:rsidR="00E50098">
        <w:rPr>
          <w:rFonts w:ascii="Times New Roman" w:eastAsia="Lucida Sans Unicode" w:hAnsi="Times New Roman" w:cs="Times New Roman"/>
          <w:kern w:val="2"/>
          <w:sz w:val="24"/>
          <w:szCs w:val="24"/>
          <w:lang w:eastAsia="ar-SA"/>
        </w:rPr>
        <w:t> </w:t>
      </w:r>
      <w:r w:rsidRPr="00A07F29">
        <w:rPr>
          <w:rFonts w:ascii="Times New Roman" w:eastAsia="Lucida Sans Unicode" w:hAnsi="Times New Roman" w:cs="Times New Roman"/>
          <w:kern w:val="2"/>
          <w:sz w:val="24"/>
          <w:szCs w:val="24"/>
          <w:lang w:eastAsia="ar-SA"/>
        </w:rPr>
        <w:t>tab</w:t>
      </w:r>
      <w:r w:rsidR="00E50098">
        <w:rPr>
          <w:rFonts w:ascii="Times New Roman" w:eastAsia="Lucida Sans Unicode" w:hAnsi="Times New Roman" w:cs="Times New Roman"/>
          <w:kern w:val="2"/>
          <w:sz w:val="24"/>
          <w:szCs w:val="24"/>
          <w:lang w:eastAsia="ar-SA"/>
        </w:rPr>
        <w:t>ula</w:t>
      </w:r>
      <w:r w:rsidRPr="00A07F29">
        <w:rPr>
          <w:rFonts w:ascii="Times New Roman" w:eastAsia="Lucida Sans Unicode" w:hAnsi="Times New Roman" w:cs="Times New Roman"/>
          <w:kern w:val="2"/>
          <w:sz w:val="24"/>
          <w:szCs w:val="24"/>
          <w:lang w:eastAsia="ar-SA"/>
        </w:rPr>
        <w:t>)</w:t>
      </w:r>
      <w:r w:rsidR="00D86B02" w:rsidRPr="00A07F29">
        <w:rPr>
          <w:rFonts w:ascii="Times New Roman" w:eastAsia="Lucida Sans Unicode" w:hAnsi="Times New Roman" w:cs="Times New Roman"/>
          <w:kern w:val="2"/>
          <w:sz w:val="24"/>
          <w:szCs w:val="24"/>
          <w:lang w:eastAsia="ar-SA"/>
        </w:rPr>
        <w:t xml:space="preserve">, no kurām lielākā daļa noteikta kā ES līmenī </w:t>
      </w:r>
      <w:proofErr w:type="spellStart"/>
      <w:r w:rsidR="00D86B02" w:rsidRPr="00A07F29">
        <w:rPr>
          <w:rFonts w:ascii="Times New Roman" w:eastAsia="Lucida Sans Unicode" w:hAnsi="Times New Roman" w:cs="Times New Roman"/>
          <w:kern w:val="2"/>
          <w:sz w:val="24"/>
          <w:szCs w:val="24"/>
          <w:lang w:eastAsia="ar-SA"/>
        </w:rPr>
        <w:t>invazīvas</w:t>
      </w:r>
      <w:proofErr w:type="spellEnd"/>
      <w:r w:rsidR="00D86B02" w:rsidRPr="00A07F29">
        <w:rPr>
          <w:rFonts w:ascii="Times New Roman" w:eastAsia="Lucida Sans Unicode" w:hAnsi="Times New Roman" w:cs="Times New Roman"/>
          <w:kern w:val="2"/>
          <w:sz w:val="24"/>
          <w:szCs w:val="24"/>
          <w:lang w:eastAsia="ar-SA"/>
        </w:rPr>
        <w:t xml:space="preserve"> sugas</w:t>
      </w:r>
      <w:r w:rsidRPr="00A07F29">
        <w:rPr>
          <w:rFonts w:ascii="Times New Roman" w:eastAsia="Lucida Sans Unicode" w:hAnsi="Times New Roman" w:cs="Times New Roman"/>
          <w:kern w:val="2"/>
          <w:sz w:val="24"/>
          <w:szCs w:val="24"/>
          <w:lang w:eastAsia="ar-SA"/>
        </w:rPr>
        <w:t xml:space="preserve">. </w:t>
      </w:r>
      <w:r w:rsidR="00D86B02" w:rsidRPr="00A07F29">
        <w:rPr>
          <w:rFonts w:ascii="Times New Roman" w:eastAsia="Lucida Sans Unicode" w:hAnsi="Times New Roman" w:cs="Times New Roman"/>
          <w:kern w:val="2"/>
          <w:sz w:val="24"/>
          <w:szCs w:val="24"/>
          <w:lang w:eastAsia="ar-SA"/>
        </w:rPr>
        <w:t>B</w:t>
      </w:r>
      <w:r w:rsidRPr="00A07F29">
        <w:rPr>
          <w:rFonts w:ascii="Times New Roman" w:eastAsia="Lucida Sans Unicode" w:hAnsi="Times New Roman" w:cs="Times New Roman"/>
          <w:kern w:val="2"/>
          <w:sz w:val="24"/>
          <w:szCs w:val="24"/>
          <w:lang w:eastAsia="ar-SA"/>
        </w:rPr>
        <w:t xml:space="preserve">iežāk konstatētās </w:t>
      </w:r>
      <w:proofErr w:type="spellStart"/>
      <w:r w:rsidR="00D86B02" w:rsidRPr="00A07F29">
        <w:rPr>
          <w:rFonts w:ascii="Times New Roman" w:eastAsia="Lucida Sans Unicode" w:hAnsi="Times New Roman" w:cs="Times New Roman"/>
          <w:kern w:val="2"/>
          <w:sz w:val="24"/>
          <w:szCs w:val="24"/>
          <w:lang w:eastAsia="ar-SA"/>
        </w:rPr>
        <w:t>invazīvās</w:t>
      </w:r>
      <w:proofErr w:type="spellEnd"/>
      <w:r w:rsidR="00D86B02" w:rsidRPr="00A07F29">
        <w:rPr>
          <w:rFonts w:ascii="Times New Roman" w:eastAsia="Lucida Sans Unicode" w:hAnsi="Times New Roman" w:cs="Times New Roman"/>
          <w:kern w:val="2"/>
          <w:sz w:val="24"/>
          <w:szCs w:val="24"/>
          <w:lang w:eastAsia="ar-SA"/>
        </w:rPr>
        <w:t xml:space="preserve"> sugas </w:t>
      </w:r>
      <w:r w:rsidRPr="00A07F29">
        <w:rPr>
          <w:rFonts w:ascii="Times New Roman" w:eastAsia="Lucida Sans Unicode" w:hAnsi="Times New Roman" w:cs="Times New Roman"/>
          <w:kern w:val="2"/>
          <w:sz w:val="24"/>
          <w:szCs w:val="24"/>
          <w:lang w:eastAsia="ar-SA"/>
        </w:rPr>
        <w:t xml:space="preserve">ir </w:t>
      </w:r>
      <w:proofErr w:type="spellStart"/>
      <w:r w:rsidRPr="00A07F29">
        <w:rPr>
          <w:rFonts w:ascii="Times New Roman" w:eastAsia="Lucida Sans Unicode" w:hAnsi="Times New Roman" w:cs="Times New Roman"/>
          <w:color w:val="000000"/>
          <w:kern w:val="2"/>
          <w:sz w:val="24"/>
          <w:szCs w:val="24"/>
          <w:lang w:eastAsia="ar-SA"/>
        </w:rPr>
        <w:t>ošlapu</w:t>
      </w:r>
      <w:proofErr w:type="spellEnd"/>
      <w:r w:rsidRPr="00A07F29">
        <w:rPr>
          <w:rFonts w:ascii="Times New Roman" w:eastAsia="Lucida Sans Unicode" w:hAnsi="Times New Roman" w:cs="Times New Roman"/>
          <w:color w:val="000000"/>
          <w:kern w:val="2"/>
          <w:sz w:val="24"/>
          <w:szCs w:val="24"/>
          <w:lang w:eastAsia="ar-SA"/>
        </w:rPr>
        <w:t xml:space="preserve"> kļava </w:t>
      </w:r>
      <w:r w:rsidRPr="00A07F29">
        <w:rPr>
          <w:rFonts w:ascii="Times New Roman" w:eastAsia="Lucida Sans Unicode" w:hAnsi="Times New Roman" w:cs="Times New Roman"/>
          <w:i/>
          <w:color w:val="000000"/>
          <w:kern w:val="2"/>
          <w:sz w:val="24"/>
          <w:szCs w:val="24"/>
          <w:lang w:eastAsia="ar-SA"/>
        </w:rPr>
        <w:t xml:space="preserve">Acer </w:t>
      </w:r>
      <w:proofErr w:type="spellStart"/>
      <w:r w:rsidRPr="00A07F29">
        <w:rPr>
          <w:rFonts w:ascii="Times New Roman" w:eastAsia="Lucida Sans Unicode" w:hAnsi="Times New Roman" w:cs="Times New Roman"/>
          <w:i/>
          <w:color w:val="000000"/>
          <w:kern w:val="2"/>
          <w:sz w:val="24"/>
          <w:szCs w:val="24"/>
          <w:lang w:eastAsia="ar-SA"/>
        </w:rPr>
        <w:t>negundo</w:t>
      </w:r>
      <w:proofErr w:type="spellEnd"/>
      <w:r w:rsidRPr="00A07F29">
        <w:rPr>
          <w:rFonts w:ascii="Times New Roman" w:eastAsia="Lucida Sans Unicode" w:hAnsi="Times New Roman" w:cs="Times New Roman"/>
          <w:kern w:val="2"/>
          <w:sz w:val="24"/>
          <w:szCs w:val="24"/>
          <w:lang w:eastAsia="ar-SA"/>
        </w:rPr>
        <w:t xml:space="preserve">, sarkanais plūškoks </w:t>
      </w:r>
      <w:proofErr w:type="spellStart"/>
      <w:r w:rsidRPr="00A07F29">
        <w:rPr>
          <w:rFonts w:ascii="Times New Roman" w:eastAsia="Lucida Sans Unicode" w:hAnsi="Times New Roman" w:cs="Times New Roman"/>
          <w:i/>
          <w:kern w:val="2"/>
          <w:sz w:val="24"/>
          <w:szCs w:val="24"/>
          <w:lang w:eastAsia="ar-SA"/>
        </w:rPr>
        <w:t>Sambucus</w:t>
      </w:r>
      <w:proofErr w:type="spellEnd"/>
      <w:r w:rsidRPr="00A07F29">
        <w:rPr>
          <w:rFonts w:ascii="Times New Roman" w:eastAsia="Lucida Sans Unicode" w:hAnsi="Times New Roman" w:cs="Times New Roman"/>
          <w:i/>
          <w:kern w:val="2"/>
          <w:sz w:val="24"/>
          <w:szCs w:val="24"/>
          <w:lang w:eastAsia="ar-SA"/>
        </w:rPr>
        <w:t xml:space="preserve"> </w:t>
      </w:r>
      <w:proofErr w:type="spellStart"/>
      <w:r w:rsidRPr="00A07F29">
        <w:rPr>
          <w:rFonts w:ascii="Times New Roman" w:eastAsia="Lucida Sans Unicode" w:hAnsi="Times New Roman" w:cs="Times New Roman"/>
          <w:i/>
          <w:kern w:val="2"/>
          <w:sz w:val="24"/>
          <w:szCs w:val="24"/>
          <w:lang w:eastAsia="ar-SA"/>
        </w:rPr>
        <w:t>racemosa</w:t>
      </w:r>
      <w:proofErr w:type="spellEnd"/>
      <w:r w:rsidRPr="00A07F29">
        <w:rPr>
          <w:rFonts w:ascii="Times New Roman" w:eastAsia="Lucida Sans Unicode" w:hAnsi="Times New Roman" w:cs="Times New Roman"/>
          <w:kern w:val="2"/>
          <w:sz w:val="24"/>
          <w:szCs w:val="24"/>
          <w:lang w:eastAsia="ar-SA"/>
        </w:rPr>
        <w:t xml:space="preserve">, blīvā skābene </w:t>
      </w:r>
      <w:proofErr w:type="spellStart"/>
      <w:r w:rsidRPr="00A07F29">
        <w:rPr>
          <w:rFonts w:ascii="Times New Roman" w:eastAsia="Lucida Sans Unicode" w:hAnsi="Times New Roman" w:cs="Times New Roman"/>
          <w:i/>
          <w:kern w:val="2"/>
          <w:sz w:val="24"/>
          <w:szCs w:val="24"/>
          <w:lang w:eastAsia="ar-SA"/>
        </w:rPr>
        <w:t>Rumex</w:t>
      </w:r>
      <w:proofErr w:type="spellEnd"/>
      <w:r w:rsidRPr="00A07F29">
        <w:rPr>
          <w:rFonts w:ascii="Times New Roman" w:eastAsia="Lucida Sans Unicode" w:hAnsi="Times New Roman" w:cs="Times New Roman"/>
          <w:i/>
          <w:kern w:val="2"/>
          <w:sz w:val="24"/>
          <w:szCs w:val="24"/>
          <w:lang w:eastAsia="ar-SA"/>
        </w:rPr>
        <w:t xml:space="preserve"> </w:t>
      </w:r>
      <w:proofErr w:type="spellStart"/>
      <w:r w:rsidRPr="00A07F29">
        <w:rPr>
          <w:rFonts w:ascii="Times New Roman" w:eastAsia="Lucida Sans Unicode" w:hAnsi="Times New Roman" w:cs="Times New Roman"/>
          <w:i/>
          <w:kern w:val="2"/>
          <w:sz w:val="24"/>
          <w:szCs w:val="24"/>
          <w:lang w:eastAsia="ar-SA"/>
        </w:rPr>
        <w:t>confertus</w:t>
      </w:r>
      <w:proofErr w:type="spellEnd"/>
      <w:r w:rsidRPr="00A07F29">
        <w:rPr>
          <w:rFonts w:ascii="Times New Roman" w:eastAsia="Lucida Sans Unicode" w:hAnsi="Times New Roman" w:cs="Times New Roman"/>
          <w:kern w:val="2"/>
          <w:sz w:val="24"/>
          <w:szCs w:val="24"/>
          <w:lang w:eastAsia="ar-SA"/>
        </w:rPr>
        <w:t xml:space="preserve">, mājas ābele </w:t>
      </w:r>
      <w:proofErr w:type="spellStart"/>
      <w:r w:rsidRPr="00A07F29">
        <w:rPr>
          <w:rFonts w:ascii="Times New Roman" w:eastAsia="Lucida Sans Unicode" w:hAnsi="Times New Roman" w:cs="Times New Roman"/>
          <w:i/>
          <w:kern w:val="2"/>
          <w:sz w:val="24"/>
          <w:szCs w:val="24"/>
          <w:lang w:eastAsia="ar-SA"/>
        </w:rPr>
        <w:t>Malus</w:t>
      </w:r>
      <w:proofErr w:type="spellEnd"/>
      <w:r w:rsidRPr="00A07F29">
        <w:rPr>
          <w:rFonts w:ascii="Times New Roman" w:eastAsia="Lucida Sans Unicode" w:hAnsi="Times New Roman" w:cs="Times New Roman"/>
          <w:i/>
          <w:kern w:val="2"/>
          <w:sz w:val="24"/>
          <w:szCs w:val="24"/>
          <w:lang w:eastAsia="ar-SA"/>
        </w:rPr>
        <w:t xml:space="preserve"> </w:t>
      </w:r>
      <w:proofErr w:type="spellStart"/>
      <w:r w:rsidRPr="00A07F29">
        <w:rPr>
          <w:rFonts w:ascii="Times New Roman" w:eastAsia="Lucida Sans Unicode" w:hAnsi="Times New Roman" w:cs="Times New Roman"/>
          <w:i/>
          <w:kern w:val="2"/>
          <w:sz w:val="24"/>
          <w:szCs w:val="24"/>
          <w:lang w:eastAsia="ar-SA"/>
        </w:rPr>
        <w:t>domestica</w:t>
      </w:r>
      <w:proofErr w:type="spellEnd"/>
      <w:r w:rsidRPr="00A07F29">
        <w:rPr>
          <w:rFonts w:ascii="Times New Roman" w:eastAsia="Lucida Sans Unicode" w:hAnsi="Times New Roman" w:cs="Times New Roman"/>
          <w:kern w:val="2"/>
          <w:sz w:val="24"/>
          <w:szCs w:val="24"/>
          <w:lang w:eastAsia="ar-SA"/>
        </w:rPr>
        <w:t xml:space="preserve">, </w:t>
      </w:r>
      <w:proofErr w:type="spellStart"/>
      <w:r w:rsidRPr="00A07F29">
        <w:rPr>
          <w:rFonts w:ascii="Times New Roman" w:eastAsia="Lucida Sans Unicode" w:hAnsi="Times New Roman" w:cs="Times New Roman"/>
          <w:kern w:val="2"/>
          <w:sz w:val="24"/>
          <w:szCs w:val="24"/>
          <w:lang w:eastAsia="ar-SA"/>
        </w:rPr>
        <w:t>sīkziedu</w:t>
      </w:r>
      <w:proofErr w:type="spellEnd"/>
      <w:r w:rsidRPr="00A07F29">
        <w:rPr>
          <w:rFonts w:ascii="Times New Roman" w:eastAsia="Lucida Sans Unicode" w:hAnsi="Times New Roman" w:cs="Times New Roman"/>
          <w:kern w:val="2"/>
          <w:sz w:val="24"/>
          <w:szCs w:val="24"/>
          <w:lang w:eastAsia="ar-SA"/>
        </w:rPr>
        <w:t xml:space="preserve"> sprigane </w:t>
      </w:r>
      <w:proofErr w:type="spellStart"/>
      <w:r w:rsidRPr="00A07F29">
        <w:rPr>
          <w:rFonts w:ascii="Times New Roman" w:eastAsia="Lucida Sans Unicode" w:hAnsi="Times New Roman" w:cs="Times New Roman"/>
          <w:i/>
          <w:kern w:val="2"/>
          <w:sz w:val="24"/>
          <w:szCs w:val="24"/>
          <w:lang w:eastAsia="ar-SA"/>
        </w:rPr>
        <w:t>Impatens</w:t>
      </w:r>
      <w:proofErr w:type="spellEnd"/>
      <w:r w:rsidRPr="00A07F29">
        <w:rPr>
          <w:rFonts w:ascii="Times New Roman" w:eastAsia="Lucida Sans Unicode" w:hAnsi="Times New Roman" w:cs="Times New Roman"/>
          <w:i/>
          <w:kern w:val="2"/>
          <w:sz w:val="24"/>
          <w:szCs w:val="24"/>
          <w:lang w:eastAsia="ar-SA"/>
        </w:rPr>
        <w:t xml:space="preserve"> </w:t>
      </w:r>
      <w:proofErr w:type="spellStart"/>
      <w:r w:rsidRPr="00A07F29">
        <w:rPr>
          <w:rFonts w:ascii="Times New Roman" w:eastAsia="Lucida Sans Unicode" w:hAnsi="Times New Roman" w:cs="Times New Roman"/>
          <w:i/>
          <w:kern w:val="2"/>
          <w:sz w:val="24"/>
          <w:szCs w:val="24"/>
          <w:lang w:eastAsia="ar-SA"/>
        </w:rPr>
        <w:t>parviflora</w:t>
      </w:r>
      <w:proofErr w:type="spellEnd"/>
      <w:r w:rsidRPr="00A07F29">
        <w:rPr>
          <w:rFonts w:ascii="Times New Roman" w:eastAsia="Lucida Sans Unicode" w:hAnsi="Times New Roman" w:cs="Times New Roman"/>
          <w:kern w:val="2"/>
          <w:sz w:val="24"/>
          <w:szCs w:val="24"/>
          <w:lang w:eastAsia="ar-SA"/>
        </w:rPr>
        <w:t xml:space="preserve">, Kanādas </w:t>
      </w:r>
      <w:proofErr w:type="spellStart"/>
      <w:r w:rsidRPr="00A07F29">
        <w:rPr>
          <w:rFonts w:ascii="Times New Roman" w:eastAsia="Lucida Sans Unicode" w:hAnsi="Times New Roman" w:cs="Times New Roman"/>
          <w:kern w:val="2"/>
          <w:sz w:val="24"/>
          <w:szCs w:val="24"/>
          <w:lang w:eastAsia="ar-SA"/>
        </w:rPr>
        <w:t>zeltslotiņa</w:t>
      </w:r>
      <w:proofErr w:type="spellEnd"/>
      <w:r w:rsidRPr="00A07F29">
        <w:rPr>
          <w:rFonts w:ascii="Times New Roman" w:eastAsia="Lucida Sans Unicode" w:hAnsi="Times New Roman" w:cs="Times New Roman"/>
          <w:kern w:val="2"/>
          <w:sz w:val="24"/>
          <w:szCs w:val="24"/>
          <w:lang w:eastAsia="ar-SA"/>
        </w:rPr>
        <w:t xml:space="preserve"> </w:t>
      </w:r>
      <w:proofErr w:type="spellStart"/>
      <w:r w:rsidRPr="00A07F29">
        <w:rPr>
          <w:rFonts w:ascii="Times New Roman" w:eastAsia="Lucida Sans Unicode" w:hAnsi="Times New Roman" w:cs="Times New Roman"/>
          <w:i/>
          <w:kern w:val="2"/>
          <w:sz w:val="24"/>
          <w:szCs w:val="24"/>
          <w:lang w:eastAsia="ar-SA"/>
        </w:rPr>
        <w:t>Solidago</w:t>
      </w:r>
      <w:proofErr w:type="spellEnd"/>
      <w:r w:rsidRPr="00A07F29">
        <w:rPr>
          <w:rFonts w:ascii="Times New Roman" w:eastAsia="Lucida Sans Unicode" w:hAnsi="Times New Roman" w:cs="Times New Roman"/>
          <w:i/>
          <w:kern w:val="2"/>
          <w:sz w:val="24"/>
          <w:szCs w:val="24"/>
          <w:lang w:eastAsia="ar-SA"/>
        </w:rPr>
        <w:t xml:space="preserve"> </w:t>
      </w:r>
      <w:proofErr w:type="spellStart"/>
      <w:r w:rsidRPr="00A07F29">
        <w:rPr>
          <w:rFonts w:ascii="Times New Roman" w:eastAsia="Lucida Sans Unicode" w:hAnsi="Times New Roman" w:cs="Times New Roman"/>
          <w:i/>
          <w:kern w:val="2"/>
          <w:sz w:val="24"/>
          <w:szCs w:val="24"/>
          <w:lang w:eastAsia="ar-SA"/>
        </w:rPr>
        <w:t>canadensis</w:t>
      </w:r>
      <w:proofErr w:type="spellEnd"/>
      <w:r w:rsidRPr="00A07F29">
        <w:rPr>
          <w:rFonts w:ascii="Times New Roman" w:eastAsia="Lucida Sans Unicode" w:hAnsi="Times New Roman" w:cs="Times New Roman"/>
          <w:kern w:val="2"/>
          <w:sz w:val="24"/>
          <w:szCs w:val="24"/>
          <w:lang w:eastAsia="ar-SA"/>
        </w:rPr>
        <w:t xml:space="preserve">, </w:t>
      </w:r>
      <w:proofErr w:type="spellStart"/>
      <w:r w:rsidRPr="00A07F29">
        <w:rPr>
          <w:rFonts w:ascii="Times New Roman" w:eastAsia="Lucida Sans Unicode" w:hAnsi="Times New Roman" w:cs="Times New Roman"/>
          <w:kern w:val="2"/>
          <w:sz w:val="24"/>
          <w:szCs w:val="24"/>
          <w:lang w:eastAsia="ar-SA"/>
        </w:rPr>
        <w:t>daudzlapu</w:t>
      </w:r>
      <w:proofErr w:type="spellEnd"/>
      <w:r w:rsidRPr="00A07F29">
        <w:rPr>
          <w:rFonts w:ascii="Times New Roman" w:eastAsia="Lucida Sans Unicode" w:hAnsi="Times New Roman" w:cs="Times New Roman"/>
          <w:kern w:val="2"/>
          <w:sz w:val="24"/>
          <w:szCs w:val="24"/>
          <w:lang w:eastAsia="ar-SA"/>
        </w:rPr>
        <w:t xml:space="preserve"> lupīna </w:t>
      </w:r>
      <w:proofErr w:type="spellStart"/>
      <w:r w:rsidRPr="00A07F29">
        <w:rPr>
          <w:rFonts w:ascii="Times New Roman" w:eastAsia="Lucida Sans Unicode" w:hAnsi="Times New Roman" w:cs="Times New Roman"/>
          <w:i/>
          <w:kern w:val="2"/>
          <w:sz w:val="24"/>
          <w:szCs w:val="24"/>
          <w:lang w:eastAsia="ar-SA"/>
        </w:rPr>
        <w:t>Lupinus</w:t>
      </w:r>
      <w:proofErr w:type="spellEnd"/>
      <w:r w:rsidRPr="00A07F29">
        <w:rPr>
          <w:rFonts w:ascii="Times New Roman" w:eastAsia="Lucida Sans Unicode" w:hAnsi="Times New Roman" w:cs="Times New Roman"/>
          <w:i/>
          <w:kern w:val="2"/>
          <w:sz w:val="24"/>
          <w:szCs w:val="24"/>
          <w:lang w:eastAsia="ar-SA"/>
        </w:rPr>
        <w:t xml:space="preserve"> </w:t>
      </w:r>
      <w:proofErr w:type="spellStart"/>
      <w:r w:rsidRPr="00A07F29">
        <w:rPr>
          <w:rFonts w:ascii="Times New Roman" w:eastAsia="Lucida Sans Unicode" w:hAnsi="Times New Roman" w:cs="Times New Roman"/>
          <w:i/>
          <w:kern w:val="2"/>
          <w:sz w:val="24"/>
          <w:szCs w:val="24"/>
          <w:lang w:eastAsia="ar-SA"/>
        </w:rPr>
        <w:t>polyphyllus</w:t>
      </w:r>
      <w:proofErr w:type="spellEnd"/>
      <w:r w:rsidRPr="00A07F29">
        <w:rPr>
          <w:rFonts w:ascii="Times New Roman" w:eastAsia="Lucida Sans Unicode" w:hAnsi="Times New Roman" w:cs="Times New Roman"/>
          <w:kern w:val="2"/>
          <w:sz w:val="24"/>
          <w:szCs w:val="24"/>
          <w:lang w:eastAsia="ar-SA"/>
        </w:rPr>
        <w:t xml:space="preserve">, Sosnovska </w:t>
      </w:r>
      <w:proofErr w:type="spellStart"/>
      <w:r w:rsidRPr="00A07F29">
        <w:rPr>
          <w:rFonts w:ascii="Times New Roman" w:eastAsia="Lucida Sans Unicode" w:hAnsi="Times New Roman" w:cs="Times New Roman"/>
          <w:kern w:val="2"/>
          <w:sz w:val="24"/>
          <w:szCs w:val="24"/>
          <w:lang w:eastAsia="ar-SA"/>
        </w:rPr>
        <w:t>latvānis</w:t>
      </w:r>
      <w:proofErr w:type="spellEnd"/>
      <w:r w:rsidRPr="00A07F29">
        <w:rPr>
          <w:rFonts w:ascii="Times New Roman" w:eastAsia="Lucida Sans Unicode" w:hAnsi="Times New Roman" w:cs="Times New Roman"/>
          <w:kern w:val="2"/>
          <w:sz w:val="24"/>
          <w:szCs w:val="24"/>
          <w:lang w:eastAsia="ar-SA"/>
        </w:rPr>
        <w:t xml:space="preserve"> </w:t>
      </w:r>
      <w:proofErr w:type="spellStart"/>
      <w:r w:rsidRPr="00A07F29">
        <w:rPr>
          <w:rFonts w:ascii="Times New Roman" w:eastAsia="Lucida Sans Unicode" w:hAnsi="Times New Roman" w:cs="Times New Roman"/>
          <w:i/>
          <w:kern w:val="2"/>
          <w:sz w:val="24"/>
          <w:szCs w:val="24"/>
          <w:lang w:eastAsia="ar-SA"/>
        </w:rPr>
        <w:t>Heracleum</w:t>
      </w:r>
      <w:proofErr w:type="spellEnd"/>
      <w:r w:rsidRPr="00A07F29">
        <w:rPr>
          <w:rFonts w:ascii="Times New Roman" w:eastAsia="Lucida Sans Unicode" w:hAnsi="Times New Roman" w:cs="Times New Roman"/>
          <w:i/>
          <w:kern w:val="2"/>
          <w:sz w:val="24"/>
          <w:szCs w:val="24"/>
          <w:lang w:eastAsia="ar-SA"/>
        </w:rPr>
        <w:t xml:space="preserve"> </w:t>
      </w:r>
      <w:proofErr w:type="spellStart"/>
      <w:r w:rsidRPr="00A07F29">
        <w:rPr>
          <w:rFonts w:ascii="Times New Roman" w:eastAsia="Lucida Sans Unicode" w:hAnsi="Times New Roman" w:cs="Times New Roman"/>
          <w:i/>
          <w:kern w:val="2"/>
          <w:sz w:val="24"/>
          <w:szCs w:val="24"/>
          <w:lang w:eastAsia="ar-SA"/>
        </w:rPr>
        <w:t>sosnowskyi</w:t>
      </w:r>
      <w:proofErr w:type="spellEnd"/>
      <w:r w:rsidRPr="00A07F29">
        <w:rPr>
          <w:rFonts w:ascii="Times New Roman" w:eastAsia="Lucida Sans Unicode" w:hAnsi="Times New Roman" w:cs="Times New Roman"/>
          <w:kern w:val="2"/>
          <w:sz w:val="24"/>
          <w:szCs w:val="24"/>
          <w:lang w:eastAsia="ar-SA"/>
        </w:rPr>
        <w:t xml:space="preserve">, adatainais </w:t>
      </w:r>
      <w:proofErr w:type="spellStart"/>
      <w:r w:rsidRPr="00A07F29">
        <w:rPr>
          <w:rFonts w:ascii="Times New Roman" w:eastAsia="Lucida Sans Unicode" w:hAnsi="Times New Roman" w:cs="Times New Roman"/>
          <w:kern w:val="2"/>
          <w:sz w:val="24"/>
          <w:szCs w:val="24"/>
          <w:lang w:eastAsia="ar-SA"/>
        </w:rPr>
        <w:t>dzeloņgurķis</w:t>
      </w:r>
      <w:proofErr w:type="spellEnd"/>
      <w:r w:rsidRPr="00A07F29">
        <w:rPr>
          <w:rFonts w:ascii="Times New Roman" w:eastAsia="Lucida Sans Unicode" w:hAnsi="Times New Roman" w:cs="Times New Roman"/>
          <w:kern w:val="2"/>
          <w:sz w:val="24"/>
          <w:szCs w:val="24"/>
          <w:lang w:eastAsia="ar-SA"/>
        </w:rPr>
        <w:t xml:space="preserve"> </w:t>
      </w:r>
      <w:proofErr w:type="spellStart"/>
      <w:r w:rsidRPr="00A07F29">
        <w:rPr>
          <w:rFonts w:ascii="Times New Roman" w:eastAsia="Lucida Sans Unicode" w:hAnsi="Times New Roman" w:cs="Times New Roman"/>
          <w:i/>
          <w:kern w:val="2"/>
          <w:sz w:val="24"/>
          <w:szCs w:val="24"/>
          <w:lang w:eastAsia="ar-SA"/>
        </w:rPr>
        <w:t>Echinocystis</w:t>
      </w:r>
      <w:proofErr w:type="spellEnd"/>
      <w:r w:rsidRPr="00A07F29">
        <w:rPr>
          <w:rFonts w:ascii="Times New Roman" w:eastAsia="Lucida Sans Unicode" w:hAnsi="Times New Roman" w:cs="Times New Roman"/>
          <w:i/>
          <w:kern w:val="2"/>
          <w:sz w:val="24"/>
          <w:szCs w:val="24"/>
          <w:lang w:eastAsia="ar-SA"/>
        </w:rPr>
        <w:t xml:space="preserve"> </w:t>
      </w:r>
      <w:proofErr w:type="spellStart"/>
      <w:r w:rsidRPr="00A07F29">
        <w:rPr>
          <w:rFonts w:ascii="Times New Roman" w:eastAsia="Lucida Sans Unicode" w:hAnsi="Times New Roman" w:cs="Times New Roman"/>
          <w:i/>
          <w:kern w:val="2"/>
          <w:sz w:val="24"/>
          <w:szCs w:val="24"/>
          <w:lang w:eastAsia="ar-SA"/>
        </w:rPr>
        <w:t>lobata</w:t>
      </w:r>
      <w:proofErr w:type="spellEnd"/>
      <w:r w:rsidRPr="00A07F29">
        <w:rPr>
          <w:rFonts w:ascii="Times New Roman" w:eastAsia="Lucida Sans Unicode" w:hAnsi="Times New Roman" w:cs="Times New Roman"/>
          <w:kern w:val="2"/>
          <w:sz w:val="24"/>
          <w:szCs w:val="24"/>
          <w:lang w:eastAsia="ar-SA"/>
        </w:rPr>
        <w:t xml:space="preserve">. Šobrīd ir apzināta daļa no </w:t>
      </w:r>
      <w:proofErr w:type="spellStart"/>
      <w:r w:rsidRPr="00A07F29">
        <w:rPr>
          <w:rFonts w:ascii="Times New Roman" w:eastAsia="Lucida Sans Unicode" w:hAnsi="Times New Roman" w:cs="Times New Roman"/>
          <w:kern w:val="2"/>
          <w:sz w:val="24"/>
          <w:szCs w:val="24"/>
          <w:lang w:eastAsia="ar-SA"/>
        </w:rPr>
        <w:t>invazīvo</w:t>
      </w:r>
      <w:proofErr w:type="spellEnd"/>
      <w:r w:rsidRPr="00A07F29">
        <w:rPr>
          <w:rFonts w:ascii="Times New Roman" w:eastAsia="Lucida Sans Unicode" w:hAnsi="Times New Roman" w:cs="Times New Roman"/>
          <w:kern w:val="2"/>
          <w:sz w:val="24"/>
          <w:szCs w:val="24"/>
          <w:lang w:eastAsia="ar-SA"/>
        </w:rPr>
        <w:t xml:space="preserve"> </w:t>
      </w:r>
      <w:r w:rsidR="00E666B6" w:rsidRPr="00A07F29">
        <w:rPr>
          <w:rFonts w:ascii="Times New Roman" w:eastAsia="Lucida Sans Unicode" w:hAnsi="Times New Roman" w:cs="Times New Roman"/>
          <w:kern w:val="2"/>
          <w:sz w:val="24"/>
          <w:szCs w:val="24"/>
          <w:lang w:eastAsia="ar-SA"/>
        </w:rPr>
        <w:t xml:space="preserve">augu </w:t>
      </w:r>
      <w:r w:rsidRPr="00A07F29">
        <w:rPr>
          <w:rFonts w:ascii="Times New Roman" w:eastAsia="Lucida Sans Unicode" w:hAnsi="Times New Roman" w:cs="Times New Roman"/>
          <w:kern w:val="2"/>
          <w:sz w:val="24"/>
          <w:szCs w:val="24"/>
          <w:lang w:eastAsia="ar-SA"/>
        </w:rPr>
        <w:t xml:space="preserve">sugu atradnēm AAA </w:t>
      </w:r>
      <w:r w:rsidR="00E666B6" w:rsidRPr="00A07F29">
        <w:rPr>
          <w:rFonts w:ascii="Times New Roman" w:eastAsia="Lucida Sans Unicode" w:hAnsi="Times New Roman" w:cs="Times New Roman"/>
          <w:kern w:val="2"/>
          <w:sz w:val="24"/>
          <w:szCs w:val="24"/>
          <w:lang w:eastAsia="ar-SA"/>
        </w:rPr>
        <w:t xml:space="preserve">“Augšdaugava” </w:t>
      </w:r>
      <w:r w:rsidRPr="00A07F29">
        <w:rPr>
          <w:rFonts w:ascii="Times New Roman" w:eastAsia="Lucida Sans Unicode" w:hAnsi="Times New Roman" w:cs="Times New Roman"/>
          <w:kern w:val="2"/>
          <w:sz w:val="24"/>
          <w:szCs w:val="24"/>
          <w:lang w:eastAsia="ar-SA"/>
        </w:rPr>
        <w:t xml:space="preserve">teritorijā. Tā kā </w:t>
      </w:r>
      <w:proofErr w:type="spellStart"/>
      <w:r w:rsidRPr="00A07F29">
        <w:rPr>
          <w:rFonts w:ascii="Times New Roman" w:eastAsia="Lucida Sans Unicode" w:hAnsi="Times New Roman" w:cs="Times New Roman"/>
          <w:kern w:val="2"/>
          <w:sz w:val="24"/>
          <w:szCs w:val="24"/>
          <w:lang w:eastAsia="ar-SA"/>
        </w:rPr>
        <w:t>invazīvajām</w:t>
      </w:r>
      <w:proofErr w:type="spellEnd"/>
      <w:r w:rsidRPr="00A07F29">
        <w:rPr>
          <w:rFonts w:ascii="Times New Roman" w:eastAsia="Lucida Sans Unicode" w:hAnsi="Times New Roman" w:cs="Times New Roman"/>
          <w:kern w:val="2"/>
          <w:sz w:val="24"/>
          <w:szCs w:val="24"/>
          <w:lang w:eastAsia="ar-SA"/>
        </w:rPr>
        <w:t xml:space="preserve"> sugām raksturīga ātra izplatīšanās, katru gadu strauji palielinot aizņemtās platības, pirms ierobežošanas vai apkarošanas pasākumu plānošanas, nepieciešama atkārtota teritorijas apsekošana un </w:t>
      </w:r>
      <w:proofErr w:type="spellStart"/>
      <w:r w:rsidR="00E666B6" w:rsidRPr="00A07F29">
        <w:rPr>
          <w:rFonts w:ascii="Times New Roman" w:eastAsia="Lucida Sans Unicode" w:hAnsi="Times New Roman" w:cs="Times New Roman"/>
          <w:kern w:val="2"/>
          <w:sz w:val="24"/>
          <w:szCs w:val="24"/>
          <w:lang w:eastAsia="ar-SA"/>
        </w:rPr>
        <w:t>invazīvo</w:t>
      </w:r>
      <w:proofErr w:type="spellEnd"/>
      <w:r w:rsidR="00E666B6" w:rsidRPr="00A07F29">
        <w:rPr>
          <w:rFonts w:ascii="Times New Roman" w:eastAsia="Lucida Sans Unicode" w:hAnsi="Times New Roman" w:cs="Times New Roman"/>
          <w:kern w:val="2"/>
          <w:sz w:val="24"/>
          <w:szCs w:val="24"/>
          <w:lang w:eastAsia="ar-SA"/>
        </w:rPr>
        <w:t xml:space="preserve"> augu sugu</w:t>
      </w:r>
      <w:r w:rsidRPr="00A07F29">
        <w:rPr>
          <w:rFonts w:ascii="Times New Roman" w:eastAsia="Lucida Sans Unicode" w:hAnsi="Times New Roman" w:cs="Times New Roman"/>
          <w:kern w:val="2"/>
          <w:sz w:val="24"/>
          <w:szCs w:val="24"/>
          <w:lang w:eastAsia="ar-SA"/>
        </w:rPr>
        <w:t xml:space="preserve"> aizņemto platību </w:t>
      </w:r>
      <w:r w:rsidR="00E666B6" w:rsidRPr="00A07F29">
        <w:rPr>
          <w:rFonts w:ascii="Times New Roman" w:eastAsia="Lucida Sans Unicode" w:hAnsi="Times New Roman" w:cs="Times New Roman"/>
          <w:kern w:val="2"/>
          <w:sz w:val="24"/>
          <w:szCs w:val="24"/>
          <w:lang w:eastAsia="ar-SA"/>
        </w:rPr>
        <w:t>pr</w:t>
      </w:r>
      <w:r w:rsidR="00406BDA">
        <w:rPr>
          <w:rFonts w:ascii="Times New Roman" w:eastAsia="Lucida Sans Unicode" w:hAnsi="Times New Roman" w:cs="Times New Roman"/>
          <w:kern w:val="2"/>
          <w:sz w:val="24"/>
          <w:szCs w:val="24"/>
          <w:lang w:eastAsia="ar-SA"/>
        </w:rPr>
        <w:t>e</w:t>
      </w:r>
      <w:r w:rsidR="00E666B6" w:rsidRPr="00A07F29">
        <w:rPr>
          <w:rFonts w:ascii="Times New Roman" w:eastAsia="Lucida Sans Unicode" w:hAnsi="Times New Roman" w:cs="Times New Roman"/>
          <w:kern w:val="2"/>
          <w:sz w:val="24"/>
          <w:szCs w:val="24"/>
          <w:lang w:eastAsia="ar-SA"/>
        </w:rPr>
        <w:t>cizēšana</w:t>
      </w:r>
      <w:r w:rsidRPr="00A07F29">
        <w:rPr>
          <w:rFonts w:ascii="Times New Roman" w:eastAsia="Lucida Sans Unicode" w:hAnsi="Times New Roman" w:cs="Times New Roman"/>
          <w:kern w:val="2"/>
          <w:sz w:val="24"/>
          <w:szCs w:val="24"/>
          <w:lang w:eastAsia="ar-SA"/>
        </w:rPr>
        <w:t xml:space="preserve">. </w:t>
      </w:r>
    </w:p>
    <w:p w14:paraId="7247D639" w14:textId="61D94208" w:rsidR="00A21E83" w:rsidRPr="00A07F29" w:rsidRDefault="006C594A" w:rsidP="006C594A">
      <w:pPr>
        <w:keepNext/>
        <w:spacing w:before="240" w:after="120" w:line="240" w:lineRule="auto"/>
        <w:jc w:val="both"/>
        <w:rPr>
          <w:rFonts w:ascii="Times New Roman" w:eastAsia="Calibri" w:hAnsi="Times New Roman" w:cs="Calibri"/>
          <w:b/>
          <w:bCs/>
          <w:i/>
          <w:iCs/>
          <w:sz w:val="24"/>
          <w:lang w:eastAsia="ja-JP"/>
        </w:rPr>
      </w:pPr>
      <w:r w:rsidRPr="00A07F29">
        <w:rPr>
          <w:rFonts w:ascii="Times New Roman" w:eastAsia="Calibri" w:hAnsi="Times New Roman" w:cs="Calibri"/>
          <w:b/>
          <w:bCs/>
          <w:i/>
          <w:iCs/>
          <w:sz w:val="24"/>
          <w:lang w:eastAsia="ja-JP"/>
        </w:rPr>
        <w:t xml:space="preserve">B.6.1. </w:t>
      </w:r>
      <w:proofErr w:type="spellStart"/>
      <w:r w:rsidR="00A21E83" w:rsidRPr="00A07F29">
        <w:rPr>
          <w:rFonts w:ascii="Times New Roman" w:eastAsia="Calibri" w:hAnsi="Times New Roman" w:cs="Calibri"/>
          <w:b/>
          <w:bCs/>
          <w:i/>
          <w:iCs/>
          <w:sz w:val="24"/>
          <w:lang w:eastAsia="ja-JP"/>
        </w:rPr>
        <w:t>Invazīvo</w:t>
      </w:r>
      <w:proofErr w:type="spellEnd"/>
      <w:r w:rsidR="00A21E83" w:rsidRPr="00A07F29">
        <w:rPr>
          <w:rFonts w:ascii="Times New Roman" w:eastAsia="Calibri" w:hAnsi="Times New Roman" w:cs="Calibri"/>
          <w:b/>
          <w:bCs/>
          <w:i/>
          <w:iCs/>
          <w:sz w:val="24"/>
          <w:lang w:eastAsia="ja-JP"/>
        </w:rPr>
        <w:t xml:space="preserve"> augu sugu ierobežošanas un apkarošanas pasākumi</w:t>
      </w:r>
    </w:p>
    <w:p w14:paraId="397FFEF0" w14:textId="5D3F6C79" w:rsidR="00A21E83" w:rsidRPr="00A07F29" w:rsidRDefault="00A21E83" w:rsidP="00E666B6">
      <w:pPr>
        <w:widowControl w:val="0"/>
        <w:suppressAutoHyphens/>
        <w:spacing w:after="120" w:line="240" w:lineRule="auto"/>
        <w:ind w:firstLine="851"/>
        <w:jc w:val="both"/>
        <w:rPr>
          <w:rFonts w:ascii="Times New Roman" w:eastAsia="Lucida Sans Unicode" w:hAnsi="Times New Roman" w:cs="Times New Roman"/>
          <w:kern w:val="2"/>
          <w:sz w:val="24"/>
          <w:szCs w:val="24"/>
          <w:lang w:eastAsia="ar-SA"/>
        </w:rPr>
      </w:pPr>
      <w:proofErr w:type="spellStart"/>
      <w:r w:rsidRPr="00A07F29">
        <w:rPr>
          <w:rFonts w:ascii="Times New Roman" w:eastAsia="Lucida Sans Unicode" w:hAnsi="Times New Roman" w:cs="Times New Roman"/>
          <w:kern w:val="2"/>
          <w:sz w:val="24"/>
          <w:szCs w:val="24"/>
          <w:lang w:eastAsia="ar-SA"/>
        </w:rPr>
        <w:t>Invazīvo</w:t>
      </w:r>
      <w:proofErr w:type="spellEnd"/>
      <w:r w:rsidRPr="00A07F29">
        <w:rPr>
          <w:rFonts w:ascii="Times New Roman" w:eastAsia="Lucida Sans Unicode" w:hAnsi="Times New Roman" w:cs="Times New Roman"/>
          <w:kern w:val="2"/>
          <w:sz w:val="24"/>
          <w:szCs w:val="24"/>
          <w:lang w:eastAsia="ar-SA"/>
        </w:rPr>
        <w:t xml:space="preserve"> augu </w:t>
      </w:r>
      <w:r w:rsidR="00E666B6" w:rsidRPr="00A07F29">
        <w:rPr>
          <w:rFonts w:ascii="Times New Roman" w:eastAsia="Lucida Sans Unicode" w:hAnsi="Times New Roman" w:cs="Times New Roman"/>
          <w:kern w:val="2"/>
          <w:sz w:val="24"/>
          <w:szCs w:val="24"/>
          <w:lang w:eastAsia="ar-SA"/>
        </w:rPr>
        <w:t xml:space="preserve">sugu </w:t>
      </w:r>
      <w:r w:rsidRPr="00A07F29">
        <w:rPr>
          <w:rFonts w:ascii="Times New Roman" w:eastAsia="Lucida Sans Unicode" w:hAnsi="Times New Roman" w:cs="Times New Roman"/>
          <w:kern w:val="2"/>
          <w:sz w:val="24"/>
          <w:szCs w:val="24"/>
          <w:lang w:eastAsia="ar-SA"/>
        </w:rPr>
        <w:t xml:space="preserve">ierobežošanā galvenās metodes ir mehāniskās (bieža pļaušana, ganīšana, ciršana, izraušana, uzaršana, aprakšana, nosegšana ar melno plēvi) un ķīmiskās (herbicīdi) ierobežošanas metodes. Herbicīdu lietošana pieļaujama tieši uz </w:t>
      </w:r>
      <w:proofErr w:type="spellStart"/>
      <w:r w:rsidRPr="00A07F29">
        <w:rPr>
          <w:rFonts w:ascii="Times New Roman" w:eastAsia="Lucida Sans Unicode" w:hAnsi="Times New Roman" w:cs="Times New Roman"/>
          <w:kern w:val="2"/>
          <w:sz w:val="24"/>
          <w:szCs w:val="24"/>
          <w:lang w:eastAsia="ar-SA"/>
        </w:rPr>
        <w:t>mērķsugas</w:t>
      </w:r>
      <w:proofErr w:type="spellEnd"/>
      <w:r w:rsidRPr="00A07F29">
        <w:rPr>
          <w:rFonts w:ascii="Times New Roman" w:eastAsia="Lucida Sans Unicode" w:hAnsi="Times New Roman" w:cs="Times New Roman"/>
          <w:kern w:val="2"/>
          <w:sz w:val="24"/>
          <w:szCs w:val="24"/>
          <w:lang w:eastAsia="ar-SA"/>
        </w:rPr>
        <w:t xml:space="preserve">, ja tā neatrodas tiešā ūdenstilpju tuvumā vai palu darbības zonā. Lakstaugu sugu ierobežošana visefektīvāk veicama ziedu laikā, kad vēl nav sākusies sēklu nobriešana, šajā laikā augs tiek ātrāk novājināts un sliktāk atjaunojas. Visi </w:t>
      </w:r>
      <w:proofErr w:type="spellStart"/>
      <w:r w:rsidRPr="00A07F29">
        <w:rPr>
          <w:rFonts w:ascii="Times New Roman" w:eastAsia="Lucida Sans Unicode" w:hAnsi="Times New Roman" w:cs="Times New Roman"/>
          <w:kern w:val="2"/>
          <w:sz w:val="24"/>
          <w:szCs w:val="24"/>
          <w:lang w:eastAsia="ar-SA"/>
        </w:rPr>
        <w:t>invazīvo</w:t>
      </w:r>
      <w:proofErr w:type="spellEnd"/>
      <w:r w:rsidRPr="00A07F29">
        <w:rPr>
          <w:rFonts w:ascii="Times New Roman" w:eastAsia="Lucida Sans Unicode" w:hAnsi="Times New Roman" w:cs="Times New Roman"/>
          <w:kern w:val="2"/>
          <w:sz w:val="24"/>
          <w:szCs w:val="24"/>
          <w:lang w:eastAsia="ar-SA"/>
        </w:rPr>
        <w:t xml:space="preserve"> sugu apkarošanas vai ierobežošanas pasākumi jāveic atkārtoti vairākus gadus pēc kārtas, pirmajos gados veicot atkārtotus pasākumus vairākas reizes veģetācijas sezonā.</w:t>
      </w:r>
    </w:p>
    <w:p w14:paraId="2F8E3710" w14:textId="0FAE0343" w:rsidR="00B06B19" w:rsidRPr="00A07F29" w:rsidRDefault="00A21E83" w:rsidP="00E666B6">
      <w:pPr>
        <w:widowControl w:val="0"/>
        <w:suppressAutoHyphens/>
        <w:spacing w:after="120" w:line="240" w:lineRule="auto"/>
        <w:ind w:firstLine="851"/>
        <w:jc w:val="both"/>
        <w:rPr>
          <w:rFonts w:ascii="Times New Roman" w:eastAsia="Lucida Sans Unicode" w:hAnsi="Times New Roman" w:cs="Times New Roman"/>
          <w:kern w:val="2"/>
          <w:sz w:val="24"/>
          <w:szCs w:val="24"/>
          <w:lang w:eastAsia="ar-SA"/>
        </w:rPr>
      </w:pPr>
      <w:r w:rsidRPr="00A07F29">
        <w:rPr>
          <w:rFonts w:ascii="Times New Roman" w:eastAsia="Lucida Sans Unicode" w:hAnsi="Times New Roman" w:cs="Times New Roman"/>
          <w:b/>
          <w:kern w:val="2"/>
          <w:sz w:val="24"/>
          <w:szCs w:val="24"/>
          <w:lang w:eastAsia="ar-SA"/>
        </w:rPr>
        <w:t xml:space="preserve">Sosnovska </w:t>
      </w:r>
      <w:proofErr w:type="spellStart"/>
      <w:r w:rsidRPr="00A07F29">
        <w:rPr>
          <w:rFonts w:ascii="Times New Roman" w:eastAsia="Lucida Sans Unicode" w:hAnsi="Times New Roman" w:cs="Times New Roman"/>
          <w:b/>
          <w:kern w:val="2"/>
          <w:sz w:val="24"/>
          <w:szCs w:val="24"/>
          <w:lang w:eastAsia="ar-SA"/>
        </w:rPr>
        <w:t>latvānis</w:t>
      </w:r>
      <w:proofErr w:type="spellEnd"/>
      <w:r w:rsidRPr="00A07F29">
        <w:rPr>
          <w:rFonts w:ascii="Times New Roman" w:eastAsia="Lucida Sans Unicode" w:hAnsi="Times New Roman" w:cs="Times New Roman"/>
          <w:b/>
          <w:kern w:val="2"/>
          <w:sz w:val="24"/>
          <w:szCs w:val="24"/>
          <w:lang w:eastAsia="ar-SA"/>
        </w:rPr>
        <w:t xml:space="preserve"> </w:t>
      </w:r>
      <w:proofErr w:type="spellStart"/>
      <w:r w:rsidRPr="00A07F29">
        <w:rPr>
          <w:rFonts w:ascii="Times New Roman" w:eastAsia="Lucida Sans Unicode" w:hAnsi="Times New Roman" w:cs="Times New Roman"/>
          <w:b/>
          <w:i/>
          <w:kern w:val="2"/>
          <w:sz w:val="24"/>
          <w:szCs w:val="24"/>
          <w:lang w:eastAsia="ar-SA"/>
        </w:rPr>
        <w:t>Heracleum</w:t>
      </w:r>
      <w:proofErr w:type="spellEnd"/>
      <w:r w:rsidRPr="00A07F29">
        <w:rPr>
          <w:rFonts w:ascii="Times New Roman" w:eastAsia="Lucida Sans Unicode" w:hAnsi="Times New Roman" w:cs="Times New Roman"/>
          <w:b/>
          <w:i/>
          <w:kern w:val="2"/>
          <w:sz w:val="24"/>
          <w:szCs w:val="24"/>
          <w:lang w:eastAsia="ar-SA"/>
        </w:rPr>
        <w:t xml:space="preserve"> </w:t>
      </w:r>
      <w:proofErr w:type="spellStart"/>
      <w:r w:rsidRPr="00A07F29">
        <w:rPr>
          <w:rFonts w:ascii="Times New Roman" w:eastAsia="Lucida Sans Unicode" w:hAnsi="Times New Roman" w:cs="Times New Roman"/>
          <w:b/>
          <w:i/>
          <w:kern w:val="2"/>
          <w:sz w:val="24"/>
          <w:szCs w:val="24"/>
          <w:lang w:eastAsia="ar-SA"/>
        </w:rPr>
        <w:t>sosnowskyi</w:t>
      </w:r>
      <w:proofErr w:type="spellEnd"/>
      <w:r w:rsidRPr="00A07F29">
        <w:rPr>
          <w:rFonts w:ascii="Times New Roman" w:eastAsia="Lucida Sans Unicode" w:hAnsi="Times New Roman" w:cs="Times New Roman"/>
          <w:kern w:val="2"/>
          <w:sz w:val="24"/>
          <w:szCs w:val="24"/>
          <w:lang w:eastAsia="ar-SA"/>
        </w:rPr>
        <w:t xml:space="preserve"> izkonkurē vietējās sugas, mainot veģetācijas struktūru. AAA </w:t>
      </w:r>
      <w:r w:rsidR="00B06B19" w:rsidRPr="00A07F29">
        <w:rPr>
          <w:rFonts w:ascii="Times New Roman" w:eastAsia="Lucida Sans Unicode" w:hAnsi="Times New Roman" w:cs="Times New Roman"/>
          <w:kern w:val="2"/>
          <w:sz w:val="24"/>
          <w:szCs w:val="24"/>
          <w:lang w:eastAsia="ar-SA"/>
        </w:rPr>
        <w:t xml:space="preserve">“Augšdaugava” </w:t>
      </w:r>
      <w:r w:rsidRPr="00A07F29">
        <w:rPr>
          <w:rFonts w:ascii="Times New Roman" w:eastAsia="Lucida Sans Unicode" w:hAnsi="Times New Roman" w:cs="Times New Roman"/>
          <w:kern w:val="2"/>
          <w:sz w:val="24"/>
          <w:szCs w:val="24"/>
          <w:lang w:eastAsia="ar-SA"/>
        </w:rPr>
        <w:t>konstatēti trīs lieli poligoni</w:t>
      </w:r>
      <w:r w:rsidR="00B06B19" w:rsidRPr="00A07F29">
        <w:rPr>
          <w:rFonts w:ascii="Times New Roman" w:eastAsia="Lucida Sans Unicode" w:hAnsi="Times New Roman" w:cs="Times New Roman"/>
          <w:kern w:val="2"/>
          <w:sz w:val="24"/>
          <w:szCs w:val="24"/>
          <w:lang w:eastAsia="ar-SA"/>
        </w:rPr>
        <w:t>:</w:t>
      </w:r>
      <w:r w:rsidRPr="00A07F29">
        <w:rPr>
          <w:rFonts w:ascii="Times New Roman" w:eastAsia="Lucida Sans Unicode" w:hAnsi="Times New Roman" w:cs="Times New Roman"/>
          <w:kern w:val="2"/>
          <w:sz w:val="24"/>
          <w:szCs w:val="24"/>
          <w:lang w:eastAsia="ar-SA"/>
        </w:rPr>
        <w:t xml:space="preserve"> Krāslavas novada Ūdrīšu pagastā pie “</w:t>
      </w:r>
      <w:proofErr w:type="spellStart"/>
      <w:r w:rsidRPr="00A07F29">
        <w:rPr>
          <w:rFonts w:ascii="Times New Roman" w:eastAsia="Lucida Sans Unicode" w:hAnsi="Times New Roman" w:cs="Times New Roman"/>
          <w:kern w:val="2"/>
          <w:sz w:val="24"/>
          <w:szCs w:val="24"/>
          <w:lang w:eastAsia="ar-SA"/>
        </w:rPr>
        <w:t>Skribļiem</w:t>
      </w:r>
      <w:proofErr w:type="spellEnd"/>
      <w:r w:rsidRPr="00A07F29">
        <w:rPr>
          <w:rFonts w:ascii="Times New Roman" w:eastAsia="Lucida Sans Unicode" w:hAnsi="Times New Roman" w:cs="Times New Roman"/>
          <w:kern w:val="2"/>
          <w:sz w:val="24"/>
          <w:szCs w:val="24"/>
          <w:lang w:eastAsia="ar-SA"/>
        </w:rPr>
        <w:t>” aptuveni 6,5</w:t>
      </w:r>
      <w:r w:rsidR="000F0707">
        <w:rPr>
          <w:rFonts w:ascii="Times New Roman" w:eastAsia="Lucida Sans Unicode" w:hAnsi="Times New Roman" w:cs="Times New Roman"/>
          <w:kern w:val="2"/>
          <w:sz w:val="24"/>
          <w:szCs w:val="24"/>
          <w:lang w:eastAsia="ar-SA"/>
        </w:rPr>
        <w:t> </w:t>
      </w:r>
      <w:r w:rsidRPr="00A07F29">
        <w:rPr>
          <w:rFonts w:ascii="Times New Roman" w:eastAsia="Lucida Sans Unicode" w:hAnsi="Times New Roman" w:cs="Times New Roman"/>
          <w:kern w:val="2"/>
          <w:sz w:val="24"/>
          <w:szCs w:val="24"/>
          <w:lang w:eastAsia="ar-SA"/>
        </w:rPr>
        <w:t xml:space="preserve">ha, </w:t>
      </w:r>
      <w:proofErr w:type="spellStart"/>
      <w:r w:rsidRPr="00A07F29">
        <w:rPr>
          <w:rFonts w:ascii="Times New Roman" w:eastAsia="Lucida Sans Unicode" w:hAnsi="Times New Roman" w:cs="Times New Roman"/>
          <w:kern w:val="2"/>
          <w:sz w:val="24"/>
          <w:szCs w:val="24"/>
          <w:lang w:eastAsia="ar-SA"/>
        </w:rPr>
        <w:t>Užiņkalnā</w:t>
      </w:r>
      <w:proofErr w:type="spellEnd"/>
      <w:r w:rsidRPr="00A07F29">
        <w:rPr>
          <w:rFonts w:ascii="Times New Roman" w:eastAsia="Lucida Sans Unicode" w:hAnsi="Times New Roman" w:cs="Times New Roman"/>
          <w:kern w:val="2"/>
          <w:sz w:val="24"/>
          <w:szCs w:val="24"/>
          <w:lang w:eastAsia="ar-SA"/>
        </w:rPr>
        <w:t xml:space="preserve"> pie mājām “</w:t>
      </w:r>
      <w:proofErr w:type="spellStart"/>
      <w:r w:rsidRPr="00A07F29">
        <w:rPr>
          <w:rFonts w:ascii="Times New Roman" w:eastAsia="Lucida Sans Unicode" w:hAnsi="Times New Roman" w:cs="Times New Roman"/>
          <w:kern w:val="2"/>
          <w:sz w:val="24"/>
          <w:szCs w:val="24"/>
          <w:lang w:eastAsia="ar-SA"/>
        </w:rPr>
        <w:t>Maļavki</w:t>
      </w:r>
      <w:proofErr w:type="spellEnd"/>
      <w:r w:rsidRPr="00A07F29">
        <w:rPr>
          <w:rFonts w:ascii="Times New Roman" w:eastAsia="Lucida Sans Unicode" w:hAnsi="Times New Roman" w:cs="Times New Roman"/>
          <w:kern w:val="2"/>
          <w:sz w:val="24"/>
          <w:szCs w:val="24"/>
          <w:lang w:eastAsia="ar-SA"/>
        </w:rPr>
        <w:t>” un Kalniešu pagastā aptuveni 200</w:t>
      </w:r>
      <w:r w:rsidR="00502F6D">
        <w:rPr>
          <w:rFonts w:ascii="Times New Roman" w:eastAsia="Lucida Sans Unicode" w:hAnsi="Times New Roman" w:cs="Times New Roman"/>
          <w:kern w:val="2"/>
          <w:sz w:val="24"/>
          <w:szCs w:val="24"/>
          <w:lang w:eastAsia="ar-SA"/>
        </w:rPr>
        <w:t> </w:t>
      </w:r>
      <w:r w:rsidRPr="00A07F29">
        <w:rPr>
          <w:rFonts w:ascii="Times New Roman" w:eastAsia="Lucida Sans Unicode" w:hAnsi="Times New Roman" w:cs="Times New Roman"/>
          <w:kern w:val="2"/>
          <w:sz w:val="24"/>
          <w:szCs w:val="24"/>
          <w:lang w:eastAsia="ar-SA"/>
        </w:rPr>
        <w:t xml:space="preserve">m uz D no </w:t>
      </w:r>
      <w:proofErr w:type="spellStart"/>
      <w:r w:rsidRPr="00A07F29">
        <w:rPr>
          <w:rFonts w:ascii="Times New Roman" w:eastAsia="Lucida Sans Unicode" w:hAnsi="Times New Roman" w:cs="Times New Roman"/>
          <w:kern w:val="2"/>
          <w:sz w:val="24"/>
          <w:szCs w:val="24"/>
          <w:lang w:eastAsia="ar-SA"/>
        </w:rPr>
        <w:t>Padgurje</w:t>
      </w:r>
      <w:proofErr w:type="spellEnd"/>
      <w:r w:rsidRPr="00A07F29">
        <w:rPr>
          <w:rFonts w:ascii="Times New Roman" w:eastAsia="Lucida Sans Unicode" w:hAnsi="Times New Roman" w:cs="Times New Roman"/>
          <w:kern w:val="2"/>
          <w:sz w:val="24"/>
          <w:szCs w:val="24"/>
          <w:lang w:eastAsia="ar-SA"/>
        </w:rPr>
        <w:t xml:space="preserve">. Konstatētas arī 17 </w:t>
      </w:r>
      <w:proofErr w:type="spellStart"/>
      <w:r w:rsidRPr="00A07F29">
        <w:rPr>
          <w:rFonts w:ascii="Times New Roman" w:eastAsia="Lucida Sans Unicode" w:hAnsi="Times New Roman" w:cs="Times New Roman"/>
          <w:kern w:val="2"/>
          <w:sz w:val="24"/>
          <w:szCs w:val="24"/>
          <w:lang w:eastAsia="ar-SA"/>
        </w:rPr>
        <w:t>punktveida</w:t>
      </w:r>
      <w:proofErr w:type="spellEnd"/>
      <w:r w:rsidRPr="00A07F29">
        <w:rPr>
          <w:rFonts w:ascii="Times New Roman" w:eastAsia="Lucida Sans Unicode" w:hAnsi="Times New Roman" w:cs="Times New Roman"/>
          <w:kern w:val="2"/>
          <w:sz w:val="24"/>
          <w:szCs w:val="24"/>
          <w:lang w:eastAsia="ar-SA"/>
        </w:rPr>
        <w:t xml:space="preserve"> atradnes izklaidus visā teritorijā, vairākas no tām Kraujas apkārtnē. </w:t>
      </w:r>
    </w:p>
    <w:p w14:paraId="7E64057D" w14:textId="03F79961" w:rsidR="00A21E83" w:rsidRPr="00A07F29" w:rsidRDefault="00A21E83" w:rsidP="00E666B6">
      <w:pPr>
        <w:widowControl w:val="0"/>
        <w:suppressAutoHyphens/>
        <w:spacing w:after="120" w:line="240" w:lineRule="auto"/>
        <w:ind w:firstLine="851"/>
        <w:jc w:val="both"/>
        <w:rPr>
          <w:rFonts w:ascii="Times New Roman" w:eastAsia="Times New Roman" w:hAnsi="Times New Roman" w:cs="Times New Roman"/>
          <w:b/>
          <w:kern w:val="2"/>
          <w:sz w:val="24"/>
          <w:szCs w:val="24"/>
          <w:lang w:eastAsia="ar-SA"/>
        </w:rPr>
      </w:pPr>
      <w:proofErr w:type="spellStart"/>
      <w:r w:rsidRPr="00A07F29">
        <w:rPr>
          <w:rFonts w:ascii="Times New Roman" w:eastAsia="Lucida Sans Unicode" w:hAnsi="Times New Roman" w:cs="Times New Roman"/>
          <w:kern w:val="2"/>
          <w:sz w:val="24"/>
          <w:szCs w:val="24"/>
          <w:lang w:eastAsia="ar-SA"/>
        </w:rPr>
        <w:t>Latvānis</w:t>
      </w:r>
      <w:proofErr w:type="spellEnd"/>
      <w:r w:rsidRPr="00A07F29">
        <w:rPr>
          <w:rFonts w:ascii="Times New Roman" w:eastAsia="Lucida Sans Unicode" w:hAnsi="Times New Roman" w:cs="Times New Roman"/>
          <w:kern w:val="2"/>
          <w:sz w:val="24"/>
          <w:szCs w:val="24"/>
          <w:lang w:eastAsia="ar-SA"/>
        </w:rPr>
        <w:t xml:space="preserve"> izplatās ne tikai ar sēklām, ko izplata vējš, ūdens un putni, bet arī ar sakņu fragmentiem. Tā izplatīšanos sekmē lauksaimniecības zemju pamešana. Sugas ierobežošanā izmantojamas vairākas savstarpēji saistītas metodes. Invāzijas sākuma etapos, kad konstatējami atsevišķi augi, efektīva metode ir augu izrakšana vai izduršana vismaz 10</w:t>
      </w:r>
      <w:r w:rsidR="00010F67">
        <w:rPr>
          <w:rFonts w:ascii="Times New Roman" w:eastAsia="Lucida Sans Unicode" w:hAnsi="Times New Roman" w:cs="Times New Roman"/>
          <w:kern w:val="2"/>
          <w:sz w:val="24"/>
          <w:szCs w:val="24"/>
          <w:lang w:eastAsia="ar-SA"/>
        </w:rPr>
        <w:t> </w:t>
      </w:r>
      <w:r w:rsidRPr="00A07F29">
        <w:rPr>
          <w:rFonts w:ascii="Times New Roman" w:eastAsia="Lucida Sans Unicode" w:hAnsi="Times New Roman" w:cs="Times New Roman"/>
          <w:kern w:val="2"/>
          <w:sz w:val="24"/>
          <w:szCs w:val="24"/>
          <w:lang w:eastAsia="ar-SA"/>
        </w:rPr>
        <w:t>–</w:t>
      </w:r>
      <w:r w:rsidR="00010F67">
        <w:rPr>
          <w:rFonts w:ascii="Times New Roman" w:eastAsia="Lucida Sans Unicode" w:hAnsi="Times New Roman" w:cs="Times New Roman"/>
          <w:kern w:val="2"/>
          <w:sz w:val="24"/>
          <w:szCs w:val="24"/>
          <w:lang w:eastAsia="ar-SA"/>
        </w:rPr>
        <w:t> </w:t>
      </w:r>
      <w:r w:rsidRPr="00A07F29">
        <w:rPr>
          <w:rFonts w:ascii="Times New Roman" w:eastAsia="Lucida Sans Unicode" w:hAnsi="Times New Roman" w:cs="Times New Roman"/>
          <w:kern w:val="2"/>
          <w:sz w:val="24"/>
          <w:szCs w:val="24"/>
          <w:lang w:eastAsia="ar-SA"/>
        </w:rPr>
        <w:t>15</w:t>
      </w:r>
      <w:r w:rsidR="00010F67">
        <w:rPr>
          <w:rFonts w:ascii="Times New Roman" w:eastAsia="Lucida Sans Unicode" w:hAnsi="Times New Roman" w:cs="Times New Roman"/>
          <w:kern w:val="2"/>
          <w:sz w:val="24"/>
          <w:szCs w:val="24"/>
          <w:lang w:eastAsia="ar-SA"/>
        </w:rPr>
        <w:t> </w:t>
      </w:r>
      <w:r w:rsidRPr="00A07F29">
        <w:rPr>
          <w:rFonts w:ascii="Times New Roman" w:eastAsia="Lucida Sans Unicode" w:hAnsi="Times New Roman" w:cs="Times New Roman"/>
          <w:kern w:val="2"/>
          <w:sz w:val="24"/>
          <w:szCs w:val="24"/>
          <w:lang w:eastAsia="ar-SA"/>
        </w:rPr>
        <w:t xml:space="preserve">cm dziļumā. Izrakto augu atliekas obligāti iznīcināmas nekavējoties. Pēc izrakšanas vēlama augsnes virskārtas izlīdzināšana, lai netiktu traucēta potenciāla turpmākā apsaimniekošana. Turpmāko izplatīšanos vai invāzijas atjaunošanos ierobežo, bieži pļaujot </w:t>
      </w:r>
      <w:proofErr w:type="spellStart"/>
      <w:r w:rsidRPr="00A07F29">
        <w:rPr>
          <w:rFonts w:ascii="Times New Roman" w:eastAsia="Lucida Sans Unicode" w:hAnsi="Times New Roman" w:cs="Times New Roman"/>
          <w:kern w:val="2"/>
          <w:sz w:val="24"/>
          <w:szCs w:val="24"/>
          <w:lang w:eastAsia="ar-SA"/>
        </w:rPr>
        <w:t>invadētās</w:t>
      </w:r>
      <w:proofErr w:type="spellEnd"/>
      <w:r w:rsidRPr="00A07F29">
        <w:rPr>
          <w:rFonts w:ascii="Times New Roman" w:eastAsia="Lucida Sans Unicode" w:hAnsi="Times New Roman" w:cs="Times New Roman"/>
          <w:kern w:val="2"/>
          <w:sz w:val="24"/>
          <w:szCs w:val="24"/>
          <w:lang w:eastAsia="ar-SA"/>
        </w:rPr>
        <w:t xml:space="preserve"> platības. Augu atliekas obligāti iznīcināmas nekavējoties, jo stublājos pietiekamā daudzumā uzkrājas barības vielas, lai nogatavinātu sēklas. Atsevišķu augu likvidēšanai pieļaujama arī herbicīdu lietošana tieši uz </w:t>
      </w:r>
      <w:proofErr w:type="spellStart"/>
      <w:r w:rsidRPr="00A07F29">
        <w:rPr>
          <w:rFonts w:ascii="Times New Roman" w:eastAsia="Lucida Sans Unicode" w:hAnsi="Times New Roman" w:cs="Times New Roman"/>
          <w:kern w:val="2"/>
          <w:sz w:val="24"/>
          <w:szCs w:val="24"/>
          <w:lang w:eastAsia="ar-SA"/>
        </w:rPr>
        <w:t>mērķsugas</w:t>
      </w:r>
      <w:proofErr w:type="spellEnd"/>
      <w:r w:rsidRPr="00A07F29">
        <w:rPr>
          <w:rFonts w:ascii="Times New Roman" w:eastAsia="Lucida Sans Unicode" w:hAnsi="Times New Roman" w:cs="Times New Roman"/>
          <w:kern w:val="2"/>
          <w:sz w:val="24"/>
          <w:szCs w:val="24"/>
          <w:lang w:eastAsia="ar-SA"/>
        </w:rPr>
        <w:t>, ja tā neatrodas tiešā ūdenstilpju tuvumā vai palu darbības zonā. Situācijās, kad augi izveidojuši blīvas audzes, nepieciešama pļaušana 3</w:t>
      </w:r>
      <w:r w:rsidR="00A14CD6">
        <w:rPr>
          <w:rFonts w:ascii="Times New Roman" w:eastAsia="Lucida Sans Unicode" w:hAnsi="Times New Roman" w:cs="Times New Roman"/>
          <w:kern w:val="2"/>
          <w:sz w:val="24"/>
          <w:szCs w:val="24"/>
          <w:lang w:eastAsia="ar-SA"/>
        </w:rPr>
        <w:t> – </w:t>
      </w:r>
      <w:r w:rsidRPr="00A07F29">
        <w:rPr>
          <w:rFonts w:ascii="Times New Roman" w:eastAsia="Lucida Sans Unicode" w:hAnsi="Times New Roman" w:cs="Times New Roman"/>
          <w:kern w:val="2"/>
          <w:sz w:val="24"/>
          <w:szCs w:val="24"/>
          <w:lang w:eastAsia="ar-SA"/>
        </w:rPr>
        <w:t>4 reizes veģetācijas sezonā (</w:t>
      </w:r>
      <w:proofErr w:type="spellStart"/>
      <w:r w:rsidRPr="00A07F29">
        <w:rPr>
          <w:rFonts w:ascii="Times New Roman" w:eastAsia="Lucida Sans Unicode" w:hAnsi="Times New Roman" w:cs="Times New Roman"/>
          <w:kern w:val="2"/>
          <w:sz w:val="24"/>
          <w:szCs w:val="24"/>
          <w:lang w:eastAsia="ar-SA"/>
        </w:rPr>
        <w:t>Gudžinskis</w:t>
      </w:r>
      <w:proofErr w:type="spellEnd"/>
      <w:r w:rsidR="0075736C">
        <w:rPr>
          <w:rFonts w:ascii="Times New Roman" w:eastAsia="Lucida Sans Unicode" w:hAnsi="Times New Roman" w:cs="Times New Roman"/>
          <w:kern w:val="2"/>
          <w:sz w:val="24"/>
          <w:szCs w:val="24"/>
          <w:lang w:eastAsia="ar-SA"/>
        </w:rPr>
        <w:t xml:space="preserve"> Z.,</w:t>
      </w:r>
      <w:r w:rsidRPr="00A07F29">
        <w:rPr>
          <w:rFonts w:ascii="Times New Roman" w:eastAsia="Lucida Sans Unicode" w:hAnsi="Times New Roman" w:cs="Times New Roman"/>
          <w:kern w:val="2"/>
          <w:sz w:val="24"/>
          <w:szCs w:val="24"/>
          <w:lang w:eastAsia="ar-SA"/>
        </w:rPr>
        <w:t xml:space="preserve"> 2014), pirms augi sākuši nogatavināt sēklas, vai teritorijas noklāšana ar melno (gaismas necaurlaidīgo) plēvi</w:t>
      </w:r>
      <w:r w:rsidR="00BB0A93">
        <w:rPr>
          <w:rFonts w:ascii="Times New Roman" w:eastAsia="Lucida Sans Unicode" w:hAnsi="Times New Roman" w:cs="Times New Roman"/>
          <w:kern w:val="2"/>
          <w:sz w:val="24"/>
          <w:szCs w:val="24"/>
          <w:lang w:eastAsia="ar-SA"/>
        </w:rPr>
        <w:t>,</w:t>
      </w:r>
      <w:r w:rsidRPr="00A07F29">
        <w:rPr>
          <w:rFonts w:ascii="Times New Roman" w:eastAsia="Lucida Sans Unicode" w:hAnsi="Times New Roman" w:cs="Times New Roman"/>
          <w:kern w:val="2"/>
          <w:sz w:val="24"/>
          <w:szCs w:val="24"/>
          <w:lang w:eastAsia="ar-SA"/>
        </w:rPr>
        <w:t xml:space="preserve"> tādējādi pārtraucot auga spēju augt.</w:t>
      </w:r>
    </w:p>
    <w:p w14:paraId="5E33977A" w14:textId="0A430484" w:rsidR="00A21E83" w:rsidRPr="00A07F29" w:rsidRDefault="00A21E83" w:rsidP="00E666B6">
      <w:pPr>
        <w:widowControl w:val="0"/>
        <w:suppressAutoHyphens/>
        <w:spacing w:after="120" w:line="240" w:lineRule="auto"/>
        <w:ind w:firstLine="851"/>
        <w:jc w:val="both"/>
        <w:rPr>
          <w:rFonts w:ascii="Times New Roman" w:eastAsia="Times New Roman" w:hAnsi="Times New Roman" w:cs="Times New Roman"/>
          <w:kern w:val="2"/>
          <w:sz w:val="24"/>
          <w:szCs w:val="24"/>
          <w:lang w:eastAsia="ar-SA"/>
        </w:rPr>
      </w:pPr>
      <w:proofErr w:type="spellStart"/>
      <w:r w:rsidRPr="00A07F29">
        <w:rPr>
          <w:rFonts w:ascii="Times New Roman" w:eastAsia="Times New Roman" w:hAnsi="Times New Roman" w:cs="Times New Roman"/>
          <w:b/>
          <w:kern w:val="2"/>
          <w:sz w:val="24"/>
          <w:szCs w:val="24"/>
          <w:lang w:eastAsia="ar-SA"/>
        </w:rPr>
        <w:t>Ošlapu</w:t>
      </w:r>
      <w:proofErr w:type="spellEnd"/>
      <w:r w:rsidRPr="00A07F29">
        <w:rPr>
          <w:rFonts w:ascii="Times New Roman" w:eastAsia="Times New Roman" w:hAnsi="Times New Roman" w:cs="Times New Roman"/>
          <w:b/>
          <w:kern w:val="2"/>
          <w:sz w:val="24"/>
          <w:szCs w:val="24"/>
          <w:lang w:eastAsia="ar-SA"/>
        </w:rPr>
        <w:t xml:space="preserve"> kļava </w:t>
      </w:r>
      <w:r w:rsidRPr="00A07F29">
        <w:rPr>
          <w:rFonts w:ascii="Times New Roman" w:eastAsia="Times New Roman" w:hAnsi="Times New Roman" w:cs="Times New Roman"/>
          <w:b/>
          <w:i/>
          <w:kern w:val="2"/>
          <w:sz w:val="24"/>
          <w:szCs w:val="24"/>
          <w:lang w:eastAsia="ar-SA"/>
        </w:rPr>
        <w:t xml:space="preserve">Acer </w:t>
      </w:r>
      <w:proofErr w:type="spellStart"/>
      <w:r w:rsidRPr="00A07F29">
        <w:rPr>
          <w:rFonts w:ascii="Times New Roman" w:eastAsia="Times New Roman" w:hAnsi="Times New Roman" w:cs="Times New Roman"/>
          <w:b/>
          <w:i/>
          <w:kern w:val="2"/>
          <w:sz w:val="24"/>
          <w:szCs w:val="24"/>
          <w:lang w:eastAsia="ar-SA"/>
        </w:rPr>
        <w:t>negundo</w:t>
      </w:r>
      <w:proofErr w:type="spellEnd"/>
      <w:r w:rsidRPr="00A07F29">
        <w:rPr>
          <w:rFonts w:ascii="Times New Roman" w:eastAsia="Times New Roman" w:hAnsi="Times New Roman" w:cs="Times New Roman"/>
          <w:kern w:val="2"/>
          <w:sz w:val="24"/>
          <w:szCs w:val="24"/>
          <w:lang w:eastAsia="ar-SA"/>
        </w:rPr>
        <w:t xml:space="preserve"> gan Latvijā, gan citur Eiropā ir bieži sastopama un plaši izplatījusies, naturalizējusies un uzskatāma par </w:t>
      </w:r>
      <w:proofErr w:type="spellStart"/>
      <w:r w:rsidRPr="00A07F29">
        <w:rPr>
          <w:rFonts w:ascii="Times New Roman" w:eastAsia="Times New Roman" w:hAnsi="Times New Roman" w:cs="Times New Roman"/>
          <w:kern w:val="2"/>
          <w:sz w:val="24"/>
          <w:szCs w:val="24"/>
          <w:lang w:eastAsia="ar-SA"/>
        </w:rPr>
        <w:t>invazīvu</w:t>
      </w:r>
      <w:proofErr w:type="spellEnd"/>
      <w:r w:rsidRPr="00A07F29">
        <w:rPr>
          <w:rFonts w:ascii="Times New Roman" w:eastAsia="Times New Roman" w:hAnsi="Times New Roman" w:cs="Times New Roman"/>
          <w:kern w:val="2"/>
          <w:sz w:val="24"/>
          <w:szCs w:val="24"/>
          <w:lang w:eastAsia="ar-SA"/>
        </w:rPr>
        <w:t xml:space="preserve"> sugu. Sugas augļus viegli izplata</w:t>
      </w:r>
      <w:r w:rsidRPr="00A07F29">
        <w:rPr>
          <w:rFonts w:ascii="Times New Roman" w:eastAsia="Times New Roman" w:hAnsi="Times New Roman" w:cs="Times New Roman"/>
          <w:strike/>
          <w:kern w:val="2"/>
          <w:sz w:val="24"/>
          <w:szCs w:val="24"/>
          <w:lang w:eastAsia="ar-SA"/>
        </w:rPr>
        <w:t xml:space="preserve"> </w:t>
      </w:r>
      <w:r w:rsidRPr="00A07F29">
        <w:rPr>
          <w:rFonts w:ascii="Times New Roman" w:eastAsia="Times New Roman" w:hAnsi="Times New Roman" w:cs="Times New Roman"/>
          <w:kern w:val="2"/>
          <w:sz w:val="24"/>
          <w:szCs w:val="24"/>
          <w:lang w:eastAsia="ar-SA"/>
        </w:rPr>
        <w:t xml:space="preserve">vējš un ūdens. </w:t>
      </w:r>
      <w:proofErr w:type="spellStart"/>
      <w:r w:rsidRPr="00A07F29">
        <w:rPr>
          <w:rFonts w:ascii="Times New Roman" w:eastAsia="Times New Roman" w:hAnsi="Times New Roman" w:cs="Times New Roman"/>
          <w:kern w:val="2"/>
          <w:sz w:val="24"/>
          <w:szCs w:val="24"/>
          <w:lang w:eastAsia="ar-SA"/>
        </w:rPr>
        <w:t>Ošlapu</w:t>
      </w:r>
      <w:proofErr w:type="spellEnd"/>
      <w:r w:rsidRPr="00A07F29">
        <w:rPr>
          <w:rFonts w:ascii="Times New Roman" w:eastAsia="Times New Roman" w:hAnsi="Times New Roman" w:cs="Times New Roman"/>
          <w:kern w:val="2"/>
          <w:sz w:val="24"/>
          <w:szCs w:val="24"/>
          <w:lang w:eastAsia="ar-SA"/>
        </w:rPr>
        <w:t xml:space="preserve"> kļava strauji aug, un, kļūstot par dominējošo sugu, maina augu sabiedrību, izspiežot citas sugas. </w:t>
      </w:r>
      <w:r w:rsidRPr="00A07F29">
        <w:rPr>
          <w:rFonts w:ascii="Times New Roman" w:eastAsia="Lucida Sans Unicode" w:hAnsi="Times New Roman" w:cs="Times New Roman"/>
          <w:kern w:val="2"/>
          <w:sz w:val="24"/>
          <w:szCs w:val="24"/>
          <w:lang w:eastAsia="ar-SA"/>
        </w:rPr>
        <w:t>Upju ielejas, tai skaitā Daugavas, ar tekošu ūdeni ir viens no efektīvākajiem izplatīšanās veidiem, jo sēklas ūdenī ilgstoši nezaudē dīgtspēju un tiek pārnestas lielos attālumos.</w:t>
      </w:r>
      <w:r w:rsidR="003F2078">
        <w:rPr>
          <w:rFonts w:ascii="Times New Roman" w:eastAsia="Lucida Sans Unicode" w:hAnsi="Times New Roman" w:cs="Times New Roman"/>
          <w:kern w:val="2"/>
          <w:sz w:val="24"/>
          <w:szCs w:val="24"/>
          <w:lang w:eastAsia="ar-SA"/>
        </w:rPr>
        <w:t xml:space="preserve"> </w:t>
      </w:r>
      <w:r w:rsidR="00B06B19" w:rsidRPr="00A07F29">
        <w:rPr>
          <w:rFonts w:ascii="Times New Roman" w:eastAsia="Lucida Sans Unicode" w:hAnsi="Times New Roman" w:cs="Times New Roman"/>
          <w:kern w:val="2"/>
          <w:sz w:val="24"/>
          <w:szCs w:val="24"/>
          <w:lang w:eastAsia="ar-SA"/>
        </w:rPr>
        <w:lastRenderedPageBreak/>
        <w:t>AAA “</w:t>
      </w:r>
      <w:r w:rsidRPr="00A07F29">
        <w:rPr>
          <w:rFonts w:ascii="Times New Roman" w:eastAsia="Times New Roman" w:hAnsi="Times New Roman" w:cs="Times New Roman"/>
          <w:kern w:val="2"/>
          <w:sz w:val="24"/>
          <w:szCs w:val="24"/>
          <w:lang w:eastAsia="ar-SA"/>
        </w:rPr>
        <w:t>Augšdaugav</w:t>
      </w:r>
      <w:r w:rsidR="00B06B19" w:rsidRPr="00A07F29">
        <w:rPr>
          <w:rFonts w:ascii="Times New Roman" w:eastAsia="Times New Roman" w:hAnsi="Times New Roman" w:cs="Times New Roman"/>
          <w:kern w:val="2"/>
          <w:sz w:val="24"/>
          <w:szCs w:val="24"/>
          <w:lang w:eastAsia="ar-SA"/>
        </w:rPr>
        <w:t>a”</w:t>
      </w:r>
      <w:r w:rsidRPr="00A07F29">
        <w:rPr>
          <w:rFonts w:ascii="Times New Roman" w:eastAsia="Times New Roman" w:hAnsi="Times New Roman" w:cs="Times New Roman"/>
          <w:kern w:val="2"/>
          <w:sz w:val="24"/>
          <w:szCs w:val="24"/>
          <w:lang w:eastAsia="ar-SA"/>
        </w:rPr>
        <w:t xml:space="preserve"> </w:t>
      </w:r>
      <w:proofErr w:type="spellStart"/>
      <w:r w:rsidRPr="00A07F29">
        <w:rPr>
          <w:rFonts w:ascii="Times New Roman" w:eastAsia="Times New Roman" w:hAnsi="Times New Roman" w:cs="Times New Roman"/>
          <w:kern w:val="2"/>
          <w:sz w:val="24"/>
          <w:szCs w:val="24"/>
          <w:lang w:eastAsia="ar-SA"/>
        </w:rPr>
        <w:t>ošlapu</w:t>
      </w:r>
      <w:proofErr w:type="spellEnd"/>
      <w:r w:rsidRPr="00A07F29">
        <w:rPr>
          <w:rFonts w:ascii="Times New Roman" w:eastAsia="Times New Roman" w:hAnsi="Times New Roman" w:cs="Times New Roman"/>
          <w:kern w:val="2"/>
          <w:sz w:val="24"/>
          <w:szCs w:val="24"/>
          <w:lang w:eastAsia="ar-SA"/>
        </w:rPr>
        <w:t xml:space="preserve"> kļava ir visbiežāk sastopamā </w:t>
      </w:r>
      <w:proofErr w:type="spellStart"/>
      <w:r w:rsidRPr="00A07F29">
        <w:rPr>
          <w:rFonts w:ascii="Times New Roman" w:eastAsia="Times New Roman" w:hAnsi="Times New Roman" w:cs="Times New Roman"/>
          <w:kern w:val="2"/>
          <w:sz w:val="24"/>
          <w:szCs w:val="24"/>
          <w:lang w:eastAsia="ar-SA"/>
        </w:rPr>
        <w:t>invazīvā</w:t>
      </w:r>
      <w:proofErr w:type="spellEnd"/>
      <w:r w:rsidRPr="00A07F29">
        <w:rPr>
          <w:rFonts w:ascii="Times New Roman" w:eastAsia="Times New Roman" w:hAnsi="Times New Roman" w:cs="Times New Roman"/>
          <w:kern w:val="2"/>
          <w:sz w:val="24"/>
          <w:szCs w:val="24"/>
          <w:lang w:eastAsia="ar-SA"/>
        </w:rPr>
        <w:t xml:space="preserve"> augu suga (skat. </w:t>
      </w:r>
      <w:r w:rsidR="00B06B19" w:rsidRPr="00A07F29">
        <w:rPr>
          <w:rFonts w:ascii="Times New Roman" w:eastAsia="Times New Roman" w:hAnsi="Times New Roman" w:cs="Times New Roman"/>
          <w:kern w:val="2"/>
          <w:sz w:val="24"/>
          <w:szCs w:val="24"/>
          <w:lang w:eastAsia="ar-SA"/>
        </w:rPr>
        <w:t>5.3.1.</w:t>
      </w:r>
      <w:r w:rsidR="00A564EF">
        <w:rPr>
          <w:rFonts w:ascii="Times New Roman" w:eastAsia="Times New Roman" w:hAnsi="Times New Roman" w:cs="Times New Roman"/>
          <w:kern w:val="2"/>
          <w:sz w:val="24"/>
          <w:szCs w:val="24"/>
          <w:lang w:eastAsia="ar-SA"/>
        </w:rPr>
        <w:t> </w:t>
      </w:r>
      <w:r w:rsidR="00B06B19" w:rsidRPr="00A07F29">
        <w:rPr>
          <w:rFonts w:ascii="Times New Roman" w:eastAsia="Times New Roman" w:hAnsi="Times New Roman" w:cs="Times New Roman"/>
          <w:kern w:val="2"/>
          <w:sz w:val="24"/>
          <w:szCs w:val="24"/>
          <w:lang w:eastAsia="ar-SA"/>
        </w:rPr>
        <w:t>t</w:t>
      </w:r>
      <w:r w:rsidRPr="00A07F29">
        <w:rPr>
          <w:rFonts w:ascii="Times New Roman" w:eastAsia="Times New Roman" w:hAnsi="Times New Roman" w:cs="Times New Roman"/>
          <w:kern w:val="2"/>
          <w:sz w:val="24"/>
          <w:szCs w:val="24"/>
          <w:lang w:eastAsia="ar-SA"/>
        </w:rPr>
        <w:t>abulu), ar kuru aizaug Daugavas ielejā sastopamie 6450</w:t>
      </w:r>
      <w:r w:rsidR="00A564EF">
        <w:rPr>
          <w:rFonts w:ascii="Times New Roman" w:eastAsia="Times New Roman" w:hAnsi="Times New Roman" w:cs="Times New Roman"/>
          <w:kern w:val="2"/>
          <w:sz w:val="24"/>
          <w:szCs w:val="24"/>
          <w:lang w:eastAsia="ar-SA"/>
        </w:rPr>
        <w:t> </w:t>
      </w:r>
      <w:r w:rsidR="003C1CF3" w:rsidRPr="00A07F29">
        <w:rPr>
          <w:rFonts w:ascii="Times New Roman" w:eastAsia="Times New Roman" w:hAnsi="Times New Roman" w:cs="Times New Roman"/>
          <w:i/>
          <w:kern w:val="2"/>
          <w:sz w:val="24"/>
          <w:szCs w:val="24"/>
          <w:lang w:eastAsia="ar-SA"/>
        </w:rPr>
        <w:t>P</w:t>
      </w:r>
      <w:r w:rsidRPr="00A07F29">
        <w:rPr>
          <w:rFonts w:ascii="Times New Roman" w:eastAsia="Times New Roman" w:hAnsi="Times New Roman" w:cs="Times New Roman"/>
          <w:i/>
          <w:kern w:val="2"/>
          <w:sz w:val="24"/>
          <w:szCs w:val="24"/>
          <w:lang w:eastAsia="ar-SA"/>
        </w:rPr>
        <w:t>alieņu zālāji</w:t>
      </w:r>
      <w:r w:rsidRPr="00A07F29">
        <w:rPr>
          <w:rFonts w:ascii="Times New Roman" w:eastAsia="Times New Roman" w:hAnsi="Times New Roman" w:cs="Times New Roman"/>
          <w:kern w:val="2"/>
          <w:sz w:val="24"/>
          <w:szCs w:val="24"/>
          <w:lang w:eastAsia="ar-SA"/>
        </w:rPr>
        <w:t xml:space="preserve"> un 6430</w:t>
      </w:r>
      <w:r w:rsidR="00A564EF">
        <w:rPr>
          <w:rFonts w:ascii="Times New Roman" w:eastAsia="Times New Roman" w:hAnsi="Times New Roman" w:cs="Times New Roman"/>
          <w:kern w:val="2"/>
          <w:sz w:val="24"/>
          <w:szCs w:val="24"/>
          <w:lang w:eastAsia="ar-SA"/>
        </w:rPr>
        <w:t> </w:t>
      </w:r>
      <w:proofErr w:type="spellStart"/>
      <w:r w:rsidR="003C1CF3" w:rsidRPr="00A07F29">
        <w:rPr>
          <w:rFonts w:ascii="Times New Roman" w:eastAsia="Times New Roman" w:hAnsi="Times New Roman" w:cs="Times New Roman"/>
          <w:i/>
          <w:kern w:val="2"/>
          <w:sz w:val="24"/>
          <w:szCs w:val="24"/>
          <w:lang w:eastAsia="ar-SA"/>
        </w:rPr>
        <w:t>E</w:t>
      </w:r>
      <w:r w:rsidRPr="00A07F29">
        <w:rPr>
          <w:rFonts w:ascii="Times New Roman" w:eastAsia="Times New Roman" w:hAnsi="Times New Roman" w:cs="Times New Roman"/>
          <w:i/>
          <w:kern w:val="2"/>
          <w:sz w:val="24"/>
          <w:szCs w:val="24"/>
          <w:lang w:eastAsia="ar-SA"/>
        </w:rPr>
        <w:t>itrofas</w:t>
      </w:r>
      <w:proofErr w:type="spellEnd"/>
      <w:r w:rsidRPr="00A07F29">
        <w:rPr>
          <w:rFonts w:ascii="Times New Roman" w:eastAsia="Times New Roman" w:hAnsi="Times New Roman" w:cs="Times New Roman"/>
          <w:i/>
          <w:kern w:val="2"/>
          <w:sz w:val="24"/>
          <w:szCs w:val="24"/>
          <w:lang w:eastAsia="ar-SA"/>
        </w:rPr>
        <w:t xml:space="preserve"> augsto lakstaugu audzes</w:t>
      </w:r>
      <w:r w:rsidRPr="00A07F29">
        <w:rPr>
          <w:rFonts w:ascii="Times New Roman" w:eastAsia="Times New Roman" w:hAnsi="Times New Roman" w:cs="Times New Roman"/>
          <w:kern w:val="2"/>
          <w:sz w:val="24"/>
          <w:szCs w:val="24"/>
          <w:lang w:eastAsia="ar-SA"/>
        </w:rPr>
        <w:t xml:space="preserve">, kā arī </w:t>
      </w:r>
      <w:proofErr w:type="spellStart"/>
      <w:r w:rsidRPr="00A07F29">
        <w:rPr>
          <w:rFonts w:ascii="Times New Roman" w:eastAsia="Times New Roman" w:hAnsi="Times New Roman" w:cs="Times New Roman"/>
          <w:kern w:val="2"/>
          <w:sz w:val="24"/>
          <w:szCs w:val="24"/>
          <w:lang w:eastAsia="ar-SA"/>
        </w:rPr>
        <w:t>ruderālas</w:t>
      </w:r>
      <w:proofErr w:type="spellEnd"/>
      <w:r w:rsidRPr="00A07F29">
        <w:rPr>
          <w:rFonts w:ascii="Times New Roman" w:eastAsia="Times New Roman" w:hAnsi="Times New Roman" w:cs="Times New Roman"/>
          <w:kern w:val="2"/>
          <w:sz w:val="24"/>
          <w:szCs w:val="24"/>
          <w:lang w:eastAsia="ar-SA"/>
        </w:rPr>
        <w:t xml:space="preserve"> vietas – ceļmalas, mežmalas, arī neapsaimniekotas lauksaimniecības zemes. Lai ierobežotu tālāku sugas izplatību, pirmkārt</w:t>
      </w:r>
      <w:r w:rsidR="00A564EF">
        <w:rPr>
          <w:rFonts w:ascii="Times New Roman" w:eastAsia="Times New Roman" w:hAnsi="Times New Roman" w:cs="Times New Roman"/>
          <w:kern w:val="2"/>
          <w:sz w:val="24"/>
          <w:szCs w:val="24"/>
          <w:lang w:eastAsia="ar-SA"/>
        </w:rPr>
        <w:t>,</w:t>
      </w:r>
      <w:r w:rsidRPr="00A07F29">
        <w:rPr>
          <w:rFonts w:ascii="Times New Roman" w:eastAsia="Times New Roman" w:hAnsi="Times New Roman" w:cs="Times New Roman"/>
          <w:kern w:val="2"/>
          <w:sz w:val="24"/>
          <w:szCs w:val="24"/>
          <w:lang w:eastAsia="ar-SA"/>
        </w:rPr>
        <w:t xml:space="preserve"> nepieciešams izcirst sievišķos kokus, lai neturpinātos izplatība ar sēklām. Jāņem vērā, ka celmi izdzen daudz atvašu, tādēļ celmu atvases ieteicams apstrādāt ar ķīmiskajiem līdzekļiem. </w:t>
      </w:r>
      <w:proofErr w:type="spellStart"/>
      <w:r w:rsidRPr="00A07F29">
        <w:rPr>
          <w:rFonts w:ascii="Times New Roman" w:eastAsia="Times New Roman" w:hAnsi="Times New Roman" w:cs="Times New Roman"/>
          <w:kern w:val="2"/>
          <w:sz w:val="24"/>
          <w:szCs w:val="24"/>
          <w:lang w:eastAsia="ar-SA"/>
        </w:rPr>
        <w:t>Ošlapu</w:t>
      </w:r>
      <w:proofErr w:type="spellEnd"/>
      <w:r w:rsidRPr="00A07F29">
        <w:rPr>
          <w:rFonts w:ascii="Times New Roman" w:eastAsia="Times New Roman" w:hAnsi="Times New Roman" w:cs="Times New Roman"/>
          <w:kern w:val="2"/>
          <w:sz w:val="24"/>
          <w:szCs w:val="24"/>
          <w:lang w:eastAsia="ar-SA"/>
        </w:rPr>
        <w:t xml:space="preserve"> kļavu vislabāk apkarot, veģetācijas sezonas pirmajā pusē injicējot herbicīdus, </w:t>
      </w:r>
      <w:r w:rsidR="00B06B19" w:rsidRPr="00A07F29">
        <w:rPr>
          <w:rFonts w:ascii="Times New Roman" w:eastAsia="Times New Roman" w:hAnsi="Times New Roman" w:cs="Times New Roman"/>
          <w:kern w:val="2"/>
          <w:sz w:val="24"/>
          <w:szCs w:val="24"/>
          <w:lang w:eastAsia="ar-SA"/>
        </w:rPr>
        <w:t xml:space="preserve">un </w:t>
      </w:r>
      <w:r w:rsidRPr="00A07F29">
        <w:rPr>
          <w:rFonts w:ascii="Times New Roman" w:eastAsia="Times New Roman" w:hAnsi="Times New Roman" w:cs="Times New Roman"/>
          <w:kern w:val="2"/>
          <w:sz w:val="24"/>
          <w:szCs w:val="24"/>
          <w:lang w:eastAsia="ar-SA"/>
        </w:rPr>
        <w:t xml:space="preserve">pēc koku nokalšanas tos izcirst, vai arī izcērtot kokus, tūlīt celmus apstrādāt ar herbicīdiem, tā saīsinot ilgstošo cīņu ar atvasēm. Lietojot herbicīdus ūdens tuvumā, jāievēro īpaša piesardzība. Jaunus augus vislabāk izraut vai izrakt. </w:t>
      </w:r>
      <w:r w:rsidRPr="00A07F29">
        <w:rPr>
          <w:rFonts w:ascii="Times New Roman" w:eastAsia="Lucida Sans Unicode" w:hAnsi="Times New Roman" w:cs="Times New Roman"/>
          <w:color w:val="000000"/>
          <w:kern w:val="2"/>
          <w:sz w:val="24"/>
          <w:szCs w:val="24"/>
          <w:lang w:eastAsia="ar-SA"/>
        </w:rPr>
        <w:t>Šai un citām</w:t>
      </w:r>
      <w:r w:rsidRPr="00A07F29">
        <w:rPr>
          <w:rFonts w:ascii="Times New Roman" w:eastAsia="Lucida Sans Unicode" w:hAnsi="Times New Roman" w:cs="Times New Roman"/>
          <w:color w:val="222222"/>
          <w:kern w:val="2"/>
          <w:sz w:val="24"/>
          <w:szCs w:val="24"/>
          <w:lang w:eastAsia="ar-SA"/>
        </w:rPr>
        <w:t xml:space="preserve"> AAA teritorijā konstatētajam </w:t>
      </w:r>
      <w:proofErr w:type="spellStart"/>
      <w:r w:rsidRPr="00A07F29">
        <w:rPr>
          <w:rFonts w:ascii="Times New Roman" w:eastAsia="Lucida Sans Unicode" w:hAnsi="Times New Roman" w:cs="Times New Roman"/>
          <w:color w:val="222222"/>
          <w:kern w:val="2"/>
          <w:sz w:val="24"/>
          <w:szCs w:val="24"/>
          <w:lang w:eastAsia="ar-SA"/>
        </w:rPr>
        <w:t>invazīvajām</w:t>
      </w:r>
      <w:proofErr w:type="spellEnd"/>
      <w:r w:rsidRPr="00A07F29">
        <w:rPr>
          <w:rFonts w:ascii="Times New Roman" w:eastAsia="Lucida Sans Unicode" w:hAnsi="Times New Roman" w:cs="Times New Roman"/>
          <w:color w:val="222222"/>
          <w:kern w:val="2"/>
          <w:sz w:val="24"/>
          <w:szCs w:val="24"/>
          <w:lang w:eastAsia="ar-SA"/>
        </w:rPr>
        <w:t xml:space="preserve"> sugām, apkarošana veicama saskaņā ar </w:t>
      </w:r>
      <w:r w:rsidR="003C1CF3" w:rsidRPr="00A07F29">
        <w:rPr>
          <w:rFonts w:ascii="Times New Roman" w:eastAsia="Lucida Sans Unicode" w:hAnsi="Times New Roman" w:cs="Times New Roman"/>
          <w:color w:val="222222"/>
          <w:kern w:val="2"/>
          <w:sz w:val="24"/>
          <w:szCs w:val="24"/>
          <w:lang w:eastAsia="ar-SA"/>
        </w:rPr>
        <w:t>DAP</w:t>
      </w:r>
      <w:r w:rsidRPr="00A07F29">
        <w:rPr>
          <w:rFonts w:ascii="Times New Roman" w:eastAsia="Lucida Sans Unicode" w:hAnsi="Times New Roman" w:cs="Times New Roman"/>
          <w:color w:val="222222"/>
          <w:kern w:val="2"/>
          <w:sz w:val="24"/>
          <w:szCs w:val="24"/>
          <w:lang w:eastAsia="ar-SA"/>
        </w:rPr>
        <w:t xml:space="preserve"> mājaslapā publicētajās Latvijā konstatēto </w:t>
      </w:r>
      <w:proofErr w:type="spellStart"/>
      <w:r w:rsidRPr="00A07F29">
        <w:rPr>
          <w:rFonts w:ascii="Times New Roman" w:eastAsia="Lucida Sans Unicode" w:hAnsi="Times New Roman" w:cs="Times New Roman"/>
          <w:color w:val="222222"/>
          <w:kern w:val="2"/>
          <w:sz w:val="24"/>
          <w:szCs w:val="24"/>
          <w:lang w:eastAsia="ar-SA"/>
        </w:rPr>
        <w:t>invazīvo</w:t>
      </w:r>
      <w:proofErr w:type="spellEnd"/>
      <w:r w:rsidRPr="00A07F29">
        <w:rPr>
          <w:rFonts w:ascii="Times New Roman" w:eastAsia="Lucida Sans Unicode" w:hAnsi="Times New Roman" w:cs="Times New Roman"/>
          <w:color w:val="222222"/>
          <w:kern w:val="2"/>
          <w:sz w:val="24"/>
          <w:szCs w:val="24"/>
          <w:lang w:eastAsia="ar-SA"/>
        </w:rPr>
        <w:t xml:space="preserve"> svešzemju sugu faktu lapās iekļautajām rekomendācijām</w:t>
      </w:r>
      <w:r w:rsidR="008D1439">
        <w:rPr>
          <w:rStyle w:val="FootnoteReference"/>
          <w:rFonts w:ascii="Times New Roman" w:eastAsia="Lucida Sans Unicode" w:hAnsi="Times New Roman" w:cs="Times New Roman"/>
          <w:color w:val="222222"/>
          <w:kern w:val="2"/>
          <w:sz w:val="24"/>
          <w:szCs w:val="24"/>
          <w:lang w:eastAsia="ar-SA"/>
        </w:rPr>
        <w:footnoteReference w:id="55"/>
      </w:r>
      <w:r w:rsidRPr="00A07F29">
        <w:rPr>
          <w:rFonts w:ascii="Times New Roman" w:eastAsia="Lucida Sans Unicode" w:hAnsi="Times New Roman" w:cs="Times New Roman"/>
          <w:color w:val="222222"/>
          <w:kern w:val="2"/>
          <w:sz w:val="24"/>
          <w:szCs w:val="24"/>
          <w:lang w:eastAsia="ar-SA"/>
        </w:rPr>
        <w:t>.</w:t>
      </w:r>
    </w:p>
    <w:p w14:paraId="7C4701F4" w14:textId="4ED8A4FD" w:rsidR="00A21E83" w:rsidRPr="00A07F29" w:rsidRDefault="00A21E83" w:rsidP="00E666B6">
      <w:pPr>
        <w:widowControl w:val="0"/>
        <w:suppressAutoHyphens/>
        <w:spacing w:after="120" w:line="240" w:lineRule="auto"/>
        <w:ind w:firstLine="851"/>
        <w:jc w:val="both"/>
        <w:rPr>
          <w:rFonts w:ascii="Times New Roman" w:eastAsia="Lucida Sans Unicode" w:hAnsi="Times New Roman" w:cs="Times New Roman"/>
          <w:b/>
          <w:bCs/>
          <w:kern w:val="2"/>
          <w:sz w:val="24"/>
          <w:szCs w:val="24"/>
          <w:lang w:eastAsia="ar-SA"/>
        </w:rPr>
      </w:pPr>
      <w:r w:rsidRPr="009A7521">
        <w:rPr>
          <w:rFonts w:ascii="Times New Roman" w:eastAsia="Lucida Sans Unicode" w:hAnsi="Times New Roman" w:cs="Times New Roman"/>
          <w:b/>
          <w:bCs/>
          <w:kern w:val="2"/>
          <w:sz w:val="24"/>
          <w:szCs w:val="24"/>
          <w:lang w:eastAsia="ar-SA"/>
        </w:rPr>
        <w:t>Sarkanais plūškoks</w:t>
      </w:r>
      <w:r w:rsidRPr="00A07F29">
        <w:rPr>
          <w:rFonts w:ascii="Times New Roman" w:eastAsia="Lucida Sans Unicode" w:hAnsi="Times New Roman" w:cs="Times New Roman"/>
          <w:b/>
          <w:bCs/>
          <w:kern w:val="2"/>
          <w:sz w:val="24"/>
          <w:szCs w:val="24"/>
          <w:lang w:eastAsia="ar-SA"/>
        </w:rPr>
        <w:t xml:space="preserve"> </w:t>
      </w:r>
      <w:proofErr w:type="spellStart"/>
      <w:r w:rsidRPr="00A07F29">
        <w:rPr>
          <w:rFonts w:ascii="Times New Roman" w:eastAsia="Lucida Sans Unicode" w:hAnsi="Times New Roman" w:cs="Times New Roman"/>
          <w:b/>
          <w:bCs/>
          <w:i/>
          <w:iCs/>
          <w:kern w:val="2"/>
          <w:sz w:val="24"/>
          <w:szCs w:val="24"/>
          <w:lang w:eastAsia="ar-SA"/>
        </w:rPr>
        <w:t>Sambucus</w:t>
      </w:r>
      <w:proofErr w:type="spellEnd"/>
      <w:r w:rsidRPr="00A07F29">
        <w:rPr>
          <w:rFonts w:ascii="Times New Roman" w:eastAsia="Lucida Sans Unicode" w:hAnsi="Times New Roman" w:cs="Times New Roman"/>
          <w:b/>
          <w:bCs/>
          <w:i/>
          <w:iCs/>
          <w:kern w:val="2"/>
          <w:sz w:val="24"/>
          <w:szCs w:val="24"/>
          <w:lang w:eastAsia="ar-SA"/>
        </w:rPr>
        <w:t xml:space="preserve"> </w:t>
      </w:r>
      <w:proofErr w:type="spellStart"/>
      <w:r w:rsidRPr="00A07F29">
        <w:rPr>
          <w:rFonts w:ascii="Times New Roman" w:eastAsia="Lucida Sans Unicode" w:hAnsi="Times New Roman" w:cs="Times New Roman"/>
          <w:b/>
          <w:bCs/>
          <w:i/>
          <w:iCs/>
          <w:kern w:val="2"/>
          <w:sz w:val="24"/>
          <w:szCs w:val="24"/>
          <w:lang w:eastAsia="ar-SA"/>
        </w:rPr>
        <w:t>racemosa</w:t>
      </w:r>
      <w:proofErr w:type="spellEnd"/>
      <w:r w:rsidRPr="00A07F29">
        <w:rPr>
          <w:rFonts w:ascii="Times New Roman" w:eastAsia="Lucida Sans Unicode" w:hAnsi="Times New Roman" w:cs="Times New Roman"/>
          <w:kern w:val="2"/>
          <w:sz w:val="24"/>
          <w:szCs w:val="24"/>
          <w:lang w:eastAsia="ar-SA"/>
        </w:rPr>
        <w:t xml:space="preserve"> </w:t>
      </w:r>
      <w:r w:rsidR="003C1CF3" w:rsidRPr="00A07F29">
        <w:rPr>
          <w:rFonts w:ascii="Times New Roman" w:eastAsia="Lucida Sans Unicode" w:hAnsi="Times New Roman" w:cs="Times New Roman"/>
          <w:kern w:val="2"/>
          <w:sz w:val="24"/>
          <w:szCs w:val="24"/>
          <w:lang w:eastAsia="ar-SA"/>
        </w:rPr>
        <w:t>AAA</w:t>
      </w:r>
      <w:r w:rsidRPr="00A07F29">
        <w:rPr>
          <w:rFonts w:ascii="Times New Roman" w:eastAsia="Lucida Sans Unicode" w:hAnsi="Times New Roman" w:cs="Times New Roman"/>
          <w:kern w:val="2"/>
          <w:sz w:val="24"/>
          <w:szCs w:val="24"/>
          <w:lang w:eastAsia="ar-SA"/>
        </w:rPr>
        <w:t xml:space="preserve"> </w:t>
      </w:r>
      <w:r w:rsidR="00B06B19" w:rsidRPr="00A07F29">
        <w:rPr>
          <w:rFonts w:ascii="Times New Roman" w:eastAsia="Lucida Sans Unicode" w:hAnsi="Times New Roman" w:cs="Times New Roman"/>
          <w:kern w:val="2"/>
          <w:sz w:val="24"/>
          <w:szCs w:val="24"/>
          <w:lang w:eastAsia="ar-SA"/>
        </w:rPr>
        <w:t xml:space="preserve">“Augšdaugava” </w:t>
      </w:r>
      <w:r w:rsidRPr="00A07F29">
        <w:rPr>
          <w:rFonts w:ascii="Times New Roman" w:eastAsia="Lucida Sans Unicode" w:hAnsi="Times New Roman" w:cs="Times New Roman"/>
          <w:kern w:val="2"/>
          <w:sz w:val="24"/>
          <w:szCs w:val="24"/>
          <w:lang w:eastAsia="ar-SA"/>
        </w:rPr>
        <w:t xml:space="preserve">sastopams izklaidus </w:t>
      </w:r>
      <w:proofErr w:type="spellStart"/>
      <w:r w:rsidRPr="00A07F29">
        <w:rPr>
          <w:rFonts w:ascii="Times New Roman" w:eastAsia="Lucida Sans Unicode" w:hAnsi="Times New Roman" w:cs="Times New Roman"/>
          <w:kern w:val="2"/>
          <w:sz w:val="24"/>
          <w:szCs w:val="24"/>
          <w:lang w:eastAsia="ar-SA"/>
        </w:rPr>
        <w:t>punktveida</w:t>
      </w:r>
      <w:proofErr w:type="spellEnd"/>
      <w:r w:rsidRPr="00A07F29">
        <w:rPr>
          <w:rFonts w:ascii="Times New Roman" w:eastAsia="Lucida Sans Unicode" w:hAnsi="Times New Roman" w:cs="Times New Roman"/>
          <w:kern w:val="2"/>
          <w:sz w:val="24"/>
          <w:szCs w:val="24"/>
          <w:lang w:eastAsia="ar-SA"/>
        </w:rPr>
        <w:t xml:space="preserve"> atradņu veidā visā teritorijā </w:t>
      </w:r>
      <w:proofErr w:type="spellStart"/>
      <w:r w:rsidRPr="00A07F29">
        <w:rPr>
          <w:rFonts w:ascii="Times New Roman" w:eastAsia="Lucida Sans Unicode" w:hAnsi="Times New Roman" w:cs="Times New Roman"/>
          <w:kern w:val="2"/>
          <w:sz w:val="24"/>
          <w:szCs w:val="24"/>
          <w:lang w:eastAsia="ar-SA"/>
        </w:rPr>
        <w:t>sausieņu</w:t>
      </w:r>
      <w:proofErr w:type="spellEnd"/>
      <w:r w:rsidRPr="00A07F29">
        <w:rPr>
          <w:rFonts w:ascii="Times New Roman" w:eastAsia="Lucida Sans Unicode" w:hAnsi="Times New Roman" w:cs="Times New Roman"/>
          <w:kern w:val="2"/>
          <w:sz w:val="24"/>
          <w:szCs w:val="24"/>
          <w:lang w:eastAsia="ar-SA"/>
        </w:rPr>
        <w:t xml:space="preserve"> tipa mežos, izcirtumos arī ceļmalās un </w:t>
      </w:r>
      <w:proofErr w:type="spellStart"/>
      <w:r w:rsidRPr="00A07F29">
        <w:rPr>
          <w:rFonts w:ascii="Times New Roman" w:eastAsia="Lucida Sans Unicode" w:hAnsi="Times New Roman" w:cs="Times New Roman"/>
          <w:kern w:val="2"/>
          <w:sz w:val="24"/>
          <w:szCs w:val="24"/>
          <w:lang w:eastAsia="ar-SA"/>
        </w:rPr>
        <w:t>ruderālās</w:t>
      </w:r>
      <w:proofErr w:type="spellEnd"/>
      <w:r w:rsidRPr="00A07F29">
        <w:rPr>
          <w:rFonts w:ascii="Times New Roman" w:eastAsia="Lucida Sans Unicode" w:hAnsi="Times New Roman" w:cs="Times New Roman"/>
          <w:kern w:val="2"/>
          <w:sz w:val="24"/>
          <w:szCs w:val="24"/>
          <w:lang w:eastAsia="ar-SA"/>
        </w:rPr>
        <w:t xml:space="preserve"> vietās. Teritorijā zināmas aptuveni 200 sarkanā plūškoka atradnes, kas pašlaik tīraudzes neveido. No </w:t>
      </w:r>
      <w:r w:rsidR="7E942AB7" w:rsidRPr="00A07F29">
        <w:rPr>
          <w:rFonts w:ascii="Times New Roman" w:eastAsia="Lucida Sans Unicode" w:hAnsi="Times New Roman" w:cs="Times New Roman"/>
          <w:kern w:val="2"/>
          <w:sz w:val="24"/>
          <w:szCs w:val="24"/>
          <w:lang w:eastAsia="ar-SA"/>
        </w:rPr>
        <w:t>ES</w:t>
      </w:r>
      <w:r w:rsidRPr="00A07F29">
        <w:rPr>
          <w:rFonts w:ascii="Times New Roman" w:eastAsia="Lucida Sans Unicode" w:hAnsi="Times New Roman" w:cs="Times New Roman"/>
          <w:kern w:val="2"/>
          <w:sz w:val="24"/>
          <w:szCs w:val="24"/>
          <w:lang w:eastAsia="ar-SA"/>
        </w:rPr>
        <w:t xml:space="preserve"> aizsargājamiem biotopiem sarkanais plūškoks sastopams – 9010*</w:t>
      </w:r>
      <w:r w:rsidR="00D45901">
        <w:rPr>
          <w:rFonts w:ascii="Times New Roman" w:eastAsia="Lucida Sans Unicode" w:hAnsi="Times New Roman" w:cs="Times New Roman"/>
          <w:kern w:val="2"/>
          <w:sz w:val="24"/>
          <w:szCs w:val="24"/>
          <w:lang w:eastAsia="ar-SA"/>
        </w:rPr>
        <w:t> </w:t>
      </w:r>
      <w:r w:rsidR="003C1CF3" w:rsidRPr="00A07F29">
        <w:rPr>
          <w:rFonts w:ascii="Times New Roman" w:eastAsia="Lucida Sans Unicode" w:hAnsi="Times New Roman" w:cs="Times New Roman"/>
          <w:i/>
          <w:iCs/>
          <w:kern w:val="2"/>
          <w:sz w:val="24"/>
          <w:szCs w:val="24"/>
          <w:lang w:eastAsia="ar-SA"/>
        </w:rPr>
        <w:t>V</w:t>
      </w:r>
      <w:r w:rsidRPr="00A07F29">
        <w:rPr>
          <w:rFonts w:ascii="Times New Roman" w:eastAsia="Lucida Sans Unicode" w:hAnsi="Times New Roman" w:cs="Times New Roman"/>
          <w:i/>
          <w:iCs/>
          <w:kern w:val="2"/>
          <w:sz w:val="24"/>
          <w:szCs w:val="24"/>
          <w:lang w:eastAsia="ar-SA"/>
        </w:rPr>
        <w:t xml:space="preserve">ecos vai dabiskos </w:t>
      </w:r>
      <w:proofErr w:type="spellStart"/>
      <w:r w:rsidRPr="00A07F29">
        <w:rPr>
          <w:rFonts w:ascii="Times New Roman" w:eastAsia="Lucida Sans Unicode" w:hAnsi="Times New Roman" w:cs="Times New Roman"/>
          <w:i/>
          <w:iCs/>
          <w:kern w:val="2"/>
          <w:sz w:val="24"/>
          <w:szCs w:val="24"/>
          <w:lang w:eastAsia="ar-SA"/>
        </w:rPr>
        <w:t>boreālos</w:t>
      </w:r>
      <w:proofErr w:type="spellEnd"/>
      <w:r w:rsidRPr="00A07F29">
        <w:rPr>
          <w:rFonts w:ascii="Times New Roman" w:eastAsia="Lucida Sans Unicode" w:hAnsi="Times New Roman" w:cs="Times New Roman"/>
          <w:i/>
          <w:iCs/>
          <w:kern w:val="2"/>
          <w:sz w:val="24"/>
          <w:szCs w:val="24"/>
          <w:lang w:eastAsia="ar-SA"/>
        </w:rPr>
        <w:t xml:space="preserve"> mežos</w:t>
      </w:r>
      <w:r w:rsidRPr="00A07F29">
        <w:rPr>
          <w:rFonts w:ascii="Times New Roman" w:eastAsia="Lucida Sans Unicode" w:hAnsi="Times New Roman" w:cs="Times New Roman"/>
          <w:kern w:val="2"/>
          <w:sz w:val="24"/>
          <w:szCs w:val="24"/>
          <w:lang w:eastAsia="ar-SA"/>
        </w:rPr>
        <w:t xml:space="preserve">. Tāpat kā citur Latvijā, arī Augšdaugavā sarkanais plūškoks izsenis izmantots, kā dekoratīvs krūms </w:t>
      </w:r>
      <w:r w:rsidR="00B06B19" w:rsidRPr="00A07F29">
        <w:rPr>
          <w:rFonts w:ascii="Times New Roman" w:eastAsia="Lucida Sans Unicode" w:hAnsi="Times New Roman" w:cs="Times New Roman"/>
          <w:kern w:val="2"/>
          <w:sz w:val="24"/>
          <w:szCs w:val="24"/>
          <w:lang w:eastAsia="ar-SA"/>
        </w:rPr>
        <w:t xml:space="preserve">piemājas </w:t>
      </w:r>
      <w:r w:rsidRPr="00A07F29">
        <w:rPr>
          <w:rFonts w:ascii="Times New Roman" w:eastAsia="Lucida Sans Unicode" w:hAnsi="Times New Roman" w:cs="Times New Roman"/>
          <w:kern w:val="2"/>
          <w:sz w:val="24"/>
          <w:szCs w:val="24"/>
          <w:lang w:eastAsia="ar-SA"/>
        </w:rPr>
        <w:t>apstādījumos. Sugas izplatību</w:t>
      </w:r>
      <w:r w:rsidR="00EF09AC">
        <w:rPr>
          <w:rFonts w:ascii="Times New Roman" w:eastAsia="Lucida Sans Unicode" w:hAnsi="Times New Roman" w:cs="Times New Roman"/>
          <w:kern w:val="2"/>
          <w:sz w:val="24"/>
          <w:szCs w:val="24"/>
          <w:lang w:eastAsia="ar-SA"/>
        </w:rPr>
        <w:t>,</w:t>
      </w:r>
      <w:r w:rsidRPr="00A07F29">
        <w:rPr>
          <w:rFonts w:ascii="Times New Roman" w:eastAsia="Lucida Sans Unicode" w:hAnsi="Times New Roman" w:cs="Times New Roman"/>
          <w:kern w:val="2"/>
          <w:sz w:val="24"/>
          <w:szCs w:val="24"/>
          <w:lang w:eastAsia="ar-SA"/>
        </w:rPr>
        <w:t xml:space="preserve"> galvenokārt</w:t>
      </w:r>
      <w:r w:rsidR="00EF09AC">
        <w:rPr>
          <w:rFonts w:ascii="Times New Roman" w:eastAsia="Lucida Sans Unicode" w:hAnsi="Times New Roman" w:cs="Times New Roman"/>
          <w:kern w:val="2"/>
          <w:sz w:val="24"/>
          <w:szCs w:val="24"/>
          <w:lang w:eastAsia="ar-SA"/>
        </w:rPr>
        <w:t>,</w:t>
      </w:r>
      <w:r w:rsidRPr="00A07F29">
        <w:rPr>
          <w:rFonts w:ascii="Times New Roman" w:eastAsia="Lucida Sans Unicode" w:hAnsi="Times New Roman" w:cs="Times New Roman"/>
          <w:kern w:val="2"/>
          <w:sz w:val="24"/>
          <w:szCs w:val="24"/>
          <w:lang w:eastAsia="ar-SA"/>
        </w:rPr>
        <w:t xml:space="preserve"> veicina putni, labprāt ēdot to augļus. Teritorijā nepieciešams sākt sugas apkarošanu, jo ar laiku tā spēj veidot blīvas krūmu audzes, kas samazina gaismas intensitāti lakstaugiem, un tie izzūd. Iesakāmā kontroles metode ir sarkanā plūškoka griešana un mehāniska smalcināšana. Par visefektīvāko cīņas metodi uzskatām</w:t>
      </w:r>
      <w:r w:rsidR="009A7521">
        <w:rPr>
          <w:rFonts w:ascii="Times New Roman" w:eastAsia="Lucida Sans Unicode" w:hAnsi="Times New Roman" w:cs="Times New Roman"/>
          <w:kern w:val="2"/>
          <w:sz w:val="24"/>
          <w:szCs w:val="24"/>
          <w:lang w:eastAsia="ar-SA"/>
        </w:rPr>
        <w:t>a</w:t>
      </w:r>
      <w:r w:rsidRPr="00A07F29">
        <w:rPr>
          <w:rFonts w:ascii="Times New Roman" w:eastAsia="Lucida Sans Unicode" w:hAnsi="Times New Roman" w:cs="Times New Roman"/>
          <w:kern w:val="2"/>
          <w:sz w:val="24"/>
          <w:szCs w:val="24"/>
          <w:lang w:eastAsia="ar-SA"/>
        </w:rPr>
        <w:t xml:space="preserve"> griešana apvienojumā ar herbicīdiem.</w:t>
      </w:r>
    </w:p>
    <w:p w14:paraId="4B22D74A" w14:textId="40D5F8D9" w:rsidR="00A21E83" w:rsidRPr="00A07F29" w:rsidRDefault="00A21E83" w:rsidP="00E666B6">
      <w:pPr>
        <w:widowControl w:val="0"/>
        <w:suppressAutoHyphens/>
        <w:spacing w:after="120" w:line="240" w:lineRule="auto"/>
        <w:ind w:firstLine="851"/>
        <w:jc w:val="both"/>
        <w:rPr>
          <w:rFonts w:ascii="Times New Roman" w:eastAsia="Lucida Sans Unicode" w:hAnsi="Times New Roman" w:cs="Times New Roman"/>
          <w:b/>
          <w:bCs/>
          <w:kern w:val="2"/>
          <w:sz w:val="24"/>
          <w:szCs w:val="24"/>
          <w:lang w:eastAsia="ar-SA"/>
        </w:rPr>
      </w:pPr>
      <w:r w:rsidRPr="00A07F29">
        <w:rPr>
          <w:rFonts w:ascii="Times New Roman" w:eastAsia="Lucida Sans Unicode" w:hAnsi="Times New Roman" w:cs="Times New Roman"/>
          <w:b/>
          <w:bCs/>
          <w:kern w:val="2"/>
          <w:sz w:val="24"/>
          <w:szCs w:val="24"/>
          <w:lang w:eastAsia="ar-SA"/>
        </w:rPr>
        <w:t xml:space="preserve">Blīvā skābene </w:t>
      </w:r>
      <w:proofErr w:type="spellStart"/>
      <w:r w:rsidRPr="00A07F29">
        <w:rPr>
          <w:rFonts w:ascii="Times New Roman" w:eastAsia="Lucida Sans Unicode" w:hAnsi="Times New Roman" w:cs="Times New Roman"/>
          <w:b/>
          <w:bCs/>
          <w:i/>
          <w:iCs/>
          <w:kern w:val="2"/>
          <w:sz w:val="24"/>
          <w:szCs w:val="24"/>
          <w:lang w:eastAsia="ar-SA"/>
        </w:rPr>
        <w:t>Rumex</w:t>
      </w:r>
      <w:proofErr w:type="spellEnd"/>
      <w:r w:rsidRPr="00A07F29">
        <w:rPr>
          <w:rFonts w:ascii="Times New Roman" w:eastAsia="Lucida Sans Unicode" w:hAnsi="Times New Roman" w:cs="Times New Roman"/>
          <w:b/>
          <w:bCs/>
          <w:i/>
          <w:iCs/>
          <w:kern w:val="2"/>
          <w:sz w:val="24"/>
          <w:szCs w:val="24"/>
          <w:lang w:eastAsia="ar-SA"/>
        </w:rPr>
        <w:t xml:space="preserve"> </w:t>
      </w:r>
      <w:proofErr w:type="spellStart"/>
      <w:r w:rsidRPr="00A07F29">
        <w:rPr>
          <w:rFonts w:ascii="Times New Roman" w:eastAsia="Lucida Sans Unicode" w:hAnsi="Times New Roman" w:cs="Times New Roman"/>
          <w:b/>
          <w:bCs/>
          <w:i/>
          <w:iCs/>
          <w:kern w:val="2"/>
          <w:sz w:val="24"/>
          <w:szCs w:val="24"/>
          <w:lang w:eastAsia="ar-SA"/>
        </w:rPr>
        <w:t>confertus</w:t>
      </w:r>
      <w:proofErr w:type="spellEnd"/>
      <w:r w:rsidRPr="00A07F29">
        <w:rPr>
          <w:rFonts w:ascii="Times New Roman" w:eastAsia="Lucida Sans Unicode" w:hAnsi="Times New Roman" w:cs="Times New Roman"/>
          <w:b/>
          <w:bCs/>
          <w:i/>
          <w:iCs/>
          <w:kern w:val="2"/>
          <w:sz w:val="24"/>
          <w:szCs w:val="24"/>
          <w:lang w:eastAsia="ar-SA"/>
        </w:rPr>
        <w:t xml:space="preserve"> </w:t>
      </w:r>
      <w:r w:rsidRPr="00A07F29">
        <w:rPr>
          <w:rFonts w:ascii="Times New Roman" w:eastAsia="Lucida Sans Unicode" w:hAnsi="Times New Roman" w:cs="Times New Roman"/>
          <w:kern w:val="2"/>
          <w:sz w:val="24"/>
          <w:szCs w:val="24"/>
          <w:lang w:eastAsia="ar-SA"/>
        </w:rPr>
        <w:t>ir daudzgadīgs, 60</w:t>
      </w:r>
      <w:r w:rsidR="009A7521">
        <w:rPr>
          <w:rFonts w:ascii="Times New Roman" w:eastAsia="Lucida Sans Unicode" w:hAnsi="Times New Roman" w:cs="Times New Roman"/>
          <w:kern w:val="2"/>
          <w:sz w:val="24"/>
          <w:szCs w:val="24"/>
          <w:lang w:eastAsia="ar-SA"/>
        </w:rPr>
        <w:t> – </w:t>
      </w:r>
      <w:r w:rsidRPr="00A07F29">
        <w:rPr>
          <w:rFonts w:ascii="Times New Roman" w:eastAsia="Lucida Sans Unicode" w:hAnsi="Times New Roman" w:cs="Times New Roman"/>
          <w:kern w:val="2"/>
          <w:sz w:val="24"/>
          <w:szCs w:val="24"/>
          <w:lang w:eastAsia="ar-SA"/>
        </w:rPr>
        <w:t>150</w:t>
      </w:r>
      <w:r w:rsidR="009A7521">
        <w:rPr>
          <w:rFonts w:ascii="Times New Roman" w:eastAsia="Lucida Sans Unicode" w:hAnsi="Times New Roman" w:cs="Times New Roman"/>
          <w:kern w:val="2"/>
          <w:sz w:val="24"/>
          <w:szCs w:val="24"/>
          <w:lang w:eastAsia="ar-SA"/>
        </w:rPr>
        <w:t> </w:t>
      </w:r>
      <w:r w:rsidRPr="00A07F29">
        <w:rPr>
          <w:rFonts w:ascii="Times New Roman" w:eastAsia="Lucida Sans Unicode" w:hAnsi="Times New Roman" w:cs="Times New Roman"/>
          <w:kern w:val="2"/>
          <w:sz w:val="24"/>
          <w:szCs w:val="24"/>
          <w:lang w:eastAsia="ar-SA"/>
        </w:rPr>
        <w:t xml:space="preserve">cm augsts, lielu ceru veidojošs augs ar resniem, zarainiem sakneņiem. Dabiskais blīvās skābenes izplatības areāls ir Eiropas </w:t>
      </w:r>
      <w:r w:rsidR="00623F41" w:rsidRPr="00623F41">
        <w:rPr>
          <w:rFonts w:ascii="Times New Roman" w:eastAsia="Lucida Sans Unicode" w:hAnsi="Times New Roman" w:cs="Times New Roman"/>
          <w:kern w:val="2"/>
          <w:sz w:val="24"/>
          <w:szCs w:val="24"/>
          <w:lang w:eastAsia="ar-SA"/>
        </w:rPr>
        <w:t>DA</w:t>
      </w:r>
      <w:r w:rsidRPr="00A07F29">
        <w:rPr>
          <w:rFonts w:ascii="Times New Roman" w:eastAsia="Lucida Sans Unicode" w:hAnsi="Times New Roman" w:cs="Times New Roman"/>
          <w:kern w:val="2"/>
          <w:sz w:val="24"/>
          <w:szCs w:val="24"/>
          <w:lang w:eastAsia="ar-SA"/>
        </w:rPr>
        <w:t xml:space="preserve"> un </w:t>
      </w:r>
      <w:proofErr w:type="spellStart"/>
      <w:r w:rsidRPr="00A07F29">
        <w:rPr>
          <w:rFonts w:ascii="Times New Roman" w:eastAsia="Lucida Sans Unicode" w:hAnsi="Times New Roman" w:cs="Times New Roman"/>
          <w:kern w:val="2"/>
          <w:sz w:val="24"/>
          <w:szCs w:val="24"/>
          <w:lang w:eastAsia="ar-SA"/>
        </w:rPr>
        <w:t>Rietumāzija</w:t>
      </w:r>
      <w:proofErr w:type="spellEnd"/>
      <w:r w:rsidRPr="00A07F29">
        <w:rPr>
          <w:rFonts w:ascii="Times New Roman" w:eastAsia="Lucida Sans Unicode" w:hAnsi="Times New Roman" w:cs="Times New Roman"/>
          <w:kern w:val="2"/>
          <w:sz w:val="24"/>
          <w:szCs w:val="24"/>
          <w:lang w:eastAsia="ar-SA"/>
        </w:rPr>
        <w:t>. Eiropā suga nokļuvusi nejauši, attīstoties transporta koridoriem, pārvadājot</w:t>
      </w:r>
      <w:r w:rsidR="00554CD9">
        <w:rPr>
          <w:rFonts w:ascii="Times New Roman" w:eastAsia="Lucida Sans Unicode" w:hAnsi="Times New Roman" w:cs="Times New Roman"/>
          <w:kern w:val="2"/>
          <w:sz w:val="24"/>
          <w:szCs w:val="24"/>
          <w:lang w:eastAsia="ar-SA"/>
        </w:rPr>
        <w:t>,</w:t>
      </w:r>
      <w:r w:rsidRPr="00A07F29">
        <w:rPr>
          <w:rFonts w:ascii="Times New Roman" w:eastAsia="Lucida Sans Unicode" w:hAnsi="Times New Roman" w:cs="Times New Roman"/>
          <w:kern w:val="2"/>
          <w:sz w:val="24"/>
          <w:szCs w:val="24"/>
          <w:lang w:eastAsia="ar-SA"/>
        </w:rPr>
        <w:t xml:space="preserve"> galvenokārt</w:t>
      </w:r>
      <w:r w:rsidR="00554CD9">
        <w:rPr>
          <w:rFonts w:ascii="Times New Roman" w:eastAsia="Lucida Sans Unicode" w:hAnsi="Times New Roman" w:cs="Times New Roman"/>
          <w:kern w:val="2"/>
          <w:sz w:val="24"/>
          <w:szCs w:val="24"/>
          <w:lang w:eastAsia="ar-SA"/>
        </w:rPr>
        <w:t>,</w:t>
      </w:r>
      <w:r w:rsidRPr="00A07F29">
        <w:rPr>
          <w:rFonts w:ascii="Times New Roman" w:eastAsia="Lucida Sans Unicode" w:hAnsi="Times New Roman" w:cs="Times New Roman"/>
          <w:kern w:val="2"/>
          <w:sz w:val="24"/>
          <w:szCs w:val="24"/>
          <w:lang w:eastAsia="ar-SA"/>
        </w:rPr>
        <w:t xml:space="preserve"> graudus un lopbarību. Blīvā skābene strauji izplatās visā Latvijas teritorijā, tai skaitā </w:t>
      </w:r>
      <w:r w:rsidR="201F4973" w:rsidRPr="00A07F29">
        <w:rPr>
          <w:rFonts w:ascii="Times New Roman" w:eastAsia="Lucida Sans Unicode" w:hAnsi="Times New Roman" w:cs="Times New Roman"/>
          <w:kern w:val="2"/>
          <w:sz w:val="24"/>
          <w:szCs w:val="24"/>
          <w:lang w:eastAsia="ar-SA"/>
        </w:rPr>
        <w:t>AAA</w:t>
      </w:r>
      <w:r w:rsidRPr="00A07F29">
        <w:rPr>
          <w:rFonts w:ascii="Times New Roman" w:eastAsia="Lucida Sans Unicode" w:hAnsi="Times New Roman" w:cs="Times New Roman"/>
          <w:kern w:val="2"/>
          <w:sz w:val="24"/>
          <w:szCs w:val="24"/>
          <w:lang w:eastAsia="ar-SA"/>
        </w:rPr>
        <w:t xml:space="preserve"> </w:t>
      </w:r>
      <w:r w:rsidR="00CB09CE" w:rsidRPr="00A07F29">
        <w:rPr>
          <w:rFonts w:ascii="Times New Roman" w:eastAsia="Lucida Sans Unicode" w:hAnsi="Times New Roman" w:cs="Times New Roman"/>
          <w:kern w:val="2"/>
          <w:sz w:val="24"/>
          <w:szCs w:val="24"/>
          <w:lang w:eastAsia="ar-SA"/>
        </w:rPr>
        <w:t>“</w:t>
      </w:r>
      <w:r w:rsidRPr="00A07F29">
        <w:rPr>
          <w:rFonts w:ascii="Times New Roman" w:eastAsia="Lucida Sans Unicode" w:hAnsi="Times New Roman" w:cs="Times New Roman"/>
          <w:kern w:val="2"/>
          <w:sz w:val="24"/>
          <w:szCs w:val="24"/>
          <w:lang w:eastAsia="ar-SA"/>
        </w:rPr>
        <w:t>Augšdaugava</w:t>
      </w:r>
      <w:r w:rsidR="00CB09CE" w:rsidRPr="00A07F29">
        <w:rPr>
          <w:rFonts w:ascii="Times New Roman" w:eastAsia="Lucida Sans Unicode" w:hAnsi="Times New Roman" w:cs="Times New Roman"/>
          <w:kern w:val="2"/>
          <w:sz w:val="24"/>
          <w:szCs w:val="24"/>
          <w:lang w:eastAsia="ar-SA"/>
        </w:rPr>
        <w:t>”</w:t>
      </w:r>
      <w:r w:rsidRPr="00A07F29">
        <w:rPr>
          <w:rFonts w:ascii="Times New Roman" w:eastAsia="Lucida Sans Unicode" w:hAnsi="Times New Roman" w:cs="Times New Roman"/>
          <w:kern w:val="2"/>
          <w:sz w:val="24"/>
          <w:szCs w:val="24"/>
          <w:lang w:eastAsia="ar-SA"/>
        </w:rPr>
        <w:t xml:space="preserve">, kurā pašlaik apzināmas ap 170 atradnēm. Suga spējīga pielāgoties dažādiem ekoloģiskiem apstākļiem, jo sastopama no </w:t>
      </w:r>
      <w:proofErr w:type="spellStart"/>
      <w:r w:rsidRPr="00A07F29">
        <w:rPr>
          <w:rFonts w:ascii="Times New Roman" w:eastAsia="Lucida Sans Unicode" w:hAnsi="Times New Roman" w:cs="Times New Roman"/>
          <w:kern w:val="2"/>
          <w:sz w:val="24"/>
          <w:szCs w:val="24"/>
          <w:lang w:eastAsia="ar-SA"/>
        </w:rPr>
        <w:t>ruderālām</w:t>
      </w:r>
      <w:proofErr w:type="spellEnd"/>
      <w:r w:rsidRPr="00A07F29">
        <w:rPr>
          <w:rFonts w:ascii="Times New Roman" w:eastAsia="Lucida Sans Unicode" w:hAnsi="Times New Roman" w:cs="Times New Roman"/>
          <w:kern w:val="2"/>
          <w:sz w:val="24"/>
          <w:szCs w:val="24"/>
          <w:lang w:eastAsia="ar-SA"/>
        </w:rPr>
        <w:t xml:space="preserve"> vietām (t.sk. neapstrādātās lauksaimniecības zemēs) līdz vērtīgiem zālāju biotopiem.</w:t>
      </w:r>
      <w:r w:rsidRPr="00A07F29">
        <w:rPr>
          <w:rFonts w:ascii="Times New Roman" w:eastAsia="Lucida Sans Unicode" w:hAnsi="Times New Roman" w:cs="Times New Roman"/>
          <w:b/>
          <w:bCs/>
          <w:kern w:val="2"/>
          <w:sz w:val="24"/>
          <w:szCs w:val="24"/>
          <w:lang w:eastAsia="ar-SA"/>
        </w:rPr>
        <w:t xml:space="preserve"> </w:t>
      </w:r>
      <w:r w:rsidRPr="00A07F29">
        <w:rPr>
          <w:rFonts w:ascii="Times New Roman" w:eastAsia="Lucida Sans Unicode" w:hAnsi="Times New Roman" w:cs="Times New Roman"/>
          <w:kern w:val="2"/>
          <w:sz w:val="24"/>
          <w:szCs w:val="24"/>
          <w:lang w:eastAsia="ar-SA"/>
        </w:rPr>
        <w:t>AAA blīvā skābene sastopama ES aizsargājamos biotopos – 6270*</w:t>
      </w:r>
      <w:r w:rsidR="00892B1E">
        <w:rPr>
          <w:rFonts w:ascii="Times New Roman" w:eastAsia="Lucida Sans Unicode" w:hAnsi="Times New Roman" w:cs="Times New Roman"/>
          <w:kern w:val="2"/>
          <w:sz w:val="24"/>
          <w:szCs w:val="24"/>
          <w:lang w:eastAsia="ar-SA"/>
        </w:rPr>
        <w:t> </w:t>
      </w:r>
      <w:r w:rsidR="003C1CF3" w:rsidRPr="00A07F29">
        <w:rPr>
          <w:rFonts w:ascii="Times New Roman" w:eastAsia="Lucida Sans Unicode" w:hAnsi="Times New Roman" w:cs="Times New Roman"/>
          <w:i/>
          <w:iCs/>
          <w:kern w:val="2"/>
          <w:sz w:val="24"/>
          <w:szCs w:val="24"/>
          <w:lang w:eastAsia="ar-SA"/>
        </w:rPr>
        <w:t xml:space="preserve">Sugām </w:t>
      </w:r>
      <w:r w:rsidRPr="00A07F29">
        <w:rPr>
          <w:rFonts w:ascii="Times New Roman" w:eastAsia="Lucida Sans Unicode" w:hAnsi="Times New Roman" w:cs="Times New Roman"/>
          <w:i/>
          <w:iCs/>
          <w:kern w:val="2"/>
          <w:sz w:val="24"/>
          <w:szCs w:val="24"/>
          <w:lang w:eastAsia="ar-SA"/>
        </w:rPr>
        <w:t>bagātas ganības un ganītas pļavas</w:t>
      </w:r>
      <w:r w:rsidR="00892B1E">
        <w:rPr>
          <w:rFonts w:ascii="Times New Roman" w:eastAsia="Lucida Sans Unicode" w:hAnsi="Times New Roman" w:cs="Times New Roman"/>
          <w:kern w:val="2"/>
          <w:sz w:val="24"/>
          <w:szCs w:val="24"/>
          <w:lang w:eastAsia="ar-SA"/>
        </w:rPr>
        <w:t>,</w:t>
      </w:r>
      <w:r w:rsidRPr="00A07F29">
        <w:rPr>
          <w:rFonts w:ascii="Times New Roman" w:eastAsia="Lucida Sans Unicode" w:hAnsi="Times New Roman" w:cs="Times New Roman"/>
          <w:kern w:val="2"/>
          <w:sz w:val="24"/>
          <w:szCs w:val="24"/>
          <w:lang w:eastAsia="ar-SA"/>
        </w:rPr>
        <w:t xml:space="preserve"> 6430</w:t>
      </w:r>
      <w:r w:rsidR="00892B1E">
        <w:rPr>
          <w:rFonts w:ascii="Times New Roman" w:eastAsia="Lucida Sans Unicode" w:hAnsi="Times New Roman" w:cs="Times New Roman"/>
          <w:kern w:val="2"/>
          <w:sz w:val="24"/>
          <w:szCs w:val="24"/>
          <w:lang w:eastAsia="ar-SA"/>
        </w:rPr>
        <w:t> </w:t>
      </w:r>
      <w:proofErr w:type="spellStart"/>
      <w:r w:rsidRPr="00A07F29">
        <w:rPr>
          <w:rFonts w:ascii="Times New Roman" w:eastAsia="Lucida Sans Unicode" w:hAnsi="Times New Roman" w:cs="Times New Roman"/>
          <w:i/>
          <w:iCs/>
          <w:kern w:val="2"/>
          <w:sz w:val="24"/>
          <w:szCs w:val="24"/>
          <w:lang w:eastAsia="ar-SA"/>
        </w:rPr>
        <w:t>Eitrofas</w:t>
      </w:r>
      <w:proofErr w:type="spellEnd"/>
      <w:r w:rsidRPr="00A07F29">
        <w:rPr>
          <w:rFonts w:ascii="Times New Roman" w:eastAsia="Lucida Sans Unicode" w:hAnsi="Times New Roman" w:cs="Times New Roman"/>
          <w:i/>
          <w:iCs/>
          <w:kern w:val="2"/>
          <w:sz w:val="24"/>
          <w:szCs w:val="24"/>
          <w:lang w:eastAsia="ar-SA"/>
        </w:rPr>
        <w:t xml:space="preserve"> augsto lakstaugu audzes</w:t>
      </w:r>
      <w:r w:rsidR="00892B1E">
        <w:rPr>
          <w:rFonts w:ascii="Times New Roman" w:eastAsia="Lucida Sans Unicode" w:hAnsi="Times New Roman" w:cs="Times New Roman"/>
          <w:kern w:val="2"/>
          <w:sz w:val="24"/>
          <w:szCs w:val="24"/>
          <w:lang w:eastAsia="ar-SA"/>
        </w:rPr>
        <w:t>,</w:t>
      </w:r>
      <w:r w:rsidRPr="00A07F29">
        <w:rPr>
          <w:rFonts w:ascii="Times New Roman" w:eastAsia="Lucida Sans Unicode" w:hAnsi="Times New Roman" w:cs="Times New Roman"/>
          <w:kern w:val="2"/>
          <w:sz w:val="24"/>
          <w:szCs w:val="24"/>
          <w:lang w:eastAsia="ar-SA"/>
        </w:rPr>
        <w:t xml:space="preserve"> 6450</w:t>
      </w:r>
      <w:r w:rsidR="00892B1E">
        <w:rPr>
          <w:rFonts w:ascii="Times New Roman" w:eastAsia="Lucida Sans Unicode" w:hAnsi="Times New Roman" w:cs="Times New Roman"/>
          <w:kern w:val="2"/>
          <w:sz w:val="24"/>
          <w:szCs w:val="24"/>
          <w:lang w:eastAsia="ar-SA"/>
        </w:rPr>
        <w:t> </w:t>
      </w:r>
      <w:r w:rsidR="003C1CF3" w:rsidRPr="00A07F29">
        <w:rPr>
          <w:rFonts w:ascii="Times New Roman" w:eastAsia="Lucida Sans Unicode" w:hAnsi="Times New Roman" w:cs="Times New Roman"/>
          <w:i/>
          <w:iCs/>
          <w:kern w:val="2"/>
          <w:sz w:val="24"/>
          <w:szCs w:val="24"/>
          <w:lang w:eastAsia="ar-SA"/>
        </w:rPr>
        <w:t xml:space="preserve">Palieņu </w:t>
      </w:r>
      <w:r w:rsidRPr="00A07F29">
        <w:rPr>
          <w:rFonts w:ascii="Times New Roman" w:eastAsia="Lucida Sans Unicode" w:hAnsi="Times New Roman" w:cs="Times New Roman"/>
          <w:i/>
          <w:iCs/>
          <w:kern w:val="2"/>
          <w:sz w:val="24"/>
          <w:szCs w:val="24"/>
          <w:lang w:eastAsia="ar-SA"/>
        </w:rPr>
        <w:t>zālāji</w:t>
      </w:r>
      <w:r w:rsidRPr="00A07F29">
        <w:rPr>
          <w:rFonts w:ascii="Times New Roman" w:eastAsia="Lucida Sans Unicode" w:hAnsi="Times New Roman" w:cs="Times New Roman"/>
          <w:kern w:val="2"/>
          <w:sz w:val="24"/>
          <w:szCs w:val="24"/>
          <w:lang w:eastAsia="ar-SA"/>
        </w:rPr>
        <w:t>. Blīvā skābene izplatās ar sēklām, kas nogatavojas jūlijā un augustā, kā arī vairojas veģetatīvi. Bieži aug ceros, reizēm lielās platībās izveido blīvas audzes un nomāc vietējās sugas, jo īpaši zemos pļavu augus. Sugu dabiskos zālājos apkaro pļaujot katru gadu vairākas reizes veģetācijas sezonā, neļaujot nogatavoties sēklām. Lokāli ar blīvo skābeni iespējams cīnīties, izrokot un iznīcinot augus, lauksaimniecības zemēs – aparot audzes un pēc tam savācot sakneņus.</w:t>
      </w:r>
    </w:p>
    <w:p w14:paraId="12AA1038" w14:textId="16F3B60B" w:rsidR="00A21E83" w:rsidRPr="00A07F29" w:rsidRDefault="00A21E83" w:rsidP="00E666B6">
      <w:pPr>
        <w:widowControl w:val="0"/>
        <w:suppressAutoHyphens/>
        <w:spacing w:after="120" w:line="240" w:lineRule="auto"/>
        <w:ind w:firstLine="851"/>
        <w:jc w:val="both"/>
        <w:rPr>
          <w:rFonts w:ascii="Times New Roman" w:eastAsia="Lucida Sans Unicode" w:hAnsi="Times New Roman" w:cs="Times New Roman"/>
          <w:b/>
          <w:kern w:val="2"/>
          <w:sz w:val="24"/>
          <w:szCs w:val="24"/>
          <w:lang w:eastAsia="ar-SA"/>
        </w:rPr>
      </w:pPr>
      <w:proofErr w:type="spellStart"/>
      <w:r w:rsidRPr="00A07F29">
        <w:rPr>
          <w:rFonts w:ascii="Times New Roman" w:eastAsia="Lucida Sans Unicode" w:hAnsi="Times New Roman" w:cs="Times New Roman"/>
          <w:b/>
          <w:kern w:val="2"/>
          <w:sz w:val="24"/>
          <w:szCs w:val="24"/>
          <w:lang w:eastAsia="ar-SA"/>
        </w:rPr>
        <w:t>Sīkziedu</w:t>
      </w:r>
      <w:proofErr w:type="spellEnd"/>
      <w:r w:rsidRPr="00A07F29">
        <w:rPr>
          <w:rFonts w:ascii="Times New Roman" w:eastAsia="Lucida Sans Unicode" w:hAnsi="Times New Roman" w:cs="Times New Roman"/>
          <w:b/>
          <w:kern w:val="2"/>
          <w:sz w:val="24"/>
          <w:szCs w:val="24"/>
          <w:lang w:eastAsia="ar-SA"/>
        </w:rPr>
        <w:t xml:space="preserve"> sprigane </w:t>
      </w:r>
      <w:proofErr w:type="spellStart"/>
      <w:r w:rsidRPr="00A07F29">
        <w:rPr>
          <w:rFonts w:ascii="Times New Roman" w:eastAsia="Lucida Sans Unicode" w:hAnsi="Times New Roman" w:cs="Times New Roman"/>
          <w:b/>
          <w:i/>
          <w:kern w:val="2"/>
          <w:sz w:val="24"/>
          <w:szCs w:val="24"/>
          <w:lang w:eastAsia="ar-SA"/>
        </w:rPr>
        <w:t>Impatiens</w:t>
      </w:r>
      <w:proofErr w:type="spellEnd"/>
      <w:r w:rsidRPr="00A07F29">
        <w:rPr>
          <w:rFonts w:ascii="Times New Roman" w:eastAsia="Lucida Sans Unicode" w:hAnsi="Times New Roman" w:cs="Times New Roman"/>
          <w:b/>
          <w:kern w:val="2"/>
          <w:sz w:val="24"/>
          <w:szCs w:val="24"/>
          <w:lang w:eastAsia="ar-SA"/>
        </w:rPr>
        <w:t xml:space="preserve"> </w:t>
      </w:r>
      <w:proofErr w:type="spellStart"/>
      <w:r w:rsidRPr="00A07F29">
        <w:rPr>
          <w:rFonts w:ascii="Times New Roman" w:eastAsia="Lucida Sans Unicode" w:hAnsi="Times New Roman" w:cs="Times New Roman"/>
          <w:b/>
          <w:i/>
          <w:kern w:val="2"/>
          <w:sz w:val="24"/>
          <w:szCs w:val="24"/>
          <w:lang w:eastAsia="ar-SA"/>
        </w:rPr>
        <w:t>parviflora</w:t>
      </w:r>
      <w:proofErr w:type="spellEnd"/>
      <w:r w:rsidRPr="00A07F29">
        <w:rPr>
          <w:rFonts w:ascii="Times New Roman" w:eastAsia="Lucida Sans Unicode" w:hAnsi="Times New Roman" w:cs="Times New Roman"/>
          <w:color w:val="000000"/>
          <w:kern w:val="2"/>
          <w:sz w:val="24"/>
          <w:szCs w:val="24"/>
          <w:lang w:eastAsia="ar-SA"/>
        </w:rPr>
        <w:t xml:space="preserve"> līdz šim AAA “Augšdaugava” konstatēta</w:t>
      </w:r>
      <w:r w:rsidR="00F471D2">
        <w:rPr>
          <w:rFonts w:ascii="Times New Roman" w:eastAsia="Lucida Sans Unicode" w:hAnsi="Times New Roman" w:cs="Times New Roman"/>
          <w:color w:val="000000"/>
          <w:kern w:val="2"/>
          <w:sz w:val="24"/>
          <w:szCs w:val="24"/>
          <w:lang w:eastAsia="ar-SA"/>
        </w:rPr>
        <w:t>,</w:t>
      </w:r>
      <w:r w:rsidRPr="00A07F29">
        <w:rPr>
          <w:rFonts w:ascii="Times New Roman" w:eastAsia="Lucida Sans Unicode" w:hAnsi="Times New Roman" w:cs="Times New Roman"/>
          <w:color w:val="000000"/>
          <w:kern w:val="2"/>
          <w:sz w:val="24"/>
          <w:szCs w:val="24"/>
          <w:lang w:eastAsia="ar-SA"/>
        </w:rPr>
        <w:t xml:space="preserve"> galvenokārt</w:t>
      </w:r>
      <w:r w:rsidR="00F471D2">
        <w:rPr>
          <w:rFonts w:ascii="Times New Roman" w:eastAsia="Lucida Sans Unicode" w:hAnsi="Times New Roman" w:cs="Times New Roman"/>
          <w:color w:val="000000"/>
          <w:kern w:val="2"/>
          <w:sz w:val="24"/>
          <w:szCs w:val="24"/>
          <w:lang w:eastAsia="ar-SA"/>
        </w:rPr>
        <w:t>,</w:t>
      </w:r>
      <w:r w:rsidRPr="00A07F29">
        <w:rPr>
          <w:rFonts w:ascii="Times New Roman" w:eastAsia="Lucida Sans Unicode" w:hAnsi="Times New Roman" w:cs="Times New Roman"/>
          <w:color w:val="000000"/>
          <w:kern w:val="2"/>
          <w:sz w:val="24"/>
          <w:szCs w:val="24"/>
          <w:lang w:eastAsia="ar-SA"/>
        </w:rPr>
        <w:t xml:space="preserve"> mežos, ceļmalās un </w:t>
      </w:r>
      <w:proofErr w:type="spellStart"/>
      <w:r w:rsidRPr="00A07F29">
        <w:rPr>
          <w:rFonts w:ascii="Times New Roman" w:eastAsia="Lucida Sans Unicode" w:hAnsi="Times New Roman" w:cs="Times New Roman"/>
          <w:color w:val="000000"/>
          <w:kern w:val="2"/>
          <w:sz w:val="24"/>
          <w:szCs w:val="24"/>
          <w:lang w:eastAsia="ar-SA"/>
        </w:rPr>
        <w:t>ruderālās</w:t>
      </w:r>
      <w:proofErr w:type="spellEnd"/>
      <w:r w:rsidRPr="00A07F29">
        <w:rPr>
          <w:rFonts w:ascii="Times New Roman" w:eastAsia="Lucida Sans Unicode" w:hAnsi="Times New Roman" w:cs="Times New Roman"/>
          <w:color w:val="000000"/>
          <w:kern w:val="2"/>
          <w:sz w:val="24"/>
          <w:szCs w:val="24"/>
          <w:lang w:eastAsia="ar-SA"/>
        </w:rPr>
        <w:t xml:space="preserve"> vietās.</w:t>
      </w:r>
      <w:r w:rsidRPr="00A07F29">
        <w:rPr>
          <w:rFonts w:ascii="Times New Roman" w:eastAsia="Lucida Sans Unicode" w:hAnsi="Times New Roman" w:cs="Times New Roman"/>
          <w:kern w:val="2"/>
          <w:sz w:val="24"/>
          <w:szCs w:val="24"/>
          <w:lang w:eastAsia="ar-SA"/>
        </w:rPr>
        <w:t xml:space="preserve"> </w:t>
      </w:r>
      <w:r w:rsidRPr="00A07F29">
        <w:rPr>
          <w:rFonts w:ascii="Times New Roman" w:eastAsia="Lucida Sans Unicode" w:hAnsi="Times New Roman" w:cs="Times New Roman"/>
          <w:color w:val="000000"/>
          <w:kern w:val="2"/>
          <w:sz w:val="24"/>
          <w:szCs w:val="24"/>
          <w:lang w:eastAsia="ar-SA"/>
        </w:rPr>
        <w:t>Pietiekoši efektīvs līdzeklis</w:t>
      </w:r>
      <w:r w:rsidR="00CB09CE" w:rsidRPr="00A07F29">
        <w:rPr>
          <w:rFonts w:ascii="Times New Roman" w:eastAsia="Lucida Sans Unicode" w:hAnsi="Times New Roman" w:cs="Times New Roman"/>
          <w:color w:val="000000"/>
          <w:kern w:val="2"/>
          <w:sz w:val="24"/>
          <w:szCs w:val="24"/>
          <w:lang w:eastAsia="ar-SA"/>
        </w:rPr>
        <w:t xml:space="preserve"> izplatības ierobežošanai</w:t>
      </w:r>
      <w:r w:rsidRPr="00A07F29">
        <w:rPr>
          <w:rFonts w:ascii="Times New Roman" w:eastAsia="Lucida Sans Unicode" w:hAnsi="Times New Roman" w:cs="Times New Roman"/>
          <w:color w:val="000000"/>
          <w:kern w:val="2"/>
          <w:sz w:val="24"/>
          <w:szCs w:val="24"/>
          <w:lang w:eastAsia="ar-SA"/>
        </w:rPr>
        <w:t xml:space="preserve"> ir bieža augu nopļaušana, neļaujot nobriest un nogatavoties sēklām. Augi ir viengadīgi un to sēklu saglabāšanās augsnē ir īslaicīga, tāpēc šī ierobežošanas metode dod labus rezultātus. Mežos šādas metodes piemērošana ir diezgan sarežģīta. </w:t>
      </w:r>
      <w:proofErr w:type="spellStart"/>
      <w:r w:rsidRPr="00A07F29">
        <w:rPr>
          <w:rFonts w:ascii="Times New Roman" w:eastAsia="Lucida Sans Unicode" w:hAnsi="Times New Roman" w:cs="Times New Roman"/>
          <w:color w:val="000000"/>
          <w:kern w:val="2"/>
          <w:sz w:val="24"/>
          <w:szCs w:val="24"/>
          <w:lang w:eastAsia="ar-SA"/>
        </w:rPr>
        <w:t>Sīkziedu</w:t>
      </w:r>
      <w:proofErr w:type="spellEnd"/>
      <w:r w:rsidRPr="00A07F29">
        <w:rPr>
          <w:rFonts w:ascii="Times New Roman" w:eastAsia="Lucida Sans Unicode" w:hAnsi="Times New Roman" w:cs="Times New Roman"/>
          <w:color w:val="000000"/>
          <w:kern w:val="2"/>
          <w:sz w:val="24"/>
          <w:szCs w:val="24"/>
          <w:lang w:eastAsia="ar-SA"/>
        </w:rPr>
        <w:t xml:space="preserve"> spriganes var arī izraut. Tam piemērotākais laiks – augu ziedēšanas sākums (apmēram no jūnija vidus līdz jūlija sākumam). </w:t>
      </w:r>
      <w:proofErr w:type="spellStart"/>
      <w:r w:rsidRPr="00A07F29">
        <w:rPr>
          <w:rFonts w:ascii="Times New Roman" w:eastAsia="Lucida Sans Unicode" w:hAnsi="Times New Roman" w:cs="Times New Roman"/>
          <w:color w:val="000000"/>
          <w:kern w:val="2"/>
          <w:sz w:val="24"/>
          <w:szCs w:val="24"/>
          <w:lang w:eastAsia="ar-SA"/>
        </w:rPr>
        <w:t>Sīkziedu</w:t>
      </w:r>
      <w:proofErr w:type="spellEnd"/>
      <w:r w:rsidRPr="00A07F29">
        <w:rPr>
          <w:rFonts w:ascii="Times New Roman" w:eastAsia="Lucida Sans Unicode" w:hAnsi="Times New Roman" w:cs="Times New Roman"/>
          <w:color w:val="000000"/>
          <w:kern w:val="2"/>
          <w:sz w:val="24"/>
          <w:szCs w:val="24"/>
          <w:lang w:eastAsia="ar-SA"/>
        </w:rPr>
        <w:t xml:space="preserve"> spriganes ir jutīgas pret herbicīdiem, taču to izmantošana mežos vairumā gadījumu nav iespējama, </w:t>
      </w:r>
      <w:r w:rsidR="00CB09CE" w:rsidRPr="00A07F29">
        <w:rPr>
          <w:rFonts w:ascii="Times New Roman" w:eastAsia="Lucida Sans Unicode" w:hAnsi="Times New Roman" w:cs="Times New Roman"/>
          <w:color w:val="000000"/>
          <w:kern w:val="2"/>
          <w:sz w:val="24"/>
          <w:szCs w:val="24"/>
          <w:lang w:eastAsia="ar-SA"/>
        </w:rPr>
        <w:t xml:space="preserve">jo </w:t>
      </w:r>
      <w:r w:rsidRPr="00A07F29">
        <w:rPr>
          <w:rFonts w:ascii="Times New Roman" w:eastAsia="Lucida Sans Unicode" w:hAnsi="Times New Roman" w:cs="Times New Roman"/>
          <w:color w:val="000000"/>
          <w:kern w:val="2"/>
          <w:sz w:val="24"/>
          <w:szCs w:val="24"/>
          <w:lang w:eastAsia="ar-SA"/>
        </w:rPr>
        <w:t>tie kaitē arī pārējai veģetācijai.</w:t>
      </w:r>
    </w:p>
    <w:p w14:paraId="213D021F" w14:textId="087EE58E" w:rsidR="00A21E83" w:rsidRPr="00A07F29" w:rsidRDefault="00A21E83" w:rsidP="00E666B6">
      <w:pPr>
        <w:widowControl w:val="0"/>
        <w:suppressAutoHyphens/>
        <w:spacing w:after="120" w:line="240" w:lineRule="auto"/>
        <w:ind w:firstLine="851"/>
        <w:jc w:val="both"/>
        <w:rPr>
          <w:rFonts w:ascii="Times New Roman" w:eastAsia="Lucida Sans Unicode" w:hAnsi="Times New Roman" w:cs="Times New Roman"/>
          <w:kern w:val="2"/>
          <w:sz w:val="24"/>
          <w:szCs w:val="24"/>
          <w:lang w:eastAsia="ar-SA"/>
        </w:rPr>
      </w:pPr>
      <w:r w:rsidRPr="00A07F29">
        <w:rPr>
          <w:rFonts w:ascii="Times New Roman" w:eastAsia="Lucida Sans Unicode" w:hAnsi="Times New Roman" w:cs="Times New Roman"/>
          <w:b/>
          <w:kern w:val="2"/>
          <w:sz w:val="24"/>
          <w:szCs w:val="24"/>
          <w:lang w:eastAsia="ar-SA"/>
        </w:rPr>
        <w:t xml:space="preserve">Kanādas </w:t>
      </w:r>
      <w:proofErr w:type="spellStart"/>
      <w:r w:rsidRPr="00A07F29">
        <w:rPr>
          <w:rFonts w:ascii="Times New Roman" w:eastAsia="Lucida Sans Unicode" w:hAnsi="Times New Roman" w:cs="Times New Roman"/>
          <w:b/>
          <w:kern w:val="2"/>
          <w:sz w:val="24"/>
          <w:szCs w:val="24"/>
          <w:lang w:eastAsia="ar-SA"/>
        </w:rPr>
        <w:t>zeltslotiņa</w:t>
      </w:r>
      <w:proofErr w:type="spellEnd"/>
      <w:r w:rsidRPr="00A07F29">
        <w:rPr>
          <w:rFonts w:ascii="Times New Roman" w:eastAsia="Lucida Sans Unicode" w:hAnsi="Times New Roman" w:cs="Times New Roman"/>
          <w:b/>
          <w:kern w:val="2"/>
          <w:sz w:val="24"/>
          <w:szCs w:val="24"/>
          <w:lang w:eastAsia="ar-SA"/>
        </w:rPr>
        <w:t xml:space="preserve"> </w:t>
      </w:r>
      <w:proofErr w:type="spellStart"/>
      <w:r w:rsidRPr="00A07F29">
        <w:rPr>
          <w:rFonts w:ascii="Times New Roman" w:eastAsia="Lucida Sans Unicode" w:hAnsi="Times New Roman" w:cs="Times New Roman"/>
          <w:b/>
          <w:i/>
          <w:kern w:val="2"/>
          <w:sz w:val="24"/>
          <w:szCs w:val="24"/>
          <w:lang w:eastAsia="ar-SA"/>
        </w:rPr>
        <w:t>Solidago</w:t>
      </w:r>
      <w:proofErr w:type="spellEnd"/>
      <w:r w:rsidRPr="00A07F29">
        <w:rPr>
          <w:rFonts w:ascii="Times New Roman" w:eastAsia="Lucida Sans Unicode" w:hAnsi="Times New Roman" w:cs="Times New Roman"/>
          <w:b/>
          <w:i/>
          <w:kern w:val="2"/>
          <w:sz w:val="24"/>
          <w:szCs w:val="24"/>
          <w:lang w:eastAsia="ar-SA"/>
        </w:rPr>
        <w:t xml:space="preserve"> </w:t>
      </w:r>
      <w:proofErr w:type="spellStart"/>
      <w:r w:rsidRPr="00A07F29">
        <w:rPr>
          <w:rFonts w:ascii="Times New Roman" w:eastAsia="Lucida Sans Unicode" w:hAnsi="Times New Roman" w:cs="Times New Roman"/>
          <w:b/>
          <w:i/>
          <w:kern w:val="2"/>
          <w:sz w:val="24"/>
          <w:szCs w:val="24"/>
          <w:lang w:eastAsia="ar-SA"/>
        </w:rPr>
        <w:t>canadensis</w:t>
      </w:r>
      <w:proofErr w:type="spellEnd"/>
      <w:r w:rsidRPr="00A07F29">
        <w:rPr>
          <w:rFonts w:ascii="Times New Roman" w:eastAsia="Lucida Sans Unicode" w:hAnsi="Times New Roman" w:cs="Times New Roman"/>
          <w:kern w:val="2"/>
          <w:sz w:val="24"/>
          <w:szCs w:val="24"/>
          <w:lang w:eastAsia="ar-SA"/>
        </w:rPr>
        <w:t xml:space="preserve"> AAA </w:t>
      </w:r>
      <w:r w:rsidR="00CB09CE" w:rsidRPr="00A07F29">
        <w:rPr>
          <w:rFonts w:ascii="Times New Roman" w:eastAsia="Lucida Sans Unicode" w:hAnsi="Times New Roman" w:cs="Times New Roman"/>
          <w:kern w:val="2"/>
          <w:sz w:val="24"/>
          <w:szCs w:val="24"/>
          <w:lang w:eastAsia="ar-SA"/>
        </w:rPr>
        <w:t>“</w:t>
      </w:r>
      <w:r w:rsidRPr="00A07F29">
        <w:rPr>
          <w:rFonts w:ascii="Times New Roman" w:eastAsia="Lucida Sans Unicode" w:hAnsi="Times New Roman" w:cs="Times New Roman"/>
          <w:kern w:val="2"/>
          <w:sz w:val="24"/>
          <w:szCs w:val="24"/>
          <w:lang w:eastAsia="ar-SA"/>
        </w:rPr>
        <w:t>Augšdaugava</w:t>
      </w:r>
      <w:r w:rsidR="00CB09CE" w:rsidRPr="00A07F29">
        <w:rPr>
          <w:rFonts w:ascii="Times New Roman" w:eastAsia="Lucida Sans Unicode" w:hAnsi="Times New Roman" w:cs="Times New Roman"/>
          <w:kern w:val="2"/>
          <w:sz w:val="24"/>
          <w:szCs w:val="24"/>
          <w:lang w:eastAsia="ar-SA"/>
        </w:rPr>
        <w:t>”</w:t>
      </w:r>
      <w:r w:rsidRPr="00A07F29">
        <w:rPr>
          <w:rFonts w:ascii="Times New Roman" w:eastAsia="Lucida Sans Unicode" w:hAnsi="Times New Roman" w:cs="Times New Roman"/>
          <w:kern w:val="2"/>
          <w:sz w:val="24"/>
          <w:szCs w:val="24"/>
          <w:lang w:eastAsia="ar-SA"/>
        </w:rPr>
        <w:t xml:space="preserve"> sastopama</w:t>
      </w:r>
      <w:r w:rsidR="00D46EC1">
        <w:rPr>
          <w:rFonts w:ascii="Times New Roman" w:eastAsia="Lucida Sans Unicode" w:hAnsi="Times New Roman" w:cs="Times New Roman"/>
          <w:kern w:val="2"/>
          <w:sz w:val="24"/>
          <w:szCs w:val="24"/>
          <w:lang w:eastAsia="ar-SA"/>
        </w:rPr>
        <w:t>,</w:t>
      </w:r>
      <w:r w:rsidRPr="00A07F29">
        <w:rPr>
          <w:rFonts w:ascii="Times New Roman" w:eastAsia="Lucida Sans Unicode" w:hAnsi="Times New Roman" w:cs="Times New Roman"/>
          <w:kern w:val="2"/>
          <w:sz w:val="24"/>
          <w:szCs w:val="24"/>
          <w:lang w:eastAsia="ar-SA"/>
        </w:rPr>
        <w:t xml:space="preserve"> galvenokārt</w:t>
      </w:r>
      <w:r w:rsidR="00D46EC1">
        <w:rPr>
          <w:rFonts w:ascii="Times New Roman" w:eastAsia="Lucida Sans Unicode" w:hAnsi="Times New Roman" w:cs="Times New Roman"/>
          <w:kern w:val="2"/>
          <w:sz w:val="24"/>
          <w:szCs w:val="24"/>
          <w:lang w:eastAsia="ar-SA"/>
        </w:rPr>
        <w:t>,</w:t>
      </w:r>
      <w:r w:rsidRPr="00A07F29">
        <w:rPr>
          <w:rFonts w:ascii="Times New Roman" w:eastAsia="Lucida Sans Unicode" w:hAnsi="Times New Roman" w:cs="Times New Roman"/>
          <w:kern w:val="2"/>
          <w:sz w:val="24"/>
          <w:szCs w:val="24"/>
          <w:lang w:eastAsia="ar-SA"/>
        </w:rPr>
        <w:t xml:space="preserve"> ceļmalās, neapsaimniekotās lauksaimniecības zemēs un zālājos. Sugai konstatētas </w:t>
      </w:r>
      <w:r w:rsidRPr="00A07F29">
        <w:rPr>
          <w:rFonts w:ascii="Times New Roman" w:eastAsia="Lucida Sans Unicode" w:hAnsi="Times New Roman" w:cs="Times New Roman"/>
          <w:kern w:val="2"/>
          <w:sz w:val="24"/>
          <w:szCs w:val="24"/>
          <w:lang w:eastAsia="ar-SA"/>
        </w:rPr>
        <w:lastRenderedPageBreak/>
        <w:t xml:space="preserve">aptuveni 80 atradnes, kas var būt gan </w:t>
      </w:r>
      <w:proofErr w:type="spellStart"/>
      <w:r w:rsidRPr="00A07F29">
        <w:rPr>
          <w:rFonts w:ascii="Times New Roman" w:eastAsia="Lucida Sans Unicode" w:hAnsi="Times New Roman" w:cs="Times New Roman"/>
          <w:kern w:val="2"/>
          <w:sz w:val="24"/>
          <w:szCs w:val="24"/>
          <w:lang w:eastAsia="ar-SA"/>
        </w:rPr>
        <w:t>monodominantas</w:t>
      </w:r>
      <w:proofErr w:type="spellEnd"/>
      <w:r w:rsidRPr="00A07F29">
        <w:rPr>
          <w:rFonts w:ascii="Times New Roman" w:eastAsia="Lucida Sans Unicode" w:hAnsi="Times New Roman" w:cs="Times New Roman"/>
          <w:kern w:val="2"/>
          <w:sz w:val="24"/>
          <w:szCs w:val="24"/>
          <w:lang w:eastAsia="ar-SA"/>
        </w:rPr>
        <w:t xml:space="preserve"> audzes neapsaimniekotās lauksaimniecības zemēs, piemēram, Adamovā, gan </w:t>
      </w:r>
      <w:proofErr w:type="spellStart"/>
      <w:r w:rsidRPr="00A07F29">
        <w:rPr>
          <w:rFonts w:ascii="Times New Roman" w:eastAsia="Lucida Sans Unicode" w:hAnsi="Times New Roman" w:cs="Times New Roman"/>
          <w:kern w:val="2"/>
          <w:sz w:val="24"/>
          <w:szCs w:val="24"/>
          <w:lang w:eastAsia="ar-SA"/>
        </w:rPr>
        <w:t>punktveida</w:t>
      </w:r>
      <w:proofErr w:type="spellEnd"/>
      <w:r w:rsidRPr="00A07F29">
        <w:rPr>
          <w:rFonts w:ascii="Times New Roman" w:eastAsia="Lucida Sans Unicode" w:hAnsi="Times New Roman" w:cs="Times New Roman"/>
          <w:kern w:val="2"/>
          <w:sz w:val="24"/>
          <w:szCs w:val="24"/>
          <w:lang w:eastAsia="ar-SA"/>
        </w:rPr>
        <w:t xml:space="preserve"> atradnes bioloģiski vērtīgos zālājos. Lai novērstu tālāku izplatīšanos, ziedkopas ziedēšanas laikā nekavējoties jānogriež un jāiznīcina. Izveidojušās audzes jāpļauj, lai suga tālāk neizplatītos ar sēklām. Virszemes daļas nogriešana tūlītēji neiznīcina augu, bet tas kļūst vājāks 2</w:t>
      </w:r>
      <w:r w:rsidR="00C42F3C">
        <w:rPr>
          <w:rFonts w:ascii="Times New Roman" w:eastAsia="Lucida Sans Unicode" w:hAnsi="Times New Roman" w:cs="Times New Roman"/>
          <w:kern w:val="2"/>
          <w:sz w:val="24"/>
          <w:szCs w:val="24"/>
          <w:lang w:eastAsia="ar-SA"/>
        </w:rPr>
        <w:t> – </w:t>
      </w:r>
      <w:r w:rsidRPr="00A07F29">
        <w:rPr>
          <w:rFonts w:ascii="Times New Roman" w:eastAsia="Lucida Sans Unicode" w:hAnsi="Times New Roman" w:cs="Times New Roman"/>
          <w:kern w:val="2"/>
          <w:sz w:val="24"/>
          <w:szCs w:val="24"/>
          <w:lang w:eastAsia="ar-SA"/>
        </w:rPr>
        <w:t>3</w:t>
      </w:r>
      <w:r w:rsidR="00C42F3C">
        <w:rPr>
          <w:rFonts w:ascii="Times New Roman" w:eastAsia="Lucida Sans Unicode" w:hAnsi="Times New Roman" w:cs="Times New Roman"/>
          <w:kern w:val="2"/>
          <w:sz w:val="24"/>
          <w:szCs w:val="24"/>
          <w:lang w:eastAsia="ar-SA"/>
        </w:rPr>
        <w:t xml:space="preserve"> </w:t>
      </w:r>
      <w:r w:rsidRPr="00A07F29">
        <w:rPr>
          <w:rFonts w:ascii="Times New Roman" w:eastAsia="Lucida Sans Unicode" w:hAnsi="Times New Roman" w:cs="Times New Roman"/>
          <w:kern w:val="2"/>
          <w:sz w:val="24"/>
          <w:szCs w:val="24"/>
          <w:lang w:eastAsia="ar-SA"/>
        </w:rPr>
        <w:t xml:space="preserve">gadu laikā. Turpinot regulāru pļaušanu, augs iznīkst. Nelielās platībās, kur sastopami atsevišķi eksemplāri, pieļaujama to izrakšana. Pēc izrakšanas vēlama augsnes virskārtas izlīdzināšana, lai netiktu traucēta potenciāla turpmākā apsaimniekošana. Efektīvai nevēlamo augu likvidēšanai, turpmākajos gados vēlama bieža pļaušana vismaz konkrētajā platībā, kur konstatētas Kanādas </w:t>
      </w:r>
      <w:proofErr w:type="spellStart"/>
      <w:r w:rsidRPr="00A07F29">
        <w:rPr>
          <w:rFonts w:ascii="Times New Roman" w:eastAsia="Lucida Sans Unicode" w:hAnsi="Times New Roman" w:cs="Times New Roman"/>
          <w:kern w:val="2"/>
          <w:sz w:val="24"/>
          <w:szCs w:val="24"/>
          <w:lang w:eastAsia="ar-SA"/>
        </w:rPr>
        <w:t>zeltslotiņas</w:t>
      </w:r>
      <w:proofErr w:type="spellEnd"/>
      <w:r w:rsidRPr="00A07F29">
        <w:rPr>
          <w:rFonts w:ascii="Times New Roman" w:eastAsia="Lucida Sans Unicode" w:hAnsi="Times New Roman" w:cs="Times New Roman"/>
          <w:kern w:val="2"/>
          <w:sz w:val="24"/>
          <w:szCs w:val="24"/>
          <w:lang w:eastAsia="ar-SA"/>
        </w:rPr>
        <w:t>, pirms ziedkopu veidošanās. Vēlama augu atlieku iznīcināšana.</w:t>
      </w:r>
    </w:p>
    <w:p w14:paraId="3C872791" w14:textId="1985D362" w:rsidR="00A21E83" w:rsidRPr="00A07F29" w:rsidRDefault="00A21E83" w:rsidP="00E666B6">
      <w:pPr>
        <w:widowControl w:val="0"/>
        <w:suppressAutoHyphens/>
        <w:spacing w:after="120" w:line="240" w:lineRule="auto"/>
        <w:ind w:firstLine="851"/>
        <w:jc w:val="both"/>
        <w:rPr>
          <w:rFonts w:ascii="Times New Roman" w:eastAsia="Lucida Sans Unicode" w:hAnsi="Times New Roman" w:cs="Times New Roman"/>
          <w:b/>
          <w:kern w:val="2"/>
          <w:sz w:val="24"/>
          <w:szCs w:val="24"/>
          <w:lang w:eastAsia="ar-SA"/>
        </w:rPr>
      </w:pPr>
      <w:proofErr w:type="spellStart"/>
      <w:r w:rsidRPr="00A07F29">
        <w:rPr>
          <w:rFonts w:ascii="Times New Roman" w:eastAsia="Lucida Sans Unicode" w:hAnsi="Times New Roman" w:cs="Times New Roman"/>
          <w:b/>
          <w:kern w:val="2"/>
          <w:sz w:val="24"/>
          <w:szCs w:val="24"/>
          <w:lang w:eastAsia="ar-SA"/>
        </w:rPr>
        <w:t>Daudzlapu</w:t>
      </w:r>
      <w:proofErr w:type="spellEnd"/>
      <w:r w:rsidRPr="00A07F29">
        <w:rPr>
          <w:rFonts w:ascii="Times New Roman" w:eastAsia="Lucida Sans Unicode" w:hAnsi="Times New Roman" w:cs="Times New Roman"/>
          <w:b/>
          <w:kern w:val="2"/>
          <w:sz w:val="24"/>
          <w:szCs w:val="24"/>
          <w:lang w:eastAsia="ar-SA"/>
        </w:rPr>
        <w:t xml:space="preserve"> lupīna </w:t>
      </w:r>
      <w:proofErr w:type="spellStart"/>
      <w:r w:rsidRPr="00A07F29">
        <w:rPr>
          <w:rFonts w:ascii="Times New Roman" w:eastAsia="Lucida Sans Unicode" w:hAnsi="Times New Roman" w:cs="Times New Roman"/>
          <w:b/>
          <w:i/>
          <w:kern w:val="2"/>
          <w:sz w:val="24"/>
          <w:szCs w:val="24"/>
          <w:lang w:eastAsia="ar-SA"/>
        </w:rPr>
        <w:t>Lupinus</w:t>
      </w:r>
      <w:proofErr w:type="spellEnd"/>
      <w:r w:rsidRPr="00A07F29">
        <w:rPr>
          <w:rFonts w:ascii="Times New Roman" w:eastAsia="Lucida Sans Unicode" w:hAnsi="Times New Roman" w:cs="Times New Roman"/>
          <w:b/>
          <w:i/>
          <w:kern w:val="2"/>
          <w:sz w:val="24"/>
          <w:szCs w:val="24"/>
          <w:lang w:eastAsia="ar-SA"/>
        </w:rPr>
        <w:t xml:space="preserve"> </w:t>
      </w:r>
      <w:proofErr w:type="spellStart"/>
      <w:r w:rsidRPr="00A07F29">
        <w:rPr>
          <w:rFonts w:ascii="Times New Roman" w:eastAsia="Lucida Sans Unicode" w:hAnsi="Times New Roman" w:cs="Times New Roman"/>
          <w:b/>
          <w:i/>
          <w:kern w:val="2"/>
          <w:sz w:val="24"/>
          <w:szCs w:val="24"/>
          <w:lang w:eastAsia="ar-SA"/>
        </w:rPr>
        <w:t>polyphyllus</w:t>
      </w:r>
      <w:proofErr w:type="spellEnd"/>
      <w:r w:rsidRPr="00A07F29">
        <w:rPr>
          <w:rFonts w:ascii="Times New Roman" w:eastAsia="Lucida Sans Unicode" w:hAnsi="Times New Roman" w:cs="Times New Roman"/>
          <w:kern w:val="2"/>
          <w:sz w:val="24"/>
          <w:szCs w:val="24"/>
          <w:lang w:eastAsia="ar-SA"/>
        </w:rPr>
        <w:t xml:space="preserve"> AAA </w:t>
      </w:r>
      <w:r w:rsidR="00CB09CE" w:rsidRPr="00A07F29">
        <w:rPr>
          <w:rFonts w:ascii="Times New Roman" w:eastAsia="Lucida Sans Unicode" w:hAnsi="Times New Roman" w:cs="Times New Roman"/>
          <w:kern w:val="2"/>
          <w:sz w:val="24"/>
          <w:szCs w:val="24"/>
          <w:lang w:eastAsia="ar-SA"/>
        </w:rPr>
        <w:t>“</w:t>
      </w:r>
      <w:r w:rsidRPr="00A07F29">
        <w:rPr>
          <w:rFonts w:ascii="Times New Roman" w:eastAsia="Lucida Sans Unicode" w:hAnsi="Times New Roman" w:cs="Times New Roman"/>
          <w:kern w:val="2"/>
          <w:sz w:val="24"/>
          <w:szCs w:val="24"/>
          <w:lang w:eastAsia="ar-SA"/>
        </w:rPr>
        <w:t>Augšdaugava</w:t>
      </w:r>
      <w:r w:rsidR="00CB09CE" w:rsidRPr="00A07F29">
        <w:rPr>
          <w:rFonts w:ascii="Times New Roman" w:eastAsia="Lucida Sans Unicode" w:hAnsi="Times New Roman" w:cs="Times New Roman"/>
          <w:kern w:val="2"/>
          <w:sz w:val="24"/>
          <w:szCs w:val="24"/>
          <w:lang w:eastAsia="ar-SA"/>
        </w:rPr>
        <w:t>”</w:t>
      </w:r>
      <w:r w:rsidRPr="00A07F29">
        <w:rPr>
          <w:rFonts w:ascii="Times New Roman" w:eastAsia="Lucida Sans Unicode" w:hAnsi="Times New Roman" w:cs="Times New Roman"/>
          <w:kern w:val="2"/>
          <w:sz w:val="24"/>
          <w:szCs w:val="24"/>
          <w:lang w:eastAsia="ar-SA"/>
        </w:rPr>
        <w:t xml:space="preserve"> teritorijā sastopama mājvietu apkārtnē, ceļmalās, zālājos un mežos. Lai ierobežotu sugas turpmāku izplatīšanos, attiecīgās teritorijas jāpļauj vismaz divas reizes sezonā pirms sēklu ienākšanās. Situācijās, kad </w:t>
      </w:r>
      <w:proofErr w:type="spellStart"/>
      <w:r w:rsidRPr="00A07F29">
        <w:rPr>
          <w:rFonts w:ascii="Times New Roman" w:eastAsia="Lucida Sans Unicode" w:hAnsi="Times New Roman" w:cs="Times New Roman"/>
          <w:kern w:val="2"/>
          <w:sz w:val="24"/>
          <w:szCs w:val="24"/>
          <w:lang w:eastAsia="ar-SA"/>
        </w:rPr>
        <w:t>daudzlapu</w:t>
      </w:r>
      <w:proofErr w:type="spellEnd"/>
      <w:r w:rsidRPr="00A07F29">
        <w:rPr>
          <w:rFonts w:ascii="Times New Roman" w:eastAsia="Lucida Sans Unicode" w:hAnsi="Times New Roman" w:cs="Times New Roman"/>
          <w:kern w:val="2"/>
          <w:sz w:val="24"/>
          <w:szCs w:val="24"/>
          <w:lang w:eastAsia="ar-SA"/>
        </w:rPr>
        <w:t xml:space="preserve"> lupīna ir sastopama BVZ, atkārtota pļaušana sezonā ieteicama lokāli, kur ir pati suga, nevis visā zālāja poligonā. Nelielās platībās, kur sastopami atsevišķi eksemplāri un suga neveido audzes, pieļaujama </w:t>
      </w:r>
      <w:r w:rsidR="00CB09CE" w:rsidRPr="00A07F29">
        <w:rPr>
          <w:rFonts w:ascii="Times New Roman" w:eastAsia="Lucida Sans Unicode" w:hAnsi="Times New Roman" w:cs="Times New Roman"/>
          <w:kern w:val="2"/>
          <w:sz w:val="24"/>
          <w:szCs w:val="24"/>
          <w:lang w:eastAsia="ar-SA"/>
        </w:rPr>
        <w:t>lupīnas</w:t>
      </w:r>
      <w:r w:rsidRPr="00A07F29">
        <w:rPr>
          <w:rFonts w:ascii="Times New Roman" w:eastAsia="Lucida Sans Unicode" w:hAnsi="Times New Roman" w:cs="Times New Roman"/>
          <w:kern w:val="2"/>
          <w:sz w:val="24"/>
          <w:szCs w:val="24"/>
          <w:lang w:eastAsia="ar-SA"/>
        </w:rPr>
        <w:t xml:space="preserve"> izrakšana. Pēc izrakšanas vēlama augsnes virskārtas izlīdzināšana, lai netiktu traucēta potenciālā turpmākā apsaimniekošana.</w:t>
      </w:r>
    </w:p>
    <w:p w14:paraId="2805CA62" w14:textId="22ACED38" w:rsidR="00A21E83" w:rsidRPr="00A07F29" w:rsidRDefault="00A21E83" w:rsidP="00E666B6">
      <w:pPr>
        <w:widowControl w:val="0"/>
        <w:suppressAutoHyphens/>
        <w:spacing w:after="120" w:line="240" w:lineRule="auto"/>
        <w:ind w:firstLine="851"/>
        <w:jc w:val="both"/>
        <w:rPr>
          <w:rFonts w:ascii="Times New Roman" w:eastAsia="Lucida Sans Unicode" w:hAnsi="Times New Roman" w:cs="Times New Roman"/>
          <w:kern w:val="2"/>
          <w:sz w:val="24"/>
          <w:szCs w:val="24"/>
          <w:lang w:eastAsia="ar-SA"/>
        </w:rPr>
      </w:pPr>
      <w:r w:rsidRPr="00A07F29">
        <w:rPr>
          <w:rFonts w:ascii="Times New Roman" w:eastAsia="Lucida Sans Unicode" w:hAnsi="Times New Roman" w:cs="Times New Roman"/>
          <w:b/>
          <w:kern w:val="2"/>
          <w:sz w:val="24"/>
          <w:szCs w:val="24"/>
          <w:lang w:eastAsia="ar-SA"/>
        </w:rPr>
        <w:t xml:space="preserve">Adatainais </w:t>
      </w:r>
      <w:proofErr w:type="spellStart"/>
      <w:r w:rsidRPr="00A07F29">
        <w:rPr>
          <w:rFonts w:ascii="Times New Roman" w:eastAsia="Lucida Sans Unicode" w:hAnsi="Times New Roman" w:cs="Times New Roman"/>
          <w:b/>
          <w:kern w:val="2"/>
          <w:sz w:val="24"/>
          <w:szCs w:val="24"/>
          <w:lang w:eastAsia="ar-SA"/>
        </w:rPr>
        <w:t>dze</w:t>
      </w:r>
      <w:r w:rsidR="00F85383">
        <w:rPr>
          <w:rFonts w:ascii="Times New Roman" w:eastAsia="Lucida Sans Unicode" w:hAnsi="Times New Roman" w:cs="Times New Roman"/>
          <w:b/>
          <w:kern w:val="2"/>
          <w:sz w:val="24"/>
          <w:szCs w:val="24"/>
          <w:lang w:eastAsia="ar-SA"/>
        </w:rPr>
        <w:t>l</w:t>
      </w:r>
      <w:r w:rsidRPr="00A07F29">
        <w:rPr>
          <w:rFonts w:ascii="Times New Roman" w:eastAsia="Lucida Sans Unicode" w:hAnsi="Times New Roman" w:cs="Times New Roman"/>
          <w:b/>
          <w:kern w:val="2"/>
          <w:sz w:val="24"/>
          <w:szCs w:val="24"/>
          <w:lang w:eastAsia="ar-SA"/>
        </w:rPr>
        <w:t>oņgurķis</w:t>
      </w:r>
      <w:proofErr w:type="spellEnd"/>
      <w:r w:rsidRPr="00A07F29">
        <w:rPr>
          <w:rFonts w:ascii="Times New Roman" w:eastAsia="Lucida Sans Unicode" w:hAnsi="Times New Roman" w:cs="Times New Roman"/>
          <w:b/>
          <w:i/>
          <w:kern w:val="2"/>
          <w:sz w:val="24"/>
          <w:szCs w:val="24"/>
          <w:lang w:eastAsia="ar-SA"/>
        </w:rPr>
        <w:t xml:space="preserve"> </w:t>
      </w:r>
      <w:proofErr w:type="spellStart"/>
      <w:r w:rsidRPr="00A07F29">
        <w:rPr>
          <w:rFonts w:ascii="Times New Roman" w:eastAsia="Lucida Sans Unicode" w:hAnsi="Times New Roman" w:cs="Times New Roman"/>
          <w:b/>
          <w:i/>
          <w:kern w:val="2"/>
          <w:sz w:val="24"/>
          <w:szCs w:val="24"/>
          <w:lang w:eastAsia="ar-SA"/>
        </w:rPr>
        <w:t>Echinocystis</w:t>
      </w:r>
      <w:proofErr w:type="spellEnd"/>
      <w:r w:rsidRPr="00A07F29">
        <w:rPr>
          <w:rFonts w:ascii="Times New Roman" w:eastAsia="Lucida Sans Unicode" w:hAnsi="Times New Roman" w:cs="Times New Roman"/>
          <w:b/>
          <w:i/>
          <w:kern w:val="2"/>
          <w:sz w:val="24"/>
          <w:szCs w:val="24"/>
          <w:lang w:eastAsia="ar-SA"/>
        </w:rPr>
        <w:t xml:space="preserve"> </w:t>
      </w:r>
      <w:proofErr w:type="spellStart"/>
      <w:r w:rsidRPr="00A07F29">
        <w:rPr>
          <w:rFonts w:ascii="Times New Roman" w:eastAsia="Lucida Sans Unicode" w:hAnsi="Times New Roman" w:cs="Times New Roman"/>
          <w:b/>
          <w:i/>
          <w:kern w:val="2"/>
          <w:sz w:val="24"/>
          <w:szCs w:val="24"/>
          <w:lang w:eastAsia="ar-SA"/>
        </w:rPr>
        <w:t>lobata</w:t>
      </w:r>
      <w:proofErr w:type="spellEnd"/>
      <w:r w:rsidRPr="00A07F29">
        <w:rPr>
          <w:rFonts w:ascii="Times New Roman" w:eastAsia="Lucida Sans Unicode" w:hAnsi="Times New Roman" w:cs="Times New Roman"/>
          <w:kern w:val="2"/>
          <w:sz w:val="24"/>
          <w:szCs w:val="24"/>
          <w:lang w:eastAsia="ar-SA"/>
        </w:rPr>
        <w:t xml:space="preserve"> – viengadīgs ķirbju dzimtas lakstaugs. Suga veiksmīgi izplatās pa ūdeni, jo </w:t>
      </w:r>
      <w:proofErr w:type="spellStart"/>
      <w:r w:rsidRPr="00A07F29">
        <w:rPr>
          <w:rFonts w:ascii="Times New Roman" w:eastAsia="Lucida Sans Unicode" w:hAnsi="Times New Roman" w:cs="Times New Roman"/>
          <w:kern w:val="2"/>
          <w:sz w:val="24"/>
          <w:szCs w:val="24"/>
          <w:lang w:eastAsia="ar-SA"/>
        </w:rPr>
        <w:t>dzelongurķu</w:t>
      </w:r>
      <w:proofErr w:type="spellEnd"/>
      <w:r w:rsidRPr="00A07F29">
        <w:rPr>
          <w:rFonts w:ascii="Times New Roman" w:eastAsia="Lucida Sans Unicode" w:hAnsi="Times New Roman" w:cs="Times New Roman"/>
          <w:kern w:val="2"/>
          <w:sz w:val="24"/>
          <w:szCs w:val="24"/>
          <w:lang w:eastAsia="ar-SA"/>
        </w:rPr>
        <w:t xml:space="preserve"> augļos ir gaisa kameras, kas neļauj nogrimt augļiem ar sēklām. Adatainais </w:t>
      </w:r>
      <w:proofErr w:type="spellStart"/>
      <w:r w:rsidRPr="00A07F29">
        <w:rPr>
          <w:rFonts w:ascii="Times New Roman" w:eastAsia="Lucida Sans Unicode" w:hAnsi="Times New Roman" w:cs="Times New Roman"/>
          <w:kern w:val="2"/>
          <w:sz w:val="24"/>
          <w:szCs w:val="24"/>
          <w:lang w:eastAsia="ar-SA"/>
        </w:rPr>
        <w:t>dzeloņgurķis</w:t>
      </w:r>
      <w:proofErr w:type="spellEnd"/>
      <w:r w:rsidRPr="00A07F29">
        <w:rPr>
          <w:rFonts w:ascii="Times New Roman" w:eastAsia="Lucida Sans Unicode" w:hAnsi="Times New Roman" w:cs="Times New Roman"/>
          <w:kern w:val="2"/>
          <w:sz w:val="24"/>
          <w:szCs w:val="24"/>
          <w:lang w:eastAsia="ar-SA"/>
        </w:rPr>
        <w:t xml:space="preserve"> plaši sastopama visā Daugavas palienē, galvenokārt biotopā 6430</w:t>
      </w:r>
      <w:r w:rsidR="00347002">
        <w:rPr>
          <w:rFonts w:ascii="Times New Roman" w:eastAsia="Lucida Sans Unicode" w:hAnsi="Times New Roman" w:cs="Times New Roman"/>
          <w:kern w:val="2"/>
          <w:sz w:val="24"/>
          <w:szCs w:val="24"/>
          <w:lang w:eastAsia="ar-SA"/>
        </w:rPr>
        <w:t> </w:t>
      </w:r>
      <w:proofErr w:type="spellStart"/>
      <w:r w:rsidRPr="00A07F29">
        <w:rPr>
          <w:rFonts w:ascii="Times New Roman" w:eastAsia="Lucida Sans Unicode" w:hAnsi="Times New Roman" w:cs="Times New Roman"/>
          <w:i/>
          <w:kern w:val="2"/>
          <w:sz w:val="24"/>
          <w:szCs w:val="24"/>
          <w:lang w:eastAsia="ar-SA"/>
        </w:rPr>
        <w:t>Eitrofas</w:t>
      </w:r>
      <w:proofErr w:type="spellEnd"/>
      <w:r w:rsidRPr="00A07F29">
        <w:rPr>
          <w:rFonts w:ascii="Times New Roman" w:eastAsia="Lucida Sans Unicode" w:hAnsi="Times New Roman" w:cs="Times New Roman"/>
          <w:i/>
          <w:kern w:val="2"/>
          <w:sz w:val="24"/>
          <w:szCs w:val="24"/>
          <w:lang w:eastAsia="ar-SA"/>
        </w:rPr>
        <w:t xml:space="preserve"> augsto lakstaugu audzes, </w:t>
      </w:r>
      <w:r w:rsidRPr="00A07F29">
        <w:rPr>
          <w:rFonts w:ascii="Times New Roman" w:eastAsia="Lucida Sans Unicode" w:hAnsi="Times New Roman" w:cs="Times New Roman"/>
          <w:kern w:val="2"/>
          <w:sz w:val="24"/>
          <w:szCs w:val="24"/>
          <w:lang w:eastAsia="ar-SA"/>
        </w:rPr>
        <w:t>kā arī piekrastes krūmājos un palieņu zālājos. Tā kā šī suga ir viengadīga, tās ierobežošanai zālājos efektīva metode ir regulāra pļaušana, taču biotopa 6430</w:t>
      </w:r>
      <w:r w:rsidR="007E57DB">
        <w:rPr>
          <w:rFonts w:ascii="Times New Roman" w:eastAsia="Lucida Sans Unicode" w:hAnsi="Times New Roman" w:cs="Times New Roman"/>
          <w:kern w:val="2"/>
          <w:sz w:val="24"/>
          <w:szCs w:val="24"/>
          <w:lang w:eastAsia="ar-SA"/>
        </w:rPr>
        <w:t> </w:t>
      </w:r>
      <w:proofErr w:type="spellStart"/>
      <w:r w:rsidRPr="00A07F29">
        <w:rPr>
          <w:rFonts w:ascii="Times New Roman" w:eastAsia="Lucida Sans Unicode" w:hAnsi="Times New Roman" w:cs="Times New Roman"/>
          <w:i/>
          <w:kern w:val="2"/>
          <w:sz w:val="24"/>
          <w:szCs w:val="24"/>
          <w:lang w:eastAsia="ar-SA"/>
        </w:rPr>
        <w:t>Eitrofas</w:t>
      </w:r>
      <w:proofErr w:type="spellEnd"/>
      <w:r w:rsidRPr="00A07F29">
        <w:rPr>
          <w:rFonts w:ascii="Times New Roman" w:eastAsia="Lucida Sans Unicode" w:hAnsi="Times New Roman" w:cs="Times New Roman"/>
          <w:i/>
          <w:kern w:val="2"/>
          <w:sz w:val="24"/>
          <w:szCs w:val="24"/>
          <w:lang w:eastAsia="ar-SA"/>
        </w:rPr>
        <w:t xml:space="preserve"> augsto lakstaugu audzes</w:t>
      </w:r>
      <w:r w:rsidRPr="00A07F29">
        <w:rPr>
          <w:rFonts w:ascii="Times New Roman" w:eastAsia="Lucida Sans Unicode" w:hAnsi="Times New Roman" w:cs="Times New Roman"/>
          <w:kern w:val="2"/>
          <w:sz w:val="24"/>
          <w:szCs w:val="24"/>
          <w:lang w:eastAsia="ar-SA"/>
        </w:rPr>
        <w:t xml:space="preserve"> apsaimniekošana ir ievērojami apgrūtināta neregulāras un bieži neiespējamās pļaušanas dēļ. Šeit pieļaujama adatainā </w:t>
      </w:r>
      <w:proofErr w:type="spellStart"/>
      <w:r w:rsidRPr="00A07F29">
        <w:rPr>
          <w:rFonts w:ascii="Times New Roman" w:eastAsia="Lucida Sans Unicode" w:hAnsi="Times New Roman" w:cs="Times New Roman"/>
          <w:kern w:val="2"/>
          <w:sz w:val="24"/>
          <w:szCs w:val="24"/>
          <w:lang w:eastAsia="ar-SA"/>
        </w:rPr>
        <w:t>dzeloņgurķa</w:t>
      </w:r>
      <w:proofErr w:type="spellEnd"/>
      <w:r w:rsidRPr="00A07F29">
        <w:rPr>
          <w:rFonts w:ascii="Times New Roman" w:eastAsia="Lucida Sans Unicode" w:hAnsi="Times New Roman" w:cs="Times New Roman"/>
          <w:kern w:val="2"/>
          <w:sz w:val="24"/>
          <w:szCs w:val="24"/>
          <w:lang w:eastAsia="ar-SA"/>
        </w:rPr>
        <w:t xml:space="preserve"> mehāniska izraušana pirms augļu nogatavošanās. Šāda metode pieļaujama arī upmalu krūmājos, kur nav iespējama pļaušana.</w:t>
      </w:r>
    </w:p>
    <w:p w14:paraId="0131C9E0" w14:textId="01A62074" w:rsidR="00A21E83" w:rsidRPr="00A07F29" w:rsidRDefault="00A21E83" w:rsidP="00B06B19">
      <w:pPr>
        <w:widowControl w:val="0"/>
        <w:suppressAutoHyphens/>
        <w:spacing w:before="240" w:after="120" w:line="100" w:lineRule="atLeast"/>
        <w:jc w:val="center"/>
        <w:rPr>
          <w:rFonts w:ascii="Times New Roman" w:eastAsia="Lucida Sans Unicode" w:hAnsi="Times New Roman" w:cs="Times New Roman"/>
          <w:b/>
          <w:kern w:val="2"/>
          <w:sz w:val="20"/>
          <w:szCs w:val="20"/>
          <w:lang w:eastAsia="ar-SA"/>
        </w:rPr>
      </w:pPr>
      <w:r w:rsidRPr="00A07F29">
        <w:rPr>
          <w:rFonts w:ascii="Times New Roman" w:eastAsia="Lucida Sans Unicode" w:hAnsi="Times New Roman" w:cs="Times New Roman"/>
          <w:kern w:val="2"/>
          <w:sz w:val="24"/>
          <w:szCs w:val="24"/>
          <w:lang w:eastAsia="ar-SA"/>
        </w:rPr>
        <w:t>5.3.1.</w:t>
      </w:r>
      <w:r w:rsidR="00F37B40">
        <w:rPr>
          <w:rFonts w:ascii="Times New Roman" w:eastAsia="Lucida Sans Unicode" w:hAnsi="Times New Roman" w:cs="Times New Roman"/>
          <w:kern w:val="2"/>
          <w:sz w:val="24"/>
          <w:szCs w:val="24"/>
          <w:lang w:eastAsia="ar-SA"/>
        </w:rPr>
        <w:t> </w:t>
      </w:r>
      <w:r w:rsidRPr="00A07F29">
        <w:rPr>
          <w:rFonts w:ascii="Times New Roman" w:eastAsia="Lucida Sans Unicode" w:hAnsi="Times New Roman" w:cs="Times New Roman"/>
          <w:kern w:val="2"/>
          <w:sz w:val="24"/>
          <w:szCs w:val="24"/>
          <w:lang w:eastAsia="ar-SA"/>
        </w:rPr>
        <w:t xml:space="preserve">tabula. AAA </w:t>
      </w:r>
      <w:r w:rsidR="00E666B6" w:rsidRPr="00A07F29">
        <w:rPr>
          <w:rFonts w:ascii="Times New Roman" w:eastAsia="Lucida Sans Unicode" w:hAnsi="Times New Roman" w:cs="Times New Roman"/>
          <w:kern w:val="2"/>
          <w:sz w:val="24"/>
          <w:szCs w:val="24"/>
          <w:lang w:eastAsia="ar-SA"/>
        </w:rPr>
        <w:t>“</w:t>
      </w:r>
      <w:r w:rsidRPr="00A07F29">
        <w:rPr>
          <w:rFonts w:ascii="Times New Roman" w:eastAsia="Lucida Sans Unicode" w:hAnsi="Times New Roman" w:cs="Times New Roman"/>
          <w:kern w:val="2"/>
          <w:sz w:val="24"/>
          <w:szCs w:val="24"/>
          <w:lang w:eastAsia="ar-SA"/>
        </w:rPr>
        <w:t>Augšdaugava</w:t>
      </w:r>
      <w:r w:rsidR="00E666B6" w:rsidRPr="00A07F29">
        <w:rPr>
          <w:rFonts w:ascii="Times New Roman" w:eastAsia="Lucida Sans Unicode" w:hAnsi="Times New Roman" w:cs="Times New Roman"/>
          <w:kern w:val="2"/>
          <w:sz w:val="24"/>
          <w:szCs w:val="24"/>
          <w:lang w:eastAsia="ar-SA"/>
        </w:rPr>
        <w:t>”</w:t>
      </w:r>
      <w:r w:rsidRPr="00A07F29">
        <w:rPr>
          <w:rFonts w:ascii="Times New Roman" w:eastAsia="Lucida Sans Unicode" w:hAnsi="Times New Roman" w:cs="Times New Roman"/>
          <w:kern w:val="2"/>
          <w:sz w:val="24"/>
          <w:szCs w:val="24"/>
          <w:lang w:eastAsia="ar-SA"/>
        </w:rPr>
        <w:t xml:space="preserve"> konstatētās </w:t>
      </w:r>
      <w:proofErr w:type="spellStart"/>
      <w:r w:rsidRPr="00A07F29">
        <w:rPr>
          <w:rFonts w:ascii="Times New Roman" w:eastAsia="Lucida Sans Unicode" w:hAnsi="Times New Roman" w:cs="Times New Roman"/>
          <w:kern w:val="2"/>
          <w:sz w:val="24"/>
          <w:szCs w:val="24"/>
          <w:lang w:eastAsia="ar-SA"/>
        </w:rPr>
        <w:t>invazīvās</w:t>
      </w:r>
      <w:proofErr w:type="spellEnd"/>
      <w:r w:rsidRPr="00A07F29">
        <w:rPr>
          <w:rFonts w:ascii="Times New Roman" w:eastAsia="Lucida Sans Unicode" w:hAnsi="Times New Roman" w:cs="Times New Roman"/>
          <w:kern w:val="2"/>
          <w:sz w:val="24"/>
          <w:szCs w:val="24"/>
          <w:lang w:eastAsia="ar-SA"/>
        </w:rPr>
        <w:t xml:space="preserve"> augu sugas un rekomendācijas to apkarošanai</w:t>
      </w:r>
      <w:r w:rsidR="00FD2ADF" w:rsidRPr="00A07F29">
        <w:rPr>
          <w:rFonts w:ascii="Times New Roman" w:eastAsia="Lucida Sans Unicode" w:hAnsi="Times New Roman" w:cs="Times New Roman"/>
          <w:kern w:val="2"/>
          <w:sz w:val="24"/>
          <w:szCs w:val="24"/>
          <w:lang w:eastAsia="ar-SA"/>
        </w:rPr>
        <w:t xml:space="preserve"> (DA plāna izstrādes laikā augu sugu ekspertu apkopotā informācija no </w:t>
      </w:r>
      <w:proofErr w:type="spellStart"/>
      <w:r w:rsidR="00FD2ADF" w:rsidRPr="00A07F29">
        <w:rPr>
          <w:rFonts w:ascii="Times New Roman" w:eastAsia="Lucida Sans Unicode" w:hAnsi="Times New Roman" w:cs="Times New Roman"/>
          <w:kern w:val="2"/>
          <w:sz w:val="24"/>
          <w:szCs w:val="24"/>
          <w:lang w:eastAsia="ar-SA"/>
        </w:rPr>
        <w:t>apsekojumiem</w:t>
      </w:r>
      <w:proofErr w:type="spellEnd"/>
      <w:r w:rsidR="00FD2ADF" w:rsidRPr="00A07F29">
        <w:rPr>
          <w:rFonts w:ascii="Times New Roman" w:eastAsia="Lucida Sans Unicode" w:hAnsi="Times New Roman" w:cs="Times New Roman"/>
          <w:kern w:val="2"/>
          <w:sz w:val="24"/>
          <w:szCs w:val="24"/>
          <w:lang w:eastAsia="ar-SA"/>
        </w:rPr>
        <w:t xml:space="preserve"> un iepriekšējiem pētījumiem)</w:t>
      </w:r>
      <w:r w:rsidR="00B06B19" w:rsidRPr="00A07F29">
        <w:rPr>
          <w:rFonts w:ascii="Times New Roman" w:eastAsia="Lucida Sans Unicode" w:hAnsi="Times New Roman" w:cs="Times New Roman"/>
          <w:kern w:val="2"/>
          <w:sz w:val="24"/>
          <w:szCs w:val="24"/>
          <w:lang w:eastAsia="ar-SA"/>
        </w:rPr>
        <w:t>.</w:t>
      </w:r>
    </w:p>
    <w:tbl>
      <w:tblPr>
        <w:tblW w:w="0" w:type="auto"/>
        <w:tblLook w:val="04A0" w:firstRow="1" w:lastRow="0" w:firstColumn="1" w:lastColumn="0" w:noHBand="0" w:noVBand="1"/>
      </w:tblPr>
      <w:tblGrid>
        <w:gridCol w:w="481"/>
        <w:gridCol w:w="1692"/>
        <w:gridCol w:w="1454"/>
        <w:gridCol w:w="1029"/>
        <w:gridCol w:w="1387"/>
        <w:gridCol w:w="3280"/>
      </w:tblGrid>
      <w:tr w:rsidR="00A21E83" w:rsidRPr="00A07F29" w14:paraId="30B0F940" w14:textId="77777777" w:rsidTr="005111E1">
        <w:trPr>
          <w:trHeight w:val="510"/>
        </w:trPr>
        <w:tc>
          <w:tcPr>
            <w:tcW w:w="0" w:type="auto"/>
            <w:tcBorders>
              <w:top w:val="single" w:sz="4" w:space="0" w:color="000000"/>
              <w:left w:val="single" w:sz="4" w:space="0" w:color="000000"/>
              <w:bottom w:val="single" w:sz="4" w:space="0" w:color="000000"/>
              <w:right w:val="single" w:sz="4" w:space="0" w:color="000000"/>
            </w:tcBorders>
            <w:vAlign w:val="center"/>
            <w:hideMark/>
          </w:tcPr>
          <w:p w14:paraId="6E1A59A8" w14:textId="77777777" w:rsidR="00A21E83" w:rsidRPr="00A07F29" w:rsidRDefault="00A21E83" w:rsidP="005111E1">
            <w:pPr>
              <w:widowControl w:val="0"/>
              <w:suppressAutoHyphens/>
              <w:spacing w:after="0" w:line="240" w:lineRule="auto"/>
              <w:jc w:val="center"/>
              <w:rPr>
                <w:rFonts w:ascii="Times New Roman" w:eastAsia="Lucida Sans Unicode" w:hAnsi="Times New Roman" w:cs="Times New Roman"/>
                <w:b/>
                <w:kern w:val="2"/>
                <w:sz w:val="20"/>
                <w:szCs w:val="20"/>
                <w:lang w:eastAsia="ar-SA"/>
              </w:rPr>
            </w:pPr>
            <w:r w:rsidRPr="00A07F29">
              <w:rPr>
                <w:rFonts w:ascii="Times New Roman" w:eastAsia="Lucida Sans Unicode" w:hAnsi="Times New Roman" w:cs="Times New Roman"/>
                <w:b/>
                <w:kern w:val="2"/>
                <w:sz w:val="20"/>
                <w:szCs w:val="20"/>
                <w:lang w:eastAsia="ar-SA"/>
              </w:rPr>
              <w:t>Nr.</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3EE8696" w14:textId="72D0AE82" w:rsidR="00A21E83" w:rsidRPr="00A07F29" w:rsidRDefault="00A21E83" w:rsidP="005111E1">
            <w:pPr>
              <w:widowControl w:val="0"/>
              <w:suppressAutoHyphens/>
              <w:spacing w:after="0" w:line="240" w:lineRule="auto"/>
              <w:jc w:val="center"/>
              <w:rPr>
                <w:rFonts w:ascii="Times New Roman" w:eastAsia="Lucida Sans Unicode" w:hAnsi="Times New Roman" w:cs="Times New Roman"/>
                <w:b/>
                <w:kern w:val="2"/>
                <w:sz w:val="20"/>
                <w:szCs w:val="20"/>
                <w:lang w:eastAsia="ar-SA"/>
              </w:rPr>
            </w:pPr>
            <w:r w:rsidRPr="00A07F29">
              <w:rPr>
                <w:rFonts w:ascii="Times New Roman" w:eastAsia="Lucida Sans Unicode" w:hAnsi="Times New Roman" w:cs="Times New Roman"/>
                <w:b/>
                <w:kern w:val="2"/>
                <w:sz w:val="20"/>
                <w:szCs w:val="20"/>
                <w:lang w:eastAsia="ar-SA"/>
              </w:rPr>
              <w:t>Sugas latīniskais</w:t>
            </w:r>
            <w:r w:rsidR="00B06B19" w:rsidRPr="00A07F29">
              <w:rPr>
                <w:rFonts w:ascii="Times New Roman" w:eastAsia="Lucida Sans Unicode" w:hAnsi="Times New Roman" w:cs="Times New Roman"/>
                <w:b/>
                <w:kern w:val="2"/>
                <w:sz w:val="20"/>
                <w:szCs w:val="20"/>
                <w:lang w:eastAsia="ar-SA"/>
              </w:rPr>
              <w:t xml:space="preserve"> nosaukums</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0ADCD94" w14:textId="029E4FD5" w:rsidR="00A21E83" w:rsidRPr="00A07F29" w:rsidRDefault="00A21E83" w:rsidP="005111E1">
            <w:pPr>
              <w:widowControl w:val="0"/>
              <w:suppressAutoHyphens/>
              <w:spacing w:after="0" w:line="240" w:lineRule="auto"/>
              <w:jc w:val="center"/>
              <w:rPr>
                <w:rFonts w:ascii="Times New Roman" w:eastAsia="Lucida Sans Unicode" w:hAnsi="Times New Roman" w:cs="Times New Roman"/>
                <w:b/>
                <w:kern w:val="2"/>
                <w:sz w:val="20"/>
                <w:szCs w:val="20"/>
                <w:lang w:eastAsia="ar-SA"/>
              </w:rPr>
            </w:pPr>
            <w:r w:rsidRPr="00A07F29">
              <w:rPr>
                <w:rFonts w:ascii="Times New Roman" w:eastAsia="Lucida Sans Unicode" w:hAnsi="Times New Roman" w:cs="Times New Roman"/>
                <w:b/>
                <w:kern w:val="2"/>
                <w:sz w:val="20"/>
                <w:szCs w:val="20"/>
                <w:lang w:eastAsia="ar-SA"/>
              </w:rPr>
              <w:t>Sugas latviskais</w:t>
            </w:r>
            <w:r w:rsidR="00B06B19" w:rsidRPr="00A07F29">
              <w:rPr>
                <w:rFonts w:ascii="Times New Roman" w:eastAsia="Lucida Sans Unicode" w:hAnsi="Times New Roman" w:cs="Times New Roman"/>
                <w:b/>
                <w:kern w:val="2"/>
                <w:sz w:val="20"/>
                <w:szCs w:val="20"/>
                <w:lang w:eastAsia="ar-SA"/>
              </w:rPr>
              <w:t xml:space="preserve"> nosaukums</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6B4A398" w14:textId="3F126F39" w:rsidR="00A21E83" w:rsidRPr="00A07F29" w:rsidRDefault="00B06B19" w:rsidP="005111E1">
            <w:pPr>
              <w:widowControl w:val="0"/>
              <w:suppressAutoHyphens/>
              <w:spacing w:after="0" w:line="240" w:lineRule="auto"/>
              <w:jc w:val="center"/>
              <w:rPr>
                <w:rFonts w:ascii="Times New Roman" w:eastAsia="Lucida Sans Unicode" w:hAnsi="Times New Roman" w:cs="Times New Roman"/>
                <w:b/>
                <w:kern w:val="2"/>
                <w:sz w:val="20"/>
                <w:szCs w:val="20"/>
                <w:lang w:eastAsia="ar-SA"/>
              </w:rPr>
            </w:pPr>
            <w:r w:rsidRPr="00A07F29">
              <w:rPr>
                <w:rFonts w:ascii="Times New Roman" w:eastAsia="Lucida Sans Unicode" w:hAnsi="Times New Roman" w:cs="Times New Roman"/>
                <w:b/>
                <w:kern w:val="2"/>
                <w:sz w:val="20"/>
                <w:szCs w:val="20"/>
                <w:lang w:eastAsia="ar-SA"/>
              </w:rPr>
              <w:t>Atradņu skaits</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AF4EFBC" w14:textId="77777777" w:rsidR="00A21E83" w:rsidRPr="00A07F29" w:rsidRDefault="00A21E83" w:rsidP="005111E1">
            <w:pPr>
              <w:widowControl w:val="0"/>
              <w:suppressAutoHyphens/>
              <w:spacing w:after="0" w:line="240" w:lineRule="auto"/>
              <w:jc w:val="center"/>
              <w:rPr>
                <w:rFonts w:ascii="Times New Roman" w:eastAsia="Lucida Sans Unicode" w:hAnsi="Times New Roman" w:cs="Times New Roman"/>
                <w:b/>
                <w:kern w:val="2"/>
                <w:sz w:val="20"/>
                <w:szCs w:val="20"/>
                <w:lang w:eastAsia="ar-SA"/>
              </w:rPr>
            </w:pPr>
            <w:proofErr w:type="spellStart"/>
            <w:r w:rsidRPr="00A07F29">
              <w:rPr>
                <w:rFonts w:ascii="Times New Roman" w:eastAsia="Lucida Sans Unicode" w:hAnsi="Times New Roman" w:cs="Times New Roman"/>
                <w:b/>
                <w:kern w:val="2"/>
                <w:sz w:val="20"/>
                <w:szCs w:val="20"/>
                <w:lang w:eastAsia="ar-SA"/>
              </w:rPr>
              <w:t>Invadētie</w:t>
            </w:r>
            <w:proofErr w:type="spellEnd"/>
            <w:r w:rsidRPr="00A07F29">
              <w:rPr>
                <w:rFonts w:ascii="Times New Roman" w:eastAsia="Lucida Sans Unicode" w:hAnsi="Times New Roman" w:cs="Times New Roman"/>
                <w:b/>
                <w:kern w:val="2"/>
                <w:sz w:val="20"/>
                <w:szCs w:val="20"/>
                <w:lang w:eastAsia="ar-SA"/>
              </w:rPr>
              <w:t xml:space="preserve"> kvadrāti DP Daugavas loki</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19DE041" w14:textId="77777777" w:rsidR="00A21E83" w:rsidRPr="00A07F29" w:rsidRDefault="00A21E83" w:rsidP="005111E1">
            <w:pPr>
              <w:widowControl w:val="0"/>
              <w:suppressAutoHyphens/>
              <w:spacing w:after="0" w:line="240" w:lineRule="auto"/>
              <w:jc w:val="center"/>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b/>
                <w:kern w:val="2"/>
                <w:sz w:val="20"/>
                <w:szCs w:val="20"/>
                <w:lang w:eastAsia="ar-SA"/>
              </w:rPr>
              <w:t>Rekomendācijas apkarošanai</w:t>
            </w:r>
          </w:p>
        </w:tc>
      </w:tr>
      <w:tr w:rsidR="00A21E83" w:rsidRPr="00A07F29" w14:paraId="4C497C13" w14:textId="77777777" w:rsidTr="005111E1">
        <w:trPr>
          <w:trHeight w:val="510"/>
        </w:trPr>
        <w:tc>
          <w:tcPr>
            <w:tcW w:w="0" w:type="auto"/>
            <w:tcBorders>
              <w:top w:val="single" w:sz="4" w:space="0" w:color="000000"/>
              <w:left w:val="single" w:sz="4" w:space="0" w:color="000000"/>
              <w:bottom w:val="single" w:sz="4" w:space="0" w:color="000000"/>
              <w:right w:val="single" w:sz="4" w:space="0" w:color="000000"/>
            </w:tcBorders>
            <w:hideMark/>
          </w:tcPr>
          <w:p w14:paraId="1056EBB6"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i/>
                <w:kern w:val="2"/>
                <w:sz w:val="20"/>
                <w:szCs w:val="20"/>
                <w:lang w:eastAsia="ar-SA"/>
              </w:rPr>
            </w:pPr>
            <w:r w:rsidRPr="00A07F29">
              <w:rPr>
                <w:rFonts w:ascii="Times New Roman" w:eastAsia="Lucida Sans Unicode" w:hAnsi="Times New Roman" w:cs="Times New Roman"/>
                <w:kern w:val="2"/>
                <w:sz w:val="20"/>
                <w:szCs w:val="20"/>
                <w:lang w:eastAsia="ar-SA"/>
              </w:rPr>
              <w:t>1.</w:t>
            </w:r>
          </w:p>
        </w:tc>
        <w:tc>
          <w:tcPr>
            <w:tcW w:w="0" w:type="auto"/>
            <w:tcBorders>
              <w:top w:val="single" w:sz="4" w:space="0" w:color="000000"/>
              <w:left w:val="single" w:sz="4" w:space="0" w:color="000000"/>
              <w:bottom w:val="single" w:sz="4" w:space="0" w:color="000000"/>
              <w:right w:val="single" w:sz="4" w:space="0" w:color="000000"/>
            </w:tcBorders>
            <w:hideMark/>
          </w:tcPr>
          <w:p w14:paraId="719D6853"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kern w:val="2"/>
                <w:sz w:val="20"/>
                <w:szCs w:val="20"/>
                <w:lang w:eastAsia="ar-SA"/>
              </w:rPr>
            </w:pPr>
            <w:proofErr w:type="spellStart"/>
            <w:r w:rsidRPr="00A07F29">
              <w:rPr>
                <w:rFonts w:ascii="Times New Roman" w:eastAsia="Lucida Sans Unicode" w:hAnsi="Times New Roman" w:cs="Times New Roman"/>
                <w:i/>
                <w:kern w:val="2"/>
                <w:sz w:val="20"/>
                <w:szCs w:val="20"/>
                <w:lang w:eastAsia="ar-SA"/>
              </w:rPr>
              <w:t>Heracleum</w:t>
            </w:r>
            <w:proofErr w:type="spellEnd"/>
            <w:r w:rsidRPr="00A07F29">
              <w:rPr>
                <w:rFonts w:ascii="Times New Roman" w:eastAsia="Lucida Sans Unicode" w:hAnsi="Times New Roman" w:cs="Times New Roman"/>
                <w:i/>
                <w:kern w:val="2"/>
                <w:sz w:val="20"/>
                <w:szCs w:val="20"/>
                <w:lang w:eastAsia="ar-SA"/>
              </w:rPr>
              <w:t xml:space="preserve"> </w:t>
            </w:r>
            <w:proofErr w:type="spellStart"/>
            <w:r w:rsidRPr="00A07F29">
              <w:rPr>
                <w:rFonts w:ascii="Times New Roman" w:eastAsia="Lucida Sans Unicode" w:hAnsi="Times New Roman" w:cs="Times New Roman"/>
                <w:i/>
                <w:kern w:val="2"/>
                <w:sz w:val="20"/>
                <w:szCs w:val="20"/>
                <w:lang w:eastAsia="ar-SA"/>
              </w:rPr>
              <w:t>sosnowskyi</w:t>
            </w:r>
            <w:proofErr w:type="spellEnd"/>
            <w:r w:rsidRPr="00A07F29">
              <w:rPr>
                <w:rFonts w:ascii="Times New Roman" w:eastAsia="Lucida Sans Unicode" w:hAnsi="Times New Roman" w:cs="Times New Roman"/>
                <w:i/>
                <w:kern w:val="2"/>
                <w:sz w:val="20"/>
                <w:szCs w:val="20"/>
                <w:lang w:eastAsia="ar-SA"/>
              </w:rPr>
              <w:t xml:space="preserve"> </w:t>
            </w:r>
          </w:p>
        </w:tc>
        <w:tc>
          <w:tcPr>
            <w:tcW w:w="0" w:type="auto"/>
            <w:tcBorders>
              <w:top w:val="single" w:sz="4" w:space="0" w:color="000000"/>
              <w:left w:val="single" w:sz="4" w:space="0" w:color="000000"/>
              <w:bottom w:val="single" w:sz="4" w:space="0" w:color="000000"/>
              <w:right w:val="single" w:sz="4" w:space="0" w:color="000000"/>
            </w:tcBorders>
            <w:hideMark/>
          </w:tcPr>
          <w:p w14:paraId="3EB835BC"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 xml:space="preserve">Sosnovska </w:t>
            </w:r>
            <w:proofErr w:type="spellStart"/>
            <w:r w:rsidRPr="00A07F29">
              <w:rPr>
                <w:rFonts w:ascii="Times New Roman" w:eastAsia="Lucida Sans Unicode" w:hAnsi="Times New Roman" w:cs="Times New Roman"/>
                <w:kern w:val="2"/>
                <w:sz w:val="20"/>
                <w:szCs w:val="20"/>
                <w:lang w:eastAsia="ar-SA"/>
              </w:rPr>
              <w:t>latvānis</w:t>
            </w:r>
            <w:proofErr w:type="spellEnd"/>
          </w:p>
        </w:tc>
        <w:tc>
          <w:tcPr>
            <w:tcW w:w="0" w:type="auto"/>
            <w:tcBorders>
              <w:top w:val="single" w:sz="4" w:space="0" w:color="000000"/>
              <w:left w:val="single" w:sz="4" w:space="0" w:color="000000"/>
              <w:bottom w:val="single" w:sz="4" w:space="0" w:color="000000"/>
              <w:right w:val="single" w:sz="4" w:space="0" w:color="000000"/>
            </w:tcBorders>
            <w:hideMark/>
          </w:tcPr>
          <w:p w14:paraId="3BF23142" w14:textId="77777777" w:rsidR="00A21E83" w:rsidRPr="00A07F29" w:rsidRDefault="00A21E83" w:rsidP="005111E1">
            <w:pPr>
              <w:widowControl w:val="0"/>
              <w:suppressAutoHyphens/>
              <w:spacing w:after="0" w:line="240" w:lineRule="auto"/>
              <w:jc w:val="center"/>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20</w:t>
            </w:r>
          </w:p>
        </w:tc>
        <w:tc>
          <w:tcPr>
            <w:tcW w:w="0" w:type="auto"/>
            <w:tcBorders>
              <w:top w:val="single" w:sz="4" w:space="0" w:color="000000"/>
              <w:left w:val="single" w:sz="4" w:space="0" w:color="000000"/>
              <w:bottom w:val="single" w:sz="4" w:space="0" w:color="000000"/>
              <w:right w:val="single" w:sz="4" w:space="0" w:color="000000"/>
            </w:tcBorders>
            <w:hideMark/>
          </w:tcPr>
          <w:p w14:paraId="55588126" w14:textId="77777777" w:rsidR="00A21E83" w:rsidRPr="00A07F29" w:rsidRDefault="00A21E83" w:rsidP="005111E1">
            <w:pPr>
              <w:widowControl w:val="0"/>
              <w:suppressAutoHyphens/>
              <w:spacing w:after="0" w:line="240" w:lineRule="auto"/>
              <w:jc w:val="center"/>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6</w:t>
            </w:r>
          </w:p>
        </w:tc>
        <w:tc>
          <w:tcPr>
            <w:tcW w:w="0" w:type="auto"/>
            <w:tcBorders>
              <w:top w:val="single" w:sz="4" w:space="0" w:color="000000"/>
              <w:left w:val="single" w:sz="4" w:space="0" w:color="000000"/>
              <w:bottom w:val="single" w:sz="4" w:space="0" w:color="000000"/>
              <w:right w:val="single" w:sz="4" w:space="0" w:color="000000"/>
            </w:tcBorders>
            <w:hideMark/>
          </w:tcPr>
          <w:p w14:paraId="3F5F7648"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skat. sugas aprakstu</w:t>
            </w:r>
          </w:p>
        </w:tc>
      </w:tr>
      <w:tr w:rsidR="00A21E83" w:rsidRPr="00A07F29" w14:paraId="7B0B7B99" w14:textId="77777777" w:rsidTr="005111E1">
        <w:trPr>
          <w:trHeight w:val="510"/>
        </w:trPr>
        <w:tc>
          <w:tcPr>
            <w:tcW w:w="0" w:type="auto"/>
            <w:tcBorders>
              <w:top w:val="single" w:sz="4" w:space="0" w:color="000000"/>
              <w:left w:val="single" w:sz="4" w:space="0" w:color="000000"/>
              <w:bottom w:val="single" w:sz="4" w:space="0" w:color="000000"/>
              <w:right w:val="single" w:sz="4" w:space="0" w:color="000000"/>
            </w:tcBorders>
            <w:hideMark/>
          </w:tcPr>
          <w:p w14:paraId="3A29CF87"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i/>
                <w:kern w:val="2"/>
                <w:sz w:val="20"/>
                <w:szCs w:val="20"/>
                <w:lang w:eastAsia="ar-SA"/>
              </w:rPr>
            </w:pPr>
            <w:r w:rsidRPr="00A07F29">
              <w:rPr>
                <w:rFonts w:ascii="Times New Roman" w:eastAsia="Lucida Sans Unicode" w:hAnsi="Times New Roman" w:cs="Times New Roman"/>
                <w:kern w:val="2"/>
                <w:sz w:val="20"/>
                <w:szCs w:val="20"/>
                <w:lang w:eastAsia="ar-SA"/>
              </w:rPr>
              <w:t>2.</w:t>
            </w:r>
          </w:p>
        </w:tc>
        <w:tc>
          <w:tcPr>
            <w:tcW w:w="0" w:type="auto"/>
            <w:tcBorders>
              <w:top w:val="single" w:sz="4" w:space="0" w:color="000000"/>
              <w:left w:val="single" w:sz="4" w:space="0" w:color="000000"/>
              <w:bottom w:val="single" w:sz="4" w:space="0" w:color="000000"/>
              <w:right w:val="single" w:sz="4" w:space="0" w:color="000000"/>
            </w:tcBorders>
            <w:hideMark/>
          </w:tcPr>
          <w:p w14:paraId="710B33B9"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i/>
                <w:kern w:val="2"/>
                <w:sz w:val="20"/>
                <w:szCs w:val="20"/>
                <w:lang w:eastAsia="ar-SA"/>
              </w:rPr>
              <w:t xml:space="preserve">Acer </w:t>
            </w:r>
            <w:proofErr w:type="spellStart"/>
            <w:r w:rsidRPr="00A07F29">
              <w:rPr>
                <w:rFonts w:ascii="Times New Roman" w:eastAsia="Lucida Sans Unicode" w:hAnsi="Times New Roman" w:cs="Times New Roman"/>
                <w:i/>
                <w:kern w:val="2"/>
                <w:sz w:val="20"/>
                <w:szCs w:val="20"/>
                <w:lang w:eastAsia="ar-SA"/>
              </w:rPr>
              <w:t>negundo</w:t>
            </w:r>
            <w:proofErr w:type="spellEnd"/>
          </w:p>
        </w:tc>
        <w:tc>
          <w:tcPr>
            <w:tcW w:w="0" w:type="auto"/>
            <w:tcBorders>
              <w:top w:val="single" w:sz="4" w:space="0" w:color="000000"/>
              <w:left w:val="single" w:sz="4" w:space="0" w:color="000000"/>
              <w:bottom w:val="single" w:sz="4" w:space="0" w:color="000000"/>
              <w:right w:val="single" w:sz="4" w:space="0" w:color="000000"/>
            </w:tcBorders>
            <w:hideMark/>
          </w:tcPr>
          <w:p w14:paraId="55CC3D90"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kern w:val="2"/>
                <w:sz w:val="20"/>
                <w:szCs w:val="20"/>
                <w:lang w:eastAsia="ar-SA"/>
              </w:rPr>
            </w:pPr>
            <w:proofErr w:type="spellStart"/>
            <w:r w:rsidRPr="00A07F29">
              <w:rPr>
                <w:rFonts w:ascii="Times New Roman" w:eastAsia="Lucida Sans Unicode" w:hAnsi="Times New Roman" w:cs="Times New Roman"/>
                <w:kern w:val="2"/>
                <w:sz w:val="20"/>
                <w:szCs w:val="20"/>
                <w:lang w:eastAsia="ar-SA"/>
              </w:rPr>
              <w:t>Ošlapu</w:t>
            </w:r>
            <w:proofErr w:type="spellEnd"/>
            <w:r w:rsidRPr="00A07F29">
              <w:rPr>
                <w:rFonts w:ascii="Times New Roman" w:eastAsia="Lucida Sans Unicode" w:hAnsi="Times New Roman" w:cs="Times New Roman"/>
                <w:kern w:val="2"/>
                <w:sz w:val="20"/>
                <w:szCs w:val="20"/>
                <w:lang w:eastAsia="ar-SA"/>
              </w:rPr>
              <w:t xml:space="preserve"> kļava</w:t>
            </w:r>
          </w:p>
        </w:tc>
        <w:tc>
          <w:tcPr>
            <w:tcW w:w="0" w:type="auto"/>
            <w:tcBorders>
              <w:top w:val="single" w:sz="4" w:space="0" w:color="000000"/>
              <w:left w:val="single" w:sz="4" w:space="0" w:color="000000"/>
              <w:bottom w:val="single" w:sz="4" w:space="0" w:color="000000"/>
              <w:right w:val="single" w:sz="4" w:space="0" w:color="000000"/>
            </w:tcBorders>
            <w:hideMark/>
          </w:tcPr>
          <w:p w14:paraId="176292CF" w14:textId="77777777" w:rsidR="00A21E83" w:rsidRPr="00A07F29" w:rsidRDefault="00A21E83" w:rsidP="005111E1">
            <w:pPr>
              <w:widowControl w:val="0"/>
              <w:suppressAutoHyphens/>
              <w:spacing w:after="0" w:line="240" w:lineRule="auto"/>
              <w:jc w:val="center"/>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296</w:t>
            </w:r>
          </w:p>
        </w:tc>
        <w:tc>
          <w:tcPr>
            <w:tcW w:w="0" w:type="auto"/>
            <w:tcBorders>
              <w:top w:val="single" w:sz="4" w:space="0" w:color="000000"/>
              <w:left w:val="single" w:sz="4" w:space="0" w:color="000000"/>
              <w:bottom w:val="single" w:sz="4" w:space="0" w:color="000000"/>
              <w:right w:val="single" w:sz="4" w:space="0" w:color="000000"/>
            </w:tcBorders>
            <w:hideMark/>
          </w:tcPr>
          <w:p w14:paraId="3BA6CC57" w14:textId="77777777" w:rsidR="00A21E83" w:rsidRPr="00A07F29" w:rsidRDefault="00A21E83" w:rsidP="005111E1">
            <w:pPr>
              <w:widowControl w:val="0"/>
              <w:suppressAutoHyphens/>
              <w:spacing w:after="0" w:line="240" w:lineRule="auto"/>
              <w:jc w:val="center"/>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52</w:t>
            </w:r>
          </w:p>
        </w:tc>
        <w:tc>
          <w:tcPr>
            <w:tcW w:w="0" w:type="auto"/>
            <w:tcBorders>
              <w:top w:val="single" w:sz="4" w:space="0" w:color="000000"/>
              <w:left w:val="single" w:sz="4" w:space="0" w:color="000000"/>
              <w:bottom w:val="single" w:sz="4" w:space="0" w:color="000000"/>
              <w:right w:val="single" w:sz="4" w:space="0" w:color="000000"/>
            </w:tcBorders>
            <w:hideMark/>
          </w:tcPr>
          <w:p w14:paraId="08FA07D7"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skat. sugas aprakstu</w:t>
            </w:r>
          </w:p>
        </w:tc>
      </w:tr>
      <w:tr w:rsidR="00A21E83" w:rsidRPr="00A07F29" w14:paraId="05007582" w14:textId="77777777" w:rsidTr="005111E1">
        <w:trPr>
          <w:trHeight w:val="510"/>
        </w:trPr>
        <w:tc>
          <w:tcPr>
            <w:tcW w:w="0" w:type="auto"/>
            <w:tcBorders>
              <w:top w:val="single" w:sz="4" w:space="0" w:color="000000"/>
              <w:left w:val="single" w:sz="4" w:space="0" w:color="000000"/>
              <w:bottom w:val="single" w:sz="4" w:space="0" w:color="000000"/>
              <w:right w:val="single" w:sz="4" w:space="0" w:color="000000"/>
            </w:tcBorders>
            <w:hideMark/>
          </w:tcPr>
          <w:p w14:paraId="02919B24"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i/>
                <w:kern w:val="2"/>
                <w:sz w:val="20"/>
                <w:szCs w:val="20"/>
                <w:u w:val="single"/>
                <w:lang w:eastAsia="ar-SA"/>
              </w:rPr>
            </w:pPr>
            <w:r w:rsidRPr="00A07F29">
              <w:rPr>
                <w:rFonts w:ascii="Times New Roman" w:eastAsia="Lucida Sans Unicode" w:hAnsi="Times New Roman" w:cs="Times New Roman"/>
                <w:kern w:val="2"/>
                <w:sz w:val="20"/>
                <w:szCs w:val="20"/>
                <w:lang w:eastAsia="ar-SA"/>
              </w:rPr>
              <w:t>3.</w:t>
            </w:r>
          </w:p>
        </w:tc>
        <w:tc>
          <w:tcPr>
            <w:tcW w:w="0" w:type="auto"/>
            <w:tcBorders>
              <w:top w:val="single" w:sz="4" w:space="0" w:color="000000"/>
              <w:left w:val="single" w:sz="4" w:space="0" w:color="000000"/>
              <w:bottom w:val="single" w:sz="4" w:space="0" w:color="000000"/>
              <w:right w:val="single" w:sz="4" w:space="0" w:color="000000"/>
            </w:tcBorders>
            <w:hideMark/>
          </w:tcPr>
          <w:p w14:paraId="26F95F9D"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kern w:val="2"/>
                <w:sz w:val="20"/>
                <w:szCs w:val="20"/>
                <w:lang w:eastAsia="ar-SA"/>
              </w:rPr>
            </w:pPr>
            <w:proofErr w:type="spellStart"/>
            <w:r w:rsidRPr="00A07F29">
              <w:rPr>
                <w:rFonts w:ascii="Times New Roman" w:eastAsia="Lucida Sans Unicode" w:hAnsi="Times New Roman" w:cs="Times New Roman"/>
                <w:i/>
                <w:kern w:val="2"/>
                <w:sz w:val="20"/>
                <w:szCs w:val="20"/>
                <w:lang w:eastAsia="ar-SA"/>
              </w:rPr>
              <w:t>Amelanchier</w:t>
            </w:r>
            <w:proofErr w:type="spellEnd"/>
            <w:r w:rsidRPr="00A07F29">
              <w:rPr>
                <w:rFonts w:ascii="Times New Roman" w:eastAsia="Lucida Sans Unicode" w:hAnsi="Times New Roman" w:cs="Times New Roman"/>
                <w:i/>
                <w:kern w:val="2"/>
                <w:sz w:val="20"/>
                <w:szCs w:val="20"/>
                <w:lang w:eastAsia="ar-SA"/>
              </w:rPr>
              <w:t xml:space="preserve"> </w:t>
            </w:r>
            <w:proofErr w:type="spellStart"/>
            <w:r w:rsidRPr="00A07F29">
              <w:rPr>
                <w:rFonts w:ascii="Times New Roman" w:eastAsia="Lucida Sans Unicode" w:hAnsi="Times New Roman" w:cs="Times New Roman"/>
                <w:i/>
                <w:kern w:val="2"/>
                <w:sz w:val="20"/>
                <w:szCs w:val="20"/>
                <w:lang w:eastAsia="ar-SA"/>
              </w:rPr>
              <w:t>spicata</w:t>
            </w:r>
            <w:proofErr w:type="spellEnd"/>
          </w:p>
        </w:tc>
        <w:tc>
          <w:tcPr>
            <w:tcW w:w="0" w:type="auto"/>
            <w:tcBorders>
              <w:top w:val="single" w:sz="4" w:space="0" w:color="000000"/>
              <w:left w:val="single" w:sz="4" w:space="0" w:color="000000"/>
              <w:bottom w:val="single" w:sz="4" w:space="0" w:color="000000"/>
              <w:right w:val="single" w:sz="4" w:space="0" w:color="000000"/>
            </w:tcBorders>
            <w:hideMark/>
          </w:tcPr>
          <w:p w14:paraId="47D5D1F8"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kern w:val="2"/>
                <w:sz w:val="20"/>
                <w:szCs w:val="20"/>
                <w:lang w:eastAsia="ar-SA"/>
              </w:rPr>
            </w:pPr>
            <w:proofErr w:type="spellStart"/>
            <w:r w:rsidRPr="00A07F29">
              <w:rPr>
                <w:rFonts w:ascii="Times New Roman" w:eastAsia="Lucida Sans Unicode" w:hAnsi="Times New Roman" w:cs="Times New Roman"/>
                <w:kern w:val="2"/>
                <w:sz w:val="20"/>
                <w:szCs w:val="20"/>
                <w:lang w:eastAsia="ar-SA"/>
              </w:rPr>
              <w:t>Vārpainā</w:t>
            </w:r>
            <w:proofErr w:type="spellEnd"/>
            <w:r w:rsidRPr="00A07F29">
              <w:rPr>
                <w:rFonts w:ascii="Times New Roman" w:eastAsia="Lucida Sans Unicode" w:hAnsi="Times New Roman" w:cs="Times New Roman"/>
                <w:kern w:val="2"/>
                <w:sz w:val="20"/>
                <w:szCs w:val="20"/>
                <w:lang w:eastAsia="ar-SA"/>
              </w:rPr>
              <w:t xml:space="preserve"> korinte</w:t>
            </w:r>
          </w:p>
        </w:tc>
        <w:tc>
          <w:tcPr>
            <w:tcW w:w="0" w:type="auto"/>
            <w:tcBorders>
              <w:top w:val="single" w:sz="4" w:space="0" w:color="000000"/>
              <w:left w:val="single" w:sz="4" w:space="0" w:color="000000"/>
              <w:bottom w:val="single" w:sz="4" w:space="0" w:color="000000"/>
              <w:right w:val="single" w:sz="4" w:space="0" w:color="000000"/>
            </w:tcBorders>
            <w:hideMark/>
          </w:tcPr>
          <w:p w14:paraId="70E4EFF5" w14:textId="77777777" w:rsidR="00A21E83" w:rsidRPr="00A07F29" w:rsidRDefault="00A21E83" w:rsidP="005111E1">
            <w:pPr>
              <w:widowControl w:val="0"/>
              <w:suppressAutoHyphens/>
              <w:spacing w:after="0" w:line="240" w:lineRule="auto"/>
              <w:jc w:val="center"/>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55</w:t>
            </w:r>
          </w:p>
        </w:tc>
        <w:tc>
          <w:tcPr>
            <w:tcW w:w="0" w:type="auto"/>
            <w:tcBorders>
              <w:top w:val="single" w:sz="4" w:space="0" w:color="000000"/>
              <w:left w:val="single" w:sz="4" w:space="0" w:color="000000"/>
              <w:bottom w:val="single" w:sz="4" w:space="0" w:color="000000"/>
              <w:right w:val="single" w:sz="4" w:space="0" w:color="000000"/>
            </w:tcBorders>
            <w:hideMark/>
          </w:tcPr>
          <w:p w14:paraId="19D6742E" w14:textId="77777777" w:rsidR="00A21E83" w:rsidRPr="00A07F29" w:rsidRDefault="00A21E83" w:rsidP="005111E1">
            <w:pPr>
              <w:widowControl w:val="0"/>
              <w:suppressAutoHyphens/>
              <w:spacing w:after="0" w:line="240" w:lineRule="auto"/>
              <w:jc w:val="center"/>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15</w:t>
            </w:r>
          </w:p>
        </w:tc>
        <w:tc>
          <w:tcPr>
            <w:tcW w:w="0" w:type="auto"/>
            <w:tcBorders>
              <w:top w:val="single" w:sz="4" w:space="0" w:color="000000"/>
              <w:left w:val="single" w:sz="4" w:space="0" w:color="000000"/>
              <w:bottom w:val="single" w:sz="4" w:space="0" w:color="000000"/>
              <w:right w:val="single" w:sz="4" w:space="0" w:color="000000"/>
            </w:tcBorders>
            <w:hideMark/>
          </w:tcPr>
          <w:p w14:paraId="5333CB06" w14:textId="2E8B3079" w:rsidR="00A21E83" w:rsidRPr="00A07F29" w:rsidRDefault="00A21E83" w:rsidP="005111E1">
            <w:pPr>
              <w:widowControl w:val="0"/>
              <w:suppressAutoHyphens/>
              <w:spacing w:after="0" w:line="240" w:lineRule="auto"/>
              <w:jc w:val="both"/>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 xml:space="preserve">Veido blīvas audzes Priedaines lokā mežos pie Saulkrastiem. Apkarojama izmantojot ķīmiskos </w:t>
            </w:r>
            <w:proofErr w:type="spellStart"/>
            <w:r w:rsidRPr="00A07F29">
              <w:rPr>
                <w:rFonts w:ascii="Times New Roman" w:eastAsia="Lucida Sans Unicode" w:hAnsi="Times New Roman" w:cs="Times New Roman"/>
                <w:kern w:val="2"/>
                <w:sz w:val="20"/>
                <w:szCs w:val="20"/>
                <w:lang w:eastAsia="ar-SA"/>
              </w:rPr>
              <w:t>preperātus</w:t>
            </w:r>
            <w:proofErr w:type="spellEnd"/>
            <w:r w:rsidRPr="00A07F29">
              <w:rPr>
                <w:rFonts w:ascii="Times New Roman" w:eastAsia="Lucida Sans Unicode" w:hAnsi="Times New Roman" w:cs="Times New Roman"/>
                <w:kern w:val="2"/>
                <w:sz w:val="20"/>
                <w:szCs w:val="20"/>
                <w:lang w:eastAsia="ar-SA"/>
              </w:rPr>
              <w:t>, izcir</w:t>
            </w:r>
            <w:r w:rsidR="00B06B19" w:rsidRPr="00A07F29">
              <w:rPr>
                <w:rFonts w:ascii="Times New Roman" w:eastAsia="Lucida Sans Unicode" w:hAnsi="Times New Roman" w:cs="Times New Roman"/>
                <w:kern w:val="2"/>
                <w:sz w:val="20"/>
                <w:szCs w:val="20"/>
                <w:lang w:eastAsia="ar-SA"/>
              </w:rPr>
              <w:t>s</w:t>
            </w:r>
            <w:r w:rsidRPr="00A07F29">
              <w:rPr>
                <w:rFonts w:ascii="Times New Roman" w:eastAsia="Lucida Sans Unicode" w:hAnsi="Times New Roman" w:cs="Times New Roman"/>
                <w:kern w:val="2"/>
                <w:sz w:val="20"/>
                <w:szCs w:val="20"/>
                <w:lang w:eastAsia="ar-SA"/>
              </w:rPr>
              <w:t>t pilnībā nokaltušus kokus.</w:t>
            </w:r>
          </w:p>
        </w:tc>
      </w:tr>
      <w:tr w:rsidR="00A21E83" w:rsidRPr="00A07F29" w14:paraId="0A2AE932" w14:textId="77777777" w:rsidTr="005111E1">
        <w:trPr>
          <w:trHeight w:val="510"/>
        </w:trPr>
        <w:tc>
          <w:tcPr>
            <w:tcW w:w="0" w:type="auto"/>
            <w:tcBorders>
              <w:top w:val="single" w:sz="4" w:space="0" w:color="000000"/>
              <w:left w:val="single" w:sz="4" w:space="0" w:color="000000"/>
              <w:bottom w:val="single" w:sz="4" w:space="0" w:color="000000"/>
              <w:right w:val="single" w:sz="4" w:space="0" w:color="000000"/>
            </w:tcBorders>
            <w:hideMark/>
          </w:tcPr>
          <w:p w14:paraId="7DA8A4E9"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i/>
                <w:kern w:val="2"/>
                <w:sz w:val="20"/>
                <w:szCs w:val="20"/>
                <w:lang w:eastAsia="ar-SA"/>
              </w:rPr>
            </w:pPr>
            <w:r w:rsidRPr="00A07F29">
              <w:rPr>
                <w:rFonts w:ascii="Times New Roman" w:eastAsia="Lucida Sans Unicode" w:hAnsi="Times New Roman" w:cs="Times New Roman"/>
                <w:kern w:val="2"/>
                <w:sz w:val="20"/>
                <w:szCs w:val="20"/>
                <w:lang w:eastAsia="ar-SA"/>
              </w:rPr>
              <w:t>4.</w:t>
            </w:r>
          </w:p>
        </w:tc>
        <w:tc>
          <w:tcPr>
            <w:tcW w:w="0" w:type="auto"/>
            <w:tcBorders>
              <w:top w:val="single" w:sz="4" w:space="0" w:color="000000"/>
              <w:left w:val="single" w:sz="4" w:space="0" w:color="000000"/>
              <w:bottom w:val="single" w:sz="4" w:space="0" w:color="000000"/>
              <w:right w:val="single" w:sz="4" w:space="0" w:color="000000"/>
            </w:tcBorders>
            <w:hideMark/>
          </w:tcPr>
          <w:p w14:paraId="49CB70AF"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kern w:val="2"/>
                <w:sz w:val="20"/>
                <w:szCs w:val="20"/>
                <w:lang w:eastAsia="ar-SA"/>
              </w:rPr>
            </w:pPr>
            <w:proofErr w:type="spellStart"/>
            <w:r w:rsidRPr="00A07F29">
              <w:rPr>
                <w:rFonts w:ascii="Times New Roman" w:eastAsia="Lucida Sans Unicode" w:hAnsi="Times New Roman" w:cs="Times New Roman"/>
                <w:i/>
                <w:kern w:val="2"/>
                <w:sz w:val="20"/>
                <w:szCs w:val="20"/>
                <w:lang w:eastAsia="ar-SA"/>
              </w:rPr>
              <w:t>Aronia</w:t>
            </w:r>
            <w:proofErr w:type="spellEnd"/>
            <w:r w:rsidRPr="00A07F29">
              <w:rPr>
                <w:rFonts w:ascii="Times New Roman" w:eastAsia="Lucida Sans Unicode" w:hAnsi="Times New Roman" w:cs="Times New Roman"/>
                <w:i/>
                <w:kern w:val="2"/>
                <w:sz w:val="20"/>
                <w:szCs w:val="20"/>
                <w:lang w:eastAsia="ar-SA"/>
              </w:rPr>
              <w:t xml:space="preserve"> </w:t>
            </w:r>
            <w:proofErr w:type="spellStart"/>
            <w:r w:rsidRPr="00A07F29">
              <w:rPr>
                <w:rFonts w:ascii="Times New Roman" w:eastAsia="Lucida Sans Unicode" w:hAnsi="Times New Roman" w:cs="Times New Roman"/>
                <w:i/>
                <w:kern w:val="2"/>
                <w:sz w:val="20"/>
                <w:szCs w:val="20"/>
                <w:lang w:eastAsia="ar-SA"/>
              </w:rPr>
              <w:t>prunifolia</w:t>
            </w:r>
            <w:proofErr w:type="spellEnd"/>
          </w:p>
        </w:tc>
        <w:tc>
          <w:tcPr>
            <w:tcW w:w="0" w:type="auto"/>
            <w:tcBorders>
              <w:top w:val="single" w:sz="4" w:space="0" w:color="000000"/>
              <w:left w:val="single" w:sz="4" w:space="0" w:color="000000"/>
              <w:bottom w:val="single" w:sz="4" w:space="0" w:color="000000"/>
              <w:right w:val="single" w:sz="4" w:space="0" w:color="000000"/>
            </w:tcBorders>
            <w:hideMark/>
          </w:tcPr>
          <w:p w14:paraId="1CAED519"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kern w:val="2"/>
                <w:sz w:val="20"/>
                <w:szCs w:val="20"/>
                <w:lang w:eastAsia="ar-SA"/>
              </w:rPr>
            </w:pPr>
            <w:proofErr w:type="spellStart"/>
            <w:r w:rsidRPr="00A07F29">
              <w:rPr>
                <w:rFonts w:ascii="Times New Roman" w:eastAsia="Lucida Sans Unicode" w:hAnsi="Times New Roman" w:cs="Times New Roman"/>
                <w:kern w:val="2"/>
                <w:sz w:val="20"/>
                <w:szCs w:val="20"/>
                <w:lang w:eastAsia="ar-SA"/>
              </w:rPr>
              <w:t>Plūmjlapu</w:t>
            </w:r>
            <w:proofErr w:type="spellEnd"/>
            <w:r w:rsidRPr="00A07F29">
              <w:rPr>
                <w:rFonts w:ascii="Times New Roman" w:eastAsia="Lucida Sans Unicode" w:hAnsi="Times New Roman" w:cs="Times New Roman"/>
                <w:kern w:val="2"/>
                <w:sz w:val="20"/>
                <w:szCs w:val="20"/>
                <w:lang w:eastAsia="ar-SA"/>
              </w:rPr>
              <w:t xml:space="preserve"> aronija</w:t>
            </w:r>
          </w:p>
        </w:tc>
        <w:tc>
          <w:tcPr>
            <w:tcW w:w="0" w:type="auto"/>
            <w:tcBorders>
              <w:top w:val="single" w:sz="4" w:space="0" w:color="000000"/>
              <w:left w:val="single" w:sz="4" w:space="0" w:color="000000"/>
              <w:bottom w:val="single" w:sz="4" w:space="0" w:color="000000"/>
              <w:right w:val="single" w:sz="4" w:space="0" w:color="000000"/>
            </w:tcBorders>
            <w:hideMark/>
          </w:tcPr>
          <w:p w14:paraId="7A31ECA8" w14:textId="77777777" w:rsidR="00A21E83" w:rsidRPr="00A07F29" w:rsidRDefault="00A21E83" w:rsidP="005111E1">
            <w:pPr>
              <w:widowControl w:val="0"/>
              <w:suppressAutoHyphens/>
              <w:spacing w:after="0" w:line="240" w:lineRule="auto"/>
              <w:jc w:val="center"/>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4</w:t>
            </w:r>
          </w:p>
        </w:tc>
        <w:tc>
          <w:tcPr>
            <w:tcW w:w="0" w:type="auto"/>
            <w:tcBorders>
              <w:top w:val="single" w:sz="4" w:space="0" w:color="000000"/>
              <w:left w:val="single" w:sz="4" w:space="0" w:color="000000"/>
              <w:bottom w:val="single" w:sz="4" w:space="0" w:color="000000"/>
              <w:right w:val="single" w:sz="4" w:space="0" w:color="000000"/>
            </w:tcBorders>
            <w:hideMark/>
          </w:tcPr>
          <w:p w14:paraId="6850DB4B" w14:textId="77777777" w:rsidR="00A21E83" w:rsidRPr="00A07F29" w:rsidRDefault="00A21E83" w:rsidP="005111E1">
            <w:pPr>
              <w:widowControl w:val="0"/>
              <w:suppressAutoHyphens/>
              <w:spacing w:after="0" w:line="240" w:lineRule="auto"/>
              <w:jc w:val="center"/>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3</w:t>
            </w:r>
          </w:p>
        </w:tc>
        <w:tc>
          <w:tcPr>
            <w:tcW w:w="0" w:type="auto"/>
            <w:tcBorders>
              <w:top w:val="single" w:sz="4" w:space="0" w:color="000000"/>
              <w:left w:val="single" w:sz="4" w:space="0" w:color="000000"/>
              <w:bottom w:val="single" w:sz="4" w:space="0" w:color="000000"/>
              <w:right w:val="single" w:sz="4" w:space="0" w:color="000000"/>
            </w:tcBorders>
            <w:hideMark/>
          </w:tcPr>
          <w:p w14:paraId="00F9CC9A"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Atsevišķus krūmus un nelielas audzes izrok. Lielākas audzes ilgstoši pļauj.</w:t>
            </w:r>
          </w:p>
        </w:tc>
      </w:tr>
      <w:tr w:rsidR="00A21E83" w:rsidRPr="00A07F29" w14:paraId="2F9DC2CA" w14:textId="77777777" w:rsidTr="005111E1">
        <w:trPr>
          <w:trHeight w:val="510"/>
        </w:trPr>
        <w:tc>
          <w:tcPr>
            <w:tcW w:w="0" w:type="auto"/>
            <w:tcBorders>
              <w:top w:val="single" w:sz="4" w:space="0" w:color="000000"/>
              <w:left w:val="single" w:sz="4" w:space="0" w:color="000000"/>
              <w:bottom w:val="single" w:sz="4" w:space="0" w:color="000000"/>
              <w:right w:val="single" w:sz="4" w:space="0" w:color="000000"/>
            </w:tcBorders>
            <w:hideMark/>
          </w:tcPr>
          <w:p w14:paraId="2B40CDF3"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i/>
                <w:kern w:val="2"/>
                <w:sz w:val="20"/>
                <w:szCs w:val="20"/>
                <w:lang w:eastAsia="ar-SA"/>
              </w:rPr>
            </w:pPr>
            <w:r w:rsidRPr="00A07F29">
              <w:rPr>
                <w:rFonts w:ascii="Times New Roman" w:eastAsia="Lucida Sans Unicode" w:hAnsi="Times New Roman" w:cs="Times New Roman"/>
                <w:kern w:val="2"/>
                <w:sz w:val="20"/>
                <w:szCs w:val="20"/>
                <w:lang w:eastAsia="ar-SA"/>
              </w:rPr>
              <w:t>5.</w:t>
            </w:r>
          </w:p>
        </w:tc>
        <w:tc>
          <w:tcPr>
            <w:tcW w:w="0" w:type="auto"/>
            <w:tcBorders>
              <w:top w:val="single" w:sz="4" w:space="0" w:color="000000"/>
              <w:left w:val="single" w:sz="4" w:space="0" w:color="000000"/>
              <w:bottom w:val="single" w:sz="4" w:space="0" w:color="000000"/>
              <w:right w:val="single" w:sz="4" w:space="0" w:color="000000"/>
            </w:tcBorders>
            <w:hideMark/>
          </w:tcPr>
          <w:p w14:paraId="7029BDC0"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kern w:val="2"/>
                <w:sz w:val="20"/>
                <w:szCs w:val="20"/>
                <w:lang w:eastAsia="ar-SA"/>
              </w:rPr>
            </w:pPr>
            <w:proofErr w:type="spellStart"/>
            <w:r w:rsidRPr="00A07F29">
              <w:rPr>
                <w:rFonts w:ascii="Times New Roman" w:eastAsia="Lucida Sans Unicode" w:hAnsi="Times New Roman" w:cs="Times New Roman"/>
                <w:i/>
                <w:kern w:val="2"/>
                <w:sz w:val="20"/>
                <w:szCs w:val="20"/>
                <w:lang w:eastAsia="ar-SA"/>
              </w:rPr>
              <w:t>Aster</w:t>
            </w:r>
            <w:proofErr w:type="spellEnd"/>
            <w:r w:rsidRPr="00A07F29">
              <w:rPr>
                <w:rFonts w:ascii="Times New Roman" w:eastAsia="Lucida Sans Unicode" w:hAnsi="Times New Roman" w:cs="Times New Roman"/>
                <w:kern w:val="2"/>
                <w:sz w:val="20"/>
                <w:szCs w:val="20"/>
                <w:lang w:eastAsia="ar-SA"/>
              </w:rPr>
              <w:t xml:space="preserve"> x</w:t>
            </w:r>
            <w:r w:rsidRPr="00A07F29">
              <w:rPr>
                <w:rFonts w:ascii="Times New Roman" w:eastAsia="Lucida Sans Unicode" w:hAnsi="Times New Roman" w:cs="Times New Roman"/>
                <w:i/>
                <w:kern w:val="2"/>
                <w:sz w:val="20"/>
                <w:szCs w:val="20"/>
                <w:lang w:eastAsia="ar-SA"/>
              </w:rPr>
              <w:t xml:space="preserve"> </w:t>
            </w:r>
            <w:proofErr w:type="spellStart"/>
            <w:r w:rsidRPr="00A07F29">
              <w:rPr>
                <w:rFonts w:ascii="Times New Roman" w:eastAsia="Lucida Sans Unicode" w:hAnsi="Times New Roman" w:cs="Times New Roman"/>
                <w:i/>
                <w:kern w:val="2"/>
                <w:sz w:val="20"/>
                <w:szCs w:val="20"/>
                <w:lang w:eastAsia="ar-SA"/>
              </w:rPr>
              <w:t>salignus</w:t>
            </w:r>
            <w:proofErr w:type="spellEnd"/>
          </w:p>
        </w:tc>
        <w:tc>
          <w:tcPr>
            <w:tcW w:w="0" w:type="auto"/>
            <w:tcBorders>
              <w:top w:val="single" w:sz="4" w:space="0" w:color="000000"/>
              <w:left w:val="single" w:sz="4" w:space="0" w:color="000000"/>
              <w:bottom w:val="single" w:sz="4" w:space="0" w:color="000000"/>
              <w:right w:val="single" w:sz="4" w:space="0" w:color="000000"/>
            </w:tcBorders>
            <w:hideMark/>
          </w:tcPr>
          <w:p w14:paraId="0C616879"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Vītolu miķelīte</w:t>
            </w:r>
          </w:p>
        </w:tc>
        <w:tc>
          <w:tcPr>
            <w:tcW w:w="0" w:type="auto"/>
            <w:tcBorders>
              <w:top w:val="single" w:sz="4" w:space="0" w:color="000000"/>
              <w:left w:val="single" w:sz="4" w:space="0" w:color="000000"/>
              <w:bottom w:val="single" w:sz="4" w:space="0" w:color="000000"/>
              <w:right w:val="single" w:sz="4" w:space="0" w:color="000000"/>
            </w:tcBorders>
            <w:hideMark/>
          </w:tcPr>
          <w:p w14:paraId="0FF1B39D" w14:textId="77777777" w:rsidR="00A21E83" w:rsidRPr="00A07F29" w:rsidRDefault="00A21E83" w:rsidP="005111E1">
            <w:pPr>
              <w:widowControl w:val="0"/>
              <w:suppressAutoHyphens/>
              <w:spacing w:after="0" w:line="240" w:lineRule="auto"/>
              <w:jc w:val="center"/>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5</w:t>
            </w:r>
          </w:p>
        </w:tc>
        <w:tc>
          <w:tcPr>
            <w:tcW w:w="0" w:type="auto"/>
            <w:tcBorders>
              <w:top w:val="single" w:sz="4" w:space="0" w:color="000000"/>
              <w:left w:val="single" w:sz="4" w:space="0" w:color="000000"/>
              <w:bottom w:val="single" w:sz="4" w:space="0" w:color="000000"/>
              <w:right w:val="single" w:sz="4" w:space="0" w:color="000000"/>
            </w:tcBorders>
            <w:hideMark/>
          </w:tcPr>
          <w:p w14:paraId="468456B7" w14:textId="77777777" w:rsidR="00A21E83" w:rsidRPr="00A07F29" w:rsidRDefault="00A21E83" w:rsidP="005111E1">
            <w:pPr>
              <w:widowControl w:val="0"/>
              <w:suppressAutoHyphens/>
              <w:spacing w:after="0" w:line="240" w:lineRule="auto"/>
              <w:jc w:val="center"/>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3</w:t>
            </w:r>
          </w:p>
        </w:tc>
        <w:tc>
          <w:tcPr>
            <w:tcW w:w="0" w:type="auto"/>
            <w:tcBorders>
              <w:top w:val="single" w:sz="4" w:space="0" w:color="000000"/>
              <w:left w:val="single" w:sz="4" w:space="0" w:color="000000"/>
              <w:bottom w:val="single" w:sz="4" w:space="0" w:color="000000"/>
              <w:right w:val="single" w:sz="4" w:space="0" w:color="000000"/>
            </w:tcBorders>
            <w:hideMark/>
          </w:tcPr>
          <w:p w14:paraId="5DFF8BA9"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Apkaro pļaujot vairākas reizes veģetācijas sezonā.</w:t>
            </w:r>
          </w:p>
        </w:tc>
      </w:tr>
      <w:tr w:rsidR="00A21E83" w:rsidRPr="00A07F29" w14:paraId="68C07FE2" w14:textId="77777777" w:rsidTr="005111E1">
        <w:trPr>
          <w:trHeight w:val="510"/>
        </w:trPr>
        <w:tc>
          <w:tcPr>
            <w:tcW w:w="0" w:type="auto"/>
            <w:tcBorders>
              <w:top w:val="single" w:sz="4" w:space="0" w:color="000000"/>
              <w:left w:val="single" w:sz="4" w:space="0" w:color="000000"/>
              <w:bottom w:val="single" w:sz="4" w:space="0" w:color="000000"/>
              <w:right w:val="single" w:sz="4" w:space="0" w:color="000000"/>
            </w:tcBorders>
            <w:hideMark/>
          </w:tcPr>
          <w:p w14:paraId="5246848A"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i/>
                <w:kern w:val="2"/>
                <w:sz w:val="20"/>
                <w:szCs w:val="20"/>
                <w:lang w:eastAsia="ar-SA"/>
              </w:rPr>
            </w:pPr>
            <w:r w:rsidRPr="00A07F29">
              <w:rPr>
                <w:rFonts w:ascii="Times New Roman" w:eastAsia="Lucida Sans Unicode" w:hAnsi="Times New Roman" w:cs="Times New Roman"/>
                <w:kern w:val="2"/>
                <w:sz w:val="20"/>
                <w:szCs w:val="20"/>
                <w:lang w:eastAsia="ar-SA"/>
              </w:rPr>
              <w:t>6.</w:t>
            </w:r>
          </w:p>
        </w:tc>
        <w:tc>
          <w:tcPr>
            <w:tcW w:w="0" w:type="auto"/>
            <w:tcBorders>
              <w:top w:val="single" w:sz="4" w:space="0" w:color="000000"/>
              <w:left w:val="single" w:sz="4" w:space="0" w:color="000000"/>
              <w:bottom w:val="single" w:sz="4" w:space="0" w:color="000000"/>
              <w:right w:val="single" w:sz="4" w:space="0" w:color="000000"/>
            </w:tcBorders>
            <w:hideMark/>
          </w:tcPr>
          <w:p w14:paraId="76579512" w14:textId="705F0ABB" w:rsidR="00A21E83" w:rsidRPr="00A07F29" w:rsidRDefault="00A21E83" w:rsidP="005111E1">
            <w:pPr>
              <w:widowControl w:val="0"/>
              <w:suppressAutoHyphens/>
              <w:spacing w:after="0" w:line="240" w:lineRule="auto"/>
              <w:jc w:val="both"/>
              <w:rPr>
                <w:rFonts w:ascii="Times New Roman" w:eastAsia="Lucida Sans Unicode" w:hAnsi="Times New Roman" w:cs="Times New Roman"/>
                <w:kern w:val="2"/>
                <w:sz w:val="20"/>
                <w:szCs w:val="20"/>
                <w:lang w:eastAsia="ar-SA"/>
              </w:rPr>
            </w:pPr>
            <w:proofErr w:type="spellStart"/>
            <w:r w:rsidRPr="00A07F29">
              <w:rPr>
                <w:rFonts w:ascii="Times New Roman" w:eastAsia="Lucida Sans Unicode" w:hAnsi="Times New Roman" w:cs="Times New Roman"/>
                <w:i/>
                <w:kern w:val="2"/>
                <w:sz w:val="20"/>
                <w:szCs w:val="20"/>
                <w:lang w:eastAsia="ar-SA"/>
              </w:rPr>
              <w:t>Bunias</w:t>
            </w:r>
            <w:proofErr w:type="spellEnd"/>
            <w:r w:rsidR="00D65BBA" w:rsidRPr="00A07F29">
              <w:rPr>
                <w:rFonts w:ascii="Times New Roman" w:eastAsia="Lucida Sans Unicode" w:hAnsi="Times New Roman" w:cs="Times New Roman"/>
                <w:i/>
                <w:kern w:val="2"/>
                <w:sz w:val="20"/>
                <w:szCs w:val="20"/>
                <w:lang w:eastAsia="ar-SA"/>
              </w:rPr>
              <w:t xml:space="preserve"> </w:t>
            </w:r>
            <w:proofErr w:type="spellStart"/>
            <w:r w:rsidRPr="00A07F29">
              <w:rPr>
                <w:rFonts w:ascii="Times New Roman" w:eastAsia="Lucida Sans Unicode" w:hAnsi="Times New Roman" w:cs="Times New Roman"/>
                <w:i/>
                <w:kern w:val="2"/>
                <w:sz w:val="20"/>
                <w:szCs w:val="20"/>
                <w:lang w:eastAsia="ar-SA"/>
              </w:rPr>
              <w:t>orientalis</w:t>
            </w:r>
            <w:proofErr w:type="spellEnd"/>
          </w:p>
        </w:tc>
        <w:tc>
          <w:tcPr>
            <w:tcW w:w="0" w:type="auto"/>
            <w:tcBorders>
              <w:top w:val="single" w:sz="4" w:space="0" w:color="000000"/>
              <w:left w:val="single" w:sz="4" w:space="0" w:color="000000"/>
              <w:bottom w:val="single" w:sz="4" w:space="0" w:color="000000"/>
              <w:right w:val="single" w:sz="4" w:space="0" w:color="000000"/>
            </w:tcBorders>
            <w:hideMark/>
          </w:tcPr>
          <w:p w14:paraId="18FEC5CF"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 xml:space="preserve">Austrumu </w:t>
            </w:r>
            <w:proofErr w:type="spellStart"/>
            <w:r w:rsidRPr="00A07F29">
              <w:rPr>
                <w:rFonts w:ascii="Times New Roman" w:eastAsia="Lucida Sans Unicode" w:hAnsi="Times New Roman" w:cs="Times New Roman"/>
                <w:kern w:val="2"/>
                <w:sz w:val="20"/>
                <w:szCs w:val="20"/>
                <w:lang w:eastAsia="ar-SA"/>
              </w:rPr>
              <w:t>dižpērkone</w:t>
            </w:r>
            <w:proofErr w:type="spellEnd"/>
          </w:p>
        </w:tc>
        <w:tc>
          <w:tcPr>
            <w:tcW w:w="0" w:type="auto"/>
            <w:tcBorders>
              <w:top w:val="single" w:sz="4" w:space="0" w:color="000000"/>
              <w:left w:val="single" w:sz="4" w:space="0" w:color="000000"/>
              <w:bottom w:val="single" w:sz="4" w:space="0" w:color="000000"/>
              <w:right w:val="single" w:sz="4" w:space="0" w:color="000000"/>
            </w:tcBorders>
            <w:hideMark/>
          </w:tcPr>
          <w:p w14:paraId="00F749D4" w14:textId="77777777" w:rsidR="00A21E83" w:rsidRPr="00A07F29" w:rsidRDefault="00A21E83" w:rsidP="005111E1">
            <w:pPr>
              <w:widowControl w:val="0"/>
              <w:suppressAutoHyphens/>
              <w:spacing w:after="0" w:line="240" w:lineRule="auto"/>
              <w:jc w:val="center"/>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17</w:t>
            </w:r>
          </w:p>
        </w:tc>
        <w:tc>
          <w:tcPr>
            <w:tcW w:w="0" w:type="auto"/>
            <w:tcBorders>
              <w:top w:val="single" w:sz="4" w:space="0" w:color="000000"/>
              <w:left w:val="single" w:sz="4" w:space="0" w:color="000000"/>
              <w:bottom w:val="single" w:sz="4" w:space="0" w:color="000000"/>
              <w:right w:val="single" w:sz="4" w:space="0" w:color="000000"/>
            </w:tcBorders>
            <w:hideMark/>
          </w:tcPr>
          <w:p w14:paraId="29D80343" w14:textId="77777777" w:rsidR="00A21E83" w:rsidRPr="00A07F29" w:rsidRDefault="00A21E83" w:rsidP="005111E1">
            <w:pPr>
              <w:widowControl w:val="0"/>
              <w:suppressAutoHyphens/>
              <w:spacing w:after="0" w:line="240" w:lineRule="auto"/>
              <w:jc w:val="center"/>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7</w:t>
            </w:r>
          </w:p>
        </w:tc>
        <w:tc>
          <w:tcPr>
            <w:tcW w:w="0" w:type="auto"/>
            <w:tcBorders>
              <w:top w:val="single" w:sz="4" w:space="0" w:color="000000"/>
              <w:left w:val="single" w:sz="4" w:space="0" w:color="000000"/>
              <w:bottom w:val="single" w:sz="4" w:space="0" w:color="000000"/>
              <w:right w:val="single" w:sz="4" w:space="0" w:color="000000"/>
            </w:tcBorders>
            <w:hideMark/>
          </w:tcPr>
          <w:p w14:paraId="5F01F27D" w14:textId="01A3644E" w:rsidR="00A21E83" w:rsidRPr="00A07F29" w:rsidRDefault="00A21E83" w:rsidP="005111E1">
            <w:pPr>
              <w:widowControl w:val="0"/>
              <w:suppressAutoHyphens/>
              <w:spacing w:after="0" w:line="240" w:lineRule="auto"/>
              <w:jc w:val="both"/>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 xml:space="preserve">Nelielu skaitu īpatņu iznīcina izraujot, lielākās platībās pļaujot </w:t>
            </w:r>
            <w:r w:rsidR="00B2272C">
              <w:rPr>
                <w:rFonts w:ascii="Times New Roman" w:eastAsia="Lucida Sans Unicode" w:hAnsi="Times New Roman" w:cs="Times New Roman"/>
                <w:kern w:val="2"/>
                <w:sz w:val="20"/>
                <w:szCs w:val="20"/>
                <w:lang w:eastAsia="ar-SA"/>
              </w:rPr>
              <w:t>divas</w:t>
            </w:r>
            <w:r w:rsidRPr="00A07F29">
              <w:rPr>
                <w:rFonts w:ascii="Times New Roman" w:eastAsia="Lucida Sans Unicode" w:hAnsi="Times New Roman" w:cs="Times New Roman"/>
                <w:kern w:val="2"/>
                <w:sz w:val="20"/>
                <w:szCs w:val="20"/>
                <w:lang w:eastAsia="ar-SA"/>
              </w:rPr>
              <w:t xml:space="preserve"> reizes sezonā, neļaujot nobriest sēklām.</w:t>
            </w:r>
          </w:p>
        </w:tc>
      </w:tr>
      <w:tr w:rsidR="00A21E83" w:rsidRPr="00A07F29" w14:paraId="397A3B6D" w14:textId="77777777" w:rsidTr="005111E1">
        <w:trPr>
          <w:trHeight w:val="510"/>
        </w:trPr>
        <w:tc>
          <w:tcPr>
            <w:tcW w:w="0" w:type="auto"/>
            <w:tcBorders>
              <w:top w:val="single" w:sz="4" w:space="0" w:color="000000"/>
              <w:left w:val="single" w:sz="4" w:space="0" w:color="000000"/>
              <w:bottom w:val="single" w:sz="4" w:space="0" w:color="000000"/>
              <w:right w:val="single" w:sz="4" w:space="0" w:color="000000"/>
            </w:tcBorders>
            <w:hideMark/>
          </w:tcPr>
          <w:p w14:paraId="3BF6FAC9"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i/>
                <w:kern w:val="2"/>
                <w:sz w:val="20"/>
                <w:szCs w:val="20"/>
                <w:lang w:eastAsia="ar-SA"/>
              </w:rPr>
            </w:pPr>
            <w:r w:rsidRPr="00A07F29">
              <w:rPr>
                <w:rFonts w:ascii="Times New Roman" w:eastAsia="Lucida Sans Unicode" w:hAnsi="Times New Roman" w:cs="Times New Roman"/>
                <w:kern w:val="2"/>
                <w:sz w:val="20"/>
                <w:szCs w:val="20"/>
                <w:lang w:eastAsia="ar-SA"/>
              </w:rPr>
              <w:lastRenderedPageBreak/>
              <w:t>7.</w:t>
            </w:r>
          </w:p>
        </w:tc>
        <w:tc>
          <w:tcPr>
            <w:tcW w:w="0" w:type="auto"/>
            <w:tcBorders>
              <w:top w:val="single" w:sz="4" w:space="0" w:color="000000"/>
              <w:left w:val="single" w:sz="4" w:space="0" w:color="000000"/>
              <w:bottom w:val="single" w:sz="4" w:space="0" w:color="000000"/>
              <w:right w:val="single" w:sz="4" w:space="0" w:color="000000"/>
            </w:tcBorders>
            <w:hideMark/>
          </w:tcPr>
          <w:p w14:paraId="0CFFCA43"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kern w:val="2"/>
                <w:sz w:val="20"/>
                <w:szCs w:val="20"/>
                <w:lang w:eastAsia="ar-SA"/>
              </w:rPr>
            </w:pPr>
            <w:proofErr w:type="spellStart"/>
            <w:r w:rsidRPr="00A07F29">
              <w:rPr>
                <w:rFonts w:ascii="Times New Roman" w:eastAsia="Lucida Sans Unicode" w:hAnsi="Times New Roman" w:cs="Times New Roman"/>
                <w:i/>
                <w:kern w:val="2"/>
                <w:sz w:val="20"/>
                <w:szCs w:val="20"/>
                <w:lang w:eastAsia="ar-SA"/>
              </w:rPr>
              <w:t>Caragana</w:t>
            </w:r>
            <w:proofErr w:type="spellEnd"/>
            <w:r w:rsidRPr="00A07F29">
              <w:rPr>
                <w:rFonts w:ascii="Times New Roman" w:eastAsia="Lucida Sans Unicode" w:hAnsi="Times New Roman" w:cs="Times New Roman"/>
                <w:i/>
                <w:kern w:val="2"/>
                <w:sz w:val="20"/>
                <w:szCs w:val="20"/>
                <w:lang w:eastAsia="ar-SA"/>
              </w:rPr>
              <w:t xml:space="preserve"> </w:t>
            </w:r>
            <w:proofErr w:type="spellStart"/>
            <w:r w:rsidRPr="00A07F29">
              <w:rPr>
                <w:rFonts w:ascii="Times New Roman" w:eastAsia="Lucida Sans Unicode" w:hAnsi="Times New Roman" w:cs="Times New Roman"/>
                <w:i/>
                <w:kern w:val="2"/>
                <w:sz w:val="20"/>
                <w:szCs w:val="20"/>
                <w:lang w:eastAsia="ar-SA"/>
              </w:rPr>
              <w:t>arborescens</w:t>
            </w:r>
            <w:proofErr w:type="spellEnd"/>
          </w:p>
        </w:tc>
        <w:tc>
          <w:tcPr>
            <w:tcW w:w="0" w:type="auto"/>
            <w:tcBorders>
              <w:top w:val="single" w:sz="4" w:space="0" w:color="000000"/>
              <w:left w:val="single" w:sz="4" w:space="0" w:color="000000"/>
              <w:bottom w:val="single" w:sz="4" w:space="0" w:color="000000"/>
              <w:right w:val="single" w:sz="4" w:space="0" w:color="000000"/>
            </w:tcBorders>
            <w:hideMark/>
          </w:tcPr>
          <w:p w14:paraId="4BFF2CA1"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 xml:space="preserve">Kokveida </w:t>
            </w:r>
            <w:proofErr w:type="spellStart"/>
            <w:r w:rsidRPr="00A07F29">
              <w:rPr>
                <w:rFonts w:ascii="Times New Roman" w:eastAsia="Lucida Sans Unicode" w:hAnsi="Times New Roman" w:cs="Times New Roman"/>
                <w:kern w:val="2"/>
                <w:sz w:val="20"/>
                <w:szCs w:val="20"/>
                <w:lang w:eastAsia="ar-SA"/>
              </w:rPr>
              <w:t>karagāna</w:t>
            </w:r>
            <w:proofErr w:type="spellEnd"/>
          </w:p>
        </w:tc>
        <w:tc>
          <w:tcPr>
            <w:tcW w:w="0" w:type="auto"/>
            <w:tcBorders>
              <w:top w:val="single" w:sz="4" w:space="0" w:color="000000"/>
              <w:left w:val="single" w:sz="4" w:space="0" w:color="000000"/>
              <w:bottom w:val="single" w:sz="4" w:space="0" w:color="000000"/>
              <w:right w:val="single" w:sz="4" w:space="0" w:color="000000"/>
            </w:tcBorders>
            <w:hideMark/>
          </w:tcPr>
          <w:p w14:paraId="175FF07C" w14:textId="77777777" w:rsidR="00A21E83" w:rsidRPr="00A07F29" w:rsidRDefault="00A21E83" w:rsidP="005111E1">
            <w:pPr>
              <w:widowControl w:val="0"/>
              <w:suppressAutoHyphens/>
              <w:spacing w:after="0" w:line="240" w:lineRule="auto"/>
              <w:jc w:val="center"/>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17</w:t>
            </w:r>
          </w:p>
        </w:tc>
        <w:tc>
          <w:tcPr>
            <w:tcW w:w="0" w:type="auto"/>
            <w:tcBorders>
              <w:top w:val="single" w:sz="4" w:space="0" w:color="000000"/>
              <w:left w:val="single" w:sz="4" w:space="0" w:color="000000"/>
              <w:bottom w:val="single" w:sz="4" w:space="0" w:color="000000"/>
              <w:right w:val="single" w:sz="4" w:space="0" w:color="000000"/>
            </w:tcBorders>
            <w:hideMark/>
          </w:tcPr>
          <w:p w14:paraId="56999046" w14:textId="77777777" w:rsidR="00A21E83" w:rsidRPr="00A07F29" w:rsidRDefault="00A21E83" w:rsidP="005111E1">
            <w:pPr>
              <w:widowControl w:val="0"/>
              <w:suppressAutoHyphens/>
              <w:spacing w:after="0" w:line="240" w:lineRule="auto"/>
              <w:jc w:val="center"/>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3</w:t>
            </w:r>
          </w:p>
        </w:tc>
        <w:tc>
          <w:tcPr>
            <w:tcW w:w="0" w:type="auto"/>
            <w:tcBorders>
              <w:top w:val="single" w:sz="4" w:space="0" w:color="000000"/>
              <w:left w:val="single" w:sz="4" w:space="0" w:color="000000"/>
              <w:bottom w:val="single" w:sz="4" w:space="0" w:color="000000"/>
              <w:right w:val="single" w:sz="4" w:space="0" w:color="000000"/>
            </w:tcBorders>
            <w:hideMark/>
          </w:tcPr>
          <w:p w14:paraId="5C40B55B"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Cirst ar ķīmiskiem līdzekļiem nokaltētus krūmus. Jaunus krūmus izraut vai izrakt.</w:t>
            </w:r>
          </w:p>
        </w:tc>
      </w:tr>
      <w:tr w:rsidR="00A21E83" w:rsidRPr="00A07F29" w14:paraId="660BF0CF" w14:textId="77777777" w:rsidTr="005111E1">
        <w:trPr>
          <w:trHeight w:val="510"/>
        </w:trPr>
        <w:tc>
          <w:tcPr>
            <w:tcW w:w="0" w:type="auto"/>
            <w:tcBorders>
              <w:top w:val="single" w:sz="4" w:space="0" w:color="000000"/>
              <w:left w:val="single" w:sz="4" w:space="0" w:color="000000"/>
              <w:bottom w:val="single" w:sz="4" w:space="0" w:color="000000"/>
              <w:right w:val="single" w:sz="4" w:space="0" w:color="000000"/>
            </w:tcBorders>
            <w:hideMark/>
          </w:tcPr>
          <w:p w14:paraId="2146967F"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i/>
                <w:kern w:val="2"/>
                <w:sz w:val="20"/>
                <w:szCs w:val="20"/>
                <w:lang w:eastAsia="ar-SA"/>
              </w:rPr>
            </w:pPr>
            <w:r w:rsidRPr="00A07F29">
              <w:rPr>
                <w:rFonts w:ascii="Times New Roman" w:eastAsia="Lucida Sans Unicode" w:hAnsi="Times New Roman" w:cs="Times New Roman"/>
                <w:kern w:val="2"/>
                <w:sz w:val="20"/>
                <w:szCs w:val="20"/>
                <w:lang w:eastAsia="ar-SA"/>
              </w:rPr>
              <w:t>8.</w:t>
            </w:r>
          </w:p>
        </w:tc>
        <w:tc>
          <w:tcPr>
            <w:tcW w:w="0" w:type="auto"/>
            <w:tcBorders>
              <w:top w:val="single" w:sz="4" w:space="0" w:color="000000"/>
              <w:left w:val="single" w:sz="4" w:space="0" w:color="000000"/>
              <w:bottom w:val="single" w:sz="4" w:space="0" w:color="000000"/>
              <w:right w:val="single" w:sz="4" w:space="0" w:color="000000"/>
            </w:tcBorders>
            <w:hideMark/>
          </w:tcPr>
          <w:p w14:paraId="2C084E12"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kern w:val="2"/>
                <w:sz w:val="20"/>
                <w:szCs w:val="20"/>
                <w:lang w:eastAsia="ar-SA"/>
              </w:rPr>
            </w:pPr>
            <w:proofErr w:type="spellStart"/>
            <w:r w:rsidRPr="00A07F29">
              <w:rPr>
                <w:rFonts w:ascii="Times New Roman" w:eastAsia="Lucida Sans Unicode" w:hAnsi="Times New Roman" w:cs="Times New Roman"/>
                <w:i/>
                <w:kern w:val="2"/>
                <w:sz w:val="20"/>
                <w:szCs w:val="20"/>
                <w:lang w:eastAsia="ar-SA"/>
              </w:rPr>
              <w:t>Caragana</w:t>
            </w:r>
            <w:proofErr w:type="spellEnd"/>
            <w:r w:rsidRPr="00A07F29">
              <w:rPr>
                <w:rFonts w:ascii="Times New Roman" w:eastAsia="Lucida Sans Unicode" w:hAnsi="Times New Roman" w:cs="Times New Roman"/>
                <w:i/>
                <w:kern w:val="2"/>
                <w:sz w:val="20"/>
                <w:szCs w:val="20"/>
                <w:lang w:eastAsia="ar-SA"/>
              </w:rPr>
              <w:t xml:space="preserve"> </w:t>
            </w:r>
            <w:proofErr w:type="spellStart"/>
            <w:r w:rsidRPr="00A07F29">
              <w:rPr>
                <w:rFonts w:ascii="Times New Roman" w:eastAsia="Lucida Sans Unicode" w:hAnsi="Times New Roman" w:cs="Times New Roman"/>
                <w:i/>
                <w:kern w:val="2"/>
                <w:sz w:val="20"/>
                <w:szCs w:val="20"/>
                <w:lang w:eastAsia="ar-SA"/>
              </w:rPr>
              <w:t>frutex</w:t>
            </w:r>
            <w:proofErr w:type="spellEnd"/>
          </w:p>
        </w:tc>
        <w:tc>
          <w:tcPr>
            <w:tcW w:w="0" w:type="auto"/>
            <w:tcBorders>
              <w:top w:val="single" w:sz="4" w:space="0" w:color="000000"/>
              <w:left w:val="single" w:sz="4" w:space="0" w:color="000000"/>
              <w:bottom w:val="single" w:sz="4" w:space="0" w:color="000000"/>
              <w:right w:val="single" w:sz="4" w:space="0" w:color="000000"/>
            </w:tcBorders>
            <w:hideMark/>
          </w:tcPr>
          <w:p w14:paraId="55A7CA66"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kern w:val="2"/>
                <w:sz w:val="20"/>
                <w:szCs w:val="20"/>
                <w:lang w:eastAsia="ar-SA"/>
              </w:rPr>
            </w:pPr>
            <w:proofErr w:type="spellStart"/>
            <w:r w:rsidRPr="00A07F29">
              <w:rPr>
                <w:rFonts w:ascii="Times New Roman" w:eastAsia="Lucida Sans Unicode" w:hAnsi="Times New Roman" w:cs="Times New Roman"/>
                <w:kern w:val="2"/>
                <w:sz w:val="20"/>
                <w:szCs w:val="20"/>
                <w:lang w:eastAsia="ar-SA"/>
              </w:rPr>
              <w:t>Krūmveida</w:t>
            </w:r>
            <w:proofErr w:type="spellEnd"/>
            <w:r w:rsidRPr="00A07F29">
              <w:rPr>
                <w:rFonts w:ascii="Times New Roman" w:eastAsia="Lucida Sans Unicode" w:hAnsi="Times New Roman" w:cs="Times New Roman"/>
                <w:kern w:val="2"/>
                <w:sz w:val="20"/>
                <w:szCs w:val="20"/>
                <w:lang w:eastAsia="ar-SA"/>
              </w:rPr>
              <w:t xml:space="preserve"> </w:t>
            </w:r>
            <w:proofErr w:type="spellStart"/>
            <w:r w:rsidRPr="00A07F29">
              <w:rPr>
                <w:rFonts w:ascii="Times New Roman" w:eastAsia="Lucida Sans Unicode" w:hAnsi="Times New Roman" w:cs="Times New Roman"/>
                <w:kern w:val="2"/>
                <w:sz w:val="20"/>
                <w:szCs w:val="20"/>
                <w:lang w:eastAsia="ar-SA"/>
              </w:rPr>
              <w:t>karagāna</w:t>
            </w:r>
            <w:proofErr w:type="spellEnd"/>
          </w:p>
        </w:tc>
        <w:tc>
          <w:tcPr>
            <w:tcW w:w="0" w:type="auto"/>
            <w:tcBorders>
              <w:top w:val="single" w:sz="4" w:space="0" w:color="000000"/>
              <w:left w:val="single" w:sz="4" w:space="0" w:color="000000"/>
              <w:bottom w:val="single" w:sz="4" w:space="0" w:color="000000"/>
              <w:right w:val="single" w:sz="4" w:space="0" w:color="000000"/>
            </w:tcBorders>
            <w:hideMark/>
          </w:tcPr>
          <w:p w14:paraId="210C9E4C" w14:textId="77777777" w:rsidR="00A21E83" w:rsidRPr="00A07F29" w:rsidRDefault="00A21E83" w:rsidP="005111E1">
            <w:pPr>
              <w:widowControl w:val="0"/>
              <w:suppressAutoHyphens/>
              <w:spacing w:after="0" w:line="240" w:lineRule="auto"/>
              <w:jc w:val="center"/>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1</w:t>
            </w:r>
          </w:p>
        </w:tc>
        <w:tc>
          <w:tcPr>
            <w:tcW w:w="0" w:type="auto"/>
            <w:tcBorders>
              <w:top w:val="single" w:sz="4" w:space="0" w:color="000000"/>
              <w:left w:val="single" w:sz="4" w:space="0" w:color="000000"/>
              <w:bottom w:val="single" w:sz="4" w:space="0" w:color="000000"/>
              <w:right w:val="single" w:sz="4" w:space="0" w:color="000000"/>
            </w:tcBorders>
            <w:hideMark/>
          </w:tcPr>
          <w:p w14:paraId="7C218B05" w14:textId="77777777" w:rsidR="00A21E83" w:rsidRPr="00A07F29" w:rsidRDefault="00A21E83" w:rsidP="005111E1">
            <w:pPr>
              <w:widowControl w:val="0"/>
              <w:suppressAutoHyphens/>
              <w:spacing w:after="0" w:line="240" w:lineRule="auto"/>
              <w:jc w:val="center"/>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1</w:t>
            </w:r>
          </w:p>
        </w:tc>
        <w:tc>
          <w:tcPr>
            <w:tcW w:w="0" w:type="auto"/>
            <w:tcBorders>
              <w:top w:val="single" w:sz="4" w:space="0" w:color="000000"/>
              <w:left w:val="single" w:sz="4" w:space="0" w:color="000000"/>
              <w:bottom w:val="single" w:sz="4" w:space="0" w:color="000000"/>
              <w:right w:val="single" w:sz="4" w:space="0" w:color="000000"/>
            </w:tcBorders>
            <w:hideMark/>
          </w:tcPr>
          <w:p w14:paraId="2DDF2E9C"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Cirst ar ķīmiskiem līdzekļiem nokaltētus krūmus. Jaunus krūmus izraut vai izrakt.</w:t>
            </w:r>
          </w:p>
        </w:tc>
      </w:tr>
      <w:tr w:rsidR="00A21E83" w:rsidRPr="00A07F29" w14:paraId="5ACF306A" w14:textId="77777777" w:rsidTr="005111E1">
        <w:trPr>
          <w:trHeight w:val="510"/>
        </w:trPr>
        <w:tc>
          <w:tcPr>
            <w:tcW w:w="0" w:type="auto"/>
            <w:tcBorders>
              <w:top w:val="single" w:sz="4" w:space="0" w:color="000000"/>
              <w:left w:val="single" w:sz="4" w:space="0" w:color="000000"/>
              <w:bottom w:val="single" w:sz="4" w:space="0" w:color="000000"/>
              <w:right w:val="single" w:sz="4" w:space="0" w:color="000000"/>
            </w:tcBorders>
            <w:hideMark/>
          </w:tcPr>
          <w:p w14:paraId="732222BE"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i/>
                <w:kern w:val="2"/>
                <w:sz w:val="20"/>
                <w:szCs w:val="20"/>
                <w:lang w:eastAsia="ar-SA"/>
              </w:rPr>
            </w:pPr>
            <w:r w:rsidRPr="00A07F29">
              <w:rPr>
                <w:rFonts w:ascii="Times New Roman" w:eastAsia="Lucida Sans Unicode" w:hAnsi="Times New Roman" w:cs="Times New Roman"/>
                <w:kern w:val="2"/>
                <w:sz w:val="20"/>
                <w:szCs w:val="20"/>
                <w:lang w:eastAsia="ar-SA"/>
              </w:rPr>
              <w:t>9.</w:t>
            </w:r>
          </w:p>
        </w:tc>
        <w:tc>
          <w:tcPr>
            <w:tcW w:w="0" w:type="auto"/>
            <w:tcBorders>
              <w:top w:val="single" w:sz="4" w:space="0" w:color="000000"/>
              <w:left w:val="single" w:sz="4" w:space="0" w:color="000000"/>
              <w:bottom w:val="single" w:sz="4" w:space="0" w:color="000000"/>
              <w:right w:val="single" w:sz="4" w:space="0" w:color="000000"/>
            </w:tcBorders>
            <w:hideMark/>
          </w:tcPr>
          <w:p w14:paraId="7F9BC24A"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kern w:val="2"/>
                <w:sz w:val="20"/>
                <w:szCs w:val="20"/>
                <w:lang w:eastAsia="ar-SA"/>
              </w:rPr>
            </w:pPr>
            <w:proofErr w:type="spellStart"/>
            <w:r w:rsidRPr="00A07F29">
              <w:rPr>
                <w:rFonts w:ascii="Times New Roman" w:eastAsia="Lucida Sans Unicode" w:hAnsi="Times New Roman" w:cs="Times New Roman"/>
                <w:i/>
                <w:kern w:val="2"/>
                <w:sz w:val="20"/>
                <w:szCs w:val="20"/>
                <w:lang w:eastAsia="ar-SA"/>
              </w:rPr>
              <w:t>Cotoneaster</w:t>
            </w:r>
            <w:proofErr w:type="spellEnd"/>
            <w:r w:rsidRPr="00A07F29">
              <w:rPr>
                <w:rFonts w:ascii="Times New Roman" w:eastAsia="Lucida Sans Unicode" w:hAnsi="Times New Roman" w:cs="Times New Roman"/>
                <w:i/>
                <w:kern w:val="2"/>
                <w:sz w:val="20"/>
                <w:szCs w:val="20"/>
                <w:lang w:eastAsia="ar-SA"/>
              </w:rPr>
              <w:t xml:space="preserve"> </w:t>
            </w:r>
            <w:proofErr w:type="spellStart"/>
            <w:r w:rsidRPr="00A07F29">
              <w:rPr>
                <w:rFonts w:ascii="Times New Roman" w:eastAsia="Lucida Sans Unicode" w:hAnsi="Times New Roman" w:cs="Times New Roman"/>
                <w:i/>
                <w:kern w:val="2"/>
                <w:sz w:val="20"/>
                <w:szCs w:val="20"/>
                <w:lang w:eastAsia="ar-SA"/>
              </w:rPr>
              <w:t>lucidus</w:t>
            </w:r>
            <w:proofErr w:type="spellEnd"/>
          </w:p>
        </w:tc>
        <w:tc>
          <w:tcPr>
            <w:tcW w:w="0" w:type="auto"/>
            <w:tcBorders>
              <w:top w:val="single" w:sz="4" w:space="0" w:color="000000"/>
              <w:left w:val="single" w:sz="4" w:space="0" w:color="000000"/>
              <w:bottom w:val="single" w:sz="4" w:space="0" w:color="000000"/>
              <w:right w:val="single" w:sz="4" w:space="0" w:color="000000"/>
            </w:tcBorders>
            <w:hideMark/>
          </w:tcPr>
          <w:p w14:paraId="1579870C"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Spožā klintene</w:t>
            </w:r>
          </w:p>
        </w:tc>
        <w:tc>
          <w:tcPr>
            <w:tcW w:w="0" w:type="auto"/>
            <w:tcBorders>
              <w:top w:val="single" w:sz="4" w:space="0" w:color="000000"/>
              <w:left w:val="single" w:sz="4" w:space="0" w:color="000000"/>
              <w:bottom w:val="single" w:sz="4" w:space="0" w:color="000000"/>
              <w:right w:val="single" w:sz="4" w:space="0" w:color="000000"/>
            </w:tcBorders>
            <w:hideMark/>
          </w:tcPr>
          <w:p w14:paraId="723E9C11" w14:textId="77777777" w:rsidR="00A21E83" w:rsidRPr="00A07F29" w:rsidRDefault="00A21E83" w:rsidP="005111E1">
            <w:pPr>
              <w:widowControl w:val="0"/>
              <w:suppressAutoHyphens/>
              <w:spacing w:after="0" w:line="240" w:lineRule="auto"/>
              <w:jc w:val="center"/>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3</w:t>
            </w:r>
          </w:p>
        </w:tc>
        <w:tc>
          <w:tcPr>
            <w:tcW w:w="0" w:type="auto"/>
            <w:tcBorders>
              <w:top w:val="single" w:sz="4" w:space="0" w:color="000000"/>
              <w:left w:val="single" w:sz="4" w:space="0" w:color="000000"/>
              <w:bottom w:val="single" w:sz="4" w:space="0" w:color="000000"/>
              <w:right w:val="single" w:sz="4" w:space="0" w:color="000000"/>
            </w:tcBorders>
            <w:hideMark/>
          </w:tcPr>
          <w:p w14:paraId="66F627AB" w14:textId="77777777" w:rsidR="00A21E83" w:rsidRPr="00A07F29" w:rsidRDefault="00A21E83" w:rsidP="005111E1">
            <w:pPr>
              <w:widowControl w:val="0"/>
              <w:suppressAutoHyphens/>
              <w:spacing w:after="0" w:line="240" w:lineRule="auto"/>
              <w:jc w:val="center"/>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3</w:t>
            </w:r>
          </w:p>
        </w:tc>
        <w:tc>
          <w:tcPr>
            <w:tcW w:w="0" w:type="auto"/>
            <w:tcBorders>
              <w:top w:val="single" w:sz="4" w:space="0" w:color="000000"/>
              <w:left w:val="single" w:sz="4" w:space="0" w:color="000000"/>
              <w:bottom w:val="single" w:sz="4" w:space="0" w:color="000000"/>
              <w:right w:val="single" w:sz="4" w:space="0" w:color="000000"/>
            </w:tcBorders>
            <w:hideMark/>
          </w:tcPr>
          <w:p w14:paraId="0C5CAFC1"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Atsevišķus krūmus un nelielas audzes izrok. Lielākas audzes ilgstoši pļauj.</w:t>
            </w:r>
          </w:p>
        </w:tc>
      </w:tr>
      <w:tr w:rsidR="00A21E83" w:rsidRPr="00A07F29" w14:paraId="37455606" w14:textId="77777777" w:rsidTr="005111E1">
        <w:trPr>
          <w:trHeight w:val="510"/>
        </w:trPr>
        <w:tc>
          <w:tcPr>
            <w:tcW w:w="0" w:type="auto"/>
            <w:tcBorders>
              <w:top w:val="single" w:sz="4" w:space="0" w:color="000000"/>
              <w:left w:val="single" w:sz="4" w:space="0" w:color="000000"/>
              <w:bottom w:val="single" w:sz="4" w:space="0" w:color="000000"/>
              <w:right w:val="single" w:sz="4" w:space="0" w:color="000000"/>
            </w:tcBorders>
            <w:hideMark/>
          </w:tcPr>
          <w:p w14:paraId="59814047"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i/>
                <w:color w:val="000000"/>
                <w:kern w:val="2"/>
                <w:sz w:val="20"/>
                <w:szCs w:val="20"/>
                <w:lang w:eastAsia="ar-SA"/>
              </w:rPr>
            </w:pPr>
            <w:r w:rsidRPr="00A07F29">
              <w:rPr>
                <w:rFonts w:ascii="Times New Roman" w:eastAsia="Lucida Sans Unicode" w:hAnsi="Times New Roman" w:cs="Times New Roman"/>
                <w:kern w:val="2"/>
                <w:sz w:val="20"/>
                <w:szCs w:val="20"/>
                <w:lang w:eastAsia="ar-SA"/>
              </w:rPr>
              <w:t>10.</w:t>
            </w:r>
          </w:p>
        </w:tc>
        <w:tc>
          <w:tcPr>
            <w:tcW w:w="0" w:type="auto"/>
            <w:tcBorders>
              <w:top w:val="single" w:sz="4" w:space="0" w:color="000000"/>
              <w:left w:val="single" w:sz="4" w:space="0" w:color="000000"/>
              <w:bottom w:val="single" w:sz="4" w:space="0" w:color="000000"/>
              <w:right w:val="single" w:sz="4" w:space="0" w:color="000000"/>
            </w:tcBorders>
            <w:hideMark/>
          </w:tcPr>
          <w:p w14:paraId="4E8BC19A"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kern w:val="2"/>
                <w:sz w:val="20"/>
                <w:szCs w:val="20"/>
                <w:lang w:eastAsia="ar-SA"/>
              </w:rPr>
            </w:pPr>
            <w:proofErr w:type="spellStart"/>
            <w:r w:rsidRPr="00A07F29">
              <w:rPr>
                <w:rFonts w:ascii="Times New Roman" w:eastAsia="Lucida Sans Unicode" w:hAnsi="Times New Roman" w:cs="Times New Roman"/>
                <w:i/>
                <w:color w:val="000000"/>
                <w:kern w:val="2"/>
                <w:sz w:val="20"/>
                <w:szCs w:val="20"/>
                <w:lang w:eastAsia="ar-SA"/>
              </w:rPr>
              <w:t>Echinocystis</w:t>
            </w:r>
            <w:proofErr w:type="spellEnd"/>
            <w:r w:rsidRPr="00A07F29">
              <w:rPr>
                <w:rFonts w:ascii="Times New Roman" w:eastAsia="Lucida Sans Unicode" w:hAnsi="Times New Roman" w:cs="Times New Roman"/>
                <w:i/>
                <w:color w:val="000000"/>
                <w:kern w:val="2"/>
                <w:sz w:val="20"/>
                <w:szCs w:val="20"/>
                <w:lang w:eastAsia="ar-SA"/>
              </w:rPr>
              <w:t xml:space="preserve"> </w:t>
            </w:r>
            <w:proofErr w:type="spellStart"/>
            <w:r w:rsidRPr="00A07F29">
              <w:rPr>
                <w:rFonts w:ascii="Times New Roman" w:eastAsia="Lucida Sans Unicode" w:hAnsi="Times New Roman" w:cs="Times New Roman"/>
                <w:i/>
                <w:color w:val="000000"/>
                <w:kern w:val="2"/>
                <w:sz w:val="20"/>
                <w:szCs w:val="20"/>
                <w:lang w:eastAsia="ar-SA"/>
              </w:rPr>
              <w:t>lobata</w:t>
            </w:r>
            <w:proofErr w:type="spellEnd"/>
          </w:p>
        </w:tc>
        <w:tc>
          <w:tcPr>
            <w:tcW w:w="0" w:type="auto"/>
            <w:tcBorders>
              <w:top w:val="single" w:sz="4" w:space="0" w:color="000000"/>
              <w:left w:val="single" w:sz="4" w:space="0" w:color="000000"/>
              <w:bottom w:val="single" w:sz="4" w:space="0" w:color="000000"/>
              <w:right w:val="single" w:sz="4" w:space="0" w:color="000000"/>
            </w:tcBorders>
            <w:hideMark/>
          </w:tcPr>
          <w:p w14:paraId="628F1AAB"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 xml:space="preserve">Adatainais </w:t>
            </w:r>
            <w:proofErr w:type="spellStart"/>
            <w:r w:rsidRPr="00A07F29">
              <w:rPr>
                <w:rFonts w:ascii="Times New Roman" w:eastAsia="Lucida Sans Unicode" w:hAnsi="Times New Roman" w:cs="Times New Roman"/>
                <w:kern w:val="2"/>
                <w:sz w:val="20"/>
                <w:szCs w:val="20"/>
                <w:lang w:eastAsia="ar-SA"/>
              </w:rPr>
              <w:t>dzeloņgurķis</w:t>
            </w:r>
            <w:proofErr w:type="spellEnd"/>
          </w:p>
        </w:tc>
        <w:tc>
          <w:tcPr>
            <w:tcW w:w="0" w:type="auto"/>
            <w:tcBorders>
              <w:top w:val="single" w:sz="4" w:space="0" w:color="000000"/>
              <w:left w:val="single" w:sz="4" w:space="0" w:color="000000"/>
              <w:bottom w:val="single" w:sz="4" w:space="0" w:color="000000"/>
              <w:right w:val="single" w:sz="4" w:space="0" w:color="000000"/>
            </w:tcBorders>
            <w:hideMark/>
          </w:tcPr>
          <w:p w14:paraId="26FEF747" w14:textId="77777777" w:rsidR="00A21E83" w:rsidRPr="00A07F29" w:rsidRDefault="00A21E83" w:rsidP="005111E1">
            <w:pPr>
              <w:widowControl w:val="0"/>
              <w:suppressAutoHyphens/>
              <w:spacing w:after="0" w:line="240" w:lineRule="auto"/>
              <w:jc w:val="center"/>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31</w:t>
            </w:r>
          </w:p>
        </w:tc>
        <w:tc>
          <w:tcPr>
            <w:tcW w:w="0" w:type="auto"/>
            <w:tcBorders>
              <w:top w:val="single" w:sz="4" w:space="0" w:color="000000"/>
              <w:left w:val="single" w:sz="4" w:space="0" w:color="000000"/>
              <w:bottom w:val="single" w:sz="4" w:space="0" w:color="000000"/>
              <w:right w:val="single" w:sz="4" w:space="0" w:color="000000"/>
            </w:tcBorders>
            <w:hideMark/>
          </w:tcPr>
          <w:p w14:paraId="1E611A83" w14:textId="77777777" w:rsidR="00A21E83" w:rsidRPr="00A07F29" w:rsidRDefault="00A21E83" w:rsidP="005111E1">
            <w:pPr>
              <w:widowControl w:val="0"/>
              <w:suppressAutoHyphens/>
              <w:spacing w:after="0" w:line="240" w:lineRule="auto"/>
              <w:jc w:val="center"/>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8</w:t>
            </w:r>
          </w:p>
        </w:tc>
        <w:tc>
          <w:tcPr>
            <w:tcW w:w="0" w:type="auto"/>
            <w:tcBorders>
              <w:top w:val="single" w:sz="4" w:space="0" w:color="000000"/>
              <w:left w:val="single" w:sz="4" w:space="0" w:color="000000"/>
              <w:bottom w:val="single" w:sz="4" w:space="0" w:color="000000"/>
              <w:right w:val="single" w:sz="4" w:space="0" w:color="000000"/>
            </w:tcBorders>
            <w:hideMark/>
          </w:tcPr>
          <w:p w14:paraId="0E42E484"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skat. sugas aprakstu</w:t>
            </w:r>
          </w:p>
        </w:tc>
      </w:tr>
      <w:tr w:rsidR="00A21E83" w:rsidRPr="00A07F29" w14:paraId="4339C9B8" w14:textId="77777777" w:rsidTr="005111E1">
        <w:trPr>
          <w:trHeight w:val="510"/>
        </w:trPr>
        <w:tc>
          <w:tcPr>
            <w:tcW w:w="0" w:type="auto"/>
            <w:tcBorders>
              <w:top w:val="single" w:sz="4" w:space="0" w:color="000000"/>
              <w:left w:val="single" w:sz="4" w:space="0" w:color="000000"/>
              <w:bottom w:val="single" w:sz="4" w:space="0" w:color="000000"/>
              <w:right w:val="single" w:sz="4" w:space="0" w:color="000000"/>
            </w:tcBorders>
            <w:hideMark/>
          </w:tcPr>
          <w:p w14:paraId="7A01F540"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i/>
                <w:kern w:val="2"/>
                <w:sz w:val="20"/>
                <w:szCs w:val="20"/>
                <w:lang w:eastAsia="ar-SA"/>
              </w:rPr>
            </w:pPr>
            <w:r w:rsidRPr="00A07F29">
              <w:rPr>
                <w:rFonts w:ascii="Times New Roman" w:eastAsia="Lucida Sans Unicode" w:hAnsi="Times New Roman" w:cs="Times New Roman"/>
                <w:kern w:val="2"/>
                <w:sz w:val="20"/>
                <w:szCs w:val="20"/>
                <w:lang w:eastAsia="ar-SA"/>
              </w:rPr>
              <w:t>11.</w:t>
            </w:r>
          </w:p>
        </w:tc>
        <w:tc>
          <w:tcPr>
            <w:tcW w:w="0" w:type="auto"/>
            <w:tcBorders>
              <w:top w:val="single" w:sz="4" w:space="0" w:color="000000"/>
              <w:left w:val="single" w:sz="4" w:space="0" w:color="000000"/>
              <w:bottom w:val="single" w:sz="4" w:space="0" w:color="000000"/>
              <w:right w:val="single" w:sz="4" w:space="0" w:color="000000"/>
            </w:tcBorders>
            <w:hideMark/>
          </w:tcPr>
          <w:p w14:paraId="382A869F"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kern w:val="2"/>
                <w:sz w:val="20"/>
                <w:szCs w:val="20"/>
                <w:lang w:eastAsia="ar-SA"/>
              </w:rPr>
            </w:pPr>
            <w:proofErr w:type="spellStart"/>
            <w:r w:rsidRPr="00A07F29">
              <w:rPr>
                <w:rFonts w:ascii="Times New Roman" w:eastAsia="Lucida Sans Unicode" w:hAnsi="Times New Roman" w:cs="Times New Roman"/>
                <w:i/>
                <w:kern w:val="2"/>
                <w:sz w:val="20"/>
                <w:szCs w:val="20"/>
                <w:lang w:eastAsia="ar-SA"/>
              </w:rPr>
              <w:t>Helianthus</w:t>
            </w:r>
            <w:proofErr w:type="spellEnd"/>
            <w:r w:rsidRPr="00A07F29">
              <w:rPr>
                <w:rFonts w:ascii="Times New Roman" w:eastAsia="Lucida Sans Unicode" w:hAnsi="Times New Roman" w:cs="Times New Roman"/>
                <w:i/>
                <w:kern w:val="2"/>
                <w:sz w:val="20"/>
                <w:szCs w:val="20"/>
                <w:lang w:eastAsia="ar-SA"/>
              </w:rPr>
              <w:t xml:space="preserve"> </w:t>
            </w:r>
            <w:proofErr w:type="spellStart"/>
            <w:r w:rsidRPr="00A07F29">
              <w:rPr>
                <w:rFonts w:ascii="Times New Roman" w:eastAsia="Lucida Sans Unicode" w:hAnsi="Times New Roman" w:cs="Times New Roman"/>
                <w:i/>
                <w:kern w:val="2"/>
                <w:sz w:val="20"/>
                <w:szCs w:val="20"/>
                <w:lang w:eastAsia="ar-SA"/>
              </w:rPr>
              <w:t>tuberosus</w:t>
            </w:r>
            <w:proofErr w:type="spellEnd"/>
          </w:p>
        </w:tc>
        <w:tc>
          <w:tcPr>
            <w:tcW w:w="0" w:type="auto"/>
            <w:tcBorders>
              <w:top w:val="single" w:sz="4" w:space="0" w:color="000000"/>
              <w:left w:val="single" w:sz="4" w:space="0" w:color="000000"/>
              <w:bottom w:val="single" w:sz="4" w:space="0" w:color="000000"/>
              <w:right w:val="single" w:sz="4" w:space="0" w:color="000000"/>
            </w:tcBorders>
            <w:hideMark/>
          </w:tcPr>
          <w:p w14:paraId="527B4AAB"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Bumbuļu topinambūrs</w:t>
            </w:r>
          </w:p>
        </w:tc>
        <w:tc>
          <w:tcPr>
            <w:tcW w:w="0" w:type="auto"/>
            <w:tcBorders>
              <w:top w:val="single" w:sz="4" w:space="0" w:color="000000"/>
              <w:left w:val="single" w:sz="4" w:space="0" w:color="000000"/>
              <w:bottom w:val="single" w:sz="4" w:space="0" w:color="000000"/>
              <w:right w:val="single" w:sz="4" w:space="0" w:color="000000"/>
            </w:tcBorders>
            <w:hideMark/>
          </w:tcPr>
          <w:p w14:paraId="5EEC51D8" w14:textId="77777777" w:rsidR="00A21E83" w:rsidRPr="00A07F29" w:rsidRDefault="00A21E83" w:rsidP="005111E1">
            <w:pPr>
              <w:widowControl w:val="0"/>
              <w:suppressAutoHyphens/>
              <w:spacing w:after="0" w:line="240" w:lineRule="auto"/>
              <w:jc w:val="center"/>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12</w:t>
            </w:r>
          </w:p>
        </w:tc>
        <w:tc>
          <w:tcPr>
            <w:tcW w:w="0" w:type="auto"/>
            <w:tcBorders>
              <w:top w:val="single" w:sz="4" w:space="0" w:color="000000"/>
              <w:left w:val="single" w:sz="4" w:space="0" w:color="000000"/>
              <w:bottom w:val="single" w:sz="4" w:space="0" w:color="000000"/>
              <w:right w:val="single" w:sz="4" w:space="0" w:color="000000"/>
            </w:tcBorders>
            <w:hideMark/>
          </w:tcPr>
          <w:p w14:paraId="2B0CAF80" w14:textId="77777777" w:rsidR="00A21E83" w:rsidRPr="00A07F29" w:rsidRDefault="00A21E83" w:rsidP="005111E1">
            <w:pPr>
              <w:widowControl w:val="0"/>
              <w:suppressAutoHyphens/>
              <w:spacing w:after="0" w:line="240" w:lineRule="auto"/>
              <w:jc w:val="center"/>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4</w:t>
            </w:r>
          </w:p>
        </w:tc>
        <w:tc>
          <w:tcPr>
            <w:tcW w:w="0" w:type="auto"/>
            <w:tcBorders>
              <w:top w:val="single" w:sz="4" w:space="0" w:color="000000"/>
              <w:left w:val="single" w:sz="4" w:space="0" w:color="000000"/>
              <w:bottom w:val="single" w:sz="4" w:space="0" w:color="000000"/>
              <w:right w:val="single" w:sz="4" w:space="0" w:color="000000"/>
            </w:tcBorders>
          </w:tcPr>
          <w:p w14:paraId="6F26EC07" w14:textId="631BF105" w:rsidR="00A21E83" w:rsidRPr="00A07F29" w:rsidRDefault="00A21E83" w:rsidP="005111E1">
            <w:pPr>
              <w:widowControl w:val="0"/>
              <w:suppressAutoHyphens/>
              <w:spacing w:after="0" w:line="240" w:lineRule="auto"/>
              <w:jc w:val="both"/>
              <w:rPr>
                <w:rFonts w:ascii="Times New Roman" w:eastAsia="Lucida Sans Unicode" w:hAnsi="Times New Roman" w:cs="Times New Roman"/>
                <w:strike/>
                <w:kern w:val="2"/>
                <w:sz w:val="20"/>
                <w:szCs w:val="20"/>
                <w:lang w:eastAsia="ar-SA"/>
              </w:rPr>
            </w:pPr>
            <w:r w:rsidRPr="00A07F29">
              <w:rPr>
                <w:rFonts w:ascii="Times New Roman" w:eastAsia="Lucida Sans Unicode" w:hAnsi="Times New Roman" w:cs="Times New Roman"/>
                <w:kern w:val="2"/>
                <w:sz w:val="20"/>
                <w:szCs w:val="20"/>
                <w:lang w:eastAsia="ar-SA"/>
              </w:rPr>
              <w:t xml:space="preserve">Suga galvenokārt sastopama </w:t>
            </w:r>
            <w:proofErr w:type="spellStart"/>
            <w:r w:rsidRPr="00A07F29">
              <w:rPr>
                <w:rFonts w:ascii="Times New Roman" w:eastAsia="Lucida Sans Unicode" w:hAnsi="Times New Roman" w:cs="Times New Roman"/>
                <w:kern w:val="2"/>
                <w:sz w:val="20"/>
                <w:szCs w:val="20"/>
                <w:lang w:eastAsia="ar-SA"/>
              </w:rPr>
              <w:t>ruderālos</w:t>
            </w:r>
            <w:proofErr w:type="spellEnd"/>
            <w:r w:rsidRPr="00A07F29">
              <w:rPr>
                <w:rFonts w:ascii="Times New Roman" w:eastAsia="Lucida Sans Unicode" w:hAnsi="Times New Roman" w:cs="Times New Roman"/>
                <w:kern w:val="2"/>
                <w:sz w:val="20"/>
                <w:szCs w:val="20"/>
                <w:lang w:eastAsia="ar-SA"/>
              </w:rPr>
              <w:t xml:space="preserve"> biotopos. Nelielās platībās izrok, tīraudzēs apkaro ar herbicīdiem.</w:t>
            </w:r>
          </w:p>
        </w:tc>
      </w:tr>
      <w:tr w:rsidR="00A21E83" w:rsidRPr="00A07F29" w14:paraId="78EF3DF1" w14:textId="77777777" w:rsidTr="005111E1">
        <w:trPr>
          <w:trHeight w:val="510"/>
        </w:trPr>
        <w:tc>
          <w:tcPr>
            <w:tcW w:w="0" w:type="auto"/>
            <w:tcBorders>
              <w:top w:val="single" w:sz="4" w:space="0" w:color="000000"/>
              <w:left w:val="single" w:sz="4" w:space="0" w:color="000000"/>
              <w:bottom w:val="single" w:sz="4" w:space="0" w:color="000000"/>
              <w:right w:val="single" w:sz="4" w:space="0" w:color="000000"/>
            </w:tcBorders>
            <w:hideMark/>
          </w:tcPr>
          <w:p w14:paraId="1AFC7761"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i/>
                <w:kern w:val="2"/>
                <w:sz w:val="20"/>
                <w:szCs w:val="20"/>
                <w:lang w:eastAsia="ar-SA"/>
              </w:rPr>
            </w:pPr>
            <w:r w:rsidRPr="00A07F29">
              <w:rPr>
                <w:rFonts w:ascii="Times New Roman" w:eastAsia="Lucida Sans Unicode" w:hAnsi="Times New Roman" w:cs="Times New Roman"/>
                <w:kern w:val="2"/>
                <w:sz w:val="20"/>
                <w:szCs w:val="20"/>
                <w:lang w:eastAsia="ar-SA"/>
              </w:rPr>
              <w:t>12.</w:t>
            </w:r>
          </w:p>
        </w:tc>
        <w:tc>
          <w:tcPr>
            <w:tcW w:w="0" w:type="auto"/>
            <w:tcBorders>
              <w:top w:val="single" w:sz="4" w:space="0" w:color="000000"/>
              <w:left w:val="single" w:sz="4" w:space="0" w:color="000000"/>
              <w:bottom w:val="single" w:sz="4" w:space="0" w:color="000000"/>
              <w:right w:val="single" w:sz="4" w:space="0" w:color="000000"/>
            </w:tcBorders>
            <w:hideMark/>
          </w:tcPr>
          <w:p w14:paraId="627C8E6A"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kern w:val="2"/>
                <w:sz w:val="20"/>
                <w:szCs w:val="20"/>
                <w:lang w:eastAsia="ar-SA"/>
              </w:rPr>
            </w:pPr>
            <w:proofErr w:type="spellStart"/>
            <w:r w:rsidRPr="00A07F29">
              <w:rPr>
                <w:rFonts w:ascii="Times New Roman" w:eastAsia="Lucida Sans Unicode" w:hAnsi="Times New Roman" w:cs="Times New Roman"/>
                <w:i/>
                <w:kern w:val="2"/>
                <w:sz w:val="20"/>
                <w:szCs w:val="20"/>
                <w:lang w:eastAsia="ar-SA"/>
              </w:rPr>
              <w:t>Hippophaё</w:t>
            </w:r>
            <w:proofErr w:type="spellEnd"/>
            <w:r w:rsidRPr="00A07F29">
              <w:rPr>
                <w:rFonts w:ascii="Times New Roman" w:eastAsia="Lucida Sans Unicode" w:hAnsi="Times New Roman" w:cs="Times New Roman"/>
                <w:i/>
                <w:kern w:val="2"/>
                <w:sz w:val="20"/>
                <w:szCs w:val="20"/>
                <w:lang w:eastAsia="ar-SA"/>
              </w:rPr>
              <w:t xml:space="preserve"> </w:t>
            </w:r>
            <w:proofErr w:type="spellStart"/>
            <w:r w:rsidRPr="00A07F29">
              <w:rPr>
                <w:rFonts w:ascii="Times New Roman" w:eastAsia="Lucida Sans Unicode" w:hAnsi="Times New Roman" w:cs="Times New Roman"/>
                <w:i/>
                <w:kern w:val="2"/>
                <w:sz w:val="20"/>
                <w:szCs w:val="20"/>
                <w:lang w:eastAsia="ar-SA"/>
              </w:rPr>
              <w:t>rhamnoides</w:t>
            </w:r>
            <w:proofErr w:type="spellEnd"/>
            <w:r w:rsidRPr="00A07F29">
              <w:rPr>
                <w:rFonts w:ascii="Times New Roman" w:eastAsia="Lucida Sans Unicode" w:hAnsi="Times New Roman" w:cs="Times New Roman"/>
                <w:i/>
                <w:kern w:val="2"/>
                <w:sz w:val="20"/>
                <w:szCs w:val="20"/>
                <w:lang w:eastAsia="ar-SA"/>
              </w:rPr>
              <w:t> </w:t>
            </w:r>
          </w:p>
        </w:tc>
        <w:tc>
          <w:tcPr>
            <w:tcW w:w="0" w:type="auto"/>
            <w:tcBorders>
              <w:top w:val="single" w:sz="4" w:space="0" w:color="000000"/>
              <w:left w:val="single" w:sz="4" w:space="0" w:color="000000"/>
              <w:bottom w:val="single" w:sz="4" w:space="0" w:color="000000"/>
              <w:right w:val="single" w:sz="4" w:space="0" w:color="000000"/>
            </w:tcBorders>
            <w:hideMark/>
          </w:tcPr>
          <w:p w14:paraId="5F7071F7"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Pabērzu smiltsērkšķis</w:t>
            </w:r>
          </w:p>
        </w:tc>
        <w:tc>
          <w:tcPr>
            <w:tcW w:w="0" w:type="auto"/>
            <w:tcBorders>
              <w:top w:val="single" w:sz="4" w:space="0" w:color="000000"/>
              <w:left w:val="single" w:sz="4" w:space="0" w:color="000000"/>
              <w:bottom w:val="single" w:sz="4" w:space="0" w:color="000000"/>
              <w:right w:val="single" w:sz="4" w:space="0" w:color="000000"/>
            </w:tcBorders>
            <w:hideMark/>
          </w:tcPr>
          <w:p w14:paraId="77D0FB6D" w14:textId="77777777" w:rsidR="00A21E83" w:rsidRPr="00A07F29" w:rsidRDefault="00A21E83" w:rsidP="005111E1">
            <w:pPr>
              <w:widowControl w:val="0"/>
              <w:suppressAutoHyphens/>
              <w:spacing w:after="0" w:line="240" w:lineRule="auto"/>
              <w:jc w:val="center"/>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1</w:t>
            </w:r>
          </w:p>
        </w:tc>
        <w:tc>
          <w:tcPr>
            <w:tcW w:w="0" w:type="auto"/>
            <w:tcBorders>
              <w:top w:val="single" w:sz="4" w:space="0" w:color="000000"/>
              <w:left w:val="single" w:sz="4" w:space="0" w:color="000000"/>
              <w:bottom w:val="single" w:sz="4" w:space="0" w:color="000000"/>
              <w:right w:val="single" w:sz="4" w:space="0" w:color="000000"/>
            </w:tcBorders>
            <w:hideMark/>
          </w:tcPr>
          <w:p w14:paraId="274A779D" w14:textId="77777777" w:rsidR="00A21E83" w:rsidRPr="00A07F29" w:rsidRDefault="00A21E83" w:rsidP="005111E1">
            <w:pPr>
              <w:widowControl w:val="0"/>
              <w:suppressAutoHyphens/>
              <w:spacing w:after="0" w:line="240" w:lineRule="auto"/>
              <w:jc w:val="center"/>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1</w:t>
            </w:r>
          </w:p>
        </w:tc>
        <w:tc>
          <w:tcPr>
            <w:tcW w:w="0" w:type="auto"/>
            <w:tcBorders>
              <w:top w:val="single" w:sz="4" w:space="0" w:color="000000"/>
              <w:left w:val="single" w:sz="4" w:space="0" w:color="000000"/>
              <w:bottom w:val="single" w:sz="4" w:space="0" w:color="000000"/>
              <w:right w:val="single" w:sz="4" w:space="0" w:color="000000"/>
            </w:tcBorders>
            <w:hideMark/>
          </w:tcPr>
          <w:p w14:paraId="6EDB94FA"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 xml:space="preserve">Vairākkārtēja krūmu ciršana. </w:t>
            </w:r>
          </w:p>
        </w:tc>
      </w:tr>
      <w:tr w:rsidR="00A21E83" w:rsidRPr="00A07F29" w14:paraId="3FB9FA1D" w14:textId="77777777" w:rsidTr="005111E1">
        <w:trPr>
          <w:trHeight w:val="510"/>
        </w:trPr>
        <w:tc>
          <w:tcPr>
            <w:tcW w:w="0" w:type="auto"/>
            <w:tcBorders>
              <w:top w:val="single" w:sz="4" w:space="0" w:color="000000"/>
              <w:left w:val="single" w:sz="4" w:space="0" w:color="000000"/>
              <w:bottom w:val="single" w:sz="4" w:space="0" w:color="000000"/>
              <w:right w:val="single" w:sz="4" w:space="0" w:color="000000"/>
            </w:tcBorders>
            <w:hideMark/>
          </w:tcPr>
          <w:p w14:paraId="0D2841F6"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i/>
                <w:kern w:val="2"/>
                <w:sz w:val="20"/>
                <w:szCs w:val="20"/>
                <w:lang w:eastAsia="ar-SA"/>
              </w:rPr>
            </w:pPr>
            <w:r w:rsidRPr="00A07F29">
              <w:rPr>
                <w:rFonts w:ascii="Times New Roman" w:eastAsia="Lucida Sans Unicode" w:hAnsi="Times New Roman" w:cs="Times New Roman"/>
                <w:kern w:val="2"/>
                <w:sz w:val="20"/>
                <w:szCs w:val="20"/>
                <w:lang w:eastAsia="ar-SA"/>
              </w:rPr>
              <w:t>13.</w:t>
            </w:r>
          </w:p>
        </w:tc>
        <w:tc>
          <w:tcPr>
            <w:tcW w:w="0" w:type="auto"/>
            <w:tcBorders>
              <w:top w:val="single" w:sz="4" w:space="0" w:color="000000"/>
              <w:left w:val="single" w:sz="4" w:space="0" w:color="000000"/>
              <w:bottom w:val="single" w:sz="4" w:space="0" w:color="000000"/>
              <w:right w:val="single" w:sz="4" w:space="0" w:color="000000"/>
            </w:tcBorders>
            <w:hideMark/>
          </w:tcPr>
          <w:p w14:paraId="5C773423"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kern w:val="2"/>
                <w:sz w:val="20"/>
                <w:szCs w:val="20"/>
                <w:lang w:eastAsia="ar-SA"/>
              </w:rPr>
            </w:pPr>
            <w:proofErr w:type="spellStart"/>
            <w:r w:rsidRPr="00A07F29">
              <w:rPr>
                <w:rFonts w:ascii="Times New Roman" w:eastAsia="Lucida Sans Unicode" w:hAnsi="Times New Roman" w:cs="Times New Roman"/>
                <w:i/>
                <w:kern w:val="2"/>
                <w:sz w:val="20"/>
                <w:szCs w:val="20"/>
                <w:lang w:eastAsia="ar-SA"/>
              </w:rPr>
              <w:t>Impatiens</w:t>
            </w:r>
            <w:proofErr w:type="spellEnd"/>
            <w:r w:rsidRPr="00A07F29">
              <w:rPr>
                <w:rFonts w:ascii="Times New Roman" w:eastAsia="Lucida Sans Unicode" w:hAnsi="Times New Roman" w:cs="Times New Roman"/>
                <w:i/>
                <w:kern w:val="2"/>
                <w:sz w:val="20"/>
                <w:szCs w:val="20"/>
                <w:lang w:eastAsia="ar-SA"/>
              </w:rPr>
              <w:t xml:space="preserve"> </w:t>
            </w:r>
            <w:proofErr w:type="spellStart"/>
            <w:r w:rsidRPr="00A07F29">
              <w:rPr>
                <w:rFonts w:ascii="Times New Roman" w:eastAsia="Lucida Sans Unicode" w:hAnsi="Times New Roman" w:cs="Times New Roman"/>
                <w:i/>
                <w:kern w:val="2"/>
                <w:sz w:val="20"/>
                <w:szCs w:val="20"/>
                <w:lang w:eastAsia="ar-SA"/>
              </w:rPr>
              <w:t>glandulifera</w:t>
            </w:r>
            <w:proofErr w:type="spellEnd"/>
          </w:p>
        </w:tc>
        <w:tc>
          <w:tcPr>
            <w:tcW w:w="0" w:type="auto"/>
            <w:tcBorders>
              <w:top w:val="single" w:sz="4" w:space="0" w:color="000000"/>
              <w:left w:val="single" w:sz="4" w:space="0" w:color="000000"/>
              <w:bottom w:val="single" w:sz="4" w:space="0" w:color="000000"/>
              <w:right w:val="single" w:sz="4" w:space="0" w:color="000000"/>
            </w:tcBorders>
            <w:hideMark/>
          </w:tcPr>
          <w:p w14:paraId="6417FE46"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Puķu sprigane</w:t>
            </w:r>
          </w:p>
        </w:tc>
        <w:tc>
          <w:tcPr>
            <w:tcW w:w="0" w:type="auto"/>
            <w:tcBorders>
              <w:top w:val="single" w:sz="4" w:space="0" w:color="000000"/>
              <w:left w:val="single" w:sz="4" w:space="0" w:color="000000"/>
              <w:bottom w:val="single" w:sz="4" w:space="0" w:color="000000"/>
              <w:right w:val="single" w:sz="4" w:space="0" w:color="000000"/>
            </w:tcBorders>
            <w:hideMark/>
          </w:tcPr>
          <w:p w14:paraId="0782C249" w14:textId="77777777" w:rsidR="00A21E83" w:rsidRPr="00A07F29" w:rsidRDefault="00A21E83" w:rsidP="005111E1">
            <w:pPr>
              <w:widowControl w:val="0"/>
              <w:suppressAutoHyphens/>
              <w:spacing w:after="0" w:line="240" w:lineRule="auto"/>
              <w:jc w:val="center"/>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26</w:t>
            </w:r>
          </w:p>
        </w:tc>
        <w:tc>
          <w:tcPr>
            <w:tcW w:w="0" w:type="auto"/>
            <w:tcBorders>
              <w:top w:val="single" w:sz="4" w:space="0" w:color="000000"/>
              <w:left w:val="single" w:sz="4" w:space="0" w:color="000000"/>
              <w:bottom w:val="single" w:sz="4" w:space="0" w:color="000000"/>
              <w:right w:val="single" w:sz="4" w:space="0" w:color="000000"/>
            </w:tcBorders>
            <w:hideMark/>
          </w:tcPr>
          <w:p w14:paraId="3E6431DA" w14:textId="77777777" w:rsidR="00A21E83" w:rsidRPr="00A07F29" w:rsidRDefault="00A21E83" w:rsidP="005111E1">
            <w:pPr>
              <w:widowControl w:val="0"/>
              <w:suppressAutoHyphens/>
              <w:spacing w:after="0" w:line="240" w:lineRule="auto"/>
              <w:jc w:val="center"/>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10</w:t>
            </w:r>
          </w:p>
        </w:tc>
        <w:tc>
          <w:tcPr>
            <w:tcW w:w="0" w:type="auto"/>
            <w:tcBorders>
              <w:top w:val="single" w:sz="4" w:space="0" w:color="000000"/>
              <w:left w:val="single" w:sz="4" w:space="0" w:color="000000"/>
              <w:bottom w:val="single" w:sz="4" w:space="0" w:color="000000"/>
              <w:right w:val="single" w:sz="4" w:space="0" w:color="000000"/>
            </w:tcBorders>
            <w:hideMark/>
          </w:tcPr>
          <w:p w14:paraId="24D94F0A" w14:textId="6D273AD5" w:rsidR="00A21E83" w:rsidRPr="00A07F29" w:rsidRDefault="00A21E83" w:rsidP="005111E1">
            <w:pPr>
              <w:widowControl w:val="0"/>
              <w:suppressAutoHyphens/>
              <w:spacing w:after="0" w:line="240" w:lineRule="auto"/>
              <w:jc w:val="both"/>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 xml:space="preserve">Apkaro līdzīgi kā </w:t>
            </w:r>
            <w:proofErr w:type="spellStart"/>
            <w:r w:rsidRPr="00A07F29">
              <w:rPr>
                <w:rFonts w:ascii="Times New Roman" w:eastAsia="Lucida Sans Unicode" w:hAnsi="Times New Roman" w:cs="Times New Roman"/>
                <w:kern w:val="2"/>
                <w:sz w:val="20"/>
                <w:szCs w:val="20"/>
                <w:lang w:eastAsia="ar-SA"/>
              </w:rPr>
              <w:t>sīkziedu</w:t>
            </w:r>
            <w:proofErr w:type="spellEnd"/>
            <w:r w:rsidRPr="00A07F29">
              <w:rPr>
                <w:rFonts w:ascii="Times New Roman" w:eastAsia="Lucida Sans Unicode" w:hAnsi="Times New Roman" w:cs="Times New Roman"/>
                <w:kern w:val="2"/>
                <w:sz w:val="20"/>
                <w:szCs w:val="20"/>
                <w:lang w:eastAsia="ar-SA"/>
              </w:rPr>
              <w:t xml:space="preserve"> sprigani, var noganīt ar liel</w:t>
            </w:r>
            <w:r w:rsidR="00262B40">
              <w:rPr>
                <w:rFonts w:ascii="Times New Roman" w:eastAsia="Lucida Sans Unicode" w:hAnsi="Times New Roman" w:cs="Times New Roman"/>
                <w:kern w:val="2"/>
                <w:sz w:val="20"/>
                <w:szCs w:val="20"/>
                <w:lang w:eastAsia="ar-SA"/>
              </w:rPr>
              <w:t>l</w:t>
            </w:r>
            <w:r w:rsidRPr="00A07F29">
              <w:rPr>
                <w:rFonts w:ascii="Times New Roman" w:eastAsia="Lucida Sans Unicode" w:hAnsi="Times New Roman" w:cs="Times New Roman"/>
                <w:kern w:val="2"/>
                <w:sz w:val="20"/>
                <w:szCs w:val="20"/>
                <w:lang w:eastAsia="ar-SA"/>
              </w:rPr>
              <w:t xml:space="preserve">opiem. </w:t>
            </w:r>
          </w:p>
        </w:tc>
      </w:tr>
      <w:tr w:rsidR="00A21E83" w:rsidRPr="00A07F29" w14:paraId="458C0C2C" w14:textId="77777777" w:rsidTr="005111E1">
        <w:trPr>
          <w:trHeight w:val="510"/>
        </w:trPr>
        <w:tc>
          <w:tcPr>
            <w:tcW w:w="0" w:type="auto"/>
            <w:tcBorders>
              <w:top w:val="single" w:sz="4" w:space="0" w:color="000000"/>
              <w:left w:val="single" w:sz="4" w:space="0" w:color="000000"/>
              <w:bottom w:val="single" w:sz="4" w:space="0" w:color="000000"/>
              <w:right w:val="single" w:sz="4" w:space="0" w:color="000000"/>
            </w:tcBorders>
            <w:hideMark/>
          </w:tcPr>
          <w:p w14:paraId="5CBD0F50"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i/>
                <w:kern w:val="2"/>
                <w:sz w:val="20"/>
                <w:szCs w:val="20"/>
                <w:lang w:eastAsia="ar-SA"/>
              </w:rPr>
            </w:pPr>
            <w:r w:rsidRPr="00A07F29">
              <w:rPr>
                <w:rFonts w:ascii="Times New Roman" w:eastAsia="Lucida Sans Unicode" w:hAnsi="Times New Roman" w:cs="Times New Roman"/>
                <w:kern w:val="2"/>
                <w:sz w:val="20"/>
                <w:szCs w:val="20"/>
                <w:lang w:eastAsia="ar-SA"/>
              </w:rPr>
              <w:t>14.</w:t>
            </w:r>
          </w:p>
        </w:tc>
        <w:tc>
          <w:tcPr>
            <w:tcW w:w="0" w:type="auto"/>
            <w:tcBorders>
              <w:top w:val="single" w:sz="4" w:space="0" w:color="000000"/>
              <w:left w:val="single" w:sz="4" w:space="0" w:color="000000"/>
              <w:bottom w:val="single" w:sz="4" w:space="0" w:color="000000"/>
              <w:right w:val="single" w:sz="4" w:space="0" w:color="000000"/>
            </w:tcBorders>
            <w:hideMark/>
          </w:tcPr>
          <w:p w14:paraId="5C0155AA"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kern w:val="2"/>
                <w:sz w:val="20"/>
                <w:szCs w:val="20"/>
                <w:lang w:eastAsia="ar-SA"/>
              </w:rPr>
            </w:pPr>
            <w:proofErr w:type="spellStart"/>
            <w:r w:rsidRPr="00A07F29">
              <w:rPr>
                <w:rFonts w:ascii="Times New Roman" w:eastAsia="Lucida Sans Unicode" w:hAnsi="Times New Roman" w:cs="Times New Roman"/>
                <w:i/>
                <w:kern w:val="2"/>
                <w:sz w:val="20"/>
                <w:szCs w:val="20"/>
                <w:lang w:eastAsia="ar-SA"/>
              </w:rPr>
              <w:t>Impatiens</w:t>
            </w:r>
            <w:proofErr w:type="spellEnd"/>
            <w:r w:rsidRPr="00A07F29">
              <w:rPr>
                <w:rFonts w:ascii="Times New Roman" w:eastAsia="Lucida Sans Unicode" w:hAnsi="Times New Roman" w:cs="Times New Roman"/>
                <w:i/>
                <w:kern w:val="2"/>
                <w:sz w:val="20"/>
                <w:szCs w:val="20"/>
                <w:lang w:eastAsia="ar-SA"/>
              </w:rPr>
              <w:t xml:space="preserve"> </w:t>
            </w:r>
            <w:proofErr w:type="spellStart"/>
            <w:r w:rsidRPr="00A07F29">
              <w:rPr>
                <w:rFonts w:ascii="Times New Roman" w:eastAsia="Lucida Sans Unicode" w:hAnsi="Times New Roman" w:cs="Times New Roman"/>
                <w:i/>
                <w:kern w:val="2"/>
                <w:sz w:val="20"/>
                <w:szCs w:val="20"/>
                <w:lang w:eastAsia="ar-SA"/>
              </w:rPr>
              <w:t>parviflora</w:t>
            </w:r>
            <w:proofErr w:type="spellEnd"/>
          </w:p>
        </w:tc>
        <w:tc>
          <w:tcPr>
            <w:tcW w:w="0" w:type="auto"/>
            <w:tcBorders>
              <w:top w:val="single" w:sz="4" w:space="0" w:color="000000"/>
              <w:left w:val="single" w:sz="4" w:space="0" w:color="000000"/>
              <w:bottom w:val="single" w:sz="4" w:space="0" w:color="000000"/>
              <w:right w:val="single" w:sz="4" w:space="0" w:color="000000"/>
            </w:tcBorders>
            <w:hideMark/>
          </w:tcPr>
          <w:p w14:paraId="3A404049"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kern w:val="2"/>
                <w:sz w:val="20"/>
                <w:szCs w:val="20"/>
                <w:lang w:eastAsia="ar-SA"/>
              </w:rPr>
            </w:pPr>
            <w:proofErr w:type="spellStart"/>
            <w:r w:rsidRPr="00A07F29">
              <w:rPr>
                <w:rFonts w:ascii="Times New Roman" w:eastAsia="Lucida Sans Unicode" w:hAnsi="Times New Roman" w:cs="Times New Roman"/>
                <w:kern w:val="2"/>
                <w:sz w:val="20"/>
                <w:szCs w:val="20"/>
                <w:lang w:eastAsia="ar-SA"/>
              </w:rPr>
              <w:t>Sīkziedu</w:t>
            </w:r>
            <w:proofErr w:type="spellEnd"/>
            <w:r w:rsidRPr="00A07F29">
              <w:rPr>
                <w:rFonts w:ascii="Times New Roman" w:eastAsia="Lucida Sans Unicode" w:hAnsi="Times New Roman" w:cs="Times New Roman"/>
                <w:kern w:val="2"/>
                <w:sz w:val="20"/>
                <w:szCs w:val="20"/>
                <w:lang w:eastAsia="ar-SA"/>
              </w:rPr>
              <w:t xml:space="preserve"> sprigane</w:t>
            </w:r>
          </w:p>
        </w:tc>
        <w:tc>
          <w:tcPr>
            <w:tcW w:w="0" w:type="auto"/>
            <w:tcBorders>
              <w:top w:val="single" w:sz="4" w:space="0" w:color="000000"/>
              <w:left w:val="single" w:sz="4" w:space="0" w:color="000000"/>
              <w:bottom w:val="single" w:sz="4" w:space="0" w:color="000000"/>
              <w:right w:val="single" w:sz="4" w:space="0" w:color="000000"/>
            </w:tcBorders>
            <w:hideMark/>
          </w:tcPr>
          <w:p w14:paraId="4DEF0F14" w14:textId="77777777" w:rsidR="00A21E83" w:rsidRPr="00A07F29" w:rsidRDefault="00A21E83" w:rsidP="005111E1">
            <w:pPr>
              <w:widowControl w:val="0"/>
              <w:suppressAutoHyphens/>
              <w:spacing w:after="0" w:line="240" w:lineRule="auto"/>
              <w:jc w:val="center"/>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79</w:t>
            </w:r>
          </w:p>
        </w:tc>
        <w:tc>
          <w:tcPr>
            <w:tcW w:w="0" w:type="auto"/>
            <w:tcBorders>
              <w:top w:val="single" w:sz="4" w:space="0" w:color="000000"/>
              <w:left w:val="single" w:sz="4" w:space="0" w:color="000000"/>
              <w:bottom w:val="single" w:sz="4" w:space="0" w:color="000000"/>
              <w:right w:val="single" w:sz="4" w:space="0" w:color="000000"/>
            </w:tcBorders>
            <w:hideMark/>
          </w:tcPr>
          <w:p w14:paraId="672254F2" w14:textId="77777777" w:rsidR="00A21E83" w:rsidRPr="00A07F29" w:rsidRDefault="00A21E83" w:rsidP="005111E1">
            <w:pPr>
              <w:widowControl w:val="0"/>
              <w:suppressAutoHyphens/>
              <w:spacing w:after="0" w:line="240" w:lineRule="auto"/>
              <w:jc w:val="center"/>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17</w:t>
            </w:r>
          </w:p>
        </w:tc>
        <w:tc>
          <w:tcPr>
            <w:tcW w:w="0" w:type="auto"/>
            <w:tcBorders>
              <w:top w:val="single" w:sz="4" w:space="0" w:color="000000"/>
              <w:left w:val="single" w:sz="4" w:space="0" w:color="000000"/>
              <w:bottom w:val="single" w:sz="4" w:space="0" w:color="000000"/>
              <w:right w:val="single" w:sz="4" w:space="0" w:color="000000"/>
            </w:tcBorders>
            <w:hideMark/>
          </w:tcPr>
          <w:p w14:paraId="2B21AA39"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skat. sugas aprakstu</w:t>
            </w:r>
          </w:p>
        </w:tc>
      </w:tr>
      <w:tr w:rsidR="00A21E83" w:rsidRPr="00A07F29" w14:paraId="390D2FD9" w14:textId="77777777" w:rsidTr="005111E1">
        <w:trPr>
          <w:trHeight w:val="510"/>
        </w:trPr>
        <w:tc>
          <w:tcPr>
            <w:tcW w:w="0" w:type="auto"/>
            <w:tcBorders>
              <w:top w:val="single" w:sz="4" w:space="0" w:color="000000"/>
              <w:left w:val="single" w:sz="4" w:space="0" w:color="000000"/>
              <w:bottom w:val="single" w:sz="4" w:space="0" w:color="000000"/>
              <w:right w:val="single" w:sz="4" w:space="0" w:color="000000"/>
            </w:tcBorders>
            <w:hideMark/>
          </w:tcPr>
          <w:p w14:paraId="28BBC80E"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i/>
                <w:kern w:val="2"/>
                <w:sz w:val="20"/>
                <w:szCs w:val="20"/>
                <w:lang w:eastAsia="ar-SA"/>
              </w:rPr>
            </w:pPr>
            <w:r w:rsidRPr="00A07F29">
              <w:rPr>
                <w:rFonts w:ascii="Times New Roman" w:eastAsia="Lucida Sans Unicode" w:hAnsi="Times New Roman" w:cs="Times New Roman"/>
                <w:kern w:val="2"/>
                <w:sz w:val="20"/>
                <w:szCs w:val="20"/>
                <w:lang w:eastAsia="ar-SA"/>
              </w:rPr>
              <w:t>15.</w:t>
            </w:r>
          </w:p>
        </w:tc>
        <w:tc>
          <w:tcPr>
            <w:tcW w:w="0" w:type="auto"/>
            <w:tcBorders>
              <w:top w:val="single" w:sz="4" w:space="0" w:color="000000"/>
              <w:left w:val="single" w:sz="4" w:space="0" w:color="000000"/>
              <w:bottom w:val="single" w:sz="4" w:space="0" w:color="000000"/>
              <w:right w:val="single" w:sz="4" w:space="0" w:color="000000"/>
            </w:tcBorders>
            <w:hideMark/>
          </w:tcPr>
          <w:p w14:paraId="46F69348"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kern w:val="2"/>
                <w:sz w:val="20"/>
                <w:szCs w:val="20"/>
                <w:lang w:eastAsia="ar-SA"/>
              </w:rPr>
            </w:pPr>
            <w:proofErr w:type="spellStart"/>
            <w:r w:rsidRPr="00A07F29">
              <w:rPr>
                <w:rFonts w:ascii="Times New Roman" w:eastAsia="Lucida Sans Unicode" w:hAnsi="Times New Roman" w:cs="Times New Roman"/>
                <w:i/>
                <w:kern w:val="2"/>
                <w:sz w:val="20"/>
                <w:szCs w:val="20"/>
                <w:lang w:eastAsia="ar-SA"/>
              </w:rPr>
              <w:t>Lupinus</w:t>
            </w:r>
            <w:proofErr w:type="spellEnd"/>
            <w:r w:rsidRPr="00A07F29">
              <w:rPr>
                <w:rFonts w:ascii="Times New Roman" w:eastAsia="Lucida Sans Unicode" w:hAnsi="Times New Roman" w:cs="Times New Roman"/>
                <w:i/>
                <w:kern w:val="2"/>
                <w:sz w:val="20"/>
                <w:szCs w:val="20"/>
                <w:lang w:eastAsia="ar-SA"/>
              </w:rPr>
              <w:t xml:space="preserve"> </w:t>
            </w:r>
            <w:proofErr w:type="spellStart"/>
            <w:r w:rsidRPr="00A07F29">
              <w:rPr>
                <w:rFonts w:ascii="Times New Roman" w:eastAsia="Lucida Sans Unicode" w:hAnsi="Times New Roman" w:cs="Times New Roman"/>
                <w:i/>
                <w:kern w:val="2"/>
                <w:sz w:val="20"/>
                <w:szCs w:val="20"/>
                <w:lang w:eastAsia="ar-SA"/>
              </w:rPr>
              <w:t>polyphyllus</w:t>
            </w:r>
            <w:proofErr w:type="spellEnd"/>
          </w:p>
        </w:tc>
        <w:tc>
          <w:tcPr>
            <w:tcW w:w="0" w:type="auto"/>
            <w:tcBorders>
              <w:top w:val="single" w:sz="4" w:space="0" w:color="000000"/>
              <w:left w:val="single" w:sz="4" w:space="0" w:color="000000"/>
              <w:bottom w:val="single" w:sz="4" w:space="0" w:color="000000"/>
              <w:right w:val="single" w:sz="4" w:space="0" w:color="000000"/>
            </w:tcBorders>
            <w:hideMark/>
          </w:tcPr>
          <w:p w14:paraId="7C7D14F5"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kern w:val="2"/>
                <w:sz w:val="20"/>
                <w:szCs w:val="20"/>
                <w:lang w:eastAsia="ar-SA"/>
              </w:rPr>
            </w:pPr>
            <w:proofErr w:type="spellStart"/>
            <w:r w:rsidRPr="00A07F29">
              <w:rPr>
                <w:rFonts w:ascii="Times New Roman" w:eastAsia="Lucida Sans Unicode" w:hAnsi="Times New Roman" w:cs="Times New Roman"/>
                <w:kern w:val="2"/>
                <w:sz w:val="20"/>
                <w:szCs w:val="20"/>
                <w:lang w:eastAsia="ar-SA"/>
              </w:rPr>
              <w:t>Daudzlapu</w:t>
            </w:r>
            <w:proofErr w:type="spellEnd"/>
            <w:r w:rsidRPr="00A07F29">
              <w:rPr>
                <w:rFonts w:ascii="Times New Roman" w:eastAsia="Lucida Sans Unicode" w:hAnsi="Times New Roman" w:cs="Times New Roman"/>
                <w:kern w:val="2"/>
                <w:sz w:val="20"/>
                <w:szCs w:val="20"/>
                <w:lang w:eastAsia="ar-SA"/>
              </w:rPr>
              <w:t xml:space="preserve"> lupīna</w:t>
            </w:r>
          </w:p>
        </w:tc>
        <w:tc>
          <w:tcPr>
            <w:tcW w:w="0" w:type="auto"/>
            <w:tcBorders>
              <w:top w:val="single" w:sz="4" w:space="0" w:color="000000"/>
              <w:left w:val="single" w:sz="4" w:space="0" w:color="000000"/>
              <w:bottom w:val="single" w:sz="4" w:space="0" w:color="000000"/>
              <w:right w:val="single" w:sz="4" w:space="0" w:color="000000"/>
            </w:tcBorders>
            <w:hideMark/>
          </w:tcPr>
          <w:p w14:paraId="6599F91B" w14:textId="77777777" w:rsidR="00A21E83" w:rsidRPr="00A07F29" w:rsidRDefault="00A21E83" w:rsidP="005111E1">
            <w:pPr>
              <w:widowControl w:val="0"/>
              <w:suppressAutoHyphens/>
              <w:spacing w:after="0" w:line="240" w:lineRule="auto"/>
              <w:jc w:val="center"/>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53</w:t>
            </w:r>
          </w:p>
        </w:tc>
        <w:tc>
          <w:tcPr>
            <w:tcW w:w="0" w:type="auto"/>
            <w:tcBorders>
              <w:top w:val="single" w:sz="4" w:space="0" w:color="000000"/>
              <w:left w:val="single" w:sz="4" w:space="0" w:color="000000"/>
              <w:bottom w:val="single" w:sz="4" w:space="0" w:color="000000"/>
              <w:right w:val="single" w:sz="4" w:space="0" w:color="000000"/>
            </w:tcBorders>
            <w:hideMark/>
          </w:tcPr>
          <w:p w14:paraId="5EF6759F" w14:textId="77777777" w:rsidR="00A21E83" w:rsidRPr="00A07F29" w:rsidRDefault="00A21E83" w:rsidP="005111E1">
            <w:pPr>
              <w:widowControl w:val="0"/>
              <w:suppressAutoHyphens/>
              <w:spacing w:after="0" w:line="240" w:lineRule="auto"/>
              <w:jc w:val="center"/>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17</w:t>
            </w:r>
          </w:p>
        </w:tc>
        <w:tc>
          <w:tcPr>
            <w:tcW w:w="0" w:type="auto"/>
            <w:tcBorders>
              <w:top w:val="single" w:sz="4" w:space="0" w:color="000000"/>
              <w:left w:val="single" w:sz="4" w:space="0" w:color="000000"/>
              <w:bottom w:val="single" w:sz="4" w:space="0" w:color="000000"/>
              <w:right w:val="single" w:sz="4" w:space="0" w:color="000000"/>
            </w:tcBorders>
            <w:hideMark/>
          </w:tcPr>
          <w:p w14:paraId="300B356C"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skat. sugas aprakstu</w:t>
            </w:r>
          </w:p>
        </w:tc>
      </w:tr>
      <w:tr w:rsidR="00A21E83" w:rsidRPr="00A07F29" w14:paraId="16F4B2E2" w14:textId="77777777" w:rsidTr="005111E1">
        <w:trPr>
          <w:trHeight w:val="510"/>
        </w:trPr>
        <w:tc>
          <w:tcPr>
            <w:tcW w:w="0" w:type="auto"/>
            <w:tcBorders>
              <w:top w:val="single" w:sz="4" w:space="0" w:color="000000"/>
              <w:left w:val="single" w:sz="4" w:space="0" w:color="000000"/>
              <w:bottom w:val="single" w:sz="4" w:space="0" w:color="000000"/>
              <w:right w:val="single" w:sz="4" w:space="0" w:color="000000"/>
            </w:tcBorders>
            <w:hideMark/>
          </w:tcPr>
          <w:p w14:paraId="49F179D7"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i/>
                <w:kern w:val="2"/>
                <w:sz w:val="20"/>
                <w:szCs w:val="20"/>
                <w:lang w:eastAsia="ar-SA"/>
              </w:rPr>
            </w:pPr>
            <w:r w:rsidRPr="00A07F29">
              <w:rPr>
                <w:rFonts w:ascii="Times New Roman" w:eastAsia="Lucida Sans Unicode" w:hAnsi="Times New Roman" w:cs="Times New Roman"/>
                <w:kern w:val="2"/>
                <w:sz w:val="20"/>
                <w:szCs w:val="20"/>
                <w:lang w:eastAsia="ar-SA"/>
              </w:rPr>
              <w:t>16.</w:t>
            </w:r>
          </w:p>
        </w:tc>
        <w:tc>
          <w:tcPr>
            <w:tcW w:w="0" w:type="auto"/>
            <w:tcBorders>
              <w:top w:val="single" w:sz="4" w:space="0" w:color="000000"/>
              <w:left w:val="single" w:sz="4" w:space="0" w:color="000000"/>
              <w:bottom w:val="single" w:sz="4" w:space="0" w:color="000000"/>
              <w:right w:val="single" w:sz="4" w:space="0" w:color="000000"/>
            </w:tcBorders>
            <w:hideMark/>
          </w:tcPr>
          <w:p w14:paraId="4FDBF70F"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kern w:val="2"/>
                <w:sz w:val="20"/>
                <w:szCs w:val="20"/>
                <w:lang w:eastAsia="ar-SA"/>
              </w:rPr>
            </w:pPr>
            <w:proofErr w:type="spellStart"/>
            <w:r w:rsidRPr="00A07F29">
              <w:rPr>
                <w:rFonts w:ascii="Times New Roman" w:eastAsia="Lucida Sans Unicode" w:hAnsi="Times New Roman" w:cs="Times New Roman"/>
                <w:i/>
                <w:kern w:val="2"/>
                <w:sz w:val="20"/>
                <w:szCs w:val="20"/>
                <w:lang w:eastAsia="ar-SA"/>
              </w:rPr>
              <w:t>Malus</w:t>
            </w:r>
            <w:proofErr w:type="spellEnd"/>
            <w:r w:rsidRPr="00A07F29">
              <w:rPr>
                <w:rFonts w:ascii="Times New Roman" w:eastAsia="Lucida Sans Unicode" w:hAnsi="Times New Roman" w:cs="Times New Roman"/>
                <w:i/>
                <w:kern w:val="2"/>
                <w:sz w:val="20"/>
                <w:szCs w:val="20"/>
                <w:lang w:eastAsia="ar-SA"/>
              </w:rPr>
              <w:t xml:space="preserve"> </w:t>
            </w:r>
            <w:proofErr w:type="spellStart"/>
            <w:r w:rsidRPr="00A07F29">
              <w:rPr>
                <w:rFonts w:ascii="Times New Roman" w:eastAsia="Lucida Sans Unicode" w:hAnsi="Times New Roman" w:cs="Times New Roman"/>
                <w:i/>
                <w:kern w:val="2"/>
                <w:sz w:val="20"/>
                <w:szCs w:val="20"/>
                <w:lang w:eastAsia="ar-SA"/>
              </w:rPr>
              <w:t>domestica</w:t>
            </w:r>
            <w:proofErr w:type="spellEnd"/>
          </w:p>
        </w:tc>
        <w:tc>
          <w:tcPr>
            <w:tcW w:w="0" w:type="auto"/>
            <w:tcBorders>
              <w:top w:val="single" w:sz="4" w:space="0" w:color="000000"/>
              <w:left w:val="single" w:sz="4" w:space="0" w:color="000000"/>
              <w:bottom w:val="single" w:sz="4" w:space="0" w:color="000000"/>
              <w:right w:val="single" w:sz="4" w:space="0" w:color="000000"/>
            </w:tcBorders>
            <w:hideMark/>
          </w:tcPr>
          <w:p w14:paraId="44A1DF01"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Mājas ābele</w:t>
            </w:r>
          </w:p>
        </w:tc>
        <w:tc>
          <w:tcPr>
            <w:tcW w:w="0" w:type="auto"/>
            <w:tcBorders>
              <w:top w:val="single" w:sz="4" w:space="0" w:color="000000"/>
              <w:left w:val="single" w:sz="4" w:space="0" w:color="000000"/>
              <w:bottom w:val="single" w:sz="4" w:space="0" w:color="000000"/>
              <w:right w:val="single" w:sz="4" w:space="0" w:color="000000"/>
            </w:tcBorders>
            <w:hideMark/>
          </w:tcPr>
          <w:p w14:paraId="10F4FA10" w14:textId="77777777" w:rsidR="00A21E83" w:rsidRPr="00A07F29" w:rsidRDefault="00A21E83" w:rsidP="005111E1">
            <w:pPr>
              <w:widowControl w:val="0"/>
              <w:suppressAutoHyphens/>
              <w:spacing w:after="0" w:line="240" w:lineRule="auto"/>
              <w:jc w:val="center"/>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84</w:t>
            </w:r>
          </w:p>
        </w:tc>
        <w:tc>
          <w:tcPr>
            <w:tcW w:w="0" w:type="auto"/>
            <w:tcBorders>
              <w:top w:val="single" w:sz="4" w:space="0" w:color="000000"/>
              <w:left w:val="single" w:sz="4" w:space="0" w:color="000000"/>
              <w:bottom w:val="single" w:sz="4" w:space="0" w:color="000000"/>
              <w:right w:val="single" w:sz="4" w:space="0" w:color="000000"/>
            </w:tcBorders>
            <w:hideMark/>
          </w:tcPr>
          <w:p w14:paraId="212A0358" w14:textId="77777777" w:rsidR="00A21E83" w:rsidRPr="00A07F29" w:rsidRDefault="00A21E83" w:rsidP="005111E1">
            <w:pPr>
              <w:widowControl w:val="0"/>
              <w:suppressAutoHyphens/>
              <w:spacing w:after="0" w:line="240" w:lineRule="auto"/>
              <w:jc w:val="center"/>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35</w:t>
            </w:r>
          </w:p>
        </w:tc>
        <w:tc>
          <w:tcPr>
            <w:tcW w:w="0" w:type="auto"/>
            <w:tcBorders>
              <w:top w:val="single" w:sz="4" w:space="0" w:color="000000"/>
              <w:left w:val="single" w:sz="4" w:space="0" w:color="000000"/>
              <w:bottom w:val="single" w:sz="4" w:space="0" w:color="000000"/>
              <w:right w:val="single" w:sz="4" w:space="0" w:color="000000"/>
            </w:tcBorders>
            <w:hideMark/>
          </w:tcPr>
          <w:p w14:paraId="63CEFE0A"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Atsevišķus īpatņus vai nelielas audzes var iznīcināt augus izrokot.</w:t>
            </w:r>
          </w:p>
        </w:tc>
      </w:tr>
      <w:tr w:rsidR="00A21E83" w:rsidRPr="00A07F29" w14:paraId="4793A36B" w14:textId="77777777" w:rsidTr="005111E1">
        <w:trPr>
          <w:trHeight w:val="510"/>
        </w:trPr>
        <w:tc>
          <w:tcPr>
            <w:tcW w:w="0" w:type="auto"/>
            <w:tcBorders>
              <w:top w:val="single" w:sz="4" w:space="0" w:color="000000"/>
              <w:left w:val="single" w:sz="4" w:space="0" w:color="000000"/>
              <w:bottom w:val="single" w:sz="4" w:space="0" w:color="000000"/>
              <w:right w:val="single" w:sz="4" w:space="0" w:color="000000"/>
            </w:tcBorders>
            <w:hideMark/>
          </w:tcPr>
          <w:p w14:paraId="447F3522"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i/>
                <w:kern w:val="2"/>
                <w:sz w:val="20"/>
                <w:szCs w:val="20"/>
                <w:lang w:eastAsia="ar-SA"/>
              </w:rPr>
            </w:pPr>
            <w:r w:rsidRPr="00A07F29">
              <w:rPr>
                <w:rFonts w:ascii="Times New Roman" w:eastAsia="Lucida Sans Unicode" w:hAnsi="Times New Roman" w:cs="Times New Roman"/>
                <w:kern w:val="2"/>
                <w:sz w:val="20"/>
                <w:szCs w:val="20"/>
                <w:lang w:eastAsia="ar-SA"/>
              </w:rPr>
              <w:t>17.</w:t>
            </w:r>
          </w:p>
        </w:tc>
        <w:tc>
          <w:tcPr>
            <w:tcW w:w="0" w:type="auto"/>
            <w:tcBorders>
              <w:top w:val="single" w:sz="4" w:space="0" w:color="000000"/>
              <w:left w:val="single" w:sz="4" w:space="0" w:color="000000"/>
              <w:bottom w:val="single" w:sz="4" w:space="0" w:color="000000"/>
              <w:right w:val="single" w:sz="4" w:space="0" w:color="000000"/>
            </w:tcBorders>
            <w:hideMark/>
          </w:tcPr>
          <w:p w14:paraId="5F26398F"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kern w:val="2"/>
                <w:sz w:val="20"/>
                <w:szCs w:val="20"/>
                <w:lang w:eastAsia="ar-SA"/>
              </w:rPr>
            </w:pPr>
            <w:proofErr w:type="spellStart"/>
            <w:r w:rsidRPr="00A07F29">
              <w:rPr>
                <w:rFonts w:ascii="Times New Roman" w:eastAsia="Lucida Sans Unicode" w:hAnsi="Times New Roman" w:cs="Times New Roman"/>
                <w:i/>
                <w:kern w:val="2"/>
                <w:sz w:val="20"/>
                <w:szCs w:val="20"/>
                <w:lang w:eastAsia="ar-SA"/>
              </w:rPr>
              <w:t>Parthenocissus</w:t>
            </w:r>
            <w:proofErr w:type="spellEnd"/>
            <w:r w:rsidRPr="00A07F29">
              <w:rPr>
                <w:rFonts w:ascii="Times New Roman" w:eastAsia="Lucida Sans Unicode" w:hAnsi="Times New Roman" w:cs="Times New Roman"/>
                <w:i/>
                <w:kern w:val="2"/>
                <w:sz w:val="20"/>
                <w:szCs w:val="20"/>
                <w:lang w:eastAsia="ar-SA"/>
              </w:rPr>
              <w:t xml:space="preserve"> </w:t>
            </w:r>
            <w:proofErr w:type="spellStart"/>
            <w:r w:rsidRPr="00A07F29">
              <w:rPr>
                <w:rFonts w:ascii="Times New Roman" w:eastAsia="Lucida Sans Unicode" w:hAnsi="Times New Roman" w:cs="Times New Roman"/>
                <w:i/>
                <w:kern w:val="2"/>
                <w:sz w:val="20"/>
                <w:szCs w:val="20"/>
                <w:lang w:eastAsia="ar-SA"/>
              </w:rPr>
              <w:t>quinquefolia</w:t>
            </w:r>
            <w:proofErr w:type="spellEnd"/>
          </w:p>
        </w:tc>
        <w:tc>
          <w:tcPr>
            <w:tcW w:w="0" w:type="auto"/>
            <w:tcBorders>
              <w:top w:val="single" w:sz="4" w:space="0" w:color="000000"/>
              <w:left w:val="single" w:sz="4" w:space="0" w:color="000000"/>
              <w:bottom w:val="single" w:sz="4" w:space="0" w:color="000000"/>
              <w:right w:val="single" w:sz="4" w:space="0" w:color="000000"/>
            </w:tcBorders>
            <w:hideMark/>
          </w:tcPr>
          <w:p w14:paraId="587B057B"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kern w:val="2"/>
                <w:sz w:val="20"/>
                <w:szCs w:val="20"/>
                <w:lang w:eastAsia="ar-SA"/>
              </w:rPr>
            </w:pPr>
            <w:proofErr w:type="spellStart"/>
            <w:r w:rsidRPr="00A07F29">
              <w:rPr>
                <w:rFonts w:ascii="Times New Roman" w:eastAsia="Lucida Sans Unicode" w:hAnsi="Times New Roman" w:cs="Times New Roman"/>
                <w:kern w:val="2"/>
                <w:sz w:val="20"/>
                <w:szCs w:val="20"/>
                <w:lang w:eastAsia="ar-SA"/>
              </w:rPr>
              <w:t>Pieclapiņu</w:t>
            </w:r>
            <w:proofErr w:type="spellEnd"/>
            <w:r w:rsidRPr="00A07F29">
              <w:rPr>
                <w:rFonts w:ascii="Times New Roman" w:eastAsia="Lucida Sans Unicode" w:hAnsi="Times New Roman" w:cs="Times New Roman"/>
                <w:kern w:val="2"/>
                <w:sz w:val="20"/>
                <w:szCs w:val="20"/>
                <w:lang w:eastAsia="ar-SA"/>
              </w:rPr>
              <w:t xml:space="preserve"> mežvīns</w:t>
            </w:r>
          </w:p>
        </w:tc>
        <w:tc>
          <w:tcPr>
            <w:tcW w:w="0" w:type="auto"/>
            <w:tcBorders>
              <w:top w:val="single" w:sz="4" w:space="0" w:color="000000"/>
              <w:left w:val="single" w:sz="4" w:space="0" w:color="000000"/>
              <w:bottom w:val="single" w:sz="4" w:space="0" w:color="000000"/>
              <w:right w:val="single" w:sz="4" w:space="0" w:color="000000"/>
            </w:tcBorders>
            <w:hideMark/>
          </w:tcPr>
          <w:p w14:paraId="028E140F" w14:textId="77777777" w:rsidR="00A21E83" w:rsidRPr="00A07F29" w:rsidRDefault="00A21E83" w:rsidP="005111E1">
            <w:pPr>
              <w:widowControl w:val="0"/>
              <w:suppressAutoHyphens/>
              <w:spacing w:after="0" w:line="240" w:lineRule="auto"/>
              <w:jc w:val="center"/>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8</w:t>
            </w:r>
          </w:p>
        </w:tc>
        <w:tc>
          <w:tcPr>
            <w:tcW w:w="0" w:type="auto"/>
            <w:tcBorders>
              <w:top w:val="single" w:sz="4" w:space="0" w:color="000000"/>
              <w:left w:val="single" w:sz="4" w:space="0" w:color="000000"/>
              <w:bottom w:val="single" w:sz="4" w:space="0" w:color="000000"/>
              <w:right w:val="single" w:sz="4" w:space="0" w:color="000000"/>
            </w:tcBorders>
            <w:hideMark/>
          </w:tcPr>
          <w:p w14:paraId="1FA424CB" w14:textId="77777777" w:rsidR="00A21E83" w:rsidRPr="00A07F29" w:rsidRDefault="00A21E83" w:rsidP="005111E1">
            <w:pPr>
              <w:widowControl w:val="0"/>
              <w:suppressAutoHyphens/>
              <w:spacing w:after="0" w:line="240" w:lineRule="auto"/>
              <w:jc w:val="center"/>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4</w:t>
            </w:r>
          </w:p>
        </w:tc>
        <w:tc>
          <w:tcPr>
            <w:tcW w:w="0" w:type="auto"/>
            <w:tcBorders>
              <w:top w:val="single" w:sz="4" w:space="0" w:color="000000"/>
              <w:left w:val="single" w:sz="4" w:space="0" w:color="000000"/>
              <w:bottom w:val="single" w:sz="4" w:space="0" w:color="000000"/>
              <w:right w:val="single" w:sz="4" w:space="0" w:color="000000"/>
            </w:tcBorders>
            <w:hideMark/>
          </w:tcPr>
          <w:p w14:paraId="77245311"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Nociršana un stīgu iznīcināšana.</w:t>
            </w:r>
          </w:p>
        </w:tc>
      </w:tr>
      <w:tr w:rsidR="00A21E83" w:rsidRPr="00A07F29" w14:paraId="09077334" w14:textId="77777777" w:rsidTr="005111E1">
        <w:trPr>
          <w:trHeight w:val="510"/>
        </w:trPr>
        <w:tc>
          <w:tcPr>
            <w:tcW w:w="0" w:type="auto"/>
            <w:tcBorders>
              <w:top w:val="single" w:sz="4" w:space="0" w:color="000000"/>
              <w:left w:val="single" w:sz="4" w:space="0" w:color="000000"/>
              <w:bottom w:val="single" w:sz="4" w:space="0" w:color="000000"/>
              <w:right w:val="single" w:sz="4" w:space="0" w:color="000000"/>
            </w:tcBorders>
            <w:hideMark/>
          </w:tcPr>
          <w:p w14:paraId="05F11D9C"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i/>
                <w:kern w:val="2"/>
                <w:sz w:val="20"/>
                <w:szCs w:val="20"/>
                <w:lang w:eastAsia="ar-SA"/>
              </w:rPr>
            </w:pPr>
            <w:r w:rsidRPr="00A07F29">
              <w:rPr>
                <w:rFonts w:ascii="Times New Roman" w:eastAsia="Lucida Sans Unicode" w:hAnsi="Times New Roman" w:cs="Times New Roman"/>
                <w:kern w:val="2"/>
                <w:sz w:val="20"/>
                <w:szCs w:val="20"/>
                <w:lang w:eastAsia="ar-SA"/>
              </w:rPr>
              <w:t>18.</w:t>
            </w:r>
          </w:p>
        </w:tc>
        <w:tc>
          <w:tcPr>
            <w:tcW w:w="0" w:type="auto"/>
            <w:tcBorders>
              <w:top w:val="single" w:sz="4" w:space="0" w:color="000000"/>
              <w:left w:val="single" w:sz="4" w:space="0" w:color="000000"/>
              <w:bottom w:val="single" w:sz="4" w:space="0" w:color="000000"/>
              <w:right w:val="single" w:sz="4" w:space="0" w:color="000000"/>
            </w:tcBorders>
            <w:hideMark/>
          </w:tcPr>
          <w:p w14:paraId="0E09A611"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kern w:val="2"/>
                <w:sz w:val="20"/>
                <w:szCs w:val="20"/>
                <w:lang w:eastAsia="ar-SA"/>
              </w:rPr>
            </w:pPr>
            <w:proofErr w:type="spellStart"/>
            <w:r w:rsidRPr="00A07F29">
              <w:rPr>
                <w:rFonts w:ascii="Times New Roman" w:eastAsia="Lucida Sans Unicode" w:hAnsi="Times New Roman" w:cs="Times New Roman"/>
                <w:i/>
                <w:kern w:val="2"/>
                <w:sz w:val="20"/>
                <w:szCs w:val="20"/>
                <w:lang w:eastAsia="ar-SA"/>
              </w:rPr>
              <w:t>Petasites</w:t>
            </w:r>
            <w:proofErr w:type="spellEnd"/>
            <w:r w:rsidRPr="00A07F29">
              <w:rPr>
                <w:rFonts w:ascii="Times New Roman" w:eastAsia="Lucida Sans Unicode" w:hAnsi="Times New Roman" w:cs="Times New Roman"/>
                <w:i/>
                <w:kern w:val="2"/>
                <w:sz w:val="20"/>
                <w:szCs w:val="20"/>
                <w:lang w:eastAsia="ar-SA"/>
              </w:rPr>
              <w:t xml:space="preserve"> </w:t>
            </w:r>
            <w:proofErr w:type="spellStart"/>
            <w:r w:rsidRPr="00A07F29">
              <w:rPr>
                <w:rFonts w:ascii="Times New Roman" w:eastAsia="Lucida Sans Unicode" w:hAnsi="Times New Roman" w:cs="Times New Roman"/>
                <w:i/>
                <w:kern w:val="2"/>
                <w:sz w:val="20"/>
                <w:szCs w:val="20"/>
                <w:lang w:eastAsia="ar-SA"/>
              </w:rPr>
              <w:t>hybridus</w:t>
            </w:r>
            <w:proofErr w:type="spellEnd"/>
          </w:p>
        </w:tc>
        <w:tc>
          <w:tcPr>
            <w:tcW w:w="0" w:type="auto"/>
            <w:tcBorders>
              <w:top w:val="single" w:sz="4" w:space="0" w:color="000000"/>
              <w:left w:val="single" w:sz="4" w:space="0" w:color="000000"/>
              <w:bottom w:val="single" w:sz="4" w:space="0" w:color="000000"/>
              <w:right w:val="single" w:sz="4" w:space="0" w:color="000000"/>
            </w:tcBorders>
            <w:hideMark/>
          </w:tcPr>
          <w:p w14:paraId="23349D17"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 xml:space="preserve">Bastarda </w:t>
            </w:r>
            <w:proofErr w:type="spellStart"/>
            <w:r w:rsidRPr="00A07F29">
              <w:rPr>
                <w:rFonts w:ascii="Times New Roman" w:eastAsia="Lucida Sans Unicode" w:hAnsi="Times New Roman" w:cs="Times New Roman"/>
                <w:kern w:val="2"/>
                <w:sz w:val="20"/>
                <w:szCs w:val="20"/>
                <w:lang w:eastAsia="ar-SA"/>
              </w:rPr>
              <w:t>tūsklape</w:t>
            </w:r>
            <w:proofErr w:type="spellEnd"/>
          </w:p>
        </w:tc>
        <w:tc>
          <w:tcPr>
            <w:tcW w:w="0" w:type="auto"/>
            <w:tcBorders>
              <w:top w:val="single" w:sz="4" w:space="0" w:color="000000"/>
              <w:left w:val="single" w:sz="4" w:space="0" w:color="000000"/>
              <w:bottom w:val="single" w:sz="4" w:space="0" w:color="000000"/>
              <w:right w:val="single" w:sz="4" w:space="0" w:color="000000"/>
            </w:tcBorders>
            <w:hideMark/>
          </w:tcPr>
          <w:p w14:paraId="347B36B3" w14:textId="77777777" w:rsidR="00A21E83" w:rsidRPr="00A07F29" w:rsidRDefault="00A21E83" w:rsidP="005111E1">
            <w:pPr>
              <w:widowControl w:val="0"/>
              <w:suppressAutoHyphens/>
              <w:spacing w:after="0" w:line="240" w:lineRule="auto"/>
              <w:jc w:val="center"/>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6</w:t>
            </w:r>
          </w:p>
        </w:tc>
        <w:tc>
          <w:tcPr>
            <w:tcW w:w="0" w:type="auto"/>
            <w:tcBorders>
              <w:top w:val="single" w:sz="4" w:space="0" w:color="000000"/>
              <w:left w:val="single" w:sz="4" w:space="0" w:color="000000"/>
              <w:bottom w:val="single" w:sz="4" w:space="0" w:color="000000"/>
              <w:right w:val="single" w:sz="4" w:space="0" w:color="000000"/>
            </w:tcBorders>
            <w:hideMark/>
          </w:tcPr>
          <w:p w14:paraId="75EE4578" w14:textId="77777777" w:rsidR="00A21E83" w:rsidRPr="00A07F29" w:rsidRDefault="00A21E83" w:rsidP="005111E1">
            <w:pPr>
              <w:widowControl w:val="0"/>
              <w:suppressAutoHyphens/>
              <w:spacing w:after="0" w:line="240" w:lineRule="auto"/>
              <w:jc w:val="center"/>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2</w:t>
            </w:r>
          </w:p>
        </w:tc>
        <w:tc>
          <w:tcPr>
            <w:tcW w:w="0" w:type="auto"/>
            <w:tcBorders>
              <w:top w:val="single" w:sz="4" w:space="0" w:color="000000"/>
              <w:left w:val="single" w:sz="4" w:space="0" w:color="000000"/>
              <w:bottom w:val="single" w:sz="4" w:space="0" w:color="000000"/>
              <w:right w:val="single" w:sz="4" w:space="0" w:color="000000"/>
            </w:tcBorders>
            <w:hideMark/>
          </w:tcPr>
          <w:p w14:paraId="50EC01A2"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 xml:space="preserve">Atsevišķus augus izrok un sakneņus sadedzina, lielas audzes apstrādā ar herbicīdiem. </w:t>
            </w:r>
          </w:p>
        </w:tc>
      </w:tr>
      <w:tr w:rsidR="00A21E83" w:rsidRPr="00A07F29" w14:paraId="12E56236" w14:textId="77777777" w:rsidTr="005111E1">
        <w:trPr>
          <w:trHeight w:val="510"/>
        </w:trPr>
        <w:tc>
          <w:tcPr>
            <w:tcW w:w="0" w:type="auto"/>
            <w:tcBorders>
              <w:top w:val="single" w:sz="4" w:space="0" w:color="000000"/>
              <w:left w:val="single" w:sz="4" w:space="0" w:color="000000"/>
              <w:bottom w:val="single" w:sz="4" w:space="0" w:color="000000"/>
              <w:right w:val="single" w:sz="4" w:space="0" w:color="000000"/>
            </w:tcBorders>
            <w:hideMark/>
          </w:tcPr>
          <w:p w14:paraId="7DDB5313"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i/>
                <w:kern w:val="2"/>
                <w:sz w:val="20"/>
                <w:szCs w:val="20"/>
                <w:lang w:eastAsia="ar-SA"/>
              </w:rPr>
            </w:pPr>
            <w:r w:rsidRPr="00A07F29">
              <w:rPr>
                <w:rFonts w:ascii="Times New Roman" w:eastAsia="Lucida Sans Unicode" w:hAnsi="Times New Roman" w:cs="Times New Roman"/>
                <w:kern w:val="2"/>
                <w:sz w:val="20"/>
                <w:szCs w:val="20"/>
                <w:lang w:eastAsia="ar-SA"/>
              </w:rPr>
              <w:t>19.</w:t>
            </w:r>
          </w:p>
        </w:tc>
        <w:tc>
          <w:tcPr>
            <w:tcW w:w="0" w:type="auto"/>
            <w:tcBorders>
              <w:top w:val="single" w:sz="4" w:space="0" w:color="000000"/>
              <w:left w:val="single" w:sz="4" w:space="0" w:color="000000"/>
              <w:bottom w:val="single" w:sz="4" w:space="0" w:color="000000"/>
              <w:right w:val="single" w:sz="4" w:space="0" w:color="000000"/>
            </w:tcBorders>
            <w:hideMark/>
          </w:tcPr>
          <w:p w14:paraId="620F0127"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kern w:val="2"/>
                <w:sz w:val="20"/>
                <w:szCs w:val="20"/>
                <w:lang w:eastAsia="ar-SA"/>
              </w:rPr>
            </w:pPr>
            <w:proofErr w:type="spellStart"/>
            <w:r w:rsidRPr="00A07F29">
              <w:rPr>
                <w:rFonts w:ascii="Times New Roman" w:eastAsia="Lucida Sans Unicode" w:hAnsi="Times New Roman" w:cs="Times New Roman"/>
                <w:i/>
                <w:kern w:val="2"/>
                <w:sz w:val="20"/>
                <w:szCs w:val="20"/>
                <w:lang w:eastAsia="ar-SA"/>
              </w:rPr>
              <w:t>Populus</w:t>
            </w:r>
            <w:proofErr w:type="spellEnd"/>
            <w:r w:rsidRPr="00A07F29">
              <w:rPr>
                <w:rFonts w:ascii="Times New Roman" w:eastAsia="Lucida Sans Unicode" w:hAnsi="Times New Roman" w:cs="Times New Roman"/>
                <w:i/>
                <w:kern w:val="2"/>
                <w:sz w:val="20"/>
                <w:szCs w:val="20"/>
                <w:lang w:eastAsia="ar-SA"/>
              </w:rPr>
              <w:t xml:space="preserve"> </w:t>
            </w:r>
            <w:proofErr w:type="spellStart"/>
            <w:r w:rsidRPr="00A07F29">
              <w:rPr>
                <w:rFonts w:ascii="Times New Roman" w:eastAsia="Lucida Sans Unicode" w:hAnsi="Times New Roman" w:cs="Times New Roman"/>
                <w:i/>
                <w:kern w:val="2"/>
                <w:sz w:val="20"/>
                <w:szCs w:val="20"/>
                <w:lang w:eastAsia="ar-SA"/>
              </w:rPr>
              <w:t>alba</w:t>
            </w:r>
            <w:proofErr w:type="spellEnd"/>
          </w:p>
        </w:tc>
        <w:tc>
          <w:tcPr>
            <w:tcW w:w="0" w:type="auto"/>
            <w:tcBorders>
              <w:top w:val="single" w:sz="4" w:space="0" w:color="000000"/>
              <w:left w:val="single" w:sz="4" w:space="0" w:color="000000"/>
              <w:bottom w:val="single" w:sz="4" w:space="0" w:color="000000"/>
              <w:right w:val="single" w:sz="4" w:space="0" w:color="000000"/>
            </w:tcBorders>
            <w:hideMark/>
          </w:tcPr>
          <w:p w14:paraId="74AC1BBE"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Baltā apse</w:t>
            </w:r>
          </w:p>
        </w:tc>
        <w:tc>
          <w:tcPr>
            <w:tcW w:w="0" w:type="auto"/>
            <w:tcBorders>
              <w:top w:val="single" w:sz="4" w:space="0" w:color="000000"/>
              <w:left w:val="single" w:sz="4" w:space="0" w:color="000000"/>
              <w:bottom w:val="single" w:sz="4" w:space="0" w:color="000000"/>
              <w:right w:val="single" w:sz="4" w:space="0" w:color="000000"/>
            </w:tcBorders>
            <w:hideMark/>
          </w:tcPr>
          <w:p w14:paraId="09B13B6B" w14:textId="77777777" w:rsidR="00A21E83" w:rsidRPr="00A07F29" w:rsidRDefault="00A21E83" w:rsidP="005111E1">
            <w:pPr>
              <w:widowControl w:val="0"/>
              <w:suppressAutoHyphens/>
              <w:spacing w:after="0" w:line="240" w:lineRule="auto"/>
              <w:jc w:val="center"/>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7</w:t>
            </w:r>
          </w:p>
        </w:tc>
        <w:tc>
          <w:tcPr>
            <w:tcW w:w="0" w:type="auto"/>
            <w:tcBorders>
              <w:top w:val="single" w:sz="4" w:space="0" w:color="000000"/>
              <w:left w:val="single" w:sz="4" w:space="0" w:color="000000"/>
              <w:bottom w:val="single" w:sz="4" w:space="0" w:color="000000"/>
              <w:right w:val="single" w:sz="4" w:space="0" w:color="000000"/>
            </w:tcBorders>
            <w:hideMark/>
          </w:tcPr>
          <w:p w14:paraId="6F4120DB" w14:textId="77777777" w:rsidR="00A21E83" w:rsidRPr="00A07F29" w:rsidRDefault="00A21E83" w:rsidP="005111E1">
            <w:pPr>
              <w:widowControl w:val="0"/>
              <w:suppressAutoHyphens/>
              <w:spacing w:after="0" w:line="240" w:lineRule="auto"/>
              <w:jc w:val="center"/>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6</w:t>
            </w:r>
          </w:p>
        </w:tc>
        <w:tc>
          <w:tcPr>
            <w:tcW w:w="0" w:type="auto"/>
            <w:tcBorders>
              <w:top w:val="single" w:sz="4" w:space="0" w:color="000000"/>
              <w:left w:val="single" w:sz="4" w:space="0" w:color="000000"/>
              <w:bottom w:val="single" w:sz="4" w:space="0" w:color="000000"/>
              <w:right w:val="single" w:sz="4" w:space="0" w:color="000000"/>
            </w:tcBorders>
            <w:hideMark/>
          </w:tcPr>
          <w:p w14:paraId="3096591C"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Cirst ar ķīmiskiem līdzekļiem nokaltētus krūmus. Jaunus krūmus izraut vai izrakt.</w:t>
            </w:r>
          </w:p>
        </w:tc>
      </w:tr>
      <w:tr w:rsidR="00A21E83" w:rsidRPr="00A07F29" w14:paraId="5D2BDE6C" w14:textId="77777777" w:rsidTr="005111E1">
        <w:trPr>
          <w:trHeight w:val="510"/>
        </w:trPr>
        <w:tc>
          <w:tcPr>
            <w:tcW w:w="0" w:type="auto"/>
            <w:tcBorders>
              <w:top w:val="single" w:sz="4" w:space="0" w:color="000000"/>
              <w:left w:val="single" w:sz="4" w:space="0" w:color="000000"/>
              <w:bottom w:val="single" w:sz="4" w:space="0" w:color="000000"/>
              <w:right w:val="single" w:sz="4" w:space="0" w:color="000000"/>
            </w:tcBorders>
            <w:hideMark/>
          </w:tcPr>
          <w:p w14:paraId="04F57FB2"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i/>
                <w:kern w:val="2"/>
                <w:sz w:val="20"/>
                <w:szCs w:val="20"/>
                <w:lang w:eastAsia="ar-SA"/>
              </w:rPr>
            </w:pPr>
            <w:r w:rsidRPr="00A07F29">
              <w:rPr>
                <w:rFonts w:ascii="Times New Roman" w:eastAsia="Lucida Sans Unicode" w:hAnsi="Times New Roman" w:cs="Times New Roman"/>
                <w:kern w:val="2"/>
                <w:sz w:val="20"/>
                <w:szCs w:val="20"/>
                <w:lang w:eastAsia="ar-SA"/>
              </w:rPr>
              <w:t>20.</w:t>
            </w:r>
          </w:p>
        </w:tc>
        <w:tc>
          <w:tcPr>
            <w:tcW w:w="0" w:type="auto"/>
            <w:tcBorders>
              <w:top w:val="single" w:sz="4" w:space="0" w:color="000000"/>
              <w:left w:val="single" w:sz="4" w:space="0" w:color="000000"/>
              <w:bottom w:val="single" w:sz="4" w:space="0" w:color="000000"/>
              <w:right w:val="single" w:sz="4" w:space="0" w:color="000000"/>
            </w:tcBorders>
            <w:hideMark/>
          </w:tcPr>
          <w:p w14:paraId="59308D7B"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kern w:val="2"/>
                <w:sz w:val="20"/>
                <w:szCs w:val="20"/>
                <w:lang w:eastAsia="ar-SA"/>
              </w:rPr>
            </w:pPr>
            <w:proofErr w:type="spellStart"/>
            <w:r w:rsidRPr="00A07F29">
              <w:rPr>
                <w:rFonts w:ascii="Times New Roman" w:eastAsia="Lucida Sans Unicode" w:hAnsi="Times New Roman" w:cs="Times New Roman"/>
                <w:i/>
                <w:kern w:val="2"/>
                <w:sz w:val="20"/>
                <w:szCs w:val="20"/>
                <w:lang w:eastAsia="ar-SA"/>
              </w:rPr>
              <w:t>Populus</w:t>
            </w:r>
            <w:proofErr w:type="spellEnd"/>
            <w:r w:rsidRPr="00A07F29">
              <w:rPr>
                <w:rFonts w:ascii="Times New Roman" w:eastAsia="Lucida Sans Unicode" w:hAnsi="Times New Roman" w:cs="Times New Roman"/>
                <w:i/>
                <w:kern w:val="2"/>
                <w:sz w:val="20"/>
                <w:szCs w:val="20"/>
                <w:lang w:eastAsia="ar-SA"/>
              </w:rPr>
              <w:t xml:space="preserve"> </w:t>
            </w:r>
            <w:proofErr w:type="spellStart"/>
            <w:r w:rsidRPr="00A07F29">
              <w:rPr>
                <w:rFonts w:ascii="Times New Roman" w:eastAsia="Lucida Sans Unicode" w:hAnsi="Times New Roman" w:cs="Times New Roman"/>
                <w:i/>
                <w:kern w:val="2"/>
                <w:sz w:val="20"/>
                <w:szCs w:val="20"/>
                <w:lang w:eastAsia="ar-SA"/>
              </w:rPr>
              <w:t>balsamifera</w:t>
            </w:r>
            <w:proofErr w:type="spellEnd"/>
          </w:p>
        </w:tc>
        <w:tc>
          <w:tcPr>
            <w:tcW w:w="0" w:type="auto"/>
            <w:tcBorders>
              <w:top w:val="single" w:sz="4" w:space="0" w:color="000000"/>
              <w:left w:val="single" w:sz="4" w:space="0" w:color="000000"/>
              <w:bottom w:val="single" w:sz="4" w:space="0" w:color="000000"/>
              <w:right w:val="single" w:sz="4" w:space="0" w:color="000000"/>
            </w:tcBorders>
            <w:hideMark/>
          </w:tcPr>
          <w:p w14:paraId="36B07BE7"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Balzāma papele</w:t>
            </w:r>
          </w:p>
        </w:tc>
        <w:tc>
          <w:tcPr>
            <w:tcW w:w="0" w:type="auto"/>
            <w:tcBorders>
              <w:top w:val="single" w:sz="4" w:space="0" w:color="000000"/>
              <w:left w:val="single" w:sz="4" w:space="0" w:color="000000"/>
              <w:bottom w:val="single" w:sz="4" w:space="0" w:color="000000"/>
              <w:right w:val="single" w:sz="4" w:space="0" w:color="000000"/>
            </w:tcBorders>
            <w:hideMark/>
          </w:tcPr>
          <w:p w14:paraId="2B8E2D0D" w14:textId="77777777" w:rsidR="00A21E83" w:rsidRPr="00A07F29" w:rsidRDefault="00A21E83" w:rsidP="005111E1">
            <w:pPr>
              <w:widowControl w:val="0"/>
              <w:suppressAutoHyphens/>
              <w:spacing w:after="0" w:line="240" w:lineRule="auto"/>
              <w:jc w:val="center"/>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5</w:t>
            </w:r>
          </w:p>
        </w:tc>
        <w:tc>
          <w:tcPr>
            <w:tcW w:w="0" w:type="auto"/>
            <w:tcBorders>
              <w:top w:val="single" w:sz="4" w:space="0" w:color="000000"/>
              <w:left w:val="single" w:sz="4" w:space="0" w:color="000000"/>
              <w:bottom w:val="single" w:sz="4" w:space="0" w:color="000000"/>
              <w:right w:val="single" w:sz="4" w:space="0" w:color="000000"/>
            </w:tcBorders>
            <w:hideMark/>
          </w:tcPr>
          <w:p w14:paraId="0863274A" w14:textId="77777777" w:rsidR="00A21E83" w:rsidRPr="00A07F29" w:rsidRDefault="00A21E83" w:rsidP="005111E1">
            <w:pPr>
              <w:widowControl w:val="0"/>
              <w:suppressAutoHyphens/>
              <w:spacing w:after="0" w:line="240" w:lineRule="auto"/>
              <w:jc w:val="center"/>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3</w:t>
            </w:r>
          </w:p>
        </w:tc>
        <w:tc>
          <w:tcPr>
            <w:tcW w:w="0" w:type="auto"/>
            <w:tcBorders>
              <w:top w:val="single" w:sz="4" w:space="0" w:color="000000"/>
              <w:left w:val="single" w:sz="4" w:space="0" w:color="000000"/>
              <w:bottom w:val="single" w:sz="4" w:space="0" w:color="000000"/>
              <w:right w:val="single" w:sz="4" w:space="0" w:color="000000"/>
            </w:tcBorders>
            <w:hideMark/>
          </w:tcPr>
          <w:p w14:paraId="5EE6F402"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Cirst ar ķīmiskiem līdzekļiem nokaltētus krūmus. Jaunus krūmus izraut vai izrakt.</w:t>
            </w:r>
          </w:p>
        </w:tc>
      </w:tr>
      <w:tr w:rsidR="00A21E83" w:rsidRPr="00A07F29" w14:paraId="475289DD" w14:textId="77777777" w:rsidTr="005111E1">
        <w:trPr>
          <w:trHeight w:val="510"/>
        </w:trPr>
        <w:tc>
          <w:tcPr>
            <w:tcW w:w="0" w:type="auto"/>
            <w:tcBorders>
              <w:top w:val="single" w:sz="4" w:space="0" w:color="000000"/>
              <w:left w:val="single" w:sz="4" w:space="0" w:color="000000"/>
              <w:bottom w:val="single" w:sz="4" w:space="0" w:color="000000"/>
              <w:right w:val="single" w:sz="4" w:space="0" w:color="000000"/>
            </w:tcBorders>
            <w:hideMark/>
          </w:tcPr>
          <w:p w14:paraId="7700AC13"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i/>
                <w:kern w:val="2"/>
                <w:sz w:val="20"/>
                <w:szCs w:val="20"/>
                <w:lang w:eastAsia="ar-SA"/>
              </w:rPr>
            </w:pPr>
            <w:r w:rsidRPr="00A07F29">
              <w:rPr>
                <w:rFonts w:ascii="Times New Roman" w:eastAsia="Lucida Sans Unicode" w:hAnsi="Times New Roman" w:cs="Times New Roman"/>
                <w:kern w:val="2"/>
                <w:sz w:val="20"/>
                <w:szCs w:val="20"/>
                <w:lang w:eastAsia="ar-SA"/>
              </w:rPr>
              <w:t>21.</w:t>
            </w:r>
          </w:p>
        </w:tc>
        <w:tc>
          <w:tcPr>
            <w:tcW w:w="0" w:type="auto"/>
            <w:tcBorders>
              <w:top w:val="single" w:sz="4" w:space="0" w:color="000000"/>
              <w:left w:val="single" w:sz="4" w:space="0" w:color="000000"/>
              <w:bottom w:val="single" w:sz="4" w:space="0" w:color="000000"/>
              <w:right w:val="single" w:sz="4" w:space="0" w:color="000000"/>
            </w:tcBorders>
            <w:hideMark/>
          </w:tcPr>
          <w:p w14:paraId="6FD642BF"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kern w:val="2"/>
                <w:sz w:val="20"/>
                <w:szCs w:val="20"/>
                <w:lang w:eastAsia="ar-SA"/>
              </w:rPr>
            </w:pPr>
            <w:proofErr w:type="spellStart"/>
            <w:r w:rsidRPr="00A07F29">
              <w:rPr>
                <w:rFonts w:ascii="Times New Roman" w:eastAsia="Lucida Sans Unicode" w:hAnsi="Times New Roman" w:cs="Times New Roman"/>
                <w:i/>
                <w:kern w:val="2"/>
                <w:sz w:val="20"/>
                <w:szCs w:val="20"/>
                <w:lang w:eastAsia="ar-SA"/>
              </w:rPr>
              <w:t>Reynoutria</w:t>
            </w:r>
            <w:proofErr w:type="spellEnd"/>
            <w:r w:rsidRPr="00A07F29">
              <w:rPr>
                <w:rFonts w:ascii="Times New Roman" w:eastAsia="Lucida Sans Unicode" w:hAnsi="Times New Roman" w:cs="Times New Roman"/>
                <w:i/>
                <w:kern w:val="2"/>
                <w:sz w:val="20"/>
                <w:szCs w:val="20"/>
                <w:lang w:eastAsia="ar-SA"/>
              </w:rPr>
              <w:t xml:space="preserve"> </w:t>
            </w:r>
            <w:proofErr w:type="spellStart"/>
            <w:r w:rsidRPr="00A07F29">
              <w:rPr>
                <w:rFonts w:ascii="Times New Roman" w:eastAsia="Lucida Sans Unicode" w:hAnsi="Times New Roman" w:cs="Times New Roman"/>
                <w:i/>
                <w:kern w:val="2"/>
                <w:sz w:val="20"/>
                <w:szCs w:val="20"/>
                <w:lang w:eastAsia="ar-SA"/>
              </w:rPr>
              <w:t>japonica</w:t>
            </w:r>
            <w:proofErr w:type="spellEnd"/>
          </w:p>
        </w:tc>
        <w:tc>
          <w:tcPr>
            <w:tcW w:w="0" w:type="auto"/>
            <w:tcBorders>
              <w:top w:val="single" w:sz="4" w:space="0" w:color="000000"/>
              <w:left w:val="single" w:sz="4" w:space="0" w:color="000000"/>
              <w:bottom w:val="single" w:sz="4" w:space="0" w:color="000000"/>
              <w:right w:val="single" w:sz="4" w:space="0" w:color="000000"/>
            </w:tcBorders>
            <w:hideMark/>
          </w:tcPr>
          <w:p w14:paraId="09CB7E52"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 xml:space="preserve">Japānas </w:t>
            </w:r>
            <w:proofErr w:type="spellStart"/>
            <w:r w:rsidRPr="00A07F29">
              <w:rPr>
                <w:rFonts w:ascii="Times New Roman" w:eastAsia="Lucida Sans Unicode" w:hAnsi="Times New Roman" w:cs="Times New Roman"/>
                <w:kern w:val="2"/>
                <w:sz w:val="20"/>
                <w:szCs w:val="20"/>
                <w:lang w:eastAsia="ar-SA"/>
              </w:rPr>
              <w:t>dižsūrene</w:t>
            </w:r>
            <w:proofErr w:type="spellEnd"/>
          </w:p>
        </w:tc>
        <w:tc>
          <w:tcPr>
            <w:tcW w:w="0" w:type="auto"/>
            <w:tcBorders>
              <w:top w:val="single" w:sz="4" w:space="0" w:color="000000"/>
              <w:left w:val="single" w:sz="4" w:space="0" w:color="000000"/>
              <w:bottom w:val="single" w:sz="4" w:space="0" w:color="000000"/>
              <w:right w:val="single" w:sz="4" w:space="0" w:color="000000"/>
            </w:tcBorders>
            <w:hideMark/>
          </w:tcPr>
          <w:p w14:paraId="5EB9B6AD" w14:textId="77777777" w:rsidR="00A21E83" w:rsidRPr="00A07F29" w:rsidRDefault="00A21E83" w:rsidP="005111E1">
            <w:pPr>
              <w:widowControl w:val="0"/>
              <w:suppressAutoHyphens/>
              <w:spacing w:after="0" w:line="240" w:lineRule="auto"/>
              <w:jc w:val="center"/>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1</w:t>
            </w:r>
          </w:p>
        </w:tc>
        <w:tc>
          <w:tcPr>
            <w:tcW w:w="0" w:type="auto"/>
            <w:tcBorders>
              <w:top w:val="single" w:sz="4" w:space="0" w:color="000000"/>
              <w:left w:val="single" w:sz="4" w:space="0" w:color="000000"/>
              <w:bottom w:val="single" w:sz="4" w:space="0" w:color="000000"/>
              <w:right w:val="single" w:sz="4" w:space="0" w:color="000000"/>
            </w:tcBorders>
            <w:hideMark/>
          </w:tcPr>
          <w:p w14:paraId="15A1EF1B" w14:textId="77777777" w:rsidR="00A21E83" w:rsidRPr="00A07F29" w:rsidRDefault="00A21E83" w:rsidP="005111E1">
            <w:pPr>
              <w:widowControl w:val="0"/>
              <w:suppressAutoHyphens/>
              <w:spacing w:after="0" w:line="240" w:lineRule="auto"/>
              <w:jc w:val="center"/>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1</w:t>
            </w:r>
          </w:p>
        </w:tc>
        <w:tc>
          <w:tcPr>
            <w:tcW w:w="0" w:type="auto"/>
            <w:tcBorders>
              <w:top w:val="single" w:sz="4" w:space="0" w:color="000000"/>
              <w:left w:val="single" w:sz="4" w:space="0" w:color="000000"/>
              <w:bottom w:val="single" w:sz="4" w:space="0" w:color="000000"/>
              <w:right w:val="single" w:sz="4" w:space="0" w:color="000000"/>
            </w:tcBorders>
            <w:hideMark/>
          </w:tcPr>
          <w:p w14:paraId="005E93A3"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 xml:space="preserve">Regulāri, vairākas reizes veģetācijas sezonā pļaut, lai atradne nepalielinātos. </w:t>
            </w:r>
          </w:p>
        </w:tc>
      </w:tr>
      <w:tr w:rsidR="00A21E83" w:rsidRPr="00A07F29" w14:paraId="2DDA02F0" w14:textId="77777777" w:rsidTr="005111E1">
        <w:trPr>
          <w:trHeight w:val="510"/>
        </w:trPr>
        <w:tc>
          <w:tcPr>
            <w:tcW w:w="0" w:type="auto"/>
            <w:tcBorders>
              <w:top w:val="single" w:sz="4" w:space="0" w:color="000000"/>
              <w:left w:val="single" w:sz="4" w:space="0" w:color="000000"/>
              <w:bottom w:val="single" w:sz="4" w:space="0" w:color="000000"/>
              <w:right w:val="single" w:sz="4" w:space="0" w:color="000000"/>
            </w:tcBorders>
            <w:hideMark/>
          </w:tcPr>
          <w:p w14:paraId="447FBF39"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i/>
                <w:kern w:val="2"/>
                <w:sz w:val="20"/>
                <w:szCs w:val="20"/>
                <w:lang w:eastAsia="ar-SA"/>
              </w:rPr>
            </w:pPr>
            <w:r w:rsidRPr="00A07F29">
              <w:rPr>
                <w:rFonts w:ascii="Times New Roman" w:eastAsia="Lucida Sans Unicode" w:hAnsi="Times New Roman" w:cs="Times New Roman"/>
                <w:kern w:val="2"/>
                <w:sz w:val="20"/>
                <w:szCs w:val="20"/>
                <w:lang w:eastAsia="ar-SA"/>
              </w:rPr>
              <w:t>22.</w:t>
            </w:r>
          </w:p>
        </w:tc>
        <w:tc>
          <w:tcPr>
            <w:tcW w:w="0" w:type="auto"/>
            <w:tcBorders>
              <w:top w:val="single" w:sz="4" w:space="0" w:color="000000"/>
              <w:left w:val="single" w:sz="4" w:space="0" w:color="000000"/>
              <w:bottom w:val="single" w:sz="4" w:space="0" w:color="000000"/>
              <w:right w:val="single" w:sz="4" w:space="0" w:color="000000"/>
            </w:tcBorders>
            <w:hideMark/>
          </w:tcPr>
          <w:p w14:paraId="73D7D10F"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kern w:val="2"/>
                <w:sz w:val="20"/>
                <w:szCs w:val="20"/>
                <w:lang w:eastAsia="ar-SA"/>
              </w:rPr>
            </w:pPr>
            <w:proofErr w:type="spellStart"/>
            <w:r w:rsidRPr="00A07F29">
              <w:rPr>
                <w:rFonts w:ascii="Times New Roman" w:eastAsia="Lucida Sans Unicode" w:hAnsi="Times New Roman" w:cs="Times New Roman"/>
                <w:i/>
                <w:kern w:val="2"/>
                <w:sz w:val="20"/>
                <w:szCs w:val="20"/>
                <w:lang w:eastAsia="ar-SA"/>
              </w:rPr>
              <w:t>Reynoutria</w:t>
            </w:r>
            <w:proofErr w:type="spellEnd"/>
            <w:r w:rsidRPr="00A07F29">
              <w:rPr>
                <w:rFonts w:ascii="Times New Roman" w:eastAsia="Lucida Sans Unicode" w:hAnsi="Times New Roman" w:cs="Times New Roman"/>
                <w:i/>
                <w:kern w:val="2"/>
                <w:sz w:val="20"/>
                <w:szCs w:val="20"/>
                <w:lang w:eastAsia="ar-SA"/>
              </w:rPr>
              <w:t xml:space="preserve"> </w:t>
            </w:r>
            <w:proofErr w:type="spellStart"/>
            <w:r w:rsidRPr="00A07F29">
              <w:rPr>
                <w:rFonts w:ascii="Times New Roman" w:eastAsia="Lucida Sans Unicode" w:hAnsi="Times New Roman" w:cs="Times New Roman"/>
                <w:i/>
                <w:kern w:val="2"/>
                <w:sz w:val="20"/>
                <w:szCs w:val="20"/>
                <w:lang w:eastAsia="ar-SA"/>
              </w:rPr>
              <w:t>sachalinensis</w:t>
            </w:r>
            <w:proofErr w:type="spellEnd"/>
          </w:p>
        </w:tc>
        <w:tc>
          <w:tcPr>
            <w:tcW w:w="0" w:type="auto"/>
            <w:tcBorders>
              <w:top w:val="single" w:sz="4" w:space="0" w:color="000000"/>
              <w:left w:val="single" w:sz="4" w:space="0" w:color="000000"/>
              <w:bottom w:val="single" w:sz="4" w:space="0" w:color="000000"/>
              <w:right w:val="single" w:sz="4" w:space="0" w:color="000000"/>
            </w:tcBorders>
            <w:hideMark/>
          </w:tcPr>
          <w:p w14:paraId="397C271C"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 xml:space="preserve">Sahalīnas </w:t>
            </w:r>
            <w:proofErr w:type="spellStart"/>
            <w:r w:rsidRPr="00A07F29">
              <w:rPr>
                <w:rFonts w:ascii="Times New Roman" w:eastAsia="Lucida Sans Unicode" w:hAnsi="Times New Roman" w:cs="Times New Roman"/>
                <w:kern w:val="2"/>
                <w:sz w:val="20"/>
                <w:szCs w:val="20"/>
                <w:lang w:eastAsia="ar-SA"/>
              </w:rPr>
              <w:t>dižsūrene</w:t>
            </w:r>
            <w:proofErr w:type="spellEnd"/>
          </w:p>
        </w:tc>
        <w:tc>
          <w:tcPr>
            <w:tcW w:w="0" w:type="auto"/>
            <w:tcBorders>
              <w:top w:val="single" w:sz="4" w:space="0" w:color="000000"/>
              <w:left w:val="single" w:sz="4" w:space="0" w:color="000000"/>
              <w:bottom w:val="single" w:sz="4" w:space="0" w:color="000000"/>
              <w:right w:val="single" w:sz="4" w:space="0" w:color="000000"/>
            </w:tcBorders>
            <w:hideMark/>
          </w:tcPr>
          <w:p w14:paraId="6AF51DFC" w14:textId="77777777" w:rsidR="00A21E83" w:rsidRPr="00A07F29" w:rsidRDefault="00A21E83" w:rsidP="005111E1">
            <w:pPr>
              <w:widowControl w:val="0"/>
              <w:suppressAutoHyphens/>
              <w:spacing w:after="0" w:line="240" w:lineRule="auto"/>
              <w:jc w:val="center"/>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4</w:t>
            </w:r>
          </w:p>
        </w:tc>
        <w:tc>
          <w:tcPr>
            <w:tcW w:w="0" w:type="auto"/>
            <w:tcBorders>
              <w:top w:val="single" w:sz="4" w:space="0" w:color="000000"/>
              <w:left w:val="single" w:sz="4" w:space="0" w:color="000000"/>
              <w:bottom w:val="single" w:sz="4" w:space="0" w:color="000000"/>
              <w:right w:val="single" w:sz="4" w:space="0" w:color="000000"/>
            </w:tcBorders>
            <w:hideMark/>
          </w:tcPr>
          <w:p w14:paraId="588C2AF5" w14:textId="77777777" w:rsidR="00A21E83" w:rsidRPr="00A07F29" w:rsidRDefault="00A21E83" w:rsidP="005111E1">
            <w:pPr>
              <w:widowControl w:val="0"/>
              <w:suppressAutoHyphens/>
              <w:spacing w:after="0" w:line="240" w:lineRule="auto"/>
              <w:jc w:val="center"/>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1</w:t>
            </w:r>
          </w:p>
        </w:tc>
        <w:tc>
          <w:tcPr>
            <w:tcW w:w="0" w:type="auto"/>
            <w:tcBorders>
              <w:top w:val="single" w:sz="4" w:space="0" w:color="000000"/>
              <w:left w:val="single" w:sz="4" w:space="0" w:color="000000"/>
              <w:bottom w:val="single" w:sz="4" w:space="0" w:color="000000"/>
              <w:right w:val="single" w:sz="4" w:space="0" w:color="000000"/>
            </w:tcBorders>
            <w:hideMark/>
          </w:tcPr>
          <w:p w14:paraId="1458CDC0"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Regulāri, vairākas reizes veģetācijas sezonā pļaut, lai atradne nepalielinātos.</w:t>
            </w:r>
          </w:p>
        </w:tc>
      </w:tr>
      <w:tr w:rsidR="00A21E83" w:rsidRPr="00A07F29" w14:paraId="28389404" w14:textId="77777777" w:rsidTr="005111E1">
        <w:trPr>
          <w:trHeight w:val="510"/>
        </w:trPr>
        <w:tc>
          <w:tcPr>
            <w:tcW w:w="0" w:type="auto"/>
            <w:tcBorders>
              <w:top w:val="single" w:sz="4" w:space="0" w:color="000000"/>
              <w:left w:val="single" w:sz="4" w:space="0" w:color="000000"/>
              <w:bottom w:val="single" w:sz="4" w:space="0" w:color="000000"/>
              <w:right w:val="single" w:sz="4" w:space="0" w:color="000000"/>
            </w:tcBorders>
            <w:hideMark/>
          </w:tcPr>
          <w:p w14:paraId="1FAF6FE8"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i/>
                <w:kern w:val="2"/>
                <w:sz w:val="20"/>
                <w:szCs w:val="20"/>
                <w:lang w:eastAsia="ar-SA"/>
              </w:rPr>
            </w:pPr>
            <w:r w:rsidRPr="00A07F29">
              <w:rPr>
                <w:rFonts w:ascii="Times New Roman" w:eastAsia="Lucida Sans Unicode" w:hAnsi="Times New Roman" w:cs="Times New Roman"/>
                <w:kern w:val="2"/>
                <w:sz w:val="20"/>
                <w:szCs w:val="20"/>
                <w:lang w:eastAsia="ar-SA"/>
              </w:rPr>
              <w:t>23.</w:t>
            </w:r>
          </w:p>
        </w:tc>
        <w:tc>
          <w:tcPr>
            <w:tcW w:w="0" w:type="auto"/>
            <w:tcBorders>
              <w:top w:val="single" w:sz="4" w:space="0" w:color="000000"/>
              <w:left w:val="single" w:sz="4" w:space="0" w:color="000000"/>
              <w:bottom w:val="single" w:sz="4" w:space="0" w:color="000000"/>
              <w:right w:val="single" w:sz="4" w:space="0" w:color="000000"/>
            </w:tcBorders>
            <w:hideMark/>
          </w:tcPr>
          <w:p w14:paraId="2864CC08"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i/>
                <w:kern w:val="2"/>
                <w:sz w:val="20"/>
                <w:szCs w:val="20"/>
                <w:lang w:eastAsia="ar-SA"/>
              </w:rPr>
              <w:t xml:space="preserve">Rosa </w:t>
            </w:r>
            <w:proofErr w:type="spellStart"/>
            <w:r w:rsidRPr="00A07F29">
              <w:rPr>
                <w:rFonts w:ascii="Times New Roman" w:eastAsia="Lucida Sans Unicode" w:hAnsi="Times New Roman" w:cs="Times New Roman"/>
                <w:i/>
                <w:kern w:val="2"/>
                <w:sz w:val="20"/>
                <w:szCs w:val="20"/>
                <w:lang w:eastAsia="ar-SA"/>
              </w:rPr>
              <w:t>rugosa</w:t>
            </w:r>
            <w:proofErr w:type="spellEnd"/>
          </w:p>
        </w:tc>
        <w:tc>
          <w:tcPr>
            <w:tcW w:w="0" w:type="auto"/>
            <w:tcBorders>
              <w:top w:val="single" w:sz="4" w:space="0" w:color="000000"/>
              <w:left w:val="single" w:sz="4" w:space="0" w:color="000000"/>
              <w:bottom w:val="single" w:sz="4" w:space="0" w:color="000000"/>
              <w:right w:val="single" w:sz="4" w:space="0" w:color="000000"/>
            </w:tcBorders>
            <w:hideMark/>
          </w:tcPr>
          <w:p w14:paraId="3DF423F3"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Krokainā roze</w:t>
            </w:r>
          </w:p>
        </w:tc>
        <w:tc>
          <w:tcPr>
            <w:tcW w:w="0" w:type="auto"/>
            <w:tcBorders>
              <w:top w:val="single" w:sz="4" w:space="0" w:color="000000"/>
              <w:left w:val="single" w:sz="4" w:space="0" w:color="000000"/>
              <w:bottom w:val="single" w:sz="4" w:space="0" w:color="000000"/>
              <w:right w:val="single" w:sz="4" w:space="0" w:color="000000"/>
            </w:tcBorders>
            <w:hideMark/>
          </w:tcPr>
          <w:p w14:paraId="5A140156" w14:textId="77777777" w:rsidR="00A21E83" w:rsidRPr="00A07F29" w:rsidRDefault="00A21E83" w:rsidP="005111E1">
            <w:pPr>
              <w:widowControl w:val="0"/>
              <w:suppressAutoHyphens/>
              <w:spacing w:after="0" w:line="240" w:lineRule="auto"/>
              <w:jc w:val="center"/>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2</w:t>
            </w:r>
          </w:p>
        </w:tc>
        <w:tc>
          <w:tcPr>
            <w:tcW w:w="0" w:type="auto"/>
            <w:tcBorders>
              <w:top w:val="single" w:sz="4" w:space="0" w:color="000000"/>
              <w:left w:val="single" w:sz="4" w:space="0" w:color="000000"/>
              <w:bottom w:val="single" w:sz="4" w:space="0" w:color="000000"/>
              <w:right w:val="single" w:sz="4" w:space="0" w:color="000000"/>
            </w:tcBorders>
            <w:hideMark/>
          </w:tcPr>
          <w:p w14:paraId="4C8414D6" w14:textId="77777777" w:rsidR="00A21E83" w:rsidRPr="00A07F29" w:rsidRDefault="00A21E83" w:rsidP="005111E1">
            <w:pPr>
              <w:widowControl w:val="0"/>
              <w:suppressAutoHyphens/>
              <w:spacing w:after="0" w:line="240" w:lineRule="auto"/>
              <w:jc w:val="center"/>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2</w:t>
            </w:r>
          </w:p>
        </w:tc>
        <w:tc>
          <w:tcPr>
            <w:tcW w:w="0" w:type="auto"/>
            <w:tcBorders>
              <w:top w:val="single" w:sz="4" w:space="0" w:color="000000"/>
              <w:left w:val="single" w:sz="4" w:space="0" w:color="000000"/>
              <w:bottom w:val="single" w:sz="4" w:space="0" w:color="000000"/>
              <w:right w:val="single" w:sz="4" w:space="0" w:color="000000"/>
            </w:tcBorders>
            <w:hideMark/>
          </w:tcPr>
          <w:p w14:paraId="0220325C"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Atsevišķus krūmus vai nelielas audzes var iznīcināt izrokot. Tīraudzes var iznīcināt daudzus gadus krūmus izgriežot un kompleksi noganot ar aitām vai kazām.</w:t>
            </w:r>
          </w:p>
        </w:tc>
      </w:tr>
      <w:tr w:rsidR="00A21E83" w:rsidRPr="00A07F29" w14:paraId="36D7AFB6" w14:textId="77777777" w:rsidTr="005111E1">
        <w:trPr>
          <w:trHeight w:val="510"/>
        </w:trPr>
        <w:tc>
          <w:tcPr>
            <w:tcW w:w="0" w:type="auto"/>
            <w:tcBorders>
              <w:top w:val="single" w:sz="4" w:space="0" w:color="000000"/>
              <w:left w:val="single" w:sz="4" w:space="0" w:color="000000"/>
              <w:bottom w:val="single" w:sz="4" w:space="0" w:color="000000"/>
              <w:right w:val="single" w:sz="4" w:space="0" w:color="000000"/>
            </w:tcBorders>
            <w:hideMark/>
          </w:tcPr>
          <w:p w14:paraId="1D9337D2"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i/>
                <w:kern w:val="2"/>
                <w:sz w:val="20"/>
                <w:szCs w:val="20"/>
                <w:lang w:eastAsia="ar-SA"/>
              </w:rPr>
            </w:pPr>
            <w:r w:rsidRPr="00A07F29">
              <w:rPr>
                <w:rFonts w:ascii="Times New Roman" w:eastAsia="Lucida Sans Unicode" w:hAnsi="Times New Roman" w:cs="Times New Roman"/>
                <w:kern w:val="2"/>
                <w:sz w:val="20"/>
                <w:szCs w:val="20"/>
                <w:lang w:eastAsia="ar-SA"/>
              </w:rPr>
              <w:t>24.</w:t>
            </w:r>
          </w:p>
        </w:tc>
        <w:tc>
          <w:tcPr>
            <w:tcW w:w="0" w:type="auto"/>
            <w:tcBorders>
              <w:top w:val="single" w:sz="4" w:space="0" w:color="000000"/>
              <w:left w:val="single" w:sz="4" w:space="0" w:color="000000"/>
              <w:bottom w:val="single" w:sz="4" w:space="0" w:color="000000"/>
              <w:right w:val="single" w:sz="4" w:space="0" w:color="000000"/>
            </w:tcBorders>
            <w:hideMark/>
          </w:tcPr>
          <w:p w14:paraId="33D14004"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kern w:val="2"/>
                <w:sz w:val="20"/>
                <w:szCs w:val="20"/>
                <w:lang w:eastAsia="ar-SA"/>
              </w:rPr>
            </w:pPr>
            <w:proofErr w:type="spellStart"/>
            <w:r w:rsidRPr="00A07F29">
              <w:rPr>
                <w:rFonts w:ascii="Times New Roman" w:eastAsia="Lucida Sans Unicode" w:hAnsi="Times New Roman" w:cs="Times New Roman"/>
                <w:i/>
                <w:kern w:val="2"/>
                <w:sz w:val="20"/>
                <w:szCs w:val="20"/>
                <w:lang w:eastAsia="ar-SA"/>
              </w:rPr>
              <w:t>Rumex</w:t>
            </w:r>
            <w:proofErr w:type="spellEnd"/>
            <w:r w:rsidRPr="00A07F29">
              <w:rPr>
                <w:rFonts w:ascii="Times New Roman" w:eastAsia="Lucida Sans Unicode" w:hAnsi="Times New Roman" w:cs="Times New Roman"/>
                <w:i/>
                <w:kern w:val="2"/>
                <w:sz w:val="20"/>
                <w:szCs w:val="20"/>
                <w:lang w:eastAsia="ar-SA"/>
              </w:rPr>
              <w:t xml:space="preserve"> </w:t>
            </w:r>
            <w:proofErr w:type="spellStart"/>
            <w:r w:rsidRPr="00A07F29">
              <w:rPr>
                <w:rFonts w:ascii="Times New Roman" w:eastAsia="Lucida Sans Unicode" w:hAnsi="Times New Roman" w:cs="Times New Roman"/>
                <w:i/>
                <w:kern w:val="2"/>
                <w:sz w:val="20"/>
                <w:szCs w:val="20"/>
                <w:lang w:eastAsia="ar-SA"/>
              </w:rPr>
              <w:t>confertus</w:t>
            </w:r>
            <w:proofErr w:type="spellEnd"/>
          </w:p>
        </w:tc>
        <w:tc>
          <w:tcPr>
            <w:tcW w:w="0" w:type="auto"/>
            <w:tcBorders>
              <w:top w:val="single" w:sz="4" w:space="0" w:color="000000"/>
              <w:left w:val="single" w:sz="4" w:space="0" w:color="000000"/>
              <w:bottom w:val="single" w:sz="4" w:space="0" w:color="000000"/>
              <w:right w:val="single" w:sz="4" w:space="0" w:color="000000"/>
            </w:tcBorders>
            <w:hideMark/>
          </w:tcPr>
          <w:p w14:paraId="7D91B34A"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Blīvā skābene</w:t>
            </w:r>
          </w:p>
        </w:tc>
        <w:tc>
          <w:tcPr>
            <w:tcW w:w="0" w:type="auto"/>
            <w:tcBorders>
              <w:top w:val="single" w:sz="4" w:space="0" w:color="000000"/>
              <w:left w:val="single" w:sz="4" w:space="0" w:color="000000"/>
              <w:bottom w:val="single" w:sz="4" w:space="0" w:color="000000"/>
              <w:right w:val="single" w:sz="4" w:space="0" w:color="000000"/>
            </w:tcBorders>
            <w:hideMark/>
          </w:tcPr>
          <w:p w14:paraId="599815EB" w14:textId="77777777" w:rsidR="00A21E83" w:rsidRPr="00A07F29" w:rsidRDefault="00A21E83" w:rsidP="005111E1">
            <w:pPr>
              <w:widowControl w:val="0"/>
              <w:suppressAutoHyphens/>
              <w:spacing w:after="0" w:line="240" w:lineRule="auto"/>
              <w:jc w:val="center"/>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167</w:t>
            </w:r>
          </w:p>
        </w:tc>
        <w:tc>
          <w:tcPr>
            <w:tcW w:w="0" w:type="auto"/>
            <w:tcBorders>
              <w:top w:val="single" w:sz="4" w:space="0" w:color="000000"/>
              <w:left w:val="single" w:sz="4" w:space="0" w:color="000000"/>
              <w:bottom w:val="single" w:sz="4" w:space="0" w:color="000000"/>
              <w:right w:val="single" w:sz="4" w:space="0" w:color="000000"/>
            </w:tcBorders>
            <w:hideMark/>
          </w:tcPr>
          <w:p w14:paraId="3A8DB1E9" w14:textId="77777777" w:rsidR="00A21E83" w:rsidRPr="00A07F29" w:rsidRDefault="00A21E83" w:rsidP="005111E1">
            <w:pPr>
              <w:widowControl w:val="0"/>
              <w:suppressAutoHyphens/>
              <w:spacing w:after="0" w:line="240" w:lineRule="auto"/>
              <w:jc w:val="center"/>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50</w:t>
            </w:r>
          </w:p>
        </w:tc>
        <w:tc>
          <w:tcPr>
            <w:tcW w:w="0" w:type="auto"/>
            <w:tcBorders>
              <w:top w:val="single" w:sz="4" w:space="0" w:color="000000"/>
              <w:left w:val="single" w:sz="4" w:space="0" w:color="000000"/>
              <w:bottom w:val="single" w:sz="4" w:space="0" w:color="000000"/>
              <w:right w:val="single" w:sz="4" w:space="0" w:color="000000"/>
            </w:tcBorders>
            <w:hideMark/>
          </w:tcPr>
          <w:p w14:paraId="68EF13CE"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skat. sugas aprakstu</w:t>
            </w:r>
          </w:p>
        </w:tc>
      </w:tr>
      <w:tr w:rsidR="00A21E83" w:rsidRPr="00A07F29" w14:paraId="2E813738" w14:textId="77777777" w:rsidTr="005111E1">
        <w:trPr>
          <w:trHeight w:val="510"/>
        </w:trPr>
        <w:tc>
          <w:tcPr>
            <w:tcW w:w="0" w:type="auto"/>
            <w:tcBorders>
              <w:top w:val="single" w:sz="4" w:space="0" w:color="000000"/>
              <w:left w:val="single" w:sz="4" w:space="0" w:color="000000"/>
              <w:bottom w:val="single" w:sz="4" w:space="0" w:color="000000"/>
              <w:right w:val="single" w:sz="4" w:space="0" w:color="000000"/>
            </w:tcBorders>
            <w:hideMark/>
          </w:tcPr>
          <w:p w14:paraId="0B7CA5D9"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i/>
                <w:kern w:val="2"/>
                <w:sz w:val="20"/>
                <w:szCs w:val="20"/>
                <w:lang w:eastAsia="ar-SA"/>
              </w:rPr>
            </w:pPr>
            <w:r w:rsidRPr="00A07F29">
              <w:rPr>
                <w:rFonts w:ascii="Times New Roman" w:eastAsia="Lucida Sans Unicode" w:hAnsi="Times New Roman" w:cs="Times New Roman"/>
                <w:kern w:val="2"/>
                <w:sz w:val="20"/>
                <w:szCs w:val="20"/>
                <w:lang w:eastAsia="ar-SA"/>
              </w:rPr>
              <w:t>25.</w:t>
            </w:r>
          </w:p>
        </w:tc>
        <w:tc>
          <w:tcPr>
            <w:tcW w:w="0" w:type="auto"/>
            <w:tcBorders>
              <w:top w:val="single" w:sz="4" w:space="0" w:color="000000"/>
              <w:left w:val="single" w:sz="4" w:space="0" w:color="000000"/>
              <w:bottom w:val="single" w:sz="4" w:space="0" w:color="000000"/>
              <w:right w:val="single" w:sz="4" w:space="0" w:color="000000"/>
            </w:tcBorders>
            <w:hideMark/>
          </w:tcPr>
          <w:p w14:paraId="47F3294F"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kern w:val="2"/>
                <w:sz w:val="20"/>
                <w:szCs w:val="20"/>
                <w:lang w:eastAsia="ar-SA"/>
              </w:rPr>
            </w:pPr>
            <w:proofErr w:type="spellStart"/>
            <w:r w:rsidRPr="00A07F29">
              <w:rPr>
                <w:rFonts w:ascii="Times New Roman" w:eastAsia="Lucida Sans Unicode" w:hAnsi="Times New Roman" w:cs="Times New Roman"/>
                <w:i/>
                <w:kern w:val="2"/>
                <w:sz w:val="20"/>
                <w:szCs w:val="20"/>
                <w:lang w:eastAsia="ar-SA"/>
              </w:rPr>
              <w:t>Sambucus</w:t>
            </w:r>
            <w:proofErr w:type="spellEnd"/>
            <w:r w:rsidRPr="00A07F29">
              <w:rPr>
                <w:rFonts w:ascii="Times New Roman" w:eastAsia="Lucida Sans Unicode" w:hAnsi="Times New Roman" w:cs="Times New Roman"/>
                <w:i/>
                <w:kern w:val="2"/>
                <w:sz w:val="20"/>
                <w:szCs w:val="20"/>
                <w:lang w:eastAsia="ar-SA"/>
              </w:rPr>
              <w:t xml:space="preserve"> </w:t>
            </w:r>
            <w:proofErr w:type="spellStart"/>
            <w:r w:rsidRPr="00A07F29">
              <w:rPr>
                <w:rFonts w:ascii="Times New Roman" w:eastAsia="Lucida Sans Unicode" w:hAnsi="Times New Roman" w:cs="Times New Roman"/>
                <w:i/>
                <w:kern w:val="2"/>
                <w:sz w:val="20"/>
                <w:szCs w:val="20"/>
                <w:lang w:eastAsia="ar-SA"/>
              </w:rPr>
              <w:t>nigra</w:t>
            </w:r>
            <w:proofErr w:type="spellEnd"/>
          </w:p>
        </w:tc>
        <w:tc>
          <w:tcPr>
            <w:tcW w:w="0" w:type="auto"/>
            <w:tcBorders>
              <w:top w:val="single" w:sz="4" w:space="0" w:color="000000"/>
              <w:left w:val="single" w:sz="4" w:space="0" w:color="000000"/>
              <w:bottom w:val="single" w:sz="4" w:space="0" w:color="000000"/>
              <w:right w:val="single" w:sz="4" w:space="0" w:color="000000"/>
            </w:tcBorders>
            <w:hideMark/>
          </w:tcPr>
          <w:p w14:paraId="56848D5F"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Melnais plūškoks</w:t>
            </w:r>
          </w:p>
        </w:tc>
        <w:tc>
          <w:tcPr>
            <w:tcW w:w="0" w:type="auto"/>
            <w:tcBorders>
              <w:top w:val="single" w:sz="4" w:space="0" w:color="000000"/>
              <w:left w:val="single" w:sz="4" w:space="0" w:color="000000"/>
              <w:bottom w:val="single" w:sz="4" w:space="0" w:color="000000"/>
              <w:right w:val="single" w:sz="4" w:space="0" w:color="000000"/>
            </w:tcBorders>
            <w:hideMark/>
          </w:tcPr>
          <w:p w14:paraId="36304EE7" w14:textId="77777777" w:rsidR="00A21E83" w:rsidRPr="00A07F29" w:rsidRDefault="00A21E83" w:rsidP="005111E1">
            <w:pPr>
              <w:widowControl w:val="0"/>
              <w:suppressAutoHyphens/>
              <w:spacing w:after="0" w:line="240" w:lineRule="auto"/>
              <w:jc w:val="center"/>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19</w:t>
            </w:r>
          </w:p>
        </w:tc>
        <w:tc>
          <w:tcPr>
            <w:tcW w:w="0" w:type="auto"/>
            <w:tcBorders>
              <w:top w:val="single" w:sz="4" w:space="0" w:color="000000"/>
              <w:left w:val="single" w:sz="4" w:space="0" w:color="000000"/>
              <w:bottom w:val="single" w:sz="4" w:space="0" w:color="000000"/>
              <w:right w:val="single" w:sz="4" w:space="0" w:color="000000"/>
            </w:tcBorders>
            <w:hideMark/>
          </w:tcPr>
          <w:p w14:paraId="764FC224" w14:textId="77777777" w:rsidR="00A21E83" w:rsidRPr="00A07F29" w:rsidRDefault="00A21E83" w:rsidP="005111E1">
            <w:pPr>
              <w:widowControl w:val="0"/>
              <w:suppressAutoHyphens/>
              <w:spacing w:after="0" w:line="240" w:lineRule="auto"/>
              <w:jc w:val="center"/>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5</w:t>
            </w:r>
          </w:p>
        </w:tc>
        <w:tc>
          <w:tcPr>
            <w:tcW w:w="0" w:type="auto"/>
            <w:tcBorders>
              <w:top w:val="single" w:sz="4" w:space="0" w:color="000000"/>
              <w:left w:val="single" w:sz="4" w:space="0" w:color="000000"/>
              <w:bottom w:val="single" w:sz="4" w:space="0" w:color="000000"/>
              <w:right w:val="single" w:sz="4" w:space="0" w:color="000000"/>
            </w:tcBorders>
            <w:hideMark/>
          </w:tcPr>
          <w:p w14:paraId="6CD7D131"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Apkaro līdzīgi kā sarkano plūškoku.</w:t>
            </w:r>
          </w:p>
        </w:tc>
      </w:tr>
      <w:tr w:rsidR="00A21E83" w:rsidRPr="00A07F29" w14:paraId="40269BF1" w14:textId="77777777" w:rsidTr="005111E1">
        <w:trPr>
          <w:trHeight w:val="510"/>
        </w:trPr>
        <w:tc>
          <w:tcPr>
            <w:tcW w:w="0" w:type="auto"/>
            <w:tcBorders>
              <w:top w:val="single" w:sz="4" w:space="0" w:color="000000"/>
              <w:left w:val="single" w:sz="4" w:space="0" w:color="000000"/>
              <w:bottom w:val="single" w:sz="4" w:space="0" w:color="000000"/>
              <w:right w:val="single" w:sz="4" w:space="0" w:color="000000"/>
            </w:tcBorders>
            <w:hideMark/>
          </w:tcPr>
          <w:p w14:paraId="2E3020E8"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i/>
                <w:kern w:val="2"/>
                <w:sz w:val="20"/>
                <w:szCs w:val="20"/>
                <w:lang w:eastAsia="ar-SA"/>
              </w:rPr>
            </w:pPr>
            <w:r w:rsidRPr="00A07F29">
              <w:rPr>
                <w:rFonts w:ascii="Times New Roman" w:eastAsia="Lucida Sans Unicode" w:hAnsi="Times New Roman" w:cs="Times New Roman"/>
                <w:kern w:val="2"/>
                <w:sz w:val="20"/>
                <w:szCs w:val="20"/>
                <w:lang w:eastAsia="ar-SA"/>
              </w:rPr>
              <w:t>26.</w:t>
            </w:r>
          </w:p>
        </w:tc>
        <w:tc>
          <w:tcPr>
            <w:tcW w:w="0" w:type="auto"/>
            <w:tcBorders>
              <w:top w:val="single" w:sz="4" w:space="0" w:color="000000"/>
              <w:left w:val="single" w:sz="4" w:space="0" w:color="000000"/>
              <w:bottom w:val="single" w:sz="4" w:space="0" w:color="000000"/>
              <w:right w:val="single" w:sz="4" w:space="0" w:color="000000"/>
            </w:tcBorders>
            <w:hideMark/>
          </w:tcPr>
          <w:p w14:paraId="076B3BA7"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kern w:val="2"/>
                <w:sz w:val="20"/>
                <w:szCs w:val="20"/>
                <w:lang w:eastAsia="ar-SA"/>
              </w:rPr>
            </w:pPr>
            <w:proofErr w:type="spellStart"/>
            <w:r w:rsidRPr="00A07F29">
              <w:rPr>
                <w:rFonts w:ascii="Times New Roman" w:eastAsia="Lucida Sans Unicode" w:hAnsi="Times New Roman" w:cs="Times New Roman"/>
                <w:i/>
                <w:kern w:val="2"/>
                <w:sz w:val="20"/>
                <w:szCs w:val="20"/>
                <w:lang w:eastAsia="ar-SA"/>
              </w:rPr>
              <w:t>Sambucus</w:t>
            </w:r>
            <w:proofErr w:type="spellEnd"/>
            <w:r w:rsidRPr="00A07F29">
              <w:rPr>
                <w:rFonts w:ascii="Times New Roman" w:eastAsia="Lucida Sans Unicode" w:hAnsi="Times New Roman" w:cs="Times New Roman"/>
                <w:i/>
                <w:kern w:val="2"/>
                <w:sz w:val="20"/>
                <w:szCs w:val="20"/>
                <w:lang w:eastAsia="ar-SA"/>
              </w:rPr>
              <w:t xml:space="preserve"> </w:t>
            </w:r>
            <w:proofErr w:type="spellStart"/>
            <w:r w:rsidRPr="00A07F29">
              <w:rPr>
                <w:rFonts w:ascii="Times New Roman" w:eastAsia="Lucida Sans Unicode" w:hAnsi="Times New Roman" w:cs="Times New Roman"/>
                <w:i/>
                <w:kern w:val="2"/>
                <w:sz w:val="20"/>
                <w:szCs w:val="20"/>
                <w:lang w:eastAsia="ar-SA"/>
              </w:rPr>
              <w:t>racemosa</w:t>
            </w:r>
            <w:proofErr w:type="spellEnd"/>
          </w:p>
        </w:tc>
        <w:tc>
          <w:tcPr>
            <w:tcW w:w="0" w:type="auto"/>
            <w:tcBorders>
              <w:top w:val="single" w:sz="4" w:space="0" w:color="000000"/>
              <w:left w:val="single" w:sz="4" w:space="0" w:color="000000"/>
              <w:bottom w:val="single" w:sz="4" w:space="0" w:color="000000"/>
              <w:right w:val="single" w:sz="4" w:space="0" w:color="000000"/>
            </w:tcBorders>
            <w:hideMark/>
          </w:tcPr>
          <w:p w14:paraId="37DC2134"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Sarkanais plūškoks</w:t>
            </w:r>
          </w:p>
        </w:tc>
        <w:tc>
          <w:tcPr>
            <w:tcW w:w="0" w:type="auto"/>
            <w:tcBorders>
              <w:top w:val="single" w:sz="4" w:space="0" w:color="000000"/>
              <w:left w:val="single" w:sz="4" w:space="0" w:color="000000"/>
              <w:bottom w:val="single" w:sz="4" w:space="0" w:color="000000"/>
              <w:right w:val="single" w:sz="4" w:space="0" w:color="000000"/>
            </w:tcBorders>
            <w:hideMark/>
          </w:tcPr>
          <w:p w14:paraId="12F28FD3" w14:textId="77777777" w:rsidR="00A21E83" w:rsidRPr="00A07F29" w:rsidRDefault="00A21E83" w:rsidP="005111E1">
            <w:pPr>
              <w:widowControl w:val="0"/>
              <w:suppressAutoHyphens/>
              <w:spacing w:after="0" w:line="240" w:lineRule="auto"/>
              <w:jc w:val="center"/>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186</w:t>
            </w:r>
          </w:p>
        </w:tc>
        <w:tc>
          <w:tcPr>
            <w:tcW w:w="0" w:type="auto"/>
            <w:tcBorders>
              <w:top w:val="single" w:sz="4" w:space="0" w:color="000000"/>
              <w:left w:val="single" w:sz="4" w:space="0" w:color="000000"/>
              <w:bottom w:val="single" w:sz="4" w:space="0" w:color="000000"/>
              <w:right w:val="single" w:sz="4" w:space="0" w:color="000000"/>
            </w:tcBorders>
            <w:hideMark/>
          </w:tcPr>
          <w:p w14:paraId="7E845383" w14:textId="77777777" w:rsidR="00A21E83" w:rsidRPr="00A07F29" w:rsidRDefault="00A21E83" w:rsidP="005111E1">
            <w:pPr>
              <w:widowControl w:val="0"/>
              <w:suppressAutoHyphens/>
              <w:spacing w:after="0" w:line="240" w:lineRule="auto"/>
              <w:jc w:val="center"/>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45</w:t>
            </w:r>
          </w:p>
        </w:tc>
        <w:tc>
          <w:tcPr>
            <w:tcW w:w="0" w:type="auto"/>
            <w:tcBorders>
              <w:top w:val="single" w:sz="4" w:space="0" w:color="000000"/>
              <w:left w:val="single" w:sz="4" w:space="0" w:color="000000"/>
              <w:bottom w:val="single" w:sz="4" w:space="0" w:color="000000"/>
              <w:right w:val="single" w:sz="4" w:space="0" w:color="000000"/>
            </w:tcBorders>
            <w:hideMark/>
          </w:tcPr>
          <w:p w14:paraId="3584BBD5"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skat. sugas aprakstu</w:t>
            </w:r>
          </w:p>
        </w:tc>
      </w:tr>
      <w:tr w:rsidR="00A21E83" w:rsidRPr="00A07F29" w14:paraId="22E362EB" w14:textId="77777777" w:rsidTr="005111E1">
        <w:trPr>
          <w:trHeight w:val="510"/>
        </w:trPr>
        <w:tc>
          <w:tcPr>
            <w:tcW w:w="0" w:type="auto"/>
            <w:tcBorders>
              <w:top w:val="single" w:sz="4" w:space="0" w:color="000000"/>
              <w:left w:val="single" w:sz="4" w:space="0" w:color="000000"/>
              <w:bottom w:val="single" w:sz="4" w:space="0" w:color="000000"/>
              <w:right w:val="single" w:sz="4" w:space="0" w:color="000000"/>
            </w:tcBorders>
            <w:hideMark/>
          </w:tcPr>
          <w:p w14:paraId="243943EB"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i/>
                <w:kern w:val="2"/>
                <w:sz w:val="20"/>
                <w:szCs w:val="20"/>
                <w:lang w:eastAsia="ar-SA"/>
              </w:rPr>
            </w:pPr>
            <w:r w:rsidRPr="00A07F29">
              <w:rPr>
                <w:rFonts w:ascii="Times New Roman" w:eastAsia="Lucida Sans Unicode" w:hAnsi="Times New Roman" w:cs="Times New Roman"/>
                <w:kern w:val="2"/>
                <w:sz w:val="20"/>
                <w:szCs w:val="20"/>
                <w:lang w:eastAsia="ar-SA"/>
              </w:rPr>
              <w:t>27.</w:t>
            </w:r>
          </w:p>
        </w:tc>
        <w:tc>
          <w:tcPr>
            <w:tcW w:w="0" w:type="auto"/>
            <w:tcBorders>
              <w:top w:val="single" w:sz="4" w:space="0" w:color="000000"/>
              <w:left w:val="single" w:sz="4" w:space="0" w:color="000000"/>
              <w:bottom w:val="single" w:sz="4" w:space="0" w:color="000000"/>
              <w:right w:val="single" w:sz="4" w:space="0" w:color="000000"/>
            </w:tcBorders>
            <w:hideMark/>
          </w:tcPr>
          <w:p w14:paraId="43EF6045"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kern w:val="2"/>
                <w:sz w:val="20"/>
                <w:szCs w:val="20"/>
                <w:lang w:eastAsia="ar-SA"/>
              </w:rPr>
            </w:pPr>
            <w:proofErr w:type="spellStart"/>
            <w:r w:rsidRPr="00A07F29">
              <w:rPr>
                <w:rFonts w:ascii="Times New Roman" w:eastAsia="Lucida Sans Unicode" w:hAnsi="Times New Roman" w:cs="Times New Roman"/>
                <w:i/>
                <w:kern w:val="2"/>
                <w:sz w:val="20"/>
                <w:szCs w:val="20"/>
                <w:lang w:eastAsia="ar-SA"/>
              </w:rPr>
              <w:t>Solidago</w:t>
            </w:r>
            <w:proofErr w:type="spellEnd"/>
            <w:r w:rsidRPr="00A07F29">
              <w:rPr>
                <w:rFonts w:ascii="Times New Roman" w:eastAsia="Lucida Sans Unicode" w:hAnsi="Times New Roman" w:cs="Times New Roman"/>
                <w:i/>
                <w:kern w:val="2"/>
                <w:sz w:val="20"/>
                <w:szCs w:val="20"/>
                <w:lang w:eastAsia="ar-SA"/>
              </w:rPr>
              <w:t xml:space="preserve"> </w:t>
            </w:r>
            <w:proofErr w:type="spellStart"/>
            <w:r w:rsidRPr="00A07F29">
              <w:rPr>
                <w:rFonts w:ascii="Times New Roman" w:eastAsia="Lucida Sans Unicode" w:hAnsi="Times New Roman" w:cs="Times New Roman"/>
                <w:i/>
                <w:kern w:val="2"/>
                <w:sz w:val="20"/>
                <w:szCs w:val="20"/>
                <w:lang w:eastAsia="ar-SA"/>
              </w:rPr>
              <w:t>canadensis</w:t>
            </w:r>
            <w:proofErr w:type="spellEnd"/>
          </w:p>
        </w:tc>
        <w:tc>
          <w:tcPr>
            <w:tcW w:w="0" w:type="auto"/>
            <w:tcBorders>
              <w:top w:val="single" w:sz="4" w:space="0" w:color="000000"/>
              <w:left w:val="single" w:sz="4" w:space="0" w:color="000000"/>
              <w:bottom w:val="single" w:sz="4" w:space="0" w:color="000000"/>
              <w:right w:val="single" w:sz="4" w:space="0" w:color="000000"/>
            </w:tcBorders>
            <w:hideMark/>
          </w:tcPr>
          <w:p w14:paraId="514CFEFF"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 xml:space="preserve">Kanādas </w:t>
            </w:r>
            <w:proofErr w:type="spellStart"/>
            <w:r w:rsidRPr="00A07F29">
              <w:rPr>
                <w:rFonts w:ascii="Times New Roman" w:eastAsia="Lucida Sans Unicode" w:hAnsi="Times New Roman" w:cs="Times New Roman"/>
                <w:kern w:val="2"/>
                <w:sz w:val="20"/>
                <w:szCs w:val="20"/>
                <w:lang w:eastAsia="ar-SA"/>
              </w:rPr>
              <w:t>zeltslotiņa</w:t>
            </w:r>
            <w:proofErr w:type="spellEnd"/>
          </w:p>
        </w:tc>
        <w:tc>
          <w:tcPr>
            <w:tcW w:w="0" w:type="auto"/>
            <w:tcBorders>
              <w:top w:val="single" w:sz="4" w:space="0" w:color="000000"/>
              <w:left w:val="single" w:sz="4" w:space="0" w:color="000000"/>
              <w:bottom w:val="single" w:sz="4" w:space="0" w:color="000000"/>
              <w:right w:val="single" w:sz="4" w:space="0" w:color="000000"/>
            </w:tcBorders>
            <w:hideMark/>
          </w:tcPr>
          <w:p w14:paraId="11DF64DD" w14:textId="77777777" w:rsidR="00A21E83" w:rsidRPr="00A07F29" w:rsidRDefault="00A21E83" w:rsidP="005111E1">
            <w:pPr>
              <w:widowControl w:val="0"/>
              <w:suppressAutoHyphens/>
              <w:spacing w:after="0" w:line="240" w:lineRule="auto"/>
              <w:jc w:val="center"/>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74</w:t>
            </w:r>
          </w:p>
        </w:tc>
        <w:tc>
          <w:tcPr>
            <w:tcW w:w="0" w:type="auto"/>
            <w:tcBorders>
              <w:top w:val="single" w:sz="4" w:space="0" w:color="000000"/>
              <w:left w:val="single" w:sz="4" w:space="0" w:color="000000"/>
              <w:bottom w:val="single" w:sz="4" w:space="0" w:color="000000"/>
              <w:right w:val="single" w:sz="4" w:space="0" w:color="000000"/>
            </w:tcBorders>
            <w:hideMark/>
          </w:tcPr>
          <w:p w14:paraId="422D3F29" w14:textId="77777777" w:rsidR="00A21E83" w:rsidRPr="00A07F29" w:rsidRDefault="00A21E83" w:rsidP="005111E1">
            <w:pPr>
              <w:widowControl w:val="0"/>
              <w:suppressAutoHyphens/>
              <w:spacing w:after="0" w:line="240" w:lineRule="auto"/>
              <w:jc w:val="center"/>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23</w:t>
            </w:r>
          </w:p>
        </w:tc>
        <w:tc>
          <w:tcPr>
            <w:tcW w:w="0" w:type="auto"/>
            <w:tcBorders>
              <w:top w:val="single" w:sz="4" w:space="0" w:color="000000"/>
              <w:left w:val="single" w:sz="4" w:space="0" w:color="000000"/>
              <w:bottom w:val="single" w:sz="4" w:space="0" w:color="000000"/>
              <w:right w:val="single" w:sz="4" w:space="0" w:color="000000"/>
            </w:tcBorders>
            <w:hideMark/>
          </w:tcPr>
          <w:p w14:paraId="5CDCEFAB"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skat. sugas aprakstu</w:t>
            </w:r>
          </w:p>
        </w:tc>
      </w:tr>
      <w:tr w:rsidR="00A21E83" w:rsidRPr="00A07F29" w14:paraId="2892A242" w14:textId="77777777" w:rsidTr="005111E1">
        <w:trPr>
          <w:trHeight w:val="510"/>
        </w:trPr>
        <w:tc>
          <w:tcPr>
            <w:tcW w:w="0" w:type="auto"/>
            <w:tcBorders>
              <w:top w:val="single" w:sz="4" w:space="0" w:color="000000"/>
              <w:left w:val="single" w:sz="4" w:space="0" w:color="000000"/>
              <w:bottom w:val="single" w:sz="4" w:space="0" w:color="000000"/>
              <w:right w:val="single" w:sz="4" w:space="0" w:color="000000"/>
            </w:tcBorders>
            <w:hideMark/>
          </w:tcPr>
          <w:p w14:paraId="08568526"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i/>
                <w:kern w:val="2"/>
                <w:sz w:val="20"/>
                <w:szCs w:val="20"/>
                <w:lang w:eastAsia="ar-SA"/>
              </w:rPr>
            </w:pPr>
            <w:r w:rsidRPr="00A07F29">
              <w:rPr>
                <w:rFonts w:ascii="Times New Roman" w:eastAsia="Lucida Sans Unicode" w:hAnsi="Times New Roman" w:cs="Times New Roman"/>
                <w:kern w:val="2"/>
                <w:sz w:val="20"/>
                <w:szCs w:val="20"/>
                <w:lang w:eastAsia="ar-SA"/>
              </w:rPr>
              <w:t>28.</w:t>
            </w:r>
          </w:p>
        </w:tc>
        <w:tc>
          <w:tcPr>
            <w:tcW w:w="0" w:type="auto"/>
            <w:tcBorders>
              <w:top w:val="single" w:sz="4" w:space="0" w:color="000000"/>
              <w:left w:val="single" w:sz="4" w:space="0" w:color="000000"/>
              <w:bottom w:val="single" w:sz="4" w:space="0" w:color="000000"/>
              <w:right w:val="single" w:sz="4" w:space="0" w:color="000000"/>
            </w:tcBorders>
            <w:hideMark/>
          </w:tcPr>
          <w:p w14:paraId="7A3EC9FC"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kern w:val="2"/>
                <w:sz w:val="20"/>
                <w:szCs w:val="20"/>
                <w:lang w:eastAsia="ar-SA"/>
              </w:rPr>
            </w:pPr>
            <w:proofErr w:type="spellStart"/>
            <w:r w:rsidRPr="00A07F29">
              <w:rPr>
                <w:rFonts w:ascii="Times New Roman" w:eastAsia="Lucida Sans Unicode" w:hAnsi="Times New Roman" w:cs="Times New Roman"/>
                <w:i/>
                <w:kern w:val="2"/>
                <w:sz w:val="20"/>
                <w:szCs w:val="20"/>
                <w:lang w:eastAsia="ar-SA"/>
              </w:rPr>
              <w:t>Sorbaria</w:t>
            </w:r>
            <w:proofErr w:type="spellEnd"/>
            <w:r w:rsidRPr="00A07F29">
              <w:rPr>
                <w:rFonts w:ascii="Times New Roman" w:eastAsia="Lucida Sans Unicode" w:hAnsi="Times New Roman" w:cs="Times New Roman"/>
                <w:i/>
                <w:kern w:val="2"/>
                <w:sz w:val="20"/>
                <w:szCs w:val="20"/>
                <w:lang w:eastAsia="ar-SA"/>
              </w:rPr>
              <w:t xml:space="preserve"> </w:t>
            </w:r>
            <w:proofErr w:type="spellStart"/>
            <w:r w:rsidRPr="00A07F29">
              <w:rPr>
                <w:rFonts w:ascii="Times New Roman" w:eastAsia="Lucida Sans Unicode" w:hAnsi="Times New Roman" w:cs="Times New Roman"/>
                <w:i/>
                <w:kern w:val="2"/>
                <w:sz w:val="20"/>
                <w:szCs w:val="20"/>
                <w:lang w:eastAsia="ar-SA"/>
              </w:rPr>
              <w:t>sorbifolia</w:t>
            </w:r>
            <w:proofErr w:type="spellEnd"/>
          </w:p>
        </w:tc>
        <w:tc>
          <w:tcPr>
            <w:tcW w:w="0" w:type="auto"/>
            <w:tcBorders>
              <w:top w:val="single" w:sz="4" w:space="0" w:color="000000"/>
              <w:left w:val="single" w:sz="4" w:space="0" w:color="000000"/>
              <w:bottom w:val="single" w:sz="4" w:space="0" w:color="000000"/>
              <w:right w:val="single" w:sz="4" w:space="0" w:color="000000"/>
            </w:tcBorders>
            <w:hideMark/>
          </w:tcPr>
          <w:p w14:paraId="55D7B7D0"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kern w:val="2"/>
                <w:sz w:val="20"/>
                <w:szCs w:val="20"/>
                <w:lang w:eastAsia="ar-SA"/>
              </w:rPr>
            </w:pPr>
            <w:proofErr w:type="spellStart"/>
            <w:r w:rsidRPr="00A07F29">
              <w:rPr>
                <w:rFonts w:ascii="Times New Roman" w:eastAsia="Lucida Sans Unicode" w:hAnsi="Times New Roman" w:cs="Times New Roman"/>
                <w:kern w:val="2"/>
                <w:sz w:val="20"/>
                <w:szCs w:val="20"/>
                <w:lang w:eastAsia="ar-SA"/>
              </w:rPr>
              <w:t>Pīlādžlapu</w:t>
            </w:r>
            <w:proofErr w:type="spellEnd"/>
            <w:r w:rsidRPr="00A07F29">
              <w:rPr>
                <w:rFonts w:ascii="Times New Roman" w:eastAsia="Lucida Sans Unicode" w:hAnsi="Times New Roman" w:cs="Times New Roman"/>
                <w:kern w:val="2"/>
                <w:sz w:val="20"/>
                <w:szCs w:val="20"/>
                <w:lang w:eastAsia="ar-SA"/>
              </w:rPr>
              <w:t xml:space="preserve"> </w:t>
            </w:r>
            <w:proofErr w:type="spellStart"/>
            <w:r w:rsidRPr="00A07F29">
              <w:rPr>
                <w:rFonts w:ascii="Times New Roman" w:eastAsia="Lucida Sans Unicode" w:hAnsi="Times New Roman" w:cs="Times New Roman"/>
                <w:kern w:val="2"/>
                <w:sz w:val="20"/>
                <w:szCs w:val="20"/>
                <w:lang w:eastAsia="ar-SA"/>
              </w:rPr>
              <w:t>sorbārija</w:t>
            </w:r>
            <w:proofErr w:type="spellEnd"/>
          </w:p>
        </w:tc>
        <w:tc>
          <w:tcPr>
            <w:tcW w:w="0" w:type="auto"/>
            <w:tcBorders>
              <w:top w:val="single" w:sz="4" w:space="0" w:color="000000"/>
              <w:left w:val="single" w:sz="4" w:space="0" w:color="000000"/>
              <w:bottom w:val="single" w:sz="4" w:space="0" w:color="000000"/>
              <w:right w:val="single" w:sz="4" w:space="0" w:color="000000"/>
            </w:tcBorders>
            <w:hideMark/>
          </w:tcPr>
          <w:p w14:paraId="4FB39CB9" w14:textId="77777777" w:rsidR="00A21E83" w:rsidRPr="00A07F29" w:rsidRDefault="00A21E83" w:rsidP="005111E1">
            <w:pPr>
              <w:widowControl w:val="0"/>
              <w:suppressAutoHyphens/>
              <w:spacing w:after="0" w:line="240" w:lineRule="auto"/>
              <w:jc w:val="center"/>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3</w:t>
            </w:r>
          </w:p>
        </w:tc>
        <w:tc>
          <w:tcPr>
            <w:tcW w:w="0" w:type="auto"/>
            <w:tcBorders>
              <w:top w:val="single" w:sz="4" w:space="0" w:color="000000"/>
              <w:left w:val="single" w:sz="4" w:space="0" w:color="000000"/>
              <w:bottom w:val="single" w:sz="4" w:space="0" w:color="000000"/>
              <w:right w:val="single" w:sz="4" w:space="0" w:color="000000"/>
            </w:tcBorders>
            <w:hideMark/>
          </w:tcPr>
          <w:p w14:paraId="38905035" w14:textId="77777777" w:rsidR="00A21E83" w:rsidRPr="00A07F29" w:rsidRDefault="00A21E83" w:rsidP="005111E1">
            <w:pPr>
              <w:widowControl w:val="0"/>
              <w:suppressAutoHyphens/>
              <w:spacing w:after="0" w:line="240" w:lineRule="auto"/>
              <w:jc w:val="center"/>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2</w:t>
            </w:r>
          </w:p>
        </w:tc>
        <w:tc>
          <w:tcPr>
            <w:tcW w:w="0" w:type="auto"/>
            <w:tcBorders>
              <w:top w:val="single" w:sz="4" w:space="0" w:color="000000"/>
              <w:left w:val="single" w:sz="4" w:space="0" w:color="000000"/>
              <w:bottom w:val="single" w:sz="4" w:space="0" w:color="000000"/>
              <w:right w:val="single" w:sz="4" w:space="0" w:color="000000"/>
            </w:tcBorders>
            <w:hideMark/>
          </w:tcPr>
          <w:p w14:paraId="1361C36B"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 xml:space="preserve">Cirst ar ķīmiskiem līdzekļiem nokaltētus krūmus. Jaunus krūmus </w:t>
            </w:r>
            <w:r w:rsidRPr="00A07F29">
              <w:rPr>
                <w:rFonts w:ascii="Times New Roman" w:eastAsia="Lucida Sans Unicode" w:hAnsi="Times New Roman" w:cs="Times New Roman"/>
                <w:kern w:val="2"/>
                <w:sz w:val="20"/>
                <w:szCs w:val="20"/>
                <w:lang w:eastAsia="ar-SA"/>
              </w:rPr>
              <w:lastRenderedPageBreak/>
              <w:t>izraut vai izrakt.</w:t>
            </w:r>
          </w:p>
        </w:tc>
      </w:tr>
      <w:tr w:rsidR="00A21E83" w:rsidRPr="00A07F29" w14:paraId="301E2668" w14:textId="77777777" w:rsidTr="005111E1">
        <w:trPr>
          <w:trHeight w:val="510"/>
        </w:trPr>
        <w:tc>
          <w:tcPr>
            <w:tcW w:w="0" w:type="auto"/>
            <w:tcBorders>
              <w:top w:val="single" w:sz="4" w:space="0" w:color="000000"/>
              <w:left w:val="single" w:sz="4" w:space="0" w:color="000000"/>
              <w:bottom w:val="single" w:sz="4" w:space="0" w:color="000000"/>
              <w:right w:val="single" w:sz="4" w:space="0" w:color="000000"/>
            </w:tcBorders>
            <w:hideMark/>
          </w:tcPr>
          <w:p w14:paraId="1C679545"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i/>
                <w:kern w:val="2"/>
                <w:sz w:val="20"/>
                <w:szCs w:val="20"/>
                <w:lang w:eastAsia="ar-SA"/>
              </w:rPr>
            </w:pPr>
            <w:r w:rsidRPr="00A07F29">
              <w:rPr>
                <w:rFonts w:ascii="Times New Roman" w:eastAsia="Lucida Sans Unicode" w:hAnsi="Times New Roman" w:cs="Times New Roman"/>
                <w:kern w:val="2"/>
                <w:sz w:val="20"/>
                <w:szCs w:val="20"/>
                <w:lang w:eastAsia="ar-SA"/>
              </w:rPr>
              <w:lastRenderedPageBreak/>
              <w:t>29.</w:t>
            </w:r>
          </w:p>
        </w:tc>
        <w:tc>
          <w:tcPr>
            <w:tcW w:w="0" w:type="auto"/>
            <w:tcBorders>
              <w:top w:val="single" w:sz="4" w:space="0" w:color="000000"/>
              <w:left w:val="single" w:sz="4" w:space="0" w:color="000000"/>
              <w:bottom w:val="single" w:sz="4" w:space="0" w:color="000000"/>
              <w:right w:val="single" w:sz="4" w:space="0" w:color="000000"/>
            </w:tcBorders>
            <w:hideMark/>
          </w:tcPr>
          <w:p w14:paraId="4CD642FF"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kern w:val="2"/>
                <w:sz w:val="20"/>
                <w:szCs w:val="20"/>
                <w:lang w:eastAsia="ar-SA"/>
              </w:rPr>
            </w:pPr>
            <w:proofErr w:type="spellStart"/>
            <w:r w:rsidRPr="00A07F29">
              <w:rPr>
                <w:rFonts w:ascii="Times New Roman" w:eastAsia="Lucida Sans Unicode" w:hAnsi="Times New Roman" w:cs="Times New Roman"/>
                <w:i/>
                <w:kern w:val="2"/>
                <w:sz w:val="20"/>
                <w:szCs w:val="20"/>
                <w:lang w:eastAsia="ar-SA"/>
              </w:rPr>
              <w:t>Spiraea</w:t>
            </w:r>
            <w:proofErr w:type="spellEnd"/>
            <w:r w:rsidRPr="00A07F29">
              <w:rPr>
                <w:rFonts w:ascii="Times New Roman" w:eastAsia="Lucida Sans Unicode" w:hAnsi="Times New Roman" w:cs="Times New Roman"/>
                <w:i/>
                <w:kern w:val="2"/>
                <w:sz w:val="20"/>
                <w:szCs w:val="20"/>
                <w:lang w:eastAsia="ar-SA"/>
              </w:rPr>
              <w:t xml:space="preserve"> </w:t>
            </w:r>
            <w:proofErr w:type="spellStart"/>
            <w:r w:rsidRPr="00A07F29">
              <w:rPr>
                <w:rFonts w:ascii="Times New Roman" w:eastAsia="Lucida Sans Unicode" w:hAnsi="Times New Roman" w:cs="Times New Roman"/>
                <w:i/>
                <w:kern w:val="2"/>
                <w:sz w:val="20"/>
                <w:szCs w:val="20"/>
                <w:lang w:eastAsia="ar-SA"/>
              </w:rPr>
              <w:t>chamaedrifolia</w:t>
            </w:r>
            <w:proofErr w:type="spellEnd"/>
          </w:p>
        </w:tc>
        <w:tc>
          <w:tcPr>
            <w:tcW w:w="0" w:type="auto"/>
            <w:tcBorders>
              <w:top w:val="single" w:sz="4" w:space="0" w:color="000000"/>
              <w:left w:val="single" w:sz="4" w:space="0" w:color="000000"/>
              <w:bottom w:val="single" w:sz="4" w:space="0" w:color="000000"/>
              <w:right w:val="single" w:sz="4" w:space="0" w:color="000000"/>
            </w:tcBorders>
            <w:hideMark/>
          </w:tcPr>
          <w:p w14:paraId="52D4FCB0"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kern w:val="2"/>
                <w:sz w:val="20"/>
                <w:szCs w:val="20"/>
                <w:lang w:eastAsia="ar-SA"/>
              </w:rPr>
            </w:pPr>
            <w:proofErr w:type="spellStart"/>
            <w:r w:rsidRPr="00A07F29">
              <w:rPr>
                <w:rFonts w:ascii="Times New Roman" w:eastAsia="Lucida Sans Unicode" w:hAnsi="Times New Roman" w:cs="Times New Roman"/>
                <w:kern w:val="2"/>
                <w:sz w:val="20"/>
                <w:szCs w:val="20"/>
                <w:lang w:eastAsia="ar-SA"/>
              </w:rPr>
              <w:t>Goblapu</w:t>
            </w:r>
            <w:proofErr w:type="spellEnd"/>
            <w:r w:rsidRPr="00A07F29">
              <w:rPr>
                <w:rFonts w:ascii="Times New Roman" w:eastAsia="Lucida Sans Unicode" w:hAnsi="Times New Roman" w:cs="Times New Roman"/>
                <w:kern w:val="2"/>
                <w:sz w:val="20"/>
                <w:szCs w:val="20"/>
                <w:lang w:eastAsia="ar-SA"/>
              </w:rPr>
              <w:t xml:space="preserve"> spireja</w:t>
            </w:r>
          </w:p>
        </w:tc>
        <w:tc>
          <w:tcPr>
            <w:tcW w:w="0" w:type="auto"/>
            <w:tcBorders>
              <w:top w:val="single" w:sz="4" w:space="0" w:color="000000"/>
              <w:left w:val="single" w:sz="4" w:space="0" w:color="000000"/>
              <w:bottom w:val="single" w:sz="4" w:space="0" w:color="000000"/>
              <w:right w:val="single" w:sz="4" w:space="0" w:color="000000"/>
            </w:tcBorders>
            <w:hideMark/>
          </w:tcPr>
          <w:p w14:paraId="4FEED3CA" w14:textId="77777777" w:rsidR="00A21E83" w:rsidRPr="00A07F29" w:rsidRDefault="00A21E83" w:rsidP="005111E1">
            <w:pPr>
              <w:widowControl w:val="0"/>
              <w:suppressAutoHyphens/>
              <w:spacing w:after="0" w:line="240" w:lineRule="auto"/>
              <w:jc w:val="center"/>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1</w:t>
            </w:r>
          </w:p>
        </w:tc>
        <w:tc>
          <w:tcPr>
            <w:tcW w:w="0" w:type="auto"/>
            <w:tcBorders>
              <w:top w:val="single" w:sz="4" w:space="0" w:color="000000"/>
              <w:left w:val="single" w:sz="4" w:space="0" w:color="000000"/>
              <w:bottom w:val="single" w:sz="4" w:space="0" w:color="000000"/>
              <w:right w:val="single" w:sz="4" w:space="0" w:color="000000"/>
            </w:tcBorders>
            <w:hideMark/>
          </w:tcPr>
          <w:p w14:paraId="183FBCC9" w14:textId="77777777" w:rsidR="00A21E83" w:rsidRPr="00A07F29" w:rsidRDefault="00A21E83" w:rsidP="005111E1">
            <w:pPr>
              <w:widowControl w:val="0"/>
              <w:suppressAutoHyphens/>
              <w:spacing w:after="0" w:line="240" w:lineRule="auto"/>
              <w:jc w:val="center"/>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1</w:t>
            </w:r>
          </w:p>
        </w:tc>
        <w:tc>
          <w:tcPr>
            <w:tcW w:w="0" w:type="auto"/>
            <w:tcBorders>
              <w:top w:val="single" w:sz="4" w:space="0" w:color="000000"/>
              <w:left w:val="single" w:sz="4" w:space="0" w:color="000000"/>
              <w:bottom w:val="single" w:sz="4" w:space="0" w:color="000000"/>
              <w:right w:val="single" w:sz="4" w:space="0" w:color="000000"/>
            </w:tcBorders>
            <w:hideMark/>
          </w:tcPr>
          <w:p w14:paraId="603A1AAC"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 xml:space="preserve">Jaunos dzinumus var izrakt, pārējos dzinumus vienreiz veģetācijas sezonā </w:t>
            </w:r>
            <w:proofErr w:type="spellStart"/>
            <w:r w:rsidRPr="00A07F29">
              <w:rPr>
                <w:rFonts w:ascii="Times New Roman" w:eastAsia="Lucida Sans Unicode" w:hAnsi="Times New Roman" w:cs="Times New Roman"/>
                <w:kern w:val="2"/>
                <w:sz w:val="20"/>
                <w:szCs w:val="20"/>
                <w:lang w:eastAsia="ar-SA"/>
              </w:rPr>
              <w:t>nogriest</w:t>
            </w:r>
            <w:proofErr w:type="spellEnd"/>
            <w:r w:rsidRPr="00A07F29">
              <w:rPr>
                <w:rFonts w:ascii="Times New Roman" w:eastAsia="Lucida Sans Unicode" w:hAnsi="Times New Roman" w:cs="Times New Roman"/>
                <w:kern w:val="2"/>
                <w:sz w:val="20"/>
                <w:szCs w:val="20"/>
                <w:lang w:eastAsia="ar-SA"/>
              </w:rPr>
              <w:t xml:space="preserve"> līdz zemei.</w:t>
            </w:r>
          </w:p>
        </w:tc>
      </w:tr>
      <w:tr w:rsidR="00A21E83" w:rsidRPr="00A07F29" w14:paraId="1CF8529C" w14:textId="77777777" w:rsidTr="005111E1">
        <w:trPr>
          <w:trHeight w:val="510"/>
        </w:trPr>
        <w:tc>
          <w:tcPr>
            <w:tcW w:w="0" w:type="auto"/>
            <w:tcBorders>
              <w:top w:val="single" w:sz="4" w:space="0" w:color="000000"/>
              <w:left w:val="single" w:sz="4" w:space="0" w:color="000000"/>
              <w:bottom w:val="single" w:sz="4" w:space="0" w:color="000000"/>
              <w:right w:val="single" w:sz="4" w:space="0" w:color="000000"/>
            </w:tcBorders>
            <w:hideMark/>
          </w:tcPr>
          <w:p w14:paraId="0FB4292B"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i/>
                <w:kern w:val="2"/>
                <w:sz w:val="20"/>
                <w:szCs w:val="20"/>
                <w:lang w:eastAsia="ar-SA"/>
              </w:rPr>
            </w:pPr>
            <w:r w:rsidRPr="00A07F29">
              <w:rPr>
                <w:rFonts w:ascii="Times New Roman" w:eastAsia="Lucida Sans Unicode" w:hAnsi="Times New Roman" w:cs="Times New Roman"/>
                <w:kern w:val="2"/>
                <w:sz w:val="20"/>
                <w:szCs w:val="20"/>
                <w:lang w:eastAsia="ar-SA"/>
              </w:rPr>
              <w:t>30.</w:t>
            </w:r>
          </w:p>
        </w:tc>
        <w:tc>
          <w:tcPr>
            <w:tcW w:w="0" w:type="auto"/>
            <w:tcBorders>
              <w:top w:val="single" w:sz="4" w:space="0" w:color="000000"/>
              <w:left w:val="single" w:sz="4" w:space="0" w:color="000000"/>
              <w:bottom w:val="single" w:sz="4" w:space="0" w:color="000000"/>
              <w:right w:val="single" w:sz="4" w:space="0" w:color="000000"/>
            </w:tcBorders>
            <w:hideMark/>
          </w:tcPr>
          <w:p w14:paraId="0D9C11BE"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kern w:val="2"/>
                <w:sz w:val="20"/>
                <w:szCs w:val="20"/>
                <w:lang w:eastAsia="ar-SA"/>
              </w:rPr>
            </w:pPr>
            <w:proofErr w:type="spellStart"/>
            <w:r w:rsidRPr="00A07F29">
              <w:rPr>
                <w:rFonts w:ascii="Times New Roman" w:eastAsia="Lucida Sans Unicode" w:hAnsi="Times New Roman" w:cs="Times New Roman"/>
                <w:i/>
                <w:kern w:val="2"/>
                <w:sz w:val="20"/>
                <w:szCs w:val="20"/>
                <w:lang w:eastAsia="ar-SA"/>
              </w:rPr>
              <w:t>Spiraea</w:t>
            </w:r>
            <w:proofErr w:type="spellEnd"/>
            <w:r w:rsidRPr="00A07F29">
              <w:rPr>
                <w:rFonts w:ascii="Times New Roman" w:eastAsia="Lucida Sans Unicode" w:hAnsi="Times New Roman" w:cs="Times New Roman"/>
                <w:i/>
                <w:kern w:val="2"/>
                <w:sz w:val="20"/>
                <w:szCs w:val="20"/>
                <w:lang w:eastAsia="ar-SA"/>
              </w:rPr>
              <w:t xml:space="preserve"> </w:t>
            </w:r>
            <w:r w:rsidRPr="00A07F29">
              <w:rPr>
                <w:rFonts w:ascii="Times New Roman" w:eastAsia="Lucida Sans Unicode" w:hAnsi="Times New Roman" w:cs="Times New Roman"/>
                <w:kern w:val="2"/>
                <w:sz w:val="20"/>
                <w:szCs w:val="20"/>
                <w:lang w:eastAsia="ar-SA"/>
              </w:rPr>
              <w:t xml:space="preserve">x </w:t>
            </w:r>
            <w:proofErr w:type="spellStart"/>
            <w:r w:rsidRPr="00A07F29">
              <w:rPr>
                <w:rFonts w:ascii="Times New Roman" w:eastAsia="Lucida Sans Unicode" w:hAnsi="Times New Roman" w:cs="Times New Roman"/>
                <w:i/>
                <w:kern w:val="2"/>
                <w:sz w:val="20"/>
                <w:szCs w:val="20"/>
                <w:lang w:eastAsia="ar-SA"/>
              </w:rPr>
              <w:t>billardii</w:t>
            </w:r>
            <w:proofErr w:type="spellEnd"/>
          </w:p>
        </w:tc>
        <w:tc>
          <w:tcPr>
            <w:tcW w:w="0" w:type="auto"/>
            <w:tcBorders>
              <w:top w:val="single" w:sz="4" w:space="0" w:color="000000"/>
              <w:left w:val="single" w:sz="4" w:space="0" w:color="000000"/>
              <w:bottom w:val="single" w:sz="4" w:space="0" w:color="000000"/>
              <w:right w:val="single" w:sz="4" w:space="0" w:color="000000"/>
            </w:tcBorders>
            <w:hideMark/>
          </w:tcPr>
          <w:p w14:paraId="37616590"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kern w:val="2"/>
                <w:sz w:val="20"/>
                <w:szCs w:val="20"/>
                <w:lang w:eastAsia="ar-SA"/>
              </w:rPr>
            </w:pPr>
            <w:proofErr w:type="spellStart"/>
            <w:r w:rsidRPr="00A07F29">
              <w:rPr>
                <w:rFonts w:ascii="Times New Roman" w:eastAsia="Lucida Sans Unicode" w:hAnsi="Times New Roman" w:cs="Times New Roman"/>
                <w:kern w:val="2"/>
                <w:sz w:val="20"/>
                <w:szCs w:val="20"/>
                <w:lang w:eastAsia="ar-SA"/>
              </w:rPr>
              <w:t>Bijāra</w:t>
            </w:r>
            <w:proofErr w:type="spellEnd"/>
            <w:r w:rsidRPr="00A07F29">
              <w:rPr>
                <w:rFonts w:ascii="Times New Roman" w:eastAsia="Lucida Sans Unicode" w:hAnsi="Times New Roman" w:cs="Times New Roman"/>
                <w:kern w:val="2"/>
                <w:sz w:val="20"/>
                <w:szCs w:val="20"/>
                <w:lang w:eastAsia="ar-SA"/>
              </w:rPr>
              <w:t xml:space="preserve"> spireja</w:t>
            </w:r>
          </w:p>
        </w:tc>
        <w:tc>
          <w:tcPr>
            <w:tcW w:w="0" w:type="auto"/>
            <w:tcBorders>
              <w:top w:val="single" w:sz="4" w:space="0" w:color="000000"/>
              <w:left w:val="single" w:sz="4" w:space="0" w:color="000000"/>
              <w:bottom w:val="single" w:sz="4" w:space="0" w:color="000000"/>
              <w:right w:val="single" w:sz="4" w:space="0" w:color="000000"/>
            </w:tcBorders>
            <w:hideMark/>
          </w:tcPr>
          <w:p w14:paraId="2E82205A" w14:textId="77777777" w:rsidR="00A21E83" w:rsidRPr="00A07F29" w:rsidRDefault="00A21E83" w:rsidP="005111E1">
            <w:pPr>
              <w:widowControl w:val="0"/>
              <w:suppressAutoHyphens/>
              <w:spacing w:after="0" w:line="240" w:lineRule="auto"/>
              <w:jc w:val="center"/>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3</w:t>
            </w:r>
          </w:p>
        </w:tc>
        <w:tc>
          <w:tcPr>
            <w:tcW w:w="0" w:type="auto"/>
            <w:tcBorders>
              <w:top w:val="single" w:sz="4" w:space="0" w:color="000000"/>
              <w:left w:val="single" w:sz="4" w:space="0" w:color="000000"/>
              <w:bottom w:val="single" w:sz="4" w:space="0" w:color="000000"/>
              <w:right w:val="single" w:sz="4" w:space="0" w:color="000000"/>
            </w:tcBorders>
            <w:hideMark/>
          </w:tcPr>
          <w:p w14:paraId="511FEAC5" w14:textId="77777777" w:rsidR="00A21E83" w:rsidRPr="00A07F29" w:rsidRDefault="00A21E83" w:rsidP="005111E1">
            <w:pPr>
              <w:widowControl w:val="0"/>
              <w:suppressAutoHyphens/>
              <w:spacing w:after="0" w:line="240" w:lineRule="auto"/>
              <w:jc w:val="center"/>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1</w:t>
            </w:r>
          </w:p>
        </w:tc>
        <w:tc>
          <w:tcPr>
            <w:tcW w:w="0" w:type="auto"/>
            <w:tcBorders>
              <w:top w:val="single" w:sz="4" w:space="0" w:color="000000"/>
              <w:left w:val="single" w:sz="4" w:space="0" w:color="000000"/>
              <w:bottom w:val="single" w:sz="4" w:space="0" w:color="000000"/>
              <w:right w:val="single" w:sz="4" w:space="0" w:color="000000"/>
            </w:tcBorders>
            <w:hideMark/>
          </w:tcPr>
          <w:p w14:paraId="507E6BBF"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Cirst ar ķīmiskiem līdzekļiem nokaltētus krūmus. Jaunus krūmus izraut vai izrakt.</w:t>
            </w:r>
          </w:p>
        </w:tc>
      </w:tr>
      <w:tr w:rsidR="00A21E83" w:rsidRPr="00A07F29" w14:paraId="543355AB" w14:textId="77777777" w:rsidTr="005111E1">
        <w:trPr>
          <w:trHeight w:val="510"/>
        </w:trPr>
        <w:tc>
          <w:tcPr>
            <w:tcW w:w="0" w:type="auto"/>
            <w:tcBorders>
              <w:top w:val="single" w:sz="4" w:space="0" w:color="000000"/>
              <w:left w:val="single" w:sz="4" w:space="0" w:color="000000"/>
              <w:bottom w:val="single" w:sz="4" w:space="0" w:color="000000"/>
              <w:right w:val="single" w:sz="4" w:space="0" w:color="000000"/>
            </w:tcBorders>
            <w:hideMark/>
          </w:tcPr>
          <w:p w14:paraId="7D85E470"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i/>
                <w:kern w:val="2"/>
                <w:sz w:val="20"/>
                <w:szCs w:val="20"/>
                <w:lang w:eastAsia="ar-SA"/>
              </w:rPr>
            </w:pPr>
            <w:r w:rsidRPr="00A07F29">
              <w:rPr>
                <w:rFonts w:ascii="Times New Roman" w:eastAsia="Lucida Sans Unicode" w:hAnsi="Times New Roman" w:cs="Times New Roman"/>
                <w:kern w:val="2"/>
                <w:sz w:val="20"/>
                <w:szCs w:val="20"/>
                <w:lang w:eastAsia="ar-SA"/>
              </w:rPr>
              <w:t>31.</w:t>
            </w:r>
          </w:p>
        </w:tc>
        <w:tc>
          <w:tcPr>
            <w:tcW w:w="0" w:type="auto"/>
            <w:tcBorders>
              <w:top w:val="single" w:sz="4" w:space="0" w:color="000000"/>
              <w:left w:val="single" w:sz="4" w:space="0" w:color="000000"/>
              <w:bottom w:val="single" w:sz="4" w:space="0" w:color="000000"/>
              <w:right w:val="single" w:sz="4" w:space="0" w:color="000000"/>
            </w:tcBorders>
            <w:hideMark/>
          </w:tcPr>
          <w:p w14:paraId="14999E9E"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kern w:val="2"/>
                <w:sz w:val="20"/>
                <w:szCs w:val="20"/>
                <w:lang w:eastAsia="ar-SA"/>
              </w:rPr>
            </w:pPr>
            <w:proofErr w:type="spellStart"/>
            <w:r w:rsidRPr="00A07F29">
              <w:rPr>
                <w:rFonts w:ascii="Times New Roman" w:eastAsia="Lucida Sans Unicode" w:hAnsi="Times New Roman" w:cs="Times New Roman"/>
                <w:i/>
                <w:kern w:val="2"/>
                <w:sz w:val="20"/>
                <w:szCs w:val="20"/>
                <w:lang w:eastAsia="ar-SA"/>
              </w:rPr>
              <w:t>Symphoricarpos</w:t>
            </w:r>
            <w:proofErr w:type="spellEnd"/>
            <w:r w:rsidRPr="00A07F29">
              <w:rPr>
                <w:rFonts w:ascii="Times New Roman" w:eastAsia="Lucida Sans Unicode" w:hAnsi="Times New Roman" w:cs="Times New Roman"/>
                <w:i/>
                <w:kern w:val="2"/>
                <w:sz w:val="20"/>
                <w:szCs w:val="20"/>
                <w:lang w:eastAsia="ar-SA"/>
              </w:rPr>
              <w:t xml:space="preserve"> </w:t>
            </w:r>
            <w:proofErr w:type="spellStart"/>
            <w:r w:rsidRPr="00A07F29">
              <w:rPr>
                <w:rFonts w:ascii="Times New Roman" w:eastAsia="Lucida Sans Unicode" w:hAnsi="Times New Roman" w:cs="Times New Roman"/>
                <w:i/>
                <w:kern w:val="2"/>
                <w:sz w:val="20"/>
                <w:szCs w:val="20"/>
                <w:lang w:eastAsia="ar-SA"/>
              </w:rPr>
              <w:t>albus</w:t>
            </w:r>
            <w:proofErr w:type="spellEnd"/>
          </w:p>
        </w:tc>
        <w:tc>
          <w:tcPr>
            <w:tcW w:w="0" w:type="auto"/>
            <w:tcBorders>
              <w:top w:val="single" w:sz="4" w:space="0" w:color="000000"/>
              <w:left w:val="single" w:sz="4" w:space="0" w:color="000000"/>
              <w:bottom w:val="single" w:sz="4" w:space="0" w:color="000000"/>
              <w:right w:val="single" w:sz="4" w:space="0" w:color="000000"/>
            </w:tcBorders>
            <w:hideMark/>
          </w:tcPr>
          <w:p w14:paraId="6466C5AC"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Parastā sniegoga</w:t>
            </w:r>
          </w:p>
        </w:tc>
        <w:tc>
          <w:tcPr>
            <w:tcW w:w="0" w:type="auto"/>
            <w:tcBorders>
              <w:top w:val="single" w:sz="4" w:space="0" w:color="000000"/>
              <w:left w:val="single" w:sz="4" w:space="0" w:color="000000"/>
              <w:bottom w:val="single" w:sz="4" w:space="0" w:color="000000"/>
              <w:right w:val="single" w:sz="4" w:space="0" w:color="000000"/>
            </w:tcBorders>
            <w:hideMark/>
          </w:tcPr>
          <w:p w14:paraId="55BA531D" w14:textId="77777777" w:rsidR="00A21E83" w:rsidRPr="00A07F29" w:rsidRDefault="00A21E83" w:rsidP="005111E1">
            <w:pPr>
              <w:widowControl w:val="0"/>
              <w:suppressAutoHyphens/>
              <w:spacing w:after="0" w:line="240" w:lineRule="auto"/>
              <w:jc w:val="center"/>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1</w:t>
            </w:r>
          </w:p>
        </w:tc>
        <w:tc>
          <w:tcPr>
            <w:tcW w:w="0" w:type="auto"/>
            <w:tcBorders>
              <w:top w:val="single" w:sz="4" w:space="0" w:color="000000"/>
              <w:left w:val="single" w:sz="4" w:space="0" w:color="000000"/>
              <w:bottom w:val="single" w:sz="4" w:space="0" w:color="000000"/>
              <w:right w:val="single" w:sz="4" w:space="0" w:color="000000"/>
            </w:tcBorders>
            <w:hideMark/>
          </w:tcPr>
          <w:p w14:paraId="6813747F" w14:textId="77777777" w:rsidR="00A21E83" w:rsidRPr="00A07F29" w:rsidRDefault="00A21E83" w:rsidP="005111E1">
            <w:pPr>
              <w:widowControl w:val="0"/>
              <w:suppressAutoHyphens/>
              <w:spacing w:after="0" w:line="240" w:lineRule="auto"/>
              <w:jc w:val="center"/>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1</w:t>
            </w:r>
          </w:p>
        </w:tc>
        <w:tc>
          <w:tcPr>
            <w:tcW w:w="0" w:type="auto"/>
            <w:tcBorders>
              <w:top w:val="single" w:sz="4" w:space="0" w:color="000000"/>
              <w:left w:val="single" w:sz="4" w:space="0" w:color="000000"/>
              <w:bottom w:val="single" w:sz="4" w:space="0" w:color="000000"/>
              <w:right w:val="single" w:sz="4" w:space="0" w:color="000000"/>
            </w:tcBorders>
            <w:hideMark/>
          </w:tcPr>
          <w:p w14:paraId="4D691ABB"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Cirst ar ķīmiskiem līdzekļiem nokaltētus krūmus. Jaunus krūmus izraut vai izrakt.</w:t>
            </w:r>
          </w:p>
        </w:tc>
      </w:tr>
      <w:tr w:rsidR="00A21E83" w:rsidRPr="00A07F29" w14:paraId="5ED7868A" w14:textId="77777777" w:rsidTr="005111E1">
        <w:trPr>
          <w:trHeight w:val="510"/>
        </w:trPr>
        <w:tc>
          <w:tcPr>
            <w:tcW w:w="0" w:type="auto"/>
            <w:tcBorders>
              <w:top w:val="single" w:sz="4" w:space="0" w:color="000000"/>
              <w:left w:val="single" w:sz="4" w:space="0" w:color="000000"/>
              <w:bottom w:val="single" w:sz="4" w:space="0" w:color="000000"/>
              <w:right w:val="single" w:sz="4" w:space="0" w:color="000000"/>
            </w:tcBorders>
            <w:hideMark/>
          </w:tcPr>
          <w:p w14:paraId="506A63E0"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i/>
                <w:kern w:val="2"/>
                <w:sz w:val="20"/>
                <w:szCs w:val="20"/>
                <w:lang w:eastAsia="ar-SA"/>
              </w:rPr>
            </w:pPr>
            <w:r w:rsidRPr="00A07F29">
              <w:rPr>
                <w:rFonts w:ascii="Times New Roman" w:eastAsia="Lucida Sans Unicode" w:hAnsi="Times New Roman" w:cs="Times New Roman"/>
                <w:kern w:val="2"/>
                <w:sz w:val="20"/>
                <w:szCs w:val="20"/>
                <w:lang w:eastAsia="ar-SA"/>
              </w:rPr>
              <w:t>32.</w:t>
            </w:r>
          </w:p>
        </w:tc>
        <w:tc>
          <w:tcPr>
            <w:tcW w:w="0" w:type="auto"/>
            <w:tcBorders>
              <w:top w:val="single" w:sz="4" w:space="0" w:color="000000"/>
              <w:left w:val="single" w:sz="4" w:space="0" w:color="000000"/>
              <w:bottom w:val="single" w:sz="4" w:space="0" w:color="000000"/>
              <w:right w:val="single" w:sz="4" w:space="0" w:color="000000"/>
            </w:tcBorders>
            <w:hideMark/>
          </w:tcPr>
          <w:p w14:paraId="1C8671A7"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kern w:val="2"/>
                <w:sz w:val="20"/>
                <w:szCs w:val="20"/>
                <w:lang w:eastAsia="ar-SA"/>
              </w:rPr>
            </w:pPr>
            <w:proofErr w:type="spellStart"/>
            <w:r w:rsidRPr="00A07F29">
              <w:rPr>
                <w:rFonts w:ascii="Times New Roman" w:eastAsia="Lucida Sans Unicode" w:hAnsi="Times New Roman" w:cs="Times New Roman"/>
                <w:i/>
                <w:kern w:val="2"/>
                <w:sz w:val="20"/>
                <w:szCs w:val="20"/>
                <w:lang w:eastAsia="ar-SA"/>
              </w:rPr>
              <w:t>Syringa</w:t>
            </w:r>
            <w:proofErr w:type="spellEnd"/>
            <w:r w:rsidRPr="00A07F29">
              <w:rPr>
                <w:rFonts w:ascii="Times New Roman" w:eastAsia="Lucida Sans Unicode" w:hAnsi="Times New Roman" w:cs="Times New Roman"/>
                <w:i/>
                <w:kern w:val="2"/>
                <w:sz w:val="20"/>
                <w:szCs w:val="20"/>
                <w:lang w:eastAsia="ar-SA"/>
              </w:rPr>
              <w:t xml:space="preserve"> </w:t>
            </w:r>
            <w:proofErr w:type="spellStart"/>
            <w:r w:rsidRPr="00A07F29">
              <w:rPr>
                <w:rFonts w:ascii="Times New Roman" w:eastAsia="Lucida Sans Unicode" w:hAnsi="Times New Roman" w:cs="Times New Roman"/>
                <w:i/>
                <w:kern w:val="2"/>
                <w:sz w:val="20"/>
                <w:szCs w:val="20"/>
                <w:lang w:eastAsia="ar-SA"/>
              </w:rPr>
              <w:t>vulgaris</w:t>
            </w:r>
            <w:proofErr w:type="spellEnd"/>
          </w:p>
        </w:tc>
        <w:tc>
          <w:tcPr>
            <w:tcW w:w="0" w:type="auto"/>
            <w:tcBorders>
              <w:top w:val="single" w:sz="4" w:space="0" w:color="000000"/>
              <w:left w:val="single" w:sz="4" w:space="0" w:color="000000"/>
              <w:bottom w:val="single" w:sz="4" w:space="0" w:color="000000"/>
              <w:right w:val="single" w:sz="4" w:space="0" w:color="000000"/>
            </w:tcBorders>
            <w:hideMark/>
          </w:tcPr>
          <w:p w14:paraId="6CC2CF02" w14:textId="77777777" w:rsidR="00A21E83" w:rsidRPr="00A07F29" w:rsidRDefault="00A21E83" w:rsidP="005111E1">
            <w:pPr>
              <w:widowControl w:val="0"/>
              <w:suppressAutoHyphens/>
              <w:spacing w:after="0" w:line="240" w:lineRule="auto"/>
              <w:jc w:val="both"/>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Parastais ceriņš</w:t>
            </w:r>
          </w:p>
        </w:tc>
        <w:tc>
          <w:tcPr>
            <w:tcW w:w="0" w:type="auto"/>
            <w:tcBorders>
              <w:top w:val="single" w:sz="4" w:space="0" w:color="000000"/>
              <w:left w:val="single" w:sz="4" w:space="0" w:color="000000"/>
              <w:bottom w:val="single" w:sz="4" w:space="0" w:color="000000"/>
              <w:right w:val="single" w:sz="4" w:space="0" w:color="000000"/>
            </w:tcBorders>
            <w:hideMark/>
          </w:tcPr>
          <w:p w14:paraId="088C7A8A" w14:textId="77777777" w:rsidR="00A21E83" w:rsidRPr="00A07F29" w:rsidRDefault="00A21E83" w:rsidP="005111E1">
            <w:pPr>
              <w:widowControl w:val="0"/>
              <w:suppressAutoHyphens/>
              <w:spacing w:after="0" w:line="240" w:lineRule="auto"/>
              <w:jc w:val="center"/>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36</w:t>
            </w:r>
          </w:p>
        </w:tc>
        <w:tc>
          <w:tcPr>
            <w:tcW w:w="0" w:type="auto"/>
            <w:tcBorders>
              <w:top w:val="single" w:sz="4" w:space="0" w:color="000000"/>
              <w:left w:val="single" w:sz="4" w:space="0" w:color="000000"/>
              <w:bottom w:val="single" w:sz="4" w:space="0" w:color="000000"/>
              <w:right w:val="single" w:sz="4" w:space="0" w:color="000000"/>
            </w:tcBorders>
            <w:hideMark/>
          </w:tcPr>
          <w:p w14:paraId="1045A886" w14:textId="77777777" w:rsidR="00A21E83" w:rsidRPr="00A07F29" w:rsidRDefault="00A21E83" w:rsidP="005111E1">
            <w:pPr>
              <w:widowControl w:val="0"/>
              <w:suppressAutoHyphens/>
              <w:spacing w:after="0" w:line="240" w:lineRule="auto"/>
              <w:jc w:val="center"/>
              <w:rPr>
                <w:rFonts w:ascii="Times New Roman" w:eastAsia="Lucida Sans Unicode" w:hAnsi="Times New Roman" w:cs="Times New Roman"/>
                <w:kern w:val="2"/>
                <w:sz w:val="20"/>
                <w:szCs w:val="20"/>
                <w:lang w:eastAsia="ar-SA"/>
              </w:rPr>
            </w:pPr>
            <w:r w:rsidRPr="00A07F29">
              <w:rPr>
                <w:rFonts w:ascii="Times New Roman" w:eastAsia="Lucida Sans Unicode" w:hAnsi="Times New Roman" w:cs="Times New Roman"/>
                <w:kern w:val="2"/>
                <w:sz w:val="20"/>
                <w:szCs w:val="20"/>
                <w:lang w:eastAsia="ar-SA"/>
              </w:rPr>
              <w:t>15</w:t>
            </w:r>
          </w:p>
        </w:tc>
        <w:tc>
          <w:tcPr>
            <w:tcW w:w="0" w:type="auto"/>
            <w:tcBorders>
              <w:top w:val="single" w:sz="4" w:space="0" w:color="000000"/>
              <w:left w:val="single" w:sz="4" w:space="0" w:color="000000"/>
              <w:bottom w:val="single" w:sz="4" w:space="0" w:color="000000"/>
              <w:right w:val="single" w:sz="4" w:space="0" w:color="000000"/>
            </w:tcBorders>
            <w:hideMark/>
          </w:tcPr>
          <w:p w14:paraId="5B5ECC7C" w14:textId="77777777" w:rsidR="00A21E83" w:rsidRPr="00A07F29" w:rsidRDefault="00A21E83" w:rsidP="005111E1">
            <w:pPr>
              <w:widowControl w:val="0"/>
              <w:suppressAutoHyphens/>
              <w:spacing w:after="0" w:line="240" w:lineRule="auto"/>
              <w:jc w:val="both"/>
              <w:rPr>
                <w:rFonts w:ascii="Calibri" w:eastAsia="Lucida Sans Unicode" w:hAnsi="Calibri" w:cs="Calibri"/>
                <w:kern w:val="2"/>
                <w:lang w:eastAsia="ar-SA"/>
              </w:rPr>
            </w:pPr>
            <w:r w:rsidRPr="00A07F29">
              <w:rPr>
                <w:rFonts w:ascii="Times New Roman" w:eastAsia="Lucida Sans Unicode" w:hAnsi="Times New Roman" w:cs="Times New Roman"/>
                <w:kern w:val="2"/>
                <w:sz w:val="20"/>
                <w:szCs w:val="20"/>
                <w:lang w:eastAsia="ar-SA"/>
              </w:rPr>
              <w:t>Cirst ar ķīmiskiem līdzekļiem nokaltētus krūmus. Jaunus krūmus izraut vai izrakt.</w:t>
            </w:r>
          </w:p>
        </w:tc>
      </w:tr>
    </w:tbl>
    <w:p w14:paraId="266E6FBF" w14:textId="5D00E31F" w:rsidR="00CB09CE" w:rsidRPr="00A07F29" w:rsidRDefault="00CB09CE" w:rsidP="00A21E83">
      <w:pPr>
        <w:spacing w:before="120" w:after="0" w:line="240" w:lineRule="auto"/>
        <w:jc w:val="both"/>
        <w:rPr>
          <w:rFonts w:ascii="Times New Roman" w:eastAsia="Calibri" w:hAnsi="Times New Roman" w:cs="Calibri"/>
          <w:b/>
          <w:sz w:val="24"/>
          <w:lang w:eastAsia="ja-JP"/>
        </w:rPr>
      </w:pPr>
    </w:p>
    <w:p w14:paraId="7D40508A" w14:textId="769E7D40" w:rsidR="00753FBC" w:rsidRPr="00A07F29" w:rsidRDefault="00753FBC" w:rsidP="00A21E83">
      <w:pPr>
        <w:spacing w:before="120" w:after="0" w:line="240" w:lineRule="auto"/>
        <w:jc w:val="both"/>
        <w:rPr>
          <w:rFonts w:ascii="Times New Roman" w:eastAsia="Calibri" w:hAnsi="Times New Roman" w:cs="Calibri"/>
          <w:b/>
          <w:sz w:val="24"/>
          <w:lang w:eastAsia="ja-JP"/>
        </w:rPr>
      </w:pPr>
      <w:r w:rsidRPr="00A07F29">
        <w:rPr>
          <w:rFonts w:ascii="Times New Roman" w:eastAsia="Calibri" w:hAnsi="Times New Roman" w:cs="Calibri"/>
          <w:b/>
          <w:sz w:val="24"/>
          <w:lang w:eastAsia="ja-JP"/>
        </w:rPr>
        <w:t>B.7. Saglabāt alejas un dižkokus</w:t>
      </w:r>
    </w:p>
    <w:p w14:paraId="06160970" w14:textId="0DF36954" w:rsidR="00753FBC" w:rsidRPr="00A07F29" w:rsidRDefault="00753FBC" w:rsidP="00A21E83">
      <w:pPr>
        <w:spacing w:before="120" w:after="0" w:line="240" w:lineRule="auto"/>
        <w:jc w:val="both"/>
        <w:rPr>
          <w:rFonts w:ascii="Times New Roman" w:eastAsia="Calibri" w:hAnsi="Times New Roman" w:cs="Calibri"/>
          <w:b/>
          <w:i/>
          <w:sz w:val="24"/>
          <w:lang w:eastAsia="ja-JP"/>
        </w:rPr>
      </w:pPr>
      <w:r w:rsidRPr="00A07F29">
        <w:rPr>
          <w:rFonts w:ascii="Times New Roman" w:eastAsia="Calibri" w:hAnsi="Times New Roman" w:cs="Calibri"/>
          <w:b/>
          <w:i/>
          <w:sz w:val="24"/>
          <w:lang w:eastAsia="ja-JP"/>
        </w:rPr>
        <w:t xml:space="preserve">B.7.1. Aleju un dižkoku </w:t>
      </w:r>
      <w:r w:rsidR="000E1996" w:rsidRPr="00A07F29">
        <w:rPr>
          <w:rFonts w:ascii="Times New Roman" w:eastAsia="Calibri" w:hAnsi="Times New Roman" w:cs="Calibri"/>
          <w:b/>
          <w:i/>
          <w:sz w:val="24"/>
          <w:lang w:eastAsia="ja-JP"/>
        </w:rPr>
        <w:t>kopšana</w:t>
      </w:r>
    </w:p>
    <w:p w14:paraId="12D0A5F3" w14:textId="72A610A2" w:rsidR="00753FBC" w:rsidRPr="00A07F29" w:rsidRDefault="00753FBC" w:rsidP="00245611">
      <w:pPr>
        <w:spacing w:before="120" w:after="0" w:line="240" w:lineRule="auto"/>
        <w:ind w:firstLine="851"/>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Lai uzlabotu alejās augošo koku un dižkoku stāvokli un pagarināt</w:t>
      </w:r>
      <w:r w:rsidR="00790D79">
        <w:rPr>
          <w:rFonts w:ascii="Times New Roman" w:eastAsia="Calibri" w:hAnsi="Times New Roman" w:cs="Calibri"/>
          <w:sz w:val="24"/>
          <w:lang w:eastAsia="ja-JP"/>
        </w:rPr>
        <w:t>u</w:t>
      </w:r>
      <w:r w:rsidRPr="00A07F29">
        <w:rPr>
          <w:rFonts w:ascii="Times New Roman" w:eastAsia="Calibri" w:hAnsi="Times New Roman" w:cs="Calibri"/>
          <w:sz w:val="24"/>
          <w:lang w:eastAsia="ja-JP"/>
        </w:rPr>
        <w:t xml:space="preserve"> to mūžu, kā arī izceltu tos kā ainavas elementus un nodrošinātu piemērotas dzīvotnes </w:t>
      </w:r>
      <w:r w:rsidRPr="00623F41">
        <w:rPr>
          <w:rFonts w:ascii="Times New Roman" w:eastAsia="Calibri" w:hAnsi="Times New Roman" w:cs="Calibri"/>
          <w:sz w:val="24"/>
          <w:lang w:eastAsia="ja-JP"/>
        </w:rPr>
        <w:t>īpaši aizsargājamām</w:t>
      </w:r>
      <w:r w:rsidRPr="00A07F29">
        <w:rPr>
          <w:rFonts w:ascii="Times New Roman" w:eastAsia="Calibri" w:hAnsi="Times New Roman" w:cs="Calibri"/>
          <w:sz w:val="24"/>
          <w:lang w:eastAsia="ja-JP"/>
        </w:rPr>
        <w:t xml:space="preserve"> sugām, nepieciešams izzāģēt zem alejas koku un dižkoku vainagiem un 10</w:t>
      </w:r>
      <w:r w:rsidR="000D6C5E">
        <w:rPr>
          <w:rFonts w:ascii="Times New Roman" w:eastAsia="Calibri" w:hAnsi="Times New Roman" w:cs="Calibri"/>
          <w:sz w:val="24"/>
          <w:lang w:eastAsia="ja-JP"/>
        </w:rPr>
        <w:t> </w:t>
      </w:r>
      <w:r w:rsidRPr="00A07F29">
        <w:rPr>
          <w:rFonts w:ascii="Times New Roman" w:eastAsia="Calibri" w:hAnsi="Times New Roman" w:cs="Calibri"/>
          <w:sz w:val="24"/>
          <w:lang w:eastAsia="ja-JP"/>
        </w:rPr>
        <w:t xml:space="preserve">m rādiusā ap tiem augošos krūmus un </w:t>
      </w:r>
      <w:r w:rsidR="000D68D6" w:rsidRPr="00A07F29">
        <w:rPr>
          <w:rFonts w:ascii="Times New Roman" w:eastAsia="Calibri" w:hAnsi="Times New Roman" w:cs="Calibri"/>
          <w:sz w:val="24"/>
          <w:lang w:eastAsia="ja-JP"/>
        </w:rPr>
        <w:t>kokus</w:t>
      </w:r>
      <w:r w:rsidR="000D6C5E">
        <w:rPr>
          <w:rFonts w:ascii="Times New Roman" w:eastAsia="Calibri" w:hAnsi="Times New Roman" w:cs="Calibri"/>
          <w:sz w:val="24"/>
          <w:lang w:eastAsia="ja-JP"/>
        </w:rPr>
        <w:t> – </w:t>
      </w:r>
      <w:proofErr w:type="spellStart"/>
      <w:r w:rsidR="00085656" w:rsidRPr="00A07F29">
        <w:rPr>
          <w:rFonts w:ascii="Times New Roman" w:eastAsia="Calibri" w:hAnsi="Times New Roman" w:cs="Calibri"/>
          <w:sz w:val="24"/>
          <w:lang w:eastAsia="ja-JP"/>
        </w:rPr>
        <w:t>sējeņus</w:t>
      </w:r>
      <w:proofErr w:type="spellEnd"/>
      <w:r w:rsidR="000D68D6" w:rsidRPr="00A07F29">
        <w:rPr>
          <w:rFonts w:ascii="Times New Roman" w:eastAsia="Calibri" w:hAnsi="Times New Roman" w:cs="Calibri"/>
          <w:sz w:val="24"/>
          <w:lang w:eastAsia="ja-JP"/>
        </w:rPr>
        <w:t xml:space="preserve">. Pēc nepieciešamības veicama arī vainagu kopšana saskaņā ar </w:t>
      </w:r>
      <w:proofErr w:type="spellStart"/>
      <w:r w:rsidR="000D68D6" w:rsidRPr="00A07F29">
        <w:rPr>
          <w:rFonts w:ascii="Times New Roman" w:eastAsia="Calibri" w:hAnsi="Times New Roman" w:cs="Calibri"/>
          <w:sz w:val="24"/>
          <w:lang w:eastAsia="ja-JP"/>
        </w:rPr>
        <w:t>arboristu</w:t>
      </w:r>
      <w:proofErr w:type="spellEnd"/>
      <w:r w:rsidR="000D68D6" w:rsidRPr="00A07F29">
        <w:rPr>
          <w:rFonts w:ascii="Times New Roman" w:eastAsia="Calibri" w:hAnsi="Times New Roman" w:cs="Calibri"/>
          <w:sz w:val="24"/>
          <w:lang w:eastAsia="ja-JP"/>
        </w:rPr>
        <w:t xml:space="preserve"> rekomendācijām.</w:t>
      </w:r>
    </w:p>
    <w:p w14:paraId="2E032D23" w14:textId="0C618047" w:rsidR="000D68D6" w:rsidRPr="00A07F29" w:rsidRDefault="000D68D6" w:rsidP="00245611">
      <w:pPr>
        <w:spacing w:before="120" w:after="0" w:line="240" w:lineRule="auto"/>
        <w:ind w:firstLine="851"/>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 xml:space="preserve">Prioritāri kopšana veicama </w:t>
      </w:r>
      <w:proofErr w:type="spellStart"/>
      <w:r w:rsidRPr="00A07F29">
        <w:rPr>
          <w:rFonts w:ascii="Times New Roman" w:eastAsia="Calibri" w:hAnsi="Times New Roman" w:cs="Calibri"/>
          <w:sz w:val="24"/>
          <w:lang w:eastAsia="ja-JP"/>
        </w:rPr>
        <w:t>Rozališķu</w:t>
      </w:r>
      <w:proofErr w:type="spellEnd"/>
      <w:r w:rsidRPr="00A07F29">
        <w:rPr>
          <w:rFonts w:ascii="Times New Roman" w:eastAsia="Calibri" w:hAnsi="Times New Roman" w:cs="Calibri"/>
          <w:sz w:val="24"/>
          <w:lang w:eastAsia="ja-JP"/>
        </w:rPr>
        <w:t xml:space="preserve"> alejā.</w:t>
      </w:r>
    </w:p>
    <w:p w14:paraId="2D365796" w14:textId="7F5C7BB4" w:rsidR="00736AA4" w:rsidRPr="00A07F29" w:rsidRDefault="00736AA4" w:rsidP="00245611">
      <w:pPr>
        <w:spacing w:before="120" w:after="0" w:line="240" w:lineRule="auto"/>
        <w:ind w:firstLine="851"/>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 xml:space="preserve">Veicama arī dižkoku apzināšana un reģistrēšana </w:t>
      </w:r>
      <w:r w:rsidR="00623F41" w:rsidRPr="00623F41">
        <w:rPr>
          <w:rFonts w:ascii="Times New Roman" w:eastAsia="Calibri" w:hAnsi="Times New Roman" w:cs="Calibri"/>
          <w:sz w:val="24"/>
          <w:lang w:eastAsia="ja-JP"/>
        </w:rPr>
        <w:t>DDPS</w:t>
      </w:r>
      <w:r w:rsidRPr="00623F41">
        <w:rPr>
          <w:rFonts w:ascii="Times New Roman" w:eastAsia="Calibri" w:hAnsi="Times New Roman" w:cs="Calibri"/>
          <w:sz w:val="24"/>
          <w:lang w:eastAsia="ja-JP"/>
        </w:rPr>
        <w:t xml:space="preserve"> “Ozols”.</w:t>
      </w:r>
    </w:p>
    <w:p w14:paraId="1E1F113D" w14:textId="5D7A3D7B" w:rsidR="000D68D6" w:rsidRPr="00A07F29" w:rsidRDefault="000D68D6" w:rsidP="000D68D6">
      <w:pPr>
        <w:spacing w:after="0" w:line="240" w:lineRule="auto"/>
        <w:ind w:firstLine="567"/>
        <w:jc w:val="both"/>
        <w:rPr>
          <w:rFonts w:ascii="Times New Roman" w:eastAsia="Calibri" w:hAnsi="Times New Roman" w:cs="Calibri"/>
          <w:sz w:val="24"/>
          <w:lang w:eastAsia="ja-JP"/>
        </w:rPr>
      </w:pPr>
    </w:p>
    <w:p w14:paraId="2F951ED5" w14:textId="77777777" w:rsidR="00265E82" w:rsidRPr="00A07F29" w:rsidRDefault="00265E82" w:rsidP="00265E82">
      <w:pPr>
        <w:spacing w:before="120" w:after="0" w:line="240" w:lineRule="auto"/>
        <w:jc w:val="both"/>
        <w:rPr>
          <w:rFonts w:ascii="Times New Roman" w:eastAsia="Calibri" w:hAnsi="Times New Roman" w:cs="Calibri"/>
          <w:b/>
          <w:sz w:val="24"/>
          <w:lang w:eastAsia="ja-JP"/>
        </w:rPr>
      </w:pPr>
      <w:r w:rsidRPr="00A07F29">
        <w:rPr>
          <w:rFonts w:ascii="Times New Roman" w:eastAsia="Calibri" w:hAnsi="Times New Roman" w:cs="Calibri"/>
          <w:b/>
          <w:sz w:val="24"/>
          <w:lang w:eastAsia="ja-JP"/>
        </w:rPr>
        <w:t xml:space="preserve">B.8. Mazināt klimata pārmaiņu ietekmi AAA “Augšdaugava” </w:t>
      </w:r>
    </w:p>
    <w:p w14:paraId="06CCAB72" w14:textId="72D9C33C" w:rsidR="00265E82" w:rsidRPr="00A07F29" w:rsidRDefault="00265E82" w:rsidP="00265E82">
      <w:pPr>
        <w:spacing w:before="120" w:after="0" w:line="240" w:lineRule="auto"/>
        <w:jc w:val="both"/>
        <w:rPr>
          <w:rFonts w:ascii="Times New Roman" w:eastAsia="Calibri" w:hAnsi="Times New Roman" w:cs="Calibri"/>
          <w:b/>
          <w:i/>
          <w:sz w:val="24"/>
          <w:lang w:eastAsia="ja-JP"/>
        </w:rPr>
      </w:pPr>
      <w:r w:rsidRPr="00A07F29">
        <w:rPr>
          <w:rFonts w:ascii="Times New Roman" w:eastAsia="Calibri" w:hAnsi="Times New Roman" w:cs="Calibri"/>
          <w:b/>
          <w:i/>
          <w:sz w:val="24"/>
          <w:lang w:eastAsia="ja-JP"/>
        </w:rPr>
        <w:t xml:space="preserve">B.8.1. Klimata pārmaiņu ietekmes mazināšanas un pielāgošanās pasākumu īstenošana atbilstoši pašvaldību ilgtspējīgas enerģētikas un klimata rīcības plāniem un </w:t>
      </w:r>
      <w:r w:rsidR="00623F41" w:rsidRPr="00623F41">
        <w:rPr>
          <w:rFonts w:ascii="Times New Roman" w:eastAsia="Calibri" w:hAnsi="Times New Roman" w:cs="Calibri"/>
          <w:b/>
          <w:i/>
          <w:sz w:val="24"/>
          <w:lang w:eastAsia="ja-JP"/>
        </w:rPr>
        <w:t>DA</w:t>
      </w:r>
      <w:r w:rsidRPr="00A07F29">
        <w:rPr>
          <w:rFonts w:ascii="Times New Roman" w:eastAsia="Calibri" w:hAnsi="Times New Roman" w:cs="Calibri"/>
          <w:b/>
          <w:i/>
          <w:sz w:val="24"/>
          <w:lang w:eastAsia="ja-JP"/>
        </w:rPr>
        <w:t xml:space="preserve"> plānam</w:t>
      </w:r>
    </w:p>
    <w:p w14:paraId="74D9F4A0" w14:textId="77777777" w:rsidR="00265E82" w:rsidRPr="00A07F29" w:rsidRDefault="00265E82" w:rsidP="00245611">
      <w:pPr>
        <w:spacing w:before="120" w:after="0" w:line="240" w:lineRule="auto"/>
        <w:ind w:firstLine="851"/>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Klimata pārmaiņas skar arī AAA “Augšdaugava” teritoriju, un to ietekme var skart gan apdzīvotās vietas un infrastruktūru, gan izraisīt pārmaiņas ekosistēmās. Attiecīgi veicami ietekmes mazināšanas un pielāgošanās pasākumi, ņemot vērā AAA “Augšdaugava” dabas un ainaviskās vērtības un veicinot to saglabāšanos un atjaunošanos. To sekmē arī DA plānā iekļautie pasākumi dabas vērtību apsaimniekošanai, kā arī priekšlikumi teritorijas zonējumam un 6.2. nodaļā iekļautie nosacījumi ietekmes mazināšanai uz dabas vērtībām un vides kvalitāti.</w:t>
      </w:r>
    </w:p>
    <w:p w14:paraId="688A9183" w14:textId="77777777" w:rsidR="00265E82" w:rsidRPr="00A07F29" w:rsidRDefault="00265E82" w:rsidP="00245611">
      <w:pPr>
        <w:spacing w:before="120" w:after="0" w:line="240" w:lineRule="auto"/>
        <w:ind w:firstLine="851"/>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 xml:space="preserve">Klimata pārmaiņu kontekstā ir nozīmīgi: </w:t>
      </w:r>
    </w:p>
    <w:p w14:paraId="26FD444E" w14:textId="5098DA38" w:rsidR="00265E82" w:rsidRPr="00A07F29" w:rsidRDefault="00265E82" w:rsidP="00265E82">
      <w:pPr>
        <w:pStyle w:val="ListParagraph"/>
        <w:numPr>
          <w:ilvl w:val="0"/>
          <w:numId w:val="65"/>
        </w:numPr>
        <w:spacing w:before="120" w:after="0" w:line="240" w:lineRule="auto"/>
        <w:contextualSpacing w:val="0"/>
        <w:rPr>
          <w:lang w:eastAsia="ja-JP"/>
        </w:rPr>
      </w:pPr>
      <w:r w:rsidRPr="00A07F29">
        <w:rPr>
          <w:lang w:eastAsia="ja-JP"/>
        </w:rPr>
        <w:t>pasākumi, kas mazina ūdeņu eitrofikāciju – barības vielu ienesi un upju un ezeru aizaugšanu (skat. B.1.1.</w:t>
      </w:r>
      <w:r w:rsidR="002A746D">
        <w:rPr>
          <w:lang w:eastAsia="ja-JP"/>
        </w:rPr>
        <w:t> – </w:t>
      </w:r>
      <w:r w:rsidRPr="00A07F29">
        <w:rPr>
          <w:lang w:eastAsia="ja-JP"/>
        </w:rPr>
        <w:t>B.1.12.</w:t>
      </w:r>
      <w:r w:rsidR="002A746D">
        <w:rPr>
          <w:lang w:eastAsia="ja-JP"/>
        </w:rPr>
        <w:t> </w:t>
      </w:r>
      <w:r w:rsidRPr="00A07F29">
        <w:rPr>
          <w:lang w:eastAsia="ja-JP"/>
        </w:rPr>
        <w:t>pasākumus);</w:t>
      </w:r>
    </w:p>
    <w:p w14:paraId="5D322586" w14:textId="1F5536EF" w:rsidR="00265E82" w:rsidRPr="00A07F29" w:rsidRDefault="00265E82" w:rsidP="00265E82">
      <w:pPr>
        <w:pStyle w:val="ListParagraph"/>
        <w:numPr>
          <w:ilvl w:val="0"/>
          <w:numId w:val="65"/>
        </w:numPr>
        <w:spacing w:before="120" w:after="0" w:line="240" w:lineRule="auto"/>
        <w:contextualSpacing w:val="0"/>
        <w:rPr>
          <w:lang w:eastAsia="ja-JP"/>
        </w:rPr>
      </w:pPr>
      <w:r w:rsidRPr="00A07F29">
        <w:rPr>
          <w:lang w:eastAsia="ja-JP"/>
        </w:rPr>
        <w:t>zālāju saglabāšana un atjaunošana (B.2.1.</w:t>
      </w:r>
      <w:r w:rsidR="00CB2AE5">
        <w:rPr>
          <w:lang w:eastAsia="ja-JP"/>
        </w:rPr>
        <w:t> – </w:t>
      </w:r>
      <w:r w:rsidRPr="00A07F29">
        <w:rPr>
          <w:lang w:eastAsia="ja-JP"/>
        </w:rPr>
        <w:t>B.2.3.</w:t>
      </w:r>
      <w:r w:rsidR="00CB2AE5">
        <w:rPr>
          <w:lang w:eastAsia="ja-JP"/>
        </w:rPr>
        <w:t> </w:t>
      </w:r>
      <w:r w:rsidRPr="00A07F29">
        <w:rPr>
          <w:lang w:eastAsia="ja-JP"/>
        </w:rPr>
        <w:t>pasākumi);</w:t>
      </w:r>
    </w:p>
    <w:p w14:paraId="67D66091" w14:textId="77777777" w:rsidR="00265E82" w:rsidRPr="00A07F29" w:rsidRDefault="00265E82" w:rsidP="00265E82">
      <w:pPr>
        <w:pStyle w:val="ListParagraph"/>
        <w:numPr>
          <w:ilvl w:val="0"/>
          <w:numId w:val="65"/>
        </w:numPr>
        <w:spacing w:before="120" w:after="0" w:line="240" w:lineRule="auto"/>
        <w:contextualSpacing w:val="0"/>
        <w:rPr>
          <w:lang w:eastAsia="ja-JP"/>
        </w:rPr>
      </w:pPr>
      <w:r w:rsidRPr="00A07F29">
        <w:rPr>
          <w:lang w:eastAsia="ja-JP"/>
        </w:rPr>
        <w:t>ilgtspējīga mežu apsaimniekošana, saglabājot to dabas vērtības, uzkrāto oglekli un oglekļa piesaisti;</w:t>
      </w:r>
    </w:p>
    <w:p w14:paraId="2643812E" w14:textId="77777777" w:rsidR="00265E82" w:rsidRPr="00A07F29" w:rsidRDefault="00265E82" w:rsidP="00265E82">
      <w:pPr>
        <w:pStyle w:val="ListParagraph"/>
        <w:numPr>
          <w:ilvl w:val="0"/>
          <w:numId w:val="65"/>
        </w:numPr>
        <w:spacing w:before="120" w:after="0" w:line="240" w:lineRule="auto"/>
        <w:contextualSpacing w:val="0"/>
        <w:rPr>
          <w:lang w:eastAsia="ja-JP"/>
        </w:rPr>
      </w:pPr>
      <w:r w:rsidRPr="00A07F29">
        <w:rPr>
          <w:lang w:eastAsia="ja-JP"/>
        </w:rPr>
        <w:t>purvu, mitrāju, dabisko palieņu saglabāšana;</w:t>
      </w:r>
    </w:p>
    <w:p w14:paraId="06BF87C6" w14:textId="23452DAB" w:rsidR="00265E82" w:rsidRPr="00A07F29" w:rsidRDefault="00265E82" w:rsidP="00265E82">
      <w:pPr>
        <w:pStyle w:val="ListParagraph"/>
        <w:numPr>
          <w:ilvl w:val="0"/>
          <w:numId w:val="65"/>
        </w:numPr>
        <w:spacing w:before="120" w:after="0" w:line="240" w:lineRule="auto"/>
        <w:contextualSpacing w:val="0"/>
        <w:rPr>
          <w:lang w:eastAsia="ja-JP"/>
        </w:rPr>
      </w:pPr>
      <w:r w:rsidRPr="00A07F29">
        <w:rPr>
          <w:lang w:eastAsia="ja-JP"/>
        </w:rPr>
        <w:t xml:space="preserve">plūdu (t.sk. lietusgāžu izraisītu) un erozijas draudu mazināšanas pasākumi apdzīvotām vietām un infrastruktūrai, prioritāri saglabājot dabiskās palienes un izvēloties zaļās infrastruktūras risinājumus (piemēram, dabiskā caurplūduma </w:t>
      </w:r>
      <w:r w:rsidRPr="00A07F29">
        <w:rPr>
          <w:lang w:eastAsia="ja-JP"/>
        </w:rPr>
        <w:lastRenderedPageBreak/>
        <w:t>uzturēšana upēs, izvācot bebru dambjus un koku sagāzumus; grāvju, ieleju un cita veida ūdens rezervuāru veidošana stipru nokrišņu gadījumiem, kurus var funkcionāli izmantot arī pārējā laikā; mitrāju veidošana apdzīvotu vietu teritorijās; infiltrācijas kastes un infiltrācijas notekas, infiltrācijas joslas u</w:t>
      </w:r>
      <w:r w:rsidR="00623F41">
        <w:rPr>
          <w:lang w:eastAsia="ja-JP"/>
        </w:rPr>
        <w:t>.</w:t>
      </w:r>
      <w:r w:rsidRPr="00A07F29">
        <w:rPr>
          <w:lang w:eastAsia="ja-JP"/>
        </w:rPr>
        <w:t>tml.); projekti, kas ietver krastu stiprinājumu, dambju un uzbērumu veidošanu</w:t>
      </w:r>
      <w:r w:rsidR="00632E2F">
        <w:rPr>
          <w:lang w:eastAsia="ja-JP"/>
        </w:rPr>
        <w:t>,</w:t>
      </w:r>
      <w:r w:rsidRPr="00A07F29">
        <w:rPr>
          <w:lang w:eastAsia="ja-JP"/>
        </w:rPr>
        <w:t xml:space="preserve"> izstrādājami, ņemot vērā sugu un biotopu jomā sertificētu ekspertu, kā arī hidroloģijas un ģeoloģijas ekspertu rekomendācijas, lai izvērtētu un pēc iespējas novērstu vai mazinātu negatīvo ietekmi uz vidi;</w:t>
      </w:r>
    </w:p>
    <w:p w14:paraId="7CC86408" w14:textId="2FF5BAD6" w:rsidR="00265E82" w:rsidRPr="00A07F29" w:rsidRDefault="00265E82" w:rsidP="00265E82">
      <w:pPr>
        <w:pStyle w:val="ListParagraph"/>
        <w:numPr>
          <w:ilvl w:val="0"/>
          <w:numId w:val="65"/>
        </w:numPr>
        <w:spacing w:before="120" w:after="0" w:line="240" w:lineRule="auto"/>
        <w:contextualSpacing w:val="0"/>
        <w:rPr>
          <w:lang w:eastAsia="ja-JP"/>
        </w:rPr>
      </w:pPr>
      <w:r w:rsidRPr="00A07F29">
        <w:rPr>
          <w:lang w:eastAsia="ja-JP"/>
        </w:rPr>
        <w:t xml:space="preserve">ekosistēmu noturības un mikroklimata uzlabošanas pasākumi (piemēram, zaļo koridoru saglabāšana un veidošana, samazinot dabisko un </w:t>
      </w:r>
      <w:proofErr w:type="spellStart"/>
      <w:r w:rsidRPr="00A07F29">
        <w:rPr>
          <w:lang w:eastAsia="ja-JP"/>
        </w:rPr>
        <w:t>pusdabisko</w:t>
      </w:r>
      <w:proofErr w:type="spellEnd"/>
      <w:r w:rsidRPr="00A07F29">
        <w:rPr>
          <w:lang w:eastAsia="ja-JP"/>
        </w:rPr>
        <w:t xml:space="preserve"> teritoriju fragmentāciju un izolāciju, apzaļumotas ielu malas, apstādījumi, kas rada noēnojumu u</w:t>
      </w:r>
      <w:r w:rsidR="00623F41">
        <w:rPr>
          <w:lang w:eastAsia="ja-JP"/>
        </w:rPr>
        <w:t>.</w:t>
      </w:r>
      <w:r w:rsidRPr="00A07F29">
        <w:rPr>
          <w:lang w:eastAsia="ja-JP"/>
        </w:rPr>
        <w:t>tml.);</w:t>
      </w:r>
    </w:p>
    <w:p w14:paraId="2EB29472" w14:textId="010D62B0" w:rsidR="00265E82" w:rsidRPr="00A07F29" w:rsidRDefault="00265E82" w:rsidP="00265E82">
      <w:pPr>
        <w:pStyle w:val="ListParagraph"/>
        <w:numPr>
          <w:ilvl w:val="0"/>
          <w:numId w:val="65"/>
        </w:numPr>
        <w:spacing w:before="120" w:after="0" w:line="240" w:lineRule="auto"/>
        <w:contextualSpacing w:val="0"/>
        <w:rPr>
          <w:lang w:eastAsia="ja-JP"/>
        </w:rPr>
      </w:pPr>
      <w:r w:rsidRPr="00A07F29">
        <w:rPr>
          <w:lang w:eastAsia="ja-JP"/>
        </w:rPr>
        <w:t>ugunsdrošības pasākumu īstenošana mežos (piemēram, mineralizēto joslu ierīkošana un uzturēšana, ūdens ņemšanas vietu ierīkošana (saņemot sugu un biotopu jomā sertificēta eksperta atzinumu, lai novērstu ES nozīmes biotopu iznīcināšanu), stigu un dabisko brauktuvju uzturēšana u</w:t>
      </w:r>
      <w:r w:rsidR="00623F41">
        <w:rPr>
          <w:lang w:eastAsia="ja-JP"/>
        </w:rPr>
        <w:t>.</w:t>
      </w:r>
      <w:r w:rsidRPr="00A07F29">
        <w:rPr>
          <w:lang w:eastAsia="ja-JP"/>
        </w:rPr>
        <w:t>tml.);</w:t>
      </w:r>
    </w:p>
    <w:p w14:paraId="13F5B7E7" w14:textId="7C7C22AB" w:rsidR="00265E82" w:rsidRPr="00A07F29" w:rsidRDefault="00265E82" w:rsidP="00265E82">
      <w:pPr>
        <w:pStyle w:val="ListParagraph"/>
        <w:numPr>
          <w:ilvl w:val="0"/>
          <w:numId w:val="65"/>
        </w:numPr>
        <w:spacing w:before="120" w:after="0" w:line="240" w:lineRule="auto"/>
        <w:contextualSpacing w:val="0"/>
        <w:rPr>
          <w:lang w:eastAsia="ja-JP"/>
        </w:rPr>
      </w:pPr>
      <w:r w:rsidRPr="00A07F29">
        <w:rPr>
          <w:lang w:eastAsia="ja-JP"/>
        </w:rPr>
        <w:t>gājēju un velo infrastruktūras attīstība (tostarp D.5.</w:t>
      </w:r>
      <w:r w:rsidR="00211366">
        <w:rPr>
          <w:lang w:eastAsia="ja-JP"/>
        </w:rPr>
        <w:t> </w:t>
      </w:r>
      <w:r w:rsidRPr="00A07F29">
        <w:rPr>
          <w:lang w:eastAsia="ja-JP"/>
        </w:rPr>
        <w:t xml:space="preserve">pasākumi), </w:t>
      </w:r>
      <w:proofErr w:type="spellStart"/>
      <w:r w:rsidRPr="00A07F29">
        <w:rPr>
          <w:lang w:eastAsia="ja-JP"/>
        </w:rPr>
        <w:t>elektroauto</w:t>
      </w:r>
      <w:proofErr w:type="spellEnd"/>
      <w:r w:rsidRPr="00A07F29">
        <w:rPr>
          <w:lang w:eastAsia="ja-JP"/>
        </w:rPr>
        <w:t xml:space="preserve"> infrastruktūras attīstība un uzlādes punktu ierīkošana, lai veicinātu iedzīvotāju videi draudzīgu pārvietošanos;</w:t>
      </w:r>
    </w:p>
    <w:p w14:paraId="549CCE44" w14:textId="61F841E8" w:rsidR="00265E82" w:rsidRPr="00A07F29" w:rsidRDefault="00265E82" w:rsidP="00265E82">
      <w:pPr>
        <w:pStyle w:val="ListParagraph"/>
        <w:numPr>
          <w:ilvl w:val="0"/>
          <w:numId w:val="65"/>
        </w:numPr>
        <w:spacing w:before="120" w:after="0" w:line="240" w:lineRule="auto"/>
        <w:contextualSpacing w:val="0"/>
        <w:rPr>
          <w:lang w:eastAsia="ja-JP"/>
        </w:rPr>
      </w:pPr>
      <w:r w:rsidRPr="00A07F29">
        <w:rPr>
          <w:lang w:eastAsia="ja-JP"/>
        </w:rPr>
        <w:t>saules un vēja enerģijas izmantošanas veicināšana (prioritāri – mājsaimniecību un uzņēmumu pašapgādei), ņemot vērā DA plānā iekļautos nosacījumus ietekmes uz ainavu mazināšanai, kā arī</w:t>
      </w:r>
      <w:r w:rsidR="00D92F43">
        <w:rPr>
          <w:lang w:eastAsia="ja-JP"/>
        </w:rPr>
        <w:t>,</w:t>
      </w:r>
      <w:r w:rsidRPr="00A07F29">
        <w:rPr>
          <w:lang w:eastAsia="ja-JP"/>
        </w:rPr>
        <w:t xml:space="preserve"> izvērtējot un pēc iespējas mazinot ietekmi uz sikspārņu sugām un novēršot ES nozīmes biotopu iznīcināšanu;</w:t>
      </w:r>
    </w:p>
    <w:p w14:paraId="1EA1ED22" w14:textId="77777777" w:rsidR="00265E82" w:rsidRPr="00A07F29" w:rsidRDefault="00265E82" w:rsidP="00265E82">
      <w:pPr>
        <w:pStyle w:val="ListParagraph"/>
        <w:numPr>
          <w:ilvl w:val="0"/>
          <w:numId w:val="65"/>
        </w:numPr>
        <w:spacing w:before="120" w:after="0" w:line="240" w:lineRule="auto"/>
        <w:contextualSpacing w:val="0"/>
        <w:rPr>
          <w:lang w:eastAsia="ja-JP"/>
        </w:rPr>
      </w:pPr>
      <w:r w:rsidRPr="00A07F29">
        <w:rPr>
          <w:lang w:eastAsia="ja-JP"/>
        </w:rPr>
        <w:t>informatīvi pasākumi mežu, purvu un kūlas ugunsgrēku mazināšanai (informācijas izvietošana vidē, pasākumi sabiedrības izglītošanai).</w:t>
      </w:r>
    </w:p>
    <w:p w14:paraId="40B4042C" w14:textId="77777777" w:rsidR="00265E82" w:rsidRPr="00A07F29" w:rsidRDefault="00265E82" w:rsidP="00265E82">
      <w:pPr>
        <w:keepNext/>
        <w:spacing w:after="0" w:line="240" w:lineRule="auto"/>
        <w:jc w:val="both"/>
        <w:rPr>
          <w:rFonts w:ascii="Times New Roman" w:eastAsia="Calibri" w:hAnsi="Times New Roman" w:cs="Calibri"/>
          <w:caps/>
          <w:sz w:val="24"/>
          <w:lang w:eastAsia="ja-JP"/>
        </w:rPr>
      </w:pPr>
    </w:p>
    <w:p w14:paraId="42D0660A" w14:textId="2D0C01F6" w:rsidR="00A21E83" w:rsidRPr="00A07F29" w:rsidRDefault="00A21E83" w:rsidP="007B2AA2">
      <w:pPr>
        <w:keepNext/>
        <w:spacing w:before="240" w:after="0" w:line="240" w:lineRule="auto"/>
        <w:jc w:val="both"/>
        <w:rPr>
          <w:rFonts w:ascii="Times New Roman" w:eastAsia="Calibri" w:hAnsi="Times New Roman" w:cs="Calibri"/>
          <w:caps/>
          <w:sz w:val="24"/>
          <w:lang w:eastAsia="ja-JP"/>
        </w:rPr>
      </w:pPr>
      <w:r w:rsidRPr="00A07F29">
        <w:rPr>
          <w:rFonts w:ascii="Times New Roman" w:eastAsia="Calibri" w:hAnsi="Times New Roman" w:cs="Calibri"/>
          <w:caps/>
          <w:sz w:val="24"/>
          <w:lang w:eastAsia="ja-JP"/>
        </w:rPr>
        <w:t>C. Izglītojošie un informējošie pasākumi</w:t>
      </w:r>
    </w:p>
    <w:p w14:paraId="67D4B53E" w14:textId="0C3BE29E" w:rsidR="00986A25" w:rsidRPr="00A07F29" w:rsidRDefault="00986A25" w:rsidP="007B2AA2">
      <w:pPr>
        <w:keepNext/>
        <w:spacing w:before="120" w:after="120" w:line="240" w:lineRule="auto"/>
        <w:jc w:val="both"/>
        <w:rPr>
          <w:rFonts w:ascii="Times New Roman" w:eastAsia="Calibri" w:hAnsi="Times New Roman" w:cs="Calibri"/>
          <w:b/>
          <w:bCs/>
          <w:iCs/>
          <w:sz w:val="24"/>
          <w:lang w:eastAsia="ja-JP"/>
        </w:rPr>
      </w:pPr>
      <w:r w:rsidRPr="00A07F29">
        <w:rPr>
          <w:rFonts w:ascii="Times New Roman" w:eastAsia="Calibri" w:hAnsi="Times New Roman" w:cs="Calibri"/>
          <w:b/>
          <w:bCs/>
          <w:iCs/>
          <w:sz w:val="24"/>
          <w:lang w:eastAsia="ja-JP"/>
        </w:rPr>
        <w:t xml:space="preserve">C.1. </w:t>
      </w:r>
      <w:r w:rsidR="00377422" w:rsidRPr="00A07F29">
        <w:rPr>
          <w:rFonts w:ascii="Times New Roman" w:eastAsia="Calibri" w:hAnsi="Times New Roman" w:cs="Calibri"/>
          <w:b/>
          <w:bCs/>
          <w:iCs/>
          <w:sz w:val="24"/>
          <w:lang w:eastAsia="ja-JP"/>
        </w:rPr>
        <w:t>Atjaunot, izvietot un uzturēt informācijas stendus un norādes</w:t>
      </w:r>
    </w:p>
    <w:p w14:paraId="0BFD269E" w14:textId="6D82281C" w:rsidR="006419C1" w:rsidRPr="00A07F29" w:rsidRDefault="006419C1" w:rsidP="007B2AA2">
      <w:pPr>
        <w:spacing w:after="120" w:line="256"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Informācijas stendus izgatavo </w:t>
      </w:r>
      <w:r w:rsidR="00B03CF0" w:rsidRPr="00A07F29">
        <w:rPr>
          <w:rFonts w:ascii="Times New Roman" w:eastAsia="Calibri" w:hAnsi="Times New Roman" w:cs="Times New Roman"/>
          <w:sz w:val="24"/>
          <w:szCs w:val="24"/>
        </w:rPr>
        <w:t>atbilstoši</w:t>
      </w:r>
      <w:r w:rsidRPr="00A07F29">
        <w:rPr>
          <w:rFonts w:ascii="Times New Roman" w:eastAsia="Calibri" w:hAnsi="Times New Roman" w:cs="Times New Roman"/>
          <w:sz w:val="24"/>
          <w:szCs w:val="24"/>
        </w:rPr>
        <w:t xml:space="preserve"> </w:t>
      </w:r>
      <w:r w:rsidR="00B03CF0" w:rsidRPr="00A07F29">
        <w:rPr>
          <w:rFonts w:ascii="Times New Roman" w:eastAsia="Calibri" w:hAnsi="Times New Roman" w:cs="Times New Roman"/>
          <w:sz w:val="24"/>
          <w:szCs w:val="24"/>
        </w:rPr>
        <w:t>“</w:t>
      </w:r>
      <w:r w:rsidRPr="00A07F29">
        <w:rPr>
          <w:rFonts w:ascii="Times New Roman" w:eastAsia="Calibri" w:hAnsi="Times New Roman" w:cs="Times New Roman"/>
          <w:sz w:val="24"/>
          <w:szCs w:val="24"/>
        </w:rPr>
        <w:t>Īpaši aizsargājamo dabas teritoriju vienotā stila</w:t>
      </w:r>
      <w:r w:rsidR="00B03CF0" w:rsidRPr="00A07F29">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w:t>
      </w:r>
      <w:r w:rsidR="00B03CF0" w:rsidRPr="00A07F29">
        <w:rPr>
          <w:rFonts w:ascii="Times New Roman" w:eastAsia="Calibri" w:hAnsi="Times New Roman" w:cs="Times New Roman"/>
          <w:sz w:val="24"/>
          <w:szCs w:val="24"/>
        </w:rPr>
        <w:t>ieteikumiem, stenda izmēru un formu izvēloties atbilstoši izvietojamās informācijas apjomam</w:t>
      </w:r>
      <w:r w:rsidR="00083E15">
        <w:rPr>
          <w:rStyle w:val="FootnoteReference"/>
          <w:rFonts w:ascii="Times New Roman" w:eastAsia="Calibri" w:hAnsi="Times New Roman" w:cs="Times New Roman"/>
          <w:sz w:val="24"/>
          <w:szCs w:val="24"/>
        </w:rPr>
        <w:footnoteReference w:id="56"/>
      </w:r>
      <w:r w:rsidRPr="00A07F29">
        <w:rPr>
          <w:rFonts w:ascii="Times New Roman" w:eastAsia="Calibri" w:hAnsi="Times New Roman" w:cs="Times New Roman"/>
          <w:sz w:val="24"/>
          <w:szCs w:val="24"/>
        </w:rPr>
        <w:t>.</w:t>
      </w:r>
    </w:p>
    <w:p w14:paraId="6F369E5E" w14:textId="30055CF0" w:rsidR="004A7A83" w:rsidRPr="00A07F29" w:rsidRDefault="004A7A83" w:rsidP="007B2AA2">
      <w:pPr>
        <w:spacing w:after="120" w:line="256"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Esošo un plānoto informācijas stendu </w:t>
      </w:r>
      <w:r w:rsidR="00FA4AA4" w:rsidRPr="00A07F29">
        <w:rPr>
          <w:rFonts w:ascii="Times New Roman" w:eastAsia="Calibri" w:hAnsi="Times New Roman" w:cs="Times New Roman"/>
          <w:sz w:val="24"/>
          <w:szCs w:val="24"/>
        </w:rPr>
        <w:t xml:space="preserve">un ceļa norāžu </w:t>
      </w:r>
      <w:r w:rsidRPr="00A07F29">
        <w:rPr>
          <w:rFonts w:ascii="Times New Roman" w:eastAsia="Calibri" w:hAnsi="Times New Roman" w:cs="Times New Roman"/>
          <w:sz w:val="24"/>
          <w:szCs w:val="24"/>
        </w:rPr>
        <w:t xml:space="preserve">izvietojums redzams </w:t>
      </w:r>
      <w:r w:rsidR="00F35B98" w:rsidRPr="00A07F29">
        <w:rPr>
          <w:rFonts w:ascii="Times New Roman" w:eastAsia="Calibri" w:hAnsi="Times New Roman" w:cs="Times New Roman"/>
          <w:sz w:val="24"/>
          <w:szCs w:val="24"/>
        </w:rPr>
        <w:t>5.1.2.</w:t>
      </w:r>
      <w:r w:rsidR="005B6B9F">
        <w:rPr>
          <w:rFonts w:ascii="Times New Roman" w:eastAsia="Calibri" w:hAnsi="Times New Roman" w:cs="Times New Roman"/>
          <w:sz w:val="24"/>
          <w:szCs w:val="24"/>
        </w:rPr>
        <w:t xml:space="preserve"> un 5.1.2a.</w:t>
      </w:r>
      <w:r w:rsidR="00F35B98" w:rsidRPr="00A07F29">
        <w:rPr>
          <w:rFonts w:ascii="Times New Roman" w:eastAsia="Calibri" w:hAnsi="Times New Roman" w:cs="Times New Roman"/>
          <w:sz w:val="24"/>
          <w:szCs w:val="24"/>
        </w:rPr>
        <w:t> </w:t>
      </w:r>
      <w:r w:rsidRPr="00A07F29">
        <w:rPr>
          <w:rFonts w:ascii="Times New Roman" w:eastAsia="Calibri" w:hAnsi="Times New Roman" w:cs="Times New Roman"/>
          <w:sz w:val="24"/>
          <w:szCs w:val="24"/>
        </w:rPr>
        <w:t>pielikumā</w:t>
      </w:r>
      <w:r w:rsidR="007801F5" w:rsidRPr="00A07F29">
        <w:rPr>
          <w:rFonts w:ascii="Times New Roman" w:eastAsia="Calibri" w:hAnsi="Times New Roman" w:cs="Times New Roman"/>
          <w:sz w:val="24"/>
          <w:szCs w:val="24"/>
        </w:rPr>
        <w:t xml:space="preserve"> (izvietojot plānotos informācijas stendus</w:t>
      </w:r>
      <w:r w:rsidR="00FE10AA" w:rsidRPr="00A07F29">
        <w:rPr>
          <w:rFonts w:ascii="Times New Roman" w:eastAsia="Calibri" w:hAnsi="Times New Roman" w:cs="Times New Roman"/>
          <w:sz w:val="24"/>
          <w:szCs w:val="24"/>
        </w:rPr>
        <w:t xml:space="preserve"> un norādes</w:t>
      </w:r>
      <w:r w:rsidR="007801F5" w:rsidRPr="00A07F29">
        <w:rPr>
          <w:rFonts w:ascii="Times New Roman" w:eastAsia="Calibri" w:hAnsi="Times New Roman" w:cs="Times New Roman"/>
          <w:sz w:val="24"/>
          <w:szCs w:val="24"/>
        </w:rPr>
        <w:t>, vietu iespējams precizēt atbilstoši situācijai dabā)</w:t>
      </w:r>
      <w:r w:rsidRPr="00A07F29">
        <w:rPr>
          <w:rFonts w:ascii="Times New Roman" w:eastAsia="Calibri" w:hAnsi="Times New Roman" w:cs="Times New Roman"/>
          <w:sz w:val="24"/>
          <w:szCs w:val="24"/>
        </w:rPr>
        <w:t>.</w:t>
      </w:r>
    </w:p>
    <w:p w14:paraId="25EA7DA2" w14:textId="647F441B" w:rsidR="00F47916" w:rsidRPr="00A07F29" w:rsidRDefault="00F47916" w:rsidP="007B5727">
      <w:pPr>
        <w:keepNext/>
        <w:spacing w:before="240" w:after="120" w:line="240" w:lineRule="auto"/>
        <w:jc w:val="both"/>
        <w:rPr>
          <w:rFonts w:ascii="Times New Roman" w:eastAsia="Calibri" w:hAnsi="Times New Roman" w:cs="Calibri"/>
          <w:b/>
          <w:bCs/>
          <w:i/>
          <w:sz w:val="24"/>
          <w:lang w:eastAsia="ja-JP"/>
        </w:rPr>
      </w:pPr>
      <w:r w:rsidRPr="00A07F29">
        <w:rPr>
          <w:rFonts w:ascii="Times New Roman" w:eastAsia="Calibri" w:hAnsi="Times New Roman" w:cs="Calibri"/>
          <w:b/>
          <w:bCs/>
          <w:i/>
          <w:sz w:val="24"/>
          <w:lang w:eastAsia="ja-JP"/>
        </w:rPr>
        <w:t>C.1.1. Informatīvs stends par kaiju kolonijās ligzdojošajām sugām</w:t>
      </w:r>
    </w:p>
    <w:p w14:paraId="42A815A6" w14:textId="4200C38E" w:rsidR="009C6A27" w:rsidRPr="00A07F29" w:rsidRDefault="009C6A27" w:rsidP="00F03257">
      <w:pPr>
        <w:spacing w:after="120" w:line="240" w:lineRule="auto"/>
        <w:ind w:firstLine="851"/>
        <w:jc w:val="both"/>
        <w:rPr>
          <w:rFonts w:ascii="Times New Roman" w:eastAsia="Calibri" w:hAnsi="Times New Roman" w:cs="Calibri"/>
          <w:bCs/>
          <w:sz w:val="24"/>
          <w:lang w:eastAsia="ja-JP"/>
        </w:rPr>
      </w:pPr>
      <w:r w:rsidRPr="00A07F29">
        <w:rPr>
          <w:rFonts w:ascii="Times New Roman" w:eastAsia="Calibri" w:hAnsi="Times New Roman" w:cs="Calibri"/>
          <w:bCs/>
          <w:sz w:val="24"/>
          <w:lang w:eastAsia="ja-JP"/>
        </w:rPr>
        <w:t>Iepretī kaiju apdzīvotajām salām Krāslavas pilsētas teritorijā rekomendējams izvietot informatīvu stendu par kaiju kolonijās ligzdojošajām sugām.</w:t>
      </w:r>
    </w:p>
    <w:p w14:paraId="2731B813" w14:textId="2713E1C6" w:rsidR="00F31303" w:rsidRPr="00A07F29" w:rsidRDefault="007B2AA2" w:rsidP="007B2AA2">
      <w:pPr>
        <w:spacing w:before="120" w:after="0" w:line="240" w:lineRule="auto"/>
        <w:jc w:val="center"/>
        <w:rPr>
          <w:rFonts w:ascii="Times New Roman" w:eastAsia="Calibri" w:hAnsi="Times New Roman" w:cs="Calibri"/>
          <w:bCs/>
          <w:sz w:val="24"/>
          <w:lang w:eastAsia="ja-JP"/>
        </w:rPr>
      </w:pPr>
      <w:r w:rsidRPr="00A07F29">
        <w:rPr>
          <w:noProof/>
          <w:lang w:eastAsia="lv-LV"/>
        </w:rPr>
        <w:lastRenderedPageBreak/>
        <w:drawing>
          <wp:inline distT="0" distB="0" distL="0" distR="0" wp14:anchorId="151E5A48" wp14:editId="2F4DF4A7">
            <wp:extent cx="5760084" cy="4072890"/>
            <wp:effectExtent l="0" t="0" r="0" b="3810"/>
            <wp:docPr id="918145568" name="Picture 918145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8145568"/>
                    <pic:cNvPicPr/>
                  </pic:nvPicPr>
                  <pic:blipFill>
                    <a:blip r:embed="rId114">
                      <a:extLst>
                        <a:ext uri="{28A0092B-C50C-407E-A947-70E740481C1C}">
                          <a14:useLocalDpi xmlns:a14="http://schemas.microsoft.com/office/drawing/2010/main" val="0"/>
                        </a:ext>
                      </a:extLst>
                    </a:blip>
                    <a:stretch>
                      <a:fillRect/>
                    </a:stretch>
                  </pic:blipFill>
                  <pic:spPr>
                    <a:xfrm>
                      <a:off x="0" y="0"/>
                      <a:ext cx="5760084" cy="4072890"/>
                    </a:xfrm>
                    <a:prstGeom prst="rect">
                      <a:avLst/>
                    </a:prstGeom>
                  </pic:spPr>
                </pic:pic>
              </a:graphicData>
            </a:graphic>
          </wp:inline>
        </w:drawing>
      </w:r>
    </w:p>
    <w:p w14:paraId="4BEEF79A" w14:textId="6C695A28" w:rsidR="00F31303" w:rsidRPr="00A75AFF" w:rsidRDefault="00F31303" w:rsidP="009C6A27">
      <w:pPr>
        <w:spacing w:before="120" w:after="0" w:line="240" w:lineRule="auto"/>
        <w:jc w:val="both"/>
        <w:rPr>
          <w:rFonts w:ascii="Times New Roman" w:eastAsia="Calibri" w:hAnsi="Times New Roman" w:cs="Calibri"/>
          <w:bCs/>
          <w:sz w:val="24"/>
          <w:u w:val="single"/>
          <w:lang w:eastAsia="ja-JP"/>
        </w:rPr>
      </w:pPr>
      <w:r w:rsidRPr="00A75AFF">
        <w:rPr>
          <w:rFonts w:ascii="Times New Roman" w:eastAsia="Calibri" w:hAnsi="Times New Roman" w:cs="Calibri"/>
          <w:bCs/>
          <w:sz w:val="20"/>
          <w:szCs w:val="20"/>
          <w:lang w:eastAsia="ja-JP"/>
        </w:rPr>
        <w:t>5.3.</w:t>
      </w:r>
      <w:r w:rsidR="00F35B98" w:rsidRPr="00A75AFF">
        <w:rPr>
          <w:rFonts w:ascii="Times New Roman" w:eastAsia="Calibri" w:hAnsi="Times New Roman" w:cs="Calibri"/>
          <w:bCs/>
          <w:sz w:val="20"/>
          <w:szCs w:val="20"/>
          <w:lang w:eastAsia="ja-JP"/>
        </w:rPr>
        <w:t>1</w:t>
      </w:r>
      <w:r w:rsidR="002B36B7" w:rsidRPr="00A75AFF">
        <w:rPr>
          <w:rFonts w:ascii="Times New Roman" w:eastAsia="Calibri" w:hAnsi="Times New Roman" w:cs="Calibri"/>
          <w:bCs/>
          <w:sz w:val="20"/>
          <w:szCs w:val="20"/>
          <w:lang w:eastAsia="ja-JP"/>
        </w:rPr>
        <w:t>6</w:t>
      </w:r>
      <w:r w:rsidRPr="00A75AFF">
        <w:rPr>
          <w:rFonts w:ascii="Times New Roman" w:eastAsia="Calibri" w:hAnsi="Times New Roman" w:cs="Calibri"/>
          <w:bCs/>
          <w:sz w:val="20"/>
          <w:szCs w:val="20"/>
          <w:lang w:eastAsia="ja-JP"/>
        </w:rPr>
        <w:t>.</w:t>
      </w:r>
      <w:r w:rsidR="00A75AFF" w:rsidRPr="00A75AFF">
        <w:rPr>
          <w:rFonts w:ascii="Times New Roman" w:eastAsia="Calibri" w:hAnsi="Times New Roman" w:cs="Calibri"/>
          <w:bCs/>
          <w:sz w:val="20"/>
          <w:szCs w:val="20"/>
          <w:lang w:eastAsia="ja-JP"/>
        </w:rPr>
        <w:t> </w:t>
      </w:r>
      <w:r w:rsidRPr="00A75AFF">
        <w:rPr>
          <w:rFonts w:ascii="Times New Roman" w:eastAsia="Calibri" w:hAnsi="Times New Roman" w:cs="Calibri"/>
          <w:bCs/>
          <w:sz w:val="20"/>
          <w:szCs w:val="20"/>
          <w:lang w:eastAsia="ja-JP"/>
        </w:rPr>
        <w:t xml:space="preserve">attēls. </w:t>
      </w:r>
      <w:r w:rsidR="007B2AA2" w:rsidRPr="00A75AFF">
        <w:rPr>
          <w:rFonts w:ascii="Times New Roman" w:eastAsia="Calibri" w:hAnsi="Times New Roman" w:cs="Calibri"/>
          <w:bCs/>
          <w:sz w:val="20"/>
          <w:szCs w:val="20"/>
          <w:lang w:eastAsia="ja-JP"/>
        </w:rPr>
        <w:t xml:space="preserve">Informatīvais stends </w:t>
      </w:r>
      <w:r w:rsidRPr="00A75AFF">
        <w:rPr>
          <w:rFonts w:ascii="Times New Roman" w:eastAsia="Calibri" w:hAnsi="Times New Roman" w:cs="Calibri"/>
          <w:bCs/>
          <w:sz w:val="20"/>
          <w:szCs w:val="20"/>
          <w:lang w:eastAsia="ja-JP"/>
        </w:rPr>
        <w:t>par kaiju kolonijās ligzdojošajām sugām</w:t>
      </w:r>
      <w:r w:rsidR="00A75AFF">
        <w:rPr>
          <w:rFonts w:ascii="Times New Roman" w:eastAsia="Calibri" w:hAnsi="Times New Roman" w:cs="Calibri"/>
          <w:bCs/>
          <w:sz w:val="24"/>
          <w:u w:val="single"/>
          <w:lang w:eastAsia="ja-JP"/>
        </w:rPr>
        <w:t>.</w:t>
      </w:r>
      <w:r w:rsidRPr="00A75AFF">
        <w:rPr>
          <w:rFonts w:ascii="Times New Roman" w:eastAsia="Calibri" w:hAnsi="Times New Roman" w:cs="Calibri"/>
          <w:bCs/>
          <w:sz w:val="24"/>
          <w:u w:val="single"/>
          <w:lang w:eastAsia="ja-JP"/>
        </w:rPr>
        <w:t xml:space="preserve"> </w:t>
      </w:r>
    </w:p>
    <w:p w14:paraId="05D49E24" w14:textId="77777777" w:rsidR="00F47916" w:rsidRPr="00A07F29" w:rsidRDefault="00F47916" w:rsidP="00F47916">
      <w:pPr>
        <w:spacing w:after="120" w:line="240" w:lineRule="auto"/>
        <w:jc w:val="both"/>
        <w:rPr>
          <w:rFonts w:ascii="Times New Roman" w:eastAsia="Calibri" w:hAnsi="Times New Roman" w:cs="Calibri"/>
          <w:bCs/>
          <w:sz w:val="24"/>
          <w:u w:val="single"/>
          <w:lang w:eastAsia="ja-JP"/>
        </w:rPr>
      </w:pPr>
    </w:p>
    <w:p w14:paraId="03E1B325" w14:textId="325AE552" w:rsidR="003A07BF" w:rsidRPr="00A07F29" w:rsidRDefault="00F47916" w:rsidP="003550DD">
      <w:pPr>
        <w:keepNext/>
        <w:spacing w:after="120" w:line="240" w:lineRule="auto"/>
        <w:jc w:val="both"/>
        <w:rPr>
          <w:rFonts w:ascii="Times New Roman" w:eastAsia="Calibri" w:hAnsi="Times New Roman" w:cs="Calibri"/>
          <w:b/>
          <w:bCs/>
          <w:i/>
          <w:sz w:val="24"/>
          <w:lang w:eastAsia="ja-JP"/>
        </w:rPr>
      </w:pPr>
      <w:r w:rsidRPr="00A07F29">
        <w:rPr>
          <w:rFonts w:ascii="Times New Roman" w:eastAsia="Calibri" w:hAnsi="Times New Roman" w:cs="Calibri"/>
          <w:b/>
          <w:bCs/>
          <w:i/>
          <w:sz w:val="24"/>
          <w:lang w:eastAsia="ja-JP"/>
        </w:rPr>
        <w:t xml:space="preserve">C.1.2. </w:t>
      </w:r>
      <w:r w:rsidR="00972AC9" w:rsidRPr="00A07F29">
        <w:rPr>
          <w:rFonts w:ascii="Times New Roman" w:eastAsia="Calibri" w:hAnsi="Times New Roman" w:cs="Calibri"/>
          <w:b/>
          <w:bCs/>
          <w:i/>
          <w:sz w:val="24"/>
          <w:lang w:eastAsia="ja-JP"/>
        </w:rPr>
        <w:t xml:space="preserve">Informatīvo stendu un norāžu izvietošana </w:t>
      </w:r>
      <w:r w:rsidR="003A07BF" w:rsidRPr="00A07F29">
        <w:rPr>
          <w:rFonts w:ascii="Times New Roman" w:eastAsia="Calibri" w:hAnsi="Times New Roman" w:cs="Calibri"/>
          <w:b/>
          <w:bCs/>
          <w:i/>
          <w:sz w:val="24"/>
          <w:lang w:eastAsia="ja-JP"/>
        </w:rPr>
        <w:t>pie ģeoloģisk</w:t>
      </w:r>
      <w:r w:rsidRPr="00A07F29">
        <w:rPr>
          <w:rFonts w:ascii="Times New Roman" w:eastAsia="Calibri" w:hAnsi="Times New Roman" w:cs="Calibri"/>
          <w:b/>
          <w:bCs/>
          <w:i/>
          <w:sz w:val="24"/>
          <w:lang w:eastAsia="ja-JP"/>
        </w:rPr>
        <w:t>aj</w:t>
      </w:r>
      <w:r w:rsidR="003A07BF" w:rsidRPr="00A07F29">
        <w:rPr>
          <w:rFonts w:ascii="Times New Roman" w:eastAsia="Calibri" w:hAnsi="Times New Roman" w:cs="Calibri"/>
          <w:b/>
          <w:bCs/>
          <w:i/>
          <w:sz w:val="24"/>
          <w:lang w:eastAsia="ja-JP"/>
        </w:rPr>
        <w:t xml:space="preserve">iem un </w:t>
      </w:r>
      <w:proofErr w:type="spellStart"/>
      <w:r w:rsidR="003A07BF" w:rsidRPr="00A07F29">
        <w:rPr>
          <w:rFonts w:ascii="Times New Roman" w:eastAsia="Calibri" w:hAnsi="Times New Roman" w:cs="Calibri"/>
          <w:b/>
          <w:bCs/>
          <w:i/>
          <w:sz w:val="24"/>
          <w:lang w:eastAsia="ja-JP"/>
        </w:rPr>
        <w:t>ģeomorfoloģisk</w:t>
      </w:r>
      <w:r w:rsidRPr="00A07F29">
        <w:rPr>
          <w:rFonts w:ascii="Times New Roman" w:eastAsia="Calibri" w:hAnsi="Times New Roman" w:cs="Calibri"/>
          <w:b/>
          <w:bCs/>
          <w:i/>
          <w:sz w:val="24"/>
          <w:lang w:eastAsia="ja-JP"/>
        </w:rPr>
        <w:t>aj</w:t>
      </w:r>
      <w:r w:rsidR="003A07BF" w:rsidRPr="00A07F29">
        <w:rPr>
          <w:rFonts w:ascii="Times New Roman" w:eastAsia="Calibri" w:hAnsi="Times New Roman" w:cs="Calibri"/>
          <w:b/>
          <w:bCs/>
          <w:i/>
          <w:sz w:val="24"/>
          <w:lang w:eastAsia="ja-JP"/>
        </w:rPr>
        <w:t>iem</w:t>
      </w:r>
      <w:proofErr w:type="spellEnd"/>
      <w:r w:rsidR="003A07BF" w:rsidRPr="00A07F29">
        <w:rPr>
          <w:rFonts w:ascii="Times New Roman" w:eastAsia="Calibri" w:hAnsi="Times New Roman" w:cs="Calibri"/>
          <w:b/>
          <w:bCs/>
          <w:i/>
          <w:sz w:val="24"/>
          <w:lang w:eastAsia="ja-JP"/>
        </w:rPr>
        <w:t xml:space="preserve"> </w:t>
      </w:r>
      <w:r w:rsidRPr="00A07F29">
        <w:rPr>
          <w:rFonts w:ascii="Times New Roman" w:eastAsia="Calibri" w:hAnsi="Times New Roman" w:cs="Calibri"/>
          <w:b/>
          <w:bCs/>
          <w:i/>
          <w:sz w:val="24"/>
          <w:lang w:eastAsia="ja-JP"/>
        </w:rPr>
        <w:t xml:space="preserve">dabas </w:t>
      </w:r>
      <w:r w:rsidR="003A07BF" w:rsidRPr="00A07F29">
        <w:rPr>
          <w:rFonts w:ascii="Times New Roman" w:eastAsia="Calibri" w:hAnsi="Times New Roman" w:cs="Calibri"/>
          <w:b/>
          <w:bCs/>
          <w:i/>
          <w:sz w:val="24"/>
          <w:lang w:eastAsia="ja-JP"/>
        </w:rPr>
        <w:t>pieminekļiem:</w:t>
      </w:r>
    </w:p>
    <w:p w14:paraId="7CA48B2D" w14:textId="2449380B" w:rsidR="003A07BF" w:rsidRPr="00A07F29" w:rsidRDefault="003A07BF" w:rsidP="00F87589">
      <w:pPr>
        <w:pStyle w:val="ListParagraph"/>
        <w:numPr>
          <w:ilvl w:val="0"/>
          <w:numId w:val="39"/>
        </w:numPr>
        <w:spacing w:before="120" w:line="240" w:lineRule="auto"/>
        <w:contextualSpacing w:val="0"/>
        <w:rPr>
          <w:bCs/>
          <w:lang w:eastAsia="ja-JP"/>
        </w:rPr>
      </w:pPr>
      <w:r w:rsidRPr="00A07F29">
        <w:rPr>
          <w:bCs/>
          <w:lang w:eastAsia="ja-JP"/>
        </w:rPr>
        <w:t>Adamovas krauja</w:t>
      </w:r>
      <w:r w:rsidR="00151097">
        <w:rPr>
          <w:bCs/>
          <w:lang w:eastAsia="ja-JP"/>
        </w:rPr>
        <w:t>;</w:t>
      </w:r>
    </w:p>
    <w:p w14:paraId="4F7C4531" w14:textId="27F7CC5F" w:rsidR="003A07BF" w:rsidRPr="00A07F29" w:rsidRDefault="003A07BF" w:rsidP="00F87589">
      <w:pPr>
        <w:pStyle w:val="ListParagraph"/>
        <w:numPr>
          <w:ilvl w:val="0"/>
          <w:numId w:val="39"/>
        </w:numPr>
        <w:spacing w:before="120" w:line="240" w:lineRule="auto"/>
        <w:contextualSpacing w:val="0"/>
        <w:rPr>
          <w:bCs/>
          <w:lang w:eastAsia="ja-JP"/>
        </w:rPr>
      </w:pPr>
      <w:r w:rsidRPr="00A07F29">
        <w:rPr>
          <w:bCs/>
          <w:lang w:eastAsia="ja-JP"/>
        </w:rPr>
        <w:t>Sproģu gravas</w:t>
      </w:r>
      <w:r w:rsidR="00151097">
        <w:rPr>
          <w:bCs/>
          <w:lang w:eastAsia="ja-JP"/>
        </w:rPr>
        <w:t>;</w:t>
      </w:r>
      <w:r w:rsidRPr="00A07F29">
        <w:rPr>
          <w:bCs/>
          <w:lang w:eastAsia="ja-JP"/>
        </w:rPr>
        <w:t xml:space="preserve"> </w:t>
      </w:r>
    </w:p>
    <w:p w14:paraId="6D774EC7" w14:textId="68683233" w:rsidR="003A07BF" w:rsidRPr="00A07F29" w:rsidRDefault="003A07BF" w:rsidP="00F87589">
      <w:pPr>
        <w:pStyle w:val="ListParagraph"/>
        <w:numPr>
          <w:ilvl w:val="0"/>
          <w:numId w:val="39"/>
        </w:numPr>
        <w:spacing w:before="120" w:line="240" w:lineRule="auto"/>
        <w:contextualSpacing w:val="0"/>
        <w:rPr>
          <w:bCs/>
          <w:lang w:eastAsia="ja-JP"/>
        </w:rPr>
      </w:pPr>
      <w:proofErr w:type="spellStart"/>
      <w:r w:rsidRPr="00A07F29">
        <w:rPr>
          <w:bCs/>
          <w:lang w:eastAsia="ja-JP"/>
        </w:rPr>
        <w:t>Mālkalnes</w:t>
      </w:r>
      <w:proofErr w:type="spellEnd"/>
      <w:r w:rsidRPr="00A07F29">
        <w:rPr>
          <w:bCs/>
          <w:lang w:eastAsia="ja-JP"/>
        </w:rPr>
        <w:t xml:space="preserve"> avoti</w:t>
      </w:r>
      <w:r w:rsidR="00151097">
        <w:rPr>
          <w:bCs/>
          <w:lang w:eastAsia="ja-JP"/>
        </w:rPr>
        <w:t>;</w:t>
      </w:r>
      <w:r w:rsidRPr="00A07F29">
        <w:rPr>
          <w:bCs/>
          <w:lang w:eastAsia="ja-JP"/>
        </w:rPr>
        <w:t xml:space="preserve"> </w:t>
      </w:r>
    </w:p>
    <w:p w14:paraId="15160A4D" w14:textId="005AB8A1" w:rsidR="003A07BF" w:rsidRPr="00A07F29" w:rsidRDefault="003A07BF" w:rsidP="00F87589">
      <w:pPr>
        <w:pStyle w:val="ListParagraph"/>
        <w:numPr>
          <w:ilvl w:val="0"/>
          <w:numId w:val="39"/>
        </w:numPr>
        <w:spacing w:before="120" w:line="240" w:lineRule="auto"/>
        <w:contextualSpacing w:val="0"/>
        <w:rPr>
          <w:bCs/>
          <w:lang w:eastAsia="ja-JP"/>
        </w:rPr>
      </w:pPr>
      <w:proofErr w:type="spellStart"/>
      <w:r w:rsidRPr="00A07F29">
        <w:rPr>
          <w:bCs/>
          <w:lang w:eastAsia="ja-JP"/>
        </w:rPr>
        <w:t>Viļušu</w:t>
      </w:r>
      <w:proofErr w:type="spellEnd"/>
      <w:r w:rsidRPr="00A07F29">
        <w:rPr>
          <w:bCs/>
          <w:lang w:eastAsia="ja-JP"/>
        </w:rPr>
        <w:t xml:space="preserve"> avots</w:t>
      </w:r>
      <w:r w:rsidR="00151097">
        <w:rPr>
          <w:bCs/>
          <w:lang w:eastAsia="ja-JP"/>
        </w:rPr>
        <w:t>;</w:t>
      </w:r>
      <w:r w:rsidRPr="00A07F29">
        <w:rPr>
          <w:bCs/>
          <w:lang w:eastAsia="ja-JP"/>
        </w:rPr>
        <w:t xml:space="preserve"> </w:t>
      </w:r>
    </w:p>
    <w:p w14:paraId="0995F5EE" w14:textId="433AB653" w:rsidR="003A07BF" w:rsidRPr="00A07F29" w:rsidRDefault="003A07BF" w:rsidP="00AF48E3">
      <w:pPr>
        <w:pStyle w:val="ListParagraph"/>
        <w:numPr>
          <w:ilvl w:val="0"/>
          <w:numId w:val="39"/>
        </w:numPr>
        <w:spacing w:before="120" w:line="240" w:lineRule="auto"/>
        <w:contextualSpacing w:val="0"/>
        <w:rPr>
          <w:bCs/>
          <w:lang w:eastAsia="ja-JP"/>
        </w:rPr>
      </w:pPr>
      <w:proofErr w:type="spellStart"/>
      <w:r w:rsidRPr="00A07F29">
        <w:rPr>
          <w:bCs/>
          <w:lang w:eastAsia="ja-JP"/>
        </w:rPr>
        <w:t>Sandarišķu</w:t>
      </w:r>
      <w:proofErr w:type="spellEnd"/>
      <w:r w:rsidRPr="00A07F29">
        <w:rPr>
          <w:bCs/>
          <w:lang w:eastAsia="ja-JP"/>
        </w:rPr>
        <w:t xml:space="preserve"> </w:t>
      </w:r>
      <w:proofErr w:type="spellStart"/>
      <w:r w:rsidRPr="00A07F29">
        <w:rPr>
          <w:bCs/>
          <w:lang w:eastAsia="ja-JP"/>
        </w:rPr>
        <w:t>karengravas</w:t>
      </w:r>
      <w:proofErr w:type="spellEnd"/>
      <w:r w:rsidRPr="00A07F29">
        <w:rPr>
          <w:bCs/>
          <w:lang w:eastAsia="ja-JP"/>
        </w:rPr>
        <w:t xml:space="preserve"> </w:t>
      </w:r>
      <w:r w:rsidR="00AF48E3" w:rsidRPr="00A07F29">
        <w:rPr>
          <w:bCs/>
          <w:lang w:eastAsia="ja-JP"/>
        </w:rPr>
        <w:t>(piemēram, pie kempinga “</w:t>
      </w:r>
      <w:proofErr w:type="spellStart"/>
      <w:r w:rsidR="00AF48E3" w:rsidRPr="00A07F29">
        <w:rPr>
          <w:bCs/>
          <w:lang w:eastAsia="ja-JP"/>
        </w:rPr>
        <w:t>Ozianna</w:t>
      </w:r>
      <w:proofErr w:type="spellEnd"/>
      <w:r w:rsidR="00AF48E3" w:rsidRPr="00A07F29">
        <w:rPr>
          <w:bCs/>
          <w:lang w:eastAsia="ja-JP"/>
        </w:rPr>
        <w:t xml:space="preserve">” un </w:t>
      </w:r>
      <w:proofErr w:type="spellStart"/>
      <w:r w:rsidR="00AF48E3" w:rsidRPr="00A07F29">
        <w:rPr>
          <w:bCs/>
          <w:lang w:eastAsia="ja-JP"/>
        </w:rPr>
        <w:t>Vasargelišķu</w:t>
      </w:r>
      <w:proofErr w:type="spellEnd"/>
      <w:r w:rsidR="00AF48E3" w:rsidRPr="00A07F29">
        <w:rPr>
          <w:bCs/>
          <w:lang w:eastAsia="ja-JP"/>
        </w:rPr>
        <w:t xml:space="preserve"> skatu torņa</w:t>
      </w:r>
      <w:r w:rsidR="008A6FE1" w:rsidRPr="00A07F29">
        <w:rPr>
          <w:bCs/>
          <w:lang w:eastAsia="ja-JP"/>
        </w:rPr>
        <w:t>, skat. C.1.4.</w:t>
      </w:r>
      <w:r w:rsidR="00151097">
        <w:rPr>
          <w:bCs/>
          <w:lang w:eastAsia="ja-JP"/>
        </w:rPr>
        <w:t> </w:t>
      </w:r>
      <w:r w:rsidR="008A6FE1" w:rsidRPr="00A07F29">
        <w:rPr>
          <w:bCs/>
          <w:lang w:eastAsia="ja-JP"/>
        </w:rPr>
        <w:t>pasākumu)</w:t>
      </w:r>
      <w:r w:rsidR="00CA1BE0">
        <w:rPr>
          <w:bCs/>
          <w:lang w:eastAsia="ja-JP"/>
        </w:rPr>
        <w:t>;</w:t>
      </w:r>
    </w:p>
    <w:p w14:paraId="67D5445B" w14:textId="3E716E23" w:rsidR="00F47916" w:rsidRPr="00A07F29" w:rsidRDefault="003A07BF" w:rsidP="00F87589">
      <w:pPr>
        <w:pStyle w:val="ListParagraph"/>
        <w:numPr>
          <w:ilvl w:val="0"/>
          <w:numId w:val="39"/>
        </w:numPr>
        <w:spacing w:before="120" w:line="240" w:lineRule="auto"/>
        <w:contextualSpacing w:val="0"/>
        <w:rPr>
          <w:bCs/>
          <w:lang w:eastAsia="ja-JP"/>
        </w:rPr>
      </w:pPr>
      <w:r w:rsidRPr="00A07F29">
        <w:rPr>
          <w:bCs/>
          <w:lang w:eastAsia="ja-JP"/>
        </w:rPr>
        <w:t>Daugavas vārti</w:t>
      </w:r>
      <w:r w:rsidR="00CA1BE0">
        <w:rPr>
          <w:bCs/>
          <w:lang w:eastAsia="ja-JP"/>
        </w:rPr>
        <w:t>.</w:t>
      </w:r>
    </w:p>
    <w:p w14:paraId="7CEC2DF1" w14:textId="641C403F" w:rsidR="00A21E83" w:rsidRPr="00A07F29" w:rsidRDefault="00A21E83" w:rsidP="003550DD">
      <w:pPr>
        <w:keepNext/>
        <w:spacing w:before="240" w:after="120" w:line="240" w:lineRule="auto"/>
        <w:jc w:val="both"/>
        <w:rPr>
          <w:rFonts w:ascii="Times New Roman" w:eastAsia="Calibri" w:hAnsi="Times New Roman" w:cs="Calibri"/>
          <w:b/>
          <w:bCs/>
          <w:i/>
          <w:sz w:val="24"/>
          <w:lang w:eastAsia="ja-JP"/>
        </w:rPr>
      </w:pPr>
      <w:r w:rsidRPr="00A07F29">
        <w:rPr>
          <w:rFonts w:ascii="Times New Roman" w:eastAsia="Calibri" w:hAnsi="Times New Roman" w:cs="Calibri"/>
          <w:b/>
          <w:bCs/>
          <w:i/>
          <w:sz w:val="24"/>
          <w:lang w:eastAsia="ja-JP"/>
        </w:rPr>
        <w:t xml:space="preserve">C.1.3. </w:t>
      </w:r>
      <w:r w:rsidR="00F47916" w:rsidRPr="00A07F29">
        <w:rPr>
          <w:rFonts w:ascii="Times New Roman" w:eastAsia="Calibri" w:hAnsi="Times New Roman" w:cs="Calibri"/>
          <w:b/>
          <w:bCs/>
          <w:i/>
          <w:sz w:val="24"/>
          <w:lang w:eastAsia="ja-JP"/>
        </w:rPr>
        <w:t>E</w:t>
      </w:r>
      <w:r w:rsidRPr="00A07F29">
        <w:rPr>
          <w:rFonts w:ascii="Times New Roman" w:eastAsia="Calibri" w:hAnsi="Times New Roman" w:cs="Calibri"/>
          <w:b/>
          <w:bCs/>
          <w:i/>
          <w:sz w:val="24"/>
          <w:lang w:eastAsia="ja-JP"/>
        </w:rPr>
        <w:t>sošo tūrisma informācijas stendu</w:t>
      </w:r>
      <w:r w:rsidR="00F47916" w:rsidRPr="00A07F29">
        <w:rPr>
          <w:rFonts w:ascii="Times New Roman" w:eastAsia="Calibri" w:hAnsi="Times New Roman" w:cs="Calibri"/>
          <w:b/>
          <w:bCs/>
          <w:i/>
          <w:sz w:val="24"/>
          <w:lang w:eastAsia="ja-JP"/>
        </w:rPr>
        <w:t xml:space="preserve"> atjaunošana</w:t>
      </w:r>
      <w:r w:rsidRPr="00A07F29">
        <w:rPr>
          <w:rFonts w:ascii="Times New Roman" w:eastAsia="Calibri" w:hAnsi="Times New Roman" w:cs="Calibri"/>
          <w:b/>
          <w:bCs/>
          <w:i/>
          <w:sz w:val="24"/>
          <w:lang w:eastAsia="ja-JP"/>
        </w:rPr>
        <w:t>:</w:t>
      </w:r>
    </w:p>
    <w:p w14:paraId="0BAB7BC7" w14:textId="231C9C01" w:rsidR="00A21E83" w:rsidRPr="00A07F29" w:rsidRDefault="00A21E83" w:rsidP="00BD08EC">
      <w:pPr>
        <w:numPr>
          <w:ilvl w:val="0"/>
          <w:numId w:val="35"/>
        </w:numPr>
        <w:spacing w:after="120" w:line="240" w:lineRule="auto"/>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pie atpūtas laukuma “Latgales sēta” Daugavas krastā esošo informācijas stendu </w:t>
      </w:r>
      <w:proofErr w:type="spellStart"/>
      <w:r w:rsidRPr="00A07F29">
        <w:rPr>
          <w:rFonts w:ascii="Times New Roman" w:eastAsia="Calibri" w:hAnsi="Times New Roman" w:cs="Times New Roman"/>
          <w:sz w:val="24"/>
          <w:szCs w:val="24"/>
        </w:rPr>
        <w:t>ūdenstūristiem</w:t>
      </w:r>
      <w:proofErr w:type="spellEnd"/>
      <w:r w:rsidRPr="00A07F29">
        <w:rPr>
          <w:rFonts w:ascii="Times New Roman" w:eastAsia="Calibri" w:hAnsi="Times New Roman" w:cs="Times New Roman"/>
          <w:sz w:val="24"/>
          <w:szCs w:val="24"/>
        </w:rPr>
        <w:t xml:space="preserve"> par </w:t>
      </w:r>
      <w:proofErr w:type="spellStart"/>
      <w:r w:rsidRPr="00A07F29">
        <w:rPr>
          <w:rFonts w:ascii="Times New Roman" w:eastAsia="Calibri" w:hAnsi="Times New Roman" w:cs="Times New Roman"/>
          <w:sz w:val="24"/>
          <w:szCs w:val="24"/>
        </w:rPr>
        <w:t>Slutišķu</w:t>
      </w:r>
      <w:proofErr w:type="spellEnd"/>
      <w:r w:rsidRPr="00A07F29">
        <w:rPr>
          <w:rFonts w:ascii="Times New Roman" w:eastAsia="Calibri" w:hAnsi="Times New Roman" w:cs="Times New Roman"/>
          <w:sz w:val="24"/>
          <w:szCs w:val="24"/>
        </w:rPr>
        <w:t xml:space="preserve"> sādžu pārvietot pie </w:t>
      </w:r>
      <w:r w:rsidR="00BD08EC" w:rsidRPr="00A07F29">
        <w:rPr>
          <w:rFonts w:ascii="Times New Roman" w:eastAsia="Calibri" w:hAnsi="Times New Roman" w:cs="Times New Roman"/>
          <w:sz w:val="24"/>
          <w:szCs w:val="24"/>
        </w:rPr>
        <w:t>laivu nolaišanas vietas</w:t>
      </w:r>
      <w:r w:rsidRPr="00A07F29">
        <w:rPr>
          <w:rFonts w:ascii="Times New Roman" w:eastAsia="Calibri" w:hAnsi="Times New Roman" w:cs="Times New Roman"/>
          <w:sz w:val="24"/>
          <w:szCs w:val="24"/>
        </w:rPr>
        <w:t>;</w:t>
      </w:r>
    </w:p>
    <w:p w14:paraId="4CB83345" w14:textId="77777777" w:rsidR="00A21E83" w:rsidRPr="00A07F29" w:rsidRDefault="00A21E83" w:rsidP="00F87589">
      <w:pPr>
        <w:numPr>
          <w:ilvl w:val="0"/>
          <w:numId w:val="35"/>
        </w:numPr>
        <w:spacing w:after="120" w:line="240" w:lineRule="auto"/>
        <w:ind w:left="850" w:hanging="425"/>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ieteicams atjaunot informācijas stendu par </w:t>
      </w:r>
      <w:proofErr w:type="spellStart"/>
      <w:r w:rsidRPr="00A07F29">
        <w:rPr>
          <w:rFonts w:ascii="Times New Roman" w:eastAsia="Calibri" w:hAnsi="Times New Roman" w:cs="Times New Roman"/>
          <w:sz w:val="24"/>
          <w:szCs w:val="24"/>
        </w:rPr>
        <w:t>velomaršrutu</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Šilovka</w:t>
      </w:r>
      <w:proofErr w:type="spellEnd"/>
      <w:r w:rsidRPr="00A07F29">
        <w:rPr>
          <w:rFonts w:ascii="Times New Roman" w:eastAsia="Calibri" w:hAnsi="Times New Roman" w:cs="Times New Roman"/>
          <w:sz w:val="24"/>
          <w:szCs w:val="24"/>
        </w:rPr>
        <w:t>” LVM atpūtas vietā “</w:t>
      </w:r>
      <w:proofErr w:type="spellStart"/>
      <w:r w:rsidRPr="00A07F29">
        <w:rPr>
          <w:rFonts w:ascii="Times New Roman" w:eastAsia="Calibri" w:hAnsi="Times New Roman" w:cs="Times New Roman"/>
          <w:sz w:val="24"/>
          <w:szCs w:val="24"/>
        </w:rPr>
        <w:t>Šilovka</w:t>
      </w:r>
      <w:proofErr w:type="spellEnd"/>
      <w:r w:rsidRPr="00A07F29">
        <w:rPr>
          <w:rFonts w:ascii="Times New Roman" w:eastAsia="Calibri" w:hAnsi="Times New Roman" w:cs="Times New Roman"/>
          <w:sz w:val="24"/>
          <w:szCs w:val="24"/>
        </w:rPr>
        <w:t>” ezera krastā;</w:t>
      </w:r>
    </w:p>
    <w:p w14:paraId="5193BDD3" w14:textId="70C73BA9" w:rsidR="00A21E83" w:rsidRPr="00A07F29" w:rsidRDefault="00A21E83" w:rsidP="00F87589">
      <w:pPr>
        <w:numPr>
          <w:ilvl w:val="0"/>
          <w:numId w:val="35"/>
        </w:numPr>
        <w:spacing w:after="120" w:line="240" w:lineRule="auto"/>
        <w:ind w:left="850" w:hanging="425"/>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pie </w:t>
      </w:r>
      <w:proofErr w:type="spellStart"/>
      <w:r w:rsidRPr="00A07F29">
        <w:rPr>
          <w:rFonts w:ascii="Times New Roman" w:eastAsia="Calibri" w:hAnsi="Times New Roman" w:cs="Times New Roman"/>
          <w:sz w:val="24"/>
          <w:szCs w:val="24"/>
        </w:rPr>
        <w:t>Červonkas</w:t>
      </w:r>
      <w:proofErr w:type="spellEnd"/>
      <w:r w:rsidRPr="00A07F29">
        <w:rPr>
          <w:rFonts w:ascii="Times New Roman" w:eastAsia="Calibri" w:hAnsi="Times New Roman" w:cs="Times New Roman"/>
          <w:sz w:val="24"/>
          <w:szCs w:val="24"/>
        </w:rPr>
        <w:t xml:space="preserve"> pils esošais informatīvais stends par </w:t>
      </w:r>
      <w:proofErr w:type="spellStart"/>
      <w:r w:rsidRPr="00A07F29">
        <w:rPr>
          <w:rFonts w:ascii="Times New Roman" w:eastAsia="Calibri" w:hAnsi="Times New Roman" w:cs="Times New Roman"/>
          <w:sz w:val="24"/>
          <w:szCs w:val="24"/>
        </w:rPr>
        <w:t>Červonkas</w:t>
      </w:r>
      <w:proofErr w:type="spellEnd"/>
      <w:r w:rsidRPr="00A07F29">
        <w:rPr>
          <w:rFonts w:ascii="Times New Roman" w:eastAsia="Calibri" w:hAnsi="Times New Roman" w:cs="Times New Roman"/>
          <w:sz w:val="24"/>
          <w:szCs w:val="24"/>
        </w:rPr>
        <w:t xml:space="preserve"> pili un tās apkārtni ir izbalējis, tāpēc ieteicams atjaunot;</w:t>
      </w:r>
    </w:p>
    <w:p w14:paraId="2648C3DF" w14:textId="3D7EF306" w:rsidR="005326B1" w:rsidRPr="00A07F29" w:rsidRDefault="005326B1" w:rsidP="00F87589">
      <w:pPr>
        <w:numPr>
          <w:ilvl w:val="0"/>
          <w:numId w:val="35"/>
        </w:numPr>
        <w:spacing w:after="120" w:line="240" w:lineRule="auto"/>
        <w:ind w:left="850" w:hanging="425"/>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lastRenderedPageBreak/>
        <w:t xml:space="preserve">atjaunot informācijas stendu pie </w:t>
      </w:r>
      <w:proofErr w:type="spellStart"/>
      <w:r w:rsidRPr="00A07F29">
        <w:rPr>
          <w:rFonts w:ascii="Times New Roman" w:eastAsia="Calibri" w:hAnsi="Times New Roman" w:cs="Times New Roman"/>
          <w:sz w:val="24"/>
          <w:szCs w:val="24"/>
        </w:rPr>
        <w:t>Sīķeles</w:t>
      </w:r>
      <w:proofErr w:type="spellEnd"/>
      <w:r w:rsidRPr="00A07F29">
        <w:rPr>
          <w:rFonts w:ascii="Times New Roman" w:eastAsia="Calibri" w:hAnsi="Times New Roman" w:cs="Times New Roman"/>
          <w:sz w:val="24"/>
          <w:szCs w:val="24"/>
        </w:rPr>
        <w:t xml:space="preserve"> baznīcas (konstrukcija nolietojusies un jāprecizē informācija)</w:t>
      </w:r>
      <w:r w:rsidR="00F419C5">
        <w:rPr>
          <w:rFonts w:ascii="Times New Roman" w:eastAsia="Calibri" w:hAnsi="Times New Roman" w:cs="Times New Roman"/>
          <w:sz w:val="24"/>
          <w:szCs w:val="24"/>
        </w:rPr>
        <w:t>;</w:t>
      </w:r>
    </w:p>
    <w:p w14:paraId="1C047F6E" w14:textId="4A3DFE2D" w:rsidR="005326B1" w:rsidRPr="00A07F29" w:rsidRDefault="005326B1" w:rsidP="00F87589">
      <w:pPr>
        <w:numPr>
          <w:ilvl w:val="0"/>
          <w:numId w:val="35"/>
        </w:numPr>
        <w:spacing w:after="120" w:line="240" w:lineRule="auto"/>
        <w:ind w:left="850" w:hanging="425"/>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atjaunot informācijas stendu pie </w:t>
      </w:r>
      <w:proofErr w:type="spellStart"/>
      <w:r w:rsidRPr="00A07F29">
        <w:rPr>
          <w:rFonts w:ascii="Times New Roman" w:eastAsia="Calibri" w:hAnsi="Times New Roman" w:cs="Times New Roman"/>
          <w:sz w:val="24"/>
          <w:szCs w:val="24"/>
        </w:rPr>
        <w:t>Elernes</w:t>
      </w:r>
      <w:proofErr w:type="spellEnd"/>
      <w:r w:rsidRPr="00A07F29">
        <w:rPr>
          <w:rFonts w:ascii="Times New Roman" w:eastAsia="Calibri" w:hAnsi="Times New Roman" w:cs="Times New Roman"/>
          <w:sz w:val="24"/>
          <w:szCs w:val="24"/>
        </w:rPr>
        <w:t xml:space="preserve"> baznīcas (konstrukcija nolietojusies un jāprecizē informācija)</w:t>
      </w:r>
      <w:r w:rsidR="00F419C5">
        <w:rPr>
          <w:rFonts w:ascii="Times New Roman" w:eastAsia="Calibri" w:hAnsi="Times New Roman" w:cs="Times New Roman"/>
          <w:sz w:val="24"/>
          <w:szCs w:val="24"/>
        </w:rPr>
        <w:t>;</w:t>
      </w:r>
    </w:p>
    <w:p w14:paraId="2BE626BD" w14:textId="77777777" w:rsidR="00A21E83" w:rsidRPr="00A07F29" w:rsidRDefault="00A21E83" w:rsidP="00F87589">
      <w:pPr>
        <w:numPr>
          <w:ilvl w:val="0"/>
          <w:numId w:val="35"/>
        </w:numPr>
        <w:spacing w:after="120" w:line="240" w:lineRule="auto"/>
        <w:ind w:left="850" w:hanging="425"/>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braucot uz atpūtas vietu “Krauja”, nepieciešams atjaunot vai demontēt meža ceļu krustojumā izvietoto informatīvo stendu par AAA “Augšdaugava”;</w:t>
      </w:r>
    </w:p>
    <w:p w14:paraId="4AE470DC" w14:textId="2130A237" w:rsidR="004A7A83" w:rsidRPr="00A07F29" w:rsidRDefault="00A21E83" w:rsidP="00F87589">
      <w:pPr>
        <w:numPr>
          <w:ilvl w:val="0"/>
          <w:numId w:val="35"/>
        </w:numPr>
        <w:spacing w:after="120" w:line="240" w:lineRule="auto"/>
        <w:ind w:left="850" w:hanging="425"/>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ieteicams atjaunot informācijas stendu, kas atrodas pie pagrieziena uz Kaplavas </w:t>
      </w:r>
      <w:proofErr w:type="spellStart"/>
      <w:r w:rsidRPr="00A07F29">
        <w:rPr>
          <w:rFonts w:ascii="Times New Roman" w:eastAsia="Calibri" w:hAnsi="Times New Roman" w:cs="Times New Roman"/>
          <w:sz w:val="24"/>
          <w:szCs w:val="24"/>
        </w:rPr>
        <w:t>Vissvētās</w:t>
      </w:r>
      <w:proofErr w:type="spellEnd"/>
      <w:r w:rsidRPr="00A07F29">
        <w:rPr>
          <w:rFonts w:ascii="Times New Roman" w:eastAsia="Calibri" w:hAnsi="Times New Roman" w:cs="Times New Roman"/>
          <w:sz w:val="24"/>
          <w:szCs w:val="24"/>
        </w:rPr>
        <w:t xml:space="preserve"> Dievmātes Patvēruma pareizticīgo baznīcu,</w:t>
      </w:r>
      <w:r w:rsidR="00D65BBA" w:rsidRPr="00A07F29">
        <w:rPr>
          <w:rFonts w:ascii="Times New Roman" w:eastAsia="Calibri" w:hAnsi="Times New Roman" w:cs="Times New Roman"/>
          <w:sz w:val="24"/>
          <w:szCs w:val="24"/>
        </w:rPr>
        <w:t xml:space="preserve"> </w:t>
      </w:r>
      <w:r w:rsidRPr="00A07F29">
        <w:rPr>
          <w:rFonts w:ascii="Times New Roman" w:eastAsia="Calibri" w:hAnsi="Times New Roman" w:cs="Times New Roman"/>
          <w:sz w:val="24"/>
          <w:szCs w:val="24"/>
        </w:rPr>
        <w:t xml:space="preserve">un izveidot to pēc DAP vienotā stila, kā arī novietot to tuvāk ceļam, lai nav jābrien pa zāli (skat. </w:t>
      </w:r>
      <w:r w:rsidR="00053858" w:rsidRPr="00A07F29">
        <w:rPr>
          <w:rFonts w:ascii="Times New Roman" w:eastAsia="Calibri" w:hAnsi="Times New Roman" w:cs="Times New Roman"/>
          <w:sz w:val="24"/>
          <w:szCs w:val="24"/>
        </w:rPr>
        <w:t>5.3.1</w:t>
      </w:r>
      <w:r w:rsidR="00F419C5">
        <w:rPr>
          <w:rFonts w:ascii="Times New Roman" w:eastAsia="Calibri" w:hAnsi="Times New Roman" w:cs="Times New Roman"/>
          <w:sz w:val="24"/>
          <w:szCs w:val="24"/>
        </w:rPr>
        <w:t>7</w:t>
      </w:r>
      <w:r w:rsidRPr="00A07F29">
        <w:rPr>
          <w:rFonts w:ascii="Times New Roman" w:eastAsia="Calibri" w:hAnsi="Times New Roman" w:cs="Times New Roman"/>
          <w:sz w:val="24"/>
          <w:szCs w:val="24"/>
        </w:rPr>
        <w:t>.</w:t>
      </w:r>
      <w:r w:rsidR="00F419C5">
        <w:rPr>
          <w:rFonts w:ascii="Times New Roman" w:eastAsia="Calibri" w:hAnsi="Times New Roman" w:cs="Times New Roman"/>
          <w:sz w:val="24"/>
          <w:szCs w:val="24"/>
        </w:rPr>
        <w:t> </w:t>
      </w:r>
      <w:r w:rsidRPr="00A07F29">
        <w:rPr>
          <w:rFonts w:ascii="Times New Roman" w:eastAsia="Calibri" w:hAnsi="Times New Roman" w:cs="Times New Roman"/>
          <w:sz w:val="24"/>
          <w:szCs w:val="24"/>
        </w:rPr>
        <w:t>att</w:t>
      </w:r>
      <w:r w:rsidR="00F419C5">
        <w:rPr>
          <w:rFonts w:ascii="Times New Roman" w:eastAsia="Calibri" w:hAnsi="Times New Roman" w:cs="Times New Roman"/>
          <w:sz w:val="24"/>
          <w:szCs w:val="24"/>
        </w:rPr>
        <w:t>ēls</w:t>
      </w:r>
      <w:r w:rsidRPr="00A07F29">
        <w:rPr>
          <w:rFonts w:ascii="Times New Roman" w:eastAsia="Calibri" w:hAnsi="Times New Roman" w:cs="Times New Roman"/>
          <w:sz w:val="24"/>
          <w:szCs w:val="24"/>
        </w:rPr>
        <w:t>)</w:t>
      </w:r>
      <w:r w:rsidR="00CC2324">
        <w:rPr>
          <w:rFonts w:ascii="Times New Roman" w:eastAsia="Calibri" w:hAnsi="Times New Roman" w:cs="Times New Roman"/>
          <w:sz w:val="24"/>
          <w:szCs w:val="24"/>
        </w:rPr>
        <w:t>;</w:t>
      </w:r>
    </w:p>
    <w:p w14:paraId="2A984351" w14:textId="567CC944" w:rsidR="00B9607A" w:rsidRPr="00A07F29" w:rsidRDefault="00B9607A" w:rsidP="00B9607A">
      <w:pPr>
        <w:numPr>
          <w:ilvl w:val="0"/>
          <w:numId w:val="35"/>
        </w:numPr>
        <w:spacing w:after="120" w:line="240" w:lineRule="auto"/>
        <w:ind w:left="850" w:hanging="425"/>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informatīvo stendu </w:t>
      </w:r>
      <w:proofErr w:type="spellStart"/>
      <w:r w:rsidRPr="00A07F29">
        <w:rPr>
          <w:rFonts w:ascii="Times New Roman" w:eastAsia="Calibri" w:hAnsi="Times New Roman" w:cs="Times New Roman"/>
          <w:sz w:val="24"/>
          <w:szCs w:val="24"/>
        </w:rPr>
        <w:t>ūdenstūristiem</w:t>
      </w:r>
      <w:proofErr w:type="spellEnd"/>
      <w:r w:rsidRPr="00A07F29">
        <w:rPr>
          <w:rFonts w:ascii="Times New Roman" w:eastAsia="Calibri" w:hAnsi="Times New Roman" w:cs="Times New Roman"/>
          <w:sz w:val="24"/>
          <w:szCs w:val="24"/>
        </w:rPr>
        <w:t xml:space="preserve"> par </w:t>
      </w:r>
      <w:proofErr w:type="spellStart"/>
      <w:r w:rsidRPr="00A07F29">
        <w:rPr>
          <w:rFonts w:ascii="Times New Roman" w:eastAsia="Calibri" w:hAnsi="Times New Roman" w:cs="Times New Roman"/>
          <w:sz w:val="24"/>
          <w:szCs w:val="24"/>
        </w:rPr>
        <w:t>Vasargelišķu</w:t>
      </w:r>
      <w:proofErr w:type="spellEnd"/>
      <w:r w:rsidRPr="00A07F29">
        <w:rPr>
          <w:rFonts w:ascii="Times New Roman" w:eastAsia="Calibri" w:hAnsi="Times New Roman" w:cs="Times New Roman"/>
          <w:sz w:val="24"/>
          <w:szCs w:val="24"/>
        </w:rPr>
        <w:t xml:space="preserve"> skatu torni, kas izvietots pie Daugavas esošā ceļa malā, ieteicams pārvietot tuvāk laivu piestāšanas vietai.</w:t>
      </w:r>
    </w:p>
    <w:p w14:paraId="090B25E0" w14:textId="4BA2FA3B" w:rsidR="004A7A83" w:rsidRPr="00A07F29" w:rsidRDefault="00392B91" w:rsidP="00392B91">
      <w:pPr>
        <w:spacing w:after="120" w:line="240" w:lineRule="auto"/>
        <w:ind w:firstLine="851"/>
        <w:jc w:val="both"/>
        <w:rPr>
          <w:rFonts w:ascii="Times New Roman" w:hAnsi="Times New Roman" w:cs="Times New Roman"/>
          <w:bCs/>
          <w:sz w:val="24"/>
          <w:szCs w:val="24"/>
          <w:lang w:eastAsia="ja-JP"/>
        </w:rPr>
      </w:pPr>
      <w:r w:rsidRPr="00A07F29">
        <w:rPr>
          <w:rFonts w:ascii="Times New Roman" w:hAnsi="Times New Roman" w:cs="Times New Roman"/>
          <w:bCs/>
          <w:sz w:val="24"/>
          <w:szCs w:val="24"/>
          <w:lang w:eastAsia="ja-JP"/>
        </w:rPr>
        <w:t xml:space="preserve">Pēc nepieciešamības atjaunojami arī citi informācijas stendi. </w:t>
      </w:r>
      <w:r w:rsidR="004A7A83" w:rsidRPr="00A07F29">
        <w:rPr>
          <w:rFonts w:ascii="Times New Roman" w:hAnsi="Times New Roman" w:cs="Times New Roman"/>
          <w:bCs/>
          <w:sz w:val="24"/>
          <w:szCs w:val="24"/>
          <w:lang w:eastAsia="ja-JP"/>
        </w:rPr>
        <w:t xml:space="preserve">Informatīvo stendu izvietojumu skat. </w:t>
      </w:r>
      <w:r w:rsidR="00F35B98" w:rsidRPr="00A07F29">
        <w:rPr>
          <w:rFonts w:ascii="Times New Roman" w:hAnsi="Times New Roman" w:cs="Times New Roman"/>
          <w:bCs/>
          <w:sz w:val="24"/>
          <w:szCs w:val="24"/>
          <w:lang w:eastAsia="ja-JP"/>
        </w:rPr>
        <w:t>5.1.2.</w:t>
      </w:r>
      <w:r w:rsidR="00FC1B62">
        <w:rPr>
          <w:rFonts w:ascii="Times New Roman" w:hAnsi="Times New Roman" w:cs="Times New Roman"/>
          <w:bCs/>
          <w:sz w:val="24"/>
          <w:szCs w:val="24"/>
          <w:lang w:eastAsia="ja-JP"/>
        </w:rPr>
        <w:t xml:space="preserve"> un 5.1.2a.</w:t>
      </w:r>
      <w:r w:rsidR="00CC2324">
        <w:rPr>
          <w:rFonts w:ascii="Times New Roman" w:hAnsi="Times New Roman" w:cs="Times New Roman"/>
          <w:bCs/>
          <w:sz w:val="24"/>
          <w:szCs w:val="24"/>
          <w:lang w:eastAsia="ja-JP"/>
        </w:rPr>
        <w:t> </w:t>
      </w:r>
      <w:r w:rsidR="00F35B98" w:rsidRPr="00A07F29">
        <w:rPr>
          <w:rFonts w:ascii="Times New Roman" w:hAnsi="Times New Roman" w:cs="Times New Roman"/>
          <w:bCs/>
          <w:sz w:val="24"/>
          <w:szCs w:val="24"/>
          <w:lang w:eastAsia="ja-JP"/>
        </w:rPr>
        <w:t>pielikumā</w:t>
      </w:r>
      <w:r w:rsidR="004A7A83" w:rsidRPr="00A07F29">
        <w:rPr>
          <w:rFonts w:ascii="Times New Roman" w:hAnsi="Times New Roman" w:cs="Times New Roman"/>
          <w:bCs/>
          <w:sz w:val="24"/>
          <w:szCs w:val="24"/>
          <w:lang w:eastAsia="ja-JP"/>
        </w:rPr>
        <w:t>.</w:t>
      </w:r>
    </w:p>
    <w:p w14:paraId="17F13B4F" w14:textId="77777777" w:rsidR="004A7A83" w:rsidRPr="00A07F29" w:rsidRDefault="004A7A83" w:rsidP="00972AC9">
      <w:pPr>
        <w:spacing w:after="120" w:line="240" w:lineRule="auto"/>
        <w:jc w:val="both"/>
        <w:rPr>
          <w:rFonts w:ascii="Times New Roman" w:eastAsia="Calibri" w:hAnsi="Times New Roman" w:cs="Times New Roman"/>
          <w:sz w:val="24"/>
          <w:szCs w:val="24"/>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6"/>
        <w:gridCol w:w="1857"/>
      </w:tblGrid>
      <w:tr w:rsidR="00053858" w:rsidRPr="00A07F29" w14:paraId="714BB8CB" w14:textId="77777777" w:rsidTr="63C42FA1">
        <w:tc>
          <w:tcPr>
            <w:tcW w:w="4530" w:type="dxa"/>
          </w:tcPr>
          <w:p w14:paraId="2AE53561" w14:textId="390231CB" w:rsidR="00053858" w:rsidRPr="00A07F29" w:rsidRDefault="00053858" w:rsidP="00A21E83">
            <w:pPr>
              <w:spacing w:after="160" w:line="256" w:lineRule="auto"/>
              <w:contextualSpacing/>
              <w:jc w:val="both"/>
              <w:rPr>
                <w:rFonts w:ascii="Times New Roman" w:eastAsia="Calibri" w:hAnsi="Times New Roman" w:cs="Times New Roman"/>
                <w:sz w:val="24"/>
                <w:szCs w:val="24"/>
              </w:rPr>
            </w:pPr>
            <w:r w:rsidRPr="00A07F29">
              <w:rPr>
                <w:noProof/>
                <w:lang w:eastAsia="lv-LV"/>
              </w:rPr>
              <w:drawing>
                <wp:inline distT="0" distB="0" distL="0" distR="0" wp14:anchorId="243D17FB" wp14:editId="16D05A9B">
                  <wp:extent cx="4151214" cy="3113411"/>
                  <wp:effectExtent l="0" t="0" r="1905" b="0"/>
                  <wp:docPr id="17037177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pic:nvPicPr>
                        <pic:blipFill>
                          <a:blip r:embed="rId115">
                            <a:extLst>
                              <a:ext uri="{28A0092B-C50C-407E-A947-70E740481C1C}">
                                <a14:useLocalDpi xmlns:a14="http://schemas.microsoft.com/office/drawing/2010/main"/>
                              </a:ext>
                            </a:extLst>
                          </a:blip>
                          <a:stretch>
                            <a:fillRect/>
                          </a:stretch>
                        </pic:blipFill>
                        <pic:spPr>
                          <a:xfrm>
                            <a:off x="0" y="0"/>
                            <a:ext cx="4151214" cy="3113411"/>
                          </a:xfrm>
                          <a:prstGeom prst="rect">
                            <a:avLst/>
                          </a:prstGeom>
                        </pic:spPr>
                      </pic:pic>
                    </a:graphicData>
                  </a:graphic>
                </wp:inline>
              </w:drawing>
            </w:r>
          </w:p>
        </w:tc>
        <w:tc>
          <w:tcPr>
            <w:tcW w:w="4531" w:type="dxa"/>
            <w:vAlign w:val="bottom"/>
          </w:tcPr>
          <w:p w14:paraId="363D8608" w14:textId="5B4A4F23" w:rsidR="00053858" w:rsidRPr="00AB0343" w:rsidRDefault="00053858" w:rsidP="00F35B98">
            <w:pPr>
              <w:spacing w:after="160" w:line="256" w:lineRule="auto"/>
              <w:contextualSpacing/>
              <w:rPr>
                <w:rFonts w:ascii="Times New Roman" w:eastAsia="Calibri" w:hAnsi="Times New Roman" w:cs="Times New Roman"/>
                <w:sz w:val="20"/>
                <w:szCs w:val="20"/>
              </w:rPr>
            </w:pPr>
            <w:r w:rsidRPr="00AB0343">
              <w:rPr>
                <w:rFonts w:ascii="Times New Roman" w:eastAsia="Calibri" w:hAnsi="Times New Roman" w:cs="Times New Roman"/>
                <w:bCs/>
                <w:iCs/>
                <w:sz w:val="20"/>
                <w:szCs w:val="20"/>
              </w:rPr>
              <w:t>5.3.</w:t>
            </w:r>
            <w:r w:rsidR="00F35B98" w:rsidRPr="00AB0343">
              <w:rPr>
                <w:rFonts w:ascii="Times New Roman" w:eastAsia="Calibri" w:hAnsi="Times New Roman" w:cs="Times New Roman"/>
                <w:bCs/>
                <w:iCs/>
                <w:sz w:val="20"/>
                <w:szCs w:val="20"/>
              </w:rPr>
              <w:t>1</w:t>
            </w:r>
            <w:r w:rsidR="00CC2324" w:rsidRPr="00AB0343">
              <w:rPr>
                <w:rFonts w:ascii="Times New Roman" w:eastAsia="Calibri" w:hAnsi="Times New Roman" w:cs="Times New Roman"/>
                <w:bCs/>
                <w:iCs/>
                <w:sz w:val="20"/>
                <w:szCs w:val="20"/>
              </w:rPr>
              <w:t>7</w:t>
            </w:r>
            <w:r w:rsidRPr="00AB0343">
              <w:rPr>
                <w:rFonts w:ascii="Times New Roman" w:eastAsia="Calibri" w:hAnsi="Times New Roman" w:cs="Times New Roman"/>
                <w:bCs/>
                <w:iCs/>
                <w:sz w:val="20"/>
                <w:szCs w:val="20"/>
              </w:rPr>
              <w:t>.</w:t>
            </w:r>
            <w:r w:rsidR="00AB0343">
              <w:rPr>
                <w:rFonts w:ascii="Times New Roman" w:eastAsia="Calibri" w:hAnsi="Times New Roman" w:cs="Times New Roman"/>
                <w:bCs/>
                <w:iCs/>
                <w:sz w:val="20"/>
                <w:szCs w:val="20"/>
              </w:rPr>
              <w:t> </w:t>
            </w:r>
            <w:r w:rsidRPr="00AB0343">
              <w:rPr>
                <w:rFonts w:ascii="Times New Roman" w:eastAsia="Calibri" w:hAnsi="Times New Roman" w:cs="Times New Roman"/>
                <w:bCs/>
                <w:iCs/>
                <w:sz w:val="20"/>
                <w:szCs w:val="20"/>
              </w:rPr>
              <w:t>att</w:t>
            </w:r>
            <w:r w:rsidR="00CC2324" w:rsidRPr="00AB0343">
              <w:rPr>
                <w:rFonts w:ascii="Times New Roman" w:eastAsia="Calibri" w:hAnsi="Times New Roman" w:cs="Times New Roman"/>
                <w:bCs/>
                <w:iCs/>
                <w:sz w:val="20"/>
                <w:szCs w:val="20"/>
              </w:rPr>
              <w:t>ēls.</w:t>
            </w:r>
            <w:r w:rsidRPr="00AB0343">
              <w:rPr>
                <w:rFonts w:ascii="Times New Roman" w:eastAsia="Calibri" w:hAnsi="Times New Roman" w:cs="Times New Roman"/>
                <w:bCs/>
                <w:iCs/>
                <w:sz w:val="20"/>
                <w:szCs w:val="20"/>
              </w:rPr>
              <w:t xml:space="preserve"> Informācijas stends, kas atrodas pie pagrieziena uz Kaplavas </w:t>
            </w:r>
            <w:proofErr w:type="spellStart"/>
            <w:r w:rsidRPr="00AB0343">
              <w:rPr>
                <w:rFonts w:ascii="Times New Roman" w:eastAsia="Calibri" w:hAnsi="Times New Roman" w:cs="Times New Roman"/>
                <w:bCs/>
                <w:iCs/>
                <w:sz w:val="20"/>
                <w:szCs w:val="20"/>
              </w:rPr>
              <w:t>Vissvētās</w:t>
            </w:r>
            <w:proofErr w:type="spellEnd"/>
            <w:r w:rsidRPr="00AB0343">
              <w:rPr>
                <w:rFonts w:ascii="Times New Roman" w:eastAsia="Calibri" w:hAnsi="Times New Roman" w:cs="Times New Roman"/>
                <w:bCs/>
                <w:iCs/>
                <w:sz w:val="20"/>
                <w:szCs w:val="20"/>
              </w:rPr>
              <w:t xml:space="preserve"> Dievmātes Patvēruma pareizticīgo baznīcu (foto: K.</w:t>
            </w:r>
            <w:r w:rsidR="00AB0343">
              <w:rPr>
                <w:rFonts w:ascii="Times New Roman" w:eastAsia="Calibri" w:hAnsi="Times New Roman" w:cs="Times New Roman"/>
                <w:bCs/>
                <w:iCs/>
                <w:sz w:val="20"/>
                <w:szCs w:val="20"/>
              </w:rPr>
              <w:t> </w:t>
            </w:r>
            <w:r w:rsidRPr="00AB0343">
              <w:rPr>
                <w:rFonts w:ascii="Times New Roman" w:eastAsia="Calibri" w:hAnsi="Times New Roman" w:cs="Times New Roman"/>
                <w:bCs/>
                <w:iCs/>
                <w:sz w:val="20"/>
                <w:szCs w:val="20"/>
              </w:rPr>
              <w:t>Seržante).</w:t>
            </w:r>
          </w:p>
        </w:tc>
      </w:tr>
    </w:tbl>
    <w:p w14:paraId="4E81D326" w14:textId="77777777" w:rsidR="00A21E83" w:rsidRPr="00A07F29" w:rsidRDefault="00A21E83" w:rsidP="00A21E83">
      <w:pPr>
        <w:spacing w:after="160" w:line="256" w:lineRule="auto"/>
        <w:ind w:left="720"/>
        <w:contextualSpacing/>
        <w:jc w:val="both"/>
        <w:rPr>
          <w:rFonts w:ascii="Times New Roman" w:eastAsia="Calibri" w:hAnsi="Times New Roman" w:cs="Times New Roman"/>
          <w:sz w:val="24"/>
          <w:szCs w:val="24"/>
        </w:rPr>
      </w:pPr>
    </w:p>
    <w:p w14:paraId="6A9ADD6E" w14:textId="2AD99957" w:rsidR="004A7A83" w:rsidRPr="00A07F29" w:rsidRDefault="004A7A83" w:rsidP="003550DD">
      <w:pPr>
        <w:keepNext/>
        <w:spacing w:before="240" w:after="120" w:line="240" w:lineRule="auto"/>
        <w:jc w:val="both"/>
        <w:rPr>
          <w:rFonts w:ascii="Times New Roman" w:eastAsia="Calibri" w:hAnsi="Times New Roman" w:cs="Calibri"/>
          <w:b/>
          <w:bCs/>
          <w:i/>
          <w:sz w:val="24"/>
          <w:lang w:eastAsia="ja-JP"/>
        </w:rPr>
      </w:pPr>
      <w:r w:rsidRPr="00A07F29">
        <w:rPr>
          <w:rFonts w:ascii="Times New Roman" w:eastAsia="Calibri" w:hAnsi="Times New Roman" w:cs="Calibri"/>
          <w:b/>
          <w:bCs/>
          <w:i/>
          <w:sz w:val="24"/>
          <w:lang w:eastAsia="ja-JP"/>
        </w:rPr>
        <w:t>C.1.4. Jaunu informācijas stendu izvietošana pie esošajiem tūrisma objektiem:</w:t>
      </w:r>
    </w:p>
    <w:p w14:paraId="2FAED6F7" w14:textId="7D35016C" w:rsidR="00B03CF0" w:rsidRPr="00A07F29" w:rsidRDefault="00B03CF0" w:rsidP="00B03CF0">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Ieteicams pilnveidot pie tūrisma objektiem pieejamo informāciju, tostarp izvietot jaunus informācijas stendus:</w:t>
      </w:r>
    </w:p>
    <w:p w14:paraId="2C63688E" w14:textId="72146428" w:rsidR="00A21E83" w:rsidRPr="00A07F29" w:rsidRDefault="00A21E83" w:rsidP="00F87589">
      <w:pPr>
        <w:numPr>
          <w:ilvl w:val="0"/>
          <w:numId w:val="36"/>
        </w:numPr>
        <w:spacing w:after="120" w:line="240" w:lineRule="auto"/>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pie </w:t>
      </w:r>
      <w:proofErr w:type="spellStart"/>
      <w:r w:rsidRPr="00A07F29">
        <w:rPr>
          <w:rFonts w:ascii="Times New Roman" w:eastAsia="Calibri" w:hAnsi="Times New Roman" w:cs="Times New Roman"/>
          <w:sz w:val="24"/>
          <w:szCs w:val="24"/>
        </w:rPr>
        <w:t>Hoftenbergas</w:t>
      </w:r>
      <w:proofErr w:type="spellEnd"/>
      <w:r w:rsidRPr="00A07F29">
        <w:rPr>
          <w:rFonts w:ascii="Times New Roman" w:eastAsia="Calibri" w:hAnsi="Times New Roman" w:cs="Times New Roman"/>
          <w:sz w:val="24"/>
          <w:szCs w:val="24"/>
        </w:rPr>
        <w:t xml:space="preserve"> muižas </w:t>
      </w:r>
      <w:r w:rsidR="00B84CEB" w:rsidRPr="00A07F29">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par muižas vēsturi;</w:t>
      </w:r>
    </w:p>
    <w:p w14:paraId="29A4EC37" w14:textId="5F810BDB" w:rsidR="00B84CEB" w:rsidRPr="00A07F29" w:rsidRDefault="00B84CEB" w:rsidP="00F87589">
      <w:pPr>
        <w:numPr>
          <w:ilvl w:val="0"/>
          <w:numId w:val="36"/>
        </w:numPr>
        <w:spacing w:after="120" w:line="240" w:lineRule="auto"/>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par Vecsalienas (</w:t>
      </w:r>
      <w:proofErr w:type="spellStart"/>
      <w:r w:rsidRPr="00A07F29">
        <w:rPr>
          <w:rFonts w:ascii="Times New Roman" w:eastAsia="Calibri" w:hAnsi="Times New Roman" w:cs="Times New Roman"/>
          <w:sz w:val="24"/>
          <w:szCs w:val="24"/>
        </w:rPr>
        <w:t>Červonkas</w:t>
      </w:r>
      <w:proofErr w:type="spellEnd"/>
      <w:r w:rsidRPr="00A07F29">
        <w:rPr>
          <w:rFonts w:ascii="Times New Roman" w:eastAsia="Calibri" w:hAnsi="Times New Roman" w:cs="Times New Roman"/>
          <w:sz w:val="24"/>
          <w:szCs w:val="24"/>
        </w:rPr>
        <w:t>) muižu un parku;</w:t>
      </w:r>
    </w:p>
    <w:p w14:paraId="7E400C9D" w14:textId="0ACBD1D3" w:rsidR="00B84CEB" w:rsidRPr="00A07F29" w:rsidRDefault="00B84CEB" w:rsidP="00F87589">
      <w:pPr>
        <w:numPr>
          <w:ilvl w:val="0"/>
          <w:numId w:val="36"/>
        </w:numPr>
        <w:spacing w:after="120" w:line="240" w:lineRule="auto"/>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pie Spruktu baznīcas;</w:t>
      </w:r>
    </w:p>
    <w:p w14:paraId="0B17FF1B" w14:textId="3508671E" w:rsidR="00B84CEB" w:rsidRPr="00A07F29" w:rsidRDefault="00B84CEB" w:rsidP="00F87589">
      <w:pPr>
        <w:numPr>
          <w:ilvl w:val="0"/>
          <w:numId w:val="36"/>
        </w:numPr>
        <w:spacing w:after="120" w:line="240" w:lineRule="auto"/>
        <w:jc w:val="both"/>
        <w:rPr>
          <w:rFonts w:ascii="Times New Roman" w:eastAsia="Calibri" w:hAnsi="Times New Roman" w:cs="Times New Roman"/>
          <w:sz w:val="24"/>
          <w:szCs w:val="24"/>
        </w:rPr>
      </w:pPr>
      <w:proofErr w:type="spellStart"/>
      <w:r w:rsidRPr="00A07F29">
        <w:rPr>
          <w:rFonts w:ascii="Times New Roman" w:eastAsia="Calibri" w:hAnsi="Times New Roman" w:cs="Times New Roman"/>
          <w:sz w:val="24"/>
          <w:szCs w:val="24"/>
        </w:rPr>
        <w:t>Juzefovā</w:t>
      </w:r>
      <w:proofErr w:type="spellEnd"/>
      <w:r w:rsidRPr="00A07F29">
        <w:rPr>
          <w:rFonts w:ascii="Times New Roman" w:eastAsia="Calibri" w:hAnsi="Times New Roman" w:cs="Times New Roman"/>
          <w:sz w:val="24"/>
          <w:szCs w:val="24"/>
        </w:rPr>
        <w:t xml:space="preserve"> – pie baznīcas, pie muižas pils pamatiem parkā, pie spirta brūža uz ceļa;</w:t>
      </w:r>
    </w:p>
    <w:p w14:paraId="7CAED7D0" w14:textId="5104E79C" w:rsidR="00A21E83" w:rsidRPr="00A07F29" w:rsidRDefault="00A21E83" w:rsidP="00F87589">
      <w:pPr>
        <w:numPr>
          <w:ilvl w:val="0"/>
          <w:numId w:val="36"/>
        </w:numPr>
        <w:spacing w:after="120" w:line="240" w:lineRule="auto"/>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auto stāvlaukumā pie Dinaburgas pils takas ieteicams informāciju, kas norādīta uz mājiņas sienas esošajām A4 lapām, izvietot vienkopus uz lielāka informācijas stenda</w:t>
      </w:r>
      <w:r w:rsidR="00AB65CA">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un uz šī paša stenda izvietot informāciju par Veselības taku;</w:t>
      </w:r>
    </w:p>
    <w:p w14:paraId="7258F4DB" w14:textId="10F4344C" w:rsidR="000864B7" w:rsidRPr="00A07F29" w:rsidRDefault="00A21E83" w:rsidP="00F87589">
      <w:pPr>
        <w:numPr>
          <w:ilvl w:val="0"/>
          <w:numId w:val="36"/>
        </w:numPr>
        <w:spacing w:after="120" w:line="240" w:lineRule="auto"/>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lastRenderedPageBreak/>
        <w:t>Dinaburgas pils takas posmā izvietot informācijas stendu par tur sastopamo gravu</w:t>
      </w:r>
      <w:r w:rsidR="00FE10AA" w:rsidRPr="00A07F29">
        <w:rPr>
          <w:rFonts w:ascii="Times New Roman" w:eastAsia="Calibri" w:hAnsi="Times New Roman" w:cs="Times New Roman"/>
          <w:sz w:val="24"/>
          <w:szCs w:val="24"/>
        </w:rPr>
        <w:t xml:space="preserve">, kā arī informācijas stendus </w:t>
      </w:r>
      <w:r w:rsidR="000864B7" w:rsidRPr="00A07F29">
        <w:rPr>
          <w:rFonts w:ascii="Times New Roman" w:eastAsia="Calibri" w:hAnsi="Times New Roman" w:cs="Times New Roman"/>
          <w:sz w:val="24"/>
          <w:szCs w:val="24"/>
        </w:rPr>
        <w:t>par pils maketu, tā autoru un par 12</w:t>
      </w:r>
      <w:r w:rsidR="00325745">
        <w:rPr>
          <w:rFonts w:ascii="Times New Roman" w:eastAsia="Calibri" w:hAnsi="Times New Roman" w:cs="Times New Roman"/>
          <w:sz w:val="24"/>
          <w:szCs w:val="24"/>
        </w:rPr>
        <w:t>. – </w:t>
      </w:r>
      <w:r w:rsidR="000864B7" w:rsidRPr="00A07F29">
        <w:rPr>
          <w:rFonts w:ascii="Times New Roman" w:eastAsia="Calibri" w:hAnsi="Times New Roman" w:cs="Times New Roman"/>
          <w:sz w:val="24"/>
          <w:szCs w:val="24"/>
        </w:rPr>
        <w:t>13</w:t>
      </w:r>
      <w:r w:rsidR="00325745">
        <w:rPr>
          <w:rFonts w:ascii="Times New Roman" w:eastAsia="Calibri" w:hAnsi="Times New Roman" w:cs="Times New Roman"/>
          <w:sz w:val="24"/>
          <w:szCs w:val="24"/>
        </w:rPr>
        <w:t>.</w:t>
      </w:r>
      <w:r w:rsidR="00D07A7B">
        <w:rPr>
          <w:rFonts w:ascii="Times New Roman" w:eastAsia="Calibri" w:hAnsi="Times New Roman" w:cs="Times New Roman"/>
          <w:sz w:val="24"/>
          <w:szCs w:val="24"/>
        </w:rPr>
        <w:t> </w:t>
      </w:r>
      <w:r w:rsidR="000864B7" w:rsidRPr="00A07F29">
        <w:rPr>
          <w:rFonts w:ascii="Times New Roman" w:eastAsia="Calibri" w:hAnsi="Times New Roman" w:cs="Times New Roman"/>
          <w:sz w:val="24"/>
          <w:szCs w:val="24"/>
        </w:rPr>
        <w:t>g</w:t>
      </w:r>
      <w:r w:rsidR="00325745">
        <w:rPr>
          <w:rFonts w:ascii="Times New Roman" w:eastAsia="Calibri" w:hAnsi="Times New Roman" w:cs="Times New Roman"/>
          <w:sz w:val="24"/>
          <w:szCs w:val="24"/>
        </w:rPr>
        <w:t>adsimta</w:t>
      </w:r>
      <w:r w:rsidR="000864B7" w:rsidRPr="00A07F29">
        <w:rPr>
          <w:rFonts w:ascii="Times New Roman" w:eastAsia="Calibri" w:hAnsi="Times New Roman" w:cs="Times New Roman"/>
          <w:sz w:val="24"/>
          <w:szCs w:val="24"/>
        </w:rPr>
        <w:t xml:space="preserve"> notikumiem;</w:t>
      </w:r>
    </w:p>
    <w:p w14:paraId="6C2F1839" w14:textId="3CE4CAB5" w:rsidR="00A21E83" w:rsidRPr="00A07F29" w:rsidRDefault="00A21E83" w:rsidP="00F87589">
      <w:pPr>
        <w:numPr>
          <w:ilvl w:val="0"/>
          <w:numId w:val="36"/>
        </w:numPr>
        <w:spacing w:after="120" w:line="240" w:lineRule="auto"/>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pie kempinga “</w:t>
      </w:r>
      <w:proofErr w:type="spellStart"/>
      <w:r w:rsidRPr="00A07F29">
        <w:rPr>
          <w:rFonts w:ascii="Times New Roman" w:eastAsia="Calibri" w:hAnsi="Times New Roman" w:cs="Times New Roman"/>
          <w:sz w:val="24"/>
          <w:szCs w:val="24"/>
        </w:rPr>
        <w:t>Ozianna</w:t>
      </w:r>
      <w:proofErr w:type="spellEnd"/>
      <w:r w:rsidRPr="00A07F29">
        <w:rPr>
          <w:rFonts w:ascii="Times New Roman" w:eastAsia="Calibri" w:hAnsi="Times New Roman" w:cs="Times New Roman"/>
          <w:sz w:val="24"/>
          <w:szCs w:val="24"/>
        </w:rPr>
        <w:t xml:space="preserve">” </w:t>
      </w:r>
      <w:r w:rsidR="00AF48E3" w:rsidRPr="00A07F29">
        <w:rPr>
          <w:rFonts w:ascii="Times New Roman" w:eastAsia="Calibri" w:hAnsi="Times New Roman" w:cs="Times New Roman"/>
          <w:sz w:val="24"/>
          <w:szCs w:val="24"/>
        </w:rPr>
        <w:t xml:space="preserve">un </w:t>
      </w:r>
      <w:proofErr w:type="spellStart"/>
      <w:r w:rsidRPr="00A07F29">
        <w:rPr>
          <w:rFonts w:ascii="Times New Roman" w:eastAsia="Calibri" w:hAnsi="Times New Roman" w:cs="Times New Roman"/>
          <w:sz w:val="24"/>
          <w:szCs w:val="24"/>
        </w:rPr>
        <w:t>Vasargelišķu</w:t>
      </w:r>
      <w:proofErr w:type="spellEnd"/>
      <w:r w:rsidRPr="00A07F29">
        <w:rPr>
          <w:rFonts w:ascii="Times New Roman" w:eastAsia="Calibri" w:hAnsi="Times New Roman" w:cs="Times New Roman"/>
          <w:sz w:val="24"/>
          <w:szCs w:val="24"/>
        </w:rPr>
        <w:t xml:space="preserve"> skatu tor</w:t>
      </w:r>
      <w:r w:rsidR="00AF48E3" w:rsidRPr="00A07F29">
        <w:rPr>
          <w:rFonts w:ascii="Times New Roman" w:eastAsia="Calibri" w:hAnsi="Times New Roman" w:cs="Times New Roman"/>
          <w:sz w:val="24"/>
          <w:szCs w:val="24"/>
        </w:rPr>
        <w:t xml:space="preserve">ņa – par </w:t>
      </w:r>
      <w:proofErr w:type="spellStart"/>
      <w:r w:rsidRPr="00A07F29">
        <w:rPr>
          <w:rFonts w:ascii="Times New Roman" w:eastAsia="Calibri" w:hAnsi="Times New Roman" w:cs="Times New Roman"/>
          <w:sz w:val="24"/>
          <w:szCs w:val="24"/>
        </w:rPr>
        <w:t>Sandarišķu</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karengrav</w:t>
      </w:r>
      <w:r w:rsidR="00AF48E3" w:rsidRPr="00A07F29">
        <w:rPr>
          <w:rFonts w:ascii="Times New Roman" w:eastAsia="Calibri" w:hAnsi="Times New Roman" w:cs="Times New Roman"/>
          <w:sz w:val="24"/>
          <w:szCs w:val="24"/>
        </w:rPr>
        <w:t>ām</w:t>
      </w:r>
      <w:proofErr w:type="spellEnd"/>
      <w:r w:rsidRPr="00A07F29">
        <w:rPr>
          <w:rFonts w:ascii="Times New Roman" w:eastAsia="Calibri" w:hAnsi="Times New Roman" w:cs="Times New Roman"/>
          <w:sz w:val="24"/>
          <w:szCs w:val="24"/>
        </w:rPr>
        <w:t>;</w:t>
      </w:r>
    </w:p>
    <w:p w14:paraId="64B68A1C" w14:textId="35EE619D" w:rsidR="00FE10AA" w:rsidRPr="00A07F29" w:rsidRDefault="00FE10AA" w:rsidP="00F87589">
      <w:pPr>
        <w:numPr>
          <w:ilvl w:val="0"/>
          <w:numId w:val="36"/>
        </w:numPr>
        <w:spacing w:after="120" w:line="240" w:lineRule="auto"/>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par </w:t>
      </w:r>
      <w:proofErr w:type="spellStart"/>
      <w:r w:rsidRPr="00A07F29">
        <w:rPr>
          <w:rFonts w:ascii="Times New Roman" w:eastAsia="Calibri" w:hAnsi="Times New Roman" w:cs="Times New Roman"/>
          <w:sz w:val="24"/>
          <w:szCs w:val="24"/>
        </w:rPr>
        <w:t>Slutišķu</w:t>
      </w:r>
      <w:proofErr w:type="spellEnd"/>
      <w:r w:rsidRPr="00A07F29">
        <w:rPr>
          <w:rFonts w:ascii="Times New Roman" w:eastAsia="Calibri" w:hAnsi="Times New Roman" w:cs="Times New Roman"/>
          <w:sz w:val="24"/>
          <w:szCs w:val="24"/>
        </w:rPr>
        <w:t xml:space="preserve"> sādžas vēsturi un attīstību mūsdienās – iepretim pagriezienam uz </w:t>
      </w:r>
      <w:r w:rsidR="00D07A7B">
        <w:rPr>
          <w:rFonts w:ascii="Times New Roman" w:eastAsia="Calibri" w:hAnsi="Times New Roman" w:cs="Times New Roman"/>
          <w:sz w:val="24"/>
          <w:szCs w:val="24"/>
        </w:rPr>
        <w:t>“</w:t>
      </w:r>
      <w:r w:rsidRPr="00A07F29">
        <w:rPr>
          <w:rFonts w:ascii="Times New Roman" w:eastAsia="Calibri" w:hAnsi="Times New Roman" w:cs="Times New Roman"/>
          <w:sz w:val="24"/>
          <w:szCs w:val="24"/>
        </w:rPr>
        <w:t>Latgales sētu</w:t>
      </w:r>
      <w:r w:rsidR="00D07A7B">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Slutišķu</w:t>
      </w:r>
      <w:proofErr w:type="spellEnd"/>
      <w:r w:rsidRPr="00A07F29">
        <w:rPr>
          <w:rFonts w:ascii="Times New Roman" w:eastAsia="Calibri" w:hAnsi="Times New Roman" w:cs="Times New Roman"/>
          <w:sz w:val="24"/>
          <w:szCs w:val="24"/>
        </w:rPr>
        <w:t xml:space="preserve"> sādžā;</w:t>
      </w:r>
    </w:p>
    <w:p w14:paraId="49DD4E61" w14:textId="77777777" w:rsidR="00FE10AA" w:rsidRPr="00A07F29" w:rsidRDefault="00FE10AA" w:rsidP="00F87589">
      <w:pPr>
        <w:numPr>
          <w:ilvl w:val="0"/>
          <w:numId w:val="36"/>
        </w:numPr>
        <w:spacing w:after="120" w:line="240" w:lineRule="auto"/>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pie </w:t>
      </w:r>
      <w:proofErr w:type="spellStart"/>
      <w:r w:rsidRPr="00A07F29">
        <w:rPr>
          <w:rFonts w:ascii="Times New Roman" w:eastAsia="Calibri" w:hAnsi="Times New Roman" w:cs="Times New Roman"/>
          <w:sz w:val="24"/>
          <w:szCs w:val="24"/>
        </w:rPr>
        <w:t>Markovas</w:t>
      </w:r>
      <w:proofErr w:type="spellEnd"/>
      <w:r w:rsidRPr="00A07F29">
        <w:rPr>
          <w:rFonts w:ascii="Times New Roman" w:eastAsia="Calibri" w:hAnsi="Times New Roman" w:cs="Times New Roman"/>
          <w:sz w:val="24"/>
          <w:szCs w:val="24"/>
        </w:rPr>
        <w:t xml:space="preserve"> kapsētas – par </w:t>
      </w:r>
      <w:proofErr w:type="spellStart"/>
      <w:r w:rsidRPr="00A07F29">
        <w:rPr>
          <w:rFonts w:ascii="Times New Roman" w:eastAsia="Calibri" w:hAnsi="Times New Roman" w:cs="Times New Roman"/>
          <w:sz w:val="24"/>
          <w:szCs w:val="24"/>
        </w:rPr>
        <w:t>Markovas</w:t>
      </w:r>
      <w:proofErr w:type="spellEnd"/>
      <w:r w:rsidRPr="00A07F29">
        <w:rPr>
          <w:rFonts w:ascii="Times New Roman" w:eastAsia="Calibri" w:hAnsi="Times New Roman" w:cs="Times New Roman"/>
          <w:sz w:val="24"/>
          <w:szCs w:val="24"/>
        </w:rPr>
        <w:t xml:space="preserve"> kapiem un visiem HES būvniecības laikā izpostītajiem kapiem;</w:t>
      </w:r>
    </w:p>
    <w:p w14:paraId="65C132F3" w14:textId="555CF38E" w:rsidR="00A21E83" w:rsidRPr="00A07F29" w:rsidRDefault="00A21E83" w:rsidP="00141282">
      <w:pPr>
        <w:numPr>
          <w:ilvl w:val="0"/>
          <w:numId w:val="36"/>
        </w:numPr>
        <w:spacing w:after="120" w:line="240" w:lineRule="auto"/>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atpūtas vietā ar </w:t>
      </w:r>
      <w:r w:rsidR="00141282" w:rsidRPr="00A07F29">
        <w:rPr>
          <w:rFonts w:ascii="Times New Roman" w:eastAsia="Calibri" w:hAnsi="Times New Roman" w:cs="Times New Roman"/>
          <w:sz w:val="24"/>
          <w:szCs w:val="24"/>
        </w:rPr>
        <w:t>laivu nolaišanas vietu</w:t>
      </w:r>
      <w:r w:rsidRPr="00A07F29">
        <w:rPr>
          <w:rFonts w:ascii="Times New Roman" w:eastAsia="Calibri" w:hAnsi="Times New Roman" w:cs="Times New Roman"/>
          <w:sz w:val="24"/>
          <w:szCs w:val="24"/>
        </w:rPr>
        <w:t xml:space="preserve"> pie </w:t>
      </w:r>
      <w:proofErr w:type="spellStart"/>
      <w:r w:rsidRPr="00A07F29">
        <w:rPr>
          <w:rFonts w:ascii="Times New Roman" w:eastAsia="Calibri" w:hAnsi="Times New Roman" w:cs="Times New Roman"/>
          <w:sz w:val="24"/>
          <w:szCs w:val="24"/>
        </w:rPr>
        <w:t>Slutišķiem</w:t>
      </w:r>
      <w:proofErr w:type="spellEnd"/>
      <w:r w:rsidRPr="00A07F29">
        <w:rPr>
          <w:rFonts w:ascii="Times New Roman" w:eastAsia="Calibri" w:hAnsi="Times New Roman" w:cs="Times New Roman"/>
          <w:sz w:val="24"/>
          <w:szCs w:val="24"/>
        </w:rPr>
        <w:t xml:space="preserve"> uz esošā informācijas stenda rāmja izvietot planšeti ar informāciju par sastopamajām zivīm Daugavā;</w:t>
      </w:r>
    </w:p>
    <w:p w14:paraId="1E454A5F" w14:textId="7642CB8B" w:rsidR="008C4381" w:rsidRPr="00A07F29" w:rsidRDefault="008C4381" w:rsidP="00F87589">
      <w:pPr>
        <w:numPr>
          <w:ilvl w:val="0"/>
          <w:numId w:val="36"/>
        </w:numPr>
        <w:spacing w:after="120" w:line="240" w:lineRule="auto"/>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Kraujā pie Daugavas – izvietot stendu ar informāciju makšķerniekiem un ūdeņu izmantotājiem;</w:t>
      </w:r>
    </w:p>
    <w:p w14:paraId="3FCC7203" w14:textId="711C5E84" w:rsidR="00A21E83" w:rsidRPr="00A07F29" w:rsidRDefault="00432ECD" w:rsidP="00F87589">
      <w:pPr>
        <w:numPr>
          <w:ilvl w:val="0"/>
          <w:numId w:val="36"/>
        </w:numPr>
        <w:spacing w:after="120" w:line="240" w:lineRule="auto"/>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izvietot </w:t>
      </w:r>
      <w:r w:rsidR="00A21E83" w:rsidRPr="00A07F29">
        <w:rPr>
          <w:rFonts w:ascii="Times New Roman" w:eastAsia="Calibri" w:hAnsi="Times New Roman" w:cs="Times New Roman"/>
          <w:sz w:val="24"/>
          <w:szCs w:val="24"/>
        </w:rPr>
        <w:t xml:space="preserve">pie </w:t>
      </w:r>
      <w:proofErr w:type="spellStart"/>
      <w:r w:rsidR="00A21E83" w:rsidRPr="00A07F29">
        <w:rPr>
          <w:rFonts w:ascii="Times New Roman" w:eastAsia="Calibri" w:hAnsi="Times New Roman" w:cs="Times New Roman"/>
          <w:sz w:val="24"/>
          <w:szCs w:val="24"/>
        </w:rPr>
        <w:t>Vecračinas</w:t>
      </w:r>
      <w:proofErr w:type="spellEnd"/>
      <w:r w:rsidR="00A21E83" w:rsidRPr="00A07F29">
        <w:rPr>
          <w:rFonts w:ascii="Times New Roman" w:eastAsia="Calibri" w:hAnsi="Times New Roman" w:cs="Times New Roman"/>
          <w:sz w:val="24"/>
          <w:szCs w:val="24"/>
        </w:rPr>
        <w:t xml:space="preserve"> pilskalna informatīvo stend</w:t>
      </w:r>
      <w:r w:rsidRPr="00A07F29">
        <w:rPr>
          <w:rFonts w:ascii="Times New Roman" w:eastAsia="Calibri" w:hAnsi="Times New Roman" w:cs="Times New Roman"/>
          <w:sz w:val="24"/>
          <w:szCs w:val="24"/>
        </w:rPr>
        <w:t>u</w:t>
      </w:r>
      <w:r w:rsidR="00A21E83" w:rsidRPr="00A07F29">
        <w:rPr>
          <w:rFonts w:ascii="Times New Roman" w:eastAsia="Calibri" w:hAnsi="Times New Roman" w:cs="Times New Roman"/>
          <w:sz w:val="24"/>
          <w:szCs w:val="24"/>
        </w:rPr>
        <w:t xml:space="preserve"> ar informāciju par pilskalnu;</w:t>
      </w:r>
    </w:p>
    <w:p w14:paraId="213EBFD9" w14:textId="77777777" w:rsidR="00A21E83" w:rsidRPr="00A07F29" w:rsidRDefault="00A21E83" w:rsidP="00F87589">
      <w:pPr>
        <w:numPr>
          <w:ilvl w:val="0"/>
          <w:numId w:val="36"/>
        </w:numPr>
        <w:spacing w:after="120" w:line="240" w:lineRule="auto"/>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Adamovas pilskalnā ieteicams ierīkot lielāku, atsevišķi stāvošu informācijas stendu ar izceltiem objekta apmeklēšanas un lietošanas noteikumiem;</w:t>
      </w:r>
    </w:p>
    <w:p w14:paraId="7F52AABD" w14:textId="7B25B7A4" w:rsidR="00A21E83" w:rsidRPr="00A07F29" w:rsidRDefault="00A21E83" w:rsidP="00F87589">
      <w:pPr>
        <w:numPr>
          <w:ilvl w:val="0"/>
          <w:numId w:val="36"/>
        </w:numPr>
        <w:spacing w:after="120" w:line="240" w:lineRule="auto"/>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Adamovas dabas takas posmā izvietot informācijas stendu par Adamovas </w:t>
      </w:r>
      <w:r w:rsidR="0096100F" w:rsidRPr="00A07F29">
        <w:rPr>
          <w:rFonts w:ascii="Times New Roman" w:eastAsia="Calibri" w:hAnsi="Times New Roman" w:cs="Times New Roman"/>
          <w:sz w:val="24"/>
          <w:szCs w:val="24"/>
        </w:rPr>
        <w:t>krauju</w:t>
      </w:r>
      <w:r w:rsidRPr="00A07F29">
        <w:rPr>
          <w:rFonts w:ascii="Times New Roman" w:eastAsia="Calibri" w:hAnsi="Times New Roman" w:cs="Times New Roman"/>
          <w:sz w:val="24"/>
          <w:szCs w:val="24"/>
        </w:rPr>
        <w:t>;</w:t>
      </w:r>
    </w:p>
    <w:p w14:paraId="216D1CBB" w14:textId="77777777" w:rsidR="00A21E83" w:rsidRPr="00A07F29" w:rsidRDefault="00A21E83" w:rsidP="00F87589">
      <w:pPr>
        <w:numPr>
          <w:ilvl w:val="0"/>
          <w:numId w:val="36"/>
        </w:numPr>
        <w:spacing w:after="120" w:line="240" w:lineRule="auto"/>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atpūtas vietā “Pie Daugavas” uz informācijas stenda rāmja izvietot planšeti ar informāciju par AAA “Augšdaugava”;</w:t>
      </w:r>
    </w:p>
    <w:p w14:paraId="71F40660" w14:textId="77777777" w:rsidR="00A21E83" w:rsidRPr="00A07F29" w:rsidRDefault="00A21E83" w:rsidP="00F87589">
      <w:pPr>
        <w:numPr>
          <w:ilvl w:val="0"/>
          <w:numId w:val="36"/>
        </w:numPr>
        <w:spacing w:after="120" w:line="240" w:lineRule="auto"/>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izvietot informācijas stendu par </w:t>
      </w:r>
      <w:proofErr w:type="spellStart"/>
      <w:r w:rsidRPr="00A07F29">
        <w:rPr>
          <w:rFonts w:ascii="Times New Roman" w:eastAsia="Calibri" w:hAnsi="Times New Roman" w:cs="Times New Roman"/>
          <w:sz w:val="24"/>
          <w:szCs w:val="24"/>
        </w:rPr>
        <w:t>Vecbornes</w:t>
      </w:r>
      <w:proofErr w:type="spellEnd"/>
      <w:r w:rsidRPr="00A07F29">
        <w:rPr>
          <w:rFonts w:ascii="Times New Roman" w:eastAsia="Calibri" w:hAnsi="Times New Roman" w:cs="Times New Roman"/>
          <w:sz w:val="24"/>
          <w:szCs w:val="24"/>
        </w:rPr>
        <w:t xml:space="preserve"> muižu un parku;</w:t>
      </w:r>
    </w:p>
    <w:p w14:paraId="39A585EA" w14:textId="77777777" w:rsidR="00A21E83" w:rsidRPr="00A07F29" w:rsidRDefault="00A21E83" w:rsidP="00F87589">
      <w:pPr>
        <w:numPr>
          <w:ilvl w:val="0"/>
          <w:numId w:val="36"/>
        </w:numPr>
        <w:spacing w:after="120" w:line="240" w:lineRule="auto"/>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ieteicams </w:t>
      </w:r>
      <w:proofErr w:type="spellStart"/>
      <w:r w:rsidRPr="00A07F29">
        <w:rPr>
          <w:rFonts w:ascii="Times New Roman" w:eastAsia="Calibri" w:hAnsi="Times New Roman" w:cs="Times New Roman"/>
          <w:sz w:val="24"/>
          <w:szCs w:val="24"/>
        </w:rPr>
        <w:t>Lielbornes</w:t>
      </w:r>
      <w:proofErr w:type="spellEnd"/>
      <w:r w:rsidRPr="00A07F29">
        <w:rPr>
          <w:rFonts w:ascii="Times New Roman" w:eastAsia="Calibri" w:hAnsi="Times New Roman" w:cs="Times New Roman"/>
          <w:sz w:val="24"/>
          <w:szCs w:val="24"/>
        </w:rPr>
        <w:t xml:space="preserve"> muižas taku papildināt ar informācijas stendiem par muižas kompleksā sastopamajām dabas un kultūrvēstures vērtībām;</w:t>
      </w:r>
    </w:p>
    <w:p w14:paraId="1E0F315C" w14:textId="77777777" w:rsidR="00A21E83" w:rsidRPr="00A07F29" w:rsidRDefault="00A21E83" w:rsidP="00F87589">
      <w:pPr>
        <w:numPr>
          <w:ilvl w:val="0"/>
          <w:numId w:val="36"/>
        </w:numPr>
        <w:spacing w:after="120" w:line="240" w:lineRule="auto"/>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ieteicams izvietot informācijas stendu ar Tabores muižas nosaukumu un informāciju par tās vēsturi;</w:t>
      </w:r>
    </w:p>
    <w:p w14:paraId="47E5579C" w14:textId="77777777" w:rsidR="00A21E83" w:rsidRPr="00A07F29" w:rsidRDefault="00A21E83" w:rsidP="00F87589">
      <w:pPr>
        <w:numPr>
          <w:ilvl w:val="0"/>
          <w:numId w:val="36"/>
        </w:numPr>
        <w:spacing w:after="120" w:line="240" w:lineRule="auto"/>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izvietot katedras tipa informācijas stendu pie </w:t>
      </w:r>
      <w:proofErr w:type="spellStart"/>
      <w:r w:rsidRPr="00A07F29">
        <w:rPr>
          <w:rFonts w:ascii="Times New Roman" w:eastAsia="Calibri" w:hAnsi="Times New Roman" w:cs="Times New Roman"/>
          <w:sz w:val="24"/>
          <w:szCs w:val="24"/>
        </w:rPr>
        <w:t>Jaunbornes</w:t>
      </w:r>
      <w:proofErr w:type="spellEnd"/>
      <w:r w:rsidRPr="00A07F29">
        <w:rPr>
          <w:rFonts w:ascii="Times New Roman" w:eastAsia="Calibri" w:hAnsi="Times New Roman" w:cs="Times New Roman"/>
          <w:sz w:val="24"/>
          <w:szCs w:val="24"/>
        </w:rPr>
        <w:t xml:space="preserve"> kapelas (krucifiksa);</w:t>
      </w:r>
    </w:p>
    <w:p w14:paraId="445ED68F" w14:textId="77777777" w:rsidR="00A21E83" w:rsidRPr="00A07F29" w:rsidRDefault="00A21E83" w:rsidP="00F87589">
      <w:pPr>
        <w:numPr>
          <w:ilvl w:val="0"/>
          <w:numId w:val="36"/>
        </w:numPr>
        <w:spacing w:after="120" w:line="240" w:lineRule="auto"/>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pie </w:t>
      </w:r>
      <w:proofErr w:type="spellStart"/>
      <w:r w:rsidRPr="00A07F29">
        <w:rPr>
          <w:rFonts w:ascii="Times New Roman" w:eastAsia="Calibri" w:hAnsi="Times New Roman" w:cs="Times New Roman"/>
          <w:sz w:val="24"/>
          <w:szCs w:val="24"/>
        </w:rPr>
        <w:t>Indricas</w:t>
      </w:r>
      <w:proofErr w:type="spellEnd"/>
      <w:r w:rsidRPr="00A07F29">
        <w:rPr>
          <w:rFonts w:ascii="Times New Roman" w:eastAsia="Calibri" w:hAnsi="Times New Roman" w:cs="Times New Roman"/>
          <w:sz w:val="24"/>
          <w:szCs w:val="24"/>
        </w:rPr>
        <w:t xml:space="preserve"> nocietinātās muižas vietas izvietot informācijas stendu, kas iepazīstinātu ar šīs vietas nozīmi.</w:t>
      </w:r>
    </w:p>
    <w:p w14:paraId="697CCFF2" w14:textId="6F056853" w:rsidR="00972AC9" w:rsidRPr="00A07F29" w:rsidRDefault="00972AC9" w:rsidP="00972AC9">
      <w:pPr>
        <w:spacing w:after="120" w:line="240" w:lineRule="auto"/>
        <w:ind w:firstLine="851"/>
        <w:jc w:val="both"/>
        <w:rPr>
          <w:rFonts w:ascii="Times New Roman" w:hAnsi="Times New Roman" w:cs="Times New Roman"/>
          <w:bCs/>
          <w:sz w:val="24"/>
          <w:szCs w:val="24"/>
          <w:lang w:eastAsia="ja-JP"/>
        </w:rPr>
      </w:pPr>
      <w:r w:rsidRPr="00A07F29">
        <w:rPr>
          <w:rFonts w:ascii="Times New Roman" w:hAnsi="Times New Roman" w:cs="Times New Roman"/>
          <w:bCs/>
          <w:sz w:val="24"/>
          <w:szCs w:val="24"/>
          <w:lang w:eastAsia="ja-JP"/>
        </w:rPr>
        <w:t>Informatīvo stendu izvietojumu skat</w:t>
      </w:r>
      <w:r w:rsidR="00981A94">
        <w:rPr>
          <w:rFonts w:ascii="Times New Roman" w:hAnsi="Times New Roman" w:cs="Times New Roman"/>
          <w:bCs/>
          <w:sz w:val="24"/>
          <w:szCs w:val="24"/>
          <w:lang w:eastAsia="ja-JP"/>
        </w:rPr>
        <w:t>īt</w:t>
      </w:r>
      <w:r w:rsidRPr="00A07F29">
        <w:rPr>
          <w:rFonts w:ascii="Times New Roman" w:hAnsi="Times New Roman" w:cs="Times New Roman"/>
          <w:bCs/>
          <w:sz w:val="24"/>
          <w:szCs w:val="24"/>
          <w:lang w:eastAsia="ja-JP"/>
        </w:rPr>
        <w:t xml:space="preserve"> </w:t>
      </w:r>
      <w:r w:rsidR="00F35B98" w:rsidRPr="00A07F29">
        <w:rPr>
          <w:rFonts w:ascii="Times New Roman" w:hAnsi="Times New Roman" w:cs="Times New Roman"/>
          <w:bCs/>
          <w:sz w:val="24"/>
          <w:szCs w:val="24"/>
          <w:lang w:eastAsia="ja-JP"/>
        </w:rPr>
        <w:t>5.1.2.</w:t>
      </w:r>
      <w:r w:rsidR="00FC1B62">
        <w:rPr>
          <w:rFonts w:ascii="Times New Roman" w:hAnsi="Times New Roman" w:cs="Times New Roman"/>
          <w:bCs/>
          <w:sz w:val="24"/>
          <w:szCs w:val="24"/>
          <w:lang w:eastAsia="ja-JP"/>
        </w:rPr>
        <w:t xml:space="preserve"> un 5.1.2a.</w:t>
      </w:r>
      <w:r w:rsidR="00981A94">
        <w:rPr>
          <w:rFonts w:ascii="Times New Roman" w:hAnsi="Times New Roman" w:cs="Times New Roman"/>
          <w:bCs/>
          <w:sz w:val="24"/>
          <w:szCs w:val="24"/>
          <w:lang w:eastAsia="ja-JP"/>
        </w:rPr>
        <w:t> </w:t>
      </w:r>
      <w:r w:rsidR="00F35B98" w:rsidRPr="00A07F29">
        <w:rPr>
          <w:rFonts w:ascii="Times New Roman" w:hAnsi="Times New Roman" w:cs="Times New Roman"/>
          <w:bCs/>
          <w:sz w:val="24"/>
          <w:szCs w:val="24"/>
          <w:lang w:eastAsia="ja-JP"/>
        </w:rPr>
        <w:t>pielikumā</w:t>
      </w:r>
      <w:r w:rsidRPr="00A07F29">
        <w:rPr>
          <w:rFonts w:ascii="Times New Roman" w:hAnsi="Times New Roman" w:cs="Times New Roman"/>
          <w:bCs/>
          <w:sz w:val="24"/>
          <w:szCs w:val="24"/>
          <w:lang w:eastAsia="ja-JP"/>
        </w:rPr>
        <w:t>.</w:t>
      </w:r>
    </w:p>
    <w:p w14:paraId="30541AF7" w14:textId="6F53F3AA" w:rsidR="00A21E83" w:rsidRPr="00A07F29" w:rsidRDefault="00A21E83" w:rsidP="003550DD">
      <w:pPr>
        <w:keepNext/>
        <w:spacing w:before="240" w:after="120" w:line="240" w:lineRule="auto"/>
        <w:jc w:val="both"/>
        <w:rPr>
          <w:rFonts w:ascii="Times New Roman" w:eastAsia="Calibri" w:hAnsi="Times New Roman" w:cs="Calibri"/>
          <w:b/>
          <w:bCs/>
          <w:i/>
          <w:sz w:val="24"/>
          <w:lang w:eastAsia="ja-JP"/>
        </w:rPr>
      </w:pPr>
      <w:r w:rsidRPr="00A07F29">
        <w:rPr>
          <w:rFonts w:ascii="Times New Roman" w:eastAsia="Calibri" w:hAnsi="Times New Roman" w:cs="Calibri"/>
          <w:b/>
          <w:bCs/>
          <w:i/>
          <w:sz w:val="24"/>
          <w:lang w:eastAsia="ja-JP"/>
        </w:rPr>
        <w:t xml:space="preserve">C.1.5. </w:t>
      </w:r>
      <w:r w:rsidR="00972AC9" w:rsidRPr="00A07F29">
        <w:rPr>
          <w:rFonts w:ascii="Times New Roman" w:eastAsia="Calibri" w:hAnsi="Times New Roman" w:cs="Calibri"/>
          <w:b/>
          <w:bCs/>
          <w:i/>
          <w:sz w:val="24"/>
          <w:lang w:eastAsia="ja-JP"/>
        </w:rPr>
        <w:t xml:space="preserve">Ceļa norāžu </w:t>
      </w:r>
      <w:r w:rsidRPr="00A07F29">
        <w:rPr>
          <w:rFonts w:ascii="Times New Roman" w:eastAsia="Calibri" w:hAnsi="Times New Roman" w:cs="Calibri"/>
          <w:b/>
          <w:bCs/>
          <w:i/>
          <w:sz w:val="24"/>
          <w:lang w:eastAsia="ja-JP"/>
        </w:rPr>
        <w:t>uz esošajiem tūrisma objektiem</w:t>
      </w:r>
      <w:r w:rsidR="00972AC9" w:rsidRPr="00A07F29">
        <w:rPr>
          <w:rFonts w:ascii="Times New Roman" w:eastAsia="Calibri" w:hAnsi="Times New Roman" w:cs="Calibri"/>
          <w:b/>
          <w:bCs/>
          <w:i/>
          <w:sz w:val="24"/>
          <w:lang w:eastAsia="ja-JP"/>
        </w:rPr>
        <w:t xml:space="preserve"> izvietošana</w:t>
      </w:r>
    </w:p>
    <w:p w14:paraId="02B7A910" w14:textId="2A829968" w:rsidR="000849CA" w:rsidRPr="00A07F29" w:rsidRDefault="000849CA" w:rsidP="000849CA">
      <w:pPr>
        <w:keepNext/>
        <w:spacing w:before="240" w:after="120" w:line="240" w:lineRule="auto"/>
        <w:ind w:firstLine="851"/>
        <w:jc w:val="both"/>
        <w:rPr>
          <w:rFonts w:ascii="Times New Roman" w:eastAsia="Calibri" w:hAnsi="Times New Roman" w:cs="Calibri"/>
          <w:bCs/>
          <w:sz w:val="24"/>
          <w:lang w:eastAsia="ja-JP"/>
        </w:rPr>
      </w:pPr>
      <w:r w:rsidRPr="00A07F29">
        <w:rPr>
          <w:rFonts w:ascii="Times New Roman" w:eastAsia="Calibri" w:hAnsi="Times New Roman" w:cs="Calibri"/>
          <w:bCs/>
          <w:sz w:val="24"/>
          <w:lang w:eastAsia="ja-JP"/>
        </w:rPr>
        <w:t>Ieteicams izvietot</w:t>
      </w:r>
      <w:r w:rsidR="00F64DE6">
        <w:rPr>
          <w:rFonts w:ascii="Times New Roman" w:eastAsia="Calibri" w:hAnsi="Times New Roman" w:cs="Calibri"/>
          <w:bCs/>
          <w:sz w:val="24"/>
          <w:lang w:eastAsia="ja-JP"/>
        </w:rPr>
        <w:t>:</w:t>
      </w:r>
    </w:p>
    <w:p w14:paraId="259B3BB7" w14:textId="71E2BDC6" w:rsidR="00A21E83" w:rsidRPr="00A07F29" w:rsidRDefault="00A21E83" w:rsidP="000849CA">
      <w:pPr>
        <w:numPr>
          <w:ilvl w:val="0"/>
          <w:numId w:val="37"/>
        </w:numPr>
        <w:spacing w:after="120" w:line="240" w:lineRule="auto"/>
        <w:ind w:left="850" w:hanging="425"/>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ceļa norādes uz </w:t>
      </w:r>
      <w:proofErr w:type="spellStart"/>
      <w:r w:rsidRPr="00A07F29">
        <w:rPr>
          <w:rFonts w:ascii="Times New Roman" w:eastAsia="Calibri" w:hAnsi="Times New Roman" w:cs="Times New Roman"/>
          <w:sz w:val="24"/>
          <w:szCs w:val="24"/>
        </w:rPr>
        <w:t>Sandarišķu</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karengravām</w:t>
      </w:r>
      <w:proofErr w:type="spellEnd"/>
      <w:r w:rsidRPr="00A07F29">
        <w:rPr>
          <w:rFonts w:ascii="Times New Roman" w:eastAsia="Calibri" w:hAnsi="Times New Roman" w:cs="Times New Roman"/>
          <w:sz w:val="24"/>
          <w:szCs w:val="24"/>
        </w:rPr>
        <w:t>;</w:t>
      </w:r>
    </w:p>
    <w:p w14:paraId="4F4EA7FB" w14:textId="55ED9C15" w:rsidR="00A21E83" w:rsidRPr="00A07F29" w:rsidRDefault="00A21E83" w:rsidP="000849CA">
      <w:pPr>
        <w:numPr>
          <w:ilvl w:val="0"/>
          <w:numId w:val="37"/>
        </w:numPr>
        <w:spacing w:after="120" w:line="240" w:lineRule="auto"/>
        <w:ind w:left="850" w:hanging="425"/>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papildus ceļa norādes uz Spruktu Sv. Antona Romas katoļu draudzes baznīcu (uz grants ceļa, braucot no </w:t>
      </w:r>
      <w:proofErr w:type="spellStart"/>
      <w:r w:rsidRPr="00A07F29">
        <w:rPr>
          <w:rFonts w:ascii="Times New Roman" w:eastAsia="Calibri" w:hAnsi="Times New Roman" w:cs="Times New Roman"/>
          <w:sz w:val="24"/>
          <w:szCs w:val="24"/>
        </w:rPr>
        <w:t>Vasargelišķu</w:t>
      </w:r>
      <w:proofErr w:type="spellEnd"/>
      <w:r w:rsidRPr="00A07F29">
        <w:rPr>
          <w:rFonts w:ascii="Times New Roman" w:eastAsia="Calibri" w:hAnsi="Times New Roman" w:cs="Times New Roman"/>
          <w:sz w:val="24"/>
          <w:szCs w:val="24"/>
        </w:rPr>
        <w:t xml:space="preserve"> skatu torņa līdz </w:t>
      </w:r>
      <w:proofErr w:type="spellStart"/>
      <w:r w:rsidRPr="00A07F29">
        <w:rPr>
          <w:rFonts w:ascii="Times New Roman" w:eastAsia="Calibri" w:hAnsi="Times New Roman" w:cs="Times New Roman"/>
          <w:sz w:val="24"/>
          <w:szCs w:val="24"/>
        </w:rPr>
        <w:t>Slutišķu</w:t>
      </w:r>
      <w:proofErr w:type="spellEnd"/>
      <w:r w:rsidRPr="00A07F29">
        <w:rPr>
          <w:rFonts w:ascii="Times New Roman" w:eastAsia="Calibri" w:hAnsi="Times New Roman" w:cs="Times New Roman"/>
          <w:sz w:val="24"/>
          <w:szCs w:val="24"/>
        </w:rPr>
        <w:t xml:space="preserve"> sādžai);</w:t>
      </w:r>
    </w:p>
    <w:p w14:paraId="178F337C" w14:textId="49EFE2A7" w:rsidR="00A21E83" w:rsidRPr="00A07F29" w:rsidRDefault="00A21E83" w:rsidP="000849CA">
      <w:pPr>
        <w:numPr>
          <w:ilvl w:val="0"/>
          <w:numId w:val="37"/>
        </w:numPr>
        <w:spacing w:after="120" w:line="240" w:lineRule="auto"/>
        <w:ind w:left="850" w:hanging="425"/>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ceļa norādes uz autoceļa P69 uz Sv. Jāņa Kristītāja pareizticīgo baznīcu Salienā (Tartakā);</w:t>
      </w:r>
    </w:p>
    <w:p w14:paraId="6BB6D3B7" w14:textId="124BA5B3" w:rsidR="00A21E83" w:rsidRPr="00A07F29" w:rsidRDefault="00A21E83" w:rsidP="000849CA">
      <w:pPr>
        <w:numPr>
          <w:ilvl w:val="0"/>
          <w:numId w:val="37"/>
        </w:numPr>
        <w:spacing w:after="120" w:line="240" w:lineRule="auto"/>
        <w:ind w:left="850" w:hanging="425"/>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skaidrāk</w:t>
      </w:r>
      <w:r w:rsidR="000849CA" w:rsidRPr="00A07F29">
        <w:rPr>
          <w:rFonts w:ascii="Times New Roman" w:eastAsia="Calibri" w:hAnsi="Times New Roman" w:cs="Times New Roman"/>
          <w:sz w:val="24"/>
          <w:szCs w:val="24"/>
        </w:rPr>
        <w:t>u</w:t>
      </w:r>
      <w:r w:rsidRPr="00A07F29">
        <w:rPr>
          <w:rFonts w:ascii="Times New Roman" w:eastAsia="Calibri" w:hAnsi="Times New Roman" w:cs="Times New Roman"/>
          <w:sz w:val="24"/>
          <w:szCs w:val="24"/>
        </w:rPr>
        <w:t xml:space="preserve"> ceļa norād</w:t>
      </w:r>
      <w:r w:rsidR="00617C1B">
        <w:rPr>
          <w:rFonts w:ascii="Times New Roman" w:eastAsia="Calibri" w:hAnsi="Times New Roman" w:cs="Times New Roman"/>
          <w:sz w:val="24"/>
          <w:szCs w:val="24"/>
        </w:rPr>
        <w:t>i</w:t>
      </w:r>
      <w:r w:rsidRPr="00A07F29">
        <w:rPr>
          <w:rFonts w:ascii="Times New Roman" w:eastAsia="Calibri" w:hAnsi="Times New Roman" w:cs="Times New Roman"/>
          <w:sz w:val="24"/>
          <w:szCs w:val="24"/>
        </w:rPr>
        <w:t xml:space="preserve"> uz </w:t>
      </w:r>
      <w:proofErr w:type="spellStart"/>
      <w:r w:rsidRPr="00A07F29">
        <w:rPr>
          <w:rFonts w:ascii="Times New Roman" w:eastAsia="Calibri" w:hAnsi="Times New Roman" w:cs="Times New Roman"/>
          <w:sz w:val="24"/>
          <w:szCs w:val="24"/>
        </w:rPr>
        <w:t>Vecračinas</w:t>
      </w:r>
      <w:proofErr w:type="spellEnd"/>
      <w:r w:rsidRPr="00A07F29">
        <w:rPr>
          <w:rFonts w:ascii="Times New Roman" w:eastAsia="Calibri" w:hAnsi="Times New Roman" w:cs="Times New Roman"/>
          <w:sz w:val="24"/>
          <w:szCs w:val="24"/>
        </w:rPr>
        <w:t xml:space="preserve"> pilskalnu (piemēram, tekstu nokrāsot ar krāsu, lai izceļas uz koka norādes);</w:t>
      </w:r>
    </w:p>
    <w:p w14:paraId="5FE5121C" w14:textId="780050B8" w:rsidR="00A21E83" w:rsidRPr="00A07F29" w:rsidRDefault="00A21E83" w:rsidP="000849CA">
      <w:pPr>
        <w:numPr>
          <w:ilvl w:val="0"/>
          <w:numId w:val="37"/>
        </w:numPr>
        <w:spacing w:after="120" w:line="240" w:lineRule="auto"/>
        <w:ind w:left="850" w:hanging="425"/>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Adamovas pilskalnā brūno ceļa norādi ar nosaukumu “Adamovas pilskalns”;</w:t>
      </w:r>
    </w:p>
    <w:p w14:paraId="71F4951C" w14:textId="5A141BB3" w:rsidR="00A21E83" w:rsidRPr="00A07F29" w:rsidRDefault="00A21E83" w:rsidP="000849CA">
      <w:pPr>
        <w:numPr>
          <w:ilvl w:val="0"/>
          <w:numId w:val="37"/>
        </w:numPr>
        <w:spacing w:after="120" w:line="240" w:lineRule="auto"/>
        <w:ind w:left="850" w:hanging="425"/>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lastRenderedPageBreak/>
        <w:t>skaidras ceļa norādes uz LVM atpūtas vietām (“Miera avots”, “</w:t>
      </w:r>
      <w:proofErr w:type="spellStart"/>
      <w:r w:rsidRPr="00A07F29">
        <w:rPr>
          <w:rFonts w:ascii="Times New Roman" w:eastAsia="Calibri" w:hAnsi="Times New Roman" w:cs="Times New Roman"/>
          <w:sz w:val="24"/>
          <w:szCs w:val="24"/>
        </w:rPr>
        <w:t>Šilovka</w:t>
      </w:r>
      <w:proofErr w:type="spellEnd"/>
      <w:r w:rsidRPr="00A07F29">
        <w:rPr>
          <w:rFonts w:ascii="Times New Roman" w:eastAsia="Calibri" w:hAnsi="Times New Roman" w:cs="Times New Roman"/>
          <w:sz w:val="24"/>
          <w:szCs w:val="24"/>
        </w:rPr>
        <w:t>”, “Krāslavas priežu sils”, “</w:t>
      </w:r>
      <w:proofErr w:type="spellStart"/>
      <w:r w:rsidRPr="00A07F29">
        <w:rPr>
          <w:rFonts w:ascii="Times New Roman" w:eastAsia="Calibri" w:hAnsi="Times New Roman" w:cs="Times New Roman"/>
          <w:sz w:val="24"/>
          <w:szCs w:val="24"/>
        </w:rPr>
        <w:t>Ververu</w:t>
      </w:r>
      <w:proofErr w:type="spellEnd"/>
      <w:r w:rsidRPr="00A07F29">
        <w:rPr>
          <w:rFonts w:ascii="Times New Roman" w:eastAsia="Calibri" w:hAnsi="Times New Roman" w:cs="Times New Roman"/>
          <w:sz w:val="24"/>
          <w:szCs w:val="24"/>
        </w:rPr>
        <w:t xml:space="preserve"> loks”, “Pie Daugavas”</w:t>
      </w:r>
      <w:r w:rsidR="00C53167" w:rsidRPr="00A07F29">
        <w:rPr>
          <w:rFonts w:ascii="Times New Roman" w:eastAsia="Calibri" w:hAnsi="Times New Roman" w:cs="Times New Roman"/>
          <w:sz w:val="24"/>
          <w:szCs w:val="24"/>
        </w:rPr>
        <w:t>, “Krauja”</w:t>
      </w:r>
      <w:r w:rsidRPr="00A07F29">
        <w:rPr>
          <w:rFonts w:ascii="Times New Roman" w:eastAsia="Calibri" w:hAnsi="Times New Roman" w:cs="Times New Roman"/>
          <w:sz w:val="24"/>
          <w:szCs w:val="24"/>
        </w:rPr>
        <w:t>)</w:t>
      </w:r>
      <w:r w:rsidR="00C53167" w:rsidRPr="00A07F29">
        <w:rPr>
          <w:rFonts w:ascii="Times New Roman" w:eastAsia="Calibri" w:hAnsi="Times New Roman" w:cs="Times New Roman"/>
          <w:sz w:val="24"/>
          <w:szCs w:val="24"/>
        </w:rPr>
        <w:t xml:space="preserve">, kā arī izvietot ceļa norādi uz </w:t>
      </w:r>
      <w:proofErr w:type="spellStart"/>
      <w:r w:rsidR="00C53167" w:rsidRPr="00A07F29">
        <w:rPr>
          <w:rFonts w:ascii="Times New Roman" w:eastAsia="Calibri" w:hAnsi="Times New Roman" w:cs="Times New Roman"/>
          <w:sz w:val="24"/>
          <w:szCs w:val="24"/>
        </w:rPr>
        <w:t>Ververu</w:t>
      </w:r>
      <w:proofErr w:type="spellEnd"/>
      <w:r w:rsidR="00C53167" w:rsidRPr="00A07F29">
        <w:rPr>
          <w:rFonts w:ascii="Times New Roman" w:eastAsia="Calibri" w:hAnsi="Times New Roman" w:cs="Times New Roman"/>
          <w:sz w:val="24"/>
          <w:szCs w:val="24"/>
        </w:rPr>
        <w:t xml:space="preserve"> krauju</w:t>
      </w:r>
      <w:r w:rsidRPr="00A07F29">
        <w:rPr>
          <w:rFonts w:ascii="Times New Roman" w:eastAsia="Calibri" w:hAnsi="Times New Roman" w:cs="Times New Roman"/>
          <w:sz w:val="24"/>
          <w:szCs w:val="24"/>
        </w:rPr>
        <w:t>;</w:t>
      </w:r>
    </w:p>
    <w:p w14:paraId="4F094450" w14:textId="4D761A52" w:rsidR="00A21E83" w:rsidRPr="00A07F29" w:rsidRDefault="00A21E83" w:rsidP="000849CA">
      <w:pPr>
        <w:numPr>
          <w:ilvl w:val="0"/>
          <w:numId w:val="37"/>
        </w:numPr>
        <w:spacing w:after="120" w:line="240" w:lineRule="auto"/>
        <w:ind w:left="850" w:hanging="425"/>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ceļa norādi uz </w:t>
      </w:r>
      <w:proofErr w:type="spellStart"/>
      <w:r w:rsidRPr="00A07F29">
        <w:rPr>
          <w:rFonts w:ascii="Times New Roman" w:eastAsia="Calibri" w:hAnsi="Times New Roman" w:cs="Times New Roman"/>
          <w:sz w:val="24"/>
          <w:szCs w:val="24"/>
        </w:rPr>
        <w:t>Indricas</w:t>
      </w:r>
      <w:proofErr w:type="spellEnd"/>
      <w:r w:rsidRPr="00A07F29">
        <w:rPr>
          <w:rFonts w:ascii="Times New Roman" w:eastAsia="Calibri" w:hAnsi="Times New Roman" w:cs="Times New Roman"/>
          <w:sz w:val="24"/>
          <w:szCs w:val="24"/>
        </w:rPr>
        <w:t xml:space="preserve"> nocietinātās muižas vietu;</w:t>
      </w:r>
    </w:p>
    <w:p w14:paraId="318E95B1" w14:textId="4A4B4366" w:rsidR="00A21E83" w:rsidRPr="00A07F29" w:rsidRDefault="000849CA" w:rsidP="000849CA">
      <w:pPr>
        <w:numPr>
          <w:ilvl w:val="0"/>
          <w:numId w:val="37"/>
        </w:numPr>
        <w:spacing w:after="120" w:line="240" w:lineRule="auto"/>
        <w:ind w:left="850" w:hanging="425"/>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brūno norādi ar objekta nosaukumu pie </w:t>
      </w:r>
      <w:r w:rsidR="00A21E83" w:rsidRPr="00A07F29">
        <w:rPr>
          <w:rFonts w:ascii="Times New Roman" w:eastAsia="Calibri" w:hAnsi="Times New Roman" w:cs="Times New Roman"/>
          <w:sz w:val="24"/>
          <w:szCs w:val="24"/>
        </w:rPr>
        <w:t>Pi</w:t>
      </w:r>
      <w:r w:rsidRPr="00A07F29">
        <w:rPr>
          <w:rFonts w:ascii="Times New Roman" w:eastAsia="Calibri" w:hAnsi="Times New Roman" w:cs="Times New Roman"/>
          <w:sz w:val="24"/>
          <w:szCs w:val="24"/>
        </w:rPr>
        <w:t>edrujas pagasta muzeja</w:t>
      </w:r>
      <w:r w:rsidR="00A21E83" w:rsidRPr="00A07F29">
        <w:rPr>
          <w:rFonts w:ascii="Times New Roman" w:eastAsia="Calibri" w:hAnsi="Times New Roman" w:cs="Times New Roman"/>
          <w:sz w:val="24"/>
          <w:szCs w:val="24"/>
        </w:rPr>
        <w:t>;</w:t>
      </w:r>
    </w:p>
    <w:p w14:paraId="46117EF8" w14:textId="1A7BB13C" w:rsidR="00A21E83" w:rsidRPr="00A07F29" w:rsidRDefault="000849CA" w:rsidP="000849CA">
      <w:pPr>
        <w:numPr>
          <w:ilvl w:val="0"/>
          <w:numId w:val="37"/>
        </w:numPr>
        <w:spacing w:after="120" w:line="240" w:lineRule="auto"/>
        <w:ind w:left="850" w:hanging="425"/>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ceļa norādes </w:t>
      </w:r>
      <w:proofErr w:type="spellStart"/>
      <w:r w:rsidR="00A21E83" w:rsidRPr="00A07F29">
        <w:rPr>
          <w:rFonts w:ascii="Times New Roman" w:eastAsia="Calibri" w:hAnsi="Times New Roman" w:cs="Times New Roman"/>
          <w:sz w:val="24"/>
          <w:szCs w:val="24"/>
        </w:rPr>
        <w:t>Vecbornes</w:t>
      </w:r>
      <w:proofErr w:type="spellEnd"/>
      <w:r w:rsidR="00A21E83" w:rsidRPr="00A07F29">
        <w:rPr>
          <w:rFonts w:ascii="Times New Roman" w:eastAsia="Calibri" w:hAnsi="Times New Roman" w:cs="Times New Roman"/>
          <w:sz w:val="24"/>
          <w:szCs w:val="24"/>
        </w:rPr>
        <w:t xml:space="preserve"> luterāņu baznīcai uz autoceļa P69</w:t>
      </w:r>
      <w:r w:rsidRPr="00A07F29">
        <w:rPr>
          <w:rFonts w:ascii="Times New Roman" w:eastAsia="Calibri" w:hAnsi="Times New Roman" w:cs="Times New Roman"/>
          <w:sz w:val="24"/>
          <w:szCs w:val="24"/>
        </w:rPr>
        <w:t xml:space="preserve"> izvietot atbilstoši piebraucamajiem ceļiem (pašlaik tās </w:t>
      </w:r>
      <w:r w:rsidR="00A21E83" w:rsidRPr="00A07F29">
        <w:rPr>
          <w:rFonts w:ascii="Times New Roman" w:eastAsia="Calibri" w:hAnsi="Times New Roman" w:cs="Times New Roman"/>
          <w:sz w:val="24"/>
          <w:szCs w:val="24"/>
        </w:rPr>
        <w:t>izvietotas maldinoši</w:t>
      </w:r>
      <w:r w:rsidRPr="00A07F29">
        <w:rPr>
          <w:rFonts w:ascii="Times New Roman" w:eastAsia="Calibri" w:hAnsi="Times New Roman" w:cs="Times New Roman"/>
          <w:sz w:val="24"/>
          <w:szCs w:val="24"/>
        </w:rPr>
        <w:t>);</w:t>
      </w:r>
    </w:p>
    <w:p w14:paraId="07819FEB" w14:textId="7BDEC7FE" w:rsidR="008A6FE1" w:rsidRPr="00A07F29" w:rsidRDefault="008A6FE1" w:rsidP="000849CA">
      <w:pPr>
        <w:numPr>
          <w:ilvl w:val="0"/>
          <w:numId w:val="37"/>
        </w:numPr>
        <w:spacing w:after="120" w:line="240" w:lineRule="auto"/>
        <w:ind w:left="850" w:hanging="425"/>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skaidru norā</w:t>
      </w:r>
      <w:r w:rsidR="000849CA" w:rsidRPr="00A07F29">
        <w:rPr>
          <w:rFonts w:ascii="Times New Roman" w:eastAsia="Calibri" w:hAnsi="Times New Roman" w:cs="Times New Roman"/>
          <w:sz w:val="24"/>
          <w:szCs w:val="24"/>
        </w:rPr>
        <w:t xml:space="preserve">di par </w:t>
      </w:r>
      <w:proofErr w:type="spellStart"/>
      <w:r w:rsidR="000849CA" w:rsidRPr="00A07F29">
        <w:rPr>
          <w:rFonts w:ascii="Times New Roman" w:eastAsia="Calibri" w:hAnsi="Times New Roman" w:cs="Times New Roman"/>
          <w:sz w:val="24"/>
          <w:szCs w:val="24"/>
        </w:rPr>
        <w:t>Vecbornes</w:t>
      </w:r>
      <w:proofErr w:type="spellEnd"/>
      <w:r w:rsidR="000849CA" w:rsidRPr="00A07F29">
        <w:rPr>
          <w:rFonts w:ascii="Times New Roman" w:eastAsia="Calibri" w:hAnsi="Times New Roman" w:cs="Times New Roman"/>
          <w:sz w:val="24"/>
          <w:szCs w:val="24"/>
        </w:rPr>
        <w:t xml:space="preserve"> parku un </w:t>
      </w:r>
      <w:r w:rsidRPr="00A07F29">
        <w:rPr>
          <w:rFonts w:ascii="Times New Roman" w:eastAsia="Calibri" w:hAnsi="Times New Roman" w:cs="Times New Roman"/>
          <w:sz w:val="24"/>
          <w:szCs w:val="24"/>
        </w:rPr>
        <w:t xml:space="preserve">norādes uz </w:t>
      </w:r>
      <w:proofErr w:type="spellStart"/>
      <w:r w:rsidRPr="00A07F29">
        <w:rPr>
          <w:rFonts w:ascii="Times New Roman" w:eastAsia="Calibri" w:hAnsi="Times New Roman" w:cs="Times New Roman"/>
          <w:sz w:val="24"/>
          <w:szCs w:val="24"/>
        </w:rPr>
        <w:t>Vecbornes</w:t>
      </w:r>
      <w:proofErr w:type="spellEnd"/>
      <w:r w:rsidRPr="00A07F29">
        <w:rPr>
          <w:rFonts w:ascii="Times New Roman" w:eastAsia="Calibri" w:hAnsi="Times New Roman" w:cs="Times New Roman"/>
          <w:sz w:val="24"/>
          <w:szCs w:val="24"/>
        </w:rPr>
        <w:t xml:space="preserve"> muižu;</w:t>
      </w:r>
    </w:p>
    <w:p w14:paraId="55CC874F" w14:textId="70496048" w:rsidR="00A21E83" w:rsidRPr="00A07F29" w:rsidRDefault="00A21E83" w:rsidP="000849CA">
      <w:pPr>
        <w:numPr>
          <w:ilvl w:val="0"/>
          <w:numId w:val="37"/>
        </w:numPr>
        <w:spacing w:after="120" w:line="240" w:lineRule="auto"/>
        <w:ind w:left="850" w:hanging="425"/>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ceļa norādi uz </w:t>
      </w:r>
      <w:proofErr w:type="spellStart"/>
      <w:r w:rsidRPr="00A07F29">
        <w:rPr>
          <w:rFonts w:ascii="Times New Roman" w:eastAsia="Calibri" w:hAnsi="Times New Roman" w:cs="Times New Roman"/>
          <w:sz w:val="24"/>
          <w:szCs w:val="24"/>
        </w:rPr>
        <w:t>Poguļankas</w:t>
      </w:r>
      <w:proofErr w:type="spellEnd"/>
      <w:r w:rsidRPr="00A07F29">
        <w:rPr>
          <w:rFonts w:ascii="Times New Roman" w:eastAsia="Calibri" w:hAnsi="Times New Roman" w:cs="Times New Roman"/>
          <w:sz w:val="24"/>
          <w:szCs w:val="24"/>
        </w:rPr>
        <w:t xml:space="preserve"> (Salienas) upes </w:t>
      </w:r>
      <w:proofErr w:type="spellStart"/>
      <w:r w:rsidRPr="00A07F29">
        <w:rPr>
          <w:rFonts w:ascii="Times New Roman" w:eastAsia="Calibri" w:hAnsi="Times New Roman" w:cs="Times New Roman"/>
          <w:sz w:val="24"/>
          <w:szCs w:val="24"/>
        </w:rPr>
        <w:t>arkveida</w:t>
      </w:r>
      <w:proofErr w:type="spellEnd"/>
      <w:r w:rsidRPr="00A07F29">
        <w:rPr>
          <w:rFonts w:ascii="Times New Roman" w:eastAsia="Calibri" w:hAnsi="Times New Roman" w:cs="Times New Roman"/>
          <w:sz w:val="24"/>
          <w:szCs w:val="24"/>
        </w:rPr>
        <w:t xml:space="preserve"> akmens tiltu;</w:t>
      </w:r>
    </w:p>
    <w:p w14:paraId="226FCB6D" w14:textId="31BA639E" w:rsidR="00A21E83" w:rsidRPr="00A07F29" w:rsidRDefault="00A21E83" w:rsidP="000849CA">
      <w:pPr>
        <w:numPr>
          <w:ilvl w:val="0"/>
          <w:numId w:val="37"/>
        </w:numPr>
        <w:spacing w:after="120" w:line="240" w:lineRule="auto"/>
        <w:ind w:left="850" w:hanging="425"/>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ceļa norādi uz </w:t>
      </w:r>
      <w:proofErr w:type="spellStart"/>
      <w:r w:rsidRPr="00A07F29">
        <w:rPr>
          <w:rFonts w:ascii="Times New Roman" w:eastAsia="Calibri" w:hAnsi="Times New Roman" w:cs="Times New Roman"/>
          <w:sz w:val="24"/>
          <w:szCs w:val="24"/>
        </w:rPr>
        <w:t>Jaunbornes</w:t>
      </w:r>
      <w:proofErr w:type="spellEnd"/>
      <w:r w:rsidRPr="00A07F29">
        <w:rPr>
          <w:rFonts w:ascii="Times New Roman" w:eastAsia="Calibri" w:hAnsi="Times New Roman" w:cs="Times New Roman"/>
          <w:sz w:val="24"/>
          <w:szCs w:val="24"/>
        </w:rPr>
        <w:t xml:space="preserve"> svētā krusta Romas katoļu baznīcu;</w:t>
      </w:r>
    </w:p>
    <w:p w14:paraId="4D495F0C" w14:textId="648BC020" w:rsidR="00A21E83" w:rsidRPr="00A07F29" w:rsidRDefault="00A21E83" w:rsidP="000849CA">
      <w:pPr>
        <w:numPr>
          <w:ilvl w:val="0"/>
          <w:numId w:val="37"/>
        </w:numPr>
        <w:spacing w:after="120" w:line="240" w:lineRule="auto"/>
        <w:ind w:left="850" w:hanging="425"/>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ceļa norādes uz Sproģu gravu;</w:t>
      </w:r>
    </w:p>
    <w:p w14:paraId="12D02049" w14:textId="0E951C27" w:rsidR="00A21E83" w:rsidRPr="00A07F29" w:rsidRDefault="00A21E83" w:rsidP="000849CA">
      <w:pPr>
        <w:numPr>
          <w:ilvl w:val="0"/>
          <w:numId w:val="37"/>
        </w:numPr>
        <w:spacing w:after="120" w:line="240" w:lineRule="auto"/>
        <w:ind w:left="850" w:hanging="425"/>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ceļa norādes uz </w:t>
      </w:r>
      <w:proofErr w:type="spellStart"/>
      <w:r w:rsidR="00003216" w:rsidRPr="00A07F29">
        <w:rPr>
          <w:rFonts w:ascii="Times New Roman" w:eastAsia="Calibri" w:hAnsi="Times New Roman" w:cs="Times New Roman"/>
          <w:sz w:val="24"/>
          <w:szCs w:val="24"/>
        </w:rPr>
        <w:t>ūdentūristu</w:t>
      </w:r>
      <w:proofErr w:type="spellEnd"/>
      <w:r w:rsidR="00003216" w:rsidRPr="00A07F29">
        <w:rPr>
          <w:rFonts w:ascii="Times New Roman" w:eastAsia="Calibri" w:hAnsi="Times New Roman" w:cs="Times New Roman"/>
          <w:sz w:val="24"/>
          <w:szCs w:val="24"/>
        </w:rPr>
        <w:t xml:space="preserve"> piestāšanas/atpūtas vietu</w:t>
      </w:r>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Rud</w:t>
      </w:r>
      <w:r w:rsidR="000849CA" w:rsidRPr="00A07F29">
        <w:rPr>
          <w:rFonts w:ascii="Times New Roman" w:eastAsia="Calibri" w:hAnsi="Times New Roman" w:cs="Times New Roman"/>
          <w:sz w:val="24"/>
          <w:szCs w:val="24"/>
        </w:rPr>
        <w:t>ņ</w:t>
      </w:r>
      <w:r w:rsidRPr="00A07F29">
        <w:rPr>
          <w:rFonts w:ascii="Times New Roman" w:eastAsia="Calibri" w:hAnsi="Times New Roman" w:cs="Times New Roman"/>
          <w:sz w:val="24"/>
          <w:szCs w:val="24"/>
        </w:rPr>
        <w:t>as</w:t>
      </w:r>
      <w:proofErr w:type="spellEnd"/>
      <w:r w:rsidRPr="00A07F29">
        <w:rPr>
          <w:rFonts w:ascii="Times New Roman" w:eastAsia="Calibri" w:hAnsi="Times New Roman" w:cs="Times New Roman"/>
          <w:sz w:val="24"/>
          <w:szCs w:val="24"/>
        </w:rPr>
        <w:t xml:space="preserve"> lokā</w:t>
      </w:r>
      <w:r w:rsidR="000849CA" w:rsidRPr="00A07F29">
        <w:rPr>
          <w:rFonts w:ascii="Times New Roman" w:eastAsia="Calibri" w:hAnsi="Times New Roman" w:cs="Times New Roman"/>
          <w:sz w:val="24"/>
          <w:szCs w:val="24"/>
        </w:rPr>
        <w:t>;</w:t>
      </w:r>
    </w:p>
    <w:p w14:paraId="754E620F" w14:textId="2DA2F4B3" w:rsidR="000849CA" w:rsidRPr="00A07F29" w:rsidRDefault="000849CA" w:rsidP="000849CA">
      <w:pPr>
        <w:numPr>
          <w:ilvl w:val="0"/>
          <w:numId w:val="37"/>
        </w:numPr>
        <w:spacing w:after="120" w:line="240" w:lineRule="auto"/>
        <w:ind w:left="850" w:hanging="425"/>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ce</w:t>
      </w:r>
      <w:r w:rsidR="00F930F7" w:rsidRPr="00A07F29">
        <w:rPr>
          <w:rFonts w:ascii="Times New Roman" w:eastAsia="Calibri" w:hAnsi="Times New Roman" w:cs="Times New Roman"/>
          <w:sz w:val="24"/>
          <w:szCs w:val="24"/>
        </w:rPr>
        <w:t>ļa norādes uz Tabores muižu.</w:t>
      </w:r>
    </w:p>
    <w:p w14:paraId="342156D3" w14:textId="7FDF6696" w:rsidR="002E4C6C" w:rsidRPr="00A07F29" w:rsidRDefault="008A6FE1" w:rsidP="002E4C6C">
      <w:pPr>
        <w:spacing w:after="120" w:line="240" w:lineRule="auto"/>
        <w:ind w:firstLine="851"/>
        <w:jc w:val="both"/>
        <w:rPr>
          <w:rFonts w:ascii="Times New Roman" w:eastAsia="Calibri" w:hAnsi="Times New Roman" w:cs="Times New Roman"/>
          <w:sz w:val="24"/>
          <w:szCs w:val="24"/>
        </w:rPr>
      </w:pPr>
      <w:r w:rsidRPr="00A07F29">
        <w:rPr>
          <w:rFonts w:ascii="Times New Roman" w:hAnsi="Times New Roman" w:cs="Times New Roman"/>
          <w:bCs/>
          <w:sz w:val="24"/>
          <w:szCs w:val="24"/>
          <w:lang w:eastAsia="ja-JP"/>
        </w:rPr>
        <w:t>Ceļa norāžu izvie</w:t>
      </w:r>
      <w:r w:rsidR="002E4C6C" w:rsidRPr="00A07F29">
        <w:rPr>
          <w:rFonts w:ascii="Times New Roman" w:hAnsi="Times New Roman" w:cs="Times New Roman"/>
          <w:bCs/>
          <w:sz w:val="24"/>
          <w:szCs w:val="24"/>
          <w:lang w:eastAsia="ja-JP"/>
        </w:rPr>
        <w:t>tojumu skat</w:t>
      </w:r>
      <w:r w:rsidR="008A6373">
        <w:rPr>
          <w:rFonts w:ascii="Times New Roman" w:hAnsi="Times New Roman" w:cs="Times New Roman"/>
          <w:bCs/>
          <w:sz w:val="24"/>
          <w:szCs w:val="24"/>
          <w:lang w:eastAsia="ja-JP"/>
        </w:rPr>
        <w:t>īt</w:t>
      </w:r>
      <w:r w:rsidR="002E4C6C" w:rsidRPr="00A07F29">
        <w:rPr>
          <w:rFonts w:ascii="Times New Roman" w:hAnsi="Times New Roman" w:cs="Times New Roman"/>
          <w:bCs/>
          <w:sz w:val="24"/>
          <w:szCs w:val="24"/>
          <w:lang w:eastAsia="ja-JP"/>
        </w:rPr>
        <w:t xml:space="preserve"> </w:t>
      </w:r>
      <w:r w:rsidR="00F35B98" w:rsidRPr="00A07F29">
        <w:rPr>
          <w:rFonts w:ascii="Times New Roman" w:hAnsi="Times New Roman" w:cs="Times New Roman"/>
          <w:bCs/>
          <w:sz w:val="24"/>
          <w:szCs w:val="24"/>
          <w:lang w:eastAsia="ja-JP"/>
        </w:rPr>
        <w:t>5.1.2.</w:t>
      </w:r>
      <w:r w:rsidR="00D13E07">
        <w:rPr>
          <w:rFonts w:ascii="Times New Roman" w:hAnsi="Times New Roman" w:cs="Times New Roman"/>
          <w:bCs/>
          <w:sz w:val="24"/>
          <w:szCs w:val="24"/>
          <w:lang w:eastAsia="ja-JP"/>
        </w:rPr>
        <w:t xml:space="preserve"> un 5.1.2a.</w:t>
      </w:r>
      <w:r w:rsidR="008A6373">
        <w:rPr>
          <w:rFonts w:ascii="Times New Roman" w:hAnsi="Times New Roman" w:cs="Times New Roman"/>
          <w:bCs/>
          <w:sz w:val="24"/>
          <w:szCs w:val="24"/>
          <w:lang w:eastAsia="ja-JP"/>
        </w:rPr>
        <w:t> </w:t>
      </w:r>
      <w:r w:rsidR="002E4C6C" w:rsidRPr="00A07F29">
        <w:rPr>
          <w:rFonts w:ascii="Times New Roman" w:hAnsi="Times New Roman" w:cs="Times New Roman"/>
          <w:bCs/>
          <w:sz w:val="24"/>
          <w:szCs w:val="24"/>
          <w:lang w:eastAsia="ja-JP"/>
        </w:rPr>
        <w:t>pielikumā.</w:t>
      </w:r>
    </w:p>
    <w:p w14:paraId="4551E466" w14:textId="109567DB" w:rsidR="002E4C6C" w:rsidRPr="00A07F29" w:rsidRDefault="002E4C6C" w:rsidP="002E4C6C">
      <w:pPr>
        <w:spacing w:after="120" w:line="240" w:lineRule="auto"/>
        <w:ind w:firstLine="851"/>
        <w:jc w:val="both"/>
        <w:rPr>
          <w:rFonts w:ascii="Times New Roman" w:eastAsia="Calibri" w:hAnsi="Times New Roman" w:cs="Times New Roman"/>
          <w:sz w:val="24"/>
          <w:szCs w:val="24"/>
        </w:rPr>
      </w:pPr>
      <w:r w:rsidRPr="00A07F29">
        <w:rPr>
          <w:rFonts w:ascii="Times New Roman" w:hAnsi="Times New Roman" w:cs="Times New Roman"/>
          <w:bCs/>
          <w:sz w:val="24"/>
          <w:szCs w:val="24"/>
          <w:lang w:eastAsia="ja-JP"/>
        </w:rPr>
        <w:t>Ceļa norādes un atbilstošus informācijas stendus nepieciešams i</w:t>
      </w:r>
      <w:r w:rsidRPr="00A07F29">
        <w:rPr>
          <w:rFonts w:ascii="Times New Roman" w:eastAsia="Calibri" w:hAnsi="Times New Roman" w:cs="Times New Roman"/>
          <w:sz w:val="24"/>
          <w:szCs w:val="24"/>
        </w:rPr>
        <w:t xml:space="preserve">zvietot arī pie </w:t>
      </w:r>
      <w:proofErr w:type="spellStart"/>
      <w:r w:rsidRPr="00A07F29">
        <w:rPr>
          <w:rFonts w:ascii="Times New Roman" w:eastAsia="Calibri" w:hAnsi="Times New Roman" w:cs="Times New Roman"/>
          <w:sz w:val="24"/>
          <w:szCs w:val="24"/>
        </w:rPr>
        <w:t>jaunizveidotiem</w:t>
      </w:r>
      <w:proofErr w:type="spellEnd"/>
      <w:r w:rsidRPr="00A07F29">
        <w:rPr>
          <w:rFonts w:ascii="Times New Roman" w:eastAsia="Calibri" w:hAnsi="Times New Roman" w:cs="Times New Roman"/>
          <w:sz w:val="24"/>
          <w:szCs w:val="24"/>
        </w:rPr>
        <w:t xml:space="preserve"> tūrisma objektiem (</w:t>
      </w:r>
      <w:proofErr w:type="spellStart"/>
      <w:r w:rsidRPr="00A07F29">
        <w:rPr>
          <w:rFonts w:ascii="Times New Roman" w:eastAsia="Calibri" w:hAnsi="Times New Roman" w:cs="Times New Roman"/>
          <w:sz w:val="24"/>
          <w:szCs w:val="24"/>
        </w:rPr>
        <w:t>ūdenstūristu</w:t>
      </w:r>
      <w:proofErr w:type="spellEnd"/>
      <w:r w:rsidRPr="00A07F29">
        <w:rPr>
          <w:rFonts w:ascii="Times New Roman" w:eastAsia="Calibri" w:hAnsi="Times New Roman" w:cs="Times New Roman"/>
          <w:sz w:val="24"/>
          <w:szCs w:val="24"/>
        </w:rPr>
        <w:t xml:space="preserve"> apmetņu vietās un laivu </w:t>
      </w:r>
      <w:r w:rsidR="00AC5609" w:rsidRPr="00A07F29">
        <w:rPr>
          <w:rFonts w:ascii="Times New Roman" w:eastAsia="Calibri" w:hAnsi="Times New Roman" w:cs="Times New Roman"/>
          <w:sz w:val="24"/>
          <w:szCs w:val="24"/>
        </w:rPr>
        <w:t xml:space="preserve">piestātnēs, </w:t>
      </w:r>
      <w:r w:rsidRPr="00A07F29">
        <w:rPr>
          <w:rFonts w:ascii="Times New Roman" w:eastAsia="Calibri" w:hAnsi="Times New Roman" w:cs="Times New Roman"/>
          <w:sz w:val="24"/>
          <w:szCs w:val="24"/>
        </w:rPr>
        <w:t>pie dabas takām utt., ska</w:t>
      </w:r>
      <w:r w:rsidR="009A4682" w:rsidRPr="00A07F29">
        <w:rPr>
          <w:rFonts w:ascii="Times New Roman" w:eastAsia="Calibri" w:hAnsi="Times New Roman" w:cs="Times New Roman"/>
          <w:sz w:val="24"/>
          <w:szCs w:val="24"/>
        </w:rPr>
        <w:t>t</w:t>
      </w:r>
      <w:r w:rsidRPr="00A07F29">
        <w:rPr>
          <w:rFonts w:ascii="Times New Roman" w:eastAsia="Calibri" w:hAnsi="Times New Roman" w:cs="Times New Roman"/>
          <w:sz w:val="24"/>
          <w:szCs w:val="24"/>
        </w:rPr>
        <w:t>. D sadaļas pasākumus).</w:t>
      </w:r>
    </w:p>
    <w:p w14:paraId="3092D0C2" w14:textId="77777777" w:rsidR="002E4C6C" w:rsidRPr="00A07F29" w:rsidRDefault="002E4C6C" w:rsidP="002E4C6C">
      <w:pPr>
        <w:spacing w:after="0" w:line="256" w:lineRule="auto"/>
        <w:ind w:firstLine="851"/>
        <w:jc w:val="both"/>
        <w:rPr>
          <w:rFonts w:ascii="Times New Roman" w:eastAsia="Calibri" w:hAnsi="Times New Roman" w:cs="Times New Roman"/>
          <w:sz w:val="24"/>
          <w:szCs w:val="24"/>
        </w:rPr>
      </w:pPr>
    </w:p>
    <w:p w14:paraId="200C5836" w14:textId="4E4ADF61" w:rsidR="00711464" w:rsidRPr="00A07F29" w:rsidRDefault="002E4C6C" w:rsidP="002E4C6C">
      <w:pPr>
        <w:spacing w:after="160" w:line="256" w:lineRule="auto"/>
        <w:contextualSpacing/>
        <w:jc w:val="center"/>
        <w:rPr>
          <w:rFonts w:ascii="Times New Roman" w:eastAsia="Calibri" w:hAnsi="Times New Roman" w:cs="Times New Roman"/>
          <w:sz w:val="24"/>
          <w:szCs w:val="24"/>
        </w:rPr>
      </w:pPr>
      <w:r w:rsidRPr="00A07F29">
        <w:rPr>
          <w:noProof/>
          <w:lang w:eastAsia="lv-LV"/>
        </w:rPr>
        <w:drawing>
          <wp:inline distT="0" distB="0" distL="0" distR="0" wp14:anchorId="7A7F5CF1" wp14:editId="436BC463">
            <wp:extent cx="5760084" cy="4072890"/>
            <wp:effectExtent l="0" t="0" r="0" b="3810"/>
            <wp:docPr id="170371778" name="Picture 170371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371778"/>
                    <pic:cNvPicPr/>
                  </pic:nvPicPr>
                  <pic:blipFill>
                    <a:blip r:embed="rId116">
                      <a:extLst>
                        <a:ext uri="{28A0092B-C50C-407E-A947-70E740481C1C}">
                          <a14:useLocalDpi xmlns:a14="http://schemas.microsoft.com/office/drawing/2010/main" val="0"/>
                        </a:ext>
                      </a:extLst>
                    </a:blip>
                    <a:stretch>
                      <a:fillRect/>
                    </a:stretch>
                  </pic:blipFill>
                  <pic:spPr>
                    <a:xfrm>
                      <a:off x="0" y="0"/>
                      <a:ext cx="5760084" cy="4072890"/>
                    </a:xfrm>
                    <a:prstGeom prst="rect">
                      <a:avLst/>
                    </a:prstGeom>
                  </pic:spPr>
                </pic:pic>
              </a:graphicData>
            </a:graphic>
          </wp:inline>
        </w:drawing>
      </w:r>
    </w:p>
    <w:p w14:paraId="08F29A82" w14:textId="4AC69F9D" w:rsidR="00F31303" w:rsidRPr="00CE5D43" w:rsidRDefault="00F31303" w:rsidP="00F31303">
      <w:pPr>
        <w:rPr>
          <w:rFonts w:ascii="Times New Roman" w:eastAsia="Calibri" w:hAnsi="Times New Roman" w:cs="Times New Roman"/>
          <w:sz w:val="20"/>
          <w:szCs w:val="20"/>
        </w:rPr>
      </w:pPr>
      <w:r w:rsidRPr="00CE5D43">
        <w:rPr>
          <w:rFonts w:ascii="Times New Roman" w:eastAsia="Calibri" w:hAnsi="Times New Roman" w:cs="Times New Roman"/>
          <w:sz w:val="20"/>
          <w:szCs w:val="20"/>
        </w:rPr>
        <w:t>5.3.</w:t>
      </w:r>
      <w:r w:rsidR="00F35B98" w:rsidRPr="00CE5D43">
        <w:rPr>
          <w:rFonts w:ascii="Times New Roman" w:eastAsia="Calibri" w:hAnsi="Times New Roman" w:cs="Times New Roman"/>
          <w:sz w:val="20"/>
          <w:szCs w:val="20"/>
        </w:rPr>
        <w:t>1</w:t>
      </w:r>
      <w:r w:rsidR="00CE5D43" w:rsidRPr="00CE5D43">
        <w:rPr>
          <w:rFonts w:ascii="Times New Roman" w:eastAsia="Calibri" w:hAnsi="Times New Roman" w:cs="Times New Roman"/>
          <w:sz w:val="20"/>
          <w:szCs w:val="20"/>
        </w:rPr>
        <w:t>8</w:t>
      </w:r>
      <w:r w:rsidRPr="00CE5D43">
        <w:rPr>
          <w:rFonts w:ascii="Times New Roman" w:eastAsia="Calibri" w:hAnsi="Times New Roman" w:cs="Times New Roman"/>
          <w:sz w:val="20"/>
          <w:szCs w:val="20"/>
        </w:rPr>
        <w:t>.</w:t>
      </w:r>
      <w:r w:rsidR="00CE5D43" w:rsidRPr="00CE5D43">
        <w:rPr>
          <w:rFonts w:ascii="Times New Roman" w:eastAsia="Calibri" w:hAnsi="Times New Roman" w:cs="Times New Roman"/>
          <w:sz w:val="20"/>
          <w:szCs w:val="20"/>
        </w:rPr>
        <w:t> </w:t>
      </w:r>
      <w:r w:rsidRPr="00CE5D43">
        <w:rPr>
          <w:rFonts w:ascii="Times New Roman" w:eastAsia="Calibri" w:hAnsi="Times New Roman" w:cs="Times New Roman"/>
          <w:sz w:val="20"/>
          <w:szCs w:val="20"/>
        </w:rPr>
        <w:t>attēls. Ceļa norādes uz esošajiem tūrisma objektiem</w:t>
      </w:r>
    </w:p>
    <w:p w14:paraId="24FD9978" w14:textId="333D58C6" w:rsidR="00A21E83" w:rsidRPr="00A07F29" w:rsidRDefault="00A21E83" w:rsidP="003550DD">
      <w:pPr>
        <w:keepNext/>
        <w:spacing w:before="240" w:after="120" w:line="240" w:lineRule="auto"/>
        <w:jc w:val="both"/>
        <w:rPr>
          <w:rFonts w:ascii="Times New Roman" w:eastAsia="Calibri" w:hAnsi="Times New Roman" w:cs="Calibri"/>
          <w:b/>
          <w:bCs/>
          <w:i/>
          <w:sz w:val="24"/>
          <w:lang w:eastAsia="ja-JP"/>
        </w:rPr>
      </w:pPr>
      <w:r w:rsidRPr="00A07F29">
        <w:rPr>
          <w:rFonts w:ascii="Times New Roman" w:eastAsia="Calibri" w:hAnsi="Times New Roman" w:cs="Calibri"/>
          <w:b/>
          <w:bCs/>
          <w:i/>
          <w:sz w:val="24"/>
          <w:lang w:eastAsia="ja-JP"/>
        </w:rPr>
        <w:lastRenderedPageBreak/>
        <w:t>C.1</w:t>
      </w:r>
      <w:r w:rsidR="00064505" w:rsidRPr="00A07F29">
        <w:rPr>
          <w:rFonts w:ascii="Times New Roman" w:eastAsia="Calibri" w:hAnsi="Times New Roman" w:cs="Calibri"/>
          <w:b/>
          <w:bCs/>
          <w:i/>
          <w:sz w:val="24"/>
          <w:lang w:eastAsia="ja-JP"/>
        </w:rPr>
        <w:t>.</w:t>
      </w:r>
      <w:r w:rsidRPr="00A07F29">
        <w:rPr>
          <w:rFonts w:ascii="Times New Roman" w:eastAsia="Calibri" w:hAnsi="Times New Roman" w:cs="Calibri"/>
          <w:b/>
          <w:bCs/>
          <w:i/>
          <w:sz w:val="24"/>
          <w:lang w:eastAsia="ja-JP"/>
        </w:rPr>
        <w:t xml:space="preserve">6. </w:t>
      </w:r>
      <w:proofErr w:type="spellStart"/>
      <w:r w:rsidRPr="00A07F29">
        <w:rPr>
          <w:rFonts w:ascii="Times New Roman" w:eastAsia="Calibri" w:hAnsi="Times New Roman" w:cs="Calibri"/>
          <w:b/>
          <w:bCs/>
          <w:i/>
          <w:sz w:val="24"/>
          <w:lang w:eastAsia="ja-JP"/>
        </w:rPr>
        <w:t>Sarkanvēdera</w:t>
      </w:r>
      <w:proofErr w:type="spellEnd"/>
      <w:r w:rsidRPr="00A07F29">
        <w:rPr>
          <w:rFonts w:ascii="Times New Roman" w:eastAsia="Calibri" w:hAnsi="Times New Roman" w:cs="Calibri"/>
          <w:b/>
          <w:bCs/>
          <w:i/>
          <w:sz w:val="24"/>
          <w:lang w:eastAsia="ja-JP"/>
        </w:rPr>
        <w:t xml:space="preserve"> </w:t>
      </w:r>
      <w:proofErr w:type="spellStart"/>
      <w:r w:rsidRPr="00A07F29">
        <w:rPr>
          <w:rFonts w:ascii="Times New Roman" w:eastAsia="Calibri" w:hAnsi="Times New Roman" w:cs="Calibri"/>
          <w:b/>
          <w:bCs/>
          <w:i/>
          <w:sz w:val="24"/>
          <w:lang w:eastAsia="ja-JP"/>
        </w:rPr>
        <w:t>ugunskrupju</w:t>
      </w:r>
      <w:proofErr w:type="spellEnd"/>
      <w:r w:rsidRPr="00A07F29">
        <w:rPr>
          <w:rFonts w:ascii="Times New Roman" w:eastAsia="Calibri" w:hAnsi="Times New Roman" w:cs="Calibri"/>
          <w:b/>
          <w:bCs/>
          <w:i/>
          <w:sz w:val="24"/>
          <w:lang w:eastAsia="ja-JP"/>
        </w:rPr>
        <w:t xml:space="preserve"> informatīvie stendi</w:t>
      </w:r>
    </w:p>
    <w:p w14:paraId="0112B69D" w14:textId="55E04F91" w:rsidR="00085AEC" w:rsidRPr="00A07F29" w:rsidRDefault="00085AEC" w:rsidP="00085AEC">
      <w:pPr>
        <w:spacing w:after="120" w:line="240" w:lineRule="auto"/>
        <w:ind w:firstLine="851"/>
        <w:jc w:val="both"/>
        <w:rPr>
          <w:rFonts w:ascii="Times New Roman" w:eastAsia="Times New Roman" w:hAnsi="Times New Roman" w:cs="Times New Roman"/>
          <w:color w:val="000000" w:themeColor="text1"/>
          <w:sz w:val="24"/>
          <w:szCs w:val="24"/>
        </w:rPr>
      </w:pPr>
      <w:r w:rsidRPr="0041025C">
        <w:rPr>
          <w:rFonts w:ascii="Times New Roman" w:eastAsia="Times New Roman" w:hAnsi="Times New Roman" w:cs="Times New Roman"/>
          <w:color w:val="000000" w:themeColor="text1"/>
          <w:sz w:val="24"/>
          <w:szCs w:val="24"/>
        </w:rPr>
        <w:t>AAA “Augšdaugava”</w:t>
      </w:r>
      <w:r w:rsidRPr="00A07F29">
        <w:rPr>
          <w:rFonts w:ascii="Times New Roman" w:eastAsia="Times New Roman" w:hAnsi="Times New Roman" w:cs="Times New Roman"/>
          <w:color w:val="000000" w:themeColor="text1"/>
          <w:sz w:val="24"/>
          <w:szCs w:val="24"/>
        </w:rPr>
        <w:t xml:space="preserve"> </w:t>
      </w:r>
      <w:r w:rsidR="0041025C">
        <w:rPr>
          <w:rFonts w:ascii="Times New Roman" w:eastAsia="Times New Roman" w:hAnsi="Times New Roman" w:cs="Times New Roman"/>
          <w:color w:val="000000" w:themeColor="text1"/>
          <w:sz w:val="24"/>
          <w:szCs w:val="24"/>
        </w:rPr>
        <w:t>divās</w:t>
      </w:r>
      <w:r w:rsidRPr="00A07F29">
        <w:rPr>
          <w:rFonts w:ascii="Times New Roman" w:eastAsia="Times New Roman" w:hAnsi="Times New Roman" w:cs="Times New Roman"/>
          <w:color w:val="000000" w:themeColor="text1"/>
          <w:sz w:val="24"/>
          <w:szCs w:val="24"/>
        </w:rPr>
        <w:t xml:space="preserve"> vietās – Kaplavas un </w:t>
      </w:r>
      <w:proofErr w:type="spellStart"/>
      <w:r w:rsidRPr="00A07F29">
        <w:rPr>
          <w:rFonts w:ascii="Times New Roman" w:eastAsia="Times New Roman" w:hAnsi="Times New Roman" w:cs="Times New Roman"/>
          <w:color w:val="000000" w:themeColor="text1"/>
          <w:sz w:val="24"/>
          <w:szCs w:val="24"/>
        </w:rPr>
        <w:t>Matulišķu</w:t>
      </w:r>
      <w:proofErr w:type="spellEnd"/>
      <w:r w:rsidRPr="00A07F29">
        <w:rPr>
          <w:rFonts w:ascii="Times New Roman" w:eastAsia="Times New Roman" w:hAnsi="Times New Roman" w:cs="Times New Roman"/>
          <w:color w:val="000000" w:themeColor="text1"/>
          <w:sz w:val="24"/>
          <w:szCs w:val="24"/>
        </w:rPr>
        <w:t xml:space="preserve"> centros blakus galvenajiem ceļiem (</w:t>
      </w:r>
      <w:r w:rsidR="003C6171">
        <w:rPr>
          <w:rFonts w:ascii="Times New Roman" w:eastAsia="Times New Roman" w:hAnsi="Times New Roman" w:cs="Times New Roman"/>
          <w:color w:val="000000" w:themeColor="text1"/>
          <w:sz w:val="24"/>
          <w:szCs w:val="24"/>
        </w:rPr>
        <w:t xml:space="preserve">skat. </w:t>
      </w:r>
      <w:r w:rsidRPr="00A07F29">
        <w:rPr>
          <w:rFonts w:ascii="Times New Roman" w:eastAsia="Times New Roman" w:hAnsi="Times New Roman" w:cs="Times New Roman"/>
          <w:color w:val="000000" w:themeColor="text1"/>
          <w:sz w:val="24"/>
          <w:szCs w:val="24"/>
        </w:rPr>
        <w:t>5.3.1</w:t>
      </w:r>
      <w:r w:rsidR="00720CBB">
        <w:rPr>
          <w:rFonts w:ascii="Times New Roman" w:eastAsia="Times New Roman" w:hAnsi="Times New Roman" w:cs="Times New Roman"/>
          <w:color w:val="000000" w:themeColor="text1"/>
          <w:sz w:val="24"/>
          <w:szCs w:val="24"/>
        </w:rPr>
        <w:t>9</w:t>
      </w:r>
      <w:r w:rsidRPr="00A07F29">
        <w:rPr>
          <w:rFonts w:ascii="Times New Roman" w:eastAsia="Times New Roman" w:hAnsi="Times New Roman" w:cs="Times New Roman"/>
          <w:color w:val="000000" w:themeColor="text1"/>
          <w:sz w:val="24"/>
          <w:szCs w:val="24"/>
        </w:rPr>
        <w:t>.</w:t>
      </w:r>
      <w:r w:rsidR="003C6171">
        <w:rPr>
          <w:rFonts w:ascii="Times New Roman" w:eastAsia="Times New Roman" w:hAnsi="Times New Roman" w:cs="Times New Roman"/>
          <w:color w:val="000000" w:themeColor="text1"/>
          <w:sz w:val="24"/>
          <w:szCs w:val="24"/>
        </w:rPr>
        <w:t> </w:t>
      </w:r>
      <w:r w:rsidRPr="00A07F29">
        <w:rPr>
          <w:rFonts w:ascii="Times New Roman" w:eastAsia="Times New Roman" w:hAnsi="Times New Roman" w:cs="Times New Roman"/>
          <w:color w:val="000000" w:themeColor="text1"/>
          <w:sz w:val="24"/>
          <w:szCs w:val="24"/>
        </w:rPr>
        <w:t>att</w:t>
      </w:r>
      <w:r w:rsidR="003C6171">
        <w:rPr>
          <w:rFonts w:ascii="Times New Roman" w:eastAsia="Times New Roman" w:hAnsi="Times New Roman" w:cs="Times New Roman"/>
          <w:color w:val="000000" w:themeColor="text1"/>
          <w:sz w:val="24"/>
          <w:szCs w:val="24"/>
        </w:rPr>
        <w:t>ēls</w:t>
      </w:r>
      <w:r w:rsidRPr="00A07F29">
        <w:rPr>
          <w:rFonts w:ascii="Times New Roman" w:eastAsia="Times New Roman" w:hAnsi="Times New Roman" w:cs="Times New Roman"/>
          <w:color w:val="000000" w:themeColor="text1"/>
          <w:sz w:val="24"/>
          <w:szCs w:val="24"/>
        </w:rPr>
        <w:t xml:space="preserve">) izvietojami informācijas stendi par </w:t>
      </w:r>
      <w:proofErr w:type="spellStart"/>
      <w:r w:rsidRPr="00A07F29">
        <w:rPr>
          <w:rFonts w:ascii="Times New Roman" w:eastAsia="Times New Roman" w:hAnsi="Times New Roman" w:cs="Times New Roman"/>
          <w:color w:val="000000" w:themeColor="text1"/>
          <w:sz w:val="24"/>
          <w:szCs w:val="24"/>
        </w:rPr>
        <w:t>sarkanvēdera</w:t>
      </w:r>
      <w:proofErr w:type="spellEnd"/>
      <w:r w:rsidRPr="00A07F29">
        <w:rPr>
          <w:rFonts w:ascii="Times New Roman" w:eastAsia="Times New Roman" w:hAnsi="Times New Roman" w:cs="Times New Roman"/>
          <w:color w:val="000000" w:themeColor="text1"/>
          <w:sz w:val="24"/>
          <w:szCs w:val="24"/>
        </w:rPr>
        <w:t xml:space="preserve"> </w:t>
      </w:r>
      <w:proofErr w:type="spellStart"/>
      <w:r w:rsidRPr="00A07F29">
        <w:rPr>
          <w:rFonts w:ascii="Times New Roman" w:eastAsia="Times New Roman" w:hAnsi="Times New Roman" w:cs="Times New Roman"/>
          <w:color w:val="000000" w:themeColor="text1"/>
          <w:sz w:val="24"/>
          <w:szCs w:val="24"/>
        </w:rPr>
        <w:t>ugunskrupi</w:t>
      </w:r>
      <w:proofErr w:type="spellEnd"/>
      <w:r w:rsidRPr="00A07F29">
        <w:rPr>
          <w:rFonts w:ascii="Times New Roman" w:eastAsia="Times New Roman" w:hAnsi="Times New Roman" w:cs="Times New Roman"/>
          <w:color w:val="000000" w:themeColor="text1"/>
          <w:sz w:val="24"/>
          <w:szCs w:val="24"/>
        </w:rPr>
        <w:t>. Stendu izvietošanas vietas precizējamas, saskaņojot ar zemes īpašniekiem un pašvaldības būvvaldi.</w:t>
      </w:r>
    </w:p>
    <w:p w14:paraId="0CE0B032" w14:textId="31260999" w:rsidR="00085AEC" w:rsidRPr="00A07F29" w:rsidRDefault="00A21E83" w:rsidP="00085AEC">
      <w:pPr>
        <w:spacing w:after="120" w:line="240" w:lineRule="auto"/>
        <w:ind w:firstLine="851"/>
        <w:jc w:val="both"/>
        <w:rPr>
          <w:rFonts w:ascii="Times New Roman" w:eastAsia="Times New Roman" w:hAnsi="Times New Roman" w:cs="Times New Roman"/>
          <w:color w:val="000000" w:themeColor="text1"/>
          <w:sz w:val="24"/>
          <w:szCs w:val="24"/>
        </w:rPr>
      </w:pPr>
      <w:r w:rsidRPr="00A07F29">
        <w:rPr>
          <w:rFonts w:ascii="Times New Roman" w:eastAsia="Times New Roman" w:hAnsi="Times New Roman" w:cs="Times New Roman"/>
          <w:color w:val="000000" w:themeColor="text1"/>
          <w:sz w:val="24"/>
          <w:szCs w:val="24"/>
        </w:rPr>
        <w:t xml:space="preserve">Stendam jāsatur </w:t>
      </w:r>
      <w:proofErr w:type="spellStart"/>
      <w:r w:rsidR="00085AEC" w:rsidRPr="00A07F29">
        <w:rPr>
          <w:rFonts w:ascii="Times New Roman" w:eastAsia="Times New Roman" w:hAnsi="Times New Roman" w:cs="Times New Roman"/>
          <w:color w:val="000000" w:themeColor="text1"/>
          <w:sz w:val="24"/>
          <w:szCs w:val="24"/>
        </w:rPr>
        <w:t>sarkanvēdera</w:t>
      </w:r>
      <w:proofErr w:type="spellEnd"/>
      <w:r w:rsidR="00085AEC" w:rsidRPr="00A07F29">
        <w:rPr>
          <w:rFonts w:ascii="Times New Roman" w:eastAsia="Times New Roman" w:hAnsi="Times New Roman" w:cs="Times New Roman"/>
          <w:color w:val="000000" w:themeColor="text1"/>
          <w:sz w:val="24"/>
          <w:szCs w:val="24"/>
        </w:rPr>
        <w:t xml:space="preserve"> </w:t>
      </w:r>
      <w:proofErr w:type="spellStart"/>
      <w:r w:rsidR="00085AEC" w:rsidRPr="00A07F29">
        <w:rPr>
          <w:rFonts w:ascii="Times New Roman" w:eastAsia="Times New Roman" w:hAnsi="Times New Roman" w:cs="Times New Roman"/>
          <w:color w:val="000000" w:themeColor="text1"/>
          <w:sz w:val="24"/>
          <w:szCs w:val="24"/>
        </w:rPr>
        <w:t>ugunskrupja</w:t>
      </w:r>
      <w:proofErr w:type="spellEnd"/>
      <w:r w:rsidRPr="00A07F29">
        <w:rPr>
          <w:rFonts w:ascii="Times New Roman" w:eastAsia="Times New Roman" w:hAnsi="Times New Roman" w:cs="Times New Roman"/>
          <w:color w:val="000000" w:themeColor="text1"/>
          <w:sz w:val="24"/>
          <w:szCs w:val="24"/>
        </w:rPr>
        <w:t xml:space="preserve">, citu </w:t>
      </w:r>
      <w:r w:rsidRPr="00AB2506">
        <w:rPr>
          <w:rFonts w:ascii="Times New Roman" w:eastAsia="Times New Roman" w:hAnsi="Times New Roman" w:cs="Times New Roman"/>
          <w:color w:val="000000" w:themeColor="text1"/>
          <w:sz w:val="24"/>
          <w:szCs w:val="24"/>
        </w:rPr>
        <w:t>īpaši aizsargājamo</w:t>
      </w:r>
      <w:r w:rsidRPr="00A07F29">
        <w:rPr>
          <w:rFonts w:ascii="Times New Roman" w:eastAsia="Times New Roman" w:hAnsi="Times New Roman" w:cs="Times New Roman"/>
          <w:color w:val="000000" w:themeColor="text1"/>
          <w:sz w:val="24"/>
          <w:szCs w:val="24"/>
        </w:rPr>
        <w:t xml:space="preserve"> abinieku un rāpuļu, to biotopu un apdraudējumu fotogrāfijas, aizliegto un rekomendējamo darbību sarakstu, lūgumu ziņot par </w:t>
      </w:r>
      <w:proofErr w:type="spellStart"/>
      <w:r w:rsidRPr="00A07F29">
        <w:rPr>
          <w:rFonts w:ascii="Times New Roman" w:eastAsia="Times New Roman" w:hAnsi="Times New Roman" w:cs="Times New Roman"/>
          <w:color w:val="000000" w:themeColor="text1"/>
          <w:sz w:val="24"/>
          <w:szCs w:val="24"/>
        </w:rPr>
        <w:t>ugunskrupju</w:t>
      </w:r>
      <w:proofErr w:type="spellEnd"/>
      <w:r w:rsidRPr="00A07F29">
        <w:rPr>
          <w:rFonts w:ascii="Times New Roman" w:eastAsia="Times New Roman" w:hAnsi="Times New Roman" w:cs="Times New Roman"/>
          <w:color w:val="000000" w:themeColor="text1"/>
          <w:sz w:val="24"/>
          <w:szCs w:val="24"/>
        </w:rPr>
        <w:t xml:space="preserve"> atradnēm un ekspertu kontaktus.</w:t>
      </w:r>
      <w:r w:rsidR="00085AEC" w:rsidRPr="00A07F29">
        <w:rPr>
          <w:rFonts w:ascii="Times New Roman" w:eastAsia="Times New Roman" w:hAnsi="Times New Roman" w:cs="Times New Roman"/>
          <w:color w:val="000000" w:themeColor="text1"/>
          <w:sz w:val="24"/>
          <w:szCs w:val="24"/>
        </w:rPr>
        <w:t xml:space="preserve"> Tekstu un fotogrāfijas sagatavo </w:t>
      </w:r>
      <w:proofErr w:type="spellStart"/>
      <w:r w:rsidR="00085AEC" w:rsidRPr="00A07F29">
        <w:rPr>
          <w:rFonts w:ascii="Times New Roman" w:eastAsia="Times New Roman" w:hAnsi="Times New Roman" w:cs="Times New Roman"/>
          <w:color w:val="000000" w:themeColor="text1"/>
          <w:sz w:val="24"/>
          <w:szCs w:val="24"/>
        </w:rPr>
        <w:t>ugunskrupju</w:t>
      </w:r>
      <w:proofErr w:type="spellEnd"/>
      <w:r w:rsidR="00085AEC" w:rsidRPr="00A07F29">
        <w:rPr>
          <w:rFonts w:ascii="Times New Roman" w:eastAsia="Times New Roman" w:hAnsi="Times New Roman" w:cs="Times New Roman"/>
          <w:color w:val="000000" w:themeColor="text1"/>
          <w:sz w:val="24"/>
          <w:szCs w:val="24"/>
        </w:rPr>
        <w:t xml:space="preserve"> eksperts.</w:t>
      </w:r>
    </w:p>
    <w:p w14:paraId="7274735A" w14:textId="139990CB" w:rsidR="00A21E83" w:rsidRPr="00A07F29" w:rsidRDefault="00A21E83" w:rsidP="00085AEC">
      <w:pPr>
        <w:spacing w:after="120" w:line="240" w:lineRule="auto"/>
        <w:ind w:firstLine="851"/>
        <w:jc w:val="both"/>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themeColor="text1"/>
          <w:sz w:val="24"/>
          <w:szCs w:val="24"/>
        </w:rPr>
        <w:t xml:space="preserve">Informācija </w:t>
      </w:r>
      <w:proofErr w:type="spellStart"/>
      <w:r w:rsidRPr="00A07F29">
        <w:rPr>
          <w:rFonts w:ascii="Times New Roman" w:eastAsia="Times New Roman" w:hAnsi="Times New Roman" w:cs="Times New Roman"/>
          <w:color w:val="000000" w:themeColor="text1"/>
          <w:sz w:val="24"/>
          <w:szCs w:val="24"/>
        </w:rPr>
        <w:t>ugunskrupju</w:t>
      </w:r>
      <w:proofErr w:type="spellEnd"/>
      <w:r w:rsidRPr="00A07F29">
        <w:rPr>
          <w:rFonts w:ascii="Times New Roman" w:eastAsia="Times New Roman" w:hAnsi="Times New Roman" w:cs="Times New Roman"/>
          <w:color w:val="000000" w:themeColor="text1"/>
          <w:sz w:val="24"/>
          <w:szCs w:val="24"/>
        </w:rPr>
        <w:t xml:space="preserve"> dīķu saimniekiem un citiem iedzīvotājiem</w:t>
      </w:r>
      <w:r w:rsidR="00085AEC" w:rsidRPr="00A07F29">
        <w:rPr>
          <w:rFonts w:ascii="Times New Roman" w:eastAsia="Times New Roman" w:hAnsi="Times New Roman" w:cs="Times New Roman"/>
          <w:color w:val="000000" w:themeColor="text1"/>
          <w:sz w:val="24"/>
          <w:szCs w:val="24"/>
        </w:rPr>
        <w:t xml:space="preserve"> un </w:t>
      </w:r>
      <w:r w:rsidRPr="00A07F29">
        <w:rPr>
          <w:rFonts w:ascii="Times New Roman" w:eastAsia="Times New Roman" w:hAnsi="Times New Roman" w:cs="Times New Roman"/>
          <w:color w:val="000000" w:themeColor="text1"/>
          <w:sz w:val="24"/>
          <w:szCs w:val="24"/>
        </w:rPr>
        <w:t xml:space="preserve">tūristiem veicinās </w:t>
      </w:r>
      <w:proofErr w:type="spellStart"/>
      <w:r w:rsidRPr="00A07F29">
        <w:rPr>
          <w:rFonts w:ascii="Times New Roman" w:eastAsia="Times New Roman" w:hAnsi="Times New Roman" w:cs="Times New Roman"/>
          <w:color w:val="000000" w:themeColor="text1"/>
          <w:sz w:val="24"/>
          <w:szCs w:val="24"/>
        </w:rPr>
        <w:t>ugunskrupju</w:t>
      </w:r>
      <w:proofErr w:type="spellEnd"/>
      <w:r w:rsidRPr="00A07F29">
        <w:rPr>
          <w:rFonts w:ascii="Times New Roman" w:eastAsia="Times New Roman" w:hAnsi="Times New Roman" w:cs="Times New Roman"/>
          <w:color w:val="000000" w:themeColor="text1"/>
          <w:sz w:val="24"/>
          <w:szCs w:val="24"/>
        </w:rPr>
        <w:t xml:space="preserve"> populāciju saglabāšanu.</w:t>
      </w:r>
    </w:p>
    <w:p w14:paraId="3619FCC8" w14:textId="77777777" w:rsidR="00A21E83" w:rsidRPr="00A07F29" w:rsidRDefault="00A21E83" w:rsidP="00085AEC">
      <w:pPr>
        <w:spacing w:after="120" w:line="240" w:lineRule="auto"/>
        <w:rPr>
          <w:rFonts w:ascii="Times New Roman" w:eastAsia="Times New Roman" w:hAnsi="Times New Roman" w:cs="Times New Roman"/>
          <w:bCs/>
          <w:color w:val="000000"/>
          <w:sz w:val="24"/>
          <w:szCs w:val="24"/>
        </w:rPr>
      </w:pPr>
    </w:p>
    <w:p w14:paraId="1E035222" w14:textId="08C3200E" w:rsidR="00A21E83" w:rsidRPr="00A07F29" w:rsidRDefault="00064505" w:rsidP="00064505">
      <w:pPr>
        <w:jc w:val="center"/>
        <w:rPr>
          <w:rFonts w:ascii="Times New Roman" w:eastAsia="Times New Roman" w:hAnsi="Times New Roman" w:cs="Times New Roman"/>
          <w:bCs/>
          <w:color w:val="000000"/>
          <w:sz w:val="24"/>
          <w:szCs w:val="24"/>
        </w:rPr>
      </w:pPr>
      <w:r w:rsidRPr="00A07F29">
        <w:rPr>
          <w:noProof/>
          <w:lang w:eastAsia="lv-LV"/>
        </w:rPr>
        <w:drawing>
          <wp:inline distT="0" distB="0" distL="0" distR="0" wp14:anchorId="4652AEC1" wp14:editId="310E1D66">
            <wp:extent cx="5760084" cy="4072255"/>
            <wp:effectExtent l="0" t="0" r="0" b="4445"/>
            <wp:docPr id="170371781" name="Picture 170371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371781"/>
                    <pic:cNvPicPr/>
                  </pic:nvPicPr>
                  <pic:blipFill>
                    <a:blip r:embed="rId117">
                      <a:extLst>
                        <a:ext uri="{28A0092B-C50C-407E-A947-70E740481C1C}">
                          <a14:useLocalDpi xmlns:a14="http://schemas.microsoft.com/office/drawing/2010/main" val="0"/>
                        </a:ext>
                      </a:extLst>
                    </a:blip>
                    <a:stretch>
                      <a:fillRect/>
                    </a:stretch>
                  </pic:blipFill>
                  <pic:spPr>
                    <a:xfrm>
                      <a:off x="0" y="0"/>
                      <a:ext cx="5760084" cy="4072255"/>
                    </a:xfrm>
                    <a:prstGeom prst="rect">
                      <a:avLst/>
                    </a:prstGeom>
                  </pic:spPr>
                </pic:pic>
              </a:graphicData>
            </a:graphic>
          </wp:inline>
        </w:drawing>
      </w:r>
    </w:p>
    <w:p w14:paraId="0072B527" w14:textId="2419AFE3" w:rsidR="00A21E83" w:rsidRPr="0089698F" w:rsidRDefault="00A21E83" w:rsidP="00A21E83">
      <w:pPr>
        <w:rPr>
          <w:rFonts w:ascii="Times New Roman" w:eastAsia="Times New Roman" w:hAnsi="Times New Roman" w:cs="Times New Roman"/>
          <w:bCs/>
          <w:color w:val="000000"/>
          <w:sz w:val="20"/>
          <w:szCs w:val="20"/>
        </w:rPr>
      </w:pPr>
      <w:bookmarkStart w:id="111" w:name="_Hlk44467629"/>
      <w:r w:rsidRPr="0089698F">
        <w:rPr>
          <w:rFonts w:ascii="Times New Roman" w:eastAsia="Times New Roman" w:hAnsi="Times New Roman" w:cs="Times New Roman"/>
          <w:bCs/>
          <w:color w:val="000000"/>
          <w:sz w:val="20"/>
          <w:szCs w:val="20"/>
        </w:rPr>
        <w:t>5.3.</w:t>
      </w:r>
      <w:r w:rsidR="002E7148" w:rsidRPr="0089698F">
        <w:rPr>
          <w:rFonts w:ascii="Times New Roman" w:eastAsia="Times New Roman" w:hAnsi="Times New Roman" w:cs="Times New Roman"/>
          <w:bCs/>
          <w:color w:val="000000"/>
          <w:sz w:val="20"/>
          <w:szCs w:val="20"/>
        </w:rPr>
        <w:t>1</w:t>
      </w:r>
      <w:r w:rsidR="0089698F" w:rsidRPr="0089698F">
        <w:rPr>
          <w:rFonts w:ascii="Times New Roman" w:eastAsia="Times New Roman" w:hAnsi="Times New Roman" w:cs="Times New Roman"/>
          <w:bCs/>
          <w:color w:val="000000"/>
          <w:sz w:val="20"/>
          <w:szCs w:val="20"/>
        </w:rPr>
        <w:t>9</w:t>
      </w:r>
      <w:r w:rsidRPr="0089698F">
        <w:rPr>
          <w:rFonts w:ascii="Times New Roman" w:eastAsia="Times New Roman" w:hAnsi="Times New Roman" w:cs="Times New Roman"/>
          <w:bCs/>
          <w:color w:val="000000"/>
          <w:sz w:val="20"/>
          <w:szCs w:val="20"/>
        </w:rPr>
        <w:t>.</w:t>
      </w:r>
      <w:r w:rsidR="0089698F" w:rsidRPr="0089698F">
        <w:rPr>
          <w:rFonts w:ascii="Times New Roman" w:eastAsia="Times New Roman" w:hAnsi="Times New Roman" w:cs="Times New Roman"/>
          <w:bCs/>
          <w:color w:val="000000"/>
          <w:sz w:val="20"/>
          <w:szCs w:val="20"/>
        </w:rPr>
        <w:t> </w:t>
      </w:r>
      <w:r w:rsidRPr="0089698F">
        <w:rPr>
          <w:rFonts w:ascii="Times New Roman" w:eastAsia="Times New Roman" w:hAnsi="Times New Roman" w:cs="Times New Roman"/>
          <w:bCs/>
          <w:color w:val="000000"/>
          <w:sz w:val="20"/>
          <w:szCs w:val="20"/>
        </w:rPr>
        <w:t xml:space="preserve">attēls. </w:t>
      </w:r>
      <w:bookmarkEnd w:id="111"/>
      <w:r w:rsidRPr="0089698F">
        <w:rPr>
          <w:rFonts w:ascii="Times New Roman" w:eastAsia="Times New Roman" w:hAnsi="Times New Roman" w:cs="Times New Roman"/>
          <w:bCs/>
          <w:color w:val="000000"/>
          <w:sz w:val="20"/>
          <w:szCs w:val="20"/>
        </w:rPr>
        <w:t>Informācijas stend</w:t>
      </w:r>
      <w:r w:rsidR="00F31303" w:rsidRPr="0089698F">
        <w:rPr>
          <w:rFonts w:ascii="Times New Roman" w:eastAsia="Times New Roman" w:hAnsi="Times New Roman" w:cs="Times New Roman"/>
          <w:bCs/>
          <w:color w:val="000000"/>
          <w:sz w:val="20"/>
          <w:szCs w:val="20"/>
        </w:rPr>
        <w:t>u</w:t>
      </w:r>
      <w:r w:rsidRPr="0089698F">
        <w:rPr>
          <w:rFonts w:ascii="Times New Roman" w:eastAsia="Times New Roman" w:hAnsi="Times New Roman" w:cs="Times New Roman"/>
          <w:bCs/>
          <w:color w:val="000000"/>
          <w:sz w:val="20"/>
          <w:szCs w:val="20"/>
        </w:rPr>
        <w:t xml:space="preserve"> atrašanās vieta</w:t>
      </w:r>
      <w:r w:rsidR="00F31303" w:rsidRPr="0089698F">
        <w:rPr>
          <w:rFonts w:ascii="Times New Roman" w:eastAsia="Times New Roman" w:hAnsi="Times New Roman" w:cs="Times New Roman"/>
          <w:bCs/>
          <w:color w:val="000000"/>
          <w:sz w:val="20"/>
          <w:szCs w:val="20"/>
        </w:rPr>
        <w:t>s</w:t>
      </w:r>
      <w:r w:rsidR="002E7148" w:rsidRPr="0089698F">
        <w:rPr>
          <w:rFonts w:ascii="Times New Roman" w:eastAsia="Times New Roman" w:hAnsi="Times New Roman" w:cs="Times New Roman"/>
          <w:bCs/>
          <w:color w:val="000000"/>
          <w:sz w:val="20"/>
          <w:szCs w:val="20"/>
        </w:rPr>
        <w:t>.</w:t>
      </w:r>
    </w:p>
    <w:p w14:paraId="448E9AA0" w14:textId="63FA81D9" w:rsidR="00A21E83" w:rsidRPr="00A07F29" w:rsidRDefault="00A21E83" w:rsidP="000A6A7F">
      <w:pPr>
        <w:keepNext/>
        <w:spacing w:before="360" w:after="120" w:line="240" w:lineRule="auto"/>
        <w:jc w:val="both"/>
        <w:rPr>
          <w:rFonts w:ascii="Times New Roman" w:eastAsia="Calibri" w:hAnsi="Times New Roman" w:cs="Calibri"/>
          <w:b/>
          <w:bCs/>
          <w:iCs/>
          <w:sz w:val="24"/>
          <w:lang w:eastAsia="ja-JP"/>
        </w:rPr>
      </w:pPr>
      <w:r w:rsidRPr="00A07F29">
        <w:rPr>
          <w:rFonts w:ascii="Times New Roman" w:eastAsia="Calibri" w:hAnsi="Times New Roman" w:cs="Calibri"/>
          <w:b/>
          <w:bCs/>
          <w:iCs/>
          <w:sz w:val="24"/>
          <w:lang w:eastAsia="ja-JP"/>
        </w:rPr>
        <w:t xml:space="preserve">C.2. </w:t>
      </w:r>
      <w:r w:rsidR="00F03257" w:rsidRPr="00A07F29">
        <w:rPr>
          <w:rFonts w:ascii="Times New Roman" w:eastAsia="Calibri" w:hAnsi="Times New Roman" w:cs="Calibri"/>
          <w:b/>
          <w:bCs/>
          <w:iCs/>
          <w:sz w:val="24"/>
          <w:lang w:eastAsia="ja-JP"/>
        </w:rPr>
        <w:t>Sagatavot i</w:t>
      </w:r>
      <w:r w:rsidRPr="00A07F29">
        <w:rPr>
          <w:rFonts w:ascii="Times New Roman" w:eastAsia="Calibri" w:hAnsi="Times New Roman" w:cs="Calibri"/>
          <w:b/>
          <w:bCs/>
          <w:iCs/>
          <w:sz w:val="24"/>
          <w:lang w:eastAsia="ja-JP"/>
        </w:rPr>
        <w:t>nformatīvo</w:t>
      </w:r>
      <w:r w:rsidR="00F03257" w:rsidRPr="00A07F29">
        <w:rPr>
          <w:rFonts w:ascii="Times New Roman" w:eastAsia="Calibri" w:hAnsi="Times New Roman" w:cs="Calibri"/>
          <w:b/>
          <w:bCs/>
          <w:iCs/>
          <w:sz w:val="24"/>
          <w:lang w:eastAsia="ja-JP"/>
        </w:rPr>
        <w:t>s</w:t>
      </w:r>
      <w:r w:rsidRPr="00A07F29">
        <w:rPr>
          <w:rFonts w:ascii="Times New Roman" w:eastAsia="Calibri" w:hAnsi="Times New Roman" w:cs="Calibri"/>
          <w:b/>
          <w:bCs/>
          <w:iCs/>
          <w:sz w:val="24"/>
          <w:lang w:eastAsia="ja-JP"/>
        </w:rPr>
        <w:t xml:space="preserve"> materiālu</w:t>
      </w:r>
      <w:r w:rsidR="00F03257" w:rsidRPr="00A07F29">
        <w:rPr>
          <w:rFonts w:ascii="Times New Roman" w:eastAsia="Calibri" w:hAnsi="Times New Roman" w:cs="Calibri"/>
          <w:b/>
          <w:bCs/>
          <w:iCs/>
          <w:sz w:val="24"/>
          <w:lang w:eastAsia="ja-JP"/>
        </w:rPr>
        <w:t>s</w:t>
      </w:r>
      <w:r w:rsidRPr="00A07F29">
        <w:rPr>
          <w:rFonts w:ascii="Times New Roman" w:eastAsia="Calibri" w:hAnsi="Times New Roman" w:cs="Calibri"/>
          <w:b/>
          <w:bCs/>
          <w:iCs/>
          <w:sz w:val="24"/>
          <w:lang w:eastAsia="ja-JP"/>
        </w:rPr>
        <w:t xml:space="preserve"> teritorijas iedzīvotājiem un apmeklētājiem</w:t>
      </w:r>
    </w:p>
    <w:p w14:paraId="5C8DD112" w14:textId="095D4BCF" w:rsidR="00075D16" w:rsidRPr="00A07F29" w:rsidRDefault="00A21E83" w:rsidP="00075D16">
      <w:pPr>
        <w:spacing w:before="120" w:after="0" w:line="240" w:lineRule="auto"/>
        <w:ind w:firstLine="851"/>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 xml:space="preserve">Tā kā šobrīd tūrisma informācija par </w:t>
      </w:r>
      <w:proofErr w:type="spellStart"/>
      <w:r w:rsidR="007E35B3">
        <w:rPr>
          <w:rFonts w:ascii="Times New Roman" w:eastAsia="Calibri" w:hAnsi="Times New Roman" w:cs="Calibri"/>
          <w:sz w:val="24"/>
          <w:lang w:eastAsia="ja-JP"/>
        </w:rPr>
        <w:t>AAA</w:t>
      </w:r>
      <w:r w:rsidRPr="00A07F29">
        <w:rPr>
          <w:rFonts w:ascii="Times New Roman" w:eastAsia="Calibri" w:hAnsi="Times New Roman" w:cs="Calibri"/>
          <w:sz w:val="24"/>
          <w:lang w:eastAsia="ja-JP"/>
        </w:rPr>
        <w:t>“Augšdaugav</w:t>
      </w:r>
      <w:r w:rsidR="007923B3">
        <w:rPr>
          <w:rFonts w:ascii="Times New Roman" w:eastAsia="Calibri" w:hAnsi="Times New Roman" w:cs="Calibri"/>
          <w:sz w:val="24"/>
          <w:lang w:eastAsia="ja-JP"/>
        </w:rPr>
        <w:t>a</w:t>
      </w:r>
      <w:proofErr w:type="spellEnd"/>
      <w:r w:rsidRPr="00A07F29">
        <w:rPr>
          <w:rFonts w:ascii="Times New Roman" w:eastAsia="Calibri" w:hAnsi="Times New Roman" w:cs="Calibri"/>
          <w:sz w:val="24"/>
          <w:lang w:eastAsia="ja-JP"/>
        </w:rPr>
        <w:t>” nav pieejama vienkopus, bet gan katra pašvaldība sniedz informāciju un virza savā novadā esošos tūrisma objektus un piedāvājumus atsevišķi, tad ir nepieciešams izstrādāt tūrisma informatīvos materiālus un interneta vietnes, kas apvieno tūrisma objektus un piedāvājumus par visu AAA “Augšdaugava” teritoriju kopā.</w:t>
      </w:r>
      <w:r w:rsidR="00075D16" w:rsidRPr="00A07F29">
        <w:rPr>
          <w:rFonts w:ascii="Times New Roman" w:eastAsia="Calibri" w:hAnsi="Times New Roman" w:cs="Calibri"/>
          <w:sz w:val="24"/>
          <w:lang w:eastAsia="ja-JP"/>
        </w:rPr>
        <w:t xml:space="preserve"> Tūrisma informācijas materiālos sniedzama arī informācija par to, kas jāievēro, lai AAA “Augšdaugava” teritorijas apmeklēšana būtu dabai draudzīga.</w:t>
      </w:r>
    </w:p>
    <w:p w14:paraId="4ACACBBB" w14:textId="77777777" w:rsidR="00075D16" w:rsidRPr="00A07F29" w:rsidRDefault="00075D16" w:rsidP="00075D16">
      <w:pPr>
        <w:spacing w:before="120" w:after="0" w:line="240" w:lineRule="auto"/>
        <w:ind w:firstLine="851"/>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Tāpat arī nepieciešami informatīvi materiāli AAA “Augšdaugava” iedzīvotājiem ar praktiskiem padomiem dabas un kultūrvēsturiskā mantojuma saglabāšanai.</w:t>
      </w:r>
    </w:p>
    <w:p w14:paraId="01CEF4B4" w14:textId="7BF26C8D" w:rsidR="000A6A7F" w:rsidRPr="00A07F29" w:rsidRDefault="00A21E83" w:rsidP="000A6A7F">
      <w:pPr>
        <w:keepNext/>
        <w:spacing w:before="240" w:after="120" w:line="240" w:lineRule="auto"/>
        <w:jc w:val="both"/>
        <w:rPr>
          <w:rFonts w:ascii="Times New Roman" w:eastAsia="Calibri" w:hAnsi="Times New Roman" w:cs="Calibri"/>
          <w:b/>
          <w:i/>
          <w:sz w:val="24"/>
          <w:szCs w:val="24"/>
          <w:lang w:eastAsia="ja-JP"/>
        </w:rPr>
      </w:pPr>
      <w:r w:rsidRPr="00A07F29">
        <w:rPr>
          <w:rFonts w:ascii="Times New Roman" w:eastAsia="Calibri" w:hAnsi="Times New Roman" w:cs="Calibri"/>
          <w:b/>
          <w:i/>
          <w:sz w:val="24"/>
          <w:szCs w:val="24"/>
          <w:lang w:eastAsia="ja-JP"/>
        </w:rPr>
        <w:lastRenderedPageBreak/>
        <w:t xml:space="preserve">C.2.1. </w:t>
      </w:r>
      <w:r w:rsidR="000A6A7F" w:rsidRPr="00A07F29">
        <w:rPr>
          <w:rFonts w:ascii="Times New Roman" w:eastAsia="Calibri" w:hAnsi="Times New Roman" w:cs="Calibri"/>
          <w:b/>
          <w:i/>
          <w:sz w:val="24"/>
          <w:szCs w:val="24"/>
          <w:lang w:eastAsia="ja-JP"/>
        </w:rPr>
        <w:t>AAA “Augšdaugava” tūrisma ceļveža sagatavošana</w:t>
      </w:r>
    </w:p>
    <w:p w14:paraId="369EE26F" w14:textId="5E6EFBEA" w:rsidR="00A21E83" w:rsidRPr="00A07F29" w:rsidRDefault="000A6A7F" w:rsidP="00E53A57">
      <w:pPr>
        <w:spacing w:before="120" w:after="0" w:line="240" w:lineRule="auto"/>
        <w:ind w:firstLine="851"/>
        <w:jc w:val="both"/>
        <w:rPr>
          <w:rFonts w:ascii="Times New Roman" w:eastAsia="Calibri" w:hAnsi="Times New Roman" w:cs="Calibri"/>
          <w:sz w:val="24"/>
          <w:szCs w:val="24"/>
          <w:lang w:eastAsia="ja-JP"/>
        </w:rPr>
      </w:pPr>
      <w:r w:rsidRPr="00A07F29">
        <w:rPr>
          <w:rFonts w:ascii="Times New Roman" w:eastAsia="Calibri" w:hAnsi="Times New Roman" w:cs="Calibri"/>
          <w:sz w:val="24"/>
          <w:szCs w:val="24"/>
          <w:lang w:eastAsia="ja-JP"/>
        </w:rPr>
        <w:t xml:space="preserve">Nepieciešams sagatavot </w:t>
      </w:r>
      <w:r w:rsidR="00A21E83" w:rsidRPr="00A07F29">
        <w:rPr>
          <w:rFonts w:ascii="Times New Roman" w:eastAsia="Calibri" w:hAnsi="Times New Roman" w:cs="Calibri"/>
          <w:sz w:val="24"/>
          <w:szCs w:val="24"/>
          <w:lang w:eastAsia="ja-JP"/>
        </w:rPr>
        <w:t xml:space="preserve">un izdot vienotu AAA “Augšdaugava” tūrisma </w:t>
      </w:r>
      <w:r w:rsidRPr="00A07F29">
        <w:rPr>
          <w:rFonts w:ascii="Times New Roman" w:eastAsia="Calibri" w:hAnsi="Times New Roman" w:cs="Calibri"/>
          <w:sz w:val="24"/>
          <w:szCs w:val="24"/>
          <w:lang w:eastAsia="ja-JP"/>
        </w:rPr>
        <w:t>ceļvedi</w:t>
      </w:r>
      <w:r w:rsidR="00A21E83" w:rsidRPr="00A07F29">
        <w:rPr>
          <w:rFonts w:ascii="Times New Roman" w:eastAsia="Calibri" w:hAnsi="Times New Roman" w:cs="Calibri"/>
          <w:sz w:val="24"/>
          <w:szCs w:val="24"/>
          <w:lang w:eastAsia="ja-JP"/>
        </w:rPr>
        <w:t>, iekļaujot tajā informāciju par visiem tūrisma apskates objektiem, naktsmītnēm, ēdināšanas iespējām un atpūtas iespējām.</w:t>
      </w:r>
    </w:p>
    <w:p w14:paraId="62C334D2" w14:textId="45B24644" w:rsidR="00A14902" w:rsidRPr="00A07F29" w:rsidRDefault="00A14902" w:rsidP="00E53A57">
      <w:pPr>
        <w:spacing w:before="120" w:after="0" w:line="240" w:lineRule="auto"/>
        <w:ind w:firstLine="851"/>
        <w:jc w:val="both"/>
        <w:rPr>
          <w:rFonts w:ascii="Times New Roman" w:eastAsia="Calibri" w:hAnsi="Times New Roman" w:cs="Calibri"/>
          <w:sz w:val="24"/>
          <w:szCs w:val="24"/>
          <w:lang w:eastAsia="ja-JP"/>
        </w:rPr>
      </w:pPr>
      <w:r w:rsidRPr="00A07F29">
        <w:rPr>
          <w:rFonts w:ascii="Times New Roman" w:eastAsia="Calibri" w:hAnsi="Times New Roman" w:cs="Times New Roman"/>
          <w:sz w:val="24"/>
          <w:szCs w:val="24"/>
        </w:rPr>
        <w:t>Informācijai par apskates un pakalpojuma objektiem visā AAA “Augšdaugava” teritorijā j</w:t>
      </w:r>
      <w:r w:rsidR="0066617E" w:rsidRPr="00A07F29">
        <w:rPr>
          <w:rFonts w:ascii="Times New Roman" w:eastAsia="Calibri" w:hAnsi="Times New Roman" w:cs="Times New Roman"/>
          <w:sz w:val="24"/>
          <w:szCs w:val="24"/>
        </w:rPr>
        <w:t>ā</w:t>
      </w:r>
      <w:r w:rsidRPr="00A07F29">
        <w:rPr>
          <w:rFonts w:ascii="Times New Roman" w:eastAsia="Calibri" w:hAnsi="Times New Roman" w:cs="Times New Roman"/>
          <w:sz w:val="24"/>
          <w:szCs w:val="24"/>
        </w:rPr>
        <w:t xml:space="preserve">būt pieejamai </w:t>
      </w:r>
      <w:r w:rsidR="00AB2506">
        <w:rPr>
          <w:rFonts w:ascii="Times New Roman" w:eastAsia="Calibri" w:hAnsi="Times New Roman" w:cs="Times New Roman"/>
          <w:sz w:val="24"/>
          <w:szCs w:val="24"/>
        </w:rPr>
        <w:t>TIC</w:t>
      </w:r>
      <w:r w:rsidRPr="00A07F29">
        <w:rPr>
          <w:rFonts w:ascii="Times New Roman" w:eastAsia="Calibri" w:hAnsi="Times New Roman" w:cs="Times New Roman"/>
          <w:sz w:val="24"/>
          <w:szCs w:val="24"/>
        </w:rPr>
        <w:t xml:space="preserve"> un muzejos (</w:t>
      </w:r>
      <w:r w:rsidR="0066617E" w:rsidRPr="00A07F29">
        <w:rPr>
          <w:rFonts w:ascii="Times New Roman" w:eastAsia="Calibri" w:hAnsi="Times New Roman" w:cs="Times New Roman"/>
          <w:sz w:val="24"/>
          <w:szCs w:val="24"/>
        </w:rPr>
        <w:t xml:space="preserve">piemēram, </w:t>
      </w:r>
      <w:r w:rsidRPr="00A07F29">
        <w:rPr>
          <w:rFonts w:ascii="Times New Roman" w:eastAsia="Calibri" w:hAnsi="Times New Roman" w:cs="Times New Roman"/>
          <w:sz w:val="24"/>
          <w:szCs w:val="24"/>
        </w:rPr>
        <w:t>Naujenes novadpētniecības muzej</w:t>
      </w:r>
      <w:r w:rsidR="0066617E" w:rsidRPr="00A07F29">
        <w:rPr>
          <w:rFonts w:ascii="Times New Roman" w:eastAsia="Calibri" w:hAnsi="Times New Roman" w:cs="Times New Roman"/>
          <w:sz w:val="24"/>
          <w:szCs w:val="24"/>
        </w:rPr>
        <w:t xml:space="preserve">ā, </w:t>
      </w:r>
      <w:r w:rsidRPr="00A07F29">
        <w:rPr>
          <w:rFonts w:ascii="Times New Roman" w:eastAsia="Calibri" w:hAnsi="Times New Roman" w:cs="Times New Roman"/>
          <w:sz w:val="24"/>
          <w:szCs w:val="24"/>
        </w:rPr>
        <w:t xml:space="preserve">Krāslavas </w:t>
      </w:r>
      <w:r w:rsidR="00AB2506">
        <w:rPr>
          <w:rFonts w:ascii="Times New Roman" w:eastAsia="Calibri" w:hAnsi="Times New Roman" w:cs="Times New Roman"/>
          <w:sz w:val="24"/>
          <w:szCs w:val="24"/>
        </w:rPr>
        <w:t>TIC</w:t>
      </w:r>
      <w:r w:rsidR="0066617E" w:rsidRPr="00A07F29">
        <w:rPr>
          <w:rFonts w:ascii="Times New Roman" w:eastAsia="Calibri" w:hAnsi="Times New Roman" w:cs="Times New Roman"/>
          <w:sz w:val="24"/>
          <w:szCs w:val="24"/>
        </w:rPr>
        <w:t>).</w:t>
      </w:r>
    </w:p>
    <w:p w14:paraId="5E2D0BC3" w14:textId="7BBCC09B" w:rsidR="000A6A7F" w:rsidRPr="00A07F29" w:rsidRDefault="665FF0F1" w:rsidP="665FF0F1">
      <w:pPr>
        <w:keepNext/>
        <w:spacing w:before="240" w:after="120" w:line="240" w:lineRule="auto"/>
        <w:jc w:val="both"/>
        <w:rPr>
          <w:rFonts w:ascii="Times New Roman" w:eastAsia="Calibri" w:hAnsi="Times New Roman" w:cs="Calibri"/>
          <w:b/>
          <w:bCs/>
          <w:i/>
          <w:iCs/>
          <w:sz w:val="24"/>
          <w:szCs w:val="24"/>
          <w:lang w:eastAsia="ja-JP"/>
        </w:rPr>
      </w:pPr>
      <w:r w:rsidRPr="00A07F29">
        <w:rPr>
          <w:rFonts w:ascii="Times New Roman" w:eastAsia="Calibri" w:hAnsi="Times New Roman" w:cs="Calibri"/>
          <w:b/>
          <w:bCs/>
          <w:i/>
          <w:iCs/>
          <w:sz w:val="24"/>
          <w:szCs w:val="24"/>
          <w:lang w:eastAsia="ja-JP"/>
        </w:rPr>
        <w:t>C.2.2. Tematisko maršrutu karšu sagatavošana</w:t>
      </w:r>
    </w:p>
    <w:p w14:paraId="62837865" w14:textId="3309E3D0" w:rsidR="000A6A7F" w:rsidRPr="00A07F29" w:rsidRDefault="000A6A7F" w:rsidP="000A6A7F">
      <w:pPr>
        <w:spacing w:before="120" w:after="0" w:line="240" w:lineRule="auto"/>
        <w:ind w:firstLine="851"/>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Nepieciešams sagatavot</w:t>
      </w:r>
      <w:r w:rsidR="00A21E83" w:rsidRPr="00A07F29">
        <w:rPr>
          <w:rFonts w:ascii="Times New Roman" w:eastAsia="Calibri" w:hAnsi="Times New Roman" w:cs="Calibri"/>
          <w:sz w:val="24"/>
          <w:lang w:eastAsia="ja-JP"/>
        </w:rPr>
        <w:t xml:space="preserve"> AAA “Augšdaugava” tematisko maršrutu kartes (</w:t>
      </w:r>
      <w:proofErr w:type="spellStart"/>
      <w:r w:rsidR="00A21E83" w:rsidRPr="00A07F29">
        <w:rPr>
          <w:rFonts w:ascii="Times New Roman" w:eastAsia="Calibri" w:hAnsi="Times New Roman" w:cs="Calibri"/>
          <w:sz w:val="24"/>
          <w:lang w:eastAsia="ja-JP"/>
        </w:rPr>
        <w:t>velomaršrutu</w:t>
      </w:r>
      <w:proofErr w:type="spellEnd"/>
      <w:r w:rsidR="00A21E83" w:rsidRPr="00A07F29">
        <w:rPr>
          <w:rFonts w:ascii="Times New Roman" w:eastAsia="Calibri" w:hAnsi="Times New Roman" w:cs="Calibri"/>
          <w:sz w:val="24"/>
          <w:lang w:eastAsia="ja-JP"/>
        </w:rPr>
        <w:t>, zirgu izjāžu, pārgājienu, sakrālā tūrisma, ģimeņu u.c. maršrutu kartes)</w:t>
      </w:r>
      <w:r w:rsidRPr="00A07F29">
        <w:rPr>
          <w:rFonts w:ascii="Times New Roman" w:eastAsia="Calibri" w:hAnsi="Times New Roman" w:cs="Calibri"/>
          <w:sz w:val="24"/>
          <w:lang w:eastAsia="ja-JP"/>
        </w:rPr>
        <w:t xml:space="preserve"> un publicēt </w:t>
      </w:r>
      <w:proofErr w:type="spellStart"/>
      <w:r w:rsidRPr="00A07F29">
        <w:rPr>
          <w:rFonts w:ascii="Times New Roman" w:eastAsia="Calibri" w:hAnsi="Times New Roman" w:cs="Calibri"/>
          <w:sz w:val="24"/>
          <w:lang w:eastAsia="ja-JP"/>
        </w:rPr>
        <w:t>elektronieki</w:t>
      </w:r>
      <w:proofErr w:type="spellEnd"/>
      <w:r w:rsidRPr="00A07F29">
        <w:rPr>
          <w:rFonts w:ascii="Times New Roman" w:eastAsia="Calibri" w:hAnsi="Times New Roman" w:cs="Calibri"/>
          <w:sz w:val="24"/>
          <w:lang w:eastAsia="ja-JP"/>
        </w:rPr>
        <w:t xml:space="preserve"> interneta vietnēs, kas saistītas ar tūrismu AAA “Augšdaugava”, kā arī izdot drukātā veidā.</w:t>
      </w:r>
    </w:p>
    <w:p w14:paraId="0861999D" w14:textId="3B38BADF" w:rsidR="00A21E83" w:rsidRPr="00A07F29" w:rsidRDefault="00A21E83" w:rsidP="000A6A7F">
      <w:pPr>
        <w:spacing w:before="120" w:after="0" w:line="240" w:lineRule="auto"/>
        <w:ind w:firstLine="851"/>
        <w:jc w:val="both"/>
        <w:rPr>
          <w:rFonts w:ascii="Times New Roman" w:eastAsia="Calibri" w:hAnsi="Times New Roman" w:cs="Calibri"/>
          <w:sz w:val="24"/>
          <w:lang w:eastAsia="ja-JP"/>
        </w:rPr>
      </w:pPr>
      <w:proofErr w:type="spellStart"/>
      <w:r w:rsidRPr="00A07F29">
        <w:rPr>
          <w:rFonts w:ascii="Times New Roman" w:eastAsia="Calibri" w:hAnsi="Times New Roman" w:cs="Calibri"/>
          <w:sz w:val="24"/>
          <w:lang w:eastAsia="ja-JP"/>
        </w:rPr>
        <w:t>Ūdenstūrisma</w:t>
      </w:r>
      <w:proofErr w:type="spellEnd"/>
      <w:r w:rsidRPr="00A07F29">
        <w:rPr>
          <w:rFonts w:ascii="Times New Roman" w:eastAsia="Calibri" w:hAnsi="Times New Roman" w:cs="Calibri"/>
          <w:sz w:val="24"/>
          <w:lang w:eastAsia="ja-JP"/>
        </w:rPr>
        <w:t xml:space="preserve"> maršrutu kartēs būtu jānorāda dzeramā ūdens ņemšanas vietas.</w:t>
      </w:r>
    </w:p>
    <w:p w14:paraId="19EA961C" w14:textId="2B2006A7" w:rsidR="000A6A7F" w:rsidRPr="00A07F29" w:rsidRDefault="00A21E83" w:rsidP="009E40E5">
      <w:pPr>
        <w:keepNext/>
        <w:spacing w:before="240" w:after="120" w:line="240" w:lineRule="auto"/>
        <w:jc w:val="both"/>
        <w:rPr>
          <w:rFonts w:ascii="Times New Roman" w:eastAsia="Calibri" w:hAnsi="Times New Roman" w:cs="Calibri"/>
          <w:b/>
          <w:i/>
          <w:sz w:val="24"/>
          <w:szCs w:val="24"/>
          <w:lang w:eastAsia="ja-JP"/>
        </w:rPr>
      </w:pPr>
      <w:r w:rsidRPr="00A07F29">
        <w:rPr>
          <w:rFonts w:ascii="Times New Roman" w:eastAsia="Calibri" w:hAnsi="Times New Roman" w:cs="Calibri"/>
          <w:b/>
          <w:i/>
          <w:sz w:val="24"/>
          <w:szCs w:val="24"/>
          <w:lang w:eastAsia="ja-JP"/>
        </w:rPr>
        <w:t xml:space="preserve">C.2.3. </w:t>
      </w:r>
      <w:r w:rsidR="00075D16" w:rsidRPr="00A07F29">
        <w:rPr>
          <w:rFonts w:ascii="Times New Roman" w:eastAsia="Calibri" w:hAnsi="Times New Roman" w:cs="Calibri"/>
          <w:b/>
          <w:i/>
          <w:sz w:val="24"/>
          <w:szCs w:val="24"/>
          <w:lang w:eastAsia="ja-JP"/>
        </w:rPr>
        <w:t>Dabas objektu ceļveža sagatavošana</w:t>
      </w:r>
    </w:p>
    <w:p w14:paraId="234ED4FC" w14:textId="526E5191" w:rsidR="00A21E83" w:rsidRPr="00A07F29" w:rsidRDefault="00075D16" w:rsidP="00075D16">
      <w:pPr>
        <w:spacing w:before="120" w:after="0" w:line="240" w:lineRule="auto"/>
        <w:ind w:firstLine="851"/>
        <w:jc w:val="both"/>
        <w:rPr>
          <w:rFonts w:ascii="Times New Roman" w:eastAsia="Calibri" w:hAnsi="Times New Roman" w:cs="Calibri"/>
          <w:sz w:val="24"/>
          <w:szCs w:val="24"/>
          <w:lang w:eastAsia="ja-JP"/>
        </w:rPr>
      </w:pPr>
      <w:r w:rsidRPr="00A07F29">
        <w:rPr>
          <w:rFonts w:ascii="Times New Roman" w:eastAsia="Calibri" w:hAnsi="Times New Roman" w:cs="Calibri"/>
          <w:sz w:val="24"/>
          <w:szCs w:val="24"/>
          <w:lang w:eastAsia="ja-JP"/>
        </w:rPr>
        <w:t xml:space="preserve">Nepieciešams </w:t>
      </w:r>
      <w:proofErr w:type="spellStart"/>
      <w:r w:rsidRPr="00A07F29">
        <w:rPr>
          <w:rFonts w:ascii="Times New Roman" w:eastAsia="Calibri" w:hAnsi="Times New Roman" w:cs="Calibri"/>
          <w:sz w:val="24"/>
          <w:szCs w:val="24"/>
          <w:lang w:eastAsia="ja-JP"/>
        </w:rPr>
        <w:t>sagatatavot</w:t>
      </w:r>
      <w:proofErr w:type="spellEnd"/>
      <w:r w:rsidRPr="00A07F29">
        <w:rPr>
          <w:rFonts w:ascii="Times New Roman" w:eastAsia="Calibri" w:hAnsi="Times New Roman" w:cs="Calibri"/>
          <w:sz w:val="24"/>
          <w:szCs w:val="24"/>
          <w:lang w:eastAsia="ja-JP"/>
        </w:rPr>
        <w:t xml:space="preserve"> </w:t>
      </w:r>
      <w:r w:rsidR="00A21E83" w:rsidRPr="00A07F29">
        <w:rPr>
          <w:rFonts w:ascii="Times New Roman" w:eastAsia="Calibri" w:hAnsi="Times New Roman" w:cs="Calibri"/>
          <w:sz w:val="24"/>
          <w:szCs w:val="24"/>
          <w:lang w:eastAsia="ja-JP"/>
        </w:rPr>
        <w:t xml:space="preserve">un izdot AAA “Augšdaugava” teritorijā sastopamo dabas “brīnumu” ceļvedi (dabas pieminekļi, ģeoloģiska un </w:t>
      </w:r>
      <w:proofErr w:type="spellStart"/>
      <w:r w:rsidR="00A21E83" w:rsidRPr="00A07F29">
        <w:rPr>
          <w:rFonts w:ascii="Times New Roman" w:eastAsia="Calibri" w:hAnsi="Times New Roman" w:cs="Calibri"/>
          <w:sz w:val="24"/>
          <w:szCs w:val="24"/>
          <w:lang w:eastAsia="ja-JP"/>
        </w:rPr>
        <w:t>ģeomorfoloģiska</w:t>
      </w:r>
      <w:proofErr w:type="spellEnd"/>
      <w:r w:rsidR="00A21E83" w:rsidRPr="00A07F29">
        <w:rPr>
          <w:rFonts w:ascii="Times New Roman" w:eastAsia="Calibri" w:hAnsi="Times New Roman" w:cs="Calibri"/>
          <w:sz w:val="24"/>
          <w:szCs w:val="24"/>
          <w:lang w:eastAsia="ja-JP"/>
        </w:rPr>
        <w:t xml:space="preserve"> rakstura unikāli objekti, ainavu vērošanas punkti utt.).</w:t>
      </w:r>
    </w:p>
    <w:p w14:paraId="13E2ACFE" w14:textId="52763EBE" w:rsidR="00075D16" w:rsidRPr="00A07F29" w:rsidRDefault="00A21E83" w:rsidP="009E40E5">
      <w:pPr>
        <w:keepNext/>
        <w:spacing w:before="240" w:after="120" w:line="240" w:lineRule="auto"/>
        <w:jc w:val="both"/>
        <w:rPr>
          <w:rFonts w:ascii="Times New Roman" w:eastAsia="Calibri" w:hAnsi="Times New Roman" w:cs="Calibri"/>
          <w:b/>
          <w:i/>
          <w:sz w:val="24"/>
          <w:szCs w:val="24"/>
          <w:lang w:eastAsia="ja-JP"/>
        </w:rPr>
      </w:pPr>
      <w:r w:rsidRPr="00A07F29">
        <w:rPr>
          <w:rFonts w:ascii="Times New Roman" w:eastAsia="Calibri" w:hAnsi="Times New Roman" w:cs="Calibri"/>
          <w:b/>
          <w:i/>
          <w:sz w:val="24"/>
          <w:szCs w:val="24"/>
          <w:lang w:eastAsia="ja-JP"/>
        </w:rPr>
        <w:t xml:space="preserve">C.2.4. </w:t>
      </w:r>
      <w:r w:rsidR="00075D16" w:rsidRPr="00A07F29">
        <w:rPr>
          <w:rFonts w:ascii="Times New Roman" w:eastAsia="Calibri" w:hAnsi="Times New Roman" w:cs="Calibri"/>
          <w:b/>
          <w:i/>
          <w:sz w:val="24"/>
          <w:szCs w:val="24"/>
          <w:lang w:eastAsia="ja-JP"/>
        </w:rPr>
        <w:t>AAA “Augšdaugava” tūrisma interneta vietnes sagatavošana</w:t>
      </w:r>
    </w:p>
    <w:p w14:paraId="20704DCE" w14:textId="38F472EB" w:rsidR="009E40E5" w:rsidRPr="00A07F29" w:rsidRDefault="00A21E83" w:rsidP="009E40E5">
      <w:pPr>
        <w:spacing w:before="120" w:after="0" w:line="240" w:lineRule="auto"/>
        <w:ind w:firstLine="851"/>
        <w:jc w:val="both"/>
        <w:rPr>
          <w:rFonts w:ascii="Times New Roman" w:eastAsia="Calibri" w:hAnsi="Times New Roman" w:cs="Calibri"/>
          <w:sz w:val="24"/>
          <w:szCs w:val="24"/>
          <w:lang w:eastAsia="ja-JP"/>
        </w:rPr>
      </w:pPr>
      <w:r w:rsidRPr="00A07F29">
        <w:rPr>
          <w:rFonts w:ascii="Times New Roman" w:eastAsia="Calibri" w:hAnsi="Times New Roman" w:cs="Calibri"/>
          <w:sz w:val="24"/>
          <w:szCs w:val="24"/>
          <w:lang w:eastAsia="ja-JP"/>
        </w:rPr>
        <w:t xml:space="preserve">Izstrādāt un regulāri uzturēt (papildinot un atjaunojot aktuālo informāciju) AAA “Augšdaugava” tūrisma mājaslapu, iekļaujot informāciju par visām tūrisma iespējām </w:t>
      </w:r>
      <w:r w:rsidR="00BB2799">
        <w:rPr>
          <w:rFonts w:ascii="Times New Roman" w:eastAsia="Calibri" w:hAnsi="Times New Roman" w:cs="Calibri"/>
          <w:sz w:val="24"/>
          <w:szCs w:val="24"/>
          <w:lang w:eastAsia="ja-JP"/>
        </w:rPr>
        <w:t xml:space="preserve">AAA </w:t>
      </w:r>
      <w:r w:rsidRPr="00A07F29">
        <w:rPr>
          <w:rFonts w:ascii="Times New Roman" w:eastAsia="Calibri" w:hAnsi="Times New Roman" w:cs="Calibri"/>
          <w:sz w:val="24"/>
          <w:szCs w:val="24"/>
          <w:lang w:eastAsia="ja-JP"/>
        </w:rPr>
        <w:t>“Augšdaugavas” teritorijā – tūrisma apskates objekti (dabas, kultūrvēsturiskie utt.), naktsmītnes, ēdināšana, atpūtas un izklaides iespējas, tūrisma maršruti, pasākumi, pieejamie tūrisma informācijas materiāli (kartes, bukleti utt.) u.c.</w:t>
      </w:r>
    </w:p>
    <w:p w14:paraId="596F8EC5" w14:textId="38EBE4A8" w:rsidR="009E40E5" w:rsidRPr="00A07F29" w:rsidRDefault="00A21E83" w:rsidP="009E40E5">
      <w:pPr>
        <w:spacing w:before="120" w:after="0" w:line="240" w:lineRule="auto"/>
        <w:ind w:firstLine="851"/>
        <w:jc w:val="both"/>
        <w:rPr>
          <w:rFonts w:ascii="Times New Roman" w:eastAsia="Calibri" w:hAnsi="Times New Roman" w:cs="Calibri"/>
          <w:sz w:val="24"/>
          <w:szCs w:val="24"/>
          <w:lang w:eastAsia="ja-JP"/>
        </w:rPr>
      </w:pPr>
      <w:r w:rsidRPr="00A07F29">
        <w:rPr>
          <w:rFonts w:ascii="Times New Roman" w:eastAsia="Calibri" w:hAnsi="Times New Roman" w:cs="Calibri"/>
          <w:sz w:val="24"/>
          <w:szCs w:val="24"/>
          <w:lang w:eastAsia="ja-JP"/>
        </w:rPr>
        <w:t>Svarīgi mājaslapā informēt arī par esošajām tūristu atpūtas vietām Daugavas krastos un citviet AAA “Augšdaugava” teritorijā.</w:t>
      </w:r>
    </w:p>
    <w:p w14:paraId="7E664F37" w14:textId="10091B7A" w:rsidR="009E40E5" w:rsidRPr="00A07F29" w:rsidRDefault="00A21E83" w:rsidP="009E40E5">
      <w:pPr>
        <w:spacing w:before="120" w:after="0" w:line="240" w:lineRule="auto"/>
        <w:ind w:firstLine="851"/>
        <w:jc w:val="both"/>
        <w:rPr>
          <w:rFonts w:ascii="Times New Roman" w:eastAsia="Calibri" w:hAnsi="Times New Roman" w:cs="Calibri"/>
          <w:sz w:val="24"/>
          <w:szCs w:val="24"/>
          <w:lang w:eastAsia="ja-JP"/>
        </w:rPr>
      </w:pPr>
      <w:r w:rsidRPr="00A07F29">
        <w:rPr>
          <w:rFonts w:ascii="Times New Roman" w:eastAsia="Calibri" w:hAnsi="Times New Roman" w:cs="Calibri"/>
          <w:sz w:val="24"/>
          <w:szCs w:val="24"/>
          <w:lang w:eastAsia="ja-JP"/>
        </w:rPr>
        <w:t xml:space="preserve">Mājaslapā </w:t>
      </w:r>
      <w:r w:rsidR="009E40E5" w:rsidRPr="00A07F29">
        <w:rPr>
          <w:rFonts w:ascii="Times New Roman" w:eastAsia="Calibri" w:hAnsi="Times New Roman" w:cs="Calibri"/>
          <w:sz w:val="24"/>
          <w:szCs w:val="24"/>
          <w:lang w:eastAsia="ja-JP"/>
        </w:rPr>
        <w:t xml:space="preserve">nepieciešams </w:t>
      </w:r>
      <w:r w:rsidRPr="00A07F29">
        <w:rPr>
          <w:rFonts w:ascii="Times New Roman" w:eastAsia="Calibri" w:hAnsi="Times New Roman" w:cs="Calibri"/>
          <w:sz w:val="24"/>
          <w:szCs w:val="24"/>
          <w:lang w:eastAsia="ja-JP"/>
        </w:rPr>
        <w:t xml:space="preserve">iekļaut informāciju arī par AAA “Augšdaugava” kā </w:t>
      </w:r>
      <w:r w:rsidR="3C2B6BAC" w:rsidRPr="00A07F29">
        <w:rPr>
          <w:rFonts w:ascii="Times New Roman" w:eastAsia="Calibri" w:hAnsi="Times New Roman" w:cs="Calibri"/>
          <w:sz w:val="24"/>
          <w:szCs w:val="24"/>
          <w:lang w:eastAsia="ja-JP"/>
        </w:rPr>
        <w:t>ĪADT</w:t>
      </w:r>
      <w:r w:rsidRPr="00A07F29">
        <w:rPr>
          <w:rFonts w:ascii="Times New Roman" w:eastAsia="Calibri" w:hAnsi="Times New Roman" w:cs="Calibri"/>
          <w:sz w:val="24"/>
          <w:szCs w:val="24"/>
          <w:lang w:eastAsia="ja-JP"/>
        </w:rPr>
        <w:t>, tās mērķiem un vērtībām, kā arī ievietot padomus par dabai un videi draudzīgu ceļošanu.</w:t>
      </w:r>
    </w:p>
    <w:p w14:paraId="224D7CD3" w14:textId="21908D3E" w:rsidR="00A21E83" w:rsidRPr="00A07F29" w:rsidRDefault="00A21E83" w:rsidP="009E40E5">
      <w:pPr>
        <w:spacing w:before="120" w:after="0" w:line="240" w:lineRule="auto"/>
        <w:ind w:firstLine="851"/>
        <w:jc w:val="both"/>
        <w:rPr>
          <w:rFonts w:ascii="Times New Roman" w:eastAsia="Calibri" w:hAnsi="Times New Roman" w:cs="Calibri"/>
          <w:sz w:val="24"/>
          <w:szCs w:val="24"/>
          <w:lang w:eastAsia="ja-JP"/>
        </w:rPr>
      </w:pPr>
      <w:r w:rsidRPr="00A07F29">
        <w:rPr>
          <w:rFonts w:ascii="Times New Roman" w:eastAsia="Calibri" w:hAnsi="Times New Roman" w:cs="Calibri"/>
          <w:sz w:val="24"/>
          <w:szCs w:val="24"/>
          <w:lang w:eastAsia="ja-JP"/>
        </w:rPr>
        <w:t xml:space="preserve">Mājaslapu </w:t>
      </w:r>
      <w:r w:rsidR="009E40E5" w:rsidRPr="00A07F29">
        <w:rPr>
          <w:rFonts w:ascii="Times New Roman" w:eastAsia="Calibri" w:hAnsi="Times New Roman" w:cs="Calibri"/>
          <w:sz w:val="24"/>
          <w:szCs w:val="24"/>
          <w:lang w:eastAsia="ja-JP"/>
        </w:rPr>
        <w:t xml:space="preserve">jāpapildina </w:t>
      </w:r>
      <w:r w:rsidRPr="00A07F29">
        <w:rPr>
          <w:rFonts w:ascii="Times New Roman" w:eastAsia="Calibri" w:hAnsi="Times New Roman" w:cs="Calibri"/>
          <w:sz w:val="24"/>
          <w:szCs w:val="24"/>
          <w:lang w:eastAsia="ja-JP"/>
        </w:rPr>
        <w:t xml:space="preserve">ar profesionāliem augstas kvalitātes fotoattēliem, </w:t>
      </w:r>
      <w:r w:rsidR="009E40E5" w:rsidRPr="00A07F29">
        <w:rPr>
          <w:rFonts w:ascii="Times New Roman" w:eastAsia="Calibri" w:hAnsi="Times New Roman" w:cs="Calibri"/>
          <w:sz w:val="24"/>
          <w:szCs w:val="24"/>
          <w:lang w:eastAsia="ja-JP"/>
        </w:rPr>
        <w:t xml:space="preserve">kā arī informācijai jābūt pieejamai </w:t>
      </w:r>
      <w:r w:rsidRPr="00A07F29">
        <w:rPr>
          <w:rFonts w:ascii="Times New Roman" w:eastAsia="Calibri" w:hAnsi="Times New Roman" w:cs="Calibri"/>
          <w:sz w:val="24"/>
          <w:szCs w:val="24"/>
          <w:lang w:eastAsia="ja-JP"/>
        </w:rPr>
        <w:t>vairākās svešvalodās (vismaz krievu, angļu un vācu valodās).</w:t>
      </w:r>
    </w:p>
    <w:p w14:paraId="0CE18846" w14:textId="798BC2ED" w:rsidR="009E40E5" w:rsidRPr="00A07F29" w:rsidRDefault="00A21E83" w:rsidP="00216DB1">
      <w:pPr>
        <w:keepNext/>
        <w:spacing w:before="240" w:after="120" w:line="240" w:lineRule="auto"/>
        <w:jc w:val="both"/>
        <w:rPr>
          <w:rFonts w:ascii="Times New Roman" w:eastAsia="Calibri" w:hAnsi="Times New Roman" w:cs="Calibri"/>
          <w:b/>
          <w:i/>
          <w:sz w:val="24"/>
          <w:szCs w:val="24"/>
          <w:lang w:eastAsia="ja-JP"/>
        </w:rPr>
      </w:pPr>
      <w:r w:rsidRPr="00A07F29">
        <w:rPr>
          <w:rFonts w:ascii="Times New Roman" w:eastAsia="Calibri" w:hAnsi="Times New Roman" w:cs="Calibri"/>
          <w:b/>
          <w:i/>
          <w:sz w:val="24"/>
          <w:szCs w:val="24"/>
          <w:lang w:eastAsia="ja-JP"/>
        </w:rPr>
        <w:t xml:space="preserve">C.2.5. </w:t>
      </w:r>
      <w:r w:rsidR="009E40E5" w:rsidRPr="00A07F29">
        <w:rPr>
          <w:rFonts w:ascii="Times New Roman" w:eastAsia="Calibri" w:hAnsi="Times New Roman" w:cs="Calibri"/>
          <w:b/>
          <w:i/>
          <w:sz w:val="24"/>
          <w:szCs w:val="24"/>
          <w:lang w:eastAsia="ja-JP"/>
        </w:rPr>
        <w:t xml:space="preserve">AAA “Augšdaugava” sadaļas izveidošana </w:t>
      </w:r>
      <w:r w:rsidR="00120CDE" w:rsidRPr="00A07F29">
        <w:rPr>
          <w:rFonts w:ascii="Times New Roman" w:eastAsia="Calibri" w:hAnsi="Times New Roman" w:cs="Calibri"/>
          <w:b/>
          <w:i/>
          <w:sz w:val="24"/>
          <w:szCs w:val="24"/>
          <w:lang w:eastAsia="ja-JP"/>
        </w:rPr>
        <w:t>Augšdaugavas</w:t>
      </w:r>
      <w:r w:rsidR="009E40E5" w:rsidRPr="00A07F29">
        <w:rPr>
          <w:rFonts w:ascii="Times New Roman" w:eastAsia="Calibri" w:hAnsi="Times New Roman" w:cs="Calibri"/>
          <w:b/>
          <w:i/>
          <w:sz w:val="24"/>
          <w:szCs w:val="24"/>
          <w:lang w:eastAsia="ja-JP"/>
        </w:rPr>
        <w:t xml:space="preserve"> un Krāslavas novadu tūrisma mājaslapās</w:t>
      </w:r>
    </w:p>
    <w:p w14:paraId="11BA63C0" w14:textId="56CCA63C" w:rsidR="00A21E83" w:rsidRPr="00A07F29" w:rsidRDefault="00120CDE" w:rsidP="009E40E5">
      <w:pPr>
        <w:spacing w:before="120" w:after="0" w:line="240" w:lineRule="auto"/>
        <w:ind w:firstLine="851"/>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Augšdaugavas</w:t>
      </w:r>
      <w:r w:rsidR="00A21E83" w:rsidRPr="00A07F29">
        <w:rPr>
          <w:rFonts w:ascii="Times New Roman" w:eastAsia="Calibri" w:hAnsi="Times New Roman" w:cs="Calibri"/>
          <w:sz w:val="24"/>
          <w:lang w:eastAsia="ja-JP"/>
        </w:rPr>
        <w:t xml:space="preserve"> un Krāslavas novadu tūrisma mājas lapās </w:t>
      </w:r>
      <w:r w:rsidR="009E40E5" w:rsidRPr="00A07F29">
        <w:rPr>
          <w:rFonts w:ascii="Times New Roman" w:eastAsia="Calibri" w:hAnsi="Times New Roman" w:cs="Calibri"/>
          <w:sz w:val="24"/>
          <w:lang w:eastAsia="ja-JP"/>
        </w:rPr>
        <w:t xml:space="preserve">nepieciešams </w:t>
      </w:r>
      <w:r w:rsidR="00A21E83" w:rsidRPr="00A07F29">
        <w:rPr>
          <w:rFonts w:ascii="Times New Roman" w:eastAsia="Calibri" w:hAnsi="Times New Roman" w:cs="Calibri"/>
          <w:sz w:val="24"/>
          <w:lang w:eastAsia="ja-JP"/>
        </w:rPr>
        <w:t>izstrādāt atsevišķu sadaļu par AAA “Augšdaugava”</w:t>
      </w:r>
      <w:r w:rsidR="009E40E5" w:rsidRPr="00A07F29">
        <w:rPr>
          <w:rFonts w:ascii="Times New Roman" w:eastAsia="Calibri" w:hAnsi="Times New Roman" w:cs="Calibri"/>
          <w:sz w:val="24"/>
          <w:lang w:eastAsia="ja-JP"/>
        </w:rPr>
        <w:t>. I</w:t>
      </w:r>
      <w:r w:rsidR="00A21E83" w:rsidRPr="00A07F29">
        <w:rPr>
          <w:rFonts w:ascii="Times New Roman" w:eastAsia="Calibri" w:hAnsi="Times New Roman" w:cs="Calibri"/>
          <w:sz w:val="24"/>
          <w:lang w:eastAsia="ja-JP"/>
        </w:rPr>
        <w:t xml:space="preserve">nformāciju regulāri </w:t>
      </w:r>
      <w:r w:rsidR="009E40E5" w:rsidRPr="00A07F29">
        <w:rPr>
          <w:rFonts w:ascii="Times New Roman" w:eastAsia="Calibri" w:hAnsi="Times New Roman" w:cs="Calibri"/>
          <w:sz w:val="24"/>
          <w:lang w:eastAsia="ja-JP"/>
        </w:rPr>
        <w:t>jā</w:t>
      </w:r>
      <w:r w:rsidR="00A21E83" w:rsidRPr="00A07F29">
        <w:rPr>
          <w:rFonts w:ascii="Times New Roman" w:eastAsia="Calibri" w:hAnsi="Times New Roman" w:cs="Calibri"/>
          <w:sz w:val="24"/>
          <w:lang w:eastAsia="ja-JP"/>
        </w:rPr>
        <w:t xml:space="preserve">atjauno un </w:t>
      </w:r>
      <w:r w:rsidR="009E40E5" w:rsidRPr="00A07F29">
        <w:rPr>
          <w:rFonts w:ascii="Times New Roman" w:eastAsia="Calibri" w:hAnsi="Times New Roman" w:cs="Calibri"/>
          <w:sz w:val="24"/>
          <w:lang w:eastAsia="ja-JP"/>
        </w:rPr>
        <w:t>jāpapildina</w:t>
      </w:r>
      <w:r w:rsidR="00A21E83" w:rsidRPr="00A07F29">
        <w:rPr>
          <w:rFonts w:ascii="Times New Roman" w:eastAsia="Calibri" w:hAnsi="Times New Roman" w:cs="Calibri"/>
          <w:sz w:val="24"/>
          <w:lang w:eastAsia="ja-JP"/>
        </w:rPr>
        <w:t xml:space="preserve">, t.sk. arī svešvalodās, kā arī </w:t>
      </w:r>
      <w:r w:rsidR="00216DB1" w:rsidRPr="00A07F29">
        <w:rPr>
          <w:rFonts w:ascii="Times New Roman" w:eastAsia="Calibri" w:hAnsi="Times New Roman" w:cs="Calibri"/>
          <w:sz w:val="24"/>
          <w:lang w:eastAsia="ja-JP"/>
        </w:rPr>
        <w:t xml:space="preserve">jānodrošina saites uz AAA </w:t>
      </w:r>
      <w:r w:rsidR="00A21E83" w:rsidRPr="00A07F29">
        <w:rPr>
          <w:rFonts w:ascii="Times New Roman" w:eastAsia="Calibri" w:hAnsi="Times New Roman" w:cs="Calibri"/>
          <w:sz w:val="24"/>
          <w:lang w:eastAsia="ja-JP"/>
        </w:rPr>
        <w:t xml:space="preserve">“Augšdaugava” tūrisma mājas </w:t>
      </w:r>
      <w:r w:rsidR="00216DB1" w:rsidRPr="00A07F29">
        <w:rPr>
          <w:rFonts w:ascii="Times New Roman" w:eastAsia="Calibri" w:hAnsi="Times New Roman" w:cs="Calibri"/>
          <w:sz w:val="24"/>
          <w:lang w:eastAsia="ja-JP"/>
        </w:rPr>
        <w:t xml:space="preserve">lapu un uz DAP mājaslapu, kur ievietota </w:t>
      </w:r>
      <w:proofErr w:type="spellStart"/>
      <w:r w:rsidR="00216DB1" w:rsidRPr="00A07F29">
        <w:rPr>
          <w:rFonts w:ascii="Times New Roman" w:eastAsia="Calibri" w:hAnsi="Times New Roman" w:cs="Calibri"/>
          <w:sz w:val="24"/>
          <w:lang w:eastAsia="ja-JP"/>
        </w:rPr>
        <w:t>nformāciju</w:t>
      </w:r>
      <w:proofErr w:type="spellEnd"/>
      <w:r w:rsidR="00216DB1" w:rsidRPr="00A07F29">
        <w:rPr>
          <w:rFonts w:ascii="Times New Roman" w:eastAsia="Calibri" w:hAnsi="Times New Roman" w:cs="Calibri"/>
          <w:sz w:val="24"/>
          <w:lang w:eastAsia="ja-JP"/>
        </w:rPr>
        <w:t xml:space="preserve"> par AAA “Augšdaugava”.</w:t>
      </w:r>
    </w:p>
    <w:p w14:paraId="07EE7CCD" w14:textId="53F2E7C1" w:rsidR="009E40E5" w:rsidRPr="00A07F29" w:rsidRDefault="00A21E83" w:rsidP="00216DB1">
      <w:pPr>
        <w:keepNext/>
        <w:spacing w:before="240" w:after="120" w:line="240" w:lineRule="auto"/>
        <w:jc w:val="both"/>
        <w:rPr>
          <w:rFonts w:ascii="Times New Roman" w:eastAsia="Calibri" w:hAnsi="Times New Roman" w:cs="Calibri"/>
          <w:b/>
          <w:i/>
          <w:sz w:val="24"/>
          <w:szCs w:val="24"/>
          <w:lang w:eastAsia="ja-JP"/>
        </w:rPr>
      </w:pPr>
      <w:r w:rsidRPr="00A07F29">
        <w:rPr>
          <w:rFonts w:ascii="Times New Roman" w:eastAsia="Calibri" w:hAnsi="Times New Roman" w:cs="Calibri"/>
          <w:b/>
          <w:i/>
          <w:sz w:val="24"/>
          <w:szCs w:val="24"/>
          <w:lang w:eastAsia="ja-JP"/>
        </w:rPr>
        <w:t xml:space="preserve">C.2.6. </w:t>
      </w:r>
      <w:r w:rsidR="009E40E5" w:rsidRPr="00A07F29">
        <w:rPr>
          <w:rFonts w:ascii="Times New Roman" w:eastAsia="Calibri" w:hAnsi="Times New Roman" w:cs="Calibri"/>
          <w:b/>
          <w:i/>
          <w:sz w:val="24"/>
          <w:szCs w:val="24"/>
          <w:lang w:eastAsia="ja-JP"/>
        </w:rPr>
        <w:t>AAA “Augšdaugava” konta izveidošana sociālajos tīklos</w:t>
      </w:r>
    </w:p>
    <w:p w14:paraId="18D43851" w14:textId="59C7FD36" w:rsidR="00216DB1" w:rsidRPr="00A07F29" w:rsidRDefault="00216DB1" w:rsidP="00216DB1">
      <w:pPr>
        <w:spacing w:before="120" w:after="0" w:line="240" w:lineRule="auto"/>
        <w:ind w:firstLine="851"/>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Nepieciešams i</w:t>
      </w:r>
      <w:r w:rsidR="00A21E83" w:rsidRPr="00A07F29">
        <w:rPr>
          <w:rFonts w:ascii="Times New Roman" w:eastAsia="Calibri" w:hAnsi="Times New Roman" w:cs="Calibri"/>
          <w:sz w:val="24"/>
          <w:lang w:eastAsia="ja-JP"/>
        </w:rPr>
        <w:t xml:space="preserve">zveidot un regulāri uzturēt AAA “Augšdaugava” kontu sociālajā tīklā facebook.com. </w:t>
      </w:r>
      <w:r w:rsidRPr="00A07F29">
        <w:rPr>
          <w:rFonts w:ascii="Times New Roman" w:eastAsia="Calibri" w:hAnsi="Times New Roman" w:cs="Calibri"/>
          <w:sz w:val="24"/>
          <w:lang w:eastAsia="ja-JP"/>
        </w:rPr>
        <w:t>Jān</w:t>
      </w:r>
      <w:r w:rsidR="00A21E83" w:rsidRPr="00A07F29">
        <w:rPr>
          <w:rFonts w:ascii="Times New Roman" w:eastAsia="Calibri" w:hAnsi="Times New Roman" w:cs="Calibri"/>
          <w:sz w:val="24"/>
          <w:lang w:eastAsia="ja-JP"/>
        </w:rPr>
        <w:t>odrošin</w:t>
      </w:r>
      <w:r w:rsidRPr="00A07F29">
        <w:rPr>
          <w:rFonts w:ascii="Times New Roman" w:eastAsia="Calibri" w:hAnsi="Times New Roman" w:cs="Calibri"/>
          <w:sz w:val="24"/>
          <w:lang w:eastAsia="ja-JP"/>
        </w:rPr>
        <w:t>a</w:t>
      </w:r>
      <w:r w:rsidR="00A21E83" w:rsidRPr="00A07F29">
        <w:rPr>
          <w:rFonts w:ascii="Times New Roman" w:eastAsia="Calibri" w:hAnsi="Times New Roman" w:cs="Calibri"/>
          <w:sz w:val="24"/>
          <w:lang w:eastAsia="ja-JP"/>
        </w:rPr>
        <w:t xml:space="preserve"> </w:t>
      </w:r>
      <w:r w:rsidRPr="00A07F29">
        <w:rPr>
          <w:rFonts w:ascii="Times New Roman" w:eastAsia="Calibri" w:hAnsi="Times New Roman" w:cs="Calibri"/>
          <w:sz w:val="24"/>
          <w:lang w:eastAsia="ja-JP"/>
        </w:rPr>
        <w:t xml:space="preserve">regulāra </w:t>
      </w:r>
      <w:r w:rsidR="00A21E83" w:rsidRPr="00A07F29">
        <w:rPr>
          <w:rFonts w:ascii="Times New Roman" w:eastAsia="Calibri" w:hAnsi="Times New Roman" w:cs="Calibri"/>
          <w:sz w:val="24"/>
          <w:lang w:eastAsia="ja-JP"/>
        </w:rPr>
        <w:t xml:space="preserve">informācijas </w:t>
      </w:r>
      <w:r w:rsidRPr="00A07F29">
        <w:rPr>
          <w:rFonts w:ascii="Times New Roman" w:eastAsia="Calibri" w:hAnsi="Times New Roman" w:cs="Calibri"/>
          <w:sz w:val="24"/>
          <w:lang w:eastAsia="ja-JP"/>
        </w:rPr>
        <w:t xml:space="preserve">atjaunošana </w:t>
      </w:r>
      <w:r w:rsidR="00A21E83" w:rsidRPr="00A07F29">
        <w:rPr>
          <w:rFonts w:ascii="Times New Roman" w:eastAsia="Calibri" w:hAnsi="Times New Roman" w:cs="Calibri"/>
          <w:sz w:val="24"/>
          <w:lang w:eastAsia="ja-JP"/>
        </w:rPr>
        <w:t xml:space="preserve">un </w:t>
      </w:r>
      <w:r w:rsidRPr="00A07F29">
        <w:rPr>
          <w:rFonts w:ascii="Times New Roman" w:eastAsia="Calibri" w:hAnsi="Times New Roman" w:cs="Calibri"/>
          <w:sz w:val="24"/>
          <w:lang w:eastAsia="ja-JP"/>
        </w:rPr>
        <w:t xml:space="preserve">papildināšana </w:t>
      </w:r>
      <w:r w:rsidR="00A21E83" w:rsidRPr="00A07F29">
        <w:rPr>
          <w:rFonts w:ascii="Times New Roman" w:eastAsia="Calibri" w:hAnsi="Times New Roman" w:cs="Calibri"/>
          <w:sz w:val="24"/>
          <w:lang w:eastAsia="ja-JP"/>
        </w:rPr>
        <w:t xml:space="preserve">(piemēram, par </w:t>
      </w:r>
      <w:proofErr w:type="spellStart"/>
      <w:r w:rsidRPr="00A07F29">
        <w:rPr>
          <w:rFonts w:ascii="Times New Roman" w:eastAsia="Calibri" w:hAnsi="Times New Roman" w:cs="Calibri"/>
          <w:sz w:val="24"/>
          <w:lang w:eastAsia="ja-JP"/>
        </w:rPr>
        <w:t>aktualitālām</w:t>
      </w:r>
      <w:proofErr w:type="spellEnd"/>
      <w:r w:rsidRPr="00A07F29">
        <w:rPr>
          <w:rFonts w:ascii="Times New Roman" w:eastAsia="Calibri" w:hAnsi="Times New Roman" w:cs="Calibri"/>
          <w:sz w:val="24"/>
          <w:lang w:eastAsia="ja-JP"/>
        </w:rPr>
        <w:t xml:space="preserve"> norisēm dabā, par </w:t>
      </w:r>
      <w:r w:rsidR="00A21E83" w:rsidRPr="00A07F29">
        <w:rPr>
          <w:rFonts w:ascii="Times New Roman" w:eastAsia="Calibri" w:hAnsi="Times New Roman" w:cs="Calibri"/>
          <w:sz w:val="24"/>
          <w:lang w:eastAsia="ja-JP"/>
        </w:rPr>
        <w:t xml:space="preserve">jauniem tūrisma objektiem, piedāvājumiem utt.), </w:t>
      </w:r>
      <w:r w:rsidRPr="00A07F29">
        <w:rPr>
          <w:rFonts w:ascii="Times New Roman" w:eastAsia="Calibri" w:hAnsi="Times New Roman" w:cs="Calibri"/>
          <w:sz w:val="24"/>
          <w:lang w:eastAsia="ja-JP"/>
        </w:rPr>
        <w:t>jā</w:t>
      </w:r>
      <w:r w:rsidR="00A21E83" w:rsidRPr="00A07F29">
        <w:rPr>
          <w:rFonts w:ascii="Times New Roman" w:eastAsia="Calibri" w:hAnsi="Times New Roman" w:cs="Calibri"/>
          <w:sz w:val="24"/>
          <w:lang w:eastAsia="ja-JP"/>
        </w:rPr>
        <w:t xml:space="preserve">ievieto fotogrāfijas, </w:t>
      </w:r>
      <w:r w:rsidRPr="00A07F29">
        <w:rPr>
          <w:rFonts w:ascii="Times New Roman" w:eastAsia="Calibri" w:hAnsi="Times New Roman" w:cs="Calibri"/>
          <w:sz w:val="24"/>
          <w:lang w:eastAsia="ja-JP"/>
        </w:rPr>
        <w:t>jā</w:t>
      </w:r>
      <w:r w:rsidR="00A21E83" w:rsidRPr="00A07F29">
        <w:rPr>
          <w:rFonts w:ascii="Times New Roman" w:eastAsia="Calibri" w:hAnsi="Times New Roman" w:cs="Calibri"/>
          <w:sz w:val="24"/>
          <w:lang w:eastAsia="ja-JP"/>
        </w:rPr>
        <w:t xml:space="preserve">informē par pasākumiem un </w:t>
      </w:r>
      <w:r w:rsidRPr="00A07F29">
        <w:rPr>
          <w:rFonts w:ascii="Times New Roman" w:eastAsia="Calibri" w:hAnsi="Times New Roman" w:cs="Calibri"/>
          <w:sz w:val="24"/>
          <w:lang w:eastAsia="ja-JP"/>
        </w:rPr>
        <w:t xml:space="preserve">jāveic </w:t>
      </w:r>
      <w:r w:rsidR="00A21E83" w:rsidRPr="00A07F29">
        <w:rPr>
          <w:rFonts w:ascii="Times New Roman" w:eastAsia="Calibri" w:hAnsi="Times New Roman" w:cs="Calibri"/>
          <w:sz w:val="24"/>
          <w:lang w:eastAsia="ja-JP"/>
        </w:rPr>
        <w:t xml:space="preserve">citas aktivitātes ar mērķi informēt sabiedrību par AAA “Augšdaugava” </w:t>
      </w:r>
      <w:r w:rsidRPr="00A07F29">
        <w:rPr>
          <w:rFonts w:ascii="Times New Roman" w:eastAsia="Calibri" w:hAnsi="Times New Roman" w:cs="Calibri"/>
          <w:sz w:val="24"/>
          <w:lang w:eastAsia="ja-JP"/>
        </w:rPr>
        <w:t>vērtībām un</w:t>
      </w:r>
      <w:r w:rsidR="00A21E83" w:rsidRPr="00A07F29">
        <w:rPr>
          <w:rFonts w:ascii="Times New Roman" w:eastAsia="Calibri" w:hAnsi="Times New Roman" w:cs="Calibri"/>
          <w:sz w:val="24"/>
          <w:lang w:eastAsia="ja-JP"/>
        </w:rPr>
        <w:t xml:space="preserve"> tūrisma un atpūtas iespējām šajā teritorijā.</w:t>
      </w:r>
    </w:p>
    <w:p w14:paraId="7C444DF1" w14:textId="7A6B4DA5" w:rsidR="00216DB1" w:rsidRPr="00A07F29" w:rsidRDefault="00A21E83" w:rsidP="00216DB1">
      <w:pPr>
        <w:keepNext/>
        <w:spacing w:before="240" w:after="120" w:line="240" w:lineRule="auto"/>
        <w:jc w:val="both"/>
        <w:rPr>
          <w:rFonts w:ascii="Times New Roman" w:eastAsia="Calibri" w:hAnsi="Times New Roman" w:cs="Calibri"/>
          <w:b/>
          <w:i/>
          <w:sz w:val="24"/>
          <w:szCs w:val="24"/>
          <w:lang w:eastAsia="ja-JP"/>
        </w:rPr>
      </w:pPr>
      <w:r w:rsidRPr="00A07F29">
        <w:rPr>
          <w:rFonts w:ascii="Times New Roman" w:eastAsia="Calibri" w:hAnsi="Times New Roman" w:cs="Calibri"/>
          <w:b/>
          <w:i/>
          <w:sz w:val="24"/>
          <w:szCs w:val="24"/>
          <w:lang w:eastAsia="ja-JP"/>
        </w:rPr>
        <w:lastRenderedPageBreak/>
        <w:t xml:space="preserve">C.2.7. </w:t>
      </w:r>
      <w:r w:rsidR="00216DB1" w:rsidRPr="00A07F29">
        <w:rPr>
          <w:rFonts w:ascii="Times New Roman" w:eastAsia="Calibri" w:hAnsi="Times New Roman" w:cs="Calibri"/>
          <w:b/>
          <w:i/>
          <w:sz w:val="24"/>
          <w:szCs w:val="24"/>
          <w:lang w:eastAsia="ja-JP"/>
        </w:rPr>
        <w:t xml:space="preserve">Rokasgrāmatas par vietējās </w:t>
      </w:r>
      <w:r w:rsidR="00225547" w:rsidRPr="00A07F29">
        <w:rPr>
          <w:rFonts w:ascii="Times New Roman" w:eastAsia="Calibri" w:hAnsi="Times New Roman" w:cs="Calibri"/>
          <w:b/>
          <w:i/>
          <w:sz w:val="24"/>
          <w:szCs w:val="24"/>
          <w:lang w:eastAsia="ja-JP"/>
        </w:rPr>
        <w:t xml:space="preserve">vēsturiskās </w:t>
      </w:r>
      <w:r w:rsidR="00216DB1" w:rsidRPr="00A07F29">
        <w:rPr>
          <w:rFonts w:ascii="Times New Roman" w:eastAsia="Calibri" w:hAnsi="Times New Roman" w:cs="Calibri"/>
          <w:b/>
          <w:i/>
          <w:sz w:val="24"/>
          <w:szCs w:val="24"/>
          <w:lang w:eastAsia="ja-JP"/>
        </w:rPr>
        <w:t>celtniecības tradīcijām izdošana</w:t>
      </w:r>
    </w:p>
    <w:p w14:paraId="60E95973" w14:textId="6849EFE2" w:rsidR="00A21E83" w:rsidRPr="00A07F29" w:rsidRDefault="00216DB1" w:rsidP="00812889">
      <w:pPr>
        <w:spacing w:after="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Nepieciešams s</w:t>
      </w:r>
      <w:r w:rsidR="00A21E83" w:rsidRPr="00A07F29">
        <w:rPr>
          <w:rFonts w:ascii="Times New Roman" w:eastAsia="Calibri" w:hAnsi="Times New Roman" w:cs="Times New Roman"/>
          <w:sz w:val="24"/>
          <w:szCs w:val="24"/>
        </w:rPr>
        <w:t>agatavot un izdot (gan elektroniski</w:t>
      </w:r>
      <w:r w:rsidRPr="00A07F29">
        <w:rPr>
          <w:rFonts w:ascii="Times New Roman" w:eastAsia="Calibri" w:hAnsi="Times New Roman" w:cs="Times New Roman"/>
          <w:sz w:val="24"/>
          <w:szCs w:val="24"/>
        </w:rPr>
        <w:t>, gan drukātā veidā</w:t>
      </w:r>
      <w:r w:rsidR="00A21E83" w:rsidRPr="00A07F29">
        <w:rPr>
          <w:rFonts w:ascii="Times New Roman" w:eastAsia="Calibri" w:hAnsi="Times New Roman" w:cs="Times New Roman"/>
          <w:sz w:val="24"/>
          <w:szCs w:val="24"/>
        </w:rPr>
        <w:t xml:space="preserve">) rokasgrāmatu par vietējās </w:t>
      </w:r>
      <w:r w:rsidR="00225547" w:rsidRPr="00A07F29">
        <w:rPr>
          <w:rFonts w:ascii="Times New Roman" w:eastAsia="Calibri" w:hAnsi="Times New Roman" w:cs="Times New Roman"/>
          <w:sz w:val="24"/>
          <w:szCs w:val="24"/>
        </w:rPr>
        <w:t xml:space="preserve">vēsturiskās </w:t>
      </w:r>
      <w:r w:rsidR="00A21E83" w:rsidRPr="00A07F29">
        <w:rPr>
          <w:rFonts w:ascii="Times New Roman" w:eastAsia="Calibri" w:hAnsi="Times New Roman" w:cs="Times New Roman"/>
          <w:sz w:val="24"/>
          <w:szCs w:val="24"/>
        </w:rPr>
        <w:t>celtniecības tradīcijām ar mērķi sniegt praktiskus ieteikumus un piemērus vietējo materiālu un kultūras mantojuma resursu pielietošanā, tādējādi saglabājot Augšdaugavai raksturīgo arhitektūru.</w:t>
      </w:r>
    </w:p>
    <w:p w14:paraId="2A3E710A" w14:textId="77777777" w:rsidR="00812889" w:rsidRPr="00A07F29" w:rsidRDefault="00812889" w:rsidP="00812889">
      <w:pPr>
        <w:spacing w:after="120" w:line="240" w:lineRule="auto"/>
        <w:ind w:firstLine="851"/>
        <w:contextualSpacing/>
        <w:jc w:val="both"/>
        <w:rPr>
          <w:rFonts w:ascii="Times New Roman" w:eastAsia="Calibri" w:hAnsi="Times New Roman" w:cs="Calibri"/>
          <w:sz w:val="24"/>
          <w:lang w:eastAsia="ja-JP"/>
        </w:rPr>
      </w:pPr>
    </w:p>
    <w:p w14:paraId="3568EF8A" w14:textId="4199709B" w:rsidR="00A21E83" w:rsidRPr="00A07F29" w:rsidRDefault="00A21E83" w:rsidP="00812889">
      <w:pPr>
        <w:keepNext/>
        <w:spacing w:before="240" w:after="120" w:line="240" w:lineRule="auto"/>
        <w:jc w:val="both"/>
        <w:rPr>
          <w:rFonts w:ascii="Times New Roman" w:eastAsia="Calibri" w:hAnsi="Times New Roman" w:cs="Calibri"/>
          <w:b/>
          <w:sz w:val="24"/>
          <w:szCs w:val="24"/>
          <w:lang w:eastAsia="ja-JP"/>
        </w:rPr>
      </w:pPr>
      <w:r w:rsidRPr="00A07F29">
        <w:rPr>
          <w:rFonts w:ascii="Times New Roman" w:eastAsia="Calibri" w:hAnsi="Times New Roman" w:cs="Calibri"/>
          <w:b/>
          <w:sz w:val="24"/>
          <w:szCs w:val="24"/>
          <w:lang w:eastAsia="ja-JP"/>
        </w:rPr>
        <w:t xml:space="preserve">C.3. </w:t>
      </w:r>
      <w:r w:rsidR="00F03257" w:rsidRPr="00A07F29">
        <w:rPr>
          <w:rFonts w:ascii="Times New Roman" w:eastAsia="Calibri" w:hAnsi="Times New Roman" w:cs="Calibri"/>
          <w:b/>
          <w:sz w:val="24"/>
          <w:szCs w:val="24"/>
          <w:lang w:eastAsia="ja-JP"/>
        </w:rPr>
        <w:t>Organizēt i</w:t>
      </w:r>
      <w:r w:rsidR="00097BFB" w:rsidRPr="00A07F29">
        <w:rPr>
          <w:rFonts w:ascii="Times New Roman" w:eastAsia="Calibri" w:hAnsi="Times New Roman" w:cs="Calibri"/>
          <w:b/>
          <w:sz w:val="24"/>
          <w:szCs w:val="24"/>
          <w:lang w:eastAsia="ja-JP"/>
        </w:rPr>
        <w:t>zglītojoš</w:t>
      </w:r>
      <w:r w:rsidR="00216DB1" w:rsidRPr="00A07F29">
        <w:rPr>
          <w:rFonts w:ascii="Times New Roman" w:eastAsia="Calibri" w:hAnsi="Times New Roman" w:cs="Calibri"/>
          <w:b/>
          <w:sz w:val="24"/>
          <w:szCs w:val="24"/>
          <w:lang w:eastAsia="ja-JP"/>
        </w:rPr>
        <w:t>u</w:t>
      </w:r>
      <w:r w:rsidR="00F03257" w:rsidRPr="00A07F29">
        <w:rPr>
          <w:rFonts w:ascii="Times New Roman" w:eastAsia="Calibri" w:hAnsi="Times New Roman" w:cs="Calibri"/>
          <w:b/>
          <w:sz w:val="24"/>
          <w:szCs w:val="24"/>
          <w:lang w:eastAsia="ja-JP"/>
        </w:rPr>
        <w:t>s</w:t>
      </w:r>
      <w:r w:rsidR="00216DB1" w:rsidRPr="00A07F29">
        <w:rPr>
          <w:rFonts w:ascii="Times New Roman" w:eastAsia="Calibri" w:hAnsi="Times New Roman" w:cs="Calibri"/>
          <w:b/>
          <w:sz w:val="24"/>
          <w:szCs w:val="24"/>
          <w:lang w:eastAsia="ja-JP"/>
        </w:rPr>
        <w:t xml:space="preserve"> pasākumu</w:t>
      </w:r>
      <w:r w:rsidR="00F03257" w:rsidRPr="00A07F29">
        <w:rPr>
          <w:rFonts w:ascii="Times New Roman" w:eastAsia="Calibri" w:hAnsi="Times New Roman" w:cs="Calibri"/>
          <w:b/>
          <w:sz w:val="24"/>
          <w:szCs w:val="24"/>
          <w:lang w:eastAsia="ja-JP"/>
        </w:rPr>
        <w:t>s</w:t>
      </w:r>
      <w:r w:rsidR="00216DB1" w:rsidRPr="00A07F29">
        <w:rPr>
          <w:rFonts w:ascii="Times New Roman" w:eastAsia="Calibri" w:hAnsi="Times New Roman" w:cs="Calibri"/>
          <w:b/>
          <w:sz w:val="24"/>
          <w:szCs w:val="24"/>
          <w:lang w:eastAsia="ja-JP"/>
        </w:rPr>
        <w:t xml:space="preserve"> vietējiem iedzīvot</w:t>
      </w:r>
      <w:r w:rsidR="00727C9A">
        <w:rPr>
          <w:rFonts w:ascii="Times New Roman" w:eastAsia="Calibri" w:hAnsi="Times New Roman" w:cs="Calibri"/>
          <w:b/>
          <w:sz w:val="24"/>
          <w:szCs w:val="24"/>
          <w:lang w:eastAsia="ja-JP"/>
        </w:rPr>
        <w:t>ā</w:t>
      </w:r>
      <w:r w:rsidR="00216DB1" w:rsidRPr="00A07F29">
        <w:rPr>
          <w:rFonts w:ascii="Times New Roman" w:eastAsia="Calibri" w:hAnsi="Times New Roman" w:cs="Calibri"/>
          <w:b/>
          <w:sz w:val="24"/>
          <w:szCs w:val="24"/>
          <w:lang w:eastAsia="ja-JP"/>
        </w:rPr>
        <w:t>ji</w:t>
      </w:r>
      <w:r w:rsidR="00812889" w:rsidRPr="00A07F29">
        <w:rPr>
          <w:rFonts w:ascii="Times New Roman" w:eastAsia="Calibri" w:hAnsi="Times New Roman" w:cs="Calibri"/>
          <w:b/>
          <w:sz w:val="24"/>
          <w:szCs w:val="24"/>
          <w:lang w:eastAsia="ja-JP"/>
        </w:rPr>
        <w:t>e</w:t>
      </w:r>
      <w:r w:rsidR="00216DB1" w:rsidRPr="00A07F29">
        <w:rPr>
          <w:rFonts w:ascii="Times New Roman" w:eastAsia="Calibri" w:hAnsi="Times New Roman" w:cs="Calibri"/>
          <w:b/>
          <w:sz w:val="24"/>
          <w:szCs w:val="24"/>
          <w:lang w:eastAsia="ja-JP"/>
        </w:rPr>
        <w:t>m, uzņēmējiem un teritor</w:t>
      </w:r>
      <w:r w:rsidR="00812889" w:rsidRPr="00A07F29">
        <w:rPr>
          <w:rFonts w:ascii="Times New Roman" w:eastAsia="Calibri" w:hAnsi="Times New Roman" w:cs="Calibri"/>
          <w:b/>
          <w:sz w:val="24"/>
          <w:szCs w:val="24"/>
          <w:lang w:eastAsia="ja-JP"/>
        </w:rPr>
        <w:t>i</w:t>
      </w:r>
      <w:r w:rsidR="00216DB1" w:rsidRPr="00A07F29">
        <w:rPr>
          <w:rFonts w:ascii="Times New Roman" w:eastAsia="Calibri" w:hAnsi="Times New Roman" w:cs="Calibri"/>
          <w:b/>
          <w:sz w:val="24"/>
          <w:szCs w:val="24"/>
          <w:lang w:eastAsia="ja-JP"/>
        </w:rPr>
        <w:t>jas apmeklētājiem</w:t>
      </w:r>
    </w:p>
    <w:p w14:paraId="79E7E043" w14:textId="3681AF52" w:rsidR="00812889" w:rsidRPr="00A07F29" w:rsidRDefault="00812889" w:rsidP="00812889">
      <w:pPr>
        <w:keepNext/>
        <w:spacing w:before="240" w:after="120" w:line="240" w:lineRule="auto"/>
        <w:jc w:val="both"/>
        <w:rPr>
          <w:rFonts w:ascii="Times New Roman" w:eastAsia="Calibri" w:hAnsi="Times New Roman" w:cs="Calibri"/>
          <w:b/>
          <w:i/>
          <w:sz w:val="24"/>
          <w:szCs w:val="24"/>
          <w:lang w:eastAsia="ja-JP"/>
        </w:rPr>
      </w:pPr>
      <w:r w:rsidRPr="00A07F29">
        <w:rPr>
          <w:rFonts w:ascii="Times New Roman" w:eastAsia="Calibri" w:hAnsi="Times New Roman" w:cs="Calibri"/>
          <w:b/>
          <w:i/>
          <w:sz w:val="24"/>
          <w:szCs w:val="24"/>
          <w:lang w:eastAsia="ja-JP"/>
        </w:rPr>
        <w:t xml:space="preserve">C.3.1. Vietējo iedzīvotāju </w:t>
      </w:r>
      <w:r w:rsidR="0070259C" w:rsidRPr="00A07F29">
        <w:rPr>
          <w:rFonts w:ascii="Times New Roman" w:eastAsia="Calibri" w:hAnsi="Times New Roman" w:cs="Calibri"/>
          <w:b/>
          <w:i/>
          <w:sz w:val="24"/>
          <w:szCs w:val="24"/>
          <w:lang w:eastAsia="ja-JP"/>
        </w:rPr>
        <w:t xml:space="preserve">un uzņēmēju </w:t>
      </w:r>
      <w:r w:rsidRPr="00A07F29">
        <w:rPr>
          <w:rFonts w:ascii="Times New Roman" w:eastAsia="Calibri" w:hAnsi="Times New Roman" w:cs="Calibri"/>
          <w:b/>
          <w:i/>
          <w:sz w:val="24"/>
          <w:szCs w:val="24"/>
          <w:lang w:eastAsia="ja-JP"/>
        </w:rPr>
        <w:t xml:space="preserve">informēšana un iesaistīšana dabas vērtību un vides kvalitātes saglabāšanā </w:t>
      </w:r>
    </w:p>
    <w:p w14:paraId="28609E38" w14:textId="0737D76F" w:rsidR="00A21E83" w:rsidRPr="00A07F29" w:rsidRDefault="00812889" w:rsidP="006C645B">
      <w:pPr>
        <w:spacing w:after="120" w:line="240" w:lineRule="auto"/>
        <w:ind w:firstLine="851"/>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Nepieciešams r</w:t>
      </w:r>
      <w:r w:rsidR="00A21E83" w:rsidRPr="00A07F29">
        <w:rPr>
          <w:rFonts w:ascii="Times New Roman" w:eastAsia="Calibri" w:hAnsi="Times New Roman" w:cs="Calibri"/>
          <w:sz w:val="24"/>
          <w:lang w:eastAsia="ja-JP"/>
        </w:rPr>
        <w:t xml:space="preserve">egulāri organizēt pasākumus </w:t>
      </w:r>
      <w:r w:rsidRPr="00A07F29">
        <w:rPr>
          <w:rFonts w:ascii="Times New Roman" w:eastAsia="Calibri" w:hAnsi="Times New Roman" w:cs="Calibri"/>
          <w:sz w:val="24"/>
          <w:lang w:eastAsia="ja-JP"/>
        </w:rPr>
        <w:t>(semināri, akcijas, talkas, izdales materiāli, suvenīri utt.)</w:t>
      </w:r>
      <w:r w:rsidR="006252D9" w:rsidRPr="00A07F29">
        <w:rPr>
          <w:rFonts w:ascii="Times New Roman" w:eastAsia="Calibri" w:hAnsi="Times New Roman" w:cs="Calibri"/>
          <w:sz w:val="24"/>
          <w:lang w:eastAsia="ja-JP"/>
        </w:rPr>
        <w:t xml:space="preserve">, lai </w:t>
      </w:r>
      <w:r w:rsidR="00A21E83" w:rsidRPr="00A07F29">
        <w:rPr>
          <w:rFonts w:ascii="Times New Roman" w:eastAsia="Calibri" w:hAnsi="Times New Roman" w:cs="Calibri"/>
          <w:sz w:val="24"/>
          <w:lang w:eastAsia="ja-JP"/>
        </w:rPr>
        <w:t>vietējo</w:t>
      </w:r>
      <w:r w:rsidR="006252D9" w:rsidRPr="00A07F29">
        <w:rPr>
          <w:rFonts w:ascii="Times New Roman" w:eastAsia="Calibri" w:hAnsi="Times New Roman" w:cs="Calibri"/>
          <w:sz w:val="24"/>
          <w:lang w:eastAsia="ja-JP"/>
        </w:rPr>
        <w:t>s</w:t>
      </w:r>
      <w:r w:rsidR="00A21E83" w:rsidRPr="00A07F29">
        <w:rPr>
          <w:rFonts w:ascii="Times New Roman" w:eastAsia="Calibri" w:hAnsi="Times New Roman" w:cs="Calibri"/>
          <w:sz w:val="24"/>
          <w:lang w:eastAsia="ja-JP"/>
        </w:rPr>
        <w:t xml:space="preserve"> iedzīvotāju</w:t>
      </w:r>
      <w:r w:rsidR="006252D9" w:rsidRPr="00A07F29">
        <w:rPr>
          <w:rFonts w:ascii="Times New Roman" w:eastAsia="Calibri" w:hAnsi="Times New Roman" w:cs="Calibri"/>
          <w:sz w:val="24"/>
          <w:lang w:eastAsia="ja-JP"/>
        </w:rPr>
        <w:t>s</w:t>
      </w:r>
      <w:r w:rsidR="00A21E83" w:rsidRPr="00A07F29">
        <w:rPr>
          <w:rFonts w:ascii="Times New Roman" w:eastAsia="Calibri" w:hAnsi="Times New Roman" w:cs="Calibri"/>
          <w:sz w:val="24"/>
          <w:lang w:eastAsia="ja-JP"/>
        </w:rPr>
        <w:t xml:space="preserve"> </w:t>
      </w:r>
      <w:r w:rsidR="00722428" w:rsidRPr="00A07F29">
        <w:rPr>
          <w:rFonts w:ascii="Times New Roman" w:eastAsia="Calibri" w:hAnsi="Times New Roman" w:cs="Calibri"/>
          <w:sz w:val="24"/>
          <w:lang w:eastAsia="ja-JP"/>
        </w:rPr>
        <w:t xml:space="preserve">un uzņēmējus </w:t>
      </w:r>
      <w:r w:rsidR="006252D9" w:rsidRPr="00A07F29">
        <w:rPr>
          <w:rFonts w:ascii="Times New Roman" w:eastAsia="Calibri" w:hAnsi="Times New Roman" w:cs="Calibri"/>
          <w:sz w:val="24"/>
          <w:lang w:eastAsia="ja-JP"/>
        </w:rPr>
        <w:t xml:space="preserve">informētu </w:t>
      </w:r>
      <w:r w:rsidR="00A21E83" w:rsidRPr="00A07F29">
        <w:rPr>
          <w:rFonts w:ascii="Times New Roman" w:eastAsia="Calibri" w:hAnsi="Times New Roman" w:cs="Calibri"/>
          <w:sz w:val="24"/>
          <w:lang w:eastAsia="ja-JP"/>
        </w:rPr>
        <w:t xml:space="preserve">par </w:t>
      </w:r>
      <w:r w:rsidRPr="00A07F29">
        <w:rPr>
          <w:rFonts w:ascii="Times New Roman" w:eastAsia="Calibri" w:hAnsi="Times New Roman" w:cs="Calibri"/>
          <w:sz w:val="24"/>
          <w:lang w:eastAsia="ja-JP"/>
        </w:rPr>
        <w:t xml:space="preserve">AAA </w:t>
      </w:r>
      <w:r w:rsidR="00A21E83" w:rsidRPr="00A07F29">
        <w:rPr>
          <w:rFonts w:ascii="Times New Roman" w:eastAsia="Calibri" w:hAnsi="Times New Roman" w:cs="Calibri"/>
          <w:sz w:val="24"/>
          <w:lang w:eastAsia="ja-JP"/>
        </w:rPr>
        <w:t>“Augšdaugava” dabas un kultūras vērtībām un veicināt</w:t>
      </w:r>
      <w:r w:rsidR="006252D9" w:rsidRPr="00A07F29">
        <w:rPr>
          <w:rFonts w:ascii="Times New Roman" w:eastAsia="Calibri" w:hAnsi="Times New Roman" w:cs="Calibri"/>
          <w:sz w:val="24"/>
          <w:lang w:eastAsia="ja-JP"/>
        </w:rPr>
        <w:t>u</w:t>
      </w:r>
      <w:r w:rsidR="00A21E83" w:rsidRPr="00A07F29">
        <w:rPr>
          <w:rFonts w:ascii="Times New Roman" w:eastAsia="Calibri" w:hAnsi="Times New Roman" w:cs="Calibri"/>
          <w:sz w:val="24"/>
          <w:lang w:eastAsia="ja-JP"/>
        </w:rPr>
        <w:t xml:space="preserve"> iedzīvotāju līdzdalību vērtību saglabāšanā</w:t>
      </w:r>
      <w:r w:rsidRPr="00A07F29">
        <w:rPr>
          <w:rFonts w:ascii="Times New Roman" w:eastAsia="Calibri" w:hAnsi="Times New Roman" w:cs="Calibri"/>
          <w:sz w:val="24"/>
          <w:lang w:eastAsia="ja-JP"/>
        </w:rPr>
        <w:t>.</w:t>
      </w:r>
      <w:r w:rsidR="00A23261" w:rsidRPr="00A07F29">
        <w:rPr>
          <w:rFonts w:ascii="Times New Roman" w:eastAsia="Calibri" w:hAnsi="Times New Roman" w:cs="Calibri"/>
          <w:sz w:val="24"/>
          <w:lang w:eastAsia="ja-JP"/>
        </w:rPr>
        <w:t xml:space="preserve"> Pasākumu sagatavošanā ir svarīgi iesaistīt zinošus attiecīgo jomu speciālistus.</w:t>
      </w:r>
    </w:p>
    <w:p w14:paraId="459DD11B" w14:textId="5ADA10B0" w:rsidR="006252D9" w:rsidRPr="00A07F29" w:rsidRDefault="00812889" w:rsidP="006C645B">
      <w:pPr>
        <w:spacing w:after="120" w:line="240" w:lineRule="auto"/>
        <w:ind w:firstLine="851"/>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Lai ezeru apsaimniekošanas pasākumi būtu ilglaicīgi sekmīgi, vietēj</w:t>
      </w:r>
      <w:r w:rsidR="006252D9" w:rsidRPr="00A07F29">
        <w:rPr>
          <w:rFonts w:ascii="Times New Roman" w:eastAsia="Calibri" w:hAnsi="Times New Roman" w:cs="Calibri"/>
          <w:sz w:val="24"/>
          <w:lang w:eastAsia="ja-JP"/>
        </w:rPr>
        <w:t>ās kopienās</w:t>
      </w:r>
      <w:r w:rsidRPr="00A07F29">
        <w:rPr>
          <w:rFonts w:ascii="Times New Roman" w:eastAsia="Calibri" w:hAnsi="Times New Roman" w:cs="Calibri"/>
          <w:sz w:val="24"/>
          <w:lang w:eastAsia="ja-JP"/>
        </w:rPr>
        <w:t xml:space="preserve"> jāveic izglītojošs darbs par ezeru attīstības likumsakarībām, dabas vērtībām </w:t>
      </w:r>
      <w:r w:rsidR="006252D9" w:rsidRPr="00A07F29">
        <w:rPr>
          <w:rFonts w:ascii="Times New Roman" w:eastAsia="Calibri" w:hAnsi="Times New Roman" w:cs="Calibri"/>
          <w:sz w:val="24"/>
          <w:lang w:eastAsia="ja-JP"/>
        </w:rPr>
        <w:t xml:space="preserve">ezeros </w:t>
      </w:r>
      <w:r w:rsidRPr="00A07F29">
        <w:rPr>
          <w:rFonts w:ascii="Times New Roman" w:eastAsia="Calibri" w:hAnsi="Times New Roman" w:cs="Calibri"/>
          <w:sz w:val="24"/>
          <w:lang w:eastAsia="ja-JP"/>
        </w:rPr>
        <w:t xml:space="preserve">un to aizsardzības principiem, kā arī </w:t>
      </w:r>
      <w:r w:rsidR="006252D9" w:rsidRPr="00A07F29">
        <w:rPr>
          <w:rFonts w:ascii="Times New Roman" w:eastAsia="Calibri" w:hAnsi="Times New Roman" w:cs="Calibri"/>
          <w:sz w:val="24"/>
          <w:lang w:eastAsia="ja-JP"/>
        </w:rPr>
        <w:t xml:space="preserve">par </w:t>
      </w:r>
      <w:r w:rsidRPr="00A07F29">
        <w:rPr>
          <w:rFonts w:ascii="Times New Roman" w:eastAsia="Calibri" w:hAnsi="Times New Roman" w:cs="Calibri"/>
          <w:sz w:val="24"/>
          <w:lang w:eastAsia="ja-JP"/>
        </w:rPr>
        <w:t>konkrētiem apsaimniekošanas pasākumiem</w:t>
      </w:r>
      <w:r w:rsidR="006252D9" w:rsidRPr="00A07F29">
        <w:rPr>
          <w:rFonts w:ascii="Times New Roman" w:eastAsia="Calibri" w:hAnsi="Times New Roman" w:cs="Calibri"/>
          <w:sz w:val="24"/>
          <w:lang w:eastAsia="ja-JP"/>
        </w:rPr>
        <w:t xml:space="preserve"> un </w:t>
      </w:r>
      <w:r w:rsidRPr="00A07F29">
        <w:rPr>
          <w:rFonts w:ascii="Times New Roman" w:eastAsia="Calibri" w:hAnsi="Times New Roman" w:cs="Calibri"/>
          <w:sz w:val="24"/>
          <w:lang w:eastAsia="ja-JP"/>
        </w:rPr>
        <w:t>to nozīm</w:t>
      </w:r>
      <w:r w:rsidR="006252D9" w:rsidRPr="00A07F29">
        <w:rPr>
          <w:rFonts w:ascii="Times New Roman" w:eastAsia="Calibri" w:hAnsi="Times New Roman" w:cs="Calibri"/>
          <w:sz w:val="24"/>
          <w:lang w:eastAsia="ja-JP"/>
        </w:rPr>
        <w:t>i, rīkojot arī praktiskus pasākumus dabā kopā ar ekspertiem. Līdzīgi pasākumi rīkojami arī par upju un to krastu apsaimniekošanu dabai draudzīgā veidā.</w:t>
      </w:r>
    </w:p>
    <w:p w14:paraId="72B5C33D" w14:textId="624FE070" w:rsidR="006252D9" w:rsidRPr="00A07F29" w:rsidRDefault="006252D9" w:rsidP="006C645B">
      <w:pPr>
        <w:spacing w:after="120" w:line="240" w:lineRule="auto"/>
        <w:ind w:firstLine="851"/>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 xml:space="preserve">Ļoti nozīmīga ir dabas daudzveidības saglabāšana un veicināšana mežos (piemēram, mirušās koksnes nozīme, meža apsaimniekošana bez kailcirtēm, </w:t>
      </w:r>
      <w:r w:rsidR="006C645B" w:rsidRPr="00A07F29">
        <w:rPr>
          <w:rFonts w:ascii="Times New Roman" w:eastAsia="Calibri" w:hAnsi="Times New Roman" w:cs="Calibri"/>
          <w:sz w:val="24"/>
          <w:lang w:eastAsia="ja-JP"/>
        </w:rPr>
        <w:t xml:space="preserve">gravu un </w:t>
      </w:r>
      <w:proofErr w:type="spellStart"/>
      <w:r w:rsidR="006C645B" w:rsidRPr="00A07F29">
        <w:rPr>
          <w:rFonts w:ascii="Times New Roman" w:eastAsia="Calibri" w:hAnsi="Times New Roman" w:cs="Calibri"/>
          <w:sz w:val="24"/>
          <w:lang w:eastAsia="ja-JP"/>
        </w:rPr>
        <w:t>avoksnāju</w:t>
      </w:r>
      <w:proofErr w:type="spellEnd"/>
      <w:r w:rsidR="006C645B" w:rsidRPr="00A07F29">
        <w:rPr>
          <w:rFonts w:ascii="Times New Roman" w:eastAsia="Calibri" w:hAnsi="Times New Roman" w:cs="Calibri"/>
          <w:sz w:val="24"/>
          <w:lang w:eastAsia="ja-JP"/>
        </w:rPr>
        <w:t xml:space="preserve"> </w:t>
      </w:r>
      <w:proofErr w:type="spellStart"/>
      <w:r w:rsidR="006C645B" w:rsidRPr="00A07F29">
        <w:rPr>
          <w:rFonts w:ascii="Times New Roman" w:eastAsia="Calibri" w:hAnsi="Times New Roman" w:cs="Calibri"/>
          <w:sz w:val="24"/>
          <w:lang w:eastAsia="ja-JP"/>
        </w:rPr>
        <w:t>saglabšana</w:t>
      </w:r>
      <w:proofErr w:type="spellEnd"/>
      <w:r w:rsidR="006C645B" w:rsidRPr="00A07F29">
        <w:rPr>
          <w:rFonts w:ascii="Times New Roman" w:eastAsia="Calibri" w:hAnsi="Times New Roman" w:cs="Calibri"/>
          <w:sz w:val="24"/>
          <w:lang w:eastAsia="ja-JP"/>
        </w:rPr>
        <w:t xml:space="preserve"> u.c.), kur lielu ieguldījumu var dot katrs zinošs un dabas procesus izprotošs meža īpašnieks</w:t>
      </w:r>
      <w:r w:rsidR="00722428" w:rsidRPr="00A07F29">
        <w:rPr>
          <w:rFonts w:ascii="Times New Roman" w:eastAsia="Calibri" w:hAnsi="Times New Roman" w:cs="Calibri"/>
          <w:sz w:val="24"/>
          <w:lang w:eastAsia="ja-JP"/>
        </w:rPr>
        <w:t xml:space="preserve"> un </w:t>
      </w:r>
      <w:proofErr w:type="spellStart"/>
      <w:r w:rsidR="00722428" w:rsidRPr="00A07F29">
        <w:rPr>
          <w:rFonts w:ascii="Times New Roman" w:eastAsia="Calibri" w:hAnsi="Times New Roman" w:cs="Calibri"/>
          <w:sz w:val="24"/>
          <w:lang w:eastAsia="ja-JP"/>
        </w:rPr>
        <w:t>apsaimniekotājs</w:t>
      </w:r>
      <w:proofErr w:type="spellEnd"/>
      <w:r w:rsidR="006C645B" w:rsidRPr="00A07F29">
        <w:rPr>
          <w:rFonts w:ascii="Times New Roman" w:eastAsia="Calibri" w:hAnsi="Times New Roman" w:cs="Calibri"/>
          <w:sz w:val="24"/>
          <w:lang w:eastAsia="ja-JP"/>
        </w:rPr>
        <w:t>.</w:t>
      </w:r>
    </w:p>
    <w:p w14:paraId="76FFAE4B" w14:textId="526F2051" w:rsidR="0070259C" w:rsidRPr="00A07F29" w:rsidRDefault="0070259C" w:rsidP="006C645B">
      <w:pPr>
        <w:spacing w:after="120" w:line="240" w:lineRule="auto"/>
        <w:ind w:firstLine="851"/>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AAA “</w:t>
      </w:r>
      <w:proofErr w:type="spellStart"/>
      <w:r w:rsidRPr="00A07F29">
        <w:rPr>
          <w:rFonts w:ascii="Times New Roman" w:eastAsia="Calibri" w:hAnsi="Times New Roman" w:cs="Calibri"/>
          <w:sz w:val="24"/>
          <w:lang w:eastAsia="ja-JP"/>
        </w:rPr>
        <w:t>Augšadaugava</w:t>
      </w:r>
      <w:proofErr w:type="spellEnd"/>
      <w:r w:rsidRPr="00A07F29">
        <w:rPr>
          <w:rFonts w:ascii="Times New Roman" w:eastAsia="Calibri" w:hAnsi="Times New Roman" w:cs="Calibri"/>
          <w:sz w:val="24"/>
          <w:lang w:eastAsia="ja-JP"/>
        </w:rPr>
        <w:t xml:space="preserve">” ļoti aktuāla ir </w:t>
      </w:r>
      <w:r w:rsidR="00C250BA">
        <w:rPr>
          <w:rFonts w:ascii="Times New Roman" w:eastAsia="Calibri" w:hAnsi="Times New Roman" w:cs="Calibri"/>
          <w:sz w:val="24"/>
          <w:lang w:eastAsia="ja-JP"/>
        </w:rPr>
        <w:t>BVZ</w:t>
      </w:r>
      <w:r w:rsidRPr="00A07F29">
        <w:rPr>
          <w:rFonts w:ascii="Times New Roman" w:eastAsia="Calibri" w:hAnsi="Times New Roman" w:cs="Calibri"/>
          <w:sz w:val="24"/>
          <w:lang w:eastAsia="ja-JP"/>
        </w:rPr>
        <w:t xml:space="preserve"> apsaimniekošana un atjaunošana, kā arī </w:t>
      </w:r>
      <w:proofErr w:type="spellStart"/>
      <w:r w:rsidRPr="00A07F29">
        <w:rPr>
          <w:rFonts w:ascii="Times New Roman" w:eastAsia="Calibri" w:hAnsi="Times New Roman" w:cs="Calibri"/>
          <w:sz w:val="24"/>
          <w:lang w:eastAsia="ja-JP"/>
        </w:rPr>
        <w:t>invazīvo</w:t>
      </w:r>
      <w:proofErr w:type="spellEnd"/>
      <w:r w:rsidRPr="00A07F29">
        <w:rPr>
          <w:rFonts w:ascii="Times New Roman" w:eastAsia="Calibri" w:hAnsi="Times New Roman" w:cs="Calibri"/>
          <w:sz w:val="24"/>
          <w:lang w:eastAsia="ja-JP"/>
        </w:rPr>
        <w:t xml:space="preserve"> augu izplatības ierobežošana, ko sekmētu jaunu zināšanu apgūšana un pieredzes apmaiņa, kā arī praktiska darbošanās kopā ar ekspertiem.</w:t>
      </w:r>
    </w:p>
    <w:p w14:paraId="4486B421" w14:textId="0C37AD27" w:rsidR="006C645B" w:rsidRPr="00A07F29" w:rsidRDefault="006C645B" w:rsidP="006C645B">
      <w:pPr>
        <w:spacing w:after="120" w:line="240" w:lineRule="auto"/>
        <w:ind w:firstLine="851"/>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Tāpat arī svarīgi o</w:t>
      </w:r>
      <w:r w:rsidR="00A21E83" w:rsidRPr="00A07F29">
        <w:rPr>
          <w:rFonts w:ascii="Times New Roman" w:eastAsia="Calibri" w:hAnsi="Times New Roman" w:cs="Calibri"/>
          <w:sz w:val="24"/>
          <w:lang w:eastAsia="ja-JP"/>
        </w:rPr>
        <w:t>rganizēt pasākumus</w:t>
      </w:r>
      <w:r w:rsidR="0070259C" w:rsidRPr="00A07F29">
        <w:rPr>
          <w:rFonts w:ascii="Times New Roman" w:eastAsia="Calibri" w:hAnsi="Times New Roman" w:cs="Calibri"/>
          <w:sz w:val="24"/>
          <w:lang w:eastAsia="ja-JP"/>
        </w:rPr>
        <w:t xml:space="preserve"> </w:t>
      </w:r>
      <w:r w:rsidR="00A21E83" w:rsidRPr="00A07F29">
        <w:rPr>
          <w:rFonts w:ascii="Times New Roman" w:eastAsia="Calibri" w:hAnsi="Times New Roman" w:cs="Calibri"/>
          <w:sz w:val="24"/>
          <w:lang w:eastAsia="ja-JP"/>
        </w:rPr>
        <w:t xml:space="preserve">par videi draudzīgu saimniekošanu, atkritumu šķirošanu, </w:t>
      </w:r>
      <w:r w:rsidRPr="00A07F29">
        <w:rPr>
          <w:rFonts w:ascii="Times New Roman" w:eastAsia="Calibri" w:hAnsi="Times New Roman" w:cs="Calibri"/>
          <w:sz w:val="24"/>
          <w:lang w:eastAsia="ja-JP"/>
        </w:rPr>
        <w:t>atjaunojamo</w:t>
      </w:r>
      <w:r w:rsidR="00A21E83" w:rsidRPr="00A07F29">
        <w:rPr>
          <w:rFonts w:ascii="Times New Roman" w:eastAsia="Calibri" w:hAnsi="Times New Roman" w:cs="Calibri"/>
          <w:sz w:val="24"/>
          <w:lang w:eastAsia="ja-JP"/>
        </w:rPr>
        <w:t xml:space="preserve"> enerģiju u</w:t>
      </w:r>
      <w:r w:rsidR="00C250BA">
        <w:rPr>
          <w:rFonts w:ascii="Times New Roman" w:eastAsia="Calibri" w:hAnsi="Times New Roman" w:cs="Calibri"/>
          <w:sz w:val="24"/>
          <w:lang w:eastAsia="ja-JP"/>
        </w:rPr>
        <w:t>.</w:t>
      </w:r>
      <w:r w:rsidR="00A21E83" w:rsidRPr="00A07F29">
        <w:rPr>
          <w:rFonts w:ascii="Times New Roman" w:eastAsia="Calibri" w:hAnsi="Times New Roman" w:cs="Calibri"/>
          <w:sz w:val="24"/>
          <w:lang w:eastAsia="ja-JP"/>
        </w:rPr>
        <w:t>tml.</w:t>
      </w:r>
    </w:p>
    <w:p w14:paraId="7BA34F17" w14:textId="567CDBFC" w:rsidR="009D3072" w:rsidRPr="00A07F29" w:rsidRDefault="009D3072" w:rsidP="006C645B">
      <w:pPr>
        <w:spacing w:after="120" w:line="240" w:lineRule="auto"/>
        <w:ind w:firstLine="851"/>
        <w:jc w:val="both"/>
        <w:rPr>
          <w:rFonts w:ascii="Times New Roman" w:eastAsia="Calibri" w:hAnsi="Times New Roman" w:cs="Calibri"/>
          <w:sz w:val="24"/>
          <w:lang w:eastAsia="ja-JP"/>
        </w:rPr>
      </w:pPr>
      <w:r w:rsidRPr="00A07F29">
        <w:rPr>
          <w:rFonts w:ascii="Times New Roman" w:eastAsia="Calibri" w:hAnsi="Times New Roman" w:cs="Times New Roman"/>
          <w:sz w:val="24"/>
          <w:szCs w:val="24"/>
        </w:rPr>
        <w:t>Sadarbībā ar vietējiem amatniekiem un pārtikas ražotājiem ieteicams izstrādāt AAA “Augšdaugava” suvenīrus, piemēram, medu, tēju, magnētiņus u.c.</w:t>
      </w:r>
    </w:p>
    <w:p w14:paraId="697A36C0" w14:textId="67B18598" w:rsidR="006C645B" w:rsidRPr="00A07F29" w:rsidRDefault="00A21E83" w:rsidP="0070259C">
      <w:pPr>
        <w:keepNext/>
        <w:spacing w:before="240" w:after="120" w:line="240" w:lineRule="auto"/>
        <w:jc w:val="both"/>
        <w:rPr>
          <w:rFonts w:ascii="Times New Roman" w:eastAsia="Calibri" w:hAnsi="Times New Roman" w:cs="Calibri"/>
          <w:b/>
          <w:i/>
          <w:sz w:val="24"/>
          <w:szCs w:val="24"/>
          <w:lang w:eastAsia="ja-JP"/>
        </w:rPr>
      </w:pPr>
      <w:r w:rsidRPr="00A07F29">
        <w:rPr>
          <w:rFonts w:ascii="Times New Roman" w:eastAsia="Calibri" w:hAnsi="Times New Roman" w:cs="Calibri"/>
          <w:b/>
          <w:i/>
          <w:sz w:val="24"/>
          <w:szCs w:val="24"/>
          <w:lang w:eastAsia="ja-JP"/>
        </w:rPr>
        <w:t>C.3.</w:t>
      </w:r>
      <w:r w:rsidR="0070259C" w:rsidRPr="00A07F29">
        <w:rPr>
          <w:rFonts w:ascii="Times New Roman" w:eastAsia="Calibri" w:hAnsi="Times New Roman" w:cs="Calibri"/>
          <w:b/>
          <w:i/>
          <w:sz w:val="24"/>
          <w:szCs w:val="24"/>
          <w:lang w:eastAsia="ja-JP"/>
        </w:rPr>
        <w:t>2</w:t>
      </w:r>
      <w:r w:rsidRPr="00A07F29">
        <w:rPr>
          <w:rFonts w:ascii="Times New Roman" w:eastAsia="Calibri" w:hAnsi="Times New Roman" w:cs="Calibri"/>
          <w:b/>
          <w:i/>
          <w:sz w:val="24"/>
          <w:szCs w:val="24"/>
          <w:lang w:eastAsia="ja-JP"/>
        </w:rPr>
        <w:t xml:space="preserve">. </w:t>
      </w:r>
      <w:r w:rsidR="006C645B" w:rsidRPr="00A07F29">
        <w:rPr>
          <w:rFonts w:ascii="Times New Roman" w:eastAsia="Calibri" w:hAnsi="Times New Roman" w:cs="Calibri"/>
          <w:b/>
          <w:i/>
          <w:sz w:val="24"/>
          <w:szCs w:val="24"/>
          <w:lang w:eastAsia="ja-JP"/>
        </w:rPr>
        <w:t xml:space="preserve">Semināri un apmācības </w:t>
      </w:r>
      <w:r w:rsidR="0070259C" w:rsidRPr="00A07F29">
        <w:rPr>
          <w:rFonts w:ascii="Times New Roman" w:eastAsia="Calibri" w:hAnsi="Times New Roman" w:cs="Calibri"/>
          <w:b/>
          <w:i/>
          <w:sz w:val="24"/>
          <w:szCs w:val="24"/>
          <w:lang w:eastAsia="ja-JP"/>
        </w:rPr>
        <w:t xml:space="preserve">tūrisma </w:t>
      </w:r>
      <w:r w:rsidR="006C645B" w:rsidRPr="00A07F29">
        <w:rPr>
          <w:rFonts w:ascii="Times New Roman" w:eastAsia="Calibri" w:hAnsi="Times New Roman" w:cs="Calibri"/>
          <w:b/>
          <w:i/>
          <w:sz w:val="24"/>
          <w:szCs w:val="24"/>
          <w:lang w:eastAsia="ja-JP"/>
        </w:rPr>
        <w:t>uzņēmējiem</w:t>
      </w:r>
    </w:p>
    <w:p w14:paraId="70C964F6" w14:textId="797991E6" w:rsidR="006C645B" w:rsidRPr="00A07F29" w:rsidRDefault="006C645B" w:rsidP="006C645B">
      <w:pPr>
        <w:spacing w:after="120" w:line="240" w:lineRule="auto"/>
        <w:ind w:firstLine="851"/>
        <w:jc w:val="both"/>
        <w:rPr>
          <w:rFonts w:ascii="Times New Roman" w:eastAsia="Calibri" w:hAnsi="Times New Roman" w:cs="Calibri"/>
          <w:sz w:val="24"/>
          <w:lang w:eastAsia="ja-JP"/>
        </w:rPr>
      </w:pPr>
      <w:r w:rsidRPr="00C97606">
        <w:rPr>
          <w:rFonts w:ascii="Times New Roman" w:eastAsia="Calibri" w:hAnsi="Times New Roman" w:cs="Calibri"/>
          <w:sz w:val="24"/>
          <w:lang w:eastAsia="ja-JP"/>
        </w:rPr>
        <w:t>Nereti sabiedrībai,</w:t>
      </w:r>
      <w:r w:rsidRPr="00A07F29">
        <w:rPr>
          <w:rFonts w:ascii="Times New Roman" w:eastAsia="Calibri" w:hAnsi="Times New Roman" w:cs="Calibri"/>
          <w:sz w:val="24"/>
          <w:lang w:eastAsia="ja-JP"/>
        </w:rPr>
        <w:t xml:space="preserve"> t.sk. uzņēmējiem trūkst informācija par to, ka ĪADT ir atļauts veikt saimniecisko darbību un uzsākt tūrisma biznesu, tād</w:t>
      </w:r>
      <w:r w:rsidR="0070259C" w:rsidRPr="00A07F29">
        <w:rPr>
          <w:rFonts w:ascii="Times New Roman" w:eastAsia="Calibri" w:hAnsi="Times New Roman" w:cs="Calibri"/>
          <w:sz w:val="24"/>
          <w:lang w:eastAsia="ja-JP"/>
        </w:rPr>
        <w:t>ēļ</w:t>
      </w:r>
      <w:r w:rsidRPr="00A07F29">
        <w:rPr>
          <w:rFonts w:ascii="Times New Roman" w:eastAsia="Calibri" w:hAnsi="Times New Roman" w:cs="Calibri"/>
          <w:sz w:val="24"/>
          <w:lang w:eastAsia="ja-JP"/>
        </w:rPr>
        <w:t xml:space="preserve"> ir nepieciešams organizēt informatīvus seminārus par saimnieciskās darbības veikšanu ĪADT, noteikumiem, ierobežojumiem un atļautajām darbībām, akcentējot AAA “Augšdaugava” vērtības un vēlamos mērķus, tādējādi gan iedrošinot uzņēmējus attīstīt tūrismu AAA “Augšdaugava”, gan sekmējot AAA “Augšdaugava” vērtību saglabāšanu.</w:t>
      </w:r>
    </w:p>
    <w:p w14:paraId="7530C82F" w14:textId="7EE571DE" w:rsidR="006C645B" w:rsidRPr="00A07F29" w:rsidRDefault="0070259C" w:rsidP="0070259C">
      <w:pPr>
        <w:spacing w:after="120" w:line="240" w:lineRule="auto"/>
        <w:ind w:firstLine="851"/>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Nepieciešams o</w:t>
      </w:r>
      <w:r w:rsidR="00A21E83" w:rsidRPr="00A07F29">
        <w:rPr>
          <w:rFonts w:ascii="Times New Roman" w:eastAsia="Calibri" w:hAnsi="Times New Roman" w:cs="Calibri"/>
          <w:sz w:val="24"/>
          <w:lang w:eastAsia="ja-JP"/>
        </w:rPr>
        <w:t>rganizēt seminārus un apmācības par dažādām ar tūrismu saistītām tēmām: tūrisma biznesa uzsākšanu (t.sk. lauksaimniecības atvēršanu apmeklētājiem), tūristu uzņemšanu un pakalpojumu kvalitātes uzlabošanu, dabas aizsardzību un videi draudzīgas saimniekošanas principiem (veicināt lauku tūrisma mītņu saimniekus iegūt “Zaļo sertifikātu”), atbalsta un finansējuma piesaistes iespējām, mārketingu (t.sk. starptautiskā līmenī), likumdošanu un prasībām (piem</w:t>
      </w:r>
      <w:r w:rsidR="001A4D37">
        <w:rPr>
          <w:rFonts w:ascii="Times New Roman" w:eastAsia="Calibri" w:hAnsi="Times New Roman" w:cs="Calibri"/>
          <w:sz w:val="24"/>
          <w:lang w:eastAsia="ja-JP"/>
        </w:rPr>
        <w:t>ēram</w:t>
      </w:r>
      <w:r w:rsidR="00A21E83" w:rsidRPr="00A07F29">
        <w:rPr>
          <w:rFonts w:ascii="Times New Roman" w:eastAsia="Calibri" w:hAnsi="Times New Roman" w:cs="Calibri"/>
          <w:sz w:val="24"/>
          <w:lang w:eastAsia="ja-JP"/>
        </w:rPr>
        <w:t xml:space="preserve">, par sanitārajām normām viesu mājās, ēdināšanas uzņēmumos) u.c. </w:t>
      </w:r>
    </w:p>
    <w:p w14:paraId="30368D0A" w14:textId="00CA3BB4" w:rsidR="0070259C" w:rsidRPr="00A07F29" w:rsidRDefault="00A21E83" w:rsidP="0070259C">
      <w:pPr>
        <w:spacing w:after="120" w:line="240" w:lineRule="auto"/>
        <w:ind w:firstLine="851"/>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lastRenderedPageBreak/>
        <w:t xml:space="preserve">Pasākumus </w:t>
      </w:r>
      <w:r w:rsidR="006C645B" w:rsidRPr="00A07F29">
        <w:rPr>
          <w:rFonts w:ascii="Times New Roman" w:eastAsia="Calibri" w:hAnsi="Times New Roman" w:cs="Calibri"/>
          <w:sz w:val="24"/>
          <w:lang w:eastAsia="ja-JP"/>
        </w:rPr>
        <w:t xml:space="preserve">nepieciešams </w:t>
      </w:r>
      <w:r w:rsidRPr="00A07F29">
        <w:rPr>
          <w:rFonts w:ascii="Times New Roman" w:eastAsia="Calibri" w:hAnsi="Times New Roman" w:cs="Calibri"/>
          <w:sz w:val="24"/>
          <w:lang w:eastAsia="ja-JP"/>
        </w:rPr>
        <w:t>organizēt sadarbībā ar attiecīgajām valsts iestādēm</w:t>
      </w:r>
      <w:r w:rsidR="00E21445" w:rsidRPr="00A07F29">
        <w:rPr>
          <w:rFonts w:ascii="Times New Roman" w:eastAsia="Calibri" w:hAnsi="Times New Roman" w:cs="Calibri"/>
          <w:sz w:val="24"/>
          <w:lang w:eastAsia="ja-JP"/>
        </w:rPr>
        <w:t xml:space="preserve"> un uzņēmēju atbalsta biedrībām, iesaistot attiecīgo jomu speciālistus.</w:t>
      </w:r>
    </w:p>
    <w:p w14:paraId="15675100" w14:textId="77777777" w:rsidR="00855D2A" w:rsidRPr="00A07F29" w:rsidRDefault="0070259C" w:rsidP="00855D2A">
      <w:pPr>
        <w:spacing w:after="120" w:line="240" w:lineRule="auto"/>
        <w:ind w:firstLine="851"/>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Ieteicams o</w:t>
      </w:r>
      <w:r w:rsidR="00A21E83" w:rsidRPr="00A07F29">
        <w:rPr>
          <w:rFonts w:ascii="Times New Roman" w:eastAsia="Calibri" w:hAnsi="Times New Roman" w:cs="Calibri"/>
          <w:sz w:val="24"/>
          <w:lang w:eastAsia="ja-JP"/>
        </w:rPr>
        <w:t xml:space="preserve">rganizēt </w:t>
      </w:r>
      <w:r w:rsidRPr="00A07F29">
        <w:rPr>
          <w:rFonts w:ascii="Times New Roman" w:eastAsia="Calibri" w:hAnsi="Times New Roman" w:cs="Calibri"/>
          <w:sz w:val="24"/>
          <w:lang w:eastAsia="ja-JP"/>
        </w:rPr>
        <w:t xml:space="preserve">arī </w:t>
      </w:r>
      <w:r w:rsidR="00A21E83" w:rsidRPr="00A07F29">
        <w:rPr>
          <w:rFonts w:ascii="Times New Roman" w:eastAsia="Calibri" w:hAnsi="Times New Roman" w:cs="Calibri"/>
          <w:sz w:val="24"/>
          <w:lang w:eastAsia="ja-JP"/>
        </w:rPr>
        <w:t xml:space="preserve">pieredzes apmaiņas braucienus uz citām </w:t>
      </w:r>
      <w:r w:rsidR="1FD62E3A" w:rsidRPr="00A07F29">
        <w:rPr>
          <w:rFonts w:ascii="Times New Roman" w:eastAsia="Calibri" w:hAnsi="Times New Roman" w:cs="Calibri"/>
          <w:sz w:val="24"/>
          <w:lang w:eastAsia="ja-JP"/>
        </w:rPr>
        <w:t>ĪADT</w:t>
      </w:r>
      <w:r w:rsidR="00A21E83" w:rsidRPr="00A07F29">
        <w:rPr>
          <w:rFonts w:ascii="Times New Roman" w:eastAsia="Calibri" w:hAnsi="Times New Roman" w:cs="Calibri"/>
          <w:sz w:val="24"/>
          <w:lang w:eastAsia="ja-JP"/>
        </w:rPr>
        <w:t>, piemēram, Gaujas nacionālo parku.</w:t>
      </w:r>
    </w:p>
    <w:p w14:paraId="114C34B9" w14:textId="3FAE1B1F" w:rsidR="00A21E83" w:rsidRPr="00A07F29" w:rsidRDefault="00855D2A" w:rsidP="00634A53">
      <w:pPr>
        <w:spacing w:after="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Nepieciešamas arī AAA “Augšdaugava” praktizējošo tūrisma gidu apmācības, akcentējot teritorijā sastopamās dabas vērtības un to saglabāšanas priekšnosacījumus, kā arī atbilstoši pieprasījumam organizēt specializētu dabas </w:t>
      </w:r>
      <w:r w:rsidR="00A21E83" w:rsidRPr="00A07F29">
        <w:rPr>
          <w:rFonts w:ascii="Times New Roman" w:eastAsia="Calibri" w:hAnsi="Times New Roman" w:cs="Times New Roman"/>
          <w:sz w:val="24"/>
          <w:szCs w:val="24"/>
        </w:rPr>
        <w:t xml:space="preserve">gidu apmācību darbam gan ar individuālajiem tūristiem, gan tūristu grupām, iepazīstinot tūristus ar </w:t>
      </w:r>
      <w:r w:rsidR="004E1942">
        <w:rPr>
          <w:rFonts w:ascii="Times New Roman" w:eastAsia="Calibri" w:hAnsi="Times New Roman" w:cs="Times New Roman"/>
          <w:sz w:val="24"/>
          <w:szCs w:val="24"/>
        </w:rPr>
        <w:t xml:space="preserve">AAA </w:t>
      </w:r>
      <w:r w:rsidR="00A21E83" w:rsidRPr="00A07F29">
        <w:rPr>
          <w:rFonts w:ascii="Times New Roman" w:eastAsia="Calibri" w:hAnsi="Times New Roman" w:cs="Times New Roman"/>
          <w:sz w:val="24"/>
          <w:szCs w:val="24"/>
        </w:rPr>
        <w:t>“Augšdaugav</w:t>
      </w:r>
      <w:r w:rsidR="004E1942">
        <w:rPr>
          <w:rFonts w:ascii="Times New Roman" w:eastAsia="Calibri" w:hAnsi="Times New Roman" w:cs="Times New Roman"/>
          <w:sz w:val="24"/>
          <w:szCs w:val="24"/>
        </w:rPr>
        <w:t>a</w:t>
      </w:r>
      <w:r w:rsidR="00A21E83" w:rsidRPr="00A07F29">
        <w:rPr>
          <w:rFonts w:ascii="Times New Roman" w:eastAsia="Calibri" w:hAnsi="Times New Roman" w:cs="Times New Roman"/>
          <w:sz w:val="24"/>
          <w:szCs w:val="24"/>
        </w:rPr>
        <w:t>” sastopamajām dabas vērtībām.</w:t>
      </w:r>
      <w:r w:rsidR="005C7FBA" w:rsidRPr="00A07F29">
        <w:rPr>
          <w:rFonts w:ascii="Times New Roman" w:eastAsia="Calibri" w:hAnsi="Times New Roman" w:cs="Times New Roman"/>
          <w:sz w:val="24"/>
          <w:szCs w:val="24"/>
        </w:rPr>
        <w:t xml:space="preserve"> A</w:t>
      </w:r>
      <w:r w:rsidR="00E21445" w:rsidRPr="00A07F29">
        <w:rPr>
          <w:rFonts w:ascii="Times New Roman" w:eastAsia="Calibri" w:hAnsi="Times New Roman" w:cs="Times New Roman"/>
          <w:sz w:val="24"/>
          <w:szCs w:val="24"/>
        </w:rPr>
        <w:t>pmā</w:t>
      </w:r>
      <w:r w:rsidR="005C7FBA" w:rsidRPr="00A07F29">
        <w:rPr>
          <w:rFonts w:ascii="Times New Roman" w:eastAsia="Calibri" w:hAnsi="Times New Roman" w:cs="Times New Roman"/>
          <w:sz w:val="24"/>
          <w:szCs w:val="24"/>
        </w:rPr>
        <w:t xml:space="preserve">cībām nepieciešamā informācija </w:t>
      </w:r>
      <w:r w:rsidR="00E21445" w:rsidRPr="00A07F29">
        <w:rPr>
          <w:rFonts w:ascii="Times New Roman" w:eastAsia="Calibri" w:hAnsi="Times New Roman" w:cs="Times New Roman"/>
          <w:sz w:val="24"/>
          <w:szCs w:val="24"/>
        </w:rPr>
        <w:t xml:space="preserve">un tūrisma maršruti </w:t>
      </w:r>
      <w:r w:rsidR="005C7FBA" w:rsidRPr="00A07F29">
        <w:rPr>
          <w:rFonts w:ascii="Times New Roman" w:eastAsia="Calibri" w:hAnsi="Times New Roman" w:cs="Times New Roman"/>
          <w:sz w:val="24"/>
          <w:szCs w:val="24"/>
        </w:rPr>
        <w:t>sagatavojam</w:t>
      </w:r>
      <w:r w:rsidR="00E21445" w:rsidRPr="00A07F29">
        <w:rPr>
          <w:rFonts w:ascii="Times New Roman" w:eastAsia="Calibri" w:hAnsi="Times New Roman" w:cs="Times New Roman"/>
          <w:sz w:val="24"/>
          <w:szCs w:val="24"/>
        </w:rPr>
        <w:t>i</w:t>
      </w:r>
      <w:r w:rsidR="005C7FBA" w:rsidRPr="00A07F29">
        <w:rPr>
          <w:rFonts w:ascii="Times New Roman" w:eastAsia="Calibri" w:hAnsi="Times New Roman" w:cs="Times New Roman"/>
          <w:sz w:val="24"/>
          <w:szCs w:val="24"/>
        </w:rPr>
        <w:t xml:space="preserve"> sadarbībā ar </w:t>
      </w:r>
      <w:r w:rsidR="00E21445" w:rsidRPr="00A07F29">
        <w:rPr>
          <w:rFonts w:ascii="Times New Roman" w:eastAsia="Calibri" w:hAnsi="Times New Roman" w:cs="Times New Roman"/>
          <w:sz w:val="24"/>
          <w:szCs w:val="24"/>
        </w:rPr>
        <w:t>DU, LU, DAP u.c. ekspertiem.</w:t>
      </w:r>
    </w:p>
    <w:p w14:paraId="30D350D7" w14:textId="44E49D20" w:rsidR="00722428" w:rsidRPr="00A07F29" w:rsidRDefault="00722428" w:rsidP="00722428">
      <w:pPr>
        <w:keepNext/>
        <w:spacing w:before="240" w:after="120" w:line="240" w:lineRule="auto"/>
        <w:jc w:val="both"/>
        <w:rPr>
          <w:rFonts w:ascii="Times New Roman" w:eastAsia="Calibri" w:hAnsi="Times New Roman" w:cs="Calibri"/>
          <w:b/>
          <w:sz w:val="24"/>
          <w:szCs w:val="24"/>
          <w:lang w:eastAsia="ja-JP"/>
        </w:rPr>
      </w:pPr>
      <w:r w:rsidRPr="00A07F29">
        <w:rPr>
          <w:rFonts w:ascii="Times New Roman" w:eastAsia="Calibri" w:hAnsi="Times New Roman" w:cs="Calibri"/>
          <w:b/>
          <w:sz w:val="24"/>
          <w:szCs w:val="24"/>
          <w:lang w:eastAsia="ja-JP"/>
        </w:rPr>
        <w:t xml:space="preserve">C.4. </w:t>
      </w:r>
      <w:r w:rsidR="00F03257" w:rsidRPr="00A07F29">
        <w:rPr>
          <w:rFonts w:ascii="Times New Roman" w:eastAsia="Calibri" w:hAnsi="Times New Roman" w:cs="Calibri"/>
          <w:b/>
          <w:sz w:val="24"/>
          <w:szCs w:val="24"/>
          <w:lang w:eastAsia="ja-JP"/>
        </w:rPr>
        <w:t>Organizēt p</w:t>
      </w:r>
      <w:r w:rsidRPr="00A07F29">
        <w:rPr>
          <w:rFonts w:ascii="Times New Roman" w:eastAsia="Calibri" w:hAnsi="Times New Roman" w:cs="Calibri"/>
          <w:b/>
          <w:sz w:val="24"/>
          <w:szCs w:val="24"/>
          <w:lang w:eastAsia="ja-JP"/>
        </w:rPr>
        <w:t>ublisko</w:t>
      </w:r>
      <w:r w:rsidR="00F03257" w:rsidRPr="00A07F29">
        <w:rPr>
          <w:rFonts w:ascii="Times New Roman" w:eastAsia="Calibri" w:hAnsi="Times New Roman" w:cs="Calibri"/>
          <w:b/>
          <w:sz w:val="24"/>
          <w:szCs w:val="24"/>
          <w:lang w:eastAsia="ja-JP"/>
        </w:rPr>
        <w:t>s</w:t>
      </w:r>
      <w:r w:rsidRPr="00A07F29">
        <w:rPr>
          <w:rFonts w:ascii="Times New Roman" w:eastAsia="Calibri" w:hAnsi="Times New Roman" w:cs="Calibri"/>
          <w:b/>
          <w:sz w:val="24"/>
          <w:szCs w:val="24"/>
          <w:lang w:eastAsia="ja-JP"/>
        </w:rPr>
        <w:t xml:space="preserve"> tematisko</w:t>
      </w:r>
      <w:r w:rsidR="00F03257" w:rsidRPr="00A07F29">
        <w:rPr>
          <w:rFonts w:ascii="Times New Roman" w:eastAsia="Calibri" w:hAnsi="Times New Roman" w:cs="Calibri"/>
          <w:b/>
          <w:sz w:val="24"/>
          <w:szCs w:val="24"/>
          <w:lang w:eastAsia="ja-JP"/>
        </w:rPr>
        <w:t>s</w:t>
      </w:r>
      <w:r w:rsidRPr="00A07F29">
        <w:rPr>
          <w:rFonts w:ascii="Times New Roman" w:eastAsia="Calibri" w:hAnsi="Times New Roman" w:cs="Calibri"/>
          <w:b/>
          <w:sz w:val="24"/>
          <w:szCs w:val="24"/>
          <w:lang w:eastAsia="ja-JP"/>
        </w:rPr>
        <w:t xml:space="preserve"> pasākumu</w:t>
      </w:r>
      <w:r w:rsidR="00F03257" w:rsidRPr="00A07F29">
        <w:rPr>
          <w:rFonts w:ascii="Times New Roman" w:eastAsia="Calibri" w:hAnsi="Times New Roman" w:cs="Calibri"/>
          <w:b/>
          <w:sz w:val="24"/>
          <w:szCs w:val="24"/>
          <w:lang w:eastAsia="ja-JP"/>
        </w:rPr>
        <w:t>s</w:t>
      </w:r>
    </w:p>
    <w:p w14:paraId="6F789D56" w14:textId="404D6AE3" w:rsidR="003D1837" w:rsidRPr="00A07F29" w:rsidRDefault="00F47FB5" w:rsidP="007C2F7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Organizējot p</w:t>
      </w:r>
      <w:r w:rsidR="003D1837" w:rsidRPr="00A07F29">
        <w:rPr>
          <w:rFonts w:ascii="Times New Roman" w:eastAsia="Calibri" w:hAnsi="Times New Roman" w:cs="Times New Roman"/>
          <w:sz w:val="24"/>
          <w:szCs w:val="24"/>
        </w:rPr>
        <w:t>ubliskos pasākumus</w:t>
      </w:r>
      <w:r w:rsidRPr="00A07F29">
        <w:rPr>
          <w:rFonts w:ascii="Times New Roman" w:eastAsia="Calibri" w:hAnsi="Times New Roman" w:cs="Times New Roman"/>
          <w:sz w:val="24"/>
          <w:szCs w:val="24"/>
        </w:rPr>
        <w:t xml:space="preserve">, jāņem vērā vietas piemērotība apmeklētāju skaitam, lai neradītu nevēlamu antropogēno slodzi uz jutīgām ekosistēmām un aizsargājamo sugu atradnēm. Pasākumus </w:t>
      </w:r>
      <w:r w:rsidR="003D1837" w:rsidRPr="00A07F29">
        <w:rPr>
          <w:rFonts w:ascii="Times New Roman" w:eastAsia="Calibri" w:hAnsi="Times New Roman" w:cs="Times New Roman"/>
          <w:sz w:val="24"/>
          <w:szCs w:val="24"/>
        </w:rPr>
        <w:t>ieteicams rīkot vietās ar atbilstošu infrastruktūru, kā arī jā</w:t>
      </w:r>
      <w:r w:rsidRPr="00A07F29">
        <w:rPr>
          <w:rFonts w:ascii="Times New Roman" w:eastAsia="Calibri" w:hAnsi="Times New Roman" w:cs="Times New Roman"/>
          <w:sz w:val="24"/>
          <w:szCs w:val="24"/>
        </w:rPr>
        <w:t>ņem vērā</w:t>
      </w:r>
      <w:r w:rsidR="003D1837" w:rsidRPr="00A07F29">
        <w:rPr>
          <w:rFonts w:ascii="Times New Roman" w:eastAsia="Calibri" w:hAnsi="Times New Roman" w:cs="Times New Roman"/>
          <w:sz w:val="24"/>
          <w:szCs w:val="24"/>
        </w:rPr>
        <w:t xml:space="preserve"> </w:t>
      </w:r>
      <w:r w:rsidRPr="00A07F29">
        <w:rPr>
          <w:rFonts w:ascii="Times New Roman" w:eastAsia="Calibri" w:hAnsi="Times New Roman" w:cs="Times New Roman"/>
          <w:sz w:val="24"/>
          <w:szCs w:val="24"/>
        </w:rPr>
        <w:t xml:space="preserve">prasība aizsargājamajos ģeoloģiskajos un </w:t>
      </w:r>
      <w:proofErr w:type="spellStart"/>
      <w:r w:rsidRPr="00A07F29">
        <w:rPr>
          <w:rFonts w:ascii="Times New Roman" w:eastAsia="Calibri" w:hAnsi="Times New Roman" w:cs="Times New Roman"/>
          <w:sz w:val="24"/>
          <w:szCs w:val="24"/>
        </w:rPr>
        <w:t>ģeomorfoloģiskajos</w:t>
      </w:r>
      <w:proofErr w:type="spellEnd"/>
      <w:r w:rsidRPr="00A07F29">
        <w:rPr>
          <w:rFonts w:ascii="Times New Roman" w:eastAsia="Calibri" w:hAnsi="Times New Roman" w:cs="Times New Roman"/>
          <w:sz w:val="24"/>
          <w:szCs w:val="24"/>
        </w:rPr>
        <w:t xml:space="preserve"> dabas pieminekļos pasākumus saskaņot ar </w:t>
      </w:r>
      <w:r w:rsidRPr="00652FB5">
        <w:rPr>
          <w:rFonts w:ascii="Times New Roman" w:eastAsia="Calibri" w:hAnsi="Times New Roman" w:cs="Times New Roman"/>
          <w:sz w:val="24"/>
          <w:szCs w:val="24"/>
        </w:rPr>
        <w:t>D</w:t>
      </w:r>
      <w:r w:rsidR="00652FB5" w:rsidRPr="00652FB5">
        <w:rPr>
          <w:rFonts w:ascii="Times New Roman" w:eastAsia="Calibri" w:hAnsi="Times New Roman" w:cs="Times New Roman"/>
          <w:sz w:val="24"/>
          <w:szCs w:val="24"/>
        </w:rPr>
        <w:t>AP</w:t>
      </w:r>
      <w:r w:rsidR="005E651B" w:rsidRPr="00A07F29">
        <w:rPr>
          <w:rFonts w:ascii="Times New Roman" w:eastAsia="Calibri" w:hAnsi="Times New Roman" w:cs="Times New Roman"/>
          <w:sz w:val="24"/>
          <w:szCs w:val="24"/>
        </w:rPr>
        <w:t>. Pē</w:t>
      </w:r>
      <w:r w:rsidRPr="00A07F29">
        <w:rPr>
          <w:rFonts w:ascii="Times New Roman" w:eastAsia="Calibri" w:hAnsi="Times New Roman" w:cs="Times New Roman"/>
          <w:sz w:val="24"/>
          <w:szCs w:val="24"/>
        </w:rPr>
        <w:t xml:space="preserve">c </w:t>
      </w:r>
      <w:r w:rsidR="00211ADB">
        <w:rPr>
          <w:rFonts w:ascii="Times New Roman" w:eastAsia="Calibri" w:hAnsi="Times New Roman" w:cs="Times New Roman"/>
          <w:sz w:val="24"/>
          <w:szCs w:val="24"/>
        </w:rPr>
        <w:t>AAA</w:t>
      </w:r>
      <w:r w:rsidRPr="00A07F29">
        <w:rPr>
          <w:rFonts w:ascii="Times New Roman" w:eastAsia="Calibri" w:hAnsi="Times New Roman" w:cs="Times New Roman"/>
          <w:sz w:val="24"/>
          <w:szCs w:val="24"/>
        </w:rPr>
        <w:t xml:space="preserve"> individuālo aizsardzības un izmantošanas noteikumu apstiprināšanas</w:t>
      </w:r>
      <w:r w:rsidR="00EC5787">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w:t>
      </w:r>
      <w:r w:rsidR="005E651B" w:rsidRPr="00A07F29">
        <w:rPr>
          <w:rFonts w:ascii="Times New Roman" w:eastAsia="Calibri" w:hAnsi="Times New Roman" w:cs="Times New Roman"/>
          <w:sz w:val="24"/>
          <w:szCs w:val="24"/>
        </w:rPr>
        <w:t xml:space="preserve">jāņem vērā </w:t>
      </w:r>
      <w:r w:rsidRPr="00A07F29">
        <w:rPr>
          <w:rFonts w:ascii="Times New Roman" w:eastAsia="Calibri" w:hAnsi="Times New Roman" w:cs="Times New Roman"/>
          <w:sz w:val="24"/>
          <w:szCs w:val="24"/>
        </w:rPr>
        <w:t>dabas lieguma un regulējamā rež</w:t>
      </w:r>
      <w:r w:rsidR="005E651B" w:rsidRPr="00A07F29">
        <w:rPr>
          <w:rFonts w:ascii="Times New Roman" w:eastAsia="Calibri" w:hAnsi="Times New Roman" w:cs="Times New Roman"/>
          <w:sz w:val="24"/>
          <w:szCs w:val="24"/>
        </w:rPr>
        <w:t>īma zonās noteiktās prasības.</w:t>
      </w:r>
    </w:p>
    <w:p w14:paraId="371970FD" w14:textId="75CBDA3F" w:rsidR="007C2F75" w:rsidRPr="00A07F29" w:rsidRDefault="007C2F75" w:rsidP="007C2F75">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Plānojot pārgājienu maršrutus, jāņem vērā sastopamās dabas vērtības un apmeklētāji jāvirza</w:t>
      </w:r>
      <w:r w:rsidR="00940790">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pirmkārt</w:t>
      </w:r>
      <w:r w:rsidR="00940790">
        <w:rPr>
          <w:rFonts w:ascii="Times New Roman" w:eastAsia="Calibri" w:hAnsi="Times New Roman" w:cs="Times New Roman"/>
          <w:sz w:val="24"/>
          <w:szCs w:val="24"/>
        </w:rPr>
        <w:t>,</w:t>
      </w:r>
      <w:r w:rsidRPr="00A07F29">
        <w:rPr>
          <w:rFonts w:ascii="Times New Roman" w:eastAsia="Calibri" w:hAnsi="Times New Roman" w:cs="Times New Roman"/>
          <w:sz w:val="24"/>
          <w:szCs w:val="24"/>
        </w:rPr>
        <w:t xml:space="preserve"> pa esošiem ceļiem, </w:t>
      </w:r>
      <w:r w:rsidRPr="00211ADB">
        <w:rPr>
          <w:rFonts w:ascii="Times New Roman" w:eastAsia="Calibri" w:hAnsi="Times New Roman" w:cs="Times New Roman"/>
          <w:sz w:val="24"/>
          <w:szCs w:val="24"/>
        </w:rPr>
        <w:t>labiekārtotām un stabilām dabiskām takām, izvairoties no slodzes radīšanas pret izb</w:t>
      </w:r>
      <w:r w:rsidR="00940790" w:rsidRPr="00211ADB">
        <w:rPr>
          <w:rFonts w:ascii="Times New Roman" w:eastAsia="Calibri" w:hAnsi="Times New Roman" w:cs="Times New Roman"/>
          <w:sz w:val="24"/>
          <w:szCs w:val="24"/>
        </w:rPr>
        <w:t>r</w:t>
      </w:r>
      <w:r w:rsidRPr="00211ADB">
        <w:rPr>
          <w:rFonts w:ascii="Times New Roman" w:eastAsia="Calibri" w:hAnsi="Times New Roman" w:cs="Times New Roman"/>
          <w:sz w:val="24"/>
          <w:szCs w:val="24"/>
        </w:rPr>
        <w:t>adāšanu jutīgos īpaši aizsargājamos biotopos, kā arī īpaši aizsargājamo sugu atradnēs. Maršrutu plānojot, ieteicams konsultēties ar sugu un biotopu aizsardzības jomas ekspertiem un D</w:t>
      </w:r>
      <w:r w:rsidR="00211ADB" w:rsidRPr="00211ADB">
        <w:rPr>
          <w:rFonts w:ascii="Times New Roman" w:eastAsia="Calibri" w:hAnsi="Times New Roman" w:cs="Times New Roman"/>
          <w:sz w:val="24"/>
          <w:szCs w:val="24"/>
        </w:rPr>
        <w:t>AP</w:t>
      </w:r>
      <w:r w:rsidRPr="00211ADB">
        <w:rPr>
          <w:rFonts w:ascii="Times New Roman" w:eastAsia="Calibri" w:hAnsi="Times New Roman" w:cs="Times New Roman"/>
          <w:sz w:val="24"/>
          <w:szCs w:val="24"/>
        </w:rPr>
        <w:t>.</w:t>
      </w:r>
    </w:p>
    <w:p w14:paraId="165A0C24" w14:textId="10142268" w:rsidR="00722428" w:rsidRPr="00A07F29" w:rsidRDefault="00A21E83" w:rsidP="00634A53">
      <w:pPr>
        <w:keepNext/>
        <w:spacing w:before="240" w:after="120" w:line="240" w:lineRule="auto"/>
        <w:jc w:val="both"/>
        <w:rPr>
          <w:rFonts w:ascii="Times New Roman" w:eastAsia="Calibri" w:hAnsi="Times New Roman" w:cs="Calibri"/>
          <w:b/>
          <w:i/>
          <w:sz w:val="24"/>
          <w:szCs w:val="24"/>
          <w:lang w:eastAsia="ja-JP"/>
        </w:rPr>
      </w:pPr>
      <w:r w:rsidRPr="00A07F29">
        <w:rPr>
          <w:rFonts w:ascii="Times New Roman" w:eastAsia="Calibri" w:hAnsi="Times New Roman" w:cs="Calibri"/>
          <w:b/>
          <w:i/>
          <w:sz w:val="24"/>
          <w:szCs w:val="24"/>
          <w:lang w:eastAsia="ja-JP"/>
        </w:rPr>
        <w:t>C.</w:t>
      </w:r>
      <w:r w:rsidR="00722428" w:rsidRPr="00A07F29">
        <w:rPr>
          <w:rFonts w:ascii="Times New Roman" w:eastAsia="Calibri" w:hAnsi="Times New Roman" w:cs="Calibri"/>
          <w:b/>
          <w:i/>
          <w:sz w:val="24"/>
          <w:szCs w:val="24"/>
          <w:lang w:eastAsia="ja-JP"/>
        </w:rPr>
        <w:t>4.1. Dabas skolas izveidošana</w:t>
      </w:r>
    </w:p>
    <w:p w14:paraId="792F5DBE" w14:textId="1455D415" w:rsidR="00A21E83" w:rsidRPr="00A07F29" w:rsidRDefault="00E21445" w:rsidP="0077333A">
      <w:pPr>
        <w:spacing w:after="120" w:line="240" w:lineRule="auto"/>
        <w:ind w:firstLine="851"/>
        <w:jc w:val="both"/>
        <w:rPr>
          <w:rFonts w:ascii="Times New Roman" w:eastAsia="Calibri" w:hAnsi="Times New Roman" w:cs="Times New Roman"/>
          <w:sz w:val="24"/>
          <w:szCs w:val="24"/>
        </w:rPr>
      </w:pPr>
      <w:r w:rsidRPr="00613029">
        <w:rPr>
          <w:rFonts w:ascii="Times New Roman" w:eastAsia="Calibri" w:hAnsi="Times New Roman" w:cs="Times New Roman"/>
          <w:sz w:val="24"/>
          <w:szCs w:val="24"/>
        </w:rPr>
        <w:t>Sadarbībā</w:t>
      </w:r>
      <w:r w:rsidRPr="00A07F29">
        <w:rPr>
          <w:rFonts w:ascii="Times New Roman" w:eastAsia="Calibri" w:hAnsi="Times New Roman" w:cs="Times New Roman"/>
          <w:sz w:val="24"/>
          <w:szCs w:val="24"/>
        </w:rPr>
        <w:t xml:space="preserve"> ar DU un DAP i</w:t>
      </w:r>
      <w:r w:rsidR="00A21E83" w:rsidRPr="00A07F29">
        <w:rPr>
          <w:rFonts w:ascii="Times New Roman" w:eastAsia="Calibri" w:hAnsi="Times New Roman" w:cs="Times New Roman"/>
          <w:sz w:val="24"/>
          <w:szCs w:val="24"/>
        </w:rPr>
        <w:t xml:space="preserve">zveidot dabas skolu (piemēram, </w:t>
      </w:r>
      <w:proofErr w:type="spellStart"/>
      <w:r w:rsidRPr="00A07F29">
        <w:rPr>
          <w:rFonts w:ascii="Times New Roman" w:eastAsia="Calibri" w:hAnsi="Times New Roman" w:cs="Times New Roman"/>
          <w:sz w:val="24"/>
          <w:szCs w:val="24"/>
        </w:rPr>
        <w:t>Lielbornes</w:t>
      </w:r>
      <w:proofErr w:type="spellEnd"/>
      <w:r w:rsidRPr="00A07F29">
        <w:rPr>
          <w:rFonts w:ascii="Times New Roman" w:eastAsia="Calibri" w:hAnsi="Times New Roman" w:cs="Times New Roman"/>
          <w:sz w:val="24"/>
          <w:szCs w:val="24"/>
        </w:rPr>
        <w:t xml:space="preserve"> muižā, </w:t>
      </w:r>
      <w:proofErr w:type="spellStart"/>
      <w:r w:rsidR="00A21E83" w:rsidRPr="00A07F29">
        <w:rPr>
          <w:rFonts w:ascii="Times New Roman" w:eastAsia="Calibri" w:hAnsi="Times New Roman" w:cs="Times New Roman"/>
          <w:sz w:val="24"/>
          <w:szCs w:val="24"/>
        </w:rPr>
        <w:t>Červonkas</w:t>
      </w:r>
      <w:proofErr w:type="spellEnd"/>
      <w:r w:rsidR="00A21E83" w:rsidRPr="00A07F29">
        <w:rPr>
          <w:rFonts w:ascii="Times New Roman" w:eastAsia="Calibri" w:hAnsi="Times New Roman" w:cs="Times New Roman"/>
          <w:sz w:val="24"/>
          <w:szCs w:val="24"/>
        </w:rPr>
        <w:t xml:space="preserve"> pils telpās vai citur) ar izglītojošām un tematiskām programmām, laboratorijām un darbnīcām skolēnu grupām un ģimenēm ar bērniem par </w:t>
      </w:r>
      <w:r w:rsidR="00634A53" w:rsidRPr="00A07F29">
        <w:rPr>
          <w:rFonts w:ascii="Times New Roman" w:eastAsia="Calibri" w:hAnsi="Times New Roman" w:cs="Times New Roman"/>
          <w:sz w:val="24"/>
          <w:szCs w:val="24"/>
        </w:rPr>
        <w:t xml:space="preserve">AAA </w:t>
      </w:r>
      <w:r w:rsidR="00A21E83" w:rsidRPr="00A07F29">
        <w:rPr>
          <w:rFonts w:ascii="Times New Roman" w:eastAsia="Calibri" w:hAnsi="Times New Roman" w:cs="Times New Roman"/>
          <w:sz w:val="24"/>
          <w:szCs w:val="24"/>
        </w:rPr>
        <w:t>“Augšdaugava” dabu, dabas daudzveidību, dabas un vides aizsardzību u</w:t>
      </w:r>
      <w:r w:rsidR="00A23186">
        <w:rPr>
          <w:rFonts w:ascii="Times New Roman" w:eastAsia="Calibri" w:hAnsi="Times New Roman" w:cs="Times New Roman"/>
          <w:sz w:val="24"/>
          <w:szCs w:val="24"/>
        </w:rPr>
        <w:t>.</w:t>
      </w:r>
      <w:r w:rsidR="00A21E83" w:rsidRPr="00A07F29">
        <w:rPr>
          <w:rFonts w:ascii="Times New Roman" w:eastAsia="Calibri" w:hAnsi="Times New Roman" w:cs="Times New Roman"/>
          <w:sz w:val="24"/>
          <w:szCs w:val="24"/>
        </w:rPr>
        <w:t>tml., kā arī popularizēt videi draudzīgas ceļošanas principus.</w:t>
      </w:r>
    </w:p>
    <w:p w14:paraId="20AFB34B" w14:textId="0C21CFBD" w:rsidR="00634A53" w:rsidRPr="00A07F29" w:rsidRDefault="00A21E83" w:rsidP="00634A53">
      <w:pPr>
        <w:keepNext/>
        <w:spacing w:before="240" w:after="120" w:line="240" w:lineRule="auto"/>
        <w:jc w:val="both"/>
        <w:rPr>
          <w:rFonts w:ascii="Times New Roman" w:eastAsia="Calibri" w:hAnsi="Times New Roman" w:cs="Calibri"/>
          <w:b/>
          <w:i/>
          <w:sz w:val="24"/>
          <w:szCs w:val="24"/>
          <w:lang w:eastAsia="ja-JP"/>
        </w:rPr>
      </w:pPr>
      <w:r w:rsidRPr="00A07F29">
        <w:rPr>
          <w:rFonts w:ascii="Times New Roman" w:eastAsia="Calibri" w:hAnsi="Times New Roman" w:cs="Calibri"/>
          <w:b/>
          <w:i/>
          <w:sz w:val="24"/>
          <w:szCs w:val="24"/>
          <w:lang w:eastAsia="ja-JP"/>
        </w:rPr>
        <w:t>C.</w:t>
      </w:r>
      <w:r w:rsidR="00634A53" w:rsidRPr="00A07F29">
        <w:rPr>
          <w:rFonts w:ascii="Times New Roman" w:eastAsia="Calibri" w:hAnsi="Times New Roman" w:cs="Calibri"/>
          <w:b/>
          <w:i/>
          <w:sz w:val="24"/>
          <w:szCs w:val="24"/>
          <w:lang w:eastAsia="ja-JP"/>
        </w:rPr>
        <w:t>4.2. Tematisko ekskursiju un pārgājienu organizēšana</w:t>
      </w:r>
      <w:r w:rsidRPr="00A07F29">
        <w:rPr>
          <w:rFonts w:ascii="Times New Roman" w:eastAsia="Calibri" w:hAnsi="Times New Roman" w:cs="Calibri"/>
          <w:b/>
          <w:i/>
          <w:sz w:val="24"/>
          <w:szCs w:val="24"/>
          <w:lang w:eastAsia="ja-JP"/>
        </w:rPr>
        <w:t xml:space="preserve"> </w:t>
      </w:r>
    </w:p>
    <w:p w14:paraId="292C460C" w14:textId="73731313" w:rsidR="00A21E83" w:rsidRPr="00A07F29" w:rsidRDefault="00A21E83" w:rsidP="0077333A">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Organizēt dažādas ar dabas tematiku saistītas ekskursijas un pārgājienus AAA “Augšdaugava” teritorijā dabas gidu un/vai pētnieku pavadībā:</w:t>
      </w:r>
    </w:p>
    <w:p w14:paraId="2288164C" w14:textId="77777777" w:rsidR="00A21E83" w:rsidRPr="00A07F29" w:rsidRDefault="00A21E83" w:rsidP="00F87589">
      <w:pPr>
        <w:numPr>
          <w:ilvl w:val="0"/>
          <w:numId w:val="33"/>
        </w:numPr>
        <w:spacing w:after="120" w:line="240" w:lineRule="auto"/>
        <w:ind w:left="851" w:hanging="425"/>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kukaiņu vērošana, dzīvnieku vērošana, augu atpazīšana utt.;</w:t>
      </w:r>
    </w:p>
    <w:p w14:paraId="59CC3694" w14:textId="77777777" w:rsidR="00A21E83" w:rsidRPr="00A07F29" w:rsidRDefault="00A21E83" w:rsidP="00F87589">
      <w:pPr>
        <w:numPr>
          <w:ilvl w:val="0"/>
          <w:numId w:val="33"/>
        </w:numPr>
        <w:spacing w:after="120" w:line="240" w:lineRule="auto"/>
        <w:ind w:left="851" w:hanging="425"/>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“Daugavas </w:t>
      </w:r>
      <w:proofErr w:type="spellStart"/>
      <w:r w:rsidRPr="00A07F29">
        <w:rPr>
          <w:rFonts w:ascii="Times New Roman" w:eastAsia="Calibri" w:hAnsi="Times New Roman" w:cs="Times New Roman"/>
          <w:sz w:val="24"/>
          <w:szCs w:val="24"/>
        </w:rPr>
        <w:t>senielejas</w:t>
      </w:r>
      <w:proofErr w:type="spellEnd"/>
      <w:r w:rsidRPr="00A07F29">
        <w:rPr>
          <w:rFonts w:ascii="Times New Roman" w:eastAsia="Calibri" w:hAnsi="Times New Roman" w:cs="Times New Roman"/>
          <w:sz w:val="24"/>
          <w:szCs w:val="24"/>
        </w:rPr>
        <w:t xml:space="preserve"> dabas brīnumi” – dabas pieminekļu, ģeoloģisku un </w:t>
      </w:r>
      <w:proofErr w:type="spellStart"/>
      <w:r w:rsidRPr="00A07F29">
        <w:rPr>
          <w:rFonts w:ascii="Times New Roman" w:eastAsia="Calibri" w:hAnsi="Times New Roman" w:cs="Times New Roman"/>
          <w:sz w:val="24"/>
          <w:szCs w:val="24"/>
        </w:rPr>
        <w:t>ģeomorfoloģisku</w:t>
      </w:r>
      <w:proofErr w:type="spellEnd"/>
      <w:r w:rsidRPr="00A07F29">
        <w:rPr>
          <w:rFonts w:ascii="Times New Roman" w:eastAsia="Calibri" w:hAnsi="Times New Roman" w:cs="Times New Roman"/>
          <w:sz w:val="24"/>
          <w:szCs w:val="24"/>
        </w:rPr>
        <w:t xml:space="preserve"> dabas vērtību apskate un iepazīšana;</w:t>
      </w:r>
    </w:p>
    <w:p w14:paraId="0A56A4DC" w14:textId="6D6B515F" w:rsidR="00A21E83" w:rsidRPr="00A07F29" w:rsidRDefault="00A21E83" w:rsidP="00F87589">
      <w:pPr>
        <w:numPr>
          <w:ilvl w:val="0"/>
          <w:numId w:val="33"/>
        </w:numPr>
        <w:spacing w:after="120" w:line="240" w:lineRule="auto"/>
        <w:ind w:left="851" w:hanging="425"/>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“Daugavas </w:t>
      </w:r>
      <w:proofErr w:type="spellStart"/>
      <w:r w:rsidRPr="00A07F29">
        <w:rPr>
          <w:rFonts w:ascii="Times New Roman" w:eastAsia="Calibri" w:hAnsi="Times New Roman" w:cs="Times New Roman"/>
          <w:sz w:val="24"/>
          <w:szCs w:val="24"/>
        </w:rPr>
        <w:t>senielejas</w:t>
      </w:r>
      <w:proofErr w:type="spellEnd"/>
      <w:r w:rsidRPr="00A07F29">
        <w:rPr>
          <w:rFonts w:ascii="Times New Roman" w:eastAsia="Calibri" w:hAnsi="Times New Roman" w:cs="Times New Roman"/>
          <w:sz w:val="24"/>
          <w:szCs w:val="24"/>
        </w:rPr>
        <w:t xml:space="preserve"> ainava” – </w:t>
      </w:r>
      <w:r w:rsidR="00094707">
        <w:rPr>
          <w:rFonts w:ascii="Times New Roman" w:eastAsia="Calibri" w:hAnsi="Times New Roman" w:cs="Times New Roman"/>
          <w:sz w:val="24"/>
          <w:szCs w:val="24"/>
        </w:rPr>
        <w:t xml:space="preserve">AAA </w:t>
      </w:r>
      <w:r w:rsidRPr="00A07F29">
        <w:rPr>
          <w:rFonts w:ascii="Times New Roman" w:eastAsia="Calibri" w:hAnsi="Times New Roman" w:cs="Times New Roman"/>
          <w:sz w:val="24"/>
          <w:szCs w:val="24"/>
        </w:rPr>
        <w:t>“Augšdaugava” ainavas daudzveidības (gan dabas ainavas, gan kultūrainavas) apskate un iepazīšana;</w:t>
      </w:r>
    </w:p>
    <w:p w14:paraId="38FF3E46" w14:textId="07E6C061" w:rsidR="00A21E83" w:rsidRPr="00A07F29" w:rsidRDefault="00A21E83" w:rsidP="00F87589">
      <w:pPr>
        <w:numPr>
          <w:ilvl w:val="0"/>
          <w:numId w:val="33"/>
        </w:numPr>
        <w:spacing w:after="120" w:line="240" w:lineRule="auto"/>
        <w:ind w:left="851" w:hanging="425"/>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“Zelta rudens” pārgājiens, tādējādi popularizējot rudens vērošanu </w:t>
      </w:r>
      <w:r w:rsidR="00094707">
        <w:rPr>
          <w:rFonts w:ascii="Times New Roman" w:eastAsia="Calibri" w:hAnsi="Times New Roman" w:cs="Times New Roman"/>
          <w:sz w:val="24"/>
          <w:szCs w:val="24"/>
        </w:rPr>
        <w:t xml:space="preserve">AAA </w:t>
      </w:r>
      <w:r w:rsidRPr="00A07F29">
        <w:rPr>
          <w:rFonts w:ascii="Times New Roman" w:eastAsia="Calibri" w:hAnsi="Times New Roman" w:cs="Times New Roman"/>
          <w:sz w:val="24"/>
          <w:szCs w:val="24"/>
        </w:rPr>
        <w:t>“Augšdaugav</w:t>
      </w:r>
      <w:r w:rsidR="00094707">
        <w:rPr>
          <w:rFonts w:ascii="Times New Roman" w:eastAsia="Calibri" w:hAnsi="Times New Roman" w:cs="Times New Roman"/>
          <w:sz w:val="24"/>
          <w:szCs w:val="24"/>
        </w:rPr>
        <w:t>a</w:t>
      </w:r>
      <w:r w:rsidRPr="00A07F29">
        <w:rPr>
          <w:rFonts w:ascii="Times New Roman" w:eastAsia="Calibri" w:hAnsi="Times New Roman" w:cs="Times New Roman"/>
          <w:sz w:val="24"/>
          <w:szCs w:val="24"/>
        </w:rPr>
        <w:t>”.</w:t>
      </w:r>
    </w:p>
    <w:p w14:paraId="356E536A" w14:textId="3A6F0EEC" w:rsidR="00634A53" w:rsidRPr="00A07F29" w:rsidRDefault="00A21E83" w:rsidP="0077333A">
      <w:pPr>
        <w:keepNext/>
        <w:spacing w:before="240" w:after="120" w:line="240" w:lineRule="auto"/>
        <w:jc w:val="both"/>
        <w:rPr>
          <w:rFonts w:ascii="Times New Roman" w:eastAsia="Calibri" w:hAnsi="Times New Roman" w:cs="Calibri"/>
          <w:b/>
          <w:i/>
          <w:sz w:val="24"/>
          <w:szCs w:val="24"/>
          <w:lang w:eastAsia="ja-JP"/>
        </w:rPr>
      </w:pPr>
      <w:r w:rsidRPr="00A07F29">
        <w:rPr>
          <w:rFonts w:ascii="Times New Roman" w:eastAsia="Calibri" w:hAnsi="Times New Roman" w:cs="Calibri"/>
          <w:b/>
          <w:i/>
          <w:sz w:val="24"/>
          <w:szCs w:val="24"/>
          <w:lang w:eastAsia="ja-JP"/>
        </w:rPr>
        <w:t>C.</w:t>
      </w:r>
      <w:r w:rsidR="0077333A" w:rsidRPr="00A07F29">
        <w:rPr>
          <w:rFonts w:ascii="Times New Roman" w:eastAsia="Calibri" w:hAnsi="Times New Roman" w:cs="Calibri"/>
          <w:b/>
          <w:i/>
          <w:sz w:val="24"/>
          <w:szCs w:val="24"/>
          <w:lang w:eastAsia="ja-JP"/>
        </w:rPr>
        <w:t>4</w:t>
      </w:r>
      <w:r w:rsidRPr="00A07F29">
        <w:rPr>
          <w:rFonts w:ascii="Times New Roman" w:eastAsia="Calibri" w:hAnsi="Times New Roman" w:cs="Calibri"/>
          <w:b/>
          <w:i/>
          <w:sz w:val="24"/>
          <w:szCs w:val="24"/>
          <w:lang w:eastAsia="ja-JP"/>
        </w:rPr>
        <w:t>.</w:t>
      </w:r>
      <w:r w:rsidR="0077333A" w:rsidRPr="00A07F29">
        <w:rPr>
          <w:rFonts w:ascii="Times New Roman" w:eastAsia="Calibri" w:hAnsi="Times New Roman" w:cs="Calibri"/>
          <w:b/>
          <w:i/>
          <w:sz w:val="24"/>
          <w:szCs w:val="24"/>
          <w:lang w:eastAsia="ja-JP"/>
        </w:rPr>
        <w:t>3.</w:t>
      </w:r>
      <w:r w:rsidRPr="00A07F29">
        <w:rPr>
          <w:rFonts w:ascii="Times New Roman" w:eastAsia="Calibri" w:hAnsi="Times New Roman" w:cs="Calibri"/>
          <w:b/>
          <w:i/>
          <w:sz w:val="24"/>
          <w:szCs w:val="24"/>
          <w:lang w:eastAsia="ja-JP"/>
        </w:rPr>
        <w:t xml:space="preserve"> </w:t>
      </w:r>
      <w:r w:rsidR="00634A53" w:rsidRPr="00A07F29">
        <w:rPr>
          <w:rFonts w:ascii="Times New Roman" w:eastAsia="Calibri" w:hAnsi="Times New Roman" w:cs="Calibri"/>
          <w:b/>
          <w:i/>
          <w:sz w:val="24"/>
          <w:szCs w:val="24"/>
          <w:lang w:eastAsia="ja-JP"/>
        </w:rPr>
        <w:t xml:space="preserve">Tematisko </w:t>
      </w:r>
      <w:r w:rsidR="00A4723A" w:rsidRPr="00A07F29">
        <w:rPr>
          <w:rFonts w:ascii="Times New Roman" w:eastAsia="Calibri" w:hAnsi="Times New Roman" w:cs="Calibri"/>
          <w:b/>
          <w:i/>
          <w:sz w:val="24"/>
          <w:szCs w:val="24"/>
          <w:lang w:eastAsia="ja-JP"/>
        </w:rPr>
        <w:t xml:space="preserve">izglītojošo </w:t>
      </w:r>
      <w:r w:rsidR="00634A53" w:rsidRPr="00A07F29">
        <w:rPr>
          <w:rFonts w:ascii="Times New Roman" w:eastAsia="Calibri" w:hAnsi="Times New Roman" w:cs="Calibri"/>
          <w:b/>
          <w:i/>
          <w:sz w:val="24"/>
          <w:szCs w:val="24"/>
          <w:lang w:eastAsia="ja-JP"/>
        </w:rPr>
        <w:t>pasākumu orga</w:t>
      </w:r>
      <w:r w:rsidR="0077333A" w:rsidRPr="00A07F29">
        <w:rPr>
          <w:rFonts w:ascii="Times New Roman" w:eastAsia="Calibri" w:hAnsi="Times New Roman" w:cs="Calibri"/>
          <w:b/>
          <w:i/>
          <w:sz w:val="24"/>
          <w:szCs w:val="24"/>
          <w:lang w:eastAsia="ja-JP"/>
        </w:rPr>
        <w:t>nizēšana</w:t>
      </w:r>
    </w:p>
    <w:p w14:paraId="3304DFAB" w14:textId="11639C42" w:rsidR="00A21E83" w:rsidRPr="00A07F29" w:rsidRDefault="00A21E83" w:rsidP="008D3DDD">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Organizēt izglītojošus pasākumus vides, dabas daudzveidības un dabas procesu iepazīšanai un izpratnei:</w:t>
      </w:r>
    </w:p>
    <w:p w14:paraId="5D056D99" w14:textId="77777777" w:rsidR="00A21E83" w:rsidRPr="00A07F29" w:rsidRDefault="00A21E83" w:rsidP="00F87589">
      <w:pPr>
        <w:numPr>
          <w:ilvl w:val="0"/>
          <w:numId w:val="34"/>
        </w:numPr>
        <w:spacing w:after="120" w:line="240" w:lineRule="auto"/>
        <w:ind w:left="851" w:hanging="425"/>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rīkot unikālu pasākumu – vides mūzikas koncertu “Dabas koncertzāle”;</w:t>
      </w:r>
    </w:p>
    <w:p w14:paraId="344A758D" w14:textId="77777777" w:rsidR="00A21E83" w:rsidRPr="00A07F29" w:rsidRDefault="00A21E83" w:rsidP="00F87589">
      <w:pPr>
        <w:numPr>
          <w:ilvl w:val="0"/>
          <w:numId w:val="34"/>
        </w:numPr>
        <w:spacing w:after="120" w:line="240" w:lineRule="auto"/>
        <w:ind w:left="851" w:hanging="425"/>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lastRenderedPageBreak/>
        <w:t>organizēt tematiskus pasākumus, piemēram, Ceļotāju dienas, “Meža dienas”, nakts sēņošana u.tml.;</w:t>
      </w:r>
    </w:p>
    <w:p w14:paraId="278C7C70" w14:textId="77777777" w:rsidR="00A21E83" w:rsidRPr="00A07F29" w:rsidRDefault="00A21E83" w:rsidP="00F87589">
      <w:pPr>
        <w:numPr>
          <w:ilvl w:val="0"/>
          <w:numId w:val="34"/>
        </w:numPr>
        <w:spacing w:after="120" w:line="240" w:lineRule="auto"/>
        <w:ind w:left="851" w:hanging="425"/>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organizēt vides uzkopšanas talkas ar informatīvi izklaidējošām programmām.</w:t>
      </w:r>
    </w:p>
    <w:p w14:paraId="1FA097A4" w14:textId="170741C3" w:rsidR="0077333A" w:rsidRPr="00A07F29" w:rsidRDefault="00A21E83" w:rsidP="0077333A">
      <w:pPr>
        <w:keepNext/>
        <w:spacing w:before="240" w:after="120" w:line="240" w:lineRule="auto"/>
        <w:jc w:val="both"/>
        <w:rPr>
          <w:rFonts w:ascii="Times New Roman" w:eastAsia="Calibri" w:hAnsi="Times New Roman" w:cs="Calibri"/>
          <w:b/>
          <w:i/>
          <w:sz w:val="24"/>
          <w:szCs w:val="24"/>
          <w:lang w:eastAsia="ja-JP"/>
        </w:rPr>
      </w:pPr>
      <w:r w:rsidRPr="00A07F29">
        <w:rPr>
          <w:rFonts w:ascii="Times New Roman" w:eastAsia="Calibri" w:hAnsi="Times New Roman" w:cs="Calibri"/>
          <w:b/>
          <w:i/>
          <w:sz w:val="24"/>
          <w:szCs w:val="24"/>
          <w:lang w:eastAsia="ja-JP"/>
        </w:rPr>
        <w:t>C.</w:t>
      </w:r>
      <w:r w:rsidR="0077333A" w:rsidRPr="00A07F29">
        <w:rPr>
          <w:rFonts w:ascii="Times New Roman" w:eastAsia="Calibri" w:hAnsi="Times New Roman" w:cs="Calibri"/>
          <w:b/>
          <w:i/>
          <w:sz w:val="24"/>
          <w:szCs w:val="24"/>
          <w:lang w:eastAsia="ja-JP"/>
        </w:rPr>
        <w:t>4.4. Tematisko sporta un tūrisma pasākumu organizēšana</w:t>
      </w:r>
    </w:p>
    <w:p w14:paraId="2209D6E4" w14:textId="52A30BF1" w:rsidR="00A21E83" w:rsidRPr="00A07F29" w:rsidRDefault="0077333A" w:rsidP="00A4723A">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Jāt</w:t>
      </w:r>
      <w:r w:rsidR="00A21E83" w:rsidRPr="00A07F29">
        <w:rPr>
          <w:rFonts w:ascii="Times New Roman" w:eastAsia="Calibri" w:hAnsi="Times New Roman" w:cs="Times New Roman"/>
          <w:sz w:val="24"/>
          <w:szCs w:val="24"/>
        </w:rPr>
        <w:t>urpin</w:t>
      </w:r>
      <w:r w:rsidRPr="00A07F29">
        <w:rPr>
          <w:rFonts w:ascii="Times New Roman" w:eastAsia="Calibri" w:hAnsi="Times New Roman" w:cs="Times New Roman"/>
          <w:sz w:val="24"/>
          <w:szCs w:val="24"/>
        </w:rPr>
        <w:t>a</w:t>
      </w:r>
      <w:r w:rsidR="00A21E83" w:rsidRPr="00A07F29">
        <w:rPr>
          <w:rFonts w:ascii="Times New Roman" w:eastAsia="Calibri" w:hAnsi="Times New Roman" w:cs="Times New Roman"/>
          <w:sz w:val="24"/>
          <w:szCs w:val="24"/>
        </w:rPr>
        <w:t xml:space="preserve"> organizēt ūdens tūrisma pasākumu “Lielais plosts”.</w:t>
      </w:r>
    </w:p>
    <w:p w14:paraId="6E85B8ED" w14:textId="69D60E64" w:rsidR="00A21E83" w:rsidRPr="00A07F29" w:rsidRDefault="00A21E83" w:rsidP="00A4723A">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Organizēt sporta un aktīvās atpūtas pasākumus vietējā, reģionālā un starptautiskā līmenī dažādām iedzīvotāju grupām, t.sk. ģimenēm ar bērniem, kā arī organizēt sporta pasākumus tūrisma nesezonas laikā (piemēram, orientēšanās sacensības, MTB sacensības (piem</w:t>
      </w:r>
      <w:r w:rsidR="00327FEE">
        <w:rPr>
          <w:rFonts w:ascii="Times New Roman" w:eastAsia="Calibri" w:hAnsi="Times New Roman" w:cs="Times New Roman"/>
          <w:sz w:val="24"/>
          <w:szCs w:val="24"/>
        </w:rPr>
        <w:t>ēram,</w:t>
      </w:r>
      <w:r w:rsidRPr="00A07F29">
        <w:rPr>
          <w:rFonts w:ascii="Times New Roman" w:eastAsia="Calibri" w:hAnsi="Times New Roman" w:cs="Times New Roman"/>
          <w:sz w:val="24"/>
          <w:szCs w:val="24"/>
        </w:rPr>
        <w:t xml:space="preserve"> </w:t>
      </w:r>
      <w:r w:rsidR="006E4618">
        <w:rPr>
          <w:rFonts w:ascii="Times New Roman" w:eastAsia="Calibri" w:hAnsi="Times New Roman" w:cs="Times New Roman"/>
          <w:sz w:val="24"/>
          <w:szCs w:val="24"/>
        </w:rPr>
        <w:t>LVM</w:t>
      </w:r>
      <w:r w:rsidRPr="00A07F29">
        <w:rPr>
          <w:rFonts w:ascii="Times New Roman" w:eastAsia="Calibri" w:hAnsi="Times New Roman" w:cs="Times New Roman"/>
          <w:sz w:val="24"/>
          <w:szCs w:val="24"/>
        </w:rPr>
        <w:t xml:space="preserve"> Kalnu Divriteņu maratons), Daugavas festivāls Krāslavā, “Veselības diena” u.tml.)</w:t>
      </w:r>
    </w:p>
    <w:p w14:paraId="2A876EE7" w14:textId="315624DD" w:rsidR="00A4723A" w:rsidRPr="00A07F29" w:rsidRDefault="00A21E83" w:rsidP="00A4723A">
      <w:pPr>
        <w:keepNext/>
        <w:spacing w:before="240" w:after="120" w:line="240" w:lineRule="auto"/>
        <w:jc w:val="both"/>
        <w:rPr>
          <w:rFonts w:ascii="Times New Roman" w:eastAsia="Calibri" w:hAnsi="Times New Roman" w:cs="Calibri"/>
          <w:b/>
          <w:i/>
          <w:sz w:val="24"/>
          <w:szCs w:val="24"/>
          <w:lang w:eastAsia="ja-JP"/>
        </w:rPr>
      </w:pPr>
      <w:r w:rsidRPr="00A07F29">
        <w:rPr>
          <w:rFonts w:ascii="Times New Roman" w:eastAsia="Calibri" w:hAnsi="Times New Roman" w:cs="Calibri"/>
          <w:b/>
          <w:i/>
          <w:sz w:val="24"/>
          <w:szCs w:val="24"/>
          <w:lang w:eastAsia="ja-JP"/>
        </w:rPr>
        <w:t>C.</w:t>
      </w:r>
      <w:r w:rsidR="00A4723A" w:rsidRPr="00A07F29">
        <w:rPr>
          <w:rFonts w:ascii="Times New Roman" w:eastAsia="Calibri" w:hAnsi="Times New Roman" w:cs="Calibri"/>
          <w:b/>
          <w:i/>
          <w:sz w:val="24"/>
          <w:szCs w:val="24"/>
          <w:lang w:eastAsia="ja-JP"/>
        </w:rPr>
        <w:t>4</w:t>
      </w:r>
      <w:r w:rsidRPr="00A07F29">
        <w:rPr>
          <w:rFonts w:ascii="Times New Roman" w:eastAsia="Calibri" w:hAnsi="Times New Roman" w:cs="Calibri"/>
          <w:b/>
          <w:i/>
          <w:sz w:val="24"/>
          <w:szCs w:val="24"/>
          <w:lang w:eastAsia="ja-JP"/>
        </w:rPr>
        <w:t>.</w:t>
      </w:r>
      <w:r w:rsidR="00A4723A" w:rsidRPr="00A07F29">
        <w:rPr>
          <w:rFonts w:ascii="Times New Roman" w:eastAsia="Calibri" w:hAnsi="Times New Roman" w:cs="Calibri"/>
          <w:b/>
          <w:i/>
          <w:sz w:val="24"/>
          <w:szCs w:val="24"/>
          <w:lang w:eastAsia="ja-JP"/>
        </w:rPr>
        <w:t>5. Tematisko kultūras pasākumu organizēšana</w:t>
      </w:r>
    </w:p>
    <w:p w14:paraId="394EE076" w14:textId="7035DC5B" w:rsidR="00A4723A" w:rsidRPr="00A07F29" w:rsidRDefault="00A4723A" w:rsidP="00A4723A">
      <w:pPr>
        <w:spacing w:after="160" w:line="256"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Lai sekmētu Augšdaugavai raksturīgo kultūrvēsturisko vērtību un tradīciju saglabāšanu un popularizēšanu, nepieciešams:</w:t>
      </w:r>
    </w:p>
    <w:p w14:paraId="7265DE59" w14:textId="0EF294D1" w:rsidR="00A21E83" w:rsidRPr="00A07F29" w:rsidRDefault="00A4723A" w:rsidP="00F87589">
      <w:pPr>
        <w:numPr>
          <w:ilvl w:val="0"/>
          <w:numId w:val="34"/>
        </w:numPr>
        <w:spacing w:after="120" w:line="240" w:lineRule="auto"/>
        <w:ind w:left="851" w:hanging="425"/>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t</w:t>
      </w:r>
      <w:r w:rsidR="00A21E83" w:rsidRPr="00A07F29">
        <w:rPr>
          <w:rFonts w:ascii="Times New Roman" w:eastAsia="Calibri" w:hAnsi="Times New Roman" w:cs="Times New Roman"/>
          <w:sz w:val="24"/>
          <w:szCs w:val="24"/>
        </w:rPr>
        <w:t>urpināt regulāri organizēt starptautisko tautas mākslas festivālu “Augšdaugava”</w:t>
      </w:r>
      <w:r w:rsidR="00E42062">
        <w:rPr>
          <w:rFonts w:ascii="Times New Roman" w:eastAsia="Calibri" w:hAnsi="Times New Roman" w:cs="Times New Roman"/>
          <w:sz w:val="24"/>
          <w:szCs w:val="24"/>
        </w:rPr>
        <w:t>;</w:t>
      </w:r>
    </w:p>
    <w:p w14:paraId="490FE695" w14:textId="08E0D84F" w:rsidR="00A21E83" w:rsidRPr="00A07F29" w:rsidRDefault="00A4723A" w:rsidP="00F87589">
      <w:pPr>
        <w:numPr>
          <w:ilvl w:val="0"/>
          <w:numId w:val="34"/>
        </w:numPr>
        <w:spacing w:after="120" w:line="240" w:lineRule="auto"/>
        <w:ind w:left="851" w:hanging="425"/>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r</w:t>
      </w:r>
      <w:r w:rsidR="00A21E83" w:rsidRPr="00A07F29">
        <w:rPr>
          <w:rFonts w:ascii="Times New Roman" w:eastAsia="Calibri" w:hAnsi="Times New Roman" w:cs="Times New Roman"/>
          <w:sz w:val="24"/>
          <w:szCs w:val="24"/>
        </w:rPr>
        <w:t>īkot tematiskos pasākumus vecticībnieku tradīciju izzināšanai, t.sk. ģimenēm ar bērniem (piemēram, organizēt rokdarbu meistarklases un radošās darbnīcas, dziesmu vakarus u.c.)</w:t>
      </w:r>
      <w:r w:rsidRPr="00A07F29">
        <w:rPr>
          <w:rFonts w:ascii="Times New Roman" w:eastAsia="Calibri" w:hAnsi="Times New Roman" w:cs="Times New Roman"/>
          <w:sz w:val="24"/>
          <w:szCs w:val="24"/>
        </w:rPr>
        <w:t>;</w:t>
      </w:r>
    </w:p>
    <w:p w14:paraId="020DAB7D" w14:textId="296A57C0" w:rsidR="00A21E83" w:rsidRPr="00A07F29" w:rsidRDefault="00A4723A" w:rsidP="00F87589">
      <w:pPr>
        <w:numPr>
          <w:ilvl w:val="0"/>
          <w:numId w:val="34"/>
        </w:numPr>
        <w:spacing w:after="120" w:line="240" w:lineRule="auto"/>
        <w:ind w:left="851" w:hanging="425"/>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o</w:t>
      </w:r>
      <w:r w:rsidR="00A21E83" w:rsidRPr="00A07F29">
        <w:rPr>
          <w:rFonts w:ascii="Times New Roman" w:eastAsia="Calibri" w:hAnsi="Times New Roman" w:cs="Times New Roman"/>
          <w:sz w:val="24"/>
          <w:szCs w:val="24"/>
        </w:rPr>
        <w:t xml:space="preserve">rganizēt prasmju skolas par </w:t>
      </w:r>
      <w:r w:rsidR="009479C7">
        <w:rPr>
          <w:rFonts w:ascii="Times New Roman" w:eastAsia="Calibri" w:hAnsi="Times New Roman" w:cs="Times New Roman"/>
          <w:sz w:val="24"/>
          <w:szCs w:val="24"/>
        </w:rPr>
        <w:t xml:space="preserve">AAA </w:t>
      </w:r>
      <w:r w:rsidR="00A21E83" w:rsidRPr="00A07F29">
        <w:rPr>
          <w:rFonts w:ascii="Times New Roman" w:eastAsia="Calibri" w:hAnsi="Times New Roman" w:cs="Times New Roman"/>
          <w:sz w:val="24"/>
          <w:szCs w:val="24"/>
        </w:rPr>
        <w:t>“Augšdaugava” raksturīgām tradīcijām, rituāliem, amatiem, ēdieniem, dejām un dziesmām</w:t>
      </w:r>
      <w:r w:rsidRPr="00A07F29">
        <w:rPr>
          <w:rFonts w:ascii="Times New Roman" w:eastAsia="Calibri" w:hAnsi="Times New Roman" w:cs="Times New Roman"/>
          <w:sz w:val="24"/>
          <w:szCs w:val="24"/>
        </w:rPr>
        <w:t>;</w:t>
      </w:r>
    </w:p>
    <w:p w14:paraId="13F8EDDA" w14:textId="27C73D4F" w:rsidR="009D3072" w:rsidRDefault="00A4723A" w:rsidP="007F1D12">
      <w:pPr>
        <w:numPr>
          <w:ilvl w:val="0"/>
          <w:numId w:val="34"/>
        </w:numPr>
        <w:spacing w:after="120" w:line="240" w:lineRule="auto"/>
        <w:ind w:left="851" w:hanging="425"/>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o</w:t>
      </w:r>
      <w:r w:rsidR="00A21E83" w:rsidRPr="00A07F29">
        <w:rPr>
          <w:rFonts w:ascii="Times New Roman" w:eastAsia="Calibri" w:hAnsi="Times New Roman" w:cs="Times New Roman"/>
          <w:sz w:val="24"/>
          <w:szCs w:val="24"/>
        </w:rPr>
        <w:t>rganizēt dažādām iedzīvotāju grupām piemērotus vietējos, reģionālos un starptautiskos kultūras pasākumus AAA “Augšdaugava” teritorijā, akcentējot kultūras mantojuma iepazīšanu (piem</w:t>
      </w:r>
      <w:r w:rsidR="009479C7">
        <w:rPr>
          <w:rFonts w:ascii="Times New Roman" w:eastAsia="Calibri" w:hAnsi="Times New Roman" w:cs="Times New Roman"/>
          <w:sz w:val="24"/>
          <w:szCs w:val="24"/>
        </w:rPr>
        <w:t>ēram</w:t>
      </w:r>
      <w:r w:rsidR="00A21E83" w:rsidRPr="00A07F29">
        <w:rPr>
          <w:rFonts w:ascii="Times New Roman" w:eastAsia="Calibri" w:hAnsi="Times New Roman" w:cs="Times New Roman"/>
          <w:sz w:val="24"/>
          <w:szCs w:val="24"/>
        </w:rPr>
        <w:t xml:space="preserve">, Baltā galdauta svētki, tautisko deju koncerti </w:t>
      </w:r>
      <w:proofErr w:type="spellStart"/>
      <w:r w:rsidR="00A21E83" w:rsidRPr="00A07F29">
        <w:rPr>
          <w:rFonts w:ascii="Times New Roman" w:eastAsia="Calibri" w:hAnsi="Times New Roman" w:cs="Times New Roman"/>
          <w:sz w:val="24"/>
          <w:szCs w:val="24"/>
        </w:rPr>
        <w:t>Lielbornes</w:t>
      </w:r>
      <w:proofErr w:type="spellEnd"/>
      <w:r w:rsidR="00A21E83" w:rsidRPr="00A07F29">
        <w:rPr>
          <w:rFonts w:ascii="Times New Roman" w:eastAsia="Calibri" w:hAnsi="Times New Roman" w:cs="Times New Roman"/>
          <w:sz w:val="24"/>
          <w:szCs w:val="24"/>
        </w:rPr>
        <w:t xml:space="preserve"> muižā, </w:t>
      </w:r>
      <w:proofErr w:type="spellStart"/>
      <w:r w:rsidR="00A21E83" w:rsidRPr="00A07F29">
        <w:rPr>
          <w:rFonts w:ascii="Times New Roman" w:eastAsia="Calibri" w:hAnsi="Times New Roman" w:cs="Times New Roman"/>
          <w:sz w:val="24"/>
          <w:szCs w:val="24"/>
        </w:rPr>
        <w:t>Červonkas</w:t>
      </w:r>
      <w:proofErr w:type="spellEnd"/>
      <w:r w:rsidR="00A21E83" w:rsidRPr="00A07F29">
        <w:rPr>
          <w:rFonts w:ascii="Times New Roman" w:eastAsia="Calibri" w:hAnsi="Times New Roman" w:cs="Times New Roman"/>
          <w:sz w:val="24"/>
          <w:szCs w:val="24"/>
        </w:rPr>
        <w:t xml:space="preserve"> pilī, </w:t>
      </w:r>
      <w:proofErr w:type="spellStart"/>
      <w:r w:rsidR="00A21E83" w:rsidRPr="00A07F29">
        <w:rPr>
          <w:rFonts w:ascii="Times New Roman" w:eastAsia="Calibri" w:hAnsi="Times New Roman" w:cs="Times New Roman"/>
          <w:sz w:val="24"/>
          <w:szCs w:val="24"/>
        </w:rPr>
        <w:t>Slutišķu</w:t>
      </w:r>
      <w:proofErr w:type="spellEnd"/>
      <w:r w:rsidR="00A21E83" w:rsidRPr="00A07F29">
        <w:rPr>
          <w:rFonts w:ascii="Times New Roman" w:eastAsia="Calibri" w:hAnsi="Times New Roman" w:cs="Times New Roman"/>
          <w:sz w:val="24"/>
          <w:szCs w:val="24"/>
        </w:rPr>
        <w:t xml:space="preserve"> sādžā u.c., kulinārā mantojuma festivāls, fotoizstādes </w:t>
      </w:r>
      <w:proofErr w:type="spellStart"/>
      <w:r w:rsidR="00A21E83" w:rsidRPr="00A07F29">
        <w:rPr>
          <w:rFonts w:ascii="Times New Roman" w:eastAsia="Calibri" w:hAnsi="Times New Roman" w:cs="Times New Roman"/>
          <w:sz w:val="24"/>
          <w:szCs w:val="24"/>
        </w:rPr>
        <w:t>Červonkas</w:t>
      </w:r>
      <w:proofErr w:type="spellEnd"/>
      <w:r w:rsidR="00A21E83" w:rsidRPr="00A07F29">
        <w:rPr>
          <w:rFonts w:ascii="Times New Roman" w:eastAsia="Calibri" w:hAnsi="Times New Roman" w:cs="Times New Roman"/>
          <w:sz w:val="24"/>
          <w:szCs w:val="24"/>
        </w:rPr>
        <w:t xml:space="preserve"> muižas pilī, brīvdienu vēlās brokastis u.c.)</w:t>
      </w:r>
      <w:r w:rsidR="0066617E" w:rsidRPr="00A07F29">
        <w:rPr>
          <w:rFonts w:ascii="Times New Roman" w:eastAsia="Calibri" w:hAnsi="Times New Roman" w:cs="Times New Roman"/>
          <w:sz w:val="24"/>
          <w:szCs w:val="24"/>
        </w:rPr>
        <w:t>, tostarp p</w:t>
      </w:r>
      <w:r w:rsidR="00A21E83" w:rsidRPr="00A07F29">
        <w:rPr>
          <w:rFonts w:ascii="Times New Roman" w:eastAsia="Calibri" w:hAnsi="Times New Roman" w:cs="Times New Roman"/>
          <w:sz w:val="24"/>
          <w:szCs w:val="24"/>
        </w:rPr>
        <w:t>asākumus rīkot arī tūrisma nesezonas laikā.</w:t>
      </w:r>
    </w:p>
    <w:p w14:paraId="71B48BB1" w14:textId="77777777" w:rsidR="007F1D12" w:rsidRPr="007F1D12" w:rsidRDefault="007F1D12" w:rsidP="00287F57">
      <w:pPr>
        <w:spacing w:after="120" w:line="240" w:lineRule="auto"/>
        <w:jc w:val="both"/>
        <w:rPr>
          <w:rFonts w:ascii="Times New Roman" w:eastAsia="Calibri" w:hAnsi="Times New Roman" w:cs="Times New Roman"/>
          <w:sz w:val="24"/>
          <w:szCs w:val="24"/>
        </w:rPr>
      </w:pPr>
    </w:p>
    <w:p w14:paraId="134BFC3A" w14:textId="590445DC" w:rsidR="00A21E83" w:rsidRPr="00A07F29" w:rsidRDefault="00A21E83" w:rsidP="00DD6415">
      <w:pPr>
        <w:keepNext/>
        <w:spacing w:before="240" w:after="0" w:line="240" w:lineRule="auto"/>
        <w:jc w:val="both"/>
        <w:rPr>
          <w:rFonts w:ascii="Times New Roman" w:eastAsia="Calibri" w:hAnsi="Times New Roman" w:cs="Calibri"/>
          <w:caps/>
          <w:sz w:val="24"/>
          <w:lang w:eastAsia="ja-JP"/>
        </w:rPr>
      </w:pPr>
      <w:r w:rsidRPr="00A07F29">
        <w:rPr>
          <w:rFonts w:ascii="Times New Roman" w:eastAsia="Calibri" w:hAnsi="Times New Roman" w:cs="Calibri"/>
          <w:caps/>
          <w:sz w:val="24"/>
          <w:lang w:eastAsia="ja-JP"/>
        </w:rPr>
        <w:t>D. Tūrisms un atpūtas organizēšana</w:t>
      </w:r>
    </w:p>
    <w:p w14:paraId="764D2CA1" w14:textId="2B23047E" w:rsidR="00D56C16" w:rsidRPr="00A07F29" w:rsidRDefault="00D56C16" w:rsidP="00443767">
      <w:pPr>
        <w:keepNext/>
        <w:spacing w:before="120" w:after="120" w:line="240" w:lineRule="auto"/>
        <w:jc w:val="both"/>
        <w:rPr>
          <w:rFonts w:ascii="Times New Roman" w:hAnsi="Times New Roman" w:cs="Times New Roman"/>
          <w:b/>
          <w:sz w:val="24"/>
          <w:szCs w:val="24"/>
        </w:rPr>
      </w:pPr>
      <w:r w:rsidRPr="00A07F29">
        <w:rPr>
          <w:rFonts w:ascii="Times New Roman" w:hAnsi="Times New Roman" w:cs="Times New Roman"/>
          <w:b/>
          <w:sz w:val="24"/>
          <w:szCs w:val="24"/>
        </w:rPr>
        <w:t>D.1. Ierīkot, pilnveidot un uzturēt dabas un kultūrvēsturisko objektu apmeklēšanai nepieciešamo infrastruktūru</w:t>
      </w:r>
    </w:p>
    <w:p w14:paraId="6CF0A392" w14:textId="426C37ED" w:rsidR="00055B40" w:rsidRPr="00A07F29" w:rsidRDefault="00E8420C" w:rsidP="00DA7DC1">
      <w:pPr>
        <w:spacing w:before="120" w:after="120" w:line="240" w:lineRule="auto"/>
        <w:ind w:firstLine="851"/>
        <w:jc w:val="both"/>
        <w:rPr>
          <w:rFonts w:ascii="Times New Roman" w:hAnsi="Times New Roman" w:cs="Times New Roman"/>
          <w:sz w:val="24"/>
          <w:szCs w:val="24"/>
        </w:rPr>
      </w:pPr>
      <w:r w:rsidRPr="00287F57">
        <w:rPr>
          <w:rFonts w:ascii="Times New Roman" w:hAnsi="Times New Roman" w:cs="Times New Roman"/>
          <w:sz w:val="24"/>
          <w:szCs w:val="24"/>
        </w:rPr>
        <w:t>AAA “Augšdaugava”</w:t>
      </w:r>
      <w:r w:rsidRPr="00A07F29">
        <w:rPr>
          <w:rFonts w:ascii="Times New Roman" w:hAnsi="Times New Roman" w:cs="Times New Roman"/>
          <w:sz w:val="24"/>
          <w:szCs w:val="24"/>
        </w:rPr>
        <w:t xml:space="preserve"> atrodas </w:t>
      </w:r>
      <w:r w:rsidR="00CB2C8B" w:rsidRPr="00A07F29">
        <w:rPr>
          <w:rFonts w:ascii="Times New Roman" w:hAnsi="Times New Roman" w:cs="Times New Roman"/>
          <w:sz w:val="24"/>
          <w:szCs w:val="24"/>
        </w:rPr>
        <w:t>daudzi</w:t>
      </w:r>
      <w:r w:rsidRPr="00A07F29">
        <w:rPr>
          <w:rFonts w:ascii="Times New Roman" w:hAnsi="Times New Roman" w:cs="Times New Roman"/>
          <w:sz w:val="24"/>
          <w:szCs w:val="24"/>
        </w:rPr>
        <w:t xml:space="preserve"> apmeklētāju iecienīti dabas un kultūrvēsturiskie objekti. </w:t>
      </w:r>
      <w:r w:rsidR="00CB2C8B" w:rsidRPr="00A07F29">
        <w:rPr>
          <w:rFonts w:ascii="Times New Roman" w:hAnsi="Times New Roman" w:cs="Times New Roman"/>
          <w:sz w:val="24"/>
          <w:szCs w:val="24"/>
        </w:rPr>
        <w:t>Vairākos</w:t>
      </w:r>
      <w:r w:rsidRPr="00A07F29">
        <w:rPr>
          <w:rFonts w:ascii="Times New Roman" w:hAnsi="Times New Roman" w:cs="Times New Roman"/>
          <w:sz w:val="24"/>
          <w:szCs w:val="24"/>
        </w:rPr>
        <w:t xml:space="preserve"> no tiem ir ierīkota atbilstoša infrastruktūra, kuru DA plāna darbības laikā nepieciešams uzturēt, kā arī nepieciešamības gadījumā atjaunot un pilnveidot.</w:t>
      </w:r>
      <w:r w:rsidR="00055B40" w:rsidRPr="00A07F29">
        <w:rPr>
          <w:rFonts w:ascii="Times New Roman" w:hAnsi="Times New Roman" w:cs="Times New Roman"/>
          <w:sz w:val="24"/>
          <w:szCs w:val="24"/>
        </w:rPr>
        <w:t xml:space="preserve"> Nepieciešams uzturēt, kā arī vajadzības gadījumā uzlabot, atjaunot vai pārbūvēt objektu apmeklēšanai un teritorijas apsaimniekošanai nepieciešamos ceļus</w:t>
      </w:r>
      <w:r w:rsidR="00AF6B41" w:rsidRPr="00A07F29">
        <w:rPr>
          <w:rFonts w:ascii="Times New Roman" w:hAnsi="Times New Roman" w:cs="Times New Roman"/>
          <w:sz w:val="24"/>
          <w:szCs w:val="24"/>
        </w:rPr>
        <w:t>, tostarp tiltus</w:t>
      </w:r>
      <w:r w:rsidR="00055B40" w:rsidRPr="00A07F29">
        <w:rPr>
          <w:rFonts w:ascii="Times New Roman" w:hAnsi="Times New Roman" w:cs="Times New Roman"/>
          <w:sz w:val="24"/>
          <w:szCs w:val="24"/>
        </w:rPr>
        <w:t>.</w:t>
      </w:r>
    </w:p>
    <w:p w14:paraId="34C46C0E" w14:textId="2EB131EA" w:rsidR="001E45A0" w:rsidRPr="00A07F29" w:rsidRDefault="00E8420C" w:rsidP="00DA7DC1">
      <w:pPr>
        <w:spacing w:before="120" w:after="12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t xml:space="preserve">Atbilstoši DA plāna izstrādes laikā saņemtajiem </w:t>
      </w:r>
      <w:r w:rsidR="00770B3C" w:rsidRPr="00A07F29">
        <w:rPr>
          <w:rFonts w:ascii="Times New Roman" w:hAnsi="Times New Roman" w:cs="Times New Roman"/>
          <w:sz w:val="24"/>
          <w:szCs w:val="24"/>
        </w:rPr>
        <w:t>un izvērtētajiem priekšlikumiem DA plānā</w:t>
      </w:r>
      <w:r w:rsidRPr="00A07F29">
        <w:rPr>
          <w:rFonts w:ascii="Times New Roman" w:hAnsi="Times New Roman" w:cs="Times New Roman"/>
          <w:sz w:val="24"/>
          <w:szCs w:val="24"/>
        </w:rPr>
        <w:t xml:space="preserve"> </w:t>
      </w:r>
      <w:r w:rsidR="00C752F6" w:rsidRPr="00A07F29">
        <w:rPr>
          <w:rFonts w:ascii="Times New Roman" w:hAnsi="Times New Roman" w:cs="Times New Roman"/>
          <w:sz w:val="24"/>
          <w:szCs w:val="24"/>
        </w:rPr>
        <w:t>ieteikta</w:t>
      </w:r>
      <w:r w:rsidRPr="00A07F29">
        <w:rPr>
          <w:rFonts w:ascii="Times New Roman" w:hAnsi="Times New Roman" w:cs="Times New Roman"/>
          <w:sz w:val="24"/>
          <w:szCs w:val="24"/>
        </w:rPr>
        <w:t xml:space="preserve"> arī jaunas infrastruktūras ierīkošana, lai apmeklētājiem dotu iespēju iepazīt AAA “Augšdaugava” vērtības, vienlaikus mazinot apmeklētāju ietekmi un veicinot vietējo uzņēmējdarbību.</w:t>
      </w:r>
      <w:r w:rsidR="00C752F6" w:rsidRPr="00A07F29">
        <w:rPr>
          <w:rFonts w:ascii="Times New Roman" w:hAnsi="Times New Roman" w:cs="Times New Roman"/>
          <w:sz w:val="24"/>
          <w:szCs w:val="24"/>
        </w:rPr>
        <w:t xml:space="preserve"> Īstenojot DA plānā iekļautos pasākumus, iespējams precizēt infrastruktūras objektu atrašanās vietas un tehniskos risinājumus.</w:t>
      </w:r>
    </w:p>
    <w:p w14:paraId="3C376D4F" w14:textId="77777777" w:rsidR="008D1E81" w:rsidRPr="00A07F29" w:rsidRDefault="008D1E81" w:rsidP="00DA7DC1">
      <w:pPr>
        <w:spacing w:before="120" w:after="12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t>Publisko apskates objektu infrastruktūru ieteicams veidot pieejamu arī cilvēkiem ar kustību traucējumiem.</w:t>
      </w:r>
    </w:p>
    <w:p w14:paraId="5ED4977A" w14:textId="23518F3D" w:rsidR="00AD66B1" w:rsidRPr="00A07F29" w:rsidRDefault="009D6C8E" w:rsidP="00DA7DC1">
      <w:pPr>
        <w:spacing w:before="120" w:after="12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lastRenderedPageBreak/>
        <w:t>Publisko apskates un atpūtas objektu sanitāros mezglus (tualetes, dušas) ieteicams pieslēgt pilsētas vai ciema kanalizācijas un ūdensapgādes tīklam, ņemot vērā tehniskās iespējas.</w:t>
      </w:r>
    </w:p>
    <w:p w14:paraId="0965F3CE" w14:textId="1A7F4324" w:rsidR="001E45A0" w:rsidRPr="00A07F29" w:rsidRDefault="007A16CF" w:rsidP="00DA7DC1">
      <w:pPr>
        <w:spacing w:before="120" w:after="12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t>Tāpat arī DA plāna 5.1.2.</w:t>
      </w:r>
      <w:r w:rsidR="00745347">
        <w:rPr>
          <w:rFonts w:ascii="Times New Roman" w:hAnsi="Times New Roman" w:cs="Times New Roman"/>
          <w:sz w:val="24"/>
          <w:szCs w:val="24"/>
        </w:rPr>
        <w:t xml:space="preserve"> un 5.1.2a.</w:t>
      </w:r>
      <w:r w:rsidR="00583AEA">
        <w:rPr>
          <w:rFonts w:ascii="Times New Roman" w:hAnsi="Times New Roman" w:cs="Times New Roman"/>
          <w:sz w:val="24"/>
          <w:szCs w:val="24"/>
        </w:rPr>
        <w:t> </w:t>
      </w:r>
      <w:r w:rsidRPr="00A07F29">
        <w:rPr>
          <w:rFonts w:ascii="Times New Roman" w:hAnsi="Times New Roman" w:cs="Times New Roman"/>
          <w:sz w:val="24"/>
          <w:szCs w:val="24"/>
        </w:rPr>
        <w:t>piel</w:t>
      </w:r>
      <w:r w:rsidR="008F2913" w:rsidRPr="00A07F29">
        <w:rPr>
          <w:rFonts w:ascii="Times New Roman" w:hAnsi="Times New Roman" w:cs="Times New Roman"/>
          <w:sz w:val="24"/>
          <w:szCs w:val="24"/>
        </w:rPr>
        <w:t xml:space="preserve">ikumā </w:t>
      </w:r>
      <w:r w:rsidR="004102FB" w:rsidRPr="00A07F29">
        <w:rPr>
          <w:rFonts w:ascii="Times New Roman" w:hAnsi="Times New Roman" w:cs="Times New Roman"/>
          <w:sz w:val="24"/>
          <w:szCs w:val="24"/>
        </w:rPr>
        <w:t xml:space="preserve">ir norādītas </w:t>
      </w:r>
      <w:r w:rsidR="008F2913" w:rsidRPr="00A07F29">
        <w:rPr>
          <w:rFonts w:ascii="Times New Roman" w:hAnsi="Times New Roman" w:cs="Times New Roman"/>
          <w:sz w:val="24"/>
          <w:szCs w:val="24"/>
        </w:rPr>
        <w:t xml:space="preserve">potenciālās rekreācijas teritorijas </w:t>
      </w:r>
      <w:r w:rsidR="004102FB" w:rsidRPr="00A07F29">
        <w:rPr>
          <w:rFonts w:ascii="Times New Roman" w:hAnsi="Times New Roman" w:cs="Times New Roman"/>
          <w:sz w:val="24"/>
          <w:szCs w:val="24"/>
        </w:rPr>
        <w:t xml:space="preserve">– </w:t>
      </w:r>
      <w:r w:rsidR="008F2913" w:rsidRPr="00A07F29">
        <w:rPr>
          <w:rFonts w:ascii="Times New Roman" w:hAnsi="Times New Roman" w:cs="Times New Roman"/>
          <w:sz w:val="24"/>
          <w:szCs w:val="24"/>
        </w:rPr>
        <w:t>zemes</w:t>
      </w:r>
      <w:r w:rsidR="004102FB" w:rsidRPr="00A07F29">
        <w:rPr>
          <w:rFonts w:ascii="Times New Roman" w:hAnsi="Times New Roman" w:cs="Times New Roman"/>
          <w:sz w:val="24"/>
          <w:szCs w:val="24"/>
        </w:rPr>
        <w:t xml:space="preserve"> vienības, kurās nav konstatētas jutīgas un apdraudētas sugas vai biotopi, bet tās atrodas tūristiem viegli pieejamās vietās, pie ceļiem vai citiem tūrisma objektiem. Līdz ar to, attīstot tūrisma infrastruktūru un plānojot tūristu plūsmas novirzīšanu no jutīgām teritorijām, šajās vietās </w:t>
      </w:r>
      <w:r w:rsidR="008F2913" w:rsidRPr="00A07F29">
        <w:rPr>
          <w:rFonts w:ascii="Times New Roman" w:hAnsi="Times New Roman" w:cs="Times New Roman"/>
          <w:sz w:val="24"/>
          <w:szCs w:val="24"/>
        </w:rPr>
        <w:t xml:space="preserve">ieteicams </w:t>
      </w:r>
      <w:r w:rsidR="004102FB" w:rsidRPr="00A07F29">
        <w:rPr>
          <w:rFonts w:ascii="Times New Roman" w:hAnsi="Times New Roman" w:cs="Times New Roman"/>
          <w:sz w:val="24"/>
          <w:szCs w:val="24"/>
        </w:rPr>
        <w:t xml:space="preserve">veikt ainavas kopšanas pasākumus </w:t>
      </w:r>
      <w:r w:rsidR="008F2913" w:rsidRPr="00A07F29">
        <w:rPr>
          <w:rFonts w:ascii="Times New Roman" w:hAnsi="Times New Roman" w:cs="Times New Roman"/>
          <w:sz w:val="24"/>
          <w:szCs w:val="24"/>
        </w:rPr>
        <w:t xml:space="preserve">un izveidot dažāda mēroga </w:t>
      </w:r>
      <w:r w:rsidR="001E45A0" w:rsidRPr="00A07F29">
        <w:rPr>
          <w:rFonts w:ascii="Times New Roman" w:hAnsi="Times New Roman" w:cs="Times New Roman"/>
          <w:sz w:val="24"/>
          <w:szCs w:val="24"/>
        </w:rPr>
        <w:t>atpūtas un vides izziņas i</w:t>
      </w:r>
      <w:r w:rsidR="004102FB" w:rsidRPr="00A07F29">
        <w:rPr>
          <w:rFonts w:ascii="Times New Roman" w:hAnsi="Times New Roman" w:cs="Times New Roman"/>
          <w:sz w:val="24"/>
          <w:szCs w:val="24"/>
        </w:rPr>
        <w:t>nfrastruktūras objektus</w:t>
      </w:r>
      <w:r w:rsidR="008F2913" w:rsidRPr="00A07F29">
        <w:rPr>
          <w:rFonts w:ascii="Times New Roman" w:hAnsi="Times New Roman" w:cs="Times New Roman"/>
          <w:sz w:val="24"/>
          <w:szCs w:val="24"/>
        </w:rPr>
        <w:t>, ņemot vērā vietas specifiku un iekļaujot objektus apkārtējā ainav</w:t>
      </w:r>
      <w:r w:rsidR="001E45A0" w:rsidRPr="00A07F29">
        <w:rPr>
          <w:rFonts w:ascii="Times New Roman" w:hAnsi="Times New Roman" w:cs="Times New Roman"/>
          <w:sz w:val="24"/>
          <w:szCs w:val="24"/>
        </w:rPr>
        <w:t>ā.</w:t>
      </w:r>
    </w:p>
    <w:p w14:paraId="2E029D71" w14:textId="4CB98E1F" w:rsidR="00C752F6" w:rsidRPr="00A07F29" w:rsidRDefault="00E8420C" w:rsidP="00DA7DC1">
      <w:pPr>
        <w:spacing w:before="120" w:after="12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t xml:space="preserve">Tā kā </w:t>
      </w:r>
      <w:r w:rsidR="002803B1" w:rsidRPr="00A07F29">
        <w:rPr>
          <w:rFonts w:ascii="Times New Roman" w:hAnsi="Times New Roman" w:cs="Times New Roman"/>
          <w:sz w:val="24"/>
          <w:szCs w:val="24"/>
        </w:rPr>
        <w:t xml:space="preserve">DA plāna izstrādes laikā no zemju īpašniekiem un </w:t>
      </w:r>
      <w:proofErr w:type="spellStart"/>
      <w:r w:rsidR="002803B1" w:rsidRPr="00A07F29">
        <w:rPr>
          <w:rFonts w:ascii="Times New Roman" w:hAnsi="Times New Roman" w:cs="Times New Roman"/>
          <w:sz w:val="24"/>
          <w:szCs w:val="24"/>
        </w:rPr>
        <w:t>apsaimniekotājiem</w:t>
      </w:r>
      <w:proofErr w:type="spellEnd"/>
      <w:r w:rsidR="002803B1" w:rsidRPr="00A07F29">
        <w:rPr>
          <w:rFonts w:ascii="Times New Roman" w:hAnsi="Times New Roman" w:cs="Times New Roman"/>
          <w:sz w:val="24"/>
          <w:szCs w:val="24"/>
        </w:rPr>
        <w:t xml:space="preserve"> nav saņemti citi konkrēti priekšlikumi tūrisma infrastruktūras izveidei, DA plānā </w:t>
      </w:r>
      <w:r w:rsidRPr="00A07F29">
        <w:rPr>
          <w:rFonts w:ascii="Times New Roman" w:hAnsi="Times New Roman" w:cs="Times New Roman"/>
          <w:sz w:val="24"/>
          <w:szCs w:val="24"/>
        </w:rPr>
        <w:t xml:space="preserve">nevar norādīt konkrētas vietas un nepieciešamo infrastruktūru. Taču arī tad, ja tūrisma infrastruktūras objekti nav norādīti </w:t>
      </w:r>
      <w:r w:rsidR="00C752F6" w:rsidRPr="00A07F29">
        <w:rPr>
          <w:rFonts w:ascii="Times New Roman" w:hAnsi="Times New Roman" w:cs="Times New Roman"/>
          <w:sz w:val="24"/>
          <w:szCs w:val="24"/>
        </w:rPr>
        <w:t xml:space="preserve">DA plāna </w:t>
      </w:r>
      <w:r w:rsidRPr="00A07F29">
        <w:rPr>
          <w:rFonts w:ascii="Times New Roman" w:hAnsi="Times New Roman" w:cs="Times New Roman"/>
          <w:sz w:val="24"/>
          <w:szCs w:val="24"/>
        </w:rPr>
        <w:t>5.1.2.</w:t>
      </w:r>
      <w:r w:rsidR="00745347">
        <w:rPr>
          <w:rFonts w:ascii="Times New Roman" w:hAnsi="Times New Roman" w:cs="Times New Roman"/>
          <w:sz w:val="24"/>
          <w:szCs w:val="24"/>
        </w:rPr>
        <w:t xml:space="preserve"> un 5.1.2a.</w:t>
      </w:r>
      <w:r w:rsidR="006F796B">
        <w:rPr>
          <w:rFonts w:ascii="Times New Roman" w:hAnsi="Times New Roman" w:cs="Times New Roman"/>
          <w:sz w:val="24"/>
          <w:szCs w:val="24"/>
        </w:rPr>
        <w:t> </w:t>
      </w:r>
      <w:r w:rsidRPr="00A07F29">
        <w:rPr>
          <w:rFonts w:ascii="Times New Roman" w:hAnsi="Times New Roman" w:cs="Times New Roman"/>
          <w:sz w:val="24"/>
          <w:szCs w:val="24"/>
        </w:rPr>
        <w:t>pielikumā, to izbūvēšana</w:t>
      </w:r>
      <w:r w:rsidR="008E0EBE" w:rsidRPr="00A07F29">
        <w:rPr>
          <w:rFonts w:ascii="Times New Roman" w:hAnsi="Times New Roman" w:cs="Times New Roman"/>
          <w:sz w:val="24"/>
          <w:szCs w:val="24"/>
        </w:rPr>
        <w:t xml:space="preserve"> vai esošas infrastruktūras pilnveidoša</w:t>
      </w:r>
      <w:r w:rsidR="00153B29">
        <w:rPr>
          <w:rFonts w:ascii="Times New Roman" w:hAnsi="Times New Roman" w:cs="Times New Roman"/>
          <w:sz w:val="24"/>
          <w:szCs w:val="24"/>
        </w:rPr>
        <w:t>n</w:t>
      </w:r>
      <w:r w:rsidR="008E0EBE" w:rsidRPr="00A07F29">
        <w:rPr>
          <w:rFonts w:ascii="Times New Roman" w:hAnsi="Times New Roman" w:cs="Times New Roman"/>
          <w:sz w:val="24"/>
          <w:szCs w:val="24"/>
        </w:rPr>
        <w:t>a un at</w:t>
      </w:r>
      <w:r w:rsidR="002B6C17" w:rsidRPr="00A07F29">
        <w:rPr>
          <w:rFonts w:ascii="Times New Roman" w:hAnsi="Times New Roman" w:cs="Times New Roman"/>
          <w:sz w:val="24"/>
          <w:szCs w:val="24"/>
        </w:rPr>
        <w:t>t</w:t>
      </w:r>
      <w:r w:rsidR="008E0EBE" w:rsidRPr="00A07F29">
        <w:rPr>
          <w:rFonts w:ascii="Times New Roman" w:hAnsi="Times New Roman" w:cs="Times New Roman"/>
          <w:sz w:val="24"/>
          <w:szCs w:val="24"/>
        </w:rPr>
        <w:t>īstīšana</w:t>
      </w:r>
      <w:r w:rsidRPr="00A07F29">
        <w:rPr>
          <w:rFonts w:ascii="Times New Roman" w:hAnsi="Times New Roman" w:cs="Times New Roman"/>
          <w:sz w:val="24"/>
          <w:szCs w:val="24"/>
        </w:rPr>
        <w:t xml:space="preserve"> ir iespējama atbilstoši </w:t>
      </w:r>
      <w:r w:rsidR="00392A5B">
        <w:rPr>
          <w:rFonts w:ascii="Times New Roman" w:hAnsi="Times New Roman" w:cs="Times New Roman"/>
          <w:sz w:val="24"/>
          <w:szCs w:val="24"/>
        </w:rPr>
        <w:t>ĪADT</w:t>
      </w:r>
      <w:r w:rsidRPr="00A07F29">
        <w:rPr>
          <w:rFonts w:ascii="Times New Roman" w:hAnsi="Times New Roman" w:cs="Times New Roman"/>
          <w:sz w:val="24"/>
          <w:szCs w:val="24"/>
        </w:rPr>
        <w:t xml:space="preserve"> vispārējiem (vai </w:t>
      </w:r>
      <w:r w:rsidR="00C752F6" w:rsidRPr="00A07F29">
        <w:rPr>
          <w:rFonts w:ascii="Times New Roman" w:hAnsi="Times New Roman" w:cs="Times New Roman"/>
          <w:sz w:val="24"/>
          <w:szCs w:val="24"/>
        </w:rPr>
        <w:t xml:space="preserve">AAA “Augšdaugava” </w:t>
      </w:r>
      <w:r w:rsidRPr="00A07F29">
        <w:rPr>
          <w:rFonts w:ascii="Times New Roman" w:hAnsi="Times New Roman" w:cs="Times New Roman"/>
          <w:sz w:val="24"/>
          <w:szCs w:val="24"/>
        </w:rPr>
        <w:t>individuālajiem</w:t>
      </w:r>
      <w:r w:rsidR="00153B29">
        <w:rPr>
          <w:rFonts w:ascii="Times New Roman" w:hAnsi="Times New Roman" w:cs="Times New Roman"/>
          <w:sz w:val="24"/>
          <w:szCs w:val="24"/>
        </w:rPr>
        <w:t xml:space="preserve"> noteikumiem</w:t>
      </w:r>
      <w:r w:rsidRPr="00A07F29">
        <w:rPr>
          <w:rFonts w:ascii="Times New Roman" w:hAnsi="Times New Roman" w:cs="Times New Roman"/>
          <w:sz w:val="24"/>
          <w:szCs w:val="24"/>
        </w:rPr>
        <w:t>, ja tie tiks apstiprināti) aizsardzības un iz</w:t>
      </w:r>
      <w:r w:rsidR="00C752F6" w:rsidRPr="00A07F29">
        <w:rPr>
          <w:rFonts w:ascii="Times New Roman" w:hAnsi="Times New Roman" w:cs="Times New Roman"/>
          <w:sz w:val="24"/>
          <w:szCs w:val="24"/>
        </w:rPr>
        <w:t>mantošanas noteikumiem, kā arī respektējot teritorijas dabas vērtības un ainavu. AAA</w:t>
      </w:r>
      <w:r w:rsidR="002803B1" w:rsidRPr="00A07F29">
        <w:rPr>
          <w:rFonts w:ascii="Times New Roman" w:hAnsi="Times New Roman" w:cs="Times New Roman"/>
          <w:sz w:val="24"/>
          <w:szCs w:val="24"/>
        </w:rPr>
        <w:t xml:space="preserve"> </w:t>
      </w:r>
      <w:r w:rsidR="00C752F6" w:rsidRPr="00A07F29">
        <w:rPr>
          <w:rFonts w:ascii="Times New Roman" w:hAnsi="Times New Roman" w:cs="Times New Roman"/>
          <w:sz w:val="24"/>
          <w:szCs w:val="24"/>
        </w:rPr>
        <w:t xml:space="preserve">“Augšdaugava” </w:t>
      </w:r>
      <w:r w:rsidR="00241D54">
        <w:rPr>
          <w:rFonts w:ascii="Times New Roman" w:hAnsi="Times New Roman" w:cs="Times New Roman"/>
          <w:sz w:val="24"/>
          <w:szCs w:val="24"/>
        </w:rPr>
        <w:t>individuālo aizsardzības un izmantošanas notei</w:t>
      </w:r>
      <w:r w:rsidR="00D342F6">
        <w:rPr>
          <w:rFonts w:ascii="Times New Roman" w:hAnsi="Times New Roman" w:cs="Times New Roman"/>
          <w:sz w:val="24"/>
          <w:szCs w:val="24"/>
        </w:rPr>
        <w:t>kumu</w:t>
      </w:r>
      <w:r w:rsidR="002803B1" w:rsidRPr="00A07F29">
        <w:rPr>
          <w:rFonts w:ascii="Times New Roman" w:hAnsi="Times New Roman" w:cs="Times New Roman"/>
          <w:sz w:val="24"/>
          <w:szCs w:val="24"/>
        </w:rPr>
        <w:t xml:space="preserve"> projekta</w:t>
      </w:r>
      <w:r w:rsidR="00C752F6" w:rsidRPr="00A07F29">
        <w:rPr>
          <w:rFonts w:ascii="Times New Roman" w:hAnsi="Times New Roman" w:cs="Times New Roman"/>
          <w:sz w:val="24"/>
          <w:szCs w:val="24"/>
        </w:rPr>
        <w:t xml:space="preserve"> (skat. DA plāna 6.2.</w:t>
      </w:r>
      <w:r w:rsidR="00094170">
        <w:rPr>
          <w:rFonts w:ascii="Times New Roman" w:hAnsi="Times New Roman" w:cs="Times New Roman"/>
          <w:sz w:val="24"/>
          <w:szCs w:val="24"/>
        </w:rPr>
        <w:t> </w:t>
      </w:r>
      <w:r w:rsidR="00C752F6" w:rsidRPr="00A07F29">
        <w:rPr>
          <w:rFonts w:ascii="Times New Roman" w:hAnsi="Times New Roman" w:cs="Times New Roman"/>
          <w:sz w:val="24"/>
          <w:szCs w:val="24"/>
        </w:rPr>
        <w:t>nodaļu)</w:t>
      </w:r>
      <w:r w:rsidR="002803B1" w:rsidRPr="00A07F29">
        <w:rPr>
          <w:rFonts w:ascii="Times New Roman" w:hAnsi="Times New Roman" w:cs="Times New Roman"/>
          <w:sz w:val="24"/>
          <w:szCs w:val="24"/>
        </w:rPr>
        <w:t xml:space="preserve"> </w:t>
      </w:r>
      <w:r w:rsidR="00EC4674">
        <w:rPr>
          <w:rFonts w:ascii="Times New Roman" w:hAnsi="Times New Roman" w:cs="Times New Roman"/>
          <w:sz w:val="24"/>
          <w:szCs w:val="24"/>
        </w:rPr>
        <w:t>39</w:t>
      </w:r>
      <w:r w:rsidR="002803B1" w:rsidRPr="00C736DD">
        <w:rPr>
          <w:rFonts w:ascii="Times New Roman" w:hAnsi="Times New Roman" w:cs="Times New Roman"/>
          <w:sz w:val="24"/>
          <w:szCs w:val="24"/>
        </w:rPr>
        <w:t>.1.</w:t>
      </w:r>
      <w:r w:rsidR="000C3539" w:rsidRPr="00C736DD">
        <w:rPr>
          <w:rFonts w:ascii="Times New Roman" w:hAnsi="Times New Roman" w:cs="Times New Roman"/>
          <w:sz w:val="24"/>
          <w:szCs w:val="24"/>
        </w:rPr>
        <w:t> </w:t>
      </w:r>
      <w:r w:rsidR="002803B1" w:rsidRPr="00C736DD">
        <w:rPr>
          <w:rFonts w:ascii="Times New Roman" w:hAnsi="Times New Roman" w:cs="Times New Roman"/>
          <w:sz w:val="24"/>
          <w:szCs w:val="24"/>
        </w:rPr>
        <w:t>punkts</w:t>
      </w:r>
      <w:r w:rsidR="002803B1" w:rsidRPr="00A07F29">
        <w:rPr>
          <w:rFonts w:ascii="Times New Roman" w:hAnsi="Times New Roman" w:cs="Times New Roman"/>
          <w:sz w:val="24"/>
          <w:szCs w:val="24"/>
        </w:rPr>
        <w:t xml:space="preserve"> nosaka, ka ierīkot dabā publiski pieejamus dabas tūrisma un izziņas infrastruktūras objektus (piemēram, takas, maršrutus, skatu torņus, telšu vietas, stāvlaukumus, apmeklētāju centrus un informācijas centrus) var arī tad, ja tie nav paredzēti DA plānā, bet tas jādara ar </w:t>
      </w:r>
      <w:r w:rsidR="002803B1" w:rsidRPr="00B314DD">
        <w:rPr>
          <w:rFonts w:ascii="Times New Roman" w:hAnsi="Times New Roman" w:cs="Times New Roman"/>
          <w:sz w:val="24"/>
          <w:szCs w:val="24"/>
        </w:rPr>
        <w:t>D</w:t>
      </w:r>
      <w:r w:rsidR="00B314DD" w:rsidRPr="00B314DD">
        <w:rPr>
          <w:rFonts w:ascii="Times New Roman" w:hAnsi="Times New Roman" w:cs="Times New Roman"/>
          <w:sz w:val="24"/>
          <w:szCs w:val="24"/>
        </w:rPr>
        <w:t>AP</w:t>
      </w:r>
      <w:r w:rsidR="00C752F6" w:rsidRPr="00A07F29">
        <w:rPr>
          <w:rFonts w:ascii="Times New Roman" w:hAnsi="Times New Roman" w:cs="Times New Roman"/>
          <w:sz w:val="24"/>
          <w:szCs w:val="24"/>
        </w:rPr>
        <w:t xml:space="preserve"> rakstisku atļauju.</w:t>
      </w:r>
      <w:r w:rsidR="00EA3981" w:rsidRPr="00A07F29">
        <w:rPr>
          <w:rFonts w:ascii="Times New Roman" w:hAnsi="Times New Roman" w:cs="Times New Roman"/>
          <w:sz w:val="24"/>
          <w:szCs w:val="24"/>
        </w:rPr>
        <w:t xml:space="preserve"> Publisko atpūtas un tūrisma infrastruktūru ieteicams attīstīt vietās, kur nepieciešams mazināt antropogēno slodzi, kā arī vietās, kas piemērotas</w:t>
      </w:r>
      <w:r w:rsidR="00D65BBA" w:rsidRPr="00A07F29">
        <w:rPr>
          <w:rFonts w:ascii="Times New Roman" w:hAnsi="Times New Roman" w:cs="Times New Roman"/>
          <w:sz w:val="24"/>
          <w:szCs w:val="24"/>
        </w:rPr>
        <w:t xml:space="preserve"> </w:t>
      </w:r>
      <w:r w:rsidR="00EA3981" w:rsidRPr="00A07F29">
        <w:rPr>
          <w:rFonts w:ascii="Times New Roman" w:hAnsi="Times New Roman" w:cs="Times New Roman"/>
          <w:sz w:val="24"/>
          <w:szCs w:val="24"/>
        </w:rPr>
        <w:t>dabas vērtību popularizēšanai</w:t>
      </w:r>
      <w:r w:rsidR="00140ABC" w:rsidRPr="00A07F29">
        <w:rPr>
          <w:rFonts w:ascii="Times New Roman" w:hAnsi="Times New Roman" w:cs="Times New Roman"/>
          <w:sz w:val="24"/>
          <w:szCs w:val="24"/>
        </w:rPr>
        <w:t>, vides izziņai</w:t>
      </w:r>
      <w:r w:rsidR="00EA3981" w:rsidRPr="00A07F29">
        <w:rPr>
          <w:rFonts w:ascii="Times New Roman" w:hAnsi="Times New Roman" w:cs="Times New Roman"/>
          <w:sz w:val="24"/>
          <w:szCs w:val="24"/>
        </w:rPr>
        <w:t xml:space="preserve"> un vides izglītībai.</w:t>
      </w:r>
    </w:p>
    <w:p w14:paraId="79701F46" w14:textId="16BAC8CD" w:rsidR="002803B1" w:rsidRPr="00A07F29" w:rsidRDefault="00770B3C" w:rsidP="00116531">
      <w:pPr>
        <w:spacing w:before="120" w:after="12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t>D.1.</w:t>
      </w:r>
      <w:r w:rsidR="003825B0">
        <w:rPr>
          <w:rFonts w:ascii="Times New Roman" w:hAnsi="Times New Roman" w:cs="Times New Roman"/>
          <w:sz w:val="24"/>
          <w:szCs w:val="24"/>
        </w:rPr>
        <w:t> </w:t>
      </w:r>
      <w:r w:rsidRPr="00A07F29">
        <w:rPr>
          <w:rFonts w:ascii="Times New Roman" w:hAnsi="Times New Roman" w:cs="Times New Roman"/>
          <w:sz w:val="24"/>
          <w:szCs w:val="24"/>
        </w:rPr>
        <w:t xml:space="preserve">pasākumus </w:t>
      </w:r>
      <w:r w:rsidR="00121891" w:rsidRPr="00A07F29">
        <w:rPr>
          <w:rFonts w:ascii="Times New Roman" w:hAnsi="Times New Roman" w:cs="Times New Roman"/>
          <w:sz w:val="24"/>
          <w:szCs w:val="24"/>
        </w:rPr>
        <w:t>papildina i</w:t>
      </w:r>
      <w:r w:rsidR="002803B1" w:rsidRPr="00A07F29">
        <w:rPr>
          <w:rFonts w:ascii="Times New Roman" w:hAnsi="Times New Roman" w:cs="Times New Roman"/>
          <w:sz w:val="24"/>
          <w:szCs w:val="24"/>
        </w:rPr>
        <w:t>zglīt</w:t>
      </w:r>
      <w:r w:rsidRPr="00A07F29">
        <w:rPr>
          <w:rFonts w:ascii="Times New Roman" w:hAnsi="Times New Roman" w:cs="Times New Roman"/>
          <w:sz w:val="24"/>
          <w:szCs w:val="24"/>
        </w:rPr>
        <w:t xml:space="preserve">ojošie un informējošie pasākumi </w:t>
      </w:r>
      <w:r w:rsidR="002803B1" w:rsidRPr="00A07F29">
        <w:rPr>
          <w:rFonts w:ascii="Times New Roman" w:hAnsi="Times New Roman" w:cs="Times New Roman"/>
          <w:sz w:val="24"/>
          <w:szCs w:val="24"/>
        </w:rPr>
        <w:t>C.1.</w:t>
      </w:r>
      <w:r w:rsidR="00B565D0">
        <w:rPr>
          <w:rFonts w:ascii="Times New Roman" w:hAnsi="Times New Roman" w:cs="Times New Roman"/>
          <w:sz w:val="24"/>
          <w:szCs w:val="24"/>
        </w:rPr>
        <w:t> </w:t>
      </w:r>
      <w:r w:rsidR="002803B1" w:rsidRPr="00A07F29">
        <w:rPr>
          <w:rFonts w:ascii="Times New Roman" w:hAnsi="Times New Roman" w:cs="Times New Roman"/>
          <w:sz w:val="24"/>
          <w:szCs w:val="24"/>
        </w:rPr>
        <w:t xml:space="preserve">Atjaunot, izvietot un uzturēt </w:t>
      </w:r>
      <w:r w:rsidR="006E2BC0" w:rsidRPr="00A07F29">
        <w:rPr>
          <w:rFonts w:ascii="Times New Roman" w:hAnsi="Times New Roman" w:cs="Times New Roman"/>
          <w:sz w:val="24"/>
          <w:szCs w:val="24"/>
        </w:rPr>
        <w:t>informācijas stendus un norādes, kā arī pasākumi D.2.</w:t>
      </w:r>
      <w:r w:rsidR="00B565D0">
        <w:rPr>
          <w:rFonts w:ascii="Times New Roman" w:hAnsi="Times New Roman" w:cs="Times New Roman"/>
          <w:sz w:val="24"/>
          <w:szCs w:val="24"/>
        </w:rPr>
        <w:t> </w:t>
      </w:r>
      <w:r w:rsidR="006E2BC0" w:rsidRPr="00A07F29">
        <w:rPr>
          <w:rFonts w:ascii="Times New Roman" w:hAnsi="Times New Roman" w:cs="Times New Roman"/>
          <w:sz w:val="24"/>
          <w:szCs w:val="24"/>
        </w:rPr>
        <w:t>Ierīkot, pilnveidot un uzturēt takas, D.3.</w:t>
      </w:r>
      <w:r w:rsidR="00B565D0">
        <w:rPr>
          <w:rFonts w:ascii="Times New Roman" w:hAnsi="Times New Roman" w:cs="Times New Roman"/>
          <w:sz w:val="24"/>
          <w:szCs w:val="24"/>
        </w:rPr>
        <w:t> </w:t>
      </w:r>
      <w:r w:rsidR="006E2BC0" w:rsidRPr="00A07F29">
        <w:rPr>
          <w:rFonts w:ascii="Times New Roman" w:hAnsi="Times New Roman" w:cs="Times New Roman"/>
          <w:sz w:val="24"/>
          <w:szCs w:val="24"/>
        </w:rPr>
        <w:t>Ierīkot, pilnveidot un uzturēt atpūtas vietas, D.4.</w:t>
      </w:r>
      <w:r w:rsidR="00116531">
        <w:rPr>
          <w:rFonts w:ascii="Times New Roman" w:hAnsi="Times New Roman" w:cs="Times New Roman"/>
          <w:sz w:val="24"/>
          <w:szCs w:val="24"/>
        </w:rPr>
        <w:t> </w:t>
      </w:r>
      <w:r w:rsidR="006E2BC0" w:rsidRPr="00A07F29">
        <w:rPr>
          <w:rFonts w:ascii="Times New Roman" w:hAnsi="Times New Roman" w:cs="Times New Roman"/>
          <w:sz w:val="24"/>
          <w:szCs w:val="24"/>
        </w:rPr>
        <w:t xml:space="preserve">Ierīkot, pilnveidot un uzturēt </w:t>
      </w:r>
      <w:proofErr w:type="spellStart"/>
      <w:r w:rsidR="006E2BC0" w:rsidRPr="00A07F29">
        <w:rPr>
          <w:rFonts w:ascii="Times New Roman" w:hAnsi="Times New Roman" w:cs="Times New Roman"/>
          <w:sz w:val="24"/>
          <w:szCs w:val="24"/>
        </w:rPr>
        <w:t>ūdenstūrismam</w:t>
      </w:r>
      <w:proofErr w:type="spellEnd"/>
      <w:r w:rsidR="006E2BC0" w:rsidRPr="00A07F29">
        <w:rPr>
          <w:rFonts w:ascii="Times New Roman" w:hAnsi="Times New Roman" w:cs="Times New Roman"/>
          <w:sz w:val="24"/>
          <w:szCs w:val="24"/>
        </w:rPr>
        <w:t xml:space="preserve"> un atpūtai uz ūdens nepieciešamo infrastruktūru</w:t>
      </w:r>
      <w:r w:rsidR="00A92538" w:rsidRPr="00A07F29">
        <w:rPr>
          <w:rFonts w:ascii="Times New Roman" w:hAnsi="Times New Roman" w:cs="Times New Roman"/>
          <w:sz w:val="24"/>
          <w:szCs w:val="24"/>
        </w:rPr>
        <w:t>.</w:t>
      </w:r>
    </w:p>
    <w:p w14:paraId="09B60E9C" w14:textId="59B2DA41" w:rsidR="00D56C16" w:rsidRPr="00A07F29" w:rsidRDefault="00D56C16" w:rsidP="007808F4">
      <w:pPr>
        <w:keepNext/>
        <w:spacing w:before="240" w:after="120" w:line="240" w:lineRule="auto"/>
        <w:jc w:val="both"/>
        <w:rPr>
          <w:rFonts w:ascii="Times New Roman" w:hAnsi="Times New Roman" w:cs="Times New Roman"/>
          <w:b/>
          <w:i/>
          <w:sz w:val="24"/>
          <w:szCs w:val="24"/>
        </w:rPr>
      </w:pPr>
      <w:r w:rsidRPr="00A07F29">
        <w:rPr>
          <w:rFonts w:ascii="Times New Roman" w:hAnsi="Times New Roman" w:cs="Times New Roman"/>
          <w:b/>
          <w:i/>
          <w:sz w:val="24"/>
          <w:szCs w:val="24"/>
        </w:rPr>
        <w:t>D.1.1. Adamovas pilskalna skatu laukuma infrastruktūras uzturēšana</w:t>
      </w:r>
      <w:r w:rsidR="007808F4" w:rsidRPr="00A07F29">
        <w:rPr>
          <w:rFonts w:ascii="Times New Roman" w:hAnsi="Times New Roman" w:cs="Times New Roman"/>
          <w:b/>
          <w:i/>
          <w:sz w:val="24"/>
          <w:szCs w:val="24"/>
        </w:rPr>
        <w:t xml:space="preserve"> un pilnveidošana</w:t>
      </w:r>
    </w:p>
    <w:p w14:paraId="054BCD2C" w14:textId="3BCAC5BC" w:rsidR="003C2C5C" w:rsidRPr="00A07F29" w:rsidRDefault="00367514" w:rsidP="003C2C5C">
      <w:pPr>
        <w:spacing w:after="120" w:line="240" w:lineRule="auto"/>
        <w:ind w:firstLine="851"/>
        <w:jc w:val="both"/>
        <w:rPr>
          <w:rFonts w:ascii="Times New Roman" w:hAnsi="Times New Roman" w:cs="Times New Roman"/>
          <w:sz w:val="24"/>
          <w:szCs w:val="24"/>
        </w:rPr>
      </w:pPr>
      <w:r w:rsidRPr="00B97E42">
        <w:rPr>
          <w:rFonts w:ascii="Times New Roman" w:hAnsi="Times New Roman" w:cs="Times New Roman"/>
          <w:sz w:val="24"/>
          <w:szCs w:val="24"/>
        </w:rPr>
        <w:t>Adamo</w:t>
      </w:r>
      <w:r w:rsidR="003C2C5C" w:rsidRPr="00B97E42">
        <w:rPr>
          <w:rFonts w:ascii="Times New Roman" w:hAnsi="Times New Roman" w:cs="Times New Roman"/>
          <w:sz w:val="24"/>
          <w:szCs w:val="24"/>
        </w:rPr>
        <w:t>v</w:t>
      </w:r>
      <w:r w:rsidRPr="00B97E42">
        <w:rPr>
          <w:rFonts w:ascii="Times New Roman" w:hAnsi="Times New Roman" w:cs="Times New Roman"/>
          <w:sz w:val="24"/>
          <w:szCs w:val="24"/>
        </w:rPr>
        <w:t>as pilskalna</w:t>
      </w:r>
      <w:r w:rsidRPr="00A07F29">
        <w:rPr>
          <w:rFonts w:ascii="Times New Roman" w:hAnsi="Times New Roman" w:cs="Times New Roman"/>
          <w:sz w:val="24"/>
          <w:szCs w:val="24"/>
        </w:rPr>
        <w:t xml:space="preserve"> skatu la</w:t>
      </w:r>
      <w:r w:rsidR="00CB19BC" w:rsidRPr="00A07F29">
        <w:rPr>
          <w:rFonts w:ascii="Times New Roman" w:hAnsi="Times New Roman" w:cs="Times New Roman"/>
          <w:sz w:val="24"/>
          <w:szCs w:val="24"/>
        </w:rPr>
        <w:t xml:space="preserve">ukums un ar to saistītā infrastruktūra ir nozīmīgs objekts kā “Krāslavas vārti”. </w:t>
      </w:r>
      <w:r w:rsidR="00016548" w:rsidRPr="00A07F29">
        <w:rPr>
          <w:rFonts w:ascii="Times New Roman" w:hAnsi="Times New Roman" w:cs="Times New Roman"/>
          <w:sz w:val="24"/>
          <w:szCs w:val="24"/>
        </w:rPr>
        <w:t xml:space="preserve">Ieteicams attīstīt Adamovas pilskalna skatu laukuma infrastruktūru pie Adamovas dabas takas: izbūvēt ūdensapgādes un kanalizācijas sistēmu, apgaismojumu, </w:t>
      </w:r>
      <w:r w:rsidR="00CD4D72" w:rsidRPr="00A07F29">
        <w:rPr>
          <w:rFonts w:ascii="Times New Roman" w:hAnsi="Times New Roman" w:cs="Times New Roman"/>
          <w:sz w:val="24"/>
          <w:szCs w:val="24"/>
        </w:rPr>
        <w:t xml:space="preserve">uzlabot automašīnu </w:t>
      </w:r>
      <w:r w:rsidR="00016548" w:rsidRPr="00A07F29">
        <w:rPr>
          <w:rFonts w:ascii="Times New Roman" w:hAnsi="Times New Roman" w:cs="Times New Roman"/>
          <w:sz w:val="24"/>
          <w:szCs w:val="24"/>
        </w:rPr>
        <w:t>stāvlaukum</w:t>
      </w:r>
      <w:r w:rsidR="00CD4D72" w:rsidRPr="00A07F29">
        <w:rPr>
          <w:rFonts w:ascii="Times New Roman" w:hAnsi="Times New Roman" w:cs="Times New Roman"/>
          <w:sz w:val="24"/>
          <w:szCs w:val="24"/>
        </w:rPr>
        <w:t>u un ietves</w:t>
      </w:r>
      <w:r w:rsidR="00016548" w:rsidRPr="00A07F29">
        <w:rPr>
          <w:rFonts w:ascii="Times New Roman" w:hAnsi="Times New Roman" w:cs="Times New Roman"/>
          <w:sz w:val="24"/>
          <w:szCs w:val="24"/>
        </w:rPr>
        <w:t xml:space="preserve">, kā arī veikt citas aktivitātes, lai modernizētu apskates </w:t>
      </w:r>
      <w:r w:rsidR="00CD4D72" w:rsidRPr="00A07F29">
        <w:rPr>
          <w:rFonts w:ascii="Times New Roman" w:hAnsi="Times New Roman" w:cs="Times New Roman"/>
          <w:sz w:val="24"/>
          <w:szCs w:val="24"/>
        </w:rPr>
        <w:t xml:space="preserve">un atpūtas </w:t>
      </w:r>
      <w:r w:rsidR="00016548" w:rsidRPr="00A07F29">
        <w:rPr>
          <w:rFonts w:ascii="Times New Roman" w:hAnsi="Times New Roman" w:cs="Times New Roman"/>
          <w:sz w:val="24"/>
          <w:szCs w:val="24"/>
        </w:rPr>
        <w:t>viet</w:t>
      </w:r>
      <w:r w:rsidR="00CD4D72" w:rsidRPr="00A07F29">
        <w:rPr>
          <w:rFonts w:ascii="Times New Roman" w:hAnsi="Times New Roman" w:cs="Times New Roman"/>
          <w:sz w:val="24"/>
          <w:szCs w:val="24"/>
        </w:rPr>
        <w:t>as</w:t>
      </w:r>
      <w:r w:rsidR="00016548" w:rsidRPr="00A07F29">
        <w:rPr>
          <w:rFonts w:ascii="Times New Roman" w:hAnsi="Times New Roman" w:cs="Times New Roman"/>
          <w:sz w:val="24"/>
          <w:szCs w:val="24"/>
        </w:rPr>
        <w:t xml:space="preserve"> infrastruktūru.</w:t>
      </w:r>
      <w:r w:rsidR="00CB19BC" w:rsidRPr="00A07F29">
        <w:rPr>
          <w:rFonts w:ascii="Times New Roman" w:hAnsi="Times New Roman" w:cs="Times New Roman"/>
          <w:sz w:val="24"/>
          <w:szCs w:val="24"/>
        </w:rPr>
        <w:t xml:space="preserve"> No skatu laukuma nepieciešams atsegt un uzturēt skatu uz Daugavu</w:t>
      </w:r>
      <w:r w:rsidR="003C2C5C" w:rsidRPr="00A07F29">
        <w:rPr>
          <w:rFonts w:ascii="Times New Roman" w:hAnsi="Times New Roman" w:cs="Times New Roman"/>
          <w:sz w:val="24"/>
          <w:szCs w:val="24"/>
        </w:rPr>
        <w:t>, ko pašlaik aizsedz egle u.c. apaugums</w:t>
      </w:r>
      <w:r w:rsidR="00CB19BC" w:rsidRPr="00A07F29">
        <w:rPr>
          <w:rFonts w:ascii="Times New Roman" w:hAnsi="Times New Roman" w:cs="Times New Roman"/>
          <w:sz w:val="24"/>
          <w:szCs w:val="24"/>
        </w:rPr>
        <w:t xml:space="preserve"> (skat. E.1.1.</w:t>
      </w:r>
      <w:r w:rsidR="00D86CB7">
        <w:rPr>
          <w:rFonts w:ascii="Times New Roman" w:hAnsi="Times New Roman" w:cs="Times New Roman"/>
          <w:sz w:val="24"/>
          <w:szCs w:val="24"/>
        </w:rPr>
        <w:t> </w:t>
      </w:r>
      <w:r w:rsidR="00CB19BC" w:rsidRPr="00A07F29">
        <w:rPr>
          <w:rFonts w:ascii="Times New Roman" w:hAnsi="Times New Roman" w:cs="Times New Roman"/>
          <w:sz w:val="24"/>
          <w:szCs w:val="24"/>
        </w:rPr>
        <w:t>pasākumu, 5.3.2.</w:t>
      </w:r>
      <w:r w:rsidR="00D86CB7">
        <w:rPr>
          <w:rFonts w:ascii="Times New Roman" w:hAnsi="Times New Roman" w:cs="Times New Roman"/>
          <w:sz w:val="24"/>
          <w:szCs w:val="24"/>
        </w:rPr>
        <w:t> </w:t>
      </w:r>
      <w:r w:rsidR="00CB19BC" w:rsidRPr="00A07F29">
        <w:rPr>
          <w:rFonts w:ascii="Times New Roman" w:hAnsi="Times New Roman" w:cs="Times New Roman"/>
          <w:sz w:val="24"/>
          <w:szCs w:val="24"/>
        </w:rPr>
        <w:t>tabulā Nr.</w:t>
      </w:r>
      <w:r w:rsidR="00D86CB7">
        <w:rPr>
          <w:rFonts w:ascii="Times New Roman" w:hAnsi="Times New Roman" w:cs="Times New Roman"/>
          <w:sz w:val="24"/>
          <w:szCs w:val="24"/>
        </w:rPr>
        <w:t> </w:t>
      </w:r>
      <w:r w:rsidR="00CB19BC" w:rsidRPr="00A07F29">
        <w:rPr>
          <w:rFonts w:ascii="Times New Roman" w:hAnsi="Times New Roman" w:cs="Times New Roman"/>
          <w:sz w:val="24"/>
          <w:szCs w:val="24"/>
        </w:rPr>
        <w:t>30). Skatu uz Daugavu nepieciešams atsegt arī atsevišķās viet</w:t>
      </w:r>
      <w:r w:rsidR="003C2C5C" w:rsidRPr="00A07F29">
        <w:rPr>
          <w:rFonts w:ascii="Times New Roman" w:hAnsi="Times New Roman" w:cs="Times New Roman"/>
          <w:sz w:val="24"/>
          <w:szCs w:val="24"/>
        </w:rPr>
        <w:t>ās no takām.</w:t>
      </w:r>
    </w:p>
    <w:p w14:paraId="4A5BDD46" w14:textId="72AF48B4" w:rsidR="00D56C16" w:rsidRPr="00A07F29" w:rsidRDefault="00D56C16" w:rsidP="00D56C16">
      <w:pPr>
        <w:spacing w:after="12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t>Gar Daugavu plānots ierīkot kāpnes uz Adamovas skatu laukumu, kas savienotu to ar Krāslavas promenādi</w:t>
      </w:r>
      <w:r w:rsidR="002E7148" w:rsidRPr="00A07F29">
        <w:rPr>
          <w:rFonts w:ascii="Times New Roman" w:hAnsi="Times New Roman" w:cs="Times New Roman"/>
          <w:sz w:val="24"/>
          <w:szCs w:val="24"/>
        </w:rPr>
        <w:t xml:space="preserve"> (</w:t>
      </w:r>
      <w:r w:rsidR="00B40E7B">
        <w:rPr>
          <w:rFonts w:ascii="Times New Roman" w:hAnsi="Times New Roman" w:cs="Times New Roman"/>
          <w:sz w:val="24"/>
          <w:szCs w:val="24"/>
        </w:rPr>
        <w:t xml:space="preserve">skat. </w:t>
      </w:r>
      <w:r w:rsidR="002E7148" w:rsidRPr="00A07F29">
        <w:rPr>
          <w:rFonts w:ascii="Times New Roman" w:hAnsi="Times New Roman" w:cs="Times New Roman"/>
          <w:sz w:val="24"/>
          <w:szCs w:val="24"/>
        </w:rPr>
        <w:t>5.3.</w:t>
      </w:r>
      <w:r w:rsidR="00D12471">
        <w:rPr>
          <w:rFonts w:ascii="Times New Roman" w:hAnsi="Times New Roman" w:cs="Times New Roman"/>
          <w:sz w:val="24"/>
          <w:szCs w:val="24"/>
        </w:rPr>
        <w:t>20</w:t>
      </w:r>
      <w:r w:rsidR="002E7148" w:rsidRPr="00A07F29">
        <w:rPr>
          <w:rFonts w:ascii="Times New Roman" w:hAnsi="Times New Roman" w:cs="Times New Roman"/>
          <w:sz w:val="24"/>
          <w:szCs w:val="24"/>
        </w:rPr>
        <w:t>.</w:t>
      </w:r>
      <w:r w:rsidR="00B40E7B">
        <w:rPr>
          <w:rFonts w:ascii="Times New Roman" w:hAnsi="Times New Roman" w:cs="Times New Roman"/>
          <w:sz w:val="24"/>
          <w:szCs w:val="24"/>
        </w:rPr>
        <w:t> </w:t>
      </w:r>
      <w:r w:rsidR="002E7148" w:rsidRPr="00A07F29">
        <w:rPr>
          <w:rFonts w:ascii="Times New Roman" w:hAnsi="Times New Roman" w:cs="Times New Roman"/>
          <w:sz w:val="24"/>
          <w:szCs w:val="24"/>
        </w:rPr>
        <w:t>att</w:t>
      </w:r>
      <w:r w:rsidR="00B40E7B">
        <w:rPr>
          <w:rFonts w:ascii="Times New Roman" w:hAnsi="Times New Roman" w:cs="Times New Roman"/>
          <w:sz w:val="24"/>
          <w:szCs w:val="24"/>
        </w:rPr>
        <w:t>ēls</w:t>
      </w:r>
      <w:r w:rsidR="002E7148" w:rsidRPr="00A07F29">
        <w:rPr>
          <w:rFonts w:ascii="Times New Roman" w:hAnsi="Times New Roman" w:cs="Times New Roman"/>
          <w:sz w:val="24"/>
          <w:szCs w:val="24"/>
        </w:rPr>
        <w:t>).</w:t>
      </w:r>
      <w:r w:rsidR="00CD4D72" w:rsidRPr="00A07F29">
        <w:rPr>
          <w:rFonts w:ascii="Times New Roman" w:hAnsi="Times New Roman" w:cs="Times New Roman"/>
          <w:sz w:val="24"/>
          <w:szCs w:val="24"/>
        </w:rPr>
        <w:t xml:space="preserve"> Iespējams plānot un izbūvēt arī trošu </w:t>
      </w:r>
      <w:r w:rsidR="00E02CE5" w:rsidRPr="00A07F29">
        <w:rPr>
          <w:rFonts w:ascii="Times New Roman" w:hAnsi="Times New Roman" w:cs="Times New Roman"/>
          <w:sz w:val="24"/>
          <w:szCs w:val="24"/>
        </w:rPr>
        <w:t>ceļu</w:t>
      </w:r>
      <w:r w:rsidR="00CD4D72" w:rsidRPr="00A07F29">
        <w:rPr>
          <w:rFonts w:ascii="Times New Roman" w:hAnsi="Times New Roman" w:cs="Times New Roman"/>
          <w:sz w:val="24"/>
          <w:szCs w:val="24"/>
        </w:rPr>
        <w:t xml:space="preserve"> pāri Daugavai.</w:t>
      </w:r>
    </w:p>
    <w:p w14:paraId="414496D4" w14:textId="28F8D160" w:rsidR="00D56C16" w:rsidRPr="00A07F29" w:rsidRDefault="002E7148" w:rsidP="00D56C16">
      <w:pPr>
        <w:spacing w:after="120" w:line="240" w:lineRule="auto"/>
        <w:jc w:val="both"/>
        <w:rPr>
          <w:rFonts w:ascii="Times New Roman" w:hAnsi="Times New Roman" w:cs="Times New Roman"/>
          <w:sz w:val="24"/>
          <w:szCs w:val="24"/>
        </w:rPr>
      </w:pPr>
      <w:r w:rsidRPr="00A07F29">
        <w:rPr>
          <w:noProof/>
          <w:lang w:eastAsia="lv-LV"/>
        </w:rPr>
        <w:lastRenderedPageBreak/>
        <w:drawing>
          <wp:inline distT="0" distB="0" distL="0" distR="0" wp14:anchorId="6C852B6F" wp14:editId="4A87E3BA">
            <wp:extent cx="5731510" cy="4051935"/>
            <wp:effectExtent l="0" t="0" r="2540" b="5715"/>
            <wp:docPr id="918145586" name="Picture 918145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8145586"/>
                    <pic:cNvPicPr/>
                  </pic:nvPicPr>
                  <pic:blipFill>
                    <a:blip r:embed="rId118">
                      <a:extLst>
                        <a:ext uri="{28A0092B-C50C-407E-A947-70E740481C1C}">
                          <a14:useLocalDpi xmlns:a14="http://schemas.microsoft.com/office/drawing/2010/main" val="0"/>
                        </a:ext>
                      </a:extLst>
                    </a:blip>
                    <a:stretch>
                      <a:fillRect/>
                    </a:stretch>
                  </pic:blipFill>
                  <pic:spPr>
                    <a:xfrm>
                      <a:off x="0" y="0"/>
                      <a:ext cx="5731510" cy="4051935"/>
                    </a:xfrm>
                    <a:prstGeom prst="rect">
                      <a:avLst/>
                    </a:prstGeom>
                  </pic:spPr>
                </pic:pic>
              </a:graphicData>
            </a:graphic>
          </wp:inline>
        </w:drawing>
      </w:r>
    </w:p>
    <w:p w14:paraId="136581DE" w14:textId="125C42E8" w:rsidR="002E7148" w:rsidRPr="00D12471" w:rsidRDefault="002E7148" w:rsidP="00D56C16">
      <w:pPr>
        <w:spacing w:after="120" w:line="240" w:lineRule="auto"/>
        <w:jc w:val="both"/>
        <w:rPr>
          <w:rFonts w:ascii="Times New Roman" w:hAnsi="Times New Roman" w:cs="Times New Roman"/>
          <w:sz w:val="20"/>
          <w:szCs w:val="20"/>
        </w:rPr>
      </w:pPr>
      <w:r w:rsidRPr="00D12471">
        <w:rPr>
          <w:rFonts w:ascii="Times New Roman" w:eastAsia="Times New Roman" w:hAnsi="Times New Roman" w:cs="Times New Roman"/>
          <w:bCs/>
          <w:color w:val="000000"/>
          <w:sz w:val="20"/>
          <w:szCs w:val="20"/>
        </w:rPr>
        <w:t>5.3.</w:t>
      </w:r>
      <w:r w:rsidR="00D12471" w:rsidRPr="00D12471">
        <w:rPr>
          <w:rFonts w:ascii="Times New Roman" w:eastAsia="Times New Roman" w:hAnsi="Times New Roman" w:cs="Times New Roman"/>
          <w:bCs/>
          <w:color w:val="000000"/>
          <w:sz w:val="20"/>
          <w:szCs w:val="20"/>
        </w:rPr>
        <w:t>20</w:t>
      </w:r>
      <w:r w:rsidRPr="00D12471">
        <w:rPr>
          <w:rFonts w:ascii="Times New Roman" w:eastAsia="Times New Roman" w:hAnsi="Times New Roman" w:cs="Times New Roman"/>
          <w:bCs/>
          <w:color w:val="000000"/>
          <w:sz w:val="20"/>
          <w:szCs w:val="20"/>
        </w:rPr>
        <w:t>.</w:t>
      </w:r>
      <w:r w:rsidR="00D12471" w:rsidRPr="00D12471">
        <w:rPr>
          <w:rFonts w:ascii="Times New Roman" w:eastAsia="Times New Roman" w:hAnsi="Times New Roman" w:cs="Times New Roman"/>
          <w:bCs/>
          <w:color w:val="000000"/>
          <w:sz w:val="20"/>
          <w:szCs w:val="20"/>
        </w:rPr>
        <w:t> </w:t>
      </w:r>
      <w:r w:rsidRPr="00D12471">
        <w:rPr>
          <w:rFonts w:ascii="Times New Roman" w:eastAsia="Times New Roman" w:hAnsi="Times New Roman" w:cs="Times New Roman"/>
          <w:bCs/>
          <w:color w:val="000000"/>
          <w:sz w:val="20"/>
          <w:szCs w:val="20"/>
        </w:rPr>
        <w:t>att</w:t>
      </w:r>
      <w:r w:rsidR="00D12471" w:rsidRPr="00D12471">
        <w:rPr>
          <w:rFonts w:ascii="Times New Roman" w:eastAsia="Times New Roman" w:hAnsi="Times New Roman" w:cs="Times New Roman"/>
          <w:bCs/>
          <w:color w:val="000000"/>
          <w:sz w:val="20"/>
          <w:szCs w:val="20"/>
        </w:rPr>
        <w:t>ēls</w:t>
      </w:r>
      <w:r w:rsidRPr="00D12471">
        <w:rPr>
          <w:rFonts w:ascii="Times New Roman" w:eastAsia="Times New Roman" w:hAnsi="Times New Roman" w:cs="Times New Roman"/>
          <w:bCs/>
          <w:color w:val="000000"/>
          <w:sz w:val="20"/>
          <w:szCs w:val="20"/>
        </w:rPr>
        <w:t xml:space="preserve">. </w:t>
      </w:r>
      <w:proofErr w:type="spellStart"/>
      <w:r w:rsidRPr="00D12471">
        <w:rPr>
          <w:rFonts w:ascii="Times New Roman" w:eastAsia="Times New Roman" w:hAnsi="Times New Roman" w:cs="Times New Roman"/>
          <w:bCs/>
          <w:color w:val="000000"/>
          <w:sz w:val="20"/>
          <w:szCs w:val="20"/>
        </w:rPr>
        <w:t>Intrastruktūras</w:t>
      </w:r>
      <w:proofErr w:type="spellEnd"/>
      <w:r w:rsidRPr="00D12471">
        <w:rPr>
          <w:rFonts w:ascii="Times New Roman" w:eastAsia="Times New Roman" w:hAnsi="Times New Roman" w:cs="Times New Roman"/>
          <w:bCs/>
          <w:color w:val="000000"/>
          <w:sz w:val="20"/>
          <w:szCs w:val="20"/>
        </w:rPr>
        <w:t xml:space="preserve"> pilnveidošana pie Adamovas pilskalna.</w:t>
      </w:r>
    </w:p>
    <w:p w14:paraId="7F5B1908" w14:textId="73B28150" w:rsidR="00D56C16" w:rsidRPr="00A07F29" w:rsidRDefault="00D56C16" w:rsidP="008F07A5">
      <w:pPr>
        <w:keepNext/>
        <w:spacing w:before="240" w:after="120" w:line="240" w:lineRule="auto"/>
        <w:jc w:val="both"/>
        <w:rPr>
          <w:rFonts w:ascii="Times New Roman" w:hAnsi="Times New Roman" w:cs="Times New Roman"/>
          <w:b/>
          <w:i/>
          <w:sz w:val="24"/>
          <w:szCs w:val="24"/>
        </w:rPr>
      </w:pPr>
      <w:r w:rsidRPr="00A07F29">
        <w:rPr>
          <w:rFonts w:ascii="Times New Roman" w:hAnsi="Times New Roman" w:cs="Times New Roman"/>
          <w:b/>
          <w:i/>
          <w:sz w:val="24"/>
          <w:szCs w:val="24"/>
        </w:rPr>
        <w:t>D.1.2. Dinaburgas kultūrvēsturiskā kompleksa infrastruktūras uzturēšana</w:t>
      </w:r>
      <w:r w:rsidR="007808F4" w:rsidRPr="00A07F29">
        <w:rPr>
          <w:rFonts w:ascii="Times New Roman" w:hAnsi="Times New Roman" w:cs="Times New Roman"/>
          <w:b/>
          <w:i/>
          <w:sz w:val="24"/>
          <w:szCs w:val="24"/>
        </w:rPr>
        <w:t xml:space="preserve"> </w:t>
      </w:r>
      <w:r w:rsidR="00CC2552" w:rsidRPr="00A07F29">
        <w:rPr>
          <w:rFonts w:ascii="Times New Roman" w:hAnsi="Times New Roman" w:cs="Times New Roman"/>
          <w:b/>
          <w:i/>
          <w:sz w:val="24"/>
          <w:szCs w:val="24"/>
        </w:rPr>
        <w:t>un attīstība</w:t>
      </w:r>
    </w:p>
    <w:p w14:paraId="64DC35D3" w14:textId="05A29F14" w:rsidR="00D56C16" w:rsidRPr="00A07F29" w:rsidRDefault="00D56C16" w:rsidP="00D56C16">
      <w:pPr>
        <w:spacing w:after="12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t>Dinabur</w:t>
      </w:r>
      <w:r w:rsidR="00001A15" w:rsidRPr="00A07F29">
        <w:rPr>
          <w:rFonts w:ascii="Times New Roman" w:hAnsi="Times New Roman" w:cs="Times New Roman"/>
          <w:sz w:val="24"/>
          <w:szCs w:val="24"/>
        </w:rPr>
        <w:t>gas kultūrvēsturiskajā kompleksā</w:t>
      </w:r>
      <w:r w:rsidRPr="00A07F29">
        <w:rPr>
          <w:rFonts w:ascii="Times New Roman" w:hAnsi="Times New Roman" w:cs="Times New Roman"/>
          <w:sz w:val="24"/>
          <w:szCs w:val="24"/>
        </w:rPr>
        <w:t xml:space="preserve"> infrastruktūru veido automašīnu stāvlaukums, taka ar koka segumu un kāpnēm, veselības taka, skatu platforma</w:t>
      </w:r>
      <w:r w:rsidR="003134DB" w:rsidRPr="00A07F29">
        <w:rPr>
          <w:rFonts w:ascii="Times New Roman" w:hAnsi="Times New Roman" w:cs="Times New Roman"/>
          <w:sz w:val="24"/>
          <w:szCs w:val="24"/>
        </w:rPr>
        <w:t>s</w:t>
      </w:r>
      <w:r w:rsidRPr="00A07F29">
        <w:rPr>
          <w:rFonts w:ascii="Times New Roman" w:hAnsi="Times New Roman" w:cs="Times New Roman"/>
          <w:sz w:val="24"/>
          <w:szCs w:val="24"/>
        </w:rPr>
        <w:t>, atpūtas vieta, laivu piestātne. Infrastruktūra ir nesen izveidota un labā kvalitātē, jāseko līdzi tās st</w:t>
      </w:r>
      <w:r w:rsidR="00215D0A" w:rsidRPr="00A07F29">
        <w:rPr>
          <w:rFonts w:ascii="Times New Roman" w:hAnsi="Times New Roman" w:cs="Times New Roman"/>
          <w:sz w:val="24"/>
          <w:szCs w:val="24"/>
        </w:rPr>
        <w:t>ā</w:t>
      </w:r>
      <w:r w:rsidRPr="00A07F29">
        <w:rPr>
          <w:rFonts w:ascii="Times New Roman" w:hAnsi="Times New Roman" w:cs="Times New Roman"/>
          <w:sz w:val="24"/>
          <w:szCs w:val="24"/>
        </w:rPr>
        <w:t>voklim un nepieciešamības gadījumā veicams remonts. Nepieciešam</w:t>
      </w:r>
      <w:r w:rsidR="008D213A" w:rsidRPr="00A07F29">
        <w:rPr>
          <w:rFonts w:ascii="Times New Roman" w:hAnsi="Times New Roman" w:cs="Times New Roman"/>
          <w:sz w:val="24"/>
          <w:szCs w:val="24"/>
        </w:rPr>
        <w:t>s</w:t>
      </w:r>
      <w:r w:rsidRPr="00A07F29">
        <w:rPr>
          <w:rFonts w:ascii="Times New Roman" w:hAnsi="Times New Roman" w:cs="Times New Roman"/>
          <w:sz w:val="24"/>
          <w:szCs w:val="24"/>
        </w:rPr>
        <w:t xml:space="preserve"> regulāri izpļaut taku un kāpnes.</w:t>
      </w:r>
    </w:p>
    <w:p w14:paraId="72CD01A7" w14:textId="6908D82A" w:rsidR="002251A4" w:rsidRPr="00A07F29" w:rsidRDefault="002251A4" w:rsidP="00D56C16">
      <w:pPr>
        <w:spacing w:after="12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t xml:space="preserve">Potenciāli iespējams attīstīt vides izziņas un rekreācijas infrastruktūru pašvaldībai piederošā zemes vienībā ar kadastra apzīmējumu 44740070233 “Vecpils 15”. Piemēram, šeit iespējams izveidot atpūtas vietu, nojumi un/vai brīvdabas mācību klasi. Nepieciešama apauguma – </w:t>
      </w:r>
      <w:r w:rsidR="008B2B7C">
        <w:rPr>
          <w:rFonts w:ascii="Times New Roman" w:hAnsi="Times New Roman" w:cs="Times New Roman"/>
          <w:sz w:val="24"/>
          <w:szCs w:val="24"/>
        </w:rPr>
        <w:t>ekspansīvu</w:t>
      </w:r>
      <w:r w:rsidR="00360D64">
        <w:rPr>
          <w:rFonts w:ascii="Times New Roman" w:hAnsi="Times New Roman" w:cs="Times New Roman"/>
          <w:sz w:val="24"/>
          <w:szCs w:val="24"/>
        </w:rPr>
        <w:t xml:space="preserve"> spireju</w:t>
      </w:r>
      <w:r w:rsidRPr="00A07F29">
        <w:rPr>
          <w:rFonts w:ascii="Times New Roman" w:hAnsi="Times New Roman" w:cs="Times New Roman"/>
          <w:sz w:val="24"/>
          <w:szCs w:val="24"/>
        </w:rPr>
        <w:t>, kārklu, nokaltušu ābeļu novākšana, kā arī zemes izlīdzināšana. Nepieciešams atrisināt īpašumtiesību jautājumu atsevišķā kadastra vienībā izdalītajiem ēkas pamatiem.</w:t>
      </w:r>
    </w:p>
    <w:p w14:paraId="6F09CB79" w14:textId="11A4C974" w:rsidR="00D56C16" w:rsidRPr="00A07F29" w:rsidRDefault="00D56C16" w:rsidP="00D56C16">
      <w:pPr>
        <w:spacing w:after="12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t xml:space="preserve">Nepieciešams papildināt </w:t>
      </w:r>
      <w:r w:rsidR="002251A4" w:rsidRPr="00A07F29">
        <w:rPr>
          <w:rFonts w:ascii="Times New Roman" w:hAnsi="Times New Roman" w:cs="Times New Roman"/>
          <w:sz w:val="24"/>
          <w:szCs w:val="24"/>
        </w:rPr>
        <w:t>teritorijā</w:t>
      </w:r>
      <w:r w:rsidRPr="00A07F29">
        <w:rPr>
          <w:rFonts w:ascii="Times New Roman" w:hAnsi="Times New Roman" w:cs="Times New Roman"/>
          <w:sz w:val="24"/>
          <w:szCs w:val="24"/>
        </w:rPr>
        <w:t xml:space="preserve"> pieejamo informāciju un norādes:</w:t>
      </w:r>
    </w:p>
    <w:p w14:paraId="65CFC968" w14:textId="52D841F0" w:rsidR="00D56C16" w:rsidRPr="00A07F29" w:rsidRDefault="00D56C16" w:rsidP="00F87589">
      <w:pPr>
        <w:pStyle w:val="ListParagraph"/>
        <w:numPr>
          <w:ilvl w:val="0"/>
          <w:numId w:val="49"/>
        </w:numPr>
        <w:spacing w:line="240" w:lineRule="auto"/>
        <w:rPr>
          <w:rFonts w:cs="Times New Roman"/>
          <w:szCs w:val="24"/>
        </w:rPr>
      </w:pPr>
      <w:r w:rsidRPr="00A07F29">
        <w:rPr>
          <w:rFonts w:cs="Times New Roman"/>
          <w:szCs w:val="24"/>
        </w:rPr>
        <w:t>informāciju par Veselības taku un tās maršrutu ieteicams izvietot arī auto stāvlaukumā;</w:t>
      </w:r>
    </w:p>
    <w:p w14:paraId="6F6E7CB6" w14:textId="77777777" w:rsidR="00D56C16" w:rsidRPr="00A07F29" w:rsidRDefault="00D56C16" w:rsidP="00F87589">
      <w:pPr>
        <w:pStyle w:val="ListParagraph"/>
        <w:numPr>
          <w:ilvl w:val="0"/>
          <w:numId w:val="49"/>
        </w:numPr>
        <w:spacing w:line="240" w:lineRule="auto"/>
        <w:rPr>
          <w:rFonts w:cs="Times New Roman"/>
          <w:szCs w:val="24"/>
        </w:rPr>
      </w:pPr>
      <w:r w:rsidRPr="00A07F29">
        <w:rPr>
          <w:rFonts w:cs="Times New Roman"/>
          <w:szCs w:val="24"/>
        </w:rPr>
        <w:t>izvietot informāciju par veselības maršruta vingrinājumiem katra vingrojuma izpildei paredzētajā punktā;</w:t>
      </w:r>
    </w:p>
    <w:p w14:paraId="02FD2D0F" w14:textId="5C00EF06" w:rsidR="00D56C16" w:rsidRPr="00A07F29" w:rsidRDefault="00D56C16" w:rsidP="00F87589">
      <w:pPr>
        <w:pStyle w:val="ListParagraph"/>
        <w:numPr>
          <w:ilvl w:val="0"/>
          <w:numId w:val="49"/>
        </w:numPr>
        <w:spacing w:line="240" w:lineRule="auto"/>
        <w:rPr>
          <w:rFonts w:cs="Times New Roman"/>
          <w:szCs w:val="24"/>
        </w:rPr>
      </w:pPr>
      <w:r w:rsidRPr="00A07F29">
        <w:rPr>
          <w:rFonts w:cs="Times New Roman"/>
          <w:szCs w:val="24"/>
        </w:rPr>
        <w:t>laivu piestātnē pie Dinaburgas pilsdrupām un Vecpils pilskalna, uzkāpjot pa kāpnēm līdz informācijas stendam, ieteicamas norādes par Veselības taku un norādes ar virzienu, nosaukumu un attālumu līdz apskates objektiem.</w:t>
      </w:r>
    </w:p>
    <w:p w14:paraId="5A730307" w14:textId="77777777" w:rsidR="00A25AB4" w:rsidRPr="00A07F29" w:rsidRDefault="00A25AB4" w:rsidP="00F87589">
      <w:pPr>
        <w:pStyle w:val="ListParagraph"/>
        <w:numPr>
          <w:ilvl w:val="0"/>
          <w:numId w:val="49"/>
        </w:numPr>
        <w:spacing w:line="240" w:lineRule="auto"/>
        <w:rPr>
          <w:rFonts w:cs="Times New Roman"/>
          <w:szCs w:val="24"/>
        </w:rPr>
      </w:pPr>
      <w:r w:rsidRPr="00A07F29">
        <w:rPr>
          <w:rFonts w:cs="Times New Roman"/>
          <w:szCs w:val="24"/>
        </w:rPr>
        <w:t>Bruņinieku laukumā ieteicams novietot stendu ar informāciju makšķerniekiem un ūdeņu izmantotājiem;</w:t>
      </w:r>
    </w:p>
    <w:p w14:paraId="2DDE5819" w14:textId="70E477B9" w:rsidR="00A25AB4" w:rsidRPr="00A07F29" w:rsidRDefault="00A25AB4" w:rsidP="00F87589">
      <w:pPr>
        <w:pStyle w:val="ListParagraph"/>
        <w:numPr>
          <w:ilvl w:val="0"/>
          <w:numId w:val="49"/>
        </w:numPr>
        <w:spacing w:line="240" w:lineRule="auto"/>
        <w:rPr>
          <w:rFonts w:cs="Times New Roman"/>
          <w:szCs w:val="24"/>
        </w:rPr>
      </w:pPr>
      <w:r w:rsidRPr="00A07F29">
        <w:rPr>
          <w:rFonts w:cs="Times New Roman"/>
          <w:szCs w:val="24"/>
        </w:rPr>
        <w:t>pie Vecpils kapsētas piemiņas vietas izvietot norādi ar vietas nosaukumu.</w:t>
      </w:r>
    </w:p>
    <w:p w14:paraId="45B6506C" w14:textId="0A683990" w:rsidR="00D56C16" w:rsidRPr="00A07F29" w:rsidRDefault="00D56C16" w:rsidP="00D56C16">
      <w:pPr>
        <w:spacing w:after="12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lastRenderedPageBreak/>
        <w:t xml:space="preserve">Interneta avotos nepieciešams </w:t>
      </w:r>
      <w:r w:rsidR="00A25AB4" w:rsidRPr="00A07F29">
        <w:rPr>
          <w:rFonts w:ascii="Times New Roman" w:hAnsi="Times New Roman" w:cs="Times New Roman"/>
          <w:sz w:val="24"/>
          <w:szCs w:val="24"/>
        </w:rPr>
        <w:t xml:space="preserve">uzturēt </w:t>
      </w:r>
      <w:r w:rsidRPr="00A07F29">
        <w:rPr>
          <w:rFonts w:ascii="Times New Roman" w:hAnsi="Times New Roman" w:cs="Times New Roman"/>
          <w:sz w:val="24"/>
          <w:szCs w:val="24"/>
        </w:rPr>
        <w:t xml:space="preserve">aktuālu informāciju par šo vietu (fotoattēlus, atrašanās vietu, kādi tūrisma infrastruktūras objekti atrodas </w:t>
      </w:r>
      <w:proofErr w:type="spellStart"/>
      <w:r w:rsidR="00C870C7" w:rsidRPr="00A07F29">
        <w:rPr>
          <w:rFonts w:ascii="Times New Roman" w:hAnsi="Times New Roman" w:cs="Times New Roman"/>
          <w:sz w:val="24"/>
          <w:szCs w:val="24"/>
        </w:rPr>
        <w:t>kultūrvēsturskajā</w:t>
      </w:r>
      <w:proofErr w:type="spellEnd"/>
      <w:r w:rsidR="00C870C7" w:rsidRPr="00A07F29">
        <w:rPr>
          <w:rFonts w:ascii="Times New Roman" w:hAnsi="Times New Roman" w:cs="Times New Roman"/>
          <w:sz w:val="24"/>
          <w:szCs w:val="24"/>
        </w:rPr>
        <w:t xml:space="preserve"> kompleksā</w:t>
      </w:r>
      <w:r w:rsidRPr="00A07F29">
        <w:rPr>
          <w:rFonts w:ascii="Times New Roman" w:hAnsi="Times New Roman" w:cs="Times New Roman"/>
          <w:sz w:val="24"/>
          <w:szCs w:val="24"/>
        </w:rPr>
        <w:t>).</w:t>
      </w:r>
    </w:p>
    <w:p w14:paraId="7E380D02" w14:textId="20CBDCE0" w:rsidR="00D56C16" w:rsidRPr="00A07F29" w:rsidRDefault="00E21445" w:rsidP="00D56C16">
      <w:pPr>
        <w:spacing w:after="120" w:line="240" w:lineRule="auto"/>
        <w:jc w:val="both"/>
        <w:rPr>
          <w:rFonts w:ascii="Times New Roman" w:hAnsi="Times New Roman" w:cs="Times New Roman"/>
          <w:sz w:val="24"/>
          <w:szCs w:val="24"/>
        </w:rPr>
      </w:pPr>
      <w:r w:rsidRPr="00A07F29">
        <w:rPr>
          <w:rFonts w:ascii="Times New Roman" w:hAnsi="Times New Roman" w:cs="Times New Roman"/>
          <w:noProof/>
          <w:sz w:val="24"/>
          <w:szCs w:val="24"/>
          <w:lang w:eastAsia="lv-LV"/>
        </w:rPr>
        <w:drawing>
          <wp:inline distT="0" distB="0" distL="0" distR="0" wp14:anchorId="47E52E87" wp14:editId="0F2D0AC3">
            <wp:extent cx="5731510" cy="4051935"/>
            <wp:effectExtent l="0" t="0" r="2540" b="5715"/>
            <wp:docPr id="918145564" name="Picture 918145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145564" name="D.1.2. DinaburgasKulturvesturiskaInfrastrukturasUzturesana.jpg"/>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5731510" cy="4051935"/>
                    </a:xfrm>
                    <a:prstGeom prst="rect">
                      <a:avLst/>
                    </a:prstGeom>
                  </pic:spPr>
                </pic:pic>
              </a:graphicData>
            </a:graphic>
          </wp:inline>
        </w:drawing>
      </w:r>
    </w:p>
    <w:p w14:paraId="32EE9931" w14:textId="45A093AC" w:rsidR="008D213A" w:rsidRPr="00203E4B" w:rsidRDefault="002E7148" w:rsidP="002E7148">
      <w:pPr>
        <w:spacing w:after="120" w:line="240" w:lineRule="auto"/>
        <w:jc w:val="both"/>
        <w:rPr>
          <w:rFonts w:ascii="Times New Roman" w:hAnsi="Times New Roman" w:cs="Times New Roman"/>
          <w:sz w:val="20"/>
          <w:szCs w:val="20"/>
        </w:rPr>
      </w:pPr>
      <w:r w:rsidRPr="00203E4B">
        <w:rPr>
          <w:rFonts w:ascii="Times New Roman" w:hAnsi="Times New Roman" w:cs="Times New Roman"/>
          <w:sz w:val="20"/>
          <w:szCs w:val="20"/>
        </w:rPr>
        <w:t>5.3.</w:t>
      </w:r>
      <w:r w:rsidR="00203E4B" w:rsidRPr="00203E4B">
        <w:rPr>
          <w:rFonts w:ascii="Times New Roman" w:hAnsi="Times New Roman" w:cs="Times New Roman"/>
          <w:sz w:val="20"/>
          <w:szCs w:val="20"/>
        </w:rPr>
        <w:t>21</w:t>
      </w:r>
      <w:r w:rsidRPr="00203E4B">
        <w:rPr>
          <w:rFonts w:ascii="Times New Roman" w:hAnsi="Times New Roman" w:cs="Times New Roman"/>
          <w:sz w:val="20"/>
          <w:szCs w:val="20"/>
        </w:rPr>
        <w:t>.</w:t>
      </w:r>
      <w:r w:rsidR="00203E4B" w:rsidRPr="00203E4B">
        <w:rPr>
          <w:rFonts w:ascii="Times New Roman" w:hAnsi="Times New Roman" w:cs="Times New Roman"/>
          <w:sz w:val="20"/>
          <w:szCs w:val="20"/>
        </w:rPr>
        <w:t> attēls.</w:t>
      </w:r>
      <w:r w:rsidR="008D213A" w:rsidRPr="00203E4B">
        <w:rPr>
          <w:rFonts w:ascii="Times New Roman" w:hAnsi="Times New Roman" w:cs="Times New Roman"/>
          <w:sz w:val="20"/>
          <w:szCs w:val="20"/>
        </w:rPr>
        <w:t xml:space="preserve"> Dinaburgas kultūrvēsturiskā kompleksa infrastruktūras uzturēšana.</w:t>
      </w:r>
    </w:p>
    <w:p w14:paraId="47580B66" w14:textId="1E936AF4" w:rsidR="00D56C16" w:rsidRPr="00A07F29" w:rsidRDefault="00D56C16" w:rsidP="00203E4B">
      <w:pPr>
        <w:keepNext/>
        <w:spacing w:before="240" w:after="120" w:line="240" w:lineRule="auto"/>
        <w:jc w:val="both"/>
        <w:rPr>
          <w:rFonts w:ascii="Times New Roman" w:hAnsi="Times New Roman" w:cs="Times New Roman"/>
          <w:b/>
          <w:i/>
          <w:sz w:val="24"/>
          <w:szCs w:val="24"/>
        </w:rPr>
      </w:pPr>
      <w:r w:rsidRPr="00A07F29">
        <w:rPr>
          <w:rFonts w:ascii="Times New Roman" w:hAnsi="Times New Roman" w:cs="Times New Roman"/>
          <w:b/>
          <w:i/>
          <w:sz w:val="24"/>
          <w:szCs w:val="24"/>
        </w:rPr>
        <w:t xml:space="preserve">D.1.3. Infrastruktūras pilnveidošana un uzturēšana pie </w:t>
      </w:r>
      <w:proofErr w:type="spellStart"/>
      <w:r w:rsidRPr="00A07F29">
        <w:rPr>
          <w:rFonts w:ascii="Times New Roman" w:hAnsi="Times New Roman" w:cs="Times New Roman"/>
          <w:b/>
          <w:i/>
          <w:sz w:val="24"/>
          <w:szCs w:val="24"/>
        </w:rPr>
        <w:t>Poguļankas</w:t>
      </w:r>
      <w:proofErr w:type="spellEnd"/>
      <w:r w:rsidRPr="00A07F29">
        <w:rPr>
          <w:rFonts w:ascii="Times New Roman" w:hAnsi="Times New Roman" w:cs="Times New Roman"/>
          <w:b/>
          <w:i/>
          <w:sz w:val="24"/>
          <w:szCs w:val="24"/>
        </w:rPr>
        <w:t xml:space="preserve"> </w:t>
      </w:r>
      <w:proofErr w:type="spellStart"/>
      <w:r w:rsidRPr="00A07F29">
        <w:rPr>
          <w:rFonts w:ascii="Times New Roman" w:hAnsi="Times New Roman" w:cs="Times New Roman"/>
          <w:b/>
          <w:i/>
          <w:sz w:val="24"/>
          <w:szCs w:val="24"/>
        </w:rPr>
        <w:t>arkveida</w:t>
      </w:r>
      <w:proofErr w:type="spellEnd"/>
      <w:r w:rsidRPr="00A07F29">
        <w:rPr>
          <w:rFonts w:ascii="Times New Roman" w:hAnsi="Times New Roman" w:cs="Times New Roman"/>
          <w:b/>
          <w:i/>
          <w:sz w:val="24"/>
          <w:szCs w:val="24"/>
        </w:rPr>
        <w:t xml:space="preserve"> tilta</w:t>
      </w:r>
    </w:p>
    <w:p w14:paraId="3522E405" w14:textId="720B398C" w:rsidR="004D070E" w:rsidRPr="00A07F29" w:rsidRDefault="00197434" w:rsidP="00026061">
      <w:pPr>
        <w:spacing w:after="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t xml:space="preserve">Viens no reģiona tūrisma objektiem ir </w:t>
      </w:r>
      <w:r w:rsidR="00026061" w:rsidRPr="00A07F29">
        <w:rPr>
          <w:rFonts w:ascii="Times New Roman" w:hAnsi="Times New Roman" w:cs="Times New Roman"/>
          <w:sz w:val="24"/>
          <w:szCs w:val="24"/>
        </w:rPr>
        <w:t>19.</w:t>
      </w:r>
      <w:r w:rsidR="000C671A">
        <w:rPr>
          <w:rFonts w:ascii="Times New Roman" w:hAnsi="Times New Roman" w:cs="Times New Roman"/>
          <w:sz w:val="24"/>
          <w:szCs w:val="24"/>
        </w:rPr>
        <w:t> </w:t>
      </w:r>
      <w:r w:rsidR="00026061" w:rsidRPr="00A07F29">
        <w:rPr>
          <w:rFonts w:ascii="Times New Roman" w:hAnsi="Times New Roman" w:cs="Times New Roman"/>
          <w:sz w:val="24"/>
          <w:szCs w:val="24"/>
        </w:rPr>
        <w:t>g</w:t>
      </w:r>
      <w:r w:rsidR="000C671A">
        <w:rPr>
          <w:rFonts w:ascii="Times New Roman" w:hAnsi="Times New Roman" w:cs="Times New Roman"/>
          <w:sz w:val="24"/>
          <w:szCs w:val="24"/>
        </w:rPr>
        <w:t>adsimta</w:t>
      </w:r>
      <w:r w:rsidR="00026061" w:rsidRPr="00A07F29">
        <w:rPr>
          <w:rFonts w:ascii="Times New Roman" w:hAnsi="Times New Roman" w:cs="Times New Roman"/>
          <w:sz w:val="24"/>
          <w:szCs w:val="24"/>
        </w:rPr>
        <w:t xml:space="preserve"> beigās būvētais </w:t>
      </w:r>
      <w:proofErr w:type="spellStart"/>
      <w:r w:rsidR="00026061" w:rsidRPr="00A07F29">
        <w:rPr>
          <w:rFonts w:ascii="Times New Roman" w:hAnsi="Times New Roman" w:cs="Times New Roman"/>
          <w:sz w:val="24"/>
          <w:szCs w:val="24"/>
        </w:rPr>
        <w:t>arkveida</w:t>
      </w:r>
      <w:proofErr w:type="spellEnd"/>
      <w:r w:rsidR="00026061" w:rsidRPr="00A07F29">
        <w:rPr>
          <w:rFonts w:ascii="Times New Roman" w:hAnsi="Times New Roman" w:cs="Times New Roman"/>
          <w:sz w:val="24"/>
          <w:szCs w:val="24"/>
        </w:rPr>
        <w:t xml:space="preserve"> </w:t>
      </w:r>
      <w:r w:rsidRPr="00A07F29">
        <w:rPr>
          <w:rFonts w:ascii="Times New Roman" w:hAnsi="Times New Roman" w:cs="Times New Roman"/>
          <w:sz w:val="24"/>
          <w:szCs w:val="24"/>
        </w:rPr>
        <w:t xml:space="preserve">tilts pāri </w:t>
      </w:r>
      <w:proofErr w:type="spellStart"/>
      <w:r w:rsidRPr="00A07F29">
        <w:rPr>
          <w:rFonts w:ascii="Times New Roman" w:hAnsi="Times New Roman" w:cs="Times New Roman"/>
          <w:sz w:val="24"/>
          <w:szCs w:val="24"/>
        </w:rPr>
        <w:t>Poguļankas</w:t>
      </w:r>
      <w:proofErr w:type="spellEnd"/>
      <w:r w:rsidRPr="00A07F29">
        <w:rPr>
          <w:rFonts w:ascii="Times New Roman" w:hAnsi="Times New Roman" w:cs="Times New Roman"/>
          <w:sz w:val="24"/>
          <w:szCs w:val="24"/>
        </w:rPr>
        <w:t xml:space="preserve"> (Salienas) upītei</w:t>
      </w:r>
      <w:r w:rsidR="00026061" w:rsidRPr="00A07F29">
        <w:rPr>
          <w:rFonts w:ascii="Times New Roman" w:hAnsi="Times New Roman" w:cs="Times New Roman"/>
          <w:sz w:val="24"/>
          <w:szCs w:val="24"/>
        </w:rPr>
        <w:t xml:space="preserve">. </w:t>
      </w:r>
      <w:r w:rsidRPr="00A07F29">
        <w:rPr>
          <w:rFonts w:ascii="Times New Roman" w:hAnsi="Times New Roman" w:cs="Times New Roman"/>
          <w:sz w:val="24"/>
          <w:szCs w:val="24"/>
        </w:rPr>
        <w:t xml:space="preserve">Tilts ir vietējas nozīmes arhitektūras un inženierbūves piemineklis, viens no </w:t>
      </w:r>
      <w:proofErr w:type="spellStart"/>
      <w:r w:rsidRPr="00A07F29">
        <w:rPr>
          <w:rFonts w:ascii="Times New Roman" w:hAnsi="Times New Roman" w:cs="Times New Roman"/>
          <w:sz w:val="24"/>
          <w:szCs w:val="24"/>
        </w:rPr>
        <w:t>nedaudzajiem</w:t>
      </w:r>
      <w:proofErr w:type="spellEnd"/>
      <w:r w:rsidRPr="00A07F29">
        <w:rPr>
          <w:rFonts w:ascii="Times New Roman" w:hAnsi="Times New Roman" w:cs="Times New Roman"/>
          <w:sz w:val="24"/>
          <w:szCs w:val="24"/>
        </w:rPr>
        <w:t xml:space="preserve"> šāda veida tiltiem, kas salīdzinoši labā tehniskā stāvoklī ir saglabājies </w:t>
      </w:r>
      <w:r w:rsidR="00120CDE" w:rsidRPr="00A07F29">
        <w:rPr>
          <w:rFonts w:ascii="Times New Roman" w:hAnsi="Times New Roman" w:cs="Times New Roman"/>
          <w:sz w:val="24"/>
          <w:szCs w:val="24"/>
        </w:rPr>
        <w:t>Augšdaugavas</w:t>
      </w:r>
      <w:r w:rsidRPr="00A07F29">
        <w:rPr>
          <w:rFonts w:ascii="Times New Roman" w:hAnsi="Times New Roman" w:cs="Times New Roman"/>
          <w:sz w:val="24"/>
          <w:szCs w:val="24"/>
        </w:rPr>
        <w:t xml:space="preserve"> novadā</w:t>
      </w:r>
      <w:r w:rsidR="00026061" w:rsidRPr="00A07F29">
        <w:rPr>
          <w:rFonts w:ascii="Times New Roman" w:hAnsi="Times New Roman" w:cs="Times New Roman"/>
          <w:sz w:val="24"/>
          <w:szCs w:val="24"/>
        </w:rPr>
        <w:t>. Pašvaldības zemesgabalā (kad</w:t>
      </w:r>
      <w:r w:rsidR="00E606BF">
        <w:rPr>
          <w:rFonts w:ascii="Times New Roman" w:hAnsi="Times New Roman" w:cs="Times New Roman"/>
          <w:sz w:val="24"/>
          <w:szCs w:val="24"/>
        </w:rPr>
        <w:t>astra</w:t>
      </w:r>
      <w:r w:rsidR="00026061" w:rsidRPr="00A07F29">
        <w:rPr>
          <w:rFonts w:ascii="Times New Roman" w:hAnsi="Times New Roman" w:cs="Times New Roman"/>
          <w:sz w:val="24"/>
          <w:szCs w:val="24"/>
        </w:rPr>
        <w:t xml:space="preserve"> apz</w:t>
      </w:r>
      <w:r w:rsidR="00E606BF">
        <w:rPr>
          <w:rFonts w:ascii="Times New Roman" w:hAnsi="Times New Roman" w:cs="Times New Roman"/>
          <w:sz w:val="24"/>
          <w:szCs w:val="24"/>
        </w:rPr>
        <w:t>īmējums</w:t>
      </w:r>
      <w:r w:rsidR="00026061" w:rsidRPr="00A07F29">
        <w:rPr>
          <w:rFonts w:ascii="Times New Roman" w:hAnsi="Times New Roman" w:cs="Times New Roman"/>
          <w:sz w:val="24"/>
          <w:szCs w:val="24"/>
        </w:rPr>
        <w:t xml:space="preserve"> 44840050101) pie tilta ir ierīkota atpūtas vieta, netālu no upes atrodas Salienas dižakmens un avots. Turpat netālu autoceļa P69 malā atrodas piemiņas akmens </w:t>
      </w:r>
      <w:r w:rsidR="004D070E" w:rsidRPr="00A07F29">
        <w:rPr>
          <w:rFonts w:ascii="Times New Roman" w:hAnsi="Times New Roman" w:cs="Times New Roman"/>
          <w:sz w:val="24"/>
          <w:szCs w:val="24"/>
        </w:rPr>
        <w:t xml:space="preserve">rakstniekam un ornitologam </w:t>
      </w:r>
      <w:r w:rsidR="00026061" w:rsidRPr="00A07F29">
        <w:rPr>
          <w:rFonts w:ascii="Times New Roman" w:hAnsi="Times New Roman" w:cs="Times New Roman"/>
          <w:sz w:val="24"/>
          <w:szCs w:val="24"/>
        </w:rPr>
        <w:t>Kārlim Grigulim.</w:t>
      </w:r>
    </w:p>
    <w:p w14:paraId="17BA23B2" w14:textId="505DAF82" w:rsidR="00D56C16" w:rsidRPr="00A07F29" w:rsidRDefault="00026061" w:rsidP="00026061">
      <w:pPr>
        <w:spacing w:after="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t xml:space="preserve">Lai </w:t>
      </w:r>
      <w:r w:rsidR="004D070E" w:rsidRPr="00A07F29">
        <w:rPr>
          <w:rFonts w:ascii="Times New Roman" w:hAnsi="Times New Roman" w:cs="Times New Roman"/>
          <w:sz w:val="24"/>
          <w:szCs w:val="24"/>
        </w:rPr>
        <w:t xml:space="preserve">uzturētu un </w:t>
      </w:r>
      <w:r w:rsidRPr="00A07F29">
        <w:rPr>
          <w:rFonts w:ascii="Times New Roman" w:hAnsi="Times New Roman" w:cs="Times New Roman"/>
          <w:sz w:val="24"/>
          <w:szCs w:val="24"/>
        </w:rPr>
        <w:t>uzlabotu šīs vietas pieejamību apmeklētājiem, nepieciešams:</w:t>
      </w:r>
    </w:p>
    <w:p w14:paraId="1B8756B1" w14:textId="0A2BA99D" w:rsidR="00026061" w:rsidRPr="00A07F29" w:rsidRDefault="00026061" w:rsidP="00F87589">
      <w:pPr>
        <w:pStyle w:val="ListParagraph"/>
        <w:numPr>
          <w:ilvl w:val="0"/>
          <w:numId w:val="50"/>
        </w:numPr>
        <w:spacing w:line="240" w:lineRule="auto"/>
        <w:rPr>
          <w:rFonts w:cs="Times New Roman"/>
          <w:szCs w:val="24"/>
        </w:rPr>
      </w:pPr>
      <w:r w:rsidRPr="00A07F29">
        <w:rPr>
          <w:rFonts w:cs="Times New Roman"/>
          <w:szCs w:val="24"/>
        </w:rPr>
        <w:t>uzturēt atpūtas vietu;</w:t>
      </w:r>
    </w:p>
    <w:p w14:paraId="41692033" w14:textId="6D3C1003" w:rsidR="00026061" w:rsidRPr="00A07F29" w:rsidRDefault="00026061" w:rsidP="00F87589">
      <w:pPr>
        <w:pStyle w:val="ListParagraph"/>
        <w:numPr>
          <w:ilvl w:val="0"/>
          <w:numId w:val="50"/>
        </w:numPr>
        <w:spacing w:line="240" w:lineRule="auto"/>
        <w:rPr>
          <w:rFonts w:cs="Times New Roman"/>
          <w:szCs w:val="24"/>
        </w:rPr>
      </w:pPr>
      <w:r w:rsidRPr="00A07F29">
        <w:rPr>
          <w:rFonts w:cs="Times New Roman"/>
          <w:szCs w:val="24"/>
        </w:rPr>
        <w:t>atjaunot pakāpienus līdz avota izplūdes vietai</w:t>
      </w:r>
      <w:r w:rsidR="00735815">
        <w:rPr>
          <w:rFonts w:cs="Times New Roman"/>
          <w:szCs w:val="24"/>
        </w:rPr>
        <w:t>;</w:t>
      </w:r>
    </w:p>
    <w:p w14:paraId="5AF81CC2" w14:textId="367FF935" w:rsidR="00D56C16" w:rsidRPr="00A07F29" w:rsidRDefault="00D56C16" w:rsidP="00F87589">
      <w:pPr>
        <w:pStyle w:val="ListParagraph"/>
        <w:numPr>
          <w:ilvl w:val="0"/>
          <w:numId w:val="50"/>
        </w:numPr>
        <w:spacing w:line="240" w:lineRule="auto"/>
        <w:rPr>
          <w:rFonts w:cs="Times New Roman"/>
          <w:szCs w:val="24"/>
        </w:rPr>
      </w:pPr>
      <w:r w:rsidRPr="00A07F29">
        <w:rPr>
          <w:rFonts w:cs="Times New Roman"/>
          <w:szCs w:val="24"/>
        </w:rPr>
        <w:t>atjaunot piebraucamo ceļu</w:t>
      </w:r>
      <w:r w:rsidR="00026061" w:rsidRPr="00A07F29">
        <w:rPr>
          <w:rFonts w:cs="Times New Roman"/>
          <w:szCs w:val="24"/>
        </w:rPr>
        <w:t xml:space="preserve"> zemes vienībās 44840040471, 44840040011 un 44840040586</w:t>
      </w:r>
      <w:r w:rsidRPr="00A07F29">
        <w:rPr>
          <w:rFonts w:cs="Times New Roman"/>
          <w:szCs w:val="24"/>
        </w:rPr>
        <w:t>;</w:t>
      </w:r>
    </w:p>
    <w:p w14:paraId="75202B0D" w14:textId="39403E55" w:rsidR="00705E03" w:rsidRPr="00A07F29" w:rsidRDefault="00705E03" w:rsidP="00F87589">
      <w:pPr>
        <w:pStyle w:val="ListParagraph"/>
        <w:numPr>
          <w:ilvl w:val="0"/>
          <w:numId w:val="50"/>
        </w:numPr>
        <w:spacing w:line="240" w:lineRule="auto"/>
        <w:rPr>
          <w:rFonts w:cs="Times New Roman"/>
          <w:szCs w:val="24"/>
        </w:rPr>
      </w:pPr>
      <w:r w:rsidRPr="00A07F29">
        <w:rPr>
          <w:rFonts w:cs="Times New Roman"/>
          <w:szCs w:val="24"/>
        </w:rPr>
        <w:t>izveidot apgriešanās vietu un divas autostāvvietas ar vietu 4</w:t>
      </w:r>
      <w:r w:rsidR="00855E44">
        <w:rPr>
          <w:rFonts w:cs="Times New Roman"/>
          <w:szCs w:val="24"/>
        </w:rPr>
        <w:t> – </w:t>
      </w:r>
      <w:r w:rsidRPr="00A07F29">
        <w:rPr>
          <w:rFonts w:cs="Times New Roman"/>
          <w:szCs w:val="24"/>
        </w:rPr>
        <w:t xml:space="preserve">6 automašīnām un vismaz </w:t>
      </w:r>
      <w:r w:rsidR="00855E44">
        <w:rPr>
          <w:rFonts w:cs="Times New Roman"/>
          <w:szCs w:val="24"/>
        </w:rPr>
        <w:t>vienam</w:t>
      </w:r>
      <w:r w:rsidRPr="00A07F29">
        <w:rPr>
          <w:rFonts w:cs="Times New Roman"/>
          <w:szCs w:val="24"/>
        </w:rPr>
        <w:t xml:space="preserve"> autobusam pašvaldībai piederošās </w:t>
      </w:r>
      <w:r w:rsidR="0077323F">
        <w:rPr>
          <w:rFonts w:cs="Times New Roman"/>
          <w:szCs w:val="24"/>
        </w:rPr>
        <w:t>zemes</w:t>
      </w:r>
      <w:r w:rsidRPr="00A07F29">
        <w:rPr>
          <w:rFonts w:cs="Times New Roman"/>
          <w:szCs w:val="24"/>
        </w:rPr>
        <w:t xml:space="preserve"> vienībās 44840040591 un 44840040471</w:t>
      </w:r>
      <w:r w:rsidR="00026061" w:rsidRPr="00A07F29">
        <w:rPr>
          <w:rFonts w:cs="Times New Roman"/>
          <w:szCs w:val="24"/>
        </w:rPr>
        <w:t>;</w:t>
      </w:r>
    </w:p>
    <w:p w14:paraId="323151F1" w14:textId="391C4E8C" w:rsidR="00D56C16" w:rsidRPr="00A07F29" w:rsidRDefault="00705E03" w:rsidP="00F87589">
      <w:pPr>
        <w:pStyle w:val="ListParagraph"/>
        <w:numPr>
          <w:ilvl w:val="0"/>
          <w:numId w:val="50"/>
        </w:numPr>
        <w:spacing w:line="240" w:lineRule="auto"/>
        <w:rPr>
          <w:rFonts w:cs="Times New Roman"/>
          <w:szCs w:val="24"/>
        </w:rPr>
      </w:pPr>
      <w:r w:rsidRPr="00A07F29">
        <w:rPr>
          <w:rFonts w:cs="Times New Roman"/>
          <w:szCs w:val="24"/>
        </w:rPr>
        <w:t xml:space="preserve">notīrīt un restaurēt seno bruģa segumu uz ceļa </w:t>
      </w:r>
      <w:r w:rsidR="0077323F">
        <w:rPr>
          <w:rFonts w:cs="Times New Roman"/>
          <w:szCs w:val="24"/>
        </w:rPr>
        <w:t>zemes</w:t>
      </w:r>
      <w:r w:rsidRPr="00A07F29">
        <w:rPr>
          <w:rFonts w:cs="Times New Roman"/>
          <w:szCs w:val="24"/>
        </w:rPr>
        <w:t xml:space="preserve"> vienībās </w:t>
      </w:r>
      <w:r w:rsidR="00197434" w:rsidRPr="00A07F29">
        <w:rPr>
          <w:rFonts w:cs="Times New Roman"/>
          <w:szCs w:val="24"/>
        </w:rPr>
        <w:t xml:space="preserve">44840040471, </w:t>
      </w:r>
      <w:r w:rsidRPr="00A07F29">
        <w:rPr>
          <w:rFonts w:cs="Times New Roman"/>
          <w:szCs w:val="24"/>
        </w:rPr>
        <w:t xml:space="preserve">44840040011 un </w:t>
      </w:r>
      <w:r w:rsidR="00197434" w:rsidRPr="00A07F29">
        <w:rPr>
          <w:rFonts w:cs="Times New Roman"/>
          <w:szCs w:val="24"/>
        </w:rPr>
        <w:t>44840040586</w:t>
      </w:r>
      <w:r w:rsidRPr="00A07F29">
        <w:rPr>
          <w:rFonts w:cs="Times New Roman"/>
          <w:szCs w:val="24"/>
        </w:rPr>
        <w:t>.</w:t>
      </w:r>
    </w:p>
    <w:p w14:paraId="29214E83" w14:textId="5CEE50DF" w:rsidR="00D56C16" w:rsidRPr="00A07F29" w:rsidRDefault="00D56C16" w:rsidP="00D56C16">
      <w:pPr>
        <w:spacing w:after="12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t>Tādējādi nebūtu jāizm</w:t>
      </w:r>
      <w:r w:rsidR="00026061" w:rsidRPr="00A07F29">
        <w:rPr>
          <w:rFonts w:ascii="Times New Roman" w:hAnsi="Times New Roman" w:cs="Times New Roman"/>
          <w:sz w:val="24"/>
          <w:szCs w:val="24"/>
        </w:rPr>
        <w:t xml:space="preserve">anto stāvais piebraucamais ceļš </w:t>
      </w:r>
      <w:r w:rsidRPr="00A07F29">
        <w:rPr>
          <w:rFonts w:ascii="Times New Roman" w:hAnsi="Times New Roman" w:cs="Times New Roman"/>
          <w:sz w:val="24"/>
          <w:szCs w:val="24"/>
        </w:rPr>
        <w:t>pie tilta un dižakmens</w:t>
      </w:r>
      <w:r w:rsidR="00026061" w:rsidRPr="00A07F29">
        <w:rPr>
          <w:rFonts w:ascii="Times New Roman" w:hAnsi="Times New Roman" w:cs="Times New Roman"/>
          <w:sz w:val="24"/>
          <w:szCs w:val="24"/>
        </w:rPr>
        <w:t xml:space="preserve"> un </w:t>
      </w:r>
      <w:r w:rsidRPr="00A07F29">
        <w:rPr>
          <w:rFonts w:ascii="Times New Roman" w:hAnsi="Times New Roman" w:cs="Times New Roman"/>
          <w:sz w:val="24"/>
          <w:szCs w:val="24"/>
        </w:rPr>
        <w:t xml:space="preserve">automašīnas netiktu atstātas autoceļa </w:t>
      </w:r>
      <w:r w:rsidR="00026061" w:rsidRPr="00A07F29">
        <w:rPr>
          <w:rFonts w:ascii="Times New Roman" w:hAnsi="Times New Roman" w:cs="Times New Roman"/>
          <w:sz w:val="24"/>
          <w:szCs w:val="24"/>
        </w:rPr>
        <w:t>P69 malā</w:t>
      </w:r>
      <w:r w:rsidR="004D070E" w:rsidRPr="00A07F29">
        <w:rPr>
          <w:rFonts w:ascii="Times New Roman" w:hAnsi="Times New Roman" w:cs="Times New Roman"/>
          <w:sz w:val="24"/>
          <w:szCs w:val="24"/>
        </w:rPr>
        <w:t>, kas uzlabotu satiksmes un apmeklētāju drošību.</w:t>
      </w:r>
      <w:r w:rsidR="00B55196">
        <w:rPr>
          <w:rFonts w:ascii="Times New Roman" w:hAnsi="Times New Roman" w:cs="Times New Roman"/>
          <w:sz w:val="24"/>
          <w:szCs w:val="24"/>
        </w:rPr>
        <w:t xml:space="preserve"> </w:t>
      </w:r>
      <w:r w:rsidR="004D070E" w:rsidRPr="00A07F29">
        <w:rPr>
          <w:rFonts w:ascii="Times New Roman" w:hAnsi="Times New Roman" w:cs="Times New Roman"/>
          <w:sz w:val="24"/>
          <w:szCs w:val="24"/>
        </w:rPr>
        <w:lastRenderedPageBreak/>
        <w:t xml:space="preserve">Izveidotajās </w:t>
      </w:r>
      <w:r w:rsidRPr="00A07F29">
        <w:rPr>
          <w:rFonts w:ascii="Times New Roman" w:hAnsi="Times New Roman" w:cs="Times New Roman"/>
          <w:sz w:val="24"/>
          <w:szCs w:val="24"/>
        </w:rPr>
        <w:t>stāvvietās automašīnu varētu novietot arī Kārļa Griguļa piemiņas akmens apmeklētāji.</w:t>
      </w:r>
    </w:p>
    <w:p w14:paraId="7DCDC7C2" w14:textId="00327D32" w:rsidR="00D56C16" w:rsidRPr="00A07F29" w:rsidRDefault="00E21445" w:rsidP="00D56C16">
      <w:pPr>
        <w:spacing w:after="120" w:line="240" w:lineRule="auto"/>
        <w:jc w:val="both"/>
        <w:rPr>
          <w:rFonts w:ascii="Times New Roman" w:hAnsi="Times New Roman" w:cs="Times New Roman"/>
          <w:sz w:val="24"/>
          <w:szCs w:val="24"/>
        </w:rPr>
      </w:pPr>
      <w:r w:rsidRPr="00A07F29">
        <w:rPr>
          <w:rFonts w:ascii="Times New Roman" w:hAnsi="Times New Roman" w:cs="Times New Roman"/>
          <w:noProof/>
          <w:sz w:val="24"/>
          <w:szCs w:val="24"/>
          <w:lang w:eastAsia="lv-LV"/>
        </w:rPr>
        <w:drawing>
          <wp:inline distT="0" distB="0" distL="0" distR="0" wp14:anchorId="2BF9A86E" wp14:editId="62209D3B">
            <wp:extent cx="5731510" cy="4051935"/>
            <wp:effectExtent l="0" t="0" r="2540" b="5715"/>
            <wp:docPr id="918145565" name="Picture 918145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145565" name="D.1.3. Pogulankas arkveida tilts.jpg"/>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5731510" cy="4051935"/>
                    </a:xfrm>
                    <a:prstGeom prst="rect">
                      <a:avLst/>
                    </a:prstGeom>
                  </pic:spPr>
                </pic:pic>
              </a:graphicData>
            </a:graphic>
          </wp:inline>
        </w:drawing>
      </w:r>
    </w:p>
    <w:p w14:paraId="7CB9626A" w14:textId="36346E28" w:rsidR="008D213A" w:rsidRPr="00FA442C" w:rsidRDefault="008D213A" w:rsidP="00D56C16">
      <w:pPr>
        <w:spacing w:after="120" w:line="240" w:lineRule="auto"/>
        <w:jc w:val="both"/>
        <w:rPr>
          <w:rFonts w:ascii="Times New Roman" w:hAnsi="Times New Roman" w:cs="Times New Roman"/>
          <w:sz w:val="20"/>
          <w:szCs w:val="20"/>
        </w:rPr>
      </w:pPr>
      <w:r w:rsidRPr="00FA442C">
        <w:rPr>
          <w:rFonts w:ascii="Times New Roman" w:hAnsi="Times New Roman" w:cs="Times New Roman"/>
          <w:sz w:val="20"/>
          <w:szCs w:val="20"/>
        </w:rPr>
        <w:t>5.3.2</w:t>
      </w:r>
      <w:r w:rsidR="00FA442C" w:rsidRPr="00FA442C">
        <w:rPr>
          <w:rFonts w:ascii="Times New Roman" w:hAnsi="Times New Roman" w:cs="Times New Roman"/>
          <w:sz w:val="20"/>
          <w:szCs w:val="20"/>
        </w:rPr>
        <w:t>2</w:t>
      </w:r>
      <w:r w:rsidRPr="00FA442C">
        <w:rPr>
          <w:rFonts w:ascii="Times New Roman" w:hAnsi="Times New Roman" w:cs="Times New Roman"/>
          <w:sz w:val="20"/>
          <w:szCs w:val="20"/>
        </w:rPr>
        <w:t>.</w:t>
      </w:r>
      <w:r w:rsidR="00FA442C" w:rsidRPr="00FA442C">
        <w:rPr>
          <w:rFonts w:ascii="Times New Roman" w:hAnsi="Times New Roman" w:cs="Times New Roman"/>
          <w:sz w:val="20"/>
          <w:szCs w:val="20"/>
        </w:rPr>
        <w:t> </w:t>
      </w:r>
      <w:r w:rsidRPr="00FA442C">
        <w:rPr>
          <w:rFonts w:ascii="Times New Roman" w:hAnsi="Times New Roman" w:cs="Times New Roman"/>
          <w:sz w:val="20"/>
          <w:szCs w:val="20"/>
        </w:rPr>
        <w:t>att</w:t>
      </w:r>
      <w:r w:rsidR="00FA442C" w:rsidRPr="00FA442C">
        <w:rPr>
          <w:rFonts w:ascii="Times New Roman" w:hAnsi="Times New Roman" w:cs="Times New Roman"/>
          <w:sz w:val="20"/>
          <w:szCs w:val="20"/>
        </w:rPr>
        <w:t>ēls</w:t>
      </w:r>
      <w:r w:rsidRPr="00FA442C">
        <w:rPr>
          <w:rFonts w:ascii="Times New Roman" w:hAnsi="Times New Roman" w:cs="Times New Roman"/>
          <w:sz w:val="20"/>
          <w:szCs w:val="20"/>
        </w:rPr>
        <w:t xml:space="preserve">. Infrastruktūras pilnveidošana un uzturēšana pie </w:t>
      </w:r>
      <w:proofErr w:type="spellStart"/>
      <w:r w:rsidRPr="00FA442C">
        <w:rPr>
          <w:rFonts w:ascii="Times New Roman" w:hAnsi="Times New Roman" w:cs="Times New Roman"/>
          <w:sz w:val="20"/>
          <w:szCs w:val="20"/>
        </w:rPr>
        <w:t>Poguļankas</w:t>
      </w:r>
      <w:proofErr w:type="spellEnd"/>
      <w:r w:rsidRPr="00FA442C">
        <w:rPr>
          <w:rFonts w:ascii="Times New Roman" w:hAnsi="Times New Roman" w:cs="Times New Roman"/>
          <w:sz w:val="20"/>
          <w:szCs w:val="20"/>
        </w:rPr>
        <w:t xml:space="preserve"> </w:t>
      </w:r>
      <w:proofErr w:type="spellStart"/>
      <w:r w:rsidRPr="00FA442C">
        <w:rPr>
          <w:rFonts w:ascii="Times New Roman" w:hAnsi="Times New Roman" w:cs="Times New Roman"/>
          <w:sz w:val="20"/>
          <w:szCs w:val="20"/>
        </w:rPr>
        <w:t>arkveida</w:t>
      </w:r>
      <w:proofErr w:type="spellEnd"/>
      <w:r w:rsidRPr="00FA442C">
        <w:rPr>
          <w:rFonts w:ascii="Times New Roman" w:hAnsi="Times New Roman" w:cs="Times New Roman"/>
          <w:sz w:val="20"/>
          <w:szCs w:val="20"/>
        </w:rPr>
        <w:t xml:space="preserve"> tilta</w:t>
      </w:r>
    </w:p>
    <w:p w14:paraId="5A756B51" w14:textId="77D76068" w:rsidR="00D56C16" w:rsidRPr="00A07F29" w:rsidRDefault="00D56C16" w:rsidP="00FA442C">
      <w:pPr>
        <w:keepNext/>
        <w:spacing w:before="240" w:after="120" w:line="240" w:lineRule="auto"/>
        <w:jc w:val="both"/>
        <w:rPr>
          <w:rFonts w:ascii="Times New Roman" w:hAnsi="Times New Roman" w:cs="Times New Roman"/>
          <w:b/>
          <w:i/>
          <w:sz w:val="24"/>
          <w:szCs w:val="24"/>
        </w:rPr>
      </w:pPr>
      <w:r w:rsidRPr="00A07F29">
        <w:rPr>
          <w:rFonts w:ascii="Times New Roman" w:hAnsi="Times New Roman" w:cs="Times New Roman"/>
          <w:b/>
          <w:i/>
          <w:sz w:val="24"/>
          <w:szCs w:val="24"/>
        </w:rPr>
        <w:t>D.1.4. Infrastruktūras izveidošana un uzturēšana pie Sproģu gravām</w:t>
      </w:r>
    </w:p>
    <w:p w14:paraId="59A1B38B" w14:textId="36A21C36" w:rsidR="00983E3B" w:rsidRPr="00A07F29" w:rsidRDefault="00031446" w:rsidP="00031446">
      <w:pPr>
        <w:spacing w:after="12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t>Pie Sproģu gravām zemes vienībā ar kad</w:t>
      </w:r>
      <w:r w:rsidR="007B57E9">
        <w:rPr>
          <w:rFonts w:ascii="Times New Roman" w:hAnsi="Times New Roman" w:cs="Times New Roman"/>
          <w:sz w:val="24"/>
          <w:szCs w:val="24"/>
        </w:rPr>
        <w:t>astra</w:t>
      </w:r>
      <w:r w:rsidRPr="00A07F29">
        <w:rPr>
          <w:rFonts w:ascii="Times New Roman" w:hAnsi="Times New Roman" w:cs="Times New Roman"/>
          <w:sz w:val="24"/>
          <w:szCs w:val="24"/>
        </w:rPr>
        <w:t xml:space="preserve"> apz</w:t>
      </w:r>
      <w:r w:rsidR="007B57E9">
        <w:rPr>
          <w:rFonts w:ascii="Times New Roman" w:hAnsi="Times New Roman" w:cs="Times New Roman"/>
          <w:sz w:val="24"/>
          <w:szCs w:val="24"/>
        </w:rPr>
        <w:t>īmējumu</w:t>
      </w:r>
      <w:r w:rsidRPr="00A07F29">
        <w:rPr>
          <w:rFonts w:ascii="Times New Roman" w:hAnsi="Times New Roman" w:cs="Times New Roman"/>
          <w:sz w:val="24"/>
          <w:szCs w:val="24"/>
        </w:rPr>
        <w:t xml:space="preserve"> 60700020110 ieteicams attīstīt publiski pieejamu tūrisma objektu, ierīkojot atpūtas zonu, skatu torni, dabas taku un vides izglītības centru, kā arī nelielu stāvlaukumu automašīnu novietošanai.</w:t>
      </w:r>
      <w:r w:rsidR="00CC0242" w:rsidRPr="00A07F29">
        <w:t xml:space="preserve"> </w:t>
      </w:r>
      <w:r w:rsidR="00CC0242" w:rsidRPr="00A07F29">
        <w:rPr>
          <w:rFonts w:ascii="Times New Roman" w:hAnsi="Times New Roman" w:cs="Times New Roman"/>
          <w:sz w:val="24"/>
          <w:szCs w:val="24"/>
        </w:rPr>
        <w:t>Objektu izvietojum</w:t>
      </w:r>
      <w:r w:rsidR="00A75A79">
        <w:rPr>
          <w:rFonts w:ascii="Times New Roman" w:hAnsi="Times New Roman" w:cs="Times New Roman"/>
          <w:sz w:val="24"/>
          <w:szCs w:val="24"/>
        </w:rPr>
        <w:t>s</w:t>
      </w:r>
      <w:r w:rsidR="00CC0242" w:rsidRPr="00A07F29">
        <w:rPr>
          <w:rFonts w:ascii="Times New Roman" w:hAnsi="Times New Roman" w:cs="Times New Roman"/>
          <w:sz w:val="24"/>
          <w:szCs w:val="24"/>
        </w:rPr>
        <w:t xml:space="preserve"> precizējams projektēšanas laikā.</w:t>
      </w:r>
    </w:p>
    <w:p w14:paraId="6BFF41DA" w14:textId="5A074930" w:rsidR="00031446" w:rsidRPr="00A07F29" w:rsidRDefault="00455E73" w:rsidP="00031446">
      <w:pPr>
        <w:spacing w:after="12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t xml:space="preserve">Nepieciešams </w:t>
      </w:r>
      <w:r w:rsidR="00031446" w:rsidRPr="00A07F29">
        <w:rPr>
          <w:rFonts w:ascii="Times New Roman" w:hAnsi="Times New Roman" w:cs="Times New Roman"/>
          <w:sz w:val="24"/>
          <w:szCs w:val="24"/>
        </w:rPr>
        <w:t xml:space="preserve">ierīkot taku ar norādēm līdz </w:t>
      </w:r>
      <w:r w:rsidR="00783637" w:rsidRPr="00A07F29">
        <w:rPr>
          <w:rFonts w:ascii="Times New Roman" w:hAnsi="Times New Roman" w:cs="Times New Roman"/>
          <w:sz w:val="24"/>
          <w:szCs w:val="24"/>
        </w:rPr>
        <w:t xml:space="preserve">esošajam </w:t>
      </w:r>
      <w:r w:rsidR="00031446" w:rsidRPr="00A07F29">
        <w:rPr>
          <w:rFonts w:ascii="Times New Roman" w:hAnsi="Times New Roman" w:cs="Times New Roman"/>
          <w:sz w:val="24"/>
          <w:szCs w:val="24"/>
        </w:rPr>
        <w:t>informācijas stendam un skatam uz Daugavu, jo šobrīd ir jāiet pāri pļavai pa nekontrolētu maršrutu (skat. 5.3.2</w:t>
      </w:r>
      <w:r w:rsidR="005E575B">
        <w:rPr>
          <w:rFonts w:ascii="Times New Roman" w:hAnsi="Times New Roman" w:cs="Times New Roman"/>
          <w:sz w:val="24"/>
          <w:szCs w:val="24"/>
        </w:rPr>
        <w:t>3</w:t>
      </w:r>
      <w:r w:rsidR="00031446" w:rsidRPr="00A07F29">
        <w:rPr>
          <w:rFonts w:ascii="Times New Roman" w:hAnsi="Times New Roman" w:cs="Times New Roman"/>
          <w:sz w:val="24"/>
          <w:szCs w:val="24"/>
        </w:rPr>
        <w:t>.</w:t>
      </w:r>
      <w:r w:rsidR="005E575B">
        <w:rPr>
          <w:rFonts w:ascii="Times New Roman" w:hAnsi="Times New Roman" w:cs="Times New Roman"/>
          <w:sz w:val="24"/>
          <w:szCs w:val="24"/>
        </w:rPr>
        <w:t> </w:t>
      </w:r>
      <w:r w:rsidR="00031446" w:rsidRPr="00A07F29">
        <w:rPr>
          <w:rFonts w:ascii="Times New Roman" w:hAnsi="Times New Roman" w:cs="Times New Roman"/>
          <w:sz w:val="24"/>
          <w:szCs w:val="24"/>
        </w:rPr>
        <w:t>att</w:t>
      </w:r>
      <w:r w:rsidR="005E575B">
        <w:rPr>
          <w:rFonts w:ascii="Times New Roman" w:hAnsi="Times New Roman" w:cs="Times New Roman"/>
          <w:sz w:val="24"/>
          <w:szCs w:val="24"/>
        </w:rPr>
        <w:t>ēls</w:t>
      </w:r>
      <w:r w:rsidR="00031446" w:rsidRPr="00A07F29">
        <w:rPr>
          <w:rFonts w:ascii="Times New Roman" w:hAnsi="Times New Roman" w:cs="Times New Roman"/>
          <w:sz w:val="24"/>
          <w:szCs w:val="24"/>
        </w:rPr>
        <w:t>).</w:t>
      </w:r>
    </w:p>
    <w:p w14:paraId="3308B877" w14:textId="1B4D4C57" w:rsidR="00D56C16" w:rsidRPr="00A07F29" w:rsidRDefault="00455E73" w:rsidP="00D56C16">
      <w:pPr>
        <w:spacing w:after="12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t xml:space="preserve">Ieteicams </w:t>
      </w:r>
      <w:r w:rsidR="00D56C16" w:rsidRPr="00A07F29">
        <w:rPr>
          <w:rFonts w:ascii="Times New Roman" w:hAnsi="Times New Roman" w:cs="Times New Roman"/>
          <w:sz w:val="24"/>
          <w:szCs w:val="24"/>
        </w:rPr>
        <w:t>izveidot taku uz Sproģu gravām un Aizvējiņu pilskalnu – esošo iemīto taciņu pie Sproģu gravām, kas aiziet no pļavas lejā līdz Daugavai (skat. 5.3.</w:t>
      </w:r>
      <w:r w:rsidR="008D213A" w:rsidRPr="00A07F29">
        <w:rPr>
          <w:rFonts w:ascii="Times New Roman" w:hAnsi="Times New Roman" w:cs="Times New Roman"/>
          <w:sz w:val="24"/>
          <w:szCs w:val="24"/>
        </w:rPr>
        <w:t>2</w:t>
      </w:r>
      <w:r w:rsidR="003E6CD4">
        <w:rPr>
          <w:rFonts w:ascii="Times New Roman" w:hAnsi="Times New Roman" w:cs="Times New Roman"/>
          <w:sz w:val="24"/>
          <w:szCs w:val="24"/>
        </w:rPr>
        <w:t>4</w:t>
      </w:r>
      <w:r w:rsidR="00D56C16" w:rsidRPr="00A07F29">
        <w:rPr>
          <w:rFonts w:ascii="Times New Roman" w:hAnsi="Times New Roman" w:cs="Times New Roman"/>
          <w:sz w:val="24"/>
          <w:szCs w:val="24"/>
        </w:rPr>
        <w:t>.</w:t>
      </w:r>
      <w:r w:rsidR="003E6CD4">
        <w:rPr>
          <w:rFonts w:ascii="Times New Roman" w:hAnsi="Times New Roman" w:cs="Times New Roman"/>
          <w:sz w:val="24"/>
          <w:szCs w:val="24"/>
        </w:rPr>
        <w:t> </w:t>
      </w:r>
      <w:r w:rsidR="00D56C16" w:rsidRPr="00A07F29">
        <w:rPr>
          <w:rFonts w:ascii="Times New Roman" w:hAnsi="Times New Roman" w:cs="Times New Roman"/>
          <w:sz w:val="24"/>
          <w:szCs w:val="24"/>
        </w:rPr>
        <w:t>att</w:t>
      </w:r>
      <w:r w:rsidR="003E6CD4">
        <w:rPr>
          <w:rFonts w:ascii="Times New Roman" w:hAnsi="Times New Roman" w:cs="Times New Roman"/>
          <w:sz w:val="24"/>
          <w:szCs w:val="24"/>
        </w:rPr>
        <w:t>ēls</w:t>
      </w:r>
      <w:r w:rsidR="00D56C16" w:rsidRPr="00A07F29">
        <w:rPr>
          <w:rFonts w:ascii="Times New Roman" w:hAnsi="Times New Roman" w:cs="Times New Roman"/>
          <w:sz w:val="24"/>
          <w:szCs w:val="24"/>
        </w:rPr>
        <w:t xml:space="preserve">), </w:t>
      </w:r>
      <w:r w:rsidRPr="00A07F29">
        <w:rPr>
          <w:rFonts w:ascii="Times New Roman" w:hAnsi="Times New Roman" w:cs="Times New Roman"/>
          <w:sz w:val="24"/>
          <w:szCs w:val="24"/>
        </w:rPr>
        <w:t xml:space="preserve">var </w:t>
      </w:r>
      <w:r w:rsidR="00D56C16" w:rsidRPr="00A07F29">
        <w:rPr>
          <w:rFonts w:ascii="Times New Roman" w:hAnsi="Times New Roman" w:cs="Times New Roman"/>
          <w:sz w:val="24"/>
          <w:szCs w:val="24"/>
        </w:rPr>
        <w:t xml:space="preserve">izveidot kā dabas taku ar skatu vietām līdz pašai lejai, ierīkojot kāpnes, vai arī tikai līdz vietai, kur sākas stāvais kāpums lejup, un takas galā izveidot skatu platformu, kā arī iespējams pagarināt taku līdz Aizvējiņu pilskalnam. </w:t>
      </w:r>
      <w:r w:rsidRPr="00A07F29">
        <w:rPr>
          <w:rFonts w:ascii="Times New Roman" w:hAnsi="Times New Roman" w:cs="Times New Roman"/>
          <w:sz w:val="24"/>
          <w:szCs w:val="24"/>
        </w:rPr>
        <w:t>T</w:t>
      </w:r>
      <w:r w:rsidR="00D56C16" w:rsidRPr="00A07F29">
        <w:rPr>
          <w:rFonts w:ascii="Times New Roman" w:hAnsi="Times New Roman" w:cs="Times New Roman"/>
          <w:sz w:val="24"/>
          <w:szCs w:val="24"/>
        </w:rPr>
        <w:t xml:space="preserve">akas sākumā </w:t>
      </w:r>
      <w:r w:rsidRPr="00A07F29">
        <w:rPr>
          <w:rFonts w:ascii="Times New Roman" w:hAnsi="Times New Roman" w:cs="Times New Roman"/>
          <w:sz w:val="24"/>
          <w:szCs w:val="24"/>
        </w:rPr>
        <w:t>iete</w:t>
      </w:r>
      <w:r w:rsidR="00C179F5" w:rsidRPr="00A07F29">
        <w:rPr>
          <w:rFonts w:ascii="Times New Roman" w:hAnsi="Times New Roman" w:cs="Times New Roman"/>
          <w:sz w:val="24"/>
          <w:szCs w:val="24"/>
        </w:rPr>
        <w:t>i</w:t>
      </w:r>
      <w:r w:rsidRPr="00A07F29">
        <w:rPr>
          <w:rFonts w:ascii="Times New Roman" w:hAnsi="Times New Roman" w:cs="Times New Roman"/>
          <w:sz w:val="24"/>
          <w:szCs w:val="24"/>
        </w:rPr>
        <w:t xml:space="preserve">cams </w:t>
      </w:r>
      <w:r w:rsidR="00D56C16" w:rsidRPr="00A07F29">
        <w:rPr>
          <w:rFonts w:ascii="Times New Roman" w:hAnsi="Times New Roman" w:cs="Times New Roman"/>
          <w:sz w:val="24"/>
          <w:szCs w:val="24"/>
        </w:rPr>
        <w:t>ierīkot un uzturēt arī sauso tualeti un atkritumu tvertni.</w:t>
      </w:r>
    </w:p>
    <w:p w14:paraId="74C61919" w14:textId="5D883BA1" w:rsidR="00983E3B" w:rsidRPr="00A07F29" w:rsidRDefault="00983E3B" w:rsidP="00983E3B">
      <w:pPr>
        <w:spacing w:after="12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t>Zemesgabalā plānotos tūrisma infrastruktūras objektus ieteicams izvietot pļavas malās, bijušajā mājvietā un pie izraktajiem dīķiem, bet zemesgabalā esošo pārējo zālāju pļaut 1</w:t>
      </w:r>
      <w:r w:rsidR="00D543C5">
        <w:rPr>
          <w:rFonts w:ascii="Times New Roman" w:hAnsi="Times New Roman" w:cs="Times New Roman"/>
          <w:sz w:val="24"/>
          <w:szCs w:val="24"/>
        </w:rPr>
        <w:t> </w:t>
      </w:r>
      <w:r w:rsidRPr="00A07F29">
        <w:rPr>
          <w:rFonts w:ascii="Times New Roman" w:hAnsi="Times New Roman" w:cs="Times New Roman"/>
          <w:sz w:val="24"/>
          <w:szCs w:val="24"/>
        </w:rPr>
        <w:t>–</w:t>
      </w:r>
      <w:r w:rsidR="00D543C5">
        <w:rPr>
          <w:rFonts w:ascii="Times New Roman" w:hAnsi="Times New Roman" w:cs="Times New Roman"/>
          <w:sz w:val="24"/>
          <w:szCs w:val="24"/>
        </w:rPr>
        <w:t> </w:t>
      </w:r>
      <w:r w:rsidRPr="00A07F29">
        <w:rPr>
          <w:rFonts w:ascii="Times New Roman" w:hAnsi="Times New Roman" w:cs="Times New Roman"/>
          <w:sz w:val="24"/>
          <w:szCs w:val="24"/>
        </w:rPr>
        <w:t>2 reizes sezonā, novācot nopļauto, vai noganīt. Zālāja apsaimniekošana uzlabos gan tā sugu sastāvu, gan ainavisko pievilcību.</w:t>
      </w:r>
    </w:p>
    <w:p w14:paraId="6D8171C8" w14:textId="19A90114" w:rsidR="00C06474" w:rsidRPr="00A07F29" w:rsidRDefault="00983E3B" w:rsidP="00C06474">
      <w:pPr>
        <w:spacing w:after="12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t>Taka, kāpnes un skatu vietas gravā izveidojamas tā, lai neizraisītu eroziju, kā arī pēc iespējas saudzētu gravu un nogāžu meža biotopu un aizsargājamo sugu atradnes</w:t>
      </w:r>
      <w:r w:rsidR="00880E4F" w:rsidRPr="00A07F29">
        <w:rPr>
          <w:rFonts w:ascii="Times New Roman" w:hAnsi="Times New Roman" w:cs="Times New Roman"/>
          <w:sz w:val="24"/>
          <w:szCs w:val="24"/>
        </w:rPr>
        <w:t xml:space="preserve"> (skat. arī </w:t>
      </w:r>
      <w:r w:rsidR="00880E4F" w:rsidRPr="00A07F29">
        <w:rPr>
          <w:rFonts w:ascii="Times New Roman" w:hAnsi="Times New Roman" w:cs="Times New Roman"/>
          <w:sz w:val="24"/>
          <w:szCs w:val="24"/>
        </w:rPr>
        <w:lastRenderedPageBreak/>
        <w:t>E.1.1.</w:t>
      </w:r>
      <w:r w:rsidR="000B331A">
        <w:rPr>
          <w:rFonts w:ascii="Times New Roman" w:hAnsi="Times New Roman" w:cs="Times New Roman"/>
          <w:sz w:val="24"/>
          <w:szCs w:val="24"/>
        </w:rPr>
        <w:t> </w:t>
      </w:r>
      <w:r w:rsidR="00880E4F" w:rsidRPr="00A07F29">
        <w:rPr>
          <w:rFonts w:ascii="Times New Roman" w:hAnsi="Times New Roman" w:cs="Times New Roman"/>
          <w:sz w:val="24"/>
          <w:szCs w:val="24"/>
        </w:rPr>
        <w:t>pasākum</w:t>
      </w:r>
      <w:r w:rsidR="00B4427D">
        <w:rPr>
          <w:rFonts w:ascii="Times New Roman" w:hAnsi="Times New Roman" w:cs="Times New Roman"/>
          <w:sz w:val="24"/>
          <w:szCs w:val="24"/>
        </w:rPr>
        <w:t>u,</w:t>
      </w:r>
      <w:r w:rsidR="00880E4F" w:rsidRPr="00A07F29">
        <w:rPr>
          <w:rFonts w:ascii="Times New Roman" w:hAnsi="Times New Roman" w:cs="Times New Roman"/>
          <w:sz w:val="24"/>
          <w:szCs w:val="24"/>
        </w:rPr>
        <w:t xml:space="preserve"> 5.3.2.</w:t>
      </w:r>
      <w:r w:rsidR="000B331A">
        <w:rPr>
          <w:rFonts w:ascii="Times New Roman" w:hAnsi="Times New Roman" w:cs="Times New Roman"/>
          <w:sz w:val="24"/>
          <w:szCs w:val="24"/>
        </w:rPr>
        <w:t> </w:t>
      </w:r>
      <w:r w:rsidR="00880E4F" w:rsidRPr="00A07F29">
        <w:rPr>
          <w:rFonts w:ascii="Times New Roman" w:hAnsi="Times New Roman" w:cs="Times New Roman"/>
          <w:sz w:val="24"/>
          <w:szCs w:val="24"/>
        </w:rPr>
        <w:t xml:space="preserve">tabulas </w:t>
      </w:r>
      <w:r w:rsidR="00D33A75">
        <w:rPr>
          <w:rFonts w:ascii="Times New Roman" w:hAnsi="Times New Roman" w:cs="Times New Roman"/>
          <w:sz w:val="24"/>
          <w:szCs w:val="24"/>
        </w:rPr>
        <w:t>Nr. </w:t>
      </w:r>
      <w:r w:rsidR="00880E4F" w:rsidRPr="00A07F29">
        <w:rPr>
          <w:rFonts w:ascii="Times New Roman" w:hAnsi="Times New Roman" w:cs="Times New Roman"/>
          <w:sz w:val="24"/>
          <w:szCs w:val="24"/>
        </w:rPr>
        <w:t>29).</w:t>
      </w:r>
      <w:r w:rsidR="00C06474" w:rsidRPr="00A07F29">
        <w:rPr>
          <w:rFonts w:ascii="Times New Roman" w:hAnsi="Times New Roman" w:cs="Times New Roman"/>
          <w:sz w:val="24"/>
          <w:szCs w:val="24"/>
        </w:rPr>
        <w:t xml:space="preserve"> Saglabājamas un nepieciešamības gadījumā kopjamas zemesgabalā stādīto veco lapegļu u.c. koku rindas.</w:t>
      </w:r>
    </w:p>
    <w:p w14:paraId="52315377" w14:textId="6F57D4F9" w:rsidR="007005EF" w:rsidRPr="00A07F29" w:rsidRDefault="00880E4F" w:rsidP="00D56C16">
      <w:pPr>
        <w:spacing w:after="12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t>Ja tiek izveidota infrastruktūra atpūtai un Sproģu gravu apmeklēšanai, tad nepieciešams izvietot arī n</w:t>
      </w:r>
      <w:r w:rsidR="007005EF" w:rsidRPr="00A07F29">
        <w:rPr>
          <w:rFonts w:ascii="Times New Roman" w:hAnsi="Times New Roman" w:cs="Times New Roman"/>
          <w:sz w:val="24"/>
          <w:szCs w:val="24"/>
        </w:rPr>
        <w:t>orāde</w:t>
      </w:r>
      <w:r w:rsidR="00983E3B" w:rsidRPr="00A07F29">
        <w:rPr>
          <w:rFonts w:ascii="Times New Roman" w:hAnsi="Times New Roman" w:cs="Times New Roman"/>
          <w:sz w:val="24"/>
          <w:szCs w:val="24"/>
        </w:rPr>
        <w:t>s</w:t>
      </w:r>
      <w:r w:rsidR="007005EF" w:rsidRPr="00A07F29">
        <w:rPr>
          <w:rFonts w:ascii="Times New Roman" w:hAnsi="Times New Roman" w:cs="Times New Roman"/>
          <w:sz w:val="24"/>
          <w:szCs w:val="24"/>
        </w:rPr>
        <w:t xml:space="preserve"> uz Sproģu grav</w:t>
      </w:r>
      <w:r w:rsidRPr="00A07F29">
        <w:rPr>
          <w:rFonts w:ascii="Times New Roman" w:hAnsi="Times New Roman" w:cs="Times New Roman"/>
          <w:sz w:val="24"/>
          <w:szCs w:val="24"/>
        </w:rPr>
        <w:t>ām</w:t>
      </w:r>
      <w:r w:rsidR="007005EF" w:rsidRPr="00A07F29">
        <w:rPr>
          <w:rFonts w:ascii="Times New Roman" w:hAnsi="Times New Roman" w:cs="Times New Roman"/>
          <w:sz w:val="24"/>
          <w:szCs w:val="24"/>
        </w:rPr>
        <w:t xml:space="preserve"> un informācijas stend</w:t>
      </w:r>
      <w:r w:rsidRPr="00A07F29">
        <w:rPr>
          <w:rFonts w:ascii="Times New Roman" w:hAnsi="Times New Roman" w:cs="Times New Roman"/>
          <w:sz w:val="24"/>
          <w:szCs w:val="24"/>
        </w:rPr>
        <w:t xml:space="preserve">u </w:t>
      </w:r>
      <w:r w:rsidR="007005EF" w:rsidRPr="00A07F29">
        <w:rPr>
          <w:rFonts w:ascii="Times New Roman" w:hAnsi="Times New Roman" w:cs="Times New Roman"/>
          <w:sz w:val="24"/>
          <w:szCs w:val="24"/>
        </w:rPr>
        <w:t>par Sproģu grav</w:t>
      </w:r>
      <w:r w:rsidRPr="00A07F29">
        <w:rPr>
          <w:rFonts w:ascii="Times New Roman" w:hAnsi="Times New Roman" w:cs="Times New Roman"/>
          <w:sz w:val="24"/>
          <w:szCs w:val="24"/>
        </w:rPr>
        <w:t>ām (skat. C.1.2, C.1.5.</w:t>
      </w:r>
      <w:r w:rsidR="00B4427D">
        <w:rPr>
          <w:rFonts w:ascii="Times New Roman" w:hAnsi="Times New Roman" w:cs="Times New Roman"/>
          <w:sz w:val="24"/>
          <w:szCs w:val="24"/>
        </w:rPr>
        <w:t> </w:t>
      </w:r>
      <w:r w:rsidRPr="00A07F29">
        <w:rPr>
          <w:rFonts w:ascii="Times New Roman" w:hAnsi="Times New Roman" w:cs="Times New Roman"/>
          <w:sz w:val="24"/>
          <w:szCs w:val="24"/>
        </w:rPr>
        <w:t>pasākumu).</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1"/>
        <w:gridCol w:w="3942"/>
      </w:tblGrid>
      <w:tr w:rsidR="006D3393" w:rsidRPr="00A07F29" w14:paraId="73D078ED" w14:textId="77777777" w:rsidTr="63C42FA1">
        <w:trPr>
          <w:jc w:val="center"/>
        </w:trPr>
        <w:tc>
          <w:tcPr>
            <w:tcW w:w="5796" w:type="dxa"/>
            <w:vAlign w:val="bottom"/>
          </w:tcPr>
          <w:p w14:paraId="3E8D6DD4" w14:textId="77777777" w:rsidR="006D3393" w:rsidRPr="00A07F29" w:rsidRDefault="006D3393" w:rsidP="005D698E">
            <w:pPr>
              <w:spacing w:after="160" w:line="256" w:lineRule="auto"/>
              <w:contextualSpacing/>
              <w:jc w:val="center"/>
              <w:rPr>
                <w:rFonts w:ascii="Times New Roman" w:eastAsia="Calibri" w:hAnsi="Times New Roman" w:cs="Times New Roman"/>
                <w:sz w:val="24"/>
                <w:szCs w:val="24"/>
              </w:rPr>
            </w:pPr>
            <w:r w:rsidRPr="00A07F29">
              <w:rPr>
                <w:noProof/>
                <w:lang w:eastAsia="lv-LV"/>
              </w:rPr>
              <w:drawing>
                <wp:inline distT="0" distB="0" distL="0" distR="0" wp14:anchorId="1FBC0C58" wp14:editId="6E12095C">
                  <wp:extent cx="3140798" cy="2353482"/>
                  <wp:effectExtent l="0" t="0" r="2540" b="8890"/>
                  <wp:docPr id="17037178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21">
                            <a:extLst>
                              <a:ext uri="{28A0092B-C50C-407E-A947-70E740481C1C}">
                                <a14:useLocalDpi xmlns:a14="http://schemas.microsoft.com/office/drawing/2010/main"/>
                              </a:ext>
                            </a:extLst>
                          </a:blip>
                          <a:stretch>
                            <a:fillRect/>
                          </a:stretch>
                        </pic:blipFill>
                        <pic:spPr>
                          <a:xfrm>
                            <a:off x="0" y="0"/>
                            <a:ext cx="3140798" cy="2353482"/>
                          </a:xfrm>
                          <a:prstGeom prst="rect">
                            <a:avLst/>
                          </a:prstGeom>
                        </pic:spPr>
                      </pic:pic>
                    </a:graphicData>
                  </a:graphic>
                </wp:inline>
              </w:drawing>
            </w:r>
          </w:p>
        </w:tc>
        <w:tc>
          <w:tcPr>
            <w:tcW w:w="2838" w:type="dxa"/>
            <w:vAlign w:val="bottom"/>
          </w:tcPr>
          <w:p w14:paraId="52BB3AED" w14:textId="0DF851FC" w:rsidR="006D3393" w:rsidRPr="00A07F29" w:rsidRDefault="006E6A17" w:rsidP="006E6A17">
            <w:pPr>
              <w:spacing w:after="160" w:line="256" w:lineRule="auto"/>
              <w:contextualSpacing/>
              <w:rPr>
                <w:rFonts w:ascii="Times New Roman" w:eastAsia="Calibri" w:hAnsi="Times New Roman" w:cs="Times New Roman"/>
                <w:sz w:val="24"/>
                <w:szCs w:val="24"/>
              </w:rPr>
            </w:pPr>
            <w:r w:rsidRPr="00A07F29">
              <w:rPr>
                <w:noProof/>
                <w:lang w:eastAsia="lv-LV"/>
              </w:rPr>
              <w:drawing>
                <wp:inline distT="0" distB="0" distL="0" distR="0" wp14:anchorId="0A6DF1D0" wp14:editId="335BF57D">
                  <wp:extent cx="2366075" cy="3158288"/>
                  <wp:effectExtent l="0" t="0" r="0" b="4445"/>
                  <wp:docPr id="1703718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pic:nvPicPr>
                        <pic:blipFill>
                          <a:blip r:embed="rId122">
                            <a:extLst>
                              <a:ext uri="{28A0092B-C50C-407E-A947-70E740481C1C}">
                                <a14:useLocalDpi xmlns:a14="http://schemas.microsoft.com/office/drawing/2010/main"/>
                              </a:ext>
                            </a:extLst>
                          </a:blip>
                          <a:stretch>
                            <a:fillRect/>
                          </a:stretch>
                        </pic:blipFill>
                        <pic:spPr>
                          <a:xfrm>
                            <a:off x="0" y="0"/>
                            <a:ext cx="2366075" cy="3158288"/>
                          </a:xfrm>
                          <a:prstGeom prst="rect">
                            <a:avLst/>
                          </a:prstGeom>
                        </pic:spPr>
                      </pic:pic>
                    </a:graphicData>
                  </a:graphic>
                </wp:inline>
              </w:drawing>
            </w:r>
          </w:p>
        </w:tc>
      </w:tr>
      <w:tr w:rsidR="006E6A17" w:rsidRPr="00A07F29" w14:paraId="0D83EB50" w14:textId="77777777" w:rsidTr="63C42FA1">
        <w:trPr>
          <w:jc w:val="center"/>
        </w:trPr>
        <w:tc>
          <w:tcPr>
            <w:tcW w:w="5796" w:type="dxa"/>
            <w:vAlign w:val="bottom"/>
          </w:tcPr>
          <w:p w14:paraId="3B0C6569" w14:textId="4AFCD447" w:rsidR="006E6A17" w:rsidRPr="00D33A75" w:rsidRDefault="006E6A17" w:rsidP="00783637">
            <w:pPr>
              <w:contextualSpacing/>
              <w:rPr>
                <w:sz w:val="20"/>
                <w:szCs w:val="20"/>
              </w:rPr>
            </w:pPr>
            <w:r w:rsidRPr="00D33A75">
              <w:rPr>
                <w:rFonts w:ascii="Times New Roman" w:eastAsia="Times New Roman" w:hAnsi="Times New Roman" w:cs="Times New Roman"/>
                <w:bCs/>
                <w:color w:val="000000"/>
                <w:sz w:val="20"/>
                <w:szCs w:val="20"/>
              </w:rPr>
              <w:t>5.3.</w:t>
            </w:r>
            <w:r w:rsidR="008D213A" w:rsidRPr="00D33A75">
              <w:rPr>
                <w:rFonts w:ascii="Times New Roman" w:eastAsia="Times New Roman" w:hAnsi="Times New Roman" w:cs="Times New Roman"/>
                <w:bCs/>
                <w:color w:val="000000"/>
                <w:sz w:val="20"/>
                <w:szCs w:val="20"/>
              </w:rPr>
              <w:t>2</w:t>
            </w:r>
            <w:r w:rsidR="00D33A75" w:rsidRPr="00D33A75">
              <w:rPr>
                <w:rFonts w:ascii="Times New Roman" w:eastAsia="Times New Roman" w:hAnsi="Times New Roman" w:cs="Times New Roman"/>
                <w:bCs/>
                <w:color w:val="000000"/>
                <w:sz w:val="20"/>
                <w:szCs w:val="20"/>
              </w:rPr>
              <w:t>3</w:t>
            </w:r>
            <w:r w:rsidRPr="00D33A75">
              <w:rPr>
                <w:rFonts w:ascii="Times New Roman" w:eastAsia="Times New Roman" w:hAnsi="Times New Roman" w:cs="Times New Roman"/>
                <w:bCs/>
                <w:color w:val="000000"/>
                <w:sz w:val="20"/>
                <w:szCs w:val="20"/>
              </w:rPr>
              <w:t>.</w:t>
            </w:r>
            <w:r w:rsidR="00D33A75" w:rsidRPr="00D33A75">
              <w:rPr>
                <w:rFonts w:ascii="Times New Roman" w:eastAsia="Times New Roman" w:hAnsi="Times New Roman" w:cs="Times New Roman"/>
                <w:bCs/>
                <w:color w:val="000000"/>
                <w:sz w:val="20"/>
                <w:szCs w:val="20"/>
              </w:rPr>
              <w:t> </w:t>
            </w:r>
            <w:r w:rsidRPr="00D33A75">
              <w:rPr>
                <w:rFonts w:ascii="Times New Roman" w:eastAsia="Times New Roman" w:hAnsi="Times New Roman" w:cs="Times New Roman"/>
                <w:bCs/>
                <w:color w:val="000000"/>
                <w:sz w:val="20"/>
                <w:szCs w:val="20"/>
              </w:rPr>
              <w:t xml:space="preserve">attēls. </w:t>
            </w:r>
            <w:r w:rsidRPr="00D33A75">
              <w:rPr>
                <w:rFonts w:ascii="Times New Roman" w:eastAsia="Calibri" w:hAnsi="Times New Roman" w:cs="Times New Roman"/>
                <w:bCs/>
                <w:sz w:val="20"/>
                <w:szCs w:val="20"/>
              </w:rPr>
              <w:t xml:space="preserve">Pļava, kas jāšķērso, lai nokļūtu līdz informācijas stendam un skatu vietai </w:t>
            </w:r>
            <w:r w:rsidR="00783637" w:rsidRPr="00D33A75">
              <w:rPr>
                <w:rFonts w:ascii="Times New Roman" w:eastAsia="Calibri" w:hAnsi="Times New Roman" w:cs="Times New Roman"/>
                <w:bCs/>
                <w:sz w:val="20"/>
                <w:szCs w:val="20"/>
              </w:rPr>
              <w:t xml:space="preserve">pie </w:t>
            </w:r>
            <w:r w:rsidRPr="00D33A75">
              <w:rPr>
                <w:rFonts w:ascii="Times New Roman" w:eastAsia="Calibri" w:hAnsi="Times New Roman" w:cs="Times New Roman"/>
                <w:bCs/>
                <w:sz w:val="20"/>
                <w:szCs w:val="20"/>
              </w:rPr>
              <w:t>Sproģu gravā</w:t>
            </w:r>
            <w:r w:rsidR="00783637" w:rsidRPr="00D33A75">
              <w:rPr>
                <w:rFonts w:ascii="Times New Roman" w:eastAsia="Calibri" w:hAnsi="Times New Roman" w:cs="Times New Roman"/>
                <w:bCs/>
                <w:sz w:val="20"/>
                <w:szCs w:val="20"/>
              </w:rPr>
              <w:t>m</w:t>
            </w:r>
            <w:r w:rsidRPr="00D33A75">
              <w:rPr>
                <w:rFonts w:ascii="Times New Roman" w:eastAsia="Calibri" w:hAnsi="Times New Roman" w:cs="Times New Roman"/>
                <w:bCs/>
                <w:sz w:val="20"/>
                <w:szCs w:val="20"/>
              </w:rPr>
              <w:t xml:space="preserve"> (foto: K.</w:t>
            </w:r>
            <w:r w:rsidR="00D33A75" w:rsidRPr="00D33A75">
              <w:rPr>
                <w:rFonts w:ascii="Times New Roman" w:eastAsia="Calibri" w:hAnsi="Times New Roman" w:cs="Times New Roman"/>
                <w:bCs/>
                <w:sz w:val="20"/>
                <w:szCs w:val="20"/>
              </w:rPr>
              <w:t> </w:t>
            </w:r>
            <w:r w:rsidRPr="00D33A75">
              <w:rPr>
                <w:rFonts w:ascii="Times New Roman" w:eastAsia="Calibri" w:hAnsi="Times New Roman" w:cs="Times New Roman"/>
                <w:bCs/>
                <w:sz w:val="20"/>
                <w:szCs w:val="20"/>
              </w:rPr>
              <w:t>Seržante</w:t>
            </w:r>
            <w:r w:rsidR="00783637" w:rsidRPr="00D33A75">
              <w:rPr>
                <w:rFonts w:ascii="Times New Roman" w:eastAsia="Calibri" w:hAnsi="Times New Roman" w:cs="Times New Roman"/>
                <w:bCs/>
                <w:sz w:val="20"/>
                <w:szCs w:val="20"/>
              </w:rPr>
              <w:t>).</w:t>
            </w:r>
          </w:p>
        </w:tc>
        <w:tc>
          <w:tcPr>
            <w:tcW w:w="2838" w:type="dxa"/>
            <w:vAlign w:val="bottom"/>
          </w:tcPr>
          <w:p w14:paraId="659B2FC1" w14:textId="6FE3DD89" w:rsidR="006E6A17" w:rsidRPr="001E7317" w:rsidRDefault="006E6A17" w:rsidP="008D213A">
            <w:pPr>
              <w:contextualSpacing/>
              <w:jc w:val="both"/>
              <w:rPr>
                <w:rFonts w:ascii="Times New Roman" w:eastAsia="Times New Roman" w:hAnsi="Times New Roman" w:cs="Times New Roman"/>
                <w:bCs/>
                <w:color w:val="000000"/>
                <w:sz w:val="20"/>
                <w:szCs w:val="20"/>
              </w:rPr>
            </w:pPr>
            <w:r w:rsidRPr="001E7317">
              <w:rPr>
                <w:rFonts w:ascii="Times New Roman" w:eastAsia="Calibri" w:hAnsi="Times New Roman" w:cs="Times New Roman"/>
                <w:sz w:val="20"/>
                <w:szCs w:val="20"/>
              </w:rPr>
              <w:t>5.3.</w:t>
            </w:r>
            <w:r w:rsidR="008D213A" w:rsidRPr="001E7317">
              <w:rPr>
                <w:rFonts w:ascii="Times New Roman" w:eastAsia="Calibri" w:hAnsi="Times New Roman" w:cs="Times New Roman"/>
                <w:sz w:val="20"/>
                <w:szCs w:val="20"/>
              </w:rPr>
              <w:t>2</w:t>
            </w:r>
            <w:r w:rsidR="00D33A75" w:rsidRPr="001E7317">
              <w:rPr>
                <w:rFonts w:ascii="Times New Roman" w:eastAsia="Calibri" w:hAnsi="Times New Roman" w:cs="Times New Roman"/>
                <w:sz w:val="20"/>
                <w:szCs w:val="20"/>
              </w:rPr>
              <w:t>4</w:t>
            </w:r>
            <w:r w:rsidRPr="001E7317">
              <w:rPr>
                <w:rFonts w:ascii="Times New Roman" w:eastAsia="Calibri" w:hAnsi="Times New Roman" w:cs="Times New Roman"/>
                <w:sz w:val="20"/>
                <w:szCs w:val="20"/>
              </w:rPr>
              <w:t>.</w:t>
            </w:r>
            <w:r w:rsidR="00D33A75" w:rsidRPr="001E7317">
              <w:rPr>
                <w:rFonts w:ascii="Times New Roman" w:eastAsia="Calibri" w:hAnsi="Times New Roman" w:cs="Times New Roman"/>
                <w:sz w:val="20"/>
                <w:szCs w:val="20"/>
              </w:rPr>
              <w:t> </w:t>
            </w:r>
            <w:r w:rsidRPr="001E7317">
              <w:rPr>
                <w:rFonts w:ascii="Times New Roman" w:eastAsia="Calibri" w:hAnsi="Times New Roman" w:cs="Times New Roman"/>
                <w:sz w:val="20"/>
                <w:szCs w:val="20"/>
              </w:rPr>
              <w:t>att</w:t>
            </w:r>
            <w:r w:rsidR="00D33A75" w:rsidRPr="001E7317">
              <w:rPr>
                <w:rFonts w:ascii="Times New Roman" w:eastAsia="Calibri" w:hAnsi="Times New Roman" w:cs="Times New Roman"/>
                <w:sz w:val="20"/>
                <w:szCs w:val="20"/>
              </w:rPr>
              <w:t>ēls</w:t>
            </w:r>
            <w:r w:rsidRPr="001E7317">
              <w:rPr>
                <w:rFonts w:ascii="Times New Roman" w:eastAsia="Calibri" w:hAnsi="Times New Roman" w:cs="Times New Roman"/>
                <w:sz w:val="20"/>
                <w:szCs w:val="20"/>
              </w:rPr>
              <w:t>. Esošā iemītā taciņa pie Sproģu gravām, kas aiziet no pļavas lejā līdz Daugavai (foto: K.</w:t>
            </w:r>
            <w:r w:rsidR="001E7317" w:rsidRPr="001E7317">
              <w:rPr>
                <w:rFonts w:ascii="Times New Roman" w:eastAsia="Calibri" w:hAnsi="Times New Roman" w:cs="Times New Roman"/>
                <w:sz w:val="20"/>
                <w:szCs w:val="20"/>
              </w:rPr>
              <w:t> </w:t>
            </w:r>
            <w:r w:rsidRPr="001E7317">
              <w:rPr>
                <w:rFonts w:ascii="Times New Roman" w:eastAsia="Calibri" w:hAnsi="Times New Roman" w:cs="Times New Roman"/>
                <w:sz w:val="20"/>
                <w:szCs w:val="20"/>
              </w:rPr>
              <w:t>Seržante).</w:t>
            </w:r>
          </w:p>
        </w:tc>
      </w:tr>
    </w:tbl>
    <w:p w14:paraId="6E4A0EF7" w14:textId="77777777" w:rsidR="006E6A17" w:rsidRPr="00A07F29" w:rsidRDefault="006E6A17" w:rsidP="00D56C16">
      <w:pPr>
        <w:spacing w:after="120" w:line="240" w:lineRule="auto"/>
        <w:jc w:val="both"/>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33"/>
      </w:tblGrid>
      <w:tr w:rsidR="006D3393" w:rsidRPr="00A07F29" w14:paraId="58AD03E0" w14:textId="77777777" w:rsidTr="63C42FA1">
        <w:tc>
          <w:tcPr>
            <w:tcW w:w="9344" w:type="dxa"/>
          </w:tcPr>
          <w:p w14:paraId="036F1CB5" w14:textId="78E8188A" w:rsidR="006D3393" w:rsidRPr="00A07F29" w:rsidRDefault="008D213A" w:rsidP="005D698E">
            <w:pPr>
              <w:spacing w:line="256" w:lineRule="auto"/>
              <w:jc w:val="both"/>
              <w:rPr>
                <w:rFonts w:ascii="Times New Roman" w:eastAsia="Calibri" w:hAnsi="Times New Roman" w:cs="Times New Roman"/>
                <w:sz w:val="24"/>
                <w:szCs w:val="24"/>
              </w:rPr>
            </w:pPr>
            <w:r w:rsidRPr="00A07F29">
              <w:rPr>
                <w:noProof/>
                <w:lang w:eastAsia="lv-LV"/>
              </w:rPr>
              <w:lastRenderedPageBreak/>
              <w:drawing>
                <wp:inline distT="0" distB="0" distL="0" distR="0" wp14:anchorId="1CACAA29" wp14:editId="39A264C1">
                  <wp:extent cx="5731510" cy="4051935"/>
                  <wp:effectExtent l="0" t="0" r="2540" b="5715"/>
                  <wp:docPr id="918145596" name="Picture 918145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8145596"/>
                          <pic:cNvPicPr/>
                        </pic:nvPicPr>
                        <pic:blipFill>
                          <a:blip r:embed="rId123">
                            <a:extLst>
                              <a:ext uri="{28A0092B-C50C-407E-A947-70E740481C1C}">
                                <a14:useLocalDpi xmlns:a14="http://schemas.microsoft.com/office/drawing/2010/main" val="0"/>
                              </a:ext>
                            </a:extLst>
                          </a:blip>
                          <a:stretch>
                            <a:fillRect/>
                          </a:stretch>
                        </pic:blipFill>
                        <pic:spPr>
                          <a:xfrm>
                            <a:off x="0" y="0"/>
                            <a:ext cx="5731510" cy="4051935"/>
                          </a:xfrm>
                          <a:prstGeom prst="rect">
                            <a:avLst/>
                          </a:prstGeom>
                        </pic:spPr>
                      </pic:pic>
                    </a:graphicData>
                  </a:graphic>
                </wp:inline>
              </w:drawing>
            </w:r>
          </w:p>
        </w:tc>
      </w:tr>
      <w:tr w:rsidR="006D3393" w:rsidRPr="00A07F29" w14:paraId="772A266B" w14:textId="77777777" w:rsidTr="63C42FA1">
        <w:tc>
          <w:tcPr>
            <w:tcW w:w="9344" w:type="dxa"/>
          </w:tcPr>
          <w:p w14:paraId="007A8417" w14:textId="779975B7" w:rsidR="006D3393" w:rsidRPr="001E7317" w:rsidRDefault="006D3393" w:rsidP="008D213A">
            <w:pPr>
              <w:spacing w:line="256" w:lineRule="auto"/>
              <w:jc w:val="both"/>
              <w:rPr>
                <w:rFonts w:ascii="Times New Roman" w:eastAsia="Calibri" w:hAnsi="Times New Roman" w:cs="Times New Roman"/>
                <w:sz w:val="20"/>
                <w:szCs w:val="20"/>
              </w:rPr>
            </w:pPr>
            <w:r w:rsidRPr="001E7317">
              <w:rPr>
                <w:rFonts w:ascii="Times New Roman" w:eastAsia="Times New Roman" w:hAnsi="Times New Roman" w:cs="Times New Roman"/>
                <w:bCs/>
                <w:color w:val="000000"/>
                <w:sz w:val="20"/>
                <w:szCs w:val="20"/>
              </w:rPr>
              <w:t>5.3.</w:t>
            </w:r>
            <w:r w:rsidR="008D213A" w:rsidRPr="001E7317">
              <w:rPr>
                <w:rFonts w:ascii="Times New Roman" w:eastAsia="Times New Roman" w:hAnsi="Times New Roman" w:cs="Times New Roman"/>
                <w:bCs/>
                <w:color w:val="000000"/>
                <w:sz w:val="20"/>
                <w:szCs w:val="20"/>
              </w:rPr>
              <w:t>2</w:t>
            </w:r>
            <w:r w:rsidR="001E7317" w:rsidRPr="001E7317">
              <w:rPr>
                <w:rFonts w:ascii="Times New Roman" w:eastAsia="Times New Roman" w:hAnsi="Times New Roman" w:cs="Times New Roman"/>
                <w:bCs/>
                <w:color w:val="000000"/>
                <w:sz w:val="20"/>
                <w:szCs w:val="20"/>
              </w:rPr>
              <w:t>5</w:t>
            </w:r>
            <w:r w:rsidRPr="001E7317">
              <w:rPr>
                <w:rFonts w:ascii="Times New Roman" w:eastAsia="Times New Roman" w:hAnsi="Times New Roman" w:cs="Times New Roman"/>
                <w:bCs/>
                <w:color w:val="000000"/>
                <w:sz w:val="20"/>
                <w:szCs w:val="20"/>
              </w:rPr>
              <w:t>.</w:t>
            </w:r>
            <w:r w:rsidR="001E7317" w:rsidRPr="001E7317">
              <w:rPr>
                <w:rFonts w:ascii="Times New Roman" w:eastAsia="Times New Roman" w:hAnsi="Times New Roman" w:cs="Times New Roman"/>
                <w:bCs/>
                <w:color w:val="000000"/>
                <w:sz w:val="20"/>
                <w:szCs w:val="20"/>
              </w:rPr>
              <w:t> </w:t>
            </w:r>
            <w:r w:rsidRPr="001E7317">
              <w:rPr>
                <w:rFonts w:ascii="Times New Roman" w:eastAsia="Times New Roman" w:hAnsi="Times New Roman" w:cs="Times New Roman"/>
                <w:bCs/>
                <w:color w:val="000000"/>
                <w:sz w:val="20"/>
                <w:szCs w:val="20"/>
              </w:rPr>
              <w:t>attēls.</w:t>
            </w:r>
            <w:r w:rsidRPr="001E7317">
              <w:rPr>
                <w:sz w:val="20"/>
                <w:szCs w:val="20"/>
              </w:rPr>
              <w:t xml:space="preserve"> </w:t>
            </w:r>
            <w:r w:rsidRPr="001E7317">
              <w:rPr>
                <w:rFonts w:ascii="Times New Roman" w:eastAsia="Times New Roman" w:hAnsi="Times New Roman" w:cs="Times New Roman"/>
                <w:bCs/>
                <w:color w:val="000000"/>
                <w:sz w:val="20"/>
                <w:szCs w:val="20"/>
              </w:rPr>
              <w:t>Pasākumi Sproģu gravu tūrisma infrastruktūras uzlabošanai</w:t>
            </w:r>
          </w:p>
        </w:tc>
      </w:tr>
    </w:tbl>
    <w:p w14:paraId="6740129E" w14:textId="1A913655" w:rsidR="00D56C16" w:rsidRPr="00A07F29" w:rsidRDefault="00D56C16" w:rsidP="00FE71AD">
      <w:pPr>
        <w:keepNext/>
        <w:spacing w:before="240" w:after="120" w:line="240" w:lineRule="auto"/>
        <w:jc w:val="both"/>
        <w:rPr>
          <w:rFonts w:ascii="Times New Roman" w:hAnsi="Times New Roman" w:cs="Times New Roman"/>
          <w:b/>
          <w:i/>
          <w:sz w:val="24"/>
          <w:szCs w:val="24"/>
        </w:rPr>
      </w:pPr>
      <w:r w:rsidRPr="00A07F29">
        <w:rPr>
          <w:rFonts w:ascii="Times New Roman" w:hAnsi="Times New Roman" w:cs="Times New Roman"/>
          <w:b/>
          <w:i/>
          <w:sz w:val="24"/>
          <w:szCs w:val="24"/>
        </w:rPr>
        <w:t>D.1.</w:t>
      </w:r>
      <w:r w:rsidR="00055FA8" w:rsidRPr="00A07F29">
        <w:rPr>
          <w:rFonts w:ascii="Times New Roman" w:hAnsi="Times New Roman" w:cs="Times New Roman"/>
          <w:b/>
          <w:i/>
          <w:sz w:val="24"/>
          <w:szCs w:val="24"/>
        </w:rPr>
        <w:t>5</w:t>
      </w:r>
      <w:r w:rsidRPr="00A07F29">
        <w:rPr>
          <w:rFonts w:ascii="Times New Roman" w:hAnsi="Times New Roman" w:cs="Times New Roman"/>
          <w:b/>
          <w:i/>
          <w:sz w:val="24"/>
          <w:szCs w:val="24"/>
        </w:rPr>
        <w:t>. Krāslavas promen</w:t>
      </w:r>
      <w:r w:rsidR="001D778B" w:rsidRPr="00A07F29">
        <w:rPr>
          <w:rFonts w:ascii="Times New Roman" w:hAnsi="Times New Roman" w:cs="Times New Roman"/>
          <w:b/>
          <w:i/>
          <w:sz w:val="24"/>
          <w:szCs w:val="24"/>
        </w:rPr>
        <w:t>ā</w:t>
      </w:r>
      <w:r w:rsidRPr="00A07F29">
        <w:rPr>
          <w:rFonts w:ascii="Times New Roman" w:hAnsi="Times New Roman" w:cs="Times New Roman"/>
          <w:b/>
          <w:i/>
          <w:sz w:val="24"/>
          <w:szCs w:val="24"/>
        </w:rPr>
        <w:t>des izveidošana un uzturēšana</w:t>
      </w:r>
    </w:p>
    <w:p w14:paraId="20172B77" w14:textId="08DA035B" w:rsidR="00D56C16" w:rsidRPr="00A07F29" w:rsidRDefault="008C278A" w:rsidP="008D213A">
      <w:pPr>
        <w:spacing w:after="12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t>P</w:t>
      </w:r>
      <w:r w:rsidR="00D56C16" w:rsidRPr="00A07F29">
        <w:rPr>
          <w:rFonts w:ascii="Times New Roman" w:hAnsi="Times New Roman" w:cs="Times New Roman"/>
          <w:sz w:val="24"/>
          <w:szCs w:val="24"/>
        </w:rPr>
        <w:t xml:space="preserve">lānots izveidot Krāslavas promenādi </w:t>
      </w:r>
      <w:proofErr w:type="spellStart"/>
      <w:r w:rsidR="00A25A2F" w:rsidRPr="00A07F29">
        <w:rPr>
          <w:rFonts w:ascii="Times New Roman" w:hAnsi="Times New Roman" w:cs="Times New Roman"/>
          <w:sz w:val="24"/>
          <w:szCs w:val="24"/>
        </w:rPr>
        <w:t>Parceltuves</w:t>
      </w:r>
      <w:proofErr w:type="spellEnd"/>
      <w:r w:rsidR="00A25A2F" w:rsidRPr="00A07F29">
        <w:rPr>
          <w:rFonts w:ascii="Times New Roman" w:hAnsi="Times New Roman" w:cs="Times New Roman"/>
          <w:sz w:val="24"/>
          <w:szCs w:val="24"/>
        </w:rPr>
        <w:t xml:space="preserve">, </w:t>
      </w:r>
      <w:r w:rsidR="00D56C16" w:rsidRPr="00A07F29">
        <w:rPr>
          <w:rFonts w:ascii="Times New Roman" w:hAnsi="Times New Roman" w:cs="Times New Roman"/>
          <w:sz w:val="24"/>
          <w:szCs w:val="24"/>
        </w:rPr>
        <w:t>Kaplavas un Vidzemes ielās, kas savienotos ar Adamovas skatu platformu</w:t>
      </w:r>
      <w:r w:rsidR="008D213A" w:rsidRPr="00A07F29">
        <w:rPr>
          <w:rFonts w:ascii="Times New Roman" w:hAnsi="Times New Roman" w:cs="Times New Roman"/>
          <w:sz w:val="24"/>
          <w:szCs w:val="24"/>
        </w:rPr>
        <w:t xml:space="preserve"> (skat. 5.3.</w:t>
      </w:r>
      <w:r w:rsidR="004D6C16">
        <w:rPr>
          <w:rFonts w:ascii="Times New Roman" w:hAnsi="Times New Roman" w:cs="Times New Roman"/>
          <w:sz w:val="24"/>
          <w:szCs w:val="24"/>
        </w:rPr>
        <w:t>20</w:t>
      </w:r>
      <w:r w:rsidR="008D213A" w:rsidRPr="00A07F29">
        <w:rPr>
          <w:rFonts w:ascii="Times New Roman" w:hAnsi="Times New Roman" w:cs="Times New Roman"/>
          <w:sz w:val="24"/>
          <w:szCs w:val="24"/>
        </w:rPr>
        <w:t>.</w:t>
      </w:r>
      <w:r w:rsidR="00260958">
        <w:rPr>
          <w:rFonts w:ascii="Times New Roman" w:hAnsi="Times New Roman" w:cs="Times New Roman"/>
          <w:sz w:val="24"/>
          <w:szCs w:val="24"/>
        </w:rPr>
        <w:t> </w:t>
      </w:r>
      <w:r w:rsidR="008D213A" w:rsidRPr="00A07F29">
        <w:rPr>
          <w:rFonts w:ascii="Times New Roman" w:hAnsi="Times New Roman" w:cs="Times New Roman"/>
          <w:sz w:val="24"/>
          <w:szCs w:val="24"/>
        </w:rPr>
        <w:t>attēlu).</w:t>
      </w:r>
    </w:p>
    <w:p w14:paraId="6172E480" w14:textId="3BB0C8D3" w:rsidR="00D56C16" w:rsidRPr="00A07F29" w:rsidRDefault="00D56C16" w:rsidP="00C85F7D">
      <w:pPr>
        <w:spacing w:after="12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t xml:space="preserve">Daugavas krastā pie Krāslavas promenādes Kaplavas vai Vidzemes ielā plānots uzstādīt skulptūru grupu “Daugavas racēji” un </w:t>
      </w:r>
      <w:r w:rsidR="00C870C7" w:rsidRPr="00A07F29">
        <w:rPr>
          <w:rFonts w:ascii="Times New Roman" w:hAnsi="Times New Roman" w:cs="Times New Roman"/>
          <w:sz w:val="24"/>
          <w:szCs w:val="24"/>
        </w:rPr>
        <w:t xml:space="preserve">ieteicams uzstādīt arī </w:t>
      </w:r>
      <w:r w:rsidRPr="00A07F29">
        <w:rPr>
          <w:rFonts w:ascii="Times New Roman" w:hAnsi="Times New Roman" w:cs="Times New Roman"/>
          <w:sz w:val="24"/>
          <w:szCs w:val="24"/>
        </w:rPr>
        <w:t>informācijas stendu, kurā aprakstīta teika par Daugavas rakšanu ar skaidrojumu, kā upe ieguvusi tās lokus.</w:t>
      </w:r>
    </w:p>
    <w:p w14:paraId="0FB4E0C3" w14:textId="0E29B0D9" w:rsidR="00D56C16" w:rsidRPr="00A07F29" w:rsidRDefault="00D56C16" w:rsidP="00C85F7D">
      <w:pPr>
        <w:keepNext/>
        <w:spacing w:before="240" w:after="120" w:line="240" w:lineRule="auto"/>
        <w:jc w:val="both"/>
        <w:rPr>
          <w:rFonts w:ascii="Times New Roman" w:hAnsi="Times New Roman" w:cs="Times New Roman"/>
          <w:b/>
          <w:i/>
          <w:sz w:val="24"/>
          <w:szCs w:val="24"/>
        </w:rPr>
      </w:pPr>
      <w:r w:rsidRPr="00A07F29">
        <w:rPr>
          <w:rFonts w:ascii="Times New Roman" w:hAnsi="Times New Roman" w:cs="Times New Roman"/>
          <w:b/>
          <w:i/>
          <w:sz w:val="24"/>
          <w:szCs w:val="24"/>
        </w:rPr>
        <w:t>D.1.</w:t>
      </w:r>
      <w:r w:rsidR="00055FA8" w:rsidRPr="00A07F29">
        <w:rPr>
          <w:rFonts w:ascii="Times New Roman" w:hAnsi="Times New Roman" w:cs="Times New Roman"/>
          <w:b/>
          <w:i/>
          <w:sz w:val="24"/>
          <w:szCs w:val="24"/>
        </w:rPr>
        <w:t>6</w:t>
      </w:r>
      <w:r w:rsidRPr="00A07F29">
        <w:rPr>
          <w:rFonts w:ascii="Times New Roman" w:hAnsi="Times New Roman" w:cs="Times New Roman"/>
          <w:b/>
          <w:i/>
          <w:sz w:val="24"/>
          <w:szCs w:val="24"/>
        </w:rPr>
        <w:t>. Pārceltuves pār Daugavu ierīkošana un uzturēšana</w:t>
      </w:r>
    </w:p>
    <w:p w14:paraId="291F5FA6" w14:textId="7B5AA05F" w:rsidR="00D56C16" w:rsidRPr="00A07F29" w:rsidRDefault="00D57648" w:rsidP="00D56C16">
      <w:pPr>
        <w:spacing w:after="12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t>Ieteicams</w:t>
      </w:r>
      <w:r w:rsidR="00D56C16" w:rsidRPr="00A07F29">
        <w:rPr>
          <w:rFonts w:ascii="Times New Roman" w:hAnsi="Times New Roman" w:cs="Times New Roman"/>
          <w:sz w:val="24"/>
          <w:szCs w:val="24"/>
        </w:rPr>
        <w:t xml:space="preserve"> ierīkot pārceltuvi pār Daugavu starp </w:t>
      </w:r>
      <w:proofErr w:type="spellStart"/>
      <w:r w:rsidR="00D56C16" w:rsidRPr="00A07F29">
        <w:rPr>
          <w:rFonts w:ascii="Times New Roman" w:hAnsi="Times New Roman" w:cs="Times New Roman"/>
          <w:sz w:val="24"/>
          <w:szCs w:val="24"/>
        </w:rPr>
        <w:t>Lielborni</w:t>
      </w:r>
      <w:proofErr w:type="spellEnd"/>
      <w:r w:rsidR="00D56C16" w:rsidRPr="00A07F29">
        <w:rPr>
          <w:rFonts w:ascii="Times New Roman" w:hAnsi="Times New Roman" w:cs="Times New Roman"/>
          <w:sz w:val="24"/>
          <w:szCs w:val="24"/>
        </w:rPr>
        <w:t xml:space="preserve"> un </w:t>
      </w:r>
      <w:proofErr w:type="spellStart"/>
      <w:r w:rsidR="00D56C16" w:rsidRPr="00A07F29">
        <w:rPr>
          <w:rFonts w:ascii="Times New Roman" w:hAnsi="Times New Roman" w:cs="Times New Roman"/>
          <w:sz w:val="24"/>
          <w:szCs w:val="24"/>
        </w:rPr>
        <w:t>Augustiniškiem</w:t>
      </w:r>
      <w:proofErr w:type="spellEnd"/>
      <w:r w:rsidR="00D56C16" w:rsidRPr="00A07F29">
        <w:rPr>
          <w:rFonts w:ascii="Times New Roman" w:hAnsi="Times New Roman" w:cs="Times New Roman"/>
          <w:sz w:val="24"/>
          <w:szCs w:val="24"/>
        </w:rPr>
        <w:t xml:space="preserve"> (līdzīgu kā ir Līgatnes pārceltuve Gaujas nacionālajā parkā), tādējādi paplašinot Daugavas šķērsošanas iespējas gan tūristiem, gan vietējiem iedzīvotājiem, kā arī paplašinot tūristu a</w:t>
      </w:r>
      <w:r w:rsidRPr="00A07F29">
        <w:rPr>
          <w:rFonts w:ascii="Times New Roman" w:hAnsi="Times New Roman" w:cs="Times New Roman"/>
          <w:sz w:val="24"/>
          <w:szCs w:val="24"/>
        </w:rPr>
        <w:t>ktivitāšu</w:t>
      </w:r>
      <w:r w:rsidR="00D56C16" w:rsidRPr="00A07F29">
        <w:rPr>
          <w:rFonts w:ascii="Times New Roman" w:hAnsi="Times New Roman" w:cs="Times New Roman"/>
          <w:sz w:val="24"/>
          <w:szCs w:val="24"/>
        </w:rPr>
        <w:t xml:space="preserve"> klāstu </w:t>
      </w:r>
      <w:r w:rsidR="00266B9F">
        <w:rPr>
          <w:rFonts w:ascii="Times New Roman" w:hAnsi="Times New Roman" w:cs="Times New Roman"/>
          <w:sz w:val="24"/>
          <w:szCs w:val="24"/>
        </w:rPr>
        <w:t xml:space="preserve">AAA </w:t>
      </w:r>
      <w:r w:rsidR="00D56C16" w:rsidRPr="00A07F29">
        <w:rPr>
          <w:rFonts w:ascii="Times New Roman" w:hAnsi="Times New Roman" w:cs="Times New Roman"/>
          <w:sz w:val="24"/>
          <w:szCs w:val="24"/>
        </w:rPr>
        <w:t>“Augšdaugavā”.</w:t>
      </w:r>
    </w:p>
    <w:p w14:paraId="6E34C3BB" w14:textId="2D7B5D15" w:rsidR="00D57648" w:rsidRPr="00A07F29" w:rsidRDefault="00D57648" w:rsidP="00D56C16">
      <w:pPr>
        <w:spacing w:after="12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t>Pārceltuves atrašanās vieta un tehniskais risinājums (tikai gājējiem un velobraucējiem vai arī automašīnām) precizējama pirms pasākuma īstenošanas, ņemot vērā piebraucamā ceļa izbūves iespējas, tostarp zemes īpašnieku viedokli, kā arī aizsargājamo sugu un biotopu atradnes.</w:t>
      </w:r>
    </w:p>
    <w:p w14:paraId="33A52FBC" w14:textId="447554F6" w:rsidR="00D56C16" w:rsidRPr="00A07F29" w:rsidRDefault="008D213A" w:rsidP="00D56C16">
      <w:pPr>
        <w:spacing w:after="120" w:line="240" w:lineRule="auto"/>
        <w:jc w:val="both"/>
        <w:rPr>
          <w:rFonts w:ascii="Times New Roman" w:hAnsi="Times New Roman" w:cs="Times New Roman"/>
          <w:sz w:val="24"/>
          <w:szCs w:val="24"/>
        </w:rPr>
      </w:pPr>
      <w:r w:rsidRPr="00A07F29">
        <w:rPr>
          <w:noProof/>
          <w:lang w:eastAsia="lv-LV"/>
        </w:rPr>
        <w:lastRenderedPageBreak/>
        <w:drawing>
          <wp:inline distT="0" distB="0" distL="0" distR="0" wp14:anchorId="64493150" wp14:editId="163BAB07">
            <wp:extent cx="5731510" cy="4051935"/>
            <wp:effectExtent l="0" t="0" r="2540" b="5715"/>
            <wp:docPr id="918145597" name="Picture 918145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8145597"/>
                    <pic:cNvPicPr/>
                  </pic:nvPicPr>
                  <pic:blipFill>
                    <a:blip r:embed="rId124">
                      <a:extLst>
                        <a:ext uri="{28A0092B-C50C-407E-A947-70E740481C1C}">
                          <a14:useLocalDpi xmlns:a14="http://schemas.microsoft.com/office/drawing/2010/main" val="0"/>
                        </a:ext>
                      </a:extLst>
                    </a:blip>
                    <a:stretch>
                      <a:fillRect/>
                    </a:stretch>
                  </pic:blipFill>
                  <pic:spPr>
                    <a:xfrm>
                      <a:off x="0" y="0"/>
                      <a:ext cx="5731510" cy="4051935"/>
                    </a:xfrm>
                    <a:prstGeom prst="rect">
                      <a:avLst/>
                    </a:prstGeom>
                  </pic:spPr>
                </pic:pic>
              </a:graphicData>
            </a:graphic>
          </wp:inline>
        </w:drawing>
      </w:r>
    </w:p>
    <w:p w14:paraId="75FFBD57" w14:textId="03C797E5" w:rsidR="008D213A" w:rsidRPr="00EF71A2" w:rsidRDefault="008D213A" w:rsidP="00D56C16">
      <w:pPr>
        <w:spacing w:after="120" w:line="240" w:lineRule="auto"/>
        <w:jc w:val="both"/>
        <w:rPr>
          <w:rFonts w:ascii="Times New Roman" w:hAnsi="Times New Roman" w:cs="Times New Roman"/>
          <w:sz w:val="20"/>
          <w:szCs w:val="20"/>
        </w:rPr>
      </w:pPr>
      <w:r w:rsidRPr="00AD7D5E">
        <w:rPr>
          <w:rFonts w:ascii="Times New Roman" w:hAnsi="Times New Roman" w:cs="Times New Roman"/>
          <w:sz w:val="20"/>
          <w:szCs w:val="20"/>
        </w:rPr>
        <w:t>5.3.2</w:t>
      </w:r>
      <w:r w:rsidR="00545267" w:rsidRPr="00AD7D5E">
        <w:rPr>
          <w:rFonts w:ascii="Times New Roman" w:hAnsi="Times New Roman" w:cs="Times New Roman"/>
          <w:sz w:val="20"/>
          <w:szCs w:val="20"/>
        </w:rPr>
        <w:t>6</w:t>
      </w:r>
      <w:r w:rsidRPr="00AD7D5E">
        <w:rPr>
          <w:rFonts w:ascii="Times New Roman" w:hAnsi="Times New Roman" w:cs="Times New Roman"/>
          <w:sz w:val="20"/>
          <w:szCs w:val="20"/>
        </w:rPr>
        <w:t>.</w:t>
      </w:r>
      <w:r w:rsidR="00545267" w:rsidRPr="00AD7D5E">
        <w:rPr>
          <w:rFonts w:ascii="Times New Roman" w:hAnsi="Times New Roman" w:cs="Times New Roman"/>
          <w:sz w:val="20"/>
          <w:szCs w:val="20"/>
        </w:rPr>
        <w:t> </w:t>
      </w:r>
      <w:r w:rsidRPr="00AD7D5E">
        <w:rPr>
          <w:rFonts w:ascii="Times New Roman" w:hAnsi="Times New Roman" w:cs="Times New Roman"/>
          <w:sz w:val="20"/>
          <w:szCs w:val="20"/>
        </w:rPr>
        <w:t>attēls. P</w:t>
      </w:r>
      <w:r w:rsidR="00545267" w:rsidRPr="00AD7D5E">
        <w:rPr>
          <w:rFonts w:ascii="Times New Roman" w:hAnsi="Times New Roman" w:cs="Times New Roman"/>
          <w:sz w:val="20"/>
          <w:szCs w:val="20"/>
        </w:rPr>
        <w:t>ā</w:t>
      </w:r>
      <w:r w:rsidRPr="00AD7D5E">
        <w:rPr>
          <w:rFonts w:ascii="Times New Roman" w:hAnsi="Times New Roman" w:cs="Times New Roman"/>
          <w:sz w:val="20"/>
          <w:szCs w:val="20"/>
        </w:rPr>
        <w:t>rceltuves pār Daugavu un platformas uz Daugavas ierīkošana.</w:t>
      </w:r>
    </w:p>
    <w:p w14:paraId="6324FD43" w14:textId="7865CDB1" w:rsidR="00D56C16" w:rsidRPr="00A07F29" w:rsidRDefault="00D56C16" w:rsidP="00EF71A2">
      <w:pPr>
        <w:keepNext/>
        <w:spacing w:before="240" w:after="120" w:line="240" w:lineRule="auto"/>
        <w:jc w:val="both"/>
        <w:rPr>
          <w:rFonts w:ascii="Times New Roman" w:hAnsi="Times New Roman" w:cs="Times New Roman"/>
          <w:b/>
          <w:i/>
          <w:sz w:val="24"/>
          <w:szCs w:val="24"/>
        </w:rPr>
      </w:pPr>
      <w:r w:rsidRPr="00A07F29">
        <w:rPr>
          <w:rFonts w:ascii="Times New Roman" w:hAnsi="Times New Roman" w:cs="Times New Roman"/>
          <w:b/>
          <w:i/>
          <w:sz w:val="24"/>
          <w:szCs w:val="24"/>
        </w:rPr>
        <w:t>D.1.</w:t>
      </w:r>
      <w:r w:rsidR="00055FA8" w:rsidRPr="00A07F29">
        <w:rPr>
          <w:rFonts w:ascii="Times New Roman" w:hAnsi="Times New Roman" w:cs="Times New Roman"/>
          <w:b/>
          <w:i/>
          <w:sz w:val="24"/>
          <w:szCs w:val="24"/>
        </w:rPr>
        <w:t>7</w:t>
      </w:r>
      <w:r w:rsidR="008D213A" w:rsidRPr="00A07F29">
        <w:rPr>
          <w:rFonts w:ascii="Times New Roman" w:hAnsi="Times New Roman" w:cs="Times New Roman"/>
          <w:b/>
          <w:i/>
          <w:sz w:val="24"/>
          <w:szCs w:val="24"/>
        </w:rPr>
        <w:t xml:space="preserve">. </w:t>
      </w:r>
      <w:r w:rsidRPr="00A07F29">
        <w:rPr>
          <w:rFonts w:ascii="Times New Roman" w:hAnsi="Times New Roman" w:cs="Times New Roman"/>
          <w:b/>
          <w:i/>
          <w:sz w:val="24"/>
          <w:szCs w:val="24"/>
        </w:rPr>
        <w:t xml:space="preserve">Platformas ierīkošana un uzturēšana virs Daugavas </w:t>
      </w:r>
    </w:p>
    <w:p w14:paraId="434F4107" w14:textId="62A08754" w:rsidR="00D56C16" w:rsidRPr="00A07F29" w:rsidRDefault="00D56C16" w:rsidP="000E64FF">
      <w:pPr>
        <w:spacing w:after="12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t>Ieteicams ierīkot platformu virs Daugavas upes, ko izmantot kā skatuvi koncertiem (piemēram, Dabas koncertzālei)</w:t>
      </w:r>
      <w:r w:rsidR="008D213A" w:rsidRPr="00A07F29">
        <w:rPr>
          <w:rFonts w:ascii="Times New Roman" w:hAnsi="Times New Roman" w:cs="Times New Roman"/>
          <w:sz w:val="24"/>
          <w:szCs w:val="24"/>
        </w:rPr>
        <w:t xml:space="preserve"> (skat. 5.3.2</w:t>
      </w:r>
      <w:r w:rsidR="00EF71A2">
        <w:rPr>
          <w:rFonts w:ascii="Times New Roman" w:hAnsi="Times New Roman" w:cs="Times New Roman"/>
          <w:sz w:val="24"/>
          <w:szCs w:val="24"/>
        </w:rPr>
        <w:t>6</w:t>
      </w:r>
      <w:r w:rsidR="008D213A" w:rsidRPr="00A07F29">
        <w:rPr>
          <w:rFonts w:ascii="Times New Roman" w:hAnsi="Times New Roman" w:cs="Times New Roman"/>
          <w:sz w:val="24"/>
          <w:szCs w:val="24"/>
        </w:rPr>
        <w:t>.</w:t>
      </w:r>
      <w:r w:rsidR="00EF71A2">
        <w:rPr>
          <w:rFonts w:ascii="Times New Roman" w:hAnsi="Times New Roman" w:cs="Times New Roman"/>
          <w:sz w:val="24"/>
          <w:szCs w:val="24"/>
        </w:rPr>
        <w:t> </w:t>
      </w:r>
      <w:r w:rsidR="008D213A" w:rsidRPr="00A07F29">
        <w:rPr>
          <w:rFonts w:ascii="Times New Roman" w:hAnsi="Times New Roman" w:cs="Times New Roman"/>
          <w:sz w:val="24"/>
          <w:szCs w:val="24"/>
        </w:rPr>
        <w:t>att</w:t>
      </w:r>
      <w:r w:rsidR="00EF71A2">
        <w:rPr>
          <w:rFonts w:ascii="Times New Roman" w:hAnsi="Times New Roman" w:cs="Times New Roman"/>
          <w:sz w:val="24"/>
          <w:szCs w:val="24"/>
        </w:rPr>
        <w:t>ēls</w:t>
      </w:r>
      <w:r w:rsidR="008D213A" w:rsidRPr="00A07F29">
        <w:rPr>
          <w:rFonts w:ascii="Times New Roman" w:hAnsi="Times New Roman" w:cs="Times New Roman"/>
          <w:sz w:val="24"/>
          <w:szCs w:val="24"/>
        </w:rPr>
        <w:t>)</w:t>
      </w:r>
      <w:r w:rsidRPr="00A07F29">
        <w:rPr>
          <w:rFonts w:ascii="Times New Roman" w:hAnsi="Times New Roman" w:cs="Times New Roman"/>
          <w:sz w:val="24"/>
          <w:szCs w:val="24"/>
        </w:rPr>
        <w:t>.</w:t>
      </w:r>
      <w:r w:rsidR="003E3188" w:rsidRPr="00A07F29">
        <w:rPr>
          <w:rFonts w:ascii="Times New Roman" w:hAnsi="Times New Roman" w:cs="Times New Roman"/>
          <w:sz w:val="24"/>
          <w:szCs w:val="24"/>
        </w:rPr>
        <w:t xml:space="preserve"> Platformu ieteicams izveidot kā peldošu pontonu konstrukciju vai plostu</w:t>
      </w:r>
      <w:r w:rsidR="00270C30" w:rsidRPr="00A07F29">
        <w:rPr>
          <w:rFonts w:ascii="Times New Roman" w:hAnsi="Times New Roman" w:cs="Times New Roman"/>
          <w:sz w:val="24"/>
          <w:szCs w:val="24"/>
        </w:rPr>
        <w:t>, ko novietotu iepretim zemes vienībai ar kadastra apzīmējumu 44740080254, kur atrodas “Latgales sēta”, vai citā piemērotā vietā.</w:t>
      </w:r>
    </w:p>
    <w:p w14:paraId="527E85DB" w14:textId="481ECFCD" w:rsidR="00D56C16" w:rsidRPr="00A07F29" w:rsidRDefault="00D56C16" w:rsidP="000E64FF">
      <w:pPr>
        <w:keepNext/>
        <w:spacing w:before="240" w:after="120" w:line="240" w:lineRule="auto"/>
        <w:jc w:val="both"/>
        <w:rPr>
          <w:rFonts w:ascii="Times New Roman" w:hAnsi="Times New Roman" w:cs="Times New Roman"/>
          <w:b/>
          <w:i/>
          <w:sz w:val="24"/>
          <w:szCs w:val="24"/>
        </w:rPr>
      </w:pPr>
      <w:r w:rsidRPr="00A07F29">
        <w:rPr>
          <w:rFonts w:ascii="Times New Roman" w:hAnsi="Times New Roman" w:cs="Times New Roman"/>
          <w:b/>
          <w:i/>
          <w:sz w:val="24"/>
          <w:szCs w:val="24"/>
        </w:rPr>
        <w:t>D.1.</w:t>
      </w:r>
      <w:r w:rsidR="00055FA8" w:rsidRPr="00A07F29">
        <w:rPr>
          <w:rFonts w:ascii="Times New Roman" w:hAnsi="Times New Roman" w:cs="Times New Roman"/>
          <w:b/>
          <w:i/>
          <w:sz w:val="24"/>
          <w:szCs w:val="24"/>
        </w:rPr>
        <w:t>8</w:t>
      </w:r>
      <w:r w:rsidRPr="00A07F29">
        <w:rPr>
          <w:rFonts w:ascii="Times New Roman" w:hAnsi="Times New Roman" w:cs="Times New Roman"/>
          <w:b/>
          <w:i/>
          <w:sz w:val="24"/>
          <w:szCs w:val="24"/>
        </w:rPr>
        <w:t xml:space="preserve">. Skatu </w:t>
      </w:r>
      <w:r w:rsidR="00CD4D21" w:rsidRPr="00A07F29">
        <w:rPr>
          <w:rFonts w:ascii="Times New Roman" w:hAnsi="Times New Roman" w:cs="Times New Roman"/>
          <w:b/>
          <w:i/>
          <w:sz w:val="24"/>
          <w:szCs w:val="24"/>
        </w:rPr>
        <w:t xml:space="preserve">torņu </w:t>
      </w:r>
      <w:r w:rsidR="003E357F" w:rsidRPr="00A07F29">
        <w:rPr>
          <w:rFonts w:ascii="Times New Roman" w:hAnsi="Times New Roman" w:cs="Times New Roman"/>
          <w:b/>
          <w:i/>
          <w:sz w:val="24"/>
          <w:szCs w:val="24"/>
        </w:rPr>
        <w:t xml:space="preserve">un platformu </w:t>
      </w:r>
      <w:r w:rsidR="00CD4D21" w:rsidRPr="00A07F29">
        <w:rPr>
          <w:rFonts w:ascii="Times New Roman" w:hAnsi="Times New Roman" w:cs="Times New Roman"/>
          <w:b/>
          <w:i/>
          <w:sz w:val="24"/>
          <w:szCs w:val="24"/>
        </w:rPr>
        <w:t>uzturēšana un būvniecība</w:t>
      </w:r>
    </w:p>
    <w:p w14:paraId="7FFD89DB" w14:textId="4E52D079" w:rsidR="00AF6B41" w:rsidRPr="00A07F29" w:rsidRDefault="00CD4D21" w:rsidP="00D56C16">
      <w:pPr>
        <w:spacing w:after="12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t xml:space="preserve">Nepieciešams apsaimniekot esošos </w:t>
      </w:r>
      <w:proofErr w:type="spellStart"/>
      <w:r w:rsidRPr="00A07F29">
        <w:rPr>
          <w:rFonts w:ascii="Times New Roman" w:hAnsi="Times New Roman" w:cs="Times New Roman"/>
          <w:sz w:val="24"/>
          <w:szCs w:val="24"/>
        </w:rPr>
        <w:t>Vasargelišķu</w:t>
      </w:r>
      <w:proofErr w:type="spellEnd"/>
      <w:r w:rsidRPr="00A07F29">
        <w:rPr>
          <w:rFonts w:ascii="Times New Roman" w:hAnsi="Times New Roman" w:cs="Times New Roman"/>
          <w:sz w:val="24"/>
          <w:szCs w:val="24"/>
        </w:rPr>
        <w:t>, Lazdukalna un Priedaines skatu torņus un a</w:t>
      </w:r>
      <w:r w:rsidR="00D51003" w:rsidRPr="00A07F29">
        <w:rPr>
          <w:rFonts w:ascii="Times New Roman" w:hAnsi="Times New Roman" w:cs="Times New Roman"/>
          <w:sz w:val="24"/>
          <w:szCs w:val="24"/>
        </w:rPr>
        <w:t>r</w:t>
      </w:r>
      <w:r w:rsidRPr="00A07F29">
        <w:rPr>
          <w:rFonts w:ascii="Times New Roman" w:hAnsi="Times New Roman" w:cs="Times New Roman"/>
          <w:sz w:val="24"/>
          <w:szCs w:val="24"/>
        </w:rPr>
        <w:t xml:space="preserve"> tiem saistīto infrastruktūru (automašīnu stāvlaukumus, atpūtas vietas u</w:t>
      </w:r>
      <w:r w:rsidR="00786934">
        <w:rPr>
          <w:rFonts w:ascii="Times New Roman" w:hAnsi="Times New Roman" w:cs="Times New Roman"/>
          <w:sz w:val="24"/>
          <w:szCs w:val="24"/>
        </w:rPr>
        <w:t>.</w:t>
      </w:r>
      <w:r w:rsidRPr="00A07F29">
        <w:rPr>
          <w:rFonts w:ascii="Times New Roman" w:hAnsi="Times New Roman" w:cs="Times New Roman"/>
          <w:sz w:val="24"/>
          <w:szCs w:val="24"/>
        </w:rPr>
        <w:t>t</w:t>
      </w:r>
      <w:r w:rsidR="008C278A" w:rsidRPr="00A07F29">
        <w:rPr>
          <w:rFonts w:ascii="Times New Roman" w:hAnsi="Times New Roman" w:cs="Times New Roman"/>
          <w:sz w:val="24"/>
          <w:szCs w:val="24"/>
        </w:rPr>
        <w:t>ml.), kā arī uzturēt un nepieciešamības gadījumā uzlabot ceļus piebraukšanai pie skatu torņiem. Nepieciešams uzlabot segumu ceļam u</w:t>
      </w:r>
      <w:r w:rsidR="00AF6B41" w:rsidRPr="00A07F29">
        <w:rPr>
          <w:rFonts w:ascii="Times New Roman" w:hAnsi="Times New Roman" w:cs="Times New Roman"/>
          <w:sz w:val="24"/>
          <w:szCs w:val="24"/>
        </w:rPr>
        <w:t>z</w:t>
      </w:r>
      <w:r w:rsidR="008C278A" w:rsidRPr="00A07F29">
        <w:rPr>
          <w:rFonts w:ascii="Times New Roman" w:hAnsi="Times New Roman" w:cs="Times New Roman"/>
          <w:sz w:val="24"/>
          <w:szCs w:val="24"/>
        </w:rPr>
        <w:t xml:space="preserve"> Priedaines skatu torni vai rast risinājumu jauna piebraucamā ceļa izbūvēšanai</w:t>
      </w:r>
      <w:r w:rsidR="00AF6B41" w:rsidRPr="00A07F29">
        <w:rPr>
          <w:rFonts w:ascii="Times New Roman" w:hAnsi="Times New Roman" w:cs="Times New Roman"/>
          <w:sz w:val="24"/>
          <w:szCs w:val="24"/>
        </w:rPr>
        <w:t xml:space="preserve"> ārpus dzīvojamo māju rajona.</w:t>
      </w:r>
    </w:p>
    <w:p w14:paraId="295AB536" w14:textId="5A14A39F" w:rsidR="00D56C16" w:rsidRPr="00A07F29" w:rsidRDefault="00D56C16" w:rsidP="003C6236">
      <w:pPr>
        <w:spacing w:after="12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t>Ieteicams uzbūvēt skatu torni pie Tabores, no kura varētu redzēt gan Daugavas upi, gan Daugavpili</w:t>
      </w:r>
      <w:r w:rsidR="0054035A" w:rsidRPr="00A07F29">
        <w:rPr>
          <w:rFonts w:ascii="Times New Roman" w:hAnsi="Times New Roman" w:cs="Times New Roman"/>
          <w:sz w:val="24"/>
          <w:szCs w:val="24"/>
        </w:rPr>
        <w:t xml:space="preserve"> (</w:t>
      </w:r>
      <w:r w:rsidR="00FD17AE" w:rsidRPr="00A07F29">
        <w:rPr>
          <w:rFonts w:ascii="Times New Roman" w:hAnsi="Times New Roman" w:cs="Times New Roman"/>
          <w:sz w:val="24"/>
          <w:szCs w:val="24"/>
        </w:rPr>
        <w:t xml:space="preserve">iespējamā atrašanās vieta norādīta </w:t>
      </w:r>
      <w:r w:rsidR="0054035A" w:rsidRPr="00A07F29">
        <w:rPr>
          <w:rFonts w:ascii="Times New Roman" w:hAnsi="Times New Roman" w:cs="Times New Roman"/>
          <w:sz w:val="24"/>
          <w:szCs w:val="24"/>
        </w:rPr>
        <w:t>5.</w:t>
      </w:r>
      <w:r w:rsidR="00FD17AE" w:rsidRPr="00A07F29">
        <w:rPr>
          <w:rFonts w:ascii="Times New Roman" w:hAnsi="Times New Roman" w:cs="Times New Roman"/>
          <w:sz w:val="24"/>
          <w:szCs w:val="24"/>
        </w:rPr>
        <w:t>1</w:t>
      </w:r>
      <w:r w:rsidR="0054035A" w:rsidRPr="00A07F29">
        <w:rPr>
          <w:rFonts w:ascii="Times New Roman" w:hAnsi="Times New Roman" w:cs="Times New Roman"/>
          <w:sz w:val="24"/>
          <w:szCs w:val="24"/>
        </w:rPr>
        <w:t>.2.</w:t>
      </w:r>
      <w:r w:rsidR="00CE4595">
        <w:rPr>
          <w:rFonts w:ascii="Times New Roman" w:hAnsi="Times New Roman" w:cs="Times New Roman"/>
          <w:sz w:val="24"/>
          <w:szCs w:val="24"/>
        </w:rPr>
        <w:t> </w:t>
      </w:r>
      <w:r w:rsidR="0054035A" w:rsidRPr="00A07F29">
        <w:rPr>
          <w:rFonts w:ascii="Times New Roman" w:hAnsi="Times New Roman" w:cs="Times New Roman"/>
          <w:sz w:val="24"/>
          <w:szCs w:val="24"/>
        </w:rPr>
        <w:t>pielikum</w:t>
      </w:r>
      <w:r w:rsidR="00FD17AE" w:rsidRPr="00A07F29">
        <w:rPr>
          <w:rFonts w:ascii="Times New Roman" w:hAnsi="Times New Roman" w:cs="Times New Roman"/>
          <w:sz w:val="24"/>
          <w:szCs w:val="24"/>
        </w:rPr>
        <w:t>ā</w:t>
      </w:r>
      <w:r w:rsidR="0054035A" w:rsidRPr="00A07F29">
        <w:rPr>
          <w:rFonts w:ascii="Times New Roman" w:hAnsi="Times New Roman" w:cs="Times New Roman"/>
          <w:sz w:val="24"/>
          <w:szCs w:val="24"/>
        </w:rPr>
        <w:t>)</w:t>
      </w:r>
      <w:r w:rsidR="002803B1" w:rsidRPr="00A07F29">
        <w:t xml:space="preserve"> </w:t>
      </w:r>
      <w:r w:rsidR="00FD17AE" w:rsidRPr="00A07F29">
        <w:rPr>
          <w:rFonts w:ascii="Times New Roman" w:hAnsi="Times New Roman" w:cs="Times New Roman"/>
          <w:sz w:val="24"/>
          <w:szCs w:val="24"/>
        </w:rPr>
        <w:t>un izveidot ar</w:t>
      </w:r>
      <w:r w:rsidR="002803B1" w:rsidRPr="00A07F29">
        <w:rPr>
          <w:rFonts w:ascii="Times New Roman" w:hAnsi="Times New Roman" w:cs="Times New Roman"/>
          <w:sz w:val="24"/>
          <w:szCs w:val="24"/>
        </w:rPr>
        <w:t xml:space="preserve"> to saistīto infrastruktūru – </w:t>
      </w:r>
      <w:proofErr w:type="spellStart"/>
      <w:r w:rsidR="002803B1" w:rsidRPr="00A07F29">
        <w:rPr>
          <w:rFonts w:ascii="Times New Roman" w:hAnsi="Times New Roman" w:cs="Times New Roman"/>
          <w:sz w:val="24"/>
          <w:szCs w:val="24"/>
        </w:rPr>
        <w:t>pieslēgumu</w:t>
      </w:r>
      <w:proofErr w:type="spellEnd"/>
      <w:r w:rsidR="002803B1" w:rsidRPr="00A07F29">
        <w:rPr>
          <w:rFonts w:ascii="Times New Roman" w:hAnsi="Times New Roman" w:cs="Times New Roman"/>
          <w:sz w:val="24"/>
          <w:szCs w:val="24"/>
        </w:rPr>
        <w:t xml:space="preserve"> ceļam un ielai, automašīnu stāvlaukumus, atpūtas vietas u</w:t>
      </w:r>
      <w:r w:rsidR="00786934">
        <w:rPr>
          <w:rFonts w:ascii="Times New Roman" w:hAnsi="Times New Roman" w:cs="Times New Roman"/>
          <w:sz w:val="24"/>
          <w:szCs w:val="24"/>
        </w:rPr>
        <w:t>.</w:t>
      </w:r>
      <w:r w:rsidR="002803B1" w:rsidRPr="00A07F29">
        <w:rPr>
          <w:rFonts w:ascii="Times New Roman" w:hAnsi="Times New Roman" w:cs="Times New Roman"/>
          <w:sz w:val="24"/>
          <w:szCs w:val="24"/>
        </w:rPr>
        <w:t>tml.</w:t>
      </w:r>
    </w:p>
    <w:p w14:paraId="0A597862" w14:textId="04AF9394" w:rsidR="003C191E" w:rsidRPr="00A07F29" w:rsidRDefault="00592637" w:rsidP="003C6236">
      <w:pPr>
        <w:keepNext/>
        <w:spacing w:before="240" w:after="120" w:line="240" w:lineRule="auto"/>
        <w:jc w:val="both"/>
        <w:rPr>
          <w:rFonts w:ascii="Times New Roman" w:hAnsi="Times New Roman" w:cs="Times New Roman"/>
          <w:b/>
          <w:i/>
          <w:sz w:val="24"/>
          <w:szCs w:val="24"/>
        </w:rPr>
      </w:pPr>
      <w:r w:rsidRPr="00A07F29">
        <w:rPr>
          <w:rFonts w:ascii="Times New Roman" w:hAnsi="Times New Roman" w:cs="Times New Roman"/>
          <w:b/>
          <w:i/>
          <w:sz w:val="24"/>
          <w:szCs w:val="24"/>
        </w:rPr>
        <w:t xml:space="preserve">D.1.9. </w:t>
      </w:r>
      <w:r w:rsidR="00FD22E0" w:rsidRPr="00A07F29">
        <w:rPr>
          <w:rFonts w:ascii="Times New Roman" w:hAnsi="Times New Roman" w:cs="Times New Roman"/>
          <w:b/>
          <w:i/>
          <w:sz w:val="24"/>
          <w:szCs w:val="24"/>
        </w:rPr>
        <w:t xml:space="preserve">Infrastruktūras pilnveidošana un uzturēšana </w:t>
      </w:r>
      <w:proofErr w:type="spellStart"/>
      <w:r w:rsidR="00FD22E0" w:rsidRPr="00A07F29">
        <w:rPr>
          <w:rFonts w:ascii="Times New Roman" w:hAnsi="Times New Roman" w:cs="Times New Roman"/>
          <w:b/>
          <w:i/>
          <w:sz w:val="24"/>
          <w:szCs w:val="24"/>
        </w:rPr>
        <w:t>Slutišķos</w:t>
      </w:r>
      <w:proofErr w:type="spellEnd"/>
      <w:r w:rsidR="00FD22E0" w:rsidRPr="00A07F29">
        <w:rPr>
          <w:rFonts w:ascii="Times New Roman" w:hAnsi="Times New Roman" w:cs="Times New Roman"/>
          <w:b/>
          <w:i/>
          <w:sz w:val="24"/>
          <w:szCs w:val="24"/>
        </w:rPr>
        <w:t xml:space="preserve"> un to apkārtnē</w:t>
      </w:r>
    </w:p>
    <w:p w14:paraId="6F7457A8" w14:textId="04E61B25" w:rsidR="00060DC6" w:rsidRPr="00A07F29" w:rsidRDefault="0035643B" w:rsidP="00060DC6">
      <w:pPr>
        <w:spacing w:after="12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t>Nepieciešams uzturēt pašvaldības zem</w:t>
      </w:r>
      <w:r w:rsidR="00060DC6" w:rsidRPr="00A07F29">
        <w:rPr>
          <w:rFonts w:ascii="Times New Roman" w:hAnsi="Times New Roman" w:cs="Times New Roman"/>
          <w:sz w:val="24"/>
          <w:szCs w:val="24"/>
        </w:rPr>
        <w:t xml:space="preserve">esgabalā ar kadastra apzīmējumu </w:t>
      </w:r>
      <w:r w:rsidRPr="00A07F29">
        <w:rPr>
          <w:rFonts w:ascii="Times New Roman" w:hAnsi="Times New Roman" w:cs="Times New Roman"/>
          <w:sz w:val="24"/>
          <w:szCs w:val="24"/>
        </w:rPr>
        <w:t xml:space="preserve">44740090265 ierīkoto automašīnu stāvlaukumu, piebraucamo ceļu un </w:t>
      </w:r>
      <w:r w:rsidR="00060DC6" w:rsidRPr="00A07F29">
        <w:rPr>
          <w:rFonts w:ascii="Times New Roman" w:hAnsi="Times New Roman" w:cs="Times New Roman"/>
          <w:sz w:val="24"/>
          <w:szCs w:val="24"/>
        </w:rPr>
        <w:t xml:space="preserve">labiekārtoto </w:t>
      </w:r>
      <w:r w:rsidRPr="00A07F29">
        <w:rPr>
          <w:rFonts w:ascii="Times New Roman" w:hAnsi="Times New Roman" w:cs="Times New Roman"/>
          <w:sz w:val="24"/>
          <w:szCs w:val="24"/>
        </w:rPr>
        <w:t>atpūtas vietu, kā arī uzlabot laivu ielaišanas vietu (</w:t>
      </w:r>
      <w:proofErr w:type="spellStart"/>
      <w:r w:rsidRPr="00A07F29">
        <w:rPr>
          <w:rFonts w:ascii="Times New Roman" w:hAnsi="Times New Roman" w:cs="Times New Roman"/>
          <w:sz w:val="24"/>
          <w:szCs w:val="24"/>
        </w:rPr>
        <w:t>slipu</w:t>
      </w:r>
      <w:proofErr w:type="spellEnd"/>
      <w:r w:rsidRPr="00A07F29">
        <w:rPr>
          <w:rFonts w:ascii="Times New Roman" w:hAnsi="Times New Roman" w:cs="Times New Roman"/>
          <w:sz w:val="24"/>
          <w:szCs w:val="24"/>
        </w:rPr>
        <w:t>), izveidojot to lēzenāku un tā virsmu raupjāku, lai atvieglotu laivu ielaišanu upē.</w:t>
      </w:r>
      <w:r w:rsidR="00060DC6" w:rsidRPr="00A07F29">
        <w:rPr>
          <w:rFonts w:ascii="Times New Roman" w:hAnsi="Times New Roman" w:cs="Times New Roman"/>
          <w:sz w:val="24"/>
          <w:szCs w:val="24"/>
        </w:rPr>
        <w:t xml:space="preserve"> Šajā zemesgabalā ieteicams izveidot </w:t>
      </w:r>
      <w:proofErr w:type="spellStart"/>
      <w:r w:rsidR="00060DC6" w:rsidRPr="00A07F29">
        <w:rPr>
          <w:rFonts w:ascii="Times New Roman" w:hAnsi="Times New Roman" w:cs="Times New Roman"/>
          <w:sz w:val="24"/>
          <w:szCs w:val="24"/>
        </w:rPr>
        <w:t>Slutišķu</w:t>
      </w:r>
      <w:proofErr w:type="spellEnd"/>
      <w:r w:rsidR="00060DC6" w:rsidRPr="00A07F29">
        <w:rPr>
          <w:rFonts w:ascii="Times New Roman" w:hAnsi="Times New Roman" w:cs="Times New Roman"/>
          <w:sz w:val="24"/>
          <w:szCs w:val="24"/>
        </w:rPr>
        <w:t xml:space="preserve"> apmeklētāju centru, k</w:t>
      </w:r>
      <w:r w:rsidR="003F06B0">
        <w:rPr>
          <w:rFonts w:ascii="Times New Roman" w:hAnsi="Times New Roman" w:cs="Times New Roman"/>
          <w:sz w:val="24"/>
          <w:szCs w:val="24"/>
        </w:rPr>
        <w:t>ā</w:t>
      </w:r>
      <w:r w:rsidR="00060DC6" w:rsidRPr="00A07F29">
        <w:rPr>
          <w:rFonts w:ascii="Times New Roman" w:hAnsi="Times New Roman" w:cs="Times New Roman"/>
          <w:sz w:val="24"/>
          <w:szCs w:val="24"/>
        </w:rPr>
        <w:t xml:space="preserve"> arī izvietot vides objektu “Pārdomu soliņš” (pie </w:t>
      </w:r>
      <w:proofErr w:type="spellStart"/>
      <w:r w:rsidR="00060DC6" w:rsidRPr="00A07F29">
        <w:rPr>
          <w:rFonts w:ascii="Times New Roman" w:hAnsi="Times New Roman" w:cs="Times New Roman"/>
          <w:sz w:val="24"/>
          <w:szCs w:val="24"/>
        </w:rPr>
        <w:t>Markovas</w:t>
      </w:r>
      <w:proofErr w:type="spellEnd"/>
      <w:r w:rsidR="00060DC6" w:rsidRPr="00A07F29">
        <w:rPr>
          <w:rFonts w:ascii="Times New Roman" w:hAnsi="Times New Roman" w:cs="Times New Roman"/>
          <w:sz w:val="24"/>
          <w:szCs w:val="24"/>
        </w:rPr>
        <w:t xml:space="preserve"> kapsētas uz Daugavas pusi).</w:t>
      </w:r>
    </w:p>
    <w:p w14:paraId="68FCD116" w14:textId="6C1810B2" w:rsidR="00060DC6" w:rsidRPr="00A07F29" w:rsidRDefault="00060DC6" w:rsidP="00060DC6">
      <w:pPr>
        <w:spacing w:after="12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lastRenderedPageBreak/>
        <w:t>Nepieciešams uzturēt objektā “Latgales sēta” (pašvaldības zemesgabalā ar kadastra apzīmējumu 44740080254) izveidoto infrastruktūru – labiekārtoto atpūtas vietu, estrādi (skatu vietu)</w:t>
      </w:r>
      <w:r w:rsidR="00E7792E" w:rsidRPr="00A07F29">
        <w:rPr>
          <w:rFonts w:ascii="Times New Roman" w:hAnsi="Times New Roman" w:cs="Times New Roman"/>
          <w:sz w:val="24"/>
          <w:szCs w:val="24"/>
        </w:rPr>
        <w:t xml:space="preserve"> u.c.</w:t>
      </w:r>
    </w:p>
    <w:p w14:paraId="79603566" w14:textId="01E03B2E" w:rsidR="00E7792E" w:rsidRPr="00A07F29" w:rsidRDefault="009B3B8C" w:rsidP="00CB0531">
      <w:pPr>
        <w:spacing w:after="12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t>Nepieciešams uzturēt Naujenes novadpētniecības muzeja etnogrāfiskās brīvdabas nodaļas “</w:t>
      </w:r>
      <w:proofErr w:type="spellStart"/>
      <w:r w:rsidRPr="00A07F29">
        <w:rPr>
          <w:rFonts w:ascii="Times New Roman" w:hAnsi="Times New Roman" w:cs="Times New Roman"/>
          <w:sz w:val="24"/>
          <w:szCs w:val="24"/>
        </w:rPr>
        <w:t>Slutišķu</w:t>
      </w:r>
      <w:proofErr w:type="spellEnd"/>
      <w:r w:rsidRPr="00A07F29">
        <w:rPr>
          <w:rFonts w:ascii="Times New Roman" w:hAnsi="Times New Roman" w:cs="Times New Roman"/>
          <w:sz w:val="24"/>
          <w:szCs w:val="24"/>
        </w:rPr>
        <w:t xml:space="preserve"> vecticībnieku lauku sēta</w:t>
      </w:r>
      <w:r w:rsidR="00CB0531" w:rsidRPr="00A07F29">
        <w:rPr>
          <w:rFonts w:ascii="Times New Roman" w:hAnsi="Times New Roman" w:cs="Times New Roman"/>
          <w:sz w:val="24"/>
          <w:szCs w:val="24"/>
        </w:rPr>
        <w:t>” ēkas un ekspozīcijas zemes vienībās ar kadastra apzīmējumiem 44740080256 un 44740080324, kā arī uzturēt apmeklētājiem nepieciešamo infrastruktūru. Ekspozīcijas atjaunojamas un pilnveidojamas pēc nepieciešamības, kā arī pie ēkām ieteicams izveidot stādījumus un dārziņu vecticībnieku stilā. K</w:t>
      </w:r>
      <w:r w:rsidR="00E7792E" w:rsidRPr="00A07F29">
        <w:rPr>
          <w:rFonts w:ascii="Times New Roman" w:hAnsi="Times New Roman" w:cs="Times New Roman"/>
          <w:sz w:val="24"/>
          <w:szCs w:val="24"/>
        </w:rPr>
        <w:t>alnā virs muzeja ēkas</w:t>
      </w:r>
      <w:r w:rsidR="00CB0531" w:rsidRPr="00A07F29">
        <w:rPr>
          <w:rFonts w:ascii="Times New Roman" w:hAnsi="Times New Roman" w:cs="Times New Roman"/>
          <w:sz w:val="24"/>
          <w:szCs w:val="24"/>
        </w:rPr>
        <w:t xml:space="preserve"> – pa</w:t>
      </w:r>
      <w:r w:rsidR="00E7792E" w:rsidRPr="00A07F29">
        <w:rPr>
          <w:rFonts w:ascii="Times New Roman" w:hAnsi="Times New Roman" w:cs="Times New Roman"/>
          <w:sz w:val="24"/>
          <w:szCs w:val="24"/>
        </w:rPr>
        <w:t>švaldības zemesgabalā ar kadastra apzīmējumu 44740080235</w:t>
      </w:r>
      <w:r w:rsidR="00773442">
        <w:rPr>
          <w:rFonts w:ascii="Times New Roman" w:hAnsi="Times New Roman" w:cs="Times New Roman"/>
          <w:sz w:val="24"/>
          <w:szCs w:val="24"/>
        </w:rPr>
        <w:t>,</w:t>
      </w:r>
      <w:r w:rsidR="00E7792E" w:rsidRPr="00A07F29">
        <w:rPr>
          <w:rFonts w:ascii="Times New Roman" w:hAnsi="Times New Roman" w:cs="Times New Roman"/>
          <w:sz w:val="24"/>
          <w:szCs w:val="24"/>
        </w:rPr>
        <w:t xml:space="preserve"> ieteicams izvietot vides objektu – skulpturālu veidojumu grupu ar astoņu Augšdaugavas sādžu nosaukumiem, kas būtu lemtas iznīcībai, ja notiktu HES būve.</w:t>
      </w:r>
    </w:p>
    <w:p w14:paraId="604029DA" w14:textId="2B784E4E" w:rsidR="00E21445" w:rsidRPr="00A07F29" w:rsidRDefault="0097131D" w:rsidP="00E21445">
      <w:pPr>
        <w:spacing w:after="120" w:line="240" w:lineRule="auto"/>
        <w:jc w:val="both"/>
        <w:rPr>
          <w:rFonts w:ascii="Times New Roman" w:hAnsi="Times New Roman" w:cs="Times New Roman"/>
          <w:sz w:val="24"/>
          <w:szCs w:val="24"/>
        </w:rPr>
      </w:pPr>
      <w:r w:rsidRPr="00A07F29">
        <w:rPr>
          <w:rFonts w:ascii="Times New Roman" w:hAnsi="Times New Roman" w:cs="Times New Roman"/>
          <w:noProof/>
          <w:sz w:val="24"/>
          <w:szCs w:val="24"/>
          <w:lang w:eastAsia="lv-LV"/>
        </w:rPr>
        <w:drawing>
          <wp:inline distT="0" distB="0" distL="0" distR="0" wp14:anchorId="4160CB58" wp14:editId="0E5D87F7">
            <wp:extent cx="5731510" cy="4051935"/>
            <wp:effectExtent l="0" t="0" r="2540" b="5715"/>
            <wp:docPr id="918145562" name="Picture 918145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145562" name="D.1.9. Infrastruktūras pilnveidošana un uzturēšana Slutišķos un to apkārtnē_l.jpg"/>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5731510" cy="4051935"/>
                    </a:xfrm>
                    <a:prstGeom prst="rect">
                      <a:avLst/>
                    </a:prstGeom>
                  </pic:spPr>
                </pic:pic>
              </a:graphicData>
            </a:graphic>
          </wp:inline>
        </w:drawing>
      </w:r>
    </w:p>
    <w:p w14:paraId="44F86204" w14:textId="4850B97C" w:rsidR="00A604FA" w:rsidRDefault="00E21445" w:rsidP="00E21445">
      <w:pPr>
        <w:spacing w:after="120" w:line="240" w:lineRule="auto"/>
        <w:jc w:val="both"/>
        <w:rPr>
          <w:rFonts w:ascii="Times New Roman" w:hAnsi="Times New Roman" w:cs="Times New Roman"/>
          <w:sz w:val="20"/>
          <w:szCs w:val="20"/>
        </w:rPr>
      </w:pPr>
      <w:r w:rsidRPr="00EC49B7">
        <w:rPr>
          <w:rFonts w:ascii="Times New Roman" w:hAnsi="Times New Roman" w:cs="Times New Roman"/>
          <w:sz w:val="20"/>
          <w:szCs w:val="20"/>
        </w:rPr>
        <w:t>5.3.2</w:t>
      </w:r>
      <w:r w:rsidR="00EC49B7" w:rsidRPr="00EC49B7">
        <w:rPr>
          <w:rFonts w:ascii="Times New Roman" w:hAnsi="Times New Roman" w:cs="Times New Roman"/>
          <w:sz w:val="20"/>
          <w:szCs w:val="20"/>
        </w:rPr>
        <w:t>7</w:t>
      </w:r>
      <w:r w:rsidRPr="00EC49B7">
        <w:rPr>
          <w:rFonts w:ascii="Times New Roman" w:hAnsi="Times New Roman" w:cs="Times New Roman"/>
          <w:sz w:val="20"/>
          <w:szCs w:val="20"/>
        </w:rPr>
        <w:t>.</w:t>
      </w:r>
      <w:r w:rsidR="00EC49B7" w:rsidRPr="00EC49B7">
        <w:rPr>
          <w:rFonts w:ascii="Times New Roman" w:hAnsi="Times New Roman" w:cs="Times New Roman"/>
          <w:sz w:val="20"/>
          <w:szCs w:val="20"/>
        </w:rPr>
        <w:t> </w:t>
      </w:r>
      <w:r w:rsidRPr="00EC49B7">
        <w:rPr>
          <w:rFonts w:ascii="Times New Roman" w:hAnsi="Times New Roman" w:cs="Times New Roman"/>
          <w:sz w:val="20"/>
          <w:szCs w:val="20"/>
        </w:rPr>
        <w:t xml:space="preserve">attēls. </w:t>
      </w:r>
      <w:r w:rsidR="00EB7BA6" w:rsidRPr="00EC49B7">
        <w:rPr>
          <w:rFonts w:ascii="Times New Roman" w:hAnsi="Times New Roman" w:cs="Times New Roman"/>
          <w:sz w:val="20"/>
          <w:szCs w:val="20"/>
        </w:rPr>
        <w:t xml:space="preserve">Esošā un plānotā infrastruktūra </w:t>
      </w:r>
      <w:proofErr w:type="spellStart"/>
      <w:r w:rsidR="00EB7BA6" w:rsidRPr="00EC49B7">
        <w:rPr>
          <w:rFonts w:ascii="Times New Roman" w:hAnsi="Times New Roman" w:cs="Times New Roman"/>
          <w:sz w:val="20"/>
          <w:szCs w:val="20"/>
        </w:rPr>
        <w:t>Slutišķos</w:t>
      </w:r>
      <w:proofErr w:type="spellEnd"/>
      <w:r w:rsidRPr="00EC49B7">
        <w:rPr>
          <w:rFonts w:ascii="Times New Roman" w:hAnsi="Times New Roman" w:cs="Times New Roman"/>
          <w:sz w:val="20"/>
          <w:szCs w:val="20"/>
        </w:rPr>
        <w:t>.</w:t>
      </w:r>
    </w:p>
    <w:p w14:paraId="045D4A3D" w14:textId="77777777" w:rsidR="00EC49B7" w:rsidRPr="00EC49B7" w:rsidRDefault="00EC49B7" w:rsidP="00E21445">
      <w:pPr>
        <w:spacing w:after="120" w:line="240" w:lineRule="auto"/>
        <w:jc w:val="both"/>
        <w:rPr>
          <w:rFonts w:ascii="Times New Roman" w:hAnsi="Times New Roman" w:cs="Times New Roman"/>
          <w:sz w:val="20"/>
          <w:szCs w:val="20"/>
        </w:rPr>
      </w:pPr>
    </w:p>
    <w:p w14:paraId="17E6B335" w14:textId="1D05ECEA" w:rsidR="00D56C16" w:rsidRPr="00A07F29" w:rsidRDefault="00D56C16" w:rsidP="00E63404">
      <w:pPr>
        <w:keepNext/>
        <w:spacing w:after="120" w:line="240" w:lineRule="auto"/>
        <w:jc w:val="both"/>
        <w:rPr>
          <w:rFonts w:ascii="Times New Roman" w:hAnsi="Times New Roman" w:cs="Times New Roman"/>
          <w:b/>
          <w:sz w:val="24"/>
          <w:szCs w:val="24"/>
        </w:rPr>
      </w:pPr>
      <w:r w:rsidRPr="00A07F29">
        <w:rPr>
          <w:rFonts w:ascii="Times New Roman" w:hAnsi="Times New Roman" w:cs="Times New Roman"/>
          <w:b/>
          <w:sz w:val="24"/>
          <w:szCs w:val="24"/>
        </w:rPr>
        <w:t>D.2. Ierīkot, pilnveidot un uzturēt takas</w:t>
      </w:r>
    </w:p>
    <w:p w14:paraId="6C87CEC6" w14:textId="25B67DFF" w:rsidR="00AE27B5" w:rsidRPr="00A07F29" w:rsidRDefault="00AE27B5" w:rsidP="00AE27B5">
      <w:pPr>
        <w:spacing w:after="12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t xml:space="preserve">Publiski pieejamu infrastruktūras objektu, tostarp taku ierīkošana pieļaujama visā </w:t>
      </w:r>
      <w:r w:rsidR="00786934">
        <w:rPr>
          <w:rFonts w:ascii="Times New Roman" w:hAnsi="Times New Roman" w:cs="Times New Roman"/>
          <w:sz w:val="24"/>
          <w:szCs w:val="24"/>
        </w:rPr>
        <w:t>AAA</w:t>
      </w:r>
      <w:r w:rsidRPr="00A07F29">
        <w:rPr>
          <w:rFonts w:ascii="Times New Roman" w:hAnsi="Times New Roman" w:cs="Times New Roman"/>
          <w:sz w:val="24"/>
          <w:szCs w:val="24"/>
        </w:rPr>
        <w:t xml:space="preserve">, saņemot </w:t>
      </w:r>
      <w:r w:rsidRPr="00786934">
        <w:rPr>
          <w:rFonts w:ascii="Times New Roman" w:hAnsi="Times New Roman" w:cs="Times New Roman"/>
          <w:sz w:val="24"/>
          <w:szCs w:val="24"/>
        </w:rPr>
        <w:t>D</w:t>
      </w:r>
      <w:r w:rsidR="00786934" w:rsidRPr="00786934">
        <w:rPr>
          <w:rFonts w:ascii="Times New Roman" w:hAnsi="Times New Roman" w:cs="Times New Roman"/>
          <w:sz w:val="24"/>
          <w:szCs w:val="24"/>
        </w:rPr>
        <w:t>AP</w:t>
      </w:r>
      <w:r w:rsidRPr="00786934">
        <w:rPr>
          <w:rFonts w:ascii="Times New Roman" w:hAnsi="Times New Roman" w:cs="Times New Roman"/>
          <w:sz w:val="24"/>
          <w:szCs w:val="24"/>
        </w:rPr>
        <w:t xml:space="preserve"> </w:t>
      </w:r>
      <w:proofErr w:type="spellStart"/>
      <w:r w:rsidRPr="00786934">
        <w:rPr>
          <w:rFonts w:ascii="Times New Roman" w:hAnsi="Times New Roman" w:cs="Times New Roman"/>
          <w:sz w:val="24"/>
          <w:szCs w:val="24"/>
        </w:rPr>
        <w:t>ra</w:t>
      </w:r>
      <w:r w:rsidRPr="00A07F29">
        <w:rPr>
          <w:rFonts w:ascii="Times New Roman" w:hAnsi="Times New Roman" w:cs="Times New Roman"/>
          <w:sz w:val="24"/>
          <w:szCs w:val="24"/>
        </w:rPr>
        <w:t>ktisku</w:t>
      </w:r>
      <w:proofErr w:type="spellEnd"/>
      <w:r w:rsidRPr="00A07F29">
        <w:rPr>
          <w:rFonts w:ascii="Times New Roman" w:hAnsi="Times New Roman" w:cs="Times New Roman"/>
          <w:sz w:val="24"/>
          <w:szCs w:val="24"/>
        </w:rPr>
        <w:t xml:space="preserve"> atļauju (ainavu aizsardzības, dabas parka, regulējamā režīma zonā). Ierīkojot takas, jāizvairās iznīcināt aizsargājamo sugu atradnes un aizsargājamos biotopus, jācenšas mazināt apmeklētāju slodzi uz jutīgām ekosistēmām, kā arī jāņem vērā infrastruktūras ierī</w:t>
      </w:r>
      <w:r w:rsidR="00EA3981" w:rsidRPr="00A07F29">
        <w:rPr>
          <w:rFonts w:ascii="Times New Roman" w:hAnsi="Times New Roman" w:cs="Times New Roman"/>
          <w:sz w:val="24"/>
          <w:szCs w:val="24"/>
        </w:rPr>
        <w:t>košanas un uzturēšanas izmaksas un vietas piemērotība dabas vērtību popularizēšanai un vides iz</w:t>
      </w:r>
      <w:r w:rsidR="00140ABC" w:rsidRPr="00A07F29">
        <w:rPr>
          <w:rFonts w:ascii="Times New Roman" w:hAnsi="Times New Roman" w:cs="Times New Roman"/>
          <w:sz w:val="24"/>
          <w:szCs w:val="24"/>
        </w:rPr>
        <w:t>ziņai</w:t>
      </w:r>
      <w:r w:rsidR="00EA3981" w:rsidRPr="00A07F29">
        <w:rPr>
          <w:rFonts w:ascii="Times New Roman" w:hAnsi="Times New Roman" w:cs="Times New Roman"/>
          <w:sz w:val="24"/>
          <w:szCs w:val="24"/>
        </w:rPr>
        <w:t>.</w:t>
      </w:r>
    </w:p>
    <w:p w14:paraId="0875C2E3" w14:textId="7FAB0BAF" w:rsidR="00D56C16" w:rsidRPr="00A07F29" w:rsidRDefault="00D56C16" w:rsidP="00E63404">
      <w:pPr>
        <w:keepNext/>
        <w:spacing w:before="240" w:after="120" w:line="240" w:lineRule="auto"/>
        <w:jc w:val="both"/>
        <w:rPr>
          <w:rFonts w:ascii="Times New Roman" w:hAnsi="Times New Roman" w:cs="Times New Roman"/>
          <w:b/>
          <w:i/>
          <w:sz w:val="24"/>
          <w:szCs w:val="24"/>
        </w:rPr>
      </w:pPr>
      <w:r w:rsidRPr="00A07F29">
        <w:rPr>
          <w:rFonts w:ascii="Times New Roman" w:hAnsi="Times New Roman" w:cs="Times New Roman"/>
          <w:b/>
          <w:i/>
          <w:sz w:val="24"/>
          <w:szCs w:val="24"/>
        </w:rPr>
        <w:lastRenderedPageBreak/>
        <w:t>D.2.1. Taku labiekārtošana u</w:t>
      </w:r>
      <w:r w:rsidR="00B3589C" w:rsidRPr="00A07F29">
        <w:rPr>
          <w:rFonts w:ascii="Times New Roman" w:hAnsi="Times New Roman" w:cs="Times New Roman"/>
          <w:b/>
          <w:i/>
          <w:sz w:val="24"/>
          <w:szCs w:val="24"/>
        </w:rPr>
        <w:t xml:space="preserve">n uzturēšana pie </w:t>
      </w:r>
      <w:proofErr w:type="spellStart"/>
      <w:r w:rsidR="00B3589C" w:rsidRPr="00A07F29">
        <w:rPr>
          <w:rFonts w:ascii="Times New Roman" w:hAnsi="Times New Roman" w:cs="Times New Roman"/>
          <w:b/>
          <w:i/>
          <w:sz w:val="24"/>
          <w:szCs w:val="24"/>
        </w:rPr>
        <w:t>Slutišķu</w:t>
      </w:r>
      <w:proofErr w:type="spellEnd"/>
      <w:r w:rsidR="00B3589C" w:rsidRPr="00A07F29">
        <w:rPr>
          <w:rFonts w:ascii="Times New Roman" w:hAnsi="Times New Roman" w:cs="Times New Roman"/>
          <w:b/>
          <w:i/>
          <w:sz w:val="24"/>
          <w:szCs w:val="24"/>
        </w:rPr>
        <w:t xml:space="preserve"> sādža</w:t>
      </w:r>
      <w:r w:rsidR="0085249E">
        <w:rPr>
          <w:rFonts w:ascii="Times New Roman" w:hAnsi="Times New Roman" w:cs="Times New Roman"/>
          <w:b/>
          <w:i/>
          <w:sz w:val="24"/>
          <w:szCs w:val="24"/>
        </w:rPr>
        <w:t>s</w:t>
      </w:r>
    </w:p>
    <w:p w14:paraId="7AB1C6A0" w14:textId="468B3420" w:rsidR="00C443F3" w:rsidRPr="00A07F29" w:rsidRDefault="00D56C16" w:rsidP="00C443F3">
      <w:pPr>
        <w:spacing w:after="12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t xml:space="preserve">Nepieciešams uzturēt </w:t>
      </w:r>
      <w:r w:rsidR="002E6034" w:rsidRPr="00A07F29">
        <w:rPr>
          <w:rFonts w:ascii="Times New Roman" w:hAnsi="Times New Roman" w:cs="Times New Roman"/>
          <w:sz w:val="24"/>
          <w:szCs w:val="24"/>
        </w:rPr>
        <w:t xml:space="preserve">pie </w:t>
      </w:r>
      <w:proofErr w:type="spellStart"/>
      <w:r w:rsidR="002E6034" w:rsidRPr="00A07F29">
        <w:rPr>
          <w:rFonts w:ascii="Times New Roman" w:hAnsi="Times New Roman" w:cs="Times New Roman"/>
          <w:sz w:val="24"/>
          <w:szCs w:val="24"/>
        </w:rPr>
        <w:t>Markovas</w:t>
      </w:r>
      <w:proofErr w:type="spellEnd"/>
      <w:r w:rsidR="002E6034" w:rsidRPr="00A07F29">
        <w:rPr>
          <w:rFonts w:ascii="Times New Roman" w:hAnsi="Times New Roman" w:cs="Times New Roman"/>
          <w:sz w:val="24"/>
          <w:szCs w:val="24"/>
        </w:rPr>
        <w:t xml:space="preserve"> pilskalna ierīkotās takas</w:t>
      </w:r>
      <w:r w:rsidR="00546D3F" w:rsidRPr="00A07F29">
        <w:rPr>
          <w:rFonts w:ascii="Times New Roman" w:hAnsi="Times New Roman" w:cs="Times New Roman"/>
          <w:sz w:val="24"/>
          <w:szCs w:val="24"/>
        </w:rPr>
        <w:t xml:space="preserve"> un ar tām saistīto infrastruktūru</w:t>
      </w:r>
      <w:r w:rsidR="00C443F3" w:rsidRPr="00A07F29">
        <w:rPr>
          <w:rFonts w:ascii="Times New Roman" w:hAnsi="Times New Roman" w:cs="Times New Roman"/>
          <w:sz w:val="24"/>
          <w:szCs w:val="24"/>
        </w:rPr>
        <w:t xml:space="preserve"> zemes vienībās ar kadastra apzīmējumiem 44740090221, 44740080255 un </w:t>
      </w:r>
      <w:r w:rsidR="00C443F3" w:rsidRPr="000F30FF">
        <w:rPr>
          <w:rFonts w:ascii="Times New Roman" w:hAnsi="Times New Roman" w:cs="Times New Roman"/>
          <w:sz w:val="24"/>
          <w:szCs w:val="24"/>
        </w:rPr>
        <w:t xml:space="preserve">44740080147 </w:t>
      </w:r>
      <w:r w:rsidR="00C443F3" w:rsidRPr="00A07F29">
        <w:rPr>
          <w:rFonts w:ascii="Times New Roman" w:hAnsi="Times New Roman" w:cs="Times New Roman"/>
          <w:sz w:val="24"/>
          <w:szCs w:val="24"/>
        </w:rPr>
        <w:t>(</w:t>
      </w:r>
      <w:proofErr w:type="spellStart"/>
      <w:r w:rsidR="00546D3F" w:rsidRPr="00A07F29">
        <w:rPr>
          <w:rFonts w:ascii="Times New Roman" w:hAnsi="Times New Roman" w:cs="Times New Roman"/>
          <w:sz w:val="24"/>
          <w:szCs w:val="24"/>
        </w:rPr>
        <w:t>Markovas</w:t>
      </w:r>
      <w:proofErr w:type="spellEnd"/>
      <w:r w:rsidR="00546D3F" w:rsidRPr="00A07F29">
        <w:rPr>
          <w:rFonts w:ascii="Times New Roman" w:hAnsi="Times New Roman" w:cs="Times New Roman"/>
          <w:sz w:val="24"/>
          <w:szCs w:val="24"/>
        </w:rPr>
        <w:t xml:space="preserve"> izziņas taku, </w:t>
      </w:r>
      <w:r w:rsidRPr="00A07F29">
        <w:rPr>
          <w:rFonts w:ascii="Times New Roman" w:hAnsi="Times New Roman" w:cs="Times New Roman"/>
          <w:sz w:val="24"/>
          <w:szCs w:val="24"/>
        </w:rPr>
        <w:t>pastaigu taku līdz Dziesmu un Akmeņu kalniem</w:t>
      </w:r>
      <w:r w:rsidR="00C443F3" w:rsidRPr="00A07F29">
        <w:rPr>
          <w:rFonts w:ascii="Times New Roman" w:hAnsi="Times New Roman" w:cs="Times New Roman"/>
          <w:sz w:val="24"/>
          <w:szCs w:val="24"/>
        </w:rPr>
        <w:t>)</w:t>
      </w:r>
      <w:r w:rsidRPr="00A07F29">
        <w:rPr>
          <w:rFonts w:ascii="Times New Roman" w:hAnsi="Times New Roman" w:cs="Times New Roman"/>
          <w:sz w:val="24"/>
          <w:szCs w:val="24"/>
        </w:rPr>
        <w:t>, demo</w:t>
      </w:r>
      <w:r w:rsidR="00C443F3" w:rsidRPr="00A07F29">
        <w:rPr>
          <w:rFonts w:ascii="Times New Roman" w:hAnsi="Times New Roman" w:cs="Times New Roman"/>
          <w:sz w:val="24"/>
          <w:szCs w:val="24"/>
        </w:rPr>
        <w:t>ntē</w:t>
      </w:r>
      <w:r w:rsidR="00546D3F" w:rsidRPr="00A07F29">
        <w:rPr>
          <w:rFonts w:ascii="Times New Roman" w:hAnsi="Times New Roman" w:cs="Times New Roman"/>
          <w:sz w:val="24"/>
          <w:szCs w:val="24"/>
        </w:rPr>
        <w:t>t takā esošo sabojāto stendu, kā arī uzturēt atvērtu skatu no skatu platformas.</w:t>
      </w:r>
    </w:p>
    <w:p w14:paraId="4F2B8A6C" w14:textId="4558FF8C" w:rsidR="00D82509" w:rsidRPr="00A07F29" w:rsidRDefault="00D56C16" w:rsidP="00D82509">
      <w:pPr>
        <w:spacing w:after="12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t>Daugavpils nov</w:t>
      </w:r>
      <w:r w:rsidR="003716E9" w:rsidRPr="00A07F29">
        <w:rPr>
          <w:rFonts w:ascii="Times New Roman" w:hAnsi="Times New Roman" w:cs="Times New Roman"/>
          <w:sz w:val="24"/>
          <w:szCs w:val="24"/>
        </w:rPr>
        <w:t xml:space="preserve">ada pašvaldības aģentūra “TAKA” </w:t>
      </w:r>
      <w:r w:rsidRPr="00786934">
        <w:rPr>
          <w:rFonts w:ascii="Times New Roman" w:hAnsi="Times New Roman" w:cs="Times New Roman"/>
          <w:sz w:val="24"/>
          <w:szCs w:val="24"/>
        </w:rPr>
        <w:t>ar L</w:t>
      </w:r>
      <w:r w:rsidR="00786934" w:rsidRPr="00786934">
        <w:rPr>
          <w:rFonts w:ascii="Times New Roman" w:hAnsi="Times New Roman" w:cs="Times New Roman"/>
          <w:sz w:val="24"/>
          <w:szCs w:val="24"/>
        </w:rPr>
        <w:t>AD</w:t>
      </w:r>
      <w:r w:rsidRPr="00A07F29">
        <w:rPr>
          <w:rFonts w:ascii="Times New Roman" w:hAnsi="Times New Roman" w:cs="Times New Roman"/>
          <w:sz w:val="24"/>
          <w:szCs w:val="24"/>
        </w:rPr>
        <w:t xml:space="preserve"> līdzfinansējumu </w:t>
      </w:r>
      <w:r w:rsidR="003716E9" w:rsidRPr="00A07F29">
        <w:rPr>
          <w:rFonts w:ascii="Times New Roman" w:hAnsi="Times New Roman" w:cs="Times New Roman"/>
          <w:sz w:val="24"/>
          <w:szCs w:val="24"/>
        </w:rPr>
        <w:t xml:space="preserve">izveidojusi </w:t>
      </w:r>
      <w:proofErr w:type="spellStart"/>
      <w:r w:rsidR="00EA4E66" w:rsidRPr="00A07F29">
        <w:rPr>
          <w:rFonts w:ascii="Times New Roman" w:hAnsi="Times New Roman" w:cs="Times New Roman"/>
          <w:sz w:val="24"/>
          <w:szCs w:val="24"/>
        </w:rPr>
        <w:t>Slutišķu</w:t>
      </w:r>
      <w:proofErr w:type="spellEnd"/>
      <w:r w:rsidR="00EA4E66" w:rsidRPr="00A07F29">
        <w:rPr>
          <w:rFonts w:ascii="Times New Roman" w:hAnsi="Times New Roman" w:cs="Times New Roman"/>
          <w:sz w:val="24"/>
          <w:szCs w:val="24"/>
        </w:rPr>
        <w:t xml:space="preserve"> gravu taku – </w:t>
      </w:r>
      <w:r w:rsidRPr="00A07F29">
        <w:rPr>
          <w:rFonts w:ascii="Times New Roman" w:hAnsi="Times New Roman" w:cs="Times New Roman"/>
          <w:sz w:val="24"/>
          <w:szCs w:val="24"/>
        </w:rPr>
        <w:t>labiekārtot</w:t>
      </w:r>
      <w:r w:rsidR="003716E9" w:rsidRPr="00A07F29">
        <w:rPr>
          <w:rFonts w:ascii="Times New Roman" w:hAnsi="Times New Roman" w:cs="Times New Roman"/>
          <w:sz w:val="24"/>
          <w:szCs w:val="24"/>
        </w:rPr>
        <w:t>u</w:t>
      </w:r>
      <w:r w:rsidRPr="00A07F29">
        <w:rPr>
          <w:rFonts w:ascii="Times New Roman" w:hAnsi="Times New Roman" w:cs="Times New Roman"/>
          <w:sz w:val="24"/>
          <w:szCs w:val="24"/>
        </w:rPr>
        <w:t xml:space="preserve"> gājēju taku no </w:t>
      </w:r>
      <w:proofErr w:type="spellStart"/>
      <w:r w:rsidRPr="00A07F29">
        <w:rPr>
          <w:rFonts w:ascii="Times New Roman" w:hAnsi="Times New Roman" w:cs="Times New Roman"/>
          <w:sz w:val="24"/>
          <w:szCs w:val="24"/>
        </w:rPr>
        <w:t>Slutišķu</w:t>
      </w:r>
      <w:proofErr w:type="spellEnd"/>
      <w:r w:rsidRPr="00A07F29">
        <w:rPr>
          <w:rFonts w:ascii="Times New Roman" w:hAnsi="Times New Roman" w:cs="Times New Roman"/>
          <w:sz w:val="24"/>
          <w:szCs w:val="24"/>
        </w:rPr>
        <w:t xml:space="preserve"> kraujas līdz </w:t>
      </w:r>
      <w:proofErr w:type="spellStart"/>
      <w:r w:rsidRPr="00A07F29">
        <w:rPr>
          <w:rFonts w:ascii="Times New Roman" w:hAnsi="Times New Roman" w:cs="Times New Roman"/>
          <w:sz w:val="24"/>
          <w:szCs w:val="24"/>
        </w:rPr>
        <w:t>Slutišķu</w:t>
      </w:r>
      <w:proofErr w:type="spellEnd"/>
      <w:r w:rsidRPr="00A07F29">
        <w:rPr>
          <w:rFonts w:ascii="Times New Roman" w:hAnsi="Times New Roman" w:cs="Times New Roman"/>
          <w:sz w:val="24"/>
          <w:szCs w:val="24"/>
        </w:rPr>
        <w:t xml:space="preserve"> ciemam, izveidojot kāpnes un laipas. </w:t>
      </w:r>
      <w:r w:rsidR="00D82509" w:rsidRPr="00A07F29">
        <w:rPr>
          <w:rFonts w:ascii="Times New Roman" w:hAnsi="Times New Roman" w:cs="Times New Roman"/>
          <w:sz w:val="24"/>
          <w:szCs w:val="24"/>
        </w:rPr>
        <w:t xml:space="preserve">Nepieciešams uzturēt </w:t>
      </w:r>
      <w:r w:rsidR="00EA4E66" w:rsidRPr="00A07F29">
        <w:rPr>
          <w:rFonts w:ascii="Times New Roman" w:hAnsi="Times New Roman" w:cs="Times New Roman"/>
          <w:sz w:val="24"/>
          <w:szCs w:val="24"/>
        </w:rPr>
        <w:t xml:space="preserve">un pilnveidot </w:t>
      </w:r>
      <w:r w:rsidR="00D82509" w:rsidRPr="00A07F29">
        <w:rPr>
          <w:rFonts w:ascii="Times New Roman" w:hAnsi="Times New Roman" w:cs="Times New Roman"/>
          <w:sz w:val="24"/>
          <w:szCs w:val="24"/>
        </w:rPr>
        <w:t xml:space="preserve">izveidoto infrastruktūru. </w:t>
      </w:r>
      <w:r w:rsidR="00EA4E66" w:rsidRPr="00A07F29">
        <w:rPr>
          <w:rFonts w:ascii="Times New Roman" w:hAnsi="Times New Roman" w:cs="Times New Roman"/>
          <w:sz w:val="24"/>
          <w:szCs w:val="24"/>
        </w:rPr>
        <w:t>Piemēram, plānots ierīkot apmeklētāju skaitītāju, kā arī izvietot tematiskus vides objektus – koka figūras pēc pasakas “Kā zvēri raka Daugavu” motīviem.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6"/>
      </w:tblGrid>
      <w:tr w:rsidR="00CE1528" w:rsidRPr="00A07F29" w14:paraId="4837F37D" w14:textId="77777777" w:rsidTr="00A604FA">
        <w:tc>
          <w:tcPr>
            <w:tcW w:w="9026" w:type="dxa"/>
          </w:tcPr>
          <w:p w14:paraId="5A4C9D35" w14:textId="7ED37695" w:rsidR="00CE1528" w:rsidRPr="00A07F29" w:rsidRDefault="0054035A" w:rsidP="005D698E">
            <w:pPr>
              <w:spacing w:after="120" w:line="256" w:lineRule="auto"/>
              <w:contextualSpacing/>
              <w:jc w:val="both"/>
              <w:rPr>
                <w:rFonts w:ascii="Times New Roman" w:eastAsia="Calibri" w:hAnsi="Times New Roman" w:cs="Times New Roman"/>
                <w:bCs/>
                <w:sz w:val="24"/>
                <w:szCs w:val="24"/>
              </w:rPr>
            </w:pPr>
            <w:r w:rsidRPr="00A07F29">
              <w:rPr>
                <w:noProof/>
                <w:lang w:eastAsia="lv-LV"/>
              </w:rPr>
              <w:drawing>
                <wp:inline distT="0" distB="0" distL="0" distR="0" wp14:anchorId="35DBC5D6" wp14:editId="1504916B">
                  <wp:extent cx="5731510" cy="4051935"/>
                  <wp:effectExtent l="0" t="0" r="2540" b="5715"/>
                  <wp:docPr id="170371784" name="Picture 170371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371784"/>
                          <pic:cNvPicPr/>
                        </pic:nvPicPr>
                        <pic:blipFill>
                          <a:blip r:embed="rId126">
                            <a:extLst>
                              <a:ext uri="{28A0092B-C50C-407E-A947-70E740481C1C}">
                                <a14:useLocalDpi xmlns:a14="http://schemas.microsoft.com/office/drawing/2010/main" val="0"/>
                              </a:ext>
                            </a:extLst>
                          </a:blip>
                          <a:stretch>
                            <a:fillRect/>
                          </a:stretch>
                        </pic:blipFill>
                        <pic:spPr>
                          <a:xfrm>
                            <a:off x="0" y="0"/>
                            <a:ext cx="5731510" cy="4051935"/>
                          </a:xfrm>
                          <a:prstGeom prst="rect">
                            <a:avLst/>
                          </a:prstGeom>
                        </pic:spPr>
                      </pic:pic>
                    </a:graphicData>
                  </a:graphic>
                </wp:inline>
              </w:drawing>
            </w:r>
          </w:p>
        </w:tc>
      </w:tr>
      <w:tr w:rsidR="00CE1528" w:rsidRPr="00A07F29" w14:paraId="74671BE7" w14:textId="77777777" w:rsidTr="00A604FA">
        <w:tc>
          <w:tcPr>
            <w:tcW w:w="9026" w:type="dxa"/>
          </w:tcPr>
          <w:p w14:paraId="2584D834" w14:textId="2D9B60A6" w:rsidR="00CE1528" w:rsidRPr="000916B6" w:rsidRDefault="00CE1528" w:rsidP="00EB7BA6">
            <w:pPr>
              <w:contextualSpacing/>
              <w:jc w:val="both"/>
              <w:rPr>
                <w:rFonts w:ascii="Times New Roman" w:eastAsia="Calibri" w:hAnsi="Times New Roman" w:cs="Times New Roman"/>
                <w:bCs/>
                <w:sz w:val="20"/>
                <w:szCs w:val="20"/>
              </w:rPr>
            </w:pPr>
            <w:r w:rsidRPr="000916B6">
              <w:rPr>
                <w:rFonts w:ascii="Times New Roman" w:eastAsia="Calibri" w:hAnsi="Times New Roman" w:cs="Times New Roman"/>
                <w:bCs/>
                <w:sz w:val="20"/>
                <w:szCs w:val="20"/>
              </w:rPr>
              <w:t>5.3.2</w:t>
            </w:r>
            <w:r w:rsidR="00EE0F99" w:rsidRPr="000916B6">
              <w:rPr>
                <w:rFonts w:ascii="Times New Roman" w:eastAsia="Calibri" w:hAnsi="Times New Roman" w:cs="Times New Roman"/>
                <w:bCs/>
                <w:sz w:val="20"/>
                <w:szCs w:val="20"/>
              </w:rPr>
              <w:t>8</w:t>
            </w:r>
            <w:r w:rsidRPr="000916B6">
              <w:rPr>
                <w:rFonts w:ascii="Times New Roman" w:eastAsia="Calibri" w:hAnsi="Times New Roman" w:cs="Times New Roman"/>
                <w:bCs/>
                <w:sz w:val="20"/>
                <w:szCs w:val="20"/>
              </w:rPr>
              <w:t>.</w:t>
            </w:r>
            <w:r w:rsidR="00EE0F99" w:rsidRPr="000916B6">
              <w:rPr>
                <w:rFonts w:ascii="Times New Roman" w:eastAsia="Calibri" w:hAnsi="Times New Roman" w:cs="Times New Roman"/>
                <w:bCs/>
                <w:sz w:val="20"/>
                <w:szCs w:val="20"/>
              </w:rPr>
              <w:t> </w:t>
            </w:r>
            <w:r w:rsidRPr="000916B6">
              <w:rPr>
                <w:rFonts w:ascii="Times New Roman" w:eastAsia="Calibri" w:hAnsi="Times New Roman" w:cs="Times New Roman"/>
                <w:bCs/>
                <w:sz w:val="20"/>
                <w:szCs w:val="20"/>
              </w:rPr>
              <w:t xml:space="preserve">attēls. </w:t>
            </w:r>
            <w:proofErr w:type="spellStart"/>
            <w:r w:rsidR="0054035A" w:rsidRPr="000916B6">
              <w:rPr>
                <w:rFonts w:ascii="Times New Roman" w:eastAsia="Calibri" w:hAnsi="Times New Roman" w:cs="Times New Roman"/>
                <w:bCs/>
                <w:sz w:val="20"/>
                <w:szCs w:val="20"/>
              </w:rPr>
              <w:t>Slutišķu</w:t>
            </w:r>
            <w:proofErr w:type="spellEnd"/>
            <w:r w:rsidR="0054035A" w:rsidRPr="000916B6">
              <w:rPr>
                <w:rFonts w:ascii="Times New Roman" w:eastAsia="Calibri" w:hAnsi="Times New Roman" w:cs="Times New Roman"/>
                <w:bCs/>
                <w:sz w:val="20"/>
                <w:szCs w:val="20"/>
              </w:rPr>
              <w:t xml:space="preserve"> un </w:t>
            </w:r>
            <w:proofErr w:type="spellStart"/>
            <w:r w:rsidR="0054035A" w:rsidRPr="000916B6">
              <w:rPr>
                <w:rFonts w:ascii="Times New Roman" w:eastAsia="Calibri" w:hAnsi="Times New Roman" w:cs="Times New Roman"/>
                <w:bCs/>
                <w:sz w:val="20"/>
                <w:szCs w:val="20"/>
              </w:rPr>
              <w:t>Markovas</w:t>
            </w:r>
            <w:proofErr w:type="spellEnd"/>
            <w:r w:rsidR="0054035A" w:rsidRPr="000916B6">
              <w:rPr>
                <w:rFonts w:ascii="Times New Roman" w:eastAsia="Calibri" w:hAnsi="Times New Roman" w:cs="Times New Roman"/>
                <w:bCs/>
                <w:sz w:val="20"/>
                <w:szCs w:val="20"/>
              </w:rPr>
              <w:t xml:space="preserve"> taku labiekārtošana un uzturēšana.</w:t>
            </w:r>
          </w:p>
        </w:tc>
      </w:tr>
    </w:tbl>
    <w:p w14:paraId="3D81B463" w14:textId="00C219E9" w:rsidR="00D56C16" w:rsidRPr="00A07F29" w:rsidRDefault="00D56C16" w:rsidP="000916B6">
      <w:pPr>
        <w:keepNext/>
        <w:spacing w:before="240" w:after="120" w:line="240" w:lineRule="auto"/>
        <w:jc w:val="both"/>
        <w:rPr>
          <w:rFonts w:ascii="Times New Roman" w:hAnsi="Times New Roman" w:cs="Times New Roman"/>
          <w:b/>
          <w:i/>
          <w:sz w:val="24"/>
          <w:szCs w:val="24"/>
        </w:rPr>
      </w:pPr>
      <w:r w:rsidRPr="00A07F29">
        <w:rPr>
          <w:rFonts w:ascii="Times New Roman" w:hAnsi="Times New Roman" w:cs="Times New Roman"/>
          <w:b/>
          <w:i/>
          <w:sz w:val="24"/>
          <w:szCs w:val="24"/>
        </w:rPr>
        <w:t>D.2.2. Adamovas dabas takas pārbūve un uzturēšana</w:t>
      </w:r>
    </w:p>
    <w:p w14:paraId="4D13582E" w14:textId="62DEFADC" w:rsidR="00CB19BC" w:rsidRPr="00A07F29" w:rsidRDefault="00C870C7" w:rsidP="00D56C16">
      <w:pPr>
        <w:spacing w:after="12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t>2021.</w:t>
      </w:r>
      <w:r w:rsidR="00CB19BC" w:rsidRPr="00A07F29">
        <w:rPr>
          <w:rFonts w:ascii="Times New Roman" w:hAnsi="Times New Roman" w:cs="Times New Roman"/>
          <w:sz w:val="24"/>
          <w:szCs w:val="24"/>
        </w:rPr>
        <w:t> </w:t>
      </w:r>
      <w:r w:rsidRPr="00A07F29">
        <w:rPr>
          <w:rFonts w:ascii="Times New Roman" w:hAnsi="Times New Roman" w:cs="Times New Roman"/>
          <w:sz w:val="24"/>
          <w:szCs w:val="24"/>
        </w:rPr>
        <w:t>gadā i</w:t>
      </w:r>
      <w:r w:rsidR="00D56C16" w:rsidRPr="00A07F29">
        <w:rPr>
          <w:rFonts w:ascii="Times New Roman" w:hAnsi="Times New Roman" w:cs="Times New Roman"/>
          <w:sz w:val="24"/>
          <w:szCs w:val="24"/>
        </w:rPr>
        <w:t xml:space="preserve">r </w:t>
      </w:r>
      <w:r w:rsidR="0054035A" w:rsidRPr="00A07F29">
        <w:rPr>
          <w:rFonts w:ascii="Times New Roman" w:hAnsi="Times New Roman" w:cs="Times New Roman"/>
          <w:sz w:val="24"/>
          <w:szCs w:val="24"/>
        </w:rPr>
        <w:t xml:space="preserve">veikta </w:t>
      </w:r>
      <w:r w:rsidR="00D56C16" w:rsidRPr="00A07F29">
        <w:rPr>
          <w:rFonts w:ascii="Times New Roman" w:hAnsi="Times New Roman" w:cs="Times New Roman"/>
          <w:sz w:val="24"/>
          <w:szCs w:val="24"/>
        </w:rPr>
        <w:t>Adamovas dabas takas atjaunošana un pārbūve</w:t>
      </w:r>
      <w:r w:rsidRPr="00A07F29">
        <w:rPr>
          <w:rFonts w:ascii="Times New Roman" w:hAnsi="Times New Roman" w:cs="Times New Roman"/>
          <w:sz w:val="24"/>
          <w:szCs w:val="24"/>
        </w:rPr>
        <w:t>,</w:t>
      </w:r>
      <w:r w:rsidR="0054035A" w:rsidRPr="00A07F29">
        <w:rPr>
          <w:rFonts w:ascii="Times New Roman" w:hAnsi="Times New Roman" w:cs="Times New Roman"/>
          <w:sz w:val="24"/>
          <w:szCs w:val="24"/>
        </w:rPr>
        <w:t xml:space="preserve"> </w:t>
      </w:r>
      <w:r w:rsidRPr="00A07F29">
        <w:rPr>
          <w:rFonts w:ascii="Times New Roman" w:hAnsi="Times New Roman" w:cs="Times New Roman"/>
          <w:sz w:val="24"/>
          <w:szCs w:val="24"/>
        </w:rPr>
        <w:t xml:space="preserve">uzstādīti informācijas stendi, koka skulptūras un soliņi </w:t>
      </w:r>
      <w:r w:rsidR="0054035A" w:rsidRPr="00A07F29">
        <w:rPr>
          <w:rFonts w:ascii="Times New Roman" w:hAnsi="Times New Roman" w:cs="Times New Roman"/>
          <w:sz w:val="24"/>
          <w:szCs w:val="24"/>
        </w:rPr>
        <w:t>(</w:t>
      </w:r>
      <w:r w:rsidR="00F269E1">
        <w:rPr>
          <w:rFonts w:ascii="Times New Roman" w:hAnsi="Times New Roman" w:cs="Times New Roman"/>
          <w:sz w:val="24"/>
          <w:szCs w:val="24"/>
        </w:rPr>
        <w:t xml:space="preserve">skat. </w:t>
      </w:r>
      <w:r w:rsidR="0054035A" w:rsidRPr="00A07F29">
        <w:rPr>
          <w:rFonts w:ascii="Times New Roman" w:hAnsi="Times New Roman" w:cs="Times New Roman"/>
          <w:sz w:val="24"/>
          <w:szCs w:val="24"/>
        </w:rPr>
        <w:t>5.3.</w:t>
      </w:r>
      <w:r w:rsidR="00F269E1">
        <w:rPr>
          <w:rFonts w:ascii="Times New Roman" w:hAnsi="Times New Roman" w:cs="Times New Roman"/>
          <w:sz w:val="24"/>
          <w:szCs w:val="24"/>
        </w:rPr>
        <w:t>20</w:t>
      </w:r>
      <w:r w:rsidR="0054035A" w:rsidRPr="00A07F29">
        <w:rPr>
          <w:rFonts w:ascii="Times New Roman" w:hAnsi="Times New Roman" w:cs="Times New Roman"/>
          <w:sz w:val="24"/>
          <w:szCs w:val="24"/>
        </w:rPr>
        <w:t>.</w:t>
      </w:r>
      <w:r w:rsidR="00F269E1">
        <w:rPr>
          <w:rFonts w:ascii="Times New Roman" w:hAnsi="Times New Roman" w:cs="Times New Roman"/>
          <w:sz w:val="24"/>
          <w:szCs w:val="24"/>
        </w:rPr>
        <w:t> </w:t>
      </w:r>
      <w:r w:rsidR="0054035A" w:rsidRPr="00A07F29">
        <w:rPr>
          <w:rFonts w:ascii="Times New Roman" w:hAnsi="Times New Roman" w:cs="Times New Roman"/>
          <w:sz w:val="24"/>
          <w:szCs w:val="24"/>
        </w:rPr>
        <w:t>att</w:t>
      </w:r>
      <w:r w:rsidR="00F269E1">
        <w:rPr>
          <w:rFonts w:ascii="Times New Roman" w:hAnsi="Times New Roman" w:cs="Times New Roman"/>
          <w:sz w:val="24"/>
          <w:szCs w:val="24"/>
        </w:rPr>
        <w:t>ēls</w:t>
      </w:r>
      <w:r w:rsidR="0054035A" w:rsidRPr="00A07F29">
        <w:rPr>
          <w:rFonts w:ascii="Times New Roman" w:hAnsi="Times New Roman" w:cs="Times New Roman"/>
          <w:sz w:val="24"/>
          <w:szCs w:val="24"/>
        </w:rPr>
        <w:t>)</w:t>
      </w:r>
      <w:r w:rsidRPr="00A07F29">
        <w:rPr>
          <w:rFonts w:ascii="Times New Roman" w:hAnsi="Times New Roman" w:cs="Times New Roman"/>
          <w:sz w:val="24"/>
          <w:szCs w:val="24"/>
        </w:rPr>
        <w:t>.</w:t>
      </w:r>
      <w:r w:rsidRPr="00A07F29">
        <w:t xml:space="preserve"> </w:t>
      </w:r>
      <w:r w:rsidRPr="00A07F29">
        <w:rPr>
          <w:rFonts w:ascii="Times New Roman" w:hAnsi="Times New Roman" w:cs="Times New Roman"/>
          <w:sz w:val="24"/>
          <w:szCs w:val="24"/>
        </w:rPr>
        <w:t>Turpmāk v</w:t>
      </w:r>
      <w:r w:rsidR="0054035A" w:rsidRPr="00A07F29">
        <w:rPr>
          <w:rFonts w:ascii="Times New Roman" w:hAnsi="Times New Roman" w:cs="Times New Roman"/>
          <w:sz w:val="24"/>
          <w:szCs w:val="24"/>
        </w:rPr>
        <w:t>eicama takas uzturēšana</w:t>
      </w:r>
      <w:r w:rsidR="00D56C16" w:rsidRPr="00A07F29">
        <w:rPr>
          <w:rFonts w:ascii="Times New Roman" w:hAnsi="Times New Roman" w:cs="Times New Roman"/>
          <w:sz w:val="24"/>
          <w:szCs w:val="24"/>
        </w:rPr>
        <w:t>.</w:t>
      </w:r>
      <w:r w:rsidR="000F586B" w:rsidRPr="00A07F29">
        <w:rPr>
          <w:rFonts w:ascii="Times New Roman" w:hAnsi="Times New Roman" w:cs="Times New Roman"/>
          <w:sz w:val="24"/>
          <w:szCs w:val="24"/>
        </w:rPr>
        <w:t xml:space="preserve"> </w:t>
      </w:r>
      <w:r w:rsidR="00CB19BC" w:rsidRPr="00A07F29">
        <w:rPr>
          <w:rFonts w:ascii="Times New Roman" w:hAnsi="Times New Roman" w:cs="Times New Roman"/>
          <w:sz w:val="24"/>
          <w:szCs w:val="24"/>
        </w:rPr>
        <w:t>Atsevišķās vietās no takas nepieciešams atsegt skatu uz Daugavu.</w:t>
      </w:r>
    </w:p>
    <w:p w14:paraId="670BAD3C" w14:textId="2D6E22B0" w:rsidR="00D56C16" w:rsidRPr="00A07F29" w:rsidRDefault="00CB19BC" w:rsidP="00572591">
      <w:pPr>
        <w:spacing w:after="12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t xml:space="preserve">Taku ieteicams </w:t>
      </w:r>
      <w:r w:rsidR="000F586B" w:rsidRPr="00A07F29">
        <w:rPr>
          <w:rFonts w:ascii="Times New Roman" w:hAnsi="Times New Roman" w:cs="Times New Roman"/>
          <w:sz w:val="24"/>
          <w:szCs w:val="24"/>
        </w:rPr>
        <w:t xml:space="preserve">pagarināt līdz </w:t>
      </w:r>
      <w:r w:rsidRPr="00A07F29">
        <w:rPr>
          <w:rFonts w:ascii="Times New Roman" w:hAnsi="Times New Roman" w:cs="Times New Roman"/>
          <w:sz w:val="24"/>
          <w:szCs w:val="24"/>
        </w:rPr>
        <w:t xml:space="preserve">Adamovas kraujai un </w:t>
      </w:r>
      <w:r w:rsidR="000F586B" w:rsidRPr="00A07F29">
        <w:rPr>
          <w:rFonts w:ascii="Times New Roman" w:hAnsi="Times New Roman" w:cs="Times New Roman"/>
          <w:sz w:val="24"/>
          <w:szCs w:val="24"/>
        </w:rPr>
        <w:t>kempingam “Adamova”, kā arī ierīkot un labiekārtot atpūtas vietas</w:t>
      </w:r>
      <w:r w:rsidR="000C6627" w:rsidRPr="00A07F29">
        <w:rPr>
          <w:rFonts w:ascii="Times New Roman" w:hAnsi="Times New Roman" w:cs="Times New Roman"/>
          <w:sz w:val="24"/>
          <w:szCs w:val="24"/>
        </w:rPr>
        <w:t xml:space="preserve">, </w:t>
      </w:r>
      <w:r w:rsidR="00EB7BA6" w:rsidRPr="00A07F29">
        <w:rPr>
          <w:rFonts w:ascii="Times New Roman" w:hAnsi="Times New Roman" w:cs="Times New Roman"/>
          <w:sz w:val="24"/>
          <w:szCs w:val="24"/>
        </w:rPr>
        <w:t>laivu piestātni</w:t>
      </w:r>
      <w:r w:rsidR="000F586B" w:rsidRPr="00A07F29">
        <w:rPr>
          <w:rFonts w:ascii="Times New Roman" w:hAnsi="Times New Roman" w:cs="Times New Roman"/>
          <w:sz w:val="24"/>
          <w:szCs w:val="24"/>
        </w:rPr>
        <w:t xml:space="preserve"> </w:t>
      </w:r>
      <w:r w:rsidR="000C6627" w:rsidRPr="00A07F29">
        <w:rPr>
          <w:rFonts w:ascii="Times New Roman" w:hAnsi="Times New Roman" w:cs="Times New Roman"/>
          <w:sz w:val="24"/>
          <w:szCs w:val="24"/>
        </w:rPr>
        <w:t xml:space="preserve">un </w:t>
      </w:r>
      <w:r w:rsidR="000F586B" w:rsidRPr="00A07F29">
        <w:rPr>
          <w:rFonts w:ascii="Times New Roman" w:hAnsi="Times New Roman" w:cs="Times New Roman"/>
          <w:sz w:val="24"/>
          <w:szCs w:val="24"/>
        </w:rPr>
        <w:t xml:space="preserve">takas </w:t>
      </w:r>
      <w:r w:rsidR="00EB7BA6" w:rsidRPr="00A07F29">
        <w:rPr>
          <w:rFonts w:ascii="Times New Roman" w:hAnsi="Times New Roman" w:cs="Times New Roman"/>
          <w:sz w:val="24"/>
          <w:szCs w:val="24"/>
        </w:rPr>
        <w:t xml:space="preserve">kempinga </w:t>
      </w:r>
      <w:r w:rsidR="000F586B" w:rsidRPr="00A07F29">
        <w:rPr>
          <w:rFonts w:ascii="Times New Roman" w:hAnsi="Times New Roman" w:cs="Times New Roman"/>
          <w:sz w:val="24"/>
          <w:szCs w:val="24"/>
        </w:rPr>
        <w:t>apmeklētājiem.</w:t>
      </w:r>
    </w:p>
    <w:p w14:paraId="4601B1FC" w14:textId="55F4F048" w:rsidR="00D56C16" w:rsidRPr="00A07F29" w:rsidRDefault="00D56C16" w:rsidP="00572591">
      <w:pPr>
        <w:keepNext/>
        <w:spacing w:before="240" w:after="120" w:line="240" w:lineRule="auto"/>
        <w:jc w:val="both"/>
        <w:rPr>
          <w:rFonts w:ascii="Times New Roman" w:hAnsi="Times New Roman" w:cs="Times New Roman"/>
          <w:b/>
          <w:i/>
          <w:sz w:val="24"/>
          <w:szCs w:val="24"/>
        </w:rPr>
      </w:pPr>
      <w:r w:rsidRPr="00A07F29">
        <w:rPr>
          <w:rFonts w:ascii="Times New Roman" w:hAnsi="Times New Roman" w:cs="Times New Roman"/>
          <w:b/>
          <w:i/>
          <w:sz w:val="24"/>
          <w:szCs w:val="24"/>
        </w:rPr>
        <w:t>D.2.3. Piedrujas dabas takas labiekārtošana un uzturēšana</w:t>
      </w:r>
    </w:p>
    <w:p w14:paraId="462105E3" w14:textId="497CCCDB" w:rsidR="00D56C16" w:rsidRPr="00A07F29" w:rsidRDefault="00BE2CC6" w:rsidP="00D56C16">
      <w:pPr>
        <w:spacing w:after="12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t xml:space="preserve">Piedrujas pagasta pārvalde </w:t>
      </w:r>
      <w:r w:rsidR="00EB7BA6" w:rsidRPr="00A07F29">
        <w:rPr>
          <w:rFonts w:ascii="Times New Roman" w:hAnsi="Times New Roman" w:cs="Times New Roman"/>
          <w:sz w:val="24"/>
          <w:szCs w:val="24"/>
        </w:rPr>
        <w:t>2020.</w:t>
      </w:r>
      <w:r w:rsidR="00572591">
        <w:rPr>
          <w:rFonts w:ascii="Times New Roman" w:hAnsi="Times New Roman" w:cs="Times New Roman"/>
          <w:sz w:val="24"/>
          <w:szCs w:val="24"/>
        </w:rPr>
        <w:t> </w:t>
      </w:r>
      <w:r w:rsidR="00EB7BA6" w:rsidRPr="00A07F29">
        <w:rPr>
          <w:rFonts w:ascii="Times New Roman" w:hAnsi="Times New Roman" w:cs="Times New Roman"/>
          <w:sz w:val="24"/>
          <w:szCs w:val="24"/>
        </w:rPr>
        <w:t xml:space="preserve">gadā veikusi </w:t>
      </w:r>
      <w:r w:rsidRPr="00A07F29">
        <w:rPr>
          <w:rFonts w:ascii="Times New Roman" w:hAnsi="Times New Roman" w:cs="Times New Roman"/>
          <w:sz w:val="24"/>
          <w:szCs w:val="24"/>
        </w:rPr>
        <w:t>Piedrujas dabas takas labiekārtošanas darbus</w:t>
      </w:r>
      <w:r w:rsidR="00EB7BA6" w:rsidRPr="00A07F29">
        <w:rPr>
          <w:rFonts w:ascii="Times New Roman" w:hAnsi="Times New Roman" w:cs="Times New Roman"/>
          <w:sz w:val="24"/>
          <w:szCs w:val="24"/>
        </w:rPr>
        <w:t>. Takā a</w:t>
      </w:r>
      <w:r w:rsidRPr="00A07F29">
        <w:rPr>
          <w:rFonts w:ascii="Times New Roman" w:hAnsi="Times New Roman" w:cs="Times New Roman"/>
          <w:sz w:val="24"/>
          <w:szCs w:val="24"/>
        </w:rPr>
        <w:t>tjaunot</w:t>
      </w:r>
      <w:r w:rsidR="00EB7BA6" w:rsidRPr="00A07F29">
        <w:rPr>
          <w:rFonts w:ascii="Times New Roman" w:hAnsi="Times New Roman" w:cs="Times New Roman"/>
          <w:sz w:val="24"/>
          <w:szCs w:val="24"/>
        </w:rPr>
        <w:t>as</w:t>
      </w:r>
      <w:r w:rsidRPr="00A07F29">
        <w:rPr>
          <w:rFonts w:ascii="Times New Roman" w:hAnsi="Times New Roman" w:cs="Times New Roman"/>
          <w:sz w:val="24"/>
          <w:szCs w:val="24"/>
        </w:rPr>
        <w:t xml:space="preserve"> norādes, soliņ</w:t>
      </w:r>
      <w:r w:rsidR="00EB7BA6" w:rsidRPr="00A07F29">
        <w:rPr>
          <w:rFonts w:ascii="Times New Roman" w:hAnsi="Times New Roman" w:cs="Times New Roman"/>
          <w:sz w:val="24"/>
          <w:szCs w:val="24"/>
        </w:rPr>
        <w:t xml:space="preserve">i un atkritumu tvertnes, kā arī takas </w:t>
      </w:r>
      <w:r w:rsidRPr="00A07F29">
        <w:rPr>
          <w:rFonts w:ascii="Times New Roman" w:hAnsi="Times New Roman" w:cs="Times New Roman"/>
          <w:sz w:val="24"/>
          <w:szCs w:val="24"/>
        </w:rPr>
        <w:t xml:space="preserve">beigu punktā uzstādīti dažāda izmēra koka krēsli, skatu laukums, lapene ar galdu un soliņiem, velo statīvs, atkritumu </w:t>
      </w:r>
      <w:r w:rsidRPr="00A07F29">
        <w:rPr>
          <w:rFonts w:ascii="Times New Roman" w:hAnsi="Times New Roman" w:cs="Times New Roman"/>
          <w:sz w:val="24"/>
          <w:szCs w:val="24"/>
        </w:rPr>
        <w:lastRenderedPageBreak/>
        <w:t>tvertne.</w:t>
      </w:r>
      <w:r w:rsidR="00EB7BA6" w:rsidRPr="00A07F29">
        <w:rPr>
          <w:rFonts w:ascii="Times New Roman" w:hAnsi="Times New Roman" w:cs="Times New Roman"/>
          <w:sz w:val="24"/>
          <w:szCs w:val="24"/>
        </w:rPr>
        <w:t xml:space="preserve"> Turpm</w:t>
      </w:r>
      <w:r w:rsidR="00B913F0">
        <w:rPr>
          <w:rFonts w:ascii="Times New Roman" w:hAnsi="Times New Roman" w:cs="Times New Roman"/>
          <w:sz w:val="24"/>
          <w:szCs w:val="24"/>
        </w:rPr>
        <w:t>ā</w:t>
      </w:r>
      <w:r w:rsidR="00EB7BA6" w:rsidRPr="00A07F29">
        <w:rPr>
          <w:rFonts w:ascii="Times New Roman" w:hAnsi="Times New Roman" w:cs="Times New Roman"/>
          <w:sz w:val="24"/>
          <w:szCs w:val="24"/>
        </w:rPr>
        <w:t>k nepieciešama takas uzturēšana un nepieciešamības gadījumā atjaunošana vai infrastruktūras papildināšana.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33"/>
      </w:tblGrid>
      <w:tr w:rsidR="00CE1528" w:rsidRPr="00A07F29" w14:paraId="1CB2CA53" w14:textId="77777777" w:rsidTr="63C42FA1">
        <w:tc>
          <w:tcPr>
            <w:tcW w:w="9344" w:type="dxa"/>
          </w:tcPr>
          <w:p w14:paraId="62DEE98E" w14:textId="23CCC434" w:rsidR="00CE1528" w:rsidRPr="00A07F29" w:rsidRDefault="0054035A" w:rsidP="005D698E">
            <w:pPr>
              <w:spacing w:line="256" w:lineRule="auto"/>
              <w:contextualSpacing/>
              <w:jc w:val="both"/>
              <w:rPr>
                <w:rFonts w:ascii="Times New Roman" w:eastAsia="Calibri" w:hAnsi="Times New Roman" w:cs="Times New Roman"/>
                <w:sz w:val="24"/>
                <w:szCs w:val="24"/>
              </w:rPr>
            </w:pPr>
            <w:r w:rsidRPr="00A07F29">
              <w:rPr>
                <w:noProof/>
                <w:lang w:eastAsia="lv-LV"/>
              </w:rPr>
              <w:drawing>
                <wp:inline distT="0" distB="0" distL="0" distR="0" wp14:anchorId="0F2E4C34" wp14:editId="58852217">
                  <wp:extent cx="5731510" cy="2221865"/>
                  <wp:effectExtent l="0" t="0" r="2540" b="6985"/>
                  <wp:docPr id="170371792" name="Picture 170371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371792"/>
                          <pic:cNvPicPr/>
                        </pic:nvPicPr>
                        <pic:blipFill>
                          <a:blip r:embed="rId127">
                            <a:extLst>
                              <a:ext uri="{28A0092B-C50C-407E-A947-70E740481C1C}">
                                <a14:useLocalDpi xmlns:a14="http://schemas.microsoft.com/office/drawing/2010/main" val="0"/>
                              </a:ext>
                            </a:extLst>
                          </a:blip>
                          <a:stretch>
                            <a:fillRect/>
                          </a:stretch>
                        </pic:blipFill>
                        <pic:spPr>
                          <a:xfrm>
                            <a:off x="0" y="0"/>
                            <a:ext cx="5731510" cy="2221865"/>
                          </a:xfrm>
                          <a:prstGeom prst="rect">
                            <a:avLst/>
                          </a:prstGeom>
                        </pic:spPr>
                      </pic:pic>
                    </a:graphicData>
                  </a:graphic>
                </wp:inline>
              </w:drawing>
            </w:r>
          </w:p>
        </w:tc>
      </w:tr>
      <w:tr w:rsidR="00CE1528" w:rsidRPr="00A07F29" w14:paraId="6D5153C5" w14:textId="77777777" w:rsidTr="63C42FA1">
        <w:tc>
          <w:tcPr>
            <w:tcW w:w="9344" w:type="dxa"/>
          </w:tcPr>
          <w:p w14:paraId="12088E8C" w14:textId="5F95D62D" w:rsidR="00CE1528" w:rsidRPr="000C5213" w:rsidRDefault="00CE1528" w:rsidP="00EB7BA6">
            <w:pPr>
              <w:spacing w:line="256" w:lineRule="auto"/>
              <w:contextualSpacing/>
              <w:jc w:val="both"/>
              <w:rPr>
                <w:rFonts w:ascii="Times New Roman" w:eastAsia="Calibri" w:hAnsi="Times New Roman" w:cs="Times New Roman"/>
                <w:sz w:val="20"/>
                <w:szCs w:val="20"/>
              </w:rPr>
            </w:pPr>
            <w:r w:rsidRPr="000C5213">
              <w:rPr>
                <w:rFonts w:ascii="Times New Roman" w:eastAsia="Calibri" w:hAnsi="Times New Roman" w:cs="Times New Roman"/>
                <w:bCs/>
                <w:sz w:val="20"/>
                <w:szCs w:val="20"/>
              </w:rPr>
              <w:t>5.3.</w:t>
            </w:r>
            <w:r w:rsidR="00EB7BA6" w:rsidRPr="000C5213">
              <w:rPr>
                <w:rFonts w:ascii="Times New Roman" w:eastAsia="Calibri" w:hAnsi="Times New Roman" w:cs="Times New Roman"/>
                <w:bCs/>
                <w:sz w:val="20"/>
                <w:szCs w:val="20"/>
              </w:rPr>
              <w:t>2</w:t>
            </w:r>
            <w:r w:rsidR="000C5213" w:rsidRPr="000C5213">
              <w:rPr>
                <w:rFonts w:ascii="Times New Roman" w:eastAsia="Calibri" w:hAnsi="Times New Roman" w:cs="Times New Roman"/>
                <w:bCs/>
                <w:sz w:val="20"/>
                <w:szCs w:val="20"/>
              </w:rPr>
              <w:t>9</w:t>
            </w:r>
            <w:r w:rsidRPr="000C5213">
              <w:rPr>
                <w:rFonts w:ascii="Times New Roman" w:eastAsia="Calibri" w:hAnsi="Times New Roman" w:cs="Times New Roman"/>
                <w:bCs/>
                <w:sz w:val="20"/>
                <w:szCs w:val="20"/>
              </w:rPr>
              <w:t>.</w:t>
            </w:r>
            <w:r w:rsidR="000C5213" w:rsidRPr="000C5213">
              <w:rPr>
                <w:rFonts w:ascii="Times New Roman" w:eastAsia="Calibri" w:hAnsi="Times New Roman" w:cs="Times New Roman"/>
                <w:bCs/>
                <w:sz w:val="20"/>
                <w:szCs w:val="20"/>
              </w:rPr>
              <w:t> </w:t>
            </w:r>
            <w:r w:rsidRPr="000C5213">
              <w:rPr>
                <w:rFonts w:ascii="Times New Roman" w:eastAsia="Calibri" w:hAnsi="Times New Roman" w:cs="Times New Roman"/>
                <w:bCs/>
                <w:sz w:val="20"/>
                <w:szCs w:val="20"/>
              </w:rPr>
              <w:t>attēls.</w:t>
            </w:r>
            <w:r w:rsidRPr="000C5213">
              <w:rPr>
                <w:sz w:val="20"/>
                <w:szCs w:val="20"/>
              </w:rPr>
              <w:t xml:space="preserve"> </w:t>
            </w:r>
            <w:r w:rsidRPr="000C5213">
              <w:rPr>
                <w:rFonts w:ascii="Times New Roman" w:eastAsia="Calibri" w:hAnsi="Times New Roman" w:cs="Times New Roman"/>
                <w:bCs/>
                <w:sz w:val="20"/>
                <w:szCs w:val="20"/>
              </w:rPr>
              <w:t>Piedrujas dabas takas labiekārtošana</w:t>
            </w:r>
          </w:p>
        </w:tc>
      </w:tr>
    </w:tbl>
    <w:p w14:paraId="1AF63D6B" w14:textId="291E57C5" w:rsidR="00D56C16" w:rsidRPr="00A07F29" w:rsidRDefault="00D56C16" w:rsidP="000C5213">
      <w:pPr>
        <w:keepNext/>
        <w:spacing w:before="240" w:after="120" w:line="240" w:lineRule="auto"/>
        <w:jc w:val="both"/>
        <w:rPr>
          <w:rFonts w:ascii="Times New Roman" w:hAnsi="Times New Roman" w:cs="Times New Roman"/>
          <w:b/>
          <w:i/>
          <w:sz w:val="24"/>
          <w:szCs w:val="24"/>
        </w:rPr>
      </w:pPr>
      <w:r w:rsidRPr="00A07F29">
        <w:rPr>
          <w:rFonts w:ascii="Times New Roman" w:hAnsi="Times New Roman" w:cs="Times New Roman"/>
          <w:b/>
          <w:i/>
          <w:sz w:val="24"/>
          <w:szCs w:val="24"/>
        </w:rPr>
        <w:t>D.2.4. Zirgu sētas “Klajumi” Odu takas atjaunošana un uzturēšana</w:t>
      </w:r>
    </w:p>
    <w:p w14:paraId="3F768A49" w14:textId="025069EA" w:rsidR="00D56C16" w:rsidRPr="00A07F29" w:rsidRDefault="00D56C16" w:rsidP="00B00E18">
      <w:pPr>
        <w:spacing w:after="12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t>Zirgu sētas “Klajumi” Odu tak</w:t>
      </w:r>
      <w:r w:rsidR="00C671B3" w:rsidRPr="00A07F29">
        <w:rPr>
          <w:rFonts w:ascii="Times New Roman" w:hAnsi="Times New Roman" w:cs="Times New Roman"/>
          <w:sz w:val="24"/>
          <w:szCs w:val="24"/>
        </w:rPr>
        <w:t>a atjaunota 2020.</w:t>
      </w:r>
      <w:r w:rsidR="00B00E18">
        <w:rPr>
          <w:rFonts w:ascii="Times New Roman" w:hAnsi="Times New Roman" w:cs="Times New Roman"/>
          <w:sz w:val="24"/>
          <w:szCs w:val="24"/>
        </w:rPr>
        <w:t> </w:t>
      </w:r>
      <w:r w:rsidR="00C671B3" w:rsidRPr="00A07F29">
        <w:rPr>
          <w:rFonts w:ascii="Times New Roman" w:hAnsi="Times New Roman" w:cs="Times New Roman"/>
          <w:sz w:val="24"/>
          <w:szCs w:val="24"/>
        </w:rPr>
        <w:t>gadā. Taku nepieciešams uzturēt (</w:t>
      </w:r>
      <w:r w:rsidRPr="00A07F29">
        <w:rPr>
          <w:rFonts w:ascii="Times New Roman" w:hAnsi="Times New Roman" w:cs="Times New Roman"/>
          <w:sz w:val="24"/>
          <w:szCs w:val="24"/>
        </w:rPr>
        <w:t xml:space="preserve">izpļaut vismaz </w:t>
      </w:r>
      <w:r w:rsidR="00B00E18">
        <w:rPr>
          <w:rFonts w:ascii="Times New Roman" w:hAnsi="Times New Roman" w:cs="Times New Roman"/>
          <w:sz w:val="24"/>
          <w:szCs w:val="24"/>
        </w:rPr>
        <w:t>divas</w:t>
      </w:r>
      <w:r w:rsidRPr="00A07F29">
        <w:rPr>
          <w:rFonts w:ascii="Times New Roman" w:hAnsi="Times New Roman" w:cs="Times New Roman"/>
          <w:sz w:val="24"/>
          <w:szCs w:val="24"/>
        </w:rPr>
        <w:t xml:space="preserve"> reizes tūrisma sezonas laikā), </w:t>
      </w:r>
      <w:r w:rsidR="00C671B3" w:rsidRPr="00A07F29">
        <w:rPr>
          <w:rFonts w:ascii="Times New Roman" w:hAnsi="Times New Roman" w:cs="Times New Roman"/>
          <w:sz w:val="24"/>
          <w:szCs w:val="24"/>
        </w:rPr>
        <w:t>nepieciešamības gadījumā</w:t>
      </w:r>
      <w:r w:rsidR="00B00E18">
        <w:rPr>
          <w:rFonts w:ascii="Times New Roman" w:hAnsi="Times New Roman" w:cs="Times New Roman"/>
          <w:sz w:val="24"/>
          <w:szCs w:val="24"/>
        </w:rPr>
        <w:t>,</w:t>
      </w:r>
      <w:r w:rsidR="00C671B3" w:rsidRPr="00A07F29">
        <w:rPr>
          <w:rFonts w:ascii="Times New Roman" w:hAnsi="Times New Roman" w:cs="Times New Roman"/>
          <w:sz w:val="24"/>
          <w:szCs w:val="24"/>
        </w:rPr>
        <w:t xml:space="preserve"> </w:t>
      </w:r>
      <w:r w:rsidRPr="00A07F29">
        <w:rPr>
          <w:rFonts w:ascii="Times New Roman" w:hAnsi="Times New Roman" w:cs="Times New Roman"/>
          <w:sz w:val="24"/>
          <w:szCs w:val="24"/>
        </w:rPr>
        <w:t xml:space="preserve">atjaunot </w:t>
      </w:r>
      <w:r w:rsidR="00C671B3" w:rsidRPr="00A07F29">
        <w:rPr>
          <w:rFonts w:ascii="Times New Roman" w:hAnsi="Times New Roman" w:cs="Times New Roman"/>
          <w:sz w:val="24"/>
          <w:szCs w:val="24"/>
        </w:rPr>
        <w:t xml:space="preserve">laipas, </w:t>
      </w:r>
      <w:r w:rsidRPr="00A07F29">
        <w:rPr>
          <w:rFonts w:ascii="Times New Roman" w:hAnsi="Times New Roman" w:cs="Times New Roman"/>
          <w:sz w:val="24"/>
          <w:szCs w:val="24"/>
        </w:rPr>
        <w:t>informācijas stendus</w:t>
      </w:r>
      <w:r w:rsidR="00C671B3" w:rsidRPr="00A07F29">
        <w:rPr>
          <w:rFonts w:ascii="Times New Roman" w:hAnsi="Times New Roman" w:cs="Times New Roman"/>
          <w:sz w:val="24"/>
          <w:szCs w:val="24"/>
        </w:rPr>
        <w:t xml:space="preserve"> un norādes</w:t>
      </w:r>
      <w:r w:rsidRPr="00A07F29">
        <w:rPr>
          <w:rFonts w:ascii="Times New Roman" w:hAnsi="Times New Roman" w:cs="Times New Roman"/>
          <w:sz w:val="24"/>
          <w:szCs w:val="24"/>
        </w:rPr>
        <w:t>.</w:t>
      </w:r>
      <w:r w:rsidR="00C671B3" w:rsidRPr="00A07F29">
        <w:rPr>
          <w:rFonts w:ascii="Times New Roman" w:hAnsi="Times New Roman" w:cs="Times New Roman"/>
          <w:sz w:val="24"/>
          <w:szCs w:val="24"/>
        </w:rPr>
        <w:t xml:space="preserve"> Ieteicams taku papildināt ar jaunām koka kukaiņu un dzīvnieku skulptūrām (odi, dunduri, lapsenes, skudras, zirnekļi u</w:t>
      </w:r>
      <w:r w:rsidR="00786934">
        <w:rPr>
          <w:rFonts w:ascii="Times New Roman" w:hAnsi="Times New Roman" w:cs="Times New Roman"/>
          <w:sz w:val="24"/>
          <w:szCs w:val="24"/>
        </w:rPr>
        <w:t>.</w:t>
      </w:r>
      <w:r w:rsidR="00C671B3" w:rsidRPr="00A07F29">
        <w:rPr>
          <w:rFonts w:ascii="Times New Roman" w:hAnsi="Times New Roman" w:cs="Times New Roman"/>
          <w:sz w:val="24"/>
          <w:szCs w:val="24"/>
        </w:rPr>
        <w:t>tml.).</w:t>
      </w:r>
    </w:p>
    <w:p w14:paraId="41A3DB80" w14:textId="48845E23" w:rsidR="00D56C16" w:rsidRPr="00A07F29" w:rsidRDefault="00D56C16" w:rsidP="00B00E18">
      <w:pPr>
        <w:keepNext/>
        <w:spacing w:before="240" w:after="120" w:line="240" w:lineRule="auto"/>
        <w:jc w:val="both"/>
        <w:rPr>
          <w:rFonts w:ascii="Times New Roman" w:hAnsi="Times New Roman" w:cs="Times New Roman"/>
          <w:b/>
          <w:i/>
          <w:sz w:val="24"/>
          <w:szCs w:val="24"/>
        </w:rPr>
      </w:pPr>
      <w:r w:rsidRPr="00A07F29">
        <w:rPr>
          <w:rFonts w:ascii="Times New Roman" w:hAnsi="Times New Roman" w:cs="Times New Roman"/>
          <w:b/>
          <w:i/>
          <w:sz w:val="24"/>
          <w:szCs w:val="24"/>
        </w:rPr>
        <w:t xml:space="preserve">D.2.5. </w:t>
      </w:r>
      <w:proofErr w:type="spellStart"/>
      <w:r w:rsidRPr="00A07F29">
        <w:rPr>
          <w:rFonts w:ascii="Times New Roman" w:hAnsi="Times New Roman" w:cs="Times New Roman"/>
          <w:b/>
          <w:i/>
          <w:sz w:val="24"/>
          <w:szCs w:val="24"/>
        </w:rPr>
        <w:t>Lielbornes</w:t>
      </w:r>
      <w:proofErr w:type="spellEnd"/>
      <w:r w:rsidRPr="00A07F29">
        <w:rPr>
          <w:rFonts w:ascii="Times New Roman" w:hAnsi="Times New Roman" w:cs="Times New Roman"/>
          <w:b/>
          <w:i/>
          <w:sz w:val="24"/>
          <w:szCs w:val="24"/>
        </w:rPr>
        <w:t xml:space="preserve"> muižas taku pilnveidošana un uzturēšana</w:t>
      </w:r>
    </w:p>
    <w:p w14:paraId="1A4F9E9A" w14:textId="52A96391" w:rsidR="003716E9" w:rsidRPr="00A07F29" w:rsidRDefault="00D56C16" w:rsidP="001767E5">
      <w:pPr>
        <w:spacing w:after="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t>Nepieciešams uzturēt atpūtas kompleksā “</w:t>
      </w:r>
      <w:proofErr w:type="spellStart"/>
      <w:r w:rsidRPr="00A07F29">
        <w:rPr>
          <w:rFonts w:ascii="Times New Roman" w:hAnsi="Times New Roman" w:cs="Times New Roman"/>
          <w:sz w:val="24"/>
          <w:szCs w:val="24"/>
        </w:rPr>
        <w:t>Lielbornes</w:t>
      </w:r>
      <w:proofErr w:type="spellEnd"/>
      <w:r w:rsidRPr="00A07F29">
        <w:rPr>
          <w:rFonts w:ascii="Times New Roman" w:hAnsi="Times New Roman" w:cs="Times New Roman"/>
          <w:sz w:val="24"/>
          <w:szCs w:val="24"/>
        </w:rPr>
        <w:t xml:space="preserve"> muiža” izveidoto pastaigu taku. Uz takā izvietotajām norādēm būtu ieteicams norādīt arī attālumu līdz nākamajam objektam.</w:t>
      </w:r>
    </w:p>
    <w:p w14:paraId="4AA931D0" w14:textId="5FEA365B" w:rsidR="00495453" w:rsidRPr="00A07F29" w:rsidRDefault="00495453" w:rsidP="00495453">
      <w:pPr>
        <w:spacing w:before="240" w:after="120" w:line="240" w:lineRule="auto"/>
        <w:jc w:val="both"/>
        <w:rPr>
          <w:rFonts w:ascii="Times New Roman" w:hAnsi="Times New Roman" w:cs="Times New Roman"/>
          <w:b/>
          <w:i/>
          <w:sz w:val="24"/>
          <w:szCs w:val="24"/>
        </w:rPr>
      </w:pPr>
      <w:r w:rsidRPr="00A07F29">
        <w:rPr>
          <w:rFonts w:ascii="Times New Roman" w:hAnsi="Times New Roman" w:cs="Times New Roman"/>
          <w:b/>
          <w:i/>
          <w:sz w:val="24"/>
          <w:szCs w:val="24"/>
        </w:rPr>
        <w:t xml:space="preserve">D.2.6. Dabas takas izveidošana </w:t>
      </w:r>
      <w:r w:rsidR="00040692" w:rsidRPr="00A07F29">
        <w:rPr>
          <w:rFonts w:ascii="Times New Roman" w:hAnsi="Times New Roman" w:cs="Times New Roman"/>
          <w:b/>
          <w:i/>
          <w:sz w:val="24"/>
          <w:szCs w:val="24"/>
        </w:rPr>
        <w:t xml:space="preserve">un uzturēšana </w:t>
      </w:r>
      <w:r w:rsidRPr="00A07F29">
        <w:rPr>
          <w:rFonts w:ascii="Times New Roman" w:hAnsi="Times New Roman" w:cs="Times New Roman"/>
          <w:b/>
          <w:i/>
          <w:sz w:val="24"/>
          <w:szCs w:val="24"/>
        </w:rPr>
        <w:t xml:space="preserve">pie </w:t>
      </w:r>
      <w:proofErr w:type="spellStart"/>
      <w:r w:rsidRPr="00A07F29">
        <w:rPr>
          <w:rFonts w:ascii="Times New Roman" w:hAnsi="Times New Roman" w:cs="Times New Roman"/>
          <w:b/>
          <w:i/>
          <w:sz w:val="24"/>
          <w:szCs w:val="24"/>
        </w:rPr>
        <w:t>Vecračinas</w:t>
      </w:r>
      <w:proofErr w:type="spellEnd"/>
      <w:r w:rsidRPr="00A07F29">
        <w:rPr>
          <w:rFonts w:ascii="Times New Roman" w:hAnsi="Times New Roman" w:cs="Times New Roman"/>
          <w:b/>
          <w:i/>
          <w:sz w:val="24"/>
          <w:szCs w:val="24"/>
        </w:rPr>
        <w:t xml:space="preserve"> pilskalna</w:t>
      </w:r>
    </w:p>
    <w:p w14:paraId="621E8344" w14:textId="604B463A" w:rsidR="00495453" w:rsidRPr="00A07F29" w:rsidRDefault="00495453" w:rsidP="00D507A0">
      <w:pPr>
        <w:spacing w:after="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t xml:space="preserve">Ieteicams izveidot dabas taku no </w:t>
      </w:r>
      <w:proofErr w:type="spellStart"/>
      <w:r w:rsidRPr="00A07F29">
        <w:rPr>
          <w:rFonts w:ascii="Times New Roman" w:hAnsi="Times New Roman" w:cs="Times New Roman"/>
          <w:sz w:val="24"/>
          <w:szCs w:val="24"/>
        </w:rPr>
        <w:t>Vecračinas</w:t>
      </w:r>
      <w:proofErr w:type="spellEnd"/>
      <w:r w:rsidRPr="00A07F29">
        <w:rPr>
          <w:rFonts w:ascii="Times New Roman" w:hAnsi="Times New Roman" w:cs="Times New Roman"/>
          <w:sz w:val="24"/>
          <w:szCs w:val="24"/>
        </w:rPr>
        <w:t xml:space="preserve"> pilskalna līdz Daugavas krastam – </w:t>
      </w:r>
      <w:proofErr w:type="spellStart"/>
      <w:r w:rsidRPr="00A07F29">
        <w:rPr>
          <w:rFonts w:ascii="Times New Roman" w:hAnsi="Times New Roman" w:cs="Times New Roman"/>
          <w:sz w:val="24"/>
          <w:szCs w:val="24"/>
        </w:rPr>
        <w:t>ūdenstūristu</w:t>
      </w:r>
      <w:proofErr w:type="spellEnd"/>
      <w:r w:rsidRPr="00A07F29">
        <w:rPr>
          <w:rFonts w:ascii="Times New Roman" w:hAnsi="Times New Roman" w:cs="Times New Roman"/>
          <w:sz w:val="24"/>
          <w:szCs w:val="24"/>
        </w:rPr>
        <w:t xml:space="preserve"> apmetnei.</w:t>
      </w:r>
      <w:r w:rsidR="00412081" w:rsidRPr="00A07F29">
        <w:rPr>
          <w:rFonts w:ascii="Times New Roman" w:hAnsi="Times New Roman" w:cs="Times New Roman"/>
          <w:sz w:val="24"/>
          <w:szCs w:val="24"/>
        </w:rPr>
        <w:t xml:space="preserve"> Takas optimālais novietojums un labiek</w:t>
      </w:r>
      <w:r w:rsidR="00523030" w:rsidRPr="00A07F29">
        <w:rPr>
          <w:rFonts w:ascii="Times New Roman" w:hAnsi="Times New Roman" w:cs="Times New Roman"/>
          <w:sz w:val="24"/>
          <w:szCs w:val="24"/>
        </w:rPr>
        <w:t>ārto</w:t>
      </w:r>
      <w:r w:rsidR="00412081" w:rsidRPr="00A07F29">
        <w:rPr>
          <w:rFonts w:ascii="Times New Roman" w:hAnsi="Times New Roman" w:cs="Times New Roman"/>
          <w:sz w:val="24"/>
          <w:szCs w:val="24"/>
        </w:rPr>
        <w:t>jums precizējams saskaņošanas un projektēšanas laikā.</w:t>
      </w:r>
    </w:p>
    <w:p w14:paraId="09A64206" w14:textId="0C1AA4D1" w:rsidR="003716E9" w:rsidRPr="00A07F29" w:rsidRDefault="003716E9" w:rsidP="003716E9">
      <w:pPr>
        <w:spacing w:before="240" w:after="120" w:line="240" w:lineRule="auto"/>
        <w:jc w:val="both"/>
        <w:rPr>
          <w:rFonts w:ascii="Times New Roman" w:hAnsi="Times New Roman" w:cs="Times New Roman"/>
          <w:b/>
          <w:i/>
          <w:sz w:val="24"/>
          <w:szCs w:val="24"/>
        </w:rPr>
      </w:pPr>
      <w:r w:rsidRPr="00A07F29">
        <w:rPr>
          <w:rFonts w:ascii="Times New Roman" w:hAnsi="Times New Roman" w:cs="Times New Roman"/>
          <w:b/>
          <w:i/>
          <w:sz w:val="24"/>
          <w:szCs w:val="24"/>
        </w:rPr>
        <w:t>D.2.7. Dabas takas izveid</w:t>
      </w:r>
      <w:r w:rsidR="0024512B" w:rsidRPr="00A07F29">
        <w:rPr>
          <w:rFonts w:ascii="Times New Roman" w:hAnsi="Times New Roman" w:cs="Times New Roman"/>
          <w:b/>
          <w:i/>
          <w:sz w:val="24"/>
          <w:szCs w:val="24"/>
        </w:rPr>
        <w:t xml:space="preserve">ošana </w:t>
      </w:r>
      <w:r w:rsidR="00040692" w:rsidRPr="00A07F29">
        <w:rPr>
          <w:rFonts w:ascii="Times New Roman" w:hAnsi="Times New Roman" w:cs="Times New Roman"/>
          <w:b/>
          <w:i/>
          <w:sz w:val="24"/>
          <w:szCs w:val="24"/>
        </w:rPr>
        <w:t xml:space="preserve">un uzturēšana </w:t>
      </w:r>
      <w:r w:rsidRPr="00A07F29">
        <w:rPr>
          <w:rFonts w:ascii="Times New Roman" w:hAnsi="Times New Roman" w:cs="Times New Roman"/>
          <w:b/>
          <w:i/>
          <w:sz w:val="24"/>
          <w:szCs w:val="24"/>
        </w:rPr>
        <w:t>Tabores muižas parkā</w:t>
      </w:r>
    </w:p>
    <w:p w14:paraId="24A37096" w14:textId="711D0D9B" w:rsidR="003716E9" w:rsidRPr="00A07F29" w:rsidRDefault="003716E9" w:rsidP="0024512B">
      <w:pPr>
        <w:spacing w:after="12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t>Ieteicams izveidot dabas taku Tabores muižas parkā</w:t>
      </w:r>
      <w:r w:rsidR="0024512B" w:rsidRPr="00A07F29">
        <w:rPr>
          <w:rFonts w:ascii="Times New Roman" w:hAnsi="Times New Roman" w:cs="Times New Roman"/>
          <w:sz w:val="24"/>
          <w:szCs w:val="24"/>
        </w:rPr>
        <w:t xml:space="preserve"> (pašvaldības zemesgabalā ar kadastra apzīmējumu 44920030376)</w:t>
      </w:r>
      <w:r w:rsidRPr="00A07F29">
        <w:rPr>
          <w:rFonts w:ascii="Times New Roman" w:hAnsi="Times New Roman" w:cs="Times New Roman"/>
          <w:sz w:val="24"/>
          <w:szCs w:val="24"/>
        </w:rPr>
        <w:t xml:space="preserve">. </w:t>
      </w:r>
      <w:r w:rsidR="0024512B" w:rsidRPr="00A07F29">
        <w:rPr>
          <w:rFonts w:ascii="Times New Roman" w:hAnsi="Times New Roman" w:cs="Times New Roman"/>
          <w:sz w:val="24"/>
          <w:szCs w:val="24"/>
        </w:rPr>
        <w:t xml:space="preserve">Takā ieteicams izvietot informācijas stendus par parkā sastopamajām dabas vērtībām, ieteicams izveidot takas </w:t>
      </w:r>
      <w:proofErr w:type="spellStart"/>
      <w:r w:rsidR="0024512B" w:rsidRPr="00A07F29">
        <w:rPr>
          <w:rFonts w:ascii="Times New Roman" w:hAnsi="Times New Roman" w:cs="Times New Roman"/>
          <w:sz w:val="24"/>
          <w:szCs w:val="24"/>
        </w:rPr>
        <w:t>audiogidu</w:t>
      </w:r>
      <w:proofErr w:type="spellEnd"/>
      <w:r w:rsidR="0024512B" w:rsidRPr="00A07F29">
        <w:rPr>
          <w:rFonts w:ascii="Times New Roman" w:hAnsi="Times New Roman" w:cs="Times New Roman"/>
          <w:sz w:val="24"/>
          <w:szCs w:val="24"/>
        </w:rPr>
        <w:t>, piemērotās vietās izvietot soliņus. Tabores muižas (bijušās Tabores skolas) ēkā ieteicams izveidot tūrisma informācijas punktu.</w:t>
      </w:r>
    </w:p>
    <w:p w14:paraId="51A62F34" w14:textId="174AA204" w:rsidR="002F6804" w:rsidRPr="00A07F29" w:rsidRDefault="002F6804" w:rsidP="002F6804">
      <w:pPr>
        <w:spacing w:before="240" w:after="120" w:line="240" w:lineRule="auto"/>
        <w:jc w:val="both"/>
        <w:rPr>
          <w:rFonts w:ascii="Times New Roman" w:hAnsi="Times New Roman" w:cs="Times New Roman"/>
          <w:b/>
          <w:i/>
          <w:sz w:val="24"/>
          <w:szCs w:val="24"/>
        </w:rPr>
      </w:pPr>
      <w:r w:rsidRPr="00A07F29">
        <w:rPr>
          <w:rFonts w:ascii="Times New Roman" w:hAnsi="Times New Roman" w:cs="Times New Roman"/>
          <w:b/>
          <w:i/>
          <w:sz w:val="24"/>
          <w:szCs w:val="24"/>
        </w:rPr>
        <w:t>D.2.</w:t>
      </w:r>
      <w:r w:rsidR="00E02999" w:rsidRPr="00A07F29">
        <w:rPr>
          <w:rFonts w:ascii="Times New Roman" w:hAnsi="Times New Roman" w:cs="Times New Roman"/>
          <w:b/>
          <w:i/>
          <w:sz w:val="24"/>
          <w:szCs w:val="24"/>
        </w:rPr>
        <w:t>8</w:t>
      </w:r>
      <w:r w:rsidRPr="00A07F29">
        <w:rPr>
          <w:rFonts w:ascii="Times New Roman" w:hAnsi="Times New Roman" w:cs="Times New Roman"/>
          <w:b/>
          <w:i/>
          <w:sz w:val="24"/>
          <w:szCs w:val="24"/>
        </w:rPr>
        <w:t xml:space="preserve">. </w:t>
      </w:r>
      <w:proofErr w:type="spellStart"/>
      <w:r w:rsidR="006D2DE6" w:rsidRPr="00A07F29">
        <w:rPr>
          <w:rFonts w:ascii="Times New Roman" w:hAnsi="Times New Roman" w:cs="Times New Roman"/>
          <w:b/>
          <w:i/>
          <w:sz w:val="24"/>
          <w:szCs w:val="24"/>
        </w:rPr>
        <w:t>Balticas</w:t>
      </w:r>
      <w:proofErr w:type="spellEnd"/>
      <w:r w:rsidR="006D2DE6" w:rsidRPr="00A07F29">
        <w:rPr>
          <w:rFonts w:ascii="Times New Roman" w:hAnsi="Times New Roman" w:cs="Times New Roman"/>
          <w:b/>
          <w:i/>
          <w:sz w:val="24"/>
          <w:szCs w:val="24"/>
        </w:rPr>
        <w:t xml:space="preserve"> ezera d</w:t>
      </w:r>
      <w:r w:rsidRPr="00A07F29">
        <w:rPr>
          <w:rFonts w:ascii="Times New Roman" w:hAnsi="Times New Roman" w:cs="Times New Roman"/>
          <w:b/>
          <w:i/>
          <w:sz w:val="24"/>
          <w:szCs w:val="24"/>
        </w:rPr>
        <w:t>abas takas i</w:t>
      </w:r>
      <w:r w:rsidR="006D2DE6" w:rsidRPr="00A07F29">
        <w:rPr>
          <w:rFonts w:ascii="Times New Roman" w:hAnsi="Times New Roman" w:cs="Times New Roman"/>
          <w:b/>
          <w:i/>
          <w:sz w:val="24"/>
          <w:szCs w:val="24"/>
        </w:rPr>
        <w:t>zveidošana un uzturēšana</w:t>
      </w:r>
    </w:p>
    <w:p w14:paraId="52FF8162" w14:textId="77777777" w:rsidR="006D46C7" w:rsidRPr="00A07F29" w:rsidRDefault="006D46C7" w:rsidP="006D46C7">
      <w:pPr>
        <w:spacing w:after="12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t xml:space="preserve">Pēc zemes īpašnieku vai </w:t>
      </w:r>
      <w:proofErr w:type="spellStart"/>
      <w:r w:rsidRPr="00A07F29">
        <w:rPr>
          <w:rFonts w:ascii="Times New Roman" w:hAnsi="Times New Roman" w:cs="Times New Roman"/>
          <w:sz w:val="24"/>
          <w:szCs w:val="24"/>
        </w:rPr>
        <w:t>apsaimiekotāju</w:t>
      </w:r>
      <w:proofErr w:type="spellEnd"/>
      <w:r w:rsidRPr="00A07F29">
        <w:rPr>
          <w:rFonts w:ascii="Times New Roman" w:hAnsi="Times New Roman" w:cs="Times New Roman"/>
          <w:sz w:val="24"/>
          <w:szCs w:val="24"/>
        </w:rPr>
        <w:t xml:space="preserve"> iniciatīvas un savstarpējas vienošanās iespējama pastaigu (dabas izziņas) takas ierīkošana apkārt </w:t>
      </w:r>
      <w:proofErr w:type="spellStart"/>
      <w:r w:rsidRPr="00A07F29">
        <w:rPr>
          <w:rFonts w:ascii="Times New Roman" w:hAnsi="Times New Roman" w:cs="Times New Roman"/>
          <w:sz w:val="24"/>
          <w:szCs w:val="24"/>
        </w:rPr>
        <w:t>Balticas</w:t>
      </w:r>
      <w:proofErr w:type="spellEnd"/>
      <w:r w:rsidRPr="00A07F29">
        <w:rPr>
          <w:rFonts w:ascii="Times New Roman" w:hAnsi="Times New Roman" w:cs="Times New Roman"/>
          <w:sz w:val="24"/>
          <w:szCs w:val="24"/>
        </w:rPr>
        <w:t xml:space="preserve"> ezeram.</w:t>
      </w:r>
    </w:p>
    <w:p w14:paraId="2F13695D" w14:textId="77777777" w:rsidR="006D46C7" w:rsidRPr="00A07F29" w:rsidRDefault="006D46C7" w:rsidP="006D46C7">
      <w:pPr>
        <w:spacing w:after="12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t xml:space="preserve">Lai mazinātu ietekmi uz </w:t>
      </w:r>
      <w:proofErr w:type="spellStart"/>
      <w:r w:rsidRPr="00A07F29">
        <w:rPr>
          <w:rFonts w:ascii="Times New Roman" w:hAnsi="Times New Roman" w:cs="Times New Roman"/>
          <w:sz w:val="24"/>
          <w:szCs w:val="24"/>
        </w:rPr>
        <w:t>Balticas</w:t>
      </w:r>
      <w:proofErr w:type="spellEnd"/>
      <w:r w:rsidRPr="00A07F29">
        <w:rPr>
          <w:rFonts w:ascii="Times New Roman" w:hAnsi="Times New Roman" w:cs="Times New Roman"/>
          <w:sz w:val="24"/>
          <w:szCs w:val="24"/>
        </w:rPr>
        <w:t xml:space="preserve"> ezera jutīgo ekosistēmu:</w:t>
      </w:r>
    </w:p>
    <w:p w14:paraId="16BDE9AF" w14:textId="77777777" w:rsidR="006D46C7" w:rsidRPr="00A07F29" w:rsidRDefault="006D46C7" w:rsidP="006D46C7">
      <w:pPr>
        <w:pStyle w:val="ListParagraph"/>
        <w:numPr>
          <w:ilvl w:val="0"/>
          <w:numId w:val="66"/>
        </w:numPr>
        <w:spacing w:line="240" w:lineRule="auto"/>
        <w:rPr>
          <w:rFonts w:cs="Times New Roman"/>
          <w:szCs w:val="24"/>
        </w:rPr>
      </w:pPr>
      <w:r w:rsidRPr="00A07F29">
        <w:rPr>
          <w:rFonts w:cs="Times New Roman"/>
          <w:szCs w:val="24"/>
        </w:rPr>
        <w:t xml:space="preserve">taka ierīkojama ārpus </w:t>
      </w:r>
      <w:proofErr w:type="spellStart"/>
      <w:r w:rsidRPr="00190A83">
        <w:rPr>
          <w:rFonts w:cs="Times New Roman"/>
          <w:szCs w:val="24"/>
        </w:rPr>
        <w:t>avoksnājiem</w:t>
      </w:r>
      <w:proofErr w:type="spellEnd"/>
      <w:r w:rsidRPr="00A07F29">
        <w:rPr>
          <w:rFonts w:cs="Times New Roman"/>
          <w:szCs w:val="24"/>
        </w:rPr>
        <w:t xml:space="preserve"> u.c. pārmitrām vai applūstošām vietām;</w:t>
      </w:r>
    </w:p>
    <w:p w14:paraId="0EBA8A56" w14:textId="77777777" w:rsidR="006D46C7" w:rsidRPr="00A07F29" w:rsidRDefault="006D46C7" w:rsidP="006D46C7">
      <w:pPr>
        <w:pStyle w:val="ListParagraph"/>
        <w:numPr>
          <w:ilvl w:val="0"/>
          <w:numId w:val="66"/>
        </w:numPr>
        <w:spacing w:line="240" w:lineRule="auto"/>
        <w:rPr>
          <w:rFonts w:cs="Times New Roman"/>
          <w:szCs w:val="24"/>
        </w:rPr>
      </w:pPr>
      <w:r w:rsidRPr="00A07F29">
        <w:rPr>
          <w:rFonts w:cs="Times New Roman"/>
          <w:szCs w:val="24"/>
        </w:rPr>
        <w:t>ja nepieciešams, ūdensteču un pārmitru ieplaku šķērsošanas vietās ierīkojami tiltiņi un laipas;</w:t>
      </w:r>
    </w:p>
    <w:p w14:paraId="2559BBB8" w14:textId="60FECD30" w:rsidR="006D46C7" w:rsidRPr="00A07F29" w:rsidRDefault="006D46C7" w:rsidP="006D46C7">
      <w:pPr>
        <w:pStyle w:val="ListParagraph"/>
        <w:numPr>
          <w:ilvl w:val="0"/>
          <w:numId w:val="66"/>
        </w:numPr>
        <w:spacing w:line="240" w:lineRule="auto"/>
        <w:rPr>
          <w:rFonts w:cs="Times New Roman"/>
          <w:szCs w:val="24"/>
        </w:rPr>
      </w:pPr>
      <w:r w:rsidRPr="00A07F29">
        <w:rPr>
          <w:rFonts w:cs="Times New Roman"/>
          <w:szCs w:val="24"/>
        </w:rPr>
        <w:lastRenderedPageBreak/>
        <w:t xml:space="preserve">ezera </w:t>
      </w:r>
      <w:r w:rsidR="00190A83">
        <w:rPr>
          <w:rFonts w:cs="Times New Roman"/>
          <w:szCs w:val="24"/>
        </w:rPr>
        <w:t>R</w:t>
      </w:r>
      <w:r w:rsidRPr="00A07F29">
        <w:rPr>
          <w:rFonts w:cs="Times New Roman"/>
          <w:szCs w:val="24"/>
        </w:rPr>
        <w:t xml:space="preserve"> krastā taka jāierīko pa krasta nogāzes augšējo malu, maksimāli izmantojot esošo meža taku vai ceļu;</w:t>
      </w:r>
    </w:p>
    <w:p w14:paraId="7E833757" w14:textId="50142B71" w:rsidR="006D46C7" w:rsidRPr="00A07F29" w:rsidRDefault="006D46C7" w:rsidP="006D46C7">
      <w:pPr>
        <w:pStyle w:val="ListParagraph"/>
        <w:numPr>
          <w:ilvl w:val="0"/>
          <w:numId w:val="66"/>
        </w:numPr>
        <w:spacing w:line="240" w:lineRule="auto"/>
        <w:rPr>
          <w:rFonts w:cs="Times New Roman"/>
          <w:szCs w:val="24"/>
        </w:rPr>
      </w:pPr>
      <w:r w:rsidRPr="00A07F29">
        <w:rPr>
          <w:rFonts w:cs="Times New Roman"/>
          <w:szCs w:val="24"/>
        </w:rPr>
        <w:t xml:space="preserve">pieļaujama </w:t>
      </w:r>
      <w:r w:rsidR="00CF136C">
        <w:rPr>
          <w:rFonts w:cs="Times New Roman"/>
          <w:szCs w:val="24"/>
        </w:rPr>
        <w:t>trīs</w:t>
      </w:r>
      <w:r w:rsidRPr="00A07F29">
        <w:rPr>
          <w:rFonts w:cs="Times New Roman"/>
          <w:szCs w:val="24"/>
        </w:rPr>
        <w:t xml:space="preserve"> atpūtas vietu ierīkošana sausās, ērti apsaimniekojamās vietās (</w:t>
      </w:r>
      <w:r w:rsidR="0004282F">
        <w:rPr>
          <w:rFonts w:cs="Times New Roman"/>
          <w:szCs w:val="24"/>
        </w:rPr>
        <w:t>divas</w:t>
      </w:r>
      <w:r w:rsidRPr="00A07F29">
        <w:rPr>
          <w:rFonts w:cs="Times New Roman"/>
          <w:szCs w:val="24"/>
        </w:rPr>
        <w:t xml:space="preserve"> “Pazaru” māju apkārtnē, viena – pie meža ceļa ezera </w:t>
      </w:r>
      <w:r w:rsidR="00190A83">
        <w:rPr>
          <w:rFonts w:cs="Times New Roman"/>
          <w:szCs w:val="24"/>
        </w:rPr>
        <w:t>R</w:t>
      </w:r>
      <w:r w:rsidRPr="00A07F29">
        <w:rPr>
          <w:rFonts w:cs="Times New Roman"/>
          <w:szCs w:val="24"/>
        </w:rPr>
        <w:t xml:space="preserve"> krastā), ja tiek nodrošināta to apsaimniekošana. Atpūtas vietās pieļaujamais labiekārtojums – galds, soli, nojume līdz </w:t>
      </w:r>
      <w:r w:rsidR="0004282F">
        <w:rPr>
          <w:rFonts w:cs="Times New Roman"/>
          <w:szCs w:val="24"/>
        </w:rPr>
        <w:t>piecu</w:t>
      </w:r>
      <w:r w:rsidRPr="00A07F29">
        <w:rPr>
          <w:rFonts w:cs="Times New Roman"/>
          <w:szCs w:val="24"/>
        </w:rPr>
        <w:t xml:space="preserve"> cilvēku grupai, tualete; atpūtas vietās pie “Pazaru” mājām – arī ugunskura vieta.</w:t>
      </w:r>
    </w:p>
    <w:p w14:paraId="0AEEF8F9" w14:textId="61AA25BA" w:rsidR="006D46C7" w:rsidRPr="00A07F29" w:rsidRDefault="006D46C7" w:rsidP="00CE0C2C">
      <w:pPr>
        <w:ind w:firstLine="851"/>
        <w:jc w:val="both"/>
        <w:rPr>
          <w:rFonts w:ascii="Times New Roman" w:hAnsi="Times New Roman" w:cs="Times New Roman"/>
          <w:sz w:val="24"/>
          <w:szCs w:val="24"/>
        </w:rPr>
      </w:pPr>
      <w:r w:rsidRPr="00A07F29">
        <w:rPr>
          <w:rFonts w:ascii="Times New Roman" w:hAnsi="Times New Roman" w:cs="Times New Roman"/>
          <w:sz w:val="24"/>
          <w:szCs w:val="24"/>
        </w:rPr>
        <w:t xml:space="preserve">Takas un atpūtas vietu ieteicamais novietojums dots </w:t>
      </w:r>
      <w:r w:rsidR="00757232">
        <w:rPr>
          <w:rFonts w:ascii="Times New Roman" w:hAnsi="Times New Roman" w:cs="Times New Roman"/>
          <w:sz w:val="24"/>
          <w:szCs w:val="24"/>
        </w:rPr>
        <w:t>5.3.30. </w:t>
      </w:r>
      <w:r w:rsidRPr="00A07F29">
        <w:rPr>
          <w:rFonts w:ascii="Times New Roman" w:hAnsi="Times New Roman" w:cs="Times New Roman"/>
          <w:sz w:val="24"/>
          <w:szCs w:val="24"/>
        </w:rPr>
        <w:t>attēlā. Takas un atpūtas vietu optimālais novietojums un labiekārtojums precizējams saskaņošanas un projektēšanas laikā.</w:t>
      </w:r>
    </w:p>
    <w:p w14:paraId="41B3EE32" w14:textId="216ABD48" w:rsidR="00490A6D" w:rsidRPr="00633EAC" w:rsidRDefault="00D11405" w:rsidP="00633EAC">
      <w:r w:rsidRPr="003E560B">
        <w:rPr>
          <w:bCs/>
          <w:noProof/>
          <w:sz w:val="20"/>
          <w:szCs w:val="20"/>
          <w:lang w:eastAsia="lv-LV"/>
        </w:rPr>
        <w:drawing>
          <wp:inline distT="0" distB="0" distL="0" distR="0" wp14:anchorId="5EDCCA5E" wp14:editId="3E5B65DF">
            <wp:extent cx="5731510" cy="4051935"/>
            <wp:effectExtent l="0" t="0" r="2540" b="5715"/>
            <wp:docPr id="918145598" name="Picture 918145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145598" name="D.2.8. apsaimniekošanas pasakumi. Balticas ezera dabas taka.jpg"/>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5731510" cy="4051935"/>
                    </a:xfrm>
                    <a:prstGeom prst="rect">
                      <a:avLst/>
                    </a:prstGeom>
                  </pic:spPr>
                </pic:pic>
              </a:graphicData>
            </a:graphic>
          </wp:inline>
        </w:drawing>
      </w:r>
      <w:r w:rsidR="003D716F" w:rsidRPr="003E560B">
        <w:rPr>
          <w:rFonts w:ascii="Times New Roman" w:hAnsi="Times New Roman" w:cs="Times New Roman"/>
          <w:bCs/>
          <w:sz w:val="20"/>
          <w:szCs w:val="20"/>
        </w:rPr>
        <w:t xml:space="preserve">5.3.30. attēls. </w:t>
      </w:r>
      <w:proofErr w:type="spellStart"/>
      <w:r w:rsidR="003E560B" w:rsidRPr="003E560B">
        <w:rPr>
          <w:rFonts w:ascii="Times New Roman" w:hAnsi="Times New Roman" w:cs="Times New Roman"/>
          <w:bCs/>
          <w:sz w:val="20"/>
          <w:szCs w:val="20"/>
        </w:rPr>
        <w:t>Balticas</w:t>
      </w:r>
      <w:proofErr w:type="spellEnd"/>
      <w:r w:rsidR="003E560B" w:rsidRPr="003E560B">
        <w:rPr>
          <w:rFonts w:ascii="Times New Roman" w:hAnsi="Times New Roman" w:cs="Times New Roman"/>
          <w:bCs/>
          <w:sz w:val="20"/>
          <w:szCs w:val="20"/>
        </w:rPr>
        <w:t xml:space="preserve"> ezera dabas takas izveidošana un uzturēšana.</w:t>
      </w:r>
    </w:p>
    <w:p w14:paraId="68CA3BC6" w14:textId="27C4BDD9" w:rsidR="00D56C16" w:rsidRPr="00A07F29" w:rsidRDefault="00D56C16" w:rsidP="00E63404">
      <w:pPr>
        <w:keepNext/>
        <w:spacing w:after="120" w:line="240" w:lineRule="auto"/>
        <w:jc w:val="both"/>
        <w:rPr>
          <w:rFonts w:ascii="Times New Roman" w:hAnsi="Times New Roman" w:cs="Times New Roman"/>
          <w:b/>
          <w:sz w:val="24"/>
          <w:szCs w:val="24"/>
        </w:rPr>
      </w:pPr>
      <w:r w:rsidRPr="00A07F29">
        <w:rPr>
          <w:rFonts w:ascii="Times New Roman" w:hAnsi="Times New Roman" w:cs="Times New Roman"/>
          <w:b/>
          <w:sz w:val="24"/>
          <w:szCs w:val="24"/>
        </w:rPr>
        <w:t>D.3. Ierīkot, pilnveidot un uzturēt atpūtas vietas</w:t>
      </w:r>
    </w:p>
    <w:p w14:paraId="3B032508" w14:textId="713CACAA" w:rsidR="00EA3981" w:rsidRPr="00A07F29" w:rsidRDefault="00EA3981" w:rsidP="00EA3981">
      <w:pPr>
        <w:spacing w:after="12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t xml:space="preserve">Veicot esošo atpūtas vietu uzturēšanu un plānojot jaunu labiekārtojumu, jāņem vērā </w:t>
      </w:r>
      <w:r w:rsidR="008C19C7" w:rsidRPr="00A07F29">
        <w:rPr>
          <w:rFonts w:ascii="Times New Roman" w:hAnsi="Times New Roman" w:cs="Times New Roman"/>
          <w:sz w:val="24"/>
          <w:szCs w:val="24"/>
        </w:rPr>
        <w:t xml:space="preserve">vietas </w:t>
      </w:r>
      <w:r w:rsidRPr="00A07F29">
        <w:rPr>
          <w:rFonts w:ascii="Times New Roman" w:hAnsi="Times New Roman" w:cs="Times New Roman"/>
          <w:sz w:val="24"/>
          <w:szCs w:val="24"/>
        </w:rPr>
        <w:t>piemērotība apmeklēšanai</w:t>
      </w:r>
      <w:r w:rsidR="008C19C7" w:rsidRPr="00A07F29">
        <w:rPr>
          <w:rFonts w:ascii="Times New Roman" w:hAnsi="Times New Roman" w:cs="Times New Roman"/>
          <w:sz w:val="24"/>
          <w:szCs w:val="24"/>
        </w:rPr>
        <w:t xml:space="preserve"> (atpūtai, vides izziņai)</w:t>
      </w:r>
      <w:r w:rsidRPr="00A07F29">
        <w:rPr>
          <w:rFonts w:ascii="Times New Roman" w:hAnsi="Times New Roman" w:cs="Times New Roman"/>
          <w:sz w:val="24"/>
          <w:szCs w:val="24"/>
        </w:rPr>
        <w:t xml:space="preserve">, </w:t>
      </w:r>
      <w:r w:rsidR="008C19C7" w:rsidRPr="00A07F29">
        <w:rPr>
          <w:rFonts w:ascii="Times New Roman" w:hAnsi="Times New Roman" w:cs="Times New Roman"/>
          <w:sz w:val="24"/>
          <w:szCs w:val="24"/>
        </w:rPr>
        <w:t>kā arī esošā un pie</w:t>
      </w:r>
      <w:r w:rsidR="004073A4" w:rsidRPr="00A07F29">
        <w:rPr>
          <w:rFonts w:ascii="Times New Roman" w:hAnsi="Times New Roman" w:cs="Times New Roman"/>
          <w:sz w:val="24"/>
          <w:szCs w:val="24"/>
        </w:rPr>
        <w:t>ļ</w:t>
      </w:r>
      <w:r w:rsidR="008C19C7" w:rsidRPr="00A07F29">
        <w:rPr>
          <w:rFonts w:ascii="Times New Roman" w:hAnsi="Times New Roman" w:cs="Times New Roman"/>
          <w:sz w:val="24"/>
          <w:szCs w:val="24"/>
        </w:rPr>
        <w:t>aujamā antropogēnā slodze uz blakusesošajām ekosistēmām un pasākumi tās mazināšanai.</w:t>
      </w:r>
    </w:p>
    <w:p w14:paraId="3163FFC9" w14:textId="1720EEB3" w:rsidR="00D56C16" w:rsidRPr="00A07F29" w:rsidRDefault="00D56C16" w:rsidP="00066374">
      <w:pPr>
        <w:keepNext/>
        <w:spacing w:before="240" w:after="120" w:line="240" w:lineRule="auto"/>
        <w:jc w:val="both"/>
        <w:rPr>
          <w:rFonts w:ascii="Times New Roman" w:hAnsi="Times New Roman" w:cs="Times New Roman"/>
          <w:b/>
          <w:i/>
          <w:sz w:val="24"/>
          <w:szCs w:val="24"/>
        </w:rPr>
      </w:pPr>
      <w:r w:rsidRPr="00A07F29">
        <w:rPr>
          <w:rFonts w:ascii="Times New Roman" w:hAnsi="Times New Roman" w:cs="Times New Roman"/>
          <w:b/>
          <w:i/>
          <w:sz w:val="24"/>
          <w:szCs w:val="24"/>
        </w:rPr>
        <w:t xml:space="preserve">D.3.1. </w:t>
      </w:r>
      <w:r w:rsidR="00757232">
        <w:rPr>
          <w:rFonts w:ascii="Times New Roman" w:hAnsi="Times New Roman" w:cs="Times New Roman"/>
          <w:b/>
          <w:i/>
          <w:sz w:val="24"/>
          <w:szCs w:val="24"/>
        </w:rPr>
        <w:t>LVM</w:t>
      </w:r>
      <w:r w:rsidRPr="00A07F29">
        <w:rPr>
          <w:rFonts w:ascii="Times New Roman" w:hAnsi="Times New Roman" w:cs="Times New Roman"/>
          <w:b/>
          <w:i/>
          <w:sz w:val="24"/>
          <w:szCs w:val="24"/>
        </w:rPr>
        <w:t xml:space="preserve"> ierīkot</w:t>
      </w:r>
      <w:r w:rsidR="00DB442E" w:rsidRPr="00A07F29">
        <w:rPr>
          <w:rFonts w:ascii="Times New Roman" w:hAnsi="Times New Roman" w:cs="Times New Roman"/>
          <w:b/>
          <w:i/>
          <w:sz w:val="24"/>
          <w:szCs w:val="24"/>
        </w:rPr>
        <w:t>o</w:t>
      </w:r>
      <w:r w:rsidRPr="00A07F29">
        <w:rPr>
          <w:rFonts w:ascii="Times New Roman" w:hAnsi="Times New Roman" w:cs="Times New Roman"/>
          <w:b/>
          <w:i/>
          <w:sz w:val="24"/>
          <w:szCs w:val="24"/>
        </w:rPr>
        <w:t xml:space="preserve"> atpūtas viet</w:t>
      </w:r>
      <w:r w:rsidR="00DB442E" w:rsidRPr="00A07F29">
        <w:rPr>
          <w:rFonts w:ascii="Times New Roman" w:hAnsi="Times New Roman" w:cs="Times New Roman"/>
          <w:b/>
          <w:i/>
          <w:sz w:val="24"/>
          <w:szCs w:val="24"/>
        </w:rPr>
        <w:t>u pilnveidošana un uzturēšana</w:t>
      </w:r>
    </w:p>
    <w:p w14:paraId="6458883A" w14:textId="5684A142" w:rsidR="00D56C16" w:rsidRPr="00A07F29" w:rsidRDefault="00D56C16" w:rsidP="00D56C16">
      <w:pPr>
        <w:spacing w:after="12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t>Esošajās LVM atpūtas vietās</w:t>
      </w:r>
      <w:r w:rsidR="003C177D" w:rsidRPr="00A07F29">
        <w:rPr>
          <w:rFonts w:ascii="Times New Roman" w:hAnsi="Times New Roman" w:cs="Times New Roman"/>
          <w:sz w:val="24"/>
          <w:szCs w:val="24"/>
        </w:rPr>
        <w:t xml:space="preserve"> (</w:t>
      </w:r>
      <w:r w:rsidR="00F7751A">
        <w:rPr>
          <w:rFonts w:ascii="Times New Roman" w:hAnsi="Times New Roman" w:cs="Times New Roman"/>
          <w:sz w:val="24"/>
          <w:szCs w:val="24"/>
        </w:rPr>
        <w:t xml:space="preserve">skat. </w:t>
      </w:r>
      <w:r w:rsidR="003C177D" w:rsidRPr="00A07F29">
        <w:rPr>
          <w:rFonts w:ascii="Times New Roman" w:hAnsi="Times New Roman" w:cs="Times New Roman"/>
          <w:sz w:val="24"/>
          <w:szCs w:val="24"/>
        </w:rPr>
        <w:t>5.1.2.</w:t>
      </w:r>
      <w:r w:rsidR="00251BC1">
        <w:rPr>
          <w:rFonts w:ascii="Times New Roman" w:hAnsi="Times New Roman" w:cs="Times New Roman"/>
          <w:sz w:val="24"/>
          <w:szCs w:val="24"/>
        </w:rPr>
        <w:t xml:space="preserve"> un 5.1.2a.</w:t>
      </w:r>
      <w:r w:rsidR="00F7751A">
        <w:rPr>
          <w:rFonts w:ascii="Times New Roman" w:hAnsi="Times New Roman" w:cs="Times New Roman"/>
          <w:sz w:val="24"/>
          <w:szCs w:val="24"/>
        </w:rPr>
        <w:t> </w:t>
      </w:r>
      <w:r w:rsidR="003C177D" w:rsidRPr="00A07F29">
        <w:rPr>
          <w:rFonts w:ascii="Times New Roman" w:hAnsi="Times New Roman" w:cs="Times New Roman"/>
          <w:sz w:val="24"/>
          <w:szCs w:val="24"/>
        </w:rPr>
        <w:t>pielikums)</w:t>
      </w:r>
      <w:r w:rsidRPr="00A07F29">
        <w:rPr>
          <w:rFonts w:ascii="Times New Roman" w:hAnsi="Times New Roman" w:cs="Times New Roman"/>
          <w:sz w:val="24"/>
          <w:szCs w:val="24"/>
        </w:rPr>
        <w:t xml:space="preserve"> tiek plānots nomainīt bitumena šindeļu jumta segumu uz videi draudzīgu koka dēlīšu jumta segumu, bojātos un satrūdējušos atpūtas vietu elementus tie</w:t>
      </w:r>
      <w:r w:rsidR="00122CE9" w:rsidRPr="00A07F29">
        <w:rPr>
          <w:rFonts w:ascii="Times New Roman" w:hAnsi="Times New Roman" w:cs="Times New Roman"/>
          <w:sz w:val="24"/>
          <w:szCs w:val="24"/>
        </w:rPr>
        <w:t xml:space="preserve">k plānots pakāpeniski nomainīt. </w:t>
      </w:r>
      <w:r w:rsidR="003C177D" w:rsidRPr="00A07F29">
        <w:rPr>
          <w:rFonts w:ascii="Times New Roman" w:hAnsi="Times New Roman" w:cs="Times New Roman"/>
          <w:sz w:val="24"/>
          <w:szCs w:val="24"/>
        </w:rPr>
        <w:t xml:space="preserve">Nepieciešama </w:t>
      </w:r>
      <w:r w:rsidRPr="00A07F29">
        <w:rPr>
          <w:rFonts w:ascii="Times New Roman" w:hAnsi="Times New Roman" w:cs="Times New Roman"/>
          <w:sz w:val="24"/>
          <w:szCs w:val="24"/>
        </w:rPr>
        <w:t>konkrētu atpūtas vietu pilnveidošana</w:t>
      </w:r>
      <w:r w:rsidR="00122CE9" w:rsidRPr="00A07F29">
        <w:rPr>
          <w:rFonts w:ascii="Times New Roman" w:hAnsi="Times New Roman" w:cs="Times New Roman"/>
          <w:sz w:val="24"/>
          <w:szCs w:val="24"/>
        </w:rPr>
        <w:t xml:space="preserve"> (informācija uz DA plāna izstrādes laiku)</w:t>
      </w:r>
      <w:r w:rsidRPr="00A07F29">
        <w:rPr>
          <w:rFonts w:ascii="Times New Roman" w:hAnsi="Times New Roman" w:cs="Times New Roman"/>
          <w:sz w:val="24"/>
          <w:szCs w:val="24"/>
        </w:rPr>
        <w:t>:</w:t>
      </w:r>
    </w:p>
    <w:p w14:paraId="53B5F5D9" w14:textId="479C39AE" w:rsidR="00CE5F81" w:rsidRPr="00A07F29" w:rsidRDefault="00CE5F81" w:rsidP="00F87589">
      <w:pPr>
        <w:pStyle w:val="ListParagraph"/>
        <w:numPr>
          <w:ilvl w:val="0"/>
          <w:numId w:val="51"/>
        </w:numPr>
        <w:spacing w:line="240" w:lineRule="auto"/>
        <w:ind w:left="1276" w:hanging="425"/>
        <w:contextualSpacing w:val="0"/>
        <w:rPr>
          <w:rFonts w:cs="Times New Roman"/>
          <w:szCs w:val="24"/>
        </w:rPr>
      </w:pPr>
      <w:r w:rsidRPr="00A07F29">
        <w:rPr>
          <w:rFonts w:cs="Times New Roman"/>
          <w:szCs w:val="24"/>
        </w:rPr>
        <w:lastRenderedPageBreak/>
        <w:t>atpūtas vietu “Krāslavas priežu sils” ieteicams demontēt un, atjaunojot infrastruktūras elementus, atpūtas vietu pārvietot dziļāk mežā, lai nav redzamas mājas un dzirdama šoseja;</w:t>
      </w:r>
    </w:p>
    <w:p w14:paraId="06A570E9" w14:textId="77777777" w:rsidR="00CE5F81" w:rsidRPr="00A07F29" w:rsidRDefault="00CE5F81" w:rsidP="00F87589">
      <w:pPr>
        <w:pStyle w:val="ListParagraph"/>
        <w:numPr>
          <w:ilvl w:val="0"/>
          <w:numId w:val="51"/>
        </w:numPr>
        <w:spacing w:line="240" w:lineRule="auto"/>
        <w:ind w:left="1276" w:hanging="425"/>
        <w:contextualSpacing w:val="0"/>
        <w:rPr>
          <w:rFonts w:cs="Times New Roman"/>
          <w:szCs w:val="24"/>
        </w:rPr>
      </w:pPr>
      <w:r w:rsidRPr="00A07F29">
        <w:rPr>
          <w:rFonts w:cs="Times New Roman"/>
          <w:szCs w:val="24"/>
        </w:rPr>
        <w:t>atpūtas vietā “</w:t>
      </w:r>
      <w:proofErr w:type="spellStart"/>
      <w:r w:rsidRPr="00A07F29">
        <w:rPr>
          <w:rFonts w:cs="Times New Roman"/>
          <w:szCs w:val="24"/>
        </w:rPr>
        <w:t>Ververu</w:t>
      </w:r>
      <w:proofErr w:type="spellEnd"/>
      <w:r w:rsidRPr="00A07F29">
        <w:rPr>
          <w:rFonts w:cs="Times New Roman"/>
          <w:szCs w:val="24"/>
        </w:rPr>
        <w:t xml:space="preserve"> loks” ierīkot sauso tualeti;</w:t>
      </w:r>
    </w:p>
    <w:p w14:paraId="13E93D6A" w14:textId="5876A683" w:rsidR="00CE5F81" w:rsidRPr="00A07F29" w:rsidRDefault="00CE5F81" w:rsidP="00F87589">
      <w:pPr>
        <w:pStyle w:val="ListParagraph"/>
        <w:numPr>
          <w:ilvl w:val="0"/>
          <w:numId w:val="51"/>
        </w:numPr>
        <w:spacing w:line="240" w:lineRule="auto"/>
        <w:ind w:left="1276" w:hanging="425"/>
        <w:contextualSpacing w:val="0"/>
        <w:rPr>
          <w:rFonts w:cs="Times New Roman"/>
          <w:szCs w:val="24"/>
        </w:rPr>
      </w:pPr>
      <w:r w:rsidRPr="00A07F29">
        <w:rPr>
          <w:rFonts w:cs="Times New Roman"/>
          <w:szCs w:val="24"/>
        </w:rPr>
        <w:t>atpūtas vietā “Zemenīte” ieteicams vairāk attīrīt skatu uz Daugavu, kas paveras no atpūtas vietas (skat. 5.3.</w:t>
      </w:r>
      <w:r w:rsidR="00FF2A32">
        <w:rPr>
          <w:rFonts w:cs="Times New Roman"/>
          <w:szCs w:val="24"/>
        </w:rPr>
        <w:t>31</w:t>
      </w:r>
      <w:r w:rsidRPr="00A07F29">
        <w:rPr>
          <w:rFonts w:cs="Times New Roman"/>
          <w:szCs w:val="24"/>
        </w:rPr>
        <w:t>.</w:t>
      </w:r>
      <w:r w:rsidR="001A2F6F">
        <w:rPr>
          <w:rFonts w:cs="Times New Roman"/>
          <w:szCs w:val="24"/>
        </w:rPr>
        <w:t> </w:t>
      </w:r>
      <w:r w:rsidRPr="00A07F29">
        <w:rPr>
          <w:rFonts w:cs="Times New Roman"/>
          <w:szCs w:val="24"/>
        </w:rPr>
        <w:t>att</w:t>
      </w:r>
      <w:r w:rsidR="001A2F6F">
        <w:rPr>
          <w:rFonts w:cs="Times New Roman"/>
          <w:szCs w:val="24"/>
        </w:rPr>
        <w:t>ēls</w:t>
      </w:r>
      <w:r w:rsidRPr="00A07F29">
        <w:rPr>
          <w:rFonts w:cs="Times New Roman"/>
          <w:szCs w:val="24"/>
        </w:rPr>
        <w:t xml:space="preserve">). Atjaunot koka kāpņu, kas noved līdz Daugavas krastam, satrunējušos elementus. Izpļaut taciņu līdz </w:t>
      </w:r>
      <w:proofErr w:type="spellStart"/>
      <w:r w:rsidRPr="00A07F29">
        <w:rPr>
          <w:rFonts w:cs="Times New Roman"/>
          <w:szCs w:val="24"/>
        </w:rPr>
        <w:t>ūdenstūristiem</w:t>
      </w:r>
      <w:proofErr w:type="spellEnd"/>
      <w:r w:rsidRPr="00A07F29">
        <w:rPr>
          <w:rFonts w:cs="Times New Roman"/>
          <w:szCs w:val="24"/>
        </w:rPr>
        <w:t xml:space="preserve"> paredzētajam informācijas stendam par </w:t>
      </w:r>
      <w:proofErr w:type="spellStart"/>
      <w:r w:rsidRPr="00A07F29">
        <w:rPr>
          <w:rFonts w:cs="Times New Roman"/>
          <w:szCs w:val="24"/>
        </w:rPr>
        <w:t>Butišķu</w:t>
      </w:r>
      <w:proofErr w:type="spellEnd"/>
      <w:r w:rsidRPr="00A07F29">
        <w:rPr>
          <w:rFonts w:cs="Times New Roman"/>
          <w:szCs w:val="24"/>
        </w:rPr>
        <w:t xml:space="preserve"> loku, kas izvietots atpūtas vietas pakājē (skat. 5.3.</w:t>
      </w:r>
      <w:r w:rsidR="00DE166B">
        <w:rPr>
          <w:rFonts w:cs="Times New Roman"/>
          <w:szCs w:val="24"/>
        </w:rPr>
        <w:t>32</w:t>
      </w:r>
      <w:r w:rsidRPr="00A07F29">
        <w:rPr>
          <w:rFonts w:cs="Times New Roman"/>
          <w:szCs w:val="24"/>
        </w:rPr>
        <w:t>.</w:t>
      </w:r>
      <w:r w:rsidR="00DE166B">
        <w:rPr>
          <w:rFonts w:cs="Times New Roman"/>
          <w:szCs w:val="24"/>
        </w:rPr>
        <w:t> </w:t>
      </w:r>
      <w:r w:rsidRPr="00A07F29">
        <w:rPr>
          <w:rFonts w:cs="Times New Roman"/>
          <w:szCs w:val="24"/>
        </w:rPr>
        <w:t>att</w:t>
      </w:r>
      <w:r w:rsidR="00DE166B">
        <w:rPr>
          <w:rFonts w:cs="Times New Roman"/>
          <w:szCs w:val="24"/>
        </w:rPr>
        <w:t>ēls</w:t>
      </w:r>
      <w:r w:rsidRPr="00A07F29">
        <w:rPr>
          <w:rFonts w:cs="Times New Roman"/>
          <w:szCs w:val="24"/>
        </w:rPr>
        <w:t>);</w:t>
      </w:r>
    </w:p>
    <w:p w14:paraId="0B7A8899" w14:textId="6834B653" w:rsidR="00CE5F81" w:rsidRPr="00A07F29" w:rsidRDefault="00CE5F81" w:rsidP="00F87589">
      <w:pPr>
        <w:pStyle w:val="ListParagraph"/>
        <w:numPr>
          <w:ilvl w:val="0"/>
          <w:numId w:val="51"/>
        </w:numPr>
        <w:spacing w:line="240" w:lineRule="auto"/>
        <w:ind w:left="1276" w:hanging="425"/>
        <w:contextualSpacing w:val="0"/>
        <w:rPr>
          <w:rFonts w:cs="Times New Roman"/>
          <w:szCs w:val="24"/>
        </w:rPr>
      </w:pPr>
      <w:r w:rsidRPr="00A07F29">
        <w:rPr>
          <w:rFonts w:cs="Times New Roman"/>
          <w:szCs w:val="24"/>
        </w:rPr>
        <w:t>atpūtas vietā “Krauja” atjaunot satrūdējušos infrastruktūras elementus. Ieteicams ierīkot atkritumu tvertni. Vēlams skatu no kraujas nedaudz vairāk attīrīt no kokiem</w:t>
      </w:r>
      <w:r w:rsidR="00A375AC">
        <w:rPr>
          <w:rFonts w:cs="Times New Roman"/>
          <w:szCs w:val="24"/>
        </w:rPr>
        <w:t>.</w:t>
      </w:r>
    </w:p>
    <w:tbl>
      <w:tblPr>
        <w:tblStyle w:val="Reatabula12"/>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1"/>
        <w:gridCol w:w="4292"/>
      </w:tblGrid>
      <w:tr w:rsidR="007A370A" w:rsidRPr="00A07F29" w14:paraId="08322230" w14:textId="77777777" w:rsidTr="00122CE9">
        <w:tc>
          <w:tcPr>
            <w:tcW w:w="4167" w:type="dxa"/>
            <w:hideMark/>
          </w:tcPr>
          <w:p w14:paraId="78F4D19D" w14:textId="77777777" w:rsidR="007A370A" w:rsidRPr="00A07F29" w:rsidRDefault="007A370A" w:rsidP="006D56EB">
            <w:pPr>
              <w:spacing w:after="160" w:line="256" w:lineRule="auto"/>
              <w:contextualSpacing/>
              <w:jc w:val="both"/>
              <w:rPr>
                <w:rFonts w:ascii="Times New Roman" w:hAnsi="Times New Roman"/>
              </w:rPr>
            </w:pPr>
            <w:r w:rsidRPr="00A07F29">
              <w:rPr>
                <w:noProof/>
                <w:lang w:eastAsia="lv-LV"/>
              </w:rPr>
              <w:drawing>
                <wp:inline distT="0" distB="0" distL="0" distR="0" wp14:anchorId="1BA90B59" wp14:editId="34830249">
                  <wp:extent cx="2642461" cy="1984498"/>
                  <wp:effectExtent l="0" t="0" r="5715" b="0"/>
                  <wp:docPr id="17037179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29">
                            <a:extLst>
                              <a:ext uri="{28A0092B-C50C-407E-A947-70E740481C1C}">
                                <a14:useLocalDpi xmlns:a14="http://schemas.microsoft.com/office/drawing/2010/main"/>
                              </a:ext>
                            </a:extLst>
                          </a:blip>
                          <a:stretch>
                            <a:fillRect/>
                          </a:stretch>
                        </pic:blipFill>
                        <pic:spPr>
                          <a:xfrm>
                            <a:off x="0" y="0"/>
                            <a:ext cx="2642461" cy="1984498"/>
                          </a:xfrm>
                          <a:prstGeom prst="rect">
                            <a:avLst/>
                          </a:prstGeom>
                        </pic:spPr>
                      </pic:pic>
                    </a:graphicData>
                  </a:graphic>
                </wp:inline>
              </w:drawing>
            </w:r>
          </w:p>
        </w:tc>
        <w:tc>
          <w:tcPr>
            <w:tcW w:w="4139" w:type="dxa"/>
            <w:hideMark/>
          </w:tcPr>
          <w:p w14:paraId="631A6F71" w14:textId="77777777" w:rsidR="007A370A" w:rsidRPr="00A07F29" w:rsidRDefault="007A370A" w:rsidP="006D56EB">
            <w:pPr>
              <w:spacing w:after="160" w:line="256" w:lineRule="auto"/>
              <w:contextualSpacing/>
              <w:jc w:val="both"/>
              <w:rPr>
                <w:rFonts w:ascii="Times New Roman" w:hAnsi="Times New Roman"/>
              </w:rPr>
            </w:pPr>
            <w:r w:rsidRPr="00A07F29">
              <w:rPr>
                <w:noProof/>
                <w:lang w:eastAsia="lv-LV"/>
              </w:rPr>
              <w:drawing>
                <wp:inline distT="0" distB="0" distL="0" distR="0" wp14:anchorId="0B14BBC5" wp14:editId="09D28E90">
                  <wp:extent cx="2626289" cy="1969716"/>
                  <wp:effectExtent l="0" t="0" r="3175" b="0"/>
                  <wp:docPr id="17037179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30">
                            <a:extLst>
                              <a:ext uri="{28A0092B-C50C-407E-A947-70E740481C1C}">
                                <a14:useLocalDpi xmlns:a14="http://schemas.microsoft.com/office/drawing/2010/main"/>
                              </a:ext>
                            </a:extLst>
                          </a:blip>
                          <a:stretch>
                            <a:fillRect/>
                          </a:stretch>
                        </pic:blipFill>
                        <pic:spPr>
                          <a:xfrm>
                            <a:off x="0" y="0"/>
                            <a:ext cx="2626289" cy="1969716"/>
                          </a:xfrm>
                          <a:prstGeom prst="rect">
                            <a:avLst/>
                          </a:prstGeom>
                        </pic:spPr>
                      </pic:pic>
                    </a:graphicData>
                  </a:graphic>
                </wp:inline>
              </w:drawing>
            </w:r>
          </w:p>
        </w:tc>
      </w:tr>
      <w:tr w:rsidR="007A370A" w:rsidRPr="00A07F29" w14:paraId="66E83815" w14:textId="77777777" w:rsidTr="00122CE9">
        <w:tc>
          <w:tcPr>
            <w:tcW w:w="4167" w:type="dxa"/>
            <w:hideMark/>
          </w:tcPr>
          <w:p w14:paraId="065640A4" w14:textId="6512E93A" w:rsidR="007A370A" w:rsidRPr="00A375AC" w:rsidRDefault="007A370A" w:rsidP="00A604FA">
            <w:pPr>
              <w:contextualSpacing/>
              <w:jc w:val="both"/>
              <w:rPr>
                <w:rFonts w:ascii="Times New Roman" w:hAnsi="Times New Roman"/>
                <w:bCs/>
                <w:sz w:val="20"/>
                <w:szCs w:val="20"/>
              </w:rPr>
            </w:pPr>
            <w:r w:rsidRPr="00A375AC">
              <w:rPr>
                <w:rFonts w:ascii="Times New Roman" w:eastAsia="Times New Roman" w:hAnsi="Times New Roman"/>
                <w:bCs/>
                <w:color w:val="000000"/>
                <w:sz w:val="20"/>
                <w:szCs w:val="20"/>
              </w:rPr>
              <w:t>5.3.</w:t>
            </w:r>
            <w:r w:rsidR="00FF2A32" w:rsidRPr="00A375AC">
              <w:rPr>
                <w:rFonts w:ascii="Times New Roman" w:eastAsia="Times New Roman" w:hAnsi="Times New Roman"/>
                <w:bCs/>
                <w:color w:val="000000"/>
                <w:sz w:val="20"/>
                <w:szCs w:val="20"/>
              </w:rPr>
              <w:t>31</w:t>
            </w:r>
            <w:r w:rsidRPr="00A375AC">
              <w:rPr>
                <w:rFonts w:ascii="Times New Roman" w:eastAsia="Times New Roman" w:hAnsi="Times New Roman"/>
                <w:bCs/>
                <w:color w:val="000000"/>
                <w:sz w:val="20"/>
                <w:szCs w:val="20"/>
              </w:rPr>
              <w:t>.</w:t>
            </w:r>
            <w:r w:rsidR="00A375AC" w:rsidRPr="00A375AC">
              <w:rPr>
                <w:rFonts w:ascii="Times New Roman" w:hAnsi="Times New Roman"/>
                <w:bCs/>
                <w:color w:val="000000"/>
                <w:sz w:val="20"/>
                <w:szCs w:val="20"/>
              </w:rPr>
              <w:t> </w:t>
            </w:r>
            <w:r w:rsidRPr="00A375AC">
              <w:rPr>
                <w:rFonts w:ascii="Times New Roman" w:hAnsi="Times New Roman"/>
                <w:bCs/>
                <w:sz w:val="20"/>
                <w:szCs w:val="20"/>
              </w:rPr>
              <w:t>att</w:t>
            </w:r>
            <w:r w:rsidR="00A375AC" w:rsidRPr="00A375AC">
              <w:rPr>
                <w:rFonts w:ascii="Times New Roman" w:hAnsi="Times New Roman"/>
                <w:bCs/>
                <w:sz w:val="20"/>
                <w:szCs w:val="20"/>
              </w:rPr>
              <w:t>ēls</w:t>
            </w:r>
            <w:r w:rsidRPr="00A375AC">
              <w:rPr>
                <w:rFonts w:ascii="Times New Roman" w:hAnsi="Times New Roman"/>
                <w:bCs/>
                <w:sz w:val="20"/>
                <w:szCs w:val="20"/>
              </w:rPr>
              <w:t>. Skats uz Daugavu no atpūtas vietas “Zemenīte” (foto: K.</w:t>
            </w:r>
            <w:r w:rsidR="00A375AC" w:rsidRPr="00A375AC">
              <w:rPr>
                <w:rFonts w:ascii="Times New Roman" w:hAnsi="Times New Roman"/>
                <w:bCs/>
                <w:sz w:val="20"/>
                <w:szCs w:val="20"/>
              </w:rPr>
              <w:t> </w:t>
            </w:r>
            <w:r w:rsidRPr="00A375AC">
              <w:rPr>
                <w:rFonts w:ascii="Times New Roman" w:hAnsi="Times New Roman"/>
                <w:bCs/>
                <w:sz w:val="20"/>
                <w:szCs w:val="20"/>
              </w:rPr>
              <w:t>Seržante).</w:t>
            </w:r>
          </w:p>
        </w:tc>
        <w:tc>
          <w:tcPr>
            <w:tcW w:w="4139" w:type="dxa"/>
            <w:hideMark/>
          </w:tcPr>
          <w:p w14:paraId="35FA85B5" w14:textId="49C74DFF" w:rsidR="007A370A" w:rsidRPr="002D44A3" w:rsidRDefault="007A370A" w:rsidP="00A604FA">
            <w:pPr>
              <w:contextualSpacing/>
              <w:jc w:val="both"/>
              <w:rPr>
                <w:rFonts w:ascii="Times New Roman" w:hAnsi="Times New Roman"/>
                <w:bCs/>
                <w:sz w:val="20"/>
                <w:szCs w:val="20"/>
              </w:rPr>
            </w:pPr>
            <w:r w:rsidRPr="002D44A3">
              <w:rPr>
                <w:rFonts w:ascii="Times New Roman" w:eastAsia="Times New Roman" w:hAnsi="Times New Roman"/>
                <w:bCs/>
                <w:color w:val="000000"/>
                <w:sz w:val="20"/>
                <w:szCs w:val="20"/>
              </w:rPr>
              <w:t>5.3.</w:t>
            </w:r>
            <w:r w:rsidR="00A375AC" w:rsidRPr="002D44A3">
              <w:rPr>
                <w:rFonts w:ascii="Times New Roman" w:eastAsia="Times New Roman" w:hAnsi="Times New Roman"/>
                <w:bCs/>
                <w:color w:val="000000"/>
                <w:sz w:val="20"/>
                <w:szCs w:val="20"/>
              </w:rPr>
              <w:t>32</w:t>
            </w:r>
            <w:r w:rsidR="00A604FA" w:rsidRPr="002D44A3">
              <w:rPr>
                <w:rFonts w:ascii="Times New Roman" w:eastAsia="Times New Roman" w:hAnsi="Times New Roman"/>
                <w:bCs/>
                <w:color w:val="000000"/>
                <w:sz w:val="20"/>
                <w:szCs w:val="20"/>
              </w:rPr>
              <w:t>.</w:t>
            </w:r>
            <w:r w:rsidR="00A375AC" w:rsidRPr="002D44A3">
              <w:rPr>
                <w:rFonts w:ascii="Times New Roman" w:hAnsi="Times New Roman"/>
                <w:bCs/>
                <w:color w:val="000000"/>
                <w:sz w:val="20"/>
                <w:szCs w:val="20"/>
              </w:rPr>
              <w:t> </w:t>
            </w:r>
            <w:r w:rsidRPr="002D44A3">
              <w:rPr>
                <w:rFonts w:ascii="Times New Roman" w:hAnsi="Times New Roman"/>
                <w:bCs/>
                <w:sz w:val="20"/>
                <w:szCs w:val="20"/>
              </w:rPr>
              <w:t>att</w:t>
            </w:r>
            <w:r w:rsidR="00A375AC" w:rsidRPr="002D44A3">
              <w:rPr>
                <w:rFonts w:ascii="Times New Roman" w:hAnsi="Times New Roman"/>
                <w:bCs/>
                <w:sz w:val="20"/>
                <w:szCs w:val="20"/>
              </w:rPr>
              <w:t>ēls</w:t>
            </w:r>
            <w:r w:rsidRPr="002D44A3">
              <w:rPr>
                <w:rFonts w:ascii="Times New Roman" w:hAnsi="Times New Roman"/>
                <w:bCs/>
                <w:sz w:val="20"/>
                <w:szCs w:val="20"/>
              </w:rPr>
              <w:t>. Informācijas stends atpūtas vietas pakājē (foto: K.</w:t>
            </w:r>
            <w:r w:rsidR="002D44A3" w:rsidRPr="002D44A3">
              <w:rPr>
                <w:rFonts w:ascii="Times New Roman" w:hAnsi="Times New Roman"/>
                <w:bCs/>
                <w:sz w:val="20"/>
                <w:szCs w:val="20"/>
              </w:rPr>
              <w:t> </w:t>
            </w:r>
            <w:r w:rsidRPr="002D44A3">
              <w:rPr>
                <w:rFonts w:ascii="Times New Roman" w:hAnsi="Times New Roman"/>
                <w:bCs/>
                <w:sz w:val="20"/>
                <w:szCs w:val="20"/>
              </w:rPr>
              <w:t>Seržante).</w:t>
            </w:r>
          </w:p>
        </w:tc>
      </w:tr>
    </w:tbl>
    <w:p w14:paraId="0662E99E" w14:textId="77777777" w:rsidR="007A370A" w:rsidRPr="00A07F29" w:rsidRDefault="007A370A" w:rsidP="007A370A">
      <w:pPr>
        <w:spacing w:after="160" w:line="256" w:lineRule="auto"/>
        <w:ind w:left="720"/>
        <w:contextualSpacing/>
        <w:jc w:val="both"/>
        <w:rPr>
          <w:rFonts w:ascii="Times New Roman" w:eastAsia="Calibri" w:hAnsi="Times New Roman" w:cs="Times New Roman"/>
          <w:sz w:val="24"/>
          <w:szCs w:val="24"/>
        </w:rPr>
      </w:pPr>
    </w:p>
    <w:p w14:paraId="345AF21D" w14:textId="75799BE5" w:rsidR="00D56C16" w:rsidRPr="00A07F29" w:rsidRDefault="00D56C16" w:rsidP="00EB1767">
      <w:pPr>
        <w:keepNext/>
        <w:spacing w:before="240" w:after="120" w:line="240" w:lineRule="auto"/>
        <w:jc w:val="both"/>
        <w:rPr>
          <w:rFonts w:ascii="Times New Roman" w:hAnsi="Times New Roman" w:cs="Times New Roman"/>
          <w:b/>
          <w:i/>
          <w:sz w:val="24"/>
          <w:szCs w:val="24"/>
        </w:rPr>
      </w:pPr>
      <w:r w:rsidRPr="00A07F29">
        <w:rPr>
          <w:rFonts w:ascii="Times New Roman" w:hAnsi="Times New Roman" w:cs="Times New Roman"/>
          <w:b/>
          <w:i/>
          <w:sz w:val="24"/>
          <w:szCs w:val="24"/>
        </w:rPr>
        <w:t>D.3.2</w:t>
      </w:r>
      <w:r w:rsidR="008C4381" w:rsidRPr="00A07F29">
        <w:rPr>
          <w:rFonts w:ascii="Times New Roman" w:hAnsi="Times New Roman" w:cs="Times New Roman"/>
          <w:b/>
          <w:i/>
          <w:sz w:val="24"/>
          <w:szCs w:val="24"/>
        </w:rPr>
        <w:t xml:space="preserve">. </w:t>
      </w:r>
      <w:r w:rsidRPr="00A07F29">
        <w:rPr>
          <w:rFonts w:ascii="Times New Roman" w:hAnsi="Times New Roman" w:cs="Times New Roman"/>
          <w:b/>
          <w:i/>
          <w:sz w:val="24"/>
          <w:szCs w:val="24"/>
        </w:rPr>
        <w:t>Atpūtas vietas labiekārtošana Krāslavā, Ostas ielā</w:t>
      </w:r>
    </w:p>
    <w:p w14:paraId="20070EBD" w14:textId="6B743FFD" w:rsidR="00D56C16" w:rsidRPr="00A07F29" w:rsidRDefault="00D56C16" w:rsidP="00D56C16">
      <w:pPr>
        <w:spacing w:after="12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t>Pie foto rāmja Krāslavā, Ostas ielā nepieciešams sakopt apkārtni, pārvietot atkritumu konteinerus</w:t>
      </w:r>
      <w:r w:rsidR="003C2C5C" w:rsidRPr="00A07F29">
        <w:rPr>
          <w:rFonts w:ascii="Times New Roman" w:hAnsi="Times New Roman" w:cs="Times New Roman"/>
          <w:sz w:val="24"/>
          <w:szCs w:val="24"/>
        </w:rPr>
        <w:t xml:space="preserve">, lai tie neatrastos skatā uz Daugavu, </w:t>
      </w:r>
      <w:r w:rsidRPr="00A07F29">
        <w:rPr>
          <w:rFonts w:ascii="Times New Roman" w:hAnsi="Times New Roman" w:cs="Times New Roman"/>
          <w:sz w:val="24"/>
          <w:szCs w:val="24"/>
        </w:rPr>
        <w:t>un to vietā izvietot koka soliņus, kur atpūsties. Nepieciešams atjaunot augsnes segumu pie paša foto rāmja (skat. 5.3.</w:t>
      </w:r>
      <w:r w:rsidR="003C177D" w:rsidRPr="00A07F29">
        <w:rPr>
          <w:rFonts w:ascii="Times New Roman" w:hAnsi="Times New Roman" w:cs="Times New Roman"/>
          <w:sz w:val="24"/>
          <w:szCs w:val="24"/>
        </w:rPr>
        <w:t>3</w:t>
      </w:r>
      <w:r w:rsidR="00376ECC">
        <w:rPr>
          <w:rFonts w:ascii="Times New Roman" w:hAnsi="Times New Roman" w:cs="Times New Roman"/>
          <w:sz w:val="24"/>
          <w:szCs w:val="24"/>
        </w:rPr>
        <w:t>3</w:t>
      </w:r>
      <w:r w:rsidRPr="00A07F29">
        <w:rPr>
          <w:rFonts w:ascii="Times New Roman" w:hAnsi="Times New Roman" w:cs="Times New Roman"/>
          <w:sz w:val="24"/>
          <w:szCs w:val="24"/>
        </w:rPr>
        <w:t>.</w:t>
      </w:r>
      <w:r w:rsidR="00376ECC">
        <w:rPr>
          <w:rFonts w:ascii="Times New Roman" w:hAnsi="Times New Roman" w:cs="Times New Roman"/>
          <w:sz w:val="24"/>
          <w:szCs w:val="24"/>
        </w:rPr>
        <w:t> </w:t>
      </w:r>
      <w:r w:rsidRPr="00A07F29">
        <w:rPr>
          <w:rFonts w:ascii="Times New Roman" w:hAnsi="Times New Roman" w:cs="Times New Roman"/>
          <w:sz w:val="24"/>
          <w:szCs w:val="24"/>
        </w:rPr>
        <w:t>att</w:t>
      </w:r>
      <w:r w:rsidR="00376ECC">
        <w:rPr>
          <w:rFonts w:ascii="Times New Roman" w:hAnsi="Times New Roman" w:cs="Times New Roman"/>
          <w:sz w:val="24"/>
          <w:szCs w:val="24"/>
        </w:rPr>
        <w:t>ēls</w:t>
      </w:r>
      <w:r w:rsidRPr="00A07F29">
        <w:rPr>
          <w:rFonts w:ascii="Times New Roman" w:hAnsi="Times New Roman" w:cs="Times New Roman"/>
          <w:sz w:val="24"/>
          <w:szCs w:val="24"/>
        </w:rPr>
        <w:t>)</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6"/>
        <w:gridCol w:w="1609"/>
        <w:gridCol w:w="1021"/>
      </w:tblGrid>
      <w:tr w:rsidR="00DB442E" w:rsidRPr="00A07F29" w14:paraId="2D0C6973" w14:textId="2F815D5A" w:rsidTr="00DB442E">
        <w:tc>
          <w:tcPr>
            <w:tcW w:w="5676" w:type="dxa"/>
          </w:tcPr>
          <w:p w14:paraId="3490155A" w14:textId="77777777" w:rsidR="00DB442E" w:rsidRPr="00A07F29" w:rsidRDefault="00DB442E" w:rsidP="006D56EB">
            <w:pPr>
              <w:spacing w:after="160" w:line="256" w:lineRule="auto"/>
              <w:contextualSpacing/>
              <w:jc w:val="both"/>
              <w:rPr>
                <w:rFonts w:ascii="Times New Roman" w:eastAsia="Calibri" w:hAnsi="Times New Roman" w:cs="Times New Roman"/>
                <w:sz w:val="24"/>
                <w:szCs w:val="24"/>
              </w:rPr>
            </w:pPr>
            <w:r w:rsidRPr="00A07F29">
              <w:rPr>
                <w:noProof/>
                <w:lang w:eastAsia="lv-LV"/>
              </w:rPr>
              <w:drawing>
                <wp:inline distT="0" distB="0" distL="0" distR="0" wp14:anchorId="50363525" wp14:editId="1A7CAB44">
                  <wp:extent cx="3467100" cy="2600325"/>
                  <wp:effectExtent l="0" t="0" r="0" b="9525"/>
                  <wp:docPr id="17037180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131">
                            <a:extLst>
                              <a:ext uri="{28A0092B-C50C-407E-A947-70E740481C1C}">
                                <a14:useLocalDpi xmlns:a14="http://schemas.microsoft.com/office/drawing/2010/main"/>
                              </a:ext>
                            </a:extLst>
                          </a:blip>
                          <a:stretch>
                            <a:fillRect/>
                          </a:stretch>
                        </pic:blipFill>
                        <pic:spPr>
                          <a:xfrm>
                            <a:off x="0" y="0"/>
                            <a:ext cx="3467100" cy="2600325"/>
                          </a:xfrm>
                          <a:prstGeom prst="rect">
                            <a:avLst/>
                          </a:prstGeom>
                        </pic:spPr>
                      </pic:pic>
                    </a:graphicData>
                  </a:graphic>
                </wp:inline>
              </w:drawing>
            </w:r>
          </w:p>
        </w:tc>
        <w:tc>
          <w:tcPr>
            <w:tcW w:w="1609" w:type="dxa"/>
            <w:vAlign w:val="bottom"/>
          </w:tcPr>
          <w:p w14:paraId="168FFDE8" w14:textId="448DB179" w:rsidR="00DB442E" w:rsidRPr="00376ECC" w:rsidRDefault="00DB442E" w:rsidP="00A604FA">
            <w:pPr>
              <w:jc w:val="both"/>
              <w:rPr>
                <w:rFonts w:ascii="Times New Roman" w:eastAsia="Calibri" w:hAnsi="Times New Roman" w:cs="Times New Roman"/>
                <w:sz w:val="20"/>
                <w:szCs w:val="20"/>
              </w:rPr>
            </w:pPr>
            <w:r w:rsidRPr="00376ECC">
              <w:rPr>
                <w:rFonts w:ascii="Times New Roman" w:eastAsia="Calibri" w:hAnsi="Times New Roman" w:cs="Times New Roman"/>
                <w:sz w:val="20"/>
                <w:szCs w:val="20"/>
              </w:rPr>
              <w:t>5.3.3</w:t>
            </w:r>
            <w:r w:rsidR="00376ECC" w:rsidRPr="00376ECC">
              <w:rPr>
                <w:rFonts w:ascii="Times New Roman" w:eastAsia="Calibri" w:hAnsi="Times New Roman" w:cs="Times New Roman"/>
                <w:sz w:val="20"/>
                <w:szCs w:val="20"/>
              </w:rPr>
              <w:t>3</w:t>
            </w:r>
            <w:r w:rsidRPr="00376ECC">
              <w:rPr>
                <w:rFonts w:ascii="Times New Roman" w:eastAsia="Calibri" w:hAnsi="Times New Roman" w:cs="Times New Roman"/>
                <w:sz w:val="20"/>
                <w:szCs w:val="20"/>
              </w:rPr>
              <w:t>.</w:t>
            </w:r>
            <w:r w:rsidR="00376ECC" w:rsidRPr="00376ECC">
              <w:rPr>
                <w:rFonts w:ascii="Times New Roman" w:eastAsia="Calibri" w:hAnsi="Times New Roman" w:cs="Times New Roman"/>
                <w:sz w:val="20"/>
                <w:szCs w:val="20"/>
              </w:rPr>
              <w:t> </w:t>
            </w:r>
            <w:r w:rsidRPr="00376ECC">
              <w:rPr>
                <w:rFonts w:ascii="Times New Roman" w:eastAsia="Calibri" w:hAnsi="Times New Roman" w:cs="Times New Roman"/>
                <w:sz w:val="20"/>
                <w:szCs w:val="20"/>
              </w:rPr>
              <w:t>att</w:t>
            </w:r>
            <w:r w:rsidR="00376ECC" w:rsidRPr="00376ECC">
              <w:rPr>
                <w:rFonts w:ascii="Times New Roman" w:eastAsia="Calibri" w:hAnsi="Times New Roman" w:cs="Times New Roman"/>
                <w:sz w:val="20"/>
                <w:szCs w:val="20"/>
              </w:rPr>
              <w:t>ēls</w:t>
            </w:r>
            <w:r w:rsidRPr="00376ECC">
              <w:rPr>
                <w:rFonts w:ascii="Times New Roman" w:eastAsia="Calibri" w:hAnsi="Times New Roman" w:cs="Times New Roman"/>
                <w:sz w:val="20"/>
                <w:szCs w:val="20"/>
              </w:rPr>
              <w:t>. Koka foto rāmis un tā apkārtne Krāslavā, Ostas ielā (foto: K.</w:t>
            </w:r>
            <w:r w:rsidR="00376ECC" w:rsidRPr="00376ECC">
              <w:rPr>
                <w:rFonts w:ascii="Times New Roman" w:eastAsia="Calibri" w:hAnsi="Times New Roman" w:cs="Times New Roman"/>
                <w:sz w:val="20"/>
                <w:szCs w:val="20"/>
              </w:rPr>
              <w:t> </w:t>
            </w:r>
            <w:r w:rsidRPr="00376ECC">
              <w:rPr>
                <w:rFonts w:ascii="Times New Roman" w:eastAsia="Calibri" w:hAnsi="Times New Roman" w:cs="Times New Roman"/>
                <w:sz w:val="20"/>
                <w:szCs w:val="20"/>
              </w:rPr>
              <w:t>Seržante).</w:t>
            </w:r>
          </w:p>
        </w:tc>
        <w:tc>
          <w:tcPr>
            <w:tcW w:w="1021" w:type="dxa"/>
          </w:tcPr>
          <w:p w14:paraId="10E6FFEB" w14:textId="77777777" w:rsidR="00DB442E" w:rsidRPr="00A07F29" w:rsidRDefault="00DB442E" w:rsidP="003C177D">
            <w:pPr>
              <w:jc w:val="both"/>
              <w:rPr>
                <w:rFonts w:ascii="Times New Roman" w:eastAsia="Calibri" w:hAnsi="Times New Roman" w:cs="Times New Roman"/>
              </w:rPr>
            </w:pPr>
          </w:p>
        </w:tc>
      </w:tr>
    </w:tbl>
    <w:p w14:paraId="647F2497" w14:textId="77777777" w:rsidR="007A370A" w:rsidRPr="00A07F29" w:rsidRDefault="007A370A" w:rsidP="00D56C16">
      <w:pPr>
        <w:spacing w:after="120" w:line="240" w:lineRule="auto"/>
        <w:jc w:val="both"/>
        <w:rPr>
          <w:rFonts w:ascii="Times New Roman" w:hAnsi="Times New Roman" w:cs="Times New Roman"/>
          <w:sz w:val="24"/>
          <w:szCs w:val="24"/>
        </w:rPr>
      </w:pPr>
    </w:p>
    <w:p w14:paraId="60ED6C25" w14:textId="1A9A57A7" w:rsidR="00D56C16" w:rsidRPr="00A07F29" w:rsidRDefault="00D56C16" w:rsidP="00E63404">
      <w:pPr>
        <w:keepNext/>
        <w:spacing w:after="120" w:line="240" w:lineRule="auto"/>
        <w:jc w:val="both"/>
        <w:rPr>
          <w:rFonts w:ascii="Times New Roman" w:hAnsi="Times New Roman" w:cs="Times New Roman"/>
          <w:b/>
          <w:i/>
          <w:sz w:val="24"/>
          <w:szCs w:val="24"/>
        </w:rPr>
      </w:pPr>
      <w:r w:rsidRPr="00A07F29">
        <w:rPr>
          <w:rFonts w:ascii="Times New Roman" w:hAnsi="Times New Roman" w:cs="Times New Roman"/>
          <w:b/>
          <w:i/>
          <w:sz w:val="24"/>
          <w:szCs w:val="24"/>
        </w:rPr>
        <w:lastRenderedPageBreak/>
        <w:t xml:space="preserve">D.3.3. Atpūtas vietas ierīkošana un uzturēšana pie </w:t>
      </w:r>
      <w:proofErr w:type="spellStart"/>
      <w:r w:rsidRPr="00A07F29">
        <w:rPr>
          <w:rFonts w:ascii="Times New Roman" w:hAnsi="Times New Roman" w:cs="Times New Roman"/>
          <w:b/>
          <w:i/>
          <w:sz w:val="24"/>
          <w:szCs w:val="24"/>
        </w:rPr>
        <w:t>Kolodas</w:t>
      </w:r>
      <w:proofErr w:type="spellEnd"/>
      <w:r w:rsidRPr="00A07F29">
        <w:rPr>
          <w:rFonts w:ascii="Times New Roman" w:hAnsi="Times New Roman" w:cs="Times New Roman"/>
          <w:b/>
          <w:i/>
          <w:sz w:val="24"/>
          <w:szCs w:val="24"/>
        </w:rPr>
        <w:t xml:space="preserve"> ezera</w:t>
      </w:r>
    </w:p>
    <w:p w14:paraId="0F5AC493" w14:textId="3F7A4784" w:rsidR="00D56C16" w:rsidRPr="00A07F29" w:rsidRDefault="00D56C16" w:rsidP="008C4381">
      <w:pPr>
        <w:spacing w:after="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t xml:space="preserve">Piedrujas pagastā </w:t>
      </w:r>
      <w:r w:rsidR="00A604FA" w:rsidRPr="00A07F29">
        <w:rPr>
          <w:rFonts w:ascii="Times New Roman" w:hAnsi="Times New Roman" w:cs="Times New Roman"/>
          <w:sz w:val="24"/>
          <w:szCs w:val="24"/>
        </w:rPr>
        <w:t>izveidota</w:t>
      </w:r>
      <w:r w:rsidRPr="00A07F29">
        <w:rPr>
          <w:rFonts w:ascii="Times New Roman" w:hAnsi="Times New Roman" w:cs="Times New Roman"/>
          <w:sz w:val="24"/>
          <w:szCs w:val="24"/>
        </w:rPr>
        <w:t xml:space="preserve"> atpūtas viet</w:t>
      </w:r>
      <w:r w:rsidR="00A604FA" w:rsidRPr="00A07F29">
        <w:rPr>
          <w:rFonts w:ascii="Times New Roman" w:hAnsi="Times New Roman" w:cs="Times New Roman"/>
          <w:sz w:val="24"/>
          <w:szCs w:val="24"/>
        </w:rPr>
        <w:t>a ar laipu</w:t>
      </w:r>
      <w:r w:rsidRPr="00A07F29">
        <w:rPr>
          <w:rFonts w:ascii="Times New Roman" w:hAnsi="Times New Roman" w:cs="Times New Roman"/>
          <w:sz w:val="24"/>
          <w:szCs w:val="24"/>
        </w:rPr>
        <w:t xml:space="preserve"> pie </w:t>
      </w:r>
      <w:proofErr w:type="spellStart"/>
      <w:r w:rsidRPr="00A07F29">
        <w:rPr>
          <w:rFonts w:ascii="Times New Roman" w:hAnsi="Times New Roman" w:cs="Times New Roman"/>
          <w:sz w:val="24"/>
          <w:szCs w:val="24"/>
        </w:rPr>
        <w:t>Kolodas</w:t>
      </w:r>
      <w:proofErr w:type="spellEnd"/>
      <w:r w:rsidRPr="00A07F29">
        <w:rPr>
          <w:rFonts w:ascii="Times New Roman" w:hAnsi="Times New Roman" w:cs="Times New Roman"/>
          <w:sz w:val="24"/>
          <w:szCs w:val="24"/>
        </w:rPr>
        <w:t xml:space="preserve"> ezera. Atpūtas vietā ieteicams</w:t>
      </w:r>
      <w:r w:rsidR="00A604FA" w:rsidRPr="00A07F29">
        <w:rPr>
          <w:rFonts w:ascii="Times New Roman" w:hAnsi="Times New Roman" w:cs="Times New Roman"/>
          <w:sz w:val="24"/>
          <w:szCs w:val="24"/>
        </w:rPr>
        <w:t xml:space="preserve"> ier</w:t>
      </w:r>
      <w:r w:rsidR="00820D44" w:rsidRPr="00A07F29">
        <w:rPr>
          <w:rFonts w:ascii="Times New Roman" w:hAnsi="Times New Roman" w:cs="Times New Roman"/>
          <w:sz w:val="24"/>
          <w:szCs w:val="24"/>
        </w:rPr>
        <w:t>ī</w:t>
      </w:r>
      <w:r w:rsidR="00A604FA" w:rsidRPr="00A07F29">
        <w:rPr>
          <w:rFonts w:ascii="Times New Roman" w:hAnsi="Times New Roman" w:cs="Times New Roman"/>
          <w:sz w:val="24"/>
          <w:szCs w:val="24"/>
        </w:rPr>
        <w:t xml:space="preserve">kot un uzturēt </w:t>
      </w:r>
      <w:r w:rsidRPr="00A07F29">
        <w:rPr>
          <w:rFonts w:ascii="Times New Roman" w:hAnsi="Times New Roman" w:cs="Times New Roman"/>
          <w:sz w:val="24"/>
          <w:szCs w:val="24"/>
        </w:rPr>
        <w:t>galdus ar soliem, sauso tualeti, atkritumu tvertnes, ugunskura vietas.</w:t>
      </w:r>
    </w:p>
    <w:p w14:paraId="21E454E9" w14:textId="140B1899" w:rsidR="008C4381" w:rsidRPr="00A07F29" w:rsidRDefault="008C4381" w:rsidP="008C4381">
      <w:pPr>
        <w:spacing w:after="0" w:line="240" w:lineRule="auto"/>
        <w:ind w:firstLine="851"/>
        <w:jc w:val="both"/>
        <w:rPr>
          <w:rFonts w:ascii="Times New Roman" w:hAnsi="Times New Roman" w:cs="Times New Roman"/>
          <w:sz w:val="24"/>
          <w:szCs w:val="24"/>
        </w:rPr>
      </w:pPr>
    </w:p>
    <w:p w14:paraId="08BB59BC" w14:textId="2073E7D5" w:rsidR="008C4381" w:rsidRPr="00A07F29" w:rsidRDefault="008C4381" w:rsidP="008C4381">
      <w:pPr>
        <w:keepNext/>
        <w:spacing w:after="120" w:line="240" w:lineRule="auto"/>
        <w:jc w:val="both"/>
        <w:rPr>
          <w:rFonts w:ascii="Times New Roman" w:hAnsi="Times New Roman" w:cs="Times New Roman"/>
          <w:b/>
          <w:i/>
          <w:sz w:val="24"/>
          <w:szCs w:val="24"/>
        </w:rPr>
      </w:pPr>
      <w:r w:rsidRPr="00A07F29">
        <w:rPr>
          <w:rFonts w:ascii="Times New Roman" w:hAnsi="Times New Roman" w:cs="Times New Roman"/>
          <w:b/>
          <w:i/>
          <w:sz w:val="24"/>
          <w:szCs w:val="24"/>
        </w:rPr>
        <w:t>D.3.4. Labiekārtotas atp</w:t>
      </w:r>
      <w:r w:rsidR="00086538" w:rsidRPr="00A07F29">
        <w:rPr>
          <w:rFonts w:ascii="Times New Roman" w:hAnsi="Times New Roman" w:cs="Times New Roman"/>
          <w:b/>
          <w:i/>
          <w:sz w:val="24"/>
          <w:szCs w:val="24"/>
        </w:rPr>
        <w:t>ū</w:t>
      </w:r>
      <w:r w:rsidRPr="00A07F29">
        <w:rPr>
          <w:rFonts w:ascii="Times New Roman" w:hAnsi="Times New Roman" w:cs="Times New Roman"/>
          <w:b/>
          <w:i/>
          <w:sz w:val="24"/>
          <w:szCs w:val="24"/>
        </w:rPr>
        <w:t>tas vietas izveidošana pie kempinga “Krasti”</w:t>
      </w:r>
    </w:p>
    <w:p w14:paraId="170FA334" w14:textId="58B38373" w:rsidR="00086538" w:rsidRPr="00A07F29" w:rsidRDefault="00086538" w:rsidP="00086538">
      <w:pPr>
        <w:spacing w:after="0" w:line="240" w:lineRule="auto"/>
        <w:ind w:firstLine="851"/>
        <w:jc w:val="both"/>
        <w:rPr>
          <w:rFonts w:ascii="Times New Roman" w:hAnsi="Times New Roman" w:cs="Times New Roman"/>
          <w:sz w:val="24"/>
          <w:szCs w:val="24"/>
        </w:rPr>
      </w:pPr>
      <w:r w:rsidRPr="002A2AE3">
        <w:rPr>
          <w:rFonts w:ascii="Times New Roman" w:hAnsi="Times New Roman" w:cs="Times New Roman"/>
          <w:sz w:val="24"/>
          <w:szCs w:val="24"/>
        </w:rPr>
        <w:t>Zemes vienībā</w:t>
      </w:r>
      <w:r w:rsidRPr="00A07F29">
        <w:rPr>
          <w:rFonts w:ascii="Times New Roman" w:hAnsi="Times New Roman" w:cs="Times New Roman"/>
          <w:sz w:val="24"/>
          <w:szCs w:val="24"/>
        </w:rPr>
        <w:t xml:space="preserve"> ar kadastra apzīmējumu 44740090119 darbojas kempings “Krasti”. Tūrisma infrastruktūru iespējams attīstīt arī kempingam blakus</w:t>
      </w:r>
      <w:r w:rsidR="002A2AE3">
        <w:rPr>
          <w:rFonts w:ascii="Times New Roman" w:hAnsi="Times New Roman" w:cs="Times New Roman"/>
          <w:sz w:val="24"/>
          <w:szCs w:val="24"/>
        </w:rPr>
        <w:t xml:space="preserve"> </w:t>
      </w:r>
      <w:r w:rsidRPr="00A07F29">
        <w:rPr>
          <w:rFonts w:ascii="Times New Roman" w:hAnsi="Times New Roman" w:cs="Times New Roman"/>
          <w:sz w:val="24"/>
          <w:szCs w:val="24"/>
        </w:rPr>
        <w:t>esošajā pašvaldības zemesgabalā ar kadastra apzīmējumu 44740090235, kur ie</w:t>
      </w:r>
      <w:r w:rsidR="000B3D05" w:rsidRPr="00A07F29">
        <w:rPr>
          <w:rFonts w:ascii="Times New Roman" w:hAnsi="Times New Roman" w:cs="Times New Roman"/>
          <w:sz w:val="24"/>
          <w:szCs w:val="24"/>
        </w:rPr>
        <w:t>teicams:</w:t>
      </w:r>
    </w:p>
    <w:p w14:paraId="697B2D97" w14:textId="3CBAE8AF" w:rsidR="000B3D05" w:rsidRPr="00A07F29" w:rsidRDefault="00086538" w:rsidP="00F87589">
      <w:pPr>
        <w:pStyle w:val="ListParagraph"/>
        <w:numPr>
          <w:ilvl w:val="0"/>
          <w:numId w:val="59"/>
        </w:numPr>
        <w:spacing w:after="0" w:line="240" w:lineRule="auto"/>
        <w:rPr>
          <w:rFonts w:cs="Times New Roman"/>
          <w:szCs w:val="24"/>
        </w:rPr>
      </w:pPr>
      <w:r w:rsidRPr="00A07F29">
        <w:rPr>
          <w:rFonts w:cs="Times New Roman"/>
          <w:szCs w:val="24"/>
        </w:rPr>
        <w:t xml:space="preserve">atvērt skatu uz Daugavu un atjaunot </w:t>
      </w:r>
      <w:r w:rsidR="000B3D05" w:rsidRPr="00A07F29">
        <w:rPr>
          <w:rFonts w:cs="Times New Roman"/>
          <w:szCs w:val="24"/>
        </w:rPr>
        <w:t xml:space="preserve">un uzturēt </w:t>
      </w:r>
      <w:r w:rsidRPr="00A07F29">
        <w:rPr>
          <w:rFonts w:cs="Times New Roman"/>
          <w:szCs w:val="24"/>
        </w:rPr>
        <w:t>zālājus, kas</w:t>
      </w:r>
      <w:r w:rsidR="00E86493">
        <w:rPr>
          <w:rFonts w:cs="Times New Roman"/>
          <w:szCs w:val="24"/>
        </w:rPr>
        <w:t>,</w:t>
      </w:r>
      <w:r w:rsidRPr="00A07F29">
        <w:rPr>
          <w:rFonts w:cs="Times New Roman"/>
          <w:szCs w:val="24"/>
        </w:rPr>
        <w:t xml:space="preserve"> atbilstoši apsaimniekojot (pļaujot reizi sezonā ar zāles (siena) novākšanu vai noganot)</w:t>
      </w:r>
      <w:r w:rsidR="00E86493">
        <w:rPr>
          <w:rFonts w:cs="Times New Roman"/>
          <w:szCs w:val="24"/>
        </w:rPr>
        <w:t>,</w:t>
      </w:r>
      <w:r w:rsidRPr="00A07F29">
        <w:rPr>
          <w:rFonts w:cs="Times New Roman"/>
          <w:szCs w:val="24"/>
        </w:rPr>
        <w:t xml:space="preserve"> var</w:t>
      </w:r>
      <w:r w:rsidR="00822E10" w:rsidRPr="00A07F29">
        <w:rPr>
          <w:rFonts w:cs="Times New Roman"/>
          <w:szCs w:val="24"/>
        </w:rPr>
        <w:t>ētu veidotie</w:t>
      </w:r>
      <w:r w:rsidRPr="00A07F29">
        <w:rPr>
          <w:rFonts w:cs="Times New Roman"/>
          <w:szCs w:val="24"/>
        </w:rPr>
        <w:t xml:space="preserve">s par </w:t>
      </w:r>
      <w:r w:rsidR="000B3D05" w:rsidRPr="00A07F29">
        <w:rPr>
          <w:rFonts w:cs="Times New Roman"/>
          <w:szCs w:val="24"/>
        </w:rPr>
        <w:t xml:space="preserve">sugām bagātākiem </w:t>
      </w:r>
      <w:r w:rsidR="009C72D2">
        <w:rPr>
          <w:rFonts w:cs="Times New Roman"/>
          <w:szCs w:val="24"/>
        </w:rPr>
        <w:t>BVZ</w:t>
      </w:r>
      <w:r w:rsidR="000B3D05" w:rsidRPr="00A07F29">
        <w:rPr>
          <w:rFonts w:cs="Times New Roman"/>
          <w:szCs w:val="24"/>
        </w:rPr>
        <w:t xml:space="preserve">; atjaunojot aizaugušos zālājus, kas </w:t>
      </w:r>
      <w:r w:rsidR="009D397C" w:rsidRPr="00A07F29">
        <w:rPr>
          <w:rFonts w:cs="Times New Roman"/>
          <w:szCs w:val="24"/>
        </w:rPr>
        <w:t xml:space="preserve">ir </w:t>
      </w:r>
      <w:r w:rsidR="000B3D05" w:rsidRPr="00A07F29">
        <w:rPr>
          <w:rFonts w:cs="Times New Roman"/>
          <w:szCs w:val="24"/>
        </w:rPr>
        <w:t>reģistrēti kā mežs, jāievēro normatīv</w:t>
      </w:r>
      <w:r w:rsidR="00C52173">
        <w:rPr>
          <w:rFonts w:cs="Times New Roman"/>
          <w:szCs w:val="24"/>
        </w:rPr>
        <w:t>ajos akto</w:t>
      </w:r>
      <w:r w:rsidR="000B3D05" w:rsidRPr="00A07F29">
        <w:rPr>
          <w:rFonts w:cs="Times New Roman"/>
          <w:szCs w:val="24"/>
        </w:rPr>
        <w:t>s noteiktā atmežošanas kārtībā;</w:t>
      </w:r>
    </w:p>
    <w:p w14:paraId="554E8686" w14:textId="567BE0B9" w:rsidR="000B3D05" w:rsidRPr="00A07F29" w:rsidRDefault="000B3D05" w:rsidP="00F87589">
      <w:pPr>
        <w:pStyle w:val="ListParagraph"/>
        <w:numPr>
          <w:ilvl w:val="0"/>
          <w:numId w:val="59"/>
        </w:numPr>
        <w:spacing w:after="0" w:line="240" w:lineRule="auto"/>
        <w:rPr>
          <w:rFonts w:cs="Times New Roman"/>
          <w:szCs w:val="24"/>
        </w:rPr>
      </w:pPr>
      <w:r w:rsidRPr="00A07F29">
        <w:rPr>
          <w:rFonts w:cs="Times New Roman"/>
          <w:szCs w:val="24"/>
        </w:rPr>
        <w:t>izveidot pieeju Daugavai, izpļaujot</w:t>
      </w:r>
      <w:r w:rsidR="009D397C" w:rsidRPr="00A07F29">
        <w:rPr>
          <w:rFonts w:cs="Times New Roman"/>
          <w:szCs w:val="24"/>
        </w:rPr>
        <w:t xml:space="preserve"> vai ierīkojot </w:t>
      </w:r>
      <w:r w:rsidRPr="00A07F29">
        <w:rPr>
          <w:rFonts w:cs="Times New Roman"/>
          <w:szCs w:val="24"/>
        </w:rPr>
        <w:t>taku</w:t>
      </w:r>
      <w:r w:rsidR="009D397C" w:rsidRPr="00A07F29">
        <w:rPr>
          <w:rFonts w:cs="Times New Roman"/>
          <w:szCs w:val="24"/>
        </w:rPr>
        <w:t xml:space="preserve">, </w:t>
      </w:r>
      <w:r w:rsidRPr="00A07F29">
        <w:rPr>
          <w:rFonts w:cs="Times New Roman"/>
          <w:szCs w:val="24"/>
        </w:rPr>
        <w:t>stāvākajās vietās ierīkojot kāpnes;</w:t>
      </w:r>
    </w:p>
    <w:p w14:paraId="04845163" w14:textId="78835259" w:rsidR="000B3D05" w:rsidRPr="00A07F29" w:rsidRDefault="000B3D05" w:rsidP="00F87589">
      <w:pPr>
        <w:pStyle w:val="ListParagraph"/>
        <w:numPr>
          <w:ilvl w:val="0"/>
          <w:numId w:val="59"/>
        </w:numPr>
        <w:spacing w:after="0" w:line="240" w:lineRule="auto"/>
        <w:rPr>
          <w:rFonts w:cs="Times New Roman"/>
          <w:szCs w:val="24"/>
        </w:rPr>
      </w:pPr>
      <w:r w:rsidRPr="00A07F29">
        <w:rPr>
          <w:rFonts w:cs="Times New Roman"/>
          <w:szCs w:val="24"/>
        </w:rPr>
        <w:t>izveidot laivu piestāšanas vietu;</w:t>
      </w:r>
    </w:p>
    <w:p w14:paraId="4C13FBF9" w14:textId="697D4AB4" w:rsidR="00086538" w:rsidRPr="00A07F29" w:rsidRDefault="000B3D05" w:rsidP="00F87589">
      <w:pPr>
        <w:pStyle w:val="ListParagraph"/>
        <w:numPr>
          <w:ilvl w:val="0"/>
          <w:numId w:val="59"/>
        </w:numPr>
        <w:spacing w:after="0" w:line="240" w:lineRule="auto"/>
        <w:rPr>
          <w:rFonts w:cs="Times New Roman"/>
          <w:szCs w:val="24"/>
        </w:rPr>
      </w:pPr>
      <w:r w:rsidRPr="00A07F29">
        <w:rPr>
          <w:rFonts w:cs="Times New Roman"/>
          <w:szCs w:val="24"/>
        </w:rPr>
        <w:t>ierīkot labiekārtotu atpūtas vietu ar atbilstošu infrastruktūru (ugunskura viet</w:t>
      </w:r>
      <w:r w:rsidR="00C27C8F" w:rsidRPr="00A07F29">
        <w:rPr>
          <w:rFonts w:cs="Times New Roman"/>
          <w:szCs w:val="24"/>
        </w:rPr>
        <w:t>a</w:t>
      </w:r>
      <w:r w:rsidRPr="00A07F29">
        <w:rPr>
          <w:rFonts w:cs="Times New Roman"/>
          <w:szCs w:val="24"/>
        </w:rPr>
        <w:t>, nojumītes ar griliem, lauku pirtiņ</w:t>
      </w:r>
      <w:r w:rsidR="00C27C8F" w:rsidRPr="00A07F29">
        <w:rPr>
          <w:rFonts w:cs="Times New Roman"/>
          <w:szCs w:val="24"/>
        </w:rPr>
        <w:t>a</w:t>
      </w:r>
      <w:r w:rsidRPr="00A07F29">
        <w:rPr>
          <w:rFonts w:cs="Times New Roman"/>
          <w:szCs w:val="24"/>
        </w:rPr>
        <w:t xml:space="preserve"> (</w:t>
      </w:r>
      <w:proofErr w:type="spellStart"/>
      <w:r w:rsidRPr="00A07F29">
        <w:rPr>
          <w:rFonts w:cs="Times New Roman"/>
          <w:szCs w:val="24"/>
        </w:rPr>
        <w:t>mazēka</w:t>
      </w:r>
      <w:proofErr w:type="spellEnd"/>
      <w:r w:rsidRPr="00A07F29">
        <w:rPr>
          <w:rFonts w:cs="Times New Roman"/>
          <w:szCs w:val="24"/>
        </w:rPr>
        <w:t xml:space="preserve">, celta kā guļbūve vai </w:t>
      </w:r>
      <w:proofErr w:type="spellStart"/>
      <w:r w:rsidRPr="00A07F29">
        <w:rPr>
          <w:rFonts w:cs="Times New Roman"/>
          <w:szCs w:val="24"/>
        </w:rPr>
        <w:t>stāvbūve</w:t>
      </w:r>
      <w:proofErr w:type="spellEnd"/>
      <w:r w:rsidR="00C27C8F" w:rsidRPr="00A07F29">
        <w:rPr>
          <w:rFonts w:cs="Times New Roman"/>
          <w:szCs w:val="24"/>
        </w:rPr>
        <w:t xml:space="preserve"> u</w:t>
      </w:r>
      <w:r w:rsidR="00C52173">
        <w:rPr>
          <w:rFonts w:cs="Times New Roman"/>
          <w:szCs w:val="24"/>
        </w:rPr>
        <w:t>.</w:t>
      </w:r>
      <w:r w:rsidR="00C27C8F" w:rsidRPr="00A07F29">
        <w:rPr>
          <w:rFonts w:cs="Times New Roman"/>
          <w:szCs w:val="24"/>
        </w:rPr>
        <w:t>tml.</w:t>
      </w:r>
      <w:r w:rsidRPr="00A07F29">
        <w:rPr>
          <w:rFonts w:cs="Times New Roman"/>
          <w:szCs w:val="24"/>
        </w:rPr>
        <w:t>)</w:t>
      </w:r>
      <w:r w:rsidR="00C27C8F" w:rsidRPr="00A07F29">
        <w:rPr>
          <w:rFonts w:cs="Times New Roman"/>
          <w:szCs w:val="24"/>
        </w:rPr>
        <w:t>;</w:t>
      </w:r>
    </w:p>
    <w:p w14:paraId="1CB0248C" w14:textId="2C345D2B" w:rsidR="000B3D05" w:rsidRPr="00A07F29" w:rsidRDefault="000B3D05" w:rsidP="00F87589">
      <w:pPr>
        <w:pStyle w:val="ListParagraph"/>
        <w:numPr>
          <w:ilvl w:val="0"/>
          <w:numId w:val="59"/>
        </w:numPr>
        <w:spacing w:after="0" w:line="240" w:lineRule="auto"/>
        <w:rPr>
          <w:rFonts w:cs="Times New Roman"/>
          <w:szCs w:val="24"/>
        </w:rPr>
      </w:pPr>
      <w:r w:rsidRPr="00A07F29">
        <w:rPr>
          <w:rFonts w:cs="Times New Roman"/>
          <w:szCs w:val="24"/>
        </w:rPr>
        <w:t>izveidot skatu vietu (terasi ar vai bez jumta</w:t>
      </w:r>
      <w:r w:rsidR="009D397C" w:rsidRPr="00A07F29">
        <w:rPr>
          <w:rFonts w:cs="Times New Roman"/>
          <w:szCs w:val="24"/>
        </w:rPr>
        <w:t xml:space="preserve"> vai </w:t>
      </w:r>
      <w:r w:rsidRPr="00A07F29">
        <w:rPr>
          <w:rFonts w:cs="Times New Roman"/>
          <w:szCs w:val="24"/>
        </w:rPr>
        <w:t>skatu platformu)</w:t>
      </w:r>
      <w:r w:rsidR="00C27C8F" w:rsidRPr="00A07F29">
        <w:rPr>
          <w:rFonts w:cs="Times New Roman"/>
          <w:szCs w:val="24"/>
        </w:rPr>
        <w:t>;</w:t>
      </w:r>
    </w:p>
    <w:p w14:paraId="293259A0" w14:textId="57E37741" w:rsidR="00C27C8F" w:rsidRPr="00A07F29" w:rsidRDefault="009D397C" w:rsidP="00F87589">
      <w:pPr>
        <w:pStyle w:val="ListParagraph"/>
        <w:numPr>
          <w:ilvl w:val="0"/>
          <w:numId w:val="59"/>
        </w:numPr>
        <w:spacing w:after="0" w:line="240" w:lineRule="auto"/>
        <w:rPr>
          <w:rFonts w:cs="Times New Roman"/>
          <w:szCs w:val="24"/>
        </w:rPr>
      </w:pPr>
      <w:r w:rsidRPr="00A07F29">
        <w:rPr>
          <w:rFonts w:cs="Times New Roman"/>
          <w:szCs w:val="24"/>
        </w:rPr>
        <w:t>atrisināt piekļuves (ce</w:t>
      </w:r>
      <w:r w:rsidR="00914361">
        <w:rPr>
          <w:rFonts w:cs="Times New Roman"/>
          <w:szCs w:val="24"/>
        </w:rPr>
        <w:t>ļ</w:t>
      </w:r>
      <w:r w:rsidRPr="00A07F29">
        <w:rPr>
          <w:rFonts w:cs="Times New Roman"/>
          <w:szCs w:val="24"/>
        </w:rPr>
        <w:t xml:space="preserve">a servitūta) jautājumu un </w:t>
      </w:r>
      <w:r w:rsidR="00C27C8F" w:rsidRPr="00A07F29">
        <w:rPr>
          <w:rFonts w:cs="Times New Roman"/>
          <w:szCs w:val="24"/>
        </w:rPr>
        <w:t>izbūvēt piebraucamo ceļu.</w:t>
      </w:r>
    </w:p>
    <w:p w14:paraId="79C8B923" w14:textId="0D808D0D" w:rsidR="00C27C8F" w:rsidRPr="00A07F29" w:rsidRDefault="00C27C8F" w:rsidP="00086538">
      <w:pPr>
        <w:spacing w:after="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t>Ierīkoto infrastruktūru nepieciešams uzturēt, kā arī nodrošināt normatīviem atbilstošu atkritumu apsaimniekošanu.</w:t>
      </w:r>
    </w:p>
    <w:p w14:paraId="17AFDFE0" w14:textId="61CC3257" w:rsidR="009D397C" w:rsidRPr="00A07F29" w:rsidRDefault="009D397C" w:rsidP="00086538">
      <w:pPr>
        <w:spacing w:after="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t>Sadarbībā ar blakus</w:t>
      </w:r>
      <w:r w:rsidR="000E322B">
        <w:rPr>
          <w:rFonts w:ascii="Times New Roman" w:hAnsi="Times New Roman" w:cs="Times New Roman"/>
          <w:sz w:val="24"/>
          <w:szCs w:val="24"/>
        </w:rPr>
        <w:t xml:space="preserve"> </w:t>
      </w:r>
      <w:r w:rsidRPr="00A07F29">
        <w:rPr>
          <w:rFonts w:ascii="Times New Roman" w:hAnsi="Times New Roman" w:cs="Times New Roman"/>
          <w:sz w:val="24"/>
          <w:szCs w:val="24"/>
        </w:rPr>
        <w:t xml:space="preserve">esošo zemesgabalu īpašniekiem ieteicams plānot un ierīkot pastaigu taku līdz </w:t>
      </w:r>
      <w:proofErr w:type="spellStart"/>
      <w:r w:rsidRPr="00A07F29">
        <w:rPr>
          <w:rFonts w:ascii="Times New Roman" w:hAnsi="Times New Roman" w:cs="Times New Roman"/>
          <w:sz w:val="24"/>
          <w:szCs w:val="24"/>
        </w:rPr>
        <w:t>Slutišķiem</w:t>
      </w:r>
      <w:proofErr w:type="spellEnd"/>
      <w:r w:rsidRPr="00A07F29">
        <w:rPr>
          <w:rFonts w:ascii="Times New Roman" w:hAnsi="Times New Roman" w:cs="Times New Roman"/>
          <w:sz w:val="24"/>
          <w:szCs w:val="24"/>
        </w:rPr>
        <w:t>.</w:t>
      </w:r>
    </w:p>
    <w:p w14:paraId="2FF153D4" w14:textId="23304669" w:rsidR="00A604FA" w:rsidRPr="00A07F29" w:rsidRDefault="00A604FA" w:rsidP="00086538">
      <w:pPr>
        <w:spacing w:after="0" w:line="240" w:lineRule="auto"/>
        <w:ind w:firstLine="851"/>
        <w:jc w:val="both"/>
        <w:rPr>
          <w:rFonts w:ascii="Times New Roman" w:hAnsi="Times New Roman" w:cs="Times New Roman"/>
          <w:sz w:val="24"/>
          <w:szCs w:val="24"/>
        </w:rPr>
      </w:pPr>
    </w:p>
    <w:p w14:paraId="0E09E20B" w14:textId="38E042E4" w:rsidR="00A604FA" w:rsidRPr="00A07F29" w:rsidRDefault="00A604FA" w:rsidP="00A604FA">
      <w:pPr>
        <w:spacing w:after="0" w:line="240" w:lineRule="auto"/>
        <w:jc w:val="both"/>
        <w:rPr>
          <w:rFonts w:ascii="Times New Roman" w:hAnsi="Times New Roman" w:cs="Times New Roman"/>
          <w:sz w:val="24"/>
          <w:szCs w:val="24"/>
        </w:rPr>
      </w:pPr>
      <w:r w:rsidRPr="00A07F29">
        <w:rPr>
          <w:rFonts w:ascii="Times New Roman" w:hAnsi="Times New Roman" w:cs="Times New Roman"/>
          <w:noProof/>
          <w:sz w:val="24"/>
          <w:szCs w:val="24"/>
          <w:lang w:eastAsia="lv-LV"/>
        </w:rPr>
        <w:drawing>
          <wp:inline distT="0" distB="0" distL="0" distR="0" wp14:anchorId="0E73050A" wp14:editId="37FBF30B">
            <wp:extent cx="5731510" cy="4051935"/>
            <wp:effectExtent l="0" t="0" r="2540" b="5715"/>
            <wp:docPr id="918145587" name="Picture 918145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145587" name="D.3.4. Labiekārtotas atpūtas vietas izveidošana pie kempinga “Krasti”.jpg"/>
                    <pic:cNvPicPr/>
                  </pic:nvPicPr>
                  <pic:blipFill>
                    <a:blip r:embed="rId132" cstate="print">
                      <a:extLst>
                        <a:ext uri="{28A0092B-C50C-407E-A947-70E740481C1C}">
                          <a14:useLocalDpi xmlns:a14="http://schemas.microsoft.com/office/drawing/2010/main" val="0"/>
                        </a:ext>
                      </a:extLst>
                    </a:blip>
                    <a:stretch>
                      <a:fillRect/>
                    </a:stretch>
                  </pic:blipFill>
                  <pic:spPr>
                    <a:xfrm>
                      <a:off x="0" y="0"/>
                      <a:ext cx="5731510" cy="4051935"/>
                    </a:xfrm>
                    <a:prstGeom prst="rect">
                      <a:avLst/>
                    </a:prstGeom>
                  </pic:spPr>
                </pic:pic>
              </a:graphicData>
            </a:graphic>
          </wp:inline>
        </w:drawing>
      </w:r>
    </w:p>
    <w:p w14:paraId="1FC33B52" w14:textId="1EA6A6D6" w:rsidR="008C4381" w:rsidRPr="00D93EE5" w:rsidRDefault="00A604FA" w:rsidP="00A604FA">
      <w:pPr>
        <w:spacing w:after="0" w:line="240" w:lineRule="auto"/>
        <w:jc w:val="both"/>
        <w:rPr>
          <w:rFonts w:ascii="Times New Roman" w:hAnsi="Times New Roman" w:cs="Times New Roman"/>
          <w:sz w:val="20"/>
          <w:szCs w:val="20"/>
        </w:rPr>
      </w:pPr>
      <w:r w:rsidRPr="00D93EE5">
        <w:rPr>
          <w:rFonts w:ascii="Times New Roman" w:eastAsia="Calibri" w:hAnsi="Times New Roman" w:cs="Times New Roman"/>
          <w:sz w:val="20"/>
          <w:szCs w:val="20"/>
        </w:rPr>
        <w:t>5.3.3</w:t>
      </w:r>
      <w:r w:rsidR="00D93EE5" w:rsidRPr="00D93EE5">
        <w:rPr>
          <w:rFonts w:ascii="Times New Roman" w:eastAsia="Calibri" w:hAnsi="Times New Roman" w:cs="Times New Roman"/>
          <w:sz w:val="20"/>
          <w:szCs w:val="20"/>
        </w:rPr>
        <w:t>4</w:t>
      </w:r>
      <w:r w:rsidRPr="00D93EE5">
        <w:rPr>
          <w:rFonts w:ascii="Times New Roman" w:eastAsia="Calibri" w:hAnsi="Times New Roman" w:cs="Times New Roman"/>
          <w:sz w:val="20"/>
          <w:szCs w:val="20"/>
        </w:rPr>
        <w:t>.</w:t>
      </w:r>
      <w:r w:rsidR="00D93EE5" w:rsidRPr="00D93EE5">
        <w:rPr>
          <w:rFonts w:ascii="Times New Roman" w:eastAsia="Calibri" w:hAnsi="Times New Roman" w:cs="Times New Roman"/>
          <w:sz w:val="20"/>
          <w:szCs w:val="20"/>
        </w:rPr>
        <w:t> </w:t>
      </w:r>
      <w:r w:rsidRPr="00D93EE5">
        <w:rPr>
          <w:rFonts w:ascii="Times New Roman" w:eastAsia="Calibri" w:hAnsi="Times New Roman" w:cs="Times New Roman"/>
          <w:sz w:val="20"/>
          <w:szCs w:val="20"/>
        </w:rPr>
        <w:t>attēls. Plānotā infrastruktūra pie kempinga “Krasti”.</w:t>
      </w:r>
    </w:p>
    <w:p w14:paraId="23F05686" w14:textId="77777777" w:rsidR="00A604FA" w:rsidRPr="00A07F29" w:rsidRDefault="00A604FA" w:rsidP="00D93EE5">
      <w:pPr>
        <w:spacing w:after="0" w:line="240" w:lineRule="auto"/>
        <w:jc w:val="both"/>
        <w:rPr>
          <w:rFonts w:ascii="Times New Roman" w:hAnsi="Times New Roman" w:cs="Times New Roman"/>
          <w:sz w:val="24"/>
          <w:szCs w:val="24"/>
        </w:rPr>
      </w:pPr>
    </w:p>
    <w:p w14:paraId="3DCC1D77" w14:textId="54DDDCE4" w:rsidR="00D56C16" w:rsidRPr="00A07F29" w:rsidRDefault="00D56C16" w:rsidP="00E63404">
      <w:pPr>
        <w:keepNext/>
        <w:spacing w:after="120" w:line="240" w:lineRule="auto"/>
        <w:jc w:val="both"/>
        <w:rPr>
          <w:rFonts w:ascii="Times New Roman" w:hAnsi="Times New Roman" w:cs="Times New Roman"/>
          <w:b/>
          <w:sz w:val="24"/>
          <w:szCs w:val="24"/>
        </w:rPr>
      </w:pPr>
      <w:r w:rsidRPr="00A07F29">
        <w:rPr>
          <w:rFonts w:ascii="Times New Roman" w:hAnsi="Times New Roman" w:cs="Times New Roman"/>
          <w:b/>
          <w:sz w:val="24"/>
          <w:szCs w:val="24"/>
        </w:rPr>
        <w:t xml:space="preserve">D.4. Ierīkot, pilnveidot un uzturēt </w:t>
      </w:r>
      <w:proofErr w:type="spellStart"/>
      <w:r w:rsidRPr="00A07F29">
        <w:rPr>
          <w:rFonts w:ascii="Times New Roman" w:hAnsi="Times New Roman" w:cs="Times New Roman"/>
          <w:b/>
          <w:sz w:val="24"/>
          <w:szCs w:val="24"/>
        </w:rPr>
        <w:t>ūdenstūrismam</w:t>
      </w:r>
      <w:proofErr w:type="spellEnd"/>
      <w:r w:rsidRPr="00A07F29">
        <w:rPr>
          <w:rFonts w:ascii="Times New Roman" w:hAnsi="Times New Roman" w:cs="Times New Roman"/>
          <w:b/>
          <w:sz w:val="24"/>
          <w:szCs w:val="24"/>
        </w:rPr>
        <w:t xml:space="preserve"> un atpūtai uz ūdens nepieciešamo infrastruktūru</w:t>
      </w:r>
    </w:p>
    <w:p w14:paraId="5AABF24C" w14:textId="2238D86B" w:rsidR="00B25653" w:rsidRPr="00A07F29" w:rsidRDefault="00B25653" w:rsidP="00B25653">
      <w:pPr>
        <w:spacing w:after="12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t xml:space="preserve">Laivu un plostu un </w:t>
      </w:r>
      <w:proofErr w:type="spellStart"/>
      <w:r w:rsidRPr="00A07F29">
        <w:rPr>
          <w:rFonts w:ascii="Times New Roman" w:hAnsi="Times New Roman" w:cs="Times New Roman"/>
          <w:sz w:val="24"/>
          <w:szCs w:val="24"/>
        </w:rPr>
        <w:t>ūdenstūristu</w:t>
      </w:r>
      <w:proofErr w:type="spellEnd"/>
      <w:r w:rsidRPr="00A07F29">
        <w:rPr>
          <w:rFonts w:ascii="Times New Roman" w:hAnsi="Times New Roman" w:cs="Times New Roman"/>
          <w:sz w:val="24"/>
          <w:szCs w:val="24"/>
        </w:rPr>
        <w:t xml:space="preserve"> pārvadāšanai nepieciešami piebraucamie ceļi pie Daugavas. Apmetņu vietas un laivu piestātnes ieteicams ierīkot pie esošiem piebraucamajiem ceļiem un stihiski izveidotām pludmalēm Daugavas krastā. Ieteicams esošos ceļus, kas pieved pie Daugavas, atjaunot un uzlabot, lai tie būtu viegli izbraucami. Tāpat ir svarīgi veicināt privātīpašumā esošo ceļu iesaisti </w:t>
      </w:r>
      <w:proofErr w:type="spellStart"/>
      <w:r w:rsidRPr="00A07F29">
        <w:rPr>
          <w:rFonts w:ascii="Times New Roman" w:hAnsi="Times New Roman" w:cs="Times New Roman"/>
          <w:sz w:val="24"/>
          <w:szCs w:val="24"/>
        </w:rPr>
        <w:t>ūdenstūrismā</w:t>
      </w:r>
      <w:proofErr w:type="spellEnd"/>
      <w:r w:rsidRPr="00A07F29">
        <w:rPr>
          <w:rFonts w:ascii="Times New Roman" w:hAnsi="Times New Roman" w:cs="Times New Roman"/>
          <w:sz w:val="24"/>
          <w:szCs w:val="24"/>
        </w:rPr>
        <w:t>, mudinot īpašniekus sadarboties ar laivu un plostu iznomātājiem un atļaut piebraucamo ceļu izmantošanu (piemēram, nosakot maksu par izmantošanu, uzstādot barjeru ar atslēgu, kas pieejama tikai laivu iznomātājiem, bet tādējādi tiek aizliegta ceļa izmantošana nepiederošām personām).</w:t>
      </w:r>
      <w:r w:rsidR="007769F4" w:rsidRPr="00A07F29">
        <w:rPr>
          <w:rFonts w:ascii="Times New Roman" w:hAnsi="Times New Roman" w:cs="Times New Roman"/>
          <w:sz w:val="24"/>
          <w:szCs w:val="24"/>
        </w:rPr>
        <w:t xml:space="preserve"> Laivu piestātņu, laivu nolaišanas vietu un </w:t>
      </w:r>
      <w:proofErr w:type="spellStart"/>
      <w:r w:rsidR="007769F4" w:rsidRPr="00A07F29">
        <w:rPr>
          <w:rFonts w:ascii="Times New Roman" w:hAnsi="Times New Roman" w:cs="Times New Roman"/>
          <w:sz w:val="24"/>
          <w:szCs w:val="24"/>
        </w:rPr>
        <w:t>ūdenstūristu</w:t>
      </w:r>
      <w:proofErr w:type="spellEnd"/>
      <w:r w:rsidR="007769F4" w:rsidRPr="00A07F29">
        <w:rPr>
          <w:rFonts w:ascii="Times New Roman" w:hAnsi="Times New Roman" w:cs="Times New Roman"/>
          <w:sz w:val="24"/>
          <w:szCs w:val="24"/>
        </w:rPr>
        <w:t xml:space="preserve"> apmetņu vietu konkrēta atrašanās vieta un infrastruktūras objektu izvietojums precizējams saskaņošanas un projektēšanas laikā.</w:t>
      </w:r>
    </w:p>
    <w:p w14:paraId="117B249B" w14:textId="46B3440B" w:rsidR="00B25653" w:rsidRPr="00A07F29" w:rsidRDefault="00B25653" w:rsidP="00B25653">
      <w:pPr>
        <w:spacing w:after="12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t xml:space="preserve">Apmetņu vietas, laivu piestātnes un </w:t>
      </w:r>
      <w:r w:rsidR="00C53167" w:rsidRPr="00A07F29">
        <w:rPr>
          <w:rFonts w:ascii="Times New Roman" w:hAnsi="Times New Roman" w:cs="Times New Roman"/>
          <w:sz w:val="24"/>
          <w:szCs w:val="24"/>
        </w:rPr>
        <w:t>nolaišanas</w:t>
      </w:r>
      <w:r w:rsidRPr="00A07F29">
        <w:rPr>
          <w:rFonts w:ascii="Times New Roman" w:hAnsi="Times New Roman" w:cs="Times New Roman"/>
          <w:sz w:val="24"/>
          <w:szCs w:val="24"/>
        </w:rPr>
        <w:t xml:space="preserve"> vietas Daugavas krastos ieteicams atzīmēt ar vienota stila norādēm. Ieteicams izvietot arī vienota stila norādes</w:t>
      </w:r>
      <w:r w:rsidR="00C53167" w:rsidRPr="00A07F29">
        <w:rPr>
          <w:rFonts w:ascii="Times New Roman" w:hAnsi="Times New Roman" w:cs="Times New Roman"/>
          <w:sz w:val="24"/>
          <w:szCs w:val="24"/>
        </w:rPr>
        <w:t xml:space="preserve"> Daugavas krastos</w:t>
      </w:r>
      <w:r w:rsidRPr="00A07F29">
        <w:rPr>
          <w:rFonts w:ascii="Times New Roman" w:hAnsi="Times New Roman" w:cs="Times New Roman"/>
          <w:sz w:val="24"/>
          <w:szCs w:val="24"/>
        </w:rPr>
        <w:t>, kas palīdzētu saprast atrašanās vietu, piemēram, izvietojot norādes ar Daugavas loka nosaukumu un attālumu līdz piestātnei, atpūtas vietai, apdzīvotai teritorijai u.tml.</w:t>
      </w:r>
    </w:p>
    <w:p w14:paraId="5A933AEA" w14:textId="6A86693D" w:rsidR="00D56C16" w:rsidRPr="00A07F29" w:rsidRDefault="00D56C16" w:rsidP="00F900A1">
      <w:pPr>
        <w:keepNext/>
        <w:spacing w:before="240" w:after="120" w:line="240" w:lineRule="auto"/>
        <w:jc w:val="both"/>
        <w:rPr>
          <w:rFonts w:ascii="Times New Roman" w:hAnsi="Times New Roman" w:cs="Times New Roman"/>
          <w:b/>
          <w:i/>
          <w:sz w:val="24"/>
          <w:szCs w:val="24"/>
        </w:rPr>
      </w:pPr>
      <w:r w:rsidRPr="00A07F29">
        <w:rPr>
          <w:rFonts w:ascii="Times New Roman" w:hAnsi="Times New Roman" w:cs="Times New Roman"/>
          <w:b/>
          <w:i/>
          <w:sz w:val="24"/>
          <w:szCs w:val="24"/>
        </w:rPr>
        <w:t>D.4.1. Laivu piestātņu un laivu nolaišanas vietu labiekārtošana un uzturēšana</w:t>
      </w:r>
    </w:p>
    <w:p w14:paraId="5D48174C" w14:textId="5F1FBF57" w:rsidR="00D56C16" w:rsidRPr="00A07F29" w:rsidRDefault="00D56C16" w:rsidP="00D56C16">
      <w:pPr>
        <w:spacing w:after="12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t>Nepieciešams uzlabot vai uzturēt esošās laivu piestātnes un laivu nolaišanas vietas</w:t>
      </w:r>
      <w:r w:rsidR="000F586B" w:rsidRPr="00A07F29">
        <w:rPr>
          <w:rFonts w:ascii="Times New Roman" w:hAnsi="Times New Roman" w:cs="Times New Roman"/>
          <w:sz w:val="24"/>
          <w:szCs w:val="24"/>
        </w:rPr>
        <w:t>, kā arī piemērotās vietās ierīkot jaunas, piemēram</w:t>
      </w:r>
      <w:r w:rsidRPr="00A07F29">
        <w:rPr>
          <w:rFonts w:ascii="Times New Roman" w:hAnsi="Times New Roman" w:cs="Times New Roman"/>
          <w:sz w:val="24"/>
          <w:szCs w:val="24"/>
        </w:rPr>
        <w:t xml:space="preserve">: </w:t>
      </w:r>
    </w:p>
    <w:p w14:paraId="31B294DA" w14:textId="77777777" w:rsidR="00D56C16" w:rsidRPr="00A07F29" w:rsidRDefault="00D56C16" w:rsidP="00F87589">
      <w:pPr>
        <w:pStyle w:val="ListParagraph"/>
        <w:numPr>
          <w:ilvl w:val="0"/>
          <w:numId w:val="52"/>
        </w:numPr>
        <w:spacing w:line="240" w:lineRule="auto"/>
        <w:ind w:left="1276" w:hanging="425"/>
        <w:contextualSpacing w:val="0"/>
        <w:rPr>
          <w:rFonts w:cs="Times New Roman"/>
          <w:szCs w:val="24"/>
        </w:rPr>
      </w:pPr>
      <w:r w:rsidRPr="00A07F29">
        <w:rPr>
          <w:rFonts w:cs="Times New Roman"/>
          <w:szCs w:val="24"/>
        </w:rPr>
        <w:t xml:space="preserve">pārbūvēt laivu nolaišanas vietu pie </w:t>
      </w:r>
      <w:proofErr w:type="spellStart"/>
      <w:r w:rsidRPr="00A07F29">
        <w:rPr>
          <w:rFonts w:cs="Times New Roman"/>
          <w:szCs w:val="24"/>
        </w:rPr>
        <w:t>Slutišķiem</w:t>
      </w:r>
      <w:proofErr w:type="spellEnd"/>
      <w:r w:rsidRPr="00A07F29">
        <w:rPr>
          <w:rFonts w:cs="Times New Roman"/>
          <w:szCs w:val="24"/>
        </w:rPr>
        <w:t>; pašlaik šajā vietā ir izveidots “</w:t>
      </w:r>
      <w:proofErr w:type="spellStart"/>
      <w:r w:rsidRPr="00A07F29">
        <w:rPr>
          <w:rFonts w:cs="Times New Roman"/>
          <w:szCs w:val="24"/>
        </w:rPr>
        <w:t>slips</w:t>
      </w:r>
      <w:proofErr w:type="spellEnd"/>
      <w:r w:rsidRPr="00A07F29">
        <w:rPr>
          <w:rFonts w:cs="Times New Roman"/>
          <w:szCs w:val="24"/>
        </w:rPr>
        <w:t>” ar lielu slīpumu un gludu betona virsmu. Rekomendējams “</w:t>
      </w:r>
      <w:proofErr w:type="spellStart"/>
      <w:r w:rsidRPr="00A07F29">
        <w:rPr>
          <w:rFonts w:cs="Times New Roman"/>
          <w:szCs w:val="24"/>
        </w:rPr>
        <w:t>slipu</w:t>
      </w:r>
      <w:proofErr w:type="spellEnd"/>
      <w:r w:rsidRPr="00A07F29">
        <w:rPr>
          <w:rFonts w:cs="Times New Roman"/>
          <w:szCs w:val="24"/>
        </w:rPr>
        <w:t>” padarīt lēzenāku un tā virsmu raupjāku, lai atvieglotu laivu ielaišanu upē;</w:t>
      </w:r>
    </w:p>
    <w:p w14:paraId="2B054BA9" w14:textId="21A3EDAF" w:rsidR="00D56C16" w:rsidRPr="00A07F29" w:rsidRDefault="00D56C16" w:rsidP="00C53167">
      <w:pPr>
        <w:pStyle w:val="ListParagraph"/>
        <w:numPr>
          <w:ilvl w:val="0"/>
          <w:numId w:val="52"/>
        </w:numPr>
        <w:spacing w:line="240" w:lineRule="auto"/>
        <w:ind w:left="1276" w:hanging="425"/>
        <w:contextualSpacing w:val="0"/>
        <w:rPr>
          <w:rFonts w:cs="Times New Roman"/>
          <w:szCs w:val="24"/>
        </w:rPr>
      </w:pPr>
      <w:r w:rsidRPr="00A07F29">
        <w:rPr>
          <w:rFonts w:cs="Times New Roman"/>
          <w:szCs w:val="24"/>
        </w:rPr>
        <w:t xml:space="preserve">pie Kraujas esošajā </w:t>
      </w:r>
      <w:proofErr w:type="spellStart"/>
      <w:r w:rsidR="00C53167" w:rsidRPr="00A07F29">
        <w:rPr>
          <w:rFonts w:cs="Times New Roman"/>
          <w:szCs w:val="24"/>
        </w:rPr>
        <w:t>ūdenstūristu</w:t>
      </w:r>
      <w:proofErr w:type="spellEnd"/>
      <w:r w:rsidRPr="00A07F29">
        <w:rPr>
          <w:rFonts w:cs="Times New Roman"/>
          <w:szCs w:val="24"/>
        </w:rPr>
        <w:t xml:space="preserve"> piestāšanas vietā Daugavas krastā nepieciešams</w:t>
      </w:r>
      <w:r w:rsidR="00C53167" w:rsidRPr="00A07F29">
        <w:rPr>
          <w:rFonts w:cs="Times New Roman"/>
          <w:szCs w:val="24"/>
        </w:rPr>
        <w:t xml:space="preserve"> ierīkot laivu nolaišanas vietu</w:t>
      </w:r>
      <w:r w:rsidRPr="00A07F29">
        <w:rPr>
          <w:rFonts w:cs="Times New Roman"/>
          <w:szCs w:val="24"/>
        </w:rPr>
        <w:t xml:space="preserve"> (</w:t>
      </w:r>
      <w:proofErr w:type="spellStart"/>
      <w:r w:rsidR="00BB7BB5" w:rsidRPr="00A07F29">
        <w:rPr>
          <w:rFonts w:cs="Times New Roman"/>
          <w:szCs w:val="24"/>
        </w:rPr>
        <w:t>slipu</w:t>
      </w:r>
      <w:proofErr w:type="spellEnd"/>
      <w:r w:rsidR="00BB7BB5" w:rsidRPr="00A07F29">
        <w:rPr>
          <w:rFonts w:cs="Times New Roman"/>
          <w:szCs w:val="24"/>
        </w:rPr>
        <w:t xml:space="preserve"> </w:t>
      </w:r>
      <w:r w:rsidRPr="00A07F29">
        <w:rPr>
          <w:rFonts w:cs="Times New Roman"/>
          <w:szCs w:val="24"/>
        </w:rPr>
        <w:t xml:space="preserve">līdzīgi, kā pie </w:t>
      </w:r>
      <w:proofErr w:type="spellStart"/>
      <w:r w:rsidRPr="00A07F29">
        <w:rPr>
          <w:rFonts w:cs="Times New Roman"/>
          <w:szCs w:val="24"/>
        </w:rPr>
        <w:t>Slutišķiem</w:t>
      </w:r>
      <w:proofErr w:type="spellEnd"/>
      <w:r w:rsidRPr="00A07F29">
        <w:rPr>
          <w:rFonts w:cs="Times New Roman"/>
          <w:szCs w:val="24"/>
        </w:rPr>
        <w:t>), kā arī atjaunot un uzturēt labā kvalitātē piebraucamo ceļu; nepiecie</w:t>
      </w:r>
      <w:r w:rsidR="00C53167" w:rsidRPr="00A07F29">
        <w:rPr>
          <w:rFonts w:cs="Times New Roman"/>
          <w:szCs w:val="24"/>
        </w:rPr>
        <w:t>ša</w:t>
      </w:r>
      <w:r w:rsidRPr="00A07F29">
        <w:rPr>
          <w:rFonts w:cs="Times New Roman"/>
          <w:szCs w:val="24"/>
        </w:rPr>
        <w:t>ms arī demontēt veco galdu ar soliem un ugunskura vietu, kas atrodas pie informācijas stenda un ierīkot un apsaimniekot labiekārtotu atpūtas vietu ar ugunskura vietu, nojumi ar galdu un soliem, atkritumu tvertni, sauso tualeti, vietu automašīnu novietošanai;</w:t>
      </w:r>
    </w:p>
    <w:p w14:paraId="05344B6B" w14:textId="48C7EE87" w:rsidR="00D56C16" w:rsidRPr="00A07F29" w:rsidRDefault="00C53167" w:rsidP="00FE741D">
      <w:pPr>
        <w:pStyle w:val="ListParagraph"/>
        <w:numPr>
          <w:ilvl w:val="0"/>
          <w:numId w:val="52"/>
        </w:numPr>
        <w:spacing w:line="240" w:lineRule="auto"/>
        <w:ind w:left="1276" w:hanging="425"/>
        <w:contextualSpacing w:val="0"/>
        <w:rPr>
          <w:rFonts w:cs="Times New Roman"/>
          <w:szCs w:val="24"/>
        </w:rPr>
      </w:pPr>
      <w:proofErr w:type="spellStart"/>
      <w:r w:rsidRPr="00A07F29">
        <w:rPr>
          <w:rFonts w:cs="Times New Roman"/>
          <w:szCs w:val="24"/>
        </w:rPr>
        <w:t>ūdenstūristu</w:t>
      </w:r>
      <w:proofErr w:type="spellEnd"/>
      <w:r w:rsidR="00D56C16" w:rsidRPr="00A07F29">
        <w:rPr>
          <w:rFonts w:cs="Times New Roman"/>
          <w:szCs w:val="24"/>
        </w:rPr>
        <w:t xml:space="preserve"> piestāšanas vietā pie </w:t>
      </w:r>
      <w:proofErr w:type="spellStart"/>
      <w:r w:rsidR="00D56C16" w:rsidRPr="00A07F29">
        <w:rPr>
          <w:rFonts w:cs="Times New Roman"/>
          <w:szCs w:val="24"/>
        </w:rPr>
        <w:t>Vasargelišķu</w:t>
      </w:r>
      <w:proofErr w:type="spellEnd"/>
      <w:r w:rsidR="00D56C16" w:rsidRPr="00A07F29">
        <w:rPr>
          <w:rFonts w:cs="Times New Roman"/>
          <w:szCs w:val="24"/>
        </w:rPr>
        <w:t xml:space="preserve"> skatu torņa Daugavas krastā (skat. 5.3.</w:t>
      </w:r>
      <w:r w:rsidR="00CE5F81" w:rsidRPr="00A07F29">
        <w:rPr>
          <w:rFonts w:cs="Times New Roman"/>
          <w:szCs w:val="24"/>
        </w:rPr>
        <w:t>3</w:t>
      </w:r>
      <w:r w:rsidR="00112216">
        <w:rPr>
          <w:rFonts w:cs="Times New Roman"/>
          <w:szCs w:val="24"/>
        </w:rPr>
        <w:t>6</w:t>
      </w:r>
      <w:r w:rsidR="00D56C16" w:rsidRPr="00A07F29">
        <w:rPr>
          <w:rFonts w:cs="Times New Roman"/>
          <w:szCs w:val="24"/>
        </w:rPr>
        <w:t>.</w:t>
      </w:r>
      <w:r w:rsidR="007324E9">
        <w:rPr>
          <w:rFonts w:cs="Times New Roman"/>
          <w:szCs w:val="24"/>
        </w:rPr>
        <w:t> </w:t>
      </w:r>
      <w:r w:rsidR="00D56C16" w:rsidRPr="00A07F29">
        <w:rPr>
          <w:rFonts w:cs="Times New Roman"/>
          <w:szCs w:val="24"/>
        </w:rPr>
        <w:t>att</w:t>
      </w:r>
      <w:r w:rsidR="007324E9">
        <w:rPr>
          <w:rFonts w:cs="Times New Roman"/>
          <w:szCs w:val="24"/>
        </w:rPr>
        <w:t>ēls</w:t>
      </w:r>
      <w:r w:rsidR="00D56C16" w:rsidRPr="00A07F29">
        <w:rPr>
          <w:rFonts w:cs="Times New Roman"/>
          <w:szCs w:val="24"/>
        </w:rPr>
        <w:t>) nepieciešams</w:t>
      </w:r>
      <w:r w:rsidRPr="00A07F29">
        <w:rPr>
          <w:rFonts w:cs="Times New Roman"/>
          <w:szCs w:val="24"/>
        </w:rPr>
        <w:t xml:space="preserve"> ierīkot laivu nolaišanas vietu</w:t>
      </w:r>
      <w:r w:rsidR="00D56C16" w:rsidRPr="00A07F29">
        <w:rPr>
          <w:rFonts w:cs="Times New Roman"/>
          <w:szCs w:val="24"/>
        </w:rPr>
        <w:t xml:space="preserve"> (</w:t>
      </w:r>
      <w:proofErr w:type="spellStart"/>
      <w:r w:rsidR="00BB7BB5" w:rsidRPr="00A07F29">
        <w:rPr>
          <w:rFonts w:cs="Times New Roman"/>
          <w:szCs w:val="24"/>
        </w:rPr>
        <w:t>slipu</w:t>
      </w:r>
      <w:proofErr w:type="spellEnd"/>
      <w:r w:rsidR="00BB7BB5" w:rsidRPr="00A07F29">
        <w:rPr>
          <w:rFonts w:cs="Times New Roman"/>
          <w:szCs w:val="24"/>
        </w:rPr>
        <w:t xml:space="preserve"> </w:t>
      </w:r>
      <w:r w:rsidR="00D56C16" w:rsidRPr="00A07F29">
        <w:rPr>
          <w:rFonts w:cs="Times New Roman"/>
          <w:szCs w:val="24"/>
        </w:rPr>
        <w:t xml:space="preserve">līdzīgi, kā pie </w:t>
      </w:r>
      <w:proofErr w:type="spellStart"/>
      <w:r w:rsidR="00D56C16" w:rsidRPr="00A07F29">
        <w:rPr>
          <w:rFonts w:cs="Times New Roman"/>
          <w:szCs w:val="24"/>
        </w:rPr>
        <w:t>Slutišķiem</w:t>
      </w:r>
      <w:proofErr w:type="spellEnd"/>
      <w:r w:rsidR="00D56C16" w:rsidRPr="00A07F29">
        <w:rPr>
          <w:rFonts w:cs="Times New Roman"/>
          <w:szCs w:val="24"/>
        </w:rPr>
        <w:t>). Nepieciešams ierīkot un apsaimniekot labiekārtotu atpūtas vietu ar ugunskura vietu, nojumi ar galdu un soliem, atkritumu tvertni, sauso tualeti, vietu automašīnu novietošanai;</w:t>
      </w:r>
    </w:p>
    <w:p w14:paraId="423E041D" w14:textId="12949814" w:rsidR="00D56C16" w:rsidRPr="00A07F29" w:rsidRDefault="00D56C16" w:rsidP="00F87589">
      <w:pPr>
        <w:pStyle w:val="ListParagraph"/>
        <w:numPr>
          <w:ilvl w:val="0"/>
          <w:numId w:val="52"/>
        </w:numPr>
        <w:spacing w:line="240" w:lineRule="auto"/>
        <w:ind w:left="1276" w:hanging="425"/>
        <w:contextualSpacing w:val="0"/>
        <w:rPr>
          <w:rFonts w:cs="Times New Roman"/>
          <w:szCs w:val="24"/>
        </w:rPr>
      </w:pPr>
      <w:r w:rsidRPr="00A07F29">
        <w:rPr>
          <w:rFonts w:cs="Times New Roman"/>
          <w:szCs w:val="24"/>
        </w:rPr>
        <w:t xml:space="preserve">nepieciešams </w:t>
      </w:r>
      <w:r w:rsidR="00FE741D" w:rsidRPr="00A07F29">
        <w:rPr>
          <w:rFonts w:cs="Times New Roman"/>
          <w:szCs w:val="24"/>
        </w:rPr>
        <w:t>ierīkot</w:t>
      </w:r>
      <w:r w:rsidRPr="00A07F29">
        <w:rPr>
          <w:rFonts w:cs="Times New Roman"/>
          <w:szCs w:val="24"/>
        </w:rPr>
        <w:t xml:space="preserve"> laivu piestātni un nolaišanas vietu Krāslavā Daugavas labajā krastā (pašvaldības īpašumā esoša zeme ar kadastra numuru 60010023001</w:t>
      </w:r>
      <w:r w:rsidR="00387463">
        <w:rPr>
          <w:rFonts w:cs="Times New Roman"/>
          <w:szCs w:val="24"/>
        </w:rPr>
        <w:t>)</w:t>
      </w:r>
      <w:r w:rsidRPr="00A07F29">
        <w:rPr>
          <w:rFonts w:cs="Times New Roman"/>
          <w:szCs w:val="24"/>
        </w:rPr>
        <w:t>, kur jau šobrīd Zvejnieku ielas gal</w:t>
      </w:r>
      <w:r w:rsidR="00C72F66">
        <w:rPr>
          <w:rFonts w:cs="Times New Roman"/>
          <w:szCs w:val="24"/>
        </w:rPr>
        <w:t>ā</w:t>
      </w:r>
      <w:r w:rsidRPr="00A07F29">
        <w:rPr>
          <w:rFonts w:cs="Times New Roman"/>
          <w:szCs w:val="24"/>
        </w:rPr>
        <w:t xml:space="preserve"> (bijušās pārceltuves vietā) ir izveidota piebrauktuve, ko izmanto laivu ielaišanai un izvilkšanai; nepieciešams labiekārtot </w:t>
      </w:r>
      <w:r w:rsidR="00C25185" w:rsidRPr="00A07F29">
        <w:rPr>
          <w:rFonts w:cs="Times New Roman"/>
          <w:szCs w:val="24"/>
        </w:rPr>
        <w:t xml:space="preserve">arī </w:t>
      </w:r>
      <w:r w:rsidRPr="00A07F29">
        <w:rPr>
          <w:rFonts w:cs="Times New Roman"/>
          <w:szCs w:val="24"/>
        </w:rPr>
        <w:t>vietu automašīnu novietošanai</w:t>
      </w:r>
      <w:r w:rsidR="00BB7BB5" w:rsidRPr="00A07F29">
        <w:rPr>
          <w:rFonts w:cs="Times New Roman"/>
          <w:szCs w:val="24"/>
        </w:rPr>
        <w:t xml:space="preserve"> (</w:t>
      </w:r>
      <w:r w:rsidR="00C72F66">
        <w:rPr>
          <w:rFonts w:cs="Times New Roman"/>
          <w:szCs w:val="24"/>
        </w:rPr>
        <w:t xml:space="preserve">skat. </w:t>
      </w:r>
      <w:r w:rsidR="00BB7BB5" w:rsidRPr="00A07F29">
        <w:rPr>
          <w:rFonts w:cs="Times New Roman"/>
          <w:szCs w:val="24"/>
        </w:rPr>
        <w:t>5.3.3</w:t>
      </w:r>
      <w:r w:rsidR="00EF0FD4">
        <w:rPr>
          <w:rFonts w:cs="Times New Roman"/>
          <w:szCs w:val="24"/>
        </w:rPr>
        <w:t>7</w:t>
      </w:r>
      <w:r w:rsidR="00BB7BB5" w:rsidRPr="00A07F29">
        <w:rPr>
          <w:rFonts w:cs="Times New Roman"/>
          <w:szCs w:val="24"/>
        </w:rPr>
        <w:t>.</w:t>
      </w:r>
      <w:r w:rsidR="00C72F66">
        <w:rPr>
          <w:rFonts w:cs="Times New Roman"/>
          <w:szCs w:val="24"/>
        </w:rPr>
        <w:t> </w:t>
      </w:r>
      <w:r w:rsidR="00BB7BB5" w:rsidRPr="00A07F29">
        <w:rPr>
          <w:rFonts w:cs="Times New Roman"/>
          <w:szCs w:val="24"/>
        </w:rPr>
        <w:t>att</w:t>
      </w:r>
      <w:r w:rsidR="00C72F66">
        <w:rPr>
          <w:rFonts w:cs="Times New Roman"/>
          <w:szCs w:val="24"/>
        </w:rPr>
        <w:t>ēls</w:t>
      </w:r>
      <w:r w:rsidR="00BB7BB5" w:rsidRPr="00A07F29">
        <w:rPr>
          <w:rFonts w:cs="Times New Roman"/>
          <w:szCs w:val="24"/>
        </w:rPr>
        <w:t>)</w:t>
      </w:r>
      <w:r w:rsidRPr="00A07F29">
        <w:rPr>
          <w:rFonts w:cs="Times New Roman"/>
          <w:szCs w:val="24"/>
        </w:rPr>
        <w:t>;</w:t>
      </w:r>
    </w:p>
    <w:p w14:paraId="6030A7DF" w14:textId="5E92929E" w:rsidR="00D56C16" w:rsidRPr="00A07F29" w:rsidRDefault="00D56C16" w:rsidP="00F45B4A">
      <w:pPr>
        <w:pStyle w:val="ListParagraph"/>
        <w:numPr>
          <w:ilvl w:val="0"/>
          <w:numId w:val="52"/>
        </w:numPr>
        <w:spacing w:line="240" w:lineRule="auto"/>
        <w:ind w:left="1276" w:hanging="425"/>
        <w:contextualSpacing w:val="0"/>
        <w:rPr>
          <w:rFonts w:cs="Times New Roman"/>
          <w:szCs w:val="24"/>
        </w:rPr>
      </w:pPr>
      <w:r w:rsidRPr="00A07F29">
        <w:rPr>
          <w:rFonts w:cs="Times New Roman"/>
          <w:szCs w:val="24"/>
        </w:rPr>
        <w:t xml:space="preserve">nepieciešams </w:t>
      </w:r>
      <w:r w:rsidR="00E65876" w:rsidRPr="00A07F29">
        <w:rPr>
          <w:rFonts w:cs="Times New Roman"/>
          <w:szCs w:val="24"/>
        </w:rPr>
        <w:t xml:space="preserve">izveidot un </w:t>
      </w:r>
      <w:r w:rsidRPr="00A07F29">
        <w:rPr>
          <w:rFonts w:cs="Times New Roman"/>
          <w:szCs w:val="24"/>
        </w:rPr>
        <w:t xml:space="preserve">uzturēt </w:t>
      </w:r>
      <w:proofErr w:type="spellStart"/>
      <w:r w:rsidR="00FE741D" w:rsidRPr="00A07F29">
        <w:rPr>
          <w:rFonts w:cs="Times New Roman"/>
          <w:szCs w:val="24"/>
        </w:rPr>
        <w:t>ūdenstūristu</w:t>
      </w:r>
      <w:proofErr w:type="spellEnd"/>
      <w:r w:rsidRPr="00A07F29">
        <w:rPr>
          <w:rFonts w:cs="Times New Roman"/>
          <w:szCs w:val="24"/>
        </w:rPr>
        <w:t xml:space="preserve"> piestāšanas un atpūtas vietu </w:t>
      </w:r>
      <w:proofErr w:type="spellStart"/>
      <w:r w:rsidRPr="00A07F29">
        <w:rPr>
          <w:rFonts w:cs="Times New Roman"/>
          <w:szCs w:val="24"/>
        </w:rPr>
        <w:t>Rudņas</w:t>
      </w:r>
      <w:proofErr w:type="spellEnd"/>
      <w:r w:rsidRPr="00A07F29">
        <w:rPr>
          <w:rFonts w:cs="Times New Roman"/>
          <w:szCs w:val="24"/>
        </w:rPr>
        <w:t xml:space="preserve"> lokā; upes krastā ieteicams novietot informatīvu norādi </w:t>
      </w:r>
      <w:proofErr w:type="spellStart"/>
      <w:r w:rsidRPr="00A07F29">
        <w:rPr>
          <w:rFonts w:cs="Times New Roman"/>
          <w:szCs w:val="24"/>
        </w:rPr>
        <w:t>ūdenstūristiem</w:t>
      </w:r>
      <w:proofErr w:type="spellEnd"/>
      <w:r w:rsidRPr="00A07F29">
        <w:rPr>
          <w:rFonts w:cs="Times New Roman"/>
          <w:szCs w:val="24"/>
        </w:rPr>
        <w:t>; nepieciešams ierīkot un apsaimniekot labiekārtotu atpūtas vietu ar ugunskura vietu, nojumi ar galdu un soliem, atkritumu tvertni, sauso tualeti, vietu automašīnu novietošanai</w:t>
      </w:r>
      <w:r w:rsidR="00F45B4A" w:rsidRPr="00A07F29">
        <w:rPr>
          <w:rFonts w:cs="Times New Roman"/>
          <w:szCs w:val="24"/>
        </w:rPr>
        <w:t>, kā arī telšu vietu nakšņošanai</w:t>
      </w:r>
      <w:r w:rsidRPr="00A07F29">
        <w:rPr>
          <w:rFonts w:cs="Times New Roman"/>
          <w:szCs w:val="24"/>
        </w:rPr>
        <w:t>;</w:t>
      </w:r>
    </w:p>
    <w:p w14:paraId="45A4FFF6" w14:textId="77777777" w:rsidR="00D56C16" w:rsidRPr="00A07F29" w:rsidRDefault="00D56C16" w:rsidP="00F87589">
      <w:pPr>
        <w:pStyle w:val="ListParagraph"/>
        <w:numPr>
          <w:ilvl w:val="0"/>
          <w:numId w:val="52"/>
        </w:numPr>
        <w:spacing w:line="240" w:lineRule="auto"/>
        <w:ind w:left="1276" w:hanging="425"/>
        <w:contextualSpacing w:val="0"/>
        <w:rPr>
          <w:rFonts w:cs="Times New Roman"/>
          <w:szCs w:val="24"/>
        </w:rPr>
      </w:pPr>
      <w:r w:rsidRPr="00A07F29">
        <w:rPr>
          <w:rFonts w:cs="Times New Roman"/>
          <w:szCs w:val="24"/>
        </w:rPr>
        <w:lastRenderedPageBreak/>
        <w:t>nepieciešams uzturēt laivu piestātni pie Dinaburgas pilsdrupām un Vecpils pilskalna;</w:t>
      </w:r>
    </w:p>
    <w:p w14:paraId="65FC540F" w14:textId="5B1308E8" w:rsidR="00D56C16" w:rsidRPr="00A07F29" w:rsidRDefault="00D56C16" w:rsidP="00F87589">
      <w:pPr>
        <w:pStyle w:val="ListParagraph"/>
        <w:numPr>
          <w:ilvl w:val="0"/>
          <w:numId w:val="52"/>
        </w:numPr>
        <w:spacing w:line="240" w:lineRule="auto"/>
        <w:ind w:left="1276" w:hanging="425"/>
        <w:contextualSpacing w:val="0"/>
        <w:rPr>
          <w:rFonts w:cs="Times New Roman"/>
          <w:szCs w:val="24"/>
        </w:rPr>
      </w:pPr>
      <w:r w:rsidRPr="00A07F29">
        <w:rPr>
          <w:rFonts w:cs="Times New Roman"/>
          <w:szCs w:val="24"/>
        </w:rPr>
        <w:t>ieteicams atpūtas parka “</w:t>
      </w:r>
      <w:proofErr w:type="spellStart"/>
      <w:r w:rsidRPr="00A07F29">
        <w:rPr>
          <w:rFonts w:cs="Times New Roman"/>
          <w:szCs w:val="24"/>
        </w:rPr>
        <w:t>Stalkers</w:t>
      </w:r>
      <w:proofErr w:type="spellEnd"/>
      <w:r w:rsidRPr="00A07F29">
        <w:rPr>
          <w:rFonts w:cs="Times New Roman"/>
          <w:szCs w:val="24"/>
        </w:rPr>
        <w:t xml:space="preserve">” īpašniekam atļaut </w:t>
      </w:r>
      <w:proofErr w:type="spellStart"/>
      <w:r w:rsidRPr="00A07F29">
        <w:rPr>
          <w:rFonts w:cs="Times New Roman"/>
          <w:szCs w:val="24"/>
        </w:rPr>
        <w:t>ūdenstūristiem</w:t>
      </w:r>
      <w:proofErr w:type="spellEnd"/>
      <w:r w:rsidRPr="00A07F29">
        <w:rPr>
          <w:rFonts w:cs="Times New Roman"/>
          <w:szCs w:val="24"/>
        </w:rPr>
        <w:t xml:space="preserve"> piestāt Daugavas krastā par maksu, tādējādi nodrošinot iespēju </w:t>
      </w:r>
      <w:proofErr w:type="spellStart"/>
      <w:r w:rsidRPr="00A07F29">
        <w:rPr>
          <w:rFonts w:cs="Times New Roman"/>
          <w:szCs w:val="24"/>
        </w:rPr>
        <w:t>laivotājiem</w:t>
      </w:r>
      <w:proofErr w:type="spellEnd"/>
      <w:r w:rsidRPr="00A07F29">
        <w:rPr>
          <w:rFonts w:cs="Times New Roman"/>
          <w:szCs w:val="24"/>
        </w:rPr>
        <w:t xml:space="preserve"> apmeklēt parku un izmantot tā piedāvātās atpūtas iespējas (patlaban Daugavas krastā izvietotas aizlieguma zīmes </w:t>
      </w:r>
      <w:proofErr w:type="spellStart"/>
      <w:r w:rsidRPr="00A07F29">
        <w:rPr>
          <w:rFonts w:cs="Times New Roman"/>
          <w:szCs w:val="24"/>
        </w:rPr>
        <w:t>ūdenstūristiem</w:t>
      </w:r>
      <w:proofErr w:type="spellEnd"/>
      <w:r w:rsidRPr="00A07F29">
        <w:rPr>
          <w:rFonts w:cs="Times New Roman"/>
          <w:szCs w:val="24"/>
        </w:rPr>
        <w:t>, ka nedrīkst piestāt ar laivām un plostiem, jo privāta teritorija)</w:t>
      </w:r>
      <w:r w:rsidR="00954ECB">
        <w:rPr>
          <w:rFonts w:cs="Times New Roman"/>
          <w:szCs w:val="24"/>
        </w:rPr>
        <w:t>;</w:t>
      </w:r>
    </w:p>
    <w:p w14:paraId="32C13F2B" w14:textId="1D83802B" w:rsidR="00B16C43" w:rsidRPr="00A07F29" w:rsidRDefault="00FA0757" w:rsidP="00F87589">
      <w:pPr>
        <w:pStyle w:val="ListParagraph"/>
        <w:numPr>
          <w:ilvl w:val="0"/>
          <w:numId w:val="52"/>
        </w:numPr>
        <w:spacing w:line="240" w:lineRule="auto"/>
        <w:ind w:left="1276" w:hanging="425"/>
        <w:contextualSpacing w:val="0"/>
        <w:rPr>
          <w:rFonts w:cs="Times New Roman"/>
          <w:szCs w:val="24"/>
        </w:rPr>
      </w:pPr>
      <w:r w:rsidRPr="00A07F29">
        <w:rPr>
          <w:rFonts w:cs="Times New Roman"/>
          <w:szCs w:val="24"/>
        </w:rPr>
        <w:t xml:space="preserve">ieteicams </w:t>
      </w:r>
      <w:r w:rsidR="00D56C16" w:rsidRPr="00A07F29">
        <w:rPr>
          <w:rFonts w:cs="Times New Roman"/>
          <w:szCs w:val="24"/>
        </w:rPr>
        <w:t xml:space="preserve">izveidot un uzturēt nelielu laivu piestātni Daugavas kreisajā krastā pie </w:t>
      </w:r>
      <w:proofErr w:type="spellStart"/>
      <w:r w:rsidR="00D56C16" w:rsidRPr="00A07F29">
        <w:rPr>
          <w:rFonts w:cs="Times New Roman"/>
          <w:szCs w:val="24"/>
        </w:rPr>
        <w:t>Sīķeles</w:t>
      </w:r>
      <w:proofErr w:type="spellEnd"/>
      <w:r w:rsidR="00D56C16" w:rsidRPr="00A07F29">
        <w:rPr>
          <w:rFonts w:cs="Times New Roman"/>
          <w:szCs w:val="24"/>
        </w:rPr>
        <w:t xml:space="preserve"> luterāņu baznīcas, lai </w:t>
      </w:r>
      <w:proofErr w:type="spellStart"/>
      <w:r w:rsidR="00D56C16" w:rsidRPr="00A07F29">
        <w:rPr>
          <w:rFonts w:cs="Times New Roman"/>
          <w:szCs w:val="24"/>
        </w:rPr>
        <w:t>ūdenstūristi</w:t>
      </w:r>
      <w:proofErr w:type="spellEnd"/>
      <w:r w:rsidR="00D56C16" w:rsidRPr="00A07F29">
        <w:rPr>
          <w:rFonts w:cs="Times New Roman"/>
          <w:szCs w:val="24"/>
        </w:rPr>
        <w:t xml:space="preserve"> var nokļūt līdz baznīcai (</w:t>
      </w:r>
      <w:proofErr w:type="spellStart"/>
      <w:r w:rsidR="00D56C16" w:rsidRPr="00A07F29">
        <w:rPr>
          <w:rFonts w:cs="Times New Roman"/>
          <w:szCs w:val="24"/>
        </w:rPr>
        <w:t>apsekojuma</w:t>
      </w:r>
      <w:proofErr w:type="spellEnd"/>
      <w:r w:rsidR="00D56C16" w:rsidRPr="00A07F29">
        <w:rPr>
          <w:rFonts w:cs="Times New Roman"/>
          <w:szCs w:val="24"/>
        </w:rPr>
        <w:t xml:space="preserve"> laikā krastā tika novērotas iemītas taciņas līdz upei);</w:t>
      </w:r>
    </w:p>
    <w:p w14:paraId="10A126F0" w14:textId="20944C58" w:rsidR="000F586B" w:rsidRPr="00A07F29" w:rsidRDefault="000F586B" w:rsidP="000F586B">
      <w:pPr>
        <w:pStyle w:val="ListParagraph"/>
        <w:numPr>
          <w:ilvl w:val="0"/>
          <w:numId w:val="52"/>
        </w:numPr>
        <w:spacing w:line="240" w:lineRule="auto"/>
        <w:ind w:left="1276" w:hanging="425"/>
        <w:contextualSpacing w:val="0"/>
        <w:rPr>
          <w:rFonts w:cs="Times New Roman"/>
          <w:szCs w:val="24"/>
        </w:rPr>
      </w:pPr>
      <w:r w:rsidRPr="00A07F29">
        <w:rPr>
          <w:rFonts w:cs="Times New Roman"/>
          <w:szCs w:val="24"/>
        </w:rPr>
        <w:t xml:space="preserve">pie kempinga “Adamova” plānots ierīkot laivu piestātni zemes vienībā ar kadastra apzīmējumu 60960102200, </w:t>
      </w:r>
      <w:r w:rsidR="003907D4" w:rsidRPr="00A07F29">
        <w:rPr>
          <w:rFonts w:cs="Times New Roman"/>
          <w:szCs w:val="24"/>
        </w:rPr>
        <w:t xml:space="preserve">plānots iekārtot arī ugunskura vietas – atpūtas vietas pie </w:t>
      </w:r>
      <w:r w:rsidRPr="00A07F29">
        <w:rPr>
          <w:rFonts w:cs="Times New Roman"/>
          <w:szCs w:val="24"/>
        </w:rPr>
        <w:t>laivu piestātnes, kā arī zemes vienībā ar kadastra apzīmējumu 60960100084 Daugavas krastā.</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6"/>
        <w:gridCol w:w="1082"/>
        <w:gridCol w:w="2538"/>
      </w:tblGrid>
      <w:tr w:rsidR="000F586B" w:rsidRPr="00A07F29" w14:paraId="496A4ED6" w14:textId="77777777" w:rsidTr="000F586B">
        <w:trPr>
          <w:jc w:val="center"/>
        </w:trPr>
        <w:tc>
          <w:tcPr>
            <w:tcW w:w="5406" w:type="dxa"/>
          </w:tcPr>
          <w:p w14:paraId="553DD262" w14:textId="77777777" w:rsidR="000F586B" w:rsidRPr="00A07F29" w:rsidRDefault="000F586B" w:rsidP="006D56EB">
            <w:pPr>
              <w:spacing w:after="160" w:line="256" w:lineRule="auto"/>
              <w:contextualSpacing/>
              <w:jc w:val="both"/>
              <w:rPr>
                <w:rFonts w:ascii="Times New Roman" w:eastAsia="Calibri" w:hAnsi="Times New Roman" w:cs="Times New Roman"/>
                <w:sz w:val="24"/>
                <w:szCs w:val="24"/>
              </w:rPr>
            </w:pPr>
            <w:r w:rsidRPr="00A07F29">
              <w:rPr>
                <w:noProof/>
                <w:lang w:eastAsia="lv-LV"/>
              </w:rPr>
              <w:drawing>
                <wp:inline distT="0" distB="0" distL="0" distR="0" wp14:anchorId="0E5F3D9D" wp14:editId="06BCAA81">
                  <wp:extent cx="3286125" cy="2466975"/>
                  <wp:effectExtent l="0" t="0" r="9525" b="9525"/>
                  <wp:docPr id="17037180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133">
                            <a:extLst>
                              <a:ext uri="{28A0092B-C50C-407E-A947-70E740481C1C}">
                                <a14:useLocalDpi xmlns:a14="http://schemas.microsoft.com/office/drawing/2010/main"/>
                              </a:ext>
                            </a:extLst>
                          </a:blip>
                          <a:stretch>
                            <a:fillRect/>
                          </a:stretch>
                        </pic:blipFill>
                        <pic:spPr>
                          <a:xfrm>
                            <a:off x="0" y="0"/>
                            <a:ext cx="3286125" cy="2466975"/>
                          </a:xfrm>
                          <a:prstGeom prst="rect">
                            <a:avLst/>
                          </a:prstGeom>
                        </pic:spPr>
                      </pic:pic>
                    </a:graphicData>
                  </a:graphic>
                </wp:inline>
              </w:drawing>
            </w:r>
          </w:p>
        </w:tc>
        <w:tc>
          <w:tcPr>
            <w:tcW w:w="1082" w:type="dxa"/>
          </w:tcPr>
          <w:p w14:paraId="6932BC1F" w14:textId="77777777" w:rsidR="000F586B" w:rsidRPr="00A07F29" w:rsidRDefault="000F586B" w:rsidP="00CE5F81">
            <w:pPr>
              <w:jc w:val="both"/>
              <w:rPr>
                <w:rFonts w:ascii="Times New Roman" w:eastAsia="Calibri" w:hAnsi="Times New Roman" w:cs="Times New Roman"/>
              </w:rPr>
            </w:pPr>
          </w:p>
        </w:tc>
        <w:tc>
          <w:tcPr>
            <w:tcW w:w="2538" w:type="dxa"/>
            <w:vAlign w:val="bottom"/>
          </w:tcPr>
          <w:p w14:paraId="3FBCCF52" w14:textId="69B21424" w:rsidR="000F586B" w:rsidRPr="00921B86" w:rsidRDefault="000F586B" w:rsidP="00FE741D">
            <w:pPr>
              <w:jc w:val="both"/>
              <w:rPr>
                <w:rFonts w:ascii="Times New Roman" w:eastAsia="Calibri" w:hAnsi="Times New Roman" w:cs="Times New Roman"/>
                <w:sz w:val="20"/>
                <w:szCs w:val="20"/>
              </w:rPr>
            </w:pPr>
            <w:r w:rsidRPr="00921B86">
              <w:rPr>
                <w:rFonts w:ascii="Times New Roman" w:eastAsia="Calibri" w:hAnsi="Times New Roman" w:cs="Times New Roman"/>
                <w:sz w:val="20"/>
                <w:szCs w:val="20"/>
              </w:rPr>
              <w:t>5.3.3</w:t>
            </w:r>
            <w:r w:rsidR="00F92D58" w:rsidRPr="00921B86">
              <w:rPr>
                <w:rFonts w:ascii="Times New Roman" w:eastAsia="Calibri" w:hAnsi="Times New Roman" w:cs="Times New Roman"/>
                <w:sz w:val="20"/>
                <w:szCs w:val="20"/>
              </w:rPr>
              <w:t>6</w:t>
            </w:r>
            <w:r w:rsidRPr="00921B86">
              <w:rPr>
                <w:rFonts w:ascii="Times New Roman" w:eastAsia="Calibri" w:hAnsi="Times New Roman" w:cs="Times New Roman"/>
                <w:sz w:val="20"/>
                <w:szCs w:val="20"/>
              </w:rPr>
              <w:t>.</w:t>
            </w:r>
            <w:r w:rsidR="00F92D58" w:rsidRPr="00921B86">
              <w:rPr>
                <w:rFonts w:ascii="Times New Roman" w:eastAsia="Calibri" w:hAnsi="Times New Roman" w:cs="Times New Roman"/>
                <w:sz w:val="20"/>
                <w:szCs w:val="20"/>
              </w:rPr>
              <w:t> </w:t>
            </w:r>
            <w:r w:rsidRPr="00921B86">
              <w:rPr>
                <w:rFonts w:ascii="Times New Roman" w:eastAsia="Calibri" w:hAnsi="Times New Roman" w:cs="Times New Roman"/>
                <w:sz w:val="20"/>
                <w:szCs w:val="20"/>
              </w:rPr>
              <w:t>att</w:t>
            </w:r>
            <w:r w:rsidR="00F92D58" w:rsidRPr="00921B86">
              <w:rPr>
                <w:rFonts w:ascii="Times New Roman" w:eastAsia="Calibri" w:hAnsi="Times New Roman" w:cs="Times New Roman"/>
                <w:sz w:val="20"/>
                <w:szCs w:val="20"/>
              </w:rPr>
              <w:t>ēls</w:t>
            </w:r>
            <w:r w:rsidRPr="00921B86">
              <w:rPr>
                <w:rFonts w:ascii="Times New Roman" w:eastAsia="Calibri" w:hAnsi="Times New Roman" w:cs="Times New Roman"/>
                <w:sz w:val="20"/>
                <w:szCs w:val="20"/>
              </w:rPr>
              <w:t xml:space="preserve">. </w:t>
            </w:r>
            <w:proofErr w:type="spellStart"/>
            <w:r w:rsidR="00FE741D" w:rsidRPr="00921B86">
              <w:rPr>
                <w:rFonts w:ascii="Times New Roman" w:eastAsia="Calibri" w:hAnsi="Times New Roman" w:cs="Times New Roman"/>
                <w:sz w:val="20"/>
                <w:szCs w:val="20"/>
              </w:rPr>
              <w:t>Ūdenstūristu</w:t>
            </w:r>
            <w:proofErr w:type="spellEnd"/>
            <w:r w:rsidRPr="00921B86">
              <w:rPr>
                <w:rFonts w:ascii="Times New Roman" w:eastAsia="Calibri" w:hAnsi="Times New Roman" w:cs="Times New Roman"/>
                <w:sz w:val="20"/>
                <w:szCs w:val="20"/>
              </w:rPr>
              <w:t xml:space="preserve"> piestāšanas vieta Daugavā netālu no </w:t>
            </w:r>
            <w:proofErr w:type="spellStart"/>
            <w:r w:rsidRPr="00921B86">
              <w:rPr>
                <w:rFonts w:ascii="Times New Roman" w:eastAsia="Calibri" w:hAnsi="Times New Roman" w:cs="Times New Roman"/>
                <w:sz w:val="20"/>
                <w:szCs w:val="20"/>
              </w:rPr>
              <w:t>Vasargelišķu</w:t>
            </w:r>
            <w:proofErr w:type="spellEnd"/>
            <w:r w:rsidRPr="00921B86">
              <w:rPr>
                <w:rFonts w:ascii="Times New Roman" w:eastAsia="Calibri" w:hAnsi="Times New Roman" w:cs="Times New Roman"/>
                <w:sz w:val="20"/>
                <w:szCs w:val="20"/>
              </w:rPr>
              <w:t xml:space="preserve"> skatu torņa (foto: K.</w:t>
            </w:r>
            <w:r w:rsidR="00921B86" w:rsidRPr="00921B86">
              <w:rPr>
                <w:rFonts w:ascii="Times New Roman" w:eastAsia="Calibri" w:hAnsi="Times New Roman" w:cs="Times New Roman"/>
                <w:sz w:val="20"/>
                <w:szCs w:val="20"/>
              </w:rPr>
              <w:t> </w:t>
            </w:r>
            <w:r w:rsidRPr="00921B86">
              <w:rPr>
                <w:rFonts w:ascii="Times New Roman" w:eastAsia="Calibri" w:hAnsi="Times New Roman" w:cs="Times New Roman"/>
                <w:sz w:val="20"/>
                <w:szCs w:val="20"/>
              </w:rPr>
              <w:t>Seržante).</w:t>
            </w:r>
          </w:p>
        </w:tc>
      </w:tr>
      <w:tr w:rsidR="000F586B" w:rsidRPr="00A07F29" w14:paraId="37EE701A" w14:textId="77777777" w:rsidTr="000F586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06" w:type="dxa"/>
            <w:tcBorders>
              <w:top w:val="nil"/>
              <w:left w:val="nil"/>
              <w:bottom w:val="nil"/>
              <w:right w:val="nil"/>
            </w:tcBorders>
          </w:tcPr>
          <w:p w14:paraId="0B99558D" w14:textId="77777777" w:rsidR="000F586B" w:rsidRPr="00A07F29" w:rsidRDefault="000F586B" w:rsidP="00337111">
            <w:pPr>
              <w:spacing w:after="160" w:line="256" w:lineRule="auto"/>
              <w:contextualSpacing/>
              <w:jc w:val="center"/>
              <w:rPr>
                <w:rFonts w:ascii="Times New Roman" w:eastAsia="Calibri" w:hAnsi="Times New Roman" w:cs="Times New Roman"/>
                <w:sz w:val="24"/>
                <w:szCs w:val="24"/>
              </w:rPr>
            </w:pPr>
            <w:r w:rsidRPr="00A07F29">
              <w:rPr>
                <w:noProof/>
                <w:lang w:eastAsia="lv-LV"/>
              </w:rPr>
              <w:drawing>
                <wp:inline distT="0" distB="0" distL="0" distR="0" wp14:anchorId="514F7128" wp14:editId="13E10F1C">
                  <wp:extent cx="2293749" cy="2921599"/>
                  <wp:effectExtent l="0" t="0" r="0" b="0"/>
                  <wp:docPr id="17037179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134">
                            <a:extLst>
                              <a:ext uri="{28A0092B-C50C-407E-A947-70E740481C1C}">
                                <a14:useLocalDpi xmlns:a14="http://schemas.microsoft.com/office/drawing/2010/main"/>
                              </a:ext>
                            </a:extLst>
                          </a:blip>
                          <a:srcRect l="29977" t="-2" r="15663" b="-157"/>
                          <a:stretch>
                            <a:fillRect/>
                          </a:stretch>
                        </pic:blipFill>
                        <pic:spPr>
                          <a:xfrm>
                            <a:off x="0" y="0"/>
                            <a:ext cx="2293749" cy="2921599"/>
                          </a:xfrm>
                          <a:prstGeom prst="rect">
                            <a:avLst/>
                          </a:prstGeom>
                        </pic:spPr>
                      </pic:pic>
                    </a:graphicData>
                  </a:graphic>
                </wp:inline>
              </w:drawing>
            </w:r>
          </w:p>
        </w:tc>
        <w:tc>
          <w:tcPr>
            <w:tcW w:w="1082" w:type="dxa"/>
            <w:tcBorders>
              <w:top w:val="nil"/>
              <w:left w:val="nil"/>
              <w:bottom w:val="nil"/>
              <w:right w:val="nil"/>
            </w:tcBorders>
          </w:tcPr>
          <w:p w14:paraId="5D7118E3" w14:textId="77777777" w:rsidR="000F586B" w:rsidRPr="00A07F29" w:rsidRDefault="000F586B" w:rsidP="00BB7BB5">
            <w:pPr>
              <w:contextualSpacing/>
              <w:jc w:val="both"/>
              <w:rPr>
                <w:rFonts w:ascii="Times New Roman" w:eastAsia="Calibri" w:hAnsi="Times New Roman" w:cs="Times New Roman"/>
              </w:rPr>
            </w:pPr>
          </w:p>
        </w:tc>
        <w:tc>
          <w:tcPr>
            <w:tcW w:w="2538" w:type="dxa"/>
            <w:tcBorders>
              <w:top w:val="nil"/>
              <w:left w:val="nil"/>
              <w:bottom w:val="nil"/>
              <w:right w:val="nil"/>
            </w:tcBorders>
            <w:vAlign w:val="bottom"/>
          </w:tcPr>
          <w:p w14:paraId="1473C237" w14:textId="73FEE90B" w:rsidR="000F586B" w:rsidRPr="00AB3087" w:rsidRDefault="000F586B" w:rsidP="00FE741D">
            <w:pPr>
              <w:contextualSpacing/>
              <w:jc w:val="both"/>
              <w:rPr>
                <w:rFonts w:ascii="Times New Roman" w:eastAsia="Calibri" w:hAnsi="Times New Roman" w:cs="Times New Roman"/>
                <w:sz w:val="20"/>
                <w:szCs w:val="20"/>
              </w:rPr>
            </w:pPr>
            <w:r w:rsidRPr="00AB3087">
              <w:rPr>
                <w:rFonts w:ascii="Times New Roman" w:eastAsia="Calibri" w:hAnsi="Times New Roman" w:cs="Times New Roman"/>
                <w:sz w:val="20"/>
                <w:szCs w:val="20"/>
              </w:rPr>
              <w:t>5.3.3</w:t>
            </w:r>
            <w:r w:rsidR="00921B86" w:rsidRPr="00AB3087">
              <w:rPr>
                <w:rFonts w:ascii="Times New Roman" w:eastAsia="Calibri" w:hAnsi="Times New Roman" w:cs="Times New Roman"/>
                <w:sz w:val="20"/>
                <w:szCs w:val="20"/>
              </w:rPr>
              <w:t>7</w:t>
            </w:r>
            <w:r w:rsidRPr="00AB3087">
              <w:rPr>
                <w:rFonts w:ascii="Times New Roman" w:eastAsia="Calibri" w:hAnsi="Times New Roman" w:cs="Times New Roman"/>
                <w:sz w:val="20"/>
                <w:szCs w:val="20"/>
              </w:rPr>
              <w:t>.</w:t>
            </w:r>
            <w:r w:rsidR="00921B86" w:rsidRPr="00AB3087">
              <w:rPr>
                <w:rFonts w:ascii="Times New Roman" w:eastAsia="Calibri" w:hAnsi="Times New Roman" w:cs="Times New Roman"/>
                <w:sz w:val="20"/>
                <w:szCs w:val="20"/>
              </w:rPr>
              <w:t> </w:t>
            </w:r>
            <w:r w:rsidRPr="00AB3087">
              <w:rPr>
                <w:rFonts w:ascii="Times New Roman" w:eastAsia="Calibri" w:hAnsi="Times New Roman" w:cs="Times New Roman"/>
                <w:sz w:val="20"/>
                <w:szCs w:val="20"/>
              </w:rPr>
              <w:t>att</w:t>
            </w:r>
            <w:r w:rsidR="00921B86" w:rsidRPr="00AB3087">
              <w:rPr>
                <w:rFonts w:ascii="Times New Roman" w:eastAsia="Calibri" w:hAnsi="Times New Roman" w:cs="Times New Roman"/>
                <w:sz w:val="20"/>
                <w:szCs w:val="20"/>
              </w:rPr>
              <w:t>ēls</w:t>
            </w:r>
            <w:r w:rsidRPr="00AB3087">
              <w:rPr>
                <w:rFonts w:ascii="Times New Roman" w:eastAsia="Calibri" w:hAnsi="Times New Roman" w:cs="Times New Roman"/>
                <w:sz w:val="20"/>
                <w:szCs w:val="20"/>
              </w:rPr>
              <w:t>. Potenciālā zeme ar kadastra nr.</w:t>
            </w:r>
            <w:r w:rsidR="00AB3087" w:rsidRPr="00AB3087">
              <w:rPr>
                <w:rFonts w:ascii="Times New Roman" w:eastAsia="Calibri" w:hAnsi="Times New Roman" w:cs="Times New Roman"/>
                <w:sz w:val="20"/>
                <w:szCs w:val="20"/>
              </w:rPr>
              <w:t> </w:t>
            </w:r>
            <w:r w:rsidRPr="00AB3087">
              <w:rPr>
                <w:rFonts w:ascii="Times New Roman" w:eastAsia="Calibri" w:hAnsi="Times New Roman" w:cs="Times New Roman"/>
                <w:sz w:val="20"/>
                <w:szCs w:val="20"/>
              </w:rPr>
              <w:t>60010023001 labiekārtotas stāvvietas, laivu piestātnes un nolaiša</w:t>
            </w:r>
            <w:r w:rsidR="001F070E" w:rsidRPr="00AB3087">
              <w:rPr>
                <w:rFonts w:ascii="Times New Roman" w:eastAsia="Calibri" w:hAnsi="Times New Roman" w:cs="Times New Roman"/>
                <w:sz w:val="20"/>
                <w:szCs w:val="20"/>
              </w:rPr>
              <w:t>nas vietas izveidei (</w:t>
            </w:r>
            <w:r w:rsidR="001F070E" w:rsidRPr="003744C3">
              <w:rPr>
                <w:rFonts w:ascii="Times New Roman" w:eastAsia="Calibri" w:hAnsi="Times New Roman" w:cs="Times New Roman"/>
                <w:sz w:val="20"/>
                <w:szCs w:val="20"/>
              </w:rPr>
              <w:t>DDPS</w:t>
            </w:r>
            <w:r w:rsidR="003744C3">
              <w:rPr>
                <w:rFonts w:ascii="Times New Roman" w:eastAsia="Calibri" w:hAnsi="Times New Roman" w:cs="Times New Roman"/>
                <w:sz w:val="20"/>
                <w:szCs w:val="20"/>
              </w:rPr>
              <w:t xml:space="preserve"> “OZOLS”</w:t>
            </w:r>
            <w:r w:rsidR="001F070E" w:rsidRPr="00AB3087">
              <w:rPr>
                <w:rFonts w:ascii="Times New Roman" w:eastAsia="Calibri" w:hAnsi="Times New Roman" w:cs="Times New Roman"/>
                <w:sz w:val="20"/>
                <w:szCs w:val="20"/>
              </w:rPr>
              <w:t>, 2019).</w:t>
            </w:r>
          </w:p>
        </w:tc>
      </w:tr>
    </w:tbl>
    <w:p w14:paraId="22D07D0F" w14:textId="77777777" w:rsidR="00707426" w:rsidRPr="00A07F29" w:rsidRDefault="00707426" w:rsidP="00D56C16">
      <w:pPr>
        <w:spacing w:after="120" w:line="240" w:lineRule="auto"/>
        <w:jc w:val="both"/>
        <w:rPr>
          <w:rFonts w:ascii="Times New Roman" w:hAnsi="Times New Roman" w:cs="Times New Roman"/>
          <w:sz w:val="24"/>
          <w:szCs w:val="24"/>
        </w:rPr>
      </w:pPr>
    </w:p>
    <w:p w14:paraId="41D1B602" w14:textId="44A4108E" w:rsidR="00D56C16" w:rsidRPr="00A07F29" w:rsidRDefault="00D56C16" w:rsidP="00E63404">
      <w:pPr>
        <w:keepNext/>
        <w:spacing w:after="120" w:line="240" w:lineRule="auto"/>
        <w:jc w:val="both"/>
        <w:rPr>
          <w:rFonts w:ascii="Times New Roman" w:hAnsi="Times New Roman" w:cs="Times New Roman"/>
          <w:b/>
          <w:i/>
          <w:sz w:val="24"/>
          <w:szCs w:val="24"/>
        </w:rPr>
      </w:pPr>
      <w:r w:rsidRPr="00A07F29">
        <w:rPr>
          <w:rFonts w:ascii="Times New Roman" w:hAnsi="Times New Roman" w:cs="Times New Roman"/>
          <w:b/>
          <w:i/>
          <w:sz w:val="24"/>
          <w:szCs w:val="24"/>
        </w:rPr>
        <w:lastRenderedPageBreak/>
        <w:t xml:space="preserve">D.4.2. </w:t>
      </w:r>
      <w:proofErr w:type="spellStart"/>
      <w:r w:rsidRPr="00A07F29">
        <w:rPr>
          <w:rFonts w:ascii="Times New Roman" w:hAnsi="Times New Roman" w:cs="Times New Roman"/>
          <w:b/>
          <w:i/>
          <w:sz w:val="24"/>
          <w:szCs w:val="24"/>
        </w:rPr>
        <w:t>Ūdenstūristu</w:t>
      </w:r>
      <w:proofErr w:type="spellEnd"/>
      <w:r w:rsidRPr="00A07F29">
        <w:rPr>
          <w:rFonts w:ascii="Times New Roman" w:hAnsi="Times New Roman" w:cs="Times New Roman"/>
          <w:b/>
          <w:i/>
          <w:sz w:val="24"/>
          <w:szCs w:val="24"/>
        </w:rPr>
        <w:t xml:space="preserve"> apmetņu ierīkošana un apsaimniekošana</w:t>
      </w:r>
    </w:p>
    <w:p w14:paraId="25404AB6" w14:textId="0D4BB1E9" w:rsidR="00D56C16" w:rsidRPr="00A07F29" w:rsidRDefault="00D56C16" w:rsidP="00D56C16">
      <w:pPr>
        <w:spacing w:after="12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t xml:space="preserve">Daugavas krastos nepieciešams pēc vienota stila veidot un regulāri apsaimniekot jaunas </w:t>
      </w:r>
      <w:r w:rsidR="00F71B15" w:rsidRPr="00A07F29">
        <w:rPr>
          <w:rFonts w:ascii="Times New Roman" w:hAnsi="Times New Roman" w:cs="Times New Roman"/>
          <w:sz w:val="24"/>
          <w:szCs w:val="24"/>
        </w:rPr>
        <w:t xml:space="preserve">dažādā pakāpē </w:t>
      </w:r>
      <w:r w:rsidRPr="00A07F29">
        <w:rPr>
          <w:rFonts w:ascii="Times New Roman" w:hAnsi="Times New Roman" w:cs="Times New Roman"/>
          <w:sz w:val="24"/>
          <w:szCs w:val="24"/>
        </w:rPr>
        <w:t xml:space="preserve">labiekārtotas </w:t>
      </w:r>
      <w:proofErr w:type="spellStart"/>
      <w:r w:rsidRPr="00A07F29">
        <w:rPr>
          <w:rFonts w:ascii="Times New Roman" w:hAnsi="Times New Roman" w:cs="Times New Roman"/>
          <w:sz w:val="24"/>
          <w:szCs w:val="24"/>
        </w:rPr>
        <w:t>ūdenstūristu</w:t>
      </w:r>
      <w:proofErr w:type="spellEnd"/>
      <w:r w:rsidRPr="00A07F29">
        <w:rPr>
          <w:rFonts w:ascii="Times New Roman" w:hAnsi="Times New Roman" w:cs="Times New Roman"/>
          <w:sz w:val="24"/>
          <w:szCs w:val="24"/>
        </w:rPr>
        <w:t xml:space="preserve"> </w:t>
      </w:r>
      <w:r w:rsidR="00A5268E" w:rsidRPr="00A07F29">
        <w:rPr>
          <w:rFonts w:ascii="Times New Roman" w:hAnsi="Times New Roman" w:cs="Times New Roman"/>
          <w:sz w:val="24"/>
          <w:szCs w:val="24"/>
        </w:rPr>
        <w:t>atpū</w:t>
      </w:r>
      <w:r w:rsidR="00C33C3B" w:rsidRPr="00A07F29">
        <w:rPr>
          <w:rFonts w:ascii="Times New Roman" w:hAnsi="Times New Roman" w:cs="Times New Roman"/>
          <w:sz w:val="24"/>
          <w:szCs w:val="24"/>
        </w:rPr>
        <w:t xml:space="preserve">tas un </w:t>
      </w:r>
      <w:r w:rsidRPr="00A07F29">
        <w:rPr>
          <w:rFonts w:ascii="Times New Roman" w:hAnsi="Times New Roman" w:cs="Times New Roman"/>
          <w:sz w:val="24"/>
          <w:szCs w:val="24"/>
        </w:rPr>
        <w:t xml:space="preserve">apmetņu vietas vai kempingus ar vietu automašīnu novietošanai, laivu piestātni un </w:t>
      </w:r>
      <w:r w:rsidR="008F3964" w:rsidRPr="00A07F29">
        <w:rPr>
          <w:rFonts w:ascii="Times New Roman" w:hAnsi="Times New Roman" w:cs="Times New Roman"/>
          <w:sz w:val="24"/>
          <w:szCs w:val="24"/>
        </w:rPr>
        <w:t xml:space="preserve">laivu </w:t>
      </w:r>
      <w:r w:rsidRPr="00A07F29">
        <w:rPr>
          <w:rFonts w:ascii="Times New Roman" w:hAnsi="Times New Roman" w:cs="Times New Roman"/>
          <w:sz w:val="24"/>
          <w:szCs w:val="24"/>
        </w:rPr>
        <w:t>nolaišanas vietu.</w:t>
      </w:r>
      <w:r w:rsidR="005B4D08" w:rsidRPr="00A07F29">
        <w:rPr>
          <w:rFonts w:ascii="Times New Roman" w:hAnsi="Times New Roman" w:cs="Times New Roman"/>
          <w:sz w:val="24"/>
          <w:szCs w:val="24"/>
        </w:rPr>
        <w:t xml:space="preserve"> </w:t>
      </w:r>
      <w:proofErr w:type="spellStart"/>
      <w:r w:rsidR="00886071" w:rsidRPr="00A07F29">
        <w:rPr>
          <w:rFonts w:ascii="Times New Roman" w:hAnsi="Times New Roman" w:cs="Times New Roman"/>
          <w:sz w:val="24"/>
          <w:szCs w:val="24"/>
        </w:rPr>
        <w:t>Ūdenstūristu</w:t>
      </w:r>
      <w:proofErr w:type="spellEnd"/>
      <w:r w:rsidR="00886071" w:rsidRPr="00A07F29">
        <w:rPr>
          <w:rFonts w:ascii="Times New Roman" w:hAnsi="Times New Roman" w:cs="Times New Roman"/>
          <w:sz w:val="24"/>
          <w:szCs w:val="24"/>
        </w:rPr>
        <w:t xml:space="preserve"> apmetnes ieteica</w:t>
      </w:r>
      <w:r w:rsidR="00C33C3B" w:rsidRPr="00A07F29">
        <w:rPr>
          <w:rFonts w:ascii="Times New Roman" w:hAnsi="Times New Roman" w:cs="Times New Roman"/>
          <w:sz w:val="24"/>
          <w:szCs w:val="24"/>
        </w:rPr>
        <w:t>m</w:t>
      </w:r>
      <w:r w:rsidR="00886071" w:rsidRPr="00A07F29">
        <w:rPr>
          <w:rFonts w:ascii="Times New Roman" w:hAnsi="Times New Roman" w:cs="Times New Roman"/>
          <w:sz w:val="24"/>
          <w:szCs w:val="24"/>
        </w:rPr>
        <w:t>s ierīkot ik pēc 10</w:t>
      </w:r>
      <w:r w:rsidR="006A1938">
        <w:rPr>
          <w:rFonts w:ascii="Times New Roman" w:hAnsi="Times New Roman" w:cs="Times New Roman"/>
          <w:sz w:val="24"/>
          <w:szCs w:val="24"/>
        </w:rPr>
        <w:t> – </w:t>
      </w:r>
      <w:r w:rsidR="00886071" w:rsidRPr="00A07F29">
        <w:rPr>
          <w:rFonts w:ascii="Times New Roman" w:hAnsi="Times New Roman" w:cs="Times New Roman"/>
          <w:sz w:val="24"/>
          <w:szCs w:val="24"/>
        </w:rPr>
        <w:t>15</w:t>
      </w:r>
      <w:r w:rsidR="006A1938">
        <w:rPr>
          <w:rFonts w:ascii="Times New Roman" w:hAnsi="Times New Roman" w:cs="Times New Roman"/>
          <w:sz w:val="24"/>
          <w:szCs w:val="24"/>
        </w:rPr>
        <w:t> </w:t>
      </w:r>
      <w:r w:rsidR="00886071" w:rsidRPr="00A07F29">
        <w:rPr>
          <w:rFonts w:ascii="Times New Roman" w:hAnsi="Times New Roman" w:cs="Times New Roman"/>
          <w:sz w:val="24"/>
          <w:szCs w:val="24"/>
        </w:rPr>
        <w:t xml:space="preserve">km. </w:t>
      </w:r>
      <w:r w:rsidR="003907D4" w:rsidRPr="00A07F29">
        <w:rPr>
          <w:rFonts w:ascii="Times New Roman" w:hAnsi="Times New Roman" w:cs="Times New Roman"/>
          <w:sz w:val="24"/>
          <w:szCs w:val="24"/>
        </w:rPr>
        <w:t xml:space="preserve">Ierīkojot </w:t>
      </w:r>
      <w:proofErr w:type="spellStart"/>
      <w:r w:rsidR="003907D4" w:rsidRPr="00A07F29">
        <w:rPr>
          <w:rFonts w:ascii="Times New Roman" w:hAnsi="Times New Roman" w:cs="Times New Roman"/>
          <w:sz w:val="24"/>
          <w:szCs w:val="24"/>
        </w:rPr>
        <w:t>ūdenstūristu</w:t>
      </w:r>
      <w:proofErr w:type="spellEnd"/>
      <w:r w:rsidR="003907D4" w:rsidRPr="00A07F29">
        <w:rPr>
          <w:rFonts w:ascii="Times New Roman" w:hAnsi="Times New Roman" w:cs="Times New Roman"/>
          <w:sz w:val="24"/>
          <w:szCs w:val="24"/>
        </w:rPr>
        <w:t xml:space="preserve"> apmetnes, jāņem vērā applūšanas risks un labiekārtotas teritorijas ar pastāvīgu infrastruktūru ierīkojamas ārpus palu un plūdu zonas.</w:t>
      </w:r>
    </w:p>
    <w:p w14:paraId="1D8533B6" w14:textId="397F467A" w:rsidR="005B4D08" w:rsidRPr="00A07F29" w:rsidRDefault="00FA7285" w:rsidP="00D56C16">
      <w:pPr>
        <w:spacing w:after="12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t xml:space="preserve">Atbilstoši konkrētās vietas apstākļiem, pieprasījumam un iespējām, </w:t>
      </w:r>
      <w:r w:rsidR="004E7B32" w:rsidRPr="00A07F29">
        <w:rPr>
          <w:rFonts w:ascii="Times New Roman" w:hAnsi="Times New Roman" w:cs="Times New Roman"/>
          <w:sz w:val="24"/>
          <w:szCs w:val="24"/>
        </w:rPr>
        <w:t xml:space="preserve">atpūtas vietas un </w:t>
      </w:r>
      <w:r w:rsidRPr="00A07F29">
        <w:rPr>
          <w:rFonts w:ascii="Times New Roman" w:hAnsi="Times New Roman" w:cs="Times New Roman"/>
          <w:sz w:val="24"/>
          <w:szCs w:val="24"/>
        </w:rPr>
        <w:t>a</w:t>
      </w:r>
      <w:r w:rsidR="00D56C16" w:rsidRPr="00A07F29">
        <w:rPr>
          <w:rFonts w:ascii="Times New Roman" w:hAnsi="Times New Roman" w:cs="Times New Roman"/>
          <w:sz w:val="24"/>
          <w:szCs w:val="24"/>
        </w:rPr>
        <w:t xml:space="preserve">pmetņu vietas </w:t>
      </w:r>
      <w:r w:rsidRPr="00A07F29">
        <w:rPr>
          <w:rFonts w:ascii="Times New Roman" w:hAnsi="Times New Roman" w:cs="Times New Roman"/>
          <w:sz w:val="24"/>
          <w:szCs w:val="24"/>
        </w:rPr>
        <w:t xml:space="preserve">var būt dažādā pakāpē labiekārtotas </w:t>
      </w:r>
      <w:r w:rsidR="00D56C16" w:rsidRPr="00A07F29">
        <w:rPr>
          <w:rFonts w:ascii="Times New Roman" w:hAnsi="Times New Roman" w:cs="Times New Roman"/>
          <w:sz w:val="24"/>
          <w:szCs w:val="24"/>
        </w:rPr>
        <w:t>ar atbilstošiem infrastruktūras elementiem –</w:t>
      </w:r>
      <w:r w:rsidR="005B4D08" w:rsidRPr="00A07F29">
        <w:rPr>
          <w:rFonts w:ascii="Times New Roman" w:hAnsi="Times New Roman" w:cs="Times New Roman"/>
          <w:sz w:val="24"/>
          <w:szCs w:val="24"/>
        </w:rPr>
        <w:t xml:space="preserve"> </w:t>
      </w:r>
      <w:r w:rsidR="00D56C16" w:rsidRPr="00A07F29">
        <w:rPr>
          <w:rFonts w:ascii="Times New Roman" w:hAnsi="Times New Roman" w:cs="Times New Roman"/>
          <w:sz w:val="24"/>
          <w:szCs w:val="24"/>
        </w:rPr>
        <w:t>galdu</w:t>
      </w:r>
      <w:r w:rsidR="005B4D08" w:rsidRPr="00A07F29">
        <w:rPr>
          <w:rFonts w:ascii="Times New Roman" w:hAnsi="Times New Roman" w:cs="Times New Roman"/>
          <w:sz w:val="24"/>
          <w:szCs w:val="24"/>
        </w:rPr>
        <w:t xml:space="preserve">, </w:t>
      </w:r>
      <w:r w:rsidR="00D56C16" w:rsidRPr="00A07F29">
        <w:rPr>
          <w:rFonts w:ascii="Times New Roman" w:hAnsi="Times New Roman" w:cs="Times New Roman"/>
          <w:sz w:val="24"/>
          <w:szCs w:val="24"/>
        </w:rPr>
        <w:t>soliem, tualeti, atkritumu tvertnēm, ierīkotu ugunskura vietu ar soliem</w:t>
      </w:r>
      <w:r w:rsidR="008D1E5F" w:rsidRPr="00A07F29">
        <w:rPr>
          <w:rFonts w:ascii="Times New Roman" w:hAnsi="Times New Roman" w:cs="Times New Roman"/>
          <w:sz w:val="24"/>
          <w:szCs w:val="24"/>
        </w:rPr>
        <w:t xml:space="preserve">, </w:t>
      </w:r>
      <w:r w:rsidR="005B4D08" w:rsidRPr="00A07F29">
        <w:rPr>
          <w:rFonts w:ascii="Times New Roman" w:hAnsi="Times New Roman" w:cs="Times New Roman"/>
          <w:sz w:val="24"/>
          <w:szCs w:val="24"/>
        </w:rPr>
        <w:t xml:space="preserve">nojumi, </w:t>
      </w:r>
      <w:r w:rsidR="008D1E5F" w:rsidRPr="00A07F29">
        <w:rPr>
          <w:rFonts w:ascii="Times New Roman" w:hAnsi="Times New Roman" w:cs="Times New Roman"/>
          <w:sz w:val="24"/>
          <w:szCs w:val="24"/>
        </w:rPr>
        <w:t>pieejamu telšu vietu</w:t>
      </w:r>
      <w:r w:rsidR="005B4D08" w:rsidRPr="00A07F29">
        <w:rPr>
          <w:rFonts w:ascii="Times New Roman" w:hAnsi="Times New Roman" w:cs="Times New Roman"/>
          <w:sz w:val="24"/>
          <w:szCs w:val="24"/>
        </w:rPr>
        <w:t>, laivu piestātni, laivu nolaišanas vietu u</w:t>
      </w:r>
      <w:r w:rsidR="003744C3">
        <w:rPr>
          <w:rFonts w:ascii="Times New Roman" w:hAnsi="Times New Roman" w:cs="Times New Roman"/>
          <w:sz w:val="24"/>
          <w:szCs w:val="24"/>
        </w:rPr>
        <w:t>.</w:t>
      </w:r>
      <w:r w:rsidR="005B4D08" w:rsidRPr="00A07F29">
        <w:rPr>
          <w:rFonts w:ascii="Times New Roman" w:hAnsi="Times New Roman" w:cs="Times New Roman"/>
          <w:sz w:val="24"/>
          <w:szCs w:val="24"/>
        </w:rPr>
        <w:t xml:space="preserve">tml. </w:t>
      </w:r>
      <w:r w:rsidRPr="00A07F29">
        <w:rPr>
          <w:rFonts w:ascii="Times New Roman" w:hAnsi="Times New Roman" w:cs="Times New Roman"/>
          <w:sz w:val="24"/>
          <w:szCs w:val="24"/>
        </w:rPr>
        <w:t>Piemērotās vietās tās iespējams attīstīt k</w:t>
      </w:r>
      <w:r w:rsidR="008D1E5F" w:rsidRPr="00A07F29">
        <w:rPr>
          <w:rFonts w:ascii="Times New Roman" w:hAnsi="Times New Roman" w:cs="Times New Roman"/>
          <w:sz w:val="24"/>
          <w:szCs w:val="24"/>
        </w:rPr>
        <w:t xml:space="preserve">ā kempingus ar dažāda komforta nakšņošanas iespējām, ūdensapgādi, elektrības </w:t>
      </w:r>
      <w:proofErr w:type="spellStart"/>
      <w:r w:rsidR="008D1E5F" w:rsidRPr="00A07F29">
        <w:rPr>
          <w:rFonts w:ascii="Times New Roman" w:hAnsi="Times New Roman" w:cs="Times New Roman"/>
          <w:sz w:val="24"/>
          <w:szCs w:val="24"/>
        </w:rPr>
        <w:t>pieslēgumu</w:t>
      </w:r>
      <w:proofErr w:type="spellEnd"/>
      <w:r w:rsidR="008D1E5F" w:rsidRPr="00A07F29">
        <w:rPr>
          <w:rFonts w:ascii="Times New Roman" w:hAnsi="Times New Roman" w:cs="Times New Roman"/>
          <w:sz w:val="24"/>
          <w:szCs w:val="24"/>
        </w:rPr>
        <w:t xml:space="preserve"> u</w:t>
      </w:r>
      <w:r w:rsidR="003744C3">
        <w:rPr>
          <w:rFonts w:ascii="Times New Roman" w:hAnsi="Times New Roman" w:cs="Times New Roman"/>
          <w:sz w:val="24"/>
          <w:szCs w:val="24"/>
        </w:rPr>
        <w:t>.</w:t>
      </w:r>
      <w:r w:rsidR="008D1E5F" w:rsidRPr="00A07F29">
        <w:rPr>
          <w:rFonts w:ascii="Times New Roman" w:hAnsi="Times New Roman" w:cs="Times New Roman"/>
          <w:sz w:val="24"/>
          <w:szCs w:val="24"/>
        </w:rPr>
        <w:t>tml.</w:t>
      </w:r>
      <w:r w:rsidR="00021630" w:rsidRPr="00A07F29">
        <w:rPr>
          <w:rFonts w:ascii="Times New Roman" w:hAnsi="Times New Roman" w:cs="Times New Roman"/>
          <w:sz w:val="24"/>
          <w:szCs w:val="24"/>
        </w:rPr>
        <w:t xml:space="preserve"> </w:t>
      </w:r>
    </w:p>
    <w:p w14:paraId="77879C55" w14:textId="16B449F0" w:rsidR="00D56C16" w:rsidRPr="00A07F29" w:rsidRDefault="00021630" w:rsidP="00D56C16">
      <w:pPr>
        <w:spacing w:after="12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t xml:space="preserve">Izvēloties vietu un attīstot </w:t>
      </w:r>
      <w:proofErr w:type="spellStart"/>
      <w:r w:rsidRPr="00A07F29">
        <w:rPr>
          <w:rFonts w:ascii="Times New Roman" w:hAnsi="Times New Roman" w:cs="Times New Roman"/>
          <w:sz w:val="24"/>
          <w:szCs w:val="24"/>
        </w:rPr>
        <w:t>ūdenstūristu</w:t>
      </w:r>
      <w:proofErr w:type="spellEnd"/>
      <w:r w:rsidRPr="00A07F29">
        <w:rPr>
          <w:rFonts w:ascii="Times New Roman" w:hAnsi="Times New Roman" w:cs="Times New Roman"/>
          <w:sz w:val="24"/>
          <w:szCs w:val="24"/>
        </w:rPr>
        <w:t xml:space="preserve"> apmetnes un kempingus</w:t>
      </w:r>
      <w:r w:rsidR="005B25B0" w:rsidRPr="00A07F29">
        <w:rPr>
          <w:rFonts w:ascii="Times New Roman" w:hAnsi="Times New Roman" w:cs="Times New Roman"/>
          <w:sz w:val="24"/>
          <w:szCs w:val="24"/>
        </w:rPr>
        <w:t>,</w:t>
      </w:r>
      <w:r w:rsidRPr="00A07F29">
        <w:rPr>
          <w:rFonts w:ascii="Times New Roman" w:hAnsi="Times New Roman" w:cs="Times New Roman"/>
          <w:sz w:val="24"/>
          <w:szCs w:val="24"/>
        </w:rPr>
        <w:t xml:space="preserve"> jāizvairās no aizsargājamo sugu atradņu un aizsargājamo biotopu iznīcināšanas, kā arī jāizvēlas ainavai piemēroti infrastruktūras risinājumi.</w:t>
      </w:r>
    </w:p>
    <w:p w14:paraId="77CE072C" w14:textId="32AD8FF3" w:rsidR="00B25653" w:rsidRPr="00A07F29" w:rsidRDefault="00B25653" w:rsidP="00D56C16">
      <w:pPr>
        <w:spacing w:after="12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t>Nepieciešamas ceļa norādes, kā arī informācija internetā, lai šīs atpūtas vietas būtu pieejamas arī tūristiem, kas nedodas izbraucienos ar laivām, bet vēlas atpūsties un pārnakšņot Daugavas krastā.</w:t>
      </w:r>
    </w:p>
    <w:p w14:paraId="28855993" w14:textId="77777777" w:rsidR="00D56C16" w:rsidRPr="00A07F29" w:rsidRDefault="00D56C16" w:rsidP="00D56C16">
      <w:pPr>
        <w:spacing w:after="12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t xml:space="preserve">Kā potenciālās vietas </w:t>
      </w:r>
      <w:proofErr w:type="spellStart"/>
      <w:r w:rsidRPr="00A07F29">
        <w:rPr>
          <w:rFonts w:ascii="Times New Roman" w:hAnsi="Times New Roman" w:cs="Times New Roman"/>
          <w:sz w:val="24"/>
          <w:szCs w:val="24"/>
        </w:rPr>
        <w:t>ūdenstūristu</w:t>
      </w:r>
      <w:proofErr w:type="spellEnd"/>
      <w:r w:rsidRPr="00A07F29">
        <w:rPr>
          <w:rFonts w:ascii="Times New Roman" w:hAnsi="Times New Roman" w:cs="Times New Roman"/>
          <w:sz w:val="24"/>
          <w:szCs w:val="24"/>
        </w:rPr>
        <w:t xml:space="preserve"> apmetņu ierīkošanai Daugavas labajā krastā ir ieteicamas:</w:t>
      </w:r>
    </w:p>
    <w:p w14:paraId="1ECA1713" w14:textId="36D0F849" w:rsidR="00D56C16" w:rsidRPr="00A07F29" w:rsidRDefault="00D56C16" w:rsidP="00F87589">
      <w:pPr>
        <w:pStyle w:val="ListParagraph"/>
        <w:numPr>
          <w:ilvl w:val="0"/>
          <w:numId w:val="53"/>
        </w:numPr>
        <w:spacing w:line="240" w:lineRule="auto"/>
        <w:rPr>
          <w:rFonts w:cs="Times New Roman"/>
          <w:szCs w:val="24"/>
        </w:rPr>
      </w:pPr>
      <w:r w:rsidRPr="00A07F29">
        <w:rPr>
          <w:rFonts w:cs="Times New Roman"/>
          <w:szCs w:val="24"/>
        </w:rPr>
        <w:t xml:space="preserve">pie </w:t>
      </w:r>
      <w:proofErr w:type="spellStart"/>
      <w:r w:rsidRPr="00A07F29">
        <w:rPr>
          <w:rFonts w:cs="Times New Roman"/>
          <w:szCs w:val="24"/>
        </w:rPr>
        <w:t>Rudāniem</w:t>
      </w:r>
      <w:proofErr w:type="spellEnd"/>
      <w:r w:rsidRPr="00A07F29">
        <w:rPr>
          <w:rFonts w:cs="Times New Roman"/>
          <w:szCs w:val="24"/>
        </w:rPr>
        <w:t xml:space="preserve"> (privātā zeme ar kadastra numuriem 44740080129 un 44740080184 (skat. </w:t>
      </w:r>
      <w:r w:rsidR="000C1CB5" w:rsidRPr="00A07F29">
        <w:rPr>
          <w:rFonts w:cs="Times New Roman"/>
          <w:szCs w:val="24"/>
        </w:rPr>
        <w:t>5.3.3</w:t>
      </w:r>
      <w:r w:rsidR="00567CC9">
        <w:rPr>
          <w:rFonts w:cs="Times New Roman"/>
          <w:szCs w:val="24"/>
        </w:rPr>
        <w:t>8</w:t>
      </w:r>
      <w:r w:rsidR="000C1CB5" w:rsidRPr="00A07F29">
        <w:rPr>
          <w:rFonts w:cs="Times New Roman"/>
          <w:szCs w:val="24"/>
        </w:rPr>
        <w:t>.</w:t>
      </w:r>
      <w:r w:rsidRPr="00A07F29">
        <w:rPr>
          <w:rFonts w:cs="Times New Roman"/>
          <w:szCs w:val="24"/>
        </w:rPr>
        <w:t>a</w:t>
      </w:r>
      <w:r w:rsidR="00567CC9">
        <w:rPr>
          <w:rFonts w:cs="Times New Roman"/>
          <w:szCs w:val="24"/>
        </w:rPr>
        <w:t> </w:t>
      </w:r>
      <w:r w:rsidRPr="00A07F29">
        <w:rPr>
          <w:rFonts w:cs="Times New Roman"/>
          <w:szCs w:val="24"/>
        </w:rPr>
        <w:t>att</w:t>
      </w:r>
      <w:r w:rsidR="00C05C5F">
        <w:rPr>
          <w:rFonts w:cs="Times New Roman"/>
          <w:szCs w:val="24"/>
        </w:rPr>
        <w:t>ēls</w:t>
      </w:r>
      <w:r w:rsidRPr="00A07F29">
        <w:rPr>
          <w:rFonts w:cs="Times New Roman"/>
          <w:szCs w:val="24"/>
        </w:rPr>
        <w:t xml:space="preserve"> un </w:t>
      </w:r>
      <w:r w:rsidR="000C1CB5" w:rsidRPr="00A07F29">
        <w:rPr>
          <w:rFonts w:cs="Times New Roman"/>
          <w:szCs w:val="24"/>
        </w:rPr>
        <w:t>5.3.3</w:t>
      </w:r>
      <w:r w:rsidR="00567CC9">
        <w:rPr>
          <w:rFonts w:cs="Times New Roman"/>
          <w:szCs w:val="24"/>
        </w:rPr>
        <w:t>8</w:t>
      </w:r>
      <w:r w:rsidR="000C1CB5" w:rsidRPr="00A07F29">
        <w:rPr>
          <w:rFonts w:cs="Times New Roman"/>
          <w:szCs w:val="24"/>
        </w:rPr>
        <w:t>.</w:t>
      </w:r>
      <w:r w:rsidRPr="00A07F29">
        <w:rPr>
          <w:rFonts w:cs="Times New Roman"/>
          <w:szCs w:val="24"/>
        </w:rPr>
        <w:t>b.</w:t>
      </w:r>
      <w:r w:rsidR="00C05C5F">
        <w:rPr>
          <w:rFonts w:cs="Times New Roman"/>
          <w:szCs w:val="24"/>
        </w:rPr>
        <w:t> </w:t>
      </w:r>
      <w:r w:rsidRPr="00A07F29">
        <w:rPr>
          <w:rFonts w:cs="Times New Roman"/>
          <w:szCs w:val="24"/>
        </w:rPr>
        <w:t>att</w:t>
      </w:r>
      <w:r w:rsidR="00C05C5F">
        <w:rPr>
          <w:rFonts w:cs="Times New Roman"/>
          <w:szCs w:val="24"/>
        </w:rPr>
        <w:t>ēls</w:t>
      </w:r>
      <w:r w:rsidRPr="00A07F29">
        <w:rPr>
          <w:rFonts w:cs="Times New Roman"/>
          <w:szCs w:val="24"/>
        </w:rPr>
        <w:t xml:space="preserve">), </w:t>
      </w:r>
    </w:p>
    <w:p w14:paraId="49E3EFFF" w14:textId="77777777" w:rsidR="00D56C16" w:rsidRPr="00A07F29" w:rsidRDefault="00D56C16" w:rsidP="00F87589">
      <w:pPr>
        <w:pStyle w:val="ListParagraph"/>
        <w:numPr>
          <w:ilvl w:val="0"/>
          <w:numId w:val="53"/>
        </w:numPr>
        <w:spacing w:line="240" w:lineRule="auto"/>
        <w:rPr>
          <w:rFonts w:cs="Times New Roman"/>
          <w:szCs w:val="24"/>
        </w:rPr>
      </w:pPr>
      <w:r w:rsidRPr="00A07F29">
        <w:rPr>
          <w:rFonts w:cs="Times New Roman"/>
          <w:szCs w:val="24"/>
        </w:rPr>
        <w:t xml:space="preserve">pie </w:t>
      </w:r>
      <w:proofErr w:type="spellStart"/>
      <w:r w:rsidRPr="00A07F29">
        <w:rPr>
          <w:rFonts w:cs="Times New Roman"/>
          <w:szCs w:val="24"/>
        </w:rPr>
        <w:t>Vecračinas</w:t>
      </w:r>
      <w:proofErr w:type="spellEnd"/>
      <w:r w:rsidRPr="00A07F29">
        <w:rPr>
          <w:rFonts w:cs="Times New Roman"/>
          <w:szCs w:val="24"/>
        </w:rPr>
        <w:t xml:space="preserve"> pilskalna, </w:t>
      </w:r>
    </w:p>
    <w:p w14:paraId="00C5067B" w14:textId="5150535C" w:rsidR="00B25653" w:rsidRPr="00A07F29" w:rsidRDefault="00D56C16" w:rsidP="00B25653">
      <w:pPr>
        <w:pStyle w:val="ListParagraph"/>
        <w:numPr>
          <w:ilvl w:val="0"/>
          <w:numId w:val="54"/>
        </w:numPr>
        <w:spacing w:line="240" w:lineRule="auto"/>
        <w:rPr>
          <w:rFonts w:cs="Times New Roman"/>
          <w:szCs w:val="24"/>
        </w:rPr>
      </w:pPr>
      <w:r w:rsidRPr="00A07F29">
        <w:rPr>
          <w:rFonts w:cs="Times New Roman"/>
          <w:szCs w:val="24"/>
        </w:rPr>
        <w:t xml:space="preserve">pie Kaplavas Ūdrīšu pagastā (privātā zeme ar kadastra numuru 60960090166 (skat. </w:t>
      </w:r>
      <w:r w:rsidR="000C1CB5" w:rsidRPr="00A07F29">
        <w:rPr>
          <w:rFonts w:cs="Times New Roman"/>
          <w:szCs w:val="24"/>
        </w:rPr>
        <w:t>5.3.3</w:t>
      </w:r>
      <w:r w:rsidR="005A7BAA">
        <w:rPr>
          <w:rFonts w:cs="Times New Roman"/>
          <w:szCs w:val="24"/>
        </w:rPr>
        <w:t>9</w:t>
      </w:r>
      <w:r w:rsidRPr="00A07F29">
        <w:rPr>
          <w:rFonts w:cs="Times New Roman"/>
          <w:szCs w:val="24"/>
        </w:rPr>
        <w:t>.</w:t>
      </w:r>
      <w:r w:rsidR="00D21094">
        <w:rPr>
          <w:rFonts w:cs="Times New Roman"/>
          <w:szCs w:val="24"/>
        </w:rPr>
        <w:t> </w:t>
      </w:r>
      <w:r w:rsidRPr="00A07F29">
        <w:rPr>
          <w:rFonts w:cs="Times New Roman"/>
          <w:szCs w:val="24"/>
        </w:rPr>
        <w:t>att</w:t>
      </w:r>
      <w:r w:rsidR="00D21094">
        <w:rPr>
          <w:rFonts w:cs="Times New Roman"/>
          <w:szCs w:val="24"/>
        </w:rPr>
        <w:t>ēls</w:t>
      </w:r>
      <w:r w:rsidRPr="00A07F29">
        <w:rPr>
          <w:rFonts w:cs="Times New Roman"/>
          <w:szCs w:val="24"/>
        </w:rPr>
        <w:t xml:space="preserve">), </w:t>
      </w:r>
    </w:p>
    <w:p w14:paraId="1434F45A" w14:textId="7B1BC920" w:rsidR="00B25653" w:rsidRPr="00A07F29" w:rsidRDefault="00B25653" w:rsidP="00B25653">
      <w:pPr>
        <w:pStyle w:val="ListParagraph"/>
        <w:numPr>
          <w:ilvl w:val="0"/>
          <w:numId w:val="54"/>
        </w:numPr>
        <w:spacing w:line="240" w:lineRule="auto"/>
        <w:rPr>
          <w:rFonts w:cs="Times New Roman"/>
          <w:szCs w:val="24"/>
        </w:rPr>
      </w:pPr>
      <w:r w:rsidRPr="00A07F29">
        <w:rPr>
          <w:rFonts w:cs="Times New Roman"/>
          <w:szCs w:val="24"/>
        </w:rPr>
        <w:t>Krāslavas novadā pie Krīviņiem (zeme ar kadastra numuru 60780040018 (</w:t>
      </w:r>
      <w:r w:rsidR="009219F4">
        <w:rPr>
          <w:rFonts w:cs="Times New Roman"/>
          <w:szCs w:val="24"/>
        </w:rPr>
        <w:t xml:space="preserve">skat. </w:t>
      </w:r>
      <w:r w:rsidRPr="00A07F29">
        <w:rPr>
          <w:rFonts w:cs="Times New Roman"/>
          <w:szCs w:val="24"/>
        </w:rPr>
        <w:t>5.3.</w:t>
      </w:r>
      <w:r w:rsidR="009A3C08">
        <w:rPr>
          <w:rFonts w:cs="Times New Roman"/>
          <w:szCs w:val="24"/>
        </w:rPr>
        <w:t>41</w:t>
      </w:r>
      <w:r w:rsidRPr="00A07F29">
        <w:rPr>
          <w:rFonts w:cs="Times New Roman"/>
          <w:szCs w:val="24"/>
        </w:rPr>
        <w:t>.</w:t>
      </w:r>
      <w:r w:rsidR="009A3C08">
        <w:rPr>
          <w:rFonts w:cs="Times New Roman"/>
          <w:szCs w:val="24"/>
        </w:rPr>
        <w:t> </w:t>
      </w:r>
      <w:r w:rsidRPr="00A07F29">
        <w:rPr>
          <w:rFonts w:cs="Times New Roman"/>
          <w:szCs w:val="24"/>
        </w:rPr>
        <w:t>att</w:t>
      </w:r>
      <w:r w:rsidR="009A3C08">
        <w:rPr>
          <w:rFonts w:cs="Times New Roman"/>
          <w:szCs w:val="24"/>
        </w:rPr>
        <w:t>ēls</w:t>
      </w:r>
      <w:r w:rsidRPr="00A07F29">
        <w:rPr>
          <w:rFonts w:cs="Times New Roman"/>
          <w:szCs w:val="24"/>
        </w:rPr>
        <w:t xml:space="preserve">), </w:t>
      </w:r>
    </w:p>
    <w:p w14:paraId="4E8ED705" w14:textId="30EE3C7D" w:rsidR="00B25653" w:rsidRPr="00A07F29" w:rsidRDefault="00B25653" w:rsidP="00B25653">
      <w:pPr>
        <w:pStyle w:val="ListParagraph"/>
        <w:numPr>
          <w:ilvl w:val="0"/>
          <w:numId w:val="54"/>
        </w:numPr>
        <w:spacing w:line="240" w:lineRule="auto"/>
        <w:rPr>
          <w:rFonts w:cs="Times New Roman"/>
          <w:szCs w:val="24"/>
        </w:rPr>
      </w:pPr>
      <w:r w:rsidRPr="00A07F29">
        <w:rPr>
          <w:rFonts w:cs="Times New Roman"/>
          <w:szCs w:val="24"/>
        </w:rPr>
        <w:t xml:space="preserve">pie </w:t>
      </w:r>
      <w:proofErr w:type="spellStart"/>
      <w:r w:rsidRPr="00A07F29">
        <w:rPr>
          <w:rFonts w:cs="Times New Roman"/>
          <w:szCs w:val="24"/>
        </w:rPr>
        <w:t>Indricas</w:t>
      </w:r>
      <w:proofErr w:type="spellEnd"/>
      <w:r w:rsidRPr="00A07F29">
        <w:rPr>
          <w:rFonts w:cs="Times New Roman"/>
          <w:szCs w:val="24"/>
        </w:rPr>
        <w:t xml:space="preserve"> Sv. Jāņa Kristītāja Romas katoļu baznīcas vai netālu no tās – pie </w:t>
      </w:r>
      <w:proofErr w:type="spellStart"/>
      <w:r w:rsidRPr="00A07F29">
        <w:rPr>
          <w:rFonts w:cs="Times New Roman"/>
          <w:szCs w:val="24"/>
        </w:rPr>
        <w:t>Indricas</w:t>
      </w:r>
      <w:proofErr w:type="spellEnd"/>
      <w:r w:rsidRPr="00A07F29">
        <w:rPr>
          <w:rFonts w:cs="Times New Roman"/>
          <w:szCs w:val="24"/>
        </w:rPr>
        <w:t xml:space="preserve"> upes ietekas Daugavā (zeme ar kadastra numuru 60680070078 (</w:t>
      </w:r>
      <w:r w:rsidR="009219F4">
        <w:rPr>
          <w:rFonts w:cs="Times New Roman"/>
          <w:szCs w:val="24"/>
        </w:rPr>
        <w:t xml:space="preserve">skat. </w:t>
      </w:r>
      <w:r w:rsidRPr="00A07F29">
        <w:rPr>
          <w:rFonts w:cs="Times New Roman"/>
          <w:szCs w:val="24"/>
        </w:rPr>
        <w:t>5.3.4</w:t>
      </w:r>
      <w:r w:rsidR="009219F4">
        <w:rPr>
          <w:rFonts w:cs="Times New Roman"/>
          <w:szCs w:val="24"/>
        </w:rPr>
        <w:t>2</w:t>
      </w:r>
      <w:r w:rsidRPr="00A07F29">
        <w:rPr>
          <w:rFonts w:cs="Times New Roman"/>
          <w:szCs w:val="24"/>
        </w:rPr>
        <w:t>.</w:t>
      </w:r>
      <w:r w:rsidR="009219F4">
        <w:rPr>
          <w:rFonts w:cs="Times New Roman"/>
          <w:szCs w:val="24"/>
        </w:rPr>
        <w:t> </w:t>
      </w:r>
      <w:r w:rsidRPr="00A07F29">
        <w:rPr>
          <w:rFonts w:cs="Times New Roman"/>
          <w:szCs w:val="24"/>
        </w:rPr>
        <w:t>att</w:t>
      </w:r>
      <w:r w:rsidR="009219F4">
        <w:rPr>
          <w:rFonts w:cs="Times New Roman"/>
          <w:szCs w:val="24"/>
        </w:rPr>
        <w:t>ēls</w:t>
      </w:r>
      <w:r w:rsidRPr="00A07F29">
        <w:rPr>
          <w:rFonts w:cs="Times New Roman"/>
          <w:szCs w:val="24"/>
        </w:rPr>
        <w:t>)),</w:t>
      </w:r>
    </w:p>
    <w:p w14:paraId="487AD70A" w14:textId="643A3BFB" w:rsidR="00D56C16" w:rsidRPr="00A07F29" w:rsidRDefault="00B25653" w:rsidP="00B25653">
      <w:pPr>
        <w:pStyle w:val="ListParagraph"/>
        <w:numPr>
          <w:ilvl w:val="0"/>
          <w:numId w:val="54"/>
        </w:numPr>
        <w:spacing w:line="240" w:lineRule="auto"/>
        <w:rPr>
          <w:rFonts w:cs="Times New Roman"/>
          <w:szCs w:val="24"/>
        </w:rPr>
      </w:pPr>
      <w:r w:rsidRPr="00A07F29">
        <w:rPr>
          <w:rFonts w:cs="Times New Roman"/>
          <w:szCs w:val="24"/>
        </w:rPr>
        <w:t>pie Piedrujas (zemes ar kadastra numuriem 60840030433 (skat. 5.3.4</w:t>
      </w:r>
      <w:r w:rsidR="009F1B79">
        <w:rPr>
          <w:rFonts w:cs="Times New Roman"/>
          <w:szCs w:val="24"/>
        </w:rPr>
        <w:t>3</w:t>
      </w:r>
      <w:r w:rsidRPr="00A07F29">
        <w:rPr>
          <w:rFonts w:cs="Times New Roman"/>
          <w:szCs w:val="24"/>
        </w:rPr>
        <w:t>.</w:t>
      </w:r>
      <w:r w:rsidR="009F1B79">
        <w:rPr>
          <w:rFonts w:cs="Times New Roman"/>
          <w:szCs w:val="24"/>
        </w:rPr>
        <w:t> </w:t>
      </w:r>
      <w:r w:rsidRPr="00A07F29">
        <w:rPr>
          <w:rFonts w:cs="Times New Roman"/>
          <w:szCs w:val="24"/>
        </w:rPr>
        <w:t>att</w:t>
      </w:r>
      <w:r w:rsidR="009F1B79">
        <w:rPr>
          <w:rFonts w:cs="Times New Roman"/>
          <w:szCs w:val="24"/>
        </w:rPr>
        <w:t>ēls</w:t>
      </w:r>
      <w:r w:rsidRPr="00A07F29">
        <w:rPr>
          <w:rFonts w:cs="Times New Roman"/>
          <w:szCs w:val="24"/>
        </w:rPr>
        <w:t>) un 60840040341 (</w:t>
      </w:r>
      <w:r w:rsidR="009F1B79">
        <w:rPr>
          <w:rFonts w:cs="Times New Roman"/>
          <w:szCs w:val="24"/>
        </w:rPr>
        <w:t xml:space="preserve">skat. </w:t>
      </w:r>
      <w:r w:rsidRPr="00A07F29">
        <w:rPr>
          <w:rFonts w:cs="Times New Roman"/>
          <w:szCs w:val="24"/>
        </w:rPr>
        <w:t>5.3.4</w:t>
      </w:r>
      <w:r w:rsidR="009F1B79">
        <w:rPr>
          <w:rFonts w:cs="Times New Roman"/>
          <w:szCs w:val="24"/>
        </w:rPr>
        <w:t>4</w:t>
      </w:r>
      <w:r w:rsidRPr="00A07F29">
        <w:rPr>
          <w:rFonts w:cs="Times New Roman"/>
          <w:szCs w:val="24"/>
        </w:rPr>
        <w:t>.</w:t>
      </w:r>
      <w:r w:rsidR="009F1B79">
        <w:rPr>
          <w:rFonts w:cs="Times New Roman"/>
          <w:szCs w:val="24"/>
        </w:rPr>
        <w:t> </w:t>
      </w:r>
      <w:r w:rsidRPr="00A07F29">
        <w:rPr>
          <w:rFonts w:cs="Times New Roman"/>
          <w:szCs w:val="24"/>
        </w:rPr>
        <w:t>att</w:t>
      </w:r>
      <w:r w:rsidR="009F1B79">
        <w:rPr>
          <w:rFonts w:cs="Times New Roman"/>
          <w:szCs w:val="24"/>
        </w:rPr>
        <w:t>ēls</w:t>
      </w:r>
      <w:r w:rsidRPr="00A07F29">
        <w:rPr>
          <w:rFonts w:cs="Times New Roman"/>
          <w:szCs w:val="24"/>
        </w:rPr>
        <w:t>)).</w:t>
      </w:r>
    </w:p>
    <w:p w14:paraId="2B986676" w14:textId="77777777" w:rsidR="00D56C16" w:rsidRPr="00A07F29" w:rsidRDefault="00D56C16" w:rsidP="00D56C16">
      <w:pPr>
        <w:spacing w:after="12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t xml:space="preserve">Kā potenciālās vietas </w:t>
      </w:r>
      <w:proofErr w:type="spellStart"/>
      <w:r w:rsidRPr="00A07F29">
        <w:rPr>
          <w:rFonts w:ascii="Times New Roman" w:hAnsi="Times New Roman" w:cs="Times New Roman"/>
          <w:sz w:val="24"/>
          <w:szCs w:val="24"/>
        </w:rPr>
        <w:t>ūdenstūristu</w:t>
      </w:r>
      <w:proofErr w:type="spellEnd"/>
      <w:r w:rsidRPr="00A07F29">
        <w:rPr>
          <w:rFonts w:ascii="Times New Roman" w:hAnsi="Times New Roman" w:cs="Times New Roman"/>
          <w:sz w:val="24"/>
          <w:szCs w:val="24"/>
        </w:rPr>
        <w:t xml:space="preserve"> apmetņu ierīkošanai Daugavas kreisajā krastā ir ieteicamas:</w:t>
      </w:r>
    </w:p>
    <w:p w14:paraId="109F8FD1" w14:textId="62B6F968" w:rsidR="00D56C16" w:rsidRPr="00A07F29" w:rsidRDefault="00D56C16" w:rsidP="00F87589">
      <w:pPr>
        <w:pStyle w:val="ListParagraph"/>
        <w:numPr>
          <w:ilvl w:val="0"/>
          <w:numId w:val="54"/>
        </w:numPr>
        <w:spacing w:line="240" w:lineRule="auto"/>
        <w:rPr>
          <w:rFonts w:cs="Times New Roman"/>
          <w:szCs w:val="24"/>
        </w:rPr>
      </w:pPr>
      <w:r w:rsidRPr="00A07F29">
        <w:rPr>
          <w:rFonts w:cs="Times New Roman"/>
          <w:szCs w:val="24"/>
        </w:rPr>
        <w:t>pie atpūtas bāzes “</w:t>
      </w:r>
      <w:proofErr w:type="spellStart"/>
      <w:r w:rsidRPr="00A07F29">
        <w:rPr>
          <w:rFonts w:cs="Times New Roman"/>
          <w:szCs w:val="24"/>
        </w:rPr>
        <w:t>Vaclavi</w:t>
      </w:r>
      <w:proofErr w:type="spellEnd"/>
      <w:r w:rsidRPr="00A07F29">
        <w:rPr>
          <w:rFonts w:cs="Times New Roman"/>
          <w:szCs w:val="24"/>
        </w:rPr>
        <w:t>”</w:t>
      </w:r>
      <w:r w:rsidR="002874F3">
        <w:rPr>
          <w:rFonts w:cs="Times New Roman"/>
          <w:szCs w:val="24"/>
        </w:rPr>
        <w:t>,</w:t>
      </w:r>
      <w:r w:rsidRPr="00A07F29">
        <w:rPr>
          <w:rFonts w:cs="Times New Roman"/>
          <w:szCs w:val="24"/>
        </w:rPr>
        <w:t xml:space="preserve"> </w:t>
      </w:r>
    </w:p>
    <w:p w14:paraId="545CFB53" w14:textId="04345E24" w:rsidR="00D56C16" w:rsidRPr="00A07F29" w:rsidRDefault="00D56C16" w:rsidP="00F87589">
      <w:pPr>
        <w:pStyle w:val="ListParagraph"/>
        <w:numPr>
          <w:ilvl w:val="0"/>
          <w:numId w:val="54"/>
        </w:numPr>
        <w:spacing w:line="240" w:lineRule="auto"/>
        <w:rPr>
          <w:rFonts w:cs="Times New Roman"/>
          <w:szCs w:val="24"/>
        </w:rPr>
      </w:pPr>
      <w:r w:rsidRPr="00A07F29">
        <w:rPr>
          <w:rFonts w:cs="Times New Roman"/>
          <w:szCs w:val="24"/>
        </w:rPr>
        <w:t>Krāslavā pirms tilta (valsts īpašumā esoša zeme ar kadastra numuru 60700032213 (</w:t>
      </w:r>
      <w:r w:rsidR="000C1CB5" w:rsidRPr="00A07F29">
        <w:rPr>
          <w:rFonts w:cs="Times New Roman"/>
          <w:szCs w:val="24"/>
        </w:rPr>
        <w:t>5.3.</w:t>
      </w:r>
      <w:r w:rsidR="002874F3">
        <w:rPr>
          <w:rFonts w:cs="Times New Roman"/>
          <w:szCs w:val="24"/>
        </w:rPr>
        <w:t>40</w:t>
      </w:r>
      <w:r w:rsidRPr="00A07F29">
        <w:rPr>
          <w:rFonts w:cs="Times New Roman"/>
          <w:szCs w:val="24"/>
        </w:rPr>
        <w:t>.</w:t>
      </w:r>
      <w:r w:rsidR="002874F3">
        <w:rPr>
          <w:rFonts w:cs="Times New Roman"/>
          <w:szCs w:val="24"/>
        </w:rPr>
        <w:t> </w:t>
      </w:r>
      <w:r w:rsidRPr="00A07F29">
        <w:rPr>
          <w:rFonts w:cs="Times New Roman"/>
          <w:szCs w:val="24"/>
        </w:rPr>
        <w:t>att</w:t>
      </w:r>
      <w:r w:rsidR="002874F3">
        <w:rPr>
          <w:rFonts w:cs="Times New Roman"/>
          <w:szCs w:val="24"/>
        </w:rPr>
        <w:t>ēls</w:t>
      </w:r>
      <w:r w:rsidRPr="00A07F29">
        <w:rPr>
          <w:rFonts w:cs="Times New Roman"/>
          <w:szCs w:val="24"/>
        </w:rPr>
        <w:t>),</w:t>
      </w:r>
    </w:p>
    <w:p w14:paraId="530D5B2D" w14:textId="1E05F91D" w:rsidR="00D56C16" w:rsidRPr="00A07F29" w:rsidRDefault="002C1DB6" w:rsidP="002C1DB6">
      <w:pPr>
        <w:pStyle w:val="ListParagraph"/>
        <w:numPr>
          <w:ilvl w:val="0"/>
          <w:numId w:val="54"/>
        </w:numPr>
        <w:spacing w:line="240" w:lineRule="auto"/>
        <w:rPr>
          <w:rFonts w:cs="Times New Roman"/>
          <w:szCs w:val="24"/>
        </w:rPr>
      </w:pPr>
      <w:r w:rsidRPr="00A07F29">
        <w:rPr>
          <w:rFonts w:cs="Times New Roman"/>
          <w:szCs w:val="24"/>
        </w:rPr>
        <w:t xml:space="preserve">pie </w:t>
      </w:r>
      <w:proofErr w:type="spellStart"/>
      <w:r w:rsidRPr="00A07F29">
        <w:rPr>
          <w:rFonts w:cs="Times New Roman"/>
          <w:szCs w:val="24"/>
        </w:rPr>
        <w:t>Lielbornes</w:t>
      </w:r>
      <w:proofErr w:type="spellEnd"/>
      <w:r w:rsidRPr="00A07F29">
        <w:rPr>
          <w:rFonts w:cs="Times New Roman"/>
          <w:szCs w:val="24"/>
        </w:rPr>
        <w:t xml:space="preserve"> muiža</w:t>
      </w:r>
      <w:r w:rsidR="001368DD" w:rsidRPr="00A07F29">
        <w:rPr>
          <w:rFonts w:cs="Times New Roman"/>
          <w:szCs w:val="24"/>
        </w:rPr>
        <w:t>s zemes vienībā ar kadastra apzī</w:t>
      </w:r>
      <w:r w:rsidRPr="00A07F29">
        <w:rPr>
          <w:rFonts w:cs="Times New Roman"/>
          <w:szCs w:val="24"/>
        </w:rPr>
        <w:t xml:space="preserve">mējumu </w:t>
      </w:r>
      <w:r w:rsidRPr="00A07F29">
        <w:t xml:space="preserve">44840030375, kur </w:t>
      </w:r>
      <w:proofErr w:type="spellStart"/>
      <w:r w:rsidR="00D56C16" w:rsidRPr="00A07F29">
        <w:rPr>
          <w:rFonts w:cs="Times New Roman"/>
          <w:szCs w:val="24"/>
        </w:rPr>
        <w:t>Lielbornes</w:t>
      </w:r>
      <w:proofErr w:type="spellEnd"/>
      <w:r w:rsidR="00D56C16" w:rsidRPr="00A07F29">
        <w:rPr>
          <w:rFonts w:cs="Times New Roman"/>
          <w:szCs w:val="24"/>
        </w:rPr>
        <w:t xml:space="preserve"> muižas kompleksa īpašnieki plāno ierīkot </w:t>
      </w:r>
      <w:r w:rsidR="008F3964" w:rsidRPr="00A07F29">
        <w:rPr>
          <w:rFonts w:cs="Times New Roman"/>
          <w:szCs w:val="24"/>
        </w:rPr>
        <w:t xml:space="preserve">kempingu </w:t>
      </w:r>
      <w:r w:rsidR="00D56C16" w:rsidRPr="00A07F29">
        <w:rPr>
          <w:rFonts w:cs="Times New Roman"/>
          <w:szCs w:val="24"/>
        </w:rPr>
        <w:t>ar atbilstošu infrastruktūru (</w:t>
      </w:r>
      <w:r w:rsidRPr="00A07F29">
        <w:rPr>
          <w:rFonts w:cs="Times New Roman"/>
          <w:szCs w:val="24"/>
        </w:rPr>
        <w:t xml:space="preserve">virtuvi, dušu, </w:t>
      </w:r>
      <w:r w:rsidR="00D56C16" w:rsidRPr="00A07F29">
        <w:rPr>
          <w:rFonts w:cs="Times New Roman"/>
          <w:szCs w:val="24"/>
        </w:rPr>
        <w:t>labierīcībām</w:t>
      </w:r>
      <w:r w:rsidRPr="00A07F29">
        <w:rPr>
          <w:rFonts w:cs="Times New Roman"/>
          <w:szCs w:val="24"/>
        </w:rPr>
        <w:t xml:space="preserve">, elektrības </w:t>
      </w:r>
      <w:proofErr w:type="spellStart"/>
      <w:r w:rsidRPr="00A07F29">
        <w:rPr>
          <w:rFonts w:cs="Times New Roman"/>
          <w:szCs w:val="24"/>
        </w:rPr>
        <w:t>pieslēgumu</w:t>
      </w:r>
      <w:proofErr w:type="spellEnd"/>
      <w:r w:rsidRPr="00A07F29">
        <w:rPr>
          <w:rFonts w:cs="Times New Roman"/>
          <w:szCs w:val="24"/>
        </w:rPr>
        <w:t xml:space="preserve"> (ar saules paneļiem)</w:t>
      </w:r>
      <w:r w:rsidR="00ED566D">
        <w:rPr>
          <w:rFonts w:cs="Times New Roman"/>
          <w:szCs w:val="24"/>
        </w:rPr>
        <w:t>)</w:t>
      </w:r>
      <w:r w:rsidRPr="00A07F29">
        <w:rPr>
          <w:rFonts w:cs="Times New Roman"/>
          <w:szCs w:val="24"/>
        </w:rPr>
        <w:t xml:space="preserve">, kā arī </w:t>
      </w:r>
      <w:r w:rsidR="00D56C16" w:rsidRPr="00A07F29">
        <w:rPr>
          <w:rFonts w:cs="Times New Roman"/>
          <w:szCs w:val="24"/>
        </w:rPr>
        <w:t xml:space="preserve">labiekārtot laivu apstāšanās vietu Daugavas krastā, ko izmantot laivu izcelšanai </w:t>
      </w:r>
      <w:r w:rsidRPr="00A07F29">
        <w:rPr>
          <w:rFonts w:cs="Times New Roman"/>
          <w:szCs w:val="24"/>
        </w:rPr>
        <w:t>un ielaišanai.</w:t>
      </w:r>
    </w:p>
    <w:p w14:paraId="12F9184E" w14:textId="024B4D34" w:rsidR="00B14BC2" w:rsidRPr="00A07F29" w:rsidRDefault="00B14BC2" w:rsidP="00FD2C8B">
      <w:pPr>
        <w:spacing w:after="12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t xml:space="preserve">Nepieciešamais infrastruktūras apjoms </w:t>
      </w:r>
      <w:proofErr w:type="spellStart"/>
      <w:r w:rsidR="00FD2C8B" w:rsidRPr="00A07F29">
        <w:rPr>
          <w:rFonts w:ascii="Times New Roman" w:hAnsi="Times New Roman" w:cs="Times New Roman"/>
          <w:sz w:val="24"/>
          <w:szCs w:val="24"/>
        </w:rPr>
        <w:t>ūdenstūristu</w:t>
      </w:r>
      <w:proofErr w:type="spellEnd"/>
      <w:r w:rsidR="00FD2C8B" w:rsidRPr="00A07F29">
        <w:rPr>
          <w:rFonts w:ascii="Times New Roman" w:hAnsi="Times New Roman" w:cs="Times New Roman"/>
          <w:sz w:val="24"/>
          <w:szCs w:val="24"/>
        </w:rPr>
        <w:t xml:space="preserve"> apmetņu vietu vai atpūtas vietu labiekārtošanai</w:t>
      </w:r>
      <w:r w:rsidR="001F585C" w:rsidRPr="00A07F29">
        <w:rPr>
          <w:rFonts w:ascii="Times New Roman" w:hAnsi="Times New Roman" w:cs="Times New Roman"/>
          <w:sz w:val="24"/>
          <w:szCs w:val="24"/>
        </w:rPr>
        <w:t xml:space="preserve">, kā arī </w:t>
      </w:r>
      <w:r w:rsidR="00FD2C8B" w:rsidRPr="00A07F29">
        <w:rPr>
          <w:rFonts w:ascii="Times New Roman" w:hAnsi="Times New Roman" w:cs="Times New Roman"/>
          <w:sz w:val="24"/>
          <w:szCs w:val="24"/>
        </w:rPr>
        <w:t xml:space="preserve">infrastruktūras </w:t>
      </w:r>
      <w:r w:rsidRPr="00A07F29">
        <w:rPr>
          <w:rFonts w:ascii="Times New Roman" w:hAnsi="Times New Roman" w:cs="Times New Roman"/>
          <w:sz w:val="24"/>
          <w:szCs w:val="24"/>
        </w:rPr>
        <w:t>optimālais izvietojums dabā precizējams tu</w:t>
      </w:r>
      <w:r w:rsidR="00FD2C8B" w:rsidRPr="00A07F29">
        <w:rPr>
          <w:rFonts w:ascii="Times New Roman" w:hAnsi="Times New Roman" w:cs="Times New Roman"/>
          <w:sz w:val="24"/>
          <w:szCs w:val="24"/>
        </w:rPr>
        <w:t>r</w:t>
      </w:r>
      <w:r w:rsidRPr="00A07F29">
        <w:rPr>
          <w:rFonts w:ascii="Times New Roman" w:hAnsi="Times New Roman" w:cs="Times New Roman"/>
          <w:sz w:val="24"/>
          <w:szCs w:val="24"/>
        </w:rPr>
        <w:t>pmākās saskaņošanas un projektēšanas laikā.</w:t>
      </w:r>
    </w:p>
    <w:p w14:paraId="75449E28" w14:textId="77777777" w:rsidR="00FD2C8B" w:rsidRPr="00A07F29" w:rsidRDefault="00FD2C8B" w:rsidP="00FD2C8B">
      <w:pPr>
        <w:spacing w:after="120" w:line="240" w:lineRule="auto"/>
        <w:ind w:firstLine="851"/>
        <w:jc w:val="both"/>
        <w:rPr>
          <w:rFonts w:ascii="Times New Roman" w:hAnsi="Times New Roman" w:cs="Times New Roman"/>
          <w:sz w:val="24"/>
          <w:szCs w:val="24"/>
        </w:rPr>
      </w:pPr>
    </w:p>
    <w:tbl>
      <w:tblPr>
        <w:tblStyle w:val="Reatabula12"/>
        <w:tblW w:w="8751"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356"/>
      </w:tblGrid>
      <w:tr w:rsidR="006D56EB" w:rsidRPr="00A07F29" w14:paraId="7235A4E4" w14:textId="77777777" w:rsidTr="63C42FA1">
        <w:tc>
          <w:tcPr>
            <w:tcW w:w="4395" w:type="dxa"/>
            <w:hideMark/>
          </w:tcPr>
          <w:p w14:paraId="71FE9CE9" w14:textId="77777777" w:rsidR="006D56EB" w:rsidRPr="00A07F29" w:rsidRDefault="006D56EB" w:rsidP="00AA0725">
            <w:pPr>
              <w:spacing w:after="160" w:line="256" w:lineRule="auto"/>
              <w:contextualSpacing/>
              <w:jc w:val="center"/>
              <w:rPr>
                <w:rFonts w:ascii="Times New Roman" w:hAnsi="Times New Roman"/>
              </w:rPr>
            </w:pPr>
            <w:r w:rsidRPr="00A07F29">
              <w:rPr>
                <w:noProof/>
                <w:lang w:eastAsia="lv-LV"/>
              </w:rPr>
              <w:drawing>
                <wp:inline distT="0" distB="0" distL="0" distR="0" wp14:anchorId="3FFC1C8D" wp14:editId="0C4929A2">
                  <wp:extent cx="2457450" cy="1914525"/>
                  <wp:effectExtent l="0" t="0" r="0" b="9525"/>
                  <wp:docPr id="17037181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135">
                            <a:extLst>
                              <a:ext uri="{28A0092B-C50C-407E-A947-70E740481C1C}">
                                <a14:useLocalDpi xmlns:a14="http://schemas.microsoft.com/office/drawing/2010/main"/>
                              </a:ext>
                            </a:extLst>
                          </a:blip>
                          <a:srcRect l="44788" t="14047" r="19456" b="39928"/>
                          <a:stretch>
                            <a:fillRect/>
                          </a:stretch>
                        </pic:blipFill>
                        <pic:spPr>
                          <a:xfrm>
                            <a:off x="0" y="0"/>
                            <a:ext cx="2457450" cy="1914525"/>
                          </a:xfrm>
                          <a:prstGeom prst="rect">
                            <a:avLst/>
                          </a:prstGeom>
                        </pic:spPr>
                      </pic:pic>
                    </a:graphicData>
                  </a:graphic>
                </wp:inline>
              </w:drawing>
            </w:r>
          </w:p>
        </w:tc>
        <w:tc>
          <w:tcPr>
            <w:tcW w:w="4356" w:type="dxa"/>
            <w:hideMark/>
          </w:tcPr>
          <w:p w14:paraId="4FD67AE6" w14:textId="77777777" w:rsidR="006D56EB" w:rsidRPr="00A07F29" w:rsidRDefault="006D56EB" w:rsidP="00AA0725">
            <w:pPr>
              <w:spacing w:after="160" w:line="256" w:lineRule="auto"/>
              <w:contextualSpacing/>
              <w:jc w:val="center"/>
              <w:rPr>
                <w:rFonts w:ascii="Times New Roman" w:hAnsi="Times New Roman"/>
              </w:rPr>
            </w:pPr>
            <w:r w:rsidRPr="00A07F29">
              <w:rPr>
                <w:noProof/>
                <w:lang w:eastAsia="lv-LV"/>
              </w:rPr>
              <w:drawing>
                <wp:inline distT="0" distB="0" distL="0" distR="0" wp14:anchorId="421C6FEF" wp14:editId="0EF9CC30">
                  <wp:extent cx="2628900" cy="1914525"/>
                  <wp:effectExtent l="0" t="0" r="0" b="9525"/>
                  <wp:docPr id="17037181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136">
                            <a:extLst>
                              <a:ext uri="{28A0092B-C50C-407E-A947-70E740481C1C}">
                                <a14:useLocalDpi xmlns:a14="http://schemas.microsoft.com/office/drawing/2010/main"/>
                              </a:ext>
                            </a:extLst>
                          </a:blip>
                          <a:srcRect l="29797" t="20624" r="20358" b="17503"/>
                          <a:stretch>
                            <a:fillRect/>
                          </a:stretch>
                        </pic:blipFill>
                        <pic:spPr>
                          <a:xfrm>
                            <a:off x="0" y="0"/>
                            <a:ext cx="2628900" cy="1914525"/>
                          </a:xfrm>
                          <a:prstGeom prst="rect">
                            <a:avLst/>
                          </a:prstGeom>
                        </pic:spPr>
                      </pic:pic>
                    </a:graphicData>
                  </a:graphic>
                </wp:inline>
              </w:drawing>
            </w:r>
          </w:p>
        </w:tc>
      </w:tr>
      <w:tr w:rsidR="006D56EB" w:rsidRPr="00A07F29" w14:paraId="231B585F" w14:textId="77777777" w:rsidTr="63C42FA1">
        <w:tc>
          <w:tcPr>
            <w:tcW w:w="4395" w:type="dxa"/>
            <w:hideMark/>
          </w:tcPr>
          <w:p w14:paraId="0F03A8C8" w14:textId="1CFDAE42" w:rsidR="006D56EB" w:rsidRPr="00922B7C" w:rsidRDefault="000C1CB5" w:rsidP="00BB7BB5">
            <w:pPr>
              <w:spacing w:after="120"/>
              <w:jc w:val="both"/>
              <w:rPr>
                <w:rFonts w:ascii="Times New Roman" w:hAnsi="Times New Roman"/>
                <w:sz w:val="20"/>
                <w:szCs w:val="20"/>
              </w:rPr>
            </w:pPr>
            <w:r w:rsidRPr="00922B7C">
              <w:rPr>
                <w:rFonts w:ascii="Times New Roman" w:hAnsi="Times New Roman"/>
                <w:sz w:val="20"/>
                <w:szCs w:val="20"/>
              </w:rPr>
              <w:t>5.3.3</w:t>
            </w:r>
            <w:r w:rsidR="008F457D" w:rsidRPr="00922B7C">
              <w:rPr>
                <w:rFonts w:ascii="Times New Roman" w:hAnsi="Times New Roman"/>
                <w:sz w:val="20"/>
                <w:szCs w:val="20"/>
              </w:rPr>
              <w:t>8</w:t>
            </w:r>
            <w:r w:rsidRPr="00922B7C">
              <w:rPr>
                <w:rFonts w:ascii="Times New Roman" w:hAnsi="Times New Roman"/>
                <w:sz w:val="20"/>
                <w:szCs w:val="20"/>
              </w:rPr>
              <w:t>.a</w:t>
            </w:r>
            <w:r w:rsidR="008F457D" w:rsidRPr="00922B7C">
              <w:rPr>
                <w:rFonts w:ascii="Times New Roman" w:hAnsi="Times New Roman"/>
                <w:sz w:val="20"/>
                <w:szCs w:val="20"/>
              </w:rPr>
              <w:t> </w:t>
            </w:r>
            <w:r w:rsidR="006D56EB" w:rsidRPr="00922B7C">
              <w:rPr>
                <w:rFonts w:ascii="Times New Roman" w:hAnsi="Times New Roman"/>
                <w:sz w:val="20"/>
                <w:szCs w:val="20"/>
              </w:rPr>
              <w:t>att</w:t>
            </w:r>
            <w:r w:rsidR="008F457D" w:rsidRPr="00922B7C">
              <w:rPr>
                <w:rFonts w:ascii="Times New Roman" w:hAnsi="Times New Roman"/>
                <w:sz w:val="20"/>
                <w:szCs w:val="20"/>
              </w:rPr>
              <w:t>ēls</w:t>
            </w:r>
            <w:r w:rsidR="006D56EB" w:rsidRPr="00922B7C">
              <w:rPr>
                <w:rFonts w:ascii="Times New Roman" w:hAnsi="Times New Roman"/>
                <w:sz w:val="20"/>
                <w:szCs w:val="20"/>
              </w:rPr>
              <w:t>. Potenciālā zeme ar kadastra nr.</w:t>
            </w:r>
            <w:r w:rsidR="008F457D" w:rsidRPr="00922B7C">
              <w:rPr>
                <w:rFonts w:ascii="Times New Roman" w:hAnsi="Times New Roman"/>
                <w:sz w:val="20"/>
                <w:szCs w:val="20"/>
              </w:rPr>
              <w:t> </w:t>
            </w:r>
            <w:r w:rsidR="006D56EB" w:rsidRPr="00922B7C">
              <w:rPr>
                <w:rFonts w:ascii="Times New Roman" w:hAnsi="Times New Roman"/>
                <w:sz w:val="20"/>
                <w:szCs w:val="20"/>
              </w:rPr>
              <w:t>44740080129</w:t>
            </w:r>
            <w:r w:rsidR="00D65BBA" w:rsidRPr="00922B7C">
              <w:rPr>
                <w:rFonts w:ascii="Times New Roman" w:hAnsi="Times New Roman"/>
                <w:sz w:val="20"/>
                <w:szCs w:val="20"/>
              </w:rPr>
              <w:t xml:space="preserve"> </w:t>
            </w:r>
            <w:r w:rsidR="00B14BC2" w:rsidRPr="00922B7C">
              <w:rPr>
                <w:rFonts w:ascii="Times New Roman" w:hAnsi="Times New Roman"/>
                <w:sz w:val="20"/>
                <w:szCs w:val="20"/>
              </w:rPr>
              <w:t xml:space="preserve">labiekārtotas </w:t>
            </w:r>
            <w:proofErr w:type="spellStart"/>
            <w:r w:rsidR="00B14BC2" w:rsidRPr="00922B7C">
              <w:rPr>
                <w:rFonts w:ascii="Times New Roman" w:hAnsi="Times New Roman"/>
                <w:sz w:val="20"/>
                <w:szCs w:val="20"/>
              </w:rPr>
              <w:t>ūdenstūristu</w:t>
            </w:r>
            <w:proofErr w:type="spellEnd"/>
            <w:r w:rsidR="00B14BC2" w:rsidRPr="00922B7C">
              <w:rPr>
                <w:rFonts w:ascii="Times New Roman" w:hAnsi="Times New Roman"/>
                <w:sz w:val="20"/>
                <w:szCs w:val="20"/>
              </w:rPr>
              <w:t xml:space="preserve"> apmetņu vietas / kempinga / atpūtas vietas / auto stāvvietas / laivu piestātnes / nolaišanas vietas izveidei</w:t>
            </w:r>
            <w:r w:rsidR="001F070E" w:rsidRPr="00922B7C">
              <w:rPr>
                <w:rFonts w:ascii="Times New Roman" w:hAnsi="Times New Roman"/>
                <w:sz w:val="20"/>
                <w:szCs w:val="20"/>
              </w:rPr>
              <w:t xml:space="preserve"> (</w:t>
            </w:r>
            <w:r w:rsidR="001F070E" w:rsidRPr="00184E22">
              <w:rPr>
                <w:rFonts w:ascii="Times New Roman" w:hAnsi="Times New Roman"/>
                <w:sz w:val="20"/>
                <w:szCs w:val="20"/>
              </w:rPr>
              <w:t>DDPS</w:t>
            </w:r>
            <w:r w:rsidR="00184E22" w:rsidRPr="00184E22">
              <w:rPr>
                <w:rFonts w:ascii="Times New Roman" w:hAnsi="Times New Roman"/>
                <w:sz w:val="20"/>
                <w:szCs w:val="20"/>
              </w:rPr>
              <w:t xml:space="preserve"> “OZOLS”</w:t>
            </w:r>
            <w:r w:rsidR="001F070E" w:rsidRPr="00184E22">
              <w:rPr>
                <w:rFonts w:ascii="Times New Roman" w:hAnsi="Times New Roman"/>
                <w:sz w:val="20"/>
                <w:szCs w:val="20"/>
              </w:rPr>
              <w:t>, 2019)</w:t>
            </w:r>
            <w:r w:rsidR="006D56EB" w:rsidRPr="00184E22">
              <w:rPr>
                <w:rFonts w:ascii="Times New Roman" w:hAnsi="Times New Roman"/>
                <w:sz w:val="20"/>
                <w:szCs w:val="20"/>
              </w:rPr>
              <w:t>.</w:t>
            </w:r>
          </w:p>
        </w:tc>
        <w:tc>
          <w:tcPr>
            <w:tcW w:w="4356" w:type="dxa"/>
            <w:hideMark/>
          </w:tcPr>
          <w:p w14:paraId="1A6EAE24" w14:textId="6ADF3D10" w:rsidR="006D56EB" w:rsidRPr="00A07F29" w:rsidRDefault="000C1CB5" w:rsidP="00BB7BB5">
            <w:pPr>
              <w:spacing w:after="120"/>
              <w:jc w:val="both"/>
              <w:rPr>
                <w:rFonts w:ascii="Times New Roman" w:hAnsi="Times New Roman"/>
              </w:rPr>
            </w:pPr>
            <w:r w:rsidRPr="00CE0481">
              <w:rPr>
                <w:rFonts w:ascii="Times New Roman" w:hAnsi="Times New Roman"/>
                <w:sz w:val="20"/>
                <w:szCs w:val="20"/>
              </w:rPr>
              <w:t>5.3.3</w:t>
            </w:r>
            <w:r w:rsidR="00922B7C" w:rsidRPr="00CE0481">
              <w:rPr>
                <w:rFonts w:ascii="Times New Roman" w:hAnsi="Times New Roman"/>
                <w:sz w:val="20"/>
                <w:szCs w:val="20"/>
              </w:rPr>
              <w:t>8</w:t>
            </w:r>
            <w:r w:rsidRPr="00CE0481">
              <w:rPr>
                <w:rFonts w:ascii="Times New Roman" w:hAnsi="Times New Roman"/>
                <w:sz w:val="20"/>
                <w:szCs w:val="20"/>
              </w:rPr>
              <w:t>.</w:t>
            </w:r>
            <w:r w:rsidR="006D56EB" w:rsidRPr="00CE0481">
              <w:rPr>
                <w:rFonts w:ascii="Times New Roman" w:hAnsi="Times New Roman"/>
                <w:sz w:val="20"/>
                <w:szCs w:val="20"/>
              </w:rPr>
              <w:t>b.</w:t>
            </w:r>
            <w:r w:rsidR="00922B7C" w:rsidRPr="00CE0481">
              <w:rPr>
                <w:rFonts w:ascii="Times New Roman" w:hAnsi="Times New Roman"/>
                <w:sz w:val="20"/>
                <w:szCs w:val="20"/>
              </w:rPr>
              <w:t> </w:t>
            </w:r>
            <w:r w:rsidR="006D56EB" w:rsidRPr="00CE0481">
              <w:rPr>
                <w:rFonts w:ascii="Times New Roman" w:hAnsi="Times New Roman"/>
                <w:sz w:val="20"/>
                <w:szCs w:val="20"/>
              </w:rPr>
              <w:t>att</w:t>
            </w:r>
            <w:r w:rsidR="00922B7C" w:rsidRPr="00CE0481">
              <w:rPr>
                <w:rFonts w:ascii="Times New Roman" w:hAnsi="Times New Roman"/>
                <w:sz w:val="20"/>
                <w:szCs w:val="20"/>
              </w:rPr>
              <w:t>ēls</w:t>
            </w:r>
            <w:r w:rsidR="006D56EB" w:rsidRPr="00CE0481">
              <w:rPr>
                <w:rFonts w:ascii="Times New Roman" w:hAnsi="Times New Roman"/>
                <w:sz w:val="20"/>
                <w:szCs w:val="20"/>
              </w:rPr>
              <w:t>. Potenciālā zeme ar kadastra nr.</w:t>
            </w:r>
            <w:r w:rsidR="00CE0481" w:rsidRPr="00CE0481">
              <w:rPr>
                <w:rFonts w:ascii="Times New Roman" w:hAnsi="Times New Roman"/>
                <w:sz w:val="20"/>
                <w:szCs w:val="20"/>
              </w:rPr>
              <w:t> </w:t>
            </w:r>
            <w:r w:rsidR="006D56EB" w:rsidRPr="00CE0481">
              <w:rPr>
                <w:rFonts w:ascii="Times New Roman" w:hAnsi="Times New Roman"/>
                <w:sz w:val="20"/>
                <w:szCs w:val="20"/>
              </w:rPr>
              <w:t xml:space="preserve">44740080184 </w:t>
            </w:r>
            <w:r w:rsidR="00B14BC2" w:rsidRPr="00CE0481">
              <w:rPr>
                <w:rFonts w:ascii="Times New Roman" w:hAnsi="Times New Roman"/>
                <w:sz w:val="20"/>
                <w:szCs w:val="20"/>
              </w:rPr>
              <w:t xml:space="preserve">labiekārtotas </w:t>
            </w:r>
            <w:proofErr w:type="spellStart"/>
            <w:r w:rsidR="00B14BC2" w:rsidRPr="00CE0481">
              <w:rPr>
                <w:rFonts w:ascii="Times New Roman" w:hAnsi="Times New Roman"/>
                <w:sz w:val="20"/>
                <w:szCs w:val="20"/>
              </w:rPr>
              <w:t>ūdenstūristu</w:t>
            </w:r>
            <w:proofErr w:type="spellEnd"/>
            <w:r w:rsidR="00B14BC2" w:rsidRPr="00CE0481">
              <w:rPr>
                <w:rFonts w:ascii="Times New Roman" w:hAnsi="Times New Roman"/>
                <w:sz w:val="20"/>
                <w:szCs w:val="20"/>
              </w:rPr>
              <w:t xml:space="preserve"> apmetņu vietas / kempinga / atpūtas vietas / auto stāvvietas / laivu piestātnes / nolaišanas vietas izveidei</w:t>
            </w:r>
            <w:r w:rsidR="001F070E" w:rsidRPr="00CE0481">
              <w:rPr>
                <w:rFonts w:ascii="Times New Roman" w:hAnsi="Times New Roman"/>
                <w:sz w:val="20"/>
                <w:szCs w:val="20"/>
              </w:rPr>
              <w:t xml:space="preserve"> (</w:t>
            </w:r>
            <w:r w:rsidR="001F070E" w:rsidRPr="00184E22">
              <w:rPr>
                <w:rFonts w:ascii="Times New Roman" w:hAnsi="Times New Roman"/>
                <w:sz w:val="20"/>
                <w:szCs w:val="20"/>
              </w:rPr>
              <w:t>DDPS</w:t>
            </w:r>
            <w:r w:rsidR="00184E22">
              <w:rPr>
                <w:rFonts w:ascii="Times New Roman" w:hAnsi="Times New Roman"/>
                <w:sz w:val="20"/>
                <w:szCs w:val="20"/>
              </w:rPr>
              <w:t xml:space="preserve"> “OZOLS”</w:t>
            </w:r>
            <w:r w:rsidR="001F070E" w:rsidRPr="00CE0481">
              <w:rPr>
                <w:rFonts w:ascii="Times New Roman" w:hAnsi="Times New Roman"/>
                <w:sz w:val="20"/>
                <w:szCs w:val="20"/>
              </w:rPr>
              <w:t>, 2019)</w:t>
            </w:r>
            <w:r w:rsidR="006D56EB" w:rsidRPr="00A07F29">
              <w:rPr>
                <w:rFonts w:ascii="Times New Roman" w:hAnsi="Times New Roman"/>
              </w:rPr>
              <w:t>.</w:t>
            </w:r>
          </w:p>
        </w:tc>
      </w:tr>
      <w:tr w:rsidR="006D56EB" w:rsidRPr="00A07F29" w14:paraId="722BBEEF" w14:textId="77777777" w:rsidTr="63C42FA1">
        <w:tc>
          <w:tcPr>
            <w:tcW w:w="4395" w:type="dxa"/>
            <w:hideMark/>
          </w:tcPr>
          <w:p w14:paraId="6B19FE50" w14:textId="77777777" w:rsidR="006D56EB" w:rsidRPr="00A07F29" w:rsidRDefault="006D56EB" w:rsidP="00AA0725">
            <w:pPr>
              <w:spacing w:after="160" w:line="256" w:lineRule="auto"/>
              <w:contextualSpacing/>
              <w:jc w:val="center"/>
              <w:rPr>
                <w:rFonts w:ascii="Times New Roman" w:hAnsi="Times New Roman"/>
              </w:rPr>
            </w:pPr>
            <w:r w:rsidRPr="00A07F29">
              <w:rPr>
                <w:noProof/>
                <w:lang w:eastAsia="lv-LV"/>
              </w:rPr>
              <w:drawing>
                <wp:inline distT="0" distB="0" distL="0" distR="0" wp14:anchorId="6D41E9D3" wp14:editId="12E9E51E">
                  <wp:extent cx="2654219" cy="1790055"/>
                  <wp:effectExtent l="0" t="0" r="0" b="1270"/>
                  <wp:docPr id="17037181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137">
                            <a:extLst>
                              <a:ext uri="{28A0092B-C50C-407E-A947-70E740481C1C}">
                                <a14:useLocalDpi xmlns:a14="http://schemas.microsoft.com/office/drawing/2010/main"/>
                              </a:ext>
                            </a:extLst>
                          </a:blip>
                          <a:srcRect l="26186" t="17432" r="4466" b="11179"/>
                          <a:stretch>
                            <a:fillRect/>
                          </a:stretch>
                        </pic:blipFill>
                        <pic:spPr>
                          <a:xfrm>
                            <a:off x="0" y="0"/>
                            <a:ext cx="2654219" cy="1790055"/>
                          </a:xfrm>
                          <a:prstGeom prst="rect">
                            <a:avLst/>
                          </a:prstGeom>
                        </pic:spPr>
                      </pic:pic>
                    </a:graphicData>
                  </a:graphic>
                </wp:inline>
              </w:drawing>
            </w:r>
          </w:p>
        </w:tc>
        <w:tc>
          <w:tcPr>
            <w:tcW w:w="4356" w:type="dxa"/>
            <w:hideMark/>
          </w:tcPr>
          <w:p w14:paraId="5F3E400B" w14:textId="77777777" w:rsidR="006D56EB" w:rsidRPr="00A07F29" w:rsidRDefault="006D56EB" w:rsidP="00AA0725">
            <w:pPr>
              <w:spacing w:after="160" w:line="256" w:lineRule="auto"/>
              <w:contextualSpacing/>
              <w:jc w:val="center"/>
              <w:rPr>
                <w:rFonts w:ascii="Times New Roman" w:hAnsi="Times New Roman"/>
              </w:rPr>
            </w:pPr>
            <w:r w:rsidRPr="00A07F29">
              <w:rPr>
                <w:noProof/>
                <w:lang w:eastAsia="lv-LV"/>
              </w:rPr>
              <w:drawing>
                <wp:inline distT="0" distB="0" distL="0" distR="0" wp14:anchorId="5DE4B09F" wp14:editId="3C321A99">
                  <wp:extent cx="2342504" cy="1752193"/>
                  <wp:effectExtent l="0" t="0" r="1270" b="635"/>
                  <wp:docPr id="17037182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pic:nvPicPr>
                        <pic:blipFill>
                          <a:blip r:embed="rId138">
                            <a:extLst>
                              <a:ext uri="{28A0092B-C50C-407E-A947-70E740481C1C}">
                                <a14:useLocalDpi xmlns:a14="http://schemas.microsoft.com/office/drawing/2010/main"/>
                              </a:ext>
                            </a:extLst>
                          </a:blip>
                          <a:srcRect l="36121" t="18066" r="27762" b="52158"/>
                          <a:stretch>
                            <a:fillRect/>
                          </a:stretch>
                        </pic:blipFill>
                        <pic:spPr>
                          <a:xfrm>
                            <a:off x="0" y="0"/>
                            <a:ext cx="2342504" cy="1752193"/>
                          </a:xfrm>
                          <a:prstGeom prst="rect">
                            <a:avLst/>
                          </a:prstGeom>
                        </pic:spPr>
                      </pic:pic>
                    </a:graphicData>
                  </a:graphic>
                </wp:inline>
              </w:drawing>
            </w:r>
          </w:p>
        </w:tc>
      </w:tr>
      <w:tr w:rsidR="006D56EB" w:rsidRPr="00A07F29" w14:paraId="3CBB2817" w14:textId="77777777" w:rsidTr="63C42FA1">
        <w:tc>
          <w:tcPr>
            <w:tcW w:w="4395" w:type="dxa"/>
            <w:hideMark/>
          </w:tcPr>
          <w:p w14:paraId="1348C7F8" w14:textId="28F53E09" w:rsidR="006D56EB" w:rsidRPr="00201A6B" w:rsidRDefault="000C1CB5" w:rsidP="00B14BC2">
            <w:pPr>
              <w:spacing w:after="120"/>
              <w:jc w:val="both"/>
              <w:rPr>
                <w:rFonts w:ascii="Times New Roman" w:hAnsi="Times New Roman"/>
                <w:sz w:val="20"/>
                <w:szCs w:val="20"/>
              </w:rPr>
            </w:pPr>
            <w:r w:rsidRPr="00201A6B">
              <w:rPr>
                <w:rFonts w:ascii="Times New Roman" w:hAnsi="Times New Roman"/>
                <w:sz w:val="20"/>
                <w:szCs w:val="20"/>
              </w:rPr>
              <w:t>5.3.3</w:t>
            </w:r>
            <w:r w:rsidR="00BB60D5" w:rsidRPr="00201A6B">
              <w:rPr>
                <w:rFonts w:ascii="Times New Roman" w:hAnsi="Times New Roman"/>
                <w:sz w:val="20"/>
                <w:szCs w:val="20"/>
              </w:rPr>
              <w:t>9</w:t>
            </w:r>
            <w:r w:rsidR="006D56EB" w:rsidRPr="00201A6B">
              <w:rPr>
                <w:rFonts w:ascii="Times New Roman" w:hAnsi="Times New Roman"/>
                <w:sz w:val="20"/>
                <w:szCs w:val="20"/>
              </w:rPr>
              <w:t>.</w:t>
            </w:r>
            <w:r w:rsidR="00BB60D5" w:rsidRPr="00201A6B">
              <w:rPr>
                <w:rFonts w:ascii="Times New Roman" w:hAnsi="Times New Roman"/>
                <w:sz w:val="20"/>
                <w:szCs w:val="20"/>
              </w:rPr>
              <w:t> </w:t>
            </w:r>
            <w:r w:rsidR="006D56EB" w:rsidRPr="00201A6B">
              <w:rPr>
                <w:rFonts w:ascii="Times New Roman" w:hAnsi="Times New Roman"/>
                <w:sz w:val="20"/>
                <w:szCs w:val="20"/>
              </w:rPr>
              <w:t>att</w:t>
            </w:r>
            <w:r w:rsidR="00BB60D5" w:rsidRPr="00201A6B">
              <w:rPr>
                <w:rFonts w:ascii="Times New Roman" w:hAnsi="Times New Roman"/>
                <w:sz w:val="20"/>
                <w:szCs w:val="20"/>
              </w:rPr>
              <w:t>ēls</w:t>
            </w:r>
            <w:r w:rsidR="006D56EB" w:rsidRPr="00201A6B">
              <w:rPr>
                <w:rFonts w:ascii="Times New Roman" w:hAnsi="Times New Roman"/>
                <w:sz w:val="20"/>
                <w:szCs w:val="20"/>
              </w:rPr>
              <w:t>. Potenciālā zeme ar kadastra nr.</w:t>
            </w:r>
            <w:r w:rsidR="00C87922" w:rsidRPr="00201A6B">
              <w:rPr>
                <w:rFonts w:ascii="Times New Roman" w:hAnsi="Times New Roman"/>
                <w:sz w:val="20"/>
                <w:szCs w:val="20"/>
              </w:rPr>
              <w:t> </w:t>
            </w:r>
            <w:r w:rsidR="006D56EB" w:rsidRPr="00201A6B">
              <w:rPr>
                <w:rFonts w:ascii="Times New Roman" w:hAnsi="Times New Roman"/>
                <w:sz w:val="20"/>
                <w:szCs w:val="20"/>
              </w:rPr>
              <w:t xml:space="preserve">60960090166 </w:t>
            </w:r>
            <w:r w:rsidR="00B14BC2" w:rsidRPr="00201A6B">
              <w:rPr>
                <w:rFonts w:ascii="Times New Roman" w:hAnsi="Times New Roman"/>
                <w:sz w:val="20"/>
                <w:szCs w:val="20"/>
              </w:rPr>
              <w:t xml:space="preserve">labiekārtotas </w:t>
            </w:r>
            <w:proofErr w:type="spellStart"/>
            <w:r w:rsidR="00B14BC2" w:rsidRPr="00201A6B">
              <w:rPr>
                <w:rFonts w:ascii="Times New Roman" w:hAnsi="Times New Roman"/>
                <w:sz w:val="20"/>
                <w:szCs w:val="20"/>
              </w:rPr>
              <w:t>ūdenstūristu</w:t>
            </w:r>
            <w:proofErr w:type="spellEnd"/>
            <w:r w:rsidR="00B14BC2" w:rsidRPr="00201A6B">
              <w:rPr>
                <w:rFonts w:ascii="Times New Roman" w:hAnsi="Times New Roman"/>
                <w:sz w:val="20"/>
                <w:szCs w:val="20"/>
              </w:rPr>
              <w:t xml:space="preserve"> apmetņu vietas / kempinga / atpūtas vietas / auto stāvvietas / laivu piestātnes / nolaišanas vietas izveidei</w:t>
            </w:r>
            <w:r w:rsidR="001F070E" w:rsidRPr="00201A6B">
              <w:rPr>
                <w:rFonts w:ascii="Times New Roman" w:hAnsi="Times New Roman"/>
                <w:sz w:val="20"/>
                <w:szCs w:val="20"/>
              </w:rPr>
              <w:t xml:space="preserve"> (</w:t>
            </w:r>
            <w:r w:rsidR="001F070E" w:rsidRPr="00184E22">
              <w:rPr>
                <w:rFonts w:ascii="Times New Roman" w:hAnsi="Times New Roman"/>
                <w:sz w:val="20"/>
                <w:szCs w:val="20"/>
              </w:rPr>
              <w:t>DDPS</w:t>
            </w:r>
            <w:r w:rsidR="00184E22">
              <w:rPr>
                <w:rFonts w:ascii="Times New Roman" w:hAnsi="Times New Roman"/>
                <w:sz w:val="20"/>
                <w:szCs w:val="20"/>
              </w:rPr>
              <w:t xml:space="preserve"> “OZOLS”</w:t>
            </w:r>
            <w:r w:rsidR="001F070E" w:rsidRPr="00201A6B">
              <w:rPr>
                <w:rFonts w:ascii="Times New Roman" w:hAnsi="Times New Roman"/>
                <w:sz w:val="20"/>
                <w:szCs w:val="20"/>
              </w:rPr>
              <w:t>, 2019)</w:t>
            </w:r>
            <w:r w:rsidR="006D56EB" w:rsidRPr="00201A6B">
              <w:rPr>
                <w:rFonts w:ascii="Times New Roman" w:hAnsi="Times New Roman"/>
                <w:sz w:val="20"/>
                <w:szCs w:val="20"/>
              </w:rPr>
              <w:t>.</w:t>
            </w:r>
          </w:p>
        </w:tc>
        <w:tc>
          <w:tcPr>
            <w:tcW w:w="4356" w:type="dxa"/>
            <w:hideMark/>
          </w:tcPr>
          <w:p w14:paraId="6A2C335B" w14:textId="2774A752" w:rsidR="006D56EB" w:rsidRPr="006345D2" w:rsidRDefault="000C1CB5" w:rsidP="00BB7BB5">
            <w:pPr>
              <w:spacing w:after="120"/>
              <w:jc w:val="both"/>
              <w:rPr>
                <w:rFonts w:ascii="Times New Roman" w:hAnsi="Times New Roman"/>
                <w:sz w:val="20"/>
                <w:szCs w:val="20"/>
              </w:rPr>
            </w:pPr>
            <w:r w:rsidRPr="006345D2">
              <w:rPr>
                <w:rFonts w:ascii="Times New Roman" w:hAnsi="Times New Roman"/>
                <w:sz w:val="20"/>
                <w:szCs w:val="20"/>
              </w:rPr>
              <w:t>5.3.</w:t>
            </w:r>
            <w:r w:rsidR="006345D2" w:rsidRPr="006345D2">
              <w:rPr>
                <w:rFonts w:ascii="Times New Roman" w:hAnsi="Times New Roman"/>
                <w:sz w:val="20"/>
                <w:szCs w:val="20"/>
              </w:rPr>
              <w:t>40</w:t>
            </w:r>
            <w:r w:rsidR="006D56EB" w:rsidRPr="006345D2">
              <w:rPr>
                <w:rFonts w:ascii="Times New Roman" w:hAnsi="Times New Roman"/>
                <w:sz w:val="20"/>
                <w:szCs w:val="20"/>
              </w:rPr>
              <w:t>.</w:t>
            </w:r>
            <w:r w:rsidR="006345D2" w:rsidRPr="006345D2">
              <w:rPr>
                <w:rFonts w:ascii="Times New Roman" w:hAnsi="Times New Roman"/>
                <w:sz w:val="20"/>
                <w:szCs w:val="20"/>
              </w:rPr>
              <w:t> </w:t>
            </w:r>
            <w:r w:rsidR="006D56EB" w:rsidRPr="006345D2">
              <w:rPr>
                <w:rFonts w:ascii="Times New Roman" w:hAnsi="Times New Roman"/>
                <w:sz w:val="20"/>
                <w:szCs w:val="20"/>
              </w:rPr>
              <w:t>att</w:t>
            </w:r>
            <w:r w:rsidR="006345D2" w:rsidRPr="006345D2">
              <w:rPr>
                <w:rFonts w:ascii="Times New Roman" w:hAnsi="Times New Roman"/>
                <w:sz w:val="20"/>
                <w:szCs w:val="20"/>
              </w:rPr>
              <w:t>ēls</w:t>
            </w:r>
            <w:r w:rsidR="006D56EB" w:rsidRPr="006345D2">
              <w:rPr>
                <w:rFonts w:ascii="Times New Roman" w:hAnsi="Times New Roman"/>
                <w:sz w:val="20"/>
                <w:szCs w:val="20"/>
              </w:rPr>
              <w:t>. Potenciālā zeme ar kadastra nr.</w:t>
            </w:r>
            <w:r w:rsidR="006345D2" w:rsidRPr="006345D2">
              <w:rPr>
                <w:rFonts w:ascii="Times New Roman" w:hAnsi="Times New Roman"/>
                <w:sz w:val="20"/>
                <w:szCs w:val="20"/>
              </w:rPr>
              <w:t> </w:t>
            </w:r>
            <w:r w:rsidR="006D56EB" w:rsidRPr="006345D2">
              <w:rPr>
                <w:rFonts w:ascii="Times New Roman" w:hAnsi="Times New Roman"/>
                <w:sz w:val="20"/>
                <w:szCs w:val="20"/>
              </w:rPr>
              <w:t xml:space="preserve">60700032213 </w:t>
            </w:r>
            <w:r w:rsidR="00B14BC2" w:rsidRPr="006345D2">
              <w:rPr>
                <w:rFonts w:ascii="Times New Roman" w:hAnsi="Times New Roman"/>
                <w:sz w:val="20"/>
                <w:szCs w:val="20"/>
              </w:rPr>
              <w:t xml:space="preserve">labiekārtotas </w:t>
            </w:r>
            <w:proofErr w:type="spellStart"/>
            <w:r w:rsidR="00B14BC2" w:rsidRPr="006345D2">
              <w:rPr>
                <w:rFonts w:ascii="Times New Roman" w:hAnsi="Times New Roman"/>
                <w:sz w:val="20"/>
                <w:szCs w:val="20"/>
              </w:rPr>
              <w:t>ūdenstūristu</w:t>
            </w:r>
            <w:proofErr w:type="spellEnd"/>
            <w:r w:rsidR="00B14BC2" w:rsidRPr="006345D2">
              <w:rPr>
                <w:rFonts w:ascii="Times New Roman" w:hAnsi="Times New Roman"/>
                <w:sz w:val="20"/>
                <w:szCs w:val="20"/>
              </w:rPr>
              <w:t xml:space="preserve"> apmetņu vietas / kempinga / atpūtas vietas / auto stāvvietas / laivu piestātnes / nolaišanas vietas izveidei</w:t>
            </w:r>
            <w:r w:rsidR="001F070E" w:rsidRPr="006345D2">
              <w:rPr>
                <w:rFonts w:ascii="Times New Roman" w:hAnsi="Times New Roman"/>
                <w:sz w:val="20"/>
                <w:szCs w:val="20"/>
              </w:rPr>
              <w:t xml:space="preserve"> (</w:t>
            </w:r>
            <w:r w:rsidR="001F070E" w:rsidRPr="00184E22">
              <w:rPr>
                <w:rFonts w:ascii="Times New Roman" w:hAnsi="Times New Roman"/>
                <w:sz w:val="20"/>
                <w:szCs w:val="20"/>
              </w:rPr>
              <w:t>DDPS</w:t>
            </w:r>
            <w:r w:rsidR="00184E22">
              <w:rPr>
                <w:rFonts w:ascii="Times New Roman" w:hAnsi="Times New Roman"/>
                <w:sz w:val="20"/>
                <w:szCs w:val="20"/>
              </w:rPr>
              <w:t xml:space="preserve"> “OZOLS”</w:t>
            </w:r>
            <w:r w:rsidR="001F070E" w:rsidRPr="006345D2">
              <w:rPr>
                <w:rFonts w:ascii="Times New Roman" w:hAnsi="Times New Roman"/>
                <w:sz w:val="20"/>
                <w:szCs w:val="20"/>
              </w:rPr>
              <w:t>, 2019)</w:t>
            </w:r>
            <w:r w:rsidR="006D56EB" w:rsidRPr="006345D2">
              <w:rPr>
                <w:rFonts w:ascii="Times New Roman" w:hAnsi="Times New Roman"/>
                <w:sz w:val="20"/>
                <w:szCs w:val="20"/>
              </w:rPr>
              <w:t>.</w:t>
            </w:r>
          </w:p>
        </w:tc>
      </w:tr>
      <w:tr w:rsidR="006D56EB" w:rsidRPr="00A07F29" w14:paraId="74CA5EB1" w14:textId="77777777" w:rsidTr="63C42FA1">
        <w:tc>
          <w:tcPr>
            <w:tcW w:w="4464" w:type="dxa"/>
            <w:hideMark/>
          </w:tcPr>
          <w:p w14:paraId="0BFF33A7" w14:textId="77777777" w:rsidR="006D56EB" w:rsidRPr="00A07F29" w:rsidRDefault="006D56EB" w:rsidP="006D56EB">
            <w:pPr>
              <w:spacing w:after="160" w:line="256" w:lineRule="auto"/>
              <w:contextualSpacing/>
              <w:jc w:val="both"/>
              <w:rPr>
                <w:rFonts w:ascii="Times New Roman" w:hAnsi="Times New Roman"/>
                <w:lang w:eastAsia="lv-LV"/>
              </w:rPr>
            </w:pPr>
            <w:r w:rsidRPr="00A07F29">
              <w:rPr>
                <w:noProof/>
                <w:lang w:eastAsia="lv-LV"/>
              </w:rPr>
              <w:drawing>
                <wp:inline distT="0" distB="0" distL="0" distR="0" wp14:anchorId="49497B9B" wp14:editId="3335E212">
                  <wp:extent cx="2514600" cy="2000250"/>
                  <wp:effectExtent l="0" t="0" r="0" b="0"/>
                  <wp:docPr id="170371821"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139">
                            <a:extLst>
                              <a:ext uri="{28A0092B-C50C-407E-A947-70E740481C1C}">
                                <a14:useLocalDpi xmlns:a14="http://schemas.microsoft.com/office/drawing/2010/main"/>
                              </a:ext>
                            </a:extLst>
                          </a:blip>
                          <a:srcRect l="14799" t="9988" r="16957" b="19363"/>
                          <a:stretch>
                            <a:fillRect/>
                          </a:stretch>
                        </pic:blipFill>
                        <pic:spPr>
                          <a:xfrm>
                            <a:off x="0" y="0"/>
                            <a:ext cx="2514600" cy="2000250"/>
                          </a:xfrm>
                          <a:prstGeom prst="rect">
                            <a:avLst/>
                          </a:prstGeom>
                        </pic:spPr>
                      </pic:pic>
                    </a:graphicData>
                  </a:graphic>
                </wp:inline>
              </w:drawing>
            </w:r>
          </w:p>
        </w:tc>
        <w:tc>
          <w:tcPr>
            <w:tcW w:w="4464" w:type="dxa"/>
            <w:hideMark/>
          </w:tcPr>
          <w:p w14:paraId="586D5107" w14:textId="77777777" w:rsidR="006D56EB" w:rsidRPr="00A07F29" w:rsidRDefault="006D56EB" w:rsidP="006D56EB">
            <w:pPr>
              <w:spacing w:after="160" w:line="256" w:lineRule="auto"/>
              <w:contextualSpacing/>
              <w:jc w:val="both"/>
              <w:rPr>
                <w:rFonts w:ascii="Times New Roman" w:hAnsi="Times New Roman"/>
                <w:lang w:eastAsia="lv-LV"/>
              </w:rPr>
            </w:pPr>
            <w:r w:rsidRPr="00A07F29">
              <w:rPr>
                <w:noProof/>
                <w:lang w:eastAsia="lv-LV"/>
              </w:rPr>
              <w:drawing>
                <wp:inline distT="0" distB="0" distL="0" distR="0" wp14:anchorId="62C8AD6A" wp14:editId="35F68BEA">
                  <wp:extent cx="2571750" cy="2000250"/>
                  <wp:effectExtent l="0" t="0" r="0" b="0"/>
                  <wp:docPr id="17037182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pic:nvPicPr>
                        <pic:blipFill>
                          <a:blip r:embed="rId140">
                            <a:extLst>
                              <a:ext uri="{28A0092B-C50C-407E-A947-70E740481C1C}">
                                <a14:useLocalDpi xmlns:a14="http://schemas.microsoft.com/office/drawing/2010/main"/>
                              </a:ext>
                            </a:extLst>
                          </a:blip>
                          <a:srcRect l="27811" t="15369" r="1216" b="9985"/>
                          <a:stretch>
                            <a:fillRect/>
                          </a:stretch>
                        </pic:blipFill>
                        <pic:spPr>
                          <a:xfrm>
                            <a:off x="0" y="0"/>
                            <a:ext cx="2571750" cy="2000250"/>
                          </a:xfrm>
                          <a:prstGeom prst="rect">
                            <a:avLst/>
                          </a:prstGeom>
                        </pic:spPr>
                      </pic:pic>
                    </a:graphicData>
                  </a:graphic>
                </wp:inline>
              </w:drawing>
            </w:r>
          </w:p>
        </w:tc>
      </w:tr>
      <w:tr w:rsidR="006D56EB" w:rsidRPr="00A07F29" w14:paraId="73119B00" w14:textId="77777777" w:rsidTr="63C42FA1">
        <w:tc>
          <w:tcPr>
            <w:tcW w:w="4464" w:type="dxa"/>
            <w:hideMark/>
          </w:tcPr>
          <w:p w14:paraId="129FB4C0" w14:textId="2C4D40CB" w:rsidR="006D56EB" w:rsidRPr="008C48BA" w:rsidRDefault="000C1CB5" w:rsidP="00BB7BB5">
            <w:pPr>
              <w:spacing w:after="120"/>
              <w:jc w:val="both"/>
              <w:rPr>
                <w:rFonts w:ascii="Times New Roman" w:hAnsi="Times New Roman"/>
                <w:sz w:val="20"/>
                <w:szCs w:val="20"/>
              </w:rPr>
            </w:pPr>
            <w:r w:rsidRPr="008C48BA">
              <w:rPr>
                <w:rFonts w:ascii="Times New Roman" w:hAnsi="Times New Roman"/>
                <w:sz w:val="20"/>
                <w:szCs w:val="20"/>
              </w:rPr>
              <w:t>5.3.</w:t>
            </w:r>
            <w:r w:rsidR="008C48BA" w:rsidRPr="008C48BA">
              <w:rPr>
                <w:rFonts w:ascii="Times New Roman" w:hAnsi="Times New Roman"/>
                <w:sz w:val="20"/>
                <w:szCs w:val="20"/>
              </w:rPr>
              <w:t>41</w:t>
            </w:r>
            <w:r w:rsidRPr="008C48BA">
              <w:rPr>
                <w:rFonts w:ascii="Times New Roman" w:hAnsi="Times New Roman"/>
                <w:sz w:val="20"/>
                <w:szCs w:val="20"/>
              </w:rPr>
              <w:t>.</w:t>
            </w:r>
            <w:r w:rsidR="008C48BA" w:rsidRPr="008C48BA">
              <w:rPr>
                <w:rFonts w:ascii="Times New Roman" w:hAnsi="Times New Roman"/>
                <w:sz w:val="20"/>
                <w:szCs w:val="20"/>
              </w:rPr>
              <w:t> </w:t>
            </w:r>
            <w:r w:rsidR="006D56EB" w:rsidRPr="008C48BA">
              <w:rPr>
                <w:rFonts w:ascii="Times New Roman" w:hAnsi="Times New Roman"/>
                <w:sz w:val="20"/>
                <w:szCs w:val="20"/>
              </w:rPr>
              <w:t>att</w:t>
            </w:r>
            <w:r w:rsidR="008C48BA" w:rsidRPr="008C48BA">
              <w:rPr>
                <w:rFonts w:ascii="Times New Roman" w:hAnsi="Times New Roman"/>
                <w:sz w:val="20"/>
                <w:szCs w:val="20"/>
              </w:rPr>
              <w:t>ēls</w:t>
            </w:r>
            <w:r w:rsidR="006D56EB" w:rsidRPr="008C48BA">
              <w:rPr>
                <w:rFonts w:ascii="Times New Roman" w:hAnsi="Times New Roman"/>
                <w:sz w:val="20"/>
                <w:szCs w:val="20"/>
              </w:rPr>
              <w:t>. Potenciālā zeme ar kadastra nr.</w:t>
            </w:r>
            <w:r w:rsidR="008C48BA" w:rsidRPr="008C48BA">
              <w:rPr>
                <w:rFonts w:ascii="Times New Roman" w:hAnsi="Times New Roman"/>
                <w:sz w:val="20"/>
                <w:szCs w:val="20"/>
              </w:rPr>
              <w:t> </w:t>
            </w:r>
            <w:r w:rsidR="006D56EB" w:rsidRPr="008C48BA">
              <w:rPr>
                <w:rFonts w:ascii="Times New Roman" w:hAnsi="Times New Roman"/>
                <w:sz w:val="20"/>
                <w:szCs w:val="20"/>
              </w:rPr>
              <w:t xml:space="preserve">60780040018 </w:t>
            </w:r>
            <w:r w:rsidR="00B14BC2" w:rsidRPr="008C48BA">
              <w:rPr>
                <w:rFonts w:ascii="Times New Roman" w:hAnsi="Times New Roman"/>
                <w:sz w:val="20"/>
                <w:szCs w:val="20"/>
              </w:rPr>
              <w:t xml:space="preserve">labiekārtotas </w:t>
            </w:r>
            <w:proofErr w:type="spellStart"/>
            <w:r w:rsidR="00B14BC2" w:rsidRPr="008C48BA">
              <w:rPr>
                <w:rFonts w:ascii="Times New Roman" w:hAnsi="Times New Roman"/>
                <w:sz w:val="20"/>
                <w:szCs w:val="20"/>
              </w:rPr>
              <w:t>ūdenstūristu</w:t>
            </w:r>
            <w:proofErr w:type="spellEnd"/>
            <w:r w:rsidR="00B14BC2" w:rsidRPr="008C48BA">
              <w:rPr>
                <w:rFonts w:ascii="Times New Roman" w:hAnsi="Times New Roman"/>
                <w:sz w:val="20"/>
                <w:szCs w:val="20"/>
              </w:rPr>
              <w:t xml:space="preserve"> apmetņu vietas / kempinga / atpūtas vietas / auto stāvvietas / laivu piestātnes / nolaišanas vietas izveidei</w:t>
            </w:r>
            <w:r w:rsidR="001F070E" w:rsidRPr="008C48BA">
              <w:rPr>
                <w:rFonts w:ascii="Times New Roman" w:hAnsi="Times New Roman"/>
                <w:sz w:val="20"/>
                <w:szCs w:val="20"/>
              </w:rPr>
              <w:t xml:space="preserve"> (</w:t>
            </w:r>
            <w:r w:rsidR="001F070E" w:rsidRPr="00184E22">
              <w:rPr>
                <w:rFonts w:ascii="Times New Roman" w:hAnsi="Times New Roman"/>
                <w:sz w:val="20"/>
                <w:szCs w:val="20"/>
              </w:rPr>
              <w:t>DDPS</w:t>
            </w:r>
            <w:r w:rsidR="00184E22">
              <w:rPr>
                <w:rFonts w:ascii="Times New Roman" w:hAnsi="Times New Roman"/>
                <w:sz w:val="20"/>
                <w:szCs w:val="20"/>
              </w:rPr>
              <w:t xml:space="preserve"> “OZOLS”</w:t>
            </w:r>
            <w:r w:rsidR="001F070E" w:rsidRPr="008C48BA">
              <w:rPr>
                <w:rFonts w:ascii="Times New Roman" w:hAnsi="Times New Roman"/>
                <w:sz w:val="20"/>
                <w:szCs w:val="20"/>
              </w:rPr>
              <w:t>, 2019)</w:t>
            </w:r>
            <w:r w:rsidR="006D56EB" w:rsidRPr="008C48BA">
              <w:rPr>
                <w:rFonts w:ascii="Times New Roman" w:hAnsi="Times New Roman"/>
                <w:sz w:val="20"/>
                <w:szCs w:val="20"/>
              </w:rPr>
              <w:t>.</w:t>
            </w:r>
          </w:p>
        </w:tc>
        <w:tc>
          <w:tcPr>
            <w:tcW w:w="4464" w:type="dxa"/>
            <w:hideMark/>
          </w:tcPr>
          <w:p w14:paraId="13E5D463" w14:textId="7D29FC86" w:rsidR="006D56EB" w:rsidRPr="0055422D" w:rsidRDefault="000C1CB5" w:rsidP="00BB7BB5">
            <w:pPr>
              <w:spacing w:after="120"/>
              <w:jc w:val="both"/>
              <w:rPr>
                <w:rFonts w:ascii="Times New Roman" w:hAnsi="Times New Roman"/>
                <w:sz w:val="20"/>
                <w:szCs w:val="20"/>
              </w:rPr>
            </w:pPr>
            <w:r w:rsidRPr="0055422D">
              <w:rPr>
                <w:rFonts w:ascii="Times New Roman" w:hAnsi="Times New Roman"/>
                <w:sz w:val="20"/>
                <w:szCs w:val="20"/>
              </w:rPr>
              <w:t>5.3.</w:t>
            </w:r>
            <w:r w:rsidR="00BB7BB5" w:rsidRPr="0055422D">
              <w:rPr>
                <w:rFonts w:ascii="Times New Roman" w:hAnsi="Times New Roman"/>
                <w:sz w:val="20"/>
                <w:szCs w:val="20"/>
              </w:rPr>
              <w:t>4</w:t>
            </w:r>
            <w:r w:rsidR="0055422D" w:rsidRPr="0055422D">
              <w:rPr>
                <w:rFonts w:ascii="Times New Roman" w:hAnsi="Times New Roman"/>
                <w:sz w:val="20"/>
                <w:szCs w:val="20"/>
              </w:rPr>
              <w:t>2</w:t>
            </w:r>
            <w:r w:rsidRPr="0055422D">
              <w:rPr>
                <w:rFonts w:ascii="Times New Roman" w:hAnsi="Times New Roman"/>
                <w:sz w:val="20"/>
                <w:szCs w:val="20"/>
              </w:rPr>
              <w:t>.</w:t>
            </w:r>
            <w:r w:rsidR="0055422D" w:rsidRPr="0055422D">
              <w:rPr>
                <w:rFonts w:ascii="Times New Roman" w:hAnsi="Times New Roman"/>
                <w:sz w:val="20"/>
                <w:szCs w:val="20"/>
              </w:rPr>
              <w:t> </w:t>
            </w:r>
            <w:r w:rsidR="006D56EB" w:rsidRPr="0055422D">
              <w:rPr>
                <w:rFonts w:ascii="Times New Roman" w:hAnsi="Times New Roman"/>
                <w:sz w:val="20"/>
                <w:szCs w:val="20"/>
              </w:rPr>
              <w:t>att</w:t>
            </w:r>
            <w:r w:rsidR="0055422D" w:rsidRPr="0055422D">
              <w:rPr>
                <w:rFonts w:ascii="Times New Roman" w:hAnsi="Times New Roman"/>
                <w:sz w:val="20"/>
                <w:szCs w:val="20"/>
              </w:rPr>
              <w:t>ēls</w:t>
            </w:r>
            <w:r w:rsidR="006D56EB" w:rsidRPr="0055422D">
              <w:rPr>
                <w:rFonts w:ascii="Times New Roman" w:hAnsi="Times New Roman"/>
                <w:sz w:val="20"/>
                <w:szCs w:val="20"/>
              </w:rPr>
              <w:t>. Potenciālā zeme ar kadastra nr.</w:t>
            </w:r>
            <w:r w:rsidR="0055422D" w:rsidRPr="0055422D">
              <w:rPr>
                <w:rFonts w:ascii="Times New Roman" w:hAnsi="Times New Roman"/>
                <w:sz w:val="20"/>
                <w:szCs w:val="20"/>
              </w:rPr>
              <w:t> </w:t>
            </w:r>
            <w:r w:rsidR="006D56EB" w:rsidRPr="0055422D">
              <w:rPr>
                <w:rFonts w:ascii="Times New Roman" w:hAnsi="Times New Roman"/>
                <w:sz w:val="20"/>
                <w:szCs w:val="20"/>
              </w:rPr>
              <w:t xml:space="preserve">60680070078 </w:t>
            </w:r>
            <w:r w:rsidR="00B14BC2" w:rsidRPr="0055422D">
              <w:rPr>
                <w:rFonts w:ascii="Times New Roman" w:hAnsi="Times New Roman"/>
                <w:sz w:val="20"/>
                <w:szCs w:val="20"/>
              </w:rPr>
              <w:t xml:space="preserve">labiekārtotas </w:t>
            </w:r>
            <w:proofErr w:type="spellStart"/>
            <w:r w:rsidR="00B14BC2" w:rsidRPr="0055422D">
              <w:rPr>
                <w:rFonts w:ascii="Times New Roman" w:hAnsi="Times New Roman"/>
                <w:sz w:val="20"/>
                <w:szCs w:val="20"/>
              </w:rPr>
              <w:t>ūdenstūristu</w:t>
            </w:r>
            <w:proofErr w:type="spellEnd"/>
            <w:r w:rsidR="00B14BC2" w:rsidRPr="0055422D">
              <w:rPr>
                <w:rFonts w:ascii="Times New Roman" w:hAnsi="Times New Roman"/>
                <w:sz w:val="20"/>
                <w:szCs w:val="20"/>
              </w:rPr>
              <w:t xml:space="preserve"> apmetņu vietas / kempinga / atpūtas vietas / auto stāvvietas / laivu piestātnes / nolaišanas vietas izveidei</w:t>
            </w:r>
            <w:r w:rsidR="001F070E" w:rsidRPr="0055422D">
              <w:rPr>
                <w:rFonts w:ascii="Times New Roman" w:hAnsi="Times New Roman"/>
                <w:sz w:val="20"/>
                <w:szCs w:val="20"/>
              </w:rPr>
              <w:t xml:space="preserve"> (</w:t>
            </w:r>
            <w:r w:rsidR="001F070E" w:rsidRPr="00184E22">
              <w:rPr>
                <w:rFonts w:ascii="Times New Roman" w:hAnsi="Times New Roman"/>
                <w:sz w:val="20"/>
                <w:szCs w:val="20"/>
              </w:rPr>
              <w:t>DDPS</w:t>
            </w:r>
            <w:r w:rsidR="00184E22">
              <w:rPr>
                <w:rFonts w:ascii="Times New Roman" w:hAnsi="Times New Roman"/>
                <w:sz w:val="20"/>
                <w:szCs w:val="20"/>
              </w:rPr>
              <w:t xml:space="preserve"> “OZOLS”</w:t>
            </w:r>
            <w:r w:rsidR="001F070E" w:rsidRPr="0055422D">
              <w:rPr>
                <w:rFonts w:ascii="Times New Roman" w:hAnsi="Times New Roman"/>
                <w:sz w:val="20"/>
                <w:szCs w:val="20"/>
              </w:rPr>
              <w:t>, 2019)</w:t>
            </w:r>
            <w:r w:rsidR="006D56EB" w:rsidRPr="0055422D">
              <w:rPr>
                <w:rFonts w:ascii="Times New Roman" w:hAnsi="Times New Roman"/>
                <w:sz w:val="20"/>
                <w:szCs w:val="20"/>
              </w:rPr>
              <w:t>.</w:t>
            </w:r>
          </w:p>
        </w:tc>
      </w:tr>
      <w:tr w:rsidR="006D56EB" w:rsidRPr="00A07F29" w14:paraId="3F776712" w14:textId="77777777" w:rsidTr="63C42FA1">
        <w:tc>
          <w:tcPr>
            <w:tcW w:w="4464" w:type="dxa"/>
            <w:hideMark/>
          </w:tcPr>
          <w:p w14:paraId="3E2FEEA2" w14:textId="77777777" w:rsidR="006D56EB" w:rsidRPr="00A07F29" w:rsidRDefault="006D56EB" w:rsidP="00AA0725">
            <w:pPr>
              <w:spacing w:after="160" w:line="256" w:lineRule="auto"/>
              <w:contextualSpacing/>
              <w:jc w:val="center"/>
              <w:rPr>
                <w:rFonts w:ascii="Times New Roman" w:hAnsi="Times New Roman"/>
              </w:rPr>
            </w:pPr>
            <w:r w:rsidRPr="00A07F29">
              <w:rPr>
                <w:noProof/>
                <w:lang w:eastAsia="lv-LV"/>
              </w:rPr>
              <w:lastRenderedPageBreak/>
              <w:drawing>
                <wp:inline distT="0" distB="0" distL="0" distR="0" wp14:anchorId="03875FD3" wp14:editId="10A800E5">
                  <wp:extent cx="2581275" cy="2047875"/>
                  <wp:effectExtent l="0" t="0" r="9525" b="9525"/>
                  <wp:docPr id="170371823"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pic:nvPicPr>
                        <pic:blipFill>
                          <a:blip r:embed="rId141">
                            <a:extLst>
                              <a:ext uri="{28A0092B-C50C-407E-A947-70E740481C1C}">
                                <a14:useLocalDpi xmlns:a14="http://schemas.microsoft.com/office/drawing/2010/main"/>
                              </a:ext>
                            </a:extLst>
                          </a:blip>
                          <a:srcRect l="37924" t="18503" r="13135" b="26247"/>
                          <a:stretch>
                            <a:fillRect/>
                          </a:stretch>
                        </pic:blipFill>
                        <pic:spPr>
                          <a:xfrm>
                            <a:off x="0" y="0"/>
                            <a:ext cx="2581275" cy="2047875"/>
                          </a:xfrm>
                          <a:prstGeom prst="rect">
                            <a:avLst/>
                          </a:prstGeom>
                        </pic:spPr>
                      </pic:pic>
                    </a:graphicData>
                  </a:graphic>
                </wp:inline>
              </w:drawing>
            </w:r>
          </w:p>
        </w:tc>
        <w:tc>
          <w:tcPr>
            <w:tcW w:w="4464" w:type="dxa"/>
            <w:hideMark/>
          </w:tcPr>
          <w:p w14:paraId="4FE280E3" w14:textId="77777777" w:rsidR="006D56EB" w:rsidRPr="00A07F29" w:rsidRDefault="006D56EB" w:rsidP="00AA0725">
            <w:pPr>
              <w:spacing w:after="160" w:line="256" w:lineRule="auto"/>
              <w:contextualSpacing/>
              <w:jc w:val="center"/>
              <w:rPr>
                <w:rFonts w:ascii="Times New Roman" w:hAnsi="Times New Roman"/>
              </w:rPr>
            </w:pPr>
            <w:r w:rsidRPr="00A07F29">
              <w:rPr>
                <w:noProof/>
                <w:lang w:eastAsia="lv-LV"/>
              </w:rPr>
              <w:drawing>
                <wp:inline distT="0" distB="0" distL="0" distR="0" wp14:anchorId="27D7ECBD" wp14:editId="1BC5FD51">
                  <wp:extent cx="2609850" cy="2000250"/>
                  <wp:effectExtent l="0" t="0" r="0" b="0"/>
                  <wp:docPr id="170371824"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pic:nvPicPr>
                        <pic:blipFill>
                          <a:blip r:embed="rId142">
                            <a:extLst>
                              <a:ext uri="{28A0092B-C50C-407E-A947-70E740481C1C}">
                                <a14:useLocalDpi xmlns:a14="http://schemas.microsoft.com/office/drawing/2010/main"/>
                              </a:ext>
                            </a:extLst>
                          </a:blip>
                          <a:srcRect l="5940" t="10954" r="23083" b="6160"/>
                          <a:stretch>
                            <a:fillRect/>
                          </a:stretch>
                        </pic:blipFill>
                        <pic:spPr>
                          <a:xfrm>
                            <a:off x="0" y="0"/>
                            <a:ext cx="2609850" cy="2000250"/>
                          </a:xfrm>
                          <a:prstGeom prst="rect">
                            <a:avLst/>
                          </a:prstGeom>
                        </pic:spPr>
                      </pic:pic>
                    </a:graphicData>
                  </a:graphic>
                </wp:inline>
              </w:drawing>
            </w:r>
          </w:p>
        </w:tc>
      </w:tr>
      <w:tr w:rsidR="006D56EB" w:rsidRPr="00A07F29" w14:paraId="3959AAD9" w14:textId="77777777" w:rsidTr="63C42FA1">
        <w:tc>
          <w:tcPr>
            <w:tcW w:w="4464" w:type="dxa"/>
            <w:hideMark/>
          </w:tcPr>
          <w:p w14:paraId="62B9F8E0" w14:textId="755CEBAD" w:rsidR="006D56EB" w:rsidRPr="00221567" w:rsidRDefault="000C1CB5" w:rsidP="00BB7BB5">
            <w:pPr>
              <w:spacing w:after="120"/>
              <w:jc w:val="both"/>
              <w:rPr>
                <w:rFonts w:ascii="Times New Roman" w:hAnsi="Times New Roman"/>
                <w:sz w:val="20"/>
                <w:szCs w:val="20"/>
              </w:rPr>
            </w:pPr>
            <w:r w:rsidRPr="00221567">
              <w:rPr>
                <w:rFonts w:ascii="Times New Roman" w:hAnsi="Times New Roman"/>
                <w:sz w:val="20"/>
                <w:szCs w:val="20"/>
              </w:rPr>
              <w:t>5.3.4</w:t>
            </w:r>
            <w:r w:rsidR="00E8502F" w:rsidRPr="00221567">
              <w:rPr>
                <w:rFonts w:ascii="Times New Roman" w:hAnsi="Times New Roman"/>
                <w:sz w:val="20"/>
                <w:szCs w:val="20"/>
              </w:rPr>
              <w:t>3</w:t>
            </w:r>
            <w:r w:rsidRPr="00221567">
              <w:rPr>
                <w:rFonts w:ascii="Times New Roman" w:hAnsi="Times New Roman"/>
                <w:sz w:val="20"/>
                <w:szCs w:val="20"/>
              </w:rPr>
              <w:t>.</w:t>
            </w:r>
            <w:r w:rsidR="00E8502F" w:rsidRPr="00221567">
              <w:rPr>
                <w:rFonts w:ascii="Times New Roman" w:hAnsi="Times New Roman"/>
                <w:sz w:val="20"/>
                <w:szCs w:val="20"/>
              </w:rPr>
              <w:t> </w:t>
            </w:r>
            <w:r w:rsidR="006D56EB" w:rsidRPr="00221567">
              <w:rPr>
                <w:rFonts w:ascii="Times New Roman" w:hAnsi="Times New Roman"/>
                <w:sz w:val="20"/>
                <w:szCs w:val="20"/>
              </w:rPr>
              <w:t>att</w:t>
            </w:r>
            <w:r w:rsidR="00E8502F" w:rsidRPr="00221567">
              <w:rPr>
                <w:rFonts w:ascii="Times New Roman" w:hAnsi="Times New Roman"/>
                <w:sz w:val="20"/>
                <w:szCs w:val="20"/>
              </w:rPr>
              <w:t>ēls</w:t>
            </w:r>
            <w:r w:rsidR="006D56EB" w:rsidRPr="00221567">
              <w:rPr>
                <w:rFonts w:ascii="Times New Roman" w:hAnsi="Times New Roman"/>
                <w:sz w:val="20"/>
                <w:szCs w:val="20"/>
              </w:rPr>
              <w:t>. Potenciālā zeme ar kadastra nr.</w:t>
            </w:r>
            <w:r w:rsidR="00E8502F" w:rsidRPr="00221567">
              <w:rPr>
                <w:rFonts w:ascii="Times New Roman" w:hAnsi="Times New Roman"/>
                <w:sz w:val="20"/>
                <w:szCs w:val="20"/>
              </w:rPr>
              <w:t> </w:t>
            </w:r>
            <w:r w:rsidR="006D56EB" w:rsidRPr="00221567">
              <w:rPr>
                <w:rFonts w:ascii="Times New Roman" w:hAnsi="Times New Roman"/>
                <w:sz w:val="20"/>
                <w:szCs w:val="20"/>
              </w:rPr>
              <w:t xml:space="preserve">60840030433 </w:t>
            </w:r>
            <w:r w:rsidR="00B14BC2" w:rsidRPr="00221567">
              <w:rPr>
                <w:rFonts w:ascii="Times New Roman" w:hAnsi="Times New Roman"/>
                <w:sz w:val="20"/>
                <w:szCs w:val="20"/>
              </w:rPr>
              <w:t xml:space="preserve">labiekārtotas </w:t>
            </w:r>
            <w:proofErr w:type="spellStart"/>
            <w:r w:rsidR="00B14BC2" w:rsidRPr="00221567">
              <w:rPr>
                <w:rFonts w:ascii="Times New Roman" w:hAnsi="Times New Roman"/>
                <w:sz w:val="20"/>
                <w:szCs w:val="20"/>
              </w:rPr>
              <w:t>ūdenstūristu</w:t>
            </w:r>
            <w:proofErr w:type="spellEnd"/>
            <w:r w:rsidR="00B14BC2" w:rsidRPr="00221567">
              <w:rPr>
                <w:rFonts w:ascii="Times New Roman" w:hAnsi="Times New Roman"/>
                <w:sz w:val="20"/>
                <w:szCs w:val="20"/>
              </w:rPr>
              <w:t xml:space="preserve"> apmetņu vietas / kempinga / atpūtas vietas / auto stāvvietas / laivu piestātnes / nolaišanas vietas izveidei</w:t>
            </w:r>
            <w:r w:rsidR="001F070E" w:rsidRPr="00221567">
              <w:rPr>
                <w:rFonts w:ascii="Times New Roman" w:hAnsi="Times New Roman"/>
                <w:sz w:val="20"/>
                <w:szCs w:val="20"/>
              </w:rPr>
              <w:t xml:space="preserve"> </w:t>
            </w:r>
            <w:r w:rsidR="001F070E" w:rsidRPr="00184E22">
              <w:rPr>
                <w:rFonts w:ascii="Times New Roman" w:hAnsi="Times New Roman"/>
                <w:sz w:val="20"/>
                <w:szCs w:val="20"/>
              </w:rPr>
              <w:t>(DDPS</w:t>
            </w:r>
            <w:r w:rsidR="00184E22">
              <w:rPr>
                <w:rFonts w:ascii="Times New Roman" w:hAnsi="Times New Roman"/>
                <w:sz w:val="20"/>
                <w:szCs w:val="20"/>
              </w:rPr>
              <w:t xml:space="preserve"> “OZOLS”</w:t>
            </w:r>
            <w:r w:rsidR="001F070E" w:rsidRPr="00221567">
              <w:rPr>
                <w:rFonts w:ascii="Times New Roman" w:hAnsi="Times New Roman"/>
                <w:sz w:val="20"/>
                <w:szCs w:val="20"/>
              </w:rPr>
              <w:t>, 2019)</w:t>
            </w:r>
            <w:r w:rsidR="006D56EB" w:rsidRPr="00221567">
              <w:rPr>
                <w:rFonts w:ascii="Times New Roman" w:hAnsi="Times New Roman"/>
                <w:sz w:val="20"/>
                <w:szCs w:val="20"/>
              </w:rPr>
              <w:t>.</w:t>
            </w:r>
          </w:p>
        </w:tc>
        <w:tc>
          <w:tcPr>
            <w:tcW w:w="4464" w:type="dxa"/>
            <w:hideMark/>
          </w:tcPr>
          <w:p w14:paraId="138D9354" w14:textId="377B8C93" w:rsidR="006D56EB" w:rsidRPr="00221567" w:rsidRDefault="000C1CB5" w:rsidP="00BB7BB5">
            <w:pPr>
              <w:spacing w:after="120"/>
              <w:jc w:val="both"/>
              <w:rPr>
                <w:rFonts w:ascii="Times New Roman" w:hAnsi="Times New Roman"/>
                <w:sz w:val="20"/>
                <w:szCs w:val="20"/>
              </w:rPr>
            </w:pPr>
            <w:r w:rsidRPr="00221567">
              <w:rPr>
                <w:rFonts w:ascii="Times New Roman" w:hAnsi="Times New Roman"/>
                <w:sz w:val="20"/>
                <w:szCs w:val="20"/>
              </w:rPr>
              <w:t>5.3.4</w:t>
            </w:r>
            <w:r w:rsidR="00221567" w:rsidRPr="00221567">
              <w:rPr>
                <w:rFonts w:ascii="Times New Roman" w:hAnsi="Times New Roman"/>
                <w:sz w:val="20"/>
                <w:szCs w:val="20"/>
              </w:rPr>
              <w:t>4</w:t>
            </w:r>
            <w:r w:rsidRPr="00221567">
              <w:rPr>
                <w:rFonts w:ascii="Times New Roman" w:hAnsi="Times New Roman"/>
                <w:sz w:val="20"/>
                <w:szCs w:val="20"/>
              </w:rPr>
              <w:t>.</w:t>
            </w:r>
            <w:r w:rsidR="00221567" w:rsidRPr="00221567">
              <w:rPr>
                <w:rFonts w:ascii="Times New Roman" w:hAnsi="Times New Roman"/>
                <w:sz w:val="20"/>
                <w:szCs w:val="20"/>
              </w:rPr>
              <w:t> </w:t>
            </w:r>
            <w:r w:rsidR="006D56EB" w:rsidRPr="00221567">
              <w:rPr>
                <w:rFonts w:ascii="Times New Roman" w:hAnsi="Times New Roman"/>
                <w:sz w:val="20"/>
                <w:szCs w:val="20"/>
              </w:rPr>
              <w:t>att</w:t>
            </w:r>
            <w:r w:rsidR="00221567" w:rsidRPr="00221567">
              <w:rPr>
                <w:rFonts w:ascii="Times New Roman" w:hAnsi="Times New Roman"/>
                <w:sz w:val="20"/>
                <w:szCs w:val="20"/>
              </w:rPr>
              <w:t>ēls</w:t>
            </w:r>
            <w:r w:rsidR="006D56EB" w:rsidRPr="00221567">
              <w:rPr>
                <w:rFonts w:ascii="Times New Roman" w:hAnsi="Times New Roman"/>
                <w:sz w:val="20"/>
                <w:szCs w:val="20"/>
              </w:rPr>
              <w:t>. Potenciālā zeme ar kadastra nr.</w:t>
            </w:r>
            <w:r w:rsidR="00221567" w:rsidRPr="00221567">
              <w:rPr>
                <w:rFonts w:ascii="Times New Roman" w:hAnsi="Times New Roman"/>
                <w:sz w:val="20"/>
                <w:szCs w:val="20"/>
              </w:rPr>
              <w:t> </w:t>
            </w:r>
            <w:r w:rsidR="006D56EB" w:rsidRPr="00221567">
              <w:rPr>
                <w:rFonts w:ascii="Times New Roman" w:hAnsi="Times New Roman"/>
                <w:sz w:val="20"/>
                <w:szCs w:val="20"/>
              </w:rPr>
              <w:t xml:space="preserve">60840040341 </w:t>
            </w:r>
            <w:r w:rsidR="00B14BC2" w:rsidRPr="00221567">
              <w:rPr>
                <w:rFonts w:ascii="Times New Roman" w:hAnsi="Times New Roman"/>
                <w:sz w:val="20"/>
                <w:szCs w:val="20"/>
              </w:rPr>
              <w:t xml:space="preserve">labiekārtotas </w:t>
            </w:r>
            <w:proofErr w:type="spellStart"/>
            <w:r w:rsidR="00B14BC2" w:rsidRPr="00221567">
              <w:rPr>
                <w:rFonts w:ascii="Times New Roman" w:hAnsi="Times New Roman"/>
                <w:sz w:val="20"/>
                <w:szCs w:val="20"/>
              </w:rPr>
              <w:t>ūdenstūristu</w:t>
            </w:r>
            <w:proofErr w:type="spellEnd"/>
            <w:r w:rsidR="00B14BC2" w:rsidRPr="00221567">
              <w:rPr>
                <w:rFonts w:ascii="Times New Roman" w:hAnsi="Times New Roman"/>
                <w:sz w:val="20"/>
                <w:szCs w:val="20"/>
              </w:rPr>
              <w:t xml:space="preserve"> apmetņu vietas / kempinga / atpūtas vietas / auto stāvvietas / laivu piestātnes / nolaišanas vietas izveidei</w:t>
            </w:r>
            <w:r w:rsidR="001F070E" w:rsidRPr="00221567">
              <w:rPr>
                <w:rFonts w:ascii="Times New Roman" w:hAnsi="Times New Roman"/>
                <w:sz w:val="20"/>
                <w:szCs w:val="20"/>
              </w:rPr>
              <w:t xml:space="preserve"> (</w:t>
            </w:r>
            <w:r w:rsidR="001F070E" w:rsidRPr="00184E22">
              <w:rPr>
                <w:rFonts w:ascii="Times New Roman" w:hAnsi="Times New Roman"/>
                <w:sz w:val="20"/>
                <w:szCs w:val="20"/>
              </w:rPr>
              <w:t>DDPS</w:t>
            </w:r>
            <w:r w:rsidR="00184E22">
              <w:rPr>
                <w:rFonts w:ascii="Times New Roman" w:hAnsi="Times New Roman"/>
                <w:sz w:val="20"/>
                <w:szCs w:val="20"/>
              </w:rPr>
              <w:t xml:space="preserve"> “OZOLS”</w:t>
            </w:r>
            <w:r w:rsidR="001F070E" w:rsidRPr="00221567">
              <w:rPr>
                <w:rFonts w:ascii="Times New Roman" w:hAnsi="Times New Roman"/>
                <w:sz w:val="20"/>
                <w:szCs w:val="20"/>
              </w:rPr>
              <w:t>, 2019)</w:t>
            </w:r>
            <w:r w:rsidR="006D56EB" w:rsidRPr="00221567">
              <w:rPr>
                <w:rFonts w:ascii="Times New Roman" w:hAnsi="Times New Roman"/>
                <w:sz w:val="20"/>
                <w:szCs w:val="20"/>
              </w:rPr>
              <w:t>.</w:t>
            </w:r>
          </w:p>
        </w:tc>
      </w:tr>
    </w:tbl>
    <w:p w14:paraId="08228DED" w14:textId="77777777" w:rsidR="00BD4703" w:rsidRPr="00A07F29" w:rsidRDefault="00BD4703" w:rsidP="00D56C16">
      <w:pPr>
        <w:spacing w:after="120" w:line="240" w:lineRule="auto"/>
        <w:jc w:val="both"/>
        <w:rPr>
          <w:rFonts w:ascii="Times New Roman" w:hAnsi="Times New Roman" w:cs="Times New Roman"/>
          <w:sz w:val="24"/>
          <w:szCs w:val="24"/>
        </w:rPr>
      </w:pPr>
    </w:p>
    <w:p w14:paraId="54674054" w14:textId="77777777" w:rsidR="00D56C16" w:rsidRPr="00A07F29" w:rsidRDefault="00D56C16" w:rsidP="00E63404">
      <w:pPr>
        <w:keepNext/>
        <w:spacing w:after="240" w:line="240" w:lineRule="auto"/>
        <w:jc w:val="both"/>
        <w:rPr>
          <w:rFonts w:ascii="Times New Roman" w:hAnsi="Times New Roman" w:cs="Times New Roman"/>
          <w:b/>
          <w:sz w:val="24"/>
          <w:szCs w:val="24"/>
        </w:rPr>
      </w:pPr>
      <w:r w:rsidRPr="00A07F29">
        <w:rPr>
          <w:rFonts w:ascii="Times New Roman" w:hAnsi="Times New Roman" w:cs="Times New Roman"/>
          <w:b/>
          <w:sz w:val="24"/>
          <w:szCs w:val="24"/>
        </w:rPr>
        <w:t xml:space="preserve">D.5. Ierīkot, pilnveidot un uzturēt </w:t>
      </w:r>
      <w:proofErr w:type="spellStart"/>
      <w:r w:rsidRPr="00A07F29">
        <w:rPr>
          <w:rFonts w:ascii="Times New Roman" w:hAnsi="Times New Roman" w:cs="Times New Roman"/>
          <w:b/>
          <w:sz w:val="24"/>
          <w:szCs w:val="24"/>
        </w:rPr>
        <w:t>velotūrismam</w:t>
      </w:r>
      <w:proofErr w:type="spellEnd"/>
      <w:r w:rsidRPr="00A07F29">
        <w:rPr>
          <w:rFonts w:ascii="Times New Roman" w:hAnsi="Times New Roman" w:cs="Times New Roman"/>
          <w:b/>
          <w:sz w:val="24"/>
          <w:szCs w:val="24"/>
        </w:rPr>
        <w:t xml:space="preserve"> nepieciešamo infrastruktūru</w:t>
      </w:r>
    </w:p>
    <w:p w14:paraId="181BAEDC" w14:textId="59400D32" w:rsidR="00D56C16" w:rsidRPr="00A07F29" w:rsidRDefault="00D56C16" w:rsidP="00D56C16">
      <w:pPr>
        <w:spacing w:after="12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t xml:space="preserve">Pilnveidojot un atjaunojot </w:t>
      </w:r>
      <w:proofErr w:type="spellStart"/>
      <w:r w:rsidRPr="00A07F29">
        <w:rPr>
          <w:rFonts w:ascii="Times New Roman" w:hAnsi="Times New Roman" w:cs="Times New Roman"/>
          <w:sz w:val="24"/>
          <w:szCs w:val="24"/>
        </w:rPr>
        <w:t>velomaršrutus</w:t>
      </w:r>
      <w:proofErr w:type="spellEnd"/>
      <w:r w:rsidRPr="00A07F29">
        <w:rPr>
          <w:rFonts w:ascii="Times New Roman" w:hAnsi="Times New Roman" w:cs="Times New Roman"/>
          <w:sz w:val="24"/>
          <w:szCs w:val="24"/>
        </w:rPr>
        <w:t>, nepieciešams izvietot vienota stila norādes visā AAA “Augšdaugava” teritorijā.</w:t>
      </w:r>
      <w:r w:rsidR="00B002C1" w:rsidRPr="00A07F29">
        <w:rPr>
          <w:rFonts w:ascii="Times New Roman" w:hAnsi="Times New Roman" w:cs="Times New Roman"/>
          <w:sz w:val="24"/>
          <w:szCs w:val="24"/>
        </w:rPr>
        <w:t xml:space="preserve"> </w:t>
      </w:r>
      <w:proofErr w:type="spellStart"/>
      <w:r w:rsidR="00B002C1" w:rsidRPr="00A07F29">
        <w:rPr>
          <w:rFonts w:ascii="Times New Roman" w:hAnsi="Times New Roman" w:cs="Times New Roman"/>
          <w:sz w:val="24"/>
          <w:szCs w:val="24"/>
        </w:rPr>
        <w:t>Velomaršrutus</w:t>
      </w:r>
      <w:proofErr w:type="spellEnd"/>
      <w:r w:rsidR="00B002C1" w:rsidRPr="00A07F29">
        <w:rPr>
          <w:rFonts w:ascii="Times New Roman" w:hAnsi="Times New Roman" w:cs="Times New Roman"/>
          <w:sz w:val="24"/>
          <w:szCs w:val="24"/>
        </w:rPr>
        <w:t>, kas izveidoti pa takām un veloceliņiem</w:t>
      </w:r>
      <w:r w:rsidR="00742F66" w:rsidRPr="00A07F29">
        <w:rPr>
          <w:rFonts w:ascii="Times New Roman" w:hAnsi="Times New Roman" w:cs="Times New Roman"/>
          <w:sz w:val="24"/>
          <w:szCs w:val="24"/>
        </w:rPr>
        <w:t>,</w:t>
      </w:r>
      <w:r w:rsidR="00B002C1" w:rsidRPr="00A07F29">
        <w:rPr>
          <w:rFonts w:ascii="Times New Roman" w:hAnsi="Times New Roman" w:cs="Times New Roman"/>
          <w:sz w:val="24"/>
          <w:szCs w:val="24"/>
        </w:rPr>
        <w:t xml:space="preserve"> ieteicams atzīmēt ar veloceliņa zīmi, lai norādītu, ka pa veloceliņu nedrīkst pārvietoties ar motocikliem un kvadricikliem</w:t>
      </w:r>
      <w:r w:rsidR="00742F66" w:rsidRPr="00A07F29">
        <w:rPr>
          <w:rFonts w:ascii="Times New Roman" w:hAnsi="Times New Roman" w:cs="Times New Roman"/>
          <w:sz w:val="24"/>
          <w:szCs w:val="24"/>
        </w:rPr>
        <w:t>,</w:t>
      </w:r>
      <w:r w:rsidR="00B002C1" w:rsidRPr="00A07F29">
        <w:rPr>
          <w:rFonts w:ascii="Times New Roman" w:hAnsi="Times New Roman" w:cs="Times New Roman"/>
          <w:sz w:val="24"/>
          <w:szCs w:val="24"/>
        </w:rPr>
        <w:t xml:space="preserve"> un atvieglotu kontroli.</w:t>
      </w:r>
    </w:p>
    <w:p w14:paraId="438277B3" w14:textId="30925ADF" w:rsidR="00742F66" w:rsidRPr="00A07F29" w:rsidRDefault="00742F66" w:rsidP="00742F66">
      <w:pPr>
        <w:spacing w:after="12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t xml:space="preserve">Plānojot </w:t>
      </w:r>
      <w:proofErr w:type="spellStart"/>
      <w:r w:rsidRPr="00A07F29">
        <w:rPr>
          <w:rFonts w:ascii="Times New Roman" w:hAnsi="Times New Roman" w:cs="Times New Roman"/>
          <w:sz w:val="24"/>
          <w:szCs w:val="24"/>
        </w:rPr>
        <w:t>velomaršrutus</w:t>
      </w:r>
      <w:proofErr w:type="spellEnd"/>
      <w:r w:rsidRPr="00A07F29">
        <w:rPr>
          <w:rFonts w:ascii="Times New Roman" w:hAnsi="Times New Roman" w:cs="Times New Roman"/>
          <w:sz w:val="24"/>
          <w:szCs w:val="24"/>
        </w:rPr>
        <w:t>, ieteicams ņemt vērā ne tikai iespējamos apskates objektus (skat. arī D.1. un D.2.</w:t>
      </w:r>
      <w:r w:rsidR="00132219">
        <w:rPr>
          <w:rFonts w:ascii="Times New Roman" w:hAnsi="Times New Roman" w:cs="Times New Roman"/>
          <w:sz w:val="24"/>
          <w:szCs w:val="24"/>
        </w:rPr>
        <w:t> </w:t>
      </w:r>
      <w:r w:rsidRPr="00A07F29">
        <w:rPr>
          <w:rFonts w:ascii="Times New Roman" w:hAnsi="Times New Roman" w:cs="Times New Roman"/>
          <w:sz w:val="24"/>
          <w:szCs w:val="24"/>
        </w:rPr>
        <w:t>pasākumus)</w:t>
      </w:r>
      <w:r w:rsidR="00B3296E" w:rsidRPr="00A07F29">
        <w:rPr>
          <w:rFonts w:ascii="Times New Roman" w:hAnsi="Times New Roman" w:cs="Times New Roman"/>
          <w:sz w:val="24"/>
          <w:szCs w:val="24"/>
        </w:rPr>
        <w:t xml:space="preserve">, bet arī </w:t>
      </w:r>
      <w:r w:rsidRPr="00A07F29">
        <w:rPr>
          <w:rFonts w:ascii="Times New Roman" w:hAnsi="Times New Roman" w:cs="Times New Roman"/>
          <w:sz w:val="24"/>
          <w:szCs w:val="24"/>
        </w:rPr>
        <w:t>atpūtas un nakšņošanas vietas (skat. arī D.3. un D.4.</w:t>
      </w:r>
      <w:r w:rsidR="00CC6880">
        <w:rPr>
          <w:rFonts w:ascii="Times New Roman" w:hAnsi="Times New Roman" w:cs="Times New Roman"/>
          <w:sz w:val="24"/>
          <w:szCs w:val="24"/>
        </w:rPr>
        <w:t> </w:t>
      </w:r>
      <w:r w:rsidRPr="00A07F29">
        <w:rPr>
          <w:rFonts w:ascii="Times New Roman" w:hAnsi="Times New Roman" w:cs="Times New Roman"/>
          <w:sz w:val="24"/>
          <w:szCs w:val="24"/>
        </w:rPr>
        <w:t>pas</w:t>
      </w:r>
      <w:r w:rsidR="00B3296E" w:rsidRPr="00A07F29">
        <w:rPr>
          <w:rFonts w:ascii="Times New Roman" w:hAnsi="Times New Roman" w:cs="Times New Roman"/>
          <w:sz w:val="24"/>
          <w:szCs w:val="24"/>
        </w:rPr>
        <w:t>ā</w:t>
      </w:r>
      <w:r w:rsidRPr="00A07F29">
        <w:rPr>
          <w:rFonts w:ascii="Times New Roman" w:hAnsi="Times New Roman" w:cs="Times New Roman"/>
          <w:sz w:val="24"/>
          <w:szCs w:val="24"/>
        </w:rPr>
        <w:t>kumus)</w:t>
      </w:r>
      <w:r w:rsidR="00B3296E" w:rsidRPr="00A07F29">
        <w:rPr>
          <w:rFonts w:ascii="Times New Roman" w:hAnsi="Times New Roman" w:cs="Times New Roman"/>
          <w:sz w:val="24"/>
          <w:szCs w:val="24"/>
        </w:rPr>
        <w:t>. Piemērotās vietās var veidot jaunas, galvenokārt</w:t>
      </w:r>
      <w:r w:rsidR="00CC6880">
        <w:rPr>
          <w:rFonts w:ascii="Times New Roman" w:hAnsi="Times New Roman" w:cs="Times New Roman"/>
          <w:sz w:val="24"/>
          <w:szCs w:val="24"/>
        </w:rPr>
        <w:t>,</w:t>
      </w:r>
      <w:r w:rsidR="00B3296E" w:rsidRPr="00A07F29">
        <w:rPr>
          <w:rFonts w:ascii="Times New Roman" w:hAnsi="Times New Roman" w:cs="Times New Roman"/>
          <w:sz w:val="24"/>
          <w:szCs w:val="24"/>
        </w:rPr>
        <w:t xml:space="preserve"> velotūristiem paredzētas atpūtas un apmetņu vietas, izvairoties no aizsargājamo sugu atradņu un aizsargājamo biotopu iznīcināšanas, kā arī izvēloties ainavai atbilstošus infrastruktūras risinājumus.</w:t>
      </w:r>
    </w:p>
    <w:p w14:paraId="790FE750" w14:textId="26D91E6D" w:rsidR="00D56C16" w:rsidRPr="00A07F29" w:rsidRDefault="0E6B778D" w:rsidP="00D56C16">
      <w:pPr>
        <w:spacing w:after="120" w:line="240" w:lineRule="auto"/>
        <w:ind w:firstLine="851"/>
        <w:jc w:val="both"/>
        <w:rPr>
          <w:rFonts w:ascii="Times New Roman" w:hAnsi="Times New Roman" w:cs="Times New Roman"/>
          <w:sz w:val="24"/>
          <w:szCs w:val="24"/>
        </w:rPr>
      </w:pPr>
      <w:proofErr w:type="spellStart"/>
      <w:r w:rsidRPr="00A07F29">
        <w:rPr>
          <w:rFonts w:ascii="Times New Roman" w:hAnsi="Times New Roman" w:cs="Times New Roman"/>
          <w:sz w:val="24"/>
          <w:szCs w:val="24"/>
        </w:rPr>
        <w:t>Velomaršrutus</w:t>
      </w:r>
      <w:proofErr w:type="spellEnd"/>
      <w:r w:rsidRPr="00A07F29">
        <w:rPr>
          <w:rFonts w:ascii="Times New Roman" w:hAnsi="Times New Roman" w:cs="Times New Roman"/>
          <w:sz w:val="24"/>
          <w:szCs w:val="24"/>
        </w:rPr>
        <w:t xml:space="preserve"> nepieciešams regulāri apsaimniekot, uzturot kārtībā ceļa segumu un nepieciešamības gadījumā to atjaunot, novākt kritušos kokus un zarus, savākt atkritumus un veikt citus nepieciešamos uzturēšanas darbus.</w:t>
      </w:r>
    </w:p>
    <w:p w14:paraId="2F35F28F" w14:textId="7B02CB5B" w:rsidR="00D56C16" w:rsidRPr="004F3420" w:rsidRDefault="00796C91" w:rsidP="004F3420">
      <w:pPr>
        <w:spacing w:after="12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t xml:space="preserve">Drošai ceļošanai ar velosipēdu </w:t>
      </w:r>
      <w:proofErr w:type="spellStart"/>
      <w:r w:rsidR="0096382E" w:rsidRPr="00A07F29">
        <w:rPr>
          <w:rFonts w:ascii="Times New Roman" w:hAnsi="Times New Roman" w:cs="Times New Roman"/>
          <w:sz w:val="24"/>
          <w:szCs w:val="24"/>
        </w:rPr>
        <w:t>velomaršrutos</w:t>
      </w:r>
      <w:proofErr w:type="spellEnd"/>
      <w:r w:rsidR="0096382E" w:rsidRPr="00A07F29">
        <w:rPr>
          <w:rFonts w:ascii="Times New Roman" w:hAnsi="Times New Roman" w:cs="Times New Roman"/>
          <w:sz w:val="24"/>
          <w:szCs w:val="24"/>
        </w:rPr>
        <w:t xml:space="preserve"> </w:t>
      </w:r>
      <w:r w:rsidR="007A1684" w:rsidRPr="00A07F29">
        <w:rPr>
          <w:rFonts w:ascii="Times New Roman" w:hAnsi="Times New Roman" w:cs="Times New Roman"/>
          <w:sz w:val="24"/>
          <w:szCs w:val="24"/>
        </w:rPr>
        <w:t xml:space="preserve">– viesu mājās, </w:t>
      </w:r>
      <w:r w:rsidR="0096382E" w:rsidRPr="00A07F29">
        <w:rPr>
          <w:rFonts w:ascii="Times New Roman" w:hAnsi="Times New Roman" w:cs="Times New Roman"/>
          <w:sz w:val="24"/>
          <w:szCs w:val="24"/>
        </w:rPr>
        <w:t>pagastu centros</w:t>
      </w:r>
      <w:r w:rsidR="007A1684" w:rsidRPr="00A07F29">
        <w:rPr>
          <w:rFonts w:ascii="Times New Roman" w:hAnsi="Times New Roman" w:cs="Times New Roman"/>
          <w:sz w:val="24"/>
          <w:szCs w:val="24"/>
        </w:rPr>
        <w:t xml:space="preserve"> u</w:t>
      </w:r>
      <w:r w:rsidR="00473B69">
        <w:rPr>
          <w:rFonts w:ascii="Times New Roman" w:hAnsi="Times New Roman" w:cs="Times New Roman"/>
          <w:sz w:val="24"/>
          <w:szCs w:val="24"/>
        </w:rPr>
        <w:t>.</w:t>
      </w:r>
      <w:r w:rsidR="007A1684" w:rsidRPr="00A07F29">
        <w:rPr>
          <w:rFonts w:ascii="Times New Roman" w:hAnsi="Times New Roman" w:cs="Times New Roman"/>
          <w:sz w:val="24"/>
          <w:szCs w:val="24"/>
        </w:rPr>
        <w:t>tml.</w:t>
      </w:r>
      <w:r w:rsidR="0096382E" w:rsidRPr="00A07F29">
        <w:rPr>
          <w:rFonts w:ascii="Times New Roman" w:hAnsi="Times New Roman" w:cs="Times New Roman"/>
          <w:sz w:val="24"/>
          <w:szCs w:val="24"/>
        </w:rPr>
        <w:t xml:space="preserve"> </w:t>
      </w:r>
      <w:r w:rsidRPr="00A07F29">
        <w:rPr>
          <w:rFonts w:ascii="Times New Roman" w:hAnsi="Times New Roman" w:cs="Times New Roman"/>
          <w:sz w:val="24"/>
          <w:szCs w:val="24"/>
        </w:rPr>
        <w:t xml:space="preserve">ieteicams ierīkot veloservisa pakalpojumu punktus, kuros </w:t>
      </w:r>
      <w:r w:rsidR="007A1684" w:rsidRPr="00A07F29">
        <w:rPr>
          <w:rFonts w:ascii="Times New Roman" w:hAnsi="Times New Roman" w:cs="Times New Roman"/>
          <w:sz w:val="24"/>
          <w:szCs w:val="24"/>
        </w:rPr>
        <w:t>pieejami veloservisam nepieciešamie instrumenti vai t</w:t>
      </w:r>
      <w:r w:rsidRPr="00A07F29">
        <w:rPr>
          <w:rFonts w:ascii="Times New Roman" w:hAnsi="Times New Roman" w:cs="Times New Roman"/>
          <w:sz w:val="24"/>
          <w:szCs w:val="24"/>
        </w:rPr>
        <w:t>iek sniegta velosipēdu apkope un remonts</w:t>
      </w:r>
      <w:r w:rsidR="007A1684" w:rsidRPr="00A07F29">
        <w:rPr>
          <w:rFonts w:ascii="Times New Roman" w:hAnsi="Times New Roman" w:cs="Times New Roman"/>
          <w:sz w:val="24"/>
          <w:szCs w:val="24"/>
        </w:rPr>
        <w:t>.</w:t>
      </w:r>
    </w:p>
    <w:p w14:paraId="43A71CE2" w14:textId="66CA2309" w:rsidR="00D56C16" w:rsidRPr="00A07F29" w:rsidRDefault="0E6B778D" w:rsidP="004F3420">
      <w:pPr>
        <w:keepNext/>
        <w:spacing w:before="240" w:after="120" w:line="240" w:lineRule="auto"/>
        <w:jc w:val="both"/>
        <w:rPr>
          <w:rFonts w:ascii="Times New Roman" w:hAnsi="Times New Roman" w:cs="Times New Roman"/>
          <w:b/>
          <w:bCs/>
          <w:i/>
          <w:iCs/>
          <w:sz w:val="24"/>
          <w:szCs w:val="24"/>
        </w:rPr>
      </w:pPr>
      <w:r w:rsidRPr="00A07F29">
        <w:rPr>
          <w:rFonts w:ascii="Times New Roman" w:hAnsi="Times New Roman" w:cs="Times New Roman"/>
          <w:b/>
          <w:bCs/>
          <w:i/>
          <w:iCs/>
          <w:sz w:val="24"/>
          <w:szCs w:val="24"/>
        </w:rPr>
        <w:t xml:space="preserve">D.5.1. </w:t>
      </w:r>
      <w:proofErr w:type="spellStart"/>
      <w:r w:rsidRPr="00A07F29">
        <w:rPr>
          <w:rFonts w:ascii="Times New Roman" w:hAnsi="Times New Roman" w:cs="Times New Roman"/>
          <w:b/>
          <w:bCs/>
          <w:i/>
          <w:iCs/>
          <w:sz w:val="24"/>
          <w:szCs w:val="24"/>
        </w:rPr>
        <w:t>Velomaršruta</w:t>
      </w:r>
      <w:proofErr w:type="spellEnd"/>
      <w:r w:rsidRPr="00A07F29">
        <w:rPr>
          <w:rFonts w:ascii="Times New Roman" w:hAnsi="Times New Roman" w:cs="Times New Roman"/>
          <w:b/>
          <w:bCs/>
          <w:i/>
          <w:iCs/>
          <w:sz w:val="24"/>
          <w:szCs w:val="24"/>
        </w:rPr>
        <w:t xml:space="preserve"> Nr.</w:t>
      </w:r>
      <w:r w:rsidR="00A167D4">
        <w:rPr>
          <w:rFonts w:ascii="Times New Roman" w:hAnsi="Times New Roman" w:cs="Times New Roman"/>
          <w:b/>
          <w:bCs/>
          <w:i/>
          <w:iCs/>
          <w:sz w:val="24"/>
          <w:szCs w:val="24"/>
        </w:rPr>
        <w:t> </w:t>
      </w:r>
      <w:r w:rsidRPr="00A07F29">
        <w:rPr>
          <w:rFonts w:ascii="Times New Roman" w:hAnsi="Times New Roman" w:cs="Times New Roman"/>
          <w:b/>
          <w:bCs/>
          <w:i/>
          <w:iCs/>
          <w:sz w:val="24"/>
          <w:szCs w:val="24"/>
        </w:rPr>
        <w:t>35 “Daugavas loki” pilnveidošana</w:t>
      </w:r>
    </w:p>
    <w:p w14:paraId="7D0BE822" w14:textId="687997B7" w:rsidR="00D56C16" w:rsidRPr="00A07F29" w:rsidRDefault="00D56C16" w:rsidP="00D56C16">
      <w:pPr>
        <w:spacing w:after="12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t xml:space="preserve">Tiek plānots </w:t>
      </w:r>
      <w:proofErr w:type="spellStart"/>
      <w:r w:rsidRPr="00A07F29">
        <w:rPr>
          <w:rFonts w:ascii="Times New Roman" w:hAnsi="Times New Roman" w:cs="Times New Roman"/>
          <w:sz w:val="24"/>
          <w:szCs w:val="24"/>
        </w:rPr>
        <w:t>velomaršrut</w:t>
      </w:r>
      <w:r w:rsidR="00DE47D1">
        <w:rPr>
          <w:rFonts w:ascii="Times New Roman" w:hAnsi="Times New Roman" w:cs="Times New Roman"/>
          <w:sz w:val="24"/>
          <w:szCs w:val="24"/>
        </w:rPr>
        <w:t>ā</w:t>
      </w:r>
      <w:proofErr w:type="spellEnd"/>
      <w:r w:rsidRPr="00A07F29">
        <w:rPr>
          <w:rFonts w:ascii="Times New Roman" w:hAnsi="Times New Roman" w:cs="Times New Roman"/>
          <w:sz w:val="24"/>
          <w:szCs w:val="24"/>
        </w:rPr>
        <w:t xml:space="preserve"> Nr.</w:t>
      </w:r>
      <w:r w:rsidR="00DE47D1">
        <w:rPr>
          <w:rFonts w:ascii="Times New Roman" w:hAnsi="Times New Roman" w:cs="Times New Roman"/>
          <w:sz w:val="24"/>
          <w:szCs w:val="24"/>
        </w:rPr>
        <w:t> </w:t>
      </w:r>
      <w:r w:rsidRPr="00A07F29">
        <w:rPr>
          <w:rFonts w:ascii="Times New Roman" w:hAnsi="Times New Roman" w:cs="Times New Roman"/>
          <w:sz w:val="24"/>
          <w:szCs w:val="24"/>
        </w:rPr>
        <w:t xml:space="preserve">35 “Daugavas loki” veikt korekcijas. Šobrīd maršruts posmā no </w:t>
      </w:r>
      <w:proofErr w:type="spellStart"/>
      <w:r w:rsidRPr="00A07F29">
        <w:rPr>
          <w:rFonts w:ascii="Times New Roman" w:hAnsi="Times New Roman" w:cs="Times New Roman"/>
          <w:sz w:val="24"/>
          <w:szCs w:val="24"/>
        </w:rPr>
        <w:t>Slutišķu</w:t>
      </w:r>
      <w:proofErr w:type="spellEnd"/>
      <w:r w:rsidRPr="00A07F29">
        <w:rPr>
          <w:rFonts w:ascii="Times New Roman" w:hAnsi="Times New Roman" w:cs="Times New Roman"/>
          <w:sz w:val="24"/>
          <w:szCs w:val="24"/>
        </w:rPr>
        <w:t xml:space="preserve"> kraujas līdz </w:t>
      </w:r>
      <w:proofErr w:type="spellStart"/>
      <w:r w:rsidRPr="00A07F29">
        <w:rPr>
          <w:rFonts w:ascii="Times New Roman" w:hAnsi="Times New Roman" w:cs="Times New Roman"/>
          <w:sz w:val="24"/>
          <w:szCs w:val="24"/>
        </w:rPr>
        <w:t>Slutišķu</w:t>
      </w:r>
      <w:proofErr w:type="spellEnd"/>
      <w:r w:rsidRPr="00A07F29">
        <w:rPr>
          <w:rFonts w:ascii="Times New Roman" w:hAnsi="Times New Roman" w:cs="Times New Roman"/>
          <w:sz w:val="24"/>
          <w:szCs w:val="24"/>
        </w:rPr>
        <w:t xml:space="preserve"> ciemam ved ar līkumiem, apejot apkārt lielākās </w:t>
      </w:r>
      <w:proofErr w:type="spellStart"/>
      <w:r w:rsidRPr="00A07F29">
        <w:rPr>
          <w:rFonts w:ascii="Times New Roman" w:hAnsi="Times New Roman" w:cs="Times New Roman"/>
          <w:sz w:val="24"/>
          <w:szCs w:val="24"/>
        </w:rPr>
        <w:t>karengravas</w:t>
      </w:r>
      <w:proofErr w:type="spellEnd"/>
      <w:r w:rsidRPr="00A07F29">
        <w:rPr>
          <w:rFonts w:ascii="Times New Roman" w:hAnsi="Times New Roman" w:cs="Times New Roman"/>
          <w:sz w:val="24"/>
          <w:szCs w:val="24"/>
        </w:rPr>
        <w:t xml:space="preserve">. Tiek plānots izveidot tiltus pāri </w:t>
      </w:r>
      <w:proofErr w:type="spellStart"/>
      <w:r w:rsidRPr="00A07F29">
        <w:rPr>
          <w:rFonts w:ascii="Times New Roman" w:hAnsi="Times New Roman" w:cs="Times New Roman"/>
          <w:sz w:val="24"/>
          <w:szCs w:val="24"/>
        </w:rPr>
        <w:t>karengravām</w:t>
      </w:r>
      <w:proofErr w:type="spellEnd"/>
      <w:r w:rsidRPr="00A07F29">
        <w:rPr>
          <w:rFonts w:ascii="Times New Roman" w:hAnsi="Times New Roman" w:cs="Times New Roman"/>
          <w:sz w:val="24"/>
          <w:szCs w:val="24"/>
        </w:rPr>
        <w:t xml:space="preserve">, kas būtu gan vizuāli ainaviski, gan arī ļautu nokļūt no </w:t>
      </w:r>
      <w:proofErr w:type="spellStart"/>
      <w:r w:rsidRPr="00A07F29">
        <w:rPr>
          <w:rFonts w:ascii="Times New Roman" w:hAnsi="Times New Roman" w:cs="Times New Roman"/>
          <w:sz w:val="24"/>
          <w:szCs w:val="24"/>
        </w:rPr>
        <w:t>Slutišķu</w:t>
      </w:r>
      <w:proofErr w:type="spellEnd"/>
      <w:r w:rsidRPr="00A07F29">
        <w:rPr>
          <w:rFonts w:ascii="Times New Roman" w:hAnsi="Times New Roman" w:cs="Times New Roman"/>
          <w:sz w:val="24"/>
          <w:szCs w:val="24"/>
        </w:rPr>
        <w:t xml:space="preserve"> kraujas līdz ciemam taisnākā maršrutā. Daugavpils novada pašvaldības aģentūra “TAKA” ir saņēmusi </w:t>
      </w:r>
      <w:proofErr w:type="spellStart"/>
      <w:r w:rsidRPr="00A07F29">
        <w:rPr>
          <w:rFonts w:ascii="Times New Roman" w:hAnsi="Times New Roman" w:cs="Times New Roman"/>
          <w:sz w:val="24"/>
          <w:szCs w:val="24"/>
        </w:rPr>
        <w:t>ģeomorfologa</w:t>
      </w:r>
      <w:proofErr w:type="spellEnd"/>
      <w:r w:rsidRPr="00A07F29">
        <w:rPr>
          <w:rFonts w:ascii="Times New Roman" w:hAnsi="Times New Roman" w:cs="Times New Roman"/>
          <w:sz w:val="24"/>
          <w:szCs w:val="24"/>
        </w:rPr>
        <w:t xml:space="preserve"> atzinumu par plānotā </w:t>
      </w:r>
      <w:proofErr w:type="spellStart"/>
      <w:r w:rsidRPr="00A07F29">
        <w:rPr>
          <w:rFonts w:ascii="Times New Roman" w:hAnsi="Times New Roman" w:cs="Times New Roman"/>
          <w:sz w:val="24"/>
          <w:szCs w:val="24"/>
        </w:rPr>
        <w:t>velomaršruta</w:t>
      </w:r>
      <w:proofErr w:type="spellEnd"/>
      <w:r w:rsidRPr="00A07F29">
        <w:rPr>
          <w:rFonts w:ascii="Times New Roman" w:hAnsi="Times New Roman" w:cs="Times New Roman"/>
          <w:sz w:val="24"/>
          <w:szCs w:val="24"/>
        </w:rPr>
        <w:t xml:space="preserve"> posma izveidi</w:t>
      </w:r>
      <w:r w:rsidR="009737C8" w:rsidRPr="00A07F29">
        <w:rPr>
          <w:rFonts w:ascii="Times New Roman" w:hAnsi="Times New Roman" w:cs="Times New Roman"/>
          <w:sz w:val="24"/>
          <w:szCs w:val="24"/>
        </w:rPr>
        <w:t xml:space="preserve"> (</w:t>
      </w:r>
      <w:r w:rsidR="009A0088">
        <w:rPr>
          <w:rFonts w:ascii="Times New Roman" w:hAnsi="Times New Roman" w:cs="Times New Roman"/>
          <w:sz w:val="24"/>
          <w:szCs w:val="24"/>
        </w:rPr>
        <w:t xml:space="preserve">skat. </w:t>
      </w:r>
      <w:r w:rsidR="009737C8" w:rsidRPr="00A07F29">
        <w:rPr>
          <w:rFonts w:ascii="Times New Roman" w:hAnsi="Times New Roman" w:cs="Times New Roman"/>
          <w:sz w:val="24"/>
          <w:szCs w:val="24"/>
        </w:rPr>
        <w:t>5.3.</w:t>
      </w:r>
      <w:r w:rsidR="00BB7BB5" w:rsidRPr="00A07F29">
        <w:rPr>
          <w:rFonts w:ascii="Times New Roman" w:hAnsi="Times New Roman" w:cs="Times New Roman"/>
          <w:sz w:val="24"/>
          <w:szCs w:val="24"/>
        </w:rPr>
        <w:t>4</w:t>
      </w:r>
      <w:r w:rsidR="009A0088">
        <w:rPr>
          <w:rFonts w:ascii="Times New Roman" w:hAnsi="Times New Roman" w:cs="Times New Roman"/>
          <w:sz w:val="24"/>
          <w:szCs w:val="24"/>
        </w:rPr>
        <w:t>5</w:t>
      </w:r>
      <w:r w:rsidR="009737C8" w:rsidRPr="00A07F29">
        <w:rPr>
          <w:rFonts w:ascii="Times New Roman" w:hAnsi="Times New Roman" w:cs="Times New Roman"/>
          <w:sz w:val="24"/>
          <w:szCs w:val="24"/>
        </w:rPr>
        <w:t>.</w:t>
      </w:r>
      <w:r w:rsidR="009A0088">
        <w:rPr>
          <w:rFonts w:ascii="Times New Roman" w:hAnsi="Times New Roman" w:cs="Times New Roman"/>
          <w:sz w:val="24"/>
          <w:szCs w:val="24"/>
        </w:rPr>
        <w:t> </w:t>
      </w:r>
      <w:r w:rsidR="009737C8" w:rsidRPr="00A07F29">
        <w:rPr>
          <w:rFonts w:ascii="Times New Roman" w:hAnsi="Times New Roman" w:cs="Times New Roman"/>
          <w:sz w:val="24"/>
          <w:szCs w:val="24"/>
        </w:rPr>
        <w:t>att</w:t>
      </w:r>
      <w:r w:rsidR="009A0088">
        <w:rPr>
          <w:rFonts w:ascii="Times New Roman" w:hAnsi="Times New Roman" w:cs="Times New Roman"/>
          <w:sz w:val="24"/>
          <w:szCs w:val="24"/>
        </w:rPr>
        <w:t>ēls</w:t>
      </w:r>
      <w:r w:rsidR="009737C8" w:rsidRPr="00A07F29">
        <w:rPr>
          <w:rFonts w:ascii="Times New Roman" w:hAnsi="Times New Roman" w:cs="Times New Roman"/>
          <w:sz w:val="24"/>
          <w:szCs w:val="24"/>
        </w:rPr>
        <w:t>)</w:t>
      </w:r>
      <w:r w:rsidRPr="00A07F29">
        <w:rPr>
          <w:rFonts w:ascii="Times New Roman" w:hAnsi="Times New Roman" w:cs="Times New Roman"/>
          <w:sz w:val="24"/>
          <w:szCs w:val="24"/>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33"/>
      </w:tblGrid>
      <w:tr w:rsidR="00FB196A" w:rsidRPr="00A07F29" w14:paraId="59DBDD51" w14:textId="77777777" w:rsidTr="63C42FA1">
        <w:trPr>
          <w:jc w:val="center"/>
        </w:trPr>
        <w:tc>
          <w:tcPr>
            <w:tcW w:w="9344" w:type="dxa"/>
          </w:tcPr>
          <w:p w14:paraId="3F84847F" w14:textId="1B8492E3" w:rsidR="00FB196A" w:rsidRPr="00A07F29" w:rsidRDefault="00BB7BB5" w:rsidP="006D56EB">
            <w:pPr>
              <w:tabs>
                <w:tab w:val="left" w:pos="3570"/>
              </w:tabs>
              <w:spacing w:line="256" w:lineRule="auto"/>
              <w:jc w:val="both"/>
              <w:rPr>
                <w:rFonts w:ascii="Times New Roman" w:eastAsia="Calibri" w:hAnsi="Times New Roman" w:cs="Times New Roman"/>
                <w:sz w:val="24"/>
                <w:szCs w:val="24"/>
              </w:rPr>
            </w:pPr>
            <w:r w:rsidRPr="00A07F29">
              <w:rPr>
                <w:noProof/>
                <w:lang w:eastAsia="lv-LV"/>
              </w:rPr>
              <w:lastRenderedPageBreak/>
              <w:drawing>
                <wp:inline distT="0" distB="0" distL="0" distR="0" wp14:anchorId="4686FF99" wp14:editId="4DF5C23C">
                  <wp:extent cx="5731510" cy="4051935"/>
                  <wp:effectExtent l="0" t="0" r="2540" b="5715"/>
                  <wp:docPr id="170371799" name="Picture 170371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371799"/>
                          <pic:cNvPicPr/>
                        </pic:nvPicPr>
                        <pic:blipFill>
                          <a:blip r:embed="rId143">
                            <a:extLst>
                              <a:ext uri="{28A0092B-C50C-407E-A947-70E740481C1C}">
                                <a14:useLocalDpi xmlns:a14="http://schemas.microsoft.com/office/drawing/2010/main" val="0"/>
                              </a:ext>
                            </a:extLst>
                          </a:blip>
                          <a:stretch>
                            <a:fillRect/>
                          </a:stretch>
                        </pic:blipFill>
                        <pic:spPr>
                          <a:xfrm>
                            <a:off x="0" y="0"/>
                            <a:ext cx="5731510" cy="4051935"/>
                          </a:xfrm>
                          <a:prstGeom prst="rect">
                            <a:avLst/>
                          </a:prstGeom>
                        </pic:spPr>
                      </pic:pic>
                    </a:graphicData>
                  </a:graphic>
                </wp:inline>
              </w:drawing>
            </w:r>
          </w:p>
        </w:tc>
      </w:tr>
      <w:tr w:rsidR="00FB196A" w:rsidRPr="00A07F29" w14:paraId="6EE3A972" w14:textId="77777777" w:rsidTr="63C42FA1">
        <w:trPr>
          <w:jc w:val="center"/>
        </w:trPr>
        <w:tc>
          <w:tcPr>
            <w:tcW w:w="9344" w:type="dxa"/>
          </w:tcPr>
          <w:p w14:paraId="62C65CD1" w14:textId="23F2C8FC" w:rsidR="00FB196A" w:rsidRPr="00291789" w:rsidRDefault="0E6B778D" w:rsidP="00BB7BB5">
            <w:pPr>
              <w:tabs>
                <w:tab w:val="left" w:pos="3570"/>
              </w:tabs>
              <w:spacing w:line="256" w:lineRule="auto"/>
              <w:jc w:val="both"/>
              <w:rPr>
                <w:rFonts w:ascii="Times New Roman" w:eastAsia="Calibri" w:hAnsi="Times New Roman" w:cs="Times New Roman"/>
                <w:sz w:val="20"/>
                <w:szCs w:val="20"/>
              </w:rPr>
            </w:pPr>
            <w:r w:rsidRPr="00291789">
              <w:rPr>
                <w:rFonts w:ascii="Times New Roman" w:eastAsia="Calibri" w:hAnsi="Times New Roman" w:cs="Times New Roman"/>
                <w:sz w:val="20"/>
                <w:szCs w:val="20"/>
              </w:rPr>
              <w:t>5.3.4</w:t>
            </w:r>
            <w:r w:rsidR="00291789" w:rsidRPr="00291789">
              <w:rPr>
                <w:rFonts w:ascii="Times New Roman" w:eastAsia="Calibri" w:hAnsi="Times New Roman" w:cs="Times New Roman"/>
                <w:sz w:val="20"/>
                <w:szCs w:val="20"/>
              </w:rPr>
              <w:t>5</w:t>
            </w:r>
            <w:r w:rsidRPr="00291789">
              <w:rPr>
                <w:rFonts w:ascii="Times New Roman" w:eastAsia="Calibri" w:hAnsi="Times New Roman" w:cs="Times New Roman"/>
                <w:sz w:val="20"/>
                <w:szCs w:val="20"/>
              </w:rPr>
              <w:t>.</w:t>
            </w:r>
            <w:r w:rsidR="00291789" w:rsidRPr="00291789">
              <w:rPr>
                <w:rFonts w:ascii="Times New Roman" w:eastAsia="Calibri" w:hAnsi="Times New Roman" w:cs="Times New Roman"/>
                <w:sz w:val="20"/>
                <w:szCs w:val="20"/>
              </w:rPr>
              <w:t> </w:t>
            </w:r>
            <w:r w:rsidRPr="00291789">
              <w:rPr>
                <w:rFonts w:ascii="Times New Roman" w:eastAsia="Calibri" w:hAnsi="Times New Roman" w:cs="Times New Roman"/>
                <w:sz w:val="20"/>
                <w:szCs w:val="20"/>
              </w:rPr>
              <w:t>attēls.</w:t>
            </w:r>
            <w:r w:rsidRPr="00291789">
              <w:rPr>
                <w:sz w:val="20"/>
                <w:szCs w:val="20"/>
              </w:rPr>
              <w:t xml:space="preserve"> </w:t>
            </w:r>
            <w:proofErr w:type="spellStart"/>
            <w:r w:rsidRPr="00291789">
              <w:rPr>
                <w:rFonts w:ascii="Times New Roman" w:eastAsia="Calibri" w:hAnsi="Times New Roman" w:cs="Times New Roman"/>
                <w:sz w:val="20"/>
                <w:szCs w:val="20"/>
              </w:rPr>
              <w:t>Velomaršruta</w:t>
            </w:r>
            <w:proofErr w:type="spellEnd"/>
            <w:r w:rsidRPr="00291789">
              <w:rPr>
                <w:rFonts w:ascii="Times New Roman" w:eastAsia="Calibri" w:hAnsi="Times New Roman" w:cs="Times New Roman"/>
                <w:sz w:val="20"/>
                <w:szCs w:val="20"/>
              </w:rPr>
              <w:t xml:space="preserve"> Nr.</w:t>
            </w:r>
            <w:r w:rsidR="00291789" w:rsidRPr="00291789">
              <w:rPr>
                <w:rFonts w:ascii="Times New Roman" w:eastAsia="Calibri" w:hAnsi="Times New Roman" w:cs="Times New Roman"/>
                <w:sz w:val="20"/>
                <w:szCs w:val="20"/>
              </w:rPr>
              <w:t> </w:t>
            </w:r>
            <w:r w:rsidRPr="00291789">
              <w:rPr>
                <w:rFonts w:ascii="Times New Roman" w:eastAsia="Calibri" w:hAnsi="Times New Roman" w:cs="Times New Roman"/>
                <w:sz w:val="20"/>
                <w:szCs w:val="20"/>
              </w:rPr>
              <w:t>35 “Daugavas loki” korekcijas</w:t>
            </w:r>
          </w:p>
        </w:tc>
      </w:tr>
    </w:tbl>
    <w:p w14:paraId="75D74267" w14:textId="31BAD936" w:rsidR="00D56C16" w:rsidRPr="00A07F29" w:rsidRDefault="0E6B778D" w:rsidP="00291789">
      <w:pPr>
        <w:keepNext/>
        <w:spacing w:before="240" w:after="120" w:line="240" w:lineRule="auto"/>
        <w:jc w:val="both"/>
        <w:rPr>
          <w:rFonts w:ascii="Times New Roman" w:hAnsi="Times New Roman" w:cs="Times New Roman"/>
          <w:b/>
          <w:bCs/>
          <w:i/>
          <w:iCs/>
          <w:sz w:val="24"/>
          <w:szCs w:val="24"/>
        </w:rPr>
      </w:pPr>
      <w:r w:rsidRPr="00A07F29">
        <w:rPr>
          <w:rFonts w:ascii="Times New Roman" w:hAnsi="Times New Roman" w:cs="Times New Roman"/>
          <w:b/>
          <w:bCs/>
          <w:i/>
          <w:iCs/>
          <w:sz w:val="24"/>
          <w:szCs w:val="24"/>
        </w:rPr>
        <w:t xml:space="preserve">D.5.2. </w:t>
      </w:r>
      <w:proofErr w:type="spellStart"/>
      <w:r w:rsidRPr="00A07F29">
        <w:rPr>
          <w:rFonts w:ascii="Times New Roman" w:hAnsi="Times New Roman" w:cs="Times New Roman"/>
          <w:b/>
          <w:bCs/>
          <w:i/>
          <w:iCs/>
          <w:sz w:val="24"/>
          <w:szCs w:val="24"/>
        </w:rPr>
        <w:t>Velomaršruta</w:t>
      </w:r>
      <w:proofErr w:type="spellEnd"/>
      <w:r w:rsidRPr="00A07F29">
        <w:rPr>
          <w:rFonts w:ascii="Times New Roman" w:hAnsi="Times New Roman" w:cs="Times New Roman"/>
          <w:b/>
          <w:bCs/>
          <w:i/>
          <w:iCs/>
          <w:sz w:val="24"/>
          <w:szCs w:val="24"/>
        </w:rPr>
        <w:t xml:space="preserve"> Krāslava – Piedruja izveidošana</w:t>
      </w:r>
      <w:r w:rsidR="000519E0" w:rsidRPr="00A07F29">
        <w:rPr>
          <w:rFonts w:ascii="Times New Roman" w:hAnsi="Times New Roman" w:cs="Times New Roman"/>
          <w:b/>
          <w:bCs/>
          <w:i/>
          <w:iCs/>
          <w:sz w:val="24"/>
          <w:szCs w:val="24"/>
        </w:rPr>
        <w:t xml:space="preserve"> un uzturēšana</w:t>
      </w:r>
    </w:p>
    <w:p w14:paraId="5E1B4DE5" w14:textId="2A2DD97B" w:rsidR="00D56C16" w:rsidRPr="00A07F29" w:rsidRDefault="00D56C16" w:rsidP="00D56C16">
      <w:pPr>
        <w:spacing w:after="12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t>Latvijas</w:t>
      </w:r>
      <w:r w:rsidR="00363853">
        <w:rPr>
          <w:rFonts w:ascii="Times New Roman" w:hAnsi="Times New Roman" w:cs="Times New Roman"/>
          <w:sz w:val="24"/>
          <w:szCs w:val="24"/>
        </w:rPr>
        <w:t> – </w:t>
      </w:r>
      <w:r w:rsidRPr="00A07F29">
        <w:rPr>
          <w:rFonts w:ascii="Times New Roman" w:hAnsi="Times New Roman" w:cs="Times New Roman"/>
          <w:sz w:val="24"/>
          <w:szCs w:val="24"/>
        </w:rPr>
        <w:t>Baltkrievijas pierobežā Krāslavas novada Krāslavas, Kalniešu un Piedrujas pagastos ar LAD LEADER programmas atbalstu 2020.</w:t>
      </w:r>
      <w:r w:rsidR="00363853">
        <w:rPr>
          <w:rFonts w:ascii="Times New Roman" w:hAnsi="Times New Roman" w:cs="Times New Roman"/>
          <w:sz w:val="24"/>
          <w:szCs w:val="24"/>
        </w:rPr>
        <w:t> </w:t>
      </w:r>
      <w:r w:rsidRPr="00A07F29">
        <w:rPr>
          <w:rFonts w:ascii="Times New Roman" w:hAnsi="Times New Roman" w:cs="Times New Roman"/>
          <w:sz w:val="24"/>
          <w:szCs w:val="24"/>
        </w:rPr>
        <w:t xml:space="preserve">gadā izveidots jauns </w:t>
      </w:r>
      <w:proofErr w:type="spellStart"/>
      <w:r w:rsidRPr="00A07F29">
        <w:rPr>
          <w:rFonts w:ascii="Times New Roman" w:hAnsi="Times New Roman" w:cs="Times New Roman"/>
          <w:sz w:val="24"/>
          <w:szCs w:val="24"/>
        </w:rPr>
        <w:t>velomaršruts</w:t>
      </w:r>
      <w:proofErr w:type="spellEnd"/>
      <w:r w:rsidRPr="00A07F29">
        <w:rPr>
          <w:rFonts w:ascii="Times New Roman" w:hAnsi="Times New Roman" w:cs="Times New Roman"/>
          <w:sz w:val="24"/>
          <w:szCs w:val="24"/>
        </w:rPr>
        <w:t xml:space="preserve"> (Krāslava</w:t>
      </w:r>
      <w:r w:rsidR="00363853">
        <w:rPr>
          <w:rFonts w:ascii="Times New Roman" w:hAnsi="Times New Roman" w:cs="Times New Roman"/>
          <w:sz w:val="24"/>
          <w:szCs w:val="24"/>
        </w:rPr>
        <w:t> </w:t>
      </w:r>
      <w:r w:rsidRPr="00A07F29">
        <w:rPr>
          <w:rFonts w:ascii="Times New Roman" w:hAnsi="Times New Roman" w:cs="Times New Roman"/>
          <w:sz w:val="24"/>
          <w:szCs w:val="24"/>
        </w:rPr>
        <w:t>–</w:t>
      </w:r>
      <w:r w:rsidR="00363853">
        <w:rPr>
          <w:rFonts w:ascii="Times New Roman" w:hAnsi="Times New Roman" w:cs="Times New Roman"/>
          <w:sz w:val="24"/>
          <w:szCs w:val="24"/>
        </w:rPr>
        <w:t> </w:t>
      </w:r>
      <w:r w:rsidRPr="00A07F29">
        <w:rPr>
          <w:rFonts w:ascii="Times New Roman" w:hAnsi="Times New Roman" w:cs="Times New Roman"/>
          <w:sz w:val="24"/>
          <w:szCs w:val="24"/>
        </w:rPr>
        <w:t>Piedruja) ar labiekārtotām vietām pie Daugavas. Maršrutā izvietot</w:t>
      </w:r>
      <w:r w:rsidR="000519E0" w:rsidRPr="00A07F29">
        <w:rPr>
          <w:rFonts w:ascii="Times New Roman" w:hAnsi="Times New Roman" w:cs="Times New Roman"/>
          <w:sz w:val="24"/>
          <w:szCs w:val="24"/>
        </w:rPr>
        <w:t>i</w:t>
      </w:r>
      <w:r w:rsidRPr="00A07F29">
        <w:rPr>
          <w:rFonts w:ascii="Times New Roman" w:hAnsi="Times New Roman" w:cs="Times New Roman"/>
          <w:sz w:val="24"/>
          <w:szCs w:val="24"/>
        </w:rPr>
        <w:t xml:space="preserve"> vairāk</w:t>
      </w:r>
      <w:r w:rsidR="000519E0" w:rsidRPr="00A07F29">
        <w:rPr>
          <w:rFonts w:ascii="Times New Roman" w:hAnsi="Times New Roman" w:cs="Times New Roman"/>
          <w:sz w:val="24"/>
          <w:szCs w:val="24"/>
        </w:rPr>
        <w:t>i</w:t>
      </w:r>
      <w:r w:rsidRPr="00A07F29">
        <w:rPr>
          <w:rFonts w:ascii="Times New Roman" w:hAnsi="Times New Roman" w:cs="Times New Roman"/>
          <w:sz w:val="24"/>
          <w:szCs w:val="24"/>
        </w:rPr>
        <w:t xml:space="preserve"> informācijas stend</w:t>
      </w:r>
      <w:r w:rsidR="000519E0" w:rsidRPr="00A07F29">
        <w:rPr>
          <w:rFonts w:ascii="Times New Roman" w:hAnsi="Times New Roman" w:cs="Times New Roman"/>
          <w:sz w:val="24"/>
          <w:szCs w:val="24"/>
        </w:rPr>
        <w:t>i</w:t>
      </w:r>
      <w:r w:rsidRPr="00A07F29">
        <w:rPr>
          <w:rFonts w:ascii="Times New Roman" w:hAnsi="Times New Roman" w:cs="Times New Roman"/>
          <w:sz w:val="24"/>
          <w:szCs w:val="24"/>
        </w:rPr>
        <w:t xml:space="preserve">, </w:t>
      </w:r>
      <w:proofErr w:type="spellStart"/>
      <w:r w:rsidRPr="00A07F29">
        <w:rPr>
          <w:rFonts w:ascii="Times New Roman" w:hAnsi="Times New Roman" w:cs="Times New Roman"/>
          <w:sz w:val="24"/>
          <w:szCs w:val="24"/>
        </w:rPr>
        <w:t>velostatīv</w:t>
      </w:r>
      <w:r w:rsidR="000519E0" w:rsidRPr="00A07F29">
        <w:rPr>
          <w:rFonts w:ascii="Times New Roman" w:hAnsi="Times New Roman" w:cs="Times New Roman"/>
          <w:sz w:val="24"/>
          <w:szCs w:val="24"/>
        </w:rPr>
        <w:t>i</w:t>
      </w:r>
      <w:proofErr w:type="spellEnd"/>
      <w:r w:rsidRPr="00A07F29">
        <w:rPr>
          <w:rFonts w:ascii="Times New Roman" w:hAnsi="Times New Roman" w:cs="Times New Roman"/>
          <w:sz w:val="24"/>
          <w:szCs w:val="24"/>
        </w:rPr>
        <w:t>, atkritumu tvertnes, gald</w:t>
      </w:r>
      <w:r w:rsidR="000519E0" w:rsidRPr="00A07F29">
        <w:rPr>
          <w:rFonts w:ascii="Times New Roman" w:hAnsi="Times New Roman" w:cs="Times New Roman"/>
          <w:sz w:val="24"/>
          <w:szCs w:val="24"/>
        </w:rPr>
        <w:t>i</w:t>
      </w:r>
      <w:r w:rsidRPr="00A07F29">
        <w:rPr>
          <w:rFonts w:ascii="Times New Roman" w:hAnsi="Times New Roman" w:cs="Times New Roman"/>
          <w:sz w:val="24"/>
          <w:szCs w:val="24"/>
        </w:rPr>
        <w:t xml:space="preserve"> ar soliem, lapenes, skatu laukum</w:t>
      </w:r>
      <w:r w:rsidR="000519E0" w:rsidRPr="00A07F29">
        <w:rPr>
          <w:rFonts w:ascii="Times New Roman" w:hAnsi="Times New Roman" w:cs="Times New Roman"/>
          <w:sz w:val="24"/>
          <w:szCs w:val="24"/>
        </w:rPr>
        <w:t>s</w:t>
      </w:r>
      <w:r w:rsidRPr="00A07F29">
        <w:rPr>
          <w:rFonts w:ascii="Times New Roman" w:hAnsi="Times New Roman" w:cs="Times New Roman"/>
          <w:sz w:val="24"/>
          <w:szCs w:val="24"/>
        </w:rPr>
        <w:t>, koka krēsl</w:t>
      </w:r>
      <w:r w:rsidR="000519E0" w:rsidRPr="00A07F29">
        <w:rPr>
          <w:rFonts w:ascii="Times New Roman" w:hAnsi="Times New Roman" w:cs="Times New Roman"/>
          <w:sz w:val="24"/>
          <w:szCs w:val="24"/>
        </w:rPr>
        <w:t>i</w:t>
      </w:r>
      <w:r w:rsidRPr="00A07F29">
        <w:rPr>
          <w:rFonts w:ascii="Times New Roman" w:hAnsi="Times New Roman" w:cs="Times New Roman"/>
          <w:sz w:val="24"/>
          <w:szCs w:val="24"/>
        </w:rPr>
        <w:t>, koka tiltiņ</w:t>
      </w:r>
      <w:r w:rsidR="000519E0" w:rsidRPr="00A07F29">
        <w:rPr>
          <w:rFonts w:ascii="Times New Roman" w:hAnsi="Times New Roman" w:cs="Times New Roman"/>
          <w:sz w:val="24"/>
          <w:szCs w:val="24"/>
        </w:rPr>
        <w:t>š</w:t>
      </w:r>
      <w:r w:rsidRPr="00A07F29">
        <w:rPr>
          <w:rFonts w:ascii="Times New Roman" w:hAnsi="Times New Roman" w:cs="Times New Roman"/>
          <w:sz w:val="24"/>
          <w:szCs w:val="24"/>
        </w:rPr>
        <w:t xml:space="preserve"> ar margām</w:t>
      </w:r>
      <w:r w:rsidR="009737C8" w:rsidRPr="00A07F29">
        <w:rPr>
          <w:rFonts w:ascii="Times New Roman" w:hAnsi="Times New Roman" w:cs="Times New Roman"/>
          <w:sz w:val="24"/>
          <w:szCs w:val="24"/>
        </w:rPr>
        <w:t xml:space="preserve"> (</w:t>
      </w:r>
      <w:r w:rsidR="00533FEC">
        <w:rPr>
          <w:rFonts w:ascii="Times New Roman" w:hAnsi="Times New Roman" w:cs="Times New Roman"/>
          <w:sz w:val="24"/>
          <w:szCs w:val="24"/>
        </w:rPr>
        <w:t xml:space="preserve">skat. </w:t>
      </w:r>
      <w:r w:rsidR="009737C8" w:rsidRPr="00A07F29">
        <w:rPr>
          <w:rFonts w:ascii="Times New Roman" w:hAnsi="Times New Roman" w:cs="Times New Roman"/>
          <w:sz w:val="24"/>
          <w:szCs w:val="24"/>
        </w:rPr>
        <w:t>5.3.</w:t>
      </w:r>
      <w:r w:rsidR="00BB7BB5" w:rsidRPr="00A07F29">
        <w:rPr>
          <w:rFonts w:ascii="Times New Roman" w:hAnsi="Times New Roman" w:cs="Times New Roman"/>
          <w:sz w:val="24"/>
          <w:szCs w:val="24"/>
        </w:rPr>
        <w:t>4</w:t>
      </w:r>
      <w:r w:rsidR="00533FEC">
        <w:rPr>
          <w:rFonts w:ascii="Times New Roman" w:hAnsi="Times New Roman" w:cs="Times New Roman"/>
          <w:sz w:val="24"/>
          <w:szCs w:val="24"/>
        </w:rPr>
        <w:t>6</w:t>
      </w:r>
      <w:r w:rsidR="009737C8" w:rsidRPr="00A07F29">
        <w:rPr>
          <w:rFonts w:ascii="Times New Roman" w:hAnsi="Times New Roman" w:cs="Times New Roman"/>
          <w:sz w:val="24"/>
          <w:szCs w:val="24"/>
        </w:rPr>
        <w:t>.</w:t>
      </w:r>
      <w:r w:rsidR="00533FEC">
        <w:rPr>
          <w:rFonts w:ascii="Times New Roman" w:hAnsi="Times New Roman" w:cs="Times New Roman"/>
          <w:sz w:val="24"/>
          <w:szCs w:val="24"/>
        </w:rPr>
        <w:t> </w:t>
      </w:r>
      <w:r w:rsidR="009737C8" w:rsidRPr="00A07F29">
        <w:rPr>
          <w:rFonts w:ascii="Times New Roman" w:hAnsi="Times New Roman" w:cs="Times New Roman"/>
          <w:sz w:val="24"/>
          <w:szCs w:val="24"/>
        </w:rPr>
        <w:t>att</w:t>
      </w:r>
      <w:r w:rsidR="00533FEC">
        <w:rPr>
          <w:rFonts w:ascii="Times New Roman" w:hAnsi="Times New Roman" w:cs="Times New Roman"/>
          <w:sz w:val="24"/>
          <w:szCs w:val="24"/>
        </w:rPr>
        <w:t>ēls</w:t>
      </w:r>
      <w:r w:rsidR="009737C8" w:rsidRPr="00A07F29">
        <w:rPr>
          <w:rFonts w:ascii="Times New Roman" w:hAnsi="Times New Roman" w:cs="Times New Roman"/>
          <w:sz w:val="24"/>
          <w:szCs w:val="24"/>
        </w:rPr>
        <w:t>)</w:t>
      </w:r>
      <w:r w:rsidRPr="00A07F29">
        <w:rPr>
          <w:rFonts w:ascii="Times New Roman" w:hAnsi="Times New Roman" w:cs="Times New Roman"/>
          <w:sz w:val="24"/>
          <w:szCs w:val="24"/>
        </w:rPr>
        <w:t>.</w:t>
      </w:r>
    </w:p>
    <w:p w14:paraId="2ABF15E9" w14:textId="287A9A98" w:rsidR="009737C8" w:rsidRPr="00A07F29" w:rsidRDefault="00CB5610" w:rsidP="009737C8">
      <w:pPr>
        <w:spacing w:after="160" w:line="256" w:lineRule="auto"/>
        <w:contextualSpacing/>
        <w:jc w:val="both"/>
        <w:rPr>
          <w:rFonts w:ascii="Times New Roman" w:eastAsia="Calibri" w:hAnsi="Times New Roman" w:cs="Times New Roman"/>
          <w:sz w:val="24"/>
          <w:szCs w:val="24"/>
        </w:rPr>
      </w:pPr>
      <w:r w:rsidRPr="00A07F29">
        <w:rPr>
          <w:noProof/>
          <w:lang w:eastAsia="lv-LV"/>
        </w:rPr>
        <w:lastRenderedPageBreak/>
        <w:drawing>
          <wp:inline distT="0" distB="0" distL="0" distR="0" wp14:anchorId="1B2F7DB1" wp14:editId="146F2743">
            <wp:extent cx="5731510" cy="4051935"/>
            <wp:effectExtent l="0" t="0" r="2540" b="5715"/>
            <wp:docPr id="170371801" name="Picture 170371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371801"/>
                    <pic:cNvPicPr/>
                  </pic:nvPicPr>
                  <pic:blipFill>
                    <a:blip r:embed="rId144">
                      <a:extLst>
                        <a:ext uri="{28A0092B-C50C-407E-A947-70E740481C1C}">
                          <a14:useLocalDpi xmlns:a14="http://schemas.microsoft.com/office/drawing/2010/main" val="0"/>
                        </a:ext>
                      </a:extLst>
                    </a:blip>
                    <a:stretch>
                      <a:fillRect/>
                    </a:stretch>
                  </pic:blipFill>
                  <pic:spPr>
                    <a:xfrm>
                      <a:off x="0" y="0"/>
                      <a:ext cx="5731510" cy="4051935"/>
                    </a:xfrm>
                    <a:prstGeom prst="rect">
                      <a:avLst/>
                    </a:prstGeom>
                  </pic:spPr>
                </pic:pic>
              </a:graphicData>
            </a:graphic>
          </wp:inline>
        </w:drawing>
      </w:r>
    </w:p>
    <w:p w14:paraId="7FB86555" w14:textId="36117214" w:rsidR="009737C8" w:rsidRPr="00927D83" w:rsidRDefault="0E6B778D" w:rsidP="009737C8">
      <w:pPr>
        <w:spacing w:after="0" w:line="240" w:lineRule="auto"/>
        <w:jc w:val="both"/>
        <w:rPr>
          <w:rFonts w:ascii="Times New Roman" w:eastAsia="Calibri" w:hAnsi="Times New Roman" w:cs="Times New Roman"/>
          <w:sz w:val="20"/>
          <w:szCs w:val="20"/>
        </w:rPr>
      </w:pPr>
      <w:r w:rsidRPr="00927D83">
        <w:rPr>
          <w:rFonts w:ascii="Times New Roman" w:eastAsia="Calibri" w:hAnsi="Times New Roman" w:cs="Times New Roman"/>
          <w:sz w:val="20"/>
          <w:szCs w:val="20"/>
        </w:rPr>
        <w:t>5.3.4</w:t>
      </w:r>
      <w:r w:rsidR="00533FEC" w:rsidRPr="00927D83">
        <w:rPr>
          <w:rFonts w:ascii="Times New Roman" w:eastAsia="Calibri" w:hAnsi="Times New Roman" w:cs="Times New Roman"/>
          <w:sz w:val="20"/>
          <w:szCs w:val="20"/>
        </w:rPr>
        <w:t>6</w:t>
      </w:r>
      <w:r w:rsidRPr="00927D83">
        <w:rPr>
          <w:rFonts w:ascii="Times New Roman" w:eastAsia="Calibri" w:hAnsi="Times New Roman" w:cs="Times New Roman"/>
          <w:sz w:val="20"/>
          <w:szCs w:val="20"/>
        </w:rPr>
        <w:t>.</w:t>
      </w:r>
      <w:r w:rsidR="00533FEC" w:rsidRPr="00927D83">
        <w:rPr>
          <w:rFonts w:ascii="Times New Roman" w:eastAsia="Calibri" w:hAnsi="Times New Roman" w:cs="Times New Roman"/>
          <w:sz w:val="20"/>
          <w:szCs w:val="20"/>
        </w:rPr>
        <w:t> </w:t>
      </w:r>
      <w:r w:rsidRPr="00927D83">
        <w:rPr>
          <w:rFonts w:ascii="Times New Roman" w:eastAsia="Calibri" w:hAnsi="Times New Roman" w:cs="Times New Roman"/>
          <w:sz w:val="20"/>
          <w:szCs w:val="20"/>
        </w:rPr>
        <w:t xml:space="preserve">attēls. Jauns </w:t>
      </w:r>
      <w:proofErr w:type="spellStart"/>
      <w:r w:rsidRPr="00927D83">
        <w:rPr>
          <w:rFonts w:ascii="Times New Roman" w:eastAsia="Calibri" w:hAnsi="Times New Roman" w:cs="Times New Roman"/>
          <w:sz w:val="20"/>
          <w:szCs w:val="20"/>
        </w:rPr>
        <w:t>velomaršruts</w:t>
      </w:r>
      <w:proofErr w:type="spellEnd"/>
      <w:r w:rsidRPr="00927D83">
        <w:rPr>
          <w:rFonts w:ascii="Times New Roman" w:eastAsia="Calibri" w:hAnsi="Times New Roman" w:cs="Times New Roman"/>
          <w:sz w:val="20"/>
          <w:szCs w:val="20"/>
        </w:rPr>
        <w:t xml:space="preserve"> (Krāslava</w:t>
      </w:r>
      <w:r w:rsidR="00927D83" w:rsidRPr="00927D83">
        <w:rPr>
          <w:rFonts w:ascii="Times New Roman" w:eastAsia="Calibri" w:hAnsi="Times New Roman" w:cs="Times New Roman"/>
          <w:sz w:val="20"/>
          <w:szCs w:val="20"/>
        </w:rPr>
        <w:t> </w:t>
      </w:r>
      <w:r w:rsidRPr="00927D83">
        <w:rPr>
          <w:rFonts w:ascii="Times New Roman" w:eastAsia="Calibri" w:hAnsi="Times New Roman" w:cs="Times New Roman"/>
          <w:sz w:val="20"/>
          <w:szCs w:val="20"/>
        </w:rPr>
        <w:t>–</w:t>
      </w:r>
      <w:r w:rsidR="00927D83" w:rsidRPr="00927D83">
        <w:rPr>
          <w:rFonts w:ascii="Times New Roman" w:eastAsia="Calibri" w:hAnsi="Times New Roman" w:cs="Times New Roman"/>
          <w:sz w:val="20"/>
          <w:szCs w:val="20"/>
        </w:rPr>
        <w:t> </w:t>
      </w:r>
      <w:r w:rsidRPr="00927D83">
        <w:rPr>
          <w:rFonts w:ascii="Times New Roman" w:eastAsia="Calibri" w:hAnsi="Times New Roman" w:cs="Times New Roman"/>
          <w:sz w:val="20"/>
          <w:szCs w:val="20"/>
        </w:rPr>
        <w:t>Piedruja) ar labiekārtotām vietām pie Daugavas.</w:t>
      </w:r>
    </w:p>
    <w:p w14:paraId="7D33B209" w14:textId="06ACDE12" w:rsidR="00D56C16" w:rsidRPr="00A07F29" w:rsidRDefault="0E6B778D" w:rsidP="00F304F8">
      <w:pPr>
        <w:keepNext/>
        <w:spacing w:before="240" w:after="120" w:line="240" w:lineRule="auto"/>
        <w:jc w:val="both"/>
        <w:rPr>
          <w:rFonts w:ascii="Times New Roman" w:hAnsi="Times New Roman" w:cs="Times New Roman"/>
          <w:b/>
          <w:bCs/>
          <w:i/>
          <w:iCs/>
          <w:sz w:val="24"/>
          <w:szCs w:val="24"/>
        </w:rPr>
      </w:pPr>
      <w:r w:rsidRPr="00A07F29">
        <w:rPr>
          <w:rFonts w:ascii="Times New Roman" w:hAnsi="Times New Roman" w:cs="Times New Roman"/>
          <w:b/>
          <w:bCs/>
          <w:i/>
          <w:iCs/>
          <w:sz w:val="24"/>
          <w:szCs w:val="24"/>
        </w:rPr>
        <w:t>D.5.3. AAA “Augšdaugava”</w:t>
      </w:r>
      <w:r w:rsidR="00D65BBA" w:rsidRPr="00A07F29">
        <w:rPr>
          <w:rFonts w:ascii="Times New Roman" w:hAnsi="Times New Roman" w:cs="Times New Roman"/>
          <w:b/>
          <w:bCs/>
          <w:i/>
          <w:iCs/>
          <w:sz w:val="24"/>
          <w:szCs w:val="24"/>
        </w:rPr>
        <w:t xml:space="preserve"> </w:t>
      </w:r>
      <w:proofErr w:type="spellStart"/>
      <w:r w:rsidRPr="00A07F29">
        <w:rPr>
          <w:rFonts w:ascii="Times New Roman" w:hAnsi="Times New Roman" w:cs="Times New Roman"/>
          <w:b/>
          <w:bCs/>
          <w:i/>
          <w:iCs/>
          <w:sz w:val="24"/>
          <w:szCs w:val="24"/>
        </w:rPr>
        <w:t>velomaršruta</w:t>
      </w:r>
      <w:proofErr w:type="spellEnd"/>
      <w:r w:rsidRPr="00A07F29">
        <w:rPr>
          <w:rFonts w:ascii="Times New Roman" w:hAnsi="Times New Roman" w:cs="Times New Roman"/>
          <w:b/>
          <w:bCs/>
          <w:i/>
          <w:iCs/>
          <w:sz w:val="24"/>
          <w:szCs w:val="24"/>
        </w:rPr>
        <w:t xml:space="preserve"> izstrādāšana</w:t>
      </w:r>
    </w:p>
    <w:p w14:paraId="7E20A792" w14:textId="29F5F98A" w:rsidR="0E6B778D" w:rsidRPr="00A07F29" w:rsidRDefault="0E6B778D" w:rsidP="0E6B778D">
      <w:pPr>
        <w:spacing w:after="12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t>Ieteicams izstrādāt kopēju AAA “Augšdaugava”</w:t>
      </w:r>
      <w:r w:rsidR="00D65BBA" w:rsidRPr="00A07F29">
        <w:rPr>
          <w:rFonts w:ascii="Times New Roman" w:hAnsi="Times New Roman" w:cs="Times New Roman"/>
          <w:sz w:val="24"/>
          <w:szCs w:val="24"/>
        </w:rPr>
        <w:t xml:space="preserve"> </w:t>
      </w:r>
      <w:proofErr w:type="spellStart"/>
      <w:r w:rsidRPr="00A07F29">
        <w:rPr>
          <w:rFonts w:ascii="Times New Roman" w:hAnsi="Times New Roman" w:cs="Times New Roman"/>
          <w:sz w:val="24"/>
          <w:szCs w:val="24"/>
        </w:rPr>
        <w:t>velomaršrutu</w:t>
      </w:r>
      <w:proofErr w:type="spellEnd"/>
      <w:r w:rsidRPr="00A07F29">
        <w:rPr>
          <w:rFonts w:ascii="Times New Roman" w:hAnsi="Times New Roman" w:cs="Times New Roman"/>
          <w:sz w:val="24"/>
          <w:szCs w:val="24"/>
        </w:rPr>
        <w:t xml:space="preserve">, piemēram, apvienojot esošo </w:t>
      </w:r>
      <w:proofErr w:type="spellStart"/>
      <w:r w:rsidRPr="00A07F29">
        <w:rPr>
          <w:rFonts w:ascii="Times New Roman" w:hAnsi="Times New Roman" w:cs="Times New Roman"/>
          <w:sz w:val="24"/>
          <w:szCs w:val="24"/>
        </w:rPr>
        <w:t>velomaršrutu</w:t>
      </w:r>
      <w:proofErr w:type="spellEnd"/>
      <w:r w:rsidRPr="00A07F29">
        <w:rPr>
          <w:rFonts w:ascii="Times New Roman" w:hAnsi="Times New Roman" w:cs="Times New Roman"/>
          <w:sz w:val="24"/>
          <w:szCs w:val="24"/>
        </w:rPr>
        <w:t xml:space="preserve"> Nr.</w:t>
      </w:r>
      <w:r w:rsidR="00904A61">
        <w:rPr>
          <w:rFonts w:ascii="Times New Roman" w:hAnsi="Times New Roman" w:cs="Times New Roman"/>
          <w:sz w:val="24"/>
          <w:szCs w:val="24"/>
        </w:rPr>
        <w:t> </w:t>
      </w:r>
      <w:r w:rsidRPr="00A07F29">
        <w:rPr>
          <w:rFonts w:ascii="Times New Roman" w:hAnsi="Times New Roman" w:cs="Times New Roman"/>
          <w:sz w:val="24"/>
          <w:szCs w:val="24"/>
        </w:rPr>
        <w:t xml:space="preserve">35 “Daugavas loki” ar </w:t>
      </w:r>
      <w:proofErr w:type="spellStart"/>
      <w:r w:rsidRPr="00A07F29">
        <w:rPr>
          <w:rFonts w:ascii="Times New Roman" w:hAnsi="Times New Roman" w:cs="Times New Roman"/>
          <w:sz w:val="24"/>
          <w:szCs w:val="24"/>
        </w:rPr>
        <w:t>velomaršrutu</w:t>
      </w:r>
      <w:proofErr w:type="spellEnd"/>
      <w:r w:rsidRPr="00A07F29">
        <w:rPr>
          <w:rFonts w:ascii="Times New Roman" w:hAnsi="Times New Roman" w:cs="Times New Roman"/>
          <w:sz w:val="24"/>
          <w:szCs w:val="24"/>
        </w:rPr>
        <w:t xml:space="preserve"> Krāslava</w:t>
      </w:r>
      <w:r w:rsidR="005D1161">
        <w:rPr>
          <w:rFonts w:ascii="Times New Roman" w:hAnsi="Times New Roman" w:cs="Times New Roman"/>
          <w:sz w:val="24"/>
          <w:szCs w:val="24"/>
        </w:rPr>
        <w:t> </w:t>
      </w:r>
      <w:r w:rsidRPr="00A07F29">
        <w:rPr>
          <w:rFonts w:ascii="Times New Roman" w:hAnsi="Times New Roman" w:cs="Times New Roman"/>
          <w:sz w:val="24"/>
          <w:szCs w:val="24"/>
        </w:rPr>
        <w:t>–</w:t>
      </w:r>
      <w:r w:rsidR="005D1161">
        <w:rPr>
          <w:rFonts w:ascii="Times New Roman" w:hAnsi="Times New Roman" w:cs="Times New Roman"/>
          <w:sz w:val="24"/>
          <w:szCs w:val="24"/>
        </w:rPr>
        <w:t> </w:t>
      </w:r>
      <w:r w:rsidRPr="00A07F29">
        <w:rPr>
          <w:rFonts w:ascii="Times New Roman" w:hAnsi="Times New Roman" w:cs="Times New Roman"/>
          <w:sz w:val="24"/>
          <w:szCs w:val="24"/>
        </w:rPr>
        <w:t xml:space="preserve">Piedruja un papildinot ar jauniem posmiem Daugavas kreisajā krastā Kaplavas pagastā, kā arī ar </w:t>
      </w:r>
      <w:proofErr w:type="spellStart"/>
      <w:r w:rsidRPr="00A07F29">
        <w:rPr>
          <w:rFonts w:ascii="Times New Roman" w:hAnsi="Times New Roman" w:cs="Times New Roman"/>
          <w:sz w:val="24"/>
          <w:szCs w:val="24"/>
        </w:rPr>
        <w:t>Šilovkas</w:t>
      </w:r>
      <w:proofErr w:type="spellEnd"/>
      <w:r w:rsidRPr="00A07F29">
        <w:rPr>
          <w:rFonts w:ascii="Times New Roman" w:hAnsi="Times New Roman" w:cs="Times New Roman"/>
          <w:sz w:val="24"/>
          <w:szCs w:val="24"/>
        </w:rPr>
        <w:t xml:space="preserve"> ezera </w:t>
      </w:r>
      <w:proofErr w:type="spellStart"/>
      <w:r w:rsidRPr="00A07F29">
        <w:rPr>
          <w:rFonts w:ascii="Times New Roman" w:hAnsi="Times New Roman" w:cs="Times New Roman"/>
          <w:sz w:val="24"/>
          <w:szCs w:val="24"/>
        </w:rPr>
        <w:t>velomaršrutu</w:t>
      </w:r>
      <w:proofErr w:type="spellEnd"/>
      <w:r w:rsidRPr="00A07F29">
        <w:rPr>
          <w:rFonts w:ascii="Times New Roman" w:hAnsi="Times New Roman" w:cs="Times New Roman"/>
          <w:sz w:val="24"/>
          <w:szCs w:val="24"/>
        </w:rPr>
        <w:t xml:space="preserve"> un</w:t>
      </w:r>
      <w:r w:rsidRPr="00A07F29">
        <w:t xml:space="preserve"> </w:t>
      </w:r>
      <w:proofErr w:type="spellStart"/>
      <w:r w:rsidRPr="00A07F29">
        <w:rPr>
          <w:rFonts w:ascii="Times New Roman" w:hAnsi="Times New Roman" w:cs="Times New Roman"/>
          <w:sz w:val="24"/>
          <w:szCs w:val="24"/>
        </w:rPr>
        <w:t>velomaršrutu</w:t>
      </w:r>
      <w:proofErr w:type="spellEnd"/>
      <w:r w:rsidRPr="00A07F29">
        <w:rPr>
          <w:rFonts w:ascii="Times New Roman" w:hAnsi="Times New Roman" w:cs="Times New Roman"/>
          <w:sz w:val="24"/>
          <w:szCs w:val="24"/>
        </w:rPr>
        <w:t xml:space="preserve"> “</w:t>
      </w:r>
      <w:proofErr w:type="spellStart"/>
      <w:r w:rsidRPr="00A07F29">
        <w:rPr>
          <w:rFonts w:ascii="Times New Roman" w:hAnsi="Times New Roman" w:cs="Times New Roman"/>
          <w:sz w:val="24"/>
          <w:szCs w:val="24"/>
        </w:rPr>
        <w:t>Robeždaugavas</w:t>
      </w:r>
      <w:proofErr w:type="spellEnd"/>
      <w:r w:rsidRPr="00A07F29">
        <w:rPr>
          <w:rFonts w:ascii="Times New Roman" w:hAnsi="Times New Roman" w:cs="Times New Roman"/>
          <w:sz w:val="24"/>
          <w:szCs w:val="24"/>
        </w:rPr>
        <w:t xml:space="preserve"> ezeri” (</w:t>
      </w:r>
      <w:r w:rsidR="005D1161">
        <w:rPr>
          <w:rFonts w:ascii="Times New Roman" w:hAnsi="Times New Roman" w:cs="Times New Roman"/>
          <w:sz w:val="24"/>
          <w:szCs w:val="24"/>
        </w:rPr>
        <w:t>skat.</w:t>
      </w:r>
      <w:r w:rsidRPr="00A07F29">
        <w:rPr>
          <w:rFonts w:ascii="Times New Roman" w:hAnsi="Times New Roman" w:cs="Times New Roman"/>
          <w:sz w:val="24"/>
          <w:szCs w:val="24"/>
        </w:rPr>
        <w:t xml:space="preserve"> </w:t>
      </w:r>
      <w:r w:rsidR="00B97EC9">
        <w:rPr>
          <w:rFonts w:ascii="Times New Roman" w:hAnsi="Times New Roman" w:cs="Times New Roman"/>
          <w:sz w:val="24"/>
          <w:szCs w:val="24"/>
        </w:rPr>
        <w:t>5.3.47. attēls</w:t>
      </w:r>
      <w:r w:rsidR="00B97EC9" w:rsidRPr="00A07F29">
        <w:rPr>
          <w:rFonts w:ascii="Times New Roman" w:eastAsia="Calibri" w:hAnsi="Times New Roman" w:cs="Times New Roman"/>
          <w:sz w:val="24"/>
          <w:szCs w:val="24"/>
        </w:rPr>
        <w:t xml:space="preserve"> </w:t>
      </w:r>
      <w:r w:rsidR="00B97EC9">
        <w:rPr>
          <w:rFonts w:ascii="Times New Roman" w:eastAsia="Calibri" w:hAnsi="Times New Roman" w:cs="Times New Roman"/>
          <w:sz w:val="24"/>
          <w:szCs w:val="24"/>
        </w:rPr>
        <w:t xml:space="preserve">un </w:t>
      </w:r>
      <w:r w:rsidRPr="00A07F29">
        <w:rPr>
          <w:rFonts w:ascii="Times New Roman" w:eastAsia="Calibri" w:hAnsi="Times New Roman" w:cs="Times New Roman"/>
          <w:sz w:val="24"/>
          <w:szCs w:val="24"/>
        </w:rPr>
        <w:t>5.3.4</w:t>
      </w:r>
      <w:r w:rsidR="00B32C68">
        <w:rPr>
          <w:rFonts w:ascii="Times New Roman" w:eastAsia="Calibri" w:hAnsi="Times New Roman" w:cs="Times New Roman"/>
          <w:sz w:val="24"/>
          <w:szCs w:val="24"/>
        </w:rPr>
        <w:t>8</w:t>
      </w:r>
      <w:r w:rsidRPr="00A07F29">
        <w:rPr>
          <w:rFonts w:ascii="Times New Roman" w:eastAsia="Calibri" w:hAnsi="Times New Roman" w:cs="Times New Roman"/>
          <w:sz w:val="24"/>
          <w:szCs w:val="24"/>
        </w:rPr>
        <w:t>.</w:t>
      </w:r>
      <w:r w:rsidR="00B32C68">
        <w:rPr>
          <w:rFonts w:ascii="Times New Roman" w:eastAsia="Calibri" w:hAnsi="Times New Roman" w:cs="Times New Roman"/>
          <w:sz w:val="24"/>
          <w:szCs w:val="24"/>
        </w:rPr>
        <w:t> </w:t>
      </w:r>
      <w:r w:rsidRPr="00A07F29">
        <w:rPr>
          <w:rFonts w:ascii="Times New Roman" w:eastAsia="Calibri" w:hAnsi="Times New Roman" w:cs="Times New Roman"/>
          <w:sz w:val="24"/>
          <w:szCs w:val="24"/>
        </w:rPr>
        <w:t>att</w:t>
      </w:r>
      <w:r w:rsidR="00B32C68">
        <w:rPr>
          <w:rFonts w:ascii="Times New Roman" w:eastAsia="Calibri" w:hAnsi="Times New Roman" w:cs="Times New Roman"/>
          <w:sz w:val="24"/>
          <w:szCs w:val="24"/>
        </w:rPr>
        <w:t>ēls</w:t>
      </w:r>
      <w:r w:rsidRPr="00A07F29">
        <w:rPr>
          <w:rFonts w:ascii="Times New Roman" w:eastAsia="Calibri" w:hAnsi="Times New Roman" w:cs="Times New Roman"/>
          <w:sz w:val="24"/>
          <w:szCs w:val="24"/>
        </w:rPr>
        <w:t>).</w:t>
      </w:r>
      <w:r w:rsidR="007D5987" w:rsidRPr="00A07F29">
        <w:rPr>
          <w:rFonts w:ascii="Times New Roman" w:eastAsia="Calibri" w:hAnsi="Times New Roman" w:cs="Times New Roman"/>
          <w:sz w:val="24"/>
          <w:szCs w:val="24"/>
        </w:rPr>
        <w:t xml:space="preserve"> Šajā </w:t>
      </w:r>
      <w:proofErr w:type="spellStart"/>
      <w:r w:rsidR="007D5987" w:rsidRPr="00A07F29">
        <w:rPr>
          <w:rFonts w:ascii="Times New Roman" w:eastAsia="Calibri" w:hAnsi="Times New Roman" w:cs="Times New Roman"/>
          <w:sz w:val="24"/>
          <w:szCs w:val="24"/>
        </w:rPr>
        <w:t>velomaršrutā</w:t>
      </w:r>
      <w:proofErr w:type="spellEnd"/>
      <w:r w:rsidR="007D5987" w:rsidRPr="00A07F29">
        <w:rPr>
          <w:rFonts w:ascii="Times New Roman" w:eastAsia="Calibri" w:hAnsi="Times New Roman" w:cs="Times New Roman"/>
          <w:sz w:val="24"/>
          <w:szCs w:val="24"/>
        </w:rPr>
        <w:t xml:space="preserve"> iespējams iekļaut arī </w:t>
      </w:r>
      <w:r w:rsidR="009E28A6" w:rsidRPr="00A07F29">
        <w:rPr>
          <w:rFonts w:ascii="Times New Roman" w:eastAsia="Calibri" w:hAnsi="Times New Roman" w:cs="Times New Roman"/>
          <w:sz w:val="24"/>
          <w:szCs w:val="24"/>
        </w:rPr>
        <w:t xml:space="preserve">pa esošiem ceļiem izveidotu </w:t>
      </w:r>
      <w:r w:rsidR="007D5987" w:rsidRPr="00A07F29">
        <w:rPr>
          <w:rFonts w:ascii="Times New Roman" w:eastAsia="Calibri" w:hAnsi="Times New Roman" w:cs="Times New Roman"/>
          <w:sz w:val="24"/>
          <w:szCs w:val="24"/>
        </w:rPr>
        <w:t xml:space="preserve">loku ap </w:t>
      </w:r>
      <w:proofErr w:type="spellStart"/>
      <w:r w:rsidR="007D5987" w:rsidRPr="00A07F29">
        <w:rPr>
          <w:rFonts w:ascii="Times New Roman" w:eastAsia="Calibri" w:hAnsi="Times New Roman" w:cs="Times New Roman"/>
          <w:sz w:val="24"/>
          <w:szCs w:val="24"/>
        </w:rPr>
        <w:t>Balticas</w:t>
      </w:r>
      <w:proofErr w:type="spellEnd"/>
      <w:r w:rsidR="007D5987" w:rsidRPr="00A07F29">
        <w:rPr>
          <w:rFonts w:ascii="Times New Roman" w:eastAsia="Calibri" w:hAnsi="Times New Roman" w:cs="Times New Roman"/>
          <w:sz w:val="24"/>
          <w:szCs w:val="24"/>
        </w:rPr>
        <w:t xml:space="preserve"> ezeru.</w:t>
      </w:r>
    </w:p>
    <w:p w14:paraId="7AB4622E" w14:textId="417DE996" w:rsidR="0E6B778D" w:rsidRPr="00A07F29" w:rsidRDefault="0E6B778D" w:rsidP="0E6B778D">
      <w:pPr>
        <w:spacing w:after="12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t>Plānojot</w:t>
      </w:r>
      <w:r w:rsidR="00D65BBA" w:rsidRPr="00A07F29">
        <w:rPr>
          <w:rFonts w:ascii="Times New Roman" w:hAnsi="Times New Roman" w:cs="Times New Roman"/>
          <w:sz w:val="24"/>
          <w:szCs w:val="24"/>
        </w:rPr>
        <w:t xml:space="preserve"> </w:t>
      </w:r>
      <w:r w:rsidRPr="00A07F29">
        <w:rPr>
          <w:rFonts w:ascii="Times New Roman" w:hAnsi="Times New Roman" w:cs="Times New Roman"/>
          <w:sz w:val="24"/>
          <w:szCs w:val="24"/>
        </w:rPr>
        <w:t xml:space="preserve">AAA “Augšdaugava” </w:t>
      </w:r>
      <w:proofErr w:type="spellStart"/>
      <w:r w:rsidRPr="00A07F29">
        <w:rPr>
          <w:rFonts w:ascii="Times New Roman" w:hAnsi="Times New Roman" w:cs="Times New Roman"/>
          <w:sz w:val="24"/>
          <w:szCs w:val="24"/>
        </w:rPr>
        <w:t>velomaršrutu</w:t>
      </w:r>
      <w:proofErr w:type="spellEnd"/>
      <w:r w:rsidRPr="00A07F29">
        <w:rPr>
          <w:rFonts w:ascii="Times New Roman" w:hAnsi="Times New Roman" w:cs="Times New Roman"/>
          <w:sz w:val="24"/>
          <w:szCs w:val="24"/>
        </w:rPr>
        <w:t>, ieteicams aktualizēt “</w:t>
      </w:r>
      <w:proofErr w:type="spellStart"/>
      <w:r w:rsidRPr="00A07F29">
        <w:rPr>
          <w:rFonts w:ascii="Times New Roman" w:hAnsi="Times New Roman" w:cs="Times New Roman"/>
          <w:sz w:val="24"/>
          <w:szCs w:val="24"/>
        </w:rPr>
        <w:t>Šilovkas</w:t>
      </w:r>
      <w:proofErr w:type="spellEnd"/>
      <w:r w:rsidRPr="00A07F29">
        <w:rPr>
          <w:rFonts w:ascii="Times New Roman" w:hAnsi="Times New Roman" w:cs="Times New Roman"/>
          <w:sz w:val="24"/>
          <w:szCs w:val="24"/>
        </w:rPr>
        <w:t xml:space="preserve"> </w:t>
      </w:r>
      <w:proofErr w:type="spellStart"/>
      <w:r w:rsidRPr="00A07F29">
        <w:rPr>
          <w:rFonts w:ascii="Times New Roman" w:hAnsi="Times New Roman" w:cs="Times New Roman"/>
          <w:sz w:val="24"/>
          <w:szCs w:val="24"/>
        </w:rPr>
        <w:t>velomaršrutu</w:t>
      </w:r>
      <w:proofErr w:type="spellEnd"/>
      <w:r w:rsidRPr="00A07F29">
        <w:rPr>
          <w:rFonts w:ascii="Times New Roman" w:hAnsi="Times New Roman" w:cs="Times New Roman"/>
          <w:sz w:val="24"/>
          <w:szCs w:val="24"/>
        </w:rPr>
        <w:t>” (</w:t>
      </w:r>
      <w:r w:rsidR="004C2D5D">
        <w:rPr>
          <w:rFonts w:ascii="Times New Roman" w:hAnsi="Times New Roman" w:cs="Times New Roman"/>
          <w:sz w:val="24"/>
          <w:szCs w:val="24"/>
        </w:rPr>
        <w:t xml:space="preserve">skat. </w:t>
      </w:r>
      <w:r w:rsidRPr="00A07F29">
        <w:rPr>
          <w:rFonts w:ascii="Times New Roman" w:hAnsi="Times New Roman" w:cs="Times New Roman"/>
          <w:sz w:val="24"/>
          <w:szCs w:val="24"/>
        </w:rPr>
        <w:t>5.3.4</w:t>
      </w:r>
      <w:r w:rsidR="004C2D5D">
        <w:rPr>
          <w:rFonts w:ascii="Times New Roman" w:hAnsi="Times New Roman" w:cs="Times New Roman"/>
          <w:sz w:val="24"/>
          <w:szCs w:val="24"/>
        </w:rPr>
        <w:t>7</w:t>
      </w:r>
      <w:r w:rsidRPr="00A07F29">
        <w:rPr>
          <w:rFonts w:ascii="Times New Roman" w:hAnsi="Times New Roman" w:cs="Times New Roman"/>
          <w:sz w:val="24"/>
          <w:szCs w:val="24"/>
        </w:rPr>
        <w:t>.</w:t>
      </w:r>
      <w:r w:rsidR="004C2D5D">
        <w:rPr>
          <w:rFonts w:ascii="Times New Roman" w:hAnsi="Times New Roman" w:cs="Times New Roman"/>
          <w:sz w:val="24"/>
          <w:szCs w:val="24"/>
        </w:rPr>
        <w:t> </w:t>
      </w:r>
      <w:r w:rsidRPr="00A07F29">
        <w:rPr>
          <w:rFonts w:ascii="Times New Roman" w:hAnsi="Times New Roman" w:cs="Times New Roman"/>
          <w:sz w:val="24"/>
          <w:szCs w:val="24"/>
        </w:rPr>
        <w:t>att</w:t>
      </w:r>
      <w:r w:rsidR="004C2D5D">
        <w:rPr>
          <w:rFonts w:ascii="Times New Roman" w:hAnsi="Times New Roman" w:cs="Times New Roman"/>
          <w:sz w:val="24"/>
          <w:szCs w:val="24"/>
        </w:rPr>
        <w:t>ēls</w:t>
      </w:r>
      <w:r w:rsidRPr="00A07F29">
        <w:rPr>
          <w:rFonts w:ascii="Times New Roman" w:hAnsi="Times New Roman" w:cs="Times New Roman"/>
          <w:sz w:val="24"/>
          <w:szCs w:val="24"/>
        </w:rPr>
        <w:t>), atjaunojot un izvietojot jaunas norādes dabā un uzturot aktuālu informācija internetā. Šobrīd dabā pastāv maršruta norādes un LVM atpūtas vietā “</w:t>
      </w:r>
      <w:proofErr w:type="spellStart"/>
      <w:r w:rsidRPr="00A07F29">
        <w:rPr>
          <w:rFonts w:ascii="Times New Roman" w:hAnsi="Times New Roman" w:cs="Times New Roman"/>
          <w:sz w:val="24"/>
          <w:szCs w:val="24"/>
        </w:rPr>
        <w:t>Šilovka</w:t>
      </w:r>
      <w:proofErr w:type="spellEnd"/>
      <w:r w:rsidRPr="00A07F29">
        <w:rPr>
          <w:rFonts w:ascii="Times New Roman" w:hAnsi="Times New Roman" w:cs="Times New Roman"/>
          <w:sz w:val="24"/>
          <w:szCs w:val="24"/>
        </w:rPr>
        <w:t xml:space="preserve">” atrodas sākotnējais informācijas stends ar </w:t>
      </w:r>
      <w:proofErr w:type="spellStart"/>
      <w:r w:rsidRPr="00A07F29">
        <w:rPr>
          <w:rFonts w:ascii="Times New Roman" w:hAnsi="Times New Roman" w:cs="Times New Roman"/>
          <w:sz w:val="24"/>
          <w:szCs w:val="24"/>
        </w:rPr>
        <w:t>velomaršruta</w:t>
      </w:r>
      <w:proofErr w:type="spellEnd"/>
      <w:r w:rsidRPr="00A07F29">
        <w:rPr>
          <w:rFonts w:ascii="Times New Roman" w:hAnsi="Times New Roman" w:cs="Times New Roman"/>
          <w:sz w:val="24"/>
          <w:szCs w:val="24"/>
        </w:rPr>
        <w:t xml:space="preserve"> aprakstu. </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73"/>
      </w:tblGrid>
      <w:tr w:rsidR="0E6B778D" w:rsidRPr="00A07F29" w14:paraId="3C48882A" w14:textId="77777777" w:rsidTr="63C42FA1">
        <w:tc>
          <w:tcPr>
            <w:tcW w:w="8666" w:type="dxa"/>
          </w:tcPr>
          <w:p w14:paraId="42B52CB3" w14:textId="3EECD37C" w:rsidR="0E6B778D" w:rsidRPr="00A07F29" w:rsidRDefault="0E6B778D" w:rsidP="0E6B778D">
            <w:pPr>
              <w:spacing w:after="160" w:line="256" w:lineRule="auto"/>
              <w:jc w:val="center"/>
              <w:rPr>
                <w:rFonts w:ascii="Times New Roman" w:eastAsia="Calibri" w:hAnsi="Times New Roman" w:cs="Times New Roman"/>
                <w:sz w:val="24"/>
                <w:szCs w:val="24"/>
              </w:rPr>
            </w:pPr>
            <w:r w:rsidRPr="00A07F29">
              <w:rPr>
                <w:noProof/>
                <w:lang w:eastAsia="lv-LV"/>
              </w:rPr>
              <w:lastRenderedPageBreak/>
              <w:drawing>
                <wp:inline distT="0" distB="0" distL="0" distR="0" wp14:anchorId="3689C159" wp14:editId="667D568E">
                  <wp:extent cx="5724524" cy="4046997"/>
                  <wp:effectExtent l="0" t="0" r="2540" b="5715"/>
                  <wp:docPr id="128900009" name="Picture 170371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371795"/>
                          <pic:cNvPicPr/>
                        </pic:nvPicPr>
                        <pic:blipFill>
                          <a:blip r:embed="rId145">
                            <a:extLst>
                              <a:ext uri="{28A0092B-C50C-407E-A947-70E740481C1C}">
                                <a14:useLocalDpi xmlns:a14="http://schemas.microsoft.com/office/drawing/2010/main" val="0"/>
                              </a:ext>
                            </a:extLst>
                          </a:blip>
                          <a:stretch>
                            <a:fillRect/>
                          </a:stretch>
                        </pic:blipFill>
                        <pic:spPr>
                          <a:xfrm>
                            <a:off x="0" y="0"/>
                            <a:ext cx="5724524" cy="4046997"/>
                          </a:xfrm>
                          <a:prstGeom prst="rect">
                            <a:avLst/>
                          </a:prstGeom>
                        </pic:spPr>
                      </pic:pic>
                    </a:graphicData>
                  </a:graphic>
                </wp:inline>
              </w:drawing>
            </w:r>
          </w:p>
        </w:tc>
      </w:tr>
      <w:tr w:rsidR="0E6B778D" w:rsidRPr="00A07F29" w14:paraId="014BCB46" w14:textId="77777777" w:rsidTr="63C42FA1">
        <w:tc>
          <w:tcPr>
            <w:tcW w:w="8666" w:type="dxa"/>
          </w:tcPr>
          <w:p w14:paraId="000D9FB9" w14:textId="4AFE2E0E" w:rsidR="0E6B778D" w:rsidRPr="00E65213" w:rsidRDefault="0E6B778D" w:rsidP="0E6B778D">
            <w:pPr>
              <w:spacing w:after="160" w:line="256" w:lineRule="auto"/>
              <w:jc w:val="both"/>
              <w:rPr>
                <w:rFonts w:ascii="Times New Roman" w:eastAsia="Calibri" w:hAnsi="Times New Roman" w:cs="Times New Roman"/>
                <w:sz w:val="20"/>
                <w:szCs w:val="20"/>
              </w:rPr>
            </w:pPr>
            <w:r w:rsidRPr="00E65213">
              <w:rPr>
                <w:rFonts w:ascii="Times New Roman" w:eastAsia="Calibri" w:hAnsi="Times New Roman" w:cs="Times New Roman"/>
                <w:sz w:val="20"/>
                <w:szCs w:val="20"/>
              </w:rPr>
              <w:t>5.3.4</w:t>
            </w:r>
            <w:r w:rsidR="00E65213" w:rsidRPr="00E65213">
              <w:rPr>
                <w:rFonts w:ascii="Times New Roman" w:eastAsia="Calibri" w:hAnsi="Times New Roman" w:cs="Times New Roman"/>
                <w:sz w:val="20"/>
                <w:szCs w:val="20"/>
              </w:rPr>
              <w:t>7</w:t>
            </w:r>
            <w:r w:rsidRPr="00E65213">
              <w:rPr>
                <w:rFonts w:ascii="Times New Roman" w:eastAsia="Calibri" w:hAnsi="Times New Roman" w:cs="Times New Roman"/>
                <w:sz w:val="20"/>
                <w:szCs w:val="20"/>
              </w:rPr>
              <w:t>.</w:t>
            </w:r>
            <w:r w:rsidR="00E65213" w:rsidRPr="00E65213">
              <w:rPr>
                <w:rFonts w:ascii="Times New Roman" w:eastAsia="Calibri" w:hAnsi="Times New Roman" w:cs="Times New Roman"/>
                <w:sz w:val="20"/>
                <w:szCs w:val="20"/>
              </w:rPr>
              <w:t> </w:t>
            </w:r>
            <w:r w:rsidRPr="00E65213">
              <w:rPr>
                <w:rFonts w:ascii="Times New Roman" w:eastAsia="Calibri" w:hAnsi="Times New Roman" w:cs="Times New Roman"/>
                <w:sz w:val="20"/>
                <w:szCs w:val="20"/>
              </w:rPr>
              <w:t xml:space="preserve">attēls. </w:t>
            </w:r>
            <w:proofErr w:type="spellStart"/>
            <w:r w:rsidRPr="00E65213">
              <w:rPr>
                <w:rFonts w:ascii="Times New Roman" w:eastAsia="Calibri" w:hAnsi="Times New Roman" w:cs="Times New Roman"/>
                <w:sz w:val="20"/>
                <w:szCs w:val="20"/>
              </w:rPr>
              <w:t>Šilovkas</w:t>
            </w:r>
            <w:proofErr w:type="spellEnd"/>
            <w:r w:rsidRPr="00E65213">
              <w:rPr>
                <w:rFonts w:ascii="Times New Roman" w:eastAsia="Calibri" w:hAnsi="Times New Roman" w:cs="Times New Roman"/>
                <w:sz w:val="20"/>
                <w:szCs w:val="20"/>
              </w:rPr>
              <w:t xml:space="preserve"> </w:t>
            </w:r>
            <w:proofErr w:type="spellStart"/>
            <w:r w:rsidRPr="00E65213">
              <w:rPr>
                <w:rFonts w:ascii="Times New Roman" w:eastAsia="Calibri" w:hAnsi="Times New Roman" w:cs="Times New Roman"/>
                <w:sz w:val="20"/>
                <w:szCs w:val="20"/>
              </w:rPr>
              <w:t>velomaršruta</w:t>
            </w:r>
            <w:proofErr w:type="spellEnd"/>
            <w:r w:rsidRPr="00E65213">
              <w:rPr>
                <w:rFonts w:ascii="Times New Roman" w:eastAsia="Calibri" w:hAnsi="Times New Roman" w:cs="Times New Roman"/>
                <w:sz w:val="20"/>
                <w:szCs w:val="20"/>
              </w:rPr>
              <w:t xml:space="preserve"> atjaunošana</w:t>
            </w:r>
          </w:p>
        </w:tc>
      </w:tr>
    </w:tbl>
    <w:p w14:paraId="4824CF65" w14:textId="2B248807" w:rsidR="0E6B778D" w:rsidRPr="00A07F29" w:rsidRDefault="0E6B778D" w:rsidP="008D3067">
      <w:pPr>
        <w:spacing w:after="120" w:line="240" w:lineRule="auto"/>
        <w:jc w:val="both"/>
        <w:rPr>
          <w:rFonts w:ascii="Times New Roman" w:eastAsia="Calibri"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33"/>
      </w:tblGrid>
      <w:tr w:rsidR="009737C8" w:rsidRPr="00A07F29" w14:paraId="3397FF25" w14:textId="77777777" w:rsidTr="63C42FA1">
        <w:tc>
          <w:tcPr>
            <w:tcW w:w="9344" w:type="dxa"/>
          </w:tcPr>
          <w:p w14:paraId="1AC5DC10" w14:textId="4FE7BBA0" w:rsidR="009737C8" w:rsidRPr="00A07F29" w:rsidRDefault="006163B7" w:rsidP="0E6B778D">
            <w:pPr>
              <w:spacing w:after="160" w:line="256" w:lineRule="auto"/>
              <w:contextualSpacing/>
              <w:jc w:val="center"/>
              <w:rPr>
                <w:rFonts w:ascii="Times New Roman" w:eastAsia="Calibri" w:hAnsi="Times New Roman" w:cs="Times New Roman"/>
                <w:sz w:val="24"/>
                <w:szCs w:val="24"/>
              </w:rPr>
            </w:pPr>
            <w:r w:rsidRPr="00A07F29">
              <w:rPr>
                <w:rFonts w:ascii="Times New Roman" w:eastAsia="Calibri" w:hAnsi="Times New Roman" w:cs="Times New Roman"/>
                <w:noProof/>
                <w:sz w:val="24"/>
                <w:szCs w:val="24"/>
                <w:lang w:eastAsia="lv-LV"/>
              </w:rPr>
              <w:drawing>
                <wp:inline distT="0" distB="0" distL="0" distR="0" wp14:anchorId="0815C763" wp14:editId="67DAA67D">
                  <wp:extent cx="5731510" cy="2169795"/>
                  <wp:effectExtent l="0" t="0" r="2540" b="1905"/>
                  <wp:docPr id="918145599" name="Picture 918145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145599" name="D.5.3_l.jpg"/>
                          <pic:cNvPicPr/>
                        </pic:nvPicPr>
                        <pic:blipFill>
                          <a:blip r:embed="rId146" cstate="print">
                            <a:extLst>
                              <a:ext uri="{28A0092B-C50C-407E-A947-70E740481C1C}">
                                <a14:useLocalDpi xmlns:a14="http://schemas.microsoft.com/office/drawing/2010/main" val="0"/>
                              </a:ext>
                            </a:extLst>
                          </a:blip>
                          <a:stretch>
                            <a:fillRect/>
                          </a:stretch>
                        </pic:blipFill>
                        <pic:spPr>
                          <a:xfrm>
                            <a:off x="0" y="0"/>
                            <a:ext cx="5731510" cy="2169795"/>
                          </a:xfrm>
                          <a:prstGeom prst="rect">
                            <a:avLst/>
                          </a:prstGeom>
                        </pic:spPr>
                      </pic:pic>
                    </a:graphicData>
                  </a:graphic>
                </wp:inline>
              </w:drawing>
            </w:r>
          </w:p>
        </w:tc>
      </w:tr>
      <w:tr w:rsidR="009737C8" w:rsidRPr="00A07F29" w14:paraId="25C06AF1" w14:textId="77777777" w:rsidTr="63C42FA1">
        <w:tc>
          <w:tcPr>
            <w:tcW w:w="9344" w:type="dxa"/>
          </w:tcPr>
          <w:p w14:paraId="69240428" w14:textId="5CA76C2D" w:rsidR="009737C8" w:rsidRPr="00B97EC9" w:rsidRDefault="009737C8" w:rsidP="002C5CCE">
            <w:pPr>
              <w:jc w:val="both"/>
              <w:rPr>
                <w:rFonts w:ascii="Times New Roman" w:eastAsia="Calibri" w:hAnsi="Times New Roman" w:cs="Times New Roman"/>
                <w:sz w:val="20"/>
                <w:szCs w:val="20"/>
              </w:rPr>
            </w:pPr>
            <w:r w:rsidRPr="00B97EC9">
              <w:rPr>
                <w:rFonts w:ascii="Times New Roman" w:eastAsia="Calibri" w:hAnsi="Times New Roman" w:cs="Times New Roman"/>
                <w:sz w:val="20"/>
                <w:szCs w:val="20"/>
              </w:rPr>
              <w:t>5.3.</w:t>
            </w:r>
            <w:r w:rsidR="002C5CCE" w:rsidRPr="00B97EC9">
              <w:rPr>
                <w:rFonts w:ascii="Times New Roman" w:eastAsia="Calibri" w:hAnsi="Times New Roman" w:cs="Times New Roman"/>
                <w:sz w:val="20"/>
                <w:szCs w:val="20"/>
              </w:rPr>
              <w:t>4</w:t>
            </w:r>
            <w:r w:rsidR="00E65213" w:rsidRPr="00B97EC9">
              <w:rPr>
                <w:rFonts w:ascii="Times New Roman" w:eastAsia="Calibri" w:hAnsi="Times New Roman" w:cs="Times New Roman"/>
                <w:sz w:val="20"/>
                <w:szCs w:val="20"/>
              </w:rPr>
              <w:t>8</w:t>
            </w:r>
            <w:r w:rsidRPr="00B97EC9">
              <w:rPr>
                <w:rFonts w:ascii="Times New Roman" w:eastAsia="Calibri" w:hAnsi="Times New Roman" w:cs="Times New Roman"/>
                <w:sz w:val="20"/>
                <w:szCs w:val="20"/>
              </w:rPr>
              <w:t>.</w:t>
            </w:r>
            <w:r w:rsidR="00E65213" w:rsidRPr="00B97EC9">
              <w:rPr>
                <w:rFonts w:ascii="Times New Roman" w:eastAsia="Calibri" w:hAnsi="Times New Roman" w:cs="Times New Roman"/>
                <w:sz w:val="20"/>
                <w:szCs w:val="20"/>
              </w:rPr>
              <w:t> </w:t>
            </w:r>
            <w:r w:rsidRPr="00B97EC9">
              <w:rPr>
                <w:rFonts w:ascii="Times New Roman" w:eastAsia="Calibri" w:hAnsi="Times New Roman" w:cs="Times New Roman"/>
                <w:sz w:val="20"/>
                <w:szCs w:val="20"/>
              </w:rPr>
              <w:t xml:space="preserve">attēls. Kopēja AAA “Augšdaugava” </w:t>
            </w:r>
            <w:proofErr w:type="spellStart"/>
            <w:r w:rsidRPr="00B97EC9">
              <w:rPr>
                <w:rFonts w:ascii="Times New Roman" w:eastAsia="Calibri" w:hAnsi="Times New Roman" w:cs="Times New Roman"/>
                <w:sz w:val="20"/>
                <w:szCs w:val="20"/>
              </w:rPr>
              <w:t>velomaršruta</w:t>
            </w:r>
            <w:proofErr w:type="spellEnd"/>
            <w:r w:rsidRPr="00B97EC9">
              <w:rPr>
                <w:rFonts w:ascii="Times New Roman" w:eastAsia="Calibri" w:hAnsi="Times New Roman" w:cs="Times New Roman"/>
                <w:sz w:val="20"/>
                <w:szCs w:val="20"/>
              </w:rPr>
              <w:t xml:space="preserve"> izveide</w:t>
            </w:r>
          </w:p>
        </w:tc>
      </w:tr>
    </w:tbl>
    <w:p w14:paraId="56698C41" w14:textId="4B809D45" w:rsidR="00D56C16" w:rsidRPr="00A07F29" w:rsidRDefault="00D56C16" w:rsidP="0E6B778D">
      <w:pPr>
        <w:spacing w:after="120" w:line="240" w:lineRule="auto"/>
        <w:jc w:val="both"/>
        <w:rPr>
          <w:rFonts w:ascii="Times New Roman" w:hAnsi="Times New Roman" w:cs="Times New Roman"/>
          <w:sz w:val="24"/>
          <w:szCs w:val="24"/>
        </w:rPr>
      </w:pPr>
    </w:p>
    <w:p w14:paraId="2A368510" w14:textId="77777777" w:rsidR="00D56C16" w:rsidRPr="00A07F29" w:rsidRDefault="00D56C16" w:rsidP="00E63404">
      <w:pPr>
        <w:keepNext/>
        <w:spacing w:after="120" w:line="240" w:lineRule="auto"/>
        <w:jc w:val="both"/>
        <w:rPr>
          <w:rFonts w:ascii="Times New Roman" w:hAnsi="Times New Roman" w:cs="Times New Roman"/>
          <w:b/>
          <w:sz w:val="24"/>
          <w:szCs w:val="24"/>
        </w:rPr>
      </w:pPr>
      <w:r w:rsidRPr="00A07F29">
        <w:rPr>
          <w:rFonts w:ascii="Times New Roman" w:hAnsi="Times New Roman" w:cs="Times New Roman"/>
          <w:b/>
          <w:sz w:val="24"/>
          <w:szCs w:val="24"/>
        </w:rPr>
        <w:t>D.6. Pilnveidot tūrisma piedāvājuma AAA “Augšdaugava”</w:t>
      </w:r>
    </w:p>
    <w:p w14:paraId="089B7C6D" w14:textId="7C419413" w:rsidR="00D56C16" w:rsidRPr="00A07F29" w:rsidRDefault="00D56C16" w:rsidP="008D3067">
      <w:pPr>
        <w:keepNext/>
        <w:spacing w:before="240" w:after="120" w:line="240" w:lineRule="auto"/>
        <w:jc w:val="both"/>
        <w:rPr>
          <w:rFonts w:ascii="Times New Roman" w:hAnsi="Times New Roman" w:cs="Times New Roman"/>
          <w:b/>
          <w:i/>
          <w:sz w:val="24"/>
          <w:szCs w:val="24"/>
        </w:rPr>
      </w:pPr>
      <w:r w:rsidRPr="00A07F29">
        <w:rPr>
          <w:rFonts w:ascii="Times New Roman" w:hAnsi="Times New Roman" w:cs="Times New Roman"/>
          <w:b/>
          <w:i/>
          <w:sz w:val="24"/>
          <w:szCs w:val="24"/>
        </w:rPr>
        <w:t>D.6.1. Vasaras sezonas autobusa reisa izveidošana</w:t>
      </w:r>
    </w:p>
    <w:p w14:paraId="50010B42" w14:textId="7D0C8A13" w:rsidR="00D56C16" w:rsidRPr="00A07F29" w:rsidRDefault="00D56C16" w:rsidP="00D56C16">
      <w:pPr>
        <w:spacing w:after="12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t xml:space="preserve">Vasaras sezonā ieteicams ieviest speciālu autobusu ar regulāriem reisiem, kas nogādā teritorijas apmeklētājus tūrisma objektos visā AAA “Augšdaugava” teritorijā. Tas, iespējams, veicinātu tūristus apmeklēt </w:t>
      </w:r>
      <w:r w:rsidR="001B31BA">
        <w:rPr>
          <w:rFonts w:ascii="Times New Roman" w:hAnsi="Times New Roman" w:cs="Times New Roman"/>
          <w:sz w:val="24"/>
          <w:szCs w:val="24"/>
        </w:rPr>
        <w:t xml:space="preserve">AAA </w:t>
      </w:r>
      <w:r w:rsidRPr="00A07F29">
        <w:rPr>
          <w:rFonts w:ascii="Times New Roman" w:hAnsi="Times New Roman" w:cs="Times New Roman"/>
          <w:sz w:val="24"/>
          <w:szCs w:val="24"/>
        </w:rPr>
        <w:t>“Augšdaugav</w:t>
      </w:r>
      <w:r w:rsidR="001B31BA">
        <w:rPr>
          <w:rFonts w:ascii="Times New Roman" w:hAnsi="Times New Roman" w:cs="Times New Roman"/>
          <w:sz w:val="24"/>
          <w:szCs w:val="24"/>
        </w:rPr>
        <w:t>a</w:t>
      </w:r>
      <w:r w:rsidRPr="00A07F29">
        <w:rPr>
          <w:rFonts w:ascii="Times New Roman" w:hAnsi="Times New Roman" w:cs="Times New Roman"/>
          <w:sz w:val="24"/>
          <w:szCs w:val="24"/>
        </w:rPr>
        <w:t xml:space="preserve">” ar sabiedrisko transportu, kā arī varētu </w:t>
      </w:r>
      <w:r w:rsidRPr="00A07F29">
        <w:rPr>
          <w:rFonts w:ascii="Times New Roman" w:hAnsi="Times New Roman" w:cs="Times New Roman"/>
          <w:sz w:val="24"/>
          <w:szCs w:val="24"/>
        </w:rPr>
        <w:lastRenderedPageBreak/>
        <w:t xml:space="preserve">pamudināt autobraucējus atstāt automašīnas autostāvvietās AAA “Augšdaugava” robežas tuvumā (piemēram, Naujenē), tādējādi samazināt automašīnu pārvietošanos pa </w:t>
      </w:r>
      <w:r w:rsidR="006175D6">
        <w:rPr>
          <w:rFonts w:ascii="Times New Roman" w:hAnsi="Times New Roman" w:cs="Times New Roman"/>
          <w:sz w:val="24"/>
          <w:szCs w:val="24"/>
        </w:rPr>
        <w:t>ĪADT</w:t>
      </w:r>
      <w:r w:rsidRPr="00A07F29">
        <w:rPr>
          <w:rFonts w:ascii="Times New Roman" w:hAnsi="Times New Roman" w:cs="Times New Roman"/>
          <w:sz w:val="24"/>
          <w:szCs w:val="24"/>
        </w:rPr>
        <w:t>.</w:t>
      </w:r>
    </w:p>
    <w:p w14:paraId="1D61F01E" w14:textId="2F682AF4" w:rsidR="00D56C16" w:rsidRPr="00A07F29" w:rsidRDefault="00D56C16" w:rsidP="00D2124E">
      <w:pPr>
        <w:keepNext/>
        <w:spacing w:before="240" w:after="120" w:line="240" w:lineRule="auto"/>
        <w:jc w:val="both"/>
        <w:rPr>
          <w:rFonts w:ascii="Times New Roman" w:hAnsi="Times New Roman" w:cs="Times New Roman"/>
          <w:b/>
          <w:i/>
          <w:sz w:val="24"/>
          <w:szCs w:val="24"/>
        </w:rPr>
      </w:pPr>
      <w:r w:rsidRPr="00A07F29">
        <w:rPr>
          <w:rFonts w:ascii="Times New Roman" w:hAnsi="Times New Roman" w:cs="Times New Roman"/>
          <w:b/>
          <w:i/>
          <w:sz w:val="24"/>
          <w:szCs w:val="24"/>
        </w:rPr>
        <w:t>D.6.2. Baznīcu iekļaušana tūrisma piedāvājumā</w:t>
      </w:r>
    </w:p>
    <w:p w14:paraId="51457268" w14:textId="10429767" w:rsidR="00D56C16" w:rsidRPr="00A07F29" w:rsidRDefault="00D56C16" w:rsidP="00D56C16">
      <w:pPr>
        <w:spacing w:after="12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t>Ieteicams padarīt baznīc</w:t>
      </w:r>
      <w:r w:rsidR="004474EF" w:rsidRPr="00A07F29">
        <w:rPr>
          <w:rFonts w:ascii="Times New Roman" w:hAnsi="Times New Roman" w:cs="Times New Roman"/>
          <w:sz w:val="24"/>
          <w:szCs w:val="24"/>
        </w:rPr>
        <w:t>as pieejamākas tūristu apskatei. Piemēram,</w:t>
      </w:r>
      <w:r w:rsidRPr="00A07F29">
        <w:rPr>
          <w:rFonts w:ascii="Times New Roman" w:hAnsi="Times New Roman" w:cs="Times New Roman"/>
          <w:sz w:val="24"/>
          <w:szCs w:val="24"/>
        </w:rPr>
        <w:t xml:space="preserve"> baznīcu zvanu torņus </w:t>
      </w:r>
      <w:r w:rsidR="004474EF" w:rsidRPr="00A07F29">
        <w:rPr>
          <w:rFonts w:ascii="Times New Roman" w:hAnsi="Times New Roman" w:cs="Times New Roman"/>
          <w:sz w:val="24"/>
          <w:szCs w:val="24"/>
        </w:rPr>
        <w:t xml:space="preserve">var </w:t>
      </w:r>
      <w:r w:rsidRPr="00A07F29">
        <w:rPr>
          <w:rFonts w:ascii="Times New Roman" w:hAnsi="Times New Roman" w:cs="Times New Roman"/>
          <w:sz w:val="24"/>
          <w:szCs w:val="24"/>
        </w:rPr>
        <w:t xml:space="preserve">izmantot kā skatu torņus apkārtējās ainavas vērošanai (piemēram, </w:t>
      </w:r>
      <w:proofErr w:type="spellStart"/>
      <w:r w:rsidRPr="00A07F29">
        <w:rPr>
          <w:rFonts w:ascii="Times New Roman" w:hAnsi="Times New Roman" w:cs="Times New Roman"/>
          <w:sz w:val="24"/>
          <w:szCs w:val="24"/>
        </w:rPr>
        <w:t>Indricas</w:t>
      </w:r>
      <w:proofErr w:type="spellEnd"/>
      <w:r w:rsidRPr="00A07F29">
        <w:rPr>
          <w:rFonts w:ascii="Times New Roman" w:hAnsi="Times New Roman" w:cs="Times New Roman"/>
          <w:sz w:val="24"/>
          <w:szCs w:val="24"/>
        </w:rPr>
        <w:t xml:space="preserve"> Sv. Jāņa Kristītāja Romas katoļu baznīcā, </w:t>
      </w:r>
      <w:proofErr w:type="spellStart"/>
      <w:r w:rsidRPr="00A07F29">
        <w:rPr>
          <w:rFonts w:ascii="Times New Roman" w:hAnsi="Times New Roman" w:cs="Times New Roman"/>
          <w:sz w:val="24"/>
          <w:szCs w:val="24"/>
        </w:rPr>
        <w:t>Sīķeles</w:t>
      </w:r>
      <w:proofErr w:type="spellEnd"/>
      <w:r w:rsidRPr="00A07F29">
        <w:rPr>
          <w:rFonts w:ascii="Times New Roman" w:hAnsi="Times New Roman" w:cs="Times New Roman"/>
          <w:sz w:val="24"/>
          <w:szCs w:val="24"/>
        </w:rPr>
        <w:t xml:space="preserve"> luterāņu baznīcā, </w:t>
      </w:r>
      <w:proofErr w:type="spellStart"/>
      <w:r w:rsidRPr="00A07F29">
        <w:rPr>
          <w:rFonts w:ascii="Times New Roman" w:hAnsi="Times New Roman" w:cs="Times New Roman"/>
          <w:sz w:val="24"/>
          <w:szCs w:val="24"/>
        </w:rPr>
        <w:t>Elernes</w:t>
      </w:r>
      <w:proofErr w:type="spellEnd"/>
      <w:r w:rsidRPr="00A07F29">
        <w:rPr>
          <w:rFonts w:ascii="Times New Roman" w:hAnsi="Times New Roman" w:cs="Times New Roman"/>
          <w:sz w:val="24"/>
          <w:szCs w:val="24"/>
        </w:rPr>
        <w:t xml:space="preserve"> Kunga Jēzus </w:t>
      </w:r>
      <w:proofErr w:type="spellStart"/>
      <w:r w:rsidRPr="00A07F29">
        <w:rPr>
          <w:rFonts w:ascii="Times New Roman" w:hAnsi="Times New Roman" w:cs="Times New Roman"/>
          <w:sz w:val="24"/>
          <w:szCs w:val="24"/>
        </w:rPr>
        <w:t>debeskāpšanas</w:t>
      </w:r>
      <w:proofErr w:type="spellEnd"/>
      <w:r w:rsidRPr="00A07F29">
        <w:rPr>
          <w:rFonts w:ascii="Times New Roman" w:hAnsi="Times New Roman" w:cs="Times New Roman"/>
          <w:sz w:val="24"/>
          <w:szCs w:val="24"/>
        </w:rPr>
        <w:t xml:space="preserve"> Romas katoļu baznīcā u.c.).</w:t>
      </w:r>
    </w:p>
    <w:p w14:paraId="65B700D0" w14:textId="7D230009" w:rsidR="004474EF" w:rsidRPr="00A07F29" w:rsidRDefault="004474EF" w:rsidP="00D56C16">
      <w:pPr>
        <w:spacing w:after="12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t>Nepieciešams uzturēt esošos auto stāvlaukumus pie baznīcām un, atbilstoši situācijai dabā, ieteicams izveidot jaunus stāvlaukumus.</w:t>
      </w:r>
    </w:p>
    <w:p w14:paraId="536C2EDA" w14:textId="641EE4E8" w:rsidR="00D56C16" w:rsidRPr="00A07F29" w:rsidRDefault="00D56C16" w:rsidP="00DE50E4">
      <w:pPr>
        <w:keepNext/>
        <w:spacing w:before="240" w:after="120" w:line="240" w:lineRule="auto"/>
        <w:jc w:val="both"/>
        <w:rPr>
          <w:rFonts w:ascii="Times New Roman" w:hAnsi="Times New Roman" w:cs="Times New Roman"/>
          <w:b/>
          <w:i/>
          <w:sz w:val="24"/>
          <w:szCs w:val="24"/>
        </w:rPr>
      </w:pPr>
      <w:r w:rsidRPr="00A07F29">
        <w:rPr>
          <w:rFonts w:ascii="Times New Roman" w:hAnsi="Times New Roman" w:cs="Times New Roman"/>
          <w:b/>
          <w:i/>
          <w:sz w:val="24"/>
          <w:szCs w:val="24"/>
        </w:rPr>
        <w:t xml:space="preserve">D.6.3. </w:t>
      </w:r>
      <w:proofErr w:type="spellStart"/>
      <w:r w:rsidRPr="00A07F29">
        <w:rPr>
          <w:rFonts w:ascii="Times New Roman" w:hAnsi="Times New Roman" w:cs="Times New Roman"/>
          <w:b/>
          <w:i/>
          <w:sz w:val="24"/>
          <w:szCs w:val="24"/>
        </w:rPr>
        <w:t>Če</w:t>
      </w:r>
      <w:r w:rsidR="00B6239F" w:rsidRPr="00A07F29">
        <w:rPr>
          <w:rFonts w:ascii="Times New Roman" w:hAnsi="Times New Roman" w:cs="Times New Roman"/>
          <w:b/>
          <w:i/>
          <w:sz w:val="24"/>
          <w:szCs w:val="24"/>
        </w:rPr>
        <w:t>r</w:t>
      </w:r>
      <w:r w:rsidRPr="00A07F29">
        <w:rPr>
          <w:rFonts w:ascii="Times New Roman" w:hAnsi="Times New Roman" w:cs="Times New Roman"/>
          <w:b/>
          <w:i/>
          <w:sz w:val="24"/>
          <w:szCs w:val="24"/>
        </w:rPr>
        <w:t>vonkas</w:t>
      </w:r>
      <w:proofErr w:type="spellEnd"/>
      <w:r w:rsidRPr="00A07F29">
        <w:rPr>
          <w:rFonts w:ascii="Times New Roman" w:hAnsi="Times New Roman" w:cs="Times New Roman"/>
          <w:b/>
          <w:i/>
          <w:sz w:val="24"/>
          <w:szCs w:val="24"/>
        </w:rPr>
        <w:t xml:space="preserve"> muižas pils tūrisma piedāvājuma pilnveidošana</w:t>
      </w:r>
    </w:p>
    <w:p w14:paraId="784E32F0" w14:textId="43D04188" w:rsidR="00D56C16" w:rsidRPr="00A07F29" w:rsidRDefault="00D56C16" w:rsidP="00D56C16">
      <w:pPr>
        <w:spacing w:after="12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t xml:space="preserve">Iepriekš pils ēkā darbojās pagasta pārvalde, taču šobrīd pilī būs pieejami tikai daži speciālisti, dzimtsarakstu zāle un pasts. Tiek plānots </w:t>
      </w:r>
      <w:proofErr w:type="spellStart"/>
      <w:r w:rsidRPr="00A07F29">
        <w:rPr>
          <w:rFonts w:ascii="Times New Roman" w:hAnsi="Times New Roman" w:cs="Times New Roman"/>
          <w:sz w:val="24"/>
          <w:szCs w:val="24"/>
        </w:rPr>
        <w:t>Červonkas</w:t>
      </w:r>
      <w:proofErr w:type="spellEnd"/>
      <w:r w:rsidRPr="00A07F29">
        <w:rPr>
          <w:rFonts w:ascii="Times New Roman" w:hAnsi="Times New Roman" w:cs="Times New Roman"/>
          <w:sz w:val="24"/>
          <w:szCs w:val="24"/>
        </w:rPr>
        <w:t xml:space="preserve"> pilī izveidot Tūrisma informācijas punktu (ieteicams nodrošināt arī </w:t>
      </w:r>
      <w:r w:rsidR="00050F53">
        <w:rPr>
          <w:rFonts w:ascii="Times New Roman" w:hAnsi="Times New Roman" w:cs="Times New Roman"/>
          <w:sz w:val="24"/>
          <w:szCs w:val="24"/>
        </w:rPr>
        <w:t xml:space="preserve">AAA </w:t>
      </w:r>
      <w:r w:rsidRPr="00A07F29">
        <w:rPr>
          <w:rFonts w:ascii="Times New Roman" w:hAnsi="Times New Roman" w:cs="Times New Roman"/>
          <w:sz w:val="24"/>
          <w:szCs w:val="24"/>
        </w:rPr>
        <w:t>“Augšdaugava” suvenīru iegādi).</w:t>
      </w:r>
    </w:p>
    <w:p w14:paraId="6B0527E8" w14:textId="77777777" w:rsidR="00D56C16" w:rsidRPr="00A07F29" w:rsidRDefault="00D56C16" w:rsidP="00D56C16">
      <w:pPr>
        <w:spacing w:after="12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t>Pils ēku un parku ir iespējams un ieteicams attīstīt kā tūrisma objektu ar plašāku pakalpojumu un kultūras programmas piedāvājumu, izveidojot izstāžu zāles, vasaras kafejnīcu, organizējot kultūras pasākumus gan ziemas, gan vasaras mēnešos (piemēram, brīvdabas koncertus, lauku labumu tirdziņus pils parkā).</w:t>
      </w:r>
    </w:p>
    <w:p w14:paraId="7E1254B1" w14:textId="09386793" w:rsidR="00D56C16" w:rsidRPr="00A07F29" w:rsidRDefault="00D56C16" w:rsidP="0083281A">
      <w:pPr>
        <w:spacing w:after="12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t xml:space="preserve">Ieteicams veikt </w:t>
      </w:r>
      <w:proofErr w:type="spellStart"/>
      <w:r w:rsidRPr="00A07F29">
        <w:rPr>
          <w:rFonts w:ascii="Times New Roman" w:hAnsi="Times New Roman" w:cs="Times New Roman"/>
          <w:sz w:val="24"/>
          <w:szCs w:val="24"/>
        </w:rPr>
        <w:t>Červokas</w:t>
      </w:r>
      <w:proofErr w:type="spellEnd"/>
      <w:r w:rsidRPr="00A07F29">
        <w:rPr>
          <w:rFonts w:ascii="Times New Roman" w:hAnsi="Times New Roman" w:cs="Times New Roman"/>
          <w:sz w:val="24"/>
          <w:szCs w:val="24"/>
        </w:rPr>
        <w:t xml:space="preserve"> muižas parka rekonstrukciju.</w:t>
      </w:r>
    </w:p>
    <w:p w14:paraId="2047F7D9" w14:textId="5FDD3BF9" w:rsidR="00D56C16" w:rsidRPr="00A07F29" w:rsidRDefault="00D56C16" w:rsidP="0083281A">
      <w:pPr>
        <w:keepNext/>
        <w:spacing w:before="240" w:after="120" w:line="240" w:lineRule="auto"/>
        <w:jc w:val="both"/>
        <w:rPr>
          <w:rFonts w:ascii="Times New Roman" w:hAnsi="Times New Roman" w:cs="Times New Roman"/>
          <w:b/>
          <w:i/>
          <w:sz w:val="24"/>
          <w:szCs w:val="24"/>
        </w:rPr>
      </w:pPr>
      <w:r w:rsidRPr="00A07F29">
        <w:rPr>
          <w:rFonts w:ascii="Times New Roman" w:hAnsi="Times New Roman" w:cs="Times New Roman"/>
          <w:b/>
          <w:i/>
          <w:sz w:val="24"/>
          <w:szCs w:val="24"/>
        </w:rPr>
        <w:t xml:space="preserve">D.6.4. </w:t>
      </w:r>
      <w:proofErr w:type="spellStart"/>
      <w:r w:rsidRPr="00A07F29">
        <w:rPr>
          <w:rFonts w:ascii="Times New Roman" w:hAnsi="Times New Roman" w:cs="Times New Roman"/>
          <w:b/>
          <w:i/>
          <w:sz w:val="24"/>
          <w:szCs w:val="24"/>
        </w:rPr>
        <w:t>Hoftenbergas</w:t>
      </w:r>
      <w:proofErr w:type="spellEnd"/>
      <w:r w:rsidRPr="00A07F29">
        <w:rPr>
          <w:rFonts w:ascii="Times New Roman" w:hAnsi="Times New Roman" w:cs="Times New Roman"/>
          <w:b/>
          <w:i/>
          <w:sz w:val="24"/>
          <w:szCs w:val="24"/>
        </w:rPr>
        <w:t xml:space="preserve"> muižas atjaunošana un tūrisma piedāvājuma izveidošana</w:t>
      </w:r>
    </w:p>
    <w:p w14:paraId="03FC08E4" w14:textId="77777777" w:rsidR="00D56C16" w:rsidRPr="00A07F29" w:rsidRDefault="00D56C16" w:rsidP="00D56C16">
      <w:pPr>
        <w:spacing w:after="12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t>Nākotnē iespējams atjaunot un pārbūvēt muižu, labiekārtot parku un izveidot kā jaunu tūrisma piedāvājumu (piemēram, kā naktsmītni, muzeju u.tml.).</w:t>
      </w:r>
    </w:p>
    <w:p w14:paraId="76EDCA1F" w14:textId="38CB02A9" w:rsidR="00D56C16" w:rsidRPr="00A07F29" w:rsidRDefault="00D56C16" w:rsidP="00D56C16">
      <w:pPr>
        <w:spacing w:after="12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t xml:space="preserve">Prioritāri nepieciešams norobežot vecās </w:t>
      </w:r>
      <w:proofErr w:type="spellStart"/>
      <w:r w:rsidRPr="00A07F29">
        <w:rPr>
          <w:rFonts w:ascii="Times New Roman" w:hAnsi="Times New Roman" w:cs="Times New Roman"/>
          <w:sz w:val="24"/>
          <w:szCs w:val="24"/>
        </w:rPr>
        <w:t>Hoftenbergas</w:t>
      </w:r>
      <w:proofErr w:type="spellEnd"/>
      <w:r w:rsidRPr="00A07F29">
        <w:rPr>
          <w:rFonts w:ascii="Times New Roman" w:hAnsi="Times New Roman" w:cs="Times New Roman"/>
          <w:sz w:val="24"/>
          <w:szCs w:val="24"/>
        </w:rPr>
        <w:t xml:space="preserve"> muižas drupas (skat. </w:t>
      </w:r>
      <w:r w:rsidR="0086327C" w:rsidRPr="00A07F29">
        <w:rPr>
          <w:rFonts w:ascii="Times New Roman" w:hAnsi="Times New Roman" w:cs="Times New Roman"/>
          <w:sz w:val="24"/>
          <w:szCs w:val="24"/>
        </w:rPr>
        <w:t>5.3.4</w:t>
      </w:r>
      <w:r w:rsidR="00FD4D86">
        <w:rPr>
          <w:rFonts w:ascii="Times New Roman" w:hAnsi="Times New Roman" w:cs="Times New Roman"/>
          <w:sz w:val="24"/>
          <w:szCs w:val="24"/>
        </w:rPr>
        <w:t>9</w:t>
      </w:r>
      <w:r w:rsidR="0086327C" w:rsidRPr="00A07F29">
        <w:rPr>
          <w:rFonts w:ascii="Times New Roman" w:hAnsi="Times New Roman" w:cs="Times New Roman"/>
          <w:sz w:val="24"/>
          <w:szCs w:val="24"/>
        </w:rPr>
        <w:t>. </w:t>
      </w:r>
      <w:r w:rsidRPr="00A07F29">
        <w:rPr>
          <w:rFonts w:ascii="Times New Roman" w:hAnsi="Times New Roman" w:cs="Times New Roman"/>
          <w:sz w:val="24"/>
          <w:szCs w:val="24"/>
        </w:rPr>
        <w:t>att</w:t>
      </w:r>
      <w:r w:rsidR="0001422D">
        <w:rPr>
          <w:rFonts w:ascii="Times New Roman" w:hAnsi="Times New Roman" w:cs="Times New Roman"/>
          <w:sz w:val="24"/>
          <w:szCs w:val="24"/>
        </w:rPr>
        <w:t>ēls</w:t>
      </w:r>
      <w:r w:rsidRPr="00A07F29">
        <w:rPr>
          <w:rFonts w:ascii="Times New Roman" w:hAnsi="Times New Roman" w:cs="Times New Roman"/>
          <w:sz w:val="24"/>
          <w:szCs w:val="24"/>
        </w:rPr>
        <w:t>).</w:t>
      </w:r>
    </w:p>
    <w:p w14:paraId="16F00EC5" w14:textId="01381223" w:rsidR="00E63404" w:rsidRPr="00A07F29" w:rsidRDefault="00D56C16" w:rsidP="00CC6EA4">
      <w:pPr>
        <w:spacing w:after="12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t>Nepieciešam</w:t>
      </w:r>
      <w:r w:rsidR="00CC6EA4" w:rsidRPr="00A07F29">
        <w:rPr>
          <w:rFonts w:ascii="Times New Roman" w:hAnsi="Times New Roman" w:cs="Times New Roman"/>
          <w:sz w:val="24"/>
          <w:szCs w:val="24"/>
        </w:rPr>
        <w:t xml:space="preserve">s veikt izpēti un ierobežot </w:t>
      </w:r>
      <w:r w:rsidRPr="00A07F29">
        <w:rPr>
          <w:rFonts w:ascii="Times New Roman" w:hAnsi="Times New Roman" w:cs="Times New Roman"/>
          <w:sz w:val="24"/>
          <w:szCs w:val="24"/>
        </w:rPr>
        <w:t>erozijas risk</w:t>
      </w:r>
      <w:r w:rsidR="00CC6EA4" w:rsidRPr="00A07F29">
        <w:rPr>
          <w:rFonts w:ascii="Times New Roman" w:hAnsi="Times New Roman" w:cs="Times New Roman"/>
          <w:sz w:val="24"/>
          <w:szCs w:val="24"/>
        </w:rPr>
        <w:t>u</w:t>
      </w:r>
      <w:r w:rsidRPr="00A07F29">
        <w:rPr>
          <w:rFonts w:ascii="Times New Roman" w:hAnsi="Times New Roman" w:cs="Times New Roman"/>
          <w:sz w:val="24"/>
          <w:szCs w:val="24"/>
        </w:rPr>
        <w:t xml:space="preserve"> </w:t>
      </w:r>
      <w:proofErr w:type="spellStart"/>
      <w:r w:rsidRPr="00A07F29">
        <w:rPr>
          <w:rFonts w:ascii="Times New Roman" w:hAnsi="Times New Roman" w:cs="Times New Roman"/>
          <w:sz w:val="24"/>
          <w:szCs w:val="24"/>
        </w:rPr>
        <w:t>Hoftenbergas</w:t>
      </w:r>
      <w:proofErr w:type="spellEnd"/>
      <w:r w:rsidRPr="00A07F29">
        <w:rPr>
          <w:rFonts w:ascii="Times New Roman" w:hAnsi="Times New Roman" w:cs="Times New Roman"/>
          <w:sz w:val="24"/>
          <w:szCs w:val="24"/>
        </w:rPr>
        <w:t xml:space="preserve"> parkā, nostiprinot krasta nogāzi, kā arī </w:t>
      </w:r>
      <w:r w:rsidR="00CC6EA4" w:rsidRPr="00A07F29">
        <w:rPr>
          <w:rFonts w:ascii="Times New Roman" w:hAnsi="Times New Roman" w:cs="Times New Roman"/>
          <w:sz w:val="24"/>
          <w:szCs w:val="24"/>
        </w:rPr>
        <w:t xml:space="preserve">nepieciešama </w:t>
      </w:r>
      <w:proofErr w:type="spellStart"/>
      <w:r w:rsidRPr="00A07F29">
        <w:rPr>
          <w:rFonts w:ascii="Times New Roman" w:hAnsi="Times New Roman" w:cs="Times New Roman"/>
          <w:sz w:val="24"/>
          <w:szCs w:val="24"/>
        </w:rPr>
        <w:t>Hof</w:t>
      </w:r>
      <w:r w:rsidR="00E63404" w:rsidRPr="00A07F29">
        <w:rPr>
          <w:rFonts w:ascii="Times New Roman" w:hAnsi="Times New Roman" w:cs="Times New Roman"/>
          <w:sz w:val="24"/>
          <w:szCs w:val="24"/>
        </w:rPr>
        <w:t>tenbergas</w:t>
      </w:r>
      <w:proofErr w:type="spellEnd"/>
      <w:r w:rsidR="00E63404" w:rsidRPr="00A07F29">
        <w:rPr>
          <w:rFonts w:ascii="Times New Roman" w:hAnsi="Times New Roman" w:cs="Times New Roman"/>
          <w:sz w:val="24"/>
          <w:szCs w:val="24"/>
        </w:rPr>
        <w:t xml:space="preserve"> parka rekonstrukcijas plāna izstrāde un rekonstrukcija.</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06"/>
        <w:gridCol w:w="3627"/>
      </w:tblGrid>
      <w:tr w:rsidR="00E63404" w:rsidRPr="00A07F29" w14:paraId="7E3653E7" w14:textId="77777777" w:rsidTr="63C42FA1">
        <w:trPr>
          <w:jc w:val="center"/>
        </w:trPr>
        <w:tc>
          <w:tcPr>
            <w:tcW w:w="4530" w:type="dxa"/>
          </w:tcPr>
          <w:p w14:paraId="12735B1C" w14:textId="77777777" w:rsidR="00E63404" w:rsidRPr="00A07F29" w:rsidRDefault="00E63404" w:rsidP="005D698E">
            <w:pPr>
              <w:spacing w:line="256" w:lineRule="auto"/>
              <w:contextualSpacing/>
              <w:jc w:val="both"/>
              <w:rPr>
                <w:rFonts w:ascii="Times New Roman" w:eastAsia="Calibri" w:hAnsi="Times New Roman" w:cs="Times New Roman"/>
                <w:sz w:val="24"/>
                <w:szCs w:val="24"/>
              </w:rPr>
            </w:pPr>
            <w:r w:rsidRPr="00A07F29">
              <w:rPr>
                <w:noProof/>
                <w:lang w:eastAsia="lv-LV"/>
              </w:rPr>
              <w:drawing>
                <wp:inline distT="0" distB="0" distL="0" distR="0" wp14:anchorId="053DCF9D" wp14:editId="4A43F017">
                  <wp:extent cx="3486150" cy="2619375"/>
                  <wp:effectExtent l="0" t="0" r="0" b="9525"/>
                  <wp:docPr id="1703717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47">
                            <a:extLst>
                              <a:ext uri="{28A0092B-C50C-407E-A947-70E740481C1C}">
                                <a14:useLocalDpi xmlns:a14="http://schemas.microsoft.com/office/drawing/2010/main"/>
                              </a:ext>
                            </a:extLst>
                          </a:blip>
                          <a:stretch>
                            <a:fillRect/>
                          </a:stretch>
                        </pic:blipFill>
                        <pic:spPr>
                          <a:xfrm>
                            <a:off x="0" y="0"/>
                            <a:ext cx="3486150" cy="2619375"/>
                          </a:xfrm>
                          <a:prstGeom prst="rect">
                            <a:avLst/>
                          </a:prstGeom>
                        </pic:spPr>
                      </pic:pic>
                    </a:graphicData>
                  </a:graphic>
                </wp:inline>
              </w:drawing>
            </w:r>
          </w:p>
        </w:tc>
        <w:tc>
          <w:tcPr>
            <w:tcW w:w="4531" w:type="dxa"/>
            <w:vAlign w:val="bottom"/>
          </w:tcPr>
          <w:p w14:paraId="6E7AF5D8" w14:textId="777A95D1" w:rsidR="00E63404" w:rsidRPr="006F13DF" w:rsidRDefault="0086327C" w:rsidP="00D530E3">
            <w:pPr>
              <w:spacing w:line="256" w:lineRule="auto"/>
              <w:contextualSpacing/>
              <w:jc w:val="both"/>
              <w:rPr>
                <w:rFonts w:ascii="Times New Roman" w:eastAsia="Calibri" w:hAnsi="Times New Roman" w:cs="Times New Roman"/>
                <w:sz w:val="20"/>
                <w:szCs w:val="20"/>
              </w:rPr>
            </w:pPr>
            <w:r w:rsidRPr="006F13DF">
              <w:rPr>
                <w:rFonts w:ascii="Times New Roman" w:eastAsia="Times New Roman" w:hAnsi="Times New Roman" w:cs="Times New Roman"/>
                <w:bCs/>
                <w:color w:val="000000"/>
                <w:sz w:val="20"/>
                <w:szCs w:val="20"/>
              </w:rPr>
              <w:t>5.3.4</w:t>
            </w:r>
            <w:r w:rsidR="006F13DF" w:rsidRPr="006F13DF">
              <w:rPr>
                <w:rFonts w:ascii="Times New Roman" w:eastAsia="Times New Roman" w:hAnsi="Times New Roman" w:cs="Times New Roman"/>
                <w:bCs/>
                <w:color w:val="000000"/>
                <w:sz w:val="20"/>
                <w:szCs w:val="20"/>
              </w:rPr>
              <w:t>9</w:t>
            </w:r>
            <w:r w:rsidRPr="006F13DF">
              <w:rPr>
                <w:rFonts w:ascii="Times New Roman" w:eastAsia="Times New Roman" w:hAnsi="Times New Roman" w:cs="Times New Roman"/>
                <w:bCs/>
                <w:color w:val="000000"/>
                <w:sz w:val="20"/>
                <w:szCs w:val="20"/>
              </w:rPr>
              <w:t>.</w:t>
            </w:r>
            <w:r w:rsidR="006F13DF" w:rsidRPr="006F13DF">
              <w:rPr>
                <w:rFonts w:ascii="Times New Roman" w:eastAsia="Times New Roman" w:hAnsi="Times New Roman" w:cs="Times New Roman"/>
                <w:bCs/>
                <w:color w:val="000000"/>
                <w:sz w:val="20"/>
                <w:szCs w:val="20"/>
              </w:rPr>
              <w:t> </w:t>
            </w:r>
            <w:r w:rsidR="00E63404" w:rsidRPr="006F13DF">
              <w:rPr>
                <w:rFonts w:ascii="Times New Roman" w:eastAsia="Times New Roman" w:hAnsi="Times New Roman" w:cs="Times New Roman"/>
                <w:bCs/>
                <w:color w:val="000000"/>
                <w:sz w:val="20"/>
                <w:szCs w:val="20"/>
              </w:rPr>
              <w:t xml:space="preserve">attēls. </w:t>
            </w:r>
            <w:proofErr w:type="spellStart"/>
            <w:r w:rsidR="00E63404" w:rsidRPr="006F13DF">
              <w:rPr>
                <w:rFonts w:ascii="Times New Roman" w:eastAsia="Calibri" w:hAnsi="Times New Roman" w:cs="Times New Roman"/>
                <w:bCs/>
                <w:sz w:val="20"/>
                <w:szCs w:val="20"/>
              </w:rPr>
              <w:t>Hoftenbergas</w:t>
            </w:r>
            <w:proofErr w:type="spellEnd"/>
            <w:r w:rsidR="00E63404" w:rsidRPr="006F13DF">
              <w:rPr>
                <w:rFonts w:ascii="Times New Roman" w:eastAsia="Calibri" w:hAnsi="Times New Roman" w:cs="Times New Roman"/>
                <w:bCs/>
                <w:sz w:val="20"/>
                <w:szCs w:val="20"/>
              </w:rPr>
              <w:t xml:space="preserve"> muižas drupas, kas nav norobežotas un ir ikvienam pieejamas (foto: K.</w:t>
            </w:r>
            <w:r w:rsidR="006F13DF" w:rsidRPr="006F13DF">
              <w:rPr>
                <w:rFonts w:ascii="Times New Roman" w:eastAsia="Calibri" w:hAnsi="Times New Roman" w:cs="Times New Roman"/>
                <w:bCs/>
                <w:sz w:val="20"/>
                <w:szCs w:val="20"/>
              </w:rPr>
              <w:t> </w:t>
            </w:r>
            <w:r w:rsidR="00E63404" w:rsidRPr="006F13DF">
              <w:rPr>
                <w:rFonts w:ascii="Times New Roman" w:eastAsia="Calibri" w:hAnsi="Times New Roman" w:cs="Times New Roman"/>
                <w:bCs/>
                <w:sz w:val="20"/>
                <w:szCs w:val="20"/>
              </w:rPr>
              <w:t>Seržante).</w:t>
            </w:r>
          </w:p>
        </w:tc>
      </w:tr>
    </w:tbl>
    <w:p w14:paraId="3425EE9E" w14:textId="77777777" w:rsidR="00D56C16" w:rsidRPr="00A07F29" w:rsidRDefault="00D56C16" w:rsidP="00D56C16">
      <w:pPr>
        <w:spacing w:after="120" w:line="240" w:lineRule="auto"/>
        <w:jc w:val="both"/>
        <w:rPr>
          <w:rFonts w:ascii="Times New Roman" w:hAnsi="Times New Roman" w:cs="Times New Roman"/>
          <w:sz w:val="24"/>
          <w:szCs w:val="24"/>
        </w:rPr>
      </w:pPr>
    </w:p>
    <w:p w14:paraId="2E3FE556" w14:textId="0155E790" w:rsidR="00D56C16" w:rsidRPr="00A07F29" w:rsidRDefault="00D56C16" w:rsidP="00E63404">
      <w:pPr>
        <w:keepNext/>
        <w:spacing w:after="120" w:line="240" w:lineRule="auto"/>
        <w:jc w:val="both"/>
        <w:rPr>
          <w:rFonts w:ascii="Times New Roman" w:hAnsi="Times New Roman" w:cs="Times New Roman"/>
          <w:b/>
          <w:i/>
          <w:sz w:val="24"/>
          <w:szCs w:val="24"/>
        </w:rPr>
      </w:pPr>
      <w:r w:rsidRPr="00A07F29">
        <w:rPr>
          <w:rFonts w:ascii="Times New Roman" w:hAnsi="Times New Roman" w:cs="Times New Roman"/>
          <w:b/>
          <w:i/>
          <w:sz w:val="24"/>
          <w:szCs w:val="24"/>
        </w:rPr>
        <w:lastRenderedPageBreak/>
        <w:t>D.6.5. Vietējo pārtikas ražotāju, mājražotāju un amatnieku preču iekļaušana tūrisma piedāvājumā</w:t>
      </w:r>
    </w:p>
    <w:p w14:paraId="644DE816" w14:textId="77777777" w:rsidR="00D56C16" w:rsidRPr="00A07F29" w:rsidRDefault="00D56C16" w:rsidP="009329C4">
      <w:pPr>
        <w:spacing w:after="12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t xml:space="preserve">Nepieciešams veicināt vietējo pārtikas ražotāju, mājražotāju un amatnieku preču pieejamību tūristiem AAA “Augšdaugava” teritorijā, piemēram, tūrisma sezonas laikā regulāri organizēt vietējo ražotāju un amatnieku tirdziņus tam speciāli izveidotā un labiekārtotā tirgus laukumā, izveidot vietējo ražotāju preču veikaliņu, apvienojot to ar vasaras kafejnīcu (piemēram, Naujenē, </w:t>
      </w:r>
      <w:proofErr w:type="spellStart"/>
      <w:r w:rsidRPr="00A07F29">
        <w:rPr>
          <w:rFonts w:ascii="Times New Roman" w:hAnsi="Times New Roman" w:cs="Times New Roman"/>
          <w:sz w:val="24"/>
          <w:szCs w:val="24"/>
        </w:rPr>
        <w:t>Slutišķos</w:t>
      </w:r>
      <w:proofErr w:type="spellEnd"/>
      <w:r w:rsidRPr="00A07F29">
        <w:rPr>
          <w:rFonts w:ascii="Times New Roman" w:hAnsi="Times New Roman" w:cs="Times New Roman"/>
          <w:sz w:val="24"/>
          <w:szCs w:val="24"/>
        </w:rPr>
        <w:t xml:space="preserve">, Krāslavā, </w:t>
      </w:r>
      <w:proofErr w:type="spellStart"/>
      <w:r w:rsidRPr="00A07F29">
        <w:rPr>
          <w:rFonts w:ascii="Times New Roman" w:hAnsi="Times New Roman" w:cs="Times New Roman"/>
          <w:sz w:val="24"/>
          <w:szCs w:val="24"/>
        </w:rPr>
        <w:t>Červonkā</w:t>
      </w:r>
      <w:proofErr w:type="spellEnd"/>
      <w:r w:rsidRPr="00A07F29">
        <w:rPr>
          <w:rFonts w:ascii="Times New Roman" w:hAnsi="Times New Roman" w:cs="Times New Roman"/>
          <w:sz w:val="24"/>
          <w:szCs w:val="24"/>
        </w:rPr>
        <w:t>, Piedrujā vai citur).</w:t>
      </w:r>
    </w:p>
    <w:p w14:paraId="3473E51C" w14:textId="3B295853" w:rsidR="00D56C16" w:rsidRPr="00A07F29" w:rsidRDefault="00D56C16" w:rsidP="005510D7">
      <w:pPr>
        <w:keepNext/>
        <w:spacing w:before="240" w:after="120" w:line="240" w:lineRule="auto"/>
        <w:jc w:val="both"/>
        <w:rPr>
          <w:rFonts w:ascii="Times New Roman" w:hAnsi="Times New Roman" w:cs="Times New Roman"/>
          <w:b/>
          <w:i/>
          <w:sz w:val="24"/>
          <w:szCs w:val="24"/>
        </w:rPr>
      </w:pPr>
      <w:r w:rsidRPr="00A07F29">
        <w:rPr>
          <w:rFonts w:ascii="Times New Roman" w:hAnsi="Times New Roman" w:cs="Times New Roman"/>
          <w:b/>
          <w:i/>
          <w:sz w:val="24"/>
          <w:szCs w:val="24"/>
        </w:rPr>
        <w:t>D.6.6. Lauku saimniecību iekļaušana tūrisma piedāvājumā</w:t>
      </w:r>
    </w:p>
    <w:p w14:paraId="119AD353" w14:textId="3E998393" w:rsidR="00D56C16" w:rsidRPr="00A07F29" w:rsidRDefault="00D56C16" w:rsidP="00DF78BA">
      <w:pPr>
        <w:spacing w:after="12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t>Nepieciešams veicināt un atbalstīt AAA “Augšdaugava” teritorijā esošo saimniecību atvēršanu apmeklētājiem, piedāvājot dzīvnieku apskati, ekskursijas pa saimniecību, lauksaimniecības produktu degustācijas, meistarklases u.c. pakalpojumus, tādējādi pilnveidojot tūrisma piedāvājumu klāstu, kā arī veicinot ekonomisko izaugsmi un attīstību lauku teritorijās.</w:t>
      </w:r>
    </w:p>
    <w:p w14:paraId="7BA9E1ED" w14:textId="000D9CE0" w:rsidR="00D56C16" w:rsidRPr="00A07F29" w:rsidRDefault="00D56C16" w:rsidP="00DF78BA">
      <w:pPr>
        <w:keepNext/>
        <w:spacing w:before="240" w:after="120" w:line="240" w:lineRule="auto"/>
        <w:jc w:val="both"/>
        <w:rPr>
          <w:rFonts w:ascii="Times New Roman" w:hAnsi="Times New Roman" w:cs="Times New Roman"/>
          <w:b/>
          <w:i/>
          <w:sz w:val="24"/>
          <w:szCs w:val="24"/>
        </w:rPr>
      </w:pPr>
      <w:r w:rsidRPr="00A07F29">
        <w:rPr>
          <w:rFonts w:ascii="Times New Roman" w:hAnsi="Times New Roman" w:cs="Times New Roman"/>
          <w:b/>
          <w:i/>
          <w:sz w:val="24"/>
          <w:szCs w:val="24"/>
        </w:rPr>
        <w:t>D.6.7. Amatnieku darbnīcu atbalstīšana un iekļaušanu tūrisma piedāvājumā</w:t>
      </w:r>
    </w:p>
    <w:p w14:paraId="3F4D4BF1" w14:textId="77777777" w:rsidR="00D56C16" w:rsidRPr="00A07F29" w:rsidRDefault="00D56C16" w:rsidP="00D56C16">
      <w:pPr>
        <w:spacing w:after="12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t xml:space="preserve">Nepieciešams veicināt un atbalstīt AAA “Augšdaugava” teritorijā amatnieku darbnīcu attīstību un iekļaušanu tūrisma apritē, piedāvājot apmeklētājiem meistarklases, radošās darbnīcas, amatnieku izstrādājumu iegādi u.tml., tādējādi pilnveidojot tūrisma piedāvājuma klāstu, kā arī veicinot amatnieku tradīciju saglabāšanu un ekonomisko izaugsmi lauku teritorijās. </w:t>
      </w:r>
    </w:p>
    <w:p w14:paraId="773747AC" w14:textId="63CF54F3" w:rsidR="00D56C16" w:rsidRPr="00A07F29" w:rsidRDefault="00D56C16" w:rsidP="004913B1">
      <w:pPr>
        <w:spacing w:after="12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t>Šobrīd AAA “Augšdaugava” teritorijā netiek piedāvāts amatnieku darbnīcu apmeklējums, taču Krāslavā, blakus AAA teritorijai, atrodas divas amatnieku darbnīcas – A.</w:t>
      </w:r>
      <w:r w:rsidR="00BF4EEA">
        <w:rPr>
          <w:rFonts w:ascii="Times New Roman" w:hAnsi="Times New Roman" w:cs="Times New Roman"/>
          <w:sz w:val="24"/>
          <w:szCs w:val="24"/>
        </w:rPr>
        <w:t> </w:t>
      </w:r>
      <w:proofErr w:type="spellStart"/>
      <w:r w:rsidRPr="00A07F29">
        <w:rPr>
          <w:rFonts w:ascii="Times New Roman" w:hAnsi="Times New Roman" w:cs="Times New Roman"/>
          <w:sz w:val="24"/>
          <w:szCs w:val="24"/>
        </w:rPr>
        <w:t>Maijera</w:t>
      </w:r>
      <w:proofErr w:type="spellEnd"/>
      <w:r w:rsidRPr="00A07F29">
        <w:rPr>
          <w:rFonts w:ascii="Times New Roman" w:hAnsi="Times New Roman" w:cs="Times New Roman"/>
          <w:sz w:val="24"/>
          <w:szCs w:val="24"/>
        </w:rPr>
        <w:t xml:space="preserve"> seno mūzikas instrumentu kolekcija un keramiķu Valda un Olgas Pauliņu darbnīca. Kā liecina Krāslavas TIC sniegtā informācija, interese par abām amatnieku darbnīcām pastāv: 2017.</w:t>
      </w:r>
      <w:r w:rsidR="004913B1">
        <w:rPr>
          <w:rFonts w:ascii="Times New Roman" w:hAnsi="Times New Roman" w:cs="Times New Roman"/>
          <w:sz w:val="24"/>
          <w:szCs w:val="24"/>
        </w:rPr>
        <w:t> </w:t>
      </w:r>
      <w:r w:rsidRPr="00A07F29">
        <w:rPr>
          <w:rFonts w:ascii="Times New Roman" w:hAnsi="Times New Roman" w:cs="Times New Roman"/>
          <w:sz w:val="24"/>
          <w:szCs w:val="24"/>
        </w:rPr>
        <w:t>gadā bija 2480 apmeklētāji, 2018.</w:t>
      </w:r>
      <w:r w:rsidR="004913B1">
        <w:rPr>
          <w:rFonts w:ascii="Times New Roman" w:hAnsi="Times New Roman" w:cs="Times New Roman"/>
          <w:sz w:val="24"/>
          <w:szCs w:val="24"/>
        </w:rPr>
        <w:t> </w:t>
      </w:r>
      <w:r w:rsidRPr="00A07F29">
        <w:rPr>
          <w:rFonts w:ascii="Times New Roman" w:hAnsi="Times New Roman" w:cs="Times New Roman"/>
          <w:sz w:val="24"/>
          <w:szCs w:val="24"/>
        </w:rPr>
        <w:t>gadā – 1270, 2019.</w:t>
      </w:r>
      <w:r w:rsidR="004913B1">
        <w:rPr>
          <w:rFonts w:ascii="Times New Roman" w:hAnsi="Times New Roman" w:cs="Times New Roman"/>
          <w:sz w:val="24"/>
          <w:szCs w:val="24"/>
        </w:rPr>
        <w:t> </w:t>
      </w:r>
      <w:r w:rsidRPr="00A07F29">
        <w:rPr>
          <w:rFonts w:ascii="Times New Roman" w:hAnsi="Times New Roman" w:cs="Times New Roman"/>
          <w:sz w:val="24"/>
          <w:szCs w:val="24"/>
        </w:rPr>
        <w:t>gadā – 1700 apmeklētāji. Arī citviet Latvijā dažādas amatnieku darbnīcas, kā arī lauku labumu saimniecības, ir plaši izplatītas un populāras kā tūrisma objekti.</w:t>
      </w:r>
    </w:p>
    <w:p w14:paraId="1EC590CA" w14:textId="1438B59B" w:rsidR="00D56C16" w:rsidRPr="00A07F29" w:rsidRDefault="00D56C16" w:rsidP="004913B1">
      <w:pPr>
        <w:keepNext/>
        <w:spacing w:before="240" w:after="120" w:line="240" w:lineRule="auto"/>
        <w:jc w:val="both"/>
        <w:rPr>
          <w:rFonts w:ascii="Times New Roman" w:hAnsi="Times New Roman" w:cs="Times New Roman"/>
          <w:b/>
          <w:i/>
          <w:sz w:val="24"/>
          <w:szCs w:val="24"/>
        </w:rPr>
      </w:pPr>
      <w:r w:rsidRPr="00A07F29">
        <w:rPr>
          <w:rFonts w:ascii="Times New Roman" w:hAnsi="Times New Roman" w:cs="Times New Roman"/>
          <w:b/>
          <w:i/>
          <w:sz w:val="24"/>
          <w:szCs w:val="24"/>
        </w:rPr>
        <w:t>D.6.8. Naktsmītņu piedāvājuma attīstīšana</w:t>
      </w:r>
    </w:p>
    <w:p w14:paraId="1C50603D" w14:textId="77777777" w:rsidR="00D56C16" w:rsidRPr="00A07F29" w:rsidRDefault="00D56C16" w:rsidP="00D56C16">
      <w:pPr>
        <w:spacing w:after="12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t>AAA “Augšdaugava” teritorijā:</w:t>
      </w:r>
    </w:p>
    <w:p w14:paraId="5288C93E" w14:textId="77777777" w:rsidR="00D56C16" w:rsidRPr="00A07F29" w:rsidRDefault="00D56C16" w:rsidP="00F87589">
      <w:pPr>
        <w:pStyle w:val="ListParagraph"/>
        <w:numPr>
          <w:ilvl w:val="0"/>
          <w:numId w:val="54"/>
        </w:numPr>
        <w:spacing w:line="240" w:lineRule="auto"/>
        <w:ind w:left="851" w:hanging="425"/>
        <w:contextualSpacing w:val="0"/>
        <w:rPr>
          <w:rFonts w:cs="Times New Roman"/>
          <w:szCs w:val="24"/>
        </w:rPr>
      </w:pPr>
      <w:r w:rsidRPr="00A07F29">
        <w:rPr>
          <w:rFonts w:cs="Times New Roman"/>
          <w:szCs w:val="24"/>
        </w:rPr>
        <w:t xml:space="preserve">nepieciešamas paaugstināta komforta naktsmītnes Daugavas krastos, kurās apmesties </w:t>
      </w:r>
      <w:proofErr w:type="spellStart"/>
      <w:r w:rsidRPr="00A07F29">
        <w:rPr>
          <w:rFonts w:cs="Times New Roman"/>
          <w:szCs w:val="24"/>
        </w:rPr>
        <w:t>ūdenstūristiem</w:t>
      </w:r>
      <w:proofErr w:type="spellEnd"/>
      <w:r w:rsidRPr="00A07F29">
        <w:rPr>
          <w:rFonts w:cs="Times New Roman"/>
          <w:szCs w:val="24"/>
        </w:rPr>
        <w:t xml:space="preserve">, it īpaši ārvalstu tūristiem – brīvdienu mājas, viesu mājas, kempingi ar labiekārtotām kempingu mājiņām; </w:t>
      </w:r>
    </w:p>
    <w:p w14:paraId="649D3B7E" w14:textId="3430A1AD" w:rsidR="00D56C16" w:rsidRPr="00A07F29" w:rsidRDefault="00D56C16" w:rsidP="00F87589">
      <w:pPr>
        <w:pStyle w:val="ListParagraph"/>
        <w:numPr>
          <w:ilvl w:val="0"/>
          <w:numId w:val="54"/>
        </w:numPr>
        <w:spacing w:line="240" w:lineRule="auto"/>
        <w:ind w:left="851" w:hanging="425"/>
        <w:contextualSpacing w:val="0"/>
        <w:rPr>
          <w:rFonts w:cs="Times New Roman"/>
          <w:szCs w:val="24"/>
        </w:rPr>
      </w:pPr>
      <w:r w:rsidRPr="00A07F29">
        <w:rPr>
          <w:rFonts w:cs="Times New Roman"/>
          <w:szCs w:val="24"/>
        </w:rPr>
        <w:t>nepieciešamas naktsmītnes, kurās varētu izmitināt lielāku skaitu cilvēku – tūristu grupas, skolēnu grupas divu dienu ekskursiju ietvaros, darba kolektīvus u.tml.</w:t>
      </w:r>
      <w:r w:rsidR="00AC6D8C">
        <w:rPr>
          <w:rFonts w:cs="Times New Roman"/>
          <w:szCs w:val="24"/>
        </w:rPr>
        <w:t>,</w:t>
      </w:r>
    </w:p>
    <w:p w14:paraId="7F004728" w14:textId="110F19C3" w:rsidR="00D56C16" w:rsidRPr="00A07F29" w:rsidRDefault="00D56C16" w:rsidP="00F87589">
      <w:pPr>
        <w:pStyle w:val="ListParagraph"/>
        <w:numPr>
          <w:ilvl w:val="0"/>
          <w:numId w:val="54"/>
        </w:numPr>
        <w:spacing w:line="240" w:lineRule="auto"/>
        <w:ind w:left="851" w:hanging="425"/>
        <w:contextualSpacing w:val="0"/>
        <w:rPr>
          <w:rFonts w:cs="Times New Roman"/>
          <w:szCs w:val="24"/>
        </w:rPr>
      </w:pPr>
      <w:r w:rsidRPr="00A07F29">
        <w:rPr>
          <w:rFonts w:cs="Times New Roman"/>
          <w:szCs w:val="24"/>
        </w:rPr>
        <w:t xml:space="preserve">atbalstāmas ir unikālas, ekskluzīvas un īpatnējas naktsmītnes, kas pamudinātu apmeklēt AAA “Augšdaugava” ar nakšņošanu tūristus no tālākiem Latvijas reģioniem – </w:t>
      </w:r>
      <w:proofErr w:type="spellStart"/>
      <w:r w:rsidRPr="00A07F29">
        <w:rPr>
          <w:rFonts w:cs="Times New Roman"/>
          <w:szCs w:val="24"/>
        </w:rPr>
        <w:t>glempings</w:t>
      </w:r>
      <w:proofErr w:type="spellEnd"/>
      <w:r w:rsidRPr="00A07F29">
        <w:rPr>
          <w:rFonts w:cs="Times New Roman"/>
          <w:szCs w:val="24"/>
        </w:rPr>
        <w:t>, mucu mājiņas ar skatu uz Daugavu, caurspīdīgi kupolveida namiņi zvaigžņu vērošanai, lauku mājas ar autentisku vietējo arhitektūru, viesnīcas/viesu mājas vecajās muižās, nakšņošana šūpuļtīklos, kas iekārti kokos, u.tml.</w:t>
      </w:r>
      <w:r w:rsidR="00D65BBA" w:rsidRPr="00A07F29">
        <w:rPr>
          <w:rFonts w:cs="Times New Roman"/>
          <w:szCs w:val="24"/>
        </w:rPr>
        <w:t xml:space="preserve"> </w:t>
      </w:r>
    </w:p>
    <w:p w14:paraId="48B6C96F" w14:textId="0C8E4B4F" w:rsidR="00D56C16" w:rsidRPr="00A07F29" w:rsidRDefault="00D56C16" w:rsidP="00D56C16">
      <w:pPr>
        <w:spacing w:after="12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t>Vien</w:t>
      </w:r>
      <w:r w:rsidR="0086327C" w:rsidRPr="00A07F29">
        <w:rPr>
          <w:rFonts w:ascii="Times New Roman" w:hAnsi="Times New Roman" w:cs="Times New Roman"/>
          <w:sz w:val="24"/>
          <w:szCs w:val="24"/>
        </w:rPr>
        <w:t>s no</w:t>
      </w:r>
      <w:r w:rsidRPr="00A07F29">
        <w:rPr>
          <w:rFonts w:ascii="Times New Roman" w:hAnsi="Times New Roman" w:cs="Times New Roman"/>
          <w:sz w:val="24"/>
          <w:szCs w:val="24"/>
        </w:rPr>
        <w:t xml:space="preserve"> vietējiem AAA “Augšdaugava” tūrisma uzņēmējiem ir </w:t>
      </w:r>
      <w:r w:rsidR="009F6874" w:rsidRPr="00A07F29">
        <w:rPr>
          <w:rFonts w:ascii="Times New Roman" w:hAnsi="Times New Roman" w:cs="Times New Roman"/>
          <w:sz w:val="24"/>
          <w:szCs w:val="24"/>
        </w:rPr>
        <w:t>uzbūv</w:t>
      </w:r>
      <w:r w:rsidR="008B1D3F">
        <w:rPr>
          <w:rFonts w:ascii="Times New Roman" w:hAnsi="Times New Roman" w:cs="Times New Roman"/>
          <w:sz w:val="24"/>
          <w:szCs w:val="24"/>
        </w:rPr>
        <w:t>ē</w:t>
      </w:r>
      <w:r w:rsidR="009F6874" w:rsidRPr="00A07F29">
        <w:rPr>
          <w:rFonts w:ascii="Times New Roman" w:hAnsi="Times New Roman" w:cs="Times New Roman"/>
          <w:sz w:val="24"/>
          <w:szCs w:val="24"/>
        </w:rPr>
        <w:t>jis</w:t>
      </w:r>
      <w:r w:rsidRPr="00A07F29">
        <w:rPr>
          <w:rFonts w:ascii="Times New Roman" w:hAnsi="Times New Roman" w:cs="Times New Roman"/>
          <w:sz w:val="24"/>
          <w:szCs w:val="24"/>
        </w:rPr>
        <w:t xml:space="preserve"> kempingu </w:t>
      </w:r>
      <w:proofErr w:type="spellStart"/>
      <w:r w:rsidRPr="00A07F29">
        <w:rPr>
          <w:rFonts w:ascii="Times New Roman" w:hAnsi="Times New Roman" w:cs="Times New Roman"/>
          <w:sz w:val="24"/>
          <w:szCs w:val="24"/>
        </w:rPr>
        <w:t>Slutišķu</w:t>
      </w:r>
      <w:proofErr w:type="spellEnd"/>
      <w:r w:rsidRPr="00A07F29">
        <w:rPr>
          <w:rFonts w:ascii="Times New Roman" w:hAnsi="Times New Roman" w:cs="Times New Roman"/>
          <w:sz w:val="24"/>
          <w:szCs w:val="24"/>
        </w:rPr>
        <w:t xml:space="preserve"> sādžā. Kempingā paredzēts apmesties arī ar </w:t>
      </w:r>
      <w:proofErr w:type="spellStart"/>
      <w:r w:rsidRPr="00A07F29">
        <w:rPr>
          <w:rFonts w:ascii="Times New Roman" w:hAnsi="Times New Roman" w:cs="Times New Roman"/>
          <w:sz w:val="24"/>
          <w:szCs w:val="24"/>
        </w:rPr>
        <w:t>kemperiem</w:t>
      </w:r>
      <w:proofErr w:type="spellEnd"/>
      <w:r w:rsidRPr="00A07F29">
        <w:rPr>
          <w:rFonts w:ascii="Times New Roman" w:hAnsi="Times New Roman" w:cs="Times New Roman"/>
          <w:sz w:val="24"/>
          <w:szCs w:val="24"/>
        </w:rPr>
        <w:t xml:space="preserve">, nodrošinot tam nepieciešamo infrastruktūru. Uzņēmējs plāno būvēt otru kempingu </w:t>
      </w:r>
      <w:proofErr w:type="spellStart"/>
      <w:r w:rsidRPr="00A07F29">
        <w:rPr>
          <w:rFonts w:ascii="Times New Roman" w:hAnsi="Times New Roman" w:cs="Times New Roman"/>
          <w:sz w:val="24"/>
          <w:szCs w:val="24"/>
        </w:rPr>
        <w:t>Butišķu</w:t>
      </w:r>
      <w:proofErr w:type="spellEnd"/>
      <w:r w:rsidRPr="00A07F29">
        <w:rPr>
          <w:rFonts w:ascii="Times New Roman" w:hAnsi="Times New Roman" w:cs="Times New Roman"/>
          <w:sz w:val="24"/>
          <w:szCs w:val="24"/>
        </w:rPr>
        <w:t xml:space="preserve"> lokā.</w:t>
      </w:r>
    </w:p>
    <w:p w14:paraId="5675F5CA" w14:textId="7D6D4A05" w:rsidR="00D56C16" w:rsidRPr="00A07F29" w:rsidRDefault="00D56C16" w:rsidP="008547DC">
      <w:pPr>
        <w:spacing w:after="12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t xml:space="preserve">Būvējot jaunas naktsmītnes, svarīgi ir saglabāt kultūrvēsturiskās vērtības un ievērot dabas un ainavas aizsardzības principus, atbalstāmas videi draudzīgas mājas un </w:t>
      </w:r>
      <w:proofErr w:type="spellStart"/>
      <w:r w:rsidRPr="00A07F29">
        <w:rPr>
          <w:rFonts w:ascii="Times New Roman" w:hAnsi="Times New Roman" w:cs="Times New Roman"/>
          <w:sz w:val="24"/>
          <w:szCs w:val="24"/>
        </w:rPr>
        <w:t>eko</w:t>
      </w:r>
      <w:proofErr w:type="spellEnd"/>
      <w:r w:rsidRPr="00A07F29">
        <w:rPr>
          <w:rFonts w:ascii="Times New Roman" w:hAnsi="Times New Roman" w:cs="Times New Roman"/>
          <w:sz w:val="24"/>
          <w:szCs w:val="24"/>
        </w:rPr>
        <w:t xml:space="preserve"> mājas.</w:t>
      </w:r>
    </w:p>
    <w:p w14:paraId="0663355B" w14:textId="3653539F" w:rsidR="00D56C16" w:rsidRPr="00A07F29" w:rsidRDefault="00D56C16" w:rsidP="008547DC">
      <w:pPr>
        <w:keepNext/>
        <w:spacing w:before="240" w:after="120" w:line="240" w:lineRule="auto"/>
        <w:jc w:val="both"/>
        <w:rPr>
          <w:rFonts w:ascii="Times New Roman" w:hAnsi="Times New Roman" w:cs="Times New Roman"/>
          <w:b/>
          <w:i/>
          <w:sz w:val="24"/>
          <w:szCs w:val="24"/>
        </w:rPr>
      </w:pPr>
      <w:r w:rsidRPr="00A07F29">
        <w:rPr>
          <w:rFonts w:ascii="Times New Roman" w:hAnsi="Times New Roman" w:cs="Times New Roman"/>
          <w:b/>
          <w:i/>
          <w:sz w:val="24"/>
          <w:szCs w:val="24"/>
        </w:rPr>
        <w:lastRenderedPageBreak/>
        <w:t>D.6.9. Aktīvās atpūtas piedāvājuma pilnveidošana</w:t>
      </w:r>
    </w:p>
    <w:p w14:paraId="270297E9" w14:textId="0D8B5DD4" w:rsidR="00D56C16" w:rsidRPr="00A07F29" w:rsidRDefault="00D56C16" w:rsidP="00D56C16">
      <w:pPr>
        <w:spacing w:after="120" w:line="240" w:lineRule="auto"/>
        <w:ind w:firstLine="851"/>
        <w:jc w:val="both"/>
        <w:rPr>
          <w:rFonts w:ascii="Times New Roman" w:hAnsi="Times New Roman" w:cs="Times New Roman"/>
          <w:sz w:val="24"/>
          <w:szCs w:val="24"/>
        </w:rPr>
      </w:pPr>
      <w:r w:rsidRPr="006E6460">
        <w:rPr>
          <w:rFonts w:ascii="Times New Roman" w:hAnsi="Times New Roman" w:cs="Times New Roman"/>
          <w:sz w:val="24"/>
          <w:szCs w:val="24"/>
        </w:rPr>
        <w:t xml:space="preserve">Iespējams </w:t>
      </w:r>
      <w:proofErr w:type="spellStart"/>
      <w:r w:rsidRPr="006E6460">
        <w:rPr>
          <w:rFonts w:ascii="Times New Roman" w:hAnsi="Times New Roman" w:cs="Times New Roman"/>
          <w:sz w:val="24"/>
          <w:szCs w:val="24"/>
        </w:rPr>
        <w:t>rekultivēt</w:t>
      </w:r>
      <w:proofErr w:type="spellEnd"/>
      <w:r w:rsidRPr="00A07F29">
        <w:rPr>
          <w:rFonts w:ascii="Times New Roman" w:hAnsi="Times New Roman" w:cs="Times New Roman"/>
          <w:sz w:val="24"/>
          <w:szCs w:val="24"/>
        </w:rPr>
        <w:t xml:space="preserve"> pamestos grants karjerus, pārveidojot tos par tūrisma, aktīvās atpūtas un rekreācijas objektiem, piemēram, izveidot aktīvās atpūtas parku ar šķēršļu trasēm, bērnu rotaļu laukumiem un citām videi draudzīgām atrakcijām gan pieaugušajiem, gan bērniem, kā arī, sakārtojot ūdenstilpnes, izveidot publiskās peldvietas ar atpūtas vietām.</w:t>
      </w:r>
    </w:p>
    <w:p w14:paraId="298A93CC" w14:textId="520E987D" w:rsidR="00D56C16" w:rsidRPr="00A07F29" w:rsidRDefault="00D56C16" w:rsidP="00D56C16">
      <w:pPr>
        <w:spacing w:after="12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t xml:space="preserve">Bijušo karjeru atjaunošana un </w:t>
      </w:r>
      <w:proofErr w:type="spellStart"/>
      <w:r w:rsidRPr="00A07F29">
        <w:rPr>
          <w:rFonts w:ascii="Times New Roman" w:hAnsi="Times New Roman" w:cs="Times New Roman"/>
          <w:sz w:val="24"/>
          <w:szCs w:val="24"/>
        </w:rPr>
        <w:t>rekultivēšana</w:t>
      </w:r>
      <w:proofErr w:type="spellEnd"/>
      <w:r w:rsidRPr="00A07F29">
        <w:rPr>
          <w:rFonts w:ascii="Times New Roman" w:hAnsi="Times New Roman" w:cs="Times New Roman"/>
          <w:sz w:val="24"/>
          <w:szCs w:val="24"/>
        </w:rPr>
        <w:t xml:space="preserve">, izveidojot tos par publiski pieejamiem tūrisma un rekreācijas objektiem, palīdzētu atjaunot degradēto ainavu, tādējādi paaugstinot reģiona pievilcību, kā arī veicinot ekonomisko attīstību. Taču vienlaikus karjeru teritoriju rekultivācijā jāņem vērā arī </w:t>
      </w:r>
      <w:r w:rsidRPr="005D0B4C">
        <w:rPr>
          <w:rFonts w:ascii="Times New Roman" w:hAnsi="Times New Roman" w:cs="Times New Roman"/>
          <w:sz w:val="24"/>
          <w:szCs w:val="24"/>
        </w:rPr>
        <w:t>īpaši aizsargājamo</w:t>
      </w:r>
      <w:r w:rsidRPr="00A07F29">
        <w:rPr>
          <w:rFonts w:ascii="Times New Roman" w:hAnsi="Times New Roman" w:cs="Times New Roman"/>
          <w:sz w:val="24"/>
          <w:szCs w:val="24"/>
        </w:rPr>
        <w:t xml:space="preserve"> sugu labvēlīga aizsardzības stāvokļa nodrošināšanai nepieciešamās prasības, izvērtējot un paredzot </w:t>
      </w:r>
      <w:proofErr w:type="spellStart"/>
      <w:r w:rsidRPr="00A07F29">
        <w:rPr>
          <w:rFonts w:ascii="Times New Roman" w:hAnsi="Times New Roman" w:cs="Times New Roman"/>
          <w:sz w:val="24"/>
          <w:szCs w:val="24"/>
        </w:rPr>
        <w:t>rekultivējamo</w:t>
      </w:r>
      <w:proofErr w:type="spellEnd"/>
      <w:r w:rsidRPr="00A07F29">
        <w:rPr>
          <w:rFonts w:ascii="Times New Roman" w:hAnsi="Times New Roman" w:cs="Times New Roman"/>
          <w:sz w:val="24"/>
          <w:szCs w:val="24"/>
        </w:rPr>
        <w:t xml:space="preserve"> karjeru teritorijās arī vietas un pasākumus šo sugu populāciju atjaunošanai (skat. E.1.2.</w:t>
      </w:r>
      <w:r w:rsidR="00E30D23">
        <w:rPr>
          <w:rFonts w:ascii="Times New Roman" w:hAnsi="Times New Roman" w:cs="Times New Roman"/>
          <w:sz w:val="24"/>
          <w:szCs w:val="24"/>
        </w:rPr>
        <w:t> </w:t>
      </w:r>
      <w:r w:rsidRPr="00A07F29">
        <w:rPr>
          <w:rFonts w:ascii="Times New Roman" w:hAnsi="Times New Roman" w:cs="Times New Roman"/>
          <w:sz w:val="24"/>
          <w:szCs w:val="24"/>
        </w:rPr>
        <w:t>pasākumu).</w:t>
      </w:r>
    </w:p>
    <w:p w14:paraId="4454BDE5" w14:textId="72693172" w:rsidR="00D56C16" w:rsidRPr="00A07F29" w:rsidRDefault="00D56C16" w:rsidP="00D56C16">
      <w:pPr>
        <w:spacing w:after="12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t xml:space="preserve">Iespējams pilnveidot arī ziemas aktīvās atpūtas piedāvājumu, piemēram, izveidot un uzturēt distanču slēpošanas trases. Šādu distanču slēpošanas trasi iespējams ierīkot, piemēram, </w:t>
      </w:r>
      <w:proofErr w:type="spellStart"/>
      <w:r w:rsidRPr="00A07F29">
        <w:rPr>
          <w:rFonts w:ascii="Times New Roman" w:hAnsi="Times New Roman" w:cs="Times New Roman"/>
          <w:sz w:val="24"/>
          <w:szCs w:val="24"/>
        </w:rPr>
        <w:t>Ververu</w:t>
      </w:r>
      <w:proofErr w:type="spellEnd"/>
      <w:r w:rsidRPr="00A07F29">
        <w:rPr>
          <w:rFonts w:ascii="Times New Roman" w:hAnsi="Times New Roman" w:cs="Times New Roman"/>
          <w:sz w:val="24"/>
          <w:szCs w:val="24"/>
        </w:rPr>
        <w:t xml:space="preserve"> lokā Daugavas labajā krastā pa meža ceļu, pa kuru iet arī </w:t>
      </w:r>
      <w:proofErr w:type="spellStart"/>
      <w:r w:rsidRPr="00A07F29">
        <w:rPr>
          <w:rFonts w:ascii="Times New Roman" w:hAnsi="Times New Roman" w:cs="Times New Roman"/>
          <w:sz w:val="24"/>
          <w:szCs w:val="24"/>
        </w:rPr>
        <w:t>velomaršruts</w:t>
      </w:r>
      <w:proofErr w:type="spellEnd"/>
      <w:r w:rsidRPr="00A07F29">
        <w:rPr>
          <w:rFonts w:ascii="Times New Roman" w:hAnsi="Times New Roman" w:cs="Times New Roman"/>
          <w:sz w:val="24"/>
          <w:szCs w:val="24"/>
        </w:rPr>
        <w:t xml:space="preserve"> Nr.</w:t>
      </w:r>
      <w:r w:rsidR="00E30D23">
        <w:rPr>
          <w:rFonts w:ascii="Times New Roman" w:hAnsi="Times New Roman" w:cs="Times New Roman"/>
          <w:sz w:val="24"/>
          <w:szCs w:val="24"/>
        </w:rPr>
        <w:t> </w:t>
      </w:r>
      <w:r w:rsidRPr="00A07F29">
        <w:rPr>
          <w:rFonts w:ascii="Times New Roman" w:hAnsi="Times New Roman" w:cs="Times New Roman"/>
          <w:sz w:val="24"/>
          <w:szCs w:val="24"/>
        </w:rPr>
        <w:t>35</w:t>
      </w:r>
      <w:r w:rsidR="009F6874" w:rsidRPr="00A07F29">
        <w:rPr>
          <w:rFonts w:ascii="Times New Roman" w:hAnsi="Times New Roman" w:cs="Times New Roman"/>
          <w:sz w:val="24"/>
          <w:szCs w:val="24"/>
        </w:rPr>
        <w:t xml:space="preserve"> (</w:t>
      </w:r>
      <w:r w:rsidR="00624837">
        <w:rPr>
          <w:rFonts w:ascii="Times New Roman" w:hAnsi="Times New Roman" w:cs="Times New Roman"/>
          <w:sz w:val="24"/>
          <w:szCs w:val="24"/>
        </w:rPr>
        <w:t xml:space="preserve">skat. </w:t>
      </w:r>
      <w:r w:rsidR="009F6874" w:rsidRPr="00A07F29">
        <w:rPr>
          <w:rFonts w:ascii="Times New Roman" w:hAnsi="Times New Roman" w:cs="Times New Roman"/>
          <w:sz w:val="24"/>
          <w:szCs w:val="24"/>
        </w:rPr>
        <w:t>5.3.</w:t>
      </w:r>
      <w:r w:rsidR="00624837">
        <w:rPr>
          <w:rFonts w:ascii="Times New Roman" w:hAnsi="Times New Roman" w:cs="Times New Roman"/>
          <w:sz w:val="24"/>
          <w:szCs w:val="24"/>
        </w:rPr>
        <w:t>50</w:t>
      </w:r>
      <w:r w:rsidR="009F6874" w:rsidRPr="00A07F29">
        <w:rPr>
          <w:rFonts w:ascii="Times New Roman" w:hAnsi="Times New Roman" w:cs="Times New Roman"/>
          <w:sz w:val="24"/>
          <w:szCs w:val="24"/>
        </w:rPr>
        <w:t>.</w:t>
      </w:r>
      <w:r w:rsidR="00D530E3" w:rsidRPr="00A07F29">
        <w:rPr>
          <w:rFonts w:ascii="Times New Roman" w:hAnsi="Times New Roman" w:cs="Times New Roman"/>
          <w:sz w:val="24"/>
          <w:szCs w:val="24"/>
        </w:rPr>
        <w:t> </w:t>
      </w:r>
      <w:r w:rsidR="009F6874" w:rsidRPr="00A07F29">
        <w:rPr>
          <w:rFonts w:ascii="Times New Roman" w:hAnsi="Times New Roman" w:cs="Times New Roman"/>
          <w:sz w:val="24"/>
          <w:szCs w:val="24"/>
        </w:rPr>
        <w:t>att</w:t>
      </w:r>
      <w:r w:rsidR="00624837">
        <w:rPr>
          <w:rFonts w:ascii="Times New Roman" w:hAnsi="Times New Roman" w:cs="Times New Roman"/>
          <w:sz w:val="24"/>
          <w:szCs w:val="24"/>
        </w:rPr>
        <w:t>ēls</w:t>
      </w:r>
      <w:r w:rsidR="009F6874" w:rsidRPr="00A07F29">
        <w:rPr>
          <w:rFonts w:ascii="Times New Roman" w:hAnsi="Times New Roman" w:cs="Times New Roman"/>
          <w:sz w:val="24"/>
          <w:szCs w:val="24"/>
        </w:rPr>
        <w:t>), kur</w:t>
      </w:r>
      <w:r w:rsidRPr="00A07F29">
        <w:rPr>
          <w:rFonts w:ascii="Times New Roman" w:hAnsi="Times New Roman" w:cs="Times New Roman"/>
          <w:sz w:val="24"/>
          <w:szCs w:val="24"/>
        </w:rPr>
        <w:t xml:space="preserve"> no ceļa gar Daugavas upi paveras ainaviski skati. Slēpošanas trasi nepieciešams atbilstoši marķēt un apsaimniekot, novācot kritušos kokus un zarus un veicot citus nepieciešamos uzturēšanas darbus.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33"/>
      </w:tblGrid>
      <w:tr w:rsidR="006E6A17" w:rsidRPr="00A07F29" w14:paraId="5E55CF79" w14:textId="77777777" w:rsidTr="63C42FA1">
        <w:trPr>
          <w:jc w:val="center"/>
        </w:trPr>
        <w:tc>
          <w:tcPr>
            <w:tcW w:w="9344" w:type="dxa"/>
          </w:tcPr>
          <w:p w14:paraId="06A40B65" w14:textId="3B8A4566" w:rsidR="006E6A17" w:rsidRPr="00A07F29" w:rsidRDefault="009F6874" w:rsidP="006D56EB">
            <w:pPr>
              <w:spacing w:after="160" w:line="256" w:lineRule="auto"/>
              <w:contextualSpacing/>
              <w:jc w:val="center"/>
              <w:rPr>
                <w:rFonts w:ascii="Times New Roman" w:eastAsia="Calibri" w:hAnsi="Times New Roman" w:cs="Times New Roman"/>
                <w:sz w:val="24"/>
                <w:szCs w:val="24"/>
              </w:rPr>
            </w:pPr>
            <w:r w:rsidRPr="00A07F29">
              <w:rPr>
                <w:noProof/>
                <w:lang w:eastAsia="lv-LV"/>
              </w:rPr>
              <w:drawing>
                <wp:inline distT="0" distB="0" distL="0" distR="0" wp14:anchorId="40C7247D" wp14:editId="3D305DDB">
                  <wp:extent cx="5731510" cy="4051935"/>
                  <wp:effectExtent l="0" t="0" r="2540" b="5715"/>
                  <wp:docPr id="170371808" name="Picture 170371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371808"/>
                          <pic:cNvPicPr/>
                        </pic:nvPicPr>
                        <pic:blipFill>
                          <a:blip r:embed="rId148">
                            <a:extLst>
                              <a:ext uri="{28A0092B-C50C-407E-A947-70E740481C1C}">
                                <a14:useLocalDpi xmlns:a14="http://schemas.microsoft.com/office/drawing/2010/main" val="0"/>
                              </a:ext>
                            </a:extLst>
                          </a:blip>
                          <a:stretch>
                            <a:fillRect/>
                          </a:stretch>
                        </pic:blipFill>
                        <pic:spPr>
                          <a:xfrm>
                            <a:off x="0" y="0"/>
                            <a:ext cx="5731510" cy="4051935"/>
                          </a:xfrm>
                          <a:prstGeom prst="rect">
                            <a:avLst/>
                          </a:prstGeom>
                        </pic:spPr>
                      </pic:pic>
                    </a:graphicData>
                  </a:graphic>
                </wp:inline>
              </w:drawing>
            </w:r>
          </w:p>
        </w:tc>
      </w:tr>
      <w:tr w:rsidR="006E6A17" w:rsidRPr="00A07F29" w14:paraId="6AC73AF1" w14:textId="77777777" w:rsidTr="63C42FA1">
        <w:trPr>
          <w:jc w:val="center"/>
        </w:trPr>
        <w:tc>
          <w:tcPr>
            <w:tcW w:w="9344" w:type="dxa"/>
          </w:tcPr>
          <w:p w14:paraId="1D052E20" w14:textId="00D63DD3" w:rsidR="006E6A17" w:rsidRPr="00624837" w:rsidRDefault="006E6A17" w:rsidP="00D530E3">
            <w:pPr>
              <w:spacing w:after="160" w:line="256" w:lineRule="auto"/>
              <w:ind w:firstLine="599"/>
              <w:contextualSpacing/>
              <w:jc w:val="both"/>
              <w:rPr>
                <w:rFonts w:ascii="Times New Roman" w:eastAsia="Calibri" w:hAnsi="Times New Roman" w:cs="Times New Roman"/>
                <w:sz w:val="20"/>
                <w:szCs w:val="20"/>
              </w:rPr>
            </w:pPr>
            <w:r w:rsidRPr="00624837">
              <w:rPr>
                <w:rFonts w:ascii="Times New Roman" w:eastAsia="Calibri" w:hAnsi="Times New Roman" w:cs="Times New Roman"/>
                <w:bCs/>
                <w:sz w:val="20"/>
                <w:szCs w:val="20"/>
              </w:rPr>
              <w:t>5.3.</w:t>
            </w:r>
            <w:r w:rsidR="00624837" w:rsidRPr="00624837">
              <w:rPr>
                <w:rFonts w:ascii="Times New Roman" w:eastAsia="Calibri" w:hAnsi="Times New Roman" w:cs="Times New Roman"/>
                <w:bCs/>
                <w:sz w:val="20"/>
                <w:szCs w:val="20"/>
              </w:rPr>
              <w:t>50</w:t>
            </w:r>
            <w:r w:rsidRPr="00624837">
              <w:rPr>
                <w:rFonts w:ascii="Times New Roman" w:eastAsia="Calibri" w:hAnsi="Times New Roman" w:cs="Times New Roman"/>
                <w:bCs/>
                <w:sz w:val="20"/>
                <w:szCs w:val="20"/>
              </w:rPr>
              <w:t>.</w:t>
            </w:r>
            <w:r w:rsidR="00624837" w:rsidRPr="00624837">
              <w:rPr>
                <w:rFonts w:ascii="Times New Roman" w:eastAsia="Calibri" w:hAnsi="Times New Roman" w:cs="Times New Roman"/>
                <w:bCs/>
                <w:sz w:val="20"/>
                <w:szCs w:val="20"/>
              </w:rPr>
              <w:t> </w:t>
            </w:r>
            <w:r w:rsidRPr="00624837">
              <w:rPr>
                <w:rFonts w:ascii="Times New Roman" w:eastAsia="Calibri" w:hAnsi="Times New Roman" w:cs="Times New Roman"/>
                <w:bCs/>
                <w:sz w:val="20"/>
                <w:szCs w:val="20"/>
              </w:rPr>
              <w:t xml:space="preserve">attēls. Distanču slēpošanas </w:t>
            </w:r>
            <w:r w:rsidR="009F6874" w:rsidRPr="00624837">
              <w:rPr>
                <w:rFonts w:ascii="Times New Roman" w:eastAsia="Calibri" w:hAnsi="Times New Roman" w:cs="Times New Roman"/>
                <w:bCs/>
                <w:sz w:val="20"/>
                <w:szCs w:val="20"/>
              </w:rPr>
              <w:t>maršruts.</w:t>
            </w:r>
          </w:p>
        </w:tc>
      </w:tr>
    </w:tbl>
    <w:p w14:paraId="332E5964" w14:textId="4D635B22" w:rsidR="00D56C16" w:rsidRPr="00A07F29" w:rsidRDefault="00D56C16" w:rsidP="00624837">
      <w:pPr>
        <w:keepNext/>
        <w:spacing w:before="240" w:after="120" w:line="240" w:lineRule="auto"/>
        <w:jc w:val="both"/>
        <w:rPr>
          <w:rFonts w:ascii="Times New Roman" w:hAnsi="Times New Roman" w:cs="Times New Roman"/>
          <w:b/>
          <w:i/>
          <w:sz w:val="24"/>
          <w:szCs w:val="24"/>
        </w:rPr>
      </w:pPr>
      <w:r w:rsidRPr="00A07F29">
        <w:rPr>
          <w:rFonts w:ascii="Times New Roman" w:hAnsi="Times New Roman" w:cs="Times New Roman"/>
          <w:b/>
          <w:i/>
          <w:sz w:val="24"/>
          <w:szCs w:val="24"/>
        </w:rPr>
        <w:t>D.6.10. Jaunu tematisko tūrisma maršrutu izveide</w:t>
      </w:r>
    </w:p>
    <w:p w14:paraId="14282960" w14:textId="32BB079B" w:rsidR="00D56C16" w:rsidRPr="00A07F29" w:rsidRDefault="00D56C16" w:rsidP="00D56C16">
      <w:pPr>
        <w:spacing w:after="12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t>Ieteicams izstrādāt jaunus</w:t>
      </w:r>
      <w:r w:rsidR="00132286">
        <w:rPr>
          <w:rFonts w:ascii="Times New Roman" w:hAnsi="Times New Roman" w:cs="Times New Roman"/>
          <w:sz w:val="24"/>
          <w:szCs w:val="24"/>
        </w:rPr>
        <w:t>:</w:t>
      </w:r>
      <w:r w:rsidRPr="00A07F29">
        <w:rPr>
          <w:rFonts w:ascii="Times New Roman" w:hAnsi="Times New Roman" w:cs="Times New Roman"/>
          <w:sz w:val="24"/>
          <w:szCs w:val="24"/>
        </w:rPr>
        <w:t xml:space="preserve"> </w:t>
      </w:r>
    </w:p>
    <w:p w14:paraId="63C7FC66" w14:textId="77777777" w:rsidR="00D56C16" w:rsidRPr="00A07F29" w:rsidRDefault="00D56C16" w:rsidP="00F87589">
      <w:pPr>
        <w:pStyle w:val="ListParagraph"/>
        <w:numPr>
          <w:ilvl w:val="0"/>
          <w:numId w:val="55"/>
        </w:numPr>
        <w:spacing w:line="240" w:lineRule="auto"/>
        <w:ind w:left="1134" w:hanging="283"/>
        <w:rPr>
          <w:rFonts w:cs="Times New Roman"/>
          <w:szCs w:val="24"/>
        </w:rPr>
      </w:pPr>
      <w:r w:rsidRPr="00A07F29">
        <w:rPr>
          <w:rFonts w:cs="Times New Roman"/>
          <w:szCs w:val="24"/>
        </w:rPr>
        <w:lastRenderedPageBreak/>
        <w:t>kultūrvēsturiskos tūrisma maršrutus, aptverot visu AAA “Augšdaugava” teritoriju (piemēram, sakrālos, par kultūrvēsturisko apbūvi, autentiskos, iekļaujot amatniekus un radošās darbnīcas utt.),</w:t>
      </w:r>
    </w:p>
    <w:p w14:paraId="0A2ABB8F" w14:textId="77777777" w:rsidR="00D56C16" w:rsidRPr="00A07F29" w:rsidRDefault="00D56C16" w:rsidP="00F87589">
      <w:pPr>
        <w:pStyle w:val="ListParagraph"/>
        <w:numPr>
          <w:ilvl w:val="0"/>
          <w:numId w:val="55"/>
        </w:numPr>
        <w:spacing w:line="240" w:lineRule="auto"/>
        <w:ind w:left="1134" w:hanging="283"/>
        <w:rPr>
          <w:rFonts w:cs="Times New Roman"/>
          <w:szCs w:val="24"/>
        </w:rPr>
      </w:pPr>
      <w:r w:rsidRPr="00A07F29">
        <w:rPr>
          <w:rFonts w:cs="Times New Roman"/>
          <w:szCs w:val="24"/>
        </w:rPr>
        <w:t>dabas un aktīvā tūrisma maršrutus, aptverot visu AAA “Augšdaugava” teritoriju,</w:t>
      </w:r>
    </w:p>
    <w:p w14:paraId="246A2302" w14:textId="77777777" w:rsidR="00D56C16" w:rsidRPr="00A07F29" w:rsidRDefault="00D56C16" w:rsidP="00F87589">
      <w:pPr>
        <w:pStyle w:val="ListParagraph"/>
        <w:numPr>
          <w:ilvl w:val="0"/>
          <w:numId w:val="55"/>
        </w:numPr>
        <w:spacing w:line="240" w:lineRule="auto"/>
        <w:ind w:left="1134" w:hanging="283"/>
        <w:rPr>
          <w:rFonts w:cs="Times New Roman"/>
          <w:szCs w:val="24"/>
        </w:rPr>
      </w:pPr>
      <w:r w:rsidRPr="00A07F29">
        <w:rPr>
          <w:rFonts w:cs="Times New Roman"/>
          <w:szCs w:val="24"/>
        </w:rPr>
        <w:t xml:space="preserve">zirgu pārgājienu maršrutu </w:t>
      </w:r>
      <w:proofErr w:type="spellStart"/>
      <w:r w:rsidRPr="00A07F29">
        <w:rPr>
          <w:rFonts w:cs="Times New Roman"/>
          <w:szCs w:val="24"/>
        </w:rPr>
        <w:t>Varnaviču</w:t>
      </w:r>
      <w:proofErr w:type="spellEnd"/>
      <w:r w:rsidRPr="00A07F29">
        <w:rPr>
          <w:rFonts w:cs="Times New Roman"/>
          <w:szCs w:val="24"/>
        </w:rPr>
        <w:t xml:space="preserve"> virzienā – </w:t>
      </w:r>
      <w:proofErr w:type="spellStart"/>
      <w:r w:rsidRPr="00A07F29">
        <w:rPr>
          <w:rFonts w:cs="Times New Roman"/>
          <w:szCs w:val="24"/>
        </w:rPr>
        <w:t>Novoselci</w:t>
      </w:r>
      <w:proofErr w:type="spellEnd"/>
      <w:r w:rsidRPr="00A07F29">
        <w:rPr>
          <w:rFonts w:cs="Times New Roman"/>
          <w:szCs w:val="24"/>
        </w:rPr>
        <w:t xml:space="preserve">, </w:t>
      </w:r>
      <w:proofErr w:type="spellStart"/>
      <w:r w:rsidRPr="00A07F29">
        <w:rPr>
          <w:rFonts w:cs="Times New Roman"/>
          <w:szCs w:val="24"/>
        </w:rPr>
        <w:t>Jablonkas</w:t>
      </w:r>
      <w:proofErr w:type="spellEnd"/>
      <w:r w:rsidRPr="00A07F29">
        <w:rPr>
          <w:rFonts w:cs="Times New Roman"/>
          <w:szCs w:val="24"/>
        </w:rPr>
        <w:t xml:space="preserve"> ezers, </w:t>
      </w:r>
      <w:proofErr w:type="spellStart"/>
      <w:r w:rsidRPr="00A07F29">
        <w:rPr>
          <w:rFonts w:cs="Times New Roman"/>
          <w:szCs w:val="24"/>
        </w:rPr>
        <w:t>Robeždaugava</w:t>
      </w:r>
      <w:proofErr w:type="spellEnd"/>
      <w:r w:rsidRPr="00A07F29">
        <w:rPr>
          <w:rFonts w:cs="Times New Roman"/>
          <w:szCs w:val="24"/>
        </w:rPr>
        <w:t xml:space="preserve">, Kabilas upe (salas </w:t>
      </w:r>
      <w:proofErr w:type="spellStart"/>
      <w:r w:rsidRPr="00A07F29">
        <w:rPr>
          <w:rFonts w:cs="Times New Roman"/>
          <w:szCs w:val="24"/>
        </w:rPr>
        <w:t>Koņok</w:t>
      </w:r>
      <w:proofErr w:type="spellEnd"/>
      <w:r w:rsidRPr="00A07F29">
        <w:rPr>
          <w:rFonts w:cs="Times New Roman"/>
          <w:szCs w:val="24"/>
        </w:rPr>
        <w:t xml:space="preserve"> un </w:t>
      </w:r>
      <w:proofErr w:type="spellStart"/>
      <w:r w:rsidRPr="00A07F29">
        <w:rPr>
          <w:rFonts w:cs="Times New Roman"/>
          <w:szCs w:val="24"/>
        </w:rPr>
        <w:t>Žerebok</w:t>
      </w:r>
      <w:proofErr w:type="spellEnd"/>
      <w:r w:rsidRPr="00A07F29">
        <w:rPr>
          <w:rFonts w:cs="Times New Roman"/>
          <w:szCs w:val="24"/>
        </w:rPr>
        <w:t>),</w:t>
      </w:r>
    </w:p>
    <w:p w14:paraId="16CDD733" w14:textId="77777777" w:rsidR="00D56C16" w:rsidRPr="00A07F29" w:rsidRDefault="00D56C16" w:rsidP="00F87589">
      <w:pPr>
        <w:pStyle w:val="ListParagraph"/>
        <w:numPr>
          <w:ilvl w:val="0"/>
          <w:numId w:val="55"/>
        </w:numPr>
        <w:spacing w:line="240" w:lineRule="auto"/>
        <w:ind w:left="1134" w:hanging="283"/>
        <w:rPr>
          <w:rFonts w:cs="Times New Roman"/>
          <w:szCs w:val="24"/>
        </w:rPr>
      </w:pPr>
      <w:r w:rsidRPr="00A07F29">
        <w:rPr>
          <w:rFonts w:cs="Times New Roman"/>
          <w:szCs w:val="24"/>
        </w:rPr>
        <w:t>tematiskos maršrutus ģimenēm ar bērniem un skolēnu grupām (vienas vai divu dienu ekskursiju maršruti skolēniem, ģimenes aktīvās atpūtas maršruts ar dabas takām un velo izbraucieniem, amatnieku un dzīvnieku saimniecību apskate).</w:t>
      </w:r>
    </w:p>
    <w:p w14:paraId="71C58056" w14:textId="77777777" w:rsidR="00D56C16" w:rsidRPr="00A07F29" w:rsidRDefault="00D56C16" w:rsidP="00D56C16">
      <w:pPr>
        <w:spacing w:after="12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t>Nepieciešams veicināt naktsmītņu, ēdināšanas uzņēmumu un citu tūrisma pakalpojumu sniedzēju sadarbību maršrutu ietvaros.</w:t>
      </w:r>
    </w:p>
    <w:p w14:paraId="40D96804" w14:textId="47D5992A" w:rsidR="00D56C16" w:rsidRPr="00A07F29" w:rsidRDefault="00D56C16" w:rsidP="00D56C16">
      <w:pPr>
        <w:spacing w:after="120" w:line="240" w:lineRule="auto"/>
        <w:ind w:firstLine="851"/>
        <w:jc w:val="both"/>
        <w:rPr>
          <w:rFonts w:ascii="Times New Roman" w:hAnsi="Times New Roman" w:cs="Times New Roman"/>
          <w:sz w:val="24"/>
          <w:szCs w:val="24"/>
        </w:rPr>
      </w:pPr>
      <w:r w:rsidRPr="00A07F29">
        <w:rPr>
          <w:rFonts w:ascii="Times New Roman" w:hAnsi="Times New Roman" w:cs="Times New Roman"/>
          <w:sz w:val="24"/>
          <w:szCs w:val="24"/>
        </w:rPr>
        <w:t>Izstr</w:t>
      </w:r>
      <w:r w:rsidR="00707426" w:rsidRPr="00A07F29">
        <w:rPr>
          <w:rFonts w:ascii="Times New Roman" w:hAnsi="Times New Roman" w:cs="Times New Roman"/>
          <w:sz w:val="24"/>
          <w:szCs w:val="24"/>
        </w:rPr>
        <w:t>ā</w:t>
      </w:r>
      <w:r w:rsidRPr="00A07F29">
        <w:rPr>
          <w:rFonts w:ascii="Times New Roman" w:hAnsi="Times New Roman" w:cs="Times New Roman"/>
          <w:sz w:val="24"/>
          <w:szCs w:val="24"/>
        </w:rPr>
        <w:t>dājot maršrutus, jāņem vērā sastopamās dabas vērtības un apmeklētāji jāvirza pirmkārt pa esošiem ceļiem, labiekārtotām un stabilām dabiskām takām, izvairoties no slodze</w:t>
      </w:r>
      <w:r w:rsidR="000B2C5B">
        <w:rPr>
          <w:rFonts w:ascii="Times New Roman" w:hAnsi="Times New Roman" w:cs="Times New Roman"/>
          <w:sz w:val="24"/>
          <w:szCs w:val="24"/>
        </w:rPr>
        <w:t>s</w:t>
      </w:r>
      <w:r w:rsidRPr="00A07F29">
        <w:rPr>
          <w:rFonts w:ascii="Times New Roman" w:hAnsi="Times New Roman" w:cs="Times New Roman"/>
          <w:sz w:val="24"/>
          <w:szCs w:val="24"/>
        </w:rPr>
        <w:t xml:space="preserve"> radīšanas pret izb</w:t>
      </w:r>
      <w:r w:rsidR="00232074">
        <w:rPr>
          <w:rFonts w:ascii="Times New Roman" w:hAnsi="Times New Roman" w:cs="Times New Roman"/>
          <w:sz w:val="24"/>
          <w:szCs w:val="24"/>
        </w:rPr>
        <w:t>r</w:t>
      </w:r>
      <w:r w:rsidRPr="00A07F29">
        <w:rPr>
          <w:rFonts w:ascii="Times New Roman" w:hAnsi="Times New Roman" w:cs="Times New Roman"/>
          <w:sz w:val="24"/>
          <w:szCs w:val="24"/>
        </w:rPr>
        <w:t xml:space="preserve">adāšanu jutīgos </w:t>
      </w:r>
      <w:r w:rsidRPr="00864948">
        <w:rPr>
          <w:rFonts w:ascii="Times New Roman" w:hAnsi="Times New Roman" w:cs="Times New Roman"/>
          <w:sz w:val="24"/>
          <w:szCs w:val="24"/>
        </w:rPr>
        <w:t>īpaši aizsargājamos biotopos, kā arī īpaši a</w:t>
      </w:r>
      <w:r w:rsidR="007C2F75" w:rsidRPr="00864948">
        <w:rPr>
          <w:rFonts w:ascii="Times New Roman" w:hAnsi="Times New Roman" w:cs="Times New Roman"/>
          <w:sz w:val="24"/>
          <w:szCs w:val="24"/>
        </w:rPr>
        <w:t>izsargājamo sugu atradnēs. Maršr</w:t>
      </w:r>
      <w:r w:rsidRPr="00864948">
        <w:rPr>
          <w:rFonts w:ascii="Times New Roman" w:hAnsi="Times New Roman" w:cs="Times New Roman"/>
          <w:sz w:val="24"/>
          <w:szCs w:val="24"/>
        </w:rPr>
        <w:t>utu plānojot, ieteicams konsultēties ar sugu un biotopu aizsardzības jomas ekspertiem un D</w:t>
      </w:r>
      <w:r w:rsidR="00864948" w:rsidRPr="00864948">
        <w:rPr>
          <w:rFonts w:ascii="Times New Roman" w:hAnsi="Times New Roman" w:cs="Times New Roman"/>
          <w:sz w:val="24"/>
          <w:szCs w:val="24"/>
        </w:rPr>
        <w:t>AP</w:t>
      </w:r>
      <w:r w:rsidRPr="00864948">
        <w:rPr>
          <w:rFonts w:ascii="Times New Roman" w:hAnsi="Times New Roman" w:cs="Times New Roman"/>
          <w:sz w:val="24"/>
          <w:szCs w:val="24"/>
        </w:rPr>
        <w:t>.</w:t>
      </w:r>
    </w:p>
    <w:p w14:paraId="4DC15719" w14:textId="77777777" w:rsidR="00A21E83" w:rsidRPr="00A07F29" w:rsidRDefault="00A21E83" w:rsidP="00A21E83">
      <w:pPr>
        <w:spacing w:before="120" w:after="0" w:line="240" w:lineRule="auto"/>
        <w:jc w:val="both"/>
        <w:rPr>
          <w:rFonts w:ascii="Times New Roman" w:eastAsia="Calibri" w:hAnsi="Times New Roman" w:cs="Calibri"/>
          <w:sz w:val="24"/>
          <w:lang w:eastAsia="ja-JP"/>
        </w:rPr>
      </w:pPr>
    </w:p>
    <w:p w14:paraId="0D37430F" w14:textId="77777777" w:rsidR="00A21E83" w:rsidRPr="00A07F29" w:rsidRDefault="00A21E83" w:rsidP="00C30C3A">
      <w:pPr>
        <w:keepNext/>
        <w:spacing w:before="120" w:after="0" w:line="240" w:lineRule="auto"/>
        <w:jc w:val="both"/>
        <w:rPr>
          <w:rFonts w:ascii="Times New Roman" w:eastAsia="Calibri" w:hAnsi="Times New Roman" w:cs="Calibri"/>
          <w:caps/>
          <w:sz w:val="24"/>
          <w:lang w:eastAsia="ja-JP"/>
        </w:rPr>
      </w:pPr>
      <w:r w:rsidRPr="00A07F29">
        <w:rPr>
          <w:rFonts w:ascii="Times New Roman" w:eastAsia="Calibri" w:hAnsi="Times New Roman" w:cs="Calibri"/>
          <w:caps/>
          <w:sz w:val="24"/>
          <w:lang w:eastAsia="ja-JP"/>
        </w:rPr>
        <w:t>E. Ainavisko un kultūrvēsturisko vērtību apsaimniekošana</w:t>
      </w:r>
    </w:p>
    <w:p w14:paraId="1C145C49" w14:textId="1CD4BF5D" w:rsidR="00A21E83" w:rsidRPr="00A07F29" w:rsidRDefault="00A21E83" w:rsidP="00C30C3A">
      <w:pPr>
        <w:keepNext/>
        <w:spacing w:before="120" w:after="0" w:line="240" w:lineRule="auto"/>
        <w:jc w:val="both"/>
        <w:rPr>
          <w:rFonts w:ascii="Times New Roman" w:eastAsia="Calibri" w:hAnsi="Times New Roman" w:cs="Calibri"/>
          <w:b/>
          <w:bCs/>
          <w:iCs/>
          <w:sz w:val="24"/>
          <w:lang w:eastAsia="ja-JP"/>
        </w:rPr>
      </w:pPr>
      <w:r w:rsidRPr="00A07F29">
        <w:rPr>
          <w:rFonts w:ascii="Times New Roman" w:eastAsia="Calibri" w:hAnsi="Times New Roman" w:cs="Calibri"/>
          <w:b/>
          <w:bCs/>
          <w:iCs/>
          <w:sz w:val="24"/>
          <w:lang w:eastAsia="ja-JP"/>
        </w:rPr>
        <w:t xml:space="preserve">E.1. </w:t>
      </w:r>
      <w:r w:rsidR="00831470" w:rsidRPr="00A07F29">
        <w:rPr>
          <w:rFonts w:ascii="Times New Roman" w:eastAsia="Calibri" w:hAnsi="Times New Roman" w:cs="Calibri"/>
          <w:b/>
          <w:bCs/>
          <w:iCs/>
          <w:sz w:val="24"/>
          <w:lang w:eastAsia="ja-JP"/>
        </w:rPr>
        <w:t>Īstenot ainavu struktūrplāna nosacījumus</w:t>
      </w:r>
    </w:p>
    <w:p w14:paraId="4E4F82F6" w14:textId="4F60ADEF" w:rsidR="009B0393" w:rsidRPr="00A07F29" w:rsidRDefault="00A21E83" w:rsidP="00232074">
      <w:pPr>
        <w:keepNext/>
        <w:spacing w:before="240" w:after="120" w:line="240" w:lineRule="auto"/>
        <w:jc w:val="both"/>
        <w:rPr>
          <w:rFonts w:ascii="Times New Roman" w:eastAsia="Calibri" w:hAnsi="Times New Roman" w:cs="Calibri"/>
          <w:b/>
          <w:i/>
          <w:sz w:val="24"/>
          <w:lang w:eastAsia="ja-JP"/>
        </w:rPr>
      </w:pPr>
      <w:r w:rsidRPr="00A07F29">
        <w:rPr>
          <w:rFonts w:ascii="Times New Roman" w:eastAsia="Calibri" w:hAnsi="Times New Roman" w:cs="Calibri"/>
          <w:b/>
          <w:i/>
          <w:sz w:val="24"/>
          <w:lang w:eastAsia="ja-JP"/>
        </w:rPr>
        <w:t xml:space="preserve">E.1.1. </w:t>
      </w:r>
      <w:r w:rsidR="009B0393" w:rsidRPr="00A07F29">
        <w:rPr>
          <w:rFonts w:ascii="Times New Roman" w:eastAsia="Calibri" w:hAnsi="Times New Roman" w:cs="Calibri"/>
          <w:b/>
          <w:i/>
          <w:sz w:val="24"/>
          <w:lang w:eastAsia="ja-JP"/>
        </w:rPr>
        <w:t>Ainavu skatu vietu uzturēšana</w:t>
      </w:r>
      <w:r w:rsidR="00061DEA" w:rsidRPr="00A07F29">
        <w:rPr>
          <w:rFonts w:ascii="Times New Roman" w:eastAsia="Calibri" w:hAnsi="Times New Roman" w:cs="Calibri"/>
          <w:b/>
          <w:i/>
          <w:sz w:val="24"/>
          <w:lang w:eastAsia="ja-JP"/>
        </w:rPr>
        <w:t xml:space="preserve"> un atjaunošana</w:t>
      </w:r>
    </w:p>
    <w:p w14:paraId="15968221" w14:textId="4FA3D519" w:rsidR="009C6A27" w:rsidRPr="00A07F29" w:rsidRDefault="00A21E83" w:rsidP="00904DDF">
      <w:pPr>
        <w:spacing w:before="120" w:after="0" w:line="240" w:lineRule="auto"/>
        <w:ind w:firstLine="851"/>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Ainavu skatu vietām nepieciešama regulāra to uzturēšana</w:t>
      </w:r>
      <w:r w:rsidR="009F6874" w:rsidRPr="00A07F29">
        <w:rPr>
          <w:rFonts w:ascii="Times New Roman" w:eastAsia="Calibri" w:hAnsi="Times New Roman" w:cs="Calibri"/>
          <w:sz w:val="24"/>
          <w:lang w:eastAsia="ja-JP"/>
        </w:rPr>
        <w:t xml:space="preserve"> un kopšana</w:t>
      </w:r>
      <w:r w:rsidRPr="00A07F29">
        <w:rPr>
          <w:rFonts w:ascii="Times New Roman" w:eastAsia="Calibri" w:hAnsi="Times New Roman" w:cs="Calibri"/>
          <w:sz w:val="24"/>
          <w:lang w:eastAsia="ja-JP"/>
        </w:rPr>
        <w:t xml:space="preserve">, nav </w:t>
      </w:r>
      <w:r w:rsidR="003E58B6" w:rsidRPr="00A07F29">
        <w:rPr>
          <w:rFonts w:ascii="Times New Roman" w:eastAsia="Calibri" w:hAnsi="Times New Roman" w:cs="Calibri"/>
          <w:sz w:val="24"/>
          <w:lang w:eastAsia="ja-JP"/>
        </w:rPr>
        <w:t xml:space="preserve">pieļaujama </w:t>
      </w:r>
      <w:r w:rsidRPr="00A07F29">
        <w:rPr>
          <w:rFonts w:ascii="Times New Roman" w:eastAsia="Calibri" w:hAnsi="Times New Roman" w:cs="Calibri"/>
          <w:sz w:val="24"/>
          <w:lang w:eastAsia="ja-JP"/>
        </w:rPr>
        <w:t xml:space="preserve">lauksaimniecībā izmantojamo zemju apmežošana, aizaudzēšana, nav pieļaujams izvietot neatbilstošus objektus, piemēram, mobilo sakaru torņus vai graudu kaltes un derīgo izrakteņu ieguves teritorijas, kas būtiski ietekmētu skatu līniju kvalitāti. </w:t>
      </w:r>
      <w:r w:rsidR="003E58B6" w:rsidRPr="00A07F29">
        <w:rPr>
          <w:rFonts w:ascii="Times New Roman" w:eastAsia="Calibri" w:hAnsi="Times New Roman" w:cs="Calibri"/>
          <w:sz w:val="24"/>
          <w:lang w:eastAsia="ja-JP"/>
        </w:rPr>
        <w:t xml:space="preserve">Nepieciešama </w:t>
      </w:r>
      <w:r w:rsidRPr="00A07F29">
        <w:rPr>
          <w:rFonts w:ascii="Times New Roman" w:eastAsia="Calibri" w:hAnsi="Times New Roman" w:cs="Calibri"/>
          <w:sz w:val="24"/>
          <w:lang w:eastAsia="ja-JP"/>
        </w:rPr>
        <w:t xml:space="preserve">skatu </w:t>
      </w:r>
      <w:r w:rsidR="003E58B6" w:rsidRPr="00A07F29">
        <w:rPr>
          <w:rFonts w:ascii="Times New Roman" w:eastAsia="Calibri" w:hAnsi="Times New Roman" w:cs="Calibri"/>
          <w:sz w:val="24"/>
          <w:lang w:eastAsia="ja-JP"/>
        </w:rPr>
        <w:t xml:space="preserve">uzturēšana un </w:t>
      </w:r>
      <w:r w:rsidRPr="00A07F29">
        <w:rPr>
          <w:rFonts w:ascii="Times New Roman" w:eastAsia="Calibri" w:hAnsi="Times New Roman" w:cs="Calibri"/>
          <w:sz w:val="24"/>
          <w:lang w:eastAsia="ja-JP"/>
        </w:rPr>
        <w:t>atvēršana uz Daugavas ieleju</w:t>
      </w:r>
      <w:r w:rsidR="003E58B6" w:rsidRPr="00A07F29">
        <w:rPr>
          <w:rFonts w:ascii="Times New Roman" w:eastAsia="Calibri" w:hAnsi="Times New Roman" w:cs="Calibri"/>
          <w:sz w:val="24"/>
          <w:lang w:eastAsia="ja-JP"/>
        </w:rPr>
        <w:t xml:space="preserve">, uz Daugavu no ceļa posmā no </w:t>
      </w:r>
      <w:proofErr w:type="spellStart"/>
      <w:r w:rsidR="003E58B6" w:rsidRPr="00A07F29">
        <w:rPr>
          <w:rFonts w:ascii="Times New Roman" w:eastAsia="Calibri" w:hAnsi="Times New Roman" w:cs="Calibri"/>
          <w:sz w:val="24"/>
          <w:lang w:eastAsia="ja-JP"/>
        </w:rPr>
        <w:t>Sīķeles</w:t>
      </w:r>
      <w:proofErr w:type="spellEnd"/>
      <w:r w:rsidR="003E58B6" w:rsidRPr="00A07F29">
        <w:rPr>
          <w:rFonts w:ascii="Times New Roman" w:eastAsia="Calibri" w:hAnsi="Times New Roman" w:cs="Calibri"/>
          <w:sz w:val="24"/>
          <w:lang w:eastAsia="ja-JP"/>
        </w:rPr>
        <w:t xml:space="preserve"> luterāņu baznīcas līdz </w:t>
      </w:r>
      <w:proofErr w:type="spellStart"/>
      <w:r w:rsidR="003E58B6" w:rsidRPr="00A07F29">
        <w:rPr>
          <w:rFonts w:ascii="Times New Roman" w:eastAsia="Calibri" w:hAnsi="Times New Roman" w:cs="Calibri"/>
          <w:sz w:val="24"/>
          <w:lang w:eastAsia="ja-JP"/>
        </w:rPr>
        <w:t>Elernei</w:t>
      </w:r>
      <w:proofErr w:type="spellEnd"/>
      <w:r w:rsidRPr="00A07F29">
        <w:rPr>
          <w:rFonts w:ascii="Times New Roman" w:eastAsia="Calibri" w:hAnsi="Times New Roman" w:cs="Calibri"/>
          <w:sz w:val="24"/>
          <w:lang w:eastAsia="ja-JP"/>
        </w:rPr>
        <w:t xml:space="preserve">, uz </w:t>
      </w:r>
      <w:proofErr w:type="spellStart"/>
      <w:r w:rsidRPr="00A07F29">
        <w:rPr>
          <w:rFonts w:ascii="Times New Roman" w:eastAsia="Calibri" w:hAnsi="Times New Roman" w:cs="Calibri"/>
          <w:sz w:val="24"/>
          <w:lang w:eastAsia="ja-JP"/>
        </w:rPr>
        <w:t>Varnaviču</w:t>
      </w:r>
      <w:proofErr w:type="spellEnd"/>
      <w:r w:rsidRPr="00A07F29">
        <w:rPr>
          <w:rFonts w:ascii="Times New Roman" w:eastAsia="Calibri" w:hAnsi="Times New Roman" w:cs="Calibri"/>
          <w:sz w:val="24"/>
          <w:lang w:eastAsia="ja-JP"/>
        </w:rPr>
        <w:t xml:space="preserve"> ezeru</w:t>
      </w:r>
      <w:r w:rsidR="008C0CD0" w:rsidRPr="00A07F29">
        <w:rPr>
          <w:rFonts w:ascii="Times New Roman" w:eastAsia="Calibri" w:hAnsi="Times New Roman" w:cs="Calibri"/>
          <w:sz w:val="24"/>
          <w:lang w:eastAsia="ja-JP"/>
        </w:rPr>
        <w:t xml:space="preserve"> un citas (sk</w:t>
      </w:r>
      <w:r w:rsidR="00CF0146" w:rsidRPr="00A07F29">
        <w:rPr>
          <w:rFonts w:ascii="Times New Roman" w:eastAsia="Calibri" w:hAnsi="Times New Roman" w:cs="Calibri"/>
          <w:sz w:val="24"/>
          <w:lang w:eastAsia="ja-JP"/>
        </w:rPr>
        <w:t xml:space="preserve">at. </w:t>
      </w:r>
      <w:r w:rsidR="009F6874" w:rsidRPr="00A07F29">
        <w:rPr>
          <w:rFonts w:ascii="Times New Roman" w:eastAsia="Calibri" w:hAnsi="Times New Roman" w:cs="Calibri"/>
          <w:sz w:val="24"/>
          <w:lang w:eastAsia="ja-JP"/>
        </w:rPr>
        <w:t>5.3.</w:t>
      </w:r>
      <w:r w:rsidR="00D3024C">
        <w:rPr>
          <w:rFonts w:ascii="Times New Roman" w:eastAsia="Calibri" w:hAnsi="Times New Roman" w:cs="Calibri"/>
          <w:sz w:val="24"/>
          <w:lang w:eastAsia="ja-JP"/>
        </w:rPr>
        <w:t>51</w:t>
      </w:r>
      <w:r w:rsidR="009F6874" w:rsidRPr="00A07F29">
        <w:rPr>
          <w:rFonts w:ascii="Times New Roman" w:eastAsia="Calibri" w:hAnsi="Times New Roman" w:cs="Calibri"/>
          <w:sz w:val="24"/>
          <w:lang w:eastAsia="ja-JP"/>
        </w:rPr>
        <w:t>.</w:t>
      </w:r>
      <w:r w:rsidR="00D3024C">
        <w:rPr>
          <w:rFonts w:ascii="Times New Roman" w:eastAsia="Calibri" w:hAnsi="Times New Roman" w:cs="Calibri"/>
          <w:sz w:val="24"/>
          <w:lang w:eastAsia="ja-JP"/>
        </w:rPr>
        <w:t> </w:t>
      </w:r>
      <w:r w:rsidR="009F6874" w:rsidRPr="00A07F29">
        <w:rPr>
          <w:rFonts w:ascii="Times New Roman" w:eastAsia="Calibri" w:hAnsi="Times New Roman" w:cs="Calibri"/>
          <w:sz w:val="24"/>
          <w:lang w:eastAsia="ja-JP"/>
        </w:rPr>
        <w:t>att</w:t>
      </w:r>
      <w:r w:rsidR="00D3024C">
        <w:rPr>
          <w:rFonts w:ascii="Times New Roman" w:eastAsia="Calibri" w:hAnsi="Times New Roman" w:cs="Calibri"/>
          <w:sz w:val="24"/>
          <w:lang w:eastAsia="ja-JP"/>
        </w:rPr>
        <w:t>ēls</w:t>
      </w:r>
      <w:r w:rsidR="009F6874" w:rsidRPr="00A07F29">
        <w:rPr>
          <w:rFonts w:ascii="Times New Roman" w:eastAsia="Calibri" w:hAnsi="Times New Roman" w:cs="Calibri"/>
          <w:sz w:val="24"/>
          <w:lang w:eastAsia="ja-JP"/>
        </w:rPr>
        <w:t xml:space="preserve">, </w:t>
      </w:r>
      <w:r w:rsidR="00CF0146" w:rsidRPr="00A07F29">
        <w:rPr>
          <w:rFonts w:ascii="Times New Roman" w:eastAsia="Calibri" w:hAnsi="Times New Roman" w:cs="Calibri"/>
          <w:sz w:val="24"/>
          <w:lang w:eastAsia="ja-JP"/>
        </w:rPr>
        <w:t>5.3.2.</w:t>
      </w:r>
      <w:r w:rsidR="00D3024C">
        <w:rPr>
          <w:rFonts w:ascii="Times New Roman" w:eastAsia="Calibri" w:hAnsi="Times New Roman" w:cs="Calibri"/>
          <w:sz w:val="24"/>
          <w:lang w:eastAsia="ja-JP"/>
        </w:rPr>
        <w:t> </w:t>
      </w:r>
      <w:r w:rsidR="00CF0146" w:rsidRPr="00A07F29">
        <w:rPr>
          <w:rFonts w:ascii="Times New Roman" w:eastAsia="Calibri" w:hAnsi="Times New Roman" w:cs="Calibri"/>
          <w:sz w:val="24"/>
          <w:lang w:eastAsia="ja-JP"/>
        </w:rPr>
        <w:t>tabul</w:t>
      </w:r>
      <w:r w:rsidR="00D3024C">
        <w:rPr>
          <w:rFonts w:ascii="Times New Roman" w:eastAsia="Calibri" w:hAnsi="Times New Roman" w:cs="Calibri"/>
          <w:sz w:val="24"/>
          <w:lang w:eastAsia="ja-JP"/>
        </w:rPr>
        <w:t>a</w:t>
      </w:r>
      <w:r w:rsidR="0050077F" w:rsidRPr="00A07F29">
        <w:rPr>
          <w:rFonts w:ascii="Times New Roman" w:eastAsia="Calibri" w:hAnsi="Times New Roman" w:cs="Calibri"/>
          <w:sz w:val="24"/>
          <w:lang w:eastAsia="ja-JP"/>
        </w:rPr>
        <w:t xml:space="preserve">, </w:t>
      </w:r>
      <w:r w:rsidR="009F6874" w:rsidRPr="00A07F29">
        <w:rPr>
          <w:rFonts w:ascii="Times New Roman" w:eastAsia="Calibri" w:hAnsi="Times New Roman" w:cs="Calibri"/>
          <w:sz w:val="24"/>
          <w:lang w:eastAsia="ja-JP"/>
        </w:rPr>
        <w:t>5.1.1.</w:t>
      </w:r>
      <w:r w:rsidR="005005D0">
        <w:rPr>
          <w:rFonts w:ascii="Times New Roman" w:eastAsia="Calibri" w:hAnsi="Times New Roman" w:cs="Calibri"/>
          <w:sz w:val="24"/>
          <w:lang w:eastAsia="ja-JP"/>
        </w:rPr>
        <w:t xml:space="preserve"> un 5.1.1a.</w:t>
      </w:r>
      <w:r w:rsidR="00D3024C">
        <w:rPr>
          <w:rFonts w:ascii="Times New Roman" w:eastAsia="Calibri" w:hAnsi="Times New Roman" w:cs="Calibri"/>
          <w:sz w:val="24"/>
          <w:lang w:eastAsia="ja-JP"/>
        </w:rPr>
        <w:t> </w:t>
      </w:r>
      <w:r w:rsidR="0050077F" w:rsidRPr="00A07F29">
        <w:rPr>
          <w:rFonts w:ascii="Times New Roman" w:eastAsia="Calibri" w:hAnsi="Times New Roman" w:cs="Calibri"/>
          <w:sz w:val="24"/>
          <w:lang w:eastAsia="ja-JP"/>
        </w:rPr>
        <w:t>pielikum</w:t>
      </w:r>
      <w:r w:rsidR="00D3024C">
        <w:rPr>
          <w:rFonts w:ascii="Times New Roman" w:eastAsia="Calibri" w:hAnsi="Times New Roman" w:cs="Calibri"/>
          <w:sz w:val="24"/>
          <w:lang w:eastAsia="ja-JP"/>
        </w:rPr>
        <w:t>s</w:t>
      </w:r>
      <w:r w:rsidR="008C0CD0" w:rsidRPr="00A07F29">
        <w:rPr>
          <w:rFonts w:ascii="Times New Roman" w:eastAsia="Calibri" w:hAnsi="Times New Roman" w:cs="Calibri"/>
          <w:sz w:val="24"/>
          <w:lang w:eastAsia="ja-JP"/>
        </w:rPr>
        <w:t>).</w:t>
      </w:r>
    </w:p>
    <w:p w14:paraId="487D7492" w14:textId="6BE77307" w:rsidR="009F6874" w:rsidRPr="00A07F29" w:rsidRDefault="009F6874" w:rsidP="009F6874">
      <w:pPr>
        <w:spacing w:before="120" w:after="0" w:line="240" w:lineRule="auto"/>
        <w:jc w:val="both"/>
        <w:rPr>
          <w:rFonts w:ascii="Times New Roman" w:eastAsia="Calibri" w:hAnsi="Times New Roman" w:cs="Calibri"/>
          <w:sz w:val="24"/>
          <w:lang w:eastAsia="ja-JP"/>
        </w:rPr>
      </w:pPr>
      <w:r w:rsidRPr="00A07F29">
        <w:rPr>
          <w:noProof/>
          <w:lang w:eastAsia="lv-LV"/>
        </w:rPr>
        <w:drawing>
          <wp:inline distT="0" distB="0" distL="0" distR="0" wp14:anchorId="2934BBC5" wp14:editId="131AD68E">
            <wp:extent cx="5731510" cy="2045970"/>
            <wp:effectExtent l="0" t="0" r="2540" b="0"/>
            <wp:docPr id="170371810" name="Picture 170371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371810"/>
                    <pic:cNvPicPr/>
                  </pic:nvPicPr>
                  <pic:blipFill>
                    <a:blip r:embed="rId149">
                      <a:extLst>
                        <a:ext uri="{28A0092B-C50C-407E-A947-70E740481C1C}">
                          <a14:useLocalDpi xmlns:a14="http://schemas.microsoft.com/office/drawing/2010/main" val="0"/>
                        </a:ext>
                      </a:extLst>
                    </a:blip>
                    <a:stretch>
                      <a:fillRect/>
                    </a:stretch>
                  </pic:blipFill>
                  <pic:spPr>
                    <a:xfrm>
                      <a:off x="0" y="0"/>
                      <a:ext cx="5731510" cy="2045970"/>
                    </a:xfrm>
                    <a:prstGeom prst="rect">
                      <a:avLst/>
                    </a:prstGeom>
                  </pic:spPr>
                </pic:pic>
              </a:graphicData>
            </a:graphic>
          </wp:inline>
        </w:drawing>
      </w:r>
    </w:p>
    <w:p w14:paraId="3AF9278C" w14:textId="1B5B58D8" w:rsidR="009F6874" w:rsidRPr="00A07F29" w:rsidRDefault="009F6874" w:rsidP="009F6874">
      <w:pPr>
        <w:spacing w:before="120" w:after="0" w:line="240" w:lineRule="auto"/>
        <w:jc w:val="both"/>
        <w:rPr>
          <w:rFonts w:ascii="Times New Roman" w:eastAsia="Calibri" w:hAnsi="Times New Roman" w:cs="Calibri"/>
          <w:lang w:eastAsia="ja-JP"/>
        </w:rPr>
      </w:pPr>
      <w:r w:rsidRPr="00D3024C">
        <w:rPr>
          <w:rFonts w:ascii="Times New Roman" w:eastAsia="Calibri" w:hAnsi="Times New Roman" w:cs="Calibri"/>
          <w:sz w:val="20"/>
          <w:szCs w:val="20"/>
          <w:lang w:eastAsia="ja-JP"/>
        </w:rPr>
        <w:t>5.3.</w:t>
      </w:r>
      <w:r w:rsidR="00D3024C" w:rsidRPr="00D3024C">
        <w:rPr>
          <w:rFonts w:ascii="Times New Roman" w:eastAsia="Calibri" w:hAnsi="Times New Roman" w:cs="Calibri"/>
          <w:sz w:val="20"/>
          <w:szCs w:val="20"/>
          <w:lang w:eastAsia="ja-JP"/>
        </w:rPr>
        <w:t>51</w:t>
      </w:r>
      <w:r w:rsidRPr="00D3024C">
        <w:rPr>
          <w:rFonts w:ascii="Times New Roman" w:eastAsia="Calibri" w:hAnsi="Times New Roman" w:cs="Calibri"/>
          <w:sz w:val="20"/>
          <w:szCs w:val="20"/>
          <w:lang w:eastAsia="ja-JP"/>
        </w:rPr>
        <w:t>.</w:t>
      </w:r>
      <w:r w:rsidR="00D3024C" w:rsidRPr="00D3024C">
        <w:rPr>
          <w:rFonts w:ascii="Times New Roman" w:eastAsia="Calibri" w:hAnsi="Times New Roman" w:cs="Calibri"/>
          <w:sz w:val="20"/>
          <w:szCs w:val="20"/>
          <w:lang w:eastAsia="ja-JP"/>
        </w:rPr>
        <w:t> </w:t>
      </w:r>
      <w:r w:rsidRPr="00D3024C">
        <w:rPr>
          <w:rFonts w:ascii="Times New Roman" w:eastAsia="Calibri" w:hAnsi="Times New Roman" w:cs="Calibri"/>
          <w:sz w:val="20"/>
          <w:szCs w:val="20"/>
          <w:lang w:eastAsia="ja-JP"/>
        </w:rPr>
        <w:t>attēls. Uzturamās ainavu skatu vietas</w:t>
      </w:r>
      <w:r w:rsidRPr="00A07F29">
        <w:rPr>
          <w:rFonts w:ascii="Times New Roman" w:eastAsia="Calibri" w:hAnsi="Times New Roman" w:cs="Calibri"/>
          <w:lang w:eastAsia="ja-JP"/>
        </w:rPr>
        <w:t>.</w:t>
      </w:r>
    </w:p>
    <w:p w14:paraId="7760BBCC" w14:textId="3E4D7482" w:rsidR="00ED610E" w:rsidRPr="00A07F29" w:rsidRDefault="00ED610E" w:rsidP="00893111">
      <w:pPr>
        <w:keepNext/>
        <w:spacing w:before="240" w:after="120" w:line="240" w:lineRule="auto"/>
        <w:jc w:val="center"/>
        <w:rPr>
          <w:rFonts w:ascii="Times New Roman" w:eastAsia="Calibri" w:hAnsi="Times New Roman" w:cs="Calibri"/>
          <w:sz w:val="24"/>
          <w:lang w:eastAsia="ja-JP"/>
        </w:rPr>
      </w:pPr>
      <w:r w:rsidRPr="00A07F29">
        <w:rPr>
          <w:rFonts w:ascii="Times New Roman" w:eastAsia="Calibri" w:hAnsi="Times New Roman" w:cs="Calibri"/>
          <w:sz w:val="24"/>
          <w:lang w:eastAsia="ja-JP"/>
        </w:rPr>
        <w:t>5.3.2.</w:t>
      </w:r>
      <w:r w:rsidR="00D3024C">
        <w:rPr>
          <w:rFonts w:ascii="Times New Roman" w:eastAsia="Calibri" w:hAnsi="Times New Roman" w:cs="Calibri"/>
          <w:sz w:val="24"/>
          <w:lang w:eastAsia="ja-JP"/>
        </w:rPr>
        <w:t> </w:t>
      </w:r>
      <w:r w:rsidRPr="00A07F29">
        <w:rPr>
          <w:rFonts w:ascii="Times New Roman" w:eastAsia="Calibri" w:hAnsi="Times New Roman" w:cs="Calibri"/>
          <w:sz w:val="24"/>
          <w:lang w:eastAsia="ja-JP"/>
        </w:rPr>
        <w:t xml:space="preserve">tabula. </w:t>
      </w:r>
      <w:r w:rsidRPr="00A07F29">
        <w:rPr>
          <w:rFonts w:ascii="Times New Roman" w:eastAsia="Calibri" w:hAnsi="Times New Roman" w:cs="Times New Roman"/>
          <w:sz w:val="24"/>
          <w:szCs w:val="24"/>
        </w:rPr>
        <w:t>Ainavu skatu vietu uzturēšana</w:t>
      </w:r>
    </w:p>
    <w:tbl>
      <w:tblPr>
        <w:tblW w:w="97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843"/>
        <w:gridCol w:w="997"/>
        <w:gridCol w:w="2551"/>
        <w:gridCol w:w="3693"/>
      </w:tblGrid>
      <w:tr w:rsidR="00ED610E" w:rsidRPr="00A07F29" w14:paraId="05A1460B" w14:textId="77777777" w:rsidTr="63C42FA1">
        <w:trPr>
          <w:trHeight w:val="699"/>
          <w:jc w:val="center"/>
        </w:trPr>
        <w:tc>
          <w:tcPr>
            <w:tcW w:w="709" w:type="dxa"/>
            <w:vAlign w:val="center"/>
          </w:tcPr>
          <w:p w14:paraId="7DB25BC8" w14:textId="77777777" w:rsidR="00ED610E" w:rsidRPr="00A07F29" w:rsidRDefault="00ED610E" w:rsidP="00904DDF">
            <w:pPr>
              <w:spacing w:after="0" w:line="240" w:lineRule="auto"/>
              <w:jc w:val="center"/>
              <w:rPr>
                <w:rFonts w:ascii="Times New Roman" w:eastAsia="Calibri" w:hAnsi="Times New Roman" w:cs="Times New Roman"/>
                <w:b/>
              </w:rPr>
            </w:pPr>
            <w:bookmarkStart w:id="112" w:name="_Hlk58701530"/>
            <w:proofErr w:type="spellStart"/>
            <w:r w:rsidRPr="00A07F29">
              <w:rPr>
                <w:rFonts w:ascii="Times New Roman" w:eastAsia="Calibri" w:hAnsi="Times New Roman" w:cs="Times New Roman"/>
                <w:b/>
              </w:rPr>
              <w:t>Nr.p.k</w:t>
            </w:r>
            <w:proofErr w:type="spellEnd"/>
            <w:r w:rsidRPr="00A07F29">
              <w:rPr>
                <w:rFonts w:ascii="Times New Roman" w:eastAsia="Calibri" w:hAnsi="Times New Roman" w:cs="Times New Roman"/>
                <w:b/>
              </w:rPr>
              <w:t>.</w:t>
            </w:r>
          </w:p>
        </w:tc>
        <w:tc>
          <w:tcPr>
            <w:tcW w:w="1843" w:type="dxa"/>
            <w:vAlign w:val="center"/>
          </w:tcPr>
          <w:p w14:paraId="3E780576" w14:textId="77777777" w:rsidR="00ED610E" w:rsidRPr="00A07F29" w:rsidRDefault="00ED610E" w:rsidP="00904DDF">
            <w:pPr>
              <w:spacing w:after="0" w:line="240" w:lineRule="auto"/>
              <w:jc w:val="center"/>
              <w:rPr>
                <w:rFonts w:ascii="Times New Roman" w:eastAsia="Calibri" w:hAnsi="Times New Roman" w:cs="Times New Roman"/>
                <w:b/>
              </w:rPr>
            </w:pPr>
            <w:r w:rsidRPr="00A07F29">
              <w:rPr>
                <w:rFonts w:ascii="Times New Roman" w:eastAsia="Calibri" w:hAnsi="Times New Roman" w:cs="Times New Roman"/>
                <w:b/>
              </w:rPr>
              <w:t>Skatu punkta apraksts</w:t>
            </w:r>
          </w:p>
        </w:tc>
        <w:tc>
          <w:tcPr>
            <w:tcW w:w="997" w:type="dxa"/>
            <w:vAlign w:val="center"/>
          </w:tcPr>
          <w:p w14:paraId="1D7658CF" w14:textId="77777777" w:rsidR="00ED610E" w:rsidRPr="00A07F29" w:rsidRDefault="00ED610E" w:rsidP="00904DDF">
            <w:pPr>
              <w:spacing w:after="0" w:line="240" w:lineRule="auto"/>
              <w:jc w:val="center"/>
              <w:rPr>
                <w:rFonts w:ascii="Times New Roman" w:eastAsia="Calibri" w:hAnsi="Times New Roman" w:cs="Times New Roman"/>
                <w:b/>
              </w:rPr>
            </w:pPr>
            <w:r w:rsidRPr="00A07F29">
              <w:rPr>
                <w:rFonts w:ascii="Times New Roman" w:eastAsia="Calibri" w:hAnsi="Times New Roman" w:cs="Times New Roman"/>
                <w:b/>
              </w:rPr>
              <w:t xml:space="preserve">Platība, </w:t>
            </w:r>
          </w:p>
          <w:p w14:paraId="6039C7FA" w14:textId="77777777" w:rsidR="00ED610E" w:rsidRPr="00A07F29" w:rsidRDefault="00ED610E" w:rsidP="00904DDF">
            <w:pPr>
              <w:spacing w:after="0" w:line="240" w:lineRule="auto"/>
              <w:jc w:val="center"/>
              <w:rPr>
                <w:rFonts w:ascii="Times New Roman" w:eastAsia="Calibri" w:hAnsi="Times New Roman" w:cs="Times New Roman"/>
                <w:b/>
              </w:rPr>
            </w:pPr>
            <w:r w:rsidRPr="00A07F29">
              <w:rPr>
                <w:rFonts w:ascii="Times New Roman" w:eastAsia="Calibri" w:hAnsi="Times New Roman" w:cs="Times New Roman"/>
                <w:b/>
              </w:rPr>
              <w:t>ha</w:t>
            </w:r>
          </w:p>
        </w:tc>
        <w:tc>
          <w:tcPr>
            <w:tcW w:w="2551" w:type="dxa"/>
            <w:vAlign w:val="center"/>
          </w:tcPr>
          <w:p w14:paraId="23B9A64D" w14:textId="77777777" w:rsidR="00ED610E" w:rsidRPr="00A07F29" w:rsidRDefault="00ED610E" w:rsidP="00904DDF">
            <w:pPr>
              <w:spacing w:after="0" w:line="240" w:lineRule="auto"/>
              <w:jc w:val="center"/>
              <w:rPr>
                <w:rFonts w:ascii="Times New Roman" w:eastAsia="Calibri" w:hAnsi="Times New Roman" w:cs="Times New Roman"/>
                <w:b/>
              </w:rPr>
            </w:pPr>
            <w:r w:rsidRPr="00A07F29">
              <w:rPr>
                <w:rFonts w:ascii="Times New Roman" w:eastAsia="Calibri" w:hAnsi="Times New Roman" w:cs="Times New Roman"/>
                <w:b/>
              </w:rPr>
              <w:t>Ieteikumi turpmākajai apsaimniekošanai</w:t>
            </w:r>
          </w:p>
        </w:tc>
        <w:tc>
          <w:tcPr>
            <w:tcW w:w="3693" w:type="dxa"/>
            <w:vAlign w:val="center"/>
          </w:tcPr>
          <w:p w14:paraId="242DA1B4" w14:textId="77777777" w:rsidR="00ED610E" w:rsidRPr="00A07F29" w:rsidRDefault="00ED610E" w:rsidP="00904DDF">
            <w:pPr>
              <w:spacing w:after="0" w:line="240" w:lineRule="auto"/>
              <w:jc w:val="center"/>
              <w:rPr>
                <w:rFonts w:ascii="Times New Roman" w:eastAsia="Calibri" w:hAnsi="Times New Roman" w:cs="Times New Roman"/>
                <w:bCs/>
              </w:rPr>
            </w:pPr>
            <w:r w:rsidRPr="00A07F29">
              <w:rPr>
                <w:rFonts w:ascii="Times New Roman" w:eastAsia="Calibri" w:hAnsi="Times New Roman" w:cs="Times New Roman"/>
                <w:b/>
              </w:rPr>
              <w:t xml:space="preserve">Izvietojums kartē </w:t>
            </w:r>
            <w:r w:rsidRPr="00A07F29">
              <w:rPr>
                <w:rFonts w:ascii="Times New Roman" w:eastAsia="Calibri" w:hAnsi="Times New Roman" w:cs="Times New Roman"/>
                <w:bCs/>
              </w:rPr>
              <w:t xml:space="preserve">(VZD kadastra dati, LĢIA </w:t>
            </w:r>
            <w:proofErr w:type="spellStart"/>
            <w:r w:rsidRPr="00A07F29">
              <w:rPr>
                <w:rFonts w:ascii="Times New Roman" w:eastAsia="Calibri" w:hAnsi="Times New Roman" w:cs="Times New Roman"/>
                <w:bCs/>
              </w:rPr>
              <w:t>ortofotokarte</w:t>
            </w:r>
            <w:proofErr w:type="spellEnd"/>
            <w:r w:rsidRPr="00A07F29">
              <w:rPr>
                <w:rFonts w:ascii="Times New Roman" w:eastAsia="Calibri" w:hAnsi="Times New Roman" w:cs="Times New Roman"/>
                <w:bCs/>
              </w:rPr>
              <w:t>)</w:t>
            </w:r>
          </w:p>
        </w:tc>
      </w:tr>
      <w:tr w:rsidR="00ED610E" w:rsidRPr="00A07F29" w14:paraId="1964B901" w14:textId="77777777" w:rsidTr="63C42FA1">
        <w:trPr>
          <w:trHeight w:val="699"/>
          <w:jc w:val="center"/>
        </w:trPr>
        <w:tc>
          <w:tcPr>
            <w:tcW w:w="709" w:type="dxa"/>
          </w:tcPr>
          <w:p w14:paraId="1708CAB2" w14:textId="77777777" w:rsidR="00ED610E" w:rsidRPr="00A07F29" w:rsidRDefault="00ED610E" w:rsidP="00F87589">
            <w:pPr>
              <w:numPr>
                <w:ilvl w:val="0"/>
                <w:numId w:val="42"/>
              </w:numPr>
              <w:spacing w:after="0" w:line="240" w:lineRule="auto"/>
              <w:ind w:left="0"/>
              <w:jc w:val="right"/>
              <w:rPr>
                <w:rFonts w:ascii="Times New Roman" w:eastAsia="Calibri" w:hAnsi="Times New Roman" w:cs="Times New Roman"/>
                <w:b/>
              </w:rPr>
            </w:pPr>
          </w:p>
        </w:tc>
        <w:tc>
          <w:tcPr>
            <w:tcW w:w="1843" w:type="dxa"/>
          </w:tcPr>
          <w:p w14:paraId="4754D911" w14:textId="77777777" w:rsidR="00ED610E" w:rsidRPr="00A07F29" w:rsidRDefault="00ED610E" w:rsidP="00904DDF">
            <w:pPr>
              <w:spacing w:after="0" w:line="240" w:lineRule="auto"/>
              <w:rPr>
                <w:rFonts w:ascii="Times New Roman" w:eastAsia="Calibri" w:hAnsi="Times New Roman" w:cs="Times New Roman"/>
              </w:rPr>
            </w:pPr>
            <w:r w:rsidRPr="00A07F29">
              <w:rPr>
                <w:rFonts w:ascii="Times New Roman" w:eastAsia="Calibri" w:hAnsi="Times New Roman" w:cs="Times New Roman"/>
              </w:rPr>
              <w:t xml:space="preserve">Skatu punkts </w:t>
            </w:r>
            <w:proofErr w:type="spellStart"/>
            <w:r w:rsidRPr="00A07F29">
              <w:rPr>
                <w:rFonts w:ascii="Times New Roman" w:eastAsia="Calibri" w:hAnsi="Times New Roman" w:cs="Times New Roman"/>
              </w:rPr>
              <w:t>Hoftenbergas</w:t>
            </w:r>
            <w:proofErr w:type="spellEnd"/>
            <w:r w:rsidRPr="00A07F29">
              <w:rPr>
                <w:rFonts w:ascii="Times New Roman" w:eastAsia="Calibri" w:hAnsi="Times New Roman" w:cs="Times New Roman"/>
              </w:rPr>
              <w:t xml:space="preserve"> parka teritorijā </w:t>
            </w:r>
          </w:p>
        </w:tc>
        <w:tc>
          <w:tcPr>
            <w:tcW w:w="997" w:type="dxa"/>
          </w:tcPr>
          <w:p w14:paraId="1D18492E" w14:textId="77777777" w:rsidR="00ED610E" w:rsidRPr="00A07F29" w:rsidRDefault="00ED610E" w:rsidP="00904DDF">
            <w:pPr>
              <w:spacing w:after="0" w:line="240" w:lineRule="auto"/>
              <w:jc w:val="both"/>
              <w:rPr>
                <w:rFonts w:ascii="Times New Roman" w:eastAsia="Calibri" w:hAnsi="Times New Roman" w:cs="Times New Roman"/>
                <w:bCs/>
              </w:rPr>
            </w:pPr>
            <w:r w:rsidRPr="00A07F29">
              <w:rPr>
                <w:rFonts w:ascii="Times New Roman" w:eastAsia="Calibri" w:hAnsi="Times New Roman" w:cs="Times New Roman"/>
                <w:bCs/>
              </w:rPr>
              <w:t>0,66</w:t>
            </w:r>
          </w:p>
        </w:tc>
        <w:tc>
          <w:tcPr>
            <w:tcW w:w="2551" w:type="dxa"/>
          </w:tcPr>
          <w:p w14:paraId="47BC21AF" w14:textId="4A4008A0" w:rsidR="00ED610E" w:rsidRPr="00A07F29" w:rsidRDefault="00ED610E" w:rsidP="00CC6EA4">
            <w:pPr>
              <w:spacing w:after="0" w:line="240" w:lineRule="auto"/>
              <w:rPr>
                <w:rFonts w:ascii="Times New Roman" w:eastAsia="Calibri" w:hAnsi="Times New Roman" w:cs="Times New Roman"/>
              </w:rPr>
            </w:pPr>
            <w:r w:rsidRPr="00A07F29">
              <w:rPr>
                <w:rFonts w:ascii="Times New Roman" w:eastAsia="Calibri" w:hAnsi="Times New Roman" w:cs="Times New Roman"/>
              </w:rPr>
              <w:t xml:space="preserve">Skatu punktu nepieciešams paplašināt atstājot vērtīgākus kokus. </w:t>
            </w:r>
            <w:r w:rsidR="00CC6EA4" w:rsidRPr="00A07F29">
              <w:rPr>
                <w:rFonts w:ascii="Times New Roman" w:eastAsia="Calibri" w:hAnsi="Times New Roman" w:cs="Times New Roman"/>
              </w:rPr>
              <w:t>Nepieciešams veikt izpēti un ierobežot erozijas risku krasta nogāzē.</w:t>
            </w:r>
          </w:p>
        </w:tc>
        <w:tc>
          <w:tcPr>
            <w:tcW w:w="3693" w:type="dxa"/>
          </w:tcPr>
          <w:p w14:paraId="1765045A" w14:textId="77777777" w:rsidR="00ED610E" w:rsidRPr="00A07F29" w:rsidRDefault="00ED610E" w:rsidP="00904DDF">
            <w:pPr>
              <w:spacing w:after="0" w:line="240" w:lineRule="auto"/>
              <w:jc w:val="both"/>
              <w:rPr>
                <w:rFonts w:ascii="Times New Roman" w:eastAsia="Calibri" w:hAnsi="Times New Roman" w:cs="Times New Roman"/>
                <w:b/>
              </w:rPr>
            </w:pPr>
            <w:r w:rsidRPr="00A07F29">
              <w:rPr>
                <w:noProof/>
                <w:lang w:eastAsia="lv-LV"/>
              </w:rPr>
              <w:drawing>
                <wp:inline distT="0" distB="0" distL="0" distR="0" wp14:anchorId="0D20906F" wp14:editId="2BFB5108">
                  <wp:extent cx="2207895" cy="1531620"/>
                  <wp:effectExtent l="0" t="0" r="1905" b="0"/>
                  <wp:docPr id="25"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pic:nvPicPr>
                        <pic:blipFill>
                          <a:blip r:embed="rId150">
                            <a:extLst>
                              <a:ext uri="{28A0092B-C50C-407E-A947-70E740481C1C}">
                                <a14:useLocalDpi xmlns:a14="http://schemas.microsoft.com/office/drawing/2010/main"/>
                              </a:ext>
                            </a:extLst>
                          </a:blip>
                          <a:stretch>
                            <a:fillRect/>
                          </a:stretch>
                        </pic:blipFill>
                        <pic:spPr>
                          <a:xfrm>
                            <a:off x="0" y="0"/>
                            <a:ext cx="2207895" cy="1531620"/>
                          </a:xfrm>
                          <a:prstGeom prst="rect">
                            <a:avLst/>
                          </a:prstGeom>
                        </pic:spPr>
                      </pic:pic>
                    </a:graphicData>
                  </a:graphic>
                </wp:inline>
              </w:drawing>
            </w:r>
          </w:p>
        </w:tc>
      </w:tr>
      <w:tr w:rsidR="00ED610E" w:rsidRPr="00A07F29" w14:paraId="6F6F7B7B" w14:textId="77777777" w:rsidTr="63C42FA1">
        <w:trPr>
          <w:jc w:val="center"/>
        </w:trPr>
        <w:tc>
          <w:tcPr>
            <w:tcW w:w="709" w:type="dxa"/>
          </w:tcPr>
          <w:p w14:paraId="481A19B4" w14:textId="77777777" w:rsidR="00ED610E" w:rsidRPr="00A07F29" w:rsidRDefault="00ED610E" w:rsidP="00F87589">
            <w:pPr>
              <w:numPr>
                <w:ilvl w:val="0"/>
                <w:numId w:val="42"/>
              </w:numPr>
              <w:spacing w:after="0" w:line="240" w:lineRule="auto"/>
              <w:ind w:left="0"/>
              <w:jc w:val="right"/>
              <w:rPr>
                <w:rFonts w:ascii="Times New Roman" w:eastAsia="Calibri" w:hAnsi="Times New Roman" w:cs="Times New Roman"/>
                <w:b/>
              </w:rPr>
            </w:pPr>
          </w:p>
        </w:tc>
        <w:tc>
          <w:tcPr>
            <w:tcW w:w="1843" w:type="dxa"/>
          </w:tcPr>
          <w:p w14:paraId="2C58ED07" w14:textId="77777777" w:rsidR="00ED610E" w:rsidRPr="00A07F29" w:rsidRDefault="00ED610E" w:rsidP="00904DDF">
            <w:pPr>
              <w:spacing w:after="0" w:line="240" w:lineRule="auto"/>
              <w:rPr>
                <w:rFonts w:ascii="Times New Roman" w:eastAsia="Calibri" w:hAnsi="Times New Roman" w:cs="Times New Roman"/>
              </w:rPr>
            </w:pPr>
            <w:r w:rsidRPr="00A07F29">
              <w:rPr>
                <w:rFonts w:ascii="Times New Roman" w:eastAsia="Calibri" w:hAnsi="Times New Roman" w:cs="Times New Roman"/>
              </w:rPr>
              <w:t>Skatu punkts Naujenes pagastā, ceļa A6 (Rīga-Daugavpils-Krāslava-Baltkrievijas robeža (</w:t>
            </w:r>
            <w:proofErr w:type="spellStart"/>
            <w:r w:rsidRPr="00A07F29">
              <w:rPr>
                <w:rFonts w:ascii="Times New Roman" w:eastAsia="Calibri" w:hAnsi="Times New Roman" w:cs="Times New Roman"/>
              </w:rPr>
              <w:t>Patarnieki</w:t>
            </w:r>
            <w:proofErr w:type="spellEnd"/>
            <w:r w:rsidRPr="00A07F29">
              <w:rPr>
                <w:rFonts w:ascii="Times New Roman" w:eastAsia="Calibri" w:hAnsi="Times New Roman" w:cs="Times New Roman"/>
              </w:rPr>
              <w:t>)) un ceļa P65 (Stropi-Krauja) krustojumā</w:t>
            </w:r>
          </w:p>
        </w:tc>
        <w:tc>
          <w:tcPr>
            <w:tcW w:w="997" w:type="dxa"/>
          </w:tcPr>
          <w:p w14:paraId="6A89E8D4" w14:textId="77777777" w:rsidR="00ED610E" w:rsidRPr="00A07F29" w:rsidRDefault="00ED610E" w:rsidP="00904DDF">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2,94</w:t>
            </w:r>
          </w:p>
        </w:tc>
        <w:tc>
          <w:tcPr>
            <w:tcW w:w="2551" w:type="dxa"/>
          </w:tcPr>
          <w:p w14:paraId="47B5EB33" w14:textId="19A527B6" w:rsidR="00ED610E" w:rsidRPr="00A07F29" w:rsidRDefault="00ED610E" w:rsidP="00904DDF">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Lai saglabātu skatu, svarīgi nepieļaut ceļa malas aizaugšanu un lauksaimniecības zemju aizaugšanu un apmežošanu. Plānojot jaunu būvniecību, nav pieļaujam</w:t>
            </w:r>
            <w:r w:rsidR="001E1ACB">
              <w:rPr>
                <w:rFonts w:ascii="Times New Roman" w:eastAsia="Calibri" w:hAnsi="Times New Roman" w:cs="Times New Roman"/>
              </w:rPr>
              <w:t>a</w:t>
            </w:r>
            <w:r w:rsidRPr="00A07F29">
              <w:rPr>
                <w:rFonts w:ascii="Times New Roman" w:eastAsia="Calibri" w:hAnsi="Times New Roman" w:cs="Times New Roman"/>
              </w:rPr>
              <w:t xml:space="preserve"> tādu vertikālo objektu būvniecība, kas vizuāli dominētu ainavā.</w:t>
            </w:r>
            <w:r w:rsidR="00D65BBA" w:rsidRPr="00A07F29">
              <w:rPr>
                <w:rFonts w:ascii="Times New Roman" w:eastAsia="Calibri" w:hAnsi="Times New Roman" w:cs="Times New Roman"/>
              </w:rPr>
              <w:t xml:space="preserve"> </w:t>
            </w:r>
            <w:r w:rsidRPr="00A07F29">
              <w:rPr>
                <w:rFonts w:ascii="Times New Roman" w:eastAsia="Calibri" w:hAnsi="Times New Roman" w:cs="Times New Roman"/>
              </w:rPr>
              <w:t>Nav pieļaujams jumtu klājumā izmantot spilgtas krāsas.</w:t>
            </w:r>
            <w:r w:rsidR="00D65BBA" w:rsidRPr="00A07F29">
              <w:rPr>
                <w:rFonts w:ascii="Times New Roman" w:eastAsia="Calibri" w:hAnsi="Times New Roman" w:cs="Times New Roman"/>
              </w:rPr>
              <w:t xml:space="preserve"> </w:t>
            </w:r>
          </w:p>
        </w:tc>
        <w:tc>
          <w:tcPr>
            <w:tcW w:w="3693" w:type="dxa"/>
          </w:tcPr>
          <w:p w14:paraId="290CE9BB" w14:textId="77777777" w:rsidR="00ED610E" w:rsidRPr="00A07F29" w:rsidRDefault="00ED610E" w:rsidP="00904DDF">
            <w:pPr>
              <w:spacing w:after="0" w:line="240" w:lineRule="auto"/>
              <w:jc w:val="both"/>
              <w:rPr>
                <w:rFonts w:ascii="Times New Roman" w:eastAsia="Calibri" w:hAnsi="Times New Roman" w:cs="Times New Roman"/>
              </w:rPr>
            </w:pPr>
            <w:r w:rsidRPr="00A07F29">
              <w:rPr>
                <w:noProof/>
                <w:lang w:eastAsia="lv-LV"/>
              </w:rPr>
              <w:drawing>
                <wp:inline distT="0" distB="0" distL="0" distR="0" wp14:anchorId="1A04879E" wp14:editId="54081E1E">
                  <wp:extent cx="2207895" cy="1459230"/>
                  <wp:effectExtent l="0" t="0" r="1905" b="7620"/>
                  <wp:docPr id="26"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pic:nvPicPr>
                        <pic:blipFill>
                          <a:blip r:embed="rId151">
                            <a:extLst>
                              <a:ext uri="{28A0092B-C50C-407E-A947-70E740481C1C}">
                                <a14:useLocalDpi xmlns:a14="http://schemas.microsoft.com/office/drawing/2010/main"/>
                              </a:ext>
                            </a:extLst>
                          </a:blip>
                          <a:stretch>
                            <a:fillRect/>
                          </a:stretch>
                        </pic:blipFill>
                        <pic:spPr>
                          <a:xfrm>
                            <a:off x="0" y="0"/>
                            <a:ext cx="2207895" cy="1459230"/>
                          </a:xfrm>
                          <a:prstGeom prst="rect">
                            <a:avLst/>
                          </a:prstGeom>
                        </pic:spPr>
                      </pic:pic>
                    </a:graphicData>
                  </a:graphic>
                </wp:inline>
              </w:drawing>
            </w:r>
          </w:p>
        </w:tc>
      </w:tr>
      <w:tr w:rsidR="00ED610E" w:rsidRPr="00A07F29" w14:paraId="5BAA7B2A" w14:textId="77777777" w:rsidTr="63C42FA1">
        <w:trPr>
          <w:jc w:val="center"/>
        </w:trPr>
        <w:tc>
          <w:tcPr>
            <w:tcW w:w="709" w:type="dxa"/>
          </w:tcPr>
          <w:p w14:paraId="22E101A4" w14:textId="70C1C61E" w:rsidR="00ED610E" w:rsidRPr="00A07F29" w:rsidRDefault="00ED610E" w:rsidP="00F87589">
            <w:pPr>
              <w:numPr>
                <w:ilvl w:val="0"/>
                <w:numId w:val="42"/>
              </w:numPr>
              <w:spacing w:after="0" w:line="240" w:lineRule="auto"/>
              <w:ind w:left="0"/>
              <w:jc w:val="right"/>
              <w:rPr>
                <w:rFonts w:ascii="Times New Roman" w:eastAsia="Calibri" w:hAnsi="Times New Roman" w:cs="Times New Roman"/>
                <w:b/>
              </w:rPr>
            </w:pPr>
          </w:p>
        </w:tc>
        <w:tc>
          <w:tcPr>
            <w:tcW w:w="1843" w:type="dxa"/>
          </w:tcPr>
          <w:p w14:paraId="2D08B00B" w14:textId="77777777" w:rsidR="00ED610E" w:rsidRPr="00A07F29" w:rsidRDefault="00ED610E" w:rsidP="00904DDF">
            <w:pPr>
              <w:spacing w:after="0" w:line="240" w:lineRule="auto"/>
              <w:rPr>
                <w:rFonts w:ascii="Times New Roman" w:eastAsia="Calibri" w:hAnsi="Times New Roman" w:cs="Times New Roman"/>
              </w:rPr>
            </w:pPr>
            <w:r w:rsidRPr="00A07F29">
              <w:rPr>
                <w:rFonts w:ascii="Times New Roman" w:eastAsia="Calibri" w:hAnsi="Times New Roman" w:cs="Times New Roman"/>
              </w:rPr>
              <w:t>Skatu punkts no Vecpils kapsētas piemiņas vietas uz Dinaburgas pilsdrupām un Daugavu</w:t>
            </w:r>
          </w:p>
        </w:tc>
        <w:tc>
          <w:tcPr>
            <w:tcW w:w="997" w:type="dxa"/>
          </w:tcPr>
          <w:p w14:paraId="41566A11" w14:textId="77777777" w:rsidR="00ED610E" w:rsidRPr="00A07F29" w:rsidRDefault="00ED610E" w:rsidP="00904DDF">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2,04</w:t>
            </w:r>
          </w:p>
        </w:tc>
        <w:tc>
          <w:tcPr>
            <w:tcW w:w="2551" w:type="dxa"/>
          </w:tcPr>
          <w:p w14:paraId="2B2FE060" w14:textId="60186171" w:rsidR="00ED610E" w:rsidRPr="00A07F29" w:rsidRDefault="00ED610E" w:rsidP="00904DDF">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Dinaburgas viduslaiku pils valsts nozīmes arheoloģijas piemineklis (valsts aizsardzības Nr.</w:t>
            </w:r>
            <w:r w:rsidR="007C792F">
              <w:rPr>
                <w:rFonts w:ascii="Times New Roman" w:eastAsia="Calibri" w:hAnsi="Times New Roman" w:cs="Times New Roman"/>
              </w:rPr>
              <w:t> </w:t>
            </w:r>
            <w:r w:rsidRPr="00A07F29">
              <w:rPr>
                <w:rFonts w:ascii="Times New Roman" w:eastAsia="Calibri" w:hAnsi="Times New Roman" w:cs="Times New Roman"/>
              </w:rPr>
              <w:t>680). Lai saglabātu un paplašinātu skatu</w:t>
            </w:r>
            <w:r w:rsidR="00CB5DA9">
              <w:rPr>
                <w:rFonts w:ascii="Times New Roman" w:eastAsia="Calibri" w:hAnsi="Times New Roman" w:cs="Times New Roman"/>
              </w:rPr>
              <w:t>,</w:t>
            </w:r>
            <w:r w:rsidRPr="00A07F29">
              <w:rPr>
                <w:rFonts w:ascii="Times New Roman" w:eastAsia="Calibri" w:hAnsi="Times New Roman" w:cs="Times New Roman"/>
              </w:rPr>
              <w:t xml:space="preserve"> nepieciešams attīrīt vietu no krūmājiem un mazvērtīgiem kokiem.</w:t>
            </w:r>
          </w:p>
        </w:tc>
        <w:tc>
          <w:tcPr>
            <w:tcW w:w="3693" w:type="dxa"/>
            <w:vMerge w:val="restart"/>
          </w:tcPr>
          <w:p w14:paraId="66BF8050" w14:textId="77777777" w:rsidR="00ED610E" w:rsidRPr="00A07F29" w:rsidRDefault="00ED610E" w:rsidP="00904DDF">
            <w:pPr>
              <w:spacing w:after="0" w:line="240" w:lineRule="auto"/>
              <w:jc w:val="both"/>
              <w:rPr>
                <w:rFonts w:ascii="Times New Roman" w:eastAsia="Calibri" w:hAnsi="Times New Roman" w:cs="Times New Roman"/>
              </w:rPr>
            </w:pPr>
            <w:r w:rsidRPr="00A07F29">
              <w:rPr>
                <w:noProof/>
                <w:lang w:eastAsia="lv-LV"/>
              </w:rPr>
              <w:drawing>
                <wp:inline distT="0" distB="0" distL="0" distR="0" wp14:anchorId="6047EF38" wp14:editId="2143E8AB">
                  <wp:extent cx="2207895" cy="2160905"/>
                  <wp:effectExtent l="0" t="0" r="1905" b="0"/>
                  <wp:docPr id="33"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pic:nvPicPr>
                        <pic:blipFill>
                          <a:blip r:embed="rId152">
                            <a:extLst>
                              <a:ext uri="{28A0092B-C50C-407E-A947-70E740481C1C}">
                                <a14:useLocalDpi xmlns:a14="http://schemas.microsoft.com/office/drawing/2010/main"/>
                              </a:ext>
                            </a:extLst>
                          </a:blip>
                          <a:stretch>
                            <a:fillRect/>
                          </a:stretch>
                        </pic:blipFill>
                        <pic:spPr>
                          <a:xfrm>
                            <a:off x="0" y="0"/>
                            <a:ext cx="2207895" cy="2160905"/>
                          </a:xfrm>
                          <a:prstGeom prst="rect">
                            <a:avLst/>
                          </a:prstGeom>
                        </pic:spPr>
                      </pic:pic>
                    </a:graphicData>
                  </a:graphic>
                </wp:inline>
              </w:drawing>
            </w:r>
          </w:p>
        </w:tc>
      </w:tr>
      <w:tr w:rsidR="00ED610E" w:rsidRPr="00A07F29" w14:paraId="734F7FB5" w14:textId="77777777" w:rsidTr="63C42FA1">
        <w:trPr>
          <w:jc w:val="center"/>
        </w:trPr>
        <w:tc>
          <w:tcPr>
            <w:tcW w:w="709" w:type="dxa"/>
          </w:tcPr>
          <w:p w14:paraId="3643EEFF" w14:textId="77777777" w:rsidR="00ED610E" w:rsidRPr="00A07F29" w:rsidRDefault="00ED610E" w:rsidP="00F87589">
            <w:pPr>
              <w:numPr>
                <w:ilvl w:val="0"/>
                <w:numId w:val="42"/>
              </w:numPr>
              <w:spacing w:after="0" w:line="240" w:lineRule="auto"/>
              <w:ind w:left="0"/>
              <w:jc w:val="right"/>
              <w:rPr>
                <w:rFonts w:ascii="Times New Roman" w:eastAsia="Calibri" w:hAnsi="Times New Roman" w:cs="Times New Roman"/>
                <w:b/>
              </w:rPr>
            </w:pPr>
          </w:p>
        </w:tc>
        <w:tc>
          <w:tcPr>
            <w:tcW w:w="1843" w:type="dxa"/>
          </w:tcPr>
          <w:p w14:paraId="67348653" w14:textId="77777777" w:rsidR="00ED610E" w:rsidRPr="00A07F29" w:rsidRDefault="00ED610E" w:rsidP="00904DDF">
            <w:pPr>
              <w:spacing w:after="0" w:line="240" w:lineRule="auto"/>
              <w:rPr>
                <w:rFonts w:ascii="Times New Roman" w:eastAsia="Calibri" w:hAnsi="Times New Roman" w:cs="Times New Roman"/>
              </w:rPr>
            </w:pPr>
            <w:r w:rsidRPr="00A07F29">
              <w:rPr>
                <w:rFonts w:ascii="Times New Roman" w:eastAsia="Calibri" w:hAnsi="Times New Roman" w:cs="Times New Roman"/>
              </w:rPr>
              <w:t xml:space="preserve">Skatu punkts no Vecpils kapsētas piemiņas vietas uz Daugavu </w:t>
            </w:r>
          </w:p>
        </w:tc>
        <w:tc>
          <w:tcPr>
            <w:tcW w:w="997" w:type="dxa"/>
          </w:tcPr>
          <w:p w14:paraId="65120840" w14:textId="77777777" w:rsidR="00ED610E" w:rsidRPr="00A07F29" w:rsidRDefault="00ED610E" w:rsidP="00904DDF">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2,15</w:t>
            </w:r>
          </w:p>
        </w:tc>
        <w:tc>
          <w:tcPr>
            <w:tcW w:w="2551" w:type="dxa"/>
          </w:tcPr>
          <w:p w14:paraId="7FD360E1" w14:textId="225F1FAB" w:rsidR="00ED610E" w:rsidRPr="00A07F29" w:rsidRDefault="00ED610E" w:rsidP="00904DDF">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Lai saglabātu un paplašinātu skatu</w:t>
            </w:r>
            <w:r w:rsidR="00CB5DA9">
              <w:rPr>
                <w:rFonts w:ascii="Times New Roman" w:eastAsia="Calibri" w:hAnsi="Times New Roman" w:cs="Times New Roman"/>
              </w:rPr>
              <w:t>,</w:t>
            </w:r>
            <w:r w:rsidRPr="00A07F29">
              <w:rPr>
                <w:rFonts w:ascii="Times New Roman" w:eastAsia="Calibri" w:hAnsi="Times New Roman" w:cs="Times New Roman"/>
              </w:rPr>
              <w:t xml:space="preserve"> nepieciešams attīrīt vietu no krūmājiem un mazvērtīgiem kokiem.</w:t>
            </w:r>
          </w:p>
        </w:tc>
        <w:tc>
          <w:tcPr>
            <w:tcW w:w="3693" w:type="dxa"/>
            <w:vMerge/>
          </w:tcPr>
          <w:p w14:paraId="6B388B93" w14:textId="77777777" w:rsidR="00ED610E" w:rsidRPr="00A07F29" w:rsidRDefault="00ED610E" w:rsidP="00904DDF">
            <w:pPr>
              <w:spacing w:after="0" w:line="240" w:lineRule="auto"/>
              <w:ind w:firstLine="851"/>
              <w:jc w:val="both"/>
              <w:rPr>
                <w:rFonts w:ascii="Times New Roman" w:eastAsia="Calibri" w:hAnsi="Times New Roman" w:cs="Times New Roman"/>
              </w:rPr>
            </w:pPr>
          </w:p>
        </w:tc>
      </w:tr>
      <w:tr w:rsidR="00ED610E" w:rsidRPr="00A07F29" w14:paraId="120E2973" w14:textId="77777777" w:rsidTr="63C42FA1">
        <w:trPr>
          <w:jc w:val="center"/>
        </w:trPr>
        <w:tc>
          <w:tcPr>
            <w:tcW w:w="709" w:type="dxa"/>
          </w:tcPr>
          <w:p w14:paraId="4BE345F4" w14:textId="77777777" w:rsidR="00ED610E" w:rsidRPr="00A07F29" w:rsidRDefault="00ED610E" w:rsidP="00F87589">
            <w:pPr>
              <w:numPr>
                <w:ilvl w:val="0"/>
                <w:numId w:val="42"/>
              </w:numPr>
              <w:spacing w:after="0" w:line="240" w:lineRule="auto"/>
              <w:ind w:left="0"/>
              <w:jc w:val="right"/>
              <w:rPr>
                <w:rFonts w:ascii="Times New Roman" w:eastAsia="Calibri" w:hAnsi="Times New Roman" w:cs="Times New Roman"/>
                <w:b/>
              </w:rPr>
            </w:pPr>
          </w:p>
        </w:tc>
        <w:tc>
          <w:tcPr>
            <w:tcW w:w="1843" w:type="dxa"/>
          </w:tcPr>
          <w:p w14:paraId="68FF7D93" w14:textId="77777777" w:rsidR="00ED610E" w:rsidRPr="00A07F29" w:rsidRDefault="00ED610E" w:rsidP="00904DDF">
            <w:pPr>
              <w:spacing w:after="0" w:line="240" w:lineRule="auto"/>
              <w:rPr>
                <w:rFonts w:ascii="Times New Roman" w:eastAsia="Calibri" w:hAnsi="Times New Roman" w:cs="Times New Roman"/>
                <w:highlight w:val="yellow"/>
              </w:rPr>
            </w:pPr>
            <w:r w:rsidRPr="00A07F29">
              <w:rPr>
                <w:rFonts w:ascii="Times New Roman" w:eastAsia="Calibri" w:hAnsi="Times New Roman" w:cs="Times New Roman"/>
              </w:rPr>
              <w:t xml:space="preserve">Skatu punkts uz </w:t>
            </w:r>
            <w:proofErr w:type="spellStart"/>
            <w:r w:rsidRPr="00A07F29">
              <w:rPr>
                <w:rFonts w:ascii="Times New Roman" w:eastAsia="Calibri" w:hAnsi="Times New Roman" w:cs="Times New Roman"/>
              </w:rPr>
              <w:t>Butišķu</w:t>
            </w:r>
            <w:proofErr w:type="spellEnd"/>
            <w:r w:rsidRPr="00A07F29">
              <w:rPr>
                <w:rFonts w:ascii="Times New Roman" w:eastAsia="Calibri" w:hAnsi="Times New Roman" w:cs="Times New Roman"/>
              </w:rPr>
              <w:t xml:space="preserve"> loku no atpūtas vietas</w:t>
            </w:r>
          </w:p>
        </w:tc>
        <w:tc>
          <w:tcPr>
            <w:tcW w:w="997" w:type="dxa"/>
          </w:tcPr>
          <w:p w14:paraId="2C816BBC" w14:textId="77777777" w:rsidR="00ED610E" w:rsidRPr="00A07F29" w:rsidRDefault="00ED610E" w:rsidP="00904DDF">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0,44</w:t>
            </w:r>
          </w:p>
        </w:tc>
        <w:tc>
          <w:tcPr>
            <w:tcW w:w="2551" w:type="dxa"/>
          </w:tcPr>
          <w:p w14:paraId="5FBEA348" w14:textId="3623F8BB" w:rsidR="00746711" w:rsidRPr="00A07F29" w:rsidRDefault="00ED610E" w:rsidP="00746711">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Krasta attīrīšana no krūmājiem</w:t>
            </w:r>
            <w:r w:rsidR="00746711" w:rsidRPr="00A07F29">
              <w:rPr>
                <w:rFonts w:ascii="Times New Roman" w:eastAsia="Calibri" w:hAnsi="Times New Roman" w:cs="Times New Roman"/>
              </w:rPr>
              <w:t xml:space="preserve">, kā arī </w:t>
            </w:r>
            <w:r w:rsidR="00F12E49" w:rsidRPr="00A07F29">
              <w:rPr>
                <w:rFonts w:ascii="Times New Roman" w:eastAsia="Calibri" w:hAnsi="Times New Roman" w:cs="Times New Roman"/>
              </w:rPr>
              <w:t>t</w:t>
            </w:r>
            <w:r w:rsidR="00746711" w:rsidRPr="00A07F29">
              <w:rPr>
                <w:rFonts w:ascii="Times New Roman" w:eastAsia="Calibri" w:hAnsi="Times New Roman" w:cs="Times New Roman"/>
              </w:rPr>
              <w:t>akas no Daugavas krasta līdz atpūtas viet</w:t>
            </w:r>
            <w:r w:rsidR="00421E4B">
              <w:rPr>
                <w:rFonts w:ascii="Times New Roman" w:eastAsia="Calibri" w:hAnsi="Times New Roman" w:cs="Times New Roman"/>
              </w:rPr>
              <w:t>ai</w:t>
            </w:r>
            <w:r w:rsidR="00746711" w:rsidRPr="00A07F29">
              <w:rPr>
                <w:rFonts w:ascii="Times New Roman" w:eastAsia="Calibri" w:hAnsi="Times New Roman" w:cs="Times New Roman"/>
              </w:rPr>
              <w:t xml:space="preserve"> attīrīšana no brikšņiem</w:t>
            </w:r>
            <w:r w:rsidRPr="00A07F29">
              <w:rPr>
                <w:rFonts w:ascii="Times New Roman" w:eastAsia="Calibri" w:hAnsi="Times New Roman" w:cs="Times New Roman"/>
              </w:rPr>
              <w:t>.</w:t>
            </w:r>
          </w:p>
          <w:p w14:paraId="7C0EE462" w14:textId="210B16B3" w:rsidR="00ED610E" w:rsidRPr="00A07F29" w:rsidRDefault="00ED610E" w:rsidP="00746711">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Lai saglabātu skatu, turpmāk regulāri jāpļauj un laicīgi jāattīra krasts no kokiem un krūmiem</w:t>
            </w:r>
            <w:r w:rsidR="00746711" w:rsidRPr="00A07F29">
              <w:rPr>
                <w:rFonts w:ascii="Times New Roman" w:eastAsia="Calibri" w:hAnsi="Times New Roman" w:cs="Times New Roman"/>
              </w:rPr>
              <w:t>.</w:t>
            </w:r>
          </w:p>
        </w:tc>
        <w:tc>
          <w:tcPr>
            <w:tcW w:w="3693" w:type="dxa"/>
          </w:tcPr>
          <w:p w14:paraId="625C82AE" w14:textId="77777777" w:rsidR="00ED610E" w:rsidRPr="00A07F29" w:rsidRDefault="00ED610E" w:rsidP="00904DDF">
            <w:pPr>
              <w:spacing w:after="0" w:line="240" w:lineRule="auto"/>
              <w:jc w:val="both"/>
              <w:rPr>
                <w:rFonts w:ascii="Times New Roman" w:eastAsia="Calibri" w:hAnsi="Times New Roman" w:cs="Times New Roman"/>
              </w:rPr>
            </w:pPr>
            <w:r w:rsidRPr="00A07F29">
              <w:rPr>
                <w:noProof/>
                <w:lang w:eastAsia="lv-LV"/>
              </w:rPr>
              <w:drawing>
                <wp:inline distT="0" distB="0" distL="0" distR="0" wp14:anchorId="225C76AA" wp14:editId="7728C7B2">
                  <wp:extent cx="2207895" cy="2305685"/>
                  <wp:effectExtent l="0" t="0" r="1905" b="0"/>
                  <wp:docPr id="34"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pic:nvPicPr>
                        <pic:blipFill>
                          <a:blip r:embed="rId153">
                            <a:extLst>
                              <a:ext uri="{28A0092B-C50C-407E-A947-70E740481C1C}">
                                <a14:useLocalDpi xmlns:a14="http://schemas.microsoft.com/office/drawing/2010/main"/>
                              </a:ext>
                            </a:extLst>
                          </a:blip>
                          <a:stretch>
                            <a:fillRect/>
                          </a:stretch>
                        </pic:blipFill>
                        <pic:spPr>
                          <a:xfrm>
                            <a:off x="0" y="0"/>
                            <a:ext cx="2207895" cy="2305685"/>
                          </a:xfrm>
                          <a:prstGeom prst="rect">
                            <a:avLst/>
                          </a:prstGeom>
                        </pic:spPr>
                      </pic:pic>
                    </a:graphicData>
                  </a:graphic>
                </wp:inline>
              </w:drawing>
            </w:r>
          </w:p>
        </w:tc>
      </w:tr>
      <w:tr w:rsidR="00ED610E" w:rsidRPr="00A07F29" w14:paraId="774B4D53" w14:textId="77777777" w:rsidTr="63C42FA1">
        <w:trPr>
          <w:jc w:val="center"/>
        </w:trPr>
        <w:tc>
          <w:tcPr>
            <w:tcW w:w="709" w:type="dxa"/>
          </w:tcPr>
          <w:p w14:paraId="4458EB42" w14:textId="77777777" w:rsidR="00ED610E" w:rsidRPr="00A07F29" w:rsidRDefault="00ED610E" w:rsidP="00F87589">
            <w:pPr>
              <w:numPr>
                <w:ilvl w:val="0"/>
                <w:numId w:val="42"/>
              </w:numPr>
              <w:spacing w:after="0" w:line="240" w:lineRule="auto"/>
              <w:ind w:left="0"/>
              <w:jc w:val="right"/>
              <w:rPr>
                <w:rFonts w:ascii="Times New Roman" w:eastAsia="Calibri" w:hAnsi="Times New Roman" w:cs="Times New Roman"/>
                <w:b/>
              </w:rPr>
            </w:pPr>
          </w:p>
        </w:tc>
        <w:tc>
          <w:tcPr>
            <w:tcW w:w="1843" w:type="dxa"/>
          </w:tcPr>
          <w:p w14:paraId="22460B96" w14:textId="77777777" w:rsidR="00ED610E" w:rsidRPr="00A07F29" w:rsidRDefault="00ED610E" w:rsidP="00904DDF">
            <w:pPr>
              <w:spacing w:after="0" w:line="240" w:lineRule="auto"/>
              <w:rPr>
                <w:rFonts w:ascii="Times New Roman" w:eastAsia="Calibri" w:hAnsi="Times New Roman" w:cs="Times New Roman"/>
              </w:rPr>
            </w:pPr>
            <w:r w:rsidRPr="00A07F29">
              <w:rPr>
                <w:rFonts w:ascii="Times New Roman" w:eastAsia="Calibri" w:hAnsi="Times New Roman" w:cs="Times New Roman"/>
              </w:rPr>
              <w:t xml:space="preserve">Skatu punkts Tabores pagastā </w:t>
            </w:r>
            <w:r w:rsidRPr="00A07F29">
              <w:rPr>
                <w:rFonts w:ascii="Times New Roman" w:eastAsia="Calibri" w:hAnsi="Times New Roman" w:cs="Times New Roman"/>
              </w:rPr>
              <w:lastRenderedPageBreak/>
              <w:t xml:space="preserve">uz </w:t>
            </w:r>
            <w:proofErr w:type="spellStart"/>
            <w:r w:rsidRPr="00A07F29">
              <w:rPr>
                <w:rFonts w:ascii="Times New Roman" w:eastAsia="Calibri" w:hAnsi="Times New Roman" w:cs="Times New Roman"/>
              </w:rPr>
              <w:t>Elernes</w:t>
            </w:r>
            <w:proofErr w:type="spellEnd"/>
            <w:r w:rsidRPr="00A07F29">
              <w:rPr>
                <w:rFonts w:ascii="Times New Roman" w:eastAsia="Calibri" w:hAnsi="Times New Roman" w:cs="Times New Roman"/>
              </w:rPr>
              <w:t xml:space="preserve"> baznīcu no ceļa V673 (Daugavpils-</w:t>
            </w:r>
            <w:proofErr w:type="spellStart"/>
            <w:r w:rsidRPr="00A07F29">
              <w:rPr>
                <w:rFonts w:ascii="Times New Roman" w:eastAsia="Calibri" w:hAnsi="Times New Roman" w:cs="Times New Roman"/>
              </w:rPr>
              <w:t>Elerne</w:t>
            </w:r>
            <w:proofErr w:type="spellEnd"/>
            <w:r w:rsidRPr="00A07F29">
              <w:rPr>
                <w:rFonts w:ascii="Times New Roman" w:eastAsia="Calibri" w:hAnsi="Times New Roman" w:cs="Times New Roman"/>
              </w:rPr>
              <w:t>-</w:t>
            </w:r>
            <w:proofErr w:type="spellStart"/>
            <w:r w:rsidRPr="00A07F29">
              <w:rPr>
                <w:rFonts w:ascii="Times New Roman" w:eastAsia="Calibri" w:hAnsi="Times New Roman" w:cs="Times New Roman"/>
              </w:rPr>
              <w:t>Lielborne</w:t>
            </w:r>
            <w:proofErr w:type="spellEnd"/>
            <w:r w:rsidRPr="00A07F29">
              <w:rPr>
                <w:rFonts w:ascii="Times New Roman" w:eastAsia="Calibri" w:hAnsi="Times New Roman" w:cs="Times New Roman"/>
              </w:rPr>
              <w:t>)</w:t>
            </w:r>
          </w:p>
        </w:tc>
        <w:tc>
          <w:tcPr>
            <w:tcW w:w="997" w:type="dxa"/>
          </w:tcPr>
          <w:p w14:paraId="74372D57" w14:textId="77777777" w:rsidR="00ED610E" w:rsidRPr="00A07F29" w:rsidRDefault="00ED610E" w:rsidP="00904DDF">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lastRenderedPageBreak/>
              <w:t>6,47</w:t>
            </w:r>
          </w:p>
        </w:tc>
        <w:tc>
          <w:tcPr>
            <w:tcW w:w="2551" w:type="dxa"/>
          </w:tcPr>
          <w:p w14:paraId="03D3571F" w14:textId="06288BED" w:rsidR="00ED610E" w:rsidRPr="00A07F29" w:rsidRDefault="39E8FF0D" w:rsidP="39E8FF0D">
            <w:pPr>
              <w:spacing w:after="0" w:line="240" w:lineRule="auto"/>
              <w:jc w:val="both"/>
              <w:rPr>
                <w:rFonts w:ascii="Times New Roman" w:eastAsia="Times New Roman" w:hAnsi="Times New Roman" w:cs="Times New Roman"/>
                <w:sz w:val="20"/>
                <w:szCs w:val="20"/>
              </w:rPr>
            </w:pPr>
            <w:r w:rsidRPr="00A07F29">
              <w:rPr>
                <w:rFonts w:ascii="Times New Roman" w:eastAsia="Calibri" w:hAnsi="Times New Roman" w:cs="Times New Roman"/>
              </w:rPr>
              <w:t xml:space="preserve">Nepieciešams ceļmalu attīrīt no krūmājiem un </w:t>
            </w:r>
            <w:r w:rsidRPr="00A07F29">
              <w:rPr>
                <w:rFonts w:ascii="Times New Roman" w:eastAsia="Calibri" w:hAnsi="Times New Roman" w:cs="Times New Roman"/>
              </w:rPr>
              <w:lastRenderedPageBreak/>
              <w:t xml:space="preserve">kokiem, kas aizsedz skatu uz </w:t>
            </w:r>
            <w:proofErr w:type="spellStart"/>
            <w:r w:rsidRPr="00A07F29">
              <w:rPr>
                <w:rFonts w:ascii="Times New Roman" w:eastAsia="Calibri" w:hAnsi="Times New Roman" w:cs="Times New Roman"/>
              </w:rPr>
              <w:t>Elernes</w:t>
            </w:r>
            <w:proofErr w:type="spellEnd"/>
            <w:r w:rsidRPr="00A07F29">
              <w:rPr>
                <w:rFonts w:ascii="Times New Roman" w:eastAsia="Calibri" w:hAnsi="Times New Roman" w:cs="Times New Roman"/>
              </w:rPr>
              <w:t xml:space="preserve"> baznīcu. Jāapsaimnieko lauksaimniecības zeme, nav pieļaujama apmežošana. Nav pieļaujama derīgo izrakteņu ieguve un krātuves izveide. </w:t>
            </w:r>
            <w:r w:rsidRPr="00A07F29">
              <w:rPr>
                <w:rFonts w:ascii="Times New Roman" w:eastAsia="Times New Roman" w:hAnsi="Times New Roman" w:cs="Times New Roman"/>
              </w:rPr>
              <w:t xml:space="preserve">Nav pieļaujama plantāciju mežu ierīkošana. </w:t>
            </w:r>
          </w:p>
        </w:tc>
        <w:tc>
          <w:tcPr>
            <w:tcW w:w="3693" w:type="dxa"/>
            <w:vMerge w:val="restart"/>
          </w:tcPr>
          <w:p w14:paraId="5DC2051F" w14:textId="77777777" w:rsidR="00ED610E" w:rsidRPr="00A07F29" w:rsidRDefault="00ED610E" w:rsidP="00904DDF">
            <w:pPr>
              <w:spacing w:after="0" w:line="240" w:lineRule="auto"/>
              <w:jc w:val="both"/>
              <w:rPr>
                <w:rFonts w:ascii="Times New Roman" w:eastAsia="Calibri" w:hAnsi="Times New Roman" w:cs="Times New Roman"/>
              </w:rPr>
            </w:pPr>
            <w:r w:rsidRPr="00A07F29">
              <w:rPr>
                <w:noProof/>
                <w:lang w:eastAsia="lv-LV"/>
              </w:rPr>
              <w:lastRenderedPageBreak/>
              <w:drawing>
                <wp:inline distT="0" distB="0" distL="0" distR="0" wp14:anchorId="6D8C099C" wp14:editId="488C9B07">
                  <wp:extent cx="2207895" cy="1745615"/>
                  <wp:effectExtent l="0" t="0" r="1905" b="6985"/>
                  <wp:docPr id="35"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pic:nvPicPr>
                        <pic:blipFill>
                          <a:blip r:embed="rId154">
                            <a:extLst>
                              <a:ext uri="{28A0092B-C50C-407E-A947-70E740481C1C}">
                                <a14:useLocalDpi xmlns:a14="http://schemas.microsoft.com/office/drawing/2010/main"/>
                              </a:ext>
                            </a:extLst>
                          </a:blip>
                          <a:stretch>
                            <a:fillRect/>
                          </a:stretch>
                        </pic:blipFill>
                        <pic:spPr>
                          <a:xfrm>
                            <a:off x="0" y="0"/>
                            <a:ext cx="2207895" cy="1745615"/>
                          </a:xfrm>
                          <a:prstGeom prst="rect">
                            <a:avLst/>
                          </a:prstGeom>
                        </pic:spPr>
                      </pic:pic>
                    </a:graphicData>
                  </a:graphic>
                </wp:inline>
              </w:drawing>
            </w:r>
          </w:p>
        </w:tc>
      </w:tr>
      <w:tr w:rsidR="00ED610E" w:rsidRPr="00A07F29" w14:paraId="15660C71" w14:textId="77777777" w:rsidTr="63C42FA1">
        <w:trPr>
          <w:jc w:val="center"/>
        </w:trPr>
        <w:tc>
          <w:tcPr>
            <w:tcW w:w="709" w:type="dxa"/>
          </w:tcPr>
          <w:p w14:paraId="1EE26BE8" w14:textId="77777777" w:rsidR="00ED610E" w:rsidRPr="00A07F29" w:rsidRDefault="00ED610E" w:rsidP="00F87589">
            <w:pPr>
              <w:numPr>
                <w:ilvl w:val="0"/>
                <w:numId w:val="42"/>
              </w:numPr>
              <w:spacing w:after="0" w:line="240" w:lineRule="auto"/>
              <w:ind w:left="0"/>
              <w:jc w:val="right"/>
              <w:rPr>
                <w:rFonts w:ascii="Times New Roman" w:eastAsia="Calibri" w:hAnsi="Times New Roman" w:cs="Times New Roman"/>
                <w:b/>
              </w:rPr>
            </w:pPr>
          </w:p>
        </w:tc>
        <w:tc>
          <w:tcPr>
            <w:tcW w:w="1843" w:type="dxa"/>
          </w:tcPr>
          <w:p w14:paraId="6F525568" w14:textId="77777777" w:rsidR="00ED610E" w:rsidRPr="00A07F29" w:rsidRDefault="00ED610E" w:rsidP="00904DDF">
            <w:pPr>
              <w:spacing w:after="0" w:line="240" w:lineRule="auto"/>
              <w:rPr>
                <w:rFonts w:ascii="Times New Roman" w:eastAsia="Calibri" w:hAnsi="Times New Roman" w:cs="Times New Roman"/>
              </w:rPr>
            </w:pPr>
            <w:r w:rsidRPr="00A07F29">
              <w:rPr>
                <w:rFonts w:ascii="Times New Roman" w:eastAsia="Calibri" w:hAnsi="Times New Roman" w:cs="Times New Roman"/>
              </w:rPr>
              <w:t xml:space="preserve">Skatu punkts Tabores pagastā uz </w:t>
            </w:r>
            <w:proofErr w:type="spellStart"/>
            <w:r w:rsidRPr="00A07F29">
              <w:rPr>
                <w:rFonts w:ascii="Times New Roman" w:eastAsia="Calibri" w:hAnsi="Times New Roman" w:cs="Times New Roman"/>
              </w:rPr>
              <w:t>Elernes</w:t>
            </w:r>
            <w:proofErr w:type="spellEnd"/>
            <w:r w:rsidRPr="00A07F29">
              <w:rPr>
                <w:rFonts w:ascii="Times New Roman" w:eastAsia="Calibri" w:hAnsi="Times New Roman" w:cs="Times New Roman"/>
              </w:rPr>
              <w:t xml:space="preserve"> baznīcu no ceļa V705 (Skrudaliena-Ērgļi- Jaunsudrabi)</w:t>
            </w:r>
          </w:p>
        </w:tc>
        <w:tc>
          <w:tcPr>
            <w:tcW w:w="997" w:type="dxa"/>
          </w:tcPr>
          <w:p w14:paraId="44A3647A" w14:textId="77777777" w:rsidR="00ED610E" w:rsidRPr="00A07F29" w:rsidRDefault="00ED610E" w:rsidP="00904DDF">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20,74</w:t>
            </w:r>
          </w:p>
        </w:tc>
        <w:tc>
          <w:tcPr>
            <w:tcW w:w="2551" w:type="dxa"/>
          </w:tcPr>
          <w:p w14:paraId="4B527329" w14:textId="5095CF2A" w:rsidR="00ED610E" w:rsidRPr="00A07F29" w:rsidRDefault="39E8FF0D" w:rsidP="39E8FF0D">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Jāapsaimn</w:t>
            </w:r>
            <w:r w:rsidR="00857B8B">
              <w:rPr>
                <w:rFonts w:ascii="Times New Roman" w:eastAsia="Calibri" w:hAnsi="Times New Roman" w:cs="Times New Roman"/>
              </w:rPr>
              <w:t>i</w:t>
            </w:r>
            <w:r w:rsidRPr="00A07F29">
              <w:rPr>
                <w:rFonts w:ascii="Times New Roman" w:eastAsia="Calibri" w:hAnsi="Times New Roman" w:cs="Times New Roman"/>
              </w:rPr>
              <w:t xml:space="preserve">eko lauksaimniecības zeme, nav pieļaujama apmežošana. Nav pieļaujama derīgo izrakteņu ieguve un krātuves izveide. </w:t>
            </w:r>
            <w:r w:rsidRPr="00A07F29">
              <w:rPr>
                <w:rFonts w:ascii="Times New Roman" w:eastAsia="Times New Roman" w:hAnsi="Times New Roman" w:cs="Times New Roman"/>
              </w:rPr>
              <w:t>Nav pieļaujama plantāciju mežu ierīkošana.</w:t>
            </w:r>
            <w:r w:rsidRPr="00A07F29">
              <w:rPr>
                <w:rFonts w:ascii="Times New Roman" w:eastAsia="Calibri" w:hAnsi="Times New Roman" w:cs="Times New Roman"/>
              </w:rPr>
              <w:t xml:space="preserve"> Regulāra ceļmalu kopšana.</w:t>
            </w:r>
          </w:p>
        </w:tc>
        <w:tc>
          <w:tcPr>
            <w:tcW w:w="3693" w:type="dxa"/>
            <w:vMerge/>
          </w:tcPr>
          <w:p w14:paraId="3518D9BE" w14:textId="77777777" w:rsidR="00ED610E" w:rsidRPr="00A07F29" w:rsidRDefault="00ED610E" w:rsidP="00904DDF">
            <w:pPr>
              <w:spacing w:after="0" w:line="240" w:lineRule="auto"/>
              <w:ind w:firstLine="851"/>
              <w:jc w:val="both"/>
              <w:rPr>
                <w:rFonts w:ascii="Times New Roman" w:eastAsia="Calibri" w:hAnsi="Times New Roman" w:cs="Times New Roman"/>
              </w:rPr>
            </w:pPr>
          </w:p>
        </w:tc>
      </w:tr>
      <w:tr w:rsidR="00ED610E" w:rsidRPr="00A07F29" w14:paraId="79E39813" w14:textId="77777777" w:rsidTr="63C42FA1">
        <w:trPr>
          <w:jc w:val="center"/>
        </w:trPr>
        <w:tc>
          <w:tcPr>
            <w:tcW w:w="709" w:type="dxa"/>
          </w:tcPr>
          <w:p w14:paraId="06F80A4B" w14:textId="77777777" w:rsidR="00ED610E" w:rsidRPr="00A07F29" w:rsidRDefault="00ED610E" w:rsidP="00F87589">
            <w:pPr>
              <w:numPr>
                <w:ilvl w:val="0"/>
                <w:numId w:val="42"/>
              </w:numPr>
              <w:spacing w:after="0" w:line="240" w:lineRule="auto"/>
              <w:ind w:left="0"/>
              <w:jc w:val="right"/>
              <w:rPr>
                <w:rFonts w:ascii="Times New Roman" w:eastAsia="Calibri" w:hAnsi="Times New Roman" w:cs="Times New Roman"/>
                <w:b/>
              </w:rPr>
            </w:pPr>
          </w:p>
        </w:tc>
        <w:tc>
          <w:tcPr>
            <w:tcW w:w="1843" w:type="dxa"/>
          </w:tcPr>
          <w:p w14:paraId="74AF9E68" w14:textId="77777777" w:rsidR="00ED610E" w:rsidRPr="00A07F29" w:rsidRDefault="00ED610E" w:rsidP="00904DDF">
            <w:pPr>
              <w:spacing w:after="0" w:line="240" w:lineRule="auto"/>
              <w:rPr>
                <w:rFonts w:ascii="Times New Roman" w:eastAsia="Calibri" w:hAnsi="Times New Roman" w:cs="Times New Roman"/>
              </w:rPr>
            </w:pPr>
            <w:r w:rsidRPr="00A07F29">
              <w:rPr>
                <w:rFonts w:ascii="Times New Roman" w:eastAsia="Calibri" w:hAnsi="Times New Roman" w:cs="Times New Roman"/>
              </w:rPr>
              <w:t>Skatu punkts no ceļa V705 (Skrudaliena-Ērgļi- Jaunsudrabi)</w:t>
            </w:r>
          </w:p>
        </w:tc>
        <w:tc>
          <w:tcPr>
            <w:tcW w:w="997" w:type="dxa"/>
          </w:tcPr>
          <w:p w14:paraId="105D00B5" w14:textId="77777777" w:rsidR="00ED610E" w:rsidRPr="00A07F29" w:rsidRDefault="00ED610E" w:rsidP="00904DDF">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 xml:space="preserve">155,94 </w:t>
            </w:r>
          </w:p>
        </w:tc>
        <w:tc>
          <w:tcPr>
            <w:tcW w:w="2551" w:type="dxa"/>
          </w:tcPr>
          <w:p w14:paraId="5AF0DC38" w14:textId="65E15C8F" w:rsidR="00ED610E" w:rsidRPr="00A07F29" w:rsidRDefault="39E8FF0D" w:rsidP="39E8FF0D">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 xml:space="preserve">Tālās panorāmas skats. Skatu saglabāšanai, nav pieļaujama lauksaimniecības zemju aizaugšana un apmežošana. </w:t>
            </w:r>
            <w:r w:rsidRPr="00A07F29">
              <w:rPr>
                <w:rFonts w:ascii="Times New Roman" w:eastAsia="Times New Roman" w:hAnsi="Times New Roman" w:cs="Times New Roman"/>
              </w:rPr>
              <w:t>Nav pieļaujama plantāciju mežu ierīkošana.</w:t>
            </w:r>
            <w:r w:rsidRPr="00A07F29">
              <w:rPr>
                <w:rFonts w:ascii="Times New Roman" w:eastAsia="Calibri" w:hAnsi="Times New Roman" w:cs="Times New Roman"/>
              </w:rPr>
              <w:t xml:space="preserve"> Plānojot jaunu būvniecību, nav pieļaujam</w:t>
            </w:r>
            <w:r w:rsidR="0061038F">
              <w:rPr>
                <w:rFonts w:ascii="Times New Roman" w:eastAsia="Calibri" w:hAnsi="Times New Roman" w:cs="Times New Roman"/>
              </w:rPr>
              <w:t>a</w:t>
            </w:r>
            <w:r w:rsidRPr="00A07F29">
              <w:rPr>
                <w:rFonts w:ascii="Times New Roman" w:eastAsia="Calibri" w:hAnsi="Times New Roman" w:cs="Times New Roman"/>
              </w:rPr>
              <w:t xml:space="preserve"> tādu vertikālo objektu būvniecība, kas vizuāli dominētu ainavā. Nav pieļaujams jumtu klājumā izmantot spilgtas krāsas.</w:t>
            </w:r>
            <w:r w:rsidR="00D65BBA" w:rsidRPr="00A07F29">
              <w:rPr>
                <w:rFonts w:ascii="Times New Roman" w:eastAsia="Calibri" w:hAnsi="Times New Roman" w:cs="Times New Roman"/>
              </w:rPr>
              <w:t xml:space="preserve"> </w:t>
            </w:r>
            <w:r w:rsidRPr="00A07F29">
              <w:rPr>
                <w:rFonts w:ascii="Times New Roman" w:eastAsia="Calibri" w:hAnsi="Times New Roman" w:cs="Times New Roman"/>
              </w:rPr>
              <w:t xml:space="preserve">Regulāra ceļmalu kopšana. </w:t>
            </w:r>
          </w:p>
        </w:tc>
        <w:tc>
          <w:tcPr>
            <w:tcW w:w="3693" w:type="dxa"/>
          </w:tcPr>
          <w:p w14:paraId="653D4096" w14:textId="77777777" w:rsidR="00ED610E" w:rsidRPr="00A07F29" w:rsidRDefault="00ED610E" w:rsidP="00904DDF">
            <w:pPr>
              <w:spacing w:after="0" w:line="240" w:lineRule="auto"/>
              <w:jc w:val="both"/>
              <w:rPr>
                <w:rFonts w:ascii="Times New Roman" w:eastAsia="Calibri" w:hAnsi="Times New Roman" w:cs="Times New Roman"/>
              </w:rPr>
            </w:pPr>
            <w:r w:rsidRPr="00A07F29">
              <w:rPr>
                <w:noProof/>
                <w:lang w:eastAsia="lv-LV"/>
              </w:rPr>
              <w:drawing>
                <wp:inline distT="0" distB="0" distL="0" distR="0" wp14:anchorId="76A29DB5" wp14:editId="63EEC973">
                  <wp:extent cx="2207895" cy="2807335"/>
                  <wp:effectExtent l="0" t="0" r="1905"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pic:nvPicPr>
                        <pic:blipFill>
                          <a:blip r:embed="rId155">
                            <a:extLst>
                              <a:ext uri="{28A0092B-C50C-407E-A947-70E740481C1C}">
                                <a14:useLocalDpi xmlns:a14="http://schemas.microsoft.com/office/drawing/2010/main"/>
                              </a:ext>
                            </a:extLst>
                          </a:blip>
                          <a:stretch>
                            <a:fillRect/>
                          </a:stretch>
                        </pic:blipFill>
                        <pic:spPr>
                          <a:xfrm>
                            <a:off x="0" y="0"/>
                            <a:ext cx="2207895" cy="2807335"/>
                          </a:xfrm>
                          <a:prstGeom prst="rect">
                            <a:avLst/>
                          </a:prstGeom>
                        </pic:spPr>
                      </pic:pic>
                    </a:graphicData>
                  </a:graphic>
                </wp:inline>
              </w:drawing>
            </w:r>
          </w:p>
        </w:tc>
      </w:tr>
      <w:tr w:rsidR="00ED610E" w:rsidRPr="00A07F29" w14:paraId="2E54F00D" w14:textId="77777777" w:rsidTr="63C42FA1">
        <w:trPr>
          <w:jc w:val="center"/>
        </w:trPr>
        <w:tc>
          <w:tcPr>
            <w:tcW w:w="709" w:type="dxa"/>
          </w:tcPr>
          <w:p w14:paraId="2B4E0C16" w14:textId="77777777" w:rsidR="00ED610E" w:rsidRPr="00A07F29" w:rsidRDefault="00ED610E" w:rsidP="00F87589">
            <w:pPr>
              <w:numPr>
                <w:ilvl w:val="0"/>
                <w:numId w:val="42"/>
              </w:numPr>
              <w:spacing w:after="0" w:line="240" w:lineRule="auto"/>
              <w:ind w:left="0"/>
              <w:jc w:val="right"/>
              <w:rPr>
                <w:rFonts w:ascii="Times New Roman" w:eastAsia="Calibri" w:hAnsi="Times New Roman" w:cs="Times New Roman"/>
                <w:b/>
              </w:rPr>
            </w:pPr>
          </w:p>
        </w:tc>
        <w:tc>
          <w:tcPr>
            <w:tcW w:w="1843" w:type="dxa"/>
          </w:tcPr>
          <w:p w14:paraId="6C327325" w14:textId="77777777" w:rsidR="00ED610E" w:rsidRPr="00A07F29" w:rsidRDefault="00ED610E" w:rsidP="00904DDF">
            <w:pPr>
              <w:spacing w:after="0" w:line="240" w:lineRule="auto"/>
              <w:rPr>
                <w:rFonts w:ascii="Times New Roman" w:eastAsia="Calibri" w:hAnsi="Times New Roman" w:cs="Times New Roman"/>
              </w:rPr>
            </w:pPr>
            <w:r w:rsidRPr="00A07F29">
              <w:rPr>
                <w:rFonts w:ascii="Times New Roman" w:eastAsia="Calibri" w:hAnsi="Times New Roman" w:cs="Times New Roman"/>
              </w:rPr>
              <w:t xml:space="preserve">Skatu punkts no pašvaldības ceļa pie </w:t>
            </w:r>
            <w:proofErr w:type="spellStart"/>
            <w:r w:rsidRPr="00A07F29">
              <w:rPr>
                <w:rFonts w:ascii="Times New Roman" w:eastAsia="Calibri" w:hAnsi="Times New Roman" w:cs="Times New Roman"/>
              </w:rPr>
              <w:t>Budiškiem</w:t>
            </w:r>
            <w:proofErr w:type="spellEnd"/>
          </w:p>
        </w:tc>
        <w:tc>
          <w:tcPr>
            <w:tcW w:w="997" w:type="dxa"/>
          </w:tcPr>
          <w:p w14:paraId="66783366" w14:textId="77777777" w:rsidR="00ED610E" w:rsidRPr="00A07F29" w:rsidRDefault="00ED610E" w:rsidP="00904DDF">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 xml:space="preserve">38,94 </w:t>
            </w:r>
          </w:p>
        </w:tc>
        <w:tc>
          <w:tcPr>
            <w:tcW w:w="2551" w:type="dxa"/>
          </w:tcPr>
          <w:p w14:paraId="2C58ABB2" w14:textId="2EFAFDBE" w:rsidR="00ED610E" w:rsidRPr="00A07F29" w:rsidRDefault="39E8FF0D" w:rsidP="39E8FF0D">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 xml:space="preserve">Tālās panorāmas skats. Skatu saglabāšanai, nav pieļaujama lauksaimniecības zemju aizaugšana un apmežošana. </w:t>
            </w:r>
            <w:r w:rsidRPr="00A07F29">
              <w:rPr>
                <w:rFonts w:ascii="Times New Roman" w:eastAsia="Times New Roman" w:hAnsi="Times New Roman" w:cs="Times New Roman"/>
              </w:rPr>
              <w:t>Nav pieļaujama plantāciju mežu ierīkošana.</w:t>
            </w:r>
            <w:r w:rsidRPr="00A07F29">
              <w:rPr>
                <w:rFonts w:ascii="Times New Roman" w:eastAsia="Calibri" w:hAnsi="Times New Roman" w:cs="Times New Roman"/>
              </w:rPr>
              <w:t xml:space="preserve"> Plānojot jaunu būvniecību, nav pieļaujam</w:t>
            </w:r>
            <w:r w:rsidR="002A7EA8">
              <w:rPr>
                <w:rFonts w:ascii="Times New Roman" w:eastAsia="Calibri" w:hAnsi="Times New Roman" w:cs="Times New Roman"/>
              </w:rPr>
              <w:t>a</w:t>
            </w:r>
            <w:r w:rsidRPr="00A07F29">
              <w:rPr>
                <w:rFonts w:ascii="Times New Roman" w:eastAsia="Calibri" w:hAnsi="Times New Roman" w:cs="Times New Roman"/>
              </w:rPr>
              <w:t xml:space="preserve"> tādu vertikālo objektu būvniecība, kas vizuāli dominētu ainavā. Nav pieļaujams jumtu klājumā izmantot spilgtas </w:t>
            </w:r>
            <w:r w:rsidRPr="00A07F29">
              <w:rPr>
                <w:rFonts w:ascii="Times New Roman" w:eastAsia="Calibri" w:hAnsi="Times New Roman" w:cs="Times New Roman"/>
              </w:rPr>
              <w:lastRenderedPageBreak/>
              <w:t>krāsas.</w:t>
            </w:r>
            <w:r w:rsidR="00D65BBA" w:rsidRPr="00A07F29">
              <w:rPr>
                <w:rFonts w:ascii="Times New Roman" w:eastAsia="Calibri" w:hAnsi="Times New Roman" w:cs="Times New Roman"/>
              </w:rPr>
              <w:t xml:space="preserve"> </w:t>
            </w:r>
            <w:r w:rsidRPr="00A07F29">
              <w:rPr>
                <w:rFonts w:ascii="Times New Roman" w:eastAsia="Calibri" w:hAnsi="Times New Roman" w:cs="Times New Roman"/>
              </w:rPr>
              <w:t>Regulāra ceļmalu kopšana.</w:t>
            </w:r>
          </w:p>
        </w:tc>
        <w:tc>
          <w:tcPr>
            <w:tcW w:w="3693" w:type="dxa"/>
          </w:tcPr>
          <w:p w14:paraId="60BF84C2" w14:textId="77777777" w:rsidR="00ED610E" w:rsidRPr="00A07F29" w:rsidRDefault="00ED610E" w:rsidP="00904DDF">
            <w:pPr>
              <w:spacing w:after="0" w:line="240" w:lineRule="auto"/>
              <w:jc w:val="both"/>
              <w:rPr>
                <w:rFonts w:ascii="Times New Roman" w:eastAsia="Calibri" w:hAnsi="Times New Roman" w:cs="Times New Roman"/>
              </w:rPr>
            </w:pPr>
            <w:r w:rsidRPr="00A07F29">
              <w:rPr>
                <w:noProof/>
                <w:lang w:eastAsia="lv-LV"/>
              </w:rPr>
              <w:lastRenderedPageBreak/>
              <w:drawing>
                <wp:inline distT="0" distB="0" distL="0" distR="0" wp14:anchorId="4300BBD2" wp14:editId="7DEF46B9">
                  <wp:extent cx="2207895" cy="1986280"/>
                  <wp:effectExtent l="0" t="0" r="1905"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pic:nvPicPr>
                        <pic:blipFill>
                          <a:blip r:embed="rId156">
                            <a:extLst>
                              <a:ext uri="{28A0092B-C50C-407E-A947-70E740481C1C}">
                                <a14:useLocalDpi xmlns:a14="http://schemas.microsoft.com/office/drawing/2010/main"/>
                              </a:ext>
                            </a:extLst>
                          </a:blip>
                          <a:stretch>
                            <a:fillRect/>
                          </a:stretch>
                        </pic:blipFill>
                        <pic:spPr>
                          <a:xfrm>
                            <a:off x="0" y="0"/>
                            <a:ext cx="2207895" cy="1986280"/>
                          </a:xfrm>
                          <a:prstGeom prst="rect">
                            <a:avLst/>
                          </a:prstGeom>
                        </pic:spPr>
                      </pic:pic>
                    </a:graphicData>
                  </a:graphic>
                </wp:inline>
              </w:drawing>
            </w:r>
          </w:p>
        </w:tc>
      </w:tr>
      <w:tr w:rsidR="00ED610E" w:rsidRPr="00A07F29" w14:paraId="357C4077" w14:textId="77777777" w:rsidTr="63C42FA1">
        <w:trPr>
          <w:jc w:val="center"/>
        </w:trPr>
        <w:tc>
          <w:tcPr>
            <w:tcW w:w="709" w:type="dxa"/>
          </w:tcPr>
          <w:p w14:paraId="0B89F9F1" w14:textId="77777777" w:rsidR="00ED610E" w:rsidRPr="00A07F29" w:rsidRDefault="00ED610E" w:rsidP="00F87589">
            <w:pPr>
              <w:numPr>
                <w:ilvl w:val="0"/>
                <w:numId w:val="42"/>
              </w:numPr>
              <w:spacing w:after="0" w:line="240" w:lineRule="auto"/>
              <w:ind w:left="0"/>
              <w:jc w:val="right"/>
              <w:rPr>
                <w:rFonts w:ascii="Times New Roman" w:eastAsia="Calibri" w:hAnsi="Times New Roman" w:cs="Times New Roman"/>
                <w:b/>
              </w:rPr>
            </w:pPr>
          </w:p>
        </w:tc>
        <w:tc>
          <w:tcPr>
            <w:tcW w:w="1843" w:type="dxa"/>
          </w:tcPr>
          <w:p w14:paraId="47465683" w14:textId="77777777" w:rsidR="00ED610E" w:rsidRPr="00A07F29" w:rsidRDefault="00ED610E" w:rsidP="00904DDF">
            <w:pPr>
              <w:spacing w:after="0" w:line="240" w:lineRule="auto"/>
              <w:rPr>
                <w:rFonts w:ascii="Times New Roman" w:eastAsia="Calibri" w:hAnsi="Times New Roman" w:cs="Times New Roman"/>
              </w:rPr>
            </w:pPr>
            <w:r w:rsidRPr="00A07F29">
              <w:rPr>
                <w:rFonts w:ascii="Times New Roman" w:eastAsia="Calibri" w:hAnsi="Times New Roman" w:cs="Times New Roman"/>
              </w:rPr>
              <w:t>Skatu punkts no ceļa V673 (Daugavpils-</w:t>
            </w:r>
            <w:proofErr w:type="spellStart"/>
            <w:r w:rsidRPr="00A07F29">
              <w:rPr>
                <w:rFonts w:ascii="Times New Roman" w:eastAsia="Calibri" w:hAnsi="Times New Roman" w:cs="Times New Roman"/>
              </w:rPr>
              <w:t>Elerne</w:t>
            </w:r>
            <w:proofErr w:type="spellEnd"/>
            <w:r w:rsidRPr="00A07F29">
              <w:rPr>
                <w:rFonts w:ascii="Times New Roman" w:eastAsia="Calibri" w:hAnsi="Times New Roman" w:cs="Times New Roman"/>
              </w:rPr>
              <w:t>-</w:t>
            </w:r>
            <w:proofErr w:type="spellStart"/>
            <w:r w:rsidRPr="00A07F29">
              <w:rPr>
                <w:rFonts w:ascii="Times New Roman" w:eastAsia="Calibri" w:hAnsi="Times New Roman" w:cs="Times New Roman"/>
              </w:rPr>
              <w:t>Lielborne</w:t>
            </w:r>
            <w:proofErr w:type="spellEnd"/>
            <w:r w:rsidRPr="00A07F29">
              <w:rPr>
                <w:rFonts w:ascii="Times New Roman" w:eastAsia="Calibri" w:hAnsi="Times New Roman" w:cs="Times New Roman"/>
              </w:rPr>
              <w:t>)</w:t>
            </w:r>
          </w:p>
        </w:tc>
        <w:tc>
          <w:tcPr>
            <w:tcW w:w="997" w:type="dxa"/>
          </w:tcPr>
          <w:p w14:paraId="7071AFC3" w14:textId="77777777" w:rsidR="00ED610E" w:rsidRPr="00A07F29" w:rsidRDefault="00ED610E" w:rsidP="00904DDF">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4,55</w:t>
            </w:r>
          </w:p>
        </w:tc>
        <w:tc>
          <w:tcPr>
            <w:tcW w:w="2551" w:type="dxa"/>
          </w:tcPr>
          <w:p w14:paraId="5470B351" w14:textId="04826AD1" w:rsidR="00ED610E" w:rsidRPr="00A07F29" w:rsidRDefault="00ED610E" w:rsidP="00904DDF">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Krasta attīrīšana no krūmājiem. Lai saglabātu skatu, turpmāk regulāri jāpļauj un laicīgi jāattīra krasts no kokiem un krūmiem. Regulāra ceļmalu kopšana.</w:t>
            </w:r>
          </w:p>
        </w:tc>
        <w:tc>
          <w:tcPr>
            <w:tcW w:w="3693" w:type="dxa"/>
          </w:tcPr>
          <w:p w14:paraId="029BFE6D" w14:textId="77777777" w:rsidR="00ED610E" w:rsidRPr="00A07F29" w:rsidRDefault="00ED610E" w:rsidP="00904DDF">
            <w:pPr>
              <w:spacing w:after="0" w:line="240" w:lineRule="auto"/>
              <w:jc w:val="both"/>
              <w:rPr>
                <w:rFonts w:ascii="Times New Roman" w:eastAsia="Calibri" w:hAnsi="Times New Roman" w:cs="Times New Roman"/>
              </w:rPr>
            </w:pPr>
            <w:r w:rsidRPr="00A07F29">
              <w:rPr>
                <w:noProof/>
                <w:lang w:eastAsia="lv-LV"/>
              </w:rPr>
              <w:drawing>
                <wp:inline distT="0" distB="0" distL="0" distR="0" wp14:anchorId="35FFA2EF" wp14:editId="0A1FAB90">
                  <wp:extent cx="2207895" cy="1753870"/>
                  <wp:effectExtent l="0" t="0" r="1905"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pic:nvPicPr>
                        <pic:blipFill>
                          <a:blip r:embed="rId157">
                            <a:extLst>
                              <a:ext uri="{28A0092B-C50C-407E-A947-70E740481C1C}">
                                <a14:useLocalDpi xmlns:a14="http://schemas.microsoft.com/office/drawing/2010/main"/>
                              </a:ext>
                            </a:extLst>
                          </a:blip>
                          <a:stretch>
                            <a:fillRect/>
                          </a:stretch>
                        </pic:blipFill>
                        <pic:spPr>
                          <a:xfrm>
                            <a:off x="0" y="0"/>
                            <a:ext cx="2207895" cy="1753870"/>
                          </a:xfrm>
                          <a:prstGeom prst="rect">
                            <a:avLst/>
                          </a:prstGeom>
                        </pic:spPr>
                      </pic:pic>
                    </a:graphicData>
                  </a:graphic>
                </wp:inline>
              </w:drawing>
            </w:r>
          </w:p>
        </w:tc>
      </w:tr>
      <w:tr w:rsidR="00ED610E" w:rsidRPr="00A07F29" w14:paraId="41BBD35B" w14:textId="77777777" w:rsidTr="63C42FA1">
        <w:trPr>
          <w:jc w:val="center"/>
        </w:trPr>
        <w:tc>
          <w:tcPr>
            <w:tcW w:w="709" w:type="dxa"/>
          </w:tcPr>
          <w:p w14:paraId="7AC1D6CB" w14:textId="77777777" w:rsidR="00ED610E" w:rsidRPr="00A07F29" w:rsidRDefault="00ED610E" w:rsidP="00F87589">
            <w:pPr>
              <w:numPr>
                <w:ilvl w:val="0"/>
                <w:numId w:val="42"/>
              </w:numPr>
              <w:spacing w:after="0" w:line="240" w:lineRule="auto"/>
              <w:ind w:left="0"/>
              <w:jc w:val="right"/>
              <w:rPr>
                <w:rFonts w:ascii="Times New Roman" w:eastAsia="Calibri" w:hAnsi="Times New Roman" w:cs="Times New Roman"/>
                <w:b/>
              </w:rPr>
            </w:pPr>
          </w:p>
        </w:tc>
        <w:tc>
          <w:tcPr>
            <w:tcW w:w="1843" w:type="dxa"/>
          </w:tcPr>
          <w:p w14:paraId="795A181D" w14:textId="77777777" w:rsidR="00ED610E" w:rsidRPr="00A07F29" w:rsidRDefault="00ED610E" w:rsidP="00904DDF">
            <w:pPr>
              <w:spacing w:after="0" w:line="240" w:lineRule="auto"/>
              <w:rPr>
                <w:rFonts w:ascii="Times New Roman" w:eastAsia="Calibri" w:hAnsi="Times New Roman" w:cs="Times New Roman"/>
              </w:rPr>
            </w:pPr>
            <w:r w:rsidRPr="00A07F29">
              <w:rPr>
                <w:rFonts w:ascii="Times New Roman" w:eastAsia="Calibri" w:hAnsi="Times New Roman" w:cs="Times New Roman"/>
              </w:rPr>
              <w:t>Skatu punkts no ceļa V673 (Daugavpils-</w:t>
            </w:r>
            <w:proofErr w:type="spellStart"/>
            <w:r w:rsidRPr="00A07F29">
              <w:rPr>
                <w:rFonts w:ascii="Times New Roman" w:eastAsia="Calibri" w:hAnsi="Times New Roman" w:cs="Times New Roman"/>
              </w:rPr>
              <w:t>Elerne</w:t>
            </w:r>
            <w:proofErr w:type="spellEnd"/>
            <w:r w:rsidRPr="00A07F29">
              <w:rPr>
                <w:rFonts w:ascii="Times New Roman" w:eastAsia="Calibri" w:hAnsi="Times New Roman" w:cs="Times New Roman"/>
              </w:rPr>
              <w:t>-</w:t>
            </w:r>
            <w:proofErr w:type="spellStart"/>
            <w:r w:rsidRPr="00A07F29">
              <w:rPr>
                <w:rFonts w:ascii="Times New Roman" w:eastAsia="Calibri" w:hAnsi="Times New Roman" w:cs="Times New Roman"/>
              </w:rPr>
              <w:t>Lielborne</w:t>
            </w:r>
            <w:proofErr w:type="spellEnd"/>
            <w:r w:rsidRPr="00A07F29">
              <w:rPr>
                <w:rFonts w:ascii="Times New Roman" w:eastAsia="Calibri" w:hAnsi="Times New Roman" w:cs="Times New Roman"/>
              </w:rPr>
              <w:t>)</w:t>
            </w:r>
          </w:p>
        </w:tc>
        <w:tc>
          <w:tcPr>
            <w:tcW w:w="997" w:type="dxa"/>
          </w:tcPr>
          <w:p w14:paraId="105BFFCF" w14:textId="77777777" w:rsidR="00ED610E" w:rsidRPr="00A07F29" w:rsidRDefault="00ED610E" w:rsidP="00904DDF">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4,33</w:t>
            </w:r>
          </w:p>
        </w:tc>
        <w:tc>
          <w:tcPr>
            <w:tcW w:w="2551" w:type="dxa"/>
          </w:tcPr>
          <w:p w14:paraId="347151A3" w14:textId="78342BD4" w:rsidR="00ED610E" w:rsidRPr="00A07F29" w:rsidRDefault="00ED610E" w:rsidP="00904DDF">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Krasta attīrīšana no krūmājiem. Lai saglabātu skatu, turpmāk regulāri jāpļauj un laicīgi jāattīra krasts no kokiem un krūmiem. Regulāra ceļmalu kopšana.</w:t>
            </w:r>
          </w:p>
        </w:tc>
        <w:tc>
          <w:tcPr>
            <w:tcW w:w="3693" w:type="dxa"/>
          </w:tcPr>
          <w:p w14:paraId="7A559ED9" w14:textId="77777777" w:rsidR="00ED610E" w:rsidRPr="00A07F29" w:rsidRDefault="00ED610E" w:rsidP="00904DDF">
            <w:pPr>
              <w:spacing w:after="0" w:line="240" w:lineRule="auto"/>
              <w:jc w:val="both"/>
              <w:rPr>
                <w:rFonts w:ascii="Times New Roman" w:eastAsia="Calibri" w:hAnsi="Times New Roman" w:cs="Times New Roman"/>
              </w:rPr>
            </w:pPr>
            <w:r w:rsidRPr="00A07F29">
              <w:rPr>
                <w:noProof/>
                <w:lang w:eastAsia="lv-LV"/>
              </w:rPr>
              <w:drawing>
                <wp:inline distT="0" distB="0" distL="0" distR="0" wp14:anchorId="303E4383" wp14:editId="578B3BA3">
                  <wp:extent cx="2207895" cy="1981200"/>
                  <wp:effectExtent l="0" t="0" r="190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pic:nvPicPr>
                        <pic:blipFill>
                          <a:blip r:embed="rId158">
                            <a:extLst>
                              <a:ext uri="{28A0092B-C50C-407E-A947-70E740481C1C}">
                                <a14:useLocalDpi xmlns:a14="http://schemas.microsoft.com/office/drawing/2010/main"/>
                              </a:ext>
                            </a:extLst>
                          </a:blip>
                          <a:stretch>
                            <a:fillRect/>
                          </a:stretch>
                        </pic:blipFill>
                        <pic:spPr>
                          <a:xfrm>
                            <a:off x="0" y="0"/>
                            <a:ext cx="2207895" cy="1981200"/>
                          </a:xfrm>
                          <a:prstGeom prst="rect">
                            <a:avLst/>
                          </a:prstGeom>
                        </pic:spPr>
                      </pic:pic>
                    </a:graphicData>
                  </a:graphic>
                </wp:inline>
              </w:drawing>
            </w:r>
          </w:p>
        </w:tc>
      </w:tr>
      <w:tr w:rsidR="00ED610E" w:rsidRPr="00A07F29" w14:paraId="689A5E4C" w14:textId="77777777" w:rsidTr="63C42FA1">
        <w:trPr>
          <w:jc w:val="center"/>
        </w:trPr>
        <w:tc>
          <w:tcPr>
            <w:tcW w:w="709" w:type="dxa"/>
          </w:tcPr>
          <w:p w14:paraId="5DA832E2" w14:textId="77777777" w:rsidR="00ED610E" w:rsidRPr="00A07F29" w:rsidRDefault="00ED610E" w:rsidP="00F87589">
            <w:pPr>
              <w:numPr>
                <w:ilvl w:val="0"/>
                <w:numId w:val="42"/>
              </w:numPr>
              <w:spacing w:after="0" w:line="240" w:lineRule="auto"/>
              <w:ind w:left="0"/>
              <w:jc w:val="right"/>
              <w:rPr>
                <w:rFonts w:ascii="Times New Roman" w:eastAsia="Calibri" w:hAnsi="Times New Roman" w:cs="Times New Roman"/>
                <w:b/>
              </w:rPr>
            </w:pPr>
          </w:p>
        </w:tc>
        <w:tc>
          <w:tcPr>
            <w:tcW w:w="1843" w:type="dxa"/>
          </w:tcPr>
          <w:p w14:paraId="18B4E65D" w14:textId="77777777" w:rsidR="00ED610E" w:rsidRPr="00A07F29" w:rsidRDefault="00ED610E" w:rsidP="00904DDF">
            <w:pPr>
              <w:spacing w:after="0" w:line="240" w:lineRule="auto"/>
              <w:rPr>
                <w:rFonts w:ascii="Times New Roman" w:eastAsia="Calibri" w:hAnsi="Times New Roman" w:cs="Times New Roman"/>
              </w:rPr>
            </w:pPr>
            <w:r w:rsidRPr="00A07F29">
              <w:rPr>
                <w:rFonts w:ascii="Times New Roman" w:eastAsia="Calibri" w:hAnsi="Times New Roman" w:cs="Times New Roman"/>
              </w:rPr>
              <w:t>Skatu punkts no ceļa V673 (Daugavpils-</w:t>
            </w:r>
            <w:proofErr w:type="spellStart"/>
            <w:r w:rsidRPr="00A07F29">
              <w:rPr>
                <w:rFonts w:ascii="Times New Roman" w:eastAsia="Calibri" w:hAnsi="Times New Roman" w:cs="Times New Roman"/>
              </w:rPr>
              <w:t>Elerne</w:t>
            </w:r>
            <w:proofErr w:type="spellEnd"/>
            <w:r w:rsidRPr="00A07F29">
              <w:rPr>
                <w:rFonts w:ascii="Times New Roman" w:eastAsia="Calibri" w:hAnsi="Times New Roman" w:cs="Times New Roman"/>
              </w:rPr>
              <w:t>-</w:t>
            </w:r>
            <w:proofErr w:type="spellStart"/>
            <w:r w:rsidRPr="00A07F29">
              <w:rPr>
                <w:rFonts w:ascii="Times New Roman" w:eastAsia="Calibri" w:hAnsi="Times New Roman" w:cs="Times New Roman"/>
              </w:rPr>
              <w:t>Lielborne</w:t>
            </w:r>
            <w:proofErr w:type="spellEnd"/>
            <w:r w:rsidRPr="00A07F29">
              <w:rPr>
                <w:rFonts w:ascii="Times New Roman" w:eastAsia="Calibri" w:hAnsi="Times New Roman" w:cs="Times New Roman"/>
              </w:rPr>
              <w:t xml:space="preserve">) pie pagrieziena uz </w:t>
            </w:r>
            <w:proofErr w:type="spellStart"/>
            <w:r w:rsidRPr="00A07F29">
              <w:rPr>
                <w:rFonts w:ascii="Times New Roman" w:eastAsia="Calibri" w:hAnsi="Times New Roman" w:cs="Times New Roman"/>
              </w:rPr>
              <w:t>Sīķeles</w:t>
            </w:r>
            <w:proofErr w:type="spellEnd"/>
            <w:r w:rsidRPr="00A07F29">
              <w:rPr>
                <w:rFonts w:ascii="Times New Roman" w:eastAsia="Calibri" w:hAnsi="Times New Roman" w:cs="Times New Roman"/>
              </w:rPr>
              <w:t xml:space="preserve"> baznīcu. Skats daļēji apaudzis ar krūmājiem</w:t>
            </w:r>
          </w:p>
        </w:tc>
        <w:tc>
          <w:tcPr>
            <w:tcW w:w="997" w:type="dxa"/>
          </w:tcPr>
          <w:p w14:paraId="6EF64497" w14:textId="77777777" w:rsidR="00ED610E" w:rsidRPr="00A07F29" w:rsidRDefault="00ED610E" w:rsidP="00904DDF">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6,45</w:t>
            </w:r>
          </w:p>
        </w:tc>
        <w:tc>
          <w:tcPr>
            <w:tcW w:w="2551" w:type="dxa"/>
          </w:tcPr>
          <w:p w14:paraId="78B247A4" w14:textId="0731FF56" w:rsidR="00ED610E" w:rsidRPr="00A07F29" w:rsidRDefault="00ED610E" w:rsidP="00904DDF">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Krasta attīrīšana no krūmājiem. Lai saglabātu skatu, turpmāk regulāri jāpļauj un laicīgi jāattīra krasts no kokiem un krūmiem. Regulāra ceļmalu kopšana.</w:t>
            </w:r>
          </w:p>
        </w:tc>
        <w:tc>
          <w:tcPr>
            <w:tcW w:w="3693" w:type="dxa"/>
            <w:vMerge w:val="restart"/>
          </w:tcPr>
          <w:p w14:paraId="6A736945" w14:textId="77777777" w:rsidR="00ED610E" w:rsidRPr="00A07F29" w:rsidRDefault="00ED610E" w:rsidP="00904DDF">
            <w:pPr>
              <w:spacing w:after="0" w:line="240" w:lineRule="auto"/>
              <w:jc w:val="both"/>
              <w:rPr>
                <w:rFonts w:ascii="Times New Roman" w:eastAsia="Calibri" w:hAnsi="Times New Roman" w:cs="Times New Roman"/>
              </w:rPr>
            </w:pPr>
            <w:r w:rsidRPr="00A07F29">
              <w:rPr>
                <w:noProof/>
                <w:lang w:eastAsia="lv-LV"/>
              </w:rPr>
              <w:drawing>
                <wp:inline distT="0" distB="0" distL="0" distR="0" wp14:anchorId="1D493A5A" wp14:editId="48877D1E">
                  <wp:extent cx="2207895" cy="2211705"/>
                  <wp:effectExtent l="0" t="0" r="190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pic:nvPicPr>
                        <pic:blipFill>
                          <a:blip r:embed="rId159">
                            <a:extLst>
                              <a:ext uri="{28A0092B-C50C-407E-A947-70E740481C1C}">
                                <a14:useLocalDpi xmlns:a14="http://schemas.microsoft.com/office/drawing/2010/main"/>
                              </a:ext>
                            </a:extLst>
                          </a:blip>
                          <a:stretch>
                            <a:fillRect/>
                          </a:stretch>
                        </pic:blipFill>
                        <pic:spPr>
                          <a:xfrm>
                            <a:off x="0" y="0"/>
                            <a:ext cx="2207895" cy="2211705"/>
                          </a:xfrm>
                          <a:prstGeom prst="rect">
                            <a:avLst/>
                          </a:prstGeom>
                        </pic:spPr>
                      </pic:pic>
                    </a:graphicData>
                  </a:graphic>
                </wp:inline>
              </w:drawing>
            </w:r>
          </w:p>
        </w:tc>
      </w:tr>
      <w:tr w:rsidR="00ED610E" w:rsidRPr="00A07F29" w14:paraId="234DFD5A" w14:textId="77777777" w:rsidTr="63C42FA1">
        <w:trPr>
          <w:jc w:val="center"/>
        </w:trPr>
        <w:tc>
          <w:tcPr>
            <w:tcW w:w="709" w:type="dxa"/>
          </w:tcPr>
          <w:p w14:paraId="05206879" w14:textId="77777777" w:rsidR="00ED610E" w:rsidRPr="00A07F29" w:rsidRDefault="00ED610E" w:rsidP="00F87589">
            <w:pPr>
              <w:numPr>
                <w:ilvl w:val="0"/>
                <w:numId w:val="42"/>
              </w:numPr>
              <w:spacing w:after="0" w:line="240" w:lineRule="auto"/>
              <w:ind w:left="0"/>
              <w:jc w:val="right"/>
              <w:rPr>
                <w:rFonts w:ascii="Times New Roman" w:eastAsia="Calibri" w:hAnsi="Times New Roman" w:cs="Times New Roman"/>
                <w:b/>
              </w:rPr>
            </w:pPr>
          </w:p>
        </w:tc>
        <w:tc>
          <w:tcPr>
            <w:tcW w:w="1843" w:type="dxa"/>
          </w:tcPr>
          <w:p w14:paraId="47549BC9" w14:textId="77777777" w:rsidR="00ED610E" w:rsidRPr="00A07F29" w:rsidRDefault="00ED610E" w:rsidP="00904DDF">
            <w:pPr>
              <w:spacing w:after="0" w:line="240" w:lineRule="auto"/>
              <w:rPr>
                <w:rFonts w:ascii="Times New Roman" w:eastAsia="Calibri" w:hAnsi="Times New Roman" w:cs="Times New Roman"/>
              </w:rPr>
            </w:pPr>
            <w:r w:rsidRPr="00A07F29">
              <w:rPr>
                <w:rFonts w:ascii="Times New Roman" w:eastAsia="Calibri" w:hAnsi="Times New Roman" w:cs="Times New Roman"/>
              </w:rPr>
              <w:t xml:space="preserve">Skatu punkts uz </w:t>
            </w:r>
            <w:proofErr w:type="spellStart"/>
            <w:r w:rsidRPr="00A07F29">
              <w:rPr>
                <w:rFonts w:ascii="Times New Roman" w:eastAsia="Calibri" w:hAnsi="Times New Roman" w:cs="Times New Roman"/>
              </w:rPr>
              <w:t>Butišķu</w:t>
            </w:r>
            <w:proofErr w:type="spellEnd"/>
            <w:r w:rsidRPr="00A07F29">
              <w:rPr>
                <w:rFonts w:ascii="Times New Roman" w:eastAsia="Calibri" w:hAnsi="Times New Roman" w:cs="Times New Roman"/>
              </w:rPr>
              <w:t xml:space="preserve"> loku </w:t>
            </w:r>
            <w:proofErr w:type="spellStart"/>
            <w:r w:rsidRPr="00A07F29">
              <w:rPr>
                <w:rFonts w:ascii="Times New Roman" w:eastAsia="Calibri" w:hAnsi="Times New Roman" w:cs="Times New Roman"/>
              </w:rPr>
              <w:t>Muraukos</w:t>
            </w:r>
            <w:proofErr w:type="spellEnd"/>
            <w:r w:rsidRPr="00A07F29">
              <w:rPr>
                <w:rFonts w:ascii="Times New Roman" w:eastAsia="Calibri" w:hAnsi="Times New Roman" w:cs="Times New Roman"/>
              </w:rPr>
              <w:t xml:space="preserve"> </w:t>
            </w:r>
          </w:p>
        </w:tc>
        <w:tc>
          <w:tcPr>
            <w:tcW w:w="997" w:type="dxa"/>
          </w:tcPr>
          <w:p w14:paraId="13E93FD8" w14:textId="77777777" w:rsidR="00ED610E" w:rsidRPr="00A07F29" w:rsidRDefault="00ED610E" w:rsidP="00904DDF">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2,21</w:t>
            </w:r>
          </w:p>
        </w:tc>
        <w:tc>
          <w:tcPr>
            <w:tcW w:w="2551" w:type="dxa"/>
          </w:tcPr>
          <w:p w14:paraId="7643026E" w14:textId="11EE25FE" w:rsidR="00ED610E" w:rsidRPr="00A07F29" w:rsidRDefault="00ED610E" w:rsidP="00904DDF">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Skatu punkts no LVM atpūtas vietas “Zemenīte”. Lai saglabātu skatu, turpmāk regulāri jā</w:t>
            </w:r>
            <w:r w:rsidR="00772280">
              <w:rPr>
                <w:rFonts w:ascii="Times New Roman" w:eastAsia="Calibri" w:hAnsi="Times New Roman" w:cs="Times New Roman"/>
              </w:rPr>
              <w:t>p</w:t>
            </w:r>
            <w:r w:rsidRPr="00A07F29">
              <w:rPr>
                <w:rFonts w:ascii="Times New Roman" w:eastAsia="Calibri" w:hAnsi="Times New Roman" w:cs="Times New Roman"/>
              </w:rPr>
              <w:t>ļauj un laicīgi jāattīra krasts no kokiem un krūmiem.</w:t>
            </w:r>
          </w:p>
        </w:tc>
        <w:tc>
          <w:tcPr>
            <w:tcW w:w="3693" w:type="dxa"/>
            <w:vMerge/>
          </w:tcPr>
          <w:p w14:paraId="03C12250" w14:textId="77777777" w:rsidR="00ED610E" w:rsidRPr="00A07F29" w:rsidRDefault="00ED610E" w:rsidP="00904DDF">
            <w:pPr>
              <w:spacing w:after="0" w:line="240" w:lineRule="auto"/>
              <w:ind w:firstLine="851"/>
              <w:jc w:val="both"/>
              <w:rPr>
                <w:rFonts w:ascii="Times New Roman" w:eastAsia="Calibri" w:hAnsi="Times New Roman" w:cs="Times New Roman"/>
              </w:rPr>
            </w:pPr>
          </w:p>
        </w:tc>
      </w:tr>
      <w:tr w:rsidR="00ED610E" w:rsidRPr="00A07F29" w14:paraId="18E110F9" w14:textId="77777777" w:rsidTr="63C42FA1">
        <w:trPr>
          <w:jc w:val="center"/>
        </w:trPr>
        <w:tc>
          <w:tcPr>
            <w:tcW w:w="709" w:type="dxa"/>
          </w:tcPr>
          <w:p w14:paraId="01FD3892" w14:textId="77777777" w:rsidR="00ED610E" w:rsidRPr="00A07F29" w:rsidRDefault="00ED610E" w:rsidP="00F87589">
            <w:pPr>
              <w:numPr>
                <w:ilvl w:val="0"/>
                <w:numId w:val="42"/>
              </w:numPr>
              <w:spacing w:after="0" w:line="240" w:lineRule="auto"/>
              <w:ind w:left="0"/>
              <w:jc w:val="right"/>
              <w:rPr>
                <w:rFonts w:ascii="Times New Roman" w:eastAsia="Calibri" w:hAnsi="Times New Roman" w:cs="Times New Roman"/>
                <w:b/>
              </w:rPr>
            </w:pPr>
          </w:p>
        </w:tc>
        <w:tc>
          <w:tcPr>
            <w:tcW w:w="1843" w:type="dxa"/>
          </w:tcPr>
          <w:p w14:paraId="6A6FE877" w14:textId="77777777" w:rsidR="00ED610E" w:rsidRPr="00A07F29" w:rsidRDefault="00ED610E" w:rsidP="00904DDF">
            <w:pPr>
              <w:spacing w:after="0" w:line="240" w:lineRule="auto"/>
              <w:rPr>
                <w:rFonts w:ascii="Times New Roman" w:eastAsia="Calibri" w:hAnsi="Times New Roman" w:cs="Times New Roman"/>
              </w:rPr>
            </w:pPr>
            <w:r w:rsidRPr="00A07F29">
              <w:rPr>
                <w:rFonts w:ascii="Times New Roman" w:eastAsia="Calibri" w:hAnsi="Times New Roman" w:cs="Times New Roman"/>
              </w:rPr>
              <w:t>Skatu punkts no ceļa V706 (Vecsaliena-Lazdukalns)</w:t>
            </w:r>
          </w:p>
        </w:tc>
        <w:tc>
          <w:tcPr>
            <w:tcW w:w="997" w:type="dxa"/>
          </w:tcPr>
          <w:p w14:paraId="62361C9C" w14:textId="77777777" w:rsidR="00ED610E" w:rsidRPr="00A07F29" w:rsidRDefault="00ED610E" w:rsidP="00904DDF">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172,61</w:t>
            </w:r>
          </w:p>
        </w:tc>
        <w:tc>
          <w:tcPr>
            <w:tcW w:w="2551" w:type="dxa"/>
          </w:tcPr>
          <w:p w14:paraId="50F4756C" w14:textId="79915F75" w:rsidR="00ED610E" w:rsidRPr="00A07F29" w:rsidRDefault="39E8FF0D" w:rsidP="39E8FF0D">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Tālās panorāmas skats. Skatu saglabāšanai, nav pieļaujama lauksaimniecības zemju aizaugšana un apmežošana Plānojot jaunu būvniecību, nav pieļaujam</w:t>
            </w:r>
            <w:r w:rsidR="002F13E4">
              <w:rPr>
                <w:rFonts w:ascii="Times New Roman" w:eastAsia="Calibri" w:hAnsi="Times New Roman" w:cs="Times New Roman"/>
              </w:rPr>
              <w:t>a</w:t>
            </w:r>
            <w:r w:rsidRPr="00A07F29">
              <w:rPr>
                <w:rFonts w:ascii="Times New Roman" w:eastAsia="Calibri" w:hAnsi="Times New Roman" w:cs="Times New Roman"/>
              </w:rPr>
              <w:t xml:space="preserve"> tādu vertikālo objektu būvniecība, kas vizuāli dominētu ainavā. Nav pieļaujams jumtu klājumā izmantot spilgtas krāsas. </w:t>
            </w:r>
            <w:r w:rsidRPr="00A07F29">
              <w:rPr>
                <w:rFonts w:ascii="Times New Roman" w:eastAsia="Times New Roman" w:hAnsi="Times New Roman" w:cs="Times New Roman"/>
                <w:color w:val="000000" w:themeColor="text1"/>
              </w:rPr>
              <w:t>Nav pieļaujama plantāciju mežu ierīkošana.</w:t>
            </w:r>
            <w:r w:rsidRPr="00A07F29">
              <w:rPr>
                <w:rFonts w:ascii="Times New Roman" w:eastAsia="Calibri" w:hAnsi="Times New Roman" w:cs="Times New Roman"/>
              </w:rPr>
              <w:t xml:space="preserve"> Regulāra ceļmalu kopšana.</w:t>
            </w:r>
          </w:p>
        </w:tc>
        <w:tc>
          <w:tcPr>
            <w:tcW w:w="3693" w:type="dxa"/>
          </w:tcPr>
          <w:p w14:paraId="4D498786" w14:textId="77777777" w:rsidR="00ED610E" w:rsidRPr="00A07F29" w:rsidRDefault="00ED610E" w:rsidP="00904DDF">
            <w:pPr>
              <w:spacing w:after="0" w:line="240" w:lineRule="auto"/>
              <w:jc w:val="both"/>
              <w:rPr>
                <w:rFonts w:ascii="Times New Roman" w:eastAsia="Calibri" w:hAnsi="Times New Roman" w:cs="Times New Roman"/>
              </w:rPr>
            </w:pPr>
            <w:r w:rsidRPr="00A07F29">
              <w:rPr>
                <w:noProof/>
                <w:lang w:eastAsia="lv-LV"/>
              </w:rPr>
              <w:drawing>
                <wp:inline distT="0" distB="0" distL="0" distR="0" wp14:anchorId="2C6EB37E" wp14:editId="2409AD54">
                  <wp:extent cx="2207895" cy="2670810"/>
                  <wp:effectExtent l="0" t="0" r="190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pic:nvPicPr>
                        <pic:blipFill>
                          <a:blip r:embed="rId160">
                            <a:extLst>
                              <a:ext uri="{28A0092B-C50C-407E-A947-70E740481C1C}">
                                <a14:useLocalDpi xmlns:a14="http://schemas.microsoft.com/office/drawing/2010/main"/>
                              </a:ext>
                            </a:extLst>
                          </a:blip>
                          <a:stretch>
                            <a:fillRect/>
                          </a:stretch>
                        </pic:blipFill>
                        <pic:spPr>
                          <a:xfrm>
                            <a:off x="0" y="0"/>
                            <a:ext cx="2207895" cy="2670810"/>
                          </a:xfrm>
                          <a:prstGeom prst="rect">
                            <a:avLst/>
                          </a:prstGeom>
                        </pic:spPr>
                      </pic:pic>
                    </a:graphicData>
                  </a:graphic>
                </wp:inline>
              </w:drawing>
            </w:r>
          </w:p>
        </w:tc>
      </w:tr>
      <w:tr w:rsidR="00ED610E" w:rsidRPr="00A07F29" w14:paraId="7EFF7D94" w14:textId="77777777" w:rsidTr="63C42FA1">
        <w:trPr>
          <w:jc w:val="center"/>
        </w:trPr>
        <w:tc>
          <w:tcPr>
            <w:tcW w:w="709" w:type="dxa"/>
          </w:tcPr>
          <w:p w14:paraId="0D54EC83" w14:textId="77777777" w:rsidR="00ED610E" w:rsidRPr="00A07F29" w:rsidRDefault="00ED610E" w:rsidP="00F87589">
            <w:pPr>
              <w:numPr>
                <w:ilvl w:val="0"/>
                <w:numId w:val="42"/>
              </w:numPr>
              <w:spacing w:after="0" w:line="240" w:lineRule="auto"/>
              <w:ind w:left="0"/>
              <w:jc w:val="right"/>
              <w:rPr>
                <w:rFonts w:ascii="Times New Roman" w:eastAsia="Calibri" w:hAnsi="Times New Roman" w:cs="Times New Roman"/>
                <w:b/>
              </w:rPr>
            </w:pPr>
          </w:p>
        </w:tc>
        <w:tc>
          <w:tcPr>
            <w:tcW w:w="1843" w:type="dxa"/>
          </w:tcPr>
          <w:p w14:paraId="0E021F15" w14:textId="2C340558" w:rsidR="00ED610E" w:rsidRPr="00A07F29" w:rsidRDefault="00ED610E" w:rsidP="00904DDF">
            <w:pPr>
              <w:spacing w:after="0" w:line="240" w:lineRule="auto"/>
              <w:rPr>
                <w:rFonts w:ascii="Times New Roman" w:eastAsia="Calibri" w:hAnsi="Times New Roman" w:cs="Times New Roman"/>
              </w:rPr>
            </w:pPr>
            <w:r w:rsidRPr="00A07F29">
              <w:rPr>
                <w:rFonts w:ascii="Times New Roman" w:eastAsia="Calibri" w:hAnsi="Times New Roman" w:cs="Times New Roman"/>
              </w:rPr>
              <w:t>Skatu punkts no ceļa P69 (Skrudaliena-Kaplava-Krāslava)</w:t>
            </w:r>
            <w:r w:rsidR="00D65BBA" w:rsidRPr="00A07F29">
              <w:rPr>
                <w:rFonts w:ascii="Times New Roman" w:eastAsia="Calibri" w:hAnsi="Times New Roman" w:cs="Times New Roman"/>
              </w:rPr>
              <w:t xml:space="preserve"> </w:t>
            </w:r>
            <w:r w:rsidRPr="00A07F29">
              <w:rPr>
                <w:rFonts w:ascii="Times New Roman" w:eastAsia="Calibri" w:hAnsi="Times New Roman" w:cs="Times New Roman"/>
              </w:rPr>
              <w:t>pie Salienas</w:t>
            </w:r>
          </w:p>
        </w:tc>
        <w:tc>
          <w:tcPr>
            <w:tcW w:w="997" w:type="dxa"/>
          </w:tcPr>
          <w:p w14:paraId="026F12AB" w14:textId="77777777" w:rsidR="00ED610E" w:rsidRPr="00A07F29" w:rsidRDefault="00ED610E" w:rsidP="00904DDF">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82,76</w:t>
            </w:r>
          </w:p>
        </w:tc>
        <w:tc>
          <w:tcPr>
            <w:tcW w:w="2551" w:type="dxa"/>
          </w:tcPr>
          <w:p w14:paraId="7A2BD9C6" w14:textId="672B27AB" w:rsidR="00ED610E" w:rsidRPr="00A07F29" w:rsidRDefault="39E8FF0D" w:rsidP="39E8FF0D">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Tālās panorāmas skats. Skatu saglabāšanai, nav pieļaujama lauksaimniecības zemju aizaugšana un apmežošana. Plānojot jaunu būvniecību, nav pieļaujam</w:t>
            </w:r>
            <w:r w:rsidR="0006165F">
              <w:rPr>
                <w:rFonts w:ascii="Times New Roman" w:eastAsia="Calibri" w:hAnsi="Times New Roman" w:cs="Times New Roman"/>
              </w:rPr>
              <w:t>a</w:t>
            </w:r>
            <w:r w:rsidRPr="00A07F29">
              <w:rPr>
                <w:rFonts w:ascii="Times New Roman" w:eastAsia="Calibri" w:hAnsi="Times New Roman" w:cs="Times New Roman"/>
              </w:rPr>
              <w:t xml:space="preserve"> tādu vertikālo objektu būvniecība, kas vizuāli dominētu ainavā. Nav pieļaujams jumtu klājumā izmantot spilgtas krāsas.</w:t>
            </w:r>
            <w:r w:rsidR="00D65BBA" w:rsidRPr="00A07F29">
              <w:rPr>
                <w:rFonts w:ascii="Times New Roman" w:eastAsia="Calibri" w:hAnsi="Times New Roman" w:cs="Times New Roman"/>
              </w:rPr>
              <w:t xml:space="preserve"> </w:t>
            </w:r>
            <w:r w:rsidRPr="00A07F29">
              <w:rPr>
                <w:rFonts w:ascii="Times New Roman" w:eastAsia="Times New Roman" w:hAnsi="Times New Roman" w:cs="Times New Roman"/>
              </w:rPr>
              <w:t>Nav pieļaujama plantāciju mežu ierīkošana.</w:t>
            </w:r>
            <w:r w:rsidRPr="00A07F29">
              <w:rPr>
                <w:rFonts w:ascii="Times New Roman" w:eastAsia="Times New Roman" w:hAnsi="Times New Roman" w:cs="Times New Roman"/>
                <w:sz w:val="20"/>
                <w:szCs w:val="20"/>
              </w:rPr>
              <w:t xml:space="preserve"> </w:t>
            </w:r>
            <w:r w:rsidRPr="00A07F29">
              <w:rPr>
                <w:rFonts w:ascii="Times New Roman" w:eastAsia="Calibri" w:hAnsi="Times New Roman" w:cs="Times New Roman"/>
              </w:rPr>
              <w:t>Regulāra ceļmalu kopšana.</w:t>
            </w:r>
          </w:p>
        </w:tc>
        <w:tc>
          <w:tcPr>
            <w:tcW w:w="3693" w:type="dxa"/>
          </w:tcPr>
          <w:p w14:paraId="7F4E6ED9" w14:textId="77777777" w:rsidR="00ED610E" w:rsidRPr="00A07F29" w:rsidRDefault="00ED610E" w:rsidP="00904DDF">
            <w:pPr>
              <w:spacing w:after="0" w:line="240" w:lineRule="auto"/>
              <w:jc w:val="both"/>
              <w:rPr>
                <w:rFonts w:ascii="Times New Roman" w:eastAsia="Calibri" w:hAnsi="Times New Roman" w:cs="Times New Roman"/>
              </w:rPr>
            </w:pPr>
            <w:r w:rsidRPr="00A07F29">
              <w:rPr>
                <w:noProof/>
                <w:lang w:eastAsia="lv-LV"/>
              </w:rPr>
              <w:drawing>
                <wp:inline distT="0" distB="0" distL="0" distR="0" wp14:anchorId="52F80FCE" wp14:editId="115A4584">
                  <wp:extent cx="2207895" cy="2709545"/>
                  <wp:effectExtent l="0" t="0" r="190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pic:nvPicPr>
                        <pic:blipFill>
                          <a:blip r:embed="rId161">
                            <a:extLst>
                              <a:ext uri="{28A0092B-C50C-407E-A947-70E740481C1C}">
                                <a14:useLocalDpi xmlns:a14="http://schemas.microsoft.com/office/drawing/2010/main"/>
                              </a:ext>
                            </a:extLst>
                          </a:blip>
                          <a:stretch>
                            <a:fillRect/>
                          </a:stretch>
                        </pic:blipFill>
                        <pic:spPr>
                          <a:xfrm>
                            <a:off x="0" y="0"/>
                            <a:ext cx="2207895" cy="2709545"/>
                          </a:xfrm>
                          <a:prstGeom prst="rect">
                            <a:avLst/>
                          </a:prstGeom>
                        </pic:spPr>
                      </pic:pic>
                    </a:graphicData>
                  </a:graphic>
                </wp:inline>
              </w:drawing>
            </w:r>
          </w:p>
        </w:tc>
      </w:tr>
      <w:tr w:rsidR="00ED610E" w:rsidRPr="00A07F29" w14:paraId="6632FBA6" w14:textId="77777777" w:rsidTr="63C42FA1">
        <w:trPr>
          <w:jc w:val="center"/>
        </w:trPr>
        <w:tc>
          <w:tcPr>
            <w:tcW w:w="709" w:type="dxa"/>
          </w:tcPr>
          <w:p w14:paraId="2A81959F" w14:textId="77777777" w:rsidR="00ED610E" w:rsidRPr="00A07F29" w:rsidRDefault="00ED610E" w:rsidP="00F87589">
            <w:pPr>
              <w:numPr>
                <w:ilvl w:val="0"/>
                <w:numId w:val="42"/>
              </w:numPr>
              <w:spacing w:after="0" w:line="240" w:lineRule="auto"/>
              <w:ind w:left="0"/>
              <w:jc w:val="right"/>
              <w:rPr>
                <w:rFonts w:ascii="Times New Roman" w:eastAsia="Calibri" w:hAnsi="Times New Roman" w:cs="Times New Roman"/>
                <w:b/>
              </w:rPr>
            </w:pPr>
          </w:p>
        </w:tc>
        <w:tc>
          <w:tcPr>
            <w:tcW w:w="1843" w:type="dxa"/>
          </w:tcPr>
          <w:p w14:paraId="4855BC2B" w14:textId="77777777" w:rsidR="00ED610E" w:rsidRPr="00A07F29" w:rsidRDefault="00ED610E" w:rsidP="00904DDF">
            <w:pPr>
              <w:spacing w:after="0" w:line="240" w:lineRule="auto"/>
              <w:rPr>
                <w:rFonts w:ascii="Times New Roman" w:eastAsia="Calibri" w:hAnsi="Times New Roman" w:cs="Times New Roman"/>
              </w:rPr>
            </w:pPr>
            <w:r w:rsidRPr="00A07F29">
              <w:rPr>
                <w:rFonts w:ascii="Times New Roman" w:eastAsia="Calibri" w:hAnsi="Times New Roman" w:cs="Times New Roman"/>
              </w:rPr>
              <w:t>Skatu punkts pie Lazdukalna torņa pie ceļa V673 (Daugavpils-</w:t>
            </w:r>
            <w:proofErr w:type="spellStart"/>
            <w:r w:rsidRPr="00A07F29">
              <w:rPr>
                <w:rFonts w:ascii="Times New Roman" w:eastAsia="Calibri" w:hAnsi="Times New Roman" w:cs="Times New Roman"/>
              </w:rPr>
              <w:t>Elerne</w:t>
            </w:r>
            <w:proofErr w:type="spellEnd"/>
            <w:r w:rsidRPr="00A07F29">
              <w:rPr>
                <w:rFonts w:ascii="Times New Roman" w:eastAsia="Calibri" w:hAnsi="Times New Roman" w:cs="Times New Roman"/>
              </w:rPr>
              <w:t>-</w:t>
            </w:r>
            <w:proofErr w:type="spellStart"/>
            <w:r w:rsidRPr="00A07F29">
              <w:rPr>
                <w:rFonts w:ascii="Times New Roman" w:eastAsia="Calibri" w:hAnsi="Times New Roman" w:cs="Times New Roman"/>
              </w:rPr>
              <w:t>Lielborne</w:t>
            </w:r>
            <w:proofErr w:type="spellEnd"/>
            <w:r w:rsidRPr="00A07F29">
              <w:rPr>
                <w:rFonts w:ascii="Times New Roman" w:eastAsia="Calibri" w:hAnsi="Times New Roman" w:cs="Times New Roman"/>
              </w:rPr>
              <w:t xml:space="preserve">). Tālās panorāmas skats uz Daugavas ieleju </w:t>
            </w:r>
          </w:p>
        </w:tc>
        <w:tc>
          <w:tcPr>
            <w:tcW w:w="997" w:type="dxa"/>
          </w:tcPr>
          <w:p w14:paraId="1C209B6F" w14:textId="77777777" w:rsidR="00ED610E" w:rsidRPr="00A07F29" w:rsidRDefault="00ED610E" w:rsidP="00904DDF">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121,39</w:t>
            </w:r>
          </w:p>
        </w:tc>
        <w:tc>
          <w:tcPr>
            <w:tcW w:w="2551" w:type="dxa"/>
          </w:tcPr>
          <w:p w14:paraId="29F7B4B0" w14:textId="7390F179" w:rsidR="00ED610E" w:rsidRPr="00A07F29" w:rsidRDefault="39E8FF0D" w:rsidP="39E8FF0D">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Tālās panorāmas skats. Skatu saglabāšanai, nav pieļaujama lauksaimniecības zemju aizaugšana un apmežošana. Plānojot jaunu būvniecību, nav pieļaujam</w:t>
            </w:r>
            <w:r w:rsidR="00EC3FFB">
              <w:rPr>
                <w:rFonts w:ascii="Times New Roman" w:eastAsia="Calibri" w:hAnsi="Times New Roman" w:cs="Times New Roman"/>
              </w:rPr>
              <w:t>a</w:t>
            </w:r>
            <w:r w:rsidRPr="00A07F29">
              <w:rPr>
                <w:rFonts w:ascii="Times New Roman" w:eastAsia="Calibri" w:hAnsi="Times New Roman" w:cs="Times New Roman"/>
              </w:rPr>
              <w:t xml:space="preserve"> tādu vertikālo objektu būvniecība, kas vizuāli dominētu ainavā. Nav pieļaujams jumtu klājumā izmantot spilgtas krāsas. </w:t>
            </w:r>
            <w:r w:rsidRPr="00A07F29">
              <w:rPr>
                <w:rFonts w:ascii="Times New Roman" w:eastAsia="Times New Roman" w:hAnsi="Times New Roman" w:cs="Times New Roman"/>
                <w:color w:val="000000" w:themeColor="text1"/>
              </w:rPr>
              <w:t xml:space="preserve">Nav pieļaujama plantāciju mežu ierīkošana. </w:t>
            </w:r>
            <w:r w:rsidRPr="00A07F29">
              <w:rPr>
                <w:rFonts w:ascii="Times New Roman" w:eastAsia="Calibri" w:hAnsi="Times New Roman" w:cs="Times New Roman"/>
              </w:rPr>
              <w:t>Regulāra ceļmalu kopšana.</w:t>
            </w:r>
          </w:p>
        </w:tc>
        <w:tc>
          <w:tcPr>
            <w:tcW w:w="3693" w:type="dxa"/>
          </w:tcPr>
          <w:p w14:paraId="1EDB82BB" w14:textId="77777777" w:rsidR="00ED610E" w:rsidRPr="00A07F29" w:rsidRDefault="00ED610E" w:rsidP="00904DDF">
            <w:pPr>
              <w:spacing w:after="0" w:line="240" w:lineRule="auto"/>
              <w:jc w:val="both"/>
              <w:rPr>
                <w:rFonts w:ascii="Times New Roman" w:eastAsia="Calibri" w:hAnsi="Times New Roman" w:cs="Times New Roman"/>
              </w:rPr>
            </w:pPr>
            <w:r w:rsidRPr="00A07F29">
              <w:rPr>
                <w:noProof/>
                <w:lang w:eastAsia="lv-LV"/>
              </w:rPr>
              <w:drawing>
                <wp:inline distT="0" distB="0" distL="0" distR="0" wp14:anchorId="7118330B" wp14:editId="565765D1">
                  <wp:extent cx="2207895" cy="1942465"/>
                  <wp:effectExtent l="0" t="0" r="1905"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pic:nvPicPr>
                        <pic:blipFill>
                          <a:blip r:embed="rId162">
                            <a:extLst>
                              <a:ext uri="{28A0092B-C50C-407E-A947-70E740481C1C}">
                                <a14:useLocalDpi xmlns:a14="http://schemas.microsoft.com/office/drawing/2010/main"/>
                              </a:ext>
                            </a:extLst>
                          </a:blip>
                          <a:stretch>
                            <a:fillRect/>
                          </a:stretch>
                        </pic:blipFill>
                        <pic:spPr>
                          <a:xfrm>
                            <a:off x="0" y="0"/>
                            <a:ext cx="2207895" cy="1942465"/>
                          </a:xfrm>
                          <a:prstGeom prst="rect">
                            <a:avLst/>
                          </a:prstGeom>
                        </pic:spPr>
                      </pic:pic>
                    </a:graphicData>
                  </a:graphic>
                </wp:inline>
              </w:drawing>
            </w:r>
          </w:p>
        </w:tc>
      </w:tr>
      <w:tr w:rsidR="00ED610E" w:rsidRPr="00A07F29" w14:paraId="1109AE7E" w14:textId="77777777" w:rsidTr="63C42FA1">
        <w:trPr>
          <w:jc w:val="center"/>
        </w:trPr>
        <w:tc>
          <w:tcPr>
            <w:tcW w:w="709" w:type="dxa"/>
          </w:tcPr>
          <w:p w14:paraId="4CED0697" w14:textId="77777777" w:rsidR="00ED610E" w:rsidRPr="00A07F29" w:rsidRDefault="00ED610E" w:rsidP="00F87589">
            <w:pPr>
              <w:numPr>
                <w:ilvl w:val="0"/>
                <w:numId w:val="42"/>
              </w:numPr>
              <w:spacing w:after="0" w:line="240" w:lineRule="auto"/>
              <w:ind w:left="0"/>
              <w:jc w:val="right"/>
              <w:rPr>
                <w:rFonts w:ascii="Times New Roman" w:eastAsia="Calibri" w:hAnsi="Times New Roman" w:cs="Times New Roman"/>
                <w:b/>
              </w:rPr>
            </w:pPr>
          </w:p>
        </w:tc>
        <w:tc>
          <w:tcPr>
            <w:tcW w:w="1843" w:type="dxa"/>
          </w:tcPr>
          <w:p w14:paraId="3C22AF4A" w14:textId="77777777" w:rsidR="00ED610E" w:rsidRPr="00A07F29" w:rsidRDefault="00ED610E" w:rsidP="00904DDF">
            <w:pPr>
              <w:spacing w:after="0" w:line="240" w:lineRule="auto"/>
              <w:rPr>
                <w:rFonts w:ascii="Times New Roman" w:eastAsia="Calibri" w:hAnsi="Times New Roman" w:cs="Times New Roman"/>
              </w:rPr>
            </w:pPr>
            <w:r w:rsidRPr="00A07F29">
              <w:rPr>
                <w:rFonts w:ascii="Times New Roman" w:eastAsia="Calibri" w:hAnsi="Times New Roman" w:cs="Times New Roman"/>
              </w:rPr>
              <w:t xml:space="preserve">Skatu punkts uz Daugavu pie kempinga </w:t>
            </w:r>
            <w:proofErr w:type="spellStart"/>
            <w:r w:rsidRPr="00A07F29">
              <w:rPr>
                <w:rFonts w:ascii="Times New Roman" w:eastAsia="Calibri" w:hAnsi="Times New Roman" w:cs="Times New Roman"/>
              </w:rPr>
              <w:t>Ozianna</w:t>
            </w:r>
            <w:proofErr w:type="spellEnd"/>
          </w:p>
        </w:tc>
        <w:tc>
          <w:tcPr>
            <w:tcW w:w="997" w:type="dxa"/>
          </w:tcPr>
          <w:p w14:paraId="19AB7AF5" w14:textId="77777777" w:rsidR="00ED610E" w:rsidRPr="00A07F29" w:rsidRDefault="00ED610E" w:rsidP="00904DDF">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8,80</w:t>
            </w:r>
          </w:p>
        </w:tc>
        <w:tc>
          <w:tcPr>
            <w:tcW w:w="2551" w:type="dxa"/>
          </w:tcPr>
          <w:p w14:paraId="6298D102" w14:textId="3BF3138B" w:rsidR="00ED610E" w:rsidRPr="00A07F29" w:rsidRDefault="00ED610E" w:rsidP="00904DDF">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Krasta un ceļmalu</w:t>
            </w:r>
            <w:r w:rsidR="00D65BBA" w:rsidRPr="00A07F29">
              <w:rPr>
                <w:rFonts w:ascii="Times New Roman" w:eastAsia="Calibri" w:hAnsi="Times New Roman" w:cs="Times New Roman"/>
              </w:rPr>
              <w:t xml:space="preserve"> </w:t>
            </w:r>
            <w:r w:rsidRPr="00A07F29">
              <w:rPr>
                <w:rFonts w:ascii="Times New Roman" w:eastAsia="Calibri" w:hAnsi="Times New Roman" w:cs="Times New Roman"/>
              </w:rPr>
              <w:t>regulāra pļaušana, kopšana.</w:t>
            </w:r>
          </w:p>
        </w:tc>
        <w:tc>
          <w:tcPr>
            <w:tcW w:w="3693" w:type="dxa"/>
          </w:tcPr>
          <w:p w14:paraId="1B9728EC" w14:textId="77777777" w:rsidR="00ED610E" w:rsidRPr="00A07F29" w:rsidRDefault="00ED610E" w:rsidP="00904DDF">
            <w:pPr>
              <w:spacing w:after="0" w:line="240" w:lineRule="auto"/>
              <w:jc w:val="both"/>
              <w:rPr>
                <w:rFonts w:ascii="Times New Roman" w:eastAsia="Calibri" w:hAnsi="Times New Roman" w:cs="Times New Roman"/>
              </w:rPr>
            </w:pPr>
            <w:r w:rsidRPr="00A07F29">
              <w:rPr>
                <w:noProof/>
                <w:lang w:eastAsia="lv-LV"/>
              </w:rPr>
              <w:drawing>
                <wp:inline distT="0" distB="0" distL="0" distR="0" wp14:anchorId="4E989E8D" wp14:editId="29868A24">
                  <wp:extent cx="2207895" cy="1569085"/>
                  <wp:effectExtent l="0" t="0" r="190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pic:nvPicPr>
                        <pic:blipFill>
                          <a:blip r:embed="rId163">
                            <a:extLst>
                              <a:ext uri="{28A0092B-C50C-407E-A947-70E740481C1C}">
                                <a14:useLocalDpi xmlns:a14="http://schemas.microsoft.com/office/drawing/2010/main"/>
                              </a:ext>
                            </a:extLst>
                          </a:blip>
                          <a:stretch>
                            <a:fillRect/>
                          </a:stretch>
                        </pic:blipFill>
                        <pic:spPr>
                          <a:xfrm>
                            <a:off x="0" y="0"/>
                            <a:ext cx="2207895" cy="1569085"/>
                          </a:xfrm>
                          <a:prstGeom prst="rect">
                            <a:avLst/>
                          </a:prstGeom>
                        </pic:spPr>
                      </pic:pic>
                    </a:graphicData>
                  </a:graphic>
                </wp:inline>
              </w:drawing>
            </w:r>
          </w:p>
        </w:tc>
      </w:tr>
      <w:tr w:rsidR="00ED610E" w:rsidRPr="00A07F29" w14:paraId="4E520A62" w14:textId="77777777" w:rsidTr="63C42FA1">
        <w:trPr>
          <w:jc w:val="center"/>
        </w:trPr>
        <w:tc>
          <w:tcPr>
            <w:tcW w:w="709" w:type="dxa"/>
          </w:tcPr>
          <w:p w14:paraId="3B77D990" w14:textId="77777777" w:rsidR="00ED610E" w:rsidRPr="00A07F29" w:rsidRDefault="00ED610E" w:rsidP="00F87589">
            <w:pPr>
              <w:numPr>
                <w:ilvl w:val="0"/>
                <w:numId w:val="42"/>
              </w:numPr>
              <w:spacing w:after="0" w:line="240" w:lineRule="auto"/>
              <w:ind w:left="0"/>
              <w:jc w:val="right"/>
              <w:rPr>
                <w:rFonts w:ascii="Times New Roman" w:eastAsia="Calibri" w:hAnsi="Times New Roman" w:cs="Times New Roman"/>
                <w:b/>
              </w:rPr>
            </w:pPr>
          </w:p>
        </w:tc>
        <w:tc>
          <w:tcPr>
            <w:tcW w:w="1843" w:type="dxa"/>
          </w:tcPr>
          <w:p w14:paraId="7FE22F38" w14:textId="08958648" w:rsidR="00ED610E" w:rsidRPr="00A07F29" w:rsidRDefault="004D49B0" w:rsidP="00904DDF">
            <w:pPr>
              <w:spacing w:after="0" w:line="240" w:lineRule="auto"/>
              <w:rPr>
                <w:rFonts w:ascii="Times New Roman" w:eastAsia="Calibri" w:hAnsi="Times New Roman" w:cs="Times New Roman"/>
              </w:rPr>
            </w:pPr>
            <w:r w:rsidRPr="00A07F29">
              <w:rPr>
                <w:rFonts w:ascii="Times New Roman" w:eastAsia="Calibri" w:hAnsi="Times New Roman" w:cs="Times New Roman"/>
              </w:rPr>
              <w:t xml:space="preserve">Skats uz Daugavu no </w:t>
            </w:r>
            <w:proofErr w:type="spellStart"/>
            <w:r w:rsidRPr="00A07F29">
              <w:rPr>
                <w:rFonts w:ascii="Times New Roman" w:eastAsia="Calibri" w:hAnsi="Times New Roman" w:cs="Times New Roman"/>
              </w:rPr>
              <w:t>Ververu</w:t>
            </w:r>
            <w:proofErr w:type="spellEnd"/>
            <w:r w:rsidRPr="00A07F29">
              <w:rPr>
                <w:rFonts w:ascii="Times New Roman" w:eastAsia="Calibri" w:hAnsi="Times New Roman" w:cs="Times New Roman"/>
              </w:rPr>
              <w:t xml:space="preserve"> kraujas un blakus esošās atpūtas vietas</w:t>
            </w:r>
          </w:p>
        </w:tc>
        <w:tc>
          <w:tcPr>
            <w:tcW w:w="997" w:type="dxa"/>
          </w:tcPr>
          <w:p w14:paraId="233A633E" w14:textId="77777777" w:rsidR="00ED610E" w:rsidRPr="00A07F29" w:rsidRDefault="00ED610E" w:rsidP="00904DDF">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1,27</w:t>
            </w:r>
          </w:p>
        </w:tc>
        <w:tc>
          <w:tcPr>
            <w:tcW w:w="2551" w:type="dxa"/>
          </w:tcPr>
          <w:p w14:paraId="11FE0A95" w14:textId="643ACF09" w:rsidR="00ED610E" w:rsidRPr="00A07F29" w:rsidRDefault="00ED610E" w:rsidP="00904DDF">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Krauju nepieciešams attīrīt no krūmājiem un kokiem, lai atvērtu plašāku skatu uz Daugavu un no Daugavas uz krauju</w:t>
            </w:r>
            <w:r w:rsidR="00A636FE">
              <w:rPr>
                <w:rFonts w:ascii="Times New Roman" w:eastAsia="Calibri" w:hAnsi="Times New Roman" w:cs="Times New Roman"/>
              </w:rPr>
              <w:t>.</w:t>
            </w:r>
          </w:p>
        </w:tc>
        <w:tc>
          <w:tcPr>
            <w:tcW w:w="3693" w:type="dxa"/>
          </w:tcPr>
          <w:p w14:paraId="59E8AD6D" w14:textId="77777777" w:rsidR="00ED610E" w:rsidRPr="00A07F29" w:rsidRDefault="00ED610E" w:rsidP="00904DDF">
            <w:pPr>
              <w:spacing w:after="0" w:line="240" w:lineRule="auto"/>
              <w:jc w:val="both"/>
              <w:rPr>
                <w:rFonts w:ascii="Times New Roman" w:eastAsia="Calibri" w:hAnsi="Times New Roman" w:cs="Times New Roman"/>
              </w:rPr>
            </w:pPr>
            <w:r w:rsidRPr="00A07F29">
              <w:rPr>
                <w:noProof/>
                <w:lang w:eastAsia="lv-LV"/>
              </w:rPr>
              <w:drawing>
                <wp:inline distT="0" distB="0" distL="0" distR="0" wp14:anchorId="495C6F5E" wp14:editId="6A26B71A">
                  <wp:extent cx="2207895" cy="2009775"/>
                  <wp:effectExtent l="0" t="0" r="1905" b="952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pic:nvPicPr>
                        <pic:blipFill>
                          <a:blip r:embed="rId164">
                            <a:extLst>
                              <a:ext uri="{28A0092B-C50C-407E-A947-70E740481C1C}">
                                <a14:useLocalDpi xmlns:a14="http://schemas.microsoft.com/office/drawing/2010/main"/>
                              </a:ext>
                            </a:extLst>
                          </a:blip>
                          <a:stretch>
                            <a:fillRect/>
                          </a:stretch>
                        </pic:blipFill>
                        <pic:spPr>
                          <a:xfrm>
                            <a:off x="0" y="0"/>
                            <a:ext cx="2207895" cy="2009775"/>
                          </a:xfrm>
                          <a:prstGeom prst="rect">
                            <a:avLst/>
                          </a:prstGeom>
                        </pic:spPr>
                      </pic:pic>
                    </a:graphicData>
                  </a:graphic>
                </wp:inline>
              </w:drawing>
            </w:r>
          </w:p>
        </w:tc>
      </w:tr>
      <w:tr w:rsidR="00ED610E" w:rsidRPr="00A07F29" w14:paraId="1AFF3F12" w14:textId="77777777" w:rsidTr="63C42FA1">
        <w:trPr>
          <w:jc w:val="center"/>
        </w:trPr>
        <w:tc>
          <w:tcPr>
            <w:tcW w:w="709" w:type="dxa"/>
          </w:tcPr>
          <w:p w14:paraId="3C653EFF" w14:textId="77777777" w:rsidR="00ED610E" w:rsidRPr="00A07F29" w:rsidRDefault="00ED610E" w:rsidP="00F87589">
            <w:pPr>
              <w:numPr>
                <w:ilvl w:val="0"/>
                <w:numId w:val="42"/>
              </w:numPr>
              <w:spacing w:after="0" w:line="240" w:lineRule="auto"/>
              <w:ind w:left="0"/>
              <w:jc w:val="right"/>
              <w:rPr>
                <w:rFonts w:ascii="Times New Roman" w:eastAsia="Calibri" w:hAnsi="Times New Roman" w:cs="Times New Roman"/>
                <w:b/>
              </w:rPr>
            </w:pPr>
          </w:p>
        </w:tc>
        <w:tc>
          <w:tcPr>
            <w:tcW w:w="1843" w:type="dxa"/>
          </w:tcPr>
          <w:p w14:paraId="132E9DF9" w14:textId="77777777" w:rsidR="00ED610E" w:rsidRPr="00A07F29" w:rsidRDefault="00ED610E" w:rsidP="00904DDF">
            <w:pPr>
              <w:spacing w:after="0" w:line="240" w:lineRule="auto"/>
              <w:rPr>
                <w:rFonts w:ascii="Times New Roman" w:eastAsia="Calibri" w:hAnsi="Times New Roman" w:cs="Times New Roman"/>
              </w:rPr>
            </w:pPr>
            <w:r w:rsidRPr="00A07F29">
              <w:rPr>
                <w:rFonts w:ascii="Times New Roman" w:eastAsia="Calibri" w:hAnsi="Times New Roman" w:cs="Times New Roman"/>
              </w:rPr>
              <w:t xml:space="preserve">Skats uz Daugavu no </w:t>
            </w:r>
            <w:proofErr w:type="spellStart"/>
            <w:r w:rsidRPr="00A07F29">
              <w:rPr>
                <w:rFonts w:ascii="Times New Roman" w:eastAsia="Calibri" w:hAnsi="Times New Roman" w:cs="Times New Roman"/>
              </w:rPr>
              <w:t>Slutišķu</w:t>
            </w:r>
            <w:proofErr w:type="spellEnd"/>
            <w:r w:rsidRPr="00A07F29">
              <w:rPr>
                <w:rFonts w:ascii="Times New Roman" w:eastAsia="Calibri" w:hAnsi="Times New Roman" w:cs="Times New Roman"/>
              </w:rPr>
              <w:t xml:space="preserve"> kraujas</w:t>
            </w:r>
          </w:p>
        </w:tc>
        <w:tc>
          <w:tcPr>
            <w:tcW w:w="997" w:type="dxa"/>
          </w:tcPr>
          <w:p w14:paraId="7E6F0B0E" w14:textId="77777777" w:rsidR="00ED610E" w:rsidRPr="00A07F29" w:rsidRDefault="00ED610E" w:rsidP="00904DDF">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1,49</w:t>
            </w:r>
          </w:p>
        </w:tc>
        <w:tc>
          <w:tcPr>
            <w:tcW w:w="2551" w:type="dxa"/>
          </w:tcPr>
          <w:p w14:paraId="050821BC" w14:textId="77777777" w:rsidR="00ED610E" w:rsidRPr="00A07F29" w:rsidRDefault="00ED610E" w:rsidP="00904DDF">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LVM ierīkota atpūtas vieta daļēji attīrītā no kokiem un krūmājiem. Krauju nepieciešams attīrīt no krūmājiem un kokiem, lai atvērtu plašāku skatu uz Daugavu un no Daugavas uz krauju.</w:t>
            </w:r>
          </w:p>
        </w:tc>
        <w:tc>
          <w:tcPr>
            <w:tcW w:w="3693" w:type="dxa"/>
          </w:tcPr>
          <w:p w14:paraId="2402D056" w14:textId="77777777" w:rsidR="00ED610E" w:rsidRPr="00A07F29" w:rsidRDefault="00ED610E" w:rsidP="00904DDF">
            <w:pPr>
              <w:spacing w:after="0" w:line="240" w:lineRule="auto"/>
              <w:jc w:val="both"/>
              <w:rPr>
                <w:rFonts w:ascii="Times New Roman" w:eastAsia="Calibri" w:hAnsi="Times New Roman" w:cs="Times New Roman"/>
              </w:rPr>
            </w:pPr>
            <w:r w:rsidRPr="00A07F29">
              <w:rPr>
                <w:noProof/>
                <w:lang w:eastAsia="lv-LV"/>
              </w:rPr>
              <w:drawing>
                <wp:inline distT="0" distB="0" distL="0" distR="0" wp14:anchorId="1CE48B1C" wp14:editId="3D94A8B7">
                  <wp:extent cx="2207895" cy="1870075"/>
                  <wp:effectExtent l="0" t="0" r="190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pic:nvPicPr>
                        <pic:blipFill>
                          <a:blip r:embed="rId165">
                            <a:extLst>
                              <a:ext uri="{28A0092B-C50C-407E-A947-70E740481C1C}">
                                <a14:useLocalDpi xmlns:a14="http://schemas.microsoft.com/office/drawing/2010/main"/>
                              </a:ext>
                            </a:extLst>
                          </a:blip>
                          <a:stretch>
                            <a:fillRect/>
                          </a:stretch>
                        </pic:blipFill>
                        <pic:spPr>
                          <a:xfrm>
                            <a:off x="0" y="0"/>
                            <a:ext cx="2207895" cy="1870075"/>
                          </a:xfrm>
                          <a:prstGeom prst="rect">
                            <a:avLst/>
                          </a:prstGeom>
                        </pic:spPr>
                      </pic:pic>
                    </a:graphicData>
                  </a:graphic>
                </wp:inline>
              </w:drawing>
            </w:r>
          </w:p>
        </w:tc>
      </w:tr>
      <w:tr w:rsidR="00ED610E" w:rsidRPr="00A07F29" w14:paraId="6CB7AA81" w14:textId="77777777" w:rsidTr="63C42FA1">
        <w:trPr>
          <w:jc w:val="center"/>
        </w:trPr>
        <w:tc>
          <w:tcPr>
            <w:tcW w:w="709" w:type="dxa"/>
          </w:tcPr>
          <w:p w14:paraId="4D23687C" w14:textId="77777777" w:rsidR="00ED610E" w:rsidRPr="00A07F29" w:rsidRDefault="00ED610E" w:rsidP="00F87589">
            <w:pPr>
              <w:numPr>
                <w:ilvl w:val="0"/>
                <w:numId w:val="42"/>
              </w:numPr>
              <w:spacing w:after="0" w:line="240" w:lineRule="auto"/>
              <w:ind w:left="0"/>
              <w:jc w:val="right"/>
              <w:rPr>
                <w:rFonts w:ascii="Times New Roman" w:eastAsia="Calibri" w:hAnsi="Times New Roman" w:cs="Times New Roman"/>
                <w:b/>
              </w:rPr>
            </w:pPr>
          </w:p>
        </w:tc>
        <w:tc>
          <w:tcPr>
            <w:tcW w:w="1843" w:type="dxa"/>
          </w:tcPr>
          <w:p w14:paraId="626C39CE" w14:textId="77777777" w:rsidR="00ED610E" w:rsidRPr="00A07F29" w:rsidRDefault="00ED610E" w:rsidP="00904DDF">
            <w:pPr>
              <w:spacing w:after="0" w:line="240" w:lineRule="auto"/>
              <w:rPr>
                <w:rFonts w:ascii="Times New Roman" w:eastAsia="Calibri" w:hAnsi="Times New Roman" w:cs="Times New Roman"/>
              </w:rPr>
            </w:pPr>
            <w:r w:rsidRPr="00A07F29">
              <w:rPr>
                <w:rFonts w:ascii="Times New Roman" w:eastAsia="Calibri" w:hAnsi="Times New Roman" w:cs="Times New Roman"/>
              </w:rPr>
              <w:t xml:space="preserve">Skatu punkts pie </w:t>
            </w:r>
            <w:proofErr w:type="spellStart"/>
            <w:r w:rsidRPr="00A07F29">
              <w:rPr>
                <w:rFonts w:ascii="Times New Roman" w:eastAsia="Calibri" w:hAnsi="Times New Roman" w:cs="Times New Roman"/>
              </w:rPr>
              <w:t>Slutišķu</w:t>
            </w:r>
            <w:proofErr w:type="spellEnd"/>
            <w:r w:rsidRPr="00A07F29">
              <w:rPr>
                <w:rFonts w:ascii="Times New Roman" w:eastAsia="Calibri" w:hAnsi="Times New Roman" w:cs="Times New Roman"/>
              </w:rPr>
              <w:t xml:space="preserve"> sādžas. </w:t>
            </w:r>
          </w:p>
          <w:p w14:paraId="6CF28F17" w14:textId="77777777" w:rsidR="00ED610E" w:rsidRPr="00A07F29" w:rsidRDefault="00ED610E" w:rsidP="00904DDF">
            <w:pPr>
              <w:spacing w:after="0" w:line="240" w:lineRule="auto"/>
              <w:rPr>
                <w:rFonts w:ascii="Times New Roman" w:eastAsia="Calibri" w:hAnsi="Times New Roman" w:cs="Times New Roman"/>
              </w:rPr>
            </w:pPr>
            <w:r w:rsidRPr="00A07F29">
              <w:rPr>
                <w:rFonts w:ascii="Times New Roman" w:eastAsia="Calibri" w:hAnsi="Times New Roman" w:cs="Times New Roman"/>
              </w:rPr>
              <w:t>Tālās panorāmas skats uz Daugavu (“Daugavas vārtiem”)</w:t>
            </w:r>
          </w:p>
        </w:tc>
        <w:tc>
          <w:tcPr>
            <w:tcW w:w="997" w:type="dxa"/>
          </w:tcPr>
          <w:p w14:paraId="30685DD7" w14:textId="77777777" w:rsidR="00ED610E" w:rsidRPr="00A07F29" w:rsidRDefault="00ED610E" w:rsidP="00904DDF">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20,39</w:t>
            </w:r>
          </w:p>
        </w:tc>
        <w:tc>
          <w:tcPr>
            <w:tcW w:w="2551" w:type="dxa"/>
          </w:tcPr>
          <w:p w14:paraId="2EE4DDF1" w14:textId="403F5AB8" w:rsidR="00ED610E" w:rsidRPr="00A07F29" w:rsidRDefault="00ED610E" w:rsidP="00904DDF">
            <w:pPr>
              <w:spacing w:after="0" w:line="240" w:lineRule="auto"/>
              <w:jc w:val="both"/>
              <w:rPr>
                <w:rFonts w:ascii="Times New Roman" w:eastAsia="Calibri" w:hAnsi="Times New Roman" w:cs="Times New Roman"/>
              </w:rPr>
            </w:pPr>
            <w:proofErr w:type="spellStart"/>
            <w:r w:rsidRPr="00A07F29">
              <w:rPr>
                <w:rFonts w:ascii="Times New Roman" w:eastAsia="Calibri" w:hAnsi="Times New Roman" w:cs="Times New Roman"/>
              </w:rPr>
              <w:t>Slutišķu</w:t>
            </w:r>
            <w:proofErr w:type="spellEnd"/>
            <w:r w:rsidRPr="00A07F29">
              <w:rPr>
                <w:rFonts w:ascii="Times New Roman" w:eastAsia="Calibri" w:hAnsi="Times New Roman" w:cs="Times New Roman"/>
              </w:rPr>
              <w:t xml:space="preserve"> sādža valsts nozīmes arhitektūras piemineklis (valsts aizsardzības Nr.</w:t>
            </w:r>
            <w:r w:rsidR="00C56402">
              <w:rPr>
                <w:rFonts w:ascii="Times New Roman" w:eastAsia="Calibri" w:hAnsi="Times New Roman" w:cs="Times New Roman"/>
              </w:rPr>
              <w:t> </w:t>
            </w:r>
            <w:r w:rsidRPr="00A07F29">
              <w:rPr>
                <w:rFonts w:ascii="Times New Roman" w:eastAsia="Calibri" w:hAnsi="Times New Roman" w:cs="Times New Roman"/>
              </w:rPr>
              <w:t xml:space="preserve">8986), </w:t>
            </w:r>
            <w:proofErr w:type="spellStart"/>
            <w:r w:rsidRPr="00A07F29">
              <w:rPr>
                <w:rFonts w:ascii="Times New Roman" w:eastAsia="Calibri" w:hAnsi="Times New Roman" w:cs="Times New Roman"/>
              </w:rPr>
              <w:t>Slutišķu</w:t>
            </w:r>
            <w:proofErr w:type="spellEnd"/>
            <w:r w:rsidRPr="00A07F29">
              <w:rPr>
                <w:rFonts w:ascii="Times New Roman" w:eastAsia="Calibri" w:hAnsi="Times New Roman" w:cs="Times New Roman"/>
              </w:rPr>
              <w:t xml:space="preserve"> viduslaiku kapsēta un apmetne vietējas nozīmes arheoloģijas piemineklis (valsts aizsardzības Nr.</w:t>
            </w:r>
            <w:r w:rsidR="00810DFA">
              <w:rPr>
                <w:rFonts w:ascii="Times New Roman" w:eastAsia="Calibri" w:hAnsi="Times New Roman" w:cs="Times New Roman"/>
              </w:rPr>
              <w:t> </w:t>
            </w:r>
            <w:r w:rsidRPr="00A07F29">
              <w:rPr>
                <w:rFonts w:ascii="Times New Roman" w:eastAsia="Calibri" w:hAnsi="Times New Roman" w:cs="Times New Roman"/>
              </w:rPr>
              <w:t>679). Skatu sakopšanai, nepieciešams attīrīt uzkalniņu no vizuāli nepievilcīgiem objektiem. Skatu saglabāšanai nav pieļaujama uzkalniņa aizaugšan</w:t>
            </w:r>
            <w:r w:rsidR="00810DFA">
              <w:rPr>
                <w:rFonts w:ascii="Times New Roman" w:eastAsia="Calibri" w:hAnsi="Times New Roman" w:cs="Times New Roman"/>
              </w:rPr>
              <w:t>a</w:t>
            </w:r>
            <w:r w:rsidRPr="00A07F29">
              <w:rPr>
                <w:rFonts w:ascii="Times New Roman" w:eastAsia="Calibri" w:hAnsi="Times New Roman" w:cs="Times New Roman"/>
              </w:rPr>
              <w:t>. Veicot jaunu būvniecību, pārbūvi vai atjaunošanu</w:t>
            </w:r>
            <w:r w:rsidR="00776AF5">
              <w:rPr>
                <w:rFonts w:ascii="Times New Roman" w:eastAsia="Calibri" w:hAnsi="Times New Roman" w:cs="Times New Roman"/>
              </w:rPr>
              <w:t>,</w:t>
            </w:r>
            <w:r w:rsidR="00D65BBA" w:rsidRPr="00A07F29">
              <w:rPr>
                <w:rFonts w:ascii="Times New Roman" w:eastAsia="Calibri" w:hAnsi="Times New Roman" w:cs="Times New Roman"/>
              </w:rPr>
              <w:t xml:space="preserve"> </w:t>
            </w:r>
            <w:r w:rsidRPr="00A07F29">
              <w:rPr>
                <w:rFonts w:ascii="Times New Roman" w:eastAsia="Calibri" w:hAnsi="Times New Roman" w:cs="Times New Roman"/>
              </w:rPr>
              <w:t xml:space="preserve">arhitektoniskais </w:t>
            </w:r>
            <w:r w:rsidRPr="00A07F29">
              <w:rPr>
                <w:rFonts w:ascii="Times New Roman" w:eastAsia="Calibri" w:hAnsi="Times New Roman" w:cs="Times New Roman"/>
              </w:rPr>
              <w:lastRenderedPageBreak/>
              <w:t>risinājums nedrīkst mainīt kultūrvēsturiskās un dabas ainavas vizuālo uztveri. Jaunu būvniecību, pārbūvi vai atjaunošanu nepieciešams saskaņot ar NKMP.</w:t>
            </w:r>
          </w:p>
        </w:tc>
        <w:tc>
          <w:tcPr>
            <w:tcW w:w="3693" w:type="dxa"/>
            <w:vMerge w:val="restart"/>
          </w:tcPr>
          <w:p w14:paraId="1D23426A" w14:textId="77777777" w:rsidR="00ED610E" w:rsidRPr="00A07F29" w:rsidRDefault="00ED610E" w:rsidP="00904DDF">
            <w:pPr>
              <w:spacing w:after="0" w:line="240" w:lineRule="auto"/>
              <w:jc w:val="both"/>
              <w:rPr>
                <w:rFonts w:ascii="Times New Roman" w:eastAsia="Calibri" w:hAnsi="Times New Roman" w:cs="Times New Roman"/>
              </w:rPr>
            </w:pPr>
            <w:r w:rsidRPr="00A07F29">
              <w:rPr>
                <w:noProof/>
                <w:lang w:eastAsia="lv-LV"/>
              </w:rPr>
              <w:lastRenderedPageBreak/>
              <w:drawing>
                <wp:inline distT="0" distB="0" distL="0" distR="0" wp14:anchorId="130072D7" wp14:editId="1BE2C7B4">
                  <wp:extent cx="2207895" cy="2127885"/>
                  <wp:effectExtent l="0" t="0" r="1905" b="5715"/>
                  <wp:docPr id="46"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pic:nvPicPr>
                        <pic:blipFill>
                          <a:blip r:embed="rId166">
                            <a:extLst>
                              <a:ext uri="{28A0092B-C50C-407E-A947-70E740481C1C}">
                                <a14:useLocalDpi xmlns:a14="http://schemas.microsoft.com/office/drawing/2010/main"/>
                              </a:ext>
                            </a:extLst>
                          </a:blip>
                          <a:stretch>
                            <a:fillRect/>
                          </a:stretch>
                        </pic:blipFill>
                        <pic:spPr>
                          <a:xfrm>
                            <a:off x="0" y="0"/>
                            <a:ext cx="2207895" cy="2127885"/>
                          </a:xfrm>
                          <a:prstGeom prst="rect">
                            <a:avLst/>
                          </a:prstGeom>
                        </pic:spPr>
                      </pic:pic>
                    </a:graphicData>
                  </a:graphic>
                </wp:inline>
              </w:drawing>
            </w:r>
          </w:p>
        </w:tc>
      </w:tr>
      <w:tr w:rsidR="00ED610E" w:rsidRPr="00A07F29" w14:paraId="3F5A8E88" w14:textId="77777777" w:rsidTr="63C42FA1">
        <w:trPr>
          <w:jc w:val="center"/>
        </w:trPr>
        <w:tc>
          <w:tcPr>
            <w:tcW w:w="709" w:type="dxa"/>
          </w:tcPr>
          <w:p w14:paraId="5D151A70" w14:textId="77777777" w:rsidR="00ED610E" w:rsidRPr="00A07F29" w:rsidRDefault="00ED610E" w:rsidP="00F87589">
            <w:pPr>
              <w:numPr>
                <w:ilvl w:val="0"/>
                <w:numId w:val="42"/>
              </w:numPr>
              <w:spacing w:after="0" w:line="240" w:lineRule="auto"/>
              <w:ind w:left="0"/>
              <w:jc w:val="right"/>
              <w:rPr>
                <w:rFonts w:ascii="Times New Roman" w:eastAsia="Calibri" w:hAnsi="Times New Roman" w:cs="Times New Roman"/>
                <w:b/>
              </w:rPr>
            </w:pPr>
          </w:p>
        </w:tc>
        <w:tc>
          <w:tcPr>
            <w:tcW w:w="1843" w:type="dxa"/>
          </w:tcPr>
          <w:p w14:paraId="0DA41308" w14:textId="77777777" w:rsidR="00ED610E" w:rsidRPr="00A07F29" w:rsidRDefault="00ED610E" w:rsidP="00904DDF">
            <w:pPr>
              <w:spacing w:after="0" w:line="240" w:lineRule="auto"/>
              <w:rPr>
                <w:rFonts w:ascii="Times New Roman" w:eastAsia="Calibri" w:hAnsi="Times New Roman" w:cs="Times New Roman"/>
              </w:rPr>
            </w:pPr>
            <w:r w:rsidRPr="00A07F29">
              <w:rPr>
                <w:rFonts w:ascii="Times New Roman" w:eastAsia="Calibri" w:hAnsi="Times New Roman" w:cs="Times New Roman"/>
              </w:rPr>
              <w:t xml:space="preserve">Skatu punkts no </w:t>
            </w:r>
            <w:proofErr w:type="spellStart"/>
            <w:r w:rsidRPr="00A07F29">
              <w:rPr>
                <w:rFonts w:ascii="Times New Roman" w:eastAsia="Calibri" w:hAnsi="Times New Roman" w:cs="Times New Roman"/>
              </w:rPr>
              <w:t>Slutišķu</w:t>
            </w:r>
            <w:proofErr w:type="spellEnd"/>
            <w:r w:rsidRPr="00A07F29">
              <w:rPr>
                <w:rFonts w:ascii="Times New Roman" w:eastAsia="Calibri" w:hAnsi="Times New Roman" w:cs="Times New Roman"/>
              </w:rPr>
              <w:t xml:space="preserve"> estrādes. </w:t>
            </w:r>
          </w:p>
        </w:tc>
        <w:tc>
          <w:tcPr>
            <w:tcW w:w="997" w:type="dxa"/>
          </w:tcPr>
          <w:p w14:paraId="6A7AD34D" w14:textId="77777777" w:rsidR="00ED610E" w:rsidRPr="00A07F29" w:rsidRDefault="00ED610E" w:rsidP="00904DDF">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0,73</w:t>
            </w:r>
          </w:p>
        </w:tc>
        <w:tc>
          <w:tcPr>
            <w:tcW w:w="2551" w:type="dxa"/>
          </w:tcPr>
          <w:p w14:paraId="05091010" w14:textId="77777777" w:rsidR="00ED610E" w:rsidRPr="00A07F29" w:rsidRDefault="00ED610E" w:rsidP="00904DDF">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Skatu saglabāšanai, nav pieļaujama krasta aizaugšana ar krūmājiem un kokiem. Nepieciešama regulāra krasta tīrīšana un estrādes uzturēšana.</w:t>
            </w:r>
          </w:p>
        </w:tc>
        <w:tc>
          <w:tcPr>
            <w:tcW w:w="3693" w:type="dxa"/>
            <w:vMerge/>
          </w:tcPr>
          <w:p w14:paraId="47B9D62E" w14:textId="77777777" w:rsidR="00ED610E" w:rsidRPr="00A07F29" w:rsidRDefault="00ED610E" w:rsidP="00904DDF">
            <w:pPr>
              <w:spacing w:after="0" w:line="240" w:lineRule="auto"/>
              <w:ind w:firstLine="851"/>
              <w:jc w:val="both"/>
              <w:rPr>
                <w:rFonts w:ascii="Times New Roman" w:eastAsia="Calibri" w:hAnsi="Times New Roman" w:cs="Times New Roman"/>
              </w:rPr>
            </w:pPr>
          </w:p>
        </w:tc>
      </w:tr>
      <w:tr w:rsidR="00ED610E" w:rsidRPr="00A07F29" w14:paraId="5590E715" w14:textId="77777777" w:rsidTr="63C42FA1">
        <w:trPr>
          <w:jc w:val="center"/>
        </w:trPr>
        <w:tc>
          <w:tcPr>
            <w:tcW w:w="709" w:type="dxa"/>
          </w:tcPr>
          <w:p w14:paraId="101ADFDC" w14:textId="77777777" w:rsidR="00ED610E" w:rsidRPr="00A07F29" w:rsidRDefault="00ED610E" w:rsidP="00F87589">
            <w:pPr>
              <w:numPr>
                <w:ilvl w:val="0"/>
                <w:numId w:val="42"/>
              </w:numPr>
              <w:spacing w:after="0" w:line="240" w:lineRule="auto"/>
              <w:ind w:left="0"/>
              <w:jc w:val="right"/>
              <w:rPr>
                <w:rFonts w:ascii="Times New Roman" w:eastAsia="Calibri" w:hAnsi="Times New Roman" w:cs="Times New Roman"/>
                <w:b/>
              </w:rPr>
            </w:pPr>
          </w:p>
        </w:tc>
        <w:tc>
          <w:tcPr>
            <w:tcW w:w="1843" w:type="dxa"/>
          </w:tcPr>
          <w:p w14:paraId="720AB656" w14:textId="77777777" w:rsidR="00ED610E" w:rsidRPr="00A07F29" w:rsidRDefault="00ED610E" w:rsidP="00904DDF">
            <w:pPr>
              <w:spacing w:after="0" w:line="240" w:lineRule="auto"/>
              <w:rPr>
                <w:rFonts w:ascii="Times New Roman" w:eastAsia="Calibri" w:hAnsi="Times New Roman" w:cs="Times New Roman"/>
              </w:rPr>
            </w:pPr>
            <w:r w:rsidRPr="00A07F29">
              <w:rPr>
                <w:rFonts w:ascii="Times New Roman" w:eastAsia="Calibri" w:hAnsi="Times New Roman" w:cs="Times New Roman"/>
              </w:rPr>
              <w:t xml:space="preserve">Skatu punkts no </w:t>
            </w:r>
            <w:proofErr w:type="spellStart"/>
            <w:r w:rsidRPr="00A07F29">
              <w:rPr>
                <w:rFonts w:ascii="Times New Roman" w:eastAsia="Calibri" w:hAnsi="Times New Roman" w:cs="Times New Roman"/>
              </w:rPr>
              <w:t>Markovas</w:t>
            </w:r>
            <w:proofErr w:type="spellEnd"/>
            <w:r w:rsidRPr="00A07F29">
              <w:rPr>
                <w:rFonts w:ascii="Times New Roman" w:eastAsia="Calibri" w:hAnsi="Times New Roman" w:cs="Times New Roman"/>
              </w:rPr>
              <w:t xml:space="preserve"> pilskalna</w:t>
            </w:r>
          </w:p>
        </w:tc>
        <w:tc>
          <w:tcPr>
            <w:tcW w:w="997" w:type="dxa"/>
          </w:tcPr>
          <w:p w14:paraId="20020305" w14:textId="77777777" w:rsidR="00ED610E" w:rsidRPr="00A07F29" w:rsidRDefault="00ED610E" w:rsidP="00904DDF">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0,90</w:t>
            </w:r>
          </w:p>
        </w:tc>
        <w:tc>
          <w:tcPr>
            <w:tcW w:w="2551" w:type="dxa"/>
          </w:tcPr>
          <w:p w14:paraId="083AA160" w14:textId="17E4BB91" w:rsidR="00ED610E" w:rsidRPr="00A07F29" w:rsidRDefault="00ED610E" w:rsidP="00904DDF">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Valsts nozīmes arheoloģijas piemineklis (valsts aizsardzības Nr.</w:t>
            </w:r>
            <w:r w:rsidR="001C41E8">
              <w:rPr>
                <w:rFonts w:ascii="Times New Roman" w:eastAsia="Calibri" w:hAnsi="Times New Roman" w:cs="Times New Roman"/>
              </w:rPr>
              <w:t> </w:t>
            </w:r>
            <w:r w:rsidRPr="00A07F29">
              <w:rPr>
                <w:rFonts w:ascii="Times New Roman" w:eastAsia="Calibri" w:hAnsi="Times New Roman" w:cs="Times New Roman"/>
              </w:rPr>
              <w:t xml:space="preserve">675). Izveidota </w:t>
            </w:r>
            <w:proofErr w:type="spellStart"/>
            <w:r w:rsidRPr="00A07F29">
              <w:rPr>
                <w:rFonts w:ascii="Times New Roman" w:eastAsia="Calibri" w:hAnsi="Times New Roman" w:cs="Times New Roman"/>
              </w:rPr>
              <w:t>Markovas</w:t>
            </w:r>
            <w:proofErr w:type="spellEnd"/>
            <w:r w:rsidRPr="00A07F29">
              <w:rPr>
                <w:rFonts w:ascii="Times New Roman" w:eastAsia="Calibri" w:hAnsi="Times New Roman" w:cs="Times New Roman"/>
              </w:rPr>
              <w:t xml:space="preserve"> izziņu taka un pilskalnā uzstādīta skatu platforma, daļēji iztīrīts no kokiem un krūmājiem, bet ne pietiekami. Lai atvērtu plašāku skatu uz Daugavu</w:t>
            </w:r>
            <w:r w:rsidR="009740CB" w:rsidRPr="00A07F29">
              <w:rPr>
                <w:rFonts w:ascii="Times New Roman" w:eastAsia="Calibri" w:hAnsi="Times New Roman" w:cs="Times New Roman"/>
              </w:rPr>
              <w:t>,</w:t>
            </w:r>
            <w:r w:rsidRPr="00A07F29">
              <w:rPr>
                <w:rFonts w:ascii="Times New Roman" w:eastAsia="Calibri" w:hAnsi="Times New Roman" w:cs="Times New Roman"/>
              </w:rPr>
              <w:t xml:space="preserve"> nepieciešams paretināt priežu apaugumu.</w:t>
            </w:r>
          </w:p>
        </w:tc>
        <w:tc>
          <w:tcPr>
            <w:tcW w:w="3693" w:type="dxa"/>
          </w:tcPr>
          <w:p w14:paraId="4C4D8916" w14:textId="77777777" w:rsidR="00ED610E" w:rsidRPr="00A07F29" w:rsidRDefault="00ED610E" w:rsidP="00904DDF">
            <w:pPr>
              <w:spacing w:after="0" w:line="240" w:lineRule="auto"/>
              <w:jc w:val="both"/>
              <w:rPr>
                <w:rFonts w:ascii="Times New Roman" w:eastAsia="Calibri" w:hAnsi="Times New Roman" w:cs="Times New Roman"/>
              </w:rPr>
            </w:pPr>
            <w:r w:rsidRPr="00A07F29">
              <w:rPr>
                <w:noProof/>
                <w:lang w:eastAsia="lv-LV"/>
              </w:rPr>
              <w:drawing>
                <wp:inline distT="0" distB="0" distL="0" distR="0" wp14:anchorId="735E40D9" wp14:editId="3CB7AAA7">
                  <wp:extent cx="2207895" cy="1754505"/>
                  <wp:effectExtent l="0" t="0" r="1905" b="0"/>
                  <wp:docPr id="52"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pic:nvPicPr>
                        <pic:blipFill>
                          <a:blip r:embed="rId167">
                            <a:extLst>
                              <a:ext uri="{28A0092B-C50C-407E-A947-70E740481C1C}">
                                <a14:useLocalDpi xmlns:a14="http://schemas.microsoft.com/office/drawing/2010/main"/>
                              </a:ext>
                            </a:extLst>
                          </a:blip>
                          <a:stretch>
                            <a:fillRect/>
                          </a:stretch>
                        </pic:blipFill>
                        <pic:spPr>
                          <a:xfrm>
                            <a:off x="0" y="0"/>
                            <a:ext cx="2207895" cy="1754505"/>
                          </a:xfrm>
                          <a:prstGeom prst="rect">
                            <a:avLst/>
                          </a:prstGeom>
                        </pic:spPr>
                      </pic:pic>
                    </a:graphicData>
                  </a:graphic>
                </wp:inline>
              </w:drawing>
            </w:r>
          </w:p>
        </w:tc>
      </w:tr>
      <w:tr w:rsidR="00ED610E" w:rsidRPr="00A07F29" w14:paraId="78627F52" w14:textId="77777777" w:rsidTr="63C42FA1">
        <w:trPr>
          <w:jc w:val="center"/>
        </w:trPr>
        <w:tc>
          <w:tcPr>
            <w:tcW w:w="709" w:type="dxa"/>
          </w:tcPr>
          <w:p w14:paraId="32FE0585" w14:textId="77777777" w:rsidR="00ED610E" w:rsidRPr="00A07F29" w:rsidRDefault="00ED610E" w:rsidP="00F87589">
            <w:pPr>
              <w:numPr>
                <w:ilvl w:val="0"/>
                <w:numId w:val="42"/>
              </w:numPr>
              <w:spacing w:after="0" w:line="240" w:lineRule="auto"/>
              <w:ind w:left="0"/>
              <w:jc w:val="right"/>
              <w:rPr>
                <w:rFonts w:ascii="Times New Roman" w:eastAsia="Calibri" w:hAnsi="Times New Roman" w:cs="Times New Roman"/>
                <w:b/>
              </w:rPr>
            </w:pPr>
          </w:p>
        </w:tc>
        <w:tc>
          <w:tcPr>
            <w:tcW w:w="1843" w:type="dxa"/>
          </w:tcPr>
          <w:p w14:paraId="56268094" w14:textId="77777777" w:rsidR="00ED610E" w:rsidRPr="00A07F29" w:rsidRDefault="00ED610E" w:rsidP="00904DDF">
            <w:pPr>
              <w:spacing w:after="0" w:line="240" w:lineRule="auto"/>
              <w:rPr>
                <w:rFonts w:ascii="Times New Roman" w:eastAsia="Calibri" w:hAnsi="Times New Roman" w:cs="Times New Roman"/>
              </w:rPr>
            </w:pPr>
            <w:r w:rsidRPr="00A07F29">
              <w:rPr>
                <w:rFonts w:ascii="Times New Roman" w:eastAsia="Calibri" w:hAnsi="Times New Roman" w:cs="Times New Roman"/>
              </w:rPr>
              <w:t xml:space="preserve">Skatu punkts (skatu platforma) no </w:t>
            </w:r>
            <w:proofErr w:type="spellStart"/>
            <w:r w:rsidRPr="00A07F29">
              <w:rPr>
                <w:rFonts w:ascii="Times New Roman" w:eastAsia="Calibri" w:hAnsi="Times New Roman" w:cs="Times New Roman"/>
              </w:rPr>
              <w:t>Vecračinas</w:t>
            </w:r>
            <w:proofErr w:type="spellEnd"/>
            <w:r w:rsidRPr="00A07F29">
              <w:rPr>
                <w:rFonts w:ascii="Times New Roman" w:eastAsia="Calibri" w:hAnsi="Times New Roman" w:cs="Times New Roman"/>
              </w:rPr>
              <w:t xml:space="preserve"> pilskalna</w:t>
            </w:r>
          </w:p>
        </w:tc>
        <w:tc>
          <w:tcPr>
            <w:tcW w:w="997" w:type="dxa"/>
          </w:tcPr>
          <w:p w14:paraId="1E1F8FA0" w14:textId="77777777" w:rsidR="00ED610E" w:rsidRPr="00A07F29" w:rsidRDefault="00ED610E" w:rsidP="00904DDF">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0,74</w:t>
            </w:r>
          </w:p>
        </w:tc>
        <w:tc>
          <w:tcPr>
            <w:tcW w:w="2551" w:type="dxa"/>
          </w:tcPr>
          <w:p w14:paraId="3BD5A925" w14:textId="2D2DA1A2" w:rsidR="00ED610E" w:rsidRPr="00A07F29" w:rsidRDefault="00ED610E" w:rsidP="00904DDF">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Valsts nozīmes arheoloģijas piemineklis (valsts aizsardzības Nr.</w:t>
            </w:r>
            <w:r w:rsidR="000C0A7A">
              <w:rPr>
                <w:rFonts w:ascii="Times New Roman" w:eastAsia="Calibri" w:hAnsi="Times New Roman" w:cs="Times New Roman"/>
              </w:rPr>
              <w:t> </w:t>
            </w:r>
            <w:r w:rsidRPr="00A07F29">
              <w:rPr>
                <w:rFonts w:ascii="Times New Roman" w:eastAsia="Calibri" w:hAnsi="Times New Roman" w:cs="Times New Roman"/>
              </w:rPr>
              <w:t>681). Ir uzstādīta skatu platforma. Panorāmas vērošanai skatu nepieciešams attīrīt no krūmājiem un kokiem, atstājot tikai vērtīgus kokus.</w:t>
            </w:r>
            <w:r w:rsidR="00D65BBA" w:rsidRPr="00A07F29">
              <w:rPr>
                <w:rFonts w:ascii="Times New Roman" w:eastAsia="Calibri" w:hAnsi="Times New Roman" w:cs="Times New Roman"/>
              </w:rPr>
              <w:t xml:space="preserve"> </w:t>
            </w:r>
          </w:p>
        </w:tc>
        <w:tc>
          <w:tcPr>
            <w:tcW w:w="3693" w:type="dxa"/>
          </w:tcPr>
          <w:p w14:paraId="0EC6B6E1" w14:textId="77777777" w:rsidR="00ED610E" w:rsidRPr="00A07F29" w:rsidRDefault="00ED610E" w:rsidP="00904DDF">
            <w:pPr>
              <w:spacing w:after="0" w:line="240" w:lineRule="auto"/>
              <w:jc w:val="both"/>
              <w:rPr>
                <w:rFonts w:ascii="Times New Roman" w:eastAsia="Calibri" w:hAnsi="Times New Roman" w:cs="Times New Roman"/>
              </w:rPr>
            </w:pPr>
            <w:r w:rsidRPr="00A07F29">
              <w:rPr>
                <w:noProof/>
                <w:lang w:eastAsia="lv-LV"/>
              </w:rPr>
              <w:drawing>
                <wp:inline distT="0" distB="0" distL="0" distR="0" wp14:anchorId="26DAB8EA" wp14:editId="13A3020B">
                  <wp:extent cx="2207895" cy="2113915"/>
                  <wp:effectExtent l="0" t="0" r="1905" b="635"/>
                  <wp:docPr id="53"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pic:nvPicPr>
                        <pic:blipFill>
                          <a:blip r:embed="rId168">
                            <a:extLst>
                              <a:ext uri="{28A0092B-C50C-407E-A947-70E740481C1C}">
                                <a14:useLocalDpi xmlns:a14="http://schemas.microsoft.com/office/drawing/2010/main"/>
                              </a:ext>
                            </a:extLst>
                          </a:blip>
                          <a:stretch>
                            <a:fillRect/>
                          </a:stretch>
                        </pic:blipFill>
                        <pic:spPr>
                          <a:xfrm>
                            <a:off x="0" y="0"/>
                            <a:ext cx="2207895" cy="2113915"/>
                          </a:xfrm>
                          <a:prstGeom prst="rect">
                            <a:avLst/>
                          </a:prstGeom>
                        </pic:spPr>
                      </pic:pic>
                    </a:graphicData>
                  </a:graphic>
                </wp:inline>
              </w:drawing>
            </w:r>
          </w:p>
        </w:tc>
      </w:tr>
      <w:tr w:rsidR="00ED610E" w:rsidRPr="00A07F29" w14:paraId="345D092C" w14:textId="77777777" w:rsidTr="63C42FA1">
        <w:trPr>
          <w:jc w:val="center"/>
        </w:trPr>
        <w:tc>
          <w:tcPr>
            <w:tcW w:w="709" w:type="dxa"/>
          </w:tcPr>
          <w:p w14:paraId="75BB65B8" w14:textId="77777777" w:rsidR="00ED610E" w:rsidRPr="00A07F29" w:rsidRDefault="00ED610E" w:rsidP="00F87589">
            <w:pPr>
              <w:numPr>
                <w:ilvl w:val="0"/>
                <w:numId w:val="42"/>
              </w:numPr>
              <w:spacing w:after="0" w:line="240" w:lineRule="auto"/>
              <w:ind w:left="0"/>
              <w:jc w:val="right"/>
              <w:rPr>
                <w:rFonts w:ascii="Times New Roman" w:eastAsia="Calibri" w:hAnsi="Times New Roman" w:cs="Times New Roman"/>
                <w:b/>
              </w:rPr>
            </w:pPr>
          </w:p>
        </w:tc>
        <w:tc>
          <w:tcPr>
            <w:tcW w:w="1843" w:type="dxa"/>
          </w:tcPr>
          <w:p w14:paraId="313A4AA4" w14:textId="77777777" w:rsidR="00ED610E" w:rsidRPr="00A07F29" w:rsidRDefault="00ED610E" w:rsidP="00904DDF">
            <w:pPr>
              <w:spacing w:after="0" w:line="240" w:lineRule="auto"/>
              <w:rPr>
                <w:rFonts w:ascii="Times New Roman" w:eastAsia="Calibri" w:hAnsi="Times New Roman" w:cs="Times New Roman"/>
              </w:rPr>
            </w:pPr>
            <w:r w:rsidRPr="00A07F29">
              <w:rPr>
                <w:rFonts w:ascii="Times New Roman" w:eastAsia="Calibri" w:hAnsi="Times New Roman" w:cs="Times New Roman"/>
              </w:rPr>
              <w:t xml:space="preserve">Skatu punkts uz Plostnieku-zvejnieku sētu </w:t>
            </w:r>
            <w:proofErr w:type="spellStart"/>
            <w:r w:rsidRPr="00A07F29">
              <w:rPr>
                <w:rFonts w:ascii="Times New Roman" w:eastAsia="Calibri" w:hAnsi="Times New Roman" w:cs="Times New Roman"/>
              </w:rPr>
              <w:t>Augustinišķos</w:t>
            </w:r>
            <w:proofErr w:type="spellEnd"/>
          </w:p>
        </w:tc>
        <w:tc>
          <w:tcPr>
            <w:tcW w:w="997" w:type="dxa"/>
          </w:tcPr>
          <w:p w14:paraId="244E46BA" w14:textId="77777777" w:rsidR="00ED610E" w:rsidRPr="00A07F29" w:rsidRDefault="00ED610E" w:rsidP="00904DDF">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9,06</w:t>
            </w:r>
          </w:p>
        </w:tc>
        <w:tc>
          <w:tcPr>
            <w:tcW w:w="2551" w:type="dxa"/>
          </w:tcPr>
          <w:p w14:paraId="69FC1C8B" w14:textId="736D1D7B" w:rsidR="00ED610E" w:rsidRPr="00A07F29" w:rsidRDefault="00ED610E" w:rsidP="00904DDF">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Plostnieku-zemnieku sētu grupa ir vietējas nozīmes arhitektūras piemineklis (valsts aizsardzības Nr.</w:t>
            </w:r>
            <w:r w:rsidR="000C0A7A">
              <w:rPr>
                <w:rFonts w:ascii="Times New Roman" w:eastAsia="Calibri" w:hAnsi="Times New Roman" w:cs="Times New Roman"/>
              </w:rPr>
              <w:t> </w:t>
            </w:r>
            <w:r w:rsidRPr="00A07F29">
              <w:rPr>
                <w:rFonts w:ascii="Times New Roman" w:eastAsia="Calibri" w:hAnsi="Times New Roman" w:cs="Times New Roman"/>
              </w:rPr>
              <w:t>6111), veicot jaunu būvniecību vai pārbūvi vai atjaunošanu</w:t>
            </w:r>
            <w:r w:rsidR="001547BC">
              <w:rPr>
                <w:rFonts w:ascii="Times New Roman" w:eastAsia="Calibri" w:hAnsi="Times New Roman" w:cs="Times New Roman"/>
              </w:rPr>
              <w:t>,</w:t>
            </w:r>
            <w:r w:rsidR="00D65BBA" w:rsidRPr="00A07F29">
              <w:rPr>
                <w:rFonts w:ascii="Times New Roman" w:eastAsia="Calibri" w:hAnsi="Times New Roman" w:cs="Times New Roman"/>
              </w:rPr>
              <w:t xml:space="preserve"> </w:t>
            </w:r>
            <w:r w:rsidRPr="00A07F29">
              <w:rPr>
                <w:rFonts w:ascii="Times New Roman" w:eastAsia="Calibri" w:hAnsi="Times New Roman" w:cs="Times New Roman"/>
              </w:rPr>
              <w:t xml:space="preserve">arhitektoniskais risinājums nedrīkst mainīt kultūrvēsturiskās un dabas ainavas vizuālo uztveri un nepieciešams saskaņot būvniecību ar </w:t>
            </w:r>
            <w:r w:rsidRPr="00864948">
              <w:rPr>
                <w:rFonts w:ascii="Times New Roman" w:eastAsia="Calibri" w:hAnsi="Times New Roman" w:cs="Times New Roman"/>
              </w:rPr>
              <w:t>NKMP.</w:t>
            </w:r>
          </w:p>
        </w:tc>
        <w:tc>
          <w:tcPr>
            <w:tcW w:w="3693" w:type="dxa"/>
          </w:tcPr>
          <w:p w14:paraId="07DFEB93" w14:textId="77777777" w:rsidR="00ED610E" w:rsidRPr="00A07F29" w:rsidRDefault="00ED610E" w:rsidP="00904DDF">
            <w:pPr>
              <w:spacing w:after="0" w:line="240" w:lineRule="auto"/>
              <w:jc w:val="both"/>
              <w:rPr>
                <w:rFonts w:ascii="Times New Roman" w:eastAsia="Calibri" w:hAnsi="Times New Roman" w:cs="Times New Roman"/>
              </w:rPr>
            </w:pPr>
            <w:r w:rsidRPr="00A07F29">
              <w:rPr>
                <w:noProof/>
                <w:lang w:eastAsia="lv-LV"/>
              </w:rPr>
              <w:drawing>
                <wp:inline distT="0" distB="0" distL="0" distR="0" wp14:anchorId="598B2289" wp14:editId="4BEFCF6D">
                  <wp:extent cx="2207895" cy="2093595"/>
                  <wp:effectExtent l="0" t="0" r="1905" b="1905"/>
                  <wp:docPr id="58"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pic:nvPicPr>
                        <pic:blipFill>
                          <a:blip r:embed="rId169">
                            <a:extLst>
                              <a:ext uri="{28A0092B-C50C-407E-A947-70E740481C1C}">
                                <a14:useLocalDpi xmlns:a14="http://schemas.microsoft.com/office/drawing/2010/main"/>
                              </a:ext>
                            </a:extLst>
                          </a:blip>
                          <a:stretch>
                            <a:fillRect/>
                          </a:stretch>
                        </pic:blipFill>
                        <pic:spPr>
                          <a:xfrm>
                            <a:off x="0" y="0"/>
                            <a:ext cx="2207895" cy="2093595"/>
                          </a:xfrm>
                          <a:prstGeom prst="rect">
                            <a:avLst/>
                          </a:prstGeom>
                        </pic:spPr>
                      </pic:pic>
                    </a:graphicData>
                  </a:graphic>
                </wp:inline>
              </w:drawing>
            </w:r>
          </w:p>
        </w:tc>
      </w:tr>
      <w:tr w:rsidR="00ED610E" w:rsidRPr="00A07F29" w14:paraId="7B5B9D2D" w14:textId="77777777" w:rsidTr="63C42FA1">
        <w:trPr>
          <w:jc w:val="center"/>
        </w:trPr>
        <w:tc>
          <w:tcPr>
            <w:tcW w:w="709" w:type="dxa"/>
          </w:tcPr>
          <w:p w14:paraId="70359B3F" w14:textId="77777777" w:rsidR="00ED610E" w:rsidRPr="00A07F29" w:rsidRDefault="00ED610E" w:rsidP="00F87589">
            <w:pPr>
              <w:numPr>
                <w:ilvl w:val="0"/>
                <w:numId w:val="42"/>
              </w:numPr>
              <w:spacing w:after="0" w:line="240" w:lineRule="auto"/>
              <w:ind w:left="0"/>
              <w:jc w:val="right"/>
              <w:rPr>
                <w:rFonts w:ascii="Times New Roman" w:eastAsia="Calibri" w:hAnsi="Times New Roman" w:cs="Times New Roman"/>
                <w:b/>
              </w:rPr>
            </w:pPr>
          </w:p>
        </w:tc>
        <w:tc>
          <w:tcPr>
            <w:tcW w:w="1843" w:type="dxa"/>
          </w:tcPr>
          <w:p w14:paraId="5391BDEA" w14:textId="77777777" w:rsidR="00ED610E" w:rsidRPr="00A07F29" w:rsidRDefault="00ED610E" w:rsidP="00904DDF">
            <w:pPr>
              <w:spacing w:after="0" w:line="240" w:lineRule="auto"/>
              <w:rPr>
                <w:rFonts w:ascii="Times New Roman" w:eastAsia="Calibri" w:hAnsi="Times New Roman" w:cs="Times New Roman"/>
              </w:rPr>
            </w:pPr>
            <w:r w:rsidRPr="00A07F29">
              <w:rPr>
                <w:rFonts w:ascii="Times New Roman" w:eastAsia="Calibri" w:hAnsi="Times New Roman" w:cs="Times New Roman"/>
              </w:rPr>
              <w:t xml:space="preserve">Skatu punkts no ceļa P69 (Skrudaliena-Kaplava-Krāslava) </w:t>
            </w:r>
          </w:p>
        </w:tc>
        <w:tc>
          <w:tcPr>
            <w:tcW w:w="997" w:type="dxa"/>
          </w:tcPr>
          <w:p w14:paraId="192FA7EE" w14:textId="77777777" w:rsidR="00ED610E" w:rsidRPr="00A07F29" w:rsidRDefault="00ED610E" w:rsidP="00904DDF">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86,65</w:t>
            </w:r>
          </w:p>
        </w:tc>
        <w:tc>
          <w:tcPr>
            <w:tcW w:w="2551" w:type="dxa"/>
          </w:tcPr>
          <w:p w14:paraId="544A1AD8" w14:textId="340D0F23" w:rsidR="00ED610E" w:rsidRPr="00A07F29" w:rsidRDefault="39E8FF0D" w:rsidP="39E8FF0D">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Tālās panorāmas skats. Skatu saglabāšanai, nav pieļaujama lauksaimniecības zemju aizaugšana un apmežošana. Plānojot jaunu būvniecību, nav pieļaujam</w:t>
            </w:r>
            <w:r w:rsidR="00B9448B">
              <w:rPr>
                <w:rFonts w:ascii="Times New Roman" w:eastAsia="Calibri" w:hAnsi="Times New Roman" w:cs="Times New Roman"/>
              </w:rPr>
              <w:t>a</w:t>
            </w:r>
            <w:r w:rsidRPr="00A07F29">
              <w:rPr>
                <w:rFonts w:ascii="Times New Roman" w:eastAsia="Calibri" w:hAnsi="Times New Roman" w:cs="Times New Roman"/>
              </w:rPr>
              <w:t xml:space="preserve"> tādu vertikālo objektu būvniecība, kas vizuāli dominētu ainavā. Nav pieļaujams jumtu klājumā izmantot spilgtas krāsas. </w:t>
            </w:r>
            <w:r w:rsidRPr="00A07F29">
              <w:rPr>
                <w:rFonts w:ascii="Times New Roman" w:eastAsia="Times New Roman" w:hAnsi="Times New Roman" w:cs="Times New Roman"/>
                <w:color w:val="000000" w:themeColor="text1"/>
              </w:rPr>
              <w:t>Nav pieļaujama plantāciju mežu ierīkošana.</w:t>
            </w:r>
            <w:r w:rsidRPr="00A07F29">
              <w:rPr>
                <w:rFonts w:ascii="Times New Roman" w:eastAsia="Calibri" w:hAnsi="Times New Roman" w:cs="Times New Roman"/>
              </w:rPr>
              <w:t xml:space="preserve"> Regulāra ceļmalu kopšana.</w:t>
            </w:r>
          </w:p>
        </w:tc>
        <w:tc>
          <w:tcPr>
            <w:tcW w:w="3693" w:type="dxa"/>
          </w:tcPr>
          <w:p w14:paraId="39F4B1F3" w14:textId="77777777" w:rsidR="00ED610E" w:rsidRPr="00A07F29" w:rsidRDefault="00ED610E" w:rsidP="00904DDF">
            <w:pPr>
              <w:spacing w:after="0" w:line="240" w:lineRule="auto"/>
              <w:jc w:val="both"/>
              <w:rPr>
                <w:rFonts w:ascii="Times New Roman" w:eastAsia="Calibri" w:hAnsi="Times New Roman" w:cs="Times New Roman"/>
              </w:rPr>
            </w:pPr>
            <w:r w:rsidRPr="00A07F29">
              <w:rPr>
                <w:noProof/>
                <w:lang w:eastAsia="lv-LV"/>
              </w:rPr>
              <w:drawing>
                <wp:inline distT="0" distB="0" distL="0" distR="0" wp14:anchorId="502D13E5" wp14:editId="1DAE1941">
                  <wp:extent cx="2207895" cy="2670810"/>
                  <wp:effectExtent l="0" t="0" r="1905" b="0"/>
                  <wp:docPr id="60"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pic:nvPicPr>
                        <pic:blipFill>
                          <a:blip r:embed="rId170">
                            <a:extLst>
                              <a:ext uri="{28A0092B-C50C-407E-A947-70E740481C1C}">
                                <a14:useLocalDpi xmlns:a14="http://schemas.microsoft.com/office/drawing/2010/main"/>
                              </a:ext>
                            </a:extLst>
                          </a:blip>
                          <a:stretch>
                            <a:fillRect/>
                          </a:stretch>
                        </pic:blipFill>
                        <pic:spPr>
                          <a:xfrm>
                            <a:off x="0" y="0"/>
                            <a:ext cx="2207895" cy="2670810"/>
                          </a:xfrm>
                          <a:prstGeom prst="rect">
                            <a:avLst/>
                          </a:prstGeom>
                        </pic:spPr>
                      </pic:pic>
                    </a:graphicData>
                  </a:graphic>
                </wp:inline>
              </w:drawing>
            </w:r>
          </w:p>
        </w:tc>
      </w:tr>
      <w:tr w:rsidR="00ED610E" w:rsidRPr="00A07F29" w14:paraId="5AA810A0" w14:textId="77777777" w:rsidTr="63C42FA1">
        <w:trPr>
          <w:jc w:val="center"/>
        </w:trPr>
        <w:tc>
          <w:tcPr>
            <w:tcW w:w="709" w:type="dxa"/>
          </w:tcPr>
          <w:p w14:paraId="04A9C8C1" w14:textId="77777777" w:rsidR="00ED610E" w:rsidRPr="00A07F29" w:rsidRDefault="00ED610E" w:rsidP="00F87589">
            <w:pPr>
              <w:numPr>
                <w:ilvl w:val="0"/>
                <w:numId w:val="42"/>
              </w:numPr>
              <w:spacing w:after="0" w:line="240" w:lineRule="auto"/>
              <w:ind w:left="0"/>
              <w:jc w:val="right"/>
              <w:rPr>
                <w:rFonts w:ascii="Times New Roman" w:eastAsia="Calibri" w:hAnsi="Times New Roman" w:cs="Times New Roman"/>
                <w:b/>
              </w:rPr>
            </w:pPr>
          </w:p>
        </w:tc>
        <w:tc>
          <w:tcPr>
            <w:tcW w:w="1843" w:type="dxa"/>
          </w:tcPr>
          <w:p w14:paraId="00873BE8" w14:textId="77777777" w:rsidR="00ED610E" w:rsidRPr="00A07F29" w:rsidRDefault="00ED610E" w:rsidP="00904DDF">
            <w:pPr>
              <w:spacing w:after="0" w:line="240" w:lineRule="auto"/>
              <w:rPr>
                <w:rFonts w:ascii="Times New Roman" w:eastAsia="Calibri" w:hAnsi="Times New Roman" w:cs="Times New Roman"/>
              </w:rPr>
            </w:pPr>
            <w:r w:rsidRPr="00A07F29">
              <w:rPr>
                <w:rFonts w:ascii="Times New Roman" w:eastAsia="Calibri" w:hAnsi="Times New Roman" w:cs="Times New Roman"/>
              </w:rPr>
              <w:t xml:space="preserve">Skats uz Daugavu no Zvejnieku-zemnieku sētas </w:t>
            </w:r>
            <w:proofErr w:type="spellStart"/>
            <w:r w:rsidRPr="00A07F29">
              <w:rPr>
                <w:rFonts w:ascii="Times New Roman" w:eastAsia="Calibri" w:hAnsi="Times New Roman" w:cs="Times New Roman"/>
              </w:rPr>
              <w:t>Veckaplavā</w:t>
            </w:r>
            <w:proofErr w:type="spellEnd"/>
          </w:p>
        </w:tc>
        <w:tc>
          <w:tcPr>
            <w:tcW w:w="997" w:type="dxa"/>
          </w:tcPr>
          <w:p w14:paraId="5F11D1B3" w14:textId="77777777" w:rsidR="00ED610E" w:rsidRPr="00A07F29" w:rsidRDefault="00ED610E" w:rsidP="00904DDF">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4,65</w:t>
            </w:r>
          </w:p>
        </w:tc>
        <w:tc>
          <w:tcPr>
            <w:tcW w:w="2551" w:type="dxa"/>
          </w:tcPr>
          <w:p w14:paraId="49A6B67D" w14:textId="77777777" w:rsidR="00ED610E" w:rsidRPr="00A07F29" w:rsidRDefault="00ED610E" w:rsidP="00904DDF">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Krauju nepieciešams attīrīt no krūmājiem un kokiem. Ieteikums pašvaldībai izveidot atpūtas vietu.</w:t>
            </w:r>
          </w:p>
        </w:tc>
        <w:tc>
          <w:tcPr>
            <w:tcW w:w="3693" w:type="dxa"/>
            <w:vMerge w:val="restart"/>
          </w:tcPr>
          <w:p w14:paraId="1BB3C562" w14:textId="77777777" w:rsidR="00ED610E" w:rsidRPr="00A07F29" w:rsidRDefault="00ED610E" w:rsidP="00904DDF">
            <w:pPr>
              <w:spacing w:after="0" w:line="240" w:lineRule="auto"/>
              <w:jc w:val="both"/>
              <w:rPr>
                <w:rFonts w:ascii="Times New Roman" w:eastAsia="Calibri" w:hAnsi="Times New Roman" w:cs="Times New Roman"/>
              </w:rPr>
            </w:pPr>
            <w:r w:rsidRPr="00A07F29">
              <w:rPr>
                <w:noProof/>
                <w:lang w:eastAsia="lv-LV"/>
              </w:rPr>
              <w:drawing>
                <wp:inline distT="0" distB="0" distL="0" distR="0" wp14:anchorId="61EF5ABC" wp14:editId="0B4AD97A">
                  <wp:extent cx="2207895" cy="2016760"/>
                  <wp:effectExtent l="0" t="0" r="1905" b="2540"/>
                  <wp:docPr id="10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pic:nvPicPr>
                        <pic:blipFill>
                          <a:blip r:embed="rId171">
                            <a:extLst>
                              <a:ext uri="{28A0092B-C50C-407E-A947-70E740481C1C}">
                                <a14:useLocalDpi xmlns:a14="http://schemas.microsoft.com/office/drawing/2010/main"/>
                              </a:ext>
                            </a:extLst>
                          </a:blip>
                          <a:stretch>
                            <a:fillRect/>
                          </a:stretch>
                        </pic:blipFill>
                        <pic:spPr>
                          <a:xfrm>
                            <a:off x="0" y="0"/>
                            <a:ext cx="2207895" cy="2016760"/>
                          </a:xfrm>
                          <a:prstGeom prst="rect">
                            <a:avLst/>
                          </a:prstGeom>
                        </pic:spPr>
                      </pic:pic>
                    </a:graphicData>
                  </a:graphic>
                </wp:inline>
              </w:drawing>
            </w:r>
          </w:p>
        </w:tc>
      </w:tr>
      <w:tr w:rsidR="00ED610E" w:rsidRPr="00A07F29" w14:paraId="6F68B973" w14:textId="77777777" w:rsidTr="63C42FA1">
        <w:trPr>
          <w:jc w:val="center"/>
        </w:trPr>
        <w:tc>
          <w:tcPr>
            <w:tcW w:w="709" w:type="dxa"/>
          </w:tcPr>
          <w:p w14:paraId="7C92A3A9" w14:textId="77777777" w:rsidR="00ED610E" w:rsidRPr="00A07F29" w:rsidRDefault="00ED610E" w:rsidP="00F87589">
            <w:pPr>
              <w:numPr>
                <w:ilvl w:val="0"/>
                <w:numId w:val="42"/>
              </w:numPr>
              <w:spacing w:after="0" w:line="240" w:lineRule="auto"/>
              <w:ind w:left="0"/>
              <w:jc w:val="right"/>
              <w:rPr>
                <w:rFonts w:ascii="Times New Roman" w:eastAsia="Calibri" w:hAnsi="Times New Roman" w:cs="Times New Roman"/>
                <w:b/>
              </w:rPr>
            </w:pPr>
          </w:p>
        </w:tc>
        <w:tc>
          <w:tcPr>
            <w:tcW w:w="1843" w:type="dxa"/>
          </w:tcPr>
          <w:p w14:paraId="209D8CEC" w14:textId="77777777" w:rsidR="00ED610E" w:rsidRPr="00A07F29" w:rsidRDefault="00ED610E" w:rsidP="00904DDF">
            <w:pPr>
              <w:spacing w:after="0" w:line="240" w:lineRule="auto"/>
              <w:rPr>
                <w:rFonts w:ascii="Times New Roman" w:eastAsia="Calibri" w:hAnsi="Times New Roman" w:cs="Times New Roman"/>
                <w:highlight w:val="yellow"/>
              </w:rPr>
            </w:pPr>
            <w:r w:rsidRPr="00A07F29">
              <w:rPr>
                <w:rFonts w:ascii="Times New Roman" w:eastAsia="Calibri" w:hAnsi="Times New Roman" w:cs="Times New Roman"/>
              </w:rPr>
              <w:t xml:space="preserve">Skats uz Zvejnieku-zemnieku sētas ansambli un Daugavu </w:t>
            </w:r>
            <w:proofErr w:type="spellStart"/>
            <w:r w:rsidRPr="00A07F29">
              <w:rPr>
                <w:rFonts w:ascii="Times New Roman" w:eastAsia="Calibri" w:hAnsi="Times New Roman" w:cs="Times New Roman"/>
              </w:rPr>
              <w:t>Veckaplavā</w:t>
            </w:r>
            <w:proofErr w:type="spellEnd"/>
          </w:p>
        </w:tc>
        <w:tc>
          <w:tcPr>
            <w:tcW w:w="997" w:type="dxa"/>
          </w:tcPr>
          <w:p w14:paraId="5733FD65" w14:textId="77777777" w:rsidR="00ED610E" w:rsidRPr="00A07F29" w:rsidRDefault="00ED610E" w:rsidP="00904DDF">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8,17</w:t>
            </w:r>
          </w:p>
        </w:tc>
        <w:tc>
          <w:tcPr>
            <w:tcW w:w="2551" w:type="dxa"/>
          </w:tcPr>
          <w:p w14:paraId="008CE65C" w14:textId="18A8D5CF" w:rsidR="00ED610E" w:rsidRPr="00A07F29" w:rsidRDefault="00ED610E" w:rsidP="00904DDF">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Zvejnieku-zemnieku sētu grupa ir vietējas nozīmes arhitektūras piemineklis (valsts aizsardzības Nr.</w:t>
            </w:r>
            <w:r w:rsidR="00DD012F">
              <w:rPr>
                <w:rFonts w:ascii="Times New Roman" w:eastAsia="Calibri" w:hAnsi="Times New Roman" w:cs="Times New Roman"/>
              </w:rPr>
              <w:t> </w:t>
            </w:r>
            <w:r w:rsidRPr="00A07F29">
              <w:rPr>
                <w:rFonts w:ascii="Times New Roman" w:eastAsia="Calibri" w:hAnsi="Times New Roman" w:cs="Times New Roman"/>
              </w:rPr>
              <w:t>6110), veicot jaunu būvniecību vai pārbūvi vai atjaunošanu</w:t>
            </w:r>
            <w:r w:rsidR="00DD012F">
              <w:rPr>
                <w:rFonts w:ascii="Times New Roman" w:eastAsia="Calibri" w:hAnsi="Times New Roman" w:cs="Times New Roman"/>
              </w:rPr>
              <w:t>,</w:t>
            </w:r>
            <w:r w:rsidR="00D65BBA" w:rsidRPr="00A07F29">
              <w:rPr>
                <w:rFonts w:ascii="Times New Roman" w:eastAsia="Calibri" w:hAnsi="Times New Roman" w:cs="Times New Roman"/>
              </w:rPr>
              <w:t xml:space="preserve"> </w:t>
            </w:r>
            <w:r w:rsidRPr="00A07F29">
              <w:rPr>
                <w:rFonts w:ascii="Times New Roman" w:eastAsia="Calibri" w:hAnsi="Times New Roman" w:cs="Times New Roman"/>
              </w:rPr>
              <w:t xml:space="preserve">arhitektoniskais risinājums nedrīkst mainīt kultūrvēsturiskās ainavas vizuālo uztveri un nepieciešams saskaņot būvniecību ar </w:t>
            </w:r>
            <w:r w:rsidRPr="00864948">
              <w:rPr>
                <w:rFonts w:ascii="Times New Roman" w:eastAsia="Calibri" w:hAnsi="Times New Roman" w:cs="Times New Roman"/>
              </w:rPr>
              <w:t>NKMP.</w:t>
            </w:r>
            <w:r w:rsidRPr="00A07F29">
              <w:rPr>
                <w:rFonts w:ascii="Times New Roman" w:eastAsia="Calibri" w:hAnsi="Times New Roman" w:cs="Times New Roman"/>
              </w:rPr>
              <w:t xml:space="preserve"> </w:t>
            </w:r>
          </w:p>
        </w:tc>
        <w:tc>
          <w:tcPr>
            <w:tcW w:w="3693" w:type="dxa"/>
            <w:vMerge/>
          </w:tcPr>
          <w:p w14:paraId="386E02A8" w14:textId="77777777" w:rsidR="00ED610E" w:rsidRPr="00A07F29" w:rsidRDefault="00ED610E" w:rsidP="00904DDF">
            <w:pPr>
              <w:spacing w:after="0" w:line="240" w:lineRule="auto"/>
              <w:ind w:firstLine="851"/>
              <w:jc w:val="both"/>
              <w:rPr>
                <w:rFonts w:ascii="Times New Roman" w:eastAsia="Calibri" w:hAnsi="Times New Roman" w:cs="Times New Roman"/>
              </w:rPr>
            </w:pPr>
          </w:p>
        </w:tc>
      </w:tr>
      <w:tr w:rsidR="00ED610E" w:rsidRPr="00A07F29" w14:paraId="3DB5BB6B" w14:textId="77777777" w:rsidTr="63C42FA1">
        <w:trPr>
          <w:jc w:val="center"/>
        </w:trPr>
        <w:tc>
          <w:tcPr>
            <w:tcW w:w="709" w:type="dxa"/>
          </w:tcPr>
          <w:p w14:paraId="1F9F74F4" w14:textId="77777777" w:rsidR="00ED610E" w:rsidRPr="00A07F29" w:rsidRDefault="00ED610E" w:rsidP="00F87589">
            <w:pPr>
              <w:numPr>
                <w:ilvl w:val="0"/>
                <w:numId w:val="42"/>
              </w:numPr>
              <w:spacing w:after="0" w:line="240" w:lineRule="auto"/>
              <w:ind w:left="0"/>
              <w:jc w:val="right"/>
              <w:rPr>
                <w:rFonts w:ascii="Times New Roman" w:eastAsia="Calibri" w:hAnsi="Times New Roman" w:cs="Times New Roman"/>
                <w:b/>
              </w:rPr>
            </w:pPr>
          </w:p>
        </w:tc>
        <w:tc>
          <w:tcPr>
            <w:tcW w:w="1843" w:type="dxa"/>
          </w:tcPr>
          <w:p w14:paraId="43567800" w14:textId="77777777" w:rsidR="00ED610E" w:rsidRPr="00A07F29" w:rsidRDefault="00ED610E" w:rsidP="00904DDF">
            <w:pPr>
              <w:spacing w:after="0" w:line="240" w:lineRule="auto"/>
              <w:rPr>
                <w:rFonts w:ascii="Times New Roman" w:eastAsia="Calibri" w:hAnsi="Times New Roman" w:cs="Times New Roman"/>
              </w:rPr>
            </w:pPr>
            <w:r w:rsidRPr="00A07F29">
              <w:rPr>
                <w:rFonts w:ascii="Times New Roman" w:eastAsia="Calibri" w:hAnsi="Times New Roman" w:cs="Times New Roman"/>
              </w:rPr>
              <w:t xml:space="preserve">Skats uz Daugavu Ūdrīšu pagastā </w:t>
            </w:r>
            <w:proofErr w:type="spellStart"/>
            <w:r w:rsidRPr="00A07F29">
              <w:rPr>
                <w:rFonts w:ascii="Times New Roman" w:eastAsia="Calibri" w:hAnsi="Times New Roman" w:cs="Times New Roman"/>
              </w:rPr>
              <w:t>Užinkalnā</w:t>
            </w:r>
            <w:proofErr w:type="spellEnd"/>
          </w:p>
        </w:tc>
        <w:tc>
          <w:tcPr>
            <w:tcW w:w="997" w:type="dxa"/>
          </w:tcPr>
          <w:p w14:paraId="67467D27" w14:textId="77777777" w:rsidR="00ED610E" w:rsidRPr="00A07F29" w:rsidRDefault="00ED610E" w:rsidP="00904DDF">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0,40</w:t>
            </w:r>
          </w:p>
        </w:tc>
        <w:tc>
          <w:tcPr>
            <w:tcW w:w="2551" w:type="dxa"/>
          </w:tcPr>
          <w:p w14:paraId="163C2341" w14:textId="77777777" w:rsidR="00ED610E" w:rsidRPr="00A07F29" w:rsidRDefault="00ED610E" w:rsidP="00904DDF">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Nepieļaut kraujas aizaugšanu.</w:t>
            </w:r>
          </w:p>
        </w:tc>
        <w:tc>
          <w:tcPr>
            <w:tcW w:w="3693" w:type="dxa"/>
          </w:tcPr>
          <w:p w14:paraId="1C211F2D" w14:textId="77777777" w:rsidR="00ED610E" w:rsidRPr="00A07F29" w:rsidRDefault="00ED610E" w:rsidP="00904DDF">
            <w:pPr>
              <w:spacing w:after="0" w:line="240" w:lineRule="auto"/>
              <w:jc w:val="both"/>
              <w:rPr>
                <w:rFonts w:ascii="Times New Roman" w:eastAsia="Calibri" w:hAnsi="Times New Roman" w:cs="Times New Roman"/>
              </w:rPr>
            </w:pPr>
            <w:r w:rsidRPr="00A07F29">
              <w:rPr>
                <w:noProof/>
                <w:lang w:eastAsia="lv-LV"/>
              </w:rPr>
              <w:drawing>
                <wp:inline distT="0" distB="0" distL="0" distR="0" wp14:anchorId="50BB62B2" wp14:editId="12C0AD1A">
                  <wp:extent cx="2207895" cy="1818640"/>
                  <wp:effectExtent l="0" t="0" r="1905" b="0"/>
                  <wp:docPr id="123"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pic:nvPicPr>
                        <pic:blipFill>
                          <a:blip r:embed="rId172">
                            <a:extLst>
                              <a:ext uri="{28A0092B-C50C-407E-A947-70E740481C1C}">
                                <a14:useLocalDpi xmlns:a14="http://schemas.microsoft.com/office/drawing/2010/main"/>
                              </a:ext>
                            </a:extLst>
                          </a:blip>
                          <a:stretch>
                            <a:fillRect/>
                          </a:stretch>
                        </pic:blipFill>
                        <pic:spPr>
                          <a:xfrm>
                            <a:off x="0" y="0"/>
                            <a:ext cx="2207895" cy="1818640"/>
                          </a:xfrm>
                          <a:prstGeom prst="rect">
                            <a:avLst/>
                          </a:prstGeom>
                        </pic:spPr>
                      </pic:pic>
                    </a:graphicData>
                  </a:graphic>
                </wp:inline>
              </w:drawing>
            </w:r>
          </w:p>
        </w:tc>
      </w:tr>
      <w:tr w:rsidR="00ED610E" w:rsidRPr="00A07F29" w14:paraId="3D8A7EA6" w14:textId="77777777" w:rsidTr="63C42FA1">
        <w:trPr>
          <w:jc w:val="center"/>
        </w:trPr>
        <w:tc>
          <w:tcPr>
            <w:tcW w:w="709" w:type="dxa"/>
          </w:tcPr>
          <w:p w14:paraId="7FE3C8F1" w14:textId="77777777" w:rsidR="00ED610E" w:rsidRPr="00A07F29" w:rsidRDefault="00ED610E" w:rsidP="00F87589">
            <w:pPr>
              <w:numPr>
                <w:ilvl w:val="0"/>
                <w:numId w:val="42"/>
              </w:numPr>
              <w:spacing w:after="0" w:line="240" w:lineRule="auto"/>
              <w:ind w:left="0"/>
              <w:jc w:val="right"/>
              <w:rPr>
                <w:rFonts w:ascii="Times New Roman" w:eastAsia="Calibri" w:hAnsi="Times New Roman" w:cs="Times New Roman"/>
                <w:b/>
              </w:rPr>
            </w:pPr>
          </w:p>
        </w:tc>
        <w:tc>
          <w:tcPr>
            <w:tcW w:w="1843" w:type="dxa"/>
          </w:tcPr>
          <w:p w14:paraId="60A0B3EB" w14:textId="77777777" w:rsidR="00ED610E" w:rsidRPr="00A07F29" w:rsidRDefault="00ED610E" w:rsidP="00904DDF">
            <w:pPr>
              <w:spacing w:after="0" w:line="240" w:lineRule="auto"/>
              <w:rPr>
                <w:rFonts w:ascii="Times New Roman" w:eastAsia="Calibri" w:hAnsi="Times New Roman" w:cs="Times New Roman"/>
                <w:highlight w:val="yellow"/>
              </w:rPr>
            </w:pPr>
            <w:r w:rsidRPr="00A07F29">
              <w:rPr>
                <w:rFonts w:ascii="Times New Roman" w:eastAsia="Calibri" w:hAnsi="Times New Roman" w:cs="Times New Roman"/>
              </w:rPr>
              <w:t>Skatu punkts no Sproģu gravas</w:t>
            </w:r>
          </w:p>
        </w:tc>
        <w:tc>
          <w:tcPr>
            <w:tcW w:w="997" w:type="dxa"/>
          </w:tcPr>
          <w:p w14:paraId="10232DA5" w14:textId="77777777" w:rsidR="00ED610E" w:rsidRPr="00A07F29" w:rsidRDefault="00ED610E" w:rsidP="00904DDF">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1,51</w:t>
            </w:r>
          </w:p>
        </w:tc>
        <w:tc>
          <w:tcPr>
            <w:tcW w:w="2551" w:type="dxa"/>
          </w:tcPr>
          <w:p w14:paraId="309ABC4E" w14:textId="10A8E873" w:rsidR="00ED610E" w:rsidRPr="00A07F29" w:rsidRDefault="00ED610E" w:rsidP="000A2F1C">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 xml:space="preserve">Attīrīt skatu vietu no kokiem un krūmiem, lai atvērtu plašu skatu uz </w:t>
            </w:r>
            <w:proofErr w:type="spellStart"/>
            <w:r w:rsidRPr="00A07F29">
              <w:rPr>
                <w:rFonts w:ascii="Times New Roman" w:eastAsia="Calibri" w:hAnsi="Times New Roman" w:cs="Times New Roman"/>
              </w:rPr>
              <w:t>Skerškānu</w:t>
            </w:r>
            <w:proofErr w:type="spellEnd"/>
            <w:r w:rsidRPr="00A07F29">
              <w:rPr>
                <w:rFonts w:ascii="Times New Roman" w:eastAsia="Calibri" w:hAnsi="Times New Roman" w:cs="Times New Roman"/>
              </w:rPr>
              <w:t xml:space="preserve"> loku. </w:t>
            </w:r>
            <w:r w:rsidR="00273D48" w:rsidRPr="00A07F29">
              <w:rPr>
                <w:rFonts w:ascii="Times New Roman" w:eastAsia="Calibri" w:hAnsi="Times New Roman" w:cs="Times New Roman"/>
              </w:rPr>
              <w:t xml:space="preserve">Skatu vietas attīrīšana veicama saudzīgi, sadarbībā ar biotopu un ainavu ekspertiem, pēc iespējas </w:t>
            </w:r>
            <w:r w:rsidR="000A2F1C" w:rsidRPr="00A07F29">
              <w:rPr>
                <w:rFonts w:ascii="Times New Roman" w:eastAsia="Calibri" w:hAnsi="Times New Roman" w:cs="Times New Roman"/>
              </w:rPr>
              <w:t>maz ietekmējot</w:t>
            </w:r>
            <w:r w:rsidR="00273D48" w:rsidRPr="00A07F29">
              <w:rPr>
                <w:rFonts w:ascii="Times New Roman" w:eastAsia="Calibri" w:hAnsi="Times New Roman" w:cs="Times New Roman"/>
              </w:rPr>
              <w:t xml:space="preserve"> gravu un nogāžu meža biotopu un aizsargājamo sugu atradnes. </w:t>
            </w:r>
            <w:r w:rsidRPr="00A07F29">
              <w:rPr>
                <w:rFonts w:ascii="Times New Roman" w:eastAsia="Calibri" w:hAnsi="Times New Roman" w:cs="Times New Roman"/>
              </w:rPr>
              <w:t>Sadarbojoties ar zemes īpašnieku ir iespējams atrisināt piekļuvi līdz Daugavai.</w:t>
            </w:r>
          </w:p>
        </w:tc>
        <w:tc>
          <w:tcPr>
            <w:tcW w:w="3693" w:type="dxa"/>
          </w:tcPr>
          <w:p w14:paraId="3B36BA01" w14:textId="77777777" w:rsidR="00ED610E" w:rsidRPr="00A07F29" w:rsidRDefault="00ED610E" w:rsidP="00904DDF">
            <w:pPr>
              <w:spacing w:after="0" w:line="240" w:lineRule="auto"/>
              <w:jc w:val="both"/>
              <w:rPr>
                <w:rFonts w:ascii="Times New Roman" w:eastAsia="Calibri" w:hAnsi="Times New Roman" w:cs="Times New Roman"/>
              </w:rPr>
            </w:pPr>
            <w:r w:rsidRPr="00A07F29">
              <w:rPr>
                <w:noProof/>
                <w:lang w:eastAsia="lv-LV"/>
              </w:rPr>
              <w:drawing>
                <wp:inline distT="0" distB="0" distL="0" distR="0" wp14:anchorId="305AF535" wp14:editId="145754DD">
                  <wp:extent cx="2207895" cy="1541145"/>
                  <wp:effectExtent l="0" t="0" r="1905" b="1905"/>
                  <wp:docPr id="138"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pic:nvPicPr>
                        <pic:blipFill>
                          <a:blip r:embed="rId173">
                            <a:extLst>
                              <a:ext uri="{28A0092B-C50C-407E-A947-70E740481C1C}">
                                <a14:useLocalDpi xmlns:a14="http://schemas.microsoft.com/office/drawing/2010/main"/>
                              </a:ext>
                            </a:extLst>
                          </a:blip>
                          <a:stretch>
                            <a:fillRect/>
                          </a:stretch>
                        </pic:blipFill>
                        <pic:spPr>
                          <a:xfrm>
                            <a:off x="0" y="0"/>
                            <a:ext cx="2207895" cy="1541145"/>
                          </a:xfrm>
                          <a:prstGeom prst="rect">
                            <a:avLst/>
                          </a:prstGeom>
                        </pic:spPr>
                      </pic:pic>
                    </a:graphicData>
                  </a:graphic>
                </wp:inline>
              </w:drawing>
            </w:r>
          </w:p>
        </w:tc>
      </w:tr>
      <w:tr w:rsidR="00ED610E" w:rsidRPr="00A07F29" w14:paraId="2E01A703" w14:textId="77777777" w:rsidTr="63C42FA1">
        <w:trPr>
          <w:jc w:val="center"/>
        </w:trPr>
        <w:tc>
          <w:tcPr>
            <w:tcW w:w="709" w:type="dxa"/>
          </w:tcPr>
          <w:p w14:paraId="05296852" w14:textId="77777777" w:rsidR="00ED610E" w:rsidRPr="00A07F29" w:rsidRDefault="00ED610E" w:rsidP="00F87589">
            <w:pPr>
              <w:numPr>
                <w:ilvl w:val="0"/>
                <w:numId w:val="42"/>
              </w:numPr>
              <w:spacing w:after="0" w:line="240" w:lineRule="auto"/>
              <w:ind w:left="0"/>
              <w:jc w:val="right"/>
              <w:rPr>
                <w:rFonts w:ascii="Times New Roman" w:eastAsia="Calibri" w:hAnsi="Times New Roman" w:cs="Times New Roman"/>
                <w:b/>
              </w:rPr>
            </w:pPr>
          </w:p>
        </w:tc>
        <w:tc>
          <w:tcPr>
            <w:tcW w:w="1843" w:type="dxa"/>
          </w:tcPr>
          <w:p w14:paraId="2093C63E" w14:textId="77777777" w:rsidR="00ED610E" w:rsidRPr="00A07F29" w:rsidRDefault="00ED610E" w:rsidP="00904DDF">
            <w:pPr>
              <w:spacing w:after="0" w:line="240" w:lineRule="auto"/>
              <w:rPr>
                <w:rFonts w:ascii="Times New Roman" w:eastAsia="Calibri" w:hAnsi="Times New Roman" w:cs="Times New Roman"/>
              </w:rPr>
            </w:pPr>
            <w:r w:rsidRPr="00A07F29">
              <w:rPr>
                <w:rFonts w:ascii="Times New Roman" w:eastAsia="Calibri" w:hAnsi="Times New Roman" w:cs="Times New Roman"/>
              </w:rPr>
              <w:t>Skats uz Krāslavu un Daugavas Priedaines loku no Adamovas takas skatu laukuma</w:t>
            </w:r>
          </w:p>
        </w:tc>
        <w:tc>
          <w:tcPr>
            <w:tcW w:w="997" w:type="dxa"/>
          </w:tcPr>
          <w:p w14:paraId="6028F1B1" w14:textId="77777777" w:rsidR="00ED610E" w:rsidRPr="00A07F29" w:rsidRDefault="00ED610E" w:rsidP="00904DDF">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0,25</w:t>
            </w:r>
          </w:p>
        </w:tc>
        <w:tc>
          <w:tcPr>
            <w:tcW w:w="2551" w:type="dxa"/>
          </w:tcPr>
          <w:p w14:paraId="1DCD03D8" w14:textId="74569B3F" w:rsidR="00ED610E" w:rsidRPr="00A07F29" w:rsidRDefault="00ED610E" w:rsidP="00CB19BC">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Skatu aizsedz uz kraujas augoša egle un krūmāji, lai atsegtu skatu</w:t>
            </w:r>
            <w:r w:rsidR="00CB19BC" w:rsidRPr="00A07F29">
              <w:rPr>
                <w:rFonts w:ascii="Times New Roman" w:eastAsia="Calibri" w:hAnsi="Times New Roman" w:cs="Times New Roman"/>
              </w:rPr>
              <w:t>,</w:t>
            </w:r>
            <w:r w:rsidRPr="00A07F29">
              <w:rPr>
                <w:rFonts w:ascii="Times New Roman" w:eastAsia="Calibri" w:hAnsi="Times New Roman" w:cs="Times New Roman"/>
              </w:rPr>
              <w:t xml:space="preserve"> egli nepieciešams novākt. </w:t>
            </w:r>
            <w:r w:rsidR="00CB19BC" w:rsidRPr="00A07F29">
              <w:rPr>
                <w:rFonts w:ascii="Times New Roman" w:eastAsia="Calibri" w:hAnsi="Times New Roman" w:cs="Times New Roman"/>
              </w:rPr>
              <w:t>Skata uz Daugavu atvēršanai un saglabāšanai</w:t>
            </w:r>
            <w:r w:rsidR="00B24154">
              <w:rPr>
                <w:rFonts w:ascii="Times New Roman" w:eastAsia="Calibri" w:hAnsi="Times New Roman" w:cs="Times New Roman"/>
              </w:rPr>
              <w:t>,</w:t>
            </w:r>
            <w:r w:rsidR="00CB19BC" w:rsidRPr="00A07F29">
              <w:rPr>
                <w:rFonts w:ascii="Times New Roman" w:eastAsia="Calibri" w:hAnsi="Times New Roman" w:cs="Times New Roman"/>
              </w:rPr>
              <w:t xml:space="preserve"> </w:t>
            </w:r>
            <w:r w:rsidRPr="00A07F29">
              <w:rPr>
                <w:rFonts w:ascii="Times New Roman" w:eastAsia="Calibri" w:hAnsi="Times New Roman" w:cs="Times New Roman"/>
              </w:rPr>
              <w:t>nepieciešams attīrīt krauju no krūmājiem un kokiem, kas pārsniedz skatu laukuma malas augstumu.</w:t>
            </w:r>
          </w:p>
        </w:tc>
        <w:tc>
          <w:tcPr>
            <w:tcW w:w="3693" w:type="dxa"/>
            <w:vMerge w:val="restart"/>
          </w:tcPr>
          <w:p w14:paraId="5D194890" w14:textId="77777777" w:rsidR="00ED610E" w:rsidRPr="00A07F29" w:rsidRDefault="00ED610E" w:rsidP="00904DDF">
            <w:pPr>
              <w:spacing w:after="0" w:line="240" w:lineRule="auto"/>
              <w:jc w:val="both"/>
              <w:rPr>
                <w:rFonts w:ascii="Times New Roman" w:eastAsia="Calibri" w:hAnsi="Times New Roman" w:cs="Times New Roman"/>
              </w:rPr>
            </w:pPr>
            <w:r w:rsidRPr="00A07F29">
              <w:rPr>
                <w:noProof/>
                <w:lang w:eastAsia="lv-LV"/>
              </w:rPr>
              <w:drawing>
                <wp:inline distT="0" distB="0" distL="0" distR="0" wp14:anchorId="6EB5A14A" wp14:editId="66D83A5B">
                  <wp:extent cx="2207895" cy="1866265"/>
                  <wp:effectExtent l="0" t="0" r="1905" b="635"/>
                  <wp:docPr id="139"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pic:nvPicPr>
                        <pic:blipFill>
                          <a:blip r:embed="rId174">
                            <a:extLst>
                              <a:ext uri="{28A0092B-C50C-407E-A947-70E740481C1C}">
                                <a14:useLocalDpi xmlns:a14="http://schemas.microsoft.com/office/drawing/2010/main"/>
                              </a:ext>
                            </a:extLst>
                          </a:blip>
                          <a:stretch>
                            <a:fillRect/>
                          </a:stretch>
                        </pic:blipFill>
                        <pic:spPr>
                          <a:xfrm>
                            <a:off x="0" y="0"/>
                            <a:ext cx="2207895" cy="1866265"/>
                          </a:xfrm>
                          <a:prstGeom prst="rect">
                            <a:avLst/>
                          </a:prstGeom>
                        </pic:spPr>
                      </pic:pic>
                    </a:graphicData>
                  </a:graphic>
                </wp:inline>
              </w:drawing>
            </w:r>
          </w:p>
        </w:tc>
      </w:tr>
      <w:tr w:rsidR="00ED610E" w:rsidRPr="00A07F29" w14:paraId="377A44CF" w14:textId="77777777" w:rsidTr="63C42FA1">
        <w:trPr>
          <w:jc w:val="center"/>
        </w:trPr>
        <w:tc>
          <w:tcPr>
            <w:tcW w:w="709" w:type="dxa"/>
          </w:tcPr>
          <w:p w14:paraId="1070EABF" w14:textId="77777777" w:rsidR="00ED610E" w:rsidRPr="00A07F29" w:rsidRDefault="00ED610E" w:rsidP="00F87589">
            <w:pPr>
              <w:numPr>
                <w:ilvl w:val="0"/>
                <w:numId w:val="42"/>
              </w:numPr>
              <w:spacing w:after="0" w:line="240" w:lineRule="auto"/>
              <w:ind w:left="0"/>
              <w:jc w:val="right"/>
              <w:rPr>
                <w:rFonts w:ascii="Times New Roman" w:eastAsia="Calibri" w:hAnsi="Times New Roman" w:cs="Times New Roman"/>
                <w:b/>
              </w:rPr>
            </w:pPr>
          </w:p>
        </w:tc>
        <w:tc>
          <w:tcPr>
            <w:tcW w:w="1843" w:type="dxa"/>
          </w:tcPr>
          <w:p w14:paraId="56EA4DE5" w14:textId="77777777" w:rsidR="00ED610E" w:rsidRPr="00A07F29" w:rsidRDefault="00ED610E" w:rsidP="00904DDF">
            <w:pPr>
              <w:spacing w:after="0" w:line="240" w:lineRule="auto"/>
              <w:rPr>
                <w:rFonts w:ascii="Times New Roman" w:eastAsia="Calibri" w:hAnsi="Times New Roman" w:cs="Times New Roman"/>
              </w:rPr>
            </w:pPr>
            <w:r w:rsidRPr="00A07F29">
              <w:rPr>
                <w:rFonts w:ascii="Times New Roman" w:eastAsia="Calibri" w:hAnsi="Times New Roman" w:cs="Times New Roman"/>
              </w:rPr>
              <w:t>Skats uz Daugavu Krāslavā pie Vidzemes ielas foto rāmja</w:t>
            </w:r>
          </w:p>
        </w:tc>
        <w:tc>
          <w:tcPr>
            <w:tcW w:w="997" w:type="dxa"/>
          </w:tcPr>
          <w:p w14:paraId="75BB1FFB" w14:textId="77777777" w:rsidR="00ED610E" w:rsidRPr="00A07F29" w:rsidRDefault="00ED610E" w:rsidP="00904DDF">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0,88</w:t>
            </w:r>
          </w:p>
        </w:tc>
        <w:tc>
          <w:tcPr>
            <w:tcW w:w="2551" w:type="dxa"/>
          </w:tcPr>
          <w:p w14:paraId="26C6DF90" w14:textId="77777777" w:rsidR="00ED610E" w:rsidRPr="00A07F29" w:rsidRDefault="00ED610E" w:rsidP="00904DDF">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Attīrīt krastu no krūmājiem un kokiem.</w:t>
            </w:r>
          </w:p>
        </w:tc>
        <w:tc>
          <w:tcPr>
            <w:tcW w:w="3693" w:type="dxa"/>
            <w:vMerge/>
          </w:tcPr>
          <w:p w14:paraId="367B690F" w14:textId="77777777" w:rsidR="00ED610E" w:rsidRPr="00A07F29" w:rsidRDefault="00ED610E" w:rsidP="00904DDF">
            <w:pPr>
              <w:spacing w:after="0" w:line="240" w:lineRule="auto"/>
              <w:ind w:firstLine="851"/>
              <w:jc w:val="both"/>
              <w:rPr>
                <w:rFonts w:ascii="Times New Roman" w:eastAsia="Calibri" w:hAnsi="Times New Roman" w:cs="Times New Roman"/>
              </w:rPr>
            </w:pPr>
          </w:p>
        </w:tc>
      </w:tr>
      <w:tr w:rsidR="00ED610E" w:rsidRPr="00A07F29" w14:paraId="11DE8AEA" w14:textId="77777777" w:rsidTr="63C42FA1">
        <w:trPr>
          <w:jc w:val="center"/>
        </w:trPr>
        <w:tc>
          <w:tcPr>
            <w:tcW w:w="709" w:type="dxa"/>
          </w:tcPr>
          <w:p w14:paraId="68AE834D" w14:textId="77777777" w:rsidR="00ED610E" w:rsidRPr="00A07F29" w:rsidRDefault="00ED610E" w:rsidP="00F87589">
            <w:pPr>
              <w:numPr>
                <w:ilvl w:val="0"/>
                <w:numId w:val="42"/>
              </w:numPr>
              <w:spacing w:after="0" w:line="240" w:lineRule="auto"/>
              <w:ind w:left="0"/>
              <w:jc w:val="right"/>
              <w:rPr>
                <w:rFonts w:ascii="Times New Roman" w:eastAsia="Calibri" w:hAnsi="Times New Roman" w:cs="Times New Roman"/>
                <w:b/>
              </w:rPr>
            </w:pPr>
          </w:p>
        </w:tc>
        <w:tc>
          <w:tcPr>
            <w:tcW w:w="1843" w:type="dxa"/>
          </w:tcPr>
          <w:p w14:paraId="09F01377" w14:textId="77777777" w:rsidR="00ED610E" w:rsidRPr="00A07F29" w:rsidRDefault="00ED610E" w:rsidP="00904DDF">
            <w:pPr>
              <w:spacing w:after="0" w:line="240" w:lineRule="auto"/>
              <w:rPr>
                <w:rFonts w:ascii="Times New Roman" w:eastAsia="Calibri" w:hAnsi="Times New Roman" w:cs="Times New Roman"/>
              </w:rPr>
            </w:pPr>
            <w:r w:rsidRPr="00A07F29">
              <w:rPr>
                <w:rFonts w:ascii="Times New Roman" w:eastAsia="Calibri" w:hAnsi="Times New Roman" w:cs="Times New Roman"/>
              </w:rPr>
              <w:t>Skats uz Daugavu un Krāslavu no tilta pāri Daugavai</w:t>
            </w:r>
          </w:p>
        </w:tc>
        <w:tc>
          <w:tcPr>
            <w:tcW w:w="997" w:type="dxa"/>
          </w:tcPr>
          <w:p w14:paraId="5A2784AF" w14:textId="77777777" w:rsidR="00ED610E" w:rsidRPr="00A07F29" w:rsidRDefault="00ED610E" w:rsidP="00904DDF">
            <w:pPr>
              <w:spacing w:after="0" w:line="240" w:lineRule="auto"/>
              <w:ind w:firstLine="851"/>
              <w:jc w:val="center"/>
              <w:rPr>
                <w:rFonts w:ascii="Times New Roman" w:eastAsia="Calibri" w:hAnsi="Times New Roman" w:cs="Times New Roman"/>
              </w:rPr>
            </w:pPr>
          </w:p>
        </w:tc>
        <w:tc>
          <w:tcPr>
            <w:tcW w:w="2551" w:type="dxa"/>
          </w:tcPr>
          <w:p w14:paraId="391A2037" w14:textId="4D7EF817" w:rsidR="00ED610E" w:rsidRPr="00A07F29" w:rsidRDefault="00D75C79" w:rsidP="00D75C79">
            <w:pPr>
              <w:spacing w:after="0" w:line="240" w:lineRule="auto"/>
              <w:ind w:firstLine="26"/>
              <w:rPr>
                <w:rFonts w:ascii="Times New Roman" w:eastAsia="Calibri" w:hAnsi="Times New Roman" w:cs="Times New Roman"/>
              </w:rPr>
            </w:pPr>
            <w:r w:rsidRPr="00A07F29">
              <w:rPr>
                <w:rFonts w:ascii="Times New Roman" w:eastAsia="Calibri" w:hAnsi="Times New Roman" w:cs="Times New Roman"/>
              </w:rPr>
              <w:t>Ieteicams uzlabot tilta vizuālo stāvokli – nokrāsot margas.</w:t>
            </w:r>
          </w:p>
        </w:tc>
        <w:tc>
          <w:tcPr>
            <w:tcW w:w="3693" w:type="dxa"/>
            <w:vMerge w:val="restart"/>
          </w:tcPr>
          <w:p w14:paraId="3A52B460" w14:textId="77777777" w:rsidR="00ED610E" w:rsidRPr="00A07F29" w:rsidRDefault="00ED610E" w:rsidP="00904DDF">
            <w:pPr>
              <w:spacing w:after="0" w:line="240" w:lineRule="auto"/>
              <w:jc w:val="both"/>
              <w:rPr>
                <w:rFonts w:ascii="Times New Roman" w:eastAsia="Calibri" w:hAnsi="Times New Roman" w:cs="Times New Roman"/>
              </w:rPr>
            </w:pPr>
            <w:r w:rsidRPr="00A07F29">
              <w:rPr>
                <w:noProof/>
                <w:lang w:eastAsia="lv-LV"/>
              </w:rPr>
              <w:drawing>
                <wp:inline distT="0" distB="0" distL="0" distR="0" wp14:anchorId="25DBCDF8" wp14:editId="0AC96B8E">
                  <wp:extent cx="2207895" cy="1687195"/>
                  <wp:effectExtent l="0" t="0" r="1905" b="8255"/>
                  <wp:docPr id="144"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pic:nvPicPr>
                        <pic:blipFill>
                          <a:blip r:embed="rId175">
                            <a:extLst>
                              <a:ext uri="{28A0092B-C50C-407E-A947-70E740481C1C}">
                                <a14:useLocalDpi xmlns:a14="http://schemas.microsoft.com/office/drawing/2010/main"/>
                              </a:ext>
                            </a:extLst>
                          </a:blip>
                          <a:stretch>
                            <a:fillRect/>
                          </a:stretch>
                        </pic:blipFill>
                        <pic:spPr>
                          <a:xfrm>
                            <a:off x="0" y="0"/>
                            <a:ext cx="2207895" cy="1687195"/>
                          </a:xfrm>
                          <a:prstGeom prst="rect">
                            <a:avLst/>
                          </a:prstGeom>
                        </pic:spPr>
                      </pic:pic>
                    </a:graphicData>
                  </a:graphic>
                </wp:inline>
              </w:drawing>
            </w:r>
          </w:p>
        </w:tc>
      </w:tr>
      <w:tr w:rsidR="00ED610E" w:rsidRPr="00A07F29" w14:paraId="37A1FD2C" w14:textId="77777777" w:rsidTr="63C42FA1">
        <w:trPr>
          <w:jc w:val="center"/>
        </w:trPr>
        <w:tc>
          <w:tcPr>
            <w:tcW w:w="709" w:type="dxa"/>
          </w:tcPr>
          <w:p w14:paraId="2183E3CA" w14:textId="77777777" w:rsidR="00ED610E" w:rsidRPr="00A07F29" w:rsidRDefault="00ED610E" w:rsidP="00F87589">
            <w:pPr>
              <w:numPr>
                <w:ilvl w:val="0"/>
                <w:numId w:val="42"/>
              </w:numPr>
              <w:spacing w:after="0" w:line="240" w:lineRule="auto"/>
              <w:ind w:left="0"/>
              <w:jc w:val="right"/>
              <w:rPr>
                <w:rFonts w:ascii="Times New Roman" w:eastAsia="Calibri" w:hAnsi="Times New Roman" w:cs="Times New Roman"/>
                <w:b/>
              </w:rPr>
            </w:pPr>
          </w:p>
        </w:tc>
        <w:tc>
          <w:tcPr>
            <w:tcW w:w="1843" w:type="dxa"/>
          </w:tcPr>
          <w:p w14:paraId="5BC67960" w14:textId="77777777" w:rsidR="00ED610E" w:rsidRPr="00A07F29" w:rsidRDefault="00ED610E" w:rsidP="00904DDF">
            <w:pPr>
              <w:spacing w:after="0" w:line="240" w:lineRule="auto"/>
              <w:rPr>
                <w:rFonts w:ascii="Times New Roman" w:eastAsia="Calibri" w:hAnsi="Times New Roman" w:cs="Times New Roman"/>
              </w:rPr>
            </w:pPr>
            <w:r w:rsidRPr="00A07F29">
              <w:rPr>
                <w:rFonts w:ascii="Times New Roman" w:eastAsia="Calibri" w:hAnsi="Times New Roman" w:cs="Times New Roman"/>
              </w:rPr>
              <w:t>Skats no Krāslavas tirgus laukuma stāvvietas</w:t>
            </w:r>
          </w:p>
        </w:tc>
        <w:tc>
          <w:tcPr>
            <w:tcW w:w="997" w:type="dxa"/>
          </w:tcPr>
          <w:p w14:paraId="682B2C2B" w14:textId="77777777" w:rsidR="00ED610E" w:rsidRPr="00A07F29" w:rsidRDefault="00ED610E" w:rsidP="00904DDF">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0,61</w:t>
            </w:r>
          </w:p>
        </w:tc>
        <w:tc>
          <w:tcPr>
            <w:tcW w:w="2551" w:type="dxa"/>
          </w:tcPr>
          <w:p w14:paraId="5B4A54B9" w14:textId="6D60A088" w:rsidR="00ED610E" w:rsidRPr="00A07F29" w:rsidRDefault="00ED610E" w:rsidP="00904DDF">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Kraujas kopšana. Nepieļaut kraujas aizaugšanu</w:t>
            </w:r>
            <w:r w:rsidR="001B1CA7">
              <w:rPr>
                <w:rFonts w:ascii="Times New Roman" w:eastAsia="Calibri" w:hAnsi="Times New Roman" w:cs="Times New Roman"/>
              </w:rPr>
              <w:t>.</w:t>
            </w:r>
          </w:p>
        </w:tc>
        <w:tc>
          <w:tcPr>
            <w:tcW w:w="3693" w:type="dxa"/>
            <w:vMerge/>
          </w:tcPr>
          <w:p w14:paraId="4DA114A6" w14:textId="77777777" w:rsidR="00ED610E" w:rsidRPr="00A07F29" w:rsidRDefault="00ED610E" w:rsidP="00904DDF">
            <w:pPr>
              <w:spacing w:after="0" w:line="240" w:lineRule="auto"/>
              <w:ind w:firstLine="851"/>
              <w:jc w:val="both"/>
              <w:rPr>
                <w:rFonts w:ascii="Times New Roman" w:eastAsia="Calibri" w:hAnsi="Times New Roman" w:cs="Times New Roman"/>
              </w:rPr>
            </w:pPr>
          </w:p>
        </w:tc>
      </w:tr>
      <w:tr w:rsidR="00ED610E" w:rsidRPr="00A07F29" w14:paraId="7E4E27D9" w14:textId="77777777" w:rsidTr="63C42FA1">
        <w:trPr>
          <w:jc w:val="center"/>
        </w:trPr>
        <w:tc>
          <w:tcPr>
            <w:tcW w:w="709" w:type="dxa"/>
          </w:tcPr>
          <w:p w14:paraId="5C7A44CB" w14:textId="77777777" w:rsidR="00ED610E" w:rsidRPr="00A07F29" w:rsidRDefault="00ED610E" w:rsidP="00F87589">
            <w:pPr>
              <w:numPr>
                <w:ilvl w:val="0"/>
                <w:numId w:val="42"/>
              </w:numPr>
              <w:spacing w:after="0" w:line="240" w:lineRule="auto"/>
              <w:ind w:left="0"/>
              <w:jc w:val="right"/>
              <w:rPr>
                <w:rFonts w:ascii="Times New Roman" w:eastAsia="Calibri" w:hAnsi="Times New Roman" w:cs="Times New Roman"/>
                <w:b/>
              </w:rPr>
            </w:pPr>
          </w:p>
        </w:tc>
        <w:tc>
          <w:tcPr>
            <w:tcW w:w="1843" w:type="dxa"/>
          </w:tcPr>
          <w:p w14:paraId="59AE0858" w14:textId="77777777" w:rsidR="00ED610E" w:rsidRPr="00A07F29" w:rsidRDefault="00ED610E" w:rsidP="00904DDF">
            <w:pPr>
              <w:spacing w:after="0" w:line="240" w:lineRule="auto"/>
              <w:rPr>
                <w:rFonts w:ascii="Times New Roman" w:eastAsia="Calibri" w:hAnsi="Times New Roman" w:cs="Times New Roman"/>
              </w:rPr>
            </w:pPr>
            <w:r w:rsidRPr="00A07F29">
              <w:rPr>
                <w:rFonts w:ascii="Times New Roman" w:eastAsia="Calibri" w:hAnsi="Times New Roman" w:cs="Times New Roman"/>
              </w:rPr>
              <w:t xml:space="preserve">Skats uz </w:t>
            </w:r>
            <w:proofErr w:type="spellStart"/>
            <w:r w:rsidRPr="00A07F29">
              <w:rPr>
                <w:rFonts w:ascii="Times New Roman" w:eastAsia="Calibri" w:hAnsi="Times New Roman" w:cs="Times New Roman"/>
              </w:rPr>
              <w:t>Šilovkas</w:t>
            </w:r>
            <w:proofErr w:type="spellEnd"/>
            <w:r w:rsidRPr="00A07F29">
              <w:rPr>
                <w:rFonts w:ascii="Times New Roman" w:eastAsia="Calibri" w:hAnsi="Times New Roman" w:cs="Times New Roman"/>
              </w:rPr>
              <w:t xml:space="preserve"> ezeru no LVM iekārtotās atpūtas vietas</w:t>
            </w:r>
          </w:p>
        </w:tc>
        <w:tc>
          <w:tcPr>
            <w:tcW w:w="997" w:type="dxa"/>
          </w:tcPr>
          <w:p w14:paraId="048307B1" w14:textId="77777777" w:rsidR="00ED610E" w:rsidRPr="00A07F29" w:rsidRDefault="00ED610E" w:rsidP="00904DDF">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0,1</w:t>
            </w:r>
          </w:p>
        </w:tc>
        <w:tc>
          <w:tcPr>
            <w:tcW w:w="2551" w:type="dxa"/>
          </w:tcPr>
          <w:p w14:paraId="31CABE1C" w14:textId="64CA42FE" w:rsidR="00ED610E" w:rsidRPr="00A07F29" w:rsidRDefault="00ED610E" w:rsidP="00904DDF">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Skatu saglabāšanai, nepieļaut ezera krasta aizaugšanu. Nepazaudēt ainavu, saglabājot meža masīvu ap ezeru, nepieļaut kailcirtes</w:t>
            </w:r>
            <w:r w:rsidR="00904BD5">
              <w:rPr>
                <w:rFonts w:ascii="Times New Roman" w:eastAsia="Calibri" w:hAnsi="Times New Roman" w:cs="Times New Roman"/>
              </w:rPr>
              <w:t>.</w:t>
            </w:r>
          </w:p>
        </w:tc>
        <w:tc>
          <w:tcPr>
            <w:tcW w:w="3693" w:type="dxa"/>
          </w:tcPr>
          <w:p w14:paraId="49EC0379" w14:textId="77777777" w:rsidR="00ED610E" w:rsidRPr="00A07F29" w:rsidRDefault="00ED610E" w:rsidP="00904DDF">
            <w:pPr>
              <w:spacing w:after="0" w:line="240" w:lineRule="auto"/>
              <w:jc w:val="both"/>
              <w:rPr>
                <w:rFonts w:ascii="Times New Roman" w:eastAsia="Calibri" w:hAnsi="Times New Roman" w:cs="Times New Roman"/>
              </w:rPr>
            </w:pPr>
            <w:r w:rsidRPr="00A07F29">
              <w:rPr>
                <w:noProof/>
                <w:lang w:eastAsia="lv-LV"/>
              </w:rPr>
              <w:drawing>
                <wp:inline distT="0" distB="0" distL="0" distR="0" wp14:anchorId="5B339493" wp14:editId="6844668B">
                  <wp:extent cx="2207895" cy="2160905"/>
                  <wp:effectExtent l="0" t="0" r="1905" b="0"/>
                  <wp:docPr id="145"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pic:nvPicPr>
                        <pic:blipFill>
                          <a:blip r:embed="rId176">
                            <a:extLst>
                              <a:ext uri="{28A0092B-C50C-407E-A947-70E740481C1C}">
                                <a14:useLocalDpi xmlns:a14="http://schemas.microsoft.com/office/drawing/2010/main"/>
                              </a:ext>
                            </a:extLst>
                          </a:blip>
                          <a:stretch>
                            <a:fillRect/>
                          </a:stretch>
                        </pic:blipFill>
                        <pic:spPr>
                          <a:xfrm>
                            <a:off x="0" y="0"/>
                            <a:ext cx="2207895" cy="2160905"/>
                          </a:xfrm>
                          <a:prstGeom prst="rect">
                            <a:avLst/>
                          </a:prstGeom>
                        </pic:spPr>
                      </pic:pic>
                    </a:graphicData>
                  </a:graphic>
                </wp:inline>
              </w:drawing>
            </w:r>
          </w:p>
        </w:tc>
      </w:tr>
      <w:tr w:rsidR="00ED610E" w:rsidRPr="00A07F29" w14:paraId="651F40CF" w14:textId="77777777" w:rsidTr="63C42FA1">
        <w:trPr>
          <w:jc w:val="center"/>
        </w:trPr>
        <w:tc>
          <w:tcPr>
            <w:tcW w:w="709" w:type="dxa"/>
          </w:tcPr>
          <w:p w14:paraId="175BA972" w14:textId="77777777" w:rsidR="00ED610E" w:rsidRPr="00A07F29" w:rsidRDefault="00ED610E" w:rsidP="00F87589">
            <w:pPr>
              <w:numPr>
                <w:ilvl w:val="0"/>
                <w:numId w:val="42"/>
              </w:numPr>
              <w:spacing w:after="0" w:line="240" w:lineRule="auto"/>
              <w:ind w:left="0"/>
              <w:jc w:val="right"/>
              <w:rPr>
                <w:rFonts w:ascii="Times New Roman" w:eastAsia="Calibri" w:hAnsi="Times New Roman" w:cs="Times New Roman"/>
                <w:b/>
              </w:rPr>
            </w:pPr>
          </w:p>
        </w:tc>
        <w:tc>
          <w:tcPr>
            <w:tcW w:w="1843" w:type="dxa"/>
          </w:tcPr>
          <w:p w14:paraId="32802666" w14:textId="77777777" w:rsidR="00ED610E" w:rsidRPr="00A07F29" w:rsidRDefault="00ED610E" w:rsidP="00904DDF">
            <w:pPr>
              <w:spacing w:after="0" w:line="240" w:lineRule="auto"/>
              <w:rPr>
                <w:rFonts w:ascii="Times New Roman" w:eastAsia="Calibri" w:hAnsi="Times New Roman" w:cs="Times New Roman"/>
              </w:rPr>
            </w:pPr>
            <w:r w:rsidRPr="00A07F29">
              <w:rPr>
                <w:rFonts w:ascii="Times New Roman" w:eastAsia="Calibri" w:hAnsi="Times New Roman" w:cs="Times New Roman"/>
              </w:rPr>
              <w:t>Skatu punkts no ceļa V633 (Krāslava-</w:t>
            </w:r>
            <w:proofErr w:type="spellStart"/>
            <w:r w:rsidRPr="00A07F29">
              <w:rPr>
                <w:rFonts w:ascii="Times New Roman" w:eastAsia="Calibri" w:hAnsi="Times New Roman" w:cs="Times New Roman"/>
              </w:rPr>
              <w:t>Varnaviči</w:t>
            </w:r>
            <w:proofErr w:type="spellEnd"/>
            <w:r w:rsidRPr="00A07F29">
              <w:rPr>
                <w:rFonts w:ascii="Times New Roman" w:eastAsia="Calibri" w:hAnsi="Times New Roman" w:cs="Times New Roman"/>
              </w:rPr>
              <w:t>-</w:t>
            </w:r>
            <w:proofErr w:type="spellStart"/>
            <w:r w:rsidRPr="00A07F29">
              <w:rPr>
                <w:rFonts w:ascii="Times New Roman" w:eastAsia="Calibri" w:hAnsi="Times New Roman" w:cs="Times New Roman"/>
              </w:rPr>
              <w:t>Robeždaugava</w:t>
            </w:r>
            <w:proofErr w:type="spellEnd"/>
            <w:r w:rsidRPr="00A07F29">
              <w:rPr>
                <w:rFonts w:ascii="Times New Roman" w:eastAsia="Calibri" w:hAnsi="Times New Roman" w:cs="Times New Roman"/>
              </w:rPr>
              <w:t xml:space="preserve">) pie </w:t>
            </w:r>
            <w:proofErr w:type="spellStart"/>
            <w:r w:rsidRPr="00A07F29">
              <w:rPr>
                <w:rFonts w:ascii="Times New Roman" w:eastAsia="Calibri" w:hAnsi="Times New Roman" w:cs="Times New Roman"/>
              </w:rPr>
              <w:t>Varnaviču</w:t>
            </w:r>
            <w:proofErr w:type="spellEnd"/>
            <w:r w:rsidRPr="00A07F29">
              <w:rPr>
                <w:rFonts w:ascii="Times New Roman" w:eastAsia="Calibri" w:hAnsi="Times New Roman" w:cs="Times New Roman"/>
              </w:rPr>
              <w:t xml:space="preserve"> baznīcas</w:t>
            </w:r>
          </w:p>
        </w:tc>
        <w:tc>
          <w:tcPr>
            <w:tcW w:w="997" w:type="dxa"/>
          </w:tcPr>
          <w:p w14:paraId="794DE26E" w14:textId="77777777" w:rsidR="00ED610E" w:rsidRPr="00A07F29" w:rsidRDefault="00ED610E" w:rsidP="00904DDF">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1,91</w:t>
            </w:r>
          </w:p>
        </w:tc>
        <w:tc>
          <w:tcPr>
            <w:tcW w:w="2551" w:type="dxa"/>
          </w:tcPr>
          <w:p w14:paraId="3BF48BD3" w14:textId="77777777" w:rsidR="00ED610E" w:rsidRPr="00A07F29" w:rsidRDefault="00ED610E" w:rsidP="00904DDF">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 xml:space="preserve">Izveidot atvērumu uz ezeru, attīrot krastu no krūmājiem, atstājot lielos kokus. </w:t>
            </w:r>
          </w:p>
        </w:tc>
        <w:tc>
          <w:tcPr>
            <w:tcW w:w="3693" w:type="dxa"/>
          </w:tcPr>
          <w:p w14:paraId="2FA4ECDA" w14:textId="77777777" w:rsidR="00ED610E" w:rsidRPr="00A07F29" w:rsidRDefault="00ED610E" w:rsidP="00904DDF">
            <w:pPr>
              <w:spacing w:after="0" w:line="240" w:lineRule="auto"/>
              <w:jc w:val="both"/>
              <w:rPr>
                <w:rFonts w:ascii="Times New Roman" w:eastAsia="Calibri" w:hAnsi="Times New Roman" w:cs="Times New Roman"/>
              </w:rPr>
            </w:pPr>
            <w:r w:rsidRPr="00A07F29">
              <w:rPr>
                <w:noProof/>
                <w:lang w:eastAsia="lv-LV"/>
              </w:rPr>
              <w:drawing>
                <wp:inline distT="0" distB="0" distL="0" distR="0" wp14:anchorId="40248A9C" wp14:editId="13DA9F01">
                  <wp:extent cx="2207895" cy="1541145"/>
                  <wp:effectExtent l="0" t="0" r="1905" b="1905"/>
                  <wp:docPr id="146"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pic:nvPicPr>
                        <pic:blipFill>
                          <a:blip r:embed="rId177">
                            <a:extLst>
                              <a:ext uri="{28A0092B-C50C-407E-A947-70E740481C1C}">
                                <a14:useLocalDpi xmlns:a14="http://schemas.microsoft.com/office/drawing/2010/main"/>
                              </a:ext>
                            </a:extLst>
                          </a:blip>
                          <a:stretch>
                            <a:fillRect/>
                          </a:stretch>
                        </pic:blipFill>
                        <pic:spPr>
                          <a:xfrm>
                            <a:off x="0" y="0"/>
                            <a:ext cx="2207895" cy="1541145"/>
                          </a:xfrm>
                          <a:prstGeom prst="rect">
                            <a:avLst/>
                          </a:prstGeom>
                        </pic:spPr>
                      </pic:pic>
                    </a:graphicData>
                  </a:graphic>
                </wp:inline>
              </w:drawing>
            </w:r>
          </w:p>
        </w:tc>
      </w:tr>
      <w:tr w:rsidR="00ED610E" w:rsidRPr="00A07F29" w14:paraId="7BBF1210" w14:textId="77777777" w:rsidTr="63C42FA1">
        <w:trPr>
          <w:jc w:val="center"/>
        </w:trPr>
        <w:tc>
          <w:tcPr>
            <w:tcW w:w="709" w:type="dxa"/>
          </w:tcPr>
          <w:p w14:paraId="7B062853" w14:textId="77777777" w:rsidR="00ED610E" w:rsidRPr="00A07F29" w:rsidRDefault="00ED610E" w:rsidP="00F87589">
            <w:pPr>
              <w:numPr>
                <w:ilvl w:val="0"/>
                <w:numId w:val="42"/>
              </w:numPr>
              <w:spacing w:after="0" w:line="240" w:lineRule="auto"/>
              <w:ind w:left="0"/>
              <w:jc w:val="right"/>
              <w:rPr>
                <w:rFonts w:ascii="Times New Roman" w:eastAsia="Calibri" w:hAnsi="Times New Roman" w:cs="Times New Roman"/>
                <w:b/>
              </w:rPr>
            </w:pPr>
          </w:p>
        </w:tc>
        <w:tc>
          <w:tcPr>
            <w:tcW w:w="1843" w:type="dxa"/>
          </w:tcPr>
          <w:p w14:paraId="36460445" w14:textId="77777777" w:rsidR="00ED610E" w:rsidRPr="00A07F29" w:rsidRDefault="00ED610E" w:rsidP="00904DDF">
            <w:pPr>
              <w:spacing w:after="0" w:line="240" w:lineRule="auto"/>
              <w:rPr>
                <w:rFonts w:ascii="Times New Roman" w:eastAsia="Calibri" w:hAnsi="Times New Roman" w:cs="Times New Roman"/>
              </w:rPr>
            </w:pPr>
            <w:r w:rsidRPr="00A07F29">
              <w:rPr>
                <w:rFonts w:ascii="Times New Roman" w:eastAsia="Calibri" w:hAnsi="Times New Roman" w:cs="Times New Roman"/>
              </w:rPr>
              <w:t xml:space="preserve">Skats no pašvaldības ceļa uz </w:t>
            </w:r>
            <w:proofErr w:type="spellStart"/>
            <w:r w:rsidRPr="00A07F29">
              <w:rPr>
                <w:rFonts w:ascii="Times New Roman" w:eastAsia="Calibri" w:hAnsi="Times New Roman" w:cs="Times New Roman"/>
              </w:rPr>
              <w:t>Varnaviču</w:t>
            </w:r>
            <w:proofErr w:type="spellEnd"/>
            <w:r w:rsidRPr="00A07F29">
              <w:rPr>
                <w:rFonts w:ascii="Times New Roman" w:eastAsia="Calibri" w:hAnsi="Times New Roman" w:cs="Times New Roman"/>
              </w:rPr>
              <w:t xml:space="preserve"> ezeru</w:t>
            </w:r>
          </w:p>
        </w:tc>
        <w:tc>
          <w:tcPr>
            <w:tcW w:w="997" w:type="dxa"/>
          </w:tcPr>
          <w:p w14:paraId="371E9851" w14:textId="77777777" w:rsidR="00ED610E" w:rsidRPr="00A07F29" w:rsidRDefault="00ED610E" w:rsidP="00904DDF">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23,31</w:t>
            </w:r>
          </w:p>
        </w:tc>
        <w:tc>
          <w:tcPr>
            <w:tcW w:w="2551" w:type="dxa"/>
          </w:tcPr>
          <w:p w14:paraId="2BC63FAE" w14:textId="3A80A288" w:rsidR="00ED610E" w:rsidRPr="00A07F29" w:rsidRDefault="39E8FF0D" w:rsidP="00C51116">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 xml:space="preserve">Skatu saglabāšanai, nav pieļaujama lauksaimniecības zemju aizaugšana un apmežošana. Nepieļaut ezera krasta apaugšanu. Jauna būvniecība pieļaujama, izvērtējot arhitektoniskus risinājumus. Nav pieļaujams jumtu klājumā izmantot spilgtas krāsas. </w:t>
            </w:r>
            <w:r w:rsidRPr="00A07F29">
              <w:rPr>
                <w:rFonts w:ascii="Times New Roman" w:eastAsia="Times New Roman" w:hAnsi="Times New Roman" w:cs="Times New Roman"/>
                <w:color w:val="000000" w:themeColor="text1"/>
              </w:rPr>
              <w:t>Nav pieļaujama plantāciju mežu ierīkošana.</w:t>
            </w:r>
            <w:r w:rsidR="00D65BBA" w:rsidRPr="00A07F29">
              <w:rPr>
                <w:rFonts w:ascii="Times New Roman" w:eastAsia="Calibri" w:hAnsi="Times New Roman" w:cs="Times New Roman"/>
              </w:rPr>
              <w:t xml:space="preserve"> </w:t>
            </w:r>
            <w:r w:rsidR="00C51116" w:rsidRPr="00A07F29">
              <w:rPr>
                <w:rFonts w:ascii="Times New Roman" w:eastAsia="Calibri" w:hAnsi="Times New Roman" w:cs="Times New Roman"/>
              </w:rPr>
              <w:t>Nepieciešama c</w:t>
            </w:r>
            <w:r w:rsidRPr="00A07F29">
              <w:rPr>
                <w:rFonts w:ascii="Times New Roman" w:eastAsia="Calibri" w:hAnsi="Times New Roman" w:cs="Times New Roman"/>
              </w:rPr>
              <w:t>eļmalu pļaušana.</w:t>
            </w:r>
          </w:p>
        </w:tc>
        <w:tc>
          <w:tcPr>
            <w:tcW w:w="3693" w:type="dxa"/>
          </w:tcPr>
          <w:p w14:paraId="6F85D165" w14:textId="77777777" w:rsidR="00ED610E" w:rsidRPr="00A07F29" w:rsidRDefault="00ED610E" w:rsidP="00904DDF">
            <w:pPr>
              <w:spacing w:after="0" w:line="240" w:lineRule="auto"/>
              <w:jc w:val="both"/>
              <w:rPr>
                <w:rFonts w:ascii="Times New Roman" w:eastAsia="Calibri" w:hAnsi="Times New Roman" w:cs="Times New Roman"/>
              </w:rPr>
            </w:pPr>
            <w:r w:rsidRPr="00A07F29">
              <w:rPr>
                <w:noProof/>
                <w:lang w:eastAsia="lv-LV"/>
              </w:rPr>
              <w:drawing>
                <wp:inline distT="0" distB="0" distL="0" distR="0" wp14:anchorId="238C29DE" wp14:editId="36EE5711">
                  <wp:extent cx="2207895" cy="2897505"/>
                  <wp:effectExtent l="0" t="0" r="1905"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pic:nvPicPr>
                        <pic:blipFill>
                          <a:blip r:embed="rId178">
                            <a:extLst>
                              <a:ext uri="{28A0092B-C50C-407E-A947-70E740481C1C}">
                                <a14:useLocalDpi xmlns:a14="http://schemas.microsoft.com/office/drawing/2010/main"/>
                              </a:ext>
                            </a:extLst>
                          </a:blip>
                          <a:stretch>
                            <a:fillRect/>
                          </a:stretch>
                        </pic:blipFill>
                        <pic:spPr>
                          <a:xfrm>
                            <a:off x="0" y="0"/>
                            <a:ext cx="2207895" cy="2897505"/>
                          </a:xfrm>
                          <a:prstGeom prst="rect">
                            <a:avLst/>
                          </a:prstGeom>
                        </pic:spPr>
                      </pic:pic>
                    </a:graphicData>
                  </a:graphic>
                </wp:inline>
              </w:drawing>
            </w:r>
          </w:p>
        </w:tc>
      </w:tr>
      <w:tr w:rsidR="00ED610E" w:rsidRPr="00A07F29" w14:paraId="37A591A9" w14:textId="77777777" w:rsidTr="63C42FA1">
        <w:trPr>
          <w:jc w:val="center"/>
        </w:trPr>
        <w:tc>
          <w:tcPr>
            <w:tcW w:w="709" w:type="dxa"/>
          </w:tcPr>
          <w:p w14:paraId="6C24F21C" w14:textId="77777777" w:rsidR="00ED610E" w:rsidRPr="00A07F29" w:rsidRDefault="00ED610E" w:rsidP="00F87589">
            <w:pPr>
              <w:numPr>
                <w:ilvl w:val="0"/>
                <w:numId w:val="42"/>
              </w:numPr>
              <w:spacing w:after="0" w:line="240" w:lineRule="auto"/>
              <w:ind w:left="0"/>
              <w:jc w:val="right"/>
              <w:rPr>
                <w:rFonts w:ascii="Times New Roman" w:eastAsia="Calibri" w:hAnsi="Times New Roman" w:cs="Times New Roman"/>
                <w:b/>
              </w:rPr>
            </w:pPr>
          </w:p>
        </w:tc>
        <w:tc>
          <w:tcPr>
            <w:tcW w:w="1843" w:type="dxa"/>
          </w:tcPr>
          <w:p w14:paraId="60691794" w14:textId="77777777" w:rsidR="00ED610E" w:rsidRPr="00A07F29" w:rsidRDefault="00ED610E" w:rsidP="00904DDF">
            <w:pPr>
              <w:spacing w:after="0" w:line="240" w:lineRule="auto"/>
              <w:rPr>
                <w:rFonts w:ascii="Times New Roman" w:eastAsia="Calibri" w:hAnsi="Times New Roman" w:cs="Times New Roman"/>
              </w:rPr>
            </w:pPr>
            <w:r w:rsidRPr="00A07F29">
              <w:rPr>
                <w:rFonts w:ascii="Times New Roman" w:eastAsia="Calibri" w:hAnsi="Times New Roman" w:cs="Times New Roman"/>
              </w:rPr>
              <w:t xml:space="preserve">Skats uz </w:t>
            </w:r>
            <w:proofErr w:type="spellStart"/>
            <w:r w:rsidRPr="00A07F29">
              <w:rPr>
                <w:rFonts w:ascii="Times New Roman" w:eastAsia="Calibri" w:hAnsi="Times New Roman" w:cs="Times New Roman"/>
              </w:rPr>
              <w:t>Indricas</w:t>
            </w:r>
            <w:proofErr w:type="spellEnd"/>
            <w:r w:rsidRPr="00A07F29">
              <w:rPr>
                <w:rFonts w:ascii="Times New Roman" w:eastAsia="Calibri" w:hAnsi="Times New Roman" w:cs="Times New Roman"/>
              </w:rPr>
              <w:t xml:space="preserve"> baznīcu un Daugavu no pašvaldības ceļa.</w:t>
            </w:r>
          </w:p>
        </w:tc>
        <w:tc>
          <w:tcPr>
            <w:tcW w:w="997" w:type="dxa"/>
          </w:tcPr>
          <w:p w14:paraId="3ABA68E6" w14:textId="77777777" w:rsidR="00ED610E" w:rsidRPr="00A07F29" w:rsidRDefault="00ED610E" w:rsidP="00904DDF">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8,86</w:t>
            </w:r>
          </w:p>
        </w:tc>
        <w:tc>
          <w:tcPr>
            <w:tcW w:w="2551" w:type="dxa"/>
          </w:tcPr>
          <w:p w14:paraId="1C571B1F" w14:textId="77777777" w:rsidR="00ED610E" w:rsidRPr="00A07F29" w:rsidRDefault="00ED610E" w:rsidP="00904DDF">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 xml:space="preserve">Ceļmalu kopšana, pļaušana. Nepieciešams krastu attīrīt no krūmājiem un koku </w:t>
            </w:r>
            <w:proofErr w:type="spellStart"/>
            <w:r w:rsidRPr="00A07F29">
              <w:rPr>
                <w:rFonts w:ascii="Times New Roman" w:eastAsia="Calibri" w:hAnsi="Times New Roman" w:cs="Times New Roman"/>
              </w:rPr>
              <w:t>sējeņiem</w:t>
            </w:r>
            <w:proofErr w:type="spellEnd"/>
            <w:r w:rsidRPr="00A07F29">
              <w:rPr>
                <w:rFonts w:ascii="Times New Roman" w:eastAsia="Calibri" w:hAnsi="Times New Roman" w:cs="Times New Roman"/>
              </w:rPr>
              <w:t>. Skatu saglabāšanai, nepieļaut krasta aizaugšanu.</w:t>
            </w:r>
          </w:p>
        </w:tc>
        <w:tc>
          <w:tcPr>
            <w:tcW w:w="3693" w:type="dxa"/>
          </w:tcPr>
          <w:p w14:paraId="54B82663" w14:textId="77777777" w:rsidR="00ED610E" w:rsidRPr="00A07F29" w:rsidRDefault="00ED610E" w:rsidP="00904DDF">
            <w:pPr>
              <w:spacing w:after="0" w:line="240" w:lineRule="auto"/>
              <w:jc w:val="both"/>
              <w:rPr>
                <w:rFonts w:ascii="Times New Roman" w:eastAsia="Calibri" w:hAnsi="Times New Roman" w:cs="Times New Roman"/>
              </w:rPr>
            </w:pPr>
            <w:r w:rsidRPr="00A07F29">
              <w:rPr>
                <w:noProof/>
                <w:lang w:eastAsia="lv-LV"/>
              </w:rPr>
              <w:drawing>
                <wp:inline distT="0" distB="0" distL="0" distR="0" wp14:anchorId="4C7AB188" wp14:editId="202FD34B">
                  <wp:extent cx="2207895" cy="1765300"/>
                  <wp:effectExtent l="0" t="0" r="1905" b="6350"/>
                  <wp:docPr id="14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pic:nvPicPr>
                        <pic:blipFill>
                          <a:blip r:embed="rId179">
                            <a:extLst>
                              <a:ext uri="{28A0092B-C50C-407E-A947-70E740481C1C}">
                                <a14:useLocalDpi xmlns:a14="http://schemas.microsoft.com/office/drawing/2010/main"/>
                              </a:ext>
                            </a:extLst>
                          </a:blip>
                          <a:stretch>
                            <a:fillRect/>
                          </a:stretch>
                        </pic:blipFill>
                        <pic:spPr>
                          <a:xfrm>
                            <a:off x="0" y="0"/>
                            <a:ext cx="2207895" cy="1765300"/>
                          </a:xfrm>
                          <a:prstGeom prst="rect">
                            <a:avLst/>
                          </a:prstGeom>
                        </pic:spPr>
                      </pic:pic>
                    </a:graphicData>
                  </a:graphic>
                </wp:inline>
              </w:drawing>
            </w:r>
          </w:p>
        </w:tc>
      </w:tr>
      <w:tr w:rsidR="00ED610E" w:rsidRPr="00A07F29" w14:paraId="7DB49A5E" w14:textId="77777777" w:rsidTr="63C42FA1">
        <w:trPr>
          <w:jc w:val="center"/>
        </w:trPr>
        <w:tc>
          <w:tcPr>
            <w:tcW w:w="709" w:type="dxa"/>
          </w:tcPr>
          <w:p w14:paraId="65D1D73C" w14:textId="77777777" w:rsidR="00ED610E" w:rsidRPr="00A07F29" w:rsidRDefault="00ED610E" w:rsidP="00F87589">
            <w:pPr>
              <w:numPr>
                <w:ilvl w:val="0"/>
                <w:numId w:val="42"/>
              </w:numPr>
              <w:spacing w:after="0" w:line="240" w:lineRule="auto"/>
              <w:ind w:left="0"/>
              <w:jc w:val="right"/>
              <w:rPr>
                <w:rFonts w:ascii="Times New Roman" w:eastAsia="Calibri" w:hAnsi="Times New Roman" w:cs="Times New Roman"/>
                <w:b/>
              </w:rPr>
            </w:pPr>
          </w:p>
        </w:tc>
        <w:tc>
          <w:tcPr>
            <w:tcW w:w="1843" w:type="dxa"/>
          </w:tcPr>
          <w:p w14:paraId="3E3B06A4" w14:textId="77777777" w:rsidR="00ED610E" w:rsidRPr="00A07F29" w:rsidRDefault="00ED610E" w:rsidP="00904DDF">
            <w:pPr>
              <w:spacing w:after="0" w:line="240" w:lineRule="auto"/>
              <w:rPr>
                <w:rFonts w:ascii="Times New Roman" w:eastAsia="Calibri" w:hAnsi="Times New Roman" w:cs="Times New Roman"/>
              </w:rPr>
            </w:pPr>
            <w:r w:rsidRPr="00A07F29">
              <w:rPr>
                <w:rFonts w:ascii="Times New Roman" w:eastAsia="Calibri" w:hAnsi="Times New Roman" w:cs="Times New Roman"/>
              </w:rPr>
              <w:t>Skatu punkts no ceļa V631 (Piedruja-Aleksandrova), panorāmas skats uz Piedruju un baznīcas torņiem</w:t>
            </w:r>
          </w:p>
        </w:tc>
        <w:tc>
          <w:tcPr>
            <w:tcW w:w="997" w:type="dxa"/>
          </w:tcPr>
          <w:p w14:paraId="797AA65A" w14:textId="77777777" w:rsidR="00ED610E" w:rsidRPr="00A07F29" w:rsidRDefault="00ED610E" w:rsidP="00904DDF">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47,43</w:t>
            </w:r>
          </w:p>
        </w:tc>
        <w:tc>
          <w:tcPr>
            <w:tcW w:w="2551" w:type="dxa"/>
          </w:tcPr>
          <w:p w14:paraId="714CD6A9" w14:textId="0357F242" w:rsidR="00ED610E" w:rsidRPr="00A07F29" w:rsidRDefault="39E8FF0D" w:rsidP="39E8FF0D">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Tālās panorāmas skats. Skatu saglabāšanai, nav pieļaujama lauksaimniecības zemju aizaugšana un apmežošana. Plānojot jaunu būvniecību, nav pieļaujam</w:t>
            </w:r>
            <w:r w:rsidR="00D62DB0">
              <w:rPr>
                <w:rFonts w:ascii="Times New Roman" w:eastAsia="Calibri" w:hAnsi="Times New Roman" w:cs="Times New Roman"/>
              </w:rPr>
              <w:t>a</w:t>
            </w:r>
            <w:r w:rsidRPr="00A07F29">
              <w:rPr>
                <w:rFonts w:ascii="Times New Roman" w:eastAsia="Calibri" w:hAnsi="Times New Roman" w:cs="Times New Roman"/>
              </w:rPr>
              <w:t xml:space="preserve"> tādu vertikālo objektu būvniecība, kas vizuāli dominētu ainavā. Nav pieļaujams jumtu klājumā izmantot spilgtas krāsas. </w:t>
            </w:r>
            <w:r w:rsidRPr="00A07F29">
              <w:rPr>
                <w:rFonts w:ascii="Times New Roman" w:eastAsia="Times New Roman" w:hAnsi="Times New Roman" w:cs="Times New Roman"/>
                <w:color w:val="000000" w:themeColor="text1"/>
              </w:rPr>
              <w:t>Nav pieļaujama plantāciju mežu ierīkošana.</w:t>
            </w:r>
            <w:r w:rsidRPr="00A07F29">
              <w:rPr>
                <w:rFonts w:ascii="Times New Roman" w:eastAsia="Calibri" w:hAnsi="Times New Roman" w:cs="Times New Roman"/>
              </w:rPr>
              <w:t xml:space="preserve"> Regulāra ceļmalu kopšana, pļaušana.</w:t>
            </w:r>
          </w:p>
        </w:tc>
        <w:tc>
          <w:tcPr>
            <w:tcW w:w="3693" w:type="dxa"/>
          </w:tcPr>
          <w:p w14:paraId="2BD3F6ED" w14:textId="77777777" w:rsidR="00ED610E" w:rsidRPr="00A07F29" w:rsidRDefault="00ED610E" w:rsidP="00904DDF">
            <w:pPr>
              <w:spacing w:after="0" w:line="240" w:lineRule="auto"/>
              <w:jc w:val="both"/>
              <w:rPr>
                <w:rFonts w:ascii="Times New Roman" w:eastAsia="Calibri" w:hAnsi="Times New Roman" w:cs="Times New Roman"/>
              </w:rPr>
            </w:pPr>
            <w:r w:rsidRPr="00A07F29">
              <w:rPr>
                <w:noProof/>
                <w:lang w:eastAsia="lv-LV"/>
              </w:rPr>
              <w:drawing>
                <wp:inline distT="0" distB="0" distL="0" distR="0" wp14:anchorId="15D85FF5" wp14:editId="55A3DE35">
                  <wp:extent cx="2207895" cy="4306570"/>
                  <wp:effectExtent l="0" t="0" r="1905" b="0"/>
                  <wp:docPr id="14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pic:nvPicPr>
                        <pic:blipFill>
                          <a:blip r:embed="rId180">
                            <a:extLst>
                              <a:ext uri="{28A0092B-C50C-407E-A947-70E740481C1C}">
                                <a14:useLocalDpi xmlns:a14="http://schemas.microsoft.com/office/drawing/2010/main"/>
                              </a:ext>
                            </a:extLst>
                          </a:blip>
                          <a:stretch>
                            <a:fillRect/>
                          </a:stretch>
                        </pic:blipFill>
                        <pic:spPr>
                          <a:xfrm>
                            <a:off x="0" y="0"/>
                            <a:ext cx="2207895" cy="4306570"/>
                          </a:xfrm>
                          <a:prstGeom prst="rect">
                            <a:avLst/>
                          </a:prstGeom>
                        </pic:spPr>
                      </pic:pic>
                    </a:graphicData>
                  </a:graphic>
                </wp:inline>
              </w:drawing>
            </w:r>
          </w:p>
        </w:tc>
      </w:tr>
      <w:tr w:rsidR="00ED610E" w:rsidRPr="00A07F29" w14:paraId="57CDCC39" w14:textId="77777777" w:rsidTr="63C42FA1">
        <w:trPr>
          <w:jc w:val="center"/>
        </w:trPr>
        <w:tc>
          <w:tcPr>
            <w:tcW w:w="709" w:type="dxa"/>
          </w:tcPr>
          <w:p w14:paraId="1492F1CD" w14:textId="77777777" w:rsidR="00ED610E" w:rsidRPr="00A07F29" w:rsidRDefault="00ED610E" w:rsidP="00F87589">
            <w:pPr>
              <w:numPr>
                <w:ilvl w:val="0"/>
                <w:numId w:val="42"/>
              </w:numPr>
              <w:spacing w:after="0" w:line="240" w:lineRule="auto"/>
              <w:ind w:left="0"/>
              <w:jc w:val="right"/>
              <w:rPr>
                <w:rFonts w:ascii="Times New Roman" w:eastAsia="Calibri" w:hAnsi="Times New Roman" w:cs="Times New Roman"/>
                <w:b/>
              </w:rPr>
            </w:pPr>
          </w:p>
        </w:tc>
        <w:tc>
          <w:tcPr>
            <w:tcW w:w="1843" w:type="dxa"/>
          </w:tcPr>
          <w:p w14:paraId="6452FD71" w14:textId="77777777" w:rsidR="00ED610E" w:rsidRPr="00A07F29" w:rsidRDefault="00ED610E" w:rsidP="00904DDF">
            <w:pPr>
              <w:spacing w:after="0" w:line="240" w:lineRule="auto"/>
              <w:rPr>
                <w:rFonts w:ascii="Times New Roman" w:eastAsia="Calibri" w:hAnsi="Times New Roman" w:cs="Times New Roman"/>
              </w:rPr>
            </w:pPr>
            <w:r w:rsidRPr="00A07F29">
              <w:rPr>
                <w:rFonts w:ascii="Times New Roman" w:eastAsia="Calibri" w:hAnsi="Times New Roman" w:cs="Times New Roman"/>
              </w:rPr>
              <w:t xml:space="preserve">Skatu punkts Piedrujā pie Daugavas akmens, kur pavērās skats uz Daugavu un </w:t>
            </w:r>
            <w:proofErr w:type="spellStart"/>
            <w:r w:rsidRPr="00A07F29">
              <w:rPr>
                <w:rFonts w:ascii="Times New Roman" w:eastAsia="Calibri" w:hAnsi="Times New Roman" w:cs="Times New Roman"/>
              </w:rPr>
              <w:t>Druju</w:t>
            </w:r>
            <w:proofErr w:type="spellEnd"/>
            <w:r w:rsidRPr="00A07F29">
              <w:rPr>
                <w:rFonts w:ascii="Times New Roman" w:eastAsia="Calibri" w:hAnsi="Times New Roman" w:cs="Times New Roman"/>
              </w:rPr>
              <w:t xml:space="preserve"> (Baltkrievijas republika)</w:t>
            </w:r>
          </w:p>
        </w:tc>
        <w:tc>
          <w:tcPr>
            <w:tcW w:w="997" w:type="dxa"/>
          </w:tcPr>
          <w:p w14:paraId="5ED1CC30" w14:textId="77777777" w:rsidR="00ED610E" w:rsidRPr="00A07F29" w:rsidRDefault="00ED610E" w:rsidP="00904DDF">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0,82</w:t>
            </w:r>
          </w:p>
        </w:tc>
        <w:tc>
          <w:tcPr>
            <w:tcW w:w="2551" w:type="dxa"/>
          </w:tcPr>
          <w:p w14:paraId="31933C1C" w14:textId="77777777" w:rsidR="00ED610E" w:rsidRPr="00A07F29" w:rsidRDefault="00ED610E" w:rsidP="00904DDF">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 xml:space="preserve">Skatu vieta jāattīra no krūmājiem un mazvērtīgiem kokiem, lai atvērtu plašāku panorāmu uz Daugavu un </w:t>
            </w:r>
            <w:proofErr w:type="spellStart"/>
            <w:r w:rsidRPr="00A07F29">
              <w:rPr>
                <w:rFonts w:ascii="Times New Roman" w:eastAsia="Calibri" w:hAnsi="Times New Roman" w:cs="Times New Roman"/>
              </w:rPr>
              <w:t>Drujas</w:t>
            </w:r>
            <w:proofErr w:type="spellEnd"/>
            <w:r w:rsidRPr="00A07F29">
              <w:rPr>
                <w:rFonts w:ascii="Times New Roman" w:eastAsia="Calibri" w:hAnsi="Times New Roman" w:cs="Times New Roman"/>
              </w:rPr>
              <w:t xml:space="preserve"> pilsētu (Baltkrievijas republika). Nav pieļaujama Daugavas kraujas aizaugšana. </w:t>
            </w:r>
          </w:p>
        </w:tc>
        <w:tc>
          <w:tcPr>
            <w:tcW w:w="3693" w:type="dxa"/>
          </w:tcPr>
          <w:p w14:paraId="7875BC82" w14:textId="77777777" w:rsidR="00ED610E" w:rsidRPr="00A07F29" w:rsidRDefault="00ED610E" w:rsidP="00904DDF">
            <w:pPr>
              <w:spacing w:after="0" w:line="240" w:lineRule="auto"/>
              <w:jc w:val="both"/>
              <w:rPr>
                <w:rFonts w:ascii="Times New Roman" w:eastAsia="Calibri" w:hAnsi="Times New Roman" w:cs="Times New Roman"/>
              </w:rPr>
            </w:pPr>
            <w:r w:rsidRPr="00A07F29">
              <w:rPr>
                <w:noProof/>
                <w:lang w:eastAsia="lv-LV"/>
              </w:rPr>
              <w:drawing>
                <wp:inline distT="0" distB="0" distL="0" distR="0" wp14:anchorId="18DCCD76" wp14:editId="77AA4CB9">
                  <wp:extent cx="2207895" cy="1781810"/>
                  <wp:effectExtent l="0" t="0" r="1905" b="8890"/>
                  <wp:docPr id="14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pic:nvPicPr>
                        <pic:blipFill>
                          <a:blip r:embed="rId181">
                            <a:extLst>
                              <a:ext uri="{28A0092B-C50C-407E-A947-70E740481C1C}">
                                <a14:useLocalDpi xmlns:a14="http://schemas.microsoft.com/office/drawing/2010/main"/>
                              </a:ext>
                            </a:extLst>
                          </a:blip>
                          <a:stretch>
                            <a:fillRect/>
                          </a:stretch>
                        </pic:blipFill>
                        <pic:spPr>
                          <a:xfrm>
                            <a:off x="0" y="0"/>
                            <a:ext cx="2207895" cy="1781810"/>
                          </a:xfrm>
                          <a:prstGeom prst="rect">
                            <a:avLst/>
                          </a:prstGeom>
                        </pic:spPr>
                      </pic:pic>
                    </a:graphicData>
                  </a:graphic>
                </wp:inline>
              </w:drawing>
            </w:r>
          </w:p>
        </w:tc>
      </w:tr>
      <w:tr w:rsidR="00321622" w:rsidRPr="00A07F29" w14:paraId="3B2FFD10" w14:textId="77777777" w:rsidTr="63C42FA1">
        <w:trPr>
          <w:jc w:val="center"/>
        </w:trPr>
        <w:tc>
          <w:tcPr>
            <w:tcW w:w="709" w:type="dxa"/>
          </w:tcPr>
          <w:p w14:paraId="5048DD72" w14:textId="77777777" w:rsidR="00321622" w:rsidRPr="00A07F29" w:rsidRDefault="00321622" w:rsidP="00F87589">
            <w:pPr>
              <w:numPr>
                <w:ilvl w:val="0"/>
                <w:numId w:val="42"/>
              </w:numPr>
              <w:spacing w:after="0" w:line="240" w:lineRule="auto"/>
              <w:ind w:left="0"/>
              <w:jc w:val="right"/>
              <w:rPr>
                <w:rFonts w:ascii="Times New Roman" w:eastAsia="Calibri" w:hAnsi="Times New Roman" w:cs="Times New Roman"/>
                <w:b/>
              </w:rPr>
            </w:pPr>
          </w:p>
        </w:tc>
        <w:tc>
          <w:tcPr>
            <w:tcW w:w="1843" w:type="dxa"/>
          </w:tcPr>
          <w:p w14:paraId="16643615" w14:textId="4A9378C0" w:rsidR="00321622" w:rsidRPr="00A07F29" w:rsidRDefault="00321622" w:rsidP="00904DDF">
            <w:pPr>
              <w:spacing w:after="0" w:line="240" w:lineRule="auto"/>
              <w:rPr>
                <w:rFonts w:ascii="Times New Roman" w:eastAsia="Calibri" w:hAnsi="Times New Roman" w:cs="Times New Roman"/>
              </w:rPr>
            </w:pPr>
            <w:r w:rsidRPr="00A07F29">
              <w:rPr>
                <w:rFonts w:ascii="Times New Roman" w:eastAsia="Calibri" w:hAnsi="Times New Roman" w:cs="Times New Roman"/>
              </w:rPr>
              <w:t xml:space="preserve">Skats uz </w:t>
            </w:r>
            <w:proofErr w:type="spellStart"/>
            <w:r w:rsidRPr="00A07F29">
              <w:rPr>
                <w:rFonts w:ascii="Times New Roman" w:eastAsia="Calibri" w:hAnsi="Times New Roman" w:cs="Times New Roman"/>
              </w:rPr>
              <w:t>Lielbornes</w:t>
            </w:r>
            <w:proofErr w:type="spellEnd"/>
            <w:r w:rsidRPr="00A07F29">
              <w:rPr>
                <w:rFonts w:ascii="Times New Roman" w:eastAsia="Calibri" w:hAnsi="Times New Roman" w:cs="Times New Roman"/>
              </w:rPr>
              <w:t xml:space="preserve"> muižu</w:t>
            </w:r>
          </w:p>
        </w:tc>
        <w:tc>
          <w:tcPr>
            <w:tcW w:w="997" w:type="dxa"/>
          </w:tcPr>
          <w:p w14:paraId="1D7B8B0A" w14:textId="01B0F187" w:rsidR="00321622" w:rsidRPr="00A07F29" w:rsidRDefault="00321622" w:rsidP="00904DDF">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0,3</w:t>
            </w:r>
          </w:p>
        </w:tc>
        <w:tc>
          <w:tcPr>
            <w:tcW w:w="2551" w:type="dxa"/>
          </w:tcPr>
          <w:p w14:paraId="2791B615" w14:textId="7EEE2B33" w:rsidR="00321622" w:rsidRPr="00A07F29" w:rsidRDefault="00321622" w:rsidP="00904DDF">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 xml:space="preserve">Atsedzams skats uz </w:t>
            </w:r>
            <w:proofErr w:type="spellStart"/>
            <w:r w:rsidRPr="00A07F29">
              <w:rPr>
                <w:rFonts w:ascii="Times New Roman" w:eastAsia="Calibri" w:hAnsi="Times New Roman" w:cs="Times New Roman"/>
              </w:rPr>
              <w:t>Lielbornes</w:t>
            </w:r>
            <w:proofErr w:type="spellEnd"/>
            <w:r w:rsidRPr="00A07F29">
              <w:rPr>
                <w:rFonts w:ascii="Times New Roman" w:eastAsia="Calibri" w:hAnsi="Times New Roman" w:cs="Times New Roman"/>
              </w:rPr>
              <w:t xml:space="preserve"> muižu un Daugavu. Novācami tikai koki un krūmi, kuri aizsedz skatu, pārējie koki un pamežs saglabājami, lai saudzētu gravu un nogāžu meža biotopu un </w:t>
            </w:r>
            <w:r w:rsidRPr="00864948">
              <w:rPr>
                <w:rFonts w:ascii="Times New Roman" w:eastAsia="Calibri" w:hAnsi="Times New Roman" w:cs="Times New Roman"/>
              </w:rPr>
              <w:t>īpaši aizsargājamo gliem</w:t>
            </w:r>
            <w:r w:rsidRPr="00A07F29">
              <w:rPr>
                <w:rFonts w:ascii="Times New Roman" w:eastAsia="Calibri" w:hAnsi="Times New Roman" w:cs="Times New Roman"/>
              </w:rPr>
              <w:t>ežu sugu atradnes.</w:t>
            </w:r>
          </w:p>
        </w:tc>
        <w:tc>
          <w:tcPr>
            <w:tcW w:w="3693" w:type="dxa"/>
          </w:tcPr>
          <w:p w14:paraId="1C0306FE" w14:textId="4E98FD5C" w:rsidR="00321622" w:rsidRPr="00A07F29" w:rsidRDefault="00840BD0" w:rsidP="00904DDF">
            <w:pPr>
              <w:spacing w:after="0" w:line="240" w:lineRule="auto"/>
              <w:jc w:val="both"/>
            </w:pPr>
            <w:r w:rsidRPr="00A07F29">
              <w:rPr>
                <w:noProof/>
                <w:lang w:eastAsia="lv-LV"/>
              </w:rPr>
              <w:drawing>
                <wp:inline distT="0" distB="0" distL="0" distR="0" wp14:anchorId="205499DB" wp14:editId="6B5FA064">
                  <wp:extent cx="2148840" cy="1752600"/>
                  <wp:effectExtent l="0" t="0" r="3810" b="0"/>
                  <wp:docPr id="918145567" name="Picture 918145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2148840" cy="1752600"/>
                          </a:xfrm>
                          <a:prstGeom prst="rect">
                            <a:avLst/>
                          </a:prstGeom>
                          <a:noFill/>
                        </pic:spPr>
                      </pic:pic>
                    </a:graphicData>
                  </a:graphic>
                </wp:inline>
              </w:drawing>
            </w:r>
          </w:p>
        </w:tc>
      </w:tr>
    </w:tbl>
    <w:bookmarkEnd w:id="112"/>
    <w:p w14:paraId="0F151BF0" w14:textId="55C2D022" w:rsidR="00B81E72" w:rsidRPr="00A07F29" w:rsidRDefault="00A21E83" w:rsidP="002A4F0C">
      <w:pPr>
        <w:keepNext/>
        <w:spacing w:before="240" w:after="120" w:line="240" w:lineRule="auto"/>
        <w:jc w:val="both"/>
        <w:rPr>
          <w:rFonts w:ascii="Times New Roman" w:eastAsia="Calibri" w:hAnsi="Times New Roman" w:cs="Calibri"/>
          <w:b/>
          <w:i/>
          <w:sz w:val="24"/>
          <w:lang w:eastAsia="ja-JP"/>
        </w:rPr>
      </w:pPr>
      <w:r w:rsidRPr="00A07F29">
        <w:rPr>
          <w:rFonts w:ascii="Times New Roman" w:eastAsia="Calibri" w:hAnsi="Times New Roman" w:cs="Calibri"/>
          <w:b/>
          <w:i/>
          <w:sz w:val="24"/>
          <w:lang w:eastAsia="ja-JP"/>
        </w:rPr>
        <w:t xml:space="preserve">E.1.2. </w:t>
      </w:r>
      <w:r w:rsidR="00B81E72" w:rsidRPr="00A07F29">
        <w:rPr>
          <w:rFonts w:ascii="Times New Roman" w:eastAsia="Calibri" w:hAnsi="Times New Roman" w:cs="Calibri"/>
          <w:b/>
          <w:i/>
          <w:sz w:val="24"/>
          <w:lang w:eastAsia="ja-JP"/>
        </w:rPr>
        <w:t>Ainavu un vidi degradējošu objektu</w:t>
      </w:r>
      <w:r w:rsidR="00721B29" w:rsidRPr="00A07F29">
        <w:rPr>
          <w:rFonts w:ascii="Times New Roman" w:eastAsia="Calibri" w:hAnsi="Times New Roman" w:cs="Calibri"/>
          <w:b/>
          <w:i/>
          <w:sz w:val="24"/>
          <w:lang w:eastAsia="ja-JP"/>
        </w:rPr>
        <w:t xml:space="preserve">, tai skaitā karjeru, </w:t>
      </w:r>
      <w:r w:rsidR="00B81E72" w:rsidRPr="00A07F29">
        <w:rPr>
          <w:rFonts w:ascii="Times New Roman" w:eastAsia="Calibri" w:hAnsi="Times New Roman" w:cs="Calibri"/>
          <w:b/>
          <w:i/>
          <w:sz w:val="24"/>
          <w:lang w:eastAsia="ja-JP"/>
        </w:rPr>
        <w:t>rekultivācija</w:t>
      </w:r>
    </w:p>
    <w:p w14:paraId="1AB407AC" w14:textId="4E4A9D73" w:rsidR="008560F3" w:rsidRPr="00A07F29" w:rsidRDefault="008560F3" w:rsidP="008560F3">
      <w:pPr>
        <w:spacing w:after="120" w:line="240" w:lineRule="auto"/>
        <w:ind w:firstLine="851"/>
        <w:jc w:val="both"/>
        <w:rPr>
          <w:rFonts w:ascii="Times New Roman" w:eastAsia="Calibri" w:hAnsi="Times New Roman" w:cs="Calibri"/>
          <w:sz w:val="24"/>
          <w:lang w:eastAsia="ja-JP"/>
        </w:rPr>
      </w:pPr>
      <w:r w:rsidRPr="007C095A">
        <w:rPr>
          <w:rFonts w:ascii="Times New Roman" w:eastAsia="Calibri" w:hAnsi="Times New Roman" w:cs="Calibri"/>
          <w:sz w:val="24"/>
          <w:lang w:eastAsia="ja-JP"/>
        </w:rPr>
        <w:t>Pēc derīgo</w:t>
      </w:r>
      <w:r w:rsidRPr="00A07F29">
        <w:rPr>
          <w:rFonts w:ascii="Times New Roman" w:eastAsia="Calibri" w:hAnsi="Times New Roman" w:cs="Calibri"/>
          <w:sz w:val="24"/>
          <w:lang w:eastAsia="ja-JP"/>
        </w:rPr>
        <w:t xml:space="preserve"> izrakteņu ieguves nepieciešama šo teritoriju rekultivācija, izvērtējot un ņemot vērā konkrētās teritorijas piemērotību aizsargājamo sugu dzīvotņu un ES nozīmes biotopu </w:t>
      </w:r>
      <w:r w:rsidRPr="00A07F29">
        <w:rPr>
          <w:rFonts w:ascii="Times New Roman" w:eastAsia="Calibri" w:hAnsi="Times New Roman" w:cs="Calibri"/>
          <w:sz w:val="24"/>
          <w:lang w:eastAsia="ja-JP"/>
        </w:rPr>
        <w:lastRenderedPageBreak/>
        <w:t>atjaunošanai, kā arī teritorijas piemērotību rekreācijas aktivitāšu attīstīšanai u.c. saimnieciskai izmantošanai.</w:t>
      </w:r>
      <w:r w:rsidR="00F501EC" w:rsidRPr="00A07F29">
        <w:rPr>
          <w:rFonts w:ascii="Times New Roman" w:eastAsia="Calibri" w:hAnsi="Times New Roman" w:cs="Calibri"/>
          <w:sz w:val="24"/>
          <w:lang w:eastAsia="ja-JP"/>
        </w:rPr>
        <w:t xml:space="preserve"> Tāpat arī plānojama </w:t>
      </w:r>
      <w:proofErr w:type="spellStart"/>
      <w:r w:rsidR="00F501EC" w:rsidRPr="00A07F29">
        <w:rPr>
          <w:rFonts w:ascii="Times New Roman" w:eastAsia="Calibri" w:hAnsi="Times New Roman" w:cs="Calibri"/>
          <w:sz w:val="24"/>
          <w:lang w:eastAsia="ja-JP"/>
        </w:rPr>
        <w:t>rekultivēto</w:t>
      </w:r>
      <w:proofErr w:type="spellEnd"/>
      <w:r w:rsidR="00F501EC" w:rsidRPr="00A07F29">
        <w:rPr>
          <w:rFonts w:ascii="Times New Roman" w:eastAsia="Calibri" w:hAnsi="Times New Roman" w:cs="Calibri"/>
          <w:sz w:val="24"/>
          <w:lang w:eastAsia="ja-JP"/>
        </w:rPr>
        <w:t xml:space="preserve"> teritoriju harmoniska iekļaušanās ainavā.</w:t>
      </w:r>
      <w:r w:rsidR="00F60377" w:rsidRPr="00A07F29">
        <w:rPr>
          <w:rFonts w:ascii="Times New Roman" w:eastAsia="Calibri" w:hAnsi="Times New Roman" w:cs="Calibri"/>
          <w:sz w:val="24"/>
          <w:lang w:eastAsia="ja-JP"/>
        </w:rPr>
        <w:t xml:space="preserve"> Ieteicams </w:t>
      </w:r>
      <w:proofErr w:type="spellStart"/>
      <w:r w:rsidR="00F60377" w:rsidRPr="00A07F29">
        <w:rPr>
          <w:rFonts w:ascii="Times New Roman" w:eastAsia="Calibri" w:hAnsi="Times New Roman" w:cs="Calibri"/>
          <w:sz w:val="24"/>
          <w:lang w:eastAsia="ja-JP"/>
        </w:rPr>
        <w:t>iztrādāt</w:t>
      </w:r>
      <w:proofErr w:type="spellEnd"/>
      <w:r w:rsidR="00F60377" w:rsidRPr="00A07F29">
        <w:rPr>
          <w:rFonts w:ascii="Times New Roman" w:eastAsia="Calibri" w:hAnsi="Times New Roman" w:cs="Calibri"/>
          <w:sz w:val="24"/>
          <w:lang w:eastAsia="ja-JP"/>
        </w:rPr>
        <w:t xml:space="preserve"> vienotu </w:t>
      </w:r>
      <w:proofErr w:type="spellStart"/>
      <w:r w:rsidR="00F60377" w:rsidRPr="00A07F29">
        <w:rPr>
          <w:rFonts w:ascii="Times New Roman" w:eastAsia="Calibri" w:hAnsi="Times New Roman" w:cs="Calibri"/>
          <w:sz w:val="24"/>
          <w:lang w:eastAsia="ja-JP"/>
        </w:rPr>
        <w:t>Elernes</w:t>
      </w:r>
      <w:proofErr w:type="spellEnd"/>
      <w:r w:rsidR="00F60377" w:rsidRPr="00A07F29">
        <w:rPr>
          <w:rFonts w:ascii="Times New Roman" w:eastAsia="Calibri" w:hAnsi="Times New Roman" w:cs="Calibri"/>
          <w:sz w:val="24"/>
          <w:lang w:eastAsia="ja-JP"/>
        </w:rPr>
        <w:t xml:space="preserve"> loka karjeru rekultivācijas plānu, kas sekmētu augstvērtīgas ainavas atjaunošanu un bioloģiskās daudzveidības saglabāšanu AAA “Augšdaugava”.</w:t>
      </w:r>
    </w:p>
    <w:p w14:paraId="146542C2" w14:textId="5B6B79DE" w:rsidR="000925FA" w:rsidRPr="00A07F29" w:rsidRDefault="000925FA" w:rsidP="000925FA">
      <w:pPr>
        <w:spacing w:after="120" w:line="240" w:lineRule="auto"/>
        <w:ind w:firstLine="851"/>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 xml:space="preserve">AAA “Augšdaugava” </w:t>
      </w:r>
      <w:r w:rsidR="0037375B" w:rsidRPr="00A07F29">
        <w:rPr>
          <w:rFonts w:ascii="Times New Roman" w:eastAsia="Calibri" w:hAnsi="Times New Roman" w:cs="Calibri"/>
          <w:sz w:val="24"/>
          <w:lang w:eastAsia="ja-JP"/>
        </w:rPr>
        <w:t xml:space="preserve">teritorijā lielākā pārveidoto teritoriju koncentrācija ir </w:t>
      </w:r>
      <w:proofErr w:type="spellStart"/>
      <w:r w:rsidRPr="00A07F29">
        <w:rPr>
          <w:rFonts w:ascii="Times New Roman" w:eastAsia="Calibri" w:hAnsi="Times New Roman" w:cs="Calibri"/>
          <w:sz w:val="24"/>
          <w:lang w:eastAsia="ja-JP"/>
        </w:rPr>
        <w:t>Elernes</w:t>
      </w:r>
      <w:proofErr w:type="spellEnd"/>
      <w:r w:rsidRPr="00A07F29">
        <w:rPr>
          <w:rFonts w:ascii="Times New Roman" w:eastAsia="Calibri" w:hAnsi="Times New Roman" w:cs="Calibri"/>
          <w:sz w:val="24"/>
          <w:lang w:eastAsia="ja-JP"/>
        </w:rPr>
        <w:t xml:space="preserve"> </w:t>
      </w:r>
      <w:r w:rsidR="005F3E78" w:rsidRPr="00A07F29">
        <w:rPr>
          <w:rFonts w:ascii="Times New Roman" w:eastAsia="Calibri" w:hAnsi="Times New Roman" w:cs="Calibri"/>
          <w:sz w:val="24"/>
          <w:lang w:eastAsia="ja-JP"/>
        </w:rPr>
        <w:t>lokā</w:t>
      </w:r>
      <w:r w:rsidR="00B216DC" w:rsidRPr="00A07F29">
        <w:rPr>
          <w:rFonts w:ascii="Times New Roman" w:eastAsia="Calibri" w:hAnsi="Times New Roman" w:cs="Calibri"/>
          <w:sz w:val="24"/>
          <w:lang w:eastAsia="ja-JP"/>
        </w:rPr>
        <w:t xml:space="preserve"> (</w:t>
      </w:r>
      <w:r w:rsidR="00024409">
        <w:rPr>
          <w:rFonts w:ascii="Times New Roman" w:eastAsia="Calibri" w:hAnsi="Times New Roman" w:cs="Calibri"/>
          <w:sz w:val="24"/>
          <w:lang w:eastAsia="ja-JP"/>
        </w:rPr>
        <w:t xml:space="preserve">skat. </w:t>
      </w:r>
      <w:r w:rsidR="00B216DC" w:rsidRPr="00A07F29">
        <w:rPr>
          <w:rFonts w:ascii="Times New Roman" w:eastAsia="Calibri" w:hAnsi="Times New Roman" w:cs="Calibri"/>
          <w:sz w:val="24"/>
          <w:lang w:eastAsia="ja-JP"/>
        </w:rPr>
        <w:t>5.3.</w:t>
      </w:r>
      <w:r w:rsidR="00D530E3" w:rsidRPr="00A07F29">
        <w:rPr>
          <w:rFonts w:ascii="Times New Roman" w:eastAsia="Calibri" w:hAnsi="Times New Roman" w:cs="Calibri"/>
          <w:sz w:val="24"/>
          <w:lang w:eastAsia="ja-JP"/>
        </w:rPr>
        <w:t>5</w:t>
      </w:r>
      <w:r w:rsidR="000A7D5A">
        <w:rPr>
          <w:rFonts w:ascii="Times New Roman" w:eastAsia="Calibri" w:hAnsi="Times New Roman" w:cs="Calibri"/>
          <w:sz w:val="24"/>
          <w:lang w:eastAsia="ja-JP"/>
        </w:rPr>
        <w:t>2</w:t>
      </w:r>
      <w:r w:rsidR="00B216DC" w:rsidRPr="00A07F29">
        <w:rPr>
          <w:rFonts w:ascii="Times New Roman" w:eastAsia="Calibri" w:hAnsi="Times New Roman" w:cs="Calibri"/>
          <w:sz w:val="24"/>
          <w:lang w:eastAsia="ja-JP"/>
        </w:rPr>
        <w:t>.</w:t>
      </w:r>
      <w:r w:rsidR="00024409">
        <w:rPr>
          <w:rFonts w:ascii="Times New Roman" w:eastAsia="Calibri" w:hAnsi="Times New Roman" w:cs="Calibri"/>
          <w:sz w:val="24"/>
          <w:lang w:eastAsia="ja-JP"/>
        </w:rPr>
        <w:t> </w:t>
      </w:r>
      <w:r w:rsidR="00B216DC" w:rsidRPr="00A07F29">
        <w:rPr>
          <w:rFonts w:ascii="Times New Roman" w:eastAsia="Calibri" w:hAnsi="Times New Roman" w:cs="Calibri"/>
          <w:sz w:val="24"/>
          <w:lang w:eastAsia="ja-JP"/>
        </w:rPr>
        <w:t>att</w:t>
      </w:r>
      <w:r w:rsidR="00024409">
        <w:rPr>
          <w:rFonts w:ascii="Times New Roman" w:eastAsia="Calibri" w:hAnsi="Times New Roman" w:cs="Calibri"/>
          <w:sz w:val="24"/>
          <w:lang w:eastAsia="ja-JP"/>
        </w:rPr>
        <w:t>ēls</w:t>
      </w:r>
      <w:r w:rsidR="00B216DC" w:rsidRPr="00A07F29">
        <w:rPr>
          <w:rFonts w:ascii="Times New Roman" w:eastAsia="Calibri" w:hAnsi="Times New Roman" w:cs="Calibri"/>
          <w:sz w:val="24"/>
          <w:lang w:eastAsia="ja-JP"/>
        </w:rPr>
        <w:t>)</w:t>
      </w:r>
      <w:r w:rsidR="00615239" w:rsidRPr="00A07F29">
        <w:rPr>
          <w:rFonts w:ascii="Times New Roman" w:eastAsia="Calibri" w:hAnsi="Times New Roman" w:cs="Calibri"/>
          <w:sz w:val="24"/>
          <w:lang w:eastAsia="ja-JP"/>
        </w:rPr>
        <w:t>, kur veikta derīgo izrakteņ</w:t>
      </w:r>
      <w:r w:rsidR="0037375B" w:rsidRPr="00A07F29">
        <w:rPr>
          <w:rFonts w:ascii="Times New Roman" w:eastAsia="Calibri" w:hAnsi="Times New Roman" w:cs="Calibri"/>
          <w:sz w:val="24"/>
          <w:lang w:eastAsia="ja-JP"/>
        </w:rPr>
        <w:t xml:space="preserve">u ieguve kopš </w:t>
      </w:r>
      <w:r w:rsidR="00615239" w:rsidRPr="00A07F29">
        <w:rPr>
          <w:rFonts w:ascii="Times New Roman" w:eastAsia="Calibri" w:hAnsi="Times New Roman" w:cs="Calibri"/>
          <w:sz w:val="24"/>
          <w:lang w:eastAsia="ja-JP"/>
        </w:rPr>
        <w:t xml:space="preserve">1980.-tajiem gadiem. Šeit </w:t>
      </w:r>
      <w:r w:rsidR="005F3E78" w:rsidRPr="00A07F29">
        <w:rPr>
          <w:rFonts w:ascii="Times New Roman" w:eastAsia="Calibri" w:hAnsi="Times New Roman" w:cs="Calibri"/>
          <w:sz w:val="24"/>
          <w:lang w:eastAsia="ja-JP"/>
        </w:rPr>
        <w:t xml:space="preserve">smilts un grants ieguves rezultātā </w:t>
      </w:r>
      <w:r w:rsidRPr="00A07F29">
        <w:rPr>
          <w:rFonts w:ascii="Times New Roman" w:eastAsia="Calibri" w:hAnsi="Times New Roman" w:cs="Calibri"/>
          <w:sz w:val="24"/>
          <w:lang w:eastAsia="ja-JP"/>
        </w:rPr>
        <w:t>ir</w:t>
      </w:r>
      <w:r w:rsidR="00B23EB3" w:rsidRPr="00A07F29">
        <w:rPr>
          <w:rFonts w:ascii="Times New Roman" w:eastAsia="Calibri" w:hAnsi="Times New Roman" w:cs="Calibri"/>
          <w:sz w:val="24"/>
          <w:lang w:eastAsia="ja-JP"/>
        </w:rPr>
        <w:t xml:space="preserve"> </w:t>
      </w:r>
      <w:r w:rsidRPr="00A07F29">
        <w:rPr>
          <w:rFonts w:ascii="Times New Roman" w:eastAsia="Calibri" w:hAnsi="Times New Roman" w:cs="Calibri"/>
          <w:sz w:val="24"/>
          <w:lang w:eastAsia="ja-JP"/>
        </w:rPr>
        <w:t>izveidojušās vairākas nelielas ūdens</w:t>
      </w:r>
      <w:r w:rsidR="005F3E78" w:rsidRPr="00A07F29">
        <w:rPr>
          <w:rFonts w:ascii="Times New Roman" w:eastAsia="Calibri" w:hAnsi="Times New Roman" w:cs="Calibri"/>
          <w:sz w:val="24"/>
          <w:lang w:eastAsia="ja-JP"/>
        </w:rPr>
        <w:t xml:space="preserve">tilpes </w:t>
      </w:r>
      <w:r w:rsidRPr="00A07F29">
        <w:rPr>
          <w:rFonts w:ascii="Times New Roman" w:eastAsia="Calibri" w:hAnsi="Times New Roman" w:cs="Calibri"/>
          <w:sz w:val="24"/>
          <w:lang w:eastAsia="ja-JP"/>
        </w:rPr>
        <w:t xml:space="preserve">un citu specifisko vides apstākļu zona, kuru ieteicams </w:t>
      </w:r>
      <w:r w:rsidR="005F3E78" w:rsidRPr="00A07F29">
        <w:rPr>
          <w:rFonts w:ascii="Times New Roman" w:eastAsia="Calibri" w:hAnsi="Times New Roman" w:cs="Calibri"/>
          <w:sz w:val="24"/>
          <w:lang w:eastAsia="ja-JP"/>
        </w:rPr>
        <w:t xml:space="preserve">karjeru rekultivācijas ietvaros </w:t>
      </w:r>
      <w:r w:rsidRPr="00A07F29">
        <w:rPr>
          <w:rFonts w:ascii="Times New Roman" w:eastAsia="Calibri" w:hAnsi="Times New Roman" w:cs="Calibri"/>
          <w:sz w:val="24"/>
          <w:lang w:eastAsia="ja-JP"/>
        </w:rPr>
        <w:t xml:space="preserve">izmantot Latvijas aizsargājamo </w:t>
      </w:r>
      <w:proofErr w:type="spellStart"/>
      <w:r w:rsidRPr="00A07F29">
        <w:rPr>
          <w:rFonts w:ascii="Times New Roman" w:eastAsia="Calibri" w:hAnsi="Times New Roman" w:cs="Calibri"/>
          <w:sz w:val="24"/>
          <w:lang w:eastAsia="ja-JP"/>
        </w:rPr>
        <w:t>termofīlo</w:t>
      </w:r>
      <w:proofErr w:type="spellEnd"/>
      <w:r w:rsidRPr="00A07F29">
        <w:rPr>
          <w:rFonts w:ascii="Times New Roman" w:eastAsia="Calibri" w:hAnsi="Times New Roman" w:cs="Calibri"/>
          <w:sz w:val="24"/>
          <w:lang w:eastAsia="ja-JP"/>
        </w:rPr>
        <w:t xml:space="preserve"> abinieku (</w:t>
      </w:r>
      <w:proofErr w:type="spellStart"/>
      <w:r w:rsidRPr="00A07F29">
        <w:rPr>
          <w:rFonts w:ascii="Times New Roman" w:eastAsia="Calibri" w:hAnsi="Times New Roman" w:cs="Calibri"/>
          <w:sz w:val="24"/>
          <w:lang w:eastAsia="ja-JP"/>
        </w:rPr>
        <w:t>sarkanvēdera</w:t>
      </w:r>
      <w:proofErr w:type="spellEnd"/>
      <w:r w:rsidRPr="00A07F29">
        <w:rPr>
          <w:rFonts w:ascii="Times New Roman" w:eastAsia="Calibri" w:hAnsi="Times New Roman" w:cs="Calibri"/>
          <w:sz w:val="24"/>
          <w:lang w:eastAsia="ja-JP"/>
        </w:rPr>
        <w:t xml:space="preserve"> </w:t>
      </w:r>
      <w:proofErr w:type="spellStart"/>
      <w:r w:rsidRPr="00A07F29">
        <w:rPr>
          <w:rFonts w:ascii="Times New Roman" w:eastAsia="Calibri" w:hAnsi="Times New Roman" w:cs="Calibri"/>
          <w:sz w:val="24"/>
          <w:lang w:eastAsia="ja-JP"/>
        </w:rPr>
        <w:t>ugunskrupis</w:t>
      </w:r>
      <w:proofErr w:type="spellEnd"/>
      <w:r w:rsidRPr="00A07F29">
        <w:rPr>
          <w:rFonts w:ascii="Times New Roman" w:eastAsia="Calibri" w:hAnsi="Times New Roman" w:cs="Calibri"/>
          <w:sz w:val="24"/>
          <w:lang w:eastAsia="ja-JP"/>
        </w:rPr>
        <w:t xml:space="preserve">, zaļais krupis, smilšu krupis, lielais tritons, brūnais </w:t>
      </w:r>
      <w:proofErr w:type="spellStart"/>
      <w:r w:rsidRPr="00A07F29">
        <w:rPr>
          <w:rFonts w:ascii="Times New Roman" w:eastAsia="Calibri" w:hAnsi="Times New Roman" w:cs="Calibri"/>
          <w:sz w:val="24"/>
          <w:lang w:eastAsia="ja-JP"/>
        </w:rPr>
        <w:t>varžukrupis</w:t>
      </w:r>
      <w:proofErr w:type="spellEnd"/>
      <w:r w:rsidRPr="00A07F29">
        <w:rPr>
          <w:rFonts w:ascii="Times New Roman" w:eastAsia="Calibri" w:hAnsi="Times New Roman" w:cs="Calibri"/>
          <w:sz w:val="24"/>
          <w:lang w:eastAsia="ja-JP"/>
        </w:rPr>
        <w:t>) un rāpuļu (sila ķirzaka, purva bruņurupucis (attālums līdz bruņurupuču atradnēm ir tikai 6</w:t>
      </w:r>
      <w:r w:rsidR="00432E51">
        <w:rPr>
          <w:rFonts w:ascii="Times New Roman" w:eastAsia="Calibri" w:hAnsi="Times New Roman" w:cs="Calibri"/>
          <w:sz w:val="24"/>
          <w:lang w:eastAsia="ja-JP"/>
        </w:rPr>
        <w:t> – </w:t>
      </w:r>
      <w:r w:rsidRPr="00A07F29">
        <w:rPr>
          <w:rFonts w:ascii="Times New Roman" w:eastAsia="Calibri" w:hAnsi="Times New Roman" w:cs="Calibri"/>
          <w:sz w:val="24"/>
          <w:lang w:eastAsia="ja-JP"/>
        </w:rPr>
        <w:t>8</w:t>
      </w:r>
      <w:r w:rsidR="00432E51">
        <w:rPr>
          <w:rFonts w:ascii="Times New Roman" w:eastAsia="Calibri" w:hAnsi="Times New Roman" w:cs="Calibri"/>
          <w:sz w:val="24"/>
          <w:lang w:eastAsia="ja-JP"/>
        </w:rPr>
        <w:t> </w:t>
      </w:r>
      <w:r w:rsidRPr="00A07F29">
        <w:rPr>
          <w:rFonts w:ascii="Times New Roman" w:eastAsia="Calibri" w:hAnsi="Times New Roman" w:cs="Calibri"/>
          <w:sz w:val="24"/>
          <w:lang w:eastAsia="ja-JP"/>
        </w:rPr>
        <w:t>km (</w:t>
      </w:r>
      <w:proofErr w:type="spellStart"/>
      <w:r w:rsidRPr="00A07F29">
        <w:rPr>
          <w:rFonts w:ascii="Times New Roman" w:eastAsia="Calibri" w:hAnsi="Times New Roman" w:cs="Calibri"/>
          <w:sz w:val="24"/>
          <w:lang w:eastAsia="ja-JP"/>
        </w:rPr>
        <w:t>Pupins</w:t>
      </w:r>
      <w:proofErr w:type="spellEnd"/>
      <w:r w:rsidR="000B7B0A">
        <w:rPr>
          <w:rFonts w:ascii="Times New Roman" w:eastAsia="Calibri" w:hAnsi="Times New Roman" w:cs="Calibri"/>
          <w:sz w:val="24"/>
          <w:lang w:eastAsia="ja-JP"/>
        </w:rPr>
        <w:t xml:space="preserve"> M.,</w:t>
      </w:r>
      <w:r w:rsidRPr="00A07F29">
        <w:rPr>
          <w:rFonts w:ascii="Times New Roman" w:eastAsia="Calibri" w:hAnsi="Times New Roman" w:cs="Calibri"/>
          <w:sz w:val="24"/>
          <w:lang w:eastAsia="ja-JP"/>
        </w:rPr>
        <w:t xml:space="preserve"> </w:t>
      </w:r>
      <w:proofErr w:type="spellStart"/>
      <w:r w:rsidRPr="00A07F29">
        <w:rPr>
          <w:rFonts w:ascii="Times New Roman" w:eastAsia="Calibri" w:hAnsi="Times New Roman" w:cs="Calibri"/>
          <w:sz w:val="24"/>
          <w:lang w:eastAsia="ja-JP"/>
        </w:rPr>
        <w:t>et</w:t>
      </w:r>
      <w:proofErr w:type="spellEnd"/>
      <w:r w:rsidRPr="00A07F29">
        <w:rPr>
          <w:rFonts w:ascii="Times New Roman" w:eastAsia="Calibri" w:hAnsi="Times New Roman" w:cs="Calibri"/>
          <w:sz w:val="24"/>
          <w:lang w:eastAsia="ja-JP"/>
        </w:rPr>
        <w:t xml:space="preserve"> </w:t>
      </w:r>
      <w:proofErr w:type="spellStart"/>
      <w:r w:rsidRPr="00A07F29">
        <w:rPr>
          <w:rFonts w:ascii="Times New Roman" w:eastAsia="Calibri" w:hAnsi="Times New Roman" w:cs="Calibri"/>
          <w:sz w:val="24"/>
          <w:lang w:eastAsia="ja-JP"/>
        </w:rPr>
        <w:t>al</w:t>
      </w:r>
      <w:proofErr w:type="spellEnd"/>
      <w:r w:rsidRPr="00A07F29">
        <w:rPr>
          <w:rFonts w:ascii="Times New Roman" w:eastAsia="Calibri" w:hAnsi="Times New Roman" w:cs="Calibri"/>
          <w:sz w:val="24"/>
          <w:lang w:eastAsia="ja-JP"/>
        </w:rPr>
        <w:t>.</w:t>
      </w:r>
      <w:r w:rsidR="000B7B0A">
        <w:rPr>
          <w:rFonts w:ascii="Times New Roman" w:eastAsia="Calibri" w:hAnsi="Times New Roman" w:cs="Calibri"/>
          <w:sz w:val="24"/>
          <w:lang w:eastAsia="ja-JP"/>
        </w:rPr>
        <w:t>,</w:t>
      </w:r>
      <w:r w:rsidRPr="00A07F29">
        <w:rPr>
          <w:rFonts w:ascii="Times New Roman" w:eastAsia="Calibri" w:hAnsi="Times New Roman" w:cs="Calibri"/>
          <w:sz w:val="24"/>
          <w:lang w:eastAsia="ja-JP"/>
        </w:rPr>
        <w:t xml:space="preserve"> 2017)) sugu potenciālo dzīvotņu nodrošināšanai un ģenētisko koridoru ar dienvidniecisko Baltkrieviju un Lietuvu stiprākām populācijām izveidei, t.sk. sugu izplatīšanos klimatisko izmaiņu kontekstā (</w:t>
      </w:r>
      <w:proofErr w:type="spellStart"/>
      <w:r w:rsidRPr="00A07F29">
        <w:rPr>
          <w:rFonts w:ascii="Times New Roman" w:eastAsia="Calibri" w:hAnsi="Times New Roman" w:cs="Calibri"/>
          <w:sz w:val="24"/>
          <w:lang w:eastAsia="ja-JP"/>
        </w:rPr>
        <w:t>Tytar</w:t>
      </w:r>
      <w:proofErr w:type="spellEnd"/>
      <w:r w:rsidR="00B34965">
        <w:rPr>
          <w:rFonts w:ascii="Times New Roman" w:eastAsia="Calibri" w:hAnsi="Times New Roman" w:cs="Calibri"/>
          <w:sz w:val="24"/>
          <w:lang w:eastAsia="ja-JP"/>
        </w:rPr>
        <w:t xml:space="preserve"> V. M.,</w:t>
      </w:r>
      <w:r w:rsidRPr="00A07F29">
        <w:rPr>
          <w:rFonts w:ascii="Times New Roman" w:eastAsia="Calibri" w:hAnsi="Times New Roman" w:cs="Calibri"/>
          <w:sz w:val="24"/>
          <w:lang w:eastAsia="ja-JP"/>
        </w:rPr>
        <w:t xml:space="preserve"> </w:t>
      </w:r>
      <w:proofErr w:type="spellStart"/>
      <w:r w:rsidRPr="00A07F29">
        <w:rPr>
          <w:rFonts w:ascii="Times New Roman" w:eastAsia="Calibri" w:hAnsi="Times New Roman" w:cs="Calibri"/>
          <w:sz w:val="24"/>
          <w:lang w:eastAsia="ja-JP"/>
        </w:rPr>
        <w:t>et</w:t>
      </w:r>
      <w:proofErr w:type="spellEnd"/>
      <w:r w:rsidRPr="00A07F29">
        <w:rPr>
          <w:rFonts w:ascii="Times New Roman" w:eastAsia="Calibri" w:hAnsi="Times New Roman" w:cs="Calibri"/>
          <w:sz w:val="24"/>
          <w:lang w:eastAsia="ja-JP"/>
        </w:rPr>
        <w:t xml:space="preserve"> </w:t>
      </w:r>
      <w:proofErr w:type="spellStart"/>
      <w:r w:rsidRPr="00A07F29">
        <w:rPr>
          <w:rFonts w:ascii="Times New Roman" w:eastAsia="Calibri" w:hAnsi="Times New Roman" w:cs="Calibri"/>
          <w:sz w:val="24"/>
          <w:lang w:eastAsia="ja-JP"/>
        </w:rPr>
        <w:t>al</w:t>
      </w:r>
      <w:proofErr w:type="spellEnd"/>
      <w:r w:rsidRPr="00A07F29">
        <w:rPr>
          <w:rFonts w:ascii="Times New Roman" w:eastAsia="Calibri" w:hAnsi="Times New Roman" w:cs="Calibri"/>
          <w:sz w:val="24"/>
          <w:lang w:eastAsia="ja-JP"/>
        </w:rPr>
        <w:t>.</w:t>
      </w:r>
      <w:r w:rsidR="00B34965">
        <w:rPr>
          <w:rFonts w:ascii="Times New Roman" w:eastAsia="Calibri" w:hAnsi="Times New Roman" w:cs="Calibri"/>
          <w:sz w:val="24"/>
          <w:lang w:eastAsia="ja-JP"/>
        </w:rPr>
        <w:t>,</w:t>
      </w:r>
      <w:r w:rsidRPr="00A07F29">
        <w:rPr>
          <w:rFonts w:ascii="Times New Roman" w:eastAsia="Calibri" w:hAnsi="Times New Roman" w:cs="Calibri"/>
          <w:sz w:val="24"/>
          <w:lang w:eastAsia="ja-JP"/>
        </w:rPr>
        <w:t xml:space="preserve"> 2018; </w:t>
      </w:r>
      <w:proofErr w:type="spellStart"/>
      <w:r w:rsidRPr="00A07F29">
        <w:rPr>
          <w:rFonts w:ascii="Times New Roman" w:eastAsia="Calibri" w:hAnsi="Times New Roman" w:cs="Calibri"/>
          <w:sz w:val="24"/>
          <w:lang w:eastAsia="ja-JP"/>
        </w:rPr>
        <w:t>Nekrasova</w:t>
      </w:r>
      <w:proofErr w:type="spellEnd"/>
      <w:r w:rsidR="00B038B5">
        <w:rPr>
          <w:rFonts w:ascii="Times New Roman" w:eastAsia="Calibri" w:hAnsi="Times New Roman" w:cs="Calibri"/>
          <w:sz w:val="24"/>
          <w:lang w:eastAsia="ja-JP"/>
        </w:rPr>
        <w:t xml:space="preserve"> O.,</w:t>
      </w:r>
      <w:r w:rsidRPr="00A07F29">
        <w:rPr>
          <w:rFonts w:ascii="Times New Roman" w:eastAsia="Calibri" w:hAnsi="Times New Roman" w:cs="Calibri"/>
          <w:sz w:val="24"/>
          <w:lang w:eastAsia="ja-JP"/>
        </w:rPr>
        <w:t xml:space="preserve"> </w:t>
      </w:r>
      <w:proofErr w:type="spellStart"/>
      <w:r w:rsidRPr="00A07F29">
        <w:rPr>
          <w:rFonts w:ascii="Times New Roman" w:eastAsia="Calibri" w:hAnsi="Times New Roman" w:cs="Calibri"/>
          <w:sz w:val="24"/>
          <w:lang w:eastAsia="ja-JP"/>
        </w:rPr>
        <w:t>et</w:t>
      </w:r>
      <w:proofErr w:type="spellEnd"/>
      <w:r w:rsidRPr="00A07F29">
        <w:rPr>
          <w:rFonts w:ascii="Times New Roman" w:eastAsia="Calibri" w:hAnsi="Times New Roman" w:cs="Calibri"/>
          <w:sz w:val="24"/>
          <w:lang w:eastAsia="ja-JP"/>
        </w:rPr>
        <w:t xml:space="preserve"> </w:t>
      </w:r>
      <w:proofErr w:type="spellStart"/>
      <w:r w:rsidRPr="00A07F29">
        <w:rPr>
          <w:rFonts w:ascii="Times New Roman" w:eastAsia="Calibri" w:hAnsi="Times New Roman" w:cs="Calibri"/>
          <w:sz w:val="24"/>
          <w:lang w:eastAsia="ja-JP"/>
        </w:rPr>
        <w:t>al</w:t>
      </w:r>
      <w:proofErr w:type="spellEnd"/>
      <w:r w:rsidR="00B038B5">
        <w:rPr>
          <w:rFonts w:ascii="Times New Roman" w:eastAsia="Calibri" w:hAnsi="Times New Roman" w:cs="Calibri"/>
          <w:sz w:val="24"/>
          <w:lang w:eastAsia="ja-JP"/>
        </w:rPr>
        <w:t>,</w:t>
      </w:r>
      <w:r w:rsidRPr="00A07F29">
        <w:rPr>
          <w:rFonts w:ascii="Times New Roman" w:eastAsia="Calibri" w:hAnsi="Times New Roman" w:cs="Calibri"/>
          <w:sz w:val="24"/>
          <w:lang w:eastAsia="ja-JP"/>
        </w:rPr>
        <w:t xml:space="preserve"> 2019), </w:t>
      </w:r>
      <w:r w:rsidR="005F3E78" w:rsidRPr="00A07F29">
        <w:rPr>
          <w:rFonts w:ascii="Times New Roman" w:eastAsia="Calibri" w:hAnsi="Times New Roman" w:cs="Calibri"/>
          <w:sz w:val="24"/>
          <w:lang w:eastAsia="ja-JP"/>
        </w:rPr>
        <w:t xml:space="preserve">nodrošinot iespējas sugu izplatībai un sekmējot </w:t>
      </w:r>
      <w:r w:rsidRPr="00A07F29">
        <w:rPr>
          <w:rFonts w:ascii="Times New Roman" w:eastAsia="Calibri" w:hAnsi="Times New Roman" w:cs="Calibri"/>
          <w:sz w:val="24"/>
          <w:lang w:eastAsia="ja-JP"/>
        </w:rPr>
        <w:t xml:space="preserve">Sugu aizsardzības plānu </w:t>
      </w:r>
      <w:r w:rsidR="005F3E78" w:rsidRPr="00A07F29">
        <w:rPr>
          <w:rFonts w:ascii="Times New Roman" w:eastAsia="Calibri" w:hAnsi="Times New Roman" w:cs="Calibri"/>
          <w:sz w:val="24"/>
          <w:lang w:eastAsia="ja-JP"/>
        </w:rPr>
        <w:t>īstenošanu</w:t>
      </w:r>
      <w:r w:rsidRPr="00A07F29">
        <w:rPr>
          <w:rFonts w:ascii="Times New Roman" w:eastAsia="Calibri" w:hAnsi="Times New Roman" w:cs="Calibri"/>
          <w:sz w:val="24"/>
          <w:lang w:eastAsia="ja-JP"/>
        </w:rPr>
        <w:t xml:space="preserve"> (Bērziņš</w:t>
      </w:r>
      <w:r w:rsidR="00C6630C">
        <w:rPr>
          <w:rFonts w:ascii="Times New Roman" w:eastAsia="Calibri" w:hAnsi="Times New Roman" w:cs="Calibri"/>
          <w:sz w:val="24"/>
          <w:lang w:eastAsia="ja-JP"/>
        </w:rPr>
        <w:t xml:space="preserve"> A.,</w:t>
      </w:r>
      <w:r w:rsidRPr="00A07F29">
        <w:rPr>
          <w:rFonts w:ascii="Times New Roman" w:eastAsia="Calibri" w:hAnsi="Times New Roman" w:cs="Calibri"/>
          <w:sz w:val="24"/>
          <w:lang w:eastAsia="ja-JP"/>
        </w:rPr>
        <w:t xml:space="preserve"> 2008; Pupiņš</w:t>
      </w:r>
      <w:r w:rsidR="006702B3">
        <w:rPr>
          <w:rFonts w:ascii="Times New Roman" w:eastAsia="Calibri" w:hAnsi="Times New Roman" w:cs="Calibri"/>
          <w:sz w:val="24"/>
          <w:lang w:eastAsia="ja-JP"/>
        </w:rPr>
        <w:t xml:space="preserve"> M.</w:t>
      </w:r>
      <w:r w:rsidRPr="00A07F29">
        <w:rPr>
          <w:rFonts w:ascii="Times New Roman" w:eastAsia="Calibri" w:hAnsi="Times New Roman" w:cs="Calibri"/>
          <w:sz w:val="24"/>
          <w:lang w:eastAsia="ja-JP"/>
        </w:rPr>
        <w:t>, Pupiņa</w:t>
      </w:r>
      <w:r w:rsidR="006702B3">
        <w:rPr>
          <w:rFonts w:ascii="Times New Roman" w:eastAsia="Calibri" w:hAnsi="Times New Roman" w:cs="Calibri"/>
          <w:sz w:val="24"/>
          <w:lang w:eastAsia="ja-JP"/>
        </w:rPr>
        <w:t xml:space="preserve"> A.,</w:t>
      </w:r>
      <w:r w:rsidRPr="00A07F29">
        <w:rPr>
          <w:rFonts w:ascii="Times New Roman" w:eastAsia="Calibri" w:hAnsi="Times New Roman" w:cs="Calibri"/>
          <w:sz w:val="24"/>
          <w:lang w:eastAsia="ja-JP"/>
        </w:rPr>
        <w:t xml:space="preserve"> 2007, 2008</w:t>
      </w:r>
      <w:r w:rsidR="006702B3">
        <w:rPr>
          <w:rFonts w:ascii="Times New Roman" w:eastAsia="Calibri" w:hAnsi="Times New Roman" w:cs="Calibri"/>
          <w:sz w:val="24"/>
          <w:lang w:eastAsia="ja-JP"/>
        </w:rPr>
        <w:t>)</w:t>
      </w:r>
      <w:r w:rsidRPr="00A07F29">
        <w:rPr>
          <w:rFonts w:ascii="Times New Roman" w:eastAsia="Calibri" w:hAnsi="Times New Roman" w:cs="Calibri"/>
          <w:sz w:val="24"/>
          <w:lang w:eastAsia="ja-JP"/>
        </w:rPr>
        <w:t>.</w:t>
      </w:r>
    </w:p>
    <w:p w14:paraId="7586208F" w14:textId="77777777" w:rsidR="005F3E78" w:rsidRPr="00A07F29" w:rsidRDefault="000925FA" w:rsidP="00583D48">
      <w:pPr>
        <w:keepNext/>
        <w:spacing w:after="120" w:line="240" w:lineRule="auto"/>
        <w:ind w:firstLine="851"/>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 xml:space="preserve">Rekomendējamie darbi iekļauj aktivitātes: </w:t>
      </w:r>
    </w:p>
    <w:p w14:paraId="1EC6C41B" w14:textId="0EBD970B" w:rsidR="00202A5E" w:rsidRPr="00A07F29" w:rsidRDefault="005F3E78" w:rsidP="000925FA">
      <w:pPr>
        <w:spacing w:after="120" w:line="240" w:lineRule="auto"/>
        <w:ind w:firstLine="851"/>
        <w:jc w:val="both"/>
      </w:pPr>
      <w:r w:rsidRPr="00A07F29">
        <w:rPr>
          <w:rFonts w:ascii="Times New Roman" w:eastAsia="Calibri" w:hAnsi="Times New Roman" w:cs="Calibri"/>
          <w:sz w:val="24"/>
          <w:lang w:eastAsia="ja-JP"/>
        </w:rPr>
        <w:t>1)</w:t>
      </w:r>
      <w:r w:rsidR="005E4238">
        <w:rPr>
          <w:rFonts w:ascii="Times New Roman" w:eastAsia="Calibri" w:hAnsi="Times New Roman" w:cs="Calibri"/>
          <w:sz w:val="24"/>
          <w:lang w:eastAsia="ja-JP"/>
        </w:rPr>
        <w:t> </w:t>
      </w:r>
      <w:proofErr w:type="spellStart"/>
      <w:r w:rsidR="000925FA" w:rsidRPr="00A07F29">
        <w:rPr>
          <w:rFonts w:ascii="Times New Roman" w:eastAsia="Calibri" w:hAnsi="Times New Roman" w:cs="Calibri"/>
          <w:sz w:val="24"/>
          <w:lang w:eastAsia="ja-JP"/>
        </w:rPr>
        <w:t>Elernes</w:t>
      </w:r>
      <w:proofErr w:type="spellEnd"/>
      <w:r w:rsidR="000925FA" w:rsidRPr="00A07F29">
        <w:rPr>
          <w:rFonts w:ascii="Times New Roman" w:eastAsia="Calibri" w:hAnsi="Times New Roman" w:cs="Calibri"/>
          <w:sz w:val="24"/>
          <w:lang w:eastAsia="ja-JP"/>
        </w:rPr>
        <w:t xml:space="preserve"> karjeros uzturēt un uzlabot </w:t>
      </w:r>
      <w:proofErr w:type="spellStart"/>
      <w:r w:rsidR="000925FA" w:rsidRPr="00A07F29">
        <w:rPr>
          <w:rFonts w:ascii="Times New Roman" w:eastAsia="Calibri" w:hAnsi="Times New Roman" w:cs="Calibri"/>
          <w:sz w:val="24"/>
          <w:lang w:eastAsia="ja-JP"/>
        </w:rPr>
        <w:t>herpetofaunas</w:t>
      </w:r>
      <w:proofErr w:type="spellEnd"/>
      <w:r w:rsidR="000925FA" w:rsidRPr="00A07F29">
        <w:rPr>
          <w:rFonts w:ascii="Times New Roman" w:eastAsia="Calibri" w:hAnsi="Times New Roman" w:cs="Calibri"/>
          <w:sz w:val="24"/>
          <w:lang w:eastAsia="ja-JP"/>
        </w:rPr>
        <w:t xml:space="preserve"> reto sugu (lielais tritons, brūnais </w:t>
      </w:r>
      <w:proofErr w:type="spellStart"/>
      <w:r w:rsidR="000925FA" w:rsidRPr="00A07F29">
        <w:rPr>
          <w:rFonts w:ascii="Times New Roman" w:eastAsia="Calibri" w:hAnsi="Times New Roman" w:cs="Calibri"/>
          <w:sz w:val="24"/>
          <w:lang w:eastAsia="ja-JP"/>
        </w:rPr>
        <w:t>varžukrupis</w:t>
      </w:r>
      <w:proofErr w:type="spellEnd"/>
      <w:r w:rsidR="000925FA" w:rsidRPr="00A07F29">
        <w:rPr>
          <w:rFonts w:ascii="Times New Roman" w:eastAsia="Calibri" w:hAnsi="Times New Roman" w:cs="Calibri"/>
          <w:sz w:val="24"/>
          <w:lang w:eastAsia="ja-JP"/>
        </w:rPr>
        <w:t>, smilšu krupis, zaļais krupis, sila ķirzaka, purva bruņurupucis) vajadzībām atklātus, šīm sugām piemērotus biotopus, arī ar vairošanās ūdenstilpēm.</w:t>
      </w:r>
      <w:r w:rsidR="00202A5E" w:rsidRPr="00A07F29">
        <w:t xml:space="preserve"> </w:t>
      </w:r>
    </w:p>
    <w:p w14:paraId="0BBED5D6" w14:textId="478B18FA" w:rsidR="000925FA" w:rsidRPr="00A07F29" w:rsidRDefault="00202A5E" w:rsidP="000925FA">
      <w:pPr>
        <w:spacing w:after="120" w:line="240" w:lineRule="auto"/>
        <w:ind w:firstLine="851"/>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2)</w:t>
      </w:r>
      <w:r w:rsidR="005E4238">
        <w:rPr>
          <w:rFonts w:ascii="Times New Roman" w:eastAsia="Calibri" w:hAnsi="Times New Roman" w:cs="Calibri"/>
          <w:sz w:val="24"/>
          <w:lang w:eastAsia="ja-JP"/>
        </w:rPr>
        <w:t> </w:t>
      </w:r>
      <w:r w:rsidRPr="00A07F29">
        <w:rPr>
          <w:rFonts w:ascii="Times New Roman" w:eastAsia="Calibri" w:hAnsi="Times New Roman" w:cs="Calibri"/>
          <w:sz w:val="24"/>
          <w:lang w:eastAsia="ja-JP"/>
        </w:rPr>
        <w:t xml:space="preserve">Veikt lielā tritona, </w:t>
      </w:r>
      <w:proofErr w:type="spellStart"/>
      <w:r w:rsidRPr="00A07F29">
        <w:rPr>
          <w:rFonts w:ascii="Times New Roman" w:eastAsia="Calibri" w:hAnsi="Times New Roman" w:cs="Calibri"/>
          <w:sz w:val="24"/>
          <w:lang w:eastAsia="ja-JP"/>
        </w:rPr>
        <w:t>sarkanvēdera</w:t>
      </w:r>
      <w:proofErr w:type="spellEnd"/>
      <w:r w:rsidRPr="00A07F29">
        <w:rPr>
          <w:rFonts w:ascii="Times New Roman" w:eastAsia="Calibri" w:hAnsi="Times New Roman" w:cs="Calibri"/>
          <w:sz w:val="24"/>
          <w:lang w:eastAsia="ja-JP"/>
        </w:rPr>
        <w:t xml:space="preserve"> </w:t>
      </w:r>
      <w:proofErr w:type="spellStart"/>
      <w:r w:rsidRPr="00A07F29">
        <w:rPr>
          <w:rFonts w:ascii="Times New Roman" w:eastAsia="Calibri" w:hAnsi="Times New Roman" w:cs="Calibri"/>
          <w:sz w:val="24"/>
          <w:lang w:eastAsia="ja-JP"/>
        </w:rPr>
        <w:t>ugunskrupja</w:t>
      </w:r>
      <w:proofErr w:type="spellEnd"/>
      <w:r w:rsidRPr="00A07F29">
        <w:rPr>
          <w:rFonts w:ascii="Times New Roman" w:eastAsia="Calibri" w:hAnsi="Times New Roman" w:cs="Calibri"/>
          <w:sz w:val="24"/>
          <w:lang w:eastAsia="ja-JP"/>
        </w:rPr>
        <w:t xml:space="preserve"> un zaļā krupja populāciju uzlabošanu ar </w:t>
      </w:r>
      <w:proofErr w:type="spellStart"/>
      <w:r w:rsidRPr="00A07F29">
        <w:rPr>
          <w:rFonts w:ascii="Times New Roman" w:eastAsia="Calibri" w:hAnsi="Times New Roman" w:cs="Calibri"/>
          <w:sz w:val="24"/>
          <w:lang w:eastAsia="ja-JP"/>
        </w:rPr>
        <w:t>zookultūrā</w:t>
      </w:r>
      <w:proofErr w:type="spellEnd"/>
      <w:r w:rsidRPr="00A07F29">
        <w:rPr>
          <w:rFonts w:ascii="Times New Roman" w:eastAsia="Calibri" w:hAnsi="Times New Roman" w:cs="Calibri"/>
          <w:sz w:val="24"/>
          <w:lang w:eastAsia="ja-JP"/>
        </w:rPr>
        <w:t xml:space="preserve"> audzētiem īpatņiem.</w:t>
      </w:r>
    </w:p>
    <w:p w14:paraId="331E1F8D" w14:textId="3EF7DB68" w:rsidR="000925FA" w:rsidRPr="00A07F29" w:rsidRDefault="00202A5E" w:rsidP="000925FA">
      <w:pPr>
        <w:spacing w:after="120" w:line="240" w:lineRule="auto"/>
        <w:ind w:firstLine="851"/>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3</w:t>
      </w:r>
      <w:r w:rsidR="005F3E78" w:rsidRPr="00A07F29">
        <w:rPr>
          <w:rFonts w:ascii="Times New Roman" w:eastAsia="Calibri" w:hAnsi="Times New Roman" w:cs="Calibri"/>
          <w:sz w:val="24"/>
          <w:lang w:eastAsia="ja-JP"/>
        </w:rPr>
        <w:t>)</w:t>
      </w:r>
      <w:r w:rsidR="00561C0D">
        <w:rPr>
          <w:rFonts w:ascii="Times New Roman" w:eastAsia="Calibri" w:hAnsi="Times New Roman" w:cs="Calibri"/>
          <w:sz w:val="24"/>
          <w:lang w:eastAsia="ja-JP"/>
        </w:rPr>
        <w:t> </w:t>
      </w:r>
      <w:r w:rsidR="000925FA" w:rsidRPr="00A07F29">
        <w:rPr>
          <w:rFonts w:ascii="Times New Roman" w:eastAsia="Calibri" w:hAnsi="Times New Roman" w:cs="Calibri"/>
          <w:sz w:val="24"/>
          <w:lang w:eastAsia="ja-JP"/>
        </w:rPr>
        <w:t xml:space="preserve">Izveidot smilšu krupja populāciju </w:t>
      </w:r>
      <w:proofErr w:type="spellStart"/>
      <w:r w:rsidR="000925FA" w:rsidRPr="00A07F29">
        <w:rPr>
          <w:rFonts w:ascii="Times New Roman" w:eastAsia="Calibri" w:hAnsi="Times New Roman" w:cs="Calibri"/>
          <w:sz w:val="24"/>
          <w:lang w:eastAsia="ja-JP"/>
        </w:rPr>
        <w:t>Elernes</w:t>
      </w:r>
      <w:proofErr w:type="spellEnd"/>
      <w:r w:rsidR="000925FA" w:rsidRPr="00A07F29">
        <w:rPr>
          <w:rFonts w:ascii="Times New Roman" w:eastAsia="Calibri" w:hAnsi="Times New Roman" w:cs="Calibri"/>
          <w:sz w:val="24"/>
          <w:lang w:eastAsia="ja-JP"/>
        </w:rPr>
        <w:t xml:space="preserve"> karjeros sugas Latvijas areāla (</w:t>
      </w:r>
      <w:proofErr w:type="spellStart"/>
      <w:r w:rsidR="000925FA" w:rsidRPr="00A07F29">
        <w:rPr>
          <w:rFonts w:ascii="Times New Roman" w:eastAsia="Calibri" w:hAnsi="Times New Roman" w:cs="Calibri"/>
          <w:sz w:val="24"/>
          <w:lang w:eastAsia="ja-JP"/>
        </w:rPr>
        <w:t>Čeirāns</w:t>
      </w:r>
      <w:proofErr w:type="spellEnd"/>
      <w:r w:rsidR="002F7BA5">
        <w:rPr>
          <w:rFonts w:ascii="Times New Roman" w:eastAsia="Calibri" w:hAnsi="Times New Roman" w:cs="Calibri"/>
          <w:sz w:val="24"/>
          <w:lang w:eastAsia="ja-JP"/>
        </w:rPr>
        <w:t xml:space="preserve"> A.</w:t>
      </w:r>
      <w:r w:rsidR="000925FA" w:rsidRPr="00A07F29">
        <w:rPr>
          <w:rFonts w:ascii="Times New Roman" w:eastAsia="Calibri" w:hAnsi="Times New Roman" w:cs="Calibri"/>
          <w:sz w:val="24"/>
          <w:lang w:eastAsia="ja-JP"/>
        </w:rPr>
        <w:t xml:space="preserve">, </w:t>
      </w:r>
      <w:proofErr w:type="spellStart"/>
      <w:r w:rsidR="000925FA" w:rsidRPr="00A07F29">
        <w:rPr>
          <w:rFonts w:ascii="Times New Roman" w:eastAsia="Calibri" w:hAnsi="Times New Roman" w:cs="Calibri"/>
          <w:sz w:val="24"/>
          <w:lang w:eastAsia="ja-JP"/>
        </w:rPr>
        <w:t>Pupins</w:t>
      </w:r>
      <w:proofErr w:type="spellEnd"/>
      <w:r w:rsidR="002F7BA5">
        <w:rPr>
          <w:rFonts w:ascii="Times New Roman" w:eastAsia="Calibri" w:hAnsi="Times New Roman" w:cs="Calibri"/>
          <w:sz w:val="24"/>
          <w:lang w:eastAsia="ja-JP"/>
        </w:rPr>
        <w:t xml:space="preserve"> M.,</w:t>
      </w:r>
      <w:r w:rsidR="000925FA" w:rsidRPr="00A07F29">
        <w:rPr>
          <w:rFonts w:ascii="Times New Roman" w:eastAsia="Calibri" w:hAnsi="Times New Roman" w:cs="Calibri"/>
          <w:sz w:val="24"/>
          <w:lang w:eastAsia="ja-JP"/>
        </w:rPr>
        <w:t xml:space="preserve"> 2019) uzturēšanas un ģenētisko kontaktu nolūkā, izma</w:t>
      </w:r>
      <w:r w:rsidR="005111B4" w:rsidRPr="00A07F29">
        <w:rPr>
          <w:rFonts w:ascii="Times New Roman" w:eastAsia="Calibri" w:hAnsi="Times New Roman" w:cs="Calibri"/>
          <w:sz w:val="24"/>
          <w:lang w:eastAsia="ja-JP"/>
        </w:rPr>
        <w:t>n</w:t>
      </w:r>
      <w:r w:rsidR="000925FA" w:rsidRPr="00A07F29">
        <w:rPr>
          <w:rFonts w:ascii="Times New Roman" w:eastAsia="Calibri" w:hAnsi="Times New Roman" w:cs="Calibri"/>
          <w:sz w:val="24"/>
          <w:lang w:eastAsia="ja-JP"/>
        </w:rPr>
        <w:t xml:space="preserve">tojot </w:t>
      </w:r>
      <w:proofErr w:type="spellStart"/>
      <w:r w:rsidR="000925FA" w:rsidRPr="00A07F29">
        <w:rPr>
          <w:rFonts w:ascii="Times New Roman" w:eastAsia="Calibri" w:hAnsi="Times New Roman" w:cs="Calibri"/>
          <w:sz w:val="24"/>
          <w:lang w:eastAsia="ja-JP"/>
        </w:rPr>
        <w:t>zookultūrā</w:t>
      </w:r>
      <w:proofErr w:type="spellEnd"/>
      <w:r w:rsidR="000925FA" w:rsidRPr="00A07F29">
        <w:rPr>
          <w:rFonts w:ascii="Times New Roman" w:eastAsia="Calibri" w:hAnsi="Times New Roman" w:cs="Calibri"/>
          <w:sz w:val="24"/>
          <w:lang w:eastAsia="ja-JP"/>
        </w:rPr>
        <w:t xml:space="preserve"> audzētus īpatņus un LVAF projekta 1-08/40/2017</w:t>
      </w:r>
      <w:r w:rsidR="00431FAC">
        <w:rPr>
          <w:rStyle w:val="FootnoteReference"/>
          <w:rFonts w:ascii="Times New Roman" w:eastAsia="Calibri" w:hAnsi="Times New Roman" w:cs="Calibri"/>
          <w:sz w:val="24"/>
          <w:lang w:eastAsia="ja-JP"/>
        </w:rPr>
        <w:footnoteReference w:id="57"/>
      </w:r>
      <w:r w:rsidR="000925FA" w:rsidRPr="00A07F29">
        <w:rPr>
          <w:rFonts w:ascii="Times New Roman" w:eastAsia="Calibri" w:hAnsi="Times New Roman" w:cs="Calibri"/>
          <w:sz w:val="24"/>
          <w:lang w:eastAsia="ja-JP"/>
        </w:rPr>
        <w:t xml:space="preserve"> ietvaros aprobētu metodiku (Pupiņa</w:t>
      </w:r>
      <w:r w:rsidR="000A34D4">
        <w:rPr>
          <w:rFonts w:ascii="Times New Roman" w:eastAsia="Calibri" w:hAnsi="Times New Roman" w:cs="Calibri"/>
          <w:sz w:val="24"/>
          <w:lang w:eastAsia="ja-JP"/>
        </w:rPr>
        <w:t xml:space="preserve"> A.</w:t>
      </w:r>
      <w:r w:rsidR="000925FA" w:rsidRPr="00A07F29">
        <w:rPr>
          <w:rFonts w:ascii="Times New Roman" w:eastAsia="Calibri" w:hAnsi="Times New Roman" w:cs="Calibri"/>
          <w:sz w:val="24"/>
          <w:lang w:eastAsia="ja-JP"/>
        </w:rPr>
        <w:t>, Pupiņš</w:t>
      </w:r>
      <w:r w:rsidR="000A34D4">
        <w:rPr>
          <w:rFonts w:ascii="Times New Roman" w:eastAsia="Calibri" w:hAnsi="Times New Roman" w:cs="Calibri"/>
          <w:sz w:val="24"/>
          <w:lang w:eastAsia="ja-JP"/>
        </w:rPr>
        <w:t xml:space="preserve"> M.,</w:t>
      </w:r>
      <w:r w:rsidR="000925FA" w:rsidRPr="00A07F29">
        <w:rPr>
          <w:rFonts w:ascii="Times New Roman" w:eastAsia="Calibri" w:hAnsi="Times New Roman" w:cs="Calibri"/>
          <w:sz w:val="24"/>
          <w:lang w:eastAsia="ja-JP"/>
        </w:rPr>
        <w:t xml:space="preserve"> 2018).</w:t>
      </w:r>
    </w:p>
    <w:p w14:paraId="480EA601" w14:textId="1FD04DC9" w:rsidR="00493A04" w:rsidRPr="00A07F29" w:rsidRDefault="005F3E78" w:rsidP="00493A04">
      <w:pPr>
        <w:spacing w:after="120" w:line="240" w:lineRule="auto"/>
        <w:ind w:firstLine="851"/>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Rekultivācijas projektu ietvaros plānojot karjeru teritoriju izmantošanu citām aktivitātēm, piemēram, atpūtas un sporta pasākumiem, jāņem vērā reto un aizsargājamo abinieku</w:t>
      </w:r>
      <w:r w:rsidR="0037375B" w:rsidRPr="00A07F29">
        <w:rPr>
          <w:rFonts w:ascii="Times New Roman" w:eastAsia="Calibri" w:hAnsi="Times New Roman" w:cs="Calibri"/>
          <w:sz w:val="24"/>
          <w:lang w:eastAsia="ja-JP"/>
        </w:rPr>
        <w:t xml:space="preserve"> </w:t>
      </w:r>
      <w:r w:rsidRPr="00A07F29">
        <w:rPr>
          <w:rFonts w:ascii="Times New Roman" w:eastAsia="Calibri" w:hAnsi="Times New Roman" w:cs="Calibri"/>
          <w:sz w:val="24"/>
          <w:lang w:eastAsia="ja-JP"/>
        </w:rPr>
        <w:t>un rāpuļu sugu populācij</w:t>
      </w:r>
      <w:r w:rsidR="0037375B" w:rsidRPr="00A07F29">
        <w:rPr>
          <w:rFonts w:ascii="Times New Roman" w:eastAsia="Calibri" w:hAnsi="Times New Roman" w:cs="Calibri"/>
          <w:sz w:val="24"/>
          <w:lang w:eastAsia="ja-JP"/>
        </w:rPr>
        <w:t xml:space="preserve">u pastāvēšanai nepieciešamie nosacījumi un jāmazina ietekme uz tām, piemēram: </w:t>
      </w:r>
      <w:r w:rsidR="000925FA" w:rsidRPr="00A07F29">
        <w:rPr>
          <w:rFonts w:ascii="Times New Roman" w:eastAsia="Calibri" w:hAnsi="Times New Roman" w:cs="Calibri"/>
          <w:sz w:val="24"/>
          <w:lang w:eastAsia="ja-JP"/>
        </w:rPr>
        <w:t>1)</w:t>
      </w:r>
      <w:r w:rsidR="001839D4">
        <w:rPr>
          <w:rFonts w:ascii="Times New Roman" w:eastAsia="Calibri" w:hAnsi="Times New Roman" w:cs="Calibri"/>
          <w:sz w:val="24"/>
          <w:lang w:eastAsia="ja-JP"/>
        </w:rPr>
        <w:t> </w:t>
      </w:r>
      <w:r w:rsidR="000925FA" w:rsidRPr="00A07F29">
        <w:rPr>
          <w:rFonts w:ascii="Times New Roman" w:eastAsia="Calibri" w:hAnsi="Times New Roman" w:cs="Calibri"/>
          <w:sz w:val="24"/>
          <w:lang w:eastAsia="ja-JP"/>
        </w:rPr>
        <w:t xml:space="preserve">ir jāatstāj </w:t>
      </w:r>
      <w:r w:rsidR="0037375B" w:rsidRPr="00A07F29">
        <w:rPr>
          <w:rFonts w:ascii="Times New Roman" w:eastAsia="Calibri" w:hAnsi="Times New Roman" w:cs="Calibri"/>
          <w:sz w:val="24"/>
          <w:lang w:eastAsia="ja-JP"/>
        </w:rPr>
        <w:t xml:space="preserve">piemērotas dzīvotnes kā pārejas </w:t>
      </w:r>
      <w:r w:rsidR="000925FA" w:rsidRPr="00A07F29">
        <w:rPr>
          <w:rFonts w:ascii="Times New Roman" w:eastAsia="Calibri" w:hAnsi="Times New Roman" w:cs="Calibri"/>
          <w:sz w:val="24"/>
          <w:lang w:eastAsia="ja-JP"/>
        </w:rPr>
        <w:t>koridori starp populācijām, 2)</w:t>
      </w:r>
      <w:r w:rsidR="001839D4">
        <w:rPr>
          <w:rFonts w:ascii="Times New Roman" w:eastAsia="Calibri" w:hAnsi="Times New Roman" w:cs="Calibri"/>
          <w:sz w:val="24"/>
          <w:lang w:eastAsia="ja-JP"/>
        </w:rPr>
        <w:t> </w:t>
      </w:r>
      <w:r w:rsidR="000925FA" w:rsidRPr="00A07F29">
        <w:rPr>
          <w:rFonts w:ascii="Times New Roman" w:eastAsia="Calibri" w:hAnsi="Times New Roman" w:cs="Calibri"/>
          <w:sz w:val="24"/>
          <w:lang w:eastAsia="ja-JP"/>
        </w:rPr>
        <w:t>a</w:t>
      </w:r>
      <w:r w:rsidR="0037375B" w:rsidRPr="00A07F29">
        <w:rPr>
          <w:rFonts w:ascii="Times New Roman" w:eastAsia="Calibri" w:hAnsi="Times New Roman" w:cs="Calibri"/>
          <w:sz w:val="24"/>
          <w:lang w:eastAsia="ja-JP"/>
        </w:rPr>
        <w:t xml:space="preserve">izliegums ūdeņos izmantot </w:t>
      </w:r>
      <w:proofErr w:type="spellStart"/>
      <w:r w:rsidR="0037375B" w:rsidRPr="00A07F29">
        <w:rPr>
          <w:rFonts w:ascii="Times New Roman" w:eastAsia="Calibri" w:hAnsi="Times New Roman" w:cs="Calibri"/>
          <w:sz w:val="24"/>
          <w:lang w:eastAsia="ja-JP"/>
        </w:rPr>
        <w:t>ūdens</w:t>
      </w:r>
      <w:r w:rsidR="000925FA" w:rsidRPr="00A07F29">
        <w:rPr>
          <w:rFonts w:ascii="Times New Roman" w:eastAsia="Calibri" w:hAnsi="Times New Roman" w:cs="Calibri"/>
          <w:sz w:val="24"/>
          <w:lang w:eastAsia="ja-JP"/>
        </w:rPr>
        <w:t>motociklus</w:t>
      </w:r>
      <w:proofErr w:type="spellEnd"/>
      <w:r w:rsidR="000925FA" w:rsidRPr="00A07F29">
        <w:rPr>
          <w:rFonts w:ascii="Times New Roman" w:eastAsia="Calibri" w:hAnsi="Times New Roman" w:cs="Calibri"/>
          <w:sz w:val="24"/>
          <w:lang w:eastAsia="ja-JP"/>
        </w:rPr>
        <w:t>, 3)</w:t>
      </w:r>
      <w:r w:rsidR="00D323BB">
        <w:rPr>
          <w:rFonts w:ascii="Times New Roman" w:eastAsia="Calibri" w:hAnsi="Times New Roman" w:cs="Calibri"/>
          <w:sz w:val="24"/>
          <w:lang w:eastAsia="ja-JP"/>
        </w:rPr>
        <w:t> </w:t>
      </w:r>
      <w:r w:rsidR="000925FA" w:rsidRPr="00A07F29">
        <w:rPr>
          <w:rFonts w:ascii="Times New Roman" w:eastAsia="Calibri" w:hAnsi="Times New Roman" w:cs="Calibri"/>
          <w:sz w:val="24"/>
          <w:lang w:eastAsia="ja-JP"/>
        </w:rPr>
        <w:t>nei</w:t>
      </w:r>
      <w:r w:rsidR="0037375B" w:rsidRPr="00A07F29">
        <w:rPr>
          <w:rFonts w:ascii="Times New Roman" w:eastAsia="Calibri" w:hAnsi="Times New Roman" w:cs="Calibri"/>
          <w:sz w:val="24"/>
          <w:lang w:eastAsia="ja-JP"/>
        </w:rPr>
        <w:t>e</w:t>
      </w:r>
      <w:r w:rsidR="000925FA" w:rsidRPr="00A07F29">
        <w:rPr>
          <w:rFonts w:ascii="Times New Roman" w:eastAsia="Calibri" w:hAnsi="Times New Roman" w:cs="Calibri"/>
          <w:sz w:val="24"/>
          <w:lang w:eastAsia="ja-JP"/>
        </w:rPr>
        <w:t>laist zivis, 4)</w:t>
      </w:r>
      <w:r w:rsidR="00D323BB">
        <w:rPr>
          <w:rFonts w:ascii="Times New Roman" w:eastAsia="Calibri" w:hAnsi="Times New Roman" w:cs="Calibri"/>
          <w:sz w:val="24"/>
          <w:lang w:eastAsia="ja-JP"/>
        </w:rPr>
        <w:t> </w:t>
      </w:r>
      <w:r w:rsidR="000925FA" w:rsidRPr="00A07F29">
        <w:rPr>
          <w:rFonts w:ascii="Times New Roman" w:eastAsia="Calibri" w:hAnsi="Times New Roman" w:cs="Calibri"/>
          <w:sz w:val="24"/>
          <w:lang w:eastAsia="ja-JP"/>
        </w:rPr>
        <w:t>ūdens rekreācija</w:t>
      </w:r>
      <w:r w:rsidR="0037375B" w:rsidRPr="00A07F29">
        <w:rPr>
          <w:rFonts w:ascii="Times New Roman" w:eastAsia="Calibri" w:hAnsi="Times New Roman" w:cs="Calibri"/>
          <w:sz w:val="24"/>
          <w:lang w:eastAsia="ja-JP"/>
        </w:rPr>
        <w:t>s aktivitātes</w:t>
      </w:r>
      <w:r w:rsidR="000925FA" w:rsidRPr="00A07F29">
        <w:rPr>
          <w:rFonts w:ascii="Times New Roman" w:eastAsia="Calibri" w:hAnsi="Times New Roman" w:cs="Calibri"/>
          <w:sz w:val="24"/>
          <w:lang w:eastAsia="ja-JP"/>
        </w:rPr>
        <w:t xml:space="preserve"> at</w:t>
      </w:r>
      <w:r w:rsidR="00D323BB">
        <w:rPr>
          <w:rFonts w:ascii="Times New Roman" w:eastAsia="Calibri" w:hAnsi="Times New Roman" w:cs="Calibri"/>
          <w:sz w:val="24"/>
          <w:lang w:eastAsia="ja-JP"/>
        </w:rPr>
        <w:t>ļ</w:t>
      </w:r>
      <w:r w:rsidR="000925FA" w:rsidRPr="00A07F29">
        <w:rPr>
          <w:rFonts w:ascii="Times New Roman" w:eastAsia="Calibri" w:hAnsi="Times New Roman" w:cs="Calibri"/>
          <w:sz w:val="24"/>
          <w:lang w:eastAsia="ja-JP"/>
        </w:rPr>
        <w:t>auta</w:t>
      </w:r>
      <w:r w:rsidR="0037375B" w:rsidRPr="00A07F29">
        <w:rPr>
          <w:rFonts w:ascii="Times New Roman" w:eastAsia="Calibri" w:hAnsi="Times New Roman" w:cs="Calibri"/>
          <w:sz w:val="24"/>
          <w:lang w:eastAsia="ja-JP"/>
        </w:rPr>
        <w:t>s</w:t>
      </w:r>
      <w:r w:rsidR="000925FA" w:rsidRPr="00A07F29">
        <w:rPr>
          <w:rFonts w:ascii="Times New Roman" w:eastAsia="Calibri" w:hAnsi="Times New Roman" w:cs="Calibri"/>
          <w:sz w:val="24"/>
          <w:lang w:eastAsia="ja-JP"/>
        </w:rPr>
        <w:t xml:space="preserve"> tikai lielās ūdenstilpēs, 5)</w:t>
      </w:r>
      <w:r w:rsidR="00D323BB">
        <w:rPr>
          <w:rFonts w:ascii="Times New Roman" w:eastAsia="Calibri" w:hAnsi="Times New Roman" w:cs="Calibri"/>
          <w:sz w:val="24"/>
          <w:lang w:eastAsia="ja-JP"/>
        </w:rPr>
        <w:t> </w:t>
      </w:r>
      <w:r w:rsidR="0037375B" w:rsidRPr="00A07F29">
        <w:rPr>
          <w:rFonts w:ascii="Times New Roman" w:eastAsia="Calibri" w:hAnsi="Times New Roman" w:cs="Calibri"/>
          <w:sz w:val="24"/>
          <w:lang w:eastAsia="ja-JP"/>
        </w:rPr>
        <w:t xml:space="preserve">ja veido </w:t>
      </w:r>
      <w:proofErr w:type="spellStart"/>
      <w:r w:rsidR="000925FA" w:rsidRPr="00A07F29">
        <w:rPr>
          <w:rFonts w:ascii="Times New Roman" w:eastAsia="Calibri" w:hAnsi="Times New Roman" w:cs="Calibri"/>
          <w:sz w:val="24"/>
          <w:lang w:eastAsia="ja-JP"/>
        </w:rPr>
        <w:t>mototras</w:t>
      </w:r>
      <w:r w:rsidR="0037375B" w:rsidRPr="00A07F29">
        <w:rPr>
          <w:rFonts w:ascii="Times New Roman" w:eastAsia="Calibri" w:hAnsi="Times New Roman" w:cs="Calibri"/>
          <w:sz w:val="24"/>
          <w:lang w:eastAsia="ja-JP"/>
        </w:rPr>
        <w:t>i</w:t>
      </w:r>
      <w:proofErr w:type="spellEnd"/>
      <w:r w:rsidR="0037375B" w:rsidRPr="00A07F29">
        <w:rPr>
          <w:rFonts w:ascii="Times New Roman" w:eastAsia="Calibri" w:hAnsi="Times New Roman" w:cs="Calibri"/>
          <w:sz w:val="24"/>
          <w:lang w:eastAsia="ja-JP"/>
        </w:rPr>
        <w:t xml:space="preserve">, </w:t>
      </w:r>
      <w:r w:rsidR="000925FA" w:rsidRPr="00A07F29">
        <w:rPr>
          <w:rFonts w:ascii="Times New Roman" w:eastAsia="Calibri" w:hAnsi="Times New Roman" w:cs="Calibri"/>
          <w:sz w:val="24"/>
          <w:lang w:eastAsia="ja-JP"/>
        </w:rPr>
        <w:t xml:space="preserve">tad </w:t>
      </w:r>
      <w:r w:rsidR="0037375B" w:rsidRPr="00A07F29">
        <w:rPr>
          <w:rFonts w:ascii="Times New Roman" w:eastAsia="Calibri" w:hAnsi="Times New Roman" w:cs="Calibri"/>
          <w:sz w:val="24"/>
          <w:lang w:eastAsia="ja-JP"/>
        </w:rPr>
        <w:t xml:space="preserve">jāparedz </w:t>
      </w:r>
      <w:r w:rsidR="000925FA" w:rsidRPr="00A07F29">
        <w:rPr>
          <w:rFonts w:ascii="Times New Roman" w:eastAsia="Calibri" w:hAnsi="Times New Roman" w:cs="Calibri"/>
          <w:sz w:val="24"/>
          <w:lang w:eastAsia="ja-JP"/>
        </w:rPr>
        <w:t xml:space="preserve">žodziņi abiniekiem un rāpuļiem un </w:t>
      </w:r>
      <w:r w:rsidR="0037375B" w:rsidRPr="00A07F29">
        <w:rPr>
          <w:rFonts w:ascii="Times New Roman" w:eastAsia="Calibri" w:hAnsi="Times New Roman" w:cs="Calibri"/>
          <w:sz w:val="24"/>
          <w:lang w:eastAsia="ja-JP"/>
        </w:rPr>
        <w:t>jā</w:t>
      </w:r>
      <w:r w:rsidR="000925FA" w:rsidRPr="00A07F29">
        <w:rPr>
          <w:rFonts w:ascii="Times New Roman" w:eastAsia="Calibri" w:hAnsi="Times New Roman" w:cs="Calibri"/>
          <w:sz w:val="24"/>
          <w:lang w:eastAsia="ja-JP"/>
        </w:rPr>
        <w:t>aizlie</w:t>
      </w:r>
      <w:r w:rsidR="0037375B" w:rsidRPr="00A07F29">
        <w:rPr>
          <w:rFonts w:ascii="Times New Roman" w:eastAsia="Calibri" w:hAnsi="Times New Roman" w:cs="Calibri"/>
          <w:sz w:val="24"/>
          <w:lang w:eastAsia="ja-JP"/>
        </w:rPr>
        <w:t xml:space="preserve">dz </w:t>
      </w:r>
      <w:r w:rsidR="000925FA" w:rsidRPr="00A07F29">
        <w:rPr>
          <w:rFonts w:ascii="Times New Roman" w:eastAsia="Calibri" w:hAnsi="Times New Roman" w:cs="Calibri"/>
          <w:sz w:val="24"/>
          <w:lang w:eastAsia="ja-JP"/>
        </w:rPr>
        <w:t>braukšan</w:t>
      </w:r>
      <w:r w:rsidR="0037375B" w:rsidRPr="00A07F29">
        <w:rPr>
          <w:rFonts w:ascii="Times New Roman" w:eastAsia="Calibri" w:hAnsi="Times New Roman" w:cs="Calibri"/>
          <w:sz w:val="24"/>
          <w:lang w:eastAsia="ja-JP"/>
        </w:rPr>
        <w:t>a</w:t>
      </w:r>
      <w:r w:rsidR="000925FA" w:rsidRPr="00A07F29">
        <w:rPr>
          <w:rFonts w:ascii="Times New Roman" w:eastAsia="Calibri" w:hAnsi="Times New Roman" w:cs="Calibri"/>
          <w:sz w:val="24"/>
          <w:lang w:eastAsia="ja-JP"/>
        </w:rPr>
        <w:t xml:space="preserve"> vismaz abinieku nārstošanas laikā, 6)</w:t>
      </w:r>
      <w:r w:rsidR="00D323BB">
        <w:rPr>
          <w:rFonts w:ascii="Times New Roman" w:eastAsia="Calibri" w:hAnsi="Times New Roman" w:cs="Calibri"/>
          <w:sz w:val="24"/>
          <w:lang w:eastAsia="ja-JP"/>
        </w:rPr>
        <w:t> </w:t>
      </w:r>
      <w:r w:rsidR="0037375B" w:rsidRPr="00A07F29">
        <w:rPr>
          <w:rFonts w:ascii="Times New Roman" w:eastAsia="Calibri" w:hAnsi="Times New Roman" w:cs="Calibri"/>
          <w:sz w:val="24"/>
          <w:lang w:eastAsia="ja-JP"/>
        </w:rPr>
        <w:t xml:space="preserve">jāierobežo </w:t>
      </w:r>
      <w:r w:rsidR="000925FA" w:rsidRPr="00A07F29">
        <w:rPr>
          <w:rFonts w:ascii="Times New Roman" w:eastAsia="Calibri" w:hAnsi="Times New Roman" w:cs="Calibri"/>
          <w:sz w:val="24"/>
          <w:lang w:eastAsia="ja-JP"/>
        </w:rPr>
        <w:t>apmežošana</w:t>
      </w:r>
      <w:r w:rsidR="0037375B" w:rsidRPr="00A07F29">
        <w:rPr>
          <w:rFonts w:ascii="Times New Roman" w:eastAsia="Calibri" w:hAnsi="Times New Roman" w:cs="Calibri"/>
          <w:sz w:val="24"/>
          <w:lang w:eastAsia="ja-JP"/>
        </w:rPr>
        <w:t xml:space="preserve">, jo svarīgi </w:t>
      </w:r>
      <w:r w:rsidR="000925FA" w:rsidRPr="00A07F29">
        <w:rPr>
          <w:rFonts w:ascii="Times New Roman" w:eastAsia="Calibri" w:hAnsi="Times New Roman" w:cs="Calibri"/>
          <w:sz w:val="24"/>
          <w:lang w:eastAsia="ja-JP"/>
        </w:rPr>
        <w:t>saglabāt atklāt</w:t>
      </w:r>
      <w:r w:rsidR="0037375B" w:rsidRPr="00A07F29">
        <w:rPr>
          <w:rFonts w:ascii="Times New Roman" w:eastAsia="Calibri" w:hAnsi="Times New Roman" w:cs="Calibri"/>
          <w:sz w:val="24"/>
          <w:lang w:eastAsia="ja-JP"/>
        </w:rPr>
        <w:t>u ainavu</w:t>
      </w:r>
      <w:r w:rsidR="000925FA" w:rsidRPr="00A07F29">
        <w:rPr>
          <w:rFonts w:ascii="Times New Roman" w:eastAsia="Calibri" w:hAnsi="Times New Roman" w:cs="Calibri"/>
          <w:sz w:val="24"/>
          <w:lang w:eastAsia="ja-JP"/>
        </w:rPr>
        <w:t>, 7)</w:t>
      </w:r>
      <w:r w:rsidR="00ED0DA9">
        <w:rPr>
          <w:rFonts w:ascii="Times New Roman" w:eastAsia="Calibri" w:hAnsi="Times New Roman" w:cs="Calibri"/>
          <w:sz w:val="24"/>
          <w:lang w:eastAsia="ja-JP"/>
        </w:rPr>
        <w:t> </w:t>
      </w:r>
      <w:r w:rsidR="000925FA" w:rsidRPr="00A07F29">
        <w:rPr>
          <w:rFonts w:ascii="Times New Roman" w:eastAsia="Calibri" w:hAnsi="Times New Roman" w:cs="Calibri"/>
          <w:sz w:val="24"/>
          <w:lang w:eastAsia="ja-JP"/>
        </w:rPr>
        <w:t>kemping</w:t>
      </w:r>
      <w:r w:rsidR="0037375B" w:rsidRPr="00A07F29">
        <w:rPr>
          <w:rFonts w:ascii="Times New Roman" w:eastAsia="Calibri" w:hAnsi="Times New Roman" w:cs="Calibri"/>
          <w:sz w:val="24"/>
          <w:lang w:eastAsia="ja-JP"/>
        </w:rPr>
        <w:t>u ier</w:t>
      </w:r>
      <w:r w:rsidR="002A4F0C" w:rsidRPr="00A07F29">
        <w:rPr>
          <w:rFonts w:ascii="Times New Roman" w:eastAsia="Calibri" w:hAnsi="Times New Roman" w:cs="Calibri"/>
          <w:sz w:val="24"/>
          <w:lang w:eastAsia="ja-JP"/>
        </w:rPr>
        <w:t>ī</w:t>
      </w:r>
      <w:r w:rsidR="0037375B" w:rsidRPr="00A07F29">
        <w:rPr>
          <w:rFonts w:ascii="Times New Roman" w:eastAsia="Calibri" w:hAnsi="Times New Roman" w:cs="Calibri"/>
          <w:sz w:val="24"/>
          <w:lang w:eastAsia="ja-JP"/>
        </w:rPr>
        <w:t>košan</w:t>
      </w:r>
      <w:r w:rsidR="002A4F0C" w:rsidRPr="00A07F29">
        <w:rPr>
          <w:rFonts w:ascii="Times New Roman" w:eastAsia="Calibri" w:hAnsi="Times New Roman" w:cs="Calibri"/>
          <w:sz w:val="24"/>
          <w:lang w:eastAsia="ja-JP"/>
        </w:rPr>
        <w:t>a</w:t>
      </w:r>
      <w:r w:rsidR="0037375B" w:rsidRPr="00A07F29">
        <w:rPr>
          <w:rFonts w:ascii="Times New Roman" w:eastAsia="Calibri" w:hAnsi="Times New Roman" w:cs="Calibri"/>
          <w:sz w:val="24"/>
          <w:lang w:eastAsia="ja-JP"/>
        </w:rPr>
        <w:t xml:space="preserve"> ir pieļaujama, bet jāparedz žodziņi abiniekiem un rāpuļiem </w:t>
      </w:r>
      <w:r w:rsidR="000925FA" w:rsidRPr="00A07F29">
        <w:rPr>
          <w:rFonts w:ascii="Times New Roman" w:eastAsia="Calibri" w:hAnsi="Times New Roman" w:cs="Calibri"/>
          <w:sz w:val="24"/>
          <w:lang w:eastAsia="ja-JP"/>
        </w:rPr>
        <w:t>ap lauku</w:t>
      </w:r>
      <w:r w:rsidR="0037375B" w:rsidRPr="00A07F29">
        <w:rPr>
          <w:rFonts w:ascii="Times New Roman" w:eastAsia="Calibri" w:hAnsi="Times New Roman" w:cs="Calibri"/>
          <w:sz w:val="24"/>
          <w:lang w:eastAsia="ja-JP"/>
        </w:rPr>
        <w:t>mu</w:t>
      </w:r>
      <w:r w:rsidR="00615239" w:rsidRPr="00A07F29">
        <w:rPr>
          <w:rFonts w:ascii="Times New Roman" w:eastAsia="Calibri" w:hAnsi="Times New Roman" w:cs="Calibri"/>
          <w:sz w:val="24"/>
          <w:lang w:eastAsia="ja-JP"/>
        </w:rPr>
        <w:t xml:space="preserve"> un vēlams gar ceļu.</w:t>
      </w:r>
      <w:r w:rsidR="00493A04" w:rsidRPr="00A07F29">
        <w:rPr>
          <w:rFonts w:ascii="Times New Roman" w:eastAsia="Calibri" w:hAnsi="Times New Roman" w:cs="Calibri"/>
          <w:sz w:val="24"/>
          <w:lang w:eastAsia="ja-JP"/>
        </w:rPr>
        <w:t xml:space="preserve"> Abiniekiem un rāpuļiem piemērotās dzīvotnes izveidojamas pēc iespējas neapplūstošās teritorijās.</w:t>
      </w:r>
    </w:p>
    <w:p w14:paraId="59D5F49A" w14:textId="5ACA0B0B" w:rsidR="002A4F0C" w:rsidRPr="00A07F29" w:rsidRDefault="00615239" w:rsidP="004A6109">
      <w:pPr>
        <w:spacing w:after="120" w:line="240" w:lineRule="auto"/>
        <w:ind w:firstLine="851"/>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 xml:space="preserve">Arī </w:t>
      </w:r>
      <w:r w:rsidR="00CD4CA1" w:rsidRPr="00A07F29">
        <w:rPr>
          <w:rFonts w:ascii="Times New Roman" w:eastAsia="Calibri" w:hAnsi="Times New Roman" w:cs="Calibri"/>
          <w:sz w:val="24"/>
          <w:lang w:eastAsia="ja-JP"/>
        </w:rPr>
        <w:t>citu karjeru (</w:t>
      </w:r>
      <w:proofErr w:type="spellStart"/>
      <w:r w:rsidR="00CD4CA1" w:rsidRPr="00A07F29">
        <w:rPr>
          <w:rFonts w:ascii="Times New Roman" w:eastAsia="Calibri" w:hAnsi="Times New Roman" w:cs="Calibri"/>
          <w:sz w:val="24"/>
          <w:lang w:eastAsia="ja-JP"/>
        </w:rPr>
        <w:t>Butišķu</w:t>
      </w:r>
      <w:proofErr w:type="spellEnd"/>
      <w:r w:rsidR="00CD4CA1" w:rsidRPr="00A07F29">
        <w:rPr>
          <w:rFonts w:ascii="Times New Roman" w:eastAsia="Calibri" w:hAnsi="Times New Roman" w:cs="Calibri"/>
          <w:sz w:val="24"/>
          <w:lang w:eastAsia="ja-JP"/>
        </w:rPr>
        <w:t xml:space="preserve"> lokā u.c.</w:t>
      </w:r>
      <w:r w:rsidRPr="00A07F29">
        <w:rPr>
          <w:rFonts w:ascii="Times New Roman" w:eastAsia="Calibri" w:hAnsi="Times New Roman" w:cs="Calibri"/>
          <w:sz w:val="24"/>
          <w:lang w:eastAsia="ja-JP"/>
        </w:rPr>
        <w:t>) rekultivācijas projektos izvērtējama iespēja veidot reto un aizsargājamo abinieku un rāpuļu sugām piemērotas dzīvotnes</w:t>
      </w:r>
      <w:r w:rsidR="002A4F0C" w:rsidRPr="00A07F29">
        <w:rPr>
          <w:rFonts w:ascii="Times New Roman" w:eastAsia="Calibri" w:hAnsi="Times New Roman" w:cs="Calibri"/>
          <w:sz w:val="24"/>
          <w:lang w:eastAsia="ja-JP"/>
        </w:rPr>
        <w:t>.</w:t>
      </w:r>
    </w:p>
    <w:p w14:paraId="29326A15" w14:textId="6C0DF987" w:rsidR="00C93D36" w:rsidRPr="00A07F29" w:rsidRDefault="00C93D36" w:rsidP="00C93D36">
      <w:pPr>
        <w:spacing w:after="120" w:line="240" w:lineRule="auto"/>
        <w:ind w:firstLine="851"/>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Izstrādājot karjeru rekultivācijas projektus, izvērtējamas iespējas atjaunot arī citu aizsargājamo sugu dzīvotnes un ES nozīmes biotopus, ņemot vērā konkrētās vietas apstākļus.</w:t>
      </w:r>
    </w:p>
    <w:p w14:paraId="6393140B" w14:textId="310376E2" w:rsidR="004A6109" w:rsidRPr="00A07F29" w:rsidRDefault="000925FA" w:rsidP="009C4F39">
      <w:pPr>
        <w:spacing w:after="120" w:line="240" w:lineRule="auto"/>
        <w:ind w:firstLine="851"/>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 xml:space="preserve">Nepieciešams veikt arī </w:t>
      </w:r>
      <w:r w:rsidR="00A21E83" w:rsidRPr="00A07F29">
        <w:rPr>
          <w:rFonts w:ascii="Times New Roman" w:eastAsia="Calibri" w:hAnsi="Times New Roman" w:cs="Calibri"/>
          <w:sz w:val="24"/>
          <w:lang w:eastAsia="ja-JP"/>
        </w:rPr>
        <w:t xml:space="preserve">piesārņoto un potenciāli piesārņoto vietu </w:t>
      </w:r>
      <w:r w:rsidRPr="00A07F29">
        <w:rPr>
          <w:rFonts w:ascii="Times New Roman" w:eastAsia="Calibri" w:hAnsi="Times New Roman" w:cs="Calibri"/>
          <w:sz w:val="24"/>
          <w:lang w:eastAsia="ja-JP"/>
        </w:rPr>
        <w:t>rekultivāciju</w:t>
      </w:r>
      <w:r w:rsidR="00A21E83" w:rsidRPr="00A07F29">
        <w:rPr>
          <w:rFonts w:ascii="Times New Roman" w:eastAsia="Calibri" w:hAnsi="Times New Roman" w:cs="Calibri"/>
          <w:sz w:val="24"/>
          <w:lang w:eastAsia="ja-JP"/>
        </w:rPr>
        <w:t>, bijušo fermu graustu</w:t>
      </w:r>
      <w:r w:rsidR="007275C6">
        <w:rPr>
          <w:rFonts w:ascii="Times New Roman" w:eastAsia="Calibri" w:hAnsi="Times New Roman" w:cs="Calibri"/>
          <w:sz w:val="24"/>
          <w:lang w:eastAsia="ja-JP"/>
        </w:rPr>
        <w:t>,</w:t>
      </w:r>
      <w:r w:rsidR="00A21E83" w:rsidRPr="00A07F29">
        <w:rPr>
          <w:rFonts w:ascii="Times New Roman" w:eastAsia="Calibri" w:hAnsi="Times New Roman" w:cs="Calibri"/>
          <w:sz w:val="24"/>
          <w:lang w:eastAsia="ja-JP"/>
        </w:rPr>
        <w:t xml:space="preserve"> </w:t>
      </w:r>
      <w:r w:rsidRPr="00A07F29">
        <w:rPr>
          <w:rFonts w:ascii="Times New Roman" w:eastAsia="Calibri" w:hAnsi="Times New Roman" w:cs="Calibri"/>
          <w:sz w:val="24"/>
          <w:lang w:eastAsia="ja-JP"/>
        </w:rPr>
        <w:t>u.c. pamestu</w:t>
      </w:r>
      <w:r w:rsidR="004A6109" w:rsidRPr="00A07F29">
        <w:rPr>
          <w:rFonts w:ascii="Times New Roman" w:eastAsia="Calibri" w:hAnsi="Times New Roman" w:cs="Calibri"/>
          <w:sz w:val="24"/>
          <w:lang w:eastAsia="ja-JP"/>
        </w:rPr>
        <w:t xml:space="preserve"> būvju nojaukšanu un</w:t>
      </w:r>
      <w:r w:rsidR="009C4F39" w:rsidRPr="00A07F29">
        <w:rPr>
          <w:rFonts w:ascii="Times New Roman" w:eastAsia="Calibri" w:hAnsi="Times New Roman" w:cs="Calibri"/>
          <w:sz w:val="24"/>
          <w:lang w:eastAsia="ja-JP"/>
        </w:rPr>
        <w:t xml:space="preserve"> degradēto</w:t>
      </w:r>
      <w:r w:rsidR="004A6109" w:rsidRPr="00A07F29">
        <w:rPr>
          <w:rFonts w:ascii="Times New Roman" w:eastAsia="Calibri" w:hAnsi="Times New Roman" w:cs="Calibri"/>
          <w:sz w:val="24"/>
          <w:lang w:eastAsia="ja-JP"/>
        </w:rPr>
        <w:t xml:space="preserve"> teritoriju sakopšanu.</w:t>
      </w:r>
      <w:r w:rsidR="009C4F39" w:rsidRPr="00A07F29">
        <w:t xml:space="preserve"> </w:t>
      </w:r>
      <w:r w:rsidR="009C4F39" w:rsidRPr="00A07F29">
        <w:rPr>
          <w:rFonts w:ascii="Times New Roman" w:eastAsia="Calibri" w:hAnsi="Times New Roman" w:cs="Calibri"/>
          <w:sz w:val="24"/>
          <w:lang w:eastAsia="ja-JP"/>
        </w:rPr>
        <w:t xml:space="preserve">Sevišķi svarīgi </w:t>
      </w:r>
      <w:r w:rsidR="009C4F39" w:rsidRPr="00A07F29">
        <w:rPr>
          <w:rFonts w:ascii="Times New Roman" w:eastAsia="Calibri" w:hAnsi="Times New Roman" w:cs="Calibri"/>
          <w:sz w:val="24"/>
          <w:lang w:eastAsia="ja-JP"/>
        </w:rPr>
        <w:lastRenderedPageBreak/>
        <w:t>ir sakopt degradētās teritorijas publisku apskates objektu tuvumā, piemēram, sovhoza putnu fermas teritoriju Adamovas dabas takas tuvumā.</w:t>
      </w:r>
    </w:p>
    <w:p w14:paraId="74DBB64E" w14:textId="38A158DF" w:rsidR="00A21E83" w:rsidRPr="00A07F29" w:rsidRDefault="009F6874" w:rsidP="004A6109">
      <w:pPr>
        <w:spacing w:before="120" w:after="0" w:line="240" w:lineRule="auto"/>
        <w:jc w:val="center"/>
        <w:rPr>
          <w:rFonts w:ascii="Times New Roman" w:eastAsia="Calibri" w:hAnsi="Times New Roman" w:cs="Calibri"/>
          <w:sz w:val="24"/>
          <w:lang w:eastAsia="ja-JP"/>
        </w:rPr>
      </w:pPr>
      <w:r w:rsidRPr="00A07F29">
        <w:rPr>
          <w:noProof/>
          <w:lang w:eastAsia="lv-LV"/>
        </w:rPr>
        <w:drawing>
          <wp:inline distT="0" distB="0" distL="0" distR="0" wp14:anchorId="2BCCBE3B" wp14:editId="5CAAE220">
            <wp:extent cx="4912394" cy="3472855"/>
            <wp:effectExtent l="0" t="0" r="2540" b="0"/>
            <wp:docPr id="170371812" name="Picture 170371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371812"/>
                    <pic:cNvPicPr/>
                  </pic:nvPicPr>
                  <pic:blipFill>
                    <a:blip r:embed="rId183" cstate="print">
                      <a:extLst>
                        <a:ext uri="{28A0092B-C50C-407E-A947-70E740481C1C}">
                          <a14:useLocalDpi xmlns:a14="http://schemas.microsoft.com/office/drawing/2010/main" val="0"/>
                        </a:ext>
                      </a:extLst>
                    </a:blip>
                    <a:stretch>
                      <a:fillRect/>
                    </a:stretch>
                  </pic:blipFill>
                  <pic:spPr>
                    <a:xfrm>
                      <a:off x="0" y="0"/>
                      <a:ext cx="4912394" cy="3472855"/>
                    </a:xfrm>
                    <a:prstGeom prst="rect">
                      <a:avLst/>
                    </a:prstGeom>
                  </pic:spPr>
                </pic:pic>
              </a:graphicData>
            </a:graphic>
          </wp:inline>
        </w:drawing>
      </w:r>
    </w:p>
    <w:p w14:paraId="123B4BC7" w14:textId="5B8E310C" w:rsidR="00032E6A" w:rsidRPr="00B0104D" w:rsidRDefault="00032E6A" w:rsidP="00B216DC">
      <w:pPr>
        <w:spacing w:before="120" w:after="240" w:line="240" w:lineRule="auto"/>
        <w:ind w:firstLine="709"/>
        <w:jc w:val="both"/>
        <w:rPr>
          <w:rFonts w:ascii="Times New Roman" w:eastAsia="Calibri" w:hAnsi="Times New Roman" w:cs="Calibri"/>
          <w:sz w:val="20"/>
          <w:szCs w:val="20"/>
          <w:lang w:eastAsia="ja-JP"/>
        </w:rPr>
      </w:pPr>
      <w:r w:rsidRPr="00B0104D">
        <w:rPr>
          <w:rFonts w:ascii="Times New Roman" w:eastAsia="Calibri" w:hAnsi="Times New Roman" w:cs="Times New Roman"/>
          <w:sz w:val="20"/>
          <w:szCs w:val="20"/>
        </w:rPr>
        <w:t>5.3.</w:t>
      </w:r>
      <w:r w:rsidR="00D530E3" w:rsidRPr="00B0104D">
        <w:rPr>
          <w:rFonts w:ascii="Times New Roman" w:eastAsia="Calibri" w:hAnsi="Times New Roman" w:cs="Times New Roman"/>
          <w:sz w:val="20"/>
          <w:szCs w:val="20"/>
        </w:rPr>
        <w:t>5</w:t>
      </w:r>
      <w:r w:rsidR="007275C6" w:rsidRPr="00B0104D">
        <w:rPr>
          <w:rFonts w:ascii="Times New Roman" w:eastAsia="Calibri" w:hAnsi="Times New Roman" w:cs="Times New Roman"/>
          <w:sz w:val="20"/>
          <w:szCs w:val="20"/>
        </w:rPr>
        <w:t>2</w:t>
      </w:r>
      <w:r w:rsidRPr="00B0104D">
        <w:rPr>
          <w:rFonts w:ascii="Times New Roman" w:eastAsia="Calibri" w:hAnsi="Times New Roman" w:cs="Times New Roman"/>
          <w:sz w:val="20"/>
          <w:szCs w:val="20"/>
        </w:rPr>
        <w:t>.</w:t>
      </w:r>
      <w:r w:rsidR="007275C6" w:rsidRPr="00B0104D">
        <w:rPr>
          <w:rFonts w:ascii="Times New Roman" w:eastAsia="Calibri" w:hAnsi="Times New Roman" w:cs="Times New Roman"/>
          <w:sz w:val="20"/>
          <w:szCs w:val="20"/>
        </w:rPr>
        <w:t> </w:t>
      </w:r>
      <w:r w:rsidRPr="00B0104D">
        <w:rPr>
          <w:rFonts w:ascii="Times New Roman" w:eastAsia="Calibri" w:hAnsi="Times New Roman" w:cs="Times New Roman"/>
          <w:sz w:val="20"/>
          <w:szCs w:val="20"/>
        </w:rPr>
        <w:t xml:space="preserve">attēls. </w:t>
      </w:r>
      <w:proofErr w:type="spellStart"/>
      <w:r w:rsidR="00325D08" w:rsidRPr="00B0104D">
        <w:rPr>
          <w:rFonts w:ascii="Times New Roman" w:eastAsia="Calibri" w:hAnsi="Times New Roman" w:cs="Times New Roman"/>
          <w:sz w:val="20"/>
          <w:szCs w:val="20"/>
        </w:rPr>
        <w:t>Rekultivējamās</w:t>
      </w:r>
      <w:proofErr w:type="spellEnd"/>
      <w:r w:rsidR="00325D08" w:rsidRPr="00B0104D">
        <w:rPr>
          <w:rFonts w:ascii="Times New Roman" w:eastAsia="Calibri" w:hAnsi="Times New Roman" w:cs="Times New Roman"/>
          <w:sz w:val="20"/>
          <w:szCs w:val="20"/>
        </w:rPr>
        <w:t xml:space="preserve"> karjeru teritorijas </w:t>
      </w:r>
      <w:proofErr w:type="spellStart"/>
      <w:r w:rsidR="00325D08" w:rsidRPr="00B0104D">
        <w:rPr>
          <w:rFonts w:ascii="Times New Roman" w:eastAsia="Calibri" w:hAnsi="Times New Roman" w:cs="Times New Roman"/>
          <w:sz w:val="20"/>
          <w:szCs w:val="20"/>
        </w:rPr>
        <w:t>Elernes</w:t>
      </w:r>
      <w:proofErr w:type="spellEnd"/>
      <w:r w:rsidR="00325D08" w:rsidRPr="00B0104D">
        <w:rPr>
          <w:rFonts w:ascii="Times New Roman" w:eastAsia="Calibri" w:hAnsi="Times New Roman" w:cs="Times New Roman"/>
          <w:sz w:val="20"/>
          <w:szCs w:val="20"/>
        </w:rPr>
        <w:t xml:space="preserve"> lokā.</w:t>
      </w:r>
    </w:p>
    <w:p w14:paraId="2F8F49C7" w14:textId="585051D7" w:rsidR="002A4F0C" w:rsidRPr="00A07F29" w:rsidRDefault="00A21E83" w:rsidP="005111B4">
      <w:pPr>
        <w:keepNext/>
        <w:spacing w:before="240" w:after="120" w:line="240" w:lineRule="auto"/>
        <w:jc w:val="both"/>
        <w:rPr>
          <w:rFonts w:ascii="Times New Roman" w:eastAsia="Calibri" w:hAnsi="Times New Roman" w:cs="Calibri"/>
          <w:b/>
          <w:i/>
          <w:sz w:val="24"/>
          <w:lang w:eastAsia="ja-JP"/>
        </w:rPr>
      </w:pPr>
      <w:r w:rsidRPr="00A07F29">
        <w:rPr>
          <w:rFonts w:ascii="Times New Roman" w:eastAsia="Calibri" w:hAnsi="Times New Roman" w:cs="Calibri"/>
          <w:b/>
          <w:i/>
          <w:sz w:val="24"/>
          <w:lang w:eastAsia="ja-JP"/>
        </w:rPr>
        <w:t>E.1.</w:t>
      </w:r>
      <w:r w:rsidR="00F1065B" w:rsidRPr="00A07F29">
        <w:rPr>
          <w:rFonts w:ascii="Times New Roman" w:eastAsia="Calibri" w:hAnsi="Times New Roman" w:cs="Calibri"/>
          <w:b/>
          <w:i/>
          <w:sz w:val="24"/>
          <w:lang w:eastAsia="ja-JP"/>
        </w:rPr>
        <w:t>3</w:t>
      </w:r>
      <w:r w:rsidRPr="00A07F29">
        <w:rPr>
          <w:rFonts w:ascii="Times New Roman" w:eastAsia="Calibri" w:hAnsi="Times New Roman" w:cs="Calibri"/>
          <w:b/>
          <w:i/>
          <w:sz w:val="24"/>
          <w:lang w:eastAsia="ja-JP"/>
        </w:rPr>
        <w:t>.Ainavisko ceļu</w:t>
      </w:r>
      <w:r w:rsidR="00351E7B" w:rsidRPr="00A07F29">
        <w:rPr>
          <w:rFonts w:ascii="Times New Roman" w:eastAsia="Calibri" w:hAnsi="Times New Roman" w:cs="Calibri"/>
          <w:b/>
          <w:i/>
          <w:sz w:val="24"/>
          <w:lang w:eastAsia="ja-JP"/>
        </w:rPr>
        <w:t xml:space="preserve"> un ceļa</w:t>
      </w:r>
      <w:r w:rsidRPr="00A07F29">
        <w:rPr>
          <w:rFonts w:ascii="Times New Roman" w:eastAsia="Calibri" w:hAnsi="Times New Roman" w:cs="Calibri"/>
          <w:b/>
          <w:i/>
          <w:sz w:val="24"/>
          <w:lang w:eastAsia="ja-JP"/>
        </w:rPr>
        <w:t xml:space="preserve"> posmu uzturēšana</w:t>
      </w:r>
    </w:p>
    <w:p w14:paraId="20570876" w14:textId="523FE138" w:rsidR="005111B4" w:rsidRPr="00A07F29" w:rsidRDefault="005111B4" w:rsidP="005111B4">
      <w:pPr>
        <w:spacing w:after="120" w:line="240" w:lineRule="auto"/>
        <w:ind w:firstLine="851"/>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Ainavisko ceļu posmu uzturēšanai (</w:t>
      </w:r>
      <w:r w:rsidR="00CE7A1D">
        <w:rPr>
          <w:rFonts w:ascii="Times New Roman" w:eastAsia="Calibri" w:hAnsi="Times New Roman" w:cs="Calibri"/>
          <w:sz w:val="24"/>
          <w:lang w:eastAsia="ja-JP"/>
        </w:rPr>
        <w:t xml:space="preserve">skat. </w:t>
      </w:r>
      <w:r w:rsidR="00B216DC" w:rsidRPr="00A07F29">
        <w:rPr>
          <w:rFonts w:ascii="Times New Roman" w:eastAsia="Calibri" w:hAnsi="Times New Roman" w:cs="Calibri"/>
          <w:sz w:val="24"/>
          <w:lang w:eastAsia="ja-JP"/>
        </w:rPr>
        <w:t>5.1.1</w:t>
      </w:r>
      <w:r w:rsidR="00CE7A1D">
        <w:rPr>
          <w:rFonts w:ascii="Times New Roman" w:eastAsia="Calibri" w:hAnsi="Times New Roman" w:cs="Calibri"/>
          <w:sz w:val="24"/>
          <w:lang w:eastAsia="ja-JP"/>
        </w:rPr>
        <w:t>.</w:t>
      </w:r>
      <w:r w:rsidR="00707C39">
        <w:rPr>
          <w:rFonts w:ascii="Times New Roman" w:eastAsia="Calibri" w:hAnsi="Times New Roman" w:cs="Calibri"/>
          <w:sz w:val="24"/>
          <w:lang w:eastAsia="ja-JP"/>
        </w:rPr>
        <w:t xml:space="preserve"> un 5.1.1a.</w:t>
      </w:r>
      <w:r w:rsidR="00CE7A1D">
        <w:rPr>
          <w:rFonts w:ascii="Times New Roman" w:eastAsia="Calibri" w:hAnsi="Times New Roman" w:cs="Calibri"/>
          <w:sz w:val="24"/>
          <w:lang w:eastAsia="ja-JP"/>
        </w:rPr>
        <w:t> </w:t>
      </w:r>
      <w:r w:rsidRPr="00A07F29">
        <w:rPr>
          <w:rFonts w:ascii="Times New Roman" w:eastAsia="Calibri" w:hAnsi="Times New Roman" w:cs="Calibri"/>
          <w:sz w:val="24"/>
          <w:lang w:eastAsia="ja-JP"/>
        </w:rPr>
        <w:t>pielikums, 5.3.3.</w:t>
      </w:r>
      <w:r w:rsidR="00CE7A1D">
        <w:rPr>
          <w:rFonts w:ascii="Times New Roman" w:eastAsia="Calibri" w:hAnsi="Times New Roman" w:cs="Calibri"/>
          <w:sz w:val="24"/>
          <w:lang w:eastAsia="ja-JP"/>
        </w:rPr>
        <w:t> </w:t>
      </w:r>
      <w:r w:rsidRPr="00A07F29">
        <w:rPr>
          <w:rFonts w:ascii="Times New Roman" w:eastAsia="Calibri" w:hAnsi="Times New Roman" w:cs="Calibri"/>
          <w:sz w:val="24"/>
          <w:lang w:eastAsia="ja-JP"/>
        </w:rPr>
        <w:t xml:space="preserve">tabula) nepieciešama regulāra </w:t>
      </w:r>
      <w:r w:rsidR="00A21E83" w:rsidRPr="00A07F29">
        <w:rPr>
          <w:rFonts w:ascii="Times New Roman" w:eastAsia="Calibri" w:hAnsi="Times New Roman" w:cs="Calibri"/>
          <w:sz w:val="24"/>
          <w:lang w:eastAsia="ja-JP"/>
        </w:rPr>
        <w:t xml:space="preserve">ceļmalu </w:t>
      </w:r>
      <w:r w:rsidRPr="00A07F29">
        <w:rPr>
          <w:rFonts w:ascii="Times New Roman" w:eastAsia="Calibri" w:hAnsi="Times New Roman" w:cs="Calibri"/>
          <w:sz w:val="24"/>
          <w:lang w:eastAsia="ja-JP"/>
        </w:rPr>
        <w:t>pļaušana (1</w:t>
      </w:r>
      <w:r w:rsidR="00681A0E">
        <w:rPr>
          <w:rFonts w:ascii="Times New Roman" w:eastAsia="Calibri" w:hAnsi="Times New Roman" w:cs="Calibri"/>
          <w:sz w:val="24"/>
          <w:lang w:eastAsia="ja-JP"/>
        </w:rPr>
        <w:t> – </w:t>
      </w:r>
      <w:r w:rsidRPr="00A07F29">
        <w:rPr>
          <w:rFonts w:ascii="Times New Roman" w:eastAsia="Calibri" w:hAnsi="Times New Roman" w:cs="Calibri"/>
          <w:sz w:val="24"/>
          <w:lang w:eastAsia="ja-JP"/>
        </w:rPr>
        <w:t xml:space="preserve">2 reizes gadā) </w:t>
      </w:r>
      <w:r w:rsidR="00A21E83" w:rsidRPr="00A07F29">
        <w:rPr>
          <w:rFonts w:ascii="Times New Roman" w:eastAsia="Calibri" w:hAnsi="Times New Roman" w:cs="Calibri"/>
          <w:sz w:val="24"/>
          <w:lang w:eastAsia="ja-JP"/>
        </w:rPr>
        <w:t xml:space="preserve">un krūmu </w:t>
      </w:r>
      <w:r w:rsidRPr="00A07F29">
        <w:rPr>
          <w:rFonts w:ascii="Times New Roman" w:eastAsia="Calibri" w:hAnsi="Times New Roman" w:cs="Calibri"/>
          <w:sz w:val="24"/>
          <w:lang w:eastAsia="ja-JP"/>
        </w:rPr>
        <w:t xml:space="preserve">izciršana </w:t>
      </w:r>
      <w:r w:rsidR="00A21E83" w:rsidRPr="00A07F29">
        <w:rPr>
          <w:rFonts w:ascii="Times New Roman" w:eastAsia="Calibri" w:hAnsi="Times New Roman" w:cs="Calibri"/>
          <w:sz w:val="24"/>
          <w:lang w:eastAsia="ja-JP"/>
        </w:rPr>
        <w:t xml:space="preserve">atklātu ainavu skatu nodrošināšanai. </w:t>
      </w:r>
      <w:r w:rsidRPr="00A07F29">
        <w:rPr>
          <w:rFonts w:ascii="Times New Roman" w:eastAsia="Calibri" w:hAnsi="Times New Roman" w:cs="Calibri"/>
          <w:sz w:val="24"/>
          <w:lang w:eastAsia="ja-JP"/>
        </w:rPr>
        <w:t>Pēc nepieciešamības veicama arī c</w:t>
      </w:r>
      <w:r w:rsidR="00A21E83" w:rsidRPr="00A07F29">
        <w:rPr>
          <w:rFonts w:ascii="Times New Roman" w:eastAsia="Calibri" w:hAnsi="Times New Roman" w:cs="Calibri"/>
          <w:sz w:val="24"/>
          <w:lang w:eastAsia="ja-JP"/>
        </w:rPr>
        <w:t>eļa seguma atjaunošana</w:t>
      </w:r>
      <w:r w:rsidR="00C51116" w:rsidRPr="00A07F29">
        <w:rPr>
          <w:rFonts w:ascii="Times New Roman" w:eastAsia="Calibri" w:hAnsi="Times New Roman" w:cs="Calibri"/>
          <w:sz w:val="24"/>
          <w:lang w:eastAsia="ja-JP"/>
        </w:rPr>
        <w:t xml:space="preserve"> un uzlabošana</w:t>
      </w:r>
      <w:r w:rsidR="00A21E83" w:rsidRPr="00A07F29">
        <w:rPr>
          <w:rFonts w:ascii="Times New Roman" w:eastAsia="Calibri" w:hAnsi="Times New Roman" w:cs="Calibri"/>
          <w:sz w:val="24"/>
          <w:lang w:eastAsia="ja-JP"/>
        </w:rPr>
        <w:t>.</w:t>
      </w:r>
    </w:p>
    <w:p w14:paraId="5AC370C7" w14:textId="00FBC38D" w:rsidR="00A21E83" w:rsidRPr="00A07F29" w:rsidRDefault="005111B4" w:rsidP="005111B4">
      <w:pPr>
        <w:spacing w:after="120" w:line="240" w:lineRule="auto"/>
        <w:ind w:firstLine="851"/>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Atjaunojot un pārbūvējot ainavisko ceļu posmus</w:t>
      </w:r>
      <w:r w:rsidR="00351E7B" w:rsidRPr="00A07F29">
        <w:rPr>
          <w:rFonts w:ascii="Times New Roman" w:eastAsia="Calibri" w:hAnsi="Times New Roman" w:cs="Calibri"/>
          <w:sz w:val="24"/>
          <w:lang w:eastAsia="ja-JP"/>
        </w:rPr>
        <w:t>,</w:t>
      </w:r>
      <w:r w:rsidR="00A21E83" w:rsidRPr="00A07F29">
        <w:rPr>
          <w:rFonts w:ascii="Times New Roman" w:eastAsia="Calibri" w:hAnsi="Times New Roman" w:cs="Calibri"/>
          <w:sz w:val="24"/>
          <w:lang w:eastAsia="ja-JP"/>
        </w:rPr>
        <w:t xml:space="preserve"> nedrīkst pieļaut reljefa pārveidošanu un mainīt ainavisko ceļu trases novietojumu</w:t>
      </w:r>
      <w:r w:rsidR="00B216DC" w:rsidRPr="00A07F29">
        <w:rPr>
          <w:rFonts w:ascii="Times New Roman" w:eastAsia="Calibri" w:hAnsi="Times New Roman" w:cs="Calibri"/>
          <w:sz w:val="24"/>
          <w:lang w:eastAsia="ja-JP"/>
        </w:rPr>
        <w:t>, kā arī saglabājami šo ceļu malās augošie ainaviski un bioloģiski vērtīgie koki.</w:t>
      </w:r>
    </w:p>
    <w:p w14:paraId="2F590888" w14:textId="53EA2F21" w:rsidR="000159E2" w:rsidRPr="00A07F29" w:rsidRDefault="00351E7B" w:rsidP="00351E7B">
      <w:pPr>
        <w:pStyle w:val="ListParagraph"/>
        <w:keepNext/>
        <w:autoSpaceDE w:val="0"/>
        <w:autoSpaceDN w:val="0"/>
        <w:adjustRightInd w:val="0"/>
        <w:spacing w:before="240" w:line="240" w:lineRule="auto"/>
        <w:ind w:left="0" w:firstLine="0"/>
        <w:contextualSpacing w:val="0"/>
        <w:jc w:val="center"/>
        <w:rPr>
          <w:rFonts w:cs="Times New Roman"/>
          <w:color w:val="000000" w:themeColor="text1"/>
          <w:szCs w:val="24"/>
        </w:rPr>
      </w:pPr>
      <w:r w:rsidRPr="00A07F29">
        <w:rPr>
          <w:rFonts w:cs="Times New Roman"/>
          <w:color w:val="000000" w:themeColor="text1"/>
          <w:szCs w:val="24"/>
        </w:rPr>
        <w:t>5.3.3.</w:t>
      </w:r>
      <w:r w:rsidR="00681A0E">
        <w:rPr>
          <w:rFonts w:cs="Times New Roman"/>
          <w:color w:val="000000" w:themeColor="text1"/>
          <w:szCs w:val="24"/>
        </w:rPr>
        <w:t> </w:t>
      </w:r>
      <w:r w:rsidR="000159E2" w:rsidRPr="00A07F29">
        <w:rPr>
          <w:rFonts w:cs="Times New Roman"/>
          <w:color w:val="000000" w:themeColor="text1"/>
          <w:szCs w:val="24"/>
        </w:rPr>
        <w:t>tabula. Ainavisko ceļu un ceļa posmu uzturēšana</w:t>
      </w: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415"/>
        <w:gridCol w:w="1129"/>
        <w:gridCol w:w="2277"/>
        <w:gridCol w:w="3693"/>
      </w:tblGrid>
      <w:tr w:rsidR="000159E2" w:rsidRPr="00A07F29" w14:paraId="6FA3985A" w14:textId="77777777" w:rsidTr="63C42FA1">
        <w:trPr>
          <w:trHeight w:val="699"/>
          <w:jc w:val="center"/>
        </w:trPr>
        <w:tc>
          <w:tcPr>
            <w:tcW w:w="562" w:type="dxa"/>
            <w:vAlign w:val="center"/>
          </w:tcPr>
          <w:p w14:paraId="05A908CD" w14:textId="77777777" w:rsidR="000159E2" w:rsidRPr="00A07F29" w:rsidRDefault="000159E2" w:rsidP="00351E7B">
            <w:pPr>
              <w:keepNext/>
              <w:spacing w:after="0" w:line="240" w:lineRule="auto"/>
              <w:jc w:val="right"/>
              <w:rPr>
                <w:rFonts w:ascii="Times New Roman" w:eastAsia="Calibri" w:hAnsi="Times New Roman" w:cs="Times New Roman"/>
                <w:b/>
              </w:rPr>
            </w:pPr>
            <w:proofErr w:type="spellStart"/>
            <w:r w:rsidRPr="00A07F29">
              <w:rPr>
                <w:rFonts w:ascii="Times New Roman" w:eastAsia="Calibri" w:hAnsi="Times New Roman" w:cs="Times New Roman"/>
                <w:b/>
              </w:rPr>
              <w:t>Nr.p.k</w:t>
            </w:r>
            <w:proofErr w:type="spellEnd"/>
            <w:r w:rsidRPr="00A07F29">
              <w:rPr>
                <w:rFonts w:ascii="Times New Roman" w:eastAsia="Calibri" w:hAnsi="Times New Roman" w:cs="Times New Roman"/>
                <w:b/>
              </w:rPr>
              <w:t>.</w:t>
            </w:r>
          </w:p>
        </w:tc>
        <w:tc>
          <w:tcPr>
            <w:tcW w:w="2415" w:type="dxa"/>
            <w:vAlign w:val="center"/>
          </w:tcPr>
          <w:p w14:paraId="40C34736" w14:textId="77777777" w:rsidR="000159E2" w:rsidRPr="00A07F29" w:rsidRDefault="000159E2" w:rsidP="009B0393">
            <w:pPr>
              <w:keepNext/>
              <w:spacing w:after="0" w:line="240" w:lineRule="auto"/>
              <w:jc w:val="center"/>
              <w:rPr>
                <w:rFonts w:ascii="Times New Roman" w:eastAsia="Calibri" w:hAnsi="Times New Roman" w:cs="Times New Roman"/>
                <w:b/>
              </w:rPr>
            </w:pPr>
            <w:r w:rsidRPr="00A07F29">
              <w:rPr>
                <w:rFonts w:ascii="Times New Roman" w:eastAsia="Calibri" w:hAnsi="Times New Roman" w:cs="Times New Roman"/>
                <w:b/>
              </w:rPr>
              <w:t>Ainaviskais ceļš</w:t>
            </w:r>
          </w:p>
        </w:tc>
        <w:tc>
          <w:tcPr>
            <w:tcW w:w="1129" w:type="dxa"/>
            <w:vAlign w:val="center"/>
          </w:tcPr>
          <w:p w14:paraId="1E8FB8F0" w14:textId="77777777" w:rsidR="000159E2" w:rsidRPr="00A07F29" w:rsidRDefault="000159E2" w:rsidP="009B0393">
            <w:pPr>
              <w:keepNext/>
              <w:spacing w:after="0" w:line="240" w:lineRule="auto"/>
              <w:jc w:val="center"/>
              <w:rPr>
                <w:rFonts w:ascii="Times New Roman" w:eastAsia="Calibri" w:hAnsi="Times New Roman" w:cs="Times New Roman"/>
                <w:b/>
              </w:rPr>
            </w:pPr>
            <w:r w:rsidRPr="00A07F29">
              <w:rPr>
                <w:rFonts w:ascii="Times New Roman" w:eastAsia="Calibri" w:hAnsi="Times New Roman" w:cs="Times New Roman"/>
                <w:b/>
              </w:rPr>
              <w:t>Garums, km</w:t>
            </w:r>
          </w:p>
        </w:tc>
        <w:tc>
          <w:tcPr>
            <w:tcW w:w="2277" w:type="dxa"/>
            <w:vAlign w:val="center"/>
          </w:tcPr>
          <w:p w14:paraId="0AB68C42" w14:textId="77777777" w:rsidR="000159E2" w:rsidRPr="00A07F29" w:rsidRDefault="000159E2" w:rsidP="009B0393">
            <w:pPr>
              <w:keepNext/>
              <w:spacing w:after="0" w:line="240" w:lineRule="auto"/>
              <w:jc w:val="center"/>
              <w:rPr>
                <w:rFonts w:ascii="Times New Roman" w:eastAsia="Calibri" w:hAnsi="Times New Roman" w:cs="Times New Roman"/>
                <w:b/>
              </w:rPr>
            </w:pPr>
            <w:r w:rsidRPr="00A07F29">
              <w:rPr>
                <w:rFonts w:ascii="Times New Roman" w:eastAsia="Calibri" w:hAnsi="Times New Roman" w:cs="Times New Roman"/>
                <w:b/>
              </w:rPr>
              <w:t>Ieteikumi turpmākajai apsaimniekošanai</w:t>
            </w:r>
          </w:p>
        </w:tc>
        <w:tc>
          <w:tcPr>
            <w:tcW w:w="3693" w:type="dxa"/>
            <w:vAlign w:val="center"/>
          </w:tcPr>
          <w:p w14:paraId="182F74E1" w14:textId="77777777" w:rsidR="000159E2" w:rsidRPr="00A07F29" w:rsidRDefault="000159E2" w:rsidP="009B0393">
            <w:pPr>
              <w:keepNext/>
              <w:spacing w:after="0" w:line="240" w:lineRule="auto"/>
              <w:jc w:val="center"/>
              <w:rPr>
                <w:rFonts w:ascii="Times New Roman" w:eastAsia="Calibri" w:hAnsi="Times New Roman" w:cs="Times New Roman"/>
                <w:bCs/>
              </w:rPr>
            </w:pPr>
          </w:p>
        </w:tc>
      </w:tr>
      <w:tr w:rsidR="000159E2" w:rsidRPr="00A07F29" w14:paraId="5DF15767" w14:textId="77777777" w:rsidTr="63C42FA1">
        <w:trPr>
          <w:trHeight w:val="699"/>
          <w:jc w:val="center"/>
        </w:trPr>
        <w:tc>
          <w:tcPr>
            <w:tcW w:w="562" w:type="dxa"/>
            <w:vAlign w:val="center"/>
          </w:tcPr>
          <w:p w14:paraId="7218B2DF" w14:textId="77777777" w:rsidR="000159E2" w:rsidRPr="00A07F29" w:rsidRDefault="000159E2" w:rsidP="00F87589">
            <w:pPr>
              <w:numPr>
                <w:ilvl w:val="0"/>
                <w:numId w:val="41"/>
              </w:numPr>
              <w:spacing w:after="0" w:line="240" w:lineRule="auto"/>
              <w:ind w:left="0"/>
              <w:jc w:val="right"/>
              <w:rPr>
                <w:rFonts w:ascii="Times New Roman" w:eastAsia="Calibri" w:hAnsi="Times New Roman" w:cs="Times New Roman"/>
                <w:b/>
              </w:rPr>
            </w:pPr>
          </w:p>
        </w:tc>
        <w:tc>
          <w:tcPr>
            <w:tcW w:w="2415" w:type="dxa"/>
          </w:tcPr>
          <w:p w14:paraId="389310B8" w14:textId="0DC9631C" w:rsidR="000159E2" w:rsidRPr="00A07F29" w:rsidRDefault="000159E2" w:rsidP="009B0393">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Valsts galvenais autoceļš A6 Rīga-Daugavpils-Krāslava-Baltkrievijas robeža (</w:t>
            </w:r>
            <w:proofErr w:type="spellStart"/>
            <w:r w:rsidRPr="00A07F29">
              <w:rPr>
                <w:rFonts w:ascii="Times New Roman" w:eastAsia="Calibri" w:hAnsi="Times New Roman" w:cs="Times New Roman"/>
              </w:rPr>
              <w:t>Patarnieki</w:t>
            </w:r>
            <w:proofErr w:type="spellEnd"/>
            <w:r w:rsidRPr="00A07F29">
              <w:rPr>
                <w:rFonts w:ascii="Times New Roman" w:eastAsia="Calibri" w:hAnsi="Times New Roman" w:cs="Times New Roman"/>
              </w:rPr>
              <w:t xml:space="preserve">). Latvijas vizītkarte un AAA “Augšdaugava” </w:t>
            </w:r>
            <w:r w:rsidR="00D8148F">
              <w:rPr>
                <w:rFonts w:ascii="Times New Roman" w:eastAsia="Calibri" w:hAnsi="Times New Roman" w:cs="Times New Roman"/>
              </w:rPr>
              <w:t>Z</w:t>
            </w:r>
            <w:r w:rsidRPr="00A07F29">
              <w:rPr>
                <w:rFonts w:ascii="Times New Roman" w:eastAsia="Calibri" w:hAnsi="Times New Roman" w:cs="Times New Roman"/>
              </w:rPr>
              <w:t xml:space="preserve"> robeža </w:t>
            </w:r>
          </w:p>
        </w:tc>
        <w:tc>
          <w:tcPr>
            <w:tcW w:w="1129" w:type="dxa"/>
          </w:tcPr>
          <w:p w14:paraId="7CF5387C" w14:textId="77777777" w:rsidR="000159E2" w:rsidRPr="00A07F29" w:rsidRDefault="000159E2" w:rsidP="009B0393">
            <w:pPr>
              <w:spacing w:after="0" w:line="240" w:lineRule="auto"/>
              <w:jc w:val="both"/>
              <w:rPr>
                <w:rFonts w:ascii="Times New Roman" w:eastAsia="Calibri" w:hAnsi="Times New Roman" w:cs="Times New Roman"/>
                <w:bCs/>
              </w:rPr>
            </w:pPr>
            <w:r w:rsidRPr="00A07F29">
              <w:rPr>
                <w:rFonts w:ascii="Times New Roman" w:eastAsia="Calibri" w:hAnsi="Times New Roman" w:cs="Times New Roman"/>
                <w:bCs/>
              </w:rPr>
              <w:t>65,36</w:t>
            </w:r>
          </w:p>
        </w:tc>
        <w:tc>
          <w:tcPr>
            <w:tcW w:w="2277" w:type="dxa"/>
          </w:tcPr>
          <w:p w14:paraId="6684DE7C" w14:textId="2F78C73B" w:rsidR="000159E2" w:rsidRPr="00A07F29" w:rsidRDefault="00351E7B" w:rsidP="00732CC9">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Ceļa n</w:t>
            </w:r>
            <w:r w:rsidR="000159E2" w:rsidRPr="00A07F29">
              <w:rPr>
                <w:rFonts w:ascii="Times New Roman" w:eastAsia="Calibri" w:hAnsi="Times New Roman" w:cs="Times New Roman"/>
              </w:rPr>
              <w:t>odalījuma joslas</w:t>
            </w:r>
            <w:r w:rsidR="00732CC9" w:rsidRPr="00A07F29">
              <w:rPr>
                <w:rFonts w:ascii="Times New Roman" w:eastAsia="Calibri" w:hAnsi="Times New Roman" w:cs="Times New Roman"/>
              </w:rPr>
              <w:t xml:space="preserve"> regulāra kopšana. Veicot ceļa pārbūvi</w:t>
            </w:r>
            <w:r w:rsidR="000159E2" w:rsidRPr="00A07F29">
              <w:rPr>
                <w:rFonts w:ascii="Times New Roman" w:eastAsia="Calibri" w:hAnsi="Times New Roman" w:cs="Times New Roman"/>
              </w:rPr>
              <w:t>, nav pieļaujama reljefa pārveidošana. Nobrauktuvju un stāvvietu kopšana.</w:t>
            </w:r>
          </w:p>
        </w:tc>
        <w:tc>
          <w:tcPr>
            <w:tcW w:w="3693" w:type="dxa"/>
          </w:tcPr>
          <w:p w14:paraId="12583B8D" w14:textId="77777777" w:rsidR="000159E2" w:rsidRPr="00A07F29" w:rsidRDefault="000159E2" w:rsidP="009B0393">
            <w:pPr>
              <w:spacing w:after="0" w:line="240" w:lineRule="auto"/>
              <w:jc w:val="both"/>
              <w:rPr>
                <w:rFonts w:ascii="Times New Roman" w:eastAsia="Calibri" w:hAnsi="Times New Roman" w:cs="Times New Roman"/>
                <w:b/>
              </w:rPr>
            </w:pPr>
            <w:r w:rsidRPr="00A07F29">
              <w:rPr>
                <w:noProof/>
                <w:lang w:eastAsia="lv-LV"/>
              </w:rPr>
              <w:drawing>
                <wp:inline distT="0" distB="0" distL="0" distR="0" wp14:anchorId="7DF2D401" wp14:editId="0DA4BC21">
                  <wp:extent cx="2207895" cy="1469771"/>
                  <wp:effectExtent l="0" t="0" r="1905" b="0"/>
                  <wp:docPr id="9"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pic:nvPicPr>
                        <pic:blipFill>
                          <a:blip r:embed="rId184">
                            <a:extLst>
                              <a:ext uri="{28A0092B-C50C-407E-A947-70E740481C1C}">
                                <a14:useLocalDpi xmlns:a14="http://schemas.microsoft.com/office/drawing/2010/main"/>
                              </a:ext>
                            </a:extLst>
                          </a:blip>
                          <a:stretch>
                            <a:fillRect/>
                          </a:stretch>
                        </pic:blipFill>
                        <pic:spPr>
                          <a:xfrm>
                            <a:off x="0" y="0"/>
                            <a:ext cx="2207895" cy="1469771"/>
                          </a:xfrm>
                          <a:prstGeom prst="rect">
                            <a:avLst/>
                          </a:prstGeom>
                        </pic:spPr>
                      </pic:pic>
                    </a:graphicData>
                  </a:graphic>
                </wp:inline>
              </w:drawing>
            </w:r>
          </w:p>
        </w:tc>
      </w:tr>
      <w:tr w:rsidR="000159E2" w:rsidRPr="00A07F29" w14:paraId="2526F5A6" w14:textId="77777777" w:rsidTr="63C42FA1">
        <w:trPr>
          <w:trHeight w:val="699"/>
          <w:jc w:val="center"/>
        </w:trPr>
        <w:tc>
          <w:tcPr>
            <w:tcW w:w="562" w:type="dxa"/>
            <w:vAlign w:val="center"/>
          </w:tcPr>
          <w:p w14:paraId="0EB2F9B1" w14:textId="77777777" w:rsidR="000159E2" w:rsidRPr="00A07F29" w:rsidRDefault="000159E2" w:rsidP="00F87589">
            <w:pPr>
              <w:numPr>
                <w:ilvl w:val="0"/>
                <w:numId w:val="41"/>
              </w:numPr>
              <w:spacing w:after="0" w:line="240" w:lineRule="auto"/>
              <w:ind w:left="0"/>
              <w:jc w:val="right"/>
              <w:rPr>
                <w:rFonts w:ascii="Times New Roman" w:eastAsia="Calibri" w:hAnsi="Times New Roman" w:cs="Times New Roman"/>
                <w:b/>
              </w:rPr>
            </w:pPr>
          </w:p>
        </w:tc>
        <w:tc>
          <w:tcPr>
            <w:tcW w:w="2415" w:type="dxa"/>
          </w:tcPr>
          <w:p w14:paraId="0321A4AA" w14:textId="77777777" w:rsidR="000159E2" w:rsidRPr="00A07F29" w:rsidRDefault="000159E2" w:rsidP="00351E7B">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 xml:space="preserve">Pašvaldības ceļš </w:t>
            </w:r>
            <w:proofErr w:type="spellStart"/>
            <w:r w:rsidRPr="00A07F29">
              <w:rPr>
                <w:rFonts w:ascii="Times New Roman" w:eastAsia="Calibri" w:hAnsi="Times New Roman" w:cs="Times New Roman"/>
              </w:rPr>
              <w:t>Juzefova-Židina</w:t>
            </w:r>
            <w:proofErr w:type="spellEnd"/>
            <w:r w:rsidRPr="00A07F29">
              <w:rPr>
                <w:rFonts w:ascii="Times New Roman" w:eastAsia="Calibri" w:hAnsi="Times New Roman" w:cs="Times New Roman"/>
              </w:rPr>
              <w:t>. Ceļš nodrošina piekļuvi daudziem kultūrvēsturiskiem objektiem.</w:t>
            </w:r>
          </w:p>
        </w:tc>
        <w:tc>
          <w:tcPr>
            <w:tcW w:w="1129" w:type="dxa"/>
          </w:tcPr>
          <w:p w14:paraId="3CB6CB6D" w14:textId="77777777" w:rsidR="000159E2" w:rsidRPr="00A07F29" w:rsidRDefault="000159E2" w:rsidP="00351E7B">
            <w:pPr>
              <w:spacing w:after="0" w:line="240" w:lineRule="auto"/>
              <w:jc w:val="both"/>
              <w:rPr>
                <w:rFonts w:ascii="Times New Roman" w:eastAsia="Calibri" w:hAnsi="Times New Roman" w:cs="Times New Roman"/>
                <w:bCs/>
              </w:rPr>
            </w:pPr>
            <w:r w:rsidRPr="00A07F29">
              <w:rPr>
                <w:rFonts w:ascii="Times New Roman" w:eastAsia="Calibri" w:hAnsi="Times New Roman" w:cs="Times New Roman"/>
                <w:bCs/>
              </w:rPr>
              <w:t>13,62</w:t>
            </w:r>
          </w:p>
        </w:tc>
        <w:tc>
          <w:tcPr>
            <w:tcW w:w="2277" w:type="dxa"/>
          </w:tcPr>
          <w:p w14:paraId="4BA6DAE2" w14:textId="50BA0667" w:rsidR="000159E2" w:rsidRPr="00A07F29" w:rsidRDefault="000159E2" w:rsidP="00732CC9">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Ceļmalu regulāra appļaušana u</w:t>
            </w:r>
            <w:r w:rsidR="00732CC9" w:rsidRPr="00A07F29">
              <w:rPr>
                <w:rFonts w:ascii="Times New Roman" w:eastAsia="Calibri" w:hAnsi="Times New Roman" w:cs="Times New Roman"/>
              </w:rPr>
              <w:t>n krūmāju ciršana. Veicot ceļa pārbūvi</w:t>
            </w:r>
            <w:r w:rsidRPr="00A07F29">
              <w:rPr>
                <w:rFonts w:ascii="Times New Roman" w:eastAsia="Calibri" w:hAnsi="Times New Roman" w:cs="Times New Roman"/>
              </w:rPr>
              <w:t>, nav pieļaujama reljefa pārveidošana.</w:t>
            </w:r>
          </w:p>
        </w:tc>
        <w:tc>
          <w:tcPr>
            <w:tcW w:w="3693" w:type="dxa"/>
          </w:tcPr>
          <w:p w14:paraId="5B27E91D" w14:textId="77777777" w:rsidR="000159E2" w:rsidRPr="00A07F29" w:rsidRDefault="000159E2" w:rsidP="00351E7B">
            <w:pPr>
              <w:spacing w:after="0" w:line="240" w:lineRule="auto"/>
              <w:jc w:val="both"/>
              <w:rPr>
                <w:rFonts w:ascii="Times New Roman" w:eastAsia="Calibri" w:hAnsi="Times New Roman" w:cs="Times New Roman"/>
              </w:rPr>
            </w:pPr>
            <w:r w:rsidRPr="00A07F29">
              <w:rPr>
                <w:noProof/>
                <w:lang w:eastAsia="lv-LV"/>
              </w:rPr>
              <w:drawing>
                <wp:inline distT="0" distB="0" distL="0" distR="0" wp14:anchorId="37DF5841" wp14:editId="0F185BF2">
                  <wp:extent cx="2207895" cy="1470025"/>
                  <wp:effectExtent l="0" t="0" r="1905" b="0"/>
                  <wp:docPr id="11"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pic:nvPicPr>
                        <pic:blipFill>
                          <a:blip r:embed="rId185">
                            <a:extLst>
                              <a:ext uri="{28A0092B-C50C-407E-A947-70E740481C1C}">
                                <a14:useLocalDpi xmlns:a14="http://schemas.microsoft.com/office/drawing/2010/main"/>
                              </a:ext>
                            </a:extLst>
                          </a:blip>
                          <a:stretch>
                            <a:fillRect/>
                          </a:stretch>
                        </pic:blipFill>
                        <pic:spPr>
                          <a:xfrm>
                            <a:off x="0" y="0"/>
                            <a:ext cx="2207895" cy="1470025"/>
                          </a:xfrm>
                          <a:prstGeom prst="rect">
                            <a:avLst/>
                          </a:prstGeom>
                        </pic:spPr>
                      </pic:pic>
                    </a:graphicData>
                  </a:graphic>
                </wp:inline>
              </w:drawing>
            </w:r>
          </w:p>
        </w:tc>
      </w:tr>
      <w:tr w:rsidR="000159E2" w:rsidRPr="00A07F29" w14:paraId="7D3B4F05" w14:textId="77777777" w:rsidTr="63C42FA1">
        <w:trPr>
          <w:trHeight w:val="699"/>
          <w:jc w:val="center"/>
        </w:trPr>
        <w:tc>
          <w:tcPr>
            <w:tcW w:w="562" w:type="dxa"/>
            <w:vAlign w:val="center"/>
          </w:tcPr>
          <w:p w14:paraId="62AA9B4C" w14:textId="77777777" w:rsidR="000159E2" w:rsidRPr="00A07F29" w:rsidRDefault="000159E2" w:rsidP="00F87589">
            <w:pPr>
              <w:numPr>
                <w:ilvl w:val="0"/>
                <w:numId w:val="41"/>
              </w:numPr>
              <w:spacing w:after="0" w:line="240" w:lineRule="auto"/>
              <w:ind w:left="0"/>
              <w:jc w:val="right"/>
              <w:rPr>
                <w:rFonts w:ascii="Times New Roman" w:eastAsia="Calibri" w:hAnsi="Times New Roman" w:cs="Times New Roman"/>
                <w:b/>
              </w:rPr>
            </w:pPr>
          </w:p>
        </w:tc>
        <w:tc>
          <w:tcPr>
            <w:tcW w:w="2415" w:type="dxa"/>
          </w:tcPr>
          <w:p w14:paraId="4614A314" w14:textId="59AAE6E7" w:rsidR="000159E2" w:rsidRPr="00A07F29" w:rsidRDefault="000159E2" w:rsidP="00351E7B">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 xml:space="preserve">Pašvaldības ceļš </w:t>
            </w:r>
            <w:proofErr w:type="spellStart"/>
            <w:r w:rsidRPr="00A07F29">
              <w:rPr>
                <w:rFonts w:ascii="Times New Roman" w:eastAsia="Calibri" w:hAnsi="Times New Roman" w:cs="Times New Roman"/>
              </w:rPr>
              <w:t>Rudāni</w:t>
            </w:r>
            <w:proofErr w:type="spellEnd"/>
            <w:r w:rsidRPr="00A07F29">
              <w:rPr>
                <w:rFonts w:ascii="Times New Roman" w:eastAsia="Calibri" w:hAnsi="Times New Roman" w:cs="Times New Roman"/>
              </w:rPr>
              <w:t xml:space="preserve"> -</w:t>
            </w:r>
            <w:proofErr w:type="spellStart"/>
            <w:r w:rsidRPr="00A07F29">
              <w:rPr>
                <w:rFonts w:ascii="Times New Roman" w:eastAsia="Calibri" w:hAnsi="Times New Roman" w:cs="Times New Roman"/>
              </w:rPr>
              <w:t>Maskaļāni</w:t>
            </w:r>
            <w:proofErr w:type="spellEnd"/>
            <w:r w:rsidRPr="00A07F29">
              <w:rPr>
                <w:rFonts w:ascii="Times New Roman" w:eastAsia="Calibri" w:hAnsi="Times New Roman" w:cs="Times New Roman"/>
              </w:rPr>
              <w:t xml:space="preserve"> iet gar </w:t>
            </w:r>
            <w:proofErr w:type="spellStart"/>
            <w:r w:rsidRPr="00A07F29">
              <w:rPr>
                <w:rFonts w:ascii="Times New Roman" w:eastAsia="Calibri" w:hAnsi="Times New Roman" w:cs="Times New Roman"/>
              </w:rPr>
              <w:t>Rozališķu</w:t>
            </w:r>
            <w:proofErr w:type="spellEnd"/>
            <w:r w:rsidRPr="00A07F29">
              <w:rPr>
                <w:rFonts w:ascii="Times New Roman" w:eastAsia="Calibri" w:hAnsi="Times New Roman" w:cs="Times New Roman"/>
              </w:rPr>
              <w:t xml:space="preserve"> loku</w:t>
            </w:r>
            <w:r w:rsidR="00936D64">
              <w:rPr>
                <w:rFonts w:ascii="Times New Roman" w:eastAsia="Calibri" w:hAnsi="Times New Roman" w:cs="Times New Roman"/>
              </w:rPr>
              <w:t>.</w:t>
            </w:r>
          </w:p>
        </w:tc>
        <w:tc>
          <w:tcPr>
            <w:tcW w:w="1129" w:type="dxa"/>
          </w:tcPr>
          <w:p w14:paraId="20C10265" w14:textId="77777777" w:rsidR="000159E2" w:rsidRPr="00A07F29" w:rsidRDefault="000159E2" w:rsidP="00351E7B">
            <w:pPr>
              <w:spacing w:after="0" w:line="240" w:lineRule="auto"/>
              <w:jc w:val="both"/>
              <w:rPr>
                <w:rFonts w:ascii="Times New Roman" w:eastAsia="Calibri" w:hAnsi="Times New Roman" w:cs="Times New Roman"/>
                <w:bCs/>
              </w:rPr>
            </w:pPr>
            <w:r w:rsidRPr="00A07F29">
              <w:rPr>
                <w:rFonts w:ascii="Times New Roman" w:eastAsia="Calibri" w:hAnsi="Times New Roman" w:cs="Times New Roman"/>
                <w:bCs/>
              </w:rPr>
              <w:t>5,54</w:t>
            </w:r>
          </w:p>
        </w:tc>
        <w:tc>
          <w:tcPr>
            <w:tcW w:w="2277" w:type="dxa"/>
          </w:tcPr>
          <w:p w14:paraId="2785A526" w14:textId="7FD3D457" w:rsidR="000159E2" w:rsidRPr="00A07F29" w:rsidRDefault="000159E2" w:rsidP="00732CC9">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Ceļmalu regulāra appļaušana u</w:t>
            </w:r>
            <w:r w:rsidR="00732CC9" w:rsidRPr="00A07F29">
              <w:rPr>
                <w:rFonts w:ascii="Times New Roman" w:eastAsia="Calibri" w:hAnsi="Times New Roman" w:cs="Times New Roman"/>
              </w:rPr>
              <w:t>n krūmāju ciršana. Veicot ceļa pārbūvi</w:t>
            </w:r>
            <w:r w:rsidRPr="00A07F29">
              <w:rPr>
                <w:rFonts w:ascii="Times New Roman" w:eastAsia="Calibri" w:hAnsi="Times New Roman" w:cs="Times New Roman"/>
              </w:rPr>
              <w:t>, nav pieļaujama reljefa pārveidošana.</w:t>
            </w:r>
          </w:p>
        </w:tc>
        <w:tc>
          <w:tcPr>
            <w:tcW w:w="3693" w:type="dxa"/>
          </w:tcPr>
          <w:p w14:paraId="4D1D6F15" w14:textId="77777777" w:rsidR="000159E2" w:rsidRPr="00A07F29" w:rsidRDefault="000159E2" w:rsidP="00351E7B">
            <w:pPr>
              <w:spacing w:after="0" w:line="240" w:lineRule="auto"/>
              <w:jc w:val="both"/>
              <w:rPr>
                <w:rFonts w:ascii="Times New Roman" w:eastAsia="Calibri" w:hAnsi="Times New Roman" w:cs="Times New Roman"/>
              </w:rPr>
            </w:pPr>
          </w:p>
        </w:tc>
      </w:tr>
      <w:tr w:rsidR="000159E2" w:rsidRPr="00A07F29" w14:paraId="743D0EDB" w14:textId="77777777" w:rsidTr="63C42FA1">
        <w:trPr>
          <w:trHeight w:val="699"/>
          <w:jc w:val="center"/>
        </w:trPr>
        <w:tc>
          <w:tcPr>
            <w:tcW w:w="562" w:type="dxa"/>
            <w:vAlign w:val="center"/>
          </w:tcPr>
          <w:p w14:paraId="67535D36" w14:textId="77777777" w:rsidR="000159E2" w:rsidRPr="00A07F29" w:rsidRDefault="000159E2" w:rsidP="00F87589">
            <w:pPr>
              <w:numPr>
                <w:ilvl w:val="0"/>
                <w:numId w:val="41"/>
              </w:numPr>
              <w:spacing w:after="0" w:line="240" w:lineRule="auto"/>
              <w:ind w:left="0"/>
              <w:jc w:val="right"/>
              <w:rPr>
                <w:rFonts w:ascii="Times New Roman" w:eastAsia="Calibri" w:hAnsi="Times New Roman" w:cs="Times New Roman"/>
                <w:b/>
              </w:rPr>
            </w:pPr>
          </w:p>
        </w:tc>
        <w:tc>
          <w:tcPr>
            <w:tcW w:w="2415" w:type="dxa"/>
          </w:tcPr>
          <w:p w14:paraId="042BDE20" w14:textId="52875E4D" w:rsidR="000159E2" w:rsidRPr="00A07F29" w:rsidRDefault="000159E2" w:rsidP="00351E7B">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Valsts vietējais autoceļš V635</w:t>
            </w:r>
            <w:r w:rsidR="00C320BB">
              <w:rPr>
                <w:rFonts w:ascii="Times New Roman" w:eastAsia="Calibri" w:hAnsi="Times New Roman" w:cs="Times New Roman"/>
              </w:rPr>
              <w:t xml:space="preserve"> </w:t>
            </w:r>
            <w:proofErr w:type="spellStart"/>
            <w:r w:rsidRPr="00A07F29">
              <w:rPr>
                <w:rFonts w:ascii="Times New Roman" w:eastAsia="Calibri" w:hAnsi="Times New Roman" w:cs="Times New Roman"/>
              </w:rPr>
              <w:t>Borovka</w:t>
            </w:r>
            <w:proofErr w:type="spellEnd"/>
            <w:r w:rsidRPr="00A07F29">
              <w:rPr>
                <w:rFonts w:ascii="Times New Roman" w:eastAsia="Calibri" w:hAnsi="Times New Roman" w:cs="Times New Roman"/>
              </w:rPr>
              <w:t>-Tartaks. Ceļš uz Lieliem Muļķiem un Tartaku ezeru.</w:t>
            </w:r>
          </w:p>
        </w:tc>
        <w:tc>
          <w:tcPr>
            <w:tcW w:w="1129" w:type="dxa"/>
          </w:tcPr>
          <w:p w14:paraId="21F52E9E" w14:textId="77777777" w:rsidR="000159E2" w:rsidRPr="00A07F29" w:rsidRDefault="000159E2" w:rsidP="00351E7B">
            <w:pPr>
              <w:spacing w:after="0" w:line="240" w:lineRule="auto"/>
              <w:jc w:val="both"/>
              <w:rPr>
                <w:rFonts w:ascii="Times New Roman" w:eastAsia="Calibri" w:hAnsi="Times New Roman" w:cs="Times New Roman"/>
                <w:bCs/>
              </w:rPr>
            </w:pPr>
            <w:r w:rsidRPr="00A07F29">
              <w:rPr>
                <w:rFonts w:ascii="Times New Roman" w:eastAsia="Calibri" w:hAnsi="Times New Roman" w:cs="Times New Roman"/>
                <w:bCs/>
              </w:rPr>
              <w:t>4,93</w:t>
            </w:r>
          </w:p>
        </w:tc>
        <w:tc>
          <w:tcPr>
            <w:tcW w:w="2277" w:type="dxa"/>
          </w:tcPr>
          <w:p w14:paraId="560A37B1" w14:textId="43DB87A0" w:rsidR="000159E2" w:rsidRPr="00A07F29" w:rsidRDefault="000159E2" w:rsidP="00732CC9">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 xml:space="preserve">Ceļmalu pļaušana. Neveidot kailcirti </w:t>
            </w:r>
            <w:r w:rsidR="00351E7B" w:rsidRPr="00A07F29">
              <w:rPr>
                <w:rFonts w:ascii="Times New Roman" w:eastAsia="Calibri" w:hAnsi="Times New Roman" w:cs="Times New Roman"/>
              </w:rPr>
              <w:t xml:space="preserve">gar </w:t>
            </w:r>
            <w:r w:rsidRPr="00A07F29">
              <w:rPr>
                <w:rFonts w:ascii="Times New Roman" w:eastAsia="Calibri" w:hAnsi="Times New Roman" w:cs="Times New Roman"/>
              </w:rPr>
              <w:t xml:space="preserve">ceļa </w:t>
            </w:r>
            <w:r w:rsidR="00351E7B" w:rsidRPr="00A07F29">
              <w:rPr>
                <w:rFonts w:ascii="Times New Roman" w:eastAsia="Calibri" w:hAnsi="Times New Roman" w:cs="Times New Roman"/>
              </w:rPr>
              <w:t xml:space="preserve">posmu </w:t>
            </w:r>
            <w:r w:rsidRPr="00A07F29">
              <w:rPr>
                <w:rFonts w:ascii="Times New Roman" w:eastAsia="Calibri" w:hAnsi="Times New Roman" w:cs="Times New Roman"/>
              </w:rPr>
              <w:t xml:space="preserve">meža masīvā. Veicot ceļa </w:t>
            </w:r>
            <w:r w:rsidR="00732CC9" w:rsidRPr="00A07F29">
              <w:rPr>
                <w:rFonts w:ascii="Times New Roman" w:eastAsia="Calibri" w:hAnsi="Times New Roman" w:cs="Times New Roman"/>
              </w:rPr>
              <w:t>pārbūvi</w:t>
            </w:r>
            <w:r w:rsidRPr="00A07F29">
              <w:rPr>
                <w:rFonts w:ascii="Times New Roman" w:eastAsia="Calibri" w:hAnsi="Times New Roman" w:cs="Times New Roman"/>
              </w:rPr>
              <w:t>, nav pieļaujama reljefa pārveidošana.</w:t>
            </w:r>
          </w:p>
        </w:tc>
        <w:tc>
          <w:tcPr>
            <w:tcW w:w="3693" w:type="dxa"/>
          </w:tcPr>
          <w:p w14:paraId="61076867" w14:textId="77777777" w:rsidR="000159E2" w:rsidRPr="00A07F29" w:rsidRDefault="000159E2" w:rsidP="00351E7B">
            <w:pPr>
              <w:spacing w:after="0" w:line="240" w:lineRule="auto"/>
              <w:jc w:val="both"/>
              <w:rPr>
                <w:rFonts w:ascii="Times New Roman" w:eastAsia="Calibri" w:hAnsi="Times New Roman" w:cs="Times New Roman"/>
              </w:rPr>
            </w:pPr>
          </w:p>
        </w:tc>
      </w:tr>
      <w:tr w:rsidR="000159E2" w:rsidRPr="00A07F29" w14:paraId="5DC3017C" w14:textId="77777777" w:rsidTr="63C42FA1">
        <w:trPr>
          <w:trHeight w:val="699"/>
          <w:jc w:val="center"/>
        </w:trPr>
        <w:tc>
          <w:tcPr>
            <w:tcW w:w="562" w:type="dxa"/>
            <w:vAlign w:val="center"/>
          </w:tcPr>
          <w:p w14:paraId="656FE6C9" w14:textId="77777777" w:rsidR="000159E2" w:rsidRPr="00A07F29" w:rsidRDefault="000159E2" w:rsidP="00F87589">
            <w:pPr>
              <w:numPr>
                <w:ilvl w:val="0"/>
                <w:numId w:val="41"/>
              </w:numPr>
              <w:spacing w:after="0" w:line="240" w:lineRule="auto"/>
              <w:ind w:left="0"/>
              <w:jc w:val="right"/>
              <w:rPr>
                <w:rFonts w:ascii="Times New Roman" w:eastAsia="Calibri" w:hAnsi="Times New Roman" w:cs="Times New Roman"/>
                <w:b/>
              </w:rPr>
            </w:pPr>
          </w:p>
        </w:tc>
        <w:tc>
          <w:tcPr>
            <w:tcW w:w="2415" w:type="dxa"/>
          </w:tcPr>
          <w:p w14:paraId="10F59759" w14:textId="2E39883D" w:rsidR="000159E2" w:rsidRPr="00A07F29" w:rsidRDefault="000159E2" w:rsidP="00351E7B">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Pašvaldības ceļš uz “Kurmīšu” tējas ražotni un laukiem</w:t>
            </w:r>
            <w:r w:rsidR="00C320BB">
              <w:rPr>
                <w:rFonts w:ascii="Times New Roman" w:eastAsia="Calibri" w:hAnsi="Times New Roman" w:cs="Times New Roman"/>
              </w:rPr>
              <w:t>.</w:t>
            </w:r>
          </w:p>
        </w:tc>
        <w:tc>
          <w:tcPr>
            <w:tcW w:w="1129" w:type="dxa"/>
          </w:tcPr>
          <w:p w14:paraId="38BBDB25" w14:textId="77777777" w:rsidR="000159E2" w:rsidRPr="00A07F29" w:rsidRDefault="000159E2" w:rsidP="00351E7B">
            <w:pPr>
              <w:spacing w:after="0" w:line="240" w:lineRule="auto"/>
              <w:jc w:val="both"/>
              <w:rPr>
                <w:rFonts w:ascii="Times New Roman" w:eastAsia="Calibri" w:hAnsi="Times New Roman" w:cs="Times New Roman"/>
                <w:bCs/>
              </w:rPr>
            </w:pPr>
            <w:r w:rsidRPr="00A07F29">
              <w:rPr>
                <w:rFonts w:ascii="Times New Roman" w:eastAsia="Calibri" w:hAnsi="Times New Roman" w:cs="Times New Roman"/>
                <w:bCs/>
              </w:rPr>
              <w:t>1,1</w:t>
            </w:r>
          </w:p>
        </w:tc>
        <w:tc>
          <w:tcPr>
            <w:tcW w:w="2277" w:type="dxa"/>
          </w:tcPr>
          <w:p w14:paraId="19D2DB8F" w14:textId="700AB083" w:rsidR="000159E2" w:rsidRPr="00A07F29" w:rsidRDefault="000159E2" w:rsidP="00732CC9">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 xml:space="preserve">Ceļmalu pļaušana, attīrīšana no krūmājiem. Lauksaimniecības zemju saglabāšana. Veicot ceļa </w:t>
            </w:r>
            <w:r w:rsidR="00732CC9" w:rsidRPr="00A07F29">
              <w:rPr>
                <w:rFonts w:ascii="Times New Roman" w:eastAsia="Calibri" w:hAnsi="Times New Roman" w:cs="Times New Roman"/>
              </w:rPr>
              <w:t>pārbūvi</w:t>
            </w:r>
            <w:r w:rsidRPr="00A07F29">
              <w:rPr>
                <w:rFonts w:ascii="Times New Roman" w:eastAsia="Calibri" w:hAnsi="Times New Roman" w:cs="Times New Roman"/>
              </w:rPr>
              <w:t>, nav pieļaujama reljefa pārveidošana.</w:t>
            </w:r>
          </w:p>
        </w:tc>
        <w:tc>
          <w:tcPr>
            <w:tcW w:w="3693" w:type="dxa"/>
          </w:tcPr>
          <w:p w14:paraId="493DAA81" w14:textId="77777777" w:rsidR="000159E2" w:rsidRPr="00A07F29" w:rsidRDefault="000159E2" w:rsidP="00351E7B">
            <w:pPr>
              <w:spacing w:after="0" w:line="240" w:lineRule="auto"/>
              <w:jc w:val="both"/>
              <w:rPr>
                <w:rFonts w:ascii="Times New Roman" w:eastAsia="Calibri" w:hAnsi="Times New Roman" w:cs="Times New Roman"/>
              </w:rPr>
            </w:pPr>
            <w:r w:rsidRPr="00A07F29">
              <w:rPr>
                <w:noProof/>
                <w:lang w:eastAsia="lv-LV"/>
              </w:rPr>
              <w:drawing>
                <wp:inline distT="0" distB="0" distL="0" distR="0" wp14:anchorId="333CF2EA" wp14:editId="0E846C5B">
                  <wp:extent cx="2207895" cy="1470025"/>
                  <wp:effectExtent l="0" t="0" r="1905" b="0"/>
                  <wp:docPr id="12"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pic:nvPicPr>
                        <pic:blipFill>
                          <a:blip r:embed="rId186">
                            <a:extLst>
                              <a:ext uri="{28A0092B-C50C-407E-A947-70E740481C1C}">
                                <a14:useLocalDpi xmlns:a14="http://schemas.microsoft.com/office/drawing/2010/main"/>
                              </a:ext>
                            </a:extLst>
                          </a:blip>
                          <a:stretch>
                            <a:fillRect/>
                          </a:stretch>
                        </pic:blipFill>
                        <pic:spPr>
                          <a:xfrm>
                            <a:off x="0" y="0"/>
                            <a:ext cx="2207895" cy="1470025"/>
                          </a:xfrm>
                          <a:prstGeom prst="rect">
                            <a:avLst/>
                          </a:prstGeom>
                        </pic:spPr>
                      </pic:pic>
                    </a:graphicData>
                  </a:graphic>
                </wp:inline>
              </w:drawing>
            </w:r>
          </w:p>
        </w:tc>
      </w:tr>
      <w:tr w:rsidR="000159E2" w:rsidRPr="00A07F29" w14:paraId="671AEC6C" w14:textId="77777777" w:rsidTr="63C42FA1">
        <w:trPr>
          <w:trHeight w:val="699"/>
          <w:jc w:val="center"/>
        </w:trPr>
        <w:tc>
          <w:tcPr>
            <w:tcW w:w="562" w:type="dxa"/>
            <w:vAlign w:val="center"/>
          </w:tcPr>
          <w:p w14:paraId="1D1CDE19" w14:textId="77777777" w:rsidR="000159E2" w:rsidRPr="00A07F29" w:rsidRDefault="000159E2" w:rsidP="00F87589">
            <w:pPr>
              <w:numPr>
                <w:ilvl w:val="0"/>
                <w:numId w:val="41"/>
              </w:numPr>
              <w:spacing w:after="0" w:line="240" w:lineRule="auto"/>
              <w:ind w:left="0"/>
              <w:jc w:val="right"/>
              <w:rPr>
                <w:rFonts w:ascii="Times New Roman" w:eastAsia="Calibri" w:hAnsi="Times New Roman" w:cs="Times New Roman"/>
                <w:b/>
              </w:rPr>
            </w:pPr>
          </w:p>
        </w:tc>
        <w:tc>
          <w:tcPr>
            <w:tcW w:w="2415" w:type="dxa"/>
          </w:tcPr>
          <w:p w14:paraId="778115B5" w14:textId="5A0202D3" w:rsidR="000159E2" w:rsidRPr="00A07F29" w:rsidRDefault="000159E2" w:rsidP="00351E7B">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 xml:space="preserve">Pašvaldības ceļš no Krāslavas gar </w:t>
            </w:r>
            <w:r w:rsidR="0096174B">
              <w:rPr>
                <w:rFonts w:ascii="Times New Roman" w:eastAsia="Calibri" w:hAnsi="Times New Roman" w:cs="Times New Roman"/>
              </w:rPr>
              <w:t>“</w:t>
            </w:r>
            <w:r w:rsidRPr="00A07F29">
              <w:rPr>
                <w:rFonts w:ascii="Times New Roman" w:eastAsia="Calibri" w:hAnsi="Times New Roman" w:cs="Times New Roman"/>
              </w:rPr>
              <w:t>Kurmīšu</w:t>
            </w:r>
            <w:r w:rsidR="0096174B">
              <w:rPr>
                <w:rFonts w:ascii="Times New Roman" w:eastAsia="Calibri" w:hAnsi="Times New Roman" w:cs="Times New Roman"/>
              </w:rPr>
              <w:t>”</w:t>
            </w:r>
            <w:r w:rsidRPr="00A07F29">
              <w:rPr>
                <w:rFonts w:ascii="Times New Roman" w:eastAsia="Calibri" w:hAnsi="Times New Roman" w:cs="Times New Roman"/>
              </w:rPr>
              <w:t xml:space="preserve"> tējas laukiem uz </w:t>
            </w:r>
            <w:proofErr w:type="spellStart"/>
            <w:r w:rsidRPr="00A07F29">
              <w:rPr>
                <w:rFonts w:ascii="Times New Roman" w:eastAsia="Calibri" w:hAnsi="Times New Roman" w:cs="Times New Roman"/>
              </w:rPr>
              <w:t>Užinkalnu</w:t>
            </w:r>
            <w:proofErr w:type="spellEnd"/>
            <w:r w:rsidR="0096174B">
              <w:rPr>
                <w:rFonts w:ascii="Times New Roman" w:eastAsia="Calibri" w:hAnsi="Times New Roman" w:cs="Times New Roman"/>
              </w:rPr>
              <w:t>.</w:t>
            </w:r>
            <w:r w:rsidRPr="00A07F29">
              <w:rPr>
                <w:rFonts w:ascii="Times New Roman" w:eastAsia="Calibri" w:hAnsi="Times New Roman" w:cs="Times New Roman"/>
              </w:rPr>
              <w:t xml:space="preserve"> </w:t>
            </w:r>
          </w:p>
        </w:tc>
        <w:tc>
          <w:tcPr>
            <w:tcW w:w="1129" w:type="dxa"/>
          </w:tcPr>
          <w:p w14:paraId="2E2ABC89" w14:textId="77777777" w:rsidR="000159E2" w:rsidRPr="00A07F29" w:rsidRDefault="000159E2" w:rsidP="00351E7B">
            <w:pPr>
              <w:spacing w:after="0" w:line="240" w:lineRule="auto"/>
              <w:jc w:val="both"/>
              <w:rPr>
                <w:rFonts w:ascii="Times New Roman" w:eastAsia="Calibri" w:hAnsi="Times New Roman" w:cs="Times New Roman"/>
                <w:bCs/>
              </w:rPr>
            </w:pPr>
            <w:r w:rsidRPr="00A07F29">
              <w:rPr>
                <w:rFonts w:ascii="Times New Roman" w:eastAsia="Calibri" w:hAnsi="Times New Roman" w:cs="Times New Roman"/>
                <w:bCs/>
              </w:rPr>
              <w:t>4,54</w:t>
            </w:r>
          </w:p>
        </w:tc>
        <w:tc>
          <w:tcPr>
            <w:tcW w:w="2277" w:type="dxa"/>
          </w:tcPr>
          <w:p w14:paraId="388FB04F" w14:textId="6E79602C" w:rsidR="000159E2" w:rsidRPr="00A07F29" w:rsidRDefault="000159E2" w:rsidP="00732CC9">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 xml:space="preserve">Ceļmalu pļaušana. Neveidot kailcirti </w:t>
            </w:r>
            <w:r w:rsidR="00351E7B" w:rsidRPr="00A07F29">
              <w:rPr>
                <w:rFonts w:ascii="Times New Roman" w:eastAsia="Calibri" w:hAnsi="Times New Roman" w:cs="Times New Roman"/>
              </w:rPr>
              <w:t xml:space="preserve">gar </w:t>
            </w:r>
            <w:r w:rsidRPr="00A07F29">
              <w:rPr>
                <w:rFonts w:ascii="Times New Roman" w:eastAsia="Calibri" w:hAnsi="Times New Roman" w:cs="Times New Roman"/>
              </w:rPr>
              <w:t xml:space="preserve">ceļa </w:t>
            </w:r>
            <w:r w:rsidR="00351E7B" w:rsidRPr="00A07F29">
              <w:rPr>
                <w:rFonts w:ascii="Times New Roman" w:eastAsia="Calibri" w:hAnsi="Times New Roman" w:cs="Times New Roman"/>
              </w:rPr>
              <w:t xml:space="preserve">posmu </w:t>
            </w:r>
            <w:r w:rsidRPr="00A07F29">
              <w:rPr>
                <w:rFonts w:ascii="Times New Roman" w:eastAsia="Calibri" w:hAnsi="Times New Roman" w:cs="Times New Roman"/>
              </w:rPr>
              <w:t xml:space="preserve">meža masīvā. Veicot ceļa </w:t>
            </w:r>
            <w:r w:rsidR="00732CC9" w:rsidRPr="00A07F29">
              <w:rPr>
                <w:rFonts w:ascii="Times New Roman" w:eastAsia="Calibri" w:hAnsi="Times New Roman" w:cs="Times New Roman"/>
              </w:rPr>
              <w:t>pārbūvi</w:t>
            </w:r>
            <w:r w:rsidRPr="00A07F29">
              <w:rPr>
                <w:rFonts w:ascii="Times New Roman" w:eastAsia="Calibri" w:hAnsi="Times New Roman" w:cs="Times New Roman"/>
              </w:rPr>
              <w:t>, nav pieļaujama reljefa pārveidošana.</w:t>
            </w:r>
          </w:p>
        </w:tc>
        <w:tc>
          <w:tcPr>
            <w:tcW w:w="3693" w:type="dxa"/>
          </w:tcPr>
          <w:p w14:paraId="7B6B86AF" w14:textId="77777777" w:rsidR="000159E2" w:rsidRPr="00A07F29" w:rsidRDefault="000159E2" w:rsidP="00351E7B">
            <w:pPr>
              <w:spacing w:after="0" w:line="240" w:lineRule="auto"/>
              <w:jc w:val="both"/>
              <w:rPr>
                <w:rFonts w:ascii="Times New Roman" w:eastAsia="Calibri" w:hAnsi="Times New Roman" w:cs="Times New Roman"/>
              </w:rPr>
            </w:pPr>
            <w:r w:rsidRPr="00A07F29">
              <w:rPr>
                <w:noProof/>
                <w:lang w:eastAsia="lv-LV"/>
              </w:rPr>
              <w:drawing>
                <wp:inline distT="0" distB="0" distL="0" distR="0" wp14:anchorId="5DA4D3B9" wp14:editId="2B54B743">
                  <wp:extent cx="2207895" cy="1470025"/>
                  <wp:effectExtent l="0" t="0" r="1905" b="0"/>
                  <wp:docPr id="15"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pic:nvPicPr>
                        <pic:blipFill>
                          <a:blip r:embed="rId187">
                            <a:extLst>
                              <a:ext uri="{28A0092B-C50C-407E-A947-70E740481C1C}">
                                <a14:useLocalDpi xmlns:a14="http://schemas.microsoft.com/office/drawing/2010/main"/>
                              </a:ext>
                            </a:extLst>
                          </a:blip>
                          <a:stretch>
                            <a:fillRect/>
                          </a:stretch>
                        </pic:blipFill>
                        <pic:spPr>
                          <a:xfrm>
                            <a:off x="0" y="0"/>
                            <a:ext cx="2207895" cy="1470025"/>
                          </a:xfrm>
                          <a:prstGeom prst="rect">
                            <a:avLst/>
                          </a:prstGeom>
                        </pic:spPr>
                      </pic:pic>
                    </a:graphicData>
                  </a:graphic>
                </wp:inline>
              </w:drawing>
            </w:r>
          </w:p>
        </w:tc>
      </w:tr>
      <w:tr w:rsidR="000159E2" w:rsidRPr="00A07F29" w14:paraId="64990EE5" w14:textId="77777777" w:rsidTr="63C42FA1">
        <w:trPr>
          <w:trHeight w:val="699"/>
          <w:jc w:val="center"/>
        </w:trPr>
        <w:tc>
          <w:tcPr>
            <w:tcW w:w="562" w:type="dxa"/>
            <w:vAlign w:val="center"/>
          </w:tcPr>
          <w:p w14:paraId="0EECC706" w14:textId="77777777" w:rsidR="000159E2" w:rsidRPr="00A07F29" w:rsidRDefault="000159E2" w:rsidP="00F87589">
            <w:pPr>
              <w:numPr>
                <w:ilvl w:val="0"/>
                <w:numId w:val="41"/>
              </w:numPr>
              <w:spacing w:after="0" w:line="240" w:lineRule="auto"/>
              <w:ind w:left="0"/>
              <w:jc w:val="right"/>
              <w:rPr>
                <w:rFonts w:ascii="Times New Roman" w:eastAsia="Calibri" w:hAnsi="Times New Roman" w:cs="Times New Roman"/>
                <w:b/>
              </w:rPr>
            </w:pPr>
          </w:p>
        </w:tc>
        <w:tc>
          <w:tcPr>
            <w:tcW w:w="2415" w:type="dxa"/>
          </w:tcPr>
          <w:p w14:paraId="2C9BF837" w14:textId="11335651" w:rsidR="000159E2" w:rsidRPr="00A07F29" w:rsidRDefault="000159E2" w:rsidP="00351E7B">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Valsts vietējais ceļš V627 Robežnieki-</w:t>
            </w:r>
            <w:proofErr w:type="spellStart"/>
            <w:r w:rsidRPr="00A07F29">
              <w:rPr>
                <w:rFonts w:ascii="Times New Roman" w:eastAsia="Calibri" w:hAnsi="Times New Roman" w:cs="Times New Roman"/>
              </w:rPr>
              <w:t>Murovanka</w:t>
            </w:r>
            <w:proofErr w:type="spellEnd"/>
            <w:r w:rsidRPr="00A07F29">
              <w:rPr>
                <w:rFonts w:ascii="Times New Roman" w:eastAsia="Calibri" w:hAnsi="Times New Roman" w:cs="Times New Roman"/>
              </w:rPr>
              <w:t>-</w:t>
            </w:r>
            <w:proofErr w:type="spellStart"/>
            <w:r w:rsidRPr="00A07F29">
              <w:rPr>
                <w:rFonts w:ascii="Times New Roman" w:eastAsia="Calibri" w:hAnsi="Times New Roman" w:cs="Times New Roman"/>
              </w:rPr>
              <w:t>Slobodka</w:t>
            </w:r>
            <w:proofErr w:type="spellEnd"/>
            <w:r w:rsidRPr="00A07F29">
              <w:rPr>
                <w:rFonts w:ascii="Times New Roman" w:eastAsia="Calibri" w:hAnsi="Times New Roman" w:cs="Times New Roman"/>
              </w:rPr>
              <w:t xml:space="preserve"> un tālāk pašvaldības ceļš gar </w:t>
            </w:r>
            <w:proofErr w:type="spellStart"/>
            <w:r w:rsidRPr="00A07F29">
              <w:rPr>
                <w:rFonts w:ascii="Times New Roman" w:eastAsia="Calibri" w:hAnsi="Times New Roman" w:cs="Times New Roman"/>
              </w:rPr>
              <w:t>Indricas</w:t>
            </w:r>
            <w:proofErr w:type="spellEnd"/>
            <w:r w:rsidRPr="00A07F29">
              <w:rPr>
                <w:rFonts w:ascii="Times New Roman" w:eastAsia="Calibri" w:hAnsi="Times New Roman" w:cs="Times New Roman"/>
              </w:rPr>
              <w:t xml:space="preserve"> baznīcu (</w:t>
            </w:r>
            <w:proofErr w:type="spellStart"/>
            <w:r w:rsidRPr="00A07F29">
              <w:rPr>
                <w:rFonts w:ascii="Times New Roman" w:eastAsia="Calibri" w:hAnsi="Times New Roman" w:cs="Times New Roman"/>
              </w:rPr>
              <w:t>Indricas</w:t>
            </w:r>
            <w:proofErr w:type="spellEnd"/>
            <w:r w:rsidRPr="00A07F29">
              <w:rPr>
                <w:rFonts w:ascii="Times New Roman" w:eastAsia="Calibri" w:hAnsi="Times New Roman" w:cs="Times New Roman"/>
              </w:rPr>
              <w:t xml:space="preserve"> loks)</w:t>
            </w:r>
            <w:r w:rsidR="00183990">
              <w:rPr>
                <w:rFonts w:ascii="Times New Roman" w:eastAsia="Calibri" w:hAnsi="Times New Roman" w:cs="Times New Roman"/>
              </w:rPr>
              <w:t>.</w:t>
            </w:r>
          </w:p>
        </w:tc>
        <w:tc>
          <w:tcPr>
            <w:tcW w:w="1129" w:type="dxa"/>
          </w:tcPr>
          <w:p w14:paraId="768E10F2" w14:textId="77777777" w:rsidR="000159E2" w:rsidRPr="00A07F29" w:rsidRDefault="000159E2" w:rsidP="00351E7B">
            <w:pPr>
              <w:spacing w:after="0" w:line="240" w:lineRule="auto"/>
              <w:jc w:val="both"/>
              <w:rPr>
                <w:rFonts w:ascii="Times New Roman" w:eastAsia="Calibri" w:hAnsi="Times New Roman" w:cs="Times New Roman"/>
                <w:bCs/>
              </w:rPr>
            </w:pPr>
            <w:r w:rsidRPr="00A07F29">
              <w:rPr>
                <w:rFonts w:ascii="Times New Roman" w:eastAsia="Calibri" w:hAnsi="Times New Roman" w:cs="Times New Roman"/>
                <w:bCs/>
              </w:rPr>
              <w:t>11,26</w:t>
            </w:r>
          </w:p>
        </w:tc>
        <w:tc>
          <w:tcPr>
            <w:tcW w:w="2277" w:type="dxa"/>
          </w:tcPr>
          <w:p w14:paraId="432D123E" w14:textId="0FC76258" w:rsidR="000159E2" w:rsidRPr="00A07F29" w:rsidRDefault="000159E2" w:rsidP="00732CC9">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 xml:space="preserve">Ceļmalu pļaušana, attīrīšana no krūmājiem. Lauksaimniecības zemju saglabāšana. Veicot ceļa </w:t>
            </w:r>
            <w:r w:rsidR="00732CC9" w:rsidRPr="00A07F29">
              <w:rPr>
                <w:rFonts w:ascii="Times New Roman" w:eastAsia="Calibri" w:hAnsi="Times New Roman" w:cs="Times New Roman"/>
              </w:rPr>
              <w:t>pārbūvi</w:t>
            </w:r>
            <w:r w:rsidRPr="00A07F29">
              <w:rPr>
                <w:rFonts w:ascii="Times New Roman" w:eastAsia="Calibri" w:hAnsi="Times New Roman" w:cs="Times New Roman"/>
              </w:rPr>
              <w:t>, nav pieļaujama reljefa pārveidošana.</w:t>
            </w:r>
          </w:p>
        </w:tc>
        <w:tc>
          <w:tcPr>
            <w:tcW w:w="3693" w:type="dxa"/>
          </w:tcPr>
          <w:p w14:paraId="3321B7F4" w14:textId="77777777" w:rsidR="000159E2" w:rsidRPr="00A07F29" w:rsidRDefault="000159E2" w:rsidP="00351E7B">
            <w:pPr>
              <w:spacing w:after="0" w:line="240" w:lineRule="auto"/>
              <w:jc w:val="both"/>
              <w:rPr>
                <w:rFonts w:ascii="Times New Roman" w:eastAsia="Calibri" w:hAnsi="Times New Roman" w:cs="Times New Roman"/>
              </w:rPr>
            </w:pPr>
            <w:r w:rsidRPr="00A07F29">
              <w:rPr>
                <w:noProof/>
                <w:lang w:eastAsia="lv-LV"/>
              </w:rPr>
              <w:drawing>
                <wp:inline distT="0" distB="0" distL="0" distR="0" wp14:anchorId="216FD44D" wp14:editId="67F7B10E">
                  <wp:extent cx="2207895" cy="1470025"/>
                  <wp:effectExtent l="0" t="0" r="1905" b="0"/>
                  <wp:docPr id="16"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pic:nvPicPr>
                        <pic:blipFill>
                          <a:blip r:embed="rId188">
                            <a:extLst>
                              <a:ext uri="{28A0092B-C50C-407E-A947-70E740481C1C}">
                                <a14:useLocalDpi xmlns:a14="http://schemas.microsoft.com/office/drawing/2010/main"/>
                              </a:ext>
                            </a:extLst>
                          </a:blip>
                          <a:stretch>
                            <a:fillRect/>
                          </a:stretch>
                        </pic:blipFill>
                        <pic:spPr>
                          <a:xfrm>
                            <a:off x="0" y="0"/>
                            <a:ext cx="2207895" cy="1470025"/>
                          </a:xfrm>
                          <a:prstGeom prst="rect">
                            <a:avLst/>
                          </a:prstGeom>
                        </pic:spPr>
                      </pic:pic>
                    </a:graphicData>
                  </a:graphic>
                </wp:inline>
              </w:drawing>
            </w:r>
          </w:p>
          <w:p w14:paraId="2F9AE6E8" w14:textId="77777777" w:rsidR="000159E2" w:rsidRPr="00A07F29" w:rsidRDefault="000159E2" w:rsidP="00351E7B">
            <w:pPr>
              <w:spacing w:after="0" w:line="240" w:lineRule="auto"/>
              <w:jc w:val="both"/>
              <w:rPr>
                <w:rFonts w:ascii="Times New Roman" w:eastAsia="Calibri" w:hAnsi="Times New Roman" w:cs="Times New Roman"/>
              </w:rPr>
            </w:pPr>
            <w:r w:rsidRPr="00A07F29">
              <w:rPr>
                <w:noProof/>
                <w:lang w:eastAsia="lv-LV"/>
              </w:rPr>
              <w:lastRenderedPageBreak/>
              <w:drawing>
                <wp:inline distT="0" distB="0" distL="0" distR="0" wp14:anchorId="0B5C6726" wp14:editId="279A5C85">
                  <wp:extent cx="2207895" cy="1470025"/>
                  <wp:effectExtent l="0" t="0" r="1905" b="0"/>
                  <wp:docPr id="17"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pic:nvPicPr>
                        <pic:blipFill>
                          <a:blip r:embed="rId189">
                            <a:extLst>
                              <a:ext uri="{28A0092B-C50C-407E-A947-70E740481C1C}">
                                <a14:useLocalDpi xmlns:a14="http://schemas.microsoft.com/office/drawing/2010/main"/>
                              </a:ext>
                            </a:extLst>
                          </a:blip>
                          <a:stretch>
                            <a:fillRect/>
                          </a:stretch>
                        </pic:blipFill>
                        <pic:spPr>
                          <a:xfrm>
                            <a:off x="0" y="0"/>
                            <a:ext cx="2207895" cy="1470025"/>
                          </a:xfrm>
                          <a:prstGeom prst="rect">
                            <a:avLst/>
                          </a:prstGeom>
                        </pic:spPr>
                      </pic:pic>
                    </a:graphicData>
                  </a:graphic>
                </wp:inline>
              </w:drawing>
            </w:r>
          </w:p>
        </w:tc>
      </w:tr>
      <w:tr w:rsidR="000159E2" w:rsidRPr="00A07F29" w14:paraId="6DAC9ED0" w14:textId="77777777" w:rsidTr="63C42FA1">
        <w:trPr>
          <w:trHeight w:val="699"/>
          <w:jc w:val="center"/>
        </w:trPr>
        <w:tc>
          <w:tcPr>
            <w:tcW w:w="562" w:type="dxa"/>
            <w:vAlign w:val="center"/>
          </w:tcPr>
          <w:p w14:paraId="5EDD655E" w14:textId="77777777" w:rsidR="000159E2" w:rsidRPr="00A07F29" w:rsidRDefault="000159E2" w:rsidP="00F87589">
            <w:pPr>
              <w:numPr>
                <w:ilvl w:val="0"/>
                <w:numId w:val="41"/>
              </w:numPr>
              <w:spacing w:after="0" w:line="240" w:lineRule="auto"/>
              <w:ind w:left="0"/>
              <w:jc w:val="right"/>
              <w:rPr>
                <w:rFonts w:ascii="Times New Roman" w:eastAsia="Calibri" w:hAnsi="Times New Roman" w:cs="Times New Roman"/>
                <w:b/>
              </w:rPr>
            </w:pPr>
          </w:p>
        </w:tc>
        <w:tc>
          <w:tcPr>
            <w:tcW w:w="2415" w:type="dxa"/>
          </w:tcPr>
          <w:p w14:paraId="6E86C2DA" w14:textId="79830E88" w:rsidR="000159E2" w:rsidRPr="00A07F29" w:rsidRDefault="000159E2" w:rsidP="00351E7B">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Valsts vietējais autoceļš V631 Piedruja-Aleksandrova</w:t>
            </w:r>
            <w:r w:rsidR="00183990">
              <w:rPr>
                <w:rFonts w:ascii="Times New Roman" w:eastAsia="Calibri" w:hAnsi="Times New Roman" w:cs="Times New Roman"/>
              </w:rPr>
              <w:t>.</w:t>
            </w:r>
          </w:p>
        </w:tc>
        <w:tc>
          <w:tcPr>
            <w:tcW w:w="1129" w:type="dxa"/>
          </w:tcPr>
          <w:p w14:paraId="42EE2120" w14:textId="77777777" w:rsidR="000159E2" w:rsidRPr="00A07F29" w:rsidRDefault="000159E2" w:rsidP="00351E7B">
            <w:pPr>
              <w:spacing w:after="0" w:line="240" w:lineRule="auto"/>
              <w:jc w:val="both"/>
              <w:rPr>
                <w:rFonts w:ascii="Times New Roman" w:eastAsia="Calibri" w:hAnsi="Times New Roman" w:cs="Times New Roman"/>
                <w:bCs/>
              </w:rPr>
            </w:pPr>
            <w:r w:rsidRPr="00A07F29">
              <w:rPr>
                <w:rFonts w:ascii="Times New Roman" w:eastAsia="Calibri" w:hAnsi="Times New Roman" w:cs="Times New Roman"/>
                <w:bCs/>
              </w:rPr>
              <w:t>1,09</w:t>
            </w:r>
          </w:p>
        </w:tc>
        <w:tc>
          <w:tcPr>
            <w:tcW w:w="2277" w:type="dxa"/>
          </w:tcPr>
          <w:p w14:paraId="4479B33F" w14:textId="6648436F" w:rsidR="000159E2" w:rsidRPr="00A07F29" w:rsidRDefault="000159E2" w:rsidP="00732CC9">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 xml:space="preserve">Ceļmalu pļaušana, attīrīšana no krūmājiem. Lauksaimniecības </w:t>
            </w:r>
            <w:r w:rsidR="00732CC9" w:rsidRPr="00A07F29">
              <w:rPr>
                <w:rFonts w:ascii="Times New Roman" w:eastAsia="Calibri" w:hAnsi="Times New Roman" w:cs="Times New Roman"/>
              </w:rPr>
              <w:t>zemju saglabāšana. Veicot ceļa pārbūvi</w:t>
            </w:r>
            <w:r w:rsidRPr="00A07F29">
              <w:rPr>
                <w:rFonts w:ascii="Times New Roman" w:eastAsia="Calibri" w:hAnsi="Times New Roman" w:cs="Times New Roman"/>
              </w:rPr>
              <w:t>, nav pieļaujama reljefa pārveidošana.</w:t>
            </w:r>
          </w:p>
        </w:tc>
        <w:tc>
          <w:tcPr>
            <w:tcW w:w="3693" w:type="dxa"/>
          </w:tcPr>
          <w:p w14:paraId="0BDE63F0" w14:textId="77777777" w:rsidR="000159E2" w:rsidRPr="00A07F29" w:rsidRDefault="000159E2" w:rsidP="00351E7B">
            <w:pPr>
              <w:spacing w:after="0" w:line="240" w:lineRule="auto"/>
              <w:jc w:val="both"/>
              <w:rPr>
                <w:rFonts w:ascii="Times New Roman" w:eastAsia="Calibri" w:hAnsi="Times New Roman" w:cs="Times New Roman"/>
              </w:rPr>
            </w:pPr>
            <w:r w:rsidRPr="00A07F29">
              <w:rPr>
                <w:noProof/>
                <w:lang w:eastAsia="lv-LV"/>
              </w:rPr>
              <w:drawing>
                <wp:inline distT="0" distB="0" distL="0" distR="0" wp14:anchorId="266AE234" wp14:editId="0A70EB74">
                  <wp:extent cx="2207895" cy="1470025"/>
                  <wp:effectExtent l="0" t="0" r="1905"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pic:nvPicPr>
                        <pic:blipFill>
                          <a:blip r:embed="rId190">
                            <a:extLst>
                              <a:ext uri="{28A0092B-C50C-407E-A947-70E740481C1C}">
                                <a14:useLocalDpi xmlns:a14="http://schemas.microsoft.com/office/drawing/2010/main"/>
                              </a:ext>
                            </a:extLst>
                          </a:blip>
                          <a:stretch>
                            <a:fillRect/>
                          </a:stretch>
                        </pic:blipFill>
                        <pic:spPr>
                          <a:xfrm>
                            <a:off x="0" y="0"/>
                            <a:ext cx="2207895" cy="1470025"/>
                          </a:xfrm>
                          <a:prstGeom prst="rect">
                            <a:avLst/>
                          </a:prstGeom>
                        </pic:spPr>
                      </pic:pic>
                    </a:graphicData>
                  </a:graphic>
                </wp:inline>
              </w:drawing>
            </w:r>
          </w:p>
        </w:tc>
      </w:tr>
      <w:tr w:rsidR="000159E2" w:rsidRPr="00A07F29" w14:paraId="73A6CA52" w14:textId="77777777" w:rsidTr="63C42FA1">
        <w:trPr>
          <w:jc w:val="center"/>
        </w:trPr>
        <w:tc>
          <w:tcPr>
            <w:tcW w:w="562" w:type="dxa"/>
            <w:vAlign w:val="center"/>
          </w:tcPr>
          <w:p w14:paraId="12558D59" w14:textId="77777777" w:rsidR="000159E2" w:rsidRPr="00A07F29" w:rsidRDefault="000159E2" w:rsidP="00F87589">
            <w:pPr>
              <w:numPr>
                <w:ilvl w:val="0"/>
                <w:numId w:val="41"/>
              </w:numPr>
              <w:spacing w:after="0" w:line="240" w:lineRule="auto"/>
              <w:ind w:left="0"/>
              <w:jc w:val="right"/>
              <w:rPr>
                <w:rFonts w:ascii="Times New Roman" w:eastAsia="Calibri" w:hAnsi="Times New Roman" w:cs="Times New Roman"/>
                <w:b/>
              </w:rPr>
            </w:pPr>
          </w:p>
        </w:tc>
        <w:tc>
          <w:tcPr>
            <w:tcW w:w="2415" w:type="dxa"/>
          </w:tcPr>
          <w:p w14:paraId="771C4581" w14:textId="091FA6AB" w:rsidR="000159E2" w:rsidRPr="00A07F29" w:rsidRDefault="000159E2" w:rsidP="00351E7B">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Valsts vietējais autoceļš V673 Daugavpils-</w:t>
            </w:r>
            <w:proofErr w:type="spellStart"/>
            <w:r w:rsidRPr="00A07F29">
              <w:rPr>
                <w:rFonts w:ascii="Times New Roman" w:eastAsia="Calibri" w:hAnsi="Times New Roman" w:cs="Times New Roman"/>
              </w:rPr>
              <w:t>Elerne</w:t>
            </w:r>
            <w:proofErr w:type="spellEnd"/>
            <w:r w:rsidRPr="00A07F29">
              <w:rPr>
                <w:rFonts w:ascii="Times New Roman" w:eastAsia="Calibri" w:hAnsi="Times New Roman" w:cs="Times New Roman"/>
              </w:rPr>
              <w:t>-</w:t>
            </w:r>
            <w:proofErr w:type="spellStart"/>
            <w:r w:rsidRPr="00A07F29">
              <w:rPr>
                <w:rFonts w:ascii="Times New Roman" w:eastAsia="Calibri" w:hAnsi="Times New Roman" w:cs="Times New Roman"/>
              </w:rPr>
              <w:t>Lielborne</w:t>
            </w:r>
            <w:proofErr w:type="spellEnd"/>
            <w:r w:rsidRPr="00A07F29">
              <w:rPr>
                <w:rFonts w:ascii="Times New Roman" w:eastAsia="Calibri" w:hAnsi="Times New Roman" w:cs="Times New Roman"/>
              </w:rPr>
              <w:t>. Iet gar Daugavas kreiso krastu</w:t>
            </w:r>
            <w:r w:rsidR="00482CBD">
              <w:rPr>
                <w:rFonts w:ascii="Times New Roman" w:eastAsia="Calibri" w:hAnsi="Times New Roman" w:cs="Times New Roman"/>
              </w:rPr>
              <w:t>,</w:t>
            </w:r>
            <w:r w:rsidRPr="00A07F29">
              <w:rPr>
                <w:rFonts w:ascii="Times New Roman" w:eastAsia="Calibri" w:hAnsi="Times New Roman" w:cs="Times New Roman"/>
              </w:rPr>
              <w:t xml:space="preserve"> vietām pieiet pie paša Daugavas krasta. </w:t>
            </w:r>
          </w:p>
        </w:tc>
        <w:tc>
          <w:tcPr>
            <w:tcW w:w="1129" w:type="dxa"/>
          </w:tcPr>
          <w:p w14:paraId="12A34C38" w14:textId="77777777" w:rsidR="000159E2" w:rsidRPr="00A07F29" w:rsidRDefault="000159E2" w:rsidP="00351E7B">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30,97</w:t>
            </w:r>
          </w:p>
        </w:tc>
        <w:tc>
          <w:tcPr>
            <w:tcW w:w="2277" w:type="dxa"/>
          </w:tcPr>
          <w:p w14:paraId="1DAFB89E" w14:textId="4B76D8FC" w:rsidR="000159E2" w:rsidRPr="00A07F29" w:rsidRDefault="000159E2" w:rsidP="00732CC9">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 xml:space="preserve">Nodalījuma joslas regulāra kopšana, krūmāju ciršana, ceļmalas appļaušana. Veicot ceļa </w:t>
            </w:r>
            <w:r w:rsidR="00732CC9" w:rsidRPr="00A07F29">
              <w:rPr>
                <w:rFonts w:ascii="Times New Roman" w:eastAsia="Calibri" w:hAnsi="Times New Roman" w:cs="Times New Roman"/>
              </w:rPr>
              <w:t>pārbūvi</w:t>
            </w:r>
            <w:r w:rsidRPr="00A07F29">
              <w:rPr>
                <w:rFonts w:ascii="Times New Roman" w:eastAsia="Calibri" w:hAnsi="Times New Roman" w:cs="Times New Roman"/>
              </w:rPr>
              <w:t>, nav pieļaujama reljefa pārveidošana.</w:t>
            </w:r>
          </w:p>
        </w:tc>
        <w:tc>
          <w:tcPr>
            <w:tcW w:w="3693" w:type="dxa"/>
          </w:tcPr>
          <w:p w14:paraId="794A48AE" w14:textId="77777777" w:rsidR="000159E2" w:rsidRPr="00A07F29" w:rsidRDefault="000159E2" w:rsidP="00351E7B">
            <w:pPr>
              <w:spacing w:after="0" w:line="240" w:lineRule="auto"/>
              <w:jc w:val="center"/>
              <w:rPr>
                <w:rFonts w:ascii="Times New Roman" w:eastAsia="Calibri" w:hAnsi="Times New Roman" w:cs="Times New Roman"/>
              </w:rPr>
            </w:pPr>
          </w:p>
          <w:p w14:paraId="31D33FC3" w14:textId="77777777" w:rsidR="000159E2" w:rsidRPr="00A07F29" w:rsidRDefault="000159E2" w:rsidP="00351E7B">
            <w:pPr>
              <w:spacing w:after="0" w:line="240" w:lineRule="auto"/>
              <w:jc w:val="center"/>
              <w:rPr>
                <w:rFonts w:ascii="Times New Roman" w:eastAsia="Calibri" w:hAnsi="Times New Roman" w:cs="Times New Roman"/>
              </w:rPr>
            </w:pPr>
            <w:r w:rsidRPr="00A07F29">
              <w:rPr>
                <w:noProof/>
                <w:lang w:eastAsia="lv-LV"/>
              </w:rPr>
              <w:drawing>
                <wp:inline distT="0" distB="0" distL="0" distR="0" wp14:anchorId="305339CD" wp14:editId="65AB392D">
                  <wp:extent cx="2207895" cy="1470025"/>
                  <wp:effectExtent l="0" t="0" r="1905"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pic:nvPicPr>
                        <pic:blipFill>
                          <a:blip r:embed="rId191">
                            <a:extLst>
                              <a:ext uri="{28A0092B-C50C-407E-A947-70E740481C1C}">
                                <a14:useLocalDpi xmlns:a14="http://schemas.microsoft.com/office/drawing/2010/main"/>
                              </a:ext>
                            </a:extLst>
                          </a:blip>
                          <a:stretch>
                            <a:fillRect/>
                          </a:stretch>
                        </pic:blipFill>
                        <pic:spPr>
                          <a:xfrm>
                            <a:off x="0" y="0"/>
                            <a:ext cx="2207895" cy="1470025"/>
                          </a:xfrm>
                          <a:prstGeom prst="rect">
                            <a:avLst/>
                          </a:prstGeom>
                        </pic:spPr>
                      </pic:pic>
                    </a:graphicData>
                  </a:graphic>
                </wp:inline>
              </w:drawing>
            </w:r>
          </w:p>
          <w:p w14:paraId="1041DBC2" w14:textId="77777777" w:rsidR="000159E2" w:rsidRPr="00A07F29" w:rsidRDefault="000159E2" w:rsidP="00351E7B">
            <w:pPr>
              <w:spacing w:after="0" w:line="240" w:lineRule="auto"/>
              <w:jc w:val="center"/>
              <w:rPr>
                <w:rFonts w:ascii="Times New Roman" w:eastAsia="Calibri" w:hAnsi="Times New Roman" w:cs="Times New Roman"/>
              </w:rPr>
            </w:pPr>
            <w:r w:rsidRPr="00A07F29">
              <w:rPr>
                <w:noProof/>
                <w:lang w:eastAsia="lv-LV"/>
              </w:rPr>
              <w:drawing>
                <wp:inline distT="0" distB="0" distL="0" distR="0" wp14:anchorId="579BC10C" wp14:editId="3729ABE8">
                  <wp:extent cx="2207895" cy="1470025"/>
                  <wp:effectExtent l="0" t="0" r="1905" b="0"/>
                  <wp:docPr id="18"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pic:nvPicPr>
                        <pic:blipFill>
                          <a:blip r:embed="rId192">
                            <a:extLst>
                              <a:ext uri="{28A0092B-C50C-407E-A947-70E740481C1C}">
                                <a14:useLocalDpi xmlns:a14="http://schemas.microsoft.com/office/drawing/2010/main"/>
                              </a:ext>
                            </a:extLst>
                          </a:blip>
                          <a:stretch>
                            <a:fillRect/>
                          </a:stretch>
                        </pic:blipFill>
                        <pic:spPr>
                          <a:xfrm>
                            <a:off x="0" y="0"/>
                            <a:ext cx="2207895" cy="1470025"/>
                          </a:xfrm>
                          <a:prstGeom prst="rect">
                            <a:avLst/>
                          </a:prstGeom>
                        </pic:spPr>
                      </pic:pic>
                    </a:graphicData>
                  </a:graphic>
                </wp:inline>
              </w:drawing>
            </w:r>
          </w:p>
          <w:p w14:paraId="499852A1" w14:textId="77777777" w:rsidR="000159E2" w:rsidRPr="00A07F29" w:rsidRDefault="000159E2" w:rsidP="00351E7B">
            <w:pPr>
              <w:spacing w:after="0" w:line="240" w:lineRule="auto"/>
              <w:jc w:val="center"/>
              <w:rPr>
                <w:rFonts w:ascii="Times New Roman" w:eastAsia="Calibri" w:hAnsi="Times New Roman" w:cs="Times New Roman"/>
              </w:rPr>
            </w:pPr>
          </w:p>
        </w:tc>
      </w:tr>
      <w:tr w:rsidR="000159E2" w:rsidRPr="00A07F29" w14:paraId="6A022F8A" w14:textId="77777777" w:rsidTr="63C42FA1">
        <w:trPr>
          <w:jc w:val="center"/>
        </w:trPr>
        <w:tc>
          <w:tcPr>
            <w:tcW w:w="562" w:type="dxa"/>
            <w:vAlign w:val="center"/>
          </w:tcPr>
          <w:p w14:paraId="60AC91D7" w14:textId="77777777" w:rsidR="000159E2" w:rsidRPr="00A07F29" w:rsidRDefault="000159E2" w:rsidP="00F87589">
            <w:pPr>
              <w:numPr>
                <w:ilvl w:val="0"/>
                <w:numId w:val="41"/>
              </w:numPr>
              <w:spacing w:after="0" w:line="240" w:lineRule="auto"/>
              <w:ind w:left="0"/>
              <w:jc w:val="right"/>
              <w:rPr>
                <w:rFonts w:ascii="Times New Roman" w:eastAsia="Calibri" w:hAnsi="Times New Roman" w:cs="Times New Roman"/>
                <w:b/>
              </w:rPr>
            </w:pPr>
          </w:p>
        </w:tc>
        <w:tc>
          <w:tcPr>
            <w:tcW w:w="2415" w:type="dxa"/>
          </w:tcPr>
          <w:p w14:paraId="5763CE3B" w14:textId="4D56EF4F" w:rsidR="000159E2" w:rsidRPr="00A07F29" w:rsidRDefault="000159E2" w:rsidP="00351E7B">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Valsts vietējais autoceļa V705 Skrudaliena-Ērgļi- Jaunsudrabi posms</w:t>
            </w:r>
            <w:r w:rsidR="00C024C2">
              <w:rPr>
                <w:rFonts w:ascii="Times New Roman" w:eastAsia="Calibri" w:hAnsi="Times New Roman" w:cs="Times New Roman"/>
              </w:rPr>
              <w:t>.</w:t>
            </w:r>
          </w:p>
        </w:tc>
        <w:tc>
          <w:tcPr>
            <w:tcW w:w="1129" w:type="dxa"/>
          </w:tcPr>
          <w:p w14:paraId="2AEB8134" w14:textId="77777777" w:rsidR="000159E2" w:rsidRPr="00A07F29" w:rsidRDefault="000159E2" w:rsidP="00351E7B">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1,51</w:t>
            </w:r>
          </w:p>
        </w:tc>
        <w:tc>
          <w:tcPr>
            <w:tcW w:w="2277" w:type="dxa"/>
          </w:tcPr>
          <w:p w14:paraId="27C88494" w14:textId="0A6D7A10" w:rsidR="000159E2" w:rsidRPr="00A07F29" w:rsidRDefault="000159E2" w:rsidP="00732CC9">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 xml:space="preserve">Ceļmalu pļaušana, attīrīšana no krūmājiem. Lauksaimniecības zemju saglabāšana. Veicot ceļa </w:t>
            </w:r>
            <w:r w:rsidR="00732CC9" w:rsidRPr="00A07F29">
              <w:rPr>
                <w:rFonts w:ascii="Times New Roman" w:eastAsia="Calibri" w:hAnsi="Times New Roman" w:cs="Times New Roman"/>
              </w:rPr>
              <w:t>pārbūvi</w:t>
            </w:r>
            <w:r w:rsidRPr="00A07F29">
              <w:rPr>
                <w:rFonts w:ascii="Times New Roman" w:eastAsia="Calibri" w:hAnsi="Times New Roman" w:cs="Times New Roman"/>
              </w:rPr>
              <w:t>, nav pieļaujama reljefa pārveidošana.</w:t>
            </w:r>
          </w:p>
        </w:tc>
        <w:tc>
          <w:tcPr>
            <w:tcW w:w="3693" w:type="dxa"/>
          </w:tcPr>
          <w:p w14:paraId="5292EFB1" w14:textId="77777777" w:rsidR="000159E2" w:rsidRPr="00A07F29" w:rsidRDefault="000159E2" w:rsidP="00351E7B">
            <w:pPr>
              <w:spacing w:after="0" w:line="240" w:lineRule="auto"/>
              <w:jc w:val="center"/>
              <w:rPr>
                <w:rFonts w:ascii="Times New Roman" w:eastAsia="Calibri" w:hAnsi="Times New Roman" w:cs="Times New Roman"/>
              </w:rPr>
            </w:pPr>
            <w:r w:rsidRPr="00A07F29">
              <w:rPr>
                <w:noProof/>
                <w:lang w:eastAsia="lv-LV"/>
              </w:rPr>
              <w:drawing>
                <wp:inline distT="0" distB="0" distL="0" distR="0" wp14:anchorId="6586E285" wp14:editId="25CBD25E">
                  <wp:extent cx="2207895" cy="1470025"/>
                  <wp:effectExtent l="0" t="0" r="1905"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pic:nvPicPr>
                        <pic:blipFill>
                          <a:blip r:embed="rId193">
                            <a:extLst>
                              <a:ext uri="{28A0092B-C50C-407E-A947-70E740481C1C}">
                                <a14:useLocalDpi xmlns:a14="http://schemas.microsoft.com/office/drawing/2010/main"/>
                              </a:ext>
                            </a:extLst>
                          </a:blip>
                          <a:stretch>
                            <a:fillRect/>
                          </a:stretch>
                        </pic:blipFill>
                        <pic:spPr>
                          <a:xfrm>
                            <a:off x="0" y="0"/>
                            <a:ext cx="2207895" cy="1470025"/>
                          </a:xfrm>
                          <a:prstGeom prst="rect">
                            <a:avLst/>
                          </a:prstGeom>
                        </pic:spPr>
                      </pic:pic>
                    </a:graphicData>
                  </a:graphic>
                </wp:inline>
              </w:drawing>
            </w:r>
          </w:p>
        </w:tc>
      </w:tr>
      <w:tr w:rsidR="000159E2" w:rsidRPr="00A07F29" w14:paraId="00B38F8E" w14:textId="77777777" w:rsidTr="63C42FA1">
        <w:trPr>
          <w:jc w:val="center"/>
        </w:trPr>
        <w:tc>
          <w:tcPr>
            <w:tcW w:w="562" w:type="dxa"/>
            <w:vAlign w:val="center"/>
          </w:tcPr>
          <w:p w14:paraId="70E6C3F4" w14:textId="77777777" w:rsidR="000159E2" w:rsidRPr="00A07F29" w:rsidRDefault="000159E2" w:rsidP="00F87589">
            <w:pPr>
              <w:numPr>
                <w:ilvl w:val="0"/>
                <w:numId w:val="41"/>
              </w:numPr>
              <w:spacing w:after="0" w:line="240" w:lineRule="auto"/>
              <w:ind w:left="0"/>
              <w:jc w:val="right"/>
              <w:rPr>
                <w:rFonts w:ascii="Times New Roman" w:eastAsia="Calibri" w:hAnsi="Times New Roman" w:cs="Times New Roman"/>
                <w:b/>
              </w:rPr>
            </w:pPr>
          </w:p>
        </w:tc>
        <w:tc>
          <w:tcPr>
            <w:tcW w:w="2415" w:type="dxa"/>
          </w:tcPr>
          <w:p w14:paraId="5FF86D63" w14:textId="1B2790CE" w:rsidR="000159E2" w:rsidRPr="00A07F29" w:rsidRDefault="000159E2" w:rsidP="00351E7B">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Valsts reģionālā autoceļa P69 Skrudaliena-Kaplava-Krāslava</w:t>
            </w:r>
            <w:r w:rsidR="00D65BBA" w:rsidRPr="00A07F29">
              <w:rPr>
                <w:rFonts w:ascii="Times New Roman" w:eastAsia="Calibri" w:hAnsi="Times New Roman" w:cs="Times New Roman"/>
              </w:rPr>
              <w:t xml:space="preserve"> </w:t>
            </w:r>
            <w:r w:rsidRPr="00A07F29">
              <w:rPr>
                <w:rFonts w:ascii="Times New Roman" w:eastAsia="Calibri" w:hAnsi="Times New Roman" w:cs="Times New Roman"/>
              </w:rPr>
              <w:t>posms</w:t>
            </w:r>
            <w:r w:rsidR="00C024C2">
              <w:rPr>
                <w:rFonts w:ascii="Times New Roman" w:eastAsia="Calibri" w:hAnsi="Times New Roman" w:cs="Times New Roman"/>
              </w:rPr>
              <w:t>.</w:t>
            </w:r>
          </w:p>
        </w:tc>
        <w:tc>
          <w:tcPr>
            <w:tcW w:w="1129" w:type="dxa"/>
          </w:tcPr>
          <w:p w14:paraId="588951A5" w14:textId="77777777" w:rsidR="000159E2" w:rsidRPr="00A07F29" w:rsidRDefault="000159E2" w:rsidP="00351E7B">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15,03</w:t>
            </w:r>
          </w:p>
        </w:tc>
        <w:tc>
          <w:tcPr>
            <w:tcW w:w="2277" w:type="dxa"/>
          </w:tcPr>
          <w:p w14:paraId="270E0940" w14:textId="555E3309" w:rsidR="000159E2" w:rsidRPr="00A07F29" w:rsidRDefault="000159E2" w:rsidP="00732CC9">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 xml:space="preserve">Ceļmalu pļaušana, attīrīšana no krūmājiem. Lauksaimniecības </w:t>
            </w:r>
            <w:r w:rsidR="00732CC9" w:rsidRPr="00A07F29">
              <w:rPr>
                <w:rFonts w:ascii="Times New Roman" w:eastAsia="Calibri" w:hAnsi="Times New Roman" w:cs="Times New Roman"/>
              </w:rPr>
              <w:t>zemju saglabāšana. Veicot ceļa pārbūvi</w:t>
            </w:r>
            <w:r w:rsidRPr="00A07F29">
              <w:rPr>
                <w:rFonts w:ascii="Times New Roman" w:eastAsia="Calibri" w:hAnsi="Times New Roman" w:cs="Times New Roman"/>
              </w:rPr>
              <w:t>, nav pieļaujama reljefa pārveidošana.</w:t>
            </w:r>
          </w:p>
        </w:tc>
        <w:tc>
          <w:tcPr>
            <w:tcW w:w="3693" w:type="dxa"/>
          </w:tcPr>
          <w:p w14:paraId="60859BB6" w14:textId="77777777" w:rsidR="000159E2" w:rsidRPr="00A07F29" w:rsidRDefault="000159E2" w:rsidP="00351E7B">
            <w:pPr>
              <w:spacing w:after="0" w:line="240" w:lineRule="auto"/>
              <w:jc w:val="center"/>
              <w:rPr>
                <w:rFonts w:ascii="Times New Roman" w:eastAsia="Calibri" w:hAnsi="Times New Roman" w:cs="Times New Roman"/>
              </w:rPr>
            </w:pPr>
            <w:r w:rsidRPr="00A07F29">
              <w:rPr>
                <w:noProof/>
                <w:lang w:eastAsia="lv-LV"/>
              </w:rPr>
              <w:drawing>
                <wp:inline distT="0" distB="0" distL="0" distR="0" wp14:anchorId="40864682" wp14:editId="2321D063">
                  <wp:extent cx="2207895" cy="1470025"/>
                  <wp:effectExtent l="0" t="0" r="1905" b="0"/>
                  <wp:docPr id="19"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pic:nvPicPr>
                        <pic:blipFill>
                          <a:blip r:embed="rId194">
                            <a:extLst>
                              <a:ext uri="{28A0092B-C50C-407E-A947-70E740481C1C}">
                                <a14:useLocalDpi xmlns:a14="http://schemas.microsoft.com/office/drawing/2010/main"/>
                              </a:ext>
                            </a:extLst>
                          </a:blip>
                          <a:stretch>
                            <a:fillRect/>
                          </a:stretch>
                        </pic:blipFill>
                        <pic:spPr>
                          <a:xfrm>
                            <a:off x="0" y="0"/>
                            <a:ext cx="2207895" cy="1470025"/>
                          </a:xfrm>
                          <a:prstGeom prst="rect">
                            <a:avLst/>
                          </a:prstGeom>
                        </pic:spPr>
                      </pic:pic>
                    </a:graphicData>
                  </a:graphic>
                </wp:inline>
              </w:drawing>
            </w:r>
          </w:p>
        </w:tc>
      </w:tr>
      <w:tr w:rsidR="000159E2" w:rsidRPr="00A07F29" w14:paraId="018EC4A4" w14:textId="77777777" w:rsidTr="63C42FA1">
        <w:trPr>
          <w:jc w:val="center"/>
        </w:trPr>
        <w:tc>
          <w:tcPr>
            <w:tcW w:w="562" w:type="dxa"/>
            <w:vAlign w:val="center"/>
          </w:tcPr>
          <w:p w14:paraId="0396E66C" w14:textId="77777777" w:rsidR="000159E2" w:rsidRPr="00A07F29" w:rsidRDefault="000159E2" w:rsidP="00F87589">
            <w:pPr>
              <w:numPr>
                <w:ilvl w:val="0"/>
                <w:numId w:val="41"/>
              </w:numPr>
              <w:spacing w:after="0" w:line="240" w:lineRule="auto"/>
              <w:ind w:left="0"/>
              <w:jc w:val="right"/>
              <w:rPr>
                <w:rFonts w:ascii="Times New Roman" w:eastAsia="Calibri" w:hAnsi="Times New Roman" w:cs="Times New Roman"/>
                <w:b/>
              </w:rPr>
            </w:pPr>
          </w:p>
        </w:tc>
        <w:tc>
          <w:tcPr>
            <w:tcW w:w="2415" w:type="dxa"/>
          </w:tcPr>
          <w:p w14:paraId="4F127AAD" w14:textId="77777777" w:rsidR="000159E2" w:rsidRPr="00A07F29" w:rsidRDefault="000159E2" w:rsidP="00351E7B">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Pašvaldības ceļš Saliena-</w:t>
            </w:r>
            <w:proofErr w:type="spellStart"/>
            <w:r w:rsidRPr="00A07F29">
              <w:rPr>
                <w:rFonts w:ascii="Times New Roman" w:eastAsia="Calibri" w:hAnsi="Times New Roman" w:cs="Times New Roman"/>
              </w:rPr>
              <w:t>Karļinova</w:t>
            </w:r>
            <w:proofErr w:type="spellEnd"/>
          </w:p>
        </w:tc>
        <w:tc>
          <w:tcPr>
            <w:tcW w:w="1129" w:type="dxa"/>
          </w:tcPr>
          <w:p w14:paraId="12F92217" w14:textId="77777777" w:rsidR="000159E2" w:rsidRPr="00A07F29" w:rsidRDefault="000159E2" w:rsidP="00351E7B">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8,17</w:t>
            </w:r>
          </w:p>
        </w:tc>
        <w:tc>
          <w:tcPr>
            <w:tcW w:w="2277" w:type="dxa"/>
          </w:tcPr>
          <w:p w14:paraId="7A9D7B68" w14:textId="4DF2EA31" w:rsidR="000159E2" w:rsidRPr="00A07F29" w:rsidRDefault="000159E2" w:rsidP="00732CC9">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 xml:space="preserve">Ceļmalu pļaušana, attīrīšana no krūmājiem. Lauksaimniecības zemju saglabāšana. Veicot ceļa </w:t>
            </w:r>
            <w:r w:rsidR="00732CC9" w:rsidRPr="00A07F29">
              <w:rPr>
                <w:rFonts w:ascii="Times New Roman" w:eastAsia="Calibri" w:hAnsi="Times New Roman" w:cs="Times New Roman"/>
              </w:rPr>
              <w:t>pārbūvi</w:t>
            </w:r>
            <w:r w:rsidRPr="00A07F29">
              <w:rPr>
                <w:rFonts w:ascii="Times New Roman" w:eastAsia="Calibri" w:hAnsi="Times New Roman" w:cs="Times New Roman"/>
              </w:rPr>
              <w:t>, nav pieļaujama reljefa pārveidošana.</w:t>
            </w:r>
          </w:p>
        </w:tc>
        <w:tc>
          <w:tcPr>
            <w:tcW w:w="3693" w:type="dxa"/>
          </w:tcPr>
          <w:p w14:paraId="069447AF" w14:textId="77777777" w:rsidR="000159E2" w:rsidRPr="00A07F29" w:rsidRDefault="000159E2" w:rsidP="00351E7B">
            <w:pPr>
              <w:spacing w:after="0" w:line="240" w:lineRule="auto"/>
              <w:jc w:val="center"/>
              <w:rPr>
                <w:rFonts w:ascii="Times New Roman" w:eastAsia="Calibri" w:hAnsi="Times New Roman" w:cs="Times New Roman"/>
              </w:rPr>
            </w:pPr>
          </w:p>
        </w:tc>
      </w:tr>
      <w:tr w:rsidR="000159E2" w:rsidRPr="00A07F29" w14:paraId="01489A91" w14:textId="77777777" w:rsidTr="63C42FA1">
        <w:trPr>
          <w:jc w:val="center"/>
        </w:trPr>
        <w:tc>
          <w:tcPr>
            <w:tcW w:w="562" w:type="dxa"/>
            <w:vAlign w:val="center"/>
          </w:tcPr>
          <w:p w14:paraId="5D1A86AB" w14:textId="77777777" w:rsidR="000159E2" w:rsidRPr="00A07F29" w:rsidRDefault="000159E2" w:rsidP="00F87589">
            <w:pPr>
              <w:numPr>
                <w:ilvl w:val="0"/>
                <w:numId w:val="41"/>
              </w:numPr>
              <w:spacing w:after="0" w:line="240" w:lineRule="auto"/>
              <w:ind w:left="0"/>
              <w:jc w:val="right"/>
              <w:rPr>
                <w:rFonts w:ascii="Times New Roman" w:eastAsia="Calibri" w:hAnsi="Times New Roman" w:cs="Times New Roman"/>
                <w:b/>
              </w:rPr>
            </w:pPr>
          </w:p>
        </w:tc>
        <w:tc>
          <w:tcPr>
            <w:tcW w:w="2415" w:type="dxa"/>
          </w:tcPr>
          <w:p w14:paraId="5DAD25B6" w14:textId="77777777" w:rsidR="000159E2" w:rsidRPr="00A07F29" w:rsidRDefault="000159E2" w:rsidP="00351E7B">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 xml:space="preserve">Ceļš caur </w:t>
            </w:r>
            <w:proofErr w:type="spellStart"/>
            <w:r w:rsidRPr="00A07F29">
              <w:rPr>
                <w:rFonts w:ascii="Times New Roman" w:eastAsia="Calibri" w:hAnsi="Times New Roman" w:cs="Times New Roman"/>
              </w:rPr>
              <w:t>Rožupoli</w:t>
            </w:r>
            <w:proofErr w:type="spellEnd"/>
          </w:p>
        </w:tc>
        <w:tc>
          <w:tcPr>
            <w:tcW w:w="1129" w:type="dxa"/>
          </w:tcPr>
          <w:p w14:paraId="568CA962" w14:textId="77777777" w:rsidR="000159E2" w:rsidRPr="00A07F29" w:rsidRDefault="000159E2" w:rsidP="00351E7B">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5,08</w:t>
            </w:r>
          </w:p>
        </w:tc>
        <w:tc>
          <w:tcPr>
            <w:tcW w:w="2277" w:type="dxa"/>
          </w:tcPr>
          <w:p w14:paraId="6D4AEE83" w14:textId="717AF77B" w:rsidR="000159E2" w:rsidRPr="00A07F29" w:rsidRDefault="000159E2" w:rsidP="00351E7B">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 xml:space="preserve">Ceļmalu pļaušana, attīrīšana no krūmājiem. Lauksaimniecības zemju saglabāšana. Neveidot kailcirti </w:t>
            </w:r>
            <w:r w:rsidR="00351E7B" w:rsidRPr="00A07F29">
              <w:rPr>
                <w:rFonts w:ascii="Times New Roman" w:eastAsia="Calibri" w:hAnsi="Times New Roman" w:cs="Times New Roman"/>
              </w:rPr>
              <w:t xml:space="preserve">gar </w:t>
            </w:r>
            <w:r w:rsidRPr="00A07F29">
              <w:rPr>
                <w:rFonts w:ascii="Times New Roman" w:eastAsia="Calibri" w:hAnsi="Times New Roman" w:cs="Times New Roman"/>
              </w:rPr>
              <w:t xml:space="preserve">ceļa </w:t>
            </w:r>
            <w:r w:rsidR="00351E7B" w:rsidRPr="00A07F29">
              <w:rPr>
                <w:rFonts w:ascii="Times New Roman" w:eastAsia="Calibri" w:hAnsi="Times New Roman" w:cs="Times New Roman"/>
              </w:rPr>
              <w:t xml:space="preserve">posmu </w:t>
            </w:r>
            <w:r w:rsidRPr="00A07F29">
              <w:rPr>
                <w:rFonts w:ascii="Times New Roman" w:eastAsia="Calibri" w:hAnsi="Times New Roman" w:cs="Times New Roman"/>
              </w:rPr>
              <w:t xml:space="preserve">meža masīvā. Veicot ceļa </w:t>
            </w:r>
            <w:r w:rsidR="00732CC9" w:rsidRPr="00A07F29">
              <w:rPr>
                <w:rFonts w:ascii="Times New Roman" w:eastAsia="Calibri" w:hAnsi="Times New Roman" w:cs="Times New Roman"/>
              </w:rPr>
              <w:t>pārbūvi</w:t>
            </w:r>
            <w:r w:rsidRPr="00A07F29">
              <w:rPr>
                <w:rFonts w:ascii="Times New Roman" w:eastAsia="Calibri" w:hAnsi="Times New Roman" w:cs="Times New Roman"/>
              </w:rPr>
              <w:t>, nav pieļaujama reljefa pārveidošana.</w:t>
            </w:r>
          </w:p>
        </w:tc>
        <w:tc>
          <w:tcPr>
            <w:tcW w:w="3693" w:type="dxa"/>
          </w:tcPr>
          <w:p w14:paraId="6EAD1697" w14:textId="77777777" w:rsidR="000159E2" w:rsidRPr="00A07F29" w:rsidRDefault="000159E2" w:rsidP="00351E7B">
            <w:pPr>
              <w:spacing w:after="0" w:line="240" w:lineRule="auto"/>
              <w:jc w:val="center"/>
              <w:rPr>
                <w:rFonts w:ascii="Times New Roman" w:eastAsia="Calibri" w:hAnsi="Times New Roman" w:cs="Times New Roman"/>
              </w:rPr>
            </w:pPr>
            <w:r w:rsidRPr="00A07F29">
              <w:rPr>
                <w:noProof/>
                <w:lang w:eastAsia="lv-LV"/>
              </w:rPr>
              <w:drawing>
                <wp:inline distT="0" distB="0" distL="0" distR="0" wp14:anchorId="497B7559" wp14:editId="6776F6BB">
                  <wp:extent cx="2207895" cy="1470025"/>
                  <wp:effectExtent l="0" t="0" r="1905" b="0"/>
                  <wp:docPr id="20"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pic:nvPicPr>
                        <pic:blipFill>
                          <a:blip r:embed="rId195">
                            <a:extLst>
                              <a:ext uri="{28A0092B-C50C-407E-A947-70E740481C1C}">
                                <a14:useLocalDpi xmlns:a14="http://schemas.microsoft.com/office/drawing/2010/main"/>
                              </a:ext>
                            </a:extLst>
                          </a:blip>
                          <a:stretch>
                            <a:fillRect/>
                          </a:stretch>
                        </pic:blipFill>
                        <pic:spPr>
                          <a:xfrm>
                            <a:off x="0" y="0"/>
                            <a:ext cx="2207895" cy="1470025"/>
                          </a:xfrm>
                          <a:prstGeom prst="rect">
                            <a:avLst/>
                          </a:prstGeom>
                        </pic:spPr>
                      </pic:pic>
                    </a:graphicData>
                  </a:graphic>
                </wp:inline>
              </w:drawing>
            </w:r>
          </w:p>
        </w:tc>
      </w:tr>
      <w:tr w:rsidR="000159E2" w:rsidRPr="00A07F29" w14:paraId="4C16E95F" w14:textId="77777777" w:rsidTr="63C42FA1">
        <w:trPr>
          <w:jc w:val="center"/>
        </w:trPr>
        <w:tc>
          <w:tcPr>
            <w:tcW w:w="562" w:type="dxa"/>
            <w:vAlign w:val="center"/>
          </w:tcPr>
          <w:p w14:paraId="595E5BF4" w14:textId="77777777" w:rsidR="000159E2" w:rsidRPr="00A07F29" w:rsidRDefault="000159E2" w:rsidP="00F87589">
            <w:pPr>
              <w:numPr>
                <w:ilvl w:val="0"/>
                <w:numId w:val="41"/>
              </w:numPr>
              <w:spacing w:after="0" w:line="240" w:lineRule="auto"/>
              <w:ind w:left="0"/>
              <w:jc w:val="right"/>
              <w:rPr>
                <w:rFonts w:ascii="Times New Roman" w:eastAsia="Calibri" w:hAnsi="Times New Roman" w:cs="Times New Roman"/>
                <w:b/>
              </w:rPr>
            </w:pPr>
          </w:p>
        </w:tc>
        <w:tc>
          <w:tcPr>
            <w:tcW w:w="2415" w:type="dxa"/>
          </w:tcPr>
          <w:p w14:paraId="13FA9116" w14:textId="77777777" w:rsidR="000159E2" w:rsidRPr="00A07F29" w:rsidRDefault="000159E2" w:rsidP="00351E7B">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 xml:space="preserve">Meža ceļš gar </w:t>
            </w:r>
            <w:proofErr w:type="spellStart"/>
            <w:r w:rsidRPr="00A07F29">
              <w:rPr>
                <w:rFonts w:ascii="Times New Roman" w:eastAsia="Calibri" w:hAnsi="Times New Roman" w:cs="Times New Roman"/>
              </w:rPr>
              <w:t>Šilovkas</w:t>
            </w:r>
            <w:proofErr w:type="spellEnd"/>
            <w:r w:rsidRPr="00A07F29">
              <w:rPr>
                <w:rFonts w:ascii="Times New Roman" w:eastAsia="Calibri" w:hAnsi="Times New Roman" w:cs="Times New Roman"/>
              </w:rPr>
              <w:t xml:space="preserve"> ezeru</w:t>
            </w:r>
          </w:p>
        </w:tc>
        <w:tc>
          <w:tcPr>
            <w:tcW w:w="1129" w:type="dxa"/>
          </w:tcPr>
          <w:p w14:paraId="0E9CB816" w14:textId="77777777" w:rsidR="000159E2" w:rsidRPr="00A07F29" w:rsidRDefault="000159E2" w:rsidP="00351E7B">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2,62</w:t>
            </w:r>
          </w:p>
        </w:tc>
        <w:tc>
          <w:tcPr>
            <w:tcW w:w="2277" w:type="dxa"/>
          </w:tcPr>
          <w:p w14:paraId="2D4ED539" w14:textId="74E9EC2F" w:rsidR="000159E2" w:rsidRPr="00A07F29" w:rsidRDefault="000159E2" w:rsidP="00351E7B">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 xml:space="preserve">Neveidot kailcirti </w:t>
            </w:r>
            <w:r w:rsidR="00351E7B" w:rsidRPr="00A07F29">
              <w:rPr>
                <w:rFonts w:ascii="Times New Roman" w:eastAsia="Calibri" w:hAnsi="Times New Roman" w:cs="Times New Roman"/>
              </w:rPr>
              <w:t xml:space="preserve">gar </w:t>
            </w:r>
            <w:r w:rsidRPr="00A07F29">
              <w:rPr>
                <w:rFonts w:ascii="Times New Roman" w:eastAsia="Calibri" w:hAnsi="Times New Roman" w:cs="Times New Roman"/>
              </w:rPr>
              <w:t xml:space="preserve">ceļa </w:t>
            </w:r>
            <w:r w:rsidR="00351E7B" w:rsidRPr="00A07F29">
              <w:rPr>
                <w:rFonts w:ascii="Times New Roman" w:eastAsia="Calibri" w:hAnsi="Times New Roman" w:cs="Times New Roman"/>
              </w:rPr>
              <w:t xml:space="preserve">posmu </w:t>
            </w:r>
            <w:r w:rsidRPr="00A07F29">
              <w:rPr>
                <w:rFonts w:ascii="Times New Roman" w:eastAsia="Calibri" w:hAnsi="Times New Roman" w:cs="Times New Roman"/>
              </w:rPr>
              <w:t xml:space="preserve">meža masīvā vai atstāt meža </w:t>
            </w:r>
            <w:proofErr w:type="spellStart"/>
            <w:r w:rsidRPr="00A07F29">
              <w:rPr>
                <w:rFonts w:ascii="Times New Roman" w:eastAsia="Calibri" w:hAnsi="Times New Roman" w:cs="Times New Roman"/>
              </w:rPr>
              <w:t>buferjoslu</w:t>
            </w:r>
            <w:proofErr w:type="spellEnd"/>
            <w:r w:rsidRPr="00A07F29">
              <w:rPr>
                <w:rFonts w:ascii="Times New Roman" w:eastAsia="Calibri" w:hAnsi="Times New Roman" w:cs="Times New Roman"/>
              </w:rPr>
              <w:t xml:space="preserve"> gar ceļu. Nepieļaut ceļmalas aizaugšanu ar krūmājiem. Veicot ceļa </w:t>
            </w:r>
            <w:r w:rsidR="00732CC9" w:rsidRPr="00A07F29">
              <w:rPr>
                <w:rFonts w:ascii="Times New Roman" w:eastAsia="Calibri" w:hAnsi="Times New Roman" w:cs="Times New Roman"/>
              </w:rPr>
              <w:t>pārbūvi</w:t>
            </w:r>
            <w:r w:rsidRPr="00A07F29">
              <w:rPr>
                <w:rFonts w:ascii="Times New Roman" w:eastAsia="Calibri" w:hAnsi="Times New Roman" w:cs="Times New Roman"/>
              </w:rPr>
              <w:t>, nav pieļaujama reljefa pārveidošana.</w:t>
            </w:r>
          </w:p>
        </w:tc>
        <w:tc>
          <w:tcPr>
            <w:tcW w:w="3693" w:type="dxa"/>
          </w:tcPr>
          <w:p w14:paraId="4456AC25" w14:textId="77777777" w:rsidR="000159E2" w:rsidRPr="00A07F29" w:rsidRDefault="000159E2" w:rsidP="00351E7B">
            <w:pPr>
              <w:spacing w:after="0" w:line="240" w:lineRule="auto"/>
              <w:jc w:val="center"/>
              <w:rPr>
                <w:rFonts w:ascii="Times New Roman" w:eastAsia="Calibri" w:hAnsi="Times New Roman" w:cs="Times New Roman"/>
              </w:rPr>
            </w:pPr>
            <w:r w:rsidRPr="00A07F29">
              <w:rPr>
                <w:noProof/>
                <w:lang w:eastAsia="lv-LV"/>
              </w:rPr>
              <w:drawing>
                <wp:inline distT="0" distB="0" distL="0" distR="0" wp14:anchorId="7962B284" wp14:editId="36BF9843">
                  <wp:extent cx="2207895" cy="1470025"/>
                  <wp:effectExtent l="0" t="0" r="1905" b="0"/>
                  <wp:docPr id="24"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pic:nvPicPr>
                        <pic:blipFill>
                          <a:blip r:embed="rId196">
                            <a:extLst>
                              <a:ext uri="{28A0092B-C50C-407E-A947-70E740481C1C}">
                                <a14:useLocalDpi xmlns:a14="http://schemas.microsoft.com/office/drawing/2010/main"/>
                              </a:ext>
                            </a:extLst>
                          </a:blip>
                          <a:stretch>
                            <a:fillRect/>
                          </a:stretch>
                        </pic:blipFill>
                        <pic:spPr>
                          <a:xfrm>
                            <a:off x="0" y="0"/>
                            <a:ext cx="2207895" cy="1470025"/>
                          </a:xfrm>
                          <a:prstGeom prst="rect">
                            <a:avLst/>
                          </a:prstGeom>
                        </pic:spPr>
                      </pic:pic>
                    </a:graphicData>
                  </a:graphic>
                </wp:inline>
              </w:drawing>
            </w:r>
          </w:p>
        </w:tc>
      </w:tr>
      <w:tr w:rsidR="000159E2" w:rsidRPr="00A07F29" w14:paraId="084298F6" w14:textId="77777777" w:rsidTr="63C42FA1">
        <w:trPr>
          <w:jc w:val="center"/>
        </w:trPr>
        <w:tc>
          <w:tcPr>
            <w:tcW w:w="562" w:type="dxa"/>
            <w:vAlign w:val="center"/>
          </w:tcPr>
          <w:p w14:paraId="2603CADD" w14:textId="77777777" w:rsidR="000159E2" w:rsidRPr="00A07F29" w:rsidRDefault="000159E2" w:rsidP="00F87589">
            <w:pPr>
              <w:numPr>
                <w:ilvl w:val="0"/>
                <w:numId w:val="41"/>
              </w:numPr>
              <w:spacing w:after="0" w:line="240" w:lineRule="auto"/>
              <w:ind w:left="0"/>
              <w:jc w:val="right"/>
              <w:rPr>
                <w:rFonts w:ascii="Times New Roman" w:eastAsia="Calibri" w:hAnsi="Times New Roman" w:cs="Times New Roman"/>
                <w:b/>
              </w:rPr>
            </w:pPr>
          </w:p>
        </w:tc>
        <w:tc>
          <w:tcPr>
            <w:tcW w:w="2415" w:type="dxa"/>
          </w:tcPr>
          <w:p w14:paraId="7A8A4298" w14:textId="77777777" w:rsidR="000159E2" w:rsidRPr="00A07F29" w:rsidRDefault="000159E2" w:rsidP="00351E7B">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 xml:space="preserve">Ceļš gar </w:t>
            </w:r>
            <w:proofErr w:type="spellStart"/>
            <w:r w:rsidRPr="00A07F29">
              <w:rPr>
                <w:rFonts w:ascii="Times New Roman" w:eastAsia="Calibri" w:hAnsi="Times New Roman" w:cs="Times New Roman"/>
              </w:rPr>
              <w:t>Varnaviču</w:t>
            </w:r>
            <w:proofErr w:type="spellEnd"/>
            <w:r w:rsidRPr="00A07F29">
              <w:rPr>
                <w:rFonts w:ascii="Times New Roman" w:eastAsia="Calibri" w:hAnsi="Times New Roman" w:cs="Times New Roman"/>
              </w:rPr>
              <w:t xml:space="preserve"> ezeru</w:t>
            </w:r>
          </w:p>
        </w:tc>
        <w:tc>
          <w:tcPr>
            <w:tcW w:w="1129" w:type="dxa"/>
          </w:tcPr>
          <w:p w14:paraId="2529B7E8" w14:textId="77777777" w:rsidR="000159E2" w:rsidRPr="00A07F29" w:rsidRDefault="000159E2" w:rsidP="00351E7B">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1,14</w:t>
            </w:r>
          </w:p>
        </w:tc>
        <w:tc>
          <w:tcPr>
            <w:tcW w:w="2277" w:type="dxa"/>
          </w:tcPr>
          <w:p w14:paraId="4C810E55" w14:textId="20F7A29F" w:rsidR="000159E2" w:rsidRPr="00A07F29" w:rsidRDefault="000159E2" w:rsidP="00351E7B">
            <w:pPr>
              <w:spacing w:after="0" w:line="240" w:lineRule="auto"/>
              <w:jc w:val="both"/>
              <w:rPr>
                <w:rFonts w:ascii="Times New Roman" w:eastAsia="Calibri" w:hAnsi="Times New Roman" w:cs="Times New Roman"/>
              </w:rPr>
            </w:pPr>
            <w:r w:rsidRPr="00A07F29">
              <w:rPr>
                <w:rFonts w:ascii="Times New Roman" w:eastAsia="Calibri" w:hAnsi="Times New Roman" w:cs="Times New Roman"/>
              </w:rPr>
              <w:t xml:space="preserve">Ceļmalu pļaušana, attīrīšana no krūmājiem. Lauksaimniecības zemju saglabāšana. Veicot ceļa </w:t>
            </w:r>
            <w:r w:rsidR="00732CC9" w:rsidRPr="00A07F29">
              <w:rPr>
                <w:rFonts w:ascii="Times New Roman" w:eastAsia="Calibri" w:hAnsi="Times New Roman" w:cs="Times New Roman"/>
              </w:rPr>
              <w:t>pārbūvi</w:t>
            </w:r>
            <w:r w:rsidRPr="00A07F29">
              <w:rPr>
                <w:rFonts w:ascii="Times New Roman" w:eastAsia="Calibri" w:hAnsi="Times New Roman" w:cs="Times New Roman"/>
              </w:rPr>
              <w:t>, nav pieļaujama reljefa pārveidošana.</w:t>
            </w:r>
          </w:p>
        </w:tc>
        <w:tc>
          <w:tcPr>
            <w:tcW w:w="3693" w:type="dxa"/>
          </w:tcPr>
          <w:p w14:paraId="0E0F9E8F" w14:textId="77777777" w:rsidR="000159E2" w:rsidRPr="00A07F29" w:rsidRDefault="000159E2" w:rsidP="00351E7B">
            <w:pPr>
              <w:spacing w:after="0" w:line="240" w:lineRule="auto"/>
              <w:jc w:val="center"/>
              <w:rPr>
                <w:rFonts w:ascii="Times New Roman" w:eastAsia="Calibri" w:hAnsi="Times New Roman" w:cs="Times New Roman"/>
              </w:rPr>
            </w:pPr>
            <w:r w:rsidRPr="00A07F29">
              <w:rPr>
                <w:noProof/>
                <w:lang w:eastAsia="lv-LV"/>
              </w:rPr>
              <w:drawing>
                <wp:inline distT="0" distB="0" distL="0" distR="0" wp14:anchorId="4AFE1806" wp14:editId="79F0F47C">
                  <wp:extent cx="2207895" cy="1469771"/>
                  <wp:effectExtent l="0" t="0" r="1905"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pic:nvPicPr>
                        <pic:blipFill>
                          <a:blip r:embed="rId197">
                            <a:extLst>
                              <a:ext uri="{28A0092B-C50C-407E-A947-70E740481C1C}">
                                <a14:useLocalDpi xmlns:a14="http://schemas.microsoft.com/office/drawing/2010/main"/>
                              </a:ext>
                            </a:extLst>
                          </a:blip>
                          <a:stretch>
                            <a:fillRect/>
                          </a:stretch>
                        </pic:blipFill>
                        <pic:spPr>
                          <a:xfrm>
                            <a:off x="0" y="0"/>
                            <a:ext cx="2207895" cy="1469771"/>
                          </a:xfrm>
                          <a:prstGeom prst="rect">
                            <a:avLst/>
                          </a:prstGeom>
                        </pic:spPr>
                      </pic:pic>
                    </a:graphicData>
                  </a:graphic>
                </wp:inline>
              </w:drawing>
            </w:r>
          </w:p>
        </w:tc>
      </w:tr>
    </w:tbl>
    <w:p w14:paraId="27838C3B" w14:textId="2A43304E" w:rsidR="00A7556A" w:rsidRPr="0045015D" w:rsidRDefault="00A21E83" w:rsidP="002E539D">
      <w:pPr>
        <w:keepNext/>
        <w:spacing w:before="240" w:after="120" w:line="240" w:lineRule="auto"/>
        <w:jc w:val="both"/>
        <w:rPr>
          <w:rFonts w:ascii="Times New Roman" w:eastAsia="Calibri" w:hAnsi="Times New Roman" w:cs="Calibri"/>
          <w:b/>
          <w:bCs/>
          <w:sz w:val="24"/>
          <w:lang w:eastAsia="ja-JP"/>
        </w:rPr>
      </w:pPr>
      <w:r w:rsidRPr="0045015D">
        <w:rPr>
          <w:rFonts w:ascii="Times New Roman" w:eastAsia="Calibri" w:hAnsi="Times New Roman" w:cs="Calibri"/>
          <w:b/>
          <w:bCs/>
          <w:sz w:val="24"/>
          <w:lang w:eastAsia="ja-JP"/>
        </w:rPr>
        <w:t xml:space="preserve">E.2. </w:t>
      </w:r>
      <w:r w:rsidR="001C4EBE" w:rsidRPr="0045015D">
        <w:rPr>
          <w:rFonts w:ascii="Times New Roman" w:eastAsia="Calibri" w:hAnsi="Times New Roman" w:cs="Calibri"/>
          <w:b/>
          <w:bCs/>
          <w:sz w:val="24"/>
          <w:lang w:eastAsia="ja-JP"/>
        </w:rPr>
        <w:t xml:space="preserve">Veicināt </w:t>
      </w:r>
      <w:r w:rsidR="00A7556A" w:rsidRPr="0045015D">
        <w:rPr>
          <w:rFonts w:ascii="Times New Roman" w:eastAsia="Calibri" w:hAnsi="Times New Roman" w:cs="Calibri"/>
          <w:b/>
          <w:bCs/>
          <w:sz w:val="24"/>
          <w:lang w:eastAsia="ja-JP"/>
        </w:rPr>
        <w:t xml:space="preserve">kultūrvēsturiskā mantojuma </w:t>
      </w:r>
      <w:r w:rsidR="001C4EBE" w:rsidRPr="0045015D">
        <w:rPr>
          <w:rFonts w:ascii="Times New Roman" w:eastAsia="Calibri" w:hAnsi="Times New Roman" w:cs="Calibri"/>
          <w:b/>
          <w:bCs/>
          <w:sz w:val="24"/>
          <w:lang w:eastAsia="ja-JP"/>
        </w:rPr>
        <w:t>saglabāšanu un iesaistīšanu tūrisma piedāvājumā</w:t>
      </w:r>
    </w:p>
    <w:p w14:paraId="1DFCE5AF" w14:textId="7794DBC4" w:rsidR="000C1C1D" w:rsidRPr="00A07F29" w:rsidRDefault="2EDB2669" w:rsidP="000C1C1D">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Nepieciešams saglabāt Augšdaugavai raksturīgo kultūrvēsturisko apbūvi (saglabāt ēku izvietojuma principus, koka logus un aplodas, sienas u</w:t>
      </w:r>
      <w:r w:rsidR="00F12470">
        <w:rPr>
          <w:rFonts w:ascii="Times New Roman" w:eastAsia="Calibri" w:hAnsi="Times New Roman" w:cs="Times New Roman"/>
          <w:sz w:val="24"/>
          <w:szCs w:val="24"/>
        </w:rPr>
        <w:t>.</w:t>
      </w:r>
      <w:r w:rsidRPr="00A07F29">
        <w:rPr>
          <w:rFonts w:ascii="Times New Roman" w:eastAsia="Calibri" w:hAnsi="Times New Roman" w:cs="Times New Roman"/>
          <w:sz w:val="24"/>
          <w:szCs w:val="24"/>
        </w:rPr>
        <w:t>tml.) un koka arhitektūras objektus</w:t>
      </w:r>
      <w:r w:rsidR="0028320D" w:rsidRPr="00A07F29">
        <w:rPr>
          <w:rFonts w:ascii="Times New Roman" w:eastAsia="Calibri" w:hAnsi="Times New Roman" w:cs="Times New Roman"/>
          <w:sz w:val="24"/>
          <w:szCs w:val="24"/>
        </w:rPr>
        <w:t xml:space="preserve"> </w:t>
      </w:r>
      <w:r w:rsidR="0028320D" w:rsidRPr="00A07F29">
        <w:rPr>
          <w:rFonts w:ascii="Times New Roman" w:eastAsia="Calibri" w:hAnsi="Times New Roman" w:cs="Times New Roman"/>
          <w:sz w:val="24"/>
          <w:szCs w:val="24"/>
        </w:rPr>
        <w:lastRenderedPageBreak/>
        <w:t>(nozīmīgākos skat. 5.3.5</w:t>
      </w:r>
      <w:r w:rsidR="005823FF">
        <w:rPr>
          <w:rFonts w:ascii="Times New Roman" w:eastAsia="Calibri" w:hAnsi="Times New Roman" w:cs="Times New Roman"/>
          <w:sz w:val="24"/>
          <w:szCs w:val="24"/>
        </w:rPr>
        <w:t>3</w:t>
      </w:r>
      <w:r w:rsidR="0028320D" w:rsidRPr="00A07F29">
        <w:rPr>
          <w:rFonts w:ascii="Times New Roman" w:eastAsia="Calibri" w:hAnsi="Times New Roman" w:cs="Times New Roman"/>
          <w:sz w:val="24"/>
          <w:szCs w:val="24"/>
        </w:rPr>
        <w:t>.</w:t>
      </w:r>
      <w:r w:rsidR="005823FF">
        <w:rPr>
          <w:rFonts w:ascii="Times New Roman" w:eastAsia="Calibri" w:hAnsi="Times New Roman" w:cs="Times New Roman"/>
          <w:sz w:val="24"/>
          <w:szCs w:val="24"/>
        </w:rPr>
        <w:t> </w:t>
      </w:r>
      <w:r w:rsidR="0028320D" w:rsidRPr="00A07F29">
        <w:rPr>
          <w:rFonts w:ascii="Times New Roman" w:eastAsia="Calibri" w:hAnsi="Times New Roman" w:cs="Times New Roman"/>
          <w:sz w:val="24"/>
          <w:szCs w:val="24"/>
        </w:rPr>
        <w:t>attēlā)</w:t>
      </w:r>
      <w:r w:rsidRPr="00A07F29">
        <w:rPr>
          <w:rFonts w:ascii="Times New Roman" w:eastAsia="Calibri" w:hAnsi="Times New Roman" w:cs="Times New Roman"/>
          <w:sz w:val="24"/>
          <w:szCs w:val="24"/>
        </w:rPr>
        <w:t>. Lai motivētu īpašniekus saglabāt vēsturisko apbūvi, būtu svarīgi izveidot speciālu valsts vai pašvaldību atbalsta programmu ar kompensācijām, subsīdijām, nodokļu atlaidēm u</w:t>
      </w:r>
      <w:r w:rsidR="00F12470">
        <w:rPr>
          <w:rFonts w:ascii="Times New Roman" w:eastAsia="Calibri" w:hAnsi="Times New Roman" w:cs="Times New Roman"/>
          <w:sz w:val="24"/>
          <w:szCs w:val="24"/>
        </w:rPr>
        <w:t>.</w:t>
      </w:r>
      <w:r w:rsidRPr="00A07F29">
        <w:rPr>
          <w:rFonts w:ascii="Times New Roman" w:eastAsia="Calibri" w:hAnsi="Times New Roman" w:cs="Times New Roman"/>
          <w:sz w:val="24"/>
          <w:szCs w:val="24"/>
        </w:rPr>
        <w:t>tml.</w:t>
      </w:r>
    </w:p>
    <w:p w14:paraId="6787DE41" w14:textId="64C61B65" w:rsidR="000C1C1D" w:rsidRPr="00A07F29" w:rsidRDefault="000C1C1D" w:rsidP="000C1C1D">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Kultūras pieminekļu apkārtnē jāsaglabā kultūrainava ar lauku ainavas raksturu, respektējot tās saglabājamās vērtības, kur kultūras pieminekļi ir dominante. Pieļaujama jaunu ēku/būvju būvniecība vai esošo ēku/būvju pārbūve vai atjaunošana, kas ar savu apjomu, arhitektonisko risinājumu, augstumu, materiālu lietojumu un tonalitāti nerada vizuālās uztveres traucējumu kultūras pieminekļiem un to tradicionālai ainavai.</w:t>
      </w:r>
    </w:p>
    <w:p w14:paraId="77A3E9BD" w14:textId="03B6B38D" w:rsidR="000C1C1D" w:rsidRPr="00A07F29" w:rsidRDefault="000C1C1D" w:rsidP="000C1C1D">
      <w:pPr>
        <w:spacing w:after="120" w:line="240" w:lineRule="auto"/>
        <w:ind w:firstLine="851"/>
        <w:jc w:val="both"/>
        <w:rPr>
          <w:rFonts w:ascii="Times New Roman" w:eastAsia="Calibri" w:hAnsi="Times New Roman" w:cs="Calibri"/>
          <w:sz w:val="24"/>
        </w:rPr>
      </w:pPr>
      <w:r w:rsidRPr="00A07F29">
        <w:rPr>
          <w:rFonts w:ascii="Times New Roman" w:eastAsia="Calibri" w:hAnsi="Times New Roman" w:cs="Calibri"/>
          <w:sz w:val="24"/>
        </w:rPr>
        <w:t xml:space="preserve">Arheoloģijas pieminekļu aizsardzības zonas teritorijā nav pieļaujama esošā reljefa būtiska pārveidošana. Veicot ar zemes reljefa pārveidojumiem saistītas darbības, var atklāties jaunas arheoloģiskas liecības, tādā gadījumā darbi jāpārtrauc un jāziņo </w:t>
      </w:r>
      <w:r w:rsidRPr="00F12470">
        <w:rPr>
          <w:rFonts w:ascii="Times New Roman" w:eastAsia="Calibri" w:hAnsi="Times New Roman" w:cs="Calibri"/>
          <w:sz w:val="24"/>
        </w:rPr>
        <w:t>N</w:t>
      </w:r>
      <w:r w:rsidR="00F12470" w:rsidRPr="00F12470">
        <w:rPr>
          <w:rFonts w:ascii="Times New Roman" w:eastAsia="Calibri" w:hAnsi="Times New Roman" w:cs="Calibri"/>
          <w:sz w:val="24"/>
        </w:rPr>
        <w:t>KMP</w:t>
      </w:r>
      <w:r w:rsidRPr="00F12470">
        <w:rPr>
          <w:rFonts w:ascii="Times New Roman" w:eastAsia="Calibri" w:hAnsi="Times New Roman" w:cs="Calibri"/>
          <w:sz w:val="24"/>
        </w:rPr>
        <w:t>.</w:t>
      </w:r>
    </w:p>
    <w:p w14:paraId="40EFBA6F" w14:textId="1EA4FA59" w:rsidR="00A9336A" w:rsidRPr="00A07F29" w:rsidRDefault="2EDB2669" w:rsidP="00A9336A">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Teritorijas kultūrvēsturisko vērtību un ainavas saglabāšana un atjaunošana paaugstinās teritorijas pievilcību arī no tūrisma aspekta. Līdz ar to ir svarīgi renovēt kultūrvēsturiskos objektus, kas šobrīd nav pilnībā iesaistīti tūrisma apritē, </w:t>
      </w:r>
      <w:r w:rsidR="00A9336A" w:rsidRPr="00A07F29">
        <w:rPr>
          <w:rFonts w:ascii="Times New Roman" w:eastAsia="Calibri" w:hAnsi="Times New Roman" w:cs="Times New Roman"/>
          <w:sz w:val="24"/>
          <w:szCs w:val="24"/>
        </w:rPr>
        <w:t>kā arī ieteicams izveidot J.</w:t>
      </w:r>
      <w:r w:rsidR="00CC7FBE">
        <w:rPr>
          <w:rFonts w:ascii="Times New Roman" w:eastAsia="Calibri" w:hAnsi="Times New Roman" w:cs="Times New Roman"/>
          <w:sz w:val="24"/>
          <w:szCs w:val="24"/>
        </w:rPr>
        <w:t> </w:t>
      </w:r>
      <w:r w:rsidR="00A9336A" w:rsidRPr="00A07F29">
        <w:rPr>
          <w:rFonts w:ascii="Times New Roman" w:eastAsia="Calibri" w:hAnsi="Times New Roman" w:cs="Times New Roman"/>
          <w:sz w:val="24"/>
          <w:szCs w:val="24"/>
        </w:rPr>
        <w:t>Jaunsudrabiņa muzeju Kaplavā. T</w:t>
      </w:r>
      <w:r w:rsidRPr="00A07F29">
        <w:rPr>
          <w:rFonts w:ascii="Times New Roman" w:eastAsia="Calibri" w:hAnsi="Times New Roman" w:cs="Times New Roman"/>
          <w:sz w:val="24"/>
          <w:szCs w:val="24"/>
        </w:rPr>
        <w:t xml:space="preserve">ādējādi </w:t>
      </w:r>
      <w:r w:rsidR="004519DE" w:rsidRPr="00A07F29">
        <w:rPr>
          <w:rFonts w:ascii="Times New Roman" w:eastAsia="Calibri" w:hAnsi="Times New Roman" w:cs="Times New Roman"/>
          <w:sz w:val="24"/>
          <w:szCs w:val="24"/>
        </w:rPr>
        <w:t>paplašināsies tūrisma piedāvājums, ietverot jaunus k</w:t>
      </w:r>
      <w:r w:rsidRPr="00A07F29">
        <w:rPr>
          <w:rFonts w:ascii="Times New Roman" w:eastAsia="Calibri" w:hAnsi="Times New Roman" w:cs="Times New Roman"/>
          <w:sz w:val="24"/>
          <w:szCs w:val="24"/>
        </w:rPr>
        <w:t>ultūrvēsturisk</w:t>
      </w:r>
      <w:r w:rsidR="004519DE" w:rsidRPr="00A07F29">
        <w:rPr>
          <w:rFonts w:ascii="Times New Roman" w:eastAsia="Calibri" w:hAnsi="Times New Roman" w:cs="Times New Roman"/>
          <w:sz w:val="24"/>
          <w:szCs w:val="24"/>
        </w:rPr>
        <w:t>us</w:t>
      </w:r>
      <w:r w:rsidRPr="00A07F29">
        <w:rPr>
          <w:rFonts w:ascii="Times New Roman" w:eastAsia="Calibri" w:hAnsi="Times New Roman" w:cs="Times New Roman"/>
          <w:sz w:val="24"/>
          <w:szCs w:val="24"/>
        </w:rPr>
        <w:t xml:space="preserve"> </w:t>
      </w:r>
      <w:r w:rsidR="004519DE" w:rsidRPr="00A07F29">
        <w:rPr>
          <w:rFonts w:ascii="Times New Roman" w:eastAsia="Calibri" w:hAnsi="Times New Roman" w:cs="Times New Roman"/>
          <w:sz w:val="24"/>
          <w:szCs w:val="24"/>
        </w:rPr>
        <w:t>objektus</w:t>
      </w:r>
      <w:r w:rsidR="00A9336A" w:rsidRPr="00A07F29">
        <w:rPr>
          <w:rFonts w:ascii="Times New Roman" w:eastAsia="Calibri" w:hAnsi="Times New Roman" w:cs="Times New Roman"/>
          <w:sz w:val="24"/>
          <w:szCs w:val="24"/>
        </w:rPr>
        <w:t xml:space="preserve">. </w:t>
      </w:r>
    </w:p>
    <w:p w14:paraId="7E3C7BEF" w14:textId="1A51A639" w:rsidR="0019652E" w:rsidRPr="00A07F29" w:rsidRDefault="00A43E8A" w:rsidP="0019652E">
      <w:pPr>
        <w:spacing w:before="240" w:after="120" w:line="240" w:lineRule="auto"/>
        <w:jc w:val="both"/>
        <w:rPr>
          <w:rFonts w:ascii="Times New Roman" w:eastAsia="Calibri" w:hAnsi="Times New Roman" w:cs="Times New Roman"/>
          <w:b/>
          <w:i/>
          <w:sz w:val="24"/>
          <w:szCs w:val="24"/>
        </w:rPr>
      </w:pPr>
      <w:r w:rsidRPr="00A07F29">
        <w:rPr>
          <w:rFonts w:ascii="Times New Roman" w:eastAsia="Calibri" w:hAnsi="Times New Roman" w:cs="Times New Roman"/>
          <w:b/>
          <w:i/>
          <w:sz w:val="24"/>
          <w:szCs w:val="24"/>
        </w:rPr>
        <w:t>E.2.</w:t>
      </w:r>
      <w:r w:rsidR="004519DE" w:rsidRPr="00A07F29">
        <w:rPr>
          <w:rFonts w:ascii="Times New Roman" w:eastAsia="Calibri" w:hAnsi="Times New Roman" w:cs="Times New Roman"/>
          <w:b/>
          <w:i/>
          <w:sz w:val="24"/>
          <w:szCs w:val="24"/>
        </w:rPr>
        <w:t>1</w:t>
      </w:r>
      <w:r w:rsidRPr="00A07F29">
        <w:rPr>
          <w:rFonts w:ascii="Times New Roman" w:eastAsia="Calibri" w:hAnsi="Times New Roman" w:cs="Times New Roman"/>
          <w:b/>
          <w:i/>
          <w:sz w:val="24"/>
          <w:szCs w:val="24"/>
        </w:rPr>
        <w:t xml:space="preserve">. </w:t>
      </w:r>
      <w:proofErr w:type="spellStart"/>
      <w:r w:rsidR="0019652E" w:rsidRPr="00A07F29">
        <w:rPr>
          <w:rFonts w:ascii="Times New Roman" w:eastAsia="Calibri" w:hAnsi="Times New Roman" w:cs="Times New Roman"/>
          <w:b/>
          <w:i/>
          <w:sz w:val="24"/>
          <w:szCs w:val="24"/>
        </w:rPr>
        <w:t>Vecbornes</w:t>
      </w:r>
      <w:proofErr w:type="spellEnd"/>
      <w:r w:rsidR="0019652E" w:rsidRPr="00A07F29">
        <w:rPr>
          <w:rFonts w:ascii="Times New Roman" w:eastAsia="Calibri" w:hAnsi="Times New Roman" w:cs="Times New Roman"/>
          <w:b/>
          <w:i/>
          <w:sz w:val="24"/>
          <w:szCs w:val="24"/>
        </w:rPr>
        <w:t xml:space="preserve"> muižas atjaunošana</w:t>
      </w:r>
    </w:p>
    <w:p w14:paraId="616B5927" w14:textId="5123B0E9" w:rsidR="00A43E8A" w:rsidRPr="00A07F29" w:rsidRDefault="2EDB2669" w:rsidP="00A43E8A">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Nepieciešams atjaunot un labiekārtot </w:t>
      </w:r>
      <w:proofErr w:type="spellStart"/>
      <w:r w:rsidRPr="00A07F29">
        <w:rPr>
          <w:rFonts w:ascii="Times New Roman" w:eastAsia="Calibri" w:hAnsi="Times New Roman" w:cs="Times New Roman"/>
          <w:sz w:val="24"/>
          <w:szCs w:val="24"/>
        </w:rPr>
        <w:t>Vecbornes</w:t>
      </w:r>
      <w:proofErr w:type="spellEnd"/>
      <w:r w:rsidRPr="00A07F29">
        <w:rPr>
          <w:rFonts w:ascii="Times New Roman" w:eastAsia="Calibri" w:hAnsi="Times New Roman" w:cs="Times New Roman"/>
          <w:sz w:val="24"/>
          <w:szCs w:val="24"/>
        </w:rPr>
        <w:t xml:space="preserve"> muižu (Kaplavas pagastā) un tās apkārtni (piemēram, izveidot naktsmītni, labiekārtot parku ar atpūtas vietām un pastaigu takām utt.).</w:t>
      </w:r>
    </w:p>
    <w:p w14:paraId="33D1C12E" w14:textId="5B7CCD23" w:rsidR="0019652E" w:rsidRPr="00A07F29" w:rsidRDefault="00A43E8A" w:rsidP="0019652E">
      <w:pPr>
        <w:spacing w:before="240" w:after="120" w:line="240" w:lineRule="auto"/>
        <w:jc w:val="both"/>
        <w:rPr>
          <w:rFonts w:ascii="Times New Roman" w:eastAsia="Calibri" w:hAnsi="Times New Roman" w:cs="Times New Roman"/>
          <w:b/>
          <w:i/>
          <w:sz w:val="24"/>
          <w:szCs w:val="24"/>
        </w:rPr>
      </w:pPr>
      <w:r w:rsidRPr="00A07F29">
        <w:rPr>
          <w:rFonts w:ascii="Times New Roman" w:eastAsia="Calibri" w:hAnsi="Times New Roman" w:cs="Times New Roman"/>
          <w:b/>
          <w:i/>
          <w:sz w:val="24"/>
          <w:szCs w:val="24"/>
        </w:rPr>
        <w:t>E.2.</w:t>
      </w:r>
      <w:r w:rsidR="004519DE" w:rsidRPr="00A07F29">
        <w:rPr>
          <w:rFonts w:ascii="Times New Roman" w:eastAsia="Calibri" w:hAnsi="Times New Roman" w:cs="Times New Roman"/>
          <w:b/>
          <w:i/>
          <w:sz w:val="24"/>
          <w:szCs w:val="24"/>
        </w:rPr>
        <w:t>2</w:t>
      </w:r>
      <w:r w:rsidRPr="00A07F29">
        <w:rPr>
          <w:rFonts w:ascii="Times New Roman" w:eastAsia="Calibri" w:hAnsi="Times New Roman" w:cs="Times New Roman"/>
          <w:b/>
          <w:i/>
          <w:sz w:val="24"/>
          <w:szCs w:val="24"/>
        </w:rPr>
        <w:t xml:space="preserve">. </w:t>
      </w:r>
      <w:proofErr w:type="spellStart"/>
      <w:r w:rsidR="0019652E" w:rsidRPr="00A07F29">
        <w:rPr>
          <w:rFonts w:ascii="Times New Roman" w:eastAsia="Calibri" w:hAnsi="Times New Roman" w:cs="Times New Roman"/>
          <w:b/>
          <w:i/>
          <w:sz w:val="24"/>
          <w:szCs w:val="24"/>
        </w:rPr>
        <w:t>Kultūrvēsturisturisko</w:t>
      </w:r>
      <w:proofErr w:type="spellEnd"/>
      <w:r w:rsidR="0019652E" w:rsidRPr="00A07F29">
        <w:rPr>
          <w:rFonts w:ascii="Times New Roman" w:eastAsia="Calibri" w:hAnsi="Times New Roman" w:cs="Times New Roman"/>
          <w:b/>
          <w:i/>
          <w:sz w:val="24"/>
          <w:szCs w:val="24"/>
        </w:rPr>
        <w:t xml:space="preserve"> ēku un kultūrainavas atjaunošana un uzturēšana</w:t>
      </w:r>
    </w:p>
    <w:p w14:paraId="0FF19CB1" w14:textId="50F6C6CA" w:rsidR="0019652E" w:rsidRPr="00A07F29" w:rsidRDefault="0019652E" w:rsidP="0019652E">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Nepieciešams r</w:t>
      </w:r>
      <w:r w:rsidR="00A43E8A" w:rsidRPr="00A07F29">
        <w:rPr>
          <w:rFonts w:ascii="Times New Roman" w:eastAsia="Calibri" w:hAnsi="Times New Roman" w:cs="Times New Roman"/>
          <w:sz w:val="24"/>
          <w:szCs w:val="24"/>
        </w:rPr>
        <w:t xml:space="preserve">estaurēt, </w:t>
      </w:r>
      <w:r w:rsidRPr="00A07F29">
        <w:rPr>
          <w:rFonts w:ascii="Times New Roman" w:eastAsia="Calibri" w:hAnsi="Times New Roman" w:cs="Times New Roman"/>
          <w:sz w:val="24"/>
          <w:szCs w:val="24"/>
        </w:rPr>
        <w:t xml:space="preserve">atjaunot </w:t>
      </w:r>
      <w:r w:rsidR="00A43E8A" w:rsidRPr="00A07F29">
        <w:rPr>
          <w:rFonts w:ascii="Times New Roman" w:eastAsia="Calibri" w:hAnsi="Times New Roman" w:cs="Times New Roman"/>
          <w:sz w:val="24"/>
          <w:szCs w:val="24"/>
        </w:rPr>
        <w:t>uzturēt ēkas un kultūrainavu</w:t>
      </w:r>
      <w:r w:rsidRPr="00A07F29">
        <w:rPr>
          <w:rFonts w:ascii="Times New Roman" w:eastAsia="Calibri" w:hAnsi="Times New Roman" w:cs="Times New Roman"/>
          <w:sz w:val="24"/>
          <w:szCs w:val="24"/>
        </w:rPr>
        <w:t>:</w:t>
      </w:r>
    </w:p>
    <w:p w14:paraId="132548F2" w14:textId="26351983" w:rsidR="0019652E" w:rsidRPr="00A07F29" w:rsidRDefault="00A43E8A" w:rsidP="00F87589">
      <w:pPr>
        <w:pStyle w:val="ListParagraph"/>
        <w:numPr>
          <w:ilvl w:val="0"/>
          <w:numId w:val="48"/>
        </w:numPr>
        <w:spacing w:line="240" w:lineRule="auto"/>
        <w:ind w:left="851" w:hanging="567"/>
        <w:contextualSpacing w:val="0"/>
        <w:rPr>
          <w:rFonts w:cs="Times New Roman"/>
          <w:szCs w:val="24"/>
        </w:rPr>
      </w:pPr>
      <w:proofErr w:type="spellStart"/>
      <w:r w:rsidRPr="00A07F29">
        <w:rPr>
          <w:rFonts w:cs="Times New Roman"/>
          <w:szCs w:val="24"/>
        </w:rPr>
        <w:t>Veckaplavas</w:t>
      </w:r>
      <w:proofErr w:type="spellEnd"/>
      <w:r w:rsidRPr="00A07F29">
        <w:rPr>
          <w:rFonts w:cs="Times New Roman"/>
          <w:szCs w:val="24"/>
        </w:rPr>
        <w:t xml:space="preserve"> plostnieku-zvejnieku sētu grupā, </w:t>
      </w:r>
    </w:p>
    <w:p w14:paraId="7802ECE7" w14:textId="77777777" w:rsidR="0019652E" w:rsidRPr="00A07F29" w:rsidRDefault="00A43E8A" w:rsidP="00F87589">
      <w:pPr>
        <w:pStyle w:val="ListParagraph"/>
        <w:numPr>
          <w:ilvl w:val="0"/>
          <w:numId w:val="48"/>
        </w:numPr>
        <w:spacing w:line="240" w:lineRule="auto"/>
        <w:ind w:left="851" w:hanging="567"/>
        <w:contextualSpacing w:val="0"/>
        <w:rPr>
          <w:rFonts w:cs="Times New Roman"/>
          <w:szCs w:val="24"/>
        </w:rPr>
      </w:pPr>
      <w:proofErr w:type="spellStart"/>
      <w:r w:rsidRPr="00A07F29">
        <w:rPr>
          <w:rFonts w:cs="Times New Roman"/>
          <w:szCs w:val="24"/>
        </w:rPr>
        <w:t>Augustinišku</w:t>
      </w:r>
      <w:proofErr w:type="spellEnd"/>
      <w:r w:rsidRPr="00A07F29">
        <w:rPr>
          <w:rFonts w:cs="Times New Roman"/>
          <w:szCs w:val="24"/>
        </w:rPr>
        <w:t xml:space="preserve"> plostnieku-zvejnieku sētu grupā, </w:t>
      </w:r>
    </w:p>
    <w:p w14:paraId="6AED2D25" w14:textId="77777777" w:rsidR="0019652E" w:rsidRPr="00A07F29" w:rsidRDefault="00A43E8A" w:rsidP="00F87589">
      <w:pPr>
        <w:pStyle w:val="ListParagraph"/>
        <w:numPr>
          <w:ilvl w:val="0"/>
          <w:numId w:val="48"/>
        </w:numPr>
        <w:spacing w:line="240" w:lineRule="auto"/>
        <w:ind w:left="851" w:hanging="567"/>
        <w:contextualSpacing w:val="0"/>
        <w:rPr>
          <w:rFonts w:cs="Times New Roman"/>
          <w:szCs w:val="24"/>
        </w:rPr>
      </w:pPr>
      <w:r w:rsidRPr="00A07F29">
        <w:rPr>
          <w:rFonts w:cs="Times New Roman"/>
          <w:szCs w:val="24"/>
        </w:rPr>
        <w:t xml:space="preserve">Muļķu sādžā, </w:t>
      </w:r>
    </w:p>
    <w:p w14:paraId="6E481697" w14:textId="33A69F09" w:rsidR="00A43E8A" w:rsidRPr="00A07F29" w:rsidRDefault="00A43E8A" w:rsidP="00F87589">
      <w:pPr>
        <w:pStyle w:val="ListParagraph"/>
        <w:numPr>
          <w:ilvl w:val="0"/>
          <w:numId w:val="48"/>
        </w:numPr>
        <w:spacing w:line="240" w:lineRule="auto"/>
        <w:ind w:left="851" w:hanging="567"/>
        <w:contextualSpacing w:val="0"/>
        <w:rPr>
          <w:rFonts w:cs="Times New Roman"/>
          <w:szCs w:val="24"/>
        </w:rPr>
      </w:pPr>
      <w:proofErr w:type="spellStart"/>
      <w:r w:rsidRPr="00A07F29">
        <w:rPr>
          <w:rFonts w:cs="Times New Roman"/>
          <w:szCs w:val="24"/>
        </w:rPr>
        <w:t>Židinā</w:t>
      </w:r>
      <w:proofErr w:type="spellEnd"/>
      <w:r w:rsidRPr="00A07F29">
        <w:rPr>
          <w:rFonts w:cs="Times New Roman"/>
          <w:szCs w:val="24"/>
        </w:rPr>
        <w:t>.</w:t>
      </w:r>
    </w:p>
    <w:p w14:paraId="1A2FFAE8" w14:textId="0220A932" w:rsidR="009C4F39" w:rsidRPr="00A07F29" w:rsidRDefault="009C4F39" w:rsidP="009C4F39">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Nepieciešams veicināt kultūrvēsturisko ēku kvalitatīvu atjaunošanu, īpašu uzmanību pievēršot autentiskuma saglabāšanai, paredzot atbalstu iedzīvotājiem šajā jomā. Īpaša uzmanība pievēršama seno būvju oriģinālām detaļām, kas raksturo senlaicīgo ēku (šķūņu, dūmu </w:t>
      </w:r>
      <w:proofErr w:type="spellStart"/>
      <w:r w:rsidRPr="00A07F29">
        <w:rPr>
          <w:rFonts w:ascii="Times New Roman" w:eastAsia="Calibri" w:hAnsi="Times New Roman" w:cs="Times New Roman"/>
          <w:sz w:val="24"/>
          <w:szCs w:val="24"/>
        </w:rPr>
        <w:t>piršu</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klēšu</w:t>
      </w:r>
      <w:proofErr w:type="spellEnd"/>
      <w:r w:rsidRPr="00A07F29">
        <w:rPr>
          <w:rFonts w:ascii="Times New Roman" w:eastAsia="Calibri" w:hAnsi="Times New Roman" w:cs="Times New Roman"/>
          <w:sz w:val="24"/>
          <w:szCs w:val="24"/>
        </w:rPr>
        <w:t>, u.c.) sava laika amatniecības paņēmienus un kvalitāti (lubu vai salmu jumti, guļbaļķi, akmens krāšņu pirtis, u.tml.).</w:t>
      </w:r>
    </w:p>
    <w:p w14:paraId="3A078AE0" w14:textId="04E8FC82" w:rsidR="00243C3D" w:rsidRPr="00A07F29" w:rsidRDefault="00243C3D" w:rsidP="009C4F39">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Ieteicams apzināt bijušās mājvietas (latgaliski</w:t>
      </w:r>
      <w:r w:rsidR="007F61DC">
        <w:rPr>
          <w:rFonts w:ascii="Times New Roman" w:eastAsia="Calibri" w:hAnsi="Times New Roman" w:cs="Times New Roman"/>
          <w:sz w:val="24"/>
          <w:szCs w:val="24"/>
        </w:rPr>
        <w:t> – </w:t>
      </w:r>
      <w:proofErr w:type="spellStart"/>
      <w:r w:rsidRPr="00A07F29">
        <w:rPr>
          <w:rFonts w:ascii="Times New Roman" w:eastAsia="Calibri" w:hAnsi="Times New Roman" w:cs="Times New Roman"/>
          <w:sz w:val="24"/>
          <w:szCs w:val="24"/>
        </w:rPr>
        <w:t>sādeibas</w:t>
      </w:r>
      <w:proofErr w:type="spellEnd"/>
      <w:r w:rsidRPr="00A07F29">
        <w:rPr>
          <w:rFonts w:ascii="Times New Roman" w:eastAsia="Calibri" w:hAnsi="Times New Roman" w:cs="Times New Roman"/>
          <w:sz w:val="24"/>
          <w:szCs w:val="24"/>
        </w:rPr>
        <w:t>) apsekošan</w:t>
      </w:r>
      <w:r w:rsidR="007F61DC">
        <w:rPr>
          <w:rFonts w:ascii="Times New Roman" w:eastAsia="Calibri" w:hAnsi="Times New Roman" w:cs="Times New Roman"/>
          <w:sz w:val="24"/>
          <w:szCs w:val="24"/>
        </w:rPr>
        <w:t>u</w:t>
      </w:r>
      <w:r w:rsidRPr="00A07F29">
        <w:rPr>
          <w:rFonts w:ascii="Times New Roman" w:eastAsia="Calibri" w:hAnsi="Times New Roman" w:cs="Times New Roman"/>
          <w:sz w:val="24"/>
          <w:szCs w:val="24"/>
        </w:rPr>
        <w:t xml:space="preserve"> un piemērotās vietās izvietot informācijas stendus par šo māju vēsturi un cilvēkiem.</w:t>
      </w:r>
    </w:p>
    <w:p w14:paraId="2E4D7AA3" w14:textId="2CD8B4C5" w:rsidR="00A21E83" w:rsidRPr="00A07F29" w:rsidRDefault="00A43E8A" w:rsidP="009A4300">
      <w:pPr>
        <w:spacing w:after="0" w:line="240" w:lineRule="auto"/>
        <w:rPr>
          <w:rFonts w:ascii="Times New Roman" w:eastAsia="Calibri" w:hAnsi="Times New Roman" w:cs="Calibri"/>
          <w:sz w:val="24"/>
        </w:rPr>
      </w:pPr>
      <w:r w:rsidRPr="00A07F29">
        <w:rPr>
          <w:noProof/>
          <w:lang w:eastAsia="lv-LV"/>
        </w:rPr>
        <w:lastRenderedPageBreak/>
        <w:drawing>
          <wp:inline distT="0" distB="0" distL="0" distR="0" wp14:anchorId="0874E52B" wp14:editId="46F7B6C1">
            <wp:extent cx="5760084" cy="2036445"/>
            <wp:effectExtent l="0" t="0" r="0" b="1905"/>
            <wp:docPr id="170371780" name="Picture 170371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371780"/>
                    <pic:cNvPicPr/>
                  </pic:nvPicPr>
                  <pic:blipFill>
                    <a:blip r:embed="rId198">
                      <a:extLst>
                        <a:ext uri="{28A0092B-C50C-407E-A947-70E740481C1C}">
                          <a14:useLocalDpi xmlns:a14="http://schemas.microsoft.com/office/drawing/2010/main" val="0"/>
                        </a:ext>
                      </a:extLst>
                    </a:blip>
                    <a:stretch>
                      <a:fillRect/>
                    </a:stretch>
                  </pic:blipFill>
                  <pic:spPr>
                    <a:xfrm>
                      <a:off x="0" y="0"/>
                      <a:ext cx="5760084" cy="2036445"/>
                    </a:xfrm>
                    <a:prstGeom prst="rect">
                      <a:avLst/>
                    </a:prstGeom>
                  </pic:spPr>
                </pic:pic>
              </a:graphicData>
            </a:graphic>
          </wp:inline>
        </w:drawing>
      </w:r>
    </w:p>
    <w:p w14:paraId="5B37503F" w14:textId="6ABC6124" w:rsidR="000E71AE" w:rsidRPr="002E539D" w:rsidRDefault="000E71AE" w:rsidP="009A4300">
      <w:pPr>
        <w:spacing w:before="120" w:after="120" w:line="240" w:lineRule="auto"/>
        <w:rPr>
          <w:rFonts w:ascii="Times New Roman" w:eastAsia="Calibri" w:hAnsi="Times New Roman" w:cs="Calibri"/>
          <w:sz w:val="20"/>
          <w:szCs w:val="20"/>
        </w:rPr>
      </w:pPr>
      <w:r w:rsidRPr="002E539D">
        <w:rPr>
          <w:rFonts w:ascii="Times New Roman" w:eastAsia="Calibri" w:hAnsi="Times New Roman" w:cs="Calibri"/>
          <w:sz w:val="20"/>
          <w:szCs w:val="20"/>
          <w:lang w:eastAsia="en-GB"/>
        </w:rPr>
        <w:t>5.3.</w:t>
      </w:r>
      <w:r w:rsidR="00B216DC" w:rsidRPr="002E539D">
        <w:rPr>
          <w:rFonts w:ascii="Times New Roman" w:eastAsia="Calibri" w:hAnsi="Times New Roman" w:cs="Calibri"/>
          <w:sz w:val="20"/>
          <w:szCs w:val="20"/>
          <w:lang w:eastAsia="en-GB"/>
        </w:rPr>
        <w:t>5</w:t>
      </w:r>
      <w:r w:rsidR="005823FF" w:rsidRPr="002E539D">
        <w:rPr>
          <w:rFonts w:ascii="Times New Roman" w:eastAsia="Calibri" w:hAnsi="Times New Roman" w:cs="Calibri"/>
          <w:sz w:val="20"/>
          <w:szCs w:val="20"/>
          <w:lang w:eastAsia="en-GB"/>
        </w:rPr>
        <w:t>3 </w:t>
      </w:r>
      <w:r w:rsidRPr="002E539D">
        <w:rPr>
          <w:rFonts w:ascii="Times New Roman" w:eastAsia="Calibri" w:hAnsi="Times New Roman" w:cs="Calibri"/>
          <w:sz w:val="20"/>
          <w:szCs w:val="20"/>
          <w:lang w:eastAsia="en-GB"/>
        </w:rPr>
        <w:t xml:space="preserve"> attēls. Kultūrvēsturiskā mantojuma </w:t>
      </w:r>
      <w:r w:rsidR="009A4300" w:rsidRPr="002E539D">
        <w:rPr>
          <w:rFonts w:ascii="Times New Roman" w:eastAsia="Calibri" w:hAnsi="Times New Roman" w:cs="Calibri"/>
          <w:sz w:val="20"/>
          <w:szCs w:val="20"/>
          <w:lang w:eastAsia="en-GB"/>
        </w:rPr>
        <w:t xml:space="preserve">saglabāšana </w:t>
      </w:r>
      <w:r w:rsidR="0019652E" w:rsidRPr="002E539D">
        <w:rPr>
          <w:rFonts w:ascii="Times New Roman" w:eastAsia="Calibri" w:hAnsi="Times New Roman" w:cs="Calibri"/>
          <w:sz w:val="20"/>
          <w:szCs w:val="20"/>
          <w:lang w:eastAsia="en-GB"/>
        </w:rPr>
        <w:t xml:space="preserve">un </w:t>
      </w:r>
      <w:r w:rsidR="009A4300" w:rsidRPr="002E539D">
        <w:rPr>
          <w:rFonts w:ascii="Times New Roman" w:eastAsia="Calibri" w:hAnsi="Times New Roman" w:cs="Calibri"/>
          <w:sz w:val="20"/>
          <w:szCs w:val="20"/>
          <w:lang w:eastAsia="en-GB"/>
        </w:rPr>
        <w:t xml:space="preserve">iesaistīšana </w:t>
      </w:r>
      <w:r w:rsidR="0019652E" w:rsidRPr="002E539D">
        <w:rPr>
          <w:rFonts w:ascii="Times New Roman" w:eastAsia="Calibri" w:hAnsi="Times New Roman" w:cs="Calibri"/>
          <w:sz w:val="20"/>
          <w:szCs w:val="20"/>
          <w:lang w:eastAsia="en-GB"/>
        </w:rPr>
        <w:t>tūrisma piedāvājumā</w:t>
      </w:r>
    </w:p>
    <w:p w14:paraId="09B1F596" w14:textId="77777777" w:rsidR="009C4F39" w:rsidRPr="00A07F29" w:rsidRDefault="009C4F39" w:rsidP="00A21E83">
      <w:pPr>
        <w:spacing w:before="120" w:after="0" w:line="240" w:lineRule="auto"/>
        <w:jc w:val="both"/>
        <w:rPr>
          <w:rFonts w:ascii="Times New Roman" w:eastAsia="Calibri" w:hAnsi="Times New Roman" w:cs="Calibri"/>
          <w:caps/>
          <w:sz w:val="24"/>
          <w:lang w:eastAsia="ja-JP"/>
        </w:rPr>
      </w:pPr>
    </w:p>
    <w:p w14:paraId="1F4E6963" w14:textId="2598786F" w:rsidR="00A21E83" w:rsidRPr="00A07F29" w:rsidRDefault="00A21E83" w:rsidP="00A21E83">
      <w:pPr>
        <w:spacing w:before="120" w:after="0" w:line="240" w:lineRule="auto"/>
        <w:jc w:val="both"/>
        <w:rPr>
          <w:rFonts w:ascii="Times New Roman" w:eastAsia="Calibri" w:hAnsi="Times New Roman" w:cs="Calibri"/>
          <w:caps/>
          <w:sz w:val="24"/>
          <w:lang w:eastAsia="ja-JP"/>
        </w:rPr>
      </w:pPr>
      <w:r w:rsidRPr="00A07F29">
        <w:rPr>
          <w:rFonts w:ascii="Times New Roman" w:eastAsia="Calibri" w:hAnsi="Times New Roman" w:cs="Calibri"/>
          <w:caps/>
          <w:sz w:val="24"/>
          <w:lang w:eastAsia="ja-JP"/>
        </w:rPr>
        <w:t>F. Izpēte un monitorings</w:t>
      </w:r>
    </w:p>
    <w:p w14:paraId="6271B1E1" w14:textId="77777777" w:rsidR="00102C98" w:rsidRPr="00A07F29" w:rsidRDefault="00102C98" w:rsidP="00102C98">
      <w:pPr>
        <w:spacing w:before="120" w:after="0" w:line="240" w:lineRule="auto"/>
        <w:jc w:val="both"/>
        <w:rPr>
          <w:rFonts w:ascii="Times New Roman" w:eastAsia="Calibri" w:hAnsi="Times New Roman" w:cs="Calibri"/>
          <w:b/>
          <w:sz w:val="24"/>
          <w:lang w:eastAsia="ja-JP"/>
        </w:rPr>
      </w:pPr>
      <w:r w:rsidRPr="00A07F29">
        <w:rPr>
          <w:rFonts w:ascii="Times New Roman" w:eastAsia="Calibri" w:hAnsi="Times New Roman" w:cs="Calibri"/>
          <w:b/>
          <w:sz w:val="24"/>
          <w:lang w:eastAsia="ja-JP"/>
        </w:rPr>
        <w:t>F.1. Veikt īpaši aizsargājamo biotopu un sugu monitoringu</w:t>
      </w:r>
    </w:p>
    <w:p w14:paraId="7F5D641E" w14:textId="7DD13F30" w:rsidR="00C55FF1" w:rsidRPr="00A07F29" w:rsidRDefault="00C55FF1" w:rsidP="007B7062">
      <w:pPr>
        <w:spacing w:before="120" w:after="0" w:line="240" w:lineRule="auto"/>
        <w:jc w:val="both"/>
        <w:rPr>
          <w:rFonts w:ascii="Times New Roman" w:eastAsia="Calibri" w:hAnsi="Times New Roman" w:cs="Calibri"/>
          <w:b/>
          <w:i/>
          <w:sz w:val="24"/>
          <w:lang w:eastAsia="ja-JP"/>
        </w:rPr>
      </w:pPr>
      <w:r w:rsidRPr="00A07F29">
        <w:rPr>
          <w:rFonts w:ascii="Times New Roman" w:eastAsia="Calibri" w:hAnsi="Times New Roman" w:cs="Calibri"/>
          <w:b/>
          <w:i/>
          <w:sz w:val="24"/>
          <w:lang w:eastAsia="ja-JP"/>
        </w:rPr>
        <w:t>F.1.1. Virszemes ūdeņu kvalitātes monitorings</w:t>
      </w:r>
    </w:p>
    <w:p w14:paraId="4FD9C87C" w14:textId="33B62324" w:rsidR="00A95AD0" w:rsidRPr="00A07F29" w:rsidRDefault="00A95AD0" w:rsidP="00A95AD0">
      <w:pPr>
        <w:spacing w:before="120" w:after="0" w:line="240" w:lineRule="auto"/>
        <w:ind w:firstLine="851"/>
        <w:jc w:val="both"/>
        <w:rPr>
          <w:rFonts w:ascii="Times New Roman" w:eastAsia="Calibri" w:hAnsi="Times New Roman" w:cs="Calibri"/>
          <w:sz w:val="24"/>
          <w:lang w:eastAsia="ja-JP"/>
        </w:rPr>
      </w:pPr>
      <w:proofErr w:type="spellStart"/>
      <w:r w:rsidRPr="00A07F29">
        <w:rPr>
          <w:rFonts w:ascii="Times New Roman" w:eastAsia="Calibri" w:hAnsi="Times New Roman" w:cs="Calibri"/>
          <w:sz w:val="24"/>
          <w:lang w:eastAsia="ja-JP"/>
        </w:rPr>
        <w:t>Šilovkas</w:t>
      </w:r>
      <w:proofErr w:type="spellEnd"/>
      <w:r w:rsidRPr="00A07F29">
        <w:rPr>
          <w:rFonts w:ascii="Times New Roman" w:eastAsia="Calibri" w:hAnsi="Times New Roman" w:cs="Calibri"/>
          <w:sz w:val="24"/>
          <w:lang w:eastAsia="ja-JP"/>
        </w:rPr>
        <w:t xml:space="preserve"> un </w:t>
      </w:r>
      <w:proofErr w:type="spellStart"/>
      <w:r w:rsidRPr="00A07F29">
        <w:rPr>
          <w:rFonts w:ascii="Times New Roman" w:eastAsia="Calibri" w:hAnsi="Times New Roman" w:cs="Calibri"/>
          <w:sz w:val="24"/>
          <w:lang w:eastAsia="ja-JP"/>
        </w:rPr>
        <w:t>Varnaviču</w:t>
      </w:r>
      <w:proofErr w:type="spellEnd"/>
      <w:r w:rsidRPr="00A07F29">
        <w:rPr>
          <w:rFonts w:ascii="Times New Roman" w:eastAsia="Calibri" w:hAnsi="Times New Roman" w:cs="Calibri"/>
          <w:sz w:val="24"/>
          <w:lang w:eastAsia="ja-JP"/>
        </w:rPr>
        <w:t xml:space="preserve"> ezeros, Daugavā </w:t>
      </w:r>
      <w:r w:rsidR="00092B72">
        <w:rPr>
          <w:rFonts w:ascii="Times New Roman" w:eastAsia="Calibri" w:hAnsi="Times New Roman" w:cs="Calibri"/>
          <w:sz w:val="24"/>
          <w:lang w:eastAsia="ja-JP"/>
        </w:rPr>
        <w:t>divās</w:t>
      </w:r>
      <w:r w:rsidRPr="00A07F29">
        <w:rPr>
          <w:rFonts w:ascii="Times New Roman" w:eastAsia="Calibri" w:hAnsi="Times New Roman" w:cs="Calibri"/>
          <w:sz w:val="24"/>
          <w:lang w:eastAsia="ja-JP"/>
        </w:rPr>
        <w:t xml:space="preserve"> novērojumu stacijās (Piedruja, Latvijas</w:t>
      </w:r>
      <w:r w:rsidR="001B0D55">
        <w:rPr>
          <w:rFonts w:ascii="Times New Roman" w:eastAsia="Calibri" w:hAnsi="Times New Roman" w:cs="Calibri"/>
          <w:sz w:val="24"/>
          <w:lang w:eastAsia="ja-JP"/>
        </w:rPr>
        <w:t> – </w:t>
      </w:r>
      <w:r w:rsidRPr="00A07F29">
        <w:rPr>
          <w:rFonts w:ascii="Times New Roman" w:eastAsia="Calibri" w:hAnsi="Times New Roman" w:cs="Calibri"/>
          <w:sz w:val="24"/>
          <w:lang w:eastAsia="ja-JP"/>
        </w:rPr>
        <w:t>Baltkrievijas robeža un Daugava, 3</w:t>
      </w:r>
      <w:r w:rsidR="001B0D55">
        <w:rPr>
          <w:rFonts w:ascii="Times New Roman" w:eastAsia="Calibri" w:hAnsi="Times New Roman" w:cs="Calibri"/>
          <w:sz w:val="24"/>
          <w:lang w:eastAsia="ja-JP"/>
        </w:rPr>
        <w:t> </w:t>
      </w:r>
      <w:r w:rsidRPr="00A07F29">
        <w:rPr>
          <w:rFonts w:ascii="Times New Roman" w:eastAsia="Calibri" w:hAnsi="Times New Roman" w:cs="Calibri"/>
          <w:sz w:val="24"/>
          <w:lang w:eastAsia="ja-JP"/>
        </w:rPr>
        <w:t xml:space="preserve">km augšpus Daugavpils), kā arī </w:t>
      </w:r>
      <w:proofErr w:type="spellStart"/>
      <w:r w:rsidRPr="00A07F29">
        <w:rPr>
          <w:rFonts w:ascii="Times New Roman" w:eastAsia="Calibri" w:hAnsi="Times New Roman" w:cs="Calibri"/>
          <w:sz w:val="24"/>
          <w:lang w:eastAsia="ja-JP"/>
        </w:rPr>
        <w:t>Rosicas</w:t>
      </w:r>
      <w:proofErr w:type="spellEnd"/>
      <w:r w:rsidRPr="00A07F29">
        <w:rPr>
          <w:rFonts w:ascii="Times New Roman" w:eastAsia="Calibri" w:hAnsi="Times New Roman" w:cs="Calibri"/>
          <w:sz w:val="24"/>
          <w:lang w:eastAsia="ja-JP"/>
        </w:rPr>
        <w:t xml:space="preserve"> grīvā un </w:t>
      </w:r>
      <w:proofErr w:type="spellStart"/>
      <w:r w:rsidRPr="00A07F29">
        <w:rPr>
          <w:rFonts w:ascii="Times New Roman" w:eastAsia="Calibri" w:hAnsi="Times New Roman" w:cs="Calibri"/>
          <w:sz w:val="24"/>
          <w:lang w:eastAsia="ja-JP"/>
        </w:rPr>
        <w:t>Indricas</w:t>
      </w:r>
      <w:proofErr w:type="spellEnd"/>
      <w:r w:rsidRPr="00A07F29">
        <w:rPr>
          <w:rFonts w:ascii="Times New Roman" w:eastAsia="Calibri" w:hAnsi="Times New Roman" w:cs="Calibri"/>
          <w:sz w:val="24"/>
          <w:lang w:eastAsia="ja-JP"/>
        </w:rPr>
        <w:t xml:space="preserve"> grīvā tiek veikts un turpināms valsts virszemes ūdeņu stāvokļa monitorings.</w:t>
      </w:r>
    </w:p>
    <w:p w14:paraId="7B19B3B9" w14:textId="7AFB318F" w:rsidR="002E0075" w:rsidRPr="00A07F29" w:rsidRDefault="00A95AD0" w:rsidP="00A95AD0">
      <w:pPr>
        <w:spacing w:before="120" w:after="0" w:line="240" w:lineRule="auto"/>
        <w:ind w:firstLine="851"/>
        <w:jc w:val="both"/>
        <w:rPr>
          <w:rFonts w:ascii="Times New Roman" w:eastAsia="Calibri" w:hAnsi="Times New Roman" w:cs="Times New Roman"/>
          <w:sz w:val="24"/>
          <w:szCs w:val="24"/>
          <w:lang w:eastAsia="lv-LV" w:bidi="lv-LV"/>
        </w:rPr>
      </w:pPr>
      <w:r w:rsidRPr="00A07F29">
        <w:rPr>
          <w:rFonts w:ascii="Times New Roman" w:eastAsia="Calibri" w:hAnsi="Times New Roman" w:cs="Calibri"/>
          <w:sz w:val="24"/>
          <w:lang w:eastAsia="ja-JP"/>
        </w:rPr>
        <w:t xml:space="preserve">Ieteicams uzlabot </w:t>
      </w:r>
      <w:r w:rsidR="002E0075" w:rsidRPr="00A07F29">
        <w:rPr>
          <w:rFonts w:ascii="Times New Roman" w:eastAsia="Calibri" w:hAnsi="Times New Roman" w:cs="Calibri"/>
          <w:sz w:val="24"/>
          <w:lang w:eastAsia="ja-JP"/>
        </w:rPr>
        <w:t xml:space="preserve">Daugavas </w:t>
      </w:r>
      <w:r w:rsidRPr="00A07F29">
        <w:rPr>
          <w:rFonts w:ascii="Times New Roman" w:eastAsia="Calibri" w:hAnsi="Times New Roman" w:cs="Calibri"/>
          <w:sz w:val="24"/>
          <w:lang w:eastAsia="ja-JP"/>
        </w:rPr>
        <w:t>monitoringa staciju tīklu, ierīkojot vismaz vienu jaunu novērojumu staciju starp esošajām novērojumu stacijām Piedrujā un 3</w:t>
      </w:r>
      <w:r w:rsidR="00C000CB">
        <w:rPr>
          <w:rFonts w:ascii="Times New Roman" w:eastAsia="Calibri" w:hAnsi="Times New Roman" w:cs="Calibri"/>
          <w:sz w:val="24"/>
          <w:lang w:eastAsia="ja-JP"/>
        </w:rPr>
        <w:t> </w:t>
      </w:r>
      <w:r w:rsidRPr="00A07F29">
        <w:rPr>
          <w:rFonts w:ascii="Times New Roman" w:eastAsia="Calibri" w:hAnsi="Times New Roman" w:cs="Calibri"/>
          <w:sz w:val="24"/>
          <w:lang w:eastAsia="ja-JP"/>
        </w:rPr>
        <w:t>km augšpus Daugavpils.</w:t>
      </w:r>
    </w:p>
    <w:p w14:paraId="70ED26EB" w14:textId="0D691B3F" w:rsidR="00A95AD0" w:rsidRPr="00A07F29" w:rsidRDefault="002E0075" w:rsidP="00A95AD0">
      <w:pPr>
        <w:spacing w:before="120" w:after="0" w:line="240" w:lineRule="auto"/>
        <w:ind w:firstLine="851"/>
        <w:jc w:val="both"/>
        <w:rPr>
          <w:rFonts w:ascii="Times New Roman" w:eastAsia="Calibri" w:hAnsi="Times New Roman" w:cs="Calibri"/>
          <w:sz w:val="24"/>
          <w:lang w:eastAsia="ja-JP"/>
        </w:rPr>
      </w:pPr>
      <w:proofErr w:type="spellStart"/>
      <w:r w:rsidRPr="00A07F29">
        <w:rPr>
          <w:rFonts w:ascii="Times New Roman" w:eastAsia="Calibri" w:hAnsi="Times New Roman" w:cs="Times New Roman"/>
          <w:sz w:val="24"/>
          <w:szCs w:val="24"/>
          <w:lang w:eastAsia="lv-LV" w:bidi="lv-LV"/>
        </w:rPr>
        <w:t>Makrofītu</w:t>
      </w:r>
      <w:proofErr w:type="spellEnd"/>
      <w:r w:rsidRPr="00A07F29">
        <w:rPr>
          <w:rFonts w:ascii="Times New Roman" w:eastAsia="Calibri" w:hAnsi="Times New Roman" w:cs="Times New Roman"/>
          <w:sz w:val="24"/>
          <w:szCs w:val="24"/>
          <w:lang w:eastAsia="lv-LV" w:bidi="lv-LV"/>
        </w:rPr>
        <w:t xml:space="preserve"> monitoringu veikt reizi 2</w:t>
      </w:r>
      <w:r w:rsidR="00C000CB">
        <w:rPr>
          <w:rFonts w:ascii="Times New Roman" w:eastAsia="Calibri" w:hAnsi="Times New Roman" w:cs="Times New Roman"/>
          <w:sz w:val="24"/>
          <w:szCs w:val="24"/>
          <w:lang w:eastAsia="lv-LV" w:bidi="lv-LV"/>
        </w:rPr>
        <w:t> – </w:t>
      </w:r>
      <w:r w:rsidRPr="00A07F29">
        <w:rPr>
          <w:rFonts w:ascii="Times New Roman" w:eastAsia="Calibri" w:hAnsi="Times New Roman" w:cs="Times New Roman"/>
          <w:sz w:val="24"/>
          <w:szCs w:val="24"/>
          <w:lang w:eastAsia="lv-LV" w:bidi="lv-LV"/>
        </w:rPr>
        <w:t>3 gados, bet vienlaicīgi ar mazo upju grīvu apsekošanu.</w:t>
      </w:r>
    </w:p>
    <w:p w14:paraId="6A1A8062" w14:textId="77777777" w:rsidR="002E0075" w:rsidRPr="00A07F29" w:rsidRDefault="00A95AD0" w:rsidP="002E0075">
      <w:pPr>
        <w:spacing w:before="120" w:after="0" w:line="240" w:lineRule="auto"/>
        <w:ind w:firstLine="851"/>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Papildus ieteicams veikt monitoringu</w:t>
      </w:r>
      <w:r w:rsidR="002E0075" w:rsidRPr="00A07F29">
        <w:rPr>
          <w:rFonts w:ascii="Times New Roman" w:eastAsia="Calibri" w:hAnsi="Times New Roman" w:cs="Calibri"/>
          <w:sz w:val="24"/>
          <w:lang w:eastAsia="ja-JP"/>
        </w:rPr>
        <w:t>:</w:t>
      </w:r>
    </w:p>
    <w:p w14:paraId="4016DBCE" w14:textId="18663443" w:rsidR="00A95AD0" w:rsidRPr="00A07F29" w:rsidRDefault="00A95AD0" w:rsidP="00F87589">
      <w:pPr>
        <w:pStyle w:val="ListParagraph"/>
        <w:numPr>
          <w:ilvl w:val="0"/>
          <w:numId w:val="56"/>
        </w:numPr>
        <w:spacing w:before="120" w:after="0" w:line="240" w:lineRule="auto"/>
        <w:ind w:left="1276" w:hanging="425"/>
        <w:contextualSpacing w:val="0"/>
        <w:rPr>
          <w:lang w:eastAsia="ja-JP"/>
        </w:rPr>
      </w:pPr>
      <w:r w:rsidRPr="00A07F29">
        <w:rPr>
          <w:lang w:eastAsia="ja-JP"/>
        </w:rPr>
        <w:t xml:space="preserve">Dziļajā, </w:t>
      </w:r>
      <w:proofErr w:type="spellStart"/>
      <w:r w:rsidRPr="00A07F29">
        <w:rPr>
          <w:lang w:eastAsia="ja-JP"/>
        </w:rPr>
        <w:t>Krivoje</w:t>
      </w:r>
      <w:proofErr w:type="spellEnd"/>
      <w:r w:rsidRPr="00A07F29">
        <w:rPr>
          <w:lang w:eastAsia="ja-JP"/>
        </w:rPr>
        <w:t xml:space="preserve"> un </w:t>
      </w:r>
      <w:proofErr w:type="spellStart"/>
      <w:r w:rsidRPr="00A07F29">
        <w:rPr>
          <w:lang w:eastAsia="ja-JP"/>
        </w:rPr>
        <w:t>Riņģa</w:t>
      </w:r>
      <w:proofErr w:type="spellEnd"/>
      <w:r w:rsidRPr="00A07F29">
        <w:rPr>
          <w:lang w:eastAsia="ja-JP"/>
        </w:rPr>
        <w:t xml:space="preserve"> ezerā ziemas un vasaras stagnācijas periodos (februāris, jūlijs) ezera dziļākajā vietā reizi trijos gados</w:t>
      </w:r>
      <w:r w:rsidR="008A494B">
        <w:rPr>
          <w:lang w:eastAsia="ja-JP"/>
        </w:rPr>
        <w:t>,</w:t>
      </w:r>
      <w:r w:rsidRPr="00A07F29">
        <w:rPr>
          <w:lang w:eastAsia="ja-JP"/>
        </w:rPr>
        <w:t xml:space="preserve"> veicot ūdens caurredzamības, temperatūras, krāsainības, </w:t>
      </w:r>
      <w:proofErr w:type="spellStart"/>
      <w:r w:rsidRPr="00A07F29">
        <w:rPr>
          <w:lang w:eastAsia="ja-JP"/>
        </w:rPr>
        <w:t>pH</w:t>
      </w:r>
      <w:proofErr w:type="spellEnd"/>
      <w:r w:rsidRPr="00A07F29">
        <w:rPr>
          <w:lang w:eastAsia="ja-JP"/>
        </w:rPr>
        <w:t>, skābekļa koncentrācijas un piesātinājuma (līdz maksimālajam iespējamajam dziļumam), elektrovadītspējas, kopējā fosfora, kopējā slāpekļa, amonija koncentrācijas mērījumus</w:t>
      </w:r>
      <w:r w:rsidR="002E0075" w:rsidRPr="00A07F29">
        <w:rPr>
          <w:lang w:eastAsia="ja-JP"/>
        </w:rPr>
        <w:t>;</w:t>
      </w:r>
    </w:p>
    <w:p w14:paraId="54FAF876" w14:textId="121B9475" w:rsidR="00A95AD0" w:rsidRPr="00A07F29" w:rsidRDefault="00A04928" w:rsidP="00F87589">
      <w:pPr>
        <w:pStyle w:val="ListParagraph"/>
        <w:numPr>
          <w:ilvl w:val="0"/>
          <w:numId w:val="56"/>
        </w:numPr>
        <w:spacing w:before="120" w:after="0" w:line="240" w:lineRule="auto"/>
        <w:ind w:left="1276" w:hanging="425"/>
        <w:contextualSpacing w:val="0"/>
        <w:rPr>
          <w:lang w:eastAsia="ja-JP"/>
        </w:rPr>
      </w:pPr>
      <w:proofErr w:type="spellStart"/>
      <w:r w:rsidRPr="00A07F29">
        <w:rPr>
          <w:lang w:eastAsia="ja-JP"/>
        </w:rPr>
        <w:t>Balticas</w:t>
      </w:r>
      <w:proofErr w:type="spellEnd"/>
      <w:r w:rsidR="00A95AD0" w:rsidRPr="00A07F29">
        <w:rPr>
          <w:lang w:eastAsia="ja-JP"/>
        </w:rPr>
        <w:t xml:space="preserve">, Dauguļu </w:t>
      </w:r>
      <w:proofErr w:type="spellStart"/>
      <w:r w:rsidR="00A95AD0" w:rsidRPr="00A07F29">
        <w:rPr>
          <w:lang w:eastAsia="ja-JP"/>
        </w:rPr>
        <w:t>Jabloņkas</w:t>
      </w:r>
      <w:proofErr w:type="spellEnd"/>
      <w:r w:rsidR="00A95AD0" w:rsidRPr="00A07F29">
        <w:rPr>
          <w:lang w:eastAsia="ja-JP"/>
        </w:rPr>
        <w:t xml:space="preserve">, </w:t>
      </w:r>
      <w:proofErr w:type="spellStart"/>
      <w:r w:rsidR="00A95AD0" w:rsidRPr="00A07F29">
        <w:rPr>
          <w:lang w:eastAsia="ja-JP"/>
        </w:rPr>
        <w:t>Saučenku</w:t>
      </w:r>
      <w:proofErr w:type="spellEnd"/>
      <w:r w:rsidR="00A95AD0" w:rsidRPr="00A07F29">
        <w:rPr>
          <w:lang w:eastAsia="ja-JP"/>
        </w:rPr>
        <w:t xml:space="preserve">, </w:t>
      </w:r>
      <w:proofErr w:type="spellStart"/>
      <w:r w:rsidR="00A95AD0" w:rsidRPr="00A07F29">
        <w:rPr>
          <w:lang w:eastAsia="ja-JP"/>
        </w:rPr>
        <w:t>Bedušu</w:t>
      </w:r>
      <w:proofErr w:type="spellEnd"/>
      <w:r w:rsidR="00A95AD0" w:rsidRPr="00A07F29">
        <w:rPr>
          <w:lang w:eastAsia="ja-JP"/>
        </w:rPr>
        <w:t xml:space="preserve"> ezeru dziļākajos punktos ziemas un vasaras stagnācijas periodos </w:t>
      </w:r>
      <w:r w:rsidR="002E0075" w:rsidRPr="00A07F29">
        <w:rPr>
          <w:lang w:eastAsia="ja-JP"/>
        </w:rPr>
        <w:t>(februāris, jūlijs)</w:t>
      </w:r>
      <w:r w:rsidR="00A95AD0" w:rsidRPr="00A07F29">
        <w:rPr>
          <w:lang w:eastAsia="ja-JP"/>
        </w:rPr>
        <w:t xml:space="preserve"> reizi piecos gados</w:t>
      </w:r>
      <w:r w:rsidR="004E2AC5">
        <w:rPr>
          <w:lang w:eastAsia="ja-JP"/>
        </w:rPr>
        <w:t>,</w:t>
      </w:r>
      <w:r w:rsidR="00A95AD0" w:rsidRPr="00A07F29">
        <w:rPr>
          <w:lang w:eastAsia="ja-JP"/>
        </w:rPr>
        <w:t xml:space="preserve"> </w:t>
      </w:r>
      <w:r w:rsidR="002E0075" w:rsidRPr="00A07F29">
        <w:rPr>
          <w:lang w:eastAsia="ja-JP"/>
        </w:rPr>
        <w:t xml:space="preserve">veicot </w:t>
      </w:r>
      <w:r w:rsidR="00A95AD0" w:rsidRPr="00A07F29">
        <w:rPr>
          <w:lang w:eastAsia="ja-JP"/>
        </w:rPr>
        <w:t xml:space="preserve">ūdens caurredzamības, temperatūras, krāsainības, </w:t>
      </w:r>
      <w:proofErr w:type="spellStart"/>
      <w:r w:rsidR="00A95AD0" w:rsidRPr="00A07F29">
        <w:rPr>
          <w:lang w:eastAsia="ja-JP"/>
        </w:rPr>
        <w:t>pH</w:t>
      </w:r>
      <w:proofErr w:type="spellEnd"/>
      <w:r w:rsidR="00A95AD0" w:rsidRPr="00A07F29">
        <w:rPr>
          <w:lang w:eastAsia="ja-JP"/>
        </w:rPr>
        <w:t>, skābekļa koncentrācijas un piesātinājuma (līdz maksimālajam iespējamajam dziļumam), elektrovadītspējas, kopējā fosfora, kopējā slāpekļa, amonija koncentrācijas mērījum</w:t>
      </w:r>
      <w:r w:rsidR="002E0075" w:rsidRPr="00A07F29">
        <w:rPr>
          <w:lang w:eastAsia="ja-JP"/>
        </w:rPr>
        <w:t>us.</w:t>
      </w:r>
    </w:p>
    <w:p w14:paraId="2AA901A6" w14:textId="4B018185" w:rsidR="002E0075" w:rsidRPr="00A07F29" w:rsidRDefault="002E0075" w:rsidP="007B7062">
      <w:pPr>
        <w:widowControl w:val="0"/>
        <w:autoSpaceDE w:val="0"/>
        <w:autoSpaceDN w:val="0"/>
        <w:spacing w:before="240" w:after="120" w:line="240" w:lineRule="auto"/>
        <w:jc w:val="both"/>
        <w:rPr>
          <w:rFonts w:ascii="Times New Roman" w:eastAsia="Calibri" w:hAnsi="Times New Roman" w:cs="Times New Roman"/>
          <w:b/>
          <w:i/>
          <w:sz w:val="24"/>
          <w:szCs w:val="24"/>
          <w:lang w:eastAsia="lv-LV" w:bidi="lv-LV"/>
        </w:rPr>
      </w:pPr>
      <w:r w:rsidRPr="00A07F29">
        <w:rPr>
          <w:rFonts w:ascii="Times New Roman" w:eastAsia="Calibri" w:hAnsi="Times New Roman" w:cs="Times New Roman"/>
          <w:b/>
          <w:i/>
          <w:sz w:val="24"/>
          <w:szCs w:val="24"/>
          <w:lang w:eastAsia="lv-LV" w:bidi="lv-LV"/>
        </w:rPr>
        <w:t xml:space="preserve">F.1.2. </w:t>
      </w:r>
      <w:proofErr w:type="spellStart"/>
      <w:r w:rsidRPr="00A07F29">
        <w:rPr>
          <w:rFonts w:ascii="Times New Roman" w:eastAsia="Calibri" w:hAnsi="Times New Roman" w:cs="Times New Roman"/>
          <w:b/>
          <w:i/>
          <w:sz w:val="24"/>
          <w:szCs w:val="24"/>
          <w:lang w:eastAsia="lv-LV" w:bidi="lv-LV"/>
        </w:rPr>
        <w:t>Natura</w:t>
      </w:r>
      <w:proofErr w:type="spellEnd"/>
      <w:r w:rsidRPr="00A07F29">
        <w:rPr>
          <w:rFonts w:ascii="Times New Roman" w:eastAsia="Calibri" w:hAnsi="Times New Roman" w:cs="Times New Roman"/>
          <w:b/>
          <w:i/>
          <w:sz w:val="24"/>
          <w:szCs w:val="24"/>
          <w:lang w:eastAsia="lv-LV" w:bidi="lv-LV"/>
        </w:rPr>
        <w:t xml:space="preserve"> 2000 vietu monitorings</w:t>
      </w:r>
    </w:p>
    <w:p w14:paraId="631BA6CE" w14:textId="52E8EB70" w:rsidR="007B7062" w:rsidRPr="00A07F29" w:rsidRDefault="007B7062" w:rsidP="004E2AC5">
      <w:pPr>
        <w:widowControl w:val="0"/>
        <w:autoSpaceDE w:val="0"/>
        <w:autoSpaceDN w:val="0"/>
        <w:spacing w:before="120" w:after="0" w:line="240" w:lineRule="auto"/>
        <w:ind w:firstLine="851"/>
        <w:jc w:val="both"/>
        <w:rPr>
          <w:rFonts w:ascii="Times New Roman" w:eastAsia="Calibri" w:hAnsi="Times New Roman" w:cs="Times New Roman"/>
          <w:sz w:val="24"/>
          <w:szCs w:val="24"/>
          <w:lang w:eastAsia="lv-LV" w:bidi="lv-LV"/>
        </w:rPr>
      </w:pPr>
      <w:proofErr w:type="spellStart"/>
      <w:r w:rsidRPr="00A07F29">
        <w:rPr>
          <w:rFonts w:ascii="Times New Roman" w:eastAsia="Calibri" w:hAnsi="Times New Roman" w:cs="Times New Roman"/>
          <w:i/>
          <w:sz w:val="24"/>
          <w:szCs w:val="24"/>
          <w:lang w:eastAsia="lv-LV" w:bidi="lv-LV"/>
        </w:rPr>
        <w:t>Natura</w:t>
      </w:r>
      <w:proofErr w:type="spellEnd"/>
      <w:r w:rsidRPr="00A07F29">
        <w:rPr>
          <w:rFonts w:ascii="Times New Roman" w:eastAsia="Calibri" w:hAnsi="Times New Roman" w:cs="Times New Roman"/>
          <w:i/>
          <w:sz w:val="24"/>
          <w:szCs w:val="24"/>
          <w:lang w:eastAsia="lv-LV" w:bidi="lv-LV"/>
        </w:rPr>
        <w:t xml:space="preserve"> 2000</w:t>
      </w:r>
      <w:r w:rsidRPr="00A07F29">
        <w:rPr>
          <w:rFonts w:ascii="Times New Roman" w:eastAsia="Calibri" w:hAnsi="Times New Roman" w:cs="Times New Roman"/>
          <w:sz w:val="24"/>
          <w:szCs w:val="24"/>
          <w:lang w:eastAsia="lv-LV" w:bidi="lv-LV"/>
        </w:rPr>
        <w:t xml:space="preserve"> vietu monitoringa ietvaros AAA “Augšdaugava” tiek veikts un turpināms </w:t>
      </w:r>
      <w:r w:rsidR="00DE2A3F" w:rsidRPr="00A07F29">
        <w:rPr>
          <w:rFonts w:ascii="Times New Roman" w:eastAsia="Calibri" w:hAnsi="Times New Roman" w:cs="Times New Roman"/>
          <w:sz w:val="24"/>
          <w:szCs w:val="24"/>
          <w:lang w:eastAsia="lv-LV" w:bidi="lv-LV"/>
        </w:rPr>
        <w:t>ES nozīmes sugu un biotopu monitorings.</w:t>
      </w:r>
    </w:p>
    <w:p w14:paraId="12D7BF67" w14:textId="1361F825" w:rsidR="006013AB" w:rsidRPr="00A07F29" w:rsidRDefault="007B7062" w:rsidP="007B7062">
      <w:pPr>
        <w:spacing w:before="240" w:after="120" w:line="240" w:lineRule="auto"/>
        <w:jc w:val="both"/>
        <w:rPr>
          <w:rFonts w:ascii="Times New Roman" w:eastAsia="Calibri" w:hAnsi="Times New Roman" w:cs="Times New Roman"/>
          <w:b/>
          <w:i/>
          <w:sz w:val="24"/>
          <w:szCs w:val="24"/>
        </w:rPr>
      </w:pPr>
      <w:r w:rsidRPr="00A07F29">
        <w:rPr>
          <w:rFonts w:ascii="Times New Roman" w:eastAsia="Calibri" w:hAnsi="Times New Roman" w:cs="Times New Roman"/>
          <w:b/>
          <w:i/>
          <w:sz w:val="24"/>
          <w:szCs w:val="24"/>
          <w:lang w:eastAsia="lv-LV" w:bidi="lv-LV"/>
        </w:rPr>
        <w:t xml:space="preserve">F.1.3. </w:t>
      </w:r>
      <w:proofErr w:type="spellStart"/>
      <w:r w:rsidR="006013AB" w:rsidRPr="00A07F29">
        <w:rPr>
          <w:rFonts w:ascii="Times New Roman" w:eastAsia="Calibri" w:hAnsi="Times New Roman" w:cs="Times New Roman"/>
          <w:b/>
          <w:i/>
          <w:sz w:val="24"/>
          <w:szCs w:val="24"/>
        </w:rPr>
        <w:t>Šilovkas</w:t>
      </w:r>
      <w:proofErr w:type="spellEnd"/>
      <w:r w:rsidR="006013AB" w:rsidRPr="00A07F29">
        <w:rPr>
          <w:rFonts w:ascii="Times New Roman" w:eastAsia="Calibri" w:hAnsi="Times New Roman" w:cs="Times New Roman"/>
          <w:b/>
          <w:i/>
          <w:sz w:val="24"/>
          <w:szCs w:val="24"/>
        </w:rPr>
        <w:t xml:space="preserve"> ezera iegrimušo </w:t>
      </w:r>
      <w:proofErr w:type="spellStart"/>
      <w:r w:rsidR="006013AB" w:rsidRPr="00A07F29">
        <w:rPr>
          <w:rFonts w:ascii="Times New Roman" w:eastAsia="Calibri" w:hAnsi="Times New Roman" w:cs="Times New Roman"/>
          <w:b/>
          <w:i/>
          <w:sz w:val="24"/>
          <w:szCs w:val="24"/>
        </w:rPr>
        <w:t>makrofītu</w:t>
      </w:r>
      <w:proofErr w:type="spellEnd"/>
      <w:r w:rsidR="006013AB" w:rsidRPr="00A07F29">
        <w:rPr>
          <w:rFonts w:ascii="Times New Roman" w:eastAsia="Calibri" w:hAnsi="Times New Roman" w:cs="Times New Roman"/>
          <w:b/>
          <w:i/>
          <w:sz w:val="24"/>
          <w:szCs w:val="24"/>
        </w:rPr>
        <w:t xml:space="preserve"> mazās sastopamības cēloņa izpēte</w:t>
      </w:r>
    </w:p>
    <w:p w14:paraId="38DDD134" w14:textId="30795319" w:rsidR="006013AB" w:rsidRPr="00A07F29" w:rsidRDefault="006013AB" w:rsidP="00D51003">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bCs/>
          <w:i/>
          <w:iCs/>
          <w:sz w:val="24"/>
          <w:szCs w:val="24"/>
        </w:rPr>
        <w:t>Mērķis</w:t>
      </w:r>
      <w:r w:rsidR="007B7062" w:rsidRPr="00A07F29">
        <w:rPr>
          <w:rFonts w:ascii="Times New Roman" w:eastAsia="Calibri" w:hAnsi="Times New Roman" w:cs="Times New Roman"/>
          <w:bCs/>
          <w:i/>
          <w:iCs/>
          <w:sz w:val="24"/>
          <w:szCs w:val="24"/>
        </w:rPr>
        <w:t xml:space="preserve">: </w:t>
      </w:r>
      <w:r w:rsidRPr="00A07F29">
        <w:rPr>
          <w:rFonts w:ascii="Times New Roman" w:eastAsia="Calibri" w:hAnsi="Times New Roman" w:cs="Times New Roman"/>
          <w:bCs/>
          <w:sz w:val="24"/>
          <w:szCs w:val="24"/>
        </w:rPr>
        <w:t xml:space="preserve">Noskaidrot iegrimušo </w:t>
      </w:r>
      <w:proofErr w:type="spellStart"/>
      <w:r w:rsidRPr="00A07F29">
        <w:rPr>
          <w:rFonts w:ascii="Times New Roman" w:eastAsia="Calibri" w:hAnsi="Times New Roman" w:cs="Times New Roman"/>
          <w:bCs/>
          <w:sz w:val="24"/>
          <w:szCs w:val="24"/>
        </w:rPr>
        <w:t>makrofītu</w:t>
      </w:r>
      <w:proofErr w:type="spellEnd"/>
      <w:r w:rsidRPr="00A07F29">
        <w:rPr>
          <w:rFonts w:ascii="Times New Roman" w:eastAsia="Calibri" w:hAnsi="Times New Roman" w:cs="Times New Roman"/>
          <w:bCs/>
          <w:sz w:val="24"/>
          <w:szCs w:val="24"/>
        </w:rPr>
        <w:t xml:space="preserve"> mazās sastopamības (un zilaļģu lielās sastopamības) cēloni, t.sk. izskatot hipotēzi par mikroelementa trūkumu ezera ūdenī.</w:t>
      </w:r>
    </w:p>
    <w:p w14:paraId="13D73151" w14:textId="77777777" w:rsidR="00124627" w:rsidRDefault="006013AB" w:rsidP="00D51003">
      <w:pPr>
        <w:spacing w:after="120" w:line="240" w:lineRule="auto"/>
        <w:ind w:firstLine="851"/>
        <w:jc w:val="both"/>
        <w:rPr>
          <w:rFonts w:ascii="Times New Roman" w:eastAsia="Calibri" w:hAnsi="Times New Roman" w:cs="Times New Roman"/>
          <w:bCs/>
          <w:i/>
          <w:iCs/>
          <w:sz w:val="24"/>
          <w:szCs w:val="24"/>
        </w:rPr>
      </w:pPr>
      <w:r w:rsidRPr="00A07F29">
        <w:rPr>
          <w:rFonts w:ascii="Times New Roman" w:eastAsia="Calibri" w:hAnsi="Times New Roman" w:cs="Times New Roman"/>
          <w:bCs/>
          <w:i/>
          <w:iCs/>
          <w:sz w:val="24"/>
          <w:szCs w:val="24"/>
        </w:rPr>
        <w:t>Pasākuma apraksts, nosacījumi pasākuma veikšanai, ieteicamie tehniskie paņēmieni</w:t>
      </w:r>
      <w:r w:rsidR="007B7062" w:rsidRPr="00A07F29">
        <w:rPr>
          <w:rFonts w:ascii="Times New Roman" w:eastAsia="Calibri" w:hAnsi="Times New Roman" w:cs="Times New Roman"/>
          <w:bCs/>
          <w:i/>
          <w:iCs/>
          <w:sz w:val="24"/>
          <w:szCs w:val="24"/>
        </w:rPr>
        <w:t>:</w:t>
      </w:r>
    </w:p>
    <w:p w14:paraId="5BA17727" w14:textId="418BA0C1" w:rsidR="006013AB" w:rsidRPr="00A07F29" w:rsidRDefault="006013AB" w:rsidP="00D51003">
      <w:pPr>
        <w:spacing w:after="120" w:line="240" w:lineRule="auto"/>
        <w:ind w:firstLine="851"/>
        <w:jc w:val="both"/>
        <w:rPr>
          <w:rFonts w:ascii="Times New Roman" w:eastAsia="Calibri" w:hAnsi="Times New Roman" w:cs="Times New Roman"/>
          <w:sz w:val="24"/>
          <w:szCs w:val="24"/>
        </w:rPr>
      </w:pPr>
      <w:proofErr w:type="spellStart"/>
      <w:r w:rsidRPr="00A07F29">
        <w:rPr>
          <w:rFonts w:ascii="Times New Roman" w:eastAsia="Calibri" w:hAnsi="Times New Roman" w:cs="Times New Roman"/>
          <w:bCs/>
          <w:sz w:val="24"/>
          <w:szCs w:val="24"/>
        </w:rPr>
        <w:lastRenderedPageBreak/>
        <w:t>Šilovkas</w:t>
      </w:r>
      <w:proofErr w:type="spellEnd"/>
      <w:r w:rsidRPr="00A07F29">
        <w:rPr>
          <w:rFonts w:ascii="Times New Roman" w:eastAsia="Calibri" w:hAnsi="Times New Roman" w:cs="Times New Roman"/>
          <w:bCs/>
          <w:sz w:val="24"/>
          <w:szCs w:val="24"/>
        </w:rPr>
        <w:t xml:space="preserve"> un arī </w:t>
      </w:r>
      <w:proofErr w:type="spellStart"/>
      <w:r w:rsidRPr="00A07F29">
        <w:rPr>
          <w:rFonts w:ascii="Times New Roman" w:eastAsia="Calibri" w:hAnsi="Times New Roman" w:cs="Times New Roman"/>
          <w:bCs/>
          <w:sz w:val="24"/>
          <w:szCs w:val="24"/>
        </w:rPr>
        <w:t>Balticas</w:t>
      </w:r>
      <w:proofErr w:type="spellEnd"/>
      <w:r w:rsidRPr="00A07F29">
        <w:rPr>
          <w:rFonts w:ascii="Times New Roman" w:eastAsia="Calibri" w:hAnsi="Times New Roman" w:cs="Times New Roman"/>
          <w:bCs/>
          <w:sz w:val="24"/>
          <w:szCs w:val="24"/>
        </w:rPr>
        <w:t xml:space="preserve"> ezeru ūdenī </w:t>
      </w:r>
      <w:proofErr w:type="spellStart"/>
      <w:r w:rsidRPr="00A07F29">
        <w:rPr>
          <w:rFonts w:ascii="Times New Roman" w:eastAsia="Calibri" w:hAnsi="Times New Roman" w:cs="Times New Roman"/>
          <w:bCs/>
          <w:sz w:val="24"/>
          <w:szCs w:val="24"/>
        </w:rPr>
        <w:t>biogēnu</w:t>
      </w:r>
      <w:proofErr w:type="spellEnd"/>
      <w:r w:rsidRPr="00A07F29">
        <w:rPr>
          <w:rFonts w:ascii="Times New Roman" w:eastAsia="Calibri" w:hAnsi="Times New Roman" w:cs="Times New Roman"/>
          <w:bCs/>
          <w:sz w:val="24"/>
          <w:szCs w:val="24"/>
        </w:rPr>
        <w:t xml:space="preserve"> koncentrācijas nav augstas, tāpat arī </w:t>
      </w:r>
      <w:proofErr w:type="spellStart"/>
      <w:r w:rsidRPr="00A07F29">
        <w:rPr>
          <w:rFonts w:ascii="Times New Roman" w:eastAsia="Calibri" w:hAnsi="Times New Roman" w:cs="Times New Roman"/>
          <w:bCs/>
          <w:sz w:val="24"/>
          <w:szCs w:val="24"/>
        </w:rPr>
        <w:t>Šilovkas</w:t>
      </w:r>
      <w:proofErr w:type="spellEnd"/>
      <w:r w:rsidRPr="00A07F29">
        <w:rPr>
          <w:rFonts w:ascii="Times New Roman" w:eastAsia="Calibri" w:hAnsi="Times New Roman" w:cs="Times New Roman"/>
          <w:bCs/>
          <w:sz w:val="24"/>
          <w:szCs w:val="24"/>
        </w:rPr>
        <w:t xml:space="preserve"> ezerā ietekošajā upītē konstatētās </w:t>
      </w:r>
      <w:proofErr w:type="spellStart"/>
      <w:r w:rsidRPr="00A07F29">
        <w:rPr>
          <w:rFonts w:ascii="Times New Roman" w:eastAsia="Calibri" w:hAnsi="Times New Roman" w:cs="Times New Roman"/>
          <w:bCs/>
          <w:sz w:val="24"/>
          <w:szCs w:val="24"/>
        </w:rPr>
        <w:t>biogēnu</w:t>
      </w:r>
      <w:proofErr w:type="spellEnd"/>
      <w:r w:rsidRPr="00A07F29">
        <w:rPr>
          <w:rFonts w:ascii="Times New Roman" w:eastAsia="Calibri" w:hAnsi="Times New Roman" w:cs="Times New Roman"/>
          <w:bCs/>
          <w:sz w:val="24"/>
          <w:szCs w:val="24"/>
        </w:rPr>
        <w:t xml:space="preserve"> koncentrācijas nav augstas. Fitoplanktona dominances un attiecīgi nepietiekamās ūdens caurredzamības iemesls ir zema </w:t>
      </w:r>
      <w:proofErr w:type="spellStart"/>
      <w:r w:rsidRPr="00A07F29">
        <w:rPr>
          <w:rFonts w:ascii="Times New Roman" w:eastAsia="Calibri" w:hAnsi="Times New Roman" w:cs="Times New Roman"/>
          <w:bCs/>
          <w:sz w:val="24"/>
          <w:szCs w:val="24"/>
        </w:rPr>
        <w:t>makrofītu</w:t>
      </w:r>
      <w:proofErr w:type="spellEnd"/>
      <w:r w:rsidRPr="00A07F29">
        <w:rPr>
          <w:rFonts w:ascii="Times New Roman" w:eastAsia="Calibri" w:hAnsi="Times New Roman" w:cs="Times New Roman"/>
          <w:bCs/>
          <w:sz w:val="24"/>
          <w:szCs w:val="24"/>
        </w:rPr>
        <w:t>, it sevišķi iegrimušo, vitalitāte.</w:t>
      </w:r>
      <w:r w:rsidR="00D65BBA" w:rsidRPr="00A07F29">
        <w:rPr>
          <w:rFonts w:ascii="Times New Roman" w:eastAsia="Calibri" w:hAnsi="Times New Roman" w:cs="Times New Roman"/>
          <w:bCs/>
          <w:sz w:val="24"/>
          <w:szCs w:val="24"/>
        </w:rPr>
        <w:t xml:space="preserve"> </w:t>
      </w:r>
      <w:proofErr w:type="spellStart"/>
      <w:r w:rsidRPr="00A07F29">
        <w:rPr>
          <w:rFonts w:ascii="Times New Roman" w:eastAsia="Calibri" w:hAnsi="Times New Roman" w:cs="Times New Roman"/>
          <w:bCs/>
          <w:sz w:val="24"/>
          <w:szCs w:val="24"/>
        </w:rPr>
        <w:t>Balticas</w:t>
      </w:r>
      <w:proofErr w:type="spellEnd"/>
      <w:r w:rsidRPr="00A07F29">
        <w:rPr>
          <w:rFonts w:ascii="Times New Roman" w:eastAsia="Calibri" w:hAnsi="Times New Roman" w:cs="Times New Roman"/>
          <w:bCs/>
          <w:sz w:val="24"/>
          <w:szCs w:val="24"/>
        </w:rPr>
        <w:t xml:space="preserve"> ezerā kā iespējams </w:t>
      </w:r>
      <w:proofErr w:type="spellStart"/>
      <w:r w:rsidRPr="00A07F29">
        <w:rPr>
          <w:rFonts w:ascii="Times New Roman" w:eastAsia="Calibri" w:hAnsi="Times New Roman" w:cs="Times New Roman"/>
          <w:bCs/>
          <w:sz w:val="24"/>
          <w:szCs w:val="24"/>
        </w:rPr>
        <w:t>makrofītu</w:t>
      </w:r>
      <w:proofErr w:type="spellEnd"/>
      <w:r w:rsidRPr="00A07F29">
        <w:rPr>
          <w:rFonts w:ascii="Times New Roman" w:eastAsia="Calibri" w:hAnsi="Times New Roman" w:cs="Times New Roman"/>
          <w:bCs/>
          <w:sz w:val="24"/>
          <w:szCs w:val="24"/>
        </w:rPr>
        <w:t xml:space="preserve"> nepietiekamas vitalitātes cēlonis ir </w:t>
      </w:r>
      <w:r w:rsidRPr="005C1B8C">
        <w:rPr>
          <w:rFonts w:ascii="Times New Roman" w:eastAsia="Calibri" w:hAnsi="Times New Roman" w:cs="Times New Roman"/>
          <w:bCs/>
          <w:sz w:val="24"/>
          <w:szCs w:val="24"/>
        </w:rPr>
        <w:t xml:space="preserve">izanalizēta </w:t>
      </w:r>
      <w:proofErr w:type="spellStart"/>
      <w:r w:rsidRPr="005C1B8C">
        <w:rPr>
          <w:rFonts w:ascii="Times New Roman" w:eastAsia="Calibri" w:hAnsi="Times New Roman" w:cs="Times New Roman"/>
          <w:bCs/>
          <w:sz w:val="24"/>
          <w:szCs w:val="24"/>
        </w:rPr>
        <w:t>Ca</w:t>
      </w:r>
      <w:proofErr w:type="spellEnd"/>
      <w:r w:rsidRPr="005C1B8C">
        <w:rPr>
          <w:rFonts w:ascii="Times New Roman" w:eastAsia="Calibri" w:hAnsi="Times New Roman" w:cs="Times New Roman"/>
          <w:bCs/>
          <w:sz w:val="24"/>
          <w:szCs w:val="24"/>
        </w:rPr>
        <w:t xml:space="preserve"> jonu koncentrācija, kas izrādījās normas robežās.</w:t>
      </w:r>
      <w:r w:rsidR="00D65BBA" w:rsidRPr="005C1B8C">
        <w:rPr>
          <w:rFonts w:ascii="Times New Roman" w:eastAsia="Calibri" w:hAnsi="Times New Roman" w:cs="Times New Roman"/>
          <w:bCs/>
          <w:sz w:val="24"/>
          <w:szCs w:val="24"/>
        </w:rPr>
        <w:t xml:space="preserve"> </w:t>
      </w:r>
      <w:r w:rsidRPr="005C1B8C">
        <w:rPr>
          <w:rFonts w:ascii="Times New Roman" w:eastAsia="Calibri" w:hAnsi="Times New Roman" w:cs="Times New Roman"/>
          <w:bCs/>
          <w:sz w:val="24"/>
          <w:szCs w:val="24"/>
        </w:rPr>
        <w:t xml:space="preserve">Viens no iespējamiem iegrimušo augu zemas vitalitātes cēloņiem </w:t>
      </w:r>
      <w:proofErr w:type="spellStart"/>
      <w:r w:rsidRPr="005C1B8C">
        <w:rPr>
          <w:rFonts w:ascii="Times New Roman" w:eastAsia="Calibri" w:hAnsi="Times New Roman" w:cs="Times New Roman"/>
          <w:bCs/>
          <w:sz w:val="24"/>
          <w:szCs w:val="24"/>
        </w:rPr>
        <w:t>Balticas</w:t>
      </w:r>
      <w:proofErr w:type="spellEnd"/>
      <w:r w:rsidRPr="005C1B8C">
        <w:rPr>
          <w:rFonts w:ascii="Times New Roman" w:eastAsia="Calibri" w:hAnsi="Times New Roman" w:cs="Times New Roman"/>
          <w:bCs/>
          <w:sz w:val="24"/>
          <w:szCs w:val="24"/>
        </w:rPr>
        <w:t xml:space="preserve"> ezerā varētu būt šķidrās dūņas, taču </w:t>
      </w:r>
      <w:proofErr w:type="spellStart"/>
      <w:r w:rsidRPr="005C1B8C">
        <w:rPr>
          <w:rFonts w:ascii="Times New Roman" w:eastAsia="Calibri" w:hAnsi="Times New Roman" w:cs="Times New Roman"/>
          <w:bCs/>
          <w:sz w:val="24"/>
          <w:szCs w:val="24"/>
        </w:rPr>
        <w:t>Šilovkas</w:t>
      </w:r>
      <w:proofErr w:type="spellEnd"/>
      <w:r w:rsidRPr="005C1B8C">
        <w:rPr>
          <w:rFonts w:ascii="Times New Roman" w:eastAsia="Calibri" w:hAnsi="Times New Roman" w:cs="Times New Roman"/>
          <w:bCs/>
          <w:sz w:val="24"/>
          <w:szCs w:val="24"/>
        </w:rPr>
        <w:t xml:space="preserve"> ezerā šķidru dūņu piekrastē nav, piekrastē dominē </w:t>
      </w:r>
      <w:proofErr w:type="spellStart"/>
      <w:r w:rsidRPr="005C1B8C">
        <w:rPr>
          <w:rFonts w:ascii="Times New Roman" w:eastAsia="Calibri" w:hAnsi="Times New Roman" w:cs="Times New Roman"/>
          <w:bCs/>
          <w:sz w:val="24"/>
          <w:szCs w:val="24"/>
        </w:rPr>
        <w:t>minerālgrunts</w:t>
      </w:r>
      <w:proofErr w:type="spellEnd"/>
      <w:r w:rsidRPr="005C1B8C">
        <w:rPr>
          <w:rFonts w:ascii="Times New Roman" w:eastAsia="Calibri" w:hAnsi="Times New Roman" w:cs="Times New Roman"/>
          <w:bCs/>
          <w:sz w:val="24"/>
          <w:szCs w:val="24"/>
        </w:rPr>
        <w:t xml:space="preserve">, kas ir optimāli apstākļi iegrimušajai veģetācijai. Pašlaik izvirzītā hipotēze ir kāda </w:t>
      </w:r>
      <w:proofErr w:type="spellStart"/>
      <w:r w:rsidRPr="005C1B8C">
        <w:rPr>
          <w:rFonts w:ascii="Times New Roman" w:eastAsia="Calibri" w:hAnsi="Times New Roman" w:cs="Times New Roman"/>
          <w:bCs/>
          <w:sz w:val="24"/>
          <w:szCs w:val="24"/>
        </w:rPr>
        <w:t>makrofītu</w:t>
      </w:r>
      <w:proofErr w:type="spellEnd"/>
      <w:r w:rsidRPr="005C1B8C">
        <w:rPr>
          <w:rFonts w:ascii="Times New Roman" w:eastAsia="Calibri" w:hAnsi="Times New Roman" w:cs="Times New Roman"/>
          <w:bCs/>
          <w:sz w:val="24"/>
          <w:szCs w:val="24"/>
        </w:rPr>
        <w:t xml:space="preserve"> augšanai nepieciešama elementa deficīts. Būtu izmērāmas </w:t>
      </w:r>
      <w:proofErr w:type="spellStart"/>
      <w:r w:rsidRPr="005C1B8C">
        <w:rPr>
          <w:rFonts w:ascii="Times New Roman" w:eastAsia="Calibri" w:hAnsi="Times New Roman" w:cs="Times New Roman"/>
          <w:bCs/>
          <w:sz w:val="24"/>
          <w:szCs w:val="24"/>
        </w:rPr>
        <w:t>Ca</w:t>
      </w:r>
      <w:proofErr w:type="spellEnd"/>
      <w:r w:rsidRPr="005C1B8C">
        <w:rPr>
          <w:rFonts w:ascii="Times New Roman" w:eastAsia="Calibri" w:hAnsi="Times New Roman" w:cs="Times New Roman"/>
          <w:bCs/>
          <w:sz w:val="24"/>
          <w:szCs w:val="24"/>
        </w:rPr>
        <w:t>, K un Se</w:t>
      </w:r>
      <w:r w:rsidRPr="00A07F29">
        <w:rPr>
          <w:rFonts w:ascii="Times New Roman" w:eastAsia="Calibri" w:hAnsi="Times New Roman" w:cs="Times New Roman"/>
          <w:bCs/>
          <w:sz w:val="24"/>
          <w:szCs w:val="24"/>
        </w:rPr>
        <w:t xml:space="preserve"> koncentrācijas, kuri pētījumā</w:t>
      </w:r>
      <w:r w:rsidRPr="00A07F29">
        <w:rPr>
          <w:rFonts w:ascii="Times New Roman" w:eastAsia="Calibri" w:hAnsi="Times New Roman" w:cs="Times New Roman"/>
          <w:bCs/>
          <w:sz w:val="24"/>
          <w:szCs w:val="24"/>
          <w:vertAlign w:val="superscript"/>
        </w:rPr>
        <w:footnoteReference w:id="58"/>
      </w:r>
      <w:r w:rsidRPr="00A07F29">
        <w:rPr>
          <w:rFonts w:ascii="Times New Roman" w:eastAsia="Calibri" w:hAnsi="Times New Roman" w:cs="Times New Roman"/>
          <w:bCs/>
          <w:sz w:val="24"/>
          <w:szCs w:val="24"/>
        </w:rPr>
        <w:t xml:space="preserve"> ir identificēti kā būtiski iegrimušajiem augiem, un vienlaicīgi ņemot vērā, ka Latvijas augsnēm ir raksturīgs </w:t>
      </w:r>
      <w:r w:rsidRPr="005C1B8C">
        <w:rPr>
          <w:rFonts w:ascii="Times New Roman" w:eastAsia="Calibri" w:hAnsi="Times New Roman" w:cs="Times New Roman"/>
          <w:bCs/>
          <w:sz w:val="24"/>
          <w:szCs w:val="24"/>
        </w:rPr>
        <w:t>Se de</w:t>
      </w:r>
      <w:r w:rsidRPr="00A07F29">
        <w:rPr>
          <w:rFonts w:ascii="Times New Roman" w:eastAsia="Calibri" w:hAnsi="Times New Roman" w:cs="Times New Roman"/>
          <w:bCs/>
          <w:sz w:val="24"/>
          <w:szCs w:val="24"/>
        </w:rPr>
        <w:t>ficīts.</w:t>
      </w:r>
    </w:p>
    <w:p w14:paraId="3181708D" w14:textId="77777777" w:rsidR="008C0CD0" w:rsidRPr="00A07F29" w:rsidRDefault="008C0CD0" w:rsidP="00D51003">
      <w:pPr>
        <w:widowControl w:val="0"/>
        <w:autoSpaceDE w:val="0"/>
        <w:autoSpaceDN w:val="0"/>
        <w:spacing w:after="120" w:line="240" w:lineRule="auto"/>
        <w:jc w:val="both"/>
        <w:rPr>
          <w:rFonts w:ascii="Times New Roman" w:eastAsia="Calibri" w:hAnsi="Times New Roman" w:cs="Times New Roman"/>
          <w:sz w:val="24"/>
          <w:szCs w:val="24"/>
          <w:lang w:eastAsia="lv-LV" w:bidi="lv-LV"/>
        </w:rPr>
      </w:pPr>
    </w:p>
    <w:p w14:paraId="41E61443" w14:textId="6E868C45" w:rsidR="00346754" w:rsidRPr="00A07F29" w:rsidRDefault="00346754" w:rsidP="003524C7">
      <w:pPr>
        <w:spacing w:after="120" w:line="240" w:lineRule="auto"/>
        <w:jc w:val="both"/>
        <w:rPr>
          <w:rFonts w:ascii="Times New Roman" w:eastAsia="Calibri" w:hAnsi="Times New Roman" w:cs="Calibri"/>
          <w:b/>
          <w:sz w:val="24"/>
          <w:lang w:eastAsia="ja-JP"/>
        </w:rPr>
      </w:pPr>
      <w:r w:rsidRPr="00A07F29">
        <w:rPr>
          <w:rFonts w:ascii="Times New Roman" w:eastAsia="Calibri" w:hAnsi="Times New Roman" w:cs="Calibri"/>
          <w:b/>
          <w:sz w:val="24"/>
          <w:lang w:eastAsia="ja-JP"/>
        </w:rPr>
        <w:t>F.</w:t>
      </w:r>
      <w:r w:rsidR="00D51003" w:rsidRPr="00A07F29">
        <w:rPr>
          <w:rFonts w:ascii="Times New Roman" w:eastAsia="Calibri" w:hAnsi="Times New Roman" w:cs="Calibri"/>
          <w:b/>
          <w:sz w:val="24"/>
          <w:lang w:eastAsia="ja-JP"/>
        </w:rPr>
        <w:t>2</w:t>
      </w:r>
      <w:r w:rsidRPr="00A07F29">
        <w:rPr>
          <w:rFonts w:ascii="Times New Roman" w:eastAsia="Calibri" w:hAnsi="Times New Roman" w:cs="Calibri"/>
          <w:b/>
          <w:sz w:val="24"/>
          <w:lang w:eastAsia="ja-JP"/>
        </w:rPr>
        <w:t>. Veikt apsaimniekošanas pasākumu efektivitātes monitoringu</w:t>
      </w:r>
    </w:p>
    <w:p w14:paraId="03B6D38E" w14:textId="0C06403D" w:rsidR="006310F8" w:rsidRPr="00A07F29" w:rsidRDefault="006310F8" w:rsidP="003524C7">
      <w:pPr>
        <w:spacing w:after="120" w:line="240" w:lineRule="auto"/>
        <w:jc w:val="both"/>
        <w:rPr>
          <w:rFonts w:ascii="Times New Roman" w:eastAsia="Calibri" w:hAnsi="Times New Roman" w:cs="Calibri"/>
          <w:b/>
          <w:i/>
          <w:sz w:val="24"/>
          <w:lang w:eastAsia="ja-JP"/>
        </w:rPr>
      </w:pPr>
      <w:r w:rsidRPr="00A07F29">
        <w:rPr>
          <w:rFonts w:ascii="Times New Roman" w:eastAsia="Calibri" w:hAnsi="Times New Roman" w:cs="Calibri"/>
          <w:b/>
          <w:i/>
          <w:sz w:val="24"/>
          <w:lang w:eastAsia="ja-JP"/>
        </w:rPr>
        <w:t>F.2.1. Apsaimniekošanas pasākumu monitorings</w:t>
      </w:r>
    </w:p>
    <w:p w14:paraId="666F3BEB" w14:textId="651F3E01" w:rsidR="00A04928" w:rsidRPr="00A07F29" w:rsidRDefault="00A04928" w:rsidP="003524C7">
      <w:pPr>
        <w:widowControl w:val="0"/>
        <w:autoSpaceDE w:val="0"/>
        <w:autoSpaceDN w:val="0"/>
        <w:spacing w:after="120" w:line="240" w:lineRule="auto"/>
        <w:ind w:firstLine="851"/>
        <w:jc w:val="both"/>
        <w:rPr>
          <w:rFonts w:ascii="Times New Roman" w:eastAsia="Calibri" w:hAnsi="Times New Roman" w:cs="Times New Roman"/>
          <w:sz w:val="24"/>
          <w:szCs w:val="24"/>
          <w:lang w:eastAsia="lv-LV" w:bidi="lv-LV"/>
        </w:rPr>
      </w:pPr>
      <w:r w:rsidRPr="00A07F29">
        <w:rPr>
          <w:rFonts w:ascii="Times New Roman" w:eastAsia="Calibri" w:hAnsi="Times New Roman" w:cs="Times New Roman"/>
          <w:sz w:val="24"/>
          <w:szCs w:val="24"/>
          <w:lang w:eastAsia="lv-LV" w:bidi="lv-LV"/>
        </w:rPr>
        <w:t>Lai novērtētu apsaimniekošanas pasākumu sekmes un ietekmes un vajadzībās gadījumā pasākumu atkārtotu vai mainītu, pirms un pēc pasākumu veikšanas apsaimniekojamajās vietās jāveic monitorings:</w:t>
      </w:r>
    </w:p>
    <w:p w14:paraId="73CDCA2D" w14:textId="7C241031" w:rsidR="00A04928" w:rsidRPr="00A07F29" w:rsidRDefault="00A04928" w:rsidP="00F87589">
      <w:pPr>
        <w:pStyle w:val="ListParagraph"/>
        <w:widowControl w:val="0"/>
        <w:numPr>
          <w:ilvl w:val="0"/>
          <w:numId w:val="57"/>
        </w:numPr>
        <w:autoSpaceDE w:val="0"/>
        <w:autoSpaceDN w:val="0"/>
        <w:spacing w:line="240" w:lineRule="auto"/>
        <w:contextualSpacing w:val="0"/>
        <w:rPr>
          <w:rFonts w:cs="Times New Roman"/>
          <w:szCs w:val="24"/>
          <w:lang w:eastAsia="lv-LV" w:bidi="lv-LV"/>
        </w:rPr>
      </w:pPr>
      <w:r w:rsidRPr="00A07F29">
        <w:rPr>
          <w:rFonts w:cs="Times New Roman"/>
          <w:szCs w:val="24"/>
          <w:lang w:eastAsia="lv-LV" w:bidi="lv-LV"/>
        </w:rPr>
        <w:t>slīkšņas noņemšana</w:t>
      </w:r>
      <w:r w:rsidR="00707276" w:rsidRPr="00A07F29">
        <w:rPr>
          <w:rFonts w:cs="Times New Roman"/>
          <w:szCs w:val="24"/>
          <w:lang w:eastAsia="lv-LV" w:bidi="lv-LV"/>
        </w:rPr>
        <w:t>i</w:t>
      </w:r>
      <w:r w:rsidRPr="00A07F29">
        <w:rPr>
          <w:rFonts w:cs="Times New Roman"/>
          <w:szCs w:val="24"/>
          <w:lang w:eastAsia="lv-LV" w:bidi="lv-LV"/>
        </w:rPr>
        <w:t xml:space="preserve"> </w:t>
      </w:r>
      <w:proofErr w:type="spellStart"/>
      <w:r w:rsidRPr="00A07F29">
        <w:rPr>
          <w:rFonts w:cs="Times New Roman"/>
          <w:szCs w:val="24"/>
          <w:lang w:eastAsia="lv-LV" w:bidi="lv-LV"/>
        </w:rPr>
        <w:t>Balticas</w:t>
      </w:r>
      <w:proofErr w:type="spellEnd"/>
      <w:r w:rsidRPr="00A07F29">
        <w:rPr>
          <w:rFonts w:cs="Times New Roman"/>
          <w:szCs w:val="24"/>
          <w:lang w:eastAsia="lv-LV" w:bidi="lv-LV"/>
        </w:rPr>
        <w:t xml:space="preserve"> ezera krastos (jānovērtē augāja atjaunošanās un sugu sastāvs; par ūdens kvalitātes monitoringu skat. F.1.1.</w:t>
      </w:r>
      <w:r w:rsidR="00934CC5">
        <w:rPr>
          <w:rFonts w:cs="Times New Roman"/>
          <w:szCs w:val="24"/>
          <w:lang w:eastAsia="lv-LV" w:bidi="lv-LV"/>
        </w:rPr>
        <w:t> </w:t>
      </w:r>
      <w:r w:rsidRPr="00A07F29">
        <w:rPr>
          <w:rFonts w:cs="Times New Roman"/>
          <w:szCs w:val="24"/>
          <w:lang w:eastAsia="lv-LV" w:bidi="lv-LV"/>
        </w:rPr>
        <w:t>pasākum</w:t>
      </w:r>
      <w:r w:rsidR="003E6DCD">
        <w:rPr>
          <w:rFonts w:cs="Times New Roman"/>
          <w:szCs w:val="24"/>
          <w:lang w:eastAsia="lv-LV" w:bidi="lv-LV"/>
        </w:rPr>
        <w:t>u</w:t>
      </w:r>
      <w:r w:rsidRPr="00A07F29">
        <w:rPr>
          <w:rFonts w:cs="Times New Roman"/>
          <w:szCs w:val="24"/>
          <w:lang w:eastAsia="lv-LV" w:bidi="lv-LV"/>
        </w:rPr>
        <w:t>),</w:t>
      </w:r>
    </w:p>
    <w:p w14:paraId="6952C72F" w14:textId="69ADA79F" w:rsidR="00A04928" w:rsidRPr="00A07F29" w:rsidRDefault="00A04928" w:rsidP="00F87589">
      <w:pPr>
        <w:pStyle w:val="ListParagraph"/>
        <w:widowControl w:val="0"/>
        <w:numPr>
          <w:ilvl w:val="0"/>
          <w:numId w:val="57"/>
        </w:numPr>
        <w:autoSpaceDE w:val="0"/>
        <w:autoSpaceDN w:val="0"/>
        <w:spacing w:line="240" w:lineRule="auto"/>
        <w:contextualSpacing w:val="0"/>
        <w:rPr>
          <w:rFonts w:cs="Times New Roman"/>
          <w:szCs w:val="24"/>
          <w:lang w:eastAsia="lv-LV" w:bidi="lv-LV"/>
        </w:rPr>
      </w:pPr>
      <w:r w:rsidRPr="00A07F29">
        <w:rPr>
          <w:rFonts w:cs="Times New Roman"/>
          <w:szCs w:val="24"/>
          <w:lang w:eastAsia="lv-LV" w:bidi="lv-LV"/>
        </w:rPr>
        <w:t>niedru pļaušana</w:t>
      </w:r>
      <w:r w:rsidR="00707276" w:rsidRPr="00A07F29">
        <w:rPr>
          <w:rFonts w:cs="Times New Roman"/>
          <w:szCs w:val="24"/>
          <w:lang w:eastAsia="lv-LV" w:bidi="lv-LV"/>
        </w:rPr>
        <w:t>i ezeros</w:t>
      </w:r>
      <w:r w:rsidRPr="00A07F29">
        <w:rPr>
          <w:rFonts w:cs="Times New Roman"/>
          <w:szCs w:val="24"/>
          <w:lang w:eastAsia="lv-LV" w:bidi="lv-LV"/>
        </w:rPr>
        <w:t xml:space="preserve"> (</w:t>
      </w:r>
      <w:proofErr w:type="spellStart"/>
      <w:r w:rsidRPr="00A07F29">
        <w:rPr>
          <w:rFonts w:cs="Times New Roman"/>
          <w:szCs w:val="24"/>
          <w:lang w:eastAsia="lv-LV" w:bidi="lv-LV"/>
        </w:rPr>
        <w:t>jānorvērtē</w:t>
      </w:r>
      <w:proofErr w:type="spellEnd"/>
      <w:r w:rsidRPr="00A07F29">
        <w:rPr>
          <w:rFonts w:cs="Times New Roman"/>
          <w:szCs w:val="24"/>
          <w:lang w:eastAsia="lv-LV" w:bidi="lv-LV"/>
        </w:rPr>
        <w:t xml:space="preserve"> izmaiņas niedru audžu platībā un blīvumā)</w:t>
      </w:r>
      <w:r w:rsidR="00F9596E" w:rsidRPr="00A07F29">
        <w:rPr>
          <w:rFonts w:cs="Times New Roman"/>
          <w:szCs w:val="24"/>
          <w:lang w:eastAsia="lv-LV" w:bidi="lv-LV"/>
        </w:rPr>
        <w:t>,</w:t>
      </w:r>
    </w:p>
    <w:p w14:paraId="5ED8C4B1" w14:textId="7AD28350" w:rsidR="00F9596E" w:rsidRPr="00A07F29" w:rsidRDefault="00F9596E" w:rsidP="00F87589">
      <w:pPr>
        <w:pStyle w:val="ListParagraph"/>
        <w:widowControl w:val="0"/>
        <w:numPr>
          <w:ilvl w:val="0"/>
          <w:numId w:val="57"/>
        </w:numPr>
        <w:autoSpaceDE w:val="0"/>
        <w:autoSpaceDN w:val="0"/>
        <w:spacing w:line="240" w:lineRule="auto"/>
        <w:contextualSpacing w:val="0"/>
        <w:rPr>
          <w:rFonts w:cs="Times New Roman"/>
          <w:szCs w:val="24"/>
          <w:lang w:eastAsia="lv-LV" w:bidi="lv-LV"/>
        </w:rPr>
      </w:pPr>
      <w:r w:rsidRPr="00A07F29">
        <w:rPr>
          <w:rFonts w:cs="Times New Roman"/>
          <w:szCs w:val="24"/>
          <w:lang w:eastAsia="lv-LV" w:bidi="lv-LV"/>
        </w:rPr>
        <w:t>zālāju atjaunošana</w:t>
      </w:r>
      <w:r w:rsidR="00707276" w:rsidRPr="00A07F29">
        <w:rPr>
          <w:rFonts w:cs="Times New Roman"/>
          <w:szCs w:val="24"/>
          <w:lang w:eastAsia="lv-LV" w:bidi="lv-LV"/>
        </w:rPr>
        <w:t>i</w:t>
      </w:r>
      <w:r w:rsidRPr="00A07F29">
        <w:rPr>
          <w:rFonts w:cs="Times New Roman"/>
          <w:szCs w:val="24"/>
          <w:lang w:eastAsia="lv-LV" w:bidi="lv-LV"/>
        </w:rPr>
        <w:t xml:space="preserve"> (jānovērtē augāja sugu sastāvs un struktūra, atbilstība aizsargājamo zālāju biotopu kritērijiem),</w:t>
      </w:r>
    </w:p>
    <w:p w14:paraId="312C50EF" w14:textId="6A84CB50" w:rsidR="00F9596E" w:rsidRPr="00A07F29" w:rsidRDefault="00F9596E" w:rsidP="00F87589">
      <w:pPr>
        <w:pStyle w:val="ListParagraph"/>
        <w:widowControl w:val="0"/>
        <w:numPr>
          <w:ilvl w:val="0"/>
          <w:numId w:val="57"/>
        </w:numPr>
        <w:autoSpaceDE w:val="0"/>
        <w:autoSpaceDN w:val="0"/>
        <w:spacing w:line="240" w:lineRule="auto"/>
        <w:contextualSpacing w:val="0"/>
        <w:rPr>
          <w:rFonts w:cs="Times New Roman"/>
          <w:szCs w:val="24"/>
          <w:lang w:eastAsia="lv-LV" w:bidi="lv-LV"/>
        </w:rPr>
      </w:pPr>
      <w:r w:rsidRPr="00A07F29">
        <w:rPr>
          <w:rFonts w:cs="Times New Roman"/>
          <w:szCs w:val="24"/>
          <w:lang w:eastAsia="lv-LV" w:bidi="lv-LV"/>
        </w:rPr>
        <w:t xml:space="preserve">pārejas purvu </w:t>
      </w:r>
      <w:r w:rsidR="00707276" w:rsidRPr="00A07F29">
        <w:rPr>
          <w:rFonts w:cs="Times New Roman"/>
          <w:szCs w:val="24"/>
          <w:lang w:eastAsia="lv-LV" w:bidi="lv-LV"/>
        </w:rPr>
        <w:t xml:space="preserve">biotopu </w:t>
      </w:r>
      <w:r w:rsidRPr="00A07F29">
        <w:rPr>
          <w:rFonts w:cs="Times New Roman"/>
          <w:szCs w:val="24"/>
          <w:lang w:eastAsia="lv-LV" w:bidi="lv-LV"/>
        </w:rPr>
        <w:t>apsaimniekošana (jānovērtē krūmu un niedres segums, bebru dambju sastopamība uz purvus ietekmējošajām ūdenstecēm un ūdens līmenis)</w:t>
      </w:r>
      <w:r w:rsidR="00B01AA5" w:rsidRPr="00A07F29">
        <w:rPr>
          <w:rFonts w:cs="Times New Roman"/>
          <w:szCs w:val="24"/>
          <w:lang w:eastAsia="lv-LV" w:bidi="lv-LV"/>
        </w:rPr>
        <w:t>,</w:t>
      </w:r>
    </w:p>
    <w:p w14:paraId="355E30B7" w14:textId="77777777" w:rsidR="006310F8" w:rsidRPr="00A07F29" w:rsidRDefault="006310F8" w:rsidP="00F87589">
      <w:pPr>
        <w:pStyle w:val="ListParagraph"/>
        <w:widowControl w:val="0"/>
        <w:numPr>
          <w:ilvl w:val="0"/>
          <w:numId w:val="57"/>
        </w:numPr>
        <w:autoSpaceDE w:val="0"/>
        <w:autoSpaceDN w:val="0"/>
        <w:spacing w:line="240" w:lineRule="auto"/>
        <w:contextualSpacing w:val="0"/>
        <w:rPr>
          <w:rFonts w:cs="Times New Roman"/>
          <w:szCs w:val="24"/>
          <w:lang w:eastAsia="lv-LV" w:bidi="lv-LV"/>
        </w:rPr>
      </w:pPr>
      <w:r w:rsidRPr="00A07F29">
        <w:rPr>
          <w:rFonts w:cs="Times New Roman"/>
          <w:szCs w:val="24"/>
          <w:lang w:eastAsia="lv-LV" w:bidi="lv-LV"/>
        </w:rPr>
        <w:t xml:space="preserve">caurtekas pārbūve </w:t>
      </w:r>
      <w:proofErr w:type="spellStart"/>
      <w:r w:rsidRPr="00A07F29">
        <w:rPr>
          <w:rFonts w:cs="Times New Roman"/>
          <w:szCs w:val="24"/>
          <w:lang w:eastAsia="lv-LV" w:bidi="lv-LV"/>
        </w:rPr>
        <w:t>Varnaviču</w:t>
      </w:r>
      <w:proofErr w:type="spellEnd"/>
      <w:r w:rsidRPr="00A07F29">
        <w:rPr>
          <w:rFonts w:cs="Times New Roman"/>
          <w:szCs w:val="24"/>
          <w:lang w:eastAsia="lv-LV" w:bidi="lv-LV"/>
        </w:rPr>
        <w:t xml:space="preserve">, </w:t>
      </w:r>
      <w:proofErr w:type="spellStart"/>
      <w:r w:rsidRPr="00A07F29">
        <w:rPr>
          <w:rFonts w:cs="Times New Roman"/>
          <w:szCs w:val="24"/>
          <w:lang w:eastAsia="lv-LV" w:bidi="lv-LV"/>
        </w:rPr>
        <w:t>Krivoje</w:t>
      </w:r>
      <w:proofErr w:type="spellEnd"/>
      <w:r w:rsidRPr="00A07F29">
        <w:rPr>
          <w:rFonts w:cs="Times New Roman"/>
          <w:szCs w:val="24"/>
          <w:lang w:eastAsia="lv-LV" w:bidi="lv-LV"/>
        </w:rPr>
        <w:t xml:space="preserve"> un </w:t>
      </w:r>
      <w:proofErr w:type="spellStart"/>
      <w:r w:rsidRPr="00A07F29">
        <w:rPr>
          <w:rFonts w:cs="Times New Roman"/>
          <w:szCs w:val="24"/>
          <w:lang w:eastAsia="lv-LV" w:bidi="lv-LV"/>
        </w:rPr>
        <w:t>Jablonkas</w:t>
      </w:r>
      <w:proofErr w:type="spellEnd"/>
      <w:r w:rsidRPr="00A07F29">
        <w:rPr>
          <w:rFonts w:cs="Times New Roman"/>
          <w:szCs w:val="24"/>
          <w:lang w:eastAsia="lv-LV" w:bidi="lv-LV"/>
        </w:rPr>
        <w:t xml:space="preserve"> ezeru līmeņu normalizēšanai (jānovērtē ūdens līmenis pirms un pēc pasākuma),</w:t>
      </w:r>
    </w:p>
    <w:p w14:paraId="0378A4F7" w14:textId="0C39B002" w:rsidR="006310F8" w:rsidRPr="00A07F29" w:rsidRDefault="006310F8" w:rsidP="00F87589">
      <w:pPr>
        <w:pStyle w:val="ListParagraph"/>
        <w:widowControl w:val="0"/>
        <w:numPr>
          <w:ilvl w:val="0"/>
          <w:numId w:val="57"/>
        </w:numPr>
        <w:autoSpaceDE w:val="0"/>
        <w:autoSpaceDN w:val="0"/>
        <w:spacing w:line="240" w:lineRule="auto"/>
        <w:contextualSpacing w:val="0"/>
        <w:rPr>
          <w:rFonts w:cs="Times New Roman"/>
          <w:szCs w:val="24"/>
          <w:lang w:eastAsia="lv-LV" w:bidi="lv-LV"/>
        </w:rPr>
      </w:pPr>
      <w:proofErr w:type="spellStart"/>
      <w:r w:rsidRPr="00A07F29">
        <w:rPr>
          <w:rFonts w:cs="Times New Roman"/>
          <w:szCs w:val="24"/>
          <w:lang w:eastAsia="lv-LV" w:bidi="lv-LV"/>
        </w:rPr>
        <w:t>sarkanvēdera</w:t>
      </w:r>
      <w:proofErr w:type="spellEnd"/>
      <w:r w:rsidRPr="00A07F29">
        <w:rPr>
          <w:rFonts w:cs="Times New Roman"/>
          <w:szCs w:val="24"/>
          <w:lang w:eastAsia="lv-LV" w:bidi="lv-LV"/>
        </w:rPr>
        <w:t xml:space="preserve"> </w:t>
      </w:r>
      <w:proofErr w:type="spellStart"/>
      <w:r w:rsidRPr="00A07F29">
        <w:rPr>
          <w:rFonts w:cs="Times New Roman"/>
          <w:szCs w:val="24"/>
          <w:lang w:eastAsia="lv-LV" w:bidi="lv-LV"/>
        </w:rPr>
        <w:t>ugunskrupja</w:t>
      </w:r>
      <w:proofErr w:type="spellEnd"/>
      <w:r w:rsidRPr="00A07F29">
        <w:rPr>
          <w:rFonts w:cs="Times New Roman"/>
          <w:szCs w:val="24"/>
          <w:lang w:eastAsia="lv-LV" w:bidi="lv-LV"/>
        </w:rPr>
        <w:t xml:space="preserve"> dīķu atjaunošana (jānovērtē dīķa piemērotība </w:t>
      </w:r>
      <w:proofErr w:type="spellStart"/>
      <w:r w:rsidRPr="00A07F29">
        <w:rPr>
          <w:rFonts w:cs="Times New Roman"/>
          <w:szCs w:val="24"/>
          <w:lang w:eastAsia="lv-LV" w:bidi="lv-LV"/>
        </w:rPr>
        <w:t>ugunskrupim</w:t>
      </w:r>
      <w:proofErr w:type="spellEnd"/>
      <w:r w:rsidRPr="00A07F29">
        <w:rPr>
          <w:rFonts w:cs="Times New Roman"/>
          <w:szCs w:val="24"/>
          <w:lang w:eastAsia="lv-LV" w:bidi="lv-LV"/>
        </w:rPr>
        <w:t xml:space="preserve"> un </w:t>
      </w:r>
      <w:proofErr w:type="spellStart"/>
      <w:r w:rsidRPr="00A07F29">
        <w:rPr>
          <w:rFonts w:cs="Times New Roman"/>
          <w:szCs w:val="24"/>
          <w:lang w:eastAsia="lv-LV" w:bidi="lv-LV"/>
        </w:rPr>
        <w:t>ugunskrupja</w:t>
      </w:r>
      <w:proofErr w:type="spellEnd"/>
      <w:r w:rsidRPr="00A07F29">
        <w:rPr>
          <w:rFonts w:cs="Times New Roman"/>
          <w:szCs w:val="24"/>
          <w:lang w:eastAsia="lv-LV" w:bidi="lv-LV"/>
        </w:rPr>
        <w:t xml:space="preserve"> sastopamība</w:t>
      </w:r>
      <w:r w:rsidR="0034403C">
        <w:rPr>
          <w:rFonts w:cs="Times New Roman"/>
          <w:szCs w:val="24"/>
          <w:lang w:eastAsia="lv-LV" w:bidi="lv-LV"/>
        </w:rPr>
        <w:t>)</w:t>
      </w:r>
      <w:r w:rsidRPr="00A07F29">
        <w:rPr>
          <w:rFonts w:cs="Times New Roman"/>
          <w:szCs w:val="24"/>
          <w:lang w:eastAsia="lv-LV" w:bidi="lv-LV"/>
        </w:rPr>
        <w:t>,</w:t>
      </w:r>
    </w:p>
    <w:p w14:paraId="57D43B5C" w14:textId="266B54E8" w:rsidR="006310F8" w:rsidRPr="00A07F29" w:rsidRDefault="006310F8" w:rsidP="00F87589">
      <w:pPr>
        <w:pStyle w:val="ListParagraph"/>
        <w:widowControl w:val="0"/>
        <w:numPr>
          <w:ilvl w:val="0"/>
          <w:numId w:val="57"/>
        </w:numPr>
        <w:autoSpaceDE w:val="0"/>
        <w:autoSpaceDN w:val="0"/>
        <w:spacing w:line="240" w:lineRule="auto"/>
        <w:contextualSpacing w:val="0"/>
        <w:rPr>
          <w:rFonts w:cs="Times New Roman"/>
          <w:szCs w:val="24"/>
          <w:lang w:eastAsia="lv-LV" w:bidi="lv-LV"/>
        </w:rPr>
      </w:pPr>
      <w:proofErr w:type="spellStart"/>
      <w:r w:rsidRPr="00A07F29">
        <w:rPr>
          <w:rFonts w:cs="Times New Roman"/>
          <w:szCs w:val="24"/>
          <w:lang w:eastAsia="lv-LV" w:bidi="lv-LV"/>
        </w:rPr>
        <w:t>sarkanvēdera</w:t>
      </w:r>
      <w:proofErr w:type="spellEnd"/>
      <w:r w:rsidRPr="00A07F29">
        <w:rPr>
          <w:rFonts w:cs="Times New Roman"/>
          <w:szCs w:val="24"/>
          <w:lang w:eastAsia="lv-LV" w:bidi="lv-LV"/>
        </w:rPr>
        <w:t xml:space="preserve"> </w:t>
      </w:r>
      <w:proofErr w:type="spellStart"/>
      <w:r w:rsidRPr="00A07F29">
        <w:rPr>
          <w:rFonts w:cs="Times New Roman"/>
          <w:szCs w:val="24"/>
          <w:lang w:eastAsia="lv-LV" w:bidi="lv-LV"/>
        </w:rPr>
        <w:t>ugunskrupja</w:t>
      </w:r>
      <w:proofErr w:type="spellEnd"/>
      <w:r w:rsidRPr="00A07F29">
        <w:rPr>
          <w:rFonts w:cs="Times New Roman"/>
          <w:szCs w:val="24"/>
          <w:lang w:eastAsia="lv-LV" w:bidi="lv-LV"/>
        </w:rPr>
        <w:t xml:space="preserve"> populāciju uzlabošana ar </w:t>
      </w:r>
      <w:proofErr w:type="spellStart"/>
      <w:r w:rsidRPr="00A07F29">
        <w:rPr>
          <w:rFonts w:cs="Times New Roman"/>
          <w:szCs w:val="24"/>
          <w:lang w:eastAsia="lv-LV" w:bidi="lv-LV"/>
        </w:rPr>
        <w:t>zookultūrā</w:t>
      </w:r>
      <w:proofErr w:type="spellEnd"/>
      <w:r w:rsidRPr="00A07F29">
        <w:rPr>
          <w:rFonts w:cs="Times New Roman"/>
          <w:szCs w:val="24"/>
          <w:lang w:eastAsia="lv-LV" w:bidi="lv-LV"/>
        </w:rPr>
        <w:t xml:space="preserve"> audzētiem īpatņiem (jānovērtē </w:t>
      </w:r>
      <w:proofErr w:type="spellStart"/>
      <w:r w:rsidRPr="00A07F29">
        <w:rPr>
          <w:rFonts w:cs="Times New Roman"/>
          <w:szCs w:val="24"/>
          <w:lang w:eastAsia="lv-LV" w:bidi="lv-LV"/>
        </w:rPr>
        <w:t>ugunskrupja</w:t>
      </w:r>
      <w:proofErr w:type="spellEnd"/>
      <w:r w:rsidRPr="00A07F29">
        <w:rPr>
          <w:rFonts w:cs="Times New Roman"/>
          <w:szCs w:val="24"/>
          <w:lang w:eastAsia="lv-LV" w:bidi="lv-LV"/>
        </w:rPr>
        <w:t xml:space="preserve"> sastopamība pēc </w:t>
      </w:r>
      <w:proofErr w:type="spellStart"/>
      <w:r w:rsidRPr="00A07F29">
        <w:rPr>
          <w:rFonts w:cs="Times New Roman"/>
          <w:szCs w:val="24"/>
          <w:lang w:eastAsia="lv-LV" w:bidi="lv-LV"/>
        </w:rPr>
        <w:t>zookultūrā</w:t>
      </w:r>
      <w:proofErr w:type="spellEnd"/>
      <w:r w:rsidRPr="00A07F29">
        <w:rPr>
          <w:rFonts w:cs="Times New Roman"/>
          <w:szCs w:val="24"/>
          <w:lang w:eastAsia="lv-LV" w:bidi="lv-LV"/>
        </w:rPr>
        <w:t xml:space="preserve"> audzēto īpat</w:t>
      </w:r>
      <w:r w:rsidR="00032E85">
        <w:rPr>
          <w:rFonts w:cs="Times New Roman"/>
          <w:szCs w:val="24"/>
          <w:lang w:eastAsia="lv-LV" w:bidi="lv-LV"/>
        </w:rPr>
        <w:t>ņu</w:t>
      </w:r>
      <w:r w:rsidRPr="00A07F29">
        <w:rPr>
          <w:rFonts w:cs="Times New Roman"/>
          <w:szCs w:val="24"/>
          <w:lang w:eastAsia="lv-LV" w:bidi="lv-LV"/>
        </w:rPr>
        <w:t xml:space="preserve"> izlaišanas),</w:t>
      </w:r>
    </w:p>
    <w:p w14:paraId="4266948A" w14:textId="77777777" w:rsidR="006E48A1" w:rsidRPr="00A07F29" w:rsidRDefault="006310F8" w:rsidP="00F87589">
      <w:pPr>
        <w:pStyle w:val="ListParagraph"/>
        <w:widowControl w:val="0"/>
        <w:numPr>
          <w:ilvl w:val="0"/>
          <w:numId w:val="57"/>
        </w:numPr>
        <w:autoSpaceDE w:val="0"/>
        <w:autoSpaceDN w:val="0"/>
        <w:spacing w:line="240" w:lineRule="auto"/>
        <w:contextualSpacing w:val="0"/>
        <w:rPr>
          <w:rFonts w:cs="Times New Roman"/>
          <w:szCs w:val="24"/>
          <w:lang w:eastAsia="lv-LV" w:bidi="lv-LV"/>
        </w:rPr>
      </w:pPr>
      <w:r w:rsidRPr="00A07F29">
        <w:rPr>
          <w:rFonts w:cs="Times New Roman"/>
          <w:szCs w:val="24"/>
          <w:lang w:eastAsia="lv-LV" w:bidi="lv-LV"/>
        </w:rPr>
        <w:t xml:space="preserve">reto un </w:t>
      </w:r>
      <w:r w:rsidRPr="003F64D2">
        <w:rPr>
          <w:rFonts w:cs="Times New Roman"/>
          <w:szCs w:val="24"/>
          <w:lang w:eastAsia="lv-LV" w:bidi="lv-LV"/>
        </w:rPr>
        <w:t>īpaši aizsargājamo</w:t>
      </w:r>
      <w:r w:rsidRPr="00A07F29">
        <w:rPr>
          <w:rFonts w:cs="Times New Roman"/>
          <w:szCs w:val="24"/>
          <w:lang w:eastAsia="lv-LV" w:bidi="lv-LV"/>
        </w:rPr>
        <w:t xml:space="preserve"> gliemju sugu dzīvotņu apsaimniekošana (jānovērtē dzīvotnes piemērotība attiecīgajām gliemju sugām)</w:t>
      </w:r>
      <w:r w:rsidR="006E48A1" w:rsidRPr="00A07F29">
        <w:rPr>
          <w:rFonts w:cs="Times New Roman"/>
          <w:szCs w:val="24"/>
          <w:lang w:eastAsia="lv-LV" w:bidi="lv-LV"/>
        </w:rPr>
        <w:t>,</w:t>
      </w:r>
    </w:p>
    <w:p w14:paraId="21B05D07" w14:textId="5A4E5797" w:rsidR="00B01AA5" w:rsidRPr="00A07F29" w:rsidRDefault="006E48A1" w:rsidP="00F87589">
      <w:pPr>
        <w:pStyle w:val="ListParagraph"/>
        <w:widowControl w:val="0"/>
        <w:numPr>
          <w:ilvl w:val="0"/>
          <w:numId w:val="57"/>
        </w:numPr>
        <w:autoSpaceDE w:val="0"/>
        <w:autoSpaceDN w:val="0"/>
        <w:spacing w:line="240" w:lineRule="auto"/>
        <w:contextualSpacing w:val="0"/>
        <w:rPr>
          <w:rFonts w:cs="Times New Roman"/>
          <w:szCs w:val="24"/>
          <w:lang w:eastAsia="lv-LV" w:bidi="lv-LV"/>
        </w:rPr>
      </w:pPr>
      <w:proofErr w:type="spellStart"/>
      <w:r w:rsidRPr="00A07F29">
        <w:rPr>
          <w:rFonts w:cs="Times New Roman"/>
          <w:szCs w:val="24"/>
          <w:lang w:eastAsia="lv-LV" w:bidi="lv-LV"/>
        </w:rPr>
        <w:t>invazīvo</w:t>
      </w:r>
      <w:proofErr w:type="spellEnd"/>
      <w:r w:rsidRPr="00A07F29">
        <w:rPr>
          <w:rFonts w:cs="Times New Roman"/>
          <w:szCs w:val="24"/>
          <w:lang w:eastAsia="lv-LV" w:bidi="lv-LV"/>
        </w:rPr>
        <w:t xml:space="preserve"> augu sugu ierobežošana (jānovērtē </w:t>
      </w:r>
      <w:proofErr w:type="spellStart"/>
      <w:r w:rsidRPr="00A07F29">
        <w:rPr>
          <w:rFonts w:cs="Times New Roman"/>
          <w:szCs w:val="24"/>
          <w:lang w:eastAsia="lv-LV" w:bidi="lv-LV"/>
        </w:rPr>
        <w:t>invazīvo</w:t>
      </w:r>
      <w:proofErr w:type="spellEnd"/>
      <w:r w:rsidRPr="00A07F29">
        <w:rPr>
          <w:rFonts w:cs="Times New Roman"/>
          <w:szCs w:val="24"/>
          <w:lang w:eastAsia="lv-LV" w:bidi="lv-LV"/>
        </w:rPr>
        <w:t xml:space="preserve"> sugu sastopamība un augāja atjaunošana apsaimniekotajās vietās)</w:t>
      </w:r>
      <w:r w:rsidR="006310F8" w:rsidRPr="00A07F29">
        <w:rPr>
          <w:rFonts w:cs="Times New Roman"/>
          <w:szCs w:val="24"/>
          <w:lang w:eastAsia="lv-LV" w:bidi="lv-LV"/>
        </w:rPr>
        <w:t>.</w:t>
      </w:r>
    </w:p>
    <w:p w14:paraId="2EB9F95B" w14:textId="4B461390" w:rsidR="00B01AA5" w:rsidRPr="00A07F29" w:rsidRDefault="00707276" w:rsidP="00F9596E">
      <w:pPr>
        <w:widowControl w:val="0"/>
        <w:autoSpaceDE w:val="0"/>
        <w:autoSpaceDN w:val="0"/>
        <w:spacing w:before="91" w:after="120" w:line="240" w:lineRule="auto"/>
        <w:ind w:firstLine="851"/>
        <w:jc w:val="both"/>
        <w:rPr>
          <w:rFonts w:ascii="Times New Roman" w:eastAsia="Calibri" w:hAnsi="Times New Roman" w:cs="Times New Roman"/>
          <w:sz w:val="24"/>
          <w:szCs w:val="24"/>
          <w:lang w:eastAsia="lv-LV" w:bidi="lv-LV"/>
        </w:rPr>
      </w:pPr>
      <w:r w:rsidRPr="00A07F29">
        <w:rPr>
          <w:rFonts w:ascii="Times New Roman" w:eastAsia="Calibri" w:hAnsi="Times New Roman" w:cs="Times New Roman"/>
          <w:sz w:val="24"/>
          <w:szCs w:val="24"/>
          <w:lang w:eastAsia="lv-LV" w:bidi="lv-LV"/>
        </w:rPr>
        <w:t xml:space="preserve">Apsaimniekošanas sekmes </w:t>
      </w:r>
      <w:r w:rsidR="00B01AA5" w:rsidRPr="00A07F29">
        <w:rPr>
          <w:rFonts w:ascii="Times New Roman" w:eastAsia="Calibri" w:hAnsi="Times New Roman" w:cs="Times New Roman"/>
          <w:sz w:val="24"/>
          <w:szCs w:val="24"/>
          <w:lang w:eastAsia="lv-LV" w:bidi="lv-LV"/>
        </w:rPr>
        <w:t>un nepiecie</w:t>
      </w:r>
      <w:r w:rsidRPr="00A07F29">
        <w:rPr>
          <w:rFonts w:ascii="Times New Roman" w:eastAsia="Calibri" w:hAnsi="Times New Roman" w:cs="Times New Roman"/>
          <w:sz w:val="24"/>
          <w:szCs w:val="24"/>
          <w:lang w:eastAsia="lv-LV" w:bidi="lv-LV"/>
        </w:rPr>
        <w:t xml:space="preserve">šamība pasākumu atkārtot jānovērtē arī upju biotopu </w:t>
      </w:r>
      <w:r w:rsidR="00B01AA5" w:rsidRPr="00A07F29">
        <w:rPr>
          <w:rFonts w:ascii="Times New Roman" w:eastAsia="Calibri" w:hAnsi="Times New Roman" w:cs="Times New Roman"/>
          <w:sz w:val="24"/>
          <w:szCs w:val="24"/>
          <w:lang w:eastAsia="lv-LV" w:bidi="lv-LV"/>
        </w:rPr>
        <w:t>ap</w:t>
      </w:r>
      <w:r w:rsidRPr="00A07F29">
        <w:rPr>
          <w:rFonts w:ascii="Times New Roman" w:eastAsia="Calibri" w:hAnsi="Times New Roman" w:cs="Times New Roman"/>
          <w:sz w:val="24"/>
          <w:szCs w:val="24"/>
          <w:lang w:eastAsia="lv-LV" w:bidi="lv-LV"/>
        </w:rPr>
        <w:t>saimnieko</w:t>
      </w:r>
      <w:r w:rsidR="00B01AA5" w:rsidRPr="00A07F29">
        <w:rPr>
          <w:rFonts w:ascii="Times New Roman" w:eastAsia="Calibri" w:hAnsi="Times New Roman" w:cs="Times New Roman"/>
          <w:sz w:val="24"/>
          <w:szCs w:val="24"/>
          <w:lang w:eastAsia="lv-LV" w:bidi="lv-LV"/>
        </w:rPr>
        <w:t>ša</w:t>
      </w:r>
      <w:r w:rsidRPr="00A07F29">
        <w:rPr>
          <w:rFonts w:ascii="Times New Roman" w:eastAsia="Calibri" w:hAnsi="Times New Roman" w:cs="Times New Roman"/>
          <w:sz w:val="24"/>
          <w:szCs w:val="24"/>
          <w:lang w:eastAsia="lv-LV" w:bidi="lv-LV"/>
        </w:rPr>
        <w:t>nai (</w:t>
      </w:r>
      <w:r w:rsidR="00B01AA5" w:rsidRPr="00A07F29">
        <w:rPr>
          <w:rFonts w:ascii="Times New Roman" w:eastAsia="Calibri" w:hAnsi="Times New Roman" w:cs="Times New Roman"/>
          <w:sz w:val="24"/>
          <w:szCs w:val="24"/>
          <w:lang w:eastAsia="lv-LV" w:bidi="lv-LV"/>
        </w:rPr>
        <w:t xml:space="preserve">jānovērtē </w:t>
      </w:r>
      <w:r w:rsidRPr="00A07F29">
        <w:rPr>
          <w:rFonts w:ascii="Times New Roman" w:eastAsia="Calibri" w:hAnsi="Times New Roman" w:cs="Times New Roman"/>
          <w:sz w:val="24"/>
          <w:szCs w:val="24"/>
          <w:lang w:eastAsia="lv-LV" w:bidi="lv-LV"/>
        </w:rPr>
        <w:t>bebru dambju, koku sagāzumu un atkritumu sastopamība)</w:t>
      </w:r>
      <w:r w:rsidR="00B01AA5" w:rsidRPr="00A07F29">
        <w:rPr>
          <w:rFonts w:ascii="Times New Roman" w:eastAsia="Calibri" w:hAnsi="Times New Roman" w:cs="Times New Roman"/>
          <w:sz w:val="24"/>
          <w:szCs w:val="24"/>
          <w:lang w:eastAsia="lv-LV" w:bidi="lv-LV"/>
        </w:rPr>
        <w:t xml:space="preserve"> un </w:t>
      </w:r>
      <w:r w:rsidRPr="00A07F29">
        <w:rPr>
          <w:rFonts w:ascii="Times New Roman" w:eastAsia="Calibri" w:hAnsi="Times New Roman" w:cs="Times New Roman"/>
          <w:sz w:val="24"/>
          <w:szCs w:val="24"/>
          <w:lang w:eastAsia="lv-LV" w:bidi="lv-LV"/>
        </w:rPr>
        <w:t>ezeru piekrastes apsaimniekošanai (</w:t>
      </w:r>
      <w:r w:rsidR="00B01AA5" w:rsidRPr="00A07F29">
        <w:rPr>
          <w:rFonts w:ascii="Times New Roman" w:eastAsia="Calibri" w:hAnsi="Times New Roman" w:cs="Times New Roman"/>
          <w:sz w:val="24"/>
          <w:szCs w:val="24"/>
          <w:lang w:eastAsia="lv-LV" w:bidi="lv-LV"/>
        </w:rPr>
        <w:t xml:space="preserve">jānovērtē </w:t>
      </w:r>
      <w:r w:rsidRPr="00A07F29">
        <w:rPr>
          <w:rFonts w:ascii="Times New Roman" w:eastAsia="Calibri" w:hAnsi="Times New Roman" w:cs="Times New Roman"/>
          <w:sz w:val="24"/>
          <w:szCs w:val="24"/>
          <w:lang w:eastAsia="lv-LV" w:bidi="lv-LV"/>
        </w:rPr>
        <w:t>ūden</w:t>
      </w:r>
      <w:r w:rsidR="00F71DEB">
        <w:rPr>
          <w:rFonts w:ascii="Times New Roman" w:eastAsia="Calibri" w:hAnsi="Times New Roman" w:cs="Times New Roman"/>
          <w:sz w:val="24"/>
          <w:szCs w:val="24"/>
          <w:lang w:eastAsia="lv-LV" w:bidi="lv-LV"/>
        </w:rPr>
        <w:t>ī</w:t>
      </w:r>
      <w:r w:rsidRPr="00A07F29">
        <w:rPr>
          <w:rFonts w:ascii="Times New Roman" w:eastAsia="Calibri" w:hAnsi="Times New Roman" w:cs="Times New Roman"/>
          <w:sz w:val="24"/>
          <w:szCs w:val="24"/>
          <w:lang w:eastAsia="lv-LV" w:bidi="lv-LV"/>
        </w:rPr>
        <w:t xml:space="preserve"> sakritušo koku sastopamība </w:t>
      </w:r>
      <w:r w:rsidR="00B01AA5" w:rsidRPr="00A07F29">
        <w:rPr>
          <w:rFonts w:ascii="Times New Roman" w:eastAsia="Calibri" w:hAnsi="Times New Roman" w:cs="Times New Roman"/>
          <w:sz w:val="24"/>
          <w:szCs w:val="24"/>
          <w:lang w:eastAsia="lv-LV" w:bidi="lv-LV"/>
        </w:rPr>
        <w:t xml:space="preserve">Mazajā </w:t>
      </w:r>
      <w:proofErr w:type="spellStart"/>
      <w:r w:rsidR="00B01AA5" w:rsidRPr="00A07F29">
        <w:rPr>
          <w:rFonts w:ascii="Times New Roman" w:eastAsia="Calibri" w:hAnsi="Times New Roman" w:cs="Times New Roman"/>
          <w:sz w:val="24"/>
          <w:szCs w:val="24"/>
          <w:lang w:eastAsia="lv-LV" w:bidi="lv-LV"/>
        </w:rPr>
        <w:t>Borvinkas</w:t>
      </w:r>
      <w:proofErr w:type="spellEnd"/>
      <w:r w:rsidR="00B01AA5" w:rsidRPr="00A07F29">
        <w:rPr>
          <w:rFonts w:ascii="Times New Roman" w:eastAsia="Calibri" w:hAnsi="Times New Roman" w:cs="Times New Roman"/>
          <w:sz w:val="24"/>
          <w:szCs w:val="24"/>
          <w:lang w:eastAsia="lv-LV" w:bidi="lv-LV"/>
        </w:rPr>
        <w:t xml:space="preserve"> ezerā, sakritušo koku sastopamība </w:t>
      </w:r>
      <w:proofErr w:type="spellStart"/>
      <w:r w:rsidR="00B01AA5" w:rsidRPr="00A07F29">
        <w:rPr>
          <w:rFonts w:ascii="Times New Roman" w:eastAsia="Calibri" w:hAnsi="Times New Roman" w:cs="Times New Roman"/>
          <w:sz w:val="24"/>
          <w:szCs w:val="24"/>
          <w:lang w:eastAsia="lv-LV" w:bidi="lv-LV"/>
        </w:rPr>
        <w:t>Balticas</w:t>
      </w:r>
      <w:proofErr w:type="spellEnd"/>
      <w:r w:rsidR="00B01AA5" w:rsidRPr="00A07F29">
        <w:rPr>
          <w:rFonts w:ascii="Times New Roman" w:eastAsia="Calibri" w:hAnsi="Times New Roman" w:cs="Times New Roman"/>
          <w:sz w:val="24"/>
          <w:szCs w:val="24"/>
          <w:lang w:eastAsia="lv-LV" w:bidi="lv-LV"/>
        </w:rPr>
        <w:t xml:space="preserve"> ezerā un tajā ietekošajos un iztekošajos strautos, sakritušo koku un bebru dambju sastopamība </w:t>
      </w:r>
      <w:proofErr w:type="spellStart"/>
      <w:r w:rsidR="00B01AA5" w:rsidRPr="00A07F29">
        <w:rPr>
          <w:rFonts w:ascii="Times New Roman" w:eastAsia="Calibri" w:hAnsi="Times New Roman" w:cs="Times New Roman"/>
          <w:sz w:val="24"/>
          <w:szCs w:val="24"/>
          <w:lang w:eastAsia="lv-LV" w:bidi="lv-LV"/>
        </w:rPr>
        <w:t>Varnaviču</w:t>
      </w:r>
      <w:proofErr w:type="spellEnd"/>
      <w:r w:rsidR="00B01AA5" w:rsidRPr="00A07F29">
        <w:rPr>
          <w:rFonts w:ascii="Times New Roman" w:eastAsia="Calibri" w:hAnsi="Times New Roman" w:cs="Times New Roman"/>
          <w:sz w:val="24"/>
          <w:szCs w:val="24"/>
          <w:lang w:eastAsia="lv-LV" w:bidi="lv-LV"/>
        </w:rPr>
        <w:t xml:space="preserve"> strautā pie iztekas no ezera, bebru dambju sastopamība </w:t>
      </w:r>
      <w:proofErr w:type="spellStart"/>
      <w:r w:rsidR="00B01AA5" w:rsidRPr="00A07F29">
        <w:rPr>
          <w:rFonts w:ascii="Times New Roman" w:eastAsia="Calibri" w:hAnsi="Times New Roman" w:cs="Times New Roman"/>
          <w:sz w:val="24"/>
          <w:szCs w:val="24"/>
          <w:lang w:eastAsia="lv-LV" w:bidi="lv-LV"/>
        </w:rPr>
        <w:t>Gluhoje</w:t>
      </w:r>
      <w:proofErr w:type="spellEnd"/>
      <w:r w:rsidR="00B01AA5" w:rsidRPr="00A07F29">
        <w:rPr>
          <w:rFonts w:ascii="Times New Roman" w:eastAsia="Calibri" w:hAnsi="Times New Roman" w:cs="Times New Roman"/>
          <w:sz w:val="24"/>
          <w:szCs w:val="24"/>
          <w:lang w:eastAsia="lv-LV" w:bidi="lv-LV"/>
        </w:rPr>
        <w:t xml:space="preserve">, </w:t>
      </w:r>
      <w:proofErr w:type="spellStart"/>
      <w:r w:rsidR="00B01AA5" w:rsidRPr="00A07F29">
        <w:rPr>
          <w:rFonts w:ascii="Times New Roman" w:eastAsia="Calibri" w:hAnsi="Times New Roman" w:cs="Times New Roman"/>
          <w:sz w:val="24"/>
          <w:szCs w:val="24"/>
          <w:lang w:eastAsia="lv-LV" w:bidi="lv-LV"/>
        </w:rPr>
        <w:t>Zimašu</w:t>
      </w:r>
      <w:proofErr w:type="spellEnd"/>
      <w:r w:rsidR="00B01AA5" w:rsidRPr="00A07F29">
        <w:rPr>
          <w:rFonts w:ascii="Times New Roman" w:eastAsia="Calibri" w:hAnsi="Times New Roman" w:cs="Times New Roman"/>
          <w:sz w:val="24"/>
          <w:szCs w:val="24"/>
          <w:lang w:eastAsia="lv-LV" w:bidi="lv-LV"/>
        </w:rPr>
        <w:t xml:space="preserve">, </w:t>
      </w:r>
      <w:proofErr w:type="spellStart"/>
      <w:r w:rsidR="00B01AA5" w:rsidRPr="00A07F29">
        <w:rPr>
          <w:rFonts w:ascii="Times New Roman" w:eastAsia="Calibri" w:hAnsi="Times New Roman" w:cs="Times New Roman"/>
          <w:sz w:val="24"/>
          <w:szCs w:val="24"/>
          <w:lang w:eastAsia="lv-LV" w:bidi="lv-LV"/>
        </w:rPr>
        <w:t>Dubinkas</w:t>
      </w:r>
      <w:proofErr w:type="spellEnd"/>
      <w:r w:rsidR="00B01AA5" w:rsidRPr="00A07F29">
        <w:rPr>
          <w:rFonts w:ascii="Times New Roman" w:eastAsia="Calibri" w:hAnsi="Times New Roman" w:cs="Times New Roman"/>
          <w:sz w:val="24"/>
          <w:szCs w:val="24"/>
          <w:lang w:eastAsia="lv-LV" w:bidi="lv-LV"/>
        </w:rPr>
        <w:t xml:space="preserve">, </w:t>
      </w:r>
      <w:proofErr w:type="spellStart"/>
      <w:r w:rsidR="00B01AA5" w:rsidRPr="00A07F29">
        <w:rPr>
          <w:rFonts w:ascii="Times New Roman" w:eastAsia="Calibri" w:hAnsi="Times New Roman" w:cs="Times New Roman"/>
          <w:sz w:val="24"/>
          <w:szCs w:val="24"/>
          <w:lang w:eastAsia="lv-LV" w:bidi="lv-LV"/>
        </w:rPr>
        <w:t>Prūdeņa</w:t>
      </w:r>
      <w:proofErr w:type="spellEnd"/>
      <w:r w:rsidR="00B01AA5" w:rsidRPr="00A07F29">
        <w:rPr>
          <w:rFonts w:ascii="Times New Roman" w:eastAsia="Calibri" w:hAnsi="Times New Roman" w:cs="Times New Roman"/>
          <w:sz w:val="24"/>
          <w:szCs w:val="24"/>
          <w:lang w:eastAsia="lv-LV" w:bidi="lv-LV"/>
        </w:rPr>
        <w:t xml:space="preserve"> un </w:t>
      </w:r>
      <w:proofErr w:type="spellStart"/>
      <w:r w:rsidR="00B01AA5" w:rsidRPr="00A07F29">
        <w:rPr>
          <w:rFonts w:ascii="Times New Roman" w:eastAsia="Calibri" w:hAnsi="Times New Roman" w:cs="Times New Roman"/>
          <w:sz w:val="24"/>
          <w:szCs w:val="24"/>
          <w:lang w:eastAsia="lv-LV" w:bidi="lv-LV"/>
        </w:rPr>
        <w:t>Šlapuka</w:t>
      </w:r>
      <w:proofErr w:type="spellEnd"/>
      <w:r w:rsidR="00B01AA5" w:rsidRPr="00A07F29">
        <w:rPr>
          <w:rFonts w:ascii="Times New Roman" w:eastAsia="Calibri" w:hAnsi="Times New Roman" w:cs="Times New Roman"/>
          <w:sz w:val="24"/>
          <w:szCs w:val="24"/>
          <w:lang w:eastAsia="lv-LV" w:bidi="lv-LV"/>
        </w:rPr>
        <w:t xml:space="preserve"> ezeros un ūdenstecēs, </w:t>
      </w:r>
      <w:r w:rsidR="00B01AA5" w:rsidRPr="00A07F29">
        <w:rPr>
          <w:rFonts w:ascii="Times New Roman" w:eastAsia="Calibri" w:hAnsi="Times New Roman" w:cs="Times New Roman"/>
          <w:sz w:val="24"/>
          <w:szCs w:val="24"/>
          <w:lang w:eastAsia="lv-LV" w:bidi="lv-LV"/>
        </w:rPr>
        <w:lastRenderedPageBreak/>
        <w:t>kas ietekmē ūdens līmeni šajos ezeros).</w:t>
      </w:r>
    </w:p>
    <w:p w14:paraId="5CFD6DDF" w14:textId="2A1FA029" w:rsidR="00A04928" w:rsidRDefault="00B01AA5" w:rsidP="00DD291E">
      <w:pPr>
        <w:widowControl w:val="0"/>
        <w:autoSpaceDE w:val="0"/>
        <w:autoSpaceDN w:val="0"/>
        <w:spacing w:before="91" w:after="120" w:line="240" w:lineRule="auto"/>
        <w:ind w:firstLine="851"/>
        <w:jc w:val="both"/>
        <w:rPr>
          <w:rFonts w:ascii="Times New Roman" w:eastAsia="Calibri" w:hAnsi="Times New Roman" w:cs="Times New Roman"/>
          <w:sz w:val="24"/>
          <w:szCs w:val="24"/>
          <w:lang w:eastAsia="lv-LV" w:bidi="lv-LV"/>
        </w:rPr>
      </w:pPr>
      <w:r w:rsidRPr="00A07F29">
        <w:rPr>
          <w:rFonts w:ascii="Times New Roman" w:eastAsia="Calibri" w:hAnsi="Times New Roman" w:cs="Times New Roman"/>
          <w:sz w:val="24"/>
          <w:szCs w:val="24"/>
          <w:lang w:eastAsia="lv-LV" w:bidi="lv-LV"/>
        </w:rPr>
        <w:t>Zālājos, kuri tiek noganīti, jāseko līdzi noganīšanas intensitātei, lai izv</w:t>
      </w:r>
      <w:r w:rsidR="00DD291E">
        <w:rPr>
          <w:rFonts w:ascii="Times New Roman" w:eastAsia="Calibri" w:hAnsi="Times New Roman" w:cs="Times New Roman"/>
          <w:sz w:val="24"/>
          <w:szCs w:val="24"/>
          <w:lang w:eastAsia="lv-LV" w:bidi="lv-LV"/>
        </w:rPr>
        <w:t>a</w:t>
      </w:r>
      <w:r w:rsidRPr="00A07F29">
        <w:rPr>
          <w:rFonts w:ascii="Times New Roman" w:eastAsia="Calibri" w:hAnsi="Times New Roman" w:cs="Times New Roman"/>
          <w:sz w:val="24"/>
          <w:szCs w:val="24"/>
          <w:lang w:eastAsia="lv-LV" w:bidi="lv-LV"/>
        </w:rPr>
        <w:t>irītos no pārganīšanas vai nepietiekamas noganīšanas (jānovērtē augāja struktūra un sugu sastāvs).</w:t>
      </w:r>
    </w:p>
    <w:p w14:paraId="08CEE134" w14:textId="77777777" w:rsidR="00CB2189" w:rsidRPr="00A07F29" w:rsidRDefault="00CB2189" w:rsidP="00DD291E">
      <w:pPr>
        <w:widowControl w:val="0"/>
        <w:autoSpaceDE w:val="0"/>
        <w:autoSpaceDN w:val="0"/>
        <w:spacing w:before="91" w:after="120" w:line="240" w:lineRule="auto"/>
        <w:ind w:firstLine="851"/>
        <w:jc w:val="both"/>
        <w:rPr>
          <w:rFonts w:ascii="Times New Roman" w:eastAsia="Calibri" w:hAnsi="Times New Roman" w:cs="Times New Roman"/>
          <w:sz w:val="24"/>
          <w:szCs w:val="24"/>
          <w:lang w:eastAsia="lv-LV" w:bidi="lv-LV"/>
        </w:rPr>
      </w:pPr>
    </w:p>
    <w:p w14:paraId="1174C343" w14:textId="4325A65F" w:rsidR="00346754" w:rsidRPr="00A07F29" w:rsidRDefault="00346754" w:rsidP="00346754">
      <w:pPr>
        <w:spacing w:after="120" w:line="240" w:lineRule="auto"/>
        <w:jc w:val="both"/>
        <w:rPr>
          <w:rFonts w:ascii="Times New Roman" w:eastAsia="Calibri" w:hAnsi="Times New Roman" w:cs="Calibri"/>
          <w:b/>
          <w:sz w:val="24"/>
          <w:lang w:eastAsia="ja-JP"/>
        </w:rPr>
      </w:pPr>
      <w:r w:rsidRPr="00A07F29">
        <w:rPr>
          <w:rFonts w:ascii="Times New Roman" w:eastAsia="Calibri" w:hAnsi="Times New Roman" w:cs="Calibri"/>
          <w:b/>
          <w:sz w:val="24"/>
          <w:lang w:eastAsia="ja-JP"/>
        </w:rPr>
        <w:t>F.3. Veikt tūrisma un atpūtas ietekmju monitoringu</w:t>
      </w:r>
    </w:p>
    <w:p w14:paraId="32C1409C" w14:textId="7770AD20" w:rsidR="00A21E83" w:rsidRPr="00A07F29" w:rsidRDefault="00A21E83" w:rsidP="00346754">
      <w:pPr>
        <w:spacing w:before="120" w:after="120" w:line="240" w:lineRule="auto"/>
        <w:jc w:val="both"/>
        <w:rPr>
          <w:rFonts w:ascii="Times New Roman" w:eastAsia="Calibri" w:hAnsi="Times New Roman" w:cs="Calibri"/>
          <w:b/>
          <w:bCs/>
          <w:i/>
          <w:iCs/>
          <w:sz w:val="24"/>
          <w:lang w:eastAsia="ja-JP"/>
        </w:rPr>
      </w:pPr>
      <w:r w:rsidRPr="00A07F29">
        <w:rPr>
          <w:rFonts w:ascii="Times New Roman" w:eastAsia="Calibri" w:hAnsi="Times New Roman" w:cs="Calibri"/>
          <w:b/>
          <w:bCs/>
          <w:i/>
          <w:iCs/>
          <w:sz w:val="24"/>
          <w:lang w:eastAsia="ja-JP"/>
        </w:rPr>
        <w:t>F.</w:t>
      </w:r>
      <w:r w:rsidR="00346754" w:rsidRPr="00A07F29">
        <w:rPr>
          <w:rFonts w:ascii="Times New Roman" w:eastAsia="Calibri" w:hAnsi="Times New Roman" w:cs="Calibri"/>
          <w:b/>
          <w:bCs/>
          <w:i/>
          <w:iCs/>
          <w:sz w:val="24"/>
          <w:lang w:eastAsia="ja-JP"/>
        </w:rPr>
        <w:t>3</w:t>
      </w:r>
      <w:r w:rsidRPr="00A07F29">
        <w:rPr>
          <w:rFonts w:ascii="Times New Roman" w:eastAsia="Calibri" w:hAnsi="Times New Roman" w:cs="Calibri"/>
          <w:b/>
          <w:bCs/>
          <w:i/>
          <w:iCs/>
          <w:sz w:val="24"/>
          <w:lang w:eastAsia="ja-JP"/>
        </w:rPr>
        <w:t>.</w:t>
      </w:r>
      <w:r w:rsidR="00346754" w:rsidRPr="00A07F29">
        <w:rPr>
          <w:rFonts w:ascii="Times New Roman" w:eastAsia="Calibri" w:hAnsi="Times New Roman" w:cs="Calibri"/>
          <w:b/>
          <w:bCs/>
          <w:i/>
          <w:iCs/>
          <w:sz w:val="24"/>
          <w:lang w:eastAsia="ja-JP"/>
        </w:rPr>
        <w:t>1.</w:t>
      </w:r>
      <w:r w:rsidRPr="00A07F29">
        <w:rPr>
          <w:rFonts w:ascii="Times New Roman" w:eastAsia="Calibri" w:hAnsi="Times New Roman" w:cs="Calibri"/>
          <w:b/>
          <w:bCs/>
          <w:i/>
          <w:iCs/>
          <w:sz w:val="24"/>
          <w:lang w:eastAsia="ja-JP"/>
        </w:rPr>
        <w:t xml:space="preserve"> Tūrisma un atpūtas ietekmju monitorings</w:t>
      </w:r>
    </w:p>
    <w:p w14:paraId="1D7949EB" w14:textId="130A2019" w:rsidR="00A21E83" w:rsidRPr="00A07F29" w:rsidRDefault="00A21E83" w:rsidP="00346754">
      <w:pPr>
        <w:spacing w:after="120" w:line="240" w:lineRule="auto"/>
        <w:ind w:firstLine="851"/>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AAA “Augšdaugava” </w:t>
      </w:r>
      <w:r w:rsidR="00A92654">
        <w:rPr>
          <w:rFonts w:ascii="Times New Roman" w:eastAsia="Calibri" w:hAnsi="Times New Roman" w:cs="Times New Roman"/>
          <w:sz w:val="24"/>
          <w:szCs w:val="24"/>
        </w:rPr>
        <w:t>DA</w:t>
      </w:r>
      <w:r w:rsidRPr="00A07F29">
        <w:rPr>
          <w:rFonts w:ascii="Times New Roman" w:eastAsia="Calibri" w:hAnsi="Times New Roman" w:cs="Times New Roman"/>
          <w:sz w:val="24"/>
          <w:szCs w:val="24"/>
        </w:rPr>
        <w:t xml:space="preserve"> plānā paredzētā esošās tūrisma infrastruktūras uzlabošana un jaunu tūrisma objektu un infrastruktūras izveide jāveic</w:t>
      </w:r>
      <w:r w:rsidR="00346754" w:rsidRPr="00A07F29">
        <w:rPr>
          <w:rFonts w:ascii="Times New Roman" w:eastAsia="Calibri" w:hAnsi="Times New Roman" w:cs="Times New Roman"/>
          <w:sz w:val="24"/>
          <w:szCs w:val="24"/>
        </w:rPr>
        <w:t xml:space="preserve">, ievērojot </w:t>
      </w:r>
      <w:r w:rsidRPr="00A07F29">
        <w:rPr>
          <w:rFonts w:ascii="Times New Roman" w:eastAsia="Calibri" w:hAnsi="Times New Roman" w:cs="Times New Roman"/>
          <w:sz w:val="24"/>
          <w:szCs w:val="24"/>
        </w:rPr>
        <w:t xml:space="preserve">mērķi samazināt iespējamo antropogēno slodzi uz </w:t>
      </w:r>
      <w:r w:rsidRPr="00A92654">
        <w:rPr>
          <w:rFonts w:ascii="Times New Roman" w:eastAsia="Calibri" w:hAnsi="Times New Roman" w:cs="Times New Roman"/>
          <w:sz w:val="24"/>
          <w:szCs w:val="24"/>
        </w:rPr>
        <w:t>īpaši aizsargājamiem biotopiem</w:t>
      </w:r>
      <w:r w:rsidR="00346754" w:rsidRPr="00A92654">
        <w:rPr>
          <w:rFonts w:ascii="Times New Roman" w:eastAsia="Calibri" w:hAnsi="Times New Roman" w:cs="Times New Roman"/>
          <w:sz w:val="24"/>
          <w:szCs w:val="24"/>
        </w:rPr>
        <w:t xml:space="preserve"> un īpaši aizsargājamo</w:t>
      </w:r>
      <w:r w:rsidR="00346754" w:rsidRPr="00A07F29">
        <w:rPr>
          <w:rFonts w:ascii="Times New Roman" w:eastAsia="Calibri" w:hAnsi="Times New Roman" w:cs="Times New Roman"/>
          <w:sz w:val="24"/>
          <w:szCs w:val="24"/>
        </w:rPr>
        <w:t xml:space="preserve"> sugu atradnēm</w:t>
      </w:r>
      <w:r w:rsidRPr="00A07F29">
        <w:rPr>
          <w:rFonts w:ascii="Times New Roman" w:eastAsia="Calibri" w:hAnsi="Times New Roman" w:cs="Times New Roman"/>
          <w:sz w:val="24"/>
          <w:szCs w:val="24"/>
        </w:rPr>
        <w:t xml:space="preserve">. </w:t>
      </w:r>
      <w:r w:rsidR="00346754" w:rsidRPr="00A07F29">
        <w:rPr>
          <w:rFonts w:ascii="Times New Roman" w:eastAsia="Calibri" w:hAnsi="Times New Roman" w:cs="Times New Roman"/>
          <w:sz w:val="24"/>
          <w:szCs w:val="24"/>
        </w:rPr>
        <w:t xml:space="preserve">Nepieciešams </w:t>
      </w:r>
      <w:r w:rsidRPr="00A07F29">
        <w:rPr>
          <w:rFonts w:ascii="Times New Roman" w:eastAsia="Calibri" w:hAnsi="Times New Roman" w:cs="Times New Roman"/>
          <w:sz w:val="24"/>
          <w:szCs w:val="24"/>
        </w:rPr>
        <w:t>veikt monitoringu, lai novērtētu, vai veiktie uzlabojumi un izveidotā tūrisma infrastruktūra pilda savu mērķi un vai netiek radīta negatīva antropogēnā slodze. Gadījumā, ja tiek konstatētas nepilnības un ir radusies negatīva antropogēnā slodze, jāveic izmaiņas objekta apsaimniekošanā, uzturēšanā, izmantošanā (jāierobežo apmeklētāju skaits, jānorobežo jutīgākās objekta daļas, piemēram, gar kraujām izveidojot norobežojošas margas) vai jāveic objekta rekonstrukcija vai slēgšana.</w:t>
      </w:r>
    </w:p>
    <w:p w14:paraId="511590AA" w14:textId="4800D0AF" w:rsidR="00A21E83" w:rsidRPr="00A07F29" w:rsidRDefault="52C468B5" w:rsidP="00346754">
      <w:pPr>
        <w:spacing w:after="120" w:line="240" w:lineRule="auto"/>
        <w:ind w:firstLine="567"/>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DAP</w:t>
      </w:r>
      <w:r w:rsidR="00A21E83" w:rsidRPr="00A07F29">
        <w:rPr>
          <w:rFonts w:ascii="Times New Roman" w:eastAsia="Calibri" w:hAnsi="Times New Roman" w:cs="Times New Roman"/>
          <w:sz w:val="24"/>
          <w:szCs w:val="24"/>
        </w:rPr>
        <w:t xml:space="preserve"> ir izstrādājusi vadlīnijas antropogēnās slodzes novērtēšanai </w:t>
      </w:r>
      <w:r w:rsidR="30BDDCAD" w:rsidRPr="00A07F29">
        <w:rPr>
          <w:rFonts w:ascii="Times New Roman" w:eastAsia="Calibri" w:hAnsi="Times New Roman" w:cs="Times New Roman"/>
          <w:sz w:val="24"/>
          <w:szCs w:val="24"/>
        </w:rPr>
        <w:t>ĪADT</w:t>
      </w:r>
      <w:r w:rsidR="008E3B38">
        <w:rPr>
          <w:rStyle w:val="FootnoteReference"/>
          <w:rFonts w:ascii="Times New Roman" w:eastAsia="Calibri" w:hAnsi="Times New Roman" w:cs="Times New Roman"/>
          <w:sz w:val="24"/>
          <w:szCs w:val="24"/>
        </w:rPr>
        <w:footnoteReference w:id="59"/>
      </w:r>
      <w:r w:rsidR="00A21E83" w:rsidRPr="00A07F29">
        <w:rPr>
          <w:rFonts w:ascii="Times New Roman" w:eastAsia="Calibri" w:hAnsi="Times New Roman" w:cs="Times New Roman"/>
          <w:sz w:val="24"/>
          <w:szCs w:val="24"/>
        </w:rPr>
        <w:t xml:space="preserve">, kuras mērķis ir novērtēt paredzētās tūrisma infrastruktūras efektivitāti pēc vienotiem principiem. Vadoties pēc minētajām vadlīnijām, </w:t>
      </w:r>
      <w:r w:rsidR="001A7001">
        <w:rPr>
          <w:rFonts w:ascii="Times New Roman" w:eastAsia="Calibri" w:hAnsi="Times New Roman" w:cs="Times New Roman"/>
          <w:sz w:val="24"/>
          <w:szCs w:val="24"/>
        </w:rPr>
        <w:t>t</w:t>
      </w:r>
      <w:r w:rsidR="00346754" w:rsidRPr="00A07F29">
        <w:rPr>
          <w:rFonts w:ascii="Times New Roman" w:eastAsia="Calibri" w:hAnsi="Times New Roman" w:cs="Times New Roman"/>
          <w:sz w:val="24"/>
          <w:szCs w:val="24"/>
        </w:rPr>
        <w:t xml:space="preserve">ūrisma </w:t>
      </w:r>
      <w:r w:rsidR="00A21E83" w:rsidRPr="00A07F29">
        <w:rPr>
          <w:rFonts w:ascii="Times New Roman" w:eastAsia="Calibri" w:hAnsi="Times New Roman" w:cs="Times New Roman"/>
          <w:sz w:val="24"/>
          <w:szCs w:val="24"/>
        </w:rPr>
        <w:t xml:space="preserve">infrastruktūras </w:t>
      </w:r>
      <w:r w:rsidR="00346754" w:rsidRPr="00A07F29">
        <w:rPr>
          <w:rFonts w:ascii="Times New Roman" w:eastAsia="Calibri" w:hAnsi="Times New Roman" w:cs="Times New Roman"/>
          <w:sz w:val="24"/>
          <w:szCs w:val="24"/>
        </w:rPr>
        <w:t xml:space="preserve">izveidotājiem </w:t>
      </w:r>
      <w:r w:rsidR="00A21E83" w:rsidRPr="00A07F29">
        <w:rPr>
          <w:rFonts w:ascii="Times New Roman" w:eastAsia="Calibri" w:hAnsi="Times New Roman" w:cs="Times New Roman"/>
          <w:sz w:val="24"/>
          <w:szCs w:val="24"/>
        </w:rPr>
        <w:t>ir jāveic apmeklētāju plūsmas uzskait</w:t>
      </w:r>
      <w:r w:rsidR="00D51003" w:rsidRPr="00A07F29">
        <w:rPr>
          <w:rFonts w:ascii="Times New Roman" w:eastAsia="Calibri" w:hAnsi="Times New Roman" w:cs="Times New Roman"/>
          <w:sz w:val="24"/>
          <w:szCs w:val="24"/>
        </w:rPr>
        <w:t>e</w:t>
      </w:r>
      <w:r w:rsidR="00A21E83" w:rsidRPr="00A07F29">
        <w:rPr>
          <w:rFonts w:ascii="Times New Roman" w:eastAsia="Calibri" w:hAnsi="Times New Roman" w:cs="Times New Roman"/>
          <w:sz w:val="24"/>
          <w:szCs w:val="24"/>
        </w:rPr>
        <w:t xml:space="preserve"> un jākonstatē tās ietekme uz apkārtējo teritoriju ar </w:t>
      </w:r>
      <w:proofErr w:type="spellStart"/>
      <w:r w:rsidR="00A21E83" w:rsidRPr="00A07F29">
        <w:rPr>
          <w:rFonts w:ascii="Times New Roman" w:eastAsia="Calibri" w:hAnsi="Times New Roman" w:cs="Times New Roman"/>
          <w:sz w:val="24"/>
          <w:szCs w:val="24"/>
        </w:rPr>
        <w:t>fotofiksācijas</w:t>
      </w:r>
      <w:proofErr w:type="spellEnd"/>
      <w:r w:rsidR="00A21E83" w:rsidRPr="00A07F29">
        <w:rPr>
          <w:rFonts w:ascii="Times New Roman" w:eastAsia="Calibri" w:hAnsi="Times New Roman" w:cs="Times New Roman"/>
          <w:sz w:val="24"/>
          <w:szCs w:val="24"/>
        </w:rPr>
        <w:t xml:space="preserve"> palīdzību. Šīs darbības pirmo reizi jāveic </w:t>
      </w:r>
      <w:r w:rsidR="00C84954" w:rsidRPr="00A07F29">
        <w:rPr>
          <w:rFonts w:ascii="Times New Roman" w:eastAsia="Calibri" w:hAnsi="Times New Roman" w:cs="Times New Roman"/>
          <w:sz w:val="24"/>
          <w:szCs w:val="24"/>
        </w:rPr>
        <w:t>“</w:t>
      </w:r>
      <w:r w:rsidR="00A21E83" w:rsidRPr="00A07F29">
        <w:rPr>
          <w:rFonts w:ascii="Times New Roman" w:eastAsia="Calibri" w:hAnsi="Times New Roman" w:cs="Times New Roman"/>
          <w:sz w:val="24"/>
          <w:szCs w:val="24"/>
        </w:rPr>
        <w:t xml:space="preserve">pirms paredzēto būvdarbu uzsākšanas un turpmāk divas reizes gadā pirms un pēc tūrisma sezonas. </w:t>
      </w:r>
      <w:r w:rsidR="00C84954" w:rsidRPr="00A07F29">
        <w:rPr>
          <w:rFonts w:ascii="Times New Roman" w:eastAsia="Calibri" w:hAnsi="Times New Roman" w:cs="Times New Roman"/>
          <w:sz w:val="24"/>
          <w:szCs w:val="24"/>
        </w:rPr>
        <w:t xml:space="preserve">[..] </w:t>
      </w:r>
      <w:r w:rsidR="00A21E83" w:rsidRPr="00A07F29">
        <w:rPr>
          <w:rFonts w:ascii="Times New Roman" w:eastAsia="Calibri" w:hAnsi="Times New Roman" w:cs="Times New Roman"/>
          <w:sz w:val="24"/>
          <w:szCs w:val="24"/>
        </w:rPr>
        <w:t>Lai dati no dažādiem avotiem un teritorijām būtu salīdzināmi un apkopoja</w:t>
      </w:r>
      <w:r w:rsidR="00C84954" w:rsidRPr="00A07F29">
        <w:rPr>
          <w:rFonts w:ascii="Times New Roman" w:eastAsia="Calibri" w:hAnsi="Times New Roman" w:cs="Times New Roman"/>
          <w:sz w:val="24"/>
          <w:szCs w:val="24"/>
        </w:rPr>
        <w:t>mi, Dabas aizsardzības pārvalde</w:t>
      </w:r>
      <w:r w:rsidR="00A21E83" w:rsidRPr="00A07F29">
        <w:rPr>
          <w:rFonts w:ascii="Times New Roman" w:eastAsia="Calibri" w:hAnsi="Times New Roman" w:cs="Times New Roman"/>
          <w:sz w:val="24"/>
          <w:szCs w:val="24"/>
        </w:rPr>
        <w:t xml:space="preserve"> iesaka</w:t>
      </w:r>
      <w:r w:rsidR="00C84954" w:rsidRPr="00A07F29">
        <w:rPr>
          <w:rFonts w:ascii="Times New Roman" w:eastAsia="Calibri" w:hAnsi="Times New Roman" w:cs="Times New Roman"/>
          <w:sz w:val="24"/>
          <w:szCs w:val="24"/>
        </w:rPr>
        <w:t xml:space="preserve"> veikt</w:t>
      </w:r>
      <w:r w:rsidR="00A21E83" w:rsidRPr="00A07F29">
        <w:rPr>
          <w:rFonts w:ascii="Times New Roman" w:eastAsia="Calibri" w:hAnsi="Times New Roman" w:cs="Times New Roman"/>
          <w:sz w:val="24"/>
          <w:szCs w:val="24"/>
        </w:rPr>
        <w:t xml:space="preserve"> </w:t>
      </w:r>
      <w:proofErr w:type="spellStart"/>
      <w:r w:rsidR="00A21E83" w:rsidRPr="00A07F29">
        <w:rPr>
          <w:rFonts w:ascii="Times New Roman" w:eastAsia="Calibri" w:hAnsi="Times New Roman" w:cs="Times New Roman"/>
          <w:sz w:val="24"/>
          <w:szCs w:val="24"/>
        </w:rPr>
        <w:t>fotofiksāciju</w:t>
      </w:r>
      <w:proofErr w:type="spellEnd"/>
      <w:r w:rsidR="00D65BBA" w:rsidRPr="00A07F29">
        <w:rPr>
          <w:rFonts w:ascii="Times New Roman" w:eastAsia="Calibri" w:hAnsi="Times New Roman" w:cs="Times New Roman"/>
          <w:sz w:val="24"/>
          <w:szCs w:val="24"/>
        </w:rPr>
        <w:t xml:space="preserve"> </w:t>
      </w:r>
      <w:r w:rsidR="00A21E83" w:rsidRPr="00A07F29">
        <w:rPr>
          <w:rFonts w:ascii="Times New Roman" w:eastAsia="Calibri" w:hAnsi="Times New Roman" w:cs="Times New Roman"/>
          <w:sz w:val="24"/>
          <w:szCs w:val="24"/>
        </w:rPr>
        <w:t>un</w:t>
      </w:r>
      <w:r w:rsidR="00D65BBA" w:rsidRPr="00A07F29">
        <w:rPr>
          <w:rFonts w:ascii="Times New Roman" w:eastAsia="Calibri" w:hAnsi="Times New Roman" w:cs="Times New Roman"/>
          <w:sz w:val="24"/>
          <w:szCs w:val="24"/>
        </w:rPr>
        <w:t xml:space="preserve"> </w:t>
      </w:r>
      <w:r w:rsidR="00A21E83" w:rsidRPr="00A07F29">
        <w:rPr>
          <w:rFonts w:ascii="Times New Roman" w:eastAsia="Calibri" w:hAnsi="Times New Roman" w:cs="Times New Roman"/>
          <w:sz w:val="24"/>
          <w:szCs w:val="24"/>
        </w:rPr>
        <w:t>aizpildīt</w:t>
      </w:r>
      <w:r w:rsidR="00D65BBA" w:rsidRPr="00A07F29">
        <w:rPr>
          <w:rFonts w:ascii="Times New Roman" w:eastAsia="Calibri" w:hAnsi="Times New Roman" w:cs="Times New Roman"/>
          <w:sz w:val="24"/>
          <w:szCs w:val="24"/>
        </w:rPr>
        <w:t xml:space="preserve"> </w:t>
      </w:r>
      <w:r w:rsidR="00A21E83" w:rsidRPr="00A07F29">
        <w:rPr>
          <w:rFonts w:ascii="Times New Roman" w:eastAsia="Calibri" w:hAnsi="Times New Roman" w:cs="Times New Roman"/>
          <w:sz w:val="24"/>
          <w:szCs w:val="24"/>
        </w:rPr>
        <w:t>antropogēnās</w:t>
      </w:r>
      <w:r w:rsidR="00D65BBA" w:rsidRPr="00A07F29">
        <w:rPr>
          <w:rFonts w:ascii="Times New Roman" w:eastAsia="Calibri" w:hAnsi="Times New Roman" w:cs="Times New Roman"/>
          <w:sz w:val="24"/>
          <w:szCs w:val="24"/>
        </w:rPr>
        <w:t xml:space="preserve"> </w:t>
      </w:r>
      <w:r w:rsidR="00A21E83" w:rsidRPr="00A07F29">
        <w:rPr>
          <w:rFonts w:ascii="Times New Roman" w:eastAsia="Calibri" w:hAnsi="Times New Roman" w:cs="Times New Roman"/>
          <w:sz w:val="24"/>
          <w:szCs w:val="24"/>
        </w:rPr>
        <w:t>slodzes monitoringa anketu, kā arī veikt apmeklētāju uzskaiti, visos objektos izmantojot līdzīgi funkcionējošus apmeklētāju skaitītājus” (</w:t>
      </w:r>
      <w:r w:rsidR="00761E54">
        <w:rPr>
          <w:rFonts w:ascii="Times New Roman" w:eastAsia="Calibri" w:hAnsi="Times New Roman" w:cs="Times New Roman"/>
          <w:sz w:val="24"/>
          <w:szCs w:val="24"/>
        </w:rPr>
        <w:t>Vadlīnijas antro</w:t>
      </w:r>
      <w:r w:rsidR="003E76D4">
        <w:rPr>
          <w:rFonts w:ascii="Times New Roman" w:eastAsia="Calibri" w:hAnsi="Times New Roman" w:cs="Times New Roman"/>
          <w:sz w:val="24"/>
          <w:szCs w:val="24"/>
        </w:rPr>
        <w:t>pogēnās…</w:t>
      </w:r>
      <w:r w:rsidR="00A21E83" w:rsidRPr="00A07F29">
        <w:rPr>
          <w:rFonts w:ascii="Times New Roman" w:eastAsia="Calibri" w:hAnsi="Times New Roman" w:cs="Times New Roman"/>
          <w:sz w:val="24"/>
          <w:szCs w:val="24"/>
        </w:rPr>
        <w:t>, 2016).</w:t>
      </w:r>
    </w:p>
    <w:p w14:paraId="2F9CBF5D" w14:textId="16DD747F" w:rsidR="00A21E83" w:rsidRPr="00A07F29" w:rsidRDefault="00A21E83" w:rsidP="003524C7">
      <w:pPr>
        <w:spacing w:after="120" w:line="240" w:lineRule="auto"/>
        <w:ind w:firstLine="567"/>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 xml:space="preserve">AAA “Augšdaugava” teritorijā jau šobrīd ir izvietoti vairāki automatizētie apmeklētāju skaitītāji – </w:t>
      </w:r>
      <w:proofErr w:type="spellStart"/>
      <w:r w:rsidRPr="00A07F29">
        <w:rPr>
          <w:rFonts w:ascii="Times New Roman" w:eastAsia="Calibri" w:hAnsi="Times New Roman" w:cs="Times New Roman"/>
          <w:sz w:val="24"/>
          <w:szCs w:val="24"/>
        </w:rPr>
        <w:t>Vasargelišķu</w:t>
      </w:r>
      <w:proofErr w:type="spellEnd"/>
      <w:r w:rsidRPr="00A07F29">
        <w:rPr>
          <w:rFonts w:ascii="Times New Roman" w:eastAsia="Calibri" w:hAnsi="Times New Roman" w:cs="Times New Roman"/>
          <w:sz w:val="24"/>
          <w:szCs w:val="24"/>
        </w:rPr>
        <w:t xml:space="preserve"> skatu tornī, Dinaburgas izziņas takā un pie </w:t>
      </w:r>
      <w:proofErr w:type="spellStart"/>
      <w:r w:rsidRPr="00A07F29">
        <w:rPr>
          <w:rFonts w:ascii="Times New Roman" w:eastAsia="Calibri" w:hAnsi="Times New Roman" w:cs="Times New Roman"/>
          <w:sz w:val="24"/>
          <w:szCs w:val="24"/>
        </w:rPr>
        <w:t>Markovas</w:t>
      </w:r>
      <w:proofErr w:type="spellEnd"/>
      <w:r w:rsidRPr="00A07F29">
        <w:rPr>
          <w:rFonts w:ascii="Times New Roman" w:eastAsia="Calibri" w:hAnsi="Times New Roman" w:cs="Times New Roman"/>
          <w:sz w:val="24"/>
          <w:szCs w:val="24"/>
        </w:rPr>
        <w:t xml:space="preserve">. Ieteicams apmeklētāju skaitītājus izvietot arī citos tūrisma objektos, lai būtu plašāka informācija par </w:t>
      </w:r>
      <w:r w:rsidR="00C16FBA">
        <w:rPr>
          <w:rFonts w:ascii="Times New Roman" w:eastAsia="Calibri" w:hAnsi="Times New Roman" w:cs="Times New Roman"/>
          <w:sz w:val="24"/>
          <w:szCs w:val="24"/>
        </w:rPr>
        <w:t xml:space="preserve">AAA </w:t>
      </w:r>
      <w:r w:rsidRPr="00A07F29">
        <w:rPr>
          <w:rFonts w:ascii="Times New Roman" w:eastAsia="Calibri" w:hAnsi="Times New Roman" w:cs="Times New Roman"/>
          <w:sz w:val="24"/>
          <w:szCs w:val="24"/>
        </w:rPr>
        <w:t xml:space="preserve">“Augšdaugava” apmeklētāju skaitu un plūsmu, piemēram, Lazdukalna un Priedaines skatu torņos, </w:t>
      </w:r>
      <w:proofErr w:type="spellStart"/>
      <w:r w:rsidRPr="00A07F29">
        <w:rPr>
          <w:rFonts w:ascii="Times New Roman" w:eastAsia="Calibri" w:hAnsi="Times New Roman" w:cs="Times New Roman"/>
          <w:sz w:val="24"/>
          <w:szCs w:val="24"/>
        </w:rPr>
        <w:t>Markovas</w:t>
      </w:r>
      <w:proofErr w:type="spellEnd"/>
      <w:r w:rsidRPr="00A07F29">
        <w:rPr>
          <w:rFonts w:ascii="Times New Roman" w:eastAsia="Calibri" w:hAnsi="Times New Roman" w:cs="Times New Roman"/>
          <w:sz w:val="24"/>
          <w:szCs w:val="24"/>
        </w:rPr>
        <w:t xml:space="preserve"> izziņas takā, </w:t>
      </w:r>
      <w:proofErr w:type="spellStart"/>
      <w:r w:rsidR="002104EF" w:rsidRPr="00A07F29">
        <w:rPr>
          <w:rFonts w:ascii="Times New Roman" w:eastAsia="Calibri" w:hAnsi="Times New Roman" w:cs="Times New Roman"/>
          <w:sz w:val="24"/>
          <w:szCs w:val="24"/>
        </w:rPr>
        <w:t>Slutišķu</w:t>
      </w:r>
      <w:proofErr w:type="spellEnd"/>
      <w:r w:rsidR="002104EF" w:rsidRPr="00A07F29">
        <w:rPr>
          <w:rFonts w:ascii="Times New Roman" w:eastAsia="Calibri" w:hAnsi="Times New Roman" w:cs="Times New Roman"/>
          <w:sz w:val="24"/>
          <w:szCs w:val="24"/>
        </w:rPr>
        <w:t xml:space="preserve"> gravu takā, </w:t>
      </w:r>
      <w:r w:rsidRPr="00A07F29">
        <w:rPr>
          <w:rFonts w:ascii="Times New Roman" w:eastAsia="Calibri" w:hAnsi="Times New Roman" w:cs="Times New Roman"/>
          <w:sz w:val="24"/>
          <w:szCs w:val="24"/>
        </w:rPr>
        <w:t xml:space="preserve">Adamovas un Piedrujas dabas takās, pie </w:t>
      </w:r>
      <w:proofErr w:type="spellStart"/>
      <w:r w:rsidRPr="00A07F29">
        <w:rPr>
          <w:rFonts w:ascii="Times New Roman" w:eastAsia="Calibri" w:hAnsi="Times New Roman" w:cs="Times New Roman"/>
          <w:sz w:val="24"/>
          <w:szCs w:val="24"/>
        </w:rPr>
        <w:t>Ververu</w:t>
      </w:r>
      <w:proofErr w:type="spellEnd"/>
      <w:r w:rsidRPr="00A07F29">
        <w:rPr>
          <w:rFonts w:ascii="Times New Roman" w:eastAsia="Calibri" w:hAnsi="Times New Roman" w:cs="Times New Roman"/>
          <w:sz w:val="24"/>
          <w:szCs w:val="24"/>
        </w:rPr>
        <w:t xml:space="preserve"> un </w:t>
      </w:r>
      <w:proofErr w:type="spellStart"/>
      <w:r w:rsidRPr="00A07F29">
        <w:rPr>
          <w:rFonts w:ascii="Times New Roman" w:eastAsia="Calibri" w:hAnsi="Times New Roman" w:cs="Times New Roman"/>
          <w:sz w:val="24"/>
          <w:szCs w:val="24"/>
        </w:rPr>
        <w:t>Slutišķu</w:t>
      </w:r>
      <w:proofErr w:type="spellEnd"/>
      <w:r w:rsidRPr="00A07F29">
        <w:rPr>
          <w:rFonts w:ascii="Times New Roman" w:eastAsia="Calibri" w:hAnsi="Times New Roman" w:cs="Times New Roman"/>
          <w:sz w:val="24"/>
          <w:szCs w:val="24"/>
        </w:rPr>
        <w:t xml:space="preserve"> kraujām, kā arī dabas takās pie Sproģu gravām, ja tādas tiks izveidotas, pie laivu piestātnēm u.c. dabas un izziņas infrastruktūras objektos.</w:t>
      </w:r>
    </w:p>
    <w:p w14:paraId="6F43F996" w14:textId="3555E51D" w:rsidR="009072CE" w:rsidRPr="00A07F29" w:rsidRDefault="009072CE" w:rsidP="0022550C">
      <w:pPr>
        <w:pStyle w:val="Heading1"/>
        <w:pageBreakBefore/>
        <w:spacing w:before="0" w:after="240" w:line="240" w:lineRule="auto"/>
        <w:jc w:val="center"/>
        <w:rPr>
          <w:rFonts w:ascii="Times New Roman" w:eastAsia="Times New Roman" w:hAnsi="Times New Roman" w:cs="Times New Roman"/>
          <w:b w:val="0"/>
          <w:bCs w:val="0"/>
          <w:color w:val="auto"/>
          <w:lang w:eastAsia="ja-JP"/>
        </w:rPr>
      </w:pPr>
      <w:bookmarkStart w:id="113" w:name="_Toc183434036"/>
      <w:r w:rsidRPr="00A07F29">
        <w:rPr>
          <w:rFonts w:ascii="Times New Roman" w:eastAsia="Times New Roman" w:hAnsi="Times New Roman" w:cs="Times New Roman"/>
          <w:color w:val="auto"/>
          <w:lang w:eastAsia="ja-JP"/>
        </w:rPr>
        <w:lastRenderedPageBreak/>
        <w:t>6. PLĀNA IEVIEŠANA UN ATJAUNOŠANA</w:t>
      </w:r>
      <w:bookmarkEnd w:id="113"/>
    </w:p>
    <w:p w14:paraId="1DCAD313" w14:textId="7D5D90A7" w:rsidR="009072CE" w:rsidRPr="00A07F29" w:rsidRDefault="009072CE" w:rsidP="0022550C">
      <w:pPr>
        <w:pStyle w:val="Heading2"/>
        <w:spacing w:before="120" w:after="120"/>
        <w:ind w:firstLine="0"/>
        <w:jc w:val="center"/>
        <w:rPr>
          <w:rFonts w:ascii="Times New Roman" w:hAnsi="Times New Roman"/>
          <w:b w:val="0"/>
          <w:iCs w:val="0"/>
        </w:rPr>
      </w:pPr>
      <w:bookmarkStart w:id="114" w:name="_Toc183434037"/>
      <w:r w:rsidRPr="00A07F29">
        <w:rPr>
          <w:rFonts w:ascii="Times New Roman" w:hAnsi="Times New Roman"/>
          <w:i w:val="0"/>
        </w:rPr>
        <w:t xml:space="preserve">6.1. Priekšlikumi par nepieciešamajiem grozījumiem </w:t>
      </w:r>
      <w:r w:rsidR="00120CDE" w:rsidRPr="00A07F29">
        <w:rPr>
          <w:rFonts w:ascii="Times New Roman" w:hAnsi="Times New Roman"/>
          <w:i w:val="0"/>
        </w:rPr>
        <w:t>Augšdaugavas</w:t>
      </w:r>
      <w:r w:rsidRPr="00A07F29">
        <w:rPr>
          <w:rFonts w:ascii="Times New Roman" w:hAnsi="Times New Roman"/>
          <w:i w:val="0"/>
        </w:rPr>
        <w:t xml:space="preserve"> un Krāslavas novadu teritorijas plānojumā</w:t>
      </w:r>
      <w:bookmarkEnd w:id="114"/>
    </w:p>
    <w:p w14:paraId="091042D1" w14:textId="49912A44" w:rsidR="009072CE" w:rsidRPr="00A07F29" w:rsidRDefault="009072CE" w:rsidP="0055257E">
      <w:pPr>
        <w:spacing w:after="120" w:line="240" w:lineRule="auto"/>
        <w:ind w:firstLine="851"/>
        <w:jc w:val="both"/>
        <w:rPr>
          <w:rFonts w:ascii="Times New Roman" w:eastAsia="Times New Roman" w:hAnsi="Times New Roman" w:cs="Times New Roman"/>
          <w:bCs/>
          <w:color w:val="000000"/>
          <w:sz w:val="24"/>
          <w:szCs w:val="24"/>
          <w:lang w:eastAsia="ja-JP"/>
        </w:rPr>
      </w:pPr>
      <w:r w:rsidRPr="00A07F29">
        <w:rPr>
          <w:rFonts w:ascii="Times New Roman" w:eastAsia="Times New Roman" w:hAnsi="Times New Roman" w:cs="Times New Roman"/>
          <w:bCs/>
          <w:color w:val="000000"/>
          <w:sz w:val="24"/>
          <w:szCs w:val="24"/>
          <w:lang w:eastAsia="ja-JP"/>
        </w:rPr>
        <w:t xml:space="preserve">Izstrādājot </w:t>
      </w:r>
      <w:r w:rsidR="00120CDE" w:rsidRPr="00A07F29">
        <w:rPr>
          <w:rFonts w:ascii="Times New Roman" w:eastAsia="Times New Roman" w:hAnsi="Times New Roman" w:cs="Times New Roman"/>
          <w:bCs/>
          <w:color w:val="000000"/>
          <w:sz w:val="24"/>
          <w:szCs w:val="24"/>
          <w:lang w:eastAsia="ja-JP"/>
        </w:rPr>
        <w:t>Augšdaugavas</w:t>
      </w:r>
      <w:r w:rsidRPr="00A07F29">
        <w:rPr>
          <w:rFonts w:ascii="Times New Roman" w:eastAsia="Times New Roman" w:hAnsi="Times New Roman" w:cs="Times New Roman"/>
          <w:bCs/>
          <w:color w:val="000000"/>
          <w:sz w:val="24"/>
          <w:szCs w:val="24"/>
          <w:lang w:eastAsia="ja-JP"/>
        </w:rPr>
        <w:t xml:space="preserve"> un Krāslavas novadu teritorijas plānojuma grozījumus vai jaunu teritorijas plānojumu, jāņem vērā </w:t>
      </w:r>
      <w:r w:rsidR="00BF0E06" w:rsidRPr="00A07F29">
        <w:rPr>
          <w:rFonts w:ascii="Times New Roman" w:eastAsia="Times New Roman" w:hAnsi="Times New Roman" w:cs="Times New Roman"/>
          <w:bCs/>
          <w:color w:val="000000"/>
          <w:sz w:val="24"/>
          <w:szCs w:val="24"/>
          <w:lang w:eastAsia="ja-JP"/>
        </w:rPr>
        <w:t>DA plāns</w:t>
      </w:r>
      <w:r w:rsidRPr="00A07F29">
        <w:rPr>
          <w:rFonts w:ascii="Times New Roman" w:eastAsia="Times New Roman" w:hAnsi="Times New Roman" w:cs="Times New Roman"/>
          <w:bCs/>
          <w:color w:val="000000"/>
          <w:sz w:val="24"/>
          <w:szCs w:val="24"/>
          <w:lang w:eastAsia="ja-JP"/>
        </w:rPr>
        <w:t xml:space="preserve"> un jāizvērtē individuālo aizsardzības un izmantošanas noteikumu projektā </w:t>
      </w:r>
      <w:r w:rsidR="00100BEC" w:rsidRPr="00A07F29">
        <w:rPr>
          <w:rFonts w:ascii="Times New Roman" w:eastAsia="Times New Roman" w:hAnsi="Times New Roman" w:cs="Times New Roman"/>
          <w:bCs/>
          <w:color w:val="000000"/>
          <w:sz w:val="24"/>
          <w:szCs w:val="24"/>
          <w:lang w:eastAsia="ja-JP"/>
        </w:rPr>
        <w:t>iekļautie nosacījumi</w:t>
      </w:r>
      <w:r w:rsidR="001A3F07" w:rsidRPr="00A07F29">
        <w:rPr>
          <w:rFonts w:ascii="Times New Roman" w:eastAsia="Times New Roman" w:hAnsi="Times New Roman" w:cs="Times New Roman"/>
          <w:bCs/>
          <w:color w:val="000000"/>
          <w:sz w:val="24"/>
          <w:szCs w:val="24"/>
          <w:lang w:eastAsia="ja-JP"/>
        </w:rPr>
        <w:t xml:space="preserve"> (skat. DA plāna 6.2.</w:t>
      </w:r>
      <w:r w:rsidR="008E0566">
        <w:rPr>
          <w:rFonts w:ascii="Times New Roman" w:eastAsia="Times New Roman" w:hAnsi="Times New Roman" w:cs="Times New Roman"/>
          <w:bCs/>
          <w:color w:val="000000"/>
          <w:sz w:val="24"/>
          <w:szCs w:val="24"/>
          <w:lang w:eastAsia="ja-JP"/>
        </w:rPr>
        <w:t> </w:t>
      </w:r>
      <w:r w:rsidR="001A3F07" w:rsidRPr="00A07F29">
        <w:rPr>
          <w:rFonts w:ascii="Times New Roman" w:eastAsia="Times New Roman" w:hAnsi="Times New Roman" w:cs="Times New Roman"/>
          <w:bCs/>
          <w:color w:val="000000"/>
          <w:sz w:val="24"/>
          <w:szCs w:val="24"/>
          <w:lang w:eastAsia="ja-JP"/>
        </w:rPr>
        <w:t>nodaļu)</w:t>
      </w:r>
      <w:r w:rsidRPr="00A07F29">
        <w:rPr>
          <w:rFonts w:ascii="Times New Roman" w:eastAsia="Times New Roman" w:hAnsi="Times New Roman" w:cs="Times New Roman"/>
          <w:bCs/>
          <w:color w:val="000000"/>
          <w:sz w:val="24"/>
          <w:szCs w:val="24"/>
          <w:lang w:eastAsia="ja-JP"/>
        </w:rPr>
        <w:t>, lai neapdraudētu dabas</w:t>
      </w:r>
      <w:r w:rsidR="001A3F07" w:rsidRPr="00A07F29">
        <w:rPr>
          <w:rFonts w:ascii="Times New Roman" w:eastAsia="Times New Roman" w:hAnsi="Times New Roman" w:cs="Times New Roman"/>
          <w:bCs/>
          <w:color w:val="000000"/>
          <w:sz w:val="24"/>
          <w:szCs w:val="24"/>
          <w:lang w:eastAsia="ja-JP"/>
        </w:rPr>
        <w:t xml:space="preserve"> un kultūrainavas</w:t>
      </w:r>
      <w:r w:rsidRPr="00A07F29">
        <w:rPr>
          <w:rFonts w:ascii="Times New Roman" w:eastAsia="Times New Roman" w:hAnsi="Times New Roman" w:cs="Times New Roman"/>
          <w:bCs/>
          <w:color w:val="000000"/>
          <w:sz w:val="24"/>
          <w:szCs w:val="24"/>
          <w:lang w:eastAsia="ja-JP"/>
        </w:rPr>
        <w:t xml:space="preserve"> vērtības un nenonāktu pretrunā ar dabas aizsardzības likumdošanu.</w:t>
      </w:r>
    </w:p>
    <w:p w14:paraId="4FE00745" w14:textId="3129E340" w:rsidR="009072CE" w:rsidRPr="00A07F29" w:rsidRDefault="009072CE" w:rsidP="0055257E">
      <w:pPr>
        <w:spacing w:after="120" w:line="240" w:lineRule="auto"/>
        <w:ind w:firstLine="851"/>
        <w:jc w:val="both"/>
        <w:rPr>
          <w:rFonts w:ascii="Times New Roman" w:eastAsia="Times New Roman" w:hAnsi="Times New Roman" w:cs="Times New Roman"/>
          <w:bCs/>
          <w:color w:val="000000"/>
          <w:sz w:val="24"/>
          <w:szCs w:val="24"/>
          <w:lang w:eastAsia="ja-JP"/>
        </w:rPr>
      </w:pPr>
      <w:r w:rsidRPr="00A07F29">
        <w:rPr>
          <w:rFonts w:ascii="Times New Roman" w:eastAsia="Times New Roman" w:hAnsi="Times New Roman" w:cs="Times New Roman"/>
          <w:bCs/>
          <w:color w:val="000000"/>
          <w:sz w:val="24"/>
          <w:szCs w:val="24"/>
          <w:lang w:eastAsia="ja-JP"/>
        </w:rPr>
        <w:t xml:space="preserve">Ņemot </w:t>
      </w:r>
      <w:r w:rsidR="001B6631" w:rsidRPr="00A07F29">
        <w:rPr>
          <w:rFonts w:ascii="Times New Roman" w:eastAsia="Times New Roman" w:hAnsi="Times New Roman" w:cs="Times New Roman"/>
          <w:bCs/>
          <w:color w:val="000000"/>
          <w:sz w:val="24"/>
          <w:szCs w:val="24"/>
          <w:lang w:eastAsia="ja-JP"/>
        </w:rPr>
        <w:t xml:space="preserve">vērā ainavu apvidus teritorijas ģeoloģisko veidošanos </w:t>
      </w:r>
      <w:r w:rsidRPr="00A07F29">
        <w:rPr>
          <w:rFonts w:ascii="Times New Roman" w:eastAsia="Times New Roman" w:hAnsi="Times New Roman" w:cs="Times New Roman"/>
          <w:bCs/>
          <w:color w:val="000000"/>
          <w:sz w:val="24"/>
          <w:szCs w:val="24"/>
          <w:lang w:eastAsia="ja-JP"/>
        </w:rPr>
        <w:t xml:space="preserve">un nogulumus, ainavu apvidus teritorijas lielā daļā tiek izdalīti ievērojami būvniecības grants, smilts un būvmateriālu ražošanai izmantojamu mālu krājumi. Taču derīgo izrakteņu ieguve ir jāsaskaņo ar dabas aizsardzības uzdevumiem, jo šāda veida saimnieciskā darbība var apdraudēt dabas vērtības, derīgo izrakteņu ieguves gaitā var tikt iznīcināti nozīmīgi ainavu apvidus biotopi, kā arī pilnībā var tikt degradēta ainava. Tādēļ pašvaldību teritoriju plānojumos </w:t>
      </w:r>
      <w:r w:rsidR="00884C67" w:rsidRPr="00A07F29">
        <w:rPr>
          <w:rFonts w:ascii="Times New Roman" w:eastAsia="Times New Roman" w:hAnsi="Times New Roman" w:cs="Times New Roman"/>
          <w:bCs/>
          <w:color w:val="000000"/>
          <w:sz w:val="24"/>
          <w:szCs w:val="24"/>
          <w:lang w:eastAsia="ja-JP"/>
        </w:rPr>
        <w:t>ieteicams</w:t>
      </w:r>
      <w:r w:rsidRPr="00A07F29">
        <w:rPr>
          <w:rFonts w:ascii="Times New Roman" w:eastAsia="Times New Roman" w:hAnsi="Times New Roman" w:cs="Times New Roman"/>
          <w:bCs/>
          <w:color w:val="000000"/>
          <w:sz w:val="24"/>
          <w:szCs w:val="24"/>
          <w:lang w:eastAsia="ja-JP"/>
        </w:rPr>
        <w:t xml:space="preserve"> </w:t>
      </w:r>
      <w:r w:rsidR="00C1759B" w:rsidRPr="00A07F29">
        <w:rPr>
          <w:rFonts w:ascii="Times New Roman" w:eastAsia="Times New Roman" w:hAnsi="Times New Roman" w:cs="Times New Roman"/>
          <w:bCs/>
          <w:color w:val="000000"/>
          <w:sz w:val="24"/>
          <w:szCs w:val="24"/>
          <w:lang w:eastAsia="ja-JP"/>
        </w:rPr>
        <w:t>neparedzēt jaunas derīgo izrakteņu ieguves vietas AAA “Augšdaugava</w:t>
      </w:r>
      <w:r w:rsidR="00503A0E">
        <w:rPr>
          <w:rFonts w:ascii="Times New Roman" w:eastAsia="Times New Roman" w:hAnsi="Times New Roman" w:cs="Times New Roman"/>
          <w:bCs/>
          <w:color w:val="000000"/>
          <w:sz w:val="24"/>
          <w:szCs w:val="24"/>
          <w:lang w:eastAsia="ja-JP"/>
        </w:rPr>
        <w:t>”</w:t>
      </w:r>
      <w:r w:rsidR="00C1759B" w:rsidRPr="00A07F29">
        <w:rPr>
          <w:rFonts w:ascii="Times New Roman" w:eastAsia="Times New Roman" w:hAnsi="Times New Roman" w:cs="Times New Roman"/>
          <w:bCs/>
          <w:color w:val="000000"/>
          <w:sz w:val="24"/>
          <w:szCs w:val="24"/>
          <w:lang w:eastAsia="ja-JP"/>
        </w:rPr>
        <w:t xml:space="preserve"> teritorijā un noteikt prasības esošo derīgo </w:t>
      </w:r>
      <w:r w:rsidRPr="00A07F29">
        <w:rPr>
          <w:rFonts w:ascii="Times New Roman" w:eastAsia="Times New Roman" w:hAnsi="Times New Roman" w:cs="Times New Roman"/>
          <w:bCs/>
          <w:color w:val="000000"/>
          <w:sz w:val="24"/>
          <w:szCs w:val="24"/>
          <w:lang w:eastAsia="ja-JP"/>
        </w:rPr>
        <w:t xml:space="preserve">ieguves vietu </w:t>
      </w:r>
      <w:proofErr w:type="spellStart"/>
      <w:r w:rsidR="00C1759B" w:rsidRPr="00A07F29">
        <w:rPr>
          <w:rFonts w:ascii="Times New Roman" w:eastAsia="Times New Roman" w:hAnsi="Times New Roman" w:cs="Times New Roman"/>
          <w:bCs/>
          <w:color w:val="000000"/>
          <w:sz w:val="24"/>
          <w:szCs w:val="24"/>
          <w:lang w:eastAsia="ja-JP"/>
        </w:rPr>
        <w:t>r</w:t>
      </w:r>
      <w:r w:rsidRPr="00A07F29">
        <w:rPr>
          <w:rFonts w:ascii="Times New Roman" w:eastAsia="Times New Roman" w:hAnsi="Times New Roman" w:cs="Times New Roman"/>
          <w:bCs/>
          <w:color w:val="000000"/>
          <w:sz w:val="24"/>
          <w:szCs w:val="24"/>
          <w:lang w:eastAsia="ja-JP"/>
        </w:rPr>
        <w:t>ekultivēšanai</w:t>
      </w:r>
      <w:proofErr w:type="spellEnd"/>
      <w:r w:rsidRPr="00A07F29">
        <w:rPr>
          <w:rFonts w:ascii="Times New Roman" w:eastAsia="Times New Roman" w:hAnsi="Times New Roman" w:cs="Times New Roman"/>
          <w:bCs/>
          <w:color w:val="000000"/>
          <w:sz w:val="24"/>
          <w:szCs w:val="24"/>
          <w:lang w:eastAsia="ja-JP"/>
        </w:rPr>
        <w:t xml:space="preserve"> pēc izstrādes.</w:t>
      </w:r>
    </w:p>
    <w:p w14:paraId="63FC0F82" w14:textId="2264D50B" w:rsidR="00884C67" w:rsidRPr="00A07F29" w:rsidRDefault="00884C67" w:rsidP="00884C67">
      <w:pPr>
        <w:spacing w:after="120" w:line="240" w:lineRule="auto"/>
        <w:ind w:firstLine="851"/>
        <w:jc w:val="both"/>
        <w:rPr>
          <w:rFonts w:ascii="Times New Roman" w:eastAsia="Calibri" w:hAnsi="Times New Roman" w:cs="Calibri"/>
          <w:sz w:val="24"/>
          <w:lang w:eastAsia="ja-JP"/>
        </w:rPr>
      </w:pPr>
      <w:r w:rsidRPr="00A07F29">
        <w:rPr>
          <w:rFonts w:ascii="Times New Roman" w:eastAsia="Times New Roman" w:hAnsi="Times New Roman" w:cs="Times New Roman"/>
          <w:bCs/>
          <w:color w:val="000000"/>
          <w:sz w:val="24"/>
          <w:szCs w:val="24"/>
          <w:lang w:eastAsia="ja-JP"/>
        </w:rPr>
        <w:t xml:space="preserve">Pamatojoties uz DA plāna ietvaros izstrādāto ainavu struktūrplānu, </w:t>
      </w:r>
      <w:r w:rsidR="009072CE" w:rsidRPr="00A07F29">
        <w:rPr>
          <w:rFonts w:ascii="Times New Roman" w:eastAsia="Times New Roman" w:hAnsi="Times New Roman" w:cs="Times New Roman"/>
          <w:bCs/>
          <w:color w:val="000000"/>
          <w:sz w:val="24"/>
          <w:szCs w:val="24"/>
          <w:lang w:eastAsia="ja-JP"/>
        </w:rPr>
        <w:t>Teritorijas plānojum</w:t>
      </w:r>
      <w:r w:rsidRPr="00A07F29">
        <w:rPr>
          <w:rFonts w:ascii="Times New Roman" w:eastAsia="Times New Roman" w:hAnsi="Times New Roman" w:cs="Times New Roman"/>
          <w:bCs/>
          <w:color w:val="000000"/>
          <w:sz w:val="24"/>
          <w:szCs w:val="24"/>
          <w:lang w:eastAsia="ja-JP"/>
        </w:rPr>
        <w:t>u sastāvā esošaj</w:t>
      </w:r>
      <w:r w:rsidR="009072CE" w:rsidRPr="00A07F29">
        <w:rPr>
          <w:rFonts w:ascii="Times New Roman" w:eastAsia="Times New Roman" w:hAnsi="Times New Roman" w:cs="Times New Roman"/>
          <w:bCs/>
          <w:color w:val="000000"/>
          <w:sz w:val="24"/>
          <w:szCs w:val="24"/>
          <w:lang w:eastAsia="ja-JP"/>
        </w:rPr>
        <w:t xml:space="preserve">os </w:t>
      </w:r>
      <w:r w:rsidRPr="00A07F29">
        <w:rPr>
          <w:rFonts w:ascii="Times New Roman" w:eastAsia="Times New Roman" w:hAnsi="Times New Roman" w:cs="Times New Roman"/>
          <w:bCs/>
          <w:color w:val="000000"/>
          <w:sz w:val="24"/>
          <w:szCs w:val="24"/>
          <w:lang w:eastAsia="ja-JP"/>
        </w:rPr>
        <w:t>Teritorijas izmantošanas un apbūves noteikum</w:t>
      </w:r>
      <w:r w:rsidR="006052C0">
        <w:rPr>
          <w:rFonts w:ascii="Times New Roman" w:eastAsia="Times New Roman" w:hAnsi="Times New Roman" w:cs="Times New Roman"/>
          <w:bCs/>
          <w:color w:val="000000"/>
          <w:sz w:val="24"/>
          <w:szCs w:val="24"/>
          <w:lang w:eastAsia="ja-JP"/>
        </w:rPr>
        <w:t>o</w:t>
      </w:r>
      <w:r w:rsidRPr="00A07F29">
        <w:rPr>
          <w:rFonts w:ascii="Times New Roman" w:eastAsia="Times New Roman" w:hAnsi="Times New Roman" w:cs="Times New Roman"/>
          <w:bCs/>
          <w:color w:val="000000"/>
          <w:sz w:val="24"/>
          <w:szCs w:val="24"/>
          <w:lang w:eastAsia="ja-JP"/>
        </w:rPr>
        <w:t xml:space="preserve">s ieteicams noteikt papildus prasības apbūvei, lai saglabātu kultūrvēsturiskās apbūves un ainavas raksturu. </w:t>
      </w:r>
      <w:r w:rsidR="0055257E" w:rsidRPr="00A07F29">
        <w:rPr>
          <w:rFonts w:ascii="Times New Roman" w:eastAsia="Calibri" w:hAnsi="Times New Roman" w:cs="Calibri"/>
          <w:sz w:val="24"/>
          <w:lang w:eastAsia="ja-JP"/>
        </w:rPr>
        <w:t>Vizuāli vērtīgajās ainavās jākontrolē būvniecības procesi un teritorijas plānojumā jāiestrādā papildus nosacījumi jaunas apbūves veidošanai, sevišķi Daugavas krastu zonās. Šajās teritorijās jauna apbūve primāri nav aizliedzama, bet pieļaujama iepriekš rūpīgi izvērtējot tās arhitektonisko veidolu un pēc atbilstošiem nosacījumiem</w:t>
      </w:r>
      <w:r w:rsidR="00A63FE4" w:rsidRPr="00A07F29">
        <w:rPr>
          <w:rFonts w:ascii="Times New Roman" w:eastAsia="Calibri" w:hAnsi="Times New Roman" w:cs="Calibri"/>
          <w:sz w:val="24"/>
          <w:lang w:eastAsia="ja-JP"/>
        </w:rPr>
        <w:t xml:space="preserve"> (skat. DA plāna 4.2.</w:t>
      </w:r>
      <w:r w:rsidR="00F92389">
        <w:rPr>
          <w:rFonts w:ascii="Times New Roman" w:eastAsia="Calibri" w:hAnsi="Times New Roman" w:cs="Calibri"/>
          <w:sz w:val="24"/>
          <w:lang w:eastAsia="ja-JP"/>
        </w:rPr>
        <w:t> </w:t>
      </w:r>
      <w:r w:rsidR="00A63FE4" w:rsidRPr="00A07F29">
        <w:rPr>
          <w:rFonts w:ascii="Times New Roman" w:eastAsia="Calibri" w:hAnsi="Times New Roman" w:cs="Calibri"/>
          <w:sz w:val="24"/>
          <w:lang w:eastAsia="ja-JP"/>
        </w:rPr>
        <w:t>nodaļu)</w:t>
      </w:r>
      <w:r w:rsidRPr="00A07F29">
        <w:rPr>
          <w:rFonts w:ascii="Times New Roman" w:eastAsia="Calibri" w:hAnsi="Times New Roman" w:cs="Calibri"/>
          <w:sz w:val="24"/>
          <w:lang w:eastAsia="ja-JP"/>
        </w:rPr>
        <w:t>.</w:t>
      </w:r>
    </w:p>
    <w:p w14:paraId="48E8A3D4" w14:textId="12684CED" w:rsidR="0055257E" w:rsidRPr="00A07F29" w:rsidRDefault="0055257E" w:rsidP="00884C67">
      <w:pPr>
        <w:widowControl w:val="0"/>
        <w:spacing w:after="120" w:line="240" w:lineRule="auto"/>
        <w:ind w:firstLine="720"/>
        <w:jc w:val="both"/>
        <w:rPr>
          <w:rFonts w:ascii="Times New Roman" w:eastAsia="Calibri" w:hAnsi="Times New Roman" w:cs="Calibri"/>
          <w:sz w:val="24"/>
          <w:lang w:eastAsia="ja-JP"/>
        </w:rPr>
      </w:pPr>
      <w:r w:rsidRPr="00A07F29">
        <w:rPr>
          <w:rFonts w:ascii="Times New Roman" w:eastAsia="Calibri" w:hAnsi="Times New Roman" w:cs="Calibri"/>
          <w:sz w:val="24"/>
          <w:lang w:eastAsia="ja-JP"/>
        </w:rPr>
        <w:t>Apbūves teritorijās upju un ezeru aizsargjoslās stingri jākontrolē notekūdeņu attīrīšana un novadīšana</w:t>
      </w:r>
      <w:r w:rsidR="00884C67" w:rsidRPr="00A07F29">
        <w:rPr>
          <w:rFonts w:ascii="Times New Roman" w:eastAsia="Calibri" w:hAnsi="Times New Roman" w:cs="Calibri"/>
          <w:sz w:val="24"/>
          <w:lang w:eastAsia="ja-JP"/>
        </w:rPr>
        <w:t xml:space="preserve"> un</w:t>
      </w:r>
      <w:r w:rsidR="00B06B50">
        <w:rPr>
          <w:rFonts w:ascii="Times New Roman" w:eastAsia="Calibri" w:hAnsi="Times New Roman" w:cs="Calibri"/>
          <w:sz w:val="24"/>
          <w:lang w:eastAsia="ja-JP"/>
        </w:rPr>
        <w:t>,</w:t>
      </w:r>
      <w:r w:rsidR="00884C67" w:rsidRPr="00A07F29">
        <w:rPr>
          <w:rFonts w:ascii="Times New Roman" w:eastAsia="Calibri" w:hAnsi="Times New Roman" w:cs="Calibri"/>
          <w:sz w:val="24"/>
          <w:lang w:eastAsia="ja-JP"/>
        </w:rPr>
        <w:t xml:space="preserve"> pirmkārt</w:t>
      </w:r>
      <w:r w:rsidR="00B06B50">
        <w:rPr>
          <w:rFonts w:ascii="Times New Roman" w:eastAsia="Calibri" w:hAnsi="Times New Roman" w:cs="Calibri"/>
          <w:sz w:val="24"/>
          <w:lang w:eastAsia="ja-JP"/>
        </w:rPr>
        <w:t>,</w:t>
      </w:r>
      <w:r w:rsidR="00884C67" w:rsidRPr="00A07F29">
        <w:rPr>
          <w:rFonts w:ascii="Times New Roman" w:eastAsia="Calibri" w:hAnsi="Times New Roman" w:cs="Calibri"/>
          <w:sz w:val="24"/>
          <w:lang w:eastAsia="ja-JP"/>
        </w:rPr>
        <w:t xml:space="preserve"> jāizvēlas risinājumi bez </w:t>
      </w:r>
      <w:proofErr w:type="spellStart"/>
      <w:r w:rsidR="00884C67" w:rsidRPr="00A07F29">
        <w:rPr>
          <w:rFonts w:ascii="Times New Roman" w:eastAsia="Calibri" w:hAnsi="Times New Roman" w:cs="Calibri"/>
          <w:sz w:val="24"/>
          <w:lang w:eastAsia="ja-JP"/>
        </w:rPr>
        <w:t>notektūdeņu</w:t>
      </w:r>
      <w:proofErr w:type="spellEnd"/>
      <w:r w:rsidR="00884C67" w:rsidRPr="00A07F29">
        <w:rPr>
          <w:rFonts w:ascii="Times New Roman" w:eastAsia="Calibri" w:hAnsi="Times New Roman" w:cs="Calibri"/>
          <w:sz w:val="24"/>
          <w:lang w:eastAsia="ja-JP"/>
        </w:rPr>
        <w:t xml:space="preserve"> novadīšanas upēs un ezeros.</w:t>
      </w:r>
    </w:p>
    <w:p w14:paraId="0B976695" w14:textId="05903D91" w:rsidR="00884C67" w:rsidRPr="00A07F29" w:rsidRDefault="00884C67" w:rsidP="00884C67">
      <w:pPr>
        <w:widowControl w:val="0"/>
        <w:spacing w:after="120" w:line="240" w:lineRule="auto"/>
        <w:ind w:firstLine="720"/>
        <w:jc w:val="both"/>
        <w:rPr>
          <w:rFonts w:ascii="Times New Roman" w:eastAsia="Calibri" w:hAnsi="Times New Roman" w:cs="Calibri"/>
          <w:sz w:val="24"/>
          <w:lang w:eastAsia="ja-JP"/>
        </w:rPr>
      </w:pPr>
    </w:p>
    <w:p w14:paraId="7C11644B" w14:textId="05538889" w:rsidR="009072CE" w:rsidRPr="00A07F29" w:rsidRDefault="009072CE" w:rsidP="001A3F07">
      <w:pPr>
        <w:pStyle w:val="Heading2"/>
        <w:pageBreakBefore/>
        <w:spacing w:before="120" w:after="120"/>
        <w:ind w:firstLine="0"/>
        <w:jc w:val="center"/>
        <w:rPr>
          <w:rFonts w:ascii="Times New Roman" w:hAnsi="Times New Roman"/>
          <w:b w:val="0"/>
          <w:iCs w:val="0"/>
        </w:rPr>
      </w:pPr>
      <w:bookmarkStart w:id="115" w:name="_Toc183434038"/>
      <w:r w:rsidRPr="00A07F29">
        <w:rPr>
          <w:rFonts w:ascii="Times New Roman" w:hAnsi="Times New Roman"/>
          <w:i w:val="0"/>
        </w:rPr>
        <w:lastRenderedPageBreak/>
        <w:t>6.2. Priekšlikumi par aizsargājamās teritorijas individuālo aizsardzības un izmantošanas noteikumu projektu, ieteicamo teritorijas funkcionālo zonējumu</w:t>
      </w:r>
      <w:bookmarkEnd w:id="115"/>
    </w:p>
    <w:p w14:paraId="2DCA654A" w14:textId="2572ED05" w:rsidR="005873E6" w:rsidRPr="005873E6" w:rsidRDefault="005873E6" w:rsidP="005873E6">
      <w:pPr>
        <w:keepNext/>
        <w:spacing w:before="120" w:after="120" w:line="240" w:lineRule="auto"/>
        <w:jc w:val="right"/>
        <w:rPr>
          <w:rFonts w:ascii="Times New Roman" w:eastAsia="Times New Roman" w:hAnsi="Times New Roman" w:cs="Times New Roman"/>
          <w:i/>
          <w:iCs/>
          <w:sz w:val="24"/>
          <w:szCs w:val="24"/>
          <w:lang w:eastAsia="lv-LV"/>
        </w:rPr>
      </w:pPr>
      <w:r w:rsidRPr="005873E6">
        <w:rPr>
          <w:rFonts w:ascii="Times New Roman" w:eastAsia="Times New Roman" w:hAnsi="Times New Roman" w:cs="Times New Roman"/>
          <w:i/>
          <w:iCs/>
          <w:sz w:val="24"/>
          <w:szCs w:val="24"/>
          <w:lang w:eastAsia="lv-LV"/>
        </w:rPr>
        <w:t>PROJEKTS</w:t>
      </w:r>
    </w:p>
    <w:p w14:paraId="01A6F4CD" w14:textId="41171697" w:rsidR="00B07340" w:rsidRPr="00A07F29" w:rsidRDefault="00B07340" w:rsidP="00A83655">
      <w:pPr>
        <w:keepNext/>
        <w:spacing w:before="120" w:after="120" w:line="240" w:lineRule="auto"/>
        <w:jc w:val="center"/>
        <w:rPr>
          <w:rFonts w:ascii="Times New Roman" w:eastAsia="Times New Roman" w:hAnsi="Times New Roman" w:cs="Times New Roman"/>
          <w:sz w:val="24"/>
          <w:szCs w:val="24"/>
          <w:lang w:eastAsia="lv-LV"/>
        </w:rPr>
      </w:pPr>
      <w:r w:rsidRPr="00A07F29">
        <w:rPr>
          <w:rFonts w:ascii="Times New Roman" w:eastAsia="Times New Roman" w:hAnsi="Times New Roman" w:cs="Times New Roman"/>
          <w:b/>
          <w:bCs/>
          <w:sz w:val="24"/>
          <w:szCs w:val="24"/>
          <w:lang w:eastAsia="lv-LV"/>
        </w:rPr>
        <w:t>Aizsargājamo ainavu apvidus “Augšdaugava” individuālie aizsardzības un izmantošanas noteikumi</w:t>
      </w:r>
    </w:p>
    <w:p w14:paraId="080118B6" w14:textId="77777777" w:rsidR="00B07340" w:rsidRPr="00A07F29" w:rsidRDefault="00B07340" w:rsidP="00A83655">
      <w:pPr>
        <w:keepNext/>
        <w:spacing w:after="0" w:line="240" w:lineRule="auto"/>
        <w:jc w:val="right"/>
        <w:rPr>
          <w:rFonts w:ascii="Times New Roman" w:eastAsia="Times New Roman" w:hAnsi="Times New Roman" w:cs="Times New Roman"/>
          <w:i/>
          <w:lang w:eastAsia="lv-LV"/>
        </w:rPr>
      </w:pPr>
      <w:r w:rsidRPr="00A07F29">
        <w:rPr>
          <w:rFonts w:ascii="Times New Roman" w:eastAsia="Times New Roman" w:hAnsi="Times New Roman" w:cs="Times New Roman"/>
          <w:i/>
          <w:lang w:eastAsia="lv-LV"/>
        </w:rPr>
        <w:t>Izdoti saskaņā ar likuma</w:t>
      </w:r>
    </w:p>
    <w:p w14:paraId="661EF24E" w14:textId="3DF46A53" w:rsidR="00B07340" w:rsidRPr="00A07F29" w:rsidRDefault="00B07340" w:rsidP="00A83655">
      <w:pPr>
        <w:keepNext/>
        <w:spacing w:after="0" w:line="240" w:lineRule="auto"/>
        <w:jc w:val="right"/>
        <w:rPr>
          <w:rFonts w:ascii="Times New Roman" w:eastAsia="Times New Roman" w:hAnsi="Times New Roman" w:cs="Times New Roman"/>
          <w:i/>
          <w:lang w:eastAsia="lv-LV"/>
        </w:rPr>
      </w:pPr>
      <w:r w:rsidRPr="00A07F29">
        <w:rPr>
          <w:rFonts w:ascii="Times New Roman" w:eastAsia="Times New Roman" w:hAnsi="Times New Roman" w:cs="Times New Roman"/>
          <w:i/>
          <w:lang w:eastAsia="lv-LV"/>
        </w:rPr>
        <w:t>"Par īpaši aizsargājamām</w:t>
      </w:r>
      <w:r w:rsidR="00F0071B">
        <w:rPr>
          <w:rFonts w:ascii="Times New Roman" w:eastAsia="Times New Roman" w:hAnsi="Times New Roman" w:cs="Times New Roman"/>
          <w:i/>
          <w:lang w:eastAsia="lv-LV"/>
        </w:rPr>
        <w:t xml:space="preserve"> </w:t>
      </w:r>
      <w:r w:rsidRPr="00A07F29">
        <w:rPr>
          <w:rFonts w:ascii="Times New Roman" w:eastAsia="Times New Roman" w:hAnsi="Times New Roman" w:cs="Times New Roman"/>
          <w:i/>
          <w:lang w:eastAsia="lv-LV"/>
        </w:rPr>
        <w:t>dabas teritorijām"</w:t>
      </w:r>
    </w:p>
    <w:p w14:paraId="4C427FB7" w14:textId="7F12B261" w:rsidR="00B07340" w:rsidRPr="00A07F29" w:rsidRDefault="00B07340" w:rsidP="00A83655">
      <w:pPr>
        <w:keepNext/>
        <w:spacing w:after="0" w:line="240" w:lineRule="auto"/>
        <w:jc w:val="right"/>
        <w:rPr>
          <w:rFonts w:ascii="Times New Roman" w:eastAsia="Times New Roman" w:hAnsi="Times New Roman" w:cs="Times New Roman"/>
          <w:sz w:val="24"/>
          <w:szCs w:val="24"/>
          <w:lang w:eastAsia="lv-LV"/>
        </w:rPr>
      </w:pPr>
      <w:r w:rsidRPr="00A07F29">
        <w:rPr>
          <w:rFonts w:ascii="Times New Roman" w:eastAsia="Times New Roman" w:hAnsi="Times New Roman" w:cs="Times New Roman"/>
          <w:i/>
          <w:lang w:eastAsia="lv-LV"/>
        </w:rPr>
        <w:t>14.</w:t>
      </w:r>
      <w:r w:rsidR="00A83655" w:rsidRPr="00A07F29">
        <w:rPr>
          <w:rFonts w:ascii="Times New Roman" w:eastAsia="Times New Roman" w:hAnsi="Times New Roman" w:cs="Times New Roman"/>
          <w:i/>
          <w:lang w:eastAsia="lv-LV"/>
        </w:rPr>
        <w:t> </w:t>
      </w:r>
      <w:r w:rsidRPr="00A07F29">
        <w:rPr>
          <w:rFonts w:ascii="Times New Roman" w:eastAsia="Times New Roman" w:hAnsi="Times New Roman" w:cs="Times New Roman"/>
          <w:i/>
          <w:lang w:eastAsia="lv-LV"/>
        </w:rPr>
        <w:t>panta otro daļu un 16.</w:t>
      </w:r>
      <w:r w:rsidR="00A83655" w:rsidRPr="00A07F29">
        <w:rPr>
          <w:rFonts w:ascii="Times New Roman" w:eastAsia="Times New Roman" w:hAnsi="Times New Roman" w:cs="Times New Roman"/>
          <w:i/>
          <w:lang w:eastAsia="lv-LV"/>
        </w:rPr>
        <w:t> </w:t>
      </w:r>
      <w:r w:rsidRPr="00A07F29">
        <w:rPr>
          <w:rFonts w:ascii="Times New Roman" w:eastAsia="Times New Roman" w:hAnsi="Times New Roman" w:cs="Times New Roman"/>
          <w:i/>
          <w:lang w:eastAsia="lv-LV"/>
        </w:rPr>
        <w:t>pantu</w:t>
      </w:r>
    </w:p>
    <w:p w14:paraId="2E2A601B" w14:textId="77777777" w:rsidR="00B07340" w:rsidRPr="00A07F29" w:rsidRDefault="00B07340" w:rsidP="00A83655">
      <w:pPr>
        <w:keepNext/>
        <w:spacing w:after="0" w:line="240" w:lineRule="auto"/>
        <w:jc w:val="right"/>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 </w:t>
      </w:r>
    </w:p>
    <w:p w14:paraId="2AB5B05F" w14:textId="77777777" w:rsidR="00B07340" w:rsidRPr="00A07F29" w:rsidRDefault="00B07340" w:rsidP="00A83655">
      <w:pPr>
        <w:keepNext/>
        <w:spacing w:before="72" w:after="72" w:line="240" w:lineRule="auto"/>
        <w:jc w:val="center"/>
        <w:rPr>
          <w:rFonts w:ascii="Times New Roman" w:eastAsia="Times New Roman" w:hAnsi="Times New Roman" w:cs="Times New Roman"/>
          <w:sz w:val="24"/>
          <w:szCs w:val="24"/>
          <w:lang w:eastAsia="lv-LV"/>
        </w:rPr>
      </w:pPr>
      <w:r w:rsidRPr="00A07F29">
        <w:rPr>
          <w:rFonts w:ascii="Times New Roman" w:eastAsia="Times New Roman" w:hAnsi="Times New Roman" w:cs="Times New Roman"/>
          <w:b/>
          <w:bCs/>
          <w:sz w:val="24"/>
          <w:szCs w:val="24"/>
          <w:lang w:eastAsia="lv-LV"/>
        </w:rPr>
        <w:t>I Vispārīgie jautājumi</w:t>
      </w:r>
    </w:p>
    <w:p w14:paraId="7034D142" w14:textId="63054E10" w:rsidR="00B07340" w:rsidRPr="00A07F29" w:rsidRDefault="00A83655" w:rsidP="00A83655">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1.</w:t>
      </w:r>
      <w:r w:rsidR="00F0071B">
        <w:rPr>
          <w:rFonts w:ascii="Times New Roman" w:eastAsia="Times New Roman" w:hAnsi="Times New Roman" w:cs="Times New Roman"/>
          <w:sz w:val="24"/>
          <w:szCs w:val="24"/>
          <w:lang w:eastAsia="lv-LV"/>
        </w:rPr>
        <w:t> </w:t>
      </w:r>
      <w:r w:rsidR="00B07340" w:rsidRPr="00A07F29">
        <w:rPr>
          <w:rFonts w:ascii="Times New Roman" w:eastAsia="Times New Roman" w:hAnsi="Times New Roman" w:cs="Times New Roman"/>
          <w:sz w:val="24"/>
          <w:szCs w:val="24"/>
          <w:lang w:eastAsia="lv-LV"/>
        </w:rPr>
        <w:t>Noteikumi nosaka:</w:t>
      </w:r>
    </w:p>
    <w:p w14:paraId="354CCE42" w14:textId="108A652B" w:rsidR="00B07340" w:rsidRPr="00A07F29" w:rsidRDefault="00B07340"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1.1.</w:t>
      </w:r>
      <w:r w:rsidR="00F0071B">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Aizsargājamo ainavu apvidus “Augšdaugava” (turpmāk – ainavu apvidus) individuālo aizsardzības un izmantošanas kārtību;</w:t>
      </w:r>
    </w:p>
    <w:p w14:paraId="5E91886D" w14:textId="4E107F7E" w:rsidR="00B07340" w:rsidRPr="00A07F29" w:rsidRDefault="00B07340"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1.2.</w:t>
      </w:r>
      <w:r w:rsidR="00F0071B">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ainavu apvidus funkcionālo zonējumu;</w:t>
      </w:r>
    </w:p>
    <w:p w14:paraId="102B9E42" w14:textId="66EFEA03" w:rsidR="00B07340" w:rsidRPr="00A07F29" w:rsidRDefault="00B07340"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1.3.</w:t>
      </w:r>
      <w:r w:rsidR="00F0071B">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ainavu apvidus apzīmēšanai dabā lietojamās speciālās informatīvās zīmes paraugu un tās lietošanas un izveidošanas kārtību;</w:t>
      </w:r>
    </w:p>
    <w:p w14:paraId="74630996" w14:textId="6A771E3D" w:rsidR="00B07340" w:rsidRPr="00A07F29" w:rsidRDefault="00B07340"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1.4.</w:t>
      </w:r>
      <w:r w:rsidR="000C1865">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 xml:space="preserve">ainavu apvidū esošo dabas pieminekļu – aizsargājamo koku, aizsargājamo aleju, aizsargājamo dendroloģisko stādījumu, aizsargājamo ģeoloģisko un </w:t>
      </w:r>
      <w:proofErr w:type="spellStart"/>
      <w:r w:rsidRPr="00A07F29">
        <w:rPr>
          <w:rFonts w:ascii="Times New Roman" w:eastAsia="Times New Roman" w:hAnsi="Times New Roman" w:cs="Times New Roman"/>
          <w:sz w:val="24"/>
          <w:szCs w:val="24"/>
          <w:lang w:eastAsia="lv-LV"/>
        </w:rPr>
        <w:t>ģeomorfoloģisko</w:t>
      </w:r>
      <w:proofErr w:type="spellEnd"/>
      <w:r w:rsidRPr="00A07F29">
        <w:rPr>
          <w:rFonts w:ascii="Times New Roman" w:eastAsia="Times New Roman" w:hAnsi="Times New Roman" w:cs="Times New Roman"/>
          <w:sz w:val="24"/>
          <w:szCs w:val="24"/>
          <w:lang w:eastAsia="lv-LV"/>
        </w:rPr>
        <w:t xml:space="preserve"> pieminekļu aizsardzības un izmantošanas kārtību.</w:t>
      </w:r>
    </w:p>
    <w:p w14:paraId="1673C7DD" w14:textId="07629C8F" w:rsidR="00B07340" w:rsidRPr="00A07F29" w:rsidRDefault="00B07340"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2. Ainavu apvidus teritorijā nav spēkā īpaši aizsargājamo dabas teritoriju vispārējie aizsardzības un izmantošanas noteikumi. Šie</w:t>
      </w:r>
      <w:r w:rsidRPr="00A07F29">
        <w:rPr>
          <w:rFonts w:ascii="Calibri" w:eastAsia="Calibri" w:hAnsi="Calibri" w:cs="Times New Roman"/>
        </w:rPr>
        <w:t xml:space="preserve"> </w:t>
      </w:r>
      <w:r w:rsidR="006A6A4D">
        <w:rPr>
          <w:rFonts w:ascii="Times New Roman" w:eastAsia="Times New Roman" w:hAnsi="Times New Roman" w:cs="Times New Roman"/>
          <w:sz w:val="24"/>
          <w:szCs w:val="24"/>
          <w:lang w:eastAsia="lv-LV"/>
        </w:rPr>
        <w:t>n</w:t>
      </w:r>
      <w:r w:rsidRPr="00A07F29">
        <w:rPr>
          <w:rFonts w:ascii="Times New Roman" w:eastAsia="Times New Roman" w:hAnsi="Times New Roman" w:cs="Times New Roman"/>
          <w:sz w:val="24"/>
          <w:szCs w:val="24"/>
          <w:lang w:eastAsia="lv-LV"/>
        </w:rPr>
        <w:t xml:space="preserve">oteikumi attiecas arī uz ainavu apvidū ietilpstošo dabas parku “Daugavas loki”, kā arī aizsargājamiem dendroloģiskiem stādījumiem </w:t>
      </w:r>
      <w:r w:rsidR="00E12601">
        <w:rPr>
          <w:rFonts w:ascii="Times New Roman" w:eastAsia="Times New Roman" w:hAnsi="Times New Roman" w:cs="Times New Roman"/>
          <w:sz w:val="24"/>
          <w:szCs w:val="24"/>
          <w:lang w:eastAsia="lv-LV"/>
        </w:rPr>
        <w:t>–</w:t>
      </w:r>
      <w:r w:rsidR="006A6A4D">
        <w:rPr>
          <w:rFonts w:ascii="Times New Roman" w:eastAsia="Times New Roman" w:hAnsi="Times New Roman" w:cs="Times New Roman"/>
          <w:sz w:val="24"/>
          <w:szCs w:val="24"/>
          <w:lang w:eastAsia="lv-LV"/>
        </w:rPr>
        <w:t xml:space="preserve"> </w:t>
      </w:r>
      <w:r w:rsidR="00E12601">
        <w:rPr>
          <w:rFonts w:ascii="Times New Roman" w:eastAsia="Times New Roman" w:hAnsi="Times New Roman" w:cs="Times New Roman"/>
          <w:sz w:val="24"/>
          <w:szCs w:val="24"/>
          <w:lang w:eastAsia="lv-LV"/>
        </w:rPr>
        <w:t>“</w:t>
      </w:r>
      <w:proofErr w:type="spellStart"/>
      <w:r w:rsidRPr="00A07F29">
        <w:rPr>
          <w:rFonts w:ascii="Times New Roman" w:eastAsia="Times New Roman" w:hAnsi="Times New Roman" w:cs="Times New Roman"/>
          <w:sz w:val="24"/>
          <w:szCs w:val="24"/>
          <w:lang w:eastAsia="lv-LV"/>
        </w:rPr>
        <w:t>Hoftenbergas</w:t>
      </w:r>
      <w:proofErr w:type="spellEnd"/>
      <w:r w:rsidRPr="00A07F29">
        <w:rPr>
          <w:rFonts w:ascii="Times New Roman" w:eastAsia="Times New Roman" w:hAnsi="Times New Roman" w:cs="Times New Roman"/>
          <w:sz w:val="24"/>
          <w:szCs w:val="24"/>
          <w:lang w:eastAsia="lv-LV"/>
        </w:rPr>
        <w:t xml:space="preserve"> parks”, “</w:t>
      </w:r>
      <w:proofErr w:type="spellStart"/>
      <w:r w:rsidRPr="00A07F29">
        <w:rPr>
          <w:rFonts w:ascii="Times New Roman" w:eastAsia="Times New Roman" w:hAnsi="Times New Roman" w:cs="Times New Roman"/>
          <w:sz w:val="24"/>
          <w:szCs w:val="24"/>
          <w:lang w:eastAsia="lv-LV"/>
        </w:rPr>
        <w:t>Juzefovas</w:t>
      </w:r>
      <w:proofErr w:type="spellEnd"/>
      <w:r w:rsidRPr="00A07F29">
        <w:rPr>
          <w:rFonts w:ascii="Times New Roman" w:eastAsia="Times New Roman" w:hAnsi="Times New Roman" w:cs="Times New Roman"/>
          <w:sz w:val="24"/>
          <w:szCs w:val="24"/>
          <w:lang w:eastAsia="lv-LV"/>
        </w:rPr>
        <w:t xml:space="preserve"> parks” un </w:t>
      </w:r>
      <w:r w:rsidR="002E0031" w:rsidRPr="00A07F29">
        <w:rPr>
          <w:rFonts w:ascii="Times New Roman" w:eastAsia="Times New Roman" w:hAnsi="Times New Roman" w:cs="Times New Roman"/>
          <w:sz w:val="24"/>
          <w:szCs w:val="24"/>
          <w:lang w:eastAsia="lv-LV"/>
        </w:rPr>
        <w:t xml:space="preserve">aizsargājamo aleju </w:t>
      </w:r>
      <w:r w:rsidRPr="00A07F29">
        <w:rPr>
          <w:rFonts w:ascii="Times New Roman" w:eastAsia="Times New Roman" w:hAnsi="Times New Roman" w:cs="Times New Roman"/>
          <w:sz w:val="24"/>
          <w:szCs w:val="24"/>
          <w:lang w:eastAsia="lv-LV"/>
        </w:rPr>
        <w:t>“</w:t>
      </w:r>
      <w:proofErr w:type="spellStart"/>
      <w:r w:rsidRPr="00A07F29">
        <w:rPr>
          <w:rFonts w:ascii="Times New Roman" w:eastAsia="Times New Roman" w:hAnsi="Times New Roman" w:cs="Times New Roman"/>
          <w:sz w:val="24"/>
          <w:szCs w:val="24"/>
          <w:lang w:eastAsia="lv-LV"/>
        </w:rPr>
        <w:t>Rozališķu</w:t>
      </w:r>
      <w:proofErr w:type="spellEnd"/>
      <w:r w:rsidRPr="00A07F29">
        <w:rPr>
          <w:rFonts w:ascii="Times New Roman" w:eastAsia="Times New Roman" w:hAnsi="Times New Roman" w:cs="Times New Roman"/>
          <w:sz w:val="24"/>
          <w:szCs w:val="24"/>
          <w:lang w:eastAsia="lv-LV"/>
        </w:rPr>
        <w:t xml:space="preserve"> </w:t>
      </w:r>
      <w:r w:rsidR="002E0031" w:rsidRPr="00A07F29">
        <w:rPr>
          <w:rFonts w:ascii="Times New Roman" w:eastAsia="Times New Roman" w:hAnsi="Times New Roman" w:cs="Times New Roman"/>
          <w:sz w:val="24"/>
          <w:szCs w:val="24"/>
          <w:lang w:eastAsia="lv-LV"/>
        </w:rPr>
        <w:t>aleja</w:t>
      </w:r>
      <w:r w:rsidRPr="00A07F29">
        <w:rPr>
          <w:rFonts w:ascii="Times New Roman" w:eastAsia="Times New Roman" w:hAnsi="Times New Roman" w:cs="Times New Roman"/>
          <w:sz w:val="24"/>
          <w:szCs w:val="24"/>
          <w:lang w:eastAsia="lv-LV"/>
        </w:rPr>
        <w:t xml:space="preserve">”, aizsargājamiem ģeoloģiskiem un </w:t>
      </w:r>
      <w:proofErr w:type="spellStart"/>
      <w:r w:rsidRPr="00A07F29">
        <w:rPr>
          <w:rFonts w:ascii="Times New Roman" w:eastAsia="Times New Roman" w:hAnsi="Times New Roman" w:cs="Times New Roman"/>
          <w:sz w:val="24"/>
          <w:szCs w:val="24"/>
          <w:lang w:eastAsia="lv-LV"/>
        </w:rPr>
        <w:t>ģeomorfoloģiskiem</w:t>
      </w:r>
      <w:proofErr w:type="spellEnd"/>
      <w:r w:rsidRPr="00A07F29">
        <w:rPr>
          <w:rFonts w:ascii="Times New Roman" w:eastAsia="Times New Roman" w:hAnsi="Times New Roman" w:cs="Times New Roman"/>
          <w:sz w:val="24"/>
          <w:szCs w:val="24"/>
          <w:lang w:eastAsia="lv-LV"/>
        </w:rPr>
        <w:t xml:space="preserve"> pieminekļiem “Sproģu gravas”, “Adamovas krauja”, “Daugavas Vārtu kraujas”, “</w:t>
      </w:r>
      <w:proofErr w:type="spellStart"/>
      <w:r w:rsidRPr="00A07F29">
        <w:rPr>
          <w:rFonts w:ascii="Times New Roman" w:eastAsia="Times New Roman" w:hAnsi="Times New Roman" w:cs="Times New Roman"/>
          <w:sz w:val="24"/>
          <w:szCs w:val="24"/>
          <w:lang w:eastAsia="lv-LV"/>
        </w:rPr>
        <w:t>Mālkalnes</w:t>
      </w:r>
      <w:proofErr w:type="spellEnd"/>
      <w:r w:rsidRPr="00A07F29">
        <w:rPr>
          <w:rFonts w:ascii="Times New Roman" w:eastAsia="Times New Roman" w:hAnsi="Times New Roman" w:cs="Times New Roman"/>
          <w:sz w:val="24"/>
          <w:szCs w:val="24"/>
          <w:lang w:eastAsia="lv-LV"/>
        </w:rPr>
        <w:t xml:space="preserve"> avoti”, “</w:t>
      </w:r>
      <w:proofErr w:type="spellStart"/>
      <w:r w:rsidRPr="00A07F29">
        <w:rPr>
          <w:rFonts w:ascii="Times New Roman" w:eastAsia="Times New Roman" w:hAnsi="Times New Roman" w:cs="Times New Roman"/>
          <w:sz w:val="24"/>
          <w:szCs w:val="24"/>
          <w:lang w:eastAsia="lv-LV"/>
        </w:rPr>
        <w:t>Sandarišku</w:t>
      </w:r>
      <w:proofErr w:type="spellEnd"/>
      <w:r w:rsidRPr="00A07F29">
        <w:rPr>
          <w:rFonts w:ascii="Times New Roman" w:eastAsia="Times New Roman" w:hAnsi="Times New Roman" w:cs="Times New Roman"/>
          <w:sz w:val="24"/>
          <w:szCs w:val="24"/>
          <w:lang w:eastAsia="lv-LV"/>
        </w:rPr>
        <w:t xml:space="preserve"> </w:t>
      </w:r>
      <w:proofErr w:type="spellStart"/>
      <w:r w:rsidRPr="00A07F29">
        <w:rPr>
          <w:rFonts w:ascii="Times New Roman" w:eastAsia="Times New Roman" w:hAnsi="Times New Roman" w:cs="Times New Roman"/>
          <w:sz w:val="24"/>
          <w:szCs w:val="24"/>
          <w:lang w:eastAsia="lv-LV"/>
        </w:rPr>
        <w:t>karengravas</w:t>
      </w:r>
      <w:proofErr w:type="spellEnd"/>
      <w:r w:rsidRPr="00A07F29">
        <w:rPr>
          <w:rFonts w:ascii="Times New Roman" w:eastAsia="Times New Roman" w:hAnsi="Times New Roman" w:cs="Times New Roman"/>
          <w:sz w:val="24"/>
          <w:szCs w:val="24"/>
          <w:lang w:eastAsia="lv-LV"/>
        </w:rPr>
        <w:t>”, “</w:t>
      </w:r>
      <w:proofErr w:type="spellStart"/>
      <w:r w:rsidRPr="00A07F29">
        <w:rPr>
          <w:rFonts w:ascii="Times New Roman" w:eastAsia="Times New Roman" w:hAnsi="Times New Roman" w:cs="Times New Roman"/>
          <w:sz w:val="24"/>
          <w:szCs w:val="24"/>
          <w:lang w:eastAsia="lv-LV"/>
        </w:rPr>
        <w:t>Viļušu</w:t>
      </w:r>
      <w:proofErr w:type="spellEnd"/>
      <w:r w:rsidRPr="00A07F29">
        <w:rPr>
          <w:rFonts w:ascii="Times New Roman" w:eastAsia="Times New Roman" w:hAnsi="Times New Roman" w:cs="Times New Roman"/>
          <w:sz w:val="24"/>
          <w:szCs w:val="24"/>
          <w:lang w:eastAsia="lv-LV"/>
        </w:rPr>
        <w:t xml:space="preserve"> avots”.</w:t>
      </w:r>
    </w:p>
    <w:p w14:paraId="72C7333D" w14:textId="5C63524E" w:rsidR="00B07340" w:rsidRPr="00A07F29" w:rsidRDefault="0E6B778D"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3. Ainavu apvidus platība ir 52</w:t>
      </w:r>
      <w:r w:rsidR="00E12601">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078</w:t>
      </w:r>
      <w:r w:rsidR="00E12601">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ha. Tā funkcionālo zonu shēma</w:t>
      </w:r>
      <w:r w:rsidR="00E67364" w:rsidRPr="00A07F29">
        <w:rPr>
          <w:rFonts w:ascii="Times New Roman" w:eastAsia="Times New Roman" w:hAnsi="Times New Roman" w:cs="Times New Roman"/>
          <w:sz w:val="24"/>
          <w:szCs w:val="24"/>
          <w:lang w:eastAsia="lv-LV"/>
        </w:rPr>
        <w:t xml:space="preserve">, </w:t>
      </w:r>
      <w:r w:rsidRPr="00A07F29">
        <w:rPr>
          <w:rFonts w:ascii="Times New Roman" w:eastAsia="Times New Roman" w:hAnsi="Times New Roman" w:cs="Times New Roman"/>
          <w:sz w:val="24"/>
          <w:szCs w:val="24"/>
          <w:lang w:eastAsia="lv-LV"/>
        </w:rPr>
        <w:t>ģenētisko resursu mežaudzes “Priedaines priede” robežas</w:t>
      </w:r>
      <w:r w:rsidR="00E67364" w:rsidRPr="00A07F29">
        <w:rPr>
          <w:rFonts w:ascii="Times New Roman" w:eastAsia="Times New Roman" w:hAnsi="Times New Roman" w:cs="Times New Roman"/>
          <w:sz w:val="24"/>
          <w:szCs w:val="24"/>
          <w:lang w:eastAsia="lv-LV"/>
        </w:rPr>
        <w:t xml:space="preserve"> un ainaviski vērtīgās teritorijas </w:t>
      </w:r>
      <w:r w:rsidRPr="00A07F29">
        <w:rPr>
          <w:rFonts w:ascii="Times New Roman" w:eastAsia="Times New Roman" w:hAnsi="Times New Roman" w:cs="Times New Roman"/>
          <w:sz w:val="24"/>
          <w:szCs w:val="24"/>
          <w:lang w:eastAsia="lv-LV"/>
        </w:rPr>
        <w:t>ir noteiktas šo noteikumu 1.</w:t>
      </w:r>
      <w:r w:rsidR="00107CA8">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pielikumā (skat. DA plāna 6.</w:t>
      </w:r>
      <w:r w:rsidR="00107CA8">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pielikumu).</w:t>
      </w:r>
    </w:p>
    <w:p w14:paraId="5F058FB6" w14:textId="70EDA9FE" w:rsidR="00B07340" w:rsidRPr="00A07F29" w:rsidRDefault="00B07340"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4. Ainavu apvidus robežas dabā apzīmē ar speciālām informatīvām zīmēm, kuras paraugs, izveidošanas un lietošanas kārtība noteikta šo noteikumu 2.</w:t>
      </w:r>
      <w:r w:rsidR="00D76495">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 xml:space="preserve">pielikumā. </w:t>
      </w:r>
    </w:p>
    <w:p w14:paraId="73673053" w14:textId="2E8E1768" w:rsidR="00B07340" w:rsidRPr="00A07F29" w:rsidRDefault="00B07340"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5.</w:t>
      </w:r>
      <w:r w:rsidR="00A87928">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Ainavu apvidū ir noteiktas šādas funkcionālās zonas:</w:t>
      </w:r>
    </w:p>
    <w:p w14:paraId="58B5DFFB" w14:textId="4B445E82" w:rsidR="00B07340" w:rsidRPr="00A07F29" w:rsidRDefault="00B07340"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5.1.</w:t>
      </w:r>
      <w:r w:rsidR="00A87928">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regulējamā režīma zona;</w:t>
      </w:r>
    </w:p>
    <w:p w14:paraId="545E7587" w14:textId="18EA912C" w:rsidR="00B07340" w:rsidRPr="00A07F29" w:rsidRDefault="00B07340"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5.2.</w:t>
      </w:r>
      <w:r w:rsidR="00A87928">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dabas lieguma zona;</w:t>
      </w:r>
    </w:p>
    <w:p w14:paraId="46CF919C" w14:textId="3C9DBFF8" w:rsidR="00B07340" w:rsidRPr="00A07F29" w:rsidRDefault="00B07340"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5.3.</w:t>
      </w:r>
      <w:r w:rsidR="00A87928">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dabas parka zona;</w:t>
      </w:r>
    </w:p>
    <w:p w14:paraId="2411F826" w14:textId="753ECC6D" w:rsidR="00B07340" w:rsidRPr="00A07F29" w:rsidRDefault="00B07340"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5.4.</w:t>
      </w:r>
      <w:r w:rsidR="00A87928">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ainavu aizsardzības zona;</w:t>
      </w:r>
    </w:p>
    <w:p w14:paraId="6069818D" w14:textId="6F754A8B" w:rsidR="00B07340" w:rsidRPr="00A07F29" w:rsidRDefault="00B07340"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5.5.</w:t>
      </w:r>
      <w:r w:rsidR="00A87928">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neitrālā zona.</w:t>
      </w:r>
    </w:p>
    <w:p w14:paraId="4A9BDD75" w14:textId="4A94BA5E" w:rsidR="00B07340" w:rsidRPr="00A07F29" w:rsidRDefault="00B07340"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6.</w:t>
      </w:r>
      <w:r w:rsidR="00A87928">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Dabas aizsardzības pārvalde nosaka ierobežotas pieejamības statusu informācijai par ainavu apvidū esošo īpaši aizsargājamo sugu dzīvotņu un īpaši aizsargājamo biotopu atrašanās vietu, ja tās atklāšana var kaitēt dabas aizsardzībai. Šādu informāciju izplata tikai ar Dabas aizsardzības pārvaldes rakstisku atļauju.</w:t>
      </w:r>
    </w:p>
    <w:p w14:paraId="588BA62C" w14:textId="6C78D6C0" w:rsidR="00B07340" w:rsidRPr="00A07F29" w:rsidRDefault="00B07340"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lastRenderedPageBreak/>
        <w:t>7.</w:t>
      </w:r>
      <w:r w:rsidR="001C6CF2">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Dabas aizsardzības pārvalde, izsniedzot rakstisku atļauju šajos noteikumos minētajām darbībām, izmanto dabas aizsardzības plānā iekļauto informāciju un jaunāko pieejamo informāciju par īpaši aizsargājamām sugām un biotopiem ainavu apvidus teritorijā un izvērtē paredzētās darbības ietekmi uz ainavu apvidu, īpaši aizsargājamām sugām un biotopiem.</w:t>
      </w:r>
    </w:p>
    <w:p w14:paraId="0072C991" w14:textId="3474BC41" w:rsidR="00B07340" w:rsidRPr="00A07F29" w:rsidRDefault="00B07340"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8.</w:t>
      </w:r>
      <w:r w:rsidR="001C6CF2">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Dabas aizsardzības pārvaldes rakstiska atļauja nav nepieciešama darbībām, kurām saskaņā ar normatīvajiem aktiem par ietekmes uz vidi novērtējumu Valsts vides dienests izsniedz tehniskos noteikumus vai veic sākotnējo ietekmes uz vidi novērtējumu. Ja minēto darbību rezultātā tiek mainīta zemes lietošanas kategorija, Dabas aizsardzības pārvaldes rakstiskā atļauja zemes lietošanas kategorijas maiņai nav nepieciešama. Vērtējot šādas darbības, Valsts vides dienests vienlaikus izvērtē zemes lietošanas kategorijas maiņas iespējamību.</w:t>
      </w:r>
    </w:p>
    <w:p w14:paraId="4EAB8283" w14:textId="30F45E89" w:rsidR="00B07340" w:rsidRPr="00A07F29" w:rsidRDefault="00B07340"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9.</w:t>
      </w:r>
      <w:r w:rsidR="00752DEE">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Šajos noteikumos minētā Dabas aizsardzības pārvaldes rakstiskā atļauja nav nepieciešama, ja attiecīgo darbību veic Dabas aizsardzības pārvalde, lai īstenotu tai normatīvajos aktos noteiktās funkcijas un uzdevumus. Par plānotajām darbībām informē zemes īpašnieku vai tiesisko valdītāju.</w:t>
      </w:r>
    </w:p>
    <w:p w14:paraId="29F1988C" w14:textId="020931DF" w:rsidR="00B07340" w:rsidRPr="00A07F29" w:rsidRDefault="00B07340"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1</w:t>
      </w:r>
      <w:r w:rsidR="00F10C8D" w:rsidRPr="00A07F29">
        <w:rPr>
          <w:rFonts w:ascii="Times New Roman" w:eastAsia="Times New Roman" w:hAnsi="Times New Roman" w:cs="Times New Roman"/>
          <w:sz w:val="24"/>
          <w:szCs w:val="24"/>
          <w:lang w:eastAsia="lv-LV"/>
        </w:rPr>
        <w:t>0</w:t>
      </w:r>
      <w:r w:rsidRPr="00A07F29">
        <w:rPr>
          <w:rFonts w:ascii="Times New Roman" w:eastAsia="Times New Roman" w:hAnsi="Times New Roman" w:cs="Times New Roman"/>
          <w:sz w:val="24"/>
          <w:szCs w:val="24"/>
          <w:lang w:eastAsia="lv-LV"/>
        </w:rPr>
        <w:t>.</w:t>
      </w:r>
      <w:r w:rsidR="00935DD5">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Lai saglabātu reģionam raksturīgo ainavu struktūru, tās ainavu elementus, tipiskos zemes izmantošanas veidus un apbūves, kā arī kultūrvēsturiskās vides īpatnības, ainavu apvidū esošo vietējo pašvaldību teritorijas plānojumos un apbūves noteikumos ietver prasības būvniecībai</w:t>
      </w:r>
      <w:r w:rsidR="00F83957" w:rsidRPr="00A07F29">
        <w:rPr>
          <w:rFonts w:ascii="Times New Roman" w:eastAsia="Times New Roman" w:hAnsi="Times New Roman" w:cs="Times New Roman"/>
          <w:sz w:val="24"/>
          <w:szCs w:val="24"/>
          <w:lang w:eastAsia="lv-LV"/>
        </w:rPr>
        <w:t xml:space="preserve"> un zemes izmantošanas veidiem.</w:t>
      </w:r>
    </w:p>
    <w:p w14:paraId="3475F925" w14:textId="77777777" w:rsidR="00B07340" w:rsidRPr="00A07F29" w:rsidRDefault="00B07340" w:rsidP="00B07340">
      <w:pPr>
        <w:spacing w:after="120" w:line="240" w:lineRule="auto"/>
        <w:jc w:val="center"/>
        <w:rPr>
          <w:rFonts w:ascii="Times New Roman" w:eastAsia="Times New Roman" w:hAnsi="Times New Roman" w:cs="Times New Roman"/>
          <w:b/>
          <w:bCs/>
          <w:sz w:val="24"/>
          <w:szCs w:val="24"/>
          <w:lang w:eastAsia="lv-LV"/>
        </w:rPr>
      </w:pPr>
      <w:r w:rsidRPr="00A07F29">
        <w:rPr>
          <w:rFonts w:ascii="Times New Roman" w:eastAsia="Times New Roman" w:hAnsi="Times New Roman" w:cs="Times New Roman"/>
          <w:b/>
          <w:bCs/>
          <w:sz w:val="24"/>
          <w:szCs w:val="24"/>
          <w:lang w:eastAsia="lv-LV"/>
        </w:rPr>
        <w:t>II Vispārīgie aprobežojumi visā aizsargājamā ainavu apvidus teritorijā</w:t>
      </w:r>
    </w:p>
    <w:p w14:paraId="2CE3C274" w14:textId="5341F313" w:rsidR="00B07340" w:rsidRPr="00A07F29" w:rsidRDefault="00B07340"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1</w:t>
      </w:r>
      <w:r w:rsidR="00062217" w:rsidRPr="00A07F29">
        <w:rPr>
          <w:rFonts w:ascii="Times New Roman" w:eastAsia="Times New Roman" w:hAnsi="Times New Roman" w:cs="Times New Roman"/>
          <w:sz w:val="24"/>
          <w:szCs w:val="24"/>
          <w:lang w:eastAsia="lv-LV"/>
        </w:rPr>
        <w:t>1</w:t>
      </w:r>
      <w:r w:rsidRPr="00A07F29">
        <w:rPr>
          <w:rFonts w:ascii="Times New Roman" w:eastAsia="Times New Roman" w:hAnsi="Times New Roman" w:cs="Times New Roman"/>
          <w:sz w:val="24"/>
          <w:szCs w:val="24"/>
          <w:lang w:eastAsia="lv-LV"/>
        </w:rPr>
        <w:t>.</w:t>
      </w:r>
      <w:r w:rsidR="004D4A35">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 xml:space="preserve">Šajos noteikumos noteiktie aprobežojumi neattiecas uz ugunsdzēsības pasākumiem. </w:t>
      </w:r>
    </w:p>
    <w:p w14:paraId="38A7B6F4" w14:textId="260484D9" w:rsidR="00B07340" w:rsidRPr="00A07F29" w:rsidRDefault="00B07340"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1</w:t>
      </w:r>
      <w:r w:rsidR="00062217" w:rsidRPr="00A07F29">
        <w:rPr>
          <w:rFonts w:ascii="Times New Roman" w:eastAsia="Times New Roman" w:hAnsi="Times New Roman" w:cs="Times New Roman"/>
          <w:sz w:val="24"/>
          <w:szCs w:val="24"/>
          <w:lang w:eastAsia="lv-LV"/>
        </w:rPr>
        <w:t>2</w:t>
      </w:r>
      <w:r w:rsidRPr="00A07F29">
        <w:rPr>
          <w:rFonts w:ascii="Times New Roman" w:eastAsia="Times New Roman" w:hAnsi="Times New Roman" w:cs="Times New Roman"/>
          <w:sz w:val="24"/>
          <w:szCs w:val="24"/>
          <w:lang w:eastAsia="lv-LV"/>
        </w:rPr>
        <w:t>.</w:t>
      </w:r>
      <w:r w:rsidR="007A6E8F">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Visā ainavu apvidus teritorijā aizliegts:</w:t>
      </w:r>
    </w:p>
    <w:p w14:paraId="15228E2D" w14:textId="5E062B27" w:rsidR="00B07340" w:rsidRPr="00A07F29" w:rsidRDefault="00B07340"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1</w:t>
      </w:r>
      <w:r w:rsidR="00062217" w:rsidRPr="00A07F29">
        <w:rPr>
          <w:rFonts w:ascii="Times New Roman" w:eastAsia="Times New Roman" w:hAnsi="Times New Roman" w:cs="Times New Roman"/>
          <w:sz w:val="24"/>
          <w:szCs w:val="24"/>
          <w:lang w:eastAsia="lv-LV"/>
        </w:rPr>
        <w:t>2</w:t>
      </w:r>
      <w:r w:rsidRPr="00A07F29">
        <w:rPr>
          <w:rFonts w:ascii="Times New Roman" w:eastAsia="Times New Roman" w:hAnsi="Times New Roman" w:cs="Times New Roman"/>
          <w:sz w:val="24"/>
          <w:szCs w:val="24"/>
          <w:lang w:eastAsia="lv-LV"/>
        </w:rPr>
        <w:t>.1.</w:t>
      </w:r>
      <w:r w:rsidR="007A6E8F">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ierī</w:t>
      </w:r>
      <w:r w:rsidR="00B51FC7" w:rsidRPr="00A07F29">
        <w:rPr>
          <w:rFonts w:ascii="Times New Roman" w:eastAsia="Times New Roman" w:hAnsi="Times New Roman" w:cs="Times New Roman"/>
          <w:sz w:val="24"/>
          <w:szCs w:val="24"/>
          <w:lang w:eastAsia="lv-LV"/>
        </w:rPr>
        <w:t>kot jaunus atkritumu poligonus;</w:t>
      </w:r>
    </w:p>
    <w:p w14:paraId="69B51E86" w14:textId="2D16E8AF" w:rsidR="00B07340" w:rsidRPr="00A07F29" w:rsidRDefault="00B07340"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1</w:t>
      </w:r>
      <w:r w:rsidR="00033409" w:rsidRPr="00A07F29">
        <w:rPr>
          <w:rFonts w:ascii="Times New Roman" w:eastAsia="Times New Roman" w:hAnsi="Times New Roman" w:cs="Times New Roman"/>
          <w:sz w:val="24"/>
          <w:szCs w:val="24"/>
          <w:lang w:eastAsia="lv-LV"/>
        </w:rPr>
        <w:t>2</w:t>
      </w:r>
      <w:r w:rsidRPr="00A07F29">
        <w:rPr>
          <w:rFonts w:ascii="Times New Roman" w:eastAsia="Times New Roman" w:hAnsi="Times New Roman" w:cs="Times New Roman"/>
          <w:sz w:val="24"/>
          <w:szCs w:val="24"/>
          <w:lang w:eastAsia="lv-LV"/>
        </w:rPr>
        <w:t>.2.</w:t>
      </w:r>
      <w:r w:rsidR="007A6E8F">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audzēt ģenētiski modificētus kultūraugus;</w:t>
      </w:r>
    </w:p>
    <w:p w14:paraId="6460F423" w14:textId="2BDAF4E6" w:rsidR="00B07340" w:rsidRPr="00A07F29" w:rsidRDefault="00B07340"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1</w:t>
      </w:r>
      <w:r w:rsidR="00062217" w:rsidRPr="00A07F29">
        <w:rPr>
          <w:rFonts w:ascii="Times New Roman" w:eastAsia="Times New Roman" w:hAnsi="Times New Roman" w:cs="Times New Roman"/>
          <w:sz w:val="24"/>
          <w:szCs w:val="24"/>
          <w:lang w:eastAsia="lv-LV"/>
        </w:rPr>
        <w:t>2</w:t>
      </w:r>
      <w:r w:rsidRPr="00A07F29">
        <w:rPr>
          <w:rFonts w:ascii="Times New Roman" w:eastAsia="Times New Roman" w:hAnsi="Times New Roman" w:cs="Times New Roman"/>
          <w:sz w:val="24"/>
          <w:szCs w:val="24"/>
          <w:lang w:eastAsia="lv-LV"/>
        </w:rPr>
        <w:t>.3.</w:t>
      </w:r>
      <w:r w:rsidR="007A6E8F">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izmantot citzemju sugas meža atjaunošanā un ieaudzēšanā</w:t>
      </w:r>
      <w:r w:rsidR="00F10C8D" w:rsidRPr="00A07F29">
        <w:rPr>
          <w:rFonts w:ascii="Times New Roman" w:eastAsia="Times New Roman" w:hAnsi="Times New Roman" w:cs="Times New Roman"/>
          <w:sz w:val="24"/>
          <w:szCs w:val="24"/>
          <w:lang w:eastAsia="lv-LV"/>
        </w:rPr>
        <w:t xml:space="preserve">, </w:t>
      </w:r>
      <w:r w:rsidRPr="00A07F29">
        <w:rPr>
          <w:rFonts w:ascii="Times New Roman" w:eastAsia="Times New Roman" w:hAnsi="Times New Roman" w:cs="Times New Roman"/>
          <w:sz w:val="24"/>
          <w:szCs w:val="24"/>
          <w:lang w:eastAsia="lv-LV"/>
        </w:rPr>
        <w:t>izņemot aizsargājamos dendroloģiskos stā</w:t>
      </w:r>
      <w:r w:rsidR="00F10C8D" w:rsidRPr="00A07F29">
        <w:rPr>
          <w:rFonts w:ascii="Times New Roman" w:eastAsia="Times New Roman" w:hAnsi="Times New Roman" w:cs="Times New Roman"/>
          <w:sz w:val="24"/>
          <w:szCs w:val="24"/>
          <w:lang w:eastAsia="lv-LV"/>
        </w:rPr>
        <w:t>dījumus un aizsargājamas alejas</w:t>
      </w:r>
      <w:r w:rsidRPr="00A07F29">
        <w:rPr>
          <w:rFonts w:ascii="Times New Roman" w:eastAsia="Times New Roman" w:hAnsi="Times New Roman" w:cs="Times New Roman"/>
          <w:sz w:val="24"/>
          <w:szCs w:val="24"/>
          <w:lang w:eastAsia="lv-LV"/>
        </w:rPr>
        <w:t>;</w:t>
      </w:r>
    </w:p>
    <w:p w14:paraId="7682CD69" w14:textId="6DC31247" w:rsidR="00B07340" w:rsidRPr="00A07F29" w:rsidRDefault="00B07340"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1</w:t>
      </w:r>
      <w:r w:rsidR="00062217" w:rsidRPr="00A07F29">
        <w:rPr>
          <w:rFonts w:ascii="Times New Roman" w:eastAsia="Times New Roman" w:hAnsi="Times New Roman" w:cs="Times New Roman"/>
          <w:sz w:val="24"/>
          <w:szCs w:val="24"/>
          <w:lang w:eastAsia="lv-LV"/>
        </w:rPr>
        <w:t>2</w:t>
      </w:r>
      <w:r w:rsidRPr="00A07F29">
        <w:rPr>
          <w:rFonts w:ascii="Times New Roman" w:eastAsia="Times New Roman" w:hAnsi="Times New Roman" w:cs="Times New Roman"/>
          <w:sz w:val="24"/>
          <w:szCs w:val="24"/>
          <w:lang w:eastAsia="lv-LV"/>
        </w:rPr>
        <w:t>.4.</w:t>
      </w:r>
      <w:r w:rsidR="000B715E">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 xml:space="preserve">lietot minerālmēslus un ķīmiskos augu aizsardzības līdzekļus mežaudzēs, izņemot </w:t>
      </w:r>
      <w:proofErr w:type="spellStart"/>
      <w:r w:rsidRPr="00A07F29">
        <w:rPr>
          <w:rFonts w:ascii="Times New Roman" w:eastAsia="Times New Roman" w:hAnsi="Times New Roman" w:cs="Times New Roman"/>
          <w:sz w:val="24"/>
          <w:szCs w:val="24"/>
          <w:lang w:eastAsia="lv-LV"/>
        </w:rPr>
        <w:t>repelentus</w:t>
      </w:r>
      <w:proofErr w:type="spellEnd"/>
      <w:r w:rsidRPr="00A07F29">
        <w:rPr>
          <w:rFonts w:ascii="Times New Roman" w:eastAsia="Times New Roman" w:hAnsi="Times New Roman" w:cs="Times New Roman"/>
          <w:sz w:val="24"/>
          <w:szCs w:val="24"/>
          <w:lang w:eastAsia="lv-LV"/>
        </w:rPr>
        <w:t xml:space="preserve"> pārnadžu atbaidīšanai un feromonus koku stumbra kaitēkļu ierobežošanai, kā arī herbicīdus </w:t>
      </w:r>
      <w:proofErr w:type="spellStart"/>
      <w:r w:rsidRPr="00A07F29">
        <w:rPr>
          <w:rFonts w:ascii="Times New Roman" w:eastAsia="Times New Roman" w:hAnsi="Times New Roman" w:cs="Times New Roman"/>
          <w:sz w:val="24"/>
          <w:szCs w:val="24"/>
          <w:lang w:eastAsia="lv-LV"/>
        </w:rPr>
        <w:t>invazīvu</w:t>
      </w:r>
      <w:proofErr w:type="spellEnd"/>
      <w:r w:rsidRPr="00A07F29">
        <w:rPr>
          <w:rFonts w:ascii="Times New Roman" w:eastAsia="Times New Roman" w:hAnsi="Times New Roman" w:cs="Times New Roman"/>
          <w:sz w:val="24"/>
          <w:szCs w:val="24"/>
          <w:lang w:eastAsia="lv-LV"/>
        </w:rPr>
        <w:t xml:space="preserve"> sugu ierobežošanai;</w:t>
      </w:r>
    </w:p>
    <w:p w14:paraId="28947210" w14:textId="6CF0251B" w:rsidR="00773669" w:rsidRPr="00A07F29" w:rsidRDefault="00773669" w:rsidP="00773669">
      <w:pPr>
        <w:spacing w:after="120" w:line="240" w:lineRule="auto"/>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1</w:t>
      </w:r>
      <w:r w:rsidR="00062217" w:rsidRPr="00A07F29">
        <w:rPr>
          <w:rFonts w:ascii="Times New Roman" w:eastAsia="Times New Roman" w:hAnsi="Times New Roman" w:cs="Times New Roman"/>
          <w:sz w:val="24"/>
          <w:szCs w:val="24"/>
          <w:lang w:eastAsia="lv-LV"/>
        </w:rPr>
        <w:t>2</w:t>
      </w:r>
      <w:r w:rsidRPr="00A07F29">
        <w:rPr>
          <w:rFonts w:ascii="Times New Roman" w:eastAsia="Times New Roman" w:hAnsi="Times New Roman" w:cs="Times New Roman"/>
          <w:sz w:val="24"/>
          <w:szCs w:val="24"/>
          <w:lang w:eastAsia="lv-LV"/>
        </w:rPr>
        <w:t>.</w:t>
      </w:r>
      <w:r w:rsidR="00062217" w:rsidRPr="00A07F29">
        <w:rPr>
          <w:rFonts w:ascii="Times New Roman" w:eastAsia="Times New Roman" w:hAnsi="Times New Roman" w:cs="Times New Roman"/>
          <w:sz w:val="24"/>
          <w:szCs w:val="24"/>
          <w:lang w:eastAsia="lv-LV"/>
        </w:rPr>
        <w:t>5</w:t>
      </w:r>
      <w:r w:rsidRPr="00A07F29">
        <w:rPr>
          <w:rFonts w:ascii="Times New Roman" w:eastAsia="Times New Roman" w:hAnsi="Times New Roman" w:cs="Times New Roman"/>
          <w:sz w:val="24"/>
          <w:szCs w:val="24"/>
          <w:lang w:eastAsia="lv-LV"/>
        </w:rPr>
        <w:t>.</w:t>
      </w:r>
      <w:r w:rsidR="00436DAB">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cirst galvenajā cirtē priežu mežaudzes, kur priede audzes sastāvā ir vismaz 80</w:t>
      </w:r>
      <w:r w:rsidR="00436DAB">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 un kuras sasniegušas 140</w:t>
      </w:r>
      <w:r w:rsidR="00436DAB">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gadu vecumu un vecākas;</w:t>
      </w:r>
    </w:p>
    <w:p w14:paraId="61E88A08" w14:textId="19A38EEA" w:rsidR="00773669" w:rsidRPr="00A07F29" w:rsidRDefault="00773669" w:rsidP="002125E7">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1</w:t>
      </w:r>
      <w:r w:rsidR="00062217" w:rsidRPr="00A07F29">
        <w:rPr>
          <w:rFonts w:ascii="Times New Roman" w:eastAsia="Times New Roman" w:hAnsi="Times New Roman" w:cs="Times New Roman"/>
          <w:sz w:val="24"/>
          <w:szCs w:val="24"/>
          <w:lang w:eastAsia="lv-LV"/>
        </w:rPr>
        <w:t>2</w:t>
      </w:r>
      <w:r w:rsidRPr="00A07F29">
        <w:rPr>
          <w:rFonts w:ascii="Times New Roman" w:eastAsia="Times New Roman" w:hAnsi="Times New Roman" w:cs="Times New Roman"/>
          <w:sz w:val="24"/>
          <w:szCs w:val="24"/>
          <w:lang w:eastAsia="lv-LV"/>
        </w:rPr>
        <w:t>.</w:t>
      </w:r>
      <w:r w:rsidR="00062217" w:rsidRPr="00A07F29">
        <w:rPr>
          <w:rFonts w:ascii="Times New Roman" w:eastAsia="Times New Roman" w:hAnsi="Times New Roman" w:cs="Times New Roman"/>
          <w:sz w:val="24"/>
          <w:szCs w:val="24"/>
          <w:lang w:eastAsia="lv-LV"/>
        </w:rPr>
        <w:t>6</w:t>
      </w:r>
      <w:r w:rsidRPr="00A07F29">
        <w:rPr>
          <w:rFonts w:ascii="Times New Roman" w:eastAsia="Times New Roman" w:hAnsi="Times New Roman" w:cs="Times New Roman"/>
          <w:sz w:val="24"/>
          <w:szCs w:val="24"/>
          <w:lang w:eastAsia="lv-LV"/>
        </w:rPr>
        <w:t>.</w:t>
      </w:r>
      <w:r w:rsidR="002125E7">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 xml:space="preserve">apsaimniekojot mežus, veidot krautuves, treilēšanas ceļus un zaru kaudzes īpaši aizsargājamo augu sugu </w:t>
      </w:r>
      <w:proofErr w:type="spellStart"/>
      <w:r w:rsidRPr="00A07F29">
        <w:rPr>
          <w:rFonts w:ascii="Times New Roman" w:eastAsia="Times New Roman" w:hAnsi="Times New Roman" w:cs="Times New Roman"/>
          <w:sz w:val="24"/>
          <w:szCs w:val="24"/>
          <w:lang w:eastAsia="lv-LV"/>
        </w:rPr>
        <w:t>cepurainās</w:t>
      </w:r>
      <w:proofErr w:type="spellEnd"/>
      <w:r w:rsidRPr="00A07F29">
        <w:rPr>
          <w:rFonts w:ascii="Times New Roman" w:eastAsia="Times New Roman" w:hAnsi="Times New Roman" w:cs="Times New Roman"/>
          <w:sz w:val="24"/>
          <w:szCs w:val="24"/>
          <w:lang w:eastAsia="lv-LV"/>
        </w:rPr>
        <w:t xml:space="preserve"> </w:t>
      </w:r>
      <w:proofErr w:type="spellStart"/>
      <w:r w:rsidRPr="00A07F29">
        <w:rPr>
          <w:rFonts w:ascii="Times New Roman" w:eastAsia="Times New Roman" w:hAnsi="Times New Roman" w:cs="Times New Roman"/>
          <w:sz w:val="24"/>
          <w:szCs w:val="24"/>
          <w:lang w:eastAsia="lv-LV"/>
        </w:rPr>
        <w:t>neotiantes</w:t>
      </w:r>
      <w:proofErr w:type="spellEnd"/>
      <w:r w:rsidRPr="00A07F29">
        <w:rPr>
          <w:rFonts w:ascii="Times New Roman" w:eastAsia="Times New Roman" w:hAnsi="Times New Roman" w:cs="Times New Roman"/>
          <w:sz w:val="24"/>
          <w:szCs w:val="24"/>
          <w:lang w:eastAsia="lv-LV"/>
        </w:rPr>
        <w:t xml:space="preserve">, </w:t>
      </w:r>
      <w:proofErr w:type="spellStart"/>
      <w:r w:rsidRPr="00A07F29">
        <w:rPr>
          <w:rFonts w:ascii="Times New Roman" w:eastAsia="Times New Roman" w:hAnsi="Times New Roman" w:cs="Times New Roman"/>
          <w:sz w:val="24"/>
          <w:szCs w:val="24"/>
          <w:lang w:eastAsia="lv-LV"/>
        </w:rPr>
        <w:t>Ruiša</w:t>
      </w:r>
      <w:proofErr w:type="spellEnd"/>
      <w:r w:rsidRPr="00A07F29">
        <w:rPr>
          <w:rFonts w:ascii="Times New Roman" w:eastAsia="Times New Roman" w:hAnsi="Times New Roman" w:cs="Times New Roman"/>
          <w:sz w:val="24"/>
          <w:szCs w:val="24"/>
          <w:lang w:eastAsia="lv-LV"/>
        </w:rPr>
        <w:t xml:space="preserve"> </w:t>
      </w:r>
      <w:proofErr w:type="spellStart"/>
      <w:r w:rsidRPr="00A07F29">
        <w:rPr>
          <w:rFonts w:ascii="Times New Roman" w:eastAsia="Times New Roman" w:hAnsi="Times New Roman" w:cs="Times New Roman"/>
          <w:sz w:val="24"/>
          <w:szCs w:val="24"/>
          <w:lang w:eastAsia="lv-LV"/>
        </w:rPr>
        <w:t>pūķgalves</w:t>
      </w:r>
      <w:proofErr w:type="spellEnd"/>
      <w:r w:rsidRPr="00A07F29">
        <w:rPr>
          <w:rFonts w:ascii="Times New Roman" w:eastAsia="Times New Roman" w:hAnsi="Times New Roman" w:cs="Times New Roman"/>
          <w:sz w:val="24"/>
          <w:szCs w:val="24"/>
          <w:lang w:eastAsia="lv-LV"/>
        </w:rPr>
        <w:t xml:space="preserve">, </w:t>
      </w:r>
      <w:proofErr w:type="spellStart"/>
      <w:r w:rsidRPr="00A07F29">
        <w:rPr>
          <w:rFonts w:ascii="Times New Roman" w:eastAsia="Times New Roman" w:hAnsi="Times New Roman" w:cs="Times New Roman"/>
          <w:sz w:val="24"/>
          <w:szCs w:val="24"/>
          <w:lang w:eastAsia="lv-LV"/>
        </w:rPr>
        <w:t>zirņveida</w:t>
      </w:r>
      <w:proofErr w:type="spellEnd"/>
      <w:r w:rsidRPr="00A07F29">
        <w:rPr>
          <w:rFonts w:ascii="Times New Roman" w:eastAsia="Times New Roman" w:hAnsi="Times New Roman" w:cs="Times New Roman"/>
          <w:sz w:val="24"/>
          <w:szCs w:val="24"/>
          <w:lang w:eastAsia="lv-LV"/>
        </w:rPr>
        <w:t xml:space="preserve"> dedestiņas un smiltāju neļķes atradnēs, kas reģistrētas Dabas datu pārvaldības sistēmā;</w:t>
      </w:r>
    </w:p>
    <w:p w14:paraId="57880759" w14:textId="35463338" w:rsidR="00062217" w:rsidRPr="00A07F29" w:rsidRDefault="00062217" w:rsidP="00062217">
      <w:pPr>
        <w:spacing w:before="75" w:after="75"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12.7.</w:t>
      </w:r>
      <w:r w:rsidR="003A3765">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gravās (vismaz 15 metru dziļas un 10 metru platas ūdens erozijas veidotas gultnes, kuru nogāzes slīpums ir vismaz 30 grādu) un 25</w:t>
      </w:r>
      <w:r w:rsidR="00A52DD6">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 xml:space="preserve">m attālumā no to augšējās krants: </w:t>
      </w:r>
    </w:p>
    <w:p w14:paraId="188EBBA0" w14:textId="4A6054CD" w:rsidR="00062217" w:rsidRPr="00A07F29" w:rsidRDefault="00062217" w:rsidP="00062217">
      <w:pPr>
        <w:spacing w:before="75" w:after="75"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12.7.1.</w:t>
      </w:r>
      <w:r w:rsidR="00A52DD6">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 xml:space="preserve">veikt koku ciršanu mežā, izņemot bīstamo koku </w:t>
      </w:r>
      <w:r w:rsidR="00033409" w:rsidRPr="00A07F29">
        <w:rPr>
          <w:rFonts w:ascii="Times New Roman" w:eastAsia="Times New Roman" w:hAnsi="Times New Roman" w:cs="Times New Roman"/>
          <w:sz w:val="24"/>
          <w:szCs w:val="24"/>
          <w:lang w:eastAsia="lv-LV"/>
        </w:rPr>
        <w:t xml:space="preserve">(koki, kas apdraud cilvēku dzīvību un veselību, tuvumā esošās ēkas vai infrastruktūras objektus) </w:t>
      </w:r>
      <w:r w:rsidRPr="00A07F29">
        <w:rPr>
          <w:rFonts w:ascii="Times New Roman" w:eastAsia="Times New Roman" w:hAnsi="Times New Roman" w:cs="Times New Roman"/>
          <w:sz w:val="24"/>
          <w:szCs w:val="24"/>
          <w:lang w:eastAsia="lv-LV"/>
        </w:rPr>
        <w:t>novākšanu, kā arī koku ciršanu īpaši aizsargājamo sugu un biotopu apsaimniekošanai, tūrisma infrastruktūras objektu ierīkošanai un uzturēšanai, skatu vietu ierīkošanai un uzturēšanai;</w:t>
      </w:r>
    </w:p>
    <w:p w14:paraId="36C097E2" w14:textId="1C6CEE6B" w:rsidR="00062217" w:rsidRPr="00A07F29" w:rsidRDefault="00062217" w:rsidP="00062217">
      <w:pPr>
        <w:spacing w:before="75" w:after="75"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12.7.2.</w:t>
      </w:r>
      <w:r w:rsidR="00466573">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uzart lauksaimniecības zemi;</w:t>
      </w:r>
    </w:p>
    <w:p w14:paraId="47847FD7" w14:textId="31A24CB9" w:rsidR="00B07340" w:rsidRPr="00A07F29" w:rsidRDefault="00B07340"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1</w:t>
      </w:r>
      <w:r w:rsidR="00062217" w:rsidRPr="00A07F29">
        <w:rPr>
          <w:rFonts w:ascii="Times New Roman" w:eastAsia="Times New Roman" w:hAnsi="Times New Roman" w:cs="Times New Roman"/>
          <w:sz w:val="24"/>
          <w:szCs w:val="24"/>
          <w:lang w:eastAsia="lv-LV"/>
        </w:rPr>
        <w:t>2</w:t>
      </w:r>
      <w:r w:rsidRPr="00A07F29">
        <w:rPr>
          <w:rFonts w:ascii="Times New Roman" w:eastAsia="Times New Roman" w:hAnsi="Times New Roman" w:cs="Times New Roman"/>
          <w:sz w:val="24"/>
          <w:szCs w:val="24"/>
          <w:lang w:eastAsia="lv-LV"/>
        </w:rPr>
        <w:t>.</w:t>
      </w:r>
      <w:r w:rsidR="00062217" w:rsidRPr="00A07F29">
        <w:rPr>
          <w:rFonts w:ascii="Times New Roman" w:eastAsia="Times New Roman" w:hAnsi="Times New Roman" w:cs="Times New Roman"/>
          <w:sz w:val="24"/>
          <w:szCs w:val="24"/>
          <w:lang w:eastAsia="lv-LV"/>
        </w:rPr>
        <w:t>8</w:t>
      </w:r>
      <w:r w:rsidRPr="00A07F29">
        <w:rPr>
          <w:rFonts w:ascii="Times New Roman" w:eastAsia="Times New Roman" w:hAnsi="Times New Roman" w:cs="Times New Roman"/>
          <w:sz w:val="24"/>
          <w:szCs w:val="24"/>
          <w:lang w:eastAsia="lv-LV"/>
        </w:rPr>
        <w:t>.</w:t>
      </w:r>
      <w:r w:rsidR="008F0F09">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 xml:space="preserve">bez Dabas aizsardzības pārvaldes rakstiskas atļaujas ārpus meža zemes cirst koku rindas un alejas, platlapju kokus, kuru stumbra caurmērs 1,3 metru augstumā virs koku sakņu kakla pārsniedz 25 </w:t>
      </w:r>
      <w:r w:rsidR="00E46434">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cm, un citu sugu kokus, kuru stumbra caurmērs 1,3 metru augstumā virs koku sakņu kakla pārsniedz 40</w:t>
      </w:r>
      <w:r w:rsidR="00E46434">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 xml:space="preserve">cm, </w:t>
      </w:r>
      <w:r w:rsidR="00F10C8D" w:rsidRPr="00A07F29">
        <w:rPr>
          <w:rFonts w:ascii="Times New Roman" w:eastAsia="Times New Roman" w:hAnsi="Times New Roman" w:cs="Times New Roman"/>
          <w:sz w:val="24"/>
          <w:szCs w:val="24"/>
          <w:lang w:eastAsia="lv-LV"/>
        </w:rPr>
        <w:t xml:space="preserve">tajā skaitā </w:t>
      </w:r>
      <w:r w:rsidRPr="00A07F29">
        <w:rPr>
          <w:rFonts w:ascii="Times New Roman" w:eastAsia="Times New Roman" w:hAnsi="Times New Roman" w:cs="Times New Roman"/>
          <w:sz w:val="24"/>
          <w:szCs w:val="24"/>
          <w:lang w:eastAsia="lv-LV"/>
        </w:rPr>
        <w:t xml:space="preserve">arī dobumainos un nokaltušos vai </w:t>
      </w:r>
      <w:proofErr w:type="spellStart"/>
      <w:r w:rsidRPr="00A07F29">
        <w:rPr>
          <w:rFonts w:ascii="Times New Roman" w:eastAsia="Times New Roman" w:hAnsi="Times New Roman" w:cs="Times New Roman"/>
          <w:sz w:val="24"/>
          <w:szCs w:val="24"/>
          <w:lang w:eastAsia="lv-LV"/>
        </w:rPr>
        <w:t>pusnokaltušos</w:t>
      </w:r>
      <w:proofErr w:type="spellEnd"/>
      <w:r w:rsidRPr="00A07F29">
        <w:rPr>
          <w:rFonts w:ascii="Times New Roman" w:eastAsia="Times New Roman" w:hAnsi="Times New Roman" w:cs="Times New Roman"/>
          <w:sz w:val="24"/>
          <w:szCs w:val="24"/>
          <w:lang w:eastAsia="lv-LV"/>
        </w:rPr>
        <w:t xml:space="preserve"> kokus;</w:t>
      </w:r>
    </w:p>
    <w:p w14:paraId="2A60BF7B" w14:textId="42E27819" w:rsidR="00773669" w:rsidRPr="00A07F29" w:rsidRDefault="00773669" w:rsidP="005E7754">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lastRenderedPageBreak/>
        <w:t>1</w:t>
      </w:r>
      <w:r w:rsidR="00062217" w:rsidRPr="00A07F29">
        <w:rPr>
          <w:rFonts w:ascii="Times New Roman" w:eastAsia="Times New Roman" w:hAnsi="Times New Roman" w:cs="Times New Roman"/>
          <w:sz w:val="24"/>
          <w:szCs w:val="24"/>
          <w:lang w:eastAsia="lv-LV"/>
        </w:rPr>
        <w:t>2.</w:t>
      </w:r>
      <w:r w:rsidRPr="00A07F29">
        <w:rPr>
          <w:rFonts w:ascii="Times New Roman" w:eastAsia="Times New Roman" w:hAnsi="Times New Roman" w:cs="Times New Roman"/>
          <w:sz w:val="24"/>
          <w:szCs w:val="24"/>
          <w:lang w:eastAsia="lv-LV"/>
        </w:rPr>
        <w:t>9.</w:t>
      </w:r>
      <w:r w:rsidR="0069088F">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bojāt vai iznīcināt (tai skaitā uzarot, kultivējot, ieaudzējot mežu</w:t>
      </w:r>
      <w:r w:rsidRPr="00A07F29">
        <w:rPr>
          <w:rFonts w:ascii="Calibri" w:eastAsia="Calibri" w:hAnsi="Calibri" w:cs="Times New Roman"/>
        </w:rPr>
        <w:t xml:space="preserve">, </w:t>
      </w:r>
      <w:r w:rsidRPr="00A07F29">
        <w:rPr>
          <w:rFonts w:ascii="Times New Roman" w:eastAsia="Times New Roman" w:hAnsi="Times New Roman" w:cs="Times New Roman"/>
          <w:sz w:val="24"/>
          <w:szCs w:val="24"/>
          <w:lang w:eastAsia="lv-LV"/>
        </w:rPr>
        <w:t>mēslojot ar minerālmēsliem vai šķidrajiem kūtsmēsliem) platības, kuras normatīvajos aktos noteiktajā kārtībā ir reģistrētas Dabas datu pārvaldības sistēmā kā īpaši aizsargājami zālāju vai purvu biotopi, vai īpaši aizsargājamo sugu dzīvotnes, kā arī palieņu un terašu pļavas un zālājus 50</w:t>
      </w:r>
      <w:r w:rsidR="009D50EE">
        <w:rPr>
          <w:rFonts w:ascii="Times New Roman" w:eastAsia="Times New Roman" w:hAnsi="Times New Roman" w:cs="Times New Roman"/>
          <w:sz w:val="24"/>
          <w:szCs w:val="24"/>
          <w:lang w:eastAsia="lv-LV"/>
        </w:rPr>
        <w:t> </w:t>
      </w:r>
      <w:r w:rsidR="00286802" w:rsidRPr="00A07F29">
        <w:rPr>
          <w:rFonts w:ascii="Times New Roman" w:eastAsia="Times New Roman" w:hAnsi="Times New Roman" w:cs="Times New Roman"/>
          <w:sz w:val="24"/>
          <w:szCs w:val="24"/>
          <w:lang w:eastAsia="lv-LV"/>
        </w:rPr>
        <w:t>m joslā virszemes ūdensobjektu aizsargjoslā</w:t>
      </w:r>
      <w:r w:rsidRPr="00A07F29">
        <w:rPr>
          <w:rFonts w:ascii="Times New Roman" w:eastAsia="Times New Roman" w:hAnsi="Times New Roman" w:cs="Times New Roman"/>
          <w:sz w:val="24"/>
          <w:szCs w:val="24"/>
          <w:lang w:eastAsia="lv-LV"/>
        </w:rPr>
        <w:t>, izņemot gadījumu, ja tas nepieciešams īpaši aizsargājamo sugu dzīvotņu un īpaši aizsargājamo biotopu aizsardzībai, saglabāšanai vai atjaunošanai un ir saņemta Dabas aizsardzības pārvaldes rakstiska atļauja;</w:t>
      </w:r>
    </w:p>
    <w:p w14:paraId="6E68163C" w14:textId="2488E6E9" w:rsidR="00773669" w:rsidRPr="00A07F29" w:rsidRDefault="00773669" w:rsidP="005E7754">
      <w:pPr>
        <w:spacing w:after="120" w:line="240" w:lineRule="auto"/>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1</w:t>
      </w:r>
      <w:r w:rsidR="00062217" w:rsidRPr="00A07F29">
        <w:rPr>
          <w:rFonts w:ascii="Times New Roman" w:eastAsia="Calibri" w:hAnsi="Times New Roman" w:cs="Times New Roman"/>
          <w:sz w:val="24"/>
          <w:szCs w:val="24"/>
        </w:rPr>
        <w:t>2</w:t>
      </w:r>
      <w:r w:rsidRPr="00A07F29">
        <w:rPr>
          <w:rFonts w:ascii="Times New Roman" w:eastAsia="Calibri" w:hAnsi="Times New Roman" w:cs="Times New Roman"/>
          <w:sz w:val="24"/>
          <w:szCs w:val="24"/>
        </w:rPr>
        <w:t>.</w:t>
      </w:r>
      <w:r w:rsidR="00062217" w:rsidRPr="00A07F29">
        <w:rPr>
          <w:rFonts w:ascii="Times New Roman" w:eastAsia="Calibri" w:hAnsi="Times New Roman" w:cs="Times New Roman"/>
          <w:sz w:val="24"/>
          <w:szCs w:val="24"/>
        </w:rPr>
        <w:t>10</w:t>
      </w:r>
      <w:r w:rsidRPr="00A07F29">
        <w:rPr>
          <w:rFonts w:ascii="Times New Roman" w:eastAsia="Calibri" w:hAnsi="Times New Roman" w:cs="Times New Roman"/>
          <w:sz w:val="24"/>
          <w:szCs w:val="24"/>
        </w:rPr>
        <w:t>.</w:t>
      </w:r>
      <w:r w:rsidR="009D50EE">
        <w:rPr>
          <w:rFonts w:ascii="Calibri" w:eastAsia="Calibri" w:hAnsi="Calibri" w:cs="Times New Roman"/>
        </w:rPr>
        <w:t> </w:t>
      </w:r>
      <w:r w:rsidRPr="00A07F29">
        <w:rPr>
          <w:rFonts w:ascii="Times New Roman" w:eastAsia="Calibri" w:hAnsi="Times New Roman" w:cs="Times New Roman"/>
          <w:sz w:val="24"/>
          <w:szCs w:val="24"/>
        </w:rPr>
        <w:t xml:space="preserve">lai samazinātu dzīvnieku bojāeju – pļaut lauksaimniecībā izmantojamās zemes un </w:t>
      </w:r>
      <w:proofErr w:type="spellStart"/>
      <w:r w:rsidRPr="00A07F29">
        <w:rPr>
          <w:rFonts w:ascii="Times New Roman" w:eastAsia="Calibri" w:hAnsi="Times New Roman" w:cs="Times New Roman"/>
          <w:sz w:val="24"/>
          <w:szCs w:val="24"/>
        </w:rPr>
        <w:t>lauces</w:t>
      </w:r>
      <w:proofErr w:type="spellEnd"/>
      <w:r w:rsidRPr="00A07F29">
        <w:rPr>
          <w:rFonts w:ascii="Times New Roman" w:eastAsia="Calibri" w:hAnsi="Times New Roman" w:cs="Times New Roman"/>
          <w:sz w:val="24"/>
          <w:szCs w:val="24"/>
        </w:rPr>
        <w:t xml:space="preserve"> virzienā no malām uz centru. Nelīdzena reljefa apstākļos pļauj slejās virzienā no lauka atklātās malas (arī no pagalma, ceļa, atklāta grāvja, žoga, upes vai ezera) uz krūmāju vai mežu;</w:t>
      </w:r>
    </w:p>
    <w:p w14:paraId="5AA9CF05" w14:textId="05F41CD8" w:rsidR="00773669" w:rsidRPr="00A07F29" w:rsidRDefault="00773669" w:rsidP="005E7754">
      <w:pPr>
        <w:spacing w:after="120" w:line="240" w:lineRule="auto"/>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1</w:t>
      </w:r>
      <w:r w:rsidR="00062217" w:rsidRPr="00A07F29">
        <w:rPr>
          <w:rFonts w:ascii="Times New Roman" w:eastAsia="Calibri" w:hAnsi="Times New Roman" w:cs="Times New Roman"/>
          <w:sz w:val="24"/>
          <w:szCs w:val="24"/>
        </w:rPr>
        <w:t>2</w:t>
      </w:r>
      <w:r w:rsidRPr="00A07F29">
        <w:rPr>
          <w:rFonts w:ascii="Times New Roman" w:eastAsia="Calibri" w:hAnsi="Times New Roman" w:cs="Times New Roman"/>
          <w:sz w:val="24"/>
          <w:szCs w:val="24"/>
        </w:rPr>
        <w:t>.</w:t>
      </w:r>
      <w:r w:rsidR="00062217" w:rsidRPr="00A07F29">
        <w:rPr>
          <w:rFonts w:ascii="Times New Roman" w:eastAsia="Calibri" w:hAnsi="Times New Roman" w:cs="Times New Roman"/>
          <w:sz w:val="24"/>
          <w:szCs w:val="24"/>
        </w:rPr>
        <w:t>11</w:t>
      </w:r>
      <w:r w:rsidRPr="00A07F29">
        <w:rPr>
          <w:rFonts w:ascii="Times New Roman" w:eastAsia="Calibri" w:hAnsi="Times New Roman" w:cs="Times New Roman"/>
          <w:sz w:val="24"/>
          <w:szCs w:val="24"/>
        </w:rPr>
        <w:t>.</w:t>
      </w:r>
      <w:r w:rsidR="008721DE">
        <w:rPr>
          <w:rFonts w:ascii="Times New Roman" w:eastAsia="Calibri" w:hAnsi="Times New Roman" w:cs="Times New Roman"/>
          <w:sz w:val="24"/>
          <w:szCs w:val="24"/>
        </w:rPr>
        <w:t> </w:t>
      </w:r>
      <w:r w:rsidRPr="00A07F29">
        <w:rPr>
          <w:rFonts w:ascii="Times New Roman" w:eastAsia="Calibri" w:hAnsi="Times New Roman" w:cs="Times New Roman"/>
          <w:sz w:val="24"/>
          <w:szCs w:val="24"/>
        </w:rPr>
        <w:t>dedzināt sauso zāli un niedrāju platības, kā arī meža zemsedzi. Aizliegums neattiecas uz ekosistēmu, īpaši aizsargājamo sugu dzīvotņu un īpaši aizsargājamo biotopu aizsardzībai, saglabāšanai vai atjaunošanai nepieciešamo pasākumu īstenošanu, kuru veikšanai ir saņemta Dabas aizsardzības pārvaldes rakstiska atļauja un par kuriem ir rakstiski informēta par ugunsdrošību un ugunsdzēsību atbildīgā institūcija;</w:t>
      </w:r>
    </w:p>
    <w:p w14:paraId="75CD0E57" w14:textId="1EDDBBF7" w:rsidR="00773669" w:rsidRPr="00A07F29" w:rsidRDefault="00773669" w:rsidP="005E7754">
      <w:pPr>
        <w:spacing w:after="120" w:line="240" w:lineRule="auto"/>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1</w:t>
      </w:r>
      <w:r w:rsidR="00062217" w:rsidRPr="00A07F29">
        <w:rPr>
          <w:rFonts w:ascii="Times New Roman" w:eastAsia="Calibri" w:hAnsi="Times New Roman" w:cs="Times New Roman"/>
          <w:sz w:val="24"/>
          <w:szCs w:val="24"/>
        </w:rPr>
        <w:t>2</w:t>
      </w:r>
      <w:r w:rsidRPr="00A07F29">
        <w:rPr>
          <w:rFonts w:ascii="Times New Roman" w:eastAsia="Calibri" w:hAnsi="Times New Roman" w:cs="Times New Roman"/>
          <w:sz w:val="24"/>
          <w:szCs w:val="24"/>
        </w:rPr>
        <w:t>.</w:t>
      </w:r>
      <w:r w:rsidR="00062217" w:rsidRPr="00A07F29">
        <w:rPr>
          <w:rFonts w:ascii="Times New Roman" w:eastAsia="Calibri" w:hAnsi="Times New Roman" w:cs="Times New Roman"/>
          <w:sz w:val="24"/>
          <w:szCs w:val="24"/>
        </w:rPr>
        <w:t>1</w:t>
      </w:r>
      <w:r w:rsidRPr="00A07F29">
        <w:rPr>
          <w:rFonts w:ascii="Times New Roman" w:eastAsia="Calibri" w:hAnsi="Times New Roman" w:cs="Times New Roman"/>
          <w:sz w:val="24"/>
          <w:szCs w:val="24"/>
        </w:rPr>
        <w:t>2.</w:t>
      </w:r>
      <w:r w:rsidR="002028FA">
        <w:rPr>
          <w:rFonts w:ascii="Times New Roman" w:eastAsia="Calibri" w:hAnsi="Times New Roman" w:cs="Times New Roman"/>
          <w:sz w:val="24"/>
          <w:szCs w:val="24"/>
        </w:rPr>
        <w:t> </w:t>
      </w:r>
      <w:r w:rsidRPr="00A07F29">
        <w:rPr>
          <w:rFonts w:ascii="Times New Roman" w:eastAsia="Calibri" w:hAnsi="Times New Roman" w:cs="Times New Roman"/>
          <w:sz w:val="24"/>
          <w:szCs w:val="24"/>
        </w:rPr>
        <w:t>kurināt ugunskurus ārpus speciāli ierīkotām vietām, kuras nodrošina uguns tālāku neizplatīšanos, izņemot ugunskurus pagalmos un ugunskurus ciršanas atlieku sadedzināšanai atbilstoši meža apsaimniekošanu regulējošajiem normatīvajiem aktiem un ugunsdrošību un ugunsdzēsību regulējošajiem normatīvajiem aktiem;</w:t>
      </w:r>
    </w:p>
    <w:p w14:paraId="56AC2547" w14:textId="20908E43" w:rsidR="00773669" w:rsidRPr="00A07F29" w:rsidRDefault="00773669" w:rsidP="005E7754">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Calibri" w:hAnsi="Times New Roman" w:cs="Times New Roman"/>
          <w:sz w:val="24"/>
          <w:szCs w:val="24"/>
        </w:rPr>
        <w:t>1</w:t>
      </w:r>
      <w:r w:rsidR="00062217" w:rsidRPr="00A07F29">
        <w:rPr>
          <w:rFonts w:ascii="Times New Roman" w:eastAsia="Calibri" w:hAnsi="Times New Roman" w:cs="Times New Roman"/>
          <w:sz w:val="24"/>
          <w:szCs w:val="24"/>
        </w:rPr>
        <w:t>2</w:t>
      </w:r>
      <w:r w:rsidRPr="00A07F29">
        <w:rPr>
          <w:rFonts w:ascii="Times New Roman" w:eastAsia="Calibri" w:hAnsi="Times New Roman" w:cs="Times New Roman"/>
          <w:sz w:val="24"/>
          <w:szCs w:val="24"/>
        </w:rPr>
        <w:t>.</w:t>
      </w:r>
      <w:r w:rsidR="00062217" w:rsidRPr="00A07F29">
        <w:rPr>
          <w:rFonts w:ascii="Times New Roman" w:eastAsia="Calibri" w:hAnsi="Times New Roman" w:cs="Times New Roman"/>
          <w:sz w:val="24"/>
          <w:szCs w:val="24"/>
        </w:rPr>
        <w:t>1</w:t>
      </w:r>
      <w:r w:rsidRPr="00A07F29">
        <w:rPr>
          <w:rFonts w:ascii="Times New Roman" w:eastAsia="Calibri" w:hAnsi="Times New Roman" w:cs="Times New Roman"/>
          <w:sz w:val="24"/>
          <w:szCs w:val="24"/>
        </w:rPr>
        <w:t>3.</w:t>
      </w:r>
      <w:r w:rsidR="00A95614">
        <w:rPr>
          <w:rFonts w:ascii="Times New Roman" w:eastAsia="Calibri" w:hAnsi="Times New Roman" w:cs="Times New Roman"/>
          <w:sz w:val="24"/>
          <w:szCs w:val="24"/>
        </w:rPr>
        <w:t> </w:t>
      </w:r>
      <w:r w:rsidRPr="00A07F29">
        <w:rPr>
          <w:rFonts w:ascii="Times New Roman" w:eastAsia="Times New Roman" w:hAnsi="Times New Roman" w:cs="Times New Roman"/>
          <w:sz w:val="24"/>
          <w:szCs w:val="24"/>
          <w:lang w:eastAsia="lv-LV"/>
        </w:rPr>
        <w:t xml:space="preserve">nobraukt no ceļiem un pārvietoties ar mehāniskiem transportlīdzekļiem, </w:t>
      </w:r>
      <w:r w:rsidR="003C5ACB" w:rsidRPr="00A07F29">
        <w:rPr>
          <w:rFonts w:ascii="Times New Roman" w:eastAsia="Times New Roman" w:hAnsi="Times New Roman" w:cs="Times New Roman"/>
          <w:sz w:val="24"/>
          <w:szCs w:val="24"/>
          <w:lang w:eastAsia="lv-LV"/>
        </w:rPr>
        <w:t xml:space="preserve">motocikliem, </w:t>
      </w:r>
      <w:r w:rsidRPr="00A07F29">
        <w:rPr>
          <w:rFonts w:ascii="Times New Roman" w:eastAsia="Times New Roman" w:hAnsi="Times New Roman" w:cs="Times New Roman"/>
          <w:sz w:val="24"/>
          <w:szCs w:val="24"/>
          <w:lang w:eastAsia="lv-LV"/>
        </w:rPr>
        <w:t xml:space="preserve">tricikliem, kvadricikliem un mopēdiem pa meža un lauksaimniecības zemēm, </w:t>
      </w:r>
      <w:r w:rsidR="004E348C" w:rsidRPr="00A07F29">
        <w:rPr>
          <w:rFonts w:ascii="Times New Roman" w:eastAsia="Times New Roman" w:hAnsi="Times New Roman" w:cs="Times New Roman"/>
          <w:sz w:val="24"/>
          <w:szCs w:val="24"/>
          <w:lang w:eastAsia="lv-LV"/>
        </w:rPr>
        <w:t xml:space="preserve">kā arī pa </w:t>
      </w:r>
      <w:proofErr w:type="spellStart"/>
      <w:r w:rsidR="004E348C" w:rsidRPr="00A07F29">
        <w:rPr>
          <w:rFonts w:ascii="Times New Roman" w:eastAsia="Times New Roman" w:hAnsi="Times New Roman" w:cs="Times New Roman"/>
          <w:sz w:val="24"/>
          <w:szCs w:val="24"/>
          <w:lang w:eastAsia="lv-LV"/>
        </w:rPr>
        <w:t>veloceļiem</w:t>
      </w:r>
      <w:proofErr w:type="spellEnd"/>
      <w:r w:rsidR="004E348C" w:rsidRPr="00A07F29">
        <w:rPr>
          <w:rFonts w:ascii="Times New Roman" w:eastAsia="Times New Roman" w:hAnsi="Times New Roman" w:cs="Times New Roman"/>
          <w:sz w:val="24"/>
          <w:szCs w:val="24"/>
          <w:lang w:eastAsia="lv-LV"/>
        </w:rPr>
        <w:t xml:space="preserve">, </w:t>
      </w:r>
      <w:r w:rsidRPr="00A07F29">
        <w:rPr>
          <w:rFonts w:ascii="Times New Roman" w:eastAsia="Times New Roman" w:hAnsi="Times New Roman" w:cs="Times New Roman"/>
          <w:sz w:val="24"/>
          <w:szCs w:val="24"/>
          <w:lang w:eastAsia="lv-LV"/>
        </w:rPr>
        <w:t>izņemot gadījumus, ja pārvietošanās notiek pa ar Dabas aizsardzības pārvaldes rakstisku atļauju teritorijas apmeklētājiem speciāli izveidotiem maršrutiem vai pārvietošanās ir saistīta ar šo zemju apsaimniekošanu, uzraudzību, monitoringu, zinātnisko izpēti vai robežapsardzības un valsts aizsardzības uzdevumu veikšanu;</w:t>
      </w:r>
    </w:p>
    <w:p w14:paraId="3BE8DBD5" w14:textId="719E51E5" w:rsidR="00773669" w:rsidRPr="00A07F29" w:rsidRDefault="00773669" w:rsidP="00A5008D">
      <w:pPr>
        <w:spacing w:after="120" w:line="240" w:lineRule="auto"/>
        <w:jc w:val="both"/>
      </w:pPr>
      <w:r w:rsidRPr="00A07F29">
        <w:rPr>
          <w:rFonts w:ascii="Times New Roman" w:eastAsia="Times New Roman" w:hAnsi="Times New Roman" w:cs="Times New Roman"/>
          <w:sz w:val="24"/>
          <w:szCs w:val="24"/>
        </w:rPr>
        <w:t>1</w:t>
      </w:r>
      <w:r w:rsidR="00062217" w:rsidRPr="00A07F29">
        <w:rPr>
          <w:rFonts w:ascii="Times New Roman" w:eastAsia="Times New Roman" w:hAnsi="Times New Roman" w:cs="Times New Roman"/>
          <w:sz w:val="24"/>
          <w:szCs w:val="24"/>
        </w:rPr>
        <w:t>2</w:t>
      </w:r>
      <w:r w:rsidRPr="00A07F29">
        <w:rPr>
          <w:rFonts w:ascii="Times New Roman" w:eastAsia="Times New Roman" w:hAnsi="Times New Roman" w:cs="Times New Roman"/>
          <w:sz w:val="24"/>
          <w:szCs w:val="24"/>
        </w:rPr>
        <w:t>.</w:t>
      </w:r>
      <w:r w:rsidR="00062217" w:rsidRPr="00A07F29">
        <w:rPr>
          <w:rFonts w:ascii="Times New Roman" w:eastAsia="Times New Roman" w:hAnsi="Times New Roman" w:cs="Times New Roman"/>
          <w:sz w:val="24"/>
          <w:szCs w:val="24"/>
        </w:rPr>
        <w:t>14</w:t>
      </w:r>
      <w:r w:rsidRPr="00A07F29">
        <w:rPr>
          <w:rFonts w:ascii="Times New Roman" w:eastAsia="Times New Roman" w:hAnsi="Times New Roman" w:cs="Times New Roman"/>
          <w:sz w:val="24"/>
          <w:szCs w:val="24"/>
        </w:rPr>
        <w:t>.</w:t>
      </w:r>
      <w:r w:rsidR="00A5008D">
        <w:rPr>
          <w:rFonts w:ascii="Times New Roman" w:eastAsia="Times New Roman" w:hAnsi="Times New Roman" w:cs="Times New Roman"/>
          <w:sz w:val="24"/>
          <w:szCs w:val="24"/>
        </w:rPr>
        <w:t> </w:t>
      </w:r>
      <w:r w:rsidRPr="00A07F29">
        <w:rPr>
          <w:rFonts w:ascii="Times New Roman" w:eastAsia="Times New Roman" w:hAnsi="Times New Roman" w:cs="Times New Roman"/>
          <w:sz w:val="24"/>
          <w:szCs w:val="24"/>
        </w:rPr>
        <w:t>iegūt derīgos izrakteņus, izņemot pazemes ūdens ieguvi, kā arī izņemot derīgo izrakteņu ieguvi neitrālajā zonā un derīgo izrakteņu atradņu reģistrā iekļautajās teritorijās, kurās derīgo izrakteņu izmantošanas atļauja saņemta vai derīgo izrakteņu ieguves limits noteikts pirms šo noteikumu spēkā stāšanās. Derīgo izrakteņu ieguves vietu rekultivācijas projektos iekļauj pasākumus īpaši aizsargājamo sugu dzīvotņu un/vai īpaši aizsargājamo biotopu atjaunošanai.</w:t>
      </w:r>
    </w:p>
    <w:p w14:paraId="3E645B05" w14:textId="301CC23E" w:rsidR="00236713" w:rsidRPr="00A07F29" w:rsidRDefault="00236713" w:rsidP="00236713">
      <w:pPr>
        <w:spacing w:after="120" w:line="240" w:lineRule="auto"/>
        <w:rPr>
          <w:rFonts w:ascii="Times New Roman" w:eastAsia="Calibri" w:hAnsi="Times New Roman" w:cs="Times New Roman"/>
          <w:sz w:val="24"/>
          <w:szCs w:val="24"/>
        </w:rPr>
      </w:pPr>
      <w:r w:rsidRPr="00A07F29">
        <w:rPr>
          <w:rFonts w:ascii="Times New Roman" w:eastAsia="Calibri" w:hAnsi="Times New Roman" w:cs="Times New Roman"/>
          <w:sz w:val="24"/>
          <w:szCs w:val="24"/>
        </w:rPr>
        <w:t>1</w:t>
      </w:r>
      <w:r w:rsidR="00062217" w:rsidRPr="00A07F29">
        <w:rPr>
          <w:rFonts w:ascii="Times New Roman" w:eastAsia="Calibri" w:hAnsi="Times New Roman" w:cs="Times New Roman"/>
          <w:sz w:val="24"/>
          <w:szCs w:val="24"/>
        </w:rPr>
        <w:t>2</w:t>
      </w:r>
      <w:r w:rsidRPr="00A07F29">
        <w:rPr>
          <w:rFonts w:ascii="Times New Roman" w:eastAsia="Calibri" w:hAnsi="Times New Roman" w:cs="Times New Roman"/>
          <w:sz w:val="24"/>
          <w:szCs w:val="24"/>
        </w:rPr>
        <w:t>.1</w:t>
      </w:r>
      <w:r w:rsidR="00062217" w:rsidRPr="00A07F29">
        <w:rPr>
          <w:rFonts w:ascii="Times New Roman" w:eastAsia="Calibri" w:hAnsi="Times New Roman" w:cs="Times New Roman"/>
          <w:sz w:val="24"/>
          <w:szCs w:val="24"/>
        </w:rPr>
        <w:t>5</w:t>
      </w:r>
      <w:r w:rsidRPr="00A07F29">
        <w:rPr>
          <w:rFonts w:ascii="Times New Roman" w:eastAsia="Calibri" w:hAnsi="Times New Roman" w:cs="Times New Roman"/>
          <w:sz w:val="24"/>
          <w:szCs w:val="24"/>
        </w:rPr>
        <w:t>.</w:t>
      </w:r>
      <w:r w:rsidR="00B851ED">
        <w:rPr>
          <w:rFonts w:ascii="Times New Roman" w:eastAsia="Calibri" w:hAnsi="Times New Roman" w:cs="Times New Roman"/>
          <w:sz w:val="24"/>
          <w:szCs w:val="24"/>
        </w:rPr>
        <w:t> </w:t>
      </w:r>
      <w:r w:rsidRPr="00A07F29">
        <w:rPr>
          <w:rFonts w:ascii="Times New Roman" w:eastAsia="Times New Roman" w:hAnsi="Times New Roman" w:cs="Times New Roman"/>
          <w:sz w:val="24"/>
          <w:szCs w:val="24"/>
          <w:lang w:eastAsia="lv-LV"/>
        </w:rPr>
        <w:t>lietot ūdensputnu medībās šāviņus, kas satur svinu;</w:t>
      </w:r>
    </w:p>
    <w:p w14:paraId="30877A08" w14:textId="358A840E" w:rsidR="00236713" w:rsidRPr="00A07F29" w:rsidRDefault="00236713" w:rsidP="00236713">
      <w:pPr>
        <w:spacing w:before="75" w:after="75" w:line="240" w:lineRule="auto"/>
        <w:jc w:val="both"/>
        <w:rPr>
          <w:rFonts w:ascii="Times New Roman" w:eastAsia="Times New Roman" w:hAnsi="Times New Roman" w:cs="Times New Roman"/>
          <w:b/>
          <w:bCs/>
          <w:strike/>
          <w:sz w:val="24"/>
          <w:szCs w:val="24"/>
          <w:lang w:eastAsia="lv-LV"/>
        </w:rPr>
      </w:pPr>
      <w:r w:rsidRPr="00A07F29">
        <w:rPr>
          <w:rFonts w:ascii="Times New Roman" w:eastAsia="Times New Roman" w:hAnsi="Times New Roman" w:cs="Times New Roman"/>
          <w:sz w:val="24"/>
          <w:szCs w:val="24"/>
        </w:rPr>
        <w:t>1</w:t>
      </w:r>
      <w:r w:rsidR="00062217" w:rsidRPr="00A07F29">
        <w:rPr>
          <w:rFonts w:ascii="Times New Roman" w:eastAsia="Times New Roman" w:hAnsi="Times New Roman" w:cs="Times New Roman"/>
          <w:sz w:val="24"/>
          <w:szCs w:val="24"/>
        </w:rPr>
        <w:t>2.16</w:t>
      </w:r>
      <w:r w:rsidRPr="00A07F29">
        <w:rPr>
          <w:rFonts w:ascii="Times New Roman" w:eastAsia="Times New Roman" w:hAnsi="Times New Roman" w:cs="Times New Roman"/>
          <w:sz w:val="24"/>
          <w:szCs w:val="24"/>
        </w:rPr>
        <w:t>.</w:t>
      </w:r>
      <w:r w:rsidRPr="00A07F29">
        <w:rPr>
          <w:rFonts w:ascii="Times New Roman" w:eastAsia="Times New Roman" w:hAnsi="Times New Roman" w:cs="Times New Roman"/>
          <w:sz w:val="24"/>
          <w:szCs w:val="24"/>
          <w:vertAlign w:val="superscript"/>
        </w:rPr>
        <w:t xml:space="preserve"> </w:t>
      </w:r>
      <w:r w:rsidR="009C008B">
        <w:rPr>
          <w:rFonts w:ascii="Times New Roman" w:eastAsia="Times New Roman" w:hAnsi="Times New Roman" w:cs="Times New Roman"/>
          <w:sz w:val="24"/>
          <w:szCs w:val="24"/>
          <w:vertAlign w:val="superscript"/>
        </w:rPr>
        <w:t> </w:t>
      </w:r>
      <w:r w:rsidRPr="00A07F29">
        <w:rPr>
          <w:rFonts w:ascii="Times New Roman" w:eastAsia="Times New Roman" w:hAnsi="Times New Roman" w:cs="Times New Roman"/>
          <w:sz w:val="24"/>
          <w:szCs w:val="24"/>
        </w:rPr>
        <w:t xml:space="preserve">izvietot </w:t>
      </w:r>
      <w:r w:rsidR="00DB1672" w:rsidRPr="00A07F29">
        <w:rPr>
          <w:rFonts w:ascii="Times New Roman" w:eastAsia="Times New Roman" w:hAnsi="Times New Roman" w:cs="Times New Roman"/>
          <w:sz w:val="24"/>
          <w:szCs w:val="24"/>
        </w:rPr>
        <w:t xml:space="preserve">patstāvīgu </w:t>
      </w:r>
      <w:r w:rsidRPr="00A07F29">
        <w:rPr>
          <w:rFonts w:ascii="Times New Roman" w:eastAsia="Times New Roman" w:hAnsi="Times New Roman" w:cs="Times New Roman"/>
          <w:sz w:val="24"/>
          <w:szCs w:val="24"/>
        </w:rPr>
        <w:t>mākslīgo apgaismojumu (lampas vai prožektorus) pie ēkām ar sikspārņu kolonijām; izvietojot apgaismojumu pie ūdeņiem un parkos, ievēro nosacījumus, lai mazinātu ietekmi uz sikspārņu sugām</w:t>
      </w:r>
      <w:r w:rsidR="009C008B">
        <w:rPr>
          <w:rFonts w:ascii="Times New Roman" w:eastAsia="Times New Roman" w:hAnsi="Times New Roman" w:cs="Times New Roman"/>
          <w:sz w:val="24"/>
          <w:szCs w:val="24"/>
        </w:rPr>
        <w:t>;</w:t>
      </w:r>
    </w:p>
    <w:p w14:paraId="377806AF" w14:textId="7B794DA9" w:rsidR="00236713" w:rsidRPr="00A07F29" w:rsidRDefault="00236713" w:rsidP="00236713">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1</w:t>
      </w:r>
      <w:r w:rsidR="00062217" w:rsidRPr="00A07F29">
        <w:rPr>
          <w:rFonts w:ascii="Times New Roman" w:eastAsia="Times New Roman" w:hAnsi="Times New Roman" w:cs="Times New Roman"/>
          <w:sz w:val="24"/>
          <w:szCs w:val="24"/>
          <w:lang w:eastAsia="lv-LV"/>
        </w:rPr>
        <w:t>2</w:t>
      </w:r>
      <w:r w:rsidRPr="00A07F29">
        <w:rPr>
          <w:rFonts w:ascii="Times New Roman" w:eastAsia="Times New Roman" w:hAnsi="Times New Roman" w:cs="Times New Roman"/>
          <w:sz w:val="24"/>
          <w:szCs w:val="24"/>
          <w:lang w:eastAsia="lv-LV"/>
        </w:rPr>
        <w:t>.</w:t>
      </w:r>
      <w:r w:rsidR="00062217" w:rsidRPr="00A07F29">
        <w:rPr>
          <w:rFonts w:ascii="Times New Roman" w:eastAsia="Times New Roman" w:hAnsi="Times New Roman" w:cs="Times New Roman"/>
          <w:sz w:val="24"/>
          <w:szCs w:val="24"/>
          <w:lang w:eastAsia="lv-LV"/>
        </w:rPr>
        <w:t>17</w:t>
      </w:r>
      <w:r w:rsidRPr="00A07F29">
        <w:rPr>
          <w:rFonts w:ascii="Times New Roman" w:eastAsia="Times New Roman" w:hAnsi="Times New Roman" w:cs="Times New Roman"/>
          <w:sz w:val="24"/>
          <w:szCs w:val="24"/>
          <w:lang w:eastAsia="lv-LV"/>
        </w:rPr>
        <w:t>.</w:t>
      </w:r>
      <w:r w:rsidR="00067454">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būvēt un atjaunot hidroelektrostaciju aizsprostus un veidot jebkādus mehāniskus šķēršļus uz upēm (upju posmiem), izņemot hidroelektrostacijas, kurās līdz šo noteikumu spēkā stāšanās brīdim sākta ekspluatācija;</w:t>
      </w:r>
    </w:p>
    <w:p w14:paraId="79A3884B" w14:textId="3FD6AC71" w:rsidR="00773669" w:rsidRPr="00A07F29" w:rsidRDefault="00773669" w:rsidP="00773669">
      <w:pPr>
        <w:spacing w:after="120" w:line="240" w:lineRule="auto"/>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1</w:t>
      </w:r>
      <w:r w:rsidR="00062217" w:rsidRPr="00A07F29">
        <w:rPr>
          <w:rFonts w:ascii="Times New Roman" w:eastAsia="Times New Roman" w:hAnsi="Times New Roman" w:cs="Times New Roman"/>
          <w:sz w:val="24"/>
          <w:szCs w:val="24"/>
          <w:lang w:eastAsia="lv-LV"/>
        </w:rPr>
        <w:t>2</w:t>
      </w:r>
      <w:r w:rsidRPr="00A07F29">
        <w:rPr>
          <w:rFonts w:ascii="Times New Roman" w:eastAsia="Times New Roman" w:hAnsi="Times New Roman" w:cs="Times New Roman"/>
          <w:sz w:val="24"/>
          <w:szCs w:val="24"/>
          <w:lang w:eastAsia="lv-LV"/>
        </w:rPr>
        <w:t>.</w:t>
      </w:r>
      <w:r w:rsidR="00062217" w:rsidRPr="00A07F29">
        <w:rPr>
          <w:rFonts w:ascii="Times New Roman" w:eastAsia="Times New Roman" w:hAnsi="Times New Roman" w:cs="Times New Roman"/>
          <w:sz w:val="24"/>
          <w:szCs w:val="24"/>
          <w:lang w:eastAsia="lv-LV"/>
        </w:rPr>
        <w:t>18</w:t>
      </w:r>
      <w:r w:rsidRPr="00A07F29">
        <w:rPr>
          <w:rFonts w:ascii="Times New Roman" w:eastAsia="Times New Roman" w:hAnsi="Times New Roman" w:cs="Times New Roman"/>
          <w:sz w:val="24"/>
          <w:szCs w:val="24"/>
          <w:lang w:eastAsia="lv-LV"/>
        </w:rPr>
        <w:t>.</w:t>
      </w:r>
      <w:r w:rsidR="00890A45">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 xml:space="preserve">iztaisnot dabiskās vai </w:t>
      </w:r>
      <w:proofErr w:type="spellStart"/>
      <w:r w:rsidRPr="00A07F29">
        <w:rPr>
          <w:rFonts w:ascii="Times New Roman" w:eastAsia="Times New Roman" w:hAnsi="Times New Roman" w:cs="Times New Roman"/>
          <w:sz w:val="24"/>
          <w:szCs w:val="24"/>
          <w:lang w:eastAsia="lv-LV"/>
        </w:rPr>
        <w:t>dabiskojušās</w:t>
      </w:r>
      <w:proofErr w:type="spellEnd"/>
      <w:r w:rsidRPr="00A07F29">
        <w:rPr>
          <w:rFonts w:ascii="Times New Roman" w:eastAsia="Times New Roman" w:hAnsi="Times New Roman" w:cs="Times New Roman"/>
          <w:sz w:val="24"/>
          <w:szCs w:val="24"/>
          <w:lang w:eastAsia="lv-LV"/>
        </w:rPr>
        <w:t xml:space="preserve"> upes un strautus;</w:t>
      </w:r>
    </w:p>
    <w:p w14:paraId="11B0AFF1" w14:textId="35A3A4AA" w:rsidR="00773669" w:rsidRPr="00A07F29" w:rsidRDefault="00062217" w:rsidP="004F2643">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12</w:t>
      </w:r>
      <w:r w:rsidR="00773669" w:rsidRPr="00A07F29">
        <w:rPr>
          <w:rFonts w:ascii="Times New Roman" w:eastAsia="Times New Roman" w:hAnsi="Times New Roman" w:cs="Times New Roman"/>
          <w:sz w:val="24"/>
          <w:szCs w:val="24"/>
          <w:lang w:eastAsia="lv-LV"/>
        </w:rPr>
        <w:t>.</w:t>
      </w:r>
      <w:r w:rsidRPr="00A07F29">
        <w:rPr>
          <w:rFonts w:ascii="Times New Roman" w:eastAsia="Times New Roman" w:hAnsi="Times New Roman" w:cs="Times New Roman"/>
          <w:sz w:val="24"/>
          <w:szCs w:val="24"/>
          <w:lang w:eastAsia="lv-LV"/>
        </w:rPr>
        <w:t>19</w:t>
      </w:r>
      <w:r w:rsidR="00773669" w:rsidRPr="00A07F29">
        <w:rPr>
          <w:rFonts w:ascii="Times New Roman" w:eastAsia="Times New Roman" w:hAnsi="Times New Roman" w:cs="Times New Roman"/>
          <w:sz w:val="24"/>
          <w:szCs w:val="24"/>
          <w:lang w:eastAsia="lv-LV"/>
        </w:rPr>
        <w:t>.</w:t>
      </w:r>
      <w:r w:rsidR="00890A45">
        <w:rPr>
          <w:rFonts w:ascii="Times New Roman" w:eastAsia="Times New Roman" w:hAnsi="Times New Roman" w:cs="Times New Roman"/>
          <w:sz w:val="24"/>
          <w:szCs w:val="24"/>
          <w:lang w:eastAsia="lv-LV"/>
        </w:rPr>
        <w:t> </w:t>
      </w:r>
      <w:r w:rsidR="00773669" w:rsidRPr="00A07F29">
        <w:rPr>
          <w:rFonts w:ascii="Times New Roman" w:eastAsia="Times New Roman" w:hAnsi="Times New Roman" w:cs="Times New Roman"/>
          <w:sz w:val="24"/>
          <w:szCs w:val="24"/>
          <w:lang w:eastAsia="lv-LV"/>
        </w:rPr>
        <w:t xml:space="preserve">veikt darbības, kuru rezultātā tiek mainīta ezeru, upju, </w:t>
      </w:r>
      <w:proofErr w:type="spellStart"/>
      <w:r w:rsidR="00773669" w:rsidRPr="00A07F29">
        <w:rPr>
          <w:rFonts w:ascii="Times New Roman" w:eastAsia="Times New Roman" w:hAnsi="Times New Roman" w:cs="Times New Roman"/>
          <w:sz w:val="24"/>
          <w:szCs w:val="24"/>
          <w:lang w:eastAsia="lv-LV"/>
        </w:rPr>
        <w:t>vecupju</w:t>
      </w:r>
      <w:proofErr w:type="spellEnd"/>
      <w:r w:rsidR="00773669" w:rsidRPr="00A07F29">
        <w:rPr>
          <w:rFonts w:ascii="Times New Roman" w:eastAsia="Times New Roman" w:hAnsi="Times New Roman" w:cs="Times New Roman"/>
          <w:sz w:val="24"/>
          <w:szCs w:val="24"/>
          <w:lang w:eastAsia="lv-LV"/>
        </w:rPr>
        <w:t xml:space="preserve"> un strautu krasta līnija un gultne, izņemot dabas aizsardzības plānā paredzēto pasākumu veikšanu ezeru apsaimniekošanā un upju dabiskā tecējuma vai ūdenstecēm un ūdenstilpēm piegulošo teritoriju dabiskā hidroloģiskā režīma atjaunošanu</w:t>
      </w:r>
      <w:r w:rsidR="00C7487E">
        <w:rPr>
          <w:rFonts w:ascii="Times New Roman" w:eastAsia="Times New Roman" w:hAnsi="Times New Roman" w:cs="Times New Roman"/>
          <w:sz w:val="24"/>
          <w:szCs w:val="24"/>
          <w:lang w:eastAsia="lv-LV"/>
        </w:rPr>
        <w:t>;</w:t>
      </w:r>
    </w:p>
    <w:p w14:paraId="58E961D5" w14:textId="710BB499" w:rsidR="00033409" w:rsidRPr="00A07F29" w:rsidRDefault="00033409" w:rsidP="00033409">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12.20.</w:t>
      </w:r>
      <w:r w:rsidR="00C7487E">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pārvietoties pa virszemes ūdensobjektiem ar ūdens motocikliem;</w:t>
      </w:r>
    </w:p>
    <w:p w14:paraId="412937DE" w14:textId="6818C75B" w:rsidR="00B07340" w:rsidRPr="00A07F29" w:rsidRDefault="00AF1F83"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lastRenderedPageBreak/>
        <w:t>12</w:t>
      </w:r>
      <w:r w:rsidR="00AC011F" w:rsidRPr="00A07F29">
        <w:rPr>
          <w:rFonts w:ascii="Times New Roman" w:eastAsia="Times New Roman" w:hAnsi="Times New Roman" w:cs="Times New Roman"/>
          <w:sz w:val="24"/>
          <w:szCs w:val="24"/>
          <w:lang w:eastAsia="lv-LV"/>
        </w:rPr>
        <w:t>.</w:t>
      </w:r>
      <w:r w:rsidRPr="00A07F29">
        <w:rPr>
          <w:rFonts w:ascii="Times New Roman" w:eastAsia="Times New Roman" w:hAnsi="Times New Roman" w:cs="Times New Roman"/>
          <w:sz w:val="24"/>
          <w:szCs w:val="24"/>
          <w:lang w:eastAsia="lv-LV"/>
        </w:rPr>
        <w:t>2</w:t>
      </w:r>
      <w:r w:rsidR="00033409" w:rsidRPr="00A07F29">
        <w:rPr>
          <w:rFonts w:ascii="Times New Roman" w:eastAsia="Times New Roman" w:hAnsi="Times New Roman" w:cs="Times New Roman"/>
          <w:sz w:val="24"/>
          <w:szCs w:val="24"/>
          <w:lang w:eastAsia="lv-LV"/>
        </w:rPr>
        <w:t>1</w:t>
      </w:r>
      <w:r w:rsidR="00AC011F" w:rsidRPr="00A07F29">
        <w:rPr>
          <w:rFonts w:ascii="Times New Roman" w:eastAsia="Times New Roman" w:hAnsi="Times New Roman" w:cs="Times New Roman"/>
          <w:sz w:val="24"/>
          <w:szCs w:val="24"/>
          <w:lang w:eastAsia="lv-LV"/>
        </w:rPr>
        <w:t>.</w:t>
      </w:r>
      <w:r w:rsidR="002C75F9">
        <w:rPr>
          <w:rFonts w:ascii="Times New Roman" w:eastAsia="Times New Roman" w:hAnsi="Times New Roman" w:cs="Times New Roman"/>
          <w:sz w:val="24"/>
          <w:szCs w:val="24"/>
          <w:lang w:eastAsia="lv-LV"/>
        </w:rPr>
        <w:t> </w:t>
      </w:r>
      <w:r w:rsidR="00AC011F" w:rsidRPr="00A07F29">
        <w:rPr>
          <w:rFonts w:ascii="Times New Roman" w:eastAsia="Times New Roman" w:hAnsi="Times New Roman" w:cs="Times New Roman"/>
          <w:sz w:val="24"/>
          <w:szCs w:val="24"/>
          <w:lang w:eastAsia="lv-LV"/>
        </w:rPr>
        <w:t xml:space="preserve">pārvietoties pa Daugavu, tai skaitā rūpnieciskās zvejas un amatierzvejas vajadzībām, </w:t>
      </w:r>
      <w:r w:rsidR="00B07340" w:rsidRPr="00A07F29">
        <w:rPr>
          <w:rFonts w:ascii="Times New Roman" w:eastAsia="Times New Roman" w:hAnsi="Times New Roman" w:cs="Times New Roman"/>
          <w:sz w:val="24"/>
          <w:szCs w:val="24"/>
          <w:lang w:eastAsia="lv-LV"/>
        </w:rPr>
        <w:t>ar kuģošanas un citiem peldošiem līdzekļiem, kuru mehāniskā dzinēja vai motora jauda pārsniedz 3,7 kilovati, izņemot:</w:t>
      </w:r>
    </w:p>
    <w:p w14:paraId="6551148A" w14:textId="2EBF82DD" w:rsidR="00B07340" w:rsidRPr="00A07F29" w:rsidRDefault="00AF1F83"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12</w:t>
      </w:r>
      <w:r w:rsidR="0E6B778D" w:rsidRPr="00A07F29">
        <w:rPr>
          <w:rFonts w:ascii="Times New Roman" w:eastAsia="Times New Roman" w:hAnsi="Times New Roman" w:cs="Times New Roman"/>
          <w:sz w:val="24"/>
          <w:szCs w:val="24"/>
          <w:lang w:eastAsia="lv-LV"/>
        </w:rPr>
        <w:t>.</w:t>
      </w:r>
      <w:r w:rsidRPr="00A07F29">
        <w:rPr>
          <w:rFonts w:ascii="Times New Roman" w:eastAsia="Times New Roman" w:hAnsi="Times New Roman" w:cs="Times New Roman"/>
          <w:sz w:val="24"/>
          <w:szCs w:val="24"/>
          <w:lang w:eastAsia="lv-LV"/>
        </w:rPr>
        <w:t>2</w:t>
      </w:r>
      <w:r w:rsidR="00033409" w:rsidRPr="00A07F29">
        <w:rPr>
          <w:rFonts w:ascii="Times New Roman" w:eastAsia="Times New Roman" w:hAnsi="Times New Roman" w:cs="Times New Roman"/>
          <w:sz w:val="24"/>
          <w:szCs w:val="24"/>
          <w:lang w:eastAsia="lv-LV"/>
        </w:rPr>
        <w:t>1</w:t>
      </w:r>
      <w:r w:rsidR="0E6B778D" w:rsidRPr="00A07F29">
        <w:rPr>
          <w:rFonts w:ascii="Times New Roman" w:eastAsia="Times New Roman" w:hAnsi="Times New Roman" w:cs="Times New Roman"/>
          <w:sz w:val="24"/>
          <w:szCs w:val="24"/>
          <w:lang w:eastAsia="lv-LV"/>
        </w:rPr>
        <w:t>.1.</w:t>
      </w:r>
      <w:r w:rsidR="0026355A">
        <w:rPr>
          <w:rFonts w:ascii="Times New Roman" w:eastAsia="Times New Roman" w:hAnsi="Times New Roman" w:cs="Times New Roman"/>
          <w:sz w:val="24"/>
          <w:szCs w:val="24"/>
          <w:lang w:eastAsia="lv-LV"/>
        </w:rPr>
        <w:t> </w:t>
      </w:r>
      <w:r w:rsidR="0E6B778D" w:rsidRPr="00A07F29">
        <w:rPr>
          <w:rFonts w:ascii="Times New Roman" w:eastAsia="Times New Roman" w:hAnsi="Times New Roman" w:cs="Times New Roman"/>
          <w:sz w:val="24"/>
          <w:szCs w:val="24"/>
          <w:lang w:eastAsia="lv-LV"/>
        </w:rPr>
        <w:t>pārvietošanos, kas saistīta ar šo teritoriju apsaimniekošanu, uzraudzību vai robežapsardzības un valsts aizsardzības uzdevumu veikšanu, vai glābšanas un meklēšanas darbiem;</w:t>
      </w:r>
    </w:p>
    <w:p w14:paraId="728DEA9D" w14:textId="5EA4FB90" w:rsidR="00B07340" w:rsidRPr="00A07F29" w:rsidRDefault="00B07340"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1</w:t>
      </w:r>
      <w:r w:rsidR="00AF1F83" w:rsidRPr="00A07F29">
        <w:rPr>
          <w:rFonts w:ascii="Times New Roman" w:eastAsia="Times New Roman" w:hAnsi="Times New Roman" w:cs="Times New Roman"/>
          <w:sz w:val="24"/>
          <w:szCs w:val="24"/>
          <w:lang w:eastAsia="lv-LV"/>
        </w:rPr>
        <w:t>2.2</w:t>
      </w:r>
      <w:r w:rsidR="00033409" w:rsidRPr="00A07F29">
        <w:rPr>
          <w:rFonts w:ascii="Times New Roman" w:eastAsia="Times New Roman" w:hAnsi="Times New Roman" w:cs="Times New Roman"/>
          <w:sz w:val="24"/>
          <w:szCs w:val="24"/>
          <w:lang w:eastAsia="lv-LV"/>
        </w:rPr>
        <w:t>1</w:t>
      </w:r>
      <w:r w:rsidRPr="00A07F29">
        <w:rPr>
          <w:rFonts w:ascii="Times New Roman" w:eastAsia="Times New Roman" w:hAnsi="Times New Roman" w:cs="Times New Roman"/>
          <w:sz w:val="24"/>
          <w:szCs w:val="24"/>
          <w:lang w:eastAsia="lv-LV"/>
        </w:rPr>
        <w:t>.2.</w:t>
      </w:r>
      <w:r w:rsidR="00EF23DF">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ar Dabas aizsardzības pārvaldes rakstisku atļauju:</w:t>
      </w:r>
    </w:p>
    <w:p w14:paraId="496E8C3C" w14:textId="76673FD3" w:rsidR="00B07340" w:rsidRPr="00A07F29" w:rsidRDefault="00B07340"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1</w:t>
      </w:r>
      <w:r w:rsidR="00AF1F83" w:rsidRPr="00A07F29">
        <w:rPr>
          <w:rFonts w:ascii="Times New Roman" w:eastAsia="Times New Roman" w:hAnsi="Times New Roman" w:cs="Times New Roman"/>
          <w:sz w:val="24"/>
          <w:szCs w:val="24"/>
          <w:lang w:eastAsia="lv-LV"/>
        </w:rPr>
        <w:t>2</w:t>
      </w:r>
      <w:r w:rsidRPr="00A07F29">
        <w:rPr>
          <w:rFonts w:ascii="Times New Roman" w:eastAsia="Times New Roman" w:hAnsi="Times New Roman" w:cs="Times New Roman"/>
          <w:sz w:val="24"/>
          <w:szCs w:val="24"/>
          <w:lang w:eastAsia="lv-LV"/>
        </w:rPr>
        <w:t>.</w:t>
      </w:r>
      <w:r w:rsidR="00AF1F83" w:rsidRPr="00A07F29">
        <w:rPr>
          <w:rFonts w:ascii="Times New Roman" w:eastAsia="Times New Roman" w:hAnsi="Times New Roman" w:cs="Times New Roman"/>
          <w:sz w:val="24"/>
          <w:szCs w:val="24"/>
          <w:lang w:eastAsia="lv-LV"/>
        </w:rPr>
        <w:t>2</w:t>
      </w:r>
      <w:r w:rsidR="00033409" w:rsidRPr="00A07F29">
        <w:rPr>
          <w:rFonts w:ascii="Times New Roman" w:eastAsia="Times New Roman" w:hAnsi="Times New Roman" w:cs="Times New Roman"/>
          <w:sz w:val="24"/>
          <w:szCs w:val="24"/>
          <w:lang w:eastAsia="lv-LV"/>
        </w:rPr>
        <w:t>1</w:t>
      </w:r>
      <w:r w:rsidRPr="00A07F29">
        <w:rPr>
          <w:rFonts w:ascii="Times New Roman" w:eastAsia="Times New Roman" w:hAnsi="Times New Roman" w:cs="Times New Roman"/>
          <w:sz w:val="24"/>
          <w:szCs w:val="24"/>
          <w:lang w:eastAsia="lv-LV"/>
        </w:rPr>
        <w:t>.2.1.</w:t>
      </w:r>
      <w:r w:rsidR="00EF23DF">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pārvietošanos zinātniskās izpētes nolūkos un zvejai īpašos nolūkos;</w:t>
      </w:r>
    </w:p>
    <w:p w14:paraId="3106B5BC" w14:textId="4C8FB31D" w:rsidR="00B07340" w:rsidRPr="00A07F29" w:rsidRDefault="00B07340"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1</w:t>
      </w:r>
      <w:r w:rsidR="00AF1F83" w:rsidRPr="00A07F29">
        <w:rPr>
          <w:rFonts w:ascii="Times New Roman" w:eastAsia="Times New Roman" w:hAnsi="Times New Roman" w:cs="Times New Roman"/>
          <w:sz w:val="24"/>
          <w:szCs w:val="24"/>
          <w:lang w:eastAsia="lv-LV"/>
        </w:rPr>
        <w:t>2</w:t>
      </w:r>
      <w:r w:rsidRPr="00A07F29">
        <w:rPr>
          <w:rFonts w:ascii="Times New Roman" w:eastAsia="Times New Roman" w:hAnsi="Times New Roman" w:cs="Times New Roman"/>
          <w:sz w:val="24"/>
          <w:szCs w:val="24"/>
          <w:lang w:eastAsia="lv-LV"/>
        </w:rPr>
        <w:t>.</w:t>
      </w:r>
      <w:r w:rsidR="00AF1F83" w:rsidRPr="00A07F29">
        <w:rPr>
          <w:rFonts w:ascii="Times New Roman" w:eastAsia="Times New Roman" w:hAnsi="Times New Roman" w:cs="Times New Roman"/>
          <w:sz w:val="24"/>
          <w:szCs w:val="24"/>
          <w:lang w:eastAsia="lv-LV"/>
        </w:rPr>
        <w:t>2</w:t>
      </w:r>
      <w:r w:rsidR="00033409" w:rsidRPr="00A07F29">
        <w:rPr>
          <w:rFonts w:ascii="Times New Roman" w:eastAsia="Times New Roman" w:hAnsi="Times New Roman" w:cs="Times New Roman"/>
          <w:sz w:val="24"/>
          <w:szCs w:val="24"/>
          <w:lang w:eastAsia="lv-LV"/>
        </w:rPr>
        <w:t>1</w:t>
      </w:r>
      <w:r w:rsidRPr="00A07F29">
        <w:rPr>
          <w:rFonts w:ascii="Times New Roman" w:eastAsia="Times New Roman" w:hAnsi="Times New Roman" w:cs="Times New Roman"/>
          <w:sz w:val="24"/>
          <w:szCs w:val="24"/>
          <w:lang w:eastAsia="lv-LV"/>
        </w:rPr>
        <w:t>.2.2.</w:t>
      </w:r>
      <w:r w:rsidR="00EF23DF">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tūrisma pakalpojumu sniedzēja organizētu pārvietošanos pa Dabas aizsardzības pārvaldes rakstiski saskaņotu maršrutu. Pārvietošanās nav atļauta ar ūdens motocikliem. Dabas aizsardzības pārvaldes rakstiskā atļauja ir derīga trīs kalendāra gadus no tās izsniegšanas dienas;</w:t>
      </w:r>
    </w:p>
    <w:p w14:paraId="6976C243" w14:textId="692293AF" w:rsidR="00B07340" w:rsidRPr="00A07F29" w:rsidRDefault="00B07340"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1</w:t>
      </w:r>
      <w:r w:rsidR="00AF1F83" w:rsidRPr="00A07F29">
        <w:rPr>
          <w:rFonts w:ascii="Times New Roman" w:eastAsia="Times New Roman" w:hAnsi="Times New Roman" w:cs="Times New Roman"/>
          <w:sz w:val="24"/>
          <w:szCs w:val="24"/>
          <w:lang w:eastAsia="lv-LV"/>
        </w:rPr>
        <w:t>2</w:t>
      </w:r>
      <w:r w:rsidRPr="00A07F29">
        <w:rPr>
          <w:rFonts w:ascii="Times New Roman" w:eastAsia="Times New Roman" w:hAnsi="Times New Roman" w:cs="Times New Roman"/>
          <w:sz w:val="24"/>
          <w:szCs w:val="24"/>
          <w:lang w:eastAsia="lv-LV"/>
        </w:rPr>
        <w:t>.</w:t>
      </w:r>
      <w:r w:rsidR="00AF1F83" w:rsidRPr="00A07F29">
        <w:rPr>
          <w:rFonts w:ascii="Times New Roman" w:eastAsia="Times New Roman" w:hAnsi="Times New Roman" w:cs="Times New Roman"/>
          <w:sz w:val="24"/>
          <w:szCs w:val="24"/>
          <w:lang w:eastAsia="lv-LV"/>
        </w:rPr>
        <w:t>2</w:t>
      </w:r>
      <w:r w:rsidR="00033409" w:rsidRPr="00A07F29">
        <w:rPr>
          <w:rFonts w:ascii="Times New Roman" w:eastAsia="Times New Roman" w:hAnsi="Times New Roman" w:cs="Times New Roman"/>
          <w:sz w:val="24"/>
          <w:szCs w:val="24"/>
          <w:lang w:eastAsia="lv-LV"/>
        </w:rPr>
        <w:t>1</w:t>
      </w:r>
      <w:r w:rsidRPr="00A07F29">
        <w:rPr>
          <w:rFonts w:ascii="Times New Roman" w:eastAsia="Times New Roman" w:hAnsi="Times New Roman" w:cs="Times New Roman"/>
          <w:sz w:val="24"/>
          <w:szCs w:val="24"/>
          <w:lang w:eastAsia="lv-LV"/>
        </w:rPr>
        <w:t>.2.3.</w:t>
      </w:r>
      <w:r w:rsidR="007125C3">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ekosistēmu, īpaši aizsargājamo sugu dzīvotņu un īpaši aizsargājamo biotopu aizsardzībai un saglabāšanai nepieciešamo pasākumu īstenošanai</w:t>
      </w:r>
      <w:r w:rsidR="00BA0C90">
        <w:rPr>
          <w:rFonts w:ascii="Times New Roman" w:eastAsia="Times New Roman" w:hAnsi="Times New Roman" w:cs="Times New Roman"/>
          <w:sz w:val="24"/>
          <w:szCs w:val="24"/>
          <w:lang w:eastAsia="lv-LV"/>
        </w:rPr>
        <w:t>;</w:t>
      </w:r>
    </w:p>
    <w:p w14:paraId="0C0783CC" w14:textId="1797171E" w:rsidR="00B07340" w:rsidRPr="00A07F29" w:rsidRDefault="00B07340"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1</w:t>
      </w:r>
      <w:r w:rsidR="00AF1F83" w:rsidRPr="00A07F29">
        <w:rPr>
          <w:rFonts w:ascii="Times New Roman" w:eastAsia="Times New Roman" w:hAnsi="Times New Roman" w:cs="Times New Roman"/>
          <w:sz w:val="24"/>
          <w:szCs w:val="24"/>
          <w:lang w:eastAsia="lv-LV"/>
        </w:rPr>
        <w:t>2</w:t>
      </w:r>
      <w:r w:rsidRPr="00A07F29">
        <w:rPr>
          <w:rFonts w:ascii="Times New Roman" w:eastAsia="Times New Roman" w:hAnsi="Times New Roman" w:cs="Times New Roman"/>
          <w:sz w:val="24"/>
          <w:szCs w:val="24"/>
          <w:lang w:eastAsia="lv-LV"/>
        </w:rPr>
        <w:t>.</w:t>
      </w:r>
      <w:r w:rsidR="00AF1F83" w:rsidRPr="00A07F29">
        <w:rPr>
          <w:rFonts w:ascii="Times New Roman" w:eastAsia="Times New Roman" w:hAnsi="Times New Roman" w:cs="Times New Roman"/>
          <w:sz w:val="24"/>
          <w:szCs w:val="24"/>
          <w:lang w:eastAsia="lv-LV"/>
        </w:rPr>
        <w:t>2</w:t>
      </w:r>
      <w:r w:rsidR="00033409" w:rsidRPr="00A07F29">
        <w:rPr>
          <w:rFonts w:ascii="Times New Roman" w:eastAsia="Times New Roman" w:hAnsi="Times New Roman" w:cs="Times New Roman"/>
          <w:sz w:val="24"/>
          <w:szCs w:val="24"/>
          <w:lang w:eastAsia="lv-LV"/>
        </w:rPr>
        <w:t>2</w:t>
      </w:r>
      <w:r w:rsidRPr="00A07F29">
        <w:rPr>
          <w:rFonts w:ascii="Times New Roman" w:eastAsia="Times New Roman" w:hAnsi="Times New Roman" w:cs="Times New Roman"/>
          <w:sz w:val="24"/>
          <w:szCs w:val="24"/>
          <w:lang w:eastAsia="lv-LV"/>
        </w:rPr>
        <w:t>.</w:t>
      </w:r>
      <w:r w:rsidR="007125C3">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 xml:space="preserve">pārvietoties </w:t>
      </w:r>
      <w:r w:rsidR="00AC011F" w:rsidRPr="00A07F29">
        <w:rPr>
          <w:rFonts w:ascii="Times New Roman" w:eastAsia="Times New Roman" w:hAnsi="Times New Roman" w:cs="Times New Roman"/>
          <w:sz w:val="24"/>
          <w:szCs w:val="24"/>
          <w:lang w:eastAsia="lv-LV"/>
        </w:rPr>
        <w:t xml:space="preserve">pa ezeriem, tai skaitā rūpnieciskās zvejas un amatierzvejas vajadzībām, </w:t>
      </w:r>
      <w:r w:rsidRPr="00A07F29">
        <w:rPr>
          <w:rFonts w:ascii="Times New Roman" w:eastAsia="Times New Roman" w:hAnsi="Times New Roman" w:cs="Times New Roman"/>
          <w:sz w:val="24"/>
          <w:szCs w:val="24"/>
          <w:lang w:eastAsia="lv-LV"/>
        </w:rPr>
        <w:t xml:space="preserve">ar jebkādiem kuģošanas līdzekļiem, izmantojot </w:t>
      </w:r>
      <w:proofErr w:type="spellStart"/>
      <w:r w:rsidRPr="00A07F29">
        <w:rPr>
          <w:rFonts w:ascii="Times New Roman" w:eastAsia="Times New Roman" w:hAnsi="Times New Roman" w:cs="Times New Roman"/>
          <w:sz w:val="24"/>
          <w:szCs w:val="24"/>
          <w:lang w:eastAsia="lv-LV"/>
        </w:rPr>
        <w:t>iekšdedzes</w:t>
      </w:r>
      <w:proofErr w:type="spellEnd"/>
      <w:r w:rsidRPr="00A07F29">
        <w:rPr>
          <w:rFonts w:ascii="Times New Roman" w:eastAsia="Times New Roman" w:hAnsi="Times New Roman" w:cs="Times New Roman"/>
          <w:sz w:val="24"/>
          <w:szCs w:val="24"/>
          <w:lang w:eastAsia="lv-LV"/>
        </w:rPr>
        <w:t xml:space="preserve"> dzinēju, izņemot:</w:t>
      </w:r>
    </w:p>
    <w:p w14:paraId="1757DB77" w14:textId="01D1EB45" w:rsidR="00B07340" w:rsidRPr="00A07F29" w:rsidRDefault="0E6B778D"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1</w:t>
      </w:r>
      <w:r w:rsidR="00AF1F83" w:rsidRPr="00A07F29">
        <w:rPr>
          <w:rFonts w:ascii="Times New Roman" w:eastAsia="Times New Roman" w:hAnsi="Times New Roman" w:cs="Times New Roman"/>
          <w:sz w:val="24"/>
          <w:szCs w:val="24"/>
          <w:lang w:eastAsia="lv-LV"/>
        </w:rPr>
        <w:t>2</w:t>
      </w:r>
      <w:r w:rsidRPr="00A07F29">
        <w:rPr>
          <w:rFonts w:ascii="Times New Roman" w:eastAsia="Times New Roman" w:hAnsi="Times New Roman" w:cs="Times New Roman"/>
          <w:sz w:val="24"/>
          <w:szCs w:val="24"/>
          <w:lang w:eastAsia="lv-LV"/>
        </w:rPr>
        <w:t>.</w:t>
      </w:r>
      <w:r w:rsidR="00AF1F83" w:rsidRPr="00A07F29">
        <w:rPr>
          <w:rFonts w:ascii="Times New Roman" w:eastAsia="Times New Roman" w:hAnsi="Times New Roman" w:cs="Times New Roman"/>
          <w:sz w:val="24"/>
          <w:szCs w:val="24"/>
          <w:lang w:eastAsia="lv-LV"/>
        </w:rPr>
        <w:t>2</w:t>
      </w:r>
      <w:r w:rsidR="00033409" w:rsidRPr="00A07F29">
        <w:rPr>
          <w:rFonts w:ascii="Times New Roman" w:eastAsia="Times New Roman" w:hAnsi="Times New Roman" w:cs="Times New Roman"/>
          <w:sz w:val="24"/>
          <w:szCs w:val="24"/>
          <w:lang w:eastAsia="lv-LV"/>
        </w:rPr>
        <w:t>2</w:t>
      </w:r>
      <w:r w:rsidRPr="00A07F29">
        <w:rPr>
          <w:rFonts w:ascii="Times New Roman" w:eastAsia="Times New Roman" w:hAnsi="Times New Roman" w:cs="Times New Roman"/>
          <w:sz w:val="24"/>
          <w:szCs w:val="24"/>
          <w:lang w:eastAsia="lv-LV"/>
        </w:rPr>
        <w:t>.1.</w:t>
      </w:r>
      <w:r w:rsidR="007B11A6">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pārvietošanos, kas saistīta ar šo teritoriju apsaimniekošanu, uzraudzību vai robežapsardzības un valsts aizsardzības uzdevumu veikšanu, vai glābšanas un meklēšanas darbiem;</w:t>
      </w:r>
    </w:p>
    <w:p w14:paraId="208B1A1B" w14:textId="7877B90E" w:rsidR="00B07340" w:rsidRPr="00A07F29" w:rsidRDefault="00B07340"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1</w:t>
      </w:r>
      <w:r w:rsidR="00AF1F83" w:rsidRPr="00A07F29">
        <w:rPr>
          <w:rFonts w:ascii="Times New Roman" w:eastAsia="Times New Roman" w:hAnsi="Times New Roman" w:cs="Times New Roman"/>
          <w:sz w:val="24"/>
          <w:szCs w:val="24"/>
          <w:lang w:eastAsia="lv-LV"/>
        </w:rPr>
        <w:t>2</w:t>
      </w:r>
      <w:r w:rsidRPr="00A07F29">
        <w:rPr>
          <w:rFonts w:ascii="Times New Roman" w:eastAsia="Times New Roman" w:hAnsi="Times New Roman" w:cs="Times New Roman"/>
          <w:sz w:val="24"/>
          <w:szCs w:val="24"/>
          <w:lang w:eastAsia="lv-LV"/>
        </w:rPr>
        <w:t>.</w:t>
      </w:r>
      <w:r w:rsidR="00AF1F83" w:rsidRPr="00A07F29">
        <w:rPr>
          <w:rFonts w:ascii="Times New Roman" w:eastAsia="Times New Roman" w:hAnsi="Times New Roman" w:cs="Times New Roman"/>
          <w:sz w:val="24"/>
          <w:szCs w:val="24"/>
          <w:lang w:eastAsia="lv-LV"/>
        </w:rPr>
        <w:t>2</w:t>
      </w:r>
      <w:r w:rsidR="00033409" w:rsidRPr="00A07F29">
        <w:rPr>
          <w:rFonts w:ascii="Times New Roman" w:eastAsia="Times New Roman" w:hAnsi="Times New Roman" w:cs="Times New Roman"/>
          <w:sz w:val="24"/>
          <w:szCs w:val="24"/>
          <w:lang w:eastAsia="lv-LV"/>
        </w:rPr>
        <w:t>2</w:t>
      </w:r>
      <w:r w:rsidRPr="00A07F29">
        <w:rPr>
          <w:rFonts w:ascii="Times New Roman" w:eastAsia="Times New Roman" w:hAnsi="Times New Roman" w:cs="Times New Roman"/>
          <w:sz w:val="24"/>
          <w:szCs w:val="24"/>
          <w:lang w:eastAsia="lv-LV"/>
        </w:rPr>
        <w:t>.2.</w:t>
      </w:r>
      <w:r w:rsidR="007809A0">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ar Dabas aizsardzības pārvaldes rakstisku atļauju:</w:t>
      </w:r>
    </w:p>
    <w:p w14:paraId="1375484A" w14:textId="72D0A685" w:rsidR="00B07340" w:rsidRPr="00A07F29" w:rsidRDefault="00B07340"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1</w:t>
      </w:r>
      <w:r w:rsidR="00AF1F83" w:rsidRPr="00A07F29">
        <w:rPr>
          <w:rFonts w:ascii="Times New Roman" w:eastAsia="Times New Roman" w:hAnsi="Times New Roman" w:cs="Times New Roman"/>
          <w:sz w:val="24"/>
          <w:szCs w:val="24"/>
          <w:lang w:eastAsia="lv-LV"/>
        </w:rPr>
        <w:t>2</w:t>
      </w:r>
      <w:r w:rsidRPr="00A07F29">
        <w:rPr>
          <w:rFonts w:ascii="Times New Roman" w:eastAsia="Times New Roman" w:hAnsi="Times New Roman" w:cs="Times New Roman"/>
          <w:sz w:val="24"/>
          <w:szCs w:val="24"/>
          <w:lang w:eastAsia="lv-LV"/>
        </w:rPr>
        <w:t>.</w:t>
      </w:r>
      <w:r w:rsidR="00AF1F83" w:rsidRPr="00A07F29">
        <w:rPr>
          <w:rFonts w:ascii="Times New Roman" w:eastAsia="Times New Roman" w:hAnsi="Times New Roman" w:cs="Times New Roman"/>
          <w:sz w:val="24"/>
          <w:szCs w:val="24"/>
          <w:lang w:eastAsia="lv-LV"/>
        </w:rPr>
        <w:t>2</w:t>
      </w:r>
      <w:r w:rsidR="00033409" w:rsidRPr="00A07F29">
        <w:rPr>
          <w:rFonts w:ascii="Times New Roman" w:eastAsia="Times New Roman" w:hAnsi="Times New Roman" w:cs="Times New Roman"/>
          <w:sz w:val="24"/>
          <w:szCs w:val="24"/>
          <w:lang w:eastAsia="lv-LV"/>
        </w:rPr>
        <w:t>2</w:t>
      </w:r>
      <w:r w:rsidRPr="00A07F29">
        <w:rPr>
          <w:rFonts w:ascii="Times New Roman" w:eastAsia="Times New Roman" w:hAnsi="Times New Roman" w:cs="Times New Roman"/>
          <w:sz w:val="24"/>
          <w:szCs w:val="24"/>
          <w:lang w:eastAsia="lv-LV"/>
        </w:rPr>
        <w:t>.2.1.</w:t>
      </w:r>
      <w:r w:rsidR="007D5FEE">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pārvietošanos zinātniskās izpētes nolūkos un zvejai īpašos nolūkos;</w:t>
      </w:r>
    </w:p>
    <w:p w14:paraId="1563077E" w14:textId="6C0C50C4" w:rsidR="00B07340" w:rsidRPr="00A07F29" w:rsidRDefault="00B07340"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1</w:t>
      </w:r>
      <w:r w:rsidR="00AF1F83" w:rsidRPr="00A07F29">
        <w:rPr>
          <w:rFonts w:ascii="Times New Roman" w:eastAsia="Times New Roman" w:hAnsi="Times New Roman" w:cs="Times New Roman"/>
          <w:sz w:val="24"/>
          <w:szCs w:val="24"/>
          <w:lang w:eastAsia="lv-LV"/>
        </w:rPr>
        <w:t>2</w:t>
      </w:r>
      <w:r w:rsidRPr="00A07F29">
        <w:rPr>
          <w:rFonts w:ascii="Times New Roman" w:eastAsia="Times New Roman" w:hAnsi="Times New Roman" w:cs="Times New Roman"/>
          <w:sz w:val="24"/>
          <w:szCs w:val="24"/>
          <w:lang w:eastAsia="lv-LV"/>
        </w:rPr>
        <w:t>.</w:t>
      </w:r>
      <w:r w:rsidR="00AF1F83" w:rsidRPr="00A07F29">
        <w:rPr>
          <w:rFonts w:ascii="Times New Roman" w:eastAsia="Times New Roman" w:hAnsi="Times New Roman" w:cs="Times New Roman"/>
          <w:sz w:val="24"/>
          <w:szCs w:val="24"/>
          <w:lang w:eastAsia="lv-LV"/>
        </w:rPr>
        <w:t>2</w:t>
      </w:r>
      <w:r w:rsidR="00033409" w:rsidRPr="00A07F29">
        <w:rPr>
          <w:rFonts w:ascii="Times New Roman" w:eastAsia="Times New Roman" w:hAnsi="Times New Roman" w:cs="Times New Roman"/>
          <w:sz w:val="24"/>
          <w:szCs w:val="24"/>
          <w:lang w:eastAsia="lv-LV"/>
        </w:rPr>
        <w:t>2</w:t>
      </w:r>
      <w:r w:rsidRPr="00A07F29">
        <w:rPr>
          <w:rFonts w:ascii="Times New Roman" w:eastAsia="Times New Roman" w:hAnsi="Times New Roman" w:cs="Times New Roman"/>
          <w:sz w:val="24"/>
          <w:szCs w:val="24"/>
          <w:lang w:eastAsia="lv-LV"/>
        </w:rPr>
        <w:t>.2.2.</w:t>
      </w:r>
      <w:r w:rsidR="007D5FEE">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ūdenstilpes nomnieka, licencētās amatierzvejas</w:t>
      </w:r>
      <w:r w:rsidR="007D5FEE">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w:t>
      </w:r>
      <w:r w:rsidR="007D5FEE">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makšķerēšanas – organizētāja pārvietošanos ezera un zivju resursu apsaimniekošanas un uzraudzības pasākumu veikšanai, vienlaikus izmantojot ne vairāk kā divus kuģošanas līdzekļus;</w:t>
      </w:r>
    </w:p>
    <w:p w14:paraId="132320A0" w14:textId="071D2B8B" w:rsidR="00B07340" w:rsidRPr="00A07F29" w:rsidRDefault="00B07340"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1</w:t>
      </w:r>
      <w:r w:rsidR="00AF1F83" w:rsidRPr="00A07F29">
        <w:rPr>
          <w:rFonts w:ascii="Times New Roman" w:eastAsia="Times New Roman" w:hAnsi="Times New Roman" w:cs="Times New Roman"/>
          <w:sz w:val="24"/>
          <w:szCs w:val="24"/>
          <w:lang w:eastAsia="lv-LV"/>
        </w:rPr>
        <w:t>2</w:t>
      </w:r>
      <w:r w:rsidRPr="00A07F29">
        <w:rPr>
          <w:rFonts w:ascii="Times New Roman" w:eastAsia="Times New Roman" w:hAnsi="Times New Roman" w:cs="Times New Roman"/>
          <w:sz w:val="24"/>
          <w:szCs w:val="24"/>
          <w:lang w:eastAsia="lv-LV"/>
        </w:rPr>
        <w:t>.</w:t>
      </w:r>
      <w:r w:rsidR="00AF1F83" w:rsidRPr="00A07F29">
        <w:rPr>
          <w:rFonts w:ascii="Times New Roman" w:eastAsia="Times New Roman" w:hAnsi="Times New Roman" w:cs="Times New Roman"/>
          <w:sz w:val="24"/>
          <w:szCs w:val="24"/>
          <w:lang w:eastAsia="lv-LV"/>
        </w:rPr>
        <w:t>2</w:t>
      </w:r>
      <w:r w:rsidR="00033409" w:rsidRPr="00A07F29">
        <w:rPr>
          <w:rFonts w:ascii="Times New Roman" w:eastAsia="Times New Roman" w:hAnsi="Times New Roman" w:cs="Times New Roman"/>
          <w:sz w:val="24"/>
          <w:szCs w:val="24"/>
          <w:lang w:eastAsia="lv-LV"/>
        </w:rPr>
        <w:t>2</w:t>
      </w:r>
      <w:r w:rsidRPr="00A07F29">
        <w:rPr>
          <w:rFonts w:ascii="Times New Roman" w:eastAsia="Times New Roman" w:hAnsi="Times New Roman" w:cs="Times New Roman"/>
          <w:sz w:val="24"/>
          <w:szCs w:val="24"/>
          <w:lang w:eastAsia="lv-LV"/>
        </w:rPr>
        <w:t>.2.</w:t>
      </w:r>
      <w:r w:rsidR="00AF1F83" w:rsidRPr="00A07F29">
        <w:rPr>
          <w:rFonts w:ascii="Times New Roman" w:eastAsia="Times New Roman" w:hAnsi="Times New Roman" w:cs="Times New Roman"/>
          <w:sz w:val="24"/>
          <w:szCs w:val="24"/>
          <w:lang w:eastAsia="lv-LV"/>
        </w:rPr>
        <w:t>3</w:t>
      </w:r>
      <w:r w:rsidRPr="00A07F29">
        <w:rPr>
          <w:rFonts w:ascii="Times New Roman" w:eastAsia="Times New Roman" w:hAnsi="Times New Roman" w:cs="Times New Roman"/>
          <w:sz w:val="24"/>
          <w:szCs w:val="24"/>
          <w:lang w:eastAsia="lv-LV"/>
        </w:rPr>
        <w:t>.</w:t>
      </w:r>
      <w:r w:rsidR="008B797F">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ekosistēmu, īpaši aizsargājamo sugu dzīvotņu un īpaši aizsargājamo biotopu aizsardzībai un saglabāšanai nepieciešamo pasākumu īstenošanai</w:t>
      </w:r>
      <w:r w:rsidR="00BA0C90">
        <w:rPr>
          <w:rFonts w:ascii="Times New Roman" w:eastAsia="Times New Roman" w:hAnsi="Times New Roman" w:cs="Times New Roman"/>
          <w:sz w:val="24"/>
          <w:szCs w:val="24"/>
          <w:lang w:eastAsia="lv-LV"/>
        </w:rPr>
        <w:t>;</w:t>
      </w:r>
    </w:p>
    <w:p w14:paraId="42583094" w14:textId="2340F971" w:rsidR="00B07340" w:rsidRPr="00A07F29" w:rsidRDefault="0E6B778D" w:rsidP="00B07340">
      <w:pPr>
        <w:spacing w:after="120" w:line="240" w:lineRule="auto"/>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1</w:t>
      </w:r>
      <w:r w:rsidR="00AF1F83" w:rsidRPr="00A07F29">
        <w:rPr>
          <w:rFonts w:ascii="Times New Roman" w:eastAsia="Calibri" w:hAnsi="Times New Roman" w:cs="Times New Roman"/>
          <w:sz w:val="24"/>
          <w:szCs w:val="24"/>
        </w:rPr>
        <w:t>2</w:t>
      </w:r>
      <w:r w:rsidRPr="00A07F29">
        <w:rPr>
          <w:rFonts w:ascii="Times New Roman" w:eastAsia="Calibri" w:hAnsi="Times New Roman" w:cs="Times New Roman"/>
          <w:sz w:val="24"/>
          <w:szCs w:val="24"/>
        </w:rPr>
        <w:t>.</w:t>
      </w:r>
      <w:r w:rsidR="00AF1F83" w:rsidRPr="00A07F29">
        <w:rPr>
          <w:rFonts w:ascii="Times New Roman" w:eastAsia="Calibri" w:hAnsi="Times New Roman" w:cs="Times New Roman"/>
          <w:sz w:val="24"/>
          <w:szCs w:val="24"/>
        </w:rPr>
        <w:t>23</w:t>
      </w:r>
      <w:r w:rsidRPr="00A07F29">
        <w:rPr>
          <w:rFonts w:ascii="Times New Roman" w:eastAsia="Calibri" w:hAnsi="Times New Roman" w:cs="Times New Roman"/>
          <w:sz w:val="24"/>
          <w:szCs w:val="24"/>
        </w:rPr>
        <w:t>.</w:t>
      </w:r>
      <w:r w:rsidR="00BA0C90">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ezeros </w:t>
      </w:r>
      <w:r w:rsidR="005020C3" w:rsidRPr="00A07F29">
        <w:rPr>
          <w:rFonts w:ascii="Times New Roman" w:eastAsia="Calibri" w:hAnsi="Times New Roman" w:cs="Times New Roman"/>
          <w:sz w:val="24"/>
          <w:szCs w:val="24"/>
        </w:rPr>
        <w:t xml:space="preserve">un upēs </w:t>
      </w:r>
      <w:r w:rsidRPr="00A07F29">
        <w:rPr>
          <w:rFonts w:ascii="Times New Roman" w:eastAsia="Calibri" w:hAnsi="Times New Roman" w:cs="Times New Roman"/>
          <w:sz w:val="24"/>
          <w:szCs w:val="24"/>
        </w:rPr>
        <w:t xml:space="preserve">veidot mākslīgas salas, kā arī būvēt un izvietot </w:t>
      </w:r>
      <w:r w:rsidR="00863A0F" w:rsidRPr="00A07F29">
        <w:rPr>
          <w:rFonts w:ascii="Times New Roman" w:eastAsia="Calibri" w:hAnsi="Times New Roman" w:cs="Times New Roman"/>
          <w:sz w:val="24"/>
          <w:szCs w:val="24"/>
        </w:rPr>
        <w:t xml:space="preserve">ēkas uz pāļiem, </w:t>
      </w:r>
      <w:proofErr w:type="spellStart"/>
      <w:r w:rsidRPr="00A07F29">
        <w:rPr>
          <w:rFonts w:ascii="Times New Roman" w:eastAsia="Calibri" w:hAnsi="Times New Roman" w:cs="Times New Roman"/>
          <w:sz w:val="24"/>
          <w:szCs w:val="24"/>
        </w:rPr>
        <w:t>peldbūves</w:t>
      </w:r>
      <w:proofErr w:type="spellEnd"/>
      <w:r w:rsidRPr="00A07F29">
        <w:rPr>
          <w:rFonts w:ascii="Times New Roman" w:eastAsia="Calibri" w:hAnsi="Times New Roman" w:cs="Times New Roman"/>
          <w:sz w:val="24"/>
          <w:szCs w:val="24"/>
        </w:rPr>
        <w:t xml:space="preserve"> un peldošas konstrukcijas</w:t>
      </w:r>
      <w:r w:rsidR="005020C3" w:rsidRPr="00A07F29">
        <w:rPr>
          <w:rFonts w:ascii="Times New Roman" w:eastAsia="Calibri" w:hAnsi="Times New Roman" w:cs="Times New Roman"/>
          <w:sz w:val="24"/>
          <w:szCs w:val="24"/>
        </w:rPr>
        <w:t xml:space="preserve">, </w:t>
      </w:r>
      <w:r w:rsidRPr="00A07F29">
        <w:rPr>
          <w:rFonts w:ascii="Times New Roman" w:eastAsia="Calibri" w:hAnsi="Times New Roman" w:cs="Times New Roman"/>
          <w:sz w:val="24"/>
          <w:szCs w:val="24"/>
        </w:rPr>
        <w:t>izņemot atklātas</w:t>
      </w:r>
      <w:r w:rsidR="005020C3" w:rsidRPr="00A07F29">
        <w:rPr>
          <w:rFonts w:ascii="Times New Roman" w:eastAsia="Calibri" w:hAnsi="Times New Roman" w:cs="Times New Roman"/>
          <w:sz w:val="24"/>
          <w:szCs w:val="24"/>
        </w:rPr>
        <w:t xml:space="preserve"> laipu un pontonu konstrukcijas, kā arī infrastruktūru peldlīdzekļu ielaišanai un </w:t>
      </w:r>
      <w:r w:rsidR="00863A0F" w:rsidRPr="00A07F29">
        <w:rPr>
          <w:rFonts w:ascii="Times New Roman" w:eastAsia="Calibri" w:hAnsi="Times New Roman" w:cs="Times New Roman"/>
          <w:sz w:val="24"/>
          <w:szCs w:val="24"/>
        </w:rPr>
        <w:t xml:space="preserve">publiski pieejamas vai pakalpojumu sniegšanai paredzētas </w:t>
      </w:r>
      <w:r w:rsidR="005020C3" w:rsidRPr="00A07F29">
        <w:rPr>
          <w:rFonts w:ascii="Times New Roman" w:eastAsia="Calibri" w:hAnsi="Times New Roman" w:cs="Times New Roman"/>
          <w:sz w:val="24"/>
          <w:szCs w:val="24"/>
        </w:rPr>
        <w:t xml:space="preserve">peldošas konstrukcijas </w:t>
      </w:r>
      <w:r w:rsidR="00863A0F" w:rsidRPr="00A07F29">
        <w:rPr>
          <w:rFonts w:ascii="Times New Roman" w:eastAsia="Calibri" w:hAnsi="Times New Roman" w:cs="Times New Roman"/>
          <w:sz w:val="24"/>
          <w:szCs w:val="24"/>
        </w:rPr>
        <w:t>Daugavā</w:t>
      </w:r>
      <w:r w:rsidR="005020C3" w:rsidRPr="00A07F29">
        <w:rPr>
          <w:rFonts w:ascii="Times New Roman" w:eastAsia="Calibri" w:hAnsi="Times New Roman" w:cs="Times New Roman"/>
          <w:sz w:val="24"/>
          <w:szCs w:val="24"/>
        </w:rPr>
        <w:t>;</w:t>
      </w:r>
    </w:p>
    <w:p w14:paraId="4D920898" w14:textId="1F76D049" w:rsidR="00AF1F83" w:rsidRPr="00A07F29" w:rsidRDefault="00AF1F83" w:rsidP="00AF1F83">
      <w:pPr>
        <w:spacing w:after="120" w:line="240" w:lineRule="auto"/>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12.24.</w:t>
      </w:r>
      <w:r w:rsidR="007B1099">
        <w:rPr>
          <w:rFonts w:ascii="Times New Roman" w:eastAsia="Calibri" w:hAnsi="Times New Roman" w:cs="Times New Roman"/>
          <w:sz w:val="24"/>
          <w:szCs w:val="24"/>
        </w:rPr>
        <w:t> </w:t>
      </w:r>
      <w:r w:rsidRPr="00A07F29">
        <w:rPr>
          <w:rFonts w:ascii="Times New Roman" w:eastAsia="Calibri" w:hAnsi="Times New Roman" w:cs="Times New Roman"/>
          <w:sz w:val="24"/>
          <w:szCs w:val="24"/>
        </w:rPr>
        <w:t>virszemes ūdensobjektu aizsargjoslā 50 metrus platā joslā būvēt un izvietot jebkādas ēkas un būves, izņemot Aizsargjoslu likuma 37.</w:t>
      </w:r>
      <w:r w:rsidR="00487088">
        <w:rPr>
          <w:rFonts w:ascii="Times New Roman" w:eastAsia="Calibri" w:hAnsi="Times New Roman" w:cs="Times New Roman"/>
          <w:sz w:val="24"/>
          <w:szCs w:val="24"/>
        </w:rPr>
        <w:t> </w:t>
      </w:r>
      <w:r w:rsidRPr="00A07F29">
        <w:rPr>
          <w:rFonts w:ascii="Times New Roman" w:eastAsia="Calibri" w:hAnsi="Times New Roman" w:cs="Times New Roman"/>
          <w:sz w:val="24"/>
          <w:szCs w:val="24"/>
        </w:rPr>
        <w:t>panta pirmās daļas 5.</w:t>
      </w:r>
      <w:r w:rsidR="00487088">
        <w:rPr>
          <w:rFonts w:ascii="Times New Roman" w:eastAsia="Calibri" w:hAnsi="Times New Roman" w:cs="Times New Roman"/>
          <w:sz w:val="24"/>
          <w:szCs w:val="24"/>
        </w:rPr>
        <w:t> </w:t>
      </w:r>
      <w:r w:rsidRPr="00A07F29">
        <w:rPr>
          <w:rFonts w:ascii="Times New Roman" w:eastAsia="Calibri" w:hAnsi="Times New Roman" w:cs="Times New Roman"/>
          <w:sz w:val="24"/>
          <w:szCs w:val="24"/>
        </w:rPr>
        <w:t>punkta b)</w:t>
      </w:r>
      <w:r w:rsidR="00487088">
        <w:rPr>
          <w:rFonts w:ascii="Times New Roman" w:eastAsia="Calibri" w:hAnsi="Times New Roman" w:cs="Times New Roman"/>
          <w:sz w:val="24"/>
          <w:szCs w:val="24"/>
        </w:rPr>
        <w:t> </w:t>
      </w:r>
      <w:r w:rsidRPr="00A07F29">
        <w:rPr>
          <w:rFonts w:ascii="Times New Roman" w:eastAsia="Calibri" w:hAnsi="Times New Roman" w:cs="Times New Roman"/>
          <w:sz w:val="24"/>
          <w:szCs w:val="24"/>
        </w:rPr>
        <w:t>apakšpunktā atļautās būves;</w:t>
      </w:r>
    </w:p>
    <w:p w14:paraId="76609797" w14:textId="6BE9445E" w:rsidR="00AF1F83" w:rsidRPr="00A07F29" w:rsidRDefault="00AF1F83" w:rsidP="00AF1F83">
      <w:pPr>
        <w:spacing w:after="120" w:line="240" w:lineRule="auto"/>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12.25.</w:t>
      </w:r>
      <w:r w:rsidR="00487088">
        <w:rPr>
          <w:rFonts w:ascii="Times New Roman" w:eastAsia="Calibri" w:hAnsi="Times New Roman" w:cs="Times New Roman"/>
          <w:sz w:val="24"/>
          <w:szCs w:val="24"/>
        </w:rPr>
        <w:t> </w:t>
      </w:r>
      <w:r w:rsidRPr="00A07F29">
        <w:rPr>
          <w:rFonts w:ascii="Times New Roman" w:eastAsia="Calibri" w:hAnsi="Times New Roman" w:cs="Times New Roman"/>
          <w:sz w:val="24"/>
          <w:szCs w:val="24"/>
        </w:rPr>
        <w:t>Daugavas aizsargjoslā izveidot jaunus mākslīgos ūdensobjektus, kuru platība ir lielāka par 0,1</w:t>
      </w:r>
      <w:r w:rsidR="008A3392">
        <w:rPr>
          <w:rFonts w:ascii="Times New Roman" w:eastAsia="Calibri" w:hAnsi="Times New Roman" w:cs="Times New Roman"/>
          <w:sz w:val="24"/>
          <w:szCs w:val="24"/>
        </w:rPr>
        <w:t> </w:t>
      </w:r>
      <w:r w:rsidRPr="00A07F29">
        <w:rPr>
          <w:rFonts w:ascii="Times New Roman" w:eastAsia="Calibri" w:hAnsi="Times New Roman" w:cs="Times New Roman"/>
          <w:sz w:val="24"/>
          <w:szCs w:val="24"/>
        </w:rPr>
        <w:t>ha</w:t>
      </w:r>
      <w:r w:rsidR="003B5456" w:rsidRPr="00A07F29">
        <w:rPr>
          <w:rFonts w:ascii="Times New Roman" w:eastAsia="Calibri" w:hAnsi="Times New Roman" w:cs="Times New Roman"/>
          <w:sz w:val="24"/>
          <w:szCs w:val="24"/>
        </w:rPr>
        <w:t xml:space="preserve"> (tajā skaitā savstarpēji savienotus ūdensobjektus), izņemot ūdensobjektus, kuri tiek veidoti karjeru teritoriju rekultivācijas rezultātā;</w:t>
      </w:r>
    </w:p>
    <w:p w14:paraId="62035FAE" w14:textId="07B3E355" w:rsidR="00AF1F83" w:rsidRPr="00A07F29" w:rsidRDefault="00AF1F83" w:rsidP="00AF1F83">
      <w:pPr>
        <w:spacing w:after="120" w:line="240" w:lineRule="auto"/>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12.26.</w:t>
      </w:r>
      <w:r w:rsidR="008A3392">
        <w:rPr>
          <w:rFonts w:ascii="Times New Roman" w:eastAsia="Calibri" w:hAnsi="Times New Roman" w:cs="Times New Roman"/>
          <w:sz w:val="24"/>
          <w:szCs w:val="24"/>
        </w:rPr>
        <w:t> </w:t>
      </w:r>
      <w:r w:rsidRPr="00A07F29">
        <w:rPr>
          <w:rFonts w:ascii="Times New Roman" w:eastAsia="Calibri" w:hAnsi="Times New Roman" w:cs="Times New Roman"/>
          <w:sz w:val="24"/>
          <w:szCs w:val="24"/>
        </w:rPr>
        <w:t>ierīkot aramzemi 50 m</w:t>
      </w:r>
      <w:r w:rsidR="008A3392">
        <w:rPr>
          <w:rFonts w:ascii="Times New Roman" w:eastAsia="Calibri" w:hAnsi="Times New Roman" w:cs="Times New Roman"/>
          <w:sz w:val="24"/>
          <w:szCs w:val="24"/>
        </w:rPr>
        <w:t>etrus</w:t>
      </w:r>
      <w:r w:rsidRPr="00A07F29">
        <w:rPr>
          <w:rFonts w:ascii="Times New Roman" w:eastAsia="Calibri" w:hAnsi="Times New Roman" w:cs="Times New Roman"/>
          <w:sz w:val="24"/>
          <w:szCs w:val="24"/>
        </w:rPr>
        <w:t xml:space="preserve"> platā joslā Daugavas un </w:t>
      </w:r>
      <w:proofErr w:type="spellStart"/>
      <w:r w:rsidRPr="00A07F29">
        <w:rPr>
          <w:rFonts w:ascii="Times New Roman" w:eastAsia="Calibri" w:hAnsi="Times New Roman" w:cs="Times New Roman"/>
          <w:sz w:val="24"/>
          <w:szCs w:val="24"/>
        </w:rPr>
        <w:t>Varnaviču</w:t>
      </w:r>
      <w:proofErr w:type="spellEnd"/>
      <w:r w:rsidRPr="00A07F29">
        <w:rPr>
          <w:rFonts w:ascii="Times New Roman" w:eastAsia="Calibri" w:hAnsi="Times New Roman" w:cs="Times New Roman"/>
          <w:sz w:val="24"/>
          <w:szCs w:val="24"/>
        </w:rPr>
        <w:t xml:space="preserve"> ezera aizsargjoslā, kā arī visās applūstošajās teritorijās ainavu apvidū;</w:t>
      </w:r>
    </w:p>
    <w:p w14:paraId="4C4C6DDD" w14:textId="009641BF" w:rsidR="00B07340" w:rsidRPr="00A07F29" w:rsidRDefault="00B07340" w:rsidP="006D1ABA">
      <w:pPr>
        <w:spacing w:after="120" w:line="240" w:lineRule="auto"/>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1</w:t>
      </w:r>
      <w:r w:rsidR="00AF1F83" w:rsidRPr="00A07F29">
        <w:rPr>
          <w:rFonts w:ascii="Times New Roman" w:eastAsia="Calibri" w:hAnsi="Times New Roman" w:cs="Times New Roman"/>
          <w:sz w:val="24"/>
          <w:szCs w:val="24"/>
        </w:rPr>
        <w:t>2</w:t>
      </w:r>
      <w:r w:rsidRPr="00A07F29">
        <w:rPr>
          <w:rFonts w:ascii="Times New Roman" w:eastAsia="Calibri" w:hAnsi="Times New Roman" w:cs="Times New Roman"/>
          <w:sz w:val="24"/>
          <w:szCs w:val="24"/>
        </w:rPr>
        <w:t>.</w:t>
      </w:r>
      <w:r w:rsidR="00AF1F83" w:rsidRPr="00A07F29">
        <w:rPr>
          <w:rFonts w:ascii="Times New Roman" w:eastAsia="Calibri" w:hAnsi="Times New Roman" w:cs="Times New Roman"/>
          <w:sz w:val="24"/>
          <w:szCs w:val="24"/>
        </w:rPr>
        <w:t>2</w:t>
      </w:r>
      <w:r w:rsidR="00B912AA" w:rsidRPr="00A07F29">
        <w:rPr>
          <w:rFonts w:ascii="Times New Roman" w:eastAsia="Calibri" w:hAnsi="Times New Roman" w:cs="Times New Roman"/>
          <w:sz w:val="24"/>
          <w:szCs w:val="24"/>
        </w:rPr>
        <w:t>7</w:t>
      </w:r>
      <w:r w:rsidRPr="00A07F29">
        <w:rPr>
          <w:rFonts w:ascii="Times New Roman" w:eastAsia="Calibri" w:hAnsi="Times New Roman" w:cs="Times New Roman"/>
          <w:sz w:val="24"/>
          <w:szCs w:val="24"/>
        </w:rPr>
        <w:t>.</w:t>
      </w:r>
      <w:r w:rsidR="006D1ABA">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veikt darbības, kas izraisa ūdens līmeņa izmaiņas </w:t>
      </w:r>
      <w:proofErr w:type="spellStart"/>
      <w:r w:rsidRPr="00A07F29">
        <w:rPr>
          <w:rFonts w:ascii="Times New Roman" w:eastAsia="Calibri" w:hAnsi="Times New Roman" w:cs="Times New Roman"/>
          <w:sz w:val="24"/>
          <w:szCs w:val="24"/>
        </w:rPr>
        <w:t>Balticas</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Šilovkas</w:t>
      </w:r>
      <w:proofErr w:type="spellEnd"/>
      <w:r w:rsidRPr="00A07F29">
        <w:rPr>
          <w:rFonts w:ascii="Times New Roman" w:eastAsia="Calibri" w:hAnsi="Times New Roman" w:cs="Times New Roman"/>
          <w:sz w:val="24"/>
          <w:szCs w:val="24"/>
        </w:rPr>
        <w:t xml:space="preserve"> un </w:t>
      </w:r>
      <w:proofErr w:type="spellStart"/>
      <w:r w:rsidRPr="00A07F29">
        <w:rPr>
          <w:rFonts w:ascii="Times New Roman" w:eastAsia="Calibri" w:hAnsi="Times New Roman" w:cs="Times New Roman"/>
          <w:sz w:val="24"/>
          <w:szCs w:val="24"/>
        </w:rPr>
        <w:t>Varnaviču</w:t>
      </w:r>
      <w:proofErr w:type="spellEnd"/>
      <w:r w:rsidRPr="00A07F29">
        <w:rPr>
          <w:rFonts w:ascii="Times New Roman" w:eastAsia="Calibri" w:hAnsi="Times New Roman" w:cs="Times New Roman"/>
          <w:sz w:val="24"/>
          <w:szCs w:val="24"/>
        </w:rPr>
        <w:t xml:space="preserve"> ezerā, izņemot dabas aizsardzības plānā noteiktos apsaimniekošanas pasākumus</w:t>
      </w:r>
      <w:r w:rsidR="00BB7E34" w:rsidRPr="00A07F29">
        <w:rPr>
          <w:rFonts w:ascii="Times New Roman" w:eastAsia="Calibri" w:hAnsi="Times New Roman" w:cs="Times New Roman"/>
          <w:sz w:val="24"/>
          <w:szCs w:val="24"/>
        </w:rPr>
        <w:t xml:space="preserve"> ūdens līmeņa normalizēšanai</w:t>
      </w:r>
      <w:r w:rsidRPr="00A07F29">
        <w:rPr>
          <w:rFonts w:ascii="Times New Roman" w:eastAsia="Calibri" w:hAnsi="Times New Roman" w:cs="Times New Roman"/>
          <w:sz w:val="24"/>
          <w:szCs w:val="24"/>
        </w:rPr>
        <w:t>;</w:t>
      </w:r>
    </w:p>
    <w:p w14:paraId="2B1F97CB" w14:textId="0A485FF3" w:rsidR="00B07340" w:rsidRPr="00A07F29" w:rsidRDefault="00B07340" w:rsidP="006925B7">
      <w:pPr>
        <w:spacing w:after="120" w:line="240" w:lineRule="auto"/>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1</w:t>
      </w:r>
      <w:r w:rsidR="00AF1F83" w:rsidRPr="00A07F29">
        <w:rPr>
          <w:rFonts w:ascii="Times New Roman" w:eastAsia="Calibri" w:hAnsi="Times New Roman" w:cs="Times New Roman"/>
          <w:sz w:val="24"/>
          <w:szCs w:val="24"/>
        </w:rPr>
        <w:t>2</w:t>
      </w:r>
      <w:r w:rsidRPr="00A07F29">
        <w:rPr>
          <w:rFonts w:ascii="Times New Roman" w:eastAsia="Calibri" w:hAnsi="Times New Roman" w:cs="Times New Roman"/>
          <w:sz w:val="24"/>
          <w:szCs w:val="24"/>
        </w:rPr>
        <w:t>.</w:t>
      </w:r>
      <w:r w:rsidR="00AF1F83" w:rsidRPr="00A07F29">
        <w:rPr>
          <w:rFonts w:ascii="Times New Roman" w:eastAsia="Calibri" w:hAnsi="Times New Roman" w:cs="Times New Roman"/>
          <w:sz w:val="24"/>
          <w:szCs w:val="24"/>
        </w:rPr>
        <w:t>2</w:t>
      </w:r>
      <w:r w:rsidR="00B912AA" w:rsidRPr="00A07F29">
        <w:rPr>
          <w:rFonts w:ascii="Times New Roman" w:eastAsia="Calibri" w:hAnsi="Times New Roman" w:cs="Times New Roman"/>
          <w:sz w:val="24"/>
          <w:szCs w:val="24"/>
        </w:rPr>
        <w:t>8</w:t>
      </w:r>
      <w:r w:rsidRPr="00A07F29">
        <w:rPr>
          <w:rFonts w:ascii="Times New Roman" w:eastAsia="Calibri" w:hAnsi="Times New Roman" w:cs="Times New Roman"/>
          <w:sz w:val="24"/>
          <w:szCs w:val="24"/>
        </w:rPr>
        <w:t>.</w:t>
      </w:r>
      <w:r w:rsidR="00E82E30">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veikt sadzīves vai ražošanas notekūdeņu (neatkarīgi no attīrīšanas pakāpes), tai skaitā no individuālās apbūves, novadīšanu </w:t>
      </w:r>
      <w:proofErr w:type="spellStart"/>
      <w:r w:rsidR="00BB7E34" w:rsidRPr="00A07F29">
        <w:rPr>
          <w:rFonts w:ascii="Times New Roman" w:eastAsia="Calibri" w:hAnsi="Times New Roman" w:cs="Times New Roman"/>
          <w:sz w:val="24"/>
          <w:szCs w:val="24"/>
        </w:rPr>
        <w:t>Balticas</w:t>
      </w:r>
      <w:proofErr w:type="spellEnd"/>
      <w:r w:rsidR="00BB7E34" w:rsidRPr="00A07F29">
        <w:rPr>
          <w:rFonts w:ascii="Times New Roman" w:eastAsia="Calibri" w:hAnsi="Times New Roman" w:cs="Times New Roman"/>
          <w:sz w:val="24"/>
          <w:szCs w:val="24"/>
        </w:rPr>
        <w:t xml:space="preserve">, </w:t>
      </w:r>
      <w:proofErr w:type="spellStart"/>
      <w:r w:rsidR="00BB7E34" w:rsidRPr="00A07F29">
        <w:rPr>
          <w:rFonts w:ascii="Times New Roman" w:eastAsia="Calibri" w:hAnsi="Times New Roman" w:cs="Times New Roman"/>
          <w:sz w:val="24"/>
          <w:szCs w:val="24"/>
        </w:rPr>
        <w:t>Šilovkas</w:t>
      </w:r>
      <w:proofErr w:type="spellEnd"/>
      <w:r w:rsidR="00BB7E34" w:rsidRPr="00A07F29">
        <w:rPr>
          <w:rFonts w:ascii="Times New Roman" w:eastAsia="Calibri" w:hAnsi="Times New Roman" w:cs="Times New Roman"/>
          <w:sz w:val="24"/>
          <w:szCs w:val="24"/>
        </w:rPr>
        <w:t xml:space="preserve"> un </w:t>
      </w:r>
      <w:proofErr w:type="spellStart"/>
      <w:r w:rsidR="00BB7E34" w:rsidRPr="00A07F29">
        <w:rPr>
          <w:rFonts w:ascii="Times New Roman" w:eastAsia="Calibri" w:hAnsi="Times New Roman" w:cs="Times New Roman"/>
          <w:sz w:val="24"/>
          <w:szCs w:val="24"/>
        </w:rPr>
        <w:t>Varnaviču</w:t>
      </w:r>
      <w:proofErr w:type="spellEnd"/>
      <w:r w:rsidR="00BB7E34" w:rsidRPr="00A07F29">
        <w:rPr>
          <w:rFonts w:ascii="Times New Roman" w:eastAsia="Calibri" w:hAnsi="Times New Roman" w:cs="Times New Roman"/>
          <w:sz w:val="24"/>
          <w:szCs w:val="24"/>
        </w:rPr>
        <w:t xml:space="preserve"> </w:t>
      </w:r>
      <w:r w:rsidRPr="00A07F29">
        <w:rPr>
          <w:rFonts w:ascii="Times New Roman" w:eastAsia="Calibri" w:hAnsi="Times New Roman" w:cs="Times New Roman"/>
          <w:sz w:val="24"/>
          <w:szCs w:val="24"/>
        </w:rPr>
        <w:t xml:space="preserve">ezerā </w:t>
      </w:r>
      <w:r w:rsidR="00604B77" w:rsidRPr="00A07F29">
        <w:rPr>
          <w:rFonts w:ascii="Times New Roman" w:eastAsia="Calibri" w:hAnsi="Times New Roman" w:cs="Times New Roman"/>
          <w:sz w:val="24"/>
          <w:szCs w:val="24"/>
        </w:rPr>
        <w:t>un</w:t>
      </w:r>
      <w:r w:rsidRPr="00A07F29">
        <w:rPr>
          <w:rFonts w:ascii="Times New Roman" w:eastAsia="Calibri" w:hAnsi="Times New Roman" w:cs="Times New Roman"/>
          <w:sz w:val="24"/>
          <w:szCs w:val="24"/>
        </w:rPr>
        <w:t xml:space="preserve"> tā sateces baseina </w:t>
      </w:r>
      <w:r w:rsidRPr="00A07F29">
        <w:rPr>
          <w:rFonts w:ascii="Times New Roman" w:eastAsia="Calibri" w:hAnsi="Times New Roman" w:cs="Times New Roman"/>
          <w:sz w:val="24"/>
          <w:szCs w:val="24"/>
        </w:rPr>
        <w:lastRenderedPageBreak/>
        <w:t>ūdenstecēs</w:t>
      </w:r>
      <w:r w:rsidR="00604B77" w:rsidRPr="00A07F29">
        <w:rPr>
          <w:rFonts w:ascii="Times New Roman" w:eastAsia="Calibri" w:hAnsi="Times New Roman" w:cs="Times New Roman"/>
          <w:sz w:val="24"/>
          <w:szCs w:val="24"/>
        </w:rPr>
        <w:t>, kā arī i</w:t>
      </w:r>
      <w:r w:rsidRPr="00A07F29">
        <w:rPr>
          <w:rFonts w:ascii="Times New Roman" w:eastAsia="Calibri" w:hAnsi="Times New Roman" w:cs="Times New Roman"/>
          <w:sz w:val="24"/>
          <w:szCs w:val="24"/>
        </w:rPr>
        <w:t xml:space="preserve">nfiltrāciju gruntī </w:t>
      </w:r>
      <w:r w:rsidR="00604B77" w:rsidRPr="00A07F29">
        <w:rPr>
          <w:rFonts w:ascii="Times New Roman" w:eastAsia="Calibri" w:hAnsi="Times New Roman" w:cs="Times New Roman"/>
          <w:sz w:val="24"/>
          <w:szCs w:val="24"/>
        </w:rPr>
        <w:t>20 m</w:t>
      </w:r>
      <w:r w:rsidR="006925B7">
        <w:rPr>
          <w:rFonts w:ascii="Times New Roman" w:eastAsia="Calibri" w:hAnsi="Times New Roman" w:cs="Times New Roman"/>
          <w:sz w:val="24"/>
          <w:szCs w:val="24"/>
        </w:rPr>
        <w:t>etru</w:t>
      </w:r>
      <w:r w:rsidR="00604B77" w:rsidRPr="00A07F29">
        <w:rPr>
          <w:rFonts w:ascii="Times New Roman" w:eastAsia="Calibri" w:hAnsi="Times New Roman" w:cs="Times New Roman"/>
          <w:sz w:val="24"/>
          <w:szCs w:val="24"/>
        </w:rPr>
        <w:t xml:space="preserve"> platā joslā </w:t>
      </w:r>
      <w:proofErr w:type="spellStart"/>
      <w:r w:rsidR="00604B77" w:rsidRPr="00A07F29">
        <w:rPr>
          <w:rFonts w:ascii="Times New Roman" w:eastAsia="Calibri" w:hAnsi="Times New Roman" w:cs="Times New Roman"/>
          <w:sz w:val="24"/>
          <w:szCs w:val="24"/>
        </w:rPr>
        <w:t>Balticas</w:t>
      </w:r>
      <w:proofErr w:type="spellEnd"/>
      <w:r w:rsidR="00604B77" w:rsidRPr="00A07F29">
        <w:rPr>
          <w:rFonts w:ascii="Times New Roman" w:eastAsia="Calibri" w:hAnsi="Times New Roman" w:cs="Times New Roman"/>
          <w:sz w:val="24"/>
          <w:szCs w:val="24"/>
        </w:rPr>
        <w:t xml:space="preserve">, </w:t>
      </w:r>
      <w:proofErr w:type="spellStart"/>
      <w:r w:rsidR="00604B77" w:rsidRPr="00A07F29">
        <w:rPr>
          <w:rFonts w:ascii="Times New Roman" w:eastAsia="Calibri" w:hAnsi="Times New Roman" w:cs="Times New Roman"/>
          <w:sz w:val="24"/>
          <w:szCs w:val="24"/>
        </w:rPr>
        <w:t>Šilovkas</w:t>
      </w:r>
      <w:proofErr w:type="spellEnd"/>
      <w:r w:rsidR="00604B77" w:rsidRPr="00A07F29">
        <w:rPr>
          <w:rFonts w:ascii="Times New Roman" w:eastAsia="Calibri" w:hAnsi="Times New Roman" w:cs="Times New Roman"/>
          <w:sz w:val="24"/>
          <w:szCs w:val="24"/>
        </w:rPr>
        <w:t xml:space="preserve"> un </w:t>
      </w:r>
      <w:proofErr w:type="spellStart"/>
      <w:r w:rsidR="00604B77" w:rsidRPr="00A07F29">
        <w:rPr>
          <w:rFonts w:ascii="Times New Roman" w:eastAsia="Calibri" w:hAnsi="Times New Roman" w:cs="Times New Roman"/>
          <w:sz w:val="24"/>
          <w:szCs w:val="24"/>
        </w:rPr>
        <w:t>Varnaviču</w:t>
      </w:r>
      <w:proofErr w:type="spellEnd"/>
      <w:r w:rsidR="00604B77" w:rsidRPr="00A07F29">
        <w:rPr>
          <w:rFonts w:ascii="Times New Roman" w:eastAsia="Calibri" w:hAnsi="Times New Roman" w:cs="Times New Roman"/>
          <w:sz w:val="24"/>
          <w:szCs w:val="24"/>
        </w:rPr>
        <w:t xml:space="preserve"> ezera aizsargjoslā;</w:t>
      </w:r>
    </w:p>
    <w:p w14:paraId="1A13F36D" w14:textId="70B00C04" w:rsidR="00B07340" w:rsidRPr="00A07F29" w:rsidRDefault="00B07340" w:rsidP="007100B7">
      <w:pPr>
        <w:spacing w:after="120" w:line="240" w:lineRule="auto"/>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1</w:t>
      </w:r>
      <w:r w:rsidR="00AF1F83" w:rsidRPr="00A07F29">
        <w:rPr>
          <w:rFonts w:ascii="Times New Roman" w:eastAsia="Calibri" w:hAnsi="Times New Roman" w:cs="Times New Roman"/>
          <w:sz w:val="24"/>
          <w:szCs w:val="24"/>
        </w:rPr>
        <w:t>2</w:t>
      </w:r>
      <w:r w:rsidRPr="00A07F29">
        <w:rPr>
          <w:rFonts w:ascii="Times New Roman" w:eastAsia="Calibri" w:hAnsi="Times New Roman" w:cs="Times New Roman"/>
          <w:sz w:val="24"/>
          <w:szCs w:val="24"/>
        </w:rPr>
        <w:t>.</w:t>
      </w:r>
      <w:r w:rsidR="00AF1F83" w:rsidRPr="00A07F29">
        <w:rPr>
          <w:rFonts w:ascii="Times New Roman" w:eastAsia="Calibri" w:hAnsi="Times New Roman" w:cs="Times New Roman"/>
          <w:sz w:val="24"/>
          <w:szCs w:val="24"/>
        </w:rPr>
        <w:t>2</w:t>
      </w:r>
      <w:r w:rsidR="00B912AA" w:rsidRPr="00A07F29">
        <w:rPr>
          <w:rFonts w:ascii="Times New Roman" w:eastAsia="Calibri" w:hAnsi="Times New Roman" w:cs="Times New Roman"/>
          <w:sz w:val="24"/>
          <w:szCs w:val="24"/>
        </w:rPr>
        <w:t>9</w:t>
      </w:r>
      <w:r w:rsidRPr="00A07F29">
        <w:rPr>
          <w:rFonts w:ascii="Times New Roman" w:eastAsia="Calibri" w:hAnsi="Times New Roman" w:cs="Times New Roman"/>
          <w:sz w:val="24"/>
          <w:szCs w:val="24"/>
        </w:rPr>
        <w:t>.</w:t>
      </w:r>
      <w:r w:rsidR="007100B7">
        <w:rPr>
          <w:rFonts w:ascii="Times New Roman" w:eastAsia="Calibri" w:hAnsi="Times New Roman" w:cs="Times New Roman"/>
          <w:sz w:val="24"/>
          <w:szCs w:val="24"/>
        </w:rPr>
        <w:t> </w:t>
      </w:r>
      <w:r w:rsidR="00BB7E34" w:rsidRPr="00A07F29">
        <w:rPr>
          <w:rFonts w:ascii="Times New Roman" w:eastAsia="Calibri" w:hAnsi="Times New Roman" w:cs="Times New Roman"/>
          <w:sz w:val="24"/>
          <w:szCs w:val="24"/>
        </w:rPr>
        <w:t>lai ierobežotu noēnojuma samazināšanu</w:t>
      </w:r>
      <w:r w:rsidR="00A760C7" w:rsidRPr="00A07F29">
        <w:rPr>
          <w:rFonts w:ascii="Times New Roman" w:eastAsia="Calibri" w:hAnsi="Times New Roman" w:cs="Times New Roman"/>
          <w:sz w:val="24"/>
          <w:szCs w:val="24"/>
        </w:rPr>
        <w:t xml:space="preserve"> –</w:t>
      </w:r>
      <w:r w:rsidR="00BB7E34" w:rsidRPr="00A07F29">
        <w:rPr>
          <w:rFonts w:ascii="Times New Roman" w:eastAsia="Calibri" w:hAnsi="Times New Roman" w:cs="Times New Roman"/>
          <w:sz w:val="24"/>
          <w:szCs w:val="24"/>
        </w:rPr>
        <w:t xml:space="preserve"> </w:t>
      </w:r>
      <w:r w:rsidRPr="00A07F29">
        <w:rPr>
          <w:rFonts w:ascii="Times New Roman" w:eastAsia="Calibri" w:hAnsi="Times New Roman" w:cs="Times New Roman"/>
          <w:sz w:val="24"/>
          <w:szCs w:val="24"/>
        </w:rPr>
        <w:t xml:space="preserve">veikt koku ciršanu ārpus meža </w:t>
      </w:r>
      <w:r w:rsidR="00E547DE" w:rsidRPr="00A07F29">
        <w:rPr>
          <w:rFonts w:ascii="Times New Roman" w:eastAsia="Calibri" w:hAnsi="Times New Roman" w:cs="Times New Roman"/>
          <w:sz w:val="24"/>
          <w:szCs w:val="24"/>
        </w:rPr>
        <w:t xml:space="preserve">50 m platā joslā </w:t>
      </w:r>
      <w:proofErr w:type="spellStart"/>
      <w:r w:rsidR="00E547DE" w:rsidRPr="00A07F29">
        <w:rPr>
          <w:rFonts w:ascii="Times New Roman" w:eastAsia="Calibri" w:hAnsi="Times New Roman" w:cs="Times New Roman"/>
          <w:sz w:val="24"/>
          <w:szCs w:val="24"/>
        </w:rPr>
        <w:t>Varnaviču</w:t>
      </w:r>
      <w:proofErr w:type="spellEnd"/>
      <w:r w:rsidR="00E547DE" w:rsidRPr="00A07F29">
        <w:rPr>
          <w:rFonts w:ascii="Times New Roman" w:eastAsia="Calibri" w:hAnsi="Times New Roman" w:cs="Times New Roman"/>
          <w:sz w:val="24"/>
          <w:szCs w:val="24"/>
        </w:rPr>
        <w:t xml:space="preserve"> ezera aizsargjoslā </w:t>
      </w:r>
      <w:r w:rsidRPr="00A07F29">
        <w:rPr>
          <w:rFonts w:ascii="Times New Roman" w:eastAsia="Calibri" w:hAnsi="Times New Roman" w:cs="Times New Roman"/>
          <w:sz w:val="24"/>
          <w:szCs w:val="24"/>
        </w:rPr>
        <w:t>bez Dabas aizsardzības pārvaldes rakstiskas atļaujas. Dabas aizsardzības pārvalde var uzskatīt par nepieciešamu saņemt saldūdeņu biotopu jomā sertificēta eksperta atzinumu;</w:t>
      </w:r>
    </w:p>
    <w:p w14:paraId="0A6E4969" w14:textId="69E0EAE6" w:rsidR="00B07340" w:rsidRPr="00A07F29" w:rsidRDefault="00B07340" w:rsidP="00B07340">
      <w:pPr>
        <w:spacing w:after="120" w:line="240" w:lineRule="auto"/>
        <w:rPr>
          <w:rFonts w:ascii="Times New Roman" w:eastAsia="Calibri" w:hAnsi="Times New Roman" w:cs="Times New Roman"/>
          <w:sz w:val="24"/>
          <w:szCs w:val="24"/>
        </w:rPr>
      </w:pPr>
      <w:r w:rsidRPr="00A07F29">
        <w:rPr>
          <w:rFonts w:ascii="Times New Roman" w:eastAsia="Calibri" w:hAnsi="Times New Roman" w:cs="Times New Roman"/>
          <w:sz w:val="24"/>
          <w:szCs w:val="24"/>
        </w:rPr>
        <w:t>1</w:t>
      </w:r>
      <w:r w:rsidR="00AF1F83" w:rsidRPr="00A07F29">
        <w:rPr>
          <w:rFonts w:ascii="Times New Roman" w:eastAsia="Calibri" w:hAnsi="Times New Roman" w:cs="Times New Roman"/>
          <w:sz w:val="24"/>
          <w:szCs w:val="24"/>
        </w:rPr>
        <w:t>2</w:t>
      </w:r>
      <w:r w:rsidRPr="00A07F29">
        <w:rPr>
          <w:rFonts w:ascii="Times New Roman" w:eastAsia="Calibri" w:hAnsi="Times New Roman" w:cs="Times New Roman"/>
          <w:sz w:val="24"/>
          <w:szCs w:val="24"/>
        </w:rPr>
        <w:t>.</w:t>
      </w:r>
      <w:r w:rsidR="00B912AA" w:rsidRPr="00A07F29">
        <w:rPr>
          <w:rFonts w:ascii="Times New Roman" w:eastAsia="Calibri" w:hAnsi="Times New Roman" w:cs="Times New Roman"/>
          <w:sz w:val="24"/>
          <w:szCs w:val="24"/>
        </w:rPr>
        <w:t>30</w:t>
      </w:r>
      <w:r w:rsidRPr="00A07F29">
        <w:rPr>
          <w:rFonts w:ascii="Times New Roman" w:eastAsia="Calibri" w:hAnsi="Times New Roman" w:cs="Times New Roman"/>
          <w:sz w:val="24"/>
          <w:szCs w:val="24"/>
        </w:rPr>
        <w:t>.</w:t>
      </w:r>
      <w:r w:rsidR="00545758">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veikt </w:t>
      </w:r>
      <w:proofErr w:type="spellStart"/>
      <w:r w:rsidRPr="00A07F29">
        <w:rPr>
          <w:rFonts w:ascii="Times New Roman" w:eastAsia="Calibri" w:hAnsi="Times New Roman" w:cs="Times New Roman"/>
          <w:sz w:val="24"/>
          <w:szCs w:val="24"/>
        </w:rPr>
        <w:t>Varnaviču</w:t>
      </w:r>
      <w:proofErr w:type="spellEnd"/>
      <w:r w:rsidRPr="00A07F29">
        <w:rPr>
          <w:rFonts w:ascii="Times New Roman" w:eastAsia="Calibri" w:hAnsi="Times New Roman" w:cs="Times New Roman"/>
          <w:sz w:val="24"/>
          <w:szCs w:val="24"/>
        </w:rPr>
        <w:t xml:space="preserve"> ezera piekrastes padziļināšanu;</w:t>
      </w:r>
    </w:p>
    <w:p w14:paraId="4402E616" w14:textId="453881F6" w:rsidR="00B07340" w:rsidRPr="00A07F29" w:rsidRDefault="00B07340" w:rsidP="00DC3C4D">
      <w:pPr>
        <w:spacing w:after="120" w:line="240" w:lineRule="auto"/>
        <w:jc w:val="both"/>
        <w:rPr>
          <w:rFonts w:ascii="Times New Roman" w:eastAsia="Calibri" w:hAnsi="Times New Roman" w:cs="Times New Roman"/>
          <w:sz w:val="24"/>
          <w:szCs w:val="24"/>
        </w:rPr>
      </w:pPr>
      <w:r w:rsidRPr="00A07F29">
        <w:rPr>
          <w:rFonts w:ascii="Times New Roman" w:eastAsia="Calibri" w:hAnsi="Times New Roman" w:cs="Times New Roman"/>
          <w:sz w:val="24"/>
          <w:szCs w:val="24"/>
        </w:rPr>
        <w:t>1</w:t>
      </w:r>
      <w:r w:rsidR="00AF1F83" w:rsidRPr="00A07F29">
        <w:rPr>
          <w:rFonts w:ascii="Times New Roman" w:eastAsia="Calibri" w:hAnsi="Times New Roman" w:cs="Times New Roman"/>
          <w:sz w:val="24"/>
          <w:szCs w:val="24"/>
        </w:rPr>
        <w:t>2</w:t>
      </w:r>
      <w:r w:rsidRPr="00A07F29">
        <w:rPr>
          <w:rFonts w:ascii="Times New Roman" w:eastAsia="Calibri" w:hAnsi="Times New Roman" w:cs="Times New Roman"/>
          <w:sz w:val="24"/>
          <w:szCs w:val="24"/>
        </w:rPr>
        <w:t>.</w:t>
      </w:r>
      <w:r w:rsidR="00AF1F83" w:rsidRPr="00A07F29">
        <w:rPr>
          <w:rFonts w:ascii="Times New Roman" w:eastAsia="Calibri" w:hAnsi="Times New Roman" w:cs="Times New Roman"/>
          <w:sz w:val="24"/>
          <w:szCs w:val="24"/>
        </w:rPr>
        <w:t>3</w:t>
      </w:r>
      <w:r w:rsidR="00B912AA" w:rsidRPr="00A07F29">
        <w:rPr>
          <w:rFonts w:ascii="Times New Roman" w:eastAsia="Calibri" w:hAnsi="Times New Roman" w:cs="Times New Roman"/>
          <w:sz w:val="24"/>
          <w:szCs w:val="24"/>
        </w:rPr>
        <w:t>1</w:t>
      </w:r>
      <w:r w:rsidRPr="00A07F29">
        <w:rPr>
          <w:rFonts w:ascii="Times New Roman" w:eastAsia="Calibri" w:hAnsi="Times New Roman" w:cs="Times New Roman"/>
          <w:sz w:val="24"/>
          <w:szCs w:val="24"/>
        </w:rPr>
        <w:t>.</w:t>
      </w:r>
      <w:r w:rsidR="00DC3C4D">
        <w:rPr>
          <w:rFonts w:ascii="Times New Roman" w:eastAsia="Calibri" w:hAnsi="Times New Roman" w:cs="Times New Roman"/>
          <w:sz w:val="24"/>
          <w:szCs w:val="24"/>
        </w:rPr>
        <w:t> </w:t>
      </w:r>
      <w:proofErr w:type="spellStart"/>
      <w:r w:rsidR="007F406F" w:rsidRPr="00A07F29">
        <w:rPr>
          <w:rFonts w:ascii="Times New Roman" w:eastAsia="Calibri" w:hAnsi="Times New Roman" w:cs="Times New Roman"/>
          <w:sz w:val="24"/>
          <w:szCs w:val="24"/>
        </w:rPr>
        <w:t>Varnaviču</w:t>
      </w:r>
      <w:proofErr w:type="spellEnd"/>
      <w:r w:rsidR="007F406F" w:rsidRPr="00A07F29">
        <w:rPr>
          <w:rFonts w:ascii="Times New Roman" w:eastAsia="Calibri" w:hAnsi="Times New Roman" w:cs="Times New Roman"/>
          <w:sz w:val="24"/>
          <w:szCs w:val="24"/>
        </w:rPr>
        <w:t xml:space="preserve"> ezerā </w:t>
      </w:r>
      <w:r w:rsidRPr="00A07F29">
        <w:rPr>
          <w:rFonts w:ascii="Times New Roman" w:eastAsia="Calibri" w:hAnsi="Times New Roman" w:cs="Times New Roman"/>
          <w:sz w:val="24"/>
          <w:szCs w:val="24"/>
        </w:rPr>
        <w:t>veikt piekrastes tīrīšanu vairāk kā 10 m</w:t>
      </w:r>
      <w:r w:rsidR="00DC3C4D">
        <w:rPr>
          <w:rFonts w:ascii="Times New Roman" w:eastAsia="Calibri" w:hAnsi="Times New Roman" w:cs="Times New Roman"/>
          <w:sz w:val="24"/>
          <w:szCs w:val="24"/>
        </w:rPr>
        <w:t>etru</w:t>
      </w:r>
      <w:r w:rsidRPr="00A07F29">
        <w:rPr>
          <w:rFonts w:ascii="Times New Roman" w:eastAsia="Calibri" w:hAnsi="Times New Roman" w:cs="Times New Roman"/>
          <w:sz w:val="24"/>
          <w:szCs w:val="24"/>
        </w:rPr>
        <w:t xml:space="preserve"> garā piekrastes posmā </w:t>
      </w:r>
      <w:r w:rsidR="00F51D3F" w:rsidRPr="00A07F29">
        <w:rPr>
          <w:rFonts w:ascii="Times New Roman" w:eastAsia="Calibri" w:hAnsi="Times New Roman" w:cs="Times New Roman"/>
          <w:sz w:val="24"/>
          <w:szCs w:val="24"/>
        </w:rPr>
        <w:t xml:space="preserve">katrā ezeram piegulošajā zemes vienībā </w:t>
      </w:r>
      <w:r w:rsidRPr="00A07F29">
        <w:rPr>
          <w:rFonts w:ascii="Times New Roman" w:eastAsia="Calibri" w:hAnsi="Times New Roman" w:cs="Times New Roman"/>
          <w:sz w:val="24"/>
          <w:szCs w:val="24"/>
        </w:rPr>
        <w:t xml:space="preserve">un vairāk kā </w:t>
      </w:r>
      <w:proofErr w:type="spellStart"/>
      <w:r w:rsidRPr="00A07F29">
        <w:rPr>
          <w:rFonts w:ascii="Times New Roman" w:eastAsia="Calibri" w:hAnsi="Times New Roman" w:cs="Times New Roman"/>
          <w:sz w:val="24"/>
          <w:szCs w:val="24"/>
        </w:rPr>
        <w:t>virsūdens</w:t>
      </w:r>
      <w:proofErr w:type="spellEnd"/>
      <w:r w:rsidRPr="00A07F29">
        <w:rPr>
          <w:rFonts w:ascii="Times New Roman" w:eastAsia="Calibri" w:hAnsi="Times New Roman" w:cs="Times New Roman"/>
          <w:sz w:val="24"/>
          <w:szCs w:val="24"/>
        </w:rPr>
        <w:t xml:space="preserve"> augāja joslas platumā (maksimāli 10 m</w:t>
      </w:r>
      <w:r w:rsidR="00DC3C4D">
        <w:rPr>
          <w:rFonts w:ascii="Times New Roman" w:eastAsia="Calibri" w:hAnsi="Times New Roman" w:cs="Times New Roman"/>
          <w:sz w:val="24"/>
          <w:szCs w:val="24"/>
        </w:rPr>
        <w:t>etru</w:t>
      </w:r>
      <w:r w:rsidRPr="00A07F29">
        <w:rPr>
          <w:rFonts w:ascii="Times New Roman" w:eastAsia="Calibri" w:hAnsi="Times New Roman" w:cs="Times New Roman"/>
          <w:sz w:val="24"/>
          <w:szCs w:val="24"/>
        </w:rPr>
        <w:t xml:space="preserve"> platā joslā);</w:t>
      </w:r>
    </w:p>
    <w:p w14:paraId="3E41A286" w14:textId="2CDB978C" w:rsidR="00B07340" w:rsidRPr="00A07F29" w:rsidRDefault="00B07340" w:rsidP="00B07340">
      <w:pPr>
        <w:spacing w:after="120" w:line="240" w:lineRule="auto"/>
        <w:rPr>
          <w:rFonts w:ascii="Times New Roman" w:eastAsia="Calibri" w:hAnsi="Times New Roman" w:cs="Times New Roman"/>
          <w:sz w:val="24"/>
          <w:szCs w:val="24"/>
        </w:rPr>
      </w:pPr>
      <w:r w:rsidRPr="00A07F29">
        <w:rPr>
          <w:rFonts w:ascii="Times New Roman" w:eastAsia="Calibri" w:hAnsi="Times New Roman" w:cs="Times New Roman"/>
          <w:sz w:val="24"/>
          <w:szCs w:val="24"/>
        </w:rPr>
        <w:t>1</w:t>
      </w:r>
      <w:r w:rsidR="00AF1F83" w:rsidRPr="00A07F29">
        <w:rPr>
          <w:rFonts w:ascii="Times New Roman" w:eastAsia="Calibri" w:hAnsi="Times New Roman" w:cs="Times New Roman"/>
          <w:sz w:val="24"/>
          <w:szCs w:val="24"/>
        </w:rPr>
        <w:t>2</w:t>
      </w:r>
      <w:r w:rsidRPr="00A07F29">
        <w:rPr>
          <w:rFonts w:ascii="Times New Roman" w:eastAsia="Calibri" w:hAnsi="Times New Roman" w:cs="Times New Roman"/>
          <w:sz w:val="24"/>
          <w:szCs w:val="24"/>
        </w:rPr>
        <w:t>.</w:t>
      </w:r>
      <w:r w:rsidR="00AF1F83" w:rsidRPr="00A07F29">
        <w:rPr>
          <w:rFonts w:ascii="Times New Roman" w:eastAsia="Calibri" w:hAnsi="Times New Roman" w:cs="Times New Roman"/>
          <w:sz w:val="24"/>
          <w:szCs w:val="24"/>
        </w:rPr>
        <w:t>3</w:t>
      </w:r>
      <w:r w:rsidR="00B912AA" w:rsidRPr="00A07F29">
        <w:rPr>
          <w:rFonts w:ascii="Times New Roman" w:eastAsia="Calibri" w:hAnsi="Times New Roman" w:cs="Times New Roman"/>
          <w:sz w:val="24"/>
          <w:szCs w:val="24"/>
        </w:rPr>
        <w:t>2</w:t>
      </w:r>
      <w:r w:rsidRPr="00A07F29">
        <w:rPr>
          <w:rFonts w:ascii="Times New Roman" w:eastAsia="Calibri" w:hAnsi="Times New Roman" w:cs="Times New Roman"/>
          <w:sz w:val="24"/>
          <w:szCs w:val="24"/>
        </w:rPr>
        <w:t>.</w:t>
      </w:r>
      <w:r w:rsidR="00DC3C4D">
        <w:rPr>
          <w:rFonts w:ascii="Times New Roman" w:eastAsia="Calibri" w:hAnsi="Times New Roman" w:cs="Times New Roman"/>
          <w:sz w:val="24"/>
          <w:szCs w:val="24"/>
        </w:rPr>
        <w:t> </w:t>
      </w:r>
      <w:r w:rsidR="00A760C7" w:rsidRPr="00A07F29">
        <w:rPr>
          <w:rFonts w:ascii="Times New Roman" w:eastAsia="Calibri" w:hAnsi="Times New Roman" w:cs="Times New Roman"/>
          <w:sz w:val="24"/>
          <w:szCs w:val="24"/>
        </w:rPr>
        <w:t xml:space="preserve">lai saglabātu iegrimušo augāju </w:t>
      </w:r>
      <w:proofErr w:type="spellStart"/>
      <w:r w:rsidR="007F406F" w:rsidRPr="00A07F29">
        <w:rPr>
          <w:rFonts w:ascii="Times New Roman" w:eastAsia="Calibri" w:hAnsi="Times New Roman" w:cs="Times New Roman"/>
          <w:sz w:val="24"/>
          <w:szCs w:val="24"/>
        </w:rPr>
        <w:t>Varnaviču</w:t>
      </w:r>
      <w:proofErr w:type="spellEnd"/>
      <w:r w:rsidR="007F406F" w:rsidRPr="00A07F29">
        <w:rPr>
          <w:rFonts w:ascii="Times New Roman" w:eastAsia="Calibri" w:hAnsi="Times New Roman" w:cs="Times New Roman"/>
          <w:sz w:val="24"/>
          <w:szCs w:val="24"/>
        </w:rPr>
        <w:t xml:space="preserve"> ezerā </w:t>
      </w:r>
      <w:r w:rsidR="00A760C7" w:rsidRPr="00A07F29">
        <w:rPr>
          <w:rFonts w:ascii="Times New Roman" w:eastAsia="Calibri" w:hAnsi="Times New Roman" w:cs="Times New Roman"/>
          <w:sz w:val="24"/>
          <w:szCs w:val="24"/>
        </w:rPr>
        <w:t xml:space="preserve">– </w:t>
      </w:r>
      <w:r w:rsidRPr="00A07F29">
        <w:rPr>
          <w:rFonts w:ascii="Times New Roman" w:eastAsia="Calibri" w:hAnsi="Times New Roman" w:cs="Times New Roman"/>
          <w:sz w:val="24"/>
          <w:szCs w:val="24"/>
        </w:rPr>
        <w:t>veikt piekrastes tīrīšanu vietās</w:t>
      </w:r>
      <w:r w:rsidR="007F406F" w:rsidRPr="00A07F29">
        <w:rPr>
          <w:rFonts w:ascii="Times New Roman" w:eastAsia="Calibri" w:hAnsi="Times New Roman" w:cs="Times New Roman"/>
          <w:sz w:val="24"/>
          <w:szCs w:val="24"/>
        </w:rPr>
        <w:t xml:space="preserve">, kur nav </w:t>
      </w:r>
      <w:proofErr w:type="spellStart"/>
      <w:r w:rsidR="007F406F" w:rsidRPr="00A07F29">
        <w:rPr>
          <w:rFonts w:ascii="Times New Roman" w:eastAsia="Calibri" w:hAnsi="Times New Roman" w:cs="Times New Roman"/>
          <w:sz w:val="24"/>
          <w:szCs w:val="24"/>
        </w:rPr>
        <w:t>virsūdens</w:t>
      </w:r>
      <w:proofErr w:type="spellEnd"/>
      <w:r w:rsidR="007F406F" w:rsidRPr="00A07F29">
        <w:rPr>
          <w:rFonts w:ascii="Times New Roman" w:eastAsia="Calibri" w:hAnsi="Times New Roman" w:cs="Times New Roman"/>
          <w:sz w:val="24"/>
          <w:szCs w:val="24"/>
        </w:rPr>
        <w:t xml:space="preserve"> augu joslas</w:t>
      </w:r>
      <w:r w:rsidRPr="00A07F29">
        <w:rPr>
          <w:rFonts w:ascii="Times New Roman" w:eastAsia="Calibri" w:hAnsi="Times New Roman" w:cs="Times New Roman"/>
          <w:sz w:val="24"/>
          <w:szCs w:val="24"/>
        </w:rPr>
        <w:t>;</w:t>
      </w:r>
    </w:p>
    <w:p w14:paraId="7704C1EC" w14:textId="3F2D4481" w:rsidR="00B07340" w:rsidRPr="00A07F29" w:rsidRDefault="00B07340" w:rsidP="00B07340">
      <w:pPr>
        <w:spacing w:after="120" w:line="240" w:lineRule="auto"/>
        <w:rPr>
          <w:rFonts w:ascii="Times New Roman" w:eastAsia="Calibri" w:hAnsi="Times New Roman" w:cs="Times New Roman"/>
          <w:sz w:val="24"/>
          <w:szCs w:val="24"/>
        </w:rPr>
      </w:pPr>
      <w:r w:rsidRPr="00A07F29">
        <w:rPr>
          <w:rFonts w:ascii="Times New Roman" w:eastAsia="Calibri" w:hAnsi="Times New Roman" w:cs="Times New Roman"/>
          <w:sz w:val="24"/>
          <w:szCs w:val="24"/>
        </w:rPr>
        <w:t>1</w:t>
      </w:r>
      <w:r w:rsidR="00AF1F83" w:rsidRPr="00A07F29">
        <w:rPr>
          <w:rFonts w:ascii="Times New Roman" w:eastAsia="Calibri" w:hAnsi="Times New Roman" w:cs="Times New Roman"/>
          <w:sz w:val="24"/>
          <w:szCs w:val="24"/>
        </w:rPr>
        <w:t>2</w:t>
      </w:r>
      <w:r w:rsidRPr="00A07F29">
        <w:rPr>
          <w:rFonts w:ascii="Times New Roman" w:eastAsia="Calibri" w:hAnsi="Times New Roman" w:cs="Times New Roman"/>
          <w:sz w:val="24"/>
          <w:szCs w:val="24"/>
        </w:rPr>
        <w:t>.</w:t>
      </w:r>
      <w:r w:rsidR="00AF1F83" w:rsidRPr="00A07F29">
        <w:rPr>
          <w:rFonts w:ascii="Times New Roman" w:eastAsia="Calibri" w:hAnsi="Times New Roman" w:cs="Times New Roman"/>
          <w:sz w:val="24"/>
          <w:szCs w:val="24"/>
        </w:rPr>
        <w:t>3</w:t>
      </w:r>
      <w:r w:rsidR="00B912AA" w:rsidRPr="00A07F29">
        <w:rPr>
          <w:rFonts w:ascii="Times New Roman" w:eastAsia="Calibri" w:hAnsi="Times New Roman" w:cs="Times New Roman"/>
          <w:sz w:val="24"/>
          <w:szCs w:val="24"/>
        </w:rPr>
        <w:t>3</w:t>
      </w:r>
      <w:r w:rsidRPr="00A07F29">
        <w:rPr>
          <w:rFonts w:ascii="Times New Roman" w:eastAsia="Calibri" w:hAnsi="Times New Roman" w:cs="Times New Roman"/>
          <w:sz w:val="24"/>
          <w:szCs w:val="24"/>
        </w:rPr>
        <w:t>.</w:t>
      </w:r>
      <w:r w:rsidR="00383981">
        <w:rPr>
          <w:rFonts w:ascii="Times New Roman" w:eastAsia="Calibri" w:hAnsi="Times New Roman" w:cs="Times New Roman"/>
          <w:sz w:val="24"/>
          <w:szCs w:val="24"/>
        </w:rPr>
        <w:t> </w:t>
      </w:r>
      <w:r w:rsidRPr="00A07F29">
        <w:rPr>
          <w:rFonts w:ascii="Times New Roman" w:eastAsia="Calibri" w:hAnsi="Times New Roman" w:cs="Times New Roman"/>
          <w:sz w:val="24"/>
          <w:szCs w:val="24"/>
        </w:rPr>
        <w:t xml:space="preserve">pļaut vai izņemt </w:t>
      </w:r>
      <w:proofErr w:type="spellStart"/>
      <w:r w:rsidRPr="00A07F29">
        <w:rPr>
          <w:rFonts w:ascii="Times New Roman" w:eastAsia="Calibri" w:hAnsi="Times New Roman" w:cs="Times New Roman"/>
          <w:sz w:val="24"/>
          <w:szCs w:val="24"/>
        </w:rPr>
        <w:t>makrofītus</w:t>
      </w:r>
      <w:proofErr w:type="spellEnd"/>
      <w:r w:rsidRPr="00A07F29">
        <w:rPr>
          <w:rFonts w:ascii="Times New Roman" w:eastAsia="Calibri" w:hAnsi="Times New Roman" w:cs="Times New Roman"/>
          <w:sz w:val="24"/>
          <w:szCs w:val="24"/>
        </w:rPr>
        <w:t xml:space="preserve"> </w:t>
      </w:r>
      <w:proofErr w:type="spellStart"/>
      <w:r w:rsidRPr="00A07F29">
        <w:rPr>
          <w:rFonts w:ascii="Times New Roman" w:eastAsia="Calibri" w:hAnsi="Times New Roman" w:cs="Times New Roman"/>
          <w:sz w:val="24"/>
          <w:szCs w:val="24"/>
        </w:rPr>
        <w:t>Šilovkas</w:t>
      </w:r>
      <w:proofErr w:type="spellEnd"/>
      <w:r w:rsidRPr="00A07F29">
        <w:rPr>
          <w:rFonts w:ascii="Times New Roman" w:eastAsia="Calibri" w:hAnsi="Times New Roman" w:cs="Times New Roman"/>
          <w:sz w:val="24"/>
          <w:szCs w:val="24"/>
        </w:rPr>
        <w:t xml:space="preserve"> un </w:t>
      </w:r>
      <w:proofErr w:type="spellStart"/>
      <w:r w:rsidRPr="00A07F29">
        <w:rPr>
          <w:rFonts w:ascii="Times New Roman" w:eastAsia="Calibri" w:hAnsi="Times New Roman" w:cs="Times New Roman"/>
          <w:sz w:val="24"/>
          <w:szCs w:val="24"/>
        </w:rPr>
        <w:t>Balticas</w:t>
      </w:r>
      <w:proofErr w:type="spellEnd"/>
      <w:r w:rsidRPr="00A07F29">
        <w:rPr>
          <w:rFonts w:ascii="Times New Roman" w:eastAsia="Calibri" w:hAnsi="Times New Roman" w:cs="Times New Roman"/>
          <w:sz w:val="24"/>
          <w:szCs w:val="24"/>
        </w:rPr>
        <w:t xml:space="preserve"> ezeros;</w:t>
      </w:r>
    </w:p>
    <w:p w14:paraId="47776909" w14:textId="103B8629" w:rsidR="00ED0BA1" w:rsidRPr="00A07F29" w:rsidRDefault="00ED0BA1" w:rsidP="00ED0BA1">
      <w:pPr>
        <w:spacing w:after="120" w:line="240" w:lineRule="auto"/>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1</w:t>
      </w:r>
      <w:r w:rsidR="00B912AA" w:rsidRPr="00A07F29">
        <w:rPr>
          <w:rFonts w:ascii="Times New Roman" w:eastAsia="Times New Roman" w:hAnsi="Times New Roman" w:cs="Times New Roman"/>
          <w:sz w:val="24"/>
          <w:szCs w:val="24"/>
          <w:lang w:eastAsia="lv-LV"/>
        </w:rPr>
        <w:t>2</w:t>
      </w:r>
      <w:r w:rsidRPr="00A07F29">
        <w:rPr>
          <w:rFonts w:ascii="Times New Roman" w:eastAsia="Times New Roman" w:hAnsi="Times New Roman" w:cs="Times New Roman"/>
          <w:sz w:val="24"/>
          <w:szCs w:val="24"/>
          <w:lang w:eastAsia="lv-LV"/>
        </w:rPr>
        <w:t>.</w:t>
      </w:r>
      <w:r w:rsidR="00B912AA" w:rsidRPr="00A07F29">
        <w:rPr>
          <w:rFonts w:ascii="Times New Roman" w:eastAsia="Times New Roman" w:hAnsi="Times New Roman" w:cs="Times New Roman"/>
          <w:sz w:val="24"/>
          <w:szCs w:val="24"/>
          <w:lang w:eastAsia="lv-LV"/>
        </w:rPr>
        <w:t>34</w:t>
      </w:r>
      <w:r w:rsidRPr="00A07F29">
        <w:rPr>
          <w:rFonts w:ascii="Times New Roman" w:eastAsia="Times New Roman" w:hAnsi="Times New Roman" w:cs="Times New Roman"/>
          <w:sz w:val="24"/>
          <w:szCs w:val="24"/>
          <w:lang w:eastAsia="lv-LV"/>
        </w:rPr>
        <w:t>.</w:t>
      </w:r>
      <w:r w:rsidR="00172456">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iznīcināt vai pārveidot ainavai raksturīgās apbūves kultūrvēsturiskos elementus;</w:t>
      </w:r>
    </w:p>
    <w:p w14:paraId="13E4D5F1" w14:textId="745055EA" w:rsidR="00C952D4" w:rsidRPr="00A07F29" w:rsidRDefault="0E6B778D" w:rsidP="00AA0304">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1</w:t>
      </w:r>
      <w:r w:rsidR="00B912AA" w:rsidRPr="00A07F29">
        <w:rPr>
          <w:rFonts w:ascii="Times New Roman" w:eastAsia="Times New Roman" w:hAnsi="Times New Roman" w:cs="Times New Roman"/>
          <w:sz w:val="24"/>
          <w:szCs w:val="24"/>
          <w:lang w:eastAsia="lv-LV"/>
        </w:rPr>
        <w:t>2</w:t>
      </w:r>
      <w:r w:rsidRPr="00A07F29">
        <w:rPr>
          <w:rFonts w:ascii="Times New Roman" w:eastAsia="Times New Roman" w:hAnsi="Times New Roman" w:cs="Times New Roman"/>
          <w:sz w:val="24"/>
          <w:szCs w:val="24"/>
          <w:lang w:eastAsia="lv-LV"/>
        </w:rPr>
        <w:t>.</w:t>
      </w:r>
      <w:r w:rsidR="00B912AA" w:rsidRPr="00A07F29">
        <w:rPr>
          <w:rFonts w:ascii="Times New Roman" w:eastAsia="Times New Roman" w:hAnsi="Times New Roman" w:cs="Times New Roman"/>
          <w:sz w:val="24"/>
          <w:szCs w:val="24"/>
          <w:lang w:eastAsia="lv-LV"/>
        </w:rPr>
        <w:t>3</w:t>
      </w:r>
      <w:r w:rsidRPr="00A07F29">
        <w:rPr>
          <w:rFonts w:ascii="Times New Roman" w:eastAsia="Times New Roman" w:hAnsi="Times New Roman" w:cs="Times New Roman"/>
          <w:sz w:val="24"/>
          <w:szCs w:val="24"/>
          <w:lang w:eastAsia="lv-LV"/>
        </w:rPr>
        <w:t>5.</w:t>
      </w:r>
      <w:r w:rsidR="00172456">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ainaviski vērtīg</w:t>
      </w:r>
      <w:r w:rsidR="004901BF" w:rsidRPr="00A07F29">
        <w:rPr>
          <w:rFonts w:ascii="Times New Roman" w:eastAsia="Times New Roman" w:hAnsi="Times New Roman" w:cs="Times New Roman"/>
          <w:sz w:val="24"/>
          <w:szCs w:val="24"/>
          <w:lang w:eastAsia="lv-LV"/>
        </w:rPr>
        <w:t>aj</w:t>
      </w:r>
      <w:r w:rsidRPr="00A07F29">
        <w:rPr>
          <w:rFonts w:ascii="Times New Roman" w:eastAsia="Times New Roman" w:hAnsi="Times New Roman" w:cs="Times New Roman"/>
          <w:sz w:val="24"/>
          <w:szCs w:val="24"/>
          <w:lang w:eastAsia="lv-LV"/>
        </w:rPr>
        <w:t>ās teritorijās, k</w:t>
      </w:r>
      <w:r w:rsidR="00526056" w:rsidRPr="00A07F29">
        <w:rPr>
          <w:rFonts w:ascii="Times New Roman" w:eastAsia="Times New Roman" w:hAnsi="Times New Roman" w:cs="Times New Roman"/>
          <w:sz w:val="24"/>
          <w:szCs w:val="24"/>
          <w:lang w:eastAsia="lv-LV"/>
        </w:rPr>
        <w:t>ur</w:t>
      </w:r>
      <w:r w:rsidRPr="00A07F29">
        <w:rPr>
          <w:rFonts w:ascii="Times New Roman" w:eastAsia="Times New Roman" w:hAnsi="Times New Roman" w:cs="Times New Roman"/>
          <w:sz w:val="24"/>
          <w:szCs w:val="24"/>
          <w:lang w:eastAsia="lv-LV"/>
        </w:rPr>
        <w:t>as noteiktas</w:t>
      </w:r>
      <w:r w:rsidR="004901BF" w:rsidRPr="00A07F29">
        <w:rPr>
          <w:rFonts w:ascii="Times New Roman" w:eastAsia="Times New Roman" w:hAnsi="Times New Roman" w:cs="Times New Roman"/>
          <w:sz w:val="24"/>
          <w:szCs w:val="24"/>
          <w:lang w:eastAsia="lv-LV"/>
        </w:rPr>
        <w:t xml:space="preserve"> </w:t>
      </w:r>
      <w:r w:rsidR="003E022D" w:rsidRPr="00A07F29">
        <w:rPr>
          <w:rFonts w:ascii="Times New Roman" w:eastAsia="Times New Roman" w:hAnsi="Times New Roman" w:cs="Times New Roman"/>
          <w:sz w:val="24"/>
          <w:szCs w:val="24"/>
          <w:lang w:eastAsia="lv-LV"/>
        </w:rPr>
        <w:t>š</w:t>
      </w:r>
      <w:r w:rsidR="005933B5" w:rsidRPr="00A07F29">
        <w:rPr>
          <w:rFonts w:ascii="Times New Roman" w:eastAsia="Times New Roman" w:hAnsi="Times New Roman" w:cs="Times New Roman"/>
          <w:sz w:val="24"/>
          <w:szCs w:val="24"/>
          <w:lang w:eastAsia="lv-LV"/>
        </w:rPr>
        <w:t xml:space="preserve">o noteikumu </w:t>
      </w:r>
      <w:r w:rsidR="004901BF" w:rsidRPr="00A07F29">
        <w:rPr>
          <w:rFonts w:ascii="Times New Roman" w:eastAsia="Times New Roman" w:hAnsi="Times New Roman" w:cs="Times New Roman"/>
          <w:sz w:val="24"/>
          <w:szCs w:val="24"/>
          <w:lang w:eastAsia="lv-LV"/>
        </w:rPr>
        <w:t>1</w:t>
      </w:r>
      <w:r w:rsidRPr="00A07F29">
        <w:rPr>
          <w:rFonts w:ascii="Times New Roman" w:eastAsia="Times New Roman" w:hAnsi="Times New Roman" w:cs="Times New Roman"/>
          <w:sz w:val="24"/>
          <w:szCs w:val="24"/>
          <w:lang w:eastAsia="lv-LV"/>
        </w:rPr>
        <w:t>.</w:t>
      </w:r>
      <w:r w:rsidR="00AA0304">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 xml:space="preserve">pielikumā (skat. DA plāna </w:t>
      </w:r>
      <w:r w:rsidR="004901BF" w:rsidRPr="00A07F29">
        <w:rPr>
          <w:rFonts w:ascii="Times New Roman" w:eastAsia="Times New Roman" w:hAnsi="Times New Roman" w:cs="Times New Roman"/>
          <w:sz w:val="24"/>
          <w:szCs w:val="24"/>
          <w:lang w:eastAsia="lv-LV"/>
        </w:rPr>
        <w:t>6. pielikum</w:t>
      </w:r>
      <w:r w:rsidRPr="00A07F29">
        <w:rPr>
          <w:rFonts w:ascii="Times New Roman" w:eastAsia="Times New Roman" w:hAnsi="Times New Roman" w:cs="Times New Roman"/>
          <w:sz w:val="24"/>
          <w:szCs w:val="24"/>
          <w:lang w:eastAsia="lv-LV"/>
        </w:rPr>
        <w:t>u), veikt darbības, kas būtiski negatīvi ietekmē ainavu un tās elementus, izmaina kultūrvēsturiskās vides īpatnības un reģionam raksturīgos ainavu elementus vai samazina bioloģisko daudzveidību un ainavas ekoloģisko kvalitāti:</w:t>
      </w:r>
    </w:p>
    <w:p w14:paraId="4CF0444F" w14:textId="086C79EA" w:rsidR="00C952D4" w:rsidRPr="00A07F29" w:rsidRDefault="0E6B778D" w:rsidP="00B912AA">
      <w:pPr>
        <w:spacing w:after="120" w:line="240" w:lineRule="auto"/>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1</w:t>
      </w:r>
      <w:r w:rsidR="00B912AA" w:rsidRPr="00A07F29">
        <w:rPr>
          <w:rFonts w:ascii="Times New Roman" w:eastAsia="Times New Roman" w:hAnsi="Times New Roman" w:cs="Times New Roman"/>
          <w:sz w:val="24"/>
          <w:szCs w:val="24"/>
          <w:lang w:eastAsia="lv-LV"/>
        </w:rPr>
        <w:t>2</w:t>
      </w:r>
      <w:r w:rsidRPr="00A07F29">
        <w:rPr>
          <w:rFonts w:ascii="Times New Roman" w:eastAsia="Times New Roman" w:hAnsi="Times New Roman" w:cs="Times New Roman"/>
          <w:sz w:val="24"/>
          <w:szCs w:val="24"/>
          <w:lang w:eastAsia="lv-LV"/>
        </w:rPr>
        <w:t>.</w:t>
      </w:r>
      <w:r w:rsidR="00B912AA" w:rsidRPr="00A07F29">
        <w:rPr>
          <w:rFonts w:ascii="Times New Roman" w:eastAsia="Times New Roman" w:hAnsi="Times New Roman" w:cs="Times New Roman"/>
          <w:sz w:val="24"/>
          <w:szCs w:val="24"/>
          <w:lang w:eastAsia="lv-LV"/>
        </w:rPr>
        <w:t>3</w:t>
      </w:r>
      <w:r w:rsidRPr="00A07F29">
        <w:rPr>
          <w:rFonts w:ascii="Times New Roman" w:eastAsia="Times New Roman" w:hAnsi="Times New Roman" w:cs="Times New Roman"/>
          <w:sz w:val="24"/>
          <w:szCs w:val="24"/>
          <w:lang w:eastAsia="lv-LV"/>
        </w:rPr>
        <w:t>5.1.</w:t>
      </w:r>
      <w:r w:rsidR="005F0B92">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lauksaimniecības zemju, tajā skaitā zālāju, apmežošanu;</w:t>
      </w:r>
    </w:p>
    <w:p w14:paraId="5CAED9E0" w14:textId="0C37058B" w:rsidR="0E6B778D" w:rsidRPr="00A07F29" w:rsidRDefault="0E6B778D" w:rsidP="00B912AA">
      <w:pPr>
        <w:spacing w:after="120" w:line="240" w:lineRule="auto"/>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1</w:t>
      </w:r>
      <w:r w:rsidR="00B912AA" w:rsidRPr="00A07F29">
        <w:rPr>
          <w:rFonts w:ascii="Times New Roman" w:eastAsia="Times New Roman" w:hAnsi="Times New Roman" w:cs="Times New Roman"/>
          <w:sz w:val="24"/>
          <w:szCs w:val="24"/>
          <w:lang w:eastAsia="lv-LV"/>
        </w:rPr>
        <w:t>2</w:t>
      </w:r>
      <w:r w:rsidRPr="00A07F29">
        <w:rPr>
          <w:rFonts w:ascii="Times New Roman" w:eastAsia="Times New Roman" w:hAnsi="Times New Roman" w:cs="Times New Roman"/>
          <w:sz w:val="24"/>
          <w:szCs w:val="24"/>
          <w:lang w:eastAsia="lv-LV"/>
        </w:rPr>
        <w:t>.</w:t>
      </w:r>
      <w:r w:rsidR="00B912AA" w:rsidRPr="00A07F29">
        <w:rPr>
          <w:rFonts w:ascii="Times New Roman" w:eastAsia="Times New Roman" w:hAnsi="Times New Roman" w:cs="Times New Roman"/>
          <w:sz w:val="24"/>
          <w:szCs w:val="24"/>
          <w:lang w:eastAsia="lv-LV"/>
        </w:rPr>
        <w:t>3</w:t>
      </w:r>
      <w:r w:rsidRPr="00A07F29">
        <w:rPr>
          <w:rFonts w:ascii="Times New Roman" w:eastAsia="Times New Roman" w:hAnsi="Times New Roman" w:cs="Times New Roman"/>
          <w:sz w:val="24"/>
          <w:szCs w:val="24"/>
          <w:lang w:eastAsia="lv-LV"/>
        </w:rPr>
        <w:t>5.2.</w:t>
      </w:r>
      <w:r w:rsidR="005F0B92">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derīgo izrakteņu ieguvi un derīgo izrakteņu krātuves izveidi;</w:t>
      </w:r>
    </w:p>
    <w:p w14:paraId="24B0ECB2" w14:textId="6128BBCF" w:rsidR="00C952D4" w:rsidRPr="00A07F29" w:rsidRDefault="0E6B778D" w:rsidP="00B912AA">
      <w:pPr>
        <w:spacing w:after="120" w:line="240" w:lineRule="auto"/>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1</w:t>
      </w:r>
      <w:r w:rsidR="00B912AA" w:rsidRPr="00A07F29">
        <w:rPr>
          <w:rFonts w:ascii="Times New Roman" w:eastAsia="Times New Roman" w:hAnsi="Times New Roman" w:cs="Times New Roman"/>
          <w:sz w:val="24"/>
          <w:szCs w:val="24"/>
          <w:lang w:eastAsia="lv-LV"/>
        </w:rPr>
        <w:t>2</w:t>
      </w:r>
      <w:r w:rsidRPr="00A07F29">
        <w:rPr>
          <w:rFonts w:ascii="Times New Roman" w:eastAsia="Times New Roman" w:hAnsi="Times New Roman" w:cs="Times New Roman"/>
          <w:sz w:val="24"/>
          <w:szCs w:val="24"/>
          <w:lang w:eastAsia="lv-LV"/>
        </w:rPr>
        <w:t>.</w:t>
      </w:r>
      <w:r w:rsidR="00B912AA" w:rsidRPr="00A07F29">
        <w:rPr>
          <w:rFonts w:ascii="Times New Roman" w:eastAsia="Times New Roman" w:hAnsi="Times New Roman" w:cs="Times New Roman"/>
          <w:sz w:val="24"/>
          <w:szCs w:val="24"/>
          <w:lang w:eastAsia="lv-LV"/>
        </w:rPr>
        <w:t>3</w:t>
      </w:r>
      <w:r w:rsidRPr="00A07F29">
        <w:rPr>
          <w:rFonts w:ascii="Times New Roman" w:eastAsia="Times New Roman" w:hAnsi="Times New Roman" w:cs="Times New Roman"/>
          <w:sz w:val="24"/>
          <w:szCs w:val="24"/>
          <w:lang w:eastAsia="lv-LV"/>
        </w:rPr>
        <w:t>5.3.</w:t>
      </w:r>
      <w:r w:rsidR="005F0B92">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 xml:space="preserve">jumtu klājumā izmantot spilgtas krāsas (zilu, sarkanu, oranžu, zaļu </w:t>
      </w:r>
      <w:proofErr w:type="spellStart"/>
      <w:r w:rsidRPr="00A07F29">
        <w:rPr>
          <w:rFonts w:ascii="Times New Roman" w:eastAsia="Times New Roman" w:hAnsi="Times New Roman" w:cs="Times New Roman"/>
          <w:sz w:val="24"/>
          <w:szCs w:val="24"/>
          <w:lang w:eastAsia="lv-LV"/>
        </w:rPr>
        <w:t>ut</w:t>
      </w:r>
      <w:r w:rsidR="005933B5" w:rsidRPr="00A07F29">
        <w:rPr>
          <w:rFonts w:ascii="Times New Roman" w:eastAsia="Times New Roman" w:hAnsi="Times New Roman" w:cs="Times New Roman"/>
          <w:sz w:val="24"/>
          <w:szCs w:val="24"/>
          <w:lang w:eastAsia="lv-LV"/>
        </w:rPr>
        <w:t>ml</w:t>
      </w:r>
      <w:proofErr w:type="spellEnd"/>
      <w:r w:rsidRPr="00A07F29">
        <w:rPr>
          <w:rFonts w:ascii="Times New Roman" w:eastAsia="Times New Roman" w:hAnsi="Times New Roman" w:cs="Times New Roman"/>
          <w:sz w:val="24"/>
          <w:szCs w:val="24"/>
          <w:lang w:eastAsia="lv-LV"/>
        </w:rPr>
        <w:t>.);</w:t>
      </w:r>
    </w:p>
    <w:p w14:paraId="32751F37" w14:textId="249EBD57" w:rsidR="00C952D4" w:rsidRPr="00A07F29" w:rsidRDefault="0E6B778D" w:rsidP="00B912AA">
      <w:pPr>
        <w:spacing w:after="120" w:line="240" w:lineRule="auto"/>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1</w:t>
      </w:r>
      <w:r w:rsidR="00B912AA" w:rsidRPr="00A07F29">
        <w:rPr>
          <w:rFonts w:ascii="Times New Roman" w:eastAsia="Times New Roman" w:hAnsi="Times New Roman" w:cs="Times New Roman"/>
          <w:sz w:val="24"/>
          <w:szCs w:val="24"/>
          <w:lang w:eastAsia="lv-LV"/>
        </w:rPr>
        <w:t>2</w:t>
      </w:r>
      <w:r w:rsidRPr="00A07F29">
        <w:rPr>
          <w:rFonts w:ascii="Times New Roman" w:eastAsia="Times New Roman" w:hAnsi="Times New Roman" w:cs="Times New Roman"/>
          <w:sz w:val="24"/>
          <w:szCs w:val="24"/>
          <w:lang w:eastAsia="lv-LV"/>
        </w:rPr>
        <w:t>.</w:t>
      </w:r>
      <w:r w:rsidR="00B912AA" w:rsidRPr="00A07F29">
        <w:rPr>
          <w:rFonts w:ascii="Times New Roman" w:eastAsia="Times New Roman" w:hAnsi="Times New Roman" w:cs="Times New Roman"/>
          <w:sz w:val="24"/>
          <w:szCs w:val="24"/>
          <w:lang w:eastAsia="lv-LV"/>
        </w:rPr>
        <w:t>3</w:t>
      </w:r>
      <w:r w:rsidRPr="00A07F29">
        <w:rPr>
          <w:rFonts w:ascii="Times New Roman" w:eastAsia="Times New Roman" w:hAnsi="Times New Roman" w:cs="Times New Roman"/>
          <w:sz w:val="24"/>
          <w:szCs w:val="24"/>
          <w:lang w:eastAsia="lv-LV"/>
        </w:rPr>
        <w:t>5.4.</w:t>
      </w:r>
      <w:r w:rsidR="00273B4F">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 xml:space="preserve">vertikālo elementu būvniecību (mobilo sakaru torņi, graudu kaltes </w:t>
      </w:r>
      <w:proofErr w:type="spellStart"/>
      <w:r w:rsidRPr="00A07F29">
        <w:rPr>
          <w:rFonts w:ascii="Times New Roman" w:eastAsia="Times New Roman" w:hAnsi="Times New Roman" w:cs="Times New Roman"/>
          <w:sz w:val="24"/>
          <w:szCs w:val="24"/>
          <w:lang w:eastAsia="lv-LV"/>
        </w:rPr>
        <w:t>ut</w:t>
      </w:r>
      <w:r w:rsidR="005933B5" w:rsidRPr="00A07F29">
        <w:rPr>
          <w:rFonts w:ascii="Times New Roman" w:eastAsia="Times New Roman" w:hAnsi="Times New Roman" w:cs="Times New Roman"/>
          <w:sz w:val="24"/>
          <w:szCs w:val="24"/>
          <w:lang w:eastAsia="lv-LV"/>
        </w:rPr>
        <w:t>ml</w:t>
      </w:r>
      <w:proofErr w:type="spellEnd"/>
      <w:r w:rsidR="00690194" w:rsidRPr="00A07F29">
        <w:rPr>
          <w:rFonts w:ascii="Times New Roman" w:eastAsia="Times New Roman" w:hAnsi="Times New Roman" w:cs="Times New Roman"/>
          <w:sz w:val="24"/>
          <w:szCs w:val="24"/>
          <w:lang w:eastAsia="lv-LV"/>
        </w:rPr>
        <w:t>.);</w:t>
      </w:r>
    </w:p>
    <w:p w14:paraId="0C1FB0B1" w14:textId="026CCCD9" w:rsidR="00B51FC7" w:rsidRPr="00A07F29" w:rsidRDefault="0070259B" w:rsidP="0082438F">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1</w:t>
      </w:r>
      <w:r w:rsidR="00B912AA" w:rsidRPr="00A07F29">
        <w:rPr>
          <w:rFonts w:ascii="Times New Roman" w:eastAsia="Times New Roman" w:hAnsi="Times New Roman" w:cs="Times New Roman"/>
          <w:sz w:val="24"/>
          <w:szCs w:val="24"/>
          <w:lang w:eastAsia="lv-LV"/>
        </w:rPr>
        <w:t>2</w:t>
      </w:r>
      <w:r w:rsidRPr="00A07F29">
        <w:rPr>
          <w:rFonts w:ascii="Times New Roman" w:eastAsia="Times New Roman" w:hAnsi="Times New Roman" w:cs="Times New Roman"/>
          <w:sz w:val="24"/>
          <w:szCs w:val="24"/>
          <w:lang w:eastAsia="lv-LV"/>
        </w:rPr>
        <w:t>.</w:t>
      </w:r>
      <w:r w:rsidR="00B912AA" w:rsidRPr="00A07F29">
        <w:rPr>
          <w:rFonts w:ascii="Times New Roman" w:eastAsia="Times New Roman" w:hAnsi="Times New Roman" w:cs="Times New Roman"/>
          <w:sz w:val="24"/>
          <w:szCs w:val="24"/>
          <w:lang w:eastAsia="lv-LV"/>
        </w:rPr>
        <w:t>3</w:t>
      </w:r>
      <w:r w:rsidRPr="00A07F29">
        <w:rPr>
          <w:rFonts w:ascii="Times New Roman" w:eastAsia="Times New Roman" w:hAnsi="Times New Roman" w:cs="Times New Roman"/>
          <w:sz w:val="24"/>
          <w:szCs w:val="24"/>
          <w:lang w:eastAsia="lv-LV"/>
        </w:rPr>
        <w:t>5.5.</w:t>
      </w:r>
      <w:r w:rsidR="0082438F">
        <w:rPr>
          <w:rFonts w:ascii="Times New Roman" w:eastAsia="Times New Roman" w:hAnsi="Times New Roman" w:cs="Times New Roman"/>
          <w:sz w:val="24"/>
          <w:szCs w:val="24"/>
          <w:lang w:eastAsia="lv-LV"/>
        </w:rPr>
        <w:t> </w:t>
      </w:r>
      <w:r w:rsidR="007C62F4" w:rsidRPr="00A07F29">
        <w:rPr>
          <w:rFonts w:ascii="Times New Roman" w:eastAsia="Times New Roman" w:hAnsi="Times New Roman" w:cs="Times New Roman"/>
          <w:sz w:val="24"/>
          <w:szCs w:val="24"/>
          <w:lang w:eastAsia="lv-LV"/>
        </w:rPr>
        <w:t xml:space="preserve">apstrādes uzņēmumos </w:t>
      </w:r>
      <w:r w:rsidR="00B51FC7" w:rsidRPr="00A07F29">
        <w:rPr>
          <w:rFonts w:ascii="Times New Roman" w:eastAsia="Times New Roman" w:hAnsi="Times New Roman" w:cs="Times New Roman"/>
          <w:sz w:val="24"/>
          <w:szCs w:val="24"/>
          <w:lang w:eastAsia="lv-LV"/>
        </w:rPr>
        <w:t>atklāti uzglabāt un uzkrāt nolietotus vai sadalītus transportlīdzekļus;</w:t>
      </w:r>
    </w:p>
    <w:p w14:paraId="476BEDDF" w14:textId="6F4612E3" w:rsidR="002106C7" w:rsidRPr="00A07F29" w:rsidRDefault="002106C7" w:rsidP="001409C7">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12.35.6.</w:t>
      </w:r>
      <w:r w:rsidR="001409C7">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izvietot brīvi stāvošus saules paneļus un kolektorus, izņemot saules paneļus un kolektorus mājsaimniecības vai uzņēmuma elektroapgādes vajadzībām</w:t>
      </w:r>
      <w:r w:rsidR="00543F18" w:rsidRPr="00A07F29">
        <w:rPr>
          <w:rFonts w:ascii="Times New Roman" w:eastAsia="Times New Roman" w:hAnsi="Times New Roman" w:cs="Times New Roman"/>
          <w:sz w:val="24"/>
          <w:szCs w:val="24"/>
          <w:lang w:eastAsia="lv-LV"/>
        </w:rPr>
        <w:t xml:space="preserve"> un izvietojot tos </w:t>
      </w:r>
      <w:r w:rsidRPr="00A07F29">
        <w:rPr>
          <w:rFonts w:ascii="Times New Roman" w:eastAsia="Times New Roman" w:hAnsi="Times New Roman" w:cs="Times New Roman"/>
          <w:sz w:val="24"/>
          <w:szCs w:val="24"/>
          <w:lang w:eastAsia="lv-LV"/>
        </w:rPr>
        <w:t>ārpus virszemes ūdensobjektu 50 m aizsargjoslas.</w:t>
      </w:r>
    </w:p>
    <w:p w14:paraId="1DB5C9F0" w14:textId="375200E0" w:rsidR="00B07340" w:rsidRPr="00A07F29" w:rsidRDefault="0E6B778D" w:rsidP="0E6B778D">
      <w:pPr>
        <w:spacing w:after="120" w:line="240" w:lineRule="auto"/>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1</w:t>
      </w:r>
      <w:r w:rsidR="00B912AA" w:rsidRPr="00A07F29">
        <w:rPr>
          <w:rFonts w:ascii="Times New Roman" w:eastAsia="Times New Roman" w:hAnsi="Times New Roman" w:cs="Times New Roman"/>
          <w:sz w:val="24"/>
          <w:szCs w:val="24"/>
          <w:lang w:eastAsia="lv-LV"/>
        </w:rPr>
        <w:t>3</w:t>
      </w:r>
      <w:r w:rsidRPr="00A07F29">
        <w:rPr>
          <w:rFonts w:ascii="Times New Roman" w:eastAsia="Times New Roman" w:hAnsi="Times New Roman" w:cs="Times New Roman"/>
          <w:sz w:val="24"/>
          <w:szCs w:val="24"/>
          <w:lang w:eastAsia="lv-LV"/>
        </w:rPr>
        <w:t>.</w:t>
      </w:r>
      <w:r w:rsidR="00D727D2">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 xml:space="preserve">Ierīkojot atpūtas vietas, aizliegts pārveidot upju un ezeru krasta joslas reljefu, izņemot smilšu uzbēršanu peldvietās. </w:t>
      </w:r>
    </w:p>
    <w:p w14:paraId="21B2AAE1" w14:textId="7EBA6C85" w:rsidR="00B07340" w:rsidRPr="00A07F29" w:rsidRDefault="0E6B778D" w:rsidP="001341CC">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1</w:t>
      </w:r>
      <w:r w:rsidR="00B912AA" w:rsidRPr="00A07F29">
        <w:rPr>
          <w:rFonts w:ascii="Times New Roman" w:eastAsia="Times New Roman" w:hAnsi="Times New Roman" w:cs="Times New Roman"/>
          <w:sz w:val="24"/>
          <w:szCs w:val="24"/>
          <w:lang w:eastAsia="lv-LV"/>
        </w:rPr>
        <w:t>4</w:t>
      </w:r>
      <w:r w:rsidRPr="00A07F29">
        <w:rPr>
          <w:rFonts w:ascii="Times New Roman" w:eastAsia="Times New Roman" w:hAnsi="Times New Roman" w:cs="Times New Roman"/>
          <w:sz w:val="24"/>
          <w:szCs w:val="24"/>
          <w:lang w:eastAsia="lv-LV"/>
        </w:rPr>
        <w:t>.</w:t>
      </w:r>
      <w:r w:rsidR="001341CC">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Ierīkojot atpūtas vietas, upju un ezeru krasta joslā pēc iespējas saglabā dabisko zemsedzi un kokus. Pieļaujama koku retināšana un krūmu izciršana.</w:t>
      </w:r>
    </w:p>
    <w:p w14:paraId="48380022" w14:textId="0C754573" w:rsidR="00B07340" w:rsidRPr="00A07F29" w:rsidRDefault="0E6B778D" w:rsidP="001341CC">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1</w:t>
      </w:r>
      <w:r w:rsidR="00033409" w:rsidRPr="00A07F29">
        <w:rPr>
          <w:rFonts w:ascii="Times New Roman" w:eastAsia="Times New Roman" w:hAnsi="Times New Roman" w:cs="Times New Roman"/>
          <w:sz w:val="24"/>
          <w:szCs w:val="24"/>
          <w:lang w:eastAsia="lv-LV"/>
        </w:rPr>
        <w:t>5</w:t>
      </w:r>
      <w:r w:rsidRPr="00A07F29">
        <w:rPr>
          <w:rFonts w:ascii="Times New Roman" w:eastAsia="Times New Roman" w:hAnsi="Times New Roman" w:cs="Times New Roman"/>
          <w:sz w:val="24"/>
          <w:szCs w:val="24"/>
          <w:lang w:eastAsia="lv-LV"/>
        </w:rPr>
        <w:t>.</w:t>
      </w:r>
      <w:r w:rsidR="001341CC">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Nav pieļaujama tādu objektu būvniecība un ekspluatācija, kas var negatīvi ietekmēt normatīvajos aktos noteiktos ūdens kvalitātes mērķus.</w:t>
      </w:r>
    </w:p>
    <w:p w14:paraId="1386179F" w14:textId="013FB9D1" w:rsidR="00B07340" w:rsidRPr="00A07F29" w:rsidRDefault="00033409" w:rsidP="00B07340">
      <w:pPr>
        <w:spacing w:before="75" w:after="75" w:line="240" w:lineRule="auto"/>
        <w:jc w:val="both"/>
        <w:rPr>
          <w:rFonts w:ascii="Times New Roman" w:eastAsia="Times New Roman" w:hAnsi="Times New Roman" w:cs="Times New Roman"/>
          <w:sz w:val="24"/>
          <w:szCs w:val="24"/>
        </w:rPr>
      </w:pPr>
      <w:r w:rsidRPr="00A07F29">
        <w:rPr>
          <w:rFonts w:ascii="Times New Roman" w:eastAsia="Times New Roman" w:hAnsi="Times New Roman" w:cs="Times New Roman"/>
          <w:sz w:val="24"/>
          <w:szCs w:val="24"/>
        </w:rPr>
        <w:t>16</w:t>
      </w:r>
      <w:r w:rsidR="00B07340" w:rsidRPr="00A07F29">
        <w:rPr>
          <w:rFonts w:ascii="Times New Roman" w:eastAsia="Times New Roman" w:hAnsi="Times New Roman" w:cs="Times New Roman"/>
          <w:sz w:val="24"/>
          <w:szCs w:val="24"/>
        </w:rPr>
        <w:t>.</w:t>
      </w:r>
      <w:r w:rsidR="00014991">
        <w:rPr>
          <w:rFonts w:ascii="Times New Roman" w:eastAsia="Times New Roman" w:hAnsi="Times New Roman" w:cs="Times New Roman"/>
          <w:sz w:val="24"/>
          <w:szCs w:val="24"/>
        </w:rPr>
        <w:t> </w:t>
      </w:r>
      <w:r w:rsidR="00B07340" w:rsidRPr="00A07F29">
        <w:rPr>
          <w:rFonts w:ascii="Times New Roman" w:eastAsia="Times New Roman" w:hAnsi="Times New Roman" w:cs="Times New Roman"/>
          <w:sz w:val="24"/>
          <w:szCs w:val="24"/>
        </w:rPr>
        <w:t xml:space="preserve">Nodarbojoties ar zemūdens tūrismu un zemūdens peldēšanu </w:t>
      </w:r>
      <w:r w:rsidR="00AA0F38" w:rsidRPr="00A07F29">
        <w:rPr>
          <w:rFonts w:ascii="Times New Roman" w:eastAsia="Times New Roman" w:hAnsi="Times New Roman" w:cs="Times New Roman"/>
          <w:sz w:val="24"/>
          <w:szCs w:val="24"/>
        </w:rPr>
        <w:t>ezeros</w:t>
      </w:r>
      <w:r w:rsidR="00B07340" w:rsidRPr="00A07F29">
        <w:rPr>
          <w:rFonts w:ascii="Times New Roman" w:eastAsia="Times New Roman" w:hAnsi="Times New Roman" w:cs="Times New Roman"/>
          <w:sz w:val="24"/>
          <w:szCs w:val="24"/>
        </w:rPr>
        <w:t>, jāievēro prasība, ka diennakts gaišajā laikā persona sev piestiprina košas krāsas boju ar vismaz astoņus kilogramus lielu celtspēju, lai norādītu savu atrašanās vietu ūdenī, bet diennakts tumšajā laikā boja jāaprīko ar atstarojošiem elementiem un riņķa uguni – gaismas lukturi, kas novietots tā, lai gaisma būtu redzama 360 grādu lielā horizontālā lokā</w:t>
      </w:r>
      <w:r w:rsidR="00AD4358" w:rsidRPr="00A07F29">
        <w:rPr>
          <w:rFonts w:ascii="Times New Roman" w:eastAsia="Times New Roman" w:hAnsi="Times New Roman" w:cs="Times New Roman"/>
          <w:sz w:val="24"/>
          <w:szCs w:val="24"/>
        </w:rPr>
        <w:t>.</w:t>
      </w:r>
    </w:p>
    <w:p w14:paraId="603AA93C" w14:textId="333FAC2E" w:rsidR="00B07340" w:rsidRPr="00A07F29" w:rsidRDefault="00B07340" w:rsidP="00F02E15">
      <w:pPr>
        <w:spacing w:before="240" w:after="120" w:line="240" w:lineRule="auto"/>
        <w:jc w:val="center"/>
        <w:rPr>
          <w:rFonts w:ascii="Times New Roman" w:eastAsia="Times New Roman" w:hAnsi="Times New Roman" w:cs="Times New Roman"/>
          <w:b/>
          <w:sz w:val="24"/>
          <w:szCs w:val="24"/>
          <w:lang w:eastAsia="lv-LV"/>
        </w:rPr>
      </w:pPr>
      <w:r w:rsidRPr="00A07F29">
        <w:rPr>
          <w:rFonts w:ascii="Times New Roman" w:eastAsia="Times New Roman" w:hAnsi="Times New Roman" w:cs="Times New Roman"/>
          <w:b/>
          <w:sz w:val="24"/>
          <w:szCs w:val="24"/>
          <w:lang w:eastAsia="lv-LV"/>
        </w:rPr>
        <w:t>II</w:t>
      </w:r>
      <w:r w:rsidR="00AF7148">
        <w:rPr>
          <w:rFonts w:ascii="Times New Roman" w:eastAsia="Times New Roman" w:hAnsi="Times New Roman" w:cs="Times New Roman"/>
          <w:b/>
          <w:sz w:val="24"/>
          <w:szCs w:val="24"/>
          <w:lang w:eastAsia="lv-LV"/>
        </w:rPr>
        <w:t>I</w:t>
      </w:r>
      <w:r w:rsidRPr="00A07F29">
        <w:rPr>
          <w:rFonts w:ascii="Times New Roman" w:eastAsia="Times New Roman" w:hAnsi="Times New Roman" w:cs="Times New Roman"/>
          <w:b/>
          <w:sz w:val="24"/>
          <w:szCs w:val="24"/>
          <w:lang w:eastAsia="lv-LV"/>
        </w:rPr>
        <w:t>. Regulējamā režīma zona</w:t>
      </w:r>
    </w:p>
    <w:p w14:paraId="26C04922" w14:textId="057CFB6D" w:rsidR="00B07340" w:rsidRPr="00A07F29" w:rsidRDefault="00033409" w:rsidP="00B07340">
      <w:pPr>
        <w:spacing w:before="75" w:after="75" w:line="240" w:lineRule="auto"/>
        <w:jc w:val="both"/>
        <w:rPr>
          <w:rFonts w:ascii="Times New Roman" w:eastAsia="Times New Roman" w:hAnsi="Times New Roman" w:cs="Times New Roman"/>
          <w:color w:val="0070C0"/>
          <w:sz w:val="24"/>
          <w:szCs w:val="24"/>
          <w:lang w:eastAsia="lv-LV"/>
        </w:rPr>
      </w:pPr>
      <w:r w:rsidRPr="00CB0C7F">
        <w:rPr>
          <w:rFonts w:ascii="Times New Roman" w:eastAsia="Times New Roman" w:hAnsi="Times New Roman" w:cs="Times New Roman"/>
          <w:sz w:val="24"/>
          <w:szCs w:val="24"/>
          <w:lang w:eastAsia="lv-LV"/>
        </w:rPr>
        <w:lastRenderedPageBreak/>
        <w:t>17</w:t>
      </w:r>
      <w:r w:rsidR="00B07340" w:rsidRPr="00CB0C7F">
        <w:rPr>
          <w:rFonts w:ascii="Times New Roman" w:eastAsia="Times New Roman" w:hAnsi="Times New Roman" w:cs="Times New Roman"/>
          <w:sz w:val="24"/>
          <w:szCs w:val="24"/>
          <w:lang w:eastAsia="lv-LV"/>
        </w:rPr>
        <w:t>.</w:t>
      </w:r>
      <w:r w:rsidR="00C2619F">
        <w:rPr>
          <w:rFonts w:ascii="Times New Roman" w:eastAsia="Times New Roman" w:hAnsi="Times New Roman" w:cs="Times New Roman"/>
          <w:sz w:val="24"/>
          <w:szCs w:val="24"/>
          <w:lang w:eastAsia="lv-LV"/>
        </w:rPr>
        <w:t> </w:t>
      </w:r>
      <w:r w:rsidR="00B07340" w:rsidRPr="00CB0C7F">
        <w:rPr>
          <w:rFonts w:ascii="Times New Roman" w:eastAsia="Times New Roman" w:hAnsi="Times New Roman" w:cs="Times New Roman"/>
          <w:sz w:val="24"/>
          <w:szCs w:val="24"/>
          <w:lang w:eastAsia="lv-LV"/>
        </w:rPr>
        <w:t>Regulējamā režīma</w:t>
      </w:r>
      <w:r w:rsidR="00B07340" w:rsidRPr="00A07F29">
        <w:rPr>
          <w:rFonts w:ascii="Times New Roman" w:eastAsia="Times New Roman" w:hAnsi="Times New Roman" w:cs="Times New Roman"/>
          <w:sz w:val="24"/>
          <w:szCs w:val="24"/>
          <w:lang w:eastAsia="lv-LV"/>
        </w:rPr>
        <w:t xml:space="preserve"> zona izveidota, lai saglabātu īpaši aizsargājamos meža biotopus – nogāžu un gravu mežus, vecus vai dabiskus </w:t>
      </w:r>
      <w:proofErr w:type="spellStart"/>
      <w:r w:rsidR="00B07340" w:rsidRPr="00A07F29">
        <w:rPr>
          <w:rFonts w:ascii="Times New Roman" w:eastAsia="Times New Roman" w:hAnsi="Times New Roman" w:cs="Times New Roman"/>
          <w:sz w:val="24"/>
          <w:szCs w:val="24"/>
          <w:lang w:eastAsia="lv-LV"/>
        </w:rPr>
        <w:t>boreālos</w:t>
      </w:r>
      <w:proofErr w:type="spellEnd"/>
      <w:r w:rsidR="00B07340" w:rsidRPr="00A07F29">
        <w:rPr>
          <w:rFonts w:ascii="Times New Roman" w:eastAsia="Times New Roman" w:hAnsi="Times New Roman" w:cs="Times New Roman"/>
          <w:sz w:val="24"/>
          <w:szCs w:val="24"/>
          <w:lang w:eastAsia="lv-LV"/>
        </w:rPr>
        <w:t xml:space="preserve"> mežus, lakstaugiem bagātus egļu mežus, purvainus mežus, īpaši aizsargājamos purva biotopus – pārejas purvus un slīkšņas, un īpaši aizsargājamu sugu dzīvotnes.</w:t>
      </w:r>
    </w:p>
    <w:p w14:paraId="39C27551" w14:textId="01236CDA" w:rsidR="00B07340" w:rsidRPr="00A07F29" w:rsidRDefault="00033409"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18</w:t>
      </w:r>
      <w:r w:rsidR="00B07340" w:rsidRPr="00A07F29">
        <w:rPr>
          <w:rFonts w:ascii="Times New Roman" w:eastAsia="Times New Roman" w:hAnsi="Times New Roman" w:cs="Times New Roman"/>
          <w:sz w:val="24"/>
          <w:szCs w:val="24"/>
          <w:lang w:eastAsia="lv-LV"/>
        </w:rPr>
        <w:t>.</w:t>
      </w:r>
      <w:r w:rsidR="000A3C18">
        <w:rPr>
          <w:rFonts w:ascii="Times New Roman" w:eastAsia="Times New Roman" w:hAnsi="Times New Roman" w:cs="Times New Roman"/>
          <w:sz w:val="24"/>
          <w:szCs w:val="24"/>
          <w:lang w:eastAsia="lv-LV"/>
        </w:rPr>
        <w:t> </w:t>
      </w:r>
      <w:r w:rsidR="00F02E15" w:rsidRPr="00A07F29">
        <w:rPr>
          <w:rFonts w:ascii="Times New Roman" w:eastAsia="Times New Roman" w:hAnsi="Times New Roman" w:cs="Times New Roman"/>
          <w:sz w:val="24"/>
          <w:szCs w:val="24"/>
          <w:lang w:eastAsia="lv-LV"/>
        </w:rPr>
        <w:t>R</w:t>
      </w:r>
      <w:r w:rsidR="00B07340" w:rsidRPr="00A07F29">
        <w:rPr>
          <w:rFonts w:ascii="Times New Roman" w:eastAsia="Times New Roman" w:hAnsi="Times New Roman" w:cs="Times New Roman"/>
          <w:sz w:val="24"/>
          <w:szCs w:val="24"/>
          <w:lang w:eastAsia="lv-LV"/>
        </w:rPr>
        <w:t>egulējamā režīma zonā ir aizliegta jebkāda saimnieciskā un cita veida darbība, izņemot šādas darbības:</w:t>
      </w:r>
    </w:p>
    <w:p w14:paraId="741B87B4" w14:textId="575DBBEE" w:rsidR="00B07340" w:rsidRPr="00A07F29" w:rsidRDefault="00033409"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18</w:t>
      </w:r>
      <w:r w:rsidR="00B07340" w:rsidRPr="00A07F29">
        <w:rPr>
          <w:rFonts w:ascii="Times New Roman" w:eastAsia="Times New Roman" w:hAnsi="Times New Roman" w:cs="Times New Roman"/>
          <w:sz w:val="24"/>
          <w:szCs w:val="24"/>
          <w:lang w:eastAsia="lv-LV"/>
        </w:rPr>
        <w:t>.1.</w:t>
      </w:r>
      <w:r w:rsidR="000A3C18">
        <w:rPr>
          <w:rFonts w:ascii="Times New Roman" w:eastAsia="Times New Roman" w:hAnsi="Times New Roman" w:cs="Times New Roman"/>
          <w:sz w:val="24"/>
          <w:szCs w:val="24"/>
          <w:lang w:eastAsia="lv-LV"/>
        </w:rPr>
        <w:t> </w:t>
      </w:r>
      <w:r w:rsidR="00B07340" w:rsidRPr="00A07F29">
        <w:rPr>
          <w:rFonts w:ascii="Times New Roman" w:eastAsia="Times New Roman" w:hAnsi="Times New Roman" w:cs="Times New Roman"/>
          <w:sz w:val="24"/>
          <w:szCs w:val="24"/>
          <w:lang w:eastAsia="lv-LV"/>
        </w:rPr>
        <w:t>teritorijas aizsardzības režīma ievērošanas kontrole;</w:t>
      </w:r>
    </w:p>
    <w:p w14:paraId="5F31F814" w14:textId="02ABE37B" w:rsidR="00B07340" w:rsidRPr="00A07F29" w:rsidRDefault="00033409"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18</w:t>
      </w:r>
      <w:r w:rsidR="00B07340" w:rsidRPr="00A07F29">
        <w:rPr>
          <w:rFonts w:ascii="Times New Roman" w:eastAsia="Times New Roman" w:hAnsi="Times New Roman" w:cs="Times New Roman"/>
          <w:sz w:val="24"/>
          <w:szCs w:val="24"/>
          <w:lang w:eastAsia="lv-LV"/>
        </w:rPr>
        <w:t>.2.</w:t>
      </w:r>
      <w:r w:rsidR="000A3C18">
        <w:rPr>
          <w:rFonts w:ascii="Times New Roman" w:eastAsia="Times New Roman" w:hAnsi="Times New Roman" w:cs="Times New Roman"/>
          <w:sz w:val="24"/>
          <w:szCs w:val="24"/>
          <w:lang w:eastAsia="lv-LV"/>
        </w:rPr>
        <w:t> </w:t>
      </w:r>
      <w:r w:rsidR="00B07340" w:rsidRPr="00A07F29">
        <w:rPr>
          <w:rFonts w:ascii="Times New Roman" w:eastAsia="Times New Roman" w:hAnsi="Times New Roman" w:cs="Times New Roman"/>
          <w:sz w:val="24"/>
          <w:szCs w:val="24"/>
          <w:lang w:eastAsia="lv-LV"/>
        </w:rPr>
        <w:t>ugunsdzēsības pasākumu īstenošana, kā arī cilvēku glābšana un meklēšana;</w:t>
      </w:r>
    </w:p>
    <w:p w14:paraId="1B07027E" w14:textId="718D24F8" w:rsidR="00B07340" w:rsidRPr="00A07F29" w:rsidRDefault="00033409"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18</w:t>
      </w:r>
      <w:r w:rsidR="00B07340" w:rsidRPr="00A07F29">
        <w:rPr>
          <w:rFonts w:ascii="Times New Roman" w:eastAsia="Times New Roman" w:hAnsi="Times New Roman" w:cs="Times New Roman"/>
          <w:sz w:val="24"/>
          <w:szCs w:val="24"/>
          <w:lang w:eastAsia="lv-LV"/>
        </w:rPr>
        <w:t>.3.</w:t>
      </w:r>
      <w:r w:rsidR="000A3C18">
        <w:rPr>
          <w:rFonts w:ascii="Times New Roman" w:eastAsia="Times New Roman" w:hAnsi="Times New Roman" w:cs="Times New Roman"/>
          <w:sz w:val="24"/>
          <w:szCs w:val="24"/>
          <w:lang w:eastAsia="lv-LV"/>
        </w:rPr>
        <w:t> </w:t>
      </w:r>
      <w:r w:rsidR="00B07340" w:rsidRPr="00A07F29">
        <w:rPr>
          <w:rFonts w:ascii="Times New Roman" w:eastAsia="Times New Roman" w:hAnsi="Times New Roman" w:cs="Times New Roman"/>
          <w:sz w:val="24"/>
          <w:szCs w:val="24"/>
          <w:lang w:eastAsia="lv-LV"/>
        </w:rPr>
        <w:t>pārvietošanās pa ceļiem un dabā norādītiem maršrutiem, kas izveidoti ar rakstisku Dabas aizsardzības pārvaldes atļauju;</w:t>
      </w:r>
    </w:p>
    <w:p w14:paraId="76F74C79" w14:textId="299B6EE1" w:rsidR="00B07340" w:rsidRPr="00A07F29" w:rsidRDefault="00033409"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18</w:t>
      </w:r>
      <w:r w:rsidR="0E6B778D" w:rsidRPr="00A07F29">
        <w:rPr>
          <w:rFonts w:ascii="Times New Roman" w:eastAsia="Times New Roman" w:hAnsi="Times New Roman" w:cs="Times New Roman"/>
          <w:sz w:val="24"/>
          <w:szCs w:val="24"/>
          <w:lang w:eastAsia="lv-LV"/>
        </w:rPr>
        <w:t>.4.</w:t>
      </w:r>
      <w:r w:rsidR="00762001">
        <w:rPr>
          <w:rFonts w:ascii="Times New Roman" w:eastAsia="Times New Roman" w:hAnsi="Times New Roman" w:cs="Times New Roman"/>
          <w:sz w:val="24"/>
          <w:szCs w:val="24"/>
          <w:lang w:eastAsia="lv-LV"/>
        </w:rPr>
        <w:t> </w:t>
      </w:r>
      <w:r w:rsidR="0E6B778D" w:rsidRPr="00A07F29">
        <w:rPr>
          <w:rFonts w:ascii="Times New Roman" w:eastAsia="Times New Roman" w:hAnsi="Times New Roman" w:cs="Times New Roman"/>
          <w:sz w:val="24"/>
          <w:szCs w:val="24"/>
          <w:lang w:eastAsia="lv-LV"/>
        </w:rPr>
        <w:t>būvju un infrastruktūras objektu uzturēšana un atjaunošana;</w:t>
      </w:r>
    </w:p>
    <w:p w14:paraId="083DC0B6" w14:textId="5FB9829F" w:rsidR="00B07340" w:rsidRPr="00A07F29" w:rsidRDefault="00033409"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18.</w:t>
      </w:r>
      <w:r w:rsidR="00B07340" w:rsidRPr="00A07F29">
        <w:rPr>
          <w:rFonts w:ascii="Times New Roman" w:eastAsia="Times New Roman" w:hAnsi="Times New Roman" w:cs="Times New Roman"/>
          <w:sz w:val="24"/>
          <w:szCs w:val="24"/>
          <w:lang w:eastAsia="lv-LV"/>
        </w:rPr>
        <w:t>5.</w:t>
      </w:r>
      <w:r w:rsidR="00762001">
        <w:rPr>
          <w:rFonts w:ascii="Times New Roman" w:eastAsia="Times New Roman" w:hAnsi="Times New Roman" w:cs="Times New Roman"/>
          <w:sz w:val="24"/>
          <w:szCs w:val="24"/>
          <w:lang w:eastAsia="lv-LV"/>
        </w:rPr>
        <w:t> </w:t>
      </w:r>
      <w:r w:rsidR="00B07340" w:rsidRPr="00A07F29">
        <w:rPr>
          <w:rFonts w:ascii="Times New Roman" w:eastAsia="Times New Roman" w:hAnsi="Times New Roman" w:cs="Times New Roman"/>
          <w:sz w:val="24"/>
          <w:szCs w:val="24"/>
          <w:lang w:eastAsia="lv-LV"/>
        </w:rPr>
        <w:t>ceļu ikdienas un periodiskā uzturēšana;</w:t>
      </w:r>
    </w:p>
    <w:p w14:paraId="4416B83F" w14:textId="0535EB94" w:rsidR="00B07340" w:rsidRPr="00A07F29" w:rsidRDefault="00033409"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18</w:t>
      </w:r>
      <w:r w:rsidR="00B07340" w:rsidRPr="00A07F29">
        <w:rPr>
          <w:rFonts w:ascii="Times New Roman" w:eastAsia="Times New Roman" w:hAnsi="Times New Roman" w:cs="Times New Roman"/>
          <w:sz w:val="24"/>
          <w:szCs w:val="24"/>
          <w:lang w:eastAsia="lv-LV"/>
        </w:rPr>
        <w:t>.6.</w:t>
      </w:r>
      <w:r w:rsidR="00762001">
        <w:rPr>
          <w:rFonts w:ascii="Times New Roman" w:eastAsia="Times New Roman" w:hAnsi="Times New Roman" w:cs="Times New Roman"/>
          <w:sz w:val="24"/>
          <w:szCs w:val="24"/>
          <w:lang w:eastAsia="lv-LV"/>
        </w:rPr>
        <w:t> </w:t>
      </w:r>
      <w:r w:rsidR="00B07340" w:rsidRPr="00A07F29">
        <w:rPr>
          <w:rFonts w:ascii="Times New Roman" w:eastAsia="Times New Roman" w:hAnsi="Times New Roman" w:cs="Times New Roman"/>
          <w:sz w:val="24"/>
          <w:szCs w:val="24"/>
          <w:lang w:eastAsia="lv-LV"/>
        </w:rPr>
        <w:t>makšķerēšana;</w:t>
      </w:r>
    </w:p>
    <w:p w14:paraId="36A71038" w14:textId="225B92B6" w:rsidR="00B07340" w:rsidRPr="00A07F29" w:rsidRDefault="008B7024"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18.7.</w:t>
      </w:r>
      <w:r w:rsidR="00762001">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savvaļas sēņu, augu un to produktu ievākšana un iegūšana. Ogu ievākšanā aizliegts izmantot speciālas vākšanas palīgierīces;</w:t>
      </w:r>
    </w:p>
    <w:p w14:paraId="42260B30" w14:textId="4F1146BD" w:rsidR="00B07340" w:rsidRPr="00A07F29" w:rsidRDefault="00033409"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18</w:t>
      </w:r>
      <w:r w:rsidR="00B07340" w:rsidRPr="00A07F29">
        <w:rPr>
          <w:rFonts w:ascii="Times New Roman" w:eastAsia="Times New Roman" w:hAnsi="Times New Roman" w:cs="Times New Roman"/>
          <w:sz w:val="24"/>
          <w:szCs w:val="24"/>
          <w:lang w:eastAsia="lv-LV"/>
        </w:rPr>
        <w:t>.8.</w:t>
      </w:r>
      <w:r w:rsidR="00EE2B52">
        <w:rPr>
          <w:rFonts w:ascii="Times New Roman" w:eastAsia="Times New Roman" w:hAnsi="Times New Roman" w:cs="Times New Roman"/>
          <w:sz w:val="24"/>
          <w:szCs w:val="24"/>
          <w:lang w:eastAsia="lv-LV"/>
        </w:rPr>
        <w:t> </w:t>
      </w:r>
      <w:r w:rsidR="00B07340" w:rsidRPr="00A07F29">
        <w:rPr>
          <w:rFonts w:ascii="Times New Roman" w:eastAsia="Times New Roman" w:hAnsi="Times New Roman" w:cs="Times New Roman"/>
          <w:sz w:val="24"/>
          <w:szCs w:val="24"/>
          <w:lang w:eastAsia="lv-LV"/>
        </w:rPr>
        <w:t>meža inventarizācija;</w:t>
      </w:r>
    </w:p>
    <w:p w14:paraId="4887F7EB" w14:textId="2314C69B" w:rsidR="00B07340" w:rsidRPr="00A07F29" w:rsidRDefault="00033409"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18</w:t>
      </w:r>
      <w:r w:rsidR="00B07340" w:rsidRPr="00A07F29">
        <w:rPr>
          <w:rFonts w:ascii="Times New Roman" w:eastAsia="Times New Roman" w:hAnsi="Times New Roman" w:cs="Times New Roman"/>
          <w:sz w:val="24"/>
          <w:szCs w:val="24"/>
          <w:lang w:eastAsia="lv-LV"/>
        </w:rPr>
        <w:t>.9.</w:t>
      </w:r>
      <w:r w:rsidR="00EE2B52">
        <w:rPr>
          <w:rFonts w:ascii="Times New Roman" w:eastAsia="Times New Roman" w:hAnsi="Times New Roman" w:cs="Times New Roman"/>
          <w:sz w:val="24"/>
          <w:szCs w:val="24"/>
          <w:lang w:eastAsia="lv-LV"/>
        </w:rPr>
        <w:t> </w:t>
      </w:r>
      <w:r w:rsidR="00B07340" w:rsidRPr="00A07F29">
        <w:rPr>
          <w:rFonts w:ascii="Times New Roman" w:eastAsia="Times New Roman" w:hAnsi="Times New Roman" w:cs="Times New Roman"/>
          <w:sz w:val="24"/>
          <w:szCs w:val="24"/>
          <w:lang w:eastAsia="lv-LV"/>
        </w:rPr>
        <w:t>pārvietošanās kājāmgājējiem;</w:t>
      </w:r>
    </w:p>
    <w:p w14:paraId="233ED727" w14:textId="6D69C010" w:rsidR="00B07340" w:rsidRPr="00A07F29" w:rsidRDefault="00033409"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18</w:t>
      </w:r>
      <w:r w:rsidR="00B07340" w:rsidRPr="00A07F29">
        <w:rPr>
          <w:rFonts w:ascii="Times New Roman" w:eastAsia="Times New Roman" w:hAnsi="Times New Roman" w:cs="Times New Roman"/>
          <w:sz w:val="24"/>
          <w:szCs w:val="24"/>
          <w:lang w:eastAsia="lv-LV"/>
        </w:rPr>
        <w:t>.</w:t>
      </w:r>
      <w:r w:rsidR="00F02E15" w:rsidRPr="00A07F29">
        <w:rPr>
          <w:rFonts w:ascii="Times New Roman" w:eastAsia="Times New Roman" w:hAnsi="Times New Roman" w:cs="Times New Roman"/>
          <w:sz w:val="24"/>
          <w:szCs w:val="24"/>
          <w:lang w:eastAsia="lv-LV"/>
        </w:rPr>
        <w:t>10</w:t>
      </w:r>
      <w:r w:rsidR="00B07340" w:rsidRPr="00A07F29">
        <w:rPr>
          <w:rFonts w:ascii="Times New Roman" w:eastAsia="Times New Roman" w:hAnsi="Times New Roman" w:cs="Times New Roman"/>
          <w:sz w:val="24"/>
          <w:szCs w:val="24"/>
          <w:lang w:eastAsia="lv-LV"/>
        </w:rPr>
        <w:t>.</w:t>
      </w:r>
      <w:r w:rsidR="00EE2B52">
        <w:rPr>
          <w:rFonts w:ascii="Times New Roman" w:eastAsia="Times New Roman" w:hAnsi="Times New Roman" w:cs="Times New Roman"/>
          <w:sz w:val="24"/>
          <w:szCs w:val="24"/>
          <w:lang w:eastAsia="lv-LV"/>
        </w:rPr>
        <w:t> </w:t>
      </w:r>
      <w:r w:rsidR="00B07340" w:rsidRPr="00A07F29">
        <w:rPr>
          <w:rFonts w:ascii="Times New Roman" w:eastAsia="Times New Roman" w:hAnsi="Times New Roman" w:cs="Times New Roman"/>
          <w:sz w:val="24"/>
          <w:szCs w:val="24"/>
          <w:lang w:eastAsia="lv-LV"/>
        </w:rPr>
        <w:t>ar Dabas aizsardzības pārvaldes rakstisku atļauju:</w:t>
      </w:r>
    </w:p>
    <w:p w14:paraId="3CD0B268" w14:textId="6EA0721A" w:rsidR="00B07340" w:rsidRPr="00A07F29" w:rsidRDefault="00033409"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18</w:t>
      </w:r>
      <w:r w:rsidR="00B07340" w:rsidRPr="00A07F29">
        <w:rPr>
          <w:rFonts w:ascii="Times New Roman" w:eastAsia="Times New Roman" w:hAnsi="Times New Roman" w:cs="Times New Roman"/>
          <w:sz w:val="24"/>
          <w:szCs w:val="24"/>
          <w:lang w:eastAsia="lv-LV"/>
        </w:rPr>
        <w:t>.</w:t>
      </w:r>
      <w:r w:rsidR="00F02E15" w:rsidRPr="00A07F29">
        <w:rPr>
          <w:rFonts w:ascii="Times New Roman" w:eastAsia="Times New Roman" w:hAnsi="Times New Roman" w:cs="Times New Roman"/>
          <w:sz w:val="24"/>
          <w:szCs w:val="24"/>
          <w:lang w:eastAsia="lv-LV"/>
        </w:rPr>
        <w:t>10</w:t>
      </w:r>
      <w:r w:rsidR="00B07340" w:rsidRPr="00A07F29">
        <w:rPr>
          <w:rFonts w:ascii="Times New Roman" w:eastAsia="Times New Roman" w:hAnsi="Times New Roman" w:cs="Times New Roman"/>
          <w:sz w:val="24"/>
          <w:szCs w:val="24"/>
          <w:lang w:eastAsia="lv-LV"/>
        </w:rPr>
        <w:t>.1.</w:t>
      </w:r>
      <w:r w:rsidR="00EE2B52">
        <w:rPr>
          <w:rFonts w:ascii="Times New Roman" w:eastAsia="Times New Roman" w:hAnsi="Times New Roman" w:cs="Times New Roman"/>
          <w:sz w:val="24"/>
          <w:szCs w:val="24"/>
          <w:lang w:eastAsia="lv-LV"/>
        </w:rPr>
        <w:t> </w:t>
      </w:r>
      <w:r w:rsidR="00B07340" w:rsidRPr="00A07F29">
        <w:rPr>
          <w:rFonts w:ascii="Times New Roman" w:eastAsia="Times New Roman" w:hAnsi="Times New Roman" w:cs="Times New Roman"/>
          <w:sz w:val="24"/>
          <w:szCs w:val="24"/>
          <w:lang w:eastAsia="lv-LV"/>
        </w:rPr>
        <w:t>zinātniskās pētniecības darbi un monitorings;</w:t>
      </w:r>
    </w:p>
    <w:p w14:paraId="2D592550" w14:textId="7A9CF80A" w:rsidR="00B07340" w:rsidRPr="00A07F29" w:rsidRDefault="00033409"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18</w:t>
      </w:r>
      <w:r w:rsidR="00B07340" w:rsidRPr="00A07F29">
        <w:rPr>
          <w:rFonts w:ascii="Times New Roman" w:eastAsia="Times New Roman" w:hAnsi="Times New Roman" w:cs="Times New Roman"/>
          <w:sz w:val="24"/>
          <w:szCs w:val="24"/>
          <w:lang w:eastAsia="lv-LV"/>
        </w:rPr>
        <w:t>.</w:t>
      </w:r>
      <w:r w:rsidR="00F02E15" w:rsidRPr="00A07F29">
        <w:rPr>
          <w:rFonts w:ascii="Times New Roman" w:eastAsia="Times New Roman" w:hAnsi="Times New Roman" w:cs="Times New Roman"/>
          <w:sz w:val="24"/>
          <w:szCs w:val="24"/>
          <w:lang w:eastAsia="lv-LV"/>
        </w:rPr>
        <w:t>10</w:t>
      </w:r>
      <w:r w:rsidR="00B07340" w:rsidRPr="00A07F29">
        <w:rPr>
          <w:rFonts w:ascii="Times New Roman" w:eastAsia="Times New Roman" w:hAnsi="Times New Roman" w:cs="Times New Roman"/>
          <w:sz w:val="24"/>
          <w:szCs w:val="24"/>
          <w:lang w:eastAsia="lv-LV"/>
        </w:rPr>
        <w:t>.2.</w:t>
      </w:r>
      <w:r w:rsidR="008E49D5">
        <w:rPr>
          <w:rFonts w:ascii="Times New Roman" w:eastAsia="Times New Roman" w:hAnsi="Times New Roman" w:cs="Times New Roman"/>
          <w:sz w:val="24"/>
          <w:szCs w:val="24"/>
          <w:lang w:eastAsia="lv-LV"/>
        </w:rPr>
        <w:t> </w:t>
      </w:r>
      <w:r w:rsidR="00B07340" w:rsidRPr="00A07F29">
        <w:rPr>
          <w:rFonts w:ascii="Times New Roman" w:eastAsia="Times New Roman" w:hAnsi="Times New Roman" w:cs="Times New Roman"/>
          <w:sz w:val="24"/>
          <w:szCs w:val="24"/>
          <w:lang w:eastAsia="lv-LV"/>
        </w:rPr>
        <w:t>ekosistēmu, īpaši aizsargājamo sugu dzīvotņu un īpaši aizsargājamo biotopu aizsardzībai un saglabāšanai nepieciešamo pasākumu īstenošana;</w:t>
      </w:r>
    </w:p>
    <w:p w14:paraId="4FF92642" w14:textId="445758DF" w:rsidR="00B07340" w:rsidRPr="00A07F29" w:rsidRDefault="00033409"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18</w:t>
      </w:r>
      <w:r w:rsidR="00B07340" w:rsidRPr="00A07F29">
        <w:rPr>
          <w:rFonts w:ascii="Times New Roman" w:eastAsia="Times New Roman" w:hAnsi="Times New Roman" w:cs="Times New Roman"/>
          <w:sz w:val="24"/>
          <w:szCs w:val="24"/>
          <w:lang w:eastAsia="lv-LV"/>
        </w:rPr>
        <w:t>.</w:t>
      </w:r>
      <w:r w:rsidR="00F02E15" w:rsidRPr="00A07F29">
        <w:rPr>
          <w:rFonts w:ascii="Times New Roman" w:eastAsia="Times New Roman" w:hAnsi="Times New Roman" w:cs="Times New Roman"/>
          <w:sz w:val="24"/>
          <w:szCs w:val="24"/>
          <w:lang w:eastAsia="lv-LV"/>
        </w:rPr>
        <w:t>10</w:t>
      </w:r>
      <w:r w:rsidR="00B07340" w:rsidRPr="00A07F29">
        <w:rPr>
          <w:rFonts w:ascii="Times New Roman" w:eastAsia="Times New Roman" w:hAnsi="Times New Roman" w:cs="Times New Roman"/>
          <w:sz w:val="24"/>
          <w:szCs w:val="24"/>
          <w:lang w:eastAsia="lv-LV"/>
        </w:rPr>
        <w:t>.3.</w:t>
      </w:r>
      <w:r w:rsidR="008E49D5">
        <w:rPr>
          <w:rFonts w:ascii="Times New Roman" w:eastAsia="Times New Roman" w:hAnsi="Times New Roman" w:cs="Times New Roman"/>
          <w:sz w:val="24"/>
          <w:szCs w:val="24"/>
          <w:lang w:eastAsia="lv-LV"/>
        </w:rPr>
        <w:t> </w:t>
      </w:r>
      <w:r w:rsidR="00B07340" w:rsidRPr="00A07F29">
        <w:rPr>
          <w:rFonts w:ascii="Times New Roman" w:eastAsia="Times New Roman" w:hAnsi="Times New Roman" w:cs="Times New Roman"/>
          <w:sz w:val="24"/>
          <w:szCs w:val="24"/>
          <w:lang w:eastAsia="lv-LV"/>
        </w:rPr>
        <w:t>ceļu pārbūve un atjaunošana;</w:t>
      </w:r>
    </w:p>
    <w:p w14:paraId="1EDBAE0F" w14:textId="261EC32E" w:rsidR="00F02E15" w:rsidRPr="00A07F29" w:rsidRDefault="00033409"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18</w:t>
      </w:r>
      <w:r w:rsidR="00B07340" w:rsidRPr="00A07F29">
        <w:rPr>
          <w:rFonts w:ascii="Times New Roman" w:eastAsia="Times New Roman" w:hAnsi="Times New Roman" w:cs="Times New Roman"/>
          <w:sz w:val="24"/>
          <w:szCs w:val="24"/>
          <w:lang w:eastAsia="lv-LV"/>
        </w:rPr>
        <w:t>.</w:t>
      </w:r>
      <w:r w:rsidR="00F02E15" w:rsidRPr="00A07F29">
        <w:rPr>
          <w:rFonts w:ascii="Times New Roman" w:eastAsia="Times New Roman" w:hAnsi="Times New Roman" w:cs="Times New Roman"/>
          <w:sz w:val="24"/>
          <w:szCs w:val="24"/>
          <w:lang w:eastAsia="lv-LV"/>
        </w:rPr>
        <w:t>10</w:t>
      </w:r>
      <w:r w:rsidR="00B07340" w:rsidRPr="00A07F29">
        <w:rPr>
          <w:rFonts w:ascii="Times New Roman" w:eastAsia="Times New Roman" w:hAnsi="Times New Roman" w:cs="Times New Roman"/>
          <w:sz w:val="24"/>
          <w:szCs w:val="24"/>
          <w:lang w:eastAsia="lv-LV"/>
        </w:rPr>
        <w:t>.4.</w:t>
      </w:r>
      <w:r w:rsidR="008E49D5">
        <w:rPr>
          <w:rFonts w:ascii="Times New Roman" w:eastAsia="Times New Roman" w:hAnsi="Times New Roman" w:cs="Times New Roman"/>
          <w:sz w:val="24"/>
          <w:szCs w:val="24"/>
          <w:lang w:eastAsia="lv-LV"/>
        </w:rPr>
        <w:t> </w:t>
      </w:r>
      <w:r w:rsidR="00B07340" w:rsidRPr="00A07F29">
        <w:rPr>
          <w:rFonts w:ascii="Times New Roman" w:eastAsia="Times New Roman" w:hAnsi="Times New Roman" w:cs="Times New Roman"/>
          <w:sz w:val="24"/>
          <w:szCs w:val="24"/>
          <w:lang w:eastAsia="lv-LV"/>
        </w:rPr>
        <w:t>publiski pieejamu dabas tūrisma un izziņas infrastruktūras objektu (piemēram, taku, skatu torņu) ierīkošana</w:t>
      </w:r>
      <w:r w:rsidR="00F02E15" w:rsidRPr="00A07F29">
        <w:rPr>
          <w:rFonts w:ascii="Times New Roman" w:eastAsia="Times New Roman" w:hAnsi="Times New Roman" w:cs="Times New Roman"/>
          <w:sz w:val="24"/>
          <w:szCs w:val="24"/>
          <w:lang w:eastAsia="lv-LV"/>
        </w:rPr>
        <w:t>;</w:t>
      </w:r>
    </w:p>
    <w:p w14:paraId="243D94A9" w14:textId="68B8F143" w:rsidR="00B07340" w:rsidRPr="00A07F29" w:rsidRDefault="00033409"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18</w:t>
      </w:r>
      <w:r w:rsidR="00F02E15" w:rsidRPr="00A07F29">
        <w:rPr>
          <w:rFonts w:ascii="Times New Roman" w:eastAsia="Times New Roman" w:hAnsi="Times New Roman" w:cs="Times New Roman"/>
          <w:sz w:val="24"/>
          <w:szCs w:val="24"/>
          <w:lang w:eastAsia="lv-LV"/>
        </w:rPr>
        <w:t>.10.5.</w:t>
      </w:r>
      <w:r w:rsidR="007472E0">
        <w:rPr>
          <w:rFonts w:ascii="Times New Roman" w:eastAsia="Times New Roman" w:hAnsi="Times New Roman" w:cs="Times New Roman"/>
          <w:sz w:val="24"/>
          <w:szCs w:val="24"/>
          <w:lang w:eastAsia="lv-LV"/>
        </w:rPr>
        <w:t> </w:t>
      </w:r>
      <w:r w:rsidR="00F02E15" w:rsidRPr="00A07F29">
        <w:rPr>
          <w:rFonts w:ascii="Times New Roman" w:eastAsia="Times New Roman" w:hAnsi="Times New Roman" w:cs="Times New Roman"/>
          <w:sz w:val="24"/>
          <w:szCs w:val="24"/>
          <w:lang w:eastAsia="lv-LV"/>
        </w:rPr>
        <w:t>ugunsdrošības pasākumu īstenošana.</w:t>
      </w:r>
    </w:p>
    <w:p w14:paraId="74C47011" w14:textId="19415B16" w:rsidR="00B07340" w:rsidRPr="00A07F29" w:rsidRDefault="00B07340" w:rsidP="00D12BAF">
      <w:pPr>
        <w:spacing w:before="240" w:after="120" w:line="240" w:lineRule="auto"/>
        <w:jc w:val="center"/>
        <w:rPr>
          <w:rFonts w:ascii="Times New Roman" w:eastAsia="Times New Roman" w:hAnsi="Times New Roman" w:cs="Times New Roman"/>
          <w:sz w:val="24"/>
          <w:szCs w:val="24"/>
          <w:lang w:eastAsia="lv-LV"/>
        </w:rPr>
      </w:pPr>
      <w:r w:rsidRPr="00A07F29">
        <w:rPr>
          <w:rFonts w:ascii="Times New Roman" w:eastAsia="Times New Roman" w:hAnsi="Times New Roman" w:cs="Times New Roman"/>
          <w:b/>
          <w:bCs/>
          <w:sz w:val="24"/>
          <w:szCs w:val="24"/>
          <w:lang w:eastAsia="lv-LV"/>
        </w:rPr>
        <w:t>I</w:t>
      </w:r>
      <w:r w:rsidR="00AF7148">
        <w:rPr>
          <w:rFonts w:ascii="Times New Roman" w:eastAsia="Times New Roman" w:hAnsi="Times New Roman" w:cs="Times New Roman"/>
          <w:b/>
          <w:bCs/>
          <w:sz w:val="24"/>
          <w:szCs w:val="24"/>
          <w:lang w:eastAsia="lv-LV"/>
        </w:rPr>
        <w:t>V.</w:t>
      </w:r>
      <w:r w:rsidRPr="00A07F29">
        <w:rPr>
          <w:rFonts w:ascii="Times New Roman" w:eastAsia="Times New Roman" w:hAnsi="Times New Roman" w:cs="Times New Roman"/>
          <w:b/>
          <w:bCs/>
          <w:sz w:val="24"/>
          <w:szCs w:val="24"/>
          <w:lang w:eastAsia="lv-LV"/>
        </w:rPr>
        <w:t xml:space="preserve"> Dabas lieguma zona</w:t>
      </w:r>
    </w:p>
    <w:p w14:paraId="0297D106" w14:textId="45C7DBF7" w:rsidR="00B07340" w:rsidRPr="00A07F29" w:rsidRDefault="00033409" w:rsidP="00D12BAF">
      <w:pPr>
        <w:spacing w:before="72" w:after="72"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19</w:t>
      </w:r>
      <w:r w:rsidR="00B07340" w:rsidRPr="00A07F29">
        <w:rPr>
          <w:rFonts w:ascii="Times New Roman" w:eastAsia="Times New Roman" w:hAnsi="Times New Roman" w:cs="Times New Roman"/>
          <w:sz w:val="24"/>
          <w:szCs w:val="24"/>
          <w:lang w:eastAsia="lv-LV"/>
        </w:rPr>
        <w:t>.</w:t>
      </w:r>
      <w:r w:rsidR="007472E0">
        <w:rPr>
          <w:rFonts w:ascii="Times New Roman" w:eastAsia="Times New Roman" w:hAnsi="Times New Roman" w:cs="Times New Roman"/>
          <w:sz w:val="24"/>
          <w:szCs w:val="24"/>
          <w:lang w:eastAsia="lv-LV"/>
        </w:rPr>
        <w:t> </w:t>
      </w:r>
      <w:r w:rsidR="00B07340" w:rsidRPr="00A07F29">
        <w:rPr>
          <w:rFonts w:ascii="Times New Roman" w:eastAsia="Times New Roman" w:hAnsi="Times New Roman" w:cs="Times New Roman"/>
          <w:sz w:val="24"/>
          <w:szCs w:val="24"/>
          <w:lang w:eastAsia="lv-LV"/>
        </w:rPr>
        <w:t>Dabas lieguma zona izveidota, lai saglabātu īpaši aizsargājamus upju straujteču biotopus,</w:t>
      </w:r>
      <w:r w:rsidR="00B07340" w:rsidRPr="00A07F29">
        <w:rPr>
          <w:rFonts w:ascii="Times New Roman" w:eastAsia="Calibri" w:hAnsi="Times New Roman" w:cs="Times New Roman"/>
          <w:sz w:val="24"/>
          <w:szCs w:val="24"/>
        </w:rPr>
        <w:t xml:space="preserve"> </w:t>
      </w:r>
      <w:proofErr w:type="spellStart"/>
      <w:r w:rsidR="00B07340" w:rsidRPr="00A07F29">
        <w:rPr>
          <w:rFonts w:ascii="Times New Roman" w:eastAsia="Calibri" w:hAnsi="Times New Roman" w:cs="Times New Roman"/>
          <w:sz w:val="24"/>
          <w:szCs w:val="24"/>
        </w:rPr>
        <w:t>mezotrofus</w:t>
      </w:r>
      <w:proofErr w:type="spellEnd"/>
      <w:r w:rsidR="00B07340" w:rsidRPr="00A07F29">
        <w:rPr>
          <w:rFonts w:ascii="Times New Roman" w:eastAsia="Calibri" w:hAnsi="Times New Roman" w:cs="Times New Roman"/>
          <w:sz w:val="24"/>
          <w:szCs w:val="24"/>
        </w:rPr>
        <w:t xml:space="preserve"> ezerus, </w:t>
      </w:r>
      <w:proofErr w:type="spellStart"/>
      <w:r w:rsidR="00B07340" w:rsidRPr="00A07F29">
        <w:rPr>
          <w:rFonts w:ascii="Times New Roman" w:eastAsia="Times New Roman" w:hAnsi="Times New Roman" w:cs="Times New Roman"/>
          <w:sz w:val="24"/>
          <w:szCs w:val="24"/>
          <w:lang w:eastAsia="lv-LV"/>
        </w:rPr>
        <w:t>eitrofus</w:t>
      </w:r>
      <w:proofErr w:type="spellEnd"/>
      <w:r w:rsidR="00B07340" w:rsidRPr="00A07F29">
        <w:rPr>
          <w:rFonts w:ascii="Times New Roman" w:eastAsia="Times New Roman" w:hAnsi="Times New Roman" w:cs="Times New Roman"/>
          <w:sz w:val="24"/>
          <w:szCs w:val="24"/>
          <w:lang w:eastAsia="lv-LV"/>
        </w:rPr>
        <w:t xml:space="preserve"> ezerus ar iegrimušo ūdensaugu un </w:t>
      </w:r>
      <w:proofErr w:type="spellStart"/>
      <w:r w:rsidR="00B07340" w:rsidRPr="00A07F29">
        <w:rPr>
          <w:rFonts w:ascii="Times New Roman" w:eastAsia="Times New Roman" w:hAnsi="Times New Roman" w:cs="Times New Roman"/>
          <w:sz w:val="24"/>
          <w:szCs w:val="24"/>
          <w:lang w:eastAsia="lv-LV"/>
        </w:rPr>
        <w:t>peldaugu</w:t>
      </w:r>
      <w:proofErr w:type="spellEnd"/>
      <w:r w:rsidR="00B07340" w:rsidRPr="00A07F29">
        <w:rPr>
          <w:rFonts w:ascii="Times New Roman" w:eastAsia="Times New Roman" w:hAnsi="Times New Roman" w:cs="Times New Roman"/>
          <w:sz w:val="24"/>
          <w:szCs w:val="24"/>
          <w:lang w:eastAsia="lv-LV"/>
        </w:rPr>
        <w:t xml:space="preserve"> augāju, aizsargājamus meža biotopus </w:t>
      </w:r>
      <w:r w:rsidR="00A128BB">
        <w:rPr>
          <w:rFonts w:ascii="Times New Roman" w:eastAsia="Times New Roman" w:hAnsi="Times New Roman" w:cs="Times New Roman"/>
          <w:sz w:val="24"/>
          <w:szCs w:val="24"/>
          <w:lang w:eastAsia="lv-LV"/>
        </w:rPr>
        <w:t>–</w:t>
      </w:r>
      <w:r w:rsidR="00B07340" w:rsidRPr="00A07F29">
        <w:rPr>
          <w:rFonts w:ascii="Times New Roman" w:eastAsia="Times New Roman" w:hAnsi="Times New Roman" w:cs="Times New Roman"/>
          <w:sz w:val="24"/>
          <w:szCs w:val="24"/>
          <w:lang w:eastAsia="lv-LV"/>
        </w:rPr>
        <w:t xml:space="preserve"> nogāžu un gravu mežus, vecus vai dabiskus </w:t>
      </w:r>
      <w:proofErr w:type="spellStart"/>
      <w:r w:rsidR="00B07340" w:rsidRPr="00A07F29">
        <w:rPr>
          <w:rFonts w:ascii="Times New Roman" w:eastAsia="Times New Roman" w:hAnsi="Times New Roman" w:cs="Times New Roman"/>
          <w:sz w:val="24"/>
          <w:szCs w:val="24"/>
          <w:lang w:eastAsia="lv-LV"/>
        </w:rPr>
        <w:t>boreālos</w:t>
      </w:r>
      <w:proofErr w:type="spellEnd"/>
      <w:r w:rsidR="00B07340" w:rsidRPr="00A07F29">
        <w:rPr>
          <w:rFonts w:ascii="Times New Roman" w:eastAsia="Times New Roman" w:hAnsi="Times New Roman" w:cs="Times New Roman"/>
          <w:sz w:val="24"/>
          <w:szCs w:val="24"/>
          <w:lang w:eastAsia="lv-LV"/>
        </w:rPr>
        <w:t xml:space="preserve"> mežus, īpaši aizsargājamos purva biotopus – pārejas purvus un slīkšņas, kā arī īpaši aizsargājamo sugu dzīvotnes.</w:t>
      </w:r>
    </w:p>
    <w:p w14:paraId="153A7832" w14:textId="201D9DE7" w:rsidR="00B07340" w:rsidRPr="00A07F29" w:rsidRDefault="00B07340"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2</w:t>
      </w:r>
      <w:r w:rsidR="00033409" w:rsidRPr="00A07F29">
        <w:rPr>
          <w:rFonts w:ascii="Times New Roman" w:eastAsia="Times New Roman" w:hAnsi="Times New Roman" w:cs="Times New Roman"/>
          <w:sz w:val="24"/>
          <w:szCs w:val="24"/>
          <w:lang w:eastAsia="lv-LV"/>
        </w:rPr>
        <w:t>0</w:t>
      </w:r>
      <w:r w:rsidRPr="00A07F29">
        <w:rPr>
          <w:rFonts w:ascii="Times New Roman" w:eastAsia="Times New Roman" w:hAnsi="Times New Roman" w:cs="Times New Roman"/>
          <w:sz w:val="24"/>
          <w:szCs w:val="24"/>
          <w:lang w:eastAsia="lv-LV"/>
        </w:rPr>
        <w:t>.</w:t>
      </w:r>
      <w:r w:rsidR="00A128BB">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 xml:space="preserve">Dabas lieguma </w:t>
      </w:r>
      <w:r w:rsidR="00D12BAF" w:rsidRPr="00A07F29">
        <w:rPr>
          <w:rFonts w:ascii="Times New Roman" w:eastAsia="Times New Roman" w:hAnsi="Times New Roman" w:cs="Times New Roman"/>
          <w:sz w:val="24"/>
          <w:szCs w:val="24"/>
          <w:lang w:eastAsia="lv-LV"/>
        </w:rPr>
        <w:t>zon</w:t>
      </w:r>
      <w:r w:rsidR="00CD5384" w:rsidRPr="00A07F29">
        <w:rPr>
          <w:rFonts w:ascii="Times New Roman" w:eastAsia="Times New Roman" w:hAnsi="Times New Roman" w:cs="Times New Roman"/>
          <w:sz w:val="24"/>
          <w:szCs w:val="24"/>
          <w:lang w:eastAsia="lv-LV"/>
        </w:rPr>
        <w:t>as teritorijā</w:t>
      </w:r>
      <w:r w:rsidR="00D12BAF" w:rsidRPr="00A07F29">
        <w:rPr>
          <w:rFonts w:ascii="Times New Roman" w:eastAsia="Times New Roman" w:hAnsi="Times New Roman" w:cs="Times New Roman"/>
          <w:sz w:val="24"/>
          <w:szCs w:val="24"/>
          <w:lang w:eastAsia="lv-LV"/>
        </w:rPr>
        <w:t xml:space="preserve"> </w:t>
      </w:r>
      <w:r w:rsidRPr="00A07F29">
        <w:rPr>
          <w:rFonts w:ascii="Times New Roman" w:eastAsia="Times New Roman" w:hAnsi="Times New Roman" w:cs="Times New Roman"/>
          <w:sz w:val="24"/>
          <w:szCs w:val="24"/>
          <w:lang w:eastAsia="lv-LV"/>
        </w:rPr>
        <w:t>aizliegts:</w:t>
      </w:r>
    </w:p>
    <w:p w14:paraId="7F21E5A9" w14:textId="389E24D0" w:rsidR="00B07340" w:rsidRPr="00A07F29" w:rsidRDefault="00B07340"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2</w:t>
      </w:r>
      <w:r w:rsidR="00CD5384" w:rsidRPr="00A07F29">
        <w:rPr>
          <w:rFonts w:ascii="Times New Roman" w:eastAsia="Times New Roman" w:hAnsi="Times New Roman" w:cs="Times New Roman"/>
          <w:sz w:val="24"/>
          <w:szCs w:val="24"/>
          <w:lang w:eastAsia="lv-LV"/>
        </w:rPr>
        <w:t>0</w:t>
      </w:r>
      <w:r w:rsidRPr="00A07F29">
        <w:rPr>
          <w:rFonts w:ascii="Times New Roman" w:eastAsia="Times New Roman" w:hAnsi="Times New Roman" w:cs="Times New Roman"/>
          <w:sz w:val="24"/>
          <w:szCs w:val="24"/>
          <w:lang w:eastAsia="lv-LV"/>
        </w:rPr>
        <w:t>.1.</w:t>
      </w:r>
      <w:r w:rsidR="00A128BB">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 xml:space="preserve">nosusināt purvus, mežaudzes slapjās </w:t>
      </w:r>
      <w:proofErr w:type="spellStart"/>
      <w:r w:rsidRPr="00A07F29">
        <w:rPr>
          <w:rFonts w:ascii="Times New Roman" w:eastAsia="Times New Roman" w:hAnsi="Times New Roman" w:cs="Times New Roman"/>
          <w:sz w:val="24"/>
          <w:szCs w:val="24"/>
          <w:lang w:eastAsia="lv-LV"/>
        </w:rPr>
        <w:t>minerālaugsnēs</w:t>
      </w:r>
      <w:proofErr w:type="spellEnd"/>
      <w:r w:rsidRPr="00A07F29">
        <w:rPr>
          <w:rFonts w:ascii="Times New Roman" w:eastAsia="Times New Roman" w:hAnsi="Times New Roman" w:cs="Times New Roman"/>
          <w:sz w:val="24"/>
          <w:szCs w:val="24"/>
          <w:lang w:eastAsia="lv-LV"/>
        </w:rPr>
        <w:t xml:space="preserve"> un slapjās kūdras augsnēs;</w:t>
      </w:r>
    </w:p>
    <w:p w14:paraId="148379B6" w14:textId="20EB6410" w:rsidR="00B07340" w:rsidRPr="00A07F29" w:rsidRDefault="0E6B778D" w:rsidP="0E6B778D">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2</w:t>
      </w:r>
      <w:r w:rsidR="00CD5384" w:rsidRPr="00A07F29">
        <w:rPr>
          <w:rFonts w:ascii="Times New Roman" w:eastAsia="Times New Roman" w:hAnsi="Times New Roman" w:cs="Times New Roman"/>
          <w:sz w:val="24"/>
          <w:szCs w:val="24"/>
          <w:lang w:eastAsia="lv-LV"/>
        </w:rPr>
        <w:t>0</w:t>
      </w:r>
      <w:r w:rsidRPr="00A07F29">
        <w:rPr>
          <w:rFonts w:ascii="Times New Roman" w:eastAsia="Times New Roman" w:hAnsi="Times New Roman" w:cs="Times New Roman"/>
          <w:sz w:val="24"/>
          <w:szCs w:val="24"/>
          <w:lang w:eastAsia="lv-LV"/>
        </w:rPr>
        <w:t>.2.</w:t>
      </w:r>
      <w:r w:rsidR="00A128BB">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 xml:space="preserve">rīkot </w:t>
      </w:r>
      <w:proofErr w:type="spellStart"/>
      <w:r w:rsidRPr="00A07F29">
        <w:rPr>
          <w:rFonts w:ascii="Times New Roman" w:eastAsia="Times New Roman" w:hAnsi="Times New Roman" w:cs="Times New Roman"/>
          <w:sz w:val="24"/>
          <w:szCs w:val="24"/>
          <w:lang w:eastAsia="lv-LV"/>
        </w:rPr>
        <w:t>autosacensības</w:t>
      </w:r>
      <w:proofErr w:type="spellEnd"/>
      <w:r w:rsidRPr="00A07F29">
        <w:rPr>
          <w:rFonts w:ascii="Times New Roman" w:eastAsia="Times New Roman" w:hAnsi="Times New Roman" w:cs="Times New Roman"/>
          <w:sz w:val="24"/>
          <w:szCs w:val="24"/>
          <w:lang w:eastAsia="lv-LV"/>
        </w:rPr>
        <w:t xml:space="preserve">, </w:t>
      </w:r>
      <w:proofErr w:type="spellStart"/>
      <w:r w:rsidRPr="00A07F29">
        <w:rPr>
          <w:rFonts w:ascii="Times New Roman" w:eastAsia="Times New Roman" w:hAnsi="Times New Roman" w:cs="Times New Roman"/>
          <w:sz w:val="24"/>
          <w:szCs w:val="24"/>
          <w:lang w:eastAsia="lv-LV"/>
        </w:rPr>
        <w:t>motosacensības</w:t>
      </w:r>
      <w:proofErr w:type="spellEnd"/>
      <w:r w:rsidRPr="00A07F29">
        <w:rPr>
          <w:rFonts w:ascii="Times New Roman" w:eastAsia="Times New Roman" w:hAnsi="Times New Roman" w:cs="Times New Roman"/>
          <w:sz w:val="24"/>
          <w:szCs w:val="24"/>
          <w:lang w:eastAsia="lv-LV"/>
        </w:rPr>
        <w:t xml:space="preserve"> un </w:t>
      </w:r>
      <w:proofErr w:type="spellStart"/>
      <w:r w:rsidRPr="00A07F29">
        <w:rPr>
          <w:rFonts w:ascii="Times New Roman" w:eastAsia="Times New Roman" w:hAnsi="Times New Roman" w:cs="Times New Roman"/>
          <w:sz w:val="24"/>
          <w:szCs w:val="24"/>
          <w:lang w:eastAsia="lv-LV"/>
        </w:rPr>
        <w:t>velosacensības</w:t>
      </w:r>
      <w:proofErr w:type="spellEnd"/>
      <w:r w:rsidRPr="00A07F29">
        <w:rPr>
          <w:rFonts w:ascii="Times New Roman" w:eastAsia="Times New Roman" w:hAnsi="Times New Roman" w:cs="Times New Roman"/>
          <w:sz w:val="24"/>
          <w:szCs w:val="24"/>
          <w:lang w:eastAsia="lv-LV"/>
        </w:rPr>
        <w:t>, rallijus, treniņbraucienus, izmēģinājuma braucienus, kā arī ūdenssporta sacensības</w:t>
      </w:r>
      <w:r w:rsidR="00234352">
        <w:rPr>
          <w:rFonts w:ascii="Times New Roman" w:eastAsia="Times New Roman" w:hAnsi="Times New Roman" w:cs="Times New Roman"/>
          <w:sz w:val="24"/>
          <w:szCs w:val="24"/>
          <w:lang w:eastAsia="lv-LV"/>
        </w:rPr>
        <w:t>;</w:t>
      </w:r>
      <w:r w:rsidRPr="00A07F29">
        <w:rPr>
          <w:rFonts w:ascii="Times New Roman" w:eastAsia="Times New Roman" w:hAnsi="Times New Roman" w:cs="Times New Roman"/>
          <w:sz w:val="24"/>
          <w:szCs w:val="24"/>
          <w:lang w:eastAsia="lv-LV"/>
        </w:rPr>
        <w:t xml:space="preserve"> </w:t>
      </w:r>
    </w:p>
    <w:p w14:paraId="5CE71E1E" w14:textId="6F1151F6" w:rsidR="00B07340" w:rsidRPr="00A07F29" w:rsidRDefault="0E6B778D"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2</w:t>
      </w:r>
      <w:r w:rsidR="00CD5384" w:rsidRPr="00A07F29">
        <w:rPr>
          <w:rFonts w:ascii="Times New Roman" w:eastAsia="Times New Roman" w:hAnsi="Times New Roman" w:cs="Times New Roman"/>
          <w:sz w:val="24"/>
          <w:szCs w:val="24"/>
          <w:lang w:eastAsia="lv-LV"/>
        </w:rPr>
        <w:t>0</w:t>
      </w:r>
      <w:r w:rsidRPr="00A07F29">
        <w:rPr>
          <w:rFonts w:ascii="Times New Roman" w:eastAsia="Times New Roman" w:hAnsi="Times New Roman" w:cs="Times New Roman"/>
          <w:sz w:val="24"/>
          <w:szCs w:val="24"/>
          <w:lang w:eastAsia="lv-LV"/>
        </w:rPr>
        <w:t>.3.</w:t>
      </w:r>
      <w:r w:rsidR="00234352">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ierīkot purvos dzērveņu plantācijas;</w:t>
      </w:r>
    </w:p>
    <w:p w14:paraId="297B53F2" w14:textId="4C548447" w:rsidR="00B07340" w:rsidRPr="00A07F29" w:rsidRDefault="00B07340"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2</w:t>
      </w:r>
      <w:r w:rsidR="00CD5384" w:rsidRPr="00A07F29">
        <w:rPr>
          <w:rFonts w:ascii="Times New Roman" w:eastAsia="Times New Roman" w:hAnsi="Times New Roman" w:cs="Times New Roman"/>
          <w:sz w:val="24"/>
          <w:szCs w:val="24"/>
          <w:lang w:eastAsia="lv-LV"/>
        </w:rPr>
        <w:t>0</w:t>
      </w:r>
      <w:r w:rsidRPr="00A07F29">
        <w:rPr>
          <w:rFonts w:ascii="Times New Roman" w:eastAsia="Times New Roman" w:hAnsi="Times New Roman" w:cs="Times New Roman"/>
          <w:sz w:val="24"/>
          <w:szCs w:val="24"/>
          <w:lang w:eastAsia="lv-LV"/>
        </w:rPr>
        <w:t>.4.</w:t>
      </w:r>
      <w:r w:rsidR="00234352">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veikt darbības, kas veicina augsnes erozijas attīstību, izņemot augsnes sagatavošanu lauksaimniecības un meža atjaunošanas</w:t>
      </w:r>
      <w:r w:rsidR="00D65BBA" w:rsidRPr="00A07F29">
        <w:rPr>
          <w:rFonts w:ascii="Times New Roman" w:eastAsia="Times New Roman" w:hAnsi="Times New Roman" w:cs="Times New Roman"/>
          <w:sz w:val="24"/>
          <w:szCs w:val="24"/>
          <w:lang w:eastAsia="lv-LV"/>
        </w:rPr>
        <w:t xml:space="preserve"> </w:t>
      </w:r>
      <w:r w:rsidRPr="00A07F29">
        <w:rPr>
          <w:rFonts w:ascii="Times New Roman" w:eastAsia="Times New Roman" w:hAnsi="Times New Roman" w:cs="Times New Roman"/>
          <w:sz w:val="24"/>
          <w:szCs w:val="24"/>
          <w:lang w:eastAsia="lv-LV"/>
        </w:rPr>
        <w:t>vajadzībām;</w:t>
      </w:r>
    </w:p>
    <w:p w14:paraId="7B5025BB" w14:textId="3F13C523" w:rsidR="00B07340" w:rsidRPr="00A07F29" w:rsidRDefault="00B07340"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2</w:t>
      </w:r>
      <w:r w:rsidR="00CD5384" w:rsidRPr="00A07F29">
        <w:rPr>
          <w:rFonts w:ascii="Times New Roman" w:eastAsia="Times New Roman" w:hAnsi="Times New Roman" w:cs="Times New Roman"/>
          <w:sz w:val="24"/>
          <w:szCs w:val="24"/>
          <w:lang w:eastAsia="lv-LV"/>
        </w:rPr>
        <w:t>0</w:t>
      </w:r>
      <w:r w:rsidRPr="00A07F29">
        <w:rPr>
          <w:rFonts w:ascii="Times New Roman" w:eastAsia="Times New Roman" w:hAnsi="Times New Roman" w:cs="Times New Roman"/>
          <w:sz w:val="24"/>
          <w:szCs w:val="24"/>
          <w:lang w:eastAsia="lv-LV"/>
        </w:rPr>
        <w:t>.5.</w:t>
      </w:r>
      <w:r w:rsidR="00234352">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mainīt zemes lietošanas kategoriju, izņemot:</w:t>
      </w:r>
    </w:p>
    <w:p w14:paraId="4CC46753" w14:textId="032B8FEC" w:rsidR="00B07340" w:rsidRPr="00A07F29" w:rsidRDefault="00B07340"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lastRenderedPageBreak/>
        <w:t>2</w:t>
      </w:r>
      <w:r w:rsidR="00CD5384" w:rsidRPr="00A07F29">
        <w:rPr>
          <w:rFonts w:ascii="Times New Roman" w:eastAsia="Times New Roman" w:hAnsi="Times New Roman" w:cs="Times New Roman"/>
          <w:sz w:val="24"/>
          <w:szCs w:val="24"/>
          <w:lang w:eastAsia="lv-LV"/>
        </w:rPr>
        <w:t>0</w:t>
      </w:r>
      <w:r w:rsidRPr="00A07F29">
        <w:rPr>
          <w:rFonts w:ascii="Times New Roman" w:eastAsia="Times New Roman" w:hAnsi="Times New Roman" w:cs="Times New Roman"/>
          <w:sz w:val="24"/>
          <w:szCs w:val="24"/>
          <w:lang w:eastAsia="lv-LV"/>
        </w:rPr>
        <w:t>.5.1.</w:t>
      </w:r>
      <w:r w:rsidR="009C337D">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 xml:space="preserve">dabiski apmežojušās vai pirms </w:t>
      </w:r>
      <w:r w:rsidR="00D12BAF" w:rsidRPr="00A07F29">
        <w:rPr>
          <w:rFonts w:ascii="Times New Roman" w:eastAsia="Times New Roman" w:hAnsi="Times New Roman" w:cs="Times New Roman"/>
          <w:sz w:val="24"/>
          <w:szCs w:val="24"/>
          <w:lang w:eastAsia="lv-LV"/>
        </w:rPr>
        <w:t xml:space="preserve">šo noteikumu </w:t>
      </w:r>
      <w:r w:rsidRPr="00A07F29">
        <w:rPr>
          <w:rFonts w:ascii="Times New Roman" w:eastAsia="Times New Roman" w:hAnsi="Times New Roman" w:cs="Times New Roman"/>
          <w:sz w:val="24"/>
          <w:szCs w:val="24"/>
          <w:lang w:eastAsia="lv-LV"/>
        </w:rPr>
        <w:t>stāšanās spēkā apmežotas lauksaimniecības zemes lietošanas kategorijas maiņu uz kategoriju "mežs" vai "krūmājs";</w:t>
      </w:r>
    </w:p>
    <w:p w14:paraId="25BCC6AD" w14:textId="757E15CA" w:rsidR="00B07340" w:rsidRPr="00A07F29" w:rsidRDefault="00B07340"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2</w:t>
      </w:r>
      <w:r w:rsidR="00CD5384" w:rsidRPr="00A07F29">
        <w:rPr>
          <w:rFonts w:ascii="Times New Roman" w:eastAsia="Times New Roman" w:hAnsi="Times New Roman" w:cs="Times New Roman"/>
          <w:sz w:val="24"/>
          <w:szCs w:val="24"/>
          <w:lang w:eastAsia="lv-LV"/>
        </w:rPr>
        <w:t>0</w:t>
      </w:r>
      <w:r w:rsidRPr="00A07F29">
        <w:rPr>
          <w:rFonts w:ascii="Times New Roman" w:eastAsia="Times New Roman" w:hAnsi="Times New Roman" w:cs="Times New Roman"/>
          <w:sz w:val="24"/>
          <w:szCs w:val="24"/>
          <w:lang w:eastAsia="lv-LV"/>
        </w:rPr>
        <w:t>.5.2.</w:t>
      </w:r>
      <w:r w:rsidR="009C337D">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upju dabiskā tecējuma atjaunošanu;</w:t>
      </w:r>
    </w:p>
    <w:p w14:paraId="561EA76C" w14:textId="62E724DC" w:rsidR="00B07340" w:rsidRPr="00A07F29" w:rsidRDefault="00B07340"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2</w:t>
      </w:r>
      <w:r w:rsidR="00CD5384" w:rsidRPr="00A07F29">
        <w:rPr>
          <w:rFonts w:ascii="Times New Roman" w:eastAsia="Times New Roman" w:hAnsi="Times New Roman" w:cs="Times New Roman"/>
          <w:sz w:val="24"/>
          <w:szCs w:val="24"/>
          <w:lang w:eastAsia="lv-LV"/>
        </w:rPr>
        <w:t>0</w:t>
      </w:r>
      <w:r w:rsidRPr="00A07F29">
        <w:rPr>
          <w:rFonts w:ascii="Times New Roman" w:eastAsia="Times New Roman" w:hAnsi="Times New Roman" w:cs="Times New Roman"/>
          <w:sz w:val="24"/>
          <w:szCs w:val="24"/>
          <w:lang w:eastAsia="lv-LV"/>
        </w:rPr>
        <w:t>.5.3.</w:t>
      </w:r>
      <w:r w:rsidR="009C337D">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dabiski applūdušās zemes lietošanas kategorijas maiņu uz dabā konstatēto zemes lietošanas kategoriju;</w:t>
      </w:r>
    </w:p>
    <w:p w14:paraId="7109CC7F" w14:textId="28F3879E" w:rsidR="00B07340" w:rsidRPr="00A07F29" w:rsidRDefault="00B07340"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2</w:t>
      </w:r>
      <w:r w:rsidR="00CD5384" w:rsidRPr="00A07F29">
        <w:rPr>
          <w:rFonts w:ascii="Times New Roman" w:eastAsia="Times New Roman" w:hAnsi="Times New Roman" w:cs="Times New Roman"/>
          <w:sz w:val="24"/>
          <w:szCs w:val="24"/>
          <w:lang w:eastAsia="lv-LV"/>
        </w:rPr>
        <w:t>0</w:t>
      </w:r>
      <w:r w:rsidRPr="00A07F29">
        <w:rPr>
          <w:rFonts w:ascii="Times New Roman" w:eastAsia="Times New Roman" w:hAnsi="Times New Roman" w:cs="Times New Roman"/>
          <w:sz w:val="24"/>
          <w:szCs w:val="24"/>
          <w:lang w:eastAsia="lv-LV"/>
        </w:rPr>
        <w:t>.5.4.</w:t>
      </w:r>
      <w:r w:rsidR="00232816">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ar Dabas aizsardzības pārvaldes rakstisku atļauju:</w:t>
      </w:r>
    </w:p>
    <w:p w14:paraId="1FF7246B" w14:textId="0E8CDC9A" w:rsidR="00B07340" w:rsidRPr="00A07F29" w:rsidRDefault="00B07340"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2</w:t>
      </w:r>
      <w:r w:rsidR="00CD5384" w:rsidRPr="00A07F29">
        <w:rPr>
          <w:rFonts w:ascii="Times New Roman" w:eastAsia="Times New Roman" w:hAnsi="Times New Roman" w:cs="Times New Roman"/>
          <w:sz w:val="24"/>
          <w:szCs w:val="24"/>
          <w:lang w:eastAsia="lv-LV"/>
        </w:rPr>
        <w:t>0</w:t>
      </w:r>
      <w:r w:rsidRPr="00A07F29">
        <w:rPr>
          <w:rFonts w:ascii="Times New Roman" w:eastAsia="Times New Roman" w:hAnsi="Times New Roman" w:cs="Times New Roman"/>
          <w:sz w:val="24"/>
          <w:szCs w:val="24"/>
          <w:lang w:eastAsia="lv-LV"/>
        </w:rPr>
        <w:t>.5.4.1.</w:t>
      </w:r>
      <w:r w:rsidR="00232816">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īpaši aizsargājamo biotopu un īpaši aizsargājamo sugu dzīvotņu atjaunošanu;</w:t>
      </w:r>
    </w:p>
    <w:p w14:paraId="673CCF25" w14:textId="576893DC" w:rsidR="00B07340" w:rsidRPr="00A07F29" w:rsidRDefault="00B07340"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2</w:t>
      </w:r>
      <w:r w:rsidR="00CD5384" w:rsidRPr="00A07F29">
        <w:rPr>
          <w:rFonts w:ascii="Times New Roman" w:eastAsia="Times New Roman" w:hAnsi="Times New Roman" w:cs="Times New Roman"/>
          <w:sz w:val="24"/>
          <w:szCs w:val="24"/>
          <w:lang w:eastAsia="lv-LV"/>
        </w:rPr>
        <w:t>0</w:t>
      </w:r>
      <w:r w:rsidRPr="00A07F29">
        <w:rPr>
          <w:rFonts w:ascii="Times New Roman" w:eastAsia="Times New Roman" w:hAnsi="Times New Roman" w:cs="Times New Roman"/>
          <w:sz w:val="24"/>
          <w:szCs w:val="24"/>
          <w:lang w:eastAsia="lv-LV"/>
        </w:rPr>
        <w:t>.5.4.2.</w:t>
      </w:r>
      <w:r w:rsidR="00232816">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publiski pieejamu dabas tūrisma un izziņas infrastruktūras objektu (piemēram, taku, skatu torņu, telšu vietu) ierīkošanu;</w:t>
      </w:r>
    </w:p>
    <w:p w14:paraId="22E3BA13" w14:textId="4C68AC23" w:rsidR="00B07340" w:rsidRPr="00A07F29" w:rsidRDefault="00B07340"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2</w:t>
      </w:r>
      <w:r w:rsidR="00CD5384" w:rsidRPr="00A07F29">
        <w:rPr>
          <w:rFonts w:ascii="Times New Roman" w:eastAsia="Times New Roman" w:hAnsi="Times New Roman" w:cs="Times New Roman"/>
          <w:sz w:val="24"/>
          <w:szCs w:val="24"/>
          <w:lang w:eastAsia="lv-LV"/>
        </w:rPr>
        <w:t>0</w:t>
      </w:r>
      <w:r w:rsidRPr="00A07F29">
        <w:rPr>
          <w:rFonts w:ascii="Times New Roman" w:eastAsia="Times New Roman" w:hAnsi="Times New Roman" w:cs="Times New Roman"/>
          <w:sz w:val="24"/>
          <w:szCs w:val="24"/>
          <w:lang w:eastAsia="lv-LV"/>
        </w:rPr>
        <w:t>.5.4.3.</w:t>
      </w:r>
      <w:r w:rsidR="00232816">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kuģošanas līdzekļu piestātņu ierīkošanu;</w:t>
      </w:r>
    </w:p>
    <w:p w14:paraId="15663981" w14:textId="3BC2E27D" w:rsidR="00B07340" w:rsidRPr="00A07F29" w:rsidRDefault="00B07340"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2</w:t>
      </w:r>
      <w:r w:rsidR="00CD5384" w:rsidRPr="00A07F29">
        <w:rPr>
          <w:rFonts w:ascii="Times New Roman" w:eastAsia="Times New Roman" w:hAnsi="Times New Roman" w:cs="Times New Roman"/>
          <w:sz w:val="24"/>
          <w:szCs w:val="24"/>
          <w:lang w:eastAsia="lv-LV"/>
        </w:rPr>
        <w:t>0</w:t>
      </w:r>
      <w:r w:rsidRPr="00A07F29">
        <w:rPr>
          <w:rFonts w:ascii="Times New Roman" w:eastAsia="Times New Roman" w:hAnsi="Times New Roman" w:cs="Times New Roman"/>
          <w:sz w:val="24"/>
          <w:szCs w:val="24"/>
          <w:lang w:eastAsia="lv-LV"/>
        </w:rPr>
        <w:t>.5.4.4.</w:t>
      </w:r>
      <w:r w:rsidR="00232816">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ceļu, inženierkomunikāciju un citu inženierbūvju pārbūvi un atjaunošanu, ja tiek mainīts trases platums un novietojums;</w:t>
      </w:r>
    </w:p>
    <w:p w14:paraId="0DB8D219" w14:textId="1A0226EB" w:rsidR="00B07340" w:rsidRPr="00A07F29" w:rsidRDefault="00B07340"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2</w:t>
      </w:r>
      <w:r w:rsidR="00CD5384" w:rsidRPr="00A07F29">
        <w:rPr>
          <w:rFonts w:ascii="Times New Roman" w:eastAsia="Times New Roman" w:hAnsi="Times New Roman" w:cs="Times New Roman"/>
          <w:sz w:val="24"/>
          <w:szCs w:val="24"/>
          <w:lang w:eastAsia="lv-LV"/>
        </w:rPr>
        <w:t>0</w:t>
      </w:r>
      <w:r w:rsidRPr="00A07F29">
        <w:rPr>
          <w:rFonts w:ascii="Times New Roman" w:eastAsia="Times New Roman" w:hAnsi="Times New Roman" w:cs="Times New Roman"/>
          <w:sz w:val="24"/>
          <w:szCs w:val="24"/>
          <w:lang w:eastAsia="lv-LV"/>
        </w:rPr>
        <w:t>.6.</w:t>
      </w:r>
      <w:r w:rsidR="006D1DE7">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būvēt hidrotehniskas būves un ierīkot meliorācijas sistēmas, izņemot, lai novērstu teritoriju applūšanu ārpus dabas lieguma zonas, kā arī ar Dabas aizsardzības pārvaldes rakstisku atļauju:</w:t>
      </w:r>
    </w:p>
    <w:p w14:paraId="0660C075" w14:textId="749C082A" w:rsidR="00B07340" w:rsidRPr="00A07F29" w:rsidRDefault="00B07340"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2</w:t>
      </w:r>
      <w:r w:rsidR="00CD5384" w:rsidRPr="00A07F29">
        <w:rPr>
          <w:rFonts w:ascii="Times New Roman" w:eastAsia="Times New Roman" w:hAnsi="Times New Roman" w:cs="Times New Roman"/>
          <w:sz w:val="24"/>
          <w:szCs w:val="24"/>
          <w:lang w:eastAsia="lv-LV"/>
        </w:rPr>
        <w:t>0</w:t>
      </w:r>
      <w:r w:rsidRPr="00A07F29">
        <w:rPr>
          <w:rFonts w:ascii="Times New Roman" w:eastAsia="Times New Roman" w:hAnsi="Times New Roman" w:cs="Times New Roman"/>
          <w:sz w:val="24"/>
          <w:szCs w:val="24"/>
          <w:lang w:eastAsia="lv-LV"/>
        </w:rPr>
        <w:t>.6.1.</w:t>
      </w:r>
      <w:r w:rsidR="006D1DE7">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upju dabiskā tecējuma, ūdenstecēm un ūdenstilpēm piegulošo teritoriju hidroloģiskā režīma atjaunošanu;</w:t>
      </w:r>
    </w:p>
    <w:p w14:paraId="48C404E5" w14:textId="0517B9EE" w:rsidR="00B07340" w:rsidRPr="00A07F29" w:rsidRDefault="00B07340"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2</w:t>
      </w:r>
      <w:r w:rsidR="00CD5384" w:rsidRPr="00A07F29">
        <w:rPr>
          <w:rFonts w:ascii="Times New Roman" w:eastAsia="Times New Roman" w:hAnsi="Times New Roman" w:cs="Times New Roman"/>
          <w:sz w:val="24"/>
          <w:szCs w:val="24"/>
          <w:lang w:eastAsia="lv-LV"/>
        </w:rPr>
        <w:t>0</w:t>
      </w:r>
      <w:r w:rsidRPr="00A07F29">
        <w:rPr>
          <w:rFonts w:ascii="Times New Roman" w:eastAsia="Times New Roman" w:hAnsi="Times New Roman" w:cs="Times New Roman"/>
          <w:sz w:val="24"/>
          <w:szCs w:val="24"/>
          <w:lang w:eastAsia="lv-LV"/>
        </w:rPr>
        <w:t>.6.2.</w:t>
      </w:r>
      <w:r w:rsidR="006D1DE7">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īpaši aizsargājamo biotopu un īpaši aizsargājamo sugu dzīvotņu atjaunošanas pasākumu veikšanu;</w:t>
      </w:r>
    </w:p>
    <w:p w14:paraId="22FCAE78" w14:textId="30E31419" w:rsidR="00B07340" w:rsidRPr="00A07F29" w:rsidRDefault="00B07340"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2</w:t>
      </w:r>
      <w:r w:rsidR="00CD5384" w:rsidRPr="00A07F29">
        <w:rPr>
          <w:rFonts w:ascii="Times New Roman" w:eastAsia="Times New Roman" w:hAnsi="Times New Roman" w:cs="Times New Roman"/>
          <w:sz w:val="24"/>
          <w:szCs w:val="24"/>
          <w:lang w:eastAsia="lv-LV"/>
        </w:rPr>
        <w:t>0</w:t>
      </w:r>
      <w:r w:rsidRPr="00A07F29">
        <w:rPr>
          <w:rFonts w:ascii="Times New Roman" w:eastAsia="Times New Roman" w:hAnsi="Times New Roman" w:cs="Times New Roman"/>
          <w:sz w:val="24"/>
          <w:szCs w:val="24"/>
          <w:lang w:eastAsia="lv-LV"/>
        </w:rPr>
        <w:t>.6.3.</w:t>
      </w:r>
      <w:r w:rsidR="006D1DE7">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zivju migrācijas ceļu atjaunošanu;</w:t>
      </w:r>
    </w:p>
    <w:p w14:paraId="52BDECF0" w14:textId="5885F60C" w:rsidR="00B07340" w:rsidRPr="00A07F29" w:rsidRDefault="00B07340"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2</w:t>
      </w:r>
      <w:r w:rsidR="00CD5384" w:rsidRPr="00A07F29">
        <w:rPr>
          <w:rFonts w:ascii="Times New Roman" w:eastAsia="Times New Roman" w:hAnsi="Times New Roman" w:cs="Times New Roman"/>
          <w:sz w:val="24"/>
          <w:szCs w:val="24"/>
          <w:lang w:eastAsia="lv-LV"/>
        </w:rPr>
        <w:t>0</w:t>
      </w:r>
      <w:r w:rsidRPr="00A07F29">
        <w:rPr>
          <w:rFonts w:ascii="Times New Roman" w:eastAsia="Times New Roman" w:hAnsi="Times New Roman" w:cs="Times New Roman"/>
          <w:sz w:val="24"/>
          <w:szCs w:val="24"/>
          <w:lang w:eastAsia="lv-LV"/>
        </w:rPr>
        <w:t>.7.</w:t>
      </w:r>
      <w:r w:rsidR="006D1DE7">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ierīkot jaunas un paplašināt esošas iežogotas platības savvaļas dzīvnieku turēšanai nebrīvē;</w:t>
      </w:r>
    </w:p>
    <w:p w14:paraId="5B3787A1" w14:textId="190DBD41" w:rsidR="00B07340" w:rsidRPr="00A07F29" w:rsidRDefault="0E6B778D"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2</w:t>
      </w:r>
      <w:r w:rsidR="00CD5384" w:rsidRPr="00A07F29">
        <w:rPr>
          <w:rFonts w:ascii="Times New Roman" w:eastAsia="Times New Roman" w:hAnsi="Times New Roman" w:cs="Times New Roman"/>
          <w:sz w:val="24"/>
          <w:szCs w:val="24"/>
          <w:lang w:eastAsia="lv-LV"/>
        </w:rPr>
        <w:t>0</w:t>
      </w:r>
      <w:r w:rsidRPr="00A07F29">
        <w:rPr>
          <w:rFonts w:ascii="Times New Roman" w:eastAsia="Times New Roman" w:hAnsi="Times New Roman" w:cs="Times New Roman"/>
          <w:sz w:val="24"/>
          <w:szCs w:val="24"/>
          <w:lang w:eastAsia="lv-LV"/>
        </w:rPr>
        <w:t>.8.</w:t>
      </w:r>
      <w:r w:rsidR="00A05818">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cirst kokus, kuru caurmērs 1,3 metru augstumā virs koku sakņu kakla pārsniedz 60 centimetrus, izņemot bīstamos kokus (koki, kas apdraud cilvēku dzīvību un veselību, tuvumā esošās ēkas vai infrastruktūras objektus);</w:t>
      </w:r>
    </w:p>
    <w:p w14:paraId="214FB9D6" w14:textId="19418230" w:rsidR="0E6B778D" w:rsidRPr="00A07F29" w:rsidRDefault="0E6B778D" w:rsidP="0E6B778D">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2</w:t>
      </w:r>
      <w:r w:rsidR="00CD5384" w:rsidRPr="00A07F29">
        <w:rPr>
          <w:rFonts w:ascii="Times New Roman" w:eastAsia="Times New Roman" w:hAnsi="Times New Roman" w:cs="Times New Roman"/>
          <w:sz w:val="24"/>
          <w:szCs w:val="24"/>
          <w:lang w:eastAsia="lv-LV"/>
        </w:rPr>
        <w:t>0</w:t>
      </w:r>
      <w:r w:rsidRPr="00A07F29">
        <w:rPr>
          <w:rFonts w:ascii="Times New Roman" w:eastAsia="Times New Roman" w:hAnsi="Times New Roman" w:cs="Times New Roman"/>
          <w:sz w:val="24"/>
          <w:szCs w:val="24"/>
          <w:lang w:eastAsia="lv-LV"/>
        </w:rPr>
        <w:t>.9.</w:t>
      </w:r>
      <w:r w:rsidR="00A05818">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 xml:space="preserve">izvietot vēja </w:t>
      </w:r>
      <w:r w:rsidR="00690194" w:rsidRPr="00A07F29">
        <w:rPr>
          <w:rFonts w:ascii="Times New Roman" w:eastAsia="Times New Roman" w:hAnsi="Times New Roman" w:cs="Times New Roman"/>
          <w:sz w:val="24"/>
          <w:szCs w:val="24"/>
          <w:lang w:eastAsia="lv-LV"/>
        </w:rPr>
        <w:t>elektrostacijas;</w:t>
      </w:r>
      <w:r w:rsidRPr="00A07F29">
        <w:rPr>
          <w:rFonts w:ascii="Times New Roman" w:eastAsia="Times New Roman" w:hAnsi="Times New Roman" w:cs="Times New Roman"/>
          <w:sz w:val="24"/>
          <w:szCs w:val="24"/>
          <w:lang w:eastAsia="lv-LV"/>
        </w:rPr>
        <w:t xml:space="preserve"> </w:t>
      </w:r>
    </w:p>
    <w:p w14:paraId="4E21FF6D" w14:textId="152942FE" w:rsidR="0E6B778D" w:rsidRPr="00A07F29" w:rsidRDefault="0E6B778D" w:rsidP="0E6B778D">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2</w:t>
      </w:r>
      <w:r w:rsidR="00CD5384" w:rsidRPr="00A07F29">
        <w:rPr>
          <w:rFonts w:ascii="Times New Roman" w:eastAsia="Times New Roman" w:hAnsi="Times New Roman" w:cs="Times New Roman"/>
          <w:sz w:val="24"/>
          <w:szCs w:val="24"/>
          <w:lang w:eastAsia="lv-LV"/>
        </w:rPr>
        <w:t>0</w:t>
      </w:r>
      <w:r w:rsidRPr="00A07F29">
        <w:rPr>
          <w:rFonts w:ascii="Times New Roman" w:eastAsia="Times New Roman" w:hAnsi="Times New Roman" w:cs="Times New Roman"/>
          <w:sz w:val="24"/>
          <w:szCs w:val="24"/>
          <w:lang w:eastAsia="lv-LV"/>
        </w:rPr>
        <w:t>.10.</w:t>
      </w:r>
      <w:r w:rsidR="00A05818">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bez Dabas aizsardzības pārvaldes rakstiskas atļaujas organizēt brīvā dabā publiskus pasākumus, kā arī nometnes, kurās piedalās vairāk par 60 cilvēkiem, kā arī Nacionālo bruņ</w:t>
      </w:r>
      <w:r w:rsidR="00DB1526" w:rsidRPr="00A07F29">
        <w:rPr>
          <w:rFonts w:ascii="Times New Roman" w:eastAsia="Times New Roman" w:hAnsi="Times New Roman" w:cs="Times New Roman"/>
          <w:sz w:val="24"/>
          <w:szCs w:val="24"/>
          <w:lang w:eastAsia="lv-LV"/>
        </w:rPr>
        <w:t>oto spēku un zemessargu mācības, izņemot pasākumus, kas tiek organizēti šim nolūkam paredzēt</w:t>
      </w:r>
      <w:r w:rsidR="00C92DD6" w:rsidRPr="00A07F29">
        <w:rPr>
          <w:rFonts w:ascii="Times New Roman" w:eastAsia="Times New Roman" w:hAnsi="Times New Roman" w:cs="Times New Roman"/>
          <w:sz w:val="24"/>
          <w:szCs w:val="24"/>
          <w:lang w:eastAsia="lv-LV"/>
        </w:rPr>
        <w:t>ās un speciāli ierīkotās vietās.</w:t>
      </w:r>
    </w:p>
    <w:p w14:paraId="27BEE637" w14:textId="7E76D0CB" w:rsidR="00B07340" w:rsidRPr="00A07F29" w:rsidRDefault="00B07340"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2</w:t>
      </w:r>
      <w:r w:rsidR="00CD5384" w:rsidRPr="00A07F29">
        <w:rPr>
          <w:rFonts w:ascii="Times New Roman" w:eastAsia="Times New Roman" w:hAnsi="Times New Roman" w:cs="Times New Roman"/>
          <w:sz w:val="24"/>
          <w:szCs w:val="24"/>
          <w:lang w:eastAsia="lv-LV"/>
        </w:rPr>
        <w:t>1</w:t>
      </w:r>
      <w:r w:rsidRPr="00A07F29">
        <w:rPr>
          <w:rFonts w:ascii="Times New Roman" w:eastAsia="Times New Roman" w:hAnsi="Times New Roman" w:cs="Times New Roman"/>
          <w:sz w:val="24"/>
          <w:szCs w:val="24"/>
          <w:lang w:eastAsia="lv-LV"/>
        </w:rPr>
        <w:t>.</w:t>
      </w:r>
      <w:r w:rsidR="009939F0">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Zemes vienību sadalīšana atļauta tikai gadījumos, ja katras atsevišķās zemes vienības platība pēc sadalīšanas nav mazāka par 10 hektāriem. Šis nosacījums neattiecas uz zemes vienībām, kas tiek atdalītas infrastruktūras un inženierkomunikāciju būvniecībai vai uzturēšanai un kuru apbūves nosacījumus nosaka vietējās pašvaldības teritorijas plānojumā, kā arī uz gadījumiem, ja no īpašuma tiek atdalīta zemes vienība ar dzīvojamām un saimniecības ēkām, pagalmu un zemi, kas nepieciešama saimniecības uzturēšanai.</w:t>
      </w:r>
    </w:p>
    <w:p w14:paraId="61928FB7" w14:textId="7A281B8C" w:rsidR="00B07340" w:rsidRPr="00A07F29" w:rsidRDefault="00B07340"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2</w:t>
      </w:r>
      <w:r w:rsidR="00CD5384" w:rsidRPr="00A07F29">
        <w:rPr>
          <w:rFonts w:ascii="Times New Roman" w:eastAsia="Times New Roman" w:hAnsi="Times New Roman" w:cs="Times New Roman"/>
          <w:sz w:val="24"/>
          <w:szCs w:val="24"/>
          <w:lang w:eastAsia="lv-LV"/>
        </w:rPr>
        <w:t>2</w:t>
      </w:r>
      <w:r w:rsidRPr="00A07F29">
        <w:rPr>
          <w:rFonts w:ascii="Times New Roman" w:eastAsia="Times New Roman" w:hAnsi="Times New Roman" w:cs="Times New Roman"/>
          <w:sz w:val="24"/>
          <w:szCs w:val="24"/>
          <w:lang w:eastAsia="lv-LV"/>
        </w:rPr>
        <w:t>.</w:t>
      </w:r>
      <w:r w:rsidR="008E7798">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Meža zemēs aizliegts:</w:t>
      </w:r>
    </w:p>
    <w:p w14:paraId="4EA0411D" w14:textId="1CF4D3B3" w:rsidR="00B07340" w:rsidRPr="00A07F29" w:rsidRDefault="0E6B778D"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2</w:t>
      </w:r>
      <w:r w:rsidR="00CD5384" w:rsidRPr="00A07F29">
        <w:rPr>
          <w:rFonts w:ascii="Times New Roman" w:eastAsia="Times New Roman" w:hAnsi="Times New Roman" w:cs="Times New Roman"/>
          <w:sz w:val="24"/>
          <w:szCs w:val="24"/>
          <w:lang w:eastAsia="lv-LV"/>
        </w:rPr>
        <w:t>2</w:t>
      </w:r>
      <w:r w:rsidRPr="00A07F29">
        <w:rPr>
          <w:rFonts w:ascii="Times New Roman" w:eastAsia="Times New Roman" w:hAnsi="Times New Roman" w:cs="Times New Roman"/>
          <w:sz w:val="24"/>
          <w:szCs w:val="24"/>
          <w:lang w:eastAsia="lv-LV"/>
        </w:rPr>
        <w:t>.1.</w:t>
      </w:r>
      <w:r w:rsidR="008E7798">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veikt mežsaimniecisko darbību no 1.</w:t>
      </w:r>
      <w:r w:rsidR="008E7798">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marta līdz 31.</w:t>
      </w:r>
      <w:r w:rsidR="008E7798">
        <w:rPr>
          <w:rFonts w:ascii="Times New Roman" w:eastAsia="Times New Roman" w:hAnsi="Times New Roman" w:cs="Times New Roman"/>
          <w:sz w:val="24"/>
          <w:szCs w:val="24"/>
          <w:lang w:eastAsia="lv-LV"/>
        </w:rPr>
        <w:t> </w:t>
      </w:r>
      <w:r w:rsidR="00E043C7" w:rsidRPr="00A07F29">
        <w:rPr>
          <w:rFonts w:ascii="Times New Roman" w:eastAsia="Times New Roman" w:hAnsi="Times New Roman" w:cs="Times New Roman"/>
          <w:sz w:val="24"/>
          <w:szCs w:val="24"/>
          <w:lang w:eastAsia="lv-LV"/>
        </w:rPr>
        <w:t>j</w:t>
      </w:r>
      <w:r w:rsidRPr="00A07F29">
        <w:rPr>
          <w:rFonts w:ascii="Times New Roman" w:eastAsia="Times New Roman" w:hAnsi="Times New Roman" w:cs="Times New Roman"/>
          <w:sz w:val="24"/>
          <w:szCs w:val="24"/>
          <w:lang w:eastAsia="lv-LV"/>
        </w:rPr>
        <w:t>ūlijam, izņemot:</w:t>
      </w:r>
    </w:p>
    <w:p w14:paraId="74EEC302" w14:textId="43A4CE64" w:rsidR="00B07340" w:rsidRPr="00A07F29" w:rsidRDefault="00B07340"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2</w:t>
      </w:r>
      <w:r w:rsidR="00CD5384" w:rsidRPr="00A07F29">
        <w:rPr>
          <w:rFonts w:ascii="Times New Roman" w:eastAsia="Times New Roman" w:hAnsi="Times New Roman" w:cs="Times New Roman"/>
          <w:sz w:val="24"/>
          <w:szCs w:val="24"/>
          <w:lang w:eastAsia="lv-LV"/>
        </w:rPr>
        <w:t>2</w:t>
      </w:r>
      <w:r w:rsidRPr="00A07F29">
        <w:rPr>
          <w:rFonts w:ascii="Times New Roman" w:eastAsia="Times New Roman" w:hAnsi="Times New Roman" w:cs="Times New Roman"/>
          <w:sz w:val="24"/>
          <w:szCs w:val="24"/>
          <w:lang w:eastAsia="lv-LV"/>
        </w:rPr>
        <w:t>.1.1.</w:t>
      </w:r>
      <w:r w:rsidR="008E7798">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meža ugunsdrošības un ugunsdzēsības pasākumus;</w:t>
      </w:r>
    </w:p>
    <w:p w14:paraId="06BC1CE4" w14:textId="06A66F36" w:rsidR="00B07340" w:rsidRPr="00A07F29" w:rsidRDefault="00B07340"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2</w:t>
      </w:r>
      <w:r w:rsidR="00CD5384" w:rsidRPr="00A07F29">
        <w:rPr>
          <w:rFonts w:ascii="Times New Roman" w:eastAsia="Times New Roman" w:hAnsi="Times New Roman" w:cs="Times New Roman"/>
          <w:sz w:val="24"/>
          <w:szCs w:val="24"/>
          <w:lang w:eastAsia="lv-LV"/>
        </w:rPr>
        <w:t>2</w:t>
      </w:r>
      <w:r w:rsidRPr="00A07F29">
        <w:rPr>
          <w:rFonts w:ascii="Times New Roman" w:eastAsia="Times New Roman" w:hAnsi="Times New Roman" w:cs="Times New Roman"/>
          <w:sz w:val="24"/>
          <w:szCs w:val="24"/>
          <w:lang w:eastAsia="lv-LV"/>
        </w:rPr>
        <w:t>.1.2.</w:t>
      </w:r>
      <w:r w:rsidR="0091008A">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bīstamo koku ciršanu un novākšanu;</w:t>
      </w:r>
    </w:p>
    <w:p w14:paraId="79ACFF5C" w14:textId="70B0F847" w:rsidR="00B07340" w:rsidRPr="00A07F29" w:rsidRDefault="00B07340"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2</w:t>
      </w:r>
      <w:r w:rsidR="00CD5384" w:rsidRPr="00A07F29">
        <w:rPr>
          <w:rFonts w:ascii="Times New Roman" w:eastAsia="Times New Roman" w:hAnsi="Times New Roman" w:cs="Times New Roman"/>
          <w:sz w:val="24"/>
          <w:szCs w:val="24"/>
          <w:lang w:eastAsia="lv-LV"/>
        </w:rPr>
        <w:t>2</w:t>
      </w:r>
      <w:r w:rsidRPr="00A07F29">
        <w:rPr>
          <w:rFonts w:ascii="Times New Roman" w:eastAsia="Times New Roman" w:hAnsi="Times New Roman" w:cs="Times New Roman"/>
          <w:sz w:val="24"/>
          <w:szCs w:val="24"/>
          <w:lang w:eastAsia="lv-LV"/>
        </w:rPr>
        <w:t>.1.3.</w:t>
      </w:r>
      <w:r w:rsidR="0091008A">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 xml:space="preserve">kokmateriālu izvešanu atbilstošas ceļu nestspējas apstākļos, ja tas negatīvi neietekmē putnu ligzdošanu un ir saņemta Dabas aizsardzības pārvaldes rakstiska atļauja. Ar ikreizēju Dabas </w:t>
      </w:r>
      <w:r w:rsidRPr="00A07F29">
        <w:rPr>
          <w:rFonts w:ascii="Times New Roman" w:eastAsia="Times New Roman" w:hAnsi="Times New Roman" w:cs="Times New Roman"/>
          <w:sz w:val="24"/>
          <w:szCs w:val="24"/>
          <w:lang w:eastAsia="lv-LV"/>
        </w:rPr>
        <w:lastRenderedPageBreak/>
        <w:t>aizsardzības pārvaldes rakstisku atļauju var veikt kokmateriālu izvešanu arī dabas stihiju un nelabvēlīgu klimatisko apstākļu gadījumā. Dabas aizsardzības pārvalde atļauju izsniedz 10 darbdienu laikā;</w:t>
      </w:r>
    </w:p>
    <w:p w14:paraId="7CCD76E3" w14:textId="3EE89DBC" w:rsidR="00B07340" w:rsidRPr="00A07F29" w:rsidRDefault="00B07340" w:rsidP="00B07340">
      <w:pPr>
        <w:spacing w:after="120" w:line="240" w:lineRule="auto"/>
        <w:rPr>
          <w:rFonts w:ascii="Times New Roman" w:eastAsia="Times New Roman" w:hAnsi="Times New Roman" w:cs="Times New Roman"/>
          <w:strike/>
          <w:color w:val="2F5496"/>
          <w:sz w:val="24"/>
          <w:szCs w:val="24"/>
          <w:lang w:eastAsia="lv-LV"/>
        </w:rPr>
      </w:pPr>
      <w:r w:rsidRPr="00A07F29">
        <w:rPr>
          <w:rFonts w:ascii="Times New Roman" w:eastAsia="Times New Roman" w:hAnsi="Times New Roman" w:cs="Times New Roman"/>
          <w:sz w:val="24"/>
          <w:szCs w:val="24"/>
          <w:lang w:eastAsia="lv-LV"/>
        </w:rPr>
        <w:t>2</w:t>
      </w:r>
      <w:r w:rsidR="00CD5384" w:rsidRPr="00A07F29">
        <w:rPr>
          <w:rFonts w:ascii="Times New Roman" w:eastAsia="Times New Roman" w:hAnsi="Times New Roman" w:cs="Times New Roman"/>
          <w:sz w:val="24"/>
          <w:szCs w:val="24"/>
          <w:lang w:eastAsia="lv-LV"/>
        </w:rPr>
        <w:t>2</w:t>
      </w:r>
      <w:r w:rsidRPr="00A07F29">
        <w:rPr>
          <w:rFonts w:ascii="Times New Roman" w:eastAsia="Times New Roman" w:hAnsi="Times New Roman" w:cs="Times New Roman"/>
          <w:sz w:val="24"/>
          <w:szCs w:val="24"/>
          <w:lang w:eastAsia="lv-LV"/>
        </w:rPr>
        <w:t>.2.</w:t>
      </w:r>
      <w:r w:rsidR="002C4816">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 xml:space="preserve">cirst kokus galvenajā cirtē un </w:t>
      </w:r>
      <w:proofErr w:type="spellStart"/>
      <w:r w:rsidRPr="00A07F29">
        <w:rPr>
          <w:rFonts w:ascii="Times New Roman" w:eastAsia="Times New Roman" w:hAnsi="Times New Roman" w:cs="Times New Roman"/>
          <w:sz w:val="24"/>
          <w:szCs w:val="24"/>
          <w:lang w:eastAsia="lv-LV"/>
        </w:rPr>
        <w:t>rekonstruktīvajā</w:t>
      </w:r>
      <w:proofErr w:type="spellEnd"/>
      <w:r w:rsidRPr="00A07F29">
        <w:rPr>
          <w:rFonts w:ascii="Times New Roman" w:eastAsia="Times New Roman" w:hAnsi="Times New Roman" w:cs="Times New Roman"/>
          <w:sz w:val="24"/>
          <w:szCs w:val="24"/>
          <w:lang w:eastAsia="lv-LV"/>
        </w:rPr>
        <w:t xml:space="preserve"> cirtē</w:t>
      </w:r>
      <w:r w:rsidRPr="00A07F29">
        <w:rPr>
          <w:rFonts w:ascii="Times New Roman" w:eastAsia="Times New Roman" w:hAnsi="Times New Roman" w:cs="Times New Roman"/>
          <w:strike/>
          <w:color w:val="385623"/>
          <w:sz w:val="24"/>
          <w:szCs w:val="24"/>
          <w:lang w:eastAsia="lv-LV"/>
        </w:rPr>
        <w:t>;</w:t>
      </w:r>
    </w:p>
    <w:p w14:paraId="7156D614" w14:textId="3817A9CE" w:rsidR="00B07340" w:rsidRPr="00A07F29" w:rsidRDefault="00B07340"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2</w:t>
      </w:r>
      <w:r w:rsidR="00CD5384" w:rsidRPr="00A07F29">
        <w:rPr>
          <w:rFonts w:ascii="Times New Roman" w:eastAsia="Times New Roman" w:hAnsi="Times New Roman" w:cs="Times New Roman"/>
          <w:sz w:val="24"/>
          <w:szCs w:val="24"/>
          <w:lang w:eastAsia="lv-LV"/>
        </w:rPr>
        <w:t>2</w:t>
      </w:r>
      <w:r w:rsidRPr="00A07F29">
        <w:rPr>
          <w:rFonts w:ascii="Times New Roman" w:eastAsia="Times New Roman" w:hAnsi="Times New Roman" w:cs="Times New Roman"/>
          <w:sz w:val="24"/>
          <w:szCs w:val="24"/>
          <w:lang w:eastAsia="lv-LV"/>
        </w:rPr>
        <w:t>.3.</w:t>
      </w:r>
      <w:bookmarkStart w:id="116" w:name="_Hlk52895055"/>
      <w:r w:rsidR="002C4816">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 xml:space="preserve">cirst kokus kopšanas cirtē </w:t>
      </w:r>
      <w:bookmarkEnd w:id="116"/>
      <w:r w:rsidRPr="00A07F29">
        <w:rPr>
          <w:rFonts w:ascii="Times New Roman" w:eastAsia="Times New Roman" w:hAnsi="Times New Roman" w:cs="Times New Roman"/>
          <w:sz w:val="24"/>
          <w:szCs w:val="24"/>
          <w:lang w:eastAsia="lv-LV"/>
        </w:rPr>
        <w:t xml:space="preserve">(izņemot sausos kokus), ja </w:t>
      </w:r>
      <w:r w:rsidR="00951209">
        <w:rPr>
          <w:rFonts w:ascii="Times New Roman" w:eastAsia="Times New Roman" w:hAnsi="Times New Roman" w:cs="Times New Roman"/>
          <w:sz w:val="24"/>
          <w:szCs w:val="24"/>
          <w:lang w:eastAsia="lv-LV"/>
        </w:rPr>
        <w:t xml:space="preserve">mežaudzes </w:t>
      </w:r>
      <w:r w:rsidRPr="00A07F29">
        <w:rPr>
          <w:rFonts w:ascii="Times New Roman" w:eastAsia="Times New Roman" w:hAnsi="Times New Roman" w:cs="Times New Roman"/>
          <w:sz w:val="24"/>
          <w:szCs w:val="24"/>
          <w:lang w:eastAsia="lv-LV"/>
        </w:rPr>
        <w:t>vecums pārsniedz:</w:t>
      </w:r>
    </w:p>
    <w:p w14:paraId="2B5FA199" w14:textId="316CF7CE" w:rsidR="00B07340" w:rsidRPr="00A07F29" w:rsidRDefault="00B07340"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2</w:t>
      </w:r>
      <w:r w:rsidR="00CD5384" w:rsidRPr="00A07F29">
        <w:rPr>
          <w:rFonts w:ascii="Times New Roman" w:eastAsia="Times New Roman" w:hAnsi="Times New Roman" w:cs="Times New Roman"/>
          <w:sz w:val="24"/>
          <w:szCs w:val="24"/>
          <w:lang w:eastAsia="lv-LV"/>
        </w:rPr>
        <w:t>2</w:t>
      </w:r>
      <w:r w:rsidRPr="00A07F29">
        <w:rPr>
          <w:rFonts w:ascii="Times New Roman" w:eastAsia="Times New Roman" w:hAnsi="Times New Roman" w:cs="Times New Roman"/>
          <w:sz w:val="24"/>
          <w:szCs w:val="24"/>
          <w:lang w:eastAsia="lv-LV"/>
        </w:rPr>
        <w:t>.3.1.</w:t>
      </w:r>
      <w:r w:rsidR="00680BAE">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priežu un ozolu audzēm – 60 gadu;</w:t>
      </w:r>
    </w:p>
    <w:p w14:paraId="0EC72674" w14:textId="7D33D434" w:rsidR="00B07340" w:rsidRPr="00A07F29" w:rsidRDefault="00B07340"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2</w:t>
      </w:r>
      <w:r w:rsidR="00CD5384" w:rsidRPr="00A07F29">
        <w:rPr>
          <w:rFonts w:ascii="Times New Roman" w:eastAsia="Times New Roman" w:hAnsi="Times New Roman" w:cs="Times New Roman"/>
          <w:sz w:val="24"/>
          <w:szCs w:val="24"/>
          <w:lang w:eastAsia="lv-LV"/>
        </w:rPr>
        <w:t>2</w:t>
      </w:r>
      <w:r w:rsidRPr="00A07F29">
        <w:rPr>
          <w:rFonts w:ascii="Times New Roman" w:eastAsia="Times New Roman" w:hAnsi="Times New Roman" w:cs="Times New Roman"/>
          <w:sz w:val="24"/>
          <w:szCs w:val="24"/>
          <w:lang w:eastAsia="lv-LV"/>
        </w:rPr>
        <w:t>.3.2.</w:t>
      </w:r>
      <w:r w:rsidR="00680BAE">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egļu, bērzu, melnalkšņu, ošu un liepu audzēm – 50 gadu;</w:t>
      </w:r>
    </w:p>
    <w:p w14:paraId="091AE8A4" w14:textId="439F8CC8" w:rsidR="00B07340" w:rsidRPr="00A07F29" w:rsidRDefault="00B07340"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2</w:t>
      </w:r>
      <w:r w:rsidR="00CD5384" w:rsidRPr="00A07F29">
        <w:rPr>
          <w:rFonts w:ascii="Times New Roman" w:eastAsia="Times New Roman" w:hAnsi="Times New Roman" w:cs="Times New Roman"/>
          <w:sz w:val="24"/>
          <w:szCs w:val="24"/>
          <w:lang w:eastAsia="lv-LV"/>
        </w:rPr>
        <w:t>2</w:t>
      </w:r>
      <w:r w:rsidRPr="00A07F29">
        <w:rPr>
          <w:rFonts w:ascii="Times New Roman" w:eastAsia="Times New Roman" w:hAnsi="Times New Roman" w:cs="Times New Roman"/>
          <w:sz w:val="24"/>
          <w:szCs w:val="24"/>
          <w:lang w:eastAsia="lv-LV"/>
        </w:rPr>
        <w:t>.3.3.</w:t>
      </w:r>
      <w:r w:rsidR="00680BAE">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apšu audzēm – 30 gadu;</w:t>
      </w:r>
    </w:p>
    <w:p w14:paraId="685B8D67" w14:textId="691042CB" w:rsidR="00B07340" w:rsidRPr="00A07F29" w:rsidRDefault="00B07340"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2</w:t>
      </w:r>
      <w:r w:rsidR="00CD5384" w:rsidRPr="00A07F29">
        <w:rPr>
          <w:rFonts w:ascii="Times New Roman" w:eastAsia="Times New Roman" w:hAnsi="Times New Roman" w:cs="Times New Roman"/>
          <w:sz w:val="24"/>
          <w:szCs w:val="24"/>
          <w:lang w:eastAsia="lv-LV"/>
        </w:rPr>
        <w:t>2</w:t>
      </w:r>
      <w:r w:rsidRPr="00A07F29">
        <w:rPr>
          <w:rFonts w:ascii="Times New Roman" w:eastAsia="Times New Roman" w:hAnsi="Times New Roman" w:cs="Times New Roman"/>
          <w:sz w:val="24"/>
          <w:szCs w:val="24"/>
          <w:lang w:eastAsia="lv-LV"/>
        </w:rPr>
        <w:t>.4.</w:t>
      </w:r>
      <w:r w:rsidR="005539CA">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atzarot augošus kokus mežaudzēs, izņemot koku atzarošanu skatu punktu ierīkošanai un uzturēšanai, elektropārvades un citu lineāro komunikāciju uzturēšanai, kā arī satiksmes drošībai uz ceļiem;</w:t>
      </w:r>
    </w:p>
    <w:p w14:paraId="1B4CA09B" w14:textId="24157DF7" w:rsidR="00B07340" w:rsidRPr="00A07F29" w:rsidRDefault="00B07340"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2</w:t>
      </w:r>
      <w:r w:rsidR="00CD5384" w:rsidRPr="00A07F29">
        <w:rPr>
          <w:rFonts w:ascii="Times New Roman" w:eastAsia="Times New Roman" w:hAnsi="Times New Roman" w:cs="Times New Roman"/>
          <w:sz w:val="24"/>
          <w:szCs w:val="24"/>
          <w:lang w:eastAsia="lv-LV"/>
        </w:rPr>
        <w:t>2</w:t>
      </w:r>
      <w:r w:rsidRPr="00A07F29">
        <w:rPr>
          <w:rFonts w:ascii="Times New Roman" w:eastAsia="Times New Roman" w:hAnsi="Times New Roman" w:cs="Times New Roman"/>
          <w:sz w:val="24"/>
          <w:szCs w:val="24"/>
          <w:lang w:eastAsia="lv-LV"/>
        </w:rPr>
        <w:t>.5.</w:t>
      </w:r>
      <w:r w:rsidR="005539CA">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ierīkot jaunus mežsaimniecības (komersantu) ceļus, izņemot gadījumus, kad tas nepieciešams infrastruktūras savienojamībai;</w:t>
      </w:r>
    </w:p>
    <w:p w14:paraId="65BA1B45" w14:textId="129401D1" w:rsidR="00B07340" w:rsidRPr="00A07F29" w:rsidRDefault="00B07340"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2</w:t>
      </w:r>
      <w:r w:rsidR="00CD5384" w:rsidRPr="00A07F29">
        <w:rPr>
          <w:rFonts w:ascii="Times New Roman" w:eastAsia="Times New Roman" w:hAnsi="Times New Roman" w:cs="Times New Roman"/>
          <w:sz w:val="24"/>
          <w:szCs w:val="24"/>
          <w:lang w:eastAsia="lv-LV"/>
        </w:rPr>
        <w:t>2</w:t>
      </w:r>
      <w:r w:rsidRPr="00A07F29">
        <w:rPr>
          <w:rFonts w:ascii="Times New Roman" w:eastAsia="Times New Roman" w:hAnsi="Times New Roman" w:cs="Times New Roman"/>
          <w:sz w:val="24"/>
          <w:szCs w:val="24"/>
          <w:lang w:eastAsia="lv-LV"/>
        </w:rPr>
        <w:t>.6.</w:t>
      </w:r>
      <w:r w:rsidR="00530B63">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atjaunot mežu stādot vai sējot, izņemot ar Dabas aizsardzības pārvaldes ikreizēju atļauju:</w:t>
      </w:r>
    </w:p>
    <w:p w14:paraId="2FB5126A" w14:textId="1F92BB05" w:rsidR="00B07340" w:rsidRPr="00A07F29" w:rsidRDefault="00B07340"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2</w:t>
      </w:r>
      <w:r w:rsidR="00CD5384" w:rsidRPr="00A07F29">
        <w:rPr>
          <w:rFonts w:ascii="Times New Roman" w:eastAsia="Times New Roman" w:hAnsi="Times New Roman" w:cs="Times New Roman"/>
          <w:sz w:val="24"/>
          <w:szCs w:val="24"/>
          <w:lang w:eastAsia="lv-LV"/>
        </w:rPr>
        <w:t>2</w:t>
      </w:r>
      <w:r w:rsidRPr="00A07F29">
        <w:rPr>
          <w:rFonts w:ascii="Times New Roman" w:eastAsia="Times New Roman" w:hAnsi="Times New Roman" w:cs="Times New Roman"/>
          <w:sz w:val="24"/>
          <w:szCs w:val="24"/>
          <w:lang w:eastAsia="lv-LV"/>
        </w:rPr>
        <w:t>.7.</w:t>
      </w:r>
      <w:r w:rsidR="00530B63">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iegūt sūnas un ķērpjus, bojājot vai iznīcinot zemsedzi;</w:t>
      </w:r>
    </w:p>
    <w:p w14:paraId="50903902" w14:textId="2581213C" w:rsidR="00B07340" w:rsidRPr="00A07F29" w:rsidRDefault="00B07340"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2</w:t>
      </w:r>
      <w:r w:rsidR="00CD5384" w:rsidRPr="00A07F29">
        <w:rPr>
          <w:rFonts w:ascii="Times New Roman" w:eastAsia="Times New Roman" w:hAnsi="Times New Roman" w:cs="Times New Roman"/>
          <w:sz w:val="24"/>
          <w:szCs w:val="24"/>
          <w:lang w:eastAsia="lv-LV"/>
        </w:rPr>
        <w:t>2</w:t>
      </w:r>
      <w:r w:rsidRPr="00A07F29">
        <w:rPr>
          <w:rFonts w:ascii="Times New Roman" w:eastAsia="Times New Roman" w:hAnsi="Times New Roman" w:cs="Times New Roman"/>
          <w:sz w:val="24"/>
          <w:szCs w:val="24"/>
          <w:lang w:eastAsia="lv-LV"/>
        </w:rPr>
        <w:t>.8.</w:t>
      </w:r>
      <w:r w:rsidR="00D82C20">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 xml:space="preserve">bojāt vai iznīcināt (arī uzarot vai kultivējot) meža pļavas un </w:t>
      </w:r>
      <w:proofErr w:type="spellStart"/>
      <w:r w:rsidRPr="00A07F29">
        <w:rPr>
          <w:rFonts w:ascii="Times New Roman" w:eastAsia="Times New Roman" w:hAnsi="Times New Roman" w:cs="Times New Roman"/>
          <w:sz w:val="24"/>
          <w:szCs w:val="24"/>
          <w:lang w:eastAsia="lv-LV"/>
        </w:rPr>
        <w:t>lauces</w:t>
      </w:r>
      <w:proofErr w:type="spellEnd"/>
      <w:r w:rsidRPr="00A07F29">
        <w:rPr>
          <w:rFonts w:ascii="Times New Roman" w:eastAsia="Times New Roman" w:hAnsi="Times New Roman" w:cs="Times New Roman"/>
          <w:sz w:val="24"/>
          <w:szCs w:val="24"/>
          <w:lang w:eastAsia="lv-LV"/>
        </w:rPr>
        <w:t xml:space="preserve">, izņemot Meža valsts reģistrā reģistrētās medījamo dzīvnieku piebarošanas </w:t>
      </w:r>
      <w:proofErr w:type="spellStart"/>
      <w:r w:rsidRPr="00A07F29">
        <w:rPr>
          <w:rFonts w:ascii="Times New Roman" w:eastAsia="Times New Roman" w:hAnsi="Times New Roman" w:cs="Times New Roman"/>
          <w:sz w:val="24"/>
          <w:szCs w:val="24"/>
          <w:lang w:eastAsia="lv-LV"/>
        </w:rPr>
        <w:t>lauces</w:t>
      </w:r>
      <w:proofErr w:type="spellEnd"/>
      <w:r w:rsidRPr="00A07F29">
        <w:rPr>
          <w:rFonts w:ascii="Times New Roman" w:eastAsia="Times New Roman" w:hAnsi="Times New Roman" w:cs="Times New Roman"/>
          <w:sz w:val="24"/>
          <w:szCs w:val="24"/>
          <w:lang w:eastAsia="lv-LV"/>
        </w:rPr>
        <w:t>;</w:t>
      </w:r>
    </w:p>
    <w:p w14:paraId="47E7ED06" w14:textId="70B64524" w:rsidR="00B07340" w:rsidRPr="00A07F29" w:rsidRDefault="00B07340"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2</w:t>
      </w:r>
      <w:r w:rsidR="00CD5384" w:rsidRPr="00A07F29">
        <w:rPr>
          <w:rFonts w:ascii="Times New Roman" w:eastAsia="Times New Roman" w:hAnsi="Times New Roman" w:cs="Times New Roman"/>
          <w:sz w:val="24"/>
          <w:szCs w:val="24"/>
          <w:lang w:eastAsia="lv-LV"/>
        </w:rPr>
        <w:t>2</w:t>
      </w:r>
      <w:r w:rsidRPr="00A07F29">
        <w:rPr>
          <w:rFonts w:ascii="Times New Roman" w:eastAsia="Times New Roman" w:hAnsi="Times New Roman" w:cs="Times New Roman"/>
          <w:sz w:val="24"/>
          <w:szCs w:val="24"/>
          <w:lang w:eastAsia="lv-LV"/>
        </w:rPr>
        <w:t>.9.</w:t>
      </w:r>
      <w:r w:rsidR="00547BAF">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 xml:space="preserve">ierīkot jaunas medījamo dzīvnieku piebarošanas </w:t>
      </w:r>
      <w:proofErr w:type="spellStart"/>
      <w:r w:rsidRPr="00A07F29">
        <w:rPr>
          <w:rFonts w:ascii="Times New Roman" w:eastAsia="Times New Roman" w:hAnsi="Times New Roman" w:cs="Times New Roman"/>
          <w:sz w:val="24"/>
          <w:szCs w:val="24"/>
          <w:lang w:eastAsia="lv-LV"/>
        </w:rPr>
        <w:t>lauces</w:t>
      </w:r>
      <w:proofErr w:type="spellEnd"/>
      <w:r w:rsidRPr="00A07F29">
        <w:rPr>
          <w:rFonts w:ascii="Times New Roman" w:eastAsia="Times New Roman" w:hAnsi="Times New Roman" w:cs="Times New Roman"/>
          <w:sz w:val="24"/>
          <w:szCs w:val="24"/>
          <w:lang w:eastAsia="lv-LV"/>
        </w:rPr>
        <w:t>, kā arī ievest un izgāzt dabas lieguma zonā lauksaimniecības un pārtikas produktus. Ja tas nepieciešams dzīvnieku skaita regulēšanai, pieļaujama automātisko barotavu izmantošana vietās, kur tas neapdraud dabisko biotopu vai īpaši aizsargājamo sugu dzīvotņu saglabāšanu.</w:t>
      </w:r>
    </w:p>
    <w:p w14:paraId="277CDD37" w14:textId="5A174D27" w:rsidR="00B07340" w:rsidRPr="00A07F29" w:rsidRDefault="00E043C7"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2</w:t>
      </w:r>
      <w:r w:rsidR="00CD5384" w:rsidRPr="00A07F29">
        <w:rPr>
          <w:rFonts w:ascii="Times New Roman" w:eastAsia="Times New Roman" w:hAnsi="Times New Roman" w:cs="Times New Roman"/>
          <w:sz w:val="24"/>
          <w:szCs w:val="24"/>
          <w:lang w:eastAsia="lv-LV"/>
        </w:rPr>
        <w:t>3</w:t>
      </w:r>
      <w:r w:rsidR="00B07340" w:rsidRPr="00A07F29">
        <w:rPr>
          <w:rFonts w:ascii="Times New Roman" w:eastAsia="Times New Roman" w:hAnsi="Times New Roman" w:cs="Times New Roman"/>
          <w:sz w:val="24"/>
          <w:szCs w:val="24"/>
          <w:lang w:eastAsia="lv-LV"/>
        </w:rPr>
        <w:t>.</w:t>
      </w:r>
      <w:r w:rsidR="00A21083">
        <w:rPr>
          <w:rFonts w:ascii="Times New Roman" w:eastAsia="Times New Roman" w:hAnsi="Times New Roman" w:cs="Times New Roman"/>
          <w:sz w:val="24"/>
          <w:szCs w:val="24"/>
          <w:lang w:eastAsia="lv-LV"/>
        </w:rPr>
        <w:t> </w:t>
      </w:r>
      <w:r w:rsidR="00B07340" w:rsidRPr="00A07F29">
        <w:rPr>
          <w:rFonts w:ascii="Times New Roman" w:eastAsia="Times New Roman" w:hAnsi="Times New Roman" w:cs="Times New Roman"/>
          <w:sz w:val="24"/>
          <w:szCs w:val="24"/>
          <w:lang w:eastAsia="lv-LV"/>
        </w:rPr>
        <w:t xml:space="preserve">Ja slimību inficētie, kaitēkļu </w:t>
      </w:r>
      <w:proofErr w:type="spellStart"/>
      <w:r w:rsidR="00B07340" w:rsidRPr="00A07F29">
        <w:rPr>
          <w:rFonts w:ascii="Times New Roman" w:eastAsia="Times New Roman" w:hAnsi="Times New Roman" w:cs="Times New Roman"/>
          <w:sz w:val="24"/>
          <w:szCs w:val="24"/>
          <w:lang w:eastAsia="lv-LV"/>
        </w:rPr>
        <w:t>invadētie</w:t>
      </w:r>
      <w:proofErr w:type="spellEnd"/>
      <w:r w:rsidR="00B07340" w:rsidRPr="00A07F29">
        <w:rPr>
          <w:rFonts w:ascii="Times New Roman" w:eastAsia="Times New Roman" w:hAnsi="Times New Roman" w:cs="Times New Roman"/>
          <w:sz w:val="24"/>
          <w:szCs w:val="24"/>
          <w:lang w:eastAsia="lv-LV"/>
        </w:rPr>
        <w:t xml:space="preserve"> vai citādi bojātie koki rada masveidīgas kaitēkļu savairošanās draudus un var izraisīt audžu bojāeju ārpus dabas lieguma zonas, bojātos kokus atļauts cirst sanitārajā cirtē pēc Valsts meža dienesta sanitārā atzinuma, kurā noteikts konkrēts apjoms šo bojāto koku izvākšanai.</w:t>
      </w:r>
    </w:p>
    <w:p w14:paraId="7C3F5F3E" w14:textId="1C006B09" w:rsidR="00B07340" w:rsidRPr="00A07F29" w:rsidRDefault="00E043C7"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2</w:t>
      </w:r>
      <w:r w:rsidR="00CD5384" w:rsidRPr="00A07F29">
        <w:rPr>
          <w:rFonts w:ascii="Times New Roman" w:eastAsia="Times New Roman" w:hAnsi="Times New Roman" w:cs="Times New Roman"/>
          <w:sz w:val="24"/>
          <w:szCs w:val="24"/>
          <w:lang w:eastAsia="lv-LV"/>
        </w:rPr>
        <w:t>4</w:t>
      </w:r>
      <w:r w:rsidR="00B07340" w:rsidRPr="00A07F29">
        <w:rPr>
          <w:rFonts w:ascii="Times New Roman" w:eastAsia="Times New Roman" w:hAnsi="Times New Roman" w:cs="Times New Roman"/>
          <w:sz w:val="24"/>
          <w:szCs w:val="24"/>
          <w:lang w:eastAsia="lv-LV"/>
        </w:rPr>
        <w:t>.</w:t>
      </w:r>
      <w:r w:rsidR="00A21083">
        <w:rPr>
          <w:rFonts w:ascii="Times New Roman" w:eastAsia="Times New Roman" w:hAnsi="Times New Roman" w:cs="Times New Roman"/>
          <w:sz w:val="24"/>
          <w:szCs w:val="24"/>
          <w:lang w:eastAsia="lv-LV"/>
        </w:rPr>
        <w:t> </w:t>
      </w:r>
      <w:r w:rsidR="00B07340" w:rsidRPr="00A07F29">
        <w:rPr>
          <w:rFonts w:ascii="Times New Roman" w:eastAsia="Times New Roman" w:hAnsi="Times New Roman" w:cs="Times New Roman"/>
          <w:sz w:val="24"/>
          <w:szCs w:val="24"/>
          <w:lang w:eastAsia="lv-LV"/>
        </w:rPr>
        <w:t>Mežaudzēs uz hektāru saglabā ne mazāk kā 20 kubikmetru sausu stāvošu koku, svaigi vēja gāztu koku un kritalu, kuru diametrs resnākajā vietā pārsniedz 25 centimetrus. Ja to kopējais apjoms ir lielāks, vispirms saglabā resnākos kokus. Pieļaujams izvākt svaigi vēja gāztas egles, kuru apjoms pārsniedz piecus kubikmetrus uz hektāru un kuras saskaņā ar Valsts meža dienesta atzinumu var izraisīt mežaudžu bojāeju masveidīgas kaitēkļu savairošanās dēļ.</w:t>
      </w:r>
    </w:p>
    <w:p w14:paraId="2635CCAE" w14:textId="60669968" w:rsidR="00B07340" w:rsidRPr="00A07F29" w:rsidRDefault="00E043C7"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2</w:t>
      </w:r>
      <w:r w:rsidR="00CD5384" w:rsidRPr="00A07F29">
        <w:rPr>
          <w:rFonts w:ascii="Times New Roman" w:eastAsia="Times New Roman" w:hAnsi="Times New Roman" w:cs="Times New Roman"/>
          <w:sz w:val="24"/>
          <w:szCs w:val="24"/>
          <w:lang w:eastAsia="lv-LV"/>
        </w:rPr>
        <w:t>5</w:t>
      </w:r>
      <w:r w:rsidR="00B07340" w:rsidRPr="00A07F29">
        <w:rPr>
          <w:rFonts w:ascii="Times New Roman" w:eastAsia="Times New Roman" w:hAnsi="Times New Roman" w:cs="Times New Roman"/>
          <w:sz w:val="24"/>
          <w:szCs w:val="24"/>
          <w:lang w:eastAsia="lv-LV"/>
        </w:rPr>
        <w:t>.</w:t>
      </w:r>
      <w:r w:rsidR="00F0372B">
        <w:rPr>
          <w:rFonts w:ascii="Times New Roman" w:eastAsia="Times New Roman" w:hAnsi="Times New Roman" w:cs="Times New Roman"/>
          <w:sz w:val="24"/>
          <w:szCs w:val="24"/>
          <w:lang w:eastAsia="lv-LV"/>
        </w:rPr>
        <w:t> </w:t>
      </w:r>
      <w:r w:rsidR="00B07340" w:rsidRPr="00A07F29">
        <w:rPr>
          <w:rFonts w:ascii="Times New Roman" w:eastAsia="Times New Roman" w:hAnsi="Times New Roman" w:cs="Times New Roman"/>
          <w:sz w:val="24"/>
          <w:szCs w:val="24"/>
          <w:lang w:eastAsia="lv-LV"/>
        </w:rPr>
        <w:t xml:space="preserve">Sausos kokus un kritalas šo noteikumu </w:t>
      </w:r>
      <w:r w:rsidR="002428A4" w:rsidRPr="00A07F29">
        <w:rPr>
          <w:rFonts w:ascii="Times New Roman" w:eastAsia="Times New Roman" w:hAnsi="Times New Roman" w:cs="Times New Roman"/>
          <w:sz w:val="24"/>
          <w:szCs w:val="24"/>
          <w:lang w:eastAsia="lv-LV"/>
        </w:rPr>
        <w:t>2</w:t>
      </w:r>
      <w:r w:rsidR="00CD5384" w:rsidRPr="00A07F29">
        <w:rPr>
          <w:rFonts w:ascii="Times New Roman" w:eastAsia="Times New Roman" w:hAnsi="Times New Roman" w:cs="Times New Roman"/>
          <w:sz w:val="24"/>
          <w:szCs w:val="24"/>
          <w:lang w:eastAsia="lv-LV"/>
        </w:rPr>
        <w:t>4</w:t>
      </w:r>
      <w:r w:rsidR="00B07340" w:rsidRPr="00A07F29">
        <w:rPr>
          <w:rFonts w:ascii="Times New Roman" w:eastAsia="Times New Roman" w:hAnsi="Times New Roman" w:cs="Times New Roman"/>
          <w:sz w:val="24"/>
          <w:szCs w:val="24"/>
          <w:lang w:eastAsia="lv-LV"/>
        </w:rPr>
        <w:t>.</w:t>
      </w:r>
      <w:r w:rsidR="00F0372B">
        <w:rPr>
          <w:rFonts w:ascii="Times New Roman" w:eastAsia="Times New Roman" w:hAnsi="Times New Roman" w:cs="Times New Roman"/>
          <w:sz w:val="24"/>
          <w:szCs w:val="24"/>
          <w:lang w:eastAsia="lv-LV"/>
        </w:rPr>
        <w:t> </w:t>
      </w:r>
      <w:r w:rsidR="00B07340" w:rsidRPr="00A07F29">
        <w:rPr>
          <w:rFonts w:ascii="Times New Roman" w:eastAsia="Times New Roman" w:hAnsi="Times New Roman" w:cs="Times New Roman"/>
          <w:sz w:val="24"/>
          <w:szCs w:val="24"/>
          <w:lang w:eastAsia="lv-LV"/>
        </w:rPr>
        <w:t>punktā minētajā apjomā, kā arī nocirstos bīstamos kokus un nocirsto koku celmus atstāj mežaudzē, lai nodrošinātu trūdošo (atmirušo) koksni kā dzīvesvietu meža ekosistēmā svarīgām sugām.</w:t>
      </w:r>
    </w:p>
    <w:p w14:paraId="78F9EC20" w14:textId="11416E73" w:rsidR="00B07340" w:rsidRPr="00A07F29" w:rsidRDefault="00E043C7"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2</w:t>
      </w:r>
      <w:r w:rsidR="00CD5384" w:rsidRPr="00A07F29">
        <w:rPr>
          <w:rFonts w:ascii="Times New Roman" w:eastAsia="Times New Roman" w:hAnsi="Times New Roman" w:cs="Times New Roman"/>
          <w:sz w:val="24"/>
          <w:szCs w:val="24"/>
          <w:lang w:eastAsia="lv-LV"/>
        </w:rPr>
        <w:t>6</w:t>
      </w:r>
      <w:r w:rsidR="00B07340" w:rsidRPr="00A07F29">
        <w:rPr>
          <w:rFonts w:ascii="Times New Roman" w:eastAsia="Times New Roman" w:hAnsi="Times New Roman" w:cs="Times New Roman"/>
          <w:sz w:val="24"/>
          <w:szCs w:val="24"/>
          <w:lang w:eastAsia="lv-LV"/>
        </w:rPr>
        <w:t>.</w:t>
      </w:r>
      <w:r w:rsidR="002E1158">
        <w:rPr>
          <w:rFonts w:ascii="Times New Roman" w:eastAsia="Times New Roman" w:hAnsi="Times New Roman" w:cs="Times New Roman"/>
          <w:sz w:val="24"/>
          <w:szCs w:val="24"/>
          <w:lang w:eastAsia="lv-LV"/>
        </w:rPr>
        <w:t> </w:t>
      </w:r>
      <w:r w:rsidR="00B07340" w:rsidRPr="00A07F29">
        <w:rPr>
          <w:rFonts w:ascii="Times New Roman" w:eastAsia="Times New Roman" w:hAnsi="Times New Roman" w:cs="Times New Roman"/>
          <w:sz w:val="24"/>
          <w:szCs w:val="24"/>
          <w:lang w:eastAsia="lv-LV"/>
        </w:rPr>
        <w:t xml:space="preserve">Uz mežaudzēm, kurās </w:t>
      </w:r>
      <w:proofErr w:type="spellStart"/>
      <w:r w:rsidR="00B07340" w:rsidRPr="00A07F29">
        <w:rPr>
          <w:rFonts w:ascii="Times New Roman" w:eastAsia="Times New Roman" w:hAnsi="Times New Roman" w:cs="Times New Roman"/>
          <w:sz w:val="24"/>
          <w:szCs w:val="24"/>
          <w:lang w:eastAsia="lv-LV"/>
        </w:rPr>
        <w:t>vējgāzes</w:t>
      </w:r>
      <w:proofErr w:type="spellEnd"/>
      <w:r w:rsidR="00B07340" w:rsidRPr="00A07F29">
        <w:rPr>
          <w:rFonts w:ascii="Times New Roman" w:eastAsia="Times New Roman" w:hAnsi="Times New Roman" w:cs="Times New Roman"/>
          <w:sz w:val="24"/>
          <w:szCs w:val="24"/>
          <w:lang w:eastAsia="lv-LV"/>
        </w:rPr>
        <w:t xml:space="preserve">, </w:t>
      </w:r>
      <w:proofErr w:type="spellStart"/>
      <w:r w:rsidR="00B07340" w:rsidRPr="00A07F29">
        <w:rPr>
          <w:rFonts w:ascii="Times New Roman" w:eastAsia="Times New Roman" w:hAnsi="Times New Roman" w:cs="Times New Roman"/>
          <w:sz w:val="24"/>
          <w:szCs w:val="24"/>
          <w:lang w:eastAsia="lv-LV"/>
        </w:rPr>
        <w:t>vējlauzes</w:t>
      </w:r>
      <w:proofErr w:type="spellEnd"/>
      <w:r w:rsidR="00B07340" w:rsidRPr="00A07F29">
        <w:rPr>
          <w:rFonts w:ascii="Times New Roman" w:eastAsia="Times New Roman" w:hAnsi="Times New Roman" w:cs="Times New Roman"/>
          <w:sz w:val="24"/>
          <w:szCs w:val="24"/>
          <w:lang w:eastAsia="lv-LV"/>
        </w:rPr>
        <w:t xml:space="preserve">, slimību infekcijas vai kaitēkļu invāzijas dēļ mežaudzes </w:t>
      </w:r>
      <w:proofErr w:type="spellStart"/>
      <w:r w:rsidR="00B07340" w:rsidRPr="00A07F29">
        <w:rPr>
          <w:rFonts w:ascii="Times New Roman" w:eastAsia="Times New Roman" w:hAnsi="Times New Roman" w:cs="Times New Roman"/>
          <w:sz w:val="24"/>
          <w:szCs w:val="24"/>
          <w:lang w:eastAsia="lv-LV"/>
        </w:rPr>
        <w:t>šķērslaukums</w:t>
      </w:r>
      <w:proofErr w:type="spellEnd"/>
      <w:r w:rsidR="00B07340" w:rsidRPr="00A07F29">
        <w:rPr>
          <w:rFonts w:ascii="Times New Roman" w:eastAsia="Times New Roman" w:hAnsi="Times New Roman" w:cs="Times New Roman"/>
          <w:sz w:val="24"/>
          <w:szCs w:val="24"/>
          <w:lang w:eastAsia="lv-LV"/>
        </w:rPr>
        <w:t xml:space="preserve"> kļuvis mazāks par kritisko </w:t>
      </w:r>
      <w:proofErr w:type="spellStart"/>
      <w:r w:rsidR="00B07340" w:rsidRPr="00A07F29">
        <w:rPr>
          <w:rFonts w:ascii="Times New Roman" w:eastAsia="Times New Roman" w:hAnsi="Times New Roman" w:cs="Times New Roman"/>
          <w:sz w:val="24"/>
          <w:szCs w:val="24"/>
          <w:lang w:eastAsia="lv-LV"/>
        </w:rPr>
        <w:t>šķērslaukumu</w:t>
      </w:r>
      <w:proofErr w:type="spellEnd"/>
      <w:r w:rsidR="00B07340" w:rsidRPr="00A07F29">
        <w:rPr>
          <w:rFonts w:ascii="Times New Roman" w:eastAsia="Times New Roman" w:hAnsi="Times New Roman" w:cs="Times New Roman"/>
          <w:sz w:val="24"/>
          <w:szCs w:val="24"/>
          <w:lang w:eastAsia="lv-LV"/>
        </w:rPr>
        <w:t xml:space="preserve"> un vēja gāztie, bojātie, sausie stāvošie koki un kritalas netiek izvākti, neattiecina meža atjaunošanas un jaunaudžu kopšanas prasības.</w:t>
      </w:r>
    </w:p>
    <w:p w14:paraId="26E47B51" w14:textId="77B9CB90" w:rsidR="00B07340" w:rsidRPr="00A07F29" w:rsidRDefault="00E043C7"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2</w:t>
      </w:r>
      <w:r w:rsidR="00CD5384" w:rsidRPr="00A07F29">
        <w:rPr>
          <w:rFonts w:ascii="Times New Roman" w:eastAsia="Times New Roman" w:hAnsi="Times New Roman" w:cs="Times New Roman"/>
          <w:sz w:val="24"/>
          <w:szCs w:val="24"/>
          <w:lang w:eastAsia="lv-LV"/>
        </w:rPr>
        <w:t>7</w:t>
      </w:r>
      <w:r w:rsidR="00B07340" w:rsidRPr="00A07F29">
        <w:rPr>
          <w:rFonts w:ascii="Times New Roman" w:eastAsia="Times New Roman" w:hAnsi="Times New Roman" w:cs="Times New Roman"/>
          <w:sz w:val="24"/>
          <w:szCs w:val="24"/>
          <w:lang w:eastAsia="lv-LV"/>
        </w:rPr>
        <w:t>.</w:t>
      </w:r>
      <w:r w:rsidR="00EC1B74">
        <w:rPr>
          <w:rFonts w:ascii="Times New Roman" w:eastAsia="Times New Roman" w:hAnsi="Times New Roman" w:cs="Times New Roman"/>
          <w:sz w:val="24"/>
          <w:szCs w:val="24"/>
          <w:lang w:eastAsia="lv-LV"/>
        </w:rPr>
        <w:t> </w:t>
      </w:r>
      <w:r w:rsidR="00B07340" w:rsidRPr="00A07F29">
        <w:rPr>
          <w:rFonts w:ascii="Times New Roman" w:eastAsia="Times New Roman" w:hAnsi="Times New Roman" w:cs="Times New Roman"/>
          <w:sz w:val="24"/>
          <w:szCs w:val="24"/>
          <w:lang w:eastAsia="lv-LV"/>
        </w:rPr>
        <w:t xml:space="preserve">Kopšanas cirtē uz cirsmas hektāru saglabā vismaz </w:t>
      </w:r>
      <w:r w:rsidR="0040360E" w:rsidRPr="00A07F29">
        <w:rPr>
          <w:rFonts w:ascii="Times New Roman" w:eastAsia="Times New Roman" w:hAnsi="Times New Roman" w:cs="Times New Roman"/>
          <w:sz w:val="24"/>
          <w:szCs w:val="24"/>
          <w:lang w:eastAsia="lv-LV"/>
        </w:rPr>
        <w:t>15</w:t>
      </w:r>
      <w:r w:rsidR="00B07340" w:rsidRPr="00A07F29">
        <w:rPr>
          <w:rFonts w:ascii="Times New Roman" w:eastAsia="Times New Roman" w:hAnsi="Times New Roman" w:cs="Times New Roman"/>
          <w:sz w:val="24"/>
          <w:szCs w:val="24"/>
          <w:lang w:eastAsia="lv-LV"/>
        </w:rPr>
        <w:t xml:space="preserve"> dzīvotspējīgus vecākos un lielāko izmēru kokus (ekoloģiskos kokus), vispirms saglabājot resnākos (koku caurmērs lielāks par valdošās koku sugas koku vidējo caurmēru) ozolus, liepas, priedes, ošus, gobas, vīksnas, melnalkšņus un kļavas. Ja šādu koku mežaudzē nav, vispirms saglabā apses un bērzus, kā arī kokus ar lieliem un resniem zariem, dobumainus kokus un kokus ar deguma rētām.</w:t>
      </w:r>
    </w:p>
    <w:p w14:paraId="265B9749" w14:textId="1EAFE2FD" w:rsidR="00B07340" w:rsidRPr="00A07F29" w:rsidRDefault="00B07340" w:rsidP="00B07340">
      <w:pPr>
        <w:spacing w:before="75" w:after="75" w:line="240" w:lineRule="auto"/>
        <w:jc w:val="center"/>
        <w:rPr>
          <w:rFonts w:ascii="Times New Roman" w:eastAsia="Times New Roman" w:hAnsi="Times New Roman" w:cs="Times New Roman"/>
          <w:b/>
          <w:sz w:val="24"/>
          <w:szCs w:val="24"/>
          <w:lang w:eastAsia="lv-LV"/>
        </w:rPr>
      </w:pPr>
      <w:r w:rsidRPr="00A07F29">
        <w:rPr>
          <w:rFonts w:ascii="Times New Roman" w:eastAsia="Times New Roman" w:hAnsi="Times New Roman" w:cs="Times New Roman"/>
          <w:b/>
          <w:sz w:val="24"/>
          <w:szCs w:val="24"/>
          <w:lang w:eastAsia="lv-LV"/>
        </w:rPr>
        <w:lastRenderedPageBreak/>
        <w:t>V</w:t>
      </w:r>
      <w:r w:rsidR="00A0273A">
        <w:rPr>
          <w:rFonts w:ascii="Times New Roman" w:eastAsia="Times New Roman" w:hAnsi="Times New Roman" w:cs="Times New Roman"/>
          <w:b/>
          <w:sz w:val="24"/>
          <w:szCs w:val="24"/>
          <w:lang w:eastAsia="lv-LV"/>
        </w:rPr>
        <w:t>.</w:t>
      </w:r>
      <w:r w:rsidRPr="00A07F29">
        <w:rPr>
          <w:rFonts w:ascii="Times New Roman" w:eastAsia="Times New Roman" w:hAnsi="Times New Roman" w:cs="Times New Roman"/>
          <w:b/>
          <w:sz w:val="24"/>
          <w:szCs w:val="24"/>
          <w:lang w:eastAsia="lv-LV"/>
        </w:rPr>
        <w:t xml:space="preserve"> Dabas parka zona</w:t>
      </w:r>
    </w:p>
    <w:p w14:paraId="22C7A297" w14:textId="0FE480F5" w:rsidR="00B07340" w:rsidRPr="00A07F29" w:rsidRDefault="00E043C7"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2</w:t>
      </w:r>
      <w:r w:rsidR="00CD5384" w:rsidRPr="00A07F29">
        <w:rPr>
          <w:rFonts w:ascii="Times New Roman" w:eastAsia="Times New Roman" w:hAnsi="Times New Roman" w:cs="Times New Roman"/>
          <w:sz w:val="24"/>
          <w:szCs w:val="24"/>
          <w:lang w:eastAsia="lv-LV"/>
        </w:rPr>
        <w:t>8</w:t>
      </w:r>
      <w:r w:rsidR="00B07340" w:rsidRPr="00A07F29">
        <w:rPr>
          <w:rFonts w:ascii="Times New Roman" w:eastAsia="Times New Roman" w:hAnsi="Times New Roman" w:cs="Times New Roman"/>
          <w:sz w:val="24"/>
          <w:szCs w:val="24"/>
          <w:lang w:eastAsia="lv-LV"/>
        </w:rPr>
        <w:t>.</w:t>
      </w:r>
      <w:r w:rsidR="00A0273A">
        <w:rPr>
          <w:rFonts w:ascii="Times New Roman" w:eastAsia="Times New Roman" w:hAnsi="Times New Roman" w:cs="Times New Roman"/>
          <w:sz w:val="24"/>
          <w:szCs w:val="24"/>
          <w:lang w:eastAsia="lv-LV"/>
        </w:rPr>
        <w:t> </w:t>
      </w:r>
      <w:r w:rsidR="00B07340" w:rsidRPr="00A07F29">
        <w:rPr>
          <w:rFonts w:ascii="Times New Roman" w:eastAsia="Times New Roman" w:hAnsi="Times New Roman" w:cs="Times New Roman"/>
          <w:sz w:val="24"/>
          <w:szCs w:val="24"/>
          <w:lang w:eastAsia="lv-LV"/>
        </w:rPr>
        <w:t xml:space="preserve">Dabas parka zona izveidota īpaši aizsargājamu sugu aizsardzībai, kultūrvēsturiskā mantojuma un unikālo ainavas elementu saglabāšanai un ilgtspējīgai izmantošanai. </w:t>
      </w:r>
    </w:p>
    <w:p w14:paraId="5FB530E1" w14:textId="22E69E70" w:rsidR="00B07340" w:rsidRPr="00A07F29" w:rsidRDefault="00CD5384" w:rsidP="00B07340">
      <w:pPr>
        <w:spacing w:before="75" w:after="75"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29</w:t>
      </w:r>
      <w:r w:rsidR="00B07340" w:rsidRPr="00A07F29">
        <w:rPr>
          <w:rFonts w:ascii="Times New Roman" w:eastAsia="Times New Roman" w:hAnsi="Times New Roman" w:cs="Times New Roman"/>
          <w:sz w:val="24"/>
          <w:szCs w:val="24"/>
          <w:lang w:eastAsia="lv-LV"/>
        </w:rPr>
        <w:t>.</w:t>
      </w:r>
      <w:r w:rsidR="000F2A05">
        <w:rPr>
          <w:rFonts w:ascii="Times New Roman" w:eastAsia="Times New Roman" w:hAnsi="Times New Roman" w:cs="Times New Roman"/>
          <w:sz w:val="24"/>
          <w:szCs w:val="24"/>
          <w:lang w:eastAsia="lv-LV"/>
        </w:rPr>
        <w:t> </w:t>
      </w:r>
      <w:r w:rsidR="00B07340" w:rsidRPr="00A07F29">
        <w:rPr>
          <w:rFonts w:ascii="Times New Roman" w:eastAsia="Times New Roman" w:hAnsi="Times New Roman" w:cs="Times New Roman"/>
          <w:sz w:val="24"/>
          <w:szCs w:val="24"/>
          <w:lang w:eastAsia="lv-LV"/>
        </w:rPr>
        <w:t>Dabas parka zonas teritorijā aizliegts:</w:t>
      </w:r>
    </w:p>
    <w:p w14:paraId="45210027" w14:textId="6541A4E1" w:rsidR="00B07340" w:rsidRPr="00A07F29" w:rsidRDefault="00CD5384" w:rsidP="00B07340">
      <w:pPr>
        <w:spacing w:before="75" w:after="75"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29</w:t>
      </w:r>
      <w:r w:rsidR="00B07340" w:rsidRPr="00A07F29">
        <w:rPr>
          <w:rFonts w:ascii="Times New Roman" w:eastAsia="Times New Roman" w:hAnsi="Times New Roman" w:cs="Times New Roman"/>
          <w:sz w:val="24"/>
          <w:szCs w:val="24"/>
          <w:lang w:eastAsia="lv-LV"/>
        </w:rPr>
        <w:t>.1.</w:t>
      </w:r>
      <w:r w:rsidR="000F2A05">
        <w:rPr>
          <w:rFonts w:ascii="Times New Roman" w:eastAsia="Times New Roman" w:hAnsi="Times New Roman" w:cs="Times New Roman"/>
          <w:sz w:val="24"/>
          <w:szCs w:val="24"/>
          <w:lang w:eastAsia="lv-LV"/>
        </w:rPr>
        <w:t> </w:t>
      </w:r>
      <w:r w:rsidR="00B07340" w:rsidRPr="00A07F29">
        <w:rPr>
          <w:rFonts w:ascii="Times New Roman" w:eastAsia="Times New Roman" w:hAnsi="Times New Roman" w:cs="Times New Roman"/>
          <w:sz w:val="24"/>
          <w:szCs w:val="24"/>
          <w:lang w:eastAsia="lv-LV"/>
        </w:rPr>
        <w:t xml:space="preserve">nosusināt purvus un mežaudzes slapjās </w:t>
      </w:r>
      <w:proofErr w:type="spellStart"/>
      <w:r w:rsidR="00B07340" w:rsidRPr="00A07F29">
        <w:rPr>
          <w:rFonts w:ascii="Times New Roman" w:eastAsia="Times New Roman" w:hAnsi="Times New Roman" w:cs="Times New Roman"/>
          <w:sz w:val="24"/>
          <w:szCs w:val="24"/>
          <w:lang w:eastAsia="lv-LV"/>
        </w:rPr>
        <w:t>minerālaugsnēs</w:t>
      </w:r>
      <w:proofErr w:type="spellEnd"/>
      <w:r w:rsidR="00B07340" w:rsidRPr="00A07F29">
        <w:rPr>
          <w:rFonts w:ascii="Times New Roman" w:eastAsia="Times New Roman" w:hAnsi="Times New Roman" w:cs="Times New Roman"/>
          <w:sz w:val="24"/>
          <w:szCs w:val="24"/>
          <w:lang w:eastAsia="lv-LV"/>
        </w:rPr>
        <w:t xml:space="preserve"> un slapjās kūdras augsnēs;</w:t>
      </w:r>
    </w:p>
    <w:p w14:paraId="5D1B3227" w14:textId="3995B4E4" w:rsidR="00B07340" w:rsidRPr="00A07F29" w:rsidRDefault="00CD5384" w:rsidP="00B07340">
      <w:pPr>
        <w:spacing w:before="75" w:after="75"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29</w:t>
      </w:r>
      <w:r w:rsidR="00B07340" w:rsidRPr="00A07F29">
        <w:rPr>
          <w:rFonts w:ascii="Times New Roman" w:eastAsia="Times New Roman" w:hAnsi="Times New Roman" w:cs="Times New Roman"/>
          <w:sz w:val="24"/>
          <w:szCs w:val="24"/>
          <w:lang w:eastAsia="lv-LV"/>
        </w:rPr>
        <w:t>.</w:t>
      </w:r>
      <w:r w:rsidR="00AC1B34" w:rsidRPr="00A07F29">
        <w:rPr>
          <w:rFonts w:ascii="Times New Roman" w:eastAsia="Times New Roman" w:hAnsi="Times New Roman" w:cs="Times New Roman"/>
          <w:sz w:val="24"/>
          <w:szCs w:val="24"/>
          <w:lang w:eastAsia="lv-LV"/>
        </w:rPr>
        <w:t>2</w:t>
      </w:r>
      <w:r w:rsidR="00B07340" w:rsidRPr="00A07F29">
        <w:rPr>
          <w:rFonts w:ascii="Times New Roman" w:eastAsia="Times New Roman" w:hAnsi="Times New Roman" w:cs="Times New Roman"/>
          <w:sz w:val="24"/>
          <w:szCs w:val="24"/>
          <w:lang w:eastAsia="lv-LV"/>
        </w:rPr>
        <w:t>.</w:t>
      </w:r>
      <w:r w:rsidR="000F2A05">
        <w:rPr>
          <w:rFonts w:ascii="Times New Roman" w:eastAsia="Times New Roman" w:hAnsi="Times New Roman" w:cs="Times New Roman"/>
          <w:sz w:val="24"/>
          <w:szCs w:val="24"/>
          <w:lang w:eastAsia="lv-LV"/>
        </w:rPr>
        <w:t> </w:t>
      </w:r>
      <w:r w:rsidR="00B07340" w:rsidRPr="00A07F29">
        <w:rPr>
          <w:rFonts w:ascii="Times New Roman" w:eastAsia="Times New Roman" w:hAnsi="Times New Roman" w:cs="Times New Roman"/>
          <w:sz w:val="24"/>
          <w:szCs w:val="24"/>
          <w:lang w:eastAsia="lv-LV"/>
        </w:rPr>
        <w:t>veikt darbības, kas veicina augsnes erozijas attīstību, izņemot augsnes sagatavošanu lauksaimniecības un mežsaimniecības vajadzībām;</w:t>
      </w:r>
    </w:p>
    <w:p w14:paraId="775FEFA3" w14:textId="7EDF52AD" w:rsidR="00B07340" w:rsidRPr="00A07F29" w:rsidRDefault="00CD5384" w:rsidP="00B07340">
      <w:pPr>
        <w:spacing w:before="75" w:after="75"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29</w:t>
      </w:r>
      <w:r w:rsidR="00B07340" w:rsidRPr="00A07F29">
        <w:rPr>
          <w:rFonts w:ascii="Times New Roman" w:eastAsia="Times New Roman" w:hAnsi="Times New Roman" w:cs="Times New Roman"/>
          <w:sz w:val="24"/>
          <w:szCs w:val="24"/>
          <w:lang w:eastAsia="lv-LV"/>
        </w:rPr>
        <w:t>.</w:t>
      </w:r>
      <w:r w:rsidR="00AC1B34" w:rsidRPr="00A07F29">
        <w:rPr>
          <w:rFonts w:ascii="Times New Roman" w:eastAsia="Times New Roman" w:hAnsi="Times New Roman" w:cs="Times New Roman"/>
          <w:sz w:val="24"/>
          <w:szCs w:val="24"/>
          <w:lang w:eastAsia="lv-LV"/>
        </w:rPr>
        <w:t>3</w:t>
      </w:r>
      <w:r w:rsidR="00B07340" w:rsidRPr="00A07F29">
        <w:rPr>
          <w:rFonts w:ascii="Times New Roman" w:eastAsia="Times New Roman" w:hAnsi="Times New Roman" w:cs="Times New Roman"/>
          <w:sz w:val="24"/>
          <w:szCs w:val="24"/>
          <w:lang w:eastAsia="lv-LV"/>
        </w:rPr>
        <w:t>.</w:t>
      </w:r>
      <w:r w:rsidR="000F2A05">
        <w:rPr>
          <w:rFonts w:ascii="Times New Roman" w:eastAsia="Times New Roman" w:hAnsi="Times New Roman" w:cs="Times New Roman"/>
          <w:sz w:val="24"/>
          <w:szCs w:val="24"/>
          <w:lang w:eastAsia="lv-LV"/>
        </w:rPr>
        <w:t> </w:t>
      </w:r>
      <w:r w:rsidR="00B07340" w:rsidRPr="00A07F29">
        <w:rPr>
          <w:rFonts w:ascii="Times New Roman" w:eastAsia="Times New Roman" w:hAnsi="Times New Roman" w:cs="Times New Roman"/>
          <w:sz w:val="24"/>
          <w:szCs w:val="24"/>
          <w:lang w:eastAsia="lv-LV"/>
        </w:rPr>
        <w:t>ierīkot jaunas iežogotas platības savvaļas dzīvnieku turēšanai nebrīvē;</w:t>
      </w:r>
    </w:p>
    <w:p w14:paraId="36792884" w14:textId="15A63773" w:rsidR="00B07340" w:rsidRPr="00A07F29" w:rsidRDefault="00CD5384" w:rsidP="00B07340">
      <w:pPr>
        <w:spacing w:before="75" w:after="75"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29</w:t>
      </w:r>
      <w:r w:rsidR="00B07340" w:rsidRPr="00A07F29">
        <w:rPr>
          <w:rFonts w:ascii="Times New Roman" w:eastAsia="Times New Roman" w:hAnsi="Times New Roman" w:cs="Times New Roman"/>
          <w:sz w:val="24"/>
          <w:szCs w:val="24"/>
          <w:lang w:eastAsia="lv-LV"/>
        </w:rPr>
        <w:t>.</w:t>
      </w:r>
      <w:r w:rsidR="00AC1B34" w:rsidRPr="00A07F29">
        <w:rPr>
          <w:rFonts w:ascii="Times New Roman" w:eastAsia="Times New Roman" w:hAnsi="Times New Roman" w:cs="Times New Roman"/>
          <w:sz w:val="24"/>
          <w:szCs w:val="24"/>
          <w:lang w:eastAsia="lv-LV"/>
        </w:rPr>
        <w:t>4</w:t>
      </w:r>
      <w:r w:rsidR="00B07340" w:rsidRPr="00A07F29">
        <w:rPr>
          <w:rFonts w:ascii="Times New Roman" w:eastAsia="Times New Roman" w:hAnsi="Times New Roman" w:cs="Times New Roman"/>
          <w:sz w:val="24"/>
          <w:szCs w:val="24"/>
          <w:lang w:eastAsia="lv-LV"/>
        </w:rPr>
        <w:t>.</w:t>
      </w:r>
      <w:r w:rsidR="00063EC7">
        <w:rPr>
          <w:rFonts w:ascii="Times New Roman" w:eastAsia="Times New Roman" w:hAnsi="Times New Roman" w:cs="Times New Roman"/>
          <w:sz w:val="24"/>
          <w:szCs w:val="24"/>
          <w:lang w:eastAsia="lv-LV"/>
        </w:rPr>
        <w:t> </w:t>
      </w:r>
      <w:r w:rsidR="00B07340" w:rsidRPr="00A07F29">
        <w:rPr>
          <w:rFonts w:ascii="Times New Roman" w:eastAsia="Times New Roman" w:hAnsi="Times New Roman" w:cs="Times New Roman"/>
          <w:sz w:val="24"/>
          <w:szCs w:val="24"/>
          <w:lang w:eastAsia="lv-LV"/>
        </w:rPr>
        <w:t>cirst kokus, kuru caurmērs 1,3 metru augstumā virs koku sakņu kakla pārsniedz 60 centimetrus, izņemot bīstamos kokus;</w:t>
      </w:r>
    </w:p>
    <w:p w14:paraId="25628FE9" w14:textId="24CED9D3" w:rsidR="00E043C7" w:rsidRPr="00A07F29" w:rsidRDefault="00CD5384" w:rsidP="00B07340">
      <w:pPr>
        <w:spacing w:before="75" w:after="75"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29</w:t>
      </w:r>
      <w:r w:rsidR="00B07340" w:rsidRPr="00A07F29">
        <w:rPr>
          <w:rFonts w:ascii="Times New Roman" w:eastAsia="Times New Roman" w:hAnsi="Times New Roman" w:cs="Times New Roman"/>
          <w:sz w:val="24"/>
          <w:szCs w:val="24"/>
          <w:lang w:eastAsia="lv-LV"/>
        </w:rPr>
        <w:t>.</w:t>
      </w:r>
      <w:r w:rsidR="00690194" w:rsidRPr="00A07F29">
        <w:rPr>
          <w:rFonts w:ascii="Times New Roman" w:eastAsia="Times New Roman" w:hAnsi="Times New Roman" w:cs="Times New Roman"/>
          <w:sz w:val="24"/>
          <w:szCs w:val="24"/>
          <w:lang w:eastAsia="lv-LV"/>
        </w:rPr>
        <w:t>5</w:t>
      </w:r>
      <w:r w:rsidR="00B07340" w:rsidRPr="00A07F29">
        <w:rPr>
          <w:rFonts w:ascii="Times New Roman" w:eastAsia="Times New Roman" w:hAnsi="Times New Roman" w:cs="Times New Roman"/>
          <w:sz w:val="24"/>
          <w:szCs w:val="24"/>
          <w:lang w:eastAsia="lv-LV"/>
        </w:rPr>
        <w:t>.</w:t>
      </w:r>
      <w:r w:rsidR="00063EC7">
        <w:rPr>
          <w:rFonts w:ascii="Times New Roman" w:eastAsia="Times New Roman" w:hAnsi="Times New Roman" w:cs="Times New Roman"/>
          <w:sz w:val="24"/>
          <w:szCs w:val="24"/>
          <w:lang w:eastAsia="lv-LV"/>
        </w:rPr>
        <w:t> </w:t>
      </w:r>
      <w:r w:rsidR="00E043C7" w:rsidRPr="00A07F29">
        <w:rPr>
          <w:rFonts w:ascii="Times New Roman" w:eastAsia="Times New Roman" w:hAnsi="Times New Roman" w:cs="Times New Roman"/>
          <w:sz w:val="24"/>
          <w:szCs w:val="24"/>
          <w:lang w:eastAsia="lv-LV"/>
        </w:rPr>
        <w:t>izvietot vēja elektrostacijas, kuru maksimālais augstums ir lielāks par 12 metriem;</w:t>
      </w:r>
    </w:p>
    <w:p w14:paraId="5CAE2CC3" w14:textId="1267E97D" w:rsidR="00B07340" w:rsidRPr="00A07F29" w:rsidRDefault="00CD5384" w:rsidP="00B07340">
      <w:pPr>
        <w:spacing w:before="75" w:after="75"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29</w:t>
      </w:r>
      <w:r w:rsidR="00B07340" w:rsidRPr="00A07F29">
        <w:rPr>
          <w:rFonts w:ascii="Times New Roman" w:eastAsia="Times New Roman" w:hAnsi="Times New Roman" w:cs="Times New Roman"/>
          <w:sz w:val="24"/>
          <w:szCs w:val="24"/>
          <w:lang w:eastAsia="lv-LV"/>
        </w:rPr>
        <w:t>.</w:t>
      </w:r>
      <w:r w:rsidR="00690194" w:rsidRPr="00A07F29">
        <w:rPr>
          <w:rFonts w:ascii="Times New Roman" w:eastAsia="Times New Roman" w:hAnsi="Times New Roman" w:cs="Times New Roman"/>
          <w:sz w:val="24"/>
          <w:szCs w:val="24"/>
          <w:lang w:eastAsia="lv-LV"/>
        </w:rPr>
        <w:t>6</w:t>
      </w:r>
      <w:r w:rsidR="00B07340" w:rsidRPr="00A07F29">
        <w:rPr>
          <w:rFonts w:ascii="Times New Roman" w:eastAsia="Times New Roman" w:hAnsi="Times New Roman" w:cs="Times New Roman"/>
          <w:sz w:val="24"/>
          <w:szCs w:val="24"/>
          <w:lang w:eastAsia="lv-LV"/>
        </w:rPr>
        <w:t>.</w:t>
      </w:r>
      <w:r w:rsidR="00063EC7">
        <w:rPr>
          <w:rFonts w:ascii="Times New Roman" w:eastAsia="Times New Roman" w:hAnsi="Times New Roman" w:cs="Times New Roman"/>
          <w:sz w:val="24"/>
          <w:szCs w:val="24"/>
          <w:lang w:eastAsia="lv-LV"/>
        </w:rPr>
        <w:t> </w:t>
      </w:r>
      <w:r w:rsidR="00B07340" w:rsidRPr="00A07F29">
        <w:rPr>
          <w:rFonts w:ascii="Times New Roman" w:eastAsia="Times New Roman" w:hAnsi="Times New Roman" w:cs="Times New Roman"/>
          <w:sz w:val="24"/>
          <w:szCs w:val="24"/>
          <w:lang w:eastAsia="lv-LV"/>
        </w:rPr>
        <w:t>bez Dabas aizsardzības pārvaldes rakstiskas atļaujas:</w:t>
      </w:r>
    </w:p>
    <w:p w14:paraId="20F82502" w14:textId="58C9DD6C" w:rsidR="00B07340" w:rsidRPr="00A07F29" w:rsidRDefault="00CD5384" w:rsidP="00B07340">
      <w:pPr>
        <w:spacing w:before="75" w:after="75"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29</w:t>
      </w:r>
      <w:r w:rsidR="00B07340" w:rsidRPr="00A07F29">
        <w:rPr>
          <w:rFonts w:ascii="Times New Roman" w:eastAsia="Times New Roman" w:hAnsi="Times New Roman" w:cs="Times New Roman"/>
          <w:sz w:val="24"/>
          <w:szCs w:val="24"/>
          <w:lang w:eastAsia="lv-LV"/>
        </w:rPr>
        <w:t>.</w:t>
      </w:r>
      <w:r w:rsidR="00690194" w:rsidRPr="00A07F29">
        <w:rPr>
          <w:rFonts w:ascii="Times New Roman" w:eastAsia="Times New Roman" w:hAnsi="Times New Roman" w:cs="Times New Roman"/>
          <w:sz w:val="24"/>
          <w:szCs w:val="24"/>
          <w:lang w:eastAsia="lv-LV"/>
        </w:rPr>
        <w:t>6</w:t>
      </w:r>
      <w:r w:rsidR="00B07340" w:rsidRPr="00A07F29">
        <w:rPr>
          <w:rFonts w:ascii="Times New Roman" w:eastAsia="Times New Roman" w:hAnsi="Times New Roman" w:cs="Times New Roman"/>
          <w:sz w:val="24"/>
          <w:szCs w:val="24"/>
          <w:lang w:eastAsia="lv-LV"/>
        </w:rPr>
        <w:t>.1.</w:t>
      </w:r>
      <w:r w:rsidR="003811EA">
        <w:rPr>
          <w:rFonts w:ascii="Times New Roman" w:eastAsia="Times New Roman" w:hAnsi="Times New Roman" w:cs="Times New Roman"/>
          <w:sz w:val="24"/>
          <w:szCs w:val="24"/>
          <w:lang w:eastAsia="lv-LV"/>
        </w:rPr>
        <w:t> </w:t>
      </w:r>
      <w:r w:rsidR="00B07340" w:rsidRPr="00A07F29">
        <w:rPr>
          <w:rFonts w:ascii="Times New Roman" w:eastAsia="Times New Roman" w:hAnsi="Times New Roman" w:cs="Times New Roman"/>
          <w:sz w:val="24"/>
          <w:szCs w:val="24"/>
          <w:lang w:eastAsia="lv-LV"/>
        </w:rPr>
        <w:t>mainīt zemes lietošanas kategoriju;</w:t>
      </w:r>
    </w:p>
    <w:p w14:paraId="6AB09457" w14:textId="68D54F53" w:rsidR="00B07340" w:rsidRPr="00A07F29" w:rsidRDefault="00CD5384" w:rsidP="00B07340">
      <w:pPr>
        <w:spacing w:before="75" w:after="75"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29</w:t>
      </w:r>
      <w:r w:rsidR="00B07340" w:rsidRPr="00A07F29">
        <w:rPr>
          <w:rFonts w:ascii="Times New Roman" w:eastAsia="Times New Roman" w:hAnsi="Times New Roman" w:cs="Times New Roman"/>
          <w:sz w:val="24"/>
          <w:szCs w:val="24"/>
          <w:lang w:eastAsia="lv-LV"/>
        </w:rPr>
        <w:t>.</w:t>
      </w:r>
      <w:r w:rsidR="00690194" w:rsidRPr="00A07F29">
        <w:rPr>
          <w:rFonts w:ascii="Times New Roman" w:eastAsia="Times New Roman" w:hAnsi="Times New Roman" w:cs="Times New Roman"/>
          <w:sz w:val="24"/>
          <w:szCs w:val="24"/>
          <w:lang w:eastAsia="lv-LV"/>
        </w:rPr>
        <w:t>6</w:t>
      </w:r>
      <w:r w:rsidR="00B07340" w:rsidRPr="00A07F29">
        <w:rPr>
          <w:rFonts w:ascii="Times New Roman" w:eastAsia="Times New Roman" w:hAnsi="Times New Roman" w:cs="Times New Roman"/>
          <w:sz w:val="24"/>
          <w:szCs w:val="24"/>
          <w:lang w:eastAsia="lv-LV"/>
        </w:rPr>
        <w:t>.2.</w:t>
      </w:r>
      <w:r w:rsidR="003811EA">
        <w:rPr>
          <w:rFonts w:ascii="Times New Roman" w:eastAsia="Times New Roman" w:hAnsi="Times New Roman" w:cs="Times New Roman"/>
          <w:sz w:val="24"/>
          <w:szCs w:val="24"/>
          <w:lang w:eastAsia="lv-LV"/>
        </w:rPr>
        <w:t> </w:t>
      </w:r>
      <w:r w:rsidR="00B07340" w:rsidRPr="00A07F29">
        <w:rPr>
          <w:rFonts w:ascii="Times New Roman" w:eastAsia="Times New Roman" w:hAnsi="Times New Roman" w:cs="Times New Roman"/>
          <w:sz w:val="24"/>
          <w:szCs w:val="24"/>
          <w:lang w:eastAsia="lv-LV"/>
        </w:rPr>
        <w:t>ierīkot publiski pieejamus dabas tūrisma un izziņas infrastruktūras objektus (piemēram, takas, maršrutus, skatu torņus, telšu vietas, stāvlaukumus, apmeklētāju centrus un informācijas centrus);</w:t>
      </w:r>
    </w:p>
    <w:p w14:paraId="1337CCE9" w14:textId="61327EBC" w:rsidR="00B07340" w:rsidRPr="00A07F29" w:rsidRDefault="00CD5384" w:rsidP="00B07340">
      <w:pPr>
        <w:spacing w:before="75" w:after="75"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29</w:t>
      </w:r>
      <w:r w:rsidR="00B07340" w:rsidRPr="00A07F29">
        <w:rPr>
          <w:rFonts w:ascii="Times New Roman" w:eastAsia="Times New Roman" w:hAnsi="Times New Roman" w:cs="Times New Roman"/>
          <w:sz w:val="24"/>
          <w:szCs w:val="24"/>
          <w:lang w:eastAsia="lv-LV"/>
        </w:rPr>
        <w:t>.</w:t>
      </w:r>
      <w:r w:rsidR="00690194" w:rsidRPr="00A07F29">
        <w:rPr>
          <w:rFonts w:ascii="Times New Roman" w:eastAsia="Times New Roman" w:hAnsi="Times New Roman" w:cs="Times New Roman"/>
          <w:sz w:val="24"/>
          <w:szCs w:val="24"/>
          <w:lang w:eastAsia="lv-LV"/>
        </w:rPr>
        <w:t>6</w:t>
      </w:r>
      <w:r w:rsidR="00B07340" w:rsidRPr="00A07F29">
        <w:rPr>
          <w:rFonts w:ascii="Times New Roman" w:eastAsia="Times New Roman" w:hAnsi="Times New Roman" w:cs="Times New Roman"/>
          <w:sz w:val="24"/>
          <w:szCs w:val="24"/>
          <w:lang w:eastAsia="lv-LV"/>
        </w:rPr>
        <w:t>.3.</w:t>
      </w:r>
      <w:r w:rsidR="003811EA">
        <w:rPr>
          <w:rFonts w:ascii="Times New Roman" w:eastAsia="Times New Roman" w:hAnsi="Times New Roman" w:cs="Times New Roman"/>
          <w:sz w:val="24"/>
          <w:szCs w:val="24"/>
          <w:lang w:eastAsia="lv-LV"/>
        </w:rPr>
        <w:t> </w:t>
      </w:r>
      <w:r w:rsidR="00B07340" w:rsidRPr="00A07F29">
        <w:rPr>
          <w:rFonts w:ascii="Times New Roman" w:eastAsia="Times New Roman" w:hAnsi="Times New Roman" w:cs="Times New Roman"/>
          <w:sz w:val="24"/>
          <w:szCs w:val="24"/>
          <w:lang w:eastAsia="lv-LV"/>
        </w:rPr>
        <w:t xml:space="preserve">rīkot </w:t>
      </w:r>
      <w:proofErr w:type="spellStart"/>
      <w:r w:rsidR="00B07340" w:rsidRPr="00A07F29">
        <w:rPr>
          <w:rFonts w:ascii="Times New Roman" w:eastAsia="Times New Roman" w:hAnsi="Times New Roman" w:cs="Times New Roman"/>
          <w:sz w:val="24"/>
          <w:szCs w:val="24"/>
          <w:lang w:eastAsia="lv-LV"/>
        </w:rPr>
        <w:t>autosacensības</w:t>
      </w:r>
      <w:proofErr w:type="spellEnd"/>
      <w:r w:rsidR="00B07340" w:rsidRPr="00A07F29">
        <w:rPr>
          <w:rFonts w:ascii="Times New Roman" w:eastAsia="Times New Roman" w:hAnsi="Times New Roman" w:cs="Times New Roman"/>
          <w:sz w:val="24"/>
          <w:szCs w:val="24"/>
          <w:lang w:eastAsia="lv-LV"/>
        </w:rPr>
        <w:t xml:space="preserve">, </w:t>
      </w:r>
      <w:proofErr w:type="spellStart"/>
      <w:r w:rsidR="00B07340" w:rsidRPr="00A07F29">
        <w:rPr>
          <w:rFonts w:ascii="Times New Roman" w:eastAsia="Times New Roman" w:hAnsi="Times New Roman" w:cs="Times New Roman"/>
          <w:sz w:val="24"/>
          <w:szCs w:val="24"/>
          <w:lang w:eastAsia="lv-LV"/>
        </w:rPr>
        <w:t>motosacensības</w:t>
      </w:r>
      <w:proofErr w:type="spellEnd"/>
      <w:r w:rsidR="00B07340" w:rsidRPr="00A07F29">
        <w:rPr>
          <w:rFonts w:ascii="Times New Roman" w:eastAsia="Times New Roman" w:hAnsi="Times New Roman" w:cs="Times New Roman"/>
          <w:sz w:val="24"/>
          <w:szCs w:val="24"/>
          <w:lang w:eastAsia="lv-LV"/>
        </w:rPr>
        <w:t>, rallijus, treniņbraucienus, izmēģinājuma braucienus ārpus valsts autoceļiem un pašvaldību ceļiem</w:t>
      </w:r>
      <w:r w:rsidR="007D31C5" w:rsidRPr="00A07F29">
        <w:rPr>
          <w:rFonts w:ascii="Times New Roman" w:eastAsia="Times New Roman" w:hAnsi="Times New Roman" w:cs="Times New Roman"/>
          <w:sz w:val="24"/>
          <w:szCs w:val="24"/>
          <w:lang w:eastAsia="lv-LV"/>
        </w:rPr>
        <w:t xml:space="preserve">, </w:t>
      </w:r>
      <w:proofErr w:type="spellStart"/>
      <w:r w:rsidR="00656E46" w:rsidRPr="00A07F29">
        <w:rPr>
          <w:rFonts w:ascii="Times New Roman" w:eastAsia="Times New Roman" w:hAnsi="Times New Roman" w:cs="Times New Roman"/>
          <w:sz w:val="24"/>
          <w:szCs w:val="24"/>
          <w:lang w:eastAsia="lv-LV"/>
        </w:rPr>
        <w:t>velosacensības</w:t>
      </w:r>
      <w:proofErr w:type="spellEnd"/>
      <w:r w:rsidR="00656E46" w:rsidRPr="00A07F29">
        <w:rPr>
          <w:rFonts w:ascii="Times New Roman" w:eastAsia="Times New Roman" w:hAnsi="Times New Roman" w:cs="Times New Roman"/>
          <w:sz w:val="24"/>
          <w:szCs w:val="24"/>
          <w:lang w:eastAsia="lv-LV"/>
        </w:rPr>
        <w:t xml:space="preserve"> ārpus ierīkotiem </w:t>
      </w:r>
      <w:proofErr w:type="spellStart"/>
      <w:r w:rsidR="00656E46" w:rsidRPr="00A07F29">
        <w:rPr>
          <w:rFonts w:ascii="Times New Roman" w:eastAsia="Times New Roman" w:hAnsi="Times New Roman" w:cs="Times New Roman"/>
          <w:sz w:val="24"/>
          <w:szCs w:val="24"/>
          <w:lang w:eastAsia="lv-LV"/>
        </w:rPr>
        <w:t>velomarš</w:t>
      </w:r>
      <w:r w:rsidR="009B2589">
        <w:rPr>
          <w:rFonts w:ascii="Times New Roman" w:eastAsia="Times New Roman" w:hAnsi="Times New Roman" w:cs="Times New Roman"/>
          <w:sz w:val="24"/>
          <w:szCs w:val="24"/>
          <w:lang w:eastAsia="lv-LV"/>
        </w:rPr>
        <w:t>r</w:t>
      </w:r>
      <w:r w:rsidR="00656E46" w:rsidRPr="00A07F29">
        <w:rPr>
          <w:rFonts w:ascii="Times New Roman" w:eastAsia="Times New Roman" w:hAnsi="Times New Roman" w:cs="Times New Roman"/>
          <w:sz w:val="24"/>
          <w:szCs w:val="24"/>
          <w:lang w:eastAsia="lv-LV"/>
        </w:rPr>
        <w:t>utiem</w:t>
      </w:r>
      <w:proofErr w:type="spellEnd"/>
      <w:r w:rsidR="00656E46" w:rsidRPr="00A07F29">
        <w:rPr>
          <w:rFonts w:ascii="Times New Roman" w:eastAsia="Times New Roman" w:hAnsi="Times New Roman" w:cs="Times New Roman"/>
          <w:sz w:val="24"/>
          <w:szCs w:val="24"/>
          <w:lang w:eastAsia="lv-LV"/>
        </w:rPr>
        <w:t xml:space="preserve">, kā arī </w:t>
      </w:r>
      <w:proofErr w:type="spellStart"/>
      <w:r w:rsidR="00656E46" w:rsidRPr="00A07F29">
        <w:rPr>
          <w:rFonts w:ascii="Times New Roman" w:eastAsia="Times New Roman" w:hAnsi="Times New Roman" w:cs="Times New Roman"/>
          <w:sz w:val="24"/>
          <w:szCs w:val="24"/>
          <w:lang w:eastAsia="lv-LV"/>
        </w:rPr>
        <w:t>ūdensmotosporta</w:t>
      </w:r>
      <w:proofErr w:type="spellEnd"/>
      <w:r w:rsidR="00656E46" w:rsidRPr="00A07F29">
        <w:rPr>
          <w:rFonts w:ascii="Times New Roman" w:eastAsia="Times New Roman" w:hAnsi="Times New Roman" w:cs="Times New Roman"/>
          <w:sz w:val="24"/>
          <w:szCs w:val="24"/>
          <w:lang w:eastAsia="lv-LV"/>
        </w:rPr>
        <w:t xml:space="preserve"> un </w:t>
      </w:r>
      <w:proofErr w:type="spellStart"/>
      <w:r w:rsidR="00656E46" w:rsidRPr="00A07F29">
        <w:rPr>
          <w:rFonts w:ascii="Times New Roman" w:eastAsia="Times New Roman" w:hAnsi="Times New Roman" w:cs="Times New Roman"/>
          <w:sz w:val="24"/>
          <w:szCs w:val="24"/>
          <w:lang w:eastAsia="lv-LV"/>
        </w:rPr>
        <w:t>ūdensslēpošanas</w:t>
      </w:r>
      <w:proofErr w:type="spellEnd"/>
      <w:r w:rsidR="00656E46" w:rsidRPr="00A07F29">
        <w:rPr>
          <w:rFonts w:ascii="Times New Roman" w:eastAsia="Times New Roman" w:hAnsi="Times New Roman" w:cs="Times New Roman"/>
          <w:sz w:val="24"/>
          <w:szCs w:val="24"/>
          <w:lang w:eastAsia="lv-LV"/>
        </w:rPr>
        <w:t xml:space="preserve"> sacensības.</w:t>
      </w:r>
    </w:p>
    <w:p w14:paraId="5EBCD16C" w14:textId="2E39B654" w:rsidR="00B07340" w:rsidRPr="00A07F29" w:rsidRDefault="00B07340" w:rsidP="00B07340">
      <w:pPr>
        <w:spacing w:before="75" w:after="75"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3</w:t>
      </w:r>
      <w:r w:rsidR="00CD5384" w:rsidRPr="00A07F29">
        <w:rPr>
          <w:rFonts w:ascii="Times New Roman" w:eastAsia="Times New Roman" w:hAnsi="Times New Roman" w:cs="Times New Roman"/>
          <w:sz w:val="24"/>
          <w:szCs w:val="24"/>
          <w:lang w:eastAsia="lv-LV"/>
        </w:rPr>
        <w:t>0</w:t>
      </w:r>
      <w:r w:rsidRPr="00A07F29">
        <w:rPr>
          <w:rFonts w:ascii="Times New Roman" w:eastAsia="Times New Roman" w:hAnsi="Times New Roman" w:cs="Times New Roman"/>
          <w:sz w:val="24"/>
          <w:szCs w:val="24"/>
          <w:lang w:eastAsia="lv-LV"/>
        </w:rPr>
        <w:t>.</w:t>
      </w:r>
      <w:r w:rsidR="009B2589">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Būvēt hidrotehniskas būves un ierīkot meliorācijas sistēmas atļauts ar Dabas aizsardzības pārvaldes rakstisku atļauju šādos gadījumos, izņemot esošo hidroteh</w:t>
      </w:r>
      <w:r w:rsidR="00EE45AE" w:rsidRPr="00A07F29">
        <w:rPr>
          <w:rFonts w:ascii="Times New Roman" w:eastAsia="Times New Roman" w:hAnsi="Times New Roman" w:cs="Times New Roman"/>
          <w:sz w:val="24"/>
          <w:szCs w:val="24"/>
          <w:lang w:eastAsia="lv-LV"/>
        </w:rPr>
        <w:t>n</w:t>
      </w:r>
      <w:r w:rsidRPr="00A07F29">
        <w:rPr>
          <w:rFonts w:ascii="Times New Roman" w:eastAsia="Times New Roman" w:hAnsi="Times New Roman" w:cs="Times New Roman"/>
          <w:sz w:val="24"/>
          <w:szCs w:val="24"/>
          <w:lang w:eastAsia="lv-LV"/>
        </w:rPr>
        <w:t>isko būvju uzturēšanu:</w:t>
      </w:r>
      <w:r w:rsidRPr="00A07F29">
        <w:rPr>
          <w:rFonts w:ascii="Calibri" w:eastAsia="Calibri" w:hAnsi="Calibri" w:cs="Times New Roman"/>
        </w:rPr>
        <w:t xml:space="preserve"> </w:t>
      </w:r>
    </w:p>
    <w:p w14:paraId="0CBB00B7" w14:textId="44B13588" w:rsidR="00B07340" w:rsidRPr="00A07F29" w:rsidRDefault="00B07340" w:rsidP="00B07340">
      <w:pPr>
        <w:spacing w:before="75" w:after="75"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3</w:t>
      </w:r>
      <w:r w:rsidR="00CD5384" w:rsidRPr="00A07F29">
        <w:rPr>
          <w:rFonts w:ascii="Times New Roman" w:eastAsia="Times New Roman" w:hAnsi="Times New Roman" w:cs="Times New Roman"/>
          <w:sz w:val="24"/>
          <w:szCs w:val="24"/>
          <w:lang w:eastAsia="lv-LV"/>
        </w:rPr>
        <w:t>0</w:t>
      </w:r>
      <w:r w:rsidRPr="00A07F29">
        <w:rPr>
          <w:rFonts w:ascii="Times New Roman" w:eastAsia="Times New Roman" w:hAnsi="Times New Roman" w:cs="Times New Roman"/>
          <w:sz w:val="24"/>
          <w:szCs w:val="24"/>
          <w:lang w:eastAsia="lv-LV"/>
        </w:rPr>
        <w:t>.1.</w:t>
      </w:r>
      <w:r w:rsidR="0067199C">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lai novērstu teritoriju applūšanu ārpus aizsargājamās teritorijas vai līdz šim neapplūdušu teritoriju applūšanu dabas parkā;</w:t>
      </w:r>
    </w:p>
    <w:p w14:paraId="7D173635" w14:textId="009D33F3" w:rsidR="00B07340" w:rsidRPr="00A07F29" w:rsidRDefault="00B07340" w:rsidP="00B07340">
      <w:pPr>
        <w:spacing w:before="75" w:after="75"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3</w:t>
      </w:r>
      <w:r w:rsidR="00CD5384" w:rsidRPr="00A07F29">
        <w:rPr>
          <w:rFonts w:ascii="Times New Roman" w:eastAsia="Times New Roman" w:hAnsi="Times New Roman" w:cs="Times New Roman"/>
          <w:sz w:val="24"/>
          <w:szCs w:val="24"/>
          <w:lang w:eastAsia="lv-LV"/>
        </w:rPr>
        <w:t>0</w:t>
      </w:r>
      <w:r w:rsidRPr="00A07F29">
        <w:rPr>
          <w:rFonts w:ascii="Times New Roman" w:eastAsia="Times New Roman" w:hAnsi="Times New Roman" w:cs="Times New Roman"/>
          <w:sz w:val="24"/>
          <w:szCs w:val="24"/>
          <w:lang w:eastAsia="lv-LV"/>
        </w:rPr>
        <w:t>.2.</w:t>
      </w:r>
      <w:r w:rsidR="00BA64BD">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lai atjaunotu upju dabisko tecējumu un ūdenstecēm un ūdenstilpēm piegulošo teritoriju hidroloģisko režīmu;</w:t>
      </w:r>
    </w:p>
    <w:p w14:paraId="7E878543" w14:textId="5A60F472" w:rsidR="00B07340" w:rsidRPr="00A07F29" w:rsidRDefault="00B07340" w:rsidP="00B07340">
      <w:pPr>
        <w:spacing w:before="75" w:after="75"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3</w:t>
      </w:r>
      <w:r w:rsidR="00CD5384" w:rsidRPr="00A07F29">
        <w:rPr>
          <w:rFonts w:ascii="Times New Roman" w:eastAsia="Times New Roman" w:hAnsi="Times New Roman" w:cs="Times New Roman"/>
          <w:sz w:val="24"/>
          <w:szCs w:val="24"/>
          <w:lang w:eastAsia="lv-LV"/>
        </w:rPr>
        <w:t>0</w:t>
      </w:r>
      <w:r w:rsidRPr="00A07F29">
        <w:rPr>
          <w:rFonts w:ascii="Times New Roman" w:eastAsia="Times New Roman" w:hAnsi="Times New Roman" w:cs="Times New Roman"/>
          <w:sz w:val="24"/>
          <w:szCs w:val="24"/>
          <w:lang w:eastAsia="lv-LV"/>
        </w:rPr>
        <w:t>.3.</w:t>
      </w:r>
      <w:r w:rsidR="00BA64BD">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lai nodrošinātu īpaši aizsargājamo biotopu apsaimniekošanas un atjaunošanas pasākumu veikšanu;</w:t>
      </w:r>
    </w:p>
    <w:p w14:paraId="30105ED7" w14:textId="7D258136" w:rsidR="00B07340" w:rsidRPr="00A07F29" w:rsidRDefault="00B07340" w:rsidP="00B07340">
      <w:pPr>
        <w:spacing w:before="75" w:after="75"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3</w:t>
      </w:r>
      <w:r w:rsidR="00CD5384" w:rsidRPr="00A07F29">
        <w:rPr>
          <w:rFonts w:ascii="Times New Roman" w:eastAsia="Times New Roman" w:hAnsi="Times New Roman" w:cs="Times New Roman"/>
          <w:sz w:val="24"/>
          <w:szCs w:val="24"/>
          <w:lang w:eastAsia="lv-LV"/>
        </w:rPr>
        <w:t>0</w:t>
      </w:r>
      <w:r w:rsidRPr="00A07F29">
        <w:rPr>
          <w:rFonts w:ascii="Times New Roman" w:eastAsia="Times New Roman" w:hAnsi="Times New Roman" w:cs="Times New Roman"/>
          <w:sz w:val="24"/>
          <w:szCs w:val="24"/>
          <w:lang w:eastAsia="lv-LV"/>
        </w:rPr>
        <w:t>.4.</w:t>
      </w:r>
      <w:r w:rsidR="00BA64BD">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lai atjaunotu zivju migrācijas ceļus;</w:t>
      </w:r>
    </w:p>
    <w:p w14:paraId="7F132F8D" w14:textId="43FD78E6" w:rsidR="00B07340" w:rsidRPr="00A07F29" w:rsidRDefault="00B07340" w:rsidP="00B07340">
      <w:pPr>
        <w:spacing w:before="75" w:after="75"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3</w:t>
      </w:r>
      <w:r w:rsidR="00CD5384" w:rsidRPr="00A07F29">
        <w:rPr>
          <w:rFonts w:ascii="Times New Roman" w:eastAsia="Times New Roman" w:hAnsi="Times New Roman" w:cs="Times New Roman"/>
          <w:sz w:val="24"/>
          <w:szCs w:val="24"/>
          <w:lang w:eastAsia="lv-LV"/>
        </w:rPr>
        <w:t>0</w:t>
      </w:r>
      <w:r w:rsidRPr="00A07F29">
        <w:rPr>
          <w:rFonts w:ascii="Times New Roman" w:eastAsia="Times New Roman" w:hAnsi="Times New Roman" w:cs="Times New Roman"/>
          <w:sz w:val="24"/>
          <w:szCs w:val="24"/>
          <w:lang w:eastAsia="lv-LV"/>
        </w:rPr>
        <w:t>.5.</w:t>
      </w:r>
      <w:r w:rsidR="00BA64BD">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lai īstenotu darbību, kura nav aizliegta ar šiem noteikumiem un nav pretrunā ar aizsargājamās teritorijas izveidošanas mērķiem.</w:t>
      </w:r>
    </w:p>
    <w:p w14:paraId="1E141F13" w14:textId="5002C11A" w:rsidR="00B07340" w:rsidRPr="00A07F29" w:rsidRDefault="00B07340" w:rsidP="00B07340">
      <w:pPr>
        <w:spacing w:before="75" w:after="75"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3</w:t>
      </w:r>
      <w:r w:rsidR="00CD5384" w:rsidRPr="00A07F29">
        <w:rPr>
          <w:rFonts w:ascii="Times New Roman" w:eastAsia="Times New Roman" w:hAnsi="Times New Roman" w:cs="Times New Roman"/>
          <w:sz w:val="24"/>
          <w:szCs w:val="24"/>
          <w:lang w:eastAsia="lv-LV"/>
        </w:rPr>
        <w:t>1</w:t>
      </w:r>
      <w:r w:rsidRPr="00A07F29">
        <w:rPr>
          <w:rFonts w:ascii="Times New Roman" w:eastAsia="Times New Roman" w:hAnsi="Times New Roman" w:cs="Times New Roman"/>
          <w:sz w:val="24"/>
          <w:szCs w:val="24"/>
          <w:lang w:eastAsia="lv-LV"/>
        </w:rPr>
        <w:t>.</w:t>
      </w:r>
      <w:r w:rsidR="006B2C89">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Zemes vienību sadalīšana atļauta tikai gadījumos, ja meža zemēs katras atsevišķās zemes vienības platība pēc sadalīšanas nav mazāka par 10 hektāriem, bet lauksaimniecībā izmantojamās zemēs un pārējās zemēs – mazāka par trim hektāriem. Šis nosacījums neattiecas uz zemes vienībām, kas tiek atdalītas infrastruktūras un inženierkomunikāciju būvniecībai vai uzturēšanai un kuru apbūves nosacījumus nosaka vietējās pašvaldības teritorijas plānojumā, kā arī uz gadījumiem, ja no īpašuma tiek atdalīta zemes vienība ar dzīvojamām un saimniecības ēkām, pagalmu un zemi, kas nepieciešama saimniecības uzturēšanai.</w:t>
      </w:r>
    </w:p>
    <w:p w14:paraId="04F8D048" w14:textId="24B9589E" w:rsidR="00B07340" w:rsidRPr="00A07F29" w:rsidRDefault="00B07340" w:rsidP="00B07340">
      <w:pPr>
        <w:spacing w:before="75" w:after="75"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3</w:t>
      </w:r>
      <w:r w:rsidR="00CD5384" w:rsidRPr="00A07F29">
        <w:rPr>
          <w:rFonts w:ascii="Times New Roman" w:eastAsia="Times New Roman" w:hAnsi="Times New Roman" w:cs="Times New Roman"/>
          <w:sz w:val="24"/>
          <w:szCs w:val="24"/>
          <w:lang w:eastAsia="lv-LV"/>
        </w:rPr>
        <w:t>2</w:t>
      </w:r>
      <w:r w:rsidRPr="00A07F29">
        <w:rPr>
          <w:rFonts w:ascii="Times New Roman" w:eastAsia="Times New Roman" w:hAnsi="Times New Roman" w:cs="Times New Roman"/>
          <w:sz w:val="24"/>
          <w:szCs w:val="24"/>
          <w:lang w:eastAsia="lv-LV"/>
        </w:rPr>
        <w:t>.</w:t>
      </w:r>
      <w:r w:rsidR="00AD2051">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Meža zemēs aizliegts:</w:t>
      </w:r>
    </w:p>
    <w:p w14:paraId="585B0C5B" w14:textId="01F8A9AA" w:rsidR="00B07340" w:rsidRPr="00A07F29" w:rsidRDefault="0E6B778D" w:rsidP="00B07340">
      <w:pPr>
        <w:spacing w:before="75" w:after="75"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3</w:t>
      </w:r>
      <w:r w:rsidR="00CD5384" w:rsidRPr="00A07F29">
        <w:rPr>
          <w:rFonts w:ascii="Times New Roman" w:eastAsia="Times New Roman" w:hAnsi="Times New Roman" w:cs="Times New Roman"/>
          <w:sz w:val="24"/>
          <w:szCs w:val="24"/>
          <w:lang w:eastAsia="lv-LV"/>
        </w:rPr>
        <w:t>2</w:t>
      </w:r>
      <w:r w:rsidRPr="00A07F29">
        <w:rPr>
          <w:rFonts w:ascii="Times New Roman" w:eastAsia="Times New Roman" w:hAnsi="Times New Roman" w:cs="Times New Roman"/>
          <w:sz w:val="24"/>
          <w:szCs w:val="24"/>
          <w:lang w:eastAsia="lv-LV"/>
        </w:rPr>
        <w:t>.1.</w:t>
      </w:r>
      <w:r w:rsidR="00AD2051">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veikt mežsaimniecisko darbību no 1.</w:t>
      </w:r>
      <w:r w:rsidR="00AD2051">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marta līdz 31.</w:t>
      </w:r>
      <w:r w:rsidR="00AD2051">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jūlijam, izņemot:</w:t>
      </w:r>
    </w:p>
    <w:p w14:paraId="37F5F3B9" w14:textId="57E67907" w:rsidR="00B07340" w:rsidRPr="00A07F29" w:rsidRDefault="00B07340" w:rsidP="00B07340">
      <w:pPr>
        <w:spacing w:before="75" w:after="75"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3</w:t>
      </w:r>
      <w:r w:rsidR="00CD5384" w:rsidRPr="00A07F29">
        <w:rPr>
          <w:rFonts w:ascii="Times New Roman" w:eastAsia="Times New Roman" w:hAnsi="Times New Roman" w:cs="Times New Roman"/>
          <w:sz w:val="24"/>
          <w:szCs w:val="24"/>
          <w:lang w:eastAsia="lv-LV"/>
        </w:rPr>
        <w:t>2</w:t>
      </w:r>
      <w:r w:rsidRPr="00A07F29">
        <w:rPr>
          <w:rFonts w:ascii="Times New Roman" w:eastAsia="Times New Roman" w:hAnsi="Times New Roman" w:cs="Times New Roman"/>
          <w:sz w:val="24"/>
          <w:szCs w:val="24"/>
          <w:lang w:eastAsia="lv-LV"/>
        </w:rPr>
        <w:t>.1.1.</w:t>
      </w:r>
      <w:r w:rsidR="00AD2051">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meža ugunsdrošības un ugunsdzēsības pasākumus;</w:t>
      </w:r>
    </w:p>
    <w:p w14:paraId="7193D2ED" w14:textId="706DFD97" w:rsidR="00B07340" w:rsidRPr="00A07F29" w:rsidRDefault="00B07340" w:rsidP="00B07340">
      <w:pPr>
        <w:spacing w:before="75" w:after="75"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3</w:t>
      </w:r>
      <w:r w:rsidR="00CD5384" w:rsidRPr="00A07F29">
        <w:rPr>
          <w:rFonts w:ascii="Times New Roman" w:eastAsia="Times New Roman" w:hAnsi="Times New Roman" w:cs="Times New Roman"/>
          <w:sz w:val="24"/>
          <w:szCs w:val="24"/>
          <w:lang w:eastAsia="lv-LV"/>
        </w:rPr>
        <w:t>2</w:t>
      </w:r>
      <w:r w:rsidRPr="00A07F29">
        <w:rPr>
          <w:rFonts w:ascii="Times New Roman" w:eastAsia="Times New Roman" w:hAnsi="Times New Roman" w:cs="Times New Roman"/>
          <w:sz w:val="24"/>
          <w:szCs w:val="24"/>
          <w:lang w:eastAsia="lv-LV"/>
        </w:rPr>
        <w:t>.1.2.</w:t>
      </w:r>
      <w:r w:rsidR="00AD2051">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bīstamo koku ciršanu un novākšanu;</w:t>
      </w:r>
    </w:p>
    <w:p w14:paraId="4F0FBC51" w14:textId="7E58CFC7" w:rsidR="00B07340" w:rsidRPr="00A07F29" w:rsidRDefault="00B07340" w:rsidP="00B07340">
      <w:pPr>
        <w:spacing w:before="75" w:after="75"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3</w:t>
      </w:r>
      <w:r w:rsidR="00CD5384" w:rsidRPr="00A07F29">
        <w:rPr>
          <w:rFonts w:ascii="Times New Roman" w:eastAsia="Times New Roman" w:hAnsi="Times New Roman" w:cs="Times New Roman"/>
          <w:sz w:val="24"/>
          <w:szCs w:val="24"/>
          <w:lang w:eastAsia="lv-LV"/>
        </w:rPr>
        <w:t>2</w:t>
      </w:r>
      <w:r w:rsidRPr="00A07F29">
        <w:rPr>
          <w:rFonts w:ascii="Times New Roman" w:eastAsia="Times New Roman" w:hAnsi="Times New Roman" w:cs="Times New Roman"/>
          <w:sz w:val="24"/>
          <w:szCs w:val="24"/>
          <w:lang w:eastAsia="lv-LV"/>
        </w:rPr>
        <w:t>.1.3.</w:t>
      </w:r>
      <w:r w:rsidR="00AD2051">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meža atjaunošanu ar rokas darbarīkiem bez motora;</w:t>
      </w:r>
    </w:p>
    <w:p w14:paraId="29B850C2" w14:textId="073FEF4E" w:rsidR="00B07340" w:rsidRPr="00A07F29" w:rsidRDefault="00B07340" w:rsidP="00B07340">
      <w:pPr>
        <w:spacing w:before="75" w:after="75"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lastRenderedPageBreak/>
        <w:t>3</w:t>
      </w:r>
      <w:r w:rsidR="00CD5384" w:rsidRPr="00A07F29">
        <w:rPr>
          <w:rFonts w:ascii="Times New Roman" w:eastAsia="Times New Roman" w:hAnsi="Times New Roman" w:cs="Times New Roman"/>
          <w:sz w:val="24"/>
          <w:szCs w:val="24"/>
          <w:lang w:eastAsia="lv-LV"/>
        </w:rPr>
        <w:t>2</w:t>
      </w:r>
      <w:r w:rsidRPr="00A07F29">
        <w:rPr>
          <w:rFonts w:ascii="Times New Roman" w:eastAsia="Times New Roman" w:hAnsi="Times New Roman" w:cs="Times New Roman"/>
          <w:sz w:val="24"/>
          <w:szCs w:val="24"/>
          <w:lang w:eastAsia="lv-LV"/>
        </w:rPr>
        <w:t>.1.4.</w:t>
      </w:r>
      <w:r w:rsidR="00AD2051">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jaunaudžu kopšanu, kur vidējais augstums skuju kokiem ir līdz 0,7 metriem, bet lapu kokiem – līdz vienam metram;</w:t>
      </w:r>
    </w:p>
    <w:p w14:paraId="1EFEFA72" w14:textId="572B25EC" w:rsidR="00B07340" w:rsidRPr="00A07F29" w:rsidRDefault="00B07340" w:rsidP="00B07340">
      <w:pPr>
        <w:spacing w:before="75" w:after="75"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3</w:t>
      </w:r>
      <w:r w:rsidR="00CD5384" w:rsidRPr="00A07F29">
        <w:rPr>
          <w:rFonts w:ascii="Times New Roman" w:eastAsia="Times New Roman" w:hAnsi="Times New Roman" w:cs="Times New Roman"/>
          <w:sz w:val="24"/>
          <w:szCs w:val="24"/>
          <w:lang w:eastAsia="lv-LV"/>
        </w:rPr>
        <w:t>2</w:t>
      </w:r>
      <w:r w:rsidRPr="00A07F29">
        <w:rPr>
          <w:rFonts w:ascii="Times New Roman" w:eastAsia="Times New Roman" w:hAnsi="Times New Roman" w:cs="Times New Roman"/>
          <w:sz w:val="24"/>
          <w:szCs w:val="24"/>
          <w:lang w:eastAsia="lv-LV"/>
        </w:rPr>
        <w:t>.1.5.</w:t>
      </w:r>
      <w:r w:rsidR="00FA2191">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kokmateriālu izvešanu atbilstošas ceļu nestspējas apstākļos, ja tas negatīvi neietekmē putnu ligzdošanu un ir saņemta Dabas aizsardzības pārvaldes rakstiska atļauja. Ar ikreizēju Dabas aizsardzības pārvaldes rakstisku atļauju var veikt kokmateriālu izvešanu arī dabas stihiju un nelabvēlīgu klimatisko apstākļu gadījumā. Dabas aizsardzības pārvalde atļauju izsniedz 10 darbdienu laikā;</w:t>
      </w:r>
    </w:p>
    <w:p w14:paraId="36DAA455" w14:textId="5643D719" w:rsidR="00B07340" w:rsidRPr="00A07F29" w:rsidRDefault="00B07340" w:rsidP="00B07340">
      <w:pPr>
        <w:spacing w:before="75" w:after="75"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3</w:t>
      </w:r>
      <w:r w:rsidR="00CD5384" w:rsidRPr="00A07F29">
        <w:rPr>
          <w:rFonts w:ascii="Times New Roman" w:eastAsia="Times New Roman" w:hAnsi="Times New Roman" w:cs="Times New Roman"/>
          <w:sz w:val="24"/>
          <w:szCs w:val="24"/>
          <w:lang w:eastAsia="lv-LV"/>
        </w:rPr>
        <w:t>2</w:t>
      </w:r>
      <w:r w:rsidRPr="00A07F29">
        <w:rPr>
          <w:rFonts w:ascii="Times New Roman" w:eastAsia="Times New Roman" w:hAnsi="Times New Roman" w:cs="Times New Roman"/>
          <w:sz w:val="24"/>
          <w:szCs w:val="24"/>
          <w:lang w:eastAsia="lv-LV"/>
        </w:rPr>
        <w:t>.2.</w:t>
      </w:r>
      <w:r w:rsidR="001262C8">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 xml:space="preserve">cirst kokus kailcirtē un </w:t>
      </w:r>
      <w:proofErr w:type="spellStart"/>
      <w:r w:rsidRPr="00A07F29">
        <w:rPr>
          <w:rFonts w:ascii="Times New Roman" w:eastAsia="Times New Roman" w:hAnsi="Times New Roman" w:cs="Times New Roman"/>
          <w:sz w:val="24"/>
          <w:szCs w:val="24"/>
          <w:lang w:eastAsia="lv-LV"/>
        </w:rPr>
        <w:t>rekonstruktīvajā</w:t>
      </w:r>
      <w:proofErr w:type="spellEnd"/>
      <w:r w:rsidRPr="00A07F29">
        <w:rPr>
          <w:rFonts w:ascii="Times New Roman" w:eastAsia="Times New Roman" w:hAnsi="Times New Roman" w:cs="Times New Roman"/>
          <w:sz w:val="24"/>
          <w:szCs w:val="24"/>
          <w:lang w:eastAsia="lv-LV"/>
        </w:rPr>
        <w:t xml:space="preserve"> cirtē,</w:t>
      </w:r>
      <w:r w:rsidRPr="00A07F29">
        <w:rPr>
          <w:rFonts w:ascii="Calibri" w:eastAsia="Calibri" w:hAnsi="Calibri" w:cs="Times New Roman"/>
        </w:rPr>
        <w:t xml:space="preserve"> </w:t>
      </w:r>
      <w:r w:rsidRPr="00A07F29">
        <w:rPr>
          <w:rFonts w:ascii="Times New Roman" w:eastAsia="Times New Roman" w:hAnsi="Times New Roman" w:cs="Times New Roman"/>
          <w:sz w:val="24"/>
          <w:szCs w:val="24"/>
          <w:lang w:eastAsia="lv-LV"/>
        </w:rPr>
        <w:t>izņemot mežaudzes ar vismaz 80</w:t>
      </w:r>
      <w:r w:rsidR="001262C8">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 xml:space="preserve">% parastās priedes </w:t>
      </w:r>
      <w:r w:rsidR="00290B1B">
        <w:rPr>
          <w:rFonts w:ascii="Times New Roman" w:eastAsia="Times New Roman" w:hAnsi="Times New Roman" w:cs="Times New Roman"/>
          <w:sz w:val="24"/>
          <w:szCs w:val="24"/>
          <w:lang w:eastAsia="lv-LV"/>
        </w:rPr>
        <w:t>mežaudzē</w:t>
      </w:r>
      <w:r w:rsidRPr="00A07F29">
        <w:rPr>
          <w:rFonts w:ascii="Times New Roman" w:eastAsia="Times New Roman" w:hAnsi="Times New Roman" w:cs="Times New Roman"/>
          <w:sz w:val="24"/>
          <w:szCs w:val="24"/>
          <w:lang w:eastAsia="lv-LV"/>
        </w:rPr>
        <w:t xml:space="preserve">, kurās kailcirti veic, ievērojot šādus nosacījumus: </w:t>
      </w:r>
    </w:p>
    <w:p w14:paraId="7CDF1E34" w14:textId="6BDA3CA5" w:rsidR="00B07340" w:rsidRPr="00A07F29" w:rsidRDefault="00B07340" w:rsidP="00B07340">
      <w:pPr>
        <w:spacing w:before="75" w:after="75" w:line="240" w:lineRule="auto"/>
        <w:jc w:val="both"/>
        <w:rPr>
          <w:rFonts w:ascii="Times New Roman" w:eastAsia="Times New Roman" w:hAnsi="Times New Roman" w:cs="Times New Roman"/>
          <w:color w:val="FF0000"/>
          <w:sz w:val="24"/>
          <w:szCs w:val="24"/>
          <w:lang w:eastAsia="lv-LV"/>
        </w:rPr>
      </w:pPr>
      <w:r w:rsidRPr="00A07F29">
        <w:rPr>
          <w:rFonts w:ascii="Times New Roman" w:eastAsia="Times New Roman" w:hAnsi="Times New Roman" w:cs="Times New Roman"/>
          <w:sz w:val="24"/>
          <w:szCs w:val="24"/>
          <w:lang w:eastAsia="lv-LV"/>
        </w:rPr>
        <w:t>3</w:t>
      </w:r>
      <w:r w:rsidR="00CD5384" w:rsidRPr="00A07F29">
        <w:rPr>
          <w:rFonts w:ascii="Times New Roman" w:eastAsia="Times New Roman" w:hAnsi="Times New Roman" w:cs="Times New Roman"/>
          <w:sz w:val="24"/>
          <w:szCs w:val="24"/>
          <w:lang w:eastAsia="lv-LV"/>
        </w:rPr>
        <w:t>2</w:t>
      </w:r>
      <w:r w:rsidRPr="00A07F29">
        <w:rPr>
          <w:rFonts w:ascii="Times New Roman" w:eastAsia="Times New Roman" w:hAnsi="Times New Roman" w:cs="Times New Roman"/>
          <w:sz w:val="24"/>
          <w:szCs w:val="24"/>
          <w:lang w:eastAsia="lv-LV"/>
        </w:rPr>
        <w:t>.2.1</w:t>
      </w:r>
      <w:r w:rsidR="00D204AD">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kailcirtes maksimālā platība ir 0,5</w:t>
      </w:r>
      <w:r w:rsidR="006A071E">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 xml:space="preserve">ha; </w:t>
      </w:r>
    </w:p>
    <w:p w14:paraId="16969C1E" w14:textId="1D2E430F" w:rsidR="00B07340" w:rsidRPr="00A07F29" w:rsidRDefault="0E6B778D" w:rsidP="0E6B778D">
      <w:pPr>
        <w:spacing w:before="75" w:after="75" w:line="240" w:lineRule="auto"/>
        <w:jc w:val="both"/>
        <w:rPr>
          <w:rFonts w:ascii="Times New Roman" w:eastAsia="Times New Roman" w:hAnsi="Times New Roman" w:cs="Times New Roman"/>
          <w:color w:val="000000" w:themeColor="text1"/>
          <w:sz w:val="24"/>
          <w:szCs w:val="24"/>
        </w:rPr>
      </w:pPr>
      <w:r w:rsidRPr="00A07F29">
        <w:rPr>
          <w:rFonts w:ascii="Times New Roman" w:eastAsia="Times New Roman" w:hAnsi="Times New Roman" w:cs="Times New Roman"/>
          <w:sz w:val="24"/>
          <w:szCs w:val="24"/>
          <w:lang w:eastAsia="lv-LV"/>
        </w:rPr>
        <w:t>3</w:t>
      </w:r>
      <w:r w:rsidR="00CD5384" w:rsidRPr="00A07F29">
        <w:rPr>
          <w:rFonts w:ascii="Times New Roman" w:eastAsia="Times New Roman" w:hAnsi="Times New Roman" w:cs="Times New Roman"/>
          <w:sz w:val="24"/>
          <w:szCs w:val="24"/>
          <w:lang w:eastAsia="lv-LV"/>
        </w:rPr>
        <w:t>2</w:t>
      </w:r>
      <w:r w:rsidRPr="00A07F29">
        <w:rPr>
          <w:rFonts w:ascii="Times New Roman" w:eastAsia="Times New Roman" w:hAnsi="Times New Roman" w:cs="Times New Roman"/>
          <w:sz w:val="24"/>
          <w:szCs w:val="24"/>
          <w:lang w:eastAsia="lv-LV"/>
        </w:rPr>
        <w:t>.2.2.</w:t>
      </w:r>
      <w:r w:rsidR="006A071E">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 xml:space="preserve">kailcirtes cirsmas izvieto tā, lai plānotajai kailcirtes cirsmai piegulošajās mežaudzēs pēc kailcirtes būtu pagājuši vismaz 10 gadi; </w:t>
      </w:r>
      <w:r w:rsidRPr="00A07F29">
        <w:rPr>
          <w:rFonts w:ascii="Times New Roman" w:eastAsia="Times New Roman" w:hAnsi="Times New Roman" w:cs="Times New Roman"/>
          <w:color w:val="000000" w:themeColor="text1"/>
          <w:sz w:val="24"/>
          <w:szCs w:val="24"/>
        </w:rPr>
        <w:t>par plānotajai kailcirtei piegulošām mežaudzēm uzskatāmas mežaudzes, kas ar plānoto kailcirtes cirsmu saskaras vismaz vienā punktā;</w:t>
      </w:r>
    </w:p>
    <w:p w14:paraId="196786EF" w14:textId="60E3EE08" w:rsidR="009576F6" w:rsidRPr="00A07F29" w:rsidRDefault="0E6B778D" w:rsidP="0E6B778D">
      <w:pPr>
        <w:spacing w:before="75" w:after="75"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3</w:t>
      </w:r>
      <w:r w:rsidR="00CD5384" w:rsidRPr="00A07F29">
        <w:rPr>
          <w:rFonts w:ascii="Times New Roman" w:eastAsia="Times New Roman" w:hAnsi="Times New Roman" w:cs="Times New Roman"/>
          <w:sz w:val="24"/>
          <w:szCs w:val="24"/>
          <w:lang w:eastAsia="lv-LV"/>
        </w:rPr>
        <w:t>2</w:t>
      </w:r>
      <w:r w:rsidRPr="00A07F29">
        <w:rPr>
          <w:rFonts w:ascii="Times New Roman" w:eastAsia="Times New Roman" w:hAnsi="Times New Roman" w:cs="Times New Roman"/>
          <w:sz w:val="24"/>
          <w:szCs w:val="24"/>
          <w:lang w:eastAsia="lv-LV"/>
        </w:rPr>
        <w:t>.2.3.</w:t>
      </w:r>
      <w:r w:rsidR="00DB47DD">
        <w:rPr>
          <w:rFonts w:ascii="Times New Roman" w:eastAsia="Times New Roman" w:hAnsi="Times New Roman" w:cs="Times New Roman"/>
          <w:sz w:val="24"/>
          <w:szCs w:val="24"/>
          <w:lang w:eastAsia="lv-LV"/>
        </w:rPr>
        <w:t> </w:t>
      </w:r>
      <w:proofErr w:type="spellStart"/>
      <w:r w:rsidRPr="00A07F29">
        <w:rPr>
          <w:rFonts w:ascii="Times New Roman" w:eastAsia="Times New Roman" w:hAnsi="Times New Roman" w:cs="Times New Roman"/>
          <w:sz w:val="24"/>
          <w:szCs w:val="24"/>
          <w:lang w:eastAsia="lv-LV"/>
        </w:rPr>
        <w:t>Varnaviču</w:t>
      </w:r>
      <w:proofErr w:type="spellEnd"/>
      <w:r w:rsidRPr="00A07F29">
        <w:rPr>
          <w:rFonts w:ascii="Times New Roman" w:eastAsia="Times New Roman" w:hAnsi="Times New Roman" w:cs="Times New Roman"/>
          <w:sz w:val="24"/>
          <w:szCs w:val="24"/>
          <w:lang w:eastAsia="lv-LV"/>
        </w:rPr>
        <w:t xml:space="preserve"> ezera, </w:t>
      </w:r>
      <w:proofErr w:type="spellStart"/>
      <w:r w:rsidRPr="00A07F29">
        <w:rPr>
          <w:rFonts w:ascii="Times New Roman" w:eastAsia="Times New Roman" w:hAnsi="Times New Roman" w:cs="Times New Roman"/>
          <w:sz w:val="24"/>
          <w:szCs w:val="24"/>
          <w:lang w:eastAsia="lv-LV"/>
        </w:rPr>
        <w:t>Šilovkas</w:t>
      </w:r>
      <w:proofErr w:type="spellEnd"/>
      <w:r w:rsidRPr="00A07F29">
        <w:rPr>
          <w:rFonts w:ascii="Times New Roman" w:eastAsia="Times New Roman" w:hAnsi="Times New Roman" w:cs="Times New Roman"/>
          <w:sz w:val="24"/>
          <w:szCs w:val="24"/>
          <w:lang w:eastAsia="lv-LV"/>
        </w:rPr>
        <w:t xml:space="preserve"> ezera un </w:t>
      </w:r>
      <w:proofErr w:type="spellStart"/>
      <w:r w:rsidRPr="00A07F29">
        <w:rPr>
          <w:rFonts w:ascii="Times New Roman" w:eastAsia="Times New Roman" w:hAnsi="Times New Roman" w:cs="Times New Roman"/>
          <w:sz w:val="24"/>
          <w:szCs w:val="24"/>
          <w:lang w:eastAsia="lv-LV"/>
        </w:rPr>
        <w:t>Balticas</w:t>
      </w:r>
      <w:proofErr w:type="spellEnd"/>
      <w:r w:rsidRPr="00A07F29">
        <w:rPr>
          <w:rFonts w:ascii="Times New Roman" w:eastAsia="Times New Roman" w:hAnsi="Times New Roman" w:cs="Times New Roman"/>
          <w:sz w:val="24"/>
          <w:szCs w:val="24"/>
          <w:lang w:eastAsia="lv-LV"/>
        </w:rPr>
        <w:t xml:space="preserve"> ezera </w:t>
      </w:r>
      <w:proofErr w:type="spellStart"/>
      <w:r w:rsidRPr="00A07F29">
        <w:rPr>
          <w:rFonts w:ascii="Times New Roman" w:eastAsia="Times New Roman" w:hAnsi="Times New Roman" w:cs="Times New Roman"/>
          <w:sz w:val="24"/>
          <w:szCs w:val="24"/>
          <w:lang w:eastAsia="lv-LV"/>
        </w:rPr>
        <w:t>pamatbaseinos</w:t>
      </w:r>
      <w:proofErr w:type="spellEnd"/>
      <w:r w:rsidRPr="00A07F29">
        <w:rPr>
          <w:rFonts w:ascii="Times New Roman" w:eastAsia="Times New Roman" w:hAnsi="Times New Roman" w:cs="Times New Roman"/>
          <w:sz w:val="24"/>
          <w:szCs w:val="24"/>
          <w:lang w:eastAsia="lv-LV"/>
        </w:rPr>
        <w:t>, kuri norādīti šo noteikumu 1.</w:t>
      </w:r>
      <w:r w:rsidR="00DB47DD">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pielikumā (skat. DA plāna 6.</w:t>
      </w:r>
      <w:r w:rsidR="00DB47DD">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pielikumu),</w:t>
      </w:r>
      <w:r w:rsidR="00D65BBA" w:rsidRPr="00A07F29">
        <w:rPr>
          <w:rFonts w:ascii="Times New Roman" w:eastAsia="Times New Roman" w:hAnsi="Times New Roman" w:cs="Times New Roman"/>
          <w:sz w:val="24"/>
          <w:szCs w:val="24"/>
          <w:lang w:eastAsia="lv-LV"/>
        </w:rPr>
        <w:t xml:space="preserve"> </w:t>
      </w:r>
      <w:r w:rsidRPr="00A07F29">
        <w:rPr>
          <w:rFonts w:ascii="Times New Roman" w:eastAsia="Times New Roman" w:hAnsi="Times New Roman" w:cs="Times New Roman"/>
          <w:sz w:val="24"/>
          <w:szCs w:val="24"/>
          <w:lang w:eastAsia="lv-LV"/>
        </w:rPr>
        <w:t>aizliegts cirst kokus kailcirtē,</w:t>
      </w:r>
      <w:r w:rsidR="00D65BBA" w:rsidRPr="00A07F29">
        <w:rPr>
          <w:rFonts w:ascii="Times New Roman" w:eastAsia="Times New Roman" w:hAnsi="Times New Roman" w:cs="Times New Roman"/>
          <w:sz w:val="24"/>
          <w:szCs w:val="24"/>
          <w:lang w:eastAsia="lv-LV"/>
        </w:rPr>
        <w:t xml:space="preserve"> </w:t>
      </w:r>
      <w:r w:rsidRPr="00A07F29">
        <w:rPr>
          <w:rFonts w:ascii="Times New Roman" w:eastAsia="Times New Roman" w:hAnsi="Times New Roman" w:cs="Times New Roman"/>
          <w:sz w:val="24"/>
          <w:szCs w:val="24"/>
          <w:lang w:eastAsia="lv-LV"/>
        </w:rPr>
        <w:t xml:space="preserve">lai novērstu </w:t>
      </w:r>
      <w:proofErr w:type="spellStart"/>
      <w:r w:rsidRPr="00A07F29">
        <w:rPr>
          <w:rFonts w:ascii="Times New Roman" w:eastAsia="Times New Roman" w:hAnsi="Times New Roman" w:cs="Times New Roman"/>
          <w:sz w:val="24"/>
          <w:szCs w:val="24"/>
          <w:lang w:eastAsia="lv-LV"/>
        </w:rPr>
        <w:t>biogēnu</w:t>
      </w:r>
      <w:proofErr w:type="spellEnd"/>
      <w:r w:rsidRPr="00A07F29">
        <w:rPr>
          <w:rFonts w:ascii="Times New Roman" w:eastAsia="Times New Roman" w:hAnsi="Times New Roman" w:cs="Times New Roman"/>
          <w:sz w:val="24"/>
          <w:szCs w:val="24"/>
          <w:lang w:eastAsia="lv-LV"/>
        </w:rPr>
        <w:t xml:space="preserve"> ieplūdi ezeros</w:t>
      </w:r>
      <w:r w:rsidR="00BB1056">
        <w:rPr>
          <w:rFonts w:ascii="Times New Roman" w:eastAsia="Times New Roman" w:hAnsi="Times New Roman" w:cs="Times New Roman"/>
          <w:sz w:val="24"/>
          <w:szCs w:val="24"/>
          <w:lang w:eastAsia="lv-LV"/>
        </w:rPr>
        <w:t>;</w:t>
      </w:r>
    </w:p>
    <w:p w14:paraId="2AEFDBAE" w14:textId="46CA1493" w:rsidR="00B07340" w:rsidRPr="00A07F29" w:rsidRDefault="00B07340" w:rsidP="00B07340">
      <w:pPr>
        <w:spacing w:before="75" w:after="75"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3</w:t>
      </w:r>
      <w:r w:rsidR="00CD5384" w:rsidRPr="00A07F29">
        <w:rPr>
          <w:rFonts w:ascii="Times New Roman" w:eastAsia="Times New Roman" w:hAnsi="Times New Roman" w:cs="Times New Roman"/>
          <w:sz w:val="24"/>
          <w:szCs w:val="24"/>
          <w:lang w:eastAsia="lv-LV"/>
        </w:rPr>
        <w:t>2</w:t>
      </w:r>
      <w:r w:rsidRPr="00A07F29">
        <w:rPr>
          <w:rFonts w:ascii="Times New Roman" w:eastAsia="Times New Roman" w:hAnsi="Times New Roman" w:cs="Times New Roman"/>
          <w:sz w:val="24"/>
          <w:szCs w:val="24"/>
          <w:lang w:eastAsia="lv-LV"/>
        </w:rPr>
        <w:t>.3.</w:t>
      </w:r>
      <w:r w:rsidR="00BB1056">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veicot koku ciršanu galvenajā cirtē</w:t>
      </w:r>
      <w:r w:rsidRPr="00A07F29">
        <w:rPr>
          <w:rFonts w:ascii="Calibri" w:eastAsia="Calibri" w:hAnsi="Calibri" w:cs="Times New Roman"/>
        </w:rPr>
        <w:t>, i</w:t>
      </w:r>
      <w:r w:rsidRPr="00A07F29">
        <w:rPr>
          <w:rFonts w:ascii="Times New Roman" w:eastAsia="Times New Roman" w:hAnsi="Times New Roman" w:cs="Times New Roman"/>
          <w:sz w:val="24"/>
          <w:szCs w:val="24"/>
          <w:lang w:eastAsia="lv-LV"/>
        </w:rPr>
        <w:t>zņemot 3</w:t>
      </w:r>
      <w:r w:rsidR="0008428C">
        <w:rPr>
          <w:rFonts w:ascii="Times New Roman" w:eastAsia="Times New Roman" w:hAnsi="Times New Roman" w:cs="Times New Roman"/>
          <w:sz w:val="24"/>
          <w:szCs w:val="24"/>
          <w:lang w:eastAsia="lv-LV"/>
        </w:rPr>
        <w:t>2</w:t>
      </w:r>
      <w:r w:rsidRPr="00A07F29">
        <w:rPr>
          <w:rFonts w:ascii="Times New Roman" w:eastAsia="Times New Roman" w:hAnsi="Times New Roman" w:cs="Times New Roman"/>
          <w:sz w:val="24"/>
          <w:szCs w:val="24"/>
          <w:lang w:eastAsia="lv-LV"/>
        </w:rPr>
        <w:t>.2.1.</w:t>
      </w:r>
      <w:r w:rsidR="00271B47">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punktā minēto gadījumu:</w:t>
      </w:r>
    </w:p>
    <w:p w14:paraId="4ECB5F34" w14:textId="10DC03C0" w:rsidR="00B07340" w:rsidRPr="00A07F29" w:rsidRDefault="00B07340" w:rsidP="00B07340">
      <w:pPr>
        <w:spacing w:before="75" w:after="75" w:line="240" w:lineRule="auto"/>
        <w:jc w:val="both"/>
        <w:rPr>
          <w:rFonts w:ascii="Times New Roman" w:eastAsia="Times New Roman" w:hAnsi="Times New Roman" w:cs="Times New Roman"/>
          <w:color w:val="000000"/>
          <w:sz w:val="24"/>
          <w:szCs w:val="24"/>
          <w:lang w:eastAsia="lv-LV"/>
        </w:rPr>
      </w:pPr>
      <w:r w:rsidRPr="00A07F29">
        <w:rPr>
          <w:rFonts w:ascii="Times New Roman" w:eastAsia="Times New Roman" w:hAnsi="Times New Roman" w:cs="Times New Roman"/>
          <w:color w:val="000000"/>
          <w:sz w:val="24"/>
          <w:szCs w:val="24"/>
          <w:lang w:eastAsia="lv-LV"/>
        </w:rPr>
        <w:t>3</w:t>
      </w:r>
      <w:r w:rsidR="00CD5384" w:rsidRPr="00A07F29">
        <w:rPr>
          <w:rFonts w:ascii="Times New Roman" w:eastAsia="Times New Roman" w:hAnsi="Times New Roman" w:cs="Times New Roman"/>
          <w:color w:val="000000"/>
          <w:sz w:val="24"/>
          <w:szCs w:val="24"/>
          <w:lang w:eastAsia="lv-LV"/>
        </w:rPr>
        <w:t>2</w:t>
      </w:r>
      <w:r w:rsidRPr="00A07F29">
        <w:rPr>
          <w:rFonts w:ascii="Times New Roman" w:eastAsia="Times New Roman" w:hAnsi="Times New Roman" w:cs="Times New Roman"/>
          <w:color w:val="000000"/>
          <w:sz w:val="24"/>
          <w:szCs w:val="24"/>
          <w:lang w:eastAsia="lv-LV"/>
        </w:rPr>
        <w:t>.3.1.</w:t>
      </w:r>
      <w:r w:rsidR="00271B47">
        <w:rPr>
          <w:rFonts w:ascii="Times New Roman" w:eastAsia="Times New Roman" w:hAnsi="Times New Roman" w:cs="Times New Roman"/>
          <w:color w:val="000000"/>
          <w:sz w:val="24"/>
          <w:szCs w:val="24"/>
          <w:lang w:eastAsia="lv-LV"/>
        </w:rPr>
        <w:t> </w:t>
      </w:r>
      <w:r w:rsidRPr="00A07F29">
        <w:rPr>
          <w:rFonts w:ascii="Times New Roman" w:eastAsia="Times New Roman" w:hAnsi="Times New Roman" w:cs="Times New Roman"/>
          <w:color w:val="000000"/>
          <w:sz w:val="24"/>
          <w:szCs w:val="24"/>
          <w:lang w:eastAsia="lv-LV"/>
        </w:rPr>
        <w:t xml:space="preserve">samazināt mežaudzes </w:t>
      </w:r>
      <w:proofErr w:type="spellStart"/>
      <w:r w:rsidRPr="00A07F29">
        <w:rPr>
          <w:rFonts w:ascii="Times New Roman" w:eastAsia="Times New Roman" w:hAnsi="Times New Roman" w:cs="Times New Roman"/>
          <w:color w:val="000000"/>
          <w:sz w:val="24"/>
          <w:szCs w:val="24"/>
          <w:lang w:eastAsia="lv-LV"/>
        </w:rPr>
        <w:t>šķērslaukumu</w:t>
      </w:r>
      <w:proofErr w:type="spellEnd"/>
      <w:r w:rsidRPr="00A07F29">
        <w:rPr>
          <w:rFonts w:ascii="Times New Roman" w:eastAsia="Times New Roman" w:hAnsi="Times New Roman" w:cs="Times New Roman"/>
          <w:color w:val="000000"/>
          <w:sz w:val="24"/>
          <w:szCs w:val="24"/>
          <w:lang w:eastAsia="lv-LV"/>
        </w:rPr>
        <w:t xml:space="preserve"> zem kritiskā </w:t>
      </w:r>
      <w:proofErr w:type="spellStart"/>
      <w:r w:rsidRPr="00A07F29">
        <w:rPr>
          <w:rFonts w:ascii="Times New Roman" w:eastAsia="Times New Roman" w:hAnsi="Times New Roman" w:cs="Times New Roman"/>
          <w:color w:val="000000"/>
          <w:sz w:val="24"/>
          <w:szCs w:val="24"/>
          <w:lang w:eastAsia="lv-LV"/>
        </w:rPr>
        <w:t>šķērslaukuma</w:t>
      </w:r>
      <w:proofErr w:type="spellEnd"/>
      <w:r w:rsidRPr="00A07F29">
        <w:rPr>
          <w:rFonts w:ascii="Times New Roman" w:eastAsia="Times New Roman" w:hAnsi="Times New Roman" w:cs="Times New Roman"/>
          <w:color w:val="000000"/>
          <w:sz w:val="24"/>
          <w:szCs w:val="24"/>
          <w:lang w:eastAsia="lv-LV"/>
        </w:rPr>
        <w:t>, kas reizināts ar koeficientu 1</w:t>
      </w:r>
      <w:r w:rsidR="00F10772">
        <w:rPr>
          <w:rFonts w:ascii="Times New Roman" w:eastAsia="Times New Roman" w:hAnsi="Times New Roman" w:cs="Times New Roman"/>
          <w:color w:val="000000"/>
          <w:sz w:val="24"/>
          <w:szCs w:val="24"/>
          <w:lang w:eastAsia="lv-LV"/>
        </w:rPr>
        <w:t>.</w:t>
      </w:r>
      <w:r w:rsidRPr="00A07F29">
        <w:rPr>
          <w:rFonts w:ascii="Times New Roman" w:eastAsia="Times New Roman" w:hAnsi="Times New Roman" w:cs="Times New Roman"/>
          <w:color w:val="000000"/>
          <w:sz w:val="24"/>
          <w:szCs w:val="24"/>
          <w:lang w:eastAsia="lv-LV"/>
        </w:rPr>
        <w:t>5, neskaitot stāvošus sausus kokus;</w:t>
      </w:r>
    </w:p>
    <w:p w14:paraId="6B10222F" w14:textId="2ACFC54E" w:rsidR="00B07340" w:rsidRPr="00A07F29" w:rsidRDefault="00B07340" w:rsidP="00B07340">
      <w:pPr>
        <w:spacing w:before="75" w:after="75" w:line="240" w:lineRule="auto"/>
        <w:jc w:val="both"/>
        <w:rPr>
          <w:rFonts w:ascii="Times New Roman" w:eastAsia="Times New Roman" w:hAnsi="Times New Roman" w:cs="Times New Roman"/>
          <w:color w:val="000000"/>
          <w:sz w:val="24"/>
          <w:szCs w:val="24"/>
          <w:lang w:eastAsia="lv-LV"/>
        </w:rPr>
      </w:pPr>
      <w:r w:rsidRPr="00A07F29">
        <w:rPr>
          <w:rFonts w:ascii="Times New Roman" w:eastAsia="Times New Roman" w:hAnsi="Times New Roman" w:cs="Times New Roman"/>
          <w:color w:val="000000"/>
          <w:sz w:val="24"/>
          <w:szCs w:val="24"/>
          <w:lang w:eastAsia="lv-LV"/>
        </w:rPr>
        <w:t>3</w:t>
      </w:r>
      <w:r w:rsidR="00CD5384" w:rsidRPr="00A07F29">
        <w:rPr>
          <w:rFonts w:ascii="Times New Roman" w:eastAsia="Times New Roman" w:hAnsi="Times New Roman" w:cs="Times New Roman"/>
          <w:color w:val="000000"/>
          <w:sz w:val="24"/>
          <w:szCs w:val="24"/>
          <w:lang w:eastAsia="lv-LV"/>
        </w:rPr>
        <w:t>2</w:t>
      </w:r>
      <w:r w:rsidRPr="00A07F29">
        <w:rPr>
          <w:rFonts w:ascii="Times New Roman" w:eastAsia="Times New Roman" w:hAnsi="Times New Roman" w:cs="Times New Roman"/>
          <w:color w:val="000000"/>
          <w:sz w:val="24"/>
          <w:szCs w:val="24"/>
          <w:lang w:eastAsia="lv-LV"/>
        </w:rPr>
        <w:t>.3.2.</w:t>
      </w:r>
      <w:r w:rsidR="00271B47">
        <w:rPr>
          <w:rFonts w:ascii="Times New Roman" w:eastAsia="Times New Roman" w:hAnsi="Times New Roman" w:cs="Times New Roman"/>
          <w:color w:val="000000"/>
          <w:sz w:val="24"/>
          <w:szCs w:val="24"/>
          <w:lang w:eastAsia="lv-LV"/>
        </w:rPr>
        <w:t> </w:t>
      </w:r>
      <w:r w:rsidRPr="00A07F29">
        <w:rPr>
          <w:rFonts w:ascii="Times New Roman" w:eastAsia="Times New Roman" w:hAnsi="Times New Roman" w:cs="Times New Roman"/>
          <w:color w:val="000000"/>
          <w:sz w:val="24"/>
          <w:szCs w:val="24"/>
          <w:lang w:eastAsia="lv-LV"/>
        </w:rPr>
        <w:t>veidot mežaudzē par 0,2 hektāru lielākus atvērumus;</w:t>
      </w:r>
    </w:p>
    <w:p w14:paraId="64FC4C2C" w14:textId="4EB418FD" w:rsidR="00B07340" w:rsidRPr="00A07F29" w:rsidRDefault="00B07340" w:rsidP="00B07340">
      <w:pPr>
        <w:spacing w:before="75" w:after="75"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3</w:t>
      </w:r>
      <w:r w:rsidR="00CD5384" w:rsidRPr="00A07F29">
        <w:rPr>
          <w:rFonts w:ascii="Times New Roman" w:eastAsia="Times New Roman" w:hAnsi="Times New Roman" w:cs="Times New Roman"/>
          <w:sz w:val="24"/>
          <w:szCs w:val="24"/>
          <w:lang w:eastAsia="lv-LV"/>
        </w:rPr>
        <w:t>2</w:t>
      </w:r>
      <w:r w:rsidRPr="00A07F29">
        <w:rPr>
          <w:rFonts w:ascii="Times New Roman" w:eastAsia="Times New Roman" w:hAnsi="Times New Roman" w:cs="Times New Roman"/>
          <w:sz w:val="24"/>
          <w:szCs w:val="24"/>
          <w:lang w:eastAsia="lv-LV"/>
        </w:rPr>
        <w:t>.4.</w:t>
      </w:r>
      <w:r w:rsidR="00D842B6">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iegūt sūnas un ķērpjus, bojājot vai iznīcinot zemsedzi.</w:t>
      </w:r>
    </w:p>
    <w:p w14:paraId="3E0331CA" w14:textId="1D4848EC" w:rsidR="00B07340" w:rsidRPr="00A07F29" w:rsidRDefault="00E043C7" w:rsidP="00B07340">
      <w:pPr>
        <w:spacing w:before="75" w:after="75"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3</w:t>
      </w:r>
      <w:r w:rsidR="00CD5384" w:rsidRPr="00A07F29">
        <w:rPr>
          <w:rFonts w:ascii="Times New Roman" w:eastAsia="Times New Roman" w:hAnsi="Times New Roman" w:cs="Times New Roman"/>
          <w:sz w:val="24"/>
          <w:szCs w:val="24"/>
          <w:lang w:eastAsia="lv-LV"/>
        </w:rPr>
        <w:t>3</w:t>
      </w:r>
      <w:r w:rsidR="00B07340" w:rsidRPr="00A07F29">
        <w:rPr>
          <w:rFonts w:ascii="Times New Roman" w:eastAsia="Times New Roman" w:hAnsi="Times New Roman" w:cs="Times New Roman"/>
          <w:sz w:val="24"/>
          <w:szCs w:val="24"/>
          <w:lang w:eastAsia="lv-LV"/>
        </w:rPr>
        <w:t>.</w:t>
      </w:r>
      <w:r w:rsidR="00AE7EAA">
        <w:rPr>
          <w:rFonts w:ascii="Times New Roman" w:eastAsia="Times New Roman" w:hAnsi="Times New Roman" w:cs="Times New Roman"/>
          <w:sz w:val="24"/>
          <w:szCs w:val="24"/>
          <w:lang w:eastAsia="lv-LV"/>
        </w:rPr>
        <w:t> </w:t>
      </w:r>
      <w:r w:rsidR="00B07340" w:rsidRPr="00A07F29">
        <w:rPr>
          <w:rFonts w:ascii="Times New Roman" w:eastAsia="Times New Roman" w:hAnsi="Times New Roman" w:cs="Times New Roman"/>
          <w:sz w:val="24"/>
          <w:szCs w:val="24"/>
          <w:lang w:eastAsia="lv-LV"/>
        </w:rPr>
        <w:t>Mežaudzēs uz hektāru saglabā ne mazāk kā 20 kubikmetru sausu stāvošu koku, svaigi vēja gāztu koku un kritalu, kuru diametrs resnākajā vietā pārsniedz 25 centimetrus. Ja to kopējais apjoms ir lielāks, vispirms saglabā resnākos kokus. Pieļaujams izvākt svaigi vēja gāztas egles, kuru apjoms pārsniedz piecus kubikmetrus uz hektāru un kuras saskaņā ar Valsts meža dienesta atzinumu var izraisīt mežaudžu bojāeju masveidīgas kaitēkļu savairošanās dēļ.</w:t>
      </w:r>
    </w:p>
    <w:p w14:paraId="1B99EB40" w14:textId="28728607" w:rsidR="00B07340" w:rsidRPr="00A07F29" w:rsidRDefault="00E043C7" w:rsidP="00B07340">
      <w:pPr>
        <w:spacing w:before="75" w:after="75"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3</w:t>
      </w:r>
      <w:r w:rsidR="00CD5384" w:rsidRPr="00A07F29">
        <w:rPr>
          <w:rFonts w:ascii="Times New Roman" w:eastAsia="Times New Roman" w:hAnsi="Times New Roman" w:cs="Times New Roman"/>
          <w:sz w:val="24"/>
          <w:szCs w:val="24"/>
          <w:lang w:eastAsia="lv-LV"/>
        </w:rPr>
        <w:t>4</w:t>
      </w:r>
      <w:r w:rsidR="00B07340" w:rsidRPr="00A07F29">
        <w:rPr>
          <w:rFonts w:ascii="Times New Roman" w:eastAsia="Times New Roman" w:hAnsi="Times New Roman" w:cs="Times New Roman"/>
          <w:sz w:val="24"/>
          <w:szCs w:val="24"/>
          <w:lang w:eastAsia="lv-LV"/>
        </w:rPr>
        <w:t>.</w:t>
      </w:r>
      <w:r w:rsidR="00DC22C2">
        <w:rPr>
          <w:rFonts w:ascii="Times New Roman" w:eastAsia="Times New Roman" w:hAnsi="Times New Roman" w:cs="Times New Roman"/>
          <w:sz w:val="24"/>
          <w:szCs w:val="24"/>
          <w:lang w:eastAsia="lv-LV"/>
        </w:rPr>
        <w:t> </w:t>
      </w:r>
      <w:r w:rsidR="00B07340" w:rsidRPr="00A07F29">
        <w:rPr>
          <w:rFonts w:ascii="Times New Roman" w:eastAsia="Times New Roman" w:hAnsi="Times New Roman" w:cs="Times New Roman"/>
          <w:sz w:val="24"/>
          <w:szCs w:val="24"/>
          <w:lang w:eastAsia="lv-LV"/>
        </w:rPr>
        <w:t xml:space="preserve">Mežaudzēs galvenajā un kopšanas cirtē saglabā vismaz </w:t>
      </w:r>
      <w:r w:rsidR="007042FA" w:rsidRPr="00A07F29">
        <w:rPr>
          <w:rFonts w:ascii="Times New Roman" w:eastAsia="Times New Roman" w:hAnsi="Times New Roman" w:cs="Times New Roman"/>
          <w:sz w:val="24"/>
          <w:szCs w:val="24"/>
          <w:lang w:eastAsia="lv-LV"/>
        </w:rPr>
        <w:t>15</w:t>
      </w:r>
      <w:r w:rsidR="00B07340" w:rsidRPr="00A07F29">
        <w:rPr>
          <w:rFonts w:ascii="Times New Roman" w:eastAsia="Times New Roman" w:hAnsi="Times New Roman" w:cs="Times New Roman"/>
          <w:sz w:val="24"/>
          <w:szCs w:val="24"/>
          <w:lang w:eastAsia="lv-LV"/>
        </w:rPr>
        <w:t xml:space="preserve"> dzīvotspējīgus vecākos un lielāko izmēru kokus (ekoloģiskos kokus) uz cirsmas hektāru,</w:t>
      </w:r>
      <w:r w:rsidR="00B07340" w:rsidRPr="00A07F29">
        <w:rPr>
          <w:rFonts w:ascii="Calibri" w:eastAsia="Calibri" w:hAnsi="Calibri" w:cs="Times New Roman"/>
        </w:rPr>
        <w:t xml:space="preserve"> </w:t>
      </w:r>
      <w:r w:rsidR="00B07340" w:rsidRPr="00A07F29">
        <w:rPr>
          <w:rFonts w:ascii="Times New Roman" w:eastAsia="Times New Roman" w:hAnsi="Times New Roman" w:cs="Times New Roman"/>
          <w:sz w:val="24"/>
          <w:szCs w:val="24"/>
          <w:lang w:eastAsia="lv-LV"/>
        </w:rPr>
        <w:t>vispirms saglabājot resnākos (koku caurmērs lielāks par valdošās koku sugas koku vidējo caurmēru) ozolus, liepas, priedes, ošus, gobas, vīksnas, melnalkšņus un kļavas. Ja šādu koku mežaudzē nav, vispirms saglabā apses un bērzus, kā arī kokus ar lieliem un resniem zariem, dobumainus kokus un kokus ar deguma rētām.</w:t>
      </w:r>
    </w:p>
    <w:p w14:paraId="7AE2BA0F" w14:textId="276556DD" w:rsidR="00B07340" w:rsidRPr="00A07F29" w:rsidRDefault="00E043C7" w:rsidP="00B07340">
      <w:pPr>
        <w:spacing w:before="75" w:after="75"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3</w:t>
      </w:r>
      <w:r w:rsidR="00CD5384" w:rsidRPr="00A07F29">
        <w:rPr>
          <w:rFonts w:ascii="Times New Roman" w:eastAsia="Times New Roman" w:hAnsi="Times New Roman" w:cs="Times New Roman"/>
          <w:sz w:val="24"/>
          <w:szCs w:val="24"/>
          <w:lang w:eastAsia="lv-LV"/>
        </w:rPr>
        <w:t>5</w:t>
      </w:r>
      <w:r w:rsidR="0E6B778D" w:rsidRPr="00A07F29">
        <w:rPr>
          <w:rFonts w:ascii="Times New Roman" w:eastAsia="Times New Roman" w:hAnsi="Times New Roman" w:cs="Times New Roman"/>
          <w:sz w:val="24"/>
          <w:szCs w:val="24"/>
          <w:lang w:eastAsia="lv-LV"/>
        </w:rPr>
        <w:t>.</w:t>
      </w:r>
      <w:r w:rsidR="00EF39A9">
        <w:rPr>
          <w:rFonts w:ascii="Times New Roman" w:eastAsia="Times New Roman" w:hAnsi="Times New Roman" w:cs="Times New Roman"/>
          <w:sz w:val="24"/>
          <w:szCs w:val="24"/>
          <w:lang w:eastAsia="lv-LV"/>
        </w:rPr>
        <w:t> </w:t>
      </w:r>
      <w:r w:rsidR="0E6B778D" w:rsidRPr="00A07F29">
        <w:rPr>
          <w:rFonts w:ascii="Times New Roman" w:eastAsia="Times New Roman" w:hAnsi="Times New Roman" w:cs="Times New Roman"/>
          <w:sz w:val="24"/>
          <w:szCs w:val="24"/>
          <w:lang w:eastAsia="lv-LV"/>
        </w:rPr>
        <w:t xml:space="preserve">Sausos kokus un kritalas šo noteikumu </w:t>
      </w:r>
      <w:r w:rsidR="00CD5384" w:rsidRPr="00A07F29">
        <w:rPr>
          <w:rFonts w:ascii="Times New Roman" w:eastAsia="Times New Roman" w:hAnsi="Times New Roman" w:cs="Times New Roman"/>
          <w:sz w:val="24"/>
          <w:szCs w:val="24"/>
          <w:lang w:eastAsia="lv-LV"/>
        </w:rPr>
        <w:t>34</w:t>
      </w:r>
      <w:r w:rsidR="0E6B778D" w:rsidRPr="00A07F29">
        <w:rPr>
          <w:rFonts w:ascii="Times New Roman" w:eastAsia="Times New Roman" w:hAnsi="Times New Roman" w:cs="Times New Roman"/>
          <w:sz w:val="24"/>
          <w:szCs w:val="24"/>
          <w:lang w:eastAsia="lv-LV"/>
        </w:rPr>
        <w:t>.</w:t>
      </w:r>
      <w:r w:rsidR="00A812A6">
        <w:rPr>
          <w:rFonts w:ascii="Times New Roman" w:eastAsia="Times New Roman" w:hAnsi="Times New Roman" w:cs="Times New Roman"/>
          <w:sz w:val="24"/>
          <w:szCs w:val="24"/>
          <w:lang w:eastAsia="lv-LV"/>
        </w:rPr>
        <w:t> </w:t>
      </w:r>
      <w:r w:rsidR="0E6B778D" w:rsidRPr="00A07F29">
        <w:rPr>
          <w:rFonts w:ascii="Times New Roman" w:eastAsia="Times New Roman" w:hAnsi="Times New Roman" w:cs="Times New Roman"/>
          <w:sz w:val="24"/>
          <w:szCs w:val="24"/>
          <w:lang w:eastAsia="lv-LV"/>
        </w:rPr>
        <w:t>punktā minētajā apjomā, kā arī nocirstos bīstamos kokus un nocirsto koku celmus atstāj mežaudzē, lai nodrošinātu trūdošo (atmirušo) koksni kā dzīvesvietu meža ekosistēmā svarīgām sugām.</w:t>
      </w:r>
    </w:p>
    <w:p w14:paraId="6708BA0C" w14:textId="08DBB7A9" w:rsidR="00B07340" w:rsidRPr="00A07F29" w:rsidRDefault="00E043C7"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3</w:t>
      </w:r>
      <w:r w:rsidR="00CD5384" w:rsidRPr="00A07F29">
        <w:rPr>
          <w:rFonts w:ascii="Times New Roman" w:eastAsia="Times New Roman" w:hAnsi="Times New Roman" w:cs="Times New Roman"/>
          <w:sz w:val="24"/>
          <w:szCs w:val="24"/>
          <w:lang w:eastAsia="lv-LV"/>
        </w:rPr>
        <w:t>6</w:t>
      </w:r>
      <w:r w:rsidR="00B07340" w:rsidRPr="00A07F29">
        <w:rPr>
          <w:rFonts w:ascii="Times New Roman" w:eastAsia="Times New Roman" w:hAnsi="Times New Roman" w:cs="Times New Roman"/>
          <w:sz w:val="24"/>
          <w:szCs w:val="24"/>
          <w:lang w:eastAsia="lv-LV"/>
        </w:rPr>
        <w:t>.</w:t>
      </w:r>
      <w:r w:rsidR="00340495">
        <w:rPr>
          <w:rFonts w:ascii="Times New Roman" w:eastAsia="Times New Roman" w:hAnsi="Times New Roman" w:cs="Times New Roman"/>
          <w:sz w:val="24"/>
          <w:szCs w:val="24"/>
          <w:lang w:eastAsia="lv-LV"/>
        </w:rPr>
        <w:t> </w:t>
      </w:r>
      <w:r w:rsidR="00B07340" w:rsidRPr="00A07F29">
        <w:rPr>
          <w:rFonts w:ascii="Times New Roman" w:eastAsia="Times New Roman" w:hAnsi="Times New Roman" w:cs="Times New Roman"/>
          <w:sz w:val="24"/>
          <w:szCs w:val="24"/>
          <w:lang w:eastAsia="lv-LV"/>
        </w:rPr>
        <w:t xml:space="preserve">Uz mežaudzēm, kurās </w:t>
      </w:r>
      <w:proofErr w:type="spellStart"/>
      <w:r w:rsidR="00B07340" w:rsidRPr="00A07F29">
        <w:rPr>
          <w:rFonts w:ascii="Times New Roman" w:eastAsia="Times New Roman" w:hAnsi="Times New Roman" w:cs="Times New Roman"/>
          <w:sz w:val="24"/>
          <w:szCs w:val="24"/>
          <w:lang w:eastAsia="lv-LV"/>
        </w:rPr>
        <w:t>vējgāzes</w:t>
      </w:r>
      <w:proofErr w:type="spellEnd"/>
      <w:r w:rsidR="00B07340" w:rsidRPr="00A07F29">
        <w:rPr>
          <w:rFonts w:ascii="Times New Roman" w:eastAsia="Times New Roman" w:hAnsi="Times New Roman" w:cs="Times New Roman"/>
          <w:sz w:val="24"/>
          <w:szCs w:val="24"/>
          <w:lang w:eastAsia="lv-LV"/>
        </w:rPr>
        <w:t xml:space="preserve">, </w:t>
      </w:r>
      <w:proofErr w:type="spellStart"/>
      <w:r w:rsidR="00B07340" w:rsidRPr="00A07F29">
        <w:rPr>
          <w:rFonts w:ascii="Times New Roman" w:eastAsia="Times New Roman" w:hAnsi="Times New Roman" w:cs="Times New Roman"/>
          <w:sz w:val="24"/>
          <w:szCs w:val="24"/>
          <w:lang w:eastAsia="lv-LV"/>
        </w:rPr>
        <w:t>vējlauzes</w:t>
      </w:r>
      <w:proofErr w:type="spellEnd"/>
      <w:r w:rsidR="00B07340" w:rsidRPr="00A07F29">
        <w:rPr>
          <w:rFonts w:ascii="Times New Roman" w:eastAsia="Times New Roman" w:hAnsi="Times New Roman" w:cs="Times New Roman"/>
          <w:sz w:val="24"/>
          <w:szCs w:val="24"/>
          <w:lang w:eastAsia="lv-LV"/>
        </w:rPr>
        <w:t xml:space="preserve">, slimību infekcijas vai kaitēkļu invāzijas rezultātā mežaudzes </w:t>
      </w:r>
      <w:proofErr w:type="spellStart"/>
      <w:r w:rsidR="00B07340" w:rsidRPr="00A07F29">
        <w:rPr>
          <w:rFonts w:ascii="Times New Roman" w:eastAsia="Times New Roman" w:hAnsi="Times New Roman" w:cs="Times New Roman"/>
          <w:sz w:val="24"/>
          <w:szCs w:val="24"/>
          <w:lang w:eastAsia="lv-LV"/>
        </w:rPr>
        <w:t>šķērslaukums</w:t>
      </w:r>
      <w:proofErr w:type="spellEnd"/>
      <w:r w:rsidR="00B07340" w:rsidRPr="00A07F29">
        <w:rPr>
          <w:rFonts w:ascii="Times New Roman" w:eastAsia="Times New Roman" w:hAnsi="Times New Roman" w:cs="Times New Roman"/>
          <w:sz w:val="24"/>
          <w:szCs w:val="24"/>
          <w:lang w:eastAsia="lv-LV"/>
        </w:rPr>
        <w:t xml:space="preserve"> kļuvis mazāks par kritisko </w:t>
      </w:r>
      <w:proofErr w:type="spellStart"/>
      <w:r w:rsidR="00B07340" w:rsidRPr="00A07F29">
        <w:rPr>
          <w:rFonts w:ascii="Times New Roman" w:eastAsia="Times New Roman" w:hAnsi="Times New Roman" w:cs="Times New Roman"/>
          <w:sz w:val="24"/>
          <w:szCs w:val="24"/>
          <w:lang w:eastAsia="lv-LV"/>
        </w:rPr>
        <w:t>šķērslaukumu</w:t>
      </w:r>
      <w:proofErr w:type="spellEnd"/>
      <w:r w:rsidR="00B07340" w:rsidRPr="00A07F29">
        <w:rPr>
          <w:rFonts w:ascii="Times New Roman" w:eastAsia="Times New Roman" w:hAnsi="Times New Roman" w:cs="Times New Roman"/>
          <w:sz w:val="24"/>
          <w:szCs w:val="24"/>
          <w:lang w:eastAsia="lv-LV"/>
        </w:rPr>
        <w:t xml:space="preserve"> un vēja gāztie, bojātie, sausie stāvošie koki un kritalas netiek izvākti, neattiecina meža atjaunošanas un jaunaudžu kopšanas prasības.</w:t>
      </w:r>
    </w:p>
    <w:p w14:paraId="3C7E2870" w14:textId="35DFC365" w:rsidR="00B07340" w:rsidRPr="00A07F29" w:rsidRDefault="00B07340" w:rsidP="00E35789">
      <w:pPr>
        <w:spacing w:before="240" w:after="120" w:line="240" w:lineRule="auto"/>
        <w:jc w:val="center"/>
        <w:rPr>
          <w:rFonts w:ascii="Times New Roman" w:eastAsia="Times New Roman" w:hAnsi="Times New Roman" w:cs="Times New Roman"/>
          <w:b/>
          <w:sz w:val="24"/>
          <w:szCs w:val="24"/>
          <w:lang w:eastAsia="lv-LV"/>
        </w:rPr>
      </w:pPr>
      <w:r w:rsidRPr="00A07F29">
        <w:rPr>
          <w:rFonts w:ascii="Times New Roman" w:eastAsia="Times New Roman" w:hAnsi="Times New Roman" w:cs="Times New Roman"/>
          <w:b/>
          <w:sz w:val="24"/>
          <w:szCs w:val="24"/>
          <w:lang w:eastAsia="lv-LV"/>
        </w:rPr>
        <w:t>V</w:t>
      </w:r>
      <w:r w:rsidR="00C86354">
        <w:rPr>
          <w:rFonts w:ascii="Times New Roman" w:eastAsia="Times New Roman" w:hAnsi="Times New Roman" w:cs="Times New Roman"/>
          <w:b/>
          <w:sz w:val="24"/>
          <w:szCs w:val="24"/>
          <w:lang w:eastAsia="lv-LV"/>
        </w:rPr>
        <w:t>I.</w:t>
      </w:r>
      <w:r w:rsidRPr="00A07F29">
        <w:rPr>
          <w:rFonts w:ascii="Times New Roman" w:eastAsia="Times New Roman" w:hAnsi="Times New Roman" w:cs="Times New Roman"/>
          <w:b/>
          <w:sz w:val="24"/>
          <w:szCs w:val="24"/>
          <w:lang w:eastAsia="lv-LV"/>
        </w:rPr>
        <w:t xml:space="preserve"> Ainavu aizsardzības zona</w:t>
      </w:r>
    </w:p>
    <w:p w14:paraId="5358A7CE" w14:textId="16BFCC93" w:rsidR="00B07340" w:rsidRPr="00A07F29" w:rsidRDefault="00BE45EB" w:rsidP="00E35789">
      <w:pPr>
        <w:spacing w:before="75" w:after="75"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3</w:t>
      </w:r>
      <w:r w:rsidR="00CD5384" w:rsidRPr="00A07F29">
        <w:rPr>
          <w:rFonts w:ascii="Times New Roman" w:eastAsia="Times New Roman" w:hAnsi="Times New Roman" w:cs="Times New Roman"/>
          <w:sz w:val="24"/>
          <w:szCs w:val="24"/>
          <w:lang w:eastAsia="lv-LV"/>
        </w:rPr>
        <w:t>7</w:t>
      </w:r>
      <w:r w:rsidR="00B07340" w:rsidRPr="00A07F29">
        <w:rPr>
          <w:rFonts w:ascii="Times New Roman" w:eastAsia="Times New Roman" w:hAnsi="Times New Roman" w:cs="Times New Roman"/>
          <w:sz w:val="24"/>
          <w:szCs w:val="24"/>
          <w:lang w:eastAsia="lv-LV"/>
        </w:rPr>
        <w:t>.</w:t>
      </w:r>
      <w:r w:rsidR="00C86354">
        <w:rPr>
          <w:rFonts w:ascii="Times New Roman" w:eastAsia="Times New Roman" w:hAnsi="Times New Roman" w:cs="Times New Roman"/>
          <w:sz w:val="24"/>
          <w:szCs w:val="24"/>
          <w:lang w:eastAsia="lv-LV"/>
        </w:rPr>
        <w:t> </w:t>
      </w:r>
      <w:r w:rsidR="00B07340" w:rsidRPr="00A07F29">
        <w:rPr>
          <w:rFonts w:ascii="Times New Roman" w:eastAsia="Times New Roman" w:hAnsi="Times New Roman" w:cs="Times New Roman"/>
          <w:sz w:val="24"/>
          <w:szCs w:val="24"/>
          <w:lang w:eastAsia="lv-LV"/>
        </w:rPr>
        <w:t xml:space="preserve">Ainavu aizsardzības zona izveidota, lai saglabātu tradicionālo ainavu, ģenētisko resursu mežaudzes un </w:t>
      </w:r>
      <w:r w:rsidR="00AF0189" w:rsidRPr="00A07F29">
        <w:rPr>
          <w:rFonts w:ascii="Times New Roman" w:eastAsia="Times New Roman" w:hAnsi="Times New Roman" w:cs="Times New Roman"/>
          <w:sz w:val="24"/>
          <w:szCs w:val="24"/>
          <w:lang w:eastAsia="lv-LV"/>
        </w:rPr>
        <w:t>veicinātu</w:t>
      </w:r>
      <w:r w:rsidR="00B07340" w:rsidRPr="00A07F29">
        <w:rPr>
          <w:rFonts w:ascii="Times New Roman" w:eastAsia="Times New Roman" w:hAnsi="Times New Roman" w:cs="Times New Roman"/>
          <w:sz w:val="24"/>
          <w:szCs w:val="24"/>
          <w:lang w:eastAsia="lv-LV"/>
        </w:rPr>
        <w:t xml:space="preserve"> </w:t>
      </w:r>
      <w:proofErr w:type="spellStart"/>
      <w:r w:rsidR="00B07340" w:rsidRPr="00A07F29">
        <w:rPr>
          <w:rFonts w:ascii="Times New Roman" w:eastAsia="Times New Roman" w:hAnsi="Times New Roman" w:cs="Times New Roman"/>
          <w:sz w:val="24"/>
          <w:szCs w:val="24"/>
          <w:lang w:eastAsia="lv-LV"/>
        </w:rPr>
        <w:t>ilgstpējīgu</w:t>
      </w:r>
      <w:proofErr w:type="spellEnd"/>
      <w:r w:rsidR="00B07340" w:rsidRPr="00A07F29">
        <w:rPr>
          <w:rFonts w:ascii="Times New Roman" w:eastAsia="Times New Roman" w:hAnsi="Times New Roman" w:cs="Times New Roman"/>
          <w:sz w:val="24"/>
          <w:szCs w:val="24"/>
          <w:lang w:eastAsia="lv-LV"/>
        </w:rPr>
        <w:t xml:space="preserve"> teritorijas attīstību.</w:t>
      </w:r>
    </w:p>
    <w:p w14:paraId="2415BB14" w14:textId="3C9D18DB" w:rsidR="00BE420D" w:rsidRPr="00A07F29" w:rsidRDefault="00BE45EB" w:rsidP="00B07340">
      <w:pPr>
        <w:spacing w:after="120" w:line="240" w:lineRule="auto"/>
        <w:jc w:val="both"/>
        <w:rPr>
          <w:rFonts w:ascii="Times New Roman" w:eastAsia="Times New Roman" w:hAnsi="Times New Roman" w:cs="Times New Roman"/>
          <w:sz w:val="24"/>
          <w:szCs w:val="24"/>
          <w:highlight w:val="yellow"/>
          <w:lang w:eastAsia="lv-LV"/>
        </w:rPr>
      </w:pPr>
      <w:bookmarkStart w:id="117" w:name="_Hlk54171216"/>
      <w:r w:rsidRPr="00A07F29">
        <w:rPr>
          <w:rFonts w:ascii="Times New Roman" w:eastAsia="Times New Roman" w:hAnsi="Times New Roman" w:cs="Times New Roman"/>
          <w:sz w:val="24"/>
          <w:szCs w:val="24"/>
          <w:lang w:eastAsia="lv-LV"/>
        </w:rPr>
        <w:t>3</w:t>
      </w:r>
      <w:r w:rsidR="00CD5384" w:rsidRPr="00A07F29">
        <w:rPr>
          <w:rFonts w:ascii="Times New Roman" w:eastAsia="Times New Roman" w:hAnsi="Times New Roman" w:cs="Times New Roman"/>
          <w:sz w:val="24"/>
          <w:szCs w:val="24"/>
          <w:lang w:eastAsia="lv-LV"/>
        </w:rPr>
        <w:t>8</w:t>
      </w:r>
      <w:r w:rsidR="00B07340" w:rsidRPr="00A07F29">
        <w:rPr>
          <w:rFonts w:ascii="Times New Roman" w:eastAsia="Times New Roman" w:hAnsi="Times New Roman" w:cs="Times New Roman"/>
          <w:sz w:val="24"/>
          <w:szCs w:val="24"/>
          <w:lang w:eastAsia="lv-LV"/>
        </w:rPr>
        <w:t>.</w:t>
      </w:r>
      <w:r w:rsidR="009D0D6F">
        <w:rPr>
          <w:rFonts w:ascii="Times New Roman" w:eastAsia="Times New Roman" w:hAnsi="Times New Roman" w:cs="Times New Roman"/>
          <w:sz w:val="24"/>
          <w:szCs w:val="24"/>
          <w:lang w:eastAsia="lv-LV"/>
        </w:rPr>
        <w:t> </w:t>
      </w:r>
      <w:r w:rsidR="00AF0189" w:rsidRPr="00A07F29">
        <w:rPr>
          <w:rFonts w:ascii="Times New Roman" w:eastAsia="Times New Roman" w:hAnsi="Times New Roman" w:cs="Times New Roman"/>
          <w:sz w:val="24"/>
          <w:szCs w:val="24"/>
          <w:lang w:eastAsia="lv-LV"/>
        </w:rPr>
        <w:t>Ainavu aizsardzības zonas teritorijā aizliegts izvietot vēja elektrostacijas, kuru maksimālais aug</w:t>
      </w:r>
      <w:r w:rsidR="00ED0458" w:rsidRPr="00A07F29">
        <w:rPr>
          <w:rFonts w:ascii="Times New Roman" w:eastAsia="Times New Roman" w:hAnsi="Times New Roman" w:cs="Times New Roman"/>
          <w:sz w:val="24"/>
          <w:szCs w:val="24"/>
          <w:lang w:eastAsia="lv-LV"/>
        </w:rPr>
        <w:t>stums ir lielāks par 12 metriem.</w:t>
      </w:r>
    </w:p>
    <w:bookmarkEnd w:id="117"/>
    <w:p w14:paraId="7341C0E6" w14:textId="3A7E84BD" w:rsidR="00B07340" w:rsidRPr="00A07F29" w:rsidRDefault="00CD5384" w:rsidP="00B07340">
      <w:pPr>
        <w:spacing w:before="75" w:after="75"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lastRenderedPageBreak/>
        <w:t>39</w:t>
      </w:r>
      <w:r w:rsidR="00B07340" w:rsidRPr="00A07F29">
        <w:rPr>
          <w:rFonts w:ascii="Times New Roman" w:eastAsia="Times New Roman" w:hAnsi="Times New Roman" w:cs="Times New Roman"/>
          <w:sz w:val="24"/>
          <w:szCs w:val="24"/>
          <w:lang w:eastAsia="lv-LV"/>
        </w:rPr>
        <w:t>.</w:t>
      </w:r>
      <w:r w:rsidR="009D0D6F">
        <w:rPr>
          <w:rFonts w:ascii="Times New Roman" w:eastAsia="Times New Roman" w:hAnsi="Times New Roman" w:cs="Times New Roman"/>
          <w:sz w:val="24"/>
          <w:szCs w:val="24"/>
          <w:lang w:eastAsia="lv-LV"/>
        </w:rPr>
        <w:t> </w:t>
      </w:r>
      <w:r w:rsidR="00B07340" w:rsidRPr="00A07F29">
        <w:rPr>
          <w:rFonts w:ascii="Times New Roman" w:eastAsia="Times New Roman" w:hAnsi="Times New Roman" w:cs="Times New Roman"/>
          <w:sz w:val="24"/>
          <w:szCs w:val="24"/>
          <w:lang w:eastAsia="lv-LV"/>
        </w:rPr>
        <w:t>Ainavu aizsardzības zonas teritorijā</w:t>
      </w:r>
      <w:r w:rsidR="00B07340" w:rsidRPr="00A07F29">
        <w:rPr>
          <w:rFonts w:ascii="Calibri" w:eastAsia="Calibri" w:hAnsi="Calibri" w:cs="Times New Roman"/>
        </w:rPr>
        <w:t xml:space="preserve"> </w:t>
      </w:r>
      <w:r w:rsidR="00B07340" w:rsidRPr="00A07F29">
        <w:rPr>
          <w:rFonts w:ascii="Times New Roman" w:eastAsia="Times New Roman" w:hAnsi="Times New Roman" w:cs="Times New Roman"/>
          <w:sz w:val="24"/>
          <w:szCs w:val="24"/>
          <w:lang w:eastAsia="lv-LV"/>
        </w:rPr>
        <w:t xml:space="preserve">bez Dabas aizsardzības pārvaldes rakstiskas atļaujas </w:t>
      </w:r>
      <w:r w:rsidR="00BA47C5" w:rsidRPr="00A07F29">
        <w:rPr>
          <w:rFonts w:ascii="Times New Roman" w:eastAsia="Times New Roman" w:hAnsi="Times New Roman" w:cs="Times New Roman"/>
          <w:sz w:val="24"/>
          <w:szCs w:val="24"/>
          <w:lang w:eastAsia="lv-LV"/>
        </w:rPr>
        <w:t xml:space="preserve">saņemšanas </w:t>
      </w:r>
      <w:r w:rsidR="00B07340" w:rsidRPr="00A07F29">
        <w:rPr>
          <w:rFonts w:ascii="Times New Roman" w:eastAsia="Times New Roman" w:hAnsi="Times New Roman" w:cs="Times New Roman"/>
          <w:sz w:val="24"/>
          <w:szCs w:val="24"/>
          <w:lang w:eastAsia="lv-LV"/>
        </w:rPr>
        <w:t>aizliegts:</w:t>
      </w:r>
    </w:p>
    <w:p w14:paraId="3C922254" w14:textId="5B9BA5FA" w:rsidR="00B07340" w:rsidRPr="00A07F29" w:rsidRDefault="00CD5384" w:rsidP="00B07340">
      <w:pPr>
        <w:spacing w:before="75" w:after="75"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39</w:t>
      </w:r>
      <w:r w:rsidR="00B07340" w:rsidRPr="00A07F29">
        <w:rPr>
          <w:rFonts w:ascii="Times New Roman" w:eastAsia="Times New Roman" w:hAnsi="Times New Roman" w:cs="Times New Roman"/>
          <w:sz w:val="24"/>
          <w:szCs w:val="24"/>
          <w:lang w:eastAsia="lv-LV"/>
        </w:rPr>
        <w:t>.1.</w:t>
      </w:r>
      <w:r w:rsidR="001C3470">
        <w:rPr>
          <w:rFonts w:ascii="Times New Roman" w:eastAsia="Times New Roman" w:hAnsi="Times New Roman" w:cs="Times New Roman"/>
          <w:sz w:val="24"/>
          <w:szCs w:val="24"/>
          <w:lang w:eastAsia="lv-LV"/>
        </w:rPr>
        <w:t> </w:t>
      </w:r>
      <w:r w:rsidR="00B07340" w:rsidRPr="00A07F29">
        <w:rPr>
          <w:rFonts w:ascii="Times New Roman" w:eastAsia="Times New Roman" w:hAnsi="Times New Roman" w:cs="Times New Roman"/>
          <w:sz w:val="24"/>
          <w:szCs w:val="24"/>
          <w:lang w:eastAsia="lv-LV"/>
        </w:rPr>
        <w:t>ierīkot dabā publiski pieejamus dabas tūrisma un izziņas infrastruktūras objektus (piemēram, takas, maršrutus, skatu torņus, telšu vietas, stāvlaukumus, apmeklētāju centrus un informācijas centrus);</w:t>
      </w:r>
    </w:p>
    <w:p w14:paraId="4D3BC436" w14:textId="780E2A84" w:rsidR="00B07340" w:rsidRPr="00A07F29" w:rsidRDefault="00CD5384" w:rsidP="00B07340">
      <w:pPr>
        <w:spacing w:before="75" w:after="75"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39</w:t>
      </w:r>
      <w:r w:rsidR="00B07340" w:rsidRPr="00A07F29">
        <w:rPr>
          <w:rFonts w:ascii="Times New Roman" w:eastAsia="Times New Roman" w:hAnsi="Times New Roman" w:cs="Times New Roman"/>
          <w:sz w:val="24"/>
          <w:szCs w:val="24"/>
          <w:lang w:eastAsia="lv-LV"/>
        </w:rPr>
        <w:t>.2.</w:t>
      </w:r>
      <w:r w:rsidR="00267CF6">
        <w:rPr>
          <w:rFonts w:ascii="Times New Roman" w:eastAsia="Times New Roman" w:hAnsi="Times New Roman" w:cs="Times New Roman"/>
          <w:sz w:val="24"/>
          <w:szCs w:val="24"/>
          <w:lang w:eastAsia="lv-LV"/>
        </w:rPr>
        <w:t> </w:t>
      </w:r>
      <w:r w:rsidR="00B07340" w:rsidRPr="00A07F29">
        <w:rPr>
          <w:rFonts w:ascii="Times New Roman" w:eastAsia="Times New Roman" w:hAnsi="Times New Roman" w:cs="Times New Roman"/>
          <w:sz w:val="24"/>
          <w:szCs w:val="24"/>
          <w:lang w:eastAsia="lv-LV"/>
        </w:rPr>
        <w:t>veicot ceļu pārbūvi un atjaunošanu, mainīt ainavisko ceļu, k</w:t>
      </w:r>
      <w:r w:rsidR="00AF0189" w:rsidRPr="00A07F29">
        <w:rPr>
          <w:rFonts w:ascii="Times New Roman" w:eastAsia="Times New Roman" w:hAnsi="Times New Roman" w:cs="Times New Roman"/>
          <w:sz w:val="24"/>
          <w:szCs w:val="24"/>
          <w:lang w:eastAsia="lv-LV"/>
        </w:rPr>
        <w:t>uri</w:t>
      </w:r>
      <w:r w:rsidR="00B07340" w:rsidRPr="00A07F29">
        <w:rPr>
          <w:rFonts w:ascii="Times New Roman" w:eastAsia="Times New Roman" w:hAnsi="Times New Roman" w:cs="Times New Roman"/>
          <w:sz w:val="24"/>
          <w:szCs w:val="24"/>
          <w:lang w:eastAsia="lv-LV"/>
        </w:rPr>
        <w:t xml:space="preserve"> ir noteikti </w:t>
      </w:r>
      <w:r w:rsidR="00AF0189" w:rsidRPr="00A07F29">
        <w:rPr>
          <w:rFonts w:ascii="Times New Roman" w:eastAsia="Times New Roman" w:hAnsi="Times New Roman" w:cs="Times New Roman"/>
          <w:sz w:val="24"/>
          <w:szCs w:val="24"/>
          <w:lang w:eastAsia="lv-LV"/>
        </w:rPr>
        <w:t>š</w:t>
      </w:r>
      <w:r w:rsidR="00BA47C5" w:rsidRPr="00A07F29">
        <w:rPr>
          <w:rFonts w:ascii="Times New Roman" w:eastAsia="Times New Roman" w:hAnsi="Times New Roman" w:cs="Times New Roman"/>
          <w:sz w:val="24"/>
          <w:szCs w:val="24"/>
          <w:lang w:eastAsia="lv-LV"/>
        </w:rPr>
        <w:t>o</w:t>
      </w:r>
      <w:r w:rsidR="00AF0189" w:rsidRPr="00A07F29">
        <w:rPr>
          <w:rFonts w:ascii="Times New Roman" w:eastAsia="Times New Roman" w:hAnsi="Times New Roman" w:cs="Times New Roman"/>
          <w:sz w:val="24"/>
          <w:szCs w:val="24"/>
          <w:lang w:eastAsia="lv-LV"/>
        </w:rPr>
        <w:t xml:space="preserve"> note</w:t>
      </w:r>
      <w:r w:rsidR="00BA47C5" w:rsidRPr="00A07F29">
        <w:rPr>
          <w:rFonts w:ascii="Times New Roman" w:eastAsia="Times New Roman" w:hAnsi="Times New Roman" w:cs="Times New Roman"/>
          <w:sz w:val="24"/>
          <w:szCs w:val="24"/>
          <w:lang w:eastAsia="lv-LV"/>
        </w:rPr>
        <w:t>i</w:t>
      </w:r>
      <w:r w:rsidR="00AF0189" w:rsidRPr="00A07F29">
        <w:rPr>
          <w:rFonts w:ascii="Times New Roman" w:eastAsia="Times New Roman" w:hAnsi="Times New Roman" w:cs="Times New Roman"/>
          <w:sz w:val="24"/>
          <w:szCs w:val="24"/>
          <w:lang w:eastAsia="lv-LV"/>
        </w:rPr>
        <w:t xml:space="preserve">kumu </w:t>
      </w:r>
      <w:r w:rsidR="00BE45EB" w:rsidRPr="00A07F29">
        <w:rPr>
          <w:rFonts w:ascii="Times New Roman" w:eastAsia="Times New Roman" w:hAnsi="Times New Roman" w:cs="Times New Roman"/>
          <w:sz w:val="24"/>
          <w:szCs w:val="24"/>
          <w:lang w:eastAsia="lv-LV"/>
        </w:rPr>
        <w:t>1</w:t>
      </w:r>
      <w:r w:rsidR="00B07340" w:rsidRPr="00A07F29">
        <w:rPr>
          <w:rFonts w:ascii="Times New Roman" w:eastAsia="Times New Roman" w:hAnsi="Times New Roman" w:cs="Times New Roman"/>
          <w:sz w:val="24"/>
          <w:szCs w:val="24"/>
          <w:lang w:eastAsia="lv-LV"/>
        </w:rPr>
        <w:t>.</w:t>
      </w:r>
      <w:r w:rsidR="00AF0189" w:rsidRPr="00A07F29">
        <w:rPr>
          <w:rFonts w:ascii="Times New Roman" w:eastAsia="Times New Roman" w:hAnsi="Times New Roman" w:cs="Times New Roman"/>
          <w:sz w:val="24"/>
          <w:szCs w:val="24"/>
          <w:lang w:eastAsia="lv-LV"/>
        </w:rPr>
        <w:t> </w:t>
      </w:r>
      <w:r w:rsidR="00B07340" w:rsidRPr="00A07F29">
        <w:rPr>
          <w:rFonts w:ascii="Times New Roman" w:eastAsia="Times New Roman" w:hAnsi="Times New Roman" w:cs="Times New Roman"/>
          <w:sz w:val="24"/>
          <w:szCs w:val="24"/>
          <w:lang w:eastAsia="lv-LV"/>
        </w:rPr>
        <w:t>pielikumā</w:t>
      </w:r>
      <w:r w:rsidR="00BE45EB" w:rsidRPr="00A07F29">
        <w:rPr>
          <w:rFonts w:ascii="Times New Roman" w:eastAsia="Times New Roman" w:hAnsi="Times New Roman" w:cs="Times New Roman"/>
          <w:sz w:val="24"/>
          <w:szCs w:val="24"/>
          <w:lang w:eastAsia="lv-LV"/>
        </w:rPr>
        <w:t xml:space="preserve"> (skat. DA plāna 6.</w:t>
      </w:r>
      <w:r w:rsidR="00267CF6">
        <w:rPr>
          <w:rFonts w:ascii="Times New Roman" w:eastAsia="Times New Roman" w:hAnsi="Times New Roman" w:cs="Times New Roman"/>
          <w:sz w:val="24"/>
          <w:szCs w:val="24"/>
          <w:lang w:eastAsia="lv-LV"/>
        </w:rPr>
        <w:t> </w:t>
      </w:r>
      <w:r w:rsidR="00BE45EB" w:rsidRPr="00A07F29">
        <w:rPr>
          <w:rFonts w:ascii="Times New Roman" w:eastAsia="Times New Roman" w:hAnsi="Times New Roman" w:cs="Times New Roman"/>
          <w:sz w:val="24"/>
          <w:szCs w:val="24"/>
          <w:lang w:eastAsia="lv-LV"/>
        </w:rPr>
        <w:t>pielikumu)</w:t>
      </w:r>
      <w:r w:rsidR="002F57EC" w:rsidRPr="00A07F29">
        <w:rPr>
          <w:rFonts w:ascii="Times New Roman" w:eastAsia="Times New Roman" w:hAnsi="Times New Roman" w:cs="Times New Roman"/>
          <w:sz w:val="24"/>
          <w:szCs w:val="24"/>
          <w:lang w:eastAsia="lv-LV"/>
        </w:rPr>
        <w:t>, trases novietojumu.</w:t>
      </w:r>
    </w:p>
    <w:p w14:paraId="08E32157" w14:textId="240D45FF" w:rsidR="00B07340" w:rsidRPr="00A07F29" w:rsidRDefault="00B07340" w:rsidP="00B07340">
      <w:pPr>
        <w:spacing w:before="75" w:after="75"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4</w:t>
      </w:r>
      <w:r w:rsidR="00CD5384" w:rsidRPr="00A07F29">
        <w:rPr>
          <w:rFonts w:ascii="Times New Roman" w:eastAsia="Times New Roman" w:hAnsi="Times New Roman" w:cs="Times New Roman"/>
          <w:sz w:val="24"/>
          <w:szCs w:val="24"/>
          <w:lang w:eastAsia="lv-LV"/>
        </w:rPr>
        <w:t>0</w:t>
      </w:r>
      <w:r w:rsidRPr="00A07F29">
        <w:rPr>
          <w:rFonts w:ascii="Times New Roman" w:eastAsia="Times New Roman" w:hAnsi="Times New Roman" w:cs="Times New Roman"/>
          <w:sz w:val="24"/>
          <w:szCs w:val="24"/>
          <w:lang w:eastAsia="lv-LV"/>
        </w:rPr>
        <w:t>.</w:t>
      </w:r>
      <w:r w:rsidR="003C29C8">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Meža zemēs aizliegts:</w:t>
      </w:r>
    </w:p>
    <w:p w14:paraId="0C82B24B" w14:textId="3B4037D0" w:rsidR="00B07340" w:rsidRPr="00A07F29" w:rsidRDefault="0E6B778D" w:rsidP="00B07340">
      <w:pPr>
        <w:spacing w:before="75" w:after="75"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4</w:t>
      </w:r>
      <w:r w:rsidR="00CD5384" w:rsidRPr="00A07F29">
        <w:rPr>
          <w:rFonts w:ascii="Times New Roman" w:eastAsia="Times New Roman" w:hAnsi="Times New Roman" w:cs="Times New Roman"/>
          <w:sz w:val="24"/>
          <w:szCs w:val="24"/>
          <w:lang w:eastAsia="lv-LV"/>
        </w:rPr>
        <w:t>0</w:t>
      </w:r>
      <w:r w:rsidRPr="00A07F29">
        <w:rPr>
          <w:rFonts w:ascii="Times New Roman" w:eastAsia="Times New Roman" w:hAnsi="Times New Roman" w:cs="Times New Roman"/>
          <w:sz w:val="24"/>
          <w:szCs w:val="24"/>
          <w:lang w:eastAsia="lv-LV"/>
        </w:rPr>
        <w:t>.1.</w:t>
      </w:r>
      <w:r w:rsidR="003C29C8">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veikt mežsaimniecisko darbību no 1.</w:t>
      </w:r>
      <w:r w:rsidR="003C29C8">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marta līdz 31.</w:t>
      </w:r>
      <w:r w:rsidR="003C29C8">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jūlijam, izņemot:</w:t>
      </w:r>
    </w:p>
    <w:p w14:paraId="0CFE96C1" w14:textId="345D3BBA" w:rsidR="00B07340" w:rsidRPr="00A07F29" w:rsidRDefault="00B07340" w:rsidP="00B07340">
      <w:pPr>
        <w:spacing w:before="75" w:after="75"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4</w:t>
      </w:r>
      <w:r w:rsidR="00CD5384" w:rsidRPr="00A07F29">
        <w:rPr>
          <w:rFonts w:ascii="Times New Roman" w:eastAsia="Times New Roman" w:hAnsi="Times New Roman" w:cs="Times New Roman"/>
          <w:sz w:val="24"/>
          <w:szCs w:val="24"/>
          <w:lang w:eastAsia="lv-LV"/>
        </w:rPr>
        <w:t>0</w:t>
      </w:r>
      <w:r w:rsidRPr="00A07F29">
        <w:rPr>
          <w:rFonts w:ascii="Times New Roman" w:eastAsia="Times New Roman" w:hAnsi="Times New Roman" w:cs="Times New Roman"/>
          <w:sz w:val="24"/>
          <w:szCs w:val="24"/>
          <w:lang w:eastAsia="lv-LV"/>
        </w:rPr>
        <w:t>.1.1.</w:t>
      </w:r>
      <w:r w:rsidR="00CC4D4F">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meža ugunsdrošības un ugunsdzēsības pasākumus;</w:t>
      </w:r>
    </w:p>
    <w:p w14:paraId="1DEA23BC" w14:textId="7BF7AC1D" w:rsidR="00B07340" w:rsidRPr="00A07F29" w:rsidRDefault="00B07340" w:rsidP="00B07340">
      <w:pPr>
        <w:spacing w:before="75" w:after="75"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4</w:t>
      </w:r>
      <w:r w:rsidR="00CD5384" w:rsidRPr="00A07F29">
        <w:rPr>
          <w:rFonts w:ascii="Times New Roman" w:eastAsia="Times New Roman" w:hAnsi="Times New Roman" w:cs="Times New Roman"/>
          <w:sz w:val="24"/>
          <w:szCs w:val="24"/>
          <w:lang w:eastAsia="lv-LV"/>
        </w:rPr>
        <w:t>0</w:t>
      </w:r>
      <w:r w:rsidRPr="00A07F29">
        <w:rPr>
          <w:rFonts w:ascii="Times New Roman" w:eastAsia="Times New Roman" w:hAnsi="Times New Roman" w:cs="Times New Roman"/>
          <w:sz w:val="24"/>
          <w:szCs w:val="24"/>
          <w:lang w:eastAsia="lv-LV"/>
        </w:rPr>
        <w:t>.1.2.</w:t>
      </w:r>
      <w:r w:rsidR="00CC4D4F">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meža atjaunošanu ar rokas darbarīkiem;</w:t>
      </w:r>
    </w:p>
    <w:p w14:paraId="3A69B0EC" w14:textId="1C7B3879" w:rsidR="00B07340" w:rsidRPr="00A07F29" w:rsidRDefault="00B07340" w:rsidP="00B07340">
      <w:pPr>
        <w:spacing w:before="75" w:after="75"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4</w:t>
      </w:r>
      <w:r w:rsidR="00CD5384" w:rsidRPr="00A07F29">
        <w:rPr>
          <w:rFonts w:ascii="Times New Roman" w:eastAsia="Times New Roman" w:hAnsi="Times New Roman" w:cs="Times New Roman"/>
          <w:sz w:val="24"/>
          <w:szCs w:val="24"/>
          <w:lang w:eastAsia="lv-LV"/>
        </w:rPr>
        <w:t>0</w:t>
      </w:r>
      <w:r w:rsidRPr="00A07F29">
        <w:rPr>
          <w:rFonts w:ascii="Times New Roman" w:eastAsia="Times New Roman" w:hAnsi="Times New Roman" w:cs="Times New Roman"/>
          <w:sz w:val="24"/>
          <w:szCs w:val="24"/>
          <w:lang w:eastAsia="lv-LV"/>
        </w:rPr>
        <w:t>.1.3.</w:t>
      </w:r>
      <w:r w:rsidR="0012422C">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jaunaudžu kopšanu, kur vidējais augstums skuju kokiem ir līdz 0,7 metriem, bet lapu kokiem – līdz vienam metram;</w:t>
      </w:r>
    </w:p>
    <w:p w14:paraId="03B52E79" w14:textId="28F40B3E" w:rsidR="00B07340" w:rsidRPr="00A07F29" w:rsidRDefault="00B07340" w:rsidP="00B07340">
      <w:pPr>
        <w:spacing w:before="75" w:after="75"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4</w:t>
      </w:r>
      <w:r w:rsidR="00CD5384" w:rsidRPr="00A07F29">
        <w:rPr>
          <w:rFonts w:ascii="Times New Roman" w:eastAsia="Times New Roman" w:hAnsi="Times New Roman" w:cs="Times New Roman"/>
          <w:sz w:val="24"/>
          <w:szCs w:val="24"/>
          <w:lang w:eastAsia="lv-LV"/>
        </w:rPr>
        <w:t>0</w:t>
      </w:r>
      <w:r w:rsidRPr="00A07F29">
        <w:rPr>
          <w:rFonts w:ascii="Times New Roman" w:eastAsia="Times New Roman" w:hAnsi="Times New Roman" w:cs="Times New Roman"/>
          <w:sz w:val="24"/>
          <w:szCs w:val="24"/>
          <w:lang w:eastAsia="lv-LV"/>
        </w:rPr>
        <w:t>.1.4.</w:t>
      </w:r>
      <w:r w:rsidR="0012422C">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bīstamo koku ciršanu un novākšanu;</w:t>
      </w:r>
    </w:p>
    <w:p w14:paraId="58C4782D" w14:textId="43F19BB1" w:rsidR="00B07340" w:rsidRPr="00A07F29" w:rsidRDefault="00B07340" w:rsidP="00B07340">
      <w:pPr>
        <w:spacing w:before="75" w:after="75"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4</w:t>
      </w:r>
      <w:r w:rsidR="00CD5384" w:rsidRPr="00A07F29">
        <w:rPr>
          <w:rFonts w:ascii="Times New Roman" w:eastAsia="Times New Roman" w:hAnsi="Times New Roman" w:cs="Times New Roman"/>
          <w:sz w:val="24"/>
          <w:szCs w:val="24"/>
          <w:lang w:eastAsia="lv-LV"/>
        </w:rPr>
        <w:t>0</w:t>
      </w:r>
      <w:r w:rsidRPr="00A07F29">
        <w:rPr>
          <w:rFonts w:ascii="Times New Roman" w:eastAsia="Times New Roman" w:hAnsi="Times New Roman" w:cs="Times New Roman"/>
          <w:sz w:val="24"/>
          <w:szCs w:val="24"/>
          <w:lang w:eastAsia="lv-LV"/>
        </w:rPr>
        <w:t>.1.5.</w:t>
      </w:r>
      <w:r w:rsidR="0012422C">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kokmateriālu izvešanu atbilstošas ceļu nestspējas apstākļos, ja tas negatīvi neietekmē putnu ligzdošanu un ir saņemta Dabas aizsardzības pārvaldes rakstiska atļauja. Dabas aizsardzības pārvalde atļauju izsniedz 10 darbdienu laikā;</w:t>
      </w:r>
    </w:p>
    <w:p w14:paraId="0443343D" w14:textId="2550650F" w:rsidR="00B07340" w:rsidRPr="00A07F29" w:rsidRDefault="00B07340" w:rsidP="00B07340">
      <w:pPr>
        <w:spacing w:before="75" w:after="75"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4</w:t>
      </w:r>
      <w:r w:rsidR="00CD5384" w:rsidRPr="00A07F29">
        <w:rPr>
          <w:rFonts w:ascii="Times New Roman" w:eastAsia="Times New Roman" w:hAnsi="Times New Roman" w:cs="Times New Roman"/>
          <w:sz w:val="24"/>
          <w:szCs w:val="24"/>
          <w:lang w:eastAsia="lv-LV"/>
        </w:rPr>
        <w:t>0</w:t>
      </w:r>
      <w:r w:rsidRPr="00A07F29">
        <w:rPr>
          <w:rFonts w:ascii="Times New Roman" w:eastAsia="Times New Roman" w:hAnsi="Times New Roman" w:cs="Times New Roman"/>
          <w:sz w:val="24"/>
          <w:szCs w:val="24"/>
          <w:lang w:eastAsia="lv-LV"/>
        </w:rPr>
        <w:t>.2.</w:t>
      </w:r>
      <w:r w:rsidR="00E00046">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 xml:space="preserve">cirst kokus </w:t>
      </w:r>
      <w:proofErr w:type="spellStart"/>
      <w:r w:rsidRPr="00A07F29">
        <w:rPr>
          <w:rFonts w:ascii="Times New Roman" w:eastAsia="Times New Roman" w:hAnsi="Times New Roman" w:cs="Times New Roman"/>
          <w:sz w:val="24"/>
          <w:szCs w:val="24"/>
          <w:lang w:eastAsia="lv-LV"/>
        </w:rPr>
        <w:t>rekonstruktīvajā</w:t>
      </w:r>
      <w:proofErr w:type="spellEnd"/>
      <w:r w:rsidRPr="00A07F29">
        <w:rPr>
          <w:rFonts w:ascii="Times New Roman" w:eastAsia="Times New Roman" w:hAnsi="Times New Roman" w:cs="Times New Roman"/>
          <w:sz w:val="24"/>
          <w:szCs w:val="24"/>
          <w:lang w:eastAsia="lv-LV"/>
        </w:rPr>
        <w:t xml:space="preserve"> cirtē (izņemot neproduktīvu egļu tīraudžu </w:t>
      </w:r>
      <w:proofErr w:type="spellStart"/>
      <w:r w:rsidRPr="00A07F29">
        <w:rPr>
          <w:rFonts w:ascii="Times New Roman" w:eastAsia="Times New Roman" w:hAnsi="Times New Roman" w:cs="Times New Roman"/>
          <w:sz w:val="24"/>
          <w:szCs w:val="24"/>
          <w:lang w:eastAsia="lv-LV"/>
        </w:rPr>
        <w:t>dabiskoš</w:t>
      </w:r>
      <w:r w:rsidR="00BE45EB" w:rsidRPr="00A07F29">
        <w:rPr>
          <w:rFonts w:ascii="Times New Roman" w:eastAsia="Times New Roman" w:hAnsi="Times New Roman" w:cs="Times New Roman"/>
          <w:sz w:val="24"/>
          <w:szCs w:val="24"/>
          <w:lang w:eastAsia="lv-LV"/>
        </w:rPr>
        <w:t>anu</w:t>
      </w:r>
      <w:proofErr w:type="spellEnd"/>
      <w:r w:rsidR="00BE45EB" w:rsidRPr="00A07F29">
        <w:rPr>
          <w:rFonts w:ascii="Times New Roman" w:eastAsia="Times New Roman" w:hAnsi="Times New Roman" w:cs="Times New Roman"/>
          <w:sz w:val="24"/>
          <w:szCs w:val="24"/>
          <w:lang w:eastAsia="lv-LV"/>
        </w:rPr>
        <w:t xml:space="preserve"> un sugu sastāva dažādošanu, </w:t>
      </w:r>
      <w:r w:rsidRPr="00A07F29">
        <w:rPr>
          <w:rFonts w:ascii="Times New Roman" w:eastAsia="Times New Roman" w:hAnsi="Times New Roman" w:cs="Times New Roman"/>
          <w:sz w:val="24"/>
          <w:szCs w:val="24"/>
          <w:lang w:eastAsia="lv-LV"/>
        </w:rPr>
        <w:t xml:space="preserve">kā arī mežaudzē, kuras </w:t>
      </w:r>
      <w:proofErr w:type="spellStart"/>
      <w:r w:rsidRPr="00A07F29">
        <w:rPr>
          <w:rFonts w:ascii="Times New Roman" w:eastAsia="Times New Roman" w:hAnsi="Times New Roman" w:cs="Times New Roman"/>
          <w:sz w:val="24"/>
          <w:szCs w:val="24"/>
          <w:lang w:eastAsia="lv-LV"/>
        </w:rPr>
        <w:t>šķērslaukums</w:t>
      </w:r>
      <w:proofErr w:type="spellEnd"/>
      <w:r w:rsidRPr="00A07F29">
        <w:rPr>
          <w:rFonts w:ascii="Times New Roman" w:eastAsia="Times New Roman" w:hAnsi="Times New Roman" w:cs="Times New Roman"/>
          <w:sz w:val="24"/>
          <w:szCs w:val="24"/>
          <w:lang w:eastAsia="lv-LV"/>
        </w:rPr>
        <w:t xml:space="preserve"> ir mazāks par kritisko </w:t>
      </w:r>
      <w:proofErr w:type="spellStart"/>
      <w:r w:rsidRPr="00A07F29">
        <w:rPr>
          <w:rFonts w:ascii="Times New Roman" w:eastAsia="Times New Roman" w:hAnsi="Times New Roman" w:cs="Times New Roman"/>
          <w:sz w:val="24"/>
          <w:szCs w:val="24"/>
          <w:lang w:eastAsia="lv-LV"/>
        </w:rPr>
        <w:t>šķērslaukumu</w:t>
      </w:r>
      <w:proofErr w:type="spellEnd"/>
      <w:r w:rsidRPr="00A07F29">
        <w:rPr>
          <w:rFonts w:ascii="Times New Roman" w:eastAsia="Times New Roman" w:hAnsi="Times New Roman" w:cs="Times New Roman"/>
          <w:sz w:val="24"/>
          <w:szCs w:val="24"/>
          <w:lang w:eastAsia="lv-LV"/>
        </w:rPr>
        <w:t>);</w:t>
      </w:r>
    </w:p>
    <w:p w14:paraId="2137AC21" w14:textId="72083B7E" w:rsidR="00B07340" w:rsidRPr="00A07F29" w:rsidRDefault="00B07340" w:rsidP="00B07340">
      <w:pPr>
        <w:spacing w:before="75" w:after="75"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4</w:t>
      </w:r>
      <w:r w:rsidR="00CD5384" w:rsidRPr="00A07F29">
        <w:rPr>
          <w:rFonts w:ascii="Times New Roman" w:eastAsia="Times New Roman" w:hAnsi="Times New Roman" w:cs="Times New Roman"/>
          <w:sz w:val="24"/>
          <w:szCs w:val="24"/>
          <w:lang w:eastAsia="lv-LV"/>
        </w:rPr>
        <w:t>0</w:t>
      </w:r>
      <w:r w:rsidRPr="00A07F29">
        <w:rPr>
          <w:rFonts w:ascii="Times New Roman" w:eastAsia="Times New Roman" w:hAnsi="Times New Roman" w:cs="Times New Roman"/>
          <w:sz w:val="24"/>
          <w:szCs w:val="24"/>
          <w:lang w:eastAsia="lv-LV"/>
        </w:rPr>
        <w:t>.3.</w:t>
      </w:r>
      <w:r w:rsidR="0031190D">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veikt kailcirti dumbrāja un liekņas meža augšanas apstākļu tipos egļu un melnalkšņu audzēs, kā arī visās ozolu un ošu audzēs, lai ilgtermiņā nodrošinātu bioloģiski vērtīgo slapjo un platlapju meža biotopu un t</w:t>
      </w:r>
      <w:r w:rsidR="00AF0189" w:rsidRPr="00A07F29">
        <w:rPr>
          <w:rFonts w:ascii="Times New Roman" w:eastAsia="Times New Roman" w:hAnsi="Times New Roman" w:cs="Times New Roman"/>
          <w:sz w:val="24"/>
          <w:szCs w:val="24"/>
          <w:lang w:eastAsia="lv-LV"/>
        </w:rPr>
        <w:t>iem raksturīgo sugu saglabāšanu;</w:t>
      </w:r>
    </w:p>
    <w:p w14:paraId="5DCCAAA8" w14:textId="44AA8A92" w:rsidR="009576F6" w:rsidRPr="00A07F29" w:rsidRDefault="0E6B778D" w:rsidP="0E6B778D">
      <w:pPr>
        <w:spacing w:before="75" w:after="75"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4</w:t>
      </w:r>
      <w:r w:rsidR="00CD5384" w:rsidRPr="00A07F29">
        <w:rPr>
          <w:rFonts w:ascii="Times New Roman" w:eastAsia="Times New Roman" w:hAnsi="Times New Roman" w:cs="Times New Roman"/>
          <w:sz w:val="24"/>
          <w:szCs w:val="24"/>
          <w:lang w:eastAsia="lv-LV"/>
        </w:rPr>
        <w:t>0</w:t>
      </w:r>
      <w:r w:rsidR="00AF0189" w:rsidRPr="00A07F29">
        <w:rPr>
          <w:rFonts w:ascii="Times New Roman" w:eastAsia="Times New Roman" w:hAnsi="Times New Roman" w:cs="Times New Roman"/>
          <w:sz w:val="24"/>
          <w:szCs w:val="24"/>
          <w:lang w:eastAsia="lv-LV"/>
        </w:rPr>
        <w:t>.</w:t>
      </w:r>
      <w:r w:rsidRPr="00A07F29">
        <w:rPr>
          <w:rFonts w:ascii="Times New Roman" w:eastAsia="Times New Roman" w:hAnsi="Times New Roman" w:cs="Times New Roman"/>
          <w:sz w:val="24"/>
          <w:szCs w:val="24"/>
          <w:lang w:eastAsia="lv-LV"/>
        </w:rPr>
        <w:t>4.</w:t>
      </w:r>
      <w:r w:rsidR="006D32AB">
        <w:rPr>
          <w:rFonts w:ascii="Times New Roman" w:eastAsia="Times New Roman" w:hAnsi="Times New Roman" w:cs="Times New Roman"/>
          <w:sz w:val="24"/>
          <w:szCs w:val="24"/>
          <w:lang w:eastAsia="lv-LV"/>
        </w:rPr>
        <w:t> </w:t>
      </w:r>
      <w:r w:rsidR="00BE45EB" w:rsidRPr="00A07F29">
        <w:rPr>
          <w:rFonts w:ascii="Times New Roman" w:eastAsia="Times New Roman" w:hAnsi="Times New Roman" w:cs="Times New Roman"/>
          <w:sz w:val="24"/>
          <w:szCs w:val="24"/>
          <w:lang w:eastAsia="lv-LV"/>
        </w:rPr>
        <w:t xml:space="preserve">veikt kailcirti </w:t>
      </w:r>
      <w:proofErr w:type="spellStart"/>
      <w:r w:rsidRPr="00A07F29">
        <w:rPr>
          <w:rFonts w:ascii="Times New Roman" w:eastAsia="Times New Roman" w:hAnsi="Times New Roman" w:cs="Times New Roman"/>
          <w:sz w:val="24"/>
          <w:szCs w:val="24"/>
          <w:lang w:eastAsia="lv-LV"/>
        </w:rPr>
        <w:t>Varnaviču</w:t>
      </w:r>
      <w:proofErr w:type="spellEnd"/>
      <w:r w:rsidRPr="00A07F29">
        <w:rPr>
          <w:rFonts w:ascii="Times New Roman" w:eastAsia="Times New Roman" w:hAnsi="Times New Roman" w:cs="Times New Roman"/>
          <w:sz w:val="24"/>
          <w:szCs w:val="24"/>
          <w:lang w:eastAsia="lv-LV"/>
        </w:rPr>
        <w:t xml:space="preserve"> ezera, </w:t>
      </w:r>
      <w:proofErr w:type="spellStart"/>
      <w:r w:rsidRPr="00A07F29">
        <w:rPr>
          <w:rFonts w:ascii="Times New Roman" w:eastAsia="Times New Roman" w:hAnsi="Times New Roman" w:cs="Times New Roman"/>
          <w:sz w:val="24"/>
          <w:szCs w:val="24"/>
          <w:lang w:eastAsia="lv-LV"/>
        </w:rPr>
        <w:t>Šilovkas</w:t>
      </w:r>
      <w:proofErr w:type="spellEnd"/>
      <w:r w:rsidRPr="00A07F29">
        <w:rPr>
          <w:rFonts w:ascii="Times New Roman" w:eastAsia="Times New Roman" w:hAnsi="Times New Roman" w:cs="Times New Roman"/>
          <w:sz w:val="24"/>
          <w:szCs w:val="24"/>
          <w:lang w:eastAsia="lv-LV"/>
        </w:rPr>
        <w:t xml:space="preserve"> ezera un </w:t>
      </w:r>
      <w:proofErr w:type="spellStart"/>
      <w:r w:rsidRPr="00A07F29">
        <w:rPr>
          <w:rFonts w:ascii="Times New Roman" w:eastAsia="Times New Roman" w:hAnsi="Times New Roman" w:cs="Times New Roman"/>
          <w:sz w:val="24"/>
          <w:szCs w:val="24"/>
          <w:lang w:eastAsia="lv-LV"/>
        </w:rPr>
        <w:t>Balticas</w:t>
      </w:r>
      <w:proofErr w:type="spellEnd"/>
      <w:r w:rsidRPr="00A07F29">
        <w:rPr>
          <w:rFonts w:ascii="Times New Roman" w:eastAsia="Times New Roman" w:hAnsi="Times New Roman" w:cs="Times New Roman"/>
          <w:sz w:val="24"/>
          <w:szCs w:val="24"/>
          <w:lang w:eastAsia="lv-LV"/>
        </w:rPr>
        <w:t xml:space="preserve"> ezera </w:t>
      </w:r>
      <w:proofErr w:type="spellStart"/>
      <w:r w:rsidRPr="00A07F29">
        <w:rPr>
          <w:rFonts w:ascii="Times New Roman" w:eastAsia="Times New Roman" w:hAnsi="Times New Roman" w:cs="Times New Roman"/>
          <w:sz w:val="24"/>
          <w:szCs w:val="24"/>
          <w:lang w:eastAsia="lv-LV"/>
        </w:rPr>
        <w:t>pamatbaseinos</w:t>
      </w:r>
      <w:proofErr w:type="spellEnd"/>
      <w:r w:rsidRPr="00A07F29">
        <w:rPr>
          <w:rFonts w:ascii="Times New Roman" w:eastAsia="Times New Roman" w:hAnsi="Times New Roman" w:cs="Times New Roman"/>
          <w:sz w:val="24"/>
          <w:szCs w:val="24"/>
          <w:lang w:eastAsia="lv-LV"/>
        </w:rPr>
        <w:t>, kuri norādīti šo noteikumu 1.</w:t>
      </w:r>
      <w:r w:rsidR="00B9217D">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pielikumā (skat. DA plāna 6.</w:t>
      </w:r>
      <w:r w:rsidR="00B9217D">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 xml:space="preserve">pielikumu), lai novērstu </w:t>
      </w:r>
      <w:proofErr w:type="spellStart"/>
      <w:r w:rsidRPr="00A07F29">
        <w:rPr>
          <w:rFonts w:ascii="Times New Roman" w:eastAsia="Times New Roman" w:hAnsi="Times New Roman" w:cs="Times New Roman"/>
          <w:sz w:val="24"/>
          <w:szCs w:val="24"/>
          <w:lang w:eastAsia="lv-LV"/>
        </w:rPr>
        <w:t>biogēnu</w:t>
      </w:r>
      <w:proofErr w:type="spellEnd"/>
      <w:r w:rsidRPr="00A07F29">
        <w:rPr>
          <w:rFonts w:ascii="Times New Roman" w:eastAsia="Times New Roman" w:hAnsi="Times New Roman" w:cs="Times New Roman"/>
          <w:sz w:val="24"/>
          <w:szCs w:val="24"/>
          <w:lang w:eastAsia="lv-LV"/>
        </w:rPr>
        <w:t xml:space="preserve"> ieplūdi ezeros.</w:t>
      </w:r>
    </w:p>
    <w:p w14:paraId="6FD328A8" w14:textId="01877506" w:rsidR="00B07340" w:rsidRPr="00A07F29" w:rsidRDefault="0E6B778D" w:rsidP="0E6B778D">
      <w:pPr>
        <w:spacing w:before="75" w:after="75" w:line="240" w:lineRule="auto"/>
        <w:jc w:val="both"/>
        <w:rPr>
          <w:rFonts w:ascii="Times New Roman" w:eastAsia="Times New Roman" w:hAnsi="Times New Roman" w:cs="Times New Roman"/>
          <w:color w:val="000000" w:themeColor="text1"/>
          <w:sz w:val="24"/>
          <w:szCs w:val="24"/>
        </w:rPr>
      </w:pPr>
      <w:r w:rsidRPr="00A07F29">
        <w:rPr>
          <w:rFonts w:ascii="Times New Roman" w:eastAsia="Times New Roman" w:hAnsi="Times New Roman" w:cs="Times New Roman"/>
          <w:sz w:val="24"/>
          <w:szCs w:val="24"/>
          <w:lang w:eastAsia="lv-LV"/>
        </w:rPr>
        <w:t>4</w:t>
      </w:r>
      <w:r w:rsidR="00CD5384" w:rsidRPr="00A07F29">
        <w:rPr>
          <w:rFonts w:ascii="Times New Roman" w:eastAsia="Times New Roman" w:hAnsi="Times New Roman" w:cs="Times New Roman"/>
          <w:sz w:val="24"/>
          <w:szCs w:val="24"/>
          <w:lang w:eastAsia="lv-LV"/>
        </w:rPr>
        <w:t>1</w:t>
      </w:r>
      <w:r w:rsidRPr="00A07F29">
        <w:rPr>
          <w:rFonts w:ascii="Times New Roman" w:eastAsia="Times New Roman" w:hAnsi="Times New Roman" w:cs="Times New Roman"/>
          <w:sz w:val="24"/>
          <w:szCs w:val="24"/>
          <w:lang w:eastAsia="lv-LV"/>
        </w:rPr>
        <w:t>.</w:t>
      </w:r>
      <w:r w:rsidR="00D77737">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Maksimāli pieļaujamā kailcirtes platība ir divi hektāri</w:t>
      </w:r>
      <w:r w:rsidRPr="00A07F29">
        <w:rPr>
          <w:rFonts w:ascii="Times New Roman" w:eastAsia="Times New Roman" w:hAnsi="Times New Roman" w:cs="Times New Roman"/>
          <w:i/>
          <w:iCs/>
          <w:sz w:val="24"/>
          <w:szCs w:val="24"/>
          <w:lang w:eastAsia="lv-LV"/>
        </w:rPr>
        <w:t>.</w:t>
      </w:r>
      <w:r w:rsidRPr="00A07F29">
        <w:rPr>
          <w:rFonts w:ascii="Times New Roman" w:eastAsia="Times New Roman" w:hAnsi="Times New Roman" w:cs="Times New Roman"/>
          <w:sz w:val="24"/>
          <w:szCs w:val="24"/>
          <w:lang w:eastAsia="lv-LV"/>
        </w:rPr>
        <w:t xml:space="preserve"> </w:t>
      </w:r>
      <w:r w:rsidRPr="00A07F29">
        <w:rPr>
          <w:rFonts w:ascii="Times New Roman" w:eastAsia="Times New Roman" w:hAnsi="Times New Roman" w:cs="Times New Roman"/>
          <w:color w:val="000000" w:themeColor="text1"/>
          <w:sz w:val="24"/>
          <w:szCs w:val="24"/>
        </w:rPr>
        <w:t>Par plānotajai kailcirtei piegulošām mežaudzēm uzskatāmas mežaudzes, kas ar plānoto kailcirtes cirsmu saskaras vismaz vienā punktā.</w:t>
      </w:r>
    </w:p>
    <w:p w14:paraId="12CB977D" w14:textId="78807F5C" w:rsidR="00B07340" w:rsidRPr="00A07F29" w:rsidRDefault="00B07340" w:rsidP="00B07340">
      <w:pPr>
        <w:spacing w:before="75" w:after="75"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4</w:t>
      </w:r>
      <w:r w:rsidR="00CD5384" w:rsidRPr="00A07F29">
        <w:rPr>
          <w:rFonts w:ascii="Times New Roman" w:eastAsia="Times New Roman" w:hAnsi="Times New Roman" w:cs="Times New Roman"/>
          <w:sz w:val="24"/>
          <w:szCs w:val="24"/>
          <w:lang w:eastAsia="lv-LV"/>
        </w:rPr>
        <w:t>2</w:t>
      </w:r>
      <w:r w:rsidRPr="00A07F29">
        <w:rPr>
          <w:rFonts w:ascii="Times New Roman" w:eastAsia="Times New Roman" w:hAnsi="Times New Roman" w:cs="Times New Roman"/>
          <w:sz w:val="24"/>
          <w:szCs w:val="24"/>
          <w:lang w:eastAsia="lv-LV"/>
        </w:rPr>
        <w:t>.</w:t>
      </w:r>
      <w:r w:rsidR="00255F0F">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Ģenētisko resursu mežaudzes “Priedaines priede” apsaimnieko pēc individuāla apsaimniekošanas plāna, kas saskaņots ar Dabas aizsardzības pārvaldi</w:t>
      </w:r>
      <w:r w:rsidR="009C2FA0" w:rsidRPr="00A07F29">
        <w:rPr>
          <w:rFonts w:ascii="Times New Roman" w:eastAsia="Times New Roman" w:hAnsi="Times New Roman" w:cs="Times New Roman"/>
          <w:sz w:val="24"/>
          <w:szCs w:val="24"/>
          <w:lang w:eastAsia="lv-LV"/>
        </w:rPr>
        <w:t>.</w:t>
      </w:r>
    </w:p>
    <w:p w14:paraId="277F63F6" w14:textId="5A2E16E6" w:rsidR="00B07340" w:rsidRPr="00A07F29" w:rsidRDefault="003F33C8" w:rsidP="00B07340">
      <w:pPr>
        <w:spacing w:before="75" w:after="75"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4</w:t>
      </w:r>
      <w:r w:rsidR="00CD5384" w:rsidRPr="00A07F29">
        <w:rPr>
          <w:rFonts w:ascii="Times New Roman" w:eastAsia="Times New Roman" w:hAnsi="Times New Roman" w:cs="Times New Roman"/>
          <w:sz w:val="24"/>
          <w:szCs w:val="24"/>
          <w:lang w:eastAsia="lv-LV"/>
        </w:rPr>
        <w:t>3</w:t>
      </w:r>
      <w:r w:rsidR="00B07340" w:rsidRPr="00A07F29">
        <w:rPr>
          <w:rFonts w:ascii="Times New Roman" w:eastAsia="Times New Roman" w:hAnsi="Times New Roman" w:cs="Times New Roman"/>
          <w:sz w:val="24"/>
          <w:szCs w:val="24"/>
          <w:lang w:eastAsia="lv-LV"/>
        </w:rPr>
        <w:t>.</w:t>
      </w:r>
      <w:r w:rsidR="00297C4F">
        <w:rPr>
          <w:rFonts w:ascii="Times New Roman" w:eastAsia="Times New Roman" w:hAnsi="Times New Roman" w:cs="Times New Roman"/>
          <w:sz w:val="24"/>
          <w:szCs w:val="24"/>
          <w:lang w:eastAsia="lv-LV"/>
        </w:rPr>
        <w:t> </w:t>
      </w:r>
      <w:r w:rsidR="00B07340" w:rsidRPr="00A07F29">
        <w:rPr>
          <w:rFonts w:ascii="Times New Roman" w:eastAsia="Times New Roman" w:hAnsi="Times New Roman" w:cs="Times New Roman"/>
          <w:sz w:val="24"/>
          <w:szCs w:val="24"/>
          <w:lang w:eastAsia="lv-LV"/>
        </w:rPr>
        <w:t>Gar ainaviskiem ceļiem, kas no</w:t>
      </w:r>
      <w:r w:rsidR="00BE45EB" w:rsidRPr="00A07F29">
        <w:rPr>
          <w:rFonts w:ascii="Times New Roman" w:eastAsia="Times New Roman" w:hAnsi="Times New Roman" w:cs="Times New Roman"/>
          <w:sz w:val="24"/>
          <w:szCs w:val="24"/>
          <w:lang w:eastAsia="lv-LV"/>
        </w:rPr>
        <w:t>rādīti šo noteikumus 1</w:t>
      </w:r>
      <w:r w:rsidR="00B07340" w:rsidRPr="00A07F29">
        <w:rPr>
          <w:rFonts w:ascii="Times New Roman" w:eastAsia="Times New Roman" w:hAnsi="Times New Roman" w:cs="Times New Roman"/>
          <w:sz w:val="24"/>
          <w:szCs w:val="24"/>
          <w:lang w:eastAsia="lv-LV"/>
        </w:rPr>
        <w:t>.</w:t>
      </w:r>
      <w:r w:rsidR="00297C4F">
        <w:rPr>
          <w:rFonts w:ascii="Times New Roman" w:eastAsia="Times New Roman" w:hAnsi="Times New Roman" w:cs="Times New Roman"/>
          <w:sz w:val="24"/>
          <w:szCs w:val="24"/>
          <w:lang w:eastAsia="lv-LV"/>
        </w:rPr>
        <w:t> </w:t>
      </w:r>
      <w:r w:rsidR="00B07340" w:rsidRPr="00A07F29">
        <w:rPr>
          <w:rFonts w:ascii="Times New Roman" w:eastAsia="Times New Roman" w:hAnsi="Times New Roman" w:cs="Times New Roman"/>
          <w:sz w:val="24"/>
          <w:szCs w:val="24"/>
          <w:lang w:eastAsia="lv-LV"/>
        </w:rPr>
        <w:t>pielikumā</w:t>
      </w:r>
      <w:r w:rsidR="00BE45EB" w:rsidRPr="00A07F29">
        <w:rPr>
          <w:rFonts w:ascii="Times New Roman" w:eastAsia="Times New Roman" w:hAnsi="Times New Roman" w:cs="Times New Roman"/>
          <w:sz w:val="24"/>
          <w:szCs w:val="24"/>
          <w:lang w:eastAsia="lv-LV"/>
        </w:rPr>
        <w:t xml:space="preserve"> (skat. DA plāna 6. pielikumu)</w:t>
      </w:r>
      <w:r w:rsidR="00B07340" w:rsidRPr="00A07F29">
        <w:rPr>
          <w:rFonts w:ascii="Times New Roman" w:eastAsia="Times New Roman" w:hAnsi="Times New Roman" w:cs="Times New Roman"/>
          <w:sz w:val="24"/>
          <w:szCs w:val="24"/>
          <w:lang w:eastAsia="lv-LV"/>
        </w:rPr>
        <w:t>, kailcirtei piegulošo mežaudzi nocērt ne agrāk kā 10 gadus pēc kailcirtes skuju koku audzēs un piecus gadus pēc kailcirtes lapu koku audzēs, ja kailcirtes platībā mežaudze atzīta par atjaunotu un atjaunotās mežaudzes koku vidējais augstums skuju kokiem ir viens metrs un vairāk, bet lapu kokiem – divi metri un vairāk.</w:t>
      </w:r>
    </w:p>
    <w:p w14:paraId="5D2AAE21" w14:textId="3A143C56" w:rsidR="00B07340" w:rsidRPr="00A07F29" w:rsidRDefault="003F33C8" w:rsidP="00B07340">
      <w:pPr>
        <w:spacing w:before="75" w:after="75"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4</w:t>
      </w:r>
      <w:r w:rsidR="00CD5384" w:rsidRPr="00A07F29">
        <w:rPr>
          <w:rFonts w:ascii="Times New Roman" w:eastAsia="Times New Roman" w:hAnsi="Times New Roman" w:cs="Times New Roman"/>
          <w:sz w:val="24"/>
          <w:szCs w:val="24"/>
          <w:lang w:eastAsia="lv-LV"/>
        </w:rPr>
        <w:t>4</w:t>
      </w:r>
      <w:r w:rsidR="00B07340" w:rsidRPr="00A07F29">
        <w:rPr>
          <w:rFonts w:ascii="Times New Roman" w:eastAsia="Times New Roman" w:hAnsi="Times New Roman" w:cs="Times New Roman"/>
          <w:sz w:val="24"/>
          <w:szCs w:val="24"/>
          <w:lang w:eastAsia="lv-LV"/>
        </w:rPr>
        <w:t>.</w:t>
      </w:r>
      <w:r w:rsidR="00CA29BA">
        <w:rPr>
          <w:rFonts w:ascii="Times New Roman" w:eastAsia="Times New Roman" w:hAnsi="Times New Roman" w:cs="Times New Roman"/>
          <w:sz w:val="24"/>
          <w:szCs w:val="24"/>
          <w:lang w:eastAsia="lv-LV"/>
        </w:rPr>
        <w:t> </w:t>
      </w:r>
      <w:r w:rsidR="00B07340" w:rsidRPr="00A07F29">
        <w:rPr>
          <w:rFonts w:ascii="Times New Roman" w:eastAsia="Times New Roman" w:hAnsi="Times New Roman" w:cs="Times New Roman"/>
          <w:sz w:val="24"/>
          <w:szCs w:val="24"/>
          <w:lang w:eastAsia="lv-LV"/>
        </w:rPr>
        <w:t xml:space="preserve">Mežaudzēs galvenajā un kopšanas cirtē saglabā vismaz </w:t>
      </w:r>
      <w:r w:rsidR="007042FA" w:rsidRPr="00A07F29">
        <w:rPr>
          <w:rFonts w:ascii="Times New Roman" w:eastAsia="Times New Roman" w:hAnsi="Times New Roman" w:cs="Times New Roman"/>
          <w:sz w:val="24"/>
          <w:szCs w:val="24"/>
          <w:lang w:eastAsia="lv-LV"/>
        </w:rPr>
        <w:t>15</w:t>
      </w:r>
      <w:r w:rsidR="00B07340" w:rsidRPr="00A07F29">
        <w:rPr>
          <w:rFonts w:ascii="Times New Roman" w:eastAsia="Times New Roman" w:hAnsi="Times New Roman" w:cs="Times New Roman"/>
          <w:sz w:val="24"/>
          <w:szCs w:val="24"/>
          <w:lang w:eastAsia="lv-LV"/>
        </w:rPr>
        <w:t xml:space="preserve"> dzīvotspējīgus vecākos un lielāko izmēru kokus (ekoloģiskos kokus) uz cirsmas hektāru, vispirms saglabājot resnākos (koku caurmērs lielāks par valdošās koku sugas koku vidējo caurmēru) ozolus, liepas, priedes, ošus, gobas, vīksnas, melnalkšņus un kļavas. Ja šādu koku mežaudzē nav, vispirms saglabā apses un bērzus, kā arī kokus ar lieliem un resniem zariem, dobumainus kokus un kokus ar deguma rētām.</w:t>
      </w:r>
    </w:p>
    <w:p w14:paraId="4967190E" w14:textId="0D75477E" w:rsidR="00B07340" w:rsidRPr="00A07F29" w:rsidRDefault="003F33C8" w:rsidP="00B07340">
      <w:pPr>
        <w:spacing w:before="75" w:after="75"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4</w:t>
      </w:r>
      <w:r w:rsidR="00CD5384" w:rsidRPr="00A07F29">
        <w:rPr>
          <w:rFonts w:ascii="Times New Roman" w:eastAsia="Times New Roman" w:hAnsi="Times New Roman" w:cs="Times New Roman"/>
          <w:sz w:val="24"/>
          <w:szCs w:val="24"/>
          <w:lang w:eastAsia="lv-LV"/>
        </w:rPr>
        <w:t>5</w:t>
      </w:r>
      <w:r w:rsidR="00B07340" w:rsidRPr="00A07F29">
        <w:rPr>
          <w:rFonts w:ascii="Times New Roman" w:eastAsia="Times New Roman" w:hAnsi="Times New Roman" w:cs="Times New Roman"/>
          <w:sz w:val="24"/>
          <w:szCs w:val="24"/>
          <w:lang w:eastAsia="lv-LV"/>
        </w:rPr>
        <w:t>.</w:t>
      </w:r>
      <w:r w:rsidR="00137C80">
        <w:rPr>
          <w:rFonts w:ascii="Times New Roman" w:eastAsia="Times New Roman" w:hAnsi="Times New Roman" w:cs="Times New Roman"/>
          <w:sz w:val="24"/>
          <w:szCs w:val="24"/>
          <w:lang w:eastAsia="lv-LV"/>
        </w:rPr>
        <w:t> </w:t>
      </w:r>
      <w:r w:rsidR="00B07340" w:rsidRPr="00A07F29">
        <w:rPr>
          <w:rFonts w:ascii="Times New Roman" w:eastAsia="Times New Roman" w:hAnsi="Times New Roman" w:cs="Times New Roman"/>
          <w:sz w:val="24"/>
          <w:szCs w:val="24"/>
          <w:lang w:eastAsia="lv-LV"/>
        </w:rPr>
        <w:t>Kailcirtē saglabājamos kokus pēc iespējas atstāj grupās, saglabājot tajās arī paaugu vai pamežu, izņemot gadījumus, ja apsaimniekojamā meža platība vienā kadastra vienībā ir mazāka par vienu hektāru.</w:t>
      </w:r>
    </w:p>
    <w:p w14:paraId="539E83D4" w14:textId="77777777" w:rsidR="0008428C" w:rsidRDefault="0008428C" w:rsidP="00F83957">
      <w:pPr>
        <w:spacing w:before="240" w:after="120" w:line="240" w:lineRule="auto"/>
        <w:jc w:val="center"/>
        <w:rPr>
          <w:rFonts w:ascii="Times New Roman" w:eastAsia="Times New Roman" w:hAnsi="Times New Roman" w:cs="Times New Roman"/>
          <w:b/>
          <w:sz w:val="24"/>
          <w:szCs w:val="24"/>
          <w:lang w:eastAsia="lv-LV"/>
        </w:rPr>
      </w:pPr>
    </w:p>
    <w:p w14:paraId="03C99255" w14:textId="77777777" w:rsidR="0008428C" w:rsidRDefault="0008428C" w:rsidP="00F83957">
      <w:pPr>
        <w:spacing w:before="240" w:after="120" w:line="240" w:lineRule="auto"/>
        <w:jc w:val="center"/>
        <w:rPr>
          <w:rFonts w:ascii="Times New Roman" w:eastAsia="Times New Roman" w:hAnsi="Times New Roman" w:cs="Times New Roman"/>
          <w:b/>
          <w:sz w:val="24"/>
          <w:szCs w:val="24"/>
          <w:lang w:eastAsia="lv-LV"/>
        </w:rPr>
      </w:pPr>
    </w:p>
    <w:p w14:paraId="0D539809" w14:textId="03342DB1" w:rsidR="00F83957" w:rsidRPr="00A07F29" w:rsidRDefault="00F83957" w:rsidP="00F83957">
      <w:pPr>
        <w:spacing w:before="240" w:after="120" w:line="240" w:lineRule="auto"/>
        <w:jc w:val="center"/>
        <w:rPr>
          <w:rFonts w:ascii="Times New Roman" w:eastAsia="Times New Roman" w:hAnsi="Times New Roman" w:cs="Times New Roman"/>
          <w:b/>
          <w:sz w:val="24"/>
          <w:szCs w:val="24"/>
          <w:lang w:eastAsia="lv-LV"/>
        </w:rPr>
      </w:pPr>
      <w:r w:rsidRPr="00A07F29">
        <w:rPr>
          <w:rFonts w:ascii="Times New Roman" w:eastAsia="Times New Roman" w:hAnsi="Times New Roman" w:cs="Times New Roman"/>
          <w:b/>
          <w:sz w:val="24"/>
          <w:szCs w:val="24"/>
          <w:lang w:eastAsia="lv-LV"/>
        </w:rPr>
        <w:lastRenderedPageBreak/>
        <w:t>VI</w:t>
      </w:r>
      <w:r w:rsidR="00766A27">
        <w:rPr>
          <w:rFonts w:ascii="Times New Roman" w:eastAsia="Times New Roman" w:hAnsi="Times New Roman" w:cs="Times New Roman"/>
          <w:b/>
          <w:sz w:val="24"/>
          <w:szCs w:val="24"/>
          <w:lang w:eastAsia="lv-LV"/>
        </w:rPr>
        <w:t>I.</w:t>
      </w:r>
      <w:r w:rsidRPr="00A07F29">
        <w:rPr>
          <w:rFonts w:ascii="Times New Roman" w:eastAsia="Times New Roman" w:hAnsi="Times New Roman" w:cs="Times New Roman"/>
          <w:b/>
          <w:sz w:val="24"/>
          <w:szCs w:val="24"/>
          <w:lang w:eastAsia="lv-LV"/>
        </w:rPr>
        <w:t xml:space="preserve"> Neitrālā zona</w:t>
      </w:r>
    </w:p>
    <w:p w14:paraId="5AFC4AD0" w14:textId="38DA36CF" w:rsidR="00F83957" w:rsidRPr="00A07F29" w:rsidRDefault="003F33C8" w:rsidP="00F83957">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4</w:t>
      </w:r>
      <w:r w:rsidR="00CD5384" w:rsidRPr="00A07F29">
        <w:rPr>
          <w:rFonts w:ascii="Times New Roman" w:eastAsia="Times New Roman" w:hAnsi="Times New Roman" w:cs="Times New Roman"/>
          <w:sz w:val="24"/>
          <w:szCs w:val="24"/>
          <w:lang w:eastAsia="lv-LV"/>
        </w:rPr>
        <w:t>6</w:t>
      </w:r>
      <w:r w:rsidR="00F83957" w:rsidRPr="00A07F29">
        <w:rPr>
          <w:rFonts w:ascii="Times New Roman" w:eastAsia="Times New Roman" w:hAnsi="Times New Roman" w:cs="Times New Roman"/>
          <w:sz w:val="24"/>
          <w:szCs w:val="24"/>
          <w:lang w:eastAsia="lv-LV"/>
        </w:rPr>
        <w:t>.</w:t>
      </w:r>
      <w:r w:rsidR="00766A27">
        <w:rPr>
          <w:rFonts w:ascii="Times New Roman" w:eastAsia="Times New Roman" w:hAnsi="Times New Roman" w:cs="Times New Roman"/>
          <w:sz w:val="24"/>
          <w:szCs w:val="24"/>
          <w:lang w:eastAsia="lv-LV"/>
        </w:rPr>
        <w:t> </w:t>
      </w:r>
      <w:r w:rsidR="00F83957" w:rsidRPr="00A07F29">
        <w:rPr>
          <w:rFonts w:ascii="Times New Roman" w:eastAsia="Times New Roman" w:hAnsi="Times New Roman" w:cs="Times New Roman"/>
          <w:sz w:val="24"/>
          <w:szCs w:val="24"/>
          <w:lang w:eastAsia="lv-LV"/>
        </w:rPr>
        <w:t>Neitrālā zona ir izveidota, lai nodrošinātu teritorijas ilgtspējīgu saimniecisko izmantošanu un attīstību, kā arī nodrošinātu transporta infrastruktūras objektu uzturēšanu un attīstību.</w:t>
      </w:r>
    </w:p>
    <w:p w14:paraId="1BCEFA96" w14:textId="0345C06C" w:rsidR="00F83957" w:rsidRPr="00A07F29" w:rsidRDefault="003F33C8" w:rsidP="00F83957">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4</w:t>
      </w:r>
      <w:r w:rsidR="00CD5384" w:rsidRPr="00A07F29">
        <w:rPr>
          <w:rFonts w:ascii="Times New Roman" w:eastAsia="Times New Roman" w:hAnsi="Times New Roman" w:cs="Times New Roman"/>
          <w:sz w:val="24"/>
          <w:szCs w:val="24"/>
          <w:lang w:eastAsia="lv-LV"/>
        </w:rPr>
        <w:t>7</w:t>
      </w:r>
      <w:r w:rsidR="00F83957" w:rsidRPr="00A07F29">
        <w:rPr>
          <w:rFonts w:ascii="Times New Roman" w:eastAsia="Times New Roman" w:hAnsi="Times New Roman" w:cs="Times New Roman"/>
          <w:sz w:val="24"/>
          <w:szCs w:val="24"/>
          <w:lang w:eastAsia="lv-LV"/>
        </w:rPr>
        <w:t>.</w:t>
      </w:r>
      <w:r w:rsidR="005E27DB">
        <w:rPr>
          <w:rFonts w:ascii="Times New Roman" w:eastAsia="Times New Roman" w:hAnsi="Times New Roman" w:cs="Times New Roman"/>
          <w:sz w:val="24"/>
          <w:szCs w:val="24"/>
          <w:lang w:eastAsia="lv-LV"/>
        </w:rPr>
        <w:t> </w:t>
      </w:r>
      <w:r w:rsidR="00F83957" w:rsidRPr="00A07F29">
        <w:rPr>
          <w:rFonts w:ascii="Times New Roman" w:eastAsia="Times New Roman" w:hAnsi="Times New Roman" w:cs="Times New Roman"/>
          <w:sz w:val="24"/>
          <w:szCs w:val="24"/>
          <w:lang w:eastAsia="lv-LV"/>
        </w:rPr>
        <w:t>Būvniecība neitrālajā zonā pieļaujama atbilstoši vietējās pašvaldības teritorijas plānojumam, ievērojot šajos noteikumos, kā arī būvniecību un vides aizsardzību regulējošos normatīvajos aktos noteikto kārtību un ierobežojumus. Nav atļauta jaunu A kategorijas piesārņojošās darbības uzņēmumu izveidošana, izņemot esošu uzņēmu</w:t>
      </w:r>
      <w:r w:rsidR="005E27DB">
        <w:rPr>
          <w:rFonts w:ascii="Times New Roman" w:eastAsia="Times New Roman" w:hAnsi="Times New Roman" w:cs="Times New Roman"/>
          <w:sz w:val="24"/>
          <w:szCs w:val="24"/>
          <w:lang w:eastAsia="lv-LV"/>
        </w:rPr>
        <w:t>mu</w:t>
      </w:r>
      <w:r w:rsidR="00F83957" w:rsidRPr="00A07F29">
        <w:rPr>
          <w:rFonts w:ascii="Times New Roman" w:eastAsia="Times New Roman" w:hAnsi="Times New Roman" w:cs="Times New Roman"/>
          <w:sz w:val="24"/>
          <w:szCs w:val="24"/>
          <w:lang w:eastAsia="lv-LV"/>
        </w:rPr>
        <w:t xml:space="preserve"> darbības paplašināšanu.</w:t>
      </w:r>
    </w:p>
    <w:p w14:paraId="0E7EBA70" w14:textId="5DAD14B5" w:rsidR="00B07340" w:rsidRPr="00A07F29" w:rsidRDefault="00B07340" w:rsidP="009C2FA0">
      <w:pPr>
        <w:spacing w:before="240" w:after="120" w:line="240" w:lineRule="auto"/>
        <w:jc w:val="center"/>
        <w:rPr>
          <w:rFonts w:ascii="Times New Roman" w:eastAsia="Times New Roman" w:hAnsi="Times New Roman" w:cs="Times New Roman"/>
          <w:b/>
          <w:bCs/>
          <w:sz w:val="24"/>
          <w:szCs w:val="24"/>
          <w:lang w:eastAsia="lv-LV"/>
        </w:rPr>
      </w:pPr>
      <w:r w:rsidRPr="00A07F29">
        <w:rPr>
          <w:rFonts w:ascii="Times New Roman" w:eastAsia="Times New Roman" w:hAnsi="Times New Roman" w:cs="Times New Roman"/>
          <w:b/>
          <w:bCs/>
          <w:sz w:val="24"/>
          <w:szCs w:val="24"/>
          <w:lang w:eastAsia="lv-LV"/>
        </w:rPr>
        <w:t>VII</w:t>
      </w:r>
      <w:r w:rsidR="00220963">
        <w:rPr>
          <w:rFonts w:ascii="Times New Roman" w:eastAsia="Times New Roman" w:hAnsi="Times New Roman" w:cs="Times New Roman"/>
          <w:b/>
          <w:bCs/>
          <w:sz w:val="24"/>
          <w:szCs w:val="24"/>
          <w:lang w:eastAsia="lv-LV"/>
        </w:rPr>
        <w:t>I</w:t>
      </w:r>
      <w:r w:rsidRPr="00A07F29">
        <w:rPr>
          <w:rFonts w:ascii="Times New Roman" w:eastAsia="Times New Roman" w:hAnsi="Times New Roman" w:cs="Times New Roman"/>
          <w:b/>
          <w:bCs/>
          <w:sz w:val="24"/>
          <w:szCs w:val="24"/>
          <w:lang w:eastAsia="lv-LV"/>
        </w:rPr>
        <w:t>. Dabas pieminekļi</w:t>
      </w:r>
    </w:p>
    <w:p w14:paraId="2EC3039A" w14:textId="2B3E9FC0" w:rsidR="00B07340" w:rsidRPr="00A07F29" w:rsidRDefault="003F33C8"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4</w:t>
      </w:r>
      <w:r w:rsidR="00CD5384" w:rsidRPr="00A07F29">
        <w:rPr>
          <w:rFonts w:ascii="Times New Roman" w:eastAsia="Times New Roman" w:hAnsi="Times New Roman" w:cs="Times New Roman"/>
          <w:sz w:val="24"/>
          <w:szCs w:val="24"/>
          <w:lang w:eastAsia="lv-LV"/>
        </w:rPr>
        <w:t>8</w:t>
      </w:r>
      <w:r w:rsidR="00B07340" w:rsidRPr="00A07F29">
        <w:rPr>
          <w:rFonts w:ascii="Times New Roman" w:eastAsia="Times New Roman" w:hAnsi="Times New Roman" w:cs="Times New Roman"/>
          <w:sz w:val="24"/>
          <w:szCs w:val="24"/>
          <w:lang w:eastAsia="lv-LV"/>
        </w:rPr>
        <w:t>.</w:t>
      </w:r>
      <w:r w:rsidR="00220963">
        <w:rPr>
          <w:rFonts w:ascii="Times New Roman" w:eastAsia="Times New Roman" w:hAnsi="Times New Roman" w:cs="Times New Roman"/>
          <w:sz w:val="24"/>
          <w:szCs w:val="24"/>
          <w:lang w:eastAsia="lv-LV"/>
        </w:rPr>
        <w:t> </w:t>
      </w:r>
      <w:r w:rsidR="00B07340" w:rsidRPr="00A07F29">
        <w:rPr>
          <w:rFonts w:ascii="Times New Roman" w:eastAsia="Times New Roman" w:hAnsi="Times New Roman" w:cs="Times New Roman"/>
          <w:sz w:val="24"/>
          <w:szCs w:val="24"/>
          <w:lang w:eastAsia="lv-LV"/>
        </w:rPr>
        <w:t>Šīs nodaļas prasības attiecas uz šādiem dabas pieminekļiem:</w:t>
      </w:r>
    </w:p>
    <w:p w14:paraId="0A6DE52B" w14:textId="29285F5E" w:rsidR="00B07340" w:rsidRPr="00A07F29" w:rsidRDefault="003F33C8"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4</w:t>
      </w:r>
      <w:r w:rsidR="00CD5384" w:rsidRPr="00A07F29">
        <w:rPr>
          <w:rFonts w:ascii="Times New Roman" w:eastAsia="Times New Roman" w:hAnsi="Times New Roman" w:cs="Times New Roman"/>
          <w:sz w:val="24"/>
          <w:szCs w:val="24"/>
          <w:lang w:eastAsia="lv-LV"/>
        </w:rPr>
        <w:t>8</w:t>
      </w:r>
      <w:r w:rsidRPr="00A07F29">
        <w:rPr>
          <w:rFonts w:ascii="Times New Roman" w:eastAsia="Times New Roman" w:hAnsi="Times New Roman" w:cs="Times New Roman"/>
          <w:sz w:val="24"/>
          <w:szCs w:val="24"/>
          <w:lang w:eastAsia="lv-LV"/>
        </w:rPr>
        <w:t>.</w:t>
      </w:r>
      <w:r w:rsidR="00B07340" w:rsidRPr="00A07F29">
        <w:rPr>
          <w:rFonts w:ascii="Times New Roman" w:eastAsia="Times New Roman" w:hAnsi="Times New Roman" w:cs="Times New Roman"/>
          <w:sz w:val="24"/>
          <w:szCs w:val="24"/>
          <w:lang w:eastAsia="lv-LV"/>
        </w:rPr>
        <w:t>1.</w:t>
      </w:r>
      <w:r w:rsidR="00EF6FFF">
        <w:rPr>
          <w:rFonts w:ascii="Times New Roman" w:eastAsia="Times New Roman" w:hAnsi="Times New Roman" w:cs="Times New Roman"/>
          <w:sz w:val="24"/>
          <w:szCs w:val="24"/>
          <w:lang w:eastAsia="lv-LV"/>
        </w:rPr>
        <w:t> </w:t>
      </w:r>
      <w:r w:rsidR="00B07340" w:rsidRPr="00A07F29">
        <w:rPr>
          <w:rFonts w:ascii="Times New Roman" w:eastAsia="Times New Roman" w:hAnsi="Times New Roman" w:cs="Times New Roman"/>
          <w:sz w:val="24"/>
          <w:szCs w:val="24"/>
          <w:lang w:eastAsia="lv-LV"/>
        </w:rPr>
        <w:t>aizsargājamiem kokiem – vietējo un citzemju sugu dižkokiem (koki, kuru apkārtmērs 1,3 metru augstumā virs koka sakņu kakla vai augstums nav mazāks par šo noteikumu 3.</w:t>
      </w:r>
      <w:r w:rsidR="00EF6FFF">
        <w:rPr>
          <w:rFonts w:ascii="Times New Roman" w:eastAsia="Times New Roman" w:hAnsi="Times New Roman" w:cs="Times New Roman"/>
          <w:sz w:val="24"/>
          <w:szCs w:val="24"/>
          <w:lang w:eastAsia="lv-LV"/>
        </w:rPr>
        <w:t> </w:t>
      </w:r>
      <w:r w:rsidR="00B07340" w:rsidRPr="00A07F29">
        <w:rPr>
          <w:rFonts w:ascii="Times New Roman" w:eastAsia="Times New Roman" w:hAnsi="Times New Roman" w:cs="Times New Roman"/>
          <w:sz w:val="24"/>
          <w:szCs w:val="24"/>
          <w:lang w:eastAsia="lv-LV"/>
        </w:rPr>
        <w:t>pielikumā minētajiem izmēriem, tai skaitā sausi koki, kritalas un koku stumbeņi) un teritoriju ap kokiem vainagu projekcijas platībā, kā arī 10 metru platā joslā no tās (mērot no aizsargājamā koka vainaga projekcijas ārējās malas);</w:t>
      </w:r>
    </w:p>
    <w:p w14:paraId="34FD5B45" w14:textId="6F2E0944" w:rsidR="00B07340" w:rsidRPr="00A07F29" w:rsidRDefault="003F33C8"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4</w:t>
      </w:r>
      <w:r w:rsidR="00CD5384" w:rsidRPr="00A07F29">
        <w:rPr>
          <w:rFonts w:ascii="Times New Roman" w:eastAsia="Times New Roman" w:hAnsi="Times New Roman" w:cs="Times New Roman"/>
          <w:sz w:val="24"/>
          <w:szCs w:val="24"/>
          <w:lang w:eastAsia="lv-LV"/>
        </w:rPr>
        <w:t>8</w:t>
      </w:r>
      <w:r w:rsidR="00B07340" w:rsidRPr="00A07F29">
        <w:rPr>
          <w:rFonts w:ascii="Times New Roman" w:eastAsia="Times New Roman" w:hAnsi="Times New Roman" w:cs="Times New Roman"/>
          <w:sz w:val="24"/>
          <w:szCs w:val="24"/>
          <w:lang w:eastAsia="lv-LV"/>
        </w:rPr>
        <w:t>.2.</w:t>
      </w:r>
      <w:r w:rsidR="00993090">
        <w:rPr>
          <w:rFonts w:ascii="Times New Roman" w:eastAsia="Times New Roman" w:hAnsi="Times New Roman" w:cs="Times New Roman"/>
          <w:sz w:val="24"/>
          <w:szCs w:val="24"/>
          <w:lang w:eastAsia="lv-LV"/>
        </w:rPr>
        <w:t> </w:t>
      </w:r>
      <w:r w:rsidR="00B07340" w:rsidRPr="00A07F29">
        <w:rPr>
          <w:rFonts w:ascii="Times New Roman" w:eastAsia="Times New Roman" w:hAnsi="Times New Roman" w:cs="Times New Roman"/>
          <w:sz w:val="24"/>
          <w:szCs w:val="24"/>
          <w:lang w:eastAsia="lv-LV"/>
        </w:rPr>
        <w:t>aizsargājamiem dendroloģiskajiem stādījumiem;</w:t>
      </w:r>
    </w:p>
    <w:p w14:paraId="76A325D4" w14:textId="5F6F9A84" w:rsidR="00B07340" w:rsidRPr="00A07F29" w:rsidRDefault="00CD5384"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48</w:t>
      </w:r>
      <w:r w:rsidR="00B07340" w:rsidRPr="00A07F29">
        <w:rPr>
          <w:rFonts w:ascii="Times New Roman" w:eastAsia="Times New Roman" w:hAnsi="Times New Roman" w:cs="Times New Roman"/>
          <w:sz w:val="24"/>
          <w:szCs w:val="24"/>
          <w:lang w:eastAsia="lv-LV"/>
        </w:rPr>
        <w:t>.3.</w:t>
      </w:r>
      <w:r w:rsidR="00993090">
        <w:rPr>
          <w:rFonts w:ascii="Times New Roman" w:eastAsia="Times New Roman" w:hAnsi="Times New Roman" w:cs="Times New Roman"/>
          <w:sz w:val="24"/>
          <w:szCs w:val="24"/>
          <w:lang w:eastAsia="lv-LV"/>
        </w:rPr>
        <w:t> </w:t>
      </w:r>
      <w:r w:rsidR="00B07340" w:rsidRPr="00A07F29">
        <w:rPr>
          <w:rFonts w:ascii="Times New Roman" w:eastAsia="Times New Roman" w:hAnsi="Times New Roman" w:cs="Times New Roman"/>
          <w:sz w:val="24"/>
          <w:szCs w:val="24"/>
          <w:lang w:eastAsia="lv-LV"/>
        </w:rPr>
        <w:t>aizsargājamām alejām;</w:t>
      </w:r>
    </w:p>
    <w:p w14:paraId="6BEF25F5" w14:textId="0A48A160" w:rsidR="00B07340" w:rsidRPr="00A07F29" w:rsidRDefault="003F33C8"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4</w:t>
      </w:r>
      <w:r w:rsidR="00CD5384" w:rsidRPr="00A07F29">
        <w:rPr>
          <w:rFonts w:ascii="Times New Roman" w:eastAsia="Times New Roman" w:hAnsi="Times New Roman" w:cs="Times New Roman"/>
          <w:sz w:val="24"/>
          <w:szCs w:val="24"/>
          <w:lang w:eastAsia="lv-LV"/>
        </w:rPr>
        <w:t>8</w:t>
      </w:r>
      <w:r w:rsidR="00B07340" w:rsidRPr="00A07F29">
        <w:rPr>
          <w:rFonts w:ascii="Times New Roman" w:eastAsia="Times New Roman" w:hAnsi="Times New Roman" w:cs="Times New Roman"/>
          <w:sz w:val="24"/>
          <w:szCs w:val="24"/>
          <w:lang w:eastAsia="lv-LV"/>
        </w:rPr>
        <w:t>.4.</w:t>
      </w:r>
      <w:r w:rsidR="00993090">
        <w:rPr>
          <w:rFonts w:ascii="Times New Roman" w:eastAsia="Times New Roman" w:hAnsi="Times New Roman" w:cs="Times New Roman"/>
          <w:sz w:val="24"/>
          <w:szCs w:val="24"/>
          <w:lang w:eastAsia="lv-LV"/>
        </w:rPr>
        <w:t> </w:t>
      </w:r>
      <w:r w:rsidR="00B07340" w:rsidRPr="00A07F29">
        <w:rPr>
          <w:rFonts w:ascii="Times New Roman" w:eastAsia="Times New Roman" w:hAnsi="Times New Roman" w:cs="Times New Roman"/>
          <w:sz w:val="24"/>
          <w:szCs w:val="24"/>
          <w:lang w:eastAsia="lv-LV"/>
        </w:rPr>
        <w:t xml:space="preserve">aizsargājamiem ģeoloģiskiem un </w:t>
      </w:r>
      <w:proofErr w:type="spellStart"/>
      <w:r w:rsidR="00B07340" w:rsidRPr="00A07F29">
        <w:rPr>
          <w:rFonts w:ascii="Times New Roman" w:eastAsia="Times New Roman" w:hAnsi="Times New Roman" w:cs="Times New Roman"/>
          <w:sz w:val="24"/>
          <w:szCs w:val="24"/>
          <w:lang w:eastAsia="lv-LV"/>
        </w:rPr>
        <w:t>ģeomorfoloģiskiem</w:t>
      </w:r>
      <w:proofErr w:type="spellEnd"/>
      <w:r w:rsidR="00B07340" w:rsidRPr="00A07F29">
        <w:rPr>
          <w:rFonts w:ascii="Times New Roman" w:eastAsia="Times New Roman" w:hAnsi="Times New Roman" w:cs="Times New Roman"/>
          <w:sz w:val="24"/>
          <w:szCs w:val="24"/>
          <w:lang w:eastAsia="lv-LV"/>
        </w:rPr>
        <w:t xml:space="preserve"> pieminekļiem.</w:t>
      </w:r>
    </w:p>
    <w:p w14:paraId="5090103A" w14:textId="49639D84" w:rsidR="00B07340" w:rsidRPr="00A07F29" w:rsidRDefault="00CD5384"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49</w:t>
      </w:r>
      <w:r w:rsidR="00B07340" w:rsidRPr="00A07F29">
        <w:rPr>
          <w:rFonts w:ascii="Times New Roman" w:eastAsia="Times New Roman" w:hAnsi="Times New Roman" w:cs="Times New Roman"/>
          <w:sz w:val="24"/>
          <w:szCs w:val="24"/>
          <w:lang w:eastAsia="lv-LV"/>
        </w:rPr>
        <w:t>.</w:t>
      </w:r>
      <w:r w:rsidR="00993090">
        <w:rPr>
          <w:rFonts w:ascii="Times New Roman" w:eastAsia="Times New Roman" w:hAnsi="Times New Roman" w:cs="Times New Roman"/>
          <w:sz w:val="24"/>
          <w:szCs w:val="24"/>
          <w:lang w:eastAsia="lv-LV"/>
        </w:rPr>
        <w:t> </w:t>
      </w:r>
      <w:r w:rsidR="00B07340" w:rsidRPr="00A07F29">
        <w:rPr>
          <w:rFonts w:ascii="Times New Roman" w:eastAsia="Times New Roman" w:hAnsi="Times New Roman" w:cs="Times New Roman"/>
          <w:sz w:val="24"/>
          <w:szCs w:val="24"/>
          <w:lang w:eastAsia="lv-LV"/>
        </w:rPr>
        <w:t>Ja dabas piemineklis vai tā daļa atrodas valsts aizsargājamā kultūras pieminekļa teritorijā vai tā aizsardzības zonā, šajos noteikumos atļauto darbību veikšanai papildus nepieciešama Valsts kultūras pieminekļu aizsardzības inspekcijas rakstiska atļauja.</w:t>
      </w:r>
    </w:p>
    <w:p w14:paraId="41CB7463" w14:textId="02F795F1" w:rsidR="00B07340" w:rsidRPr="00A07F29" w:rsidRDefault="00B07340"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5</w:t>
      </w:r>
      <w:r w:rsidR="00CD5384" w:rsidRPr="00A07F29">
        <w:rPr>
          <w:rFonts w:ascii="Times New Roman" w:eastAsia="Times New Roman" w:hAnsi="Times New Roman" w:cs="Times New Roman"/>
          <w:sz w:val="24"/>
          <w:szCs w:val="24"/>
          <w:lang w:eastAsia="lv-LV"/>
        </w:rPr>
        <w:t>0</w:t>
      </w:r>
      <w:r w:rsidRPr="00A07F29">
        <w:rPr>
          <w:rFonts w:ascii="Times New Roman" w:eastAsia="Times New Roman" w:hAnsi="Times New Roman" w:cs="Times New Roman"/>
          <w:sz w:val="24"/>
          <w:szCs w:val="24"/>
          <w:lang w:eastAsia="lv-LV"/>
        </w:rPr>
        <w:t>.</w:t>
      </w:r>
      <w:r w:rsidR="00371CFB">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Dabas pieminekļu teritorijā aizliegts:</w:t>
      </w:r>
    </w:p>
    <w:p w14:paraId="353CC259" w14:textId="02D8CC5C" w:rsidR="00B07340" w:rsidRPr="00A07F29" w:rsidRDefault="00B07340"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5</w:t>
      </w:r>
      <w:r w:rsidR="00CD5384" w:rsidRPr="00A07F29">
        <w:rPr>
          <w:rFonts w:ascii="Times New Roman" w:eastAsia="Times New Roman" w:hAnsi="Times New Roman" w:cs="Times New Roman"/>
          <w:sz w:val="24"/>
          <w:szCs w:val="24"/>
          <w:lang w:eastAsia="lv-LV"/>
        </w:rPr>
        <w:t>0</w:t>
      </w:r>
      <w:r w:rsidRPr="00A07F29">
        <w:rPr>
          <w:rFonts w:ascii="Times New Roman" w:eastAsia="Times New Roman" w:hAnsi="Times New Roman" w:cs="Times New Roman"/>
          <w:sz w:val="24"/>
          <w:szCs w:val="24"/>
          <w:lang w:eastAsia="lv-LV"/>
        </w:rPr>
        <w:t>.1.</w:t>
      </w:r>
      <w:r w:rsidR="00371CFB">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 xml:space="preserve">veikt darbības, kuru dēļ tiek bojāts vai iznīcināts dabas piemineklis vai mazināta tā dabiskā estētiskā, ekoloģiskā un kultūrvēsturiskā vērtība; </w:t>
      </w:r>
    </w:p>
    <w:p w14:paraId="76F895A3" w14:textId="6132BF6B" w:rsidR="00B07340" w:rsidRPr="00A07F29" w:rsidRDefault="00B07340" w:rsidP="00371CFB">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5</w:t>
      </w:r>
      <w:r w:rsidR="00CD5384" w:rsidRPr="00A07F29">
        <w:rPr>
          <w:rFonts w:ascii="Times New Roman" w:eastAsia="Times New Roman" w:hAnsi="Times New Roman" w:cs="Times New Roman"/>
          <w:sz w:val="24"/>
          <w:szCs w:val="24"/>
          <w:lang w:eastAsia="lv-LV"/>
        </w:rPr>
        <w:t>0</w:t>
      </w:r>
      <w:r w:rsidRPr="00A07F29">
        <w:rPr>
          <w:rFonts w:ascii="Times New Roman" w:eastAsia="Times New Roman" w:hAnsi="Times New Roman" w:cs="Times New Roman"/>
          <w:sz w:val="24"/>
          <w:szCs w:val="24"/>
          <w:lang w:eastAsia="lv-LV"/>
        </w:rPr>
        <w:t>.2.</w:t>
      </w:r>
      <w:r w:rsidR="00371CFB">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iegūt derīgos izrakteņus, izņemot pazemes ūdens ieguvi;</w:t>
      </w:r>
    </w:p>
    <w:p w14:paraId="6E31A790" w14:textId="0788C33B" w:rsidR="0032057A" w:rsidRPr="00A07F29" w:rsidRDefault="00CD5384"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50.3</w:t>
      </w:r>
      <w:r w:rsidR="00B07340" w:rsidRPr="00A07F29">
        <w:rPr>
          <w:rFonts w:ascii="Times New Roman" w:eastAsia="Times New Roman" w:hAnsi="Times New Roman" w:cs="Times New Roman"/>
          <w:sz w:val="24"/>
          <w:szCs w:val="24"/>
          <w:lang w:eastAsia="lv-LV"/>
        </w:rPr>
        <w:t>.</w:t>
      </w:r>
      <w:r w:rsidR="00371CFB">
        <w:rPr>
          <w:rFonts w:ascii="Times New Roman" w:eastAsia="Times New Roman" w:hAnsi="Times New Roman" w:cs="Times New Roman"/>
          <w:sz w:val="24"/>
          <w:szCs w:val="24"/>
          <w:lang w:eastAsia="lv-LV"/>
        </w:rPr>
        <w:t> </w:t>
      </w:r>
      <w:r w:rsidR="00B07340" w:rsidRPr="00A07F29">
        <w:rPr>
          <w:rFonts w:ascii="Times New Roman" w:eastAsia="Times New Roman" w:hAnsi="Times New Roman" w:cs="Times New Roman"/>
          <w:sz w:val="24"/>
          <w:szCs w:val="24"/>
          <w:lang w:eastAsia="lv-LV"/>
        </w:rPr>
        <w:t>veikt darbības, kuru rezultātā tiek mainīta zemes lietošanas kategorija, izņemot</w:t>
      </w:r>
      <w:r w:rsidR="0032057A" w:rsidRPr="00A07F29">
        <w:rPr>
          <w:rFonts w:ascii="Times New Roman" w:eastAsia="Times New Roman" w:hAnsi="Times New Roman" w:cs="Times New Roman"/>
          <w:sz w:val="24"/>
          <w:szCs w:val="24"/>
          <w:lang w:eastAsia="lv-LV"/>
        </w:rPr>
        <w:t>:</w:t>
      </w:r>
    </w:p>
    <w:p w14:paraId="4577D759" w14:textId="0B6929C4" w:rsidR="0032057A" w:rsidRPr="00A07F29" w:rsidRDefault="0032057A"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50.3.1.</w:t>
      </w:r>
      <w:r w:rsidR="00DB0DF3">
        <w:rPr>
          <w:rFonts w:ascii="Times New Roman" w:eastAsia="Times New Roman" w:hAnsi="Times New Roman" w:cs="Times New Roman"/>
          <w:sz w:val="24"/>
          <w:szCs w:val="24"/>
          <w:lang w:eastAsia="lv-LV"/>
        </w:rPr>
        <w:t> </w:t>
      </w:r>
      <w:r w:rsidR="00B07340" w:rsidRPr="00A07F29">
        <w:rPr>
          <w:rFonts w:ascii="Times New Roman" w:eastAsia="Times New Roman" w:hAnsi="Times New Roman" w:cs="Times New Roman"/>
          <w:sz w:val="24"/>
          <w:szCs w:val="24"/>
          <w:lang w:eastAsia="lv-LV"/>
        </w:rPr>
        <w:t xml:space="preserve">gadījumos, kad aizsargājamos dendroloģiskos stādījumus izveido par parku vai </w:t>
      </w:r>
      <w:proofErr w:type="spellStart"/>
      <w:r w:rsidR="00B07340" w:rsidRPr="00A07F29">
        <w:rPr>
          <w:rFonts w:ascii="Times New Roman" w:eastAsia="Times New Roman" w:hAnsi="Times New Roman" w:cs="Times New Roman"/>
          <w:sz w:val="24"/>
          <w:szCs w:val="24"/>
          <w:lang w:eastAsia="lv-LV"/>
        </w:rPr>
        <w:t>mežaparku</w:t>
      </w:r>
      <w:proofErr w:type="spellEnd"/>
      <w:r w:rsidR="00B07340" w:rsidRPr="00A07F29">
        <w:rPr>
          <w:rFonts w:ascii="Times New Roman" w:eastAsia="Times New Roman" w:hAnsi="Times New Roman" w:cs="Times New Roman"/>
          <w:sz w:val="24"/>
          <w:szCs w:val="24"/>
          <w:lang w:eastAsia="lv-LV"/>
        </w:rPr>
        <w:t xml:space="preserve"> saskaņā ar normatīvajiem aktiem par parku un </w:t>
      </w:r>
      <w:proofErr w:type="spellStart"/>
      <w:r w:rsidR="00B07340" w:rsidRPr="00A07F29">
        <w:rPr>
          <w:rFonts w:ascii="Times New Roman" w:eastAsia="Times New Roman" w:hAnsi="Times New Roman" w:cs="Times New Roman"/>
          <w:sz w:val="24"/>
          <w:szCs w:val="24"/>
          <w:lang w:eastAsia="lv-LV"/>
        </w:rPr>
        <w:t>mežaparku</w:t>
      </w:r>
      <w:proofErr w:type="spellEnd"/>
      <w:r w:rsidR="00B07340" w:rsidRPr="00A07F29">
        <w:rPr>
          <w:rFonts w:ascii="Times New Roman" w:eastAsia="Times New Roman" w:hAnsi="Times New Roman" w:cs="Times New Roman"/>
          <w:sz w:val="24"/>
          <w:szCs w:val="24"/>
          <w:lang w:eastAsia="lv-LV"/>
        </w:rPr>
        <w:t xml:space="preserve"> ierīkošanu un apsaimniekošanu</w:t>
      </w:r>
      <w:r w:rsidR="00DB0DF3">
        <w:rPr>
          <w:rFonts w:ascii="Times New Roman" w:eastAsia="Times New Roman" w:hAnsi="Times New Roman" w:cs="Times New Roman"/>
          <w:sz w:val="24"/>
          <w:szCs w:val="24"/>
          <w:lang w:eastAsia="lv-LV"/>
        </w:rPr>
        <w:t>;</w:t>
      </w:r>
    </w:p>
    <w:p w14:paraId="39918F18" w14:textId="6878B9CD" w:rsidR="00B07340" w:rsidRPr="00A07F29" w:rsidRDefault="0032057A"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50.3.2.</w:t>
      </w:r>
      <w:r w:rsidR="00DB0DF3">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 xml:space="preserve">ar Dabas aizsardzības pārvaldes rakstisku atļauju </w:t>
      </w:r>
      <w:r w:rsidR="009E3BB1" w:rsidRPr="00A07F29">
        <w:rPr>
          <w:rFonts w:ascii="Times New Roman" w:eastAsia="Times New Roman" w:hAnsi="Times New Roman" w:cs="Times New Roman"/>
          <w:sz w:val="24"/>
          <w:szCs w:val="24"/>
          <w:lang w:eastAsia="lv-LV"/>
        </w:rPr>
        <w:t>dabas pieminekļa “</w:t>
      </w:r>
      <w:proofErr w:type="spellStart"/>
      <w:r w:rsidR="009E3BB1" w:rsidRPr="00A07F29">
        <w:rPr>
          <w:rFonts w:ascii="Times New Roman" w:eastAsia="Times New Roman" w:hAnsi="Times New Roman" w:cs="Times New Roman"/>
          <w:sz w:val="24"/>
          <w:szCs w:val="24"/>
          <w:lang w:eastAsia="lv-LV"/>
        </w:rPr>
        <w:t>Sandarišku</w:t>
      </w:r>
      <w:proofErr w:type="spellEnd"/>
      <w:r w:rsidR="009E3BB1" w:rsidRPr="00A07F29">
        <w:rPr>
          <w:rFonts w:ascii="Times New Roman" w:eastAsia="Times New Roman" w:hAnsi="Times New Roman" w:cs="Times New Roman"/>
          <w:sz w:val="24"/>
          <w:szCs w:val="24"/>
          <w:lang w:eastAsia="lv-LV"/>
        </w:rPr>
        <w:t xml:space="preserve"> </w:t>
      </w:r>
      <w:proofErr w:type="spellStart"/>
      <w:r w:rsidR="009E3BB1" w:rsidRPr="00A07F29">
        <w:rPr>
          <w:rFonts w:ascii="Times New Roman" w:eastAsia="Times New Roman" w:hAnsi="Times New Roman" w:cs="Times New Roman"/>
          <w:sz w:val="24"/>
          <w:szCs w:val="24"/>
          <w:lang w:eastAsia="lv-LV"/>
        </w:rPr>
        <w:t>karengravas</w:t>
      </w:r>
      <w:proofErr w:type="spellEnd"/>
      <w:r w:rsidR="009E3BB1" w:rsidRPr="00A07F29">
        <w:rPr>
          <w:rFonts w:ascii="Times New Roman" w:eastAsia="Times New Roman" w:hAnsi="Times New Roman" w:cs="Times New Roman"/>
          <w:sz w:val="24"/>
          <w:szCs w:val="24"/>
          <w:lang w:eastAsia="lv-LV"/>
        </w:rPr>
        <w:t xml:space="preserve">” teritorijā zemes </w:t>
      </w:r>
      <w:r w:rsidRPr="00A07F29">
        <w:rPr>
          <w:rFonts w:ascii="Times New Roman" w:eastAsia="Times New Roman" w:hAnsi="Times New Roman" w:cs="Times New Roman"/>
          <w:sz w:val="24"/>
          <w:szCs w:val="24"/>
          <w:lang w:eastAsia="lv-LV"/>
        </w:rPr>
        <w:t xml:space="preserve">vienībās </w:t>
      </w:r>
      <w:r w:rsidR="009E3BB1" w:rsidRPr="00A07F29">
        <w:rPr>
          <w:rFonts w:ascii="Times New Roman" w:eastAsia="Times New Roman" w:hAnsi="Times New Roman" w:cs="Times New Roman"/>
          <w:sz w:val="24"/>
          <w:szCs w:val="24"/>
          <w:lang w:eastAsia="lv-LV"/>
        </w:rPr>
        <w:t xml:space="preserve">ar </w:t>
      </w:r>
      <w:r w:rsidRPr="00A07F29">
        <w:rPr>
          <w:rFonts w:ascii="Times New Roman" w:eastAsia="Times New Roman" w:hAnsi="Times New Roman" w:cs="Times New Roman"/>
          <w:sz w:val="24"/>
          <w:szCs w:val="24"/>
          <w:lang w:eastAsia="lv-LV"/>
        </w:rPr>
        <w:t>kadastra apzīmējumu 44740080329</w:t>
      </w:r>
      <w:r w:rsidR="008139F9" w:rsidRPr="00A07F29">
        <w:rPr>
          <w:rFonts w:ascii="Times New Roman" w:eastAsia="Times New Roman" w:hAnsi="Times New Roman" w:cs="Times New Roman"/>
          <w:sz w:val="24"/>
          <w:szCs w:val="24"/>
          <w:lang w:eastAsia="lv-LV"/>
        </w:rPr>
        <w:t xml:space="preserve">, </w:t>
      </w:r>
      <w:r w:rsidR="009E3BB1" w:rsidRPr="00A07F29">
        <w:rPr>
          <w:rFonts w:ascii="Times New Roman" w:eastAsia="Times New Roman" w:hAnsi="Times New Roman" w:cs="Times New Roman"/>
          <w:sz w:val="24"/>
          <w:szCs w:val="24"/>
          <w:lang w:eastAsia="lv-LV"/>
        </w:rPr>
        <w:t>44740080245</w:t>
      </w:r>
      <w:r w:rsidR="008139F9" w:rsidRPr="00A07F29">
        <w:rPr>
          <w:rFonts w:ascii="Times New Roman" w:eastAsia="Times New Roman" w:hAnsi="Times New Roman" w:cs="Times New Roman"/>
          <w:sz w:val="24"/>
          <w:szCs w:val="24"/>
          <w:lang w:eastAsia="lv-LV"/>
        </w:rPr>
        <w:t xml:space="preserve"> un 44740080025</w:t>
      </w:r>
      <w:r w:rsidR="00B07340" w:rsidRPr="00A07F29">
        <w:rPr>
          <w:rFonts w:ascii="Times New Roman" w:eastAsia="Times New Roman" w:hAnsi="Times New Roman" w:cs="Times New Roman"/>
          <w:sz w:val="24"/>
          <w:szCs w:val="24"/>
          <w:lang w:eastAsia="lv-LV"/>
        </w:rPr>
        <w:t>;</w:t>
      </w:r>
    </w:p>
    <w:p w14:paraId="202B4F62" w14:textId="21D75BCE" w:rsidR="00B07340" w:rsidRPr="00A07F29" w:rsidRDefault="00B07340"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5</w:t>
      </w:r>
      <w:r w:rsidR="00CD5384" w:rsidRPr="00A07F29">
        <w:rPr>
          <w:rFonts w:ascii="Times New Roman" w:eastAsia="Times New Roman" w:hAnsi="Times New Roman" w:cs="Times New Roman"/>
          <w:sz w:val="24"/>
          <w:szCs w:val="24"/>
          <w:lang w:eastAsia="lv-LV"/>
        </w:rPr>
        <w:t>1</w:t>
      </w:r>
      <w:r w:rsidRPr="00A07F29">
        <w:rPr>
          <w:rFonts w:ascii="Times New Roman" w:eastAsia="Times New Roman" w:hAnsi="Times New Roman" w:cs="Times New Roman"/>
          <w:sz w:val="24"/>
          <w:szCs w:val="24"/>
          <w:lang w:eastAsia="lv-LV"/>
        </w:rPr>
        <w:t>.</w:t>
      </w:r>
      <w:r w:rsidR="00770F7C">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Bez Dabas aizsardzības pārvaldes rakstiskas atļaujas saņemšanas dabas pieminekļa teritorijā aizliegts veikt darbības, kas izraisa pazemes ūdeņu, gruntsūdeņu un virszemes ūdeņu līmeņa maiņu.</w:t>
      </w:r>
    </w:p>
    <w:p w14:paraId="389116E7" w14:textId="32B10319" w:rsidR="00B07340" w:rsidRPr="00A07F29" w:rsidRDefault="00B07340"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5</w:t>
      </w:r>
      <w:r w:rsidR="00CD5384" w:rsidRPr="00A07F29">
        <w:rPr>
          <w:rFonts w:ascii="Times New Roman" w:eastAsia="Times New Roman" w:hAnsi="Times New Roman" w:cs="Times New Roman"/>
          <w:sz w:val="24"/>
          <w:szCs w:val="24"/>
          <w:lang w:eastAsia="lv-LV"/>
        </w:rPr>
        <w:t>2</w:t>
      </w:r>
      <w:r w:rsidRPr="00A07F29">
        <w:rPr>
          <w:rFonts w:ascii="Times New Roman" w:eastAsia="Times New Roman" w:hAnsi="Times New Roman" w:cs="Times New Roman"/>
          <w:sz w:val="24"/>
          <w:szCs w:val="24"/>
          <w:lang w:eastAsia="lv-LV"/>
        </w:rPr>
        <w:t>.</w:t>
      </w:r>
      <w:r w:rsidR="00996DC2">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 xml:space="preserve">Aizsargājamā ģeoloģiskā un </w:t>
      </w:r>
      <w:proofErr w:type="spellStart"/>
      <w:r w:rsidRPr="00A07F29">
        <w:rPr>
          <w:rFonts w:ascii="Times New Roman" w:eastAsia="Times New Roman" w:hAnsi="Times New Roman" w:cs="Times New Roman"/>
          <w:sz w:val="24"/>
          <w:szCs w:val="24"/>
          <w:lang w:eastAsia="lv-LV"/>
        </w:rPr>
        <w:t>ģeomorfoloģiskā</w:t>
      </w:r>
      <w:proofErr w:type="spellEnd"/>
      <w:r w:rsidRPr="00A07F29">
        <w:rPr>
          <w:rFonts w:ascii="Times New Roman" w:eastAsia="Times New Roman" w:hAnsi="Times New Roman" w:cs="Times New Roman"/>
          <w:sz w:val="24"/>
          <w:szCs w:val="24"/>
          <w:lang w:eastAsia="lv-LV"/>
        </w:rPr>
        <w:t xml:space="preserve"> dabas pieminekļa teritorijā aizliegts:</w:t>
      </w:r>
    </w:p>
    <w:p w14:paraId="31286D84" w14:textId="2B644631" w:rsidR="00B07340" w:rsidRPr="00A07F29" w:rsidRDefault="00B07340"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5</w:t>
      </w:r>
      <w:r w:rsidR="00CD5384" w:rsidRPr="00A07F29">
        <w:rPr>
          <w:rFonts w:ascii="Times New Roman" w:eastAsia="Times New Roman" w:hAnsi="Times New Roman" w:cs="Times New Roman"/>
          <w:sz w:val="24"/>
          <w:szCs w:val="24"/>
          <w:lang w:eastAsia="lv-LV"/>
        </w:rPr>
        <w:t>2</w:t>
      </w:r>
      <w:r w:rsidRPr="00A07F29">
        <w:rPr>
          <w:rFonts w:ascii="Times New Roman" w:eastAsia="Times New Roman" w:hAnsi="Times New Roman" w:cs="Times New Roman"/>
          <w:sz w:val="24"/>
          <w:szCs w:val="24"/>
          <w:lang w:eastAsia="lv-LV"/>
        </w:rPr>
        <w:t>.1.</w:t>
      </w:r>
      <w:r w:rsidR="001E461A">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rakstīt, zīmēt un gravēt uz dabas pieminekļa un to pārvietot;</w:t>
      </w:r>
    </w:p>
    <w:p w14:paraId="76FE335F" w14:textId="43BA0D4B" w:rsidR="00B07340" w:rsidRPr="00A07F29" w:rsidRDefault="00B07340"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5</w:t>
      </w:r>
      <w:r w:rsidR="00CD5384" w:rsidRPr="00A07F29">
        <w:rPr>
          <w:rFonts w:ascii="Times New Roman" w:eastAsia="Times New Roman" w:hAnsi="Times New Roman" w:cs="Times New Roman"/>
          <w:sz w:val="24"/>
          <w:szCs w:val="24"/>
          <w:lang w:eastAsia="lv-LV"/>
        </w:rPr>
        <w:t>2</w:t>
      </w:r>
      <w:r w:rsidRPr="00A07F29">
        <w:rPr>
          <w:rFonts w:ascii="Times New Roman" w:eastAsia="Times New Roman" w:hAnsi="Times New Roman" w:cs="Times New Roman"/>
          <w:sz w:val="24"/>
          <w:szCs w:val="24"/>
          <w:lang w:eastAsia="lv-LV"/>
        </w:rPr>
        <w:t>.2.</w:t>
      </w:r>
      <w:r w:rsidR="001E461A">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cirst kokus kailcirtē;</w:t>
      </w:r>
    </w:p>
    <w:p w14:paraId="1105BC39" w14:textId="42ED41E5" w:rsidR="00B07340" w:rsidRPr="00A07F29" w:rsidRDefault="00B07340"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5</w:t>
      </w:r>
      <w:r w:rsidR="00CD5384" w:rsidRPr="00A07F29">
        <w:rPr>
          <w:rFonts w:ascii="Times New Roman" w:eastAsia="Times New Roman" w:hAnsi="Times New Roman" w:cs="Times New Roman"/>
          <w:sz w:val="24"/>
          <w:szCs w:val="24"/>
          <w:lang w:eastAsia="lv-LV"/>
        </w:rPr>
        <w:t>2</w:t>
      </w:r>
      <w:r w:rsidRPr="00A07F29">
        <w:rPr>
          <w:rFonts w:ascii="Times New Roman" w:eastAsia="Times New Roman" w:hAnsi="Times New Roman" w:cs="Times New Roman"/>
          <w:sz w:val="24"/>
          <w:szCs w:val="24"/>
          <w:lang w:eastAsia="lv-LV"/>
        </w:rPr>
        <w:t>.3.</w:t>
      </w:r>
      <w:r w:rsidR="001E461A">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alās kurināt ugunskurus un ienest jebkādus degošus priekšmetus, kas rada dūmus vai siltumu;</w:t>
      </w:r>
    </w:p>
    <w:p w14:paraId="2412A229" w14:textId="15D6E91E" w:rsidR="00B07340" w:rsidRPr="00A07F29" w:rsidRDefault="00B07340"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5</w:t>
      </w:r>
      <w:r w:rsidR="00CD5384" w:rsidRPr="00A07F29">
        <w:rPr>
          <w:rFonts w:ascii="Times New Roman" w:eastAsia="Times New Roman" w:hAnsi="Times New Roman" w:cs="Times New Roman"/>
          <w:sz w:val="24"/>
          <w:szCs w:val="24"/>
          <w:lang w:eastAsia="lv-LV"/>
        </w:rPr>
        <w:t>2</w:t>
      </w:r>
      <w:r w:rsidRPr="00A07F29">
        <w:rPr>
          <w:rFonts w:ascii="Times New Roman" w:eastAsia="Times New Roman" w:hAnsi="Times New Roman" w:cs="Times New Roman"/>
          <w:sz w:val="24"/>
          <w:szCs w:val="24"/>
          <w:lang w:eastAsia="lv-LV"/>
        </w:rPr>
        <w:t>.4.</w:t>
      </w:r>
      <w:r w:rsidR="00B45972">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veikt pazemes būvju būvniecību.</w:t>
      </w:r>
    </w:p>
    <w:p w14:paraId="79E3D55C" w14:textId="27EF485D" w:rsidR="00B07340" w:rsidRPr="00A07F29" w:rsidRDefault="00B07340" w:rsidP="00B07340">
      <w:pPr>
        <w:spacing w:after="120" w:line="240" w:lineRule="auto"/>
        <w:jc w:val="both"/>
        <w:rPr>
          <w:rFonts w:ascii="Times New Roman" w:eastAsia="Times New Roman" w:hAnsi="Times New Roman" w:cs="Times New Roman"/>
          <w:sz w:val="24"/>
          <w:szCs w:val="24"/>
          <w:lang w:eastAsia="lv-LV"/>
        </w:rPr>
      </w:pPr>
      <w:bookmarkStart w:id="118" w:name="p43"/>
      <w:bookmarkStart w:id="119" w:name="p-333232"/>
      <w:bookmarkEnd w:id="118"/>
      <w:bookmarkEnd w:id="119"/>
      <w:r w:rsidRPr="00A07F29">
        <w:rPr>
          <w:rFonts w:ascii="Times New Roman" w:eastAsia="Times New Roman" w:hAnsi="Times New Roman" w:cs="Times New Roman"/>
          <w:sz w:val="24"/>
          <w:szCs w:val="24"/>
          <w:lang w:eastAsia="lv-LV"/>
        </w:rPr>
        <w:lastRenderedPageBreak/>
        <w:t>5</w:t>
      </w:r>
      <w:r w:rsidR="00CD5384" w:rsidRPr="00A07F29">
        <w:rPr>
          <w:rFonts w:ascii="Times New Roman" w:eastAsia="Times New Roman" w:hAnsi="Times New Roman" w:cs="Times New Roman"/>
          <w:sz w:val="24"/>
          <w:szCs w:val="24"/>
          <w:lang w:eastAsia="lv-LV"/>
        </w:rPr>
        <w:t>3</w:t>
      </w:r>
      <w:r w:rsidRPr="00A07F29">
        <w:rPr>
          <w:rFonts w:ascii="Times New Roman" w:eastAsia="Times New Roman" w:hAnsi="Times New Roman" w:cs="Times New Roman"/>
          <w:sz w:val="24"/>
          <w:szCs w:val="24"/>
          <w:lang w:eastAsia="lv-LV"/>
        </w:rPr>
        <w:t>.</w:t>
      </w:r>
      <w:r w:rsidR="00B45972">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Bez Dabas aizsardzības pārvaldes rakstiskas atļaujas saņemšanas aizliegts:</w:t>
      </w:r>
    </w:p>
    <w:p w14:paraId="347D1BCA" w14:textId="25873DC9" w:rsidR="00B07340" w:rsidRPr="00A07F29" w:rsidRDefault="00B07340"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5</w:t>
      </w:r>
      <w:r w:rsidR="00CD5384" w:rsidRPr="00A07F29">
        <w:rPr>
          <w:rFonts w:ascii="Times New Roman" w:eastAsia="Times New Roman" w:hAnsi="Times New Roman" w:cs="Times New Roman"/>
          <w:sz w:val="24"/>
          <w:szCs w:val="24"/>
          <w:lang w:eastAsia="lv-LV"/>
        </w:rPr>
        <w:t>3</w:t>
      </w:r>
      <w:r w:rsidRPr="00A07F29">
        <w:rPr>
          <w:rFonts w:ascii="Times New Roman" w:eastAsia="Times New Roman" w:hAnsi="Times New Roman" w:cs="Times New Roman"/>
          <w:sz w:val="24"/>
          <w:szCs w:val="24"/>
          <w:lang w:eastAsia="lv-LV"/>
        </w:rPr>
        <w:t>.1.</w:t>
      </w:r>
      <w:r w:rsidR="00B45972">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rīkot nodarbības un sacensības klinšu kāpšanā;</w:t>
      </w:r>
    </w:p>
    <w:p w14:paraId="3E9FE77B" w14:textId="1A6F6341" w:rsidR="00B07340" w:rsidRPr="00A07F29" w:rsidRDefault="00B07340"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5</w:t>
      </w:r>
      <w:r w:rsidR="00CD5384" w:rsidRPr="00A07F29">
        <w:rPr>
          <w:rFonts w:ascii="Times New Roman" w:eastAsia="Times New Roman" w:hAnsi="Times New Roman" w:cs="Times New Roman"/>
          <w:sz w:val="24"/>
          <w:szCs w:val="24"/>
          <w:lang w:eastAsia="lv-LV"/>
        </w:rPr>
        <w:t>3</w:t>
      </w:r>
      <w:r w:rsidRPr="00A07F29">
        <w:rPr>
          <w:rFonts w:ascii="Times New Roman" w:eastAsia="Times New Roman" w:hAnsi="Times New Roman" w:cs="Times New Roman"/>
          <w:sz w:val="24"/>
          <w:szCs w:val="24"/>
          <w:lang w:eastAsia="lv-LV"/>
        </w:rPr>
        <w:t>.2.</w:t>
      </w:r>
      <w:r w:rsidR="00A76172">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organizēt brīvā dabā publiskus pasākumus, kā arī nometnes, kurās piedalās vairāk par 60 cilvēkiem, izņemot pasākumus un nometnes, kas tiek organizētas šim nolūkam paredzētās un speciāli ierīkotās vietās;</w:t>
      </w:r>
    </w:p>
    <w:p w14:paraId="17801E05" w14:textId="2221652D" w:rsidR="00B07340" w:rsidRPr="00A07F29" w:rsidRDefault="00B07340"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5</w:t>
      </w:r>
      <w:r w:rsidR="00CD5384" w:rsidRPr="00A07F29">
        <w:rPr>
          <w:rFonts w:ascii="Times New Roman" w:eastAsia="Times New Roman" w:hAnsi="Times New Roman" w:cs="Times New Roman"/>
          <w:sz w:val="24"/>
          <w:szCs w:val="24"/>
          <w:lang w:eastAsia="lv-LV"/>
        </w:rPr>
        <w:t>3</w:t>
      </w:r>
      <w:r w:rsidRPr="00A07F29">
        <w:rPr>
          <w:rFonts w:ascii="Times New Roman" w:eastAsia="Times New Roman" w:hAnsi="Times New Roman" w:cs="Times New Roman"/>
          <w:sz w:val="24"/>
          <w:szCs w:val="24"/>
          <w:lang w:eastAsia="lv-LV"/>
        </w:rPr>
        <w:t>.3.</w:t>
      </w:r>
      <w:r w:rsidR="00A76172">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cirst kokus galvenajā cirtē.</w:t>
      </w:r>
    </w:p>
    <w:p w14:paraId="290C7278" w14:textId="247DD6CC" w:rsidR="00B07340" w:rsidRPr="00A07F29" w:rsidRDefault="00B07340"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5</w:t>
      </w:r>
      <w:r w:rsidR="00CD5384" w:rsidRPr="00A07F29">
        <w:rPr>
          <w:rFonts w:ascii="Times New Roman" w:eastAsia="Times New Roman" w:hAnsi="Times New Roman" w:cs="Times New Roman"/>
          <w:sz w:val="24"/>
          <w:szCs w:val="24"/>
          <w:lang w:eastAsia="lv-LV"/>
        </w:rPr>
        <w:t>4</w:t>
      </w:r>
      <w:r w:rsidRPr="00A07F29">
        <w:rPr>
          <w:rFonts w:ascii="Times New Roman" w:eastAsia="Times New Roman" w:hAnsi="Times New Roman" w:cs="Times New Roman"/>
          <w:sz w:val="24"/>
          <w:szCs w:val="24"/>
          <w:lang w:eastAsia="lv-LV"/>
        </w:rPr>
        <w:t>.</w:t>
      </w:r>
      <w:r w:rsidR="00A76172">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Aizsargājamā koka teritorijā aizliegts:</w:t>
      </w:r>
    </w:p>
    <w:p w14:paraId="5D903877" w14:textId="2250F036" w:rsidR="00B07340" w:rsidRPr="00A07F29" w:rsidRDefault="00B07340"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5</w:t>
      </w:r>
      <w:r w:rsidR="00CD5384" w:rsidRPr="00A07F29">
        <w:rPr>
          <w:rFonts w:ascii="Times New Roman" w:eastAsia="Times New Roman" w:hAnsi="Times New Roman" w:cs="Times New Roman"/>
          <w:sz w:val="24"/>
          <w:szCs w:val="24"/>
          <w:lang w:eastAsia="lv-LV"/>
        </w:rPr>
        <w:t>4</w:t>
      </w:r>
      <w:r w:rsidRPr="00A07F29">
        <w:rPr>
          <w:rFonts w:ascii="Times New Roman" w:eastAsia="Times New Roman" w:hAnsi="Times New Roman" w:cs="Times New Roman"/>
          <w:sz w:val="24"/>
          <w:szCs w:val="24"/>
          <w:lang w:eastAsia="lv-LV"/>
        </w:rPr>
        <w:t>.1.</w:t>
      </w:r>
      <w:r w:rsidR="00A76172">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veikt darbības, kas var negatīvi ietekmēt aizsargājamā koka augšanu un dabisko attīstību. Ja aizsargājamais koks atrodas apdzīvotā vietā, ir pieļaujama infrastruktūras vai inženierkomunikāciju izbūve vai atjaunošana, kā arī ēku pārbūve;</w:t>
      </w:r>
    </w:p>
    <w:p w14:paraId="00D30307" w14:textId="17E43A35" w:rsidR="00B07340" w:rsidRPr="00A07F29" w:rsidRDefault="00B07340"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5</w:t>
      </w:r>
      <w:r w:rsidR="00CD5384" w:rsidRPr="00A07F29">
        <w:rPr>
          <w:rFonts w:ascii="Times New Roman" w:eastAsia="Times New Roman" w:hAnsi="Times New Roman" w:cs="Times New Roman"/>
          <w:sz w:val="24"/>
          <w:szCs w:val="24"/>
          <w:lang w:eastAsia="lv-LV"/>
        </w:rPr>
        <w:t>4</w:t>
      </w:r>
      <w:r w:rsidRPr="00A07F29">
        <w:rPr>
          <w:rFonts w:ascii="Times New Roman" w:eastAsia="Times New Roman" w:hAnsi="Times New Roman" w:cs="Times New Roman"/>
          <w:sz w:val="24"/>
          <w:szCs w:val="24"/>
          <w:lang w:eastAsia="lv-LV"/>
        </w:rPr>
        <w:t>.2.</w:t>
      </w:r>
      <w:r w:rsidR="0076779C">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novietot lietas (piemēram, būvmateriālus vai malku), kas aizsedz skatu uz koku, ierobežo piekļuvi tam vai mazina tā estētisko vērtību;</w:t>
      </w:r>
    </w:p>
    <w:p w14:paraId="3A27D632" w14:textId="0A9F031E" w:rsidR="00B07340" w:rsidRPr="00A07F29" w:rsidRDefault="00B07340"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5</w:t>
      </w:r>
      <w:r w:rsidR="00CD5384" w:rsidRPr="00A07F29">
        <w:rPr>
          <w:rFonts w:ascii="Times New Roman" w:eastAsia="Times New Roman" w:hAnsi="Times New Roman" w:cs="Times New Roman"/>
          <w:sz w:val="24"/>
          <w:szCs w:val="24"/>
          <w:lang w:eastAsia="lv-LV"/>
        </w:rPr>
        <w:t>4</w:t>
      </w:r>
      <w:r w:rsidRPr="00A07F29">
        <w:rPr>
          <w:rFonts w:ascii="Times New Roman" w:eastAsia="Times New Roman" w:hAnsi="Times New Roman" w:cs="Times New Roman"/>
          <w:sz w:val="24"/>
          <w:szCs w:val="24"/>
          <w:lang w:eastAsia="lv-LV"/>
        </w:rPr>
        <w:t>.3.</w:t>
      </w:r>
      <w:r w:rsidR="0076779C">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mainīt vides apstākļus – ūdens režīmu un koka barošanās režīmu;</w:t>
      </w:r>
    </w:p>
    <w:p w14:paraId="25510DEA" w14:textId="74B1B23F" w:rsidR="00B07340" w:rsidRPr="00A07F29" w:rsidRDefault="00B07340"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5</w:t>
      </w:r>
      <w:r w:rsidR="00CD5384" w:rsidRPr="00A07F29">
        <w:rPr>
          <w:rFonts w:ascii="Times New Roman" w:eastAsia="Times New Roman" w:hAnsi="Times New Roman" w:cs="Times New Roman"/>
          <w:sz w:val="24"/>
          <w:szCs w:val="24"/>
          <w:lang w:eastAsia="lv-LV"/>
        </w:rPr>
        <w:t>4</w:t>
      </w:r>
      <w:r w:rsidRPr="00A07F29">
        <w:rPr>
          <w:rFonts w:ascii="Times New Roman" w:eastAsia="Times New Roman" w:hAnsi="Times New Roman" w:cs="Times New Roman"/>
          <w:sz w:val="24"/>
          <w:szCs w:val="24"/>
          <w:lang w:eastAsia="lv-LV"/>
        </w:rPr>
        <w:t>.4.</w:t>
      </w:r>
      <w:r w:rsidR="0076779C">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iznīcināt dabisko zemsedzi.</w:t>
      </w:r>
    </w:p>
    <w:p w14:paraId="318F8F78" w14:textId="6214D3E5" w:rsidR="00B07340" w:rsidRPr="00A07F29" w:rsidRDefault="003F33C8"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5</w:t>
      </w:r>
      <w:r w:rsidR="00CD5384" w:rsidRPr="00A07F29">
        <w:rPr>
          <w:rFonts w:ascii="Times New Roman" w:eastAsia="Times New Roman" w:hAnsi="Times New Roman" w:cs="Times New Roman"/>
          <w:sz w:val="24"/>
          <w:szCs w:val="24"/>
          <w:lang w:eastAsia="lv-LV"/>
        </w:rPr>
        <w:t>5</w:t>
      </w:r>
      <w:r w:rsidR="00B07340" w:rsidRPr="00A07F29">
        <w:rPr>
          <w:rFonts w:ascii="Times New Roman" w:eastAsia="Times New Roman" w:hAnsi="Times New Roman" w:cs="Times New Roman"/>
          <w:sz w:val="24"/>
          <w:szCs w:val="24"/>
          <w:lang w:eastAsia="lv-LV"/>
        </w:rPr>
        <w:t>.</w:t>
      </w:r>
      <w:r w:rsidR="0076779C">
        <w:rPr>
          <w:rFonts w:ascii="Times New Roman" w:eastAsia="Times New Roman" w:hAnsi="Times New Roman" w:cs="Times New Roman"/>
          <w:sz w:val="24"/>
          <w:szCs w:val="24"/>
          <w:lang w:eastAsia="lv-LV"/>
        </w:rPr>
        <w:t> </w:t>
      </w:r>
      <w:r w:rsidR="00B07340" w:rsidRPr="00A07F29">
        <w:rPr>
          <w:rFonts w:ascii="Times New Roman" w:eastAsia="Times New Roman" w:hAnsi="Times New Roman" w:cs="Times New Roman"/>
          <w:sz w:val="24"/>
          <w:szCs w:val="24"/>
          <w:lang w:eastAsia="lv-LV"/>
        </w:rPr>
        <w:t>Ja aizsargājamo koku nomāc vai apēno jaunāki koki un krūmi, saskaņā ar normatīvajiem aktiem, kas regulē koku ciršanu meža zemēs vai ārpus tām, atļauta to izciršana kopšanas vai citā cirtē aizsargājamā koka vainaga projekcijā un tai piegulošā zonā, izveidojot no kokiem brīvu 10 metru platu joslu (mērot no aizsargājamā koka vainaga projekcijas līdz apkārtējo koku vainagu projekcijām).</w:t>
      </w:r>
    </w:p>
    <w:p w14:paraId="6B7FB0AE" w14:textId="6A320D95" w:rsidR="00B07340" w:rsidRPr="00A07F29" w:rsidRDefault="003F33C8"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5</w:t>
      </w:r>
      <w:r w:rsidR="00CD5384" w:rsidRPr="00A07F29">
        <w:rPr>
          <w:rFonts w:ascii="Times New Roman" w:eastAsia="Times New Roman" w:hAnsi="Times New Roman" w:cs="Times New Roman"/>
          <w:sz w:val="24"/>
          <w:szCs w:val="24"/>
          <w:lang w:eastAsia="lv-LV"/>
        </w:rPr>
        <w:t>6</w:t>
      </w:r>
      <w:r w:rsidR="00B07340" w:rsidRPr="00A07F29">
        <w:rPr>
          <w:rFonts w:ascii="Times New Roman" w:eastAsia="Times New Roman" w:hAnsi="Times New Roman" w:cs="Times New Roman"/>
          <w:sz w:val="24"/>
          <w:szCs w:val="24"/>
          <w:lang w:eastAsia="lv-LV"/>
        </w:rPr>
        <w:t>.</w:t>
      </w:r>
      <w:r w:rsidR="00F60F1C">
        <w:rPr>
          <w:rFonts w:ascii="Times New Roman" w:eastAsia="Times New Roman" w:hAnsi="Times New Roman" w:cs="Times New Roman"/>
          <w:sz w:val="24"/>
          <w:szCs w:val="24"/>
          <w:lang w:eastAsia="lv-LV"/>
        </w:rPr>
        <w:t> </w:t>
      </w:r>
      <w:r w:rsidR="00B07340" w:rsidRPr="00A07F29">
        <w:rPr>
          <w:rFonts w:ascii="Times New Roman" w:eastAsia="Times New Roman" w:hAnsi="Times New Roman" w:cs="Times New Roman"/>
          <w:sz w:val="24"/>
          <w:szCs w:val="24"/>
          <w:lang w:eastAsia="lv-LV"/>
        </w:rPr>
        <w:t xml:space="preserve">Aizsargājamo koku atļauts nocirst (novākt), ja ir saņemts pozitīvs rakstisks </w:t>
      </w:r>
      <w:proofErr w:type="spellStart"/>
      <w:r w:rsidR="00B07340" w:rsidRPr="00A07F29">
        <w:rPr>
          <w:rFonts w:ascii="Times New Roman" w:eastAsia="Times New Roman" w:hAnsi="Times New Roman" w:cs="Times New Roman"/>
          <w:sz w:val="24"/>
          <w:szCs w:val="24"/>
          <w:lang w:eastAsia="lv-LV"/>
        </w:rPr>
        <w:t>kokkopja</w:t>
      </w:r>
      <w:proofErr w:type="spellEnd"/>
      <w:r w:rsidR="00B07340" w:rsidRPr="00A07F29">
        <w:rPr>
          <w:rFonts w:ascii="Times New Roman" w:eastAsia="Times New Roman" w:hAnsi="Times New Roman" w:cs="Times New Roman"/>
          <w:sz w:val="24"/>
          <w:szCs w:val="24"/>
          <w:lang w:eastAsia="lv-LV"/>
        </w:rPr>
        <w:t xml:space="preserve"> (</w:t>
      </w:r>
      <w:proofErr w:type="spellStart"/>
      <w:r w:rsidR="00B07340" w:rsidRPr="00A07F29">
        <w:rPr>
          <w:rFonts w:ascii="Times New Roman" w:eastAsia="Times New Roman" w:hAnsi="Times New Roman" w:cs="Times New Roman"/>
          <w:sz w:val="24"/>
          <w:szCs w:val="24"/>
          <w:lang w:eastAsia="lv-LV"/>
        </w:rPr>
        <w:t>arborista</w:t>
      </w:r>
      <w:proofErr w:type="spellEnd"/>
      <w:r w:rsidR="00B07340" w:rsidRPr="00A07F29">
        <w:rPr>
          <w:rFonts w:ascii="Times New Roman" w:eastAsia="Times New Roman" w:hAnsi="Times New Roman" w:cs="Times New Roman"/>
          <w:sz w:val="24"/>
          <w:szCs w:val="24"/>
          <w:lang w:eastAsia="lv-LV"/>
        </w:rPr>
        <w:t>) atzinums, kura nepieciešamību nosaka Dabas aizsardzības pārvalde, un ir saņemta Dabas aizsardzības pārvaldes rakstiska atļauja, šādos gadījumos:</w:t>
      </w:r>
    </w:p>
    <w:p w14:paraId="1CA9E4FF" w14:textId="2C5201C1" w:rsidR="00B07340" w:rsidRPr="00A07F29" w:rsidRDefault="003F33C8"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5</w:t>
      </w:r>
      <w:r w:rsidR="00CD5384" w:rsidRPr="00A07F29">
        <w:rPr>
          <w:rFonts w:ascii="Times New Roman" w:eastAsia="Times New Roman" w:hAnsi="Times New Roman" w:cs="Times New Roman"/>
          <w:sz w:val="24"/>
          <w:szCs w:val="24"/>
          <w:lang w:eastAsia="lv-LV"/>
        </w:rPr>
        <w:t>6</w:t>
      </w:r>
      <w:r w:rsidR="00B07340" w:rsidRPr="00A07F29">
        <w:rPr>
          <w:rFonts w:ascii="Times New Roman" w:eastAsia="Times New Roman" w:hAnsi="Times New Roman" w:cs="Times New Roman"/>
          <w:sz w:val="24"/>
          <w:szCs w:val="24"/>
          <w:lang w:eastAsia="lv-LV"/>
        </w:rPr>
        <w:t>.1.</w:t>
      </w:r>
      <w:r w:rsidR="009B628F">
        <w:rPr>
          <w:rFonts w:ascii="Times New Roman" w:eastAsia="Times New Roman" w:hAnsi="Times New Roman" w:cs="Times New Roman"/>
          <w:sz w:val="24"/>
          <w:szCs w:val="24"/>
          <w:lang w:eastAsia="lv-LV"/>
        </w:rPr>
        <w:t> </w:t>
      </w:r>
      <w:r w:rsidR="00B07340" w:rsidRPr="00A07F29">
        <w:rPr>
          <w:rFonts w:ascii="Times New Roman" w:eastAsia="Times New Roman" w:hAnsi="Times New Roman" w:cs="Times New Roman"/>
          <w:sz w:val="24"/>
          <w:szCs w:val="24"/>
          <w:lang w:eastAsia="lv-LV"/>
        </w:rPr>
        <w:t>koks kļuvis bīstams un nav citu iespēju novērst bīstamības situāciju (piemēram, apzāģēt zarus, izveidot atbalstus, izvietot ceļa vai norādes zīmes, barjeras);</w:t>
      </w:r>
    </w:p>
    <w:p w14:paraId="3CC2BFC3" w14:textId="42F259DB" w:rsidR="00B07340" w:rsidRPr="00A07F29" w:rsidRDefault="003F33C8"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5</w:t>
      </w:r>
      <w:r w:rsidR="00CD5384" w:rsidRPr="00A07F29">
        <w:rPr>
          <w:rFonts w:ascii="Times New Roman" w:eastAsia="Times New Roman" w:hAnsi="Times New Roman" w:cs="Times New Roman"/>
          <w:sz w:val="24"/>
          <w:szCs w:val="24"/>
          <w:lang w:eastAsia="lv-LV"/>
        </w:rPr>
        <w:t>6</w:t>
      </w:r>
      <w:r w:rsidR="00B07340" w:rsidRPr="00A07F29">
        <w:rPr>
          <w:rFonts w:ascii="Times New Roman" w:eastAsia="Times New Roman" w:hAnsi="Times New Roman" w:cs="Times New Roman"/>
          <w:sz w:val="24"/>
          <w:szCs w:val="24"/>
          <w:lang w:eastAsia="lv-LV"/>
        </w:rPr>
        <w:t>.2.</w:t>
      </w:r>
      <w:r w:rsidR="009B628F">
        <w:rPr>
          <w:rFonts w:ascii="Times New Roman" w:eastAsia="Times New Roman" w:hAnsi="Times New Roman" w:cs="Times New Roman"/>
          <w:sz w:val="24"/>
          <w:szCs w:val="24"/>
          <w:lang w:eastAsia="lv-LV"/>
        </w:rPr>
        <w:t> </w:t>
      </w:r>
      <w:r w:rsidR="00B07340" w:rsidRPr="00A07F29">
        <w:rPr>
          <w:rFonts w:ascii="Times New Roman" w:eastAsia="Times New Roman" w:hAnsi="Times New Roman" w:cs="Times New Roman"/>
          <w:sz w:val="24"/>
          <w:szCs w:val="24"/>
          <w:lang w:eastAsia="lv-LV"/>
        </w:rPr>
        <w:t xml:space="preserve">koka </w:t>
      </w:r>
      <w:proofErr w:type="spellStart"/>
      <w:r w:rsidR="00B07340" w:rsidRPr="00A07F29">
        <w:rPr>
          <w:rFonts w:ascii="Times New Roman" w:eastAsia="Times New Roman" w:hAnsi="Times New Roman" w:cs="Times New Roman"/>
          <w:sz w:val="24"/>
          <w:szCs w:val="24"/>
          <w:lang w:eastAsia="lv-LV"/>
        </w:rPr>
        <w:t>augtspēja</w:t>
      </w:r>
      <w:proofErr w:type="spellEnd"/>
      <w:r w:rsidR="00B07340" w:rsidRPr="00A07F29">
        <w:rPr>
          <w:rFonts w:ascii="Times New Roman" w:eastAsia="Times New Roman" w:hAnsi="Times New Roman" w:cs="Times New Roman"/>
          <w:sz w:val="24"/>
          <w:szCs w:val="24"/>
          <w:lang w:eastAsia="lv-LV"/>
        </w:rPr>
        <w:t xml:space="preserve"> ir pilnīgi zudusi, un koks nav dzīvotne īpaši aizsargājamai sugai</w:t>
      </w:r>
      <w:r w:rsidR="00343B61" w:rsidRPr="00A07F29">
        <w:rPr>
          <w:rFonts w:ascii="Times New Roman" w:eastAsia="Times New Roman" w:hAnsi="Times New Roman" w:cs="Times New Roman"/>
          <w:sz w:val="24"/>
          <w:szCs w:val="24"/>
          <w:lang w:eastAsia="lv-LV"/>
        </w:rPr>
        <w:t>;</w:t>
      </w:r>
    </w:p>
    <w:p w14:paraId="16436D5D" w14:textId="52C0DFB7" w:rsidR="00B07340" w:rsidRPr="00A07F29" w:rsidRDefault="003F33C8"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5</w:t>
      </w:r>
      <w:r w:rsidR="00CD5384" w:rsidRPr="00A07F29">
        <w:rPr>
          <w:rFonts w:ascii="Times New Roman" w:eastAsia="Times New Roman" w:hAnsi="Times New Roman" w:cs="Times New Roman"/>
          <w:sz w:val="24"/>
          <w:szCs w:val="24"/>
          <w:lang w:eastAsia="lv-LV"/>
        </w:rPr>
        <w:t>6</w:t>
      </w:r>
      <w:r w:rsidR="00B07340" w:rsidRPr="00A07F29">
        <w:rPr>
          <w:rFonts w:ascii="Times New Roman" w:eastAsia="Times New Roman" w:hAnsi="Times New Roman" w:cs="Times New Roman"/>
          <w:sz w:val="24"/>
          <w:szCs w:val="24"/>
          <w:lang w:eastAsia="lv-LV"/>
        </w:rPr>
        <w:t>.3.</w:t>
      </w:r>
      <w:r w:rsidR="009B628F">
        <w:rPr>
          <w:rFonts w:ascii="Times New Roman" w:eastAsia="Times New Roman" w:hAnsi="Times New Roman" w:cs="Times New Roman"/>
          <w:sz w:val="24"/>
          <w:szCs w:val="24"/>
          <w:lang w:eastAsia="lv-LV"/>
        </w:rPr>
        <w:t> </w:t>
      </w:r>
      <w:r w:rsidR="00B07340" w:rsidRPr="00A07F29">
        <w:rPr>
          <w:rFonts w:ascii="Times New Roman" w:eastAsia="Times New Roman" w:hAnsi="Times New Roman" w:cs="Times New Roman"/>
          <w:sz w:val="24"/>
          <w:szCs w:val="24"/>
          <w:lang w:eastAsia="lv-LV"/>
        </w:rPr>
        <w:t>lai nodrošinātu sabiedrības veselības</w:t>
      </w:r>
      <w:r w:rsidR="0002037F">
        <w:rPr>
          <w:rFonts w:ascii="Times New Roman" w:eastAsia="Times New Roman" w:hAnsi="Times New Roman" w:cs="Times New Roman"/>
          <w:sz w:val="24"/>
          <w:szCs w:val="24"/>
          <w:lang w:eastAsia="lv-LV"/>
        </w:rPr>
        <w:t>,</w:t>
      </w:r>
      <w:r w:rsidR="00B07340" w:rsidRPr="00A07F29">
        <w:rPr>
          <w:rFonts w:ascii="Times New Roman" w:eastAsia="Times New Roman" w:hAnsi="Times New Roman" w:cs="Times New Roman"/>
          <w:sz w:val="24"/>
          <w:szCs w:val="24"/>
          <w:lang w:eastAsia="lv-LV"/>
        </w:rPr>
        <w:t xml:space="preserve"> aizsardzības, drošības vai citas sevišķi svarīgas, arī sociāla vai ekonomiska rakstura intereses vai videi primāri svarīgas labvēlīgas izmaiņas.</w:t>
      </w:r>
    </w:p>
    <w:p w14:paraId="33C7543D" w14:textId="689319A1" w:rsidR="00B07340" w:rsidRPr="00A07F29" w:rsidRDefault="003F33C8"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5</w:t>
      </w:r>
      <w:r w:rsidR="00CD5384" w:rsidRPr="00A07F29">
        <w:rPr>
          <w:rFonts w:ascii="Times New Roman" w:eastAsia="Times New Roman" w:hAnsi="Times New Roman" w:cs="Times New Roman"/>
          <w:sz w:val="24"/>
          <w:szCs w:val="24"/>
          <w:lang w:eastAsia="lv-LV"/>
        </w:rPr>
        <w:t>7</w:t>
      </w:r>
      <w:r w:rsidR="00B07340" w:rsidRPr="00A07F29">
        <w:rPr>
          <w:rFonts w:ascii="Times New Roman" w:eastAsia="Times New Roman" w:hAnsi="Times New Roman" w:cs="Times New Roman"/>
          <w:sz w:val="24"/>
          <w:szCs w:val="24"/>
          <w:lang w:eastAsia="lv-LV"/>
        </w:rPr>
        <w:t>.</w:t>
      </w:r>
      <w:r w:rsidR="00D11D32">
        <w:rPr>
          <w:rFonts w:ascii="Times New Roman" w:eastAsia="Times New Roman" w:hAnsi="Times New Roman" w:cs="Times New Roman"/>
          <w:sz w:val="24"/>
          <w:szCs w:val="24"/>
          <w:lang w:eastAsia="lv-LV"/>
        </w:rPr>
        <w:t> </w:t>
      </w:r>
      <w:r w:rsidR="00B07340" w:rsidRPr="00A07F29">
        <w:rPr>
          <w:rFonts w:ascii="Times New Roman" w:eastAsia="Times New Roman" w:hAnsi="Times New Roman" w:cs="Times New Roman"/>
          <w:sz w:val="24"/>
          <w:szCs w:val="24"/>
          <w:lang w:eastAsia="lv-LV"/>
        </w:rPr>
        <w:t>Ja aizsargājamais koks ir nolūzis vai nozāģēts, koka stumbrs un zari, kuru diametrs ir lielāks par 50 centimetriem, ir saglabājami koka augšanas vietā vai tuvākajā apkārtnē, izņemot neitrālo zonu.</w:t>
      </w:r>
    </w:p>
    <w:p w14:paraId="00F77EA2" w14:textId="2D04E535" w:rsidR="00B07340" w:rsidRPr="00A07F29" w:rsidRDefault="00CD5384"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58</w:t>
      </w:r>
      <w:r w:rsidR="00B07340" w:rsidRPr="00A07F29">
        <w:rPr>
          <w:rFonts w:ascii="Times New Roman" w:eastAsia="Times New Roman" w:hAnsi="Times New Roman" w:cs="Times New Roman"/>
          <w:sz w:val="24"/>
          <w:szCs w:val="24"/>
          <w:lang w:eastAsia="lv-LV"/>
        </w:rPr>
        <w:t>.</w:t>
      </w:r>
      <w:r w:rsidR="00150B14">
        <w:rPr>
          <w:rFonts w:ascii="Times New Roman" w:eastAsia="Times New Roman" w:hAnsi="Times New Roman" w:cs="Times New Roman"/>
          <w:sz w:val="24"/>
          <w:szCs w:val="24"/>
          <w:lang w:eastAsia="lv-LV"/>
        </w:rPr>
        <w:t> </w:t>
      </w:r>
      <w:r w:rsidR="00B07340" w:rsidRPr="00A07F29">
        <w:rPr>
          <w:rFonts w:ascii="Times New Roman" w:eastAsia="Times New Roman" w:hAnsi="Times New Roman" w:cs="Times New Roman"/>
          <w:sz w:val="24"/>
          <w:szCs w:val="24"/>
          <w:lang w:eastAsia="lv-LV"/>
        </w:rPr>
        <w:t xml:space="preserve">Aizsargājamā dendroloģiskā stādījuma teritorijā koku ciršana un dendroloģisko stādījumu atjaunošana atļauta saskaņā ar aizsargājamā dendroloģiskā stādījuma rekonstrukcijas projektu, ko rakstiski saskaņojusi Dabas aizsardzības pārvalde. </w:t>
      </w:r>
    </w:p>
    <w:p w14:paraId="31C1B17E" w14:textId="4CBDC92E" w:rsidR="00B07340" w:rsidRPr="00A07F29" w:rsidRDefault="00CD5384"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59</w:t>
      </w:r>
      <w:r w:rsidR="00B07340" w:rsidRPr="00A07F29">
        <w:rPr>
          <w:rFonts w:ascii="Times New Roman" w:eastAsia="Times New Roman" w:hAnsi="Times New Roman" w:cs="Times New Roman"/>
          <w:sz w:val="24"/>
          <w:szCs w:val="24"/>
          <w:lang w:eastAsia="lv-LV"/>
        </w:rPr>
        <w:t>.</w:t>
      </w:r>
      <w:r w:rsidR="00150B14">
        <w:rPr>
          <w:rFonts w:ascii="Times New Roman" w:eastAsia="Times New Roman" w:hAnsi="Times New Roman" w:cs="Times New Roman"/>
          <w:sz w:val="24"/>
          <w:szCs w:val="24"/>
          <w:lang w:eastAsia="lv-LV"/>
        </w:rPr>
        <w:t> </w:t>
      </w:r>
      <w:r w:rsidR="00B07340" w:rsidRPr="00A07F29">
        <w:rPr>
          <w:rFonts w:ascii="Times New Roman" w:eastAsia="Times New Roman" w:hAnsi="Times New Roman" w:cs="Times New Roman"/>
          <w:sz w:val="24"/>
          <w:szCs w:val="24"/>
          <w:lang w:eastAsia="lv-LV"/>
        </w:rPr>
        <w:t>Aizsargājamā dendroloģiskā stādījuma teritorijā pēc rakstiskas atļaujas saņemšanas no Dabas aizsardzības pārvaldes pieļaujama infrastruktūras vai inženierkomunikāciju izbūve vai atjaunošana, kā arī ēku pārbūve un atjaunošana.</w:t>
      </w:r>
    </w:p>
    <w:p w14:paraId="6EC301CB" w14:textId="1C1F2C54" w:rsidR="00B07340" w:rsidRPr="00A07F29" w:rsidRDefault="00B07340"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6</w:t>
      </w:r>
      <w:r w:rsidR="00CD5384" w:rsidRPr="00A07F29">
        <w:rPr>
          <w:rFonts w:ascii="Times New Roman" w:eastAsia="Times New Roman" w:hAnsi="Times New Roman" w:cs="Times New Roman"/>
          <w:sz w:val="24"/>
          <w:szCs w:val="24"/>
          <w:lang w:eastAsia="lv-LV"/>
        </w:rPr>
        <w:t>0</w:t>
      </w:r>
      <w:r w:rsidRPr="00A07F29">
        <w:rPr>
          <w:rFonts w:ascii="Times New Roman" w:eastAsia="Times New Roman" w:hAnsi="Times New Roman" w:cs="Times New Roman"/>
          <w:sz w:val="24"/>
          <w:szCs w:val="24"/>
          <w:lang w:eastAsia="lv-LV"/>
        </w:rPr>
        <w:t>.</w:t>
      </w:r>
      <w:r w:rsidR="00BB2195">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 xml:space="preserve">Aizsargājamajos dendroloģiskajos stādījumos kokus atļauts nocirst (novākt), ja ir saņemta </w:t>
      </w:r>
      <w:bookmarkStart w:id="120" w:name="_Hlk52884870"/>
      <w:r w:rsidRPr="00A07F29">
        <w:rPr>
          <w:rFonts w:ascii="Times New Roman" w:eastAsia="Times New Roman" w:hAnsi="Times New Roman" w:cs="Times New Roman"/>
          <w:sz w:val="24"/>
          <w:szCs w:val="24"/>
          <w:lang w:eastAsia="lv-LV"/>
        </w:rPr>
        <w:t>Dabas aizsardzības pārvalde</w:t>
      </w:r>
      <w:bookmarkEnd w:id="120"/>
      <w:r w:rsidRPr="00A07F29">
        <w:rPr>
          <w:rFonts w:ascii="Times New Roman" w:eastAsia="Times New Roman" w:hAnsi="Times New Roman" w:cs="Times New Roman"/>
          <w:sz w:val="24"/>
          <w:szCs w:val="24"/>
          <w:lang w:eastAsia="lv-LV"/>
        </w:rPr>
        <w:t xml:space="preserve">s rakstiska atļauja un, ja Dabas aizsardzības pārvalde ir pieprasījusi </w:t>
      </w:r>
      <w:r w:rsidR="0075051C">
        <w:rPr>
          <w:rFonts w:ascii="Times New Roman" w:eastAsia="Times New Roman" w:hAnsi="Times New Roman" w:cs="Times New Roman"/>
          <w:sz w:val="24"/>
          <w:szCs w:val="24"/>
          <w:lang w:eastAsia="lv-LV"/>
        </w:rPr>
        <w:t>–</w:t>
      </w:r>
      <w:r w:rsidRPr="00A07F29">
        <w:rPr>
          <w:rFonts w:ascii="Times New Roman" w:eastAsia="Times New Roman" w:hAnsi="Times New Roman" w:cs="Times New Roman"/>
          <w:sz w:val="24"/>
          <w:szCs w:val="24"/>
          <w:lang w:eastAsia="lv-LV"/>
        </w:rPr>
        <w:t xml:space="preserve"> saņemts </w:t>
      </w:r>
      <w:proofErr w:type="spellStart"/>
      <w:r w:rsidRPr="00A07F29">
        <w:rPr>
          <w:rFonts w:ascii="Times New Roman" w:eastAsia="Times New Roman" w:hAnsi="Times New Roman" w:cs="Times New Roman"/>
          <w:sz w:val="24"/>
          <w:szCs w:val="24"/>
          <w:lang w:eastAsia="lv-LV"/>
        </w:rPr>
        <w:t>kokkopja</w:t>
      </w:r>
      <w:proofErr w:type="spellEnd"/>
      <w:r w:rsidRPr="00A07F29">
        <w:rPr>
          <w:rFonts w:ascii="Times New Roman" w:eastAsia="Times New Roman" w:hAnsi="Times New Roman" w:cs="Times New Roman"/>
          <w:sz w:val="24"/>
          <w:szCs w:val="24"/>
          <w:lang w:eastAsia="lv-LV"/>
        </w:rPr>
        <w:t xml:space="preserve"> (</w:t>
      </w:r>
      <w:proofErr w:type="spellStart"/>
      <w:r w:rsidRPr="00A07F29">
        <w:rPr>
          <w:rFonts w:ascii="Times New Roman" w:eastAsia="Times New Roman" w:hAnsi="Times New Roman" w:cs="Times New Roman"/>
          <w:sz w:val="24"/>
          <w:szCs w:val="24"/>
          <w:lang w:eastAsia="lv-LV"/>
        </w:rPr>
        <w:t>arborista</w:t>
      </w:r>
      <w:proofErr w:type="spellEnd"/>
      <w:r w:rsidRPr="00A07F29">
        <w:rPr>
          <w:rFonts w:ascii="Times New Roman" w:eastAsia="Times New Roman" w:hAnsi="Times New Roman" w:cs="Times New Roman"/>
          <w:sz w:val="24"/>
          <w:szCs w:val="24"/>
          <w:lang w:eastAsia="lv-LV"/>
        </w:rPr>
        <w:t xml:space="preserve">) pozitīvs rakstisks atzinums, šādos gadījumos: </w:t>
      </w:r>
    </w:p>
    <w:p w14:paraId="4A28B7FA" w14:textId="112206BD" w:rsidR="00B07340" w:rsidRPr="00A07F29" w:rsidRDefault="00B07340"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6</w:t>
      </w:r>
      <w:r w:rsidR="00CD5384" w:rsidRPr="00A07F29">
        <w:rPr>
          <w:rFonts w:ascii="Times New Roman" w:eastAsia="Times New Roman" w:hAnsi="Times New Roman" w:cs="Times New Roman"/>
          <w:sz w:val="24"/>
          <w:szCs w:val="24"/>
          <w:lang w:eastAsia="lv-LV"/>
        </w:rPr>
        <w:t>0</w:t>
      </w:r>
      <w:r w:rsidR="003F33C8" w:rsidRPr="00A07F29">
        <w:rPr>
          <w:rFonts w:ascii="Times New Roman" w:eastAsia="Times New Roman" w:hAnsi="Times New Roman" w:cs="Times New Roman"/>
          <w:sz w:val="24"/>
          <w:szCs w:val="24"/>
          <w:lang w:eastAsia="lv-LV"/>
        </w:rPr>
        <w:t>.</w:t>
      </w:r>
      <w:r w:rsidRPr="00A07F29">
        <w:rPr>
          <w:rFonts w:ascii="Times New Roman" w:eastAsia="Times New Roman" w:hAnsi="Times New Roman" w:cs="Times New Roman"/>
          <w:sz w:val="24"/>
          <w:szCs w:val="24"/>
          <w:lang w:eastAsia="lv-LV"/>
        </w:rPr>
        <w:t>1.</w:t>
      </w:r>
      <w:r w:rsidR="001A2EBE">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koks kļuvis bīstams un nav citu iespēju novērst bīstamības situāciju (piemēram, apzāģēt zarus, izveidot atbalstus, izvietot ceļa vai norādes zīmes, barjeras u.c.);</w:t>
      </w:r>
    </w:p>
    <w:p w14:paraId="1726D15B" w14:textId="1BD6D654" w:rsidR="00B07340" w:rsidRPr="00A07F29" w:rsidRDefault="00B07340"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lastRenderedPageBreak/>
        <w:t>6</w:t>
      </w:r>
      <w:r w:rsidR="00CD5384" w:rsidRPr="00A07F29">
        <w:rPr>
          <w:rFonts w:ascii="Times New Roman" w:eastAsia="Times New Roman" w:hAnsi="Times New Roman" w:cs="Times New Roman"/>
          <w:sz w:val="24"/>
          <w:szCs w:val="24"/>
          <w:lang w:eastAsia="lv-LV"/>
        </w:rPr>
        <w:t>0</w:t>
      </w:r>
      <w:r w:rsidRPr="00A07F29">
        <w:rPr>
          <w:rFonts w:ascii="Times New Roman" w:eastAsia="Times New Roman" w:hAnsi="Times New Roman" w:cs="Times New Roman"/>
          <w:sz w:val="24"/>
          <w:szCs w:val="24"/>
          <w:lang w:eastAsia="lv-LV"/>
        </w:rPr>
        <w:t>.2.</w:t>
      </w:r>
      <w:r w:rsidR="001A2EBE">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 xml:space="preserve">koka </w:t>
      </w:r>
      <w:proofErr w:type="spellStart"/>
      <w:r w:rsidRPr="00A07F29">
        <w:rPr>
          <w:rFonts w:ascii="Times New Roman" w:eastAsia="Times New Roman" w:hAnsi="Times New Roman" w:cs="Times New Roman"/>
          <w:sz w:val="24"/>
          <w:szCs w:val="24"/>
          <w:lang w:eastAsia="lv-LV"/>
        </w:rPr>
        <w:t>augtspēja</w:t>
      </w:r>
      <w:proofErr w:type="spellEnd"/>
      <w:r w:rsidRPr="00A07F29">
        <w:rPr>
          <w:rFonts w:ascii="Times New Roman" w:eastAsia="Times New Roman" w:hAnsi="Times New Roman" w:cs="Times New Roman"/>
          <w:sz w:val="24"/>
          <w:szCs w:val="24"/>
          <w:lang w:eastAsia="lv-LV"/>
        </w:rPr>
        <w:t xml:space="preserve"> ir pilnīgi vai daļēji zudusi, un koks nav dzīvotne īpaši aizsargājamai sugai. Koka </w:t>
      </w:r>
      <w:proofErr w:type="spellStart"/>
      <w:r w:rsidRPr="00A07F29">
        <w:rPr>
          <w:rFonts w:ascii="Times New Roman" w:eastAsia="Times New Roman" w:hAnsi="Times New Roman" w:cs="Times New Roman"/>
          <w:sz w:val="24"/>
          <w:szCs w:val="24"/>
          <w:lang w:eastAsia="lv-LV"/>
        </w:rPr>
        <w:t>augtspēju</w:t>
      </w:r>
      <w:proofErr w:type="spellEnd"/>
      <w:r w:rsidRPr="00A07F29">
        <w:rPr>
          <w:rFonts w:ascii="Times New Roman" w:eastAsia="Times New Roman" w:hAnsi="Times New Roman" w:cs="Times New Roman"/>
          <w:sz w:val="24"/>
          <w:szCs w:val="24"/>
          <w:lang w:eastAsia="lv-LV"/>
        </w:rPr>
        <w:t xml:space="preserve"> nosaka atbilstoši meža apsaimniekošanu un izmantošanu regulējošiem normatīviem aktiem;</w:t>
      </w:r>
    </w:p>
    <w:p w14:paraId="473A5A3D" w14:textId="7FBB494A" w:rsidR="00B07340" w:rsidRPr="00A07F29" w:rsidRDefault="00B07340" w:rsidP="00B07340">
      <w:pPr>
        <w:spacing w:after="120" w:line="240" w:lineRule="auto"/>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6</w:t>
      </w:r>
      <w:r w:rsidR="00CD5384" w:rsidRPr="00A07F29">
        <w:rPr>
          <w:rFonts w:ascii="Times New Roman" w:eastAsia="Times New Roman" w:hAnsi="Times New Roman" w:cs="Times New Roman"/>
          <w:sz w:val="24"/>
          <w:szCs w:val="24"/>
          <w:lang w:eastAsia="lv-LV"/>
        </w:rPr>
        <w:t>0</w:t>
      </w:r>
      <w:r w:rsidRPr="00A07F29">
        <w:rPr>
          <w:rFonts w:ascii="Times New Roman" w:eastAsia="Times New Roman" w:hAnsi="Times New Roman" w:cs="Times New Roman"/>
          <w:sz w:val="24"/>
          <w:szCs w:val="24"/>
          <w:lang w:eastAsia="lv-LV"/>
        </w:rPr>
        <w:t>.3.</w:t>
      </w:r>
      <w:r w:rsidR="001A2EBE">
        <w:rPr>
          <w:rFonts w:ascii="Times New Roman" w:eastAsia="Times New Roman" w:hAnsi="Times New Roman" w:cs="Times New Roman"/>
          <w:sz w:val="24"/>
          <w:szCs w:val="24"/>
          <w:lang w:eastAsia="lv-LV"/>
        </w:rPr>
        <w:t> </w:t>
      </w:r>
      <w:r w:rsidRPr="00A07F29">
        <w:rPr>
          <w:rFonts w:ascii="Times New Roman" w:eastAsia="Times New Roman" w:hAnsi="Times New Roman" w:cs="Times New Roman"/>
          <w:sz w:val="24"/>
          <w:szCs w:val="24"/>
          <w:lang w:eastAsia="lv-LV"/>
        </w:rPr>
        <w:t>lai nodrošinātu sabiedrības veselības</w:t>
      </w:r>
      <w:r w:rsidR="00D96E94">
        <w:rPr>
          <w:rFonts w:ascii="Times New Roman" w:eastAsia="Times New Roman" w:hAnsi="Times New Roman" w:cs="Times New Roman"/>
          <w:sz w:val="24"/>
          <w:szCs w:val="24"/>
          <w:lang w:eastAsia="lv-LV"/>
        </w:rPr>
        <w:t>,</w:t>
      </w:r>
      <w:r w:rsidRPr="00A07F29">
        <w:rPr>
          <w:rFonts w:ascii="Times New Roman" w:eastAsia="Times New Roman" w:hAnsi="Times New Roman" w:cs="Times New Roman"/>
          <w:sz w:val="24"/>
          <w:szCs w:val="24"/>
          <w:lang w:eastAsia="lv-LV"/>
        </w:rPr>
        <w:t xml:space="preserve"> aizsardzības, drošības vai citas sevišķi svarīgas, arī sociāla vai ekonomiska rakstura, intereses vai videi primāri svarīgas labvēlīgas izmaiņas.</w:t>
      </w:r>
    </w:p>
    <w:p w14:paraId="2A35D7C1" w14:textId="08F4EF76" w:rsidR="00343B61" w:rsidRPr="00A07F29" w:rsidRDefault="00343B61" w:rsidP="00B07340">
      <w:pPr>
        <w:spacing w:after="120" w:line="240" w:lineRule="auto"/>
        <w:jc w:val="both"/>
        <w:rPr>
          <w:rFonts w:ascii="Times New Roman" w:eastAsia="Times New Roman" w:hAnsi="Times New Roman" w:cs="Times New Roman"/>
          <w:sz w:val="24"/>
          <w:szCs w:val="24"/>
          <w:lang w:eastAsia="lv-LV"/>
        </w:rPr>
      </w:pPr>
    </w:p>
    <w:p w14:paraId="4078A8F9" w14:textId="2E31DC17" w:rsidR="009072CE" w:rsidRPr="00A07F29" w:rsidRDefault="009072CE" w:rsidP="0022550C">
      <w:pPr>
        <w:pStyle w:val="Heading3"/>
        <w:spacing w:before="120" w:after="120" w:line="240" w:lineRule="auto"/>
        <w:jc w:val="center"/>
        <w:rPr>
          <w:b w:val="0"/>
          <w:lang w:eastAsia="ja-JP"/>
        </w:rPr>
      </w:pPr>
      <w:bookmarkStart w:id="121" w:name="_Toc183434039"/>
      <w:r w:rsidRPr="00A07F29">
        <w:rPr>
          <w:lang w:eastAsia="ja-JP"/>
        </w:rPr>
        <w:t>6.2.1.</w:t>
      </w:r>
      <w:r w:rsidR="00936B37" w:rsidRPr="00A07F29">
        <w:rPr>
          <w:lang w:eastAsia="ja-JP"/>
        </w:rPr>
        <w:t xml:space="preserve"> Priekšlikumi AAA “Augšdaugava” funkcionālajam zonējumam</w:t>
      </w:r>
      <w:bookmarkEnd w:id="121"/>
    </w:p>
    <w:p w14:paraId="6FF72D6D" w14:textId="0671BDD2" w:rsidR="009072CE" w:rsidRPr="00A07F29" w:rsidRDefault="009072CE" w:rsidP="00E35789">
      <w:pPr>
        <w:spacing w:after="120" w:line="240" w:lineRule="auto"/>
        <w:rPr>
          <w:rFonts w:ascii="Times New Roman" w:eastAsia="Times New Roman" w:hAnsi="Times New Roman" w:cs="Times New Roman"/>
          <w:b/>
          <w:bCs/>
          <w:i/>
          <w:sz w:val="24"/>
          <w:szCs w:val="24"/>
          <w:lang w:eastAsia="lv-LV"/>
        </w:rPr>
      </w:pPr>
      <w:r w:rsidRPr="00A07F29">
        <w:rPr>
          <w:rFonts w:ascii="Times New Roman" w:eastAsia="Times New Roman" w:hAnsi="Times New Roman" w:cs="Times New Roman"/>
          <w:b/>
          <w:bCs/>
          <w:i/>
          <w:sz w:val="24"/>
          <w:szCs w:val="24"/>
          <w:lang w:eastAsia="lv-LV"/>
        </w:rPr>
        <w:t xml:space="preserve">Zonējums un noteikumi putnu sugu aizsardzībai </w:t>
      </w:r>
    </w:p>
    <w:p w14:paraId="78969552" w14:textId="5038496B" w:rsidR="009072CE" w:rsidRPr="00A6615B" w:rsidRDefault="009072CE" w:rsidP="001A1ABD">
      <w:pPr>
        <w:spacing w:after="120" w:line="240" w:lineRule="auto"/>
        <w:ind w:firstLine="851"/>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Ar vecām, netraucētām mežaudzēm saistītas putnu sugas, k</w:t>
      </w:r>
      <w:r w:rsidR="00694970" w:rsidRPr="00A07F29">
        <w:rPr>
          <w:rFonts w:ascii="Times New Roman" w:eastAsia="Times New Roman" w:hAnsi="Times New Roman" w:cs="Times New Roman"/>
          <w:sz w:val="24"/>
          <w:szCs w:val="24"/>
          <w:lang w:eastAsia="lv-LV"/>
        </w:rPr>
        <w:t>ur</w:t>
      </w:r>
      <w:r w:rsidRPr="00A07F29">
        <w:rPr>
          <w:rFonts w:ascii="Times New Roman" w:eastAsia="Times New Roman" w:hAnsi="Times New Roman" w:cs="Times New Roman"/>
          <w:sz w:val="24"/>
          <w:szCs w:val="24"/>
          <w:lang w:eastAsia="lv-LV"/>
        </w:rPr>
        <w:t>as apdzīvo mežu masīvus</w:t>
      </w:r>
      <w:r w:rsidR="00694970" w:rsidRPr="00A07F29">
        <w:rPr>
          <w:rFonts w:ascii="Times New Roman" w:eastAsia="Times New Roman" w:hAnsi="Times New Roman" w:cs="Times New Roman"/>
          <w:sz w:val="24"/>
          <w:szCs w:val="24"/>
          <w:lang w:eastAsia="lv-LV"/>
        </w:rPr>
        <w:t>,</w:t>
      </w:r>
      <w:r w:rsidRPr="00A07F29">
        <w:rPr>
          <w:rFonts w:ascii="Times New Roman" w:eastAsia="Times New Roman" w:hAnsi="Times New Roman" w:cs="Times New Roman"/>
          <w:sz w:val="24"/>
          <w:szCs w:val="24"/>
          <w:lang w:eastAsia="lv-LV"/>
        </w:rPr>
        <w:t xml:space="preserve"> var aizsargāt tikai ar stingrāku zonējumu</w:t>
      </w:r>
      <w:r w:rsidR="001D0788" w:rsidRPr="00A07F29">
        <w:rPr>
          <w:rFonts w:ascii="Times New Roman" w:eastAsia="Times New Roman" w:hAnsi="Times New Roman" w:cs="Times New Roman"/>
          <w:sz w:val="24"/>
          <w:szCs w:val="24"/>
          <w:lang w:eastAsia="lv-LV"/>
        </w:rPr>
        <w:t xml:space="preserve"> – nepieciešamas </w:t>
      </w:r>
      <w:r w:rsidRPr="00A07F29">
        <w:rPr>
          <w:rFonts w:ascii="Times New Roman" w:eastAsia="Times New Roman" w:hAnsi="Times New Roman" w:cs="Times New Roman"/>
          <w:sz w:val="24"/>
          <w:szCs w:val="24"/>
          <w:lang w:eastAsia="lv-LV"/>
        </w:rPr>
        <w:t>lielākas un ekoloģiski vienotas dabas lieguma zonas. Šīs sugas "seko biotopiem".</w:t>
      </w:r>
      <w:r w:rsidRPr="00A07F29">
        <w:t xml:space="preserve"> </w:t>
      </w:r>
      <w:r w:rsidRPr="00A07F29">
        <w:rPr>
          <w:rFonts w:ascii="Times New Roman" w:eastAsia="Times New Roman" w:hAnsi="Times New Roman" w:cs="Times New Roman"/>
          <w:sz w:val="24"/>
          <w:szCs w:val="24"/>
          <w:lang w:eastAsia="lv-LV"/>
        </w:rPr>
        <w:t xml:space="preserve">Ir jādomā ne tikai pēc pašreizējās situācijas, kur lielas platības neatbilst ES biotopiem (un līdz ar to nav arī citu </w:t>
      </w:r>
      <w:r w:rsidRPr="00A6615B">
        <w:rPr>
          <w:rFonts w:ascii="Times New Roman" w:eastAsia="Times New Roman" w:hAnsi="Times New Roman" w:cs="Times New Roman"/>
          <w:sz w:val="24"/>
          <w:szCs w:val="24"/>
          <w:lang w:eastAsia="lv-LV"/>
        </w:rPr>
        <w:t>grupu īpaši aizsargājamo sugu), bet ar nākotnes perspektīvu. Ja saglabāsies esošais zonējums, tad, piemēram, Adamovas lokā nekad arī biotopu platības nepieaugs.</w:t>
      </w:r>
    </w:p>
    <w:p w14:paraId="43EB6C31" w14:textId="13EFC6BC" w:rsidR="009072CE" w:rsidRPr="00A07F29" w:rsidRDefault="009072CE" w:rsidP="001A1ABD">
      <w:pPr>
        <w:spacing w:after="120" w:line="240" w:lineRule="auto"/>
        <w:ind w:firstLine="851"/>
        <w:jc w:val="both"/>
        <w:rPr>
          <w:rFonts w:ascii="Times New Roman" w:eastAsia="Times New Roman" w:hAnsi="Times New Roman" w:cs="Times New Roman"/>
          <w:sz w:val="24"/>
          <w:szCs w:val="24"/>
          <w:lang w:eastAsia="lv-LV"/>
        </w:rPr>
      </w:pPr>
      <w:r w:rsidRPr="00A6615B">
        <w:rPr>
          <w:rFonts w:ascii="Times New Roman" w:eastAsia="Times New Roman" w:hAnsi="Times New Roman" w:cs="Times New Roman"/>
          <w:sz w:val="24"/>
          <w:szCs w:val="24"/>
          <w:lang w:eastAsia="lv-LV"/>
        </w:rPr>
        <w:t xml:space="preserve">Ārpus mežu masīviem un aizsargājamajiem biotopiem ligzdojošās putnu sugas iedalās vairākās kategorijās. Ir virkne sugu, kurām nozīmīgas teritorijā esošās mitraines (reljefa pazeminājumi, </w:t>
      </w:r>
      <w:proofErr w:type="spellStart"/>
      <w:r w:rsidRPr="00A6615B">
        <w:rPr>
          <w:rFonts w:ascii="Times New Roman" w:eastAsia="Times New Roman" w:hAnsi="Times New Roman" w:cs="Times New Roman"/>
          <w:sz w:val="24"/>
          <w:szCs w:val="24"/>
          <w:lang w:eastAsia="lv-LV"/>
        </w:rPr>
        <w:t>bebraines</w:t>
      </w:r>
      <w:proofErr w:type="spellEnd"/>
      <w:r w:rsidRPr="00A6615B">
        <w:rPr>
          <w:rFonts w:ascii="Times New Roman" w:eastAsia="Times New Roman" w:hAnsi="Times New Roman" w:cs="Times New Roman"/>
          <w:sz w:val="24"/>
          <w:szCs w:val="24"/>
          <w:lang w:eastAsia="lv-LV"/>
        </w:rPr>
        <w:t xml:space="preserve"> dažādās stadijās)</w:t>
      </w:r>
      <w:r w:rsidR="001D0788" w:rsidRPr="00A6615B">
        <w:rPr>
          <w:rFonts w:ascii="Times New Roman" w:eastAsia="Times New Roman" w:hAnsi="Times New Roman" w:cs="Times New Roman"/>
          <w:sz w:val="24"/>
          <w:szCs w:val="24"/>
          <w:lang w:eastAsia="lv-LV"/>
        </w:rPr>
        <w:t xml:space="preserve"> – </w:t>
      </w:r>
      <w:r w:rsidRPr="00A6615B">
        <w:rPr>
          <w:rFonts w:ascii="Times New Roman" w:eastAsia="Times New Roman" w:hAnsi="Times New Roman" w:cs="Times New Roman"/>
          <w:sz w:val="24"/>
          <w:szCs w:val="24"/>
          <w:lang w:eastAsia="lv-LV"/>
        </w:rPr>
        <w:t>gan kā barošanās vietas, gan kā ligzdošanas vietas. Šādas teritorijas ir nozīmīgas arī citu organismu grupu īpaši aizsargājamām</w:t>
      </w:r>
      <w:r w:rsidRPr="00A07F29">
        <w:rPr>
          <w:rFonts w:ascii="Times New Roman" w:eastAsia="Times New Roman" w:hAnsi="Times New Roman" w:cs="Times New Roman"/>
          <w:sz w:val="24"/>
          <w:szCs w:val="24"/>
          <w:lang w:eastAsia="lv-LV"/>
        </w:rPr>
        <w:t xml:space="preserve"> sugām. Nepieciešams regulējums individuālajos noteikumos, kādā veidā aizsargāt šīs vietas</w:t>
      </w:r>
      <w:r w:rsidR="001D0788" w:rsidRPr="00A07F29">
        <w:rPr>
          <w:rFonts w:ascii="Times New Roman" w:eastAsia="Times New Roman" w:hAnsi="Times New Roman" w:cs="Times New Roman"/>
          <w:sz w:val="24"/>
          <w:szCs w:val="24"/>
          <w:lang w:eastAsia="lv-LV"/>
        </w:rPr>
        <w:t xml:space="preserve">, </w:t>
      </w:r>
      <w:r w:rsidRPr="00A07F29">
        <w:rPr>
          <w:rFonts w:ascii="Times New Roman" w:eastAsia="Times New Roman" w:hAnsi="Times New Roman" w:cs="Times New Roman"/>
          <w:sz w:val="24"/>
          <w:szCs w:val="24"/>
          <w:lang w:eastAsia="lv-LV"/>
        </w:rPr>
        <w:t>kas lielākajā daļā gadījumu neatbilst nekāda aizsargājama biotopa izdalīšanas kritērijiem. Šādas vietas potenciāli apdraud meliorācijas intensifikācija, jo</w:t>
      </w:r>
      <w:r w:rsidR="001D0788" w:rsidRPr="00A07F29">
        <w:rPr>
          <w:rFonts w:ascii="Times New Roman" w:eastAsia="Times New Roman" w:hAnsi="Times New Roman" w:cs="Times New Roman"/>
          <w:sz w:val="24"/>
          <w:szCs w:val="24"/>
          <w:lang w:eastAsia="lv-LV"/>
        </w:rPr>
        <w:t>,</w:t>
      </w:r>
      <w:r w:rsidRPr="00A07F29">
        <w:rPr>
          <w:rFonts w:ascii="Times New Roman" w:eastAsia="Times New Roman" w:hAnsi="Times New Roman" w:cs="Times New Roman"/>
          <w:sz w:val="24"/>
          <w:szCs w:val="24"/>
          <w:lang w:eastAsia="lv-LV"/>
        </w:rPr>
        <w:t xml:space="preserve"> izmainot līmeni un tiekot galā ar bebriem, teorētiski pastāv iespēja šāda teritorijas pārvērst lauksaimniecībā izmantojamās </w:t>
      </w:r>
      <w:r w:rsidR="00694970" w:rsidRPr="00A07F29">
        <w:rPr>
          <w:rFonts w:ascii="Times New Roman" w:eastAsia="Times New Roman" w:hAnsi="Times New Roman" w:cs="Times New Roman"/>
          <w:sz w:val="24"/>
          <w:szCs w:val="24"/>
          <w:lang w:eastAsia="lv-LV"/>
        </w:rPr>
        <w:t>zemēs</w:t>
      </w:r>
      <w:r w:rsidRPr="00A07F29">
        <w:rPr>
          <w:rFonts w:ascii="Times New Roman" w:eastAsia="Times New Roman" w:hAnsi="Times New Roman" w:cs="Times New Roman"/>
          <w:sz w:val="24"/>
          <w:szCs w:val="24"/>
          <w:lang w:eastAsia="lv-LV"/>
        </w:rPr>
        <w:t xml:space="preserve"> vai arī mežsaimniecībā izmantojamās teritorijās. Šobrīd </w:t>
      </w:r>
      <w:r w:rsidR="00694970" w:rsidRPr="00A07F29">
        <w:rPr>
          <w:rFonts w:ascii="Times New Roman" w:eastAsia="Times New Roman" w:hAnsi="Times New Roman" w:cs="Times New Roman"/>
          <w:sz w:val="24"/>
          <w:szCs w:val="24"/>
          <w:lang w:eastAsia="lv-LV"/>
        </w:rPr>
        <w:t>mitraiņu pārveid</w:t>
      </w:r>
      <w:r w:rsidR="00CF0A4A" w:rsidRPr="00A07F29">
        <w:rPr>
          <w:rFonts w:ascii="Times New Roman" w:eastAsia="Times New Roman" w:hAnsi="Times New Roman" w:cs="Times New Roman"/>
          <w:sz w:val="24"/>
          <w:szCs w:val="24"/>
          <w:lang w:eastAsia="lv-LV"/>
        </w:rPr>
        <w:t>o</w:t>
      </w:r>
      <w:r w:rsidR="00694970" w:rsidRPr="00A07F29">
        <w:rPr>
          <w:rFonts w:ascii="Times New Roman" w:eastAsia="Times New Roman" w:hAnsi="Times New Roman" w:cs="Times New Roman"/>
          <w:sz w:val="24"/>
          <w:szCs w:val="24"/>
          <w:lang w:eastAsia="lv-LV"/>
        </w:rPr>
        <w:t>šana nav novērojam</w:t>
      </w:r>
      <w:r w:rsidR="00CF0A4A" w:rsidRPr="00A07F29">
        <w:rPr>
          <w:rFonts w:ascii="Times New Roman" w:eastAsia="Times New Roman" w:hAnsi="Times New Roman" w:cs="Times New Roman"/>
          <w:sz w:val="24"/>
          <w:szCs w:val="24"/>
          <w:lang w:eastAsia="lv-LV"/>
        </w:rPr>
        <w:t>a</w:t>
      </w:r>
      <w:r w:rsidR="00694970" w:rsidRPr="00A07F29">
        <w:rPr>
          <w:rFonts w:ascii="Times New Roman" w:eastAsia="Times New Roman" w:hAnsi="Times New Roman" w:cs="Times New Roman"/>
          <w:sz w:val="24"/>
          <w:szCs w:val="24"/>
          <w:lang w:eastAsia="lv-LV"/>
        </w:rPr>
        <w:t>, bet nākotnē tas var būt</w:t>
      </w:r>
      <w:r w:rsidRPr="00A07F29">
        <w:rPr>
          <w:rFonts w:ascii="Times New Roman" w:eastAsia="Times New Roman" w:hAnsi="Times New Roman" w:cs="Times New Roman"/>
          <w:sz w:val="24"/>
          <w:szCs w:val="24"/>
          <w:lang w:eastAsia="lv-LV"/>
        </w:rPr>
        <w:t xml:space="preserve"> iespējams.</w:t>
      </w:r>
    </w:p>
    <w:p w14:paraId="39A261F4" w14:textId="6B90F768" w:rsidR="009072CE" w:rsidRPr="00A07F29" w:rsidRDefault="009072CE" w:rsidP="001A1ABD">
      <w:pPr>
        <w:spacing w:after="120" w:line="240" w:lineRule="auto"/>
        <w:ind w:firstLine="851"/>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 xml:space="preserve">Ir </w:t>
      </w:r>
      <w:proofErr w:type="spellStart"/>
      <w:r w:rsidRPr="00A07F29">
        <w:rPr>
          <w:rFonts w:ascii="Times New Roman" w:eastAsia="Times New Roman" w:hAnsi="Times New Roman" w:cs="Times New Roman"/>
          <w:sz w:val="24"/>
          <w:szCs w:val="24"/>
          <w:lang w:eastAsia="lv-LV"/>
        </w:rPr>
        <w:t>dzeņveidīgo</w:t>
      </w:r>
      <w:proofErr w:type="spellEnd"/>
      <w:r w:rsidRPr="00A07F29">
        <w:rPr>
          <w:rFonts w:ascii="Times New Roman" w:eastAsia="Times New Roman" w:hAnsi="Times New Roman" w:cs="Times New Roman"/>
          <w:sz w:val="24"/>
          <w:szCs w:val="24"/>
          <w:lang w:eastAsia="lv-LV"/>
        </w:rPr>
        <w:t xml:space="preserve"> sugas, kuru labvēlīgs aizsardzības st</w:t>
      </w:r>
      <w:r w:rsidR="00B34F5F" w:rsidRPr="00A07F29">
        <w:rPr>
          <w:rFonts w:ascii="Times New Roman" w:eastAsia="Times New Roman" w:hAnsi="Times New Roman" w:cs="Times New Roman"/>
          <w:sz w:val="24"/>
          <w:szCs w:val="24"/>
          <w:lang w:eastAsia="lv-LV"/>
        </w:rPr>
        <w:t>āvokli</w:t>
      </w:r>
      <w:r w:rsidRPr="00A07F29">
        <w:rPr>
          <w:rFonts w:ascii="Times New Roman" w:eastAsia="Times New Roman" w:hAnsi="Times New Roman" w:cs="Times New Roman"/>
          <w:sz w:val="24"/>
          <w:szCs w:val="24"/>
          <w:lang w:eastAsia="lv-LV"/>
        </w:rPr>
        <w:t>s tieši saistīts ar lapu koku īpatsvaru teritorijā (</w:t>
      </w:r>
      <w:proofErr w:type="spellStart"/>
      <w:r w:rsidRPr="00A07F29">
        <w:rPr>
          <w:rFonts w:ascii="Times New Roman" w:eastAsia="Times New Roman" w:hAnsi="Times New Roman" w:cs="Times New Roman"/>
          <w:sz w:val="24"/>
          <w:szCs w:val="24"/>
          <w:lang w:eastAsia="lv-LV"/>
        </w:rPr>
        <w:t>baltmugurdzenis</w:t>
      </w:r>
      <w:proofErr w:type="spellEnd"/>
      <w:r w:rsidRPr="00A07F29">
        <w:rPr>
          <w:rFonts w:ascii="Times New Roman" w:eastAsia="Times New Roman" w:hAnsi="Times New Roman" w:cs="Times New Roman"/>
          <w:sz w:val="24"/>
          <w:szCs w:val="24"/>
          <w:lang w:eastAsia="lv-LV"/>
        </w:rPr>
        <w:t xml:space="preserve">, pelēkā dzilna, vidējais dzenis). Jāparedz kādi ierobežojumi, lai zemes īpašnieki neapmežotu visas savas aizaugošās lauksaimniecības platības ar egli vai priedi. Jebkura lapu koku audze mozaīkveida ainavā </w:t>
      </w:r>
      <w:proofErr w:type="spellStart"/>
      <w:r w:rsidRPr="00A07F29">
        <w:rPr>
          <w:rFonts w:ascii="Times New Roman" w:eastAsia="Times New Roman" w:hAnsi="Times New Roman" w:cs="Times New Roman"/>
          <w:sz w:val="24"/>
          <w:szCs w:val="24"/>
          <w:lang w:eastAsia="lv-LV"/>
        </w:rPr>
        <w:t>dzeņveidīgajiem</w:t>
      </w:r>
      <w:proofErr w:type="spellEnd"/>
      <w:r w:rsidRPr="00A07F29">
        <w:rPr>
          <w:rFonts w:ascii="Times New Roman" w:eastAsia="Times New Roman" w:hAnsi="Times New Roman" w:cs="Times New Roman"/>
          <w:sz w:val="24"/>
          <w:szCs w:val="24"/>
          <w:lang w:eastAsia="lv-LV"/>
        </w:rPr>
        <w:t xml:space="preserve"> putniem būs piemērotāka (ātrāk veidosies mirusī koksne). Tāpat jebkuri platlapji nozīmīgi šīm sugām. Ieteicams iekļaut noteikumos: </w:t>
      </w:r>
      <w:r w:rsidR="00904453">
        <w:rPr>
          <w:rFonts w:ascii="Times New Roman" w:eastAsia="Times New Roman" w:hAnsi="Times New Roman" w:cs="Times New Roman"/>
          <w:sz w:val="24"/>
          <w:szCs w:val="24"/>
          <w:lang w:eastAsia="lv-LV"/>
        </w:rPr>
        <w:t>“</w:t>
      </w:r>
      <w:r w:rsidRPr="00A07F29">
        <w:rPr>
          <w:rFonts w:ascii="Times New Roman" w:eastAsia="Times New Roman" w:hAnsi="Times New Roman" w:cs="Times New Roman"/>
          <w:sz w:val="24"/>
          <w:szCs w:val="24"/>
          <w:lang w:eastAsia="lv-LV"/>
        </w:rPr>
        <w:t>ārpus meža zemes aizliegts cirst platlapju kokus, kuru stumbra caurmērs pārsniedz 25 cm, un citu sugu kokus, kuru stumbra caurmērs pārsniedz 40 cm.</w:t>
      </w:r>
      <w:r w:rsidR="00D72ACE">
        <w:rPr>
          <w:rFonts w:ascii="Times New Roman" w:eastAsia="Times New Roman" w:hAnsi="Times New Roman" w:cs="Times New Roman"/>
          <w:sz w:val="24"/>
          <w:szCs w:val="24"/>
          <w:lang w:eastAsia="lv-LV"/>
        </w:rPr>
        <w:t>”</w:t>
      </w:r>
    </w:p>
    <w:p w14:paraId="2594926D" w14:textId="77777777" w:rsidR="009072CE" w:rsidRPr="00A07F29" w:rsidRDefault="009072CE" w:rsidP="001A1ABD">
      <w:pPr>
        <w:spacing w:after="120" w:line="240" w:lineRule="auto"/>
        <w:ind w:firstLine="851"/>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Pamestās mājvietas un to dārzi arī ir nozīmīgi biotopi vairākām putnu sugām (brūnā čakste, svītrainais ķauķis u.c.) un arī nozīmīgs ainavas elements. Jāparedz iespēja nosargāt šīs vietas, jo vietām tiek praktizēta intensīva lauksaimniecība līdz ar viensētas robežām, kam var sekot nojaukšana un pārvēršana lauksaimniecības zemē.</w:t>
      </w:r>
    </w:p>
    <w:p w14:paraId="4FC22FB2" w14:textId="59100F5B" w:rsidR="009072CE" w:rsidRPr="00A07F29" w:rsidRDefault="009072CE" w:rsidP="001A1ABD">
      <w:pPr>
        <w:spacing w:after="120" w:line="240" w:lineRule="auto"/>
        <w:ind w:firstLine="851"/>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 xml:space="preserve">Dabas daudzveidībai būtu vēlams ierobežot lauksaimniecības intensifikāciju </w:t>
      </w:r>
      <w:r w:rsidR="00FB2705">
        <w:rPr>
          <w:rFonts w:ascii="Times New Roman" w:eastAsia="Times New Roman" w:hAnsi="Times New Roman" w:cs="Times New Roman"/>
          <w:sz w:val="24"/>
          <w:szCs w:val="24"/>
          <w:lang w:eastAsia="lv-LV"/>
        </w:rPr>
        <w:t>–</w:t>
      </w:r>
      <w:r w:rsidRPr="00A07F29">
        <w:rPr>
          <w:rFonts w:ascii="Times New Roman" w:eastAsia="Times New Roman" w:hAnsi="Times New Roman" w:cs="Times New Roman"/>
          <w:sz w:val="24"/>
          <w:szCs w:val="24"/>
          <w:lang w:eastAsia="lv-LV"/>
        </w:rPr>
        <w:t xml:space="preserve"> vienas lauksaimniecības kultūras </w:t>
      </w:r>
      <w:r w:rsidR="00B34F5F" w:rsidRPr="00A07F29">
        <w:rPr>
          <w:rFonts w:ascii="Times New Roman" w:eastAsia="Times New Roman" w:hAnsi="Times New Roman" w:cs="Times New Roman"/>
          <w:sz w:val="24"/>
          <w:szCs w:val="24"/>
          <w:lang w:eastAsia="lv-LV"/>
        </w:rPr>
        <w:t xml:space="preserve">lauka </w:t>
      </w:r>
      <w:r w:rsidRPr="00A07F29">
        <w:rPr>
          <w:rFonts w:ascii="Times New Roman" w:eastAsia="Times New Roman" w:hAnsi="Times New Roman" w:cs="Times New Roman"/>
          <w:sz w:val="24"/>
          <w:szCs w:val="24"/>
          <w:lang w:eastAsia="lv-LV"/>
        </w:rPr>
        <w:t>maksimāl</w:t>
      </w:r>
      <w:r w:rsidR="00B34F5F" w:rsidRPr="00A07F29">
        <w:rPr>
          <w:rFonts w:ascii="Times New Roman" w:eastAsia="Times New Roman" w:hAnsi="Times New Roman" w:cs="Times New Roman"/>
          <w:sz w:val="24"/>
          <w:szCs w:val="24"/>
          <w:lang w:eastAsia="lv-LV"/>
        </w:rPr>
        <w:t>o platību, enerģētisko kultūru audzēšanu</w:t>
      </w:r>
      <w:r w:rsidRPr="00A07F29">
        <w:rPr>
          <w:rFonts w:ascii="Times New Roman" w:eastAsia="Times New Roman" w:hAnsi="Times New Roman" w:cs="Times New Roman"/>
          <w:sz w:val="24"/>
          <w:szCs w:val="24"/>
          <w:lang w:eastAsia="lv-LV"/>
        </w:rPr>
        <w:t>, pesticīd</w:t>
      </w:r>
      <w:r w:rsidR="00B34F5F" w:rsidRPr="00A07F29">
        <w:rPr>
          <w:rFonts w:ascii="Times New Roman" w:eastAsia="Times New Roman" w:hAnsi="Times New Roman" w:cs="Times New Roman"/>
          <w:sz w:val="24"/>
          <w:szCs w:val="24"/>
          <w:lang w:eastAsia="lv-LV"/>
        </w:rPr>
        <w:t>u lietošanu u</w:t>
      </w:r>
      <w:r w:rsidRPr="00A07F29">
        <w:rPr>
          <w:rFonts w:ascii="Times New Roman" w:eastAsia="Times New Roman" w:hAnsi="Times New Roman" w:cs="Times New Roman"/>
          <w:sz w:val="24"/>
          <w:szCs w:val="24"/>
          <w:lang w:eastAsia="lv-LV"/>
        </w:rPr>
        <w:t xml:space="preserve">.c. Nepieciešams nodrošināt atlikušo zālāju biotopu </w:t>
      </w:r>
      <w:r w:rsidR="00B34F5F" w:rsidRPr="00A07F29">
        <w:rPr>
          <w:rFonts w:ascii="Times New Roman" w:eastAsia="Times New Roman" w:hAnsi="Times New Roman" w:cs="Times New Roman"/>
          <w:sz w:val="24"/>
          <w:szCs w:val="24"/>
          <w:lang w:eastAsia="lv-LV"/>
        </w:rPr>
        <w:t>saglabāša</w:t>
      </w:r>
      <w:r w:rsidR="002E7330">
        <w:rPr>
          <w:rFonts w:ascii="Times New Roman" w:eastAsia="Times New Roman" w:hAnsi="Times New Roman" w:cs="Times New Roman"/>
          <w:sz w:val="24"/>
          <w:szCs w:val="24"/>
          <w:lang w:eastAsia="lv-LV"/>
        </w:rPr>
        <w:t>n</w:t>
      </w:r>
      <w:r w:rsidR="00B34F5F" w:rsidRPr="00A07F29">
        <w:rPr>
          <w:rFonts w:ascii="Times New Roman" w:eastAsia="Times New Roman" w:hAnsi="Times New Roman" w:cs="Times New Roman"/>
          <w:sz w:val="24"/>
          <w:szCs w:val="24"/>
          <w:lang w:eastAsia="lv-LV"/>
        </w:rPr>
        <w:t>u.</w:t>
      </w:r>
      <w:r w:rsidRPr="00A07F29">
        <w:rPr>
          <w:rFonts w:ascii="Times New Roman" w:eastAsia="Times New Roman" w:hAnsi="Times New Roman" w:cs="Times New Roman"/>
          <w:sz w:val="24"/>
          <w:szCs w:val="24"/>
          <w:lang w:eastAsia="lv-LV"/>
        </w:rPr>
        <w:t xml:space="preserve"> Aizaugšanai un apmežošanai ir izteikti negatīva ietekme.</w:t>
      </w:r>
    </w:p>
    <w:p w14:paraId="67ACA02B" w14:textId="5829EEB3" w:rsidR="009072CE" w:rsidRPr="00A07F29" w:rsidRDefault="00B34F5F" w:rsidP="001A1ABD">
      <w:pPr>
        <w:spacing w:after="120" w:line="240" w:lineRule="auto"/>
        <w:ind w:firstLine="851"/>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Nepieciešama pārdomāta, tostarp aizsargājamo sugu dzīvotņu un aizsargājamo biotopu atjaunošanai piemērota k</w:t>
      </w:r>
      <w:r w:rsidR="009072CE" w:rsidRPr="00A07F29">
        <w:rPr>
          <w:rFonts w:ascii="Times New Roman" w:eastAsia="Times New Roman" w:hAnsi="Times New Roman" w:cs="Times New Roman"/>
          <w:sz w:val="24"/>
          <w:szCs w:val="24"/>
          <w:lang w:eastAsia="lv-LV"/>
        </w:rPr>
        <w:t xml:space="preserve">arjeru rekultivācija. </w:t>
      </w:r>
      <w:r w:rsidR="00582E50" w:rsidRPr="00A07F29">
        <w:rPr>
          <w:rFonts w:ascii="Times New Roman" w:eastAsia="Times New Roman" w:hAnsi="Times New Roman" w:cs="Times New Roman"/>
          <w:sz w:val="24"/>
          <w:szCs w:val="24"/>
          <w:lang w:eastAsia="lv-LV"/>
        </w:rPr>
        <w:t>Izstrādāto karjer</w:t>
      </w:r>
      <w:r w:rsidRPr="00A07F29">
        <w:rPr>
          <w:rFonts w:ascii="Times New Roman" w:eastAsia="Times New Roman" w:hAnsi="Times New Roman" w:cs="Times New Roman"/>
          <w:sz w:val="24"/>
          <w:szCs w:val="24"/>
          <w:lang w:eastAsia="lv-LV"/>
        </w:rPr>
        <w:t>u p</w:t>
      </w:r>
      <w:r w:rsidR="009072CE" w:rsidRPr="00A07F29">
        <w:rPr>
          <w:rFonts w:ascii="Times New Roman" w:eastAsia="Times New Roman" w:hAnsi="Times New Roman" w:cs="Times New Roman"/>
          <w:sz w:val="24"/>
          <w:szCs w:val="24"/>
          <w:lang w:eastAsia="lv-LV"/>
        </w:rPr>
        <w:t xml:space="preserve">latībām apmežojoties, mežaudzei </w:t>
      </w:r>
      <w:r w:rsidRPr="00A07F29">
        <w:rPr>
          <w:rFonts w:ascii="Times New Roman" w:eastAsia="Times New Roman" w:hAnsi="Times New Roman" w:cs="Times New Roman"/>
          <w:sz w:val="24"/>
          <w:szCs w:val="24"/>
          <w:lang w:eastAsia="lv-LV"/>
        </w:rPr>
        <w:t xml:space="preserve">ilgu laiku </w:t>
      </w:r>
      <w:r w:rsidR="009072CE" w:rsidRPr="00A07F29">
        <w:rPr>
          <w:rFonts w:ascii="Times New Roman" w:eastAsia="Times New Roman" w:hAnsi="Times New Roman" w:cs="Times New Roman"/>
          <w:sz w:val="24"/>
          <w:szCs w:val="24"/>
          <w:lang w:eastAsia="lv-LV"/>
        </w:rPr>
        <w:t xml:space="preserve">būs maza bioloģiskā vērtība. Pēc </w:t>
      </w:r>
      <w:r w:rsidRPr="00A07F29">
        <w:rPr>
          <w:rFonts w:ascii="Times New Roman" w:eastAsia="Times New Roman" w:hAnsi="Times New Roman" w:cs="Times New Roman"/>
          <w:sz w:val="24"/>
          <w:szCs w:val="24"/>
          <w:lang w:eastAsia="lv-LV"/>
        </w:rPr>
        <w:t xml:space="preserve">karjeru </w:t>
      </w:r>
      <w:r w:rsidR="009072CE" w:rsidRPr="00A07F29">
        <w:rPr>
          <w:rFonts w:ascii="Times New Roman" w:eastAsia="Times New Roman" w:hAnsi="Times New Roman" w:cs="Times New Roman"/>
          <w:sz w:val="24"/>
          <w:szCs w:val="24"/>
          <w:lang w:eastAsia="lv-LV"/>
        </w:rPr>
        <w:t xml:space="preserve">izstrādes pārtraukšanas daļā situāciju izveidojas specifisks biotops, kas piemērots, piemēram, stepes </w:t>
      </w:r>
      <w:proofErr w:type="spellStart"/>
      <w:r w:rsidR="009072CE" w:rsidRPr="00A07F29">
        <w:rPr>
          <w:rFonts w:ascii="Times New Roman" w:eastAsia="Times New Roman" w:hAnsi="Times New Roman" w:cs="Times New Roman"/>
          <w:sz w:val="24"/>
          <w:szCs w:val="24"/>
          <w:lang w:eastAsia="lv-LV"/>
        </w:rPr>
        <w:t>čipstes</w:t>
      </w:r>
      <w:proofErr w:type="spellEnd"/>
      <w:r w:rsidR="009072CE" w:rsidRPr="00A07F29">
        <w:rPr>
          <w:rFonts w:ascii="Times New Roman" w:eastAsia="Times New Roman" w:hAnsi="Times New Roman" w:cs="Times New Roman"/>
          <w:sz w:val="24"/>
          <w:szCs w:val="24"/>
          <w:lang w:eastAsia="lv-LV"/>
        </w:rPr>
        <w:t xml:space="preserve"> ligzdošanai. Tauriņu sugām arī šādas vietas varētu būt nozīmīgas, ja vien pietiekoši ziedaugu. Jaunu karjeru veidošana n</w:t>
      </w:r>
      <w:r w:rsidR="001D0788" w:rsidRPr="00A07F29">
        <w:rPr>
          <w:rFonts w:ascii="Times New Roman" w:eastAsia="Times New Roman" w:hAnsi="Times New Roman" w:cs="Times New Roman"/>
          <w:sz w:val="24"/>
          <w:szCs w:val="24"/>
          <w:lang w:eastAsia="lv-LV"/>
        </w:rPr>
        <w:t>av</w:t>
      </w:r>
      <w:r w:rsidR="009072CE" w:rsidRPr="00A07F29">
        <w:rPr>
          <w:rFonts w:ascii="Times New Roman" w:eastAsia="Times New Roman" w:hAnsi="Times New Roman" w:cs="Times New Roman"/>
          <w:sz w:val="24"/>
          <w:szCs w:val="24"/>
          <w:lang w:eastAsia="lv-LV"/>
        </w:rPr>
        <w:t xml:space="preserve"> pieļaujama.</w:t>
      </w:r>
    </w:p>
    <w:p w14:paraId="0C67206E" w14:textId="1C6006BA" w:rsidR="009072CE" w:rsidRPr="00A07F29" w:rsidRDefault="009072CE" w:rsidP="005D0D0A">
      <w:pPr>
        <w:spacing w:before="240" w:after="120" w:line="240" w:lineRule="auto"/>
        <w:jc w:val="both"/>
        <w:rPr>
          <w:rFonts w:ascii="Times New Roman" w:eastAsia="Times New Roman" w:hAnsi="Times New Roman" w:cs="Times New Roman"/>
          <w:b/>
          <w:bCs/>
          <w:sz w:val="24"/>
          <w:szCs w:val="24"/>
          <w:lang w:eastAsia="lv-LV"/>
        </w:rPr>
      </w:pPr>
      <w:r w:rsidRPr="00A07F29">
        <w:rPr>
          <w:rFonts w:ascii="Times New Roman" w:eastAsia="Times New Roman" w:hAnsi="Times New Roman" w:cs="Times New Roman"/>
          <w:b/>
          <w:bCs/>
          <w:i/>
          <w:sz w:val="24"/>
          <w:szCs w:val="24"/>
          <w:lang w:eastAsia="lv-LV"/>
        </w:rPr>
        <w:lastRenderedPageBreak/>
        <w:t>Zonējums un noteikumi sikspārņu sugu aizsardzībai</w:t>
      </w:r>
    </w:p>
    <w:p w14:paraId="6B53E52A" w14:textId="66B115E1" w:rsidR="009072CE" w:rsidRPr="00A07F29" w:rsidRDefault="009072CE" w:rsidP="001A1ABD">
      <w:pPr>
        <w:spacing w:after="120" w:line="240" w:lineRule="auto"/>
        <w:ind w:firstLine="851"/>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 xml:space="preserve">Nepieciešams atbalstīt jebkādus ierobežojumus, kas </w:t>
      </w:r>
      <w:r w:rsidR="001D0788" w:rsidRPr="00A07F29">
        <w:rPr>
          <w:rFonts w:ascii="Times New Roman" w:eastAsia="Times New Roman" w:hAnsi="Times New Roman" w:cs="Times New Roman"/>
          <w:sz w:val="24"/>
          <w:szCs w:val="24"/>
          <w:lang w:eastAsia="lv-LV"/>
        </w:rPr>
        <w:t>nodrošinātu vecu</w:t>
      </w:r>
      <w:r w:rsidRPr="00A07F29">
        <w:rPr>
          <w:rFonts w:ascii="Times New Roman" w:eastAsia="Times New Roman" w:hAnsi="Times New Roman" w:cs="Times New Roman"/>
          <w:sz w:val="24"/>
          <w:szCs w:val="24"/>
          <w:lang w:eastAsia="lv-LV"/>
        </w:rPr>
        <w:t xml:space="preserve"> mežu saudzēšanu. Pamatojums </w:t>
      </w:r>
      <w:r w:rsidR="007A7399">
        <w:rPr>
          <w:rFonts w:ascii="Times New Roman" w:eastAsia="Times New Roman" w:hAnsi="Times New Roman" w:cs="Times New Roman"/>
          <w:sz w:val="24"/>
          <w:szCs w:val="24"/>
          <w:lang w:eastAsia="lv-LV"/>
        </w:rPr>
        <w:t>–</w:t>
      </w:r>
      <w:r w:rsidRPr="00A07F29">
        <w:rPr>
          <w:rFonts w:ascii="Times New Roman" w:eastAsia="Times New Roman" w:hAnsi="Times New Roman" w:cs="Times New Roman"/>
          <w:sz w:val="24"/>
          <w:szCs w:val="24"/>
          <w:lang w:eastAsia="lv-LV"/>
        </w:rPr>
        <w:t xml:space="preserve"> vecos, neskartos mežos ir ievērojami vairāk potenciālu sikspārņu mītņu koku.</w:t>
      </w:r>
      <w:r w:rsidR="00D65BBA" w:rsidRPr="00A07F29">
        <w:rPr>
          <w:rFonts w:ascii="Times New Roman" w:eastAsia="Times New Roman" w:hAnsi="Times New Roman" w:cs="Times New Roman"/>
          <w:sz w:val="24"/>
          <w:szCs w:val="24"/>
          <w:lang w:eastAsia="lv-LV"/>
        </w:rPr>
        <w:t xml:space="preserve"> </w:t>
      </w:r>
    </w:p>
    <w:p w14:paraId="0C8B67DC" w14:textId="37B8D84A" w:rsidR="009072CE" w:rsidRPr="00A07F29" w:rsidRDefault="009072CE" w:rsidP="001A1ABD">
      <w:pPr>
        <w:spacing w:after="120" w:line="240" w:lineRule="auto"/>
        <w:ind w:firstLine="851"/>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Jāņem vērā, ka sikspārņi atšķirībā no putniem vienas vairošanās sezonas laikā regulāri maina savas mītnes. Viena kolonija var izmantot sezonas lai</w:t>
      </w:r>
      <w:r w:rsidR="00582E50" w:rsidRPr="00A07F29">
        <w:rPr>
          <w:rFonts w:ascii="Times New Roman" w:eastAsia="Times New Roman" w:hAnsi="Times New Roman" w:cs="Times New Roman"/>
          <w:sz w:val="24"/>
          <w:szCs w:val="24"/>
          <w:lang w:eastAsia="lv-LV"/>
        </w:rPr>
        <w:t>kā vairākus desmitus mītņu koku</w:t>
      </w:r>
      <w:r w:rsidRPr="00A07F29">
        <w:rPr>
          <w:rFonts w:ascii="Times New Roman" w:eastAsia="Times New Roman" w:hAnsi="Times New Roman" w:cs="Times New Roman"/>
          <w:sz w:val="24"/>
          <w:szCs w:val="24"/>
          <w:lang w:eastAsia="lv-LV"/>
        </w:rPr>
        <w:t xml:space="preserve"> nelielā meža platībā.</w:t>
      </w:r>
    </w:p>
    <w:p w14:paraId="5B1C101A" w14:textId="6E42D58A" w:rsidR="009072CE" w:rsidRPr="00A07F29" w:rsidRDefault="009072CE" w:rsidP="001A1ABD">
      <w:pPr>
        <w:spacing w:after="120" w:line="240" w:lineRule="auto"/>
        <w:ind w:firstLine="851"/>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 xml:space="preserve">Ainaviskā kontekstā </w:t>
      </w:r>
      <w:r w:rsidR="00582E50" w:rsidRPr="00A07F29">
        <w:rPr>
          <w:rFonts w:ascii="Times New Roman" w:eastAsia="Times New Roman" w:hAnsi="Times New Roman" w:cs="Times New Roman"/>
          <w:sz w:val="24"/>
          <w:szCs w:val="24"/>
          <w:lang w:eastAsia="lv-LV"/>
        </w:rPr>
        <w:t xml:space="preserve">vairums </w:t>
      </w:r>
      <w:r w:rsidRPr="00A07F29">
        <w:rPr>
          <w:rFonts w:ascii="Times New Roman" w:eastAsia="Times New Roman" w:hAnsi="Times New Roman" w:cs="Times New Roman"/>
          <w:sz w:val="24"/>
          <w:szCs w:val="24"/>
          <w:lang w:eastAsia="lv-LV"/>
        </w:rPr>
        <w:t>sikspārņu sugu nav piesaistīti tikai meža teritorijai, bet barošanās vietu meklējumos nakts laikā var apsekot dažādus biotopus dažu līdz pat vairāk kā desmitiem kilomet</w:t>
      </w:r>
      <w:r w:rsidR="00582E50" w:rsidRPr="00A07F29">
        <w:rPr>
          <w:rFonts w:ascii="Times New Roman" w:eastAsia="Times New Roman" w:hAnsi="Times New Roman" w:cs="Times New Roman"/>
          <w:sz w:val="24"/>
          <w:szCs w:val="24"/>
          <w:lang w:eastAsia="lv-LV"/>
        </w:rPr>
        <w:t>ru rādiusā ap to dienas mītnēm.</w:t>
      </w:r>
    </w:p>
    <w:p w14:paraId="09969C96" w14:textId="02588001" w:rsidR="00E04B4D" w:rsidRPr="00A07F29" w:rsidRDefault="00E04B4D" w:rsidP="001A1ABD">
      <w:pPr>
        <w:spacing w:after="120" w:line="240" w:lineRule="auto"/>
        <w:ind w:firstLine="851"/>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Mežsaimniecības praksē jāizvairās no kailcirtēm</w:t>
      </w:r>
      <w:r w:rsidR="003E06B5">
        <w:rPr>
          <w:rFonts w:ascii="Times New Roman" w:eastAsia="Times New Roman" w:hAnsi="Times New Roman" w:cs="Times New Roman"/>
          <w:sz w:val="24"/>
          <w:szCs w:val="24"/>
          <w:lang w:eastAsia="lv-LV"/>
        </w:rPr>
        <w:t>,</w:t>
      </w:r>
      <w:r w:rsidRPr="00A07F29">
        <w:rPr>
          <w:rFonts w:ascii="Times New Roman" w:eastAsia="Times New Roman" w:hAnsi="Times New Roman" w:cs="Times New Roman"/>
          <w:sz w:val="24"/>
          <w:szCs w:val="24"/>
          <w:lang w:eastAsia="lv-LV"/>
        </w:rPr>
        <w:t xml:space="preserve"> </w:t>
      </w:r>
      <w:r w:rsidR="003E06B5">
        <w:rPr>
          <w:rFonts w:ascii="Times New Roman" w:eastAsia="Times New Roman" w:hAnsi="Times New Roman" w:cs="Times New Roman"/>
          <w:sz w:val="24"/>
          <w:szCs w:val="24"/>
          <w:lang w:eastAsia="lv-LV"/>
        </w:rPr>
        <w:t>a</w:t>
      </w:r>
      <w:r w:rsidRPr="00A07F29">
        <w:rPr>
          <w:rFonts w:ascii="Times New Roman" w:eastAsia="Times New Roman" w:hAnsi="Times New Roman" w:cs="Times New Roman"/>
          <w:sz w:val="24"/>
          <w:szCs w:val="24"/>
          <w:lang w:eastAsia="lv-LV"/>
        </w:rPr>
        <w:t>tklātas teritorijas</w:t>
      </w:r>
      <w:r w:rsidR="001D0788" w:rsidRPr="00A07F29">
        <w:rPr>
          <w:rFonts w:ascii="Times New Roman" w:eastAsia="Times New Roman" w:hAnsi="Times New Roman" w:cs="Times New Roman"/>
          <w:sz w:val="24"/>
          <w:szCs w:val="24"/>
          <w:lang w:eastAsia="lv-LV"/>
        </w:rPr>
        <w:t xml:space="preserve"> –</w:t>
      </w:r>
      <w:r w:rsidRPr="00A07F29">
        <w:rPr>
          <w:rFonts w:ascii="Times New Roman" w:eastAsia="Times New Roman" w:hAnsi="Times New Roman" w:cs="Times New Roman"/>
          <w:sz w:val="24"/>
          <w:szCs w:val="24"/>
          <w:lang w:eastAsia="lv-LV"/>
        </w:rPr>
        <w:t xml:space="preserve"> jaunaudzes, mežos izmanto sugas, kas barojas atklātā telpā. Tādi ir rūsganie </w:t>
      </w:r>
      <w:proofErr w:type="spellStart"/>
      <w:r w:rsidRPr="00A07F29">
        <w:rPr>
          <w:rFonts w:ascii="Times New Roman" w:eastAsia="Times New Roman" w:hAnsi="Times New Roman" w:cs="Times New Roman"/>
          <w:sz w:val="24"/>
          <w:szCs w:val="24"/>
          <w:lang w:eastAsia="lv-LV"/>
        </w:rPr>
        <w:t>vakarsikspārņi</w:t>
      </w:r>
      <w:proofErr w:type="spellEnd"/>
      <w:r w:rsidRPr="00A07F29">
        <w:rPr>
          <w:rFonts w:ascii="Times New Roman" w:eastAsia="Times New Roman" w:hAnsi="Times New Roman" w:cs="Times New Roman"/>
          <w:sz w:val="24"/>
          <w:szCs w:val="24"/>
          <w:lang w:eastAsia="lv-LV"/>
        </w:rPr>
        <w:t xml:space="preserve">, divkrāsainie sikspārņi un ziemeļu sikspārņi. Tomēr šajā gadījumā prioritāte </w:t>
      </w:r>
      <w:r w:rsidR="001D0788" w:rsidRPr="00A07F29">
        <w:rPr>
          <w:rFonts w:ascii="Times New Roman" w:eastAsia="Times New Roman" w:hAnsi="Times New Roman" w:cs="Times New Roman"/>
          <w:sz w:val="24"/>
          <w:szCs w:val="24"/>
          <w:lang w:eastAsia="lv-LV"/>
        </w:rPr>
        <w:t>ir</w:t>
      </w:r>
      <w:r w:rsidRPr="00A07F29">
        <w:rPr>
          <w:rFonts w:ascii="Times New Roman" w:eastAsia="Times New Roman" w:hAnsi="Times New Roman" w:cs="Times New Roman"/>
          <w:sz w:val="24"/>
          <w:szCs w:val="24"/>
          <w:lang w:eastAsia="lv-LV"/>
        </w:rPr>
        <w:t xml:space="preserve"> tipiskajām mežu sugām kā </w:t>
      </w:r>
      <w:proofErr w:type="spellStart"/>
      <w:r w:rsidRPr="00A07F29">
        <w:rPr>
          <w:rFonts w:ascii="Times New Roman" w:eastAsia="Times New Roman" w:hAnsi="Times New Roman" w:cs="Times New Roman"/>
          <w:sz w:val="24"/>
          <w:szCs w:val="24"/>
          <w:lang w:eastAsia="lv-LV"/>
        </w:rPr>
        <w:t>naktssikspārņiem</w:t>
      </w:r>
      <w:proofErr w:type="spellEnd"/>
      <w:r w:rsidRPr="00A07F29">
        <w:rPr>
          <w:rFonts w:ascii="Times New Roman" w:eastAsia="Times New Roman" w:hAnsi="Times New Roman" w:cs="Times New Roman"/>
          <w:sz w:val="24"/>
          <w:szCs w:val="24"/>
          <w:lang w:eastAsia="lv-LV"/>
        </w:rPr>
        <w:t xml:space="preserve"> un </w:t>
      </w:r>
      <w:proofErr w:type="spellStart"/>
      <w:r w:rsidRPr="00A07F29">
        <w:rPr>
          <w:rFonts w:ascii="Times New Roman" w:eastAsia="Times New Roman" w:hAnsi="Times New Roman" w:cs="Times New Roman"/>
          <w:sz w:val="24"/>
          <w:szCs w:val="24"/>
          <w:lang w:eastAsia="lv-LV"/>
        </w:rPr>
        <w:t>garausainajiem</w:t>
      </w:r>
      <w:proofErr w:type="spellEnd"/>
      <w:r w:rsidRPr="00A07F29">
        <w:rPr>
          <w:rFonts w:ascii="Times New Roman" w:eastAsia="Times New Roman" w:hAnsi="Times New Roman" w:cs="Times New Roman"/>
          <w:sz w:val="24"/>
          <w:szCs w:val="24"/>
          <w:lang w:eastAsia="lv-LV"/>
        </w:rPr>
        <w:t xml:space="preserve"> sikspārņiem, kas barošanās nolūkos neizmanto lielākus klajumus. Bez tam kailciršu gadījumā būtiski samazinās dobumaino koku pieejamība sikspārņiem un citiem dobumos mītošiem dzīvniekiem. No AAA </w:t>
      </w:r>
      <w:r w:rsidR="00E35789" w:rsidRPr="00A07F29">
        <w:rPr>
          <w:rFonts w:ascii="Times New Roman" w:eastAsia="Times New Roman" w:hAnsi="Times New Roman" w:cs="Times New Roman"/>
          <w:sz w:val="24"/>
          <w:szCs w:val="24"/>
          <w:lang w:eastAsia="lv-LV"/>
        </w:rPr>
        <w:t xml:space="preserve">“Augšdaugava” </w:t>
      </w:r>
      <w:r w:rsidRPr="00A07F29">
        <w:rPr>
          <w:rFonts w:ascii="Times New Roman" w:eastAsia="Times New Roman" w:hAnsi="Times New Roman" w:cs="Times New Roman"/>
          <w:sz w:val="24"/>
          <w:szCs w:val="24"/>
          <w:lang w:eastAsia="lv-LV"/>
        </w:rPr>
        <w:t xml:space="preserve">konstatētajām </w:t>
      </w:r>
      <w:r w:rsidR="00582E50" w:rsidRPr="00A07F29">
        <w:rPr>
          <w:rFonts w:ascii="Times New Roman" w:eastAsia="Times New Roman" w:hAnsi="Times New Roman" w:cs="Times New Roman"/>
          <w:sz w:val="24"/>
          <w:szCs w:val="24"/>
          <w:lang w:eastAsia="lv-LV"/>
        </w:rPr>
        <w:t xml:space="preserve">sikspārņu </w:t>
      </w:r>
      <w:r w:rsidRPr="00A07F29">
        <w:rPr>
          <w:rFonts w:ascii="Times New Roman" w:eastAsia="Times New Roman" w:hAnsi="Times New Roman" w:cs="Times New Roman"/>
          <w:sz w:val="24"/>
          <w:szCs w:val="24"/>
          <w:lang w:eastAsia="lv-LV"/>
        </w:rPr>
        <w:t xml:space="preserve">sugām divas – ūdeņu </w:t>
      </w:r>
      <w:proofErr w:type="spellStart"/>
      <w:r w:rsidRPr="00A07F29">
        <w:rPr>
          <w:rFonts w:ascii="Times New Roman" w:eastAsia="Times New Roman" w:hAnsi="Times New Roman" w:cs="Times New Roman"/>
          <w:sz w:val="24"/>
          <w:szCs w:val="24"/>
          <w:lang w:eastAsia="lv-LV"/>
        </w:rPr>
        <w:t>naktssikspārņi</w:t>
      </w:r>
      <w:proofErr w:type="spellEnd"/>
      <w:r w:rsidRPr="00A07F29">
        <w:rPr>
          <w:rFonts w:ascii="Times New Roman" w:eastAsia="Times New Roman" w:hAnsi="Times New Roman" w:cs="Times New Roman"/>
          <w:sz w:val="24"/>
          <w:szCs w:val="24"/>
          <w:lang w:eastAsia="lv-LV"/>
        </w:rPr>
        <w:t xml:space="preserve"> un rūsganie </w:t>
      </w:r>
      <w:proofErr w:type="spellStart"/>
      <w:r w:rsidRPr="00A07F29">
        <w:rPr>
          <w:rFonts w:ascii="Times New Roman" w:eastAsia="Times New Roman" w:hAnsi="Times New Roman" w:cs="Times New Roman"/>
          <w:sz w:val="24"/>
          <w:szCs w:val="24"/>
          <w:lang w:eastAsia="lv-LV"/>
        </w:rPr>
        <w:t>vakarsikspārņi</w:t>
      </w:r>
      <w:proofErr w:type="spellEnd"/>
      <w:r w:rsidRPr="00A07F29">
        <w:rPr>
          <w:rFonts w:ascii="Times New Roman" w:eastAsia="Times New Roman" w:hAnsi="Times New Roman" w:cs="Times New Roman"/>
          <w:sz w:val="24"/>
          <w:szCs w:val="24"/>
          <w:lang w:eastAsia="lv-LV"/>
        </w:rPr>
        <w:t xml:space="preserve"> par dienas slēptuvēm izmanto tikai koku dobumus, bet daļēji</w:t>
      </w:r>
      <w:r w:rsidR="00582E50" w:rsidRPr="00A07F29">
        <w:rPr>
          <w:rFonts w:ascii="Times New Roman" w:eastAsia="Times New Roman" w:hAnsi="Times New Roman" w:cs="Times New Roman"/>
          <w:sz w:val="24"/>
          <w:szCs w:val="24"/>
          <w:lang w:eastAsia="lv-LV"/>
        </w:rPr>
        <w:t xml:space="preserve"> koku dobumus izmanto </w:t>
      </w:r>
      <w:r w:rsidRPr="00A07F29">
        <w:rPr>
          <w:rFonts w:ascii="Times New Roman" w:eastAsia="Times New Roman" w:hAnsi="Times New Roman" w:cs="Times New Roman"/>
          <w:sz w:val="24"/>
          <w:szCs w:val="24"/>
          <w:lang w:eastAsia="lv-LV"/>
        </w:rPr>
        <w:t>arī visas pārējās sugas.</w:t>
      </w:r>
    </w:p>
    <w:p w14:paraId="575984D9" w14:textId="09242653" w:rsidR="00E04B4D" w:rsidRPr="00A07F29" w:rsidRDefault="00E04B4D" w:rsidP="001A1ABD">
      <w:pPr>
        <w:spacing w:after="120" w:line="240" w:lineRule="auto"/>
        <w:ind w:firstLine="851"/>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Attiecībā uz ūdenstilpēm kā ļoti svarīgām sikspārņu barošanās vietām, nevēlama ir stipra ūdeņu eitrofikācija, kas izrais</w:t>
      </w:r>
      <w:r w:rsidR="001D0788" w:rsidRPr="00A07F29">
        <w:rPr>
          <w:rFonts w:ascii="Times New Roman" w:eastAsia="Times New Roman" w:hAnsi="Times New Roman" w:cs="Times New Roman"/>
          <w:sz w:val="24"/>
          <w:szCs w:val="24"/>
          <w:lang w:eastAsia="lv-LV"/>
        </w:rPr>
        <w:t>a</w:t>
      </w:r>
      <w:r w:rsidRPr="00A07F29">
        <w:rPr>
          <w:rFonts w:ascii="Times New Roman" w:eastAsia="Times New Roman" w:hAnsi="Times New Roman" w:cs="Times New Roman"/>
          <w:sz w:val="24"/>
          <w:szCs w:val="24"/>
          <w:lang w:eastAsia="lv-LV"/>
        </w:rPr>
        <w:t xml:space="preserve"> to aizaugšanu. Vairākām </w:t>
      </w:r>
      <w:r w:rsidR="001D0788" w:rsidRPr="00A07F29">
        <w:rPr>
          <w:rFonts w:ascii="Times New Roman" w:eastAsia="Times New Roman" w:hAnsi="Times New Roman" w:cs="Times New Roman"/>
          <w:sz w:val="24"/>
          <w:szCs w:val="24"/>
          <w:lang w:eastAsia="lv-LV"/>
        </w:rPr>
        <w:t xml:space="preserve">sikspārņu </w:t>
      </w:r>
      <w:r w:rsidRPr="00A07F29">
        <w:rPr>
          <w:rFonts w:ascii="Times New Roman" w:eastAsia="Times New Roman" w:hAnsi="Times New Roman" w:cs="Times New Roman"/>
          <w:sz w:val="24"/>
          <w:szCs w:val="24"/>
          <w:lang w:eastAsia="lv-LV"/>
        </w:rPr>
        <w:t>sugām ir svarīga klaja ūdens virsma, lai barotos.</w:t>
      </w:r>
      <w:r w:rsidR="00114857" w:rsidRPr="00A07F29">
        <w:rPr>
          <w:rFonts w:ascii="Times New Roman" w:eastAsia="Times New Roman" w:hAnsi="Times New Roman" w:cs="Times New Roman"/>
          <w:sz w:val="24"/>
          <w:szCs w:val="24"/>
          <w:lang w:eastAsia="lv-LV"/>
        </w:rPr>
        <w:t xml:space="preserve"> Tāpat arī pēc iespējas jāizvairās no ūdenstilpju un koku lapotņu izgaismošanas.</w:t>
      </w:r>
    </w:p>
    <w:p w14:paraId="206AB225" w14:textId="69967536" w:rsidR="009072CE" w:rsidRPr="00A07F29" w:rsidRDefault="009072CE" w:rsidP="00D9233B">
      <w:pPr>
        <w:keepNext/>
        <w:spacing w:before="240" w:after="120" w:line="240" w:lineRule="auto"/>
        <w:jc w:val="both"/>
        <w:rPr>
          <w:rFonts w:ascii="Times New Roman" w:eastAsia="Times New Roman" w:hAnsi="Times New Roman" w:cs="Times New Roman"/>
          <w:b/>
          <w:bCs/>
          <w:i/>
          <w:sz w:val="24"/>
          <w:szCs w:val="24"/>
          <w:lang w:eastAsia="lv-LV"/>
        </w:rPr>
      </w:pPr>
      <w:r w:rsidRPr="00A07F29">
        <w:rPr>
          <w:rFonts w:ascii="Times New Roman" w:eastAsia="Times New Roman" w:hAnsi="Times New Roman" w:cs="Times New Roman"/>
          <w:b/>
          <w:bCs/>
          <w:i/>
          <w:sz w:val="24"/>
          <w:szCs w:val="24"/>
          <w:lang w:eastAsia="lv-LV"/>
        </w:rPr>
        <w:t>Zonējums un noteikumi bezmugurkaulnieku sugu aizsardzībai</w:t>
      </w:r>
    </w:p>
    <w:p w14:paraId="38410A90" w14:textId="3290B871" w:rsidR="009072CE" w:rsidRPr="00A07F29" w:rsidRDefault="009072CE" w:rsidP="001A1ABD">
      <w:pPr>
        <w:spacing w:after="120" w:line="240" w:lineRule="auto"/>
        <w:ind w:firstLine="851"/>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Nepieciešams plānot pasākumus</w:t>
      </w:r>
      <w:r w:rsidR="00582E50" w:rsidRPr="00A07F29">
        <w:rPr>
          <w:rFonts w:ascii="Times New Roman" w:eastAsia="Times New Roman" w:hAnsi="Times New Roman" w:cs="Times New Roman"/>
          <w:sz w:val="24"/>
          <w:szCs w:val="24"/>
          <w:lang w:eastAsia="lv-LV"/>
        </w:rPr>
        <w:t xml:space="preserve"> un zonējumu</w:t>
      </w:r>
      <w:r w:rsidR="001D0788" w:rsidRPr="00A07F29">
        <w:rPr>
          <w:rFonts w:ascii="Times New Roman" w:eastAsia="Times New Roman" w:hAnsi="Times New Roman" w:cs="Times New Roman"/>
          <w:sz w:val="24"/>
          <w:szCs w:val="24"/>
          <w:lang w:eastAsia="lv-LV"/>
        </w:rPr>
        <w:t xml:space="preserve">, kas samazina </w:t>
      </w:r>
      <w:r w:rsidRPr="00A07F29">
        <w:rPr>
          <w:rFonts w:ascii="Times New Roman" w:eastAsia="Times New Roman" w:hAnsi="Times New Roman" w:cs="Times New Roman"/>
          <w:sz w:val="24"/>
          <w:szCs w:val="24"/>
          <w:lang w:eastAsia="lv-LV"/>
        </w:rPr>
        <w:t>mežu biotopu fragmentācij</w:t>
      </w:r>
      <w:r w:rsidR="001D0788" w:rsidRPr="00A07F29">
        <w:rPr>
          <w:rFonts w:ascii="Times New Roman" w:eastAsia="Times New Roman" w:hAnsi="Times New Roman" w:cs="Times New Roman"/>
          <w:sz w:val="24"/>
          <w:szCs w:val="24"/>
          <w:lang w:eastAsia="lv-LV"/>
        </w:rPr>
        <w:t>u.</w:t>
      </w:r>
    </w:p>
    <w:p w14:paraId="323EF6FA" w14:textId="4ED00FDA" w:rsidR="009072CE" w:rsidRPr="00A07F29" w:rsidRDefault="009072CE" w:rsidP="001A1ABD">
      <w:pPr>
        <w:spacing w:after="120" w:line="240" w:lineRule="auto"/>
        <w:ind w:firstLine="851"/>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Zonējums pamato</w:t>
      </w:r>
      <w:r w:rsidR="001D0788" w:rsidRPr="00A07F29">
        <w:rPr>
          <w:rFonts w:ascii="Times New Roman" w:eastAsia="Times New Roman" w:hAnsi="Times New Roman" w:cs="Times New Roman"/>
          <w:sz w:val="24"/>
          <w:szCs w:val="24"/>
          <w:lang w:eastAsia="lv-LV"/>
        </w:rPr>
        <w:t>ts</w:t>
      </w:r>
      <w:r w:rsidRPr="00A07F29">
        <w:rPr>
          <w:rFonts w:ascii="Times New Roman" w:eastAsia="Times New Roman" w:hAnsi="Times New Roman" w:cs="Times New Roman"/>
          <w:sz w:val="24"/>
          <w:szCs w:val="24"/>
          <w:lang w:eastAsia="lv-LV"/>
        </w:rPr>
        <w:t xml:space="preserve"> ar aizsargājamo biotopu kartējumu, domājot par ekoloģiskajiem koridoriem, kas sevī ietver ārpus biotopiem konstatētās </w:t>
      </w:r>
      <w:r w:rsidRPr="00A6615B">
        <w:rPr>
          <w:rFonts w:ascii="Times New Roman" w:eastAsia="Times New Roman" w:hAnsi="Times New Roman" w:cs="Times New Roman"/>
          <w:sz w:val="24"/>
          <w:szCs w:val="24"/>
          <w:lang w:eastAsia="lv-LV"/>
        </w:rPr>
        <w:t>īpaši aizsargājamo</w:t>
      </w:r>
      <w:r w:rsidRPr="00A07F29">
        <w:rPr>
          <w:rFonts w:ascii="Times New Roman" w:eastAsia="Times New Roman" w:hAnsi="Times New Roman" w:cs="Times New Roman"/>
          <w:sz w:val="24"/>
          <w:szCs w:val="24"/>
          <w:lang w:eastAsia="lv-LV"/>
        </w:rPr>
        <w:t xml:space="preserve"> sugu atradnes, kā arī mežaudzes, kas tuvāko gadu laikā varētu sasniegt ES nozīmes biotopu kvalificējošos kritērijus. Kā būtiskākais arguments dabas lieguma zonas veidošanai ārpus aizsargājamo biotopu poligoniem ir mikroliegumu sugu atradnes. Par pamatu lieguma zonas veidošanai </w:t>
      </w:r>
      <w:r w:rsidR="001D0788" w:rsidRPr="00A07F29">
        <w:rPr>
          <w:rFonts w:ascii="Times New Roman" w:eastAsia="Times New Roman" w:hAnsi="Times New Roman" w:cs="Times New Roman"/>
          <w:sz w:val="24"/>
          <w:szCs w:val="24"/>
          <w:lang w:eastAsia="lv-LV"/>
        </w:rPr>
        <w:t>jāņem</w:t>
      </w:r>
      <w:r w:rsidRPr="00A07F29">
        <w:rPr>
          <w:rFonts w:ascii="Times New Roman" w:eastAsia="Times New Roman" w:hAnsi="Times New Roman" w:cs="Times New Roman"/>
          <w:sz w:val="24"/>
          <w:szCs w:val="24"/>
          <w:lang w:eastAsia="lv-LV"/>
        </w:rPr>
        <w:t xml:space="preserve"> </w:t>
      </w:r>
      <w:r w:rsidR="001D0788" w:rsidRPr="00A07F29">
        <w:rPr>
          <w:rFonts w:ascii="Times New Roman" w:eastAsia="Times New Roman" w:hAnsi="Times New Roman" w:cs="Times New Roman"/>
          <w:sz w:val="24"/>
          <w:szCs w:val="24"/>
          <w:lang w:eastAsia="lv-LV"/>
        </w:rPr>
        <w:t xml:space="preserve">konstatētos </w:t>
      </w:r>
      <w:r w:rsidR="006C2387">
        <w:rPr>
          <w:rFonts w:ascii="Times New Roman" w:eastAsia="Times New Roman" w:hAnsi="Times New Roman" w:cs="Times New Roman"/>
          <w:sz w:val="24"/>
          <w:szCs w:val="24"/>
          <w:lang w:eastAsia="lv-LV"/>
        </w:rPr>
        <w:t>īpaši aizsargājamos</w:t>
      </w:r>
      <w:r w:rsidRPr="00A07F29">
        <w:rPr>
          <w:rFonts w:ascii="Times New Roman" w:eastAsia="Times New Roman" w:hAnsi="Times New Roman" w:cs="Times New Roman"/>
          <w:sz w:val="24"/>
          <w:szCs w:val="24"/>
          <w:lang w:eastAsia="lv-LV"/>
        </w:rPr>
        <w:t xml:space="preserve"> mežu biotopus</w:t>
      </w:r>
      <w:r w:rsidR="00472527" w:rsidRPr="00A07F29">
        <w:rPr>
          <w:rFonts w:ascii="Times New Roman" w:eastAsia="Times New Roman" w:hAnsi="Times New Roman" w:cs="Times New Roman"/>
          <w:sz w:val="24"/>
          <w:szCs w:val="24"/>
          <w:lang w:eastAsia="lv-LV"/>
        </w:rPr>
        <w:t xml:space="preserve">, </w:t>
      </w:r>
      <w:r w:rsidRPr="00A07F29">
        <w:rPr>
          <w:rFonts w:ascii="Times New Roman" w:eastAsia="Times New Roman" w:hAnsi="Times New Roman" w:cs="Times New Roman"/>
          <w:sz w:val="24"/>
          <w:szCs w:val="24"/>
          <w:lang w:eastAsia="lv-LV"/>
        </w:rPr>
        <w:t>pie nokartētajiem mežu biotopiem piegulošos potenciālos mežu biotopus</w:t>
      </w:r>
      <w:r w:rsidR="00472527" w:rsidRPr="00A07F29">
        <w:rPr>
          <w:rFonts w:ascii="Times New Roman" w:eastAsia="Times New Roman" w:hAnsi="Times New Roman" w:cs="Times New Roman"/>
          <w:sz w:val="24"/>
          <w:szCs w:val="24"/>
          <w:lang w:eastAsia="lv-LV"/>
        </w:rPr>
        <w:t xml:space="preserve">, </w:t>
      </w:r>
      <w:r w:rsidRPr="00A07F29">
        <w:rPr>
          <w:rFonts w:ascii="Times New Roman" w:eastAsia="Times New Roman" w:hAnsi="Times New Roman" w:cs="Times New Roman"/>
          <w:sz w:val="24"/>
          <w:szCs w:val="24"/>
          <w:lang w:eastAsia="lv-LV"/>
        </w:rPr>
        <w:t>mežu nogabalus, kuros konstatētas mikroliegumu sugas</w:t>
      </w:r>
      <w:r w:rsidR="00472527" w:rsidRPr="00A07F29">
        <w:rPr>
          <w:rFonts w:ascii="Times New Roman" w:eastAsia="Times New Roman" w:hAnsi="Times New Roman" w:cs="Times New Roman"/>
          <w:sz w:val="24"/>
          <w:szCs w:val="24"/>
          <w:lang w:eastAsia="lv-LV"/>
        </w:rPr>
        <w:t>,</w:t>
      </w:r>
      <w:r w:rsidRPr="00A07F29">
        <w:rPr>
          <w:rFonts w:ascii="Times New Roman" w:eastAsia="Times New Roman" w:hAnsi="Times New Roman" w:cs="Times New Roman"/>
          <w:sz w:val="24"/>
          <w:szCs w:val="24"/>
          <w:lang w:eastAsia="lv-LV"/>
        </w:rPr>
        <w:t xml:space="preserve"> mežu nogabalus, kuros šādas sugas potenciāli varētu būt sastopamas un kuros pastāv apdraudējums šo sugu dzīvotņu/potenciālo dzīvotņu iznīcināšanai, ja konkrētajos nogabalos netiks noteikti ierobežojumi mežsaimnieciskās darbības veikšanai. </w:t>
      </w:r>
    </w:p>
    <w:p w14:paraId="3495A54B" w14:textId="243359CC" w:rsidR="009072CE" w:rsidRPr="00A07F29" w:rsidRDefault="009072CE" w:rsidP="00936B37">
      <w:pPr>
        <w:spacing w:after="0" w:line="240" w:lineRule="auto"/>
        <w:ind w:firstLine="851"/>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 xml:space="preserve">No </w:t>
      </w:r>
      <w:proofErr w:type="spellStart"/>
      <w:r w:rsidRPr="00A07F29">
        <w:rPr>
          <w:rFonts w:ascii="Times New Roman" w:eastAsia="Times New Roman" w:hAnsi="Times New Roman" w:cs="Times New Roman"/>
          <w:sz w:val="24"/>
          <w:szCs w:val="24"/>
          <w:lang w:eastAsia="lv-LV"/>
        </w:rPr>
        <w:t>saproksīlo</w:t>
      </w:r>
      <w:proofErr w:type="spellEnd"/>
      <w:r w:rsidRPr="00A07F29">
        <w:rPr>
          <w:rFonts w:ascii="Times New Roman" w:eastAsia="Times New Roman" w:hAnsi="Times New Roman" w:cs="Times New Roman"/>
          <w:sz w:val="24"/>
          <w:szCs w:val="24"/>
          <w:lang w:eastAsia="lv-LV"/>
        </w:rPr>
        <w:t xml:space="preserve"> kukaiņu sugu aizsardzības viedokļa un to potenciālo dzīvotņu s</w:t>
      </w:r>
      <w:r w:rsidR="6AB270EA" w:rsidRPr="00A07F29">
        <w:rPr>
          <w:rFonts w:ascii="Times New Roman" w:eastAsia="Times New Roman" w:hAnsi="Times New Roman" w:cs="Times New Roman"/>
          <w:sz w:val="24"/>
          <w:szCs w:val="24"/>
          <w:lang w:eastAsia="lv-LV"/>
        </w:rPr>
        <w:t>a</w:t>
      </w:r>
      <w:r w:rsidRPr="00A07F29">
        <w:rPr>
          <w:rFonts w:ascii="Times New Roman" w:eastAsia="Times New Roman" w:hAnsi="Times New Roman" w:cs="Times New Roman"/>
          <w:sz w:val="24"/>
          <w:szCs w:val="24"/>
          <w:lang w:eastAsia="lv-LV"/>
        </w:rPr>
        <w:t>glabāšanas viedokļa dabas lieguma zonas izveidošana rekomendējama aizsarg</w:t>
      </w:r>
      <w:r w:rsidR="00472527" w:rsidRPr="00A07F29">
        <w:rPr>
          <w:rFonts w:ascii="Times New Roman" w:eastAsia="Times New Roman" w:hAnsi="Times New Roman" w:cs="Times New Roman"/>
          <w:sz w:val="24"/>
          <w:szCs w:val="24"/>
          <w:lang w:eastAsia="lv-LV"/>
        </w:rPr>
        <w:t>ā</w:t>
      </w:r>
      <w:r w:rsidRPr="00A07F29">
        <w:rPr>
          <w:rFonts w:ascii="Times New Roman" w:eastAsia="Times New Roman" w:hAnsi="Times New Roman" w:cs="Times New Roman"/>
          <w:sz w:val="24"/>
          <w:szCs w:val="24"/>
          <w:lang w:eastAsia="lv-LV"/>
        </w:rPr>
        <w:t xml:space="preserve">jamo mežu biotopu koncentrācijas vietās </w:t>
      </w:r>
      <w:r w:rsidR="00472527" w:rsidRPr="00A07F29">
        <w:rPr>
          <w:rFonts w:ascii="Times New Roman" w:eastAsia="Times New Roman" w:hAnsi="Times New Roman" w:cs="Times New Roman"/>
          <w:sz w:val="24"/>
          <w:szCs w:val="24"/>
          <w:lang w:eastAsia="lv-LV"/>
        </w:rPr>
        <w:t>šādās</w:t>
      </w:r>
      <w:r w:rsidRPr="00A07F29">
        <w:rPr>
          <w:rFonts w:ascii="Times New Roman" w:eastAsia="Times New Roman" w:hAnsi="Times New Roman" w:cs="Times New Roman"/>
          <w:sz w:val="24"/>
          <w:szCs w:val="24"/>
          <w:lang w:eastAsia="lv-LV"/>
        </w:rPr>
        <w:t xml:space="preserve"> teritorijās:</w:t>
      </w:r>
    </w:p>
    <w:p w14:paraId="6BF30B3B" w14:textId="066D4483" w:rsidR="009072CE" w:rsidRPr="00A07F29" w:rsidRDefault="009072CE" w:rsidP="00936B37">
      <w:pPr>
        <w:tabs>
          <w:tab w:val="left" w:pos="851"/>
        </w:tabs>
        <w:spacing w:after="0" w:line="240" w:lineRule="auto"/>
        <w:ind w:firstLine="567"/>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w:t>
      </w:r>
      <w:r w:rsidRPr="00A07F29">
        <w:rPr>
          <w:rFonts w:ascii="Times New Roman" w:eastAsia="Times New Roman" w:hAnsi="Times New Roman" w:cs="Times New Roman"/>
          <w:sz w:val="24"/>
          <w:szCs w:val="24"/>
          <w:lang w:eastAsia="lv-LV"/>
        </w:rPr>
        <w:tab/>
      </w:r>
      <w:proofErr w:type="spellStart"/>
      <w:r w:rsidRPr="00A07F29">
        <w:rPr>
          <w:rFonts w:ascii="Times New Roman" w:eastAsia="Times New Roman" w:hAnsi="Times New Roman" w:cs="Times New Roman"/>
          <w:sz w:val="24"/>
          <w:szCs w:val="24"/>
          <w:lang w:eastAsia="lv-LV"/>
        </w:rPr>
        <w:t>Elernes</w:t>
      </w:r>
      <w:proofErr w:type="spellEnd"/>
      <w:r w:rsidRPr="00A07F29">
        <w:rPr>
          <w:rFonts w:ascii="Times New Roman" w:eastAsia="Times New Roman" w:hAnsi="Times New Roman" w:cs="Times New Roman"/>
          <w:sz w:val="24"/>
          <w:szCs w:val="24"/>
          <w:lang w:eastAsia="lv-LV"/>
        </w:rPr>
        <w:t xml:space="preserve"> lokā</w:t>
      </w:r>
      <w:r w:rsidR="00582E50" w:rsidRPr="00A07F29">
        <w:rPr>
          <w:rFonts w:ascii="Times New Roman" w:eastAsia="Times New Roman" w:hAnsi="Times New Roman" w:cs="Times New Roman"/>
          <w:sz w:val="24"/>
          <w:szCs w:val="24"/>
          <w:lang w:eastAsia="lv-LV"/>
        </w:rPr>
        <w:t>,</w:t>
      </w:r>
    </w:p>
    <w:p w14:paraId="6602C03B" w14:textId="76A60AC8" w:rsidR="009072CE" w:rsidRPr="00A07F29" w:rsidRDefault="009072CE" w:rsidP="00936B37">
      <w:pPr>
        <w:tabs>
          <w:tab w:val="left" w:pos="851"/>
        </w:tabs>
        <w:spacing w:after="0" w:line="240" w:lineRule="auto"/>
        <w:ind w:firstLine="567"/>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w:t>
      </w:r>
      <w:r w:rsidRPr="00A07F29">
        <w:rPr>
          <w:rFonts w:ascii="Times New Roman" w:eastAsia="Times New Roman" w:hAnsi="Times New Roman" w:cs="Times New Roman"/>
          <w:sz w:val="24"/>
          <w:szCs w:val="24"/>
          <w:lang w:eastAsia="lv-LV"/>
        </w:rPr>
        <w:tab/>
      </w:r>
      <w:proofErr w:type="spellStart"/>
      <w:r w:rsidR="00E35789" w:rsidRPr="00A07F29">
        <w:rPr>
          <w:rFonts w:ascii="Times New Roman" w:eastAsia="Times New Roman" w:hAnsi="Times New Roman" w:cs="Times New Roman"/>
          <w:sz w:val="24"/>
          <w:szCs w:val="24"/>
          <w:lang w:eastAsia="lv-LV"/>
        </w:rPr>
        <w:t>Butišķu</w:t>
      </w:r>
      <w:proofErr w:type="spellEnd"/>
      <w:r w:rsidR="00E35789" w:rsidRPr="00A07F29">
        <w:rPr>
          <w:rFonts w:ascii="Times New Roman" w:eastAsia="Times New Roman" w:hAnsi="Times New Roman" w:cs="Times New Roman"/>
          <w:sz w:val="24"/>
          <w:szCs w:val="24"/>
          <w:lang w:eastAsia="lv-LV"/>
        </w:rPr>
        <w:t xml:space="preserve"> </w:t>
      </w:r>
      <w:r w:rsidRPr="00A07F29">
        <w:rPr>
          <w:rFonts w:ascii="Times New Roman" w:eastAsia="Times New Roman" w:hAnsi="Times New Roman" w:cs="Times New Roman"/>
          <w:sz w:val="24"/>
          <w:szCs w:val="24"/>
          <w:lang w:eastAsia="lv-LV"/>
        </w:rPr>
        <w:t>lokā</w:t>
      </w:r>
      <w:r w:rsidR="00582E50" w:rsidRPr="00A07F29">
        <w:rPr>
          <w:rFonts w:ascii="Times New Roman" w:eastAsia="Times New Roman" w:hAnsi="Times New Roman" w:cs="Times New Roman"/>
          <w:sz w:val="24"/>
          <w:szCs w:val="24"/>
          <w:lang w:eastAsia="lv-LV"/>
        </w:rPr>
        <w:t>,</w:t>
      </w:r>
    </w:p>
    <w:p w14:paraId="1295838F" w14:textId="0FA21E5A" w:rsidR="009072CE" w:rsidRPr="00A07F29" w:rsidRDefault="009072CE" w:rsidP="00936B37">
      <w:pPr>
        <w:tabs>
          <w:tab w:val="left" w:pos="851"/>
        </w:tabs>
        <w:spacing w:after="0" w:line="240" w:lineRule="auto"/>
        <w:ind w:firstLine="567"/>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w:t>
      </w:r>
      <w:r w:rsidRPr="00A07F29">
        <w:rPr>
          <w:rFonts w:ascii="Times New Roman" w:eastAsia="Times New Roman" w:hAnsi="Times New Roman" w:cs="Times New Roman"/>
          <w:sz w:val="24"/>
          <w:szCs w:val="24"/>
          <w:lang w:eastAsia="lv-LV"/>
        </w:rPr>
        <w:tab/>
      </w:r>
      <w:proofErr w:type="spellStart"/>
      <w:r w:rsidRPr="00A07F29">
        <w:rPr>
          <w:rFonts w:ascii="Times New Roman" w:eastAsia="Times New Roman" w:hAnsi="Times New Roman" w:cs="Times New Roman"/>
          <w:sz w:val="24"/>
          <w:szCs w:val="24"/>
          <w:lang w:eastAsia="lv-LV"/>
        </w:rPr>
        <w:t>Rozališķu</w:t>
      </w:r>
      <w:proofErr w:type="spellEnd"/>
      <w:r w:rsidRPr="00A07F29">
        <w:rPr>
          <w:rFonts w:ascii="Times New Roman" w:eastAsia="Times New Roman" w:hAnsi="Times New Roman" w:cs="Times New Roman"/>
          <w:sz w:val="24"/>
          <w:szCs w:val="24"/>
          <w:lang w:eastAsia="lv-LV"/>
        </w:rPr>
        <w:t xml:space="preserve"> lokā</w:t>
      </w:r>
      <w:r w:rsidR="00582E50" w:rsidRPr="00A07F29">
        <w:rPr>
          <w:rFonts w:ascii="Times New Roman" w:eastAsia="Times New Roman" w:hAnsi="Times New Roman" w:cs="Times New Roman"/>
          <w:sz w:val="24"/>
          <w:szCs w:val="24"/>
          <w:lang w:eastAsia="lv-LV"/>
        </w:rPr>
        <w:t>,</w:t>
      </w:r>
    </w:p>
    <w:p w14:paraId="0CE4BC8D" w14:textId="372D8C72" w:rsidR="009072CE" w:rsidRPr="00A07F29" w:rsidRDefault="009072CE" w:rsidP="00936B37">
      <w:pPr>
        <w:tabs>
          <w:tab w:val="left" w:pos="851"/>
        </w:tabs>
        <w:spacing w:after="0" w:line="240" w:lineRule="auto"/>
        <w:ind w:firstLine="567"/>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w:t>
      </w:r>
      <w:r w:rsidRPr="00A07F29">
        <w:rPr>
          <w:rFonts w:ascii="Times New Roman" w:eastAsia="Times New Roman" w:hAnsi="Times New Roman" w:cs="Times New Roman"/>
          <w:sz w:val="24"/>
          <w:szCs w:val="24"/>
          <w:lang w:eastAsia="lv-LV"/>
        </w:rPr>
        <w:tab/>
      </w:r>
      <w:proofErr w:type="spellStart"/>
      <w:r w:rsidRPr="00A07F29">
        <w:rPr>
          <w:rFonts w:ascii="Times New Roman" w:eastAsia="Times New Roman" w:hAnsi="Times New Roman" w:cs="Times New Roman"/>
          <w:sz w:val="24"/>
          <w:szCs w:val="24"/>
          <w:lang w:eastAsia="lv-LV"/>
        </w:rPr>
        <w:t>Daugavsargu</w:t>
      </w:r>
      <w:proofErr w:type="spellEnd"/>
      <w:r w:rsidRPr="00A07F29">
        <w:rPr>
          <w:rFonts w:ascii="Times New Roman" w:eastAsia="Times New Roman" w:hAnsi="Times New Roman" w:cs="Times New Roman"/>
          <w:sz w:val="24"/>
          <w:szCs w:val="24"/>
          <w:lang w:eastAsia="lv-LV"/>
        </w:rPr>
        <w:t xml:space="preserve"> lokā</w:t>
      </w:r>
      <w:r w:rsidR="00582E50" w:rsidRPr="00A07F29">
        <w:rPr>
          <w:rFonts w:ascii="Times New Roman" w:eastAsia="Times New Roman" w:hAnsi="Times New Roman" w:cs="Times New Roman"/>
          <w:sz w:val="24"/>
          <w:szCs w:val="24"/>
          <w:lang w:eastAsia="lv-LV"/>
        </w:rPr>
        <w:t>,</w:t>
      </w:r>
    </w:p>
    <w:p w14:paraId="3E221828" w14:textId="61C2FB11" w:rsidR="009072CE" w:rsidRPr="00A07F29" w:rsidRDefault="009072CE" w:rsidP="00936B37">
      <w:pPr>
        <w:tabs>
          <w:tab w:val="left" w:pos="851"/>
        </w:tabs>
        <w:spacing w:after="0" w:line="240" w:lineRule="auto"/>
        <w:ind w:firstLine="567"/>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w:t>
      </w:r>
      <w:r w:rsidRPr="00A07F29">
        <w:rPr>
          <w:rFonts w:ascii="Times New Roman" w:eastAsia="Times New Roman" w:hAnsi="Times New Roman" w:cs="Times New Roman"/>
          <w:sz w:val="24"/>
          <w:szCs w:val="24"/>
          <w:lang w:eastAsia="lv-LV"/>
        </w:rPr>
        <w:tab/>
        <w:t>Tartaka lokā</w:t>
      </w:r>
      <w:r w:rsidR="00582E50" w:rsidRPr="00A07F29">
        <w:rPr>
          <w:rFonts w:ascii="Times New Roman" w:eastAsia="Times New Roman" w:hAnsi="Times New Roman" w:cs="Times New Roman"/>
          <w:sz w:val="24"/>
          <w:szCs w:val="24"/>
          <w:lang w:eastAsia="lv-LV"/>
        </w:rPr>
        <w:t>,</w:t>
      </w:r>
    </w:p>
    <w:p w14:paraId="3D059371" w14:textId="51FE7B5E" w:rsidR="009072CE" w:rsidRPr="00A07F29" w:rsidRDefault="009072CE" w:rsidP="00936B37">
      <w:pPr>
        <w:tabs>
          <w:tab w:val="left" w:pos="851"/>
        </w:tabs>
        <w:spacing w:after="0" w:line="240" w:lineRule="auto"/>
        <w:ind w:firstLine="567"/>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w:t>
      </w:r>
      <w:r w:rsidRPr="00A07F29">
        <w:rPr>
          <w:rFonts w:ascii="Times New Roman" w:eastAsia="Times New Roman" w:hAnsi="Times New Roman" w:cs="Times New Roman"/>
          <w:sz w:val="24"/>
          <w:szCs w:val="24"/>
          <w:lang w:eastAsia="lv-LV"/>
        </w:rPr>
        <w:tab/>
        <w:t>Zvejnieku lokā</w:t>
      </w:r>
      <w:r w:rsidR="00582E50" w:rsidRPr="00A07F29">
        <w:rPr>
          <w:rFonts w:ascii="Times New Roman" w:eastAsia="Times New Roman" w:hAnsi="Times New Roman" w:cs="Times New Roman"/>
          <w:sz w:val="24"/>
          <w:szCs w:val="24"/>
          <w:lang w:eastAsia="lv-LV"/>
        </w:rPr>
        <w:t>,</w:t>
      </w:r>
    </w:p>
    <w:p w14:paraId="19F638E2" w14:textId="7E26BB1D" w:rsidR="009072CE" w:rsidRPr="00A07F29" w:rsidRDefault="009072CE" w:rsidP="00936B37">
      <w:pPr>
        <w:tabs>
          <w:tab w:val="left" w:pos="851"/>
        </w:tabs>
        <w:spacing w:after="0" w:line="240" w:lineRule="auto"/>
        <w:ind w:firstLine="567"/>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w:t>
      </w:r>
      <w:r w:rsidRPr="00A07F29">
        <w:rPr>
          <w:rFonts w:ascii="Times New Roman" w:eastAsia="Times New Roman" w:hAnsi="Times New Roman" w:cs="Times New Roman"/>
          <w:sz w:val="24"/>
          <w:szCs w:val="24"/>
          <w:lang w:eastAsia="lv-LV"/>
        </w:rPr>
        <w:tab/>
        <w:t>Priedaines lokā</w:t>
      </w:r>
      <w:r w:rsidR="00582E50" w:rsidRPr="00A07F29">
        <w:rPr>
          <w:rFonts w:ascii="Times New Roman" w:eastAsia="Times New Roman" w:hAnsi="Times New Roman" w:cs="Times New Roman"/>
          <w:sz w:val="24"/>
          <w:szCs w:val="24"/>
          <w:lang w:eastAsia="lv-LV"/>
        </w:rPr>
        <w:t>,</w:t>
      </w:r>
    </w:p>
    <w:p w14:paraId="15F0FFFC" w14:textId="05160D05" w:rsidR="009072CE" w:rsidRPr="00A07F29" w:rsidRDefault="009072CE" w:rsidP="00936B37">
      <w:pPr>
        <w:tabs>
          <w:tab w:val="left" w:pos="851"/>
        </w:tabs>
        <w:spacing w:after="0" w:line="240" w:lineRule="auto"/>
        <w:ind w:firstLine="567"/>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w:t>
      </w:r>
      <w:r w:rsidRPr="00A07F29">
        <w:rPr>
          <w:rFonts w:ascii="Times New Roman" w:eastAsia="Times New Roman" w:hAnsi="Times New Roman" w:cs="Times New Roman"/>
          <w:sz w:val="24"/>
          <w:szCs w:val="24"/>
          <w:lang w:eastAsia="lv-LV"/>
        </w:rPr>
        <w:tab/>
      </w:r>
      <w:r w:rsidR="00582E50" w:rsidRPr="00A07F29">
        <w:rPr>
          <w:rFonts w:ascii="Times New Roman" w:eastAsia="Times New Roman" w:hAnsi="Times New Roman" w:cs="Times New Roman"/>
          <w:sz w:val="24"/>
          <w:szCs w:val="24"/>
          <w:lang w:eastAsia="lv-LV"/>
        </w:rPr>
        <w:t>m</w:t>
      </w:r>
      <w:r w:rsidRPr="00A07F29">
        <w:rPr>
          <w:rFonts w:ascii="Times New Roman" w:eastAsia="Times New Roman" w:hAnsi="Times New Roman" w:cs="Times New Roman"/>
          <w:sz w:val="24"/>
          <w:szCs w:val="24"/>
          <w:lang w:eastAsia="lv-LV"/>
        </w:rPr>
        <w:t xml:space="preserve">ežu teritorijas uz A no Krāslavas (Ceplīšu, </w:t>
      </w:r>
      <w:proofErr w:type="spellStart"/>
      <w:r w:rsidRPr="00A07F29">
        <w:rPr>
          <w:rFonts w:ascii="Times New Roman" w:eastAsia="Times New Roman" w:hAnsi="Times New Roman" w:cs="Times New Roman"/>
          <w:sz w:val="24"/>
          <w:szCs w:val="24"/>
          <w:lang w:eastAsia="lv-LV"/>
        </w:rPr>
        <w:t>Balticas</w:t>
      </w:r>
      <w:proofErr w:type="spellEnd"/>
      <w:r w:rsidRPr="00A07F29">
        <w:rPr>
          <w:rFonts w:ascii="Times New Roman" w:eastAsia="Times New Roman" w:hAnsi="Times New Roman" w:cs="Times New Roman"/>
          <w:sz w:val="24"/>
          <w:szCs w:val="24"/>
          <w:lang w:eastAsia="lv-LV"/>
        </w:rPr>
        <w:t xml:space="preserve"> apkaime)</w:t>
      </w:r>
      <w:r w:rsidR="00582E50" w:rsidRPr="00A07F29">
        <w:rPr>
          <w:rFonts w:ascii="Times New Roman" w:eastAsia="Times New Roman" w:hAnsi="Times New Roman" w:cs="Times New Roman"/>
          <w:sz w:val="24"/>
          <w:szCs w:val="24"/>
          <w:lang w:eastAsia="lv-LV"/>
        </w:rPr>
        <w:t>,</w:t>
      </w:r>
    </w:p>
    <w:p w14:paraId="59991DC5" w14:textId="06A14F63" w:rsidR="009072CE" w:rsidRPr="00A07F29" w:rsidRDefault="009072CE" w:rsidP="001A1ABD">
      <w:pPr>
        <w:tabs>
          <w:tab w:val="left" w:pos="851"/>
        </w:tabs>
        <w:spacing w:after="120" w:line="240" w:lineRule="auto"/>
        <w:ind w:firstLine="567"/>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w:t>
      </w:r>
      <w:r w:rsidRPr="00A07F29">
        <w:rPr>
          <w:rFonts w:ascii="Times New Roman" w:eastAsia="Times New Roman" w:hAnsi="Times New Roman" w:cs="Times New Roman"/>
          <w:sz w:val="24"/>
          <w:szCs w:val="24"/>
          <w:lang w:eastAsia="lv-LV"/>
        </w:rPr>
        <w:tab/>
      </w:r>
      <w:r w:rsidR="00582E50" w:rsidRPr="00A07F29">
        <w:rPr>
          <w:rFonts w:ascii="Times New Roman" w:eastAsia="Times New Roman" w:hAnsi="Times New Roman" w:cs="Times New Roman"/>
          <w:sz w:val="24"/>
          <w:szCs w:val="24"/>
          <w:lang w:eastAsia="lv-LV"/>
        </w:rPr>
        <w:t>m</w:t>
      </w:r>
      <w:r w:rsidRPr="00A07F29">
        <w:rPr>
          <w:rFonts w:ascii="Times New Roman" w:eastAsia="Times New Roman" w:hAnsi="Times New Roman" w:cs="Times New Roman"/>
          <w:sz w:val="24"/>
          <w:szCs w:val="24"/>
          <w:lang w:eastAsia="lv-LV"/>
        </w:rPr>
        <w:t xml:space="preserve">eži </w:t>
      </w:r>
      <w:proofErr w:type="spellStart"/>
      <w:r w:rsidRPr="00A07F29">
        <w:rPr>
          <w:rFonts w:ascii="Times New Roman" w:eastAsia="Times New Roman" w:hAnsi="Times New Roman" w:cs="Times New Roman"/>
          <w:sz w:val="24"/>
          <w:szCs w:val="24"/>
          <w:lang w:eastAsia="lv-LV"/>
        </w:rPr>
        <w:t>Šilovkas</w:t>
      </w:r>
      <w:proofErr w:type="spellEnd"/>
      <w:r w:rsidRPr="00A07F29">
        <w:rPr>
          <w:rFonts w:ascii="Times New Roman" w:eastAsia="Times New Roman" w:hAnsi="Times New Roman" w:cs="Times New Roman"/>
          <w:sz w:val="24"/>
          <w:szCs w:val="24"/>
          <w:lang w:eastAsia="lv-LV"/>
        </w:rPr>
        <w:t xml:space="preserve">, </w:t>
      </w:r>
      <w:proofErr w:type="spellStart"/>
      <w:r w:rsidRPr="00A07F29">
        <w:rPr>
          <w:rFonts w:ascii="Times New Roman" w:eastAsia="Times New Roman" w:hAnsi="Times New Roman" w:cs="Times New Roman"/>
          <w:sz w:val="24"/>
          <w:szCs w:val="24"/>
          <w:lang w:eastAsia="lv-LV"/>
        </w:rPr>
        <w:t>Varnaviču</w:t>
      </w:r>
      <w:proofErr w:type="spellEnd"/>
      <w:r w:rsidRPr="00A07F29">
        <w:rPr>
          <w:rFonts w:ascii="Times New Roman" w:eastAsia="Times New Roman" w:hAnsi="Times New Roman" w:cs="Times New Roman"/>
          <w:sz w:val="24"/>
          <w:szCs w:val="24"/>
          <w:lang w:eastAsia="lv-LV"/>
        </w:rPr>
        <w:t xml:space="preserve"> un </w:t>
      </w:r>
      <w:proofErr w:type="spellStart"/>
      <w:r w:rsidRPr="00A07F29">
        <w:rPr>
          <w:rFonts w:ascii="Times New Roman" w:eastAsia="Times New Roman" w:hAnsi="Times New Roman" w:cs="Times New Roman"/>
          <w:sz w:val="24"/>
          <w:szCs w:val="24"/>
          <w:lang w:eastAsia="lv-LV"/>
        </w:rPr>
        <w:t>Krivoje</w:t>
      </w:r>
      <w:proofErr w:type="spellEnd"/>
      <w:r w:rsidRPr="00A07F29">
        <w:rPr>
          <w:rFonts w:ascii="Times New Roman" w:eastAsia="Times New Roman" w:hAnsi="Times New Roman" w:cs="Times New Roman"/>
          <w:sz w:val="24"/>
          <w:szCs w:val="24"/>
          <w:lang w:eastAsia="lv-LV"/>
        </w:rPr>
        <w:t xml:space="preserve"> ezeru apkārtnē</w:t>
      </w:r>
      <w:r w:rsidR="00582E50" w:rsidRPr="00A07F29">
        <w:rPr>
          <w:rFonts w:ascii="Times New Roman" w:eastAsia="Times New Roman" w:hAnsi="Times New Roman" w:cs="Times New Roman"/>
          <w:sz w:val="24"/>
          <w:szCs w:val="24"/>
          <w:lang w:eastAsia="lv-LV"/>
        </w:rPr>
        <w:t>.</w:t>
      </w:r>
    </w:p>
    <w:p w14:paraId="6217E362" w14:textId="37DE3E06" w:rsidR="009072CE" w:rsidRPr="00A07F29" w:rsidRDefault="009072CE" w:rsidP="001A1ABD">
      <w:pPr>
        <w:spacing w:after="120" w:line="240" w:lineRule="auto"/>
        <w:ind w:firstLine="851"/>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lastRenderedPageBreak/>
        <w:t>Tāpat lieguma zonu nepieciešams izdalīt arī Daugavas pietekām piegulošajos nogāžu un gravu mežu u.c. mežu biotopu kompleksos.</w:t>
      </w:r>
    </w:p>
    <w:p w14:paraId="7EF5080B" w14:textId="1D3CDDC3" w:rsidR="009072CE" w:rsidRPr="00A07F29" w:rsidRDefault="009072CE" w:rsidP="000E67E7">
      <w:pPr>
        <w:spacing w:before="240" w:after="120" w:line="240" w:lineRule="auto"/>
        <w:jc w:val="both"/>
        <w:rPr>
          <w:rFonts w:ascii="Times New Roman" w:eastAsia="Times New Roman" w:hAnsi="Times New Roman" w:cs="Times New Roman"/>
          <w:b/>
          <w:bCs/>
          <w:i/>
          <w:sz w:val="24"/>
          <w:szCs w:val="24"/>
          <w:lang w:eastAsia="lv-LV"/>
        </w:rPr>
      </w:pPr>
      <w:r w:rsidRPr="00A07F29">
        <w:rPr>
          <w:rFonts w:ascii="Times New Roman" w:eastAsia="Times New Roman" w:hAnsi="Times New Roman" w:cs="Times New Roman"/>
          <w:b/>
          <w:bCs/>
          <w:i/>
          <w:sz w:val="24"/>
          <w:szCs w:val="24"/>
          <w:lang w:eastAsia="lv-LV"/>
        </w:rPr>
        <w:t>Sauszemes biotopu, ķērpju un augu sugu aizsardzības nepieciešamais zonējums un ierobežojumi</w:t>
      </w:r>
    </w:p>
    <w:p w14:paraId="194285E2" w14:textId="268B6C11" w:rsidR="009072CE" w:rsidRPr="00A07F29" w:rsidRDefault="009072CE" w:rsidP="001A1ABD">
      <w:pPr>
        <w:spacing w:after="120" w:line="240" w:lineRule="auto"/>
        <w:ind w:firstLine="851"/>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Galvenās botāniskās un biotopu vērtības koncentrējas Daugavas pieteku gravu kom</w:t>
      </w:r>
      <w:r w:rsidR="00472527" w:rsidRPr="00A07F29">
        <w:rPr>
          <w:rFonts w:ascii="Times New Roman" w:eastAsia="Times New Roman" w:hAnsi="Times New Roman" w:cs="Times New Roman"/>
          <w:sz w:val="24"/>
          <w:szCs w:val="24"/>
          <w:lang w:eastAsia="lv-LV"/>
        </w:rPr>
        <w:t>pl</w:t>
      </w:r>
      <w:r w:rsidRPr="00A07F29">
        <w:rPr>
          <w:rFonts w:ascii="Times New Roman" w:eastAsia="Times New Roman" w:hAnsi="Times New Roman" w:cs="Times New Roman"/>
          <w:sz w:val="24"/>
          <w:szCs w:val="24"/>
          <w:lang w:eastAsia="lv-LV"/>
        </w:rPr>
        <w:t>eks</w:t>
      </w:r>
      <w:r w:rsidR="00472527" w:rsidRPr="00A07F29">
        <w:rPr>
          <w:rFonts w:ascii="Times New Roman" w:eastAsia="Times New Roman" w:hAnsi="Times New Roman" w:cs="Times New Roman"/>
          <w:sz w:val="24"/>
          <w:szCs w:val="24"/>
          <w:lang w:eastAsia="lv-LV"/>
        </w:rPr>
        <w:t>os</w:t>
      </w:r>
      <w:r w:rsidRPr="00A07F29">
        <w:rPr>
          <w:rFonts w:ascii="Times New Roman" w:eastAsia="Times New Roman" w:hAnsi="Times New Roman" w:cs="Times New Roman"/>
          <w:sz w:val="24"/>
          <w:szCs w:val="24"/>
          <w:lang w:eastAsia="lv-LV"/>
        </w:rPr>
        <w:t xml:space="preserve"> k</w:t>
      </w:r>
      <w:r w:rsidR="00472527" w:rsidRPr="00A07F29">
        <w:rPr>
          <w:rFonts w:ascii="Times New Roman" w:eastAsia="Times New Roman" w:hAnsi="Times New Roman" w:cs="Times New Roman"/>
          <w:sz w:val="24"/>
          <w:szCs w:val="24"/>
          <w:lang w:eastAsia="lv-LV"/>
        </w:rPr>
        <w:t>ā</w:t>
      </w:r>
      <w:r w:rsidRPr="00A07F29">
        <w:rPr>
          <w:rFonts w:ascii="Times New Roman" w:eastAsia="Times New Roman" w:hAnsi="Times New Roman" w:cs="Times New Roman"/>
          <w:sz w:val="24"/>
          <w:szCs w:val="24"/>
          <w:lang w:eastAsia="lv-LV"/>
        </w:rPr>
        <w:t xml:space="preserve"> arī </w:t>
      </w:r>
      <w:proofErr w:type="spellStart"/>
      <w:r w:rsidRPr="00A07F29">
        <w:rPr>
          <w:rFonts w:ascii="Times New Roman" w:eastAsia="Times New Roman" w:hAnsi="Times New Roman" w:cs="Times New Roman"/>
          <w:sz w:val="24"/>
          <w:szCs w:val="24"/>
          <w:lang w:eastAsia="lv-LV"/>
        </w:rPr>
        <w:t>boreālo</w:t>
      </w:r>
      <w:proofErr w:type="spellEnd"/>
      <w:r w:rsidRPr="00A07F29">
        <w:rPr>
          <w:rFonts w:ascii="Times New Roman" w:eastAsia="Times New Roman" w:hAnsi="Times New Roman" w:cs="Times New Roman"/>
          <w:sz w:val="24"/>
          <w:szCs w:val="24"/>
          <w:lang w:eastAsia="lv-LV"/>
        </w:rPr>
        <w:t xml:space="preserve"> mežu masīv</w:t>
      </w:r>
      <w:r w:rsidR="00472527" w:rsidRPr="00A07F29">
        <w:rPr>
          <w:rFonts w:ascii="Times New Roman" w:eastAsia="Times New Roman" w:hAnsi="Times New Roman" w:cs="Times New Roman"/>
          <w:sz w:val="24"/>
          <w:szCs w:val="24"/>
          <w:lang w:eastAsia="lv-LV"/>
        </w:rPr>
        <w:t>os</w:t>
      </w:r>
      <w:r w:rsidRPr="00A07F29">
        <w:rPr>
          <w:rFonts w:ascii="Times New Roman" w:eastAsia="Times New Roman" w:hAnsi="Times New Roman" w:cs="Times New Roman"/>
          <w:sz w:val="24"/>
          <w:szCs w:val="24"/>
          <w:lang w:eastAsia="lv-LV"/>
        </w:rPr>
        <w:t xml:space="preserve"> ar retajām sugām </w:t>
      </w:r>
      <w:r w:rsidR="003546A7" w:rsidRPr="00A07F29">
        <w:rPr>
          <w:rFonts w:ascii="Times New Roman" w:eastAsia="Times New Roman" w:hAnsi="Times New Roman" w:cs="Times New Roman"/>
          <w:sz w:val="24"/>
          <w:szCs w:val="24"/>
          <w:lang w:eastAsia="lv-LV"/>
        </w:rPr>
        <w:t>–</w:t>
      </w:r>
      <w:r w:rsidRPr="00A07F29">
        <w:rPr>
          <w:rFonts w:ascii="Times New Roman" w:eastAsia="Times New Roman" w:hAnsi="Times New Roman" w:cs="Times New Roman"/>
          <w:sz w:val="24"/>
          <w:szCs w:val="24"/>
          <w:lang w:eastAsia="lv-LV"/>
        </w:rPr>
        <w:t xml:space="preserve"> sevišķi </w:t>
      </w:r>
      <w:proofErr w:type="spellStart"/>
      <w:r w:rsidRPr="00A07F29">
        <w:rPr>
          <w:rFonts w:ascii="Times New Roman" w:eastAsia="Times New Roman" w:hAnsi="Times New Roman" w:cs="Times New Roman"/>
          <w:sz w:val="24"/>
          <w:szCs w:val="24"/>
          <w:lang w:eastAsia="lv-LV"/>
        </w:rPr>
        <w:t>Rozališķu</w:t>
      </w:r>
      <w:proofErr w:type="spellEnd"/>
      <w:r w:rsidRPr="00A07F29">
        <w:rPr>
          <w:rFonts w:ascii="Times New Roman" w:eastAsia="Times New Roman" w:hAnsi="Times New Roman" w:cs="Times New Roman"/>
          <w:sz w:val="24"/>
          <w:szCs w:val="24"/>
          <w:lang w:eastAsia="lv-LV"/>
        </w:rPr>
        <w:t xml:space="preserve"> un </w:t>
      </w:r>
      <w:proofErr w:type="spellStart"/>
      <w:r w:rsidRPr="00A07F29">
        <w:rPr>
          <w:rFonts w:ascii="Times New Roman" w:eastAsia="Times New Roman" w:hAnsi="Times New Roman" w:cs="Times New Roman"/>
          <w:sz w:val="24"/>
          <w:szCs w:val="24"/>
          <w:lang w:eastAsia="lv-LV"/>
        </w:rPr>
        <w:t>Ververu</w:t>
      </w:r>
      <w:proofErr w:type="spellEnd"/>
      <w:r w:rsidRPr="00A07F29">
        <w:rPr>
          <w:rFonts w:ascii="Times New Roman" w:eastAsia="Times New Roman" w:hAnsi="Times New Roman" w:cs="Times New Roman"/>
          <w:sz w:val="24"/>
          <w:szCs w:val="24"/>
          <w:lang w:eastAsia="lv-LV"/>
        </w:rPr>
        <w:t xml:space="preserve"> </w:t>
      </w:r>
      <w:r w:rsidR="003546A7" w:rsidRPr="00A07F29">
        <w:rPr>
          <w:rFonts w:ascii="Times New Roman" w:eastAsia="Times New Roman" w:hAnsi="Times New Roman" w:cs="Times New Roman"/>
          <w:sz w:val="24"/>
          <w:szCs w:val="24"/>
          <w:lang w:eastAsia="lv-LV"/>
        </w:rPr>
        <w:t>lokos</w:t>
      </w:r>
      <w:r w:rsidRPr="00A07F29">
        <w:rPr>
          <w:rFonts w:ascii="Times New Roman" w:eastAsia="Times New Roman" w:hAnsi="Times New Roman" w:cs="Times New Roman"/>
          <w:sz w:val="24"/>
          <w:szCs w:val="24"/>
          <w:lang w:eastAsia="lv-LV"/>
        </w:rPr>
        <w:t xml:space="preserve">, kur koncentrējas daudzu mikroliegumu sugu atradnes </w:t>
      </w:r>
      <w:r w:rsidR="003546A7" w:rsidRPr="00A07F29">
        <w:rPr>
          <w:rFonts w:ascii="Times New Roman" w:eastAsia="Times New Roman" w:hAnsi="Times New Roman" w:cs="Times New Roman"/>
          <w:sz w:val="24"/>
          <w:szCs w:val="24"/>
          <w:lang w:eastAsia="lv-LV"/>
        </w:rPr>
        <w:t>–</w:t>
      </w:r>
      <w:r w:rsidRPr="00A07F29">
        <w:rPr>
          <w:rFonts w:ascii="Times New Roman" w:eastAsia="Times New Roman" w:hAnsi="Times New Roman" w:cs="Times New Roman"/>
          <w:sz w:val="24"/>
          <w:szCs w:val="24"/>
          <w:lang w:eastAsia="lv-LV"/>
        </w:rPr>
        <w:t xml:space="preserve"> </w:t>
      </w:r>
      <w:proofErr w:type="spellStart"/>
      <w:r w:rsidRPr="00A07F29">
        <w:rPr>
          <w:rFonts w:ascii="Times New Roman" w:eastAsia="Times New Roman" w:hAnsi="Times New Roman" w:cs="Times New Roman"/>
          <w:sz w:val="24"/>
          <w:szCs w:val="24"/>
          <w:lang w:eastAsia="lv-LV"/>
        </w:rPr>
        <w:t>neotiante</w:t>
      </w:r>
      <w:proofErr w:type="spellEnd"/>
      <w:r w:rsidRPr="00A07F29">
        <w:rPr>
          <w:rFonts w:ascii="Times New Roman" w:eastAsia="Times New Roman" w:hAnsi="Times New Roman" w:cs="Times New Roman"/>
          <w:sz w:val="24"/>
          <w:szCs w:val="24"/>
          <w:lang w:eastAsia="lv-LV"/>
        </w:rPr>
        <w:t xml:space="preserve">, </w:t>
      </w:r>
      <w:proofErr w:type="spellStart"/>
      <w:r w:rsidRPr="00A07F29">
        <w:rPr>
          <w:rFonts w:ascii="Times New Roman" w:eastAsia="Times New Roman" w:hAnsi="Times New Roman" w:cs="Times New Roman"/>
          <w:sz w:val="24"/>
          <w:szCs w:val="24"/>
          <w:lang w:eastAsia="lv-LV"/>
        </w:rPr>
        <w:t>pūķgalve</w:t>
      </w:r>
      <w:proofErr w:type="spellEnd"/>
      <w:r w:rsidRPr="00A07F29">
        <w:rPr>
          <w:rFonts w:ascii="Times New Roman" w:eastAsia="Times New Roman" w:hAnsi="Times New Roman" w:cs="Times New Roman"/>
          <w:sz w:val="24"/>
          <w:szCs w:val="24"/>
          <w:lang w:eastAsia="lv-LV"/>
        </w:rPr>
        <w:t xml:space="preserve"> u.c. Ne mazāk vērtīgi ir arī a</w:t>
      </w:r>
      <w:r w:rsidR="00472527" w:rsidRPr="00A07F29">
        <w:rPr>
          <w:rFonts w:ascii="Times New Roman" w:eastAsia="Times New Roman" w:hAnsi="Times New Roman" w:cs="Times New Roman"/>
          <w:sz w:val="24"/>
          <w:szCs w:val="24"/>
          <w:lang w:eastAsia="lv-LV"/>
        </w:rPr>
        <w:t>t</w:t>
      </w:r>
      <w:r w:rsidRPr="00A07F29">
        <w:rPr>
          <w:rFonts w:ascii="Times New Roman" w:eastAsia="Times New Roman" w:hAnsi="Times New Roman" w:cs="Times New Roman"/>
          <w:sz w:val="24"/>
          <w:szCs w:val="24"/>
          <w:lang w:eastAsia="lv-LV"/>
        </w:rPr>
        <w:t xml:space="preserve">likušie mežu biotopi un Daugavas krasta nogāze citviet </w:t>
      </w:r>
      <w:r w:rsidR="003546A7" w:rsidRPr="00A07F29">
        <w:rPr>
          <w:rFonts w:ascii="Times New Roman" w:eastAsia="Times New Roman" w:hAnsi="Times New Roman" w:cs="Times New Roman"/>
          <w:sz w:val="24"/>
          <w:szCs w:val="24"/>
          <w:lang w:eastAsia="lv-LV"/>
        </w:rPr>
        <w:t>–</w:t>
      </w:r>
      <w:r w:rsidRPr="00A07F29">
        <w:rPr>
          <w:rFonts w:ascii="Times New Roman" w:eastAsia="Times New Roman" w:hAnsi="Times New Roman" w:cs="Times New Roman"/>
          <w:sz w:val="24"/>
          <w:szCs w:val="24"/>
          <w:lang w:eastAsia="lv-LV"/>
        </w:rPr>
        <w:t xml:space="preserve"> </w:t>
      </w:r>
      <w:proofErr w:type="spellStart"/>
      <w:r w:rsidRPr="00A07F29">
        <w:rPr>
          <w:rFonts w:ascii="Times New Roman" w:eastAsia="Times New Roman" w:hAnsi="Times New Roman" w:cs="Times New Roman"/>
          <w:sz w:val="24"/>
          <w:szCs w:val="24"/>
          <w:lang w:eastAsia="lv-LV"/>
        </w:rPr>
        <w:t>Butišķu</w:t>
      </w:r>
      <w:proofErr w:type="spellEnd"/>
      <w:r w:rsidRPr="00A07F29">
        <w:rPr>
          <w:rFonts w:ascii="Times New Roman" w:eastAsia="Times New Roman" w:hAnsi="Times New Roman" w:cs="Times New Roman"/>
          <w:sz w:val="24"/>
          <w:szCs w:val="24"/>
          <w:lang w:eastAsia="lv-LV"/>
        </w:rPr>
        <w:t xml:space="preserve">, Tartaka, arī </w:t>
      </w:r>
      <w:proofErr w:type="spellStart"/>
      <w:r w:rsidRPr="00A07F29">
        <w:rPr>
          <w:rFonts w:ascii="Times New Roman" w:eastAsia="Times New Roman" w:hAnsi="Times New Roman" w:cs="Times New Roman"/>
          <w:sz w:val="24"/>
          <w:szCs w:val="24"/>
          <w:lang w:eastAsia="lv-LV"/>
        </w:rPr>
        <w:t>Daugavsargu</w:t>
      </w:r>
      <w:proofErr w:type="spellEnd"/>
      <w:r w:rsidRPr="00A07F29">
        <w:rPr>
          <w:rFonts w:ascii="Times New Roman" w:eastAsia="Times New Roman" w:hAnsi="Times New Roman" w:cs="Times New Roman"/>
          <w:sz w:val="24"/>
          <w:szCs w:val="24"/>
          <w:lang w:eastAsia="lv-LV"/>
        </w:rPr>
        <w:t xml:space="preserve"> lok</w:t>
      </w:r>
      <w:r w:rsidR="003546A7" w:rsidRPr="00A07F29">
        <w:rPr>
          <w:rFonts w:ascii="Times New Roman" w:eastAsia="Times New Roman" w:hAnsi="Times New Roman" w:cs="Times New Roman"/>
          <w:sz w:val="24"/>
          <w:szCs w:val="24"/>
          <w:lang w:eastAsia="lv-LV"/>
        </w:rPr>
        <w:t>os</w:t>
      </w:r>
      <w:r w:rsidRPr="00A07F29">
        <w:rPr>
          <w:rFonts w:ascii="Times New Roman" w:eastAsia="Times New Roman" w:hAnsi="Times New Roman" w:cs="Times New Roman"/>
          <w:sz w:val="24"/>
          <w:szCs w:val="24"/>
          <w:lang w:eastAsia="lv-LV"/>
        </w:rPr>
        <w:t xml:space="preserve">. </w:t>
      </w:r>
      <w:r w:rsidR="00472527" w:rsidRPr="00A07F29">
        <w:rPr>
          <w:rFonts w:ascii="Times New Roman" w:eastAsia="Times New Roman" w:hAnsi="Times New Roman" w:cs="Times New Roman"/>
          <w:sz w:val="24"/>
          <w:szCs w:val="24"/>
          <w:lang w:eastAsia="lv-LV"/>
        </w:rPr>
        <w:t>M</w:t>
      </w:r>
      <w:r w:rsidRPr="00A07F29">
        <w:rPr>
          <w:rFonts w:ascii="Times New Roman" w:eastAsia="Times New Roman" w:hAnsi="Times New Roman" w:cs="Times New Roman"/>
          <w:sz w:val="24"/>
          <w:szCs w:val="24"/>
          <w:lang w:eastAsia="lv-LV"/>
        </w:rPr>
        <w:t>eža masīv</w:t>
      </w:r>
      <w:r w:rsidR="00472527" w:rsidRPr="00A07F29">
        <w:rPr>
          <w:rFonts w:ascii="Times New Roman" w:eastAsia="Times New Roman" w:hAnsi="Times New Roman" w:cs="Times New Roman"/>
          <w:sz w:val="24"/>
          <w:szCs w:val="24"/>
          <w:lang w:eastAsia="lv-LV"/>
        </w:rPr>
        <w:t>ā</w:t>
      </w:r>
      <w:r w:rsidRPr="00A07F29">
        <w:rPr>
          <w:rFonts w:ascii="Times New Roman" w:eastAsia="Times New Roman" w:hAnsi="Times New Roman" w:cs="Times New Roman"/>
          <w:sz w:val="24"/>
          <w:szCs w:val="24"/>
          <w:lang w:eastAsia="lv-LV"/>
        </w:rPr>
        <w:t xml:space="preserve"> pie </w:t>
      </w:r>
      <w:proofErr w:type="spellStart"/>
      <w:r w:rsidRPr="00A07F29">
        <w:rPr>
          <w:rFonts w:ascii="Times New Roman" w:eastAsia="Times New Roman" w:hAnsi="Times New Roman" w:cs="Times New Roman"/>
          <w:sz w:val="24"/>
          <w:szCs w:val="24"/>
          <w:lang w:eastAsia="lv-LV"/>
        </w:rPr>
        <w:t>Varnavičiem</w:t>
      </w:r>
      <w:proofErr w:type="spellEnd"/>
      <w:r w:rsidRPr="00A07F29">
        <w:rPr>
          <w:rFonts w:ascii="Times New Roman" w:eastAsia="Times New Roman" w:hAnsi="Times New Roman" w:cs="Times New Roman"/>
          <w:sz w:val="24"/>
          <w:szCs w:val="24"/>
          <w:lang w:eastAsia="lv-LV"/>
        </w:rPr>
        <w:t xml:space="preserve"> (</w:t>
      </w:r>
      <w:proofErr w:type="spellStart"/>
      <w:r w:rsidRPr="00A07F29">
        <w:rPr>
          <w:rFonts w:ascii="Times New Roman" w:eastAsia="Times New Roman" w:hAnsi="Times New Roman" w:cs="Times New Roman"/>
          <w:sz w:val="24"/>
          <w:szCs w:val="24"/>
          <w:lang w:eastAsia="lv-LV"/>
        </w:rPr>
        <w:t>Šilovkas-Varnaviču</w:t>
      </w:r>
      <w:proofErr w:type="spellEnd"/>
      <w:r w:rsidRPr="00A07F29">
        <w:rPr>
          <w:rFonts w:ascii="Times New Roman" w:eastAsia="Times New Roman" w:hAnsi="Times New Roman" w:cs="Times New Roman"/>
          <w:sz w:val="24"/>
          <w:szCs w:val="24"/>
          <w:lang w:eastAsia="lv-LV"/>
        </w:rPr>
        <w:t xml:space="preserve"> meža masīvs) </w:t>
      </w:r>
      <w:r w:rsidR="00472527" w:rsidRPr="00A07F29">
        <w:rPr>
          <w:rFonts w:ascii="Times New Roman" w:eastAsia="Times New Roman" w:hAnsi="Times New Roman" w:cs="Times New Roman"/>
          <w:sz w:val="24"/>
          <w:szCs w:val="24"/>
          <w:lang w:eastAsia="lv-LV"/>
        </w:rPr>
        <w:t>v</w:t>
      </w:r>
      <w:r w:rsidRPr="00A07F29">
        <w:rPr>
          <w:rFonts w:ascii="Times New Roman" w:eastAsia="Times New Roman" w:hAnsi="Times New Roman" w:cs="Times New Roman"/>
          <w:sz w:val="24"/>
          <w:szCs w:val="24"/>
          <w:lang w:eastAsia="lv-LV"/>
        </w:rPr>
        <w:t xml:space="preserve">iss pieaugušais mežs, kas šobrīd nav nocirsts, ir ar lielu </w:t>
      </w:r>
      <w:r w:rsidR="003546A7" w:rsidRPr="00A07F29">
        <w:rPr>
          <w:rFonts w:ascii="Times New Roman" w:eastAsia="Times New Roman" w:hAnsi="Times New Roman" w:cs="Times New Roman"/>
          <w:sz w:val="24"/>
          <w:szCs w:val="24"/>
          <w:lang w:eastAsia="lv-LV"/>
        </w:rPr>
        <w:t xml:space="preserve">bioloģisko </w:t>
      </w:r>
      <w:r w:rsidRPr="00A07F29">
        <w:rPr>
          <w:rFonts w:ascii="Times New Roman" w:eastAsia="Times New Roman" w:hAnsi="Times New Roman" w:cs="Times New Roman"/>
          <w:sz w:val="24"/>
          <w:szCs w:val="24"/>
          <w:lang w:eastAsia="lv-LV"/>
        </w:rPr>
        <w:t>vērtību.</w:t>
      </w:r>
    </w:p>
    <w:p w14:paraId="2816FA8E" w14:textId="6B58F16B" w:rsidR="009072CE" w:rsidRPr="00A07F29" w:rsidRDefault="009072CE" w:rsidP="001A1ABD">
      <w:pPr>
        <w:spacing w:after="120" w:line="240" w:lineRule="auto"/>
        <w:ind w:firstLine="851"/>
        <w:jc w:val="both"/>
      </w:pPr>
      <w:r w:rsidRPr="00A07F29">
        <w:rPr>
          <w:rFonts w:ascii="Times New Roman" w:eastAsia="Times New Roman" w:hAnsi="Times New Roman" w:cs="Times New Roman"/>
          <w:sz w:val="24"/>
          <w:szCs w:val="24"/>
          <w:lang w:eastAsia="lv-LV"/>
        </w:rPr>
        <w:t xml:space="preserve">Var plānot </w:t>
      </w:r>
      <w:proofErr w:type="spellStart"/>
      <w:r w:rsidRPr="00A07F29">
        <w:rPr>
          <w:rFonts w:ascii="Times New Roman" w:eastAsia="Times New Roman" w:hAnsi="Times New Roman" w:cs="Times New Roman"/>
          <w:sz w:val="24"/>
          <w:szCs w:val="24"/>
          <w:lang w:eastAsia="lv-LV"/>
        </w:rPr>
        <w:t>boreālo</w:t>
      </w:r>
      <w:proofErr w:type="spellEnd"/>
      <w:r w:rsidRPr="00A07F29">
        <w:rPr>
          <w:rFonts w:ascii="Times New Roman" w:eastAsia="Times New Roman" w:hAnsi="Times New Roman" w:cs="Times New Roman"/>
          <w:sz w:val="24"/>
          <w:szCs w:val="24"/>
          <w:lang w:eastAsia="lv-LV"/>
        </w:rPr>
        <w:t xml:space="preserve"> mežu apsaimniekošanu, tomēr šajā gadījumā kopšanas cirtes nebūs tik labi piemērojamas. Kā vietām var redzēt </w:t>
      </w:r>
      <w:proofErr w:type="spellStart"/>
      <w:r w:rsidRPr="00A07F29">
        <w:rPr>
          <w:rFonts w:ascii="Times New Roman" w:eastAsia="Times New Roman" w:hAnsi="Times New Roman" w:cs="Times New Roman"/>
          <w:sz w:val="24"/>
          <w:szCs w:val="24"/>
          <w:lang w:eastAsia="lv-LV"/>
        </w:rPr>
        <w:t>Ververu</w:t>
      </w:r>
      <w:proofErr w:type="spellEnd"/>
      <w:r w:rsidRPr="00A07F29">
        <w:rPr>
          <w:rFonts w:ascii="Times New Roman" w:eastAsia="Times New Roman" w:hAnsi="Times New Roman" w:cs="Times New Roman"/>
          <w:sz w:val="24"/>
          <w:szCs w:val="24"/>
          <w:lang w:eastAsia="lv-LV"/>
        </w:rPr>
        <w:t xml:space="preserve">, </w:t>
      </w:r>
      <w:proofErr w:type="spellStart"/>
      <w:r w:rsidRPr="00A07F29">
        <w:rPr>
          <w:rFonts w:ascii="Times New Roman" w:eastAsia="Times New Roman" w:hAnsi="Times New Roman" w:cs="Times New Roman"/>
          <w:sz w:val="24"/>
          <w:szCs w:val="24"/>
          <w:lang w:eastAsia="lv-LV"/>
        </w:rPr>
        <w:t>Daugavsargu</w:t>
      </w:r>
      <w:proofErr w:type="spellEnd"/>
      <w:r w:rsidR="00D65BBA" w:rsidRPr="00A07F29">
        <w:rPr>
          <w:rFonts w:ascii="Times New Roman" w:eastAsia="Times New Roman" w:hAnsi="Times New Roman" w:cs="Times New Roman"/>
          <w:sz w:val="24"/>
          <w:szCs w:val="24"/>
          <w:lang w:eastAsia="lv-LV"/>
        </w:rPr>
        <w:t xml:space="preserve"> </w:t>
      </w:r>
      <w:r w:rsidRPr="00A07F29">
        <w:rPr>
          <w:rFonts w:ascii="Times New Roman" w:eastAsia="Times New Roman" w:hAnsi="Times New Roman" w:cs="Times New Roman"/>
          <w:sz w:val="24"/>
          <w:szCs w:val="24"/>
          <w:lang w:eastAsia="lv-LV"/>
        </w:rPr>
        <w:t xml:space="preserve">u.c. lokos, sauso </w:t>
      </w:r>
      <w:proofErr w:type="spellStart"/>
      <w:r w:rsidRPr="00A07F29">
        <w:rPr>
          <w:rFonts w:ascii="Times New Roman" w:eastAsia="Times New Roman" w:hAnsi="Times New Roman" w:cs="Times New Roman"/>
          <w:sz w:val="24"/>
          <w:szCs w:val="24"/>
          <w:lang w:eastAsia="lv-LV"/>
        </w:rPr>
        <w:t>boreālo</w:t>
      </w:r>
      <w:proofErr w:type="spellEnd"/>
      <w:r w:rsidRPr="00A07F29">
        <w:rPr>
          <w:rFonts w:ascii="Times New Roman" w:eastAsia="Times New Roman" w:hAnsi="Times New Roman" w:cs="Times New Roman"/>
          <w:sz w:val="24"/>
          <w:szCs w:val="24"/>
          <w:lang w:eastAsia="lv-LV"/>
        </w:rPr>
        <w:t xml:space="preserve"> mežu pārmērīga izretināšana iniciē nevēlamu graudzāļu, divdīgļlapju lakstaugu un krūmu sazelšanu, kā rezultāta ievērojami mazinās šāda meža bioloģiskā vērtība.</w:t>
      </w:r>
      <w:r w:rsidRPr="00A07F29">
        <w:t xml:space="preserve"> </w:t>
      </w:r>
    </w:p>
    <w:p w14:paraId="1496F00E" w14:textId="78647F9A" w:rsidR="009072CE" w:rsidRPr="00A07F29" w:rsidRDefault="009072CE" w:rsidP="001A1ABD">
      <w:pPr>
        <w:spacing w:after="120" w:line="240" w:lineRule="auto"/>
        <w:ind w:firstLine="851"/>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No ķērpju aizsardzības viedokļa, līdzīgi kā citu</w:t>
      </w:r>
      <w:r w:rsidR="00582E50" w:rsidRPr="00A07F29">
        <w:rPr>
          <w:rFonts w:ascii="Times New Roman" w:eastAsia="Times New Roman" w:hAnsi="Times New Roman" w:cs="Times New Roman"/>
          <w:sz w:val="24"/>
          <w:szCs w:val="24"/>
          <w:lang w:eastAsia="lv-LV"/>
        </w:rPr>
        <w:t xml:space="preserve"> organismu sugām, jo vairāk </w:t>
      </w:r>
      <w:proofErr w:type="spellStart"/>
      <w:r w:rsidR="00582E50" w:rsidRPr="00A07F29">
        <w:rPr>
          <w:rFonts w:ascii="Times New Roman" w:eastAsia="Times New Roman" w:hAnsi="Times New Roman" w:cs="Times New Roman"/>
          <w:sz w:val="24"/>
          <w:szCs w:val="24"/>
          <w:lang w:eastAsia="lv-LV"/>
        </w:rPr>
        <w:t>maz</w:t>
      </w:r>
      <w:r w:rsidRPr="00A07F29">
        <w:rPr>
          <w:rFonts w:ascii="Times New Roman" w:eastAsia="Times New Roman" w:hAnsi="Times New Roman" w:cs="Times New Roman"/>
          <w:sz w:val="24"/>
          <w:szCs w:val="24"/>
          <w:lang w:eastAsia="lv-LV"/>
        </w:rPr>
        <w:t>skartu</w:t>
      </w:r>
      <w:proofErr w:type="spellEnd"/>
      <w:r w:rsidRPr="00A07F29">
        <w:rPr>
          <w:rFonts w:ascii="Times New Roman" w:eastAsia="Times New Roman" w:hAnsi="Times New Roman" w:cs="Times New Roman"/>
          <w:sz w:val="24"/>
          <w:szCs w:val="24"/>
          <w:lang w:eastAsia="lv-LV"/>
        </w:rPr>
        <w:t xml:space="preserve"> mežu </w:t>
      </w:r>
      <w:r w:rsidR="003546A7" w:rsidRPr="00A07F29">
        <w:rPr>
          <w:rFonts w:ascii="Times New Roman" w:eastAsia="Times New Roman" w:hAnsi="Times New Roman" w:cs="Times New Roman"/>
          <w:sz w:val="24"/>
          <w:szCs w:val="24"/>
          <w:lang w:eastAsia="lv-LV"/>
        </w:rPr>
        <w:t>–</w:t>
      </w:r>
      <w:r w:rsidRPr="00A07F29">
        <w:rPr>
          <w:rFonts w:ascii="Times New Roman" w:eastAsia="Times New Roman" w:hAnsi="Times New Roman" w:cs="Times New Roman"/>
          <w:sz w:val="24"/>
          <w:szCs w:val="24"/>
          <w:lang w:eastAsia="lv-LV"/>
        </w:rPr>
        <w:t xml:space="preserve"> jo labāk. Izņemot atsevišķas vietas (Daugavas pieteku gravu kompleksi, kā arī </w:t>
      </w:r>
      <w:proofErr w:type="spellStart"/>
      <w:r w:rsidRPr="00A07F29">
        <w:rPr>
          <w:rFonts w:ascii="Times New Roman" w:eastAsia="Times New Roman" w:hAnsi="Times New Roman" w:cs="Times New Roman"/>
          <w:sz w:val="24"/>
          <w:szCs w:val="24"/>
          <w:lang w:eastAsia="lv-LV"/>
        </w:rPr>
        <w:t>boreālo</w:t>
      </w:r>
      <w:proofErr w:type="spellEnd"/>
      <w:r w:rsidRPr="00A07F29">
        <w:rPr>
          <w:rFonts w:ascii="Times New Roman" w:eastAsia="Times New Roman" w:hAnsi="Times New Roman" w:cs="Times New Roman"/>
          <w:sz w:val="24"/>
          <w:szCs w:val="24"/>
          <w:lang w:eastAsia="lv-LV"/>
        </w:rPr>
        <w:t xml:space="preserve"> mežu masīvi), kopumā teritorijā ir nabadzīga </w:t>
      </w:r>
      <w:proofErr w:type="spellStart"/>
      <w:r w:rsidRPr="00A07F29">
        <w:rPr>
          <w:rFonts w:ascii="Times New Roman" w:eastAsia="Times New Roman" w:hAnsi="Times New Roman" w:cs="Times New Roman"/>
          <w:sz w:val="24"/>
          <w:szCs w:val="24"/>
          <w:lang w:eastAsia="lv-LV"/>
        </w:rPr>
        <w:t>lihenobiota</w:t>
      </w:r>
      <w:proofErr w:type="spellEnd"/>
      <w:r w:rsidRPr="006C2387">
        <w:rPr>
          <w:rFonts w:ascii="Times New Roman" w:eastAsia="Times New Roman" w:hAnsi="Times New Roman" w:cs="Times New Roman"/>
          <w:sz w:val="24"/>
          <w:szCs w:val="24"/>
          <w:lang w:eastAsia="lv-LV"/>
        </w:rPr>
        <w:t>. Īpaši aizsargājamo</w:t>
      </w:r>
      <w:r w:rsidRPr="00A07F29">
        <w:rPr>
          <w:rFonts w:ascii="Times New Roman" w:eastAsia="Times New Roman" w:hAnsi="Times New Roman" w:cs="Times New Roman"/>
          <w:sz w:val="24"/>
          <w:szCs w:val="24"/>
          <w:lang w:eastAsia="lv-LV"/>
        </w:rPr>
        <w:t xml:space="preserve"> ķērpju sugu atradnes pamatā koncentrējas tieši šajos biotopu kompleksos (un sugu populācijas pamatā ir nīkstošas) un muižu parkos. Šī iemesla dēļ lielo masīvu (un tas, kas ir palicis no tiem) saglabāšana ir īpaši svarīga esošu retu ķērpju populāciju saglabāšanai, kā arī potenciālu, retām sugām piemērotu dzīvotņu radīšanai. Šī ir ideāla teritorija mākslīgai reto ķērpju introdukcijai (piem</w:t>
      </w:r>
      <w:r w:rsidR="007124A1">
        <w:rPr>
          <w:rFonts w:ascii="Times New Roman" w:eastAsia="Times New Roman" w:hAnsi="Times New Roman" w:cs="Times New Roman"/>
          <w:sz w:val="24"/>
          <w:szCs w:val="24"/>
          <w:lang w:eastAsia="lv-LV"/>
        </w:rPr>
        <w:t>ēram,</w:t>
      </w:r>
      <w:r w:rsidRPr="00A07F29">
        <w:rPr>
          <w:rFonts w:ascii="Times New Roman" w:eastAsia="Times New Roman" w:hAnsi="Times New Roman" w:cs="Times New Roman"/>
          <w:sz w:val="24"/>
          <w:szCs w:val="24"/>
          <w:lang w:eastAsia="lv-LV"/>
        </w:rPr>
        <w:t xml:space="preserve"> reto ķērpju </w:t>
      </w:r>
      <w:proofErr w:type="spellStart"/>
      <w:r w:rsidRPr="00A07F29">
        <w:rPr>
          <w:rFonts w:ascii="Times New Roman" w:eastAsia="Times New Roman" w:hAnsi="Times New Roman" w:cs="Times New Roman"/>
          <w:sz w:val="24"/>
          <w:szCs w:val="24"/>
          <w:lang w:eastAsia="lv-LV"/>
        </w:rPr>
        <w:t>lapoņu</w:t>
      </w:r>
      <w:proofErr w:type="spellEnd"/>
      <w:r w:rsidRPr="00A07F29">
        <w:rPr>
          <w:rFonts w:ascii="Times New Roman" w:eastAsia="Times New Roman" w:hAnsi="Times New Roman" w:cs="Times New Roman"/>
          <w:sz w:val="24"/>
          <w:szCs w:val="24"/>
          <w:lang w:eastAsia="lv-LV"/>
        </w:rPr>
        <w:t xml:space="preserve"> transplantācijas pasākumi), jo bieži vien </w:t>
      </w:r>
      <w:r w:rsidR="00472527" w:rsidRPr="00A07F29">
        <w:rPr>
          <w:rFonts w:ascii="Times New Roman" w:eastAsia="Times New Roman" w:hAnsi="Times New Roman" w:cs="Times New Roman"/>
          <w:sz w:val="24"/>
          <w:szCs w:val="24"/>
          <w:lang w:eastAsia="lv-LV"/>
        </w:rPr>
        <w:t>ir</w:t>
      </w:r>
      <w:r w:rsidRPr="00A07F29">
        <w:rPr>
          <w:rFonts w:ascii="Times New Roman" w:eastAsia="Times New Roman" w:hAnsi="Times New Roman" w:cs="Times New Roman"/>
          <w:sz w:val="24"/>
          <w:szCs w:val="24"/>
          <w:lang w:eastAsia="lv-LV"/>
        </w:rPr>
        <w:t xml:space="preserve"> situācijas</w:t>
      </w:r>
      <w:r w:rsidR="00472527" w:rsidRPr="00A07F29">
        <w:rPr>
          <w:rFonts w:ascii="Times New Roman" w:eastAsia="Times New Roman" w:hAnsi="Times New Roman" w:cs="Times New Roman"/>
          <w:sz w:val="24"/>
          <w:szCs w:val="24"/>
          <w:lang w:eastAsia="lv-LV"/>
        </w:rPr>
        <w:t>,</w:t>
      </w:r>
      <w:r w:rsidRPr="00A07F29">
        <w:rPr>
          <w:rFonts w:ascii="Times New Roman" w:eastAsia="Times New Roman" w:hAnsi="Times New Roman" w:cs="Times New Roman"/>
          <w:sz w:val="24"/>
          <w:szCs w:val="24"/>
          <w:lang w:eastAsia="lv-LV"/>
        </w:rPr>
        <w:t xml:space="preserve"> kad sugai/-</w:t>
      </w:r>
      <w:proofErr w:type="spellStart"/>
      <w:r w:rsidRPr="00A07F29">
        <w:rPr>
          <w:rFonts w:ascii="Times New Roman" w:eastAsia="Times New Roman" w:hAnsi="Times New Roman" w:cs="Times New Roman"/>
          <w:sz w:val="24"/>
          <w:szCs w:val="24"/>
          <w:lang w:eastAsia="lv-LV"/>
        </w:rPr>
        <w:t>ām</w:t>
      </w:r>
      <w:proofErr w:type="spellEnd"/>
      <w:r w:rsidRPr="00A07F29">
        <w:rPr>
          <w:rFonts w:ascii="Times New Roman" w:eastAsia="Times New Roman" w:hAnsi="Times New Roman" w:cs="Times New Roman"/>
          <w:sz w:val="24"/>
          <w:szCs w:val="24"/>
          <w:lang w:eastAsia="lv-LV"/>
        </w:rPr>
        <w:t xml:space="preserve"> piemēroti biotopi ir, bet t</w:t>
      </w:r>
      <w:r w:rsidR="00582E50" w:rsidRPr="00A07F29">
        <w:rPr>
          <w:rFonts w:ascii="Times New Roman" w:eastAsia="Times New Roman" w:hAnsi="Times New Roman" w:cs="Times New Roman"/>
          <w:sz w:val="24"/>
          <w:szCs w:val="24"/>
          <w:lang w:eastAsia="lv-LV"/>
        </w:rPr>
        <w:t xml:space="preserve">ajos nav sastopamas sugas, kurām tur būtu </w:t>
      </w:r>
      <w:r w:rsidRPr="00A07F29">
        <w:rPr>
          <w:rFonts w:ascii="Times New Roman" w:eastAsia="Times New Roman" w:hAnsi="Times New Roman" w:cs="Times New Roman"/>
          <w:sz w:val="24"/>
          <w:szCs w:val="24"/>
          <w:lang w:eastAsia="lv-LV"/>
        </w:rPr>
        <w:t>jābūt.</w:t>
      </w:r>
    </w:p>
    <w:p w14:paraId="7D841416" w14:textId="31E43780" w:rsidR="009072CE" w:rsidRPr="00A07F29" w:rsidRDefault="00582E50" w:rsidP="001A1ABD">
      <w:pPr>
        <w:spacing w:after="120" w:line="240" w:lineRule="auto"/>
        <w:ind w:firstLine="851"/>
        <w:jc w:val="both"/>
        <w:rPr>
          <w:rFonts w:ascii="Times New Roman" w:eastAsia="Times New Roman" w:hAnsi="Times New Roman" w:cs="Times New Roman"/>
          <w:sz w:val="24"/>
          <w:szCs w:val="24"/>
          <w:lang w:eastAsia="lv-LV"/>
        </w:rPr>
      </w:pPr>
      <w:r w:rsidRPr="00A07F29">
        <w:rPr>
          <w:rFonts w:ascii="Times New Roman" w:eastAsia="Times New Roman" w:hAnsi="Times New Roman" w:cs="Times New Roman"/>
          <w:sz w:val="24"/>
          <w:szCs w:val="24"/>
          <w:lang w:eastAsia="lv-LV"/>
        </w:rPr>
        <w:t>U</w:t>
      </w:r>
      <w:r w:rsidR="009072CE" w:rsidRPr="00A07F29">
        <w:rPr>
          <w:rFonts w:ascii="Times New Roman" w:eastAsia="Times New Roman" w:hAnsi="Times New Roman" w:cs="Times New Roman"/>
          <w:sz w:val="24"/>
          <w:szCs w:val="24"/>
          <w:lang w:eastAsia="lv-LV"/>
        </w:rPr>
        <w:t xml:space="preserve">z </w:t>
      </w:r>
      <w:r w:rsidR="006C2387">
        <w:rPr>
          <w:rFonts w:ascii="Times New Roman" w:eastAsia="Times New Roman" w:hAnsi="Times New Roman" w:cs="Times New Roman"/>
          <w:sz w:val="24"/>
          <w:szCs w:val="24"/>
          <w:lang w:eastAsia="lv-LV"/>
        </w:rPr>
        <w:t>A</w:t>
      </w:r>
      <w:r w:rsidR="009072CE" w:rsidRPr="00A07F29">
        <w:rPr>
          <w:rFonts w:ascii="Times New Roman" w:eastAsia="Times New Roman" w:hAnsi="Times New Roman" w:cs="Times New Roman"/>
          <w:sz w:val="24"/>
          <w:szCs w:val="24"/>
          <w:lang w:eastAsia="lv-LV"/>
        </w:rPr>
        <w:t xml:space="preserve"> no Krāslavas vēlams zonējumā izdalīt </w:t>
      </w:r>
      <w:proofErr w:type="spellStart"/>
      <w:r w:rsidR="009072CE" w:rsidRPr="00A07F29">
        <w:rPr>
          <w:rFonts w:ascii="Times New Roman" w:eastAsia="Times New Roman" w:hAnsi="Times New Roman" w:cs="Times New Roman"/>
          <w:sz w:val="24"/>
          <w:szCs w:val="24"/>
          <w:lang w:eastAsia="lv-LV"/>
        </w:rPr>
        <w:t>Indric</w:t>
      </w:r>
      <w:r w:rsidRPr="00A07F29">
        <w:rPr>
          <w:rFonts w:ascii="Times New Roman" w:eastAsia="Times New Roman" w:hAnsi="Times New Roman" w:cs="Times New Roman"/>
          <w:sz w:val="24"/>
          <w:szCs w:val="24"/>
          <w:lang w:eastAsia="lv-LV"/>
        </w:rPr>
        <w:t>u</w:t>
      </w:r>
      <w:proofErr w:type="spellEnd"/>
      <w:r w:rsidRPr="00A07F29">
        <w:rPr>
          <w:rFonts w:ascii="Times New Roman" w:eastAsia="Times New Roman" w:hAnsi="Times New Roman" w:cs="Times New Roman"/>
          <w:sz w:val="24"/>
          <w:szCs w:val="24"/>
          <w:lang w:eastAsia="lv-LV"/>
        </w:rPr>
        <w:t xml:space="preserve">, bet arī </w:t>
      </w:r>
      <w:proofErr w:type="spellStart"/>
      <w:r w:rsidRPr="00A07F29">
        <w:rPr>
          <w:rFonts w:ascii="Times New Roman" w:eastAsia="Times New Roman" w:hAnsi="Times New Roman" w:cs="Times New Roman"/>
          <w:sz w:val="24"/>
          <w:szCs w:val="24"/>
          <w:lang w:eastAsia="lv-LV"/>
        </w:rPr>
        <w:t>Baltica</w:t>
      </w:r>
      <w:proofErr w:type="spellEnd"/>
      <w:r w:rsidRPr="00A07F29">
        <w:rPr>
          <w:rFonts w:ascii="Times New Roman" w:eastAsia="Times New Roman" w:hAnsi="Times New Roman" w:cs="Times New Roman"/>
          <w:sz w:val="24"/>
          <w:szCs w:val="24"/>
          <w:lang w:eastAsia="lv-LV"/>
        </w:rPr>
        <w:t xml:space="preserve">, Skaista un </w:t>
      </w:r>
      <w:proofErr w:type="spellStart"/>
      <w:r w:rsidR="009072CE" w:rsidRPr="00A07F29">
        <w:rPr>
          <w:rFonts w:ascii="Times New Roman" w:eastAsia="Times New Roman" w:hAnsi="Times New Roman" w:cs="Times New Roman"/>
          <w:sz w:val="24"/>
          <w:szCs w:val="24"/>
          <w:lang w:eastAsia="lv-LV"/>
        </w:rPr>
        <w:t>Rosica</w:t>
      </w:r>
      <w:proofErr w:type="spellEnd"/>
      <w:r w:rsidR="009072CE" w:rsidRPr="00A07F29">
        <w:rPr>
          <w:rFonts w:ascii="Times New Roman" w:eastAsia="Times New Roman" w:hAnsi="Times New Roman" w:cs="Times New Roman"/>
          <w:sz w:val="24"/>
          <w:szCs w:val="24"/>
          <w:lang w:eastAsia="lv-LV"/>
        </w:rPr>
        <w:t xml:space="preserve"> ir šādu dabas vērtību koncentrēšanās vietas.</w:t>
      </w:r>
    </w:p>
    <w:p w14:paraId="55BA0B9B" w14:textId="76C3B997" w:rsidR="009072CE" w:rsidRPr="00A07F29" w:rsidRDefault="009072CE" w:rsidP="001A1ABD">
      <w:pPr>
        <w:keepNext/>
        <w:spacing w:before="240" w:after="120" w:line="240" w:lineRule="auto"/>
        <w:jc w:val="both"/>
        <w:rPr>
          <w:rFonts w:ascii="Times New Roman" w:eastAsia="Times New Roman" w:hAnsi="Times New Roman" w:cs="Times New Roman"/>
          <w:b/>
          <w:bCs/>
          <w:i/>
          <w:sz w:val="24"/>
          <w:szCs w:val="24"/>
          <w:lang w:eastAsia="lv-LV"/>
        </w:rPr>
      </w:pPr>
      <w:r w:rsidRPr="00A07F29">
        <w:rPr>
          <w:rFonts w:ascii="Times New Roman" w:eastAsia="Times New Roman" w:hAnsi="Times New Roman" w:cs="Times New Roman"/>
          <w:b/>
          <w:bCs/>
          <w:i/>
          <w:sz w:val="24"/>
          <w:szCs w:val="24"/>
          <w:lang w:eastAsia="lv-LV"/>
        </w:rPr>
        <w:t>Saldūdens biotopu aizsardzībai nepieciešamais zonējums</w:t>
      </w:r>
    </w:p>
    <w:p w14:paraId="2F6B7782" w14:textId="2F53BDEA" w:rsidR="00936B37" w:rsidRPr="00A07F29" w:rsidRDefault="009072CE" w:rsidP="009F59FC">
      <w:pPr>
        <w:widowControl w:val="0"/>
        <w:autoSpaceDE w:val="0"/>
        <w:autoSpaceDN w:val="0"/>
        <w:adjustRightInd w:val="0"/>
        <w:spacing w:after="0" w:line="240" w:lineRule="auto"/>
        <w:ind w:firstLine="851"/>
        <w:jc w:val="both"/>
        <w:rPr>
          <w:rFonts w:ascii="Times New Roman" w:hAnsi="Times New Roman"/>
          <w:bCs/>
          <w:sz w:val="24"/>
          <w:szCs w:val="24"/>
        </w:rPr>
      </w:pPr>
      <w:r w:rsidRPr="00A07F29">
        <w:rPr>
          <w:rFonts w:ascii="Times New Roman" w:hAnsi="Times New Roman"/>
          <w:bCs/>
          <w:sz w:val="24"/>
          <w:szCs w:val="24"/>
        </w:rPr>
        <w:t>Ezeru aizsardzība un dabas vērtību saglabāšana var būt sekmīgi īstenota vien tad, ja tiek ņemt</w:t>
      </w:r>
      <w:r w:rsidR="00A308FD">
        <w:rPr>
          <w:rFonts w:ascii="Times New Roman" w:hAnsi="Times New Roman"/>
          <w:bCs/>
          <w:sz w:val="24"/>
          <w:szCs w:val="24"/>
        </w:rPr>
        <w:t>s</w:t>
      </w:r>
      <w:r w:rsidRPr="00A07F29">
        <w:rPr>
          <w:rFonts w:ascii="Times New Roman" w:hAnsi="Times New Roman"/>
          <w:bCs/>
          <w:sz w:val="24"/>
          <w:szCs w:val="24"/>
        </w:rPr>
        <w:t xml:space="preserve"> vērā visā to sateces baseinā notiekošais, ko vislabāk var realizēt ezeros ar maziem un nelieliem sat</w:t>
      </w:r>
      <w:r w:rsidR="00582E50" w:rsidRPr="00A07F29">
        <w:rPr>
          <w:rFonts w:ascii="Times New Roman" w:hAnsi="Times New Roman"/>
          <w:bCs/>
          <w:sz w:val="24"/>
          <w:szCs w:val="24"/>
        </w:rPr>
        <w:t>eces baseiniem. Visju</w:t>
      </w:r>
      <w:r w:rsidRPr="00A07F29">
        <w:rPr>
          <w:rFonts w:ascii="Times New Roman" w:hAnsi="Times New Roman"/>
          <w:bCs/>
          <w:sz w:val="24"/>
          <w:szCs w:val="24"/>
        </w:rPr>
        <w:t xml:space="preserve">tīgākie mūsu apstākļos ir antropogēni maz ietekmēti </w:t>
      </w:r>
      <w:proofErr w:type="spellStart"/>
      <w:r w:rsidRPr="00A07F29">
        <w:rPr>
          <w:rFonts w:ascii="Times New Roman" w:hAnsi="Times New Roman"/>
          <w:bCs/>
          <w:sz w:val="24"/>
          <w:szCs w:val="24"/>
        </w:rPr>
        <w:t>ūdenšķirtņu</w:t>
      </w:r>
      <w:proofErr w:type="spellEnd"/>
      <w:r w:rsidRPr="00A07F29">
        <w:rPr>
          <w:rFonts w:ascii="Times New Roman" w:hAnsi="Times New Roman"/>
          <w:bCs/>
          <w:sz w:val="24"/>
          <w:szCs w:val="24"/>
        </w:rPr>
        <w:t xml:space="preserve"> zonas mežezeri un mežmalu ezeri ar maziem sateces baseiniem (t.s</w:t>
      </w:r>
      <w:r w:rsidR="00582E50" w:rsidRPr="00A07F29">
        <w:rPr>
          <w:rFonts w:ascii="Times New Roman" w:hAnsi="Times New Roman"/>
          <w:bCs/>
          <w:sz w:val="24"/>
          <w:szCs w:val="24"/>
        </w:rPr>
        <w:t>k. ar pēc iespējas mazāku</w:t>
      </w:r>
      <w:r w:rsidRPr="00A07F29">
        <w:rPr>
          <w:rFonts w:ascii="Times New Roman" w:hAnsi="Times New Roman"/>
          <w:bCs/>
          <w:sz w:val="24"/>
          <w:szCs w:val="24"/>
        </w:rPr>
        <w:t xml:space="preserve"> specifiskā baseina vērtību) un lēnu ūdens apmaiņu, kas </w:t>
      </w:r>
      <w:r w:rsidR="00260499" w:rsidRPr="00A07F29">
        <w:rPr>
          <w:rFonts w:ascii="Times New Roman" w:hAnsi="Times New Roman"/>
          <w:bCs/>
          <w:sz w:val="24"/>
          <w:szCs w:val="24"/>
        </w:rPr>
        <w:t>AAA “Augšdaugava”</w:t>
      </w:r>
      <w:r w:rsidR="00582E50" w:rsidRPr="00A07F29">
        <w:rPr>
          <w:rFonts w:ascii="Times New Roman" w:hAnsi="Times New Roman"/>
          <w:bCs/>
          <w:sz w:val="24"/>
          <w:szCs w:val="24"/>
        </w:rPr>
        <w:t xml:space="preserve"> </w:t>
      </w:r>
      <w:r w:rsidRPr="00A07F29">
        <w:rPr>
          <w:rFonts w:ascii="Times New Roman" w:hAnsi="Times New Roman"/>
          <w:bCs/>
          <w:sz w:val="24"/>
          <w:szCs w:val="24"/>
        </w:rPr>
        <w:t>ir labi pārstāvēti un veido šīs teritorijas lielāko un vērtīgāko stāvošu saldūdeņu aizsargājamo biotopu daļu. Aizsargjoslu likums nosaka minimālo aizsargjoslas platumu atkarībā no ezeru platības: 1)</w:t>
      </w:r>
      <w:r w:rsidR="009F59FC">
        <w:rPr>
          <w:rFonts w:ascii="Times New Roman" w:hAnsi="Times New Roman"/>
          <w:bCs/>
          <w:sz w:val="24"/>
          <w:szCs w:val="24"/>
        </w:rPr>
        <w:t> </w:t>
      </w:r>
      <w:r w:rsidRPr="00A07F29">
        <w:rPr>
          <w:rFonts w:ascii="Times New Roman" w:hAnsi="Times New Roman"/>
          <w:bCs/>
          <w:sz w:val="24"/>
          <w:szCs w:val="24"/>
        </w:rPr>
        <w:t>ne mazāk kā 10</w:t>
      </w:r>
      <w:r w:rsidR="009F59FC">
        <w:rPr>
          <w:rFonts w:ascii="Times New Roman" w:hAnsi="Times New Roman"/>
          <w:bCs/>
          <w:sz w:val="24"/>
          <w:szCs w:val="24"/>
        </w:rPr>
        <w:t> </w:t>
      </w:r>
      <w:r w:rsidRPr="00A07F29">
        <w:rPr>
          <w:rFonts w:ascii="Times New Roman" w:hAnsi="Times New Roman"/>
          <w:bCs/>
          <w:sz w:val="24"/>
          <w:szCs w:val="24"/>
        </w:rPr>
        <w:t xml:space="preserve">m platu </w:t>
      </w:r>
      <w:proofErr w:type="spellStart"/>
      <w:r w:rsidRPr="00A07F29">
        <w:rPr>
          <w:rFonts w:ascii="Times New Roman" w:hAnsi="Times New Roman"/>
          <w:bCs/>
          <w:sz w:val="24"/>
          <w:szCs w:val="24"/>
        </w:rPr>
        <w:t>aizargjoslu</w:t>
      </w:r>
      <w:proofErr w:type="spellEnd"/>
      <w:r w:rsidRPr="00A07F29">
        <w:rPr>
          <w:rFonts w:ascii="Times New Roman" w:hAnsi="Times New Roman"/>
          <w:bCs/>
          <w:sz w:val="24"/>
          <w:szCs w:val="24"/>
        </w:rPr>
        <w:t xml:space="preserve"> ezeriem, kuru </w:t>
      </w:r>
      <w:proofErr w:type="spellStart"/>
      <w:r w:rsidRPr="00A07F29">
        <w:rPr>
          <w:rFonts w:ascii="Times New Roman" w:hAnsi="Times New Roman"/>
          <w:bCs/>
          <w:sz w:val="24"/>
          <w:szCs w:val="24"/>
        </w:rPr>
        <w:t>ūdensvirsas</w:t>
      </w:r>
      <w:proofErr w:type="spellEnd"/>
      <w:r w:rsidRPr="00A07F29">
        <w:rPr>
          <w:rFonts w:ascii="Times New Roman" w:hAnsi="Times New Roman"/>
          <w:bCs/>
          <w:sz w:val="24"/>
          <w:szCs w:val="24"/>
        </w:rPr>
        <w:t xml:space="preserve"> platība ir mazāka par 10</w:t>
      </w:r>
      <w:r w:rsidR="009F59FC">
        <w:rPr>
          <w:rFonts w:ascii="Times New Roman" w:hAnsi="Times New Roman"/>
          <w:bCs/>
          <w:sz w:val="24"/>
          <w:szCs w:val="24"/>
        </w:rPr>
        <w:t> </w:t>
      </w:r>
      <w:r w:rsidRPr="00A07F29">
        <w:rPr>
          <w:rFonts w:ascii="Times New Roman" w:hAnsi="Times New Roman"/>
          <w:bCs/>
          <w:sz w:val="24"/>
          <w:szCs w:val="24"/>
        </w:rPr>
        <w:t>ha; 2)</w:t>
      </w:r>
      <w:r w:rsidR="009F59FC">
        <w:rPr>
          <w:rFonts w:ascii="Times New Roman" w:hAnsi="Times New Roman"/>
          <w:bCs/>
          <w:sz w:val="24"/>
          <w:szCs w:val="24"/>
        </w:rPr>
        <w:t> </w:t>
      </w:r>
      <w:r w:rsidRPr="00A07F29">
        <w:rPr>
          <w:rFonts w:ascii="Times New Roman" w:hAnsi="Times New Roman"/>
          <w:bCs/>
          <w:sz w:val="24"/>
          <w:szCs w:val="24"/>
        </w:rPr>
        <w:t>ne mazāk kā 50</w:t>
      </w:r>
      <w:r w:rsidR="009F59FC">
        <w:rPr>
          <w:rFonts w:ascii="Times New Roman" w:hAnsi="Times New Roman"/>
          <w:bCs/>
          <w:sz w:val="24"/>
          <w:szCs w:val="24"/>
        </w:rPr>
        <w:t> </w:t>
      </w:r>
      <w:r w:rsidRPr="00A07F29">
        <w:rPr>
          <w:rFonts w:ascii="Times New Roman" w:hAnsi="Times New Roman"/>
          <w:bCs/>
          <w:sz w:val="24"/>
          <w:szCs w:val="24"/>
        </w:rPr>
        <w:t xml:space="preserve">m platu aizsargjoslu ezeriem, kuru </w:t>
      </w:r>
      <w:proofErr w:type="spellStart"/>
      <w:r w:rsidRPr="00A07F29">
        <w:rPr>
          <w:rFonts w:ascii="Times New Roman" w:hAnsi="Times New Roman"/>
          <w:bCs/>
          <w:sz w:val="24"/>
          <w:szCs w:val="24"/>
        </w:rPr>
        <w:t>ūdensvirsas</w:t>
      </w:r>
      <w:proofErr w:type="spellEnd"/>
      <w:r w:rsidRPr="00A07F29">
        <w:rPr>
          <w:rFonts w:ascii="Times New Roman" w:hAnsi="Times New Roman"/>
          <w:bCs/>
          <w:sz w:val="24"/>
          <w:szCs w:val="24"/>
        </w:rPr>
        <w:t xml:space="preserve"> platība ir 10</w:t>
      </w:r>
      <w:r w:rsidR="009F59FC">
        <w:rPr>
          <w:rFonts w:ascii="Times New Roman" w:hAnsi="Times New Roman"/>
          <w:bCs/>
          <w:sz w:val="24"/>
          <w:szCs w:val="24"/>
        </w:rPr>
        <w:t> – </w:t>
      </w:r>
      <w:r w:rsidRPr="00A07F29">
        <w:rPr>
          <w:rFonts w:ascii="Times New Roman" w:hAnsi="Times New Roman"/>
          <w:bCs/>
          <w:sz w:val="24"/>
          <w:szCs w:val="24"/>
        </w:rPr>
        <w:t>25</w:t>
      </w:r>
      <w:r w:rsidR="009F59FC">
        <w:rPr>
          <w:rFonts w:ascii="Times New Roman" w:hAnsi="Times New Roman"/>
          <w:bCs/>
          <w:sz w:val="24"/>
          <w:szCs w:val="24"/>
        </w:rPr>
        <w:t> </w:t>
      </w:r>
      <w:r w:rsidRPr="00A07F29">
        <w:rPr>
          <w:rFonts w:ascii="Times New Roman" w:hAnsi="Times New Roman"/>
          <w:bCs/>
          <w:sz w:val="24"/>
          <w:szCs w:val="24"/>
        </w:rPr>
        <w:t>ha; 3)</w:t>
      </w:r>
      <w:r w:rsidR="009F59FC">
        <w:rPr>
          <w:rFonts w:ascii="Times New Roman" w:hAnsi="Times New Roman"/>
          <w:bCs/>
          <w:sz w:val="24"/>
          <w:szCs w:val="24"/>
        </w:rPr>
        <w:t> </w:t>
      </w:r>
      <w:r w:rsidRPr="00A07F29">
        <w:rPr>
          <w:rFonts w:ascii="Times New Roman" w:hAnsi="Times New Roman"/>
          <w:bCs/>
          <w:sz w:val="24"/>
          <w:szCs w:val="24"/>
        </w:rPr>
        <w:t>ne mazāk kā 100</w:t>
      </w:r>
      <w:r w:rsidR="00A7569A">
        <w:rPr>
          <w:rFonts w:ascii="Times New Roman" w:hAnsi="Times New Roman"/>
          <w:bCs/>
          <w:sz w:val="24"/>
          <w:szCs w:val="24"/>
        </w:rPr>
        <w:t> </w:t>
      </w:r>
      <w:r w:rsidRPr="00A07F29">
        <w:rPr>
          <w:rFonts w:ascii="Times New Roman" w:hAnsi="Times New Roman"/>
          <w:bCs/>
          <w:sz w:val="24"/>
          <w:szCs w:val="24"/>
        </w:rPr>
        <w:t xml:space="preserve">m platu aizsargjoslu ezeriem, kuru </w:t>
      </w:r>
      <w:proofErr w:type="spellStart"/>
      <w:r w:rsidRPr="00A07F29">
        <w:rPr>
          <w:rFonts w:ascii="Times New Roman" w:hAnsi="Times New Roman"/>
          <w:bCs/>
          <w:sz w:val="24"/>
          <w:szCs w:val="24"/>
        </w:rPr>
        <w:t>ūdenvirsas</w:t>
      </w:r>
      <w:proofErr w:type="spellEnd"/>
      <w:r w:rsidRPr="00A07F29">
        <w:rPr>
          <w:rFonts w:ascii="Times New Roman" w:hAnsi="Times New Roman"/>
          <w:bCs/>
          <w:sz w:val="24"/>
          <w:szCs w:val="24"/>
        </w:rPr>
        <w:t xml:space="preserve"> platība ir 25</w:t>
      </w:r>
      <w:r w:rsidR="00A7569A">
        <w:rPr>
          <w:rFonts w:ascii="Times New Roman" w:hAnsi="Times New Roman"/>
          <w:bCs/>
          <w:sz w:val="24"/>
          <w:szCs w:val="24"/>
        </w:rPr>
        <w:t> – </w:t>
      </w:r>
      <w:r w:rsidRPr="00A07F29">
        <w:rPr>
          <w:rFonts w:ascii="Times New Roman" w:hAnsi="Times New Roman"/>
          <w:bCs/>
          <w:sz w:val="24"/>
          <w:szCs w:val="24"/>
        </w:rPr>
        <w:t>100</w:t>
      </w:r>
      <w:r w:rsidR="00A7569A">
        <w:rPr>
          <w:rFonts w:ascii="Times New Roman" w:hAnsi="Times New Roman"/>
          <w:bCs/>
          <w:sz w:val="24"/>
          <w:szCs w:val="24"/>
        </w:rPr>
        <w:t> </w:t>
      </w:r>
      <w:r w:rsidRPr="00A07F29">
        <w:rPr>
          <w:rFonts w:ascii="Times New Roman" w:hAnsi="Times New Roman"/>
          <w:bCs/>
          <w:sz w:val="24"/>
          <w:szCs w:val="24"/>
        </w:rPr>
        <w:t xml:space="preserve">ha. Reālajā dzīvē tas parasti ir pārāk maz, lai nodrošinātu pietiekošu vērtīgo ezeru un to dabas un saimniecisko vērtību aizsardzību. Lai to novērstu, katram </w:t>
      </w:r>
      <w:r w:rsidR="00260499" w:rsidRPr="00A07F29">
        <w:rPr>
          <w:rFonts w:ascii="Times New Roman" w:hAnsi="Times New Roman"/>
          <w:bCs/>
          <w:sz w:val="24"/>
          <w:szCs w:val="24"/>
        </w:rPr>
        <w:t>AAA “Augšdaugava”</w:t>
      </w:r>
      <w:r w:rsidR="00BF0B72">
        <w:rPr>
          <w:rFonts w:ascii="Times New Roman" w:hAnsi="Times New Roman"/>
          <w:bCs/>
          <w:sz w:val="24"/>
          <w:szCs w:val="24"/>
        </w:rPr>
        <w:t xml:space="preserve"> </w:t>
      </w:r>
      <w:r w:rsidRPr="00A07F29">
        <w:rPr>
          <w:rFonts w:ascii="Times New Roman" w:hAnsi="Times New Roman"/>
          <w:bCs/>
          <w:sz w:val="24"/>
          <w:szCs w:val="24"/>
        </w:rPr>
        <w:t>ezeram izstrādāti konkrēti un optimāli ezera un tā krasta zonējuma priekšlikumi, ņemot vērā katra ezera sateces baseinu</w:t>
      </w:r>
      <w:r w:rsidR="00E13398" w:rsidRPr="00A07F29">
        <w:rPr>
          <w:rFonts w:ascii="Times New Roman" w:hAnsi="Times New Roman"/>
          <w:bCs/>
          <w:sz w:val="24"/>
          <w:szCs w:val="24"/>
        </w:rPr>
        <w:t xml:space="preserve"> robežas, ezera krastu topogrāfi</w:t>
      </w:r>
      <w:r w:rsidRPr="00A07F29">
        <w:rPr>
          <w:rFonts w:ascii="Times New Roman" w:hAnsi="Times New Roman"/>
          <w:bCs/>
          <w:sz w:val="24"/>
          <w:szCs w:val="24"/>
        </w:rPr>
        <w:t xml:space="preserve">ju un saimnieciskās darbības intensitāti, kā arī aktuālo situāciju mūsdienās un informāciju, kas atrodama aktuālajās LIDAR un </w:t>
      </w:r>
      <w:proofErr w:type="spellStart"/>
      <w:r w:rsidRPr="00A07F29">
        <w:rPr>
          <w:rFonts w:ascii="Times New Roman" w:hAnsi="Times New Roman"/>
          <w:bCs/>
          <w:sz w:val="24"/>
          <w:szCs w:val="24"/>
        </w:rPr>
        <w:t>ortofot</w:t>
      </w:r>
      <w:r w:rsidR="00E13398" w:rsidRPr="00A07F29">
        <w:rPr>
          <w:rFonts w:ascii="Times New Roman" w:hAnsi="Times New Roman"/>
          <w:bCs/>
          <w:sz w:val="24"/>
          <w:szCs w:val="24"/>
        </w:rPr>
        <w:t>o</w:t>
      </w:r>
      <w:r w:rsidRPr="00A07F29">
        <w:rPr>
          <w:rFonts w:ascii="Times New Roman" w:hAnsi="Times New Roman"/>
          <w:bCs/>
          <w:sz w:val="24"/>
          <w:szCs w:val="24"/>
        </w:rPr>
        <w:t>ainās</w:t>
      </w:r>
      <w:proofErr w:type="spellEnd"/>
      <w:r w:rsidRPr="00A07F29">
        <w:rPr>
          <w:rFonts w:ascii="Times New Roman" w:hAnsi="Times New Roman"/>
          <w:bCs/>
          <w:sz w:val="24"/>
          <w:szCs w:val="24"/>
        </w:rPr>
        <w:t>, topogrāfiskajās un vispārējās kartēs</w:t>
      </w:r>
      <w:r w:rsidR="00073FFB" w:rsidRPr="00A07F29">
        <w:rPr>
          <w:rFonts w:ascii="Times New Roman" w:hAnsi="Times New Roman"/>
          <w:bCs/>
          <w:sz w:val="24"/>
          <w:szCs w:val="24"/>
        </w:rPr>
        <w:t xml:space="preserve"> (skat. DA plāna 2.1.</w:t>
      </w:r>
      <w:r w:rsidR="00BF0B72">
        <w:rPr>
          <w:rFonts w:ascii="Times New Roman" w:hAnsi="Times New Roman"/>
          <w:bCs/>
          <w:sz w:val="24"/>
          <w:szCs w:val="24"/>
        </w:rPr>
        <w:t> </w:t>
      </w:r>
      <w:r w:rsidR="00073FFB" w:rsidRPr="00A07F29">
        <w:rPr>
          <w:rFonts w:ascii="Times New Roman" w:hAnsi="Times New Roman"/>
          <w:bCs/>
          <w:sz w:val="24"/>
          <w:szCs w:val="24"/>
        </w:rPr>
        <w:t>pielikumu).</w:t>
      </w:r>
    </w:p>
    <w:p w14:paraId="5919B0ED" w14:textId="60156388" w:rsidR="00073FFB" w:rsidRPr="00A07F29" w:rsidRDefault="00073FFB" w:rsidP="00073FFB">
      <w:pPr>
        <w:widowControl w:val="0"/>
        <w:autoSpaceDE w:val="0"/>
        <w:autoSpaceDN w:val="0"/>
        <w:adjustRightInd w:val="0"/>
        <w:spacing w:after="0" w:line="240" w:lineRule="auto"/>
        <w:ind w:firstLine="851"/>
        <w:jc w:val="both"/>
        <w:rPr>
          <w:rFonts w:ascii="Times New Roman" w:hAnsi="Times New Roman"/>
          <w:bCs/>
          <w:sz w:val="24"/>
          <w:szCs w:val="24"/>
        </w:rPr>
      </w:pPr>
      <w:r w:rsidRPr="00A07F29">
        <w:rPr>
          <w:rFonts w:ascii="Times New Roman" w:hAnsi="Times New Roman"/>
          <w:bCs/>
          <w:sz w:val="24"/>
          <w:szCs w:val="24"/>
        </w:rPr>
        <w:t xml:space="preserve">Saldūdeņu biotopu ekspertu priekšlikumi </w:t>
      </w:r>
      <w:proofErr w:type="spellStart"/>
      <w:r w:rsidRPr="00A07F29">
        <w:rPr>
          <w:rFonts w:ascii="Times New Roman" w:hAnsi="Times New Roman"/>
          <w:bCs/>
          <w:sz w:val="24"/>
          <w:szCs w:val="24"/>
        </w:rPr>
        <w:t>dalēji</w:t>
      </w:r>
      <w:proofErr w:type="spellEnd"/>
      <w:r w:rsidRPr="00A07F29">
        <w:rPr>
          <w:rFonts w:ascii="Times New Roman" w:hAnsi="Times New Roman"/>
          <w:bCs/>
          <w:sz w:val="24"/>
          <w:szCs w:val="24"/>
        </w:rPr>
        <w:t xml:space="preserve"> iekļauti AAA “Augšdaugava” ieteiktajā funkcionālajā zonējumā (</w:t>
      </w:r>
      <w:r w:rsidR="00BC73E8">
        <w:rPr>
          <w:rFonts w:ascii="Times New Roman" w:hAnsi="Times New Roman"/>
          <w:bCs/>
          <w:sz w:val="24"/>
          <w:szCs w:val="24"/>
        </w:rPr>
        <w:t xml:space="preserve">skat. </w:t>
      </w:r>
      <w:r w:rsidRPr="00A07F29">
        <w:rPr>
          <w:rFonts w:ascii="Times New Roman" w:hAnsi="Times New Roman"/>
          <w:bCs/>
          <w:sz w:val="24"/>
          <w:szCs w:val="24"/>
        </w:rPr>
        <w:t>DA plāna 6.</w:t>
      </w:r>
      <w:r w:rsidR="00BC73E8">
        <w:rPr>
          <w:rFonts w:ascii="Times New Roman" w:hAnsi="Times New Roman"/>
          <w:bCs/>
          <w:sz w:val="24"/>
          <w:szCs w:val="24"/>
        </w:rPr>
        <w:t> </w:t>
      </w:r>
      <w:r w:rsidRPr="00A07F29">
        <w:rPr>
          <w:rFonts w:ascii="Times New Roman" w:hAnsi="Times New Roman"/>
          <w:bCs/>
          <w:sz w:val="24"/>
          <w:szCs w:val="24"/>
        </w:rPr>
        <w:t xml:space="preserve">pielikums), tostarp norādīti </w:t>
      </w:r>
      <w:proofErr w:type="spellStart"/>
      <w:r w:rsidRPr="00A07F29">
        <w:rPr>
          <w:rFonts w:ascii="Times New Roman" w:hAnsi="Times New Roman"/>
          <w:bCs/>
          <w:sz w:val="24"/>
          <w:szCs w:val="24"/>
        </w:rPr>
        <w:t>Varnaviču</w:t>
      </w:r>
      <w:proofErr w:type="spellEnd"/>
      <w:r w:rsidRPr="00A07F29">
        <w:rPr>
          <w:rFonts w:ascii="Times New Roman" w:hAnsi="Times New Roman"/>
          <w:bCs/>
          <w:sz w:val="24"/>
          <w:szCs w:val="24"/>
        </w:rPr>
        <w:t xml:space="preserve">, </w:t>
      </w:r>
      <w:proofErr w:type="spellStart"/>
      <w:r w:rsidRPr="00A07F29">
        <w:rPr>
          <w:rFonts w:ascii="Times New Roman" w:hAnsi="Times New Roman"/>
          <w:bCs/>
          <w:sz w:val="24"/>
          <w:szCs w:val="24"/>
        </w:rPr>
        <w:t>Balticas</w:t>
      </w:r>
      <w:proofErr w:type="spellEnd"/>
      <w:r w:rsidRPr="00A07F29">
        <w:rPr>
          <w:rFonts w:ascii="Times New Roman" w:hAnsi="Times New Roman"/>
          <w:bCs/>
          <w:sz w:val="24"/>
          <w:szCs w:val="24"/>
        </w:rPr>
        <w:t xml:space="preserve"> un </w:t>
      </w:r>
      <w:proofErr w:type="spellStart"/>
      <w:r w:rsidRPr="00A07F29">
        <w:rPr>
          <w:rFonts w:ascii="Times New Roman" w:hAnsi="Times New Roman"/>
          <w:bCs/>
          <w:sz w:val="24"/>
          <w:szCs w:val="24"/>
        </w:rPr>
        <w:t>Šilovkas</w:t>
      </w:r>
      <w:proofErr w:type="spellEnd"/>
      <w:r w:rsidRPr="00A07F29">
        <w:rPr>
          <w:rFonts w:ascii="Times New Roman" w:hAnsi="Times New Roman"/>
          <w:bCs/>
          <w:sz w:val="24"/>
          <w:szCs w:val="24"/>
        </w:rPr>
        <w:t xml:space="preserve"> ezeru </w:t>
      </w:r>
      <w:proofErr w:type="spellStart"/>
      <w:r w:rsidRPr="00A07F29">
        <w:rPr>
          <w:rFonts w:ascii="Times New Roman" w:hAnsi="Times New Roman"/>
          <w:bCs/>
          <w:sz w:val="24"/>
          <w:szCs w:val="24"/>
        </w:rPr>
        <w:t>pamatbaseini</w:t>
      </w:r>
      <w:proofErr w:type="spellEnd"/>
      <w:r w:rsidRPr="00A07F29">
        <w:rPr>
          <w:rFonts w:ascii="Times New Roman" w:hAnsi="Times New Roman"/>
          <w:bCs/>
          <w:sz w:val="24"/>
          <w:szCs w:val="24"/>
        </w:rPr>
        <w:t xml:space="preserve">, kuros nav pieļaujamas kailcirtes, </w:t>
      </w:r>
      <w:r w:rsidR="00936B37" w:rsidRPr="00A07F29">
        <w:rPr>
          <w:rFonts w:ascii="Times New Roman" w:hAnsi="Times New Roman"/>
          <w:bCs/>
          <w:sz w:val="24"/>
          <w:szCs w:val="24"/>
        </w:rPr>
        <w:t xml:space="preserve">kā arī ezeri un to sateces baseini </w:t>
      </w:r>
      <w:r w:rsidR="00936B37" w:rsidRPr="00A07F29">
        <w:rPr>
          <w:rFonts w:ascii="Times New Roman" w:hAnsi="Times New Roman"/>
          <w:bCs/>
          <w:sz w:val="24"/>
          <w:szCs w:val="24"/>
        </w:rPr>
        <w:lastRenderedPageBreak/>
        <w:t xml:space="preserve">vai piekrastes zonas iekļautas </w:t>
      </w:r>
      <w:r w:rsidRPr="00A07F29">
        <w:rPr>
          <w:rFonts w:ascii="Times New Roman" w:hAnsi="Times New Roman"/>
          <w:bCs/>
          <w:sz w:val="24"/>
          <w:szCs w:val="24"/>
        </w:rPr>
        <w:t>dabas parka</w:t>
      </w:r>
      <w:r w:rsidR="00936B37" w:rsidRPr="00A07F29">
        <w:rPr>
          <w:rFonts w:ascii="Times New Roman" w:hAnsi="Times New Roman"/>
          <w:bCs/>
          <w:sz w:val="24"/>
          <w:szCs w:val="24"/>
        </w:rPr>
        <w:t xml:space="preserve"> un dabas lieguma zonās.</w:t>
      </w:r>
    </w:p>
    <w:p w14:paraId="1B5CA044" w14:textId="7944D146" w:rsidR="001E4485" w:rsidRPr="00A07F29" w:rsidRDefault="001E4485" w:rsidP="001E4485">
      <w:pPr>
        <w:keepNext/>
        <w:spacing w:before="240" w:after="120" w:line="240" w:lineRule="auto"/>
        <w:jc w:val="both"/>
        <w:rPr>
          <w:rFonts w:ascii="Times New Roman" w:eastAsia="Times New Roman" w:hAnsi="Times New Roman" w:cs="Times New Roman"/>
          <w:b/>
          <w:bCs/>
          <w:i/>
          <w:sz w:val="24"/>
          <w:szCs w:val="24"/>
          <w:lang w:eastAsia="lv-LV"/>
        </w:rPr>
      </w:pPr>
      <w:r w:rsidRPr="00A07F29">
        <w:rPr>
          <w:rFonts w:ascii="Times New Roman" w:eastAsia="Times New Roman" w:hAnsi="Times New Roman" w:cs="Times New Roman"/>
          <w:b/>
          <w:bCs/>
          <w:i/>
          <w:sz w:val="24"/>
          <w:szCs w:val="24"/>
          <w:lang w:eastAsia="lv-LV"/>
        </w:rPr>
        <w:t>DA plānā ieteiktais zonējums</w:t>
      </w:r>
    </w:p>
    <w:p w14:paraId="61BF4D39" w14:textId="274685AC" w:rsidR="00CC7CCA" w:rsidRPr="00A07F29" w:rsidRDefault="001E4485" w:rsidP="00CC7CCA">
      <w:pPr>
        <w:widowControl w:val="0"/>
        <w:autoSpaceDE w:val="0"/>
        <w:autoSpaceDN w:val="0"/>
        <w:adjustRightInd w:val="0"/>
        <w:spacing w:after="0" w:line="240" w:lineRule="auto"/>
        <w:ind w:firstLine="851"/>
        <w:jc w:val="both"/>
        <w:rPr>
          <w:rFonts w:ascii="Times New Roman" w:hAnsi="Times New Roman"/>
          <w:bCs/>
          <w:sz w:val="24"/>
          <w:szCs w:val="24"/>
        </w:rPr>
      </w:pPr>
      <w:r w:rsidRPr="00A07F29">
        <w:rPr>
          <w:rFonts w:ascii="Times New Roman" w:hAnsi="Times New Roman"/>
          <w:bCs/>
          <w:sz w:val="24"/>
          <w:szCs w:val="24"/>
        </w:rPr>
        <w:t xml:space="preserve">DA plānā ieteiktais </w:t>
      </w:r>
      <w:r w:rsidR="007C2E4C" w:rsidRPr="00A07F29">
        <w:rPr>
          <w:rFonts w:ascii="Times New Roman" w:hAnsi="Times New Roman"/>
          <w:bCs/>
          <w:sz w:val="24"/>
          <w:szCs w:val="24"/>
        </w:rPr>
        <w:t xml:space="preserve">AAA “Augšdaugava” funkcionālais </w:t>
      </w:r>
      <w:r w:rsidRPr="00A07F29">
        <w:rPr>
          <w:rFonts w:ascii="Times New Roman" w:hAnsi="Times New Roman"/>
          <w:bCs/>
          <w:sz w:val="24"/>
          <w:szCs w:val="24"/>
        </w:rPr>
        <w:t>zon</w:t>
      </w:r>
      <w:r w:rsidR="007C2E4C" w:rsidRPr="00A07F29">
        <w:rPr>
          <w:rFonts w:ascii="Times New Roman" w:hAnsi="Times New Roman"/>
          <w:bCs/>
          <w:sz w:val="24"/>
          <w:szCs w:val="24"/>
        </w:rPr>
        <w:t>ējums atspoguļo gan dabas un kultūrainavas saglabāšanai nepieciešamos nosacījumus, gan ievērojamus kompromisus turpmākas mežizstrādes veikšanai. Līdz ar to regulējamā režīma un dabas lieguma zonas, kuru prioritāte ir dabas vērt</w:t>
      </w:r>
      <w:r w:rsidR="00CC7CCA" w:rsidRPr="00A07F29">
        <w:rPr>
          <w:rFonts w:ascii="Times New Roman" w:hAnsi="Times New Roman"/>
          <w:bCs/>
          <w:sz w:val="24"/>
          <w:szCs w:val="24"/>
        </w:rPr>
        <w:t>ību sagl</w:t>
      </w:r>
      <w:r w:rsidR="007C2E4C" w:rsidRPr="00A07F29">
        <w:rPr>
          <w:rFonts w:ascii="Times New Roman" w:hAnsi="Times New Roman"/>
          <w:bCs/>
          <w:sz w:val="24"/>
          <w:szCs w:val="24"/>
        </w:rPr>
        <w:t xml:space="preserve">abāšana, aizņem tikai </w:t>
      </w:r>
      <w:r w:rsidR="00CC7CCA" w:rsidRPr="00A07F29">
        <w:rPr>
          <w:rFonts w:ascii="Times New Roman" w:hAnsi="Times New Roman"/>
          <w:bCs/>
          <w:sz w:val="24"/>
          <w:szCs w:val="24"/>
        </w:rPr>
        <w:t>6,1</w:t>
      </w:r>
      <w:r w:rsidR="00D603DB">
        <w:rPr>
          <w:rFonts w:ascii="Times New Roman" w:hAnsi="Times New Roman"/>
          <w:bCs/>
          <w:sz w:val="24"/>
          <w:szCs w:val="24"/>
        </w:rPr>
        <w:t> </w:t>
      </w:r>
      <w:r w:rsidR="00CC7CCA" w:rsidRPr="00A07F29">
        <w:rPr>
          <w:rFonts w:ascii="Times New Roman" w:hAnsi="Times New Roman"/>
          <w:bCs/>
          <w:sz w:val="24"/>
          <w:szCs w:val="24"/>
        </w:rPr>
        <w:t>% no AAA “Augšdaugava” teritorijas, bet lielāko daļu (6</w:t>
      </w:r>
      <w:r w:rsidR="00501162" w:rsidRPr="00A07F29">
        <w:rPr>
          <w:rFonts w:ascii="Times New Roman" w:hAnsi="Times New Roman"/>
          <w:bCs/>
          <w:sz w:val="24"/>
          <w:szCs w:val="24"/>
        </w:rPr>
        <w:t>9</w:t>
      </w:r>
      <w:r w:rsidR="00CC7CCA" w:rsidRPr="00A07F29">
        <w:rPr>
          <w:rFonts w:ascii="Times New Roman" w:hAnsi="Times New Roman"/>
          <w:bCs/>
          <w:sz w:val="24"/>
          <w:szCs w:val="24"/>
        </w:rPr>
        <w:t>,</w:t>
      </w:r>
      <w:r w:rsidR="00501162" w:rsidRPr="00A07F29">
        <w:rPr>
          <w:rFonts w:ascii="Times New Roman" w:hAnsi="Times New Roman"/>
          <w:bCs/>
          <w:sz w:val="24"/>
          <w:szCs w:val="24"/>
        </w:rPr>
        <w:t>5</w:t>
      </w:r>
      <w:r w:rsidR="00D603DB">
        <w:rPr>
          <w:rFonts w:ascii="Times New Roman" w:hAnsi="Times New Roman"/>
          <w:bCs/>
          <w:sz w:val="24"/>
          <w:szCs w:val="24"/>
        </w:rPr>
        <w:t> </w:t>
      </w:r>
      <w:r w:rsidR="00CC7CCA" w:rsidRPr="00A07F29">
        <w:rPr>
          <w:rFonts w:ascii="Times New Roman" w:hAnsi="Times New Roman"/>
          <w:bCs/>
          <w:sz w:val="24"/>
          <w:szCs w:val="24"/>
        </w:rPr>
        <w:t>%) aizņem ainavu aizsardzības zona (skat. 6.2.1.1.</w:t>
      </w:r>
      <w:r w:rsidR="00181E1D">
        <w:rPr>
          <w:rFonts w:ascii="Times New Roman" w:hAnsi="Times New Roman"/>
          <w:bCs/>
          <w:sz w:val="24"/>
          <w:szCs w:val="24"/>
        </w:rPr>
        <w:t> </w:t>
      </w:r>
      <w:r w:rsidR="00CC7CCA" w:rsidRPr="00A07F29">
        <w:rPr>
          <w:rFonts w:ascii="Times New Roman" w:hAnsi="Times New Roman"/>
          <w:bCs/>
          <w:sz w:val="24"/>
          <w:szCs w:val="24"/>
        </w:rPr>
        <w:t>tabulu).</w:t>
      </w:r>
    </w:p>
    <w:p w14:paraId="5C1144F9" w14:textId="77777777" w:rsidR="00CC7CCA" w:rsidRPr="00A07F29" w:rsidRDefault="00CC7CCA" w:rsidP="00CC7CCA">
      <w:pPr>
        <w:widowControl w:val="0"/>
        <w:autoSpaceDE w:val="0"/>
        <w:autoSpaceDN w:val="0"/>
        <w:adjustRightInd w:val="0"/>
        <w:spacing w:after="0" w:line="240" w:lineRule="auto"/>
        <w:ind w:firstLine="851"/>
        <w:jc w:val="both"/>
        <w:rPr>
          <w:rFonts w:ascii="Times New Roman" w:hAnsi="Times New Roman"/>
          <w:bCs/>
          <w:sz w:val="24"/>
          <w:szCs w:val="24"/>
        </w:rPr>
      </w:pPr>
    </w:p>
    <w:p w14:paraId="16402597" w14:textId="514EFE6A" w:rsidR="00CC7CCA" w:rsidRPr="00A07F29" w:rsidRDefault="00CC7CCA" w:rsidP="00CC7CCA">
      <w:pPr>
        <w:widowControl w:val="0"/>
        <w:autoSpaceDE w:val="0"/>
        <w:autoSpaceDN w:val="0"/>
        <w:adjustRightInd w:val="0"/>
        <w:spacing w:after="120" w:line="240" w:lineRule="auto"/>
        <w:jc w:val="center"/>
        <w:rPr>
          <w:rFonts w:ascii="Times New Roman" w:hAnsi="Times New Roman"/>
          <w:bCs/>
          <w:sz w:val="24"/>
          <w:szCs w:val="24"/>
        </w:rPr>
      </w:pPr>
      <w:r w:rsidRPr="00A07F29">
        <w:rPr>
          <w:rFonts w:ascii="Times New Roman" w:hAnsi="Times New Roman" w:cs="Times New Roman"/>
          <w:sz w:val="24"/>
          <w:szCs w:val="24"/>
        </w:rPr>
        <w:t>6.2.1.1.</w:t>
      </w:r>
      <w:r w:rsidR="00181E1D">
        <w:rPr>
          <w:rFonts w:ascii="Times New Roman" w:hAnsi="Times New Roman" w:cs="Times New Roman"/>
          <w:sz w:val="24"/>
          <w:szCs w:val="24"/>
        </w:rPr>
        <w:t> </w:t>
      </w:r>
      <w:r w:rsidRPr="00A07F29">
        <w:rPr>
          <w:rFonts w:ascii="Times New Roman" w:hAnsi="Times New Roman" w:cs="Times New Roman"/>
          <w:sz w:val="24"/>
          <w:szCs w:val="24"/>
        </w:rPr>
        <w:t>tabula</w:t>
      </w:r>
      <w:r w:rsidRPr="00A07F29">
        <w:rPr>
          <w:rFonts w:ascii="Times New Roman" w:hAnsi="Times New Roman"/>
          <w:bCs/>
          <w:sz w:val="24"/>
          <w:szCs w:val="24"/>
        </w:rPr>
        <w:t>. Ieteiktās funkcionālās zonas un to īpatsvars AAA “Augšdaugava”</w:t>
      </w:r>
    </w:p>
    <w:tbl>
      <w:tblPr>
        <w:tblW w:w="66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2977"/>
      </w:tblGrid>
      <w:tr w:rsidR="007C2E4C" w:rsidRPr="00A07F29" w14:paraId="63ED9556" w14:textId="77777777" w:rsidTr="00CC7CCA">
        <w:trPr>
          <w:trHeight w:val="288"/>
          <w:jc w:val="center"/>
        </w:trPr>
        <w:tc>
          <w:tcPr>
            <w:tcW w:w="3681" w:type="dxa"/>
            <w:shd w:val="clear" w:color="auto" w:fill="auto"/>
            <w:noWrap/>
            <w:vAlign w:val="bottom"/>
            <w:hideMark/>
          </w:tcPr>
          <w:p w14:paraId="62E3BC6F" w14:textId="77777777" w:rsidR="007C2E4C" w:rsidRPr="00A07F29" w:rsidRDefault="007C2E4C" w:rsidP="007C2E4C">
            <w:pPr>
              <w:spacing w:after="0" w:line="240" w:lineRule="auto"/>
              <w:rPr>
                <w:rFonts w:ascii="Times New Roman" w:eastAsia="Times New Roman" w:hAnsi="Times New Roman" w:cs="Times New Roman"/>
                <w:b/>
                <w:color w:val="000000"/>
                <w:sz w:val="24"/>
                <w:szCs w:val="24"/>
              </w:rPr>
            </w:pPr>
            <w:r w:rsidRPr="00A07F29">
              <w:rPr>
                <w:rFonts w:ascii="Times New Roman" w:eastAsia="Times New Roman" w:hAnsi="Times New Roman" w:cs="Times New Roman"/>
                <w:b/>
                <w:color w:val="000000"/>
                <w:sz w:val="24"/>
                <w:szCs w:val="24"/>
              </w:rPr>
              <w:t>Funkcionālā zona</w:t>
            </w:r>
          </w:p>
        </w:tc>
        <w:tc>
          <w:tcPr>
            <w:tcW w:w="2977" w:type="dxa"/>
            <w:shd w:val="clear" w:color="auto" w:fill="auto"/>
            <w:noWrap/>
            <w:vAlign w:val="bottom"/>
            <w:hideMark/>
          </w:tcPr>
          <w:p w14:paraId="55C0E3BC" w14:textId="77777777" w:rsidR="007C2E4C" w:rsidRPr="00A07F29" w:rsidRDefault="007C2E4C" w:rsidP="00CC7CCA">
            <w:pPr>
              <w:spacing w:after="0" w:line="240" w:lineRule="auto"/>
              <w:jc w:val="center"/>
              <w:rPr>
                <w:rFonts w:ascii="Times New Roman" w:eastAsia="Times New Roman" w:hAnsi="Times New Roman" w:cs="Times New Roman"/>
                <w:b/>
                <w:color w:val="000000"/>
                <w:sz w:val="24"/>
                <w:szCs w:val="24"/>
              </w:rPr>
            </w:pPr>
            <w:r w:rsidRPr="00A07F29">
              <w:rPr>
                <w:rFonts w:ascii="Times New Roman" w:eastAsia="Times New Roman" w:hAnsi="Times New Roman" w:cs="Times New Roman"/>
                <w:b/>
                <w:color w:val="000000"/>
                <w:sz w:val="24"/>
                <w:szCs w:val="24"/>
              </w:rPr>
              <w:t>Īpatsvars no teritorijas, %</w:t>
            </w:r>
          </w:p>
        </w:tc>
      </w:tr>
      <w:tr w:rsidR="007C2E4C" w:rsidRPr="00A07F29" w14:paraId="31FE53BC" w14:textId="77777777" w:rsidTr="00CC7CCA">
        <w:trPr>
          <w:trHeight w:val="288"/>
          <w:jc w:val="center"/>
        </w:trPr>
        <w:tc>
          <w:tcPr>
            <w:tcW w:w="3681" w:type="dxa"/>
            <w:shd w:val="clear" w:color="auto" w:fill="auto"/>
            <w:noWrap/>
            <w:vAlign w:val="bottom"/>
            <w:hideMark/>
          </w:tcPr>
          <w:p w14:paraId="48E9FDE3" w14:textId="77777777" w:rsidR="007C2E4C" w:rsidRPr="00A07F29" w:rsidRDefault="007C2E4C" w:rsidP="00F52636">
            <w:pPr>
              <w:spacing w:after="0" w:line="240" w:lineRule="auto"/>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Regulējamā režīma zona</w:t>
            </w:r>
          </w:p>
        </w:tc>
        <w:tc>
          <w:tcPr>
            <w:tcW w:w="2977" w:type="dxa"/>
            <w:shd w:val="clear" w:color="auto" w:fill="auto"/>
            <w:noWrap/>
            <w:vAlign w:val="bottom"/>
            <w:hideMark/>
          </w:tcPr>
          <w:p w14:paraId="53BDC368" w14:textId="77777777" w:rsidR="007C2E4C" w:rsidRPr="00A07F29" w:rsidRDefault="007C2E4C" w:rsidP="00CC7CCA">
            <w:pPr>
              <w:spacing w:after="0" w:line="240" w:lineRule="auto"/>
              <w:jc w:val="center"/>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0.3</w:t>
            </w:r>
          </w:p>
        </w:tc>
      </w:tr>
      <w:tr w:rsidR="007C2E4C" w:rsidRPr="00A07F29" w14:paraId="0B16ED8F" w14:textId="77777777" w:rsidTr="00CC7CCA">
        <w:trPr>
          <w:trHeight w:val="288"/>
          <w:jc w:val="center"/>
        </w:trPr>
        <w:tc>
          <w:tcPr>
            <w:tcW w:w="3681" w:type="dxa"/>
            <w:shd w:val="clear" w:color="auto" w:fill="auto"/>
            <w:noWrap/>
            <w:vAlign w:val="bottom"/>
            <w:hideMark/>
          </w:tcPr>
          <w:p w14:paraId="2856A741" w14:textId="77777777" w:rsidR="007C2E4C" w:rsidRPr="00A07F29" w:rsidRDefault="007C2E4C" w:rsidP="00F52636">
            <w:pPr>
              <w:spacing w:after="0" w:line="240" w:lineRule="auto"/>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Dabas lieguma zona</w:t>
            </w:r>
          </w:p>
        </w:tc>
        <w:tc>
          <w:tcPr>
            <w:tcW w:w="2977" w:type="dxa"/>
            <w:shd w:val="clear" w:color="auto" w:fill="auto"/>
            <w:noWrap/>
            <w:vAlign w:val="bottom"/>
            <w:hideMark/>
          </w:tcPr>
          <w:p w14:paraId="1F5B429B" w14:textId="77777777" w:rsidR="007C2E4C" w:rsidRPr="00A07F29" w:rsidRDefault="007C2E4C" w:rsidP="00CC7CCA">
            <w:pPr>
              <w:spacing w:after="0" w:line="240" w:lineRule="auto"/>
              <w:jc w:val="center"/>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5.8</w:t>
            </w:r>
          </w:p>
        </w:tc>
      </w:tr>
      <w:tr w:rsidR="007C2E4C" w:rsidRPr="00A07F29" w14:paraId="66DE64AE" w14:textId="77777777" w:rsidTr="00CC7CCA">
        <w:trPr>
          <w:trHeight w:val="288"/>
          <w:jc w:val="center"/>
        </w:trPr>
        <w:tc>
          <w:tcPr>
            <w:tcW w:w="3681" w:type="dxa"/>
            <w:shd w:val="clear" w:color="auto" w:fill="auto"/>
            <w:noWrap/>
            <w:vAlign w:val="bottom"/>
            <w:hideMark/>
          </w:tcPr>
          <w:p w14:paraId="4303B46C" w14:textId="77777777" w:rsidR="007C2E4C" w:rsidRPr="00A07F29" w:rsidRDefault="007C2E4C" w:rsidP="00F52636">
            <w:pPr>
              <w:spacing w:after="0" w:line="240" w:lineRule="auto"/>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Dabas parka zona</w:t>
            </w:r>
          </w:p>
        </w:tc>
        <w:tc>
          <w:tcPr>
            <w:tcW w:w="2977" w:type="dxa"/>
            <w:shd w:val="clear" w:color="auto" w:fill="auto"/>
            <w:noWrap/>
            <w:vAlign w:val="bottom"/>
            <w:hideMark/>
          </w:tcPr>
          <w:p w14:paraId="002D59E5" w14:textId="2EC6E7E4" w:rsidR="007C2E4C" w:rsidRPr="00A07F29" w:rsidRDefault="007C2E4C" w:rsidP="00501162">
            <w:pPr>
              <w:spacing w:after="0" w:line="240" w:lineRule="auto"/>
              <w:jc w:val="center"/>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2</w:t>
            </w:r>
            <w:r w:rsidR="00501162" w:rsidRPr="00A07F29">
              <w:rPr>
                <w:rFonts w:ascii="Times New Roman" w:eastAsia="Times New Roman" w:hAnsi="Times New Roman" w:cs="Times New Roman"/>
                <w:color w:val="000000"/>
                <w:sz w:val="24"/>
                <w:szCs w:val="24"/>
              </w:rPr>
              <w:t>1</w:t>
            </w:r>
            <w:r w:rsidRPr="00A07F29">
              <w:rPr>
                <w:rFonts w:ascii="Times New Roman" w:eastAsia="Times New Roman" w:hAnsi="Times New Roman" w:cs="Times New Roman"/>
                <w:color w:val="000000"/>
                <w:sz w:val="24"/>
                <w:szCs w:val="24"/>
              </w:rPr>
              <w:t>.5</w:t>
            </w:r>
          </w:p>
        </w:tc>
      </w:tr>
      <w:tr w:rsidR="00CC7CCA" w:rsidRPr="00A07F29" w14:paraId="44B636C7" w14:textId="77777777" w:rsidTr="00CC7CCA">
        <w:trPr>
          <w:trHeight w:val="288"/>
          <w:jc w:val="center"/>
        </w:trPr>
        <w:tc>
          <w:tcPr>
            <w:tcW w:w="3681" w:type="dxa"/>
            <w:shd w:val="clear" w:color="auto" w:fill="auto"/>
            <w:noWrap/>
            <w:vAlign w:val="bottom"/>
            <w:hideMark/>
          </w:tcPr>
          <w:p w14:paraId="2C86EF9E" w14:textId="77777777" w:rsidR="007C2E4C" w:rsidRPr="00A07F29" w:rsidRDefault="007C2E4C" w:rsidP="007C2E4C">
            <w:pPr>
              <w:spacing w:after="0" w:line="240" w:lineRule="auto"/>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Ainavu aizsardzības zona</w:t>
            </w:r>
          </w:p>
        </w:tc>
        <w:tc>
          <w:tcPr>
            <w:tcW w:w="2977" w:type="dxa"/>
            <w:shd w:val="clear" w:color="auto" w:fill="auto"/>
            <w:noWrap/>
            <w:vAlign w:val="bottom"/>
            <w:hideMark/>
          </w:tcPr>
          <w:p w14:paraId="4FA33F0A" w14:textId="6DB8CD06" w:rsidR="007C2E4C" w:rsidRPr="00A07F29" w:rsidRDefault="007C2E4C" w:rsidP="00501162">
            <w:pPr>
              <w:spacing w:after="0" w:line="240" w:lineRule="auto"/>
              <w:jc w:val="center"/>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6</w:t>
            </w:r>
            <w:r w:rsidR="00501162" w:rsidRPr="00A07F29">
              <w:rPr>
                <w:rFonts w:ascii="Times New Roman" w:eastAsia="Times New Roman" w:hAnsi="Times New Roman" w:cs="Times New Roman"/>
                <w:color w:val="000000"/>
                <w:sz w:val="24"/>
                <w:szCs w:val="24"/>
              </w:rPr>
              <w:t>9</w:t>
            </w:r>
            <w:r w:rsidRPr="00A07F29">
              <w:rPr>
                <w:rFonts w:ascii="Times New Roman" w:eastAsia="Times New Roman" w:hAnsi="Times New Roman" w:cs="Times New Roman"/>
                <w:color w:val="000000"/>
                <w:sz w:val="24"/>
                <w:szCs w:val="24"/>
              </w:rPr>
              <w:t>.</w:t>
            </w:r>
            <w:r w:rsidR="00501162" w:rsidRPr="00A07F29">
              <w:rPr>
                <w:rFonts w:ascii="Times New Roman" w:eastAsia="Times New Roman" w:hAnsi="Times New Roman" w:cs="Times New Roman"/>
                <w:color w:val="000000"/>
                <w:sz w:val="24"/>
                <w:szCs w:val="24"/>
              </w:rPr>
              <w:t>5</w:t>
            </w:r>
          </w:p>
        </w:tc>
      </w:tr>
      <w:tr w:rsidR="00CC7CCA" w:rsidRPr="00A07F29" w14:paraId="2EB3FFA1" w14:textId="77777777" w:rsidTr="00CC7CCA">
        <w:trPr>
          <w:trHeight w:val="288"/>
          <w:jc w:val="center"/>
        </w:trPr>
        <w:tc>
          <w:tcPr>
            <w:tcW w:w="3681" w:type="dxa"/>
            <w:shd w:val="clear" w:color="auto" w:fill="auto"/>
            <w:noWrap/>
            <w:vAlign w:val="bottom"/>
            <w:hideMark/>
          </w:tcPr>
          <w:p w14:paraId="0E65242E" w14:textId="77777777" w:rsidR="007C2E4C" w:rsidRPr="00A07F29" w:rsidRDefault="007C2E4C" w:rsidP="007C2E4C">
            <w:pPr>
              <w:spacing w:after="0" w:line="240" w:lineRule="auto"/>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Neitrālā zona</w:t>
            </w:r>
          </w:p>
        </w:tc>
        <w:tc>
          <w:tcPr>
            <w:tcW w:w="2977" w:type="dxa"/>
            <w:shd w:val="clear" w:color="auto" w:fill="auto"/>
            <w:noWrap/>
            <w:vAlign w:val="bottom"/>
            <w:hideMark/>
          </w:tcPr>
          <w:p w14:paraId="5929ABE3" w14:textId="77777777" w:rsidR="007C2E4C" w:rsidRPr="00A07F29" w:rsidRDefault="007C2E4C" w:rsidP="00CC7CCA">
            <w:pPr>
              <w:spacing w:after="0" w:line="240" w:lineRule="auto"/>
              <w:jc w:val="center"/>
              <w:rPr>
                <w:rFonts w:ascii="Times New Roman" w:eastAsia="Times New Roman" w:hAnsi="Times New Roman" w:cs="Times New Roman"/>
                <w:color w:val="000000"/>
                <w:sz w:val="24"/>
                <w:szCs w:val="24"/>
              </w:rPr>
            </w:pPr>
            <w:r w:rsidRPr="00A07F29">
              <w:rPr>
                <w:rFonts w:ascii="Times New Roman" w:eastAsia="Times New Roman" w:hAnsi="Times New Roman" w:cs="Times New Roman"/>
                <w:color w:val="000000"/>
                <w:sz w:val="24"/>
                <w:szCs w:val="24"/>
              </w:rPr>
              <w:t>2.9</w:t>
            </w:r>
          </w:p>
        </w:tc>
      </w:tr>
    </w:tbl>
    <w:p w14:paraId="12E74AEB" w14:textId="7A0D5F99" w:rsidR="007C2E4C" w:rsidRPr="00A07F29" w:rsidRDefault="007C2E4C" w:rsidP="001E4485">
      <w:pPr>
        <w:widowControl w:val="0"/>
        <w:autoSpaceDE w:val="0"/>
        <w:autoSpaceDN w:val="0"/>
        <w:adjustRightInd w:val="0"/>
        <w:spacing w:after="0" w:line="240" w:lineRule="auto"/>
        <w:ind w:firstLine="851"/>
        <w:jc w:val="both"/>
        <w:rPr>
          <w:rFonts w:ascii="Times New Roman" w:hAnsi="Times New Roman"/>
          <w:bCs/>
          <w:sz w:val="24"/>
          <w:szCs w:val="24"/>
        </w:rPr>
      </w:pPr>
    </w:p>
    <w:p w14:paraId="65B12443" w14:textId="3346EC5A" w:rsidR="00CC7CCA" w:rsidRPr="00C32199" w:rsidRDefault="00CC7CCA" w:rsidP="00CC7CCA">
      <w:pPr>
        <w:widowControl w:val="0"/>
        <w:autoSpaceDE w:val="0"/>
        <w:autoSpaceDN w:val="0"/>
        <w:adjustRightInd w:val="0"/>
        <w:spacing w:after="120" w:line="240" w:lineRule="auto"/>
        <w:ind w:firstLine="851"/>
        <w:jc w:val="both"/>
        <w:rPr>
          <w:rFonts w:ascii="Times New Roman" w:hAnsi="Times New Roman"/>
          <w:bCs/>
          <w:sz w:val="24"/>
          <w:szCs w:val="24"/>
        </w:rPr>
      </w:pPr>
      <w:r w:rsidRPr="00A07F29">
        <w:rPr>
          <w:rFonts w:ascii="Times New Roman" w:hAnsi="Times New Roman"/>
          <w:b/>
          <w:bCs/>
          <w:sz w:val="24"/>
          <w:szCs w:val="24"/>
        </w:rPr>
        <w:t>Regulējamā režīma zona</w:t>
      </w:r>
      <w:r w:rsidRPr="00A07F29">
        <w:rPr>
          <w:rFonts w:ascii="Times New Roman" w:hAnsi="Times New Roman"/>
          <w:bCs/>
          <w:sz w:val="24"/>
          <w:szCs w:val="24"/>
        </w:rPr>
        <w:t xml:space="preserve"> ir ieteikta, lai saglabātu </w:t>
      </w:r>
      <w:r w:rsidRPr="00C32199">
        <w:rPr>
          <w:rFonts w:ascii="Times New Roman" w:hAnsi="Times New Roman"/>
          <w:bCs/>
          <w:sz w:val="24"/>
          <w:szCs w:val="24"/>
        </w:rPr>
        <w:t>īpaši aizsargājamos meža biotopus, galvenokārt nogāžu un gravu mežus, īpaši aizsargājamos pārejas purvu un slīkšņu biotopus un īpaši aizsargājamo sugu dzīvotnes. Regulējamā režīma zona ietver galvenokārt esošos mikroliegumus.</w:t>
      </w:r>
    </w:p>
    <w:p w14:paraId="6E1970A2" w14:textId="2BC62CE1" w:rsidR="007C2E4C" w:rsidRPr="00C32199" w:rsidRDefault="00CC7CCA" w:rsidP="00CC7CCA">
      <w:pPr>
        <w:widowControl w:val="0"/>
        <w:autoSpaceDE w:val="0"/>
        <w:autoSpaceDN w:val="0"/>
        <w:adjustRightInd w:val="0"/>
        <w:spacing w:after="120" w:line="240" w:lineRule="auto"/>
        <w:ind w:firstLine="851"/>
        <w:jc w:val="both"/>
        <w:rPr>
          <w:rFonts w:ascii="Times New Roman" w:hAnsi="Times New Roman"/>
          <w:bCs/>
          <w:sz w:val="24"/>
          <w:szCs w:val="24"/>
        </w:rPr>
      </w:pPr>
      <w:r w:rsidRPr="00C32199">
        <w:rPr>
          <w:rFonts w:ascii="Times New Roman" w:hAnsi="Times New Roman"/>
          <w:b/>
          <w:bCs/>
          <w:sz w:val="24"/>
          <w:szCs w:val="24"/>
        </w:rPr>
        <w:t>Dabas lieguma zona</w:t>
      </w:r>
      <w:r w:rsidRPr="00C32199">
        <w:rPr>
          <w:rFonts w:ascii="Times New Roman" w:hAnsi="Times New Roman"/>
          <w:bCs/>
          <w:sz w:val="24"/>
          <w:szCs w:val="24"/>
        </w:rPr>
        <w:t xml:space="preserve"> ir ieteikta, lai </w:t>
      </w:r>
      <w:r w:rsidR="00AE62B2" w:rsidRPr="00C32199">
        <w:rPr>
          <w:rFonts w:ascii="Times New Roman" w:hAnsi="Times New Roman"/>
          <w:bCs/>
          <w:sz w:val="24"/>
          <w:szCs w:val="24"/>
        </w:rPr>
        <w:t xml:space="preserve">saglabātu </w:t>
      </w:r>
      <w:r w:rsidRPr="00C32199">
        <w:rPr>
          <w:rFonts w:ascii="Times New Roman" w:hAnsi="Times New Roman"/>
          <w:bCs/>
          <w:sz w:val="24"/>
          <w:szCs w:val="24"/>
        </w:rPr>
        <w:t xml:space="preserve">īpaši aizsargājamos un ES nozīmes biotopus un </w:t>
      </w:r>
      <w:r w:rsidR="00AE62B2" w:rsidRPr="00C32199">
        <w:rPr>
          <w:rFonts w:ascii="Times New Roman" w:hAnsi="Times New Roman"/>
          <w:bCs/>
          <w:sz w:val="24"/>
          <w:szCs w:val="24"/>
        </w:rPr>
        <w:t>īpaši aizsargājamo sugu dzīvotnes. Dabas lieguma zona ietver bioloģiski vērtīgu mežu teritorijas Daugavas lokos, ES nozīmes mežu un purvu biotopus, kā arī bioloģiski vērtīgākos un pret nelabvēlīgām ietekmēm jutīgākos ezerus.</w:t>
      </w:r>
    </w:p>
    <w:p w14:paraId="3F816A45" w14:textId="226350A8" w:rsidR="00501162" w:rsidRPr="00A07F29" w:rsidRDefault="00AE62B2" w:rsidP="00501162">
      <w:pPr>
        <w:widowControl w:val="0"/>
        <w:autoSpaceDE w:val="0"/>
        <w:autoSpaceDN w:val="0"/>
        <w:adjustRightInd w:val="0"/>
        <w:spacing w:after="120" w:line="240" w:lineRule="auto"/>
        <w:ind w:firstLine="851"/>
        <w:jc w:val="both"/>
        <w:rPr>
          <w:rFonts w:ascii="Times New Roman" w:hAnsi="Times New Roman"/>
          <w:bCs/>
          <w:sz w:val="24"/>
          <w:szCs w:val="24"/>
        </w:rPr>
      </w:pPr>
      <w:r w:rsidRPr="00C32199">
        <w:rPr>
          <w:rFonts w:ascii="Times New Roman" w:hAnsi="Times New Roman"/>
          <w:b/>
          <w:bCs/>
          <w:sz w:val="24"/>
          <w:szCs w:val="24"/>
        </w:rPr>
        <w:t>Dabas parka zona</w:t>
      </w:r>
      <w:r w:rsidRPr="00C32199">
        <w:rPr>
          <w:rFonts w:ascii="Times New Roman" w:hAnsi="Times New Roman"/>
          <w:bCs/>
          <w:sz w:val="24"/>
          <w:szCs w:val="24"/>
        </w:rPr>
        <w:t xml:space="preserve"> ir ieteikta, lai sekmētu īpaši aizsargājamo sugu</w:t>
      </w:r>
      <w:r w:rsidRPr="00A07F29">
        <w:rPr>
          <w:rFonts w:ascii="Times New Roman" w:hAnsi="Times New Roman"/>
          <w:bCs/>
          <w:sz w:val="24"/>
          <w:szCs w:val="24"/>
        </w:rPr>
        <w:t xml:space="preserve"> atradņu saglabāšanu, kā arī kultūrvēsturiskā mantojuma un unikālo ainavas elementu saglabāšanu un ilgtspējīg</w:t>
      </w:r>
      <w:r w:rsidR="002D3B23">
        <w:rPr>
          <w:rFonts w:ascii="Times New Roman" w:hAnsi="Times New Roman"/>
          <w:bCs/>
          <w:sz w:val="24"/>
          <w:szCs w:val="24"/>
        </w:rPr>
        <w:t>u</w:t>
      </w:r>
      <w:r w:rsidRPr="00A07F29">
        <w:rPr>
          <w:rFonts w:ascii="Times New Roman" w:hAnsi="Times New Roman"/>
          <w:bCs/>
          <w:sz w:val="24"/>
          <w:szCs w:val="24"/>
        </w:rPr>
        <w:t xml:space="preserve"> apsaimniekošanu. Dabas parka zona ietver galvenokārt DP “Daugavas loki” teritoriju un Daugavu visā ainavu apvidus teritorijā</w:t>
      </w:r>
      <w:r w:rsidR="00501162" w:rsidRPr="00A07F29">
        <w:rPr>
          <w:rFonts w:ascii="Times New Roman" w:hAnsi="Times New Roman"/>
          <w:bCs/>
          <w:sz w:val="24"/>
          <w:szCs w:val="24"/>
        </w:rPr>
        <w:t>. Lai mazinātu eitrofikācijas ietekmi, ieteiktas</w:t>
      </w:r>
      <w:r w:rsidRPr="00A07F29">
        <w:rPr>
          <w:rFonts w:ascii="Times New Roman" w:hAnsi="Times New Roman"/>
          <w:bCs/>
          <w:sz w:val="24"/>
          <w:szCs w:val="24"/>
        </w:rPr>
        <w:t xml:space="preserve"> dabas parka zonas pie </w:t>
      </w:r>
      <w:proofErr w:type="spellStart"/>
      <w:r w:rsidR="00501162" w:rsidRPr="00A07F29">
        <w:rPr>
          <w:rFonts w:ascii="Times New Roman" w:hAnsi="Times New Roman"/>
          <w:bCs/>
          <w:sz w:val="24"/>
          <w:szCs w:val="24"/>
        </w:rPr>
        <w:t>Vaičuku</w:t>
      </w:r>
      <w:proofErr w:type="spellEnd"/>
      <w:r w:rsidR="00501162" w:rsidRPr="00A07F29">
        <w:rPr>
          <w:rFonts w:ascii="Times New Roman" w:hAnsi="Times New Roman"/>
          <w:bCs/>
          <w:sz w:val="24"/>
          <w:szCs w:val="24"/>
        </w:rPr>
        <w:t xml:space="preserve"> ezera</w:t>
      </w:r>
      <w:r w:rsidRPr="00A07F29">
        <w:rPr>
          <w:rFonts w:ascii="Times New Roman" w:hAnsi="Times New Roman"/>
          <w:bCs/>
          <w:sz w:val="24"/>
          <w:szCs w:val="24"/>
        </w:rPr>
        <w:t xml:space="preserve">, kā arī </w:t>
      </w:r>
      <w:proofErr w:type="spellStart"/>
      <w:r w:rsidRPr="00A07F29">
        <w:rPr>
          <w:rFonts w:ascii="Times New Roman" w:hAnsi="Times New Roman"/>
          <w:bCs/>
          <w:sz w:val="24"/>
          <w:szCs w:val="24"/>
        </w:rPr>
        <w:t>Varnaviču</w:t>
      </w:r>
      <w:proofErr w:type="spellEnd"/>
      <w:r w:rsidRPr="00A07F29">
        <w:rPr>
          <w:rFonts w:ascii="Times New Roman" w:hAnsi="Times New Roman"/>
          <w:bCs/>
          <w:sz w:val="24"/>
          <w:szCs w:val="24"/>
        </w:rPr>
        <w:t xml:space="preserve"> un </w:t>
      </w:r>
      <w:proofErr w:type="spellStart"/>
      <w:r w:rsidRPr="00A07F29">
        <w:rPr>
          <w:rFonts w:ascii="Times New Roman" w:hAnsi="Times New Roman"/>
          <w:bCs/>
          <w:sz w:val="24"/>
          <w:szCs w:val="24"/>
        </w:rPr>
        <w:t>Krivoje</w:t>
      </w:r>
      <w:proofErr w:type="spellEnd"/>
      <w:r w:rsidRPr="00A07F29">
        <w:rPr>
          <w:rFonts w:ascii="Times New Roman" w:hAnsi="Times New Roman"/>
          <w:bCs/>
          <w:sz w:val="24"/>
          <w:szCs w:val="24"/>
        </w:rPr>
        <w:t xml:space="preserve"> ezeru </w:t>
      </w:r>
      <w:r w:rsidR="00C32199">
        <w:rPr>
          <w:rFonts w:ascii="Times New Roman" w:hAnsi="Times New Roman"/>
          <w:bCs/>
          <w:sz w:val="24"/>
          <w:szCs w:val="24"/>
        </w:rPr>
        <w:t>A</w:t>
      </w:r>
      <w:r w:rsidRPr="00A07F29">
        <w:rPr>
          <w:rFonts w:ascii="Times New Roman" w:hAnsi="Times New Roman"/>
          <w:bCs/>
          <w:sz w:val="24"/>
          <w:szCs w:val="24"/>
        </w:rPr>
        <w:t xml:space="preserve"> krastā</w:t>
      </w:r>
      <w:r w:rsidR="00501162" w:rsidRPr="00A07F29">
        <w:rPr>
          <w:rFonts w:ascii="Times New Roman" w:hAnsi="Times New Roman"/>
          <w:bCs/>
          <w:sz w:val="24"/>
          <w:szCs w:val="24"/>
        </w:rPr>
        <w:t>.</w:t>
      </w:r>
    </w:p>
    <w:p w14:paraId="58DD67A5" w14:textId="419EE9FE" w:rsidR="00501162" w:rsidRPr="00A07F29" w:rsidRDefault="00501162" w:rsidP="00501162">
      <w:pPr>
        <w:widowControl w:val="0"/>
        <w:autoSpaceDE w:val="0"/>
        <w:autoSpaceDN w:val="0"/>
        <w:adjustRightInd w:val="0"/>
        <w:spacing w:after="120" w:line="240" w:lineRule="auto"/>
        <w:ind w:firstLine="851"/>
        <w:jc w:val="both"/>
        <w:rPr>
          <w:rFonts w:ascii="Times New Roman" w:hAnsi="Times New Roman"/>
          <w:bCs/>
          <w:sz w:val="24"/>
          <w:szCs w:val="24"/>
        </w:rPr>
      </w:pPr>
      <w:r w:rsidRPr="00A07F29">
        <w:rPr>
          <w:rFonts w:ascii="Times New Roman" w:hAnsi="Times New Roman"/>
          <w:bCs/>
          <w:sz w:val="24"/>
          <w:szCs w:val="24"/>
        </w:rPr>
        <w:t>Ekspertu ieteiktā dabas parka zona 2045</w:t>
      </w:r>
      <w:r w:rsidR="002D3B23">
        <w:rPr>
          <w:rFonts w:ascii="Times New Roman" w:hAnsi="Times New Roman"/>
          <w:bCs/>
          <w:sz w:val="24"/>
          <w:szCs w:val="24"/>
        </w:rPr>
        <w:t> </w:t>
      </w:r>
      <w:r w:rsidRPr="00A07F29">
        <w:rPr>
          <w:rFonts w:ascii="Times New Roman" w:hAnsi="Times New Roman"/>
          <w:bCs/>
          <w:sz w:val="24"/>
          <w:szCs w:val="24"/>
        </w:rPr>
        <w:t>ha platībā dabas vērtību koncentrācijas vietā Kalniešu apkārtnē (</w:t>
      </w:r>
      <w:proofErr w:type="spellStart"/>
      <w:r w:rsidRPr="00A07F29">
        <w:rPr>
          <w:rFonts w:ascii="Times New Roman" w:hAnsi="Times New Roman"/>
          <w:bCs/>
          <w:sz w:val="24"/>
          <w:szCs w:val="24"/>
        </w:rPr>
        <w:t>Indricas</w:t>
      </w:r>
      <w:proofErr w:type="spellEnd"/>
      <w:r w:rsidRPr="00A07F29">
        <w:rPr>
          <w:rFonts w:ascii="Times New Roman" w:hAnsi="Times New Roman"/>
          <w:bCs/>
          <w:sz w:val="24"/>
          <w:szCs w:val="24"/>
        </w:rPr>
        <w:t xml:space="preserve"> un Skaistas upju ielejas un </w:t>
      </w:r>
      <w:r w:rsidR="00611712">
        <w:rPr>
          <w:rFonts w:ascii="Times New Roman" w:hAnsi="Times New Roman"/>
          <w:bCs/>
          <w:sz w:val="24"/>
          <w:szCs w:val="24"/>
        </w:rPr>
        <w:t>seši</w:t>
      </w:r>
      <w:r w:rsidRPr="00A07F29">
        <w:rPr>
          <w:rFonts w:ascii="Times New Roman" w:hAnsi="Times New Roman"/>
          <w:bCs/>
          <w:sz w:val="24"/>
          <w:szCs w:val="24"/>
        </w:rPr>
        <w:t xml:space="preserve"> ezeri, sastopami </w:t>
      </w:r>
      <w:r w:rsidR="00611712">
        <w:rPr>
          <w:rFonts w:ascii="Times New Roman" w:hAnsi="Times New Roman"/>
          <w:bCs/>
          <w:sz w:val="24"/>
          <w:szCs w:val="24"/>
        </w:rPr>
        <w:t>seši</w:t>
      </w:r>
      <w:r w:rsidRPr="00A07F29">
        <w:rPr>
          <w:rFonts w:ascii="Times New Roman" w:hAnsi="Times New Roman"/>
          <w:bCs/>
          <w:sz w:val="24"/>
          <w:szCs w:val="24"/>
        </w:rPr>
        <w:t xml:space="preserve"> </w:t>
      </w:r>
      <w:r w:rsidRPr="00C32199">
        <w:rPr>
          <w:rFonts w:ascii="Times New Roman" w:hAnsi="Times New Roman"/>
          <w:bCs/>
          <w:sz w:val="24"/>
          <w:szCs w:val="24"/>
        </w:rPr>
        <w:t>īpaši aizsargājamo zālāju biotopu veidi ar kopējo platību 130</w:t>
      </w:r>
      <w:r w:rsidR="00611712" w:rsidRPr="00C32199">
        <w:rPr>
          <w:rFonts w:ascii="Times New Roman" w:hAnsi="Times New Roman"/>
          <w:bCs/>
          <w:sz w:val="24"/>
          <w:szCs w:val="24"/>
        </w:rPr>
        <w:t> </w:t>
      </w:r>
      <w:r w:rsidRPr="00C32199">
        <w:rPr>
          <w:rFonts w:ascii="Times New Roman" w:hAnsi="Times New Roman"/>
          <w:bCs/>
          <w:sz w:val="24"/>
          <w:szCs w:val="24"/>
        </w:rPr>
        <w:t>ha, konstatētas 47 īpaši aizsargājamās</w:t>
      </w:r>
      <w:r w:rsidRPr="00A07F29">
        <w:rPr>
          <w:rFonts w:ascii="Times New Roman" w:hAnsi="Times New Roman"/>
          <w:bCs/>
          <w:sz w:val="24"/>
          <w:szCs w:val="24"/>
        </w:rPr>
        <w:t xml:space="preserve"> un Biotopu direktīvas un Putnu direktīvas pielikumos minētās sugas) pašvaldību iebildumu un diskusiju rezultātā nav iekļauta zonējuma priekšlikumos.</w:t>
      </w:r>
    </w:p>
    <w:p w14:paraId="334F5955" w14:textId="27B6B9C0" w:rsidR="00AE62B2" w:rsidRPr="00A07F29" w:rsidRDefault="00AE62B2" w:rsidP="00C1068B">
      <w:pPr>
        <w:widowControl w:val="0"/>
        <w:autoSpaceDE w:val="0"/>
        <w:autoSpaceDN w:val="0"/>
        <w:adjustRightInd w:val="0"/>
        <w:spacing w:after="120" w:line="240" w:lineRule="auto"/>
        <w:ind w:firstLine="851"/>
        <w:jc w:val="both"/>
        <w:rPr>
          <w:rFonts w:ascii="Times New Roman" w:hAnsi="Times New Roman"/>
          <w:bCs/>
          <w:sz w:val="24"/>
          <w:szCs w:val="24"/>
        </w:rPr>
      </w:pPr>
      <w:r w:rsidRPr="00A07F29">
        <w:rPr>
          <w:rFonts w:ascii="Times New Roman" w:hAnsi="Times New Roman"/>
          <w:b/>
          <w:bCs/>
          <w:sz w:val="24"/>
          <w:szCs w:val="24"/>
        </w:rPr>
        <w:t>Ainavu aizsardzības zona</w:t>
      </w:r>
      <w:r w:rsidR="00C1068B" w:rsidRPr="00A07F29">
        <w:rPr>
          <w:rFonts w:ascii="Times New Roman" w:hAnsi="Times New Roman"/>
          <w:bCs/>
          <w:sz w:val="24"/>
          <w:szCs w:val="24"/>
        </w:rPr>
        <w:t xml:space="preserve"> ir ieteikta, lai </w:t>
      </w:r>
      <w:r w:rsidRPr="00A07F29">
        <w:rPr>
          <w:rFonts w:ascii="Times New Roman" w:hAnsi="Times New Roman"/>
          <w:bCs/>
          <w:sz w:val="24"/>
          <w:szCs w:val="24"/>
        </w:rPr>
        <w:t xml:space="preserve">saglabātu tradicionālo ainavu, ģenētisko resursu mežaudzes un </w:t>
      </w:r>
      <w:r w:rsidR="00C1068B" w:rsidRPr="00A07F29">
        <w:rPr>
          <w:rFonts w:ascii="Times New Roman" w:hAnsi="Times New Roman"/>
          <w:bCs/>
          <w:sz w:val="24"/>
          <w:szCs w:val="24"/>
        </w:rPr>
        <w:t xml:space="preserve">sekmētu </w:t>
      </w:r>
      <w:r w:rsidRPr="00A07F29">
        <w:rPr>
          <w:rFonts w:ascii="Times New Roman" w:hAnsi="Times New Roman"/>
          <w:bCs/>
          <w:sz w:val="24"/>
          <w:szCs w:val="24"/>
        </w:rPr>
        <w:t>ilgtspējīgu teritorijas attīstību.</w:t>
      </w:r>
      <w:r w:rsidR="00C1068B" w:rsidRPr="00A07F29">
        <w:rPr>
          <w:rFonts w:ascii="Times New Roman" w:hAnsi="Times New Roman"/>
          <w:bCs/>
          <w:sz w:val="24"/>
          <w:szCs w:val="24"/>
        </w:rPr>
        <w:t xml:space="preserve"> Ainavu aizsardzības zona ietver </w:t>
      </w:r>
      <w:r w:rsidRPr="00A07F29">
        <w:rPr>
          <w:rFonts w:ascii="Times New Roman" w:hAnsi="Times New Roman"/>
          <w:bCs/>
          <w:sz w:val="24"/>
          <w:szCs w:val="24"/>
        </w:rPr>
        <w:t>pārēj</w:t>
      </w:r>
      <w:r w:rsidR="00C1068B" w:rsidRPr="00A07F29">
        <w:rPr>
          <w:rFonts w:ascii="Times New Roman" w:hAnsi="Times New Roman"/>
          <w:bCs/>
          <w:sz w:val="24"/>
          <w:szCs w:val="24"/>
        </w:rPr>
        <w:t xml:space="preserve">o AAA “Augšdaugava” </w:t>
      </w:r>
      <w:r w:rsidRPr="00A07F29">
        <w:rPr>
          <w:rFonts w:ascii="Times New Roman" w:hAnsi="Times New Roman"/>
          <w:bCs/>
          <w:sz w:val="24"/>
          <w:szCs w:val="24"/>
        </w:rPr>
        <w:t>teritorij</w:t>
      </w:r>
      <w:r w:rsidR="00C1068B" w:rsidRPr="00A07F29">
        <w:rPr>
          <w:rFonts w:ascii="Times New Roman" w:hAnsi="Times New Roman"/>
          <w:bCs/>
          <w:sz w:val="24"/>
          <w:szCs w:val="24"/>
        </w:rPr>
        <w:t>u, kas neietilpst citās funkcionālajās zonās.</w:t>
      </w:r>
    </w:p>
    <w:p w14:paraId="58C1F228" w14:textId="493AF53A" w:rsidR="00CC6F8E" w:rsidRPr="00A07F29" w:rsidRDefault="00AE62B2" w:rsidP="00C1068B">
      <w:pPr>
        <w:widowControl w:val="0"/>
        <w:autoSpaceDE w:val="0"/>
        <w:autoSpaceDN w:val="0"/>
        <w:adjustRightInd w:val="0"/>
        <w:spacing w:after="120" w:line="240" w:lineRule="auto"/>
        <w:ind w:firstLine="851"/>
        <w:jc w:val="both"/>
        <w:rPr>
          <w:rFonts w:ascii="Times New Roman" w:hAnsi="Times New Roman"/>
          <w:bCs/>
          <w:sz w:val="24"/>
          <w:szCs w:val="24"/>
        </w:rPr>
      </w:pPr>
      <w:r w:rsidRPr="00A07F29">
        <w:rPr>
          <w:rFonts w:ascii="Times New Roman" w:hAnsi="Times New Roman"/>
          <w:b/>
          <w:bCs/>
          <w:sz w:val="24"/>
          <w:szCs w:val="24"/>
        </w:rPr>
        <w:t>Neitrālā zona</w:t>
      </w:r>
      <w:r w:rsidRPr="00A07F29">
        <w:rPr>
          <w:rFonts w:ascii="Times New Roman" w:hAnsi="Times New Roman"/>
          <w:bCs/>
          <w:sz w:val="24"/>
          <w:szCs w:val="24"/>
        </w:rPr>
        <w:t xml:space="preserve"> </w:t>
      </w:r>
      <w:r w:rsidR="00C1068B" w:rsidRPr="00A07F29">
        <w:rPr>
          <w:rFonts w:ascii="Times New Roman" w:hAnsi="Times New Roman"/>
          <w:bCs/>
          <w:sz w:val="24"/>
          <w:szCs w:val="24"/>
        </w:rPr>
        <w:t>ir ieteikta</w:t>
      </w:r>
      <w:r w:rsidR="00D17D09" w:rsidRPr="00A07F29">
        <w:rPr>
          <w:rFonts w:ascii="Times New Roman" w:hAnsi="Times New Roman"/>
          <w:bCs/>
          <w:sz w:val="24"/>
          <w:szCs w:val="24"/>
        </w:rPr>
        <w:t>,</w:t>
      </w:r>
      <w:r w:rsidR="00C1068B" w:rsidRPr="00A07F29">
        <w:rPr>
          <w:rFonts w:ascii="Times New Roman" w:hAnsi="Times New Roman"/>
          <w:bCs/>
          <w:sz w:val="24"/>
          <w:szCs w:val="24"/>
        </w:rPr>
        <w:t xml:space="preserve"> lai sekmētu teritorijas </w:t>
      </w:r>
      <w:r w:rsidRPr="00A07F29">
        <w:rPr>
          <w:rFonts w:ascii="Times New Roman" w:hAnsi="Times New Roman"/>
          <w:bCs/>
          <w:sz w:val="24"/>
          <w:szCs w:val="24"/>
        </w:rPr>
        <w:t>ilgtspējīgu saimniecisko izmantošanu un attīstību, kā arī nodrošinātu transporta infrastruktūras objektu uzturēšanu un attīstību.</w:t>
      </w:r>
      <w:r w:rsidR="00C1068B" w:rsidRPr="00A07F29">
        <w:rPr>
          <w:rFonts w:ascii="Times New Roman" w:hAnsi="Times New Roman"/>
          <w:bCs/>
          <w:sz w:val="24"/>
          <w:szCs w:val="24"/>
        </w:rPr>
        <w:t xml:space="preserve"> Neitrālā zona ietver g</w:t>
      </w:r>
      <w:r w:rsidRPr="00A07F29">
        <w:rPr>
          <w:rFonts w:ascii="Times New Roman" w:hAnsi="Times New Roman"/>
          <w:bCs/>
          <w:sz w:val="24"/>
          <w:szCs w:val="24"/>
        </w:rPr>
        <w:t>alvenokārt Krāslavas un ci</w:t>
      </w:r>
      <w:r w:rsidR="00C1068B" w:rsidRPr="00A07F29">
        <w:rPr>
          <w:rFonts w:ascii="Times New Roman" w:hAnsi="Times New Roman"/>
          <w:bCs/>
          <w:sz w:val="24"/>
          <w:szCs w:val="24"/>
        </w:rPr>
        <w:t xml:space="preserve">emu apbūves teritorijas, valsts </w:t>
      </w:r>
      <w:r w:rsidRPr="00A07F29">
        <w:rPr>
          <w:rFonts w:ascii="Times New Roman" w:hAnsi="Times New Roman"/>
          <w:bCs/>
          <w:sz w:val="24"/>
          <w:szCs w:val="24"/>
        </w:rPr>
        <w:t>autoceļ</w:t>
      </w:r>
      <w:r w:rsidR="00C1068B" w:rsidRPr="00A07F29">
        <w:rPr>
          <w:rFonts w:ascii="Times New Roman" w:hAnsi="Times New Roman"/>
          <w:bCs/>
          <w:sz w:val="24"/>
          <w:szCs w:val="24"/>
        </w:rPr>
        <w:t xml:space="preserve">us, pašvaldības autoceļu, </w:t>
      </w:r>
      <w:proofErr w:type="spellStart"/>
      <w:r w:rsidRPr="00A07F29">
        <w:rPr>
          <w:rFonts w:ascii="Times New Roman" w:hAnsi="Times New Roman"/>
          <w:bCs/>
          <w:sz w:val="24"/>
          <w:szCs w:val="24"/>
        </w:rPr>
        <w:t>El</w:t>
      </w:r>
      <w:r w:rsidR="00D17D09" w:rsidRPr="00A07F29">
        <w:rPr>
          <w:rFonts w:ascii="Times New Roman" w:hAnsi="Times New Roman"/>
          <w:bCs/>
          <w:sz w:val="24"/>
          <w:szCs w:val="24"/>
        </w:rPr>
        <w:t>ernes</w:t>
      </w:r>
      <w:proofErr w:type="spellEnd"/>
      <w:r w:rsidR="00D17D09" w:rsidRPr="00A07F29">
        <w:rPr>
          <w:rFonts w:ascii="Times New Roman" w:hAnsi="Times New Roman"/>
          <w:bCs/>
          <w:sz w:val="24"/>
          <w:szCs w:val="24"/>
        </w:rPr>
        <w:t xml:space="preserve"> loka karjeru teritorijas un ražošanas teritorijas.</w:t>
      </w:r>
    </w:p>
    <w:p w14:paraId="757C33F7" w14:textId="70BF3A65" w:rsidR="00260499" w:rsidRPr="00A07F29" w:rsidRDefault="00260499" w:rsidP="0022550C">
      <w:pPr>
        <w:pStyle w:val="Heading1"/>
        <w:pageBreakBefore/>
        <w:spacing w:before="0" w:after="240" w:line="240" w:lineRule="auto"/>
        <w:jc w:val="center"/>
        <w:rPr>
          <w:rFonts w:ascii="Times New Roman" w:eastAsia="Times New Roman" w:hAnsi="Times New Roman" w:cs="Times New Roman"/>
          <w:color w:val="auto"/>
          <w:lang w:eastAsia="ja-JP"/>
        </w:rPr>
      </w:pPr>
      <w:bookmarkStart w:id="122" w:name="_Toc183434040"/>
      <w:r w:rsidRPr="00A07F29">
        <w:rPr>
          <w:rFonts w:ascii="Times New Roman" w:eastAsia="Times New Roman" w:hAnsi="Times New Roman" w:cs="Times New Roman"/>
          <w:color w:val="auto"/>
          <w:lang w:eastAsia="ja-JP"/>
        </w:rPr>
        <w:lastRenderedPageBreak/>
        <w:t>IZMANTOTIE INFORMĀCIJAS AVOTI</w:t>
      </w:r>
      <w:bookmarkEnd w:id="122"/>
    </w:p>
    <w:p w14:paraId="2E415757" w14:textId="5A445445" w:rsidR="00B62A91" w:rsidRPr="0014151A" w:rsidRDefault="00B62A91" w:rsidP="00B62A91">
      <w:pPr>
        <w:numPr>
          <w:ilvl w:val="0"/>
          <w:numId w:val="31"/>
        </w:numPr>
        <w:spacing w:after="0" w:line="240" w:lineRule="auto"/>
        <w:ind w:left="924" w:hanging="357"/>
        <w:jc w:val="both"/>
        <w:rPr>
          <w:rFonts w:ascii="Times New Roman" w:eastAsia="Times New Roman" w:hAnsi="Times New Roman" w:cs="Times New Roman"/>
          <w:kern w:val="2"/>
          <w:sz w:val="24"/>
          <w:szCs w:val="24"/>
          <w:lang w:eastAsia="zh-CN" w:bidi="hi-IN"/>
        </w:rPr>
      </w:pPr>
      <w:bookmarkStart w:id="123" w:name="_Hlk45194626"/>
      <w:r w:rsidRPr="0014151A">
        <w:rPr>
          <w:rFonts w:ascii="Times New Roman" w:eastAsia="Times New Roman" w:hAnsi="Times New Roman" w:cs="Times New Roman"/>
          <w:kern w:val="2"/>
          <w:sz w:val="24"/>
          <w:szCs w:val="24"/>
          <w:lang w:eastAsia="zh-CN" w:bidi="hi-IN"/>
        </w:rPr>
        <w:t xml:space="preserve">Āboliņa A. 1968. </w:t>
      </w:r>
      <w:proofErr w:type="spellStart"/>
      <w:r w:rsidRPr="0014151A">
        <w:rPr>
          <w:rFonts w:ascii="Times New Roman" w:eastAsia="Times New Roman" w:hAnsi="Times New Roman" w:cs="Times New Roman"/>
          <w:kern w:val="2"/>
          <w:sz w:val="24"/>
          <w:szCs w:val="24"/>
          <w:lang w:eastAsia="zh-CN" w:bidi="hi-IN"/>
        </w:rPr>
        <w:t>Die</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Laubmoose</w:t>
      </w:r>
      <w:proofErr w:type="spellEnd"/>
      <w:r w:rsidRPr="0014151A">
        <w:rPr>
          <w:rFonts w:ascii="Times New Roman" w:eastAsia="Times New Roman" w:hAnsi="Times New Roman" w:cs="Times New Roman"/>
          <w:kern w:val="2"/>
          <w:sz w:val="24"/>
          <w:szCs w:val="24"/>
          <w:lang w:eastAsia="zh-CN" w:bidi="hi-IN"/>
        </w:rPr>
        <w:t xml:space="preserve"> der </w:t>
      </w:r>
      <w:proofErr w:type="spellStart"/>
      <w:r w:rsidRPr="0014151A">
        <w:rPr>
          <w:rFonts w:ascii="Times New Roman" w:eastAsia="Times New Roman" w:hAnsi="Times New Roman" w:cs="Times New Roman"/>
          <w:kern w:val="2"/>
          <w:sz w:val="24"/>
          <w:szCs w:val="24"/>
          <w:lang w:eastAsia="zh-CN" w:bidi="hi-IN"/>
        </w:rPr>
        <w:t>Lettischen</w:t>
      </w:r>
      <w:proofErr w:type="spellEnd"/>
      <w:r w:rsidRPr="0014151A">
        <w:rPr>
          <w:rFonts w:ascii="Times New Roman" w:eastAsia="Times New Roman" w:hAnsi="Times New Roman" w:cs="Times New Roman"/>
          <w:kern w:val="2"/>
          <w:sz w:val="24"/>
          <w:szCs w:val="24"/>
          <w:lang w:eastAsia="zh-CN" w:bidi="hi-IN"/>
        </w:rPr>
        <w:t xml:space="preserve"> SSR. – Rīga: Zinātne. – 332 S. (krievu val.)</w:t>
      </w:r>
    </w:p>
    <w:p w14:paraId="262FC786" w14:textId="0A61BD73" w:rsidR="00B62A91" w:rsidRPr="0014151A" w:rsidRDefault="00B62A91" w:rsidP="00B62A91">
      <w:pPr>
        <w:numPr>
          <w:ilvl w:val="0"/>
          <w:numId w:val="31"/>
        </w:numPr>
        <w:spacing w:after="0" w:line="240" w:lineRule="auto"/>
        <w:ind w:left="924" w:hanging="357"/>
        <w:jc w:val="both"/>
        <w:rPr>
          <w:rFonts w:ascii="Times New Roman" w:eastAsia="Times New Roman" w:hAnsi="Times New Roman" w:cs="Times New Roman"/>
          <w:kern w:val="2"/>
          <w:sz w:val="24"/>
          <w:szCs w:val="24"/>
          <w:lang w:eastAsia="zh-CN" w:bidi="hi-IN"/>
        </w:rPr>
      </w:pPr>
      <w:r w:rsidRPr="0014151A">
        <w:rPr>
          <w:rFonts w:ascii="Times New Roman" w:eastAsia="Times New Roman" w:hAnsi="Times New Roman" w:cs="Times New Roman"/>
          <w:kern w:val="2"/>
          <w:sz w:val="24"/>
          <w:szCs w:val="24"/>
          <w:lang w:eastAsia="zh-CN" w:bidi="hi-IN"/>
        </w:rPr>
        <w:t>Āboliņa A. 1994. Latvijas retās un aizsargājamās sūnas// Vides aizsardzība Latvijā. Rīga: Latvijas VARAM Vides problēmu analīzes centrs. – 24 lpp.</w:t>
      </w:r>
    </w:p>
    <w:p w14:paraId="2351589F" w14:textId="3742D9C3" w:rsidR="00204B25" w:rsidRPr="0014151A" w:rsidRDefault="00204B25" w:rsidP="00204B25">
      <w:pPr>
        <w:numPr>
          <w:ilvl w:val="0"/>
          <w:numId w:val="31"/>
        </w:numPr>
        <w:spacing w:after="0" w:line="240" w:lineRule="auto"/>
        <w:jc w:val="both"/>
        <w:rPr>
          <w:rFonts w:ascii="Times New Roman" w:eastAsia="Times New Roman" w:hAnsi="Times New Roman" w:cs="Times New Roman"/>
          <w:kern w:val="2"/>
          <w:sz w:val="24"/>
          <w:szCs w:val="24"/>
          <w:lang w:eastAsia="zh-CN" w:bidi="hi-IN"/>
        </w:rPr>
      </w:pPr>
      <w:r w:rsidRPr="0014151A">
        <w:rPr>
          <w:rFonts w:ascii="Times New Roman" w:eastAsia="Times New Roman" w:hAnsi="Times New Roman" w:cs="Times New Roman"/>
          <w:kern w:val="2"/>
          <w:sz w:val="24"/>
          <w:szCs w:val="24"/>
          <w:lang w:eastAsia="zh-CN" w:bidi="hi-IN"/>
        </w:rPr>
        <w:t xml:space="preserve">Āboliņa A., </w:t>
      </w:r>
      <w:proofErr w:type="spellStart"/>
      <w:r w:rsidRPr="0014151A">
        <w:rPr>
          <w:rFonts w:ascii="Times New Roman" w:eastAsia="Times New Roman" w:hAnsi="Times New Roman" w:cs="Times New Roman"/>
          <w:kern w:val="2"/>
          <w:sz w:val="24"/>
          <w:szCs w:val="24"/>
          <w:lang w:eastAsia="zh-CN" w:bidi="hi-IN"/>
        </w:rPr>
        <w:t>Piterāns</w:t>
      </w:r>
      <w:proofErr w:type="spellEnd"/>
      <w:r w:rsidRPr="0014151A">
        <w:rPr>
          <w:rFonts w:ascii="Times New Roman" w:eastAsia="Times New Roman" w:hAnsi="Times New Roman" w:cs="Times New Roman"/>
          <w:kern w:val="2"/>
          <w:sz w:val="24"/>
          <w:szCs w:val="24"/>
          <w:lang w:eastAsia="zh-CN" w:bidi="hi-IN"/>
        </w:rPr>
        <w:t xml:space="preserve"> A. </w:t>
      </w:r>
      <w:proofErr w:type="spellStart"/>
      <w:r w:rsidRPr="0014151A">
        <w:rPr>
          <w:rFonts w:ascii="Times New Roman" w:eastAsia="Times New Roman" w:hAnsi="Times New Roman" w:cs="Times New Roman"/>
          <w:kern w:val="2"/>
          <w:sz w:val="24"/>
          <w:szCs w:val="24"/>
          <w:lang w:eastAsia="zh-CN" w:bidi="hi-IN"/>
        </w:rPr>
        <w:t>and</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Bambe</w:t>
      </w:r>
      <w:proofErr w:type="spellEnd"/>
      <w:r w:rsidRPr="0014151A">
        <w:rPr>
          <w:rFonts w:ascii="Times New Roman" w:eastAsia="Times New Roman" w:hAnsi="Times New Roman" w:cs="Times New Roman"/>
          <w:kern w:val="2"/>
          <w:sz w:val="24"/>
          <w:szCs w:val="24"/>
          <w:lang w:eastAsia="zh-CN" w:bidi="hi-IN"/>
        </w:rPr>
        <w:t xml:space="preserve"> B. 2015. </w:t>
      </w:r>
      <w:proofErr w:type="spellStart"/>
      <w:r w:rsidRPr="0014151A">
        <w:rPr>
          <w:rFonts w:ascii="Times New Roman" w:eastAsia="Times New Roman" w:hAnsi="Times New Roman" w:cs="Times New Roman"/>
          <w:kern w:val="2"/>
          <w:sz w:val="24"/>
          <w:szCs w:val="24"/>
          <w:lang w:eastAsia="zh-CN" w:bidi="hi-IN"/>
        </w:rPr>
        <w:t>Lichens</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and</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bryophytes</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in</w:t>
      </w:r>
      <w:proofErr w:type="spellEnd"/>
      <w:r w:rsidRPr="0014151A">
        <w:rPr>
          <w:rFonts w:ascii="Times New Roman" w:eastAsia="Times New Roman" w:hAnsi="Times New Roman" w:cs="Times New Roman"/>
          <w:kern w:val="2"/>
          <w:sz w:val="24"/>
          <w:szCs w:val="24"/>
          <w:lang w:eastAsia="zh-CN" w:bidi="hi-IN"/>
        </w:rPr>
        <w:t xml:space="preserve"> Latvia. </w:t>
      </w:r>
      <w:proofErr w:type="spellStart"/>
      <w:r w:rsidRPr="0014151A">
        <w:rPr>
          <w:rFonts w:ascii="Times New Roman" w:eastAsia="Times New Roman" w:hAnsi="Times New Roman" w:cs="Times New Roman"/>
          <w:kern w:val="2"/>
          <w:sz w:val="24"/>
          <w:szCs w:val="24"/>
          <w:lang w:eastAsia="zh-CN" w:bidi="hi-IN"/>
        </w:rPr>
        <w:t>Checklist</w:t>
      </w:r>
      <w:proofErr w:type="spellEnd"/>
      <w:r w:rsidRPr="0014151A">
        <w:rPr>
          <w:rFonts w:ascii="Times New Roman" w:eastAsia="Times New Roman" w:hAnsi="Times New Roman" w:cs="Times New Roman"/>
          <w:kern w:val="2"/>
          <w:sz w:val="24"/>
          <w:szCs w:val="24"/>
          <w:lang w:eastAsia="zh-CN" w:bidi="hi-IN"/>
        </w:rPr>
        <w:t>.</w:t>
      </w:r>
      <w:r w:rsidRPr="0014151A">
        <w:rPr>
          <w:rFonts w:ascii="TimesNewRoman" w:hAnsi="TimesNewRoman" w:cs="TimesNewRoman"/>
          <w:sz w:val="24"/>
          <w:szCs w:val="24"/>
        </w:rPr>
        <w:t xml:space="preserve"> </w:t>
      </w:r>
      <w:r w:rsidRPr="0014151A">
        <w:rPr>
          <w:rFonts w:ascii="Times New Roman" w:eastAsia="Times New Roman" w:hAnsi="Times New Roman" w:cs="Times New Roman"/>
          <w:kern w:val="2"/>
          <w:sz w:val="24"/>
          <w:szCs w:val="24"/>
          <w:lang w:eastAsia="zh-CN" w:bidi="hi-IN"/>
        </w:rPr>
        <w:t>Latvijas Valsts mežzinātnes institūts “Silava”. – DU AA Saule (</w:t>
      </w:r>
      <w:proofErr w:type="spellStart"/>
      <w:r w:rsidRPr="0014151A">
        <w:rPr>
          <w:rFonts w:ascii="Times New Roman" w:eastAsia="Times New Roman" w:hAnsi="Times New Roman" w:cs="Times New Roman"/>
          <w:kern w:val="2"/>
          <w:sz w:val="24"/>
          <w:szCs w:val="24"/>
          <w:lang w:eastAsia="zh-CN" w:bidi="hi-IN"/>
        </w:rPr>
        <w:t>in</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Latvian</w:t>
      </w:r>
      <w:proofErr w:type="spellEnd"/>
      <w:r w:rsidRPr="0014151A">
        <w:rPr>
          <w:rFonts w:ascii="Times New Roman" w:eastAsia="Times New Roman" w:hAnsi="Times New Roman" w:cs="Times New Roman"/>
          <w:kern w:val="2"/>
          <w:sz w:val="24"/>
          <w:szCs w:val="24"/>
          <w:lang w:eastAsia="zh-CN" w:bidi="hi-IN"/>
        </w:rPr>
        <w:t>).</w:t>
      </w:r>
    </w:p>
    <w:p w14:paraId="6C3F0445" w14:textId="619318E9" w:rsidR="00204B25" w:rsidRPr="0014151A" w:rsidRDefault="00204B25" w:rsidP="00204B25">
      <w:pPr>
        <w:numPr>
          <w:ilvl w:val="0"/>
          <w:numId w:val="31"/>
        </w:numPr>
        <w:spacing w:after="0" w:line="240" w:lineRule="auto"/>
        <w:jc w:val="both"/>
        <w:rPr>
          <w:rFonts w:ascii="Times New Roman" w:eastAsia="Times New Roman" w:hAnsi="Times New Roman" w:cs="Times New Roman"/>
          <w:kern w:val="2"/>
          <w:sz w:val="24"/>
          <w:szCs w:val="24"/>
          <w:lang w:eastAsia="zh-CN" w:bidi="hi-IN"/>
        </w:rPr>
      </w:pPr>
      <w:r w:rsidRPr="0014151A">
        <w:rPr>
          <w:rFonts w:ascii="Times New Roman" w:eastAsia="Times New Roman" w:hAnsi="Times New Roman" w:cs="Times New Roman"/>
          <w:kern w:val="2"/>
          <w:sz w:val="24"/>
          <w:szCs w:val="24"/>
          <w:lang w:eastAsia="zh-CN" w:bidi="hi-IN"/>
        </w:rPr>
        <w:t xml:space="preserve">Āboliņa A. </w:t>
      </w:r>
      <w:proofErr w:type="spellStart"/>
      <w:r w:rsidRPr="0014151A">
        <w:rPr>
          <w:rFonts w:ascii="Times New Roman" w:eastAsia="Times New Roman" w:hAnsi="Times New Roman" w:cs="Times New Roman"/>
          <w:kern w:val="2"/>
          <w:sz w:val="24"/>
          <w:szCs w:val="24"/>
          <w:lang w:eastAsia="zh-CN" w:bidi="hi-IN"/>
        </w:rPr>
        <w:t>and</w:t>
      </w:r>
      <w:proofErr w:type="spellEnd"/>
      <w:r w:rsidRPr="0014151A">
        <w:rPr>
          <w:rFonts w:ascii="Times New Roman" w:eastAsia="Times New Roman" w:hAnsi="Times New Roman" w:cs="Times New Roman"/>
          <w:kern w:val="2"/>
          <w:sz w:val="24"/>
          <w:szCs w:val="24"/>
          <w:lang w:eastAsia="zh-CN" w:bidi="hi-IN"/>
        </w:rPr>
        <w:t xml:space="preserve"> Vimba E. 1959. Latvijas PSR Mežu ķērpju un sūnu noteicējs. – Latvijas valsts</w:t>
      </w:r>
      <w:r w:rsidRPr="0014151A">
        <w:rPr>
          <w:rFonts w:ascii="TimesNewRoman" w:hAnsi="TimesNewRoman" w:cs="TimesNewRoman"/>
          <w:sz w:val="24"/>
          <w:szCs w:val="24"/>
        </w:rPr>
        <w:t xml:space="preserve"> </w:t>
      </w:r>
      <w:r w:rsidRPr="0014151A">
        <w:rPr>
          <w:rFonts w:ascii="Times New Roman" w:eastAsia="Times New Roman" w:hAnsi="Times New Roman" w:cs="Times New Roman"/>
          <w:kern w:val="2"/>
          <w:sz w:val="24"/>
          <w:szCs w:val="24"/>
          <w:lang w:eastAsia="zh-CN" w:bidi="hi-IN"/>
        </w:rPr>
        <w:t>izdevniecība.</w:t>
      </w:r>
    </w:p>
    <w:p w14:paraId="38E28DEE" w14:textId="4DCBB651" w:rsidR="00260499" w:rsidRPr="0014151A" w:rsidRDefault="00204B25" w:rsidP="00725097">
      <w:pPr>
        <w:numPr>
          <w:ilvl w:val="0"/>
          <w:numId w:val="31"/>
        </w:numPr>
        <w:spacing w:after="0" w:line="240" w:lineRule="auto"/>
        <w:ind w:left="924" w:hanging="357"/>
        <w:jc w:val="both"/>
        <w:rPr>
          <w:rFonts w:ascii="Times New Roman" w:eastAsia="Times New Roman" w:hAnsi="Times New Roman" w:cs="Times New Roman"/>
          <w:kern w:val="2"/>
          <w:sz w:val="24"/>
          <w:szCs w:val="24"/>
          <w:lang w:eastAsia="zh-CN" w:bidi="hi-IN"/>
        </w:rPr>
      </w:pPr>
      <w:r w:rsidRPr="0014151A">
        <w:rPr>
          <w:rFonts w:ascii="Times New Roman" w:eastAsia="Times New Roman" w:hAnsi="Times New Roman" w:cs="Times New Roman"/>
          <w:color w:val="000000"/>
          <w:kern w:val="2"/>
          <w:sz w:val="24"/>
          <w:szCs w:val="24"/>
          <w:lang w:eastAsia="ja-JP" w:bidi="hi-IN"/>
        </w:rPr>
        <w:t>Āboltiņš</w:t>
      </w:r>
      <w:r w:rsidR="00260499" w:rsidRPr="0014151A">
        <w:rPr>
          <w:rFonts w:ascii="Times New Roman" w:eastAsia="Times New Roman" w:hAnsi="Times New Roman" w:cs="Times New Roman"/>
          <w:color w:val="000000"/>
          <w:kern w:val="2"/>
          <w:sz w:val="24"/>
          <w:szCs w:val="24"/>
          <w:lang w:eastAsia="ja-JP" w:bidi="hi-IN"/>
        </w:rPr>
        <w:t xml:space="preserve"> O. 1989. </w:t>
      </w:r>
      <w:proofErr w:type="spellStart"/>
      <w:r w:rsidR="00260499" w:rsidRPr="0014151A">
        <w:rPr>
          <w:rFonts w:ascii="Times New Roman" w:eastAsia="Times New Roman" w:hAnsi="Times New Roman" w:cs="Times New Roman"/>
          <w:i/>
          <w:iCs/>
          <w:color w:val="000000"/>
          <w:kern w:val="2"/>
          <w:sz w:val="24"/>
          <w:szCs w:val="24"/>
          <w:lang w:eastAsia="ja-JP" w:bidi="hi-IN"/>
        </w:rPr>
        <w:t>Glaciostruktura</w:t>
      </w:r>
      <w:proofErr w:type="spellEnd"/>
      <w:r w:rsidR="00260499" w:rsidRPr="0014151A">
        <w:rPr>
          <w:rFonts w:ascii="Times New Roman" w:eastAsia="Times New Roman" w:hAnsi="Times New Roman" w:cs="Times New Roman"/>
          <w:i/>
          <w:iCs/>
          <w:color w:val="000000"/>
          <w:kern w:val="2"/>
          <w:sz w:val="24"/>
          <w:szCs w:val="24"/>
          <w:lang w:eastAsia="ja-JP" w:bidi="hi-IN"/>
        </w:rPr>
        <w:t xml:space="preserve"> i </w:t>
      </w:r>
      <w:proofErr w:type="spellStart"/>
      <w:r w:rsidR="00260499" w:rsidRPr="0014151A">
        <w:rPr>
          <w:rFonts w:ascii="Times New Roman" w:eastAsia="Times New Roman" w:hAnsi="Times New Roman" w:cs="Times New Roman"/>
          <w:i/>
          <w:iCs/>
          <w:color w:val="000000"/>
          <w:kern w:val="2"/>
          <w:sz w:val="24"/>
          <w:szCs w:val="24"/>
          <w:lang w:eastAsia="ja-JP" w:bidi="hi-IN"/>
        </w:rPr>
        <w:t>lednikovij</w:t>
      </w:r>
      <w:proofErr w:type="spellEnd"/>
      <w:r w:rsidR="00260499" w:rsidRPr="0014151A">
        <w:rPr>
          <w:rFonts w:ascii="Times New Roman" w:eastAsia="Times New Roman" w:hAnsi="Times New Roman" w:cs="Times New Roman"/>
          <w:i/>
          <w:iCs/>
          <w:color w:val="000000"/>
          <w:kern w:val="2"/>
          <w:sz w:val="24"/>
          <w:szCs w:val="24"/>
          <w:lang w:eastAsia="ja-JP" w:bidi="hi-IN"/>
        </w:rPr>
        <w:t xml:space="preserve"> </w:t>
      </w:r>
      <w:proofErr w:type="spellStart"/>
      <w:r w:rsidR="00260499" w:rsidRPr="0014151A">
        <w:rPr>
          <w:rFonts w:ascii="Times New Roman" w:eastAsia="Times New Roman" w:hAnsi="Times New Roman" w:cs="Times New Roman"/>
          <w:i/>
          <w:iCs/>
          <w:color w:val="000000"/>
          <w:kern w:val="2"/>
          <w:sz w:val="24"/>
          <w:szCs w:val="24"/>
          <w:lang w:eastAsia="ja-JP" w:bidi="hi-IN"/>
        </w:rPr>
        <w:t>morfogenez</w:t>
      </w:r>
      <w:proofErr w:type="spellEnd"/>
      <w:r w:rsidR="00260499" w:rsidRPr="0014151A">
        <w:rPr>
          <w:rFonts w:ascii="Times New Roman" w:eastAsia="Times New Roman" w:hAnsi="Times New Roman" w:cs="Times New Roman"/>
          <w:color w:val="000000"/>
          <w:kern w:val="2"/>
          <w:sz w:val="24"/>
          <w:szCs w:val="24"/>
          <w:lang w:eastAsia="ja-JP" w:bidi="hi-IN"/>
        </w:rPr>
        <w:t xml:space="preserve">. Zinātne, Rīga, 286 </w:t>
      </w:r>
      <w:proofErr w:type="spellStart"/>
      <w:r w:rsidR="00260499" w:rsidRPr="0014151A">
        <w:rPr>
          <w:rFonts w:ascii="Times New Roman" w:eastAsia="Times New Roman" w:hAnsi="Times New Roman" w:cs="Times New Roman"/>
          <w:color w:val="000000"/>
          <w:kern w:val="2"/>
          <w:sz w:val="24"/>
          <w:szCs w:val="24"/>
          <w:lang w:eastAsia="ja-JP" w:bidi="hi-IN"/>
        </w:rPr>
        <w:t>pp</w:t>
      </w:r>
      <w:proofErr w:type="spellEnd"/>
      <w:r w:rsidR="00260499" w:rsidRPr="0014151A">
        <w:rPr>
          <w:rFonts w:ascii="Times New Roman" w:eastAsia="Times New Roman" w:hAnsi="Times New Roman" w:cs="Times New Roman"/>
          <w:color w:val="000000"/>
          <w:kern w:val="2"/>
          <w:sz w:val="24"/>
          <w:szCs w:val="24"/>
          <w:lang w:eastAsia="ja-JP" w:bidi="hi-IN"/>
        </w:rPr>
        <w:t>. (krievu val.)</w:t>
      </w:r>
      <w:r w:rsidR="00C67775" w:rsidRPr="0014151A">
        <w:rPr>
          <w:rFonts w:ascii="Times New Roman" w:eastAsia="Times New Roman" w:hAnsi="Times New Roman" w:cs="Times New Roman"/>
          <w:color w:val="000000"/>
          <w:kern w:val="2"/>
          <w:sz w:val="24"/>
          <w:szCs w:val="24"/>
          <w:lang w:eastAsia="ja-JP" w:bidi="hi-IN"/>
        </w:rPr>
        <w:t>.</w:t>
      </w:r>
    </w:p>
    <w:p w14:paraId="666BBF65" w14:textId="1B1E19D8" w:rsidR="00260499" w:rsidRPr="0014151A" w:rsidRDefault="00260499" w:rsidP="00725097">
      <w:pPr>
        <w:numPr>
          <w:ilvl w:val="0"/>
          <w:numId w:val="31"/>
        </w:numPr>
        <w:tabs>
          <w:tab w:val="left" w:pos="426"/>
        </w:tabs>
        <w:spacing w:after="0" w:line="240" w:lineRule="auto"/>
        <w:ind w:left="924" w:hanging="357"/>
        <w:jc w:val="both"/>
        <w:rPr>
          <w:rFonts w:ascii="Times New Roman" w:eastAsia="Times New Roman" w:hAnsi="Times New Roman" w:cs="Times New Roman"/>
          <w:kern w:val="2"/>
          <w:sz w:val="24"/>
          <w:szCs w:val="24"/>
          <w:lang w:eastAsia="zh-CN" w:bidi="hi-IN"/>
        </w:rPr>
      </w:pPr>
      <w:r w:rsidRPr="0014151A">
        <w:rPr>
          <w:rFonts w:ascii="Times New Roman" w:eastAsia="Times New Roman" w:hAnsi="Times New Roman" w:cs="Times New Roman"/>
          <w:kern w:val="2"/>
          <w:sz w:val="24"/>
          <w:szCs w:val="24"/>
          <w:lang w:eastAsia="zh-CN" w:bidi="hi-IN"/>
        </w:rPr>
        <w:t xml:space="preserve">Āboltiņš O. 1994a. Augšdaugavas pazeminājums. </w:t>
      </w:r>
      <w:proofErr w:type="spellStart"/>
      <w:r w:rsidRPr="0014151A">
        <w:rPr>
          <w:rFonts w:ascii="Times New Roman" w:eastAsia="Times New Roman" w:hAnsi="Times New Roman" w:cs="Times New Roman"/>
          <w:kern w:val="2"/>
          <w:sz w:val="24"/>
          <w:szCs w:val="24"/>
          <w:lang w:eastAsia="zh-CN" w:bidi="hi-IN"/>
        </w:rPr>
        <w:t>Grām</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Kavacs</w:t>
      </w:r>
      <w:proofErr w:type="spellEnd"/>
      <w:r w:rsidRPr="0014151A">
        <w:rPr>
          <w:rFonts w:ascii="Times New Roman" w:eastAsia="Times New Roman" w:hAnsi="Times New Roman" w:cs="Times New Roman"/>
          <w:kern w:val="2"/>
          <w:sz w:val="24"/>
          <w:szCs w:val="24"/>
          <w:lang w:eastAsia="zh-CN" w:bidi="hi-IN"/>
        </w:rPr>
        <w:t xml:space="preserve"> G. (</w:t>
      </w:r>
      <w:proofErr w:type="spellStart"/>
      <w:r w:rsidRPr="0014151A">
        <w:rPr>
          <w:rFonts w:ascii="Times New Roman" w:eastAsia="Times New Roman" w:hAnsi="Times New Roman" w:cs="Times New Roman"/>
          <w:kern w:val="2"/>
          <w:sz w:val="24"/>
          <w:szCs w:val="24"/>
          <w:lang w:eastAsia="zh-CN" w:bidi="hi-IN"/>
        </w:rPr>
        <w:t>ed</w:t>
      </w:r>
      <w:proofErr w:type="spellEnd"/>
      <w:r w:rsidRPr="0014151A">
        <w:rPr>
          <w:rFonts w:ascii="Times New Roman" w:eastAsia="Times New Roman" w:hAnsi="Times New Roman" w:cs="Times New Roman"/>
          <w:kern w:val="2"/>
          <w:sz w:val="24"/>
          <w:szCs w:val="24"/>
          <w:lang w:eastAsia="zh-CN" w:bidi="hi-IN"/>
        </w:rPr>
        <w:t xml:space="preserve">), </w:t>
      </w:r>
      <w:r w:rsidRPr="0014151A">
        <w:rPr>
          <w:rFonts w:ascii="Times New Roman" w:eastAsia="Times New Roman" w:hAnsi="Times New Roman" w:cs="Times New Roman"/>
          <w:i/>
          <w:iCs/>
          <w:kern w:val="2"/>
          <w:sz w:val="24"/>
          <w:szCs w:val="24"/>
          <w:lang w:eastAsia="zh-CN" w:bidi="hi-IN"/>
        </w:rPr>
        <w:t>Enciklopēdija "Latvija un latvieši". Latvijas daba</w:t>
      </w:r>
      <w:r w:rsidRPr="0014151A">
        <w:rPr>
          <w:rFonts w:ascii="Times New Roman" w:eastAsia="Times New Roman" w:hAnsi="Times New Roman" w:cs="Times New Roman"/>
          <w:kern w:val="2"/>
          <w:sz w:val="24"/>
          <w:szCs w:val="24"/>
          <w:lang w:eastAsia="zh-CN" w:bidi="hi-IN"/>
        </w:rPr>
        <w:t>. 1. sēj. Latvijas enciklopēdija, Rīga, 86.-87.lpp.</w:t>
      </w:r>
    </w:p>
    <w:p w14:paraId="4E9A8106" w14:textId="6CD233D4" w:rsidR="00260499" w:rsidRPr="0014151A" w:rsidRDefault="00260499" w:rsidP="00725097">
      <w:pPr>
        <w:numPr>
          <w:ilvl w:val="0"/>
          <w:numId w:val="31"/>
        </w:numPr>
        <w:tabs>
          <w:tab w:val="left" w:pos="426"/>
        </w:tabs>
        <w:spacing w:after="0" w:line="240" w:lineRule="auto"/>
        <w:ind w:left="924" w:hanging="357"/>
        <w:jc w:val="both"/>
        <w:rPr>
          <w:rFonts w:ascii="Times New Roman" w:eastAsia="Times New Roman" w:hAnsi="Times New Roman" w:cs="Times New Roman"/>
          <w:kern w:val="2"/>
          <w:sz w:val="24"/>
          <w:szCs w:val="24"/>
          <w:lang w:eastAsia="zh-CN" w:bidi="hi-IN"/>
        </w:rPr>
      </w:pPr>
      <w:r w:rsidRPr="0014151A">
        <w:rPr>
          <w:rFonts w:ascii="Times New Roman" w:eastAsia="Times New Roman" w:hAnsi="Times New Roman" w:cs="Times New Roman"/>
          <w:kern w:val="2"/>
          <w:sz w:val="24"/>
          <w:szCs w:val="24"/>
          <w:lang w:eastAsia="zh-CN" w:bidi="hi-IN"/>
        </w:rPr>
        <w:t xml:space="preserve">Āboltiņš O. 1994b. Augšzemes augstiene. </w:t>
      </w:r>
      <w:proofErr w:type="spellStart"/>
      <w:r w:rsidRPr="0014151A">
        <w:rPr>
          <w:rFonts w:ascii="Times New Roman" w:eastAsia="Times New Roman" w:hAnsi="Times New Roman" w:cs="Times New Roman"/>
          <w:kern w:val="2"/>
          <w:sz w:val="24"/>
          <w:szCs w:val="24"/>
          <w:lang w:eastAsia="zh-CN" w:bidi="hi-IN"/>
        </w:rPr>
        <w:t>Grām</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Kavacs</w:t>
      </w:r>
      <w:proofErr w:type="spellEnd"/>
      <w:r w:rsidRPr="0014151A">
        <w:rPr>
          <w:rFonts w:ascii="Times New Roman" w:eastAsia="Times New Roman" w:hAnsi="Times New Roman" w:cs="Times New Roman"/>
          <w:kern w:val="2"/>
          <w:sz w:val="24"/>
          <w:szCs w:val="24"/>
          <w:lang w:eastAsia="zh-CN" w:bidi="hi-IN"/>
        </w:rPr>
        <w:t xml:space="preserve"> G. (</w:t>
      </w:r>
      <w:proofErr w:type="spellStart"/>
      <w:r w:rsidRPr="0014151A">
        <w:rPr>
          <w:rFonts w:ascii="Times New Roman" w:eastAsia="Times New Roman" w:hAnsi="Times New Roman" w:cs="Times New Roman"/>
          <w:kern w:val="2"/>
          <w:sz w:val="24"/>
          <w:szCs w:val="24"/>
          <w:lang w:eastAsia="zh-CN" w:bidi="hi-IN"/>
        </w:rPr>
        <w:t>ed</w:t>
      </w:r>
      <w:proofErr w:type="spellEnd"/>
      <w:r w:rsidRPr="0014151A">
        <w:rPr>
          <w:rFonts w:ascii="Times New Roman" w:eastAsia="Times New Roman" w:hAnsi="Times New Roman" w:cs="Times New Roman"/>
          <w:kern w:val="2"/>
          <w:sz w:val="24"/>
          <w:szCs w:val="24"/>
          <w:lang w:eastAsia="zh-CN" w:bidi="hi-IN"/>
        </w:rPr>
        <w:t xml:space="preserve">), </w:t>
      </w:r>
      <w:r w:rsidRPr="0014151A">
        <w:rPr>
          <w:rFonts w:ascii="Times New Roman" w:eastAsia="Times New Roman" w:hAnsi="Times New Roman" w:cs="Times New Roman"/>
          <w:i/>
          <w:iCs/>
          <w:kern w:val="2"/>
          <w:sz w:val="24"/>
          <w:szCs w:val="24"/>
          <w:lang w:eastAsia="zh-CN" w:bidi="hi-IN"/>
        </w:rPr>
        <w:t>Enciklopēdija "Latvija un latvieši". Latvijas daba</w:t>
      </w:r>
      <w:r w:rsidRPr="0014151A">
        <w:rPr>
          <w:rFonts w:ascii="Times New Roman" w:eastAsia="Times New Roman" w:hAnsi="Times New Roman" w:cs="Times New Roman"/>
          <w:kern w:val="2"/>
          <w:sz w:val="24"/>
          <w:szCs w:val="24"/>
          <w:lang w:eastAsia="zh-CN" w:bidi="hi-IN"/>
        </w:rPr>
        <w:t>. 1. sēj. Latvijas enciklopēdija, Rīga, 91.-92.lpp.</w:t>
      </w:r>
    </w:p>
    <w:p w14:paraId="18549C46" w14:textId="571B4D57" w:rsidR="00260499" w:rsidRPr="0014151A" w:rsidRDefault="00260499" w:rsidP="00725097">
      <w:pPr>
        <w:numPr>
          <w:ilvl w:val="0"/>
          <w:numId w:val="31"/>
        </w:numPr>
        <w:tabs>
          <w:tab w:val="left" w:pos="426"/>
        </w:tabs>
        <w:spacing w:after="0" w:line="240" w:lineRule="auto"/>
        <w:ind w:left="924" w:hanging="357"/>
        <w:jc w:val="both"/>
        <w:rPr>
          <w:rFonts w:ascii="Times New Roman" w:eastAsia="Times New Roman" w:hAnsi="Times New Roman" w:cs="Times New Roman"/>
          <w:kern w:val="2"/>
          <w:sz w:val="24"/>
          <w:szCs w:val="24"/>
          <w:lang w:eastAsia="zh-CN" w:bidi="hi-IN"/>
        </w:rPr>
      </w:pPr>
      <w:r w:rsidRPr="0014151A">
        <w:rPr>
          <w:rFonts w:ascii="Times New Roman" w:eastAsia="Times New Roman" w:hAnsi="Times New Roman" w:cs="Times New Roman"/>
          <w:kern w:val="2"/>
          <w:sz w:val="24"/>
          <w:szCs w:val="24"/>
          <w:lang w:eastAsia="zh-CN" w:bidi="hi-IN"/>
        </w:rPr>
        <w:t xml:space="preserve">Āboltiņš O. 1995. Latgales augstiene. </w:t>
      </w:r>
      <w:proofErr w:type="spellStart"/>
      <w:r w:rsidRPr="0014151A">
        <w:rPr>
          <w:rFonts w:ascii="Times New Roman" w:eastAsia="Times New Roman" w:hAnsi="Times New Roman" w:cs="Times New Roman"/>
          <w:kern w:val="2"/>
          <w:sz w:val="24"/>
          <w:szCs w:val="24"/>
          <w:lang w:eastAsia="zh-CN" w:bidi="hi-IN"/>
        </w:rPr>
        <w:t>In</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Kavacs</w:t>
      </w:r>
      <w:proofErr w:type="spellEnd"/>
      <w:r w:rsidRPr="0014151A">
        <w:rPr>
          <w:rFonts w:ascii="Times New Roman" w:eastAsia="Times New Roman" w:hAnsi="Times New Roman" w:cs="Times New Roman"/>
          <w:kern w:val="2"/>
          <w:sz w:val="24"/>
          <w:szCs w:val="24"/>
          <w:lang w:eastAsia="zh-CN" w:bidi="hi-IN"/>
        </w:rPr>
        <w:t xml:space="preserve"> G. (</w:t>
      </w:r>
      <w:proofErr w:type="spellStart"/>
      <w:r w:rsidRPr="0014151A">
        <w:rPr>
          <w:rFonts w:ascii="Times New Roman" w:eastAsia="Times New Roman" w:hAnsi="Times New Roman" w:cs="Times New Roman"/>
          <w:kern w:val="2"/>
          <w:sz w:val="24"/>
          <w:szCs w:val="24"/>
          <w:lang w:eastAsia="zh-CN" w:bidi="hi-IN"/>
        </w:rPr>
        <w:t>ed</w:t>
      </w:r>
      <w:proofErr w:type="spellEnd"/>
      <w:r w:rsidRPr="0014151A">
        <w:rPr>
          <w:rFonts w:ascii="Times New Roman" w:eastAsia="Times New Roman" w:hAnsi="Times New Roman" w:cs="Times New Roman"/>
          <w:kern w:val="2"/>
          <w:sz w:val="24"/>
          <w:szCs w:val="24"/>
          <w:lang w:eastAsia="zh-CN" w:bidi="hi-IN"/>
        </w:rPr>
        <w:t xml:space="preserve">), </w:t>
      </w:r>
      <w:r w:rsidRPr="0014151A">
        <w:rPr>
          <w:rFonts w:ascii="Times New Roman" w:eastAsia="Times New Roman" w:hAnsi="Times New Roman" w:cs="Times New Roman"/>
          <w:i/>
          <w:iCs/>
          <w:kern w:val="2"/>
          <w:sz w:val="24"/>
          <w:szCs w:val="24"/>
          <w:lang w:eastAsia="zh-CN" w:bidi="hi-IN"/>
        </w:rPr>
        <w:t>Enciklopēdija "Latvija un latvieši". Latvijas daba</w:t>
      </w:r>
      <w:r w:rsidRPr="0014151A">
        <w:rPr>
          <w:rFonts w:ascii="Times New Roman" w:eastAsia="Times New Roman" w:hAnsi="Times New Roman" w:cs="Times New Roman"/>
          <w:kern w:val="2"/>
          <w:sz w:val="24"/>
          <w:szCs w:val="24"/>
          <w:lang w:eastAsia="zh-CN" w:bidi="hi-IN"/>
        </w:rPr>
        <w:t>. 3. sēj..</w:t>
      </w:r>
      <w:r w:rsidR="00D65BBA" w:rsidRPr="0014151A">
        <w:rPr>
          <w:rFonts w:ascii="Times New Roman" w:eastAsia="Times New Roman" w:hAnsi="Times New Roman" w:cs="Times New Roman"/>
          <w:kern w:val="2"/>
          <w:sz w:val="24"/>
          <w:szCs w:val="24"/>
          <w:lang w:eastAsia="zh-CN" w:bidi="hi-IN"/>
        </w:rPr>
        <w:t xml:space="preserve"> </w:t>
      </w:r>
      <w:r w:rsidRPr="0014151A">
        <w:rPr>
          <w:rFonts w:ascii="Times New Roman" w:eastAsia="Times New Roman" w:hAnsi="Times New Roman" w:cs="Times New Roman"/>
          <w:kern w:val="2"/>
          <w:sz w:val="24"/>
          <w:szCs w:val="24"/>
          <w:lang w:eastAsia="zh-CN" w:bidi="hi-IN"/>
        </w:rPr>
        <w:t>Latvijas enciklopēdija, Rīga, 87.-89.lpp.</w:t>
      </w:r>
    </w:p>
    <w:p w14:paraId="592B63E4" w14:textId="4672B2D6" w:rsidR="00260499" w:rsidRPr="0014151A" w:rsidRDefault="00260499" w:rsidP="00725097">
      <w:pPr>
        <w:numPr>
          <w:ilvl w:val="0"/>
          <w:numId w:val="31"/>
        </w:numPr>
        <w:spacing w:after="0" w:line="240" w:lineRule="auto"/>
        <w:ind w:left="924" w:hanging="357"/>
        <w:contextualSpacing/>
        <w:jc w:val="both"/>
        <w:rPr>
          <w:rFonts w:ascii="Times New Roman" w:eastAsia="Times New Roman" w:hAnsi="Times New Roman" w:cs="Times New Roman"/>
          <w:kern w:val="2"/>
          <w:sz w:val="24"/>
          <w:szCs w:val="24"/>
          <w:lang w:eastAsia="zh-CN" w:bidi="hi-IN"/>
        </w:rPr>
      </w:pPr>
      <w:r w:rsidRPr="0014151A">
        <w:rPr>
          <w:rFonts w:ascii="Times New Roman" w:eastAsia="Times New Roman" w:hAnsi="Times New Roman" w:cs="Times New Roman"/>
          <w:color w:val="000000"/>
          <w:kern w:val="2"/>
          <w:sz w:val="24"/>
          <w:szCs w:val="24"/>
          <w:lang w:eastAsia="ja-JP" w:bidi="hi-IN"/>
        </w:rPr>
        <w:t>AAA “Augšdaugava” pārvaldības plāns 2015. – 2027. gadam</w:t>
      </w:r>
      <w:r w:rsidR="00E54C07" w:rsidRPr="0014151A">
        <w:rPr>
          <w:rFonts w:ascii="Times New Roman" w:eastAsia="Times New Roman" w:hAnsi="Times New Roman" w:cs="Times New Roman"/>
          <w:color w:val="000000"/>
          <w:kern w:val="2"/>
          <w:sz w:val="24"/>
          <w:szCs w:val="24"/>
          <w:lang w:eastAsia="ja-JP" w:bidi="hi-IN"/>
        </w:rPr>
        <w:t>,</w:t>
      </w:r>
      <w:r w:rsidR="00677FE9" w:rsidRPr="0014151A">
        <w:rPr>
          <w:rFonts w:ascii="Times New Roman" w:eastAsia="Times New Roman" w:hAnsi="Times New Roman" w:cs="Times New Roman"/>
          <w:color w:val="000000"/>
          <w:kern w:val="2"/>
          <w:sz w:val="24"/>
          <w:szCs w:val="24"/>
          <w:lang w:eastAsia="ja-JP" w:bidi="hi-IN"/>
        </w:rPr>
        <w:t xml:space="preserve"> 2014.</w:t>
      </w:r>
      <w:r w:rsidRPr="0014151A">
        <w:rPr>
          <w:rFonts w:ascii="Times New Roman" w:eastAsia="Times New Roman" w:hAnsi="Times New Roman" w:cs="Times New Roman"/>
          <w:color w:val="000000"/>
          <w:kern w:val="2"/>
          <w:sz w:val="24"/>
          <w:szCs w:val="24"/>
          <w:lang w:eastAsia="ja-JP" w:bidi="hi-IN"/>
        </w:rPr>
        <w:t xml:space="preserve"> Dabas aizsardzības pārvalde. Daugavpils</w:t>
      </w:r>
      <w:r w:rsidR="00677FE9" w:rsidRPr="0014151A">
        <w:rPr>
          <w:rFonts w:ascii="Times New Roman" w:eastAsia="Times New Roman" w:hAnsi="Times New Roman" w:cs="Times New Roman"/>
          <w:color w:val="000000"/>
          <w:kern w:val="2"/>
          <w:sz w:val="24"/>
          <w:szCs w:val="24"/>
          <w:lang w:eastAsia="ja-JP" w:bidi="hi-IN"/>
        </w:rPr>
        <w:t>,</w:t>
      </w:r>
      <w:r w:rsidRPr="0014151A">
        <w:rPr>
          <w:rFonts w:ascii="Times New Roman" w:eastAsia="Times New Roman" w:hAnsi="Times New Roman" w:cs="Times New Roman"/>
          <w:color w:val="000000"/>
          <w:kern w:val="2"/>
          <w:sz w:val="24"/>
          <w:szCs w:val="24"/>
          <w:lang w:eastAsia="ja-JP" w:bidi="hi-IN"/>
        </w:rPr>
        <w:t xml:space="preserve"> 183</w:t>
      </w:r>
      <w:r w:rsidR="00677FE9" w:rsidRPr="0014151A">
        <w:rPr>
          <w:rFonts w:ascii="Times New Roman" w:eastAsia="Times New Roman" w:hAnsi="Times New Roman" w:cs="Times New Roman"/>
          <w:color w:val="000000"/>
          <w:kern w:val="2"/>
          <w:sz w:val="24"/>
          <w:szCs w:val="24"/>
          <w:lang w:eastAsia="ja-JP" w:bidi="hi-IN"/>
        </w:rPr>
        <w:t>.</w:t>
      </w:r>
    </w:p>
    <w:p w14:paraId="70A412AB" w14:textId="77777777" w:rsidR="00260499" w:rsidRPr="0014151A" w:rsidRDefault="00260499" w:rsidP="00725097">
      <w:pPr>
        <w:numPr>
          <w:ilvl w:val="0"/>
          <w:numId w:val="31"/>
        </w:numPr>
        <w:spacing w:after="0" w:line="240" w:lineRule="auto"/>
        <w:ind w:left="924" w:hanging="357"/>
        <w:jc w:val="both"/>
        <w:rPr>
          <w:rFonts w:ascii="Times New Roman" w:eastAsia="Times New Roman" w:hAnsi="Times New Roman" w:cs="Times New Roman"/>
          <w:kern w:val="2"/>
          <w:sz w:val="24"/>
          <w:szCs w:val="24"/>
          <w:lang w:eastAsia="zh-CN" w:bidi="hi-IN"/>
        </w:rPr>
      </w:pPr>
      <w:r w:rsidRPr="0014151A">
        <w:rPr>
          <w:rFonts w:ascii="Times New Roman" w:eastAsia="Times New Roman" w:hAnsi="Times New Roman" w:cs="Times New Roman"/>
          <w:color w:val="000000"/>
          <w:kern w:val="2"/>
          <w:sz w:val="24"/>
          <w:szCs w:val="24"/>
          <w:lang w:eastAsia="ja-JP" w:bidi="hi-IN"/>
        </w:rPr>
        <w:t>Andrušaitis G. (</w:t>
      </w:r>
      <w:proofErr w:type="spellStart"/>
      <w:r w:rsidRPr="0014151A">
        <w:rPr>
          <w:rFonts w:ascii="Times New Roman" w:eastAsia="Times New Roman" w:hAnsi="Times New Roman" w:cs="Times New Roman"/>
          <w:color w:val="000000"/>
          <w:kern w:val="2"/>
          <w:sz w:val="24"/>
          <w:szCs w:val="24"/>
          <w:lang w:eastAsia="ja-JP" w:bidi="hi-IN"/>
        </w:rPr>
        <w:t>red</w:t>
      </w:r>
      <w:proofErr w:type="spellEnd"/>
      <w:r w:rsidRPr="0014151A">
        <w:rPr>
          <w:rFonts w:ascii="Times New Roman" w:eastAsia="Times New Roman" w:hAnsi="Times New Roman" w:cs="Times New Roman"/>
          <w:color w:val="000000"/>
          <w:kern w:val="2"/>
          <w:sz w:val="24"/>
          <w:szCs w:val="24"/>
          <w:lang w:eastAsia="ja-JP" w:bidi="hi-IN"/>
        </w:rPr>
        <w:t xml:space="preserve">.) 2003. Latvijas sarkanā grāmata. 3. Sēj. </w:t>
      </w:r>
      <w:proofErr w:type="spellStart"/>
      <w:r w:rsidRPr="0014151A">
        <w:rPr>
          <w:rFonts w:ascii="Times New Roman" w:eastAsia="Times New Roman" w:hAnsi="Times New Roman" w:cs="Times New Roman"/>
          <w:color w:val="000000"/>
          <w:kern w:val="2"/>
          <w:sz w:val="24"/>
          <w:szCs w:val="24"/>
          <w:lang w:eastAsia="ja-JP" w:bidi="hi-IN"/>
        </w:rPr>
        <w:t>Vaskulārie</w:t>
      </w:r>
      <w:proofErr w:type="spellEnd"/>
      <w:r w:rsidRPr="0014151A">
        <w:rPr>
          <w:rFonts w:ascii="Times New Roman" w:eastAsia="Times New Roman" w:hAnsi="Times New Roman" w:cs="Times New Roman"/>
          <w:color w:val="000000"/>
          <w:kern w:val="2"/>
          <w:sz w:val="24"/>
          <w:szCs w:val="24"/>
          <w:lang w:eastAsia="ja-JP" w:bidi="hi-IN"/>
        </w:rPr>
        <w:t xml:space="preserve"> augi. Rīga.</w:t>
      </w:r>
    </w:p>
    <w:p w14:paraId="7A211FAF" w14:textId="4D72F03A" w:rsidR="000264F3" w:rsidRPr="0014151A" w:rsidRDefault="000264F3" w:rsidP="00725097">
      <w:pPr>
        <w:numPr>
          <w:ilvl w:val="0"/>
          <w:numId w:val="31"/>
        </w:numPr>
        <w:spacing w:after="0" w:line="240" w:lineRule="auto"/>
        <w:ind w:left="924" w:hanging="357"/>
        <w:jc w:val="both"/>
        <w:rPr>
          <w:rFonts w:ascii="Times New Roman" w:eastAsia="Times New Roman" w:hAnsi="Times New Roman" w:cs="Times New Roman"/>
          <w:kern w:val="2"/>
          <w:sz w:val="24"/>
          <w:szCs w:val="24"/>
          <w:lang w:eastAsia="zh-CN" w:bidi="hi-IN"/>
        </w:rPr>
      </w:pPr>
      <w:r w:rsidRPr="0014151A">
        <w:rPr>
          <w:rFonts w:ascii="Times New Roman" w:eastAsia="Times New Roman" w:hAnsi="Times New Roman" w:cs="Times New Roman"/>
          <w:kern w:val="2"/>
          <w:sz w:val="24"/>
          <w:szCs w:val="24"/>
          <w:lang w:eastAsia="zh-CN" w:bidi="hi-IN"/>
        </w:rPr>
        <w:t>Andrušaitis G. 1960. Zivju savairošana un aklimatizācija Latvijā – Gr.: Latvijas PSR iekšējo</w:t>
      </w:r>
      <w:r w:rsidRPr="0014151A">
        <w:rPr>
          <w:rFonts w:ascii="TimesNewRoman" w:hAnsi="TimesNewRoman" w:cs="TimesNewRoman"/>
          <w:sz w:val="24"/>
          <w:szCs w:val="24"/>
        </w:rPr>
        <w:t xml:space="preserve"> </w:t>
      </w:r>
      <w:r w:rsidRPr="0014151A">
        <w:rPr>
          <w:rFonts w:ascii="Times New Roman" w:eastAsia="Times New Roman" w:hAnsi="Times New Roman" w:cs="Times New Roman"/>
          <w:kern w:val="2"/>
          <w:sz w:val="24"/>
          <w:szCs w:val="24"/>
          <w:lang w:eastAsia="zh-CN" w:bidi="hi-IN"/>
        </w:rPr>
        <w:t>ūdeņu zivsaimniecība. – Rīga. – IV sēj. -27.- 41.-70. lpp.</w:t>
      </w:r>
    </w:p>
    <w:p w14:paraId="616D248D" w14:textId="77777777" w:rsidR="00260499" w:rsidRPr="00CF3C14" w:rsidRDefault="00260499" w:rsidP="00D01DBE">
      <w:pPr>
        <w:numPr>
          <w:ilvl w:val="0"/>
          <w:numId w:val="31"/>
        </w:numPr>
        <w:spacing w:after="0" w:line="240" w:lineRule="auto"/>
        <w:ind w:left="924" w:hanging="357"/>
        <w:jc w:val="both"/>
        <w:rPr>
          <w:rFonts w:ascii="Times New Roman" w:eastAsia="Times New Roman" w:hAnsi="Times New Roman" w:cs="Times New Roman"/>
          <w:kern w:val="2"/>
          <w:sz w:val="24"/>
          <w:szCs w:val="24"/>
          <w:lang w:eastAsia="zh-CN" w:bidi="hi-IN"/>
        </w:rPr>
      </w:pPr>
      <w:r w:rsidRPr="0014151A">
        <w:rPr>
          <w:rFonts w:ascii="Times New Roman" w:eastAsia="Times New Roman" w:hAnsi="Times New Roman" w:cs="Times New Roman"/>
          <w:color w:val="000000"/>
          <w:kern w:val="2"/>
          <w:sz w:val="24"/>
          <w:szCs w:val="24"/>
          <w:lang w:eastAsia="ja-JP" w:bidi="hi-IN"/>
        </w:rPr>
        <w:t>Auniņš A. (</w:t>
      </w:r>
      <w:proofErr w:type="spellStart"/>
      <w:r w:rsidRPr="0014151A">
        <w:rPr>
          <w:rFonts w:ascii="Times New Roman" w:eastAsia="Times New Roman" w:hAnsi="Times New Roman" w:cs="Times New Roman"/>
          <w:color w:val="000000"/>
          <w:kern w:val="2"/>
          <w:sz w:val="24"/>
          <w:szCs w:val="24"/>
          <w:lang w:eastAsia="ja-JP" w:bidi="hi-IN"/>
        </w:rPr>
        <w:t>red</w:t>
      </w:r>
      <w:proofErr w:type="spellEnd"/>
      <w:r w:rsidRPr="0014151A">
        <w:rPr>
          <w:rFonts w:ascii="Times New Roman" w:eastAsia="Times New Roman" w:hAnsi="Times New Roman" w:cs="Times New Roman"/>
          <w:color w:val="000000"/>
          <w:kern w:val="2"/>
          <w:sz w:val="24"/>
          <w:szCs w:val="24"/>
          <w:lang w:eastAsia="ja-JP" w:bidi="hi-IN"/>
        </w:rPr>
        <w:t>.) 2013. Eiropas Savienības aizsargājamie biotopi Latvijā. Noteikšanas grāmatas 2. precizētais izdevums. Rīga, 359 lpp.</w:t>
      </w:r>
    </w:p>
    <w:p w14:paraId="73BD9181" w14:textId="536A76F2" w:rsidR="00CF3C14" w:rsidRPr="00D01DBE" w:rsidRDefault="00D01DBE" w:rsidP="00D01DBE">
      <w:pPr>
        <w:pStyle w:val="ListParagraph"/>
        <w:numPr>
          <w:ilvl w:val="0"/>
          <w:numId w:val="31"/>
        </w:numPr>
        <w:spacing w:after="0" w:line="240" w:lineRule="auto"/>
        <w:rPr>
          <w:rFonts w:eastAsia="Times New Roman" w:cs="Times New Roman"/>
          <w:kern w:val="2"/>
          <w:szCs w:val="24"/>
          <w:lang w:eastAsia="zh-CN" w:bidi="hi-IN"/>
        </w:rPr>
      </w:pPr>
      <w:r w:rsidRPr="00D01DBE">
        <w:rPr>
          <w:rFonts w:eastAsia="Times New Roman" w:cs="Times New Roman"/>
          <w:kern w:val="2"/>
          <w:szCs w:val="24"/>
          <w:lang w:eastAsia="zh-CN" w:bidi="hi-IN"/>
        </w:rPr>
        <w:t>Auniņš</w:t>
      </w:r>
      <w:r>
        <w:rPr>
          <w:rFonts w:eastAsia="Times New Roman" w:cs="Times New Roman"/>
          <w:kern w:val="2"/>
          <w:szCs w:val="24"/>
          <w:lang w:eastAsia="zh-CN" w:bidi="hi-IN"/>
        </w:rPr>
        <w:t xml:space="preserve"> A.</w:t>
      </w:r>
      <w:r w:rsidRPr="00D01DBE">
        <w:rPr>
          <w:rFonts w:eastAsia="Times New Roman" w:cs="Times New Roman"/>
          <w:kern w:val="2"/>
          <w:szCs w:val="24"/>
          <w:lang w:eastAsia="zh-CN" w:bidi="hi-IN"/>
        </w:rPr>
        <w:t xml:space="preserve"> 2018. Latvijas ligzdojošo putnu monitoringa metodika. </w:t>
      </w:r>
      <w:hyperlink r:id="rId199" w:history="1">
        <w:r w:rsidRPr="001A4E6D">
          <w:rPr>
            <w:rStyle w:val="Hyperlink"/>
            <w:rFonts w:eastAsia="Times New Roman" w:cs="Times New Roman"/>
            <w:kern w:val="2"/>
            <w:szCs w:val="24"/>
            <w:lang w:eastAsia="zh-CN" w:bidi="hi-IN"/>
          </w:rPr>
          <w:t>https://lob.lv/wp-content/uploads/2019/12/Metodika_LLPU_2018_finalfin_compressed.pdf</w:t>
        </w:r>
      </w:hyperlink>
      <w:r w:rsidR="00D94766">
        <w:rPr>
          <w:rFonts w:eastAsia="Times New Roman" w:cs="Times New Roman"/>
          <w:kern w:val="2"/>
          <w:szCs w:val="24"/>
          <w:lang w:eastAsia="zh-CN" w:bidi="hi-IN"/>
        </w:rPr>
        <w:t>.</w:t>
      </w:r>
      <w:r>
        <w:rPr>
          <w:rFonts w:eastAsia="Times New Roman" w:cs="Times New Roman"/>
          <w:kern w:val="2"/>
          <w:szCs w:val="24"/>
          <w:lang w:eastAsia="zh-CN" w:bidi="hi-IN"/>
        </w:rPr>
        <w:t xml:space="preserve"> </w:t>
      </w:r>
    </w:p>
    <w:p w14:paraId="51C190E5" w14:textId="4D76B0F2" w:rsidR="00392BE6" w:rsidRPr="0014151A" w:rsidRDefault="00392BE6" w:rsidP="00D01DBE">
      <w:pPr>
        <w:numPr>
          <w:ilvl w:val="0"/>
          <w:numId w:val="31"/>
        </w:numPr>
        <w:spacing w:after="0" w:line="240" w:lineRule="auto"/>
        <w:ind w:left="924" w:hanging="357"/>
        <w:jc w:val="both"/>
        <w:rPr>
          <w:rFonts w:ascii="Times New Roman" w:eastAsia="Times New Roman" w:hAnsi="Times New Roman" w:cs="Times New Roman"/>
          <w:kern w:val="2"/>
          <w:sz w:val="24"/>
          <w:szCs w:val="24"/>
          <w:lang w:eastAsia="zh-CN" w:bidi="hi-IN"/>
        </w:rPr>
      </w:pPr>
      <w:r w:rsidRPr="0014151A">
        <w:rPr>
          <w:rFonts w:ascii="Times New Roman" w:eastAsia="Times New Roman" w:hAnsi="Times New Roman" w:cs="Times New Roman"/>
          <w:kern w:val="2"/>
          <w:sz w:val="24"/>
          <w:szCs w:val="24"/>
          <w:lang w:eastAsia="zh-CN" w:bidi="hi-IN"/>
        </w:rPr>
        <w:t xml:space="preserve">Avotiņš </w:t>
      </w:r>
      <w:proofErr w:type="spellStart"/>
      <w:r w:rsidRPr="0014151A">
        <w:rPr>
          <w:rFonts w:ascii="Times New Roman" w:eastAsia="Times New Roman" w:hAnsi="Times New Roman" w:cs="Times New Roman"/>
          <w:kern w:val="2"/>
          <w:sz w:val="24"/>
          <w:szCs w:val="24"/>
          <w:lang w:eastAsia="zh-CN" w:bidi="hi-IN"/>
        </w:rPr>
        <w:t>jun</w:t>
      </w:r>
      <w:proofErr w:type="spellEnd"/>
      <w:r w:rsidRPr="0014151A">
        <w:rPr>
          <w:rFonts w:ascii="Times New Roman" w:eastAsia="Times New Roman" w:hAnsi="Times New Roman" w:cs="Times New Roman"/>
          <w:kern w:val="2"/>
          <w:sz w:val="24"/>
          <w:szCs w:val="24"/>
          <w:lang w:eastAsia="zh-CN" w:bidi="hi-IN"/>
        </w:rPr>
        <w:t xml:space="preserve">. A. 2019. Apodziņa </w:t>
      </w:r>
      <w:proofErr w:type="spellStart"/>
      <w:r w:rsidRPr="0014151A">
        <w:rPr>
          <w:rFonts w:ascii="Times New Roman" w:eastAsia="Times New Roman" w:hAnsi="Times New Roman" w:cs="Times New Roman"/>
          <w:i/>
          <w:iCs/>
          <w:kern w:val="2"/>
          <w:sz w:val="24"/>
          <w:szCs w:val="24"/>
          <w:lang w:eastAsia="zh-CN" w:bidi="hi-IN"/>
        </w:rPr>
        <w:t>Glaucidium</w:t>
      </w:r>
      <w:proofErr w:type="spellEnd"/>
      <w:r w:rsidRPr="0014151A">
        <w:rPr>
          <w:rFonts w:ascii="Times New Roman" w:eastAsia="Times New Roman" w:hAnsi="Times New Roman" w:cs="Times New Roman"/>
          <w:i/>
          <w:iCs/>
          <w:kern w:val="2"/>
          <w:sz w:val="24"/>
          <w:szCs w:val="24"/>
          <w:lang w:eastAsia="zh-CN" w:bidi="hi-IN"/>
        </w:rPr>
        <w:t xml:space="preserve"> </w:t>
      </w:r>
      <w:proofErr w:type="spellStart"/>
      <w:r w:rsidRPr="0014151A">
        <w:rPr>
          <w:rFonts w:ascii="Times New Roman" w:eastAsia="Times New Roman" w:hAnsi="Times New Roman" w:cs="Times New Roman"/>
          <w:i/>
          <w:iCs/>
          <w:kern w:val="2"/>
          <w:sz w:val="24"/>
          <w:szCs w:val="24"/>
          <w:lang w:eastAsia="zh-CN" w:bidi="hi-IN"/>
        </w:rPr>
        <w:t>passerinum</w:t>
      </w:r>
      <w:proofErr w:type="spellEnd"/>
      <w:r w:rsidRPr="0014151A">
        <w:rPr>
          <w:rFonts w:ascii="Times New Roman" w:eastAsia="Times New Roman" w:hAnsi="Times New Roman" w:cs="Times New Roman"/>
          <w:kern w:val="2"/>
          <w:sz w:val="24"/>
          <w:szCs w:val="24"/>
          <w:lang w:eastAsia="zh-CN" w:bidi="hi-IN"/>
        </w:rPr>
        <w:t xml:space="preserve">, bikšainā apoga </w:t>
      </w:r>
      <w:proofErr w:type="spellStart"/>
      <w:r w:rsidRPr="0014151A">
        <w:rPr>
          <w:rFonts w:ascii="Times New Roman" w:eastAsia="Times New Roman" w:hAnsi="Times New Roman" w:cs="Times New Roman"/>
          <w:i/>
          <w:iCs/>
          <w:kern w:val="2"/>
          <w:sz w:val="24"/>
          <w:szCs w:val="24"/>
          <w:lang w:eastAsia="zh-CN" w:bidi="hi-IN"/>
        </w:rPr>
        <w:t>Aegolius</w:t>
      </w:r>
      <w:proofErr w:type="spellEnd"/>
      <w:r w:rsidRPr="0014151A">
        <w:rPr>
          <w:rFonts w:ascii="Times New Roman" w:eastAsia="Times New Roman" w:hAnsi="Times New Roman" w:cs="Times New Roman"/>
          <w:i/>
          <w:iCs/>
          <w:kern w:val="2"/>
          <w:sz w:val="24"/>
          <w:szCs w:val="24"/>
          <w:lang w:eastAsia="zh-CN" w:bidi="hi-IN"/>
        </w:rPr>
        <w:t xml:space="preserve"> </w:t>
      </w:r>
      <w:proofErr w:type="spellStart"/>
      <w:r w:rsidRPr="0014151A">
        <w:rPr>
          <w:rFonts w:ascii="Times New Roman" w:eastAsia="Times New Roman" w:hAnsi="Times New Roman" w:cs="Times New Roman"/>
          <w:i/>
          <w:iCs/>
          <w:kern w:val="2"/>
          <w:sz w:val="24"/>
          <w:szCs w:val="24"/>
          <w:lang w:eastAsia="zh-CN" w:bidi="hi-IN"/>
        </w:rPr>
        <w:t>funereus</w:t>
      </w:r>
      <w:proofErr w:type="spellEnd"/>
      <w:r w:rsidRPr="0014151A">
        <w:rPr>
          <w:rFonts w:ascii="Times New Roman" w:eastAsia="Times New Roman" w:hAnsi="Times New Roman" w:cs="Times New Roman"/>
          <w:kern w:val="2"/>
          <w:sz w:val="24"/>
          <w:szCs w:val="24"/>
          <w:lang w:eastAsia="zh-CN" w:bidi="hi-IN"/>
        </w:rPr>
        <w:t>,</w:t>
      </w:r>
      <w:r w:rsidRPr="0014151A">
        <w:rPr>
          <w:rFonts w:ascii="TimesNewRoman" w:hAnsi="TimesNewRoman" w:cs="TimesNewRoman"/>
          <w:sz w:val="24"/>
          <w:szCs w:val="24"/>
        </w:rPr>
        <w:t xml:space="preserve"> </w:t>
      </w:r>
      <w:r w:rsidRPr="0014151A">
        <w:rPr>
          <w:rFonts w:ascii="Times New Roman" w:eastAsia="Times New Roman" w:hAnsi="Times New Roman" w:cs="Times New Roman"/>
          <w:kern w:val="2"/>
          <w:sz w:val="24"/>
          <w:szCs w:val="24"/>
          <w:lang w:eastAsia="zh-CN" w:bidi="hi-IN"/>
        </w:rPr>
        <w:t xml:space="preserve">meža pūces </w:t>
      </w:r>
      <w:proofErr w:type="spellStart"/>
      <w:r w:rsidRPr="0014151A">
        <w:rPr>
          <w:rFonts w:ascii="Times New Roman" w:eastAsia="Times New Roman" w:hAnsi="Times New Roman" w:cs="Times New Roman"/>
          <w:i/>
          <w:iCs/>
          <w:kern w:val="2"/>
          <w:sz w:val="24"/>
          <w:szCs w:val="24"/>
          <w:lang w:eastAsia="zh-CN" w:bidi="hi-IN"/>
        </w:rPr>
        <w:t>Strix</w:t>
      </w:r>
      <w:proofErr w:type="spellEnd"/>
      <w:r w:rsidRPr="0014151A">
        <w:rPr>
          <w:rFonts w:ascii="Times New Roman" w:eastAsia="Times New Roman" w:hAnsi="Times New Roman" w:cs="Times New Roman"/>
          <w:i/>
          <w:iCs/>
          <w:kern w:val="2"/>
          <w:sz w:val="24"/>
          <w:szCs w:val="24"/>
          <w:lang w:eastAsia="zh-CN" w:bidi="hi-IN"/>
        </w:rPr>
        <w:t xml:space="preserve"> </w:t>
      </w:r>
      <w:proofErr w:type="spellStart"/>
      <w:r w:rsidRPr="0014151A">
        <w:rPr>
          <w:rFonts w:ascii="Times New Roman" w:eastAsia="Times New Roman" w:hAnsi="Times New Roman" w:cs="Times New Roman"/>
          <w:i/>
          <w:iCs/>
          <w:kern w:val="2"/>
          <w:sz w:val="24"/>
          <w:szCs w:val="24"/>
          <w:lang w:eastAsia="zh-CN" w:bidi="hi-IN"/>
        </w:rPr>
        <w:t>aluco</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urālpūces</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i/>
          <w:iCs/>
          <w:kern w:val="2"/>
          <w:sz w:val="24"/>
          <w:szCs w:val="24"/>
          <w:lang w:eastAsia="zh-CN" w:bidi="hi-IN"/>
        </w:rPr>
        <w:t>Strix</w:t>
      </w:r>
      <w:proofErr w:type="spellEnd"/>
      <w:r w:rsidRPr="0014151A">
        <w:rPr>
          <w:rFonts w:ascii="Times New Roman" w:eastAsia="Times New Roman" w:hAnsi="Times New Roman" w:cs="Times New Roman"/>
          <w:i/>
          <w:iCs/>
          <w:kern w:val="2"/>
          <w:sz w:val="24"/>
          <w:szCs w:val="24"/>
          <w:lang w:eastAsia="zh-CN" w:bidi="hi-IN"/>
        </w:rPr>
        <w:t xml:space="preserve"> </w:t>
      </w:r>
      <w:proofErr w:type="spellStart"/>
      <w:r w:rsidRPr="0014151A">
        <w:rPr>
          <w:rFonts w:ascii="Times New Roman" w:eastAsia="Times New Roman" w:hAnsi="Times New Roman" w:cs="Times New Roman"/>
          <w:i/>
          <w:iCs/>
          <w:kern w:val="2"/>
          <w:sz w:val="24"/>
          <w:szCs w:val="24"/>
          <w:lang w:eastAsia="zh-CN" w:bidi="hi-IN"/>
        </w:rPr>
        <w:t>uralensis</w:t>
      </w:r>
      <w:proofErr w:type="spellEnd"/>
      <w:r w:rsidRPr="0014151A">
        <w:rPr>
          <w:rFonts w:ascii="Times New Roman" w:eastAsia="Times New Roman" w:hAnsi="Times New Roman" w:cs="Times New Roman"/>
          <w:kern w:val="2"/>
          <w:sz w:val="24"/>
          <w:szCs w:val="24"/>
          <w:lang w:eastAsia="zh-CN" w:bidi="hi-IN"/>
        </w:rPr>
        <w:t xml:space="preserve">, ausainās pūces </w:t>
      </w:r>
      <w:proofErr w:type="spellStart"/>
      <w:r w:rsidRPr="0014151A">
        <w:rPr>
          <w:rFonts w:ascii="Times New Roman" w:eastAsia="Times New Roman" w:hAnsi="Times New Roman" w:cs="Times New Roman"/>
          <w:i/>
          <w:iCs/>
          <w:kern w:val="2"/>
          <w:sz w:val="24"/>
          <w:szCs w:val="24"/>
          <w:lang w:eastAsia="zh-CN" w:bidi="hi-IN"/>
        </w:rPr>
        <w:t>Asio</w:t>
      </w:r>
      <w:proofErr w:type="spellEnd"/>
      <w:r w:rsidRPr="0014151A">
        <w:rPr>
          <w:rFonts w:ascii="Times New Roman" w:eastAsia="Times New Roman" w:hAnsi="Times New Roman" w:cs="Times New Roman"/>
          <w:i/>
          <w:iCs/>
          <w:kern w:val="2"/>
          <w:sz w:val="24"/>
          <w:szCs w:val="24"/>
          <w:lang w:eastAsia="zh-CN" w:bidi="hi-IN"/>
        </w:rPr>
        <w:t xml:space="preserve"> </w:t>
      </w:r>
      <w:proofErr w:type="spellStart"/>
      <w:r w:rsidRPr="0014151A">
        <w:rPr>
          <w:rFonts w:ascii="Times New Roman" w:eastAsia="Times New Roman" w:hAnsi="Times New Roman" w:cs="Times New Roman"/>
          <w:i/>
          <w:iCs/>
          <w:kern w:val="2"/>
          <w:sz w:val="24"/>
          <w:szCs w:val="24"/>
          <w:lang w:eastAsia="zh-CN" w:bidi="hi-IN"/>
        </w:rPr>
        <w:t>otus</w:t>
      </w:r>
      <w:proofErr w:type="spellEnd"/>
      <w:r w:rsidRPr="0014151A">
        <w:rPr>
          <w:rFonts w:ascii="Times New Roman" w:eastAsia="Times New Roman" w:hAnsi="Times New Roman" w:cs="Times New Roman"/>
          <w:i/>
          <w:iCs/>
          <w:kern w:val="2"/>
          <w:sz w:val="24"/>
          <w:szCs w:val="24"/>
          <w:lang w:eastAsia="zh-CN" w:bidi="hi-IN"/>
        </w:rPr>
        <w:t xml:space="preserve"> </w:t>
      </w:r>
      <w:r w:rsidRPr="0014151A">
        <w:rPr>
          <w:rFonts w:ascii="Times New Roman" w:eastAsia="Times New Roman" w:hAnsi="Times New Roman" w:cs="Times New Roman"/>
          <w:kern w:val="2"/>
          <w:sz w:val="24"/>
          <w:szCs w:val="24"/>
          <w:lang w:eastAsia="zh-CN" w:bidi="hi-IN"/>
        </w:rPr>
        <w:t xml:space="preserve">un ūpja </w:t>
      </w:r>
      <w:proofErr w:type="spellStart"/>
      <w:r w:rsidRPr="0014151A">
        <w:rPr>
          <w:rFonts w:ascii="Times New Roman" w:eastAsia="Times New Roman" w:hAnsi="Times New Roman" w:cs="Times New Roman"/>
          <w:i/>
          <w:iCs/>
          <w:kern w:val="2"/>
          <w:sz w:val="24"/>
          <w:szCs w:val="24"/>
          <w:lang w:eastAsia="zh-CN" w:bidi="hi-IN"/>
        </w:rPr>
        <w:t>Bubo</w:t>
      </w:r>
      <w:proofErr w:type="spellEnd"/>
      <w:r w:rsidRPr="0014151A">
        <w:rPr>
          <w:rFonts w:ascii="Times New Roman" w:eastAsia="Times New Roman" w:hAnsi="Times New Roman" w:cs="Times New Roman"/>
          <w:i/>
          <w:iCs/>
          <w:kern w:val="2"/>
          <w:sz w:val="24"/>
          <w:szCs w:val="24"/>
          <w:lang w:eastAsia="zh-CN" w:bidi="hi-IN"/>
        </w:rPr>
        <w:t xml:space="preserve"> </w:t>
      </w:r>
      <w:proofErr w:type="spellStart"/>
      <w:r w:rsidRPr="0014151A">
        <w:rPr>
          <w:rFonts w:ascii="Times New Roman" w:eastAsia="Times New Roman" w:hAnsi="Times New Roman" w:cs="Times New Roman"/>
          <w:i/>
          <w:iCs/>
          <w:kern w:val="2"/>
          <w:sz w:val="24"/>
          <w:szCs w:val="24"/>
          <w:lang w:eastAsia="zh-CN" w:bidi="hi-IN"/>
        </w:rPr>
        <w:t>bubo</w:t>
      </w:r>
      <w:proofErr w:type="spellEnd"/>
      <w:r w:rsidRPr="0014151A">
        <w:rPr>
          <w:rFonts w:ascii="TimesNewRoman" w:hAnsi="TimesNewRoman" w:cs="TimesNewRoman"/>
          <w:sz w:val="24"/>
          <w:szCs w:val="24"/>
        </w:rPr>
        <w:t xml:space="preserve"> </w:t>
      </w:r>
      <w:r w:rsidRPr="0014151A">
        <w:rPr>
          <w:rFonts w:ascii="Times New Roman" w:eastAsia="Times New Roman" w:hAnsi="Times New Roman" w:cs="Times New Roman"/>
          <w:i/>
          <w:iCs/>
          <w:kern w:val="2"/>
          <w:sz w:val="24"/>
          <w:szCs w:val="24"/>
          <w:lang w:eastAsia="zh-CN" w:bidi="hi-IN"/>
        </w:rPr>
        <w:t>aizsardzības plāns. Latvijas Ornitoloģijas biedrība, Rīga.</w:t>
      </w:r>
    </w:p>
    <w:p w14:paraId="33202DEF" w14:textId="5D6EFF84" w:rsidR="00260499" w:rsidRPr="00775801" w:rsidRDefault="00260499" w:rsidP="00775801">
      <w:pPr>
        <w:numPr>
          <w:ilvl w:val="0"/>
          <w:numId w:val="31"/>
        </w:numPr>
        <w:spacing w:after="0" w:line="240" w:lineRule="auto"/>
        <w:ind w:left="924" w:hanging="357"/>
        <w:jc w:val="both"/>
        <w:rPr>
          <w:rFonts w:ascii="Times New Roman" w:eastAsia="Times New Roman" w:hAnsi="Times New Roman" w:cs="Times New Roman"/>
          <w:kern w:val="2"/>
          <w:sz w:val="24"/>
          <w:szCs w:val="24"/>
          <w:lang w:eastAsia="zh-CN" w:bidi="hi-IN"/>
        </w:rPr>
      </w:pPr>
      <w:bookmarkStart w:id="124" w:name="Ava_1994b"/>
      <w:r w:rsidRPr="0014151A">
        <w:rPr>
          <w:rFonts w:ascii="Times New Roman" w:eastAsia="Times New Roman" w:hAnsi="Times New Roman" w:cs="Times New Roman"/>
          <w:color w:val="000000"/>
          <w:kern w:val="2"/>
          <w:sz w:val="24"/>
          <w:szCs w:val="24"/>
          <w:lang w:eastAsia="ja-JP" w:bidi="hi-IN"/>
        </w:rPr>
        <w:t>Āva R. 1994</w:t>
      </w:r>
      <w:bookmarkEnd w:id="124"/>
      <w:r w:rsidRPr="0014151A">
        <w:rPr>
          <w:rFonts w:ascii="Times New Roman" w:eastAsia="Times New Roman" w:hAnsi="Times New Roman" w:cs="Times New Roman"/>
          <w:color w:val="000000"/>
          <w:kern w:val="2"/>
          <w:sz w:val="24"/>
          <w:szCs w:val="24"/>
          <w:lang w:eastAsia="ja-JP" w:bidi="hi-IN"/>
        </w:rPr>
        <w:t xml:space="preserve">. Augšņu rajonēšana. </w:t>
      </w:r>
      <w:r w:rsidRPr="0014151A">
        <w:rPr>
          <w:rFonts w:ascii="Times New Roman" w:eastAsia="Times New Roman" w:hAnsi="Times New Roman" w:cs="Times New Roman"/>
          <w:i/>
          <w:iCs/>
          <w:color w:val="000000"/>
          <w:kern w:val="2"/>
          <w:sz w:val="24"/>
          <w:szCs w:val="24"/>
          <w:lang w:eastAsia="ja-JP" w:bidi="hi-IN"/>
        </w:rPr>
        <w:t>Enciklopēdija “Latvija un Latvieši”. Latvijas daba</w:t>
      </w:r>
      <w:r w:rsidRPr="0014151A">
        <w:rPr>
          <w:rFonts w:ascii="Times New Roman" w:eastAsia="Times New Roman" w:hAnsi="Times New Roman" w:cs="Times New Roman"/>
          <w:color w:val="000000"/>
          <w:kern w:val="2"/>
          <w:sz w:val="24"/>
          <w:szCs w:val="24"/>
          <w:lang w:eastAsia="ja-JP" w:bidi="hi-IN"/>
        </w:rPr>
        <w:t>. 1.sēj. Rīga, Latvijas enciklopēdija, 88.- 90.lpp.</w:t>
      </w:r>
    </w:p>
    <w:p w14:paraId="32956852" w14:textId="48E7086C" w:rsidR="00775801" w:rsidRDefault="00775801" w:rsidP="00775801">
      <w:pPr>
        <w:pStyle w:val="ListParagraph"/>
        <w:numPr>
          <w:ilvl w:val="0"/>
          <w:numId w:val="31"/>
        </w:numPr>
        <w:spacing w:after="0" w:line="240" w:lineRule="auto"/>
        <w:rPr>
          <w:rFonts w:eastAsia="Times New Roman" w:cs="Times New Roman"/>
          <w:kern w:val="2"/>
          <w:szCs w:val="24"/>
          <w:lang w:eastAsia="zh-CN" w:bidi="hi-IN"/>
        </w:rPr>
      </w:pPr>
      <w:proofErr w:type="spellStart"/>
      <w:r w:rsidRPr="00775801">
        <w:rPr>
          <w:rFonts w:eastAsia="Times New Roman" w:cs="Times New Roman"/>
          <w:kern w:val="2"/>
          <w:szCs w:val="24"/>
          <w:lang w:eastAsia="zh-CN" w:bidi="hi-IN"/>
        </w:rPr>
        <w:t>Bambe</w:t>
      </w:r>
      <w:proofErr w:type="spellEnd"/>
      <w:r w:rsidRPr="00775801">
        <w:rPr>
          <w:rFonts w:eastAsia="Times New Roman" w:cs="Times New Roman"/>
          <w:kern w:val="2"/>
          <w:szCs w:val="24"/>
          <w:lang w:eastAsia="zh-CN" w:bidi="hi-IN"/>
        </w:rPr>
        <w:t xml:space="preserve"> B. 2003. Upju ieleju meži. </w:t>
      </w:r>
      <w:proofErr w:type="spellStart"/>
      <w:r w:rsidRPr="00775801">
        <w:rPr>
          <w:rFonts w:eastAsia="Times New Roman" w:cs="Times New Roman"/>
          <w:kern w:val="2"/>
          <w:szCs w:val="24"/>
          <w:lang w:eastAsia="zh-CN" w:bidi="hi-IN"/>
        </w:rPr>
        <w:t>Grām</w:t>
      </w:r>
      <w:proofErr w:type="spellEnd"/>
      <w:r w:rsidRPr="00775801">
        <w:rPr>
          <w:rFonts w:eastAsia="Times New Roman" w:cs="Times New Roman"/>
          <w:kern w:val="2"/>
          <w:szCs w:val="24"/>
          <w:lang w:eastAsia="zh-CN" w:bidi="hi-IN"/>
        </w:rPr>
        <w:t xml:space="preserve">.: Meža enciklopēdija. I sējums. Red. </w:t>
      </w:r>
      <w:proofErr w:type="spellStart"/>
      <w:r w:rsidRPr="00775801">
        <w:rPr>
          <w:rFonts w:eastAsia="Times New Roman" w:cs="Times New Roman"/>
          <w:kern w:val="2"/>
          <w:szCs w:val="24"/>
          <w:lang w:eastAsia="zh-CN" w:bidi="hi-IN"/>
        </w:rPr>
        <w:t>J.Broks</w:t>
      </w:r>
      <w:proofErr w:type="spellEnd"/>
      <w:r w:rsidRPr="00775801">
        <w:rPr>
          <w:rFonts w:eastAsia="Times New Roman" w:cs="Times New Roman"/>
          <w:kern w:val="2"/>
          <w:szCs w:val="24"/>
          <w:lang w:eastAsia="zh-CN" w:bidi="hi-IN"/>
        </w:rPr>
        <w:t>., Rīga, Zelta grauds, 332.–333. lpp.</w:t>
      </w:r>
    </w:p>
    <w:p w14:paraId="08848B7E" w14:textId="2D55A61C" w:rsidR="00775801" w:rsidRPr="00775801" w:rsidRDefault="00775801" w:rsidP="00775801">
      <w:pPr>
        <w:pStyle w:val="ListParagraph"/>
        <w:numPr>
          <w:ilvl w:val="0"/>
          <w:numId w:val="31"/>
        </w:numPr>
        <w:spacing w:after="0" w:line="240" w:lineRule="auto"/>
        <w:rPr>
          <w:rFonts w:eastAsia="Times New Roman" w:cs="Times New Roman"/>
          <w:kern w:val="2"/>
          <w:szCs w:val="24"/>
          <w:lang w:eastAsia="zh-CN" w:bidi="hi-IN"/>
        </w:rPr>
      </w:pPr>
      <w:proofErr w:type="spellStart"/>
      <w:r w:rsidRPr="00775801">
        <w:rPr>
          <w:rFonts w:eastAsia="Times New Roman" w:cs="Times New Roman"/>
          <w:kern w:val="2"/>
          <w:szCs w:val="24"/>
          <w:lang w:eastAsia="zh-CN" w:bidi="hi-IN"/>
        </w:rPr>
        <w:t>Barataud</w:t>
      </w:r>
      <w:proofErr w:type="spellEnd"/>
      <w:r w:rsidRPr="00775801">
        <w:rPr>
          <w:rFonts w:eastAsia="Times New Roman" w:cs="Times New Roman"/>
          <w:kern w:val="2"/>
          <w:szCs w:val="24"/>
          <w:lang w:eastAsia="zh-CN" w:bidi="hi-IN"/>
        </w:rPr>
        <w:t xml:space="preserve"> M. 2015. </w:t>
      </w:r>
      <w:proofErr w:type="spellStart"/>
      <w:r w:rsidRPr="00775801">
        <w:rPr>
          <w:rFonts w:eastAsia="Times New Roman" w:cs="Times New Roman"/>
          <w:kern w:val="2"/>
          <w:szCs w:val="24"/>
          <w:lang w:eastAsia="zh-CN" w:bidi="hi-IN"/>
        </w:rPr>
        <w:t>Acoustic</w:t>
      </w:r>
      <w:proofErr w:type="spellEnd"/>
      <w:r w:rsidRPr="00775801">
        <w:rPr>
          <w:rFonts w:eastAsia="Times New Roman" w:cs="Times New Roman"/>
          <w:kern w:val="2"/>
          <w:szCs w:val="24"/>
          <w:lang w:eastAsia="zh-CN" w:bidi="hi-IN"/>
        </w:rPr>
        <w:t xml:space="preserve"> </w:t>
      </w:r>
      <w:proofErr w:type="spellStart"/>
      <w:r w:rsidRPr="00775801">
        <w:rPr>
          <w:rFonts w:eastAsia="Times New Roman" w:cs="Times New Roman"/>
          <w:kern w:val="2"/>
          <w:szCs w:val="24"/>
          <w:lang w:eastAsia="zh-CN" w:bidi="hi-IN"/>
        </w:rPr>
        <w:t>Ecology</w:t>
      </w:r>
      <w:proofErr w:type="spellEnd"/>
      <w:r w:rsidRPr="00775801">
        <w:rPr>
          <w:rFonts w:eastAsia="Times New Roman" w:cs="Times New Roman"/>
          <w:kern w:val="2"/>
          <w:szCs w:val="24"/>
          <w:lang w:eastAsia="zh-CN" w:bidi="hi-IN"/>
        </w:rPr>
        <w:t xml:space="preserve"> </w:t>
      </w:r>
      <w:proofErr w:type="spellStart"/>
      <w:r w:rsidRPr="00775801">
        <w:rPr>
          <w:rFonts w:eastAsia="Times New Roman" w:cs="Times New Roman"/>
          <w:kern w:val="2"/>
          <w:szCs w:val="24"/>
          <w:lang w:eastAsia="zh-CN" w:bidi="hi-IN"/>
        </w:rPr>
        <w:t>of</w:t>
      </w:r>
      <w:proofErr w:type="spellEnd"/>
      <w:r w:rsidRPr="00775801">
        <w:rPr>
          <w:rFonts w:eastAsia="Times New Roman" w:cs="Times New Roman"/>
          <w:kern w:val="2"/>
          <w:szCs w:val="24"/>
          <w:lang w:eastAsia="zh-CN" w:bidi="hi-IN"/>
        </w:rPr>
        <w:t xml:space="preserve"> </w:t>
      </w:r>
      <w:proofErr w:type="spellStart"/>
      <w:r w:rsidRPr="00775801">
        <w:rPr>
          <w:rFonts w:eastAsia="Times New Roman" w:cs="Times New Roman"/>
          <w:kern w:val="2"/>
          <w:szCs w:val="24"/>
          <w:lang w:eastAsia="zh-CN" w:bidi="hi-IN"/>
        </w:rPr>
        <w:t>European</w:t>
      </w:r>
      <w:proofErr w:type="spellEnd"/>
      <w:r w:rsidRPr="00775801">
        <w:rPr>
          <w:rFonts w:eastAsia="Times New Roman" w:cs="Times New Roman"/>
          <w:kern w:val="2"/>
          <w:szCs w:val="24"/>
          <w:lang w:eastAsia="zh-CN" w:bidi="hi-IN"/>
        </w:rPr>
        <w:t xml:space="preserve"> </w:t>
      </w:r>
      <w:proofErr w:type="spellStart"/>
      <w:r w:rsidRPr="00775801">
        <w:rPr>
          <w:rFonts w:eastAsia="Times New Roman" w:cs="Times New Roman"/>
          <w:kern w:val="2"/>
          <w:szCs w:val="24"/>
          <w:lang w:eastAsia="zh-CN" w:bidi="hi-IN"/>
        </w:rPr>
        <w:t>Bats</w:t>
      </w:r>
      <w:proofErr w:type="spellEnd"/>
      <w:r w:rsidRPr="00775801">
        <w:rPr>
          <w:rFonts w:eastAsia="Times New Roman" w:cs="Times New Roman"/>
          <w:kern w:val="2"/>
          <w:szCs w:val="24"/>
          <w:lang w:eastAsia="zh-CN" w:bidi="hi-IN"/>
        </w:rPr>
        <w:t xml:space="preserve">. </w:t>
      </w:r>
      <w:proofErr w:type="spellStart"/>
      <w:r w:rsidRPr="00775801">
        <w:rPr>
          <w:rFonts w:eastAsia="Times New Roman" w:cs="Times New Roman"/>
          <w:kern w:val="2"/>
          <w:szCs w:val="24"/>
          <w:lang w:eastAsia="zh-CN" w:bidi="hi-IN"/>
        </w:rPr>
        <w:t>Species</w:t>
      </w:r>
      <w:proofErr w:type="spellEnd"/>
      <w:r w:rsidRPr="00775801">
        <w:rPr>
          <w:rFonts w:eastAsia="Times New Roman" w:cs="Times New Roman"/>
          <w:kern w:val="2"/>
          <w:szCs w:val="24"/>
          <w:lang w:eastAsia="zh-CN" w:bidi="hi-IN"/>
        </w:rPr>
        <w:t xml:space="preserve"> </w:t>
      </w:r>
      <w:proofErr w:type="spellStart"/>
      <w:r w:rsidRPr="00775801">
        <w:rPr>
          <w:rFonts w:eastAsia="Times New Roman" w:cs="Times New Roman"/>
          <w:kern w:val="2"/>
          <w:szCs w:val="24"/>
          <w:lang w:eastAsia="zh-CN" w:bidi="hi-IN"/>
        </w:rPr>
        <w:t>identification</w:t>
      </w:r>
      <w:proofErr w:type="spellEnd"/>
      <w:r w:rsidRPr="00775801">
        <w:rPr>
          <w:rFonts w:eastAsia="Times New Roman" w:cs="Times New Roman"/>
          <w:kern w:val="2"/>
          <w:szCs w:val="24"/>
          <w:lang w:eastAsia="zh-CN" w:bidi="hi-IN"/>
        </w:rPr>
        <w:t xml:space="preserve">, </w:t>
      </w:r>
      <w:proofErr w:type="spellStart"/>
      <w:r w:rsidRPr="00775801">
        <w:rPr>
          <w:rFonts w:eastAsia="Times New Roman" w:cs="Times New Roman"/>
          <w:kern w:val="2"/>
          <w:szCs w:val="24"/>
          <w:lang w:eastAsia="zh-CN" w:bidi="hi-IN"/>
        </w:rPr>
        <w:t>Study</w:t>
      </w:r>
      <w:proofErr w:type="spellEnd"/>
      <w:r w:rsidRPr="00775801">
        <w:rPr>
          <w:rFonts w:eastAsia="Times New Roman" w:cs="Times New Roman"/>
          <w:kern w:val="2"/>
          <w:szCs w:val="24"/>
          <w:lang w:eastAsia="zh-CN" w:bidi="hi-IN"/>
        </w:rPr>
        <w:t xml:space="preserve"> </w:t>
      </w:r>
      <w:proofErr w:type="spellStart"/>
      <w:r w:rsidRPr="00775801">
        <w:rPr>
          <w:rFonts w:eastAsia="Times New Roman" w:cs="Times New Roman"/>
          <w:kern w:val="2"/>
          <w:szCs w:val="24"/>
          <w:lang w:eastAsia="zh-CN" w:bidi="hi-IN"/>
        </w:rPr>
        <w:t>of</w:t>
      </w:r>
      <w:proofErr w:type="spellEnd"/>
      <w:r w:rsidRPr="00775801">
        <w:rPr>
          <w:rFonts w:eastAsia="Times New Roman" w:cs="Times New Roman"/>
          <w:kern w:val="2"/>
          <w:szCs w:val="24"/>
          <w:lang w:eastAsia="zh-CN" w:bidi="hi-IN"/>
        </w:rPr>
        <w:t xml:space="preserve"> </w:t>
      </w:r>
      <w:proofErr w:type="spellStart"/>
      <w:r w:rsidRPr="00775801">
        <w:rPr>
          <w:rFonts w:eastAsia="Times New Roman" w:cs="Times New Roman"/>
          <w:kern w:val="2"/>
          <w:szCs w:val="24"/>
          <w:lang w:eastAsia="zh-CN" w:bidi="hi-IN"/>
        </w:rPr>
        <w:t>their</w:t>
      </w:r>
      <w:proofErr w:type="spellEnd"/>
      <w:r w:rsidRPr="00775801">
        <w:rPr>
          <w:rFonts w:eastAsia="Times New Roman" w:cs="Times New Roman"/>
          <w:kern w:val="2"/>
          <w:szCs w:val="24"/>
          <w:lang w:eastAsia="zh-CN" w:bidi="hi-IN"/>
        </w:rPr>
        <w:t xml:space="preserve"> </w:t>
      </w:r>
      <w:proofErr w:type="spellStart"/>
      <w:r w:rsidRPr="00775801">
        <w:rPr>
          <w:rFonts w:eastAsia="Times New Roman" w:cs="Times New Roman"/>
          <w:kern w:val="2"/>
          <w:szCs w:val="24"/>
          <w:lang w:eastAsia="zh-CN" w:bidi="hi-IN"/>
        </w:rPr>
        <w:t>Habitats</w:t>
      </w:r>
      <w:proofErr w:type="spellEnd"/>
      <w:r w:rsidRPr="00775801">
        <w:rPr>
          <w:rFonts w:eastAsia="Times New Roman" w:cs="Times New Roman"/>
          <w:kern w:val="2"/>
          <w:szCs w:val="24"/>
          <w:lang w:eastAsia="zh-CN" w:bidi="hi-IN"/>
        </w:rPr>
        <w:t xml:space="preserve"> </w:t>
      </w:r>
      <w:proofErr w:type="spellStart"/>
      <w:r w:rsidRPr="00775801">
        <w:rPr>
          <w:rFonts w:eastAsia="Times New Roman" w:cs="Times New Roman"/>
          <w:kern w:val="2"/>
          <w:szCs w:val="24"/>
          <w:lang w:eastAsia="zh-CN" w:bidi="hi-IN"/>
        </w:rPr>
        <w:t>and</w:t>
      </w:r>
      <w:proofErr w:type="spellEnd"/>
      <w:r w:rsidRPr="00775801">
        <w:rPr>
          <w:rFonts w:eastAsia="Times New Roman" w:cs="Times New Roman"/>
          <w:kern w:val="2"/>
          <w:szCs w:val="24"/>
          <w:lang w:eastAsia="zh-CN" w:bidi="hi-IN"/>
        </w:rPr>
        <w:t xml:space="preserve"> </w:t>
      </w:r>
      <w:proofErr w:type="spellStart"/>
      <w:r w:rsidRPr="00775801">
        <w:rPr>
          <w:rFonts w:eastAsia="Times New Roman" w:cs="Times New Roman"/>
          <w:kern w:val="2"/>
          <w:szCs w:val="24"/>
          <w:lang w:eastAsia="zh-CN" w:bidi="hi-IN"/>
        </w:rPr>
        <w:t>Foraging</w:t>
      </w:r>
      <w:proofErr w:type="spellEnd"/>
      <w:r w:rsidRPr="00775801">
        <w:rPr>
          <w:rFonts w:eastAsia="Times New Roman" w:cs="Times New Roman"/>
          <w:kern w:val="2"/>
          <w:szCs w:val="24"/>
          <w:lang w:eastAsia="zh-CN" w:bidi="hi-IN"/>
        </w:rPr>
        <w:t xml:space="preserve"> </w:t>
      </w:r>
      <w:proofErr w:type="spellStart"/>
      <w:r w:rsidRPr="00775801">
        <w:rPr>
          <w:rFonts w:eastAsia="Times New Roman" w:cs="Times New Roman"/>
          <w:kern w:val="2"/>
          <w:szCs w:val="24"/>
          <w:lang w:eastAsia="zh-CN" w:bidi="hi-IN"/>
        </w:rPr>
        <w:t>Behaviour</w:t>
      </w:r>
      <w:proofErr w:type="spellEnd"/>
      <w:r w:rsidRPr="00775801">
        <w:rPr>
          <w:rFonts w:eastAsia="Times New Roman" w:cs="Times New Roman"/>
          <w:kern w:val="2"/>
          <w:szCs w:val="24"/>
          <w:lang w:eastAsia="zh-CN" w:bidi="hi-IN"/>
        </w:rPr>
        <w:t xml:space="preserve">. </w:t>
      </w:r>
      <w:proofErr w:type="spellStart"/>
      <w:r w:rsidRPr="00775801">
        <w:rPr>
          <w:rFonts w:eastAsia="Times New Roman" w:cs="Times New Roman"/>
          <w:kern w:val="2"/>
          <w:szCs w:val="24"/>
          <w:lang w:eastAsia="zh-CN" w:bidi="hi-IN"/>
        </w:rPr>
        <w:t>Biotope</w:t>
      </w:r>
      <w:proofErr w:type="spellEnd"/>
      <w:r w:rsidRPr="00775801">
        <w:rPr>
          <w:rFonts w:eastAsia="Times New Roman" w:cs="Times New Roman"/>
          <w:kern w:val="2"/>
          <w:szCs w:val="24"/>
          <w:lang w:eastAsia="zh-CN" w:bidi="hi-IN"/>
        </w:rPr>
        <w:t xml:space="preserve">, </w:t>
      </w:r>
      <w:proofErr w:type="spellStart"/>
      <w:r w:rsidRPr="00775801">
        <w:rPr>
          <w:rFonts w:eastAsia="Times New Roman" w:cs="Times New Roman"/>
          <w:kern w:val="2"/>
          <w:szCs w:val="24"/>
          <w:lang w:eastAsia="zh-CN" w:bidi="hi-IN"/>
        </w:rPr>
        <w:t>Meze</w:t>
      </w:r>
      <w:proofErr w:type="spellEnd"/>
      <w:r w:rsidRPr="00775801">
        <w:rPr>
          <w:rFonts w:eastAsia="Times New Roman" w:cs="Times New Roman"/>
          <w:kern w:val="2"/>
          <w:szCs w:val="24"/>
          <w:lang w:eastAsia="zh-CN" w:bidi="hi-IN"/>
        </w:rPr>
        <w:t xml:space="preserve">; </w:t>
      </w:r>
      <w:proofErr w:type="spellStart"/>
      <w:r w:rsidRPr="00775801">
        <w:rPr>
          <w:rFonts w:eastAsia="Times New Roman" w:cs="Times New Roman"/>
          <w:kern w:val="2"/>
          <w:szCs w:val="24"/>
          <w:lang w:eastAsia="zh-CN" w:bidi="hi-IN"/>
        </w:rPr>
        <w:t>Museum</w:t>
      </w:r>
      <w:proofErr w:type="spellEnd"/>
      <w:r w:rsidRPr="00775801">
        <w:rPr>
          <w:rFonts w:eastAsia="Times New Roman" w:cs="Times New Roman"/>
          <w:kern w:val="2"/>
          <w:szCs w:val="24"/>
          <w:lang w:eastAsia="zh-CN" w:bidi="hi-IN"/>
        </w:rPr>
        <w:t xml:space="preserve"> </w:t>
      </w:r>
      <w:proofErr w:type="spellStart"/>
      <w:r w:rsidRPr="00775801">
        <w:rPr>
          <w:rFonts w:eastAsia="Times New Roman" w:cs="Times New Roman"/>
          <w:kern w:val="2"/>
          <w:szCs w:val="24"/>
          <w:lang w:eastAsia="zh-CN" w:bidi="hi-IN"/>
        </w:rPr>
        <w:t>national</w:t>
      </w:r>
      <w:proofErr w:type="spellEnd"/>
      <w:r w:rsidRPr="00775801">
        <w:rPr>
          <w:rFonts w:eastAsia="Times New Roman" w:cs="Times New Roman"/>
          <w:kern w:val="2"/>
          <w:szCs w:val="24"/>
          <w:lang w:eastAsia="zh-CN" w:bidi="hi-IN"/>
        </w:rPr>
        <w:t xml:space="preserve"> </w:t>
      </w:r>
      <w:proofErr w:type="spellStart"/>
      <w:r w:rsidRPr="00775801">
        <w:rPr>
          <w:rFonts w:eastAsia="Times New Roman" w:cs="Times New Roman"/>
          <w:kern w:val="2"/>
          <w:szCs w:val="24"/>
          <w:lang w:eastAsia="zh-CN" w:bidi="hi-IN"/>
        </w:rPr>
        <w:t>d’Histoire</w:t>
      </w:r>
      <w:proofErr w:type="spellEnd"/>
      <w:r w:rsidRPr="00775801">
        <w:rPr>
          <w:rFonts w:eastAsia="Times New Roman" w:cs="Times New Roman"/>
          <w:kern w:val="2"/>
          <w:szCs w:val="24"/>
          <w:lang w:eastAsia="zh-CN" w:bidi="hi-IN"/>
        </w:rPr>
        <w:t xml:space="preserve"> </w:t>
      </w:r>
      <w:proofErr w:type="spellStart"/>
      <w:r w:rsidRPr="00775801">
        <w:rPr>
          <w:rFonts w:eastAsia="Times New Roman" w:cs="Times New Roman"/>
          <w:kern w:val="2"/>
          <w:szCs w:val="24"/>
          <w:lang w:eastAsia="zh-CN" w:bidi="hi-IN"/>
        </w:rPr>
        <w:t>naturelle</w:t>
      </w:r>
      <w:proofErr w:type="spellEnd"/>
      <w:r w:rsidRPr="00775801">
        <w:rPr>
          <w:rFonts w:eastAsia="Times New Roman" w:cs="Times New Roman"/>
          <w:kern w:val="2"/>
          <w:szCs w:val="24"/>
          <w:lang w:eastAsia="zh-CN" w:bidi="hi-IN"/>
        </w:rPr>
        <w:t>, Paris (</w:t>
      </w:r>
      <w:proofErr w:type="spellStart"/>
      <w:r w:rsidRPr="00775801">
        <w:rPr>
          <w:rFonts w:eastAsia="Times New Roman" w:cs="Times New Roman"/>
          <w:kern w:val="2"/>
          <w:szCs w:val="24"/>
          <w:lang w:eastAsia="zh-CN" w:bidi="hi-IN"/>
        </w:rPr>
        <w:t>Inventaires</w:t>
      </w:r>
      <w:proofErr w:type="spellEnd"/>
      <w:r w:rsidRPr="00775801">
        <w:rPr>
          <w:rFonts w:eastAsia="Times New Roman" w:cs="Times New Roman"/>
          <w:kern w:val="2"/>
          <w:szCs w:val="24"/>
          <w:lang w:eastAsia="zh-CN" w:bidi="hi-IN"/>
        </w:rPr>
        <w:t xml:space="preserve"> </w:t>
      </w:r>
      <w:proofErr w:type="spellStart"/>
      <w:r w:rsidRPr="00775801">
        <w:rPr>
          <w:rFonts w:eastAsia="Times New Roman" w:cs="Times New Roman"/>
          <w:kern w:val="2"/>
          <w:szCs w:val="24"/>
          <w:lang w:eastAsia="zh-CN" w:bidi="hi-IN"/>
        </w:rPr>
        <w:t>et</w:t>
      </w:r>
      <w:proofErr w:type="spellEnd"/>
      <w:r w:rsidRPr="00775801">
        <w:rPr>
          <w:rFonts w:eastAsia="Times New Roman" w:cs="Times New Roman"/>
          <w:kern w:val="2"/>
          <w:szCs w:val="24"/>
          <w:lang w:eastAsia="zh-CN" w:bidi="hi-IN"/>
        </w:rPr>
        <w:t xml:space="preserve"> </w:t>
      </w:r>
      <w:proofErr w:type="spellStart"/>
      <w:r w:rsidRPr="00775801">
        <w:rPr>
          <w:rFonts w:eastAsia="Times New Roman" w:cs="Times New Roman"/>
          <w:kern w:val="2"/>
          <w:szCs w:val="24"/>
          <w:lang w:eastAsia="zh-CN" w:bidi="hi-IN"/>
        </w:rPr>
        <w:t>biodiversite</w:t>
      </w:r>
      <w:proofErr w:type="spellEnd"/>
      <w:r w:rsidRPr="00775801">
        <w:rPr>
          <w:rFonts w:eastAsia="Times New Roman" w:cs="Times New Roman"/>
          <w:kern w:val="2"/>
          <w:szCs w:val="24"/>
          <w:lang w:eastAsia="zh-CN" w:bidi="hi-IN"/>
        </w:rPr>
        <w:t xml:space="preserve"> </w:t>
      </w:r>
      <w:proofErr w:type="spellStart"/>
      <w:r w:rsidRPr="00775801">
        <w:rPr>
          <w:rFonts w:eastAsia="Times New Roman" w:cs="Times New Roman"/>
          <w:kern w:val="2"/>
          <w:szCs w:val="24"/>
          <w:lang w:eastAsia="zh-CN" w:bidi="hi-IN"/>
        </w:rPr>
        <w:t>series</w:t>
      </w:r>
      <w:proofErr w:type="spellEnd"/>
      <w:r w:rsidRPr="00775801">
        <w:rPr>
          <w:rFonts w:eastAsia="Times New Roman" w:cs="Times New Roman"/>
          <w:kern w:val="2"/>
          <w:szCs w:val="24"/>
          <w:lang w:eastAsia="zh-CN" w:bidi="hi-IN"/>
        </w:rPr>
        <w:t>), 352 p.</w:t>
      </w:r>
    </w:p>
    <w:p w14:paraId="748EF533" w14:textId="064D4F5C" w:rsidR="00260499" w:rsidRPr="00775801" w:rsidRDefault="00260499" w:rsidP="00B60902">
      <w:pPr>
        <w:numPr>
          <w:ilvl w:val="0"/>
          <w:numId w:val="31"/>
        </w:numPr>
        <w:spacing w:after="0" w:line="240" w:lineRule="auto"/>
        <w:ind w:left="924" w:hanging="357"/>
        <w:contextualSpacing/>
        <w:jc w:val="both"/>
        <w:rPr>
          <w:rFonts w:ascii="Times New Roman" w:eastAsia="Times New Roman" w:hAnsi="Times New Roman" w:cs="Times New Roman"/>
          <w:kern w:val="2"/>
          <w:sz w:val="24"/>
          <w:szCs w:val="24"/>
          <w:lang w:eastAsia="zh-CN" w:bidi="hi-IN"/>
        </w:rPr>
      </w:pPr>
      <w:r w:rsidRPr="0014151A">
        <w:rPr>
          <w:rFonts w:ascii="Times New Roman" w:eastAsia="Times New Roman" w:hAnsi="Times New Roman" w:cs="Times New Roman"/>
          <w:color w:val="000000"/>
          <w:kern w:val="2"/>
          <w:sz w:val="24"/>
          <w:szCs w:val="24"/>
          <w:lang w:eastAsia="ja-JP" w:bidi="hi-IN"/>
        </w:rPr>
        <w:t xml:space="preserve">Baroniņa V. 2015. Retu </w:t>
      </w:r>
      <w:proofErr w:type="spellStart"/>
      <w:r w:rsidRPr="0014151A">
        <w:rPr>
          <w:rFonts w:ascii="Times New Roman" w:eastAsia="Times New Roman" w:hAnsi="Times New Roman" w:cs="Times New Roman"/>
          <w:color w:val="000000"/>
          <w:kern w:val="2"/>
          <w:sz w:val="24"/>
          <w:szCs w:val="24"/>
          <w:lang w:eastAsia="ja-JP" w:bidi="hi-IN"/>
        </w:rPr>
        <w:t>vaskulāro</w:t>
      </w:r>
      <w:proofErr w:type="spellEnd"/>
      <w:r w:rsidRPr="0014151A">
        <w:rPr>
          <w:rFonts w:ascii="Times New Roman" w:eastAsia="Times New Roman" w:hAnsi="Times New Roman" w:cs="Times New Roman"/>
          <w:color w:val="000000"/>
          <w:kern w:val="2"/>
          <w:sz w:val="24"/>
          <w:szCs w:val="24"/>
          <w:lang w:eastAsia="ja-JP" w:bidi="hi-IN"/>
        </w:rPr>
        <w:t xml:space="preserve"> augu sugu atradumi no 2004. līdz 2014. gadam - Latvijas Botāniķu biedrības konkursa "Gada atradums" rezultāti. Latvijas Veģetācija 24: 61-81.</w:t>
      </w:r>
    </w:p>
    <w:p w14:paraId="68563DA0" w14:textId="39C9B4F6" w:rsidR="00775801" w:rsidRDefault="00B60902" w:rsidP="00B60902">
      <w:pPr>
        <w:pStyle w:val="ListParagraph"/>
        <w:numPr>
          <w:ilvl w:val="0"/>
          <w:numId w:val="31"/>
        </w:numPr>
        <w:spacing w:after="0" w:line="240" w:lineRule="auto"/>
        <w:ind w:left="924" w:hanging="357"/>
        <w:rPr>
          <w:rFonts w:eastAsia="Times New Roman" w:cs="Times New Roman"/>
          <w:kern w:val="2"/>
          <w:szCs w:val="24"/>
          <w:lang w:eastAsia="zh-CN" w:bidi="hi-IN"/>
        </w:rPr>
      </w:pPr>
      <w:r w:rsidRPr="00B60902">
        <w:rPr>
          <w:rFonts w:eastAsia="Times New Roman" w:cs="Times New Roman"/>
          <w:kern w:val="2"/>
          <w:szCs w:val="24"/>
          <w:lang w:eastAsia="zh-CN" w:bidi="hi-IN"/>
        </w:rPr>
        <w:t xml:space="preserve">Baroniņa V., Cepurīte B., </w:t>
      </w:r>
      <w:proofErr w:type="spellStart"/>
      <w:r w:rsidRPr="00B60902">
        <w:rPr>
          <w:rFonts w:eastAsia="Times New Roman" w:cs="Times New Roman"/>
          <w:kern w:val="2"/>
          <w:szCs w:val="24"/>
          <w:lang w:eastAsia="zh-CN" w:bidi="hi-IN"/>
        </w:rPr>
        <w:t>Cinovskis</w:t>
      </w:r>
      <w:proofErr w:type="spellEnd"/>
      <w:r w:rsidRPr="00B60902">
        <w:rPr>
          <w:rFonts w:eastAsia="Times New Roman" w:cs="Times New Roman"/>
          <w:kern w:val="2"/>
          <w:szCs w:val="24"/>
          <w:lang w:eastAsia="zh-CN" w:bidi="hi-IN"/>
        </w:rPr>
        <w:t xml:space="preserve"> R., Eglīte Z., </w:t>
      </w:r>
      <w:proofErr w:type="spellStart"/>
      <w:r w:rsidRPr="00B60902">
        <w:rPr>
          <w:rFonts w:eastAsia="Times New Roman" w:cs="Times New Roman"/>
          <w:kern w:val="2"/>
          <w:szCs w:val="24"/>
          <w:lang w:eastAsia="zh-CN" w:bidi="hi-IN"/>
        </w:rPr>
        <w:t>Fatare</w:t>
      </w:r>
      <w:proofErr w:type="spellEnd"/>
      <w:r w:rsidRPr="00B60902">
        <w:rPr>
          <w:rFonts w:eastAsia="Times New Roman" w:cs="Times New Roman"/>
          <w:kern w:val="2"/>
          <w:szCs w:val="24"/>
          <w:lang w:eastAsia="zh-CN" w:bidi="hi-IN"/>
        </w:rPr>
        <w:t xml:space="preserve"> I., Gavrilova G., Kabucis I., Rēriha I., Šmite D., Šulcs V., Tabaka L. Latvijas Sarkanā grāmata. </w:t>
      </w:r>
      <w:proofErr w:type="spellStart"/>
      <w:r w:rsidRPr="00B60902">
        <w:rPr>
          <w:rFonts w:eastAsia="Times New Roman" w:cs="Times New Roman"/>
          <w:kern w:val="2"/>
          <w:szCs w:val="24"/>
          <w:lang w:eastAsia="zh-CN" w:bidi="hi-IN"/>
        </w:rPr>
        <w:t>Vaskulārie</w:t>
      </w:r>
      <w:proofErr w:type="spellEnd"/>
      <w:r w:rsidRPr="00B60902">
        <w:rPr>
          <w:rFonts w:eastAsia="Times New Roman" w:cs="Times New Roman"/>
          <w:kern w:val="2"/>
          <w:szCs w:val="24"/>
          <w:lang w:eastAsia="zh-CN" w:bidi="hi-IN"/>
        </w:rPr>
        <w:t xml:space="preserve"> augi, 3.sēj. Rīga, 2003.</w:t>
      </w:r>
    </w:p>
    <w:p w14:paraId="54C107E1" w14:textId="24A26189" w:rsidR="007238FD" w:rsidRPr="00AE5164" w:rsidRDefault="00AE5164" w:rsidP="00AE5164">
      <w:pPr>
        <w:pStyle w:val="ListParagraph"/>
        <w:numPr>
          <w:ilvl w:val="0"/>
          <w:numId w:val="31"/>
        </w:numPr>
        <w:spacing w:after="0" w:line="240" w:lineRule="auto"/>
        <w:ind w:left="924" w:hanging="357"/>
        <w:rPr>
          <w:rFonts w:eastAsia="Times New Roman" w:cs="Times New Roman"/>
          <w:kern w:val="2"/>
          <w:szCs w:val="24"/>
          <w:lang w:eastAsia="zh-CN" w:bidi="hi-IN"/>
        </w:rPr>
      </w:pPr>
      <w:proofErr w:type="spellStart"/>
      <w:r w:rsidRPr="00AE5164">
        <w:rPr>
          <w:rFonts w:eastAsia="Times New Roman" w:cs="Times New Roman"/>
          <w:kern w:val="2"/>
          <w:szCs w:val="24"/>
          <w:lang w:eastAsia="zh-CN" w:bidi="hi-IN"/>
        </w:rPr>
        <w:t>Barševskis</w:t>
      </w:r>
      <w:proofErr w:type="spellEnd"/>
      <w:r w:rsidRPr="00AE5164">
        <w:rPr>
          <w:rFonts w:eastAsia="Times New Roman" w:cs="Times New Roman"/>
          <w:kern w:val="2"/>
          <w:szCs w:val="24"/>
          <w:lang w:eastAsia="zh-CN" w:bidi="hi-IN"/>
        </w:rPr>
        <w:t xml:space="preserve"> A. 1988. </w:t>
      </w:r>
      <w:proofErr w:type="spellStart"/>
      <w:r w:rsidRPr="00AE5164">
        <w:rPr>
          <w:rFonts w:eastAsia="Times New Roman" w:cs="Times New Roman"/>
          <w:kern w:val="2"/>
          <w:szCs w:val="24"/>
          <w:lang w:eastAsia="zh-CN" w:bidi="hi-IN"/>
        </w:rPr>
        <w:t>Faunističeskije</w:t>
      </w:r>
      <w:proofErr w:type="spellEnd"/>
      <w:r w:rsidRPr="00AE5164">
        <w:rPr>
          <w:rFonts w:eastAsia="Times New Roman" w:cs="Times New Roman"/>
          <w:kern w:val="2"/>
          <w:szCs w:val="24"/>
          <w:lang w:eastAsia="zh-CN" w:bidi="hi-IN"/>
        </w:rPr>
        <w:t xml:space="preserve"> </w:t>
      </w:r>
      <w:proofErr w:type="spellStart"/>
      <w:r w:rsidRPr="00AE5164">
        <w:rPr>
          <w:rFonts w:eastAsia="Times New Roman" w:cs="Times New Roman"/>
          <w:kern w:val="2"/>
          <w:szCs w:val="24"/>
          <w:lang w:eastAsia="zh-CN" w:bidi="hi-IN"/>
        </w:rPr>
        <w:t>issledovanija</w:t>
      </w:r>
      <w:proofErr w:type="spellEnd"/>
      <w:r w:rsidRPr="00AE5164">
        <w:rPr>
          <w:rFonts w:eastAsia="Times New Roman" w:cs="Times New Roman"/>
          <w:kern w:val="2"/>
          <w:szCs w:val="24"/>
          <w:lang w:eastAsia="zh-CN" w:bidi="hi-IN"/>
        </w:rPr>
        <w:t xml:space="preserve"> </w:t>
      </w:r>
      <w:proofErr w:type="spellStart"/>
      <w:r w:rsidRPr="00AE5164">
        <w:rPr>
          <w:rFonts w:eastAsia="Times New Roman" w:cs="Times New Roman"/>
          <w:kern w:val="2"/>
          <w:szCs w:val="24"/>
          <w:lang w:eastAsia="zh-CN" w:bidi="hi-IN"/>
        </w:rPr>
        <w:t>žukov</w:t>
      </w:r>
      <w:proofErr w:type="spellEnd"/>
      <w:r w:rsidRPr="00AE5164">
        <w:rPr>
          <w:rFonts w:eastAsia="Times New Roman" w:cs="Times New Roman"/>
          <w:kern w:val="2"/>
          <w:szCs w:val="24"/>
          <w:lang w:eastAsia="zh-CN" w:bidi="hi-IN"/>
        </w:rPr>
        <w:t xml:space="preserve"> </w:t>
      </w:r>
      <w:proofErr w:type="spellStart"/>
      <w:r w:rsidRPr="00AE5164">
        <w:rPr>
          <w:rFonts w:eastAsia="Times New Roman" w:cs="Times New Roman"/>
          <w:kern w:val="2"/>
          <w:szCs w:val="24"/>
          <w:lang w:eastAsia="zh-CN" w:bidi="hi-IN"/>
        </w:rPr>
        <w:t>jugovostočnoi</w:t>
      </w:r>
      <w:proofErr w:type="spellEnd"/>
      <w:r w:rsidRPr="00AE5164">
        <w:rPr>
          <w:rFonts w:eastAsia="Times New Roman" w:cs="Times New Roman"/>
          <w:kern w:val="2"/>
          <w:szCs w:val="24"/>
          <w:lang w:eastAsia="zh-CN" w:bidi="hi-IN"/>
        </w:rPr>
        <w:t xml:space="preserve"> </w:t>
      </w:r>
      <w:proofErr w:type="spellStart"/>
      <w:r w:rsidRPr="00AE5164">
        <w:rPr>
          <w:rFonts w:eastAsia="Times New Roman" w:cs="Times New Roman"/>
          <w:kern w:val="2"/>
          <w:szCs w:val="24"/>
          <w:lang w:eastAsia="zh-CN" w:bidi="hi-IN"/>
        </w:rPr>
        <w:t>časti</w:t>
      </w:r>
      <w:proofErr w:type="spellEnd"/>
      <w:r w:rsidRPr="00AE5164">
        <w:rPr>
          <w:rFonts w:eastAsia="Times New Roman" w:cs="Times New Roman"/>
          <w:kern w:val="2"/>
          <w:szCs w:val="24"/>
          <w:lang w:eastAsia="zh-CN" w:bidi="hi-IN"/>
        </w:rPr>
        <w:t xml:space="preserve"> </w:t>
      </w:r>
      <w:proofErr w:type="spellStart"/>
      <w:r w:rsidRPr="00AE5164">
        <w:rPr>
          <w:rFonts w:eastAsia="Times New Roman" w:cs="Times New Roman"/>
          <w:kern w:val="2"/>
          <w:szCs w:val="24"/>
          <w:lang w:eastAsia="zh-CN" w:bidi="hi-IN"/>
        </w:rPr>
        <w:t>Latvii</w:t>
      </w:r>
      <w:proofErr w:type="spellEnd"/>
      <w:r w:rsidRPr="00AE5164">
        <w:rPr>
          <w:rFonts w:eastAsia="Times New Roman" w:cs="Times New Roman"/>
          <w:kern w:val="2"/>
          <w:szCs w:val="24"/>
          <w:lang w:eastAsia="zh-CN" w:bidi="hi-IN"/>
        </w:rPr>
        <w:t xml:space="preserve"> v </w:t>
      </w:r>
      <w:proofErr w:type="spellStart"/>
      <w:r w:rsidRPr="00AE5164">
        <w:rPr>
          <w:rFonts w:eastAsia="Times New Roman" w:cs="Times New Roman"/>
          <w:kern w:val="2"/>
          <w:szCs w:val="24"/>
          <w:lang w:eastAsia="zh-CN" w:bidi="hi-IN"/>
        </w:rPr>
        <w:t>različnih</w:t>
      </w:r>
      <w:proofErr w:type="spellEnd"/>
      <w:r w:rsidRPr="00AE5164">
        <w:rPr>
          <w:rFonts w:eastAsia="Times New Roman" w:cs="Times New Roman"/>
          <w:kern w:val="2"/>
          <w:szCs w:val="24"/>
          <w:lang w:eastAsia="zh-CN" w:bidi="hi-IN"/>
        </w:rPr>
        <w:t xml:space="preserve"> </w:t>
      </w:r>
      <w:proofErr w:type="spellStart"/>
      <w:r w:rsidRPr="00AE5164">
        <w:rPr>
          <w:rFonts w:eastAsia="Times New Roman" w:cs="Times New Roman"/>
          <w:kern w:val="2"/>
          <w:szCs w:val="24"/>
          <w:lang w:eastAsia="zh-CN" w:bidi="hi-IN"/>
        </w:rPr>
        <w:t>biotopah</w:t>
      </w:r>
      <w:proofErr w:type="spellEnd"/>
      <w:r w:rsidRPr="00AE5164">
        <w:rPr>
          <w:rFonts w:eastAsia="Times New Roman" w:cs="Times New Roman"/>
          <w:kern w:val="2"/>
          <w:szCs w:val="24"/>
          <w:lang w:eastAsia="zh-CN" w:bidi="hi-IN"/>
        </w:rPr>
        <w:t xml:space="preserve">. </w:t>
      </w:r>
      <w:proofErr w:type="spellStart"/>
      <w:r w:rsidRPr="00AE5164">
        <w:rPr>
          <w:rFonts w:eastAsia="Times New Roman" w:cs="Times New Roman"/>
          <w:kern w:val="2"/>
          <w:szCs w:val="24"/>
          <w:lang w:eastAsia="zh-CN" w:bidi="hi-IN"/>
        </w:rPr>
        <w:t>Ekologičeskoje</w:t>
      </w:r>
      <w:proofErr w:type="spellEnd"/>
      <w:r w:rsidRPr="00AE5164">
        <w:rPr>
          <w:rFonts w:eastAsia="Times New Roman" w:cs="Times New Roman"/>
          <w:kern w:val="2"/>
          <w:szCs w:val="24"/>
          <w:lang w:eastAsia="zh-CN" w:bidi="hi-IN"/>
        </w:rPr>
        <w:t xml:space="preserve"> </w:t>
      </w:r>
      <w:proofErr w:type="spellStart"/>
      <w:r w:rsidRPr="00AE5164">
        <w:rPr>
          <w:rFonts w:eastAsia="Times New Roman" w:cs="Times New Roman"/>
          <w:kern w:val="2"/>
          <w:szCs w:val="24"/>
          <w:lang w:eastAsia="zh-CN" w:bidi="hi-IN"/>
        </w:rPr>
        <w:t>vospitanije</w:t>
      </w:r>
      <w:proofErr w:type="spellEnd"/>
      <w:r w:rsidRPr="00AE5164">
        <w:rPr>
          <w:rFonts w:eastAsia="Times New Roman" w:cs="Times New Roman"/>
          <w:kern w:val="2"/>
          <w:szCs w:val="24"/>
          <w:lang w:eastAsia="zh-CN" w:bidi="hi-IN"/>
        </w:rPr>
        <w:t xml:space="preserve"> v </w:t>
      </w:r>
      <w:proofErr w:type="spellStart"/>
      <w:r w:rsidRPr="00AE5164">
        <w:rPr>
          <w:rFonts w:eastAsia="Times New Roman" w:cs="Times New Roman"/>
          <w:kern w:val="2"/>
          <w:szCs w:val="24"/>
          <w:lang w:eastAsia="zh-CN" w:bidi="hi-IN"/>
        </w:rPr>
        <w:t>srednei</w:t>
      </w:r>
      <w:proofErr w:type="spellEnd"/>
      <w:r w:rsidRPr="00AE5164">
        <w:rPr>
          <w:rFonts w:eastAsia="Times New Roman" w:cs="Times New Roman"/>
          <w:kern w:val="2"/>
          <w:szCs w:val="24"/>
          <w:lang w:eastAsia="zh-CN" w:bidi="hi-IN"/>
        </w:rPr>
        <w:t xml:space="preserve"> I </w:t>
      </w:r>
      <w:proofErr w:type="spellStart"/>
      <w:r w:rsidRPr="00AE5164">
        <w:rPr>
          <w:rFonts w:eastAsia="Times New Roman" w:cs="Times New Roman"/>
          <w:kern w:val="2"/>
          <w:szCs w:val="24"/>
          <w:lang w:eastAsia="zh-CN" w:bidi="hi-IN"/>
        </w:rPr>
        <w:t>visšei</w:t>
      </w:r>
      <w:proofErr w:type="spellEnd"/>
      <w:r w:rsidRPr="00AE5164">
        <w:rPr>
          <w:rFonts w:eastAsia="Times New Roman" w:cs="Times New Roman"/>
          <w:kern w:val="2"/>
          <w:szCs w:val="24"/>
          <w:lang w:eastAsia="zh-CN" w:bidi="hi-IN"/>
        </w:rPr>
        <w:t xml:space="preserve"> </w:t>
      </w:r>
      <w:proofErr w:type="spellStart"/>
      <w:r w:rsidRPr="00AE5164">
        <w:rPr>
          <w:rFonts w:eastAsia="Times New Roman" w:cs="Times New Roman"/>
          <w:kern w:val="2"/>
          <w:szCs w:val="24"/>
          <w:lang w:eastAsia="zh-CN" w:bidi="hi-IN"/>
        </w:rPr>
        <w:t>škole</w:t>
      </w:r>
      <w:proofErr w:type="spellEnd"/>
      <w:r w:rsidRPr="00AE5164">
        <w:rPr>
          <w:rFonts w:eastAsia="Times New Roman" w:cs="Times New Roman"/>
          <w:kern w:val="2"/>
          <w:szCs w:val="24"/>
          <w:lang w:eastAsia="zh-CN" w:bidi="hi-IN"/>
        </w:rPr>
        <w:t xml:space="preserve">, Daugavpils: 63 </w:t>
      </w:r>
      <w:r>
        <w:rPr>
          <w:rFonts w:eastAsia="Times New Roman" w:cs="Times New Roman"/>
          <w:kern w:val="2"/>
          <w:szCs w:val="24"/>
          <w:lang w:eastAsia="zh-CN" w:bidi="hi-IN"/>
        </w:rPr>
        <w:t>–</w:t>
      </w:r>
      <w:r w:rsidRPr="00AE5164">
        <w:rPr>
          <w:rFonts w:eastAsia="Times New Roman" w:cs="Times New Roman"/>
          <w:kern w:val="2"/>
          <w:szCs w:val="24"/>
          <w:lang w:eastAsia="zh-CN" w:bidi="hi-IN"/>
        </w:rPr>
        <w:t xml:space="preserve"> 75</w:t>
      </w:r>
      <w:r>
        <w:rPr>
          <w:rFonts w:eastAsia="Times New Roman" w:cs="Times New Roman"/>
          <w:kern w:val="2"/>
          <w:szCs w:val="24"/>
          <w:lang w:eastAsia="zh-CN" w:bidi="hi-IN"/>
        </w:rPr>
        <w:t>.</w:t>
      </w:r>
    </w:p>
    <w:p w14:paraId="2B619B64" w14:textId="5EEA3F2E" w:rsidR="00260499" w:rsidRPr="0014151A" w:rsidRDefault="00260499" w:rsidP="00B60902">
      <w:pPr>
        <w:numPr>
          <w:ilvl w:val="0"/>
          <w:numId w:val="31"/>
        </w:numPr>
        <w:spacing w:after="0" w:line="240" w:lineRule="auto"/>
        <w:ind w:left="924" w:hanging="357"/>
        <w:contextualSpacing/>
        <w:jc w:val="both"/>
        <w:rPr>
          <w:rFonts w:ascii="Times New Roman" w:eastAsia="Times New Roman" w:hAnsi="Times New Roman" w:cs="Times New Roman"/>
          <w:kern w:val="2"/>
          <w:sz w:val="24"/>
          <w:szCs w:val="24"/>
          <w:lang w:eastAsia="zh-CN" w:bidi="hi-IN"/>
        </w:rPr>
      </w:pPr>
      <w:proofErr w:type="spellStart"/>
      <w:r w:rsidRPr="0014151A">
        <w:rPr>
          <w:rFonts w:ascii="Times New Roman" w:eastAsia="Times New Roman" w:hAnsi="Times New Roman" w:cs="Times New Roman"/>
          <w:color w:val="000000"/>
          <w:kern w:val="2"/>
          <w:sz w:val="24"/>
          <w:szCs w:val="24"/>
          <w:lang w:eastAsia="ja-JP" w:bidi="hi-IN"/>
        </w:rPr>
        <w:t>Barševskis</w:t>
      </w:r>
      <w:proofErr w:type="spellEnd"/>
      <w:r w:rsidRPr="0014151A">
        <w:rPr>
          <w:rFonts w:ascii="Times New Roman" w:eastAsia="Times New Roman" w:hAnsi="Times New Roman" w:cs="Times New Roman"/>
          <w:color w:val="000000"/>
          <w:kern w:val="2"/>
          <w:sz w:val="24"/>
          <w:szCs w:val="24"/>
          <w:lang w:eastAsia="ja-JP" w:bidi="hi-IN"/>
        </w:rPr>
        <w:t xml:space="preserve"> A. 1993. </w:t>
      </w:r>
      <w:proofErr w:type="spellStart"/>
      <w:r w:rsidRPr="0014151A">
        <w:rPr>
          <w:rFonts w:ascii="Times New Roman" w:eastAsia="Times New Roman" w:hAnsi="Times New Roman" w:cs="Times New Roman"/>
          <w:color w:val="000000"/>
          <w:kern w:val="2"/>
          <w:sz w:val="24"/>
          <w:szCs w:val="24"/>
          <w:lang w:eastAsia="ja-JP" w:bidi="hi-IN"/>
        </w:rPr>
        <w:t>Austrumlatvijas</w:t>
      </w:r>
      <w:proofErr w:type="spellEnd"/>
      <w:r w:rsidRPr="0014151A">
        <w:rPr>
          <w:rFonts w:ascii="Times New Roman" w:eastAsia="Times New Roman" w:hAnsi="Times New Roman" w:cs="Times New Roman"/>
          <w:color w:val="000000"/>
          <w:kern w:val="2"/>
          <w:sz w:val="24"/>
          <w:szCs w:val="24"/>
          <w:lang w:eastAsia="ja-JP" w:bidi="hi-IN"/>
        </w:rPr>
        <w:t xml:space="preserve"> vaboles. Daugavpils, Saule: 1-221.</w:t>
      </w:r>
    </w:p>
    <w:p w14:paraId="5A931A87" w14:textId="5B86C1D8" w:rsidR="00260499" w:rsidRPr="0014151A" w:rsidRDefault="00260499" w:rsidP="00F87589">
      <w:pPr>
        <w:numPr>
          <w:ilvl w:val="0"/>
          <w:numId w:val="31"/>
        </w:numPr>
        <w:spacing w:after="120" w:line="240" w:lineRule="auto"/>
        <w:contextualSpacing/>
        <w:jc w:val="both"/>
        <w:rPr>
          <w:rFonts w:ascii="Times New Roman" w:eastAsia="Times New Roman" w:hAnsi="Times New Roman" w:cs="Times New Roman"/>
          <w:kern w:val="2"/>
          <w:sz w:val="24"/>
          <w:szCs w:val="24"/>
          <w:lang w:eastAsia="zh-CN" w:bidi="hi-IN"/>
        </w:rPr>
      </w:pPr>
      <w:proofErr w:type="spellStart"/>
      <w:r w:rsidRPr="0014151A">
        <w:rPr>
          <w:rFonts w:ascii="Times New Roman" w:eastAsia="Times New Roman" w:hAnsi="Times New Roman" w:cs="Times New Roman"/>
          <w:color w:val="000000"/>
          <w:kern w:val="2"/>
          <w:sz w:val="24"/>
          <w:szCs w:val="24"/>
          <w:lang w:eastAsia="ja-JP" w:bidi="hi-IN"/>
        </w:rPr>
        <w:t>Barševskis</w:t>
      </w:r>
      <w:proofErr w:type="spellEnd"/>
      <w:r w:rsidRPr="0014151A">
        <w:rPr>
          <w:rFonts w:ascii="Times New Roman" w:eastAsia="Times New Roman" w:hAnsi="Times New Roman" w:cs="Times New Roman"/>
          <w:color w:val="000000"/>
          <w:kern w:val="2"/>
          <w:sz w:val="24"/>
          <w:szCs w:val="24"/>
          <w:lang w:eastAsia="ja-JP" w:bidi="hi-IN"/>
        </w:rPr>
        <w:t xml:space="preserve"> A. 2003. Latvijas skrejvaboles (</w:t>
      </w:r>
      <w:proofErr w:type="spellStart"/>
      <w:r w:rsidRPr="0014151A">
        <w:rPr>
          <w:rFonts w:ascii="Times New Roman" w:eastAsia="Times New Roman" w:hAnsi="Times New Roman" w:cs="Times New Roman"/>
          <w:color w:val="000000"/>
          <w:kern w:val="2"/>
          <w:sz w:val="24"/>
          <w:szCs w:val="24"/>
          <w:lang w:eastAsia="ja-JP" w:bidi="hi-IN"/>
        </w:rPr>
        <w:t>Coleoptera</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Carabidae</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Trachypachidae</w:t>
      </w:r>
      <w:proofErr w:type="spellEnd"/>
      <w:r w:rsidRPr="0014151A">
        <w:rPr>
          <w:rFonts w:ascii="Times New Roman" w:eastAsia="Times New Roman" w:hAnsi="Times New Roman" w:cs="Times New Roman"/>
          <w:color w:val="000000"/>
          <w:kern w:val="2"/>
          <w:sz w:val="24"/>
          <w:szCs w:val="24"/>
          <w:lang w:eastAsia="ja-JP" w:bidi="hi-IN"/>
        </w:rPr>
        <w:t xml:space="preserve"> &amp; </w:t>
      </w:r>
      <w:proofErr w:type="spellStart"/>
      <w:r w:rsidRPr="0014151A">
        <w:rPr>
          <w:rFonts w:ascii="Times New Roman" w:eastAsia="Times New Roman" w:hAnsi="Times New Roman" w:cs="Times New Roman"/>
          <w:color w:val="000000"/>
          <w:kern w:val="2"/>
          <w:sz w:val="24"/>
          <w:szCs w:val="24"/>
          <w:lang w:eastAsia="ja-JP" w:bidi="hi-IN"/>
        </w:rPr>
        <w:t>Rhysodidae</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Baltic</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Institute</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of</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Coleopterology</w:t>
      </w:r>
      <w:proofErr w:type="spellEnd"/>
      <w:r w:rsidRPr="0014151A">
        <w:rPr>
          <w:rFonts w:ascii="Times New Roman" w:eastAsia="Times New Roman" w:hAnsi="Times New Roman" w:cs="Times New Roman"/>
          <w:color w:val="000000"/>
          <w:kern w:val="2"/>
          <w:sz w:val="24"/>
          <w:szCs w:val="24"/>
          <w:lang w:eastAsia="ja-JP" w:bidi="hi-IN"/>
        </w:rPr>
        <w:t>, Daugavpils, 264 lpp.</w:t>
      </w:r>
    </w:p>
    <w:p w14:paraId="586D86A8" w14:textId="77777777" w:rsidR="00260499" w:rsidRPr="0014151A" w:rsidRDefault="00260499" w:rsidP="00F87589">
      <w:pPr>
        <w:numPr>
          <w:ilvl w:val="0"/>
          <w:numId w:val="31"/>
        </w:numPr>
        <w:spacing w:after="120" w:line="240" w:lineRule="auto"/>
        <w:contextualSpacing/>
        <w:jc w:val="both"/>
        <w:rPr>
          <w:rFonts w:ascii="Times New Roman" w:eastAsia="Times New Roman" w:hAnsi="Times New Roman" w:cs="Times New Roman"/>
          <w:kern w:val="2"/>
          <w:sz w:val="24"/>
          <w:szCs w:val="24"/>
          <w:lang w:eastAsia="zh-CN" w:bidi="hi-IN"/>
        </w:rPr>
      </w:pPr>
      <w:r w:rsidRPr="0014151A">
        <w:rPr>
          <w:rFonts w:ascii="Times New Roman" w:eastAsia="Times New Roman" w:hAnsi="Times New Roman" w:cs="Times New Roman"/>
          <w:color w:val="000000"/>
          <w:kern w:val="2"/>
          <w:sz w:val="24"/>
          <w:szCs w:val="24"/>
          <w:lang w:eastAsia="ja-JP" w:bidi="hi-IN"/>
        </w:rPr>
        <w:lastRenderedPageBreak/>
        <w:t>Bāra J. (</w:t>
      </w:r>
      <w:proofErr w:type="spellStart"/>
      <w:r w:rsidRPr="0014151A">
        <w:rPr>
          <w:rFonts w:ascii="Times New Roman" w:eastAsia="Times New Roman" w:hAnsi="Times New Roman" w:cs="Times New Roman"/>
          <w:color w:val="000000"/>
          <w:kern w:val="2"/>
          <w:sz w:val="24"/>
          <w:szCs w:val="24"/>
          <w:lang w:eastAsia="ja-JP" w:bidi="hi-IN"/>
        </w:rPr>
        <w:t>proj.vad</w:t>
      </w:r>
      <w:proofErr w:type="spellEnd"/>
      <w:r w:rsidRPr="0014151A">
        <w:rPr>
          <w:rFonts w:ascii="Times New Roman" w:eastAsia="Times New Roman" w:hAnsi="Times New Roman" w:cs="Times New Roman"/>
          <w:color w:val="000000"/>
          <w:kern w:val="2"/>
          <w:sz w:val="24"/>
          <w:szCs w:val="24"/>
          <w:lang w:eastAsia="ja-JP" w:bidi="hi-IN"/>
        </w:rPr>
        <w:t>.) 2010. Dabas parks “Daugavas loki”. Dabas aizsardzības plāns. Daugavpils, 206 lpp.</w:t>
      </w:r>
    </w:p>
    <w:p w14:paraId="7A151D41" w14:textId="1EB692C0" w:rsidR="00B23EB3" w:rsidRPr="0014151A" w:rsidRDefault="00B23EB3" w:rsidP="00F87589">
      <w:pPr>
        <w:numPr>
          <w:ilvl w:val="0"/>
          <w:numId w:val="31"/>
        </w:numPr>
        <w:spacing w:after="120" w:line="240" w:lineRule="auto"/>
        <w:contextualSpacing/>
        <w:jc w:val="both"/>
        <w:rPr>
          <w:rFonts w:ascii="Times New Roman" w:eastAsia="Times New Roman" w:hAnsi="Times New Roman" w:cs="Times New Roman"/>
          <w:kern w:val="2"/>
          <w:sz w:val="24"/>
          <w:szCs w:val="24"/>
          <w:lang w:eastAsia="zh-CN" w:bidi="hi-IN"/>
        </w:rPr>
      </w:pPr>
      <w:r w:rsidRPr="0014151A">
        <w:rPr>
          <w:rFonts w:ascii="Times New Roman" w:eastAsia="Times New Roman" w:hAnsi="Times New Roman" w:cs="Times New Roman"/>
          <w:kern w:val="2"/>
          <w:sz w:val="24"/>
          <w:szCs w:val="24"/>
          <w:lang w:eastAsia="zh-CN" w:bidi="hi-IN"/>
        </w:rPr>
        <w:t xml:space="preserve">Bērziņš A. 2008. Smilšu krupja </w:t>
      </w:r>
      <w:proofErr w:type="spellStart"/>
      <w:r w:rsidRPr="0014151A">
        <w:rPr>
          <w:rFonts w:ascii="Times New Roman" w:eastAsia="Times New Roman" w:hAnsi="Times New Roman" w:cs="Times New Roman"/>
          <w:kern w:val="2"/>
          <w:sz w:val="24"/>
          <w:szCs w:val="24"/>
          <w:lang w:eastAsia="zh-CN" w:bidi="hi-IN"/>
        </w:rPr>
        <w:t>Bufo</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calamita</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Laurenti</w:t>
      </w:r>
      <w:proofErr w:type="spellEnd"/>
      <w:r w:rsidRPr="0014151A">
        <w:rPr>
          <w:rFonts w:ascii="Times New Roman" w:eastAsia="Times New Roman" w:hAnsi="Times New Roman" w:cs="Times New Roman"/>
          <w:kern w:val="2"/>
          <w:sz w:val="24"/>
          <w:szCs w:val="24"/>
          <w:lang w:eastAsia="zh-CN" w:bidi="hi-IN"/>
        </w:rPr>
        <w:t>, 1768) sugas aizsardzības plāns Latvijā. Dabas aizsardzības pārvalde, Ainaži.</w:t>
      </w:r>
    </w:p>
    <w:p w14:paraId="623310A5" w14:textId="5D2885D9" w:rsidR="00260499" w:rsidRPr="0014151A" w:rsidRDefault="00260499" w:rsidP="00F87589">
      <w:pPr>
        <w:numPr>
          <w:ilvl w:val="0"/>
          <w:numId w:val="31"/>
        </w:numPr>
        <w:spacing w:after="120" w:line="240" w:lineRule="auto"/>
        <w:contextualSpacing/>
        <w:jc w:val="both"/>
        <w:rPr>
          <w:rFonts w:ascii="Times New Roman" w:eastAsia="Times New Roman" w:hAnsi="Times New Roman" w:cs="Times New Roman"/>
          <w:kern w:val="2"/>
          <w:sz w:val="24"/>
          <w:szCs w:val="24"/>
          <w:lang w:eastAsia="zh-CN" w:bidi="hi-IN"/>
        </w:rPr>
      </w:pPr>
      <w:proofErr w:type="spellStart"/>
      <w:r w:rsidRPr="0014151A">
        <w:rPr>
          <w:rFonts w:ascii="Times New Roman" w:eastAsia="Times New Roman" w:hAnsi="Times New Roman" w:cs="Times New Roman"/>
          <w:color w:val="000000"/>
          <w:kern w:val="2"/>
          <w:sz w:val="24"/>
          <w:szCs w:val="24"/>
          <w:lang w:eastAsia="ja-JP" w:bidi="hi-IN"/>
        </w:rPr>
        <w:t>Bienert</w:t>
      </w:r>
      <w:proofErr w:type="spellEnd"/>
      <w:r w:rsidRPr="0014151A">
        <w:rPr>
          <w:rFonts w:ascii="Times New Roman" w:eastAsia="Times New Roman" w:hAnsi="Times New Roman" w:cs="Times New Roman"/>
          <w:color w:val="000000"/>
          <w:kern w:val="2"/>
          <w:sz w:val="24"/>
          <w:szCs w:val="24"/>
          <w:lang w:eastAsia="ja-JP" w:bidi="hi-IN"/>
        </w:rPr>
        <w:t xml:space="preserve"> T. 1861. </w:t>
      </w:r>
      <w:proofErr w:type="spellStart"/>
      <w:r w:rsidRPr="0014151A">
        <w:rPr>
          <w:rFonts w:ascii="Times New Roman" w:eastAsia="Times New Roman" w:hAnsi="Times New Roman" w:cs="Times New Roman"/>
          <w:color w:val="000000"/>
          <w:kern w:val="2"/>
          <w:sz w:val="24"/>
          <w:szCs w:val="24"/>
          <w:lang w:eastAsia="ja-JP" w:bidi="hi-IN"/>
        </w:rPr>
        <w:t>Reisebericht</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Sitzungsberichte</w:t>
      </w:r>
      <w:proofErr w:type="spellEnd"/>
      <w:r w:rsidRPr="0014151A">
        <w:rPr>
          <w:rFonts w:ascii="Times New Roman" w:eastAsia="Times New Roman" w:hAnsi="Times New Roman" w:cs="Times New Roman"/>
          <w:color w:val="000000"/>
          <w:kern w:val="2"/>
          <w:sz w:val="24"/>
          <w:szCs w:val="24"/>
          <w:lang w:eastAsia="ja-JP" w:bidi="hi-IN"/>
        </w:rPr>
        <w:t xml:space="preserve"> der </w:t>
      </w:r>
      <w:proofErr w:type="spellStart"/>
      <w:r w:rsidRPr="0014151A">
        <w:rPr>
          <w:rFonts w:ascii="Times New Roman" w:eastAsia="Times New Roman" w:hAnsi="Times New Roman" w:cs="Times New Roman"/>
          <w:color w:val="000000"/>
          <w:kern w:val="2"/>
          <w:sz w:val="24"/>
          <w:szCs w:val="24"/>
          <w:lang w:eastAsia="ja-JP" w:bidi="hi-IN"/>
        </w:rPr>
        <w:t>Naturforscher</w:t>
      </w:r>
      <w:proofErr w:type="spellEnd"/>
      <w:r w:rsidRPr="0014151A">
        <w:rPr>
          <w:rFonts w:ascii="Times New Roman" w:eastAsia="Times New Roman" w:hAnsi="Times New Roman" w:cs="Times New Roman"/>
          <w:color w:val="000000"/>
          <w:kern w:val="2"/>
          <w:sz w:val="24"/>
          <w:szCs w:val="24"/>
          <w:lang w:eastAsia="ja-JP" w:bidi="hi-IN"/>
        </w:rPr>
        <w:t xml:space="preserve"> – </w:t>
      </w:r>
      <w:proofErr w:type="spellStart"/>
      <w:r w:rsidRPr="0014151A">
        <w:rPr>
          <w:rFonts w:ascii="Times New Roman" w:eastAsia="Times New Roman" w:hAnsi="Times New Roman" w:cs="Times New Roman"/>
          <w:color w:val="000000"/>
          <w:kern w:val="2"/>
          <w:sz w:val="24"/>
          <w:szCs w:val="24"/>
          <w:lang w:eastAsia="ja-JP" w:bidi="hi-IN"/>
        </w:rPr>
        <w:t>Gesellschaft</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zu</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Dorpat</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in</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Jahren</w:t>
      </w:r>
      <w:proofErr w:type="spellEnd"/>
      <w:r w:rsidRPr="0014151A">
        <w:rPr>
          <w:rFonts w:ascii="Times New Roman" w:eastAsia="Times New Roman" w:hAnsi="Times New Roman" w:cs="Times New Roman"/>
          <w:color w:val="000000"/>
          <w:kern w:val="2"/>
          <w:sz w:val="24"/>
          <w:szCs w:val="24"/>
          <w:lang w:eastAsia="ja-JP" w:bidi="hi-IN"/>
        </w:rPr>
        <w:t xml:space="preserve"> 1853 </w:t>
      </w:r>
      <w:proofErr w:type="spellStart"/>
      <w:r w:rsidRPr="0014151A">
        <w:rPr>
          <w:rFonts w:ascii="Times New Roman" w:eastAsia="Times New Roman" w:hAnsi="Times New Roman" w:cs="Times New Roman"/>
          <w:color w:val="000000"/>
          <w:kern w:val="2"/>
          <w:sz w:val="24"/>
          <w:szCs w:val="24"/>
          <w:lang w:eastAsia="ja-JP" w:bidi="hi-IN"/>
        </w:rPr>
        <w:t>bis</w:t>
      </w:r>
      <w:proofErr w:type="spellEnd"/>
      <w:r w:rsidRPr="0014151A">
        <w:rPr>
          <w:rFonts w:ascii="Times New Roman" w:eastAsia="Times New Roman" w:hAnsi="Times New Roman" w:cs="Times New Roman"/>
          <w:color w:val="000000"/>
          <w:kern w:val="2"/>
          <w:sz w:val="24"/>
          <w:szCs w:val="24"/>
          <w:lang w:eastAsia="ja-JP" w:bidi="hi-IN"/>
        </w:rPr>
        <w:t xml:space="preserve"> 1860. </w:t>
      </w:r>
      <w:proofErr w:type="spellStart"/>
      <w:r w:rsidRPr="0014151A">
        <w:rPr>
          <w:rFonts w:ascii="Times New Roman" w:eastAsia="Times New Roman" w:hAnsi="Times New Roman" w:cs="Times New Roman"/>
          <w:color w:val="000000"/>
          <w:kern w:val="2"/>
          <w:sz w:val="24"/>
          <w:szCs w:val="24"/>
          <w:lang w:eastAsia="ja-JP" w:bidi="hi-IN"/>
        </w:rPr>
        <w:t>Dorpat</w:t>
      </w:r>
      <w:proofErr w:type="spellEnd"/>
      <w:r w:rsidRPr="0014151A">
        <w:rPr>
          <w:rFonts w:ascii="Times New Roman" w:eastAsia="Times New Roman" w:hAnsi="Times New Roman" w:cs="Times New Roman"/>
          <w:color w:val="000000"/>
          <w:kern w:val="2"/>
          <w:sz w:val="24"/>
          <w:szCs w:val="24"/>
          <w:lang w:eastAsia="ja-JP" w:bidi="hi-IN"/>
        </w:rPr>
        <w:t>.</w:t>
      </w:r>
    </w:p>
    <w:p w14:paraId="5C127D8E" w14:textId="76A3B536" w:rsidR="00260499" w:rsidRPr="0014151A" w:rsidRDefault="00DB5246" w:rsidP="00DB5246">
      <w:pPr>
        <w:numPr>
          <w:ilvl w:val="0"/>
          <w:numId w:val="31"/>
        </w:numPr>
        <w:spacing w:before="120" w:after="0" w:line="240" w:lineRule="auto"/>
        <w:contextualSpacing/>
        <w:jc w:val="both"/>
        <w:rPr>
          <w:rFonts w:ascii="Times New Roman" w:eastAsia="Times New Roman" w:hAnsi="Times New Roman" w:cs="Times New Roman"/>
          <w:kern w:val="2"/>
          <w:sz w:val="24"/>
          <w:szCs w:val="24"/>
          <w:lang w:eastAsia="zh-CN" w:bidi="hi-IN"/>
        </w:rPr>
      </w:pPr>
      <w:proofErr w:type="spellStart"/>
      <w:r w:rsidRPr="0014151A">
        <w:rPr>
          <w:rFonts w:ascii="Times New Roman" w:eastAsia="Times New Roman" w:hAnsi="Times New Roman" w:cs="Times New Roman"/>
          <w:kern w:val="2"/>
          <w:sz w:val="24"/>
          <w:szCs w:val="24"/>
          <w:lang w:eastAsia="zh-CN" w:bidi="hi-IN"/>
        </w:rPr>
        <w:t>BirdLife</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International</w:t>
      </w:r>
      <w:proofErr w:type="spellEnd"/>
      <w:r w:rsidRPr="0014151A">
        <w:rPr>
          <w:rFonts w:ascii="Times New Roman" w:eastAsia="Times New Roman" w:hAnsi="Times New Roman" w:cs="Times New Roman"/>
          <w:kern w:val="2"/>
          <w:sz w:val="24"/>
          <w:szCs w:val="24"/>
          <w:lang w:eastAsia="zh-CN" w:bidi="hi-IN"/>
        </w:rPr>
        <w:t xml:space="preserve"> 2019. </w:t>
      </w:r>
      <w:proofErr w:type="spellStart"/>
      <w:r w:rsidRPr="0014151A">
        <w:rPr>
          <w:rFonts w:ascii="Times New Roman" w:eastAsia="Times New Roman" w:hAnsi="Times New Roman" w:cs="Times New Roman"/>
          <w:kern w:val="2"/>
          <w:sz w:val="24"/>
          <w:szCs w:val="24"/>
          <w:lang w:eastAsia="zh-CN" w:bidi="hi-IN"/>
        </w:rPr>
        <w:t>Annex</w:t>
      </w:r>
      <w:proofErr w:type="spellEnd"/>
      <w:r w:rsidRPr="0014151A">
        <w:rPr>
          <w:rFonts w:ascii="Times New Roman" w:eastAsia="Times New Roman" w:hAnsi="Times New Roman" w:cs="Times New Roman"/>
          <w:kern w:val="2"/>
          <w:sz w:val="24"/>
          <w:szCs w:val="24"/>
          <w:lang w:eastAsia="zh-CN" w:bidi="hi-IN"/>
        </w:rPr>
        <w:t xml:space="preserve"> B</w:t>
      </w:r>
      <w:r w:rsidR="00260499" w:rsidRPr="0014151A">
        <w:rPr>
          <w:rFonts w:ascii="Times New Roman" w:eastAsia="Times New Roman" w:hAnsi="Times New Roman" w:cs="Times New Roman"/>
          <w:kern w:val="2"/>
          <w:sz w:val="24"/>
          <w:szCs w:val="24"/>
          <w:lang w:eastAsia="zh-CN" w:bidi="hi-IN"/>
        </w:rPr>
        <w:t xml:space="preserve">: </w:t>
      </w:r>
      <w:proofErr w:type="spellStart"/>
      <w:r w:rsidR="00260499" w:rsidRPr="0014151A">
        <w:rPr>
          <w:rFonts w:ascii="Times New Roman" w:eastAsia="Times New Roman" w:hAnsi="Times New Roman" w:cs="Times New Roman"/>
          <w:kern w:val="2"/>
          <w:sz w:val="24"/>
          <w:szCs w:val="24"/>
          <w:lang w:eastAsia="zh-CN" w:bidi="hi-IN"/>
        </w:rPr>
        <w:t>Bird</w:t>
      </w:r>
      <w:proofErr w:type="spellEnd"/>
      <w:r w:rsidR="00260499" w:rsidRPr="0014151A">
        <w:rPr>
          <w:rFonts w:ascii="Times New Roman" w:eastAsia="Times New Roman" w:hAnsi="Times New Roman" w:cs="Times New Roman"/>
          <w:kern w:val="2"/>
          <w:sz w:val="24"/>
          <w:szCs w:val="24"/>
          <w:lang w:eastAsia="zh-CN" w:bidi="hi-IN"/>
        </w:rPr>
        <w:t xml:space="preserve"> </w:t>
      </w:r>
      <w:proofErr w:type="spellStart"/>
      <w:r w:rsidR="00260499" w:rsidRPr="0014151A">
        <w:rPr>
          <w:rFonts w:ascii="Times New Roman" w:eastAsia="Times New Roman" w:hAnsi="Times New Roman" w:cs="Times New Roman"/>
          <w:kern w:val="2"/>
          <w:sz w:val="24"/>
          <w:szCs w:val="24"/>
          <w:lang w:eastAsia="zh-CN" w:bidi="hi-IN"/>
        </w:rPr>
        <w:t>species</w:t>
      </w:r>
      <w:proofErr w:type="spellEnd"/>
      <w:r w:rsidR="00260499" w:rsidRPr="0014151A">
        <w:rPr>
          <w:rFonts w:ascii="Times New Roman" w:eastAsia="Times New Roman" w:hAnsi="Times New Roman" w:cs="Times New Roman"/>
          <w:kern w:val="2"/>
          <w:sz w:val="24"/>
          <w:szCs w:val="24"/>
          <w:lang w:eastAsia="zh-CN" w:bidi="hi-IN"/>
        </w:rPr>
        <w:t xml:space="preserve">' status </w:t>
      </w:r>
      <w:proofErr w:type="spellStart"/>
      <w:r w:rsidR="00260499" w:rsidRPr="0014151A">
        <w:rPr>
          <w:rFonts w:ascii="Times New Roman" w:eastAsia="Times New Roman" w:hAnsi="Times New Roman" w:cs="Times New Roman"/>
          <w:kern w:val="2"/>
          <w:sz w:val="24"/>
          <w:szCs w:val="24"/>
          <w:lang w:eastAsia="zh-CN" w:bidi="hi-IN"/>
        </w:rPr>
        <w:t>and</w:t>
      </w:r>
      <w:proofErr w:type="spellEnd"/>
      <w:r w:rsidR="00260499" w:rsidRPr="0014151A">
        <w:rPr>
          <w:rFonts w:ascii="Times New Roman" w:eastAsia="Times New Roman" w:hAnsi="Times New Roman" w:cs="Times New Roman"/>
          <w:kern w:val="2"/>
          <w:sz w:val="24"/>
          <w:szCs w:val="24"/>
          <w:lang w:eastAsia="zh-CN" w:bidi="hi-IN"/>
        </w:rPr>
        <w:t xml:space="preserve"> trends</w:t>
      </w:r>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report</w:t>
      </w:r>
      <w:proofErr w:type="spellEnd"/>
      <w:r w:rsidR="00260499" w:rsidRPr="0014151A">
        <w:rPr>
          <w:rFonts w:ascii="Times New Roman" w:eastAsia="Times New Roman" w:hAnsi="Times New Roman" w:cs="Times New Roman"/>
          <w:kern w:val="2"/>
          <w:sz w:val="24"/>
          <w:szCs w:val="24"/>
          <w:lang w:eastAsia="zh-CN" w:bidi="hi-IN"/>
        </w:rPr>
        <w:t xml:space="preserve"> </w:t>
      </w:r>
      <w:proofErr w:type="spellStart"/>
      <w:r w:rsidR="00260499" w:rsidRPr="0014151A">
        <w:rPr>
          <w:rFonts w:ascii="Times New Roman" w:eastAsia="Times New Roman" w:hAnsi="Times New Roman" w:cs="Times New Roman"/>
          <w:kern w:val="2"/>
          <w:sz w:val="24"/>
          <w:szCs w:val="24"/>
          <w:lang w:eastAsia="zh-CN" w:bidi="hi-IN"/>
        </w:rPr>
        <w:t>format</w:t>
      </w:r>
      <w:proofErr w:type="spellEnd"/>
      <w:r w:rsidR="00260499" w:rsidRPr="0014151A">
        <w:rPr>
          <w:rFonts w:ascii="Times New Roman" w:eastAsia="Times New Roman" w:hAnsi="Times New Roman" w:cs="Times New Roman"/>
          <w:kern w:val="2"/>
          <w:sz w:val="24"/>
          <w:szCs w:val="24"/>
          <w:lang w:eastAsia="zh-CN" w:bidi="hi-IN"/>
        </w:rPr>
        <w:t xml:space="preserve"> </w:t>
      </w:r>
      <w:r w:rsidRPr="0014151A">
        <w:rPr>
          <w:rFonts w:ascii="Times New Roman" w:eastAsia="Times New Roman" w:hAnsi="Times New Roman" w:cs="Times New Roman"/>
          <w:kern w:val="2"/>
          <w:sz w:val="24"/>
          <w:szCs w:val="24"/>
          <w:lang w:eastAsia="zh-CN" w:bidi="hi-IN"/>
        </w:rPr>
        <w:t>(</w:t>
      </w:r>
      <w:proofErr w:type="spellStart"/>
      <w:r w:rsidRPr="0014151A">
        <w:rPr>
          <w:rFonts w:ascii="Times New Roman" w:eastAsia="Times New Roman" w:hAnsi="Times New Roman" w:cs="Times New Roman"/>
          <w:kern w:val="2"/>
          <w:sz w:val="24"/>
          <w:szCs w:val="24"/>
          <w:lang w:eastAsia="zh-CN" w:bidi="hi-IN"/>
        </w:rPr>
        <w:t>Article</w:t>
      </w:r>
      <w:proofErr w:type="spellEnd"/>
      <w:r w:rsidRPr="0014151A">
        <w:rPr>
          <w:rFonts w:ascii="Times New Roman" w:eastAsia="Times New Roman" w:hAnsi="Times New Roman" w:cs="Times New Roman"/>
          <w:kern w:val="2"/>
          <w:sz w:val="24"/>
          <w:szCs w:val="24"/>
          <w:lang w:eastAsia="zh-CN" w:bidi="hi-IN"/>
        </w:rPr>
        <w:t xml:space="preserve"> 12) </w:t>
      </w:r>
      <w:proofErr w:type="spellStart"/>
      <w:r w:rsidRPr="0014151A">
        <w:rPr>
          <w:rFonts w:ascii="Times New Roman" w:eastAsia="Times New Roman" w:hAnsi="Times New Roman" w:cs="Times New Roman"/>
          <w:kern w:val="2"/>
          <w:sz w:val="24"/>
          <w:szCs w:val="24"/>
          <w:lang w:eastAsia="zh-CN" w:bidi="hi-IN"/>
        </w:rPr>
        <w:t>for</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the</w:t>
      </w:r>
      <w:proofErr w:type="spellEnd"/>
      <w:r w:rsidRPr="0014151A">
        <w:rPr>
          <w:rFonts w:ascii="Times New Roman" w:eastAsia="Times New Roman" w:hAnsi="Times New Roman" w:cs="Times New Roman"/>
          <w:kern w:val="2"/>
          <w:sz w:val="24"/>
          <w:szCs w:val="24"/>
          <w:lang w:eastAsia="zh-CN" w:bidi="hi-IN"/>
        </w:rPr>
        <w:t xml:space="preserve"> period 2013-2018</w:t>
      </w:r>
      <w:r w:rsidR="00260499" w:rsidRPr="0014151A">
        <w:rPr>
          <w:rFonts w:ascii="Times New Roman" w:eastAsia="Times New Roman" w:hAnsi="Times New Roman" w:cs="Times New Roman"/>
          <w:kern w:val="2"/>
          <w:sz w:val="24"/>
          <w:szCs w:val="24"/>
          <w:lang w:eastAsia="zh-CN" w:bidi="hi-IN"/>
        </w:rPr>
        <w:t xml:space="preserve"> </w:t>
      </w:r>
      <w:hyperlink r:id="rId200" w:anchor="A022_B" w:history="1">
        <w:r w:rsidRPr="0014151A">
          <w:rPr>
            <w:rStyle w:val="Hyperlink"/>
            <w:rFonts w:ascii="Times New Roman" w:eastAsia="Times New Roman" w:hAnsi="Times New Roman" w:cs="Times New Roman"/>
            <w:kern w:val="2"/>
            <w:sz w:val="24"/>
            <w:szCs w:val="24"/>
            <w:lang w:eastAsia="zh-CN" w:bidi="hi-IN"/>
          </w:rPr>
          <w:t>https://cdr.eionet.europa.eu/Converters/run_conversion?file=lv/eu/art12/envxtfmg/LV_birds_reports_20190903-112206.xml&amp;conv=612&amp;source=remote#A022_B</w:t>
        </w:r>
      </w:hyperlink>
      <w:r w:rsidRPr="0014151A">
        <w:rPr>
          <w:rFonts w:ascii="Times New Roman" w:eastAsia="Times New Roman" w:hAnsi="Times New Roman" w:cs="Times New Roman"/>
          <w:kern w:val="2"/>
          <w:sz w:val="24"/>
          <w:szCs w:val="24"/>
          <w:lang w:eastAsia="zh-CN" w:bidi="hi-IN"/>
        </w:rPr>
        <w:t xml:space="preserve"> </w:t>
      </w:r>
    </w:p>
    <w:p w14:paraId="3598E120" w14:textId="016BE197" w:rsidR="00392BE6" w:rsidRPr="0014151A" w:rsidRDefault="00392BE6" w:rsidP="00392BE6">
      <w:pPr>
        <w:numPr>
          <w:ilvl w:val="0"/>
          <w:numId w:val="31"/>
        </w:numPr>
        <w:spacing w:before="120" w:after="0" w:line="240" w:lineRule="auto"/>
        <w:contextualSpacing/>
        <w:jc w:val="both"/>
        <w:rPr>
          <w:rFonts w:ascii="Times New Roman" w:eastAsia="Times New Roman" w:hAnsi="Times New Roman" w:cs="Times New Roman"/>
          <w:kern w:val="2"/>
          <w:sz w:val="24"/>
          <w:szCs w:val="24"/>
          <w:lang w:eastAsia="zh-CN" w:bidi="hi-IN"/>
        </w:rPr>
      </w:pPr>
      <w:proofErr w:type="spellStart"/>
      <w:r w:rsidRPr="0014151A">
        <w:rPr>
          <w:rFonts w:ascii="Times New Roman" w:eastAsia="Times New Roman" w:hAnsi="Times New Roman" w:cs="Times New Roman"/>
          <w:kern w:val="2"/>
          <w:sz w:val="24"/>
          <w:szCs w:val="24"/>
          <w:lang w:eastAsia="zh-CN" w:bidi="hi-IN"/>
        </w:rPr>
        <w:t>BirdLife</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International</w:t>
      </w:r>
      <w:proofErr w:type="spellEnd"/>
      <w:r w:rsidRPr="0014151A">
        <w:rPr>
          <w:rFonts w:ascii="Times New Roman" w:eastAsia="Times New Roman" w:hAnsi="Times New Roman" w:cs="Times New Roman"/>
          <w:kern w:val="2"/>
          <w:sz w:val="24"/>
          <w:szCs w:val="24"/>
          <w:lang w:eastAsia="zh-CN" w:bidi="hi-IN"/>
        </w:rPr>
        <w:t xml:space="preserve"> 2013. </w:t>
      </w:r>
      <w:proofErr w:type="spellStart"/>
      <w:r w:rsidRPr="0014151A">
        <w:rPr>
          <w:rFonts w:ascii="Times New Roman" w:eastAsia="Times New Roman" w:hAnsi="Times New Roman" w:cs="Times New Roman"/>
          <w:kern w:val="2"/>
          <w:sz w:val="24"/>
          <w:szCs w:val="24"/>
          <w:lang w:eastAsia="zh-CN" w:bidi="hi-IN"/>
        </w:rPr>
        <w:t>Annex</w:t>
      </w:r>
      <w:proofErr w:type="spellEnd"/>
      <w:r w:rsidRPr="0014151A">
        <w:rPr>
          <w:rFonts w:ascii="Times New Roman" w:eastAsia="Times New Roman" w:hAnsi="Times New Roman" w:cs="Times New Roman"/>
          <w:kern w:val="2"/>
          <w:sz w:val="24"/>
          <w:szCs w:val="24"/>
          <w:lang w:eastAsia="zh-CN" w:bidi="hi-IN"/>
        </w:rPr>
        <w:t xml:space="preserve"> 2: </w:t>
      </w:r>
      <w:proofErr w:type="spellStart"/>
      <w:r w:rsidRPr="0014151A">
        <w:rPr>
          <w:rFonts w:ascii="Times New Roman" w:eastAsia="Times New Roman" w:hAnsi="Times New Roman" w:cs="Times New Roman"/>
          <w:kern w:val="2"/>
          <w:sz w:val="24"/>
          <w:szCs w:val="24"/>
          <w:lang w:eastAsia="zh-CN" w:bidi="hi-IN"/>
        </w:rPr>
        <w:t>Bird</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species</w:t>
      </w:r>
      <w:proofErr w:type="spellEnd"/>
      <w:r w:rsidRPr="0014151A">
        <w:rPr>
          <w:rFonts w:ascii="Times New Roman" w:eastAsia="Times New Roman" w:hAnsi="Times New Roman" w:cs="Times New Roman"/>
          <w:kern w:val="2"/>
          <w:sz w:val="24"/>
          <w:szCs w:val="24"/>
          <w:lang w:eastAsia="zh-CN" w:bidi="hi-IN"/>
        </w:rPr>
        <w:t xml:space="preserve">' status </w:t>
      </w:r>
      <w:proofErr w:type="spellStart"/>
      <w:r w:rsidRPr="0014151A">
        <w:rPr>
          <w:rFonts w:ascii="Times New Roman" w:eastAsia="Times New Roman" w:hAnsi="Times New Roman" w:cs="Times New Roman"/>
          <w:kern w:val="2"/>
          <w:sz w:val="24"/>
          <w:szCs w:val="24"/>
          <w:lang w:eastAsia="zh-CN" w:bidi="hi-IN"/>
        </w:rPr>
        <w:t>and</w:t>
      </w:r>
      <w:proofErr w:type="spellEnd"/>
      <w:r w:rsidRPr="0014151A">
        <w:rPr>
          <w:rFonts w:ascii="Times New Roman" w:eastAsia="Times New Roman" w:hAnsi="Times New Roman" w:cs="Times New Roman"/>
          <w:kern w:val="2"/>
          <w:sz w:val="24"/>
          <w:szCs w:val="24"/>
          <w:lang w:eastAsia="zh-CN" w:bidi="hi-IN"/>
        </w:rPr>
        <w:t xml:space="preserve"> trends </w:t>
      </w:r>
      <w:proofErr w:type="spellStart"/>
      <w:r w:rsidRPr="0014151A">
        <w:rPr>
          <w:rFonts w:ascii="Times New Roman" w:eastAsia="Times New Roman" w:hAnsi="Times New Roman" w:cs="Times New Roman"/>
          <w:kern w:val="2"/>
          <w:sz w:val="24"/>
          <w:szCs w:val="24"/>
          <w:lang w:eastAsia="zh-CN" w:bidi="hi-IN"/>
        </w:rPr>
        <w:t>reporting</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format</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for</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the</w:t>
      </w:r>
      <w:proofErr w:type="spellEnd"/>
      <w:r w:rsidRPr="0014151A">
        <w:rPr>
          <w:rFonts w:ascii="Times New Roman" w:eastAsia="Times New Roman" w:hAnsi="Times New Roman" w:cs="Times New Roman"/>
          <w:kern w:val="2"/>
          <w:sz w:val="24"/>
          <w:szCs w:val="24"/>
          <w:lang w:eastAsia="zh-CN" w:bidi="hi-IN"/>
        </w:rPr>
        <w:t xml:space="preserve"> period 2008-2012. </w:t>
      </w:r>
      <w:hyperlink r:id="rId201" w:anchor="A038-A_B" w:history="1">
        <w:r w:rsidRPr="0014151A">
          <w:rPr>
            <w:rStyle w:val="Hyperlink"/>
            <w:rFonts w:ascii="Times New Roman" w:eastAsia="Times New Roman" w:hAnsi="Times New Roman" w:cs="Times New Roman"/>
            <w:kern w:val="2"/>
            <w:sz w:val="24"/>
            <w:szCs w:val="24"/>
            <w:lang w:eastAsia="zh-CN" w:bidi="hi-IN"/>
          </w:rPr>
          <w:t>https://cdr.eionet.europa.eu/Converters/run_conversion?file=lv/eu/art12/envuuf5cg/LV_birds_reports-14331-211040.xml&amp;conv=343&amp;source=remote#A038-A_B</w:t>
        </w:r>
      </w:hyperlink>
      <w:r w:rsidRPr="0014151A">
        <w:rPr>
          <w:rFonts w:ascii="Times New Roman" w:eastAsia="Times New Roman" w:hAnsi="Times New Roman" w:cs="Times New Roman"/>
          <w:kern w:val="2"/>
          <w:sz w:val="24"/>
          <w:szCs w:val="24"/>
          <w:lang w:eastAsia="zh-CN" w:bidi="hi-IN"/>
        </w:rPr>
        <w:t xml:space="preserve"> </w:t>
      </w:r>
    </w:p>
    <w:p w14:paraId="57EAD168" w14:textId="66706948" w:rsidR="00F2117E" w:rsidRPr="0014151A" w:rsidRDefault="00F2117E" w:rsidP="00F87589">
      <w:pPr>
        <w:numPr>
          <w:ilvl w:val="0"/>
          <w:numId w:val="31"/>
        </w:numPr>
        <w:spacing w:before="120" w:after="0" w:line="240" w:lineRule="auto"/>
        <w:contextualSpacing/>
        <w:jc w:val="both"/>
        <w:rPr>
          <w:rFonts w:ascii="Times New Roman" w:eastAsia="Times New Roman" w:hAnsi="Times New Roman" w:cs="Times New Roman"/>
          <w:kern w:val="2"/>
          <w:sz w:val="24"/>
          <w:szCs w:val="24"/>
          <w:lang w:eastAsia="zh-CN" w:bidi="hi-IN"/>
        </w:rPr>
      </w:pPr>
      <w:r w:rsidRPr="0014151A">
        <w:rPr>
          <w:rFonts w:ascii="Times New Roman" w:eastAsia="Times New Roman" w:hAnsi="Times New Roman" w:cs="Times New Roman"/>
          <w:kern w:val="2"/>
          <w:sz w:val="24"/>
          <w:szCs w:val="24"/>
          <w:lang w:eastAsia="zh-CN" w:bidi="hi-IN"/>
        </w:rPr>
        <w:t>Bergmanis U. 2019. Mazā ērgļa aizsardzības plāns Latvijā. Latvijas Dabas fonds, Rīga.</w:t>
      </w:r>
    </w:p>
    <w:p w14:paraId="631DFAE4" w14:textId="3D5F3D3D" w:rsidR="00392BE6" w:rsidRPr="0014151A" w:rsidRDefault="00392BE6" w:rsidP="00F87589">
      <w:pPr>
        <w:numPr>
          <w:ilvl w:val="0"/>
          <w:numId w:val="31"/>
        </w:numPr>
        <w:spacing w:before="120" w:after="0" w:line="240" w:lineRule="auto"/>
        <w:contextualSpacing/>
        <w:jc w:val="both"/>
        <w:rPr>
          <w:rFonts w:ascii="Times New Roman" w:eastAsia="Times New Roman" w:hAnsi="Times New Roman" w:cs="Times New Roman"/>
          <w:kern w:val="2"/>
          <w:sz w:val="24"/>
          <w:szCs w:val="24"/>
          <w:lang w:eastAsia="zh-CN" w:bidi="hi-IN"/>
        </w:rPr>
      </w:pPr>
      <w:r w:rsidRPr="0014151A">
        <w:rPr>
          <w:rFonts w:ascii="Times New Roman" w:eastAsia="Times New Roman" w:hAnsi="Times New Roman" w:cs="Times New Roman"/>
          <w:kern w:val="2"/>
          <w:sz w:val="24"/>
          <w:szCs w:val="24"/>
          <w:lang w:eastAsia="zh-CN" w:bidi="hi-IN"/>
        </w:rPr>
        <w:t xml:space="preserve">Bergmanis M., Priednieks J., Avotiņš A., Priedniece I. 2020. Mazā dzeņa </w:t>
      </w:r>
      <w:proofErr w:type="spellStart"/>
      <w:r w:rsidRPr="0014151A">
        <w:rPr>
          <w:rFonts w:ascii="Times New Roman" w:eastAsia="Times New Roman" w:hAnsi="Times New Roman" w:cs="Times New Roman"/>
          <w:i/>
          <w:iCs/>
          <w:kern w:val="2"/>
          <w:sz w:val="24"/>
          <w:szCs w:val="24"/>
          <w:lang w:eastAsia="zh-CN" w:bidi="hi-IN"/>
        </w:rPr>
        <w:t>Dryobates</w:t>
      </w:r>
      <w:proofErr w:type="spellEnd"/>
      <w:r w:rsidRPr="0014151A">
        <w:rPr>
          <w:rFonts w:ascii="Times New Roman" w:eastAsia="Times New Roman" w:hAnsi="Times New Roman" w:cs="Times New Roman"/>
          <w:i/>
          <w:iCs/>
          <w:kern w:val="2"/>
          <w:sz w:val="24"/>
          <w:szCs w:val="24"/>
          <w:lang w:eastAsia="zh-CN" w:bidi="hi-IN"/>
        </w:rPr>
        <w:t xml:space="preserve"> minor</w:t>
      </w:r>
      <w:r w:rsidRPr="0014151A">
        <w:rPr>
          <w:rFonts w:ascii="Times New Roman" w:eastAsia="Times New Roman" w:hAnsi="Times New Roman" w:cs="Times New Roman"/>
          <w:kern w:val="2"/>
          <w:sz w:val="24"/>
          <w:szCs w:val="24"/>
          <w:lang w:eastAsia="zh-CN" w:bidi="hi-IN"/>
        </w:rPr>
        <w:t>,</w:t>
      </w:r>
      <w:r w:rsidRPr="0014151A">
        <w:rPr>
          <w:rFonts w:ascii="TimesNewRoman" w:hAnsi="TimesNewRoman" w:cs="TimesNewRoman"/>
          <w:sz w:val="24"/>
          <w:szCs w:val="24"/>
        </w:rPr>
        <w:t xml:space="preserve"> </w:t>
      </w:r>
      <w:r w:rsidRPr="0014151A">
        <w:rPr>
          <w:rFonts w:ascii="Times New Roman" w:eastAsia="Times New Roman" w:hAnsi="Times New Roman" w:cs="Times New Roman"/>
          <w:kern w:val="2"/>
          <w:sz w:val="24"/>
          <w:szCs w:val="24"/>
          <w:lang w:eastAsia="zh-CN" w:bidi="hi-IN"/>
        </w:rPr>
        <w:t xml:space="preserve">vidējā dzeņa </w:t>
      </w:r>
      <w:proofErr w:type="spellStart"/>
      <w:r w:rsidRPr="0014151A">
        <w:rPr>
          <w:rFonts w:ascii="Times New Roman" w:eastAsia="Times New Roman" w:hAnsi="Times New Roman" w:cs="Times New Roman"/>
          <w:i/>
          <w:iCs/>
          <w:kern w:val="2"/>
          <w:sz w:val="24"/>
          <w:szCs w:val="24"/>
          <w:lang w:eastAsia="zh-CN" w:bidi="hi-IN"/>
        </w:rPr>
        <w:t>Leiopicus</w:t>
      </w:r>
      <w:proofErr w:type="spellEnd"/>
      <w:r w:rsidRPr="0014151A">
        <w:rPr>
          <w:rFonts w:ascii="Times New Roman" w:eastAsia="Times New Roman" w:hAnsi="Times New Roman" w:cs="Times New Roman"/>
          <w:i/>
          <w:iCs/>
          <w:kern w:val="2"/>
          <w:sz w:val="24"/>
          <w:szCs w:val="24"/>
          <w:lang w:eastAsia="zh-CN" w:bidi="hi-IN"/>
        </w:rPr>
        <w:t xml:space="preserve"> </w:t>
      </w:r>
      <w:proofErr w:type="spellStart"/>
      <w:r w:rsidRPr="0014151A">
        <w:rPr>
          <w:rFonts w:ascii="Times New Roman" w:eastAsia="Times New Roman" w:hAnsi="Times New Roman" w:cs="Times New Roman"/>
          <w:i/>
          <w:iCs/>
          <w:kern w:val="2"/>
          <w:sz w:val="24"/>
          <w:szCs w:val="24"/>
          <w:lang w:eastAsia="zh-CN" w:bidi="hi-IN"/>
        </w:rPr>
        <w:t>medius</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baltmugurdzeņa</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i/>
          <w:iCs/>
          <w:kern w:val="2"/>
          <w:sz w:val="24"/>
          <w:szCs w:val="24"/>
          <w:lang w:eastAsia="zh-CN" w:bidi="hi-IN"/>
        </w:rPr>
        <w:t>Dendrocopos</w:t>
      </w:r>
      <w:proofErr w:type="spellEnd"/>
      <w:r w:rsidRPr="0014151A">
        <w:rPr>
          <w:rFonts w:ascii="Times New Roman" w:eastAsia="Times New Roman" w:hAnsi="Times New Roman" w:cs="Times New Roman"/>
          <w:i/>
          <w:iCs/>
          <w:kern w:val="2"/>
          <w:sz w:val="24"/>
          <w:szCs w:val="24"/>
          <w:lang w:eastAsia="zh-CN" w:bidi="hi-IN"/>
        </w:rPr>
        <w:t xml:space="preserve"> </w:t>
      </w:r>
      <w:proofErr w:type="spellStart"/>
      <w:r w:rsidRPr="0014151A">
        <w:rPr>
          <w:rFonts w:ascii="Times New Roman" w:eastAsia="Times New Roman" w:hAnsi="Times New Roman" w:cs="Times New Roman"/>
          <w:i/>
          <w:iCs/>
          <w:kern w:val="2"/>
          <w:sz w:val="24"/>
          <w:szCs w:val="24"/>
          <w:lang w:eastAsia="zh-CN" w:bidi="hi-IN"/>
        </w:rPr>
        <w:t>leucotos</w:t>
      </w:r>
      <w:proofErr w:type="spellEnd"/>
      <w:r w:rsidRPr="0014151A">
        <w:rPr>
          <w:rFonts w:ascii="Times New Roman" w:eastAsia="Times New Roman" w:hAnsi="Times New Roman" w:cs="Times New Roman"/>
          <w:kern w:val="2"/>
          <w:sz w:val="24"/>
          <w:szCs w:val="24"/>
          <w:lang w:eastAsia="zh-CN" w:bidi="hi-IN"/>
        </w:rPr>
        <w:t>, dižraibā dzeņa</w:t>
      </w:r>
      <w:r w:rsidRPr="0014151A">
        <w:rPr>
          <w:rFonts w:ascii="TimesNewRoman,Italic" w:eastAsia="TimesNewRoman,Italic" w:cs="TimesNewRoman,Italic"/>
          <w:i/>
          <w:iCs/>
          <w:sz w:val="24"/>
          <w:szCs w:val="24"/>
        </w:rPr>
        <w:t xml:space="preserve"> </w:t>
      </w:r>
      <w:proofErr w:type="spellStart"/>
      <w:r w:rsidRPr="0014151A">
        <w:rPr>
          <w:rFonts w:ascii="Times New Roman" w:eastAsia="Times New Roman" w:hAnsi="Times New Roman" w:cs="Times New Roman"/>
          <w:i/>
          <w:iCs/>
          <w:kern w:val="2"/>
          <w:sz w:val="24"/>
          <w:szCs w:val="24"/>
          <w:lang w:eastAsia="zh-CN" w:bidi="hi-IN"/>
        </w:rPr>
        <w:t>Dendrocopos</w:t>
      </w:r>
      <w:proofErr w:type="spellEnd"/>
      <w:r w:rsidRPr="0014151A">
        <w:rPr>
          <w:rFonts w:ascii="Times New Roman" w:eastAsia="Times New Roman" w:hAnsi="Times New Roman" w:cs="Times New Roman"/>
          <w:i/>
          <w:iCs/>
          <w:kern w:val="2"/>
          <w:sz w:val="24"/>
          <w:szCs w:val="24"/>
          <w:lang w:eastAsia="zh-CN" w:bidi="hi-IN"/>
        </w:rPr>
        <w:t xml:space="preserve"> major</w:t>
      </w:r>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trīspirkstu</w:t>
      </w:r>
      <w:proofErr w:type="spellEnd"/>
      <w:r w:rsidRPr="0014151A">
        <w:rPr>
          <w:rFonts w:ascii="Times New Roman" w:eastAsia="Times New Roman" w:hAnsi="Times New Roman" w:cs="Times New Roman"/>
          <w:kern w:val="2"/>
          <w:sz w:val="24"/>
          <w:szCs w:val="24"/>
          <w:lang w:eastAsia="zh-CN" w:bidi="hi-IN"/>
        </w:rPr>
        <w:t xml:space="preserve"> dzeņa </w:t>
      </w:r>
      <w:proofErr w:type="spellStart"/>
      <w:r w:rsidRPr="0014151A">
        <w:rPr>
          <w:rFonts w:ascii="Times New Roman" w:eastAsia="Times New Roman" w:hAnsi="Times New Roman" w:cs="Times New Roman"/>
          <w:i/>
          <w:iCs/>
          <w:kern w:val="2"/>
          <w:sz w:val="24"/>
          <w:szCs w:val="24"/>
          <w:lang w:eastAsia="zh-CN" w:bidi="hi-IN"/>
        </w:rPr>
        <w:t>Picoides</w:t>
      </w:r>
      <w:proofErr w:type="spellEnd"/>
      <w:r w:rsidRPr="0014151A">
        <w:rPr>
          <w:rFonts w:ascii="Times New Roman" w:eastAsia="Times New Roman" w:hAnsi="Times New Roman" w:cs="Times New Roman"/>
          <w:i/>
          <w:iCs/>
          <w:kern w:val="2"/>
          <w:sz w:val="24"/>
          <w:szCs w:val="24"/>
          <w:lang w:eastAsia="zh-CN" w:bidi="hi-IN"/>
        </w:rPr>
        <w:t xml:space="preserve"> </w:t>
      </w:r>
      <w:proofErr w:type="spellStart"/>
      <w:r w:rsidRPr="0014151A">
        <w:rPr>
          <w:rFonts w:ascii="Times New Roman" w:eastAsia="Times New Roman" w:hAnsi="Times New Roman" w:cs="Times New Roman"/>
          <w:i/>
          <w:iCs/>
          <w:kern w:val="2"/>
          <w:sz w:val="24"/>
          <w:szCs w:val="24"/>
          <w:lang w:eastAsia="zh-CN" w:bidi="hi-IN"/>
        </w:rPr>
        <w:t>tridactylus</w:t>
      </w:r>
      <w:proofErr w:type="spellEnd"/>
      <w:r w:rsidRPr="0014151A">
        <w:rPr>
          <w:rFonts w:ascii="Times New Roman" w:eastAsia="Times New Roman" w:hAnsi="Times New Roman" w:cs="Times New Roman"/>
          <w:kern w:val="2"/>
          <w:sz w:val="24"/>
          <w:szCs w:val="24"/>
          <w:lang w:eastAsia="zh-CN" w:bidi="hi-IN"/>
        </w:rPr>
        <w:t xml:space="preserve">, melnās dzilnas </w:t>
      </w:r>
      <w:proofErr w:type="spellStart"/>
      <w:r w:rsidRPr="0014151A">
        <w:rPr>
          <w:rFonts w:ascii="Times New Roman" w:eastAsia="Times New Roman" w:hAnsi="Times New Roman" w:cs="Times New Roman"/>
          <w:i/>
          <w:iCs/>
          <w:kern w:val="2"/>
          <w:sz w:val="24"/>
          <w:szCs w:val="24"/>
          <w:lang w:eastAsia="zh-CN" w:bidi="hi-IN"/>
        </w:rPr>
        <w:t>Dryocopus</w:t>
      </w:r>
      <w:proofErr w:type="spellEnd"/>
      <w:r w:rsidRPr="0014151A">
        <w:rPr>
          <w:rFonts w:ascii="Times New Roman" w:eastAsia="Times New Roman" w:hAnsi="Times New Roman" w:cs="Times New Roman"/>
          <w:i/>
          <w:iCs/>
          <w:kern w:val="2"/>
          <w:sz w:val="24"/>
          <w:szCs w:val="24"/>
          <w:lang w:eastAsia="zh-CN" w:bidi="hi-IN"/>
        </w:rPr>
        <w:t xml:space="preserve"> </w:t>
      </w:r>
      <w:proofErr w:type="spellStart"/>
      <w:r w:rsidRPr="0014151A">
        <w:rPr>
          <w:rFonts w:ascii="Times New Roman" w:eastAsia="Times New Roman" w:hAnsi="Times New Roman" w:cs="Times New Roman"/>
          <w:i/>
          <w:iCs/>
          <w:kern w:val="2"/>
          <w:sz w:val="24"/>
          <w:szCs w:val="24"/>
          <w:lang w:eastAsia="zh-CN" w:bidi="hi-IN"/>
        </w:rPr>
        <w:t>martius</w:t>
      </w:r>
      <w:proofErr w:type="spellEnd"/>
      <w:r w:rsidRPr="0014151A">
        <w:rPr>
          <w:rFonts w:ascii="Times New Roman" w:eastAsia="Times New Roman" w:hAnsi="Times New Roman" w:cs="Times New Roman"/>
          <w:i/>
          <w:iCs/>
          <w:kern w:val="2"/>
          <w:sz w:val="24"/>
          <w:szCs w:val="24"/>
          <w:lang w:eastAsia="zh-CN" w:bidi="hi-IN"/>
        </w:rPr>
        <w:t xml:space="preserve"> </w:t>
      </w:r>
      <w:r w:rsidRPr="0014151A">
        <w:rPr>
          <w:rFonts w:ascii="Times New Roman" w:eastAsia="Times New Roman" w:hAnsi="Times New Roman" w:cs="Times New Roman"/>
          <w:kern w:val="2"/>
          <w:sz w:val="24"/>
          <w:szCs w:val="24"/>
          <w:lang w:eastAsia="zh-CN" w:bidi="hi-IN"/>
        </w:rPr>
        <w:t>un</w:t>
      </w:r>
      <w:r w:rsidRPr="0014151A">
        <w:rPr>
          <w:rFonts w:ascii="TimesNewRoman" w:hAnsi="TimesNewRoman" w:cs="TimesNewRoman"/>
          <w:sz w:val="24"/>
          <w:szCs w:val="24"/>
        </w:rPr>
        <w:t xml:space="preserve"> </w:t>
      </w:r>
      <w:r w:rsidRPr="0014151A">
        <w:rPr>
          <w:rFonts w:ascii="Times New Roman" w:eastAsia="Times New Roman" w:hAnsi="Times New Roman" w:cs="Times New Roman"/>
          <w:kern w:val="2"/>
          <w:sz w:val="24"/>
          <w:szCs w:val="24"/>
          <w:lang w:eastAsia="zh-CN" w:bidi="hi-IN"/>
        </w:rPr>
        <w:t xml:space="preserve">pelēkās dzilnas </w:t>
      </w:r>
      <w:proofErr w:type="spellStart"/>
      <w:r w:rsidRPr="0014151A">
        <w:rPr>
          <w:rFonts w:ascii="Times New Roman" w:eastAsia="Times New Roman" w:hAnsi="Times New Roman" w:cs="Times New Roman"/>
          <w:i/>
          <w:iCs/>
          <w:kern w:val="2"/>
          <w:sz w:val="24"/>
          <w:szCs w:val="24"/>
          <w:lang w:eastAsia="zh-CN" w:bidi="hi-IN"/>
        </w:rPr>
        <w:t>Picus</w:t>
      </w:r>
      <w:proofErr w:type="spellEnd"/>
      <w:r w:rsidRPr="0014151A">
        <w:rPr>
          <w:rFonts w:ascii="Times New Roman" w:eastAsia="Times New Roman" w:hAnsi="Times New Roman" w:cs="Times New Roman"/>
          <w:i/>
          <w:iCs/>
          <w:kern w:val="2"/>
          <w:sz w:val="24"/>
          <w:szCs w:val="24"/>
          <w:lang w:eastAsia="zh-CN" w:bidi="hi-IN"/>
        </w:rPr>
        <w:t xml:space="preserve"> </w:t>
      </w:r>
      <w:proofErr w:type="spellStart"/>
      <w:r w:rsidRPr="0014151A">
        <w:rPr>
          <w:rFonts w:ascii="Times New Roman" w:eastAsia="Times New Roman" w:hAnsi="Times New Roman" w:cs="Times New Roman"/>
          <w:i/>
          <w:iCs/>
          <w:kern w:val="2"/>
          <w:sz w:val="24"/>
          <w:szCs w:val="24"/>
          <w:lang w:eastAsia="zh-CN" w:bidi="hi-IN"/>
        </w:rPr>
        <w:t>canus</w:t>
      </w:r>
      <w:proofErr w:type="spellEnd"/>
      <w:r w:rsidRPr="0014151A">
        <w:rPr>
          <w:rFonts w:ascii="Times New Roman" w:eastAsia="Times New Roman" w:hAnsi="Times New Roman" w:cs="Times New Roman"/>
          <w:i/>
          <w:iCs/>
          <w:kern w:val="2"/>
          <w:sz w:val="24"/>
          <w:szCs w:val="24"/>
          <w:lang w:eastAsia="zh-CN" w:bidi="hi-IN"/>
        </w:rPr>
        <w:t xml:space="preserve"> </w:t>
      </w:r>
      <w:r w:rsidRPr="0014151A">
        <w:rPr>
          <w:rFonts w:ascii="Times New Roman" w:eastAsia="Times New Roman" w:hAnsi="Times New Roman" w:cs="Times New Roman"/>
          <w:kern w:val="2"/>
          <w:sz w:val="24"/>
          <w:szCs w:val="24"/>
          <w:lang w:eastAsia="zh-CN" w:bidi="hi-IN"/>
        </w:rPr>
        <w:t>aizsardzības plāns. Latvijas Ornitoloģijas biedrība, Rīga.</w:t>
      </w:r>
    </w:p>
    <w:p w14:paraId="3CC5D74B" w14:textId="77777777" w:rsidR="00260499" w:rsidRPr="0014151A" w:rsidRDefault="00260499" w:rsidP="00F87589">
      <w:pPr>
        <w:numPr>
          <w:ilvl w:val="0"/>
          <w:numId w:val="31"/>
        </w:numPr>
        <w:spacing w:before="120" w:after="0" w:line="240" w:lineRule="auto"/>
        <w:contextualSpacing/>
        <w:jc w:val="both"/>
        <w:rPr>
          <w:rFonts w:ascii="Times New Roman" w:eastAsia="Times New Roman" w:hAnsi="Times New Roman" w:cs="Times New Roman"/>
          <w:kern w:val="2"/>
          <w:sz w:val="24"/>
          <w:szCs w:val="24"/>
          <w:lang w:eastAsia="zh-CN" w:bidi="hi-IN"/>
        </w:rPr>
      </w:pPr>
      <w:r w:rsidRPr="0014151A">
        <w:rPr>
          <w:rFonts w:ascii="Times New Roman" w:eastAsia="Times New Roman" w:hAnsi="Times New Roman" w:cs="Times New Roman"/>
          <w:kern w:val="2"/>
          <w:sz w:val="24"/>
          <w:szCs w:val="24"/>
          <w:lang w:eastAsia="zh-CN" w:bidi="hi-IN"/>
        </w:rPr>
        <w:t xml:space="preserve">Boiko D. 2011. </w:t>
      </w:r>
      <w:proofErr w:type="spellStart"/>
      <w:r w:rsidRPr="0014151A">
        <w:rPr>
          <w:rFonts w:ascii="Times New Roman" w:eastAsia="Times New Roman" w:hAnsi="Times New Roman" w:cs="Times New Roman"/>
          <w:kern w:val="2"/>
          <w:sz w:val="24"/>
          <w:szCs w:val="24"/>
          <w:lang w:eastAsia="zh-CN" w:bidi="hi-IN"/>
        </w:rPr>
        <w:t>Whooper</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Swan</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Cygnus</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cygnus</w:t>
      </w:r>
      <w:proofErr w:type="spellEnd"/>
      <w:r w:rsidRPr="0014151A">
        <w:rPr>
          <w:rFonts w:ascii="Times New Roman" w:eastAsia="Times New Roman" w:hAnsi="Times New Roman" w:cs="Times New Roman"/>
          <w:kern w:val="2"/>
          <w:sz w:val="24"/>
          <w:szCs w:val="24"/>
          <w:lang w:eastAsia="zh-CN" w:bidi="hi-IN"/>
        </w:rPr>
        <w:t xml:space="preserve"> (L.) </w:t>
      </w:r>
      <w:proofErr w:type="spellStart"/>
      <w:r w:rsidRPr="0014151A">
        <w:rPr>
          <w:rFonts w:ascii="Times New Roman" w:eastAsia="Times New Roman" w:hAnsi="Times New Roman" w:cs="Times New Roman"/>
          <w:kern w:val="2"/>
          <w:sz w:val="24"/>
          <w:szCs w:val="24"/>
          <w:lang w:eastAsia="zh-CN" w:bidi="hi-IN"/>
        </w:rPr>
        <w:t>in</w:t>
      </w:r>
      <w:proofErr w:type="spellEnd"/>
      <w:r w:rsidRPr="0014151A">
        <w:rPr>
          <w:rFonts w:ascii="Times New Roman" w:eastAsia="Times New Roman" w:hAnsi="Times New Roman" w:cs="Times New Roman"/>
          <w:kern w:val="2"/>
          <w:sz w:val="24"/>
          <w:szCs w:val="24"/>
          <w:lang w:eastAsia="zh-CN" w:bidi="hi-IN"/>
        </w:rPr>
        <w:t xml:space="preserve"> Latvia – </w:t>
      </w:r>
      <w:proofErr w:type="spellStart"/>
      <w:r w:rsidRPr="0014151A">
        <w:rPr>
          <w:rFonts w:ascii="Times New Roman" w:eastAsia="Times New Roman" w:hAnsi="Times New Roman" w:cs="Times New Roman"/>
          <w:kern w:val="2"/>
          <w:sz w:val="24"/>
          <w:szCs w:val="24"/>
          <w:lang w:eastAsia="zh-CN" w:bidi="hi-IN"/>
        </w:rPr>
        <w:t>it’s</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breeding</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population</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wintering</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moulting</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and</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dispersal</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geography</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Thesis</w:t>
      </w:r>
      <w:proofErr w:type="spellEnd"/>
      <w:r w:rsidRPr="0014151A">
        <w:rPr>
          <w:rFonts w:ascii="Times New Roman" w:eastAsia="Times New Roman" w:hAnsi="Times New Roman" w:cs="Times New Roman"/>
          <w:kern w:val="2"/>
          <w:sz w:val="24"/>
          <w:szCs w:val="24"/>
          <w:lang w:eastAsia="zh-CN" w:bidi="hi-IN"/>
        </w:rPr>
        <w:t xml:space="preserve">. Daugavpils </w:t>
      </w:r>
      <w:proofErr w:type="spellStart"/>
      <w:r w:rsidRPr="0014151A">
        <w:rPr>
          <w:rFonts w:ascii="Times New Roman" w:eastAsia="Times New Roman" w:hAnsi="Times New Roman" w:cs="Times New Roman"/>
          <w:kern w:val="2"/>
          <w:sz w:val="24"/>
          <w:szCs w:val="24"/>
          <w:lang w:eastAsia="zh-CN" w:bidi="hi-IN"/>
        </w:rPr>
        <w:t>University</w:t>
      </w:r>
      <w:proofErr w:type="spellEnd"/>
      <w:r w:rsidRPr="0014151A">
        <w:rPr>
          <w:rFonts w:ascii="Times New Roman" w:eastAsia="Times New Roman" w:hAnsi="Times New Roman" w:cs="Times New Roman"/>
          <w:kern w:val="2"/>
          <w:sz w:val="24"/>
          <w:szCs w:val="24"/>
          <w:lang w:eastAsia="zh-CN" w:bidi="hi-IN"/>
        </w:rPr>
        <w:t>.</w:t>
      </w:r>
    </w:p>
    <w:p w14:paraId="369EA3EA" w14:textId="77777777" w:rsidR="00260499" w:rsidRPr="0014151A" w:rsidRDefault="00260499" w:rsidP="00F87589">
      <w:pPr>
        <w:numPr>
          <w:ilvl w:val="0"/>
          <w:numId w:val="31"/>
        </w:numPr>
        <w:spacing w:before="120" w:after="0" w:line="240" w:lineRule="auto"/>
        <w:contextualSpacing/>
        <w:jc w:val="both"/>
        <w:rPr>
          <w:rFonts w:ascii="Times New Roman" w:eastAsia="Times New Roman" w:hAnsi="Times New Roman" w:cs="Times New Roman"/>
          <w:kern w:val="2"/>
          <w:sz w:val="24"/>
          <w:szCs w:val="24"/>
          <w:lang w:eastAsia="zh-CN" w:bidi="hi-IN"/>
        </w:rPr>
      </w:pPr>
      <w:r w:rsidRPr="0014151A">
        <w:rPr>
          <w:rFonts w:ascii="Times New Roman" w:eastAsia="Times New Roman" w:hAnsi="Times New Roman" w:cs="Times New Roman"/>
          <w:kern w:val="2"/>
          <w:sz w:val="24"/>
          <w:szCs w:val="24"/>
          <w:lang w:eastAsia="zh-CN" w:bidi="hi-IN"/>
        </w:rPr>
        <w:t xml:space="preserve">Butler R., </w:t>
      </w:r>
      <w:proofErr w:type="spellStart"/>
      <w:r w:rsidRPr="0014151A">
        <w:rPr>
          <w:rFonts w:ascii="Times New Roman" w:eastAsia="Times New Roman" w:hAnsi="Times New Roman" w:cs="Times New Roman"/>
          <w:kern w:val="2"/>
          <w:sz w:val="24"/>
          <w:szCs w:val="24"/>
          <w:lang w:eastAsia="zh-CN" w:bidi="hi-IN"/>
        </w:rPr>
        <w:t>Angelstam</w:t>
      </w:r>
      <w:proofErr w:type="spellEnd"/>
      <w:r w:rsidRPr="0014151A">
        <w:rPr>
          <w:rFonts w:ascii="Times New Roman" w:eastAsia="Times New Roman" w:hAnsi="Times New Roman" w:cs="Times New Roman"/>
          <w:kern w:val="2"/>
          <w:sz w:val="24"/>
          <w:szCs w:val="24"/>
          <w:lang w:eastAsia="zh-CN" w:bidi="hi-IN"/>
        </w:rPr>
        <w:t xml:space="preserve"> P., </w:t>
      </w:r>
      <w:proofErr w:type="spellStart"/>
      <w:r w:rsidRPr="0014151A">
        <w:rPr>
          <w:rFonts w:ascii="Times New Roman" w:eastAsia="Times New Roman" w:hAnsi="Times New Roman" w:cs="Times New Roman"/>
          <w:kern w:val="2"/>
          <w:sz w:val="24"/>
          <w:szCs w:val="24"/>
          <w:lang w:eastAsia="zh-CN" w:bidi="hi-IN"/>
        </w:rPr>
        <w:t>Schlaepfer</w:t>
      </w:r>
      <w:proofErr w:type="spellEnd"/>
      <w:r w:rsidRPr="0014151A">
        <w:rPr>
          <w:rFonts w:ascii="Times New Roman" w:eastAsia="Times New Roman" w:hAnsi="Times New Roman" w:cs="Times New Roman"/>
          <w:kern w:val="2"/>
          <w:sz w:val="24"/>
          <w:szCs w:val="24"/>
          <w:lang w:eastAsia="zh-CN" w:bidi="hi-IN"/>
        </w:rPr>
        <w:t xml:space="preserve"> R. 2004. </w:t>
      </w:r>
      <w:proofErr w:type="spellStart"/>
      <w:r w:rsidRPr="0014151A">
        <w:rPr>
          <w:rFonts w:ascii="Times New Roman" w:eastAsia="Times New Roman" w:hAnsi="Times New Roman" w:cs="Times New Roman"/>
          <w:kern w:val="2"/>
          <w:sz w:val="24"/>
          <w:szCs w:val="24"/>
          <w:lang w:eastAsia="zh-CN" w:bidi="hi-IN"/>
        </w:rPr>
        <w:t>Quantitative</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snag</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targets</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for</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the</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three-toed</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woodpecker</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Picoides</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tridactylus</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Ecological</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Bulletins</w:t>
      </w:r>
      <w:proofErr w:type="spellEnd"/>
      <w:r w:rsidRPr="0014151A">
        <w:rPr>
          <w:rFonts w:ascii="Times New Roman" w:eastAsia="Times New Roman" w:hAnsi="Times New Roman" w:cs="Times New Roman"/>
          <w:kern w:val="2"/>
          <w:sz w:val="24"/>
          <w:szCs w:val="24"/>
          <w:lang w:eastAsia="zh-CN" w:bidi="hi-IN"/>
        </w:rPr>
        <w:t xml:space="preserve"> 51: 219-232.</w:t>
      </w:r>
    </w:p>
    <w:p w14:paraId="7F031CF9" w14:textId="7A893A56" w:rsidR="00260499" w:rsidRPr="0014151A" w:rsidRDefault="00260499" w:rsidP="00F87589">
      <w:pPr>
        <w:numPr>
          <w:ilvl w:val="0"/>
          <w:numId w:val="31"/>
        </w:numPr>
        <w:spacing w:before="120" w:after="0" w:line="240" w:lineRule="auto"/>
        <w:contextualSpacing/>
        <w:jc w:val="both"/>
        <w:rPr>
          <w:rFonts w:ascii="Times New Roman" w:eastAsia="Times New Roman" w:hAnsi="Times New Roman" w:cs="Times New Roman"/>
          <w:kern w:val="2"/>
          <w:sz w:val="24"/>
          <w:szCs w:val="24"/>
          <w:lang w:eastAsia="zh-CN" w:bidi="hi-IN"/>
        </w:rPr>
      </w:pPr>
      <w:r w:rsidRPr="0014151A">
        <w:rPr>
          <w:rFonts w:ascii="Times New Roman" w:eastAsia="Times New Roman" w:hAnsi="Times New Roman" w:cs="Times New Roman"/>
          <w:kern w:val="2"/>
          <w:sz w:val="24"/>
          <w:szCs w:val="24"/>
          <w:lang w:eastAsia="zh-CN" w:bidi="hi-IN"/>
        </w:rPr>
        <w:t xml:space="preserve">Bružika I., </w:t>
      </w:r>
      <w:proofErr w:type="spellStart"/>
      <w:r w:rsidRPr="0014151A">
        <w:rPr>
          <w:rFonts w:ascii="Times New Roman" w:eastAsia="Times New Roman" w:hAnsi="Times New Roman" w:cs="Times New Roman"/>
          <w:kern w:val="2"/>
          <w:sz w:val="24"/>
          <w:szCs w:val="24"/>
          <w:lang w:eastAsia="zh-CN" w:bidi="hi-IN"/>
        </w:rPr>
        <w:t>Lobanoka</w:t>
      </w:r>
      <w:proofErr w:type="spellEnd"/>
      <w:r w:rsidRPr="0014151A">
        <w:rPr>
          <w:rFonts w:ascii="Times New Roman" w:eastAsia="Times New Roman" w:hAnsi="Times New Roman" w:cs="Times New Roman"/>
          <w:kern w:val="2"/>
          <w:sz w:val="24"/>
          <w:szCs w:val="24"/>
          <w:lang w:eastAsia="zh-CN" w:bidi="hi-IN"/>
        </w:rPr>
        <w:t xml:space="preserve"> I., Lārmanis V., </w:t>
      </w:r>
      <w:proofErr w:type="spellStart"/>
      <w:r w:rsidRPr="0014151A">
        <w:rPr>
          <w:rFonts w:ascii="Times New Roman" w:eastAsia="Times New Roman" w:hAnsi="Times New Roman" w:cs="Times New Roman"/>
          <w:kern w:val="2"/>
          <w:sz w:val="24"/>
          <w:szCs w:val="24"/>
          <w:lang w:eastAsia="zh-CN" w:bidi="hi-IN"/>
        </w:rPr>
        <w:t>Muskars</w:t>
      </w:r>
      <w:proofErr w:type="spellEnd"/>
      <w:r w:rsidRPr="0014151A">
        <w:rPr>
          <w:rFonts w:ascii="Times New Roman" w:eastAsia="Times New Roman" w:hAnsi="Times New Roman" w:cs="Times New Roman"/>
          <w:kern w:val="2"/>
          <w:sz w:val="24"/>
          <w:szCs w:val="24"/>
          <w:lang w:eastAsia="zh-CN" w:bidi="hi-IN"/>
        </w:rPr>
        <w:t xml:space="preserve"> E. 1998. </w:t>
      </w:r>
      <w:r w:rsidRPr="0014151A">
        <w:rPr>
          <w:rFonts w:ascii="Times New Roman" w:eastAsia="Times New Roman" w:hAnsi="Times New Roman" w:cs="Times New Roman"/>
          <w:color w:val="000000"/>
          <w:kern w:val="2"/>
          <w:sz w:val="24"/>
          <w:szCs w:val="24"/>
          <w:lang w:eastAsia="ja-JP" w:bidi="hi-IN"/>
        </w:rPr>
        <w:t>Dabas a</w:t>
      </w:r>
      <w:r w:rsidR="00883139" w:rsidRPr="0014151A">
        <w:rPr>
          <w:rFonts w:ascii="Times New Roman" w:eastAsia="Times New Roman" w:hAnsi="Times New Roman" w:cs="Times New Roman"/>
          <w:color w:val="000000"/>
          <w:kern w:val="2"/>
          <w:sz w:val="24"/>
          <w:szCs w:val="24"/>
          <w:lang w:eastAsia="ja-JP" w:bidi="hi-IN"/>
        </w:rPr>
        <w:t>izsardzības plāns dabas parkam “</w:t>
      </w:r>
      <w:r w:rsidRPr="0014151A">
        <w:rPr>
          <w:rFonts w:ascii="Times New Roman" w:eastAsia="Times New Roman" w:hAnsi="Times New Roman" w:cs="Times New Roman"/>
          <w:color w:val="000000"/>
          <w:kern w:val="2"/>
          <w:sz w:val="24"/>
          <w:szCs w:val="24"/>
          <w:lang w:eastAsia="ja-JP" w:bidi="hi-IN"/>
        </w:rPr>
        <w:t>Daugavas loki”.</w:t>
      </w:r>
    </w:p>
    <w:p w14:paraId="491CC35D" w14:textId="7D8FFF42" w:rsidR="00623F41" w:rsidRPr="0014151A" w:rsidRDefault="00623F41" w:rsidP="00F87589">
      <w:pPr>
        <w:numPr>
          <w:ilvl w:val="0"/>
          <w:numId w:val="31"/>
        </w:numPr>
        <w:spacing w:before="120" w:after="0" w:line="240" w:lineRule="auto"/>
        <w:contextualSpacing/>
        <w:jc w:val="both"/>
        <w:rPr>
          <w:rFonts w:ascii="Times New Roman" w:eastAsia="Times New Roman" w:hAnsi="Times New Roman" w:cs="Times New Roman"/>
          <w:kern w:val="2"/>
          <w:sz w:val="24"/>
          <w:szCs w:val="24"/>
          <w:lang w:eastAsia="zh-CN" w:bidi="hi-IN"/>
        </w:rPr>
      </w:pPr>
      <w:proofErr w:type="spellStart"/>
      <w:r w:rsidRPr="0014151A">
        <w:rPr>
          <w:rFonts w:ascii="Times New Roman" w:eastAsia="Times New Roman" w:hAnsi="Times New Roman" w:cs="Times New Roman"/>
          <w:kern w:val="2"/>
          <w:sz w:val="24"/>
          <w:szCs w:val="24"/>
          <w:lang w:eastAsia="zh-CN" w:bidi="hi-IN"/>
        </w:rPr>
        <w:t>Cameron</w:t>
      </w:r>
      <w:proofErr w:type="spellEnd"/>
      <w:r w:rsidRPr="0014151A">
        <w:rPr>
          <w:rFonts w:ascii="Times New Roman" w:eastAsia="Times New Roman" w:hAnsi="Times New Roman" w:cs="Times New Roman"/>
          <w:kern w:val="2"/>
          <w:sz w:val="24"/>
          <w:szCs w:val="24"/>
          <w:lang w:eastAsia="zh-CN" w:bidi="hi-IN"/>
        </w:rPr>
        <w:t xml:space="preserve"> R.A.D., </w:t>
      </w:r>
      <w:proofErr w:type="spellStart"/>
      <w:r w:rsidRPr="0014151A">
        <w:rPr>
          <w:rFonts w:ascii="Times New Roman" w:eastAsia="Times New Roman" w:hAnsi="Times New Roman" w:cs="Times New Roman"/>
          <w:kern w:val="2"/>
          <w:sz w:val="24"/>
          <w:szCs w:val="24"/>
          <w:lang w:eastAsia="zh-CN" w:bidi="hi-IN"/>
        </w:rPr>
        <w:t>Colville</w:t>
      </w:r>
      <w:proofErr w:type="spellEnd"/>
      <w:r w:rsidRPr="0014151A">
        <w:rPr>
          <w:rFonts w:ascii="Times New Roman" w:eastAsia="Times New Roman" w:hAnsi="Times New Roman" w:cs="Times New Roman"/>
          <w:kern w:val="2"/>
          <w:sz w:val="24"/>
          <w:szCs w:val="24"/>
          <w:lang w:eastAsia="zh-CN" w:bidi="hi-IN"/>
        </w:rPr>
        <w:t xml:space="preserve"> B., </w:t>
      </w:r>
      <w:proofErr w:type="spellStart"/>
      <w:r w:rsidRPr="0014151A">
        <w:rPr>
          <w:rFonts w:ascii="Times New Roman" w:eastAsia="Times New Roman" w:hAnsi="Times New Roman" w:cs="Times New Roman"/>
          <w:kern w:val="2"/>
          <w:sz w:val="24"/>
          <w:szCs w:val="24"/>
          <w:lang w:eastAsia="zh-CN" w:bidi="hi-IN"/>
        </w:rPr>
        <w:t>Falkner</w:t>
      </w:r>
      <w:proofErr w:type="spellEnd"/>
      <w:r w:rsidRPr="0014151A">
        <w:rPr>
          <w:rFonts w:ascii="Times New Roman" w:eastAsia="Times New Roman" w:hAnsi="Times New Roman" w:cs="Times New Roman"/>
          <w:kern w:val="2"/>
          <w:sz w:val="24"/>
          <w:szCs w:val="24"/>
          <w:lang w:eastAsia="zh-CN" w:bidi="hi-IN"/>
        </w:rPr>
        <w:t xml:space="preserve"> G., </w:t>
      </w:r>
      <w:proofErr w:type="spellStart"/>
      <w:r w:rsidRPr="0014151A">
        <w:rPr>
          <w:rFonts w:ascii="Times New Roman" w:eastAsia="Times New Roman" w:hAnsi="Times New Roman" w:cs="Times New Roman"/>
          <w:kern w:val="2"/>
          <w:sz w:val="24"/>
          <w:szCs w:val="24"/>
          <w:lang w:eastAsia="zh-CN" w:bidi="hi-IN"/>
        </w:rPr>
        <w:t>Holyoak</w:t>
      </w:r>
      <w:proofErr w:type="spellEnd"/>
      <w:r w:rsidRPr="0014151A">
        <w:rPr>
          <w:rFonts w:ascii="Times New Roman" w:eastAsia="Times New Roman" w:hAnsi="Times New Roman" w:cs="Times New Roman"/>
          <w:kern w:val="2"/>
          <w:sz w:val="24"/>
          <w:szCs w:val="24"/>
          <w:lang w:eastAsia="zh-CN" w:bidi="hi-IN"/>
        </w:rPr>
        <w:t xml:space="preserve"> G.A., </w:t>
      </w:r>
      <w:proofErr w:type="spellStart"/>
      <w:r w:rsidRPr="0014151A">
        <w:rPr>
          <w:rFonts w:ascii="Times New Roman" w:eastAsia="Times New Roman" w:hAnsi="Times New Roman" w:cs="Times New Roman"/>
          <w:kern w:val="2"/>
          <w:sz w:val="24"/>
          <w:szCs w:val="24"/>
          <w:lang w:eastAsia="zh-CN" w:bidi="hi-IN"/>
        </w:rPr>
        <w:t>Hornung</w:t>
      </w:r>
      <w:proofErr w:type="spellEnd"/>
      <w:r w:rsidRPr="0014151A">
        <w:rPr>
          <w:rFonts w:ascii="Times New Roman" w:eastAsia="Times New Roman" w:hAnsi="Times New Roman" w:cs="Times New Roman"/>
          <w:kern w:val="2"/>
          <w:sz w:val="24"/>
          <w:szCs w:val="24"/>
          <w:lang w:eastAsia="zh-CN" w:bidi="hi-IN"/>
        </w:rPr>
        <w:t xml:space="preserve"> E., </w:t>
      </w:r>
      <w:proofErr w:type="spellStart"/>
      <w:r w:rsidRPr="0014151A">
        <w:rPr>
          <w:rFonts w:ascii="Times New Roman" w:eastAsia="Times New Roman" w:hAnsi="Times New Roman" w:cs="Times New Roman"/>
          <w:kern w:val="2"/>
          <w:sz w:val="24"/>
          <w:szCs w:val="24"/>
          <w:lang w:eastAsia="zh-CN" w:bidi="hi-IN"/>
        </w:rPr>
        <w:t>Killeen</w:t>
      </w:r>
      <w:proofErr w:type="spellEnd"/>
      <w:r w:rsidRPr="0014151A">
        <w:rPr>
          <w:rFonts w:ascii="Times New Roman" w:eastAsia="Times New Roman" w:hAnsi="Times New Roman" w:cs="Times New Roman"/>
          <w:kern w:val="2"/>
          <w:sz w:val="24"/>
          <w:szCs w:val="24"/>
          <w:lang w:eastAsia="zh-CN" w:bidi="hi-IN"/>
        </w:rPr>
        <w:t xml:space="preserve"> I.J.,</w:t>
      </w:r>
      <w:r w:rsidRPr="0014151A">
        <w:rPr>
          <w:rFonts w:ascii="TimesNewRoman" w:hAnsi="TimesNewRoman" w:cs="TimesNewRoman"/>
          <w:sz w:val="24"/>
          <w:szCs w:val="24"/>
        </w:rPr>
        <w:t xml:space="preserve"> </w:t>
      </w:r>
      <w:proofErr w:type="spellStart"/>
      <w:r w:rsidRPr="0014151A">
        <w:rPr>
          <w:rFonts w:ascii="Times New Roman" w:eastAsia="Times New Roman" w:hAnsi="Times New Roman" w:cs="Times New Roman"/>
          <w:kern w:val="2"/>
          <w:sz w:val="24"/>
          <w:szCs w:val="24"/>
          <w:lang w:eastAsia="zh-CN" w:bidi="hi-IN"/>
        </w:rPr>
        <w:t>Moorkens</w:t>
      </w:r>
      <w:proofErr w:type="spellEnd"/>
      <w:r w:rsidRPr="0014151A">
        <w:rPr>
          <w:rFonts w:ascii="Times New Roman" w:eastAsia="Times New Roman" w:hAnsi="Times New Roman" w:cs="Times New Roman"/>
          <w:kern w:val="2"/>
          <w:sz w:val="24"/>
          <w:szCs w:val="24"/>
          <w:lang w:eastAsia="zh-CN" w:bidi="hi-IN"/>
        </w:rPr>
        <w:t xml:space="preserve"> E.A., </w:t>
      </w:r>
      <w:proofErr w:type="spellStart"/>
      <w:r w:rsidRPr="0014151A">
        <w:rPr>
          <w:rFonts w:ascii="Times New Roman" w:eastAsia="Times New Roman" w:hAnsi="Times New Roman" w:cs="Times New Roman"/>
          <w:kern w:val="2"/>
          <w:sz w:val="24"/>
          <w:szCs w:val="24"/>
          <w:lang w:eastAsia="zh-CN" w:bidi="hi-IN"/>
        </w:rPr>
        <w:t>Pokryszko</w:t>
      </w:r>
      <w:proofErr w:type="spellEnd"/>
      <w:r w:rsidRPr="0014151A">
        <w:rPr>
          <w:rFonts w:ascii="Times New Roman" w:eastAsia="Times New Roman" w:hAnsi="Times New Roman" w:cs="Times New Roman"/>
          <w:kern w:val="2"/>
          <w:sz w:val="24"/>
          <w:szCs w:val="24"/>
          <w:lang w:eastAsia="zh-CN" w:bidi="hi-IN"/>
        </w:rPr>
        <w:t xml:space="preserve"> B.M., </w:t>
      </w:r>
      <w:proofErr w:type="spellStart"/>
      <w:r w:rsidRPr="0014151A">
        <w:rPr>
          <w:rFonts w:ascii="Times New Roman" w:eastAsia="Times New Roman" w:hAnsi="Times New Roman" w:cs="Times New Roman"/>
          <w:kern w:val="2"/>
          <w:sz w:val="24"/>
          <w:szCs w:val="24"/>
          <w:lang w:eastAsia="zh-CN" w:bidi="hi-IN"/>
        </w:rPr>
        <w:t>Proschwitz</w:t>
      </w:r>
      <w:proofErr w:type="spellEnd"/>
      <w:r w:rsidRPr="0014151A">
        <w:rPr>
          <w:rFonts w:ascii="Times New Roman" w:eastAsia="Times New Roman" w:hAnsi="Times New Roman" w:cs="Times New Roman"/>
          <w:kern w:val="2"/>
          <w:sz w:val="24"/>
          <w:szCs w:val="24"/>
          <w:lang w:eastAsia="zh-CN" w:bidi="hi-IN"/>
        </w:rPr>
        <w:t xml:space="preserve"> T., </w:t>
      </w:r>
      <w:proofErr w:type="spellStart"/>
      <w:r w:rsidRPr="0014151A">
        <w:rPr>
          <w:rFonts w:ascii="Times New Roman" w:eastAsia="Times New Roman" w:hAnsi="Times New Roman" w:cs="Times New Roman"/>
          <w:kern w:val="2"/>
          <w:sz w:val="24"/>
          <w:szCs w:val="24"/>
          <w:lang w:eastAsia="zh-CN" w:bidi="hi-IN"/>
        </w:rPr>
        <w:t>Tattersfield</w:t>
      </w:r>
      <w:proofErr w:type="spellEnd"/>
      <w:r w:rsidRPr="0014151A">
        <w:rPr>
          <w:rFonts w:ascii="Times New Roman" w:eastAsia="Times New Roman" w:hAnsi="Times New Roman" w:cs="Times New Roman"/>
          <w:kern w:val="2"/>
          <w:sz w:val="24"/>
          <w:szCs w:val="24"/>
          <w:lang w:eastAsia="zh-CN" w:bidi="hi-IN"/>
        </w:rPr>
        <w:t xml:space="preserve"> P., </w:t>
      </w:r>
      <w:proofErr w:type="spellStart"/>
      <w:r w:rsidRPr="0014151A">
        <w:rPr>
          <w:rFonts w:ascii="Times New Roman" w:eastAsia="Times New Roman" w:hAnsi="Times New Roman" w:cs="Times New Roman"/>
          <w:kern w:val="2"/>
          <w:sz w:val="24"/>
          <w:szCs w:val="24"/>
          <w:lang w:eastAsia="zh-CN" w:bidi="hi-IN"/>
        </w:rPr>
        <w:t>Valovirta</w:t>
      </w:r>
      <w:proofErr w:type="spellEnd"/>
      <w:r w:rsidRPr="0014151A">
        <w:rPr>
          <w:rFonts w:ascii="Times New Roman" w:eastAsia="Times New Roman" w:hAnsi="Times New Roman" w:cs="Times New Roman"/>
          <w:kern w:val="2"/>
          <w:sz w:val="24"/>
          <w:szCs w:val="24"/>
          <w:lang w:eastAsia="zh-CN" w:bidi="hi-IN"/>
        </w:rPr>
        <w:t xml:space="preserve"> I. 2003.</w:t>
      </w:r>
      <w:r w:rsidRPr="0014151A">
        <w:rPr>
          <w:rFonts w:ascii="TimesNewRoman" w:hAnsi="TimesNewRoman" w:cs="TimesNewRoman"/>
          <w:sz w:val="24"/>
          <w:szCs w:val="24"/>
        </w:rPr>
        <w:t xml:space="preserve"> </w:t>
      </w:r>
      <w:proofErr w:type="spellStart"/>
      <w:r w:rsidRPr="0014151A">
        <w:rPr>
          <w:rFonts w:ascii="Times New Roman" w:eastAsia="Times New Roman" w:hAnsi="Times New Roman" w:cs="Times New Roman"/>
          <w:kern w:val="2"/>
          <w:sz w:val="24"/>
          <w:szCs w:val="24"/>
          <w:lang w:eastAsia="zh-CN" w:bidi="hi-IN"/>
        </w:rPr>
        <w:t>Species</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Accounts</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for</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snail</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of</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the</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genus</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Vertigo</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listed</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in</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Annex</w:t>
      </w:r>
      <w:proofErr w:type="spellEnd"/>
      <w:r w:rsidRPr="0014151A">
        <w:rPr>
          <w:rFonts w:ascii="Times New Roman" w:eastAsia="Times New Roman" w:hAnsi="Times New Roman" w:cs="Times New Roman"/>
          <w:kern w:val="2"/>
          <w:sz w:val="24"/>
          <w:szCs w:val="24"/>
          <w:lang w:eastAsia="zh-CN" w:bidi="hi-IN"/>
        </w:rPr>
        <w:t xml:space="preserve"> II </w:t>
      </w:r>
      <w:proofErr w:type="spellStart"/>
      <w:r w:rsidRPr="0014151A">
        <w:rPr>
          <w:rFonts w:ascii="Times New Roman" w:eastAsia="Times New Roman" w:hAnsi="Times New Roman" w:cs="Times New Roman"/>
          <w:kern w:val="2"/>
          <w:sz w:val="24"/>
          <w:szCs w:val="24"/>
          <w:lang w:eastAsia="zh-CN" w:bidi="hi-IN"/>
        </w:rPr>
        <w:t>of</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the</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HabitatsDirective</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i/>
          <w:iCs/>
          <w:kern w:val="2"/>
          <w:sz w:val="24"/>
          <w:szCs w:val="24"/>
          <w:lang w:eastAsia="zh-CN" w:bidi="hi-IN"/>
        </w:rPr>
        <w:t>V.angustior</w:t>
      </w:r>
      <w:proofErr w:type="spellEnd"/>
      <w:r w:rsidRPr="0014151A">
        <w:rPr>
          <w:rFonts w:ascii="Times New Roman" w:eastAsia="Times New Roman" w:hAnsi="Times New Roman" w:cs="Times New Roman"/>
          <w:i/>
          <w:iCs/>
          <w:kern w:val="2"/>
          <w:sz w:val="24"/>
          <w:szCs w:val="24"/>
          <w:lang w:eastAsia="zh-CN" w:bidi="hi-IN"/>
        </w:rPr>
        <w:t xml:space="preserve">, </w:t>
      </w:r>
      <w:proofErr w:type="spellStart"/>
      <w:r w:rsidRPr="0014151A">
        <w:rPr>
          <w:rFonts w:ascii="Times New Roman" w:eastAsia="Times New Roman" w:hAnsi="Times New Roman" w:cs="Times New Roman"/>
          <w:i/>
          <w:iCs/>
          <w:kern w:val="2"/>
          <w:sz w:val="24"/>
          <w:szCs w:val="24"/>
          <w:lang w:eastAsia="zh-CN" w:bidi="hi-IN"/>
        </w:rPr>
        <w:t>V.genesii</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i/>
          <w:iCs/>
          <w:kern w:val="2"/>
          <w:sz w:val="24"/>
          <w:szCs w:val="24"/>
          <w:lang w:eastAsia="zh-CN" w:bidi="hi-IN"/>
        </w:rPr>
        <w:t>V.geyeri</w:t>
      </w:r>
      <w:proofErr w:type="spellEnd"/>
      <w:r w:rsidRPr="0014151A">
        <w:rPr>
          <w:rFonts w:ascii="Times New Roman" w:eastAsia="Times New Roman" w:hAnsi="Times New Roman" w:cs="Times New Roman"/>
          <w:i/>
          <w:iCs/>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and</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i/>
          <w:iCs/>
          <w:kern w:val="2"/>
          <w:sz w:val="24"/>
          <w:szCs w:val="24"/>
          <w:lang w:eastAsia="zh-CN" w:bidi="hi-IN"/>
        </w:rPr>
        <w:t>V.moulinsiana</w:t>
      </w:r>
      <w:proofErr w:type="spellEnd"/>
      <w:r w:rsidRPr="0014151A">
        <w:rPr>
          <w:rFonts w:ascii="Times New Roman" w:eastAsia="Times New Roman" w:hAnsi="Times New Roman" w:cs="Times New Roman"/>
          <w:i/>
          <w:iCs/>
          <w:kern w:val="2"/>
          <w:sz w:val="24"/>
          <w:szCs w:val="24"/>
          <w:lang w:eastAsia="zh-CN" w:bidi="hi-IN"/>
        </w:rPr>
        <w:t xml:space="preserve"> </w:t>
      </w:r>
      <w:r w:rsidRPr="0014151A">
        <w:rPr>
          <w:rFonts w:ascii="Times New Roman" w:eastAsia="Times New Roman" w:hAnsi="Times New Roman" w:cs="Times New Roman"/>
          <w:kern w:val="2"/>
          <w:sz w:val="24"/>
          <w:szCs w:val="24"/>
          <w:lang w:eastAsia="zh-CN" w:bidi="hi-IN"/>
        </w:rPr>
        <w:t>(</w:t>
      </w:r>
      <w:proofErr w:type="spellStart"/>
      <w:r w:rsidRPr="0014151A">
        <w:rPr>
          <w:rFonts w:ascii="Times New Roman" w:eastAsia="Times New Roman" w:hAnsi="Times New Roman" w:cs="Times New Roman"/>
          <w:kern w:val="2"/>
          <w:sz w:val="24"/>
          <w:szCs w:val="24"/>
          <w:lang w:eastAsia="zh-CN" w:bidi="hi-IN"/>
        </w:rPr>
        <w:t>Gastropoda</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Pulmonata</w:t>
      </w:r>
      <w:proofErr w:type="spellEnd"/>
      <w:r w:rsidRPr="0014151A">
        <w:rPr>
          <w:rFonts w:ascii="Times New Roman" w:eastAsia="Times New Roman" w:hAnsi="Times New Roman" w:cs="Times New Roman"/>
          <w:kern w:val="2"/>
          <w:sz w:val="24"/>
          <w:szCs w:val="24"/>
          <w:lang w:eastAsia="zh-CN" w:bidi="hi-IN"/>
        </w:rPr>
        <w:t>:</w:t>
      </w:r>
      <w:r w:rsidRPr="0014151A">
        <w:rPr>
          <w:rFonts w:ascii="TimesNewRoman" w:hAnsi="TimesNewRoman" w:cs="TimesNewRoman"/>
          <w:sz w:val="24"/>
          <w:szCs w:val="24"/>
        </w:rPr>
        <w:t xml:space="preserve"> </w:t>
      </w:r>
      <w:proofErr w:type="spellStart"/>
      <w:r w:rsidRPr="0014151A">
        <w:rPr>
          <w:rFonts w:ascii="Times New Roman" w:eastAsia="Times New Roman" w:hAnsi="Times New Roman" w:cs="Times New Roman"/>
          <w:kern w:val="2"/>
          <w:sz w:val="24"/>
          <w:szCs w:val="24"/>
          <w:lang w:eastAsia="zh-CN" w:bidi="hi-IN"/>
        </w:rPr>
        <w:t>Vertiginidae</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Heldia</w:t>
      </w:r>
      <w:proofErr w:type="spellEnd"/>
      <w:r w:rsidRPr="0014151A">
        <w:rPr>
          <w:rFonts w:ascii="Times New Roman" w:eastAsia="Times New Roman" w:hAnsi="Times New Roman" w:cs="Times New Roman"/>
          <w:kern w:val="2"/>
          <w:sz w:val="24"/>
          <w:szCs w:val="24"/>
          <w:lang w:eastAsia="zh-CN" w:bidi="hi-IN"/>
        </w:rPr>
        <w:t xml:space="preserve">, Voll.5, </w:t>
      </w:r>
      <w:proofErr w:type="spellStart"/>
      <w:r w:rsidRPr="0014151A">
        <w:rPr>
          <w:rFonts w:ascii="Times New Roman" w:eastAsia="Times New Roman" w:hAnsi="Times New Roman" w:cs="Times New Roman"/>
          <w:kern w:val="2"/>
          <w:sz w:val="24"/>
          <w:szCs w:val="24"/>
          <w:lang w:eastAsia="zh-CN" w:bidi="hi-IN"/>
        </w:rPr>
        <w:t>Sonderheft</w:t>
      </w:r>
      <w:proofErr w:type="spellEnd"/>
      <w:r w:rsidRPr="0014151A">
        <w:rPr>
          <w:rFonts w:ascii="Times New Roman" w:eastAsia="Times New Roman" w:hAnsi="Times New Roman" w:cs="Times New Roman"/>
          <w:kern w:val="2"/>
          <w:sz w:val="24"/>
          <w:szCs w:val="24"/>
          <w:lang w:eastAsia="zh-CN" w:bidi="hi-IN"/>
        </w:rPr>
        <w:t xml:space="preserve"> 7, pp.151-170.</w:t>
      </w:r>
    </w:p>
    <w:p w14:paraId="357B7BE9" w14:textId="77777777" w:rsidR="00260499" w:rsidRPr="0014151A" w:rsidRDefault="00260499" w:rsidP="00F87589">
      <w:pPr>
        <w:numPr>
          <w:ilvl w:val="0"/>
          <w:numId w:val="31"/>
        </w:numPr>
        <w:spacing w:before="120" w:after="0" w:line="240" w:lineRule="auto"/>
        <w:contextualSpacing/>
        <w:jc w:val="both"/>
        <w:rPr>
          <w:rFonts w:ascii="Times New Roman" w:eastAsia="Times New Roman" w:hAnsi="Times New Roman" w:cs="Times New Roman"/>
          <w:kern w:val="2"/>
          <w:sz w:val="24"/>
          <w:szCs w:val="24"/>
          <w:lang w:eastAsia="zh-CN" w:bidi="hi-IN"/>
        </w:rPr>
      </w:pPr>
      <w:proofErr w:type="spellStart"/>
      <w:r w:rsidRPr="0014151A">
        <w:rPr>
          <w:rFonts w:ascii="Times New Roman" w:eastAsia="Times New Roman" w:hAnsi="Times New Roman" w:cs="Times New Roman"/>
          <w:kern w:val="2"/>
          <w:sz w:val="24"/>
          <w:szCs w:val="24"/>
          <w:lang w:eastAsia="zh-CN" w:bidi="hi-IN"/>
        </w:rPr>
        <w:t>Carlson</w:t>
      </w:r>
      <w:proofErr w:type="spellEnd"/>
      <w:r w:rsidRPr="0014151A">
        <w:rPr>
          <w:rFonts w:ascii="Times New Roman" w:eastAsia="Times New Roman" w:hAnsi="Times New Roman" w:cs="Times New Roman"/>
          <w:kern w:val="2"/>
          <w:sz w:val="24"/>
          <w:szCs w:val="24"/>
          <w:lang w:eastAsia="zh-CN" w:bidi="hi-IN"/>
        </w:rPr>
        <w:t xml:space="preserve"> A. 2000. </w:t>
      </w:r>
      <w:proofErr w:type="spellStart"/>
      <w:r w:rsidRPr="0014151A">
        <w:rPr>
          <w:rFonts w:ascii="Times New Roman" w:eastAsia="Times New Roman" w:hAnsi="Times New Roman" w:cs="Times New Roman"/>
          <w:kern w:val="2"/>
          <w:sz w:val="24"/>
          <w:szCs w:val="24"/>
          <w:lang w:eastAsia="zh-CN" w:bidi="hi-IN"/>
        </w:rPr>
        <w:t>The</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effect</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of</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habitat</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loss</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on</w:t>
      </w:r>
      <w:proofErr w:type="spellEnd"/>
      <w:r w:rsidRPr="0014151A">
        <w:rPr>
          <w:rFonts w:ascii="Times New Roman" w:eastAsia="Times New Roman" w:hAnsi="Times New Roman" w:cs="Times New Roman"/>
          <w:kern w:val="2"/>
          <w:sz w:val="24"/>
          <w:szCs w:val="24"/>
          <w:lang w:eastAsia="zh-CN" w:bidi="hi-IN"/>
        </w:rPr>
        <w:t xml:space="preserve"> a </w:t>
      </w:r>
      <w:proofErr w:type="spellStart"/>
      <w:r w:rsidRPr="0014151A">
        <w:rPr>
          <w:rFonts w:ascii="Times New Roman" w:eastAsia="Times New Roman" w:hAnsi="Times New Roman" w:cs="Times New Roman"/>
          <w:kern w:val="2"/>
          <w:sz w:val="24"/>
          <w:szCs w:val="24"/>
          <w:lang w:eastAsia="zh-CN" w:bidi="hi-IN"/>
        </w:rPr>
        <w:t>deciduous</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forest</w:t>
      </w:r>
      <w:proofErr w:type="spellEnd"/>
      <w:r w:rsidRPr="0014151A">
        <w:rPr>
          <w:rFonts w:ascii="Times New Roman" w:eastAsia="Times New Roman" w:hAnsi="Times New Roman" w:cs="Times New Roman"/>
          <w:kern w:val="2"/>
          <w:sz w:val="24"/>
          <w:szCs w:val="24"/>
          <w:lang w:eastAsia="zh-CN" w:bidi="hi-IN"/>
        </w:rPr>
        <w:t xml:space="preserve"> specialist </w:t>
      </w:r>
      <w:proofErr w:type="spellStart"/>
      <w:r w:rsidRPr="0014151A">
        <w:rPr>
          <w:rFonts w:ascii="Times New Roman" w:eastAsia="Times New Roman" w:hAnsi="Times New Roman" w:cs="Times New Roman"/>
          <w:kern w:val="2"/>
          <w:sz w:val="24"/>
          <w:szCs w:val="24"/>
          <w:lang w:eastAsia="zh-CN" w:bidi="hi-IN"/>
        </w:rPr>
        <w:t>species</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the</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White-backed</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Woodpecker</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Dendrocopos</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leucotos</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Forest</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Ecology</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and</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Management</w:t>
      </w:r>
      <w:proofErr w:type="spellEnd"/>
      <w:r w:rsidRPr="0014151A">
        <w:rPr>
          <w:rFonts w:ascii="Times New Roman" w:eastAsia="Times New Roman" w:hAnsi="Times New Roman" w:cs="Times New Roman"/>
          <w:kern w:val="2"/>
          <w:sz w:val="24"/>
          <w:szCs w:val="24"/>
          <w:lang w:eastAsia="zh-CN" w:bidi="hi-IN"/>
        </w:rPr>
        <w:t xml:space="preserve"> 131: 215-221.</w:t>
      </w:r>
    </w:p>
    <w:p w14:paraId="5D4D726F" w14:textId="7DE3744B" w:rsidR="00260499" w:rsidRPr="0014151A" w:rsidRDefault="00392BE6" w:rsidP="00F87589">
      <w:pPr>
        <w:numPr>
          <w:ilvl w:val="0"/>
          <w:numId w:val="31"/>
        </w:numPr>
        <w:spacing w:before="120" w:after="0" w:line="240" w:lineRule="auto"/>
        <w:contextualSpacing/>
        <w:jc w:val="both"/>
        <w:rPr>
          <w:rFonts w:ascii="Times New Roman" w:eastAsia="Times New Roman" w:hAnsi="Times New Roman" w:cs="Times New Roman"/>
          <w:kern w:val="2"/>
          <w:sz w:val="24"/>
          <w:szCs w:val="24"/>
          <w:lang w:eastAsia="zh-CN" w:bidi="hi-IN"/>
        </w:rPr>
      </w:pPr>
      <w:r w:rsidRPr="0014151A">
        <w:rPr>
          <w:rFonts w:ascii="Times New Roman" w:eastAsia="Times New Roman" w:hAnsi="Times New Roman" w:cs="Times New Roman"/>
          <w:kern w:val="2"/>
          <w:sz w:val="24"/>
          <w:szCs w:val="24"/>
          <w:lang w:eastAsia="zh-CN" w:bidi="hi-IN"/>
        </w:rPr>
        <w:t>Celmiņš A. 2020</w:t>
      </w:r>
      <w:r w:rsidR="00260499" w:rsidRPr="0014151A">
        <w:rPr>
          <w:rFonts w:ascii="Times New Roman" w:eastAsia="Times New Roman" w:hAnsi="Times New Roman" w:cs="Times New Roman"/>
          <w:kern w:val="2"/>
          <w:sz w:val="24"/>
          <w:szCs w:val="24"/>
          <w:lang w:eastAsia="zh-CN" w:bidi="hi-IN"/>
        </w:rPr>
        <w:t>. Vidējais dzenis. Putni Latvijā un pasaulē. Interneta vietne (http:/www.putni.lv)</w:t>
      </w:r>
      <w:r w:rsidRPr="0014151A">
        <w:rPr>
          <w:rFonts w:ascii="Times New Roman" w:eastAsia="Times New Roman" w:hAnsi="Times New Roman" w:cs="Times New Roman"/>
          <w:kern w:val="2"/>
          <w:sz w:val="24"/>
          <w:szCs w:val="24"/>
          <w:lang w:eastAsia="zh-CN" w:bidi="hi-IN"/>
        </w:rPr>
        <w:t>.</w:t>
      </w:r>
    </w:p>
    <w:p w14:paraId="7F2BEF87" w14:textId="1922B378" w:rsidR="00260499" w:rsidRPr="0014151A" w:rsidRDefault="00260499" w:rsidP="00F87589">
      <w:pPr>
        <w:numPr>
          <w:ilvl w:val="0"/>
          <w:numId w:val="31"/>
        </w:numPr>
        <w:spacing w:before="120" w:after="0" w:line="240" w:lineRule="auto"/>
        <w:contextualSpacing/>
        <w:jc w:val="both"/>
        <w:rPr>
          <w:rFonts w:ascii="Times New Roman" w:eastAsia="Times New Roman" w:hAnsi="Times New Roman" w:cs="Times New Roman"/>
          <w:kern w:val="2"/>
          <w:sz w:val="24"/>
          <w:szCs w:val="24"/>
          <w:lang w:eastAsia="zh-CN" w:bidi="hi-IN"/>
        </w:rPr>
      </w:pPr>
      <w:proofErr w:type="spellStart"/>
      <w:r w:rsidRPr="0014151A">
        <w:rPr>
          <w:rFonts w:ascii="Times New Roman" w:eastAsia="Times New Roman" w:hAnsi="Times New Roman" w:cs="Times New Roman"/>
          <w:kern w:val="2"/>
          <w:sz w:val="24"/>
          <w:szCs w:val="24"/>
          <w:lang w:eastAsia="zh-CN" w:bidi="hi-IN"/>
        </w:rPr>
        <w:t>Conservation</w:t>
      </w:r>
      <w:proofErr w:type="spellEnd"/>
      <w:r w:rsidRPr="0014151A">
        <w:rPr>
          <w:rFonts w:ascii="Times New Roman" w:eastAsia="Times New Roman" w:hAnsi="Times New Roman" w:cs="Times New Roman"/>
          <w:kern w:val="2"/>
          <w:sz w:val="24"/>
          <w:szCs w:val="24"/>
          <w:lang w:eastAsia="zh-CN" w:bidi="hi-IN"/>
        </w:rPr>
        <w:t xml:space="preserve"> Status </w:t>
      </w:r>
      <w:proofErr w:type="spellStart"/>
      <w:r w:rsidRPr="0014151A">
        <w:rPr>
          <w:rFonts w:ascii="Times New Roman" w:eastAsia="Times New Roman" w:hAnsi="Times New Roman" w:cs="Times New Roman"/>
          <w:kern w:val="2"/>
          <w:sz w:val="24"/>
          <w:szCs w:val="24"/>
          <w:lang w:eastAsia="zh-CN" w:bidi="hi-IN"/>
        </w:rPr>
        <w:t>of</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Species</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and</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Habitats</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Reporting</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under</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Article</w:t>
      </w:r>
      <w:proofErr w:type="spellEnd"/>
      <w:r w:rsidRPr="0014151A">
        <w:rPr>
          <w:rFonts w:ascii="Times New Roman" w:eastAsia="Times New Roman" w:hAnsi="Times New Roman" w:cs="Times New Roman"/>
          <w:kern w:val="2"/>
          <w:sz w:val="24"/>
          <w:szCs w:val="24"/>
          <w:lang w:eastAsia="zh-CN" w:bidi="hi-IN"/>
        </w:rPr>
        <w:t xml:space="preserve"> 17 </w:t>
      </w:r>
      <w:proofErr w:type="spellStart"/>
      <w:r w:rsidRPr="0014151A">
        <w:rPr>
          <w:rFonts w:ascii="Times New Roman" w:eastAsia="Times New Roman" w:hAnsi="Times New Roman" w:cs="Times New Roman"/>
          <w:kern w:val="2"/>
          <w:sz w:val="24"/>
          <w:szCs w:val="24"/>
          <w:lang w:eastAsia="zh-CN" w:bidi="hi-IN"/>
        </w:rPr>
        <w:t>of</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the</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Habitats</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Directive</w:t>
      </w:r>
      <w:proofErr w:type="spellEnd"/>
      <w:r w:rsidRPr="0014151A">
        <w:rPr>
          <w:rFonts w:ascii="Times New Roman" w:eastAsia="Times New Roman" w:hAnsi="Times New Roman" w:cs="Times New Roman"/>
          <w:kern w:val="2"/>
          <w:sz w:val="24"/>
          <w:szCs w:val="24"/>
          <w:lang w:eastAsia="zh-CN" w:bidi="hi-IN"/>
        </w:rPr>
        <w:t xml:space="preserve">. Latvia, </w:t>
      </w:r>
      <w:proofErr w:type="spellStart"/>
      <w:r w:rsidRPr="0014151A">
        <w:rPr>
          <w:rFonts w:ascii="Times New Roman" w:eastAsia="Times New Roman" w:hAnsi="Times New Roman" w:cs="Times New Roman"/>
          <w:kern w:val="2"/>
          <w:sz w:val="24"/>
          <w:szCs w:val="24"/>
          <w:lang w:eastAsia="zh-CN" w:bidi="hi-IN"/>
        </w:rPr>
        <w:t>assessment</w:t>
      </w:r>
      <w:proofErr w:type="spellEnd"/>
      <w:r w:rsidRPr="0014151A">
        <w:rPr>
          <w:rFonts w:ascii="Times New Roman" w:eastAsia="Times New Roman" w:hAnsi="Times New Roman" w:cs="Times New Roman"/>
          <w:kern w:val="2"/>
          <w:sz w:val="24"/>
          <w:szCs w:val="24"/>
          <w:lang w:eastAsia="zh-CN" w:bidi="hi-IN"/>
        </w:rPr>
        <w:t xml:space="preserve"> 2013-2018 (2019), </w:t>
      </w:r>
      <w:proofErr w:type="spellStart"/>
      <w:r w:rsidRPr="0014151A">
        <w:rPr>
          <w:rFonts w:ascii="Times New Roman" w:eastAsia="Times New Roman" w:hAnsi="Times New Roman" w:cs="Times New Roman"/>
          <w:kern w:val="2"/>
          <w:sz w:val="24"/>
          <w:szCs w:val="24"/>
          <w:lang w:eastAsia="zh-CN" w:bidi="hi-IN"/>
        </w:rPr>
        <w:t>European</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Commission</w:t>
      </w:r>
      <w:proofErr w:type="spellEnd"/>
      <w:r w:rsidRPr="0014151A">
        <w:rPr>
          <w:rFonts w:ascii="Times New Roman" w:eastAsia="Times New Roman" w:hAnsi="Times New Roman" w:cs="Times New Roman"/>
          <w:kern w:val="2"/>
          <w:sz w:val="24"/>
          <w:szCs w:val="24"/>
          <w:lang w:eastAsia="zh-CN" w:bidi="hi-IN"/>
        </w:rPr>
        <w:t>.</w:t>
      </w:r>
    </w:p>
    <w:p w14:paraId="5390FAC3" w14:textId="77777777" w:rsidR="00260499" w:rsidRPr="0014151A" w:rsidRDefault="00260499" w:rsidP="00F87589">
      <w:pPr>
        <w:numPr>
          <w:ilvl w:val="0"/>
          <w:numId w:val="31"/>
        </w:numPr>
        <w:spacing w:after="120" w:line="240" w:lineRule="auto"/>
        <w:contextualSpacing/>
        <w:jc w:val="both"/>
        <w:rPr>
          <w:rFonts w:ascii="Times New Roman" w:eastAsia="Times New Roman" w:hAnsi="Times New Roman" w:cs="Times New Roman"/>
          <w:kern w:val="2"/>
          <w:sz w:val="24"/>
          <w:szCs w:val="24"/>
          <w:lang w:eastAsia="zh-CN" w:bidi="hi-IN"/>
        </w:rPr>
      </w:pPr>
      <w:proofErr w:type="spellStart"/>
      <w:r w:rsidRPr="0014151A">
        <w:rPr>
          <w:rFonts w:ascii="Times New Roman" w:eastAsia="Times New Roman" w:hAnsi="Times New Roman" w:cs="Times New Roman"/>
          <w:kern w:val="2"/>
          <w:sz w:val="24"/>
          <w:szCs w:val="24"/>
          <w:lang w:eastAsia="zh-CN" w:bidi="hi-IN"/>
        </w:rPr>
        <w:t>Council</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Directive</w:t>
      </w:r>
      <w:proofErr w:type="spellEnd"/>
      <w:r w:rsidRPr="0014151A">
        <w:rPr>
          <w:rFonts w:ascii="Times New Roman" w:eastAsia="Times New Roman" w:hAnsi="Times New Roman" w:cs="Times New Roman"/>
          <w:kern w:val="2"/>
          <w:sz w:val="24"/>
          <w:szCs w:val="24"/>
          <w:lang w:eastAsia="zh-CN" w:bidi="hi-IN"/>
        </w:rPr>
        <w:t xml:space="preserve"> 92/43/EEC </w:t>
      </w:r>
      <w:proofErr w:type="spellStart"/>
      <w:r w:rsidRPr="0014151A">
        <w:rPr>
          <w:rFonts w:ascii="Times New Roman" w:eastAsia="Times New Roman" w:hAnsi="Times New Roman" w:cs="Times New Roman"/>
          <w:kern w:val="2"/>
          <w:sz w:val="24"/>
          <w:szCs w:val="24"/>
          <w:lang w:eastAsia="zh-CN" w:bidi="hi-IN"/>
        </w:rPr>
        <w:t>on</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the</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conservation</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of</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natural</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habitats</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and</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of</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wild</w:t>
      </w:r>
      <w:proofErr w:type="spellEnd"/>
      <w:r w:rsidRPr="0014151A">
        <w:rPr>
          <w:rFonts w:ascii="Times New Roman" w:eastAsia="Times New Roman" w:hAnsi="Times New Roman" w:cs="Times New Roman"/>
          <w:kern w:val="2"/>
          <w:sz w:val="24"/>
          <w:szCs w:val="24"/>
          <w:lang w:eastAsia="zh-CN" w:bidi="hi-IN"/>
        </w:rPr>
        <w:t xml:space="preserve"> fauna </w:t>
      </w:r>
      <w:proofErr w:type="spellStart"/>
      <w:r w:rsidRPr="0014151A">
        <w:rPr>
          <w:rFonts w:ascii="Times New Roman" w:eastAsia="Times New Roman" w:hAnsi="Times New Roman" w:cs="Times New Roman"/>
          <w:kern w:val="2"/>
          <w:sz w:val="24"/>
          <w:szCs w:val="24"/>
          <w:lang w:eastAsia="zh-CN" w:bidi="hi-IN"/>
        </w:rPr>
        <w:t>and</w:t>
      </w:r>
      <w:proofErr w:type="spellEnd"/>
      <w:r w:rsidRPr="0014151A">
        <w:rPr>
          <w:rFonts w:ascii="Times New Roman" w:eastAsia="Times New Roman" w:hAnsi="Times New Roman" w:cs="Times New Roman"/>
          <w:kern w:val="2"/>
          <w:sz w:val="24"/>
          <w:szCs w:val="24"/>
          <w:lang w:eastAsia="zh-CN" w:bidi="hi-IN"/>
        </w:rPr>
        <w:t xml:space="preserve"> flora. </w:t>
      </w:r>
      <w:proofErr w:type="spellStart"/>
      <w:r w:rsidRPr="0014151A">
        <w:rPr>
          <w:rFonts w:ascii="Times New Roman" w:eastAsia="Times New Roman" w:hAnsi="Times New Roman" w:cs="Times New Roman"/>
          <w:kern w:val="2"/>
          <w:sz w:val="24"/>
          <w:szCs w:val="24"/>
          <w:lang w:eastAsia="zh-CN" w:bidi="hi-IN"/>
        </w:rPr>
        <w:t>Official</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Journal</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of</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the</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European</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Communitties</w:t>
      </w:r>
      <w:proofErr w:type="spellEnd"/>
      <w:r w:rsidRPr="0014151A">
        <w:rPr>
          <w:rFonts w:ascii="Times New Roman" w:eastAsia="Times New Roman" w:hAnsi="Times New Roman" w:cs="Times New Roman"/>
          <w:kern w:val="2"/>
          <w:sz w:val="24"/>
          <w:szCs w:val="24"/>
          <w:lang w:eastAsia="zh-CN" w:bidi="hi-IN"/>
        </w:rPr>
        <w:t xml:space="preserve"> L 206:750.</w:t>
      </w:r>
    </w:p>
    <w:p w14:paraId="7BF0FA41" w14:textId="72EB986E" w:rsidR="00260499" w:rsidRPr="0014151A" w:rsidRDefault="00260499" w:rsidP="00F87589">
      <w:pPr>
        <w:numPr>
          <w:ilvl w:val="0"/>
          <w:numId w:val="31"/>
        </w:numPr>
        <w:spacing w:before="120" w:after="0" w:line="240" w:lineRule="auto"/>
        <w:contextualSpacing/>
        <w:jc w:val="both"/>
        <w:rPr>
          <w:rFonts w:ascii="Times New Roman" w:eastAsia="Times New Roman" w:hAnsi="Times New Roman" w:cs="Times New Roman"/>
          <w:kern w:val="2"/>
          <w:sz w:val="24"/>
          <w:szCs w:val="24"/>
          <w:lang w:eastAsia="zh-CN" w:bidi="hi-IN"/>
        </w:rPr>
      </w:pPr>
      <w:proofErr w:type="spellStart"/>
      <w:r w:rsidRPr="0014151A">
        <w:rPr>
          <w:rFonts w:ascii="Times New Roman" w:eastAsia="Times New Roman" w:hAnsi="Times New Roman" w:cs="Times New Roman"/>
          <w:kern w:val="2"/>
          <w:sz w:val="24"/>
          <w:szCs w:val="24"/>
          <w:lang w:eastAsia="zh-CN" w:bidi="hi-IN"/>
        </w:rPr>
        <w:t>Czeszczewik</w:t>
      </w:r>
      <w:proofErr w:type="spellEnd"/>
      <w:r w:rsidRPr="0014151A">
        <w:rPr>
          <w:rFonts w:ascii="Times New Roman" w:eastAsia="Times New Roman" w:hAnsi="Times New Roman" w:cs="Times New Roman"/>
          <w:kern w:val="2"/>
          <w:sz w:val="24"/>
          <w:szCs w:val="24"/>
          <w:lang w:eastAsia="zh-CN" w:bidi="hi-IN"/>
        </w:rPr>
        <w:t xml:space="preserve"> D., </w:t>
      </w:r>
      <w:proofErr w:type="spellStart"/>
      <w:r w:rsidRPr="0014151A">
        <w:rPr>
          <w:rFonts w:ascii="Times New Roman" w:eastAsia="Times New Roman" w:hAnsi="Times New Roman" w:cs="Times New Roman"/>
          <w:kern w:val="2"/>
          <w:sz w:val="24"/>
          <w:szCs w:val="24"/>
          <w:lang w:eastAsia="zh-CN" w:bidi="hi-IN"/>
        </w:rPr>
        <w:t>Walankiewicz</w:t>
      </w:r>
      <w:proofErr w:type="spellEnd"/>
      <w:r w:rsidRPr="0014151A">
        <w:rPr>
          <w:rFonts w:ascii="Times New Roman" w:eastAsia="Times New Roman" w:hAnsi="Times New Roman" w:cs="Times New Roman"/>
          <w:kern w:val="2"/>
          <w:sz w:val="24"/>
          <w:szCs w:val="24"/>
          <w:lang w:eastAsia="zh-CN" w:bidi="hi-IN"/>
        </w:rPr>
        <w:t xml:space="preserve"> W. 2006. </w:t>
      </w:r>
      <w:proofErr w:type="spellStart"/>
      <w:r w:rsidRPr="0014151A">
        <w:rPr>
          <w:rFonts w:ascii="Times New Roman" w:eastAsia="Times New Roman" w:hAnsi="Times New Roman" w:cs="Times New Roman"/>
          <w:kern w:val="2"/>
          <w:sz w:val="24"/>
          <w:szCs w:val="24"/>
          <w:lang w:eastAsia="zh-CN" w:bidi="hi-IN"/>
        </w:rPr>
        <w:t>Logging</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affects</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the</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White-becked</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woodbecker</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Dendrocotos</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leucotos</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distribution</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in</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the</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Bialowieža</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Forest</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Annales</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Zoologici</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Fennici</w:t>
      </w:r>
      <w:proofErr w:type="spellEnd"/>
      <w:r w:rsidRPr="0014151A">
        <w:rPr>
          <w:rFonts w:ascii="Times New Roman" w:eastAsia="Times New Roman" w:hAnsi="Times New Roman" w:cs="Times New Roman"/>
          <w:kern w:val="2"/>
          <w:sz w:val="24"/>
          <w:szCs w:val="24"/>
          <w:lang w:eastAsia="zh-CN" w:bidi="hi-IN"/>
        </w:rPr>
        <w:t xml:space="preserve"> 43: 221 – 227.</w:t>
      </w:r>
    </w:p>
    <w:p w14:paraId="5343B583" w14:textId="0BC09839" w:rsidR="00B23EB3" w:rsidRPr="0014151A" w:rsidRDefault="00B23EB3" w:rsidP="00F87589">
      <w:pPr>
        <w:numPr>
          <w:ilvl w:val="0"/>
          <w:numId w:val="31"/>
        </w:numPr>
        <w:spacing w:before="120" w:after="0" w:line="240" w:lineRule="auto"/>
        <w:contextualSpacing/>
        <w:jc w:val="both"/>
        <w:rPr>
          <w:rFonts w:ascii="Times New Roman" w:eastAsia="Times New Roman" w:hAnsi="Times New Roman" w:cs="Times New Roman"/>
          <w:kern w:val="2"/>
          <w:sz w:val="24"/>
          <w:szCs w:val="24"/>
          <w:lang w:eastAsia="zh-CN" w:bidi="hi-IN"/>
        </w:rPr>
      </w:pPr>
      <w:proofErr w:type="spellStart"/>
      <w:r w:rsidRPr="0014151A">
        <w:rPr>
          <w:rFonts w:ascii="Times New Roman" w:eastAsia="Times New Roman" w:hAnsi="Times New Roman" w:cs="Times New Roman"/>
          <w:kern w:val="2"/>
          <w:sz w:val="24"/>
          <w:szCs w:val="24"/>
          <w:lang w:eastAsia="zh-CN" w:bidi="hi-IN"/>
        </w:rPr>
        <w:t>Čeirāns</w:t>
      </w:r>
      <w:proofErr w:type="spellEnd"/>
      <w:r w:rsidRPr="0014151A">
        <w:rPr>
          <w:rFonts w:ascii="Times New Roman" w:eastAsia="Times New Roman" w:hAnsi="Times New Roman" w:cs="Times New Roman"/>
          <w:kern w:val="2"/>
          <w:sz w:val="24"/>
          <w:szCs w:val="24"/>
          <w:lang w:eastAsia="zh-CN" w:bidi="hi-IN"/>
        </w:rPr>
        <w:t xml:space="preserve"> A., </w:t>
      </w:r>
      <w:proofErr w:type="spellStart"/>
      <w:r w:rsidRPr="0014151A">
        <w:rPr>
          <w:rFonts w:ascii="Times New Roman" w:eastAsia="Times New Roman" w:hAnsi="Times New Roman" w:cs="Times New Roman"/>
          <w:kern w:val="2"/>
          <w:sz w:val="24"/>
          <w:szCs w:val="24"/>
          <w:lang w:eastAsia="zh-CN" w:bidi="hi-IN"/>
        </w:rPr>
        <w:t>Pupins</w:t>
      </w:r>
      <w:proofErr w:type="spellEnd"/>
      <w:r w:rsidRPr="0014151A">
        <w:rPr>
          <w:rFonts w:ascii="Times New Roman" w:eastAsia="Times New Roman" w:hAnsi="Times New Roman" w:cs="Times New Roman"/>
          <w:kern w:val="2"/>
          <w:sz w:val="24"/>
          <w:szCs w:val="24"/>
          <w:lang w:eastAsia="zh-CN" w:bidi="hi-IN"/>
        </w:rPr>
        <w:t xml:space="preserve"> M. 2019: </w:t>
      </w:r>
      <w:proofErr w:type="spellStart"/>
      <w:r w:rsidRPr="0014151A">
        <w:rPr>
          <w:rFonts w:ascii="Times New Roman" w:eastAsia="Times New Roman" w:hAnsi="Times New Roman" w:cs="Times New Roman"/>
          <w:kern w:val="2"/>
          <w:sz w:val="24"/>
          <w:szCs w:val="24"/>
          <w:lang w:eastAsia="zh-CN" w:bidi="hi-IN"/>
        </w:rPr>
        <w:t>Ongoing</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shrinkage</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and</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fragmentation</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in</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the</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geographic</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range</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of</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the</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Natterjack</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Toad</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Epidalea</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calamita</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in</w:t>
      </w:r>
      <w:proofErr w:type="spellEnd"/>
      <w:r w:rsidRPr="0014151A">
        <w:rPr>
          <w:rFonts w:ascii="Times New Roman" w:eastAsia="Times New Roman" w:hAnsi="Times New Roman" w:cs="Times New Roman"/>
          <w:kern w:val="2"/>
          <w:sz w:val="24"/>
          <w:szCs w:val="24"/>
          <w:lang w:eastAsia="zh-CN" w:bidi="hi-IN"/>
        </w:rPr>
        <w:t xml:space="preserve"> Latvia </w:t>
      </w:r>
      <w:proofErr w:type="spellStart"/>
      <w:r w:rsidRPr="0014151A">
        <w:rPr>
          <w:rFonts w:ascii="Times New Roman" w:eastAsia="Times New Roman" w:hAnsi="Times New Roman" w:cs="Times New Roman"/>
          <w:kern w:val="2"/>
          <w:sz w:val="24"/>
          <w:szCs w:val="24"/>
          <w:lang w:eastAsia="zh-CN" w:bidi="hi-IN"/>
        </w:rPr>
        <w:t>and</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the</w:t>
      </w:r>
      <w:proofErr w:type="spellEnd"/>
      <w:r w:rsidRPr="0014151A">
        <w:rPr>
          <w:rFonts w:ascii="Times New Roman" w:eastAsia="Times New Roman" w:hAnsi="Times New Roman" w:cs="Times New Roman"/>
          <w:kern w:val="2"/>
          <w:sz w:val="24"/>
          <w:szCs w:val="24"/>
          <w:lang w:eastAsia="zh-CN" w:bidi="hi-IN"/>
        </w:rPr>
        <w:t xml:space="preserve"> East </w:t>
      </w:r>
      <w:proofErr w:type="spellStart"/>
      <w:r w:rsidRPr="0014151A">
        <w:rPr>
          <w:rFonts w:ascii="Times New Roman" w:eastAsia="Times New Roman" w:hAnsi="Times New Roman" w:cs="Times New Roman"/>
          <w:kern w:val="2"/>
          <w:sz w:val="24"/>
          <w:szCs w:val="24"/>
          <w:lang w:eastAsia="zh-CN" w:bidi="hi-IN"/>
        </w:rPr>
        <w:t>Baltic</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Region</w:t>
      </w:r>
      <w:proofErr w:type="spellEnd"/>
      <w:r w:rsidRPr="0014151A">
        <w:rPr>
          <w:rFonts w:ascii="Times New Roman" w:eastAsia="Times New Roman" w:hAnsi="Times New Roman" w:cs="Times New Roman"/>
          <w:kern w:val="2"/>
          <w:sz w:val="24"/>
          <w:szCs w:val="24"/>
          <w:lang w:eastAsia="zh-CN" w:bidi="hi-IN"/>
        </w:rPr>
        <w:t xml:space="preserve">. – </w:t>
      </w:r>
      <w:proofErr w:type="spellStart"/>
      <w:r w:rsidRPr="0014151A">
        <w:rPr>
          <w:rFonts w:ascii="Times New Roman" w:eastAsia="Times New Roman" w:hAnsi="Times New Roman" w:cs="Times New Roman"/>
          <w:kern w:val="2"/>
          <w:sz w:val="24"/>
          <w:szCs w:val="24"/>
          <w:lang w:eastAsia="zh-CN" w:bidi="hi-IN"/>
        </w:rPr>
        <w:t>Zoology</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and</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Ecology</w:t>
      </w:r>
      <w:proofErr w:type="spellEnd"/>
      <w:r w:rsidRPr="0014151A">
        <w:rPr>
          <w:rFonts w:ascii="Times New Roman" w:eastAsia="Times New Roman" w:hAnsi="Times New Roman" w:cs="Times New Roman"/>
          <w:kern w:val="2"/>
          <w:sz w:val="24"/>
          <w:szCs w:val="24"/>
          <w:lang w:eastAsia="zh-CN" w:bidi="hi-IN"/>
        </w:rPr>
        <w:t>, 29 (1): 65-70.</w:t>
      </w:r>
    </w:p>
    <w:p w14:paraId="1421EA1D" w14:textId="284ADE63" w:rsidR="00523030" w:rsidRPr="0014151A" w:rsidRDefault="00523030" w:rsidP="00523030">
      <w:pPr>
        <w:numPr>
          <w:ilvl w:val="0"/>
          <w:numId w:val="31"/>
        </w:numPr>
        <w:spacing w:before="120" w:after="0" w:line="240" w:lineRule="auto"/>
        <w:contextualSpacing/>
        <w:jc w:val="both"/>
        <w:rPr>
          <w:rFonts w:ascii="Times New Roman" w:eastAsia="Times New Roman" w:hAnsi="Times New Roman" w:cs="Times New Roman"/>
          <w:kern w:val="2"/>
          <w:sz w:val="24"/>
          <w:szCs w:val="24"/>
          <w:lang w:eastAsia="zh-CN" w:bidi="hi-IN"/>
        </w:rPr>
      </w:pPr>
      <w:r w:rsidRPr="0014151A">
        <w:rPr>
          <w:rFonts w:ascii="Times New Roman" w:eastAsia="Times New Roman" w:hAnsi="Times New Roman" w:cs="Times New Roman"/>
          <w:kern w:val="2"/>
          <w:sz w:val="24"/>
          <w:szCs w:val="24"/>
          <w:lang w:eastAsia="zh-CN" w:bidi="hi-IN"/>
        </w:rPr>
        <w:t>Dabas aizsardzības plāns dabas parkam “Numernes valnis”</w:t>
      </w:r>
      <w:r w:rsidR="00D53DDD" w:rsidRPr="0014151A">
        <w:rPr>
          <w:rFonts w:ascii="Times New Roman" w:eastAsia="Times New Roman" w:hAnsi="Times New Roman" w:cs="Times New Roman"/>
          <w:kern w:val="2"/>
          <w:sz w:val="24"/>
          <w:szCs w:val="24"/>
          <w:lang w:eastAsia="zh-CN" w:bidi="hi-IN"/>
        </w:rPr>
        <w:t>,</w:t>
      </w:r>
      <w:r w:rsidRPr="0014151A">
        <w:rPr>
          <w:rFonts w:ascii="Times New Roman" w:eastAsia="Times New Roman" w:hAnsi="Times New Roman" w:cs="Times New Roman"/>
          <w:kern w:val="2"/>
          <w:sz w:val="24"/>
          <w:szCs w:val="24"/>
          <w:lang w:eastAsia="zh-CN" w:bidi="hi-IN"/>
        </w:rPr>
        <w:t xml:space="preserve"> 2020. Daugavpils, 220 lpp.</w:t>
      </w:r>
    </w:p>
    <w:p w14:paraId="27D35EDA" w14:textId="789FFA50" w:rsidR="001E3B21" w:rsidRPr="0014151A" w:rsidRDefault="001E3B21" w:rsidP="0014151A">
      <w:pPr>
        <w:pStyle w:val="ListParagraph"/>
        <w:numPr>
          <w:ilvl w:val="0"/>
          <w:numId w:val="31"/>
        </w:numPr>
        <w:spacing w:after="0" w:line="240" w:lineRule="auto"/>
        <w:rPr>
          <w:rFonts w:eastAsia="Times New Roman" w:cs="Times New Roman"/>
          <w:kern w:val="2"/>
          <w:szCs w:val="24"/>
          <w:lang w:eastAsia="zh-CN" w:bidi="hi-IN"/>
        </w:rPr>
      </w:pPr>
      <w:r w:rsidRPr="0014151A">
        <w:rPr>
          <w:rFonts w:eastAsia="Times New Roman" w:cs="Times New Roman"/>
          <w:kern w:val="2"/>
          <w:szCs w:val="24"/>
          <w:lang w:eastAsia="zh-CN" w:bidi="hi-IN"/>
        </w:rPr>
        <w:t>Dabas lieguma “</w:t>
      </w:r>
      <w:proofErr w:type="spellStart"/>
      <w:r w:rsidRPr="0014151A">
        <w:rPr>
          <w:rFonts w:eastAsia="Times New Roman" w:cs="Times New Roman"/>
          <w:kern w:val="2"/>
          <w:szCs w:val="24"/>
          <w:lang w:eastAsia="zh-CN" w:bidi="hi-IN"/>
        </w:rPr>
        <w:t>Randu</w:t>
      </w:r>
      <w:proofErr w:type="spellEnd"/>
      <w:r w:rsidRPr="0014151A">
        <w:rPr>
          <w:rFonts w:eastAsia="Times New Roman" w:cs="Times New Roman"/>
          <w:kern w:val="2"/>
          <w:szCs w:val="24"/>
          <w:lang w:eastAsia="zh-CN" w:bidi="hi-IN"/>
        </w:rPr>
        <w:t xml:space="preserve"> pļavas” dabas aizsardzības plāns periodam 2005 – 2014</w:t>
      </w:r>
      <w:r w:rsidR="00D53DDD" w:rsidRPr="0014151A">
        <w:rPr>
          <w:rFonts w:eastAsia="Times New Roman" w:cs="Times New Roman"/>
          <w:kern w:val="2"/>
          <w:szCs w:val="24"/>
          <w:lang w:eastAsia="zh-CN" w:bidi="hi-IN"/>
        </w:rPr>
        <w:t>, 2005. Baltijas Vides forums.</w:t>
      </w:r>
    </w:p>
    <w:p w14:paraId="110F3F0A" w14:textId="3F23FF77" w:rsidR="009A0814" w:rsidRPr="0014151A" w:rsidRDefault="009A0814" w:rsidP="0014151A">
      <w:pPr>
        <w:numPr>
          <w:ilvl w:val="0"/>
          <w:numId w:val="31"/>
        </w:numPr>
        <w:spacing w:after="0" w:line="240" w:lineRule="auto"/>
        <w:contextualSpacing/>
        <w:jc w:val="both"/>
        <w:rPr>
          <w:rFonts w:ascii="Times New Roman" w:eastAsia="Times New Roman" w:hAnsi="Times New Roman" w:cs="Times New Roman"/>
          <w:kern w:val="2"/>
          <w:sz w:val="24"/>
          <w:szCs w:val="24"/>
          <w:lang w:eastAsia="zh-CN" w:bidi="hi-IN"/>
        </w:rPr>
      </w:pPr>
      <w:r w:rsidRPr="0014151A">
        <w:rPr>
          <w:rFonts w:ascii="Times New Roman" w:eastAsia="Times New Roman" w:hAnsi="Times New Roman" w:cs="Times New Roman"/>
          <w:color w:val="000000"/>
          <w:kern w:val="2"/>
          <w:sz w:val="24"/>
          <w:szCs w:val="24"/>
          <w:lang w:eastAsia="ja-JP" w:bidi="hi-IN"/>
        </w:rPr>
        <w:lastRenderedPageBreak/>
        <w:t>Dabas parka “Daugavas loki” tūrisma attīstības pl</w:t>
      </w:r>
      <w:r w:rsidR="0048718D" w:rsidRPr="0014151A">
        <w:rPr>
          <w:rFonts w:ascii="Times New Roman" w:eastAsia="Times New Roman" w:hAnsi="Times New Roman" w:cs="Times New Roman"/>
          <w:color w:val="000000"/>
          <w:kern w:val="2"/>
          <w:sz w:val="24"/>
          <w:szCs w:val="24"/>
          <w:lang w:eastAsia="ja-JP" w:bidi="hi-IN"/>
        </w:rPr>
        <w:t>āns, 2011, 194 lpp.</w:t>
      </w:r>
    </w:p>
    <w:p w14:paraId="4A4020CE" w14:textId="4C7818D1" w:rsidR="00260499" w:rsidRPr="0014151A" w:rsidRDefault="00260499" w:rsidP="0014151A">
      <w:pPr>
        <w:numPr>
          <w:ilvl w:val="0"/>
          <w:numId w:val="31"/>
        </w:numPr>
        <w:spacing w:after="0" w:line="240" w:lineRule="auto"/>
        <w:contextualSpacing/>
        <w:jc w:val="both"/>
        <w:rPr>
          <w:rFonts w:ascii="Times New Roman" w:eastAsia="Times New Roman" w:hAnsi="Times New Roman" w:cs="Times New Roman"/>
          <w:kern w:val="2"/>
          <w:sz w:val="24"/>
          <w:szCs w:val="24"/>
          <w:lang w:eastAsia="zh-CN" w:bidi="hi-IN"/>
        </w:rPr>
      </w:pPr>
      <w:r w:rsidRPr="0014151A">
        <w:rPr>
          <w:rFonts w:ascii="Times New Roman" w:eastAsia="Times New Roman" w:hAnsi="Times New Roman" w:cs="Times New Roman"/>
          <w:kern w:val="2"/>
          <w:sz w:val="24"/>
          <w:szCs w:val="24"/>
          <w:lang w:eastAsia="zh-CN" w:bidi="hi-IN"/>
        </w:rPr>
        <w:t xml:space="preserve">Daugava. /Konversācijas vārdnīca, 1. sēj., </w:t>
      </w:r>
      <w:r w:rsidR="00963390" w:rsidRPr="0014151A">
        <w:rPr>
          <w:rFonts w:ascii="Times New Roman" w:eastAsia="Times New Roman" w:hAnsi="Times New Roman" w:cs="Times New Roman"/>
          <w:kern w:val="2"/>
          <w:sz w:val="24"/>
          <w:szCs w:val="24"/>
          <w:lang w:eastAsia="zh-CN" w:bidi="hi-IN"/>
        </w:rPr>
        <w:t xml:space="preserve">1908. </w:t>
      </w:r>
      <w:r w:rsidRPr="0014151A">
        <w:rPr>
          <w:rFonts w:ascii="Times New Roman" w:eastAsia="Times New Roman" w:hAnsi="Times New Roman" w:cs="Times New Roman"/>
          <w:kern w:val="2"/>
          <w:sz w:val="24"/>
          <w:szCs w:val="24"/>
          <w:lang w:eastAsia="zh-CN" w:bidi="hi-IN"/>
        </w:rPr>
        <w:t>Rīgas Latviešu biedrības Derīgu grāmatu nodaļa,</w:t>
      </w:r>
      <w:r w:rsidR="00963390" w:rsidRPr="0014151A">
        <w:rPr>
          <w:rFonts w:ascii="Times New Roman" w:eastAsia="Times New Roman" w:hAnsi="Times New Roman" w:cs="Times New Roman"/>
          <w:kern w:val="2"/>
          <w:sz w:val="24"/>
          <w:szCs w:val="24"/>
          <w:lang w:eastAsia="zh-CN" w:bidi="hi-IN"/>
        </w:rPr>
        <w:t xml:space="preserve"> 545.lpp.</w:t>
      </w:r>
    </w:p>
    <w:p w14:paraId="0722A416" w14:textId="57F14A9E" w:rsidR="00CE45BD" w:rsidRPr="0014151A" w:rsidRDefault="00CE45BD" w:rsidP="0014151A">
      <w:pPr>
        <w:pStyle w:val="ListParagraph"/>
        <w:numPr>
          <w:ilvl w:val="0"/>
          <w:numId w:val="31"/>
        </w:numPr>
        <w:spacing w:after="0" w:line="240" w:lineRule="auto"/>
        <w:ind w:left="924" w:hanging="357"/>
        <w:rPr>
          <w:rFonts w:eastAsia="Times New Roman" w:cs="Times New Roman"/>
          <w:kern w:val="2"/>
          <w:szCs w:val="24"/>
          <w:lang w:eastAsia="zh-CN" w:bidi="hi-IN"/>
        </w:rPr>
      </w:pPr>
      <w:r w:rsidRPr="0014151A">
        <w:rPr>
          <w:rFonts w:eastAsia="Times New Roman" w:cs="Times New Roman"/>
          <w:kern w:val="2"/>
          <w:szCs w:val="24"/>
          <w:lang w:eastAsia="zh-CN" w:bidi="hi-IN"/>
        </w:rPr>
        <w:t>Daugavas ekoloģiskā stāvokļa novērtējums,</w:t>
      </w:r>
      <w:r w:rsidR="00883139" w:rsidRPr="0014151A">
        <w:rPr>
          <w:rFonts w:eastAsia="Times New Roman" w:cs="Times New Roman"/>
          <w:kern w:val="2"/>
          <w:szCs w:val="24"/>
          <w:lang w:eastAsia="zh-CN" w:bidi="hi-IN"/>
        </w:rPr>
        <w:t xml:space="preserve"> 2007,</w:t>
      </w:r>
      <w:r w:rsidRPr="0014151A">
        <w:rPr>
          <w:rFonts w:eastAsia="Times New Roman" w:cs="Times New Roman"/>
          <w:kern w:val="2"/>
          <w:szCs w:val="24"/>
          <w:lang w:eastAsia="zh-CN" w:bidi="hi-IN"/>
        </w:rPr>
        <w:t xml:space="preserve"> LU Bioloģijas inst</w:t>
      </w:r>
      <w:r w:rsidR="00883139" w:rsidRPr="0014151A">
        <w:rPr>
          <w:rFonts w:eastAsia="Times New Roman" w:cs="Times New Roman"/>
          <w:kern w:val="2"/>
          <w:szCs w:val="24"/>
          <w:lang w:eastAsia="zh-CN" w:bidi="hi-IN"/>
        </w:rPr>
        <w:t>itūts, Salaspils, 58 lpp.</w:t>
      </w:r>
    </w:p>
    <w:p w14:paraId="56F3DDF3" w14:textId="2605E49E" w:rsidR="00A61F9B" w:rsidRPr="0014151A" w:rsidRDefault="00E82B6A" w:rsidP="0014151A">
      <w:pPr>
        <w:numPr>
          <w:ilvl w:val="0"/>
          <w:numId w:val="31"/>
        </w:numPr>
        <w:spacing w:after="0" w:line="240" w:lineRule="auto"/>
        <w:ind w:left="924" w:hanging="357"/>
        <w:contextualSpacing/>
        <w:jc w:val="both"/>
        <w:rPr>
          <w:rFonts w:ascii="Times New Roman" w:eastAsia="Times New Roman" w:hAnsi="Times New Roman" w:cs="Times New Roman"/>
          <w:kern w:val="2"/>
          <w:sz w:val="24"/>
          <w:szCs w:val="24"/>
          <w:lang w:eastAsia="zh-CN" w:bidi="hi-IN"/>
        </w:rPr>
      </w:pPr>
      <w:r w:rsidRPr="0014151A">
        <w:rPr>
          <w:rFonts w:ascii="Times New Roman" w:hAnsi="Times New Roman" w:cs="Times New Roman"/>
          <w:sz w:val="24"/>
          <w:szCs w:val="24"/>
        </w:rPr>
        <w:t xml:space="preserve">Daugavpils </w:t>
      </w:r>
      <w:proofErr w:type="spellStart"/>
      <w:r w:rsidRPr="0014151A">
        <w:rPr>
          <w:rFonts w:ascii="Times New Roman" w:hAnsi="Times New Roman" w:cs="Times New Roman"/>
          <w:sz w:val="24"/>
          <w:szCs w:val="24"/>
        </w:rPr>
        <w:t>valstpilsētas</w:t>
      </w:r>
      <w:proofErr w:type="spellEnd"/>
      <w:r w:rsidRPr="0014151A">
        <w:rPr>
          <w:rFonts w:ascii="Times New Roman" w:hAnsi="Times New Roman" w:cs="Times New Roman"/>
          <w:sz w:val="24"/>
          <w:szCs w:val="24"/>
        </w:rPr>
        <w:t xml:space="preserve"> un Augšdaugavas novada ilgtspējīgas attīstības stratēģija līdz 2030. gadam</w:t>
      </w:r>
      <w:r w:rsidR="00785784" w:rsidRPr="0014151A">
        <w:rPr>
          <w:rFonts w:ascii="Times New Roman" w:hAnsi="Times New Roman" w:cs="Times New Roman"/>
          <w:sz w:val="24"/>
          <w:szCs w:val="24"/>
        </w:rPr>
        <w:t xml:space="preserve">, 2021. </w:t>
      </w:r>
      <w:hyperlink r:id="rId202" w:history="1">
        <w:r w:rsidR="00CA31A2" w:rsidRPr="0014151A">
          <w:rPr>
            <w:rStyle w:val="Hyperlink"/>
            <w:rFonts w:ascii="Times New Roman" w:hAnsi="Times New Roman" w:cs="Times New Roman"/>
            <w:sz w:val="24"/>
            <w:szCs w:val="24"/>
          </w:rPr>
          <w:t>https://www.daugavpils.lv/assets/upload/manager/AttistibasDepartaments/Dokumenti/Planosana/I_IAS_04102021_gala.pdf</w:t>
        </w:r>
      </w:hyperlink>
      <w:r w:rsidR="00CA31A2" w:rsidRPr="0014151A">
        <w:rPr>
          <w:rFonts w:ascii="Times New Roman" w:hAnsi="Times New Roman" w:cs="Times New Roman"/>
          <w:sz w:val="24"/>
          <w:szCs w:val="24"/>
        </w:rPr>
        <w:t xml:space="preserve"> </w:t>
      </w:r>
    </w:p>
    <w:p w14:paraId="1937578E" w14:textId="621CC606" w:rsidR="00260499" w:rsidRDefault="00260499" w:rsidP="0014151A">
      <w:pPr>
        <w:numPr>
          <w:ilvl w:val="0"/>
          <w:numId w:val="31"/>
        </w:numPr>
        <w:spacing w:after="0" w:line="240" w:lineRule="auto"/>
        <w:ind w:left="924" w:hanging="357"/>
        <w:contextualSpacing/>
        <w:jc w:val="both"/>
        <w:rPr>
          <w:rFonts w:ascii="Times New Roman" w:eastAsia="Times New Roman" w:hAnsi="Times New Roman" w:cs="Times New Roman"/>
          <w:kern w:val="2"/>
          <w:sz w:val="24"/>
          <w:szCs w:val="24"/>
          <w:lang w:eastAsia="zh-CN" w:bidi="hi-IN"/>
        </w:rPr>
      </w:pPr>
      <w:r w:rsidRPr="0014151A">
        <w:rPr>
          <w:rFonts w:ascii="Times New Roman" w:eastAsia="Times New Roman" w:hAnsi="Times New Roman" w:cs="Times New Roman"/>
          <w:kern w:val="2"/>
          <w:sz w:val="24"/>
          <w:szCs w:val="24"/>
          <w:lang w:eastAsia="zh-CN" w:bidi="hi-IN"/>
        </w:rPr>
        <w:t>Daugavpils novada teritorijas plānojums 2012.</w:t>
      </w:r>
      <w:r w:rsidR="00605183" w:rsidRPr="0014151A">
        <w:rPr>
          <w:rFonts w:ascii="Times New Roman" w:eastAsia="Times New Roman" w:hAnsi="Times New Roman" w:cs="Times New Roman"/>
          <w:kern w:val="2"/>
          <w:sz w:val="24"/>
          <w:szCs w:val="24"/>
          <w:lang w:eastAsia="zh-CN" w:bidi="hi-IN"/>
        </w:rPr>
        <w:t> - </w:t>
      </w:r>
      <w:r w:rsidRPr="0014151A">
        <w:rPr>
          <w:rFonts w:ascii="Times New Roman" w:eastAsia="Times New Roman" w:hAnsi="Times New Roman" w:cs="Times New Roman"/>
          <w:kern w:val="2"/>
          <w:sz w:val="24"/>
          <w:szCs w:val="24"/>
          <w:lang w:eastAsia="zh-CN" w:bidi="hi-IN"/>
        </w:rPr>
        <w:t>2023.</w:t>
      </w:r>
      <w:r w:rsidR="000C7AA3" w:rsidRPr="0014151A">
        <w:rPr>
          <w:rFonts w:ascii="Times New Roman" w:eastAsia="Times New Roman" w:hAnsi="Times New Roman" w:cs="Times New Roman"/>
          <w:kern w:val="2"/>
          <w:sz w:val="24"/>
          <w:szCs w:val="24"/>
          <w:lang w:eastAsia="zh-CN" w:bidi="hi-IN"/>
        </w:rPr>
        <w:t> </w:t>
      </w:r>
      <w:r w:rsidRPr="0014151A">
        <w:rPr>
          <w:rFonts w:ascii="Times New Roman" w:eastAsia="Times New Roman" w:hAnsi="Times New Roman" w:cs="Times New Roman"/>
          <w:kern w:val="2"/>
          <w:sz w:val="24"/>
          <w:szCs w:val="24"/>
          <w:lang w:eastAsia="zh-CN" w:bidi="hi-IN"/>
        </w:rPr>
        <w:t>gadam</w:t>
      </w:r>
      <w:r w:rsidR="001F2FE6" w:rsidRPr="0014151A">
        <w:rPr>
          <w:rFonts w:ascii="Times New Roman" w:eastAsia="Times New Roman" w:hAnsi="Times New Roman" w:cs="Times New Roman"/>
          <w:kern w:val="2"/>
          <w:sz w:val="24"/>
          <w:szCs w:val="24"/>
          <w:lang w:eastAsia="zh-CN" w:bidi="hi-IN"/>
        </w:rPr>
        <w:t>, 2014.</w:t>
      </w:r>
      <w:r w:rsidR="00605183" w:rsidRPr="0014151A">
        <w:rPr>
          <w:rFonts w:ascii="Times New Roman" w:eastAsia="Times New Roman" w:hAnsi="Times New Roman" w:cs="Times New Roman"/>
          <w:kern w:val="2"/>
          <w:sz w:val="24"/>
          <w:szCs w:val="24"/>
          <w:lang w:eastAsia="zh-CN" w:bidi="hi-IN"/>
        </w:rPr>
        <w:t xml:space="preserve"> </w:t>
      </w:r>
      <w:r w:rsidRPr="0014151A">
        <w:rPr>
          <w:rFonts w:ascii="Times New Roman" w:eastAsia="Times New Roman" w:hAnsi="Times New Roman" w:cs="Times New Roman"/>
          <w:kern w:val="2"/>
          <w:sz w:val="24"/>
          <w:szCs w:val="24"/>
          <w:lang w:eastAsia="zh-CN" w:bidi="hi-IN"/>
        </w:rPr>
        <w:t xml:space="preserve"> </w:t>
      </w:r>
      <w:hyperlink r:id="rId203" w:history="1">
        <w:r w:rsidR="001F2FE6" w:rsidRPr="0014151A">
          <w:rPr>
            <w:rStyle w:val="Hyperlink"/>
            <w:rFonts w:ascii="Times New Roman" w:eastAsia="Times New Roman" w:hAnsi="Times New Roman" w:cs="Times New Roman"/>
            <w:kern w:val="2"/>
            <w:sz w:val="24"/>
            <w:szCs w:val="24"/>
            <w:lang w:eastAsia="zh-CN" w:bidi="hi-IN"/>
          </w:rPr>
          <w:t>https://www.augsdaugavasnovads.lv/pasvaldiba/attistiba-planosana-uznemejdarbiba/attistibas-planosanas-dokumenti/teritorijas-planojumi/</w:t>
        </w:r>
      </w:hyperlink>
      <w:r w:rsidR="001F2FE6" w:rsidRPr="0014151A">
        <w:rPr>
          <w:rFonts w:ascii="Times New Roman" w:eastAsia="Times New Roman" w:hAnsi="Times New Roman" w:cs="Times New Roman"/>
          <w:kern w:val="2"/>
          <w:sz w:val="24"/>
          <w:szCs w:val="24"/>
          <w:lang w:eastAsia="zh-CN" w:bidi="hi-IN"/>
        </w:rPr>
        <w:t xml:space="preserve"> </w:t>
      </w:r>
    </w:p>
    <w:p w14:paraId="5A67AAE1" w14:textId="1FD1E3B0" w:rsidR="006B6D2F" w:rsidRPr="006B6D2F" w:rsidRDefault="006B6D2F" w:rsidP="006B6D2F">
      <w:pPr>
        <w:numPr>
          <w:ilvl w:val="0"/>
          <w:numId w:val="31"/>
        </w:numPr>
        <w:spacing w:after="0" w:line="240" w:lineRule="auto"/>
        <w:contextualSpacing/>
        <w:jc w:val="both"/>
        <w:rPr>
          <w:rFonts w:ascii="Times New Roman" w:eastAsia="Times New Roman" w:hAnsi="Times New Roman" w:cs="Times New Roman"/>
          <w:kern w:val="2"/>
          <w:sz w:val="24"/>
          <w:szCs w:val="24"/>
          <w:lang w:eastAsia="zh-CN" w:bidi="hi-IN"/>
        </w:rPr>
      </w:pPr>
      <w:r w:rsidRPr="006B6D2F">
        <w:rPr>
          <w:rFonts w:ascii="Times New Roman" w:eastAsia="Times New Roman" w:hAnsi="Times New Roman" w:cs="Times New Roman"/>
          <w:kern w:val="2"/>
          <w:sz w:val="24"/>
          <w:szCs w:val="24"/>
          <w:lang w:eastAsia="zh-CN" w:bidi="hi-IN"/>
        </w:rPr>
        <w:t xml:space="preserve">DG </w:t>
      </w:r>
      <w:proofErr w:type="spellStart"/>
      <w:r w:rsidRPr="006B6D2F">
        <w:rPr>
          <w:rFonts w:ascii="Times New Roman" w:eastAsia="Times New Roman" w:hAnsi="Times New Roman" w:cs="Times New Roman"/>
          <w:kern w:val="2"/>
          <w:sz w:val="24"/>
          <w:szCs w:val="24"/>
          <w:lang w:eastAsia="zh-CN" w:bidi="hi-IN"/>
        </w:rPr>
        <w:t>Environment</w:t>
      </w:r>
      <w:proofErr w:type="spellEnd"/>
      <w:r w:rsidRPr="006B6D2F">
        <w:rPr>
          <w:rFonts w:ascii="Times New Roman" w:eastAsia="Times New Roman" w:hAnsi="Times New Roman" w:cs="Times New Roman"/>
          <w:kern w:val="2"/>
          <w:sz w:val="24"/>
          <w:szCs w:val="24"/>
          <w:lang w:eastAsia="zh-CN" w:bidi="hi-IN"/>
        </w:rPr>
        <w:t xml:space="preserve">. 2017. </w:t>
      </w:r>
      <w:proofErr w:type="spellStart"/>
      <w:r w:rsidRPr="006B6D2F">
        <w:rPr>
          <w:rFonts w:ascii="Times New Roman" w:eastAsia="Times New Roman" w:hAnsi="Times New Roman" w:cs="Times New Roman"/>
          <w:kern w:val="2"/>
          <w:sz w:val="24"/>
          <w:szCs w:val="24"/>
          <w:lang w:eastAsia="zh-CN" w:bidi="hi-IN"/>
        </w:rPr>
        <w:t>Reporting</w:t>
      </w:r>
      <w:proofErr w:type="spellEnd"/>
      <w:r w:rsidRPr="006B6D2F">
        <w:rPr>
          <w:rFonts w:ascii="Times New Roman" w:eastAsia="Times New Roman" w:hAnsi="Times New Roman" w:cs="Times New Roman"/>
          <w:kern w:val="2"/>
          <w:sz w:val="24"/>
          <w:szCs w:val="24"/>
          <w:lang w:eastAsia="zh-CN" w:bidi="hi-IN"/>
        </w:rPr>
        <w:t xml:space="preserve"> </w:t>
      </w:r>
      <w:proofErr w:type="spellStart"/>
      <w:r w:rsidRPr="006B6D2F">
        <w:rPr>
          <w:rFonts w:ascii="Times New Roman" w:eastAsia="Times New Roman" w:hAnsi="Times New Roman" w:cs="Times New Roman"/>
          <w:kern w:val="2"/>
          <w:sz w:val="24"/>
          <w:szCs w:val="24"/>
          <w:lang w:eastAsia="zh-CN" w:bidi="hi-IN"/>
        </w:rPr>
        <w:t>under</w:t>
      </w:r>
      <w:proofErr w:type="spellEnd"/>
      <w:r w:rsidRPr="006B6D2F">
        <w:rPr>
          <w:rFonts w:ascii="Times New Roman" w:eastAsia="Times New Roman" w:hAnsi="Times New Roman" w:cs="Times New Roman"/>
          <w:kern w:val="2"/>
          <w:sz w:val="24"/>
          <w:szCs w:val="24"/>
          <w:lang w:eastAsia="zh-CN" w:bidi="hi-IN"/>
        </w:rPr>
        <w:t xml:space="preserve"> </w:t>
      </w:r>
      <w:proofErr w:type="spellStart"/>
      <w:r w:rsidRPr="006B6D2F">
        <w:rPr>
          <w:rFonts w:ascii="Times New Roman" w:eastAsia="Times New Roman" w:hAnsi="Times New Roman" w:cs="Times New Roman"/>
          <w:kern w:val="2"/>
          <w:sz w:val="24"/>
          <w:szCs w:val="24"/>
          <w:lang w:eastAsia="zh-CN" w:bidi="hi-IN"/>
        </w:rPr>
        <w:t>Article</w:t>
      </w:r>
      <w:proofErr w:type="spellEnd"/>
      <w:r w:rsidRPr="006B6D2F">
        <w:rPr>
          <w:rFonts w:ascii="Times New Roman" w:eastAsia="Times New Roman" w:hAnsi="Times New Roman" w:cs="Times New Roman"/>
          <w:kern w:val="2"/>
          <w:sz w:val="24"/>
          <w:szCs w:val="24"/>
          <w:lang w:eastAsia="zh-CN" w:bidi="hi-IN"/>
        </w:rPr>
        <w:t xml:space="preserve"> 17 </w:t>
      </w:r>
      <w:proofErr w:type="spellStart"/>
      <w:r w:rsidRPr="006B6D2F">
        <w:rPr>
          <w:rFonts w:ascii="Times New Roman" w:eastAsia="Times New Roman" w:hAnsi="Times New Roman" w:cs="Times New Roman"/>
          <w:kern w:val="2"/>
          <w:sz w:val="24"/>
          <w:szCs w:val="24"/>
          <w:lang w:eastAsia="zh-CN" w:bidi="hi-IN"/>
        </w:rPr>
        <w:t>of</w:t>
      </w:r>
      <w:proofErr w:type="spellEnd"/>
      <w:r w:rsidRPr="006B6D2F">
        <w:rPr>
          <w:rFonts w:ascii="Times New Roman" w:eastAsia="Times New Roman" w:hAnsi="Times New Roman" w:cs="Times New Roman"/>
          <w:kern w:val="2"/>
          <w:sz w:val="24"/>
          <w:szCs w:val="24"/>
          <w:lang w:eastAsia="zh-CN" w:bidi="hi-IN"/>
        </w:rPr>
        <w:t xml:space="preserve"> </w:t>
      </w:r>
      <w:proofErr w:type="spellStart"/>
      <w:r w:rsidRPr="006B6D2F">
        <w:rPr>
          <w:rFonts w:ascii="Times New Roman" w:eastAsia="Times New Roman" w:hAnsi="Times New Roman" w:cs="Times New Roman"/>
          <w:kern w:val="2"/>
          <w:sz w:val="24"/>
          <w:szCs w:val="24"/>
          <w:lang w:eastAsia="zh-CN" w:bidi="hi-IN"/>
        </w:rPr>
        <w:t>the</w:t>
      </w:r>
      <w:proofErr w:type="spellEnd"/>
      <w:r w:rsidRPr="006B6D2F">
        <w:rPr>
          <w:rFonts w:ascii="Times New Roman" w:eastAsia="Times New Roman" w:hAnsi="Times New Roman" w:cs="Times New Roman"/>
          <w:kern w:val="2"/>
          <w:sz w:val="24"/>
          <w:szCs w:val="24"/>
          <w:lang w:eastAsia="zh-CN" w:bidi="hi-IN"/>
        </w:rPr>
        <w:t xml:space="preserve"> </w:t>
      </w:r>
      <w:proofErr w:type="spellStart"/>
      <w:r w:rsidRPr="006B6D2F">
        <w:rPr>
          <w:rFonts w:ascii="Times New Roman" w:eastAsia="Times New Roman" w:hAnsi="Times New Roman" w:cs="Times New Roman"/>
          <w:kern w:val="2"/>
          <w:sz w:val="24"/>
          <w:szCs w:val="24"/>
          <w:lang w:eastAsia="zh-CN" w:bidi="hi-IN"/>
        </w:rPr>
        <w:t>Habitats</w:t>
      </w:r>
      <w:proofErr w:type="spellEnd"/>
      <w:r w:rsidRPr="006B6D2F">
        <w:rPr>
          <w:rFonts w:ascii="Times New Roman" w:eastAsia="Times New Roman" w:hAnsi="Times New Roman" w:cs="Times New Roman"/>
          <w:kern w:val="2"/>
          <w:sz w:val="24"/>
          <w:szCs w:val="24"/>
          <w:lang w:eastAsia="zh-CN" w:bidi="hi-IN"/>
        </w:rPr>
        <w:t xml:space="preserve"> </w:t>
      </w:r>
      <w:proofErr w:type="spellStart"/>
      <w:r w:rsidRPr="006B6D2F">
        <w:rPr>
          <w:rFonts w:ascii="Times New Roman" w:eastAsia="Times New Roman" w:hAnsi="Times New Roman" w:cs="Times New Roman"/>
          <w:kern w:val="2"/>
          <w:sz w:val="24"/>
          <w:szCs w:val="24"/>
          <w:lang w:eastAsia="zh-CN" w:bidi="hi-IN"/>
        </w:rPr>
        <w:t>Directive</w:t>
      </w:r>
      <w:proofErr w:type="spellEnd"/>
      <w:r w:rsidRPr="006B6D2F">
        <w:rPr>
          <w:rFonts w:ascii="Times New Roman" w:eastAsia="Times New Roman" w:hAnsi="Times New Roman" w:cs="Times New Roman"/>
          <w:kern w:val="2"/>
          <w:sz w:val="24"/>
          <w:szCs w:val="24"/>
          <w:lang w:eastAsia="zh-CN" w:bidi="hi-IN"/>
        </w:rPr>
        <w:t xml:space="preserve">: </w:t>
      </w:r>
      <w:proofErr w:type="spellStart"/>
      <w:r w:rsidRPr="006B6D2F">
        <w:rPr>
          <w:rFonts w:ascii="Times New Roman" w:eastAsia="Times New Roman" w:hAnsi="Times New Roman" w:cs="Times New Roman"/>
          <w:kern w:val="2"/>
          <w:sz w:val="24"/>
          <w:szCs w:val="24"/>
          <w:lang w:eastAsia="zh-CN" w:bidi="hi-IN"/>
        </w:rPr>
        <w:t>Explanatory</w:t>
      </w:r>
      <w:proofErr w:type="spellEnd"/>
      <w:r w:rsidRPr="006B6D2F">
        <w:rPr>
          <w:rFonts w:ascii="Times New Roman" w:eastAsia="Times New Roman" w:hAnsi="Times New Roman" w:cs="Times New Roman"/>
          <w:kern w:val="2"/>
          <w:sz w:val="24"/>
          <w:szCs w:val="24"/>
          <w:lang w:eastAsia="zh-CN" w:bidi="hi-IN"/>
        </w:rPr>
        <w:t xml:space="preserve"> </w:t>
      </w:r>
      <w:proofErr w:type="spellStart"/>
      <w:r w:rsidRPr="006B6D2F">
        <w:rPr>
          <w:rFonts w:ascii="Times New Roman" w:eastAsia="Times New Roman" w:hAnsi="Times New Roman" w:cs="Times New Roman"/>
          <w:kern w:val="2"/>
          <w:sz w:val="24"/>
          <w:szCs w:val="24"/>
          <w:lang w:eastAsia="zh-CN" w:bidi="hi-IN"/>
        </w:rPr>
        <w:t>notes</w:t>
      </w:r>
      <w:proofErr w:type="spellEnd"/>
      <w:r w:rsidRPr="006B6D2F">
        <w:rPr>
          <w:rFonts w:ascii="Times New Roman" w:eastAsia="Times New Roman" w:hAnsi="Times New Roman" w:cs="Times New Roman"/>
          <w:kern w:val="2"/>
          <w:sz w:val="24"/>
          <w:szCs w:val="24"/>
          <w:lang w:eastAsia="zh-CN" w:bidi="hi-IN"/>
        </w:rPr>
        <w:t xml:space="preserve"> </w:t>
      </w:r>
      <w:proofErr w:type="spellStart"/>
      <w:r w:rsidRPr="006B6D2F">
        <w:rPr>
          <w:rFonts w:ascii="Times New Roman" w:eastAsia="Times New Roman" w:hAnsi="Times New Roman" w:cs="Times New Roman"/>
          <w:kern w:val="2"/>
          <w:sz w:val="24"/>
          <w:szCs w:val="24"/>
          <w:lang w:eastAsia="zh-CN" w:bidi="hi-IN"/>
        </w:rPr>
        <w:t>and</w:t>
      </w:r>
      <w:proofErr w:type="spellEnd"/>
      <w:r>
        <w:rPr>
          <w:rFonts w:ascii="Times New Roman" w:eastAsia="Times New Roman" w:hAnsi="Times New Roman" w:cs="Times New Roman"/>
          <w:kern w:val="2"/>
          <w:sz w:val="24"/>
          <w:szCs w:val="24"/>
          <w:lang w:eastAsia="zh-CN" w:bidi="hi-IN"/>
        </w:rPr>
        <w:t xml:space="preserve"> </w:t>
      </w:r>
      <w:proofErr w:type="spellStart"/>
      <w:r w:rsidRPr="006B6D2F">
        <w:rPr>
          <w:rFonts w:ascii="Times New Roman" w:eastAsia="Times New Roman" w:hAnsi="Times New Roman" w:cs="Times New Roman"/>
          <w:kern w:val="2"/>
          <w:sz w:val="24"/>
          <w:szCs w:val="24"/>
          <w:lang w:eastAsia="zh-CN" w:bidi="hi-IN"/>
        </w:rPr>
        <w:t>guidelines</w:t>
      </w:r>
      <w:proofErr w:type="spellEnd"/>
      <w:r w:rsidRPr="006B6D2F">
        <w:rPr>
          <w:rFonts w:ascii="Times New Roman" w:eastAsia="Times New Roman" w:hAnsi="Times New Roman" w:cs="Times New Roman"/>
          <w:kern w:val="2"/>
          <w:sz w:val="24"/>
          <w:szCs w:val="24"/>
          <w:lang w:eastAsia="zh-CN" w:bidi="hi-IN"/>
        </w:rPr>
        <w:t xml:space="preserve"> </w:t>
      </w:r>
      <w:proofErr w:type="spellStart"/>
      <w:r w:rsidRPr="006B6D2F">
        <w:rPr>
          <w:rFonts w:ascii="Times New Roman" w:eastAsia="Times New Roman" w:hAnsi="Times New Roman" w:cs="Times New Roman"/>
          <w:kern w:val="2"/>
          <w:sz w:val="24"/>
          <w:szCs w:val="24"/>
          <w:lang w:eastAsia="zh-CN" w:bidi="hi-IN"/>
        </w:rPr>
        <w:t>for</w:t>
      </w:r>
      <w:proofErr w:type="spellEnd"/>
      <w:r w:rsidRPr="006B6D2F">
        <w:rPr>
          <w:rFonts w:ascii="Times New Roman" w:eastAsia="Times New Roman" w:hAnsi="Times New Roman" w:cs="Times New Roman"/>
          <w:kern w:val="2"/>
          <w:sz w:val="24"/>
          <w:szCs w:val="24"/>
          <w:lang w:eastAsia="zh-CN" w:bidi="hi-IN"/>
        </w:rPr>
        <w:t xml:space="preserve"> </w:t>
      </w:r>
      <w:proofErr w:type="spellStart"/>
      <w:r w:rsidRPr="006B6D2F">
        <w:rPr>
          <w:rFonts w:ascii="Times New Roman" w:eastAsia="Times New Roman" w:hAnsi="Times New Roman" w:cs="Times New Roman"/>
          <w:kern w:val="2"/>
          <w:sz w:val="24"/>
          <w:szCs w:val="24"/>
          <w:lang w:eastAsia="zh-CN" w:bidi="hi-IN"/>
        </w:rPr>
        <w:t>the</w:t>
      </w:r>
      <w:proofErr w:type="spellEnd"/>
      <w:r w:rsidRPr="006B6D2F">
        <w:rPr>
          <w:rFonts w:ascii="Times New Roman" w:eastAsia="Times New Roman" w:hAnsi="Times New Roman" w:cs="Times New Roman"/>
          <w:kern w:val="2"/>
          <w:sz w:val="24"/>
          <w:szCs w:val="24"/>
          <w:lang w:eastAsia="zh-CN" w:bidi="hi-IN"/>
        </w:rPr>
        <w:t xml:space="preserve"> period 2013-2018. </w:t>
      </w:r>
      <w:proofErr w:type="spellStart"/>
      <w:r w:rsidRPr="006B6D2F">
        <w:rPr>
          <w:rFonts w:ascii="Times New Roman" w:eastAsia="Times New Roman" w:hAnsi="Times New Roman" w:cs="Times New Roman"/>
          <w:kern w:val="2"/>
          <w:sz w:val="24"/>
          <w:szCs w:val="24"/>
          <w:lang w:eastAsia="zh-CN" w:bidi="hi-IN"/>
        </w:rPr>
        <w:t>Brussels</w:t>
      </w:r>
      <w:proofErr w:type="spellEnd"/>
      <w:r w:rsidRPr="006B6D2F">
        <w:rPr>
          <w:rFonts w:ascii="Times New Roman" w:eastAsia="Times New Roman" w:hAnsi="Times New Roman" w:cs="Times New Roman"/>
          <w:kern w:val="2"/>
          <w:sz w:val="24"/>
          <w:szCs w:val="24"/>
          <w:lang w:eastAsia="zh-CN" w:bidi="hi-IN"/>
        </w:rPr>
        <w:t xml:space="preserve">. </w:t>
      </w:r>
      <w:proofErr w:type="spellStart"/>
      <w:r w:rsidRPr="006B6D2F">
        <w:rPr>
          <w:rFonts w:ascii="Times New Roman" w:eastAsia="Times New Roman" w:hAnsi="Times New Roman" w:cs="Times New Roman"/>
          <w:kern w:val="2"/>
          <w:sz w:val="24"/>
          <w:szCs w:val="24"/>
          <w:lang w:eastAsia="zh-CN" w:bidi="hi-IN"/>
        </w:rPr>
        <w:t>Pp</w:t>
      </w:r>
      <w:proofErr w:type="spellEnd"/>
      <w:r w:rsidRPr="006B6D2F">
        <w:rPr>
          <w:rFonts w:ascii="Times New Roman" w:eastAsia="Times New Roman" w:hAnsi="Times New Roman" w:cs="Times New Roman"/>
          <w:kern w:val="2"/>
          <w:sz w:val="24"/>
          <w:szCs w:val="24"/>
          <w:lang w:eastAsia="zh-CN" w:bidi="hi-IN"/>
        </w:rPr>
        <w:t xml:space="preserve"> 188</w:t>
      </w:r>
      <w:r w:rsidR="00BA63A9">
        <w:rPr>
          <w:rFonts w:ascii="Times New Roman" w:eastAsia="Times New Roman" w:hAnsi="Times New Roman" w:cs="Times New Roman"/>
          <w:kern w:val="2"/>
          <w:sz w:val="24"/>
          <w:szCs w:val="24"/>
          <w:lang w:eastAsia="zh-CN" w:bidi="hi-IN"/>
        </w:rPr>
        <w:t>.</w:t>
      </w:r>
    </w:p>
    <w:p w14:paraId="7B269875" w14:textId="769C87A3" w:rsidR="00260499" w:rsidRPr="0014151A" w:rsidRDefault="00260499" w:rsidP="0014151A">
      <w:pPr>
        <w:numPr>
          <w:ilvl w:val="0"/>
          <w:numId w:val="31"/>
        </w:numPr>
        <w:spacing w:after="0" w:line="240" w:lineRule="auto"/>
        <w:ind w:left="924" w:hanging="357"/>
        <w:contextualSpacing/>
        <w:jc w:val="both"/>
        <w:rPr>
          <w:rFonts w:ascii="Times New Roman" w:eastAsia="Times New Roman" w:hAnsi="Times New Roman" w:cs="Times New Roman"/>
          <w:kern w:val="2"/>
          <w:sz w:val="24"/>
          <w:szCs w:val="24"/>
          <w:lang w:eastAsia="zh-CN" w:bidi="hi-IN"/>
        </w:rPr>
      </w:pPr>
      <w:proofErr w:type="spellStart"/>
      <w:r w:rsidRPr="0014151A">
        <w:rPr>
          <w:rFonts w:ascii="Times New Roman" w:eastAsia="Times New Roman" w:hAnsi="Times New Roman" w:cs="Times New Roman"/>
          <w:kern w:val="2"/>
          <w:sz w:val="24"/>
          <w:szCs w:val="24"/>
          <w:lang w:eastAsia="zh-CN" w:bidi="hi-IN"/>
        </w:rPr>
        <w:t>Draveniece</w:t>
      </w:r>
      <w:proofErr w:type="spellEnd"/>
      <w:r w:rsidRPr="0014151A">
        <w:rPr>
          <w:rFonts w:ascii="Times New Roman" w:eastAsia="Times New Roman" w:hAnsi="Times New Roman" w:cs="Times New Roman"/>
          <w:kern w:val="2"/>
          <w:sz w:val="24"/>
          <w:szCs w:val="24"/>
          <w:lang w:eastAsia="zh-CN" w:bidi="hi-IN"/>
        </w:rPr>
        <w:t xml:space="preserve"> A. 2006. </w:t>
      </w:r>
      <w:proofErr w:type="spellStart"/>
      <w:r w:rsidRPr="0014151A">
        <w:rPr>
          <w:rFonts w:ascii="Times New Roman" w:eastAsia="Times New Roman" w:hAnsi="Times New Roman" w:cs="Times New Roman"/>
          <w:kern w:val="2"/>
          <w:sz w:val="24"/>
          <w:szCs w:val="24"/>
          <w:lang w:eastAsia="zh-CN" w:bidi="hi-IN"/>
        </w:rPr>
        <w:t>Okeāniskās</w:t>
      </w:r>
      <w:proofErr w:type="spellEnd"/>
      <w:r w:rsidRPr="0014151A">
        <w:rPr>
          <w:rFonts w:ascii="Times New Roman" w:eastAsia="Times New Roman" w:hAnsi="Times New Roman" w:cs="Times New Roman"/>
          <w:kern w:val="2"/>
          <w:sz w:val="24"/>
          <w:szCs w:val="24"/>
          <w:lang w:eastAsia="zh-CN" w:bidi="hi-IN"/>
        </w:rPr>
        <w:t xml:space="preserve"> un kontinentālās gaisa masas Latvijā. Promocijas darbs doktora grāda iegūšanai ģeogrāfijas zinātņu nozarē dabas ģeogrāfijas </w:t>
      </w:r>
      <w:proofErr w:type="spellStart"/>
      <w:r w:rsidRPr="0014151A">
        <w:rPr>
          <w:rFonts w:ascii="Times New Roman" w:eastAsia="Times New Roman" w:hAnsi="Times New Roman" w:cs="Times New Roman"/>
          <w:kern w:val="2"/>
          <w:sz w:val="24"/>
          <w:szCs w:val="24"/>
          <w:lang w:eastAsia="zh-CN" w:bidi="hi-IN"/>
        </w:rPr>
        <w:t>apakšnozarē</w:t>
      </w:r>
      <w:proofErr w:type="spellEnd"/>
      <w:r w:rsidRPr="0014151A">
        <w:rPr>
          <w:rFonts w:ascii="Times New Roman" w:eastAsia="Times New Roman" w:hAnsi="Times New Roman" w:cs="Times New Roman"/>
          <w:kern w:val="2"/>
          <w:sz w:val="24"/>
          <w:szCs w:val="24"/>
          <w:lang w:eastAsia="zh-CN" w:bidi="hi-IN"/>
        </w:rPr>
        <w:t>. Rīga, Latvijas Universitāte, 95. lpp.</w:t>
      </w:r>
    </w:p>
    <w:p w14:paraId="789E9BC5" w14:textId="6E0C7C9C" w:rsidR="00CE45BD" w:rsidRPr="0014151A" w:rsidRDefault="00CE45BD" w:rsidP="0014151A">
      <w:pPr>
        <w:numPr>
          <w:ilvl w:val="0"/>
          <w:numId w:val="31"/>
        </w:numPr>
        <w:spacing w:after="0" w:line="240" w:lineRule="auto"/>
        <w:ind w:left="924" w:hanging="357"/>
        <w:contextualSpacing/>
        <w:jc w:val="both"/>
        <w:rPr>
          <w:rFonts w:ascii="Times New Roman" w:eastAsia="Times New Roman" w:hAnsi="Times New Roman" w:cs="Times New Roman"/>
          <w:kern w:val="2"/>
          <w:sz w:val="24"/>
          <w:szCs w:val="24"/>
          <w:lang w:eastAsia="zh-CN" w:bidi="hi-IN"/>
        </w:rPr>
      </w:pPr>
      <w:r w:rsidRPr="0014151A">
        <w:rPr>
          <w:rFonts w:ascii="Times New Roman" w:eastAsia="Times New Roman" w:hAnsi="Times New Roman" w:cs="Times New Roman"/>
          <w:kern w:val="2"/>
          <w:sz w:val="24"/>
          <w:szCs w:val="24"/>
          <w:lang w:eastAsia="zh-CN" w:bidi="hi-IN"/>
        </w:rPr>
        <w:t>Druvietis I. 1997</w:t>
      </w:r>
      <w:r w:rsidR="0013210C" w:rsidRPr="0014151A">
        <w:rPr>
          <w:rFonts w:ascii="Times New Roman" w:eastAsia="Times New Roman" w:hAnsi="Times New Roman" w:cs="Times New Roman"/>
          <w:kern w:val="2"/>
          <w:sz w:val="24"/>
          <w:szCs w:val="24"/>
          <w:lang w:eastAsia="zh-CN" w:bidi="hi-IN"/>
        </w:rPr>
        <w:t>.</w:t>
      </w:r>
      <w:r w:rsidRPr="0014151A">
        <w:rPr>
          <w:rFonts w:ascii="Times New Roman" w:eastAsia="Times New Roman" w:hAnsi="Times New Roman" w:cs="Times New Roman"/>
          <w:kern w:val="2"/>
          <w:sz w:val="24"/>
          <w:szCs w:val="24"/>
          <w:lang w:eastAsia="zh-CN" w:bidi="hi-IN"/>
        </w:rPr>
        <w:t xml:space="preserve"> Aļģes kā ekoloģiskā stāvokļa rādītājas Latvijas ūdenstilpēs. Promocijas darba kopsavilkums par publicēto zinātnisko rakstu sēriju. Rīga, LU Bioloģijas institūts.</w:t>
      </w:r>
    </w:p>
    <w:p w14:paraId="77CACBB3" w14:textId="0E0D091C" w:rsidR="00CE45BD" w:rsidRPr="0014151A" w:rsidRDefault="00CE45BD" w:rsidP="0014151A">
      <w:pPr>
        <w:numPr>
          <w:ilvl w:val="0"/>
          <w:numId w:val="31"/>
        </w:numPr>
        <w:spacing w:after="0" w:line="240" w:lineRule="auto"/>
        <w:ind w:left="924" w:hanging="357"/>
        <w:contextualSpacing/>
        <w:jc w:val="both"/>
        <w:rPr>
          <w:rFonts w:ascii="Times New Roman" w:eastAsia="Times New Roman" w:hAnsi="Times New Roman" w:cs="Times New Roman"/>
          <w:kern w:val="2"/>
          <w:sz w:val="24"/>
          <w:szCs w:val="24"/>
          <w:lang w:eastAsia="zh-CN" w:bidi="hi-IN"/>
        </w:rPr>
      </w:pPr>
      <w:r w:rsidRPr="0014151A">
        <w:rPr>
          <w:rFonts w:ascii="Times New Roman" w:eastAsia="Times New Roman" w:hAnsi="Times New Roman" w:cs="Times New Roman"/>
          <w:kern w:val="2"/>
          <w:sz w:val="24"/>
          <w:szCs w:val="24"/>
          <w:lang w:eastAsia="zh-CN" w:bidi="hi-IN"/>
        </w:rPr>
        <w:t>Druvietis I. 2000</w:t>
      </w:r>
      <w:r w:rsidR="00CD1A71" w:rsidRPr="0014151A">
        <w:rPr>
          <w:rFonts w:ascii="Times New Roman" w:eastAsia="Times New Roman" w:hAnsi="Times New Roman" w:cs="Times New Roman"/>
          <w:kern w:val="2"/>
          <w:sz w:val="24"/>
          <w:szCs w:val="24"/>
          <w:lang w:eastAsia="zh-CN" w:bidi="hi-IN"/>
        </w:rPr>
        <w:t>.</w:t>
      </w:r>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Cyanobacteria</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bloom</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in</w:t>
      </w:r>
      <w:proofErr w:type="spellEnd"/>
      <w:r w:rsidRPr="0014151A">
        <w:rPr>
          <w:rFonts w:ascii="Times New Roman" w:eastAsia="Times New Roman" w:hAnsi="Times New Roman" w:cs="Times New Roman"/>
          <w:kern w:val="2"/>
          <w:sz w:val="24"/>
          <w:szCs w:val="24"/>
          <w:lang w:eastAsia="zh-CN" w:bidi="hi-IN"/>
        </w:rPr>
        <w:t xml:space="preserve"> Daugava </w:t>
      </w:r>
      <w:proofErr w:type="spellStart"/>
      <w:r w:rsidRPr="0014151A">
        <w:rPr>
          <w:rFonts w:ascii="Times New Roman" w:eastAsia="Times New Roman" w:hAnsi="Times New Roman" w:cs="Times New Roman"/>
          <w:kern w:val="2"/>
          <w:sz w:val="24"/>
          <w:szCs w:val="24"/>
          <w:lang w:eastAsia="zh-CN" w:bidi="hi-IN"/>
        </w:rPr>
        <w:t>River</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dammed</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reservoirs</w:t>
      </w:r>
      <w:proofErr w:type="spellEnd"/>
      <w:r w:rsidRPr="0014151A">
        <w:rPr>
          <w:rFonts w:ascii="Times New Roman" w:eastAsia="Times New Roman" w:hAnsi="Times New Roman" w:cs="Times New Roman"/>
          <w:kern w:val="2"/>
          <w:sz w:val="24"/>
          <w:szCs w:val="24"/>
          <w:lang w:eastAsia="zh-CN" w:bidi="hi-IN"/>
        </w:rPr>
        <w:t xml:space="preserve">, Latvia. </w:t>
      </w:r>
      <w:proofErr w:type="spellStart"/>
      <w:r w:rsidRPr="0014151A">
        <w:rPr>
          <w:rFonts w:ascii="Times New Roman" w:eastAsia="Times New Roman" w:hAnsi="Times New Roman" w:cs="Times New Roman"/>
          <w:kern w:val="2"/>
          <w:sz w:val="24"/>
          <w:szCs w:val="24"/>
          <w:lang w:eastAsia="zh-CN" w:bidi="hi-IN"/>
        </w:rPr>
        <w:t>Harmful</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Algal</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Blooms</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Ninth</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Conference</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Tasmania</w:t>
      </w:r>
      <w:proofErr w:type="spellEnd"/>
      <w:r w:rsidRPr="0014151A">
        <w:rPr>
          <w:rFonts w:ascii="Times New Roman" w:eastAsia="Times New Roman" w:hAnsi="Times New Roman" w:cs="Times New Roman"/>
          <w:kern w:val="2"/>
          <w:sz w:val="24"/>
          <w:szCs w:val="24"/>
          <w:lang w:eastAsia="zh-CN" w:bidi="hi-IN"/>
        </w:rPr>
        <w:t xml:space="preserve"> 2000. </w:t>
      </w:r>
    </w:p>
    <w:p w14:paraId="39F58B0A" w14:textId="3E005BE1" w:rsidR="00CE45BD" w:rsidRPr="0014151A" w:rsidRDefault="00CE45BD" w:rsidP="0014151A">
      <w:pPr>
        <w:numPr>
          <w:ilvl w:val="0"/>
          <w:numId w:val="31"/>
        </w:numPr>
        <w:spacing w:after="0" w:line="240" w:lineRule="auto"/>
        <w:ind w:left="924" w:hanging="357"/>
        <w:contextualSpacing/>
        <w:jc w:val="both"/>
        <w:rPr>
          <w:rFonts w:ascii="Times New Roman" w:eastAsia="Times New Roman" w:hAnsi="Times New Roman" w:cs="Times New Roman"/>
          <w:kern w:val="2"/>
          <w:sz w:val="24"/>
          <w:szCs w:val="24"/>
          <w:lang w:eastAsia="zh-CN" w:bidi="hi-IN"/>
        </w:rPr>
      </w:pPr>
      <w:r w:rsidRPr="0014151A">
        <w:rPr>
          <w:rFonts w:ascii="Times New Roman" w:eastAsia="Times New Roman" w:hAnsi="Times New Roman" w:cs="Times New Roman"/>
          <w:kern w:val="2"/>
          <w:sz w:val="24"/>
          <w:szCs w:val="24"/>
          <w:lang w:eastAsia="zh-CN" w:bidi="hi-IN"/>
        </w:rPr>
        <w:t>Druvietis I. 1998</w:t>
      </w:r>
      <w:r w:rsidR="00CD1A71" w:rsidRPr="0014151A">
        <w:rPr>
          <w:rFonts w:ascii="Times New Roman" w:eastAsia="Times New Roman" w:hAnsi="Times New Roman" w:cs="Times New Roman"/>
          <w:kern w:val="2"/>
          <w:sz w:val="24"/>
          <w:szCs w:val="24"/>
          <w:lang w:eastAsia="zh-CN" w:bidi="hi-IN"/>
        </w:rPr>
        <w:t>.</w:t>
      </w:r>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Observations</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on</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cyanobacteria</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blooms</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in</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Latvia’s</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inland</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waters</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In</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Reguera</w:t>
      </w:r>
      <w:proofErr w:type="spellEnd"/>
      <w:r w:rsidRPr="0014151A">
        <w:rPr>
          <w:rFonts w:ascii="Times New Roman" w:eastAsia="Times New Roman" w:hAnsi="Times New Roman" w:cs="Times New Roman"/>
          <w:kern w:val="2"/>
          <w:sz w:val="24"/>
          <w:szCs w:val="24"/>
          <w:lang w:eastAsia="zh-CN" w:bidi="hi-IN"/>
        </w:rPr>
        <w:t xml:space="preserve">, B., </w:t>
      </w:r>
      <w:proofErr w:type="spellStart"/>
      <w:r w:rsidRPr="0014151A">
        <w:rPr>
          <w:rFonts w:ascii="Times New Roman" w:eastAsia="Times New Roman" w:hAnsi="Times New Roman" w:cs="Times New Roman"/>
          <w:kern w:val="2"/>
          <w:sz w:val="24"/>
          <w:szCs w:val="24"/>
          <w:lang w:eastAsia="zh-CN" w:bidi="hi-IN"/>
        </w:rPr>
        <w:t>Blanco</w:t>
      </w:r>
      <w:proofErr w:type="spellEnd"/>
      <w:r w:rsidRPr="0014151A">
        <w:rPr>
          <w:rFonts w:ascii="Times New Roman" w:eastAsia="Times New Roman" w:hAnsi="Times New Roman" w:cs="Times New Roman"/>
          <w:kern w:val="2"/>
          <w:sz w:val="24"/>
          <w:szCs w:val="24"/>
          <w:lang w:eastAsia="zh-CN" w:bidi="hi-IN"/>
        </w:rPr>
        <w:t xml:space="preserve">, I., </w:t>
      </w:r>
      <w:proofErr w:type="spellStart"/>
      <w:r w:rsidRPr="0014151A">
        <w:rPr>
          <w:rFonts w:ascii="Times New Roman" w:eastAsia="Times New Roman" w:hAnsi="Times New Roman" w:cs="Times New Roman"/>
          <w:kern w:val="2"/>
          <w:sz w:val="24"/>
          <w:szCs w:val="24"/>
          <w:lang w:eastAsia="zh-CN" w:bidi="hi-IN"/>
        </w:rPr>
        <w:t>Fernández</w:t>
      </w:r>
      <w:proofErr w:type="spellEnd"/>
      <w:r w:rsidRPr="0014151A">
        <w:rPr>
          <w:rFonts w:ascii="Times New Roman" w:eastAsia="Times New Roman" w:hAnsi="Times New Roman" w:cs="Times New Roman"/>
          <w:kern w:val="2"/>
          <w:sz w:val="24"/>
          <w:szCs w:val="24"/>
          <w:lang w:eastAsia="zh-CN" w:bidi="hi-IN"/>
        </w:rPr>
        <w:t xml:space="preserve">, M. L., </w:t>
      </w:r>
      <w:proofErr w:type="spellStart"/>
      <w:r w:rsidRPr="0014151A">
        <w:rPr>
          <w:rFonts w:ascii="Times New Roman" w:eastAsia="Times New Roman" w:hAnsi="Times New Roman" w:cs="Times New Roman"/>
          <w:kern w:val="2"/>
          <w:sz w:val="24"/>
          <w:szCs w:val="24"/>
          <w:lang w:eastAsia="zh-CN" w:bidi="hi-IN"/>
        </w:rPr>
        <w:t>Wyatt</w:t>
      </w:r>
      <w:proofErr w:type="spellEnd"/>
      <w:r w:rsidRPr="0014151A">
        <w:rPr>
          <w:rFonts w:ascii="Times New Roman" w:eastAsia="Times New Roman" w:hAnsi="Times New Roman" w:cs="Times New Roman"/>
          <w:kern w:val="2"/>
          <w:sz w:val="24"/>
          <w:szCs w:val="24"/>
          <w:lang w:eastAsia="zh-CN" w:bidi="hi-IN"/>
        </w:rPr>
        <w:t>, T. (</w:t>
      </w:r>
      <w:proofErr w:type="spellStart"/>
      <w:r w:rsidRPr="0014151A">
        <w:rPr>
          <w:rFonts w:ascii="Times New Roman" w:eastAsia="Times New Roman" w:hAnsi="Times New Roman" w:cs="Times New Roman"/>
          <w:kern w:val="2"/>
          <w:sz w:val="24"/>
          <w:szCs w:val="24"/>
          <w:lang w:eastAsia="zh-CN" w:bidi="hi-IN"/>
        </w:rPr>
        <w:t>eds</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Harmful</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algae</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Xunta</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de</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Galicia</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Intergovernmental</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Oceanographic</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Commission</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of</w:t>
      </w:r>
      <w:proofErr w:type="spellEnd"/>
      <w:r w:rsidRPr="0014151A">
        <w:rPr>
          <w:rFonts w:ascii="Times New Roman" w:eastAsia="Times New Roman" w:hAnsi="Times New Roman" w:cs="Times New Roman"/>
          <w:kern w:val="2"/>
          <w:sz w:val="24"/>
          <w:szCs w:val="24"/>
          <w:lang w:eastAsia="zh-CN" w:bidi="hi-IN"/>
        </w:rPr>
        <w:t xml:space="preserve"> UNESCO, 35-36.</w:t>
      </w:r>
    </w:p>
    <w:p w14:paraId="1BE3BF99" w14:textId="74B26763" w:rsidR="00CE45BD" w:rsidRPr="0014151A" w:rsidRDefault="00CE45BD" w:rsidP="0014151A">
      <w:pPr>
        <w:numPr>
          <w:ilvl w:val="0"/>
          <w:numId w:val="31"/>
        </w:numPr>
        <w:spacing w:after="0" w:line="240" w:lineRule="auto"/>
        <w:ind w:left="924" w:hanging="357"/>
        <w:contextualSpacing/>
        <w:jc w:val="both"/>
        <w:rPr>
          <w:rFonts w:ascii="Times New Roman" w:eastAsia="Times New Roman" w:hAnsi="Times New Roman" w:cs="Times New Roman"/>
          <w:kern w:val="2"/>
          <w:sz w:val="24"/>
          <w:szCs w:val="24"/>
          <w:lang w:eastAsia="zh-CN" w:bidi="hi-IN"/>
        </w:rPr>
      </w:pPr>
      <w:r w:rsidRPr="0014151A">
        <w:rPr>
          <w:rFonts w:ascii="Times New Roman" w:eastAsia="Times New Roman" w:hAnsi="Times New Roman" w:cs="Times New Roman"/>
          <w:kern w:val="2"/>
          <w:sz w:val="24"/>
          <w:szCs w:val="24"/>
          <w:lang w:eastAsia="zh-CN" w:bidi="hi-IN"/>
        </w:rPr>
        <w:t>Druvietis I. 2007</w:t>
      </w:r>
      <w:r w:rsidR="00CD1A71" w:rsidRPr="0014151A">
        <w:rPr>
          <w:rFonts w:ascii="Times New Roman" w:eastAsia="Times New Roman" w:hAnsi="Times New Roman" w:cs="Times New Roman"/>
          <w:kern w:val="2"/>
          <w:sz w:val="24"/>
          <w:szCs w:val="24"/>
          <w:lang w:eastAsia="zh-CN" w:bidi="hi-IN"/>
        </w:rPr>
        <w:t>.</w:t>
      </w:r>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Climat</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driven</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changes</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on</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phytoplankton</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communities</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structure</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and</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algae</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species</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seasonal</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development</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in</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Latvia’s</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freshwaters</w:t>
      </w:r>
      <w:proofErr w:type="spellEnd"/>
      <w:r w:rsidRPr="0014151A">
        <w:rPr>
          <w:rFonts w:ascii="Times New Roman" w:eastAsia="Times New Roman" w:hAnsi="Times New Roman" w:cs="Times New Roman"/>
          <w:kern w:val="2"/>
          <w:sz w:val="24"/>
          <w:szCs w:val="24"/>
          <w:lang w:eastAsia="zh-CN" w:bidi="hi-IN"/>
        </w:rPr>
        <w:t xml:space="preserve">. SEFS-5 </w:t>
      </w:r>
      <w:proofErr w:type="spellStart"/>
      <w:r w:rsidRPr="0014151A">
        <w:rPr>
          <w:rFonts w:ascii="Times New Roman" w:eastAsia="Times New Roman" w:hAnsi="Times New Roman" w:cs="Times New Roman"/>
          <w:kern w:val="2"/>
          <w:sz w:val="24"/>
          <w:szCs w:val="24"/>
          <w:lang w:eastAsia="zh-CN" w:bidi="hi-IN"/>
        </w:rPr>
        <w:t>Symposium</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for</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European</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freshwater</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sciences</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Abstracts</w:t>
      </w:r>
      <w:proofErr w:type="spellEnd"/>
      <w:r w:rsidRPr="0014151A">
        <w:rPr>
          <w:rFonts w:ascii="Times New Roman" w:eastAsia="Times New Roman" w:hAnsi="Times New Roman" w:cs="Times New Roman"/>
          <w:kern w:val="2"/>
          <w:sz w:val="24"/>
          <w:szCs w:val="24"/>
          <w:lang w:eastAsia="zh-CN" w:bidi="hi-IN"/>
        </w:rPr>
        <w:t>. Palermo: 198.</w:t>
      </w:r>
    </w:p>
    <w:p w14:paraId="12B3B159" w14:textId="463FB2B7" w:rsidR="00260499" w:rsidRPr="0014151A" w:rsidRDefault="00260499" w:rsidP="0014151A">
      <w:pPr>
        <w:numPr>
          <w:ilvl w:val="0"/>
          <w:numId w:val="31"/>
        </w:numPr>
        <w:spacing w:after="0" w:line="240" w:lineRule="auto"/>
        <w:ind w:left="924" w:hanging="357"/>
        <w:jc w:val="both"/>
        <w:rPr>
          <w:rFonts w:ascii="Times New Roman" w:eastAsia="Times New Roman" w:hAnsi="Times New Roman" w:cs="Times New Roman"/>
          <w:kern w:val="2"/>
          <w:sz w:val="24"/>
          <w:szCs w:val="24"/>
          <w:lang w:eastAsia="zh-CN" w:bidi="hi-IN"/>
        </w:rPr>
      </w:pPr>
      <w:proofErr w:type="spellStart"/>
      <w:r w:rsidRPr="0014151A">
        <w:rPr>
          <w:rFonts w:ascii="Times New Roman" w:eastAsia="Times New Roman" w:hAnsi="Times New Roman" w:cs="Times New Roman"/>
          <w:color w:val="000000"/>
          <w:kern w:val="2"/>
          <w:sz w:val="24"/>
          <w:szCs w:val="24"/>
          <w:lang w:eastAsia="ja-JP" w:bidi="hi-IN"/>
        </w:rPr>
        <w:t>Eberhards</w:t>
      </w:r>
      <w:proofErr w:type="spellEnd"/>
      <w:r w:rsidRPr="0014151A">
        <w:rPr>
          <w:rFonts w:ascii="Times New Roman" w:eastAsia="Times New Roman" w:hAnsi="Times New Roman" w:cs="Times New Roman"/>
          <w:color w:val="000000"/>
          <w:kern w:val="2"/>
          <w:sz w:val="24"/>
          <w:szCs w:val="24"/>
          <w:lang w:eastAsia="ja-JP" w:bidi="hi-IN"/>
        </w:rPr>
        <w:t xml:space="preserve"> G. 1972. </w:t>
      </w:r>
      <w:proofErr w:type="spellStart"/>
      <w:r w:rsidRPr="0014151A">
        <w:rPr>
          <w:rFonts w:ascii="Times New Roman" w:eastAsia="Times New Roman" w:hAnsi="Times New Roman" w:cs="Times New Roman"/>
          <w:i/>
          <w:iCs/>
          <w:color w:val="000000"/>
          <w:kern w:val="2"/>
          <w:sz w:val="24"/>
          <w:szCs w:val="24"/>
          <w:lang w:eastAsia="ja-JP" w:bidi="hi-IN"/>
        </w:rPr>
        <w:t>Strojenije</w:t>
      </w:r>
      <w:proofErr w:type="spellEnd"/>
      <w:r w:rsidRPr="0014151A">
        <w:rPr>
          <w:rFonts w:ascii="Times New Roman" w:eastAsia="Times New Roman" w:hAnsi="Times New Roman" w:cs="Times New Roman"/>
          <w:i/>
          <w:iCs/>
          <w:color w:val="000000"/>
          <w:kern w:val="2"/>
          <w:sz w:val="24"/>
          <w:szCs w:val="24"/>
          <w:lang w:eastAsia="ja-JP" w:bidi="hi-IN"/>
        </w:rPr>
        <w:t xml:space="preserve"> i </w:t>
      </w:r>
      <w:proofErr w:type="spellStart"/>
      <w:r w:rsidRPr="0014151A">
        <w:rPr>
          <w:rFonts w:ascii="Times New Roman" w:eastAsia="Times New Roman" w:hAnsi="Times New Roman" w:cs="Times New Roman"/>
          <w:i/>
          <w:iCs/>
          <w:color w:val="000000"/>
          <w:kern w:val="2"/>
          <w:sz w:val="24"/>
          <w:szCs w:val="24"/>
          <w:lang w:eastAsia="ja-JP" w:bidi="hi-IN"/>
        </w:rPr>
        <w:t>razvitije</w:t>
      </w:r>
      <w:proofErr w:type="spellEnd"/>
      <w:r w:rsidRPr="0014151A">
        <w:rPr>
          <w:rFonts w:ascii="Times New Roman" w:eastAsia="Times New Roman" w:hAnsi="Times New Roman" w:cs="Times New Roman"/>
          <w:i/>
          <w:iCs/>
          <w:color w:val="000000"/>
          <w:kern w:val="2"/>
          <w:sz w:val="24"/>
          <w:szCs w:val="24"/>
          <w:lang w:eastAsia="ja-JP" w:bidi="hi-IN"/>
        </w:rPr>
        <w:t xml:space="preserve"> </w:t>
      </w:r>
      <w:proofErr w:type="spellStart"/>
      <w:r w:rsidRPr="0014151A">
        <w:rPr>
          <w:rFonts w:ascii="Times New Roman" w:eastAsia="Times New Roman" w:hAnsi="Times New Roman" w:cs="Times New Roman"/>
          <w:i/>
          <w:iCs/>
          <w:color w:val="000000"/>
          <w:kern w:val="2"/>
          <w:sz w:val="24"/>
          <w:szCs w:val="24"/>
          <w:lang w:eastAsia="ja-JP" w:bidi="hi-IN"/>
        </w:rPr>
        <w:t>dolin</w:t>
      </w:r>
      <w:proofErr w:type="spellEnd"/>
      <w:r w:rsidRPr="0014151A">
        <w:rPr>
          <w:rFonts w:ascii="Times New Roman" w:eastAsia="Times New Roman" w:hAnsi="Times New Roman" w:cs="Times New Roman"/>
          <w:i/>
          <w:iCs/>
          <w:color w:val="000000"/>
          <w:kern w:val="2"/>
          <w:sz w:val="24"/>
          <w:szCs w:val="24"/>
          <w:lang w:eastAsia="ja-JP" w:bidi="hi-IN"/>
        </w:rPr>
        <w:t xml:space="preserve"> baseina </w:t>
      </w:r>
      <w:proofErr w:type="spellStart"/>
      <w:r w:rsidRPr="0014151A">
        <w:rPr>
          <w:rFonts w:ascii="Times New Roman" w:eastAsia="Times New Roman" w:hAnsi="Times New Roman" w:cs="Times New Roman"/>
          <w:i/>
          <w:iCs/>
          <w:color w:val="000000"/>
          <w:kern w:val="2"/>
          <w:sz w:val="24"/>
          <w:szCs w:val="24"/>
          <w:lang w:eastAsia="ja-JP" w:bidi="hi-IN"/>
        </w:rPr>
        <w:t>reki</w:t>
      </w:r>
      <w:proofErr w:type="spellEnd"/>
      <w:r w:rsidRPr="0014151A">
        <w:rPr>
          <w:rFonts w:ascii="Times New Roman" w:eastAsia="Times New Roman" w:hAnsi="Times New Roman" w:cs="Times New Roman"/>
          <w:i/>
          <w:iCs/>
          <w:color w:val="000000"/>
          <w:kern w:val="2"/>
          <w:sz w:val="24"/>
          <w:szCs w:val="24"/>
          <w:lang w:eastAsia="ja-JP" w:bidi="hi-IN"/>
        </w:rPr>
        <w:t xml:space="preserve"> Daugava</w:t>
      </w:r>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Zināatne</w:t>
      </w:r>
      <w:proofErr w:type="spellEnd"/>
      <w:r w:rsidRPr="0014151A">
        <w:rPr>
          <w:rFonts w:ascii="Times New Roman" w:eastAsia="Times New Roman" w:hAnsi="Times New Roman" w:cs="Times New Roman"/>
          <w:color w:val="000000"/>
          <w:kern w:val="2"/>
          <w:sz w:val="24"/>
          <w:szCs w:val="24"/>
          <w:lang w:eastAsia="ja-JP" w:bidi="hi-IN"/>
        </w:rPr>
        <w:t>, Rīga, 131 lpp. (krievu val.)</w:t>
      </w:r>
      <w:r w:rsidR="00C67775" w:rsidRPr="0014151A">
        <w:rPr>
          <w:rFonts w:ascii="Times New Roman" w:eastAsia="Times New Roman" w:hAnsi="Times New Roman" w:cs="Times New Roman"/>
          <w:color w:val="000000"/>
          <w:kern w:val="2"/>
          <w:sz w:val="24"/>
          <w:szCs w:val="24"/>
          <w:lang w:eastAsia="ja-JP" w:bidi="hi-IN"/>
        </w:rPr>
        <w:t>.</w:t>
      </w:r>
    </w:p>
    <w:p w14:paraId="12A76C17" w14:textId="6DE1DE99" w:rsidR="00260499" w:rsidRPr="0014151A" w:rsidRDefault="00260499" w:rsidP="0014151A">
      <w:pPr>
        <w:numPr>
          <w:ilvl w:val="0"/>
          <w:numId w:val="31"/>
        </w:numPr>
        <w:spacing w:after="0" w:line="240" w:lineRule="auto"/>
        <w:ind w:left="924" w:hanging="357"/>
        <w:jc w:val="both"/>
        <w:rPr>
          <w:rFonts w:ascii="Times New Roman" w:eastAsia="Times New Roman" w:hAnsi="Times New Roman" w:cs="Times New Roman"/>
          <w:kern w:val="2"/>
          <w:sz w:val="24"/>
          <w:szCs w:val="24"/>
          <w:lang w:eastAsia="zh-CN" w:bidi="hi-IN"/>
        </w:rPr>
      </w:pPr>
      <w:proofErr w:type="spellStart"/>
      <w:r w:rsidRPr="0014151A">
        <w:rPr>
          <w:rFonts w:ascii="Times New Roman" w:eastAsia="Times New Roman" w:hAnsi="Times New Roman" w:cs="Times New Roman"/>
          <w:color w:val="000000"/>
          <w:kern w:val="2"/>
          <w:sz w:val="24"/>
          <w:szCs w:val="24"/>
          <w:lang w:eastAsia="ja-JP" w:bidi="hi-IN"/>
        </w:rPr>
        <w:t>Eberhards</w:t>
      </w:r>
      <w:proofErr w:type="spellEnd"/>
      <w:r w:rsidRPr="0014151A">
        <w:rPr>
          <w:rFonts w:ascii="Times New Roman" w:eastAsia="Times New Roman" w:hAnsi="Times New Roman" w:cs="Times New Roman"/>
          <w:color w:val="000000"/>
          <w:kern w:val="2"/>
          <w:sz w:val="24"/>
          <w:szCs w:val="24"/>
          <w:lang w:eastAsia="ja-JP" w:bidi="hi-IN"/>
        </w:rPr>
        <w:t xml:space="preserve"> G. 1991. Dabas parka "Daugavas loki" reljefa raksturojums. </w:t>
      </w:r>
      <w:proofErr w:type="spellStart"/>
      <w:r w:rsidRPr="0014151A">
        <w:rPr>
          <w:rFonts w:ascii="Times New Roman" w:eastAsia="Times New Roman" w:hAnsi="Times New Roman" w:cs="Times New Roman"/>
          <w:color w:val="000000"/>
          <w:kern w:val="2"/>
          <w:sz w:val="24"/>
          <w:szCs w:val="24"/>
          <w:lang w:eastAsia="ja-JP" w:bidi="hi-IN"/>
        </w:rPr>
        <w:t>Grām</w:t>
      </w:r>
      <w:proofErr w:type="spellEnd"/>
      <w:r w:rsidRPr="0014151A">
        <w:rPr>
          <w:rFonts w:ascii="Times New Roman" w:eastAsia="Times New Roman" w:hAnsi="Times New Roman" w:cs="Times New Roman"/>
          <w:color w:val="000000"/>
          <w:kern w:val="2"/>
          <w:sz w:val="24"/>
          <w:szCs w:val="24"/>
          <w:lang w:eastAsia="ja-JP" w:bidi="hi-IN"/>
        </w:rPr>
        <w:t xml:space="preserve">. </w:t>
      </w:r>
      <w:r w:rsidR="00C67775" w:rsidRPr="0014151A">
        <w:rPr>
          <w:rFonts w:ascii="Times New Roman" w:eastAsia="Times New Roman" w:hAnsi="Times New Roman" w:cs="Times New Roman"/>
          <w:i/>
          <w:iCs/>
          <w:color w:val="000000"/>
          <w:kern w:val="2"/>
          <w:sz w:val="24"/>
          <w:szCs w:val="24"/>
          <w:lang w:eastAsia="ja-JP" w:bidi="hi-IN"/>
        </w:rPr>
        <w:t>Dabas parka “</w:t>
      </w:r>
      <w:r w:rsidRPr="0014151A">
        <w:rPr>
          <w:rFonts w:ascii="Times New Roman" w:eastAsia="Times New Roman" w:hAnsi="Times New Roman" w:cs="Times New Roman"/>
          <w:i/>
          <w:iCs/>
          <w:color w:val="000000"/>
          <w:kern w:val="2"/>
          <w:sz w:val="24"/>
          <w:szCs w:val="24"/>
          <w:lang w:eastAsia="ja-JP" w:bidi="hi-IN"/>
        </w:rPr>
        <w:t>Daugavas loki” attīstības ģenerālshēma</w:t>
      </w:r>
      <w:r w:rsidRPr="0014151A">
        <w:rPr>
          <w:rFonts w:ascii="Times New Roman" w:eastAsia="Times New Roman" w:hAnsi="Times New Roman" w:cs="Times New Roman"/>
          <w:color w:val="000000"/>
          <w:kern w:val="2"/>
          <w:sz w:val="24"/>
          <w:szCs w:val="24"/>
          <w:lang w:eastAsia="ja-JP" w:bidi="hi-IN"/>
        </w:rPr>
        <w:t>. Jelgava, 1991, 290 lpp.</w:t>
      </w:r>
    </w:p>
    <w:p w14:paraId="3BEA7025" w14:textId="2B20268B" w:rsidR="00260499" w:rsidRPr="0014151A" w:rsidRDefault="00260499" w:rsidP="0014151A">
      <w:pPr>
        <w:numPr>
          <w:ilvl w:val="0"/>
          <w:numId w:val="31"/>
        </w:numPr>
        <w:spacing w:after="0" w:line="240" w:lineRule="auto"/>
        <w:ind w:left="924" w:hanging="357"/>
        <w:jc w:val="both"/>
        <w:rPr>
          <w:rFonts w:ascii="Times New Roman" w:eastAsia="Times New Roman" w:hAnsi="Times New Roman" w:cs="Times New Roman"/>
          <w:kern w:val="2"/>
          <w:sz w:val="24"/>
          <w:szCs w:val="24"/>
          <w:lang w:eastAsia="zh-CN" w:bidi="hi-IN"/>
        </w:rPr>
      </w:pPr>
      <w:bookmarkStart w:id="125" w:name="Eberhards_1994"/>
      <w:proofErr w:type="spellStart"/>
      <w:r w:rsidRPr="0014151A">
        <w:rPr>
          <w:rFonts w:ascii="Times New Roman" w:eastAsia="Times New Roman" w:hAnsi="Times New Roman" w:cs="Times New Roman"/>
          <w:color w:val="000000"/>
          <w:kern w:val="2"/>
          <w:sz w:val="24"/>
          <w:szCs w:val="24"/>
          <w:lang w:eastAsia="ja-JP" w:bidi="hi-IN"/>
        </w:rPr>
        <w:t>Eberhards</w:t>
      </w:r>
      <w:proofErr w:type="spellEnd"/>
      <w:r w:rsidRPr="0014151A">
        <w:rPr>
          <w:rFonts w:ascii="Times New Roman" w:eastAsia="Times New Roman" w:hAnsi="Times New Roman" w:cs="Times New Roman"/>
          <w:color w:val="000000"/>
          <w:kern w:val="2"/>
          <w:sz w:val="24"/>
          <w:szCs w:val="24"/>
          <w:lang w:eastAsia="ja-JP" w:bidi="hi-IN"/>
        </w:rPr>
        <w:t xml:space="preserve"> G. 1994. </w:t>
      </w:r>
      <w:bookmarkEnd w:id="125"/>
      <w:r w:rsidRPr="0014151A">
        <w:rPr>
          <w:rFonts w:ascii="Times New Roman" w:eastAsia="Times New Roman" w:hAnsi="Times New Roman" w:cs="Times New Roman"/>
          <w:color w:val="000000"/>
          <w:kern w:val="2"/>
          <w:sz w:val="24"/>
          <w:szCs w:val="24"/>
          <w:lang w:eastAsia="ja-JP" w:bidi="hi-IN"/>
        </w:rPr>
        <w:t xml:space="preserve">Daugavas ieleja. </w:t>
      </w:r>
      <w:proofErr w:type="spellStart"/>
      <w:r w:rsidRPr="0014151A">
        <w:rPr>
          <w:rFonts w:ascii="Times New Roman" w:eastAsia="Times New Roman" w:hAnsi="Times New Roman" w:cs="Times New Roman"/>
          <w:color w:val="000000"/>
          <w:kern w:val="2"/>
          <w:sz w:val="24"/>
          <w:szCs w:val="24"/>
          <w:lang w:eastAsia="ja-JP" w:bidi="hi-IN"/>
        </w:rPr>
        <w:t>Grām</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Kavacs</w:t>
      </w:r>
      <w:proofErr w:type="spellEnd"/>
      <w:r w:rsidRPr="0014151A">
        <w:rPr>
          <w:rFonts w:ascii="Times New Roman" w:eastAsia="Times New Roman" w:hAnsi="Times New Roman" w:cs="Times New Roman"/>
          <w:color w:val="000000"/>
          <w:kern w:val="2"/>
          <w:sz w:val="24"/>
          <w:szCs w:val="24"/>
          <w:lang w:eastAsia="ja-JP" w:bidi="hi-IN"/>
        </w:rPr>
        <w:t>, G. (</w:t>
      </w:r>
      <w:proofErr w:type="spellStart"/>
      <w:r w:rsidRPr="0014151A">
        <w:rPr>
          <w:rFonts w:ascii="Times New Roman" w:eastAsia="Times New Roman" w:hAnsi="Times New Roman" w:cs="Times New Roman"/>
          <w:color w:val="000000"/>
          <w:kern w:val="2"/>
          <w:sz w:val="24"/>
          <w:szCs w:val="24"/>
          <w:lang w:eastAsia="ja-JP" w:bidi="hi-IN"/>
        </w:rPr>
        <w:t>red</w:t>
      </w:r>
      <w:proofErr w:type="spellEnd"/>
      <w:r w:rsidRPr="0014151A">
        <w:rPr>
          <w:rFonts w:ascii="Times New Roman" w:eastAsia="Times New Roman" w:hAnsi="Times New Roman" w:cs="Times New Roman"/>
          <w:color w:val="000000"/>
          <w:kern w:val="2"/>
          <w:sz w:val="24"/>
          <w:szCs w:val="24"/>
          <w:lang w:eastAsia="ja-JP" w:bidi="hi-IN"/>
        </w:rPr>
        <w:t xml:space="preserve">.), </w:t>
      </w:r>
      <w:r w:rsidRPr="0014151A">
        <w:rPr>
          <w:rFonts w:ascii="Times New Roman" w:eastAsia="Times New Roman" w:hAnsi="Times New Roman" w:cs="Times New Roman"/>
          <w:i/>
          <w:iCs/>
          <w:color w:val="000000"/>
          <w:kern w:val="2"/>
          <w:sz w:val="24"/>
          <w:szCs w:val="24"/>
          <w:lang w:eastAsia="ja-JP" w:bidi="hi-IN"/>
        </w:rPr>
        <w:t>Enciklopēdija "Latvija un latvieši". Latvijas daba</w:t>
      </w:r>
      <w:r w:rsidRPr="0014151A">
        <w:rPr>
          <w:rFonts w:ascii="Times New Roman" w:eastAsia="Times New Roman" w:hAnsi="Times New Roman" w:cs="Times New Roman"/>
          <w:color w:val="000000"/>
          <w:kern w:val="2"/>
          <w:sz w:val="24"/>
          <w:szCs w:val="24"/>
          <w:lang w:eastAsia="ja-JP" w:bidi="hi-IN"/>
        </w:rPr>
        <w:t>. 1. sēj. Latvijas enciklopēdija, Rīga, 217.-218.lpp.</w:t>
      </w:r>
    </w:p>
    <w:p w14:paraId="2BDD015A" w14:textId="77777777" w:rsidR="00260499" w:rsidRPr="0014151A" w:rsidRDefault="00260499" w:rsidP="0014151A">
      <w:pPr>
        <w:numPr>
          <w:ilvl w:val="0"/>
          <w:numId w:val="31"/>
        </w:numPr>
        <w:spacing w:after="0" w:line="240" w:lineRule="auto"/>
        <w:ind w:left="924" w:hanging="357"/>
        <w:jc w:val="both"/>
        <w:rPr>
          <w:rFonts w:ascii="Times New Roman" w:eastAsia="Times New Roman" w:hAnsi="Times New Roman" w:cs="Times New Roman"/>
          <w:kern w:val="2"/>
          <w:sz w:val="24"/>
          <w:szCs w:val="24"/>
          <w:lang w:eastAsia="zh-CN" w:bidi="hi-IN"/>
        </w:rPr>
      </w:pPr>
      <w:proofErr w:type="spellStart"/>
      <w:r w:rsidRPr="0014151A">
        <w:rPr>
          <w:rFonts w:ascii="Times New Roman" w:eastAsia="Times New Roman" w:hAnsi="Times New Roman" w:cs="Times New Roman"/>
          <w:color w:val="000000"/>
          <w:kern w:val="2"/>
          <w:sz w:val="24"/>
          <w:szCs w:val="24"/>
          <w:lang w:eastAsia="ja-JP" w:bidi="hi-IN"/>
        </w:rPr>
        <w:t>Eberhards</w:t>
      </w:r>
      <w:proofErr w:type="spellEnd"/>
      <w:r w:rsidRPr="0014151A">
        <w:rPr>
          <w:rFonts w:ascii="Times New Roman" w:eastAsia="Times New Roman" w:hAnsi="Times New Roman" w:cs="Times New Roman"/>
          <w:color w:val="000000"/>
          <w:kern w:val="2"/>
          <w:sz w:val="24"/>
          <w:szCs w:val="24"/>
          <w:lang w:eastAsia="ja-JP" w:bidi="hi-IN"/>
        </w:rPr>
        <w:t xml:space="preserve"> G. 2013. Upju ieleju veidošanās un mūsdienu gultnes procesi Dienvidaustrumu Baltijā. Rīga, LU apgāds, 212 lpp.</w:t>
      </w:r>
    </w:p>
    <w:p w14:paraId="58899F3A" w14:textId="01113C94" w:rsidR="00260499" w:rsidRPr="0014151A" w:rsidRDefault="00260499" w:rsidP="0014151A">
      <w:pPr>
        <w:numPr>
          <w:ilvl w:val="0"/>
          <w:numId w:val="31"/>
        </w:numPr>
        <w:spacing w:after="0" w:line="240" w:lineRule="auto"/>
        <w:ind w:left="924" w:hanging="357"/>
        <w:jc w:val="both"/>
        <w:rPr>
          <w:rFonts w:ascii="Times New Roman" w:eastAsia="Times New Roman" w:hAnsi="Times New Roman" w:cs="Times New Roman"/>
          <w:kern w:val="2"/>
          <w:sz w:val="24"/>
          <w:szCs w:val="24"/>
          <w:lang w:eastAsia="zh-CN" w:bidi="hi-IN"/>
        </w:rPr>
      </w:pPr>
      <w:proofErr w:type="spellStart"/>
      <w:r w:rsidRPr="0014151A">
        <w:rPr>
          <w:rFonts w:ascii="Times New Roman" w:eastAsia="Times New Roman" w:hAnsi="Times New Roman" w:cs="Times New Roman"/>
          <w:color w:val="000000"/>
          <w:kern w:val="2"/>
          <w:sz w:val="24"/>
          <w:szCs w:val="24"/>
          <w:lang w:eastAsia="ja-JP" w:bidi="hi-IN"/>
        </w:rPr>
        <w:t>Eipurs</w:t>
      </w:r>
      <w:proofErr w:type="spellEnd"/>
      <w:r w:rsidRPr="0014151A">
        <w:rPr>
          <w:rFonts w:ascii="Times New Roman" w:eastAsia="Times New Roman" w:hAnsi="Times New Roman" w:cs="Times New Roman"/>
          <w:color w:val="000000"/>
          <w:kern w:val="2"/>
          <w:sz w:val="24"/>
          <w:szCs w:val="24"/>
          <w:lang w:eastAsia="ja-JP" w:bidi="hi-IN"/>
        </w:rPr>
        <w:t xml:space="preserve"> I. 1998. </w:t>
      </w:r>
      <w:proofErr w:type="spellStart"/>
      <w:r w:rsidRPr="0014151A">
        <w:rPr>
          <w:rFonts w:ascii="Times New Roman" w:eastAsia="Times New Roman" w:hAnsi="Times New Roman" w:cs="Times New Roman"/>
          <w:color w:val="000000"/>
          <w:kern w:val="2"/>
          <w:sz w:val="24"/>
          <w:szCs w:val="24"/>
          <w:lang w:eastAsia="ja-JP" w:bidi="hi-IN"/>
        </w:rPr>
        <w:t>Rudņa</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In</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Kavacs</w:t>
      </w:r>
      <w:proofErr w:type="spellEnd"/>
      <w:r w:rsidRPr="0014151A">
        <w:rPr>
          <w:rFonts w:ascii="Times New Roman" w:eastAsia="Times New Roman" w:hAnsi="Times New Roman" w:cs="Times New Roman"/>
          <w:color w:val="000000"/>
          <w:kern w:val="2"/>
          <w:sz w:val="24"/>
          <w:szCs w:val="24"/>
          <w:lang w:eastAsia="ja-JP" w:bidi="hi-IN"/>
        </w:rPr>
        <w:t xml:space="preserve"> G. (</w:t>
      </w:r>
      <w:proofErr w:type="spellStart"/>
      <w:r w:rsidRPr="0014151A">
        <w:rPr>
          <w:rFonts w:ascii="Times New Roman" w:eastAsia="Times New Roman" w:hAnsi="Times New Roman" w:cs="Times New Roman"/>
          <w:color w:val="000000"/>
          <w:kern w:val="2"/>
          <w:sz w:val="24"/>
          <w:szCs w:val="24"/>
          <w:lang w:eastAsia="ja-JP" w:bidi="hi-IN"/>
        </w:rPr>
        <w:t>ed</w:t>
      </w:r>
      <w:proofErr w:type="spellEnd"/>
      <w:r w:rsidRPr="0014151A">
        <w:rPr>
          <w:rFonts w:ascii="Times New Roman" w:eastAsia="Times New Roman" w:hAnsi="Times New Roman" w:cs="Times New Roman"/>
          <w:color w:val="000000"/>
          <w:kern w:val="2"/>
          <w:sz w:val="24"/>
          <w:szCs w:val="24"/>
          <w:lang w:eastAsia="ja-JP" w:bidi="hi-IN"/>
        </w:rPr>
        <w:t>), Enciklopēdija "Latvija un latvieši". Latvijas daba</w:t>
      </w:r>
      <w:r w:rsidR="00683955" w:rsidRPr="0014151A">
        <w:rPr>
          <w:rFonts w:ascii="Times New Roman" w:eastAsia="Times New Roman" w:hAnsi="Times New Roman" w:cs="Times New Roman"/>
          <w:color w:val="000000"/>
          <w:kern w:val="2"/>
          <w:sz w:val="24"/>
          <w:szCs w:val="24"/>
          <w:lang w:eastAsia="ja-JP" w:bidi="hi-IN"/>
        </w:rPr>
        <w:t xml:space="preserve"> </w:t>
      </w:r>
      <w:r w:rsidRPr="0014151A">
        <w:rPr>
          <w:rFonts w:ascii="Times New Roman" w:eastAsia="Times New Roman" w:hAnsi="Times New Roman" w:cs="Times New Roman"/>
          <w:color w:val="000000"/>
          <w:kern w:val="2"/>
          <w:sz w:val="24"/>
          <w:szCs w:val="24"/>
          <w:lang w:eastAsia="ja-JP" w:bidi="hi-IN"/>
        </w:rPr>
        <w:t>5.sēj. Preses Nams, Rīga, 19.lpp.</w:t>
      </w:r>
    </w:p>
    <w:p w14:paraId="32AE637D" w14:textId="0412448A" w:rsidR="00260499" w:rsidRPr="0014151A" w:rsidRDefault="00260499" w:rsidP="0014151A">
      <w:pPr>
        <w:numPr>
          <w:ilvl w:val="0"/>
          <w:numId w:val="31"/>
        </w:numPr>
        <w:spacing w:after="0" w:line="240" w:lineRule="auto"/>
        <w:ind w:left="924" w:hanging="357"/>
        <w:jc w:val="both"/>
        <w:rPr>
          <w:rFonts w:ascii="Times New Roman" w:eastAsia="Times New Roman" w:hAnsi="Times New Roman" w:cs="Times New Roman"/>
          <w:kern w:val="2"/>
          <w:sz w:val="24"/>
          <w:szCs w:val="24"/>
          <w:lang w:eastAsia="zh-CN" w:bidi="hi-IN"/>
        </w:rPr>
      </w:pPr>
      <w:r w:rsidRPr="0014151A">
        <w:rPr>
          <w:rFonts w:ascii="Times New Roman" w:eastAsia="Times New Roman" w:hAnsi="Times New Roman" w:cs="Times New Roman"/>
          <w:color w:val="000000"/>
          <w:kern w:val="2"/>
          <w:sz w:val="24"/>
          <w:szCs w:val="24"/>
          <w:lang w:eastAsia="ja-JP" w:bidi="hi-IN"/>
        </w:rPr>
        <w:t>Ekspluatācijas (apsaimniekošanas) noteikumi Daugavai Daugavpils novada teritorijā 2020, Vides risinājumu institūts (</w:t>
      </w:r>
      <w:proofErr w:type="spellStart"/>
      <w:r w:rsidRPr="0014151A">
        <w:rPr>
          <w:rFonts w:ascii="Times New Roman" w:eastAsia="Times New Roman" w:hAnsi="Times New Roman" w:cs="Times New Roman"/>
          <w:color w:val="000000"/>
          <w:kern w:val="2"/>
          <w:sz w:val="24"/>
          <w:szCs w:val="24"/>
          <w:lang w:eastAsia="ja-JP" w:bidi="hi-IN"/>
        </w:rPr>
        <w:t>drafta</w:t>
      </w:r>
      <w:proofErr w:type="spellEnd"/>
      <w:r w:rsidRPr="0014151A">
        <w:rPr>
          <w:rFonts w:ascii="Times New Roman" w:eastAsia="Times New Roman" w:hAnsi="Times New Roman" w:cs="Times New Roman"/>
          <w:color w:val="000000"/>
          <w:kern w:val="2"/>
          <w:sz w:val="24"/>
          <w:szCs w:val="24"/>
          <w:lang w:eastAsia="ja-JP" w:bidi="hi-IN"/>
        </w:rPr>
        <w:t xml:space="preserve"> versija uz 5.05.2020.)</w:t>
      </w:r>
      <w:r w:rsidR="009256C2" w:rsidRPr="0014151A">
        <w:rPr>
          <w:rFonts w:ascii="Times New Roman" w:eastAsia="Times New Roman" w:hAnsi="Times New Roman" w:cs="Times New Roman"/>
          <w:color w:val="000000"/>
          <w:kern w:val="2"/>
          <w:sz w:val="24"/>
          <w:szCs w:val="24"/>
          <w:lang w:eastAsia="ja-JP" w:bidi="hi-IN"/>
        </w:rPr>
        <w:t>.</w:t>
      </w:r>
    </w:p>
    <w:p w14:paraId="4C3DB36A" w14:textId="7362A30B" w:rsidR="00CE45BD" w:rsidRPr="0014151A" w:rsidRDefault="00CE45BD" w:rsidP="0014151A">
      <w:pPr>
        <w:pStyle w:val="ListParagraph"/>
        <w:numPr>
          <w:ilvl w:val="0"/>
          <w:numId w:val="31"/>
        </w:numPr>
        <w:spacing w:after="0" w:line="240" w:lineRule="auto"/>
        <w:ind w:left="924" w:hanging="357"/>
        <w:rPr>
          <w:rFonts w:eastAsia="Times New Roman" w:cs="Times New Roman"/>
          <w:kern w:val="2"/>
          <w:szCs w:val="24"/>
          <w:lang w:eastAsia="zh-CN" w:bidi="hi-IN"/>
        </w:rPr>
      </w:pPr>
      <w:proofErr w:type="spellStart"/>
      <w:r w:rsidRPr="0014151A">
        <w:rPr>
          <w:rFonts w:eastAsia="Times New Roman" w:cs="Times New Roman"/>
          <w:kern w:val="2"/>
          <w:szCs w:val="24"/>
          <w:lang w:eastAsia="zh-CN" w:bidi="hi-IN"/>
        </w:rPr>
        <w:t>Enviromental</w:t>
      </w:r>
      <w:proofErr w:type="spellEnd"/>
      <w:r w:rsidRPr="0014151A">
        <w:rPr>
          <w:rFonts w:eastAsia="Times New Roman" w:cs="Times New Roman"/>
          <w:kern w:val="2"/>
          <w:szCs w:val="24"/>
          <w:lang w:eastAsia="zh-CN" w:bidi="hi-IN"/>
        </w:rPr>
        <w:t xml:space="preserve"> </w:t>
      </w:r>
      <w:proofErr w:type="spellStart"/>
      <w:r w:rsidRPr="0014151A">
        <w:rPr>
          <w:rFonts w:eastAsia="Times New Roman" w:cs="Times New Roman"/>
          <w:kern w:val="2"/>
          <w:szCs w:val="24"/>
          <w:lang w:eastAsia="zh-CN" w:bidi="hi-IN"/>
        </w:rPr>
        <w:t>quality</w:t>
      </w:r>
      <w:proofErr w:type="spellEnd"/>
      <w:r w:rsidRPr="0014151A">
        <w:rPr>
          <w:rFonts w:eastAsia="Times New Roman" w:cs="Times New Roman"/>
          <w:kern w:val="2"/>
          <w:szCs w:val="24"/>
          <w:lang w:eastAsia="zh-CN" w:bidi="hi-IN"/>
        </w:rPr>
        <w:t xml:space="preserve"> </w:t>
      </w:r>
      <w:proofErr w:type="spellStart"/>
      <w:r w:rsidRPr="0014151A">
        <w:rPr>
          <w:rFonts w:eastAsia="Times New Roman" w:cs="Times New Roman"/>
          <w:kern w:val="2"/>
          <w:szCs w:val="24"/>
          <w:lang w:eastAsia="zh-CN" w:bidi="hi-IN"/>
        </w:rPr>
        <w:t>criteria</w:t>
      </w:r>
      <w:proofErr w:type="spellEnd"/>
      <w:r w:rsidRPr="0014151A">
        <w:rPr>
          <w:rFonts w:eastAsia="Times New Roman" w:cs="Times New Roman"/>
          <w:kern w:val="2"/>
          <w:szCs w:val="24"/>
          <w:lang w:eastAsia="zh-CN" w:bidi="hi-IN"/>
        </w:rPr>
        <w:t xml:space="preserve">. </w:t>
      </w:r>
      <w:proofErr w:type="spellStart"/>
      <w:r w:rsidRPr="0014151A">
        <w:rPr>
          <w:rFonts w:eastAsia="Times New Roman" w:cs="Times New Roman"/>
          <w:kern w:val="2"/>
          <w:szCs w:val="24"/>
          <w:lang w:eastAsia="zh-CN" w:bidi="hi-IN"/>
        </w:rPr>
        <w:t>Lakes</w:t>
      </w:r>
      <w:proofErr w:type="spellEnd"/>
      <w:r w:rsidRPr="0014151A">
        <w:rPr>
          <w:rFonts w:eastAsia="Times New Roman" w:cs="Times New Roman"/>
          <w:kern w:val="2"/>
          <w:szCs w:val="24"/>
          <w:lang w:eastAsia="zh-CN" w:bidi="hi-IN"/>
        </w:rPr>
        <w:t xml:space="preserve"> </w:t>
      </w:r>
      <w:proofErr w:type="spellStart"/>
      <w:r w:rsidRPr="0014151A">
        <w:rPr>
          <w:rFonts w:eastAsia="Times New Roman" w:cs="Times New Roman"/>
          <w:kern w:val="2"/>
          <w:szCs w:val="24"/>
          <w:lang w:eastAsia="zh-CN" w:bidi="hi-IN"/>
        </w:rPr>
        <w:t>Watercourses</w:t>
      </w:r>
      <w:proofErr w:type="spellEnd"/>
      <w:r w:rsidRPr="0014151A">
        <w:rPr>
          <w:rFonts w:eastAsia="Times New Roman" w:cs="Times New Roman"/>
          <w:kern w:val="2"/>
          <w:szCs w:val="24"/>
          <w:lang w:eastAsia="zh-CN" w:bidi="hi-IN"/>
        </w:rPr>
        <w:t xml:space="preserve"> 2000</w:t>
      </w:r>
      <w:r w:rsidR="00683955" w:rsidRPr="0014151A">
        <w:rPr>
          <w:rFonts w:eastAsia="Times New Roman" w:cs="Times New Roman"/>
          <w:kern w:val="2"/>
          <w:szCs w:val="24"/>
          <w:lang w:eastAsia="zh-CN" w:bidi="hi-IN"/>
        </w:rPr>
        <w:t>.</w:t>
      </w:r>
      <w:r w:rsidRPr="0014151A">
        <w:rPr>
          <w:rFonts w:eastAsia="Times New Roman" w:cs="Times New Roman"/>
          <w:kern w:val="2"/>
          <w:szCs w:val="24"/>
          <w:lang w:eastAsia="zh-CN" w:bidi="hi-IN"/>
        </w:rPr>
        <w:t xml:space="preserve"> </w:t>
      </w:r>
      <w:proofErr w:type="spellStart"/>
      <w:r w:rsidRPr="0014151A">
        <w:rPr>
          <w:rFonts w:eastAsia="Times New Roman" w:cs="Times New Roman"/>
          <w:kern w:val="2"/>
          <w:szCs w:val="24"/>
          <w:lang w:eastAsia="zh-CN" w:bidi="hi-IN"/>
        </w:rPr>
        <w:t>Report</w:t>
      </w:r>
      <w:proofErr w:type="spellEnd"/>
      <w:r w:rsidRPr="0014151A">
        <w:rPr>
          <w:rFonts w:eastAsia="Times New Roman" w:cs="Times New Roman"/>
          <w:kern w:val="2"/>
          <w:szCs w:val="24"/>
          <w:lang w:eastAsia="zh-CN" w:bidi="hi-IN"/>
        </w:rPr>
        <w:t xml:space="preserve"> 5050, </w:t>
      </w:r>
      <w:proofErr w:type="spellStart"/>
      <w:r w:rsidRPr="0014151A">
        <w:rPr>
          <w:rFonts w:eastAsia="Times New Roman" w:cs="Times New Roman"/>
          <w:kern w:val="2"/>
          <w:szCs w:val="24"/>
          <w:lang w:eastAsia="zh-CN" w:bidi="hi-IN"/>
        </w:rPr>
        <w:t>Swedish</w:t>
      </w:r>
      <w:proofErr w:type="spellEnd"/>
      <w:r w:rsidRPr="0014151A">
        <w:rPr>
          <w:rFonts w:eastAsia="Times New Roman" w:cs="Times New Roman"/>
          <w:kern w:val="2"/>
          <w:szCs w:val="24"/>
          <w:lang w:eastAsia="zh-CN" w:bidi="hi-IN"/>
        </w:rPr>
        <w:t xml:space="preserve"> EPA</w:t>
      </w:r>
      <w:r w:rsidR="00683955" w:rsidRPr="0014151A">
        <w:rPr>
          <w:rFonts w:eastAsia="Times New Roman" w:cs="Times New Roman"/>
          <w:kern w:val="2"/>
          <w:szCs w:val="24"/>
          <w:lang w:eastAsia="zh-CN" w:bidi="hi-IN"/>
        </w:rPr>
        <w:t>.</w:t>
      </w:r>
    </w:p>
    <w:p w14:paraId="672B9012" w14:textId="3E9DAF6A" w:rsidR="00260499" w:rsidRPr="0014151A" w:rsidRDefault="00260499" w:rsidP="0014151A">
      <w:pPr>
        <w:numPr>
          <w:ilvl w:val="0"/>
          <w:numId w:val="31"/>
        </w:numPr>
        <w:spacing w:after="0" w:line="240" w:lineRule="auto"/>
        <w:ind w:left="924" w:hanging="357"/>
        <w:jc w:val="both"/>
        <w:rPr>
          <w:rFonts w:ascii="Times New Roman" w:eastAsia="Times New Roman" w:hAnsi="Times New Roman" w:cs="Times New Roman"/>
          <w:kern w:val="2"/>
          <w:sz w:val="24"/>
          <w:szCs w:val="24"/>
          <w:lang w:eastAsia="zh-CN" w:bidi="hi-IN"/>
        </w:rPr>
      </w:pPr>
      <w:proofErr w:type="spellStart"/>
      <w:r w:rsidRPr="0014151A">
        <w:rPr>
          <w:rFonts w:ascii="Times New Roman" w:eastAsia="Times New Roman" w:hAnsi="Times New Roman" w:cs="Times New Roman"/>
          <w:color w:val="000000"/>
          <w:kern w:val="2"/>
          <w:sz w:val="24"/>
          <w:szCs w:val="24"/>
          <w:lang w:eastAsia="ja-JP" w:bidi="hi-IN"/>
        </w:rPr>
        <w:t>Evarts-Bunders</w:t>
      </w:r>
      <w:proofErr w:type="spellEnd"/>
      <w:r w:rsidRPr="0014151A">
        <w:rPr>
          <w:rFonts w:ascii="Times New Roman" w:eastAsia="Times New Roman" w:hAnsi="Times New Roman" w:cs="Times New Roman"/>
          <w:color w:val="000000"/>
          <w:kern w:val="2"/>
          <w:sz w:val="24"/>
          <w:szCs w:val="24"/>
          <w:lang w:eastAsia="ja-JP" w:bidi="hi-IN"/>
        </w:rPr>
        <w:t xml:space="preserve">, P., </w:t>
      </w:r>
      <w:proofErr w:type="spellStart"/>
      <w:r w:rsidRPr="0014151A">
        <w:rPr>
          <w:rFonts w:ascii="Times New Roman" w:eastAsia="Times New Roman" w:hAnsi="Times New Roman" w:cs="Times New Roman"/>
          <w:color w:val="000000"/>
          <w:kern w:val="2"/>
          <w:sz w:val="24"/>
          <w:szCs w:val="24"/>
          <w:lang w:eastAsia="ja-JP" w:bidi="hi-IN"/>
        </w:rPr>
        <w:t>Evarte-Bundere</w:t>
      </w:r>
      <w:proofErr w:type="spellEnd"/>
      <w:r w:rsidRPr="0014151A">
        <w:rPr>
          <w:rFonts w:ascii="Times New Roman" w:eastAsia="Times New Roman" w:hAnsi="Times New Roman" w:cs="Times New Roman"/>
          <w:color w:val="000000"/>
          <w:kern w:val="2"/>
          <w:sz w:val="24"/>
          <w:szCs w:val="24"/>
          <w:lang w:eastAsia="ja-JP" w:bidi="hi-IN"/>
        </w:rPr>
        <w:t xml:space="preserve">, G., </w:t>
      </w:r>
      <w:proofErr w:type="spellStart"/>
      <w:r w:rsidRPr="0014151A">
        <w:rPr>
          <w:rFonts w:ascii="Times New Roman" w:eastAsia="Times New Roman" w:hAnsi="Times New Roman" w:cs="Times New Roman"/>
          <w:color w:val="000000"/>
          <w:kern w:val="2"/>
          <w:sz w:val="24"/>
          <w:szCs w:val="24"/>
          <w:lang w:eastAsia="ja-JP" w:bidi="hi-IN"/>
        </w:rPr>
        <w:t>Krasnopoļska</w:t>
      </w:r>
      <w:proofErr w:type="spellEnd"/>
      <w:r w:rsidRPr="0014151A">
        <w:rPr>
          <w:rFonts w:ascii="Times New Roman" w:eastAsia="Times New Roman" w:hAnsi="Times New Roman" w:cs="Times New Roman"/>
          <w:color w:val="000000"/>
          <w:kern w:val="2"/>
          <w:sz w:val="24"/>
          <w:szCs w:val="24"/>
          <w:lang w:eastAsia="ja-JP" w:bidi="hi-IN"/>
        </w:rPr>
        <w:t xml:space="preserve">, D., Lakša, D., Daudziņa, K., un </w:t>
      </w:r>
      <w:proofErr w:type="spellStart"/>
      <w:r w:rsidRPr="0014151A">
        <w:rPr>
          <w:rFonts w:ascii="Times New Roman" w:eastAsia="Times New Roman" w:hAnsi="Times New Roman" w:cs="Times New Roman"/>
          <w:color w:val="000000"/>
          <w:kern w:val="2"/>
          <w:sz w:val="24"/>
          <w:szCs w:val="24"/>
          <w:lang w:eastAsia="ja-JP" w:bidi="hi-IN"/>
        </w:rPr>
        <w:t>Nitcis</w:t>
      </w:r>
      <w:proofErr w:type="spellEnd"/>
      <w:r w:rsidRPr="0014151A">
        <w:rPr>
          <w:rFonts w:ascii="Times New Roman" w:eastAsia="Times New Roman" w:hAnsi="Times New Roman" w:cs="Times New Roman"/>
          <w:color w:val="000000"/>
          <w:kern w:val="2"/>
          <w:sz w:val="24"/>
          <w:szCs w:val="24"/>
          <w:lang w:eastAsia="ja-JP" w:bidi="hi-IN"/>
        </w:rPr>
        <w:t xml:space="preserve">, M. 2015. Reto un aizsargājamo </w:t>
      </w:r>
      <w:proofErr w:type="spellStart"/>
      <w:r w:rsidRPr="0014151A">
        <w:rPr>
          <w:rFonts w:ascii="Times New Roman" w:eastAsia="Times New Roman" w:hAnsi="Times New Roman" w:cs="Times New Roman"/>
          <w:color w:val="000000"/>
          <w:kern w:val="2"/>
          <w:sz w:val="24"/>
          <w:szCs w:val="24"/>
          <w:lang w:eastAsia="ja-JP" w:bidi="hi-IN"/>
        </w:rPr>
        <w:t>vaskulāro</w:t>
      </w:r>
      <w:proofErr w:type="spellEnd"/>
      <w:r w:rsidRPr="0014151A">
        <w:rPr>
          <w:rFonts w:ascii="Times New Roman" w:eastAsia="Times New Roman" w:hAnsi="Times New Roman" w:cs="Times New Roman"/>
          <w:color w:val="000000"/>
          <w:kern w:val="2"/>
          <w:sz w:val="24"/>
          <w:szCs w:val="24"/>
          <w:lang w:eastAsia="ja-JP" w:bidi="hi-IN"/>
        </w:rPr>
        <w:t xml:space="preserve"> augu sugu kartēšana Daugavpils pilsētas teritorijā [</w:t>
      </w:r>
      <w:proofErr w:type="spellStart"/>
      <w:r w:rsidRPr="0014151A">
        <w:rPr>
          <w:rFonts w:ascii="Times New Roman" w:eastAsia="Times New Roman" w:hAnsi="Times New Roman" w:cs="Times New Roman"/>
          <w:color w:val="000000"/>
          <w:kern w:val="2"/>
          <w:sz w:val="24"/>
          <w:szCs w:val="24"/>
          <w:lang w:eastAsia="ja-JP" w:bidi="hi-IN"/>
        </w:rPr>
        <w:t>Mapping</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of</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rare</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protected</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vascular</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plant</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species</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in</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the</w:t>
      </w:r>
      <w:proofErr w:type="spellEnd"/>
      <w:r w:rsidRPr="0014151A">
        <w:rPr>
          <w:rFonts w:ascii="Times New Roman" w:eastAsia="Times New Roman" w:hAnsi="Times New Roman" w:cs="Times New Roman"/>
          <w:color w:val="000000"/>
          <w:kern w:val="2"/>
          <w:sz w:val="24"/>
          <w:szCs w:val="24"/>
          <w:lang w:eastAsia="ja-JP" w:bidi="hi-IN"/>
        </w:rPr>
        <w:t xml:space="preserve"> Daugavpils </w:t>
      </w:r>
      <w:proofErr w:type="spellStart"/>
      <w:r w:rsidRPr="0014151A">
        <w:rPr>
          <w:rFonts w:ascii="Times New Roman" w:eastAsia="Times New Roman" w:hAnsi="Times New Roman" w:cs="Times New Roman"/>
          <w:color w:val="000000"/>
          <w:kern w:val="2"/>
          <w:sz w:val="24"/>
          <w:szCs w:val="24"/>
          <w:lang w:eastAsia="ja-JP" w:bidi="hi-IN"/>
        </w:rPr>
        <w:t>City</w:t>
      </w:r>
      <w:proofErr w:type="spellEnd"/>
      <w:r w:rsidRPr="0014151A">
        <w:rPr>
          <w:rFonts w:ascii="Times New Roman" w:eastAsia="Times New Roman" w:hAnsi="Times New Roman" w:cs="Times New Roman"/>
          <w:color w:val="000000"/>
          <w:kern w:val="2"/>
          <w:sz w:val="24"/>
          <w:szCs w:val="24"/>
          <w:lang w:eastAsia="ja-JP" w:bidi="hi-IN"/>
        </w:rPr>
        <w:t>]. Latvijas Veģetācija 24: 29-60.</w:t>
      </w:r>
    </w:p>
    <w:p w14:paraId="0D42DE54" w14:textId="425F3F9D" w:rsidR="00260499" w:rsidRPr="0014151A" w:rsidRDefault="00260499" w:rsidP="0014151A">
      <w:pPr>
        <w:numPr>
          <w:ilvl w:val="0"/>
          <w:numId w:val="31"/>
        </w:numPr>
        <w:spacing w:after="0" w:line="240" w:lineRule="auto"/>
        <w:ind w:left="924" w:hanging="357"/>
        <w:contextualSpacing/>
        <w:jc w:val="both"/>
        <w:rPr>
          <w:rFonts w:ascii="Times New Roman" w:eastAsia="Times New Roman" w:hAnsi="Times New Roman" w:cs="Times New Roman"/>
          <w:kern w:val="2"/>
          <w:sz w:val="24"/>
          <w:szCs w:val="24"/>
          <w:lang w:eastAsia="zh-CN" w:bidi="hi-IN"/>
        </w:rPr>
      </w:pPr>
      <w:proofErr w:type="spellStart"/>
      <w:r w:rsidRPr="0014151A">
        <w:rPr>
          <w:rFonts w:ascii="Times New Roman" w:eastAsia="Times New Roman" w:hAnsi="Times New Roman" w:cs="Times New Roman"/>
          <w:color w:val="000000"/>
          <w:kern w:val="2"/>
          <w:sz w:val="24"/>
          <w:szCs w:val="24"/>
          <w:lang w:eastAsia="ja-JP" w:bidi="hi-IN"/>
        </w:rPr>
        <w:t>Evarts-Bunders</w:t>
      </w:r>
      <w:proofErr w:type="spellEnd"/>
      <w:r w:rsidRPr="0014151A">
        <w:rPr>
          <w:rFonts w:ascii="Times New Roman" w:eastAsia="Times New Roman" w:hAnsi="Times New Roman" w:cs="Times New Roman"/>
          <w:color w:val="000000"/>
          <w:kern w:val="2"/>
          <w:sz w:val="24"/>
          <w:szCs w:val="24"/>
          <w:lang w:eastAsia="ja-JP" w:bidi="hi-IN"/>
        </w:rPr>
        <w:t xml:space="preserve"> P., </w:t>
      </w:r>
      <w:proofErr w:type="spellStart"/>
      <w:r w:rsidRPr="0014151A">
        <w:rPr>
          <w:rFonts w:ascii="Times New Roman" w:eastAsia="Times New Roman" w:hAnsi="Times New Roman" w:cs="Times New Roman"/>
          <w:color w:val="000000"/>
          <w:kern w:val="2"/>
          <w:sz w:val="24"/>
          <w:szCs w:val="24"/>
          <w:lang w:eastAsia="ja-JP" w:bidi="hi-IN"/>
        </w:rPr>
        <w:t>Evarte-Bundere</w:t>
      </w:r>
      <w:proofErr w:type="spellEnd"/>
      <w:r w:rsidRPr="0014151A">
        <w:rPr>
          <w:rFonts w:ascii="Times New Roman" w:eastAsia="Times New Roman" w:hAnsi="Times New Roman" w:cs="Times New Roman"/>
          <w:color w:val="000000"/>
          <w:kern w:val="2"/>
          <w:sz w:val="24"/>
          <w:szCs w:val="24"/>
          <w:lang w:eastAsia="ja-JP" w:bidi="hi-IN"/>
        </w:rPr>
        <w:t xml:space="preserve"> G. 2018: </w:t>
      </w:r>
      <w:proofErr w:type="spellStart"/>
      <w:r w:rsidRPr="0014151A">
        <w:rPr>
          <w:rFonts w:ascii="Times New Roman" w:eastAsia="Times New Roman" w:hAnsi="Times New Roman" w:cs="Times New Roman"/>
          <w:color w:val="000000"/>
          <w:kern w:val="2"/>
          <w:sz w:val="24"/>
          <w:szCs w:val="24"/>
          <w:lang w:eastAsia="ja-JP" w:bidi="hi-IN"/>
        </w:rPr>
        <w:t>New</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knowledge</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about</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species</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of</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the</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genus</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Chaerophyllum</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Apiaceae</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in</w:t>
      </w:r>
      <w:proofErr w:type="spellEnd"/>
      <w:r w:rsidRPr="0014151A">
        <w:rPr>
          <w:rFonts w:ascii="Times New Roman" w:eastAsia="Times New Roman" w:hAnsi="Times New Roman" w:cs="Times New Roman"/>
          <w:color w:val="000000"/>
          <w:kern w:val="2"/>
          <w:sz w:val="24"/>
          <w:szCs w:val="24"/>
          <w:lang w:eastAsia="ja-JP" w:bidi="hi-IN"/>
        </w:rPr>
        <w:t xml:space="preserve"> Latvia. – </w:t>
      </w:r>
      <w:proofErr w:type="spellStart"/>
      <w:r w:rsidRPr="0014151A">
        <w:rPr>
          <w:rFonts w:ascii="Times New Roman" w:eastAsia="Times New Roman" w:hAnsi="Times New Roman" w:cs="Times New Roman"/>
          <w:color w:val="000000"/>
          <w:kern w:val="2"/>
          <w:sz w:val="24"/>
          <w:szCs w:val="24"/>
          <w:lang w:eastAsia="ja-JP" w:bidi="hi-IN"/>
        </w:rPr>
        <w:t>Botanica</w:t>
      </w:r>
      <w:proofErr w:type="spellEnd"/>
      <w:r w:rsidRPr="0014151A">
        <w:rPr>
          <w:rFonts w:ascii="Times New Roman" w:eastAsia="Times New Roman" w:hAnsi="Times New Roman" w:cs="Times New Roman"/>
          <w:color w:val="000000"/>
          <w:kern w:val="2"/>
          <w:sz w:val="24"/>
          <w:szCs w:val="24"/>
          <w:lang w:eastAsia="ja-JP" w:bidi="hi-IN"/>
        </w:rPr>
        <w:t>, 24(2): 115–123.</w:t>
      </w:r>
    </w:p>
    <w:p w14:paraId="6A05B313" w14:textId="3C2EC2B2" w:rsidR="002C79F4" w:rsidRPr="0014151A" w:rsidRDefault="00260499" w:rsidP="0014151A">
      <w:pPr>
        <w:numPr>
          <w:ilvl w:val="0"/>
          <w:numId w:val="31"/>
        </w:numPr>
        <w:spacing w:after="0" w:line="240" w:lineRule="auto"/>
        <w:ind w:left="924" w:hanging="357"/>
        <w:contextualSpacing/>
        <w:jc w:val="both"/>
        <w:rPr>
          <w:rFonts w:ascii="Times New Roman" w:eastAsia="Times New Roman" w:hAnsi="Times New Roman" w:cs="Times New Roman"/>
          <w:kern w:val="2"/>
          <w:sz w:val="24"/>
          <w:szCs w:val="24"/>
          <w:lang w:eastAsia="zh-CN" w:bidi="hi-IN"/>
        </w:rPr>
      </w:pPr>
      <w:proofErr w:type="spellStart"/>
      <w:r w:rsidRPr="0014151A">
        <w:rPr>
          <w:rFonts w:ascii="Times New Roman" w:eastAsia="Times New Roman" w:hAnsi="Times New Roman" w:cs="Times New Roman"/>
          <w:color w:val="000000"/>
          <w:kern w:val="2"/>
          <w:sz w:val="24"/>
          <w:szCs w:val="24"/>
          <w:lang w:eastAsia="ja-JP" w:bidi="hi-IN"/>
        </w:rPr>
        <w:t>European</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Landscape</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Convention</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adopted</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by</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the</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Committee</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of</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Ministers</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of</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the</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Council</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of</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Europe</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on</w:t>
      </w:r>
      <w:proofErr w:type="spellEnd"/>
      <w:r w:rsidRPr="0014151A">
        <w:rPr>
          <w:rFonts w:ascii="Times New Roman" w:eastAsia="Times New Roman" w:hAnsi="Times New Roman" w:cs="Times New Roman"/>
          <w:color w:val="000000"/>
          <w:kern w:val="2"/>
          <w:sz w:val="24"/>
          <w:szCs w:val="24"/>
          <w:lang w:eastAsia="ja-JP" w:bidi="hi-IN"/>
        </w:rPr>
        <w:t xml:space="preserve"> 19 </w:t>
      </w:r>
      <w:proofErr w:type="spellStart"/>
      <w:r w:rsidRPr="0014151A">
        <w:rPr>
          <w:rFonts w:ascii="Times New Roman" w:eastAsia="Times New Roman" w:hAnsi="Times New Roman" w:cs="Times New Roman"/>
          <w:color w:val="000000"/>
          <w:kern w:val="2"/>
          <w:sz w:val="24"/>
          <w:szCs w:val="24"/>
          <w:lang w:eastAsia="ja-JP" w:bidi="hi-IN"/>
        </w:rPr>
        <w:t>July</w:t>
      </w:r>
      <w:proofErr w:type="spellEnd"/>
      <w:r w:rsidRPr="0014151A">
        <w:rPr>
          <w:rFonts w:ascii="Times New Roman" w:eastAsia="Times New Roman" w:hAnsi="Times New Roman" w:cs="Times New Roman"/>
          <w:color w:val="000000"/>
          <w:kern w:val="2"/>
          <w:sz w:val="24"/>
          <w:szCs w:val="24"/>
          <w:lang w:eastAsia="ja-JP" w:bidi="hi-IN"/>
        </w:rPr>
        <w:t xml:space="preserve"> 2000 </w:t>
      </w:r>
      <w:proofErr w:type="spellStart"/>
      <w:r w:rsidRPr="0014151A">
        <w:rPr>
          <w:rFonts w:ascii="Times New Roman" w:eastAsia="Times New Roman" w:hAnsi="Times New Roman" w:cs="Times New Roman"/>
          <w:color w:val="000000"/>
          <w:kern w:val="2"/>
          <w:sz w:val="24"/>
          <w:szCs w:val="24"/>
          <w:lang w:eastAsia="ja-JP" w:bidi="hi-IN"/>
        </w:rPr>
        <w:t>and</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opened</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for</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signature</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by</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its</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Member</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States</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in</w:t>
      </w:r>
      <w:proofErr w:type="spellEnd"/>
      <w:r w:rsidRPr="0014151A">
        <w:rPr>
          <w:rFonts w:ascii="Times New Roman" w:eastAsia="Times New Roman" w:hAnsi="Times New Roman" w:cs="Times New Roman"/>
          <w:color w:val="000000"/>
          <w:kern w:val="2"/>
          <w:sz w:val="24"/>
          <w:szCs w:val="24"/>
          <w:lang w:eastAsia="ja-JP" w:bidi="hi-IN"/>
        </w:rPr>
        <w:t xml:space="preserve"> Florence </w:t>
      </w:r>
      <w:proofErr w:type="spellStart"/>
      <w:r w:rsidRPr="0014151A">
        <w:rPr>
          <w:rFonts w:ascii="Times New Roman" w:eastAsia="Times New Roman" w:hAnsi="Times New Roman" w:cs="Times New Roman"/>
          <w:color w:val="000000"/>
          <w:kern w:val="2"/>
          <w:sz w:val="24"/>
          <w:szCs w:val="24"/>
          <w:lang w:eastAsia="ja-JP" w:bidi="hi-IN"/>
        </w:rPr>
        <w:lastRenderedPageBreak/>
        <w:t>on</w:t>
      </w:r>
      <w:proofErr w:type="spellEnd"/>
      <w:r w:rsidRPr="0014151A">
        <w:rPr>
          <w:rFonts w:ascii="Times New Roman" w:eastAsia="Times New Roman" w:hAnsi="Times New Roman" w:cs="Times New Roman"/>
          <w:color w:val="000000"/>
          <w:kern w:val="2"/>
          <w:sz w:val="24"/>
          <w:szCs w:val="24"/>
          <w:lang w:eastAsia="ja-JP" w:bidi="hi-IN"/>
        </w:rPr>
        <w:t xml:space="preserve"> 20 </w:t>
      </w:r>
      <w:proofErr w:type="spellStart"/>
      <w:r w:rsidRPr="0014151A">
        <w:rPr>
          <w:rFonts w:ascii="Times New Roman" w:eastAsia="Times New Roman" w:hAnsi="Times New Roman" w:cs="Times New Roman"/>
          <w:color w:val="000000"/>
          <w:kern w:val="2"/>
          <w:sz w:val="24"/>
          <w:szCs w:val="24"/>
          <w:lang w:eastAsia="ja-JP" w:bidi="hi-IN"/>
        </w:rPr>
        <w:t>October</w:t>
      </w:r>
      <w:proofErr w:type="spellEnd"/>
      <w:r w:rsidRPr="0014151A">
        <w:rPr>
          <w:rFonts w:ascii="Times New Roman" w:eastAsia="Times New Roman" w:hAnsi="Times New Roman" w:cs="Times New Roman"/>
          <w:color w:val="000000"/>
          <w:kern w:val="2"/>
          <w:sz w:val="24"/>
          <w:szCs w:val="24"/>
          <w:lang w:eastAsia="ja-JP" w:bidi="hi-IN"/>
        </w:rPr>
        <w:t xml:space="preserve"> 2000 </w:t>
      </w:r>
      <w:hyperlink r:id="rId204" w:history="1">
        <w:r w:rsidR="0010003A" w:rsidRPr="0014151A">
          <w:rPr>
            <w:rStyle w:val="Hyperlink"/>
            <w:rFonts w:ascii="Times New Roman" w:eastAsia="Times New Roman" w:hAnsi="Times New Roman" w:cs="Times New Roman"/>
            <w:kern w:val="2"/>
            <w:sz w:val="24"/>
            <w:szCs w:val="24"/>
            <w:lang w:eastAsia="ja-JP" w:bidi="hi-IN"/>
          </w:rPr>
          <w:t>https://rm.coe.int/CoERMPublicCommonSearchServices/DisplayDCTMContent?documentId=09000016802f80c6</w:t>
        </w:r>
      </w:hyperlink>
      <w:r w:rsidR="002C79F4" w:rsidRPr="0014151A">
        <w:rPr>
          <w:rFonts w:ascii="Times New Roman" w:eastAsia="Times New Roman" w:hAnsi="Times New Roman" w:cs="Times New Roman"/>
          <w:color w:val="000000"/>
          <w:kern w:val="2"/>
          <w:sz w:val="24"/>
          <w:szCs w:val="24"/>
          <w:lang w:eastAsia="ja-JP" w:bidi="hi-IN"/>
        </w:rPr>
        <w:t>.</w:t>
      </w:r>
    </w:p>
    <w:p w14:paraId="5958038C" w14:textId="68EFF6D6" w:rsidR="00260499" w:rsidRPr="0014151A" w:rsidRDefault="00260499" w:rsidP="0014151A">
      <w:pPr>
        <w:numPr>
          <w:ilvl w:val="0"/>
          <w:numId w:val="31"/>
        </w:numPr>
        <w:spacing w:after="0" w:line="240" w:lineRule="auto"/>
        <w:ind w:left="924" w:hanging="357"/>
        <w:contextualSpacing/>
        <w:jc w:val="both"/>
        <w:rPr>
          <w:rFonts w:ascii="Times New Roman" w:eastAsia="Times New Roman" w:hAnsi="Times New Roman" w:cs="Times New Roman"/>
          <w:kern w:val="2"/>
          <w:sz w:val="24"/>
          <w:szCs w:val="24"/>
          <w:lang w:eastAsia="zh-CN" w:bidi="hi-IN"/>
        </w:rPr>
      </w:pPr>
      <w:r w:rsidRPr="0014151A">
        <w:rPr>
          <w:rFonts w:ascii="Times New Roman" w:eastAsia="Times New Roman" w:hAnsi="Times New Roman" w:cs="Times New Roman"/>
          <w:color w:val="000000"/>
          <w:kern w:val="2"/>
          <w:sz w:val="24"/>
          <w:szCs w:val="24"/>
          <w:lang w:eastAsia="ja-JP" w:bidi="hi-IN"/>
        </w:rPr>
        <w:t xml:space="preserve">Eiropas ainavu konvencija (Florence 2000. gada 20. oktobris) </w:t>
      </w:r>
      <w:hyperlink r:id="rId205" w:history="1">
        <w:r w:rsidR="007E3BA0" w:rsidRPr="0014151A">
          <w:rPr>
            <w:rStyle w:val="Hyperlink"/>
            <w:rFonts w:ascii="Times New Roman" w:eastAsia="Times New Roman" w:hAnsi="Times New Roman" w:cs="Times New Roman"/>
            <w:kern w:val="2"/>
            <w:sz w:val="24"/>
            <w:szCs w:val="24"/>
            <w:lang w:eastAsia="ja-JP" w:bidi="hi-IN"/>
          </w:rPr>
          <w:t>https://likumi.lv/ta/lv/starptautiskie-ligumi/id/1265</w:t>
        </w:r>
      </w:hyperlink>
      <w:r w:rsidR="0010003A" w:rsidRPr="0014151A">
        <w:t>.</w:t>
      </w:r>
    </w:p>
    <w:p w14:paraId="6D9FE550" w14:textId="63231980" w:rsidR="007E3BA0" w:rsidRPr="0014151A" w:rsidRDefault="007E3BA0" w:rsidP="0014151A">
      <w:pPr>
        <w:numPr>
          <w:ilvl w:val="0"/>
          <w:numId w:val="31"/>
        </w:numPr>
        <w:spacing w:after="0" w:line="240" w:lineRule="auto"/>
        <w:ind w:left="924" w:hanging="357"/>
        <w:contextualSpacing/>
        <w:jc w:val="both"/>
        <w:rPr>
          <w:rFonts w:ascii="Times New Roman" w:eastAsia="Times New Roman" w:hAnsi="Times New Roman" w:cs="Times New Roman"/>
          <w:kern w:val="2"/>
          <w:sz w:val="24"/>
          <w:szCs w:val="24"/>
          <w:lang w:eastAsia="zh-CN" w:bidi="hi-IN"/>
        </w:rPr>
      </w:pPr>
      <w:proofErr w:type="spellStart"/>
      <w:r w:rsidRPr="0014151A">
        <w:rPr>
          <w:rFonts w:ascii="Times New Roman" w:eastAsia="Times New Roman" w:hAnsi="Times New Roman" w:cs="Times New Roman"/>
          <w:color w:val="000000"/>
          <w:kern w:val="2"/>
          <w:sz w:val="24"/>
          <w:szCs w:val="24"/>
          <w:lang w:eastAsia="ja-JP" w:bidi="hi-IN"/>
        </w:rPr>
        <w:t>European</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union</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protected</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habitats</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in</w:t>
      </w:r>
      <w:proofErr w:type="spellEnd"/>
      <w:r w:rsidRPr="0014151A">
        <w:rPr>
          <w:rFonts w:ascii="Times New Roman" w:eastAsia="Times New Roman" w:hAnsi="Times New Roman" w:cs="Times New Roman"/>
          <w:color w:val="000000"/>
          <w:kern w:val="2"/>
          <w:sz w:val="24"/>
          <w:szCs w:val="24"/>
          <w:lang w:eastAsia="ja-JP" w:bidi="hi-IN"/>
        </w:rPr>
        <w:t xml:space="preserve"> Latvia, 2013, 2nd </w:t>
      </w:r>
      <w:proofErr w:type="spellStart"/>
      <w:r w:rsidRPr="0014151A">
        <w:rPr>
          <w:rFonts w:ascii="Times New Roman" w:eastAsia="Times New Roman" w:hAnsi="Times New Roman" w:cs="Times New Roman"/>
          <w:color w:val="000000"/>
          <w:kern w:val="2"/>
          <w:sz w:val="24"/>
          <w:szCs w:val="24"/>
          <w:lang w:eastAsia="ja-JP" w:bidi="hi-IN"/>
        </w:rPr>
        <w:t>revised</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ed</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Riga</w:t>
      </w:r>
      <w:proofErr w:type="spellEnd"/>
      <w:r w:rsidRPr="0014151A">
        <w:rPr>
          <w:rFonts w:ascii="Times New Roman" w:eastAsia="Times New Roman" w:hAnsi="Times New Roman" w:cs="Times New Roman"/>
          <w:color w:val="000000"/>
          <w:kern w:val="2"/>
          <w:sz w:val="24"/>
          <w:szCs w:val="24"/>
          <w:lang w:eastAsia="ja-JP" w:bidi="hi-IN"/>
        </w:rPr>
        <w:t>, 361.</w:t>
      </w:r>
    </w:p>
    <w:p w14:paraId="208CF332" w14:textId="77777777" w:rsidR="00260499" w:rsidRPr="0014151A" w:rsidRDefault="00260499" w:rsidP="00F87589">
      <w:pPr>
        <w:numPr>
          <w:ilvl w:val="0"/>
          <w:numId w:val="31"/>
        </w:numPr>
        <w:spacing w:after="120" w:line="240" w:lineRule="auto"/>
        <w:contextualSpacing/>
        <w:jc w:val="both"/>
        <w:rPr>
          <w:rFonts w:ascii="Times New Roman" w:eastAsia="Times New Roman" w:hAnsi="Times New Roman" w:cs="Times New Roman"/>
          <w:kern w:val="2"/>
          <w:sz w:val="24"/>
          <w:szCs w:val="24"/>
          <w:lang w:eastAsia="zh-CN" w:bidi="hi-IN"/>
        </w:rPr>
      </w:pPr>
      <w:proofErr w:type="spellStart"/>
      <w:r w:rsidRPr="0014151A">
        <w:rPr>
          <w:rFonts w:ascii="Times New Roman" w:eastAsia="Times New Roman" w:hAnsi="Times New Roman" w:cs="Times New Roman"/>
          <w:color w:val="000000"/>
          <w:kern w:val="2"/>
          <w:sz w:val="24"/>
          <w:szCs w:val="24"/>
          <w:lang w:eastAsia="ja-JP" w:bidi="hi-IN"/>
        </w:rPr>
        <w:t>Fatare</w:t>
      </w:r>
      <w:proofErr w:type="spellEnd"/>
      <w:r w:rsidRPr="0014151A">
        <w:rPr>
          <w:rFonts w:ascii="Times New Roman" w:eastAsia="Times New Roman" w:hAnsi="Times New Roman" w:cs="Times New Roman"/>
          <w:color w:val="000000"/>
          <w:kern w:val="2"/>
          <w:sz w:val="24"/>
          <w:szCs w:val="24"/>
          <w:lang w:eastAsia="ja-JP" w:bidi="hi-IN"/>
        </w:rPr>
        <w:t xml:space="preserve"> I. 1989. Daugavas ielejas flora.</w:t>
      </w:r>
    </w:p>
    <w:p w14:paraId="5A5A76C4" w14:textId="2FE73EFA" w:rsidR="00260499" w:rsidRPr="0014151A" w:rsidRDefault="00260499" w:rsidP="0014151A">
      <w:pPr>
        <w:numPr>
          <w:ilvl w:val="0"/>
          <w:numId w:val="31"/>
        </w:numPr>
        <w:tabs>
          <w:tab w:val="left" w:pos="426"/>
        </w:tabs>
        <w:spacing w:after="0" w:line="240" w:lineRule="auto"/>
        <w:ind w:left="924" w:hanging="357"/>
        <w:jc w:val="both"/>
        <w:rPr>
          <w:rFonts w:ascii="Times New Roman" w:eastAsia="Times New Roman" w:hAnsi="Times New Roman" w:cs="Times New Roman"/>
          <w:kern w:val="2"/>
          <w:sz w:val="24"/>
          <w:szCs w:val="24"/>
          <w:lang w:eastAsia="zh-CN" w:bidi="hi-IN"/>
        </w:rPr>
      </w:pPr>
      <w:proofErr w:type="spellStart"/>
      <w:r w:rsidRPr="0014151A">
        <w:rPr>
          <w:rFonts w:ascii="Times New Roman" w:eastAsia="Times New Roman" w:hAnsi="Times New Roman" w:cs="Times New Roman"/>
          <w:kern w:val="2"/>
          <w:sz w:val="24"/>
          <w:szCs w:val="24"/>
          <w:lang w:eastAsia="zh-CN" w:bidi="hi-IN"/>
        </w:rPr>
        <w:t>Fifth</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updated</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list</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of</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sites</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of</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Community</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importance</w:t>
      </w:r>
      <w:proofErr w:type="spellEnd"/>
      <w:r w:rsidR="00D65BBA" w:rsidRPr="0014151A">
        <w:rPr>
          <w:rFonts w:ascii="Times New Roman" w:eastAsia="Times New Roman" w:hAnsi="Times New Roman" w:cs="Times New Roman"/>
          <w:kern w:val="2"/>
          <w:sz w:val="24"/>
          <w:szCs w:val="24"/>
          <w:lang w:eastAsia="zh-CN" w:bidi="hi-IN"/>
        </w:rPr>
        <w:t xml:space="preserve"> </w:t>
      </w:r>
      <w:r w:rsidRPr="0014151A">
        <w:rPr>
          <w:rFonts w:ascii="Times New Roman" w:eastAsia="Times New Roman" w:hAnsi="Times New Roman" w:cs="Times New Roman"/>
          <w:kern w:val="2"/>
          <w:sz w:val="24"/>
          <w:szCs w:val="24"/>
          <w:lang w:eastAsia="zh-CN" w:bidi="hi-IN"/>
        </w:rPr>
        <w:t>(</w:t>
      </w:r>
      <w:proofErr w:type="spellStart"/>
      <w:r w:rsidRPr="0014151A">
        <w:rPr>
          <w:rFonts w:ascii="Times New Roman" w:eastAsia="Times New Roman" w:hAnsi="Times New Roman" w:cs="Times New Roman"/>
          <w:i/>
          <w:kern w:val="2"/>
          <w:sz w:val="24"/>
          <w:szCs w:val="24"/>
          <w:lang w:eastAsia="zh-CN" w:bidi="hi-IN"/>
        </w:rPr>
        <w:t>Natura</w:t>
      </w:r>
      <w:proofErr w:type="spellEnd"/>
      <w:r w:rsidRPr="0014151A">
        <w:rPr>
          <w:rFonts w:ascii="Times New Roman" w:eastAsia="Times New Roman" w:hAnsi="Times New Roman" w:cs="Times New Roman"/>
          <w:i/>
          <w:kern w:val="2"/>
          <w:sz w:val="24"/>
          <w:szCs w:val="24"/>
          <w:lang w:eastAsia="zh-CN" w:bidi="hi-IN"/>
        </w:rPr>
        <w:t xml:space="preserve"> 2000</w:t>
      </w:r>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for</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the</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Boreal</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biogeographical</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region</w:t>
      </w:r>
      <w:proofErr w:type="spellEnd"/>
      <w:r w:rsidRPr="0014151A">
        <w:rPr>
          <w:rFonts w:ascii="Times New Roman" w:eastAsia="Times New Roman" w:hAnsi="Times New Roman" w:cs="Times New Roman"/>
          <w:kern w:val="2"/>
          <w:sz w:val="24"/>
          <w:szCs w:val="24"/>
          <w:lang w:eastAsia="zh-CN" w:bidi="hi-IN"/>
        </w:rPr>
        <w:t xml:space="preserve">, 2012. </w:t>
      </w:r>
      <w:proofErr w:type="spellStart"/>
      <w:r w:rsidRPr="0014151A">
        <w:rPr>
          <w:rFonts w:ascii="Times New Roman" w:eastAsia="Times New Roman" w:hAnsi="Times New Roman" w:cs="Times New Roman"/>
          <w:kern w:val="2"/>
          <w:sz w:val="24"/>
          <w:szCs w:val="24"/>
          <w:lang w:eastAsia="zh-CN" w:bidi="hi-IN"/>
        </w:rPr>
        <w:t>Commission</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implementing</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decision</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of</w:t>
      </w:r>
      <w:proofErr w:type="spellEnd"/>
      <w:r w:rsidRPr="0014151A">
        <w:rPr>
          <w:rFonts w:ascii="Times New Roman" w:eastAsia="Times New Roman" w:hAnsi="Times New Roman" w:cs="Times New Roman"/>
          <w:kern w:val="2"/>
          <w:sz w:val="24"/>
          <w:szCs w:val="24"/>
          <w:lang w:eastAsia="zh-CN" w:bidi="hi-IN"/>
        </w:rPr>
        <w:t xml:space="preserve"> 18 </w:t>
      </w:r>
      <w:proofErr w:type="spellStart"/>
      <w:r w:rsidRPr="0014151A">
        <w:rPr>
          <w:rFonts w:ascii="Times New Roman" w:eastAsia="Times New Roman" w:hAnsi="Times New Roman" w:cs="Times New Roman"/>
          <w:kern w:val="2"/>
          <w:sz w:val="24"/>
          <w:szCs w:val="24"/>
          <w:lang w:eastAsia="zh-CN" w:bidi="hi-IN"/>
        </w:rPr>
        <w:t>November</w:t>
      </w:r>
      <w:proofErr w:type="spellEnd"/>
      <w:r w:rsidRPr="0014151A">
        <w:rPr>
          <w:rFonts w:ascii="Times New Roman" w:eastAsia="Times New Roman" w:hAnsi="Times New Roman" w:cs="Times New Roman"/>
          <w:kern w:val="2"/>
          <w:sz w:val="24"/>
          <w:szCs w:val="24"/>
          <w:lang w:eastAsia="zh-CN" w:bidi="hi-IN"/>
        </w:rPr>
        <w:t xml:space="preserve"> 2011 </w:t>
      </w:r>
      <w:proofErr w:type="spellStart"/>
      <w:r w:rsidRPr="0014151A">
        <w:rPr>
          <w:rFonts w:ascii="Times New Roman" w:eastAsia="Times New Roman" w:hAnsi="Times New Roman" w:cs="Times New Roman"/>
          <w:kern w:val="2"/>
          <w:sz w:val="24"/>
          <w:szCs w:val="24"/>
          <w:lang w:eastAsia="zh-CN" w:bidi="hi-IN"/>
        </w:rPr>
        <w:t>adopting</w:t>
      </w:r>
      <w:proofErr w:type="spellEnd"/>
      <w:r w:rsidRPr="0014151A">
        <w:rPr>
          <w:rFonts w:ascii="Times New Roman" w:eastAsia="Times New Roman" w:hAnsi="Times New Roman" w:cs="Times New Roman"/>
          <w:kern w:val="2"/>
          <w:sz w:val="24"/>
          <w:szCs w:val="24"/>
          <w:lang w:eastAsia="zh-CN" w:bidi="hi-IN"/>
        </w:rPr>
        <w:t xml:space="preserve"> a </w:t>
      </w:r>
      <w:proofErr w:type="spellStart"/>
      <w:r w:rsidRPr="0014151A">
        <w:rPr>
          <w:rFonts w:ascii="Times New Roman" w:eastAsia="Times New Roman" w:hAnsi="Times New Roman" w:cs="Times New Roman"/>
          <w:kern w:val="2"/>
          <w:sz w:val="24"/>
          <w:szCs w:val="24"/>
          <w:lang w:eastAsia="zh-CN" w:bidi="hi-IN"/>
        </w:rPr>
        <w:t>fifth</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updated</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list</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of</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sites</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of</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Community</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importance</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for</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the</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Boreal</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biogeographical</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region</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i/>
          <w:iCs/>
          <w:kern w:val="2"/>
          <w:sz w:val="24"/>
          <w:szCs w:val="24"/>
          <w:lang w:eastAsia="zh-CN" w:bidi="hi-IN"/>
        </w:rPr>
        <w:t>Official</w:t>
      </w:r>
      <w:proofErr w:type="spellEnd"/>
      <w:r w:rsidRPr="0014151A">
        <w:rPr>
          <w:rFonts w:ascii="Times New Roman" w:eastAsia="Times New Roman" w:hAnsi="Times New Roman" w:cs="Times New Roman"/>
          <w:i/>
          <w:iCs/>
          <w:kern w:val="2"/>
          <w:sz w:val="24"/>
          <w:szCs w:val="24"/>
          <w:lang w:eastAsia="zh-CN" w:bidi="hi-IN"/>
        </w:rPr>
        <w:t xml:space="preserve"> </w:t>
      </w:r>
      <w:proofErr w:type="spellStart"/>
      <w:r w:rsidRPr="0014151A">
        <w:rPr>
          <w:rFonts w:ascii="Times New Roman" w:eastAsia="Times New Roman" w:hAnsi="Times New Roman" w:cs="Times New Roman"/>
          <w:i/>
          <w:iCs/>
          <w:kern w:val="2"/>
          <w:sz w:val="24"/>
          <w:szCs w:val="24"/>
          <w:lang w:eastAsia="zh-CN" w:bidi="hi-IN"/>
        </w:rPr>
        <w:t>Journal</w:t>
      </w:r>
      <w:proofErr w:type="spellEnd"/>
      <w:r w:rsidRPr="0014151A">
        <w:rPr>
          <w:rFonts w:ascii="Times New Roman" w:eastAsia="Times New Roman" w:hAnsi="Times New Roman" w:cs="Times New Roman"/>
          <w:i/>
          <w:iCs/>
          <w:kern w:val="2"/>
          <w:sz w:val="24"/>
          <w:szCs w:val="24"/>
          <w:lang w:eastAsia="zh-CN" w:bidi="hi-IN"/>
        </w:rPr>
        <w:t xml:space="preserve"> </w:t>
      </w:r>
      <w:proofErr w:type="spellStart"/>
      <w:r w:rsidRPr="0014151A">
        <w:rPr>
          <w:rFonts w:ascii="Times New Roman" w:eastAsia="Times New Roman" w:hAnsi="Times New Roman" w:cs="Times New Roman"/>
          <w:i/>
          <w:iCs/>
          <w:kern w:val="2"/>
          <w:sz w:val="24"/>
          <w:szCs w:val="24"/>
          <w:lang w:eastAsia="zh-CN" w:bidi="hi-IN"/>
        </w:rPr>
        <w:t>of</w:t>
      </w:r>
      <w:proofErr w:type="spellEnd"/>
      <w:r w:rsidRPr="0014151A">
        <w:rPr>
          <w:rFonts w:ascii="Times New Roman" w:eastAsia="Times New Roman" w:hAnsi="Times New Roman" w:cs="Times New Roman"/>
          <w:i/>
          <w:iCs/>
          <w:kern w:val="2"/>
          <w:sz w:val="24"/>
          <w:szCs w:val="24"/>
          <w:lang w:eastAsia="zh-CN" w:bidi="hi-IN"/>
        </w:rPr>
        <w:t xml:space="preserve"> </w:t>
      </w:r>
      <w:proofErr w:type="spellStart"/>
      <w:r w:rsidRPr="0014151A">
        <w:rPr>
          <w:rFonts w:ascii="Times New Roman" w:eastAsia="Times New Roman" w:hAnsi="Times New Roman" w:cs="Times New Roman"/>
          <w:i/>
          <w:iCs/>
          <w:kern w:val="2"/>
          <w:sz w:val="24"/>
          <w:szCs w:val="24"/>
          <w:lang w:eastAsia="zh-CN" w:bidi="hi-IN"/>
        </w:rPr>
        <w:t>the</w:t>
      </w:r>
      <w:proofErr w:type="spellEnd"/>
      <w:r w:rsidRPr="0014151A">
        <w:rPr>
          <w:rFonts w:ascii="Times New Roman" w:eastAsia="Times New Roman" w:hAnsi="Times New Roman" w:cs="Times New Roman"/>
          <w:i/>
          <w:iCs/>
          <w:kern w:val="2"/>
          <w:sz w:val="24"/>
          <w:szCs w:val="24"/>
          <w:lang w:eastAsia="zh-CN" w:bidi="hi-IN"/>
        </w:rPr>
        <w:t xml:space="preserve"> </w:t>
      </w:r>
      <w:proofErr w:type="spellStart"/>
      <w:r w:rsidRPr="0014151A">
        <w:rPr>
          <w:rFonts w:ascii="Times New Roman" w:eastAsia="Times New Roman" w:hAnsi="Times New Roman" w:cs="Times New Roman"/>
          <w:i/>
          <w:iCs/>
          <w:kern w:val="2"/>
          <w:sz w:val="24"/>
          <w:szCs w:val="24"/>
          <w:lang w:eastAsia="zh-CN" w:bidi="hi-IN"/>
        </w:rPr>
        <w:t>European</w:t>
      </w:r>
      <w:proofErr w:type="spellEnd"/>
      <w:r w:rsidRPr="0014151A">
        <w:rPr>
          <w:rFonts w:ascii="Times New Roman" w:eastAsia="Times New Roman" w:hAnsi="Times New Roman" w:cs="Times New Roman"/>
          <w:i/>
          <w:iCs/>
          <w:kern w:val="2"/>
          <w:sz w:val="24"/>
          <w:szCs w:val="24"/>
          <w:lang w:eastAsia="zh-CN" w:bidi="hi-IN"/>
        </w:rPr>
        <w:t xml:space="preserve"> </w:t>
      </w:r>
      <w:proofErr w:type="spellStart"/>
      <w:r w:rsidRPr="0014151A">
        <w:rPr>
          <w:rFonts w:ascii="Times New Roman" w:eastAsia="Times New Roman" w:hAnsi="Times New Roman" w:cs="Times New Roman"/>
          <w:i/>
          <w:iCs/>
          <w:kern w:val="2"/>
          <w:sz w:val="24"/>
          <w:szCs w:val="24"/>
          <w:lang w:eastAsia="zh-CN" w:bidi="hi-IN"/>
        </w:rPr>
        <w:t>Union</w:t>
      </w:r>
      <w:proofErr w:type="spellEnd"/>
      <w:r w:rsidRPr="0014151A">
        <w:rPr>
          <w:rFonts w:ascii="Times New Roman" w:eastAsia="Times New Roman" w:hAnsi="Times New Roman" w:cs="Times New Roman"/>
          <w:kern w:val="2"/>
          <w:sz w:val="24"/>
          <w:szCs w:val="24"/>
          <w:lang w:eastAsia="zh-CN" w:bidi="hi-IN"/>
        </w:rPr>
        <w:t xml:space="preserve">, L 10, </w:t>
      </w:r>
      <w:proofErr w:type="spellStart"/>
      <w:r w:rsidRPr="0014151A">
        <w:rPr>
          <w:rFonts w:ascii="Times New Roman" w:eastAsia="Times New Roman" w:hAnsi="Times New Roman" w:cs="Times New Roman"/>
          <w:kern w:val="2"/>
          <w:sz w:val="24"/>
          <w:szCs w:val="24"/>
          <w:lang w:eastAsia="zh-CN" w:bidi="hi-IN"/>
        </w:rPr>
        <w:t>vol</w:t>
      </w:r>
      <w:proofErr w:type="spellEnd"/>
      <w:r w:rsidRPr="0014151A">
        <w:rPr>
          <w:rFonts w:ascii="Times New Roman" w:eastAsia="Times New Roman" w:hAnsi="Times New Roman" w:cs="Times New Roman"/>
          <w:kern w:val="2"/>
          <w:sz w:val="24"/>
          <w:szCs w:val="24"/>
          <w:lang w:eastAsia="zh-CN" w:bidi="hi-IN"/>
        </w:rPr>
        <w:t xml:space="preserve">. 55, 13 </w:t>
      </w:r>
      <w:proofErr w:type="spellStart"/>
      <w:r w:rsidRPr="0014151A">
        <w:rPr>
          <w:rFonts w:ascii="Times New Roman" w:eastAsia="Times New Roman" w:hAnsi="Times New Roman" w:cs="Times New Roman"/>
          <w:kern w:val="2"/>
          <w:sz w:val="24"/>
          <w:szCs w:val="24"/>
          <w:lang w:eastAsia="zh-CN" w:bidi="hi-IN"/>
        </w:rPr>
        <w:t>January</w:t>
      </w:r>
      <w:proofErr w:type="spellEnd"/>
      <w:r w:rsidRPr="0014151A">
        <w:rPr>
          <w:rFonts w:ascii="Times New Roman" w:eastAsia="Times New Roman" w:hAnsi="Times New Roman" w:cs="Times New Roman"/>
          <w:kern w:val="2"/>
          <w:sz w:val="24"/>
          <w:szCs w:val="24"/>
          <w:lang w:eastAsia="zh-CN" w:bidi="hi-IN"/>
        </w:rPr>
        <w:t xml:space="preserve"> 2012, </w:t>
      </w:r>
      <w:proofErr w:type="spellStart"/>
      <w:r w:rsidRPr="0014151A">
        <w:rPr>
          <w:rFonts w:ascii="Times New Roman" w:eastAsia="Times New Roman" w:hAnsi="Times New Roman" w:cs="Times New Roman"/>
          <w:kern w:val="2"/>
          <w:sz w:val="24"/>
          <w:szCs w:val="24"/>
          <w:lang w:eastAsia="zh-CN" w:bidi="hi-IN"/>
        </w:rPr>
        <w:t>pp</w:t>
      </w:r>
      <w:proofErr w:type="spellEnd"/>
      <w:r w:rsidRPr="0014151A">
        <w:rPr>
          <w:rFonts w:ascii="Times New Roman" w:eastAsia="Times New Roman" w:hAnsi="Times New Roman" w:cs="Times New Roman"/>
          <w:kern w:val="2"/>
          <w:sz w:val="24"/>
          <w:szCs w:val="24"/>
          <w:lang w:eastAsia="zh-CN" w:bidi="hi-IN"/>
        </w:rPr>
        <w:t>. 130 -338.</w:t>
      </w:r>
    </w:p>
    <w:p w14:paraId="5B8B207B" w14:textId="77777777" w:rsidR="00260499" w:rsidRPr="0014151A" w:rsidRDefault="00260499" w:rsidP="0014151A">
      <w:pPr>
        <w:numPr>
          <w:ilvl w:val="0"/>
          <w:numId w:val="31"/>
        </w:numPr>
        <w:spacing w:after="0" w:line="240" w:lineRule="auto"/>
        <w:ind w:left="924" w:hanging="357"/>
        <w:contextualSpacing/>
        <w:jc w:val="both"/>
        <w:rPr>
          <w:rFonts w:ascii="Times New Roman" w:eastAsia="Times New Roman" w:hAnsi="Times New Roman" w:cs="Times New Roman"/>
          <w:kern w:val="2"/>
          <w:sz w:val="24"/>
          <w:szCs w:val="24"/>
          <w:lang w:eastAsia="zh-CN" w:bidi="hi-IN"/>
        </w:rPr>
      </w:pPr>
      <w:proofErr w:type="spellStart"/>
      <w:r w:rsidRPr="0014151A">
        <w:rPr>
          <w:rFonts w:ascii="Times New Roman" w:eastAsia="Times New Roman" w:hAnsi="Times New Roman" w:cs="Times New Roman"/>
          <w:kern w:val="2"/>
          <w:sz w:val="24"/>
          <w:szCs w:val="24"/>
          <w:lang w:eastAsia="zh-CN" w:bidi="hi-IN"/>
        </w:rPr>
        <w:t>Fleishman</w:t>
      </w:r>
      <w:proofErr w:type="spellEnd"/>
      <w:r w:rsidRPr="0014151A">
        <w:rPr>
          <w:rFonts w:ascii="Times New Roman" w:eastAsia="Times New Roman" w:hAnsi="Times New Roman" w:cs="Times New Roman"/>
          <w:kern w:val="2"/>
          <w:sz w:val="24"/>
          <w:szCs w:val="24"/>
          <w:lang w:eastAsia="zh-CN" w:bidi="hi-IN"/>
        </w:rPr>
        <w:t xml:space="preserve"> E., </w:t>
      </w:r>
      <w:proofErr w:type="spellStart"/>
      <w:r w:rsidRPr="0014151A">
        <w:rPr>
          <w:rFonts w:ascii="Times New Roman" w:eastAsia="Times New Roman" w:hAnsi="Times New Roman" w:cs="Times New Roman"/>
          <w:kern w:val="2"/>
          <w:sz w:val="24"/>
          <w:szCs w:val="24"/>
          <w:lang w:eastAsia="zh-CN" w:bidi="hi-IN"/>
        </w:rPr>
        <w:t>Murphy</w:t>
      </w:r>
      <w:proofErr w:type="spellEnd"/>
      <w:r w:rsidRPr="0014151A">
        <w:rPr>
          <w:rFonts w:ascii="Times New Roman" w:eastAsia="Times New Roman" w:hAnsi="Times New Roman" w:cs="Times New Roman"/>
          <w:kern w:val="2"/>
          <w:sz w:val="24"/>
          <w:szCs w:val="24"/>
          <w:lang w:eastAsia="zh-CN" w:bidi="hi-IN"/>
        </w:rPr>
        <w:t xml:space="preserve"> D. D., </w:t>
      </w:r>
      <w:proofErr w:type="spellStart"/>
      <w:r w:rsidRPr="0014151A">
        <w:rPr>
          <w:rFonts w:ascii="Times New Roman" w:eastAsia="Times New Roman" w:hAnsi="Times New Roman" w:cs="Times New Roman"/>
          <w:kern w:val="2"/>
          <w:sz w:val="24"/>
          <w:szCs w:val="24"/>
          <w:lang w:eastAsia="zh-CN" w:bidi="hi-IN"/>
        </w:rPr>
        <w:t>Brussard</w:t>
      </w:r>
      <w:proofErr w:type="spellEnd"/>
      <w:r w:rsidRPr="0014151A">
        <w:rPr>
          <w:rFonts w:ascii="Times New Roman" w:eastAsia="Times New Roman" w:hAnsi="Times New Roman" w:cs="Times New Roman"/>
          <w:kern w:val="2"/>
          <w:sz w:val="24"/>
          <w:szCs w:val="24"/>
          <w:lang w:eastAsia="zh-CN" w:bidi="hi-IN"/>
        </w:rPr>
        <w:t xml:space="preserve"> P. F. 2000. A </w:t>
      </w:r>
      <w:proofErr w:type="spellStart"/>
      <w:r w:rsidRPr="0014151A">
        <w:rPr>
          <w:rFonts w:ascii="Times New Roman" w:eastAsia="Times New Roman" w:hAnsi="Times New Roman" w:cs="Times New Roman"/>
          <w:kern w:val="2"/>
          <w:sz w:val="24"/>
          <w:szCs w:val="24"/>
          <w:lang w:eastAsia="zh-CN" w:bidi="hi-IN"/>
        </w:rPr>
        <w:t>new</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method</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for</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selection</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of</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umbrella</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species</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for</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conservation</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planning</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Ecological</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Applications</w:t>
      </w:r>
      <w:proofErr w:type="spellEnd"/>
      <w:r w:rsidRPr="0014151A">
        <w:rPr>
          <w:rFonts w:ascii="Times New Roman" w:eastAsia="Times New Roman" w:hAnsi="Times New Roman" w:cs="Times New Roman"/>
          <w:kern w:val="2"/>
          <w:sz w:val="24"/>
          <w:szCs w:val="24"/>
          <w:lang w:eastAsia="zh-CN" w:bidi="hi-IN"/>
        </w:rPr>
        <w:t xml:space="preserve"> 10: 569 – 579.</w:t>
      </w:r>
    </w:p>
    <w:p w14:paraId="6A98E1CC" w14:textId="661FC7A4" w:rsidR="0086037E" w:rsidRPr="0014151A" w:rsidRDefault="0086037E" w:rsidP="0014151A">
      <w:pPr>
        <w:numPr>
          <w:ilvl w:val="0"/>
          <w:numId w:val="31"/>
        </w:numPr>
        <w:spacing w:after="0" w:line="240" w:lineRule="auto"/>
        <w:ind w:left="924" w:hanging="357"/>
        <w:contextualSpacing/>
        <w:jc w:val="both"/>
        <w:rPr>
          <w:rFonts w:ascii="Times New Roman" w:eastAsia="Times New Roman" w:hAnsi="Times New Roman" w:cs="Times New Roman"/>
          <w:kern w:val="2"/>
          <w:sz w:val="24"/>
          <w:szCs w:val="24"/>
          <w:lang w:eastAsia="zh-CN" w:bidi="hi-IN"/>
        </w:rPr>
      </w:pPr>
      <w:r w:rsidRPr="0014151A">
        <w:rPr>
          <w:rFonts w:ascii="Times New Roman" w:eastAsia="Times New Roman" w:hAnsi="Times New Roman" w:cs="Times New Roman"/>
          <w:kern w:val="2"/>
          <w:sz w:val="24"/>
          <w:szCs w:val="24"/>
          <w:lang w:eastAsia="zh-CN" w:bidi="hi-IN"/>
        </w:rPr>
        <w:t xml:space="preserve">Frolova O. 2017. Latvijā bīstamāko </w:t>
      </w:r>
      <w:proofErr w:type="spellStart"/>
      <w:r w:rsidRPr="0014151A">
        <w:rPr>
          <w:rFonts w:ascii="Times New Roman" w:eastAsia="Times New Roman" w:hAnsi="Times New Roman" w:cs="Times New Roman"/>
          <w:kern w:val="2"/>
          <w:sz w:val="24"/>
          <w:szCs w:val="24"/>
          <w:lang w:eastAsia="zh-CN" w:bidi="hi-IN"/>
        </w:rPr>
        <w:t>invazīvo</w:t>
      </w:r>
      <w:proofErr w:type="spellEnd"/>
      <w:r w:rsidRPr="0014151A">
        <w:rPr>
          <w:rFonts w:ascii="Times New Roman" w:eastAsia="Times New Roman" w:hAnsi="Times New Roman" w:cs="Times New Roman"/>
          <w:kern w:val="2"/>
          <w:sz w:val="24"/>
          <w:szCs w:val="24"/>
          <w:lang w:eastAsia="zh-CN" w:bidi="hi-IN"/>
        </w:rPr>
        <w:t xml:space="preserve"> lakstaugu sugu inventarizācija Dabas parkā</w:t>
      </w:r>
      <w:r w:rsidR="006845B0" w:rsidRPr="0014151A">
        <w:t xml:space="preserve"> </w:t>
      </w:r>
      <w:r w:rsidR="006845B0" w:rsidRPr="0014151A">
        <w:rPr>
          <w:rFonts w:ascii="Times New Roman" w:eastAsia="Times New Roman" w:hAnsi="Times New Roman" w:cs="Times New Roman"/>
          <w:kern w:val="2"/>
          <w:sz w:val="24"/>
          <w:szCs w:val="24"/>
          <w:lang w:eastAsia="zh-CN" w:bidi="hi-IN"/>
        </w:rPr>
        <w:t>“Daugavas loki”, Daugavpils, 60 lpp.</w:t>
      </w:r>
    </w:p>
    <w:p w14:paraId="036A0260" w14:textId="4AE2B1B7" w:rsidR="00260499" w:rsidRPr="0014151A" w:rsidRDefault="00260499" w:rsidP="0014151A">
      <w:pPr>
        <w:numPr>
          <w:ilvl w:val="0"/>
          <w:numId w:val="31"/>
        </w:numPr>
        <w:spacing w:after="0" w:line="240" w:lineRule="auto"/>
        <w:ind w:left="924" w:hanging="357"/>
        <w:jc w:val="both"/>
        <w:rPr>
          <w:rFonts w:ascii="Times New Roman" w:eastAsia="Times New Roman" w:hAnsi="Times New Roman" w:cs="Times New Roman"/>
          <w:kern w:val="2"/>
          <w:sz w:val="24"/>
          <w:szCs w:val="24"/>
          <w:lang w:eastAsia="zh-CN" w:bidi="hi-IN"/>
        </w:rPr>
      </w:pPr>
      <w:proofErr w:type="spellStart"/>
      <w:r w:rsidRPr="0014151A">
        <w:rPr>
          <w:rFonts w:ascii="Times New Roman" w:eastAsia="Times New Roman" w:hAnsi="Times New Roman" w:cs="Times New Roman"/>
          <w:color w:val="000000"/>
          <w:kern w:val="2"/>
          <w:sz w:val="24"/>
          <w:szCs w:val="24"/>
          <w:lang w:eastAsia="ja-JP" w:bidi="hi-IN"/>
        </w:rPr>
        <w:t>Galenieks</w:t>
      </w:r>
      <w:proofErr w:type="spellEnd"/>
      <w:r w:rsidRPr="0014151A">
        <w:rPr>
          <w:rFonts w:ascii="Times New Roman" w:eastAsia="Times New Roman" w:hAnsi="Times New Roman" w:cs="Times New Roman"/>
          <w:color w:val="000000"/>
          <w:kern w:val="2"/>
          <w:sz w:val="24"/>
          <w:szCs w:val="24"/>
          <w:lang w:eastAsia="ja-JP" w:bidi="hi-IN"/>
        </w:rPr>
        <w:t xml:space="preserve"> P. 1926. </w:t>
      </w:r>
      <w:proofErr w:type="spellStart"/>
      <w:r w:rsidRPr="0014151A">
        <w:rPr>
          <w:rFonts w:ascii="Times New Roman" w:eastAsia="Times New Roman" w:hAnsi="Times New Roman" w:cs="Times New Roman"/>
          <w:color w:val="000000"/>
          <w:kern w:val="2"/>
          <w:sz w:val="24"/>
          <w:szCs w:val="24"/>
          <w:lang w:eastAsia="ja-JP" w:bidi="hi-IN"/>
        </w:rPr>
        <w:t>The</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Interglacial</w:t>
      </w:r>
      <w:proofErr w:type="spellEnd"/>
      <w:r w:rsidRPr="0014151A">
        <w:rPr>
          <w:rFonts w:ascii="Times New Roman" w:eastAsia="Times New Roman" w:hAnsi="Times New Roman" w:cs="Times New Roman"/>
          <w:color w:val="000000"/>
          <w:kern w:val="2"/>
          <w:sz w:val="24"/>
          <w:szCs w:val="24"/>
          <w:lang w:eastAsia="ja-JP" w:bidi="hi-IN"/>
        </w:rPr>
        <w:t xml:space="preserve"> Flora </w:t>
      </w:r>
      <w:proofErr w:type="spellStart"/>
      <w:r w:rsidRPr="0014151A">
        <w:rPr>
          <w:rFonts w:ascii="Times New Roman" w:eastAsia="Times New Roman" w:hAnsi="Times New Roman" w:cs="Times New Roman"/>
          <w:color w:val="000000"/>
          <w:kern w:val="2"/>
          <w:sz w:val="24"/>
          <w:szCs w:val="24"/>
          <w:lang w:eastAsia="ja-JP" w:bidi="hi-IN"/>
        </w:rPr>
        <w:t>of</w:t>
      </w:r>
      <w:proofErr w:type="spellEnd"/>
      <w:r w:rsidRPr="0014151A">
        <w:rPr>
          <w:rFonts w:ascii="Times New Roman" w:eastAsia="Times New Roman" w:hAnsi="Times New Roman" w:cs="Times New Roman"/>
          <w:color w:val="000000"/>
          <w:kern w:val="2"/>
          <w:sz w:val="24"/>
          <w:szCs w:val="24"/>
          <w:lang w:eastAsia="ja-JP" w:bidi="hi-IN"/>
        </w:rPr>
        <w:t xml:space="preserve"> Krāslava. </w:t>
      </w:r>
      <w:proofErr w:type="spellStart"/>
      <w:r w:rsidRPr="0014151A">
        <w:rPr>
          <w:rFonts w:ascii="Times New Roman" w:eastAsia="Times New Roman" w:hAnsi="Times New Roman" w:cs="Times New Roman"/>
          <w:i/>
          <w:iCs/>
          <w:color w:val="000000"/>
          <w:kern w:val="2"/>
          <w:sz w:val="24"/>
          <w:szCs w:val="24"/>
          <w:lang w:eastAsia="ja-JP" w:bidi="hi-IN"/>
        </w:rPr>
        <w:t>Acta</w:t>
      </w:r>
      <w:proofErr w:type="spellEnd"/>
      <w:r w:rsidRPr="0014151A">
        <w:rPr>
          <w:rFonts w:ascii="Times New Roman" w:eastAsia="Times New Roman" w:hAnsi="Times New Roman" w:cs="Times New Roman"/>
          <w:i/>
          <w:iCs/>
          <w:color w:val="000000"/>
          <w:kern w:val="2"/>
          <w:sz w:val="24"/>
          <w:szCs w:val="24"/>
          <w:lang w:eastAsia="ja-JP" w:bidi="hi-IN"/>
        </w:rPr>
        <w:t xml:space="preserve"> </w:t>
      </w:r>
      <w:proofErr w:type="spellStart"/>
      <w:r w:rsidRPr="0014151A">
        <w:rPr>
          <w:rFonts w:ascii="Times New Roman" w:eastAsia="Times New Roman" w:hAnsi="Times New Roman" w:cs="Times New Roman"/>
          <w:i/>
          <w:iCs/>
          <w:color w:val="000000"/>
          <w:kern w:val="2"/>
          <w:sz w:val="24"/>
          <w:szCs w:val="24"/>
          <w:lang w:eastAsia="ja-JP" w:bidi="hi-IN"/>
        </w:rPr>
        <w:t>horti</w:t>
      </w:r>
      <w:proofErr w:type="spellEnd"/>
      <w:r w:rsidRPr="0014151A">
        <w:rPr>
          <w:rFonts w:ascii="Times New Roman" w:eastAsia="Times New Roman" w:hAnsi="Times New Roman" w:cs="Times New Roman"/>
          <w:i/>
          <w:iCs/>
          <w:color w:val="000000"/>
          <w:kern w:val="2"/>
          <w:sz w:val="24"/>
          <w:szCs w:val="24"/>
          <w:lang w:eastAsia="ja-JP" w:bidi="hi-IN"/>
        </w:rPr>
        <w:t xml:space="preserve"> </w:t>
      </w:r>
      <w:proofErr w:type="spellStart"/>
      <w:r w:rsidRPr="0014151A">
        <w:rPr>
          <w:rFonts w:ascii="Times New Roman" w:eastAsia="Times New Roman" w:hAnsi="Times New Roman" w:cs="Times New Roman"/>
          <w:i/>
          <w:iCs/>
          <w:color w:val="000000"/>
          <w:kern w:val="2"/>
          <w:sz w:val="24"/>
          <w:szCs w:val="24"/>
          <w:lang w:eastAsia="ja-JP" w:bidi="hi-IN"/>
        </w:rPr>
        <w:t>botanici</w:t>
      </w:r>
      <w:proofErr w:type="spellEnd"/>
      <w:r w:rsidRPr="0014151A">
        <w:rPr>
          <w:rFonts w:ascii="Times New Roman" w:eastAsia="Times New Roman" w:hAnsi="Times New Roman" w:cs="Times New Roman"/>
          <w:i/>
          <w:iCs/>
          <w:color w:val="000000"/>
          <w:kern w:val="2"/>
          <w:sz w:val="24"/>
          <w:szCs w:val="24"/>
          <w:lang w:eastAsia="ja-JP" w:bidi="hi-IN"/>
        </w:rPr>
        <w:t xml:space="preserve"> </w:t>
      </w:r>
      <w:proofErr w:type="spellStart"/>
      <w:r w:rsidRPr="0014151A">
        <w:rPr>
          <w:rFonts w:ascii="Times New Roman" w:eastAsia="Times New Roman" w:hAnsi="Times New Roman" w:cs="Times New Roman"/>
          <w:i/>
          <w:iCs/>
          <w:color w:val="000000"/>
          <w:kern w:val="2"/>
          <w:sz w:val="24"/>
          <w:szCs w:val="24"/>
          <w:lang w:eastAsia="ja-JP" w:bidi="hi-IN"/>
        </w:rPr>
        <w:t>Universitas</w:t>
      </w:r>
      <w:proofErr w:type="spellEnd"/>
      <w:r w:rsidRPr="0014151A">
        <w:rPr>
          <w:rFonts w:ascii="Times New Roman" w:eastAsia="Times New Roman" w:hAnsi="Times New Roman" w:cs="Times New Roman"/>
          <w:i/>
          <w:iCs/>
          <w:color w:val="000000"/>
          <w:kern w:val="2"/>
          <w:sz w:val="24"/>
          <w:szCs w:val="24"/>
          <w:lang w:eastAsia="ja-JP" w:bidi="hi-IN"/>
        </w:rPr>
        <w:t xml:space="preserve"> </w:t>
      </w:r>
      <w:proofErr w:type="spellStart"/>
      <w:r w:rsidRPr="0014151A">
        <w:rPr>
          <w:rFonts w:ascii="Times New Roman" w:eastAsia="Times New Roman" w:hAnsi="Times New Roman" w:cs="Times New Roman"/>
          <w:i/>
          <w:iCs/>
          <w:color w:val="000000"/>
          <w:kern w:val="2"/>
          <w:sz w:val="24"/>
          <w:szCs w:val="24"/>
          <w:lang w:eastAsia="ja-JP" w:bidi="hi-IN"/>
        </w:rPr>
        <w:t>Latviensis</w:t>
      </w:r>
      <w:proofErr w:type="spellEnd"/>
      <w:r w:rsidRPr="0014151A">
        <w:rPr>
          <w:rFonts w:ascii="Times New Roman" w:eastAsia="Times New Roman" w:hAnsi="Times New Roman" w:cs="Times New Roman"/>
          <w:color w:val="000000"/>
          <w:kern w:val="2"/>
          <w:sz w:val="24"/>
          <w:szCs w:val="24"/>
          <w:lang w:eastAsia="ja-JP" w:bidi="hi-IN"/>
        </w:rPr>
        <w:t>, 1, 7-12.</w:t>
      </w:r>
    </w:p>
    <w:p w14:paraId="6B31C315" w14:textId="403A2778" w:rsidR="00392BE6" w:rsidRPr="0014151A" w:rsidRDefault="00392BE6" w:rsidP="0014151A">
      <w:pPr>
        <w:numPr>
          <w:ilvl w:val="0"/>
          <w:numId w:val="31"/>
        </w:numPr>
        <w:spacing w:after="0" w:line="240" w:lineRule="auto"/>
        <w:ind w:left="924" w:hanging="357"/>
        <w:jc w:val="both"/>
        <w:rPr>
          <w:rFonts w:ascii="Times New Roman" w:eastAsia="Times New Roman" w:hAnsi="Times New Roman" w:cs="Times New Roman"/>
          <w:kern w:val="2"/>
          <w:sz w:val="24"/>
          <w:szCs w:val="24"/>
          <w:lang w:eastAsia="zh-CN" w:bidi="hi-IN"/>
        </w:rPr>
      </w:pPr>
      <w:proofErr w:type="spellStart"/>
      <w:r w:rsidRPr="0014151A">
        <w:rPr>
          <w:rFonts w:ascii="Times New Roman" w:eastAsia="Times New Roman" w:hAnsi="Times New Roman" w:cs="Times New Roman"/>
          <w:kern w:val="2"/>
          <w:sz w:val="24"/>
          <w:szCs w:val="24"/>
          <w:lang w:eastAsia="zh-CN" w:bidi="hi-IN"/>
        </w:rPr>
        <w:t>Gorman</w:t>
      </w:r>
      <w:proofErr w:type="spellEnd"/>
      <w:r w:rsidRPr="0014151A">
        <w:rPr>
          <w:rFonts w:ascii="Times New Roman" w:eastAsia="Times New Roman" w:hAnsi="Times New Roman" w:cs="Times New Roman"/>
          <w:kern w:val="2"/>
          <w:sz w:val="24"/>
          <w:szCs w:val="24"/>
          <w:lang w:eastAsia="zh-CN" w:bidi="hi-IN"/>
        </w:rPr>
        <w:t xml:space="preserve"> G. 2011. </w:t>
      </w:r>
      <w:proofErr w:type="spellStart"/>
      <w:r w:rsidRPr="0014151A">
        <w:rPr>
          <w:rFonts w:ascii="Times New Roman" w:eastAsia="Times New Roman" w:hAnsi="Times New Roman" w:cs="Times New Roman"/>
          <w:kern w:val="2"/>
          <w:sz w:val="24"/>
          <w:szCs w:val="24"/>
          <w:lang w:eastAsia="zh-CN" w:bidi="hi-IN"/>
        </w:rPr>
        <w:t>The</w:t>
      </w:r>
      <w:proofErr w:type="spellEnd"/>
      <w:r w:rsidRPr="0014151A">
        <w:rPr>
          <w:rFonts w:ascii="Times New Roman" w:eastAsia="Times New Roman" w:hAnsi="Times New Roman" w:cs="Times New Roman"/>
          <w:kern w:val="2"/>
          <w:sz w:val="24"/>
          <w:szCs w:val="24"/>
          <w:lang w:eastAsia="zh-CN" w:bidi="hi-IN"/>
        </w:rPr>
        <w:t xml:space="preserve"> Black </w:t>
      </w:r>
      <w:proofErr w:type="spellStart"/>
      <w:r w:rsidRPr="0014151A">
        <w:rPr>
          <w:rFonts w:ascii="Times New Roman" w:eastAsia="Times New Roman" w:hAnsi="Times New Roman" w:cs="Times New Roman"/>
          <w:kern w:val="2"/>
          <w:sz w:val="24"/>
          <w:szCs w:val="24"/>
          <w:lang w:eastAsia="zh-CN" w:bidi="hi-IN"/>
        </w:rPr>
        <w:t>Woodpecker</w:t>
      </w:r>
      <w:proofErr w:type="spellEnd"/>
      <w:r w:rsidRPr="0014151A">
        <w:rPr>
          <w:rFonts w:ascii="Times New Roman" w:eastAsia="Times New Roman" w:hAnsi="Times New Roman" w:cs="Times New Roman"/>
          <w:kern w:val="2"/>
          <w:sz w:val="24"/>
          <w:szCs w:val="24"/>
          <w:lang w:eastAsia="zh-CN" w:bidi="hi-IN"/>
        </w:rPr>
        <w:t xml:space="preserve">. A </w:t>
      </w:r>
      <w:proofErr w:type="spellStart"/>
      <w:r w:rsidRPr="0014151A">
        <w:rPr>
          <w:rFonts w:ascii="Times New Roman" w:eastAsia="Times New Roman" w:hAnsi="Times New Roman" w:cs="Times New Roman"/>
          <w:kern w:val="2"/>
          <w:sz w:val="24"/>
          <w:szCs w:val="24"/>
          <w:lang w:eastAsia="zh-CN" w:bidi="hi-IN"/>
        </w:rPr>
        <w:t>monograph</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on</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i/>
          <w:iCs/>
          <w:kern w:val="2"/>
          <w:sz w:val="24"/>
          <w:szCs w:val="24"/>
          <w:lang w:eastAsia="zh-CN" w:bidi="hi-IN"/>
        </w:rPr>
        <w:t>Drycopus</w:t>
      </w:r>
      <w:proofErr w:type="spellEnd"/>
      <w:r w:rsidRPr="0014151A">
        <w:rPr>
          <w:rFonts w:ascii="Times New Roman" w:eastAsia="Times New Roman" w:hAnsi="Times New Roman" w:cs="Times New Roman"/>
          <w:i/>
          <w:iCs/>
          <w:kern w:val="2"/>
          <w:sz w:val="24"/>
          <w:szCs w:val="24"/>
          <w:lang w:eastAsia="zh-CN" w:bidi="hi-IN"/>
        </w:rPr>
        <w:t xml:space="preserve"> </w:t>
      </w:r>
      <w:proofErr w:type="spellStart"/>
      <w:r w:rsidRPr="0014151A">
        <w:rPr>
          <w:rFonts w:ascii="Times New Roman" w:eastAsia="Times New Roman" w:hAnsi="Times New Roman" w:cs="Times New Roman"/>
          <w:i/>
          <w:iCs/>
          <w:kern w:val="2"/>
          <w:sz w:val="24"/>
          <w:szCs w:val="24"/>
          <w:lang w:eastAsia="zh-CN" w:bidi="hi-IN"/>
        </w:rPr>
        <w:t>martius</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Lynx</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editions</w:t>
      </w:r>
      <w:proofErr w:type="spellEnd"/>
      <w:r w:rsidRPr="0014151A">
        <w:rPr>
          <w:rFonts w:ascii="Times New Roman" w:eastAsia="Times New Roman" w:hAnsi="Times New Roman" w:cs="Times New Roman"/>
          <w:kern w:val="2"/>
          <w:sz w:val="24"/>
          <w:szCs w:val="24"/>
          <w:lang w:eastAsia="zh-CN" w:bidi="hi-IN"/>
        </w:rPr>
        <w:t>.</w:t>
      </w:r>
      <w:r w:rsidRPr="0014151A">
        <w:rPr>
          <w:rFonts w:ascii="TimesNewRoman" w:hAnsi="TimesNewRoman" w:cs="TimesNewRoman"/>
          <w:sz w:val="24"/>
          <w:szCs w:val="24"/>
        </w:rPr>
        <w:t xml:space="preserve"> </w:t>
      </w:r>
      <w:r w:rsidRPr="0014151A">
        <w:rPr>
          <w:rFonts w:ascii="Times New Roman" w:eastAsia="Times New Roman" w:hAnsi="Times New Roman" w:cs="Times New Roman"/>
          <w:kern w:val="2"/>
          <w:sz w:val="24"/>
          <w:szCs w:val="24"/>
          <w:lang w:eastAsia="zh-CN" w:bidi="hi-IN"/>
        </w:rPr>
        <w:t>184 lpp.</w:t>
      </w:r>
    </w:p>
    <w:p w14:paraId="34CDF526" w14:textId="27503780" w:rsidR="00260499" w:rsidRPr="0014151A" w:rsidRDefault="00260499" w:rsidP="0014151A">
      <w:pPr>
        <w:numPr>
          <w:ilvl w:val="0"/>
          <w:numId w:val="31"/>
        </w:numPr>
        <w:spacing w:after="0" w:line="240" w:lineRule="auto"/>
        <w:ind w:left="924" w:hanging="357"/>
        <w:jc w:val="both"/>
        <w:rPr>
          <w:rFonts w:ascii="Times New Roman" w:eastAsia="Times New Roman" w:hAnsi="Times New Roman" w:cs="Times New Roman"/>
          <w:kern w:val="2"/>
          <w:sz w:val="24"/>
          <w:szCs w:val="24"/>
          <w:lang w:eastAsia="zh-CN" w:bidi="hi-IN"/>
        </w:rPr>
      </w:pPr>
      <w:proofErr w:type="spellStart"/>
      <w:r w:rsidRPr="0014151A">
        <w:rPr>
          <w:rFonts w:ascii="Times New Roman" w:eastAsia="Times New Roman" w:hAnsi="Times New Roman" w:cs="Times New Roman"/>
          <w:color w:val="000000"/>
          <w:kern w:val="2"/>
          <w:sz w:val="24"/>
          <w:szCs w:val="24"/>
          <w:lang w:eastAsia="ja-JP" w:bidi="hi-IN"/>
        </w:rPr>
        <w:t>Gruberts</w:t>
      </w:r>
      <w:proofErr w:type="spellEnd"/>
      <w:r w:rsidRPr="0014151A">
        <w:rPr>
          <w:rFonts w:ascii="Times New Roman" w:eastAsia="Times New Roman" w:hAnsi="Times New Roman" w:cs="Times New Roman"/>
          <w:color w:val="000000"/>
          <w:kern w:val="2"/>
          <w:sz w:val="24"/>
          <w:szCs w:val="24"/>
          <w:lang w:eastAsia="ja-JP" w:bidi="hi-IN"/>
        </w:rPr>
        <w:t xml:space="preserve"> D. 2006</w:t>
      </w:r>
      <w:r w:rsidR="001476B7" w:rsidRPr="0014151A">
        <w:rPr>
          <w:rFonts w:ascii="Times New Roman" w:eastAsia="Times New Roman" w:hAnsi="Times New Roman" w:cs="Times New Roman"/>
          <w:color w:val="000000"/>
          <w:kern w:val="2"/>
          <w:sz w:val="24"/>
          <w:szCs w:val="24"/>
          <w:lang w:eastAsia="ja-JP" w:bidi="hi-IN"/>
        </w:rPr>
        <w:t>.</w:t>
      </w:r>
      <w:r w:rsidRPr="0014151A">
        <w:rPr>
          <w:rFonts w:ascii="Times New Roman" w:eastAsia="Times New Roman" w:hAnsi="Times New Roman" w:cs="Times New Roman"/>
          <w:color w:val="000000"/>
          <w:kern w:val="2"/>
          <w:sz w:val="24"/>
          <w:szCs w:val="24"/>
          <w:lang w:eastAsia="ja-JP" w:bidi="hi-IN"/>
        </w:rPr>
        <w:t xml:space="preserve"> Palu pulsa koncepcija Daugavas vidusteces palieņu ezeru ekoloģijā. Promocijas darbs. Daugavpils, 1-152.</w:t>
      </w:r>
    </w:p>
    <w:p w14:paraId="5C427843" w14:textId="0310C45C" w:rsidR="00260499" w:rsidRPr="0014151A" w:rsidRDefault="00260499" w:rsidP="0014151A">
      <w:pPr>
        <w:numPr>
          <w:ilvl w:val="0"/>
          <w:numId w:val="31"/>
        </w:numPr>
        <w:spacing w:after="0" w:line="240" w:lineRule="auto"/>
        <w:ind w:left="924" w:hanging="357"/>
        <w:jc w:val="both"/>
        <w:rPr>
          <w:rFonts w:ascii="Times New Roman" w:eastAsia="Times New Roman" w:hAnsi="Times New Roman" w:cs="Times New Roman"/>
          <w:kern w:val="2"/>
          <w:sz w:val="24"/>
          <w:szCs w:val="24"/>
          <w:lang w:eastAsia="zh-CN" w:bidi="hi-IN"/>
        </w:rPr>
      </w:pPr>
      <w:proofErr w:type="spellStart"/>
      <w:r w:rsidRPr="0014151A">
        <w:rPr>
          <w:rFonts w:ascii="Times New Roman" w:eastAsia="Times New Roman" w:hAnsi="Times New Roman" w:cs="Times New Roman"/>
          <w:color w:val="000000"/>
          <w:kern w:val="2"/>
          <w:sz w:val="24"/>
          <w:szCs w:val="24"/>
          <w:lang w:eastAsia="ja-JP" w:bidi="hi-IN"/>
        </w:rPr>
        <w:t>Gruberts</w:t>
      </w:r>
      <w:proofErr w:type="spellEnd"/>
      <w:r w:rsidRPr="0014151A">
        <w:rPr>
          <w:rFonts w:ascii="Times New Roman" w:eastAsia="Times New Roman" w:hAnsi="Times New Roman" w:cs="Times New Roman"/>
          <w:color w:val="000000"/>
          <w:kern w:val="2"/>
          <w:sz w:val="24"/>
          <w:szCs w:val="24"/>
          <w:lang w:eastAsia="ja-JP" w:bidi="hi-IN"/>
        </w:rPr>
        <w:t xml:space="preserve"> D. 2008</w:t>
      </w:r>
      <w:r w:rsidR="001476B7" w:rsidRPr="0014151A">
        <w:rPr>
          <w:rFonts w:ascii="Times New Roman" w:eastAsia="Times New Roman" w:hAnsi="Times New Roman" w:cs="Times New Roman"/>
          <w:color w:val="000000"/>
          <w:kern w:val="2"/>
          <w:sz w:val="24"/>
          <w:szCs w:val="24"/>
          <w:lang w:eastAsia="ja-JP" w:bidi="hi-IN"/>
        </w:rPr>
        <w:t>.</w:t>
      </w:r>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The</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role</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of</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floods</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in</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the</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ecology</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of</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phytoplankton</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communities</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of</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the</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Middle</w:t>
      </w:r>
      <w:proofErr w:type="spellEnd"/>
      <w:r w:rsidRPr="0014151A">
        <w:rPr>
          <w:rFonts w:ascii="Times New Roman" w:eastAsia="Times New Roman" w:hAnsi="Times New Roman" w:cs="Times New Roman"/>
          <w:color w:val="000000"/>
          <w:kern w:val="2"/>
          <w:sz w:val="24"/>
          <w:szCs w:val="24"/>
          <w:lang w:eastAsia="ja-JP" w:bidi="hi-IN"/>
        </w:rPr>
        <w:t xml:space="preserve"> Daugava. </w:t>
      </w:r>
      <w:proofErr w:type="spellStart"/>
      <w:r w:rsidRPr="0014151A">
        <w:rPr>
          <w:rFonts w:ascii="Times New Roman" w:eastAsia="Times New Roman" w:hAnsi="Times New Roman" w:cs="Times New Roman"/>
          <w:color w:val="000000"/>
          <w:kern w:val="2"/>
          <w:sz w:val="24"/>
          <w:szCs w:val="24"/>
          <w:lang w:eastAsia="ja-JP" w:bidi="hi-IN"/>
        </w:rPr>
        <w:t>Archiv</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für</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Hydrobiologie</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in</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press</w:t>
      </w:r>
      <w:proofErr w:type="spellEnd"/>
      <w:r w:rsidRPr="0014151A">
        <w:rPr>
          <w:rFonts w:ascii="Times New Roman" w:eastAsia="Times New Roman" w:hAnsi="Times New Roman" w:cs="Times New Roman"/>
          <w:color w:val="000000"/>
          <w:kern w:val="2"/>
          <w:sz w:val="24"/>
          <w:szCs w:val="24"/>
          <w:lang w:eastAsia="ja-JP" w:bidi="hi-IN"/>
        </w:rPr>
        <w:t>.</w:t>
      </w:r>
    </w:p>
    <w:p w14:paraId="7D0C8AC9" w14:textId="085E4F87" w:rsidR="00260499" w:rsidRPr="0014151A" w:rsidRDefault="00260499" w:rsidP="0014151A">
      <w:pPr>
        <w:numPr>
          <w:ilvl w:val="0"/>
          <w:numId w:val="31"/>
        </w:numPr>
        <w:spacing w:after="0" w:line="240" w:lineRule="auto"/>
        <w:ind w:left="924" w:hanging="357"/>
        <w:jc w:val="both"/>
        <w:rPr>
          <w:rFonts w:ascii="Times New Roman" w:eastAsia="Times New Roman" w:hAnsi="Times New Roman" w:cs="Times New Roman"/>
          <w:kern w:val="2"/>
          <w:sz w:val="24"/>
          <w:szCs w:val="24"/>
          <w:lang w:eastAsia="zh-CN" w:bidi="hi-IN"/>
        </w:rPr>
      </w:pPr>
      <w:proofErr w:type="spellStart"/>
      <w:r w:rsidRPr="0014151A">
        <w:rPr>
          <w:rFonts w:ascii="Times New Roman" w:eastAsia="Times New Roman" w:hAnsi="Times New Roman" w:cs="Times New Roman"/>
          <w:color w:val="000000"/>
          <w:kern w:val="2"/>
          <w:sz w:val="24"/>
          <w:szCs w:val="24"/>
          <w:lang w:eastAsia="ja-JP" w:bidi="hi-IN"/>
        </w:rPr>
        <w:t>Gruberts</w:t>
      </w:r>
      <w:proofErr w:type="spellEnd"/>
      <w:r w:rsidRPr="0014151A">
        <w:rPr>
          <w:rFonts w:ascii="Times New Roman" w:eastAsia="Times New Roman" w:hAnsi="Times New Roman" w:cs="Times New Roman"/>
          <w:color w:val="000000"/>
          <w:kern w:val="2"/>
          <w:sz w:val="24"/>
          <w:szCs w:val="24"/>
          <w:lang w:eastAsia="ja-JP" w:bidi="hi-IN"/>
        </w:rPr>
        <w:t xml:space="preserve"> D. Druvietis I. 2006</w:t>
      </w:r>
      <w:r w:rsidR="001476B7" w:rsidRPr="0014151A">
        <w:rPr>
          <w:rFonts w:ascii="Times New Roman" w:eastAsia="Times New Roman" w:hAnsi="Times New Roman" w:cs="Times New Roman"/>
          <w:color w:val="000000"/>
          <w:kern w:val="2"/>
          <w:sz w:val="24"/>
          <w:szCs w:val="24"/>
          <w:lang w:eastAsia="ja-JP" w:bidi="hi-IN"/>
        </w:rPr>
        <w:t>.</w:t>
      </w:r>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Impact</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of</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floods</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on</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composition</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biomass</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and</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diversity</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of</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phytoplankton</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communities</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of</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the</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Middle</w:t>
      </w:r>
      <w:proofErr w:type="spellEnd"/>
      <w:r w:rsidRPr="0014151A">
        <w:rPr>
          <w:rFonts w:ascii="Times New Roman" w:eastAsia="Times New Roman" w:hAnsi="Times New Roman" w:cs="Times New Roman"/>
          <w:color w:val="000000"/>
          <w:kern w:val="2"/>
          <w:sz w:val="24"/>
          <w:szCs w:val="24"/>
          <w:lang w:eastAsia="ja-JP" w:bidi="hi-IN"/>
        </w:rPr>
        <w:t xml:space="preserve"> Daugava, </w:t>
      </w:r>
      <w:proofErr w:type="spellStart"/>
      <w:r w:rsidRPr="0014151A">
        <w:rPr>
          <w:rFonts w:ascii="Times New Roman" w:eastAsia="Times New Roman" w:hAnsi="Times New Roman" w:cs="Times New Roman"/>
          <w:color w:val="000000"/>
          <w:kern w:val="2"/>
          <w:sz w:val="24"/>
          <w:szCs w:val="24"/>
          <w:lang w:eastAsia="ja-JP" w:bidi="hi-IN"/>
        </w:rPr>
        <w:t>in</w:t>
      </w:r>
      <w:proofErr w:type="spellEnd"/>
      <w:r w:rsidRPr="0014151A">
        <w:rPr>
          <w:rFonts w:ascii="Times New Roman" w:eastAsia="Times New Roman" w:hAnsi="Times New Roman" w:cs="Times New Roman"/>
          <w:color w:val="000000"/>
          <w:kern w:val="2"/>
          <w:sz w:val="24"/>
          <w:szCs w:val="24"/>
          <w:lang w:eastAsia="ja-JP" w:bidi="hi-IN"/>
        </w:rPr>
        <w:t xml:space="preserve"> Latvia. </w:t>
      </w:r>
      <w:proofErr w:type="spellStart"/>
      <w:r w:rsidRPr="0014151A">
        <w:rPr>
          <w:rFonts w:ascii="Times New Roman" w:eastAsia="Times New Roman" w:hAnsi="Times New Roman" w:cs="Times New Roman"/>
          <w:color w:val="000000"/>
          <w:kern w:val="2"/>
          <w:sz w:val="24"/>
          <w:szCs w:val="24"/>
          <w:lang w:eastAsia="ja-JP" w:bidi="hi-IN"/>
        </w:rPr>
        <w:t>In</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Ács</w:t>
      </w:r>
      <w:proofErr w:type="spellEnd"/>
      <w:r w:rsidRPr="0014151A">
        <w:rPr>
          <w:rFonts w:ascii="Times New Roman" w:eastAsia="Times New Roman" w:hAnsi="Times New Roman" w:cs="Times New Roman"/>
          <w:color w:val="000000"/>
          <w:kern w:val="2"/>
          <w:sz w:val="24"/>
          <w:szCs w:val="24"/>
          <w:lang w:eastAsia="ja-JP" w:bidi="hi-IN"/>
        </w:rPr>
        <w:t xml:space="preserve"> E., </w:t>
      </w:r>
      <w:proofErr w:type="spellStart"/>
      <w:r w:rsidRPr="0014151A">
        <w:rPr>
          <w:rFonts w:ascii="Times New Roman" w:eastAsia="Times New Roman" w:hAnsi="Times New Roman" w:cs="Times New Roman"/>
          <w:color w:val="000000"/>
          <w:kern w:val="2"/>
          <w:sz w:val="24"/>
          <w:szCs w:val="24"/>
          <w:lang w:eastAsia="ja-JP" w:bidi="hi-IN"/>
        </w:rPr>
        <w:t>Kiss</w:t>
      </w:r>
      <w:proofErr w:type="spellEnd"/>
      <w:r w:rsidRPr="0014151A">
        <w:rPr>
          <w:rFonts w:ascii="Times New Roman" w:eastAsia="Times New Roman" w:hAnsi="Times New Roman" w:cs="Times New Roman"/>
          <w:color w:val="000000"/>
          <w:kern w:val="2"/>
          <w:sz w:val="24"/>
          <w:szCs w:val="24"/>
          <w:lang w:eastAsia="ja-JP" w:bidi="hi-IN"/>
        </w:rPr>
        <w:t xml:space="preserve"> K. T., </w:t>
      </w:r>
      <w:proofErr w:type="spellStart"/>
      <w:r w:rsidRPr="0014151A">
        <w:rPr>
          <w:rFonts w:ascii="Times New Roman" w:eastAsia="Times New Roman" w:hAnsi="Times New Roman" w:cs="Times New Roman"/>
          <w:color w:val="000000"/>
          <w:kern w:val="2"/>
          <w:sz w:val="24"/>
          <w:szCs w:val="24"/>
          <w:lang w:eastAsia="ja-JP" w:bidi="hi-IN"/>
        </w:rPr>
        <w:t>Padisak</w:t>
      </w:r>
      <w:proofErr w:type="spellEnd"/>
      <w:r w:rsidRPr="0014151A">
        <w:rPr>
          <w:rFonts w:ascii="Times New Roman" w:eastAsia="Times New Roman" w:hAnsi="Times New Roman" w:cs="Times New Roman"/>
          <w:color w:val="000000"/>
          <w:kern w:val="2"/>
          <w:sz w:val="24"/>
          <w:szCs w:val="24"/>
          <w:lang w:eastAsia="ja-JP" w:bidi="hi-IN"/>
        </w:rPr>
        <w:t xml:space="preserve"> J., </w:t>
      </w:r>
      <w:proofErr w:type="spellStart"/>
      <w:r w:rsidRPr="0014151A">
        <w:rPr>
          <w:rFonts w:ascii="Times New Roman" w:eastAsia="Times New Roman" w:hAnsi="Times New Roman" w:cs="Times New Roman"/>
          <w:color w:val="000000"/>
          <w:kern w:val="2"/>
          <w:sz w:val="24"/>
          <w:szCs w:val="24"/>
          <w:lang w:eastAsia="ja-JP" w:bidi="hi-IN"/>
        </w:rPr>
        <w:t>Szabo</w:t>
      </w:r>
      <w:proofErr w:type="spellEnd"/>
      <w:r w:rsidRPr="0014151A">
        <w:rPr>
          <w:rFonts w:ascii="Times New Roman" w:eastAsia="Times New Roman" w:hAnsi="Times New Roman" w:cs="Times New Roman"/>
          <w:color w:val="000000"/>
          <w:kern w:val="2"/>
          <w:sz w:val="24"/>
          <w:szCs w:val="24"/>
          <w:lang w:eastAsia="ja-JP" w:bidi="hi-IN"/>
        </w:rPr>
        <w:t xml:space="preserve"> K. E. (</w:t>
      </w:r>
      <w:proofErr w:type="spellStart"/>
      <w:r w:rsidRPr="0014151A">
        <w:rPr>
          <w:rFonts w:ascii="Times New Roman" w:eastAsia="Times New Roman" w:hAnsi="Times New Roman" w:cs="Times New Roman"/>
          <w:color w:val="000000"/>
          <w:kern w:val="2"/>
          <w:sz w:val="24"/>
          <w:szCs w:val="24"/>
          <w:lang w:eastAsia="ja-JP" w:bidi="hi-IN"/>
        </w:rPr>
        <w:t>eds</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Proceedings</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of</w:t>
      </w:r>
      <w:proofErr w:type="spellEnd"/>
      <w:r w:rsidRPr="0014151A">
        <w:rPr>
          <w:rFonts w:ascii="Times New Roman" w:eastAsia="Times New Roman" w:hAnsi="Times New Roman" w:cs="Times New Roman"/>
          <w:color w:val="000000"/>
          <w:kern w:val="2"/>
          <w:sz w:val="24"/>
          <w:szCs w:val="24"/>
          <w:lang w:eastAsia="ja-JP" w:bidi="hi-IN"/>
        </w:rPr>
        <w:t xml:space="preserve"> 6th </w:t>
      </w:r>
      <w:proofErr w:type="spellStart"/>
      <w:r w:rsidRPr="0014151A">
        <w:rPr>
          <w:rFonts w:ascii="Times New Roman" w:eastAsia="Times New Roman" w:hAnsi="Times New Roman" w:cs="Times New Roman"/>
          <w:color w:val="000000"/>
          <w:kern w:val="2"/>
          <w:sz w:val="24"/>
          <w:szCs w:val="24"/>
          <w:lang w:eastAsia="ja-JP" w:bidi="hi-IN"/>
        </w:rPr>
        <w:t>International</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Symposium</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on</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Use</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of</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Algae</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for</w:t>
      </w:r>
      <w:proofErr w:type="spellEnd"/>
      <w:r w:rsidRPr="0014151A">
        <w:rPr>
          <w:rFonts w:ascii="Times New Roman" w:eastAsia="Times New Roman" w:hAnsi="Times New Roman" w:cs="Times New Roman"/>
          <w:color w:val="000000"/>
          <w:kern w:val="2"/>
          <w:sz w:val="24"/>
          <w:szCs w:val="24"/>
          <w:lang w:eastAsia="ja-JP" w:bidi="hi-IN"/>
        </w:rPr>
        <w:t xml:space="preserve"> Monitoring </w:t>
      </w:r>
      <w:proofErr w:type="spellStart"/>
      <w:r w:rsidRPr="0014151A">
        <w:rPr>
          <w:rFonts w:ascii="Times New Roman" w:eastAsia="Times New Roman" w:hAnsi="Times New Roman" w:cs="Times New Roman"/>
          <w:color w:val="000000"/>
          <w:kern w:val="2"/>
          <w:sz w:val="24"/>
          <w:szCs w:val="24"/>
          <w:lang w:eastAsia="ja-JP" w:bidi="hi-IN"/>
        </w:rPr>
        <w:t>Rivers</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Hungary</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Baltonfüred</w:t>
      </w:r>
      <w:proofErr w:type="spellEnd"/>
      <w:r w:rsidRPr="0014151A">
        <w:rPr>
          <w:rFonts w:ascii="Times New Roman" w:eastAsia="Times New Roman" w:hAnsi="Times New Roman" w:cs="Times New Roman"/>
          <w:color w:val="000000"/>
          <w:kern w:val="2"/>
          <w:sz w:val="24"/>
          <w:szCs w:val="24"/>
          <w:lang w:eastAsia="ja-JP" w:bidi="hi-IN"/>
        </w:rPr>
        <w:t>, 12-16 Sept. 2006. 54-59.</w:t>
      </w:r>
    </w:p>
    <w:p w14:paraId="6535492A" w14:textId="251D9F1F" w:rsidR="00260499" w:rsidRPr="0014151A" w:rsidRDefault="00260499" w:rsidP="0014151A">
      <w:pPr>
        <w:numPr>
          <w:ilvl w:val="0"/>
          <w:numId w:val="31"/>
        </w:numPr>
        <w:spacing w:after="0" w:line="240" w:lineRule="auto"/>
        <w:ind w:left="924" w:hanging="357"/>
        <w:jc w:val="both"/>
        <w:rPr>
          <w:rFonts w:ascii="Times New Roman" w:eastAsia="Times New Roman" w:hAnsi="Times New Roman" w:cs="Times New Roman"/>
          <w:kern w:val="2"/>
          <w:sz w:val="24"/>
          <w:szCs w:val="24"/>
          <w:lang w:eastAsia="zh-CN" w:bidi="hi-IN"/>
        </w:rPr>
      </w:pPr>
      <w:proofErr w:type="spellStart"/>
      <w:r w:rsidRPr="0014151A">
        <w:rPr>
          <w:rFonts w:ascii="Times New Roman" w:eastAsia="Times New Roman" w:hAnsi="Times New Roman" w:cs="Times New Roman"/>
          <w:color w:val="000000"/>
          <w:kern w:val="2"/>
          <w:sz w:val="24"/>
          <w:szCs w:val="24"/>
          <w:lang w:eastAsia="ja-JP" w:bidi="hi-IN"/>
        </w:rPr>
        <w:t>Gudžinskas</w:t>
      </w:r>
      <w:proofErr w:type="spellEnd"/>
      <w:r w:rsidRPr="0014151A">
        <w:rPr>
          <w:rFonts w:ascii="Times New Roman" w:eastAsia="Times New Roman" w:hAnsi="Times New Roman" w:cs="Times New Roman"/>
          <w:color w:val="000000"/>
          <w:kern w:val="2"/>
          <w:sz w:val="24"/>
          <w:szCs w:val="24"/>
          <w:lang w:eastAsia="ja-JP" w:bidi="hi-IN"/>
        </w:rPr>
        <w:t xml:space="preserve"> Z., Krampis, I., un Laiviņš, M. 2010. </w:t>
      </w:r>
      <w:proofErr w:type="spellStart"/>
      <w:r w:rsidRPr="0014151A">
        <w:rPr>
          <w:rFonts w:ascii="Times New Roman" w:eastAsia="Times New Roman" w:hAnsi="Times New Roman" w:cs="Times New Roman"/>
          <w:color w:val="000000"/>
          <w:kern w:val="2"/>
          <w:sz w:val="24"/>
          <w:szCs w:val="24"/>
          <w:lang w:eastAsia="ja-JP" w:bidi="hi-IN"/>
        </w:rPr>
        <w:t>Spread</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of</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Carex</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pilosa</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Scop</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in</w:t>
      </w:r>
      <w:proofErr w:type="spellEnd"/>
      <w:r w:rsidRPr="0014151A">
        <w:rPr>
          <w:rFonts w:ascii="Times New Roman" w:eastAsia="Times New Roman" w:hAnsi="Times New Roman" w:cs="Times New Roman"/>
          <w:color w:val="000000"/>
          <w:kern w:val="2"/>
          <w:sz w:val="24"/>
          <w:szCs w:val="24"/>
          <w:lang w:eastAsia="ja-JP" w:bidi="hi-IN"/>
        </w:rPr>
        <w:t xml:space="preserve"> Latvia </w:t>
      </w:r>
      <w:proofErr w:type="spellStart"/>
      <w:r w:rsidRPr="0014151A">
        <w:rPr>
          <w:rFonts w:ascii="Times New Roman" w:eastAsia="Times New Roman" w:hAnsi="Times New Roman" w:cs="Times New Roman"/>
          <w:color w:val="000000"/>
          <w:kern w:val="2"/>
          <w:sz w:val="24"/>
          <w:szCs w:val="24"/>
          <w:lang w:eastAsia="ja-JP" w:bidi="hi-IN"/>
        </w:rPr>
        <w:t>and</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Lithuania</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Carex</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pilasa</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Scop</w:t>
      </w:r>
      <w:proofErr w:type="spellEnd"/>
      <w:r w:rsidRPr="0014151A">
        <w:rPr>
          <w:rFonts w:ascii="Times New Roman" w:eastAsia="Times New Roman" w:hAnsi="Times New Roman" w:cs="Times New Roman"/>
          <w:color w:val="000000"/>
          <w:kern w:val="2"/>
          <w:sz w:val="24"/>
          <w:szCs w:val="24"/>
          <w:lang w:eastAsia="ja-JP" w:bidi="hi-IN"/>
        </w:rPr>
        <w:t>. izplatīšanās Latvijā un Lietuvā]. Latvijas Veģetācija 21, 127-132.</w:t>
      </w:r>
    </w:p>
    <w:p w14:paraId="0A738B2D" w14:textId="03905002" w:rsidR="00FB6DF7" w:rsidRPr="0014151A" w:rsidRDefault="00FB6DF7" w:rsidP="0014151A">
      <w:pPr>
        <w:numPr>
          <w:ilvl w:val="0"/>
          <w:numId w:val="31"/>
        </w:numPr>
        <w:spacing w:after="0" w:line="240" w:lineRule="auto"/>
        <w:ind w:left="924" w:hanging="357"/>
        <w:jc w:val="both"/>
        <w:rPr>
          <w:rFonts w:ascii="Times New Roman" w:eastAsia="Times New Roman" w:hAnsi="Times New Roman" w:cs="Times New Roman"/>
          <w:kern w:val="2"/>
          <w:sz w:val="24"/>
          <w:szCs w:val="24"/>
          <w:lang w:eastAsia="zh-CN" w:bidi="hi-IN"/>
        </w:rPr>
      </w:pPr>
      <w:proofErr w:type="spellStart"/>
      <w:r w:rsidRPr="0014151A">
        <w:rPr>
          <w:rFonts w:ascii="Times New Roman" w:eastAsia="Times New Roman" w:hAnsi="Times New Roman" w:cs="Times New Roman"/>
          <w:kern w:val="2"/>
          <w:sz w:val="24"/>
          <w:szCs w:val="24"/>
          <w:lang w:eastAsia="zh-CN" w:bidi="hi-IN"/>
        </w:rPr>
        <w:t>Gudžinskis</w:t>
      </w:r>
      <w:proofErr w:type="spellEnd"/>
      <w:r w:rsidRPr="0014151A">
        <w:rPr>
          <w:rFonts w:ascii="Times New Roman" w:eastAsia="Times New Roman" w:hAnsi="Times New Roman" w:cs="Times New Roman"/>
          <w:kern w:val="2"/>
          <w:sz w:val="24"/>
          <w:szCs w:val="24"/>
          <w:lang w:eastAsia="zh-CN" w:bidi="hi-IN"/>
        </w:rPr>
        <w:t xml:space="preserve"> Z., </w:t>
      </w:r>
      <w:proofErr w:type="spellStart"/>
      <w:r w:rsidRPr="0014151A">
        <w:rPr>
          <w:rFonts w:ascii="Times New Roman" w:eastAsia="Times New Roman" w:hAnsi="Times New Roman" w:cs="Times New Roman"/>
          <w:kern w:val="2"/>
          <w:sz w:val="24"/>
          <w:szCs w:val="24"/>
          <w:lang w:eastAsia="zh-CN" w:bidi="hi-IN"/>
        </w:rPr>
        <w:t>Kazlauskas</w:t>
      </w:r>
      <w:proofErr w:type="spellEnd"/>
      <w:r w:rsidRPr="0014151A">
        <w:rPr>
          <w:rFonts w:ascii="Times New Roman" w:eastAsia="Times New Roman" w:hAnsi="Times New Roman" w:cs="Times New Roman"/>
          <w:kern w:val="2"/>
          <w:sz w:val="24"/>
          <w:szCs w:val="24"/>
          <w:lang w:eastAsia="zh-CN" w:bidi="hi-IN"/>
        </w:rPr>
        <w:t xml:space="preserve"> M., </w:t>
      </w:r>
      <w:proofErr w:type="spellStart"/>
      <w:r w:rsidRPr="0014151A">
        <w:rPr>
          <w:rFonts w:ascii="Times New Roman" w:eastAsia="Times New Roman" w:hAnsi="Times New Roman" w:cs="Times New Roman"/>
          <w:kern w:val="2"/>
          <w:sz w:val="24"/>
          <w:szCs w:val="24"/>
          <w:lang w:eastAsia="zh-CN" w:bidi="hi-IN"/>
        </w:rPr>
        <w:t>Pilāte</w:t>
      </w:r>
      <w:proofErr w:type="spellEnd"/>
      <w:r w:rsidRPr="0014151A">
        <w:rPr>
          <w:rFonts w:ascii="Times New Roman" w:eastAsia="Times New Roman" w:hAnsi="Times New Roman" w:cs="Times New Roman"/>
          <w:kern w:val="2"/>
          <w:sz w:val="24"/>
          <w:szCs w:val="24"/>
          <w:lang w:eastAsia="zh-CN" w:bidi="hi-IN"/>
        </w:rPr>
        <w:t xml:space="preserve"> D., </w:t>
      </w:r>
      <w:proofErr w:type="spellStart"/>
      <w:r w:rsidRPr="0014151A">
        <w:rPr>
          <w:rFonts w:ascii="Times New Roman" w:eastAsia="Times New Roman" w:hAnsi="Times New Roman" w:cs="Times New Roman"/>
          <w:kern w:val="2"/>
          <w:sz w:val="24"/>
          <w:szCs w:val="24"/>
          <w:lang w:eastAsia="zh-CN" w:bidi="hi-IN"/>
        </w:rPr>
        <w:t>Balalaikins</w:t>
      </w:r>
      <w:proofErr w:type="spellEnd"/>
      <w:r w:rsidRPr="0014151A">
        <w:rPr>
          <w:rFonts w:ascii="Times New Roman" w:eastAsia="Times New Roman" w:hAnsi="Times New Roman" w:cs="Times New Roman"/>
          <w:kern w:val="2"/>
          <w:sz w:val="24"/>
          <w:szCs w:val="24"/>
          <w:lang w:eastAsia="zh-CN" w:bidi="hi-IN"/>
        </w:rPr>
        <w:t xml:space="preserve"> M., Pilāts M., </w:t>
      </w:r>
      <w:proofErr w:type="spellStart"/>
      <w:r w:rsidRPr="0014151A">
        <w:rPr>
          <w:rFonts w:ascii="Times New Roman" w:eastAsia="Times New Roman" w:hAnsi="Times New Roman" w:cs="Times New Roman"/>
          <w:kern w:val="2"/>
          <w:sz w:val="24"/>
          <w:szCs w:val="24"/>
          <w:lang w:eastAsia="zh-CN" w:bidi="hi-IN"/>
        </w:rPr>
        <w:t>Šaulys</w:t>
      </w:r>
      <w:proofErr w:type="spellEnd"/>
      <w:r w:rsidRPr="0014151A">
        <w:rPr>
          <w:rFonts w:ascii="Times New Roman" w:eastAsia="Times New Roman" w:hAnsi="Times New Roman" w:cs="Times New Roman"/>
          <w:kern w:val="2"/>
          <w:sz w:val="24"/>
          <w:szCs w:val="24"/>
          <w:lang w:eastAsia="zh-CN" w:bidi="hi-IN"/>
        </w:rPr>
        <w:t xml:space="preserve"> A., </w:t>
      </w:r>
      <w:proofErr w:type="spellStart"/>
      <w:r w:rsidRPr="0014151A">
        <w:rPr>
          <w:rFonts w:ascii="Times New Roman" w:eastAsia="Times New Roman" w:hAnsi="Times New Roman" w:cs="Times New Roman"/>
          <w:kern w:val="2"/>
          <w:sz w:val="24"/>
          <w:szCs w:val="24"/>
          <w:lang w:eastAsia="zh-CN" w:bidi="hi-IN"/>
        </w:rPr>
        <w:t>Šaulienė</w:t>
      </w:r>
      <w:proofErr w:type="spellEnd"/>
      <w:r w:rsidR="002533EE" w:rsidRPr="0014151A">
        <w:t xml:space="preserve"> </w:t>
      </w:r>
      <w:r w:rsidR="002533EE" w:rsidRPr="0014151A">
        <w:rPr>
          <w:rFonts w:ascii="Times New Roman" w:eastAsia="Times New Roman" w:hAnsi="Times New Roman" w:cs="Times New Roman"/>
          <w:kern w:val="2"/>
          <w:sz w:val="24"/>
          <w:szCs w:val="24"/>
          <w:lang w:eastAsia="zh-CN" w:bidi="hi-IN"/>
        </w:rPr>
        <w:t xml:space="preserve">I., </w:t>
      </w:r>
      <w:proofErr w:type="spellStart"/>
      <w:r w:rsidR="002533EE" w:rsidRPr="0014151A">
        <w:rPr>
          <w:rFonts w:ascii="Times New Roman" w:eastAsia="Times New Roman" w:hAnsi="Times New Roman" w:cs="Times New Roman"/>
          <w:kern w:val="2"/>
          <w:sz w:val="24"/>
          <w:szCs w:val="24"/>
          <w:lang w:eastAsia="zh-CN" w:bidi="hi-IN"/>
        </w:rPr>
        <w:t>Šukienė</w:t>
      </w:r>
      <w:proofErr w:type="spellEnd"/>
      <w:r w:rsidR="002533EE" w:rsidRPr="0014151A">
        <w:rPr>
          <w:rFonts w:ascii="Times New Roman" w:eastAsia="Times New Roman" w:hAnsi="Times New Roman" w:cs="Times New Roman"/>
          <w:kern w:val="2"/>
          <w:sz w:val="24"/>
          <w:szCs w:val="24"/>
          <w:lang w:eastAsia="zh-CN" w:bidi="hi-IN"/>
        </w:rPr>
        <w:t xml:space="preserve"> L. 2014. Lietuvas un Latvijas pierobežas </w:t>
      </w:r>
      <w:proofErr w:type="spellStart"/>
      <w:r w:rsidR="002533EE" w:rsidRPr="0014151A">
        <w:rPr>
          <w:rFonts w:ascii="Times New Roman" w:eastAsia="Times New Roman" w:hAnsi="Times New Roman" w:cs="Times New Roman"/>
          <w:kern w:val="2"/>
          <w:sz w:val="24"/>
          <w:szCs w:val="24"/>
          <w:lang w:eastAsia="zh-CN" w:bidi="hi-IN"/>
        </w:rPr>
        <w:t>invazīvie</w:t>
      </w:r>
      <w:proofErr w:type="spellEnd"/>
      <w:r w:rsidR="002533EE" w:rsidRPr="0014151A">
        <w:rPr>
          <w:rFonts w:ascii="Times New Roman" w:eastAsia="Times New Roman" w:hAnsi="Times New Roman" w:cs="Times New Roman"/>
          <w:kern w:val="2"/>
          <w:sz w:val="24"/>
          <w:szCs w:val="24"/>
          <w:lang w:eastAsia="zh-CN" w:bidi="hi-IN"/>
        </w:rPr>
        <w:t xml:space="preserve"> augi. BMK </w:t>
      </w:r>
      <w:proofErr w:type="spellStart"/>
      <w:r w:rsidR="002533EE" w:rsidRPr="0014151A">
        <w:rPr>
          <w:rFonts w:ascii="Times New Roman" w:eastAsia="Times New Roman" w:hAnsi="Times New Roman" w:cs="Times New Roman"/>
          <w:kern w:val="2"/>
          <w:sz w:val="24"/>
          <w:szCs w:val="24"/>
          <w:lang w:eastAsia="zh-CN" w:bidi="hi-IN"/>
        </w:rPr>
        <w:t>Leidykla</w:t>
      </w:r>
      <w:proofErr w:type="spellEnd"/>
      <w:r w:rsidR="002533EE" w:rsidRPr="0014151A">
        <w:rPr>
          <w:rFonts w:ascii="Times New Roman" w:eastAsia="Times New Roman" w:hAnsi="Times New Roman" w:cs="Times New Roman"/>
          <w:kern w:val="2"/>
          <w:sz w:val="24"/>
          <w:szCs w:val="24"/>
          <w:lang w:eastAsia="zh-CN" w:bidi="hi-IN"/>
        </w:rPr>
        <w:t>,</w:t>
      </w:r>
      <w:r w:rsidR="002533EE" w:rsidRPr="0014151A">
        <w:t xml:space="preserve"> </w:t>
      </w:r>
      <w:proofErr w:type="spellStart"/>
      <w:r w:rsidR="002533EE" w:rsidRPr="0014151A">
        <w:rPr>
          <w:rFonts w:ascii="Times New Roman" w:eastAsia="Times New Roman" w:hAnsi="Times New Roman" w:cs="Times New Roman"/>
          <w:kern w:val="2"/>
          <w:sz w:val="24"/>
          <w:szCs w:val="24"/>
          <w:lang w:eastAsia="zh-CN" w:bidi="hi-IN"/>
        </w:rPr>
        <w:t>Vilnius</w:t>
      </w:r>
      <w:proofErr w:type="spellEnd"/>
      <w:r w:rsidR="002533EE" w:rsidRPr="0014151A">
        <w:rPr>
          <w:rFonts w:ascii="Times New Roman" w:eastAsia="Times New Roman" w:hAnsi="Times New Roman" w:cs="Times New Roman"/>
          <w:kern w:val="2"/>
          <w:sz w:val="24"/>
          <w:szCs w:val="24"/>
          <w:lang w:eastAsia="zh-CN" w:bidi="hi-IN"/>
        </w:rPr>
        <w:t>, 181 lpp.</w:t>
      </w:r>
    </w:p>
    <w:p w14:paraId="3D47995F" w14:textId="5B671EB9" w:rsidR="00883139" w:rsidRPr="0014151A" w:rsidRDefault="00883139" w:rsidP="0014151A">
      <w:pPr>
        <w:numPr>
          <w:ilvl w:val="0"/>
          <w:numId w:val="31"/>
        </w:numPr>
        <w:spacing w:after="0" w:line="240" w:lineRule="auto"/>
        <w:ind w:left="924" w:hanging="357"/>
        <w:jc w:val="both"/>
        <w:rPr>
          <w:rFonts w:ascii="Times New Roman" w:eastAsia="Times New Roman" w:hAnsi="Times New Roman" w:cs="Times New Roman"/>
          <w:kern w:val="2"/>
          <w:sz w:val="24"/>
          <w:szCs w:val="24"/>
          <w:lang w:eastAsia="zh-CN" w:bidi="hi-IN"/>
        </w:rPr>
      </w:pPr>
      <w:proofErr w:type="spellStart"/>
      <w:r w:rsidRPr="0014151A">
        <w:rPr>
          <w:rFonts w:ascii="Times New Roman" w:eastAsia="Times New Roman" w:hAnsi="Times New Roman" w:cs="Times New Roman"/>
          <w:color w:val="000000"/>
          <w:kern w:val="2"/>
          <w:sz w:val="24"/>
          <w:szCs w:val="24"/>
          <w:lang w:eastAsia="ja-JP" w:bidi="hi-IN"/>
        </w:rPr>
        <w:t>Guidance</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document</w:t>
      </w:r>
      <w:proofErr w:type="spellEnd"/>
      <w:r w:rsidRPr="0014151A">
        <w:rPr>
          <w:rFonts w:ascii="Times New Roman" w:eastAsia="Times New Roman" w:hAnsi="Times New Roman" w:cs="Times New Roman"/>
          <w:color w:val="000000"/>
          <w:kern w:val="2"/>
          <w:sz w:val="24"/>
          <w:szCs w:val="24"/>
          <w:lang w:eastAsia="ja-JP" w:bidi="hi-IN"/>
        </w:rPr>
        <w:t>: Non-</w:t>
      </w:r>
      <w:proofErr w:type="spellStart"/>
      <w:r w:rsidRPr="0014151A">
        <w:rPr>
          <w:rFonts w:ascii="Times New Roman" w:eastAsia="Times New Roman" w:hAnsi="Times New Roman" w:cs="Times New Roman"/>
          <w:color w:val="000000"/>
          <w:kern w:val="2"/>
          <w:sz w:val="24"/>
          <w:szCs w:val="24"/>
          <w:lang w:eastAsia="ja-JP" w:bidi="hi-IN"/>
        </w:rPr>
        <w:t>energy</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mineral</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extraction</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and</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i/>
          <w:color w:val="000000"/>
          <w:kern w:val="2"/>
          <w:sz w:val="24"/>
          <w:szCs w:val="24"/>
          <w:lang w:eastAsia="ja-JP" w:bidi="hi-IN"/>
        </w:rPr>
        <w:t>Natura</w:t>
      </w:r>
      <w:proofErr w:type="spellEnd"/>
      <w:r w:rsidRPr="0014151A">
        <w:rPr>
          <w:rFonts w:ascii="Times New Roman" w:eastAsia="Times New Roman" w:hAnsi="Times New Roman" w:cs="Times New Roman"/>
          <w:i/>
          <w:color w:val="000000"/>
          <w:kern w:val="2"/>
          <w:sz w:val="24"/>
          <w:szCs w:val="24"/>
          <w:lang w:eastAsia="ja-JP" w:bidi="hi-IN"/>
        </w:rPr>
        <w:t xml:space="preserve"> 2000</w:t>
      </w:r>
      <w:r w:rsidRPr="0014151A">
        <w:rPr>
          <w:rFonts w:ascii="Times New Roman" w:eastAsia="Times New Roman" w:hAnsi="Times New Roman" w:cs="Times New Roman"/>
          <w:color w:val="000000"/>
          <w:kern w:val="2"/>
          <w:sz w:val="24"/>
          <w:szCs w:val="24"/>
          <w:lang w:eastAsia="ja-JP" w:bidi="hi-IN"/>
        </w:rPr>
        <w:t>, 2011, 144 lpp.</w:t>
      </w:r>
    </w:p>
    <w:p w14:paraId="4B2E5954" w14:textId="201B7C6E" w:rsidR="00D1017B" w:rsidRPr="0014151A" w:rsidRDefault="00D1017B" w:rsidP="0014151A">
      <w:pPr>
        <w:numPr>
          <w:ilvl w:val="0"/>
          <w:numId w:val="31"/>
        </w:numPr>
        <w:spacing w:after="0" w:line="240" w:lineRule="auto"/>
        <w:ind w:left="924" w:hanging="357"/>
        <w:jc w:val="both"/>
        <w:rPr>
          <w:rFonts w:ascii="Times New Roman" w:eastAsia="Times New Roman" w:hAnsi="Times New Roman" w:cs="Times New Roman"/>
          <w:kern w:val="2"/>
          <w:sz w:val="24"/>
          <w:szCs w:val="24"/>
          <w:lang w:eastAsia="zh-CN" w:bidi="hi-IN"/>
        </w:rPr>
      </w:pPr>
      <w:proofErr w:type="spellStart"/>
      <w:r w:rsidRPr="0014151A">
        <w:rPr>
          <w:rFonts w:ascii="Times New Roman" w:eastAsia="Times New Roman" w:hAnsi="Times New Roman" w:cs="Times New Roman"/>
          <w:kern w:val="2"/>
          <w:sz w:val="24"/>
          <w:szCs w:val="24"/>
          <w:lang w:eastAsia="zh-CN" w:bidi="hi-IN"/>
        </w:rPr>
        <w:t>Gurčonoks</w:t>
      </w:r>
      <w:proofErr w:type="spellEnd"/>
      <w:r w:rsidRPr="0014151A">
        <w:rPr>
          <w:rFonts w:ascii="Times New Roman" w:eastAsia="Times New Roman" w:hAnsi="Times New Roman" w:cs="Times New Roman"/>
          <w:kern w:val="2"/>
          <w:sz w:val="24"/>
          <w:szCs w:val="24"/>
          <w:lang w:eastAsia="zh-CN" w:bidi="hi-IN"/>
        </w:rPr>
        <w:t xml:space="preserve"> I. 2013. Gliemežu sabiedrību struktūra un to ietekmējošie faktori </w:t>
      </w:r>
      <w:proofErr w:type="spellStart"/>
      <w:r w:rsidRPr="0014151A">
        <w:rPr>
          <w:rFonts w:ascii="Times New Roman" w:eastAsia="Times New Roman" w:hAnsi="Times New Roman" w:cs="Times New Roman"/>
          <w:kern w:val="2"/>
          <w:sz w:val="24"/>
          <w:szCs w:val="24"/>
          <w:lang w:eastAsia="zh-CN" w:bidi="hi-IN"/>
        </w:rPr>
        <w:t>liellūpas</w:t>
      </w:r>
      <w:proofErr w:type="spellEnd"/>
      <w:r w:rsidRPr="0014151A">
        <w:rPr>
          <w:rFonts w:ascii="TimesNewRoman" w:hAnsi="TimesNewRoman" w:cs="TimesNewRoman"/>
          <w:sz w:val="24"/>
          <w:szCs w:val="24"/>
        </w:rPr>
        <w:t xml:space="preserve"> </w:t>
      </w:r>
      <w:r w:rsidRPr="0014151A">
        <w:rPr>
          <w:rFonts w:ascii="Times New Roman" w:eastAsia="Times New Roman" w:hAnsi="Times New Roman" w:cs="Times New Roman"/>
          <w:kern w:val="2"/>
          <w:sz w:val="24"/>
          <w:szCs w:val="24"/>
          <w:lang w:eastAsia="zh-CN" w:bidi="hi-IN"/>
        </w:rPr>
        <w:t xml:space="preserve">vīngliemeža </w:t>
      </w:r>
      <w:proofErr w:type="spellStart"/>
      <w:r w:rsidRPr="0014151A">
        <w:rPr>
          <w:rFonts w:ascii="Times New Roman" w:eastAsia="Times New Roman" w:hAnsi="Times New Roman" w:cs="Times New Roman"/>
          <w:i/>
          <w:iCs/>
          <w:kern w:val="2"/>
          <w:sz w:val="24"/>
          <w:szCs w:val="24"/>
          <w:lang w:eastAsia="zh-CN" w:bidi="hi-IN"/>
        </w:rPr>
        <w:t>Isognomostoma</w:t>
      </w:r>
      <w:proofErr w:type="spellEnd"/>
      <w:r w:rsidRPr="0014151A">
        <w:rPr>
          <w:rFonts w:ascii="Times New Roman" w:eastAsia="Times New Roman" w:hAnsi="Times New Roman" w:cs="Times New Roman"/>
          <w:i/>
          <w:iCs/>
          <w:kern w:val="2"/>
          <w:sz w:val="24"/>
          <w:szCs w:val="24"/>
          <w:lang w:eastAsia="zh-CN" w:bidi="hi-IN"/>
        </w:rPr>
        <w:t xml:space="preserve"> </w:t>
      </w:r>
      <w:proofErr w:type="spellStart"/>
      <w:r w:rsidRPr="0014151A">
        <w:rPr>
          <w:rFonts w:ascii="Times New Roman" w:eastAsia="Times New Roman" w:hAnsi="Times New Roman" w:cs="Times New Roman"/>
          <w:i/>
          <w:iCs/>
          <w:kern w:val="2"/>
          <w:sz w:val="24"/>
          <w:szCs w:val="24"/>
          <w:lang w:eastAsia="zh-CN" w:bidi="hi-IN"/>
        </w:rPr>
        <w:t>isognomostomus</w:t>
      </w:r>
      <w:proofErr w:type="spellEnd"/>
      <w:r w:rsidRPr="0014151A">
        <w:rPr>
          <w:rFonts w:ascii="Times New Roman" w:eastAsia="Times New Roman" w:hAnsi="Times New Roman" w:cs="Times New Roman"/>
          <w:i/>
          <w:iCs/>
          <w:kern w:val="2"/>
          <w:sz w:val="24"/>
          <w:szCs w:val="24"/>
          <w:lang w:eastAsia="zh-CN" w:bidi="hi-IN"/>
        </w:rPr>
        <w:t xml:space="preserve"> </w:t>
      </w:r>
      <w:r w:rsidRPr="0014151A">
        <w:rPr>
          <w:rFonts w:ascii="Times New Roman" w:eastAsia="Times New Roman" w:hAnsi="Times New Roman" w:cs="Times New Roman"/>
          <w:kern w:val="2"/>
          <w:sz w:val="24"/>
          <w:szCs w:val="24"/>
          <w:lang w:eastAsia="zh-CN" w:bidi="hi-IN"/>
        </w:rPr>
        <w:t>(</w:t>
      </w:r>
      <w:proofErr w:type="spellStart"/>
      <w:r w:rsidRPr="0014151A">
        <w:rPr>
          <w:rFonts w:ascii="Times New Roman" w:eastAsia="Times New Roman" w:hAnsi="Times New Roman" w:cs="Times New Roman"/>
          <w:kern w:val="2"/>
          <w:sz w:val="24"/>
          <w:szCs w:val="24"/>
          <w:lang w:eastAsia="zh-CN" w:bidi="hi-IN"/>
        </w:rPr>
        <w:t>Schröter</w:t>
      </w:r>
      <w:proofErr w:type="spellEnd"/>
      <w:r w:rsidRPr="0014151A">
        <w:rPr>
          <w:rFonts w:ascii="Times New Roman" w:eastAsia="Times New Roman" w:hAnsi="Times New Roman" w:cs="Times New Roman"/>
          <w:kern w:val="2"/>
          <w:sz w:val="24"/>
          <w:szCs w:val="24"/>
          <w:lang w:eastAsia="zh-CN" w:bidi="hi-IN"/>
        </w:rPr>
        <w:t>, 1784) atradnēs Latvijā.</w:t>
      </w:r>
      <w:r w:rsidRPr="0014151A">
        <w:rPr>
          <w:rFonts w:ascii="TimesNewRoman" w:hAnsi="TimesNewRoman" w:cs="TimesNewRoman"/>
          <w:sz w:val="24"/>
          <w:szCs w:val="24"/>
        </w:rPr>
        <w:t xml:space="preserve"> </w:t>
      </w:r>
      <w:r w:rsidRPr="0014151A">
        <w:rPr>
          <w:rFonts w:ascii="Times New Roman" w:eastAsia="Times New Roman" w:hAnsi="Times New Roman" w:cs="Times New Roman"/>
          <w:kern w:val="2"/>
          <w:sz w:val="24"/>
          <w:szCs w:val="24"/>
          <w:lang w:eastAsia="zh-CN" w:bidi="hi-IN"/>
        </w:rPr>
        <w:t>Maģistra darbs. 52 lpp.</w:t>
      </w:r>
    </w:p>
    <w:p w14:paraId="4844ABBF" w14:textId="44E87546" w:rsidR="00260499" w:rsidRPr="0014151A" w:rsidRDefault="00260499" w:rsidP="0014151A">
      <w:pPr>
        <w:numPr>
          <w:ilvl w:val="0"/>
          <w:numId w:val="31"/>
        </w:numPr>
        <w:spacing w:after="0" w:line="240" w:lineRule="auto"/>
        <w:ind w:left="924" w:hanging="357"/>
        <w:contextualSpacing/>
        <w:jc w:val="both"/>
        <w:rPr>
          <w:rFonts w:ascii="Times New Roman" w:eastAsia="Times New Roman" w:hAnsi="Times New Roman" w:cs="Times New Roman"/>
          <w:kern w:val="2"/>
          <w:sz w:val="24"/>
          <w:szCs w:val="24"/>
          <w:lang w:eastAsia="zh-CN" w:bidi="hi-IN"/>
        </w:rPr>
      </w:pPr>
      <w:r w:rsidRPr="0014151A">
        <w:rPr>
          <w:rFonts w:ascii="Times New Roman" w:eastAsia="Times New Roman" w:hAnsi="Times New Roman" w:cs="Times New Roman"/>
          <w:kern w:val="2"/>
          <w:sz w:val="24"/>
          <w:szCs w:val="24"/>
          <w:lang w:eastAsia="zh-CN" w:bidi="hi-IN"/>
        </w:rPr>
        <w:t xml:space="preserve">Ilūkstes </w:t>
      </w:r>
      <w:proofErr w:type="spellStart"/>
      <w:r w:rsidRPr="0014151A">
        <w:rPr>
          <w:rFonts w:ascii="Times New Roman" w:eastAsia="Times New Roman" w:hAnsi="Times New Roman" w:cs="Times New Roman"/>
          <w:kern w:val="2"/>
          <w:sz w:val="24"/>
          <w:szCs w:val="24"/>
          <w:lang w:eastAsia="zh-CN" w:bidi="hi-IN"/>
        </w:rPr>
        <w:t>apriņķis</w:t>
      </w:r>
      <w:proofErr w:type="spellEnd"/>
      <w:r w:rsidRPr="0014151A">
        <w:rPr>
          <w:rFonts w:ascii="Times New Roman" w:eastAsia="Times New Roman" w:hAnsi="Times New Roman" w:cs="Times New Roman"/>
          <w:kern w:val="2"/>
          <w:sz w:val="24"/>
          <w:szCs w:val="24"/>
          <w:lang w:eastAsia="zh-CN" w:bidi="hi-IN"/>
        </w:rPr>
        <w:t xml:space="preserve">./ Konversācijas vārdnīca, 1. sēj., </w:t>
      </w:r>
      <w:r w:rsidR="00EE44AF" w:rsidRPr="0014151A">
        <w:rPr>
          <w:rFonts w:ascii="Times New Roman" w:eastAsia="Times New Roman" w:hAnsi="Times New Roman" w:cs="Times New Roman"/>
          <w:kern w:val="2"/>
          <w:sz w:val="24"/>
          <w:szCs w:val="24"/>
          <w:lang w:eastAsia="zh-CN" w:bidi="hi-IN"/>
        </w:rPr>
        <w:t>1908.</w:t>
      </w:r>
      <w:r w:rsidRPr="0014151A">
        <w:rPr>
          <w:rFonts w:ascii="Times New Roman" w:eastAsia="Times New Roman" w:hAnsi="Times New Roman" w:cs="Times New Roman"/>
          <w:kern w:val="2"/>
          <w:sz w:val="24"/>
          <w:szCs w:val="24"/>
          <w:lang w:eastAsia="zh-CN" w:bidi="hi-IN"/>
        </w:rPr>
        <w:t xml:space="preserve"> Rīgas Latviešu biedrības Derīgu grāmatu nodaļa, </w:t>
      </w:r>
      <w:r w:rsidR="00EE44AF" w:rsidRPr="0014151A">
        <w:rPr>
          <w:rFonts w:ascii="Times New Roman" w:eastAsia="Times New Roman" w:hAnsi="Times New Roman" w:cs="Times New Roman"/>
          <w:kern w:val="2"/>
          <w:sz w:val="24"/>
          <w:szCs w:val="24"/>
          <w:lang w:eastAsia="zh-CN" w:bidi="hi-IN"/>
        </w:rPr>
        <w:t>1297.lpp.</w:t>
      </w:r>
    </w:p>
    <w:p w14:paraId="0D7D8FEA" w14:textId="77777777" w:rsidR="00260499" w:rsidRPr="0014151A" w:rsidRDefault="00260499" w:rsidP="0014151A">
      <w:pPr>
        <w:numPr>
          <w:ilvl w:val="0"/>
          <w:numId w:val="31"/>
        </w:numPr>
        <w:spacing w:after="0" w:line="240" w:lineRule="auto"/>
        <w:ind w:left="924" w:hanging="357"/>
        <w:contextualSpacing/>
        <w:jc w:val="both"/>
        <w:rPr>
          <w:rFonts w:ascii="Times New Roman" w:eastAsia="Times New Roman" w:hAnsi="Times New Roman" w:cs="Times New Roman"/>
          <w:kern w:val="2"/>
          <w:sz w:val="24"/>
          <w:szCs w:val="24"/>
          <w:lang w:eastAsia="zh-CN" w:bidi="hi-IN"/>
        </w:rPr>
      </w:pPr>
      <w:r w:rsidRPr="0014151A">
        <w:rPr>
          <w:rFonts w:ascii="Times New Roman" w:eastAsia="Times New Roman" w:hAnsi="Times New Roman" w:cs="Times New Roman"/>
          <w:kern w:val="2"/>
          <w:sz w:val="24"/>
          <w:szCs w:val="24"/>
          <w:lang w:eastAsia="zh-CN" w:bidi="hi-IN"/>
        </w:rPr>
        <w:t>Ikauniece S. 2016. Vadlīnijas aizsargājamo biotopu saglabāšanai Latvijā. Meži. Sigulda, 167 lpp.</w:t>
      </w:r>
    </w:p>
    <w:p w14:paraId="77AFE9C7" w14:textId="674F21F1" w:rsidR="00623F41" w:rsidRPr="0014151A" w:rsidRDefault="00623F41" w:rsidP="0014151A">
      <w:pPr>
        <w:numPr>
          <w:ilvl w:val="0"/>
          <w:numId w:val="31"/>
        </w:numPr>
        <w:spacing w:after="0" w:line="240" w:lineRule="auto"/>
        <w:ind w:left="924" w:hanging="357"/>
        <w:contextualSpacing/>
        <w:jc w:val="both"/>
        <w:rPr>
          <w:rFonts w:ascii="Times New Roman" w:eastAsia="Times New Roman" w:hAnsi="Times New Roman" w:cs="Times New Roman"/>
          <w:kern w:val="2"/>
          <w:sz w:val="24"/>
          <w:szCs w:val="24"/>
          <w:lang w:eastAsia="zh-CN" w:bidi="hi-IN"/>
        </w:rPr>
      </w:pPr>
      <w:r w:rsidRPr="0014151A">
        <w:rPr>
          <w:rFonts w:ascii="Times New Roman" w:eastAsia="Times New Roman" w:hAnsi="Times New Roman" w:cs="Times New Roman"/>
          <w:kern w:val="2"/>
          <w:sz w:val="24"/>
          <w:szCs w:val="24"/>
          <w:lang w:eastAsia="zh-CN" w:bidi="hi-IN"/>
        </w:rPr>
        <w:t>Ikauniece S. (</w:t>
      </w:r>
      <w:proofErr w:type="spellStart"/>
      <w:r w:rsidRPr="0014151A">
        <w:rPr>
          <w:rFonts w:ascii="Times New Roman" w:eastAsia="Times New Roman" w:hAnsi="Times New Roman" w:cs="Times New Roman"/>
          <w:kern w:val="2"/>
          <w:sz w:val="24"/>
          <w:szCs w:val="24"/>
          <w:lang w:eastAsia="zh-CN" w:bidi="hi-IN"/>
        </w:rPr>
        <w:t>red</w:t>
      </w:r>
      <w:proofErr w:type="spellEnd"/>
      <w:r w:rsidRPr="0014151A">
        <w:rPr>
          <w:rFonts w:ascii="Times New Roman" w:eastAsia="Times New Roman" w:hAnsi="Times New Roman" w:cs="Times New Roman"/>
          <w:kern w:val="2"/>
          <w:sz w:val="24"/>
          <w:szCs w:val="24"/>
          <w:lang w:eastAsia="zh-CN" w:bidi="hi-IN"/>
        </w:rPr>
        <w:t>.) 2017. Aizsargājamo biotopu saglabāšanas vadlīnijas Latvijā.</w:t>
      </w:r>
      <w:r w:rsidRPr="0014151A">
        <w:rPr>
          <w:rFonts w:ascii="TimesNewRoman" w:hAnsi="TimesNewRoman" w:cs="TimesNewRoman"/>
          <w:sz w:val="24"/>
          <w:szCs w:val="24"/>
        </w:rPr>
        <w:t xml:space="preserve"> </w:t>
      </w:r>
      <w:r w:rsidRPr="0014151A">
        <w:rPr>
          <w:rFonts w:ascii="Times New Roman" w:eastAsia="Times New Roman" w:hAnsi="Times New Roman" w:cs="Times New Roman"/>
          <w:kern w:val="2"/>
          <w:sz w:val="24"/>
          <w:szCs w:val="24"/>
          <w:lang w:eastAsia="zh-CN" w:bidi="hi-IN"/>
        </w:rPr>
        <w:t>6.sējums. Meži. Dabas aizsardzības pārvalde, Sigulda, 167 lpp.</w:t>
      </w:r>
    </w:p>
    <w:p w14:paraId="2506A919" w14:textId="25A2F25A" w:rsidR="00260499" w:rsidRPr="0014151A" w:rsidRDefault="00260499" w:rsidP="0014151A">
      <w:pPr>
        <w:numPr>
          <w:ilvl w:val="0"/>
          <w:numId w:val="31"/>
        </w:numPr>
        <w:spacing w:after="0" w:line="240" w:lineRule="auto"/>
        <w:ind w:left="924" w:hanging="357"/>
        <w:contextualSpacing/>
        <w:jc w:val="both"/>
        <w:rPr>
          <w:rFonts w:ascii="Times New Roman" w:eastAsia="Times New Roman" w:hAnsi="Times New Roman" w:cs="Times New Roman"/>
          <w:kern w:val="2"/>
          <w:sz w:val="24"/>
          <w:szCs w:val="24"/>
          <w:lang w:eastAsia="zh-CN" w:bidi="hi-IN"/>
        </w:rPr>
      </w:pPr>
      <w:r w:rsidRPr="0014151A">
        <w:rPr>
          <w:rFonts w:ascii="Times New Roman" w:eastAsia="Times New Roman" w:hAnsi="Times New Roman" w:cs="Times New Roman"/>
          <w:kern w:val="2"/>
          <w:sz w:val="24"/>
          <w:szCs w:val="24"/>
          <w:lang w:eastAsia="zh-CN" w:bidi="hi-IN"/>
        </w:rPr>
        <w:t xml:space="preserve">Ikauniece S., </w:t>
      </w:r>
      <w:proofErr w:type="spellStart"/>
      <w:r w:rsidRPr="0014151A">
        <w:rPr>
          <w:rFonts w:ascii="Times New Roman" w:eastAsia="Times New Roman" w:hAnsi="Times New Roman" w:cs="Times New Roman"/>
          <w:kern w:val="2"/>
          <w:sz w:val="24"/>
          <w:szCs w:val="24"/>
          <w:lang w:eastAsia="zh-CN" w:bidi="hi-IN"/>
        </w:rPr>
        <w:t>Evarts-Bunders</w:t>
      </w:r>
      <w:proofErr w:type="spellEnd"/>
      <w:r w:rsidRPr="0014151A">
        <w:rPr>
          <w:rFonts w:ascii="Times New Roman" w:eastAsia="Times New Roman" w:hAnsi="Times New Roman" w:cs="Times New Roman"/>
          <w:kern w:val="2"/>
          <w:sz w:val="24"/>
          <w:szCs w:val="24"/>
          <w:lang w:eastAsia="zh-CN" w:bidi="hi-IN"/>
        </w:rPr>
        <w:t xml:space="preserve"> P., </w:t>
      </w:r>
      <w:proofErr w:type="spellStart"/>
      <w:r w:rsidRPr="0014151A">
        <w:rPr>
          <w:rFonts w:ascii="Times New Roman" w:eastAsia="Times New Roman" w:hAnsi="Times New Roman" w:cs="Times New Roman"/>
          <w:kern w:val="2"/>
          <w:sz w:val="24"/>
          <w:szCs w:val="24"/>
          <w:lang w:eastAsia="zh-CN" w:bidi="hi-IN"/>
        </w:rPr>
        <w:t>Pošiva-Bunkovska</w:t>
      </w:r>
      <w:proofErr w:type="spellEnd"/>
      <w:r w:rsidRPr="0014151A">
        <w:rPr>
          <w:rFonts w:ascii="Times New Roman" w:eastAsia="Times New Roman" w:hAnsi="Times New Roman" w:cs="Times New Roman"/>
          <w:kern w:val="2"/>
          <w:sz w:val="24"/>
          <w:szCs w:val="24"/>
          <w:lang w:eastAsia="zh-CN" w:bidi="hi-IN"/>
        </w:rPr>
        <w:t xml:space="preserve"> A. 2015. 9050 Sugām bagāti egļu meži.</w:t>
      </w:r>
    </w:p>
    <w:p w14:paraId="7A45BE39" w14:textId="083A1E5A" w:rsidR="00260499" w:rsidRPr="0014151A" w:rsidRDefault="00260499" w:rsidP="0014151A">
      <w:pPr>
        <w:numPr>
          <w:ilvl w:val="0"/>
          <w:numId w:val="31"/>
        </w:numPr>
        <w:spacing w:after="0" w:line="240" w:lineRule="auto"/>
        <w:ind w:left="924" w:hanging="357"/>
        <w:contextualSpacing/>
        <w:jc w:val="both"/>
        <w:rPr>
          <w:rFonts w:ascii="Times New Roman" w:eastAsia="Times New Roman" w:hAnsi="Times New Roman" w:cs="Times New Roman"/>
          <w:kern w:val="2"/>
          <w:sz w:val="24"/>
          <w:szCs w:val="24"/>
          <w:lang w:eastAsia="zh-CN" w:bidi="hi-IN"/>
        </w:rPr>
      </w:pPr>
      <w:proofErr w:type="spellStart"/>
      <w:r w:rsidRPr="0014151A">
        <w:rPr>
          <w:rFonts w:ascii="Times New Roman" w:eastAsia="Times New Roman" w:hAnsi="Times New Roman" w:cs="Times New Roman"/>
          <w:kern w:val="2"/>
          <w:sz w:val="24"/>
          <w:szCs w:val="24"/>
          <w:lang w:eastAsia="zh-CN" w:bidi="hi-IN"/>
        </w:rPr>
        <w:t>Iliško</w:t>
      </w:r>
      <w:proofErr w:type="spellEnd"/>
      <w:r w:rsidRPr="0014151A">
        <w:rPr>
          <w:rFonts w:ascii="Times New Roman" w:eastAsia="Times New Roman" w:hAnsi="Times New Roman" w:cs="Times New Roman"/>
          <w:kern w:val="2"/>
          <w:sz w:val="24"/>
          <w:szCs w:val="24"/>
          <w:lang w:eastAsia="zh-CN" w:bidi="hi-IN"/>
        </w:rPr>
        <w:t xml:space="preserve"> E., Soms J. 2011. </w:t>
      </w:r>
      <w:proofErr w:type="spellStart"/>
      <w:r w:rsidRPr="0014151A">
        <w:rPr>
          <w:rFonts w:ascii="Times New Roman" w:eastAsia="Times New Roman" w:hAnsi="Times New Roman" w:cs="Times New Roman"/>
          <w:kern w:val="2"/>
          <w:sz w:val="24"/>
          <w:szCs w:val="24"/>
          <w:lang w:eastAsia="zh-CN" w:bidi="hi-IN"/>
        </w:rPr>
        <w:t>Geographic</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distribution</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of</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protected</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sedge</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species</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Carex</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pilosa</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Scop</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in</w:t>
      </w:r>
      <w:proofErr w:type="spellEnd"/>
      <w:r w:rsidRPr="0014151A">
        <w:rPr>
          <w:rFonts w:ascii="Times New Roman" w:eastAsia="Times New Roman" w:hAnsi="Times New Roman" w:cs="Times New Roman"/>
          <w:kern w:val="2"/>
          <w:sz w:val="24"/>
          <w:szCs w:val="24"/>
          <w:lang w:eastAsia="zh-CN" w:bidi="hi-IN"/>
        </w:rPr>
        <w:t xml:space="preserve"> Latvia </w:t>
      </w:r>
      <w:proofErr w:type="spellStart"/>
      <w:r w:rsidRPr="0014151A">
        <w:rPr>
          <w:rFonts w:ascii="Times New Roman" w:eastAsia="Times New Roman" w:hAnsi="Times New Roman" w:cs="Times New Roman"/>
          <w:kern w:val="2"/>
          <w:sz w:val="24"/>
          <w:szCs w:val="24"/>
          <w:lang w:eastAsia="zh-CN" w:bidi="hi-IN"/>
        </w:rPr>
        <w:t>with</w:t>
      </w:r>
      <w:proofErr w:type="spellEnd"/>
      <w:r w:rsidRPr="0014151A">
        <w:rPr>
          <w:rFonts w:ascii="Times New Roman" w:eastAsia="Times New Roman" w:hAnsi="Times New Roman" w:cs="Times New Roman"/>
          <w:kern w:val="2"/>
          <w:sz w:val="24"/>
          <w:szCs w:val="24"/>
          <w:lang w:eastAsia="zh-CN" w:bidi="hi-IN"/>
        </w:rPr>
        <w:t xml:space="preserve"> reference to </w:t>
      </w:r>
      <w:proofErr w:type="spellStart"/>
      <w:r w:rsidRPr="0014151A">
        <w:rPr>
          <w:rFonts w:ascii="Times New Roman" w:eastAsia="Times New Roman" w:hAnsi="Times New Roman" w:cs="Times New Roman"/>
          <w:kern w:val="2"/>
          <w:sz w:val="24"/>
          <w:szCs w:val="24"/>
          <w:lang w:eastAsia="zh-CN" w:bidi="hi-IN"/>
        </w:rPr>
        <w:t>forest</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ecosystems</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In</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Proceedings</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of</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the</w:t>
      </w:r>
      <w:proofErr w:type="spellEnd"/>
      <w:r w:rsidRPr="0014151A">
        <w:rPr>
          <w:rFonts w:ascii="Times New Roman" w:eastAsia="Times New Roman" w:hAnsi="Times New Roman" w:cs="Times New Roman"/>
          <w:kern w:val="2"/>
          <w:sz w:val="24"/>
          <w:szCs w:val="24"/>
          <w:lang w:eastAsia="zh-CN" w:bidi="hi-IN"/>
        </w:rPr>
        <w:t xml:space="preserve"> 8th </w:t>
      </w:r>
      <w:proofErr w:type="spellStart"/>
      <w:r w:rsidRPr="0014151A">
        <w:rPr>
          <w:rFonts w:ascii="Times New Roman" w:eastAsia="Times New Roman" w:hAnsi="Times New Roman" w:cs="Times New Roman"/>
          <w:kern w:val="2"/>
          <w:sz w:val="24"/>
          <w:szCs w:val="24"/>
          <w:lang w:eastAsia="zh-CN" w:bidi="hi-IN"/>
        </w:rPr>
        <w:lastRenderedPageBreak/>
        <w:t>International</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Scientific</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and</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Practical</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Conference</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Environment</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Technology</w:t>
      </w:r>
      <w:proofErr w:type="spellEnd"/>
      <w:r w:rsidRPr="0014151A">
        <w:rPr>
          <w:rFonts w:ascii="Times New Roman" w:eastAsia="Times New Roman" w:hAnsi="Times New Roman" w:cs="Times New Roman"/>
          <w:kern w:val="2"/>
          <w:sz w:val="24"/>
          <w:szCs w:val="24"/>
          <w:lang w:eastAsia="zh-CN" w:bidi="hi-IN"/>
        </w:rPr>
        <w:t xml:space="preserve">. Resources”. Rēzekne, Latvia, 20 – 22 </w:t>
      </w:r>
      <w:proofErr w:type="spellStart"/>
      <w:r w:rsidRPr="0014151A">
        <w:rPr>
          <w:rFonts w:ascii="Times New Roman" w:eastAsia="Times New Roman" w:hAnsi="Times New Roman" w:cs="Times New Roman"/>
          <w:kern w:val="2"/>
          <w:sz w:val="24"/>
          <w:szCs w:val="24"/>
          <w:lang w:eastAsia="zh-CN" w:bidi="hi-IN"/>
        </w:rPr>
        <w:t>June</w:t>
      </w:r>
      <w:proofErr w:type="spellEnd"/>
      <w:r w:rsidRPr="0014151A">
        <w:rPr>
          <w:rFonts w:ascii="Times New Roman" w:eastAsia="Times New Roman" w:hAnsi="Times New Roman" w:cs="Times New Roman"/>
          <w:kern w:val="2"/>
          <w:sz w:val="24"/>
          <w:szCs w:val="24"/>
          <w:lang w:eastAsia="zh-CN" w:bidi="hi-IN"/>
        </w:rPr>
        <w:t>, 2011. v.2. Rēzekne, pp.24-30.</w:t>
      </w:r>
    </w:p>
    <w:p w14:paraId="56C4BB20" w14:textId="0B720545" w:rsidR="0016756D" w:rsidRPr="0014151A" w:rsidRDefault="0016756D" w:rsidP="0014151A">
      <w:pPr>
        <w:numPr>
          <w:ilvl w:val="0"/>
          <w:numId w:val="31"/>
        </w:numPr>
        <w:spacing w:after="0" w:line="240" w:lineRule="auto"/>
        <w:ind w:left="924" w:hanging="357"/>
        <w:contextualSpacing/>
        <w:jc w:val="both"/>
        <w:rPr>
          <w:rFonts w:ascii="Times New Roman" w:eastAsia="Times New Roman" w:hAnsi="Times New Roman" w:cs="Times New Roman"/>
          <w:kern w:val="2"/>
          <w:sz w:val="24"/>
          <w:szCs w:val="24"/>
          <w:lang w:eastAsia="zh-CN" w:bidi="hi-IN"/>
        </w:rPr>
      </w:pPr>
      <w:proofErr w:type="spellStart"/>
      <w:r w:rsidRPr="0014151A">
        <w:rPr>
          <w:rFonts w:ascii="Times New Roman" w:eastAsia="Times New Roman" w:hAnsi="Times New Roman" w:cs="Times New Roman"/>
          <w:kern w:val="2"/>
          <w:sz w:val="24"/>
          <w:szCs w:val="24"/>
          <w:lang w:eastAsia="zh-CN" w:bidi="hi-IN"/>
        </w:rPr>
        <w:t>Interpretation</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Manual</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of</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European</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Union</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Habitats</w:t>
      </w:r>
      <w:proofErr w:type="spellEnd"/>
      <w:r w:rsidRPr="0014151A">
        <w:rPr>
          <w:rFonts w:ascii="Times New Roman" w:eastAsia="Times New Roman" w:hAnsi="Times New Roman" w:cs="Times New Roman"/>
          <w:kern w:val="2"/>
          <w:sz w:val="24"/>
          <w:szCs w:val="24"/>
          <w:lang w:eastAsia="zh-CN" w:bidi="hi-IN"/>
        </w:rPr>
        <w:t xml:space="preserve"> EUR28, </w:t>
      </w:r>
      <w:proofErr w:type="spellStart"/>
      <w:r w:rsidRPr="0014151A">
        <w:rPr>
          <w:rFonts w:ascii="Times New Roman" w:eastAsia="Times New Roman" w:hAnsi="Times New Roman" w:cs="Times New Roman"/>
          <w:kern w:val="2"/>
          <w:sz w:val="24"/>
          <w:szCs w:val="24"/>
          <w:lang w:eastAsia="zh-CN" w:bidi="hi-IN"/>
        </w:rPr>
        <w:t>European</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Commission</w:t>
      </w:r>
      <w:proofErr w:type="spellEnd"/>
      <w:r w:rsidRPr="0014151A">
        <w:rPr>
          <w:rFonts w:ascii="Times New Roman" w:eastAsia="Times New Roman" w:hAnsi="Times New Roman" w:cs="Times New Roman"/>
          <w:kern w:val="2"/>
          <w:sz w:val="24"/>
          <w:szCs w:val="24"/>
          <w:lang w:eastAsia="zh-CN" w:bidi="hi-IN"/>
        </w:rPr>
        <w:t xml:space="preserve"> DG </w:t>
      </w:r>
      <w:proofErr w:type="spellStart"/>
      <w:r w:rsidRPr="0014151A">
        <w:rPr>
          <w:rFonts w:ascii="Times New Roman" w:eastAsia="Times New Roman" w:hAnsi="Times New Roman" w:cs="Times New Roman"/>
          <w:kern w:val="2"/>
          <w:sz w:val="24"/>
          <w:szCs w:val="24"/>
          <w:lang w:eastAsia="zh-CN" w:bidi="hi-IN"/>
        </w:rPr>
        <w:t>Environment</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April</w:t>
      </w:r>
      <w:proofErr w:type="spellEnd"/>
      <w:r w:rsidRPr="0014151A">
        <w:rPr>
          <w:rFonts w:ascii="Times New Roman" w:eastAsia="Times New Roman" w:hAnsi="Times New Roman" w:cs="Times New Roman"/>
          <w:kern w:val="2"/>
          <w:sz w:val="24"/>
          <w:szCs w:val="24"/>
          <w:lang w:eastAsia="zh-CN" w:bidi="hi-IN"/>
        </w:rPr>
        <w:t>, 2013,</w:t>
      </w:r>
      <w:r w:rsidR="00D65BBA" w:rsidRPr="0014151A">
        <w:rPr>
          <w:rFonts w:ascii="Times New Roman" w:eastAsia="Times New Roman" w:hAnsi="Times New Roman" w:cs="Times New Roman"/>
          <w:kern w:val="2"/>
          <w:sz w:val="24"/>
          <w:szCs w:val="24"/>
          <w:lang w:eastAsia="zh-CN" w:bidi="hi-IN"/>
        </w:rPr>
        <w:t xml:space="preserve"> </w:t>
      </w:r>
      <w:r w:rsidRPr="0014151A">
        <w:rPr>
          <w:rFonts w:ascii="Times New Roman" w:eastAsia="Times New Roman" w:hAnsi="Times New Roman" w:cs="Times New Roman"/>
          <w:kern w:val="2"/>
          <w:sz w:val="24"/>
          <w:szCs w:val="24"/>
          <w:lang w:eastAsia="zh-CN" w:bidi="hi-IN"/>
        </w:rPr>
        <w:t>pp.147.</w:t>
      </w:r>
    </w:p>
    <w:p w14:paraId="609F8A17" w14:textId="3958E3AF" w:rsidR="00260499" w:rsidRPr="0014151A" w:rsidRDefault="00260499" w:rsidP="0014151A">
      <w:pPr>
        <w:numPr>
          <w:ilvl w:val="0"/>
          <w:numId w:val="31"/>
        </w:numPr>
        <w:tabs>
          <w:tab w:val="left" w:pos="426"/>
        </w:tabs>
        <w:spacing w:after="0" w:line="240" w:lineRule="auto"/>
        <w:jc w:val="both"/>
        <w:rPr>
          <w:rFonts w:ascii="Times New Roman" w:eastAsia="Times New Roman" w:hAnsi="Times New Roman" w:cs="Times New Roman"/>
          <w:kern w:val="2"/>
          <w:sz w:val="24"/>
          <w:szCs w:val="24"/>
          <w:lang w:eastAsia="zh-CN" w:bidi="hi-IN"/>
        </w:rPr>
      </w:pPr>
      <w:r w:rsidRPr="0014151A">
        <w:rPr>
          <w:rFonts w:ascii="Times New Roman" w:eastAsia="Times New Roman" w:hAnsi="Times New Roman" w:cs="Times New Roman"/>
          <w:kern w:val="2"/>
          <w:sz w:val="24"/>
          <w:szCs w:val="24"/>
          <w:lang w:eastAsia="zh-CN" w:bidi="hi-IN"/>
        </w:rPr>
        <w:t xml:space="preserve">Jansons B., Soms J. 1992. Papildinājumi Augšdaugavas dabas pieminekļiem. Latvijas dabas pieminekļu aizsardzības biedrības Informatīvais biļetens. </w:t>
      </w:r>
      <w:proofErr w:type="spellStart"/>
      <w:r w:rsidRPr="0014151A">
        <w:rPr>
          <w:rFonts w:ascii="Times New Roman" w:eastAsia="Times New Roman" w:hAnsi="Times New Roman" w:cs="Times New Roman"/>
          <w:kern w:val="2"/>
          <w:sz w:val="24"/>
          <w:szCs w:val="24"/>
          <w:lang w:eastAsia="zh-CN" w:bidi="hi-IN"/>
        </w:rPr>
        <w:t>Nr</w:t>
      </w:r>
      <w:proofErr w:type="spellEnd"/>
      <w:r w:rsidRPr="0014151A">
        <w:rPr>
          <w:rFonts w:ascii="Times New Roman" w:eastAsia="Times New Roman" w:hAnsi="Times New Roman" w:cs="Times New Roman"/>
          <w:kern w:val="2"/>
          <w:sz w:val="24"/>
          <w:szCs w:val="24"/>
          <w:lang w:eastAsia="zh-CN" w:bidi="hi-IN"/>
        </w:rPr>
        <w:t xml:space="preserve"> 1., Daugavpils, 4.-5.lpp.</w:t>
      </w:r>
    </w:p>
    <w:p w14:paraId="63817815" w14:textId="488795EC" w:rsidR="00260499" w:rsidRPr="0014151A" w:rsidRDefault="00260499" w:rsidP="0014151A">
      <w:pPr>
        <w:numPr>
          <w:ilvl w:val="0"/>
          <w:numId w:val="31"/>
        </w:numPr>
        <w:spacing w:after="0" w:line="240" w:lineRule="auto"/>
        <w:jc w:val="both"/>
        <w:rPr>
          <w:rFonts w:ascii="Times New Roman" w:eastAsia="Times New Roman" w:hAnsi="Times New Roman" w:cs="Times New Roman"/>
          <w:kern w:val="2"/>
          <w:sz w:val="24"/>
          <w:szCs w:val="24"/>
          <w:lang w:eastAsia="zh-CN" w:bidi="hi-IN"/>
        </w:rPr>
      </w:pPr>
      <w:r w:rsidRPr="0014151A">
        <w:rPr>
          <w:rFonts w:ascii="Times New Roman" w:eastAsia="Times New Roman" w:hAnsi="Times New Roman" w:cs="Times New Roman"/>
          <w:color w:val="000000"/>
          <w:kern w:val="2"/>
          <w:sz w:val="24"/>
          <w:szCs w:val="24"/>
          <w:lang w:eastAsia="ja-JP" w:bidi="hi-IN"/>
        </w:rPr>
        <w:t xml:space="preserve">Jansons B. 1993. </w:t>
      </w:r>
      <w:r w:rsidRPr="0014151A">
        <w:rPr>
          <w:rFonts w:ascii="Times New Roman" w:eastAsia="Times New Roman" w:hAnsi="Times New Roman" w:cs="Times New Roman"/>
          <w:i/>
          <w:iCs/>
          <w:color w:val="000000"/>
          <w:kern w:val="2"/>
          <w:sz w:val="24"/>
          <w:szCs w:val="24"/>
          <w:lang w:eastAsia="ja-JP" w:bidi="hi-IN"/>
        </w:rPr>
        <w:t>Augšdaugavas avoti</w:t>
      </w:r>
      <w:r w:rsidRPr="0014151A">
        <w:rPr>
          <w:rFonts w:ascii="Times New Roman" w:eastAsia="Times New Roman" w:hAnsi="Times New Roman" w:cs="Times New Roman"/>
          <w:color w:val="000000"/>
          <w:kern w:val="2"/>
          <w:sz w:val="24"/>
          <w:szCs w:val="24"/>
          <w:lang w:eastAsia="ja-JP" w:bidi="hi-IN"/>
        </w:rPr>
        <w:t>. Daugavpils, Daugavpils Pedagoģiskā universitāte, 23 lpp.</w:t>
      </w:r>
    </w:p>
    <w:p w14:paraId="78E8B4C3" w14:textId="4C5295A6" w:rsidR="00260499" w:rsidRPr="0014151A" w:rsidRDefault="00260499" w:rsidP="0014151A">
      <w:pPr>
        <w:numPr>
          <w:ilvl w:val="0"/>
          <w:numId w:val="31"/>
        </w:numPr>
        <w:spacing w:after="0" w:line="240" w:lineRule="auto"/>
        <w:jc w:val="both"/>
        <w:rPr>
          <w:rFonts w:ascii="Times New Roman" w:eastAsia="Times New Roman" w:hAnsi="Times New Roman" w:cs="Times New Roman"/>
          <w:kern w:val="2"/>
          <w:sz w:val="24"/>
          <w:szCs w:val="24"/>
          <w:lang w:eastAsia="zh-CN" w:bidi="hi-IN"/>
        </w:rPr>
      </w:pPr>
      <w:r w:rsidRPr="0014151A">
        <w:rPr>
          <w:rFonts w:ascii="Times New Roman" w:eastAsia="Times New Roman" w:hAnsi="Times New Roman" w:cs="Times New Roman"/>
          <w:color w:val="000000"/>
          <w:kern w:val="2"/>
          <w:sz w:val="24"/>
          <w:szCs w:val="24"/>
          <w:lang w:eastAsia="ja-JP" w:bidi="hi-IN"/>
        </w:rPr>
        <w:t xml:space="preserve">Jansons B., 1999. </w:t>
      </w:r>
      <w:r w:rsidR="00C67775" w:rsidRPr="0014151A">
        <w:rPr>
          <w:rFonts w:ascii="Times New Roman" w:eastAsia="Times New Roman" w:hAnsi="Times New Roman" w:cs="Times New Roman"/>
          <w:i/>
          <w:iCs/>
          <w:color w:val="000000"/>
          <w:kern w:val="2"/>
          <w:sz w:val="24"/>
          <w:szCs w:val="24"/>
          <w:lang w:eastAsia="ja-JP" w:bidi="hi-IN"/>
        </w:rPr>
        <w:t>Dabas parks “</w:t>
      </w:r>
      <w:r w:rsidRPr="0014151A">
        <w:rPr>
          <w:rFonts w:ascii="Times New Roman" w:eastAsia="Times New Roman" w:hAnsi="Times New Roman" w:cs="Times New Roman"/>
          <w:i/>
          <w:iCs/>
          <w:color w:val="000000"/>
          <w:kern w:val="2"/>
          <w:sz w:val="24"/>
          <w:szCs w:val="24"/>
          <w:lang w:eastAsia="ja-JP" w:bidi="hi-IN"/>
        </w:rPr>
        <w:t>Daugavas loki”</w:t>
      </w:r>
      <w:r w:rsidRPr="0014151A">
        <w:rPr>
          <w:rFonts w:ascii="Times New Roman" w:eastAsia="Times New Roman" w:hAnsi="Times New Roman" w:cs="Times New Roman"/>
          <w:color w:val="000000"/>
          <w:kern w:val="2"/>
          <w:sz w:val="24"/>
          <w:szCs w:val="24"/>
          <w:lang w:eastAsia="ja-JP" w:bidi="hi-IN"/>
        </w:rPr>
        <w:t>. Daugavpils, DPU Saule, 94. lpp.</w:t>
      </w:r>
      <w:bookmarkStart w:id="126" w:name="LR_MK_Noteikumi_Nr_175_2001"/>
      <w:bookmarkEnd w:id="126"/>
    </w:p>
    <w:p w14:paraId="126B95B4" w14:textId="00B0E91E" w:rsidR="00260499" w:rsidRPr="0014151A" w:rsidRDefault="00260499" w:rsidP="0014151A">
      <w:pPr>
        <w:numPr>
          <w:ilvl w:val="0"/>
          <w:numId w:val="31"/>
        </w:numPr>
        <w:tabs>
          <w:tab w:val="left" w:pos="426"/>
        </w:tabs>
        <w:spacing w:after="0" w:line="240" w:lineRule="auto"/>
        <w:jc w:val="both"/>
        <w:rPr>
          <w:rFonts w:ascii="Times New Roman" w:eastAsia="Times New Roman" w:hAnsi="Times New Roman" w:cs="Times New Roman"/>
          <w:kern w:val="2"/>
          <w:sz w:val="24"/>
          <w:szCs w:val="24"/>
          <w:lang w:eastAsia="zh-CN" w:bidi="hi-IN"/>
        </w:rPr>
      </w:pPr>
      <w:proofErr w:type="spellStart"/>
      <w:r w:rsidRPr="0014151A">
        <w:rPr>
          <w:rFonts w:ascii="Times New Roman" w:eastAsia="Times New Roman" w:hAnsi="Times New Roman" w:cs="Times New Roman"/>
          <w:kern w:val="2"/>
          <w:sz w:val="24"/>
          <w:szCs w:val="24"/>
          <w:lang w:eastAsia="zh-CN" w:bidi="hi-IN"/>
        </w:rPr>
        <w:t>Jarvis</w:t>
      </w:r>
      <w:proofErr w:type="spellEnd"/>
      <w:r w:rsidRPr="0014151A">
        <w:rPr>
          <w:rFonts w:ascii="Times New Roman" w:eastAsia="Times New Roman" w:hAnsi="Times New Roman" w:cs="Times New Roman"/>
          <w:kern w:val="2"/>
          <w:sz w:val="24"/>
          <w:szCs w:val="24"/>
          <w:lang w:eastAsia="zh-CN" w:bidi="hi-IN"/>
        </w:rPr>
        <w:t xml:space="preserve"> A., </w:t>
      </w:r>
      <w:proofErr w:type="spellStart"/>
      <w:r w:rsidRPr="0014151A">
        <w:rPr>
          <w:rFonts w:ascii="Times New Roman" w:eastAsia="Times New Roman" w:hAnsi="Times New Roman" w:cs="Times New Roman"/>
          <w:kern w:val="2"/>
          <w:sz w:val="24"/>
          <w:szCs w:val="24"/>
          <w:lang w:eastAsia="zh-CN" w:bidi="hi-IN"/>
        </w:rPr>
        <w:t>Reuter</w:t>
      </w:r>
      <w:proofErr w:type="spellEnd"/>
      <w:r w:rsidRPr="0014151A">
        <w:rPr>
          <w:rFonts w:ascii="Times New Roman" w:eastAsia="Times New Roman" w:hAnsi="Times New Roman" w:cs="Times New Roman"/>
          <w:kern w:val="2"/>
          <w:sz w:val="24"/>
          <w:szCs w:val="24"/>
          <w:lang w:eastAsia="zh-CN" w:bidi="hi-IN"/>
        </w:rPr>
        <w:t xml:space="preserve"> H.I., Nelson A., </w:t>
      </w:r>
      <w:proofErr w:type="spellStart"/>
      <w:r w:rsidRPr="0014151A">
        <w:rPr>
          <w:rFonts w:ascii="Times New Roman" w:eastAsia="Times New Roman" w:hAnsi="Times New Roman" w:cs="Times New Roman"/>
          <w:kern w:val="2"/>
          <w:sz w:val="24"/>
          <w:szCs w:val="24"/>
          <w:lang w:eastAsia="zh-CN" w:bidi="hi-IN"/>
        </w:rPr>
        <w:t>Guevara</w:t>
      </w:r>
      <w:proofErr w:type="spellEnd"/>
      <w:r w:rsidRPr="0014151A">
        <w:rPr>
          <w:rFonts w:ascii="Times New Roman" w:eastAsia="Times New Roman" w:hAnsi="Times New Roman" w:cs="Times New Roman"/>
          <w:kern w:val="2"/>
          <w:sz w:val="24"/>
          <w:szCs w:val="24"/>
          <w:lang w:eastAsia="zh-CN" w:bidi="hi-IN"/>
        </w:rPr>
        <w:t xml:space="preserve"> E., 2008. </w:t>
      </w:r>
      <w:proofErr w:type="spellStart"/>
      <w:r w:rsidRPr="0014151A">
        <w:rPr>
          <w:rFonts w:ascii="Times New Roman" w:eastAsia="Times New Roman" w:hAnsi="Times New Roman" w:cs="Times New Roman"/>
          <w:kern w:val="2"/>
          <w:sz w:val="24"/>
          <w:szCs w:val="24"/>
          <w:lang w:eastAsia="zh-CN" w:bidi="hi-IN"/>
        </w:rPr>
        <w:t>Hole-filled</w:t>
      </w:r>
      <w:proofErr w:type="spellEnd"/>
      <w:r w:rsidR="00D65BBA"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seamless</w:t>
      </w:r>
      <w:proofErr w:type="spellEnd"/>
      <w:r w:rsidRPr="0014151A">
        <w:rPr>
          <w:rFonts w:ascii="Times New Roman" w:eastAsia="Times New Roman" w:hAnsi="Times New Roman" w:cs="Times New Roman"/>
          <w:kern w:val="2"/>
          <w:sz w:val="24"/>
          <w:szCs w:val="24"/>
          <w:lang w:eastAsia="zh-CN" w:bidi="hi-IN"/>
        </w:rPr>
        <w:t xml:space="preserve"> SRTM </w:t>
      </w:r>
      <w:proofErr w:type="spellStart"/>
      <w:r w:rsidRPr="0014151A">
        <w:rPr>
          <w:rFonts w:ascii="Times New Roman" w:eastAsia="Times New Roman" w:hAnsi="Times New Roman" w:cs="Times New Roman"/>
          <w:kern w:val="2"/>
          <w:sz w:val="24"/>
          <w:szCs w:val="24"/>
          <w:lang w:eastAsia="zh-CN" w:bidi="hi-IN"/>
        </w:rPr>
        <w:t>data</w:t>
      </w:r>
      <w:proofErr w:type="spellEnd"/>
      <w:r w:rsidRPr="0014151A">
        <w:rPr>
          <w:rFonts w:ascii="Times New Roman" w:eastAsia="Times New Roman" w:hAnsi="Times New Roman" w:cs="Times New Roman"/>
          <w:kern w:val="2"/>
          <w:sz w:val="24"/>
          <w:szCs w:val="24"/>
          <w:lang w:eastAsia="zh-CN" w:bidi="hi-IN"/>
        </w:rPr>
        <w:t xml:space="preserve"> V4, </w:t>
      </w:r>
      <w:proofErr w:type="spellStart"/>
      <w:r w:rsidRPr="0014151A">
        <w:rPr>
          <w:rFonts w:ascii="Times New Roman" w:eastAsia="Times New Roman" w:hAnsi="Times New Roman" w:cs="Times New Roman"/>
          <w:kern w:val="2"/>
          <w:sz w:val="24"/>
          <w:szCs w:val="24"/>
          <w:lang w:eastAsia="zh-CN" w:bidi="hi-IN"/>
        </w:rPr>
        <w:t>International</w:t>
      </w:r>
      <w:proofErr w:type="spellEnd"/>
      <w:r w:rsidR="00D65BBA"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Centre</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for</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Tropical</w:t>
      </w:r>
      <w:proofErr w:type="spellEnd"/>
      <w:r w:rsidR="00D65BBA"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Agriculture</w:t>
      </w:r>
      <w:proofErr w:type="spellEnd"/>
      <w:r w:rsidRPr="0014151A">
        <w:rPr>
          <w:rFonts w:ascii="Times New Roman" w:eastAsia="Times New Roman" w:hAnsi="Times New Roman" w:cs="Times New Roman"/>
          <w:kern w:val="2"/>
          <w:sz w:val="24"/>
          <w:szCs w:val="24"/>
          <w:lang w:eastAsia="zh-CN" w:bidi="hi-IN"/>
        </w:rPr>
        <w:t xml:space="preserve"> (CIAT), </w:t>
      </w:r>
      <w:proofErr w:type="spellStart"/>
      <w:r w:rsidRPr="0014151A">
        <w:rPr>
          <w:rFonts w:ascii="Times New Roman" w:eastAsia="Times New Roman" w:hAnsi="Times New Roman" w:cs="Times New Roman"/>
          <w:kern w:val="2"/>
          <w:sz w:val="24"/>
          <w:szCs w:val="24"/>
          <w:lang w:eastAsia="zh-CN" w:bidi="hi-IN"/>
        </w:rPr>
        <w:t>available</w:t>
      </w:r>
      <w:proofErr w:type="spellEnd"/>
      <w:r w:rsidR="00D65BBA"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from</w:t>
      </w:r>
      <w:proofErr w:type="spellEnd"/>
      <w:r w:rsidRPr="0014151A">
        <w:rPr>
          <w:rFonts w:ascii="Times New Roman" w:eastAsia="Times New Roman" w:hAnsi="Times New Roman" w:cs="Times New Roman"/>
          <w:kern w:val="2"/>
          <w:sz w:val="24"/>
          <w:szCs w:val="24"/>
          <w:lang w:eastAsia="zh-CN" w:bidi="hi-IN"/>
        </w:rPr>
        <w:t xml:space="preserve"> </w:t>
      </w:r>
      <w:hyperlink r:id="rId206" w:history="1">
        <w:r w:rsidRPr="0014151A">
          <w:rPr>
            <w:rFonts w:ascii="Times New Roman" w:eastAsia="Times New Roman" w:hAnsi="Times New Roman" w:cs="Times New Roman"/>
            <w:color w:val="333333"/>
            <w:kern w:val="2"/>
            <w:sz w:val="24"/>
            <w:szCs w:val="24"/>
            <w:u w:val="single"/>
            <w:lang w:eastAsia="zh-CN" w:bidi="hi-IN"/>
          </w:rPr>
          <w:t>http://srtm.csi.cgiar.org</w:t>
        </w:r>
      </w:hyperlink>
      <w:r w:rsidRPr="0014151A">
        <w:rPr>
          <w:rFonts w:ascii="Times New Roman" w:eastAsia="Times New Roman" w:hAnsi="Times New Roman" w:cs="Times New Roman"/>
          <w:kern w:val="2"/>
          <w:sz w:val="24"/>
          <w:szCs w:val="24"/>
          <w:lang w:eastAsia="zh-CN" w:bidi="hi-IN"/>
        </w:rPr>
        <w:t xml:space="preserve">. </w:t>
      </w:r>
    </w:p>
    <w:p w14:paraId="445ACD6B" w14:textId="77777777" w:rsidR="00260499" w:rsidRPr="0014151A" w:rsidRDefault="00260499" w:rsidP="0014151A">
      <w:pPr>
        <w:numPr>
          <w:ilvl w:val="0"/>
          <w:numId w:val="31"/>
        </w:numPr>
        <w:tabs>
          <w:tab w:val="left" w:pos="426"/>
        </w:tabs>
        <w:spacing w:after="0" w:line="240" w:lineRule="auto"/>
        <w:jc w:val="both"/>
        <w:rPr>
          <w:rFonts w:ascii="Times New Roman" w:eastAsia="Times New Roman" w:hAnsi="Times New Roman" w:cs="Times New Roman"/>
          <w:kern w:val="2"/>
          <w:sz w:val="24"/>
          <w:szCs w:val="24"/>
          <w:lang w:eastAsia="zh-CN" w:bidi="hi-IN"/>
        </w:rPr>
      </w:pPr>
      <w:proofErr w:type="spellStart"/>
      <w:r w:rsidRPr="0014151A">
        <w:rPr>
          <w:rFonts w:ascii="Times New Roman" w:eastAsia="Times New Roman" w:hAnsi="Times New Roman" w:cs="Times New Roman"/>
          <w:kern w:val="2"/>
          <w:sz w:val="24"/>
          <w:szCs w:val="24"/>
          <w:lang w:eastAsia="zh-CN" w:bidi="hi-IN"/>
        </w:rPr>
        <w:t>Juškevičs</w:t>
      </w:r>
      <w:proofErr w:type="spellEnd"/>
      <w:r w:rsidRPr="0014151A">
        <w:rPr>
          <w:rFonts w:ascii="Times New Roman" w:eastAsia="Times New Roman" w:hAnsi="Times New Roman" w:cs="Times New Roman"/>
          <w:kern w:val="2"/>
          <w:sz w:val="24"/>
          <w:szCs w:val="24"/>
          <w:lang w:eastAsia="zh-CN" w:bidi="hi-IN"/>
        </w:rPr>
        <w:t xml:space="preserve"> V., </w:t>
      </w:r>
      <w:proofErr w:type="spellStart"/>
      <w:r w:rsidRPr="0014151A">
        <w:rPr>
          <w:rFonts w:ascii="Times New Roman" w:eastAsia="Times New Roman" w:hAnsi="Times New Roman" w:cs="Times New Roman"/>
          <w:kern w:val="2"/>
          <w:sz w:val="24"/>
          <w:szCs w:val="24"/>
          <w:lang w:eastAsia="zh-CN" w:bidi="hi-IN"/>
        </w:rPr>
        <w:t>Skrebels</w:t>
      </w:r>
      <w:proofErr w:type="spellEnd"/>
      <w:r w:rsidRPr="0014151A">
        <w:rPr>
          <w:rFonts w:ascii="Times New Roman" w:eastAsia="Times New Roman" w:hAnsi="Times New Roman" w:cs="Times New Roman"/>
          <w:kern w:val="2"/>
          <w:sz w:val="24"/>
          <w:szCs w:val="24"/>
          <w:lang w:eastAsia="zh-CN" w:bidi="hi-IN"/>
        </w:rPr>
        <w:t xml:space="preserve"> J., 2003a. </w:t>
      </w:r>
      <w:proofErr w:type="spellStart"/>
      <w:r w:rsidRPr="0014151A">
        <w:rPr>
          <w:rFonts w:ascii="Times New Roman" w:eastAsia="Times New Roman" w:hAnsi="Times New Roman" w:cs="Times New Roman"/>
          <w:kern w:val="2"/>
          <w:sz w:val="24"/>
          <w:szCs w:val="24"/>
          <w:lang w:eastAsia="zh-CN" w:bidi="hi-IN"/>
        </w:rPr>
        <w:t>Zemkvartāra</w:t>
      </w:r>
      <w:proofErr w:type="spellEnd"/>
      <w:r w:rsidRPr="0014151A">
        <w:rPr>
          <w:rFonts w:ascii="Times New Roman" w:eastAsia="Times New Roman" w:hAnsi="Times New Roman" w:cs="Times New Roman"/>
          <w:kern w:val="2"/>
          <w:sz w:val="24"/>
          <w:szCs w:val="24"/>
          <w:lang w:eastAsia="zh-CN" w:bidi="hi-IN"/>
        </w:rPr>
        <w:t xml:space="preserve"> virsmas reljefa karte mērogā 1 : 500 000 (2. lapa). Krāj.: Āboltiņš O., </w:t>
      </w:r>
      <w:proofErr w:type="spellStart"/>
      <w:r w:rsidRPr="0014151A">
        <w:rPr>
          <w:rFonts w:ascii="Times New Roman" w:eastAsia="Times New Roman" w:hAnsi="Times New Roman" w:cs="Times New Roman"/>
          <w:kern w:val="2"/>
          <w:sz w:val="24"/>
          <w:szCs w:val="24"/>
          <w:lang w:eastAsia="zh-CN" w:bidi="hi-IN"/>
        </w:rPr>
        <w:t>Brangulis</w:t>
      </w:r>
      <w:proofErr w:type="spellEnd"/>
      <w:r w:rsidRPr="0014151A">
        <w:rPr>
          <w:rFonts w:ascii="Times New Roman" w:eastAsia="Times New Roman" w:hAnsi="Times New Roman" w:cs="Times New Roman"/>
          <w:kern w:val="2"/>
          <w:sz w:val="24"/>
          <w:szCs w:val="24"/>
          <w:lang w:eastAsia="zh-CN" w:bidi="hi-IN"/>
        </w:rPr>
        <w:t xml:space="preserve"> A.J. (</w:t>
      </w:r>
      <w:proofErr w:type="spellStart"/>
      <w:r w:rsidRPr="0014151A">
        <w:rPr>
          <w:rFonts w:ascii="Times New Roman" w:eastAsia="Times New Roman" w:hAnsi="Times New Roman" w:cs="Times New Roman"/>
          <w:kern w:val="2"/>
          <w:sz w:val="24"/>
          <w:szCs w:val="24"/>
          <w:lang w:eastAsia="zh-CN" w:bidi="hi-IN"/>
        </w:rPr>
        <w:t>red</w:t>
      </w:r>
      <w:proofErr w:type="spellEnd"/>
      <w:r w:rsidRPr="0014151A">
        <w:rPr>
          <w:rFonts w:ascii="Times New Roman" w:eastAsia="Times New Roman" w:hAnsi="Times New Roman" w:cs="Times New Roman"/>
          <w:kern w:val="2"/>
          <w:sz w:val="24"/>
          <w:szCs w:val="24"/>
          <w:lang w:eastAsia="zh-CN" w:bidi="hi-IN"/>
        </w:rPr>
        <w:t xml:space="preserve">.), </w:t>
      </w:r>
      <w:r w:rsidRPr="0014151A">
        <w:rPr>
          <w:rFonts w:ascii="Times New Roman" w:eastAsia="Times New Roman" w:hAnsi="Times New Roman" w:cs="Times New Roman"/>
          <w:i/>
          <w:iCs/>
          <w:kern w:val="2"/>
          <w:sz w:val="24"/>
          <w:szCs w:val="24"/>
          <w:lang w:eastAsia="zh-CN" w:bidi="hi-IN"/>
        </w:rPr>
        <w:t>Latvijas ģeoloģiskā karte, mērogs 1:200 000, 34. lapa – Jēkabpils un 24. lapa – Daugavpils; paskaidrojuma teksts un kartes</w:t>
      </w:r>
      <w:r w:rsidRPr="0014151A">
        <w:rPr>
          <w:rFonts w:ascii="Times New Roman" w:eastAsia="Times New Roman" w:hAnsi="Times New Roman" w:cs="Times New Roman"/>
          <w:kern w:val="2"/>
          <w:sz w:val="24"/>
          <w:szCs w:val="24"/>
          <w:lang w:eastAsia="zh-CN" w:bidi="hi-IN"/>
        </w:rPr>
        <w:t>. Valsts ģeoloģijas dienests, Rīga.</w:t>
      </w:r>
    </w:p>
    <w:p w14:paraId="6A875018" w14:textId="77777777" w:rsidR="00260499" w:rsidRPr="0014151A" w:rsidRDefault="00260499" w:rsidP="0014151A">
      <w:pPr>
        <w:numPr>
          <w:ilvl w:val="0"/>
          <w:numId w:val="31"/>
        </w:numPr>
        <w:tabs>
          <w:tab w:val="left" w:pos="426"/>
        </w:tabs>
        <w:spacing w:after="0" w:line="240" w:lineRule="auto"/>
        <w:jc w:val="both"/>
        <w:rPr>
          <w:rFonts w:ascii="Times New Roman" w:eastAsia="Times New Roman" w:hAnsi="Times New Roman" w:cs="Times New Roman"/>
          <w:kern w:val="2"/>
          <w:sz w:val="24"/>
          <w:szCs w:val="24"/>
          <w:lang w:eastAsia="zh-CN" w:bidi="hi-IN"/>
        </w:rPr>
      </w:pPr>
      <w:proofErr w:type="spellStart"/>
      <w:r w:rsidRPr="0014151A">
        <w:rPr>
          <w:rFonts w:ascii="Times New Roman" w:eastAsia="Times New Roman" w:hAnsi="Times New Roman" w:cs="Times New Roman"/>
          <w:kern w:val="2"/>
          <w:sz w:val="24"/>
          <w:szCs w:val="24"/>
          <w:lang w:eastAsia="zh-CN" w:bidi="hi-IN"/>
        </w:rPr>
        <w:t>Juškevičs</w:t>
      </w:r>
      <w:proofErr w:type="spellEnd"/>
      <w:r w:rsidRPr="0014151A">
        <w:rPr>
          <w:rFonts w:ascii="Times New Roman" w:eastAsia="Times New Roman" w:hAnsi="Times New Roman" w:cs="Times New Roman"/>
          <w:kern w:val="2"/>
          <w:sz w:val="24"/>
          <w:szCs w:val="24"/>
          <w:lang w:eastAsia="zh-CN" w:bidi="hi-IN"/>
        </w:rPr>
        <w:t xml:space="preserve"> V., </w:t>
      </w:r>
      <w:proofErr w:type="spellStart"/>
      <w:r w:rsidRPr="0014151A">
        <w:rPr>
          <w:rFonts w:ascii="Times New Roman" w:eastAsia="Times New Roman" w:hAnsi="Times New Roman" w:cs="Times New Roman"/>
          <w:kern w:val="2"/>
          <w:sz w:val="24"/>
          <w:szCs w:val="24"/>
          <w:lang w:eastAsia="zh-CN" w:bidi="hi-IN"/>
        </w:rPr>
        <w:t>Skrebels</w:t>
      </w:r>
      <w:proofErr w:type="spellEnd"/>
      <w:r w:rsidRPr="0014151A">
        <w:rPr>
          <w:rFonts w:ascii="Times New Roman" w:eastAsia="Times New Roman" w:hAnsi="Times New Roman" w:cs="Times New Roman"/>
          <w:kern w:val="2"/>
          <w:sz w:val="24"/>
          <w:szCs w:val="24"/>
          <w:lang w:eastAsia="zh-CN" w:bidi="hi-IN"/>
        </w:rPr>
        <w:t xml:space="preserve"> J., 2003b. Kvartāra nogulumi, karte mērogā 1 : 200 000 (4. lapa). Krāj. Āboltiņš O., </w:t>
      </w:r>
      <w:proofErr w:type="spellStart"/>
      <w:r w:rsidRPr="0014151A">
        <w:rPr>
          <w:rFonts w:ascii="Times New Roman" w:eastAsia="Times New Roman" w:hAnsi="Times New Roman" w:cs="Times New Roman"/>
          <w:kern w:val="2"/>
          <w:sz w:val="24"/>
          <w:szCs w:val="24"/>
          <w:lang w:eastAsia="zh-CN" w:bidi="hi-IN"/>
        </w:rPr>
        <w:t>Brangulis</w:t>
      </w:r>
      <w:proofErr w:type="spellEnd"/>
      <w:r w:rsidRPr="0014151A">
        <w:rPr>
          <w:rFonts w:ascii="Times New Roman" w:eastAsia="Times New Roman" w:hAnsi="Times New Roman" w:cs="Times New Roman"/>
          <w:kern w:val="2"/>
          <w:sz w:val="24"/>
          <w:szCs w:val="24"/>
          <w:lang w:eastAsia="zh-CN" w:bidi="hi-IN"/>
        </w:rPr>
        <w:t xml:space="preserve"> A.J. (</w:t>
      </w:r>
      <w:proofErr w:type="spellStart"/>
      <w:r w:rsidRPr="0014151A">
        <w:rPr>
          <w:rFonts w:ascii="Times New Roman" w:eastAsia="Times New Roman" w:hAnsi="Times New Roman" w:cs="Times New Roman"/>
          <w:kern w:val="2"/>
          <w:sz w:val="24"/>
          <w:szCs w:val="24"/>
          <w:lang w:eastAsia="zh-CN" w:bidi="hi-IN"/>
        </w:rPr>
        <w:t>red</w:t>
      </w:r>
      <w:proofErr w:type="spellEnd"/>
      <w:r w:rsidRPr="0014151A">
        <w:rPr>
          <w:rFonts w:ascii="Times New Roman" w:eastAsia="Times New Roman" w:hAnsi="Times New Roman" w:cs="Times New Roman"/>
          <w:kern w:val="2"/>
          <w:sz w:val="24"/>
          <w:szCs w:val="24"/>
          <w:lang w:eastAsia="zh-CN" w:bidi="hi-IN"/>
        </w:rPr>
        <w:t xml:space="preserve">.), </w:t>
      </w:r>
      <w:r w:rsidRPr="0014151A">
        <w:rPr>
          <w:rFonts w:ascii="Times New Roman" w:eastAsia="Times New Roman" w:hAnsi="Times New Roman" w:cs="Times New Roman"/>
          <w:i/>
          <w:kern w:val="2"/>
          <w:sz w:val="24"/>
          <w:szCs w:val="24"/>
          <w:lang w:eastAsia="zh-CN" w:bidi="hi-IN"/>
        </w:rPr>
        <w:t>Latvijas ģeoloģiskā karte, mērogs 1:200 000, 34. lapa – Jēkabpils un 24. lapa – Daugavpils; paskaidrojuma teksts un kartes.</w:t>
      </w:r>
      <w:r w:rsidRPr="0014151A">
        <w:rPr>
          <w:rFonts w:ascii="Times New Roman" w:eastAsia="Times New Roman" w:hAnsi="Times New Roman" w:cs="Times New Roman"/>
          <w:kern w:val="2"/>
          <w:sz w:val="24"/>
          <w:szCs w:val="24"/>
          <w:lang w:eastAsia="zh-CN" w:bidi="hi-IN"/>
        </w:rPr>
        <w:t xml:space="preserve"> Valsts ģeoloģijas dienests, Rīga.</w:t>
      </w:r>
    </w:p>
    <w:p w14:paraId="64189AD5" w14:textId="03B6175B" w:rsidR="00260499" w:rsidRPr="0014151A" w:rsidRDefault="00260499" w:rsidP="0014151A">
      <w:pPr>
        <w:numPr>
          <w:ilvl w:val="0"/>
          <w:numId w:val="31"/>
        </w:numPr>
        <w:tabs>
          <w:tab w:val="left" w:pos="426"/>
        </w:tabs>
        <w:spacing w:after="0" w:line="240" w:lineRule="auto"/>
        <w:ind w:left="924" w:hanging="357"/>
        <w:jc w:val="both"/>
        <w:rPr>
          <w:rFonts w:ascii="Times New Roman" w:eastAsia="Times New Roman" w:hAnsi="Times New Roman" w:cs="Times New Roman"/>
          <w:kern w:val="2"/>
          <w:sz w:val="24"/>
          <w:szCs w:val="24"/>
          <w:lang w:eastAsia="zh-CN" w:bidi="hi-IN"/>
        </w:rPr>
      </w:pPr>
      <w:proofErr w:type="spellStart"/>
      <w:r w:rsidRPr="0014151A">
        <w:rPr>
          <w:rFonts w:ascii="Times New Roman" w:eastAsia="Times New Roman" w:hAnsi="Times New Roman" w:cs="Times New Roman"/>
          <w:kern w:val="2"/>
          <w:sz w:val="24"/>
          <w:szCs w:val="24"/>
          <w:lang w:eastAsia="zh-CN" w:bidi="hi-IN"/>
        </w:rPr>
        <w:t>Juškevičs</w:t>
      </w:r>
      <w:proofErr w:type="spellEnd"/>
      <w:r w:rsidRPr="0014151A">
        <w:rPr>
          <w:rFonts w:ascii="Times New Roman" w:eastAsia="Times New Roman" w:hAnsi="Times New Roman" w:cs="Times New Roman"/>
          <w:kern w:val="2"/>
          <w:sz w:val="24"/>
          <w:szCs w:val="24"/>
          <w:lang w:eastAsia="zh-CN" w:bidi="hi-IN"/>
        </w:rPr>
        <w:t xml:space="preserve"> V., Misāns J., Mūrnieks A., </w:t>
      </w:r>
      <w:proofErr w:type="spellStart"/>
      <w:r w:rsidRPr="0014151A">
        <w:rPr>
          <w:rFonts w:ascii="Times New Roman" w:eastAsia="Times New Roman" w:hAnsi="Times New Roman" w:cs="Times New Roman"/>
          <w:kern w:val="2"/>
          <w:sz w:val="24"/>
          <w:szCs w:val="24"/>
          <w:lang w:eastAsia="zh-CN" w:bidi="hi-IN"/>
        </w:rPr>
        <w:t>Skrebels</w:t>
      </w:r>
      <w:proofErr w:type="spellEnd"/>
      <w:r w:rsidRPr="0014151A">
        <w:rPr>
          <w:rFonts w:ascii="Times New Roman" w:eastAsia="Times New Roman" w:hAnsi="Times New Roman" w:cs="Times New Roman"/>
          <w:kern w:val="2"/>
          <w:sz w:val="24"/>
          <w:szCs w:val="24"/>
          <w:lang w:eastAsia="zh-CN" w:bidi="hi-IN"/>
        </w:rPr>
        <w:t xml:space="preserve"> J. 2003. Latvijas ģeoloģiskā karte mērogā 1 : 200 000. 34.lapa – Jēkabpils un 24.lapa – Daugavpils. 1. lapa </w:t>
      </w:r>
      <w:r w:rsidR="00D76A87" w:rsidRPr="0014151A">
        <w:rPr>
          <w:rFonts w:ascii="Times New Roman" w:eastAsia="Times New Roman" w:hAnsi="Times New Roman" w:cs="Times New Roman"/>
          <w:kern w:val="2"/>
          <w:sz w:val="24"/>
          <w:szCs w:val="24"/>
          <w:lang w:eastAsia="zh-CN" w:bidi="hi-IN"/>
        </w:rPr>
        <w:t>“</w:t>
      </w:r>
      <w:proofErr w:type="spellStart"/>
      <w:r w:rsidRPr="0014151A">
        <w:rPr>
          <w:rFonts w:ascii="Times New Roman" w:eastAsia="Times New Roman" w:hAnsi="Times New Roman" w:cs="Times New Roman"/>
          <w:kern w:val="2"/>
          <w:sz w:val="24"/>
          <w:szCs w:val="24"/>
          <w:lang w:eastAsia="zh-CN" w:bidi="hi-IN"/>
        </w:rPr>
        <w:t>Pirmskvartāra</w:t>
      </w:r>
      <w:proofErr w:type="spellEnd"/>
      <w:r w:rsidRPr="0014151A">
        <w:rPr>
          <w:rFonts w:ascii="Times New Roman" w:eastAsia="Times New Roman" w:hAnsi="Times New Roman" w:cs="Times New Roman"/>
          <w:kern w:val="2"/>
          <w:sz w:val="24"/>
          <w:szCs w:val="24"/>
          <w:lang w:eastAsia="zh-CN" w:bidi="hi-IN"/>
        </w:rPr>
        <w:t xml:space="preserve"> nogulumi” un 4. lapa </w:t>
      </w:r>
      <w:r w:rsidR="00D76A87" w:rsidRPr="0014151A">
        <w:rPr>
          <w:rFonts w:ascii="Times New Roman" w:eastAsia="Times New Roman" w:hAnsi="Times New Roman" w:cs="Times New Roman"/>
          <w:kern w:val="2"/>
          <w:sz w:val="24"/>
          <w:szCs w:val="24"/>
          <w:lang w:eastAsia="zh-CN" w:bidi="hi-IN"/>
        </w:rPr>
        <w:t>“</w:t>
      </w:r>
      <w:r w:rsidRPr="0014151A">
        <w:rPr>
          <w:rFonts w:ascii="Times New Roman" w:eastAsia="Times New Roman" w:hAnsi="Times New Roman" w:cs="Times New Roman"/>
          <w:kern w:val="2"/>
          <w:sz w:val="24"/>
          <w:szCs w:val="24"/>
          <w:lang w:eastAsia="zh-CN" w:bidi="hi-IN"/>
        </w:rPr>
        <w:t>Kvartāra nogulumi” Valsts ģeoloģijas dienests, Rīga.</w:t>
      </w:r>
    </w:p>
    <w:p w14:paraId="1EF8CFB9" w14:textId="7BAAA11F" w:rsidR="00260499" w:rsidRPr="0014151A" w:rsidRDefault="00260499" w:rsidP="0014151A">
      <w:pPr>
        <w:numPr>
          <w:ilvl w:val="0"/>
          <w:numId w:val="31"/>
        </w:numPr>
        <w:tabs>
          <w:tab w:val="left" w:pos="426"/>
        </w:tabs>
        <w:spacing w:after="0" w:line="240" w:lineRule="auto"/>
        <w:ind w:left="924" w:hanging="357"/>
        <w:jc w:val="both"/>
        <w:rPr>
          <w:rFonts w:ascii="Times New Roman" w:eastAsia="Times New Roman" w:hAnsi="Times New Roman" w:cs="Times New Roman"/>
          <w:kern w:val="2"/>
          <w:sz w:val="24"/>
          <w:szCs w:val="24"/>
          <w:lang w:eastAsia="zh-CN" w:bidi="hi-IN"/>
        </w:rPr>
      </w:pPr>
      <w:r w:rsidRPr="0014151A">
        <w:rPr>
          <w:rFonts w:ascii="Times New Roman" w:eastAsia="Times New Roman" w:hAnsi="Times New Roman" w:cs="Times New Roman"/>
          <w:kern w:val="2"/>
          <w:sz w:val="24"/>
          <w:szCs w:val="24"/>
          <w:lang w:eastAsia="zh-CN" w:bidi="hi-IN"/>
        </w:rPr>
        <w:t>Kalniņa</w:t>
      </w:r>
      <w:r w:rsidR="00D65BBA" w:rsidRPr="0014151A">
        <w:rPr>
          <w:rFonts w:ascii="Times New Roman" w:eastAsia="Times New Roman" w:hAnsi="Times New Roman" w:cs="Times New Roman"/>
          <w:kern w:val="2"/>
          <w:sz w:val="24"/>
          <w:szCs w:val="24"/>
          <w:lang w:eastAsia="zh-CN" w:bidi="hi-IN"/>
        </w:rPr>
        <w:t xml:space="preserve"> </w:t>
      </w:r>
      <w:r w:rsidRPr="0014151A">
        <w:rPr>
          <w:rFonts w:ascii="Times New Roman" w:eastAsia="Times New Roman" w:hAnsi="Times New Roman" w:cs="Times New Roman"/>
          <w:kern w:val="2"/>
          <w:sz w:val="24"/>
          <w:szCs w:val="24"/>
          <w:lang w:eastAsia="zh-CN" w:bidi="hi-IN"/>
        </w:rPr>
        <w:t xml:space="preserve">A. 1995. Klimatiskā rajonēšana. </w:t>
      </w:r>
      <w:proofErr w:type="spellStart"/>
      <w:r w:rsidRPr="0014151A">
        <w:rPr>
          <w:rFonts w:ascii="Times New Roman" w:eastAsia="Times New Roman" w:hAnsi="Times New Roman" w:cs="Times New Roman"/>
          <w:kern w:val="2"/>
          <w:sz w:val="24"/>
          <w:szCs w:val="24"/>
          <w:lang w:eastAsia="zh-CN" w:bidi="hi-IN"/>
        </w:rPr>
        <w:t>In</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Kavacs</w:t>
      </w:r>
      <w:proofErr w:type="spellEnd"/>
      <w:r w:rsidRPr="0014151A">
        <w:rPr>
          <w:rFonts w:ascii="Times New Roman" w:eastAsia="Times New Roman" w:hAnsi="Times New Roman" w:cs="Times New Roman"/>
          <w:kern w:val="2"/>
          <w:sz w:val="24"/>
          <w:szCs w:val="24"/>
          <w:lang w:eastAsia="zh-CN" w:bidi="hi-IN"/>
        </w:rPr>
        <w:t xml:space="preserve"> G. (</w:t>
      </w:r>
      <w:proofErr w:type="spellStart"/>
      <w:r w:rsidRPr="0014151A">
        <w:rPr>
          <w:rFonts w:ascii="Times New Roman" w:eastAsia="Times New Roman" w:hAnsi="Times New Roman" w:cs="Times New Roman"/>
          <w:kern w:val="2"/>
          <w:sz w:val="24"/>
          <w:szCs w:val="24"/>
          <w:lang w:eastAsia="zh-CN" w:bidi="hi-IN"/>
        </w:rPr>
        <w:t>ed</w:t>
      </w:r>
      <w:proofErr w:type="spellEnd"/>
      <w:r w:rsidRPr="0014151A">
        <w:rPr>
          <w:rFonts w:ascii="Times New Roman" w:eastAsia="Times New Roman" w:hAnsi="Times New Roman" w:cs="Times New Roman"/>
          <w:kern w:val="2"/>
          <w:sz w:val="24"/>
          <w:szCs w:val="24"/>
          <w:lang w:eastAsia="zh-CN" w:bidi="hi-IN"/>
        </w:rPr>
        <w:t>), Enciklopēdija "Latvija un latvieši". Latvijas daba. 2. sēj. Latvijas enciklopēdija, Rīga, 245.lpp.</w:t>
      </w:r>
    </w:p>
    <w:p w14:paraId="41183F42" w14:textId="42130C2C" w:rsidR="00160115" w:rsidRPr="0014151A" w:rsidRDefault="00160115" w:rsidP="0014151A">
      <w:pPr>
        <w:numPr>
          <w:ilvl w:val="0"/>
          <w:numId w:val="31"/>
        </w:numPr>
        <w:spacing w:after="0" w:line="240" w:lineRule="auto"/>
        <w:contextualSpacing/>
        <w:jc w:val="both"/>
        <w:rPr>
          <w:rFonts w:ascii="Times New Roman" w:eastAsia="Times New Roman" w:hAnsi="Times New Roman" w:cs="Times New Roman"/>
          <w:kern w:val="2"/>
          <w:sz w:val="24"/>
          <w:szCs w:val="24"/>
          <w:lang w:eastAsia="zh-CN" w:bidi="hi-IN"/>
        </w:rPr>
      </w:pPr>
      <w:r w:rsidRPr="0014151A">
        <w:rPr>
          <w:rFonts w:ascii="Times New Roman" w:eastAsia="Times New Roman" w:hAnsi="Times New Roman" w:cs="Times New Roman"/>
          <w:kern w:val="2"/>
          <w:sz w:val="24"/>
          <w:szCs w:val="24"/>
          <w:lang w:eastAsia="zh-CN" w:bidi="hi-IN"/>
        </w:rPr>
        <w:t xml:space="preserve">Kalniņš M. 2014. Priekšlikumi </w:t>
      </w:r>
      <w:r w:rsidRPr="0014151A">
        <w:rPr>
          <w:rFonts w:ascii="Times New Roman" w:eastAsia="Times New Roman" w:hAnsi="Times New Roman" w:cs="Times New Roman"/>
          <w:i/>
          <w:kern w:val="2"/>
          <w:sz w:val="24"/>
          <w:szCs w:val="24"/>
          <w:lang w:eastAsia="zh-CN" w:bidi="hi-IN"/>
        </w:rPr>
        <w:t>NATURA 2000</w:t>
      </w:r>
      <w:r w:rsidRPr="0014151A">
        <w:rPr>
          <w:rFonts w:ascii="Times New Roman" w:eastAsia="Times New Roman" w:hAnsi="Times New Roman" w:cs="Times New Roman"/>
          <w:kern w:val="2"/>
          <w:sz w:val="24"/>
          <w:szCs w:val="24"/>
          <w:lang w:eastAsia="zh-CN" w:bidi="hi-IN"/>
        </w:rPr>
        <w:t xml:space="preserve"> teritoriju dibināšanai lapkoku </w:t>
      </w:r>
      <w:proofErr w:type="spellStart"/>
      <w:r w:rsidRPr="0014151A">
        <w:rPr>
          <w:rFonts w:ascii="Times New Roman" w:eastAsia="Times New Roman" w:hAnsi="Times New Roman" w:cs="Times New Roman"/>
          <w:kern w:val="2"/>
          <w:sz w:val="24"/>
          <w:szCs w:val="24"/>
          <w:lang w:eastAsia="zh-CN" w:bidi="hi-IN"/>
        </w:rPr>
        <w:t>praulgrauža</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Osmoderma</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eremita</w:t>
      </w:r>
      <w:proofErr w:type="spellEnd"/>
      <w:r w:rsidRPr="0014151A">
        <w:rPr>
          <w:rFonts w:ascii="Times New Roman" w:eastAsia="Times New Roman" w:hAnsi="Times New Roman" w:cs="Times New Roman"/>
          <w:kern w:val="2"/>
          <w:sz w:val="24"/>
          <w:szCs w:val="24"/>
          <w:lang w:eastAsia="zh-CN" w:bidi="hi-IN"/>
        </w:rPr>
        <w:t>(=</w:t>
      </w:r>
      <w:proofErr w:type="spellStart"/>
      <w:r w:rsidRPr="0014151A">
        <w:rPr>
          <w:rFonts w:ascii="Times New Roman" w:eastAsia="Times New Roman" w:hAnsi="Times New Roman" w:cs="Times New Roman"/>
          <w:kern w:val="2"/>
          <w:sz w:val="24"/>
          <w:szCs w:val="24"/>
          <w:lang w:eastAsia="zh-CN" w:bidi="hi-IN"/>
        </w:rPr>
        <w:t>barnabita</w:t>
      </w:r>
      <w:proofErr w:type="spellEnd"/>
      <w:r w:rsidRPr="0014151A">
        <w:rPr>
          <w:rFonts w:ascii="Times New Roman" w:eastAsia="Times New Roman" w:hAnsi="Times New Roman" w:cs="Times New Roman"/>
          <w:kern w:val="2"/>
          <w:sz w:val="24"/>
          <w:szCs w:val="24"/>
          <w:lang w:eastAsia="zh-CN" w:bidi="hi-IN"/>
        </w:rPr>
        <w:t>) aizsardzībai. – Sigulda, biedrība “Zaļā upe”, 24. lpp.</w:t>
      </w:r>
    </w:p>
    <w:p w14:paraId="4A45A6BA" w14:textId="4E58D60B" w:rsidR="00260499" w:rsidRDefault="00260499" w:rsidP="0014151A">
      <w:pPr>
        <w:numPr>
          <w:ilvl w:val="0"/>
          <w:numId w:val="31"/>
        </w:numPr>
        <w:spacing w:after="0" w:line="240" w:lineRule="auto"/>
        <w:contextualSpacing/>
        <w:jc w:val="both"/>
        <w:rPr>
          <w:rFonts w:ascii="Times New Roman" w:eastAsia="Times New Roman" w:hAnsi="Times New Roman" w:cs="Times New Roman"/>
          <w:kern w:val="2"/>
          <w:sz w:val="24"/>
          <w:szCs w:val="24"/>
          <w:lang w:eastAsia="zh-CN" w:bidi="hi-IN"/>
        </w:rPr>
      </w:pPr>
      <w:r w:rsidRPr="0014151A">
        <w:rPr>
          <w:rFonts w:ascii="Times New Roman" w:eastAsia="Times New Roman" w:hAnsi="Times New Roman" w:cs="Times New Roman"/>
          <w:kern w:val="2"/>
          <w:sz w:val="24"/>
          <w:szCs w:val="24"/>
          <w:lang w:eastAsia="zh-CN" w:bidi="hi-IN"/>
        </w:rPr>
        <w:t>Kalniņš M. 2017. Spāres (</w:t>
      </w:r>
      <w:proofErr w:type="spellStart"/>
      <w:r w:rsidRPr="0014151A">
        <w:rPr>
          <w:rFonts w:ascii="Times New Roman" w:eastAsia="Times New Roman" w:hAnsi="Times New Roman" w:cs="Times New Roman"/>
          <w:kern w:val="2"/>
          <w:sz w:val="24"/>
          <w:szCs w:val="24"/>
          <w:lang w:eastAsia="zh-CN" w:bidi="hi-IN"/>
        </w:rPr>
        <w:t>Odonata</w:t>
      </w:r>
      <w:proofErr w:type="spellEnd"/>
      <w:r w:rsidRPr="0014151A">
        <w:rPr>
          <w:rFonts w:ascii="Times New Roman" w:eastAsia="Times New Roman" w:hAnsi="Times New Roman" w:cs="Times New Roman"/>
          <w:kern w:val="2"/>
          <w:sz w:val="24"/>
          <w:szCs w:val="24"/>
          <w:lang w:eastAsia="zh-CN" w:bidi="hi-IN"/>
        </w:rPr>
        <w:t>) Latvijā. Pētījumu vēsture, bibliogrāfija un izplatība no 18. gadsimta līdz 2016. gadam. – Sigulda, “Zaļā upe”, 352 lpp.</w:t>
      </w:r>
    </w:p>
    <w:p w14:paraId="4EF9B5D1" w14:textId="4A83F63A" w:rsidR="00797447" w:rsidRPr="00797447" w:rsidRDefault="00797447" w:rsidP="00131564">
      <w:pPr>
        <w:pStyle w:val="ListParagraph"/>
        <w:numPr>
          <w:ilvl w:val="0"/>
          <w:numId w:val="31"/>
        </w:numPr>
        <w:spacing w:after="0" w:line="240" w:lineRule="auto"/>
        <w:ind w:left="924" w:hanging="357"/>
        <w:rPr>
          <w:rFonts w:eastAsia="Times New Roman" w:cs="Times New Roman"/>
          <w:kern w:val="2"/>
          <w:szCs w:val="24"/>
          <w:lang w:eastAsia="zh-CN" w:bidi="hi-IN"/>
        </w:rPr>
      </w:pPr>
      <w:r w:rsidRPr="00797447">
        <w:rPr>
          <w:rFonts w:eastAsia="Times New Roman" w:cs="Times New Roman"/>
          <w:kern w:val="2"/>
          <w:szCs w:val="24"/>
          <w:lang w:eastAsia="zh-CN" w:bidi="hi-IN"/>
        </w:rPr>
        <w:t xml:space="preserve">Kalvāns A. 2013. Projekta </w:t>
      </w:r>
      <w:r w:rsidR="00131564">
        <w:rPr>
          <w:rFonts w:eastAsia="Times New Roman" w:cs="Times New Roman"/>
          <w:kern w:val="2"/>
          <w:szCs w:val="24"/>
          <w:lang w:eastAsia="zh-CN" w:bidi="hi-IN"/>
        </w:rPr>
        <w:t>“</w:t>
      </w:r>
      <w:proofErr w:type="spellStart"/>
      <w:r w:rsidRPr="00797447">
        <w:rPr>
          <w:rFonts w:eastAsia="Times New Roman" w:cs="Times New Roman"/>
          <w:kern w:val="2"/>
          <w:szCs w:val="24"/>
          <w:lang w:eastAsia="zh-CN" w:bidi="hi-IN"/>
        </w:rPr>
        <w:t>Zivjērglis</w:t>
      </w:r>
      <w:proofErr w:type="spellEnd"/>
      <w:r w:rsidRPr="00797447">
        <w:rPr>
          <w:rFonts w:eastAsia="Times New Roman" w:cs="Times New Roman"/>
          <w:kern w:val="2"/>
          <w:szCs w:val="24"/>
          <w:lang w:eastAsia="zh-CN" w:bidi="hi-IN"/>
        </w:rPr>
        <w:t xml:space="preserve">”. </w:t>
      </w:r>
      <w:r w:rsidR="00131564">
        <w:rPr>
          <w:rFonts w:eastAsia="Times New Roman" w:cs="Times New Roman"/>
          <w:kern w:val="2"/>
          <w:szCs w:val="24"/>
          <w:lang w:eastAsia="zh-CN" w:bidi="hi-IN"/>
        </w:rPr>
        <w:t>A</w:t>
      </w:r>
      <w:r w:rsidRPr="00797447">
        <w:rPr>
          <w:rFonts w:eastAsia="Times New Roman" w:cs="Times New Roman"/>
          <w:kern w:val="2"/>
          <w:szCs w:val="24"/>
          <w:lang w:eastAsia="zh-CN" w:bidi="hi-IN"/>
        </w:rPr>
        <w:t>tskaite par 2012.</w:t>
      </w:r>
      <w:r w:rsidR="00131564">
        <w:rPr>
          <w:rFonts w:eastAsia="Times New Roman" w:cs="Times New Roman"/>
          <w:kern w:val="2"/>
          <w:szCs w:val="24"/>
          <w:lang w:eastAsia="zh-CN" w:bidi="hi-IN"/>
        </w:rPr>
        <w:t> </w:t>
      </w:r>
      <w:r w:rsidRPr="00797447">
        <w:rPr>
          <w:rFonts w:eastAsia="Times New Roman" w:cs="Times New Roman"/>
          <w:kern w:val="2"/>
          <w:szCs w:val="24"/>
          <w:lang w:eastAsia="zh-CN" w:bidi="hi-IN"/>
        </w:rPr>
        <w:t xml:space="preserve">gadu. Rīga. </w:t>
      </w:r>
      <w:hyperlink r:id="rId207" w:history="1">
        <w:r w:rsidR="00616037" w:rsidRPr="001A4E6D">
          <w:rPr>
            <w:rStyle w:val="Hyperlink"/>
            <w:rFonts w:eastAsia="Times New Roman" w:cs="Times New Roman"/>
            <w:kern w:val="2"/>
            <w:szCs w:val="24"/>
            <w:lang w:eastAsia="zh-CN" w:bidi="hi-IN"/>
          </w:rPr>
          <w:t>http://www.putni.lv/pdf/Kalvans_2013.pdf</w:t>
        </w:r>
      </w:hyperlink>
      <w:r w:rsidR="00616037">
        <w:rPr>
          <w:rFonts w:eastAsia="Times New Roman" w:cs="Times New Roman"/>
          <w:kern w:val="2"/>
          <w:szCs w:val="24"/>
          <w:lang w:eastAsia="zh-CN" w:bidi="hi-IN"/>
        </w:rPr>
        <w:t xml:space="preserve">. </w:t>
      </w:r>
    </w:p>
    <w:p w14:paraId="6D1A0216" w14:textId="618C2F57" w:rsidR="00260499" w:rsidRPr="0014151A" w:rsidRDefault="00260499" w:rsidP="00131564">
      <w:pPr>
        <w:numPr>
          <w:ilvl w:val="0"/>
          <w:numId w:val="31"/>
        </w:numPr>
        <w:spacing w:after="0" w:line="240" w:lineRule="auto"/>
        <w:ind w:left="924" w:hanging="357"/>
        <w:contextualSpacing/>
        <w:jc w:val="both"/>
        <w:rPr>
          <w:rFonts w:ascii="Times New Roman" w:eastAsia="Times New Roman" w:hAnsi="Times New Roman" w:cs="Times New Roman"/>
          <w:kern w:val="2"/>
          <w:sz w:val="24"/>
          <w:szCs w:val="24"/>
          <w:lang w:eastAsia="zh-CN" w:bidi="hi-IN"/>
        </w:rPr>
      </w:pPr>
      <w:r w:rsidRPr="0014151A">
        <w:rPr>
          <w:rFonts w:ascii="Times New Roman" w:eastAsia="Times New Roman" w:hAnsi="Times New Roman" w:cs="Times New Roman"/>
          <w:kern w:val="2"/>
          <w:sz w:val="24"/>
          <w:szCs w:val="24"/>
          <w:lang w:eastAsia="zh-CN" w:bidi="hi-IN"/>
        </w:rPr>
        <w:t>Kaminska</w:t>
      </w:r>
      <w:r w:rsidR="00D510D3" w:rsidRPr="0014151A">
        <w:rPr>
          <w:rFonts w:ascii="Times New Roman" w:eastAsia="Times New Roman" w:hAnsi="Times New Roman" w:cs="Times New Roman"/>
          <w:kern w:val="2"/>
          <w:sz w:val="24"/>
          <w:szCs w:val="24"/>
          <w:lang w:eastAsia="zh-CN" w:bidi="hi-IN"/>
        </w:rPr>
        <w:t xml:space="preserve"> R.</w:t>
      </w:r>
      <w:r w:rsidRPr="0014151A">
        <w:rPr>
          <w:rFonts w:ascii="Times New Roman" w:eastAsia="Times New Roman" w:hAnsi="Times New Roman" w:cs="Times New Roman"/>
          <w:kern w:val="2"/>
          <w:sz w:val="24"/>
          <w:szCs w:val="24"/>
          <w:lang w:eastAsia="zh-CN" w:bidi="hi-IN"/>
        </w:rPr>
        <w:t>, Bistere</w:t>
      </w:r>
      <w:r w:rsidR="00D510D3" w:rsidRPr="0014151A">
        <w:rPr>
          <w:rFonts w:ascii="Times New Roman" w:eastAsia="Times New Roman" w:hAnsi="Times New Roman" w:cs="Times New Roman"/>
          <w:kern w:val="2"/>
          <w:sz w:val="24"/>
          <w:szCs w:val="24"/>
          <w:lang w:eastAsia="zh-CN" w:bidi="hi-IN"/>
        </w:rPr>
        <w:t xml:space="preserve"> A.</w:t>
      </w:r>
      <w:r w:rsidRPr="0014151A">
        <w:rPr>
          <w:rFonts w:ascii="Times New Roman" w:eastAsia="Times New Roman" w:hAnsi="Times New Roman" w:cs="Times New Roman"/>
          <w:kern w:val="2"/>
          <w:sz w:val="24"/>
          <w:szCs w:val="24"/>
          <w:lang w:eastAsia="zh-CN" w:bidi="hi-IN"/>
        </w:rPr>
        <w:t xml:space="preserve"> 2006. Sakrālās arhitektūras un mākslas mantojums Daugavpils rajonā. </w:t>
      </w:r>
      <w:proofErr w:type="spellStart"/>
      <w:r w:rsidRPr="0014151A">
        <w:rPr>
          <w:rFonts w:ascii="Times New Roman" w:eastAsia="Times New Roman" w:hAnsi="Times New Roman" w:cs="Times New Roman"/>
          <w:kern w:val="2"/>
          <w:sz w:val="24"/>
          <w:szCs w:val="24"/>
          <w:lang w:eastAsia="zh-CN" w:bidi="hi-IN"/>
        </w:rPr>
        <w:t>Neputns</w:t>
      </w:r>
      <w:proofErr w:type="spellEnd"/>
      <w:r w:rsidRPr="0014151A">
        <w:rPr>
          <w:rFonts w:ascii="Times New Roman" w:eastAsia="Times New Roman" w:hAnsi="Times New Roman" w:cs="Times New Roman"/>
          <w:kern w:val="2"/>
          <w:sz w:val="24"/>
          <w:szCs w:val="24"/>
          <w:lang w:eastAsia="zh-CN" w:bidi="hi-IN"/>
        </w:rPr>
        <w:t>, Rīga.</w:t>
      </w:r>
    </w:p>
    <w:p w14:paraId="19CF0200" w14:textId="0BC8533F" w:rsidR="00260499" w:rsidRPr="0014151A" w:rsidRDefault="00260499" w:rsidP="0014151A">
      <w:pPr>
        <w:numPr>
          <w:ilvl w:val="0"/>
          <w:numId w:val="31"/>
        </w:numPr>
        <w:spacing w:after="0" w:line="240" w:lineRule="auto"/>
        <w:contextualSpacing/>
        <w:jc w:val="both"/>
        <w:rPr>
          <w:rFonts w:ascii="Times New Roman" w:eastAsia="Times New Roman" w:hAnsi="Times New Roman" w:cs="Times New Roman"/>
          <w:kern w:val="2"/>
          <w:sz w:val="24"/>
          <w:szCs w:val="24"/>
          <w:lang w:eastAsia="zh-CN" w:bidi="hi-IN"/>
        </w:rPr>
      </w:pPr>
      <w:r w:rsidRPr="0014151A">
        <w:rPr>
          <w:rFonts w:ascii="Times New Roman" w:eastAsia="Times New Roman" w:hAnsi="Times New Roman" w:cs="Times New Roman"/>
          <w:kern w:val="2"/>
          <w:sz w:val="24"/>
          <w:szCs w:val="24"/>
          <w:lang w:eastAsia="zh-CN" w:bidi="hi-IN"/>
        </w:rPr>
        <w:t>Kaminska</w:t>
      </w:r>
      <w:r w:rsidR="00D510D3" w:rsidRPr="0014151A">
        <w:rPr>
          <w:rFonts w:ascii="Times New Roman" w:eastAsia="Times New Roman" w:hAnsi="Times New Roman" w:cs="Times New Roman"/>
          <w:kern w:val="2"/>
          <w:sz w:val="24"/>
          <w:szCs w:val="24"/>
          <w:lang w:eastAsia="zh-CN" w:bidi="hi-IN"/>
        </w:rPr>
        <w:t xml:space="preserve"> R.</w:t>
      </w:r>
      <w:r w:rsidRPr="0014151A">
        <w:rPr>
          <w:rFonts w:ascii="Times New Roman" w:eastAsia="Times New Roman" w:hAnsi="Times New Roman" w:cs="Times New Roman"/>
          <w:kern w:val="2"/>
          <w:sz w:val="24"/>
          <w:szCs w:val="24"/>
          <w:lang w:eastAsia="zh-CN" w:bidi="hi-IN"/>
        </w:rPr>
        <w:t>,</w:t>
      </w:r>
      <w:r w:rsidR="00D510D3" w:rsidRPr="0014151A">
        <w:rPr>
          <w:rFonts w:ascii="Times New Roman" w:eastAsia="Times New Roman" w:hAnsi="Times New Roman" w:cs="Times New Roman"/>
          <w:kern w:val="2"/>
          <w:sz w:val="24"/>
          <w:szCs w:val="24"/>
          <w:lang w:eastAsia="zh-CN" w:bidi="hi-IN"/>
        </w:rPr>
        <w:t xml:space="preserve"> </w:t>
      </w:r>
      <w:r w:rsidRPr="0014151A">
        <w:rPr>
          <w:rFonts w:ascii="Times New Roman" w:eastAsia="Times New Roman" w:hAnsi="Times New Roman" w:cs="Times New Roman"/>
          <w:kern w:val="2"/>
          <w:sz w:val="24"/>
          <w:szCs w:val="24"/>
          <w:lang w:eastAsia="zh-CN" w:bidi="hi-IN"/>
        </w:rPr>
        <w:t>Bistere</w:t>
      </w:r>
      <w:r w:rsidR="00D510D3" w:rsidRPr="0014151A">
        <w:rPr>
          <w:rFonts w:ascii="Times New Roman" w:eastAsia="Times New Roman" w:hAnsi="Times New Roman" w:cs="Times New Roman"/>
          <w:kern w:val="2"/>
          <w:sz w:val="24"/>
          <w:szCs w:val="24"/>
          <w:lang w:eastAsia="zh-CN" w:bidi="hi-IN"/>
        </w:rPr>
        <w:t xml:space="preserve"> A.</w:t>
      </w:r>
      <w:r w:rsidRPr="0014151A">
        <w:rPr>
          <w:rFonts w:ascii="Times New Roman" w:eastAsia="Times New Roman" w:hAnsi="Times New Roman" w:cs="Times New Roman"/>
          <w:kern w:val="2"/>
          <w:sz w:val="24"/>
          <w:szCs w:val="24"/>
          <w:lang w:eastAsia="zh-CN" w:bidi="hi-IN"/>
        </w:rPr>
        <w:t xml:space="preserve"> 2015. Sakrālās arhitektūras un mākslas mantojums vēsturiskajā Krāslavas rajonā. </w:t>
      </w:r>
      <w:proofErr w:type="spellStart"/>
      <w:r w:rsidRPr="0014151A">
        <w:rPr>
          <w:rFonts w:ascii="Times New Roman" w:eastAsia="Times New Roman" w:hAnsi="Times New Roman" w:cs="Times New Roman"/>
          <w:kern w:val="2"/>
          <w:sz w:val="24"/>
          <w:szCs w:val="24"/>
          <w:lang w:eastAsia="zh-CN" w:bidi="hi-IN"/>
        </w:rPr>
        <w:t>Neputns</w:t>
      </w:r>
      <w:proofErr w:type="spellEnd"/>
      <w:r w:rsidRPr="0014151A">
        <w:rPr>
          <w:rFonts w:ascii="Times New Roman" w:eastAsia="Times New Roman" w:hAnsi="Times New Roman" w:cs="Times New Roman"/>
          <w:kern w:val="2"/>
          <w:sz w:val="24"/>
          <w:szCs w:val="24"/>
          <w:lang w:eastAsia="zh-CN" w:bidi="hi-IN"/>
        </w:rPr>
        <w:t>, Rīga.</w:t>
      </w:r>
    </w:p>
    <w:p w14:paraId="358C8527" w14:textId="03EE1761" w:rsidR="00260499" w:rsidRDefault="00260499" w:rsidP="0014151A">
      <w:pPr>
        <w:numPr>
          <w:ilvl w:val="0"/>
          <w:numId w:val="31"/>
        </w:numPr>
        <w:spacing w:after="0" w:line="240" w:lineRule="auto"/>
        <w:contextualSpacing/>
        <w:jc w:val="both"/>
        <w:rPr>
          <w:rFonts w:ascii="Times New Roman" w:eastAsia="Times New Roman" w:hAnsi="Times New Roman" w:cs="Times New Roman"/>
          <w:kern w:val="2"/>
          <w:sz w:val="24"/>
          <w:szCs w:val="24"/>
          <w:lang w:eastAsia="zh-CN" w:bidi="hi-IN"/>
        </w:rPr>
      </w:pPr>
      <w:r w:rsidRPr="0014151A">
        <w:rPr>
          <w:rFonts w:ascii="Times New Roman" w:eastAsia="Times New Roman" w:hAnsi="Times New Roman" w:cs="Times New Roman"/>
          <w:kern w:val="2"/>
          <w:sz w:val="24"/>
          <w:szCs w:val="24"/>
          <w:lang w:eastAsia="zh-CN" w:bidi="hi-IN"/>
        </w:rPr>
        <w:t>Kļaviņš M., Cimdiņš P. (2004) Ūdeņu kvalitāte un tās aizsardzība. Rīga: LU, 208 lpp</w:t>
      </w:r>
      <w:r w:rsidR="00244B83" w:rsidRPr="0014151A">
        <w:rPr>
          <w:rFonts w:ascii="Times New Roman" w:eastAsia="Times New Roman" w:hAnsi="Times New Roman" w:cs="Times New Roman"/>
          <w:kern w:val="2"/>
          <w:sz w:val="24"/>
          <w:szCs w:val="24"/>
          <w:lang w:eastAsia="zh-CN" w:bidi="hi-IN"/>
        </w:rPr>
        <w:t>.</w:t>
      </w:r>
    </w:p>
    <w:p w14:paraId="0A6D0896" w14:textId="762A0189" w:rsidR="00653572" w:rsidRPr="0014151A" w:rsidRDefault="00653572" w:rsidP="0014151A">
      <w:pPr>
        <w:numPr>
          <w:ilvl w:val="0"/>
          <w:numId w:val="31"/>
        </w:numPr>
        <w:spacing w:after="0" w:line="240" w:lineRule="auto"/>
        <w:contextualSpacing/>
        <w:jc w:val="both"/>
        <w:rPr>
          <w:rFonts w:ascii="Times New Roman" w:eastAsia="Times New Roman" w:hAnsi="Times New Roman" w:cs="Times New Roman"/>
          <w:kern w:val="2"/>
          <w:sz w:val="24"/>
          <w:szCs w:val="24"/>
          <w:lang w:eastAsia="zh-CN" w:bidi="hi-IN"/>
        </w:rPr>
      </w:pPr>
      <w:r w:rsidRPr="00653572">
        <w:rPr>
          <w:rFonts w:ascii="Times New Roman" w:eastAsia="Times New Roman" w:hAnsi="Times New Roman" w:cs="Times New Roman"/>
          <w:kern w:val="2"/>
          <w:sz w:val="24"/>
          <w:szCs w:val="24"/>
          <w:lang w:eastAsia="zh-CN" w:bidi="hi-IN"/>
        </w:rPr>
        <w:t>Kļaviņš</w:t>
      </w:r>
      <w:r w:rsidR="00A146B4">
        <w:rPr>
          <w:rFonts w:ascii="Times New Roman" w:eastAsia="Times New Roman" w:hAnsi="Times New Roman" w:cs="Times New Roman"/>
          <w:kern w:val="2"/>
          <w:sz w:val="24"/>
          <w:szCs w:val="24"/>
          <w:lang w:eastAsia="zh-CN" w:bidi="hi-IN"/>
        </w:rPr>
        <w:t xml:space="preserve"> M.</w:t>
      </w:r>
      <w:r w:rsidRPr="00653572">
        <w:rPr>
          <w:rFonts w:ascii="Times New Roman" w:eastAsia="Times New Roman" w:hAnsi="Times New Roman" w:cs="Times New Roman"/>
          <w:kern w:val="2"/>
          <w:sz w:val="24"/>
          <w:szCs w:val="24"/>
          <w:lang w:eastAsia="zh-CN" w:bidi="hi-IN"/>
        </w:rPr>
        <w:t>, Zaļoksnis</w:t>
      </w:r>
      <w:r w:rsidR="00A146B4">
        <w:rPr>
          <w:rFonts w:ascii="Times New Roman" w:eastAsia="Times New Roman" w:hAnsi="Times New Roman" w:cs="Times New Roman"/>
          <w:kern w:val="2"/>
          <w:sz w:val="24"/>
          <w:szCs w:val="24"/>
          <w:lang w:eastAsia="zh-CN" w:bidi="hi-IN"/>
        </w:rPr>
        <w:t xml:space="preserve"> J.</w:t>
      </w:r>
      <w:r w:rsidRPr="00653572">
        <w:rPr>
          <w:rFonts w:ascii="Times New Roman" w:eastAsia="Times New Roman" w:hAnsi="Times New Roman" w:cs="Times New Roman"/>
          <w:kern w:val="2"/>
          <w:sz w:val="24"/>
          <w:szCs w:val="24"/>
          <w:lang w:eastAsia="zh-CN" w:bidi="hi-IN"/>
        </w:rPr>
        <w:t xml:space="preserve"> 2016. Klimats un ilgtspējīga attīstība. LU Akadēmiskais apgāds, 383.lpp.</w:t>
      </w:r>
    </w:p>
    <w:p w14:paraId="6ADD0A1F" w14:textId="4D1354FA" w:rsidR="00260499" w:rsidRPr="0014151A" w:rsidRDefault="00260499" w:rsidP="0014151A">
      <w:pPr>
        <w:numPr>
          <w:ilvl w:val="0"/>
          <w:numId w:val="31"/>
        </w:numPr>
        <w:spacing w:after="0" w:line="240" w:lineRule="auto"/>
        <w:jc w:val="both"/>
        <w:rPr>
          <w:rFonts w:ascii="Times New Roman" w:eastAsia="Times New Roman" w:hAnsi="Times New Roman" w:cs="Times New Roman"/>
          <w:kern w:val="2"/>
          <w:sz w:val="24"/>
          <w:szCs w:val="24"/>
          <w:lang w:eastAsia="zh-CN" w:bidi="hi-IN"/>
        </w:rPr>
      </w:pPr>
      <w:bookmarkStart w:id="127" w:name="Kovalevska_1997"/>
      <w:r w:rsidRPr="0014151A">
        <w:rPr>
          <w:rFonts w:ascii="Times New Roman" w:eastAsia="Times New Roman" w:hAnsi="Times New Roman" w:cs="Times New Roman"/>
          <w:color w:val="000000"/>
          <w:kern w:val="2"/>
          <w:sz w:val="24"/>
          <w:szCs w:val="24"/>
          <w:lang w:eastAsia="ja-JP" w:bidi="hi-IN"/>
        </w:rPr>
        <w:t>Kovaļevska O</w:t>
      </w:r>
      <w:bookmarkEnd w:id="127"/>
      <w:r w:rsidRPr="0014151A">
        <w:rPr>
          <w:rFonts w:ascii="Times New Roman" w:eastAsia="Times New Roman" w:hAnsi="Times New Roman" w:cs="Times New Roman"/>
          <w:color w:val="000000"/>
          <w:kern w:val="2"/>
          <w:sz w:val="24"/>
          <w:szCs w:val="24"/>
          <w:lang w:eastAsia="ja-JP" w:bidi="hi-IN"/>
        </w:rPr>
        <w:t xml:space="preserve">. 1997. </w:t>
      </w:r>
      <w:r w:rsidRPr="0014151A">
        <w:rPr>
          <w:rFonts w:ascii="Times New Roman" w:eastAsia="Times New Roman" w:hAnsi="Times New Roman" w:cs="Times New Roman"/>
          <w:i/>
          <w:iCs/>
          <w:color w:val="000000"/>
          <w:kern w:val="2"/>
          <w:sz w:val="24"/>
          <w:szCs w:val="24"/>
          <w:lang w:eastAsia="ja-JP" w:bidi="hi-IN"/>
        </w:rPr>
        <w:t>Krāslavas rajons. Ģeogrāfisko nosaukumu vārdnīca</w:t>
      </w:r>
      <w:r w:rsidRPr="0014151A">
        <w:rPr>
          <w:rFonts w:ascii="Times New Roman" w:eastAsia="Times New Roman" w:hAnsi="Times New Roman" w:cs="Times New Roman"/>
          <w:color w:val="000000"/>
          <w:kern w:val="2"/>
          <w:sz w:val="24"/>
          <w:szCs w:val="24"/>
          <w:lang w:eastAsia="ja-JP" w:bidi="hi-IN"/>
        </w:rPr>
        <w:t>. VZD NMC Kartogrāfijas daļa, 164 lpp.</w:t>
      </w:r>
    </w:p>
    <w:p w14:paraId="36029827" w14:textId="4540E7E2" w:rsidR="00C65B1A" w:rsidRPr="0014151A" w:rsidRDefault="00C1223C" w:rsidP="0014151A">
      <w:pPr>
        <w:numPr>
          <w:ilvl w:val="0"/>
          <w:numId w:val="31"/>
        </w:numPr>
        <w:spacing w:after="0" w:line="240" w:lineRule="auto"/>
        <w:contextualSpacing/>
        <w:jc w:val="both"/>
        <w:rPr>
          <w:rFonts w:ascii="Times New Roman" w:eastAsia="Times New Roman" w:hAnsi="Times New Roman" w:cs="Times New Roman"/>
          <w:kern w:val="2"/>
          <w:sz w:val="24"/>
          <w:szCs w:val="24"/>
          <w:lang w:eastAsia="zh-CN" w:bidi="hi-IN"/>
        </w:rPr>
      </w:pPr>
      <w:r w:rsidRPr="0014151A">
        <w:rPr>
          <w:rFonts w:ascii="Times New Roman" w:eastAsia="Times New Roman" w:hAnsi="Times New Roman" w:cs="Times New Roman"/>
          <w:kern w:val="2"/>
          <w:sz w:val="24"/>
          <w:szCs w:val="24"/>
          <w:lang w:eastAsia="zh-CN" w:bidi="hi-IN"/>
        </w:rPr>
        <w:t>Krāslavas novada attīstības programma 20</w:t>
      </w:r>
      <w:r w:rsidR="00332220" w:rsidRPr="0014151A">
        <w:rPr>
          <w:rFonts w:ascii="Times New Roman" w:eastAsia="Times New Roman" w:hAnsi="Times New Roman" w:cs="Times New Roman"/>
          <w:kern w:val="2"/>
          <w:sz w:val="24"/>
          <w:szCs w:val="24"/>
          <w:lang w:eastAsia="zh-CN" w:bidi="hi-IN"/>
        </w:rPr>
        <w:t>22</w:t>
      </w:r>
      <w:r w:rsidRPr="0014151A">
        <w:rPr>
          <w:rFonts w:ascii="Times New Roman" w:eastAsia="Times New Roman" w:hAnsi="Times New Roman" w:cs="Times New Roman"/>
          <w:kern w:val="2"/>
          <w:sz w:val="24"/>
          <w:szCs w:val="24"/>
          <w:lang w:eastAsia="zh-CN" w:bidi="hi-IN"/>
        </w:rPr>
        <w:t>.</w:t>
      </w:r>
      <w:r w:rsidR="00332220" w:rsidRPr="0014151A">
        <w:rPr>
          <w:rFonts w:ascii="Times New Roman" w:eastAsia="Times New Roman" w:hAnsi="Times New Roman" w:cs="Times New Roman"/>
          <w:kern w:val="2"/>
          <w:sz w:val="24"/>
          <w:szCs w:val="24"/>
          <w:lang w:eastAsia="zh-CN" w:bidi="hi-IN"/>
        </w:rPr>
        <w:t> – </w:t>
      </w:r>
      <w:r w:rsidRPr="0014151A">
        <w:rPr>
          <w:rFonts w:ascii="Times New Roman" w:eastAsia="Times New Roman" w:hAnsi="Times New Roman" w:cs="Times New Roman"/>
          <w:kern w:val="2"/>
          <w:sz w:val="24"/>
          <w:szCs w:val="24"/>
          <w:lang w:eastAsia="zh-CN" w:bidi="hi-IN"/>
        </w:rPr>
        <w:t>202</w:t>
      </w:r>
      <w:r w:rsidR="00332220" w:rsidRPr="0014151A">
        <w:rPr>
          <w:rFonts w:ascii="Times New Roman" w:eastAsia="Times New Roman" w:hAnsi="Times New Roman" w:cs="Times New Roman"/>
          <w:kern w:val="2"/>
          <w:sz w:val="24"/>
          <w:szCs w:val="24"/>
          <w:lang w:eastAsia="zh-CN" w:bidi="hi-IN"/>
        </w:rPr>
        <w:t>8</w:t>
      </w:r>
      <w:r w:rsidRPr="0014151A">
        <w:rPr>
          <w:rFonts w:ascii="Times New Roman" w:eastAsia="Times New Roman" w:hAnsi="Times New Roman" w:cs="Times New Roman"/>
          <w:kern w:val="2"/>
          <w:sz w:val="24"/>
          <w:szCs w:val="24"/>
          <w:lang w:eastAsia="zh-CN" w:bidi="hi-IN"/>
        </w:rPr>
        <w:t>. gadam</w:t>
      </w:r>
      <w:r w:rsidR="00332220" w:rsidRPr="0014151A">
        <w:rPr>
          <w:rFonts w:ascii="Times New Roman" w:eastAsia="Times New Roman" w:hAnsi="Times New Roman" w:cs="Times New Roman"/>
          <w:kern w:val="2"/>
          <w:sz w:val="24"/>
          <w:szCs w:val="24"/>
          <w:lang w:eastAsia="zh-CN" w:bidi="hi-IN"/>
        </w:rPr>
        <w:t>, 2022.</w:t>
      </w:r>
      <w:r w:rsidRPr="0014151A">
        <w:rPr>
          <w:rFonts w:ascii="Times New Roman" w:eastAsia="Times New Roman" w:hAnsi="Times New Roman" w:cs="Times New Roman"/>
          <w:kern w:val="2"/>
          <w:sz w:val="24"/>
          <w:szCs w:val="24"/>
          <w:lang w:eastAsia="zh-CN" w:bidi="hi-IN"/>
        </w:rPr>
        <w:t xml:space="preserve"> </w:t>
      </w:r>
      <w:hyperlink r:id="rId208" w:history="1">
        <w:r w:rsidR="00332220" w:rsidRPr="0014151A">
          <w:rPr>
            <w:rStyle w:val="Hyperlink"/>
            <w:rFonts w:ascii="Times New Roman" w:eastAsia="Times New Roman" w:hAnsi="Times New Roman" w:cs="Times New Roman"/>
            <w:kern w:val="2"/>
            <w:sz w:val="24"/>
            <w:szCs w:val="24"/>
            <w:lang w:eastAsia="zh-CN" w:bidi="hi-IN"/>
          </w:rPr>
          <w:t>https://www.kraslava.lv/lv/attistiba/attistibas-programma</w:t>
        </w:r>
      </w:hyperlink>
      <w:r w:rsidR="00332220" w:rsidRPr="0014151A">
        <w:rPr>
          <w:rFonts w:ascii="Times New Roman" w:eastAsia="Times New Roman" w:hAnsi="Times New Roman" w:cs="Times New Roman"/>
          <w:kern w:val="2"/>
          <w:sz w:val="24"/>
          <w:szCs w:val="24"/>
          <w:lang w:eastAsia="zh-CN" w:bidi="hi-IN"/>
        </w:rPr>
        <w:t xml:space="preserve"> </w:t>
      </w:r>
    </w:p>
    <w:p w14:paraId="50846FF0" w14:textId="41B611A4" w:rsidR="00431625" w:rsidRPr="0014151A" w:rsidRDefault="00431625" w:rsidP="0014151A">
      <w:pPr>
        <w:numPr>
          <w:ilvl w:val="0"/>
          <w:numId w:val="31"/>
        </w:numPr>
        <w:spacing w:after="0" w:line="240" w:lineRule="auto"/>
        <w:contextualSpacing/>
        <w:jc w:val="both"/>
        <w:rPr>
          <w:rFonts w:ascii="Times New Roman" w:eastAsia="Times New Roman" w:hAnsi="Times New Roman" w:cs="Times New Roman"/>
          <w:kern w:val="2"/>
          <w:sz w:val="24"/>
          <w:szCs w:val="24"/>
          <w:lang w:eastAsia="zh-CN" w:bidi="hi-IN"/>
        </w:rPr>
      </w:pPr>
      <w:r w:rsidRPr="0014151A">
        <w:rPr>
          <w:rFonts w:ascii="Times New Roman" w:hAnsi="Times New Roman" w:cs="Times New Roman"/>
          <w:sz w:val="24"/>
          <w:szCs w:val="24"/>
        </w:rPr>
        <w:t>Krāslavas novada ilgtspējīgas attīstības stratēģij</w:t>
      </w:r>
      <w:r w:rsidR="00250F45" w:rsidRPr="0014151A">
        <w:rPr>
          <w:rFonts w:ascii="Times New Roman" w:hAnsi="Times New Roman" w:cs="Times New Roman"/>
          <w:sz w:val="24"/>
          <w:szCs w:val="24"/>
        </w:rPr>
        <w:t>a</w:t>
      </w:r>
      <w:r w:rsidRPr="0014151A">
        <w:rPr>
          <w:rFonts w:ascii="Times New Roman" w:hAnsi="Times New Roman" w:cs="Times New Roman"/>
          <w:sz w:val="24"/>
          <w:szCs w:val="24"/>
        </w:rPr>
        <w:t xml:space="preserve"> 2022. – 2037. gadam</w:t>
      </w:r>
      <w:r w:rsidR="00CC220E" w:rsidRPr="0014151A">
        <w:rPr>
          <w:rFonts w:ascii="Times New Roman" w:hAnsi="Times New Roman" w:cs="Times New Roman"/>
          <w:sz w:val="24"/>
          <w:szCs w:val="24"/>
        </w:rPr>
        <w:t xml:space="preserve">, 2022. </w:t>
      </w:r>
      <w:r w:rsidR="003D1BCE" w:rsidRPr="0014151A">
        <w:rPr>
          <w:rFonts w:ascii="Times New Roman" w:hAnsi="Times New Roman" w:cs="Times New Roman"/>
          <w:sz w:val="24"/>
          <w:szCs w:val="24"/>
        </w:rPr>
        <w:t xml:space="preserve"> </w:t>
      </w:r>
      <w:hyperlink r:id="rId209" w:history="1">
        <w:r w:rsidR="00CC220E" w:rsidRPr="0014151A">
          <w:rPr>
            <w:rStyle w:val="Hyperlink"/>
            <w:rFonts w:ascii="Times New Roman" w:hAnsi="Times New Roman" w:cs="Times New Roman"/>
            <w:sz w:val="24"/>
            <w:szCs w:val="24"/>
          </w:rPr>
          <w:t>https://www.kraslava.lv/lv/media/779/download?attachment</w:t>
        </w:r>
      </w:hyperlink>
      <w:r w:rsidR="00CC220E" w:rsidRPr="0014151A">
        <w:rPr>
          <w:rFonts w:ascii="Times New Roman" w:hAnsi="Times New Roman" w:cs="Times New Roman"/>
          <w:sz w:val="24"/>
          <w:szCs w:val="24"/>
        </w:rPr>
        <w:t xml:space="preserve"> </w:t>
      </w:r>
    </w:p>
    <w:p w14:paraId="3CDA491D" w14:textId="75A09AEA" w:rsidR="00260499" w:rsidRPr="0014151A" w:rsidRDefault="00260499" w:rsidP="0014151A">
      <w:pPr>
        <w:numPr>
          <w:ilvl w:val="0"/>
          <w:numId w:val="31"/>
        </w:numPr>
        <w:spacing w:after="0" w:line="240" w:lineRule="auto"/>
        <w:contextualSpacing/>
        <w:jc w:val="both"/>
        <w:rPr>
          <w:rFonts w:ascii="Times New Roman" w:eastAsia="Times New Roman" w:hAnsi="Times New Roman" w:cs="Times New Roman"/>
          <w:kern w:val="2"/>
          <w:sz w:val="24"/>
          <w:szCs w:val="24"/>
          <w:lang w:eastAsia="zh-CN" w:bidi="hi-IN"/>
        </w:rPr>
      </w:pPr>
      <w:r w:rsidRPr="0014151A">
        <w:rPr>
          <w:rFonts w:ascii="Times New Roman" w:eastAsia="Times New Roman" w:hAnsi="Times New Roman" w:cs="Times New Roman"/>
          <w:kern w:val="2"/>
          <w:sz w:val="24"/>
          <w:szCs w:val="24"/>
          <w:lang w:eastAsia="zh-CN" w:bidi="hi-IN"/>
        </w:rPr>
        <w:t>Krāslavas nov</w:t>
      </w:r>
      <w:r w:rsidR="00C65B1A" w:rsidRPr="0014151A">
        <w:rPr>
          <w:rFonts w:ascii="Times New Roman" w:eastAsia="Times New Roman" w:hAnsi="Times New Roman" w:cs="Times New Roman"/>
          <w:kern w:val="2"/>
          <w:sz w:val="24"/>
          <w:szCs w:val="24"/>
          <w:lang w:eastAsia="zh-CN" w:bidi="hi-IN"/>
        </w:rPr>
        <w:t>ada teritorijas plānojums 2013.</w:t>
      </w:r>
      <w:r w:rsidR="00A06035" w:rsidRPr="0014151A">
        <w:rPr>
          <w:rFonts w:ascii="Times New Roman" w:eastAsia="Times New Roman" w:hAnsi="Times New Roman" w:cs="Times New Roman"/>
          <w:kern w:val="2"/>
          <w:sz w:val="24"/>
          <w:szCs w:val="24"/>
          <w:lang w:eastAsia="zh-CN" w:bidi="hi-IN"/>
        </w:rPr>
        <w:t> – </w:t>
      </w:r>
      <w:r w:rsidRPr="0014151A">
        <w:rPr>
          <w:rFonts w:ascii="Times New Roman" w:eastAsia="Times New Roman" w:hAnsi="Times New Roman" w:cs="Times New Roman"/>
          <w:kern w:val="2"/>
          <w:sz w:val="24"/>
          <w:szCs w:val="24"/>
          <w:lang w:eastAsia="zh-CN" w:bidi="hi-IN"/>
        </w:rPr>
        <w:t>2024.</w:t>
      </w:r>
      <w:r w:rsidR="00C65B1A" w:rsidRPr="0014151A">
        <w:rPr>
          <w:rFonts w:ascii="Times New Roman" w:eastAsia="Times New Roman" w:hAnsi="Times New Roman" w:cs="Times New Roman"/>
          <w:kern w:val="2"/>
          <w:sz w:val="24"/>
          <w:szCs w:val="24"/>
          <w:lang w:eastAsia="zh-CN" w:bidi="hi-IN"/>
        </w:rPr>
        <w:t> </w:t>
      </w:r>
      <w:r w:rsidRPr="0014151A">
        <w:rPr>
          <w:rFonts w:ascii="Times New Roman" w:eastAsia="Times New Roman" w:hAnsi="Times New Roman" w:cs="Times New Roman"/>
          <w:kern w:val="2"/>
          <w:sz w:val="24"/>
          <w:szCs w:val="24"/>
          <w:lang w:eastAsia="zh-CN" w:bidi="hi-IN"/>
        </w:rPr>
        <w:t>gadam</w:t>
      </w:r>
      <w:r w:rsidR="00A06035" w:rsidRPr="0014151A">
        <w:rPr>
          <w:rFonts w:ascii="Times New Roman" w:eastAsia="Times New Roman" w:hAnsi="Times New Roman" w:cs="Times New Roman"/>
          <w:kern w:val="2"/>
          <w:sz w:val="24"/>
          <w:szCs w:val="24"/>
          <w:lang w:eastAsia="zh-CN" w:bidi="hi-IN"/>
        </w:rPr>
        <w:t>,</w:t>
      </w:r>
      <w:r w:rsidR="005963D6" w:rsidRPr="0014151A">
        <w:rPr>
          <w:rFonts w:ascii="Times New Roman" w:eastAsia="Times New Roman" w:hAnsi="Times New Roman" w:cs="Times New Roman"/>
          <w:kern w:val="2"/>
          <w:sz w:val="24"/>
          <w:szCs w:val="24"/>
          <w:lang w:eastAsia="zh-CN" w:bidi="hi-IN"/>
        </w:rPr>
        <w:t xml:space="preserve"> 2013.</w:t>
      </w:r>
      <w:r w:rsidR="00C65B1A" w:rsidRPr="0014151A">
        <w:rPr>
          <w:rFonts w:ascii="Times New Roman" w:eastAsia="Times New Roman" w:hAnsi="Times New Roman" w:cs="Times New Roman"/>
          <w:kern w:val="2"/>
          <w:sz w:val="24"/>
          <w:szCs w:val="24"/>
          <w:lang w:eastAsia="zh-CN" w:bidi="hi-IN"/>
        </w:rPr>
        <w:t xml:space="preserve"> </w:t>
      </w:r>
      <w:hyperlink r:id="rId210" w:history="1">
        <w:r w:rsidR="00A06035" w:rsidRPr="0014151A">
          <w:rPr>
            <w:rStyle w:val="Hyperlink"/>
            <w:rFonts w:ascii="Times New Roman" w:eastAsia="Times New Roman" w:hAnsi="Times New Roman" w:cs="Times New Roman"/>
            <w:kern w:val="2"/>
            <w:sz w:val="24"/>
            <w:szCs w:val="24"/>
            <w:lang w:eastAsia="zh-CN" w:bidi="hi-IN"/>
          </w:rPr>
          <w:t>https://www.kraslava.lv/lv/attistiba/teritorijas-planojums</w:t>
        </w:r>
      </w:hyperlink>
      <w:r w:rsidR="00A06035" w:rsidRPr="0014151A">
        <w:rPr>
          <w:rFonts w:ascii="Times New Roman" w:eastAsia="Times New Roman" w:hAnsi="Times New Roman" w:cs="Times New Roman"/>
          <w:kern w:val="2"/>
          <w:sz w:val="24"/>
          <w:szCs w:val="24"/>
          <w:lang w:eastAsia="zh-CN" w:bidi="hi-IN"/>
        </w:rPr>
        <w:t xml:space="preserve"> </w:t>
      </w:r>
    </w:p>
    <w:p w14:paraId="78ADE8D5" w14:textId="337166EF" w:rsidR="00613397" w:rsidRPr="0014151A" w:rsidRDefault="00613397" w:rsidP="0014151A">
      <w:pPr>
        <w:numPr>
          <w:ilvl w:val="0"/>
          <w:numId w:val="31"/>
        </w:numPr>
        <w:spacing w:after="0" w:line="240" w:lineRule="auto"/>
        <w:contextualSpacing/>
        <w:jc w:val="both"/>
        <w:rPr>
          <w:rFonts w:ascii="Times New Roman" w:eastAsia="Times New Roman" w:hAnsi="Times New Roman" w:cs="Times New Roman"/>
          <w:kern w:val="2"/>
          <w:sz w:val="24"/>
          <w:szCs w:val="24"/>
          <w:lang w:eastAsia="zh-CN" w:bidi="hi-IN"/>
        </w:rPr>
      </w:pPr>
      <w:proofErr w:type="spellStart"/>
      <w:r w:rsidRPr="0014151A">
        <w:rPr>
          <w:rFonts w:ascii="Times New Roman" w:eastAsia="Times New Roman" w:hAnsi="Times New Roman" w:cs="Times New Roman"/>
          <w:kern w:val="2"/>
          <w:sz w:val="24"/>
          <w:szCs w:val="24"/>
          <w:lang w:eastAsia="zh-CN" w:bidi="hi-IN"/>
        </w:rPr>
        <w:lastRenderedPageBreak/>
        <w:t>Krüger</w:t>
      </w:r>
      <w:proofErr w:type="spellEnd"/>
      <w:r w:rsidRPr="0014151A">
        <w:rPr>
          <w:rFonts w:ascii="Times New Roman" w:eastAsia="Times New Roman" w:hAnsi="Times New Roman" w:cs="Times New Roman"/>
          <w:kern w:val="2"/>
          <w:sz w:val="24"/>
          <w:szCs w:val="24"/>
          <w:lang w:eastAsia="zh-CN" w:bidi="hi-IN"/>
        </w:rPr>
        <w:t xml:space="preserve"> F</w:t>
      </w:r>
      <w:r w:rsidR="000C3DF9" w:rsidRPr="0014151A">
        <w:rPr>
          <w:rFonts w:ascii="Times New Roman" w:eastAsia="Times New Roman" w:hAnsi="Times New Roman" w:cs="Times New Roman"/>
          <w:kern w:val="2"/>
          <w:sz w:val="24"/>
          <w:szCs w:val="24"/>
          <w:lang w:eastAsia="zh-CN" w:bidi="hi-IN"/>
        </w:rPr>
        <w:t>.</w:t>
      </w:r>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Clare</w:t>
      </w:r>
      <w:proofErr w:type="spellEnd"/>
      <w:r w:rsidRPr="0014151A">
        <w:rPr>
          <w:rFonts w:ascii="Times New Roman" w:eastAsia="Times New Roman" w:hAnsi="Times New Roman" w:cs="Times New Roman"/>
          <w:kern w:val="2"/>
          <w:sz w:val="24"/>
          <w:szCs w:val="24"/>
          <w:lang w:eastAsia="zh-CN" w:bidi="hi-IN"/>
        </w:rPr>
        <w:t xml:space="preserve"> E</w:t>
      </w:r>
      <w:r w:rsidR="000C3DF9" w:rsidRPr="0014151A">
        <w:rPr>
          <w:rFonts w:ascii="Times New Roman" w:eastAsia="Times New Roman" w:hAnsi="Times New Roman" w:cs="Times New Roman"/>
          <w:kern w:val="2"/>
          <w:sz w:val="24"/>
          <w:szCs w:val="24"/>
          <w:lang w:eastAsia="zh-CN" w:bidi="hi-IN"/>
        </w:rPr>
        <w:t>.</w:t>
      </w:r>
      <w:r w:rsidRPr="0014151A">
        <w:rPr>
          <w:rFonts w:ascii="Times New Roman" w:eastAsia="Times New Roman" w:hAnsi="Times New Roman" w:cs="Times New Roman"/>
          <w:kern w:val="2"/>
          <w:sz w:val="24"/>
          <w:szCs w:val="24"/>
          <w:lang w:eastAsia="zh-CN" w:bidi="hi-IN"/>
        </w:rPr>
        <w:t>L</w:t>
      </w:r>
      <w:r w:rsidR="000C3DF9" w:rsidRPr="0014151A">
        <w:rPr>
          <w:rFonts w:ascii="Times New Roman" w:eastAsia="Times New Roman" w:hAnsi="Times New Roman" w:cs="Times New Roman"/>
          <w:kern w:val="2"/>
          <w:sz w:val="24"/>
          <w:szCs w:val="24"/>
          <w:lang w:eastAsia="zh-CN" w:bidi="hi-IN"/>
        </w:rPr>
        <w:t>.</w:t>
      </w:r>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Symondson</w:t>
      </w:r>
      <w:proofErr w:type="spellEnd"/>
      <w:r w:rsidRPr="0014151A">
        <w:rPr>
          <w:rFonts w:ascii="Times New Roman" w:eastAsia="Times New Roman" w:hAnsi="Times New Roman" w:cs="Times New Roman"/>
          <w:kern w:val="2"/>
          <w:sz w:val="24"/>
          <w:szCs w:val="24"/>
          <w:lang w:eastAsia="zh-CN" w:bidi="hi-IN"/>
        </w:rPr>
        <w:t xml:space="preserve"> W</w:t>
      </w:r>
      <w:r w:rsidR="000C3DF9" w:rsidRPr="0014151A">
        <w:rPr>
          <w:rFonts w:ascii="Times New Roman" w:eastAsia="Times New Roman" w:hAnsi="Times New Roman" w:cs="Times New Roman"/>
          <w:kern w:val="2"/>
          <w:sz w:val="24"/>
          <w:szCs w:val="24"/>
          <w:lang w:eastAsia="zh-CN" w:bidi="hi-IN"/>
        </w:rPr>
        <w:t>.</w:t>
      </w:r>
      <w:r w:rsidRPr="0014151A">
        <w:rPr>
          <w:rFonts w:ascii="Times New Roman" w:eastAsia="Times New Roman" w:hAnsi="Times New Roman" w:cs="Times New Roman"/>
          <w:kern w:val="2"/>
          <w:sz w:val="24"/>
          <w:szCs w:val="24"/>
          <w:lang w:eastAsia="zh-CN" w:bidi="hi-IN"/>
        </w:rPr>
        <w:t>O</w:t>
      </w:r>
      <w:r w:rsidR="000C3DF9" w:rsidRPr="0014151A">
        <w:rPr>
          <w:rFonts w:ascii="Times New Roman" w:eastAsia="Times New Roman" w:hAnsi="Times New Roman" w:cs="Times New Roman"/>
          <w:kern w:val="2"/>
          <w:sz w:val="24"/>
          <w:szCs w:val="24"/>
          <w:lang w:eastAsia="zh-CN" w:bidi="hi-IN"/>
        </w:rPr>
        <w:t>.</w:t>
      </w:r>
      <w:r w:rsidRPr="0014151A">
        <w:rPr>
          <w:rFonts w:ascii="Times New Roman" w:eastAsia="Times New Roman" w:hAnsi="Times New Roman" w:cs="Times New Roman"/>
          <w:kern w:val="2"/>
          <w:sz w:val="24"/>
          <w:szCs w:val="24"/>
          <w:lang w:eastAsia="zh-CN" w:bidi="hi-IN"/>
        </w:rPr>
        <w:t>C</w:t>
      </w:r>
      <w:r w:rsidR="000C3DF9" w:rsidRPr="0014151A">
        <w:rPr>
          <w:rFonts w:ascii="Times New Roman" w:eastAsia="Times New Roman" w:hAnsi="Times New Roman" w:cs="Times New Roman"/>
          <w:kern w:val="2"/>
          <w:sz w:val="24"/>
          <w:szCs w:val="24"/>
          <w:lang w:eastAsia="zh-CN" w:bidi="hi-IN"/>
        </w:rPr>
        <w:t>.</w:t>
      </w:r>
      <w:r w:rsidRPr="0014151A">
        <w:rPr>
          <w:rFonts w:ascii="Times New Roman" w:eastAsia="Times New Roman" w:hAnsi="Times New Roman" w:cs="Times New Roman"/>
          <w:kern w:val="2"/>
          <w:sz w:val="24"/>
          <w:szCs w:val="24"/>
          <w:lang w:eastAsia="zh-CN" w:bidi="hi-IN"/>
        </w:rPr>
        <w:t>, Keišs O</w:t>
      </w:r>
      <w:r w:rsidR="000C3DF9" w:rsidRPr="0014151A">
        <w:rPr>
          <w:rFonts w:ascii="Times New Roman" w:eastAsia="Times New Roman" w:hAnsi="Times New Roman" w:cs="Times New Roman"/>
          <w:kern w:val="2"/>
          <w:sz w:val="24"/>
          <w:szCs w:val="24"/>
          <w:lang w:eastAsia="zh-CN" w:bidi="hi-IN"/>
        </w:rPr>
        <w:t>.</w:t>
      </w:r>
      <w:r w:rsidRPr="0014151A">
        <w:rPr>
          <w:rFonts w:ascii="Times New Roman" w:eastAsia="Times New Roman" w:hAnsi="Times New Roman" w:cs="Times New Roman"/>
          <w:kern w:val="2"/>
          <w:sz w:val="24"/>
          <w:szCs w:val="24"/>
          <w:lang w:eastAsia="zh-CN" w:bidi="hi-IN"/>
        </w:rPr>
        <w:t xml:space="preserve"> &amp; </w:t>
      </w:r>
      <w:proofErr w:type="spellStart"/>
      <w:r w:rsidRPr="0014151A">
        <w:rPr>
          <w:rFonts w:ascii="Times New Roman" w:eastAsia="Times New Roman" w:hAnsi="Times New Roman" w:cs="Times New Roman"/>
          <w:kern w:val="2"/>
          <w:sz w:val="24"/>
          <w:szCs w:val="24"/>
          <w:lang w:eastAsia="zh-CN" w:bidi="hi-IN"/>
        </w:rPr>
        <w:t>Petersons</w:t>
      </w:r>
      <w:proofErr w:type="spellEnd"/>
      <w:r w:rsidRPr="0014151A">
        <w:rPr>
          <w:rFonts w:ascii="Times New Roman" w:eastAsia="Times New Roman" w:hAnsi="Times New Roman" w:cs="Times New Roman"/>
          <w:kern w:val="2"/>
          <w:sz w:val="24"/>
          <w:szCs w:val="24"/>
          <w:lang w:eastAsia="zh-CN" w:bidi="hi-IN"/>
        </w:rPr>
        <w:t xml:space="preserve"> G</w:t>
      </w:r>
      <w:r w:rsidR="000C3DF9" w:rsidRPr="0014151A">
        <w:rPr>
          <w:rFonts w:ascii="Times New Roman" w:eastAsia="Times New Roman" w:hAnsi="Times New Roman" w:cs="Times New Roman"/>
          <w:kern w:val="2"/>
          <w:sz w:val="24"/>
          <w:szCs w:val="24"/>
          <w:lang w:eastAsia="zh-CN" w:bidi="hi-IN"/>
        </w:rPr>
        <w:t>.</w:t>
      </w:r>
      <w:r w:rsidRPr="0014151A">
        <w:rPr>
          <w:rFonts w:ascii="Times New Roman" w:eastAsia="Times New Roman" w:hAnsi="Times New Roman" w:cs="Times New Roman"/>
          <w:kern w:val="2"/>
          <w:sz w:val="24"/>
          <w:szCs w:val="24"/>
          <w:lang w:eastAsia="zh-CN" w:bidi="hi-IN"/>
        </w:rPr>
        <w:t xml:space="preserve"> 2014, Diet </w:t>
      </w:r>
      <w:proofErr w:type="spellStart"/>
      <w:r w:rsidRPr="0014151A">
        <w:rPr>
          <w:rFonts w:ascii="Times New Roman" w:eastAsia="Times New Roman" w:hAnsi="Times New Roman" w:cs="Times New Roman"/>
          <w:kern w:val="2"/>
          <w:sz w:val="24"/>
          <w:szCs w:val="24"/>
          <w:lang w:eastAsia="zh-CN" w:bidi="hi-IN"/>
        </w:rPr>
        <w:t>of</w:t>
      </w:r>
      <w:proofErr w:type="spellEnd"/>
      <w:r w:rsidRPr="0014151A">
        <w:rPr>
          <w:rFonts w:ascii="TimesNewRoman" w:hAnsi="TimesNewRoman" w:cs="TimesNewRoman"/>
          <w:sz w:val="24"/>
          <w:szCs w:val="24"/>
        </w:rPr>
        <w:t xml:space="preserve"> </w:t>
      </w:r>
      <w:proofErr w:type="spellStart"/>
      <w:r w:rsidRPr="0014151A">
        <w:rPr>
          <w:rFonts w:ascii="Times New Roman" w:eastAsia="Times New Roman" w:hAnsi="Times New Roman" w:cs="Times New Roman"/>
          <w:kern w:val="2"/>
          <w:sz w:val="24"/>
          <w:szCs w:val="24"/>
          <w:lang w:eastAsia="zh-CN" w:bidi="hi-IN"/>
        </w:rPr>
        <w:t>the</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insectivorous</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bat</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i/>
          <w:iCs/>
          <w:kern w:val="2"/>
          <w:sz w:val="24"/>
          <w:szCs w:val="24"/>
          <w:lang w:eastAsia="zh-CN" w:bidi="hi-IN"/>
        </w:rPr>
        <w:t>Pipistrellus</w:t>
      </w:r>
      <w:proofErr w:type="spellEnd"/>
      <w:r w:rsidRPr="0014151A">
        <w:rPr>
          <w:rFonts w:ascii="Times New Roman" w:eastAsia="Times New Roman" w:hAnsi="Times New Roman" w:cs="Times New Roman"/>
          <w:i/>
          <w:iCs/>
          <w:kern w:val="2"/>
          <w:sz w:val="24"/>
          <w:szCs w:val="24"/>
          <w:lang w:eastAsia="zh-CN" w:bidi="hi-IN"/>
        </w:rPr>
        <w:t xml:space="preserve"> </w:t>
      </w:r>
      <w:proofErr w:type="spellStart"/>
      <w:r w:rsidRPr="0014151A">
        <w:rPr>
          <w:rFonts w:ascii="Times New Roman" w:eastAsia="Times New Roman" w:hAnsi="Times New Roman" w:cs="Times New Roman"/>
          <w:i/>
          <w:iCs/>
          <w:kern w:val="2"/>
          <w:sz w:val="24"/>
          <w:szCs w:val="24"/>
          <w:lang w:eastAsia="zh-CN" w:bidi="hi-IN"/>
        </w:rPr>
        <w:t>nathusii</w:t>
      </w:r>
      <w:proofErr w:type="spellEnd"/>
      <w:r w:rsidRPr="0014151A">
        <w:rPr>
          <w:rFonts w:ascii="Times New Roman" w:eastAsia="Times New Roman" w:hAnsi="Times New Roman" w:cs="Times New Roman"/>
          <w:i/>
          <w:iCs/>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during</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autumn</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migration</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and</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summer</w:t>
      </w:r>
      <w:proofErr w:type="spellEnd"/>
      <w:r w:rsidRPr="0014151A">
        <w:rPr>
          <w:rFonts w:ascii="TimesNewRoman" w:hAnsi="TimesNewRoman" w:cs="TimesNewRoman"/>
          <w:sz w:val="24"/>
          <w:szCs w:val="24"/>
        </w:rPr>
        <w:t xml:space="preserve"> </w:t>
      </w:r>
      <w:proofErr w:type="spellStart"/>
      <w:r w:rsidRPr="0014151A">
        <w:rPr>
          <w:rFonts w:ascii="Times New Roman" w:eastAsia="Times New Roman" w:hAnsi="Times New Roman" w:cs="Times New Roman"/>
          <w:kern w:val="2"/>
          <w:sz w:val="24"/>
          <w:szCs w:val="24"/>
          <w:lang w:eastAsia="zh-CN" w:bidi="hi-IN"/>
        </w:rPr>
        <w:t>residence</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i/>
          <w:iCs/>
          <w:kern w:val="2"/>
          <w:sz w:val="24"/>
          <w:szCs w:val="24"/>
          <w:lang w:eastAsia="zh-CN" w:bidi="hi-IN"/>
        </w:rPr>
        <w:t>Molecular</w:t>
      </w:r>
      <w:proofErr w:type="spellEnd"/>
      <w:r w:rsidRPr="0014151A">
        <w:rPr>
          <w:rFonts w:ascii="Times New Roman" w:eastAsia="Times New Roman" w:hAnsi="Times New Roman" w:cs="Times New Roman"/>
          <w:i/>
          <w:iCs/>
          <w:kern w:val="2"/>
          <w:sz w:val="24"/>
          <w:szCs w:val="24"/>
          <w:lang w:eastAsia="zh-CN" w:bidi="hi-IN"/>
        </w:rPr>
        <w:t xml:space="preserve"> </w:t>
      </w:r>
      <w:proofErr w:type="spellStart"/>
      <w:r w:rsidRPr="0014151A">
        <w:rPr>
          <w:rFonts w:ascii="Times New Roman" w:eastAsia="Times New Roman" w:hAnsi="Times New Roman" w:cs="Times New Roman"/>
          <w:i/>
          <w:iCs/>
          <w:kern w:val="2"/>
          <w:sz w:val="24"/>
          <w:szCs w:val="24"/>
          <w:lang w:eastAsia="zh-CN" w:bidi="hi-IN"/>
        </w:rPr>
        <w:t>Ecology</w:t>
      </w:r>
      <w:proofErr w:type="spellEnd"/>
      <w:r w:rsidRPr="0014151A">
        <w:rPr>
          <w:rFonts w:ascii="Times New Roman" w:eastAsia="Times New Roman" w:hAnsi="Times New Roman" w:cs="Times New Roman"/>
          <w:i/>
          <w:iCs/>
          <w:kern w:val="2"/>
          <w:sz w:val="24"/>
          <w:szCs w:val="24"/>
          <w:lang w:eastAsia="zh-CN" w:bidi="hi-IN"/>
        </w:rPr>
        <w:t xml:space="preserve"> </w:t>
      </w:r>
      <w:r w:rsidRPr="0014151A">
        <w:rPr>
          <w:rFonts w:ascii="Times New Roman" w:eastAsia="Times New Roman" w:hAnsi="Times New Roman" w:cs="Times New Roman"/>
          <w:kern w:val="2"/>
          <w:sz w:val="24"/>
          <w:szCs w:val="24"/>
          <w:lang w:eastAsia="zh-CN" w:bidi="hi-IN"/>
        </w:rPr>
        <w:t>23: 3672–3683.</w:t>
      </w:r>
    </w:p>
    <w:p w14:paraId="1D33AF22" w14:textId="5BC223B6" w:rsidR="00260499" w:rsidRPr="0014151A" w:rsidRDefault="00260499" w:rsidP="0014151A">
      <w:pPr>
        <w:numPr>
          <w:ilvl w:val="0"/>
          <w:numId w:val="31"/>
        </w:numPr>
        <w:spacing w:after="0" w:line="240" w:lineRule="auto"/>
        <w:contextualSpacing/>
        <w:jc w:val="both"/>
        <w:rPr>
          <w:rFonts w:ascii="Times New Roman" w:eastAsia="Times New Roman" w:hAnsi="Times New Roman" w:cs="Times New Roman"/>
          <w:kern w:val="2"/>
          <w:sz w:val="24"/>
          <w:szCs w:val="24"/>
          <w:lang w:eastAsia="zh-CN" w:bidi="hi-IN"/>
        </w:rPr>
      </w:pPr>
      <w:proofErr w:type="spellStart"/>
      <w:r w:rsidRPr="0014151A">
        <w:rPr>
          <w:rFonts w:ascii="Times New Roman" w:eastAsia="Times New Roman" w:hAnsi="Times New Roman" w:cs="Times New Roman"/>
          <w:kern w:val="2"/>
          <w:sz w:val="24"/>
          <w:szCs w:val="24"/>
          <w:lang w:eastAsia="zh-CN" w:bidi="hi-IN"/>
        </w:rPr>
        <w:t>Kumsare</w:t>
      </w:r>
      <w:proofErr w:type="spellEnd"/>
      <w:r w:rsidRPr="0014151A">
        <w:rPr>
          <w:rFonts w:ascii="Times New Roman" w:eastAsia="Times New Roman" w:hAnsi="Times New Roman" w:cs="Times New Roman"/>
          <w:kern w:val="2"/>
          <w:sz w:val="24"/>
          <w:szCs w:val="24"/>
          <w:lang w:eastAsia="zh-CN" w:bidi="hi-IN"/>
        </w:rPr>
        <w:t xml:space="preserve"> A. 1972</w:t>
      </w:r>
      <w:r w:rsidR="000C3DF9" w:rsidRPr="0014151A">
        <w:rPr>
          <w:rFonts w:ascii="Times New Roman" w:eastAsia="Times New Roman" w:hAnsi="Times New Roman" w:cs="Times New Roman"/>
          <w:kern w:val="2"/>
          <w:sz w:val="24"/>
          <w:szCs w:val="24"/>
          <w:lang w:eastAsia="zh-CN" w:bidi="hi-IN"/>
        </w:rPr>
        <w:t>.</w:t>
      </w:r>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Zur</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hydrobiologischen</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Rayonierung</w:t>
      </w:r>
      <w:proofErr w:type="spellEnd"/>
      <w:r w:rsidRPr="0014151A">
        <w:rPr>
          <w:rFonts w:ascii="Times New Roman" w:eastAsia="Times New Roman" w:hAnsi="Times New Roman" w:cs="Times New Roman"/>
          <w:kern w:val="2"/>
          <w:sz w:val="24"/>
          <w:szCs w:val="24"/>
          <w:lang w:eastAsia="zh-CN" w:bidi="hi-IN"/>
        </w:rPr>
        <w:t xml:space="preserve"> der Daugava. </w:t>
      </w:r>
      <w:proofErr w:type="spellStart"/>
      <w:r w:rsidRPr="0014151A">
        <w:rPr>
          <w:rFonts w:ascii="Times New Roman" w:eastAsia="Times New Roman" w:hAnsi="Times New Roman" w:cs="Times New Roman"/>
          <w:kern w:val="2"/>
          <w:sz w:val="24"/>
          <w:szCs w:val="24"/>
          <w:lang w:eastAsia="zh-CN" w:bidi="hi-IN"/>
        </w:rPr>
        <w:t>Verh</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Internat</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Verein</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Limnol</w:t>
      </w:r>
      <w:proofErr w:type="spellEnd"/>
      <w:r w:rsidRPr="0014151A">
        <w:rPr>
          <w:rFonts w:ascii="Times New Roman" w:eastAsia="Times New Roman" w:hAnsi="Times New Roman" w:cs="Times New Roman"/>
          <w:kern w:val="2"/>
          <w:sz w:val="24"/>
          <w:szCs w:val="24"/>
          <w:lang w:eastAsia="zh-CN" w:bidi="hi-IN"/>
        </w:rPr>
        <w:t>., 18, 751-755.</w:t>
      </w:r>
    </w:p>
    <w:p w14:paraId="73B3CB11" w14:textId="2F596164" w:rsidR="003C6536" w:rsidRPr="0014151A" w:rsidRDefault="003C6536" w:rsidP="0014151A">
      <w:pPr>
        <w:numPr>
          <w:ilvl w:val="0"/>
          <w:numId w:val="31"/>
        </w:numPr>
        <w:spacing w:after="0" w:line="240" w:lineRule="auto"/>
        <w:contextualSpacing/>
        <w:jc w:val="both"/>
        <w:rPr>
          <w:rFonts w:ascii="Times New Roman" w:eastAsia="Times New Roman" w:hAnsi="Times New Roman" w:cs="Times New Roman"/>
          <w:kern w:val="2"/>
          <w:sz w:val="24"/>
          <w:szCs w:val="24"/>
          <w:lang w:eastAsia="zh-CN" w:bidi="hi-IN"/>
        </w:rPr>
      </w:pPr>
      <w:proofErr w:type="spellStart"/>
      <w:r w:rsidRPr="0014151A">
        <w:rPr>
          <w:rFonts w:ascii="Times New Roman" w:eastAsia="Times New Roman" w:hAnsi="Times New Roman" w:cs="Times New Roman"/>
          <w:kern w:val="2"/>
          <w:sz w:val="24"/>
          <w:szCs w:val="24"/>
          <w:lang w:eastAsia="zh-CN" w:bidi="hi-IN"/>
        </w:rPr>
        <w:t>Kuuluvainen</w:t>
      </w:r>
      <w:proofErr w:type="spellEnd"/>
      <w:r w:rsidRPr="0014151A">
        <w:rPr>
          <w:rFonts w:ascii="Times New Roman" w:eastAsia="Times New Roman" w:hAnsi="Times New Roman" w:cs="Times New Roman"/>
          <w:kern w:val="2"/>
          <w:sz w:val="24"/>
          <w:szCs w:val="24"/>
          <w:lang w:eastAsia="zh-CN" w:bidi="hi-IN"/>
        </w:rPr>
        <w:t xml:space="preserve"> T., </w:t>
      </w:r>
      <w:proofErr w:type="spellStart"/>
      <w:r w:rsidRPr="0014151A">
        <w:rPr>
          <w:rFonts w:ascii="Times New Roman" w:eastAsia="Times New Roman" w:hAnsi="Times New Roman" w:cs="Times New Roman"/>
          <w:kern w:val="2"/>
          <w:sz w:val="24"/>
          <w:szCs w:val="24"/>
          <w:lang w:eastAsia="zh-CN" w:bidi="hi-IN"/>
        </w:rPr>
        <w:t>Lindberg</w:t>
      </w:r>
      <w:proofErr w:type="spellEnd"/>
      <w:r w:rsidRPr="0014151A">
        <w:rPr>
          <w:rFonts w:ascii="Times New Roman" w:eastAsia="Times New Roman" w:hAnsi="Times New Roman" w:cs="Times New Roman"/>
          <w:kern w:val="2"/>
          <w:sz w:val="24"/>
          <w:szCs w:val="24"/>
          <w:lang w:eastAsia="zh-CN" w:bidi="hi-IN"/>
        </w:rPr>
        <w:t xml:space="preserve"> H., </w:t>
      </w:r>
      <w:proofErr w:type="spellStart"/>
      <w:r w:rsidRPr="0014151A">
        <w:rPr>
          <w:rFonts w:ascii="Times New Roman" w:eastAsia="Times New Roman" w:hAnsi="Times New Roman" w:cs="Times New Roman"/>
          <w:kern w:val="2"/>
          <w:sz w:val="24"/>
          <w:szCs w:val="24"/>
          <w:lang w:eastAsia="zh-CN" w:bidi="hi-IN"/>
        </w:rPr>
        <w:t>Vanha-Majamaa</w:t>
      </w:r>
      <w:proofErr w:type="spellEnd"/>
      <w:r w:rsidRPr="0014151A">
        <w:rPr>
          <w:rFonts w:ascii="Times New Roman" w:eastAsia="Times New Roman" w:hAnsi="Times New Roman" w:cs="Times New Roman"/>
          <w:kern w:val="2"/>
          <w:sz w:val="24"/>
          <w:szCs w:val="24"/>
          <w:lang w:eastAsia="zh-CN" w:bidi="hi-IN"/>
        </w:rPr>
        <w:t xml:space="preserve"> I. </w:t>
      </w:r>
      <w:proofErr w:type="spellStart"/>
      <w:r w:rsidRPr="0014151A">
        <w:rPr>
          <w:rFonts w:ascii="Times New Roman" w:eastAsia="Times New Roman" w:hAnsi="Times New Roman" w:cs="Times New Roman"/>
          <w:kern w:val="2"/>
          <w:sz w:val="24"/>
          <w:szCs w:val="24"/>
          <w:lang w:eastAsia="zh-CN" w:bidi="hi-IN"/>
        </w:rPr>
        <w:t>et</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al</w:t>
      </w:r>
      <w:proofErr w:type="spellEnd"/>
      <w:r w:rsidRPr="0014151A">
        <w:rPr>
          <w:rFonts w:ascii="Times New Roman" w:eastAsia="Times New Roman" w:hAnsi="Times New Roman" w:cs="Times New Roman"/>
          <w:kern w:val="2"/>
          <w:sz w:val="24"/>
          <w:szCs w:val="24"/>
          <w:lang w:eastAsia="zh-CN" w:bidi="hi-IN"/>
        </w:rPr>
        <w:t xml:space="preserve">. </w:t>
      </w:r>
      <w:r w:rsidR="000C3DF9" w:rsidRPr="0014151A">
        <w:rPr>
          <w:rFonts w:ascii="Times New Roman" w:eastAsia="Times New Roman" w:hAnsi="Times New Roman" w:cs="Times New Roman"/>
          <w:kern w:val="2"/>
          <w:sz w:val="24"/>
          <w:szCs w:val="24"/>
          <w:lang w:eastAsia="zh-CN" w:bidi="hi-IN"/>
        </w:rPr>
        <w:t xml:space="preserve">2019. </w:t>
      </w:r>
      <w:proofErr w:type="spellStart"/>
      <w:r w:rsidRPr="0014151A">
        <w:rPr>
          <w:rFonts w:ascii="Times New Roman" w:eastAsia="Times New Roman" w:hAnsi="Times New Roman" w:cs="Times New Roman"/>
          <w:kern w:val="2"/>
          <w:sz w:val="24"/>
          <w:szCs w:val="24"/>
          <w:lang w:eastAsia="zh-CN" w:bidi="hi-IN"/>
        </w:rPr>
        <w:t>Low-level</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retention</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forestry</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certification</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and</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biodiversity</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case</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Finland</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Ecol</w:t>
      </w:r>
      <w:proofErr w:type="spellEnd"/>
      <w:r w:rsidRPr="0014151A">
        <w:rPr>
          <w:rFonts w:ascii="Times New Roman" w:eastAsia="Times New Roman" w:hAnsi="Times New Roman" w:cs="Times New Roman"/>
          <w:kern w:val="2"/>
          <w:sz w:val="24"/>
          <w:szCs w:val="24"/>
          <w:lang w:eastAsia="zh-CN" w:bidi="hi-IN"/>
        </w:rPr>
        <w:t xml:space="preserve"> Process 8, 47. </w:t>
      </w:r>
      <w:hyperlink r:id="rId211" w:history="1">
        <w:r w:rsidR="00D75679" w:rsidRPr="0014151A">
          <w:rPr>
            <w:rStyle w:val="Hyperlink"/>
            <w:rFonts w:ascii="Times New Roman" w:eastAsia="Times New Roman" w:hAnsi="Times New Roman" w:cs="Times New Roman"/>
            <w:kern w:val="2"/>
            <w:sz w:val="24"/>
            <w:szCs w:val="24"/>
            <w:lang w:eastAsia="zh-CN" w:bidi="hi-IN"/>
          </w:rPr>
          <w:t>https://doi.org/10.1186/s13717-019-0198-0</w:t>
        </w:r>
      </w:hyperlink>
      <w:r w:rsidR="00D75679" w:rsidRPr="0014151A">
        <w:rPr>
          <w:rFonts w:ascii="Times New Roman" w:eastAsia="Times New Roman" w:hAnsi="Times New Roman" w:cs="Times New Roman"/>
          <w:kern w:val="2"/>
          <w:sz w:val="24"/>
          <w:szCs w:val="24"/>
          <w:lang w:eastAsia="zh-CN" w:bidi="hi-IN"/>
        </w:rPr>
        <w:t xml:space="preserve"> </w:t>
      </w:r>
    </w:p>
    <w:p w14:paraId="4FEC4DBE" w14:textId="337C6CFC" w:rsidR="0094598E" w:rsidRPr="0014151A" w:rsidRDefault="00686341" w:rsidP="0014151A">
      <w:pPr>
        <w:numPr>
          <w:ilvl w:val="0"/>
          <w:numId w:val="31"/>
        </w:numPr>
        <w:spacing w:after="0" w:line="240" w:lineRule="auto"/>
        <w:contextualSpacing/>
        <w:jc w:val="both"/>
        <w:rPr>
          <w:rFonts w:ascii="Times New Roman" w:eastAsia="Times New Roman" w:hAnsi="Times New Roman" w:cs="Times New Roman"/>
          <w:kern w:val="2"/>
          <w:sz w:val="24"/>
          <w:szCs w:val="24"/>
          <w:lang w:eastAsia="zh-CN" w:bidi="hi-IN"/>
        </w:rPr>
      </w:pPr>
      <w:r w:rsidRPr="0014151A">
        <w:rPr>
          <w:rFonts w:ascii="Times New Roman" w:eastAsia="Times New Roman" w:hAnsi="Times New Roman" w:cs="Times New Roman"/>
          <w:kern w:val="2"/>
          <w:sz w:val="24"/>
          <w:szCs w:val="24"/>
          <w:lang w:eastAsia="zh-CN" w:bidi="hi-IN"/>
        </w:rPr>
        <w:t xml:space="preserve">Kuzmin S., </w:t>
      </w:r>
      <w:proofErr w:type="spellStart"/>
      <w:r w:rsidR="0094598E" w:rsidRPr="0014151A">
        <w:rPr>
          <w:rFonts w:ascii="Times New Roman" w:eastAsia="Times New Roman" w:hAnsi="Times New Roman" w:cs="Times New Roman"/>
          <w:kern w:val="2"/>
          <w:sz w:val="24"/>
          <w:szCs w:val="24"/>
          <w:lang w:eastAsia="zh-CN" w:bidi="hi-IN"/>
        </w:rPr>
        <w:t>Dziamidau</w:t>
      </w:r>
      <w:proofErr w:type="spellEnd"/>
      <w:r w:rsidRPr="0014151A">
        <w:rPr>
          <w:rFonts w:ascii="Times New Roman" w:eastAsia="Times New Roman" w:hAnsi="Times New Roman" w:cs="Times New Roman"/>
          <w:kern w:val="2"/>
          <w:sz w:val="24"/>
          <w:szCs w:val="24"/>
          <w:lang w:eastAsia="zh-CN" w:bidi="hi-IN"/>
        </w:rPr>
        <w:t xml:space="preserve"> A., </w:t>
      </w:r>
      <w:proofErr w:type="spellStart"/>
      <w:r w:rsidR="0094598E" w:rsidRPr="0014151A">
        <w:rPr>
          <w:rFonts w:ascii="Times New Roman" w:eastAsia="Times New Roman" w:hAnsi="Times New Roman" w:cs="Times New Roman"/>
          <w:kern w:val="2"/>
          <w:sz w:val="24"/>
          <w:szCs w:val="24"/>
          <w:lang w:eastAsia="zh-CN" w:bidi="hi-IN"/>
        </w:rPr>
        <w:t>Babko</w:t>
      </w:r>
      <w:proofErr w:type="spellEnd"/>
      <w:r w:rsidRPr="0014151A">
        <w:rPr>
          <w:rFonts w:ascii="Times New Roman" w:eastAsia="Times New Roman" w:hAnsi="Times New Roman" w:cs="Times New Roman"/>
          <w:kern w:val="2"/>
          <w:sz w:val="24"/>
          <w:szCs w:val="24"/>
          <w:lang w:eastAsia="zh-CN" w:bidi="hi-IN"/>
        </w:rPr>
        <w:t xml:space="preserve"> A.</w:t>
      </w:r>
      <w:r w:rsidR="0094598E" w:rsidRPr="0014151A">
        <w:rPr>
          <w:rFonts w:ascii="Times New Roman" w:eastAsia="Times New Roman" w:hAnsi="Times New Roman" w:cs="Times New Roman"/>
          <w:kern w:val="2"/>
          <w:sz w:val="24"/>
          <w:szCs w:val="24"/>
          <w:lang w:eastAsia="zh-CN" w:bidi="hi-IN"/>
        </w:rPr>
        <w:t xml:space="preserve"> 2017, </w:t>
      </w:r>
      <w:proofErr w:type="spellStart"/>
      <w:r w:rsidR="0094598E" w:rsidRPr="0014151A">
        <w:rPr>
          <w:rFonts w:ascii="Times New Roman" w:eastAsia="Times New Roman" w:hAnsi="Times New Roman" w:cs="Times New Roman"/>
          <w:kern w:val="2"/>
          <w:sz w:val="24"/>
          <w:szCs w:val="24"/>
          <w:lang w:eastAsia="zh-CN" w:bidi="hi-IN"/>
        </w:rPr>
        <w:t>Environmental</w:t>
      </w:r>
      <w:proofErr w:type="spellEnd"/>
      <w:r w:rsidR="0094598E" w:rsidRPr="0014151A">
        <w:rPr>
          <w:rFonts w:ascii="Times New Roman" w:eastAsia="Times New Roman" w:hAnsi="Times New Roman" w:cs="Times New Roman"/>
          <w:kern w:val="2"/>
          <w:sz w:val="24"/>
          <w:szCs w:val="24"/>
          <w:lang w:eastAsia="zh-CN" w:bidi="hi-IN"/>
        </w:rPr>
        <w:t xml:space="preserve"> risk </w:t>
      </w:r>
      <w:proofErr w:type="spellStart"/>
      <w:r w:rsidR="0094598E" w:rsidRPr="0014151A">
        <w:rPr>
          <w:rFonts w:ascii="Times New Roman" w:eastAsia="Times New Roman" w:hAnsi="Times New Roman" w:cs="Times New Roman"/>
          <w:kern w:val="2"/>
          <w:sz w:val="24"/>
          <w:szCs w:val="24"/>
          <w:lang w:eastAsia="zh-CN" w:bidi="hi-IN"/>
        </w:rPr>
        <w:t>from</w:t>
      </w:r>
      <w:proofErr w:type="spellEnd"/>
      <w:r w:rsidR="0094598E" w:rsidRPr="0014151A">
        <w:rPr>
          <w:rFonts w:ascii="Times New Roman" w:eastAsia="Times New Roman" w:hAnsi="Times New Roman" w:cs="Times New Roman"/>
          <w:kern w:val="2"/>
          <w:sz w:val="24"/>
          <w:szCs w:val="24"/>
          <w:lang w:eastAsia="zh-CN" w:bidi="hi-IN"/>
        </w:rPr>
        <w:t xml:space="preserve"> </w:t>
      </w:r>
      <w:proofErr w:type="spellStart"/>
      <w:r w:rsidR="0094598E" w:rsidRPr="0014151A">
        <w:rPr>
          <w:rFonts w:ascii="Times New Roman" w:eastAsia="Times New Roman" w:hAnsi="Times New Roman" w:cs="Times New Roman"/>
          <w:kern w:val="2"/>
          <w:sz w:val="24"/>
          <w:szCs w:val="24"/>
          <w:lang w:eastAsia="zh-CN" w:bidi="hi-IN"/>
        </w:rPr>
        <w:t>waste</w:t>
      </w:r>
      <w:proofErr w:type="spellEnd"/>
      <w:r w:rsidR="0094598E" w:rsidRPr="0014151A">
        <w:rPr>
          <w:rFonts w:ascii="Times New Roman" w:eastAsia="Times New Roman" w:hAnsi="Times New Roman" w:cs="Times New Roman"/>
          <w:kern w:val="2"/>
          <w:sz w:val="24"/>
          <w:szCs w:val="24"/>
          <w:lang w:eastAsia="zh-CN" w:bidi="hi-IN"/>
        </w:rPr>
        <w:t xml:space="preserve"> </w:t>
      </w:r>
      <w:proofErr w:type="spellStart"/>
      <w:r w:rsidR="0094598E" w:rsidRPr="0014151A">
        <w:rPr>
          <w:rFonts w:ascii="Times New Roman" w:eastAsia="Times New Roman" w:hAnsi="Times New Roman" w:cs="Times New Roman"/>
          <w:kern w:val="2"/>
          <w:sz w:val="24"/>
          <w:szCs w:val="24"/>
          <w:lang w:eastAsia="zh-CN" w:bidi="hi-IN"/>
        </w:rPr>
        <w:t>disposal</w:t>
      </w:r>
      <w:proofErr w:type="spellEnd"/>
      <w:r w:rsidR="0094598E" w:rsidRPr="0014151A">
        <w:rPr>
          <w:rFonts w:ascii="Times New Roman" w:eastAsia="Times New Roman" w:hAnsi="Times New Roman" w:cs="Times New Roman"/>
          <w:kern w:val="2"/>
          <w:sz w:val="24"/>
          <w:szCs w:val="24"/>
          <w:lang w:eastAsia="zh-CN" w:bidi="hi-IN"/>
        </w:rPr>
        <w:t xml:space="preserve"> </w:t>
      </w:r>
      <w:proofErr w:type="spellStart"/>
      <w:r w:rsidR="0094598E" w:rsidRPr="0014151A">
        <w:rPr>
          <w:rFonts w:ascii="Times New Roman" w:eastAsia="Times New Roman" w:hAnsi="Times New Roman" w:cs="Times New Roman"/>
          <w:kern w:val="2"/>
          <w:sz w:val="24"/>
          <w:szCs w:val="24"/>
          <w:lang w:eastAsia="zh-CN" w:bidi="hi-IN"/>
        </w:rPr>
        <w:t>facilities</w:t>
      </w:r>
      <w:proofErr w:type="spellEnd"/>
      <w:r w:rsidR="00D65BBA" w:rsidRPr="0014151A">
        <w:rPr>
          <w:rFonts w:ascii="Times New Roman" w:eastAsia="Times New Roman" w:hAnsi="Times New Roman" w:cs="Times New Roman"/>
          <w:kern w:val="2"/>
          <w:sz w:val="24"/>
          <w:szCs w:val="24"/>
          <w:lang w:eastAsia="zh-CN" w:bidi="hi-IN"/>
        </w:rPr>
        <w:t xml:space="preserve"> </w:t>
      </w:r>
      <w:proofErr w:type="spellStart"/>
      <w:r w:rsidR="0094598E" w:rsidRPr="0014151A">
        <w:rPr>
          <w:rFonts w:ascii="Times New Roman" w:eastAsia="Times New Roman" w:hAnsi="Times New Roman" w:cs="Times New Roman"/>
          <w:kern w:val="2"/>
          <w:sz w:val="24"/>
          <w:szCs w:val="24"/>
          <w:lang w:eastAsia="zh-CN" w:bidi="hi-IN"/>
        </w:rPr>
        <w:t>in</w:t>
      </w:r>
      <w:proofErr w:type="spellEnd"/>
      <w:r w:rsidR="0094598E" w:rsidRPr="0014151A">
        <w:rPr>
          <w:rFonts w:ascii="Times New Roman" w:eastAsia="Times New Roman" w:hAnsi="Times New Roman" w:cs="Times New Roman"/>
          <w:kern w:val="2"/>
          <w:sz w:val="24"/>
          <w:szCs w:val="24"/>
          <w:lang w:eastAsia="zh-CN" w:bidi="hi-IN"/>
        </w:rPr>
        <w:t xml:space="preserve"> </w:t>
      </w:r>
      <w:proofErr w:type="spellStart"/>
      <w:r w:rsidR="0094598E" w:rsidRPr="0014151A">
        <w:rPr>
          <w:rFonts w:ascii="Times New Roman" w:eastAsia="Times New Roman" w:hAnsi="Times New Roman" w:cs="Times New Roman"/>
          <w:kern w:val="2"/>
          <w:sz w:val="24"/>
          <w:szCs w:val="24"/>
          <w:lang w:eastAsia="zh-CN" w:bidi="hi-IN"/>
        </w:rPr>
        <w:t>the</w:t>
      </w:r>
      <w:proofErr w:type="spellEnd"/>
      <w:r w:rsidR="0094598E" w:rsidRPr="0014151A">
        <w:rPr>
          <w:rFonts w:ascii="Times New Roman" w:eastAsia="Times New Roman" w:hAnsi="Times New Roman" w:cs="Times New Roman"/>
          <w:kern w:val="2"/>
          <w:sz w:val="24"/>
          <w:szCs w:val="24"/>
          <w:lang w:eastAsia="zh-CN" w:bidi="hi-IN"/>
        </w:rPr>
        <w:t xml:space="preserve"> </w:t>
      </w:r>
      <w:proofErr w:type="spellStart"/>
      <w:r w:rsidR="0094598E" w:rsidRPr="0014151A">
        <w:rPr>
          <w:rFonts w:ascii="Times New Roman" w:eastAsia="Times New Roman" w:hAnsi="Times New Roman" w:cs="Times New Roman"/>
          <w:kern w:val="2"/>
          <w:sz w:val="24"/>
          <w:szCs w:val="24"/>
          <w:lang w:eastAsia="zh-CN" w:bidi="hi-IN"/>
        </w:rPr>
        <w:t>Belarusian</w:t>
      </w:r>
      <w:proofErr w:type="spellEnd"/>
      <w:r w:rsidR="0094598E" w:rsidRPr="0014151A">
        <w:rPr>
          <w:rFonts w:ascii="Times New Roman" w:eastAsia="Times New Roman" w:hAnsi="Times New Roman" w:cs="Times New Roman"/>
          <w:kern w:val="2"/>
          <w:sz w:val="24"/>
          <w:szCs w:val="24"/>
          <w:lang w:eastAsia="zh-CN" w:bidi="hi-IN"/>
        </w:rPr>
        <w:t xml:space="preserve"> </w:t>
      </w:r>
      <w:proofErr w:type="spellStart"/>
      <w:r w:rsidR="0094598E" w:rsidRPr="0014151A">
        <w:rPr>
          <w:rFonts w:ascii="Times New Roman" w:eastAsia="Times New Roman" w:hAnsi="Times New Roman" w:cs="Times New Roman"/>
          <w:kern w:val="2"/>
          <w:sz w:val="24"/>
          <w:szCs w:val="24"/>
          <w:lang w:eastAsia="zh-CN" w:bidi="hi-IN"/>
        </w:rPr>
        <w:t>part</w:t>
      </w:r>
      <w:proofErr w:type="spellEnd"/>
      <w:r w:rsidR="0094598E" w:rsidRPr="0014151A">
        <w:rPr>
          <w:rFonts w:ascii="Times New Roman" w:eastAsia="Times New Roman" w:hAnsi="Times New Roman" w:cs="Times New Roman"/>
          <w:kern w:val="2"/>
          <w:sz w:val="24"/>
          <w:szCs w:val="24"/>
          <w:lang w:eastAsia="zh-CN" w:bidi="hi-IN"/>
        </w:rPr>
        <w:t xml:space="preserve"> </w:t>
      </w:r>
      <w:proofErr w:type="spellStart"/>
      <w:r w:rsidR="0094598E" w:rsidRPr="0014151A">
        <w:rPr>
          <w:rFonts w:ascii="Times New Roman" w:eastAsia="Times New Roman" w:hAnsi="Times New Roman" w:cs="Times New Roman"/>
          <w:kern w:val="2"/>
          <w:sz w:val="24"/>
          <w:szCs w:val="24"/>
          <w:lang w:eastAsia="zh-CN" w:bidi="hi-IN"/>
        </w:rPr>
        <w:t>of</w:t>
      </w:r>
      <w:proofErr w:type="spellEnd"/>
      <w:r w:rsidR="0094598E" w:rsidRPr="0014151A">
        <w:rPr>
          <w:rFonts w:ascii="Times New Roman" w:eastAsia="Times New Roman" w:hAnsi="Times New Roman" w:cs="Times New Roman"/>
          <w:kern w:val="2"/>
          <w:sz w:val="24"/>
          <w:szCs w:val="24"/>
          <w:lang w:eastAsia="zh-CN" w:bidi="hi-IN"/>
        </w:rPr>
        <w:t xml:space="preserve"> </w:t>
      </w:r>
      <w:proofErr w:type="spellStart"/>
      <w:r w:rsidR="0094598E" w:rsidRPr="0014151A">
        <w:rPr>
          <w:rFonts w:ascii="Times New Roman" w:eastAsia="Times New Roman" w:hAnsi="Times New Roman" w:cs="Times New Roman"/>
          <w:kern w:val="2"/>
          <w:sz w:val="24"/>
          <w:szCs w:val="24"/>
          <w:lang w:eastAsia="zh-CN" w:bidi="hi-IN"/>
        </w:rPr>
        <w:t>the</w:t>
      </w:r>
      <w:proofErr w:type="spellEnd"/>
      <w:r w:rsidR="0094598E" w:rsidRPr="0014151A">
        <w:rPr>
          <w:rFonts w:ascii="Times New Roman" w:eastAsia="Times New Roman" w:hAnsi="Times New Roman" w:cs="Times New Roman"/>
          <w:kern w:val="2"/>
          <w:sz w:val="24"/>
          <w:szCs w:val="24"/>
          <w:lang w:eastAsia="zh-CN" w:bidi="hi-IN"/>
        </w:rPr>
        <w:t xml:space="preserve"> </w:t>
      </w:r>
      <w:proofErr w:type="spellStart"/>
      <w:r w:rsidR="0094598E" w:rsidRPr="0014151A">
        <w:rPr>
          <w:rFonts w:ascii="Times New Roman" w:eastAsia="Times New Roman" w:hAnsi="Times New Roman" w:cs="Times New Roman"/>
          <w:kern w:val="2"/>
          <w:sz w:val="24"/>
          <w:szCs w:val="24"/>
          <w:lang w:eastAsia="zh-CN" w:bidi="hi-IN"/>
        </w:rPr>
        <w:t>Zapadnaja</w:t>
      </w:r>
      <w:proofErr w:type="spellEnd"/>
      <w:r w:rsidR="0094598E" w:rsidRPr="0014151A">
        <w:rPr>
          <w:rFonts w:ascii="Times New Roman" w:eastAsia="Times New Roman" w:hAnsi="Times New Roman" w:cs="Times New Roman"/>
          <w:kern w:val="2"/>
          <w:sz w:val="24"/>
          <w:szCs w:val="24"/>
          <w:lang w:eastAsia="zh-CN" w:bidi="hi-IN"/>
        </w:rPr>
        <w:t xml:space="preserve"> Dvina </w:t>
      </w:r>
      <w:proofErr w:type="spellStart"/>
      <w:r w:rsidR="0094598E" w:rsidRPr="0014151A">
        <w:rPr>
          <w:rFonts w:ascii="Times New Roman" w:eastAsia="Times New Roman" w:hAnsi="Times New Roman" w:cs="Times New Roman"/>
          <w:kern w:val="2"/>
          <w:sz w:val="24"/>
          <w:szCs w:val="24"/>
          <w:lang w:eastAsia="zh-CN" w:bidi="hi-IN"/>
        </w:rPr>
        <w:t>river</w:t>
      </w:r>
      <w:proofErr w:type="spellEnd"/>
      <w:r w:rsidR="0094598E" w:rsidRPr="0014151A">
        <w:rPr>
          <w:rFonts w:ascii="Times New Roman" w:eastAsia="Times New Roman" w:hAnsi="Times New Roman" w:cs="Times New Roman"/>
          <w:kern w:val="2"/>
          <w:sz w:val="24"/>
          <w:szCs w:val="24"/>
          <w:lang w:eastAsia="zh-CN" w:bidi="hi-IN"/>
        </w:rPr>
        <w:t xml:space="preserve"> </w:t>
      </w:r>
      <w:proofErr w:type="spellStart"/>
      <w:r w:rsidR="0094598E" w:rsidRPr="0014151A">
        <w:rPr>
          <w:rFonts w:ascii="Times New Roman" w:eastAsia="Times New Roman" w:hAnsi="Times New Roman" w:cs="Times New Roman"/>
          <w:kern w:val="2"/>
          <w:sz w:val="24"/>
          <w:szCs w:val="24"/>
          <w:lang w:eastAsia="zh-CN" w:bidi="hi-IN"/>
        </w:rPr>
        <w:t>basin</w:t>
      </w:r>
      <w:proofErr w:type="spellEnd"/>
      <w:r w:rsidR="0094598E" w:rsidRPr="0014151A">
        <w:rPr>
          <w:rFonts w:ascii="Times New Roman" w:eastAsia="Times New Roman" w:hAnsi="Times New Roman" w:cs="Times New Roman"/>
          <w:kern w:val="2"/>
          <w:sz w:val="24"/>
          <w:szCs w:val="24"/>
          <w:lang w:eastAsia="zh-CN" w:bidi="hi-IN"/>
        </w:rPr>
        <w:t xml:space="preserve">. </w:t>
      </w:r>
      <w:proofErr w:type="spellStart"/>
      <w:r w:rsidR="0094598E" w:rsidRPr="0014151A">
        <w:rPr>
          <w:rFonts w:ascii="Times New Roman" w:eastAsia="Times New Roman" w:hAnsi="Times New Roman" w:cs="Times New Roman"/>
          <w:kern w:val="2"/>
          <w:sz w:val="24"/>
          <w:szCs w:val="24"/>
          <w:lang w:eastAsia="zh-CN" w:bidi="hi-IN"/>
        </w:rPr>
        <w:t>Ecology&amp;Safety</w:t>
      </w:r>
      <w:proofErr w:type="spellEnd"/>
      <w:r w:rsidR="0094598E" w:rsidRPr="0014151A">
        <w:rPr>
          <w:rFonts w:ascii="Times New Roman" w:eastAsia="Times New Roman" w:hAnsi="Times New Roman" w:cs="Times New Roman"/>
          <w:kern w:val="2"/>
          <w:sz w:val="24"/>
          <w:szCs w:val="24"/>
          <w:lang w:eastAsia="zh-CN" w:bidi="hi-IN"/>
        </w:rPr>
        <w:t>,</w:t>
      </w:r>
      <w:r w:rsidR="00D65BBA" w:rsidRPr="0014151A">
        <w:rPr>
          <w:rFonts w:ascii="Times New Roman" w:eastAsia="Times New Roman" w:hAnsi="Times New Roman" w:cs="Times New Roman"/>
          <w:kern w:val="2"/>
          <w:sz w:val="24"/>
          <w:szCs w:val="24"/>
          <w:lang w:eastAsia="zh-CN" w:bidi="hi-IN"/>
        </w:rPr>
        <w:t xml:space="preserve"> </w:t>
      </w:r>
      <w:r w:rsidR="0094598E" w:rsidRPr="0014151A">
        <w:rPr>
          <w:rFonts w:ascii="Times New Roman" w:eastAsia="Times New Roman" w:hAnsi="Times New Roman" w:cs="Times New Roman"/>
          <w:kern w:val="2"/>
          <w:sz w:val="24"/>
          <w:szCs w:val="24"/>
          <w:lang w:eastAsia="zh-CN" w:bidi="hi-IN"/>
        </w:rPr>
        <w:t xml:space="preserve">V. 11, </w:t>
      </w:r>
      <w:proofErr w:type="spellStart"/>
      <w:r w:rsidR="0094598E" w:rsidRPr="0014151A">
        <w:rPr>
          <w:rFonts w:ascii="Times New Roman" w:eastAsia="Times New Roman" w:hAnsi="Times New Roman" w:cs="Times New Roman"/>
          <w:kern w:val="2"/>
          <w:sz w:val="24"/>
          <w:szCs w:val="24"/>
          <w:lang w:eastAsia="zh-CN" w:bidi="hi-IN"/>
        </w:rPr>
        <w:t>pp</w:t>
      </w:r>
      <w:proofErr w:type="spellEnd"/>
      <w:r w:rsidR="0094598E" w:rsidRPr="0014151A">
        <w:rPr>
          <w:rFonts w:ascii="Times New Roman" w:eastAsia="Times New Roman" w:hAnsi="Times New Roman" w:cs="Times New Roman"/>
          <w:kern w:val="2"/>
          <w:sz w:val="24"/>
          <w:szCs w:val="24"/>
          <w:lang w:eastAsia="zh-CN" w:bidi="hi-IN"/>
        </w:rPr>
        <w:t>. 394-401</w:t>
      </w:r>
      <w:r w:rsidR="000B4634" w:rsidRPr="0014151A">
        <w:rPr>
          <w:rFonts w:ascii="Times New Roman" w:eastAsia="Times New Roman" w:hAnsi="Times New Roman" w:cs="Times New Roman"/>
          <w:kern w:val="2"/>
          <w:sz w:val="24"/>
          <w:szCs w:val="24"/>
          <w:lang w:eastAsia="zh-CN" w:bidi="hi-IN"/>
        </w:rPr>
        <w:t>.</w:t>
      </w:r>
    </w:p>
    <w:p w14:paraId="1E692D26" w14:textId="7CDB4CD6" w:rsidR="00686341" w:rsidRPr="0014151A" w:rsidRDefault="00686341" w:rsidP="0014151A">
      <w:pPr>
        <w:numPr>
          <w:ilvl w:val="0"/>
          <w:numId w:val="31"/>
        </w:numPr>
        <w:spacing w:after="0" w:line="240" w:lineRule="auto"/>
        <w:contextualSpacing/>
        <w:jc w:val="both"/>
        <w:rPr>
          <w:rFonts w:ascii="Times New Roman" w:eastAsia="Times New Roman" w:hAnsi="Times New Roman" w:cs="Times New Roman"/>
          <w:kern w:val="2"/>
          <w:sz w:val="24"/>
          <w:szCs w:val="24"/>
          <w:lang w:eastAsia="zh-CN" w:bidi="hi-IN"/>
        </w:rPr>
      </w:pPr>
      <w:r w:rsidRPr="0014151A">
        <w:rPr>
          <w:rFonts w:ascii="Times New Roman" w:eastAsia="Times New Roman" w:hAnsi="Times New Roman" w:cs="Times New Roman"/>
          <w:kern w:val="2"/>
          <w:sz w:val="24"/>
          <w:szCs w:val="24"/>
          <w:lang w:eastAsia="zh-CN" w:bidi="hi-IN"/>
        </w:rPr>
        <w:t xml:space="preserve">Kuzmin S.L., </w:t>
      </w:r>
      <w:proofErr w:type="spellStart"/>
      <w:r w:rsidRPr="0014151A">
        <w:rPr>
          <w:rFonts w:ascii="Times New Roman" w:eastAsia="Times New Roman" w:hAnsi="Times New Roman" w:cs="Times New Roman"/>
          <w:kern w:val="2"/>
          <w:sz w:val="24"/>
          <w:szCs w:val="24"/>
          <w:lang w:eastAsia="zh-CN" w:bidi="hi-IN"/>
        </w:rPr>
        <w:t>Pupina</w:t>
      </w:r>
      <w:proofErr w:type="spellEnd"/>
      <w:r w:rsidRPr="0014151A">
        <w:rPr>
          <w:rFonts w:ascii="Times New Roman" w:eastAsia="Times New Roman" w:hAnsi="Times New Roman" w:cs="Times New Roman"/>
          <w:kern w:val="2"/>
          <w:sz w:val="24"/>
          <w:szCs w:val="24"/>
          <w:lang w:eastAsia="zh-CN" w:bidi="hi-IN"/>
        </w:rPr>
        <w:t xml:space="preserve"> A., </w:t>
      </w:r>
      <w:proofErr w:type="spellStart"/>
      <w:r w:rsidRPr="0014151A">
        <w:rPr>
          <w:rFonts w:ascii="Times New Roman" w:eastAsia="Times New Roman" w:hAnsi="Times New Roman" w:cs="Times New Roman"/>
          <w:kern w:val="2"/>
          <w:sz w:val="24"/>
          <w:szCs w:val="24"/>
          <w:lang w:eastAsia="zh-CN" w:bidi="hi-IN"/>
        </w:rPr>
        <w:t>Pupins</w:t>
      </w:r>
      <w:proofErr w:type="spellEnd"/>
      <w:r w:rsidRPr="0014151A">
        <w:rPr>
          <w:rFonts w:ascii="Times New Roman" w:eastAsia="Times New Roman" w:hAnsi="Times New Roman" w:cs="Times New Roman"/>
          <w:kern w:val="2"/>
          <w:sz w:val="24"/>
          <w:szCs w:val="24"/>
          <w:lang w:eastAsia="zh-CN" w:bidi="hi-IN"/>
        </w:rPr>
        <w:t xml:space="preserve"> M., </w:t>
      </w:r>
      <w:proofErr w:type="spellStart"/>
      <w:r w:rsidRPr="0014151A">
        <w:rPr>
          <w:rFonts w:ascii="Times New Roman" w:eastAsia="Times New Roman" w:hAnsi="Times New Roman" w:cs="Times New Roman"/>
          <w:kern w:val="2"/>
          <w:sz w:val="24"/>
          <w:szCs w:val="24"/>
          <w:lang w:eastAsia="zh-CN" w:bidi="hi-IN"/>
        </w:rPr>
        <w:t>Trakimas</w:t>
      </w:r>
      <w:proofErr w:type="spellEnd"/>
      <w:r w:rsidRPr="0014151A">
        <w:rPr>
          <w:rFonts w:ascii="Times New Roman" w:eastAsia="Times New Roman" w:hAnsi="Times New Roman" w:cs="Times New Roman"/>
          <w:kern w:val="2"/>
          <w:sz w:val="24"/>
          <w:szCs w:val="24"/>
          <w:lang w:eastAsia="zh-CN" w:bidi="hi-IN"/>
        </w:rPr>
        <w:t xml:space="preserve"> G. 2008</w:t>
      </w:r>
      <w:r w:rsidR="00D75679" w:rsidRPr="0014151A">
        <w:rPr>
          <w:rFonts w:ascii="Times New Roman" w:eastAsia="Times New Roman" w:hAnsi="Times New Roman" w:cs="Times New Roman"/>
          <w:kern w:val="2"/>
          <w:sz w:val="24"/>
          <w:szCs w:val="24"/>
          <w:lang w:eastAsia="zh-CN" w:bidi="hi-IN"/>
        </w:rPr>
        <w:t>.</w:t>
      </w:r>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Northern</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border</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of</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the</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distribution</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of</w:t>
      </w:r>
      <w:proofErr w:type="spellEnd"/>
      <w:r w:rsidRPr="0014151A">
        <w:rPr>
          <w:rFonts w:ascii="Calibri" w:hAnsi="Calibri" w:cs="Calibri"/>
        </w:rPr>
        <w:t xml:space="preserve"> </w:t>
      </w:r>
      <w:proofErr w:type="spellStart"/>
      <w:r w:rsidRPr="0014151A">
        <w:rPr>
          <w:rFonts w:ascii="Times New Roman" w:eastAsia="Times New Roman" w:hAnsi="Times New Roman" w:cs="Times New Roman"/>
          <w:kern w:val="2"/>
          <w:sz w:val="24"/>
          <w:szCs w:val="24"/>
          <w:lang w:eastAsia="zh-CN" w:bidi="hi-IN"/>
        </w:rPr>
        <w:t>the</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red-bellied</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toad</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Bombina</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bombina</w:t>
      </w:r>
      <w:proofErr w:type="spellEnd"/>
      <w:r w:rsidRPr="0014151A">
        <w:rPr>
          <w:rFonts w:ascii="Times New Roman" w:eastAsia="Times New Roman" w:hAnsi="Times New Roman" w:cs="Times New Roman"/>
          <w:kern w:val="2"/>
          <w:sz w:val="24"/>
          <w:szCs w:val="24"/>
          <w:lang w:eastAsia="zh-CN" w:bidi="hi-IN"/>
        </w:rPr>
        <w:t>. -</w:t>
      </w:r>
      <w:proofErr w:type="spellStart"/>
      <w:r w:rsidRPr="0014151A">
        <w:rPr>
          <w:rFonts w:ascii="Times New Roman" w:eastAsia="Times New Roman" w:hAnsi="Times New Roman" w:cs="Times New Roman"/>
          <w:kern w:val="2"/>
          <w:sz w:val="24"/>
          <w:szCs w:val="24"/>
          <w:lang w:eastAsia="zh-CN" w:bidi="hi-IN"/>
        </w:rPr>
        <w:t>Zeitshrift</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fur</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Feldherpetologie</w:t>
      </w:r>
      <w:proofErr w:type="spellEnd"/>
      <w:r w:rsidRPr="0014151A">
        <w:rPr>
          <w:rFonts w:ascii="Times New Roman" w:eastAsia="Times New Roman" w:hAnsi="Times New Roman" w:cs="Times New Roman"/>
          <w:kern w:val="2"/>
          <w:sz w:val="24"/>
          <w:szCs w:val="24"/>
          <w:lang w:eastAsia="zh-CN" w:bidi="hi-IN"/>
        </w:rPr>
        <w:t>, 15 (2): 215-</w:t>
      </w:r>
      <w:r w:rsidRPr="0014151A">
        <w:rPr>
          <w:rFonts w:ascii="Calibri" w:hAnsi="Calibri" w:cs="Calibri"/>
        </w:rPr>
        <w:t xml:space="preserve"> </w:t>
      </w:r>
      <w:r w:rsidRPr="0014151A">
        <w:rPr>
          <w:rFonts w:ascii="Times New Roman" w:eastAsia="Times New Roman" w:hAnsi="Times New Roman" w:cs="Times New Roman"/>
          <w:kern w:val="2"/>
          <w:sz w:val="24"/>
          <w:szCs w:val="24"/>
          <w:lang w:eastAsia="zh-CN" w:bidi="hi-IN"/>
        </w:rPr>
        <w:t>228.</w:t>
      </w:r>
    </w:p>
    <w:p w14:paraId="62D27DC5" w14:textId="3776CB26" w:rsidR="00260499" w:rsidRPr="0014151A" w:rsidRDefault="00260499" w:rsidP="00F87589">
      <w:pPr>
        <w:numPr>
          <w:ilvl w:val="0"/>
          <w:numId w:val="31"/>
        </w:numPr>
        <w:spacing w:after="120" w:line="240" w:lineRule="auto"/>
        <w:contextualSpacing/>
        <w:jc w:val="both"/>
        <w:rPr>
          <w:rFonts w:ascii="Times New Roman" w:eastAsia="Times New Roman" w:hAnsi="Times New Roman" w:cs="Times New Roman"/>
          <w:kern w:val="2"/>
          <w:sz w:val="24"/>
          <w:szCs w:val="24"/>
          <w:lang w:eastAsia="zh-CN" w:bidi="hi-IN"/>
        </w:rPr>
      </w:pPr>
      <w:r w:rsidRPr="0014151A">
        <w:rPr>
          <w:rFonts w:ascii="Times New Roman" w:eastAsia="Times New Roman" w:hAnsi="Times New Roman" w:cs="Times New Roman"/>
          <w:kern w:val="2"/>
          <w:sz w:val="24"/>
          <w:szCs w:val="24"/>
          <w:lang w:eastAsia="zh-CN" w:bidi="hi-IN"/>
        </w:rPr>
        <w:t>Lārmanis V., Priedītis N., Rudzīte M. 2000</w:t>
      </w:r>
      <w:r w:rsidR="00D75679" w:rsidRPr="0014151A">
        <w:rPr>
          <w:rFonts w:ascii="Times New Roman" w:eastAsia="Times New Roman" w:hAnsi="Times New Roman" w:cs="Times New Roman"/>
          <w:kern w:val="2"/>
          <w:sz w:val="24"/>
          <w:szCs w:val="24"/>
          <w:lang w:eastAsia="zh-CN" w:bidi="hi-IN"/>
        </w:rPr>
        <w:t>.</w:t>
      </w:r>
      <w:r w:rsidRPr="0014151A">
        <w:rPr>
          <w:rFonts w:ascii="Times New Roman" w:eastAsia="Times New Roman" w:hAnsi="Times New Roman" w:cs="Times New Roman"/>
          <w:kern w:val="2"/>
          <w:sz w:val="24"/>
          <w:szCs w:val="24"/>
          <w:lang w:eastAsia="zh-CN" w:bidi="hi-IN"/>
        </w:rPr>
        <w:t xml:space="preserve"> Mežaudžu atslēgas biotopu rokasgrāmata. Rīga, 127 lpp.</w:t>
      </w:r>
    </w:p>
    <w:p w14:paraId="717D3315" w14:textId="27DC922B" w:rsidR="0016756D" w:rsidRPr="0014151A" w:rsidRDefault="0016756D" w:rsidP="0014151A">
      <w:pPr>
        <w:pStyle w:val="ListParagraph"/>
        <w:numPr>
          <w:ilvl w:val="0"/>
          <w:numId w:val="31"/>
        </w:numPr>
        <w:tabs>
          <w:tab w:val="left" w:pos="426"/>
        </w:tabs>
        <w:spacing w:after="0" w:line="240" w:lineRule="auto"/>
        <w:ind w:left="924" w:hanging="357"/>
        <w:rPr>
          <w:rFonts w:eastAsia="Times New Roman" w:cs="Times New Roman"/>
          <w:kern w:val="2"/>
          <w:lang w:eastAsia="zh-CN" w:bidi="hi-IN"/>
        </w:rPr>
      </w:pPr>
      <w:r w:rsidRPr="0014151A">
        <w:rPr>
          <w:rFonts w:eastAsia="Times New Roman" w:cs="Times New Roman"/>
          <w:kern w:val="2"/>
          <w:lang w:eastAsia="zh-CN" w:bidi="hi-IN"/>
        </w:rPr>
        <w:t>Latvijas Daba</w:t>
      </w:r>
      <w:r w:rsidR="00961D85" w:rsidRPr="0014151A">
        <w:rPr>
          <w:rFonts w:eastAsia="Times New Roman" w:cs="Times New Roman"/>
          <w:kern w:val="2"/>
          <w:lang w:eastAsia="zh-CN" w:bidi="hi-IN"/>
        </w:rPr>
        <w:t xml:space="preserve"> 1993.</w:t>
      </w:r>
      <w:r w:rsidRPr="0014151A">
        <w:rPr>
          <w:rFonts w:eastAsia="Times New Roman" w:cs="Times New Roman"/>
          <w:kern w:val="2"/>
          <w:lang w:eastAsia="zh-CN" w:bidi="hi-IN"/>
        </w:rPr>
        <w:t xml:space="preserve"> Rīga, Preses nams</w:t>
      </w:r>
      <w:r w:rsidR="00961D85" w:rsidRPr="0014151A">
        <w:rPr>
          <w:rFonts w:eastAsia="Times New Roman" w:cs="Times New Roman"/>
          <w:kern w:val="2"/>
          <w:lang w:eastAsia="zh-CN" w:bidi="hi-IN"/>
        </w:rPr>
        <w:t>.</w:t>
      </w:r>
    </w:p>
    <w:p w14:paraId="09A20C07" w14:textId="20809C14" w:rsidR="00F2117E" w:rsidRPr="0014151A" w:rsidRDefault="00F2117E" w:rsidP="0014151A">
      <w:pPr>
        <w:pStyle w:val="ListParagraph"/>
        <w:numPr>
          <w:ilvl w:val="0"/>
          <w:numId w:val="31"/>
        </w:numPr>
        <w:spacing w:after="0" w:line="240" w:lineRule="auto"/>
        <w:ind w:left="924" w:hanging="357"/>
        <w:rPr>
          <w:rFonts w:eastAsia="Times New Roman" w:cs="Times New Roman"/>
          <w:kern w:val="2"/>
          <w:lang w:eastAsia="zh-CN" w:bidi="hi-IN"/>
        </w:rPr>
      </w:pPr>
      <w:r w:rsidRPr="0014151A">
        <w:rPr>
          <w:rFonts w:eastAsia="Times New Roman" w:cs="Times New Roman"/>
          <w:kern w:val="2"/>
          <w:lang w:eastAsia="zh-CN" w:bidi="hi-IN"/>
        </w:rPr>
        <w:t>Latvijas Ornitoloģijas biedrība (LOB), 1998. Latvijas lauku putni. Rīga.</w:t>
      </w:r>
    </w:p>
    <w:p w14:paraId="44A29483" w14:textId="00F07706" w:rsidR="00F2117E" w:rsidRPr="0014151A" w:rsidRDefault="00F2117E" w:rsidP="0014151A">
      <w:pPr>
        <w:pStyle w:val="ListParagraph"/>
        <w:numPr>
          <w:ilvl w:val="0"/>
          <w:numId w:val="31"/>
        </w:numPr>
        <w:tabs>
          <w:tab w:val="left" w:pos="426"/>
        </w:tabs>
        <w:spacing w:after="0" w:line="240" w:lineRule="auto"/>
        <w:ind w:left="924" w:hanging="357"/>
        <w:rPr>
          <w:rFonts w:eastAsia="Times New Roman" w:cs="Times New Roman"/>
          <w:kern w:val="2"/>
          <w:lang w:eastAsia="zh-CN" w:bidi="hi-IN"/>
        </w:rPr>
      </w:pPr>
      <w:r w:rsidRPr="0014151A">
        <w:rPr>
          <w:rFonts w:eastAsia="Times New Roman" w:cs="Times New Roman"/>
          <w:kern w:val="2"/>
          <w:lang w:eastAsia="zh-CN" w:bidi="hi-IN"/>
        </w:rPr>
        <w:t>Latvijas Ornitoloģijas biedrība (LOB), 1999. Latvijas ūdeņu putni. Rīga.</w:t>
      </w:r>
    </w:p>
    <w:p w14:paraId="11F9E0D0" w14:textId="2412C6CC" w:rsidR="00F2117E" w:rsidRPr="0014151A" w:rsidRDefault="00F2117E" w:rsidP="0014151A">
      <w:pPr>
        <w:pStyle w:val="ListParagraph"/>
        <w:numPr>
          <w:ilvl w:val="0"/>
          <w:numId w:val="31"/>
        </w:numPr>
        <w:tabs>
          <w:tab w:val="left" w:pos="426"/>
        </w:tabs>
        <w:spacing w:after="0" w:line="240" w:lineRule="auto"/>
        <w:ind w:left="924" w:hanging="357"/>
        <w:rPr>
          <w:rFonts w:eastAsia="Times New Roman" w:cs="Times New Roman"/>
          <w:kern w:val="2"/>
          <w:lang w:eastAsia="zh-CN" w:bidi="hi-IN"/>
        </w:rPr>
      </w:pPr>
      <w:r w:rsidRPr="0014151A">
        <w:rPr>
          <w:rFonts w:eastAsia="Times New Roman" w:cs="Times New Roman"/>
          <w:kern w:val="2"/>
          <w:lang w:eastAsia="zh-CN" w:bidi="hi-IN"/>
        </w:rPr>
        <w:t>Latvijas Ornitoloģijas biedrība (LOB), 2002. Latvijas meža putni. Otrais izdevums. Rīga.</w:t>
      </w:r>
    </w:p>
    <w:p w14:paraId="0938197D" w14:textId="470E0F36" w:rsidR="00260499" w:rsidRPr="0014151A" w:rsidRDefault="00260499" w:rsidP="0014151A">
      <w:pPr>
        <w:numPr>
          <w:ilvl w:val="0"/>
          <w:numId w:val="31"/>
        </w:numPr>
        <w:spacing w:after="0" w:line="240" w:lineRule="auto"/>
        <w:ind w:left="924" w:hanging="357"/>
        <w:jc w:val="both"/>
        <w:rPr>
          <w:rFonts w:ascii="Times New Roman" w:eastAsia="Times New Roman" w:hAnsi="Times New Roman" w:cs="Times New Roman"/>
          <w:kern w:val="2"/>
          <w:sz w:val="24"/>
          <w:szCs w:val="24"/>
          <w:lang w:eastAsia="zh-CN" w:bidi="hi-IN"/>
        </w:rPr>
      </w:pPr>
      <w:r w:rsidRPr="0014151A">
        <w:rPr>
          <w:rFonts w:ascii="Times New Roman" w:eastAsia="Times New Roman" w:hAnsi="Times New Roman" w:cs="Times New Roman"/>
          <w:color w:val="000000"/>
          <w:kern w:val="2"/>
          <w:sz w:val="24"/>
          <w:szCs w:val="24"/>
          <w:lang w:eastAsia="ja-JP" w:bidi="hi-IN"/>
        </w:rPr>
        <w:t>Latvijas zaļās pērles – dabas tūrisma iespējas, 2000.</w:t>
      </w:r>
      <w:r w:rsidR="004F5FC9" w:rsidRPr="0014151A">
        <w:rPr>
          <w:rFonts w:ascii="Times New Roman" w:eastAsia="Times New Roman" w:hAnsi="Times New Roman" w:cs="Times New Roman"/>
          <w:color w:val="000000"/>
          <w:kern w:val="2"/>
          <w:sz w:val="24"/>
          <w:szCs w:val="24"/>
          <w:lang w:eastAsia="ja-JP" w:bidi="hi-IN"/>
        </w:rPr>
        <w:t xml:space="preserve"> </w:t>
      </w:r>
      <w:r w:rsidRPr="0014151A">
        <w:rPr>
          <w:rFonts w:ascii="Times New Roman" w:eastAsia="Times New Roman" w:hAnsi="Times New Roman" w:cs="Times New Roman"/>
          <w:color w:val="000000"/>
          <w:kern w:val="2"/>
          <w:sz w:val="24"/>
          <w:szCs w:val="24"/>
          <w:lang w:eastAsia="ja-JP" w:bidi="hi-IN"/>
        </w:rPr>
        <w:t>VARAM, Rīga, 16.lpp.</w:t>
      </w:r>
    </w:p>
    <w:p w14:paraId="7B3823BF" w14:textId="6AA61DB0" w:rsidR="00DB5246" w:rsidRPr="0014151A" w:rsidRDefault="00DB5246" w:rsidP="0014151A">
      <w:pPr>
        <w:numPr>
          <w:ilvl w:val="0"/>
          <w:numId w:val="31"/>
        </w:numPr>
        <w:spacing w:after="0" w:line="240" w:lineRule="auto"/>
        <w:ind w:left="924" w:hanging="357"/>
        <w:jc w:val="both"/>
        <w:rPr>
          <w:rFonts w:ascii="Times New Roman" w:eastAsia="Times New Roman" w:hAnsi="Times New Roman" w:cs="Times New Roman"/>
          <w:kern w:val="2"/>
          <w:sz w:val="24"/>
          <w:szCs w:val="24"/>
          <w:lang w:eastAsia="zh-CN" w:bidi="hi-IN"/>
        </w:rPr>
      </w:pPr>
      <w:r w:rsidRPr="0014151A">
        <w:rPr>
          <w:rFonts w:ascii="Times New Roman" w:eastAsia="Times New Roman" w:hAnsi="Times New Roman" w:cs="Times New Roman"/>
          <w:kern w:val="2"/>
          <w:sz w:val="24"/>
          <w:szCs w:val="24"/>
          <w:lang w:eastAsia="zh-CN" w:bidi="hi-IN"/>
        </w:rPr>
        <w:t xml:space="preserve">Lebuss R. 2013. Putnu monitoringa metodika </w:t>
      </w:r>
      <w:proofErr w:type="spellStart"/>
      <w:r w:rsidRPr="0014151A">
        <w:rPr>
          <w:rFonts w:ascii="Times New Roman" w:eastAsia="Times New Roman" w:hAnsi="Times New Roman" w:cs="Times New Roman"/>
          <w:kern w:val="2"/>
          <w:sz w:val="24"/>
          <w:szCs w:val="24"/>
          <w:lang w:eastAsia="zh-CN" w:bidi="hi-IN"/>
        </w:rPr>
        <w:t>Natura</w:t>
      </w:r>
      <w:proofErr w:type="spellEnd"/>
      <w:r w:rsidRPr="0014151A">
        <w:rPr>
          <w:rFonts w:ascii="Times New Roman" w:eastAsia="Times New Roman" w:hAnsi="Times New Roman" w:cs="Times New Roman"/>
          <w:kern w:val="2"/>
          <w:sz w:val="24"/>
          <w:szCs w:val="24"/>
          <w:lang w:eastAsia="zh-CN" w:bidi="hi-IN"/>
        </w:rPr>
        <w:t xml:space="preserve"> 2000 teritorijās. Latvijas Ornitoloģijas</w:t>
      </w:r>
      <w:r w:rsidRPr="0014151A">
        <w:rPr>
          <w:rFonts w:ascii="TimesNewRoman" w:hAnsi="TimesNewRoman" w:cs="TimesNewRoman"/>
          <w:sz w:val="24"/>
          <w:szCs w:val="24"/>
        </w:rPr>
        <w:t xml:space="preserve"> </w:t>
      </w:r>
      <w:r w:rsidRPr="0014151A">
        <w:rPr>
          <w:rFonts w:ascii="Times New Roman" w:eastAsia="Times New Roman" w:hAnsi="Times New Roman" w:cs="Times New Roman"/>
          <w:kern w:val="2"/>
          <w:sz w:val="24"/>
          <w:szCs w:val="24"/>
          <w:lang w:eastAsia="zh-CN" w:bidi="hi-IN"/>
        </w:rPr>
        <w:t>biedrība.</w:t>
      </w:r>
    </w:p>
    <w:p w14:paraId="4836792C" w14:textId="77777777" w:rsidR="00260499" w:rsidRPr="00686851" w:rsidRDefault="00260499" w:rsidP="007F7063">
      <w:pPr>
        <w:numPr>
          <w:ilvl w:val="0"/>
          <w:numId w:val="31"/>
        </w:numPr>
        <w:spacing w:after="0" w:line="240" w:lineRule="auto"/>
        <w:ind w:left="924" w:hanging="357"/>
        <w:jc w:val="both"/>
        <w:rPr>
          <w:rFonts w:ascii="Times New Roman" w:eastAsia="Times New Roman" w:hAnsi="Times New Roman" w:cs="Times New Roman"/>
          <w:kern w:val="2"/>
          <w:sz w:val="24"/>
          <w:szCs w:val="24"/>
          <w:lang w:eastAsia="zh-CN" w:bidi="hi-IN"/>
        </w:rPr>
      </w:pPr>
      <w:proofErr w:type="spellStart"/>
      <w:r w:rsidRPr="0014151A">
        <w:rPr>
          <w:rFonts w:ascii="Times New Roman" w:eastAsia="Times New Roman" w:hAnsi="Times New Roman" w:cs="Times New Roman"/>
          <w:color w:val="000000"/>
          <w:kern w:val="2"/>
          <w:sz w:val="24"/>
          <w:szCs w:val="24"/>
          <w:lang w:eastAsia="ja-JP" w:bidi="hi-IN"/>
        </w:rPr>
        <w:t>Lehmann</w:t>
      </w:r>
      <w:proofErr w:type="spellEnd"/>
      <w:r w:rsidRPr="0014151A">
        <w:rPr>
          <w:rFonts w:ascii="Times New Roman" w:eastAsia="Times New Roman" w:hAnsi="Times New Roman" w:cs="Times New Roman"/>
          <w:color w:val="000000"/>
          <w:kern w:val="2"/>
          <w:sz w:val="24"/>
          <w:szCs w:val="24"/>
          <w:lang w:eastAsia="ja-JP" w:bidi="hi-IN"/>
        </w:rPr>
        <w:t xml:space="preserve"> E. 1895. Flora von </w:t>
      </w:r>
      <w:proofErr w:type="spellStart"/>
      <w:r w:rsidRPr="0014151A">
        <w:rPr>
          <w:rFonts w:ascii="Times New Roman" w:eastAsia="Times New Roman" w:hAnsi="Times New Roman" w:cs="Times New Roman"/>
          <w:color w:val="000000"/>
          <w:kern w:val="2"/>
          <w:sz w:val="24"/>
          <w:szCs w:val="24"/>
          <w:lang w:eastAsia="ja-JP" w:bidi="hi-IN"/>
        </w:rPr>
        <w:t>Polnisch-Livland</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mit</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besonderer</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Berücksichtigung</w:t>
      </w:r>
      <w:proofErr w:type="spellEnd"/>
      <w:r w:rsidRPr="0014151A">
        <w:rPr>
          <w:rFonts w:ascii="Times New Roman" w:eastAsia="Times New Roman" w:hAnsi="Times New Roman" w:cs="Times New Roman"/>
          <w:color w:val="000000"/>
          <w:kern w:val="2"/>
          <w:sz w:val="24"/>
          <w:szCs w:val="24"/>
          <w:lang w:eastAsia="ja-JP" w:bidi="hi-IN"/>
        </w:rPr>
        <w:t xml:space="preserve"> der </w:t>
      </w:r>
      <w:proofErr w:type="spellStart"/>
      <w:r w:rsidRPr="0014151A">
        <w:rPr>
          <w:rFonts w:ascii="Times New Roman" w:eastAsia="Times New Roman" w:hAnsi="Times New Roman" w:cs="Times New Roman"/>
          <w:color w:val="000000"/>
          <w:kern w:val="2"/>
          <w:sz w:val="24"/>
          <w:szCs w:val="24"/>
          <w:lang w:eastAsia="ja-JP" w:bidi="hi-IN"/>
        </w:rPr>
        <w:t>Florengebiete</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Nordwest-Russlands</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des</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Ostbalticums</w:t>
      </w:r>
      <w:proofErr w:type="spellEnd"/>
      <w:r w:rsidRPr="0014151A">
        <w:rPr>
          <w:rFonts w:ascii="Times New Roman" w:eastAsia="Times New Roman" w:hAnsi="Times New Roman" w:cs="Times New Roman"/>
          <w:color w:val="000000"/>
          <w:kern w:val="2"/>
          <w:sz w:val="24"/>
          <w:szCs w:val="24"/>
          <w:lang w:eastAsia="ja-JP" w:bidi="hi-IN"/>
        </w:rPr>
        <w:t xml:space="preserve">, der </w:t>
      </w:r>
      <w:proofErr w:type="spellStart"/>
      <w:r w:rsidRPr="0014151A">
        <w:rPr>
          <w:rFonts w:ascii="Times New Roman" w:eastAsia="Times New Roman" w:hAnsi="Times New Roman" w:cs="Times New Roman"/>
          <w:color w:val="000000"/>
          <w:kern w:val="2"/>
          <w:sz w:val="24"/>
          <w:szCs w:val="24"/>
          <w:lang w:eastAsia="ja-JP" w:bidi="hi-IN"/>
        </w:rPr>
        <w:t>Gouvernements</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Pskow</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und</w:t>
      </w:r>
      <w:proofErr w:type="spellEnd"/>
      <w:r w:rsidRPr="0014151A">
        <w:rPr>
          <w:rFonts w:ascii="Times New Roman" w:eastAsia="Times New Roman" w:hAnsi="Times New Roman" w:cs="Times New Roman"/>
          <w:color w:val="000000"/>
          <w:kern w:val="2"/>
          <w:sz w:val="24"/>
          <w:szCs w:val="24"/>
          <w:lang w:eastAsia="ja-JP" w:bidi="hi-IN"/>
        </w:rPr>
        <w:t xml:space="preserve"> St. </w:t>
      </w:r>
      <w:proofErr w:type="spellStart"/>
      <w:r w:rsidRPr="0014151A">
        <w:rPr>
          <w:rFonts w:ascii="Times New Roman" w:eastAsia="Times New Roman" w:hAnsi="Times New Roman" w:cs="Times New Roman"/>
          <w:color w:val="000000"/>
          <w:kern w:val="2"/>
          <w:sz w:val="24"/>
          <w:szCs w:val="24"/>
          <w:lang w:eastAsia="ja-JP" w:bidi="hi-IN"/>
        </w:rPr>
        <w:t>Petersburg</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sowie</w:t>
      </w:r>
      <w:proofErr w:type="spellEnd"/>
      <w:r w:rsidRPr="0014151A">
        <w:rPr>
          <w:rFonts w:ascii="Times New Roman" w:eastAsia="Times New Roman" w:hAnsi="Times New Roman" w:cs="Times New Roman"/>
          <w:color w:val="000000"/>
          <w:kern w:val="2"/>
          <w:sz w:val="24"/>
          <w:szCs w:val="24"/>
          <w:lang w:eastAsia="ja-JP" w:bidi="hi-IN"/>
        </w:rPr>
        <w:t xml:space="preserve"> der </w:t>
      </w:r>
      <w:proofErr w:type="spellStart"/>
      <w:r w:rsidRPr="0014151A">
        <w:rPr>
          <w:rFonts w:ascii="Times New Roman" w:eastAsia="Times New Roman" w:hAnsi="Times New Roman" w:cs="Times New Roman"/>
          <w:color w:val="000000"/>
          <w:kern w:val="2"/>
          <w:sz w:val="24"/>
          <w:szCs w:val="24"/>
          <w:lang w:eastAsia="ja-JP" w:bidi="hi-IN"/>
        </w:rPr>
        <w:t>Verbreitung</w:t>
      </w:r>
      <w:proofErr w:type="spellEnd"/>
      <w:r w:rsidRPr="0014151A">
        <w:rPr>
          <w:rFonts w:ascii="Times New Roman" w:eastAsia="Times New Roman" w:hAnsi="Times New Roman" w:cs="Times New Roman"/>
          <w:color w:val="000000"/>
          <w:kern w:val="2"/>
          <w:sz w:val="24"/>
          <w:szCs w:val="24"/>
          <w:lang w:eastAsia="ja-JP" w:bidi="hi-IN"/>
        </w:rPr>
        <w:t xml:space="preserve"> der </w:t>
      </w:r>
      <w:proofErr w:type="spellStart"/>
      <w:r w:rsidRPr="0014151A">
        <w:rPr>
          <w:rFonts w:ascii="Times New Roman" w:eastAsia="Times New Roman" w:hAnsi="Times New Roman" w:cs="Times New Roman"/>
          <w:color w:val="000000"/>
          <w:kern w:val="2"/>
          <w:sz w:val="24"/>
          <w:szCs w:val="24"/>
          <w:lang w:eastAsia="ja-JP" w:bidi="hi-IN"/>
        </w:rPr>
        <w:t>Pflanzen</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durch</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Eisenbahnen</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Jurjew</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Dorpat</w:t>
      </w:r>
      <w:proofErr w:type="spellEnd"/>
      <w:r w:rsidRPr="0014151A">
        <w:rPr>
          <w:rFonts w:ascii="Times New Roman" w:eastAsia="Times New Roman" w:hAnsi="Times New Roman" w:cs="Times New Roman"/>
          <w:color w:val="000000"/>
          <w:kern w:val="2"/>
          <w:sz w:val="24"/>
          <w:szCs w:val="24"/>
          <w:lang w:eastAsia="ja-JP" w:bidi="hi-IN"/>
        </w:rPr>
        <w:t>), 432 S.</w:t>
      </w:r>
    </w:p>
    <w:p w14:paraId="21928F18" w14:textId="73EA0A7C" w:rsidR="00686851" w:rsidRPr="007F7063" w:rsidRDefault="007F7063" w:rsidP="007F7063">
      <w:pPr>
        <w:pStyle w:val="ListParagraph"/>
        <w:numPr>
          <w:ilvl w:val="0"/>
          <w:numId w:val="31"/>
        </w:numPr>
        <w:spacing w:after="0" w:line="240" w:lineRule="auto"/>
        <w:rPr>
          <w:rFonts w:eastAsia="Times New Roman" w:cs="Times New Roman"/>
          <w:kern w:val="2"/>
          <w:szCs w:val="24"/>
          <w:lang w:eastAsia="zh-CN" w:bidi="hi-IN"/>
        </w:rPr>
      </w:pPr>
      <w:proofErr w:type="spellStart"/>
      <w:r w:rsidRPr="007F7063">
        <w:rPr>
          <w:rFonts w:eastAsia="Times New Roman" w:cs="Times New Roman"/>
          <w:kern w:val="2"/>
          <w:szCs w:val="24"/>
          <w:lang w:eastAsia="zh-CN" w:bidi="hi-IN"/>
        </w:rPr>
        <w:t>Leito</w:t>
      </w:r>
      <w:proofErr w:type="spellEnd"/>
      <w:r w:rsidRPr="007F7063">
        <w:rPr>
          <w:rFonts w:eastAsia="Times New Roman" w:cs="Times New Roman"/>
          <w:kern w:val="2"/>
          <w:szCs w:val="24"/>
          <w:lang w:eastAsia="zh-CN" w:bidi="hi-IN"/>
        </w:rPr>
        <w:t xml:space="preserve"> A.,* </w:t>
      </w:r>
      <w:proofErr w:type="spellStart"/>
      <w:r w:rsidRPr="007F7063">
        <w:rPr>
          <w:rFonts w:eastAsia="Times New Roman" w:cs="Times New Roman"/>
          <w:kern w:val="2"/>
          <w:szCs w:val="24"/>
          <w:lang w:eastAsia="zh-CN" w:bidi="hi-IN"/>
        </w:rPr>
        <w:t>Leivits</w:t>
      </w:r>
      <w:proofErr w:type="spellEnd"/>
      <w:r w:rsidRPr="007F7063">
        <w:rPr>
          <w:rFonts w:eastAsia="Times New Roman" w:cs="Times New Roman"/>
          <w:kern w:val="2"/>
          <w:szCs w:val="24"/>
          <w:lang w:eastAsia="zh-CN" w:bidi="hi-IN"/>
        </w:rPr>
        <w:t xml:space="preserve"> M., </w:t>
      </w:r>
      <w:proofErr w:type="spellStart"/>
      <w:r w:rsidRPr="007F7063">
        <w:rPr>
          <w:rFonts w:eastAsia="Times New Roman" w:cs="Times New Roman"/>
          <w:kern w:val="2"/>
          <w:szCs w:val="24"/>
          <w:lang w:eastAsia="zh-CN" w:bidi="hi-IN"/>
        </w:rPr>
        <w:t>Leivits</w:t>
      </w:r>
      <w:proofErr w:type="spellEnd"/>
      <w:r w:rsidRPr="007F7063">
        <w:rPr>
          <w:rFonts w:eastAsia="Times New Roman" w:cs="Times New Roman"/>
          <w:kern w:val="2"/>
          <w:szCs w:val="24"/>
          <w:lang w:eastAsia="zh-CN" w:bidi="hi-IN"/>
        </w:rPr>
        <w:t xml:space="preserve"> A., </w:t>
      </w:r>
      <w:proofErr w:type="spellStart"/>
      <w:r w:rsidRPr="007F7063">
        <w:rPr>
          <w:rFonts w:eastAsia="Times New Roman" w:cs="Times New Roman"/>
          <w:kern w:val="2"/>
          <w:szCs w:val="24"/>
          <w:lang w:eastAsia="zh-CN" w:bidi="hi-IN"/>
        </w:rPr>
        <w:t>Raet</w:t>
      </w:r>
      <w:proofErr w:type="spellEnd"/>
      <w:r w:rsidRPr="007F7063">
        <w:rPr>
          <w:rFonts w:eastAsia="Times New Roman" w:cs="Times New Roman"/>
          <w:kern w:val="2"/>
          <w:szCs w:val="24"/>
          <w:lang w:eastAsia="zh-CN" w:bidi="hi-IN"/>
        </w:rPr>
        <w:t xml:space="preserve"> J., </w:t>
      </w:r>
      <w:proofErr w:type="spellStart"/>
      <w:r w:rsidRPr="007F7063">
        <w:rPr>
          <w:rFonts w:eastAsia="Times New Roman" w:cs="Times New Roman"/>
          <w:kern w:val="2"/>
          <w:szCs w:val="24"/>
          <w:lang w:eastAsia="zh-CN" w:bidi="hi-IN"/>
        </w:rPr>
        <w:t>Ward</w:t>
      </w:r>
      <w:proofErr w:type="spellEnd"/>
      <w:r w:rsidRPr="007F7063">
        <w:rPr>
          <w:rFonts w:eastAsia="Times New Roman" w:cs="Times New Roman"/>
          <w:kern w:val="2"/>
          <w:szCs w:val="24"/>
          <w:lang w:eastAsia="zh-CN" w:bidi="hi-IN"/>
        </w:rPr>
        <w:t xml:space="preserve"> R., </w:t>
      </w:r>
      <w:proofErr w:type="spellStart"/>
      <w:r w:rsidRPr="007F7063">
        <w:rPr>
          <w:rFonts w:eastAsia="Times New Roman" w:cs="Times New Roman"/>
          <w:kern w:val="2"/>
          <w:szCs w:val="24"/>
          <w:lang w:eastAsia="zh-CN" w:bidi="hi-IN"/>
        </w:rPr>
        <w:t>Ott</w:t>
      </w:r>
      <w:proofErr w:type="spellEnd"/>
      <w:r w:rsidRPr="007F7063">
        <w:rPr>
          <w:rFonts w:eastAsia="Times New Roman" w:cs="Times New Roman"/>
          <w:kern w:val="2"/>
          <w:szCs w:val="24"/>
          <w:lang w:eastAsia="zh-CN" w:bidi="hi-IN"/>
        </w:rPr>
        <w:t xml:space="preserve"> I., </w:t>
      </w:r>
      <w:proofErr w:type="spellStart"/>
      <w:r w:rsidRPr="007F7063">
        <w:rPr>
          <w:rFonts w:eastAsia="Times New Roman" w:cs="Times New Roman"/>
          <w:kern w:val="2"/>
          <w:szCs w:val="24"/>
          <w:lang w:eastAsia="zh-CN" w:bidi="hi-IN"/>
        </w:rPr>
        <w:t>Tullus</w:t>
      </w:r>
      <w:proofErr w:type="spellEnd"/>
      <w:r w:rsidRPr="007F7063">
        <w:rPr>
          <w:rFonts w:eastAsia="Times New Roman" w:cs="Times New Roman"/>
          <w:kern w:val="2"/>
          <w:szCs w:val="24"/>
          <w:lang w:eastAsia="zh-CN" w:bidi="hi-IN"/>
        </w:rPr>
        <w:t xml:space="preserve"> H., </w:t>
      </w:r>
      <w:proofErr w:type="spellStart"/>
      <w:r w:rsidRPr="007F7063">
        <w:rPr>
          <w:rFonts w:eastAsia="Times New Roman" w:cs="Times New Roman"/>
          <w:kern w:val="2"/>
          <w:szCs w:val="24"/>
          <w:lang w:eastAsia="zh-CN" w:bidi="hi-IN"/>
        </w:rPr>
        <w:t>Rosenvald</w:t>
      </w:r>
      <w:proofErr w:type="spellEnd"/>
      <w:r w:rsidRPr="007F7063">
        <w:rPr>
          <w:rFonts w:eastAsia="Times New Roman" w:cs="Times New Roman"/>
          <w:kern w:val="2"/>
          <w:szCs w:val="24"/>
          <w:lang w:eastAsia="zh-CN" w:bidi="hi-IN"/>
        </w:rPr>
        <w:t xml:space="preserve"> R., </w:t>
      </w:r>
      <w:proofErr w:type="spellStart"/>
      <w:r w:rsidRPr="007F7063">
        <w:rPr>
          <w:rFonts w:eastAsia="Times New Roman" w:cs="Times New Roman"/>
          <w:kern w:val="2"/>
          <w:szCs w:val="24"/>
          <w:lang w:eastAsia="zh-CN" w:bidi="hi-IN"/>
        </w:rPr>
        <w:t>Kimmel</w:t>
      </w:r>
      <w:proofErr w:type="spellEnd"/>
      <w:r w:rsidRPr="007F7063">
        <w:rPr>
          <w:rFonts w:eastAsia="Times New Roman" w:cs="Times New Roman"/>
          <w:kern w:val="2"/>
          <w:szCs w:val="24"/>
          <w:lang w:eastAsia="zh-CN" w:bidi="hi-IN"/>
        </w:rPr>
        <w:t xml:space="preserve"> K. </w:t>
      </w:r>
      <w:proofErr w:type="spellStart"/>
      <w:r w:rsidRPr="007F7063">
        <w:rPr>
          <w:rFonts w:eastAsia="Times New Roman" w:cs="Times New Roman"/>
          <w:kern w:val="2"/>
          <w:szCs w:val="24"/>
          <w:lang w:eastAsia="zh-CN" w:bidi="hi-IN"/>
        </w:rPr>
        <w:t>and</w:t>
      </w:r>
      <w:proofErr w:type="spellEnd"/>
      <w:r w:rsidRPr="007F7063">
        <w:rPr>
          <w:rFonts w:eastAsia="Times New Roman" w:cs="Times New Roman"/>
          <w:kern w:val="2"/>
          <w:szCs w:val="24"/>
          <w:lang w:eastAsia="zh-CN" w:bidi="hi-IN"/>
        </w:rPr>
        <w:t xml:space="preserve"> </w:t>
      </w:r>
      <w:proofErr w:type="spellStart"/>
      <w:r w:rsidRPr="007F7063">
        <w:rPr>
          <w:rFonts w:eastAsia="Times New Roman" w:cs="Times New Roman"/>
          <w:kern w:val="2"/>
          <w:szCs w:val="24"/>
          <w:lang w:eastAsia="zh-CN" w:bidi="hi-IN"/>
        </w:rPr>
        <w:t>Sepp</w:t>
      </w:r>
      <w:proofErr w:type="spellEnd"/>
      <w:r w:rsidRPr="007F7063">
        <w:rPr>
          <w:rFonts w:eastAsia="Times New Roman" w:cs="Times New Roman"/>
          <w:kern w:val="2"/>
          <w:szCs w:val="24"/>
          <w:lang w:eastAsia="zh-CN" w:bidi="hi-IN"/>
        </w:rPr>
        <w:t xml:space="preserve"> K.**. 2016. Black-</w:t>
      </w:r>
      <w:proofErr w:type="spellStart"/>
      <w:r w:rsidRPr="007F7063">
        <w:rPr>
          <w:rFonts w:eastAsia="Times New Roman" w:cs="Times New Roman"/>
          <w:kern w:val="2"/>
          <w:szCs w:val="24"/>
          <w:lang w:eastAsia="zh-CN" w:bidi="hi-IN"/>
        </w:rPr>
        <w:t>headed</w:t>
      </w:r>
      <w:proofErr w:type="spellEnd"/>
      <w:r w:rsidRPr="007F7063">
        <w:rPr>
          <w:rFonts w:eastAsia="Times New Roman" w:cs="Times New Roman"/>
          <w:kern w:val="2"/>
          <w:szCs w:val="24"/>
          <w:lang w:eastAsia="zh-CN" w:bidi="hi-IN"/>
        </w:rPr>
        <w:t xml:space="preserve"> </w:t>
      </w:r>
      <w:proofErr w:type="spellStart"/>
      <w:r w:rsidRPr="007F7063">
        <w:rPr>
          <w:rFonts w:eastAsia="Times New Roman" w:cs="Times New Roman"/>
          <w:kern w:val="2"/>
          <w:szCs w:val="24"/>
          <w:lang w:eastAsia="zh-CN" w:bidi="hi-IN"/>
        </w:rPr>
        <w:t>Gull</w:t>
      </w:r>
      <w:proofErr w:type="spellEnd"/>
      <w:r w:rsidRPr="007F7063">
        <w:rPr>
          <w:rFonts w:eastAsia="Times New Roman" w:cs="Times New Roman"/>
          <w:kern w:val="2"/>
          <w:szCs w:val="24"/>
          <w:lang w:eastAsia="zh-CN" w:bidi="hi-IN"/>
        </w:rPr>
        <w:t xml:space="preserve"> (Larus </w:t>
      </w:r>
      <w:proofErr w:type="spellStart"/>
      <w:r w:rsidRPr="007F7063">
        <w:rPr>
          <w:rFonts w:eastAsia="Times New Roman" w:cs="Times New Roman"/>
          <w:kern w:val="2"/>
          <w:szCs w:val="24"/>
          <w:lang w:eastAsia="zh-CN" w:bidi="hi-IN"/>
        </w:rPr>
        <w:t>ridibundus</w:t>
      </w:r>
      <w:proofErr w:type="spellEnd"/>
      <w:r w:rsidRPr="007F7063">
        <w:rPr>
          <w:rFonts w:eastAsia="Times New Roman" w:cs="Times New Roman"/>
          <w:kern w:val="2"/>
          <w:szCs w:val="24"/>
          <w:lang w:eastAsia="zh-CN" w:bidi="hi-IN"/>
        </w:rPr>
        <w:t xml:space="preserve"> L.) </w:t>
      </w:r>
      <w:proofErr w:type="spellStart"/>
      <w:r w:rsidRPr="007F7063">
        <w:rPr>
          <w:rFonts w:eastAsia="Times New Roman" w:cs="Times New Roman"/>
          <w:kern w:val="2"/>
          <w:szCs w:val="24"/>
          <w:lang w:eastAsia="zh-CN" w:bidi="hi-IN"/>
        </w:rPr>
        <w:t>as</w:t>
      </w:r>
      <w:proofErr w:type="spellEnd"/>
      <w:r w:rsidRPr="007F7063">
        <w:rPr>
          <w:rFonts w:eastAsia="Times New Roman" w:cs="Times New Roman"/>
          <w:kern w:val="2"/>
          <w:szCs w:val="24"/>
          <w:lang w:eastAsia="zh-CN" w:bidi="hi-IN"/>
        </w:rPr>
        <w:t xml:space="preserve"> a </w:t>
      </w:r>
      <w:proofErr w:type="spellStart"/>
      <w:r w:rsidRPr="007F7063">
        <w:rPr>
          <w:rFonts w:eastAsia="Times New Roman" w:cs="Times New Roman"/>
          <w:kern w:val="2"/>
          <w:szCs w:val="24"/>
          <w:lang w:eastAsia="zh-CN" w:bidi="hi-IN"/>
        </w:rPr>
        <w:t>Keystone</w:t>
      </w:r>
      <w:proofErr w:type="spellEnd"/>
      <w:r w:rsidRPr="007F7063">
        <w:rPr>
          <w:rFonts w:eastAsia="Times New Roman" w:cs="Times New Roman"/>
          <w:kern w:val="2"/>
          <w:szCs w:val="24"/>
          <w:lang w:eastAsia="zh-CN" w:bidi="hi-IN"/>
        </w:rPr>
        <w:t xml:space="preserve"> </w:t>
      </w:r>
      <w:proofErr w:type="spellStart"/>
      <w:r w:rsidRPr="007F7063">
        <w:rPr>
          <w:rFonts w:eastAsia="Times New Roman" w:cs="Times New Roman"/>
          <w:kern w:val="2"/>
          <w:szCs w:val="24"/>
          <w:lang w:eastAsia="zh-CN" w:bidi="hi-IN"/>
        </w:rPr>
        <w:t>Species</w:t>
      </w:r>
      <w:proofErr w:type="spellEnd"/>
      <w:r w:rsidRPr="007F7063">
        <w:rPr>
          <w:rFonts w:eastAsia="Times New Roman" w:cs="Times New Roman"/>
          <w:kern w:val="2"/>
          <w:szCs w:val="24"/>
          <w:lang w:eastAsia="zh-CN" w:bidi="hi-IN"/>
        </w:rPr>
        <w:t xml:space="preserve"> </w:t>
      </w:r>
      <w:proofErr w:type="spellStart"/>
      <w:r w:rsidRPr="007F7063">
        <w:rPr>
          <w:rFonts w:eastAsia="Times New Roman" w:cs="Times New Roman"/>
          <w:kern w:val="2"/>
          <w:szCs w:val="24"/>
          <w:lang w:eastAsia="zh-CN" w:bidi="hi-IN"/>
        </w:rPr>
        <w:t>in</w:t>
      </w:r>
      <w:proofErr w:type="spellEnd"/>
      <w:r w:rsidRPr="007F7063">
        <w:rPr>
          <w:rFonts w:eastAsia="Times New Roman" w:cs="Times New Roman"/>
          <w:kern w:val="2"/>
          <w:szCs w:val="24"/>
          <w:lang w:eastAsia="zh-CN" w:bidi="hi-IN"/>
        </w:rPr>
        <w:t xml:space="preserve"> </w:t>
      </w:r>
      <w:proofErr w:type="spellStart"/>
      <w:r w:rsidRPr="007F7063">
        <w:rPr>
          <w:rFonts w:eastAsia="Times New Roman" w:cs="Times New Roman"/>
          <w:kern w:val="2"/>
          <w:szCs w:val="24"/>
          <w:lang w:eastAsia="zh-CN" w:bidi="hi-IN"/>
        </w:rPr>
        <w:t>the</w:t>
      </w:r>
      <w:proofErr w:type="spellEnd"/>
      <w:r w:rsidRPr="007F7063">
        <w:rPr>
          <w:rFonts w:eastAsia="Times New Roman" w:cs="Times New Roman"/>
          <w:kern w:val="2"/>
          <w:szCs w:val="24"/>
          <w:lang w:eastAsia="zh-CN" w:bidi="hi-IN"/>
        </w:rPr>
        <w:t xml:space="preserve"> </w:t>
      </w:r>
      <w:proofErr w:type="spellStart"/>
      <w:r w:rsidRPr="007F7063">
        <w:rPr>
          <w:rFonts w:eastAsia="Times New Roman" w:cs="Times New Roman"/>
          <w:kern w:val="2"/>
          <w:szCs w:val="24"/>
          <w:lang w:eastAsia="zh-CN" w:bidi="hi-IN"/>
        </w:rPr>
        <w:t>Lake</w:t>
      </w:r>
      <w:proofErr w:type="spellEnd"/>
      <w:r w:rsidRPr="007F7063">
        <w:rPr>
          <w:rFonts w:eastAsia="Times New Roman" w:cs="Times New Roman"/>
          <w:kern w:val="2"/>
          <w:szCs w:val="24"/>
          <w:lang w:eastAsia="zh-CN" w:bidi="hi-IN"/>
        </w:rPr>
        <w:t xml:space="preserve"> </w:t>
      </w:r>
      <w:proofErr w:type="spellStart"/>
      <w:r w:rsidRPr="007F7063">
        <w:rPr>
          <w:rFonts w:eastAsia="Times New Roman" w:cs="Times New Roman"/>
          <w:kern w:val="2"/>
          <w:szCs w:val="24"/>
          <w:lang w:eastAsia="zh-CN" w:bidi="hi-IN"/>
        </w:rPr>
        <w:t>Bird</w:t>
      </w:r>
      <w:proofErr w:type="spellEnd"/>
      <w:r w:rsidRPr="007F7063">
        <w:rPr>
          <w:rFonts w:eastAsia="Times New Roman" w:cs="Times New Roman"/>
          <w:kern w:val="2"/>
          <w:szCs w:val="24"/>
          <w:lang w:eastAsia="zh-CN" w:bidi="hi-IN"/>
        </w:rPr>
        <w:t xml:space="preserve"> </w:t>
      </w:r>
      <w:proofErr w:type="spellStart"/>
      <w:r w:rsidRPr="007F7063">
        <w:rPr>
          <w:rFonts w:eastAsia="Times New Roman" w:cs="Times New Roman"/>
          <w:kern w:val="2"/>
          <w:szCs w:val="24"/>
          <w:lang w:eastAsia="zh-CN" w:bidi="hi-IN"/>
        </w:rPr>
        <w:t>Community</w:t>
      </w:r>
      <w:proofErr w:type="spellEnd"/>
      <w:r w:rsidRPr="007F7063">
        <w:rPr>
          <w:rFonts w:eastAsia="Times New Roman" w:cs="Times New Roman"/>
          <w:kern w:val="2"/>
          <w:szCs w:val="24"/>
          <w:lang w:eastAsia="zh-CN" w:bidi="hi-IN"/>
        </w:rPr>
        <w:t xml:space="preserve"> </w:t>
      </w:r>
      <w:proofErr w:type="spellStart"/>
      <w:r w:rsidRPr="007F7063">
        <w:rPr>
          <w:rFonts w:eastAsia="Times New Roman" w:cs="Times New Roman"/>
          <w:kern w:val="2"/>
          <w:szCs w:val="24"/>
          <w:lang w:eastAsia="zh-CN" w:bidi="hi-IN"/>
        </w:rPr>
        <w:t>in</w:t>
      </w:r>
      <w:proofErr w:type="spellEnd"/>
      <w:r w:rsidRPr="007F7063">
        <w:rPr>
          <w:rFonts w:eastAsia="Times New Roman" w:cs="Times New Roman"/>
          <w:kern w:val="2"/>
          <w:szCs w:val="24"/>
          <w:lang w:eastAsia="zh-CN" w:bidi="hi-IN"/>
        </w:rPr>
        <w:t xml:space="preserve"> </w:t>
      </w:r>
      <w:proofErr w:type="spellStart"/>
      <w:r w:rsidRPr="007F7063">
        <w:rPr>
          <w:rFonts w:eastAsia="Times New Roman" w:cs="Times New Roman"/>
          <w:kern w:val="2"/>
          <w:szCs w:val="24"/>
          <w:lang w:eastAsia="zh-CN" w:bidi="hi-IN"/>
        </w:rPr>
        <w:t>Primary</w:t>
      </w:r>
      <w:proofErr w:type="spellEnd"/>
      <w:r w:rsidRPr="007F7063">
        <w:rPr>
          <w:rFonts w:eastAsia="Times New Roman" w:cs="Times New Roman"/>
          <w:kern w:val="2"/>
          <w:szCs w:val="24"/>
          <w:lang w:eastAsia="zh-CN" w:bidi="hi-IN"/>
        </w:rPr>
        <w:t xml:space="preserve"> </w:t>
      </w:r>
      <w:proofErr w:type="spellStart"/>
      <w:r w:rsidRPr="007F7063">
        <w:rPr>
          <w:rFonts w:eastAsia="Times New Roman" w:cs="Times New Roman"/>
          <w:kern w:val="2"/>
          <w:szCs w:val="24"/>
          <w:lang w:eastAsia="zh-CN" w:bidi="hi-IN"/>
        </w:rPr>
        <w:t>ForestMire-Lake</w:t>
      </w:r>
      <w:proofErr w:type="spellEnd"/>
      <w:r w:rsidRPr="007F7063">
        <w:rPr>
          <w:rFonts w:eastAsia="Times New Roman" w:cs="Times New Roman"/>
          <w:kern w:val="2"/>
          <w:szCs w:val="24"/>
          <w:lang w:eastAsia="zh-CN" w:bidi="hi-IN"/>
        </w:rPr>
        <w:t xml:space="preserve"> </w:t>
      </w:r>
      <w:proofErr w:type="spellStart"/>
      <w:r w:rsidRPr="007F7063">
        <w:rPr>
          <w:rFonts w:eastAsia="Times New Roman" w:cs="Times New Roman"/>
          <w:kern w:val="2"/>
          <w:szCs w:val="24"/>
          <w:lang w:eastAsia="zh-CN" w:bidi="hi-IN"/>
        </w:rPr>
        <w:t>Ecosystem</w:t>
      </w:r>
      <w:proofErr w:type="spellEnd"/>
      <w:r w:rsidRPr="007F7063">
        <w:rPr>
          <w:rFonts w:eastAsia="Times New Roman" w:cs="Times New Roman"/>
          <w:kern w:val="2"/>
          <w:szCs w:val="24"/>
          <w:lang w:eastAsia="zh-CN" w:bidi="hi-IN"/>
        </w:rPr>
        <w:t xml:space="preserve">. </w:t>
      </w:r>
      <w:proofErr w:type="spellStart"/>
      <w:r w:rsidRPr="007F7063">
        <w:rPr>
          <w:rFonts w:eastAsia="Times New Roman" w:cs="Times New Roman"/>
          <w:kern w:val="2"/>
          <w:szCs w:val="24"/>
          <w:lang w:eastAsia="zh-CN" w:bidi="hi-IN"/>
        </w:rPr>
        <w:t>Baltic</w:t>
      </w:r>
      <w:proofErr w:type="spellEnd"/>
      <w:r w:rsidRPr="007F7063">
        <w:rPr>
          <w:rFonts w:eastAsia="Times New Roman" w:cs="Times New Roman"/>
          <w:kern w:val="2"/>
          <w:szCs w:val="24"/>
          <w:lang w:eastAsia="zh-CN" w:bidi="hi-IN"/>
        </w:rPr>
        <w:t xml:space="preserve"> </w:t>
      </w:r>
      <w:proofErr w:type="spellStart"/>
      <w:r w:rsidRPr="007F7063">
        <w:rPr>
          <w:rFonts w:eastAsia="Times New Roman" w:cs="Times New Roman"/>
          <w:kern w:val="2"/>
          <w:szCs w:val="24"/>
          <w:lang w:eastAsia="zh-CN" w:bidi="hi-IN"/>
        </w:rPr>
        <w:t>Forestry</w:t>
      </w:r>
      <w:proofErr w:type="spellEnd"/>
      <w:r w:rsidRPr="007F7063">
        <w:rPr>
          <w:rFonts w:eastAsia="Times New Roman" w:cs="Times New Roman"/>
          <w:kern w:val="2"/>
          <w:szCs w:val="24"/>
          <w:lang w:eastAsia="zh-CN" w:bidi="hi-IN"/>
        </w:rPr>
        <w:t xml:space="preserve"> 22(1): 34-45.</w:t>
      </w:r>
    </w:p>
    <w:p w14:paraId="56BF5A30" w14:textId="77777777" w:rsidR="00260499" w:rsidRPr="0014151A" w:rsidRDefault="00260499" w:rsidP="007F7063">
      <w:pPr>
        <w:numPr>
          <w:ilvl w:val="0"/>
          <w:numId w:val="31"/>
        </w:numPr>
        <w:spacing w:after="0" w:line="240" w:lineRule="auto"/>
        <w:ind w:left="924" w:hanging="357"/>
        <w:contextualSpacing/>
        <w:jc w:val="both"/>
        <w:rPr>
          <w:rFonts w:ascii="Times New Roman" w:eastAsia="Times New Roman" w:hAnsi="Times New Roman" w:cs="Times New Roman"/>
          <w:kern w:val="2"/>
          <w:sz w:val="24"/>
          <w:szCs w:val="24"/>
          <w:lang w:eastAsia="zh-CN" w:bidi="hi-IN"/>
        </w:rPr>
      </w:pPr>
      <w:proofErr w:type="spellStart"/>
      <w:r w:rsidRPr="0014151A">
        <w:rPr>
          <w:rFonts w:ascii="Times New Roman" w:eastAsia="Times New Roman" w:hAnsi="Times New Roman" w:cs="Times New Roman"/>
          <w:kern w:val="2"/>
          <w:sz w:val="24"/>
          <w:szCs w:val="24"/>
          <w:lang w:eastAsia="zh-CN" w:bidi="hi-IN"/>
        </w:rPr>
        <w:t>Martikainen</w:t>
      </w:r>
      <w:proofErr w:type="spellEnd"/>
      <w:r w:rsidRPr="0014151A">
        <w:rPr>
          <w:rFonts w:ascii="Times New Roman" w:eastAsia="Times New Roman" w:hAnsi="Times New Roman" w:cs="Times New Roman"/>
          <w:kern w:val="2"/>
          <w:sz w:val="24"/>
          <w:szCs w:val="24"/>
          <w:lang w:eastAsia="zh-CN" w:bidi="hi-IN"/>
        </w:rPr>
        <w:t xml:space="preserve"> P., Kaila L., </w:t>
      </w:r>
      <w:proofErr w:type="spellStart"/>
      <w:r w:rsidRPr="0014151A">
        <w:rPr>
          <w:rFonts w:ascii="Times New Roman" w:eastAsia="Times New Roman" w:hAnsi="Times New Roman" w:cs="Times New Roman"/>
          <w:kern w:val="2"/>
          <w:sz w:val="24"/>
          <w:szCs w:val="24"/>
          <w:lang w:eastAsia="zh-CN" w:bidi="hi-IN"/>
        </w:rPr>
        <w:t>Haila</w:t>
      </w:r>
      <w:proofErr w:type="spellEnd"/>
      <w:r w:rsidRPr="0014151A">
        <w:rPr>
          <w:rFonts w:ascii="Times New Roman" w:eastAsia="Times New Roman" w:hAnsi="Times New Roman" w:cs="Times New Roman"/>
          <w:kern w:val="2"/>
          <w:sz w:val="24"/>
          <w:szCs w:val="24"/>
          <w:lang w:eastAsia="zh-CN" w:bidi="hi-IN"/>
        </w:rPr>
        <w:t xml:space="preserve"> Y. 1998. </w:t>
      </w:r>
      <w:proofErr w:type="spellStart"/>
      <w:r w:rsidRPr="0014151A">
        <w:rPr>
          <w:rFonts w:ascii="Times New Roman" w:eastAsia="Times New Roman" w:hAnsi="Times New Roman" w:cs="Times New Roman"/>
          <w:kern w:val="2"/>
          <w:sz w:val="24"/>
          <w:szCs w:val="24"/>
          <w:lang w:eastAsia="zh-CN" w:bidi="hi-IN"/>
        </w:rPr>
        <w:t>Threatened</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beetles</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in</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White-Backed</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Woodpecker</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habitats</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Conservation</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biology</w:t>
      </w:r>
      <w:proofErr w:type="spellEnd"/>
      <w:r w:rsidRPr="0014151A">
        <w:rPr>
          <w:rFonts w:ascii="Times New Roman" w:eastAsia="Times New Roman" w:hAnsi="Times New Roman" w:cs="Times New Roman"/>
          <w:kern w:val="2"/>
          <w:sz w:val="24"/>
          <w:szCs w:val="24"/>
          <w:lang w:eastAsia="zh-CN" w:bidi="hi-IN"/>
        </w:rPr>
        <w:t xml:space="preserve"> 12-2: 293-301.</w:t>
      </w:r>
    </w:p>
    <w:p w14:paraId="73663651" w14:textId="77777777" w:rsidR="00260499" w:rsidRPr="003E52DC" w:rsidRDefault="00260499" w:rsidP="00C8668C">
      <w:pPr>
        <w:numPr>
          <w:ilvl w:val="0"/>
          <w:numId w:val="31"/>
        </w:numPr>
        <w:spacing w:after="0" w:line="240" w:lineRule="auto"/>
        <w:ind w:left="924" w:hanging="357"/>
        <w:jc w:val="both"/>
        <w:rPr>
          <w:rFonts w:ascii="Times New Roman" w:eastAsia="Times New Roman" w:hAnsi="Times New Roman" w:cs="Times New Roman"/>
          <w:kern w:val="2"/>
          <w:sz w:val="24"/>
          <w:szCs w:val="24"/>
          <w:lang w:eastAsia="zh-CN" w:bidi="hi-IN"/>
        </w:rPr>
      </w:pPr>
      <w:proofErr w:type="spellStart"/>
      <w:r w:rsidRPr="0014151A">
        <w:rPr>
          <w:rFonts w:ascii="Times New Roman" w:eastAsia="Times New Roman" w:hAnsi="Times New Roman" w:cs="Times New Roman"/>
          <w:color w:val="000000"/>
          <w:kern w:val="2"/>
          <w:sz w:val="24"/>
          <w:szCs w:val="24"/>
          <w:lang w:eastAsia="ja-JP" w:bidi="hi-IN"/>
        </w:rPr>
        <w:t>Mangale</w:t>
      </w:r>
      <w:proofErr w:type="spellEnd"/>
      <w:r w:rsidRPr="0014151A">
        <w:rPr>
          <w:rFonts w:ascii="Times New Roman" w:eastAsia="Times New Roman" w:hAnsi="Times New Roman" w:cs="Times New Roman"/>
          <w:color w:val="000000"/>
          <w:kern w:val="2"/>
          <w:sz w:val="24"/>
          <w:szCs w:val="24"/>
          <w:lang w:eastAsia="ja-JP" w:bidi="hi-IN"/>
        </w:rPr>
        <w:t xml:space="preserve"> D. 2005. Oša mežu augu sabiedrības. Atskaite: Laiviņš, M. (</w:t>
      </w:r>
      <w:proofErr w:type="spellStart"/>
      <w:r w:rsidRPr="0014151A">
        <w:rPr>
          <w:rFonts w:ascii="Times New Roman" w:eastAsia="Times New Roman" w:hAnsi="Times New Roman" w:cs="Times New Roman"/>
          <w:color w:val="000000"/>
          <w:kern w:val="2"/>
          <w:sz w:val="24"/>
          <w:szCs w:val="24"/>
          <w:lang w:eastAsia="ja-JP" w:bidi="hi-IN"/>
        </w:rPr>
        <w:t>red</w:t>
      </w:r>
      <w:proofErr w:type="spellEnd"/>
      <w:r w:rsidRPr="0014151A">
        <w:rPr>
          <w:rFonts w:ascii="Times New Roman" w:eastAsia="Times New Roman" w:hAnsi="Times New Roman" w:cs="Times New Roman"/>
          <w:color w:val="000000"/>
          <w:kern w:val="2"/>
          <w:sz w:val="24"/>
          <w:szCs w:val="24"/>
          <w:lang w:eastAsia="ja-JP" w:bidi="hi-IN"/>
        </w:rPr>
        <w:t>.) Latvijas oša mežu vitalitāte un daudzveidība: stāvoklis un prognoze. Salaspils, LV Mežzinātnes institūts Silava, 110 lpp.</w:t>
      </w:r>
    </w:p>
    <w:p w14:paraId="2BE3A2A3" w14:textId="7677BC4E" w:rsidR="003E52DC" w:rsidRPr="00C8668C" w:rsidRDefault="00C8668C" w:rsidP="00C8668C">
      <w:pPr>
        <w:pStyle w:val="ListParagraph"/>
        <w:numPr>
          <w:ilvl w:val="0"/>
          <w:numId w:val="31"/>
        </w:numPr>
        <w:spacing w:after="0" w:line="240" w:lineRule="auto"/>
        <w:rPr>
          <w:rFonts w:eastAsia="Times New Roman" w:cs="Times New Roman"/>
          <w:kern w:val="2"/>
          <w:szCs w:val="24"/>
          <w:lang w:eastAsia="zh-CN" w:bidi="hi-IN"/>
        </w:rPr>
      </w:pPr>
      <w:proofErr w:type="spellStart"/>
      <w:r w:rsidRPr="00C8668C">
        <w:rPr>
          <w:rFonts w:eastAsia="Times New Roman" w:cs="Times New Roman"/>
          <w:kern w:val="2"/>
          <w:szCs w:val="24"/>
          <w:lang w:eastAsia="zh-CN" w:bidi="hi-IN"/>
        </w:rPr>
        <w:t>Mārdega</w:t>
      </w:r>
      <w:proofErr w:type="spellEnd"/>
      <w:r w:rsidRPr="00C8668C">
        <w:rPr>
          <w:rFonts w:eastAsia="Times New Roman" w:cs="Times New Roman"/>
          <w:kern w:val="2"/>
          <w:szCs w:val="24"/>
          <w:lang w:eastAsia="zh-CN" w:bidi="hi-IN"/>
        </w:rPr>
        <w:t xml:space="preserve"> I. 2007. Peļu vanadziņu Latvijā ir maz. Putni dabā 2007/1: 6–8.</w:t>
      </w:r>
    </w:p>
    <w:p w14:paraId="071AEF17" w14:textId="7CD9A667" w:rsidR="000264F3" w:rsidRPr="0014151A" w:rsidRDefault="000264F3" w:rsidP="00C8668C">
      <w:pPr>
        <w:numPr>
          <w:ilvl w:val="0"/>
          <w:numId w:val="31"/>
        </w:numPr>
        <w:spacing w:after="0" w:line="240" w:lineRule="auto"/>
        <w:ind w:left="924" w:hanging="357"/>
        <w:jc w:val="both"/>
        <w:rPr>
          <w:rFonts w:ascii="Times New Roman" w:eastAsia="Times New Roman" w:hAnsi="Times New Roman" w:cs="Times New Roman"/>
          <w:kern w:val="2"/>
          <w:sz w:val="24"/>
          <w:szCs w:val="24"/>
          <w:lang w:eastAsia="zh-CN" w:bidi="hi-IN"/>
        </w:rPr>
      </w:pPr>
      <w:proofErr w:type="spellStart"/>
      <w:r w:rsidRPr="0014151A">
        <w:rPr>
          <w:rFonts w:ascii="Times New Roman" w:eastAsia="Times New Roman" w:hAnsi="Times New Roman" w:cs="Times New Roman"/>
          <w:kern w:val="2"/>
          <w:sz w:val="24"/>
          <w:szCs w:val="24"/>
          <w:lang w:eastAsia="zh-CN" w:bidi="hi-IN"/>
        </w:rPr>
        <w:t>Meeske</w:t>
      </w:r>
      <w:proofErr w:type="spellEnd"/>
      <w:r w:rsidRPr="0014151A">
        <w:rPr>
          <w:rFonts w:ascii="Times New Roman" w:eastAsia="Times New Roman" w:hAnsi="Times New Roman" w:cs="Times New Roman"/>
          <w:kern w:val="2"/>
          <w:sz w:val="24"/>
          <w:szCs w:val="24"/>
          <w:lang w:eastAsia="zh-CN" w:bidi="hi-IN"/>
        </w:rPr>
        <w:t xml:space="preserve"> A.C.M., </w:t>
      </w:r>
      <w:proofErr w:type="spellStart"/>
      <w:r w:rsidRPr="0014151A">
        <w:rPr>
          <w:rFonts w:ascii="Times New Roman" w:eastAsia="Times New Roman" w:hAnsi="Times New Roman" w:cs="Times New Roman"/>
          <w:kern w:val="2"/>
          <w:sz w:val="24"/>
          <w:szCs w:val="24"/>
          <w:lang w:eastAsia="zh-CN" w:bidi="hi-IN"/>
        </w:rPr>
        <w:t>Pupins</w:t>
      </w:r>
      <w:proofErr w:type="spellEnd"/>
      <w:r w:rsidRPr="0014151A">
        <w:rPr>
          <w:rFonts w:ascii="Times New Roman" w:eastAsia="Times New Roman" w:hAnsi="Times New Roman" w:cs="Times New Roman"/>
          <w:kern w:val="2"/>
          <w:sz w:val="24"/>
          <w:szCs w:val="24"/>
          <w:lang w:eastAsia="zh-CN" w:bidi="hi-IN"/>
        </w:rPr>
        <w:t xml:space="preserve"> M., </w:t>
      </w:r>
      <w:proofErr w:type="spellStart"/>
      <w:r w:rsidRPr="0014151A">
        <w:rPr>
          <w:rFonts w:ascii="Times New Roman" w:eastAsia="Times New Roman" w:hAnsi="Times New Roman" w:cs="Times New Roman"/>
          <w:kern w:val="2"/>
          <w:sz w:val="24"/>
          <w:szCs w:val="24"/>
          <w:lang w:eastAsia="zh-CN" w:bidi="hi-IN"/>
        </w:rPr>
        <w:t>Rybczynski</w:t>
      </w:r>
      <w:proofErr w:type="spellEnd"/>
      <w:r w:rsidRPr="0014151A">
        <w:rPr>
          <w:rFonts w:ascii="Times New Roman" w:eastAsia="Times New Roman" w:hAnsi="Times New Roman" w:cs="Times New Roman"/>
          <w:kern w:val="2"/>
          <w:sz w:val="24"/>
          <w:szCs w:val="24"/>
          <w:lang w:eastAsia="zh-CN" w:bidi="hi-IN"/>
        </w:rPr>
        <w:t xml:space="preserve"> K. (2006): Erste </w:t>
      </w:r>
      <w:proofErr w:type="spellStart"/>
      <w:r w:rsidRPr="0014151A">
        <w:rPr>
          <w:rFonts w:ascii="Times New Roman" w:eastAsia="Times New Roman" w:hAnsi="Times New Roman" w:cs="Times New Roman"/>
          <w:kern w:val="2"/>
          <w:sz w:val="24"/>
          <w:szCs w:val="24"/>
          <w:lang w:eastAsia="zh-CN" w:bidi="hi-IN"/>
        </w:rPr>
        <w:t>Ergebnisse</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zur</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Verbreitung</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und</w:t>
      </w:r>
      <w:proofErr w:type="spellEnd"/>
      <w:r w:rsidRPr="0014151A">
        <w:rPr>
          <w:rFonts w:ascii="Times New Roman" w:eastAsia="Times New Roman" w:hAnsi="Times New Roman" w:cs="Times New Roman"/>
          <w:kern w:val="2"/>
          <w:sz w:val="24"/>
          <w:szCs w:val="24"/>
          <w:lang w:eastAsia="zh-CN" w:bidi="hi-IN"/>
        </w:rPr>
        <w:t xml:space="preserve"> zum</w:t>
      </w:r>
      <w:r w:rsidRPr="0014151A">
        <w:rPr>
          <w:rFonts w:ascii="Calibri" w:hAnsi="Calibri" w:cs="Calibri"/>
        </w:rPr>
        <w:t xml:space="preserve"> </w:t>
      </w:r>
      <w:r w:rsidRPr="0014151A">
        <w:rPr>
          <w:rFonts w:ascii="Times New Roman" w:eastAsia="Times New Roman" w:hAnsi="Times New Roman" w:cs="Times New Roman"/>
          <w:kern w:val="2"/>
          <w:sz w:val="24"/>
          <w:szCs w:val="24"/>
          <w:lang w:eastAsia="zh-CN" w:bidi="hi-IN"/>
        </w:rPr>
        <w:t xml:space="preserve">Status der </w:t>
      </w:r>
      <w:proofErr w:type="spellStart"/>
      <w:r w:rsidRPr="0014151A">
        <w:rPr>
          <w:rFonts w:ascii="Times New Roman" w:eastAsia="Times New Roman" w:hAnsi="Times New Roman" w:cs="Times New Roman"/>
          <w:kern w:val="2"/>
          <w:sz w:val="24"/>
          <w:szCs w:val="24"/>
          <w:lang w:eastAsia="zh-CN" w:bidi="hi-IN"/>
        </w:rPr>
        <w:t>Europäischen</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Sumpfschildkröte</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Emys</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orbicularis</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am</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nördlichen</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Rand</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ihrer</w:t>
      </w:r>
      <w:proofErr w:type="spellEnd"/>
      <w:r w:rsidRPr="0014151A">
        <w:rPr>
          <w:rFonts w:ascii="Calibri" w:hAnsi="Calibri" w:cs="Calibri"/>
        </w:rPr>
        <w:t xml:space="preserve"> </w:t>
      </w:r>
      <w:proofErr w:type="spellStart"/>
      <w:r w:rsidRPr="0014151A">
        <w:rPr>
          <w:rFonts w:ascii="Times New Roman" w:eastAsia="Times New Roman" w:hAnsi="Times New Roman" w:cs="Times New Roman"/>
          <w:kern w:val="2"/>
          <w:sz w:val="24"/>
          <w:szCs w:val="24"/>
          <w:lang w:eastAsia="zh-CN" w:bidi="hi-IN"/>
        </w:rPr>
        <w:t>Verbreitung</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in</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Litauen</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und</w:t>
      </w:r>
      <w:proofErr w:type="spellEnd"/>
      <w:r w:rsidRPr="0014151A">
        <w:rPr>
          <w:rFonts w:ascii="Times New Roman" w:eastAsia="Times New Roman" w:hAnsi="Times New Roman" w:cs="Times New Roman"/>
          <w:kern w:val="2"/>
          <w:sz w:val="24"/>
          <w:szCs w:val="24"/>
          <w:lang w:eastAsia="zh-CN" w:bidi="hi-IN"/>
        </w:rPr>
        <w:t xml:space="preserve"> Lettland. </w:t>
      </w:r>
      <w:proofErr w:type="spellStart"/>
      <w:r w:rsidRPr="0014151A">
        <w:rPr>
          <w:rFonts w:ascii="Times New Roman" w:eastAsia="Times New Roman" w:hAnsi="Times New Roman" w:cs="Times New Roman"/>
          <w:kern w:val="2"/>
          <w:sz w:val="24"/>
          <w:szCs w:val="24"/>
          <w:lang w:eastAsia="zh-CN" w:bidi="hi-IN"/>
        </w:rPr>
        <w:t>Zeitschrift</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für</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Feldherpetologie</w:t>
      </w:r>
      <w:proofErr w:type="spellEnd"/>
      <w:r w:rsidRPr="0014151A">
        <w:rPr>
          <w:rFonts w:ascii="Times New Roman" w:eastAsia="Times New Roman" w:hAnsi="Times New Roman" w:cs="Times New Roman"/>
          <w:kern w:val="2"/>
          <w:sz w:val="24"/>
          <w:szCs w:val="24"/>
          <w:lang w:eastAsia="zh-CN" w:bidi="hi-IN"/>
        </w:rPr>
        <w:t xml:space="preserve"> 13 (1): 71-99.</w:t>
      </w:r>
    </w:p>
    <w:p w14:paraId="333EA3BC" w14:textId="77F4DD06" w:rsidR="00260499" w:rsidRPr="0014151A" w:rsidRDefault="00260499" w:rsidP="0014151A">
      <w:pPr>
        <w:numPr>
          <w:ilvl w:val="0"/>
          <w:numId w:val="31"/>
        </w:numPr>
        <w:spacing w:after="0" w:line="240" w:lineRule="auto"/>
        <w:ind w:left="924" w:hanging="357"/>
        <w:jc w:val="both"/>
        <w:rPr>
          <w:rFonts w:ascii="Times New Roman" w:eastAsia="Times New Roman" w:hAnsi="Times New Roman" w:cs="Times New Roman"/>
          <w:kern w:val="2"/>
          <w:sz w:val="24"/>
          <w:szCs w:val="24"/>
          <w:lang w:eastAsia="zh-CN" w:bidi="hi-IN"/>
        </w:rPr>
      </w:pPr>
      <w:proofErr w:type="spellStart"/>
      <w:r w:rsidRPr="0014151A">
        <w:rPr>
          <w:rFonts w:ascii="Times New Roman" w:eastAsia="Times New Roman" w:hAnsi="Times New Roman" w:cs="Times New Roman"/>
          <w:color w:val="000000"/>
          <w:kern w:val="2"/>
          <w:sz w:val="24"/>
          <w:szCs w:val="24"/>
          <w:lang w:eastAsia="ja-JP" w:bidi="hi-IN"/>
        </w:rPr>
        <w:t>Meirons</w:t>
      </w:r>
      <w:proofErr w:type="spellEnd"/>
      <w:r w:rsidRPr="0014151A">
        <w:rPr>
          <w:rFonts w:ascii="Times New Roman" w:eastAsia="Times New Roman" w:hAnsi="Times New Roman" w:cs="Times New Roman"/>
          <w:color w:val="000000"/>
          <w:kern w:val="2"/>
          <w:sz w:val="24"/>
          <w:szCs w:val="24"/>
          <w:lang w:eastAsia="ja-JP" w:bidi="hi-IN"/>
        </w:rPr>
        <w:t xml:space="preserve"> Z., </w:t>
      </w:r>
      <w:proofErr w:type="spellStart"/>
      <w:r w:rsidRPr="0014151A">
        <w:rPr>
          <w:rFonts w:ascii="Times New Roman" w:eastAsia="Times New Roman" w:hAnsi="Times New Roman" w:cs="Times New Roman"/>
          <w:color w:val="000000"/>
          <w:kern w:val="2"/>
          <w:sz w:val="24"/>
          <w:szCs w:val="24"/>
          <w:lang w:eastAsia="ja-JP" w:bidi="hi-IN"/>
        </w:rPr>
        <w:t>Juškevičs</w:t>
      </w:r>
      <w:proofErr w:type="spellEnd"/>
      <w:r w:rsidRPr="0014151A">
        <w:rPr>
          <w:rFonts w:ascii="Times New Roman" w:eastAsia="Times New Roman" w:hAnsi="Times New Roman" w:cs="Times New Roman"/>
          <w:color w:val="000000"/>
          <w:kern w:val="2"/>
          <w:sz w:val="24"/>
          <w:szCs w:val="24"/>
          <w:lang w:eastAsia="ja-JP" w:bidi="hi-IN"/>
        </w:rPr>
        <w:t xml:space="preserve">, V. 1984. </w:t>
      </w:r>
      <w:proofErr w:type="spellStart"/>
      <w:r w:rsidRPr="0014151A">
        <w:rPr>
          <w:rFonts w:ascii="Times New Roman" w:eastAsia="Times New Roman" w:hAnsi="Times New Roman" w:cs="Times New Roman"/>
          <w:color w:val="000000"/>
          <w:kern w:val="2"/>
          <w:sz w:val="24"/>
          <w:szCs w:val="24"/>
          <w:lang w:eastAsia="ja-JP" w:bidi="hi-IN"/>
        </w:rPr>
        <w:t>Pulvernieku</w:t>
      </w:r>
      <w:proofErr w:type="spellEnd"/>
      <w:r w:rsidRPr="0014151A">
        <w:rPr>
          <w:rFonts w:ascii="Times New Roman" w:eastAsia="Times New Roman" w:hAnsi="Times New Roman" w:cs="Times New Roman"/>
          <w:color w:val="000000"/>
          <w:kern w:val="2"/>
          <w:sz w:val="24"/>
          <w:szCs w:val="24"/>
          <w:lang w:eastAsia="ja-JP" w:bidi="hi-IN"/>
        </w:rPr>
        <w:t xml:space="preserve"> svīta. </w:t>
      </w:r>
      <w:proofErr w:type="spellStart"/>
      <w:r w:rsidRPr="0014151A">
        <w:rPr>
          <w:rFonts w:ascii="Times New Roman" w:eastAsia="Times New Roman" w:hAnsi="Times New Roman" w:cs="Times New Roman"/>
          <w:color w:val="000000"/>
          <w:kern w:val="2"/>
          <w:sz w:val="24"/>
          <w:szCs w:val="24"/>
          <w:lang w:eastAsia="ja-JP" w:bidi="hi-IN"/>
        </w:rPr>
        <w:t>Grām</w:t>
      </w:r>
      <w:proofErr w:type="spellEnd"/>
      <w:r w:rsidRPr="0014151A">
        <w:rPr>
          <w:rFonts w:ascii="Times New Roman" w:eastAsia="Times New Roman" w:hAnsi="Times New Roman" w:cs="Times New Roman"/>
          <w:color w:val="000000"/>
          <w:kern w:val="2"/>
          <w:sz w:val="24"/>
          <w:szCs w:val="24"/>
          <w:lang w:eastAsia="ja-JP" w:bidi="hi-IN"/>
        </w:rPr>
        <w:t>.: Misāns, J. (</w:t>
      </w:r>
      <w:proofErr w:type="spellStart"/>
      <w:r w:rsidRPr="0014151A">
        <w:rPr>
          <w:rFonts w:ascii="Times New Roman" w:eastAsia="Times New Roman" w:hAnsi="Times New Roman" w:cs="Times New Roman"/>
          <w:color w:val="000000"/>
          <w:kern w:val="2"/>
          <w:sz w:val="24"/>
          <w:szCs w:val="24"/>
          <w:lang w:eastAsia="ja-JP" w:bidi="hi-IN"/>
        </w:rPr>
        <w:t>red</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i/>
          <w:iCs/>
          <w:color w:val="000000"/>
          <w:kern w:val="2"/>
          <w:sz w:val="24"/>
          <w:szCs w:val="24"/>
          <w:lang w:eastAsia="ja-JP" w:bidi="hi-IN"/>
        </w:rPr>
        <w:t>Геология</w:t>
      </w:r>
      <w:proofErr w:type="spellEnd"/>
      <w:r w:rsidRPr="0014151A">
        <w:rPr>
          <w:rFonts w:ascii="Times New Roman" w:eastAsia="Times New Roman" w:hAnsi="Times New Roman" w:cs="Times New Roman"/>
          <w:i/>
          <w:iCs/>
          <w:color w:val="000000"/>
          <w:kern w:val="2"/>
          <w:sz w:val="24"/>
          <w:szCs w:val="24"/>
          <w:lang w:eastAsia="ja-JP" w:bidi="hi-IN"/>
        </w:rPr>
        <w:t xml:space="preserve"> </w:t>
      </w:r>
      <w:proofErr w:type="spellStart"/>
      <w:r w:rsidRPr="0014151A">
        <w:rPr>
          <w:rFonts w:ascii="Times New Roman" w:eastAsia="Times New Roman" w:hAnsi="Times New Roman" w:cs="Times New Roman"/>
          <w:i/>
          <w:iCs/>
          <w:color w:val="000000"/>
          <w:kern w:val="2"/>
          <w:sz w:val="24"/>
          <w:szCs w:val="24"/>
          <w:lang w:eastAsia="ja-JP" w:bidi="hi-IN"/>
        </w:rPr>
        <w:t>Латвийской</w:t>
      </w:r>
      <w:proofErr w:type="spellEnd"/>
      <w:r w:rsidRPr="0014151A">
        <w:rPr>
          <w:rFonts w:ascii="Times New Roman" w:eastAsia="Times New Roman" w:hAnsi="Times New Roman" w:cs="Times New Roman"/>
          <w:i/>
          <w:iCs/>
          <w:color w:val="000000"/>
          <w:kern w:val="2"/>
          <w:sz w:val="24"/>
          <w:szCs w:val="24"/>
          <w:lang w:eastAsia="ja-JP" w:bidi="hi-IN"/>
        </w:rPr>
        <w:t xml:space="preserve"> ССР. </w:t>
      </w:r>
      <w:proofErr w:type="spellStart"/>
      <w:r w:rsidRPr="0014151A">
        <w:rPr>
          <w:rFonts w:ascii="Times New Roman" w:eastAsia="Times New Roman" w:hAnsi="Times New Roman" w:cs="Times New Roman"/>
          <w:i/>
          <w:iCs/>
          <w:color w:val="000000"/>
          <w:kern w:val="2"/>
          <w:sz w:val="24"/>
          <w:szCs w:val="24"/>
          <w:lang w:eastAsia="ja-JP" w:bidi="hi-IN"/>
        </w:rPr>
        <w:t>Объяснителйная</w:t>
      </w:r>
      <w:proofErr w:type="spellEnd"/>
      <w:r w:rsidRPr="0014151A">
        <w:rPr>
          <w:rFonts w:ascii="Times New Roman" w:eastAsia="Times New Roman" w:hAnsi="Times New Roman" w:cs="Times New Roman"/>
          <w:i/>
          <w:iCs/>
          <w:color w:val="000000"/>
          <w:kern w:val="2"/>
          <w:sz w:val="24"/>
          <w:szCs w:val="24"/>
          <w:lang w:eastAsia="ja-JP" w:bidi="hi-IN"/>
        </w:rPr>
        <w:t xml:space="preserve"> </w:t>
      </w:r>
      <w:proofErr w:type="spellStart"/>
      <w:r w:rsidRPr="0014151A">
        <w:rPr>
          <w:rFonts w:ascii="Times New Roman" w:eastAsia="Times New Roman" w:hAnsi="Times New Roman" w:cs="Times New Roman"/>
          <w:i/>
          <w:iCs/>
          <w:color w:val="000000"/>
          <w:kern w:val="2"/>
          <w:sz w:val="24"/>
          <w:szCs w:val="24"/>
          <w:lang w:eastAsia="ja-JP" w:bidi="hi-IN"/>
        </w:rPr>
        <w:t>записка</w:t>
      </w:r>
      <w:proofErr w:type="spellEnd"/>
      <w:r w:rsidRPr="0014151A">
        <w:rPr>
          <w:rFonts w:ascii="Times New Roman" w:eastAsia="Times New Roman" w:hAnsi="Times New Roman" w:cs="Times New Roman"/>
          <w:i/>
          <w:iCs/>
          <w:color w:val="000000"/>
          <w:kern w:val="2"/>
          <w:sz w:val="24"/>
          <w:szCs w:val="24"/>
          <w:lang w:eastAsia="ja-JP" w:bidi="hi-IN"/>
        </w:rPr>
        <w:t xml:space="preserve"> к </w:t>
      </w:r>
      <w:proofErr w:type="spellStart"/>
      <w:r w:rsidRPr="0014151A">
        <w:rPr>
          <w:rFonts w:ascii="Times New Roman" w:eastAsia="Times New Roman" w:hAnsi="Times New Roman" w:cs="Times New Roman"/>
          <w:i/>
          <w:iCs/>
          <w:color w:val="000000"/>
          <w:kern w:val="2"/>
          <w:sz w:val="24"/>
          <w:szCs w:val="24"/>
          <w:lang w:eastAsia="ja-JP" w:bidi="hi-IN"/>
        </w:rPr>
        <w:t>геологическим</w:t>
      </w:r>
      <w:proofErr w:type="spellEnd"/>
      <w:r w:rsidRPr="0014151A">
        <w:rPr>
          <w:rFonts w:ascii="Times New Roman" w:eastAsia="Times New Roman" w:hAnsi="Times New Roman" w:cs="Times New Roman"/>
          <w:i/>
          <w:iCs/>
          <w:color w:val="000000"/>
          <w:kern w:val="2"/>
          <w:sz w:val="24"/>
          <w:szCs w:val="24"/>
          <w:lang w:eastAsia="ja-JP" w:bidi="hi-IN"/>
        </w:rPr>
        <w:t xml:space="preserve"> </w:t>
      </w:r>
      <w:proofErr w:type="spellStart"/>
      <w:r w:rsidRPr="0014151A">
        <w:rPr>
          <w:rFonts w:ascii="Times New Roman" w:eastAsia="Times New Roman" w:hAnsi="Times New Roman" w:cs="Times New Roman"/>
          <w:i/>
          <w:iCs/>
          <w:color w:val="000000"/>
          <w:kern w:val="2"/>
          <w:sz w:val="24"/>
          <w:szCs w:val="24"/>
          <w:lang w:eastAsia="ja-JP" w:bidi="hi-IN"/>
        </w:rPr>
        <w:t>картам</w:t>
      </w:r>
      <w:proofErr w:type="spellEnd"/>
      <w:r w:rsidRPr="0014151A">
        <w:rPr>
          <w:rFonts w:ascii="Times New Roman" w:eastAsia="Times New Roman" w:hAnsi="Times New Roman" w:cs="Times New Roman"/>
          <w:i/>
          <w:iCs/>
          <w:color w:val="000000"/>
          <w:kern w:val="2"/>
          <w:sz w:val="24"/>
          <w:szCs w:val="24"/>
          <w:lang w:eastAsia="ja-JP" w:bidi="hi-IN"/>
        </w:rPr>
        <w:t xml:space="preserve"> </w:t>
      </w:r>
      <w:proofErr w:type="spellStart"/>
      <w:r w:rsidRPr="0014151A">
        <w:rPr>
          <w:rFonts w:ascii="Times New Roman" w:eastAsia="Times New Roman" w:hAnsi="Times New Roman" w:cs="Times New Roman"/>
          <w:i/>
          <w:iCs/>
          <w:color w:val="000000"/>
          <w:kern w:val="2"/>
          <w:sz w:val="24"/>
          <w:szCs w:val="24"/>
          <w:lang w:eastAsia="ja-JP" w:bidi="hi-IN"/>
        </w:rPr>
        <w:t>Латвийской</w:t>
      </w:r>
      <w:proofErr w:type="spellEnd"/>
      <w:r w:rsidRPr="0014151A">
        <w:rPr>
          <w:rFonts w:ascii="Times New Roman" w:eastAsia="Times New Roman" w:hAnsi="Times New Roman" w:cs="Times New Roman"/>
          <w:i/>
          <w:iCs/>
          <w:color w:val="000000"/>
          <w:kern w:val="2"/>
          <w:sz w:val="24"/>
          <w:szCs w:val="24"/>
          <w:lang w:eastAsia="ja-JP" w:bidi="hi-IN"/>
        </w:rPr>
        <w:t xml:space="preserve"> ССР </w:t>
      </w:r>
      <w:proofErr w:type="spellStart"/>
      <w:r w:rsidRPr="0014151A">
        <w:rPr>
          <w:rFonts w:ascii="Times New Roman" w:eastAsia="Times New Roman" w:hAnsi="Times New Roman" w:cs="Times New Roman"/>
          <w:i/>
          <w:iCs/>
          <w:color w:val="000000"/>
          <w:kern w:val="2"/>
          <w:sz w:val="24"/>
          <w:szCs w:val="24"/>
          <w:lang w:eastAsia="ja-JP" w:bidi="hi-IN"/>
        </w:rPr>
        <w:t>масштаба</w:t>
      </w:r>
      <w:proofErr w:type="spellEnd"/>
      <w:r w:rsidRPr="0014151A">
        <w:rPr>
          <w:rFonts w:ascii="Times New Roman" w:eastAsia="Times New Roman" w:hAnsi="Times New Roman" w:cs="Times New Roman"/>
          <w:i/>
          <w:iCs/>
          <w:color w:val="000000"/>
          <w:kern w:val="2"/>
          <w:sz w:val="24"/>
          <w:szCs w:val="24"/>
          <w:lang w:eastAsia="ja-JP" w:bidi="hi-IN"/>
        </w:rPr>
        <w:t xml:space="preserve"> 1 : 500 000</w:t>
      </w:r>
      <w:r w:rsidRPr="0014151A">
        <w:rPr>
          <w:rFonts w:ascii="Times New Roman" w:eastAsia="Times New Roman" w:hAnsi="Times New Roman" w:cs="Times New Roman"/>
          <w:color w:val="000000"/>
          <w:kern w:val="2"/>
          <w:sz w:val="24"/>
          <w:szCs w:val="24"/>
          <w:lang w:eastAsia="ja-JP" w:bidi="hi-IN"/>
        </w:rPr>
        <w:t>. Rīga, Zinātne lpp.98-99. (krievu val.)</w:t>
      </w:r>
      <w:r w:rsidR="009E3668" w:rsidRPr="0014151A">
        <w:rPr>
          <w:rFonts w:ascii="Times New Roman" w:eastAsia="Times New Roman" w:hAnsi="Times New Roman" w:cs="Times New Roman"/>
          <w:color w:val="000000"/>
          <w:kern w:val="2"/>
          <w:sz w:val="24"/>
          <w:szCs w:val="24"/>
          <w:lang w:eastAsia="ja-JP" w:bidi="hi-IN"/>
        </w:rPr>
        <w:t>.</w:t>
      </w:r>
    </w:p>
    <w:p w14:paraId="051C22C4" w14:textId="55CD2E7F" w:rsidR="00260499" w:rsidRPr="0014151A" w:rsidRDefault="00260499" w:rsidP="0014151A">
      <w:pPr>
        <w:numPr>
          <w:ilvl w:val="0"/>
          <w:numId w:val="31"/>
        </w:numPr>
        <w:spacing w:after="0" w:line="240" w:lineRule="auto"/>
        <w:ind w:left="924" w:hanging="357"/>
        <w:jc w:val="both"/>
        <w:rPr>
          <w:rFonts w:ascii="Times New Roman" w:eastAsia="Times New Roman" w:hAnsi="Times New Roman" w:cs="Times New Roman"/>
          <w:kern w:val="2"/>
          <w:sz w:val="24"/>
          <w:szCs w:val="24"/>
          <w:lang w:eastAsia="zh-CN" w:bidi="hi-IN"/>
        </w:rPr>
      </w:pPr>
      <w:proofErr w:type="spellStart"/>
      <w:r w:rsidRPr="0014151A">
        <w:rPr>
          <w:rFonts w:ascii="Times New Roman" w:eastAsia="Times New Roman" w:hAnsi="Times New Roman" w:cs="Times New Roman"/>
          <w:color w:val="000000"/>
          <w:kern w:val="2"/>
          <w:sz w:val="24"/>
          <w:szCs w:val="24"/>
          <w:lang w:eastAsia="ja-JP" w:bidi="hi-IN"/>
        </w:rPr>
        <w:t>Melluma</w:t>
      </w:r>
      <w:proofErr w:type="spellEnd"/>
      <w:r w:rsidR="00244B83" w:rsidRPr="0014151A">
        <w:rPr>
          <w:rFonts w:ascii="Times New Roman" w:eastAsia="Times New Roman" w:hAnsi="Times New Roman" w:cs="Times New Roman"/>
          <w:color w:val="000000"/>
          <w:kern w:val="2"/>
          <w:sz w:val="24"/>
          <w:szCs w:val="24"/>
          <w:lang w:eastAsia="ja-JP" w:bidi="hi-IN"/>
        </w:rPr>
        <w:t xml:space="preserve"> A., </w:t>
      </w:r>
      <w:proofErr w:type="spellStart"/>
      <w:r w:rsidRPr="0014151A">
        <w:rPr>
          <w:rFonts w:ascii="Times New Roman" w:eastAsia="Times New Roman" w:hAnsi="Times New Roman" w:cs="Times New Roman"/>
          <w:color w:val="000000"/>
          <w:kern w:val="2"/>
          <w:sz w:val="24"/>
          <w:szCs w:val="24"/>
          <w:lang w:eastAsia="ja-JP" w:bidi="hi-IN"/>
        </w:rPr>
        <w:t>Leinerte</w:t>
      </w:r>
      <w:proofErr w:type="spellEnd"/>
      <w:r w:rsidR="00244B83" w:rsidRPr="0014151A">
        <w:rPr>
          <w:rFonts w:ascii="Times New Roman" w:eastAsia="Times New Roman" w:hAnsi="Times New Roman" w:cs="Times New Roman"/>
          <w:color w:val="000000"/>
          <w:kern w:val="2"/>
          <w:sz w:val="24"/>
          <w:szCs w:val="24"/>
          <w:lang w:eastAsia="ja-JP" w:bidi="hi-IN"/>
        </w:rPr>
        <w:t xml:space="preserve"> M.</w:t>
      </w:r>
      <w:r w:rsidRPr="0014151A">
        <w:rPr>
          <w:rFonts w:ascii="Times New Roman" w:eastAsia="Times New Roman" w:hAnsi="Times New Roman" w:cs="Times New Roman"/>
          <w:color w:val="000000"/>
          <w:kern w:val="2"/>
          <w:sz w:val="24"/>
          <w:szCs w:val="24"/>
          <w:lang w:eastAsia="ja-JP" w:bidi="hi-IN"/>
        </w:rPr>
        <w:t>, 1992. Ainava un cilvēks. Avots, Rīga.</w:t>
      </w:r>
    </w:p>
    <w:p w14:paraId="236E66E9" w14:textId="72EF02DD" w:rsidR="00260499" w:rsidRPr="0014151A" w:rsidRDefault="00260499" w:rsidP="0014151A">
      <w:pPr>
        <w:numPr>
          <w:ilvl w:val="0"/>
          <w:numId w:val="31"/>
        </w:numPr>
        <w:tabs>
          <w:tab w:val="left" w:pos="426"/>
        </w:tabs>
        <w:spacing w:after="0" w:line="240" w:lineRule="auto"/>
        <w:ind w:left="924" w:hanging="357"/>
        <w:jc w:val="both"/>
        <w:rPr>
          <w:rFonts w:ascii="Times New Roman" w:eastAsia="Times New Roman" w:hAnsi="Times New Roman" w:cs="Times New Roman"/>
          <w:kern w:val="2"/>
          <w:sz w:val="24"/>
          <w:szCs w:val="24"/>
          <w:lang w:eastAsia="zh-CN" w:bidi="hi-IN"/>
        </w:rPr>
      </w:pPr>
      <w:proofErr w:type="spellStart"/>
      <w:r w:rsidRPr="0014151A">
        <w:rPr>
          <w:rFonts w:ascii="Times New Roman" w:eastAsia="Times New Roman" w:hAnsi="Times New Roman" w:cs="Times New Roman"/>
          <w:kern w:val="2"/>
          <w:sz w:val="24"/>
          <w:szCs w:val="24"/>
          <w:lang w:eastAsia="zh-CN" w:bidi="hi-IN"/>
        </w:rPr>
        <w:t>Melluma</w:t>
      </w:r>
      <w:proofErr w:type="spellEnd"/>
      <w:r w:rsidRPr="0014151A">
        <w:rPr>
          <w:rFonts w:ascii="Times New Roman" w:eastAsia="Times New Roman" w:hAnsi="Times New Roman" w:cs="Times New Roman"/>
          <w:kern w:val="2"/>
          <w:sz w:val="24"/>
          <w:szCs w:val="24"/>
          <w:lang w:eastAsia="zh-CN" w:bidi="hi-IN"/>
        </w:rPr>
        <w:t xml:space="preserve"> A. </w:t>
      </w:r>
      <w:r w:rsidR="009E3668" w:rsidRPr="0014151A">
        <w:rPr>
          <w:rFonts w:ascii="Times New Roman" w:eastAsia="Times New Roman" w:hAnsi="Times New Roman" w:cs="Times New Roman"/>
          <w:kern w:val="2"/>
          <w:sz w:val="24"/>
          <w:szCs w:val="24"/>
          <w:lang w:eastAsia="zh-CN" w:bidi="hi-IN"/>
        </w:rPr>
        <w:t xml:space="preserve">2010. </w:t>
      </w:r>
      <w:r w:rsidRPr="0014151A">
        <w:rPr>
          <w:rFonts w:ascii="Times New Roman" w:eastAsia="Times New Roman" w:hAnsi="Times New Roman" w:cs="Times New Roman"/>
          <w:kern w:val="2"/>
          <w:sz w:val="24"/>
          <w:szCs w:val="24"/>
          <w:lang w:eastAsia="zh-CN" w:bidi="hi-IN"/>
        </w:rPr>
        <w:t xml:space="preserve">Sens notikums Latgales vēsturē./ Dabas un vēstures kalendārs 2011.g. Rīga, </w:t>
      </w:r>
      <w:proofErr w:type="spellStart"/>
      <w:r w:rsidRPr="0014151A">
        <w:rPr>
          <w:rFonts w:ascii="Times New Roman" w:eastAsia="Times New Roman" w:hAnsi="Times New Roman" w:cs="Times New Roman"/>
          <w:kern w:val="2"/>
          <w:sz w:val="24"/>
          <w:szCs w:val="24"/>
          <w:lang w:eastAsia="zh-CN" w:bidi="hi-IN"/>
        </w:rPr>
        <w:t>izd</w:t>
      </w:r>
      <w:proofErr w:type="spellEnd"/>
      <w:r w:rsidRPr="0014151A">
        <w:rPr>
          <w:rFonts w:ascii="Times New Roman" w:eastAsia="Times New Roman" w:hAnsi="Times New Roman" w:cs="Times New Roman"/>
          <w:kern w:val="2"/>
          <w:sz w:val="24"/>
          <w:szCs w:val="24"/>
          <w:lang w:eastAsia="zh-CN" w:bidi="hi-IN"/>
        </w:rPr>
        <w:t>. Zinātne, 105.-110.lpp.</w:t>
      </w:r>
    </w:p>
    <w:p w14:paraId="5D6ECAD7" w14:textId="37BA547D" w:rsidR="00260499" w:rsidRPr="0014151A" w:rsidRDefault="00260499" w:rsidP="0014151A">
      <w:pPr>
        <w:numPr>
          <w:ilvl w:val="0"/>
          <w:numId w:val="31"/>
        </w:numPr>
        <w:tabs>
          <w:tab w:val="left" w:pos="426"/>
        </w:tabs>
        <w:spacing w:after="0" w:line="240" w:lineRule="auto"/>
        <w:ind w:left="924" w:hanging="357"/>
        <w:jc w:val="both"/>
        <w:rPr>
          <w:rFonts w:ascii="Times New Roman" w:eastAsia="Times New Roman" w:hAnsi="Times New Roman" w:cs="Times New Roman"/>
          <w:kern w:val="2"/>
          <w:sz w:val="24"/>
          <w:szCs w:val="24"/>
          <w:lang w:eastAsia="zh-CN" w:bidi="hi-IN"/>
        </w:rPr>
      </w:pPr>
      <w:proofErr w:type="spellStart"/>
      <w:r w:rsidRPr="0014151A">
        <w:rPr>
          <w:rFonts w:ascii="Times New Roman" w:eastAsia="Times New Roman" w:hAnsi="Times New Roman" w:cs="Times New Roman"/>
          <w:kern w:val="2"/>
          <w:sz w:val="24"/>
          <w:szCs w:val="24"/>
          <w:lang w:eastAsia="zh-CN" w:bidi="hi-IN"/>
        </w:rPr>
        <w:lastRenderedPageBreak/>
        <w:t>Melluma</w:t>
      </w:r>
      <w:proofErr w:type="spellEnd"/>
      <w:r w:rsidRPr="0014151A">
        <w:rPr>
          <w:rFonts w:ascii="Times New Roman" w:eastAsia="Times New Roman" w:hAnsi="Times New Roman" w:cs="Times New Roman"/>
          <w:kern w:val="2"/>
          <w:sz w:val="24"/>
          <w:szCs w:val="24"/>
          <w:lang w:eastAsia="zh-CN" w:bidi="hi-IN"/>
        </w:rPr>
        <w:t xml:space="preserve"> A., Lūkins M. </w:t>
      </w:r>
      <w:r w:rsidR="009E3668" w:rsidRPr="0014151A">
        <w:rPr>
          <w:rFonts w:ascii="Times New Roman" w:eastAsia="Times New Roman" w:hAnsi="Times New Roman" w:cs="Times New Roman"/>
          <w:kern w:val="2"/>
          <w:sz w:val="24"/>
          <w:szCs w:val="24"/>
          <w:lang w:eastAsia="zh-CN" w:bidi="hi-IN"/>
        </w:rPr>
        <w:t xml:space="preserve">2011. </w:t>
      </w:r>
      <w:r w:rsidRPr="0014151A">
        <w:rPr>
          <w:rFonts w:ascii="Times New Roman" w:eastAsia="Times New Roman" w:hAnsi="Times New Roman" w:cs="Times New Roman"/>
          <w:kern w:val="2"/>
          <w:sz w:val="24"/>
          <w:szCs w:val="24"/>
          <w:lang w:eastAsia="zh-CN" w:bidi="hi-IN"/>
        </w:rPr>
        <w:t xml:space="preserve">Dabas parks ‘Daugavas loki’: ainava un laiki./ </w:t>
      </w:r>
      <w:proofErr w:type="spellStart"/>
      <w:r w:rsidRPr="0014151A">
        <w:rPr>
          <w:rFonts w:ascii="Times New Roman" w:eastAsia="Times New Roman" w:hAnsi="Times New Roman" w:cs="Times New Roman"/>
          <w:kern w:val="2"/>
          <w:sz w:val="24"/>
          <w:szCs w:val="24"/>
          <w:lang w:eastAsia="zh-CN" w:bidi="hi-IN"/>
        </w:rPr>
        <w:t>Grām</w:t>
      </w:r>
      <w:proofErr w:type="spellEnd"/>
      <w:r w:rsidRPr="0014151A">
        <w:rPr>
          <w:rFonts w:ascii="Times New Roman" w:eastAsia="Times New Roman" w:hAnsi="Times New Roman" w:cs="Times New Roman"/>
          <w:kern w:val="2"/>
          <w:sz w:val="24"/>
          <w:szCs w:val="24"/>
          <w:lang w:eastAsia="zh-CN" w:bidi="hi-IN"/>
        </w:rPr>
        <w:t>.: Kultūrvēstures avoti un Latvijas ainava. Apgāds ‘LZA Vēstis’, 73.-107. lpp.</w:t>
      </w:r>
    </w:p>
    <w:p w14:paraId="7E687DE8" w14:textId="77777777" w:rsidR="00260499" w:rsidRPr="0014151A" w:rsidRDefault="00260499" w:rsidP="0014151A">
      <w:pPr>
        <w:numPr>
          <w:ilvl w:val="0"/>
          <w:numId w:val="31"/>
        </w:numPr>
        <w:tabs>
          <w:tab w:val="left" w:pos="426"/>
        </w:tabs>
        <w:spacing w:after="0" w:line="240" w:lineRule="auto"/>
        <w:ind w:left="924" w:hanging="357"/>
        <w:jc w:val="both"/>
        <w:rPr>
          <w:rFonts w:ascii="Times New Roman" w:eastAsia="Times New Roman" w:hAnsi="Times New Roman" w:cs="Times New Roman"/>
          <w:kern w:val="2"/>
          <w:sz w:val="24"/>
          <w:szCs w:val="24"/>
          <w:lang w:eastAsia="zh-CN" w:bidi="hi-IN"/>
        </w:rPr>
      </w:pPr>
      <w:r w:rsidRPr="0014151A">
        <w:rPr>
          <w:rFonts w:ascii="Times New Roman" w:eastAsia="Times New Roman" w:hAnsi="Times New Roman" w:cs="Times New Roman"/>
          <w:kern w:val="2"/>
          <w:sz w:val="24"/>
          <w:szCs w:val="24"/>
          <w:lang w:eastAsia="zh-CN" w:bidi="hi-IN"/>
        </w:rPr>
        <w:t xml:space="preserve">Mežaka A., Znotiņa V. 2006. </w:t>
      </w:r>
      <w:proofErr w:type="spellStart"/>
      <w:r w:rsidRPr="0014151A">
        <w:rPr>
          <w:rFonts w:ascii="Times New Roman" w:eastAsia="Times New Roman" w:hAnsi="Times New Roman" w:cs="Times New Roman"/>
          <w:kern w:val="2"/>
          <w:sz w:val="24"/>
          <w:szCs w:val="24"/>
          <w:lang w:eastAsia="zh-CN" w:bidi="hi-IN"/>
        </w:rPr>
        <w:t>Epiphytic</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bryophytes</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in</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old</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growth</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forests</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of</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slopes</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screes</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and</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ravines</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in</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north-west</w:t>
      </w:r>
      <w:proofErr w:type="spellEnd"/>
      <w:r w:rsidRPr="0014151A">
        <w:rPr>
          <w:rFonts w:ascii="Times New Roman" w:eastAsia="Times New Roman" w:hAnsi="Times New Roman" w:cs="Times New Roman"/>
          <w:kern w:val="2"/>
          <w:sz w:val="24"/>
          <w:szCs w:val="24"/>
          <w:lang w:eastAsia="zh-CN" w:bidi="hi-IN"/>
        </w:rPr>
        <w:t xml:space="preserve"> Latvia. </w:t>
      </w:r>
      <w:proofErr w:type="spellStart"/>
      <w:r w:rsidRPr="0014151A">
        <w:rPr>
          <w:rFonts w:ascii="Times New Roman" w:eastAsia="Times New Roman" w:hAnsi="Times New Roman" w:cs="Times New Roman"/>
          <w:kern w:val="2"/>
          <w:sz w:val="24"/>
          <w:szCs w:val="24"/>
          <w:lang w:eastAsia="zh-CN" w:bidi="hi-IN"/>
        </w:rPr>
        <w:t>Acta</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Universitatis</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Latviensis</w:t>
      </w:r>
      <w:proofErr w:type="spellEnd"/>
      <w:r w:rsidRPr="0014151A">
        <w:rPr>
          <w:rFonts w:ascii="Times New Roman" w:eastAsia="Times New Roman" w:hAnsi="Times New Roman" w:cs="Times New Roman"/>
          <w:kern w:val="2"/>
          <w:sz w:val="24"/>
          <w:szCs w:val="24"/>
          <w:lang w:eastAsia="zh-CN" w:bidi="hi-IN"/>
        </w:rPr>
        <w:t xml:space="preserve"> 710, 103–116 p. </w:t>
      </w:r>
    </w:p>
    <w:p w14:paraId="09B32B64" w14:textId="77777777" w:rsidR="00260499" w:rsidRPr="0014151A" w:rsidRDefault="00260499" w:rsidP="0014151A">
      <w:pPr>
        <w:numPr>
          <w:ilvl w:val="0"/>
          <w:numId w:val="31"/>
        </w:numPr>
        <w:tabs>
          <w:tab w:val="left" w:pos="426"/>
        </w:tabs>
        <w:spacing w:after="0" w:line="240" w:lineRule="auto"/>
        <w:ind w:left="924" w:hanging="357"/>
        <w:jc w:val="both"/>
        <w:rPr>
          <w:rFonts w:ascii="Times New Roman" w:eastAsia="Times New Roman" w:hAnsi="Times New Roman" w:cs="Times New Roman"/>
          <w:kern w:val="2"/>
          <w:sz w:val="24"/>
          <w:szCs w:val="24"/>
          <w:lang w:eastAsia="zh-CN" w:bidi="hi-IN"/>
        </w:rPr>
      </w:pPr>
      <w:r w:rsidRPr="0014151A">
        <w:rPr>
          <w:rFonts w:ascii="Times New Roman" w:eastAsia="Times New Roman" w:hAnsi="Times New Roman" w:cs="Times New Roman"/>
          <w:kern w:val="2"/>
          <w:sz w:val="24"/>
          <w:szCs w:val="24"/>
          <w:lang w:eastAsia="zh-CN" w:bidi="hi-IN"/>
        </w:rPr>
        <w:t xml:space="preserve">Mežaka A., Znotiņa V., </w:t>
      </w:r>
      <w:proofErr w:type="spellStart"/>
      <w:r w:rsidRPr="0014151A">
        <w:rPr>
          <w:rFonts w:ascii="Times New Roman" w:eastAsia="Times New Roman" w:hAnsi="Times New Roman" w:cs="Times New Roman"/>
          <w:kern w:val="2"/>
          <w:sz w:val="24"/>
          <w:szCs w:val="24"/>
          <w:lang w:eastAsia="zh-CN" w:bidi="hi-IN"/>
        </w:rPr>
        <w:t>Piterāns</w:t>
      </w:r>
      <w:proofErr w:type="spellEnd"/>
      <w:r w:rsidRPr="0014151A">
        <w:rPr>
          <w:rFonts w:ascii="Times New Roman" w:eastAsia="Times New Roman" w:hAnsi="Times New Roman" w:cs="Times New Roman"/>
          <w:kern w:val="2"/>
          <w:sz w:val="24"/>
          <w:szCs w:val="24"/>
          <w:lang w:eastAsia="zh-CN" w:bidi="hi-IN"/>
        </w:rPr>
        <w:t xml:space="preserve"> A. 2005. </w:t>
      </w:r>
      <w:proofErr w:type="spellStart"/>
      <w:r w:rsidRPr="0014151A">
        <w:rPr>
          <w:rFonts w:ascii="Times New Roman" w:eastAsia="Times New Roman" w:hAnsi="Times New Roman" w:cs="Times New Roman"/>
          <w:kern w:val="2"/>
          <w:sz w:val="24"/>
          <w:szCs w:val="24"/>
          <w:lang w:eastAsia="zh-CN" w:bidi="hi-IN"/>
        </w:rPr>
        <w:t>Distribution</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of</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epiphytic</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bryophytes</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in</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five</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Latvian</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natural</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forest</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stands</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of</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slopes</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screes</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and</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ravines</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Acta</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Biologica</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Universitatis</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Daugavpiliensis</w:t>
      </w:r>
      <w:proofErr w:type="spellEnd"/>
      <w:r w:rsidRPr="0014151A">
        <w:rPr>
          <w:rFonts w:ascii="Times New Roman" w:eastAsia="Times New Roman" w:hAnsi="Times New Roman" w:cs="Times New Roman"/>
          <w:kern w:val="2"/>
          <w:sz w:val="24"/>
          <w:szCs w:val="24"/>
          <w:lang w:eastAsia="zh-CN" w:bidi="hi-IN"/>
        </w:rPr>
        <w:t xml:space="preserve"> 5(2), 101–108 p.</w:t>
      </w:r>
    </w:p>
    <w:p w14:paraId="19F164BF" w14:textId="7E16219B" w:rsidR="00392BE6" w:rsidRPr="0014151A" w:rsidRDefault="00392BE6" w:rsidP="0014151A">
      <w:pPr>
        <w:numPr>
          <w:ilvl w:val="0"/>
          <w:numId w:val="31"/>
        </w:numPr>
        <w:tabs>
          <w:tab w:val="left" w:pos="426"/>
        </w:tabs>
        <w:spacing w:after="0" w:line="240" w:lineRule="auto"/>
        <w:ind w:left="924" w:hanging="357"/>
        <w:jc w:val="both"/>
        <w:rPr>
          <w:rFonts w:ascii="Times New Roman" w:eastAsia="Times New Roman" w:hAnsi="Times New Roman" w:cs="Times New Roman"/>
          <w:kern w:val="2"/>
          <w:sz w:val="24"/>
          <w:szCs w:val="24"/>
          <w:lang w:eastAsia="zh-CN" w:bidi="hi-IN"/>
        </w:rPr>
      </w:pPr>
      <w:proofErr w:type="spellStart"/>
      <w:r w:rsidRPr="0014151A">
        <w:rPr>
          <w:rFonts w:ascii="Times New Roman" w:eastAsia="Times New Roman" w:hAnsi="Times New Roman" w:cs="Times New Roman"/>
          <w:kern w:val="2"/>
          <w:sz w:val="24"/>
          <w:szCs w:val="24"/>
          <w:lang w:eastAsia="zh-CN" w:bidi="hi-IN"/>
        </w:rPr>
        <w:t>Mikusinski</w:t>
      </w:r>
      <w:proofErr w:type="spellEnd"/>
      <w:r w:rsidRPr="0014151A">
        <w:rPr>
          <w:rFonts w:ascii="Times New Roman" w:eastAsia="Times New Roman" w:hAnsi="Times New Roman" w:cs="Times New Roman"/>
          <w:kern w:val="2"/>
          <w:sz w:val="24"/>
          <w:szCs w:val="24"/>
          <w:lang w:eastAsia="zh-CN" w:bidi="hi-IN"/>
        </w:rPr>
        <w:t xml:space="preserve"> G., </w:t>
      </w:r>
      <w:proofErr w:type="spellStart"/>
      <w:r w:rsidRPr="0014151A">
        <w:rPr>
          <w:rFonts w:ascii="Times New Roman" w:eastAsia="Times New Roman" w:hAnsi="Times New Roman" w:cs="Times New Roman"/>
          <w:kern w:val="2"/>
          <w:sz w:val="24"/>
          <w:szCs w:val="24"/>
          <w:lang w:eastAsia="zh-CN" w:bidi="hi-IN"/>
        </w:rPr>
        <w:t>Roberge</w:t>
      </w:r>
      <w:proofErr w:type="spellEnd"/>
      <w:r w:rsidRPr="0014151A">
        <w:rPr>
          <w:rFonts w:ascii="Times New Roman" w:eastAsia="Times New Roman" w:hAnsi="Times New Roman" w:cs="Times New Roman"/>
          <w:kern w:val="2"/>
          <w:sz w:val="24"/>
          <w:szCs w:val="24"/>
          <w:lang w:eastAsia="zh-CN" w:bidi="hi-IN"/>
        </w:rPr>
        <w:t xml:space="preserve"> J.-M., </w:t>
      </w:r>
      <w:proofErr w:type="spellStart"/>
      <w:r w:rsidRPr="0014151A">
        <w:rPr>
          <w:rFonts w:ascii="Times New Roman" w:eastAsia="Times New Roman" w:hAnsi="Times New Roman" w:cs="Times New Roman"/>
          <w:kern w:val="2"/>
          <w:sz w:val="24"/>
          <w:szCs w:val="24"/>
          <w:lang w:eastAsia="zh-CN" w:bidi="hi-IN"/>
        </w:rPr>
        <w:t>Fuller</w:t>
      </w:r>
      <w:proofErr w:type="spellEnd"/>
      <w:r w:rsidRPr="0014151A">
        <w:rPr>
          <w:rFonts w:ascii="Times New Roman" w:eastAsia="Times New Roman" w:hAnsi="Times New Roman" w:cs="Times New Roman"/>
          <w:kern w:val="2"/>
          <w:sz w:val="24"/>
          <w:szCs w:val="24"/>
          <w:lang w:eastAsia="zh-CN" w:bidi="hi-IN"/>
        </w:rPr>
        <w:t xml:space="preserve"> R.-J. 2018. </w:t>
      </w:r>
      <w:proofErr w:type="spellStart"/>
      <w:r w:rsidRPr="0014151A">
        <w:rPr>
          <w:rFonts w:ascii="Times New Roman" w:eastAsia="Times New Roman" w:hAnsi="Times New Roman" w:cs="Times New Roman"/>
          <w:kern w:val="2"/>
          <w:sz w:val="24"/>
          <w:szCs w:val="24"/>
          <w:lang w:eastAsia="zh-CN" w:bidi="hi-IN"/>
        </w:rPr>
        <w:t>Ecology</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and</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conservation</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of</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forest</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birds</w:t>
      </w:r>
      <w:proofErr w:type="spellEnd"/>
      <w:r w:rsidRPr="0014151A">
        <w:rPr>
          <w:rFonts w:ascii="Times New Roman" w:eastAsia="Times New Roman" w:hAnsi="Times New Roman" w:cs="Times New Roman"/>
          <w:kern w:val="2"/>
          <w:sz w:val="24"/>
          <w:szCs w:val="24"/>
          <w:lang w:eastAsia="zh-CN" w:bidi="hi-IN"/>
        </w:rPr>
        <w:t>.</w:t>
      </w:r>
      <w:r w:rsidRPr="0014151A">
        <w:rPr>
          <w:rFonts w:ascii="TimesNewRoman" w:hAnsi="TimesNewRoman" w:cs="TimesNewRoman"/>
          <w:sz w:val="24"/>
          <w:szCs w:val="24"/>
        </w:rPr>
        <w:t xml:space="preserve"> </w:t>
      </w:r>
      <w:proofErr w:type="spellStart"/>
      <w:r w:rsidRPr="0014151A">
        <w:rPr>
          <w:rFonts w:ascii="Times New Roman" w:eastAsia="Times New Roman" w:hAnsi="Times New Roman" w:cs="Times New Roman"/>
          <w:kern w:val="2"/>
          <w:sz w:val="24"/>
          <w:szCs w:val="24"/>
          <w:lang w:eastAsia="zh-CN" w:bidi="hi-IN"/>
        </w:rPr>
        <w:t>Cambridge</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University</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press</w:t>
      </w:r>
      <w:proofErr w:type="spellEnd"/>
      <w:r w:rsidRPr="0014151A">
        <w:rPr>
          <w:rFonts w:ascii="Times New Roman" w:eastAsia="Times New Roman" w:hAnsi="Times New Roman" w:cs="Times New Roman"/>
          <w:kern w:val="2"/>
          <w:sz w:val="24"/>
          <w:szCs w:val="24"/>
          <w:lang w:eastAsia="zh-CN" w:bidi="hi-IN"/>
        </w:rPr>
        <w:t>, 552 lpp.</w:t>
      </w:r>
    </w:p>
    <w:p w14:paraId="34CA8332" w14:textId="220DF72A" w:rsidR="000D4271" w:rsidRPr="0014151A" w:rsidRDefault="000D4271" w:rsidP="0014151A">
      <w:pPr>
        <w:numPr>
          <w:ilvl w:val="0"/>
          <w:numId w:val="31"/>
        </w:numPr>
        <w:tabs>
          <w:tab w:val="left" w:pos="426"/>
        </w:tabs>
        <w:spacing w:after="0" w:line="240" w:lineRule="auto"/>
        <w:ind w:left="924" w:hanging="357"/>
        <w:jc w:val="both"/>
        <w:rPr>
          <w:rFonts w:ascii="Times New Roman" w:eastAsia="Times New Roman" w:hAnsi="Times New Roman" w:cs="Times New Roman"/>
          <w:kern w:val="2"/>
          <w:sz w:val="24"/>
          <w:szCs w:val="24"/>
          <w:lang w:eastAsia="zh-CN" w:bidi="hi-IN"/>
        </w:rPr>
      </w:pPr>
      <w:proofErr w:type="spellStart"/>
      <w:r w:rsidRPr="0014151A">
        <w:rPr>
          <w:rFonts w:ascii="Times New Roman" w:eastAsia="Times New Roman" w:hAnsi="Times New Roman" w:cs="Times New Roman"/>
          <w:kern w:val="2"/>
          <w:sz w:val="24"/>
          <w:szCs w:val="24"/>
          <w:lang w:eastAsia="zh-CN" w:bidi="hi-IN"/>
        </w:rPr>
        <w:t>Moisejevs</w:t>
      </w:r>
      <w:proofErr w:type="spellEnd"/>
      <w:r w:rsidRPr="0014151A">
        <w:rPr>
          <w:rFonts w:ascii="Times New Roman" w:eastAsia="Times New Roman" w:hAnsi="Times New Roman" w:cs="Times New Roman"/>
          <w:kern w:val="2"/>
          <w:sz w:val="24"/>
          <w:szCs w:val="24"/>
          <w:lang w:eastAsia="zh-CN" w:bidi="hi-IN"/>
        </w:rPr>
        <w:t xml:space="preserve"> R. 2017(a). </w:t>
      </w:r>
      <w:proofErr w:type="spellStart"/>
      <w:r w:rsidRPr="0014151A">
        <w:rPr>
          <w:rFonts w:ascii="Times New Roman" w:eastAsia="Times New Roman" w:hAnsi="Times New Roman" w:cs="Times New Roman"/>
          <w:kern w:val="2"/>
          <w:sz w:val="24"/>
          <w:szCs w:val="24"/>
          <w:lang w:eastAsia="zh-CN" w:bidi="hi-IN"/>
        </w:rPr>
        <w:t>Lichens</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and</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allied</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fungi</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new</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for</w:t>
      </w:r>
      <w:proofErr w:type="spellEnd"/>
      <w:r w:rsidRPr="0014151A">
        <w:rPr>
          <w:rFonts w:ascii="Times New Roman" w:eastAsia="Times New Roman" w:hAnsi="Times New Roman" w:cs="Times New Roman"/>
          <w:kern w:val="2"/>
          <w:sz w:val="24"/>
          <w:szCs w:val="24"/>
          <w:lang w:eastAsia="zh-CN" w:bidi="hi-IN"/>
        </w:rPr>
        <w:t xml:space="preserve"> Latvia. </w:t>
      </w:r>
      <w:proofErr w:type="spellStart"/>
      <w:r w:rsidRPr="0014151A">
        <w:rPr>
          <w:rFonts w:ascii="Times New Roman" w:eastAsia="Times New Roman" w:hAnsi="Times New Roman" w:cs="Times New Roman"/>
          <w:kern w:val="2"/>
          <w:sz w:val="24"/>
          <w:szCs w:val="24"/>
          <w:lang w:eastAsia="zh-CN" w:bidi="hi-IN"/>
        </w:rPr>
        <w:t>Folia</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Cryptogamica</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Estonica</w:t>
      </w:r>
      <w:proofErr w:type="spellEnd"/>
      <w:r w:rsidRPr="0014151A">
        <w:rPr>
          <w:rFonts w:ascii="Times New Roman" w:eastAsia="Times New Roman" w:hAnsi="Times New Roman" w:cs="Times New Roman"/>
          <w:kern w:val="2"/>
          <w:sz w:val="24"/>
          <w:szCs w:val="24"/>
          <w:lang w:eastAsia="zh-CN" w:bidi="hi-IN"/>
        </w:rPr>
        <w:t xml:space="preserve"> 54: 9–12.</w:t>
      </w:r>
    </w:p>
    <w:p w14:paraId="3ED19152" w14:textId="18C781F5" w:rsidR="000D4271" w:rsidRPr="0014151A" w:rsidRDefault="000D4271" w:rsidP="0014151A">
      <w:pPr>
        <w:numPr>
          <w:ilvl w:val="0"/>
          <w:numId w:val="31"/>
        </w:numPr>
        <w:tabs>
          <w:tab w:val="left" w:pos="426"/>
        </w:tabs>
        <w:spacing w:after="0" w:line="240" w:lineRule="auto"/>
        <w:ind w:left="924" w:hanging="357"/>
        <w:jc w:val="both"/>
        <w:rPr>
          <w:rFonts w:ascii="Times New Roman" w:eastAsia="Times New Roman" w:hAnsi="Times New Roman" w:cs="Times New Roman"/>
          <w:kern w:val="2"/>
          <w:sz w:val="24"/>
          <w:szCs w:val="24"/>
          <w:lang w:eastAsia="zh-CN" w:bidi="hi-IN"/>
        </w:rPr>
      </w:pPr>
      <w:proofErr w:type="spellStart"/>
      <w:r w:rsidRPr="0014151A">
        <w:rPr>
          <w:rFonts w:ascii="Times New Roman" w:eastAsia="Times New Roman" w:hAnsi="Times New Roman" w:cs="Times New Roman"/>
          <w:kern w:val="2"/>
          <w:sz w:val="24"/>
          <w:szCs w:val="24"/>
          <w:lang w:eastAsia="zh-CN" w:bidi="hi-IN"/>
        </w:rPr>
        <w:t>Moisejevs</w:t>
      </w:r>
      <w:proofErr w:type="spellEnd"/>
      <w:r w:rsidRPr="0014151A">
        <w:rPr>
          <w:rFonts w:ascii="Times New Roman" w:eastAsia="Times New Roman" w:hAnsi="Times New Roman" w:cs="Times New Roman"/>
          <w:kern w:val="2"/>
          <w:sz w:val="24"/>
          <w:szCs w:val="24"/>
          <w:lang w:eastAsia="zh-CN" w:bidi="hi-IN"/>
        </w:rPr>
        <w:t xml:space="preserve"> R. 2017(b). Īpaši aizsargājamās un reti sastopamās ķērpju sugas Latvijā. 1-80.</w:t>
      </w:r>
      <w:r w:rsidRPr="0014151A">
        <w:rPr>
          <w:rFonts w:ascii="TimesNewRoman" w:hAnsi="TimesNewRoman" w:cs="TimesNewRoman"/>
          <w:color w:val="0000FF"/>
          <w:sz w:val="24"/>
          <w:szCs w:val="24"/>
        </w:rPr>
        <w:t xml:space="preserve"> </w:t>
      </w:r>
    </w:p>
    <w:p w14:paraId="61380A77" w14:textId="5D94DFA7" w:rsidR="00204B25" w:rsidRPr="0014151A" w:rsidRDefault="00204B25" w:rsidP="0014151A">
      <w:pPr>
        <w:numPr>
          <w:ilvl w:val="0"/>
          <w:numId w:val="31"/>
        </w:numPr>
        <w:tabs>
          <w:tab w:val="left" w:pos="426"/>
        </w:tabs>
        <w:spacing w:after="0" w:line="240" w:lineRule="auto"/>
        <w:ind w:left="924" w:hanging="357"/>
        <w:jc w:val="both"/>
        <w:rPr>
          <w:rFonts w:ascii="Times New Roman" w:eastAsia="Times New Roman" w:hAnsi="Times New Roman" w:cs="Times New Roman"/>
          <w:kern w:val="2"/>
          <w:sz w:val="24"/>
          <w:szCs w:val="24"/>
          <w:lang w:eastAsia="zh-CN" w:bidi="hi-IN"/>
        </w:rPr>
      </w:pPr>
      <w:proofErr w:type="spellStart"/>
      <w:r w:rsidRPr="0014151A">
        <w:rPr>
          <w:rFonts w:ascii="Times New Roman" w:eastAsia="Times New Roman" w:hAnsi="Times New Roman" w:cs="Times New Roman"/>
          <w:kern w:val="2"/>
          <w:sz w:val="24"/>
          <w:szCs w:val="24"/>
          <w:lang w:eastAsia="zh-CN" w:bidi="hi-IN"/>
        </w:rPr>
        <w:t>Motiejūnaitė</w:t>
      </w:r>
      <w:proofErr w:type="spellEnd"/>
      <w:r w:rsidRPr="0014151A">
        <w:rPr>
          <w:rFonts w:ascii="Times New Roman" w:eastAsia="Times New Roman" w:hAnsi="Times New Roman" w:cs="Times New Roman"/>
          <w:kern w:val="2"/>
          <w:sz w:val="24"/>
          <w:szCs w:val="24"/>
          <w:lang w:eastAsia="zh-CN" w:bidi="hi-IN"/>
        </w:rPr>
        <w:t xml:space="preserve"> J., </w:t>
      </w:r>
      <w:proofErr w:type="spellStart"/>
      <w:r w:rsidRPr="0014151A">
        <w:rPr>
          <w:rFonts w:ascii="Times New Roman" w:eastAsia="Times New Roman" w:hAnsi="Times New Roman" w:cs="Times New Roman"/>
          <w:kern w:val="2"/>
          <w:sz w:val="24"/>
          <w:szCs w:val="24"/>
          <w:lang w:eastAsia="zh-CN" w:bidi="hi-IN"/>
        </w:rPr>
        <w:t>Chesnokov</w:t>
      </w:r>
      <w:proofErr w:type="spellEnd"/>
      <w:r w:rsidRPr="0014151A">
        <w:rPr>
          <w:rFonts w:ascii="Times New Roman" w:eastAsia="Times New Roman" w:hAnsi="Times New Roman" w:cs="Times New Roman"/>
          <w:kern w:val="2"/>
          <w:sz w:val="24"/>
          <w:szCs w:val="24"/>
          <w:lang w:eastAsia="zh-CN" w:bidi="hi-IN"/>
        </w:rPr>
        <w:t xml:space="preserve"> S. V., </w:t>
      </w:r>
      <w:proofErr w:type="spellStart"/>
      <w:r w:rsidRPr="0014151A">
        <w:rPr>
          <w:rFonts w:ascii="Times New Roman" w:eastAsia="Times New Roman" w:hAnsi="Times New Roman" w:cs="Times New Roman"/>
          <w:kern w:val="2"/>
          <w:sz w:val="24"/>
          <w:szCs w:val="24"/>
          <w:lang w:eastAsia="zh-CN" w:bidi="hi-IN"/>
        </w:rPr>
        <w:t>Czarnota</w:t>
      </w:r>
      <w:proofErr w:type="spellEnd"/>
      <w:r w:rsidRPr="0014151A">
        <w:rPr>
          <w:rFonts w:ascii="Times New Roman" w:eastAsia="Times New Roman" w:hAnsi="Times New Roman" w:cs="Times New Roman"/>
          <w:kern w:val="2"/>
          <w:sz w:val="24"/>
          <w:szCs w:val="24"/>
          <w:lang w:eastAsia="zh-CN" w:bidi="hi-IN"/>
        </w:rPr>
        <w:t xml:space="preserve"> P., </w:t>
      </w:r>
      <w:proofErr w:type="spellStart"/>
      <w:r w:rsidRPr="0014151A">
        <w:rPr>
          <w:rFonts w:ascii="Times New Roman" w:eastAsia="Times New Roman" w:hAnsi="Times New Roman" w:cs="Times New Roman"/>
          <w:kern w:val="2"/>
          <w:sz w:val="24"/>
          <w:szCs w:val="24"/>
          <w:lang w:eastAsia="zh-CN" w:bidi="hi-IN"/>
        </w:rPr>
        <w:t>Gagarina</w:t>
      </w:r>
      <w:proofErr w:type="spellEnd"/>
      <w:r w:rsidRPr="0014151A">
        <w:rPr>
          <w:rFonts w:ascii="Times New Roman" w:eastAsia="Times New Roman" w:hAnsi="Times New Roman" w:cs="Times New Roman"/>
          <w:kern w:val="2"/>
          <w:sz w:val="24"/>
          <w:szCs w:val="24"/>
          <w:lang w:eastAsia="zh-CN" w:bidi="hi-IN"/>
        </w:rPr>
        <w:t xml:space="preserve"> L. V., Frolov I., </w:t>
      </w:r>
      <w:proofErr w:type="spellStart"/>
      <w:r w:rsidRPr="0014151A">
        <w:rPr>
          <w:rFonts w:ascii="Times New Roman" w:eastAsia="Times New Roman" w:hAnsi="Times New Roman" w:cs="Times New Roman"/>
          <w:kern w:val="2"/>
          <w:sz w:val="24"/>
          <w:szCs w:val="24"/>
          <w:lang w:eastAsia="zh-CN" w:bidi="hi-IN"/>
        </w:rPr>
        <w:t>Himelbrant</w:t>
      </w:r>
      <w:proofErr w:type="spellEnd"/>
      <w:r w:rsidRPr="0014151A">
        <w:rPr>
          <w:rFonts w:ascii="Times New Roman" w:eastAsia="Times New Roman" w:hAnsi="Times New Roman" w:cs="Times New Roman"/>
          <w:kern w:val="2"/>
          <w:sz w:val="24"/>
          <w:szCs w:val="24"/>
          <w:lang w:eastAsia="zh-CN" w:bidi="hi-IN"/>
        </w:rPr>
        <w:t xml:space="preserve"> D.,</w:t>
      </w:r>
      <w:r w:rsidRPr="0014151A">
        <w:rPr>
          <w:rFonts w:ascii="TimesNewRoman" w:hAnsi="TimesNewRoman" w:cs="TimesNewRoman"/>
          <w:sz w:val="24"/>
          <w:szCs w:val="24"/>
        </w:rPr>
        <w:t xml:space="preserve"> </w:t>
      </w:r>
      <w:proofErr w:type="spellStart"/>
      <w:r w:rsidRPr="0014151A">
        <w:rPr>
          <w:rFonts w:ascii="Times New Roman" w:eastAsia="Times New Roman" w:hAnsi="Times New Roman" w:cs="Times New Roman"/>
          <w:kern w:val="2"/>
          <w:sz w:val="24"/>
          <w:szCs w:val="24"/>
          <w:lang w:eastAsia="zh-CN" w:bidi="hi-IN"/>
        </w:rPr>
        <w:t>Konoreva</w:t>
      </w:r>
      <w:proofErr w:type="spellEnd"/>
      <w:r w:rsidRPr="0014151A">
        <w:rPr>
          <w:rFonts w:ascii="Times New Roman" w:eastAsia="Times New Roman" w:hAnsi="Times New Roman" w:cs="Times New Roman"/>
          <w:kern w:val="2"/>
          <w:sz w:val="24"/>
          <w:szCs w:val="24"/>
          <w:lang w:eastAsia="zh-CN" w:bidi="hi-IN"/>
        </w:rPr>
        <w:t xml:space="preserve"> L. A., </w:t>
      </w:r>
      <w:proofErr w:type="spellStart"/>
      <w:r w:rsidRPr="0014151A">
        <w:rPr>
          <w:rFonts w:ascii="Times New Roman" w:eastAsia="Times New Roman" w:hAnsi="Times New Roman" w:cs="Times New Roman"/>
          <w:kern w:val="2"/>
          <w:sz w:val="24"/>
          <w:szCs w:val="24"/>
          <w:lang w:eastAsia="zh-CN" w:bidi="hi-IN"/>
        </w:rPr>
        <w:t>Kubiak</w:t>
      </w:r>
      <w:proofErr w:type="spellEnd"/>
      <w:r w:rsidRPr="0014151A">
        <w:rPr>
          <w:rFonts w:ascii="Times New Roman" w:eastAsia="Times New Roman" w:hAnsi="Times New Roman" w:cs="Times New Roman"/>
          <w:kern w:val="2"/>
          <w:sz w:val="24"/>
          <w:szCs w:val="24"/>
          <w:lang w:eastAsia="zh-CN" w:bidi="hi-IN"/>
        </w:rPr>
        <w:t xml:space="preserve"> D., </w:t>
      </w:r>
      <w:proofErr w:type="spellStart"/>
      <w:r w:rsidRPr="0014151A">
        <w:rPr>
          <w:rFonts w:ascii="Times New Roman" w:eastAsia="Times New Roman" w:hAnsi="Times New Roman" w:cs="Times New Roman"/>
          <w:kern w:val="2"/>
          <w:sz w:val="24"/>
          <w:szCs w:val="24"/>
          <w:lang w:eastAsia="zh-CN" w:bidi="hi-IN"/>
        </w:rPr>
        <w:t>Kukwa</w:t>
      </w:r>
      <w:proofErr w:type="spellEnd"/>
      <w:r w:rsidRPr="0014151A">
        <w:rPr>
          <w:rFonts w:ascii="Times New Roman" w:eastAsia="Times New Roman" w:hAnsi="Times New Roman" w:cs="Times New Roman"/>
          <w:kern w:val="2"/>
          <w:sz w:val="24"/>
          <w:szCs w:val="24"/>
          <w:lang w:eastAsia="zh-CN" w:bidi="hi-IN"/>
        </w:rPr>
        <w:t xml:space="preserve"> M., </w:t>
      </w:r>
      <w:proofErr w:type="spellStart"/>
      <w:r w:rsidRPr="0014151A">
        <w:rPr>
          <w:rFonts w:ascii="Times New Roman" w:eastAsia="Times New Roman" w:hAnsi="Times New Roman" w:cs="Times New Roman"/>
          <w:kern w:val="2"/>
          <w:sz w:val="24"/>
          <w:szCs w:val="24"/>
          <w:lang w:eastAsia="zh-CN" w:bidi="hi-IN"/>
        </w:rPr>
        <w:t>Moisejevs</w:t>
      </w:r>
      <w:proofErr w:type="spellEnd"/>
      <w:r w:rsidRPr="0014151A">
        <w:rPr>
          <w:rFonts w:ascii="Times New Roman" w:eastAsia="Times New Roman" w:hAnsi="Times New Roman" w:cs="Times New Roman"/>
          <w:kern w:val="2"/>
          <w:sz w:val="24"/>
          <w:szCs w:val="24"/>
          <w:lang w:eastAsia="zh-CN" w:bidi="hi-IN"/>
        </w:rPr>
        <w:t xml:space="preserve"> R., </w:t>
      </w:r>
      <w:proofErr w:type="spellStart"/>
      <w:r w:rsidRPr="0014151A">
        <w:rPr>
          <w:rFonts w:ascii="Times New Roman" w:eastAsia="Times New Roman" w:hAnsi="Times New Roman" w:cs="Times New Roman"/>
          <w:kern w:val="2"/>
          <w:sz w:val="24"/>
          <w:szCs w:val="24"/>
          <w:lang w:eastAsia="zh-CN" w:bidi="hi-IN"/>
        </w:rPr>
        <w:t>Stepanchikov</w:t>
      </w:r>
      <w:proofErr w:type="spellEnd"/>
      <w:r w:rsidRPr="0014151A">
        <w:rPr>
          <w:rFonts w:ascii="Times New Roman" w:eastAsia="Times New Roman" w:hAnsi="Times New Roman" w:cs="Times New Roman"/>
          <w:kern w:val="2"/>
          <w:sz w:val="24"/>
          <w:szCs w:val="24"/>
          <w:lang w:eastAsia="zh-CN" w:bidi="hi-IN"/>
        </w:rPr>
        <w:t xml:space="preserve">, I., </w:t>
      </w:r>
      <w:proofErr w:type="spellStart"/>
      <w:r w:rsidRPr="0014151A">
        <w:rPr>
          <w:rFonts w:ascii="Times New Roman" w:eastAsia="Times New Roman" w:hAnsi="Times New Roman" w:cs="Times New Roman"/>
          <w:kern w:val="2"/>
          <w:sz w:val="24"/>
          <w:szCs w:val="24"/>
          <w:lang w:eastAsia="zh-CN" w:bidi="hi-IN"/>
        </w:rPr>
        <w:t>Suija</w:t>
      </w:r>
      <w:proofErr w:type="spellEnd"/>
      <w:r w:rsidRPr="0014151A">
        <w:rPr>
          <w:rFonts w:ascii="Times New Roman" w:eastAsia="Times New Roman" w:hAnsi="Times New Roman" w:cs="Times New Roman"/>
          <w:kern w:val="2"/>
          <w:sz w:val="24"/>
          <w:szCs w:val="24"/>
          <w:lang w:eastAsia="zh-CN" w:bidi="hi-IN"/>
        </w:rPr>
        <w:t xml:space="preserve"> A.,</w:t>
      </w:r>
      <w:r w:rsidRPr="0014151A">
        <w:rPr>
          <w:rFonts w:ascii="TimesNewRoman" w:hAnsi="TimesNewRoman" w:cs="TimesNewRoman"/>
          <w:sz w:val="24"/>
          <w:szCs w:val="24"/>
        </w:rPr>
        <w:t xml:space="preserve"> </w:t>
      </w:r>
      <w:proofErr w:type="spellStart"/>
      <w:r w:rsidRPr="0014151A">
        <w:rPr>
          <w:rFonts w:ascii="Times New Roman" w:eastAsia="Times New Roman" w:hAnsi="Times New Roman" w:cs="Times New Roman"/>
          <w:kern w:val="2"/>
          <w:sz w:val="24"/>
          <w:szCs w:val="24"/>
          <w:lang w:eastAsia="zh-CN" w:bidi="hi-IN"/>
        </w:rPr>
        <w:t>Tagirdzhanova</w:t>
      </w:r>
      <w:proofErr w:type="spellEnd"/>
      <w:r w:rsidRPr="0014151A">
        <w:rPr>
          <w:rFonts w:ascii="Times New Roman" w:eastAsia="Times New Roman" w:hAnsi="Times New Roman" w:cs="Times New Roman"/>
          <w:kern w:val="2"/>
          <w:sz w:val="24"/>
          <w:szCs w:val="24"/>
          <w:lang w:eastAsia="zh-CN" w:bidi="hi-IN"/>
        </w:rPr>
        <w:t xml:space="preserve"> G., </w:t>
      </w:r>
      <w:proofErr w:type="spellStart"/>
      <w:r w:rsidRPr="0014151A">
        <w:rPr>
          <w:rFonts w:ascii="Times New Roman" w:eastAsia="Times New Roman" w:hAnsi="Times New Roman" w:cs="Times New Roman"/>
          <w:kern w:val="2"/>
          <w:sz w:val="24"/>
          <w:szCs w:val="24"/>
          <w:lang w:eastAsia="zh-CN" w:bidi="hi-IN"/>
        </w:rPr>
        <w:t>Thell</w:t>
      </w:r>
      <w:proofErr w:type="spellEnd"/>
      <w:r w:rsidRPr="0014151A">
        <w:rPr>
          <w:rFonts w:ascii="Times New Roman" w:eastAsia="Times New Roman" w:hAnsi="Times New Roman" w:cs="Times New Roman"/>
          <w:kern w:val="2"/>
          <w:sz w:val="24"/>
          <w:szCs w:val="24"/>
          <w:lang w:eastAsia="zh-CN" w:bidi="hi-IN"/>
        </w:rPr>
        <w:t xml:space="preserve"> A. </w:t>
      </w:r>
      <w:proofErr w:type="spellStart"/>
      <w:r w:rsidRPr="0014151A">
        <w:rPr>
          <w:rFonts w:ascii="Times New Roman" w:eastAsia="Times New Roman" w:hAnsi="Times New Roman" w:cs="Times New Roman"/>
          <w:kern w:val="2"/>
          <w:sz w:val="24"/>
          <w:szCs w:val="24"/>
          <w:lang w:eastAsia="zh-CN" w:bidi="hi-IN"/>
        </w:rPr>
        <w:t>and</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Tsurykau</w:t>
      </w:r>
      <w:proofErr w:type="spellEnd"/>
      <w:r w:rsidRPr="0014151A">
        <w:rPr>
          <w:rFonts w:ascii="Times New Roman" w:eastAsia="Times New Roman" w:hAnsi="Times New Roman" w:cs="Times New Roman"/>
          <w:kern w:val="2"/>
          <w:sz w:val="24"/>
          <w:szCs w:val="24"/>
          <w:lang w:eastAsia="zh-CN" w:bidi="hi-IN"/>
        </w:rPr>
        <w:t xml:space="preserve"> A. 2016. </w:t>
      </w:r>
      <w:proofErr w:type="spellStart"/>
      <w:r w:rsidRPr="0014151A">
        <w:rPr>
          <w:rFonts w:ascii="Times New Roman" w:eastAsia="Times New Roman" w:hAnsi="Times New Roman" w:cs="Times New Roman"/>
          <w:kern w:val="2"/>
          <w:sz w:val="24"/>
          <w:szCs w:val="24"/>
          <w:lang w:eastAsia="zh-CN" w:bidi="hi-IN"/>
        </w:rPr>
        <w:t>Ninety-one</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species</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of</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lichens</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and</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allied</w:t>
      </w:r>
      <w:proofErr w:type="spellEnd"/>
      <w:r w:rsidRPr="0014151A">
        <w:rPr>
          <w:rFonts w:ascii="TimesNewRoman" w:hAnsi="TimesNewRoman" w:cs="TimesNewRoman"/>
          <w:sz w:val="24"/>
          <w:szCs w:val="24"/>
        </w:rPr>
        <w:t xml:space="preserve"> </w:t>
      </w:r>
      <w:proofErr w:type="spellStart"/>
      <w:r w:rsidRPr="0014151A">
        <w:rPr>
          <w:rFonts w:ascii="Times New Roman" w:eastAsia="Times New Roman" w:hAnsi="Times New Roman" w:cs="Times New Roman"/>
          <w:kern w:val="2"/>
          <w:sz w:val="24"/>
          <w:szCs w:val="24"/>
          <w:lang w:eastAsia="zh-CN" w:bidi="hi-IN"/>
        </w:rPr>
        <w:t>fungi</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new</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for</w:t>
      </w:r>
      <w:proofErr w:type="spellEnd"/>
      <w:r w:rsidRPr="0014151A">
        <w:rPr>
          <w:rFonts w:ascii="Times New Roman" w:eastAsia="Times New Roman" w:hAnsi="Times New Roman" w:cs="Times New Roman"/>
          <w:kern w:val="2"/>
          <w:sz w:val="24"/>
          <w:szCs w:val="24"/>
          <w:lang w:eastAsia="zh-CN" w:bidi="hi-IN"/>
        </w:rPr>
        <w:t xml:space="preserve"> Latvia </w:t>
      </w:r>
      <w:proofErr w:type="spellStart"/>
      <w:r w:rsidRPr="0014151A">
        <w:rPr>
          <w:rFonts w:ascii="Times New Roman" w:eastAsia="Times New Roman" w:hAnsi="Times New Roman" w:cs="Times New Roman"/>
          <w:kern w:val="2"/>
          <w:sz w:val="24"/>
          <w:szCs w:val="24"/>
          <w:lang w:eastAsia="zh-CN" w:bidi="hi-IN"/>
        </w:rPr>
        <w:t>with</w:t>
      </w:r>
      <w:proofErr w:type="spellEnd"/>
      <w:r w:rsidRPr="0014151A">
        <w:rPr>
          <w:rFonts w:ascii="Times New Roman" w:eastAsia="Times New Roman" w:hAnsi="Times New Roman" w:cs="Times New Roman"/>
          <w:kern w:val="2"/>
          <w:sz w:val="24"/>
          <w:szCs w:val="24"/>
          <w:lang w:eastAsia="zh-CN" w:bidi="hi-IN"/>
        </w:rPr>
        <w:t xml:space="preserve"> a </w:t>
      </w:r>
      <w:proofErr w:type="spellStart"/>
      <w:r w:rsidRPr="0014151A">
        <w:rPr>
          <w:rFonts w:ascii="Times New Roman" w:eastAsia="Times New Roman" w:hAnsi="Times New Roman" w:cs="Times New Roman"/>
          <w:kern w:val="2"/>
          <w:sz w:val="24"/>
          <w:szCs w:val="24"/>
          <w:lang w:eastAsia="zh-CN" w:bidi="hi-IN"/>
        </w:rPr>
        <w:t>list</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of</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additional</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records</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from</w:t>
      </w:r>
      <w:proofErr w:type="spellEnd"/>
      <w:r w:rsidRPr="0014151A">
        <w:rPr>
          <w:rFonts w:ascii="Times New Roman" w:eastAsia="Times New Roman" w:hAnsi="Times New Roman" w:cs="Times New Roman"/>
          <w:kern w:val="2"/>
          <w:sz w:val="24"/>
          <w:szCs w:val="24"/>
          <w:lang w:eastAsia="zh-CN" w:bidi="hi-IN"/>
        </w:rPr>
        <w:t xml:space="preserve"> Kurzeme. </w:t>
      </w:r>
      <w:proofErr w:type="spellStart"/>
      <w:r w:rsidRPr="0014151A">
        <w:rPr>
          <w:rFonts w:ascii="Times New Roman" w:eastAsia="Times New Roman" w:hAnsi="Times New Roman" w:cs="Times New Roman"/>
          <w:i/>
          <w:iCs/>
          <w:kern w:val="2"/>
          <w:sz w:val="24"/>
          <w:szCs w:val="24"/>
          <w:lang w:eastAsia="zh-CN" w:bidi="hi-IN"/>
        </w:rPr>
        <w:t>Herzogia</w:t>
      </w:r>
      <w:proofErr w:type="spellEnd"/>
      <w:r w:rsidRPr="0014151A">
        <w:rPr>
          <w:rFonts w:ascii="Times New Roman" w:eastAsia="Times New Roman" w:hAnsi="Times New Roman" w:cs="Times New Roman"/>
          <w:i/>
          <w:iCs/>
          <w:kern w:val="2"/>
          <w:sz w:val="24"/>
          <w:szCs w:val="24"/>
          <w:lang w:eastAsia="zh-CN" w:bidi="hi-IN"/>
        </w:rPr>
        <w:t xml:space="preserve"> </w:t>
      </w:r>
      <w:r w:rsidRPr="0014151A">
        <w:rPr>
          <w:rFonts w:ascii="Times New Roman" w:eastAsia="Times New Roman" w:hAnsi="Times New Roman" w:cs="Times New Roman"/>
          <w:kern w:val="2"/>
          <w:sz w:val="24"/>
          <w:szCs w:val="24"/>
          <w:lang w:eastAsia="zh-CN" w:bidi="hi-IN"/>
        </w:rPr>
        <w:t>29: 143–163.</w:t>
      </w:r>
    </w:p>
    <w:p w14:paraId="3994436A" w14:textId="76DA03BB" w:rsidR="00260499" w:rsidRPr="0014151A" w:rsidRDefault="00260499" w:rsidP="0014151A">
      <w:pPr>
        <w:numPr>
          <w:ilvl w:val="0"/>
          <w:numId w:val="31"/>
        </w:numPr>
        <w:tabs>
          <w:tab w:val="left" w:pos="426"/>
        </w:tabs>
        <w:spacing w:after="0" w:line="240" w:lineRule="auto"/>
        <w:jc w:val="both"/>
        <w:rPr>
          <w:rFonts w:ascii="Times New Roman" w:eastAsia="Times New Roman" w:hAnsi="Times New Roman" w:cs="Times New Roman"/>
          <w:kern w:val="2"/>
          <w:sz w:val="24"/>
          <w:szCs w:val="24"/>
          <w:lang w:eastAsia="zh-CN" w:bidi="hi-IN"/>
        </w:rPr>
      </w:pPr>
      <w:r w:rsidRPr="0014151A">
        <w:rPr>
          <w:rFonts w:ascii="Times New Roman" w:eastAsia="Times New Roman" w:hAnsi="Times New Roman" w:cs="Times New Roman"/>
          <w:kern w:val="2"/>
          <w:sz w:val="24"/>
          <w:szCs w:val="24"/>
          <w:lang w:eastAsia="zh-CN" w:bidi="hi-IN"/>
        </w:rPr>
        <w:t xml:space="preserve">Mūrnieks A., </w:t>
      </w:r>
      <w:proofErr w:type="spellStart"/>
      <w:r w:rsidRPr="0014151A">
        <w:rPr>
          <w:rFonts w:ascii="Times New Roman" w:eastAsia="Times New Roman" w:hAnsi="Times New Roman" w:cs="Times New Roman"/>
          <w:kern w:val="2"/>
          <w:sz w:val="24"/>
          <w:szCs w:val="24"/>
          <w:lang w:eastAsia="zh-CN" w:bidi="hi-IN"/>
        </w:rPr>
        <w:t>Guseva</w:t>
      </w:r>
      <w:proofErr w:type="spellEnd"/>
      <w:r w:rsidRPr="0014151A">
        <w:rPr>
          <w:rFonts w:ascii="Times New Roman" w:eastAsia="Times New Roman" w:hAnsi="Times New Roman" w:cs="Times New Roman"/>
          <w:kern w:val="2"/>
          <w:sz w:val="24"/>
          <w:szCs w:val="24"/>
          <w:lang w:eastAsia="zh-CN" w:bidi="hi-IN"/>
        </w:rPr>
        <w:t xml:space="preserve"> L. 2003a. </w:t>
      </w:r>
      <w:proofErr w:type="spellStart"/>
      <w:r w:rsidRPr="0014151A">
        <w:rPr>
          <w:rFonts w:ascii="Times New Roman" w:eastAsia="Times New Roman" w:hAnsi="Times New Roman" w:cs="Times New Roman"/>
          <w:kern w:val="2"/>
          <w:sz w:val="24"/>
          <w:szCs w:val="24"/>
          <w:lang w:eastAsia="zh-CN" w:bidi="hi-IN"/>
        </w:rPr>
        <w:t>Pirmskvartāra</w:t>
      </w:r>
      <w:proofErr w:type="spellEnd"/>
      <w:r w:rsidRPr="0014151A">
        <w:rPr>
          <w:rFonts w:ascii="Times New Roman" w:eastAsia="Times New Roman" w:hAnsi="Times New Roman" w:cs="Times New Roman"/>
          <w:kern w:val="2"/>
          <w:sz w:val="24"/>
          <w:szCs w:val="24"/>
          <w:lang w:eastAsia="zh-CN" w:bidi="hi-IN"/>
        </w:rPr>
        <w:t xml:space="preserve"> nogulumu </w:t>
      </w:r>
      <w:proofErr w:type="spellStart"/>
      <w:r w:rsidRPr="0014151A">
        <w:rPr>
          <w:rFonts w:ascii="Times New Roman" w:eastAsia="Times New Roman" w:hAnsi="Times New Roman" w:cs="Times New Roman"/>
          <w:kern w:val="2"/>
          <w:sz w:val="24"/>
          <w:szCs w:val="24"/>
          <w:lang w:eastAsia="zh-CN" w:bidi="hi-IN"/>
        </w:rPr>
        <w:t>stratigrāfiskais</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kopprofils</w:t>
      </w:r>
      <w:proofErr w:type="spellEnd"/>
      <w:r w:rsidRPr="0014151A">
        <w:rPr>
          <w:rFonts w:ascii="Times New Roman" w:eastAsia="Times New Roman" w:hAnsi="Times New Roman" w:cs="Times New Roman"/>
          <w:kern w:val="2"/>
          <w:sz w:val="24"/>
          <w:szCs w:val="24"/>
          <w:lang w:eastAsia="zh-CN" w:bidi="hi-IN"/>
        </w:rPr>
        <w:t xml:space="preserve"> (1. lapa). Krāj.: Āboltiņš O., </w:t>
      </w:r>
      <w:proofErr w:type="spellStart"/>
      <w:r w:rsidRPr="0014151A">
        <w:rPr>
          <w:rFonts w:ascii="Times New Roman" w:eastAsia="Times New Roman" w:hAnsi="Times New Roman" w:cs="Times New Roman"/>
          <w:kern w:val="2"/>
          <w:sz w:val="24"/>
          <w:szCs w:val="24"/>
          <w:lang w:eastAsia="zh-CN" w:bidi="hi-IN"/>
        </w:rPr>
        <w:t>Brangulis</w:t>
      </w:r>
      <w:proofErr w:type="spellEnd"/>
      <w:r w:rsidRPr="0014151A">
        <w:rPr>
          <w:rFonts w:ascii="Times New Roman" w:eastAsia="Times New Roman" w:hAnsi="Times New Roman" w:cs="Times New Roman"/>
          <w:kern w:val="2"/>
          <w:sz w:val="24"/>
          <w:szCs w:val="24"/>
          <w:lang w:eastAsia="zh-CN" w:bidi="hi-IN"/>
        </w:rPr>
        <w:t xml:space="preserve"> A.J. (</w:t>
      </w:r>
      <w:proofErr w:type="spellStart"/>
      <w:r w:rsidRPr="0014151A">
        <w:rPr>
          <w:rFonts w:ascii="Times New Roman" w:eastAsia="Times New Roman" w:hAnsi="Times New Roman" w:cs="Times New Roman"/>
          <w:kern w:val="2"/>
          <w:sz w:val="24"/>
          <w:szCs w:val="24"/>
          <w:lang w:eastAsia="zh-CN" w:bidi="hi-IN"/>
        </w:rPr>
        <w:t>red</w:t>
      </w:r>
      <w:proofErr w:type="spellEnd"/>
      <w:r w:rsidRPr="0014151A">
        <w:rPr>
          <w:rFonts w:ascii="Times New Roman" w:eastAsia="Times New Roman" w:hAnsi="Times New Roman" w:cs="Times New Roman"/>
          <w:kern w:val="2"/>
          <w:sz w:val="24"/>
          <w:szCs w:val="24"/>
          <w:lang w:eastAsia="zh-CN" w:bidi="hi-IN"/>
        </w:rPr>
        <w:t xml:space="preserve">.), </w:t>
      </w:r>
      <w:r w:rsidRPr="0014151A">
        <w:rPr>
          <w:rFonts w:ascii="Times New Roman" w:eastAsia="Times New Roman" w:hAnsi="Times New Roman" w:cs="Times New Roman"/>
          <w:i/>
          <w:iCs/>
          <w:kern w:val="2"/>
          <w:sz w:val="24"/>
          <w:szCs w:val="24"/>
          <w:lang w:eastAsia="zh-CN" w:bidi="hi-IN"/>
        </w:rPr>
        <w:t>Latvijas ģeoloģiskā karte, mērogs 1:200 000, 34. lapa – Jēkabpils un 24. lapa – Daugavpils; paskaidrojuma teksts un kartes</w:t>
      </w:r>
      <w:r w:rsidRPr="0014151A">
        <w:rPr>
          <w:rFonts w:ascii="Times New Roman" w:eastAsia="Times New Roman" w:hAnsi="Times New Roman" w:cs="Times New Roman"/>
          <w:kern w:val="2"/>
          <w:sz w:val="24"/>
          <w:szCs w:val="24"/>
          <w:lang w:eastAsia="zh-CN" w:bidi="hi-IN"/>
        </w:rPr>
        <w:t>. Valsts ģeoloģijas dienests, Rīga.</w:t>
      </w:r>
    </w:p>
    <w:p w14:paraId="07EB1A2B" w14:textId="24CE1DD0" w:rsidR="00260499" w:rsidRDefault="00260499" w:rsidP="0014151A">
      <w:pPr>
        <w:numPr>
          <w:ilvl w:val="0"/>
          <w:numId w:val="31"/>
        </w:numPr>
        <w:tabs>
          <w:tab w:val="left" w:pos="426"/>
        </w:tabs>
        <w:spacing w:after="0" w:line="240" w:lineRule="auto"/>
        <w:ind w:left="924" w:hanging="357"/>
        <w:jc w:val="both"/>
        <w:rPr>
          <w:rFonts w:ascii="Times New Roman" w:eastAsia="Times New Roman" w:hAnsi="Times New Roman" w:cs="Times New Roman"/>
          <w:kern w:val="2"/>
          <w:sz w:val="24"/>
          <w:szCs w:val="24"/>
          <w:lang w:eastAsia="zh-CN" w:bidi="hi-IN"/>
        </w:rPr>
      </w:pPr>
      <w:r w:rsidRPr="0014151A">
        <w:rPr>
          <w:rFonts w:ascii="Times New Roman" w:eastAsia="Times New Roman" w:hAnsi="Times New Roman" w:cs="Times New Roman"/>
          <w:kern w:val="2"/>
          <w:sz w:val="24"/>
          <w:szCs w:val="24"/>
          <w:lang w:eastAsia="zh-CN" w:bidi="hi-IN"/>
        </w:rPr>
        <w:t xml:space="preserve">Mūrnieks A., </w:t>
      </w:r>
      <w:proofErr w:type="spellStart"/>
      <w:r w:rsidRPr="0014151A">
        <w:rPr>
          <w:rFonts w:ascii="Times New Roman" w:eastAsia="Times New Roman" w:hAnsi="Times New Roman" w:cs="Times New Roman"/>
          <w:kern w:val="2"/>
          <w:sz w:val="24"/>
          <w:szCs w:val="24"/>
          <w:lang w:eastAsia="zh-CN" w:bidi="hi-IN"/>
        </w:rPr>
        <w:t>Guseva</w:t>
      </w:r>
      <w:proofErr w:type="spellEnd"/>
      <w:r w:rsidRPr="0014151A">
        <w:rPr>
          <w:rFonts w:ascii="Times New Roman" w:eastAsia="Times New Roman" w:hAnsi="Times New Roman" w:cs="Times New Roman"/>
          <w:kern w:val="2"/>
          <w:sz w:val="24"/>
          <w:szCs w:val="24"/>
          <w:lang w:eastAsia="zh-CN" w:bidi="hi-IN"/>
        </w:rPr>
        <w:t xml:space="preserve"> L. 2003b. </w:t>
      </w:r>
      <w:proofErr w:type="spellStart"/>
      <w:r w:rsidRPr="0014151A">
        <w:rPr>
          <w:rFonts w:ascii="Times New Roman" w:eastAsia="Times New Roman" w:hAnsi="Times New Roman" w:cs="Times New Roman"/>
          <w:kern w:val="2"/>
          <w:sz w:val="24"/>
          <w:szCs w:val="24"/>
          <w:lang w:eastAsia="zh-CN" w:bidi="hi-IN"/>
        </w:rPr>
        <w:t>Pirmskvartāra</w:t>
      </w:r>
      <w:proofErr w:type="spellEnd"/>
      <w:r w:rsidRPr="0014151A">
        <w:rPr>
          <w:rFonts w:ascii="Times New Roman" w:eastAsia="Times New Roman" w:hAnsi="Times New Roman" w:cs="Times New Roman"/>
          <w:kern w:val="2"/>
          <w:sz w:val="24"/>
          <w:szCs w:val="24"/>
          <w:lang w:eastAsia="zh-CN" w:bidi="hi-IN"/>
        </w:rPr>
        <w:t xml:space="preserve"> nogulumi, karte mērogā 1 : 200 000 (1. lapa). Krāj.: Āboltiņš O., </w:t>
      </w:r>
      <w:proofErr w:type="spellStart"/>
      <w:r w:rsidRPr="0014151A">
        <w:rPr>
          <w:rFonts w:ascii="Times New Roman" w:eastAsia="Times New Roman" w:hAnsi="Times New Roman" w:cs="Times New Roman"/>
          <w:kern w:val="2"/>
          <w:sz w:val="24"/>
          <w:szCs w:val="24"/>
          <w:lang w:eastAsia="zh-CN" w:bidi="hi-IN"/>
        </w:rPr>
        <w:t>Brangulis</w:t>
      </w:r>
      <w:proofErr w:type="spellEnd"/>
      <w:r w:rsidRPr="0014151A">
        <w:rPr>
          <w:rFonts w:ascii="Times New Roman" w:eastAsia="Times New Roman" w:hAnsi="Times New Roman" w:cs="Times New Roman"/>
          <w:kern w:val="2"/>
          <w:sz w:val="24"/>
          <w:szCs w:val="24"/>
          <w:lang w:eastAsia="zh-CN" w:bidi="hi-IN"/>
        </w:rPr>
        <w:t xml:space="preserve"> A.J. (</w:t>
      </w:r>
      <w:proofErr w:type="spellStart"/>
      <w:r w:rsidRPr="0014151A">
        <w:rPr>
          <w:rFonts w:ascii="Times New Roman" w:eastAsia="Times New Roman" w:hAnsi="Times New Roman" w:cs="Times New Roman"/>
          <w:kern w:val="2"/>
          <w:sz w:val="24"/>
          <w:szCs w:val="24"/>
          <w:lang w:eastAsia="zh-CN" w:bidi="hi-IN"/>
        </w:rPr>
        <w:t>red</w:t>
      </w:r>
      <w:proofErr w:type="spellEnd"/>
      <w:r w:rsidRPr="0014151A">
        <w:rPr>
          <w:rFonts w:ascii="Times New Roman" w:eastAsia="Times New Roman" w:hAnsi="Times New Roman" w:cs="Times New Roman"/>
          <w:kern w:val="2"/>
          <w:sz w:val="24"/>
          <w:szCs w:val="24"/>
          <w:lang w:eastAsia="zh-CN" w:bidi="hi-IN"/>
        </w:rPr>
        <w:t xml:space="preserve">.), </w:t>
      </w:r>
      <w:r w:rsidRPr="0014151A">
        <w:rPr>
          <w:rFonts w:ascii="Times New Roman" w:eastAsia="Times New Roman" w:hAnsi="Times New Roman" w:cs="Times New Roman"/>
          <w:i/>
          <w:iCs/>
          <w:kern w:val="2"/>
          <w:sz w:val="24"/>
          <w:szCs w:val="24"/>
          <w:lang w:eastAsia="zh-CN" w:bidi="hi-IN"/>
        </w:rPr>
        <w:t>Latvijas ģeoloģiskā karte, mērogs 1:200 000, 34. lapa – Jēkabpils un 24. lapa – Daugavpils; paskaidrojuma teksts un kartes</w:t>
      </w:r>
      <w:r w:rsidRPr="0014151A">
        <w:rPr>
          <w:rFonts w:ascii="Times New Roman" w:eastAsia="Times New Roman" w:hAnsi="Times New Roman" w:cs="Times New Roman"/>
          <w:kern w:val="2"/>
          <w:sz w:val="24"/>
          <w:szCs w:val="24"/>
          <w:lang w:eastAsia="zh-CN" w:bidi="hi-IN"/>
        </w:rPr>
        <w:t xml:space="preserve">. Valsts ģeoloģijas dienests, Rīga. </w:t>
      </w:r>
    </w:p>
    <w:p w14:paraId="704851C4" w14:textId="1F622CA8" w:rsidR="0008428C" w:rsidRPr="00C60173" w:rsidRDefault="00C60173" w:rsidP="00C60173">
      <w:pPr>
        <w:pStyle w:val="ListParagraph"/>
        <w:numPr>
          <w:ilvl w:val="0"/>
          <w:numId w:val="31"/>
        </w:numPr>
        <w:spacing w:after="0" w:line="240" w:lineRule="auto"/>
        <w:rPr>
          <w:rFonts w:eastAsia="Times New Roman" w:cs="Times New Roman"/>
          <w:kern w:val="2"/>
          <w:szCs w:val="24"/>
          <w:lang w:eastAsia="zh-CN" w:bidi="hi-IN"/>
        </w:rPr>
      </w:pPr>
      <w:proofErr w:type="spellStart"/>
      <w:r w:rsidRPr="00C60173">
        <w:rPr>
          <w:rFonts w:eastAsia="Times New Roman" w:cs="Times New Roman"/>
          <w:kern w:val="2"/>
          <w:szCs w:val="24"/>
          <w:lang w:eastAsia="zh-CN" w:bidi="hi-IN"/>
        </w:rPr>
        <w:t>Nekrasova</w:t>
      </w:r>
      <w:proofErr w:type="spellEnd"/>
      <w:r w:rsidRPr="00C60173">
        <w:rPr>
          <w:rFonts w:eastAsia="Times New Roman" w:cs="Times New Roman"/>
          <w:kern w:val="2"/>
          <w:szCs w:val="24"/>
          <w:lang w:eastAsia="zh-CN" w:bidi="hi-IN"/>
        </w:rPr>
        <w:t xml:space="preserve"> O.,  </w:t>
      </w:r>
      <w:proofErr w:type="spellStart"/>
      <w:r w:rsidRPr="00C60173">
        <w:rPr>
          <w:rFonts w:eastAsia="Times New Roman" w:cs="Times New Roman"/>
          <w:kern w:val="2"/>
          <w:szCs w:val="24"/>
          <w:lang w:eastAsia="zh-CN" w:bidi="hi-IN"/>
        </w:rPr>
        <w:t>Pupins</w:t>
      </w:r>
      <w:proofErr w:type="spellEnd"/>
      <w:r w:rsidRPr="00C60173">
        <w:rPr>
          <w:rFonts w:eastAsia="Times New Roman" w:cs="Times New Roman"/>
          <w:kern w:val="2"/>
          <w:szCs w:val="24"/>
          <w:lang w:eastAsia="zh-CN" w:bidi="hi-IN"/>
        </w:rPr>
        <w:t xml:space="preserve"> M., </w:t>
      </w:r>
      <w:proofErr w:type="spellStart"/>
      <w:r w:rsidRPr="00C60173">
        <w:rPr>
          <w:rFonts w:eastAsia="Times New Roman" w:cs="Times New Roman"/>
          <w:kern w:val="2"/>
          <w:szCs w:val="24"/>
          <w:lang w:eastAsia="zh-CN" w:bidi="hi-IN"/>
        </w:rPr>
        <w:t>Tytar</w:t>
      </w:r>
      <w:proofErr w:type="spellEnd"/>
      <w:r w:rsidRPr="00C60173">
        <w:rPr>
          <w:rFonts w:eastAsia="Times New Roman" w:cs="Times New Roman"/>
          <w:kern w:val="2"/>
          <w:szCs w:val="24"/>
          <w:lang w:eastAsia="zh-CN" w:bidi="hi-IN"/>
        </w:rPr>
        <w:t xml:space="preserve"> V., </w:t>
      </w:r>
      <w:proofErr w:type="spellStart"/>
      <w:r w:rsidRPr="00C60173">
        <w:rPr>
          <w:rFonts w:eastAsia="Times New Roman" w:cs="Times New Roman"/>
          <w:kern w:val="2"/>
          <w:szCs w:val="24"/>
          <w:lang w:eastAsia="zh-CN" w:bidi="hi-IN"/>
        </w:rPr>
        <w:t>Čeirāns</w:t>
      </w:r>
      <w:proofErr w:type="spellEnd"/>
      <w:r w:rsidRPr="00C60173">
        <w:rPr>
          <w:rFonts w:eastAsia="Times New Roman" w:cs="Times New Roman"/>
          <w:kern w:val="2"/>
          <w:szCs w:val="24"/>
          <w:lang w:eastAsia="zh-CN" w:bidi="hi-IN"/>
        </w:rPr>
        <w:t xml:space="preserve"> A., </w:t>
      </w:r>
      <w:proofErr w:type="spellStart"/>
      <w:r w:rsidRPr="00C60173">
        <w:rPr>
          <w:rFonts w:eastAsia="Times New Roman" w:cs="Times New Roman"/>
          <w:kern w:val="2"/>
          <w:szCs w:val="24"/>
          <w:lang w:eastAsia="zh-CN" w:bidi="hi-IN"/>
        </w:rPr>
        <w:t>Marushchak</w:t>
      </w:r>
      <w:proofErr w:type="spellEnd"/>
      <w:r w:rsidRPr="00C60173">
        <w:rPr>
          <w:rFonts w:eastAsia="Times New Roman" w:cs="Times New Roman"/>
          <w:kern w:val="2"/>
          <w:szCs w:val="24"/>
          <w:lang w:eastAsia="zh-CN" w:bidi="hi-IN"/>
        </w:rPr>
        <w:t xml:space="preserve"> O.,  </w:t>
      </w:r>
      <w:proofErr w:type="spellStart"/>
      <w:r w:rsidRPr="00C60173">
        <w:rPr>
          <w:rFonts w:eastAsia="Times New Roman" w:cs="Times New Roman"/>
          <w:kern w:val="2"/>
          <w:szCs w:val="24"/>
          <w:lang w:eastAsia="zh-CN" w:bidi="hi-IN"/>
        </w:rPr>
        <w:t>Škute</w:t>
      </w:r>
      <w:proofErr w:type="spellEnd"/>
      <w:r w:rsidRPr="00C60173">
        <w:rPr>
          <w:rFonts w:eastAsia="Times New Roman" w:cs="Times New Roman"/>
          <w:kern w:val="2"/>
          <w:szCs w:val="24"/>
          <w:lang w:eastAsia="zh-CN" w:bidi="hi-IN"/>
        </w:rPr>
        <w:t xml:space="preserve"> A.,  </w:t>
      </w:r>
      <w:proofErr w:type="spellStart"/>
      <w:r w:rsidRPr="00C60173">
        <w:rPr>
          <w:rFonts w:eastAsia="Times New Roman" w:cs="Times New Roman"/>
          <w:kern w:val="2"/>
          <w:szCs w:val="24"/>
          <w:lang w:eastAsia="zh-CN" w:bidi="hi-IN"/>
        </w:rPr>
        <w:t>Theissinger</w:t>
      </w:r>
      <w:proofErr w:type="spellEnd"/>
      <w:r w:rsidRPr="00C60173">
        <w:rPr>
          <w:rFonts w:eastAsia="Times New Roman" w:cs="Times New Roman"/>
          <w:kern w:val="2"/>
          <w:szCs w:val="24"/>
          <w:lang w:eastAsia="zh-CN" w:bidi="hi-IN"/>
        </w:rPr>
        <w:t xml:space="preserve"> K., Georges J.Y. </w:t>
      </w:r>
      <w:proofErr w:type="spellStart"/>
      <w:r w:rsidRPr="00C60173">
        <w:rPr>
          <w:rFonts w:eastAsia="Times New Roman" w:cs="Times New Roman"/>
          <w:kern w:val="2"/>
          <w:szCs w:val="24"/>
          <w:lang w:eastAsia="zh-CN" w:bidi="hi-IN"/>
        </w:rPr>
        <w:t>Ensemble</w:t>
      </w:r>
      <w:proofErr w:type="spellEnd"/>
      <w:r w:rsidRPr="00C60173">
        <w:rPr>
          <w:rFonts w:eastAsia="Times New Roman" w:cs="Times New Roman"/>
          <w:kern w:val="2"/>
          <w:szCs w:val="24"/>
          <w:lang w:eastAsia="zh-CN" w:bidi="hi-IN"/>
        </w:rPr>
        <w:t xml:space="preserve"> </w:t>
      </w:r>
      <w:proofErr w:type="spellStart"/>
      <w:r w:rsidRPr="00C60173">
        <w:rPr>
          <w:rFonts w:eastAsia="Times New Roman" w:cs="Times New Roman"/>
          <w:kern w:val="2"/>
          <w:szCs w:val="24"/>
          <w:lang w:eastAsia="zh-CN" w:bidi="hi-IN"/>
        </w:rPr>
        <w:t>modelling</w:t>
      </w:r>
      <w:proofErr w:type="spellEnd"/>
      <w:r w:rsidRPr="00C60173">
        <w:rPr>
          <w:rFonts w:eastAsia="Times New Roman" w:cs="Times New Roman"/>
          <w:kern w:val="2"/>
          <w:szCs w:val="24"/>
          <w:lang w:eastAsia="zh-CN" w:bidi="hi-IN"/>
        </w:rPr>
        <w:t xml:space="preserve"> </w:t>
      </w:r>
      <w:proofErr w:type="spellStart"/>
      <w:r w:rsidRPr="00C60173">
        <w:rPr>
          <w:rFonts w:eastAsia="Times New Roman" w:cs="Times New Roman"/>
          <w:kern w:val="2"/>
          <w:szCs w:val="24"/>
          <w:lang w:eastAsia="zh-CN" w:bidi="hi-IN"/>
        </w:rPr>
        <w:t>for</w:t>
      </w:r>
      <w:proofErr w:type="spellEnd"/>
      <w:r w:rsidRPr="00C60173">
        <w:rPr>
          <w:rFonts w:eastAsia="Times New Roman" w:cs="Times New Roman"/>
          <w:kern w:val="2"/>
          <w:szCs w:val="24"/>
          <w:lang w:eastAsia="zh-CN" w:bidi="hi-IN"/>
        </w:rPr>
        <w:t xml:space="preserve"> </w:t>
      </w:r>
      <w:proofErr w:type="spellStart"/>
      <w:r w:rsidRPr="00C60173">
        <w:rPr>
          <w:rFonts w:eastAsia="Times New Roman" w:cs="Times New Roman"/>
          <w:kern w:val="2"/>
          <w:szCs w:val="24"/>
          <w:lang w:eastAsia="zh-CN" w:bidi="hi-IN"/>
        </w:rPr>
        <w:t>smart</w:t>
      </w:r>
      <w:proofErr w:type="spellEnd"/>
      <w:r w:rsidRPr="00C60173">
        <w:rPr>
          <w:rFonts w:eastAsia="Times New Roman" w:cs="Times New Roman"/>
          <w:kern w:val="2"/>
          <w:szCs w:val="24"/>
          <w:lang w:eastAsia="zh-CN" w:bidi="hi-IN"/>
        </w:rPr>
        <w:t xml:space="preserve"> </w:t>
      </w:r>
      <w:proofErr w:type="spellStart"/>
      <w:r w:rsidRPr="00C60173">
        <w:rPr>
          <w:rFonts w:eastAsia="Times New Roman" w:cs="Times New Roman"/>
          <w:kern w:val="2"/>
          <w:szCs w:val="24"/>
          <w:lang w:eastAsia="zh-CN" w:bidi="hi-IN"/>
        </w:rPr>
        <w:t>conservation</w:t>
      </w:r>
      <w:proofErr w:type="spellEnd"/>
      <w:r w:rsidRPr="00C60173">
        <w:rPr>
          <w:rFonts w:eastAsia="Times New Roman" w:cs="Times New Roman"/>
          <w:kern w:val="2"/>
          <w:szCs w:val="24"/>
          <w:lang w:eastAsia="zh-CN" w:bidi="hi-IN"/>
        </w:rPr>
        <w:t xml:space="preserve"> </w:t>
      </w:r>
      <w:proofErr w:type="spellStart"/>
      <w:r w:rsidRPr="00C60173">
        <w:rPr>
          <w:rFonts w:eastAsia="Times New Roman" w:cs="Times New Roman"/>
          <w:kern w:val="2"/>
          <w:szCs w:val="24"/>
          <w:lang w:eastAsia="zh-CN" w:bidi="hi-IN"/>
        </w:rPr>
        <w:t>strategies</w:t>
      </w:r>
      <w:proofErr w:type="spellEnd"/>
      <w:r w:rsidRPr="00C60173">
        <w:rPr>
          <w:rFonts w:eastAsia="Times New Roman" w:cs="Times New Roman"/>
          <w:kern w:val="2"/>
          <w:szCs w:val="24"/>
          <w:lang w:eastAsia="zh-CN" w:bidi="hi-IN"/>
        </w:rPr>
        <w:t xml:space="preserve"> </w:t>
      </w:r>
      <w:proofErr w:type="spellStart"/>
      <w:r w:rsidRPr="00C60173">
        <w:rPr>
          <w:rFonts w:eastAsia="Times New Roman" w:cs="Times New Roman"/>
          <w:kern w:val="2"/>
          <w:szCs w:val="24"/>
          <w:lang w:eastAsia="zh-CN" w:bidi="hi-IN"/>
        </w:rPr>
        <w:t>for</w:t>
      </w:r>
      <w:proofErr w:type="spellEnd"/>
      <w:r w:rsidRPr="00C60173">
        <w:rPr>
          <w:rFonts w:eastAsia="Times New Roman" w:cs="Times New Roman"/>
          <w:kern w:val="2"/>
          <w:szCs w:val="24"/>
          <w:lang w:eastAsia="zh-CN" w:bidi="hi-IN"/>
        </w:rPr>
        <w:t xml:space="preserve"> </w:t>
      </w:r>
      <w:proofErr w:type="spellStart"/>
      <w:r w:rsidRPr="00C60173">
        <w:rPr>
          <w:rFonts w:eastAsia="Times New Roman" w:cs="Times New Roman"/>
          <w:kern w:val="2"/>
          <w:szCs w:val="24"/>
          <w:lang w:eastAsia="zh-CN" w:bidi="hi-IN"/>
        </w:rPr>
        <w:t>forest</w:t>
      </w:r>
      <w:proofErr w:type="spellEnd"/>
      <w:r w:rsidRPr="00C60173">
        <w:rPr>
          <w:rFonts w:eastAsia="Times New Roman" w:cs="Times New Roman"/>
          <w:kern w:val="2"/>
          <w:szCs w:val="24"/>
          <w:lang w:eastAsia="zh-CN" w:bidi="hi-IN"/>
        </w:rPr>
        <w:t xml:space="preserve"> </w:t>
      </w:r>
      <w:proofErr w:type="spellStart"/>
      <w:r w:rsidRPr="00C60173">
        <w:rPr>
          <w:rFonts w:eastAsia="Times New Roman" w:cs="Times New Roman"/>
          <w:kern w:val="2"/>
          <w:szCs w:val="24"/>
          <w:lang w:eastAsia="zh-CN" w:bidi="hi-IN"/>
        </w:rPr>
        <w:t>reptile</w:t>
      </w:r>
      <w:proofErr w:type="spellEnd"/>
      <w:r w:rsidRPr="00C60173">
        <w:rPr>
          <w:rFonts w:eastAsia="Times New Roman" w:cs="Times New Roman"/>
          <w:kern w:val="2"/>
          <w:szCs w:val="24"/>
          <w:lang w:eastAsia="zh-CN" w:bidi="hi-IN"/>
        </w:rPr>
        <w:t xml:space="preserve"> </w:t>
      </w:r>
      <w:proofErr w:type="spellStart"/>
      <w:r w:rsidRPr="00C60173">
        <w:rPr>
          <w:rFonts w:eastAsia="Times New Roman" w:cs="Times New Roman"/>
          <w:kern w:val="2"/>
          <w:szCs w:val="24"/>
          <w:lang w:eastAsia="zh-CN" w:bidi="hi-IN"/>
        </w:rPr>
        <w:t>species</w:t>
      </w:r>
      <w:proofErr w:type="spellEnd"/>
      <w:r w:rsidRPr="00C60173">
        <w:rPr>
          <w:rFonts w:eastAsia="Times New Roman" w:cs="Times New Roman"/>
          <w:kern w:val="2"/>
          <w:szCs w:val="24"/>
          <w:lang w:eastAsia="zh-CN" w:bidi="hi-IN"/>
        </w:rPr>
        <w:t xml:space="preserve"> </w:t>
      </w:r>
      <w:proofErr w:type="spellStart"/>
      <w:r w:rsidRPr="00C60173">
        <w:rPr>
          <w:rFonts w:eastAsia="Times New Roman" w:cs="Times New Roman"/>
          <w:kern w:val="2"/>
          <w:szCs w:val="24"/>
          <w:lang w:eastAsia="zh-CN" w:bidi="hi-IN"/>
        </w:rPr>
        <w:t>at</w:t>
      </w:r>
      <w:proofErr w:type="spellEnd"/>
      <w:r w:rsidRPr="00C60173">
        <w:rPr>
          <w:rFonts w:eastAsia="Times New Roman" w:cs="Times New Roman"/>
          <w:kern w:val="2"/>
          <w:szCs w:val="24"/>
          <w:lang w:eastAsia="zh-CN" w:bidi="hi-IN"/>
        </w:rPr>
        <w:t xml:space="preserve"> </w:t>
      </w:r>
      <w:proofErr w:type="spellStart"/>
      <w:r w:rsidRPr="00C60173">
        <w:rPr>
          <w:rFonts w:eastAsia="Times New Roman" w:cs="Times New Roman"/>
          <w:kern w:val="2"/>
          <w:szCs w:val="24"/>
          <w:lang w:eastAsia="zh-CN" w:bidi="hi-IN"/>
        </w:rPr>
        <w:t>their</w:t>
      </w:r>
      <w:proofErr w:type="spellEnd"/>
      <w:r w:rsidRPr="00C60173">
        <w:rPr>
          <w:rFonts w:eastAsia="Times New Roman" w:cs="Times New Roman"/>
          <w:kern w:val="2"/>
          <w:szCs w:val="24"/>
          <w:lang w:eastAsia="zh-CN" w:bidi="hi-IN"/>
        </w:rPr>
        <w:t xml:space="preserve"> </w:t>
      </w:r>
      <w:proofErr w:type="spellStart"/>
      <w:r w:rsidRPr="00C60173">
        <w:rPr>
          <w:rFonts w:eastAsia="Times New Roman" w:cs="Times New Roman"/>
          <w:kern w:val="2"/>
          <w:szCs w:val="24"/>
          <w:lang w:eastAsia="zh-CN" w:bidi="hi-IN"/>
        </w:rPr>
        <w:t>range</w:t>
      </w:r>
      <w:proofErr w:type="spellEnd"/>
      <w:r w:rsidRPr="00C60173">
        <w:rPr>
          <w:rFonts w:eastAsia="Times New Roman" w:cs="Times New Roman"/>
          <w:kern w:val="2"/>
          <w:szCs w:val="24"/>
          <w:lang w:eastAsia="zh-CN" w:bidi="hi-IN"/>
        </w:rPr>
        <w:t xml:space="preserve"> </w:t>
      </w:r>
      <w:proofErr w:type="spellStart"/>
      <w:r w:rsidRPr="00C60173">
        <w:rPr>
          <w:rFonts w:eastAsia="Times New Roman" w:cs="Times New Roman"/>
          <w:kern w:val="2"/>
          <w:szCs w:val="24"/>
          <w:lang w:eastAsia="zh-CN" w:bidi="hi-IN"/>
        </w:rPr>
        <w:t>edges</w:t>
      </w:r>
      <w:proofErr w:type="spellEnd"/>
      <w:r w:rsidRPr="00C60173">
        <w:rPr>
          <w:rFonts w:eastAsia="Times New Roman" w:cs="Times New Roman"/>
          <w:kern w:val="2"/>
          <w:szCs w:val="24"/>
          <w:lang w:eastAsia="zh-CN" w:bidi="hi-IN"/>
        </w:rPr>
        <w:t xml:space="preserve"> </w:t>
      </w:r>
      <w:proofErr w:type="spellStart"/>
      <w:r w:rsidRPr="00C60173">
        <w:rPr>
          <w:rFonts w:eastAsia="Times New Roman" w:cs="Times New Roman"/>
          <w:kern w:val="2"/>
          <w:szCs w:val="24"/>
          <w:lang w:eastAsia="zh-CN" w:bidi="hi-IN"/>
        </w:rPr>
        <w:t>in</w:t>
      </w:r>
      <w:proofErr w:type="spellEnd"/>
      <w:r w:rsidRPr="00C60173">
        <w:rPr>
          <w:rFonts w:eastAsia="Times New Roman" w:cs="Times New Roman"/>
          <w:kern w:val="2"/>
          <w:szCs w:val="24"/>
          <w:lang w:eastAsia="zh-CN" w:bidi="hi-IN"/>
        </w:rPr>
        <w:t xml:space="preserve"> </w:t>
      </w:r>
      <w:proofErr w:type="spellStart"/>
      <w:r w:rsidRPr="00C60173">
        <w:rPr>
          <w:rFonts w:eastAsia="Times New Roman" w:cs="Times New Roman"/>
          <w:kern w:val="2"/>
          <w:szCs w:val="24"/>
          <w:lang w:eastAsia="zh-CN" w:bidi="hi-IN"/>
        </w:rPr>
        <w:t>Europe</w:t>
      </w:r>
      <w:proofErr w:type="spellEnd"/>
      <w:r w:rsidRPr="00C60173">
        <w:rPr>
          <w:rFonts w:eastAsia="Times New Roman" w:cs="Times New Roman"/>
          <w:kern w:val="2"/>
          <w:szCs w:val="24"/>
          <w:lang w:eastAsia="zh-CN" w:bidi="hi-IN"/>
        </w:rPr>
        <w:t xml:space="preserve"> </w:t>
      </w:r>
      <w:proofErr w:type="spellStart"/>
      <w:r w:rsidRPr="00C60173">
        <w:rPr>
          <w:rFonts w:eastAsia="Times New Roman" w:cs="Times New Roman"/>
          <w:kern w:val="2"/>
          <w:szCs w:val="24"/>
          <w:lang w:eastAsia="zh-CN" w:bidi="hi-IN"/>
        </w:rPr>
        <w:t>amidst</w:t>
      </w:r>
      <w:proofErr w:type="spellEnd"/>
      <w:r w:rsidRPr="00C60173">
        <w:rPr>
          <w:rFonts w:eastAsia="Times New Roman" w:cs="Times New Roman"/>
          <w:kern w:val="2"/>
          <w:szCs w:val="24"/>
          <w:lang w:eastAsia="zh-CN" w:bidi="hi-IN"/>
        </w:rPr>
        <w:t xml:space="preserve"> </w:t>
      </w:r>
      <w:proofErr w:type="spellStart"/>
      <w:r w:rsidRPr="00C60173">
        <w:rPr>
          <w:rFonts w:eastAsia="Times New Roman" w:cs="Times New Roman"/>
          <w:kern w:val="2"/>
          <w:szCs w:val="24"/>
          <w:lang w:eastAsia="zh-CN" w:bidi="hi-IN"/>
        </w:rPr>
        <w:t>climate</w:t>
      </w:r>
      <w:proofErr w:type="spellEnd"/>
      <w:r w:rsidRPr="00C60173">
        <w:rPr>
          <w:rFonts w:eastAsia="Times New Roman" w:cs="Times New Roman"/>
          <w:kern w:val="2"/>
          <w:szCs w:val="24"/>
          <w:lang w:eastAsia="zh-CN" w:bidi="hi-IN"/>
        </w:rPr>
        <w:t xml:space="preserve"> </w:t>
      </w:r>
      <w:proofErr w:type="spellStart"/>
      <w:r w:rsidRPr="00C60173">
        <w:rPr>
          <w:rFonts w:eastAsia="Times New Roman" w:cs="Times New Roman"/>
          <w:kern w:val="2"/>
          <w:szCs w:val="24"/>
          <w:lang w:eastAsia="zh-CN" w:bidi="hi-IN"/>
        </w:rPr>
        <w:t>change</w:t>
      </w:r>
      <w:proofErr w:type="spellEnd"/>
      <w:r w:rsidRPr="00C60173">
        <w:rPr>
          <w:rFonts w:eastAsia="Times New Roman" w:cs="Times New Roman"/>
          <w:kern w:val="2"/>
          <w:szCs w:val="24"/>
          <w:lang w:eastAsia="zh-CN" w:bidi="hi-IN"/>
        </w:rPr>
        <w:t xml:space="preserve">. </w:t>
      </w:r>
      <w:proofErr w:type="spellStart"/>
      <w:r w:rsidRPr="00C60173">
        <w:rPr>
          <w:rFonts w:eastAsia="Times New Roman" w:cs="Times New Roman"/>
          <w:kern w:val="2"/>
          <w:szCs w:val="24"/>
          <w:lang w:eastAsia="zh-CN" w:bidi="hi-IN"/>
        </w:rPr>
        <w:t>Geography</w:t>
      </w:r>
      <w:proofErr w:type="spellEnd"/>
      <w:r w:rsidRPr="00C60173">
        <w:rPr>
          <w:rFonts w:eastAsia="Times New Roman" w:cs="Times New Roman"/>
          <w:kern w:val="2"/>
          <w:szCs w:val="24"/>
          <w:lang w:eastAsia="zh-CN" w:bidi="hi-IN"/>
        </w:rPr>
        <w:t xml:space="preserve"> </w:t>
      </w:r>
      <w:proofErr w:type="spellStart"/>
      <w:r w:rsidRPr="00C60173">
        <w:rPr>
          <w:rFonts w:eastAsia="Times New Roman" w:cs="Times New Roman"/>
          <w:kern w:val="2"/>
          <w:szCs w:val="24"/>
          <w:lang w:eastAsia="zh-CN" w:bidi="hi-IN"/>
        </w:rPr>
        <w:t>and</w:t>
      </w:r>
      <w:proofErr w:type="spellEnd"/>
      <w:r w:rsidRPr="00C60173">
        <w:rPr>
          <w:rFonts w:eastAsia="Times New Roman" w:cs="Times New Roman"/>
          <w:kern w:val="2"/>
          <w:szCs w:val="24"/>
          <w:lang w:eastAsia="zh-CN" w:bidi="hi-IN"/>
        </w:rPr>
        <w:t xml:space="preserve"> </w:t>
      </w:r>
      <w:proofErr w:type="spellStart"/>
      <w:r w:rsidRPr="00C60173">
        <w:rPr>
          <w:rFonts w:eastAsia="Times New Roman" w:cs="Times New Roman"/>
          <w:kern w:val="2"/>
          <w:szCs w:val="24"/>
          <w:lang w:eastAsia="zh-CN" w:bidi="hi-IN"/>
        </w:rPr>
        <w:t>Sustainability</w:t>
      </w:r>
      <w:proofErr w:type="spellEnd"/>
      <w:r w:rsidRPr="00C60173">
        <w:rPr>
          <w:rFonts w:eastAsia="Times New Roman" w:cs="Times New Roman"/>
          <w:kern w:val="2"/>
          <w:szCs w:val="24"/>
          <w:lang w:eastAsia="zh-CN" w:bidi="hi-IN"/>
        </w:rPr>
        <w:t xml:space="preserve">, </w:t>
      </w:r>
      <w:proofErr w:type="spellStart"/>
      <w:r w:rsidRPr="00C60173">
        <w:rPr>
          <w:rFonts w:eastAsia="Times New Roman" w:cs="Times New Roman"/>
          <w:kern w:val="2"/>
          <w:szCs w:val="24"/>
          <w:lang w:eastAsia="zh-CN" w:bidi="hi-IN"/>
        </w:rPr>
        <w:t>Volume</w:t>
      </w:r>
      <w:proofErr w:type="spellEnd"/>
      <w:r w:rsidRPr="00C60173">
        <w:rPr>
          <w:rFonts w:eastAsia="Times New Roman" w:cs="Times New Roman"/>
          <w:kern w:val="2"/>
          <w:szCs w:val="24"/>
          <w:lang w:eastAsia="zh-CN" w:bidi="hi-IN"/>
        </w:rPr>
        <w:t xml:space="preserve"> 6, </w:t>
      </w:r>
      <w:proofErr w:type="spellStart"/>
      <w:r w:rsidRPr="00C60173">
        <w:rPr>
          <w:rFonts w:eastAsia="Times New Roman" w:cs="Times New Roman"/>
          <w:kern w:val="2"/>
          <w:szCs w:val="24"/>
          <w:lang w:eastAsia="zh-CN" w:bidi="hi-IN"/>
        </w:rPr>
        <w:t>Issue</w:t>
      </w:r>
      <w:proofErr w:type="spellEnd"/>
      <w:r w:rsidRPr="00C60173">
        <w:rPr>
          <w:rFonts w:eastAsia="Times New Roman" w:cs="Times New Roman"/>
          <w:kern w:val="2"/>
          <w:szCs w:val="24"/>
          <w:lang w:eastAsia="zh-CN" w:bidi="hi-IN"/>
        </w:rPr>
        <w:t xml:space="preserve"> 2, 2025, </w:t>
      </w:r>
      <w:hyperlink r:id="rId212" w:history="1">
        <w:r w:rsidR="00C8572C" w:rsidRPr="001A4E6D">
          <w:rPr>
            <w:rStyle w:val="Hyperlink"/>
            <w:rFonts w:eastAsia="Times New Roman" w:cs="Times New Roman"/>
            <w:kern w:val="2"/>
            <w:szCs w:val="24"/>
            <w:lang w:eastAsia="zh-CN" w:bidi="hi-IN"/>
          </w:rPr>
          <w:t>https://www.sciencedirect.com/science/article/pii/S2666683925000057</w:t>
        </w:r>
      </w:hyperlink>
      <w:r w:rsidR="00C8572C">
        <w:rPr>
          <w:rFonts w:eastAsia="Times New Roman" w:cs="Times New Roman"/>
          <w:kern w:val="2"/>
          <w:szCs w:val="24"/>
          <w:lang w:eastAsia="zh-CN" w:bidi="hi-IN"/>
        </w:rPr>
        <w:t xml:space="preserve">. </w:t>
      </w:r>
    </w:p>
    <w:p w14:paraId="6157A33C" w14:textId="77777777" w:rsidR="00260499" w:rsidRPr="0014151A" w:rsidRDefault="00260499" w:rsidP="00C60173">
      <w:pPr>
        <w:numPr>
          <w:ilvl w:val="0"/>
          <w:numId w:val="31"/>
        </w:numPr>
        <w:spacing w:after="0" w:line="240" w:lineRule="auto"/>
        <w:ind w:left="924" w:hanging="357"/>
        <w:contextualSpacing/>
        <w:jc w:val="both"/>
        <w:rPr>
          <w:rFonts w:ascii="Times New Roman" w:eastAsia="Times New Roman" w:hAnsi="Times New Roman" w:cs="Times New Roman"/>
          <w:kern w:val="2"/>
          <w:sz w:val="24"/>
          <w:szCs w:val="24"/>
          <w:lang w:eastAsia="zh-CN" w:bidi="hi-IN"/>
        </w:rPr>
      </w:pPr>
      <w:proofErr w:type="spellStart"/>
      <w:r w:rsidRPr="0014151A">
        <w:rPr>
          <w:rFonts w:ascii="Times New Roman" w:eastAsia="Times New Roman" w:hAnsi="Times New Roman" w:cs="Times New Roman"/>
          <w:color w:val="000000"/>
          <w:kern w:val="2"/>
          <w:sz w:val="24"/>
          <w:szCs w:val="24"/>
          <w:lang w:eastAsia="zh-CN" w:bidi="hi-IN"/>
        </w:rPr>
        <w:t>Opermanis</w:t>
      </w:r>
      <w:proofErr w:type="spellEnd"/>
      <w:r w:rsidRPr="0014151A">
        <w:rPr>
          <w:rFonts w:ascii="Times New Roman" w:eastAsia="Times New Roman" w:hAnsi="Times New Roman" w:cs="Times New Roman"/>
          <w:color w:val="000000"/>
          <w:kern w:val="2"/>
          <w:sz w:val="24"/>
          <w:szCs w:val="24"/>
          <w:lang w:eastAsia="zh-CN" w:bidi="hi-IN"/>
        </w:rPr>
        <w:t xml:space="preserve"> O., Strazds M., </w:t>
      </w:r>
      <w:proofErr w:type="spellStart"/>
      <w:r w:rsidRPr="0014151A">
        <w:rPr>
          <w:rFonts w:ascii="Times New Roman" w:eastAsia="Times New Roman" w:hAnsi="Times New Roman" w:cs="Times New Roman"/>
          <w:color w:val="000000"/>
          <w:kern w:val="2"/>
          <w:sz w:val="24"/>
          <w:szCs w:val="24"/>
          <w:lang w:eastAsia="zh-CN" w:bidi="hi-IN"/>
        </w:rPr>
        <w:t>Pēterhofs</w:t>
      </w:r>
      <w:proofErr w:type="spellEnd"/>
      <w:r w:rsidRPr="0014151A">
        <w:rPr>
          <w:rFonts w:ascii="Times New Roman" w:eastAsia="Times New Roman" w:hAnsi="Times New Roman" w:cs="Times New Roman"/>
          <w:color w:val="000000"/>
          <w:kern w:val="2"/>
          <w:sz w:val="24"/>
          <w:szCs w:val="24"/>
          <w:lang w:eastAsia="zh-CN" w:bidi="hi-IN"/>
        </w:rPr>
        <w:t xml:space="preserve"> E., Strazds A. 1996. Putni Latvijas piekrastē: skaita izmaiņas, izplatība un pašreizējais stāvoklis. - Putni dabā 6, 1: 2-14.</w:t>
      </w:r>
    </w:p>
    <w:p w14:paraId="6C9E25C2" w14:textId="125A783A" w:rsidR="0037521C" w:rsidRPr="0014151A" w:rsidRDefault="0037521C" w:rsidP="0014151A">
      <w:pPr>
        <w:numPr>
          <w:ilvl w:val="0"/>
          <w:numId w:val="31"/>
        </w:numPr>
        <w:spacing w:after="0" w:line="240" w:lineRule="auto"/>
        <w:ind w:left="924" w:hanging="357"/>
        <w:contextualSpacing/>
        <w:jc w:val="both"/>
        <w:rPr>
          <w:rFonts w:ascii="Times New Roman" w:eastAsia="Times New Roman" w:hAnsi="Times New Roman" w:cs="Times New Roman"/>
          <w:kern w:val="2"/>
          <w:sz w:val="24"/>
          <w:szCs w:val="24"/>
          <w:lang w:val="en-US" w:eastAsia="zh-CN" w:bidi="hi-IN"/>
        </w:rPr>
      </w:pPr>
      <w:proofErr w:type="spellStart"/>
      <w:r w:rsidRPr="0014151A">
        <w:rPr>
          <w:rFonts w:ascii="Times New Roman" w:eastAsia="Times New Roman" w:hAnsi="Times New Roman" w:cs="Times New Roman"/>
          <w:kern w:val="2"/>
          <w:sz w:val="24"/>
          <w:szCs w:val="24"/>
          <w:lang w:val="en-US" w:eastAsia="zh-CN" w:bidi="hi-IN"/>
        </w:rPr>
        <w:t>Paidere</w:t>
      </w:r>
      <w:proofErr w:type="spellEnd"/>
      <w:r w:rsidRPr="0014151A">
        <w:rPr>
          <w:rFonts w:ascii="Times New Roman" w:eastAsia="Times New Roman" w:hAnsi="Times New Roman" w:cs="Times New Roman"/>
          <w:kern w:val="2"/>
          <w:sz w:val="24"/>
          <w:szCs w:val="24"/>
          <w:lang w:val="en-US" w:eastAsia="zh-CN" w:bidi="hi-IN"/>
        </w:rPr>
        <w:t xml:space="preserve"> J., Dimante-</w:t>
      </w:r>
      <w:proofErr w:type="spellStart"/>
      <w:r w:rsidRPr="0014151A">
        <w:rPr>
          <w:rFonts w:ascii="Times New Roman" w:eastAsia="Times New Roman" w:hAnsi="Times New Roman" w:cs="Times New Roman"/>
          <w:kern w:val="2"/>
          <w:sz w:val="24"/>
          <w:szCs w:val="24"/>
          <w:lang w:val="en-US" w:eastAsia="zh-CN" w:bidi="hi-IN"/>
        </w:rPr>
        <w:t>Deimantoviča</w:t>
      </w:r>
      <w:proofErr w:type="spellEnd"/>
      <w:r w:rsidRPr="0014151A">
        <w:rPr>
          <w:rFonts w:ascii="Times New Roman" w:eastAsia="Times New Roman" w:hAnsi="Times New Roman" w:cs="Times New Roman"/>
          <w:kern w:val="2"/>
          <w:sz w:val="24"/>
          <w:szCs w:val="24"/>
          <w:lang w:val="en-US" w:eastAsia="zh-CN" w:bidi="hi-IN"/>
        </w:rPr>
        <w:t xml:space="preserve"> I., </w:t>
      </w:r>
      <w:proofErr w:type="spellStart"/>
      <w:r w:rsidRPr="0014151A">
        <w:rPr>
          <w:rFonts w:ascii="Times New Roman" w:eastAsia="Times New Roman" w:hAnsi="Times New Roman" w:cs="Times New Roman"/>
          <w:kern w:val="2"/>
          <w:sz w:val="24"/>
          <w:szCs w:val="24"/>
          <w:lang w:val="en-US" w:eastAsia="zh-CN" w:bidi="hi-IN"/>
        </w:rPr>
        <w:t>Griņko</w:t>
      </w:r>
      <w:proofErr w:type="spellEnd"/>
      <w:r w:rsidRPr="0014151A">
        <w:rPr>
          <w:rFonts w:ascii="Times New Roman" w:eastAsia="Times New Roman" w:hAnsi="Times New Roman" w:cs="Times New Roman"/>
          <w:kern w:val="2"/>
          <w:sz w:val="24"/>
          <w:szCs w:val="24"/>
          <w:lang w:val="en-US" w:eastAsia="zh-CN" w:bidi="hi-IN"/>
        </w:rPr>
        <w:t xml:space="preserve"> O., </w:t>
      </w:r>
      <w:proofErr w:type="spellStart"/>
      <w:r w:rsidRPr="0014151A">
        <w:rPr>
          <w:rFonts w:ascii="Times New Roman" w:eastAsia="Times New Roman" w:hAnsi="Times New Roman" w:cs="Times New Roman"/>
          <w:kern w:val="2"/>
          <w:sz w:val="24"/>
          <w:szCs w:val="24"/>
          <w:lang w:val="en-US" w:eastAsia="zh-CN" w:bidi="hi-IN"/>
        </w:rPr>
        <w:t>Brakovska</w:t>
      </w:r>
      <w:proofErr w:type="spellEnd"/>
      <w:r w:rsidRPr="0014151A">
        <w:rPr>
          <w:rFonts w:ascii="Times New Roman" w:eastAsia="Times New Roman" w:hAnsi="Times New Roman" w:cs="Times New Roman"/>
          <w:kern w:val="2"/>
          <w:sz w:val="24"/>
          <w:szCs w:val="24"/>
          <w:lang w:val="en-US" w:eastAsia="zh-CN" w:bidi="hi-IN"/>
        </w:rPr>
        <w:t xml:space="preserve"> A., </w:t>
      </w:r>
      <w:proofErr w:type="spellStart"/>
      <w:r w:rsidRPr="0014151A">
        <w:rPr>
          <w:rFonts w:ascii="Times New Roman" w:eastAsia="Times New Roman" w:hAnsi="Times New Roman" w:cs="Times New Roman"/>
          <w:kern w:val="2"/>
          <w:sz w:val="24"/>
          <w:szCs w:val="24"/>
          <w:lang w:val="en-US" w:eastAsia="zh-CN" w:bidi="hi-IN"/>
        </w:rPr>
        <w:t>Brūvere</w:t>
      </w:r>
      <w:proofErr w:type="spellEnd"/>
      <w:r w:rsidRPr="0014151A">
        <w:rPr>
          <w:rFonts w:ascii="Times New Roman" w:eastAsia="Times New Roman" w:hAnsi="Times New Roman" w:cs="Times New Roman"/>
          <w:kern w:val="2"/>
          <w:sz w:val="24"/>
          <w:szCs w:val="24"/>
          <w:lang w:val="en-US" w:eastAsia="zh-CN" w:bidi="hi-IN"/>
        </w:rPr>
        <w:t xml:space="preserve"> I. 2012. Applicability of zooplankton community study for ecological quality of salmonid water lakes in Latvia during summer 2010. </w:t>
      </w:r>
      <w:r w:rsidRPr="0014151A">
        <w:rPr>
          <w:rFonts w:ascii="Times New Roman" w:eastAsia="Times New Roman" w:hAnsi="Times New Roman" w:cs="Times New Roman"/>
          <w:i/>
          <w:kern w:val="2"/>
          <w:sz w:val="24"/>
          <w:szCs w:val="24"/>
          <w:lang w:val="en-US" w:eastAsia="zh-CN" w:bidi="hi-IN"/>
        </w:rPr>
        <w:t xml:space="preserve">Proceedings of the international scientific conference “The current state and perspectives of the </w:t>
      </w:r>
      <w:proofErr w:type="spellStart"/>
      <w:r w:rsidRPr="0014151A">
        <w:rPr>
          <w:rFonts w:ascii="Times New Roman" w:eastAsia="Times New Roman" w:hAnsi="Times New Roman" w:cs="Times New Roman"/>
          <w:i/>
          <w:kern w:val="2"/>
          <w:sz w:val="24"/>
          <w:szCs w:val="24"/>
          <w:lang w:val="en-US" w:eastAsia="zh-CN" w:bidi="hi-IN"/>
        </w:rPr>
        <w:t>coregonid</w:t>
      </w:r>
      <w:proofErr w:type="spellEnd"/>
      <w:r w:rsidRPr="0014151A">
        <w:rPr>
          <w:rFonts w:ascii="Times New Roman" w:eastAsia="Times New Roman" w:hAnsi="Times New Roman" w:cs="Times New Roman"/>
          <w:i/>
          <w:kern w:val="2"/>
          <w:sz w:val="24"/>
          <w:szCs w:val="24"/>
          <w:lang w:val="en-US" w:eastAsia="zh-CN" w:bidi="hi-IN"/>
        </w:rPr>
        <w:t xml:space="preserve"> lakes 2012”. Acta Biol. Univ. </w:t>
      </w:r>
      <w:proofErr w:type="spellStart"/>
      <w:r w:rsidRPr="0014151A">
        <w:rPr>
          <w:rFonts w:ascii="Times New Roman" w:eastAsia="Times New Roman" w:hAnsi="Times New Roman" w:cs="Times New Roman"/>
          <w:i/>
          <w:kern w:val="2"/>
          <w:sz w:val="24"/>
          <w:szCs w:val="24"/>
          <w:lang w:val="en-US" w:eastAsia="zh-CN" w:bidi="hi-IN"/>
        </w:rPr>
        <w:t>Daugavp</w:t>
      </w:r>
      <w:proofErr w:type="spellEnd"/>
      <w:r w:rsidRPr="0014151A">
        <w:rPr>
          <w:rFonts w:ascii="Times New Roman" w:eastAsia="Times New Roman" w:hAnsi="Times New Roman" w:cs="Times New Roman"/>
          <w:i/>
          <w:kern w:val="2"/>
          <w:sz w:val="24"/>
          <w:szCs w:val="24"/>
          <w:lang w:val="en-US" w:eastAsia="zh-CN" w:bidi="hi-IN"/>
        </w:rPr>
        <w:t>., Suppl. 3, 2012: 65-81.</w:t>
      </w:r>
    </w:p>
    <w:p w14:paraId="7A1E16CD" w14:textId="35EE166A" w:rsidR="00260499" w:rsidRPr="0014151A" w:rsidRDefault="00260499" w:rsidP="0014151A">
      <w:pPr>
        <w:numPr>
          <w:ilvl w:val="0"/>
          <w:numId w:val="31"/>
        </w:numPr>
        <w:spacing w:after="0" w:line="240" w:lineRule="auto"/>
        <w:ind w:left="924" w:hanging="357"/>
        <w:contextualSpacing/>
        <w:jc w:val="both"/>
        <w:rPr>
          <w:rFonts w:ascii="Times New Roman" w:eastAsia="Times New Roman" w:hAnsi="Times New Roman" w:cs="Times New Roman"/>
          <w:kern w:val="2"/>
          <w:sz w:val="24"/>
          <w:szCs w:val="24"/>
          <w:lang w:eastAsia="zh-CN" w:bidi="hi-IN"/>
        </w:rPr>
      </w:pPr>
      <w:r w:rsidRPr="0014151A">
        <w:rPr>
          <w:rFonts w:ascii="Times New Roman" w:eastAsia="Times New Roman" w:hAnsi="Times New Roman" w:cs="Times New Roman"/>
          <w:kern w:val="2"/>
          <w:sz w:val="24"/>
          <w:szCs w:val="24"/>
          <w:lang w:eastAsia="zh-CN" w:bidi="hi-IN"/>
        </w:rPr>
        <w:t>Pārskats par virszemes un pazemes ūdeņu stāvokli 2018. gadā.</w:t>
      </w:r>
      <w:r w:rsidR="00D65BBA" w:rsidRPr="0014151A">
        <w:rPr>
          <w:rFonts w:ascii="Times New Roman" w:eastAsia="Times New Roman" w:hAnsi="Times New Roman" w:cs="Times New Roman"/>
          <w:kern w:val="2"/>
          <w:sz w:val="24"/>
          <w:szCs w:val="24"/>
          <w:lang w:eastAsia="zh-CN" w:bidi="hi-IN"/>
        </w:rPr>
        <w:t xml:space="preserve"> </w:t>
      </w:r>
      <w:r w:rsidRPr="0014151A">
        <w:rPr>
          <w:rFonts w:ascii="Times New Roman" w:eastAsia="Times New Roman" w:hAnsi="Times New Roman" w:cs="Times New Roman"/>
          <w:kern w:val="2"/>
          <w:sz w:val="24"/>
          <w:szCs w:val="24"/>
          <w:lang w:eastAsia="zh-CN" w:bidi="hi-IN"/>
        </w:rPr>
        <w:t>LVĢMC, Rīga, 2019. lpp. 161.</w:t>
      </w:r>
    </w:p>
    <w:p w14:paraId="6F5DA6CA" w14:textId="4D6B983F" w:rsidR="00260499" w:rsidRPr="0014151A" w:rsidRDefault="00260499" w:rsidP="0014151A">
      <w:pPr>
        <w:numPr>
          <w:ilvl w:val="0"/>
          <w:numId w:val="31"/>
        </w:numPr>
        <w:spacing w:after="0" w:line="240" w:lineRule="auto"/>
        <w:ind w:left="924" w:hanging="357"/>
        <w:jc w:val="both"/>
        <w:rPr>
          <w:rFonts w:ascii="Times New Roman" w:eastAsia="Times New Roman" w:hAnsi="Times New Roman" w:cs="Times New Roman"/>
          <w:kern w:val="2"/>
          <w:sz w:val="24"/>
          <w:szCs w:val="24"/>
          <w:lang w:eastAsia="zh-CN" w:bidi="hi-IN"/>
        </w:rPr>
      </w:pPr>
      <w:proofErr w:type="spellStart"/>
      <w:r w:rsidRPr="0014151A">
        <w:rPr>
          <w:rFonts w:ascii="Times New Roman" w:eastAsia="Times New Roman" w:hAnsi="Times New Roman" w:cs="Times New Roman"/>
          <w:color w:val="000000"/>
          <w:kern w:val="2"/>
          <w:sz w:val="24"/>
          <w:szCs w:val="24"/>
          <w:lang w:eastAsia="ja-JP" w:bidi="hi-IN"/>
        </w:rPr>
        <w:t>Parkner</w:t>
      </w:r>
      <w:proofErr w:type="spellEnd"/>
      <w:r w:rsidRPr="0014151A">
        <w:rPr>
          <w:rFonts w:ascii="Times New Roman" w:eastAsia="Times New Roman" w:hAnsi="Times New Roman" w:cs="Times New Roman"/>
          <w:color w:val="000000"/>
          <w:kern w:val="2"/>
          <w:sz w:val="24"/>
          <w:szCs w:val="24"/>
          <w:lang w:eastAsia="ja-JP" w:bidi="hi-IN"/>
        </w:rPr>
        <w:t xml:space="preserve"> T., </w:t>
      </w:r>
      <w:proofErr w:type="spellStart"/>
      <w:r w:rsidRPr="0014151A">
        <w:rPr>
          <w:rFonts w:ascii="Times New Roman" w:eastAsia="Times New Roman" w:hAnsi="Times New Roman" w:cs="Times New Roman"/>
          <w:color w:val="000000"/>
          <w:kern w:val="2"/>
          <w:sz w:val="24"/>
          <w:szCs w:val="24"/>
          <w:lang w:eastAsia="ja-JP" w:bidi="hi-IN"/>
        </w:rPr>
        <w:t>Page</w:t>
      </w:r>
      <w:proofErr w:type="spellEnd"/>
      <w:r w:rsidRPr="0014151A">
        <w:rPr>
          <w:rFonts w:ascii="Times New Roman" w:eastAsia="Times New Roman" w:hAnsi="Times New Roman" w:cs="Times New Roman"/>
          <w:color w:val="000000"/>
          <w:kern w:val="2"/>
          <w:sz w:val="24"/>
          <w:szCs w:val="24"/>
          <w:lang w:eastAsia="ja-JP" w:bidi="hi-IN"/>
        </w:rPr>
        <w:t xml:space="preserve"> M., </w:t>
      </w:r>
      <w:proofErr w:type="spellStart"/>
      <w:r w:rsidRPr="0014151A">
        <w:rPr>
          <w:rFonts w:ascii="Times New Roman" w:eastAsia="Times New Roman" w:hAnsi="Times New Roman" w:cs="Times New Roman"/>
          <w:color w:val="000000"/>
          <w:kern w:val="2"/>
          <w:sz w:val="24"/>
          <w:szCs w:val="24"/>
          <w:lang w:eastAsia="ja-JP" w:bidi="hi-IN"/>
        </w:rPr>
        <w:t>Marden</w:t>
      </w:r>
      <w:proofErr w:type="spellEnd"/>
      <w:r w:rsidRPr="0014151A">
        <w:rPr>
          <w:rFonts w:ascii="Times New Roman" w:eastAsia="Times New Roman" w:hAnsi="Times New Roman" w:cs="Times New Roman"/>
          <w:color w:val="000000"/>
          <w:kern w:val="2"/>
          <w:sz w:val="24"/>
          <w:szCs w:val="24"/>
          <w:lang w:eastAsia="ja-JP" w:bidi="hi-IN"/>
        </w:rPr>
        <w:t xml:space="preserve"> M., </w:t>
      </w:r>
      <w:proofErr w:type="spellStart"/>
      <w:r w:rsidRPr="0014151A">
        <w:rPr>
          <w:rFonts w:ascii="Times New Roman" w:eastAsia="Times New Roman" w:hAnsi="Times New Roman" w:cs="Times New Roman"/>
          <w:color w:val="000000"/>
          <w:kern w:val="2"/>
          <w:sz w:val="24"/>
          <w:szCs w:val="24"/>
          <w:lang w:eastAsia="ja-JP" w:bidi="hi-IN"/>
        </w:rPr>
        <w:t>Marutani</w:t>
      </w:r>
      <w:proofErr w:type="spellEnd"/>
      <w:r w:rsidRPr="0014151A">
        <w:rPr>
          <w:rFonts w:ascii="Times New Roman" w:eastAsia="Times New Roman" w:hAnsi="Times New Roman" w:cs="Times New Roman"/>
          <w:color w:val="000000"/>
          <w:kern w:val="2"/>
          <w:sz w:val="24"/>
          <w:szCs w:val="24"/>
          <w:lang w:eastAsia="ja-JP" w:bidi="hi-IN"/>
        </w:rPr>
        <w:t xml:space="preserve"> T. 2007. </w:t>
      </w:r>
      <w:proofErr w:type="spellStart"/>
      <w:r w:rsidRPr="0014151A">
        <w:rPr>
          <w:rFonts w:ascii="Times New Roman" w:eastAsia="Times New Roman" w:hAnsi="Times New Roman" w:cs="Times New Roman"/>
          <w:color w:val="000000"/>
          <w:kern w:val="2"/>
          <w:sz w:val="24"/>
          <w:szCs w:val="24"/>
          <w:lang w:eastAsia="ja-JP" w:bidi="hi-IN"/>
        </w:rPr>
        <w:t>Gully</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Systems</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Under</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Undisturbed</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Indigenous</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Forest</w:t>
      </w:r>
      <w:proofErr w:type="spellEnd"/>
      <w:r w:rsidRPr="0014151A">
        <w:rPr>
          <w:rFonts w:ascii="Times New Roman" w:eastAsia="Times New Roman" w:hAnsi="Times New Roman" w:cs="Times New Roman"/>
          <w:color w:val="000000"/>
          <w:kern w:val="2"/>
          <w:sz w:val="24"/>
          <w:szCs w:val="24"/>
          <w:lang w:eastAsia="ja-JP" w:bidi="hi-IN"/>
        </w:rPr>
        <w:t xml:space="preserve">, East </w:t>
      </w:r>
      <w:proofErr w:type="spellStart"/>
      <w:r w:rsidRPr="0014151A">
        <w:rPr>
          <w:rFonts w:ascii="Times New Roman" w:eastAsia="Times New Roman" w:hAnsi="Times New Roman" w:cs="Times New Roman"/>
          <w:color w:val="000000"/>
          <w:kern w:val="2"/>
          <w:sz w:val="24"/>
          <w:szCs w:val="24"/>
          <w:lang w:eastAsia="ja-JP" w:bidi="hi-IN"/>
        </w:rPr>
        <w:t>Coast</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region</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New</w:t>
      </w:r>
      <w:proofErr w:type="spellEnd"/>
      <w:r w:rsidRPr="0014151A">
        <w:rPr>
          <w:rFonts w:ascii="Times New Roman" w:eastAsia="Times New Roman" w:hAnsi="Times New Roman" w:cs="Times New Roman"/>
          <w:color w:val="000000"/>
          <w:kern w:val="2"/>
          <w:sz w:val="24"/>
          <w:szCs w:val="24"/>
          <w:lang w:eastAsia="ja-JP" w:bidi="hi-IN"/>
        </w:rPr>
        <w:t xml:space="preserve"> Zealand. </w:t>
      </w:r>
      <w:proofErr w:type="spellStart"/>
      <w:r w:rsidRPr="0014151A">
        <w:rPr>
          <w:rFonts w:ascii="Times New Roman" w:eastAsia="Times New Roman" w:hAnsi="Times New Roman" w:cs="Times New Roman"/>
          <w:i/>
          <w:iCs/>
          <w:color w:val="000000"/>
          <w:kern w:val="2"/>
          <w:sz w:val="24"/>
          <w:szCs w:val="24"/>
          <w:lang w:eastAsia="ja-JP" w:bidi="hi-IN"/>
        </w:rPr>
        <w:t>Geomorphology</w:t>
      </w:r>
      <w:proofErr w:type="spellEnd"/>
      <w:r w:rsidRPr="0014151A">
        <w:rPr>
          <w:rFonts w:ascii="Times New Roman" w:eastAsia="Times New Roman" w:hAnsi="Times New Roman" w:cs="Times New Roman"/>
          <w:color w:val="000000"/>
          <w:kern w:val="2"/>
          <w:sz w:val="24"/>
          <w:szCs w:val="24"/>
          <w:lang w:eastAsia="ja-JP" w:bidi="hi-IN"/>
        </w:rPr>
        <w:t>, 84 (3–4): 241–253.</w:t>
      </w:r>
    </w:p>
    <w:p w14:paraId="76D47802" w14:textId="54D1D2CA" w:rsidR="00260499" w:rsidRPr="0014151A" w:rsidRDefault="00260499" w:rsidP="0014151A">
      <w:pPr>
        <w:numPr>
          <w:ilvl w:val="0"/>
          <w:numId w:val="31"/>
        </w:numPr>
        <w:spacing w:after="0" w:line="240" w:lineRule="auto"/>
        <w:ind w:left="924" w:hanging="357"/>
        <w:jc w:val="both"/>
        <w:rPr>
          <w:rFonts w:ascii="Times New Roman" w:eastAsia="Times New Roman" w:hAnsi="Times New Roman" w:cs="Times New Roman"/>
          <w:kern w:val="2"/>
          <w:sz w:val="24"/>
          <w:szCs w:val="24"/>
          <w:lang w:eastAsia="zh-CN" w:bidi="hi-IN"/>
        </w:rPr>
      </w:pPr>
      <w:proofErr w:type="spellStart"/>
      <w:r w:rsidRPr="0014151A">
        <w:rPr>
          <w:rFonts w:ascii="Times New Roman" w:eastAsia="Times New Roman" w:hAnsi="Times New Roman" w:cs="Times New Roman"/>
          <w:color w:val="000000"/>
          <w:kern w:val="2"/>
          <w:sz w:val="24"/>
          <w:szCs w:val="24"/>
          <w:lang w:eastAsia="ja-JP" w:bidi="hi-IN"/>
        </w:rPr>
        <w:t>Pasinelli</w:t>
      </w:r>
      <w:proofErr w:type="spellEnd"/>
      <w:r w:rsidRPr="0014151A">
        <w:rPr>
          <w:rFonts w:ascii="Times New Roman" w:eastAsia="Times New Roman" w:hAnsi="Times New Roman" w:cs="Times New Roman"/>
          <w:color w:val="000000"/>
          <w:kern w:val="2"/>
          <w:sz w:val="24"/>
          <w:szCs w:val="24"/>
          <w:lang w:eastAsia="ja-JP" w:bidi="hi-IN"/>
        </w:rPr>
        <w:t xml:space="preserve"> G. &amp; </w:t>
      </w:r>
      <w:proofErr w:type="spellStart"/>
      <w:r w:rsidRPr="0014151A">
        <w:rPr>
          <w:rFonts w:ascii="Times New Roman" w:eastAsia="Times New Roman" w:hAnsi="Times New Roman" w:cs="Times New Roman"/>
          <w:color w:val="000000"/>
          <w:kern w:val="2"/>
          <w:sz w:val="24"/>
          <w:szCs w:val="24"/>
          <w:lang w:eastAsia="ja-JP" w:bidi="hi-IN"/>
        </w:rPr>
        <w:t>Hegelbach</w:t>
      </w:r>
      <w:proofErr w:type="spellEnd"/>
      <w:r w:rsidR="00453F1D" w:rsidRPr="0014151A">
        <w:rPr>
          <w:rFonts w:ascii="Times New Roman" w:eastAsia="Times New Roman" w:hAnsi="Times New Roman" w:cs="Times New Roman"/>
          <w:color w:val="000000"/>
          <w:kern w:val="2"/>
          <w:sz w:val="24"/>
          <w:szCs w:val="24"/>
          <w:lang w:eastAsia="ja-JP" w:bidi="hi-IN"/>
        </w:rPr>
        <w:t xml:space="preserve"> J.</w:t>
      </w:r>
      <w:r w:rsidRPr="0014151A">
        <w:rPr>
          <w:rFonts w:ascii="Times New Roman" w:eastAsia="Times New Roman" w:hAnsi="Times New Roman" w:cs="Times New Roman"/>
          <w:color w:val="000000"/>
          <w:kern w:val="2"/>
          <w:sz w:val="24"/>
          <w:szCs w:val="24"/>
          <w:lang w:eastAsia="ja-JP" w:bidi="hi-IN"/>
        </w:rPr>
        <w:t xml:space="preserve"> 1997. </w:t>
      </w:r>
      <w:proofErr w:type="spellStart"/>
      <w:r w:rsidRPr="0014151A">
        <w:rPr>
          <w:rFonts w:ascii="Times New Roman" w:eastAsia="Times New Roman" w:hAnsi="Times New Roman" w:cs="Times New Roman"/>
          <w:color w:val="000000"/>
          <w:kern w:val="2"/>
          <w:sz w:val="24"/>
          <w:szCs w:val="24"/>
          <w:lang w:eastAsia="ja-JP" w:bidi="hi-IN"/>
        </w:rPr>
        <w:t>Characteristics</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oftrees</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preferred</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by</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foraging</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Middle</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Spotted</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Woodpecker</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Dendrocopos</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medius</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in</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northern</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Switzerland</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Ardea</w:t>
      </w:r>
      <w:proofErr w:type="spellEnd"/>
      <w:r w:rsidRPr="0014151A">
        <w:rPr>
          <w:rFonts w:ascii="Times New Roman" w:eastAsia="Times New Roman" w:hAnsi="Times New Roman" w:cs="Times New Roman"/>
          <w:color w:val="000000"/>
          <w:kern w:val="2"/>
          <w:sz w:val="24"/>
          <w:szCs w:val="24"/>
          <w:lang w:eastAsia="ja-JP" w:bidi="hi-IN"/>
        </w:rPr>
        <w:t xml:space="preserve"> 85: 203-209</w:t>
      </w:r>
      <w:r w:rsidR="00392BE6" w:rsidRPr="0014151A">
        <w:rPr>
          <w:rFonts w:ascii="Times New Roman" w:eastAsia="Times New Roman" w:hAnsi="Times New Roman" w:cs="Times New Roman"/>
          <w:color w:val="000000"/>
          <w:kern w:val="2"/>
          <w:sz w:val="24"/>
          <w:szCs w:val="24"/>
          <w:lang w:eastAsia="ja-JP" w:bidi="hi-IN"/>
        </w:rPr>
        <w:t>.</w:t>
      </w:r>
    </w:p>
    <w:p w14:paraId="500CE2D5" w14:textId="10908433" w:rsidR="00260499" w:rsidRPr="0014151A" w:rsidRDefault="00260499" w:rsidP="0014151A">
      <w:pPr>
        <w:numPr>
          <w:ilvl w:val="0"/>
          <w:numId w:val="31"/>
        </w:numPr>
        <w:spacing w:after="0" w:line="240" w:lineRule="auto"/>
        <w:ind w:left="924" w:hanging="357"/>
        <w:jc w:val="both"/>
        <w:rPr>
          <w:rFonts w:ascii="Times New Roman" w:eastAsia="Times New Roman" w:hAnsi="Times New Roman" w:cs="Times New Roman"/>
          <w:kern w:val="2"/>
          <w:sz w:val="24"/>
          <w:szCs w:val="24"/>
          <w:lang w:eastAsia="zh-CN" w:bidi="hi-IN"/>
        </w:rPr>
      </w:pPr>
      <w:proofErr w:type="spellStart"/>
      <w:r w:rsidRPr="0014151A">
        <w:rPr>
          <w:rFonts w:ascii="Times New Roman" w:eastAsia="Times New Roman" w:hAnsi="Times New Roman" w:cs="Times New Roman"/>
          <w:color w:val="000000"/>
          <w:kern w:val="2"/>
          <w:sz w:val="24"/>
          <w:szCs w:val="24"/>
          <w:lang w:eastAsia="ja-JP" w:bidi="hi-IN"/>
        </w:rPr>
        <w:t>Pastors</w:t>
      </w:r>
      <w:proofErr w:type="spellEnd"/>
      <w:r w:rsidRPr="0014151A">
        <w:rPr>
          <w:rFonts w:ascii="Times New Roman" w:eastAsia="Times New Roman" w:hAnsi="Times New Roman" w:cs="Times New Roman"/>
          <w:color w:val="000000"/>
          <w:kern w:val="2"/>
          <w:sz w:val="24"/>
          <w:szCs w:val="24"/>
          <w:lang w:eastAsia="ja-JP" w:bidi="hi-IN"/>
        </w:rPr>
        <w:t xml:space="preserve"> A., 1994a. Balta. </w:t>
      </w:r>
      <w:proofErr w:type="spellStart"/>
      <w:r w:rsidRPr="0014151A">
        <w:rPr>
          <w:rFonts w:ascii="Times New Roman" w:eastAsia="Times New Roman" w:hAnsi="Times New Roman" w:cs="Times New Roman"/>
          <w:color w:val="000000"/>
          <w:kern w:val="2"/>
          <w:sz w:val="24"/>
          <w:szCs w:val="24"/>
          <w:lang w:eastAsia="ja-JP" w:bidi="hi-IN"/>
        </w:rPr>
        <w:t>In</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Kavacs</w:t>
      </w:r>
      <w:proofErr w:type="spellEnd"/>
      <w:r w:rsidRPr="0014151A">
        <w:rPr>
          <w:rFonts w:ascii="Times New Roman" w:eastAsia="Times New Roman" w:hAnsi="Times New Roman" w:cs="Times New Roman"/>
          <w:color w:val="000000"/>
          <w:kern w:val="2"/>
          <w:sz w:val="24"/>
          <w:szCs w:val="24"/>
          <w:lang w:eastAsia="ja-JP" w:bidi="hi-IN"/>
        </w:rPr>
        <w:t xml:space="preserve"> G. (</w:t>
      </w:r>
      <w:proofErr w:type="spellStart"/>
      <w:r w:rsidRPr="0014151A">
        <w:rPr>
          <w:rFonts w:ascii="Times New Roman" w:eastAsia="Times New Roman" w:hAnsi="Times New Roman" w:cs="Times New Roman"/>
          <w:color w:val="000000"/>
          <w:kern w:val="2"/>
          <w:sz w:val="24"/>
          <w:szCs w:val="24"/>
          <w:lang w:eastAsia="ja-JP" w:bidi="hi-IN"/>
        </w:rPr>
        <w:t>red</w:t>
      </w:r>
      <w:proofErr w:type="spellEnd"/>
      <w:r w:rsidRPr="0014151A">
        <w:rPr>
          <w:rFonts w:ascii="Times New Roman" w:eastAsia="Times New Roman" w:hAnsi="Times New Roman" w:cs="Times New Roman"/>
          <w:color w:val="000000"/>
          <w:kern w:val="2"/>
          <w:sz w:val="24"/>
          <w:szCs w:val="24"/>
          <w:lang w:eastAsia="ja-JP" w:bidi="hi-IN"/>
        </w:rPr>
        <w:t xml:space="preserve">), </w:t>
      </w:r>
      <w:r w:rsidRPr="0014151A">
        <w:rPr>
          <w:rFonts w:ascii="Times New Roman" w:eastAsia="Times New Roman" w:hAnsi="Times New Roman" w:cs="Times New Roman"/>
          <w:i/>
          <w:iCs/>
          <w:color w:val="000000"/>
          <w:kern w:val="2"/>
          <w:sz w:val="24"/>
          <w:szCs w:val="24"/>
          <w:lang w:eastAsia="ja-JP" w:bidi="hi-IN"/>
        </w:rPr>
        <w:t>Enciklopēdija "Latvija un latvieši". Latvijas daba</w:t>
      </w:r>
      <w:r w:rsidRPr="0014151A">
        <w:rPr>
          <w:rFonts w:ascii="Times New Roman" w:eastAsia="Times New Roman" w:hAnsi="Times New Roman" w:cs="Times New Roman"/>
          <w:color w:val="000000"/>
          <w:kern w:val="2"/>
          <w:sz w:val="24"/>
          <w:szCs w:val="24"/>
          <w:lang w:eastAsia="ja-JP" w:bidi="hi-IN"/>
        </w:rPr>
        <w:t>. 1.sēj. Latvijas enciklopēdija, Rīga, 107.lpp.</w:t>
      </w:r>
    </w:p>
    <w:p w14:paraId="1966D3D5" w14:textId="166B39FF" w:rsidR="00260499" w:rsidRPr="0014151A" w:rsidRDefault="00260499" w:rsidP="0014151A">
      <w:pPr>
        <w:numPr>
          <w:ilvl w:val="0"/>
          <w:numId w:val="31"/>
        </w:numPr>
        <w:spacing w:after="0" w:line="240" w:lineRule="auto"/>
        <w:ind w:left="924" w:hanging="357"/>
        <w:jc w:val="both"/>
        <w:rPr>
          <w:rFonts w:ascii="Times New Roman" w:eastAsia="Times New Roman" w:hAnsi="Times New Roman" w:cs="Times New Roman"/>
          <w:kern w:val="2"/>
          <w:sz w:val="24"/>
          <w:szCs w:val="24"/>
          <w:lang w:eastAsia="zh-CN" w:bidi="hi-IN"/>
        </w:rPr>
      </w:pPr>
      <w:proofErr w:type="spellStart"/>
      <w:r w:rsidRPr="0014151A">
        <w:rPr>
          <w:rFonts w:ascii="Times New Roman" w:eastAsia="Times New Roman" w:hAnsi="Times New Roman" w:cs="Times New Roman"/>
          <w:color w:val="000000"/>
          <w:kern w:val="2"/>
          <w:sz w:val="24"/>
          <w:szCs w:val="24"/>
          <w:lang w:eastAsia="ja-JP" w:bidi="hi-IN"/>
        </w:rPr>
        <w:lastRenderedPageBreak/>
        <w:t>Pastors</w:t>
      </w:r>
      <w:proofErr w:type="spellEnd"/>
      <w:r w:rsidRPr="0014151A">
        <w:rPr>
          <w:rFonts w:ascii="Times New Roman" w:eastAsia="Times New Roman" w:hAnsi="Times New Roman" w:cs="Times New Roman"/>
          <w:color w:val="000000"/>
          <w:kern w:val="2"/>
          <w:sz w:val="24"/>
          <w:szCs w:val="24"/>
          <w:lang w:eastAsia="ja-JP" w:bidi="hi-IN"/>
        </w:rPr>
        <w:t xml:space="preserve"> A., 1994b. </w:t>
      </w:r>
      <w:proofErr w:type="spellStart"/>
      <w:r w:rsidRPr="0014151A">
        <w:rPr>
          <w:rFonts w:ascii="Times New Roman" w:eastAsia="Times New Roman" w:hAnsi="Times New Roman" w:cs="Times New Roman"/>
          <w:color w:val="000000"/>
          <w:kern w:val="2"/>
          <w:sz w:val="24"/>
          <w:szCs w:val="24"/>
          <w:lang w:eastAsia="ja-JP" w:bidi="hi-IN"/>
        </w:rPr>
        <w:t>Borne</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In</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Kavacs</w:t>
      </w:r>
      <w:proofErr w:type="spellEnd"/>
      <w:r w:rsidRPr="0014151A">
        <w:rPr>
          <w:rFonts w:ascii="Times New Roman" w:eastAsia="Times New Roman" w:hAnsi="Times New Roman" w:cs="Times New Roman"/>
          <w:color w:val="000000"/>
          <w:kern w:val="2"/>
          <w:sz w:val="24"/>
          <w:szCs w:val="24"/>
          <w:lang w:eastAsia="ja-JP" w:bidi="hi-IN"/>
        </w:rPr>
        <w:t xml:space="preserve"> G. (</w:t>
      </w:r>
      <w:proofErr w:type="spellStart"/>
      <w:r w:rsidRPr="0014151A">
        <w:rPr>
          <w:rFonts w:ascii="Times New Roman" w:eastAsia="Times New Roman" w:hAnsi="Times New Roman" w:cs="Times New Roman"/>
          <w:color w:val="000000"/>
          <w:kern w:val="2"/>
          <w:sz w:val="24"/>
          <w:szCs w:val="24"/>
          <w:lang w:eastAsia="ja-JP" w:bidi="hi-IN"/>
        </w:rPr>
        <w:t>red</w:t>
      </w:r>
      <w:proofErr w:type="spellEnd"/>
      <w:r w:rsidRPr="0014151A">
        <w:rPr>
          <w:rFonts w:ascii="Times New Roman" w:eastAsia="Times New Roman" w:hAnsi="Times New Roman" w:cs="Times New Roman"/>
          <w:color w:val="000000"/>
          <w:kern w:val="2"/>
          <w:sz w:val="24"/>
          <w:szCs w:val="24"/>
          <w:lang w:eastAsia="ja-JP" w:bidi="hi-IN"/>
        </w:rPr>
        <w:t xml:space="preserve">), </w:t>
      </w:r>
      <w:r w:rsidRPr="0014151A">
        <w:rPr>
          <w:rFonts w:ascii="Times New Roman" w:eastAsia="Times New Roman" w:hAnsi="Times New Roman" w:cs="Times New Roman"/>
          <w:i/>
          <w:iCs/>
          <w:color w:val="000000"/>
          <w:kern w:val="2"/>
          <w:sz w:val="24"/>
          <w:szCs w:val="24"/>
          <w:lang w:eastAsia="ja-JP" w:bidi="hi-IN"/>
        </w:rPr>
        <w:t>Enciklopēdija "Latvija un latvieši". Latvijas daba</w:t>
      </w:r>
      <w:r w:rsidRPr="0014151A">
        <w:rPr>
          <w:rFonts w:ascii="Times New Roman" w:eastAsia="Times New Roman" w:hAnsi="Times New Roman" w:cs="Times New Roman"/>
          <w:color w:val="000000"/>
          <w:kern w:val="2"/>
          <w:sz w:val="24"/>
          <w:szCs w:val="24"/>
          <w:lang w:eastAsia="ja-JP" w:bidi="hi-IN"/>
        </w:rPr>
        <w:t>. 1.sēj. Latvijas enciklopēdija, Rīga, 158.lpp.</w:t>
      </w:r>
    </w:p>
    <w:p w14:paraId="1610B934" w14:textId="2FFC6AE2" w:rsidR="00392BE6" w:rsidRPr="0014151A" w:rsidRDefault="00392BE6" w:rsidP="0014151A">
      <w:pPr>
        <w:numPr>
          <w:ilvl w:val="0"/>
          <w:numId w:val="31"/>
        </w:numPr>
        <w:spacing w:after="0" w:line="240" w:lineRule="auto"/>
        <w:ind w:left="924" w:hanging="357"/>
        <w:jc w:val="both"/>
        <w:rPr>
          <w:rFonts w:ascii="Times New Roman" w:eastAsia="Times New Roman" w:hAnsi="Times New Roman" w:cs="Times New Roman"/>
          <w:kern w:val="2"/>
          <w:sz w:val="24"/>
          <w:szCs w:val="24"/>
          <w:lang w:eastAsia="zh-CN" w:bidi="hi-IN"/>
        </w:rPr>
      </w:pPr>
      <w:proofErr w:type="spellStart"/>
      <w:r w:rsidRPr="0014151A">
        <w:rPr>
          <w:rFonts w:ascii="Times New Roman" w:eastAsia="Times New Roman" w:hAnsi="Times New Roman" w:cs="Times New Roman"/>
          <w:kern w:val="2"/>
          <w:sz w:val="24"/>
          <w:szCs w:val="24"/>
          <w:lang w:eastAsia="zh-CN" w:bidi="hi-IN"/>
        </w:rPr>
        <w:t>Pechacek</w:t>
      </w:r>
      <w:proofErr w:type="spellEnd"/>
      <w:r w:rsidRPr="0014151A">
        <w:rPr>
          <w:rFonts w:ascii="Times New Roman" w:eastAsia="Times New Roman" w:hAnsi="Times New Roman" w:cs="Times New Roman"/>
          <w:kern w:val="2"/>
          <w:sz w:val="24"/>
          <w:szCs w:val="24"/>
          <w:lang w:eastAsia="zh-CN" w:bidi="hi-IN"/>
        </w:rPr>
        <w:t xml:space="preserve"> P. 2004. </w:t>
      </w:r>
      <w:proofErr w:type="spellStart"/>
      <w:r w:rsidRPr="0014151A">
        <w:rPr>
          <w:rFonts w:ascii="Times New Roman" w:eastAsia="Times New Roman" w:hAnsi="Times New Roman" w:cs="Times New Roman"/>
          <w:kern w:val="2"/>
          <w:sz w:val="24"/>
          <w:szCs w:val="24"/>
          <w:lang w:eastAsia="zh-CN" w:bidi="hi-IN"/>
        </w:rPr>
        <w:t>Spacing</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behavior</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of</w:t>
      </w:r>
      <w:proofErr w:type="spellEnd"/>
      <w:r w:rsidRPr="0014151A">
        <w:rPr>
          <w:rFonts w:ascii="Times New Roman" w:eastAsia="Times New Roman" w:hAnsi="Times New Roman" w:cs="Times New Roman"/>
          <w:kern w:val="2"/>
          <w:sz w:val="24"/>
          <w:szCs w:val="24"/>
          <w:lang w:eastAsia="zh-CN" w:bidi="hi-IN"/>
        </w:rPr>
        <w:t xml:space="preserve"> Eurasian </w:t>
      </w:r>
      <w:proofErr w:type="spellStart"/>
      <w:r w:rsidRPr="0014151A">
        <w:rPr>
          <w:rFonts w:ascii="Times New Roman" w:eastAsia="Times New Roman" w:hAnsi="Times New Roman" w:cs="Times New Roman"/>
          <w:kern w:val="2"/>
          <w:sz w:val="24"/>
          <w:szCs w:val="24"/>
          <w:lang w:eastAsia="zh-CN" w:bidi="hi-IN"/>
        </w:rPr>
        <w:t>three-toed</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woodpeckers</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Picoides</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tridactylus</w:t>
      </w:r>
      <w:proofErr w:type="spellEnd"/>
      <w:r w:rsidRPr="0014151A">
        <w:rPr>
          <w:rFonts w:ascii="Times New Roman" w:eastAsia="Times New Roman" w:hAnsi="Times New Roman" w:cs="Times New Roman"/>
          <w:kern w:val="2"/>
          <w:sz w:val="24"/>
          <w:szCs w:val="24"/>
          <w:lang w:eastAsia="zh-CN" w:bidi="hi-IN"/>
        </w:rPr>
        <w:t>)</w:t>
      </w:r>
      <w:r w:rsidRPr="0014151A">
        <w:rPr>
          <w:rFonts w:ascii="TimesNewRoman" w:hAnsi="TimesNewRoman" w:cs="TimesNewRoman"/>
          <w:sz w:val="24"/>
          <w:szCs w:val="24"/>
        </w:rPr>
        <w:t xml:space="preserve"> </w:t>
      </w:r>
      <w:proofErr w:type="spellStart"/>
      <w:r w:rsidRPr="0014151A">
        <w:rPr>
          <w:rFonts w:ascii="Times New Roman" w:eastAsia="Times New Roman" w:hAnsi="Times New Roman" w:cs="Times New Roman"/>
          <w:kern w:val="2"/>
          <w:sz w:val="24"/>
          <w:szCs w:val="24"/>
          <w:lang w:eastAsia="zh-CN" w:bidi="hi-IN"/>
        </w:rPr>
        <w:t>during</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the</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breeding</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season</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in</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Germany</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The</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Auk</w:t>
      </w:r>
      <w:proofErr w:type="spellEnd"/>
      <w:r w:rsidRPr="0014151A">
        <w:rPr>
          <w:rFonts w:ascii="Times New Roman" w:eastAsia="Times New Roman" w:hAnsi="Times New Roman" w:cs="Times New Roman"/>
          <w:kern w:val="2"/>
          <w:sz w:val="24"/>
          <w:szCs w:val="24"/>
          <w:lang w:eastAsia="zh-CN" w:bidi="hi-IN"/>
        </w:rPr>
        <w:t xml:space="preserve"> 121(1): 58-67.</w:t>
      </w:r>
    </w:p>
    <w:p w14:paraId="18D94CAD" w14:textId="77777777" w:rsidR="00260499" w:rsidRPr="0014151A" w:rsidRDefault="00260499" w:rsidP="0014151A">
      <w:pPr>
        <w:numPr>
          <w:ilvl w:val="0"/>
          <w:numId w:val="31"/>
        </w:numPr>
        <w:spacing w:after="0" w:line="240" w:lineRule="auto"/>
        <w:ind w:left="924" w:hanging="357"/>
        <w:jc w:val="both"/>
        <w:rPr>
          <w:rFonts w:ascii="Times New Roman" w:eastAsia="Times New Roman" w:hAnsi="Times New Roman" w:cs="Times New Roman"/>
          <w:kern w:val="2"/>
          <w:sz w:val="24"/>
          <w:szCs w:val="24"/>
          <w:lang w:eastAsia="zh-CN" w:bidi="hi-IN"/>
        </w:rPr>
      </w:pPr>
      <w:r w:rsidRPr="0014151A">
        <w:rPr>
          <w:rFonts w:ascii="Times New Roman" w:eastAsia="Times New Roman" w:hAnsi="Times New Roman" w:cs="Times New Roman"/>
          <w:color w:val="000000"/>
          <w:kern w:val="2"/>
          <w:sz w:val="24"/>
          <w:szCs w:val="24"/>
          <w:lang w:eastAsia="ja-JP" w:bidi="hi-IN"/>
        </w:rPr>
        <w:t xml:space="preserve">Pētersons H. 1932. Atzīmes par Daugavas gliemežiem, apgabalā no Krāslavas līdz Daugavgrīvai. Rīga: IM Skolu muzeja Daugavas izstādes </w:t>
      </w:r>
      <w:proofErr w:type="spellStart"/>
      <w:r w:rsidRPr="0014151A">
        <w:rPr>
          <w:rFonts w:ascii="Times New Roman" w:eastAsia="Times New Roman" w:hAnsi="Times New Roman" w:cs="Times New Roman"/>
          <w:color w:val="000000"/>
          <w:kern w:val="2"/>
          <w:sz w:val="24"/>
          <w:szCs w:val="24"/>
          <w:lang w:eastAsia="ja-JP" w:bidi="hi-IN"/>
        </w:rPr>
        <w:t>izd</w:t>
      </w:r>
      <w:proofErr w:type="spellEnd"/>
      <w:r w:rsidRPr="0014151A">
        <w:rPr>
          <w:rFonts w:ascii="Times New Roman" w:eastAsia="Times New Roman" w:hAnsi="Times New Roman" w:cs="Times New Roman"/>
          <w:color w:val="000000"/>
          <w:kern w:val="2"/>
          <w:sz w:val="24"/>
          <w:szCs w:val="24"/>
          <w:lang w:eastAsia="ja-JP" w:bidi="hi-IN"/>
        </w:rPr>
        <w:t>., 52 lpp.</w:t>
      </w:r>
    </w:p>
    <w:p w14:paraId="04030EB7" w14:textId="75CC1E78" w:rsidR="44338CFC" w:rsidRPr="0014151A" w:rsidRDefault="44338CFC" w:rsidP="0014151A">
      <w:pPr>
        <w:numPr>
          <w:ilvl w:val="0"/>
          <w:numId w:val="31"/>
        </w:numPr>
        <w:spacing w:after="0" w:line="240" w:lineRule="auto"/>
        <w:ind w:left="924" w:hanging="357"/>
        <w:jc w:val="both"/>
        <w:rPr>
          <w:rFonts w:eastAsiaTheme="minorEastAsia"/>
          <w:color w:val="000000" w:themeColor="text1"/>
          <w:sz w:val="24"/>
          <w:szCs w:val="24"/>
          <w:lang w:eastAsia="ja-JP" w:bidi="hi-IN"/>
        </w:rPr>
      </w:pPr>
      <w:proofErr w:type="spellStart"/>
      <w:r w:rsidRPr="0014151A">
        <w:rPr>
          <w:rFonts w:ascii="Times New Roman" w:eastAsia="Times New Roman" w:hAnsi="Times New Roman" w:cs="Times New Roman"/>
          <w:sz w:val="24"/>
          <w:szCs w:val="24"/>
        </w:rPr>
        <w:t>Phillips</w:t>
      </w:r>
      <w:proofErr w:type="spellEnd"/>
      <w:r w:rsidRPr="0014151A">
        <w:rPr>
          <w:rFonts w:ascii="Times New Roman" w:eastAsia="Times New Roman" w:hAnsi="Times New Roman" w:cs="Times New Roman"/>
          <w:sz w:val="24"/>
          <w:szCs w:val="24"/>
        </w:rPr>
        <w:t xml:space="preserve"> A. </w:t>
      </w:r>
      <w:r w:rsidR="00E8233A" w:rsidRPr="0014151A">
        <w:rPr>
          <w:rFonts w:ascii="Times New Roman" w:eastAsia="Times New Roman" w:hAnsi="Times New Roman" w:cs="Times New Roman"/>
          <w:sz w:val="24"/>
          <w:szCs w:val="24"/>
        </w:rPr>
        <w:t xml:space="preserve">2001. </w:t>
      </w:r>
      <w:proofErr w:type="spellStart"/>
      <w:r w:rsidRPr="0014151A">
        <w:rPr>
          <w:rFonts w:ascii="Times New Roman" w:eastAsia="Times New Roman" w:hAnsi="Times New Roman" w:cs="Times New Roman"/>
          <w:sz w:val="24"/>
          <w:szCs w:val="24"/>
        </w:rPr>
        <w:t>World</w:t>
      </w:r>
      <w:proofErr w:type="spellEnd"/>
      <w:r w:rsidRPr="0014151A">
        <w:rPr>
          <w:rFonts w:ascii="Times New Roman" w:eastAsia="Times New Roman" w:hAnsi="Times New Roman" w:cs="Times New Roman"/>
          <w:sz w:val="24"/>
          <w:szCs w:val="24"/>
        </w:rPr>
        <w:t xml:space="preserve"> </w:t>
      </w:r>
      <w:proofErr w:type="spellStart"/>
      <w:r w:rsidRPr="0014151A">
        <w:rPr>
          <w:rFonts w:ascii="Times New Roman" w:eastAsia="Times New Roman" w:hAnsi="Times New Roman" w:cs="Times New Roman"/>
          <w:sz w:val="24"/>
          <w:szCs w:val="24"/>
        </w:rPr>
        <w:t>Heritage</w:t>
      </w:r>
      <w:proofErr w:type="spellEnd"/>
      <w:r w:rsidRPr="0014151A">
        <w:rPr>
          <w:rFonts w:ascii="Times New Roman" w:eastAsia="Times New Roman" w:hAnsi="Times New Roman" w:cs="Times New Roman"/>
          <w:sz w:val="24"/>
          <w:szCs w:val="24"/>
        </w:rPr>
        <w:t xml:space="preserve"> </w:t>
      </w:r>
      <w:proofErr w:type="spellStart"/>
      <w:r w:rsidRPr="0014151A">
        <w:rPr>
          <w:rFonts w:ascii="Times New Roman" w:eastAsia="Times New Roman" w:hAnsi="Times New Roman" w:cs="Times New Roman"/>
          <w:sz w:val="24"/>
          <w:szCs w:val="24"/>
        </w:rPr>
        <w:t>of</w:t>
      </w:r>
      <w:proofErr w:type="spellEnd"/>
      <w:r w:rsidRPr="0014151A">
        <w:rPr>
          <w:rFonts w:ascii="Times New Roman" w:eastAsia="Times New Roman" w:hAnsi="Times New Roman" w:cs="Times New Roman"/>
          <w:sz w:val="24"/>
          <w:szCs w:val="24"/>
        </w:rPr>
        <w:t xml:space="preserve"> </w:t>
      </w:r>
      <w:proofErr w:type="spellStart"/>
      <w:r w:rsidRPr="0014151A">
        <w:rPr>
          <w:rFonts w:ascii="Times New Roman" w:eastAsia="Times New Roman" w:hAnsi="Times New Roman" w:cs="Times New Roman"/>
          <w:sz w:val="24"/>
          <w:szCs w:val="24"/>
        </w:rPr>
        <w:t>the</w:t>
      </w:r>
      <w:proofErr w:type="spellEnd"/>
      <w:r w:rsidRPr="0014151A">
        <w:rPr>
          <w:rFonts w:ascii="Times New Roman" w:eastAsia="Times New Roman" w:hAnsi="Times New Roman" w:cs="Times New Roman"/>
          <w:sz w:val="24"/>
          <w:szCs w:val="24"/>
        </w:rPr>
        <w:t xml:space="preserve"> </w:t>
      </w:r>
      <w:proofErr w:type="spellStart"/>
      <w:r w:rsidRPr="0014151A">
        <w:rPr>
          <w:rFonts w:ascii="Times New Roman" w:eastAsia="Times New Roman" w:hAnsi="Times New Roman" w:cs="Times New Roman"/>
          <w:sz w:val="24"/>
          <w:szCs w:val="24"/>
        </w:rPr>
        <w:t>World</w:t>
      </w:r>
      <w:proofErr w:type="spellEnd"/>
      <w:r w:rsidRPr="0014151A">
        <w:rPr>
          <w:rFonts w:ascii="Times New Roman" w:eastAsia="Times New Roman" w:hAnsi="Times New Roman" w:cs="Times New Roman"/>
          <w:sz w:val="24"/>
          <w:szCs w:val="24"/>
        </w:rPr>
        <w:t xml:space="preserve"> </w:t>
      </w:r>
      <w:proofErr w:type="spellStart"/>
      <w:r w:rsidRPr="0014151A">
        <w:rPr>
          <w:rFonts w:ascii="Times New Roman" w:eastAsia="Times New Roman" w:hAnsi="Times New Roman" w:cs="Times New Roman"/>
          <w:sz w:val="24"/>
          <w:szCs w:val="24"/>
        </w:rPr>
        <w:t>Commission</w:t>
      </w:r>
      <w:proofErr w:type="spellEnd"/>
      <w:r w:rsidRPr="0014151A">
        <w:rPr>
          <w:rFonts w:ascii="Times New Roman" w:eastAsia="Times New Roman" w:hAnsi="Times New Roman" w:cs="Times New Roman"/>
          <w:sz w:val="24"/>
          <w:szCs w:val="24"/>
        </w:rPr>
        <w:t xml:space="preserve"> </w:t>
      </w:r>
      <w:proofErr w:type="spellStart"/>
      <w:r w:rsidRPr="0014151A">
        <w:rPr>
          <w:rFonts w:ascii="Times New Roman" w:eastAsia="Times New Roman" w:hAnsi="Times New Roman" w:cs="Times New Roman"/>
          <w:sz w:val="24"/>
          <w:szCs w:val="24"/>
        </w:rPr>
        <w:t>on</w:t>
      </w:r>
      <w:proofErr w:type="spellEnd"/>
      <w:r w:rsidRPr="0014151A">
        <w:rPr>
          <w:rFonts w:ascii="Times New Roman" w:eastAsia="Times New Roman" w:hAnsi="Times New Roman" w:cs="Times New Roman"/>
          <w:sz w:val="24"/>
          <w:szCs w:val="24"/>
        </w:rPr>
        <w:t xml:space="preserve"> </w:t>
      </w:r>
      <w:proofErr w:type="spellStart"/>
      <w:r w:rsidRPr="0014151A">
        <w:rPr>
          <w:rFonts w:ascii="Times New Roman" w:eastAsia="Times New Roman" w:hAnsi="Times New Roman" w:cs="Times New Roman"/>
          <w:sz w:val="24"/>
          <w:szCs w:val="24"/>
        </w:rPr>
        <w:t>Protected</w:t>
      </w:r>
      <w:proofErr w:type="spellEnd"/>
      <w:r w:rsidRPr="0014151A">
        <w:rPr>
          <w:rFonts w:ascii="Times New Roman" w:eastAsia="Times New Roman" w:hAnsi="Times New Roman" w:cs="Times New Roman"/>
          <w:sz w:val="24"/>
          <w:szCs w:val="24"/>
        </w:rPr>
        <w:t xml:space="preserve"> </w:t>
      </w:r>
      <w:proofErr w:type="spellStart"/>
      <w:r w:rsidRPr="0014151A">
        <w:rPr>
          <w:rFonts w:ascii="Times New Roman" w:eastAsia="Times New Roman" w:hAnsi="Times New Roman" w:cs="Times New Roman"/>
          <w:sz w:val="24"/>
          <w:szCs w:val="24"/>
        </w:rPr>
        <w:t>Areas</w:t>
      </w:r>
      <w:proofErr w:type="spellEnd"/>
      <w:r w:rsidRPr="0014151A">
        <w:rPr>
          <w:rFonts w:ascii="Times New Roman" w:eastAsia="Times New Roman" w:hAnsi="Times New Roman" w:cs="Times New Roman"/>
          <w:sz w:val="24"/>
          <w:szCs w:val="24"/>
        </w:rPr>
        <w:t>, IUCN, No 62, pp.19</w:t>
      </w:r>
      <w:r w:rsidR="006E54AE" w:rsidRPr="0014151A">
        <w:rPr>
          <w:rFonts w:ascii="Times New Roman" w:eastAsia="Times New Roman" w:hAnsi="Times New Roman" w:cs="Times New Roman"/>
          <w:sz w:val="24"/>
          <w:szCs w:val="24"/>
        </w:rPr>
        <w:t>.</w:t>
      </w:r>
    </w:p>
    <w:p w14:paraId="635F4876" w14:textId="3B577DFB" w:rsidR="00260499" w:rsidRPr="0014151A" w:rsidRDefault="00260499" w:rsidP="0014151A">
      <w:pPr>
        <w:numPr>
          <w:ilvl w:val="0"/>
          <w:numId w:val="31"/>
        </w:numPr>
        <w:spacing w:after="0" w:line="240" w:lineRule="auto"/>
        <w:ind w:left="924" w:hanging="357"/>
        <w:jc w:val="both"/>
        <w:rPr>
          <w:rFonts w:ascii="Times New Roman" w:eastAsia="Times New Roman" w:hAnsi="Times New Roman" w:cs="Times New Roman"/>
          <w:kern w:val="2"/>
          <w:sz w:val="24"/>
          <w:szCs w:val="24"/>
          <w:lang w:eastAsia="zh-CN" w:bidi="hi-IN"/>
        </w:rPr>
      </w:pPr>
      <w:proofErr w:type="spellStart"/>
      <w:r w:rsidRPr="0014151A">
        <w:rPr>
          <w:rFonts w:ascii="Times New Roman" w:eastAsia="Times New Roman" w:hAnsi="Times New Roman" w:cs="Times New Roman"/>
          <w:color w:val="000000"/>
          <w:kern w:val="2"/>
          <w:sz w:val="24"/>
          <w:szCs w:val="24"/>
          <w:lang w:eastAsia="ja-JP" w:bidi="hi-IN"/>
        </w:rPr>
        <w:t>Pilāte</w:t>
      </w:r>
      <w:proofErr w:type="spellEnd"/>
      <w:r w:rsidRPr="0014151A">
        <w:rPr>
          <w:rFonts w:ascii="Times New Roman" w:eastAsia="Times New Roman" w:hAnsi="Times New Roman" w:cs="Times New Roman"/>
          <w:color w:val="000000"/>
          <w:kern w:val="2"/>
          <w:sz w:val="24"/>
          <w:szCs w:val="24"/>
          <w:lang w:eastAsia="ja-JP" w:bidi="hi-IN"/>
        </w:rPr>
        <w:t xml:space="preserve"> D. 1997. Augšdaugavas raksturīgāko biotopu sauszemes molusku fauna.</w:t>
      </w:r>
      <w:r w:rsidR="00D65BBA" w:rsidRPr="0014151A">
        <w:rPr>
          <w:rFonts w:ascii="Times New Roman" w:eastAsia="Times New Roman" w:hAnsi="Times New Roman" w:cs="Times New Roman"/>
          <w:color w:val="000000"/>
          <w:kern w:val="2"/>
          <w:sz w:val="24"/>
          <w:szCs w:val="24"/>
          <w:lang w:eastAsia="ja-JP" w:bidi="hi-IN"/>
        </w:rPr>
        <w:t xml:space="preserve"> </w:t>
      </w:r>
      <w:r w:rsidRPr="0014151A">
        <w:rPr>
          <w:rFonts w:ascii="Times New Roman" w:eastAsia="Times New Roman" w:hAnsi="Times New Roman" w:cs="Times New Roman"/>
          <w:color w:val="000000"/>
          <w:kern w:val="2"/>
          <w:sz w:val="24"/>
          <w:szCs w:val="24"/>
          <w:lang w:eastAsia="ja-JP" w:bidi="hi-IN"/>
        </w:rPr>
        <w:t>Daba un Muzejs 7: 20-21</w:t>
      </w:r>
      <w:r w:rsidR="00D1017B" w:rsidRPr="0014151A">
        <w:rPr>
          <w:rFonts w:ascii="Times New Roman" w:eastAsia="Times New Roman" w:hAnsi="Times New Roman" w:cs="Times New Roman"/>
          <w:color w:val="000000"/>
          <w:kern w:val="2"/>
          <w:sz w:val="24"/>
          <w:szCs w:val="24"/>
          <w:lang w:eastAsia="ja-JP" w:bidi="hi-IN"/>
        </w:rPr>
        <w:t>.</w:t>
      </w:r>
    </w:p>
    <w:p w14:paraId="596BB8DF" w14:textId="77777777" w:rsidR="00260499" w:rsidRPr="0014151A" w:rsidRDefault="00260499" w:rsidP="0014151A">
      <w:pPr>
        <w:numPr>
          <w:ilvl w:val="0"/>
          <w:numId w:val="31"/>
        </w:numPr>
        <w:spacing w:after="0" w:line="240" w:lineRule="auto"/>
        <w:ind w:left="924" w:hanging="357"/>
        <w:jc w:val="both"/>
        <w:rPr>
          <w:rFonts w:ascii="Times New Roman" w:eastAsia="Times New Roman" w:hAnsi="Times New Roman" w:cs="Times New Roman"/>
          <w:kern w:val="2"/>
          <w:sz w:val="24"/>
          <w:szCs w:val="24"/>
          <w:lang w:eastAsia="zh-CN" w:bidi="hi-IN"/>
        </w:rPr>
      </w:pPr>
      <w:proofErr w:type="spellStart"/>
      <w:r w:rsidRPr="0014151A">
        <w:rPr>
          <w:rFonts w:ascii="Times New Roman" w:eastAsia="Times New Roman" w:hAnsi="Times New Roman" w:cs="Times New Roman"/>
          <w:color w:val="000000"/>
          <w:kern w:val="2"/>
          <w:sz w:val="24"/>
          <w:szCs w:val="24"/>
          <w:lang w:eastAsia="ja-JP" w:bidi="hi-IN"/>
        </w:rPr>
        <w:t>Pilāte</w:t>
      </w:r>
      <w:proofErr w:type="spellEnd"/>
      <w:r w:rsidRPr="0014151A">
        <w:rPr>
          <w:rFonts w:ascii="Times New Roman" w:eastAsia="Times New Roman" w:hAnsi="Times New Roman" w:cs="Times New Roman"/>
          <w:color w:val="000000"/>
          <w:kern w:val="2"/>
          <w:sz w:val="24"/>
          <w:szCs w:val="24"/>
          <w:lang w:eastAsia="ja-JP" w:bidi="hi-IN"/>
        </w:rPr>
        <w:t xml:space="preserve"> D., </w:t>
      </w:r>
      <w:proofErr w:type="spellStart"/>
      <w:r w:rsidRPr="0014151A">
        <w:rPr>
          <w:rFonts w:ascii="Times New Roman" w:eastAsia="Times New Roman" w:hAnsi="Times New Roman" w:cs="Times New Roman"/>
          <w:color w:val="000000"/>
          <w:kern w:val="2"/>
          <w:sz w:val="24"/>
          <w:szCs w:val="24"/>
          <w:lang w:eastAsia="ja-JP" w:bidi="hi-IN"/>
        </w:rPr>
        <w:t>Cibuļskis</w:t>
      </w:r>
      <w:proofErr w:type="spellEnd"/>
      <w:r w:rsidRPr="0014151A">
        <w:rPr>
          <w:rFonts w:ascii="Times New Roman" w:eastAsia="Times New Roman" w:hAnsi="Times New Roman" w:cs="Times New Roman"/>
          <w:color w:val="000000"/>
          <w:kern w:val="2"/>
          <w:sz w:val="24"/>
          <w:szCs w:val="24"/>
          <w:lang w:eastAsia="ja-JP" w:bidi="hi-IN"/>
        </w:rPr>
        <w:t xml:space="preserve"> R., Jakubāne I. 2014. </w:t>
      </w:r>
      <w:proofErr w:type="spellStart"/>
      <w:r w:rsidRPr="0014151A">
        <w:rPr>
          <w:rFonts w:ascii="Times New Roman" w:eastAsia="Times New Roman" w:hAnsi="Times New Roman" w:cs="Times New Roman"/>
          <w:color w:val="000000"/>
          <w:kern w:val="2"/>
          <w:sz w:val="24"/>
          <w:szCs w:val="24"/>
          <w:lang w:eastAsia="ja-JP" w:bidi="hi-IN"/>
        </w:rPr>
        <w:t>The</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mollusc</w:t>
      </w:r>
      <w:proofErr w:type="spellEnd"/>
      <w:r w:rsidRPr="0014151A">
        <w:rPr>
          <w:rFonts w:ascii="Times New Roman" w:eastAsia="Times New Roman" w:hAnsi="Times New Roman" w:cs="Times New Roman"/>
          <w:color w:val="000000"/>
          <w:kern w:val="2"/>
          <w:sz w:val="24"/>
          <w:szCs w:val="24"/>
          <w:lang w:eastAsia="ja-JP" w:bidi="hi-IN"/>
        </w:rPr>
        <w:t xml:space="preserve"> fauna </w:t>
      </w:r>
      <w:proofErr w:type="spellStart"/>
      <w:r w:rsidRPr="0014151A">
        <w:rPr>
          <w:rFonts w:ascii="Times New Roman" w:eastAsia="Times New Roman" w:hAnsi="Times New Roman" w:cs="Times New Roman"/>
          <w:color w:val="000000"/>
          <w:kern w:val="2"/>
          <w:sz w:val="24"/>
          <w:szCs w:val="24"/>
          <w:lang w:eastAsia="ja-JP" w:bidi="hi-IN"/>
        </w:rPr>
        <w:t>of</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i/>
          <w:color w:val="000000"/>
          <w:kern w:val="2"/>
          <w:sz w:val="24"/>
          <w:szCs w:val="24"/>
          <w:lang w:eastAsia="ja-JP" w:bidi="hi-IN"/>
        </w:rPr>
        <w:t>Natura</w:t>
      </w:r>
      <w:proofErr w:type="spellEnd"/>
      <w:r w:rsidRPr="0014151A">
        <w:rPr>
          <w:rFonts w:ascii="Times New Roman" w:eastAsia="Times New Roman" w:hAnsi="Times New Roman" w:cs="Times New Roman"/>
          <w:i/>
          <w:color w:val="000000"/>
          <w:kern w:val="2"/>
          <w:sz w:val="24"/>
          <w:szCs w:val="24"/>
          <w:lang w:eastAsia="ja-JP" w:bidi="hi-IN"/>
        </w:rPr>
        <w:t xml:space="preserve"> 2000</w:t>
      </w:r>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territory</w:t>
      </w:r>
      <w:proofErr w:type="spellEnd"/>
      <w:r w:rsidRPr="0014151A">
        <w:rPr>
          <w:rFonts w:ascii="Times New Roman" w:eastAsia="Times New Roman" w:hAnsi="Times New Roman" w:cs="Times New Roman"/>
          <w:color w:val="000000"/>
          <w:kern w:val="2"/>
          <w:sz w:val="24"/>
          <w:szCs w:val="24"/>
          <w:lang w:eastAsia="ja-JP" w:bidi="hi-IN"/>
        </w:rPr>
        <w:t xml:space="preserve"> “Augšdaugava”. </w:t>
      </w:r>
      <w:proofErr w:type="spellStart"/>
      <w:r w:rsidRPr="0014151A">
        <w:rPr>
          <w:rFonts w:ascii="Times New Roman" w:eastAsia="Times New Roman" w:hAnsi="Times New Roman" w:cs="Times New Roman"/>
          <w:color w:val="000000"/>
          <w:kern w:val="2"/>
          <w:sz w:val="24"/>
          <w:szCs w:val="24"/>
          <w:lang w:eastAsia="ja-JP" w:bidi="hi-IN"/>
        </w:rPr>
        <w:t>Acta</w:t>
      </w:r>
      <w:proofErr w:type="spellEnd"/>
      <w:r w:rsidRPr="0014151A">
        <w:rPr>
          <w:rFonts w:ascii="Times New Roman" w:eastAsia="Times New Roman" w:hAnsi="Times New Roman" w:cs="Times New Roman"/>
          <w:color w:val="000000"/>
          <w:kern w:val="2"/>
          <w:sz w:val="24"/>
          <w:szCs w:val="24"/>
          <w:lang w:eastAsia="ja-JP" w:bidi="hi-IN"/>
        </w:rPr>
        <w:t xml:space="preserve"> Biol.Univ.Daugavp.14 (1): 85-96.</w:t>
      </w:r>
    </w:p>
    <w:p w14:paraId="14A03355" w14:textId="77777777" w:rsidR="00260499" w:rsidRPr="0014151A" w:rsidRDefault="00260499" w:rsidP="0014151A">
      <w:pPr>
        <w:numPr>
          <w:ilvl w:val="0"/>
          <w:numId w:val="31"/>
        </w:numPr>
        <w:spacing w:after="0" w:line="240" w:lineRule="auto"/>
        <w:ind w:left="924" w:hanging="357"/>
        <w:jc w:val="both"/>
        <w:rPr>
          <w:rFonts w:ascii="Times New Roman" w:eastAsia="Times New Roman" w:hAnsi="Times New Roman" w:cs="Times New Roman"/>
          <w:kern w:val="2"/>
          <w:sz w:val="24"/>
          <w:szCs w:val="24"/>
          <w:lang w:eastAsia="zh-CN" w:bidi="hi-IN"/>
        </w:rPr>
      </w:pPr>
      <w:proofErr w:type="spellStart"/>
      <w:r w:rsidRPr="0014151A">
        <w:rPr>
          <w:rFonts w:ascii="Times New Roman" w:eastAsia="Times New Roman" w:hAnsi="Times New Roman" w:cs="Times New Roman"/>
          <w:color w:val="000000"/>
          <w:kern w:val="2"/>
          <w:sz w:val="24"/>
          <w:szCs w:val="24"/>
          <w:lang w:eastAsia="ja-JP" w:bidi="hi-IN"/>
        </w:rPr>
        <w:t>Pilāte</w:t>
      </w:r>
      <w:proofErr w:type="spellEnd"/>
      <w:r w:rsidRPr="0014151A">
        <w:rPr>
          <w:rFonts w:ascii="Times New Roman" w:eastAsia="Times New Roman" w:hAnsi="Times New Roman" w:cs="Times New Roman"/>
          <w:color w:val="000000"/>
          <w:kern w:val="2"/>
          <w:sz w:val="24"/>
          <w:szCs w:val="24"/>
          <w:lang w:eastAsia="ja-JP" w:bidi="hi-IN"/>
        </w:rPr>
        <w:t xml:space="preserve"> D., </w:t>
      </w:r>
      <w:proofErr w:type="spellStart"/>
      <w:r w:rsidRPr="0014151A">
        <w:rPr>
          <w:rFonts w:ascii="Times New Roman" w:eastAsia="Times New Roman" w:hAnsi="Times New Roman" w:cs="Times New Roman"/>
          <w:color w:val="000000"/>
          <w:kern w:val="2"/>
          <w:sz w:val="24"/>
          <w:szCs w:val="24"/>
          <w:lang w:eastAsia="ja-JP" w:bidi="hi-IN"/>
        </w:rPr>
        <w:t>Gurčonoks</w:t>
      </w:r>
      <w:proofErr w:type="spellEnd"/>
      <w:r w:rsidRPr="0014151A">
        <w:rPr>
          <w:rFonts w:ascii="Times New Roman" w:eastAsia="Times New Roman" w:hAnsi="Times New Roman" w:cs="Times New Roman"/>
          <w:color w:val="000000"/>
          <w:kern w:val="2"/>
          <w:sz w:val="24"/>
          <w:szCs w:val="24"/>
          <w:lang w:eastAsia="ja-JP" w:bidi="hi-IN"/>
        </w:rPr>
        <w:t xml:space="preserve"> I., Jakubāne I., </w:t>
      </w:r>
      <w:proofErr w:type="spellStart"/>
      <w:r w:rsidRPr="0014151A">
        <w:rPr>
          <w:rFonts w:ascii="Times New Roman" w:eastAsia="Times New Roman" w:hAnsi="Times New Roman" w:cs="Times New Roman"/>
          <w:color w:val="000000"/>
          <w:kern w:val="2"/>
          <w:sz w:val="24"/>
          <w:szCs w:val="24"/>
          <w:lang w:eastAsia="ja-JP" w:bidi="hi-IN"/>
        </w:rPr>
        <w:t>Zolovs</w:t>
      </w:r>
      <w:proofErr w:type="spellEnd"/>
      <w:r w:rsidRPr="0014151A">
        <w:rPr>
          <w:rFonts w:ascii="Times New Roman" w:eastAsia="Times New Roman" w:hAnsi="Times New Roman" w:cs="Times New Roman"/>
          <w:color w:val="000000"/>
          <w:kern w:val="2"/>
          <w:sz w:val="24"/>
          <w:szCs w:val="24"/>
          <w:lang w:eastAsia="ja-JP" w:bidi="hi-IN"/>
        </w:rPr>
        <w:t xml:space="preserve"> M. 2017. </w:t>
      </w:r>
      <w:proofErr w:type="spellStart"/>
      <w:r w:rsidRPr="0014151A">
        <w:rPr>
          <w:rFonts w:ascii="Times New Roman" w:eastAsia="Times New Roman" w:hAnsi="Times New Roman" w:cs="Times New Roman"/>
          <w:color w:val="000000"/>
          <w:kern w:val="2"/>
          <w:sz w:val="24"/>
          <w:szCs w:val="24"/>
          <w:lang w:eastAsia="ja-JP" w:bidi="hi-IN"/>
        </w:rPr>
        <w:t>The</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habitat</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of</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mask</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snail</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i/>
          <w:iCs/>
          <w:color w:val="000000"/>
          <w:kern w:val="2"/>
          <w:sz w:val="24"/>
          <w:szCs w:val="24"/>
          <w:lang w:eastAsia="ja-JP" w:bidi="hi-IN"/>
        </w:rPr>
        <w:t>Isognomostoma</w:t>
      </w:r>
      <w:proofErr w:type="spellEnd"/>
      <w:r w:rsidRPr="0014151A">
        <w:rPr>
          <w:rFonts w:ascii="Times New Roman" w:eastAsia="Times New Roman" w:hAnsi="Times New Roman" w:cs="Times New Roman"/>
          <w:i/>
          <w:iCs/>
          <w:color w:val="000000"/>
          <w:kern w:val="2"/>
          <w:sz w:val="24"/>
          <w:szCs w:val="24"/>
          <w:lang w:eastAsia="ja-JP" w:bidi="hi-IN"/>
        </w:rPr>
        <w:t xml:space="preserve"> </w:t>
      </w:r>
      <w:proofErr w:type="spellStart"/>
      <w:r w:rsidRPr="0014151A">
        <w:rPr>
          <w:rFonts w:ascii="Times New Roman" w:eastAsia="Times New Roman" w:hAnsi="Times New Roman" w:cs="Times New Roman"/>
          <w:i/>
          <w:iCs/>
          <w:color w:val="000000"/>
          <w:kern w:val="2"/>
          <w:sz w:val="24"/>
          <w:szCs w:val="24"/>
          <w:lang w:eastAsia="ja-JP" w:bidi="hi-IN"/>
        </w:rPr>
        <w:t>isognomostomos</w:t>
      </w:r>
      <w:proofErr w:type="spellEnd"/>
      <w:r w:rsidRPr="0014151A">
        <w:rPr>
          <w:rFonts w:ascii="Times New Roman" w:eastAsia="Times New Roman" w:hAnsi="Times New Roman" w:cs="Times New Roman"/>
          <w:color w:val="000000"/>
          <w:kern w:val="2"/>
          <w:sz w:val="24"/>
          <w:szCs w:val="24"/>
          <w:lang w:eastAsia="ja-JP" w:bidi="hi-IN"/>
        </w:rPr>
        <w:t xml:space="preserve"> SCHRÖTER </w:t>
      </w:r>
      <w:proofErr w:type="spellStart"/>
      <w:r w:rsidRPr="0014151A">
        <w:rPr>
          <w:rFonts w:ascii="Times New Roman" w:eastAsia="Times New Roman" w:hAnsi="Times New Roman" w:cs="Times New Roman"/>
          <w:color w:val="000000"/>
          <w:kern w:val="2"/>
          <w:sz w:val="24"/>
          <w:szCs w:val="24"/>
          <w:lang w:eastAsia="ja-JP" w:bidi="hi-IN"/>
        </w:rPr>
        <w:t>in</w:t>
      </w:r>
      <w:proofErr w:type="spellEnd"/>
      <w:r w:rsidRPr="0014151A">
        <w:rPr>
          <w:rFonts w:ascii="Times New Roman" w:eastAsia="Times New Roman" w:hAnsi="Times New Roman" w:cs="Times New Roman"/>
          <w:color w:val="000000"/>
          <w:kern w:val="2"/>
          <w:sz w:val="24"/>
          <w:szCs w:val="24"/>
          <w:lang w:eastAsia="ja-JP" w:bidi="hi-IN"/>
        </w:rPr>
        <w:t xml:space="preserve"> Latvia. </w:t>
      </w:r>
      <w:proofErr w:type="spellStart"/>
      <w:r w:rsidRPr="0014151A">
        <w:rPr>
          <w:rFonts w:ascii="Times New Roman" w:eastAsia="Times New Roman" w:hAnsi="Times New Roman" w:cs="Times New Roman"/>
          <w:color w:val="000000"/>
          <w:kern w:val="2"/>
          <w:sz w:val="24"/>
          <w:szCs w:val="24"/>
          <w:lang w:eastAsia="ja-JP" w:bidi="hi-IN"/>
        </w:rPr>
        <w:t>Acta</w:t>
      </w:r>
      <w:proofErr w:type="spellEnd"/>
      <w:r w:rsidRPr="0014151A">
        <w:rPr>
          <w:rFonts w:ascii="Times New Roman" w:eastAsia="Times New Roman" w:hAnsi="Times New Roman" w:cs="Times New Roman"/>
          <w:color w:val="000000"/>
          <w:kern w:val="2"/>
          <w:sz w:val="24"/>
          <w:szCs w:val="24"/>
          <w:lang w:eastAsia="ja-JP" w:bidi="hi-IN"/>
        </w:rPr>
        <w:t xml:space="preserve"> Biol. </w:t>
      </w:r>
      <w:proofErr w:type="spellStart"/>
      <w:r w:rsidRPr="0014151A">
        <w:rPr>
          <w:rFonts w:ascii="Times New Roman" w:eastAsia="Times New Roman" w:hAnsi="Times New Roman" w:cs="Times New Roman"/>
          <w:color w:val="000000"/>
          <w:kern w:val="2"/>
          <w:sz w:val="24"/>
          <w:szCs w:val="24"/>
          <w:lang w:eastAsia="ja-JP" w:bidi="hi-IN"/>
        </w:rPr>
        <w:t>Univ</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Daugavp</w:t>
      </w:r>
      <w:proofErr w:type="spellEnd"/>
      <w:r w:rsidRPr="0014151A">
        <w:rPr>
          <w:rFonts w:ascii="Times New Roman" w:eastAsia="Times New Roman" w:hAnsi="Times New Roman" w:cs="Times New Roman"/>
          <w:color w:val="000000"/>
          <w:kern w:val="2"/>
          <w:sz w:val="24"/>
          <w:szCs w:val="24"/>
          <w:lang w:eastAsia="ja-JP" w:bidi="hi-IN"/>
        </w:rPr>
        <w:t>., 17 (2): 257– 268.</w:t>
      </w:r>
    </w:p>
    <w:p w14:paraId="60DE0211" w14:textId="2688DFBA" w:rsidR="00260499" w:rsidRPr="0014151A" w:rsidRDefault="00260499" w:rsidP="0014151A">
      <w:pPr>
        <w:numPr>
          <w:ilvl w:val="0"/>
          <w:numId w:val="31"/>
        </w:numPr>
        <w:spacing w:after="0" w:line="240" w:lineRule="auto"/>
        <w:ind w:left="924" w:hanging="357"/>
        <w:jc w:val="both"/>
        <w:rPr>
          <w:rFonts w:ascii="Times New Roman" w:eastAsia="Times New Roman" w:hAnsi="Times New Roman" w:cs="Times New Roman"/>
          <w:kern w:val="2"/>
          <w:sz w:val="24"/>
          <w:szCs w:val="24"/>
          <w:lang w:eastAsia="zh-CN" w:bidi="hi-IN"/>
        </w:rPr>
      </w:pPr>
      <w:proofErr w:type="spellStart"/>
      <w:r w:rsidRPr="0014151A">
        <w:rPr>
          <w:rFonts w:ascii="Times New Roman" w:eastAsia="Times New Roman" w:hAnsi="Times New Roman" w:cs="Times New Roman"/>
          <w:color w:val="000000"/>
          <w:kern w:val="2"/>
          <w:sz w:val="24"/>
          <w:szCs w:val="24"/>
          <w:lang w:eastAsia="ja-JP" w:bidi="hi-IN"/>
        </w:rPr>
        <w:t>Pilāte</w:t>
      </w:r>
      <w:proofErr w:type="spellEnd"/>
      <w:r w:rsidRPr="0014151A">
        <w:rPr>
          <w:rFonts w:ascii="Times New Roman" w:eastAsia="Times New Roman" w:hAnsi="Times New Roman" w:cs="Times New Roman"/>
          <w:color w:val="000000"/>
          <w:kern w:val="2"/>
          <w:sz w:val="24"/>
          <w:szCs w:val="24"/>
          <w:lang w:eastAsia="ja-JP" w:bidi="hi-IN"/>
        </w:rPr>
        <w:t xml:space="preserve"> D., Rudzīte M., Svilāns A. 1994. Jaunas gliemežu sugas Latvijas faunā. DPU DIVIC IB 7/94:8-9</w:t>
      </w:r>
      <w:r w:rsidR="00D1017B" w:rsidRPr="0014151A">
        <w:rPr>
          <w:rFonts w:ascii="Times New Roman" w:eastAsia="Times New Roman" w:hAnsi="Times New Roman" w:cs="Times New Roman"/>
          <w:color w:val="000000"/>
          <w:kern w:val="2"/>
          <w:sz w:val="24"/>
          <w:szCs w:val="24"/>
          <w:lang w:eastAsia="ja-JP" w:bidi="hi-IN"/>
        </w:rPr>
        <w:t>.</w:t>
      </w:r>
    </w:p>
    <w:p w14:paraId="5C1DD9B1" w14:textId="45CA218F" w:rsidR="00204B25" w:rsidRDefault="00204B25" w:rsidP="00373EFD">
      <w:pPr>
        <w:numPr>
          <w:ilvl w:val="0"/>
          <w:numId w:val="31"/>
        </w:numPr>
        <w:spacing w:after="0" w:line="240" w:lineRule="auto"/>
        <w:ind w:left="924" w:hanging="357"/>
        <w:jc w:val="both"/>
        <w:rPr>
          <w:rFonts w:ascii="Times New Roman" w:eastAsia="Times New Roman" w:hAnsi="Times New Roman" w:cs="Times New Roman"/>
          <w:kern w:val="2"/>
          <w:sz w:val="24"/>
          <w:szCs w:val="24"/>
          <w:lang w:eastAsia="zh-CN" w:bidi="hi-IN"/>
        </w:rPr>
      </w:pPr>
      <w:proofErr w:type="spellStart"/>
      <w:r w:rsidRPr="0014151A">
        <w:rPr>
          <w:rFonts w:ascii="Times New Roman" w:eastAsia="Times New Roman" w:hAnsi="Times New Roman" w:cs="Times New Roman"/>
          <w:kern w:val="2"/>
          <w:sz w:val="24"/>
          <w:szCs w:val="24"/>
          <w:lang w:eastAsia="zh-CN" w:bidi="hi-IN"/>
        </w:rPr>
        <w:t>Piterāns</w:t>
      </w:r>
      <w:proofErr w:type="spellEnd"/>
      <w:r w:rsidRPr="0014151A">
        <w:rPr>
          <w:rFonts w:ascii="Times New Roman" w:eastAsia="Times New Roman" w:hAnsi="Times New Roman" w:cs="Times New Roman"/>
          <w:kern w:val="2"/>
          <w:sz w:val="24"/>
          <w:szCs w:val="24"/>
          <w:lang w:eastAsia="zh-CN" w:bidi="hi-IN"/>
        </w:rPr>
        <w:t xml:space="preserve"> A. 1981. Ķērpji un to aizsardzība. Latvijas PSR floras aizsardzības aktuālās problēmas.</w:t>
      </w:r>
      <w:r w:rsidRPr="0014151A">
        <w:rPr>
          <w:rFonts w:ascii="TimesNewRoman" w:hAnsi="TimesNewRoman" w:cs="TimesNewRoman"/>
          <w:sz w:val="24"/>
          <w:szCs w:val="24"/>
        </w:rPr>
        <w:t xml:space="preserve"> </w:t>
      </w:r>
      <w:r w:rsidRPr="0014151A">
        <w:rPr>
          <w:rFonts w:ascii="Times New Roman" w:eastAsia="Times New Roman" w:hAnsi="Times New Roman" w:cs="Times New Roman"/>
          <w:kern w:val="2"/>
          <w:sz w:val="24"/>
          <w:szCs w:val="24"/>
          <w:lang w:eastAsia="zh-CN" w:bidi="hi-IN"/>
        </w:rPr>
        <w:t>Rīga, 49 – 52.</w:t>
      </w:r>
    </w:p>
    <w:p w14:paraId="6CDE1A22" w14:textId="29D0BC10" w:rsidR="00AE5164" w:rsidRPr="00373EFD" w:rsidRDefault="00373EFD" w:rsidP="00373EFD">
      <w:pPr>
        <w:pStyle w:val="ListParagraph"/>
        <w:numPr>
          <w:ilvl w:val="0"/>
          <w:numId w:val="31"/>
        </w:numPr>
        <w:spacing w:after="0" w:line="240" w:lineRule="auto"/>
        <w:rPr>
          <w:rFonts w:eastAsia="Times New Roman" w:cs="Times New Roman"/>
          <w:kern w:val="2"/>
          <w:szCs w:val="24"/>
          <w:lang w:eastAsia="zh-CN" w:bidi="hi-IN"/>
        </w:rPr>
      </w:pPr>
      <w:proofErr w:type="spellStart"/>
      <w:r w:rsidRPr="00373EFD">
        <w:rPr>
          <w:rFonts w:eastAsia="Times New Roman" w:cs="Times New Roman"/>
          <w:kern w:val="2"/>
          <w:szCs w:val="24"/>
          <w:lang w:eastAsia="zh-CN" w:bidi="hi-IN"/>
        </w:rPr>
        <w:t>Piterāns</w:t>
      </w:r>
      <w:proofErr w:type="spellEnd"/>
      <w:r w:rsidRPr="00373EFD">
        <w:rPr>
          <w:rFonts w:eastAsia="Times New Roman" w:cs="Times New Roman"/>
          <w:kern w:val="2"/>
          <w:szCs w:val="24"/>
          <w:lang w:eastAsia="zh-CN" w:bidi="hi-IN"/>
        </w:rPr>
        <w:t xml:space="preserve"> A., un Vimba E. 1996. Latvijas Sarkanā grāmata. 1. sējums. Sēnes un ķērpji. Rīga: LU Bioloģijas institūts, 202 lpp.</w:t>
      </w:r>
    </w:p>
    <w:p w14:paraId="0B60D164" w14:textId="4243F827" w:rsidR="00564096" w:rsidRPr="0014151A" w:rsidRDefault="00564096" w:rsidP="00373EFD">
      <w:pPr>
        <w:numPr>
          <w:ilvl w:val="0"/>
          <w:numId w:val="31"/>
        </w:numPr>
        <w:spacing w:after="0" w:line="240" w:lineRule="auto"/>
        <w:ind w:left="924" w:hanging="357"/>
        <w:jc w:val="both"/>
        <w:rPr>
          <w:rFonts w:ascii="Times New Roman" w:eastAsia="Times New Roman" w:hAnsi="Times New Roman" w:cs="Times New Roman"/>
          <w:kern w:val="2"/>
          <w:sz w:val="24"/>
          <w:szCs w:val="24"/>
          <w:lang w:eastAsia="zh-CN" w:bidi="hi-IN"/>
        </w:rPr>
      </w:pPr>
      <w:r w:rsidRPr="0014151A">
        <w:rPr>
          <w:rFonts w:ascii="Times New Roman" w:eastAsia="Times New Roman" w:hAnsi="Times New Roman" w:cs="Times New Roman"/>
          <w:kern w:val="2"/>
          <w:sz w:val="24"/>
          <w:szCs w:val="24"/>
          <w:lang w:eastAsia="zh-CN" w:bidi="hi-IN"/>
        </w:rPr>
        <w:t xml:space="preserve">Priede A. 2017. Aizsargājamo biotopu saglabāšanas vadlīnijas Latvijā. 4. sējums. Purvi, avoti un </w:t>
      </w:r>
      <w:proofErr w:type="spellStart"/>
      <w:r w:rsidRPr="0014151A">
        <w:rPr>
          <w:rFonts w:ascii="Times New Roman" w:eastAsia="Times New Roman" w:hAnsi="Times New Roman" w:cs="Times New Roman"/>
          <w:kern w:val="2"/>
          <w:sz w:val="24"/>
          <w:szCs w:val="24"/>
          <w:lang w:eastAsia="zh-CN" w:bidi="hi-IN"/>
        </w:rPr>
        <w:t>avoksnāji</w:t>
      </w:r>
      <w:proofErr w:type="spellEnd"/>
      <w:r w:rsidRPr="0014151A">
        <w:rPr>
          <w:rFonts w:ascii="Times New Roman" w:eastAsia="Times New Roman" w:hAnsi="Times New Roman" w:cs="Times New Roman"/>
          <w:kern w:val="2"/>
          <w:sz w:val="24"/>
          <w:szCs w:val="24"/>
          <w:lang w:eastAsia="zh-CN" w:bidi="hi-IN"/>
        </w:rPr>
        <w:t>. Dabas aizsardzības pārvalde, Sigulda, 208 lpp.</w:t>
      </w:r>
    </w:p>
    <w:p w14:paraId="40023D3D" w14:textId="77777777" w:rsidR="00260499" w:rsidRPr="0014151A" w:rsidRDefault="00260499" w:rsidP="0014151A">
      <w:pPr>
        <w:numPr>
          <w:ilvl w:val="0"/>
          <w:numId w:val="31"/>
        </w:numPr>
        <w:spacing w:after="0" w:line="240" w:lineRule="auto"/>
        <w:jc w:val="both"/>
        <w:rPr>
          <w:rFonts w:ascii="Times New Roman" w:eastAsia="Times New Roman" w:hAnsi="Times New Roman" w:cs="Times New Roman"/>
          <w:kern w:val="2"/>
          <w:sz w:val="24"/>
          <w:szCs w:val="24"/>
          <w:lang w:eastAsia="zh-CN" w:bidi="hi-IN"/>
        </w:rPr>
      </w:pPr>
      <w:r w:rsidRPr="0014151A">
        <w:rPr>
          <w:rFonts w:ascii="Times New Roman" w:eastAsia="Times New Roman" w:hAnsi="Times New Roman" w:cs="Times New Roman"/>
          <w:color w:val="000000"/>
          <w:kern w:val="2"/>
          <w:sz w:val="24"/>
          <w:szCs w:val="24"/>
          <w:lang w:eastAsia="ja-JP" w:bidi="hi-IN"/>
        </w:rPr>
        <w:t>Priedītis N. 1993. Latvijas purvainie meži un to aizsardzība. Rīga, WWF – Pasaules Dabas fonds, 74 lpp.</w:t>
      </w:r>
    </w:p>
    <w:p w14:paraId="30F418B0" w14:textId="77777777" w:rsidR="00260499" w:rsidRPr="0014151A" w:rsidRDefault="00260499" w:rsidP="0014151A">
      <w:pPr>
        <w:numPr>
          <w:ilvl w:val="0"/>
          <w:numId w:val="31"/>
        </w:numPr>
        <w:spacing w:after="0" w:line="240" w:lineRule="auto"/>
        <w:jc w:val="both"/>
        <w:rPr>
          <w:rFonts w:ascii="Times New Roman" w:eastAsia="Times New Roman" w:hAnsi="Times New Roman" w:cs="Times New Roman"/>
          <w:kern w:val="2"/>
          <w:sz w:val="24"/>
          <w:szCs w:val="24"/>
          <w:lang w:eastAsia="zh-CN" w:bidi="hi-IN"/>
        </w:rPr>
      </w:pPr>
      <w:r w:rsidRPr="0014151A">
        <w:rPr>
          <w:rFonts w:ascii="Times New Roman" w:eastAsia="Times New Roman" w:hAnsi="Times New Roman" w:cs="Times New Roman"/>
          <w:color w:val="000000"/>
          <w:kern w:val="2"/>
          <w:sz w:val="24"/>
          <w:szCs w:val="24"/>
          <w:lang w:eastAsia="ja-JP" w:bidi="hi-IN"/>
        </w:rPr>
        <w:t>Priedītis N. 1999. Latvijas mežs: daba un daudzveidība. Rīga, WWF – Pasaules dabas fonds, 209 lpp.</w:t>
      </w:r>
    </w:p>
    <w:p w14:paraId="3BCA0334" w14:textId="555DC066" w:rsidR="00E26F90" w:rsidRPr="0014151A" w:rsidRDefault="00E26F90" w:rsidP="0014151A">
      <w:pPr>
        <w:numPr>
          <w:ilvl w:val="0"/>
          <w:numId w:val="31"/>
        </w:numPr>
        <w:spacing w:after="0" w:line="240" w:lineRule="auto"/>
        <w:ind w:left="924" w:hanging="357"/>
        <w:jc w:val="both"/>
        <w:rPr>
          <w:rFonts w:ascii="Times New Roman" w:eastAsia="Times New Roman" w:hAnsi="Times New Roman" w:cs="Times New Roman"/>
          <w:kern w:val="2"/>
          <w:sz w:val="24"/>
          <w:szCs w:val="24"/>
          <w:lang w:eastAsia="zh-CN" w:bidi="hi-IN"/>
        </w:rPr>
      </w:pPr>
      <w:r w:rsidRPr="0014151A">
        <w:rPr>
          <w:rFonts w:ascii="Times New Roman" w:eastAsia="Times New Roman" w:hAnsi="Times New Roman" w:cs="Times New Roman"/>
          <w:kern w:val="2"/>
          <w:sz w:val="24"/>
          <w:szCs w:val="24"/>
          <w:lang w:eastAsia="zh-CN" w:bidi="hi-IN"/>
        </w:rPr>
        <w:t>Priedītis N. 2014. Enciklopēdija. Latvijas augi. 888 lpp.</w:t>
      </w:r>
    </w:p>
    <w:p w14:paraId="1F63F560" w14:textId="52AD02C0" w:rsidR="00260499" w:rsidRPr="0014151A" w:rsidRDefault="00260499" w:rsidP="0014151A">
      <w:pPr>
        <w:numPr>
          <w:ilvl w:val="0"/>
          <w:numId w:val="31"/>
        </w:numPr>
        <w:tabs>
          <w:tab w:val="left" w:pos="426"/>
        </w:tabs>
        <w:spacing w:after="0" w:line="240" w:lineRule="auto"/>
        <w:ind w:left="924" w:hanging="357"/>
        <w:jc w:val="both"/>
        <w:rPr>
          <w:rFonts w:ascii="Times New Roman" w:eastAsia="Times New Roman" w:hAnsi="Times New Roman" w:cs="Times New Roman"/>
          <w:kern w:val="2"/>
          <w:sz w:val="24"/>
          <w:szCs w:val="24"/>
          <w:lang w:eastAsia="zh-CN" w:bidi="hi-IN"/>
        </w:rPr>
      </w:pPr>
      <w:r w:rsidRPr="0014151A">
        <w:rPr>
          <w:rFonts w:ascii="Times New Roman" w:eastAsia="Times New Roman" w:hAnsi="Times New Roman" w:cs="Times New Roman"/>
          <w:kern w:val="2"/>
          <w:sz w:val="24"/>
          <w:szCs w:val="24"/>
          <w:lang w:eastAsia="zh-CN" w:bidi="hi-IN"/>
        </w:rPr>
        <w:t>Priednieks J., Strazds M., Strazds A., Petriņš A. 1989. Latvijas ligzdojošo putnu atlants (1980-1984). Rīga.</w:t>
      </w:r>
    </w:p>
    <w:p w14:paraId="4FD85E26" w14:textId="541304FC" w:rsidR="00B23EB3" w:rsidRPr="0014151A" w:rsidRDefault="00B23EB3" w:rsidP="0014151A">
      <w:pPr>
        <w:numPr>
          <w:ilvl w:val="0"/>
          <w:numId w:val="31"/>
        </w:numPr>
        <w:tabs>
          <w:tab w:val="left" w:pos="426"/>
        </w:tabs>
        <w:spacing w:after="0" w:line="240" w:lineRule="auto"/>
        <w:ind w:left="924" w:hanging="357"/>
        <w:jc w:val="both"/>
        <w:rPr>
          <w:rFonts w:ascii="Times New Roman" w:eastAsia="Times New Roman" w:hAnsi="Times New Roman" w:cs="Times New Roman"/>
          <w:kern w:val="2"/>
          <w:sz w:val="24"/>
          <w:szCs w:val="24"/>
          <w:lang w:eastAsia="zh-CN" w:bidi="hi-IN"/>
        </w:rPr>
      </w:pPr>
      <w:proofErr w:type="spellStart"/>
      <w:r w:rsidRPr="0014151A">
        <w:rPr>
          <w:rFonts w:ascii="Times New Roman" w:eastAsia="Times New Roman" w:hAnsi="Times New Roman" w:cs="Times New Roman"/>
          <w:kern w:val="2"/>
          <w:sz w:val="24"/>
          <w:szCs w:val="24"/>
          <w:lang w:eastAsia="zh-CN" w:bidi="hi-IN"/>
        </w:rPr>
        <w:t>Pupins</w:t>
      </w:r>
      <w:proofErr w:type="spellEnd"/>
      <w:r w:rsidRPr="0014151A">
        <w:rPr>
          <w:rFonts w:ascii="Times New Roman" w:eastAsia="Times New Roman" w:hAnsi="Times New Roman" w:cs="Times New Roman"/>
          <w:kern w:val="2"/>
          <w:sz w:val="24"/>
          <w:szCs w:val="24"/>
          <w:lang w:eastAsia="zh-CN" w:bidi="hi-IN"/>
        </w:rPr>
        <w:t xml:space="preserve"> M., </w:t>
      </w:r>
      <w:proofErr w:type="spellStart"/>
      <w:r w:rsidRPr="0014151A">
        <w:rPr>
          <w:rFonts w:ascii="Times New Roman" w:eastAsia="Times New Roman" w:hAnsi="Times New Roman" w:cs="Times New Roman"/>
          <w:kern w:val="2"/>
          <w:sz w:val="24"/>
          <w:szCs w:val="24"/>
          <w:lang w:eastAsia="zh-CN" w:bidi="hi-IN"/>
        </w:rPr>
        <w:t>Pupina</w:t>
      </w:r>
      <w:proofErr w:type="spellEnd"/>
      <w:r w:rsidRPr="0014151A">
        <w:rPr>
          <w:rFonts w:ascii="Times New Roman" w:eastAsia="Times New Roman" w:hAnsi="Times New Roman" w:cs="Times New Roman"/>
          <w:kern w:val="2"/>
          <w:sz w:val="24"/>
          <w:szCs w:val="24"/>
          <w:lang w:eastAsia="zh-CN" w:bidi="hi-IN"/>
        </w:rPr>
        <w:t xml:space="preserve"> A., </w:t>
      </w:r>
      <w:proofErr w:type="spellStart"/>
      <w:r w:rsidRPr="0014151A">
        <w:rPr>
          <w:rFonts w:ascii="Times New Roman" w:eastAsia="Times New Roman" w:hAnsi="Times New Roman" w:cs="Times New Roman"/>
          <w:kern w:val="2"/>
          <w:sz w:val="24"/>
          <w:szCs w:val="24"/>
          <w:lang w:eastAsia="zh-CN" w:bidi="hi-IN"/>
        </w:rPr>
        <w:t>Pupina</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Ag</w:t>
      </w:r>
      <w:proofErr w:type="spellEnd"/>
      <w:r w:rsidRPr="0014151A">
        <w:rPr>
          <w:rFonts w:ascii="Times New Roman" w:eastAsia="Times New Roman" w:hAnsi="Times New Roman" w:cs="Times New Roman"/>
          <w:kern w:val="2"/>
          <w:sz w:val="24"/>
          <w:szCs w:val="24"/>
          <w:lang w:eastAsia="zh-CN" w:bidi="hi-IN"/>
        </w:rPr>
        <w:t>. 2017</w:t>
      </w:r>
      <w:r w:rsidR="00473AE5" w:rsidRPr="0014151A">
        <w:rPr>
          <w:rFonts w:ascii="Times New Roman" w:eastAsia="Times New Roman" w:hAnsi="Times New Roman" w:cs="Times New Roman"/>
          <w:kern w:val="2"/>
          <w:sz w:val="24"/>
          <w:szCs w:val="24"/>
          <w:lang w:eastAsia="zh-CN" w:bidi="hi-IN"/>
        </w:rPr>
        <w:t>.</w:t>
      </w:r>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Updated</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Distribution</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of</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the</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European</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Pond</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Turtle</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Emys</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orbicularis</w:t>
      </w:r>
      <w:proofErr w:type="spellEnd"/>
      <w:r w:rsidRPr="0014151A">
        <w:rPr>
          <w:rFonts w:ascii="Times New Roman" w:eastAsia="Times New Roman" w:hAnsi="Times New Roman" w:cs="Times New Roman"/>
          <w:kern w:val="2"/>
          <w:sz w:val="24"/>
          <w:szCs w:val="24"/>
          <w:lang w:eastAsia="zh-CN" w:bidi="hi-IN"/>
        </w:rPr>
        <w:t xml:space="preserve"> (L., 1758) (</w:t>
      </w:r>
      <w:proofErr w:type="spellStart"/>
      <w:r w:rsidRPr="0014151A">
        <w:rPr>
          <w:rFonts w:ascii="Times New Roman" w:eastAsia="Times New Roman" w:hAnsi="Times New Roman" w:cs="Times New Roman"/>
          <w:kern w:val="2"/>
          <w:sz w:val="24"/>
          <w:szCs w:val="24"/>
          <w:lang w:eastAsia="zh-CN" w:bidi="hi-IN"/>
        </w:rPr>
        <w:t>Emydidae</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on</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the</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Extreme</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Northern</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Border</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of</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its</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European</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Range</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in</w:t>
      </w:r>
      <w:proofErr w:type="spellEnd"/>
      <w:r w:rsidRPr="0014151A">
        <w:rPr>
          <w:rFonts w:ascii="Times New Roman" w:eastAsia="Times New Roman" w:hAnsi="Times New Roman" w:cs="Times New Roman"/>
          <w:kern w:val="2"/>
          <w:sz w:val="24"/>
          <w:szCs w:val="24"/>
          <w:lang w:eastAsia="zh-CN" w:bidi="hi-IN"/>
        </w:rPr>
        <w:t xml:space="preserve"> Latvia. - </w:t>
      </w:r>
      <w:proofErr w:type="spellStart"/>
      <w:r w:rsidRPr="0014151A">
        <w:rPr>
          <w:rFonts w:ascii="Times New Roman" w:eastAsia="Times New Roman" w:hAnsi="Times New Roman" w:cs="Times New Roman"/>
          <w:kern w:val="2"/>
          <w:sz w:val="24"/>
          <w:szCs w:val="24"/>
          <w:lang w:eastAsia="zh-CN" w:bidi="hi-IN"/>
        </w:rPr>
        <w:t>Acta</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Zoologica</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Bulgarica</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Supplement</w:t>
      </w:r>
      <w:proofErr w:type="spellEnd"/>
      <w:r w:rsidRPr="0014151A">
        <w:rPr>
          <w:rFonts w:ascii="Times New Roman" w:eastAsia="Times New Roman" w:hAnsi="Times New Roman" w:cs="Times New Roman"/>
          <w:kern w:val="2"/>
          <w:sz w:val="24"/>
          <w:szCs w:val="24"/>
          <w:lang w:eastAsia="zh-CN" w:bidi="hi-IN"/>
        </w:rPr>
        <w:t xml:space="preserve"> 10: 133-137.</w:t>
      </w:r>
    </w:p>
    <w:p w14:paraId="3AA0BF22" w14:textId="47B6266F" w:rsidR="00B23EB3" w:rsidRPr="0014151A" w:rsidRDefault="00B23EB3" w:rsidP="0014151A">
      <w:pPr>
        <w:numPr>
          <w:ilvl w:val="0"/>
          <w:numId w:val="31"/>
        </w:numPr>
        <w:tabs>
          <w:tab w:val="left" w:pos="426"/>
        </w:tabs>
        <w:spacing w:after="0" w:line="240" w:lineRule="auto"/>
        <w:ind w:left="924" w:hanging="357"/>
        <w:jc w:val="both"/>
        <w:rPr>
          <w:rFonts w:ascii="Times New Roman" w:eastAsia="Times New Roman" w:hAnsi="Times New Roman" w:cs="Times New Roman"/>
          <w:kern w:val="2"/>
          <w:sz w:val="24"/>
          <w:szCs w:val="24"/>
          <w:lang w:eastAsia="zh-CN" w:bidi="hi-IN"/>
        </w:rPr>
      </w:pPr>
      <w:r w:rsidRPr="0014151A">
        <w:rPr>
          <w:rFonts w:ascii="Times New Roman" w:eastAsia="Times New Roman" w:hAnsi="Times New Roman" w:cs="Times New Roman"/>
          <w:kern w:val="2"/>
          <w:sz w:val="24"/>
          <w:szCs w:val="24"/>
          <w:lang w:eastAsia="zh-CN" w:bidi="hi-IN"/>
        </w:rPr>
        <w:t>Pupiņa A., Pupiņš M. 2018</w:t>
      </w:r>
      <w:r w:rsidR="00473AE5" w:rsidRPr="0014151A">
        <w:rPr>
          <w:rFonts w:ascii="Times New Roman" w:eastAsia="Times New Roman" w:hAnsi="Times New Roman" w:cs="Times New Roman"/>
          <w:kern w:val="2"/>
          <w:sz w:val="24"/>
          <w:szCs w:val="24"/>
          <w:lang w:eastAsia="zh-CN" w:bidi="hi-IN"/>
        </w:rPr>
        <w:t>.</w:t>
      </w:r>
      <w:r w:rsidRPr="0014151A">
        <w:rPr>
          <w:rFonts w:ascii="Times New Roman" w:eastAsia="Times New Roman" w:hAnsi="Times New Roman" w:cs="Times New Roman"/>
          <w:kern w:val="2"/>
          <w:sz w:val="24"/>
          <w:szCs w:val="24"/>
          <w:lang w:eastAsia="zh-CN" w:bidi="hi-IN"/>
        </w:rPr>
        <w:t xml:space="preserve"> Smilšu krupja </w:t>
      </w:r>
      <w:proofErr w:type="spellStart"/>
      <w:r w:rsidRPr="0014151A">
        <w:rPr>
          <w:rFonts w:ascii="Times New Roman" w:eastAsia="Times New Roman" w:hAnsi="Times New Roman" w:cs="Times New Roman"/>
          <w:kern w:val="2"/>
          <w:sz w:val="24"/>
          <w:szCs w:val="24"/>
          <w:lang w:eastAsia="zh-CN" w:bidi="hi-IN"/>
        </w:rPr>
        <w:t>Epidalea</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calamita</w:t>
      </w:r>
      <w:proofErr w:type="spellEnd"/>
      <w:r w:rsidRPr="0014151A">
        <w:rPr>
          <w:rFonts w:ascii="Times New Roman" w:eastAsia="Times New Roman" w:hAnsi="Times New Roman" w:cs="Times New Roman"/>
          <w:kern w:val="2"/>
          <w:sz w:val="24"/>
          <w:szCs w:val="24"/>
          <w:lang w:eastAsia="zh-CN" w:bidi="hi-IN"/>
        </w:rPr>
        <w:t xml:space="preserve"> populācijas uzlabošanai pavairošanas un audzēšanas </w:t>
      </w:r>
      <w:proofErr w:type="spellStart"/>
      <w:r w:rsidRPr="0014151A">
        <w:rPr>
          <w:rFonts w:ascii="Times New Roman" w:eastAsia="Times New Roman" w:hAnsi="Times New Roman" w:cs="Times New Roman"/>
          <w:kern w:val="2"/>
          <w:sz w:val="24"/>
          <w:szCs w:val="24"/>
          <w:lang w:eastAsia="zh-CN" w:bidi="hi-IN"/>
        </w:rPr>
        <w:t>zookultūrā</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ex</w:t>
      </w:r>
      <w:proofErr w:type="spellEnd"/>
      <w:r w:rsidRPr="0014151A">
        <w:rPr>
          <w:rFonts w:ascii="Times New Roman" w:eastAsia="Times New Roman" w:hAnsi="Times New Roman" w:cs="Times New Roman"/>
          <w:kern w:val="2"/>
          <w:sz w:val="24"/>
          <w:szCs w:val="24"/>
          <w:lang w:eastAsia="zh-CN" w:bidi="hi-IN"/>
        </w:rPr>
        <w:t xml:space="preserve">-situ metodikas protokols. – Latgales ekoloģiskā biedrība: 24 lpp. </w:t>
      </w:r>
    </w:p>
    <w:p w14:paraId="43D14156" w14:textId="5BA78014" w:rsidR="00B23EB3" w:rsidRPr="0014151A" w:rsidRDefault="00B23EB3" w:rsidP="0014151A">
      <w:pPr>
        <w:numPr>
          <w:ilvl w:val="0"/>
          <w:numId w:val="31"/>
        </w:numPr>
        <w:tabs>
          <w:tab w:val="left" w:pos="426"/>
        </w:tabs>
        <w:spacing w:after="0" w:line="240" w:lineRule="auto"/>
        <w:ind w:left="924" w:hanging="357"/>
        <w:jc w:val="both"/>
        <w:rPr>
          <w:rFonts w:ascii="Times New Roman" w:eastAsia="Times New Roman" w:hAnsi="Times New Roman" w:cs="Times New Roman"/>
          <w:kern w:val="2"/>
          <w:sz w:val="24"/>
          <w:szCs w:val="24"/>
          <w:lang w:eastAsia="zh-CN" w:bidi="hi-IN"/>
        </w:rPr>
      </w:pPr>
      <w:r w:rsidRPr="0014151A">
        <w:rPr>
          <w:rFonts w:ascii="Times New Roman" w:eastAsia="Times New Roman" w:hAnsi="Times New Roman" w:cs="Times New Roman"/>
          <w:kern w:val="2"/>
          <w:sz w:val="24"/>
          <w:szCs w:val="24"/>
          <w:lang w:eastAsia="zh-CN" w:bidi="hi-IN"/>
        </w:rPr>
        <w:t>Pupiņš M., Pupiņa A. 2007</w:t>
      </w:r>
      <w:r w:rsidR="00473AE5" w:rsidRPr="0014151A">
        <w:rPr>
          <w:rFonts w:ascii="Times New Roman" w:eastAsia="Times New Roman" w:hAnsi="Times New Roman" w:cs="Times New Roman"/>
          <w:kern w:val="2"/>
          <w:sz w:val="24"/>
          <w:szCs w:val="24"/>
          <w:lang w:eastAsia="zh-CN" w:bidi="hi-IN"/>
        </w:rPr>
        <w:t>.</w:t>
      </w:r>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Sarkanvēdera</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ugunskrupja</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Bombina</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bombina</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Linnaeus</w:t>
      </w:r>
      <w:proofErr w:type="spellEnd"/>
      <w:r w:rsidRPr="0014151A">
        <w:rPr>
          <w:rFonts w:ascii="Times New Roman" w:eastAsia="Times New Roman" w:hAnsi="Times New Roman" w:cs="Times New Roman"/>
          <w:kern w:val="2"/>
          <w:sz w:val="24"/>
          <w:szCs w:val="24"/>
          <w:lang w:eastAsia="zh-CN" w:bidi="hi-IN"/>
        </w:rPr>
        <w:t>, 1761) sugas aizsardzības plāns Latvijā. Apstiprināts 10.01.2007. ar Vides ministra rīkojumu Nr.12. – Dabas aizsardzības pārvalde, Rīga: 82 lpp.</w:t>
      </w:r>
    </w:p>
    <w:p w14:paraId="524F6786" w14:textId="06BBBDC2" w:rsidR="00B23EB3" w:rsidRPr="0014151A" w:rsidRDefault="00B23EB3" w:rsidP="0014151A">
      <w:pPr>
        <w:numPr>
          <w:ilvl w:val="0"/>
          <w:numId w:val="31"/>
        </w:numPr>
        <w:tabs>
          <w:tab w:val="left" w:pos="426"/>
        </w:tabs>
        <w:spacing w:after="0" w:line="240" w:lineRule="auto"/>
        <w:ind w:left="924" w:hanging="357"/>
        <w:jc w:val="both"/>
        <w:rPr>
          <w:rFonts w:ascii="Times New Roman" w:eastAsia="Times New Roman" w:hAnsi="Times New Roman" w:cs="Times New Roman"/>
          <w:kern w:val="2"/>
          <w:sz w:val="24"/>
          <w:szCs w:val="24"/>
          <w:lang w:eastAsia="zh-CN" w:bidi="hi-IN"/>
        </w:rPr>
      </w:pPr>
      <w:r w:rsidRPr="0014151A">
        <w:rPr>
          <w:rFonts w:ascii="Times New Roman" w:eastAsia="Times New Roman" w:hAnsi="Times New Roman" w:cs="Times New Roman"/>
          <w:kern w:val="2"/>
          <w:sz w:val="24"/>
          <w:szCs w:val="24"/>
          <w:lang w:eastAsia="zh-CN" w:bidi="hi-IN"/>
        </w:rPr>
        <w:t>Pupiņš M., Pupiņa A. 2008</w:t>
      </w:r>
      <w:r w:rsidR="00473AE5" w:rsidRPr="0014151A">
        <w:rPr>
          <w:rFonts w:ascii="Times New Roman" w:eastAsia="Times New Roman" w:hAnsi="Times New Roman" w:cs="Times New Roman"/>
          <w:kern w:val="2"/>
          <w:sz w:val="24"/>
          <w:szCs w:val="24"/>
          <w:lang w:eastAsia="zh-CN" w:bidi="hi-IN"/>
        </w:rPr>
        <w:t>.</w:t>
      </w:r>
      <w:r w:rsidRPr="0014151A">
        <w:rPr>
          <w:rFonts w:ascii="Times New Roman" w:eastAsia="Times New Roman" w:hAnsi="Times New Roman" w:cs="Times New Roman"/>
          <w:kern w:val="2"/>
          <w:sz w:val="24"/>
          <w:szCs w:val="24"/>
          <w:lang w:eastAsia="zh-CN" w:bidi="hi-IN"/>
        </w:rPr>
        <w:t xml:space="preserve"> Eiropas purva bruņurupuča </w:t>
      </w:r>
      <w:proofErr w:type="spellStart"/>
      <w:r w:rsidRPr="0014151A">
        <w:rPr>
          <w:rFonts w:ascii="Times New Roman" w:eastAsia="Times New Roman" w:hAnsi="Times New Roman" w:cs="Times New Roman"/>
          <w:kern w:val="2"/>
          <w:sz w:val="24"/>
          <w:szCs w:val="24"/>
          <w:lang w:eastAsia="zh-CN" w:bidi="hi-IN"/>
        </w:rPr>
        <w:t>Emys</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orbicularis</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Linnaeus</w:t>
      </w:r>
      <w:proofErr w:type="spellEnd"/>
      <w:r w:rsidRPr="0014151A">
        <w:rPr>
          <w:rFonts w:ascii="Times New Roman" w:eastAsia="Times New Roman" w:hAnsi="Times New Roman" w:cs="Times New Roman"/>
          <w:kern w:val="2"/>
          <w:sz w:val="24"/>
          <w:szCs w:val="24"/>
          <w:lang w:eastAsia="zh-CN" w:bidi="hi-IN"/>
        </w:rPr>
        <w:t xml:space="preserve">, 1758) sugas aizsardzības plāns Latvijā. Apstiprināts 18.02.2008. ar Vides ministra rīkojumu Nr. 45. – Dabas aizsardzības pārvalde: 104 </w:t>
      </w:r>
      <w:proofErr w:type="spellStart"/>
      <w:r w:rsidRPr="0014151A">
        <w:rPr>
          <w:rFonts w:ascii="Times New Roman" w:eastAsia="Times New Roman" w:hAnsi="Times New Roman" w:cs="Times New Roman"/>
          <w:kern w:val="2"/>
          <w:sz w:val="24"/>
          <w:szCs w:val="24"/>
          <w:lang w:eastAsia="zh-CN" w:bidi="hi-IN"/>
        </w:rPr>
        <w:t>pp</w:t>
      </w:r>
      <w:proofErr w:type="spellEnd"/>
      <w:r w:rsidRPr="0014151A">
        <w:rPr>
          <w:rFonts w:ascii="Times New Roman" w:eastAsia="Times New Roman" w:hAnsi="Times New Roman" w:cs="Times New Roman"/>
          <w:kern w:val="2"/>
          <w:sz w:val="24"/>
          <w:szCs w:val="24"/>
          <w:lang w:eastAsia="zh-CN" w:bidi="hi-IN"/>
        </w:rPr>
        <w:t>.</w:t>
      </w:r>
    </w:p>
    <w:p w14:paraId="04CE783E" w14:textId="7A65A97F" w:rsidR="000264F3" w:rsidRPr="0014151A" w:rsidRDefault="000264F3" w:rsidP="0014151A">
      <w:pPr>
        <w:numPr>
          <w:ilvl w:val="0"/>
          <w:numId w:val="31"/>
        </w:numPr>
        <w:tabs>
          <w:tab w:val="left" w:pos="426"/>
        </w:tabs>
        <w:spacing w:after="0" w:line="240" w:lineRule="auto"/>
        <w:ind w:left="924" w:hanging="357"/>
        <w:jc w:val="both"/>
        <w:rPr>
          <w:rFonts w:ascii="Times New Roman" w:eastAsia="Times New Roman" w:hAnsi="Times New Roman" w:cs="Times New Roman"/>
          <w:kern w:val="2"/>
          <w:sz w:val="24"/>
          <w:szCs w:val="24"/>
          <w:lang w:eastAsia="zh-CN" w:bidi="hi-IN"/>
        </w:rPr>
      </w:pPr>
      <w:proofErr w:type="spellStart"/>
      <w:r w:rsidRPr="0014151A">
        <w:rPr>
          <w:rFonts w:ascii="Times New Roman" w:eastAsia="Times New Roman" w:hAnsi="Times New Roman" w:cs="Times New Roman"/>
          <w:kern w:val="2"/>
          <w:sz w:val="24"/>
          <w:szCs w:val="24"/>
          <w:lang w:eastAsia="zh-CN" w:bidi="hi-IN"/>
        </w:rPr>
        <w:t>Pupins</w:t>
      </w:r>
      <w:proofErr w:type="spellEnd"/>
      <w:r w:rsidRPr="0014151A">
        <w:rPr>
          <w:rFonts w:ascii="Times New Roman" w:eastAsia="Times New Roman" w:hAnsi="Times New Roman" w:cs="Times New Roman"/>
          <w:kern w:val="2"/>
          <w:sz w:val="24"/>
          <w:szCs w:val="24"/>
          <w:lang w:eastAsia="zh-CN" w:bidi="hi-IN"/>
        </w:rPr>
        <w:t xml:space="preserve"> M., </w:t>
      </w:r>
      <w:proofErr w:type="spellStart"/>
      <w:r w:rsidRPr="0014151A">
        <w:rPr>
          <w:rFonts w:ascii="Times New Roman" w:eastAsia="Times New Roman" w:hAnsi="Times New Roman" w:cs="Times New Roman"/>
          <w:kern w:val="2"/>
          <w:sz w:val="24"/>
          <w:szCs w:val="24"/>
          <w:lang w:eastAsia="zh-CN" w:bidi="hi-IN"/>
        </w:rPr>
        <w:t>Pupina</w:t>
      </w:r>
      <w:proofErr w:type="spellEnd"/>
      <w:r w:rsidRPr="0014151A">
        <w:rPr>
          <w:rFonts w:ascii="Times New Roman" w:eastAsia="Times New Roman" w:hAnsi="Times New Roman" w:cs="Times New Roman"/>
          <w:kern w:val="2"/>
          <w:sz w:val="24"/>
          <w:szCs w:val="24"/>
          <w:lang w:eastAsia="zh-CN" w:bidi="hi-IN"/>
        </w:rPr>
        <w:t xml:space="preserve"> A. 2018</w:t>
      </w:r>
      <w:r w:rsidR="00473AE5" w:rsidRPr="0014151A">
        <w:rPr>
          <w:rFonts w:ascii="Times New Roman" w:eastAsia="Times New Roman" w:hAnsi="Times New Roman" w:cs="Times New Roman"/>
          <w:kern w:val="2"/>
          <w:sz w:val="24"/>
          <w:szCs w:val="24"/>
          <w:lang w:eastAsia="zh-CN" w:bidi="hi-IN"/>
        </w:rPr>
        <w:t>.</w:t>
      </w:r>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Reciprocal</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predation</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between</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preserved</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and</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invasive</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species</w:t>
      </w:r>
      <w:proofErr w:type="spellEnd"/>
      <w:r w:rsidRPr="0014151A">
        <w:rPr>
          <w:rFonts w:ascii="Times New Roman" w:eastAsia="Times New Roman" w:hAnsi="Times New Roman" w:cs="Times New Roman"/>
          <w:kern w:val="2"/>
          <w:sz w:val="24"/>
          <w:szCs w:val="24"/>
          <w:lang w:eastAsia="zh-CN" w:bidi="hi-IN"/>
        </w:rPr>
        <w:t>:</w:t>
      </w:r>
      <w:r w:rsidRPr="0014151A">
        <w:rPr>
          <w:rFonts w:ascii="Calibri" w:hAnsi="Calibri" w:cs="Calibri"/>
        </w:rPr>
        <w:t xml:space="preserve"> </w:t>
      </w:r>
      <w:proofErr w:type="spellStart"/>
      <w:r w:rsidRPr="0014151A">
        <w:rPr>
          <w:rFonts w:ascii="Times New Roman" w:eastAsia="Times New Roman" w:hAnsi="Times New Roman" w:cs="Times New Roman"/>
          <w:kern w:val="2"/>
          <w:sz w:val="24"/>
          <w:szCs w:val="24"/>
          <w:lang w:eastAsia="zh-CN" w:bidi="hi-IN"/>
        </w:rPr>
        <w:t>adult</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Bombina</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bombina</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predate</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young</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whitebaits</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of</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alien</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fish</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Perccottus</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glenii</w:t>
      </w:r>
      <w:proofErr w:type="spellEnd"/>
      <w:r w:rsidRPr="0014151A">
        <w:rPr>
          <w:rFonts w:ascii="Times New Roman" w:eastAsia="Times New Roman" w:hAnsi="Times New Roman" w:cs="Times New Roman"/>
          <w:kern w:val="2"/>
          <w:sz w:val="24"/>
          <w:szCs w:val="24"/>
          <w:lang w:eastAsia="zh-CN" w:bidi="hi-IN"/>
        </w:rPr>
        <w:t xml:space="preserve">. - </w:t>
      </w:r>
      <w:proofErr w:type="spellStart"/>
      <w:r w:rsidRPr="0014151A">
        <w:rPr>
          <w:rFonts w:ascii="Times New Roman" w:eastAsia="Times New Roman" w:hAnsi="Times New Roman" w:cs="Times New Roman"/>
          <w:kern w:val="2"/>
          <w:sz w:val="24"/>
          <w:szCs w:val="24"/>
          <w:lang w:eastAsia="zh-CN" w:bidi="hi-IN"/>
        </w:rPr>
        <w:t>Acta</w:t>
      </w:r>
      <w:proofErr w:type="spellEnd"/>
      <w:r w:rsidRPr="0014151A">
        <w:rPr>
          <w:rFonts w:ascii="Calibri" w:hAnsi="Calibri" w:cs="Calibri"/>
        </w:rPr>
        <w:t xml:space="preserve"> </w:t>
      </w:r>
      <w:proofErr w:type="spellStart"/>
      <w:r w:rsidRPr="0014151A">
        <w:rPr>
          <w:rFonts w:ascii="Times New Roman" w:eastAsia="Times New Roman" w:hAnsi="Times New Roman" w:cs="Times New Roman"/>
          <w:kern w:val="2"/>
          <w:sz w:val="24"/>
          <w:szCs w:val="24"/>
          <w:lang w:eastAsia="zh-CN" w:bidi="hi-IN"/>
        </w:rPr>
        <w:t>Biologica</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Universitatis</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Daugavpiliensis</w:t>
      </w:r>
      <w:proofErr w:type="spellEnd"/>
      <w:r w:rsidRPr="0014151A">
        <w:rPr>
          <w:rFonts w:ascii="Times New Roman" w:eastAsia="Times New Roman" w:hAnsi="Times New Roman" w:cs="Times New Roman"/>
          <w:kern w:val="2"/>
          <w:sz w:val="24"/>
          <w:szCs w:val="24"/>
          <w:lang w:eastAsia="zh-CN" w:bidi="hi-IN"/>
        </w:rPr>
        <w:t>, 18 (2): 217-223.</w:t>
      </w:r>
    </w:p>
    <w:p w14:paraId="4E880A13" w14:textId="707B6C10" w:rsidR="000264F3" w:rsidRPr="0014151A" w:rsidRDefault="000264F3" w:rsidP="0014151A">
      <w:pPr>
        <w:numPr>
          <w:ilvl w:val="0"/>
          <w:numId w:val="31"/>
        </w:numPr>
        <w:tabs>
          <w:tab w:val="left" w:pos="426"/>
        </w:tabs>
        <w:spacing w:after="0" w:line="240" w:lineRule="auto"/>
        <w:ind w:left="924" w:hanging="357"/>
        <w:jc w:val="both"/>
        <w:rPr>
          <w:rFonts w:ascii="Times New Roman" w:eastAsia="Times New Roman" w:hAnsi="Times New Roman" w:cs="Times New Roman"/>
          <w:kern w:val="2"/>
          <w:sz w:val="24"/>
          <w:szCs w:val="24"/>
          <w:lang w:eastAsia="zh-CN" w:bidi="hi-IN"/>
        </w:rPr>
      </w:pPr>
      <w:proofErr w:type="spellStart"/>
      <w:r w:rsidRPr="0014151A">
        <w:rPr>
          <w:rFonts w:ascii="Times New Roman" w:eastAsia="Times New Roman" w:hAnsi="Times New Roman" w:cs="Times New Roman"/>
          <w:kern w:val="2"/>
          <w:sz w:val="24"/>
          <w:szCs w:val="24"/>
          <w:lang w:eastAsia="zh-CN" w:bidi="hi-IN"/>
        </w:rPr>
        <w:t>Pupins</w:t>
      </w:r>
      <w:proofErr w:type="spellEnd"/>
      <w:r w:rsidRPr="0014151A">
        <w:rPr>
          <w:rFonts w:ascii="Times New Roman" w:eastAsia="Times New Roman" w:hAnsi="Times New Roman" w:cs="Times New Roman"/>
          <w:kern w:val="2"/>
          <w:sz w:val="24"/>
          <w:szCs w:val="24"/>
          <w:lang w:eastAsia="zh-CN" w:bidi="hi-IN"/>
        </w:rPr>
        <w:t xml:space="preserve"> M., </w:t>
      </w:r>
      <w:proofErr w:type="spellStart"/>
      <w:r w:rsidRPr="0014151A">
        <w:rPr>
          <w:rFonts w:ascii="Times New Roman" w:eastAsia="Times New Roman" w:hAnsi="Times New Roman" w:cs="Times New Roman"/>
          <w:kern w:val="2"/>
          <w:sz w:val="24"/>
          <w:szCs w:val="24"/>
          <w:lang w:eastAsia="zh-CN" w:bidi="hi-IN"/>
        </w:rPr>
        <w:t>Pupina</w:t>
      </w:r>
      <w:proofErr w:type="spellEnd"/>
      <w:r w:rsidRPr="0014151A">
        <w:rPr>
          <w:rFonts w:ascii="Times New Roman" w:eastAsia="Times New Roman" w:hAnsi="Times New Roman" w:cs="Times New Roman"/>
          <w:kern w:val="2"/>
          <w:sz w:val="24"/>
          <w:szCs w:val="24"/>
          <w:lang w:eastAsia="zh-CN" w:bidi="hi-IN"/>
        </w:rPr>
        <w:t xml:space="preserve"> A., </w:t>
      </w:r>
      <w:proofErr w:type="spellStart"/>
      <w:r w:rsidRPr="0014151A">
        <w:rPr>
          <w:rFonts w:ascii="Times New Roman" w:eastAsia="Times New Roman" w:hAnsi="Times New Roman" w:cs="Times New Roman"/>
          <w:kern w:val="2"/>
          <w:sz w:val="24"/>
          <w:szCs w:val="24"/>
          <w:lang w:eastAsia="zh-CN" w:bidi="hi-IN"/>
        </w:rPr>
        <w:t>Bakharev</w:t>
      </w:r>
      <w:proofErr w:type="spellEnd"/>
      <w:r w:rsidRPr="0014151A">
        <w:rPr>
          <w:rFonts w:ascii="Times New Roman" w:eastAsia="Times New Roman" w:hAnsi="Times New Roman" w:cs="Times New Roman"/>
          <w:kern w:val="2"/>
          <w:sz w:val="24"/>
          <w:szCs w:val="24"/>
          <w:lang w:eastAsia="zh-CN" w:bidi="hi-IN"/>
        </w:rPr>
        <w:t xml:space="preserve"> V. 2010</w:t>
      </w:r>
      <w:r w:rsidR="00473AE5" w:rsidRPr="0014151A">
        <w:rPr>
          <w:rFonts w:ascii="Times New Roman" w:eastAsia="Times New Roman" w:hAnsi="Times New Roman" w:cs="Times New Roman"/>
          <w:kern w:val="2"/>
          <w:sz w:val="24"/>
          <w:szCs w:val="24"/>
          <w:lang w:eastAsia="zh-CN" w:bidi="hi-IN"/>
        </w:rPr>
        <w:t>.</w:t>
      </w:r>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Rasprostranenie</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evropeiskoi</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bolotnoi</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cherepahi</w:t>
      </w:r>
      <w:proofErr w:type="spellEnd"/>
      <w:r w:rsidRPr="0014151A">
        <w:rPr>
          <w:rFonts w:ascii="Calibri" w:hAnsi="Calibri" w:cs="Calibri"/>
        </w:rPr>
        <w:t xml:space="preserve"> </w:t>
      </w:r>
      <w:r w:rsidRPr="0014151A">
        <w:rPr>
          <w:rFonts w:ascii="Times New Roman" w:eastAsia="Times New Roman" w:hAnsi="Times New Roman" w:cs="Times New Roman"/>
          <w:kern w:val="2"/>
          <w:sz w:val="24"/>
          <w:szCs w:val="24"/>
          <w:lang w:eastAsia="zh-CN" w:bidi="hi-IN"/>
        </w:rPr>
        <w:t>(</w:t>
      </w:r>
      <w:proofErr w:type="spellStart"/>
      <w:r w:rsidRPr="0014151A">
        <w:rPr>
          <w:rFonts w:ascii="Times New Roman" w:eastAsia="Times New Roman" w:hAnsi="Times New Roman" w:cs="Times New Roman"/>
          <w:kern w:val="2"/>
          <w:sz w:val="24"/>
          <w:szCs w:val="24"/>
          <w:lang w:eastAsia="zh-CN" w:bidi="hi-IN"/>
        </w:rPr>
        <w:t>Emys</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orbicularis</w:t>
      </w:r>
      <w:proofErr w:type="spellEnd"/>
      <w:r w:rsidRPr="0014151A">
        <w:rPr>
          <w:rFonts w:ascii="Times New Roman" w:eastAsia="Times New Roman" w:hAnsi="Times New Roman" w:cs="Times New Roman"/>
          <w:kern w:val="2"/>
          <w:sz w:val="24"/>
          <w:szCs w:val="24"/>
          <w:lang w:eastAsia="zh-CN" w:bidi="hi-IN"/>
        </w:rPr>
        <w:t xml:space="preserve"> L. 1758) v </w:t>
      </w:r>
      <w:proofErr w:type="spellStart"/>
      <w:r w:rsidRPr="0014151A">
        <w:rPr>
          <w:rFonts w:ascii="Times New Roman" w:eastAsia="Times New Roman" w:hAnsi="Times New Roman" w:cs="Times New Roman"/>
          <w:kern w:val="2"/>
          <w:sz w:val="24"/>
          <w:szCs w:val="24"/>
          <w:lang w:eastAsia="zh-CN" w:bidi="hi-IN"/>
        </w:rPr>
        <w:t>Latvii</w:t>
      </w:r>
      <w:proofErr w:type="spellEnd"/>
      <w:r w:rsidRPr="0014151A">
        <w:rPr>
          <w:rFonts w:ascii="Times New Roman" w:eastAsia="Times New Roman" w:hAnsi="Times New Roman" w:cs="Times New Roman"/>
          <w:kern w:val="2"/>
          <w:sz w:val="24"/>
          <w:szCs w:val="24"/>
          <w:lang w:eastAsia="zh-CN" w:bidi="hi-IN"/>
        </w:rPr>
        <w:t xml:space="preserve"> i </w:t>
      </w:r>
      <w:proofErr w:type="spellStart"/>
      <w:r w:rsidRPr="0014151A">
        <w:rPr>
          <w:rFonts w:ascii="Times New Roman" w:eastAsia="Times New Roman" w:hAnsi="Times New Roman" w:cs="Times New Roman"/>
          <w:kern w:val="2"/>
          <w:sz w:val="24"/>
          <w:szCs w:val="24"/>
          <w:lang w:eastAsia="zh-CN" w:bidi="hi-IN"/>
        </w:rPr>
        <w:t>na</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territorijah</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granichaschih</w:t>
      </w:r>
      <w:proofErr w:type="spellEnd"/>
      <w:r w:rsidRPr="0014151A">
        <w:rPr>
          <w:rFonts w:ascii="Times New Roman" w:eastAsia="Times New Roman" w:hAnsi="Times New Roman" w:cs="Times New Roman"/>
          <w:kern w:val="2"/>
          <w:sz w:val="24"/>
          <w:szCs w:val="24"/>
          <w:lang w:eastAsia="zh-CN" w:bidi="hi-IN"/>
        </w:rPr>
        <w:t xml:space="preserve"> s </w:t>
      </w:r>
      <w:proofErr w:type="spellStart"/>
      <w:r w:rsidRPr="0014151A">
        <w:rPr>
          <w:rFonts w:ascii="Times New Roman" w:eastAsia="Times New Roman" w:hAnsi="Times New Roman" w:cs="Times New Roman"/>
          <w:kern w:val="2"/>
          <w:sz w:val="24"/>
          <w:szCs w:val="24"/>
          <w:lang w:eastAsia="zh-CN" w:bidi="hi-IN"/>
        </w:rPr>
        <w:t>Belarusiu</w:t>
      </w:r>
      <w:proofErr w:type="spellEnd"/>
      <w:r w:rsidRPr="0014151A">
        <w:rPr>
          <w:rFonts w:ascii="Times New Roman" w:eastAsia="Times New Roman" w:hAnsi="Times New Roman" w:cs="Times New Roman"/>
          <w:kern w:val="2"/>
          <w:sz w:val="24"/>
          <w:szCs w:val="24"/>
          <w:lang w:eastAsia="zh-CN" w:bidi="hi-IN"/>
        </w:rPr>
        <w:t>. [</w:t>
      </w:r>
      <w:proofErr w:type="spellStart"/>
      <w:r w:rsidRPr="0014151A">
        <w:rPr>
          <w:rFonts w:ascii="Times New Roman" w:eastAsia="Times New Roman" w:hAnsi="Times New Roman" w:cs="Times New Roman"/>
          <w:kern w:val="2"/>
          <w:sz w:val="24"/>
          <w:szCs w:val="24"/>
          <w:lang w:eastAsia="zh-CN" w:bidi="hi-IN"/>
        </w:rPr>
        <w:t>European</w:t>
      </w:r>
      <w:proofErr w:type="spellEnd"/>
      <w:r w:rsidRPr="0014151A">
        <w:rPr>
          <w:rFonts w:ascii="Calibri" w:hAnsi="Calibri" w:cs="Calibri"/>
        </w:rPr>
        <w:t xml:space="preserve"> </w:t>
      </w:r>
      <w:proofErr w:type="spellStart"/>
      <w:r w:rsidRPr="0014151A">
        <w:rPr>
          <w:rFonts w:ascii="Times New Roman" w:eastAsia="Times New Roman" w:hAnsi="Times New Roman" w:cs="Times New Roman"/>
          <w:kern w:val="2"/>
          <w:sz w:val="24"/>
          <w:szCs w:val="24"/>
          <w:lang w:eastAsia="zh-CN" w:bidi="hi-IN"/>
        </w:rPr>
        <w:t>pond</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turtle</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distribution</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in</w:t>
      </w:r>
      <w:proofErr w:type="spellEnd"/>
      <w:r w:rsidRPr="0014151A">
        <w:rPr>
          <w:rFonts w:ascii="Times New Roman" w:eastAsia="Times New Roman" w:hAnsi="Times New Roman" w:cs="Times New Roman"/>
          <w:kern w:val="2"/>
          <w:sz w:val="24"/>
          <w:szCs w:val="24"/>
          <w:lang w:eastAsia="zh-CN" w:bidi="hi-IN"/>
        </w:rPr>
        <w:t xml:space="preserve"> Latvia </w:t>
      </w:r>
      <w:proofErr w:type="spellStart"/>
      <w:r w:rsidRPr="0014151A">
        <w:rPr>
          <w:rFonts w:ascii="Times New Roman" w:eastAsia="Times New Roman" w:hAnsi="Times New Roman" w:cs="Times New Roman"/>
          <w:kern w:val="2"/>
          <w:sz w:val="24"/>
          <w:szCs w:val="24"/>
          <w:lang w:eastAsia="zh-CN" w:bidi="hi-IN"/>
        </w:rPr>
        <w:t>and</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in</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territories</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bordered</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with</w:t>
      </w:r>
      <w:proofErr w:type="spellEnd"/>
      <w:r w:rsidRPr="0014151A">
        <w:rPr>
          <w:rFonts w:ascii="Times New Roman" w:eastAsia="Times New Roman" w:hAnsi="Times New Roman" w:cs="Times New Roman"/>
          <w:kern w:val="2"/>
          <w:sz w:val="24"/>
          <w:szCs w:val="24"/>
          <w:lang w:eastAsia="zh-CN" w:bidi="hi-IN"/>
        </w:rPr>
        <w:t xml:space="preserve"> Belarus]. – </w:t>
      </w:r>
      <w:proofErr w:type="spellStart"/>
      <w:r w:rsidRPr="0014151A">
        <w:rPr>
          <w:rFonts w:ascii="Times New Roman" w:eastAsia="Times New Roman" w:hAnsi="Times New Roman" w:cs="Times New Roman"/>
          <w:kern w:val="2"/>
          <w:sz w:val="24"/>
          <w:szCs w:val="24"/>
          <w:lang w:eastAsia="zh-CN" w:bidi="hi-IN"/>
        </w:rPr>
        <w:lastRenderedPageBreak/>
        <w:t>Vestnik</w:t>
      </w:r>
      <w:proofErr w:type="spellEnd"/>
      <w:r w:rsidRPr="0014151A">
        <w:rPr>
          <w:rFonts w:ascii="Calibri" w:hAnsi="Calibri" w:cs="Calibri"/>
        </w:rPr>
        <w:t xml:space="preserve"> </w:t>
      </w:r>
      <w:proofErr w:type="spellStart"/>
      <w:r w:rsidRPr="0014151A">
        <w:rPr>
          <w:rFonts w:ascii="Times New Roman" w:eastAsia="Times New Roman" w:hAnsi="Times New Roman" w:cs="Times New Roman"/>
          <w:kern w:val="2"/>
          <w:sz w:val="24"/>
          <w:szCs w:val="24"/>
          <w:lang w:eastAsia="zh-CN" w:bidi="hi-IN"/>
        </w:rPr>
        <w:t>Mozyrskaga</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Dzyarzhavnaga</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Universiteta</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imya</w:t>
      </w:r>
      <w:proofErr w:type="spellEnd"/>
      <w:r w:rsidRPr="0014151A">
        <w:rPr>
          <w:rFonts w:ascii="Times New Roman" w:eastAsia="Times New Roman" w:hAnsi="Times New Roman" w:cs="Times New Roman"/>
          <w:kern w:val="2"/>
          <w:sz w:val="24"/>
          <w:szCs w:val="24"/>
          <w:lang w:eastAsia="zh-CN" w:bidi="hi-IN"/>
        </w:rPr>
        <w:t xml:space="preserve"> I.P. </w:t>
      </w:r>
      <w:proofErr w:type="spellStart"/>
      <w:r w:rsidRPr="0014151A">
        <w:rPr>
          <w:rFonts w:ascii="Times New Roman" w:eastAsia="Times New Roman" w:hAnsi="Times New Roman" w:cs="Times New Roman"/>
          <w:kern w:val="2"/>
          <w:sz w:val="24"/>
          <w:szCs w:val="24"/>
          <w:lang w:eastAsia="zh-CN" w:bidi="hi-IN"/>
        </w:rPr>
        <w:t>Shamyakina</w:t>
      </w:r>
      <w:proofErr w:type="spellEnd"/>
      <w:r w:rsidRPr="0014151A">
        <w:rPr>
          <w:rFonts w:ascii="Times New Roman" w:eastAsia="Times New Roman" w:hAnsi="Times New Roman" w:cs="Times New Roman"/>
          <w:kern w:val="2"/>
          <w:sz w:val="24"/>
          <w:szCs w:val="24"/>
          <w:lang w:eastAsia="zh-CN" w:bidi="hi-IN"/>
        </w:rPr>
        <w:t>, V.1 (26): 35-38.</w:t>
      </w:r>
    </w:p>
    <w:p w14:paraId="58C92AC2" w14:textId="77777777" w:rsidR="00260499" w:rsidRPr="0014151A" w:rsidRDefault="00260499" w:rsidP="0014151A">
      <w:pPr>
        <w:numPr>
          <w:ilvl w:val="0"/>
          <w:numId w:val="31"/>
        </w:numPr>
        <w:tabs>
          <w:tab w:val="left" w:pos="426"/>
        </w:tabs>
        <w:spacing w:after="0" w:line="240" w:lineRule="auto"/>
        <w:ind w:left="924" w:hanging="357"/>
        <w:jc w:val="both"/>
        <w:rPr>
          <w:rFonts w:ascii="Times New Roman" w:eastAsia="Times New Roman" w:hAnsi="Times New Roman" w:cs="Times New Roman"/>
          <w:kern w:val="2"/>
          <w:sz w:val="24"/>
          <w:szCs w:val="24"/>
          <w:lang w:eastAsia="zh-CN" w:bidi="hi-IN"/>
        </w:rPr>
      </w:pPr>
      <w:r w:rsidRPr="0014151A">
        <w:rPr>
          <w:rFonts w:ascii="Times New Roman" w:eastAsia="Times New Roman" w:hAnsi="Times New Roman" w:cs="Times New Roman"/>
          <w:kern w:val="2"/>
          <w:sz w:val="24"/>
          <w:szCs w:val="24"/>
          <w:lang w:eastAsia="zh-CN" w:bidi="hi-IN"/>
        </w:rPr>
        <w:t>Račinskis E. 2004. Eiropas Savienības nozīmes putniem nozīmīgās vietas Latvijā. Rīga. LOB.</w:t>
      </w:r>
    </w:p>
    <w:p w14:paraId="387A27DF" w14:textId="37BE9B34" w:rsidR="00260499" w:rsidRPr="0014151A" w:rsidRDefault="00260499" w:rsidP="0014151A">
      <w:pPr>
        <w:numPr>
          <w:ilvl w:val="0"/>
          <w:numId w:val="31"/>
        </w:numPr>
        <w:spacing w:after="0" w:line="240" w:lineRule="auto"/>
        <w:ind w:left="924" w:hanging="357"/>
        <w:jc w:val="both"/>
        <w:rPr>
          <w:rFonts w:ascii="Times New Roman" w:eastAsia="Times New Roman" w:hAnsi="Times New Roman" w:cs="Times New Roman"/>
          <w:kern w:val="2"/>
          <w:sz w:val="24"/>
          <w:szCs w:val="24"/>
          <w:lang w:eastAsia="zh-CN" w:bidi="hi-IN"/>
        </w:rPr>
      </w:pPr>
      <w:r w:rsidRPr="0014151A">
        <w:rPr>
          <w:rFonts w:ascii="Times New Roman" w:eastAsia="Times New Roman" w:hAnsi="Times New Roman" w:cs="Times New Roman"/>
          <w:color w:val="000000"/>
          <w:kern w:val="2"/>
          <w:sz w:val="24"/>
          <w:szCs w:val="24"/>
          <w:lang w:eastAsia="ja-JP" w:bidi="hi-IN"/>
        </w:rPr>
        <w:t xml:space="preserve">Ramans K. 1958. </w:t>
      </w:r>
      <w:r w:rsidRPr="0014151A">
        <w:rPr>
          <w:rFonts w:ascii="Times New Roman" w:eastAsia="Times New Roman" w:hAnsi="Times New Roman" w:cs="Times New Roman"/>
          <w:i/>
          <w:iCs/>
          <w:color w:val="000000"/>
          <w:kern w:val="2"/>
          <w:sz w:val="24"/>
          <w:szCs w:val="24"/>
          <w:lang w:eastAsia="ja-JP" w:bidi="hi-IN"/>
        </w:rPr>
        <w:t xml:space="preserve">Vidzemes </w:t>
      </w:r>
      <w:proofErr w:type="spellStart"/>
      <w:r w:rsidRPr="0014151A">
        <w:rPr>
          <w:rFonts w:ascii="Times New Roman" w:eastAsia="Times New Roman" w:hAnsi="Times New Roman" w:cs="Times New Roman"/>
          <w:i/>
          <w:iCs/>
          <w:color w:val="000000"/>
          <w:kern w:val="2"/>
          <w:sz w:val="24"/>
          <w:szCs w:val="24"/>
          <w:lang w:eastAsia="ja-JP" w:bidi="hi-IN"/>
        </w:rPr>
        <w:t>vidienas</w:t>
      </w:r>
      <w:proofErr w:type="spellEnd"/>
      <w:r w:rsidRPr="0014151A">
        <w:rPr>
          <w:rFonts w:ascii="Times New Roman" w:eastAsia="Times New Roman" w:hAnsi="Times New Roman" w:cs="Times New Roman"/>
          <w:i/>
          <w:iCs/>
          <w:color w:val="000000"/>
          <w:kern w:val="2"/>
          <w:sz w:val="24"/>
          <w:szCs w:val="24"/>
          <w:lang w:eastAsia="ja-JP" w:bidi="hi-IN"/>
        </w:rPr>
        <w:t xml:space="preserve"> ģeogrāfisko ainavu tipoloģija (Latvijas PSR)</w:t>
      </w:r>
      <w:r w:rsidRPr="0014151A">
        <w:rPr>
          <w:rFonts w:ascii="Times New Roman" w:eastAsia="Times New Roman" w:hAnsi="Times New Roman" w:cs="Times New Roman"/>
          <w:color w:val="000000"/>
          <w:kern w:val="2"/>
          <w:sz w:val="24"/>
          <w:szCs w:val="24"/>
          <w:lang w:eastAsia="ja-JP" w:bidi="hi-IN"/>
        </w:rPr>
        <w:t>. Disertācija ģeogrāfijas zinātņu kandidāta grāda iegūšanai. P. Stučkas Latvijas Valsts universitātes Ģeogrāfijas fakultāte. Rīga, 573 lpp.</w:t>
      </w:r>
    </w:p>
    <w:p w14:paraId="1292BCD3" w14:textId="019E0E1D" w:rsidR="00392BE6" w:rsidRPr="0014151A" w:rsidRDefault="00392BE6" w:rsidP="0014151A">
      <w:pPr>
        <w:numPr>
          <w:ilvl w:val="0"/>
          <w:numId w:val="31"/>
        </w:numPr>
        <w:spacing w:after="0" w:line="240" w:lineRule="auto"/>
        <w:ind w:left="924" w:hanging="357"/>
        <w:jc w:val="both"/>
        <w:rPr>
          <w:rFonts w:ascii="Times New Roman" w:eastAsia="Times New Roman" w:hAnsi="Times New Roman" w:cs="Times New Roman"/>
          <w:kern w:val="2"/>
          <w:sz w:val="24"/>
          <w:szCs w:val="24"/>
          <w:lang w:eastAsia="zh-CN" w:bidi="hi-IN"/>
        </w:rPr>
      </w:pPr>
      <w:proofErr w:type="spellStart"/>
      <w:r w:rsidRPr="0014151A">
        <w:rPr>
          <w:rFonts w:ascii="Times New Roman" w:eastAsia="Times New Roman" w:hAnsi="Times New Roman" w:cs="Times New Roman"/>
          <w:kern w:val="2"/>
          <w:sz w:val="24"/>
          <w:szCs w:val="24"/>
          <w:lang w:eastAsia="zh-CN" w:bidi="hi-IN"/>
        </w:rPr>
        <w:t>Roberge</w:t>
      </w:r>
      <w:proofErr w:type="spellEnd"/>
      <w:r w:rsidRPr="0014151A">
        <w:rPr>
          <w:rFonts w:ascii="Times New Roman" w:eastAsia="Times New Roman" w:hAnsi="Times New Roman" w:cs="Times New Roman"/>
          <w:kern w:val="2"/>
          <w:sz w:val="24"/>
          <w:szCs w:val="24"/>
          <w:lang w:eastAsia="zh-CN" w:bidi="hi-IN"/>
        </w:rPr>
        <w:t xml:space="preserve"> J.-M., </w:t>
      </w:r>
      <w:proofErr w:type="spellStart"/>
      <w:r w:rsidRPr="0014151A">
        <w:rPr>
          <w:rFonts w:ascii="Times New Roman" w:eastAsia="Times New Roman" w:hAnsi="Times New Roman" w:cs="Times New Roman"/>
          <w:kern w:val="2"/>
          <w:sz w:val="24"/>
          <w:szCs w:val="24"/>
          <w:lang w:eastAsia="zh-CN" w:bidi="hi-IN"/>
        </w:rPr>
        <w:t>Mikusinski</w:t>
      </w:r>
      <w:proofErr w:type="spellEnd"/>
      <w:r w:rsidRPr="0014151A">
        <w:rPr>
          <w:rFonts w:ascii="Times New Roman" w:eastAsia="Times New Roman" w:hAnsi="Times New Roman" w:cs="Times New Roman"/>
          <w:kern w:val="2"/>
          <w:sz w:val="24"/>
          <w:szCs w:val="24"/>
          <w:lang w:eastAsia="zh-CN" w:bidi="hi-IN"/>
        </w:rPr>
        <w:t xml:space="preserve"> G., </w:t>
      </w:r>
      <w:proofErr w:type="spellStart"/>
      <w:r w:rsidRPr="0014151A">
        <w:rPr>
          <w:rFonts w:ascii="Times New Roman" w:eastAsia="Times New Roman" w:hAnsi="Times New Roman" w:cs="Times New Roman"/>
          <w:kern w:val="2"/>
          <w:sz w:val="24"/>
          <w:szCs w:val="24"/>
          <w:lang w:eastAsia="zh-CN" w:bidi="hi-IN"/>
        </w:rPr>
        <w:t>Svensson</w:t>
      </w:r>
      <w:proofErr w:type="spellEnd"/>
      <w:r w:rsidRPr="0014151A">
        <w:rPr>
          <w:rFonts w:ascii="Times New Roman" w:eastAsia="Times New Roman" w:hAnsi="Times New Roman" w:cs="Times New Roman"/>
          <w:kern w:val="2"/>
          <w:sz w:val="24"/>
          <w:szCs w:val="24"/>
          <w:lang w:eastAsia="zh-CN" w:bidi="hi-IN"/>
        </w:rPr>
        <w:t xml:space="preserve"> S. 2008. </w:t>
      </w:r>
      <w:proofErr w:type="spellStart"/>
      <w:r w:rsidRPr="0014151A">
        <w:rPr>
          <w:rFonts w:ascii="Times New Roman" w:eastAsia="Times New Roman" w:hAnsi="Times New Roman" w:cs="Times New Roman"/>
          <w:kern w:val="2"/>
          <w:sz w:val="24"/>
          <w:szCs w:val="24"/>
          <w:lang w:eastAsia="zh-CN" w:bidi="hi-IN"/>
        </w:rPr>
        <w:t>The</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white</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backed</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woodpecker</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umbrella</w:t>
      </w:r>
      <w:proofErr w:type="spellEnd"/>
      <w:r w:rsidRPr="0014151A">
        <w:rPr>
          <w:rFonts w:ascii="TimesNewRoman" w:hAnsi="TimesNewRoman" w:cs="TimesNewRoman"/>
          <w:sz w:val="24"/>
          <w:szCs w:val="24"/>
        </w:rPr>
        <w:t xml:space="preserve"> </w:t>
      </w:r>
      <w:proofErr w:type="spellStart"/>
      <w:r w:rsidRPr="0014151A">
        <w:rPr>
          <w:rFonts w:ascii="Times New Roman" w:eastAsia="Times New Roman" w:hAnsi="Times New Roman" w:cs="Times New Roman"/>
          <w:kern w:val="2"/>
          <w:sz w:val="24"/>
          <w:szCs w:val="24"/>
          <w:lang w:eastAsia="zh-CN" w:bidi="hi-IN"/>
        </w:rPr>
        <w:t>species</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for</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forest</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conservation</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planning</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Biodiversity</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Conservation</w:t>
      </w:r>
      <w:proofErr w:type="spellEnd"/>
      <w:r w:rsidRPr="0014151A">
        <w:rPr>
          <w:rFonts w:ascii="Times New Roman" w:eastAsia="Times New Roman" w:hAnsi="Times New Roman" w:cs="Times New Roman"/>
          <w:kern w:val="2"/>
          <w:sz w:val="24"/>
          <w:szCs w:val="24"/>
          <w:lang w:eastAsia="zh-CN" w:bidi="hi-IN"/>
        </w:rPr>
        <w:t xml:space="preserve"> 17: 2479 – 2494.</w:t>
      </w:r>
    </w:p>
    <w:p w14:paraId="2CDD7435" w14:textId="20AF73DB" w:rsidR="00613397" w:rsidRDefault="00613397" w:rsidP="0014151A">
      <w:pPr>
        <w:numPr>
          <w:ilvl w:val="0"/>
          <w:numId w:val="31"/>
        </w:numPr>
        <w:spacing w:after="0" w:line="240" w:lineRule="auto"/>
        <w:ind w:left="924" w:hanging="357"/>
        <w:jc w:val="both"/>
        <w:rPr>
          <w:rFonts w:ascii="Times New Roman" w:eastAsia="Times New Roman" w:hAnsi="Times New Roman" w:cs="Times New Roman"/>
          <w:kern w:val="2"/>
          <w:sz w:val="24"/>
          <w:szCs w:val="24"/>
          <w:lang w:eastAsia="zh-CN" w:bidi="hi-IN"/>
        </w:rPr>
      </w:pPr>
      <w:proofErr w:type="spellStart"/>
      <w:r w:rsidRPr="0014151A">
        <w:rPr>
          <w:rFonts w:ascii="Times New Roman" w:eastAsia="Times New Roman" w:hAnsi="Times New Roman" w:cs="Times New Roman"/>
          <w:kern w:val="2"/>
          <w:sz w:val="24"/>
          <w:szCs w:val="24"/>
          <w:lang w:eastAsia="zh-CN" w:bidi="hi-IN"/>
        </w:rPr>
        <w:t>Rodrigues</w:t>
      </w:r>
      <w:proofErr w:type="spellEnd"/>
      <w:r w:rsidRPr="0014151A">
        <w:rPr>
          <w:rFonts w:ascii="Times New Roman" w:eastAsia="Times New Roman" w:hAnsi="Times New Roman" w:cs="Times New Roman"/>
          <w:kern w:val="2"/>
          <w:sz w:val="24"/>
          <w:szCs w:val="24"/>
          <w:lang w:eastAsia="zh-CN" w:bidi="hi-IN"/>
        </w:rPr>
        <w:t xml:space="preserve"> L., </w:t>
      </w:r>
      <w:proofErr w:type="spellStart"/>
      <w:r w:rsidRPr="0014151A">
        <w:rPr>
          <w:rFonts w:ascii="Times New Roman" w:eastAsia="Times New Roman" w:hAnsi="Times New Roman" w:cs="Times New Roman"/>
          <w:kern w:val="2"/>
          <w:sz w:val="24"/>
          <w:szCs w:val="24"/>
          <w:lang w:eastAsia="zh-CN" w:bidi="hi-IN"/>
        </w:rPr>
        <w:t>Bach</w:t>
      </w:r>
      <w:proofErr w:type="spellEnd"/>
      <w:r w:rsidRPr="0014151A">
        <w:rPr>
          <w:rFonts w:ascii="Times New Roman" w:eastAsia="Times New Roman" w:hAnsi="Times New Roman" w:cs="Times New Roman"/>
          <w:kern w:val="2"/>
          <w:sz w:val="24"/>
          <w:szCs w:val="24"/>
          <w:lang w:eastAsia="zh-CN" w:bidi="hi-IN"/>
        </w:rPr>
        <w:t xml:space="preserve"> L., </w:t>
      </w:r>
      <w:proofErr w:type="spellStart"/>
      <w:r w:rsidRPr="0014151A">
        <w:rPr>
          <w:rFonts w:ascii="Times New Roman" w:eastAsia="Times New Roman" w:hAnsi="Times New Roman" w:cs="Times New Roman"/>
          <w:kern w:val="2"/>
          <w:sz w:val="24"/>
          <w:szCs w:val="24"/>
          <w:lang w:eastAsia="zh-CN" w:bidi="hi-IN"/>
        </w:rPr>
        <w:t>Dubourg-Savage</w:t>
      </w:r>
      <w:proofErr w:type="spellEnd"/>
      <w:r w:rsidRPr="0014151A">
        <w:rPr>
          <w:rFonts w:ascii="Times New Roman" w:eastAsia="Times New Roman" w:hAnsi="Times New Roman" w:cs="Times New Roman"/>
          <w:kern w:val="2"/>
          <w:sz w:val="24"/>
          <w:szCs w:val="24"/>
          <w:lang w:eastAsia="zh-CN" w:bidi="hi-IN"/>
        </w:rPr>
        <w:t xml:space="preserve"> M., </w:t>
      </w:r>
      <w:proofErr w:type="spellStart"/>
      <w:r w:rsidRPr="0014151A">
        <w:rPr>
          <w:rFonts w:ascii="Times New Roman" w:eastAsia="Times New Roman" w:hAnsi="Times New Roman" w:cs="Times New Roman"/>
          <w:kern w:val="2"/>
          <w:sz w:val="24"/>
          <w:szCs w:val="24"/>
          <w:lang w:eastAsia="zh-CN" w:bidi="hi-IN"/>
        </w:rPr>
        <w:t>Karapandza</w:t>
      </w:r>
      <w:proofErr w:type="spellEnd"/>
      <w:r w:rsidRPr="0014151A">
        <w:rPr>
          <w:rFonts w:ascii="Times New Roman" w:eastAsia="Times New Roman" w:hAnsi="Times New Roman" w:cs="Times New Roman"/>
          <w:kern w:val="2"/>
          <w:sz w:val="24"/>
          <w:szCs w:val="24"/>
          <w:lang w:eastAsia="zh-CN" w:bidi="hi-IN"/>
        </w:rPr>
        <w:t xml:space="preserve"> B., </w:t>
      </w:r>
      <w:proofErr w:type="spellStart"/>
      <w:r w:rsidRPr="0014151A">
        <w:rPr>
          <w:rFonts w:ascii="Times New Roman" w:eastAsia="Times New Roman" w:hAnsi="Times New Roman" w:cs="Times New Roman"/>
          <w:kern w:val="2"/>
          <w:sz w:val="24"/>
          <w:szCs w:val="24"/>
          <w:lang w:eastAsia="zh-CN" w:bidi="hi-IN"/>
        </w:rPr>
        <w:t>Kovac</w:t>
      </w:r>
      <w:proofErr w:type="spellEnd"/>
      <w:r w:rsidRPr="0014151A">
        <w:rPr>
          <w:rFonts w:ascii="Times New Roman" w:eastAsia="Times New Roman" w:hAnsi="Times New Roman" w:cs="Times New Roman"/>
          <w:kern w:val="2"/>
          <w:sz w:val="24"/>
          <w:szCs w:val="24"/>
          <w:lang w:eastAsia="zh-CN" w:bidi="hi-IN"/>
        </w:rPr>
        <w:t xml:space="preserve"> D., </w:t>
      </w:r>
      <w:proofErr w:type="spellStart"/>
      <w:r w:rsidRPr="0014151A">
        <w:rPr>
          <w:rFonts w:ascii="Times New Roman" w:eastAsia="Times New Roman" w:hAnsi="Times New Roman" w:cs="Times New Roman"/>
          <w:kern w:val="2"/>
          <w:sz w:val="24"/>
          <w:szCs w:val="24"/>
          <w:lang w:eastAsia="zh-CN" w:bidi="hi-IN"/>
        </w:rPr>
        <w:t>Kervyn</w:t>
      </w:r>
      <w:proofErr w:type="spellEnd"/>
      <w:r w:rsidRPr="0014151A">
        <w:rPr>
          <w:rFonts w:ascii="Times New Roman" w:eastAsia="Times New Roman" w:hAnsi="Times New Roman" w:cs="Times New Roman"/>
          <w:kern w:val="2"/>
          <w:sz w:val="24"/>
          <w:szCs w:val="24"/>
          <w:lang w:eastAsia="zh-CN" w:bidi="hi-IN"/>
        </w:rPr>
        <w:t xml:space="preserve"> T.,</w:t>
      </w:r>
      <w:r w:rsidRPr="0014151A">
        <w:rPr>
          <w:rFonts w:ascii="TimesNewRoman" w:hAnsi="TimesNewRoman" w:cs="TimesNewRoman"/>
          <w:sz w:val="24"/>
          <w:szCs w:val="24"/>
        </w:rPr>
        <w:t xml:space="preserve"> </w:t>
      </w:r>
      <w:proofErr w:type="spellStart"/>
      <w:r w:rsidRPr="0014151A">
        <w:rPr>
          <w:rFonts w:ascii="Times New Roman" w:eastAsia="Times New Roman" w:hAnsi="Times New Roman" w:cs="Times New Roman"/>
          <w:kern w:val="2"/>
          <w:sz w:val="24"/>
          <w:szCs w:val="24"/>
          <w:lang w:eastAsia="zh-CN" w:bidi="hi-IN"/>
        </w:rPr>
        <w:t>Dekker</w:t>
      </w:r>
      <w:proofErr w:type="spellEnd"/>
      <w:r w:rsidRPr="0014151A">
        <w:rPr>
          <w:rFonts w:ascii="Times New Roman" w:eastAsia="Times New Roman" w:hAnsi="Times New Roman" w:cs="Times New Roman"/>
          <w:kern w:val="2"/>
          <w:sz w:val="24"/>
          <w:szCs w:val="24"/>
          <w:lang w:eastAsia="zh-CN" w:bidi="hi-IN"/>
        </w:rPr>
        <w:t xml:space="preserve"> J., </w:t>
      </w:r>
      <w:proofErr w:type="spellStart"/>
      <w:r w:rsidRPr="0014151A">
        <w:rPr>
          <w:rFonts w:ascii="Times New Roman" w:eastAsia="Times New Roman" w:hAnsi="Times New Roman" w:cs="Times New Roman"/>
          <w:kern w:val="2"/>
          <w:sz w:val="24"/>
          <w:szCs w:val="24"/>
          <w:lang w:eastAsia="zh-CN" w:bidi="hi-IN"/>
        </w:rPr>
        <w:t>Kepel</w:t>
      </w:r>
      <w:proofErr w:type="spellEnd"/>
      <w:r w:rsidRPr="0014151A">
        <w:rPr>
          <w:rFonts w:ascii="Times New Roman" w:eastAsia="Times New Roman" w:hAnsi="Times New Roman" w:cs="Times New Roman"/>
          <w:kern w:val="2"/>
          <w:sz w:val="24"/>
          <w:szCs w:val="24"/>
          <w:lang w:eastAsia="zh-CN" w:bidi="hi-IN"/>
        </w:rPr>
        <w:t xml:space="preserve"> A., </w:t>
      </w:r>
      <w:proofErr w:type="spellStart"/>
      <w:r w:rsidRPr="0014151A">
        <w:rPr>
          <w:rFonts w:ascii="Times New Roman" w:eastAsia="Times New Roman" w:hAnsi="Times New Roman" w:cs="Times New Roman"/>
          <w:kern w:val="2"/>
          <w:sz w:val="24"/>
          <w:szCs w:val="24"/>
          <w:lang w:eastAsia="zh-CN" w:bidi="hi-IN"/>
        </w:rPr>
        <w:t>Bach</w:t>
      </w:r>
      <w:proofErr w:type="spellEnd"/>
      <w:r w:rsidRPr="0014151A">
        <w:rPr>
          <w:rFonts w:ascii="Times New Roman" w:eastAsia="Times New Roman" w:hAnsi="Times New Roman" w:cs="Times New Roman"/>
          <w:kern w:val="2"/>
          <w:sz w:val="24"/>
          <w:szCs w:val="24"/>
          <w:lang w:eastAsia="zh-CN" w:bidi="hi-IN"/>
        </w:rPr>
        <w:t xml:space="preserve"> P., </w:t>
      </w:r>
      <w:proofErr w:type="spellStart"/>
      <w:r w:rsidRPr="0014151A">
        <w:rPr>
          <w:rFonts w:ascii="Times New Roman" w:eastAsia="Times New Roman" w:hAnsi="Times New Roman" w:cs="Times New Roman"/>
          <w:kern w:val="2"/>
          <w:sz w:val="24"/>
          <w:szCs w:val="24"/>
          <w:lang w:eastAsia="zh-CN" w:bidi="hi-IN"/>
        </w:rPr>
        <w:t>Collins</w:t>
      </w:r>
      <w:proofErr w:type="spellEnd"/>
      <w:r w:rsidRPr="0014151A">
        <w:rPr>
          <w:rFonts w:ascii="Times New Roman" w:eastAsia="Times New Roman" w:hAnsi="Times New Roman" w:cs="Times New Roman"/>
          <w:kern w:val="2"/>
          <w:sz w:val="24"/>
          <w:szCs w:val="24"/>
          <w:lang w:eastAsia="zh-CN" w:bidi="hi-IN"/>
        </w:rPr>
        <w:t xml:space="preserve"> J., </w:t>
      </w:r>
      <w:proofErr w:type="spellStart"/>
      <w:r w:rsidRPr="0014151A">
        <w:rPr>
          <w:rFonts w:ascii="Times New Roman" w:eastAsia="Times New Roman" w:hAnsi="Times New Roman" w:cs="Times New Roman"/>
          <w:kern w:val="2"/>
          <w:sz w:val="24"/>
          <w:szCs w:val="24"/>
          <w:lang w:eastAsia="zh-CN" w:bidi="hi-IN"/>
        </w:rPr>
        <w:t>Harbusch</w:t>
      </w:r>
      <w:proofErr w:type="spellEnd"/>
      <w:r w:rsidRPr="0014151A">
        <w:rPr>
          <w:rFonts w:ascii="Times New Roman" w:eastAsia="Times New Roman" w:hAnsi="Times New Roman" w:cs="Times New Roman"/>
          <w:kern w:val="2"/>
          <w:sz w:val="24"/>
          <w:szCs w:val="24"/>
          <w:lang w:eastAsia="zh-CN" w:bidi="hi-IN"/>
        </w:rPr>
        <w:t xml:space="preserve"> C., Park K., </w:t>
      </w:r>
      <w:proofErr w:type="spellStart"/>
      <w:r w:rsidRPr="0014151A">
        <w:rPr>
          <w:rFonts w:ascii="Times New Roman" w:eastAsia="Times New Roman" w:hAnsi="Times New Roman" w:cs="Times New Roman"/>
          <w:kern w:val="2"/>
          <w:sz w:val="24"/>
          <w:szCs w:val="24"/>
          <w:lang w:eastAsia="zh-CN" w:bidi="hi-IN"/>
        </w:rPr>
        <w:t>Micevski</w:t>
      </w:r>
      <w:proofErr w:type="spellEnd"/>
      <w:r w:rsidRPr="0014151A">
        <w:rPr>
          <w:rFonts w:ascii="Times New Roman" w:eastAsia="Times New Roman" w:hAnsi="Times New Roman" w:cs="Times New Roman"/>
          <w:kern w:val="2"/>
          <w:sz w:val="24"/>
          <w:szCs w:val="24"/>
          <w:lang w:eastAsia="zh-CN" w:bidi="hi-IN"/>
        </w:rPr>
        <w:t xml:space="preserve"> B.,</w:t>
      </w:r>
      <w:r w:rsidRPr="0014151A">
        <w:rPr>
          <w:rFonts w:ascii="TimesNewRoman" w:hAnsi="TimesNewRoman" w:cs="TimesNewRoman"/>
          <w:sz w:val="24"/>
          <w:szCs w:val="24"/>
        </w:rPr>
        <w:t xml:space="preserve"> </w:t>
      </w:r>
      <w:proofErr w:type="spellStart"/>
      <w:r w:rsidRPr="0014151A">
        <w:rPr>
          <w:rFonts w:ascii="Times New Roman" w:eastAsia="Times New Roman" w:hAnsi="Times New Roman" w:cs="Times New Roman"/>
          <w:kern w:val="2"/>
          <w:sz w:val="24"/>
          <w:szCs w:val="24"/>
          <w:lang w:eastAsia="zh-CN" w:bidi="hi-IN"/>
        </w:rPr>
        <w:t>Minderman</w:t>
      </w:r>
      <w:proofErr w:type="spellEnd"/>
      <w:r w:rsidRPr="0014151A">
        <w:rPr>
          <w:rFonts w:ascii="Times New Roman" w:eastAsia="Times New Roman" w:hAnsi="Times New Roman" w:cs="Times New Roman"/>
          <w:kern w:val="2"/>
          <w:sz w:val="24"/>
          <w:szCs w:val="24"/>
          <w:lang w:eastAsia="zh-CN" w:bidi="hi-IN"/>
        </w:rPr>
        <w:t xml:space="preserve"> J. 2015, </w:t>
      </w:r>
      <w:proofErr w:type="spellStart"/>
      <w:r w:rsidRPr="0014151A">
        <w:rPr>
          <w:rFonts w:ascii="Times New Roman" w:eastAsia="Times New Roman" w:hAnsi="Times New Roman" w:cs="Times New Roman"/>
          <w:kern w:val="2"/>
          <w:sz w:val="24"/>
          <w:szCs w:val="24"/>
          <w:lang w:eastAsia="zh-CN" w:bidi="hi-IN"/>
        </w:rPr>
        <w:t>Guidelines</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for</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Consideration</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of</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Bats</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in</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Wind</w:t>
      </w:r>
      <w:proofErr w:type="spellEnd"/>
      <w:r w:rsidRPr="0014151A">
        <w:rPr>
          <w:rFonts w:ascii="Times New Roman" w:eastAsia="Times New Roman" w:hAnsi="Times New Roman" w:cs="Times New Roman"/>
          <w:kern w:val="2"/>
          <w:sz w:val="24"/>
          <w:szCs w:val="24"/>
          <w:lang w:eastAsia="zh-CN" w:bidi="hi-IN"/>
        </w:rPr>
        <w:t xml:space="preserve"> Farm</w:t>
      </w:r>
      <w:r w:rsidRPr="0014151A">
        <w:rPr>
          <w:rFonts w:ascii="TimesNewRoman" w:hAnsi="TimesNewRoman" w:cs="TimesNewRoman"/>
          <w:sz w:val="24"/>
          <w:szCs w:val="24"/>
        </w:rPr>
        <w:t xml:space="preserve"> </w:t>
      </w:r>
      <w:proofErr w:type="spellStart"/>
      <w:r w:rsidRPr="0014151A">
        <w:rPr>
          <w:rFonts w:ascii="Times New Roman" w:eastAsia="Times New Roman" w:hAnsi="Times New Roman" w:cs="Times New Roman"/>
          <w:kern w:val="2"/>
          <w:sz w:val="24"/>
          <w:szCs w:val="24"/>
          <w:lang w:eastAsia="zh-CN" w:bidi="hi-IN"/>
        </w:rPr>
        <w:t>Projects</w:t>
      </w:r>
      <w:proofErr w:type="spellEnd"/>
      <w:r w:rsidRPr="0014151A">
        <w:rPr>
          <w:rFonts w:ascii="Times New Roman" w:eastAsia="Times New Roman" w:hAnsi="Times New Roman" w:cs="Times New Roman"/>
          <w:kern w:val="2"/>
          <w:sz w:val="24"/>
          <w:szCs w:val="24"/>
          <w:lang w:eastAsia="zh-CN" w:bidi="hi-IN"/>
        </w:rPr>
        <w:t xml:space="preserve"> - </w:t>
      </w:r>
      <w:proofErr w:type="spellStart"/>
      <w:r w:rsidRPr="0014151A">
        <w:rPr>
          <w:rFonts w:ascii="Times New Roman" w:eastAsia="Times New Roman" w:hAnsi="Times New Roman" w:cs="Times New Roman"/>
          <w:kern w:val="2"/>
          <w:sz w:val="24"/>
          <w:szCs w:val="24"/>
          <w:lang w:eastAsia="zh-CN" w:bidi="hi-IN"/>
        </w:rPr>
        <w:t>Revision</w:t>
      </w:r>
      <w:proofErr w:type="spellEnd"/>
      <w:r w:rsidRPr="0014151A">
        <w:rPr>
          <w:rFonts w:ascii="Times New Roman" w:eastAsia="Times New Roman" w:hAnsi="Times New Roman" w:cs="Times New Roman"/>
          <w:kern w:val="2"/>
          <w:sz w:val="24"/>
          <w:szCs w:val="24"/>
          <w:lang w:eastAsia="zh-CN" w:bidi="hi-IN"/>
        </w:rPr>
        <w:t xml:space="preserve"> 2014,EUROBATS </w:t>
      </w:r>
      <w:proofErr w:type="spellStart"/>
      <w:r w:rsidRPr="0014151A">
        <w:rPr>
          <w:rFonts w:ascii="Times New Roman" w:eastAsia="Times New Roman" w:hAnsi="Times New Roman" w:cs="Times New Roman"/>
          <w:kern w:val="2"/>
          <w:sz w:val="24"/>
          <w:szCs w:val="24"/>
          <w:lang w:eastAsia="zh-CN" w:bidi="hi-IN"/>
        </w:rPr>
        <w:t>Publication</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Series</w:t>
      </w:r>
      <w:proofErr w:type="spellEnd"/>
      <w:r w:rsidRPr="0014151A">
        <w:rPr>
          <w:rFonts w:ascii="Times New Roman" w:eastAsia="Times New Roman" w:hAnsi="Times New Roman" w:cs="Times New Roman"/>
          <w:kern w:val="2"/>
          <w:sz w:val="24"/>
          <w:szCs w:val="24"/>
          <w:lang w:eastAsia="zh-CN" w:bidi="hi-IN"/>
        </w:rPr>
        <w:t xml:space="preserve"> No, 6 (</w:t>
      </w:r>
      <w:proofErr w:type="spellStart"/>
      <w:r w:rsidRPr="0014151A">
        <w:rPr>
          <w:rFonts w:ascii="Times New Roman" w:eastAsia="Times New Roman" w:hAnsi="Times New Roman" w:cs="Times New Roman"/>
          <w:kern w:val="2"/>
          <w:sz w:val="24"/>
          <w:szCs w:val="24"/>
          <w:lang w:eastAsia="zh-CN" w:bidi="hi-IN"/>
        </w:rPr>
        <w:t>English</w:t>
      </w:r>
      <w:proofErr w:type="spellEnd"/>
      <w:r w:rsidRPr="0014151A">
        <w:rPr>
          <w:rFonts w:ascii="TimesNewRoman" w:hAnsi="TimesNewRoman" w:cs="TimesNewRoman"/>
          <w:sz w:val="24"/>
          <w:szCs w:val="24"/>
        </w:rPr>
        <w:t xml:space="preserve"> </w:t>
      </w:r>
      <w:proofErr w:type="spellStart"/>
      <w:r w:rsidRPr="0014151A">
        <w:rPr>
          <w:rFonts w:ascii="Times New Roman" w:eastAsia="Times New Roman" w:hAnsi="Times New Roman" w:cs="Times New Roman"/>
          <w:kern w:val="2"/>
          <w:sz w:val="24"/>
          <w:szCs w:val="24"/>
          <w:lang w:eastAsia="zh-CN" w:bidi="hi-IN"/>
        </w:rPr>
        <w:t>Version</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Bonn</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Germany</w:t>
      </w:r>
      <w:proofErr w:type="spellEnd"/>
      <w:r w:rsidRPr="0014151A">
        <w:rPr>
          <w:rFonts w:ascii="Times New Roman" w:eastAsia="Times New Roman" w:hAnsi="Times New Roman" w:cs="Times New Roman"/>
          <w:kern w:val="2"/>
          <w:sz w:val="24"/>
          <w:szCs w:val="24"/>
          <w:lang w:eastAsia="zh-CN" w:bidi="hi-IN"/>
        </w:rPr>
        <w:t xml:space="preserve">, 133 </w:t>
      </w:r>
      <w:proofErr w:type="spellStart"/>
      <w:r w:rsidRPr="0014151A">
        <w:rPr>
          <w:rFonts w:ascii="Times New Roman" w:eastAsia="Times New Roman" w:hAnsi="Times New Roman" w:cs="Times New Roman"/>
          <w:kern w:val="2"/>
          <w:sz w:val="24"/>
          <w:szCs w:val="24"/>
          <w:lang w:eastAsia="zh-CN" w:bidi="hi-IN"/>
        </w:rPr>
        <w:t>pp</w:t>
      </w:r>
      <w:proofErr w:type="spellEnd"/>
      <w:r w:rsidRPr="0014151A">
        <w:rPr>
          <w:rFonts w:ascii="Times New Roman" w:eastAsia="Times New Roman" w:hAnsi="Times New Roman" w:cs="Times New Roman"/>
          <w:kern w:val="2"/>
          <w:sz w:val="24"/>
          <w:szCs w:val="24"/>
          <w:lang w:eastAsia="zh-CN" w:bidi="hi-IN"/>
        </w:rPr>
        <w:t>.</w:t>
      </w:r>
    </w:p>
    <w:p w14:paraId="053BDF66" w14:textId="71768740" w:rsidR="000434EA" w:rsidRPr="008873C5" w:rsidRDefault="008873C5" w:rsidP="008873C5">
      <w:pPr>
        <w:pStyle w:val="ListParagraph"/>
        <w:numPr>
          <w:ilvl w:val="0"/>
          <w:numId w:val="31"/>
        </w:numPr>
        <w:spacing w:after="0" w:line="240" w:lineRule="auto"/>
        <w:rPr>
          <w:rFonts w:eastAsia="Times New Roman" w:cs="Times New Roman"/>
          <w:kern w:val="2"/>
          <w:szCs w:val="24"/>
          <w:lang w:eastAsia="zh-CN" w:bidi="hi-IN"/>
        </w:rPr>
      </w:pPr>
      <w:r w:rsidRPr="008873C5">
        <w:rPr>
          <w:rFonts w:eastAsia="Times New Roman" w:cs="Times New Roman"/>
          <w:kern w:val="2"/>
          <w:szCs w:val="24"/>
          <w:lang w:eastAsia="zh-CN" w:bidi="hi-IN"/>
        </w:rPr>
        <w:t xml:space="preserve">Roze I., 2015. </w:t>
      </w:r>
      <w:proofErr w:type="spellStart"/>
      <w:r w:rsidRPr="008873C5">
        <w:rPr>
          <w:rFonts w:eastAsia="Times New Roman" w:cs="Times New Roman"/>
          <w:kern w:val="2"/>
          <w:szCs w:val="24"/>
          <w:lang w:eastAsia="zh-CN" w:bidi="hi-IN"/>
        </w:rPr>
        <w:t>Vascular</w:t>
      </w:r>
      <w:proofErr w:type="spellEnd"/>
      <w:r w:rsidRPr="008873C5">
        <w:rPr>
          <w:rFonts w:eastAsia="Times New Roman" w:cs="Times New Roman"/>
          <w:kern w:val="2"/>
          <w:szCs w:val="24"/>
          <w:lang w:eastAsia="zh-CN" w:bidi="hi-IN"/>
        </w:rPr>
        <w:t xml:space="preserve"> flora </w:t>
      </w:r>
      <w:proofErr w:type="spellStart"/>
      <w:r w:rsidRPr="008873C5">
        <w:rPr>
          <w:rFonts w:eastAsia="Times New Roman" w:cs="Times New Roman"/>
          <w:kern w:val="2"/>
          <w:szCs w:val="24"/>
          <w:lang w:eastAsia="zh-CN" w:bidi="hi-IN"/>
        </w:rPr>
        <w:t>of</w:t>
      </w:r>
      <w:proofErr w:type="spellEnd"/>
      <w:r w:rsidRPr="008873C5">
        <w:rPr>
          <w:rFonts w:eastAsia="Times New Roman" w:cs="Times New Roman"/>
          <w:kern w:val="2"/>
          <w:szCs w:val="24"/>
          <w:lang w:eastAsia="zh-CN" w:bidi="hi-IN"/>
        </w:rPr>
        <w:t xml:space="preserve"> Latvia, 13: </w:t>
      </w:r>
      <w:proofErr w:type="spellStart"/>
      <w:r w:rsidRPr="008873C5">
        <w:rPr>
          <w:rFonts w:eastAsia="Times New Roman" w:cs="Times New Roman"/>
          <w:kern w:val="2"/>
          <w:szCs w:val="24"/>
          <w:lang w:eastAsia="zh-CN" w:bidi="hi-IN"/>
        </w:rPr>
        <w:t>Legume</w:t>
      </w:r>
      <w:proofErr w:type="spellEnd"/>
      <w:r w:rsidRPr="008873C5">
        <w:rPr>
          <w:rFonts w:eastAsia="Times New Roman" w:cs="Times New Roman"/>
          <w:kern w:val="2"/>
          <w:szCs w:val="24"/>
          <w:lang w:eastAsia="zh-CN" w:bidi="hi-IN"/>
        </w:rPr>
        <w:t xml:space="preserve"> </w:t>
      </w:r>
      <w:proofErr w:type="spellStart"/>
      <w:r w:rsidRPr="008873C5">
        <w:rPr>
          <w:rFonts w:eastAsia="Times New Roman" w:cs="Times New Roman"/>
          <w:kern w:val="2"/>
          <w:szCs w:val="24"/>
          <w:lang w:eastAsia="zh-CN" w:bidi="hi-IN"/>
        </w:rPr>
        <w:t>family</w:t>
      </w:r>
      <w:proofErr w:type="spellEnd"/>
      <w:r w:rsidRPr="008873C5">
        <w:rPr>
          <w:rFonts w:eastAsia="Times New Roman" w:cs="Times New Roman"/>
          <w:kern w:val="2"/>
          <w:szCs w:val="24"/>
          <w:lang w:eastAsia="zh-CN" w:bidi="hi-IN"/>
        </w:rPr>
        <w:t xml:space="preserve"> (</w:t>
      </w:r>
      <w:proofErr w:type="spellStart"/>
      <w:r w:rsidRPr="008873C5">
        <w:rPr>
          <w:rFonts w:eastAsia="Times New Roman" w:cs="Times New Roman"/>
          <w:kern w:val="2"/>
          <w:szCs w:val="24"/>
          <w:lang w:eastAsia="zh-CN" w:bidi="hi-IN"/>
        </w:rPr>
        <w:t>Leguminosae</w:t>
      </w:r>
      <w:proofErr w:type="spellEnd"/>
      <w:r w:rsidRPr="008873C5">
        <w:rPr>
          <w:rFonts w:eastAsia="Times New Roman" w:cs="Times New Roman"/>
          <w:kern w:val="2"/>
          <w:szCs w:val="24"/>
          <w:lang w:eastAsia="zh-CN" w:bidi="hi-IN"/>
        </w:rPr>
        <w:t xml:space="preserve">). </w:t>
      </w:r>
      <w:proofErr w:type="spellStart"/>
      <w:r w:rsidRPr="008873C5">
        <w:rPr>
          <w:rFonts w:eastAsia="Times New Roman" w:cs="Times New Roman"/>
          <w:kern w:val="2"/>
          <w:szCs w:val="24"/>
          <w:lang w:eastAsia="zh-CN" w:bidi="hi-IN"/>
        </w:rPr>
        <w:t>Riga</w:t>
      </w:r>
      <w:proofErr w:type="spellEnd"/>
      <w:r w:rsidRPr="008873C5">
        <w:rPr>
          <w:rFonts w:eastAsia="Times New Roman" w:cs="Times New Roman"/>
          <w:kern w:val="2"/>
          <w:szCs w:val="24"/>
          <w:lang w:eastAsia="zh-CN" w:bidi="hi-IN"/>
        </w:rPr>
        <w:t xml:space="preserve">: </w:t>
      </w:r>
      <w:proofErr w:type="spellStart"/>
      <w:r w:rsidRPr="008873C5">
        <w:rPr>
          <w:rFonts w:eastAsia="Times New Roman" w:cs="Times New Roman"/>
          <w:kern w:val="2"/>
          <w:szCs w:val="24"/>
          <w:lang w:eastAsia="zh-CN" w:bidi="hi-IN"/>
        </w:rPr>
        <w:t>Institute</w:t>
      </w:r>
      <w:proofErr w:type="spellEnd"/>
      <w:r w:rsidRPr="008873C5">
        <w:rPr>
          <w:rFonts w:eastAsia="Times New Roman" w:cs="Times New Roman"/>
          <w:kern w:val="2"/>
          <w:szCs w:val="24"/>
          <w:lang w:eastAsia="zh-CN" w:bidi="hi-IN"/>
        </w:rPr>
        <w:t xml:space="preserve"> </w:t>
      </w:r>
      <w:proofErr w:type="spellStart"/>
      <w:r w:rsidRPr="008873C5">
        <w:rPr>
          <w:rFonts w:eastAsia="Times New Roman" w:cs="Times New Roman"/>
          <w:kern w:val="2"/>
          <w:szCs w:val="24"/>
          <w:lang w:eastAsia="zh-CN" w:bidi="hi-IN"/>
        </w:rPr>
        <w:t>of</w:t>
      </w:r>
      <w:proofErr w:type="spellEnd"/>
      <w:r w:rsidRPr="008873C5">
        <w:rPr>
          <w:rFonts w:eastAsia="Times New Roman" w:cs="Times New Roman"/>
          <w:kern w:val="2"/>
          <w:szCs w:val="24"/>
          <w:lang w:eastAsia="zh-CN" w:bidi="hi-IN"/>
        </w:rPr>
        <w:t xml:space="preserve"> </w:t>
      </w:r>
      <w:proofErr w:type="spellStart"/>
      <w:r w:rsidRPr="008873C5">
        <w:rPr>
          <w:rFonts w:eastAsia="Times New Roman" w:cs="Times New Roman"/>
          <w:kern w:val="2"/>
          <w:szCs w:val="24"/>
          <w:lang w:eastAsia="zh-CN" w:bidi="hi-IN"/>
        </w:rPr>
        <w:t>Biology</w:t>
      </w:r>
      <w:proofErr w:type="spellEnd"/>
      <w:r w:rsidRPr="008873C5">
        <w:rPr>
          <w:rFonts w:eastAsia="Times New Roman" w:cs="Times New Roman"/>
          <w:kern w:val="2"/>
          <w:szCs w:val="24"/>
          <w:lang w:eastAsia="zh-CN" w:bidi="hi-IN"/>
        </w:rPr>
        <w:t xml:space="preserve">, </w:t>
      </w:r>
      <w:proofErr w:type="spellStart"/>
      <w:r w:rsidRPr="008873C5">
        <w:rPr>
          <w:rFonts w:eastAsia="Times New Roman" w:cs="Times New Roman"/>
          <w:kern w:val="2"/>
          <w:szCs w:val="24"/>
          <w:lang w:eastAsia="zh-CN" w:bidi="hi-IN"/>
        </w:rPr>
        <w:t>University</w:t>
      </w:r>
      <w:proofErr w:type="spellEnd"/>
      <w:r w:rsidRPr="008873C5">
        <w:rPr>
          <w:rFonts w:eastAsia="Times New Roman" w:cs="Times New Roman"/>
          <w:kern w:val="2"/>
          <w:szCs w:val="24"/>
          <w:lang w:eastAsia="zh-CN" w:bidi="hi-IN"/>
        </w:rPr>
        <w:t xml:space="preserve"> </w:t>
      </w:r>
      <w:proofErr w:type="spellStart"/>
      <w:r w:rsidRPr="008873C5">
        <w:rPr>
          <w:rFonts w:eastAsia="Times New Roman" w:cs="Times New Roman"/>
          <w:kern w:val="2"/>
          <w:szCs w:val="24"/>
          <w:lang w:eastAsia="zh-CN" w:bidi="hi-IN"/>
        </w:rPr>
        <w:t>of</w:t>
      </w:r>
      <w:proofErr w:type="spellEnd"/>
      <w:r w:rsidRPr="008873C5">
        <w:rPr>
          <w:rFonts w:eastAsia="Times New Roman" w:cs="Times New Roman"/>
          <w:kern w:val="2"/>
          <w:szCs w:val="24"/>
          <w:lang w:eastAsia="zh-CN" w:bidi="hi-IN"/>
        </w:rPr>
        <w:t xml:space="preserve"> Latvia, 170 lpp.</w:t>
      </w:r>
    </w:p>
    <w:p w14:paraId="7E091477" w14:textId="05FC4CDD" w:rsidR="00244B83" w:rsidRPr="0014151A" w:rsidRDefault="00244B83" w:rsidP="008873C5">
      <w:pPr>
        <w:numPr>
          <w:ilvl w:val="0"/>
          <w:numId w:val="31"/>
        </w:numPr>
        <w:spacing w:after="0" w:line="240" w:lineRule="auto"/>
        <w:ind w:left="924" w:hanging="357"/>
        <w:jc w:val="both"/>
        <w:rPr>
          <w:rFonts w:ascii="Times New Roman" w:eastAsia="Times New Roman" w:hAnsi="Times New Roman" w:cs="Times New Roman"/>
          <w:kern w:val="2"/>
          <w:sz w:val="24"/>
          <w:szCs w:val="24"/>
          <w:lang w:eastAsia="zh-CN" w:bidi="hi-IN"/>
        </w:rPr>
      </w:pPr>
      <w:proofErr w:type="spellStart"/>
      <w:r w:rsidRPr="0014151A">
        <w:rPr>
          <w:rFonts w:ascii="Times New Roman" w:eastAsia="Times New Roman" w:hAnsi="Times New Roman" w:cs="Times New Roman"/>
          <w:color w:val="000000"/>
          <w:kern w:val="2"/>
          <w:sz w:val="24"/>
          <w:szCs w:val="24"/>
          <w:lang w:eastAsia="ja-JP" w:bidi="hi-IN"/>
        </w:rPr>
        <w:t>Rozenšteins</w:t>
      </w:r>
      <w:proofErr w:type="spellEnd"/>
      <w:r w:rsidRPr="0014151A">
        <w:rPr>
          <w:rFonts w:ascii="Times New Roman" w:eastAsia="Times New Roman" w:hAnsi="Times New Roman" w:cs="Times New Roman"/>
          <w:color w:val="000000"/>
          <w:kern w:val="2"/>
          <w:sz w:val="24"/>
          <w:szCs w:val="24"/>
          <w:lang w:eastAsia="ja-JP" w:bidi="hi-IN"/>
        </w:rPr>
        <w:t xml:space="preserve"> E., Lancmanis Z. 1928. Latvijas saldūdens kaļķi. – Rīga.</w:t>
      </w:r>
    </w:p>
    <w:p w14:paraId="56DAB70E" w14:textId="674712E7" w:rsidR="00D1017B" w:rsidRPr="0014151A" w:rsidRDefault="00D1017B" w:rsidP="0014151A">
      <w:pPr>
        <w:numPr>
          <w:ilvl w:val="0"/>
          <w:numId w:val="31"/>
        </w:numPr>
        <w:spacing w:after="0" w:line="240" w:lineRule="auto"/>
        <w:ind w:left="924" w:hanging="357"/>
        <w:jc w:val="both"/>
        <w:rPr>
          <w:rFonts w:ascii="Times New Roman" w:eastAsia="Times New Roman" w:hAnsi="Times New Roman" w:cs="Times New Roman"/>
          <w:kern w:val="2"/>
          <w:sz w:val="24"/>
          <w:szCs w:val="24"/>
          <w:lang w:eastAsia="zh-CN" w:bidi="hi-IN"/>
        </w:rPr>
      </w:pPr>
      <w:r w:rsidRPr="0014151A">
        <w:rPr>
          <w:rFonts w:ascii="Times New Roman" w:eastAsia="Times New Roman" w:hAnsi="Times New Roman" w:cs="Times New Roman"/>
          <w:kern w:val="2"/>
          <w:sz w:val="24"/>
          <w:szCs w:val="24"/>
          <w:lang w:eastAsia="zh-CN" w:bidi="hi-IN"/>
        </w:rPr>
        <w:t xml:space="preserve">Rudzīte M., </w:t>
      </w:r>
      <w:proofErr w:type="spellStart"/>
      <w:r w:rsidRPr="0014151A">
        <w:rPr>
          <w:rFonts w:ascii="Times New Roman" w:eastAsia="Times New Roman" w:hAnsi="Times New Roman" w:cs="Times New Roman"/>
          <w:kern w:val="2"/>
          <w:sz w:val="24"/>
          <w:szCs w:val="24"/>
          <w:lang w:eastAsia="zh-CN" w:bidi="hi-IN"/>
        </w:rPr>
        <w:t>Dreijers</w:t>
      </w:r>
      <w:proofErr w:type="spellEnd"/>
      <w:r w:rsidRPr="0014151A">
        <w:rPr>
          <w:rFonts w:ascii="Times New Roman" w:eastAsia="Times New Roman" w:hAnsi="Times New Roman" w:cs="Times New Roman"/>
          <w:kern w:val="2"/>
          <w:sz w:val="24"/>
          <w:szCs w:val="24"/>
          <w:lang w:eastAsia="zh-CN" w:bidi="hi-IN"/>
        </w:rPr>
        <w:t xml:space="preserve"> E., Ozoliņa-Moll L., </w:t>
      </w:r>
      <w:proofErr w:type="spellStart"/>
      <w:r w:rsidRPr="0014151A">
        <w:rPr>
          <w:rFonts w:ascii="Times New Roman" w:eastAsia="Times New Roman" w:hAnsi="Times New Roman" w:cs="Times New Roman"/>
          <w:kern w:val="2"/>
          <w:sz w:val="24"/>
          <w:szCs w:val="24"/>
          <w:lang w:eastAsia="zh-CN" w:bidi="hi-IN"/>
        </w:rPr>
        <w:t>Parele</w:t>
      </w:r>
      <w:proofErr w:type="spellEnd"/>
      <w:r w:rsidRPr="0014151A">
        <w:rPr>
          <w:rFonts w:ascii="Times New Roman" w:eastAsia="Times New Roman" w:hAnsi="Times New Roman" w:cs="Times New Roman"/>
          <w:kern w:val="2"/>
          <w:sz w:val="24"/>
          <w:szCs w:val="24"/>
          <w:lang w:eastAsia="zh-CN" w:bidi="hi-IN"/>
        </w:rPr>
        <w:t xml:space="preserve"> E., </w:t>
      </w:r>
      <w:proofErr w:type="spellStart"/>
      <w:r w:rsidRPr="0014151A">
        <w:rPr>
          <w:rFonts w:ascii="Times New Roman" w:eastAsia="Times New Roman" w:hAnsi="Times New Roman" w:cs="Times New Roman"/>
          <w:kern w:val="2"/>
          <w:sz w:val="24"/>
          <w:szCs w:val="24"/>
          <w:lang w:eastAsia="zh-CN" w:bidi="hi-IN"/>
        </w:rPr>
        <w:t>Pilāte</w:t>
      </w:r>
      <w:proofErr w:type="spellEnd"/>
      <w:r w:rsidRPr="0014151A">
        <w:rPr>
          <w:rFonts w:ascii="Times New Roman" w:eastAsia="Times New Roman" w:hAnsi="Times New Roman" w:cs="Times New Roman"/>
          <w:kern w:val="2"/>
          <w:sz w:val="24"/>
          <w:szCs w:val="24"/>
          <w:lang w:eastAsia="zh-CN" w:bidi="hi-IN"/>
        </w:rPr>
        <w:t xml:space="preserve"> D., Rudzītis M., </w:t>
      </w:r>
      <w:proofErr w:type="spellStart"/>
      <w:r w:rsidRPr="0014151A">
        <w:rPr>
          <w:rFonts w:ascii="Times New Roman" w:eastAsia="Times New Roman" w:hAnsi="Times New Roman" w:cs="Times New Roman"/>
          <w:kern w:val="2"/>
          <w:sz w:val="24"/>
          <w:szCs w:val="24"/>
          <w:lang w:eastAsia="zh-CN" w:bidi="hi-IN"/>
        </w:rPr>
        <w:t>Stalažs</w:t>
      </w:r>
      <w:proofErr w:type="spellEnd"/>
      <w:r w:rsidRPr="0014151A">
        <w:rPr>
          <w:rFonts w:ascii="TimesNewRoman" w:hAnsi="TimesNewRoman" w:cs="TimesNewRoman"/>
          <w:sz w:val="24"/>
          <w:szCs w:val="24"/>
        </w:rPr>
        <w:t xml:space="preserve"> </w:t>
      </w:r>
      <w:r w:rsidRPr="0014151A">
        <w:rPr>
          <w:rFonts w:ascii="Times New Roman" w:eastAsia="Times New Roman" w:hAnsi="Times New Roman" w:cs="Times New Roman"/>
          <w:kern w:val="2"/>
          <w:sz w:val="24"/>
          <w:szCs w:val="24"/>
          <w:lang w:eastAsia="zh-CN" w:bidi="hi-IN"/>
        </w:rPr>
        <w:t xml:space="preserve">A. 2010. Latvijas gliemji: Sugu noteicējs. A </w:t>
      </w:r>
      <w:proofErr w:type="spellStart"/>
      <w:r w:rsidRPr="0014151A">
        <w:rPr>
          <w:rFonts w:ascii="Times New Roman" w:eastAsia="Times New Roman" w:hAnsi="Times New Roman" w:cs="Times New Roman"/>
          <w:kern w:val="2"/>
          <w:sz w:val="24"/>
          <w:szCs w:val="24"/>
          <w:lang w:eastAsia="zh-CN" w:bidi="hi-IN"/>
        </w:rPr>
        <w:t>Guide</w:t>
      </w:r>
      <w:proofErr w:type="spellEnd"/>
      <w:r w:rsidRPr="0014151A">
        <w:rPr>
          <w:rFonts w:ascii="Times New Roman" w:eastAsia="Times New Roman" w:hAnsi="Times New Roman" w:cs="Times New Roman"/>
          <w:kern w:val="2"/>
          <w:sz w:val="24"/>
          <w:szCs w:val="24"/>
          <w:lang w:eastAsia="zh-CN" w:bidi="hi-IN"/>
        </w:rPr>
        <w:t xml:space="preserve"> to </w:t>
      </w:r>
      <w:proofErr w:type="spellStart"/>
      <w:r w:rsidRPr="0014151A">
        <w:rPr>
          <w:rFonts w:ascii="Times New Roman" w:eastAsia="Times New Roman" w:hAnsi="Times New Roman" w:cs="Times New Roman"/>
          <w:kern w:val="2"/>
          <w:sz w:val="24"/>
          <w:szCs w:val="24"/>
          <w:lang w:eastAsia="zh-CN" w:bidi="hi-IN"/>
        </w:rPr>
        <w:t>the</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Molluscs</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of</w:t>
      </w:r>
      <w:proofErr w:type="spellEnd"/>
      <w:r w:rsidRPr="0014151A">
        <w:rPr>
          <w:rFonts w:ascii="Times New Roman" w:eastAsia="Times New Roman" w:hAnsi="Times New Roman" w:cs="Times New Roman"/>
          <w:kern w:val="2"/>
          <w:sz w:val="24"/>
          <w:szCs w:val="24"/>
          <w:lang w:eastAsia="zh-CN" w:bidi="hi-IN"/>
        </w:rPr>
        <w:t xml:space="preserve"> Latvia. LU</w:t>
      </w:r>
      <w:r w:rsidRPr="0014151A">
        <w:rPr>
          <w:rFonts w:ascii="TimesNewRoman" w:hAnsi="TimesNewRoman" w:cs="TimesNewRoman"/>
          <w:sz w:val="24"/>
          <w:szCs w:val="24"/>
        </w:rPr>
        <w:t xml:space="preserve"> </w:t>
      </w:r>
      <w:r w:rsidRPr="0014151A">
        <w:rPr>
          <w:rFonts w:ascii="Times New Roman" w:eastAsia="Times New Roman" w:hAnsi="Times New Roman" w:cs="Times New Roman"/>
          <w:kern w:val="2"/>
          <w:sz w:val="24"/>
          <w:szCs w:val="24"/>
          <w:lang w:eastAsia="zh-CN" w:bidi="hi-IN"/>
        </w:rPr>
        <w:t>Akadēmiskais apgāds, Rīga, 252 lpp.</w:t>
      </w:r>
    </w:p>
    <w:p w14:paraId="41587638" w14:textId="01B011E3" w:rsidR="00260499" w:rsidRPr="0014151A" w:rsidRDefault="00260499" w:rsidP="0014151A">
      <w:pPr>
        <w:numPr>
          <w:ilvl w:val="0"/>
          <w:numId w:val="31"/>
        </w:numPr>
        <w:spacing w:after="0" w:line="240" w:lineRule="auto"/>
        <w:ind w:left="924" w:hanging="357"/>
        <w:jc w:val="both"/>
        <w:rPr>
          <w:rFonts w:ascii="Times New Roman" w:eastAsia="Times New Roman" w:hAnsi="Times New Roman" w:cs="Times New Roman"/>
          <w:kern w:val="2"/>
          <w:sz w:val="24"/>
          <w:szCs w:val="24"/>
          <w:lang w:eastAsia="zh-CN" w:bidi="hi-IN"/>
        </w:rPr>
      </w:pPr>
      <w:r w:rsidRPr="0014151A">
        <w:rPr>
          <w:rFonts w:ascii="Times New Roman" w:eastAsia="Times New Roman" w:hAnsi="Times New Roman" w:cs="Times New Roman"/>
          <w:color w:val="000000"/>
          <w:kern w:val="2"/>
          <w:sz w:val="24"/>
          <w:szCs w:val="24"/>
          <w:lang w:eastAsia="ja-JP" w:bidi="hi-IN"/>
        </w:rPr>
        <w:t xml:space="preserve">Rudzīte M., </w:t>
      </w:r>
      <w:proofErr w:type="spellStart"/>
      <w:r w:rsidRPr="0014151A">
        <w:rPr>
          <w:rFonts w:ascii="Times New Roman" w:eastAsia="Times New Roman" w:hAnsi="Times New Roman" w:cs="Times New Roman"/>
          <w:color w:val="000000"/>
          <w:kern w:val="2"/>
          <w:sz w:val="24"/>
          <w:szCs w:val="24"/>
          <w:lang w:eastAsia="ja-JP" w:bidi="hi-IN"/>
        </w:rPr>
        <w:t>Boikova</w:t>
      </w:r>
      <w:proofErr w:type="spellEnd"/>
      <w:r w:rsidRPr="0014151A">
        <w:rPr>
          <w:rFonts w:ascii="Times New Roman" w:eastAsia="Times New Roman" w:hAnsi="Times New Roman" w:cs="Times New Roman"/>
          <w:color w:val="000000"/>
          <w:kern w:val="2"/>
          <w:sz w:val="24"/>
          <w:szCs w:val="24"/>
          <w:lang w:eastAsia="ja-JP" w:bidi="hi-IN"/>
        </w:rPr>
        <w:t xml:space="preserve"> E., </w:t>
      </w:r>
      <w:proofErr w:type="spellStart"/>
      <w:r w:rsidRPr="0014151A">
        <w:rPr>
          <w:rFonts w:ascii="Times New Roman" w:eastAsia="Times New Roman" w:hAnsi="Times New Roman" w:cs="Times New Roman"/>
          <w:color w:val="000000"/>
          <w:kern w:val="2"/>
          <w:sz w:val="24"/>
          <w:szCs w:val="24"/>
          <w:lang w:eastAsia="ja-JP" w:bidi="hi-IN"/>
        </w:rPr>
        <w:t>Dreijers</w:t>
      </w:r>
      <w:proofErr w:type="spellEnd"/>
      <w:r w:rsidRPr="0014151A">
        <w:rPr>
          <w:rFonts w:ascii="Times New Roman" w:eastAsia="Times New Roman" w:hAnsi="Times New Roman" w:cs="Times New Roman"/>
          <w:color w:val="000000"/>
          <w:kern w:val="2"/>
          <w:sz w:val="24"/>
          <w:szCs w:val="24"/>
          <w:lang w:eastAsia="ja-JP" w:bidi="hi-IN"/>
        </w:rPr>
        <w:t xml:space="preserve"> E., Jakubāne I., </w:t>
      </w:r>
      <w:proofErr w:type="spellStart"/>
      <w:r w:rsidRPr="0014151A">
        <w:rPr>
          <w:rFonts w:ascii="Times New Roman" w:eastAsia="Times New Roman" w:hAnsi="Times New Roman" w:cs="Times New Roman"/>
          <w:color w:val="000000"/>
          <w:kern w:val="2"/>
          <w:sz w:val="24"/>
          <w:szCs w:val="24"/>
          <w:lang w:eastAsia="ja-JP" w:bidi="hi-IN"/>
        </w:rPr>
        <w:t>Jermakovs</w:t>
      </w:r>
      <w:proofErr w:type="spellEnd"/>
      <w:r w:rsidRPr="0014151A">
        <w:rPr>
          <w:rFonts w:ascii="Times New Roman" w:eastAsia="Times New Roman" w:hAnsi="Times New Roman" w:cs="Times New Roman"/>
          <w:color w:val="000000"/>
          <w:kern w:val="2"/>
          <w:sz w:val="24"/>
          <w:szCs w:val="24"/>
          <w:lang w:eastAsia="ja-JP" w:bidi="hi-IN"/>
        </w:rPr>
        <w:t xml:space="preserve"> V., </w:t>
      </w:r>
      <w:proofErr w:type="spellStart"/>
      <w:r w:rsidRPr="0014151A">
        <w:rPr>
          <w:rFonts w:ascii="Times New Roman" w:eastAsia="Times New Roman" w:hAnsi="Times New Roman" w:cs="Times New Roman"/>
          <w:color w:val="000000"/>
          <w:kern w:val="2"/>
          <w:sz w:val="24"/>
          <w:szCs w:val="24"/>
          <w:lang w:eastAsia="ja-JP" w:bidi="hi-IN"/>
        </w:rPr>
        <w:t>Parele</w:t>
      </w:r>
      <w:proofErr w:type="spellEnd"/>
      <w:r w:rsidRPr="0014151A">
        <w:rPr>
          <w:rFonts w:ascii="Times New Roman" w:eastAsia="Times New Roman" w:hAnsi="Times New Roman" w:cs="Times New Roman"/>
          <w:color w:val="000000"/>
          <w:kern w:val="2"/>
          <w:sz w:val="24"/>
          <w:szCs w:val="24"/>
          <w:lang w:eastAsia="ja-JP" w:bidi="hi-IN"/>
        </w:rPr>
        <w:t xml:space="preserve"> E., </w:t>
      </w:r>
      <w:proofErr w:type="spellStart"/>
      <w:r w:rsidRPr="0014151A">
        <w:rPr>
          <w:rFonts w:ascii="Times New Roman" w:eastAsia="Times New Roman" w:hAnsi="Times New Roman" w:cs="Times New Roman"/>
          <w:color w:val="000000"/>
          <w:kern w:val="2"/>
          <w:sz w:val="24"/>
          <w:szCs w:val="24"/>
          <w:lang w:eastAsia="ja-JP" w:bidi="hi-IN"/>
        </w:rPr>
        <w:t>Pilāte</w:t>
      </w:r>
      <w:proofErr w:type="spellEnd"/>
      <w:r w:rsidRPr="0014151A">
        <w:rPr>
          <w:rFonts w:ascii="Times New Roman" w:eastAsia="Times New Roman" w:hAnsi="Times New Roman" w:cs="Times New Roman"/>
          <w:color w:val="000000"/>
          <w:kern w:val="2"/>
          <w:sz w:val="24"/>
          <w:szCs w:val="24"/>
          <w:lang w:eastAsia="ja-JP" w:bidi="hi-IN"/>
        </w:rPr>
        <w:t xml:space="preserve"> D., Rudzītis M. 2018. </w:t>
      </w:r>
      <w:proofErr w:type="spellStart"/>
      <w:r w:rsidRPr="0014151A">
        <w:rPr>
          <w:rFonts w:ascii="Times New Roman" w:eastAsia="Times New Roman" w:hAnsi="Times New Roman" w:cs="Times New Roman"/>
          <w:color w:val="000000"/>
          <w:kern w:val="2"/>
          <w:sz w:val="24"/>
          <w:szCs w:val="24"/>
          <w:lang w:eastAsia="ja-JP" w:bidi="hi-IN"/>
        </w:rPr>
        <w:t>Distribution</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and</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protection</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of</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the</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molluscs</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of</w:t>
      </w:r>
      <w:proofErr w:type="spellEnd"/>
      <w:r w:rsidRPr="0014151A">
        <w:rPr>
          <w:rFonts w:ascii="Times New Roman" w:eastAsia="Times New Roman" w:hAnsi="Times New Roman" w:cs="Times New Roman"/>
          <w:color w:val="000000"/>
          <w:kern w:val="2"/>
          <w:sz w:val="24"/>
          <w:szCs w:val="24"/>
          <w:lang w:eastAsia="ja-JP" w:bidi="hi-IN"/>
        </w:rPr>
        <w:t xml:space="preserve"> Latvia. </w:t>
      </w:r>
      <w:proofErr w:type="spellStart"/>
      <w:r w:rsidRPr="0014151A">
        <w:rPr>
          <w:rFonts w:ascii="Times New Roman" w:eastAsia="Times New Roman" w:hAnsi="Times New Roman" w:cs="Times New Roman"/>
          <w:color w:val="000000"/>
          <w:kern w:val="2"/>
          <w:sz w:val="24"/>
          <w:szCs w:val="24"/>
          <w:lang w:eastAsia="ja-JP" w:bidi="hi-IN"/>
        </w:rPr>
        <w:t>Schr.Malakozool</w:t>
      </w:r>
      <w:proofErr w:type="spellEnd"/>
      <w:r w:rsidRPr="0014151A">
        <w:rPr>
          <w:rFonts w:ascii="Times New Roman" w:eastAsia="Times New Roman" w:hAnsi="Times New Roman" w:cs="Times New Roman"/>
          <w:color w:val="000000"/>
          <w:kern w:val="2"/>
          <w:sz w:val="24"/>
          <w:szCs w:val="24"/>
          <w:lang w:eastAsia="ja-JP" w:bidi="hi-IN"/>
        </w:rPr>
        <w:t>. 30: 19-28</w:t>
      </w:r>
      <w:r w:rsidR="00686341" w:rsidRPr="0014151A">
        <w:rPr>
          <w:rFonts w:ascii="Times New Roman" w:eastAsia="Times New Roman" w:hAnsi="Times New Roman" w:cs="Times New Roman"/>
          <w:color w:val="000000"/>
          <w:kern w:val="2"/>
          <w:sz w:val="24"/>
          <w:szCs w:val="24"/>
          <w:lang w:eastAsia="ja-JP" w:bidi="hi-IN"/>
        </w:rPr>
        <w:t>.</w:t>
      </w:r>
    </w:p>
    <w:p w14:paraId="79BC24DF" w14:textId="5AAAE577" w:rsidR="00260499" w:rsidRPr="0014151A" w:rsidRDefault="00260499" w:rsidP="0014151A">
      <w:pPr>
        <w:numPr>
          <w:ilvl w:val="0"/>
          <w:numId w:val="31"/>
        </w:numPr>
        <w:spacing w:after="0" w:line="240" w:lineRule="auto"/>
        <w:ind w:left="924" w:hanging="357"/>
        <w:jc w:val="both"/>
        <w:rPr>
          <w:rFonts w:ascii="Times New Roman" w:eastAsia="Times New Roman" w:hAnsi="Times New Roman" w:cs="Times New Roman"/>
          <w:kern w:val="2"/>
          <w:sz w:val="24"/>
          <w:szCs w:val="24"/>
          <w:lang w:eastAsia="zh-CN" w:bidi="hi-IN"/>
        </w:rPr>
      </w:pPr>
      <w:r w:rsidRPr="0014151A">
        <w:rPr>
          <w:rFonts w:ascii="Times New Roman" w:eastAsia="Times New Roman" w:hAnsi="Times New Roman" w:cs="Times New Roman"/>
          <w:color w:val="000000"/>
          <w:kern w:val="2"/>
          <w:sz w:val="24"/>
          <w:szCs w:val="24"/>
          <w:lang w:eastAsia="ja-JP" w:bidi="hi-IN"/>
        </w:rPr>
        <w:t xml:space="preserve">Rudzīte M., </w:t>
      </w:r>
      <w:proofErr w:type="spellStart"/>
      <w:r w:rsidRPr="0014151A">
        <w:rPr>
          <w:rFonts w:ascii="Times New Roman" w:eastAsia="Times New Roman" w:hAnsi="Times New Roman" w:cs="Times New Roman"/>
          <w:color w:val="000000"/>
          <w:kern w:val="2"/>
          <w:sz w:val="24"/>
          <w:szCs w:val="24"/>
          <w:lang w:eastAsia="ja-JP" w:bidi="hi-IN"/>
        </w:rPr>
        <w:t>Boikova</w:t>
      </w:r>
      <w:proofErr w:type="spellEnd"/>
      <w:r w:rsidRPr="0014151A">
        <w:rPr>
          <w:rFonts w:ascii="Times New Roman" w:eastAsia="Times New Roman" w:hAnsi="Times New Roman" w:cs="Times New Roman"/>
          <w:color w:val="000000"/>
          <w:kern w:val="2"/>
          <w:sz w:val="24"/>
          <w:szCs w:val="24"/>
          <w:lang w:eastAsia="ja-JP" w:bidi="hi-IN"/>
        </w:rPr>
        <w:t xml:space="preserve"> E., </w:t>
      </w:r>
      <w:proofErr w:type="spellStart"/>
      <w:r w:rsidRPr="0014151A">
        <w:rPr>
          <w:rFonts w:ascii="Times New Roman" w:eastAsia="Times New Roman" w:hAnsi="Times New Roman" w:cs="Times New Roman"/>
          <w:color w:val="000000"/>
          <w:kern w:val="2"/>
          <w:sz w:val="24"/>
          <w:szCs w:val="24"/>
          <w:lang w:eastAsia="ja-JP" w:bidi="hi-IN"/>
        </w:rPr>
        <w:t>Dreijers</w:t>
      </w:r>
      <w:proofErr w:type="spellEnd"/>
      <w:r w:rsidRPr="0014151A">
        <w:rPr>
          <w:rFonts w:ascii="Times New Roman" w:eastAsia="Times New Roman" w:hAnsi="Times New Roman" w:cs="Times New Roman"/>
          <w:color w:val="000000"/>
          <w:kern w:val="2"/>
          <w:sz w:val="24"/>
          <w:szCs w:val="24"/>
          <w:lang w:eastAsia="ja-JP" w:bidi="hi-IN"/>
        </w:rPr>
        <w:t xml:space="preserve"> E., Jakubāne I., </w:t>
      </w:r>
      <w:proofErr w:type="spellStart"/>
      <w:r w:rsidRPr="0014151A">
        <w:rPr>
          <w:rFonts w:ascii="Times New Roman" w:eastAsia="Times New Roman" w:hAnsi="Times New Roman" w:cs="Times New Roman"/>
          <w:color w:val="000000"/>
          <w:kern w:val="2"/>
          <w:sz w:val="24"/>
          <w:szCs w:val="24"/>
          <w:lang w:eastAsia="ja-JP" w:bidi="hi-IN"/>
        </w:rPr>
        <w:t>Parele</w:t>
      </w:r>
      <w:proofErr w:type="spellEnd"/>
      <w:r w:rsidRPr="0014151A">
        <w:rPr>
          <w:rFonts w:ascii="Times New Roman" w:eastAsia="Times New Roman" w:hAnsi="Times New Roman" w:cs="Times New Roman"/>
          <w:color w:val="000000"/>
          <w:kern w:val="2"/>
          <w:sz w:val="24"/>
          <w:szCs w:val="24"/>
          <w:lang w:eastAsia="ja-JP" w:bidi="hi-IN"/>
        </w:rPr>
        <w:t xml:space="preserve"> E., </w:t>
      </w:r>
      <w:proofErr w:type="spellStart"/>
      <w:r w:rsidRPr="0014151A">
        <w:rPr>
          <w:rFonts w:ascii="Times New Roman" w:eastAsia="Times New Roman" w:hAnsi="Times New Roman" w:cs="Times New Roman"/>
          <w:color w:val="000000"/>
          <w:kern w:val="2"/>
          <w:sz w:val="24"/>
          <w:szCs w:val="24"/>
          <w:lang w:eastAsia="ja-JP" w:bidi="hi-IN"/>
        </w:rPr>
        <w:t>Pilāte</w:t>
      </w:r>
      <w:proofErr w:type="spellEnd"/>
      <w:r w:rsidRPr="0014151A">
        <w:rPr>
          <w:rFonts w:ascii="Times New Roman" w:eastAsia="Times New Roman" w:hAnsi="Times New Roman" w:cs="Times New Roman"/>
          <w:color w:val="000000"/>
          <w:kern w:val="2"/>
          <w:sz w:val="24"/>
          <w:szCs w:val="24"/>
          <w:lang w:eastAsia="ja-JP" w:bidi="hi-IN"/>
        </w:rPr>
        <w:t xml:space="preserve"> D., Rudzītis M. 2018. </w:t>
      </w:r>
      <w:proofErr w:type="spellStart"/>
      <w:r w:rsidRPr="0014151A">
        <w:rPr>
          <w:rFonts w:ascii="Times New Roman" w:eastAsia="Times New Roman" w:hAnsi="Times New Roman" w:cs="Times New Roman"/>
          <w:color w:val="000000"/>
          <w:kern w:val="2"/>
          <w:sz w:val="24"/>
          <w:szCs w:val="24"/>
          <w:lang w:eastAsia="ja-JP" w:bidi="hi-IN"/>
        </w:rPr>
        <w:t>The</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New</w:t>
      </w:r>
      <w:proofErr w:type="spellEnd"/>
      <w:r w:rsidRPr="0014151A">
        <w:rPr>
          <w:rFonts w:ascii="Times New Roman" w:eastAsia="Times New Roman" w:hAnsi="Times New Roman" w:cs="Times New Roman"/>
          <w:color w:val="000000"/>
          <w:kern w:val="2"/>
          <w:sz w:val="24"/>
          <w:szCs w:val="24"/>
          <w:lang w:eastAsia="ja-JP" w:bidi="hi-IN"/>
        </w:rPr>
        <w:t xml:space="preserve"> Red List </w:t>
      </w:r>
      <w:proofErr w:type="spellStart"/>
      <w:r w:rsidRPr="0014151A">
        <w:rPr>
          <w:rFonts w:ascii="Times New Roman" w:eastAsia="Times New Roman" w:hAnsi="Times New Roman" w:cs="Times New Roman"/>
          <w:color w:val="000000"/>
          <w:kern w:val="2"/>
          <w:sz w:val="24"/>
          <w:szCs w:val="24"/>
          <w:lang w:eastAsia="ja-JP" w:bidi="hi-IN"/>
        </w:rPr>
        <w:t>of</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the</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molluscs</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of</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the</w:t>
      </w:r>
      <w:proofErr w:type="spellEnd"/>
      <w:r w:rsidRPr="0014151A">
        <w:rPr>
          <w:rFonts w:ascii="Times New Roman" w:eastAsia="Times New Roman" w:hAnsi="Times New Roman" w:cs="Times New Roman"/>
          <w:color w:val="000000"/>
          <w:kern w:val="2"/>
          <w:sz w:val="24"/>
          <w:szCs w:val="24"/>
          <w:lang w:eastAsia="ja-JP" w:bidi="hi-IN"/>
        </w:rPr>
        <w:t xml:space="preserve"> Latvia. </w:t>
      </w:r>
      <w:proofErr w:type="spellStart"/>
      <w:r w:rsidRPr="0014151A">
        <w:rPr>
          <w:rFonts w:ascii="Times New Roman" w:eastAsia="Times New Roman" w:hAnsi="Times New Roman" w:cs="Times New Roman"/>
          <w:color w:val="000000"/>
          <w:kern w:val="2"/>
          <w:sz w:val="24"/>
          <w:szCs w:val="24"/>
          <w:lang w:eastAsia="ja-JP" w:bidi="hi-IN"/>
        </w:rPr>
        <w:t>Environmental</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and</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Experimental</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Biology</w:t>
      </w:r>
      <w:proofErr w:type="spellEnd"/>
      <w:r w:rsidRPr="0014151A">
        <w:rPr>
          <w:rFonts w:ascii="Times New Roman" w:eastAsia="Times New Roman" w:hAnsi="Times New Roman" w:cs="Times New Roman"/>
          <w:color w:val="000000"/>
          <w:kern w:val="2"/>
          <w:sz w:val="24"/>
          <w:szCs w:val="24"/>
          <w:lang w:eastAsia="ja-JP" w:bidi="hi-IN"/>
        </w:rPr>
        <w:t xml:space="preserve"> (2018) 16: 55-59</w:t>
      </w:r>
      <w:r w:rsidR="00686341" w:rsidRPr="0014151A">
        <w:rPr>
          <w:rFonts w:ascii="Times New Roman" w:eastAsia="Times New Roman" w:hAnsi="Times New Roman" w:cs="Times New Roman"/>
          <w:color w:val="000000"/>
          <w:kern w:val="2"/>
          <w:sz w:val="24"/>
          <w:szCs w:val="24"/>
          <w:lang w:eastAsia="ja-JP" w:bidi="hi-IN"/>
        </w:rPr>
        <w:t>.</w:t>
      </w:r>
    </w:p>
    <w:p w14:paraId="0DC7C99C" w14:textId="270994A9" w:rsidR="00392BE6" w:rsidRPr="0014151A" w:rsidRDefault="00392BE6" w:rsidP="0014151A">
      <w:pPr>
        <w:numPr>
          <w:ilvl w:val="0"/>
          <w:numId w:val="31"/>
        </w:numPr>
        <w:spacing w:after="0" w:line="240" w:lineRule="auto"/>
        <w:jc w:val="both"/>
        <w:rPr>
          <w:rFonts w:ascii="Times New Roman" w:eastAsia="Times New Roman" w:hAnsi="Times New Roman" w:cs="Times New Roman"/>
          <w:kern w:val="2"/>
          <w:sz w:val="24"/>
          <w:szCs w:val="24"/>
          <w:lang w:eastAsia="zh-CN" w:bidi="hi-IN"/>
        </w:rPr>
      </w:pPr>
      <w:proofErr w:type="spellStart"/>
      <w:r w:rsidRPr="0014151A">
        <w:rPr>
          <w:rFonts w:ascii="Times New Roman" w:eastAsia="Times New Roman" w:hAnsi="Times New Roman" w:cs="Times New Roman"/>
          <w:kern w:val="2"/>
          <w:sz w:val="24"/>
          <w:szCs w:val="24"/>
          <w:lang w:eastAsia="zh-CN" w:bidi="hi-IN"/>
        </w:rPr>
        <w:t>Rueda</w:t>
      </w:r>
      <w:proofErr w:type="spellEnd"/>
      <w:r w:rsidRPr="0014151A">
        <w:rPr>
          <w:rFonts w:ascii="Times New Roman" w:eastAsia="Times New Roman" w:hAnsi="Times New Roman" w:cs="Times New Roman"/>
          <w:kern w:val="2"/>
          <w:sz w:val="24"/>
          <w:szCs w:val="24"/>
          <w:lang w:eastAsia="zh-CN" w:bidi="hi-IN"/>
        </w:rPr>
        <w:t xml:space="preserve"> M., </w:t>
      </w:r>
      <w:proofErr w:type="spellStart"/>
      <w:r w:rsidRPr="0014151A">
        <w:rPr>
          <w:rFonts w:ascii="Times New Roman" w:eastAsia="Times New Roman" w:hAnsi="Times New Roman" w:cs="Times New Roman"/>
          <w:kern w:val="2"/>
          <w:sz w:val="24"/>
          <w:szCs w:val="24"/>
          <w:lang w:eastAsia="zh-CN" w:bidi="hi-IN"/>
        </w:rPr>
        <w:t>Hawkins</w:t>
      </w:r>
      <w:proofErr w:type="spellEnd"/>
      <w:r w:rsidRPr="0014151A">
        <w:rPr>
          <w:rFonts w:ascii="Times New Roman" w:eastAsia="Times New Roman" w:hAnsi="Times New Roman" w:cs="Times New Roman"/>
          <w:kern w:val="2"/>
          <w:sz w:val="24"/>
          <w:szCs w:val="24"/>
          <w:lang w:eastAsia="zh-CN" w:bidi="hi-IN"/>
        </w:rPr>
        <w:t xml:space="preserve"> B. A., Morales-</w:t>
      </w:r>
      <w:proofErr w:type="spellStart"/>
      <w:r w:rsidRPr="0014151A">
        <w:rPr>
          <w:rFonts w:ascii="Times New Roman" w:eastAsia="Times New Roman" w:hAnsi="Times New Roman" w:cs="Times New Roman"/>
          <w:kern w:val="2"/>
          <w:sz w:val="24"/>
          <w:szCs w:val="24"/>
          <w:lang w:eastAsia="zh-CN" w:bidi="hi-IN"/>
        </w:rPr>
        <w:t>Castilla</w:t>
      </w:r>
      <w:proofErr w:type="spellEnd"/>
      <w:r w:rsidRPr="0014151A">
        <w:rPr>
          <w:rFonts w:ascii="Times New Roman" w:eastAsia="Times New Roman" w:hAnsi="Times New Roman" w:cs="Times New Roman"/>
          <w:kern w:val="2"/>
          <w:sz w:val="24"/>
          <w:szCs w:val="24"/>
          <w:lang w:eastAsia="zh-CN" w:bidi="hi-IN"/>
        </w:rPr>
        <w:t xml:space="preserve"> I</w:t>
      </w:r>
      <w:r w:rsidRPr="0014151A">
        <w:rPr>
          <w:rFonts w:ascii="Times New Roman" w:eastAsia="Times New Roman" w:hAnsi="Times New Roman" w:cs="Times New Roman"/>
          <w:b/>
          <w:bCs/>
          <w:i/>
          <w:iCs/>
          <w:kern w:val="2"/>
          <w:sz w:val="24"/>
          <w:szCs w:val="24"/>
          <w:lang w:eastAsia="zh-CN" w:bidi="hi-IN"/>
        </w:rPr>
        <w:t>.</w:t>
      </w:r>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Vidanes</w:t>
      </w:r>
      <w:proofErr w:type="spellEnd"/>
      <w:r w:rsidRPr="0014151A">
        <w:rPr>
          <w:rFonts w:ascii="Times New Roman" w:eastAsia="Times New Roman" w:hAnsi="Times New Roman" w:cs="Times New Roman"/>
          <w:kern w:val="2"/>
          <w:sz w:val="24"/>
          <w:szCs w:val="24"/>
          <w:lang w:eastAsia="zh-CN" w:bidi="hi-IN"/>
        </w:rPr>
        <w:t xml:space="preserve"> R. M., </w:t>
      </w:r>
      <w:proofErr w:type="spellStart"/>
      <w:r w:rsidRPr="0014151A">
        <w:rPr>
          <w:rFonts w:ascii="Times New Roman" w:eastAsia="Times New Roman" w:hAnsi="Times New Roman" w:cs="Times New Roman"/>
          <w:kern w:val="2"/>
          <w:sz w:val="24"/>
          <w:szCs w:val="24"/>
          <w:lang w:eastAsia="zh-CN" w:bidi="hi-IN"/>
        </w:rPr>
        <w:t>Ferrero</w:t>
      </w:r>
      <w:proofErr w:type="spellEnd"/>
      <w:r w:rsidRPr="0014151A">
        <w:rPr>
          <w:rFonts w:ascii="Times New Roman" w:eastAsia="Times New Roman" w:hAnsi="Times New Roman" w:cs="Times New Roman"/>
          <w:kern w:val="2"/>
          <w:sz w:val="24"/>
          <w:szCs w:val="24"/>
          <w:lang w:eastAsia="zh-CN" w:bidi="hi-IN"/>
        </w:rPr>
        <w:t xml:space="preserve"> M., </w:t>
      </w:r>
      <w:proofErr w:type="spellStart"/>
      <w:r w:rsidRPr="0014151A">
        <w:rPr>
          <w:rFonts w:ascii="Times New Roman" w:eastAsia="Times New Roman" w:hAnsi="Times New Roman" w:cs="Times New Roman"/>
          <w:kern w:val="2"/>
          <w:sz w:val="24"/>
          <w:szCs w:val="24"/>
          <w:lang w:eastAsia="zh-CN" w:bidi="hi-IN"/>
        </w:rPr>
        <w:t>Rodriguez</w:t>
      </w:r>
      <w:proofErr w:type="spellEnd"/>
      <w:r w:rsidRPr="0014151A">
        <w:rPr>
          <w:rFonts w:ascii="Times New Roman" w:eastAsia="Times New Roman" w:hAnsi="Times New Roman" w:cs="Times New Roman"/>
          <w:kern w:val="2"/>
          <w:sz w:val="24"/>
          <w:szCs w:val="24"/>
          <w:lang w:eastAsia="zh-CN" w:bidi="hi-IN"/>
        </w:rPr>
        <w:t xml:space="preserve"> M. A.</w:t>
      </w:r>
      <w:r w:rsidRPr="0014151A">
        <w:rPr>
          <w:rFonts w:ascii="TimesNewRoman" w:hAnsi="TimesNewRoman" w:cs="TimesNewRoman"/>
          <w:sz w:val="24"/>
          <w:szCs w:val="24"/>
        </w:rPr>
        <w:t xml:space="preserve"> </w:t>
      </w:r>
      <w:r w:rsidRPr="0014151A">
        <w:rPr>
          <w:rFonts w:ascii="Times New Roman" w:eastAsia="Times New Roman" w:hAnsi="Times New Roman" w:cs="Times New Roman"/>
          <w:kern w:val="2"/>
          <w:sz w:val="24"/>
          <w:szCs w:val="24"/>
          <w:lang w:eastAsia="zh-CN" w:bidi="hi-IN"/>
        </w:rPr>
        <w:t xml:space="preserve">2013. </w:t>
      </w:r>
      <w:proofErr w:type="spellStart"/>
      <w:r w:rsidRPr="0014151A">
        <w:rPr>
          <w:rFonts w:ascii="Times New Roman" w:eastAsia="Times New Roman" w:hAnsi="Times New Roman" w:cs="Times New Roman"/>
          <w:kern w:val="2"/>
          <w:sz w:val="24"/>
          <w:szCs w:val="24"/>
          <w:lang w:eastAsia="zh-CN" w:bidi="hi-IN"/>
        </w:rPr>
        <w:t>Does</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fragmentation</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increase</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extinction</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thresholds</w:t>
      </w:r>
      <w:proofErr w:type="spellEnd"/>
      <w:r w:rsidRPr="0014151A">
        <w:rPr>
          <w:rFonts w:ascii="Times New Roman" w:eastAsia="Times New Roman" w:hAnsi="Times New Roman" w:cs="Times New Roman"/>
          <w:kern w:val="2"/>
          <w:sz w:val="24"/>
          <w:szCs w:val="24"/>
          <w:lang w:eastAsia="zh-CN" w:bidi="hi-IN"/>
        </w:rPr>
        <w:t xml:space="preserve">? A </w:t>
      </w:r>
      <w:proofErr w:type="spellStart"/>
      <w:r w:rsidRPr="0014151A">
        <w:rPr>
          <w:rFonts w:ascii="Times New Roman" w:eastAsia="Times New Roman" w:hAnsi="Times New Roman" w:cs="Times New Roman"/>
          <w:kern w:val="2"/>
          <w:sz w:val="24"/>
          <w:szCs w:val="24"/>
          <w:lang w:eastAsia="zh-CN" w:bidi="hi-IN"/>
        </w:rPr>
        <w:t>European-wide</w:t>
      </w:r>
      <w:proofErr w:type="spellEnd"/>
      <w:r w:rsidRPr="0014151A">
        <w:rPr>
          <w:rFonts w:ascii="Times New Roman" w:eastAsia="Times New Roman" w:hAnsi="Times New Roman" w:cs="Times New Roman"/>
          <w:kern w:val="2"/>
          <w:sz w:val="24"/>
          <w:szCs w:val="24"/>
          <w:lang w:eastAsia="zh-CN" w:bidi="hi-IN"/>
        </w:rPr>
        <w:t xml:space="preserve"> test </w:t>
      </w:r>
      <w:proofErr w:type="spellStart"/>
      <w:r w:rsidRPr="0014151A">
        <w:rPr>
          <w:rFonts w:ascii="Times New Roman" w:eastAsia="Times New Roman" w:hAnsi="Times New Roman" w:cs="Times New Roman"/>
          <w:kern w:val="2"/>
          <w:sz w:val="24"/>
          <w:szCs w:val="24"/>
          <w:lang w:eastAsia="zh-CN" w:bidi="hi-IN"/>
        </w:rPr>
        <w:t>with</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seven</w:t>
      </w:r>
      <w:proofErr w:type="spellEnd"/>
      <w:r w:rsidRPr="0014151A">
        <w:rPr>
          <w:rFonts w:ascii="TimesNewRoman" w:hAnsi="TimesNewRoman" w:cs="TimesNewRoman"/>
          <w:sz w:val="24"/>
          <w:szCs w:val="24"/>
        </w:rPr>
        <w:t xml:space="preserve"> </w:t>
      </w:r>
      <w:proofErr w:type="spellStart"/>
      <w:r w:rsidRPr="0014151A">
        <w:rPr>
          <w:rFonts w:ascii="Times New Roman" w:eastAsia="Times New Roman" w:hAnsi="Times New Roman" w:cs="Times New Roman"/>
          <w:kern w:val="2"/>
          <w:sz w:val="24"/>
          <w:szCs w:val="24"/>
          <w:lang w:eastAsia="zh-CN" w:bidi="hi-IN"/>
        </w:rPr>
        <w:t>forest</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birds</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Global</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Ecology</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and</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Biogeography</w:t>
      </w:r>
      <w:proofErr w:type="spellEnd"/>
      <w:r w:rsidRPr="0014151A">
        <w:rPr>
          <w:rFonts w:ascii="Times New Roman" w:eastAsia="Times New Roman" w:hAnsi="Times New Roman" w:cs="Times New Roman"/>
          <w:kern w:val="2"/>
          <w:sz w:val="24"/>
          <w:szCs w:val="24"/>
          <w:lang w:eastAsia="zh-CN" w:bidi="hi-IN"/>
        </w:rPr>
        <w:t xml:space="preserve"> 22: 1282–1292.</w:t>
      </w:r>
    </w:p>
    <w:p w14:paraId="0755E031" w14:textId="14FA40B3" w:rsidR="00E26F90" w:rsidRPr="0014151A" w:rsidRDefault="00E26F90" w:rsidP="0014151A">
      <w:pPr>
        <w:numPr>
          <w:ilvl w:val="0"/>
          <w:numId w:val="31"/>
        </w:numPr>
        <w:spacing w:after="0" w:line="240" w:lineRule="auto"/>
        <w:jc w:val="both"/>
        <w:rPr>
          <w:rFonts w:ascii="Times New Roman" w:eastAsia="Times New Roman" w:hAnsi="Times New Roman" w:cs="Times New Roman"/>
          <w:kern w:val="2"/>
          <w:sz w:val="24"/>
          <w:szCs w:val="24"/>
          <w:lang w:eastAsia="zh-CN" w:bidi="hi-IN"/>
        </w:rPr>
      </w:pPr>
      <w:proofErr w:type="spellStart"/>
      <w:r w:rsidRPr="0014151A">
        <w:rPr>
          <w:rFonts w:ascii="Times New Roman" w:eastAsia="Times New Roman" w:hAnsi="Times New Roman" w:cs="Times New Roman"/>
          <w:kern w:val="2"/>
          <w:sz w:val="24"/>
          <w:szCs w:val="24"/>
          <w:lang w:eastAsia="zh-CN" w:bidi="hi-IN"/>
        </w:rPr>
        <w:t>Rutkis</w:t>
      </w:r>
      <w:proofErr w:type="spellEnd"/>
      <w:r w:rsidRPr="0014151A">
        <w:rPr>
          <w:rFonts w:ascii="Times New Roman" w:eastAsia="Times New Roman" w:hAnsi="Times New Roman" w:cs="Times New Roman"/>
          <w:kern w:val="2"/>
          <w:sz w:val="24"/>
          <w:szCs w:val="24"/>
          <w:lang w:eastAsia="zh-CN" w:bidi="hi-IN"/>
        </w:rPr>
        <w:t xml:space="preserve"> J. 1960. Latvijas ģeogrāfija.794 lpp.</w:t>
      </w:r>
    </w:p>
    <w:p w14:paraId="61DEED8B" w14:textId="324F6C2A" w:rsidR="00E26F90" w:rsidRPr="0014151A" w:rsidRDefault="00E26F90" w:rsidP="0014151A">
      <w:pPr>
        <w:pStyle w:val="ListParagraph"/>
        <w:numPr>
          <w:ilvl w:val="0"/>
          <w:numId w:val="31"/>
        </w:numPr>
        <w:spacing w:after="0" w:line="240" w:lineRule="auto"/>
        <w:rPr>
          <w:rFonts w:eastAsia="Times New Roman" w:cs="Times New Roman"/>
          <w:kern w:val="2"/>
          <w:szCs w:val="24"/>
          <w:lang w:eastAsia="zh-CN" w:bidi="hi-IN"/>
        </w:rPr>
      </w:pPr>
      <w:proofErr w:type="spellStart"/>
      <w:r w:rsidRPr="0014151A">
        <w:rPr>
          <w:rFonts w:eastAsia="Times New Roman" w:cs="Times New Roman"/>
          <w:color w:val="000000"/>
          <w:kern w:val="2"/>
          <w:szCs w:val="24"/>
          <w:lang w:eastAsia="ja-JP" w:bidi="hi-IN"/>
        </w:rPr>
        <w:t>Rutkovska</w:t>
      </w:r>
      <w:proofErr w:type="spellEnd"/>
      <w:r w:rsidRPr="0014151A">
        <w:rPr>
          <w:rFonts w:eastAsia="Times New Roman" w:cs="Times New Roman"/>
          <w:color w:val="000000"/>
          <w:kern w:val="2"/>
          <w:szCs w:val="24"/>
          <w:lang w:eastAsia="ja-JP" w:bidi="hi-IN"/>
        </w:rPr>
        <w:t xml:space="preserve"> S., </w:t>
      </w:r>
      <w:proofErr w:type="spellStart"/>
      <w:r w:rsidRPr="0014151A">
        <w:rPr>
          <w:rFonts w:eastAsia="Times New Roman" w:cs="Times New Roman"/>
          <w:color w:val="000000"/>
          <w:kern w:val="2"/>
          <w:szCs w:val="24"/>
          <w:lang w:eastAsia="ja-JP" w:bidi="hi-IN"/>
        </w:rPr>
        <w:t>Pučka</w:t>
      </w:r>
      <w:proofErr w:type="spellEnd"/>
      <w:r w:rsidRPr="0014151A">
        <w:rPr>
          <w:rFonts w:eastAsia="Times New Roman" w:cs="Times New Roman"/>
          <w:color w:val="000000"/>
          <w:kern w:val="2"/>
          <w:szCs w:val="24"/>
          <w:lang w:eastAsia="ja-JP" w:bidi="hi-IN"/>
        </w:rPr>
        <w:t xml:space="preserve"> I. &amp; Frolova O. 2017</w:t>
      </w:r>
      <w:r w:rsidR="004434B8" w:rsidRPr="0014151A">
        <w:rPr>
          <w:rFonts w:eastAsia="Times New Roman" w:cs="Times New Roman"/>
          <w:color w:val="000000"/>
          <w:kern w:val="2"/>
          <w:szCs w:val="24"/>
          <w:lang w:eastAsia="ja-JP" w:bidi="hi-IN"/>
        </w:rPr>
        <w:t>.</w:t>
      </w:r>
      <w:r w:rsidRPr="0014151A">
        <w:rPr>
          <w:rFonts w:eastAsia="Times New Roman" w:cs="Times New Roman"/>
          <w:color w:val="000000"/>
          <w:kern w:val="2"/>
          <w:szCs w:val="24"/>
          <w:lang w:eastAsia="ja-JP" w:bidi="hi-IN"/>
        </w:rPr>
        <w:t xml:space="preserve"> </w:t>
      </w:r>
      <w:proofErr w:type="spellStart"/>
      <w:r w:rsidRPr="0014151A">
        <w:rPr>
          <w:rFonts w:eastAsia="Times New Roman" w:cs="Times New Roman"/>
          <w:color w:val="000000"/>
          <w:kern w:val="2"/>
          <w:szCs w:val="24"/>
          <w:lang w:eastAsia="ja-JP" w:bidi="hi-IN"/>
        </w:rPr>
        <w:t>Inventory</w:t>
      </w:r>
      <w:proofErr w:type="spellEnd"/>
      <w:r w:rsidRPr="0014151A">
        <w:rPr>
          <w:rFonts w:eastAsia="Times New Roman" w:cs="Times New Roman"/>
          <w:color w:val="000000"/>
          <w:kern w:val="2"/>
          <w:szCs w:val="24"/>
          <w:lang w:eastAsia="ja-JP" w:bidi="hi-IN"/>
        </w:rPr>
        <w:t xml:space="preserve"> </w:t>
      </w:r>
      <w:proofErr w:type="spellStart"/>
      <w:r w:rsidRPr="0014151A">
        <w:rPr>
          <w:rFonts w:eastAsia="Times New Roman" w:cs="Times New Roman"/>
          <w:color w:val="000000"/>
          <w:kern w:val="2"/>
          <w:szCs w:val="24"/>
          <w:lang w:eastAsia="ja-JP" w:bidi="hi-IN"/>
        </w:rPr>
        <w:t>of</w:t>
      </w:r>
      <w:proofErr w:type="spellEnd"/>
      <w:r w:rsidRPr="0014151A">
        <w:rPr>
          <w:rFonts w:eastAsia="Times New Roman" w:cs="Times New Roman"/>
          <w:color w:val="000000"/>
          <w:kern w:val="2"/>
          <w:szCs w:val="24"/>
          <w:lang w:eastAsia="ja-JP" w:bidi="hi-IN"/>
        </w:rPr>
        <w:t xml:space="preserve"> </w:t>
      </w:r>
      <w:proofErr w:type="spellStart"/>
      <w:r w:rsidRPr="0014151A">
        <w:rPr>
          <w:rFonts w:eastAsia="Times New Roman" w:cs="Times New Roman"/>
          <w:color w:val="000000"/>
          <w:kern w:val="2"/>
          <w:szCs w:val="24"/>
          <w:lang w:eastAsia="ja-JP" w:bidi="hi-IN"/>
        </w:rPr>
        <w:t>the</w:t>
      </w:r>
      <w:proofErr w:type="spellEnd"/>
      <w:r w:rsidRPr="0014151A">
        <w:rPr>
          <w:rFonts w:eastAsia="Times New Roman" w:cs="Times New Roman"/>
          <w:color w:val="000000"/>
          <w:kern w:val="2"/>
          <w:szCs w:val="24"/>
          <w:lang w:eastAsia="ja-JP" w:bidi="hi-IN"/>
        </w:rPr>
        <w:t xml:space="preserve"> </w:t>
      </w:r>
      <w:proofErr w:type="spellStart"/>
      <w:r w:rsidRPr="0014151A">
        <w:rPr>
          <w:rFonts w:eastAsia="Times New Roman" w:cs="Times New Roman"/>
          <w:color w:val="000000"/>
          <w:kern w:val="2"/>
          <w:szCs w:val="24"/>
          <w:lang w:eastAsia="ja-JP" w:bidi="hi-IN"/>
        </w:rPr>
        <w:t>Most</w:t>
      </w:r>
      <w:proofErr w:type="spellEnd"/>
      <w:r w:rsidRPr="0014151A">
        <w:rPr>
          <w:rFonts w:eastAsia="Times New Roman" w:cs="Times New Roman"/>
          <w:color w:val="000000"/>
          <w:kern w:val="2"/>
          <w:szCs w:val="24"/>
          <w:lang w:eastAsia="ja-JP" w:bidi="hi-IN"/>
        </w:rPr>
        <w:t xml:space="preserve"> </w:t>
      </w:r>
      <w:proofErr w:type="spellStart"/>
      <w:r w:rsidRPr="0014151A">
        <w:rPr>
          <w:rFonts w:eastAsia="Times New Roman" w:cs="Times New Roman"/>
          <w:color w:val="000000"/>
          <w:kern w:val="2"/>
          <w:szCs w:val="24"/>
          <w:lang w:eastAsia="ja-JP" w:bidi="hi-IN"/>
        </w:rPr>
        <w:t>Invasive</w:t>
      </w:r>
      <w:proofErr w:type="spellEnd"/>
      <w:r w:rsidRPr="0014151A">
        <w:rPr>
          <w:rFonts w:eastAsia="Times New Roman" w:cs="Times New Roman"/>
          <w:color w:val="000000"/>
          <w:kern w:val="2"/>
          <w:szCs w:val="24"/>
          <w:lang w:eastAsia="ja-JP" w:bidi="hi-IN"/>
        </w:rPr>
        <w:t xml:space="preserve"> </w:t>
      </w:r>
      <w:proofErr w:type="spellStart"/>
      <w:r w:rsidRPr="0014151A">
        <w:rPr>
          <w:rFonts w:eastAsia="Times New Roman" w:cs="Times New Roman"/>
          <w:color w:val="000000"/>
          <w:kern w:val="2"/>
          <w:szCs w:val="24"/>
          <w:lang w:eastAsia="ja-JP" w:bidi="hi-IN"/>
        </w:rPr>
        <w:t>Alien</w:t>
      </w:r>
      <w:proofErr w:type="spellEnd"/>
      <w:r w:rsidRPr="0014151A">
        <w:rPr>
          <w:rFonts w:eastAsia="Times New Roman" w:cs="Times New Roman"/>
          <w:color w:val="000000"/>
          <w:kern w:val="2"/>
          <w:szCs w:val="24"/>
          <w:lang w:eastAsia="ja-JP" w:bidi="hi-IN"/>
        </w:rPr>
        <w:t xml:space="preserve"> </w:t>
      </w:r>
      <w:proofErr w:type="spellStart"/>
      <w:r w:rsidRPr="0014151A">
        <w:rPr>
          <w:rFonts w:eastAsia="Times New Roman" w:cs="Times New Roman"/>
          <w:color w:val="000000"/>
          <w:kern w:val="2"/>
          <w:szCs w:val="24"/>
          <w:lang w:eastAsia="ja-JP" w:bidi="hi-IN"/>
        </w:rPr>
        <w:t>Plant</w:t>
      </w:r>
      <w:proofErr w:type="spellEnd"/>
      <w:r w:rsidRPr="0014151A">
        <w:rPr>
          <w:rFonts w:eastAsia="Times New Roman" w:cs="Times New Roman"/>
          <w:color w:val="000000"/>
          <w:kern w:val="2"/>
          <w:szCs w:val="24"/>
          <w:lang w:eastAsia="ja-JP" w:bidi="hi-IN"/>
        </w:rPr>
        <w:t xml:space="preserve"> </w:t>
      </w:r>
      <w:proofErr w:type="spellStart"/>
      <w:r w:rsidRPr="0014151A">
        <w:rPr>
          <w:rFonts w:eastAsia="Times New Roman" w:cs="Times New Roman"/>
          <w:color w:val="000000"/>
          <w:kern w:val="2"/>
          <w:szCs w:val="24"/>
          <w:lang w:eastAsia="ja-JP" w:bidi="hi-IN"/>
        </w:rPr>
        <w:t>Species</w:t>
      </w:r>
      <w:proofErr w:type="spellEnd"/>
      <w:r w:rsidRPr="0014151A">
        <w:rPr>
          <w:rFonts w:eastAsia="Times New Roman" w:cs="Times New Roman"/>
          <w:color w:val="000000"/>
          <w:kern w:val="2"/>
          <w:szCs w:val="24"/>
          <w:lang w:eastAsia="ja-JP" w:bidi="hi-IN"/>
        </w:rPr>
        <w:t xml:space="preserve"> </w:t>
      </w:r>
      <w:proofErr w:type="spellStart"/>
      <w:r w:rsidRPr="0014151A">
        <w:rPr>
          <w:rFonts w:eastAsia="Times New Roman" w:cs="Times New Roman"/>
          <w:color w:val="000000"/>
          <w:kern w:val="2"/>
          <w:szCs w:val="24"/>
          <w:lang w:eastAsia="ja-JP" w:bidi="hi-IN"/>
        </w:rPr>
        <w:t>of</w:t>
      </w:r>
      <w:proofErr w:type="spellEnd"/>
      <w:r w:rsidRPr="0014151A">
        <w:rPr>
          <w:rFonts w:eastAsia="Times New Roman" w:cs="Times New Roman"/>
          <w:color w:val="000000"/>
          <w:kern w:val="2"/>
          <w:szCs w:val="24"/>
          <w:lang w:eastAsia="ja-JP" w:bidi="hi-IN"/>
        </w:rPr>
        <w:t xml:space="preserve"> Latvia </w:t>
      </w:r>
      <w:proofErr w:type="spellStart"/>
      <w:r w:rsidRPr="0014151A">
        <w:rPr>
          <w:rFonts w:eastAsia="Times New Roman" w:cs="Times New Roman"/>
          <w:color w:val="000000"/>
          <w:kern w:val="2"/>
          <w:szCs w:val="24"/>
          <w:lang w:eastAsia="ja-JP" w:bidi="hi-IN"/>
        </w:rPr>
        <w:t>in</w:t>
      </w:r>
      <w:proofErr w:type="spellEnd"/>
      <w:r w:rsidRPr="0014151A">
        <w:rPr>
          <w:rFonts w:eastAsia="Times New Roman" w:cs="Times New Roman"/>
          <w:color w:val="000000"/>
          <w:kern w:val="2"/>
          <w:szCs w:val="24"/>
          <w:lang w:eastAsia="ja-JP" w:bidi="hi-IN"/>
        </w:rPr>
        <w:t xml:space="preserve"> </w:t>
      </w:r>
      <w:proofErr w:type="spellStart"/>
      <w:r w:rsidRPr="0014151A">
        <w:rPr>
          <w:rFonts w:eastAsia="Times New Roman" w:cs="Times New Roman"/>
          <w:color w:val="000000"/>
          <w:kern w:val="2"/>
          <w:szCs w:val="24"/>
          <w:lang w:eastAsia="ja-JP" w:bidi="hi-IN"/>
        </w:rPr>
        <w:t>the</w:t>
      </w:r>
      <w:proofErr w:type="spellEnd"/>
      <w:r w:rsidRPr="0014151A">
        <w:rPr>
          <w:rFonts w:eastAsia="Times New Roman" w:cs="Times New Roman"/>
          <w:color w:val="000000"/>
          <w:kern w:val="2"/>
          <w:szCs w:val="24"/>
          <w:lang w:eastAsia="ja-JP" w:bidi="hi-IN"/>
        </w:rPr>
        <w:t xml:space="preserve"> "Daugavas loki" Nature Park. -</w:t>
      </w:r>
      <w:proofErr w:type="spellStart"/>
      <w:r w:rsidRPr="0014151A">
        <w:rPr>
          <w:rFonts w:eastAsia="Times New Roman" w:cs="Times New Roman"/>
          <w:color w:val="000000"/>
          <w:kern w:val="2"/>
          <w:szCs w:val="24"/>
          <w:lang w:eastAsia="ja-JP" w:bidi="hi-IN"/>
        </w:rPr>
        <w:t>Proceedings</w:t>
      </w:r>
      <w:proofErr w:type="spellEnd"/>
      <w:r w:rsidRPr="0014151A">
        <w:rPr>
          <w:rFonts w:eastAsia="Times New Roman" w:cs="Times New Roman"/>
          <w:color w:val="000000"/>
          <w:kern w:val="2"/>
          <w:szCs w:val="24"/>
          <w:lang w:eastAsia="ja-JP" w:bidi="hi-IN"/>
        </w:rPr>
        <w:t xml:space="preserve"> </w:t>
      </w:r>
      <w:proofErr w:type="spellStart"/>
      <w:r w:rsidRPr="0014151A">
        <w:rPr>
          <w:rFonts w:eastAsia="Times New Roman" w:cs="Times New Roman"/>
          <w:color w:val="000000"/>
          <w:kern w:val="2"/>
          <w:szCs w:val="24"/>
          <w:lang w:eastAsia="ja-JP" w:bidi="hi-IN"/>
        </w:rPr>
        <w:t>of</w:t>
      </w:r>
      <w:proofErr w:type="spellEnd"/>
      <w:r w:rsidRPr="0014151A">
        <w:rPr>
          <w:rFonts w:eastAsia="Times New Roman" w:cs="Times New Roman"/>
          <w:color w:val="000000"/>
          <w:kern w:val="2"/>
          <w:szCs w:val="24"/>
          <w:lang w:eastAsia="ja-JP" w:bidi="hi-IN"/>
        </w:rPr>
        <w:t xml:space="preserve"> </w:t>
      </w:r>
      <w:proofErr w:type="spellStart"/>
      <w:r w:rsidRPr="0014151A">
        <w:rPr>
          <w:rFonts w:eastAsia="Times New Roman" w:cs="Times New Roman"/>
          <w:color w:val="000000"/>
          <w:kern w:val="2"/>
          <w:szCs w:val="24"/>
          <w:lang w:eastAsia="ja-JP" w:bidi="hi-IN"/>
        </w:rPr>
        <w:t>the</w:t>
      </w:r>
      <w:proofErr w:type="spellEnd"/>
      <w:r w:rsidRPr="0014151A">
        <w:rPr>
          <w:rFonts w:eastAsia="Times New Roman" w:cs="Times New Roman"/>
          <w:color w:val="000000"/>
          <w:kern w:val="2"/>
          <w:szCs w:val="24"/>
          <w:lang w:eastAsia="ja-JP" w:bidi="hi-IN"/>
        </w:rPr>
        <w:t xml:space="preserve"> 11 </w:t>
      </w:r>
      <w:proofErr w:type="spellStart"/>
      <w:r w:rsidRPr="0014151A">
        <w:rPr>
          <w:rFonts w:eastAsia="Times New Roman" w:cs="Times New Roman"/>
          <w:color w:val="000000"/>
          <w:kern w:val="2"/>
          <w:szCs w:val="24"/>
          <w:lang w:eastAsia="ja-JP" w:bidi="hi-IN"/>
        </w:rPr>
        <w:t>th</w:t>
      </w:r>
      <w:proofErr w:type="spellEnd"/>
      <w:r w:rsidRPr="0014151A">
        <w:rPr>
          <w:rFonts w:eastAsia="Times New Roman" w:cs="Times New Roman"/>
          <w:color w:val="000000"/>
          <w:kern w:val="2"/>
          <w:szCs w:val="24"/>
          <w:lang w:eastAsia="ja-JP" w:bidi="hi-IN"/>
        </w:rPr>
        <w:t xml:space="preserve"> </w:t>
      </w:r>
      <w:proofErr w:type="spellStart"/>
      <w:r w:rsidRPr="0014151A">
        <w:rPr>
          <w:rFonts w:eastAsia="Times New Roman" w:cs="Times New Roman"/>
          <w:color w:val="000000"/>
          <w:kern w:val="2"/>
          <w:szCs w:val="24"/>
          <w:lang w:eastAsia="ja-JP" w:bidi="hi-IN"/>
        </w:rPr>
        <w:t>International</w:t>
      </w:r>
      <w:proofErr w:type="spellEnd"/>
      <w:r w:rsidRPr="0014151A">
        <w:rPr>
          <w:rFonts w:eastAsia="Times New Roman" w:cs="Times New Roman"/>
          <w:color w:val="000000"/>
          <w:kern w:val="2"/>
          <w:szCs w:val="24"/>
          <w:lang w:eastAsia="ja-JP" w:bidi="hi-IN"/>
        </w:rPr>
        <w:t xml:space="preserve"> </w:t>
      </w:r>
      <w:proofErr w:type="spellStart"/>
      <w:r w:rsidRPr="0014151A">
        <w:rPr>
          <w:rFonts w:eastAsia="Times New Roman" w:cs="Times New Roman"/>
          <w:color w:val="000000"/>
          <w:kern w:val="2"/>
          <w:szCs w:val="24"/>
          <w:lang w:eastAsia="ja-JP" w:bidi="hi-IN"/>
        </w:rPr>
        <w:t>Scentific</w:t>
      </w:r>
      <w:proofErr w:type="spellEnd"/>
      <w:r w:rsidRPr="0014151A">
        <w:rPr>
          <w:rFonts w:eastAsia="Times New Roman" w:cs="Times New Roman"/>
          <w:color w:val="000000"/>
          <w:kern w:val="2"/>
          <w:szCs w:val="24"/>
          <w:lang w:eastAsia="ja-JP" w:bidi="hi-IN"/>
        </w:rPr>
        <w:t xml:space="preserve"> </w:t>
      </w:r>
      <w:proofErr w:type="spellStart"/>
      <w:r w:rsidRPr="0014151A">
        <w:rPr>
          <w:rFonts w:eastAsia="Times New Roman" w:cs="Times New Roman"/>
          <w:color w:val="000000"/>
          <w:kern w:val="2"/>
          <w:szCs w:val="24"/>
          <w:lang w:eastAsia="ja-JP" w:bidi="hi-IN"/>
        </w:rPr>
        <w:t>and</w:t>
      </w:r>
      <w:proofErr w:type="spellEnd"/>
      <w:r w:rsidRPr="0014151A">
        <w:rPr>
          <w:rFonts w:eastAsia="Times New Roman" w:cs="Times New Roman"/>
          <w:color w:val="000000"/>
          <w:kern w:val="2"/>
          <w:szCs w:val="24"/>
          <w:lang w:eastAsia="ja-JP" w:bidi="hi-IN"/>
        </w:rPr>
        <w:t xml:space="preserve"> </w:t>
      </w:r>
      <w:proofErr w:type="spellStart"/>
      <w:r w:rsidRPr="0014151A">
        <w:rPr>
          <w:rFonts w:eastAsia="Times New Roman" w:cs="Times New Roman"/>
          <w:color w:val="000000"/>
          <w:kern w:val="2"/>
          <w:szCs w:val="24"/>
          <w:lang w:eastAsia="ja-JP" w:bidi="hi-IN"/>
        </w:rPr>
        <w:t>Practical</w:t>
      </w:r>
      <w:proofErr w:type="spellEnd"/>
      <w:r w:rsidRPr="0014151A">
        <w:rPr>
          <w:rFonts w:eastAsia="Times New Roman" w:cs="Times New Roman"/>
          <w:color w:val="000000"/>
          <w:kern w:val="2"/>
          <w:szCs w:val="24"/>
          <w:lang w:eastAsia="ja-JP" w:bidi="hi-IN"/>
        </w:rPr>
        <w:t xml:space="preserve"> </w:t>
      </w:r>
      <w:proofErr w:type="spellStart"/>
      <w:r w:rsidRPr="0014151A">
        <w:rPr>
          <w:rFonts w:eastAsia="Times New Roman" w:cs="Times New Roman"/>
          <w:color w:val="000000"/>
          <w:kern w:val="2"/>
          <w:szCs w:val="24"/>
          <w:lang w:eastAsia="ja-JP" w:bidi="hi-IN"/>
        </w:rPr>
        <w:t>Conference</w:t>
      </w:r>
      <w:proofErr w:type="spellEnd"/>
      <w:r w:rsidRPr="0014151A">
        <w:rPr>
          <w:rFonts w:eastAsia="Times New Roman" w:cs="Times New Roman"/>
          <w:color w:val="000000"/>
          <w:kern w:val="2"/>
          <w:szCs w:val="24"/>
          <w:lang w:eastAsia="ja-JP" w:bidi="hi-IN"/>
        </w:rPr>
        <w:t>, 1: 246-252.</w:t>
      </w:r>
    </w:p>
    <w:p w14:paraId="7540A6B0" w14:textId="2F30E234" w:rsidR="00CF4ABA" w:rsidRPr="0014151A" w:rsidRDefault="00CF4ABA" w:rsidP="0014151A">
      <w:pPr>
        <w:pStyle w:val="ListParagraph"/>
        <w:numPr>
          <w:ilvl w:val="0"/>
          <w:numId w:val="31"/>
        </w:numPr>
        <w:spacing w:after="0" w:line="240" w:lineRule="auto"/>
        <w:rPr>
          <w:rFonts w:eastAsia="Times New Roman" w:cs="Times New Roman"/>
          <w:kern w:val="2"/>
          <w:szCs w:val="24"/>
          <w:lang w:eastAsia="zh-CN" w:bidi="hi-IN"/>
        </w:rPr>
      </w:pPr>
      <w:proofErr w:type="spellStart"/>
      <w:r w:rsidRPr="0014151A">
        <w:rPr>
          <w:rFonts w:eastAsia="Times New Roman" w:cs="Times New Roman"/>
          <w:kern w:val="2"/>
          <w:szCs w:val="24"/>
          <w:lang w:eastAsia="zh-CN" w:bidi="hi-IN"/>
        </w:rPr>
        <w:t>Rutkovska</w:t>
      </w:r>
      <w:proofErr w:type="spellEnd"/>
      <w:r w:rsidRPr="0014151A">
        <w:rPr>
          <w:rFonts w:eastAsia="Times New Roman" w:cs="Times New Roman"/>
          <w:kern w:val="2"/>
          <w:szCs w:val="24"/>
          <w:lang w:eastAsia="zh-CN" w:bidi="hi-IN"/>
        </w:rPr>
        <w:t xml:space="preserve"> S., Frolova O., </w:t>
      </w:r>
      <w:proofErr w:type="spellStart"/>
      <w:r w:rsidRPr="0014151A">
        <w:rPr>
          <w:rFonts w:eastAsia="Times New Roman" w:cs="Times New Roman"/>
          <w:kern w:val="2"/>
          <w:szCs w:val="24"/>
          <w:lang w:eastAsia="zh-CN" w:bidi="hi-IN"/>
        </w:rPr>
        <w:t>Svirka</w:t>
      </w:r>
      <w:proofErr w:type="spellEnd"/>
      <w:r w:rsidRPr="0014151A">
        <w:rPr>
          <w:rFonts w:eastAsia="Times New Roman" w:cs="Times New Roman"/>
          <w:kern w:val="2"/>
          <w:szCs w:val="24"/>
          <w:lang w:eastAsia="zh-CN" w:bidi="hi-IN"/>
        </w:rPr>
        <w:t xml:space="preserve"> K. 2018. Latvija prioritāri </w:t>
      </w:r>
      <w:proofErr w:type="spellStart"/>
      <w:r w:rsidRPr="0014151A">
        <w:rPr>
          <w:rFonts w:eastAsia="Times New Roman" w:cs="Times New Roman"/>
          <w:kern w:val="2"/>
          <w:szCs w:val="24"/>
          <w:lang w:eastAsia="zh-CN" w:bidi="hi-IN"/>
        </w:rPr>
        <w:t>monitorējamo</w:t>
      </w:r>
      <w:proofErr w:type="spellEnd"/>
      <w:r w:rsidRPr="0014151A">
        <w:rPr>
          <w:rFonts w:eastAsia="Times New Roman" w:cs="Times New Roman"/>
          <w:kern w:val="2"/>
          <w:szCs w:val="24"/>
          <w:lang w:eastAsia="zh-CN" w:bidi="hi-IN"/>
        </w:rPr>
        <w:t xml:space="preserve"> </w:t>
      </w:r>
      <w:proofErr w:type="spellStart"/>
      <w:r w:rsidRPr="0014151A">
        <w:rPr>
          <w:rFonts w:eastAsia="Times New Roman" w:cs="Times New Roman"/>
          <w:kern w:val="2"/>
          <w:szCs w:val="24"/>
          <w:lang w:eastAsia="zh-CN" w:bidi="hi-IN"/>
        </w:rPr>
        <w:t>invazīvo</w:t>
      </w:r>
      <w:proofErr w:type="spellEnd"/>
      <w:r w:rsidRPr="0014151A">
        <w:rPr>
          <w:rFonts w:eastAsia="Times New Roman" w:cs="Times New Roman"/>
          <w:kern w:val="2"/>
          <w:szCs w:val="24"/>
          <w:lang w:eastAsia="zh-CN" w:bidi="hi-IN"/>
        </w:rPr>
        <w:t xml:space="preserve"> augu</w:t>
      </w:r>
      <w:r w:rsidRPr="0014151A">
        <w:t xml:space="preserve"> </w:t>
      </w:r>
      <w:r w:rsidRPr="0014151A">
        <w:rPr>
          <w:rFonts w:eastAsia="Times New Roman" w:cs="Times New Roman"/>
          <w:kern w:val="2"/>
          <w:szCs w:val="24"/>
          <w:lang w:eastAsia="zh-CN" w:bidi="hi-IN"/>
        </w:rPr>
        <w:t xml:space="preserve">sugu izplatība dabas parkā “Daugavas loki”. </w:t>
      </w:r>
      <w:proofErr w:type="spellStart"/>
      <w:r w:rsidRPr="0014151A">
        <w:rPr>
          <w:rFonts w:eastAsia="Times New Roman" w:cs="Times New Roman"/>
          <w:kern w:val="2"/>
          <w:szCs w:val="24"/>
          <w:lang w:eastAsia="zh-CN" w:bidi="hi-IN"/>
        </w:rPr>
        <w:t>In</w:t>
      </w:r>
      <w:proofErr w:type="spellEnd"/>
      <w:r w:rsidRPr="0014151A">
        <w:rPr>
          <w:rFonts w:eastAsia="Times New Roman" w:cs="Times New Roman"/>
          <w:kern w:val="2"/>
          <w:szCs w:val="24"/>
          <w:lang w:eastAsia="zh-CN" w:bidi="hi-IN"/>
        </w:rPr>
        <w:t>: Ģeogrāfija, ģeoloģija, vides zinātne.</w:t>
      </w:r>
      <w:r w:rsidR="004434B8" w:rsidRPr="0014151A">
        <w:t xml:space="preserve"> </w:t>
      </w:r>
      <w:r w:rsidR="004434B8" w:rsidRPr="0014151A">
        <w:rPr>
          <w:rFonts w:eastAsia="Times New Roman" w:cs="Times New Roman"/>
          <w:kern w:val="2"/>
          <w:szCs w:val="24"/>
          <w:lang w:eastAsia="zh-CN" w:bidi="hi-IN"/>
        </w:rPr>
        <w:t>Referātu tēzes. Rīga, 187-189 lpp.</w:t>
      </w:r>
    </w:p>
    <w:p w14:paraId="41DF79BF" w14:textId="2BF4FD9A" w:rsidR="00260499" w:rsidRPr="0014151A" w:rsidRDefault="007E3BA0" w:rsidP="0014151A">
      <w:pPr>
        <w:numPr>
          <w:ilvl w:val="0"/>
          <w:numId w:val="31"/>
        </w:numPr>
        <w:spacing w:after="0" w:line="240" w:lineRule="auto"/>
        <w:jc w:val="both"/>
        <w:rPr>
          <w:rFonts w:ascii="Times New Roman" w:eastAsia="Times New Roman" w:hAnsi="Times New Roman" w:cs="Times New Roman"/>
          <w:kern w:val="2"/>
          <w:sz w:val="24"/>
          <w:szCs w:val="24"/>
          <w:lang w:eastAsia="zh-CN" w:bidi="hi-IN"/>
        </w:rPr>
      </w:pPr>
      <w:r w:rsidRPr="0014151A">
        <w:rPr>
          <w:rFonts w:ascii="Times New Roman" w:eastAsia="Times New Roman" w:hAnsi="Times New Roman" w:cs="Times New Roman"/>
          <w:color w:val="000000"/>
          <w:kern w:val="2"/>
          <w:sz w:val="24"/>
          <w:szCs w:val="24"/>
          <w:lang w:eastAsia="ja-JP" w:bidi="hi-IN"/>
        </w:rPr>
        <w:t>Rū</w:t>
      </w:r>
      <w:r w:rsidR="00260499" w:rsidRPr="0014151A">
        <w:rPr>
          <w:rFonts w:ascii="Times New Roman" w:eastAsia="Times New Roman" w:hAnsi="Times New Roman" w:cs="Times New Roman"/>
          <w:color w:val="000000"/>
          <w:kern w:val="2"/>
          <w:sz w:val="24"/>
          <w:szCs w:val="24"/>
          <w:lang w:eastAsia="ja-JP" w:bidi="hi-IN"/>
        </w:rPr>
        <w:t>siņa S. 2017. Aizsargājamo biotopu saglabāšanas vadlīnijas Latvijā. 3. sējums. Dabiskas pļavas un ganības. Dabas aizsardzības pārvalde, Sigulda, 432 lpp</w:t>
      </w:r>
      <w:r w:rsidRPr="0014151A">
        <w:rPr>
          <w:rFonts w:ascii="Times New Roman" w:eastAsia="Times New Roman" w:hAnsi="Times New Roman" w:cs="Times New Roman"/>
          <w:color w:val="000000"/>
          <w:kern w:val="2"/>
          <w:sz w:val="24"/>
          <w:szCs w:val="24"/>
          <w:lang w:eastAsia="ja-JP" w:bidi="hi-IN"/>
        </w:rPr>
        <w:t>.</w:t>
      </w:r>
    </w:p>
    <w:p w14:paraId="150CA4A8" w14:textId="77777777" w:rsidR="00260499" w:rsidRPr="0014151A" w:rsidRDefault="00260499" w:rsidP="0014151A">
      <w:pPr>
        <w:numPr>
          <w:ilvl w:val="0"/>
          <w:numId w:val="31"/>
        </w:numPr>
        <w:spacing w:after="0" w:line="240" w:lineRule="auto"/>
        <w:jc w:val="both"/>
        <w:rPr>
          <w:rFonts w:ascii="Times New Roman" w:eastAsia="Times New Roman" w:hAnsi="Times New Roman" w:cs="Times New Roman"/>
          <w:kern w:val="2"/>
          <w:sz w:val="24"/>
          <w:szCs w:val="24"/>
          <w:lang w:eastAsia="zh-CN" w:bidi="hi-IN"/>
        </w:rPr>
      </w:pPr>
      <w:proofErr w:type="spellStart"/>
      <w:r w:rsidRPr="0014151A">
        <w:rPr>
          <w:rFonts w:ascii="Times New Roman" w:eastAsia="Times New Roman" w:hAnsi="Times New Roman" w:cs="Times New Roman"/>
          <w:color w:val="000000"/>
          <w:kern w:val="2"/>
          <w:sz w:val="24"/>
          <w:szCs w:val="24"/>
          <w:lang w:eastAsia="ja-JP" w:bidi="hi-IN"/>
        </w:rPr>
        <w:t>Savenkovs</w:t>
      </w:r>
      <w:proofErr w:type="spellEnd"/>
      <w:r w:rsidRPr="0014151A">
        <w:rPr>
          <w:rFonts w:ascii="Times New Roman" w:eastAsia="Times New Roman" w:hAnsi="Times New Roman" w:cs="Times New Roman"/>
          <w:color w:val="000000"/>
          <w:kern w:val="2"/>
          <w:sz w:val="24"/>
          <w:szCs w:val="24"/>
          <w:lang w:eastAsia="ja-JP" w:bidi="hi-IN"/>
        </w:rPr>
        <w:t xml:space="preserve"> N. 2018. Īpaši aizsargājamās un reti sastopamās tauriņu sugas Latvijā. Daugavpils Universitātes Dabas izpētes un vides izglītības centra veidots metodiskais materiāls. Daugavpils: 32 lpp.</w:t>
      </w:r>
    </w:p>
    <w:p w14:paraId="21158212" w14:textId="6D5E6C78" w:rsidR="00260499" w:rsidRPr="0014151A" w:rsidRDefault="00260499" w:rsidP="0014151A">
      <w:pPr>
        <w:numPr>
          <w:ilvl w:val="0"/>
          <w:numId w:val="31"/>
        </w:numPr>
        <w:spacing w:after="0" w:line="240" w:lineRule="auto"/>
        <w:jc w:val="both"/>
        <w:rPr>
          <w:rFonts w:ascii="Times New Roman" w:eastAsia="Times New Roman" w:hAnsi="Times New Roman" w:cs="Times New Roman"/>
          <w:kern w:val="2"/>
          <w:sz w:val="24"/>
          <w:szCs w:val="24"/>
          <w:lang w:eastAsia="zh-CN" w:bidi="hi-IN"/>
        </w:rPr>
      </w:pPr>
      <w:proofErr w:type="spellStart"/>
      <w:r w:rsidRPr="0014151A">
        <w:rPr>
          <w:rFonts w:ascii="Times New Roman" w:eastAsia="Times New Roman" w:hAnsi="Times New Roman" w:cs="Times New Roman"/>
          <w:color w:val="000000"/>
          <w:kern w:val="2"/>
          <w:sz w:val="24"/>
          <w:szCs w:val="24"/>
          <w:lang w:eastAsia="ja-JP" w:bidi="hi-IN"/>
        </w:rPr>
        <w:t>Savenkovs</w:t>
      </w:r>
      <w:proofErr w:type="spellEnd"/>
      <w:r w:rsidRPr="0014151A">
        <w:rPr>
          <w:rFonts w:ascii="Times New Roman" w:eastAsia="Times New Roman" w:hAnsi="Times New Roman" w:cs="Times New Roman"/>
          <w:color w:val="000000"/>
          <w:kern w:val="2"/>
          <w:sz w:val="24"/>
          <w:szCs w:val="24"/>
          <w:lang w:eastAsia="ja-JP" w:bidi="hi-IN"/>
        </w:rPr>
        <w:t xml:space="preserve"> N., Šulcs I. 2010. Latvijas tauriņi. Katalogs. Igaunijas </w:t>
      </w:r>
      <w:proofErr w:type="spellStart"/>
      <w:r w:rsidRPr="0014151A">
        <w:rPr>
          <w:rFonts w:ascii="Times New Roman" w:eastAsia="Times New Roman" w:hAnsi="Times New Roman" w:cs="Times New Roman"/>
          <w:color w:val="000000"/>
          <w:kern w:val="2"/>
          <w:sz w:val="24"/>
          <w:szCs w:val="24"/>
          <w:lang w:eastAsia="ja-JP" w:bidi="hi-IN"/>
        </w:rPr>
        <w:t>Lepidopterologu</w:t>
      </w:r>
      <w:proofErr w:type="spellEnd"/>
      <w:r w:rsidRPr="0014151A">
        <w:rPr>
          <w:rFonts w:ascii="Times New Roman" w:eastAsia="Times New Roman" w:hAnsi="Times New Roman" w:cs="Times New Roman"/>
          <w:color w:val="000000"/>
          <w:kern w:val="2"/>
          <w:sz w:val="24"/>
          <w:szCs w:val="24"/>
          <w:lang w:eastAsia="ja-JP" w:bidi="hi-IN"/>
        </w:rPr>
        <w:t xml:space="preserve"> Biedrība.</w:t>
      </w:r>
    </w:p>
    <w:p w14:paraId="5A7439D1" w14:textId="792DBA5F" w:rsidR="00794D2C" w:rsidRPr="0014151A" w:rsidRDefault="00794D2C" w:rsidP="0014151A">
      <w:pPr>
        <w:numPr>
          <w:ilvl w:val="0"/>
          <w:numId w:val="31"/>
        </w:numPr>
        <w:spacing w:after="0" w:line="240" w:lineRule="auto"/>
        <w:jc w:val="both"/>
        <w:rPr>
          <w:rFonts w:ascii="Times New Roman" w:eastAsia="Times New Roman" w:hAnsi="Times New Roman" w:cs="Times New Roman"/>
          <w:kern w:val="2"/>
          <w:sz w:val="24"/>
          <w:szCs w:val="24"/>
          <w:lang w:eastAsia="zh-CN" w:bidi="hi-IN"/>
        </w:rPr>
      </w:pPr>
      <w:r w:rsidRPr="0014151A">
        <w:rPr>
          <w:rFonts w:ascii="Times New Roman" w:eastAsia="Times New Roman" w:hAnsi="Times New Roman" w:cs="Times New Roman"/>
          <w:kern w:val="2"/>
          <w:sz w:val="24"/>
          <w:szCs w:val="24"/>
          <w:lang w:eastAsia="zh-CN" w:bidi="hi-IN"/>
        </w:rPr>
        <w:t xml:space="preserve">Segliņš V., </w:t>
      </w:r>
      <w:proofErr w:type="spellStart"/>
      <w:r w:rsidRPr="0014151A">
        <w:rPr>
          <w:rFonts w:ascii="Times New Roman" w:eastAsia="Times New Roman" w:hAnsi="Times New Roman" w:cs="Times New Roman"/>
          <w:kern w:val="2"/>
          <w:sz w:val="24"/>
          <w:szCs w:val="24"/>
          <w:lang w:eastAsia="zh-CN" w:bidi="hi-IN"/>
        </w:rPr>
        <w:t>Stinkule</w:t>
      </w:r>
      <w:proofErr w:type="spellEnd"/>
      <w:r w:rsidRPr="0014151A">
        <w:rPr>
          <w:rFonts w:ascii="Times New Roman" w:eastAsia="Times New Roman" w:hAnsi="Times New Roman" w:cs="Times New Roman"/>
          <w:kern w:val="2"/>
          <w:sz w:val="24"/>
          <w:szCs w:val="24"/>
          <w:lang w:eastAsia="zh-CN" w:bidi="hi-IN"/>
        </w:rPr>
        <w:t xml:space="preserve"> A., </w:t>
      </w:r>
      <w:proofErr w:type="spellStart"/>
      <w:r w:rsidRPr="0014151A">
        <w:rPr>
          <w:rFonts w:ascii="Times New Roman" w:eastAsia="Times New Roman" w:hAnsi="Times New Roman" w:cs="Times New Roman"/>
          <w:kern w:val="2"/>
          <w:sz w:val="24"/>
          <w:szCs w:val="24"/>
          <w:lang w:eastAsia="zh-CN" w:bidi="hi-IN"/>
        </w:rPr>
        <w:t>Stinkulis</w:t>
      </w:r>
      <w:proofErr w:type="spellEnd"/>
      <w:r w:rsidRPr="0014151A">
        <w:rPr>
          <w:rFonts w:ascii="Times New Roman" w:eastAsia="Times New Roman" w:hAnsi="Times New Roman" w:cs="Times New Roman"/>
          <w:kern w:val="2"/>
          <w:sz w:val="24"/>
          <w:szCs w:val="24"/>
          <w:lang w:eastAsia="zh-CN" w:bidi="hi-IN"/>
        </w:rPr>
        <w:t xml:space="preserve"> Ģ. </w:t>
      </w:r>
      <w:r w:rsidR="003B7CF4" w:rsidRPr="0014151A">
        <w:rPr>
          <w:rFonts w:ascii="Times New Roman" w:eastAsia="Times New Roman" w:hAnsi="Times New Roman" w:cs="Times New Roman"/>
          <w:kern w:val="2"/>
          <w:sz w:val="24"/>
          <w:szCs w:val="24"/>
          <w:lang w:eastAsia="zh-CN" w:bidi="hi-IN"/>
        </w:rPr>
        <w:t xml:space="preserve">2013. </w:t>
      </w:r>
      <w:r w:rsidRPr="0014151A">
        <w:rPr>
          <w:rFonts w:ascii="Times New Roman" w:eastAsia="Times New Roman" w:hAnsi="Times New Roman" w:cs="Times New Roman"/>
          <w:kern w:val="2"/>
          <w:sz w:val="24"/>
          <w:szCs w:val="24"/>
          <w:lang w:eastAsia="zh-CN" w:bidi="hi-IN"/>
        </w:rPr>
        <w:t>Derīgie izrakteņi Latvijā. Rīga: LU Akadēmiskais apgāds, 184 lpp.</w:t>
      </w:r>
    </w:p>
    <w:p w14:paraId="512BB97D" w14:textId="1F31C0AE" w:rsidR="00260499" w:rsidRPr="0014151A" w:rsidRDefault="00260499" w:rsidP="0014151A">
      <w:pPr>
        <w:numPr>
          <w:ilvl w:val="0"/>
          <w:numId w:val="31"/>
        </w:numPr>
        <w:spacing w:after="0" w:line="240" w:lineRule="auto"/>
        <w:jc w:val="both"/>
        <w:rPr>
          <w:rFonts w:ascii="Times New Roman" w:eastAsia="Times New Roman" w:hAnsi="Times New Roman" w:cs="Times New Roman"/>
          <w:kern w:val="2"/>
          <w:sz w:val="24"/>
          <w:szCs w:val="24"/>
          <w:lang w:eastAsia="zh-CN" w:bidi="hi-IN"/>
        </w:rPr>
      </w:pPr>
      <w:proofErr w:type="spellStart"/>
      <w:r w:rsidRPr="0014151A">
        <w:rPr>
          <w:rFonts w:ascii="Times New Roman" w:eastAsia="Times New Roman" w:hAnsi="Times New Roman" w:cs="Times New Roman"/>
          <w:color w:val="000000"/>
          <w:kern w:val="2"/>
          <w:sz w:val="24"/>
          <w:szCs w:val="24"/>
          <w:lang w:eastAsia="ja-JP" w:bidi="hi-IN"/>
        </w:rPr>
        <w:t>Selman</w:t>
      </w:r>
      <w:proofErr w:type="spellEnd"/>
      <w:r w:rsidRPr="0014151A">
        <w:rPr>
          <w:rFonts w:ascii="Times New Roman" w:eastAsia="Times New Roman" w:hAnsi="Times New Roman" w:cs="Times New Roman"/>
          <w:color w:val="000000"/>
          <w:kern w:val="2"/>
          <w:sz w:val="24"/>
          <w:szCs w:val="24"/>
          <w:lang w:eastAsia="ja-JP" w:bidi="hi-IN"/>
        </w:rPr>
        <w:t xml:space="preserve"> P. 2006</w:t>
      </w:r>
      <w:r w:rsidR="003B7CF4" w:rsidRPr="0014151A">
        <w:rPr>
          <w:rFonts w:ascii="Times New Roman" w:eastAsia="Times New Roman" w:hAnsi="Times New Roman" w:cs="Times New Roman"/>
          <w:color w:val="000000"/>
          <w:kern w:val="2"/>
          <w:sz w:val="24"/>
          <w:szCs w:val="24"/>
          <w:lang w:eastAsia="ja-JP" w:bidi="hi-IN"/>
        </w:rPr>
        <w:t>.</w:t>
      </w:r>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Planning</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at</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the</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Landscape</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Scale</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Routledge</w:t>
      </w:r>
      <w:proofErr w:type="spellEnd"/>
      <w:r w:rsidRPr="0014151A">
        <w:rPr>
          <w:rFonts w:ascii="Times New Roman" w:eastAsia="Times New Roman" w:hAnsi="Times New Roman" w:cs="Times New Roman"/>
          <w:color w:val="000000"/>
          <w:kern w:val="2"/>
          <w:sz w:val="24"/>
          <w:szCs w:val="24"/>
          <w:lang w:eastAsia="ja-JP" w:bidi="hi-IN"/>
        </w:rPr>
        <w:t>.</w:t>
      </w:r>
    </w:p>
    <w:p w14:paraId="69BA4493" w14:textId="0D3189D6" w:rsidR="006715E1" w:rsidRPr="0014151A" w:rsidRDefault="006715E1" w:rsidP="0014151A">
      <w:pPr>
        <w:numPr>
          <w:ilvl w:val="0"/>
          <w:numId w:val="31"/>
        </w:numPr>
        <w:spacing w:after="0" w:line="240" w:lineRule="auto"/>
        <w:jc w:val="both"/>
        <w:rPr>
          <w:rFonts w:ascii="Times New Roman" w:eastAsia="Times New Roman" w:hAnsi="Times New Roman" w:cs="Times New Roman"/>
          <w:kern w:val="2"/>
          <w:sz w:val="24"/>
          <w:szCs w:val="24"/>
          <w:lang w:eastAsia="zh-CN" w:bidi="hi-IN"/>
        </w:rPr>
      </w:pPr>
      <w:r w:rsidRPr="0014151A">
        <w:rPr>
          <w:rFonts w:ascii="Times New Roman" w:eastAsia="Times New Roman" w:hAnsi="Times New Roman" w:cs="Times New Roman"/>
          <w:kern w:val="2"/>
          <w:sz w:val="24"/>
          <w:szCs w:val="24"/>
          <w:lang w:eastAsia="zh-CN" w:bidi="hi-IN"/>
        </w:rPr>
        <w:t>Seržante K. 2016. “Augšdaugavas” tūrisma galamērķa attīstības stratēģija. Maģistra darbs studiju programmā Tūrisma stratēģiskā vadība. Biznesa augstskola Turība. Rīga, 169 lpp.</w:t>
      </w:r>
    </w:p>
    <w:p w14:paraId="1577DF28" w14:textId="50F8AA18" w:rsidR="00260499" w:rsidRPr="0014151A" w:rsidRDefault="00260499" w:rsidP="0014151A">
      <w:pPr>
        <w:numPr>
          <w:ilvl w:val="0"/>
          <w:numId w:val="31"/>
        </w:numPr>
        <w:spacing w:after="0" w:line="240" w:lineRule="auto"/>
        <w:jc w:val="both"/>
        <w:rPr>
          <w:rFonts w:ascii="Times New Roman" w:eastAsia="Times New Roman" w:hAnsi="Times New Roman" w:cs="Times New Roman"/>
          <w:kern w:val="2"/>
          <w:sz w:val="24"/>
          <w:szCs w:val="24"/>
          <w:lang w:eastAsia="zh-CN" w:bidi="hi-IN"/>
        </w:rPr>
      </w:pPr>
      <w:r w:rsidRPr="0014151A">
        <w:rPr>
          <w:rFonts w:ascii="Times New Roman" w:eastAsia="Times New Roman" w:hAnsi="Times New Roman" w:cs="Times New Roman"/>
          <w:color w:val="000000"/>
          <w:kern w:val="2"/>
          <w:sz w:val="24"/>
          <w:szCs w:val="24"/>
          <w:lang w:eastAsia="ja-JP" w:bidi="hi-IN"/>
        </w:rPr>
        <w:lastRenderedPageBreak/>
        <w:t xml:space="preserve">Sleinis I., Ašmanis K., Delle N., Siliņš J., Lamsters V. 1933. </w:t>
      </w:r>
      <w:r w:rsidRPr="0014151A">
        <w:rPr>
          <w:rFonts w:ascii="Times New Roman" w:eastAsia="Times New Roman" w:hAnsi="Times New Roman" w:cs="Times New Roman"/>
          <w:i/>
          <w:iCs/>
          <w:color w:val="000000"/>
          <w:kern w:val="2"/>
          <w:sz w:val="24"/>
          <w:szCs w:val="24"/>
          <w:lang w:eastAsia="ja-JP" w:bidi="hi-IN"/>
        </w:rPr>
        <w:t>Daugava</w:t>
      </w:r>
      <w:r w:rsidR="00C67775" w:rsidRPr="0014151A">
        <w:rPr>
          <w:rFonts w:ascii="Times New Roman" w:eastAsia="Times New Roman" w:hAnsi="Times New Roman" w:cs="Times New Roman"/>
          <w:color w:val="000000"/>
          <w:kern w:val="2"/>
          <w:sz w:val="24"/>
          <w:szCs w:val="24"/>
          <w:lang w:eastAsia="ja-JP" w:bidi="hi-IN"/>
        </w:rPr>
        <w:t>. Sērija “</w:t>
      </w:r>
      <w:r w:rsidRPr="0014151A">
        <w:rPr>
          <w:rFonts w:ascii="Times New Roman" w:eastAsia="Times New Roman" w:hAnsi="Times New Roman" w:cs="Times New Roman"/>
          <w:color w:val="000000"/>
          <w:kern w:val="2"/>
          <w:sz w:val="24"/>
          <w:szCs w:val="24"/>
          <w:lang w:eastAsia="ja-JP" w:bidi="hi-IN"/>
        </w:rPr>
        <w:t xml:space="preserve">Jaunais zinātnieks”. Valters un </w:t>
      </w:r>
      <w:proofErr w:type="spellStart"/>
      <w:r w:rsidRPr="0014151A">
        <w:rPr>
          <w:rFonts w:ascii="Times New Roman" w:eastAsia="Times New Roman" w:hAnsi="Times New Roman" w:cs="Times New Roman"/>
          <w:color w:val="000000"/>
          <w:kern w:val="2"/>
          <w:sz w:val="24"/>
          <w:szCs w:val="24"/>
          <w:lang w:eastAsia="ja-JP" w:bidi="hi-IN"/>
        </w:rPr>
        <w:t>Rapa</w:t>
      </w:r>
      <w:proofErr w:type="spellEnd"/>
      <w:r w:rsidRPr="0014151A">
        <w:rPr>
          <w:rFonts w:ascii="Times New Roman" w:eastAsia="Times New Roman" w:hAnsi="Times New Roman" w:cs="Times New Roman"/>
          <w:color w:val="000000"/>
          <w:kern w:val="2"/>
          <w:sz w:val="24"/>
          <w:szCs w:val="24"/>
          <w:lang w:eastAsia="ja-JP" w:bidi="hi-IN"/>
        </w:rPr>
        <w:t>, Rīga, 107 lpp.</w:t>
      </w:r>
    </w:p>
    <w:p w14:paraId="44054967" w14:textId="20EAA1C9" w:rsidR="00204B25" w:rsidRPr="0014151A" w:rsidRDefault="00204B25" w:rsidP="0014151A">
      <w:pPr>
        <w:numPr>
          <w:ilvl w:val="0"/>
          <w:numId w:val="31"/>
        </w:numPr>
        <w:spacing w:after="0" w:line="240" w:lineRule="auto"/>
        <w:jc w:val="both"/>
        <w:rPr>
          <w:rFonts w:ascii="Times New Roman" w:eastAsia="Times New Roman" w:hAnsi="Times New Roman" w:cs="Times New Roman"/>
          <w:kern w:val="2"/>
          <w:sz w:val="24"/>
          <w:szCs w:val="24"/>
          <w:lang w:eastAsia="zh-CN" w:bidi="hi-IN"/>
        </w:rPr>
      </w:pPr>
      <w:proofErr w:type="spellStart"/>
      <w:r w:rsidRPr="0014151A">
        <w:rPr>
          <w:rFonts w:ascii="Times New Roman" w:eastAsia="Times New Roman" w:hAnsi="Times New Roman" w:cs="Times New Roman"/>
          <w:kern w:val="2"/>
          <w:sz w:val="24"/>
          <w:szCs w:val="24"/>
          <w:lang w:eastAsia="zh-CN" w:bidi="hi-IN"/>
        </w:rPr>
        <w:t>Smith</w:t>
      </w:r>
      <w:proofErr w:type="spellEnd"/>
      <w:r w:rsidRPr="0014151A">
        <w:rPr>
          <w:rFonts w:ascii="Times New Roman" w:eastAsia="Times New Roman" w:hAnsi="Times New Roman" w:cs="Times New Roman"/>
          <w:kern w:val="2"/>
          <w:sz w:val="24"/>
          <w:szCs w:val="24"/>
          <w:lang w:eastAsia="zh-CN" w:bidi="hi-IN"/>
        </w:rPr>
        <w:t xml:space="preserve"> C. W., </w:t>
      </w:r>
      <w:proofErr w:type="spellStart"/>
      <w:r w:rsidRPr="0014151A">
        <w:rPr>
          <w:rFonts w:ascii="Times New Roman" w:eastAsia="Times New Roman" w:hAnsi="Times New Roman" w:cs="Times New Roman"/>
          <w:kern w:val="2"/>
          <w:sz w:val="24"/>
          <w:szCs w:val="24"/>
          <w:lang w:eastAsia="zh-CN" w:bidi="hi-IN"/>
        </w:rPr>
        <w:t>Aptroot</w:t>
      </w:r>
      <w:proofErr w:type="spellEnd"/>
      <w:r w:rsidRPr="0014151A">
        <w:rPr>
          <w:rFonts w:ascii="Times New Roman" w:eastAsia="Times New Roman" w:hAnsi="Times New Roman" w:cs="Times New Roman"/>
          <w:kern w:val="2"/>
          <w:sz w:val="24"/>
          <w:szCs w:val="24"/>
          <w:lang w:eastAsia="zh-CN" w:bidi="hi-IN"/>
        </w:rPr>
        <w:t xml:space="preserve"> A., </w:t>
      </w:r>
      <w:proofErr w:type="spellStart"/>
      <w:r w:rsidRPr="0014151A">
        <w:rPr>
          <w:rFonts w:ascii="Times New Roman" w:eastAsia="Times New Roman" w:hAnsi="Times New Roman" w:cs="Times New Roman"/>
          <w:kern w:val="2"/>
          <w:sz w:val="24"/>
          <w:szCs w:val="24"/>
          <w:lang w:eastAsia="zh-CN" w:bidi="hi-IN"/>
        </w:rPr>
        <w:t>Coppins</w:t>
      </w:r>
      <w:proofErr w:type="spellEnd"/>
      <w:r w:rsidRPr="0014151A">
        <w:rPr>
          <w:rFonts w:ascii="Times New Roman" w:eastAsia="Times New Roman" w:hAnsi="Times New Roman" w:cs="Times New Roman"/>
          <w:kern w:val="2"/>
          <w:sz w:val="24"/>
          <w:szCs w:val="24"/>
          <w:lang w:eastAsia="zh-CN" w:bidi="hi-IN"/>
        </w:rPr>
        <w:t xml:space="preserve"> B. J., </w:t>
      </w:r>
      <w:proofErr w:type="spellStart"/>
      <w:r w:rsidRPr="0014151A">
        <w:rPr>
          <w:rFonts w:ascii="Times New Roman" w:eastAsia="Times New Roman" w:hAnsi="Times New Roman" w:cs="Times New Roman"/>
          <w:kern w:val="2"/>
          <w:sz w:val="24"/>
          <w:szCs w:val="24"/>
          <w:lang w:eastAsia="zh-CN" w:bidi="hi-IN"/>
        </w:rPr>
        <w:t>Fletcher</w:t>
      </w:r>
      <w:proofErr w:type="spellEnd"/>
      <w:r w:rsidRPr="0014151A">
        <w:rPr>
          <w:rFonts w:ascii="Times New Roman" w:eastAsia="Times New Roman" w:hAnsi="Times New Roman" w:cs="Times New Roman"/>
          <w:kern w:val="2"/>
          <w:sz w:val="24"/>
          <w:szCs w:val="24"/>
          <w:lang w:eastAsia="zh-CN" w:bidi="hi-IN"/>
        </w:rPr>
        <w:t xml:space="preserve"> A., Gilbert O. L., James P. W., </w:t>
      </w:r>
      <w:proofErr w:type="spellStart"/>
      <w:r w:rsidRPr="0014151A">
        <w:rPr>
          <w:rFonts w:ascii="Times New Roman" w:eastAsia="Times New Roman" w:hAnsi="Times New Roman" w:cs="Times New Roman"/>
          <w:kern w:val="2"/>
          <w:sz w:val="24"/>
          <w:szCs w:val="24"/>
          <w:lang w:eastAsia="zh-CN" w:bidi="hi-IN"/>
        </w:rPr>
        <w:t>Wolseley</w:t>
      </w:r>
      <w:proofErr w:type="spellEnd"/>
      <w:r w:rsidRPr="0014151A">
        <w:rPr>
          <w:rFonts w:ascii="TimesNewRoman" w:hAnsi="TimesNewRoman" w:cs="TimesNewRoman"/>
          <w:sz w:val="24"/>
          <w:szCs w:val="24"/>
        </w:rPr>
        <w:t xml:space="preserve"> </w:t>
      </w:r>
      <w:r w:rsidRPr="0014151A">
        <w:rPr>
          <w:rFonts w:ascii="Times New Roman" w:eastAsia="Times New Roman" w:hAnsi="Times New Roman" w:cs="Times New Roman"/>
          <w:kern w:val="2"/>
          <w:sz w:val="24"/>
          <w:szCs w:val="24"/>
          <w:lang w:eastAsia="zh-CN" w:bidi="hi-IN"/>
        </w:rPr>
        <w:t>P. A. (</w:t>
      </w:r>
      <w:proofErr w:type="spellStart"/>
      <w:r w:rsidRPr="0014151A">
        <w:rPr>
          <w:rFonts w:ascii="Times New Roman" w:eastAsia="Times New Roman" w:hAnsi="Times New Roman" w:cs="Times New Roman"/>
          <w:kern w:val="2"/>
          <w:sz w:val="24"/>
          <w:szCs w:val="24"/>
          <w:lang w:eastAsia="zh-CN" w:bidi="hi-IN"/>
        </w:rPr>
        <w:t>eds</w:t>
      </w:r>
      <w:proofErr w:type="spellEnd"/>
      <w:r w:rsidRPr="0014151A">
        <w:rPr>
          <w:rFonts w:ascii="Times New Roman" w:eastAsia="Times New Roman" w:hAnsi="Times New Roman" w:cs="Times New Roman"/>
          <w:kern w:val="2"/>
          <w:sz w:val="24"/>
          <w:szCs w:val="24"/>
          <w:lang w:eastAsia="zh-CN" w:bidi="hi-IN"/>
        </w:rPr>
        <w:t xml:space="preserve">). 2009. </w:t>
      </w:r>
      <w:proofErr w:type="spellStart"/>
      <w:r w:rsidRPr="0014151A">
        <w:rPr>
          <w:rFonts w:ascii="Times New Roman" w:eastAsia="Times New Roman" w:hAnsi="Times New Roman" w:cs="Times New Roman"/>
          <w:kern w:val="2"/>
          <w:sz w:val="24"/>
          <w:szCs w:val="24"/>
          <w:lang w:eastAsia="zh-CN" w:bidi="hi-IN"/>
        </w:rPr>
        <w:t>The</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Lichens</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of</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Great</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Britain</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and</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Ireland</w:t>
      </w:r>
      <w:proofErr w:type="spellEnd"/>
      <w:r w:rsidRPr="0014151A">
        <w:rPr>
          <w:rFonts w:ascii="Times New Roman" w:eastAsia="Times New Roman" w:hAnsi="Times New Roman" w:cs="Times New Roman"/>
          <w:kern w:val="2"/>
          <w:sz w:val="24"/>
          <w:szCs w:val="24"/>
          <w:lang w:eastAsia="zh-CN" w:bidi="hi-IN"/>
        </w:rPr>
        <w:t xml:space="preserve">. – British </w:t>
      </w:r>
      <w:proofErr w:type="spellStart"/>
      <w:r w:rsidRPr="0014151A">
        <w:rPr>
          <w:rFonts w:ascii="Times New Roman" w:eastAsia="Times New Roman" w:hAnsi="Times New Roman" w:cs="Times New Roman"/>
          <w:kern w:val="2"/>
          <w:sz w:val="24"/>
          <w:szCs w:val="24"/>
          <w:lang w:eastAsia="zh-CN" w:bidi="hi-IN"/>
        </w:rPr>
        <w:t>Lichen</w:t>
      </w:r>
      <w:proofErr w:type="spellEnd"/>
      <w:r w:rsidRPr="0014151A">
        <w:rPr>
          <w:rFonts w:ascii="Times New Roman" w:eastAsia="Times New Roman" w:hAnsi="Times New Roman" w:cs="Times New Roman"/>
          <w:kern w:val="2"/>
          <w:sz w:val="24"/>
          <w:szCs w:val="24"/>
          <w:lang w:eastAsia="zh-CN" w:bidi="hi-IN"/>
        </w:rPr>
        <w:t xml:space="preserve"> </w:t>
      </w:r>
      <w:proofErr w:type="spellStart"/>
      <w:r w:rsidRPr="0014151A">
        <w:rPr>
          <w:rFonts w:ascii="Times New Roman" w:eastAsia="Times New Roman" w:hAnsi="Times New Roman" w:cs="Times New Roman"/>
          <w:kern w:val="2"/>
          <w:sz w:val="24"/>
          <w:szCs w:val="24"/>
          <w:lang w:eastAsia="zh-CN" w:bidi="hi-IN"/>
        </w:rPr>
        <w:t>Society</w:t>
      </w:r>
      <w:proofErr w:type="spellEnd"/>
      <w:r w:rsidRPr="0014151A">
        <w:rPr>
          <w:rFonts w:ascii="Times New Roman" w:eastAsia="Times New Roman" w:hAnsi="Times New Roman" w:cs="Times New Roman"/>
          <w:kern w:val="2"/>
          <w:sz w:val="24"/>
          <w:szCs w:val="24"/>
          <w:lang w:eastAsia="zh-CN" w:bidi="hi-IN"/>
        </w:rPr>
        <w:t>.</w:t>
      </w:r>
    </w:p>
    <w:p w14:paraId="75B1009E" w14:textId="7AE314EF" w:rsidR="00260499" w:rsidRPr="0014151A" w:rsidRDefault="00260499" w:rsidP="0014151A">
      <w:pPr>
        <w:numPr>
          <w:ilvl w:val="0"/>
          <w:numId w:val="31"/>
        </w:numPr>
        <w:spacing w:after="0" w:line="240" w:lineRule="auto"/>
        <w:jc w:val="both"/>
        <w:rPr>
          <w:rFonts w:ascii="Times New Roman" w:eastAsia="Times New Roman" w:hAnsi="Times New Roman" w:cs="Times New Roman"/>
          <w:kern w:val="2"/>
          <w:sz w:val="24"/>
          <w:szCs w:val="24"/>
          <w:lang w:eastAsia="zh-CN" w:bidi="hi-IN"/>
        </w:rPr>
      </w:pPr>
      <w:r w:rsidRPr="0014151A">
        <w:rPr>
          <w:rFonts w:ascii="Times New Roman" w:eastAsia="Times New Roman" w:hAnsi="Times New Roman" w:cs="Times New Roman"/>
          <w:color w:val="000000"/>
          <w:kern w:val="2"/>
          <w:sz w:val="24"/>
          <w:szCs w:val="24"/>
          <w:lang w:eastAsia="ja-JP" w:bidi="hi-IN"/>
        </w:rPr>
        <w:t xml:space="preserve">Soms J. 2004. </w:t>
      </w:r>
      <w:proofErr w:type="spellStart"/>
      <w:r w:rsidRPr="0014151A">
        <w:rPr>
          <w:rFonts w:ascii="Times New Roman" w:eastAsia="Times New Roman" w:hAnsi="Times New Roman" w:cs="Times New Roman"/>
          <w:color w:val="000000"/>
          <w:kern w:val="2"/>
          <w:sz w:val="24"/>
          <w:szCs w:val="24"/>
          <w:lang w:eastAsia="ja-JP" w:bidi="hi-IN"/>
        </w:rPr>
        <w:t>Karengravas</w:t>
      </w:r>
      <w:proofErr w:type="spellEnd"/>
      <w:r w:rsidRPr="0014151A">
        <w:rPr>
          <w:rFonts w:ascii="Times New Roman" w:eastAsia="Times New Roman" w:hAnsi="Times New Roman" w:cs="Times New Roman"/>
          <w:color w:val="000000"/>
          <w:kern w:val="2"/>
          <w:sz w:val="24"/>
          <w:szCs w:val="24"/>
          <w:lang w:eastAsia="ja-JP" w:bidi="hi-IN"/>
        </w:rPr>
        <w:t xml:space="preserve"> – morfoloģija un </w:t>
      </w:r>
      <w:proofErr w:type="spellStart"/>
      <w:r w:rsidRPr="0014151A">
        <w:rPr>
          <w:rFonts w:ascii="Times New Roman" w:eastAsia="Times New Roman" w:hAnsi="Times New Roman" w:cs="Times New Roman"/>
          <w:color w:val="000000"/>
          <w:kern w:val="2"/>
          <w:sz w:val="24"/>
          <w:szCs w:val="24"/>
          <w:lang w:eastAsia="ja-JP" w:bidi="hi-IN"/>
        </w:rPr>
        <w:t>fluviālo</w:t>
      </w:r>
      <w:proofErr w:type="spellEnd"/>
      <w:r w:rsidRPr="0014151A">
        <w:rPr>
          <w:rFonts w:ascii="Times New Roman" w:eastAsia="Times New Roman" w:hAnsi="Times New Roman" w:cs="Times New Roman"/>
          <w:color w:val="000000"/>
          <w:kern w:val="2"/>
          <w:sz w:val="24"/>
          <w:szCs w:val="24"/>
          <w:lang w:eastAsia="ja-JP" w:bidi="hi-IN"/>
        </w:rPr>
        <w:t xml:space="preserve"> procesu īpatnības. Krāj.: </w:t>
      </w:r>
      <w:r w:rsidRPr="0014151A">
        <w:rPr>
          <w:rFonts w:ascii="Times New Roman" w:eastAsia="Times New Roman" w:hAnsi="Times New Roman" w:cs="Times New Roman"/>
          <w:i/>
          <w:iCs/>
          <w:color w:val="000000"/>
          <w:kern w:val="2"/>
          <w:sz w:val="24"/>
          <w:szCs w:val="24"/>
          <w:lang w:eastAsia="ja-JP" w:bidi="hi-IN"/>
        </w:rPr>
        <w:t>Ģeogrāfija. Ģeoloģija. Vides zinātne</w:t>
      </w:r>
      <w:r w:rsidRPr="0014151A">
        <w:rPr>
          <w:rFonts w:ascii="Times New Roman" w:eastAsia="Times New Roman" w:hAnsi="Times New Roman" w:cs="Times New Roman"/>
          <w:color w:val="000000"/>
          <w:kern w:val="2"/>
          <w:sz w:val="24"/>
          <w:szCs w:val="24"/>
          <w:lang w:eastAsia="ja-JP" w:bidi="hi-IN"/>
        </w:rPr>
        <w:t>. Referātu tēzes. Latvijas Universitātes 62.zinātniskā konference. Rīga, 2004.g. 06.februāris. Rīga, LU Akad. Apgāds, 167.-170.lpp.</w:t>
      </w:r>
    </w:p>
    <w:p w14:paraId="2271976D" w14:textId="5BAB079B" w:rsidR="00260499" w:rsidRPr="0014151A" w:rsidRDefault="00260499" w:rsidP="0014151A">
      <w:pPr>
        <w:numPr>
          <w:ilvl w:val="0"/>
          <w:numId w:val="31"/>
        </w:numPr>
        <w:spacing w:after="0" w:line="240" w:lineRule="auto"/>
        <w:jc w:val="both"/>
        <w:rPr>
          <w:rFonts w:ascii="Times New Roman" w:eastAsia="Times New Roman" w:hAnsi="Times New Roman" w:cs="Times New Roman"/>
          <w:kern w:val="2"/>
          <w:sz w:val="24"/>
          <w:szCs w:val="24"/>
          <w:lang w:eastAsia="zh-CN" w:bidi="hi-IN"/>
        </w:rPr>
      </w:pPr>
      <w:r w:rsidRPr="0014151A">
        <w:rPr>
          <w:rFonts w:ascii="Times New Roman" w:eastAsia="Times New Roman" w:hAnsi="Times New Roman" w:cs="Times New Roman"/>
          <w:color w:val="000000"/>
          <w:kern w:val="2"/>
          <w:sz w:val="24"/>
          <w:szCs w:val="24"/>
          <w:lang w:eastAsia="ja-JP" w:bidi="hi-IN"/>
        </w:rPr>
        <w:t xml:space="preserve">Soms J. 2007. </w:t>
      </w:r>
      <w:proofErr w:type="spellStart"/>
      <w:r w:rsidRPr="0014151A">
        <w:rPr>
          <w:rFonts w:ascii="Times New Roman" w:eastAsia="Times New Roman" w:hAnsi="Times New Roman" w:cs="Times New Roman"/>
          <w:color w:val="000000"/>
          <w:kern w:val="2"/>
          <w:sz w:val="24"/>
          <w:szCs w:val="24"/>
          <w:lang w:eastAsia="ja-JP" w:bidi="hi-IN"/>
        </w:rPr>
        <w:t>Morphology</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and</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Controlling</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Factors</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of</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Landslide</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Cirque</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Gullies</w:t>
      </w:r>
      <w:proofErr w:type="spellEnd"/>
      <w:r w:rsidRPr="0014151A">
        <w:rPr>
          <w:rFonts w:ascii="Times New Roman" w:eastAsia="Times New Roman" w:hAnsi="Times New Roman" w:cs="Times New Roman"/>
          <w:color w:val="000000"/>
          <w:kern w:val="2"/>
          <w:sz w:val="24"/>
          <w:szCs w:val="24"/>
          <w:lang w:eastAsia="ja-JP" w:bidi="hi-IN"/>
        </w:rPr>
        <w:t xml:space="preserve">: a </w:t>
      </w:r>
      <w:proofErr w:type="spellStart"/>
      <w:r w:rsidRPr="0014151A">
        <w:rPr>
          <w:rFonts w:ascii="Times New Roman" w:eastAsia="Times New Roman" w:hAnsi="Times New Roman" w:cs="Times New Roman"/>
          <w:color w:val="000000"/>
          <w:kern w:val="2"/>
          <w:sz w:val="24"/>
          <w:szCs w:val="24"/>
          <w:lang w:eastAsia="ja-JP" w:bidi="hi-IN"/>
        </w:rPr>
        <w:t>Case</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Study</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from</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the</w:t>
      </w:r>
      <w:proofErr w:type="spellEnd"/>
      <w:r w:rsidRPr="0014151A">
        <w:rPr>
          <w:rFonts w:ascii="Times New Roman" w:eastAsia="Times New Roman" w:hAnsi="Times New Roman" w:cs="Times New Roman"/>
          <w:color w:val="000000"/>
          <w:kern w:val="2"/>
          <w:sz w:val="24"/>
          <w:szCs w:val="24"/>
          <w:lang w:eastAsia="ja-JP" w:bidi="hi-IN"/>
        </w:rPr>
        <w:t xml:space="preserve"> Sprogu Gravas Nature Monument (SE Latvia). </w:t>
      </w:r>
      <w:proofErr w:type="spellStart"/>
      <w:r w:rsidRPr="0014151A">
        <w:rPr>
          <w:rFonts w:ascii="Times New Roman" w:eastAsia="Times New Roman" w:hAnsi="Times New Roman" w:cs="Times New Roman"/>
          <w:color w:val="000000"/>
          <w:kern w:val="2"/>
          <w:sz w:val="24"/>
          <w:szCs w:val="24"/>
          <w:lang w:eastAsia="ja-JP" w:bidi="hi-IN"/>
        </w:rPr>
        <w:t>In</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Casali</w:t>
      </w:r>
      <w:proofErr w:type="spellEnd"/>
      <w:r w:rsidRPr="0014151A">
        <w:rPr>
          <w:rFonts w:ascii="Times New Roman" w:eastAsia="Times New Roman" w:hAnsi="Times New Roman" w:cs="Times New Roman"/>
          <w:color w:val="000000"/>
          <w:kern w:val="2"/>
          <w:sz w:val="24"/>
          <w:szCs w:val="24"/>
          <w:lang w:eastAsia="ja-JP" w:bidi="hi-IN"/>
        </w:rPr>
        <w:t xml:space="preserve"> J., </w:t>
      </w:r>
      <w:proofErr w:type="spellStart"/>
      <w:r w:rsidRPr="0014151A">
        <w:rPr>
          <w:rFonts w:ascii="Times New Roman" w:eastAsia="Times New Roman" w:hAnsi="Times New Roman" w:cs="Times New Roman"/>
          <w:color w:val="000000"/>
          <w:kern w:val="2"/>
          <w:sz w:val="24"/>
          <w:szCs w:val="24"/>
          <w:lang w:eastAsia="ja-JP" w:bidi="hi-IN"/>
        </w:rPr>
        <w:t>Gimenez</w:t>
      </w:r>
      <w:proofErr w:type="spellEnd"/>
      <w:r w:rsidRPr="0014151A">
        <w:rPr>
          <w:rFonts w:ascii="Times New Roman" w:eastAsia="Times New Roman" w:hAnsi="Times New Roman" w:cs="Times New Roman"/>
          <w:color w:val="000000"/>
          <w:kern w:val="2"/>
          <w:sz w:val="24"/>
          <w:szCs w:val="24"/>
          <w:lang w:eastAsia="ja-JP" w:bidi="hi-IN"/>
        </w:rPr>
        <w:t xml:space="preserve"> R. (</w:t>
      </w:r>
      <w:proofErr w:type="spellStart"/>
      <w:r w:rsidRPr="0014151A">
        <w:rPr>
          <w:rFonts w:ascii="Times New Roman" w:eastAsia="Times New Roman" w:hAnsi="Times New Roman" w:cs="Times New Roman"/>
          <w:color w:val="000000"/>
          <w:kern w:val="2"/>
          <w:sz w:val="24"/>
          <w:szCs w:val="24"/>
          <w:lang w:eastAsia="ja-JP" w:bidi="hi-IN"/>
        </w:rPr>
        <w:t>eds</w:t>
      </w:r>
      <w:proofErr w:type="spellEnd"/>
      <w:r w:rsidRPr="0014151A">
        <w:rPr>
          <w:rFonts w:ascii="Times New Roman" w:eastAsia="Times New Roman" w:hAnsi="Times New Roman" w:cs="Times New Roman"/>
          <w:color w:val="000000"/>
          <w:kern w:val="2"/>
          <w:sz w:val="24"/>
          <w:szCs w:val="24"/>
          <w:lang w:eastAsia="ja-JP" w:bidi="hi-IN"/>
        </w:rPr>
        <w:t xml:space="preserve">.) </w:t>
      </w:r>
      <w:r w:rsidRPr="0014151A">
        <w:rPr>
          <w:rFonts w:ascii="Times New Roman" w:eastAsia="Times New Roman" w:hAnsi="Times New Roman" w:cs="Times New Roman"/>
          <w:i/>
          <w:iCs/>
          <w:color w:val="000000"/>
          <w:kern w:val="2"/>
          <w:sz w:val="24"/>
          <w:szCs w:val="24"/>
          <w:lang w:eastAsia="ja-JP" w:bidi="hi-IN"/>
        </w:rPr>
        <w:t xml:space="preserve">Progress </w:t>
      </w:r>
      <w:proofErr w:type="spellStart"/>
      <w:r w:rsidRPr="0014151A">
        <w:rPr>
          <w:rFonts w:ascii="Times New Roman" w:eastAsia="Times New Roman" w:hAnsi="Times New Roman" w:cs="Times New Roman"/>
          <w:i/>
          <w:iCs/>
          <w:color w:val="000000"/>
          <w:kern w:val="2"/>
          <w:sz w:val="24"/>
          <w:szCs w:val="24"/>
          <w:lang w:eastAsia="ja-JP" w:bidi="hi-IN"/>
        </w:rPr>
        <w:t>in</w:t>
      </w:r>
      <w:proofErr w:type="spellEnd"/>
      <w:r w:rsidRPr="0014151A">
        <w:rPr>
          <w:rFonts w:ascii="Times New Roman" w:eastAsia="Times New Roman" w:hAnsi="Times New Roman" w:cs="Times New Roman"/>
          <w:i/>
          <w:iCs/>
          <w:color w:val="000000"/>
          <w:kern w:val="2"/>
          <w:sz w:val="24"/>
          <w:szCs w:val="24"/>
          <w:lang w:eastAsia="ja-JP" w:bidi="hi-IN"/>
        </w:rPr>
        <w:t xml:space="preserve"> </w:t>
      </w:r>
      <w:proofErr w:type="spellStart"/>
      <w:r w:rsidRPr="0014151A">
        <w:rPr>
          <w:rFonts w:ascii="Times New Roman" w:eastAsia="Times New Roman" w:hAnsi="Times New Roman" w:cs="Times New Roman"/>
          <w:i/>
          <w:iCs/>
          <w:color w:val="000000"/>
          <w:kern w:val="2"/>
          <w:sz w:val="24"/>
          <w:szCs w:val="24"/>
          <w:lang w:eastAsia="ja-JP" w:bidi="hi-IN"/>
        </w:rPr>
        <w:t>Gully</w:t>
      </w:r>
      <w:proofErr w:type="spellEnd"/>
      <w:r w:rsidRPr="0014151A">
        <w:rPr>
          <w:rFonts w:ascii="Times New Roman" w:eastAsia="Times New Roman" w:hAnsi="Times New Roman" w:cs="Times New Roman"/>
          <w:i/>
          <w:iCs/>
          <w:color w:val="000000"/>
          <w:kern w:val="2"/>
          <w:sz w:val="24"/>
          <w:szCs w:val="24"/>
          <w:lang w:eastAsia="ja-JP" w:bidi="hi-IN"/>
        </w:rPr>
        <w:t xml:space="preserve"> </w:t>
      </w:r>
      <w:proofErr w:type="spellStart"/>
      <w:r w:rsidRPr="0014151A">
        <w:rPr>
          <w:rFonts w:ascii="Times New Roman" w:eastAsia="Times New Roman" w:hAnsi="Times New Roman" w:cs="Times New Roman"/>
          <w:i/>
          <w:iCs/>
          <w:color w:val="000000"/>
          <w:kern w:val="2"/>
          <w:sz w:val="24"/>
          <w:szCs w:val="24"/>
          <w:lang w:eastAsia="ja-JP" w:bidi="hi-IN"/>
        </w:rPr>
        <w:t>Erosion</w:t>
      </w:r>
      <w:proofErr w:type="spellEnd"/>
      <w:r w:rsidRPr="0014151A">
        <w:rPr>
          <w:rFonts w:ascii="Times New Roman" w:eastAsia="Times New Roman" w:hAnsi="Times New Roman" w:cs="Times New Roman"/>
          <w:i/>
          <w:iCs/>
          <w:color w:val="000000"/>
          <w:kern w:val="2"/>
          <w:sz w:val="24"/>
          <w:szCs w:val="24"/>
          <w:lang w:eastAsia="ja-JP" w:bidi="hi-IN"/>
        </w:rPr>
        <w:t xml:space="preserve"> </w:t>
      </w:r>
      <w:proofErr w:type="spellStart"/>
      <w:r w:rsidRPr="0014151A">
        <w:rPr>
          <w:rFonts w:ascii="Times New Roman" w:eastAsia="Times New Roman" w:hAnsi="Times New Roman" w:cs="Times New Roman"/>
          <w:i/>
          <w:iCs/>
          <w:color w:val="000000"/>
          <w:kern w:val="2"/>
          <w:sz w:val="24"/>
          <w:szCs w:val="24"/>
          <w:lang w:eastAsia="ja-JP" w:bidi="hi-IN"/>
        </w:rPr>
        <w:t>Reserarch</w:t>
      </w:r>
      <w:proofErr w:type="spellEnd"/>
      <w:r w:rsidRPr="0014151A">
        <w:rPr>
          <w:rFonts w:ascii="Times New Roman" w:eastAsia="Times New Roman" w:hAnsi="Times New Roman" w:cs="Times New Roman"/>
          <w:i/>
          <w:iCs/>
          <w:color w:val="000000"/>
          <w:kern w:val="2"/>
          <w:sz w:val="24"/>
          <w:szCs w:val="24"/>
          <w:lang w:eastAsia="ja-JP" w:bidi="hi-IN"/>
        </w:rPr>
        <w:t xml:space="preserve">. </w:t>
      </w:r>
      <w:proofErr w:type="spellStart"/>
      <w:r w:rsidRPr="0014151A">
        <w:rPr>
          <w:rFonts w:ascii="Times New Roman" w:eastAsia="Times New Roman" w:hAnsi="Times New Roman" w:cs="Times New Roman"/>
          <w:i/>
          <w:iCs/>
          <w:color w:val="000000"/>
          <w:kern w:val="2"/>
          <w:sz w:val="24"/>
          <w:szCs w:val="24"/>
          <w:lang w:eastAsia="ja-JP" w:bidi="hi-IN"/>
        </w:rPr>
        <w:t>Proceedings</w:t>
      </w:r>
      <w:proofErr w:type="spellEnd"/>
      <w:r w:rsidRPr="0014151A">
        <w:rPr>
          <w:rFonts w:ascii="Times New Roman" w:eastAsia="Times New Roman" w:hAnsi="Times New Roman" w:cs="Times New Roman"/>
          <w:i/>
          <w:iCs/>
          <w:color w:val="000000"/>
          <w:kern w:val="2"/>
          <w:sz w:val="24"/>
          <w:szCs w:val="24"/>
          <w:lang w:eastAsia="ja-JP" w:bidi="hi-IN"/>
        </w:rPr>
        <w:t xml:space="preserve"> </w:t>
      </w:r>
      <w:proofErr w:type="spellStart"/>
      <w:r w:rsidRPr="0014151A">
        <w:rPr>
          <w:rFonts w:ascii="Times New Roman" w:eastAsia="Times New Roman" w:hAnsi="Times New Roman" w:cs="Times New Roman"/>
          <w:i/>
          <w:iCs/>
          <w:color w:val="000000"/>
          <w:kern w:val="2"/>
          <w:sz w:val="24"/>
          <w:szCs w:val="24"/>
          <w:lang w:eastAsia="ja-JP" w:bidi="hi-IN"/>
        </w:rPr>
        <w:t>of</w:t>
      </w:r>
      <w:proofErr w:type="spellEnd"/>
      <w:r w:rsidRPr="0014151A">
        <w:rPr>
          <w:rFonts w:ascii="Times New Roman" w:eastAsia="Times New Roman" w:hAnsi="Times New Roman" w:cs="Times New Roman"/>
          <w:i/>
          <w:iCs/>
          <w:color w:val="000000"/>
          <w:kern w:val="2"/>
          <w:sz w:val="24"/>
          <w:szCs w:val="24"/>
          <w:lang w:eastAsia="ja-JP" w:bidi="hi-IN"/>
        </w:rPr>
        <w:t xml:space="preserve"> IV </w:t>
      </w:r>
      <w:proofErr w:type="spellStart"/>
      <w:r w:rsidRPr="0014151A">
        <w:rPr>
          <w:rFonts w:ascii="Times New Roman" w:eastAsia="Times New Roman" w:hAnsi="Times New Roman" w:cs="Times New Roman"/>
          <w:i/>
          <w:iCs/>
          <w:color w:val="000000"/>
          <w:kern w:val="2"/>
          <w:sz w:val="24"/>
          <w:szCs w:val="24"/>
          <w:lang w:eastAsia="ja-JP" w:bidi="hi-IN"/>
        </w:rPr>
        <w:t>International</w:t>
      </w:r>
      <w:proofErr w:type="spellEnd"/>
      <w:r w:rsidRPr="0014151A">
        <w:rPr>
          <w:rFonts w:ascii="Times New Roman" w:eastAsia="Times New Roman" w:hAnsi="Times New Roman" w:cs="Times New Roman"/>
          <w:i/>
          <w:iCs/>
          <w:color w:val="000000"/>
          <w:kern w:val="2"/>
          <w:sz w:val="24"/>
          <w:szCs w:val="24"/>
          <w:lang w:eastAsia="ja-JP" w:bidi="hi-IN"/>
        </w:rPr>
        <w:t xml:space="preserve"> </w:t>
      </w:r>
      <w:proofErr w:type="spellStart"/>
      <w:r w:rsidRPr="0014151A">
        <w:rPr>
          <w:rFonts w:ascii="Times New Roman" w:eastAsia="Times New Roman" w:hAnsi="Times New Roman" w:cs="Times New Roman"/>
          <w:i/>
          <w:iCs/>
          <w:color w:val="000000"/>
          <w:kern w:val="2"/>
          <w:sz w:val="24"/>
          <w:szCs w:val="24"/>
          <w:lang w:eastAsia="ja-JP" w:bidi="hi-IN"/>
        </w:rPr>
        <w:t>Symposium</w:t>
      </w:r>
      <w:proofErr w:type="spellEnd"/>
      <w:r w:rsidRPr="0014151A">
        <w:rPr>
          <w:rFonts w:ascii="Times New Roman" w:eastAsia="Times New Roman" w:hAnsi="Times New Roman" w:cs="Times New Roman"/>
          <w:i/>
          <w:iCs/>
          <w:color w:val="000000"/>
          <w:kern w:val="2"/>
          <w:sz w:val="24"/>
          <w:szCs w:val="24"/>
          <w:lang w:eastAsia="ja-JP" w:bidi="hi-IN"/>
        </w:rPr>
        <w:t xml:space="preserve"> </w:t>
      </w:r>
      <w:proofErr w:type="spellStart"/>
      <w:r w:rsidRPr="0014151A">
        <w:rPr>
          <w:rFonts w:ascii="Times New Roman" w:eastAsia="Times New Roman" w:hAnsi="Times New Roman" w:cs="Times New Roman"/>
          <w:i/>
          <w:iCs/>
          <w:color w:val="000000"/>
          <w:kern w:val="2"/>
          <w:sz w:val="24"/>
          <w:szCs w:val="24"/>
          <w:lang w:eastAsia="ja-JP" w:bidi="hi-IN"/>
        </w:rPr>
        <w:t>on</w:t>
      </w:r>
      <w:proofErr w:type="spellEnd"/>
      <w:r w:rsidRPr="0014151A">
        <w:rPr>
          <w:rFonts w:ascii="Times New Roman" w:eastAsia="Times New Roman" w:hAnsi="Times New Roman" w:cs="Times New Roman"/>
          <w:i/>
          <w:iCs/>
          <w:color w:val="000000"/>
          <w:kern w:val="2"/>
          <w:sz w:val="24"/>
          <w:szCs w:val="24"/>
          <w:lang w:eastAsia="ja-JP" w:bidi="hi-IN"/>
        </w:rPr>
        <w:t xml:space="preserve"> </w:t>
      </w:r>
      <w:proofErr w:type="spellStart"/>
      <w:r w:rsidRPr="0014151A">
        <w:rPr>
          <w:rFonts w:ascii="Times New Roman" w:eastAsia="Times New Roman" w:hAnsi="Times New Roman" w:cs="Times New Roman"/>
          <w:i/>
          <w:iCs/>
          <w:color w:val="000000"/>
          <w:kern w:val="2"/>
          <w:sz w:val="24"/>
          <w:szCs w:val="24"/>
          <w:lang w:eastAsia="ja-JP" w:bidi="hi-IN"/>
        </w:rPr>
        <w:t>Gully</w:t>
      </w:r>
      <w:proofErr w:type="spellEnd"/>
      <w:r w:rsidRPr="0014151A">
        <w:rPr>
          <w:rFonts w:ascii="Times New Roman" w:eastAsia="Times New Roman" w:hAnsi="Times New Roman" w:cs="Times New Roman"/>
          <w:i/>
          <w:iCs/>
          <w:color w:val="000000"/>
          <w:kern w:val="2"/>
          <w:sz w:val="24"/>
          <w:szCs w:val="24"/>
          <w:lang w:eastAsia="ja-JP" w:bidi="hi-IN"/>
        </w:rPr>
        <w:t xml:space="preserve"> </w:t>
      </w:r>
      <w:proofErr w:type="spellStart"/>
      <w:r w:rsidRPr="0014151A">
        <w:rPr>
          <w:rFonts w:ascii="Times New Roman" w:eastAsia="Times New Roman" w:hAnsi="Times New Roman" w:cs="Times New Roman"/>
          <w:i/>
          <w:iCs/>
          <w:color w:val="000000"/>
          <w:kern w:val="2"/>
          <w:sz w:val="24"/>
          <w:szCs w:val="24"/>
          <w:lang w:eastAsia="ja-JP" w:bidi="hi-IN"/>
        </w:rPr>
        <w:t>erosion</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Pamplona</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Spain</w:t>
      </w:r>
      <w:proofErr w:type="spellEnd"/>
      <w:r w:rsidRPr="0014151A">
        <w:rPr>
          <w:rFonts w:ascii="Times New Roman" w:eastAsia="Times New Roman" w:hAnsi="Times New Roman" w:cs="Times New Roman"/>
          <w:color w:val="000000"/>
          <w:kern w:val="2"/>
          <w:sz w:val="24"/>
          <w:szCs w:val="24"/>
          <w:lang w:eastAsia="ja-JP" w:bidi="hi-IN"/>
        </w:rPr>
        <w:t xml:space="preserve">, 17–19 </w:t>
      </w:r>
      <w:proofErr w:type="spellStart"/>
      <w:r w:rsidRPr="0014151A">
        <w:rPr>
          <w:rFonts w:ascii="Times New Roman" w:eastAsia="Times New Roman" w:hAnsi="Times New Roman" w:cs="Times New Roman"/>
          <w:color w:val="000000"/>
          <w:kern w:val="2"/>
          <w:sz w:val="24"/>
          <w:szCs w:val="24"/>
          <w:lang w:eastAsia="ja-JP" w:bidi="hi-IN"/>
        </w:rPr>
        <w:t>September</w:t>
      </w:r>
      <w:proofErr w:type="spellEnd"/>
      <w:r w:rsidRPr="0014151A">
        <w:rPr>
          <w:rFonts w:ascii="Times New Roman" w:eastAsia="Times New Roman" w:hAnsi="Times New Roman" w:cs="Times New Roman"/>
          <w:color w:val="000000"/>
          <w:kern w:val="2"/>
          <w:sz w:val="24"/>
          <w:szCs w:val="24"/>
          <w:lang w:eastAsia="ja-JP" w:bidi="hi-IN"/>
        </w:rPr>
        <w:t>, p. 120–121.</w:t>
      </w:r>
    </w:p>
    <w:p w14:paraId="7ACAE4F8" w14:textId="25E42FDF" w:rsidR="00260499" w:rsidRPr="0014151A" w:rsidRDefault="00260499" w:rsidP="0014151A">
      <w:pPr>
        <w:numPr>
          <w:ilvl w:val="0"/>
          <w:numId w:val="31"/>
        </w:numPr>
        <w:spacing w:after="0" w:line="240" w:lineRule="auto"/>
        <w:jc w:val="both"/>
        <w:rPr>
          <w:rFonts w:ascii="Times New Roman" w:eastAsia="Times New Roman" w:hAnsi="Times New Roman" w:cs="Times New Roman"/>
          <w:kern w:val="2"/>
          <w:sz w:val="24"/>
          <w:szCs w:val="24"/>
          <w:lang w:eastAsia="zh-CN" w:bidi="hi-IN"/>
        </w:rPr>
      </w:pPr>
      <w:r w:rsidRPr="0014151A">
        <w:rPr>
          <w:rFonts w:ascii="Times New Roman" w:eastAsia="Times New Roman" w:hAnsi="Times New Roman" w:cs="Times New Roman"/>
          <w:color w:val="000000"/>
          <w:kern w:val="2"/>
          <w:sz w:val="24"/>
          <w:szCs w:val="24"/>
          <w:lang w:eastAsia="ja-JP" w:bidi="hi-IN"/>
        </w:rPr>
        <w:t xml:space="preserve">Soms J., Kalniņa L. 2011. Daugavas </w:t>
      </w:r>
      <w:proofErr w:type="spellStart"/>
      <w:r w:rsidRPr="0014151A">
        <w:rPr>
          <w:rFonts w:ascii="Times New Roman" w:eastAsia="Times New Roman" w:hAnsi="Times New Roman" w:cs="Times New Roman"/>
          <w:color w:val="000000"/>
          <w:kern w:val="2"/>
          <w:sz w:val="24"/>
          <w:szCs w:val="24"/>
          <w:lang w:eastAsia="ja-JP" w:bidi="hi-IN"/>
        </w:rPr>
        <w:t>senielejas</w:t>
      </w:r>
      <w:proofErr w:type="spellEnd"/>
      <w:r w:rsidRPr="0014151A">
        <w:rPr>
          <w:rFonts w:ascii="Times New Roman" w:eastAsia="Times New Roman" w:hAnsi="Times New Roman" w:cs="Times New Roman"/>
          <w:color w:val="000000"/>
          <w:kern w:val="2"/>
          <w:sz w:val="24"/>
          <w:szCs w:val="24"/>
          <w:lang w:eastAsia="ja-JP" w:bidi="hi-IN"/>
        </w:rPr>
        <w:t xml:space="preserve"> </w:t>
      </w:r>
      <w:proofErr w:type="spellStart"/>
      <w:r w:rsidRPr="0014151A">
        <w:rPr>
          <w:rFonts w:ascii="Times New Roman" w:eastAsia="Times New Roman" w:hAnsi="Times New Roman" w:cs="Times New Roman"/>
          <w:color w:val="000000"/>
          <w:kern w:val="2"/>
          <w:sz w:val="24"/>
          <w:szCs w:val="24"/>
          <w:lang w:eastAsia="ja-JP" w:bidi="hi-IN"/>
        </w:rPr>
        <w:t>vecgravu</w:t>
      </w:r>
      <w:proofErr w:type="spellEnd"/>
      <w:r w:rsidRPr="0014151A">
        <w:rPr>
          <w:rFonts w:ascii="Times New Roman" w:eastAsia="Times New Roman" w:hAnsi="Times New Roman" w:cs="Times New Roman"/>
          <w:color w:val="000000"/>
          <w:kern w:val="2"/>
          <w:sz w:val="24"/>
          <w:szCs w:val="24"/>
          <w:lang w:eastAsia="ja-JP" w:bidi="hi-IN"/>
        </w:rPr>
        <w:t xml:space="preserve"> morfoloģijas un </w:t>
      </w:r>
      <w:proofErr w:type="spellStart"/>
      <w:r w:rsidRPr="0014151A">
        <w:rPr>
          <w:rFonts w:ascii="Times New Roman" w:eastAsia="Times New Roman" w:hAnsi="Times New Roman" w:cs="Times New Roman"/>
          <w:color w:val="000000"/>
          <w:kern w:val="2"/>
          <w:sz w:val="24"/>
          <w:szCs w:val="24"/>
          <w:lang w:eastAsia="ja-JP" w:bidi="hi-IN"/>
        </w:rPr>
        <w:t>koluviāli-proluviālo</w:t>
      </w:r>
      <w:proofErr w:type="spellEnd"/>
      <w:r w:rsidRPr="0014151A">
        <w:rPr>
          <w:rFonts w:ascii="Times New Roman" w:eastAsia="Times New Roman" w:hAnsi="Times New Roman" w:cs="Times New Roman"/>
          <w:color w:val="000000"/>
          <w:kern w:val="2"/>
          <w:sz w:val="24"/>
          <w:szCs w:val="24"/>
          <w:lang w:eastAsia="ja-JP" w:bidi="hi-IN"/>
        </w:rPr>
        <w:t xml:space="preserve"> nogulumu pētījumi erozijas formu vecuma noteikšanas iespēju kontekstā. </w:t>
      </w:r>
      <w:proofErr w:type="spellStart"/>
      <w:r w:rsidRPr="0014151A">
        <w:rPr>
          <w:rFonts w:ascii="Times New Roman" w:eastAsia="Times New Roman" w:hAnsi="Times New Roman" w:cs="Times New Roman"/>
          <w:i/>
          <w:iCs/>
          <w:color w:val="000000"/>
          <w:kern w:val="2"/>
          <w:sz w:val="24"/>
          <w:szCs w:val="24"/>
          <w:lang w:eastAsia="ja-JP" w:bidi="hi-IN"/>
        </w:rPr>
        <w:t>Acta</w:t>
      </w:r>
      <w:proofErr w:type="spellEnd"/>
      <w:r w:rsidRPr="0014151A">
        <w:rPr>
          <w:rFonts w:ascii="Times New Roman" w:eastAsia="Times New Roman" w:hAnsi="Times New Roman" w:cs="Times New Roman"/>
          <w:i/>
          <w:iCs/>
          <w:color w:val="000000"/>
          <w:kern w:val="2"/>
          <w:sz w:val="24"/>
          <w:szCs w:val="24"/>
          <w:lang w:eastAsia="ja-JP" w:bidi="hi-IN"/>
        </w:rPr>
        <w:t xml:space="preserve"> </w:t>
      </w:r>
      <w:proofErr w:type="spellStart"/>
      <w:r w:rsidRPr="0014151A">
        <w:rPr>
          <w:rFonts w:ascii="Times New Roman" w:eastAsia="Times New Roman" w:hAnsi="Times New Roman" w:cs="Times New Roman"/>
          <w:i/>
          <w:iCs/>
          <w:color w:val="000000"/>
          <w:kern w:val="2"/>
          <w:sz w:val="24"/>
          <w:szCs w:val="24"/>
          <w:lang w:eastAsia="ja-JP" w:bidi="hi-IN"/>
        </w:rPr>
        <w:t>Universitatis</w:t>
      </w:r>
      <w:proofErr w:type="spellEnd"/>
      <w:r w:rsidRPr="0014151A">
        <w:rPr>
          <w:rFonts w:ascii="Times New Roman" w:eastAsia="Times New Roman" w:hAnsi="Times New Roman" w:cs="Times New Roman"/>
          <w:i/>
          <w:iCs/>
          <w:color w:val="000000"/>
          <w:kern w:val="2"/>
          <w:sz w:val="24"/>
          <w:szCs w:val="24"/>
          <w:lang w:eastAsia="ja-JP" w:bidi="hi-IN"/>
        </w:rPr>
        <w:t xml:space="preserve"> </w:t>
      </w:r>
      <w:proofErr w:type="spellStart"/>
      <w:r w:rsidRPr="0014151A">
        <w:rPr>
          <w:rFonts w:ascii="Times New Roman" w:eastAsia="Times New Roman" w:hAnsi="Times New Roman" w:cs="Times New Roman"/>
          <w:i/>
          <w:iCs/>
          <w:color w:val="000000"/>
          <w:kern w:val="2"/>
          <w:sz w:val="24"/>
          <w:szCs w:val="24"/>
          <w:lang w:eastAsia="ja-JP" w:bidi="hi-IN"/>
        </w:rPr>
        <w:t>Latviensis</w:t>
      </w:r>
      <w:proofErr w:type="spellEnd"/>
      <w:r w:rsidRPr="0014151A">
        <w:rPr>
          <w:rFonts w:ascii="Times New Roman" w:eastAsia="Times New Roman" w:hAnsi="Times New Roman" w:cs="Times New Roman"/>
          <w:i/>
          <w:iCs/>
          <w:color w:val="000000"/>
          <w:kern w:val="2"/>
          <w:sz w:val="24"/>
          <w:szCs w:val="24"/>
          <w:lang w:eastAsia="ja-JP" w:bidi="hi-IN"/>
        </w:rPr>
        <w:t>: Zemes un vides zinātnes</w:t>
      </w:r>
      <w:r w:rsidRPr="0014151A">
        <w:rPr>
          <w:rFonts w:ascii="Times New Roman" w:eastAsia="Times New Roman" w:hAnsi="Times New Roman" w:cs="Times New Roman"/>
          <w:color w:val="000000"/>
          <w:kern w:val="2"/>
          <w:sz w:val="24"/>
          <w:szCs w:val="24"/>
          <w:lang w:eastAsia="ja-JP" w:bidi="hi-IN"/>
        </w:rPr>
        <w:t>, 767, 75-92.</w:t>
      </w:r>
    </w:p>
    <w:p w14:paraId="54BEFD05" w14:textId="233E3E2E" w:rsidR="00260499" w:rsidRPr="0014151A" w:rsidRDefault="00260499" w:rsidP="0014151A">
      <w:pPr>
        <w:numPr>
          <w:ilvl w:val="0"/>
          <w:numId w:val="31"/>
        </w:numPr>
        <w:spacing w:after="0" w:line="240" w:lineRule="auto"/>
        <w:jc w:val="both"/>
        <w:rPr>
          <w:rFonts w:ascii="Times New Roman" w:eastAsia="Times New Roman" w:hAnsi="Times New Roman" w:cs="Times New Roman"/>
          <w:kern w:val="2"/>
          <w:sz w:val="24"/>
          <w:szCs w:val="24"/>
          <w:lang w:eastAsia="zh-CN" w:bidi="hi-IN"/>
        </w:rPr>
      </w:pPr>
      <w:r w:rsidRPr="0014151A">
        <w:rPr>
          <w:rFonts w:ascii="Times New Roman" w:eastAsia="Times New Roman" w:hAnsi="Times New Roman" w:cs="Times New Roman"/>
          <w:color w:val="000000"/>
          <w:kern w:val="2"/>
          <w:sz w:val="24"/>
          <w:szCs w:val="24"/>
          <w:lang w:eastAsia="ja-JP" w:bidi="hi-IN"/>
        </w:rPr>
        <w:t xml:space="preserve">Soms J., Segliņš V. 2011. Nogāžu procesu un gravu erozijas veidotie reljefa kompleksi dabas pieminekļa „Sproģu gravas” ietvertajā Daugavas </w:t>
      </w:r>
      <w:proofErr w:type="spellStart"/>
      <w:r w:rsidRPr="0014151A">
        <w:rPr>
          <w:rFonts w:ascii="Times New Roman" w:eastAsia="Times New Roman" w:hAnsi="Times New Roman" w:cs="Times New Roman"/>
          <w:color w:val="000000"/>
          <w:kern w:val="2"/>
          <w:sz w:val="24"/>
          <w:szCs w:val="24"/>
          <w:lang w:eastAsia="ja-JP" w:bidi="hi-IN"/>
        </w:rPr>
        <w:t>senielejas</w:t>
      </w:r>
      <w:proofErr w:type="spellEnd"/>
      <w:r w:rsidRPr="0014151A">
        <w:rPr>
          <w:rFonts w:ascii="Times New Roman" w:eastAsia="Times New Roman" w:hAnsi="Times New Roman" w:cs="Times New Roman"/>
          <w:color w:val="000000"/>
          <w:kern w:val="2"/>
          <w:sz w:val="24"/>
          <w:szCs w:val="24"/>
          <w:lang w:eastAsia="ja-JP" w:bidi="hi-IN"/>
        </w:rPr>
        <w:t xml:space="preserve"> daļā. </w:t>
      </w:r>
      <w:proofErr w:type="spellStart"/>
      <w:r w:rsidRPr="0014151A">
        <w:rPr>
          <w:rFonts w:ascii="Times New Roman" w:eastAsia="Times New Roman" w:hAnsi="Times New Roman" w:cs="Times New Roman"/>
          <w:i/>
          <w:iCs/>
          <w:color w:val="000000"/>
          <w:kern w:val="2"/>
          <w:sz w:val="24"/>
          <w:szCs w:val="24"/>
          <w:lang w:eastAsia="ja-JP" w:bidi="hi-IN"/>
        </w:rPr>
        <w:t>Acta</w:t>
      </w:r>
      <w:proofErr w:type="spellEnd"/>
      <w:r w:rsidRPr="0014151A">
        <w:rPr>
          <w:rFonts w:ascii="Times New Roman" w:eastAsia="Times New Roman" w:hAnsi="Times New Roman" w:cs="Times New Roman"/>
          <w:i/>
          <w:iCs/>
          <w:color w:val="000000"/>
          <w:kern w:val="2"/>
          <w:sz w:val="24"/>
          <w:szCs w:val="24"/>
          <w:lang w:eastAsia="ja-JP" w:bidi="hi-IN"/>
        </w:rPr>
        <w:t xml:space="preserve"> </w:t>
      </w:r>
      <w:proofErr w:type="spellStart"/>
      <w:r w:rsidRPr="0014151A">
        <w:rPr>
          <w:rFonts w:ascii="Times New Roman" w:eastAsia="Times New Roman" w:hAnsi="Times New Roman" w:cs="Times New Roman"/>
          <w:i/>
          <w:iCs/>
          <w:color w:val="000000"/>
          <w:kern w:val="2"/>
          <w:sz w:val="24"/>
          <w:szCs w:val="24"/>
          <w:lang w:eastAsia="ja-JP" w:bidi="hi-IN"/>
        </w:rPr>
        <w:t>Universitatis</w:t>
      </w:r>
      <w:proofErr w:type="spellEnd"/>
      <w:r w:rsidRPr="0014151A">
        <w:rPr>
          <w:rFonts w:ascii="Times New Roman" w:eastAsia="Times New Roman" w:hAnsi="Times New Roman" w:cs="Times New Roman"/>
          <w:i/>
          <w:iCs/>
          <w:color w:val="000000"/>
          <w:kern w:val="2"/>
          <w:sz w:val="24"/>
          <w:szCs w:val="24"/>
          <w:lang w:eastAsia="ja-JP" w:bidi="hi-IN"/>
        </w:rPr>
        <w:t xml:space="preserve"> </w:t>
      </w:r>
      <w:proofErr w:type="spellStart"/>
      <w:r w:rsidRPr="0014151A">
        <w:rPr>
          <w:rFonts w:ascii="Times New Roman" w:eastAsia="Times New Roman" w:hAnsi="Times New Roman" w:cs="Times New Roman"/>
          <w:i/>
          <w:iCs/>
          <w:color w:val="000000"/>
          <w:kern w:val="2"/>
          <w:sz w:val="24"/>
          <w:szCs w:val="24"/>
          <w:lang w:eastAsia="ja-JP" w:bidi="hi-IN"/>
        </w:rPr>
        <w:t>Latviensis</w:t>
      </w:r>
      <w:proofErr w:type="spellEnd"/>
      <w:r w:rsidRPr="0014151A">
        <w:rPr>
          <w:rFonts w:ascii="Times New Roman" w:eastAsia="Times New Roman" w:hAnsi="Times New Roman" w:cs="Times New Roman"/>
          <w:i/>
          <w:iCs/>
          <w:color w:val="000000"/>
          <w:kern w:val="2"/>
          <w:sz w:val="24"/>
          <w:szCs w:val="24"/>
          <w:lang w:eastAsia="ja-JP" w:bidi="hi-IN"/>
        </w:rPr>
        <w:t>: Zemes un vides zinātnes</w:t>
      </w:r>
      <w:r w:rsidRPr="0014151A">
        <w:rPr>
          <w:rFonts w:ascii="Times New Roman" w:eastAsia="Times New Roman" w:hAnsi="Times New Roman" w:cs="Times New Roman"/>
          <w:color w:val="000000"/>
          <w:kern w:val="2"/>
          <w:sz w:val="24"/>
          <w:szCs w:val="24"/>
          <w:lang w:eastAsia="ja-JP" w:bidi="hi-IN"/>
        </w:rPr>
        <w:t>, 762, 161-176.</w:t>
      </w:r>
    </w:p>
    <w:p w14:paraId="3DFD9DA1" w14:textId="1EF34EC3" w:rsidR="00260499" w:rsidRPr="0014151A" w:rsidRDefault="00260499" w:rsidP="0014151A">
      <w:pPr>
        <w:numPr>
          <w:ilvl w:val="0"/>
          <w:numId w:val="31"/>
        </w:numPr>
        <w:spacing w:after="0" w:line="240" w:lineRule="auto"/>
        <w:jc w:val="both"/>
        <w:rPr>
          <w:rFonts w:ascii="Times New Roman" w:eastAsia="Times New Roman" w:hAnsi="Times New Roman" w:cs="Times New Roman"/>
          <w:kern w:val="2"/>
          <w:sz w:val="24"/>
          <w:szCs w:val="24"/>
          <w:lang w:eastAsia="zh-CN" w:bidi="hi-IN"/>
        </w:rPr>
      </w:pPr>
      <w:r w:rsidRPr="0014151A">
        <w:rPr>
          <w:rFonts w:ascii="Times New Roman" w:eastAsia="Times New Roman" w:hAnsi="Times New Roman" w:cs="Times New Roman"/>
          <w:color w:val="000000"/>
          <w:kern w:val="2"/>
          <w:sz w:val="24"/>
          <w:szCs w:val="24"/>
          <w:lang w:eastAsia="ja-JP" w:bidi="hi-IN"/>
        </w:rPr>
        <w:t xml:space="preserve">Soms J. 2013. </w:t>
      </w:r>
      <w:r w:rsidRPr="0014151A">
        <w:rPr>
          <w:rFonts w:ascii="Times New Roman" w:eastAsia="Times New Roman" w:hAnsi="Times New Roman" w:cs="Times New Roman"/>
          <w:i/>
          <w:iCs/>
          <w:color w:val="000000"/>
          <w:kern w:val="2"/>
          <w:sz w:val="24"/>
          <w:szCs w:val="24"/>
          <w:lang w:eastAsia="ja-JP" w:bidi="hi-IN"/>
        </w:rPr>
        <w:t xml:space="preserve">Gravu morfoloģija </w:t>
      </w:r>
      <w:proofErr w:type="spellStart"/>
      <w:r w:rsidRPr="0014151A">
        <w:rPr>
          <w:rFonts w:ascii="Times New Roman" w:eastAsia="Times New Roman" w:hAnsi="Times New Roman" w:cs="Times New Roman"/>
          <w:i/>
          <w:iCs/>
          <w:color w:val="000000"/>
          <w:kern w:val="2"/>
          <w:sz w:val="24"/>
          <w:szCs w:val="24"/>
          <w:lang w:eastAsia="ja-JP" w:bidi="hi-IN"/>
        </w:rPr>
        <w:t>Austrumlatvijā</w:t>
      </w:r>
      <w:proofErr w:type="spellEnd"/>
      <w:r w:rsidRPr="0014151A">
        <w:rPr>
          <w:rFonts w:ascii="Times New Roman" w:eastAsia="Times New Roman" w:hAnsi="Times New Roman" w:cs="Times New Roman"/>
          <w:color w:val="000000"/>
          <w:kern w:val="2"/>
          <w:sz w:val="24"/>
          <w:szCs w:val="24"/>
          <w:lang w:eastAsia="ja-JP" w:bidi="hi-IN"/>
        </w:rPr>
        <w:t>. LU Akadēmiskais apgāds, Rīga, 173 lpp.</w:t>
      </w:r>
    </w:p>
    <w:p w14:paraId="0DA15B26" w14:textId="573284A2" w:rsidR="44338CFC" w:rsidRPr="0014151A" w:rsidRDefault="44338CFC" w:rsidP="0014151A">
      <w:pPr>
        <w:numPr>
          <w:ilvl w:val="0"/>
          <w:numId w:val="31"/>
        </w:numPr>
        <w:spacing w:after="0" w:line="240" w:lineRule="auto"/>
        <w:jc w:val="both"/>
        <w:rPr>
          <w:rFonts w:eastAsiaTheme="minorEastAsia"/>
          <w:color w:val="000000" w:themeColor="text1"/>
          <w:sz w:val="24"/>
          <w:szCs w:val="24"/>
          <w:lang w:eastAsia="ja-JP" w:bidi="hi-IN"/>
        </w:rPr>
      </w:pPr>
      <w:proofErr w:type="spellStart"/>
      <w:r w:rsidRPr="0014151A">
        <w:rPr>
          <w:rFonts w:ascii="Times New Roman" w:eastAsia="Times New Roman" w:hAnsi="Times New Roman" w:cs="Times New Roman"/>
          <w:sz w:val="24"/>
          <w:szCs w:val="24"/>
        </w:rPr>
        <w:t>Sonter</w:t>
      </w:r>
      <w:proofErr w:type="spellEnd"/>
      <w:r w:rsidRPr="0014151A">
        <w:rPr>
          <w:rFonts w:ascii="Times New Roman" w:eastAsia="Times New Roman" w:hAnsi="Times New Roman" w:cs="Times New Roman"/>
          <w:sz w:val="24"/>
          <w:szCs w:val="24"/>
        </w:rPr>
        <w:t xml:space="preserve"> L.J., Ali SH, </w:t>
      </w:r>
      <w:proofErr w:type="spellStart"/>
      <w:r w:rsidRPr="0014151A">
        <w:rPr>
          <w:rFonts w:ascii="Times New Roman" w:eastAsia="Times New Roman" w:hAnsi="Times New Roman" w:cs="Times New Roman"/>
          <w:sz w:val="24"/>
          <w:szCs w:val="24"/>
        </w:rPr>
        <w:t>Watson</w:t>
      </w:r>
      <w:proofErr w:type="spellEnd"/>
      <w:r w:rsidRPr="0014151A">
        <w:rPr>
          <w:rFonts w:ascii="Times New Roman" w:eastAsia="Times New Roman" w:hAnsi="Times New Roman" w:cs="Times New Roman"/>
          <w:sz w:val="24"/>
          <w:szCs w:val="24"/>
        </w:rPr>
        <w:t xml:space="preserve"> JEM 2018 Mining </w:t>
      </w:r>
      <w:proofErr w:type="spellStart"/>
      <w:r w:rsidRPr="0014151A">
        <w:rPr>
          <w:rFonts w:ascii="Times New Roman" w:eastAsia="Times New Roman" w:hAnsi="Times New Roman" w:cs="Times New Roman"/>
          <w:sz w:val="24"/>
          <w:szCs w:val="24"/>
        </w:rPr>
        <w:t>and</w:t>
      </w:r>
      <w:proofErr w:type="spellEnd"/>
      <w:r w:rsidRPr="0014151A">
        <w:rPr>
          <w:rFonts w:ascii="Times New Roman" w:eastAsia="Times New Roman" w:hAnsi="Times New Roman" w:cs="Times New Roman"/>
          <w:sz w:val="24"/>
          <w:szCs w:val="24"/>
        </w:rPr>
        <w:t xml:space="preserve"> </w:t>
      </w:r>
      <w:proofErr w:type="spellStart"/>
      <w:r w:rsidRPr="0014151A">
        <w:rPr>
          <w:rFonts w:ascii="Times New Roman" w:eastAsia="Times New Roman" w:hAnsi="Times New Roman" w:cs="Times New Roman"/>
          <w:sz w:val="24"/>
          <w:szCs w:val="24"/>
        </w:rPr>
        <w:t>biodiversity:key</w:t>
      </w:r>
      <w:proofErr w:type="spellEnd"/>
      <w:r w:rsidRPr="0014151A">
        <w:rPr>
          <w:rFonts w:ascii="Times New Roman" w:eastAsia="Times New Roman" w:hAnsi="Times New Roman" w:cs="Times New Roman"/>
          <w:sz w:val="24"/>
          <w:szCs w:val="24"/>
        </w:rPr>
        <w:t xml:space="preserve"> </w:t>
      </w:r>
      <w:proofErr w:type="spellStart"/>
      <w:r w:rsidRPr="0014151A">
        <w:rPr>
          <w:rFonts w:ascii="Times New Roman" w:eastAsia="Times New Roman" w:hAnsi="Times New Roman" w:cs="Times New Roman"/>
          <w:sz w:val="24"/>
          <w:szCs w:val="24"/>
        </w:rPr>
        <w:t>issues</w:t>
      </w:r>
      <w:proofErr w:type="spellEnd"/>
      <w:r w:rsidRPr="0014151A">
        <w:rPr>
          <w:rFonts w:ascii="Times New Roman" w:eastAsia="Times New Roman" w:hAnsi="Times New Roman" w:cs="Times New Roman"/>
          <w:sz w:val="24"/>
          <w:szCs w:val="24"/>
        </w:rPr>
        <w:t xml:space="preserve"> </w:t>
      </w:r>
      <w:proofErr w:type="spellStart"/>
      <w:r w:rsidRPr="0014151A">
        <w:rPr>
          <w:rFonts w:ascii="Times New Roman" w:eastAsia="Times New Roman" w:hAnsi="Times New Roman" w:cs="Times New Roman"/>
          <w:sz w:val="24"/>
          <w:szCs w:val="24"/>
        </w:rPr>
        <w:t>and</w:t>
      </w:r>
      <w:proofErr w:type="spellEnd"/>
      <w:r w:rsidRPr="0014151A">
        <w:rPr>
          <w:rFonts w:ascii="Times New Roman" w:eastAsia="Times New Roman" w:hAnsi="Times New Roman" w:cs="Times New Roman"/>
          <w:sz w:val="24"/>
          <w:szCs w:val="24"/>
        </w:rPr>
        <w:t xml:space="preserve"> </w:t>
      </w:r>
      <w:proofErr w:type="spellStart"/>
      <w:r w:rsidRPr="0014151A">
        <w:rPr>
          <w:rFonts w:ascii="Times New Roman" w:eastAsia="Times New Roman" w:hAnsi="Times New Roman" w:cs="Times New Roman"/>
          <w:sz w:val="24"/>
          <w:szCs w:val="24"/>
        </w:rPr>
        <w:t>research</w:t>
      </w:r>
      <w:proofErr w:type="spellEnd"/>
      <w:r w:rsidRPr="0014151A">
        <w:rPr>
          <w:rFonts w:ascii="Times New Roman" w:eastAsia="Times New Roman" w:hAnsi="Times New Roman" w:cs="Times New Roman"/>
          <w:sz w:val="24"/>
          <w:szCs w:val="24"/>
        </w:rPr>
        <w:t xml:space="preserve"> </w:t>
      </w:r>
      <w:proofErr w:type="spellStart"/>
      <w:r w:rsidRPr="0014151A">
        <w:rPr>
          <w:rFonts w:ascii="Times New Roman" w:eastAsia="Times New Roman" w:hAnsi="Times New Roman" w:cs="Times New Roman"/>
          <w:sz w:val="24"/>
          <w:szCs w:val="24"/>
        </w:rPr>
        <w:t>needs</w:t>
      </w:r>
      <w:proofErr w:type="spellEnd"/>
      <w:r w:rsidRPr="0014151A">
        <w:rPr>
          <w:rFonts w:ascii="Times New Roman" w:eastAsia="Times New Roman" w:hAnsi="Times New Roman" w:cs="Times New Roman"/>
          <w:sz w:val="24"/>
          <w:szCs w:val="24"/>
        </w:rPr>
        <w:t xml:space="preserve"> </w:t>
      </w:r>
      <w:proofErr w:type="spellStart"/>
      <w:r w:rsidRPr="0014151A">
        <w:rPr>
          <w:rFonts w:ascii="Times New Roman" w:eastAsia="Times New Roman" w:hAnsi="Times New Roman" w:cs="Times New Roman"/>
          <w:sz w:val="24"/>
          <w:szCs w:val="24"/>
        </w:rPr>
        <w:t>in</w:t>
      </w:r>
      <w:proofErr w:type="spellEnd"/>
      <w:r w:rsidRPr="0014151A">
        <w:rPr>
          <w:rFonts w:ascii="Times New Roman" w:eastAsia="Times New Roman" w:hAnsi="Times New Roman" w:cs="Times New Roman"/>
          <w:sz w:val="24"/>
          <w:szCs w:val="24"/>
        </w:rPr>
        <w:t xml:space="preserve"> </w:t>
      </w:r>
      <w:proofErr w:type="spellStart"/>
      <w:r w:rsidRPr="0014151A">
        <w:rPr>
          <w:rFonts w:ascii="Times New Roman" w:eastAsia="Times New Roman" w:hAnsi="Times New Roman" w:cs="Times New Roman"/>
          <w:sz w:val="24"/>
          <w:szCs w:val="24"/>
        </w:rPr>
        <w:t>conservation</w:t>
      </w:r>
      <w:proofErr w:type="spellEnd"/>
      <w:r w:rsidRPr="0014151A">
        <w:rPr>
          <w:rFonts w:ascii="Times New Roman" w:eastAsia="Times New Roman" w:hAnsi="Times New Roman" w:cs="Times New Roman"/>
          <w:sz w:val="24"/>
          <w:szCs w:val="24"/>
        </w:rPr>
        <w:t xml:space="preserve"> </w:t>
      </w:r>
      <w:proofErr w:type="spellStart"/>
      <w:r w:rsidRPr="0014151A">
        <w:rPr>
          <w:rFonts w:ascii="Times New Roman" w:eastAsia="Times New Roman" w:hAnsi="Times New Roman" w:cs="Times New Roman"/>
          <w:sz w:val="24"/>
          <w:szCs w:val="24"/>
        </w:rPr>
        <w:t>science</w:t>
      </w:r>
      <w:proofErr w:type="spellEnd"/>
      <w:r w:rsidRPr="0014151A">
        <w:rPr>
          <w:rFonts w:ascii="Times New Roman" w:eastAsia="Times New Roman" w:hAnsi="Times New Roman" w:cs="Times New Roman"/>
          <w:sz w:val="24"/>
          <w:szCs w:val="24"/>
        </w:rPr>
        <w:t>.</w:t>
      </w:r>
      <w:r w:rsidRPr="0014151A">
        <w:rPr>
          <w:rFonts w:ascii="Times New Roman" w:eastAsia="Times New Roman" w:hAnsi="Times New Roman" w:cs="Times New Roman"/>
          <w:color w:val="231F20"/>
          <w:sz w:val="24"/>
          <w:szCs w:val="24"/>
        </w:rPr>
        <w:t xml:space="preserve"> </w:t>
      </w:r>
      <w:proofErr w:type="spellStart"/>
      <w:r w:rsidRPr="0014151A">
        <w:rPr>
          <w:rFonts w:ascii="Times New Roman" w:eastAsia="Times New Roman" w:hAnsi="Times New Roman" w:cs="Times New Roman"/>
          <w:color w:val="231F20"/>
          <w:sz w:val="24"/>
          <w:szCs w:val="24"/>
        </w:rPr>
        <w:t>Procceedings</w:t>
      </w:r>
      <w:proofErr w:type="spellEnd"/>
      <w:r w:rsidRPr="0014151A">
        <w:rPr>
          <w:rFonts w:ascii="Times New Roman" w:eastAsia="Times New Roman" w:hAnsi="Times New Roman" w:cs="Times New Roman"/>
          <w:color w:val="231F20"/>
          <w:sz w:val="24"/>
          <w:szCs w:val="24"/>
        </w:rPr>
        <w:t xml:space="preserve"> </w:t>
      </w:r>
      <w:proofErr w:type="spellStart"/>
      <w:r w:rsidRPr="0014151A">
        <w:rPr>
          <w:rFonts w:ascii="Times New Roman" w:eastAsia="Times New Roman" w:hAnsi="Times New Roman" w:cs="Times New Roman"/>
          <w:color w:val="231F20"/>
          <w:sz w:val="24"/>
          <w:szCs w:val="24"/>
        </w:rPr>
        <w:t>Royal</w:t>
      </w:r>
      <w:proofErr w:type="spellEnd"/>
      <w:r w:rsidRPr="0014151A">
        <w:rPr>
          <w:rFonts w:ascii="Times New Roman" w:eastAsia="Times New Roman" w:hAnsi="Times New Roman" w:cs="Times New Roman"/>
          <w:color w:val="231F20"/>
          <w:sz w:val="24"/>
          <w:szCs w:val="24"/>
        </w:rPr>
        <w:t xml:space="preserve"> </w:t>
      </w:r>
      <w:proofErr w:type="spellStart"/>
      <w:r w:rsidRPr="0014151A">
        <w:rPr>
          <w:rFonts w:ascii="Times New Roman" w:eastAsia="Times New Roman" w:hAnsi="Times New Roman" w:cs="Times New Roman"/>
          <w:color w:val="231F20"/>
          <w:sz w:val="24"/>
          <w:szCs w:val="24"/>
        </w:rPr>
        <w:t>Society</w:t>
      </w:r>
      <w:proofErr w:type="spellEnd"/>
      <w:r w:rsidRPr="0014151A">
        <w:rPr>
          <w:rFonts w:ascii="Times New Roman" w:eastAsia="Times New Roman" w:hAnsi="Times New Roman" w:cs="Times New Roman"/>
          <w:color w:val="231F20"/>
          <w:sz w:val="24"/>
          <w:szCs w:val="24"/>
        </w:rPr>
        <w:t>, B 285: 20181926.</w:t>
      </w:r>
      <w:r w:rsidR="00D65BBA" w:rsidRPr="0014151A">
        <w:rPr>
          <w:rFonts w:ascii="Times New Roman" w:eastAsia="Times New Roman" w:hAnsi="Times New Roman" w:cs="Times New Roman"/>
          <w:color w:val="231F20"/>
          <w:sz w:val="24"/>
          <w:szCs w:val="24"/>
        </w:rPr>
        <w:t xml:space="preserve"> </w:t>
      </w:r>
    </w:p>
    <w:p w14:paraId="45950A25" w14:textId="77777777" w:rsidR="00260499" w:rsidRPr="00424CD3" w:rsidRDefault="00260499" w:rsidP="00F87589">
      <w:pPr>
        <w:numPr>
          <w:ilvl w:val="0"/>
          <w:numId w:val="31"/>
        </w:numPr>
        <w:spacing w:after="120" w:line="240" w:lineRule="auto"/>
        <w:contextualSpacing/>
        <w:jc w:val="both"/>
        <w:rPr>
          <w:rFonts w:ascii="Times New Roman" w:eastAsia="Times New Roman" w:hAnsi="Times New Roman" w:cs="Times New Roman"/>
          <w:kern w:val="2"/>
          <w:sz w:val="24"/>
          <w:szCs w:val="24"/>
          <w:lang w:eastAsia="zh-CN" w:bidi="hi-IN"/>
        </w:rPr>
      </w:pPr>
      <w:proofErr w:type="spellStart"/>
      <w:r w:rsidRPr="00424CD3">
        <w:rPr>
          <w:rFonts w:ascii="Times New Roman" w:eastAsia="Times New Roman" w:hAnsi="Times New Roman" w:cs="Times New Roman"/>
          <w:color w:val="000000"/>
          <w:kern w:val="2"/>
          <w:sz w:val="24"/>
          <w:szCs w:val="24"/>
          <w:lang w:eastAsia="ja-JP" w:bidi="hi-IN"/>
        </w:rPr>
        <w:t>Spuris</w:t>
      </w:r>
      <w:proofErr w:type="spellEnd"/>
      <w:r w:rsidRPr="00424CD3">
        <w:rPr>
          <w:rFonts w:ascii="Times New Roman" w:eastAsia="Times New Roman" w:hAnsi="Times New Roman" w:cs="Times New Roman"/>
          <w:color w:val="000000"/>
          <w:kern w:val="2"/>
          <w:sz w:val="24"/>
          <w:szCs w:val="24"/>
          <w:lang w:eastAsia="ja-JP" w:bidi="hi-IN"/>
        </w:rPr>
        <w:t xml:space="preserve"> Z. (</w:t>
      </w:r>
      <w:proofErr w:type="spellStart"/>
      <w:r w:rsidRPr="00424CD3">
        <w:rPr>
          <w:rFonts w:ascii="Times New Roman" w:eastAsia="Times New Roman" w:hAnsi="Times New Roman" w:cs="Times New Roman"/>
          <w:color w:val="000000"/>
          <w:kern w:val="2"/>
          <w:sz w:val="24"/>
          <w:szCs w:val="24"/>
          <w:lang w:eastAsia="ja-JP" w:bidi="hi-IN"/>
        </w:rPr>
        <w:t>red</w:t>
      </w:r>
      <w:proofErr w:type="spellEnd"/>
      <w:r w:rsidRPr="00424CD3">
        <w:rPr>
          <w:rFonts w:ascii="Times New Roman" w:eastAsia="Times New Roman" w:hAnsi="Times New Roman" w:cs="Times New Roman"/>
          <w:color w:val="000000"/>
          <w:kern w:val="2"/>
          <w:sz w:val="24"/>
          <w:szCs w:val="24"/>
          <w:lang w:eastAsia="ja-JP" w:bidi="hi-IN"/>
        </w:rPr>
        <w:t>.) 1998. Bezmugurkaulnieki. Latvijas Sarkanā grāmata, 4. sēj., Rīga, 388 lpp.</w:t>
      </w:r>
    </w:p>
    <w:p w14:paraId="276328B9" w14:textId="40540FA6" w:rsidR="000262BF" w:rsidRPr="00424CD3" w:rsidRDefault="000262BF" w:rsidP="00F87589">
      <w:pPr>
        <w:numPr>
          <w:ilvl w:val="0"/>
          <w:numId w:val="31"/>
        </w:numPr>
        <w:spacing w:after="120" w:line="240" w:lineRule="auto"/>
        <w:contextualSpacing/>
        <w:jc w:val="both"/>
        <w:rPr>
          <w:rFonts w:ascii="Times New Roman" w:eastAsia="Times New Roman" w:hAnsi="Times New Roman" w:cs="Times New Roman"/>
          <w:kern w:val="2"/>
          <w:sz w:val="24"/>
          <w:szCs w:val="24"/>
          <w:lang w:eastAsia="zh-CN" w:bidi="hi-IN"/>
        </w:rPr>
      </w:pPr>
      <w:r w:rsidRPr="00424CD3">
        <w:rPr>
          <w:rFonts w:ascii="Times New Roman" w:eastAsia="Times New Roman" w:hAnsi="Times New Roman" w:cs="Times New Roman"/>
          <w:color w:val="000000"/>
          <w:kern w:val="2"/>
          <w:sz w:val="24"/>
          <w:szCs w:val="24"/>
          <w:lang w:eastAsia="ja-JP" w:bidi="hi-IN"/>
        </w:rPr>
        <w:t>Stratēģiskais ietekmes uz vidi novērtējums</w:t>
      </w:r>
      <w:r w:rsidR="001B7EC8" w:rsidRPr="00424CD3">
        <w:rPr>
          <w:rFonts w:ascii="Times New Roman" w:eastAsia="Times New Roman" w:hAnsi="Times New Roman" w:cs="Times New Roman"/>
          <w:color w:val="000000"/>
          <w:kern w:val="2"/>
          <w:sz w:val="24"/>
          <w:szCs w:val="24"/>
          <w:lang w:eastAsia="ja-JP" w:bidi="hi-IN"/>
        </w:rPr>
        <w:t xml:space="preserve"> Krāslavas novada teritorijas plānojumam 2013.-2024. gadam</w:t>
      </w:r>
      <w:r w:rsidR="00AD5090" w:rsidRPr="00424CD3">
        <w:rPr>
          <w:rFonts w:ascii="Times New Roman" w:eastAsia="Times New Roman" w:hAnsi="Times New Roman" w:cs="Times New Roman"/>
          <w:color w:val="000000"/>
          <w:kern w:val="2"/>
          <w:sz w:val="24"/>
          <w:szCs w:val="24"/>
          <w:lang w:eastAsia="ja-JP" w:bidi="hi-IN"/>
        </w:rPr>
        <w:t>. 54 lpp.</w:t>
      </w:r>
    </w:p>
    <w:p w14:paraId="16C2B485" w14:textId="7FD8E7F7" w:rsidR="00F2117E" w:rsidRDefault="00F2117E" w:rsidP="00F87589">
      <w:pPr>
        <w:numPr>
          <w:ilvl w:val="0"/>
          <w:numId w:val="31"/>
        </w:numPr>
        <w:spacing w:after="120" w:line="240" w:lineRule="auto"/>
        <w:contextualSpacing/>
        <w:jc w:val="both"/>
        <w:rPr>
          <w:rFonts w:ascii="Times New Roman" w:eastAsia="Times New Roman" w:hAnsi="Times New Roman" w:cs="Times New Roman"/>
          <w:kern w:val="2"/>
          <w:sz w:val="24"/>
          <w:szCs w:val="24"/>
          <w:lang w:eastAsia="zh-CN" w:bidi="hi-IN"/>
        </w:rPr>
      </w:pPr>
      <w:r w:rsidRPr="00424CD3">
        <w:rPr>
          <w:rFonts w:ascii="Times New Roman" w:eastAsia="Times New Roman" w:hAnsi="Times New Roman" w:cs="Times New Roman"/>
          <w:kern w:val="2"/>
          <w:sz w:val="24"/>
          <w:szCs w:val="24"/>
          <w:lang w:eastAsia="zh-CN" w:bidi="hi-IN"/>
        </w:rPr>
        <w:t xml:space="preserve">Strazds M., </w:t>
      </w:r>
      <w:proofErr w:type="spellStart"/>
      <w:r w:rsidRPr="00424CD3">
        <w:rPr>
          <w:rFonts w:ascii="Times New Roman" w:eastAsia="Times New Roman" w:hAnsi="Times New Roman" w:cs="Times New Roman"/>
          <w:kern w:val="2"/>
          <w:sz w:val="24"/>
          <w:szCs w:val="24"/>
          <w:lang w:eastAsia="zh-CN" w:bidi="hi-IN"/>
        </w:rPr>
        <w:t>Ķerus</w:t>
      </w:r>
      <w:proofErr w:type="spellEnd"/>
      <w:r w:rsidRPr="00424CD3">
        <w:rPr>
          <w:rFonts w:ascii="Times New Roman" w:eastAsia="Times New Roman" w:hAnsi="Times New Roman" w:cs="Times New Roman"/>
          <w:kern w:val="2"/>
          <w:sz w:val="24"/>
          <w:szCs w:val="24"/>
          <w:lang w:eastAsia="zh-CN" w:bidi="hi-IN"/>
        </w:rPr>
        <w:t xml:space="preserve"> V. 2017. Mežirbes </w:t>
      </w:r>
      <w:r w:rsidRPr="00424CD3">
        <w:rPr>
          <w:rFonts w:ascii="Times New Roman" w:eastAsia="Times New Roman" w:hAnsi="Times New Roman" w:cs="Times New Roman"/>
          <w:i/>
          <w:iCs/>
          <w:kern w:val="2"/>
          <w:sz w:val="24"/>
          <w:szCs w:val="24"/>
          <w:lang w:eastAsia="zh-CN" w:bidi="hi-IN"/>
        </w:rPr>
        <w:t>(</w:t>
      </w:r>
      <w:proofErr w:type="spellStart"/>
      <w:r w:rsidRPr="00424CD3">
        <w:rPr>
          <w:rFonts w:ascii="Times New Roman" w:eastAsia="Times New Roman" w:hAnsi="Times New Roman" w:cs="Times New Roman"/>
          <w:i/>
          <w:iCs/>
          <w:kern w:val="2"/>
          <w:sz w:val="24"/>
          <w:szCs w:val="24"/>
          <w:lang w:eastAsia="zh-CN" w:bidi="hi-IN"/>
        </w:rPr>
        <w:t>Bonasa</w:t>
      </w:r>
      <w:proofErr w:type="spellEnd"/>
      <w:r w:rsidRPr="00424CD3">
        <w:rPr>
          <w:rFonts w:ascii="Times New Roman" w:eastAsia="Times New Roman" w:hAnsi="Times New Roman" w:cs="Times New Roman"/>
          <w:i/>
          <w:iCs/>
          <w:kern w:val="2"/>
          <w:sz w:val="24"/>
          <w:szCs w:val="24"/>
          <w:lang w:eastAsia="zh-CN" w:bidi="hi-IN"/>
        </w:rPr>
        <w:t xml:space="preserve"> </w:t>
      </w:r>
      <w:proofErr w:type="spellStart"/>
      <w:r w:rsidRPr="00424CD3">
        <w:rPr>
          <w:rFonts w:ascii="Times New Roman" w:eastAsia="Times New Roman" w:hAnsi="Times New Roman" w:cs="Times New Roman"/>
          <w:i/>
          <w:iCs/>
          <w:kern w:val="2"/>
          <w:sz w:val="24"/>
          <w:szCs w:val="24"/>
          <w:lang w:eastAsia="zh-CN" w:bidi="hi-IN"/>
        </w:rPr>
        <w:t>bonasia</w:t>
      </w:r>
      <w:proofErr w:type="spellEnd"/>
      <w:r w:rsidRPr="00424CD3">
        <w:rPr>
          <w:rFonts w:ascii="Times New Roman" w:eastAsia="Times New Roman" w:hAnsi="Times New Roman" w:cs="Times New Roman"/>
          <w:i/>
          <w:iCs/>
          <w:kern w:val="2"/>
          <w:sz w:val="24"/>
          <w:szCs w:val="24"/>
          <w:lang w:eastAsia="zh-CN" w:bidi="hi-IN"/>
        </w:rPr>
        <w:t xml:space="preserve">) </w:t>
      </w:r>
      <w:r w:rsidRPr="00424CD3">
        <w:rPr>
          <w:rFonts w:ascii="Times New Roman" w:eastAsia="Times New Roman" w:hAnsi="Times New Roman" w:cs="Times New Roman"/>
          <w:kern w:val="2"/>
          <w:sz w:val="24"/>
          <w:szCs w:val="24"/>
          <w:lang w:eastAsia="zh-CN" w:bidi="hi-IN"/>
        </w:rPr>
        <w:t>sugas aizsardzības plāns 2017.-2026.</w:t>
      </w:r>
      <w:r w:rsidRPr="00424CD3">
        <w:rPr>
          <w:rFonts w:ascii="TimesNewRoman" w:hAnsi="TimesNewRoman" w:cs="TimesNewRoman"/>
          <w:sz w:val="24"/>
          <w:szCs w:val="24"/>
        </w:rPr>
        <w:t xml:space="preserve"> </w:t>
      </w:r>
      <w:r w:rsidRPr="00424CD3">
        <w:rPr>
          <w:rFonts w:ascii="Times New Roman" w:eastAsia="Times New Roman" w:hAnsi="Times New Roman" w:cs="Times New Roman"/>
          <w:kern w:val="2"/>
          <w:sz w:val="24"/>
          <w:szCs w:val="24"/>
          <w:lang w:eastAsia="zh-CN" w:bidi="hi-IN"/>
        </w:rPr>
        <w:t>gadam. Latvijas Ornitoloģijas biedrība, Rīga.</w:t>
      </w:r>
    </w:p>
    <w:p w14:paraId="3980664E" w14:textId="5BD05315" w:rsidR="005C6BFA" w:rsidRPr="00424CD3" w:rsidRDefault="005C6BFA" w:rsidP="00F87589">
      <w:pPr>
        <w:numPr>
          <w:ilvl w:val="0"/>
          <w:numId w:val="31"/>
        </w:numPr>
        <w:spacing w:after="120" w:line="240" w:lineRule="auto"/>
        <w:contextualSpacing/>
        <w:jc w:val="both"/>
        <w:rPr>
          <w:rFonts w:ascii="Times New Roman" w:eastAsia="Times New Roman" w:hAnsi="Times New Roman" w:cs="Times New Roman"/>
          <w:kern w:val="2"/>
          <w:sz w:val="24"/>
          <w:szCs w:val="24"/>
          <w:lang w:eastAsia="zh-CN" w:bidi="hi-IN"/>
        </w:rPr>
      </w:pPr>
      <w:r w:rsidRPr="005C6BFA">
        <w:rPr>
          <w:rFonts w:ascii="Times New Roman" w:eastAsia="Times New Roman" w:hAnsi="Times New Roman" w:cs="Times New Roman"/>
          <w:kern w:val="2"/>
          <w:sz w:val="24"/>
          <w:szCs w:val="24"/>
          <w:lang w:val="en-US" w:eastAsia="zh-CN" w:bidi="hi-IN"/>
        </w:rPr>
        <w:t>Strausz M., Fiedler K., Franzén M. et al.</w:t>
      </w:r>
      <w:r>
        <w:rPr>
          <w:rFonts w:ascii="Times New Roman" w:eastAsia="Times New Roman" w:hAnsi="Times New Roman" w:cs="Times New Roman"/>
          <w:kern w:val="2"/>
          <w:sz w:val="24"/>
          <w:szCs w:val="24"/>
          <w:lang w:val="en-US" w:eastAsia="zh-CN" w:bidi="hi-IN"/>
        </w:rPr>
        <w:t xml:space="preserve"> </w:t>
      </w:r>
      <w:r w:rsidR="00233167">
        <w:rPr>
          <w:rFonts w:ascii="Times New Roman" w:eastAsia="Times New Roman" w:hAnsi="Times New Roman" w:cs="Times New Roman"/>
          <w:kern w:val="2"/>
          <w:sz w:val="24"/>
          <w:szCs w:val="24"/>
          <w:lang w:val="en-US" w:eastAsia="zh-CN" w:bidi="hi-IN"/>
        </w:rPr>
        <w:t>2012.</w:t>
      </w:r>
      <w:r w:rsidRPr="005C6BFA">
        <w:rPr>
          <w:rFonts w:ascii="Times New Roman" w:eastAsia="Times New Roman" w:hAnsi="Times New Roman" w:cs="Times New Roman"/>
          <w:kern w:val="2"/>
          <w:sz w:val="24"/>
          <w:szCs w:val="24"/>
          <w:lang w:val="en-US" w:eastAsia="zh-CN" w:bidi="hi-IN"/>
        </w:rPr>
        <w:t xml:space="preserve"> Habitat and host plant use of the Large Copper Butterfly Lycaena dispar in an urban environment. J Insect </w:t>
      </w:r>
      <w:proofErr w:type="spellStart"/>
      <w:r w:rsidRPr="005C6BFA">
        <w:rPr>
          <w:rFonts w:ascii="Times New Roman" w:eastAsia="Times New Roman" w:hAnsi="Times New Roman" w:cs="Times New Roman"/>
          <w:kern w:val="2"/>
          <w:sz w:val="24"/>
          <w:szCs w:val="24"/>
          <w:lang w:val="en-US" w:eastAsia="zh-CN" w:bidi="hi-IN"/>
        </w:rPr>
        <w:t>Conserv</w:t>
      </w:r>
      <w:proofErr w:type="spellEnd"/>
      <w:r w:rsidRPr="005C6BFA">
        <w:rPr>
          <w:rFonts w:ascii="Times New Roman" w:eastAsia="Times New Roman" w:hAnsi="Times New Roman" w:cs="Times New Roman"/>
          <w:kern w:val="2"/>
          <w:sz w:val="24"/>
          <w:szCs w:val="24"/>
          <w:lang w:val="en-US" w:eastAsia="zh-CN" w:bidi="hi-IN"/>
        </w:rPr>
        <w:t xml:space="preserve"> 16, 709–721. </w:t>
      </w:r>
      <w:hyperlink r:id="rId213" w:history="1">
        <w:r w:rsidR="005F10FA" w:rsidRPr="001A4E6D">
          <w:rPr>
            <w:rStyle w:val="Hyperlink"/>
            <w:rFonts w:ascii="Times New Roman" w:eastAsia="Times New Roman" w:hAnsi="Times New Roman" w:cs="Times New Roman"/>
            <w:kern w:val="2"/>
            <w:sz w:val="24"/>
            <w:szCs w:val="24"/>
            <w:lang w:val="en-US" w:eastAsia="zh-CN" w:bidi="hi-IN"/>
          </w:rPr>
          <w:t>https://doi.org/10.1007/s10841-012-9456-5</w:t>
        </w:r>
      </w:hyperlink>
      <w:r w:rsidR="005F10FA">
        <w:rPr>
          <w:rFonts w:ascii="Times New Roman" w:eastAsia="Times New Roman" w:hAnsi="Times New Roman" w:cs="Times New Roman"/>
          <w:kern w:val="2"/>
          <w:sz w:val="24"/>
          <w:szCs w:val="24"/>
          <w:lang w:val="en-US" w:eastAsia="zh-CN" w:bidi="hi-IN"/>
        </w:rPr>
        <w:t xml:space="preserve">. </w:t>
      </w:r>
    </w:p>
    <w:p w14:paraId="5EC92685" w14:textId="57CC2D9A" w:rsidR="00392BE6" w:rsidRPr="00424CD3" w:rsidRDefault="00392BE6" w:rsidP="00F87589">
      <w:pPr>
        <w:numPr>
          <w:ilvl w:val="0"/>
          <w:numId w:val="31"/>
        </w:numPr>
        <w:spacing w:after="120" w:line="240" w:lineRule="auto"/>
        <w:contextualSpacing/>
        <w:jc w:val="both"/>
        <w:rPr>
          <w:rFonts w:ascii="Times New Roman" w:eastAsia="Times New Roman" w:hAnsi="Times New Roman" w:cs="Times New Roman"/>
          <w:kern w:val="2"/>
          <w:sz w:val="24"/>
          <w:szCs w:val="24"/>
          <w:lang w:eastAsia="zh-CN" w:bidi="hi-IN"/>
        </w:rPr>
      </w:pPr>
      <w:proofErr w:type="spellStart"/>
      <w:r w:rsidRPr="00424CD3">
        <w:rPr>
          <w:rFonts w:ascii="Times New Roman" w:eastAsia="Times New Roman" w:hAnsi="Times New Roman" w:cs="Times New Roman"/>
          <w:kern w:val="2"/>
          <w:sz w:val="24"/>
          <w:szCs w:val="24"/>
          <w:lang w:eastAsia="zh-CN" w:bidi="hi-IN"/>
        </w:rPr>
        <w:t>Strom</w:t>
      </w:r>
      <w:proofErr w:type="spellEnd"/>
      <w:r w:rsidRPr="00424CD3">
        <w:rPr>
          <w:rFonts w:ascii="Times New Roman" w:eastAsia="Times New Roman" w:hAnsi="Times New Roman" w:cs="Times New Roman"/>
          <w:kern w:val="2"/>
          <w:sz w:val="24"/>
          <w:szCs w:val="24"/>
          <w:lang w:eastAsia="zh-CN" w:bidi="hi-IN"/>
        </w:rPr>
        <w:t xml:space="preserve"> H., </w:t>
      </w:r>
      <w:proofErr w:type="spellStart"/>
      <w:r w:rsidRPr="00424CD3">
        <w:rPr>
          <w:rFonts w:ascii="Times New Roman" w:eastAsia="Times New Roman" w:hAnsi="Times New Roman" w:cs="Times New Roman"/>
          <w:kern w:val="2"/>
          <w:sz w:val="24"/>
          <w:szCs w:val="24"/>
          <w:lang w:eastAsia="zh-CN" w:bidi="hi-IN"/>
        </w:rPr>
        <w:t>Sonerud</w:t>
      </w:r>
      <w:proofErr w:type="spellEnd"/>
      <w:r w:rsidRPr="00424CD3">
        <w:rPr>
          <w:rFonts w:ascii="Times New Roman" w:eastAsia="Times New Roman" w:hAnsi="Times New Roman" w:cs="Times New Roman"/>
          <w:kern w:val="2"/>
          <w:sz w:val="24"/>
          <w:szCs w:val="24"/>
          <w:lang w:eastAsia="zh-CN" w:bidi="hi-IN"/>
        </w:rPr>
        <w:t xml:space="preserve"> G. A. 2001. Home </w:t>
      </w:r>
      <w:proofErr w:type="spellStart"/>
      <w:r w:rsidRPr="00424CD3">
        <w:rPr>
          <w:rFonts w:ascii="Times New Roman" w:eastAsia="Times New Roman" w:hAnsi="Times New Roman" w:cs="Times New Roman"/>
          <w:kern w:val="2"/>
          <w:sz w:val="24"/>
          <w:szCs w:val="24"/>
          <w:lang w:eastAsia="zh-CN" w:bidi="hi-IN"/>
        </w:rPr>
        <w:t>range</w:t>
      </w:r>
      <w:proofErr w:type="spellEnd"/>
      <w:r w:rsidRPr="00424CD3">
        <w:rPr>
          <w:rFonts w:ascii="Times New Roman" w:eastAsia="Times New Roman" w:hAnsi="Times New Roman" w:cs="Times New Roman"/>
          <w:kern w:val="2"/>
          <w:sz w:val="24"/>
          <w:szCs w:val="24"/>
          <w:lang w:eastAsia="zh-CN" w:bidi="hi-IN"/>
        </w:rPr>
        <w:t xml:space="preserve"> </w:t>
      </w:r>
      <w:proofErr w:type="spellStart"/>
      <w:r w:rsidRPr="00424CD3">
        <w:rPr>
          <w:rFonts w:ascii="Times New Roman" w:eastAsia="Times New Roman" w:hAnsi="Times New Roman" w:cs="Times New Roman"/>
          <w:kern w:val="2"/>
          <w:sz w:val="24"/>
          <w:szCs w:val="24"/>
          <w:lang w:eastAsia="zh-CN" w:bidi="hi-IN"/>
        </w:rPr>
        <w:t>size</w:t>
      </w:r>
      <w:proofErr w:type="spellEnd"/>
      <w:r w:rsidRPr="00424CD3">
        <w:rPr>
          <w:rFonts w:ascii="Times New Roman" w:eastAsia="Times New Roman" w:hAnsi="Times New Roman" w:cs="Times New Roman"/>
          <w:kern w:val="2"/>
          <w:sz w:val="24"/>
          <w:szCs w:val="24"/>
          <w:lang w:eastAsia="zh-CN" w:bidi="hi-IN"/>
        </w:rPr>
        <w:t xml:space="preserve"> </w:t>
      </w:r>
      <w:proofErr w:type="spellStart"/>
      <w:r w:rsidRPr="00424CD3">
        <w:rPr>
          <w:rFonts w:ascii="Times New Roman" w:eastAsia="Times New Roman" w:hAnsi="Times New Roman" w:cs="Times New Roman"/>
          <w:kern w:val="2"/>
          <w:sz w:val="24"/>
          <w:szCs w:val="24"/>
          <w:lang w:eastAsia="zh-CN" w:bidi="hi-IN"/>
        </w:rPr>
        <w:t>and</w:t>
      </w:r>
      <w:proofErr w:type="spellEnd"/>
      <w:r w:rsidRPr="00424CD3">
        <w:rPr>
          <w:rFonts w:ascii="Times New Roman" w:eastAsia="Times New Roman" w:hAnsi="Times New Roman" w:cs="Times New Roman"/>
          <w:kern w:val="2"/>
          <w:sz w:val="24"/>
          <w:szCs w:val="24"/>
          <w:lang w:eastAsia="zh-CN" w:bidi="hi-IN"/>
        </w:rPr>
        <w:t xml:space="preserve"> </w:t>
      </w:r>
      <w:proofErr w:type="spellStart"/>
      <w:r w:rsidRPr="00424CD3">
        <w:rPr>
          <w:rFonts w:ascii="Times New Roman" w:eastAsia="Times New Roman" w:hAnsi="Times New Roman" w:cs="Times New Roman"/>
          <w:kern w:val="2"/>
          <w:sz w:val="24"/>
          <w:szCs w:val="24"/>
          <w:lang w:eastAsia="zh-CN" w:bidi="hi-IN"/>
        </w:rPr>
        <w:t>habitat</w:t>
      </w:r>
      <w:proofErr w:type="spellEnd"/>
      <w:r w:rsidRPr="00424CD3">
        <w:rPr>
          <w:rFonts w:ascii="Times New Roman" w:eastAsia="Times New Roman" w:hAnsi="Times New Roman" w:cs="Times New Roman"/>
          <w:kern w:val="2"/>
          <w:sz w:val="24"/>
          <w:szCs w:val="24"/>
          <w:lang w:eastAsia="zh-CN" w:bidi="hi-IN"/>
        </w:rPr>
        <w:t xml:space="preserve"> </w:t>
      </w:r>
      <w:proofErr w:type="spellStart"/>
      <w:r w:rsidRPr="00424CD3">
        <w:rPr>
          <w:rFonts w:ascii="Times New Roman" w:eastAsia="Times New Roman" w:hAnsi="Times New Roman" w:cs="Times New Roman"/>
          <w:kern w:val="2"/>
          <w:sz w:val="24"/>
          <w:szCs w:val="24"/>
          <w:lang w:eastAsia="zh-CN" w:bidi="hi-IN"/>
        </w:rPr>
        <w:t>selection</w:t>
      </w:r>
      <w:proofErr w:type="spellEnd"/>
      <w:r w:rsidRPr="00424CD3">
        <w:rPr>
          <w:rFonts w:ascii="Times New Roman" w:eastAsia="Times New Roman" w:hAnsi="Times New Roman" w:cs="Times New Roman"/>
          <w:kern w:val="2"/>
          <w:sz w:val="24"/>
          <w:szCs w:val="24"/>
          <w:lang w:eastAsia="zh-CN" w:bidi="hi-IN"/>
        </w:rPr>
        <w:t xml:space="preserve"> </w:t>
      </w:r>
      <w:proofErr w:type="spellStart"/>
      <w:r w:rsidRPr="00424CD3">
        <w:rPr>
          <w:rFonts w:ascii="Times New Roman" w:eastAsia="Times New Roman" w:hAnsi="Times New Roman" w:cs="Times New Roman"/>
          <w:kern w:val="2"/>
          <w:sz w:val="24"/>
          <w:szCs w:val="24"/>
          <w:lang w:eastAsia="zh-CN" w:bidi="hi-IN"/>
        </w:rPr>
        <w:t>in</w:t>
      </w:r>
      <w:proofErr w:type="spellEnd"/>
      <w:r w:rsidRPr="00424CD3">
        <w:rPr>
          <w:rFonts w:ascii="Times New Roman" w:eastAsia="Times New Roman" w:hAnsi="Times New Roman" w:cs="Times New Roman"/>
          <w:kern w:val="2"/>
          <w:sz w:val="24"/>
          <w:szCs w:val="24"/>
          <w:lang w:eastAsia="zh-CN" w:bidi="hi-IN"/>
        </w:rPr>
        <w:t xml:space="preserve"> </w:t>
      </w:r>
      <w:proofErr w:type="spellStart"/>
      <w:r w:rsidRPr="00424CD3">
        <w:rPr>
          <w:rFonts w:ascii="Times New Roman" w:eastAsia="Times New Roman" w:hAnsi="Times New Roman" w:cs="Times New Roman"/>
          <w:kern w:val="2"/>
          <w:sz w:val="24"/>
          <w:szCs w:val="24"/>
          <w:lang w:eastAsia="zh-CN" w:bidi="hi-IN"/>
        </w:rPr>
        <w:t>the</w:t>
      </w:r>
      <w:proofErr w:type="spellEnd"/>
      <w:r w:rsidRPr="00424CD3">
        <w:rPr>
          <w:rFonts w:ascii="Times New Roman" w:eastAsia="Times New Roman" w:hAnsi="Times New Roman" w:cs="Times New Roman"/>
          <w:kern w:val="2"/>
          <w:sz w:val="24"/>
          <w:szCs w:val="24"/>
          <w:lang w:eastAsia="zh-CN" w:bidi="hi-IN"/>
        </w:rPr>
        <w:t xml:space="preserve"> </w:t>
      </w:r>
      <w:proofErr w:type="spellStart"/>
      <w:r w:rsidRPr="00424CD3">
        <w:rPr>
          <w:rFonts w:ascii="Times New Roman" w:eastAsia="Times New Roman" w:hAnsi="Times New Roman" w:cs="Times New Roman"/>
          <w:kern w:val="2"/>
          <w:sz w:val="24"/>
          <w:szCs w:val="24"/>
          <w:lang w:eastAsia="zh-CN" w:bidi="hi-IN"/>
        </w:rPr>
        <w:t>Pygmy</w:t>
      </w:r>
      <w:proofErr w:type="spellEnd"/>
      <w:r w:rsidRPr="00424CD3">
        <w:rPr>
          <w:rFonts w:ascii="Times New Roman" w:eastAsia="Times New Roman" w:hAnsi="Times New Roman" w:cs="Times New Roman"/>
          <w:kern w:val="2"/>
          <w:sz w:val="24"/>
          <w:szCs w:val="24"/>
          <w:lang w:eastAsia="zh-CN" w:bidi="hi-IN"/>
        </w:rPr>
        <w:t xml:space="preserve"> </w:t>
      </w:r>
      <w:proofErr w:type="spellStart"/>
      <w:r w:rsidRPr="00424CD3">
        <w:rPr>
          <w:rFonts w:ascii="Times New Roman" w:eastAsia="Times New Roman" w:hAnsi="Times New Roman" w:cs="Times New Roman"/>
          <w:kern w:val="2"/>
          <w:sz w:val="24"/>
          <w:szCs w:val="24"/>
          <w:lang w:eastAsia="zh-CN" w:bidi="hi-IN"/>
        </w:rPr>
        <w:t>Owl</w:t>
      </w:r>
      <w:proofErr w:type="spellEnd"/>
      <w:r w:rsidRPr="00424CD3">
        <w:rPr>
          <w:rFonts w:ascii="TimesNewRoman" w:hAnsi="TimesNewRoman" w:cs="TimesNewRoman"/>
          <w:sz w:val="24"/>
          <w:szCs w:val="24"/>
        </w:rPr>
        <w:t xml:space="preserve"> </w:t>
      </w:r>
      <w:proofErr w:type="spellStart"/>
      <w:r w:rsidRPr="00424CD3">
        <w:rPr>
          <w:rFonts w:ascii="Times New Roman" w:eastAsia="Times New Roman" w:hAnsi="Times New Roman" w:cs="Times New Roman"/>
          <w:kern w:val="2"/>
          <w:sz w:val="24"/>
          <w:szCs w:val="24"/>
          <w:lang w:eastAsia="zh-CN" w:bidi="hi-IN"/>
        </w:rPr>
        <w:t>Glaucidium</w:t>
      </w:r>
      <w:proofErr w:type="spellEnd"/>
      <w:r w:rsidRPr="00424CD3">
        <w:rPr>
          <w:rFonts w:ascii="Times New Roman" w:eastAsia="Times New Roman" w:hAnsi="Times New Roman" w:cs="Times New Roman"/>
          <w:kern w:val="2"/>
          <w:sz w:val="24"/>
          <w:szCs w:val="24"/>
          <w:lang w:eastAsia="zh-CN" w:bidi="hi-IN"/>
        </w:rPr>
        <w:t xml:space="preserve"> </w:t>
      </w:r>
      <w:proofErr w:type="spellStart"/>
      <w:r w:rsidRPr="00424CD3">
        <w:rPr>
          <w:rFonts w:ascii="Times New Roman" w:eastAsia="Times New Roman" w:hAnsi="Times New Roman" w:cs="Times New Roman"/>
          <w:kern w:val="2"/>
          <w:sz w:val="24"/>
          <w:szCs w:val="24"/>
          <w:lang w:eastAsia="zh-CN" w:bidi="hi-IN"/>
        </w:rPr>
        <w:t>passerinum</w:t>
      </w:r>
      <w:proofErr w:type="spellEnd"/>
      <w:r w:rsidRPr="00424CD3">
        <w:rPr>
          <w:rFonts w:ascii="Times New Roman" w:eastAsia="Times New Roman" w:hAnsi="Times New Roman" w:cs="Times New Roman"/>
          <w:kern w:val="2"/>
          <w:sz w:val="24"/>
          <w:szCs w:val="24"/>
          <w:lang w:eastAsia="zh-CN" w:bidi="hi-IN"/>
        </w:rPr>
        <w:t xml:space="preserve">. </w:t>
      </w:r>
      <w:proofErr w:type="spellStart"/>
      <w:r w:rsidRPr="00424CD3">
        <w:rPr>
          <w:rFonts w:ascii="Times New Roman" w:eastAsia="Times New Roman" w:hAnsi="Times New Roman" w:cs="Times New Roman"/>
          <w:kern w:val="2"/>
          <w:sz w:val="24"/>
          <w:szCs w:val="24"/>
          <w:lang w:eastAsia="zh-CN" w:bidi="hi-IN"/>
        </w:rPr>
        <w:t>Ornis</w:t>
      </w:r>
      <w:proofErr w:type="spellEnd"/>
      <w:r w:rsidRPr="00424CD3">
        <w:rPr>
          <w:rFonts w:ascii="Times New Roman" w:eastAsia="Times New Roman" w:hAnsi="Times New Roman" w:cs="Times New Roman"/>
          <w:kern w:val="2"/>
          <w:sz w:val="24"/>
          <w:szCs w:val="24"/>
          <w:lang w:eastAsia="zh-CN" w:bidi="hi-IN"/>
        </w:rPr>
        <w:t xml:space="preserve"> </w:t>
      </w:r>
      <w:proofErr w:type="spellStart"/>
      <w:r w:rsidRPr="00424CD3">
        <w:rPr>
          <w:rFonts w:ascii="Times New Roman" w:eastAsia="Times New Roman" w:hAnsi="Times New Roman" w:cs="Times New Roman"/>
          <w:kern w:val="2"/>
          <w:sz w:val="24"/>
          <w:szCs w:val="24"/>
          <w:lang w:eastAsia="zh-CN" w:bidi="hi-IN"/>
        </w:rPr>
        <w:t>Fennica</w:t>
      </w:r>
      <w:proofErr w:type="spellEnd"/>
      <w:r w:rsidRPr="00424CD3">
        <w:rPr>
          <w:rFonts w:ascii="Times New Roman" w:eastAsia="Times New Roman" w:hAnsi="Times New Roman" w:cs="Times New Roman"/>
          <w:kern w:val="2"/>
          <w:sz w:val="24"/>
          <w:szCs w:val="24"/>
          <w:lang w:eastAsia="zh-CN" w:bidi="hi-IN"/>
        </w:rPr>
        <w:t xml:space="preserve"> 78: 145-158.</w:t>
      </w:r>
    </w:p>
    <w:p w14:paraId="01B3136C" w14:textId="481730B7" w:rsidR="00260499" w:rsidRPr="00424CD3" w:rsidRDefault="00260499" w:rsidP="00F87589">
      <w:pPr>
        <w:numPr>
          <w:ilvl w:val="0"/>
          <w:numId w:val="31"/>
        </w:numPr>
        <w:spacing w:before="120" w:after="0" w:line="240" w:lineRule="auto"/>
        <w:jc w:val="both"/>
        <w:rPr>
          <w:rFonts w:ascii="Times New Roman" w:eastAsia="Times New Roman" w:hAnsi="Times New Roman" w:cs="Times New Roman"/>
          <w:kern w:val="2"/>
          <w:sz w:val="24"/>
          <w:szCs w:val="24"/>
          <w:lang w:eastAsia="zh-CN" w:bidi="hi-IN"/>
        </w:rPr>
      </w:pPr>
      <w:proofErr w:type="spellStart"/>
      <w:r w:rsidRPr="00424CD3">
        <w:rPr>
          <w:rFonts w:ascii="Times New Roman" w:eastAsia="Times New Roman" w:hAnsi="Times New Roman" w:cs="Times New Roman"/>
          <w:color w:val="000000"/>
          <w:kern w:val="2"/>
          <w:sz w:val="24"/>
          <w:szCs w:val="24"/>
          <w:lang w:eastAsia="ja-JP" w:bidi="hi-IN"/>
        </w:rPr>
        <w:t>Suško</w:t>
      </w:r>
      <w:proofErr w:type="spellEnd"/>
      <w:r w:rsidRPr="00424CD3">
        <w:rPr>
          <w:rFonts w:ascii="Times New Roman" w:eastAsia="Times New Roman" w:hAnsi="Times New Roman" w:cs="Times New Roman"/>
          <w:color w:val="000000"/>
          <w:kern w:val="2"/>
          <w:sz w:val="24"/>
          <w:szCs w:val="24"/>
          <w:lang w:eastAsia="ja-JP" w:bidi="hi-IN"/>
        </w:rPr>
        <w:t xml:space="preserve"> U. 1991a. Mazā </w:t>
      </w:r>
      <w:proofErr w:type="spellStart"/>
      <w:r w:rsidRPr="00424CD3">
        <w:rPr>
          <w:rFonts w:ascii="Times New Roman" w:eastAsia="Times New Roman" w:hAnsi="Times New Roman" w:cs="Times New Roman"/>
          <w:color w:val="000000"/>
          <w:kern w:val="2"/>
          <w:sz w:val="24"/>
          <w:szCs w:val="24"/>
          <w:lang w:eastAsia="ja-JP" w:bidi="hi-IN"/>
        </w:rPr>
        <w:t>najāda</w:t>
      </w:r>
      <w:proofErr w:type="spellEnd"/>
      <w:r w:rsidRPr="00424CD3">
        <w:rPr>
          <w:rFonts w:ascii="Times New Roman" w:eastAsia="Times New Roman" w:hAnsi="Times New Roman" w:cs="Times New Roman"/>
          <w:color w:val="000000"/>
          <w:kern w:val="2"/>
          <w:sz w:val="24"/>
          <w:szCs w:val="24"/>
          <w:lang w:eastAsia="ja-JP" w:bidi="hi-IN"/>
        </w:rPr>
        <w:t xml:space="preserve"> </w:t>
      </w:r>
      <w:proofErr w:type="spellStart"/>
      <w:r w:rsidRPr="00424CD3">
        <w:rPr>
          <w:rFonts w:ascii="Times New Roman" w:eastAsia="Times New Roman" w:hAnsi="Times New Roman" w:cs="Times New Roman"/>
          <w:color w:val="000000"/>
          <w:kern w:val="2"/>
          <w:sz w:val="24"/>
          <w:szCs w:val="24"/>
          <w:lang w:eastAsia="ja-JP" w:bidi="hi-IN"/>
        </w:rPr>
        <w:t>Najas</w:t>
      </w:r>
      <w:proofErr w:type="spellEnd"/>
      <w:r w:rsidRPr="00424CD3">
        <w:rPr>
          <w:rFonts w:ascii="Times New Roman" w:eastAsia="Times New Roman" w:hAnsi="Times New Roman" w:cs="Times New Roman"/>
          <w:color w:val="000000"/>
          <w:kern w:val="2"/>
          <w:sz w:val="24"/>
          <w:szCs w:val="24"/>
          <w:lang w:eastAsia="ja-JP" w:bidi="hi-IN"/>
        </w:rPr>
        <w:t xml:space="preserve"> minor </w:t>
      </w:r>
      <w:proofErr w:type="spellStart"/>
      <w:r w:rsidRPr="00424CD3">
        <w:rPr>
          <w:rFonts w:ascii="Times New Roman" w:eastAsia="Times New Roman" w:hAnsi="Times New Roman" w:cs="Times New Roman"/>
          <w:color w:val="000000"/>
          <w:kern w:val="2"/>
          <w:sz w:val="24"/>
          <w:szCs w:val="24"/>
          <w:lang w:eastAsia="ja-JP" w:bidi="hi-IN"/>
        </w:rPr>
        <w:t>All</w:t>
      </w:r>
      <w:proofErr w:type="spellEnd"/>
      <w:r w:rsidRPr="00424CD3">
        <w:rPr>
          <w:rFonts w:ascii="Times New Roman" w:eastAsia="Times New Roman" w:hAnsi="Times New Roman" w:cs="Times New Roman"/>
          <w:color w:val="000000"/>
          <w:kern w:val="2"/>
          <w:sz w:val="24"/>
          <w:szCs w:val="24"/>
          <w:lang w:eastAsia="ja-JP" w:bidi="hi-IN"/>
        </w:rPr>
        <w:t>. – jauna suga Latvijas florā. Retie augi, Rīga, 6. – 9. lpp.</w:t>
      </w:r>
    </w:p>
    <w:p w14:paraId="4DFCD1E0" w14:textId="3CB4AB9B" w:rsidR="00260499" w:rsidRPr="00424CD3" w:rsidRDefault="00260499" w:rsidP="00424CD3">
      <w:pPr>
        <w:numPr>
          <w:ilvl w:val="0"/>
          <w:numId w:val="31"/>
        </w:numPr>
        <w:spacing w:after="0" w:line="240" w:lineRule="auto"/>
        <w:ind w:left="924" w:hanging="357"/>
        <w:jc w:val="both"/>
        <w:rPr>
          <w:rFonts w:ascii="Times New Roman" w:eastAsia="Times New Roman" w:hAnsi="Times New Roman" w:cs="Times New Roman"/>
          <w:kern w:val="2"/>
          <w:sz w:val="24"/>
          <w:szCs w:val="24"/>
          <w:lang w:eastAsia="zh-CN" w:bidi="hi-IN"/>
        </w:rPr>
      </w:pPr>
      <w:proofErr w:type="spellStart"/>
      <w:r w:rsidRPr="00424CD3">
        <w:rPr>
          <w:rFonts w:ascii="Times New Roman" w:eastAsia="Times New Roman" w:hAnsi="Times New Roman" w:cs="Times New Roman"/>
          <w:color w:val="000000"/>
          <w:kern w:val="2"/>
          <w:sz w:val="24"/>
          <w:szCs w:val="24"/>
          <w:lang w:eastAsia="ja-JP" w:bidi="hi-IN"/>
        </w:rPr>
        <w:t>Suško</w:t>
      </w:r>
      <w:proofErr w:type="spellEnd"/>
      <w:r w:rsidRPr="00424CD3">
        <w:rPr>
          <w:rFonts w:ascii="Times New Roman" w:eastAsia="Times New Roman" w:hAnsi="Times New Roman" w:cs="Times New Roman"/>
          <w:color w:val="000000"/>
          <w:kern w:val="2"/>
          <w:sz w:val="24"/>
          <w:szCs w:val="24"/>
          <w:lang w:eastAsia="ja-JP" w:bidi="hi-IN"/>
        </w:rPr>
        <w:t xml:space="preserve"> U. 1991b. Jaunatradumi Augšzemes ezeros. Retie augi, Rīga, 33. – 38. lpp.</w:t>
      </w:r>
    </w:p>
    <w:p w14:paraId="770C6EB1" w14:textId="7A282BF4" w:rsidR="00260499" w:rsidRPr="00424CD3" w:rsidRDefault="00260499" w:rsidP="00424CD3">
      <w:pPr>
        <w:numPr>
          <w:ilvl w:val="0"/>
          <w:numId w:val="31"/>
        </w:numPr>
        <w:spacing w:after="0" w:line="240" w:lineRule="auto"/>
        <w:ind w:left="924" w:hanging="357"/>
        <w:jc w:val="both"/>
        <w:rPr>
          <w:rFonts w:ascii="Times New Roman" w:eastAsia="Times New Roman" w:hAnsi="Times New Roman" w:cs="Times New Roman"/>
          <w:kern w:val="2"/>
          <w:sz w:val="24"/>
          <w:szCs w:val="24"/>
          <w:lang w:eastAsia="zh-CN" w:bidi="hi-IN"/>
        </w:rPr>
      </w:pPr>
      <w:proofErr w:type="spellStart"/>
      <w:r w:rsidRPr="00424CD3">
        <w:rPr>
          <w:rFonts w:ascii="Times New Roman" w:eastAsia="Times New Roman" w:hAnsi="Times New Roman" w:cs="Times New Roman"/>
          <w:color w:val="000000"/>
          <w:kern w:val="2"/>
          <w:sz w:val="24"/>
          <w:szCs w:val="24"/>
          <w:lang w:eastAsia="ja-JP" w:bidi="hi-IN"/>
        </w:rPr>
        <w:t>Suško</w:t>
      </w:r>
      <w:proofErr w:type="spellEnd"/>
      <w:r w:rsidRPr="00424CD3">
        <w:rPr>
          <w:rFonts w:ascii="Times New Roman" w:eastAsia="Times New Roman" w:hAnsi="Times New Roman" w:cs="Times New Roman"/>
          <w:color w:val="000000"/>
          <w:kern w:val="2"/>
          <w:sz w:val="24"/>
          <w:szCs w:val="24"/>
          <w:lang w:eastAsia="ja-JP" w:bidi="hi-IN"/>
        </w:rPr>
        <w:t xml:space="preserve"> U. 1993. </w:t>
      </w:r>
      <w:proofErr w:type="spellStart"/>
      <w:r w:rsidRPr="00424CD3">
        <w:rPr>
          <w:rFonts w:ascii="Times New Roman" w:eastAsia="Times New Roman" w:hAnsi="Times New Roman" w:cs="Times New Roman"/>
          <w:color w:val="000000"/>
          <w:kern w:val="2"/>
          <w:sz w:val="24"/>
          <w:szCs w:val="24"/>
          <w:lang w:eastAsia="ja-JP" w:bidi="hi-IN"/>
        </w:rPr>
        <w:t>Varnaviču</w:t>
      </w:r>
      <w:proofErr w:type="spellEnd"/>
      <w:r w:rsidRPr="00424CD3">
        <w:rPr>
          <w:rFonts w:ascii="Times New Roman" w:eastAsia="Times New Roman" w:hAnsi="Times New Roman" w:cs="Times New Roman"/>
          <w:color w:val="000000"/>
          <w:kern w:val="2"/>
          <w:sz w:val="24"/>
          <w:szCs w:val="24"/>
          <w:lang w:eastAsia="ja-JP" w:bidi="hi-IN"/>
        </w:rPr>
        <w:t xml:space="preserve"> </w:t>
      </w:r>
      <w:proofErr w:type="spellStart"/>
      <w:r w:rsidRPr="00424CD3">
        <w:rPr>
          <w:rFonts w:ascii="Times New Roman" w:eastAsia="Times New Roman" w:hAnsi="Times New Roman" w:cs="Times New Roman"/>
          <w:color w:val="000000"/>
          <w:kern w:val="2"/>
          <w:sz w:val="24"/>
          <w:szCs w:val="24"/>
          <w:lang w:eastAsia="ja-JP" w:bidi="hi-IN"/>
        </w:rPr>
        <w:t>ezeraines</w:t>
      </w:r>
      <w:proofErr w:type="spellEnd"/>
      <w:r w:rsidRPr="00424CD3">
        <w:rPr>
          <w:rFonts w:ascii="Times New Roman" w:eastAsia="Times New Roman" w:hAnsi="Times New Roman" w:cs="Times New Roman"/>
          <w:color w:val="000000"/>
          <w:kern w:val="2"/>
          <w:sz w:val="24"/>
          <w:szCs w:val="24"/>
          <w:lang w:eastAsia="ja-JP" w:bidi="hi-IN"/>
        </w:rPr>
        <w:t xml:space="preserve"> </w:t>
      </w:r>
      <w:proofErr w:type="spellStart"/>
      <w:r w:rsidRPr="00424CD3">
        <w:rPr>
          <w:rFonts w:ascii="Times New Roman" w:eastAsia="Times New Roman" w:hAnsi="Times New Roman" w:cs="Times New Roman"/>
          <w:color w:val="000000"/>
          <w:kern w:val="2"/>
          <w:sz w:val="24"/>
          <w:szCs w:val="24"/>
          <w:lang w:eastAsia="ja-JP" w:bidi="hi-IN"/>
        </w:rPr>
        <w:t>morfometrija</w:t>
      </w:r>
      <w:proofErr w:type="spellEnd"/>
      <w:r w:rsidRPr="00424CD3">
        <w:rPr>
          <w:rFonts w:ascii="Times New Roman" w:eastAsia="Times New Roman" w:hAnsi="Times New Roman" w:cs="Times New Roman"/>
          <w:color w:val="000000"/>
          <w:kern w:val="2"/>
          <w:sz w:val="24"/>
          <w:szCs w:val="24"/>
          <w:lang w:eastAsia="ja-JP" w:bidi="hi-IN"/>
        </w:rPr>
        <w:t xml:space="preserve">. DPU Dabas aizsardzības </w:t>
      </w:r>
      <w:proofErr w:type="spellStart"/>
      <w:r w:rsidRPr="00424CD3">
        <w:rPr>
          <w:rFonts w:ascii="Times New Roman" w:eastAsia="Times New Roman" w:hAnsi="Times New Roman" w:cs="Times New Roman"/>
          <w:color w:val="000000"/>
          <w:kern w:val="2"/>
          <w:sz w:val="24"/>
          <w:szCs w:val="24"/>
          <w:lang w:eastAsia="ja-JP" w:bidi="hi-IN"/>
        </w:rPr>
        <w:t>Inf</w:t>
      </w:r>
      <w:proofErr w:type="spellEnd"/>
      <w:r w:rsidRPr="00424CD3">
        <w:rPr>
          <w:rFonts w:ascii="Times New Roman" w:eastAsia="Times New Roman" w:hAnsi="Times New Roman" w:cs="Times New Roman"/>
          <w:color w:val="000000"/>
          <w:kern w:val="2"/>
          <w:sz w:val="24"/>
          <w:szCs w:val="24"/>
          <w:lang w:eastAsia="ja-JP" w:bidi="hi-IN"/>
        </w:rPr>
        <w:t xml:space="preserve">. </w:t>
      </w:r>
      <w:proofErr w:type="spellStart"/>
      <w:r w:rsidRPr="00424CD3">
        <w:rPr>
          <w:rFonts w:ascii="Times New Roman" w:eastAsia="Times New Roman" w:hAnsi="Times New Roman" w:cs="Times New Roman"/>
          <w:color w:val="000000"/>
          <w:kern w:val="2"/>
          <w:sz w:val="24"/>
          <w:szCs w:val="24"/>
          <w:lang w:eastAsia="ja-JP" w:bidi="hi-IN"/>
        </w:rPr>
        <w:t>Biļ</w:t>
      </w:r>
      <w:proofErr w:type="spellEnd"/>
      <w:r w:rsidRPr="00424CD3">
        <w:rPr>
          <w:rFonts w:ascii="Times New Roman" w:eastAsia="Times New Roman" w:hAnsi="Times New Roman" w:cs="Times New Roman"/>
          <w:color w:val="000000"/>
          <w:kern w:val="2"/>
          <w:sz w:val="24"/>
          <w:szCs w:val="24"/>
          <w:lang w:eastAsia="ja-JP" w:bidi="hi-IN"/>
        </w:rPr>
        <w:t>., Daugavpils, 5: 14. – 16. lpp.</w:t>
      </w:r>
    </w:p>
    <w:p w14:paraId="32FF77DC" w14:textId="722B16E4" w:rsidR="00260499" w:rsidRPr="00424CD3" w:rsidRDefault="00260499" w:rsidP="00424CD3">
      <w:pPr>
        <w:numPr>
          <w:ilvl w:val="0"/>
          <w:numId w:val="31"/>
        </w:numPr>
        <w:spacing w:after="0" w:line="240" w:lineRule="auto"/>
        <w:ind w:left="924" w:hanging="357"/>
        <w:jc w:val="both"/>
        <w:rPr>
          <w:rFonts w:ascii="Times New Roman" w:eastAsia="Times New Roman" w:hAnsi="Times New Roman" w:cs="Times New Roman"/>
          <w:kern w:val="2"/>
          <w:sz w:val="24"/>
          <w:szCs w:val="24"/>
          <w:lang w:eastAsia="zh-CN" w:bidi="hi-IN"/>
        </w:rPr>
      </w:pPr>
      <w:proofErr w:type="spellStart"/>
      <w:r w:rsidRPr="00424CD3">
        <w:rPr>
          <w:rFonts w:ascii="Times New Roman" w:eastAsia="Times New Roman" w:hAnsi="Times New Roman" w:cs="Times New Roman"/>
          <w:color w:val="000000"/>
          <w:kern w:val="2"/>
          <w:sz w:val="24"/>
          <w:szCs w:val="24"/>
          <w:lang w:eastAsia="ja-JP" w:bidi="hi-IN"/>
        </w:rPr>
        <w:t>Suško</w:t>
      </w:r>
      <w:proofErr w:type="spellEnd"/>
      <w:r w:rsidRPr="00424CD3">
        <w:rPr>
          <w:rFonts w:ascii="Times New Roman" w:eastAsia="Times New Roman" w:hAnsi="Times New Roman" w:cs="Times New Roman"/>
          <w:color w:val="000000"/>
          <w:kern w:val="2"/>
          <w:sz w:val="24"/>
          <w:szCs w:val="24"/>
          <w:lang w:eastAsia="ja-JP" w:bidi="hi-IN"/>
        </w:rPr>
        <w:t xml:space="preserve">, U. 1994. Jaunas ziņas par Ilūkstes </w:t>
      </w:r>
      <w:proofErr w:type="spellStart"/>
      <w:r w:rsidRPr="00424CD3">
        <w:rPr>
          <w:rFonts w:ascii="Times New Roman" w:eastAsia="Times New Roman" w:hAnsi="Times New Roman" w:cs="Times New Roman"/>
          <w:color w:val="000000"/>
          <w:kern w:val="2"/>
          <w:sz w:val="24"/>
          <w:szCs w:val="24"/>
          <w:lang w:eastAsia="ja-JP" w:bidi="hi-IN"/>
        </w:rPr>
        <w:t>lielezeraines</w:t>
      </w:r>
      <w:proofErr w:type="spellEnd"/>
      <w:r w:rsidRPr="00424CD3">
        <w:rPr>
          <w:rFonts w:ascii="Times New Roman" w:eastAsia="Times New Roman" w:hAnsi="Times New Roman" w:cs="Times New Roman"/>
          <w:color w:val="000000"/>
          <w:kern w:val="2"/>
          <w:sz w:val="24"/>
          <w:szCs w:val="24"/>
          <w:lang w:eastAsia="ja-JP" w:bidi="hi-IN"/>
        </w:rPr>
        <w:t xml:space="preserve"> un citu Latvijas apgabalu reto un aizsargājamo augu atradnēm. Daba un Muzejs, Rīga, 5: 36. – 42. lpp.</w:t>
      </w:r>
    </w:p>
    <w:p w14:paraId="0DA5FAA2" w14:textId="7A1A0E5A" w:rsidR="00260499" w:rsidRPr="00424CD3" w:rsidRDefault="00260499" w:rsidP="00424CD3">
      <w:pPr>
        <w:numPr>
          <w:ilvl w:val="0"/>
          <w:numId w:val="31"/>
        </w:numPr>
        <w:spacing w:after="0" w:line="240" w:lineRule="auto"/>
        <w:ind w:left="924" w:hanging="357"/>
        <w:jc w:val="both"/>
        <w:rPr>
          <w:rFonts w:ascii="Times New Roman" w:eastAsia="Times New Roman" w:hAnsi="Times New Roman" w:cs="Times New Roman"/>
          <w:kern w:val="2"/>
          <w:sz w:val="24"/>
          <w:szCs w:val="24"/>
          <w:lang w:eastAsia="zh-CN" w:bidi="hi-IN"/>
        </w:rPr>
      </w:pPr>
      <w:proofErr w:type="spellStart"/>
      <w:r w:rsidRPr="00424CD3">
        <w:rPr>
          <w:rFonts w:ascii="Times New Roman" w:eastAsia="Times New Roman" w:hAnsi="Times New Roman" w:cs="Times New Roman"/>
          <w:color w:val="000000"/>
          <w:kern w:val="2"/>
          <w:sz w:val="24"/>
          <w:szCs w:val="24"/>
          <w:lang w:eastAsia="ja-JP" w:bidi="hi-IN"/>
        </w:rPr>
        <w:t>Suško</w:t>
      </w:r>
      <w:proofErr w:type="spellEnd"/>
      <w:r w:rsidRPr="00424CD3">
        <w:rPr>
          <w:rFonts w:ascii="Times New Roman" w:eastAsia="Times New Roman" w:hAnsi="Times New Roman" w:cs="Times New Roman"/>
          <w:color w:val="000000"/>
          <w:kern w:val="2"/>
          <w:sz w:val="24"/>
          <w:szCs w:val="24"/>
          <w:lang w:eastAsia="ja-JP" w:bidi="hi-IN"/>
        </w:rPr>
        <w:t xml:space="preserve"> U. 1995. Ilūkstes </w:t>
      </w:r>
      <w:proofErr w:type="spellStart"/>
      <w:r w:rsidRPr="00424CD3">
        <w:rPr>
          <w:rFonts w:ascii="Times New Roman" w:eastAsia="Times New Roman" w:hAnsi="Times New Roman" w:cs="Times New Roman"/>
          <w:color w:val="000000"/>
          <w:kern w:val="2"/>
          <w:sz w:val="24"/>
          <w:szCs w:val="24"/>
          <w:lang w:eastAsia="ja-JP" w:bidi="hi-IN"/>
        </w:rPr>
        <w:t>lielezeraines</w:t>
      </w:r>
      <w:proofErr w:type="spellEnd"/>
      <w:r w:rsidRPr="00424CD3">
        <w:rPr>
          <w:rFonts w:ascii="Times New Roman" w:eastAsia="Times New Roman" w:hAnsi="Times New Roman" w:cs="Times New Roman"/>
          <w:color w:val="000000"/>
          <w:kern w:val="2"/>
          <w:sz w:val="24"/>
          <w:szCs w:val="24"/>
          <w:lang w:eastAsia="ja-JP" w:bidi="hi-IN"/>
        </w:rPr>
        <w:t xml:space="preserve"> glīvenes </w:t>
      </w:r>
      <w:proofErr w:type="spellStart"/>
      <w:r w:rsidRPr="00424CD3">
        <w:rPr>
          <w:rFonts w:ascii="Times New Roman" w:eastAsia="Times New Roman" w:hAnsi="Times New Roman" w:cs="Times New Roman"/>
          <w:color w:val="000000"/>
          <w:kern w:val="2"/>
          <w:sz w:val="24"/>
          <w:szCs w:val="24"/>
          <w:lang w:eastAsia="ja-JP" w:bidi="hi-IN"/>
        </w:rPr>
        <w:t>Potamogeton</w:t>
      </w:r>
      <w:proofErr w:type="spellEnd"/>
      <w:r w:rsidRPr="00424CD3">
        <w:rPr>
          <w:rFonts w:ascii="Times New Roman" w:eastAsia="Times New Roman" w:hAnsi="Times New Roman" w:cs="Times New Roman"/>
          <w:color w:val="000000"/>
          <w:kern w:val="2"/>
          <w:sz w:val="24"/>
          <w:szCs w:val="24"/>
          <w:lang w:eastAsia="ja-JP" w:bidi="hi-IN"/>
        </w:rPr>
        <w:t xml:space="preserve"> L. Maģistra darbs bioloģijā, Daugavpils, 200 lpp.</w:t>
      </w:r>
    </w:p>
    <w:p w14:paraId="338CC5CF" w14:textId="54A597B1" w:rsidR="00260499" w:rsidRPr="00424CD3" w:rsidRDefault="00260499" w:rsidP="00424CD3">
      <w:pPr>
        <w:numPr>
          <w:ilvl w:val="0"/>
          <w:numId w:val="31"/>
        </w:numPr>
        <w:spacing w:after="0" w:line="240" w:lineRule="auto"/>
        <w:ind w:left="924" w:hanging="357"/>
        <w:jc w:val="both"/>
        <w:rPr>
          <w:rFonts w:ascii="Times New Roman" w:eastAsia="Times New Roman" w:hAnsi="Times New Roman" w:cs="Times New Roman"/>
          <w:kern w:val="2"/>
          <w:sz w:val="24"/>
          <w:szCs w:val="24"/>
          <w:lang w:eastAsia="zh-CN" w:bidi="hi-IN"/>
        </w:rPr>
      </w:pPr>
      <w:proofErr w:type="spellStart"/>
      <w:r w:rsidRPr="00424CD3">
        <w:rPr>
          <w:rFonts w:ascii="Times New Roman" w:eastAsia="Times New Roman" w:hAnsi="Times New Roman" w:cs="Times New Roman"/>
          <w:color w:val="000000"/>
          <w:kern w:val="2"/>
          <w:sz w:val="24"/>
          <w:szCs w:val="24"/>
          <w:lang w:eastAsia="ja-JP" w:bidi="hi-IN"/>
        </w:rPr>
        <w:t>Suško</w:t>
      </w:r>
      <w:proofErr w:type="spellEnd"/>
      <w:r w:rsidRPr="00424CD3">
        <w:rPr>
          <w:rFonts w:ascii="Times New Roman" w:eastAsia="Times New Roman" w:hAnsi="Times New Roman" w:cs="Times New Roman"/>
          <w:color w:val="000000"/>
          <w:kern w:val="2"/>
          <w:sz w:val="24"/>
          <w:szCs w:val="24"/>
          <w:lang w:eastAsia="ja-JP" w:bidi="hi-IN"/>
        </w:rPr>
        <w:t xml:space="preserve"> U. 1996. Retie augi Ilūkstes </w:t>
      </w:r>
      <w:proofErr w:type="spellStart"/>
      <w:r w:rsidRPr="00424CD3">
        <w:rPr>
          <w:rFonts w:ascii="Times New Roman" w:eastAsia="Times New Roman" w:hAnsi="Times New Roman" w:cs="Times New Roman"/>
          <w:color w:val="000000"/>
          <w:kern w:val="2"/>
          <w:sz w:val="24"/>
          <w:szCs w:val="24"/>
          <w:lang w:eastAsia="ja-JP" w:bidi="hi-IN"/>
        </w:rPr>
        <w:t>ezeraines</w:t>
      </w:r>
      <w:proofErr w:type="spellEnd"/>
      <w:r w:rsidRPr="00424CD3">
        <w:rPr>
          <w:rFonts w:ascii="Times New Roman" w:eastAsia="Times New Roman" w:hAnsi="Times New Roman" w:cs="Times New Roman"/>
          <w:color w:val="000000"/>
          <w:kern w:val="2"/>
          <w:sz w:val="24"/>
          <w:szCs w:val="24"/>
          <w:lang w:eastAsia="ja-JP" w:bidi="hi-IN"/>
        </w:rPr>
        <w:t xml:space="preserve"> un Kurzemes ezeros. Daba un Muzejs, Rīga, 6: 105 – 111. lpp.</w:t>
      </w:r>
    </w:p>
    <w:p w14:paraId="3A8D6F71" w14:textId="6FB94B06" w:rsidR="00260499" w:rsidRPr="00424CD3" w:rsidRDefault="00260499" w:rsidP="00424CD3">
      <w:pPr>
        <w:numPr>
          <w:ilvl w:val="0"/>
          <w:numId w:val="31"/>
        </w:numPr>
        <w:spacing w:after="0" w:line="240" w:lineRule="auto"/>
        <w:ind w:left="924" w:hanging="357"/>
        <w:jc w:val="both"/>
        <w:rPr>
          <w:rFonts w:ascii="Times New Roman" w:eastAsia="Times New Roman" w:hAnsi="Times New Roman" w:cs="Times New Roman"/>
          <w:kern w:val="2"/>
          <w:sz w:val="24"/>
          <w:szCs w:val="24"/>
          <w:lang w:eastAsia="zh-CN" w:bidi="hi-IN"/>
        </w:rPr>
      </w:pPr>
      <w:proofErr w:type="spellStart"/>
      <w:r w:rsidRPr="00424CD3">
        <w:rPr>
          <w:rFonts w:ascii="Times New Roman" w:eastAsia="Times New Roman" w:hAnsi="Times New Roman" w:cs="Times New Roman"/>
          <w:color w:val="000000"/>
          <w:kern w:val="2"/>
          <w:sz w:val="24"/>
          <w:szCs w:val="24"/>
          <w:lang w:eastAsia="ja-JP" w:bidi="hi-IN"/>
        </w:rPr>
        <w:t>Suško</w:t>
      </w:r>
      <w:proofErr w:type="spellEnd"/>
      <w:r w:rsidRPr="00424CD3">
        <w:rPr>
          <w:rFonts w:ascii="Times New Roman" w:eastAsia="Times New Roman" w:hAnsi="Times New Roman" w:cs="Times New Roman"/>
          <w:color w:val="000000"/>
          <w:kern w:val="2"/>
          <w:sz w:val="24"/>
          <w:szCs w:val="24"/>
          <w:lang w:eastAsia="ja-JP" w:bidi="hi-IN"/>
        </w:rPr>
        <w:t xml:space="preserve"> U. 1997. Augšdaugavas dabisko ezeru botāniski-</w:t>
      </w:r>
      <w:proofErr w:type="spellStart"/>
      <w:r w:rsidRPr="00424CD3">
        <w:rPr>
          <w:rFonts w:ascii="Times New Roman" w:eastAsia="Times New Roman" w:hAnsi="Times New Roman" w:cs="Times New Roman"/>
          <w:color w:val="000000"/>
          <w:kern w:val="2"/>
          <w:sz w:val="24"/>
          <w:szCs w:val="24"/>
          <w:lang w:eastAsia="ja-JP" w:bidi="hi-IN"/>
        </w:rPr>
        <w:t>limnoloģisko</w:t>
      </w:r>
      <w:proofErr w:type="spellEnd"/>
      <w:r w:rsidRPr="00424CD3">
        <w:rPr>
          <w:rFonts w:ascii="Times New Roman" w:eastAsia="Times New Roman" w:hAnsi="Times New Roman" w:cs="Times New Roman"/>
          <w:color w:val="000000"/>
          <w:kern w:val="2"/>
          <w:sz w:val="24"/>
          <w:szCs w:val="24"/>
          <w:lang w:eastAsia="ja-JP" w:bidi="hi-IN"/>
        </w:rPr>
        <w:t xml:space="preserve"> pētījumu rezultāti </w:t>
      </w:r>
      <w:proofErr w:type="spellStart"/>
      <w:r w:rsidRPr="00424CD3">
        <w:rPr>
          <w:rFonts w:ascii="Times New Roman" w:eastAsia="Times New Roman" w:hAnsi="Times New Roman" w:cs="Times New Roman"/>
          <w:color w:val="000000"/>
          <w:kern w:val="2"/>
          <w:sz w:val="24"/>
          <w:szCs w:val="24"/>
          <w:lang w:eastAsia="ja-JP" w:bidi="hi-IN"/>
        </w:rPr>
        <w:t>Indricas</w:t>
      </w:r>
      <w:proofErr w:type="spellEnd"/>
      <w:r w:rsidRPr="00424CD3">
        <w:rPr>
          <w:rFonts w:ascii="Times New Roman" w:eastAsia="Times New Roman" w:hAnsi="Times New Roman" w:cs="Times New Roman"/>
          <w:color w:val="000000"/>
          <w:kern w:val="2"/>
          <w:sz w:val="24"/>
          <w:szCs w:val="24"/>
          <w:lang w:eastAsia="ja-JP" w:bidi="hi-IN"/>
        </w:rPr>
        <w:t xml:space="preserve"> un </w:t>
      </w:r>
      <w:proofErr w:type="spellStart"/>
      <w:r w:rsidRPr="00424CD3">
        <w:rPr>
          <w:rFonts w:ascii="Times New Roman" w:eastAsia="Times New Roman" w:hAnsi="Times New Roman" w:cs="Times New Roman"/>
          <w:color w:val="000000"/>
          <w:kern w:val="2"/>
          <w:sz w:val="24"/>
          <w:szCs w:val="24"/>
          <w:lang w:eastAsia="ja-JP" w:bidi="hi-IN"/>
        </w:rPr>
        <w:t>Varnaviču</w:t>
      </w:r>
      <w:proofErr w:type="spellEnd"/>
      <w:r w:rsidRPr="00424CD3">
        <w:rPr>
          <w:rFonts w:ascii="Times New Roman" w:eastAsia="Times New Roman" w:hAnsi="Times New Roman" w:cs="Times New Roman"/>
          <w:color w:val="000000"/>
          <w:kern w:val="2"/>
          <w:sz w:val="24"/>
          <w:szCs w:val="24"/>
          <w:lang w:eastAsia="ja-JP" w:bidi="hi-IN"/>
        </w:rPr>
        <w:t xml:space="preserve"> </w:t>
      </w:r>
      <w:proofErr w:type="spellStart"/>
      <w:r w:rsidRPr="00424CD3">
        <w:rPr>
          <w:rFonts w:ascii="Times New Roman" w:eastAsia="Times New Roman" w:hAnsi="Times New Roman" w:cs="Times New Roman"/>
          <w:color w:val="000000"/>
          <w:kern w:val="2"/>
          <w:sz w:val="24"/>
          <w:szCs w:val="24"/>
          <w:lang w:eastAsia="ja-JP" w:bidi="hi-IN"/>
        </w:rPr>
        <w:t>ezerainēs</w:t>
      </w:r>
      <w:proofErr w:type="spellEnd"/>
      <w:r w:rsidRPr="00424CD3">
        <w:rPr>
          <w:rFonts w:ascii="Times New Roman" w:eastAsia="Times New Roman" w:hAnsi="Times New Roman" w:cs="Times New Roman"/>
          <w:color w:val="000000"/>
          <w:kern w:val="2"/>
          <w:sz w:val="24"/>
          <w:szCs w:val="24"/>
          <w:lang w:eastAsia="ja-JP" w:bidi="hi-IN"/>
        </w:rPr>
        <w:t>. Daba un Muzejs, Rīga, 7: 33. – 39. lpp.</w:t>
      </w:r>
    </w:p>
    <w:p w14:paraId="5EF90256" w14:textId="32800A56" w:rsidR="00260499" w:rsidRPr="00424CD3" w:rsidRDefault="00260499" w:rsidP="00424CD3">
      <w:pPr>
        <w:numPr>
          <w:ilvl w:val="0"/>
          <w:numId w:val="31"/>
        </w:numPr>
        <w:spacing w:after="0" w:line="240" w:lineRule="auto"/>
        <w:ind w:left="924" w:hanging="357"/>
        <w:jc w:val="both"/>
        <w:rPr>
          <w:rFonts w:ascii="Times New Roman" w:eastAsia="Times New Roman" w:hAnsi="Times New Roman" w:cs="Times New Roman"/>
          <w:kern w:val="2"/>
          <w:sz w:val="24"/>
          <w:szCs w:val="24"/>
          <w:lang w:eastAsia="zh-CN" w:bidi="hi-IN"/>
        </w:rPr>
      </w:pPr>
      <w:proofErr w:type="spellStart"/>
      <w:r w:rsidRPr="00424CD3">
        <w:rPr>
          <w:rFonts w:ascii="Times New Roman" w:eastAsia="Times New Roman" w:hAnsi="Times New Roman" w:cs="Times New Roman"/>
          <w:color w:val="000000"/>
          <w:kern w:val="2"/>
          <w:sz w:val="24"/>
          <w:szCs w:val="24"/>
          <w:lang w:eastAsia="ja-JP" w:bidi="hi-IN"/>
        </w:rPr>
        <w:t>Suško</w:t>
      </w:r>
      <w:proofErr w:type="spellEnd"/>
      <w:r w:rsidRPr="00424CD3">
        <w:rPr>
          <w:rFonts w:ascii="Times New Roman" w:eastAsia="Times New Roman" w:hAnsi="Times New Roman" w:cs="Times New Roman"/>
          <w:color w:val="000000"/>
          <w:kern w:val="2"/>
          <w:sz w:val="24"/>
          <w:szCs w:val="24"/>
          <w:lang w:eastAsia="ja-JP" w:bidi="hi-IN"/>
        </w:rPr>
        <w:t xml:space="preserve"> U., </w:t>
      </w:r>
      <w:proofErr w:type="spellStart"/>
      <w:r w:rsidRPr="00424CD3">
        <w:rPr>
          <w:rFonts w:ascii="Times New Roman" w:eastAsia="Times New Roman" w:hAnsi="Times New Roman" w:cs="Times New Roman"/>
          <w:color w:val="000000"/>
          <w:kern w:val="2"/>
          <w:sz w:val="24"/>
          <w:szCs w:val="24"/>
          <w:lang w:eastAsia="ja-JP" w:bidi="hi-IN"/>
        </w:rPr>
        <w:t>Bambe</w:t>
      </w:r>
      <w:proofErr w:type="spellEnd"/>
      <w:r w:rsidRPr="00424CD3">
        <w:rPr>
          <w:rFonts w:ascii="Times New Roman" w:eastAsia="Times New Roman" w:hAnsi="Times New Roman" w:cs="Times New Roman"/>
          <w:color w:val="000000"/>
          <w:kern w:val="2"/>
          <w:sz w:val="24"/>
          <w:szCs w:val="24"/>
          <w:lang w:eastAsia="ja-JP" w:bidi="hi-IN"/>
        </w:rPr>
        <w:t xml:space="preserve"> B. 2002. </w:t>
      </w:r>
      <w:proofErr w:type="spellStart"/>
      <w:r w:rsidRPr="00424CD3">
        <w:rPr>
          <w:rFonts w:ascii="Times New Roman" w:eastAsia="Times New Roman" w:hAnsi="Times New Roman" w:cs="Times New Roman"/>
          <w:color w:val="000000"/>
          <w:kern w:val="2"/>
          <w:sz w:val="24"/>
          <w:szCs w:val="24"/>
          <w:lang w:eastAsia="ja-JP" w:bidi="hi-IN"/>
        </w:rPr>
        <w:t>Floristiskie</w:t>
      </w:r>
      <w:proofErr w:type="spellEnd"/>
      <w:r w:rsidRPr="00424CD3">
        <w:rPr>
          <w:rFonts w:ascii="Times New Roman" w:eastAsia="Times New Roman" w:hAnsi="Times New Roman" w:cs="Times New Roman"/>
          <w:color w:val="000000"/>
          <w:kern w:val="2"/>
          <w:sz w:val="24"/>
          <w:szCs w:val="24"/>
          <w:lang w:eastAsia="ja-JP" w:bidi="hi-IN"/>
        </w:rPr>
        <w:t xml:space="preserve"> pētījumi Augšzemes un Latgales ezeros. Retie augi, Rīga, 79. – 94. lpp.</w:t>
      </w:r>
    </w:p>
    <w:p w14:paraId="11DB979A" w14:textId="0D984140" w:rsidR="00260499" w:rsidRPr="00424CD3" w:rsidRDefault="00260499" w:rsidP="00424CD3">
      <w:pPr>
        <w:numPr>
          <w:ilvl w:val="0"/>
          <w:numId w:val="31"/>
        </w:numPr>
        <w:spacing w:after="0" w:line="240" w:lineRule="auto"/>
        <w:ind w:left="924" w:hanging="357"/>
        <w:contextualSpacing/>
        <w:jc w:val="both"/>
        <w:rPr>
          <w:rFonts w:ascii="Times New Roman" w:eastAsia="Times New Roman" w:hAnsi="Times New Roman" w:cs="Times New Roman"/>
          <w:kern w:val="2"/>
          <w:sz w:val="24"/>
          <w:szCs w:val="24"/>
          <w:lang w:eastAsia="zh-CN" w:bidi="hi-IN"/>
        </w:rPr>
      </w:pPr>
      <w:proofErr w:type="spellStart"/>
      <w:r w:rsidRPr="00424CD3">
        <w:rPr>
          <w:rFonts w:ascii="Times New Roman" w:eastAsia="Times New Roman" w:hAnsi="Times New Roman" w:cs="Times New Roman"/>
          <w:color w:val="000000"/>
          <w:kern w:val="2"/>
          <w:sz w:val="24"/>
          <w:szCs w:val="24"/>
          <w:lang w:eastAsia="ja-JP" w:bidi="hi-IN"/>
        </w:rPr>
        <w:lastRenderedPageBreak/>
        <w:t>Suško</w:t>
      </w:r>
      <w:proofErr w:type="spellEnd"/>
      <w:r w:rsidRPr="00424CD3">
        <w:rPr>
          <w:rFonts w:ascii="Times New Roman" w:eastAsia="Times New Roman" w:hAnsi="Times New Roman" w:cs="Times New Roman"/>
          <w:color w:val="000000"/>
          <w:kern w:val="2"/>
          <w:sz w:val="24"/>
          <w:szCs w:val="24"/>
          <w:lang w:eastAsia="ja-JP" w:bidi="hi-IN"/>
        </w:rPr>
        <w:t xml:space="preserve"> U., </w:t>
      </w:r>
      <w:proofErr w:type="spellStart"/>
      <w:r w:rsidRPr="00424CD3">
        <w:rPr>
          <w:rFonts w:ascii="Times New Roman" w:eastAsia="Times New Roman" w:hAnsi="Times New Roman" w:cs="Times New Roman"/>
          <w:color w:val="000000"/>
          <w:kern w:val="2"/>
          <w:sz w:val="24"/>
          <w:szCs w:val="24"/>
          <w:lang w:eastAsia="ja-JP" w:bidi="hi-IN"/>
        </w:rPr>
        <w:t>Evarts-Bunders</w:t>
      </w:r>
      <w:proofErr w:type="spellEnd"/>
      <w:r w:rsidRPr="00424CD3">
        <w:rPr>
          <w:rFonts w:ascii="Times New Roman" w:eastAsia="Times New Roman" w:hAnsi="Times New Roman" w:cs="Times New Roman"/>
          <w:color w:val="000000"/>
          <w:kern w:val="2"/>
          <w:sz w:val="24"/>
          <w:szCs w:val="24"/>
          <w:lang w:eastAsia="ja-JP" w:bidi="hi-IN"/>
        </w:rPr>
        <w:t xml:space="preserve"> P. 2010. Botānisko pētījumu vēsture </w:t>
      </w:r>
      <w:proofErr w:type="spellStart"/>
      <w:r w:rsidRPr="00424CD3">
        <w:rPr>
          <w:rFonts w:ascii="Times New Roman" w:eastAsia="Times New Roman" w:hAnsi="Times New Roman" w:cs="Times New Roman"/>
          <w:color w:val="000000"/>
          <w:kern w:val="2"/>
          <w:sz w:val="24"/>
          <w:szCs w:val="24"/>
          <w:lang w:eastAsia="ja-JP" w:bidi="hi-IN"/>
        </w:rPr>
        <w:t>Dienvidaustrumlatvijā</w:t>
      </w:r>
      <w:proofErr w:type="spellEnd"/>
      <w:r w:rsidRPr="00424CD3">
        <w:rPr>
          <w:rFonts w:ascii="Times New Roman" w:eastAsia="Times New Roman" w:hAnsi="Times New Roman" w:cs="Times New Roman"/>
          <w:color w:val="000000"/>
          <w:kern w:val="2"/>
          <w:sz w:val="24"/>
          <w:szCs w:val="24"/>
          <w:lang w:eastAsia="ja-JP" w:bidi="hi-IN"/>
        </w:rPr>
        <w:t>. Latvijas Veģetācija 21, 101-125.</w:t>
      </w:r>
    </w:p>
    <w:p w14:paraId="3053BA2D" w14:textId="1F124DB3" w:rsidR="00260499" w:rsidRPr="00424CD3" w:rsidRDefault="00260499" w:rsidP="00424CD3">
      <w:pPr>
        <w:numPr>
          <w:ilvl w:val="0"/>
          <w:numId w:val="31"/>
        </w:numPr>
        <w:spacing w:after="0" w:line="240" w:lineRule="auto"/>
        <w:ind w:left="924" w:hanging="357"/>
        <w:jc w:val="both"/>
        <w:rPr>
          <w:rFonts w:ascii="Times New Roman" w:eastAsia="Times New Roman" w:hAnsi="Times New Roman" w:cs="Times New Roman"/>
          <w:kern w:val="2"/>
          <w:sz w:val="24"/>
          <w:szCs w:val="24"/>
          <w:lang w:eastAsia="zh-CN" w:bidi="hi-IN"/>
        </w:rPr>
      </w:pPr>
      <w:proofErr w:type="spellStart"/>
      <w:r w:rsidRPr="00424CD3">
        <w:rPr>
          <w:rFonts w:ascii="Times New Roman" w:eastAsia="Times New Roman" w:hAnsi="Times New Roman" w:cs="Times New Roman"/>
          <w:color w:val="000000"/>
          <w:kern w:val="2"/>
          <w:sz w:val="24"/>
          <w:szCs w:val="24"/>
          <w:lang w:eastAsia="ja-JP" w:bidi="hi-IN"/>
        </w:rPr>
        <w:t>Suško</w:t>
      </w:r>
      <w:proofErr w:type="spellEnd"/>
      <w:r w:rsidRPr="00424CD3">
        <w:rPr>
          <w:rFonts w:ascii="Times New Roman" w:eastAsia="Times New Roman" w:hAnsi="Times New Roman" w:cs="Times New Roman"/>
          <w:color w:val="000000"/>
          <w:kern w:val="2"/>
          <w:sz w:val="24"/>
          <w:szCs w:val="24"/>
          <w:lang w:eastAsia="ja-JP" w:bidi="hi-IN"/>
        </w:rPr>
        <w:t xml:space="preserve"> U., Skrinda I., Grīnberga L., Zviedre E. Nozīmīgākie 2015. – 2017. gada reto ūdensaugu atradumi Latvijas ezeros. Latvijas</w:t>
      </w:r>
      <w:r w:rsidR="00A66C3E" w:rsidRPr="00424CD3">
        <w:rPr>
          <w:rFonts w:ascii="Times New Roman" w:eastAsia="Times New Roman" w:hAnsi="Times New Roman" w:cs="Times New Roman"/>
          <w:color w:val="000000"/>
          <w:kern w:val="2"/>
          <w:sz w:val="24"/>
          <w:szCs w:val="24"/>
          <w:lang w:eastAsia="ja-JP" w:bidi="hi-IN"/>
        </w:rPr>
        <w:t xml:space="preserve"> </w:t>
      </w:r>
      <w:r w:rsidRPr="00424CD3">
        <w:rPr>
          <w:rFonts w:ascii="Times New Roman" w:eastAsia="Times New Roman" w:hAnsi="Times New Roman" w:cs="Times New Roman"/>
          <w:color w:val="000000"/>
          <w:kern w:val="2"/>
          <w:sz w:val="24"/>
          <w:szCs w:val="24"/>
          <w:lang w:eastAsia="ja-JP" w:bidi="hi-IN"/>
        </w:rPr>
        <w:t>Universitātes 76. zinātniskās konference, Bioloģijas fakultātes Hidrobioloģijas katedra, sekcijas „Latvijas ūdeņu vides pētījumi un aizsardzība” tēzes, 2018. gada 30. janvāris, 3 lpp</w:t>
      </w:r>
      <w:r w:rsidR="00D23B1E" w:rsidRPr="00424CD3">
        <w:rPr>
          <w:rFonts w:ascii="Times New Roman" w:eastAsia="Times New Roman" w:hAnsi="Times New Roman" w:cs="Times New Roman"/>
          <w:color w:val="000000"/>
          <w:kern w:val="2"/>
          <w:sz w:val="24"/>
          <w:szCs w:val="24"/>
          <w:lang w:eastAsia="ja-JP" w:bidi="hi-IN"/>
        </w:rPr>
        <w:t>.</w:t>
      </w:r>
    </w:p>
    <w:p w14:paraId="7135D3C8" w14:textId="4085C32F" w:rsidR="00EE070E" w:rsidRPr="00424CD3" w:rsidRDefault="00EE070E" w:rsidP="00424CD3">
      <w:pPr>
        <w:numPr>
          <w:ilvl w:val="0"/>
          <w:numId w:val="31"/>
        </w:numPr>
        <w:spacing w:after="0" w:line="240" w:lineRule="auto"/>
        <w:ind w:left="924" w:hanging="357"/>
        <w:jc w:val="both"/>
        <w:rPr>
          <w:rFonts w:ascii="Times New Roman" w:eastAsia="Times New Roman" w:hAnsi="Times New Roman" w:cs="Times New Roman"/>
          <w:kern w:val="2"/>
          <w:sz w:val="24"/>
          <w:szCs w:val="24"/>
          <w:lang w:eastAsia="zh-CN" w:bidi="hi-IN"/>
        </w:rPr>
      </w:pPr>
      <w:r w:rsidRPr="00424CD3">
        <w:rPr>
          <w:rFonts w:ascii="Times New Roman" w:eastAsia="Times New Roman" w:hAnsi="Times New Roman" w:cs="Times New Roman"/>
          <w:kern w:val="2"/>
          <w:sz w:val="24"/>
          <w:szCs w:val="24"/>
          <w:lang w:eastAsia="zh-CN" w:bidi="hi-IN"/>
        </w:rPr>
        <w:t>Tabores pagasta teritorijas plānojums 2006.-2018. 1. sējums. Paskaidrojuma raksts. Tabore, 2006. Tabores pagasta padomes 12.12.2006. lēmums Nr.180, 131 lpp.</w:t>
      </w:r>
    </w:p>
    <w:p w14:paraId="0942A93E" w14:textId="63AAAE13" w:rsidR="44338CFC" w:rsidRPr="00424CD3" w:rsidRDefault="44338CFC" w:rsidP="00424CD3">
      <w:pPr>
        <w:numPr>
          <w:ilvl w:val="0"/>
          <w:numId w:val="31"/>
        </w:numPr>
        <w:spacing w:after="0" w:line="240" w:lineRule="auto"/>
        <w:ind w:left="924" w:hanging="357"/>
        <w:jc w:val="both"/>
        <w:rPr>
          <w:rFonts w:eastAsiaTheme="minorEastAsia"/>
          <w:color w:val="000000" w:themeColor="text1"/>
          <w:sz w:val="24"/>
          <w:szCs w:val="24"/>
          <w:lang w:eastAsia="ja-JP" w:bidi="hi-IN"/>
        </w:rPr>
      </w:pPr>
      <w:r w:rsidRPr="00424CD3">
        <w:rPr>
          <w:rFonts w:ascii="Times New Roman" w:eastAsia="Times New Roman" w:hAnsi="Times New Roman" w:cs="Times New Roman"/>
          <w:color w:val="231F20"/>
          <w:sz w:val="24"/>
          <w:szCs w:val="24"/>
        </w:rPr>
        <w:t xml:space="preserve">Tost M., </w:t>
      </w:r>
      <w:proofErr w:type="spellStart"/>
      <w:r w:rsidRPr="00424CD3">
        <w:rPr>
          <w:rFonts w:ascii="Times New Roman" w:eastAsia="Times New Roman" w:hAnsi="Times New Roman" w:cs="Times New Roman"/>
          <w:color w:val="231F20"/>
          <w:sz w:val="24"/>
          <w:szCs w:val="24"/>
        </w:rPr>
        <w:t>Ammerer</w:t>
      </w:r>
      <w:proofErr w:type="spellEnd"/>
      <w:r w:rsidRPr="00424CD3">
        <w:rPr>
          <w:rFonts w:ascii="Times New Roman" w:eastAsia="Times New Roman" w:hAnsi="Times New Roman" w:cs="Times New Roman"/>
          <w:color w:val="231F20"/>
          <w:sz w:val="24"/>
          <w:szCs w:val="24"/>
        </w:rPr>
        <w:t xml:space="preserve"> G., </w:t>
      </w:r>
      <w:proofErr w:type="spellStart"/>
      <w:r w:rsidRPr="00424CD3">
        <w:rPr>
          <w:rFonts w:ascii="Times New Roman" w:eastAsia="Times New Roman" w:hAnsi="Times New Roman" w:cs="Times New Roman"/>
          <w:color w:val="231F20"/>
          <w:sz w:val="24"/>
          <w:szCs w:val="24"/>
        </w:rPr>
        <w:t>Kot-Niewiadomska</w:t>
      </w:r>
      <w:proofErr w:type="spellEnd"/>
      <w:r w:rsidRPr="00424CD3">
        <w:rPr>
          <w:rFonts w:ascii="Times New Roman" w:eastAsia="Times New Roman" w:hAnsi="Times New Roman" w:cs="Times New Roman"/>
          <w:color w:val="231F20"/>
          <w:sz w:val="24"/>
          <w:szCs w:val="24"/>
        </w:rPr>
        <w:t xml:space="preserve"> A., </w:t>
      </w:r>
      <w:proofErr w:type="spellStart"/>
      <w:r w:rsidRPr="00424CD3">
        <w:rPr>
          <w:rFonts w:ascii="Times New Roman" w:eastAsia="Times New Roman" w:hAnsi="Times New Roman" w:cs="Times New Roman"/>
          <w:color w:val="231F20"/>
          <w:sz w:val="24"/>
          <w:szCs w:val="24"/>
        </w:rPr>
        <w:t>Gugerell</w:t>
      </w:r>
      <w:proofErr w:type="spellEnd"/>
      <w:r w:rsidRPr="00424CD3">
        <w:rPr>
          <w:rFonts w:ascii="Times New Roman" w:eastAsia="Times New Roman" w:hAnsi="Times New Roman" w:cs="Times New Roman"/>
          <w:color w:val="231F20"/>
          <w:sz w:val="24"/>
          <w:szCs w:val="24"/>
        </w:rPr>
        <w:t xml:space="preserve"> K. 2021, Mining </w:t>
      </w:r>
      <w:proofErr w:type="spellStart"/>
      <w:r w:rsidRPr="00424CD3">
        <w:rPr>
          <w:rFonts w:ascii="Times New Roman" w:eastAsia="Times New Roman" w:hAnsi="Times New Roman" w:cs="Times New Roman"/>
          <w:color w:val="231F20"/>
          <w:sz w:val="24"/>
          <w:szCs w:val="24"/>
        </w:rPr>
        <w:t>and</w:t>
      </w:r>
      <w:proofErr w:type="spellEnd"/>
      <w:r w:rsidRPr="00424CD3">
        <w:rPr>
          <w:rFonts w:ascii="Times New Roman" w:eastAsia="Times New Roman" w:hAnsi="Times New Roman" w:cs="Times New Roman"/>
          <w:color w:val="231F20"/>
          <w:sz w:val="24"/>
          <w:szCs w:val="24"/>
        </w:rPr>
        <w:t xml:space="preserve"> </w:t>
      </w:r>
      <w:proofErr w:type="spellStart"/>
      <w:r w:rsidRPr="00424CD3">
        <w:rPr>
          <w:rFonts w:ascii="Times New Roman" w:eastAsia="Times New Roman" w:hAnsi="Times New Roman" w:cs="Times New Roman"/>
          <w:color w:val="231F20"/>
          <w:sz w:val="24"/>
          <w:szCs w:val="24"/>
        </w:rPr>
        <w:t>Europe’s</w:t>
      </w:r>
      <w:proofErr w:type="spellEnd"/>
      <w:r w:rsidRPr="00424CD3">
        <w:rPr>
          <w:rFonts w:ascii="Times New Roman" w:eastAsia="Times New Roman" w:hAnsi="Times New Roman" w:cs="Times New Roman"/>
          <w:color w:val="231F20"/>
          <w:sz w:val="24"/>
          <w:szCs w:val="24"/>
        </w:rPr>
        <w:t xml:space="preserve"> </w:t>
      </w:r>
      <w:proofErr w:type="spellStart"/>
      <w:r w:rsidRPr="00424CD3">
        <w:rPr>
          <w:rFonts w:ascii="Times New Roman" w:eastAsia="Times New Roman" w:hAnsi="Times New Roman" w:cs="Times New Roman"/>
          <w:color w:val="231F20"/>
          <w:sz w:val="24"/>
          <w:szCs w:val="24"/>
        </w:rPr>
        <w:t>World</w:t>
      </w:r>
      <w:proofErr w:type="spellEnd"/>
      <w:r w:rsidRPr="00424CD3">
        <w:rPr>
          <w:rFonts w:ascii="Times New Roman" w:eastAsia="Times New Roman" w:hAnsi="Times New Roman" w:cs="Times New Roman"/>
          <w:color w:val="231F20"/>
          <w:sz w:val="24"/>
          <w:szCs w:val="24"/>
        </w:rPr>
        <w:t xml:space="preserve"> </w:t>
      </w:r>
      <w:proofErr w:type="spellStart"/>
      <w:r w:rsidRPr="00424CD3">
        <w:rPr>
          <w:rFonts w:ascii="Times New Roman" w:eastAsia="Times New Roman" w:hAnsi="Times New Roman" w:cs="Times New Roman"/>
          <w:color w:val="231F20"/>
          <w:sz w:val="24"/>
          <w:szCs w:val="24"/>
        </w:rPr>
        <w:t>Heritage</w:t>
      </w:r>
      <w:proofErr w:type="spellEnd"/>
      <w:r w:rsidRPr="00424CD3">
        <w:rPr>
          <w:rFonts w:ascii="Times New Roman" w:eastAsia="Times New Roman" w:hAnsi="Times New Roman" w:cs="Times New Roman"/>
          <w:color w:val="231F20"/>
          <w:sz w:val="24"/>
          <w:szCs w:val="24"/>
        </w:rPr>
        <w:t xml:space="preserve"> </w:t>
      </w:r>
      <w:proofErr w:type="spellStart"/>
      <w:r w:rsidRPr="00424CD3">
        <w:rPr>
          <w:rFonts w:ascii="Times New Roman" w:eastAsia="Times New Roman" w:hAnsi="Times New Roman" w:cs="Times New Roman"/>
          <w:color w:val="231F20"/>
          <w:sz w:val="24"/>
          <w:szCs w:val="24"/>
        </w:rPr>
        <w:t>Cultural</w:t>
      </w:r>
      <w:proofErr w:type="spellEnd"/>
      <w:r w:rsidR="00D65BBA" w:rsidRPr="00424CD3">
        <w:rPr>
          <w:rFonts w:ascii="Times New Roman" w:eastAsia="Times New Roman" w:hAnsi="Times New Roman" w:cs="Times New Roman"/>
          <w:color w:val="231F20"/>
          <w:sz w:val="24"/>
          <w:szCs w:val="24"/>
        </w:rPr>
        <w:t xml:space="preserve"> </w:t>
      </w:r>
      <w:proofErr w:type="spellStart"/>
      <w:r w:rsidRPr="00424CD3">
        <w:rPr>
          <w:rFonts w:ascii="Times New Roman" w:eastAsia="Times New Roman" w:hAnsi="Times New Roman" w:cs="Times New Roman"/>
          <w:color w:val="231F20"/>
          <w:sz w:val="24"/>
          <w:szCs w:val="24"/>
        </w:rPr>
        <w:t>Landscapes</w:t>
      </w:r>
      <w:proofErr w:type="spellEnd"/>
      <w:r w:rsidRPr="00424CD3">
        <w:rPr>
          <w:rFonts w:ascii="Times New Roman" w:eastAsia="Times New Roman" w:hAnsi="Times New Roman" w:cs="Times New Roman"/>
          <w:color w:val="231F20"/>
          <w:sz w:val="24"/>
          <w:szCs w:val="24"/>
        </w:rPr>
        <w:t>. Resources, 10,</w:t>
      </w:r>
      <w:r w:rsidR="006E54AE" w:rsidRPr="00424CD3">
        <w:rPr>
          <w:rFonts w:ascii="Times New Roman" w:eastAsia="Times New Roman" w:hAnsi="Times New Roman" w:cs="Times New Roman"/>
          <w:color w:val="231F20"/>
          <w:sz w:val="24"/>
          <w:szCs w:val="24"/>
        </w:rPr>
        <w:t xml:space="preserve"> </w:t>
      </w:r>
      <w:r w:rsidRPr="00424CD3">
        <w:rPr>
          <w:rFonts w:ascii="Times New Roman" w:eastAsia="Times New Roman" w:hAnsi="Times New Roman" w:cs="Times New Roman"/>
          <w:color w:val="231F20"/>
          <w:sz w:val="24"/>
          <w:szCs w:val="24"/>
        </w:rPr>
        <w:t>18,</w:t>
      </w:r>
      <w:r w:rsidRPr="00424CD3">
        <w:rPr>
          <w:rFonts w:ascii="Times New Roman" w:eastAsia="Times New Roman" w:hAnsi="Times New Roman" w:cs="Times New Roman"/>
          <w:sz w:val="24"/>
          <w:szCs w:val="24"/>
        </w:rPr>
        <w:t xml:space="preserve">. </w:t>
      </w:r>
      <w:hyperlink r:id="rId214">
        <w:r w:rsidRPr="00424CD3">
          <w:rPr>
            <w:rStyle w:val="Hyperlink"/>
            <w:rFonts w:ascii="Times New Roman" w:eastAsia="Times New Roman" w:hAnsi="Times New Roman" w:cs="Times New Roman"/>
            <w:sz w:val="24"/>
            <w:szCs w:val="24"/>
          </w:rPr>
          <w:t>https://doi.org/10.3390/resources10020018</w:t>
        </w:r>
      </w:hyperlink>
      <w:r w:rsidR="006E54AE" w:rsidRPr="00424CD3">
        <w:rPr>
          <w:rStyle w:val="Hyperlink"/>
          <w:rFonts w:ascii="Times New Roman" w:eastAsia="Times New Roman" w:hAnsi="Times New Roman" w:cs="Times New Roman"/>
          <w:sz w:val="24"/>
          <w:szCs w:val="24"/>
        </w:rPr>
        <w:t>.</w:t>
      </w:r>
    </w:p>
    <w:p w14:paraId="171A11EA" w14:textId="6E065C7D" w:rsidR="00260499" w:rsidRPr="00424CD3" w:rsidRDefault="00260499" w:rsidP="00424CD3">
      <w:pPr>
        <w:numPr>
          <w:ilvl w:val="0"/>
          <w:numId w:val="31"/>
        </w:numPr>
        <w:spacing w:after="0" w:line="240" w:lineRule="auto"/>
        <w:ind w:left="924" w:hanging="357"/>
        <w:jc w:val="both"/>
        <w:rPr>
          <w:rFonts w:ascii="Times New Roman" w:eastAsia="Times New Roman" w:hAnsi="Times New Roman" w:cs="Times New Roman"/>
          <w:kern w:val="2"/>
          <w:sz w:val="24"/>
          <w:szCs w:val="24"/>
          <w:lang w:eastAsia="zh-CN" w:bidi="hi-IN"/>
        </w:rPr>
      </w:pPr>
      <w:proofErr w:type="spellStart"/>
      <w:r w:rsidRPr="00424CD3">
        <w:rPr>
          <w:rFonts w:ascii="Times New Roman" w:eastAsia="Times New Roman" w:hAnsi="Times New Roman" w:cs="Times New Roman"/>
          <w:color w:val="000000"/>
          <w:kern w:val="2"/>
          <w:sz w:val="24"/>
          <w:szCs w:val="24"/>
          <w:lang w:eastAsia="ja-JP" w:bidi="hi-IN"/>
        </w:rPr>
        <w:t>Trukšāns</w:t>
      </w:r>
      <w:proofErr w:type="spellEnd"/>
      <w:r w:rsidRPr="00424CD3">
        <w:rPr>
          <w:rFonts w:ascii="Times New Roman" w:eastAsia="Times New Roman" w:hAnsi="Times New Roman" w:cs="Times New Roman"/>
          <w:color w:val="000000"/>
          <w:kern w:val="2"/>
          <w:sz w:val="24"/>
          <w:szCs w:val="24"/>
          <w:lang w:eastAsia="ja-JP" w:bidi="hi-IN"/>
        </w:rPr>
        <w:t xml:space="preserve"> L. 2012. Pers. </w:t>
      </w:r>
      <w:proofErr w:type="spellStart"/>
      <w:r w:rsidRPr="00424CD3">
        <w:rPr>
          <w:rFonts w:ascii="Times New Roman" w:eastAsia="Times New Roman" w:hAnsi="Times New Roman" w:cs="Times New Roman"/>
          <w:color w:val="000000"/>
          <w:kern w:val="2"/>
          <w:sz w:val="24"/>
          <w:szCs w:val="24"/>
          <w:lang w:eastAsia="ja-JP" w:bidi="hi-IN"/>
        </w:rPr>
        <w:t>kom</w:t>
      </w:r>
      <w:proofErr w:type="spellEnd"/>
      <w:r w:rsidRPr="00424CD3">
        <w:rPr>
          <w:rFonts w:ascii="Times New Roman" w:eastAsia="Times New Roman" w:hAnsi="Times New Roman" w:cs="Times New Roman"/>
          <w:color w:val="000000"/>
          <w:kern w:val="2"/>
          <w:sz w:val="24"/>
          <w:szCs w:val="24"/>
          <w:lang w:eastAsia="ja-JP" w:bidi="hi-IN"/>
        </w:rPr>
        <w:t xml:space="preserve">. ar novadpētnieku Leo </w:t>
      </w:r>
      <w:proofErr w:type="spellStart"/>
      <w:r w:rsidRPr="00424CD3">
        <w:rPr>
          <w:rFonts w:ascii="Times New Roman" w:eastAsia="Times New Roman" w:hAnsi="Times New Roman" w:cs="Times New Roman"/>
          <w:color w:val="000000"/>
          <w:kern w:val="2"/>
          <w:sz w:val="24"/>
          <w:szCs w:val="24"/>
          <w:lang w:eastAsia="ja-JP" w:bidi="hi-IN"/>
        </w:rPr>
        <w:t>Trukšānu</w:t>
      </w:r>
      <w:proofErr w:type="spellEnd"/>
      <w:r w:rsidRPr="00424CD3">
        <w:rPr>
          <w:rFonts w:ascii="Times New Roman" w:eastAsia="Times New Roman" w:hAnsi="Times New Roman" w:cs="Times New Roman"/>
          <w:color w:val="000000"/>
          <w:kern w:val="2"/>
          <w:sz w:val="24"/>
          <w:szCs w:val="24"/>
          <w:lang w:eastAsia="ja-JP" w:bidi="hi-IN"/>
        </w:rPr>
        <w:t xml:space="preserve">, viņa sniegtās ziņas par gravu vietvārdiem </w:t>
      </w:r>
      <w:proofErr w:type="spellStart"/>
      <w:r w:rsidRPr="00424CD3">
        <w:rPr>
          <w:rFonts w:ascii="Times New Roman" w:eastAsia="Times New Roman" w:hAnsi="Times New Roman" w:cs="Times New Roman"/>
          <w:color w:val="000000"/>
          <w:kern w:val="2"/>
          <w:sz w:val="24"/>
          <w:szCs w:val="24"/>
          <w:lang w:eastAsia="ja-JP" w:bidi="hi-IN"/>
        </w:rPr>
        <w:t>Rozališku</w:t>
      </w:r>
      <w:proofErr w:type="spellEnd"/>
      <w:r w:rsidRPr="00424CD3">
        <w:rPr>
          <w:rFonts w:ascii="Times New Roman" w:eastAsia="Times New Roman" w:hAnsi="Times New Roman" w:cs="Times New Roman"/>
          <w:color w:val="000000"/>
          <w:kern w:val="2"/>
          <w:sz w:val="24"/>
          <w:szCs w:val="24"/>
          <w:lang w:eastAsia="ja-JP" w:bidi="hi-IN"/>
        </w:rPr>
        <w:t xml:space="preserve"> lokā, ko viņš 1978. gadā pierakstījis no vietējiem iedzīvotajiem </w:t>
      </w:r>
      <w:proofErr w:type="spellStart"/>
      <w:r w:rsidRPr="00424CD3">
        <w:rPr>
          <w:rFonts w:ascii="Times New Roman" w:eastAsia="Times New Roman" w:hAnsi="Times New Roman" w:cs="Times New Roman"/>
          <w:color w:val="000000"/>
          <w:kern w:val="2"/>
          <w:sz w:val="24"/>
          <w:szCs w:val="24"/>
          <w:lang w:eastAsia="ja-JP" w:bidi="hi-IN"/>
        </w:rPr>
        <w:t>Rudānos</w:t>
      </w:r>
      <w:proofErr w:type="spellEnd"/>
      <w:r w:rsidRPr="00424CD3">
        <w:rPr>
          <w:rFonts w:ascii="Times New Roman" w:eastAsia="Times New Roman" w:hAnsi="Times New Roman" w:cs="Times New Roman"/>
          <w:color w:val="000000"/>
          <w:kern w:val="2"/>
          <w:sz w:val="24"/>
          <w:szCs w:val="24"/>
          <w:lang w:eastAsia="ja-JP" w:bidi="hi-IN"/>
        </w:rPr>
        <w:t xml:space="preserve"> un </w:t>
      </w:r>
      <w:proofErr w:type="spellStart"/>
      <w:r w:rsidRPr="00424CD3">
        <w:rPr>
          <w:rFonts w:ascii="Times New Roman" w:eastAsia="Times New Roman" w:hAnsi="Times New Roman" w:cs="Times New Roman"/>
          <w:color w:val="000000"/>
          <w:kern w:val="2"/>
          <w:sz w:val="24"/>
          <w:szCs w:val="24"/>
          <w:lang w:eastAsia="ja-JP" w:bidi="hi-IN"/>
        </w:rPr>
        <w:t>Diļevičos</w:t>
      </w:r>
      <w:proofErr w:type="spellEnd"/>
      <w:r w:rsidRPr="00424CD3">
        <w:rPr>
          <w:rFonts w:ascii="Times New Roman" w:eastAsia="Times New Roman" w:hAnsi="Times New Roman" w:cs="Times New Roman"/>
          <w:color w:val="000000"/>
          <w:kern w:val="2"/>
          <w:sz w:val="24"/>
          <w:szCs w:val="24"/>
          <w:lang w:eastAsia="ja-JP" w:bidi="hi-IN"/>
        </w:rPr>
        <w:t>.</w:t>
      </w:r>
    </w:p>
    <w:p w14:paraId="40F5EF79" w14:textId="0358B280" w:rsidR="00B23EB3" w:rsidRPr="00424CD3" w:rsidRDefault="00B23EB3" w:rsidP="00424CD3">
      <w:pPr>
        <w:numPr>
          <w:ilvl w:val="0"/>
          <w:numId w:val="31"/>
        </w:numPr>
        <w:spacing w:after="0" w:line="240" w:lineRule="auto"/>
        <w:ind w:left="924" w:hanging="357"/>
        <w:jc w:val="both"/>
        <w:rPr>
          <w:rFonts w:ascii="Times New Roman" w:eastAsia="Times New Roman" w:hAnsi="Times New Roman" w:cs="Times New Roman"/>
          <w:kern w:val="2"/>
          <w:sz w:val="24"/>
          <w:szCs w:val="24"/>
          <w:lang w:eastAsia="zh-CN" w:bidi="hi-IN"/>
        </w:rPr>
      </w:pPr>
      <w:proofErr w:type="spellStart"/>
      <w:r w:rsidRPr="00424CD3">
        <w:rPr>
          <w:rFonts w:ascii="Times New Roman" w:eastAsia="Times New Roman" w:hAnsi="Times New Roman" w:cs="Times New Roman"/>
          <w:kern w:val="2"/>
          <w:sz w:val="24"/>
          <w:szCs w:val="24"/>
          <w:lang w:eastAsia="zh-CN" w:bidi="hi-IN"/>
        </w:rPr>
        <w:t>Tytar</w:t>
      </w:r>
      <w:proofErr w:type="spellEnd"/>
      <w:r w:rsidRPr="00424CD3">
        <w:rPr>
          <w:rFonts w:ascii="Times New Roman" w:eastAsia="Times New Roman" w:hAnsi="Times New Roman" w:cs="Times New Roman"/>
          <w:kern w:val="2"/>
          <w:sz w:val="24"/>
          <w:szCs w:val="24"/>
          <w:lang w:eastAsia="zh-CN" w:bidi="hi-IN"/>
        </w:rPr>
        <w:t xml:space="preserve"> V. M., </w:t>
      </w:r>
      <w:proofErr w:type="spellStart"/>
      <w:r w:rsidRPr="00424CD3">
        <w:rPr>
          <w:rFonts w:ascii="Times New Roman" w:eastAsia="Times New Roman" w:hAnsi="Times New Roman" w:cs="Times New Roman"/>
          <w:kern w:val="2"/>
          <w:sz w:val="24"/>
          <w:szCs w:val="24"/>
          <w:lang w:eastAsia="zh-CN" w:bidi="hi-IN"/>
        </w:rPr>
        <w:t>Nekrasova</w:t>
      </w:r>
      <w:proofErr w:type="spellEnd"/>
      <w:r w:rsidRPr="00424CD3">
        <w:rPr>
          <w:rFonts w:ascii="Times New Roman" w:eastAsia="Times New Roman" w:hAnsi="Times New Roman" w:cs="Times New Roman"/>
          <w:kern w:val="2"/>
          <w:sz w:val="24"/>
          <w:szCs w:val="24"/>
          <w:lang w:eastAsia="zh-CN" w:bidi="hi-IN"/>
        </w:rPr>
        <w:t xml:space="preserve"> O. D., </w:t>
      </w:r>
      <w:proofErr w:type="spellStart"/>
      <w:r w:rsidRPr="00424CD3">
        <w:rPr>
          <w:rFonts w:ascii="Times New Roman" w:eastAsia="Times New Roman" w:hAnsi="Times New Roman" w:cs="Times New Roman"/>
          <w:kern w:val="2"/>
          <w:sz w:val="24"/>
          <w:szCs w:val="24"/>
          <w:lang w:eastAsia="zh-CN" w:bidi="hi-IN"/>
        </w:rPr>
        <w:t>Pupina</w:t>
      </w:r>
      <w:proofErr w:type="spellEnd"/>
      <w:r w:rsidRPr="00424CD3">
        <w:rPr>
          <w:rFonts w:ascii="Times New Roman" w:eastAsia="Times New Roman" w:hAnsi="Times New Roman" w:cs="Times New Roman"/>
          <w:kern w:val="2"/>
          <w:sz w:val="24"/>
          <w:szCs w:val="24"/>
          <w:lang w:eastAsia="zh-CN" w:bidi="hi-IN"/>
        </w:rPr>
        <w:t xml:space="preserve"> A., </w:t>
      </w:r>
      <w:proofErr w:type="spellStart"/>
      <w:r w:rsidRPr="00424CD3">
        <w:rPr>
          <w:rFonts w:ascii="Times New Roman" w:eastAsia="Times New Roman" w:hAnsi="Times New Roman" w:cs="Times New Roman"/>
          <w:kern w:val="2"/>
          <w:sz w:val="24"/>
          <w:szCs w:val="24"/>
          <w:lang w:eastAsia="zh-CN" w:bidi="hi-IN"/>
        </w:rPr>
        <w:t>Pupins</w:t>
      </w:r>
      <w:proofErr w:type="spellEnd"/>
      <w:r w:rsidRPr="00424CD3">
        <w:rPr>
          <w:rFonts w:ascii="Times New Roman" w:eastAsia="Times New Roman" w:hAnsi="Times New Roman" w:cs="Times New Roman"/>
          <w:kern w:val="2"/>
          <w:sz w:val="24"/>
          <w:szCs w:val="24"/>
          <w:lang w:eastAsia="zh-CN" w:bidi="hi-IN"/>
        </w:rPr>
        <w:t xml:space="preserve"> M., </w:t>
      </w:r>
      <w:proofErr w:type="spellStart"/>
      <w:r w:rsidRPr="00424CD3">
        <w:rPr>
          <w:rFonts w:ascii="Times New Roman" w:eastAsia="Times New Roman" w:hAnsi="Times New Roman" w:cs="Times New Roman"/>
          <w:kern w:val="2"/>
          <w:sz w:val="24"/>
          <w:szCs w:val="24"/>
          <w:lang w:eastAsia="zh-CN" w:bidi="hi-IN"/>
        </w:rPr>
        <w:t>Oskyrko</w:t>
      </w:r>
      <w:proofErr w:type="spellEnd"/>
      <w:r w:rsidRPr="00424CD3">
        <w:rPr>
          <w:rFonts w:ascii="Times New Roman" w:eastAsia="Times New Roman" w:hAnsi="Times New Roman" w:cs="Times New Roman"/>
          <w:kern w:val="2"/>
          <w:sz w:val="24"/>
          <w:szCs w:val="24"/>
          <w:lang w:eastAsia="zh-CN" w:bidi="hi-IN"/>
        </w:rPr>
        <w:t xml:space="preserve"> O. S. 2018</w:t>
      </w:r>
      <w:r w:rsidR="00EE7399" w:rsidRPr="00424CD3">
        <w:rPr>
          <w:rFonts w:ascii="Times New Roman" w:eastAsia="Times New Roman" w:hAnsi="Times New Roman" w:cs="Times New Roman"/>
          <w:kern w:val="2"/>
          <w:sz w:val="24"/>
          <w:szCs w:val="24"/>
          <w:lang w:eastAsia="zh-CN" w:bidi="hi-IN"/>
        </w:rPr>
        <w:t>.</w:t>
      </w:r>
      <w:r w:rsidRPr="00424CD3">
        <w:rPr>
          <w:rFonts w:ascii="Times New Roman" w:eastAsia="Times New Roman" w:hAnsi="Times New Roman" w:cs="Times New Roman"/>
          <w:kern w:val="2"/>
          <w:sz w:val="24"/>
          <w:szCs w:val="24"/>
          <w:lang w:eastAsia="zh-CN" w:bidi="hi-IN"/>
        </w:rPr>
        <w:t xml:space="preserve"> </w:t>
      </w:r>
      <w:proofErr w:type="spellStart"/>
      <w:r w:rsidRPr="00424CD3">
        <w:rPr>
          <w:rFonts w:ascii="Times New Roman" w:eastAsia="Times New Roman" w:hAnsi="Times New Roman" w:cs="Times New Roman"/>
          <w:kern w:val="2"/>
          <w:sz w:val="24"/>
          <w:szCs w:val="24"/>
          <w:lang w:eastAsia="zh-CN" w:bidi="hi-IN"/>
        </w:rPr>
        <w:t>Long</w:t>
      </w:r>
      <w:proofErr w:type="spellEnd"/>
      <w:r w:rsidRPr="00424CD3">
        <w:rPr>
          <w:rFonts w:ascii="Times New Roman" w:eastAsia="Times New Roman" w:hAnsi="Times New Roman" w:cs="Times New Roman"/>
          <w:kern w:val="2"/>
          <w:sz w:val="24"/>
          <w:szCs w:val="24"/>
          <w:lang w:eastAsia="zh-CN" w:bidi="hi-IN"/>
        </w:rPr>
        <w:t xml:space="preserve">-term </w:t>
      </w:r>
      <w:proofErr w:type="spellStart"/>
      <w:r w:rsidRPr="00424CD3">
        <w:rPr>
          <w:rFonts w:ascii="Times New Roman" w:eastAsia="Times New Roman" w:hAnsi="Times New Roman" w:cs="Times New Roman"/>
          <w:kern w:val="2"/>
          <w:sz w:val="24"/>
          <w:szCs w:val="24"/>
          <w:lang w:eastAsia="zh-CN" w:bidi="hi-IN"/>
        </w:rPr>
        <w:t>bioclimatic</w:t>
      </w:r>
      <w:proofErr w:type="spellEnd"/>
      <w:r w:rsidRPr="00424CD3">
        <w:rPr>
          <w:rFonts w:ascii="Times New Roman" w:eastAsia="Times New Roman" w:hAnsi="Times New Roman" w:cs="Times New Roman"/>
          <w:kern w:val="2"/>
          <w:sz w:val="24"/>
          <w:szCs w:val="24"/>
          <w:lang w:eastAsia="zh-CN" w:bidi="hi-IN"/>
        </w:rPr>
        <w:t xml:space="preserve"> </w:t>
      </w:r>
      <w:proofErr w:type="spellStart"/>
      <w:r w:rsidRPr="00424CD3">
        <w:rPr>
          <w:rFonts w:ascii="Times New Roman" w:eastAsia="Times New Roman" w:hAnsi="Times New Roman" w:cs="Times New Roman"/>
          <w:kern w:val="2"/>
          <w:sz w:val="24"/>
          <w:szCs w:val="24"/>
          <w:lang w:eastAsia="zh-CN" w:bidi="hi-IN"/>
        </w:rPr>
        <w:t>modelling</w:t>
      </w:r>
      <w:proofErr w:type="spellEnd"/>
      <w:r w:rsidRPr="00424CD3">
        <w:rPr>
          <w:rFonts w:ascii="Times New Roman" w:eastAsia="Times New Roman" w:hAnsi="Times New Roman" w:cs="Times New Roman"/>
          <w:kern w:val="2"/>
          <w:sz w:val="24"/>
          <w:szCs w:val="24"/>
          <w:lang w:eastAsia="zh-CN" w:bidi="hi-IN"/>
        </w:rPr>
        <w:t xml:space="preserve"> </w:t>
      </w:r>
      <w:proofErr w:type="spellStart"/>
      <w:r w:rsidRPr="00424CD3">
        <w:rPr>
          <w:rFonts w:ascii="Times New Roman" w:eastAsia="Times New Roman" w:hAnsi="Times New Roman" w:cs="Times New Roman"/>
          <w:kern w:val="2"/>
          <w:sz w:val="24"/>
          <w:szCs w:val="24"/>
          <w:lang w:eastAsia="zh-CN" w:bidi="hi-IN"/>
        </w:rPr>
        <w:t>the</w:t>
      </w:r>
      <w:proofErr w:type="spellEnd"/>
      <w:r w:rsidRPr="00424CD3">
        <w:rPr>
          <w:rFonts w:ascii="Times New Roman" w:eastAsia="Times New Roman" w:hAnsi="Times New Roman" w:cs="Times New Roman"/>
          <w:kern w:val="2"/>
          <w:sz w:val="24"/>
          <w:szCs w:val="24"/>
          <w:lang w:eastAsia="zh-CN" w:bidi="hi-IN"/>
        </w:rPr>
        <w:t xml:space="preserve"> </w:t>
      </w:r>
      <w:proofErr w:type="spellStart"/>
      <w:r w:rsidRPr="00424CD3">
        <w:rPr>
          <w:rFonts w:ascii="Times New Roman" w:eastAsia="Times New Roman" w:hAnsi="Times New Roman" w:cs="Times New Roman"/>
          <w:kern w:val="2"/>
          <w:sz w:val="24"/>
          <w:szCs w:val="24"/>
          <w:lang w:eastAsia="zh-CN" w:bidi="hi-IN"/>
        </w:rPr>
        <w:t>distribution</w:t>
      </w:r>
      <w:proofErr w:type="spellEnd"/>
      <w:r w:rsidRPr="00424CD3">
        <w:rPr>
          <w:rFonts w:ascii="Times New Roman" w:eastAsia="Times New Roman" w:hAnsi="Times New Roman" w:cs="Times New Roman"/>
          <w:kern w:val="2"/>
          <w:sz w:val="24"/>
          <w:szCs w:val="24"/>
          <w:lang w:eastAsia="zh-CN" w:bidi="hi-IN"/>
        </w:rPr>
        <w:t xml:space="preserve"> </w:t>
      </w:r>
      <w:proofErr w:type="spellStart"/>
      <w:r w:rsidRPr="00424CD3">
        <w:rPr>
          <w:rFonts w:ascii="Times New Roman" w:eastAsia="Times New Roman" w:hAnsi="Times New Roman" w:cs="Times New Roman"/>
          <w:kern w:val="2"/>
          <w:sz w:val="24"/>
          <w:szCs w:val="24"/>
          <w:lang w:eastAsia="zh-CN" w:bidi="hi-IN"/>
        </w:rPr>
        <w:t>of</w:t>
      </w:r>
      <w:proofErr w:type="spellEnd"/>
      <w:r w:rsidRPr="00424CD3">
        <w:rPr>
          <w:rFonts w:ascii="Times New Roman" w:eastAsia="Times New Roman" w:hAnsi="Times New Roman" w:cs="Times New Roman"/>
          <w:kern w:val="2"/>
          <w:sz w:val="24"/>
          <w:szCs w:val="24"/>
          <w:lang w:eastAsia="zh-CN" w:bidi="hi-IN"/>
        </w:rPr>
        <w:t xml:space="preserve"> </w:t>
      </w:r>
      <w:proofErr w:type="spellStart"/>
      <w:r w:rsidRPr="00424CD3">
        <w:rPr>
          <w:rFonts w:ascii="Times New Roman" w:eastAsia="Times New Roman" w:hAnsi="Times New Roman" w:cs="Times New Roman"/>
          <w:kern w:val="2"/>
          <w:sz w:val="24"/>
          <w:szCs w:val="24"/>
          <w:lang w:eastAsia="zh-CN" w:bidi="hi-IN"/>
        </w:rPr>
        <w:t>the</w:t>
      </w:r>
      <w:proofErr w:type="spellEnd"/>
      <w:r w:rsidRPr="00424CD3">
        <w:rPr>
          <w:rFonts w:ascii="Times New Roman" w:eastAsia="Times New Roman" w:hAnsi="Times New Roman" w:cs="Times New Roman"/>
          <w:kern w:val="2"/>
          <w:sz w:val="24"/>
          <w:szCs w:val="24"/>
          <w:lang w:eastAsia="zh-CN" w:bidi="hi-IN"/>
        </w:rPr>
        <w:t xml:space="preserve"> </w:t>
      </w:r>
      <w:proofErr w:type="spellStart"/>
      <w:r w:rsidRPr="00424CD3">
        <w:rPr>
          <w:rFonts w:ascii="Times New Roman" w:eastAsia="Times New Roman" w:hAnsi="Times New Roman" w:cs="Times New Roman"/>
          <w:kern w:val="2"/>
          <w:sz w:val="24"/>
          <w:szCs w:val="24"/>
          <w:lang w:eastAsia="zh-CN" w:bidi="hi-IN"/>
        </w:rPr>
        <w:t>fire-bellied</w:t>
      </w:r>
      <w:proofErr w:type="spellEnd"/>
      <w:r w:rsidRPr="00424CD3">
        <w:rPr>
          <w:rFonts w:ascii="Times New Roman" w:eastAsia="Times New Roman" w:hAnsi="Times New Roman" w:cs="Times New Roman"/>
          <w:kern w:val="2"/>
          <w:sz w:val="24"/>
          <w:szCs w:val="24"/>
          <w:lang w:eastAsia="zh-CN" w:bidi="hi-IN"/>
        </w:rPr>
        <w:t xml:space="preserve"> </w:t>
      </w:r>
      <w:proofErr w:type="spellStart"/>
      <w:r w:rsidRPr="00424CD3">
        <w:rPr>
          <w:rFonts w:ascii="Times New Roman" w:eastAsia="Times New Roman" w:hAnsi="Times New Roman" w:cs="Times New Roman"/>
          <w:kern w:val="2"/>
          <w:sz w:val="24"/>
          <w:szCs w:val="24"/>
          <w:lang w:eastAsia="zh-CN" w:bidi="hi-IN"/>
        </w:rPr>
        <w:t>toad</w:t>
      </w:r>
      <w:proofErr w:type="spellEnd"/>
      <w:r w:rsidRPr="00424CD3">
        <w:rPr>
          <w:rFonts w:ascii="Times New Roman" w:eastAsia="Times New Roman" w:hAnsi="Times New Roman" w:cs="Times New Roman"/>
          <w:kern w:val="2"/>
          <w:sz w:val="24"/>
          <w:szCs w:val="24"/>
          <w:lang w:eastAsia="zh-CN" w:bidi="hi-IN"/>
        </w:rPr>
        <w:t xml:space="preserve">, </w:t>
      </w:r>
      <w:proofErr w:type="spellStart"/>
      <w:r w:rsidRPr="00424CD3">
        <w:rPr>
          <w:rFonts w:ascii="Times New Roman" w:eastAsia="Times New Roman" w:hAnsi="Times New Roman" w:cs="Times New Roman"/>
          <w:kern w:val="2"/>
          <w:sz w:val="24"/>
          <w:szCs w:val="24"/>
          <w:lang w:eastAsia="zh-CN" w:bidi="hi-IN"/>
        </w:rPr>
        <w:t>Bombina</w:t>
      </w:r>
      <w:proofErr w:type="spellEnd"/>
      <w:r w:rsidRPr="00424CD3">
        <w:rPr>
          <w:rFonts w:ascii="Times New Roman" w:eastAsia="Times New Roman" w:hAnsi="Times New Roman" w:cs="Times New Roman"/>
          <w:kern w:val="2"/>
          <w:sz w:val="24"/>
          <w:szCs w:val="24"/>
          <w:lang w:eastAsia="zh-CN" w:bidi="hi-IN"/>
        </w:rPr>
        <w:t xml:space="preserve"> </w:t>
      </w:r>
      <w:proofErr w:type="spellStart"/>
      <w:r w:rsidRPr="00424CD3">
        <w:rPr>
          <w:rFonts w:ascii="Times New Roman" w:eastAsia="Times New Roman" w:hAnsi="Times New Roman" w:cs="Times New Roman"/>
          <w:kern w:val="2"/>
          <w:sz w:val="24"/>
          <w:szCs w:val="24"/>
          <w:lang w:eastAsia="zh-CN" w:bidi="hi-IN"/>
        </w:rPr>
        <w:t>bombina</w:t>
      </w:r>
      <w:proofErr w:type="spellEnd"/>
      <w:r w:rsidRPr="00424CD3">
        <w:rPr>
          <w:rFonts w:ascii="Times New Roman" w:eastAsia="Times New Roman" w:hAnsi="Times New Roman" w:cs="Times New Roman"/>
          <w:kern w:val="2"/>
          <w:sz w:val="24"/>
          <w:szCs w:val="24"/>
          <w:lang w:eastAsia="zh-CN" w:bidi="hi-IN"/>
        </w:rPr>
        <w:t xml:space="preserve"> (</w:t>
      </w:r>
      <w:proofErr w:type="spellStart"/>
      <w:r w:rsidRPr="00424CD3">
        <w:rPr>
          <w:rFonts w:ascii="Times New Roman" w:eastAsia="Times New Roman" w:hAnsi="Times New Roman" w:cs="Times New Roman"/>
          <w:kern w:val="2"/>
          <w:sz w:val="24"/>
          <w:szCs w:val="24"/>
          <w:lang w:eastAsia="zh-CN" w:bidi="hi-IN"/>
        </w:rPr>
        <w:t>Anura</w:t>
      </w:r>
      <w:proofErr w:type="spellEnd"/>
      <w:r w:rsidRPr="00424CD3">
        <w:rPr>
          <w:rFonts w:ascii="Times New Roman" w:eastAsia="Times New Roman" w:hAnsi="Times New Roman" w:cs="Times New Roman"/>
          <w:kern w:val="2"/>
          <w:sz w:val="24"/>
          <w:szCs w:val="24"/>
          <w:lang w:eastAsia="zh-CN" w:bidi="hi-IN"/>
        </w:rPr>
        <w:t xml:space="preserve">, </w:t>
      </w:r>
      <w:proofErr w:type="spellStart"/>
      <w:r w:rsidRPr="00424CD3">
        <w:rPr>
          <w:rFonts w:ascii="Times New Roman" w:eastAsia="Times New Roman" w:hAnsi="Times New Roman" w:cs="Times New Roman"/>
          <w:kern w:val="2"/>
          <w:sz w:val="24"/>
          <w:szCs w:val="24"/>
          <w:lang w:eastAsia="zh-CN" w:bidi="hi-IN"/>
        </w:rPr>
        <w:t>Bombinatoridae</w:t>
      </w:r>
      <w:proofErr w:type="spellEnd"/>
      <w:r w:rsidRPr="00424CD3">
        <w:rPr>
          <w:rFonts w:ascii="Times New Roman" w:eastAsia="Times New Roman" w:hAnsi="Times New Roman" w:cs="Times New Roman"/>
          <w:kern w:val="2"/>
          <w:sz w:val="24"/>
          <w:szCs w:val="24"/>
          <w:lang w:eastAsia="zh-CN" w:bidi="hi-IN"/>
        </w:rPr>
        <w:t xml:space="preserve">), </w:t>
      </w:r>
      <w:proofErr w:type="spellStart"/>
      <w:r w:rsidRPr="00424CD3">
        <w:rPr>
          <w:rFonts w:ascii="Times New Roman" w:eastAsia="Times New Roman" w:hAnsi="Times New Roman" w:cs="Times New Roman"/>
          <w:kern w:val="2"/>
          <w:sz w:val="24"/>
          <w:szCs w:val="24"/>
          <w:lang w:eastAsia="zh-CN" w:bidi="hi-IN"/>
        </w:rPr>
        <w:t>under</w:t>
      </w:r>
      <w:proofErr w:type="spellEnd"/>
      <w:r w:rsidRPr="00424CD3">
        <w:rPr>
          <w:rFonts w:ascii="Times New Roman" w:eastAsia="Times New Roman" w:hAnsi="Times New Roman" w:cs="Times New Roman"/>
          <w:kern w:val="2"/>
          <w:sz w:val="24"/>
          <w:szCs w:val="24"/>
          <w:lang w:eastAsia="zh-CN" w:bidi="hi-IN"/>
        </w:rPr>
        <w:t xml:space="preserve"> </w:t>
      </w:r>
      <w:proofErr w:type="spellStart"/>
      <w:r w:rsidRPr="00424CD3">
        <w:rPr>
          <w:rFonts w:ascii="Times New Roman" w:eastAsia="Times New Roman" w:hAnsi="Times New Roman" w:cs="Times New Roman"/>
          <w:kern w:val="2"/>
          <w:sz w:val="24"/>
          <w:szCs w:val="24"/>
          <w:lang w:eastAsia="zh-CN" w:bidi="hi-IN"/>
        </w:rPr>
        <w:t>the</w:t>
      </w:r>
      <w:proofErr w:type="spellEnd"/>
      <w:r w:rsidRPr="00424CD3">
        <w:rPr>
          <w:rFonts w:ascii="Times New Roman" w:eastAsia="Times New Roman" w:hAnsi="Times New Roman" w:cs="Times New Roman"/>
          <w:kern w:val="2"/>
          <w:sz w:val="24"/>
          <w:szCs w:val="24"/>
          <w:lang w:eastAsia="zh-CN" w:bidi="hi-IN"/>
        </w:rPr>
        <w:t xml:space="preserve"> influence </w:t>
      </w:r>
      <w:proofErr w:type="spellStart"/>
      <w:r w:rsidRPr="00424CD3">
        <w:rPr>
          <w:rFonts w:ascii="Times New Roman" w:eastAsia="Times New Roman" w:hAnsi="Times New Roman" w:cs="Times New Roman"/>
          <w:kern w:val="2"/>
          <w:sz w:val="24"/>
          <w:szCs w:val="24"/>
          <w:lang w:eastAsia="zh-CN" w:bidi="hi-IN"/>
        </w:rPr>
        <w:t>of</w:t>
      </w:r>
      <w:proofErr w:type="spellEnd"/>
      <w:r w:rsidRPr="00424CD3">
        <w:rPr>
          <w:rFonts w:ascii="Times New Roman" w:eastAsia="Times New Roman" w:hAnsi="Times New Roman" w:cs="Times New Roman"/>
          <w:kern w:val="2"/>
          <w:sz w:val="24"/>
          <w:szCs w:val="24"/>
          <w:lang w:eastAsia="zh-CN" w:bidi="hi-IN"/>
        </w:rPr>
        <w:t xml:space="preserve"> </w:t>
      </w:r>
      <w:proofErr w:type="spellStart"/>
      <w:r w:rsidRPr="00424CD3">
        <w:rPr>
          <w:rFonts w:ascii="Times New Roman" w:eastAsia="Times New Roman" w:hAnsi="Times New Roman" w:cs="Times New Roman"/>
          <w:kern w:val="2"/>
          <w:sz w:val="24"/>
          <w:szCs w:val="24"/>
          <w:lang w:eastAsia="zh-CN" w:bidi="hi-IN"/>
        </w:rPr>
        <w:t>global</w:t>
      </w:r>
      <w:proofErr w:type="spellEnd"/>
      <w:r w:rsidRPr="00424CD3">
        <w:rPr>
          <w:rFonts w:ascii="Times New Roman" w:eastAsia="Times New Roman" w:hAnsi="Times New Roman" w:cs="Times New Roman"/>
          <w:kern w:val="2"/>
          <w:sz w:val="24"/>
          <w:szCs w:val="24"/>
          <w:lang w:eastAsia="zh-CN" w:bidi="hi-IN"/>
        </w:rPr>
        <w:t xml:space="preserve"> </w:t>
      </w:r>
      <w:proofErr w:type="spellStart"/>
      <w:r w:rsidRPr="00424CD3">
        <w:rPr>
          <w:rFonts w:ascii="Times New Roman" w:eastAsia="Times New Roman" w:hAnsi="Times New Roman" w:cs="Times New Roman"/>
          <w:kern w:val="2"/>
          <w:sz w:val="24"/>
          <w:szCs w:val="24"/>
          <w:lang w:eastAsia="zh-CN" w:bidi="hi-IN"/>
        </w:rPr>
        <w:t>climate</w:t>
      </w:r>
      <w:proofErr w:type="spellEnd"/>
      <w:r w:rsidRPr="00424CD3">
        <w:rPr>
          <w:rFonts w:ascii="Times New Roman" w:eastAsia="Times New Roman" w:hAnsi="Times New Roman" w:cs="Times New Roman"/>
          <w:kern w:val="2"/>
          <w:sz w:val="24"/>
          <w:szCs w:val="24"/>
          <w:lang w:eastAsia="zh-CN" w:bidi="hi-IN"/>
        </w:rPr>
        <w:t xml:space="preserve"> </w:t>
      </w:r>
      <w:proofErr w:type="spellStart"/>
      <w:r w:rsidRPr="00424CD3">
        <w:rPr>
          <w:rFonts w:ascii="Times New Roman" w:eastAsia="Times New Roman" w:hAnsi="Times New Roman" w:cs="Times New Roman"/>
          <w:kern w:val="2"/>
          <w:sz w:val="24"/>
          <w:szCs w:val="24"/>
          <w:lang w:eastAsia="zh-CN" w:bidi="hi-IN"/>
        </w:rPr>
        <w:t>change</w:t>
      </w:r>
      <w:proofErr w:type="spellEnd"/>
      <w:r w:rsidRPr="00424CD3">
        <w:rPr>
          <w:rFonts w:ascii="Times New Roman" w:eastAsia="Times New Roman" w:hAnsi="Times New Roman" w:cs="Times New Roman"/>
          <w:kern w:val="2"/>
          <w:sz w:val="24"/>
          <w:szCs w:val="24"/>
          <w:lang w:eastAsia="zh-CN" w:bidi="hi-IN"/>
        </w:rPr>
        <w:t>. –</w:t>
      </w:r>
      <w:proofErr w:type="spellStart"/>
      <w:r w:rsidRPr="00424CD3">
        <w:rPr>
          <w:rFonts w:ascii="Times New Roman" w:eastAsia="Times New Roman" w:hAnsi="Times New Roman" w:cs="Times New Roman"/>
          <w:kern w:val="2"/>
          <w:sz w:val="24"/>
          <w:szCs w:val="24"/>
          <w:lang w:eastAsia="zh-CN" w:bidi="hi-IN"/>
        </w:rPr>
        <w:t>Vestnik</w:t>
      </w:r>
      <w:proofErr w:type="spellEnd"/>
      <w:r w:rsidRPr="00424CD3">
        <w:rPr>
          <w:rFonts w:ascii="Times New Roman" w:eastAsia="Times New Roman" w:hAnsi="Times New Roman" w:cs="Times New Roman"/>
          <w:kern w:val="2"/>
          <w:sz w:val="24"/>
          <w:szCs w:val="24"/>
          <w:lang w:eastAsia="zh-CN" w:bidi="hi-IN"/>
        </w:rPr>
        <w:t xml:space="preserve"> </w:t>
      </w:r>
      <w:proofErr w:type="spellStart"/>
      <w:r w:rsidRPr="00424CD3">
        <w:rPr>
          <w:rFonts w:ascii="Times New Roman" w:eastAsia="Times New Roman" w:hAnsi="Times New Roman" w:cs="Times New Roman"/>
          <w:kern w:val="2"/>
          <w:sz w:val="24"/>
          <w:szCs w:val="24"/>
          <w:lang w:eastAsia="zh-CN" w:bidi="hi-IN"/>
        </w:rPr>
        <w:t>Zoologii</w:t>
      </w:r>
      <w:proofErr w:type="spellEnd"/>
      <w:r w:rsidRPr="00424CD3">
        <w:rPr>
          <w:rFonts w:ascii="Times New Roman" w:eastAsia="Times New Roman" w:hAnsi="Times New Roman" w:cs="Times New Roman"/>
          <w:kern w:val="2"/>
          <w:sz w:val="24"/>
          <w:szCs w:val="24"/>
          <w:lang w:eastAsia="zh-CN" w:bidi="hi-IN"/>
        </w:rPr>
        <w:t>, 52(4): 341-348.</w:t>
      </w:r>
    </w:p>
    <w:p w14:paraId="529A5758" w14:textId="7CC4865A" w:rsidR="00244B83" w:rsidRPr="00424CD3" w:rsidRDefault="00244B83" w:rsidP="00424CD3">
      <w:pPr>
        <w:numPr>
          <w:ilvl w:val="0"/>
          <w:numId w:val="31"/>
        </w:numPr>
        <w:spacing w:after="0" w:line="240" w:lineRule="auto"/>
        <w:ind w:left="924" w:hanging="357"/>
        <w:jc w:val="both"/>
        <w:rPr>
          <w:rFonts w:ascii="Times New Roman" w:eastAsia="Times New Roman" w:hAnsi="Times New Roman" w:cs="Times New Roman"/>
          <w:kern w:val="2"/>
          <w:sz w:val="24"/>
          <w:szCs w:val="24"/>
          <w:lang w:eastAsia="zh-CN" w:bidi="hi-IN"/>
        </w:rPr>
      </w:pPr>
      <w:r w:rsidRPr="00424CD3">
        <w:rPr>
          <w:rFonts w:ascii="Times New Roman" w:eastAsia="Times New Roman" w:hAnsi="Times New Roman" w:cs="Times New Roman"/>
          <w:kern w:val="2"/>
          <w:sz w:val="24"/>
          <w:szCs w:val="24"/>
          <w:lang w:eastAsia="zh-CN" w:bidi="hi-IN"/>
        </w:rPr>
        <w:t>Urtāne L. 2014. Ezeri nākotnei. Vadlīnijas ezeru un to vides ilgtspējīgai apsaimniekošanai. – Rīga. – 111 lpp.</w:t>
      </w:r>
    </w:p>
    <w:p w14:paraId="56903B19" w14:textId="1A633132" w:rsidR="00623F41" w:rsidRPr="00424CD3" w:rsidRDefault="00623F41" w:rsidP="00424CD3">
      <w:pPr>
        <w:numPr>
          <w:ilvl w:val="0"/>
          <w:numId w:val="31"/>
        </w:numPr>
        <w:spacing w:after="0" w:line="240" w:lineRule="auto"/>
        <w:ind w:left="924" w:hanging="357"/>
        <w:jc w:val="both"/>
        <w:rPr>
          <w:rFonts w:ascii="Times New Roman" w:eastAsia="Times New Roman" w:hAnsi="Times New Roman" w:cs="Times New Roman"/>
          <w:kern w:val="2"/>
          <w:sz w:val="24"/>
          <w:szCs w:val="24"/>
          <w:lang w:eastAsia="zh-CN" w:bidi="hi-IN"/>
        </w:rPr>
      </w:pPr>
      <w:r w:rsidRPr="00424CD3">
        <w:rPr>
          <w:rFonts w:ascii="Times New Roman" w:eastAsia="Times New Roman" w:hAnsi="Times New Roman" w:cs="Times New Roman"/>
          <w:kern w:val="2"/>
          <w:sz w:val="24"/>
          <w:szCs w:val="24"/>
          <w:lang w:eastAsia="zh-CN" w:bidi="hi-IN"/>
        </w:rPr>
        <w:t>Urtāns A.V. (</w:t>
      </w:r>
      <w:proofErr w:type="spellStart"/>
      <w:r w:rsidRPr="00424CD3">
        <w:rPr>
          <w:rFonts w:ascii="Times New Roman" w:eastAsia="Times New Roman" w:hAnsi="Times New Roman" w:cs="Times New Roman"/>
          <w:kern w:val="2"/>
          <w:sz w:val="24"/>
          <w:szCs w:val="24"/>
          <w:lang w:eastAsia="zh-CN" w:bidi="hi-IN"/>
        </w:rPr>
        <w:t>red</w:t>
      </w:r>
      <w:proofErr w:type="spellEnd"/>
      <w:r w:rsidRPr="00424CD3">
        <w:rPr>
          <w:rFonts w:ascii="Times New Roman" w:eastAsia="Times New Roman" w:hAnsi="Times New Roman" w:cs="Times New Roman"/>
          <w:kern w:val="2"/>
          <w:sz w:val="24"/>
          <w:szCs w:val="24"/>
          <w:lang w:eastAsia="zh-CN" w:bidi="hi-IN"/>
        </w:rPr>
        <w:t>.) 2017. Aizsargājamo biotopu saglabāšana vadlīnijas Latvijā. II Upes un ezeri. Dabas aizsardzības pārvalde.</w:t>
      </w:r>
    </w:p>
    <w:p w14:paraId="5E2DEF02" w14:textId="6A630070" w:rsidR="00260499" w:rsidRPr="00424CD3" w:rsidRDefault="00260499" w:rsidP="00424CD3">
      <w:pPr>
        <w:numPr>
          <w:ilvl w:val="0"/>
          <w:numId w:val="31"/>
        </w:numPr>
        <w:spacing w:after="0" w:line="240" w:lineRule="auto"/>
        <w:ind w:left="924" w:hanging="357"/>
        <w:contextualSpacing/>
        <w:jc w:val="both"/>
        <w:rPr>
          <w:rFonts w:ascii="Times New Roman" w:eastAsia="Times New Roman" w:hAnsi="Times New Roman" w:cs="Times New Roman"/>
          <w:kern w:val="2"/>
          <w:sz w:val="24"/>
          <w:szCs w:val="24"/>
          <w:lang w:eastAsia="zh-CN" w:bidi="hi-IN"/>
        </w:rPr>
      </w:pPr>
      <w:r w:rsidRPr="00424CD3">
        <w:rPr>
          <w:rFonts w:ascii="Times New Roman" w:eastAsia="Times New Roman" w:hAnsi="Times New Roman" w:cs="Times New Roman"/>
          <w:color w:val="000000"/>
          <w:kern w:val="2"/>
          <w:sz w:val="24"/>
          <w:szCs w:val="24"/>
          <w:lang w:eastAsia="ja-JP" w:bidi="hi-IN"/>
        </w:rPr>
        <w:t xml:space="preserve">Urtāns A.V., Urtāne L., </w:t>
      </w:r>
      <w:proofErr w:type="spellStart"/>
      <w:r w:rsidRPr="00424CD3">
        <w:rPr>
          <w:rFonts w:ascii="Times New Roman" w:eastAsia="Times New Roman" w:hAnsi="Times New Roman" w:cs="Times New Roman"/>
          <w:color w:val="000000"/>
          <w:kern w:val="2"/>
          <w:sz w:val="24"/>
          <w:szCs w:val="24"/>
          <w:lang w:eastAsia="ja-JP" w:bidi="hi-IN"/>
        </w:rPr>
        <w:t>Suško</w:t>
      </w:r>
      <w:proofErr w:type="spellEnd"/>
      <w:r w:rsidRPr="00424CD3">
        <w:rPr>
          <w:rFonts w:ascii="Times New Roman" w:eastAsia="Times New Roman" w:hAnsi="Times New Roman" w:cs="Times New Roman"/>
          <w:color w:val="000000"/>
          <w:kern w:val="2"/>
          <w:sz w:val="24"/>
          <w:szCs w:val="24"/>
          <w:lang w:eastAsia="ja-JP" w:bidi="hi-IN"/>
        </w:rPr>
        <w:t xml:space="preserve"> U. 2017. 3150 </w:t>
      </w:r>
      <w:proofErr w:type="spellStart"/>
      <w:r w:rsidRPr="00424CD3">
        <w:rPr>
          <w:rFonts w:ascii="Times New Roman" w:eastAsia="Times New Roman" w:hAnsi="Times New Roman" w:cs="Times New Roman"/>
          <w:color w:val="000000"/>
          <w:kern w:val="2"/>
          <w:sz w:val="24"/>
          <w:szCs w:val="24"/>
          <w:lang w:eastAsia="ja-JP" w:bidi="hi-IN"/>
        </w:rPr>
        <w:t>Eitrofi</w:t>
      </w:r>
      <w:proofErr w:type="spellEnd"/>
      <w:r w:rsidRPr="00424CD3">
        <w:rPr>
          <w:rFonts w:ascii="Times New Roman" w:eastAsia="Times New Roman" w:hAnsi="Times New Roman" w:cs="Times New Roman"/>
          <w:color w:val="000000"/>
          <w:kern w:val="2"/>
          <w:sz w:val="24"/>
          <w:szCs w:val="24"/>
          <w:lang w:eastAsia="ja-JP" w:bidi="hi-IN"/>
        </w:rPr>
        <w:t xml:space="preserve"> ezeri ar iegrimušo ūdensaugu un </w:t>
      </w:r>
      <w:proofErr w:type="spellStart"/>
      <w:r w:rsidRPr="00424CD3">
        <w:rPr>
          <w:rFonts w:ascii="Times New Roman" w:eastAsia="Times New Roman" w:hAnsi="Times New Roman" w:cs="Times New Roman"/>
          <w:color w:val="000000"/>
          <w:kern w:val="2"/>
          <w:sz w:val="24"/>
          <w:szCs w:val="24"/>
          <w:lang w:eastAsia="ja-JP" w:bidi="hi-IN"/>
        </w:rPr>
        <w:t>peldaugu</w:t>
      </w:r>
      <w:proofErr w:type="spellEnd"/>
      <w:r w:rsidRPr="00424CD3">
        <w:rPr>
          <w:rFonts w:ascii="Times New Roman" w:eastAsia="Times New Roman" w:hAnsi="Times New Roman" w:cs="Times New Roman"/>
          <w:color w:val="000000"/>
          <w:kern w:val="2"/>
          <w:sz w:val="24"/>
          <w:szCs w:val="24"/>
          <w:lang w:eastAsia="ja-JP" w:bidi="hi-IN"/>
        </w:rPr>
        <w:t xml:space="preserve"> augāju. </w:t>
      </w:r>
      <w:proofErr w:type="spellStart"/>
      <w:r w:rsidRPr="00424CD3">
        <w:rPr>
          <w:rFonts w:ascii="Times New Roman" w:eastAsia="Times New Roman" w:hAnsi="Times New Roman" w:cs="Times New Roman"/>
          <w:color w:val="000000"/>
          <w:kern w:val="2"/>
          <w:sz w:val="24"/>
          <w:szCs w:val="24"/>
          <w:lang w:eastAsia="ja-JP" w:bidi="hi-IN"/>
        </w:rPr>
        <w:t>Grām</w:t>
      </w:r>
      <w:proofErr w:type="spellEnd"/>
      <w:r w:rsidRPr="00424CD3">
        <w:rPr>
          <w:rFonts w:ascii="Times New Roman" w:eastAsia="Times New Roman" w:hAnsi="Times New Roman" w:cs="Times New Roman"/>
          <w:color w:val="000000"/>
          <w:kern w:val="2"/>
          <w:sz w:val="24"/>
          <w:szCs w:val="24"/>
          <w:lang w:eastAsia="ja-JP" w:bidi="hi-IN"/>
        </w:rPr>
        <w:t>.: Urtāns A. V. (</w:t>
      </w:r>
      <w:proofErr w:type="spellStart"/>
      <w:r w:rsidRPr="00424CD3">
        <w:rPr>
          <w:rFonts w:ascii="Times New Roman" w:eastAsia="Times New Roman" w:hAnsi="Times New Roman" w:cs="Times New Roman"/>
          <w:color w:val="000000"/>
          <w:kern w:val="2"/>
          <w:sz w:val="24"/>
          <w:szCs w:val="24"/>
          <w:lang w:eastAsia="ja-JP" w:bidi="hi-IN"/>
        </w:rPr>
        <w:t>red</w:t>
      </w:r>
      <w:proofErr w:type="spellEnd"/>
      <w:r w:rsidRPr="00424CD3">
        <w:rPr>
          <w:rFonts w:ascii="Times New Roman" w:eastAsia="Times New Roman" w:hAnsi="Times New Roman" w:cs="Times New Roman"/>
          <w:color w:val="000000"/>
          <w:kern w:val="2"/>
          <w:sz w:val="24"/>
          <w:szCs w:val="24"/>
          <w:lang w:eastAsia="ja-JP" w:bidi="hi-IN"/>
        </w:rPr>
        <w:t>.) Aizsargājamo biotopu saglabāšana vadlīnijas Latvijā. II Upes un ezeri. Dabas aizsardzības pārvalde, Sigulda, 92-114.</w:t>
      </w:r>
    </w:p>
    <w:p w14:paraId="7B44274D" w14:textId="0FF9A483" w:rsidR="00D65BBA" w:rsidRPr="00424CD3" w:rsidRDefault="00D65BBA" w:rsidP="00424CD3">
      <w:pPr>
        <w:numPr>
          <w:ilvl w:val="0"/>
          <w:numId w:val="31"/>
        </w:numPr>
        <w:spacing w:after="0" w:line="240" w:lineRule="auto"/>
        <w:ind w:left="924" w:hanging="357"/>
        <w:contextualSpacing/>
        <w:jc w:val="both"/>
        <w:rPr>
          <w:rFonts w:ascii="Times New Roman" w:eastAsia="Times New Roman" w:hAnsi="Times New Roman" w:cs="Times New Roman"/>
          <w:kern w:val="2"/>
          <w:sz w:val="24"/>
          <w:szCs w:val="24"/>
          <w:lang w:eastAsia="zh-CN" w:bidi="hi-IN"/>
        </w:rPr>
      </w:pPr>
      <w:proofErr w:type="spellStart"/>
      <w:r w:rsidRPr="00424CD3">
        <w:rPr>
          <w:rFonts w:ascii="Times New Roman" w:eastAsia="Times New Roman" w:hAnsi="Times New Roman" w:cs="Times New Roman"/>
          <w:kern w:val="2"/>
          <w:sz w:val="24"/>
          <w:szCs w:val="24"/>
          <w:lang w:eastAsia="zh-CN" w:bidi="hi-IN"/>
        </w:rPr>
        <w:t>Ūdenstūrisma</w:t>
      </w:r>
      <w:proofErr w:type="spellEnd"/>
      <w:r w:rsidRPr="00424CD3">
        <w:rPr>
          <w:rFonts w:ascii="Times New Roman" w:eastAsia="Times New Roman" w:hAnsi="Times New Roman" w:cs="Times New Roman"/>
          <w:kern w:val="2"/>
          <w:sz w:val="24"/>
          <w:szCs w:val="24"/>
          <w:lang w:eastAsia="zh-CN" w:bidi="hi-IN"/>
        </w:rPr>
        <w:t xml:space="preserve"> maršruts "Augšdaugava" (Piedruja - Daugavpils). (2018). Krāslavas novada TIC un Daugavpils novada pašvaldības aģentūra TAKA</w:t>
      </w:r>
      <w:r w:rsidR="004D5054" w:rsidRPr="00424CD3">
        <w:rPr>
          <w:rFonts w:ascii="Times New Roman" w:eastAsia="Times New Roman" w:hAnsi="Times New Roman" w:cs="Times New Roman"/>
          <w:kern w:val="2"/>
          <w:sz w:val="24"/>
          <w:szCs w:val="24"/>
          <w:lang w:eastAsia="zh-CN" w:bidi="hi-IN"/>
        </w:rPr>
        <w:t xml:space="preserve">, </w:t>
      </w:r>
      <w:hyperlink r:id="rId215" w:history="1">
        <w:r w:rsidR="00E75E8A" w:rsidRPr="00424CD3">
          <w:rPr>
            <w:rStyle w:val="Hyperlink"/>
            <w:rFonts w:ascii="Times New Roman" w:eastAsia="Times New Roman" w:hAnsi="Times New Roman" w:cs="Times New Roman"/>
            <w:kern w:val="2"/>
            <w:sz w:val="24"/>
            <w:szCs w:val="24"/>
            <w:lang w:eastAsia="zh-CN" w:bidi="hi-IN"/>
          </w:rPr>
          <w:t>https://www.visitdaugavpils.lv/marsruti/udensturisma-marsruts-augsdaugava-piedruja-daugavpils/</w:t>
        </w:r>
      </w:hyperlink>
      <w:r w:rsidR="00E75E8A" w:rsidRPr="00424CD3">
        <w:rPr>
          <w:rFonts w:ascii="Times New Roman" w:eastAsia="Times New Roman" w:hAnsi="Times New Roman" w:cs="Times New Roman"/>
          <w:kern w:val="2"/>
          <w:sz w:val="24"/>
          <w:szCs w:val="24"/>
          <w:lang w:eastAsia="zh-CN" w:bidi="hi-IN"/>
        </w:rPr>
        <w:t xml:space="preserve"> </w:t>
      </w:r>
      <w:r w:rsidR="00437BE8" w:rsidRPr="00424CD3">
        <w:rPr>
          <w:rFonts w:ascii="Times New Roman" w:eastAsia="Times New Roman" w:hAnsi="Times New Roman" w:cs="Times New Roman"/>
          <w:kern w:val="2"/>
          <w:sz w:val="24"/>
          <w:szCs w:val="24"/>
          <w:lang w:eastAsia="zh-CN" w:bidi="hi-IN"/>
        </w:rPr>
        <w:t xml:space="preserve">un </w:t>
      </w:r>
      <w:hyperlink r:id="rId216" w:history="1">
        <w:r w:rsidR="00437BE8" w:rsidRPr="00424CD3">
          <w:rPr>
            <w:rStyle w:val="Hyperlink"/>
            <w:rFonts w:ascii="Times New Roman" w:eastAsia="Times New Roman" w:hAnsi="Times New Roman" w:cs="Times New Roman"/>
            <w:kern w:val="2"/>
            <w:sz w:val="24"/>
            <w:szCs w:val="24"/>
            <w:lang w:eastAsia="zh-CN" w:bidi="hi-IN"/>
          </w:rPr>
          <w:t>https://www.visitkraslava.com/index.php/lv/turisms/ko-darit/udens-turisms/udensturisma-marsruts-koskovci-slutiski-koskovci-piedruja-kraslava</w:t>
        </w:r>
      </w:hyperlink>
      <w:r w:rsidR="00437BE8" w:rsidRPr="00424CD3">
        <w:rPr>
          <w:rFonts w:ascii="Times New Roman" w:eastAsia="Times New Roman" w:hAnsi="Times New Roman" w:cs="Times New Roman"/>
          <w:kern w:val="2"/>
          <w:sz w:val="24"/>
          <w:szCs w:val="24"/>
          <w:lang w:eastAsia="zh-CN" w:bidi="hi-IN"/>
        </w:rPr>
        <w:t xml:space="preserve">. </w:t>
      </w:r>
    </w:p>
    <w:p w14:paraId="6C4F8107" w14:textId="634B4CF6" w:rsidR="006715E1" w:rsidRPr="00424CD3" w:rsidRDefault="006715E1" w:rsidP="006715E1">
      <w:pPr>
        <w:numPr>
          <w:ilvl w:val="0"/>
          <w:numId w:val="31"/>
        </w:numPr>
        <w:spacing w:after="120" w:line="240" w:lineRule="auto"/>
        <w:contextualSpacing/>
        <w:jc w:val="both"/>
        <w:rPr>
          <w:rFonts w:ascii="Times New Roman" w:eastAsia="Times New Roman" w:hAnsi="Times New Roman" w:cs="Times New Roman"/>
          <w:kern w:val="2"/>
          <w:sz w:val="24"/>
          <w:szCs w:val="24"/>
          <w:lang w:eastAsia="zh-CN" w:bidi="hi-IN"/>
        </w:rPr>
      </w:pPr>
      <w:r w:rsidRPr="00424CD3">
        <w:rPr>
          <w:rFonts w:ascii="Times New Roman" w:eastAsia="Times New Roman" w:hAnsi="Times New Roman" w:cs="Times New Roman"/>
          <w:kern w:val="2"/>
          <w:sz w:val="24"/>
          <w:szCs w:val="24"/>
          <w:lang w:eastAsia="zh-CN" w:bidi="hi-IN"/>
        </w:rPr>
        <w:t>Vadlīnijas antropogēnās slodzes novērtēšanai īpaši aizsargājamās dabas teritorijās. 2016. Dabas aizsardzības pārvalde, 9 lpp.</w:t>
      </w:r>
    </w:p>
    <w:p w14:paraId="233717FD" w14:textId="77777777" w:rsidR="00260499" w:rsidRPr="00424CD3" w:rsidRDefault="00260499" w:rsidP="00F87589">
      <w:pPr>
        <w:numPr>
          <w:ilvl w:val="0"/>
          <w:numId w:val="31"/>
        </w:numPr>
        <w:spacing w:after="120" w:line="240" w:lineRule="auto"/>
        <w:contextualSpacing/>
        <w:jc w:val="both"/>
        <w:rPr>
          <w:rFonts w:ascii="Times New Roman" w:eastAsia="Times New Roman" w:hAnsi="Times New Roman" w:cs="Times New Roman"/>
          <w:kern w:val="2"/>
          <w:sz w:val="24"/>
          <w:szCs w:val="24"/>
          <w:lang w:eastAsia="zh-CN" w:bidi="hi-IN"/>
        </w:rPr>
      </w:pPr>
      <w:r w:rsidRPr="00424CD3">
        <w:rPr>
          <w:rFonts w:ascii="Times New Roman" w:eastAsia="Times New Roman" w:hAnsi="Times New Roman" w:cs="Times New Roman"/>
          <w:color w:val="000000"/>
          <w:kern w:val="2"/>
          <w:sz w:val="24"/>
          <w:szCs w:val="24"/>
          <w:lang w:eastAsia="ja-JP" w:bidi="hi-IN"/>
        </w:rPr>
        <w:t>Valainis U. 2018. Īpaši aizsargājamās un reti sastopamās vaboļu sugas Latvijā. Daugavpils Universitātes Dabas izpētes un vides izglītības centra veidots metodiskais materiāls. Daugavpils: 72 lpp.</w:t>
      </w:r>
    </w:p>
    <w:p w14:paraId="659F0AFB" w14:textId="53801C2B" w:rsidR="00D1017B" w:rsidRPr="00424CD3" w:rsidRDefault="00D1017B" w:rsidP="00424CD3">
      <w:pPr>
        <w:numPr>
          <w:ilvl w:val="0"/>
          <w:numId w:val="31"/>
        </w:numPr>
        <w:spacing w:after="0" w:line="240" w:lineRule="auto"/>
        <w:ind w:left="924" w:hanging="357"/>
        <w:contextualSpacing/>
        <w:jc w:val="both"/>
        <w:rPr>
          <w:rFonts w:ascii="Times New Roman" w:eastAsia="Times New Roman" w:hAnsi="Times New Roman" w:cs="Times New Roman"/>
          <w:kern w:val="2"/>
          <w:sz w:val="24"/>
          <w:szCs w:val="24"/>
          <w:lang w:eastAsia="zh-CN" w:bidi="hi-IN"/>
        </w:rPr>
      </w:pPr>
      <w:proofErr w:type="spellStart"/>
      <w:r w:rsidRPr="00424CD3">
        <w:rPr>
          <w:rFonts w:ascii="Times New Roman" w:eastAsia="Times New Roman" w:hAnsi="Times New Roman" w:cs="Times New Roman"/>
          <w:kern w:val="2"/>
          <w:sz w:val="24"/>
          <w:szCs w:val="24"/>
          <w:lang w:eastAsia="zh-CN" w:bidi="hi-IN"/>
        </w:rPr>
        <w:t>Valovirta</w:t>
      </w:r>
      <w:proofErr w:type="spellEnd"/>
      <w:r w:rsidRPr="00424CD3">
        <w:rPr>
          <w:rFonts w:ascii="Times New Roman" w:eastAsia="Times New Roman" w:hAnsi="Times New Roman" w:cs="Times New Roman"/>
          <w:kern w:val="2"/>
          <w:sz w:val="24"/>
          <w:szCs w:val="24"/>
          <w:lang w:eastAsia="zh-CN" w:bidi="hi-IN"/>
        </w:rPr>
        <w:t xml:space="preserve"> I. 1996. </w:t>
      </w:r>
      <w:proofErr w:type="spellStart"/>
      <w:r w:rsidRPr="00424CD3">
        <w:rPr>
          <w:rFonts w:ascii="Times New Roman" w:eastAsia="Times New Roman" w:hAnsi="Times New Roman" w:cs="Times New Roman"/>
          <w:kern w:val="2"/>
          <w:sz w:val="24"/>
          <w:szCs w:val="24"/>
          <w:lang w:eastAsia="zh-CN" w:bidi="hi-IN"/>
        </w:rPr>
        <w:t>Land</w:t>
      </w:r>
      <w:proofErr w:type="spellEnd"/>
      <w:r w:rsidRPr="00424CD3">
        <w:rPr>
          <w:rFonts w:ascii="Times New Roman" w:eastAsia="Times New Roman" w:hAnsi="Times New Roman" w:cs="Times New Roman"/>
          <w:kern w:val="2"/>
          <w:sz w:val="24"/>
          <w:szCs w:val="24"/>
          <w:lang w:eastAsia="zh-CN" w:bidi="hi-IN"/>
        </w:rPr>
        <w:t xml:space="preserve"> </w:t>
      </w:r>
      <w:proofErr w:type="spellStart"/>
      <w:r w:rsidRPr="00424CD3">
        <w:rPr>
          <w:rFonts w:ascii="Times New Roman" w:eastAsia="Times New Roman" w:hAnsi="Times New Roman" w:cs="Times New Roman"/>
          <w:kern w:val="2"/>
          <w:sz w:val="24"/>
          <w:szCs w:val="24"/>
          <w:lang w:eastAsia="zh-CN" w:bidi="hi-IN"/>
        </w:rPr>
        <w:t>mollusc</w:t>
      </w:r>
      <w:proofErr w:type="spellEnd"/>
      <w:r w:rsidRPr="00424CD3">
        <w:rPr>
          <w:rFonts w:ascii="Times New Roman" w:eastAsia="Times New Roman" w:hAnsi="Times New Roman" w:cs="Times New Roman"/>
          <w:kern w:val="2"/>
          <w:sz w:val="24"/>
          <w:szCs w:val="24"/>
          <w:lang w:eastAsia="zh-CN" w:bidi="hi-IN"/>
        </w:rPr>
        <w:t xml:space="preserve"> monitoring </w:t>
      </w:r>
      <w:proofErr w:type="spellStart"/>
      <w:r w:rsidRPr="00424CD3">
        <w:rPr>
          <w:rFonts w:ascii="Times New Roman" w:eastAsia="Times New Roman" w:hAnsi="Times New Roman" w:cs="Times New Roman"/>
          <w:kern w:val="2"/>
          <w:sz w:val="24"/>
          <w:szCs w:val="24"/>
          <w:lang w:eastAsia="zh-CN" w:bidi="hi-IN"/>
        </w:rPr>
        <w:t>scheme</w:t>
      </w:r>
      <w:proofErr w:type="spellEnd"/>
      <w:r w:rsidRPr="00424CD3">
        <w:rPr>
          <w:rFonts w:ascii="Times New Roman" w:eastAsia="Times New Roman" w:hAnsi="Times New Roman" w:cs="Times New Roman"/>
          <w:kern w:val="2"/>
          <w:sz w:val="24"/>
          <w:szCs w:val="24"/>
          <w:lang w:eastAsia="zh-CN" w:bidi="hi-IN"/>
        </w:rPr>
        <w:t xml:space="preserve">: a </w:t>
      </w:r>
      <w:proofErr w:type="spellStart"/>
      <w:r w:rsidRPr="00424CD3">
        <w:rPr>
          <w:rFonts w:ascii="Times New Roman" w:eastAsia="Times New Roman" w:hAnsi="Times New Roman" w:cs="Times New Roman"/>
          <w:kern w:val="2"/>
          <w:sz w:val="24"/>
          <w:szCs w:val="24"/>
          <w:lang w:eastAsia="zh-CN" w:bidi="hi-IN"/>
        </w:rPr>
        <w:t>handbook</w:t>
      </w:r>
      <w:proofErr w:type="spellEnd"/>
      <w:r w:rsidRPr="00424CD3">
        <w:rPr>
          <w:rFonts w:ascii="Times New Roman" w:eastAsia="Times New Roman" w:hAnsi="Times New Roman" w:cs="Times New Roman"/>
          <w:kern w:val="2"/>
          <w:sz w:val="24"/>
          <w:szCs w:val="24"/>
          <w:lang w:eastAsia="zh-CN" w:bidi="hi-IN"/>
        </w:rPr>
        <w:t xml:space="preserve"> </w:t>
      </w:r>
      <w:proofErr w:type="spellStart"/>
      <w:r w:rsidRPr="00424CD3">
        <w:rPr>
          <w:rFonts w:ascii="Times New Roman" w:eastAsia="Times New Roman" w:hAnsi="Times New Roman" w:cs="Times New Roman"/>
          <w:kern w:val="2"/>
          <w:sz w:val="24"/>
          <w:szCs w:val="24"/>
          <w:lang w:eastAsia="zh-CN" w:bidi="hi-IN"/>
        </w:rPr>
        <w:t>for</w:t>
      </w:r>
      <w:proofErr w:type="spellEnd"/>
      <w:r w:rsidRPr="00424CD3">
        <w:rPr>
          <w:rFonts w:ascii="Times New Roman" w:eastAsia="Times New Roman" w:hAnsi="Times New Roman" w:cs="Times New Roman"/>
          <w:kern w:val="2"/>
          <w:sz w:val="24"/>
          <w:szCs w:val="24"/>
          <w:lang w:eastAsia="zh-CN" w:bidi="hi-IN"/>
        </w:rPr>
        <w:t xml:space="preserve"> </w:t>
      </w:r>
      <w:proofErr w:type="spellStart"/>
      <w:r w:rsidRPr="00424CD3">
        <w:rPr>
          <w:rFonts w:ascii="Times New Roman" w:eastAsia="Times New Roman" w:hAnsi="Times New Roman" w:cs="Times New Roman"/>
          <w:kern w:val="2"/>
          <w:sz w:val="24"/>
          <w:szCs w:val="24"/>
          <w:lang w:eastAsia="zh-CN" w:bidi="hi-IN"/>
        </w:rPr>
        <w:t>field</w:t>
      </w:r>
      <w:proofErr w:type="spellEnd"/>
      <w:r w:rsidRPr="00424CD3">
        <w:rPr>
          <w:rFonts w:ascii="Times New Roman" w:eastAsia="Times New Roman" w:hAnsi="Times New Roman" w:cs="Times New Roman"/>
          <w:kern w:val="2"/>
          <w:sz w:val="24"/>
          <w:szCs w:val="24"/>
          <w:lang w:eastAsia="zh-CN" w:bidi="hi-IN"/>
        </w:rPr>
        <w:t xml:space="preserve"> </w:t>
      </w:r>
      <w:proofErr w:type="spellStart"/>
      <w:r w:rsidRPr="00424CD3">
        <w:rPr>
          <w:rFonts w:ascii="Times New Roman" w:eastAsia="Times New Roman" w:hAnsi="Times New Roman" w:cs="Times New Roman"/>
          <w:kern w:val="2"/>
          <w:sz w:val="24"/>
          <w:szCs w:val="24"/>
          <w:lang w:eastAsia="zh-CN" w:bidi="hi-IN"/>
        </w:rPr>
        <w:t>and</w:t>
      </w:r>
      <w:proofErr w:type="spellEnd"/>
      <w:r w:rsidRPr="00424CD3">
        <w:rPr>
          <w:rFonts w:ascii="TimesNewRoman" w:hAnsi="TimesNewRoman" w:cs="TimesNewRoman"/>
          <w:sz w:val="24"/>
          <w:szCs w:val="24"/>
        </w:rPr>
        <w:t xml:space="preserve"> </w:t>
      </w:r>
      <w:proofErr w:type="spellStart"/>
      <w:r w:rsidRPr="00424CD3">
        <w:rPr>
          <w:rFonts w:ascii="Times New Roman" w:eastAsia="Times New Roman" w:hAnsi="Times New Roman" w:cs="Times New Roman"/>
          <w:kern w:val="2"/>
          <w:sz w:val="24"/>
          <w:szCs w:val="24"/>
          <w:lang w:eastAsia="zh-CN" w:bidi="hi-IN"/>
        </w:rPr>
        <w:t>laboratory</w:t>
      </w:r>
      <w:proofErr w:type="spellEnd"/>
      <w:r w:rsidRPr="00424CD3">
        <w:rPr>
          <w:rFonts w:ascii="Times New Roman" w:eastAsia="Times New Roman" w:hAnsi="Times New Roman" w:cs="Times New Roman"/>
          <w:kern w:val="2"/>
          <w:sz w:val="24"/>
          <w:szCs w:val="24"/>
          <w:lang w:eastAsia="zh-CN" w:bidi="hi-IN"/>
        </w:rPr>
        <w:t xml:space="preserve"> </w:t>
      </w:r>
      <w:proofErr w:type="spellStart"/>
      <w:r w:rsidRPr="00424CD3">
        <w:rPr>
          <w:rFonts w:ascii="Times New Roman" w:eastAsia="Times New Roman" w:hAnsi="Times New Roman" w:cs="Times New Roman"/>
          <w:kern w:val="2"/>
          <w:sz w:val="24"/>
          <w:szCs w:val="24"/>
          <w:lang w:eastAsia="zh-CN" w:bidi="hi-IN"/>
        </w:rPr>
        <w:t>methods</w:t>
      </w:r>
      <w:proofErr w:type="spellEnd"/>
      <w:r w:rsidRPr="00424CD3">
        <w:rPr>
          <w:rFonts w:ascii="Times New Roman" w:eastAsia="Times New Roman" w:hAnsi="Times New Roman" w:cs="Times New Roman"/>
          <w:kern w:val="2"/>
          <w:sz w:val="24"/>
          <w:szCs w:val="24"/>
          <w:lang w:eastAsia="zh-CN" w:bidi="hi-IN"/>
        </w:rPr>
        <w:t xml:space="preserve">. </w:t>
      </w:r>
      <w:proofErr w:type="spellStart"/>
      <w:r w:rsidRPr="00424CD3">
        <w:rPr>
          <w:rFonts w:ascii="Times New Roman" w:eastAsia="Times New Roman" w:hAnsi="Times New Roman" w:cs="Times New Roman"/>
          <w:kern w:val="2"/>
          <w:sz w:val="24"/>
          <w:szCs w:val="24"/>
          <w:lang w:eastAsia="zh-CN" w:bidi="hi-IN"/>
        </w:rPr>
        <w:t>Finnish</w:t>
      </w:r>
      <w:proofErr w:type="spellEnd"/>
      <w:r w:rsidRPr="00424CD3">
        <w:rPr>
          <w:rFonts w:ascii="Times New Roman" w:eastAsia="Times New Roman" w:hAnsi="Times New Roman" w:cs="Times New Roman"/>
          <w:kern w:val="2"/>
          <w:sz w:val="24"/>
          <w:szCs w:val="24"/>
          <w:lang w:eastAsia="zh-CN" w:bidi="hi-IN"/>
        </w:rPr>
        <w:t xml:space="preserve"> </w:t>
      </w:r>
      <w:proofErr w:type="spellStart"/>
      <w:r w:rsidRPr="00424CD3">
        <w:rPr>
          <w:rFonts w:ascii="Times New Roman" w:eastAsia="Times New Roman" w:hAnsi="Times New Roman" w:cs="Times New Roman"/>
          <w:kern w:val="2"/>
          <w:sz w:val="24"/>
          <w:szCs w:val="24"/>
          <w:lang w:eastAsia="zh-CN" w:bidi="hi-IN"/>
        </w:rPr>
        <w:t>Environmental</w:t>
      </w:r>
      <w:proofErr w:type="spellEnd"/>
      <w:r w:rsidRPr="00424CD3">
        <w:rPr>
          <w:rFonts w:ascii="Times New Roman" w:eastAsia="Times New Roman" w:hAnsi="Times New Roman" w:cs="Times New Roman"/>
          <w:kern w:val="2"/>
          <w:sz w:val="24"/>
          <w:szCs w:val="24"/>
          <w:lang w:eastAsia="zh-CN" w:bidi="hi-IN"/>
        </w:rPr>
        <w:t xml:space="preserve"> </w:t>
      </w:r>
      <w:proofErr w:type="spellStart"/>
      <w:r w:rsidRPr="00424CD3">
        <w:rPr>
          <w:rFonts w:ascii="Times New Roman" w:eastAsia="Times New Roman" w:hAnsi="Times New Roman" w:cs="Times New Roman"/>
          <w:kern w:val="2"/>
          <w:sz w:val="24"/>
          <w:szCs w:val="24"/>
          <w:lang w:eastAsia="zh-CN" w:bidi="hi-IN"/>
        </w:rPr>
        <w:t>Institute</w:t>
      </w:r>
      <w:proofErr w:type="spellEnd"/>
      <w:r w:rsidRPr="00424CD3">
        <w:rPr>
          <w:rFonts w:ascii="Times New Roman" w:eastAsia="Times New Roman" w:hAnsi="Times New Roman" w:cs="Times New Roman"/>
          <w:kern w:val="2"/>
          <w:sz w:val="24"/>
          <w:szCs w:val="24"/>
          <w:lang w:eastAsia="zh-CN" w:bidi="hi-IN"/>
        </w:rPr>
        <w:t xml:space="preserve">/ </w:t>
      </w:r>
      <w:proofErr w:type="spellStart"/>
      <w:r w:rsidRPr="00424CD3">
        <w:rPr>
          <w:rFonts w:ascii="Times New Roman" w:eastAsia="Times New Roman" w:hAnsi="Times New Roman" w:cs="Times New Roman"/>
          <w:kern w:val="2"/>
          <w:sz w:val="24"/>
          <w:szCs w:val="24"/>
          <w:lang w:eastAsia="zh-CN" w:bidi="hi-IN"/>
        </w:rPr>
        <w:t>Nordic</w:t>
      </w:r>
      <w:proofErr w:type="spellEnd"/>
      <w:r w:rsidRPr="00424CD3">
        <w:rPr>
          <w:rFonts w:ascii="Times New Roman" w:eastAsia="Times New Roman" w:hAnsi="Times New Roman" w:cs="Times New Roman"/>
          <w:kern w:val="2"/>
          <w:sz w:val="24"/>
          <w:szCs w:val="24"/>
          <w:lang w:eastAsia="zh-CN" w:bidi="hi-IN"/>
        </w:rPr>
        <w:t xml:space="preserve"> </w:t>
      </w:r>
      <w:proofErr w:type="spellStart"/>
      <w:r w:rsidRPr="00424CD3">
        <w:rPr>
          <w:rFonts w:ascii="Times New Roman" w:eastAsia="Times New Roman" w:hAnsi="Times New Roman" w:cs="Times New Roman"/>
          <w:kern w:val="2"/>
          <w:sz w:val="24"/>
          <w:szCs w:val="24"/>
          <w:lang w:eastAsia="zh-CN" w:bidi="hi-IN"/>
        </w:rPr>
        <w:t>Council</w:t>
      </w:r>
      <w:proofErr w:type="spellEnd"/>
      <w:r w:rsidRPr="00424CD3">
        <w:rPr>
          <w:rFonts w:ascii="Times New Roman" w:eastAsia="Times New Roman" w:hAnsi="Times New Roman" w:cs="Times New Roman"/>
          <w:kern w:val="2"/>
          <w:sz w:val="24"/>
          <w:szCs w:val="24"/>
          <w:lang w:eastAsia="zh-CN" w:bidi="hi-IN"/>
        </w:rPr>
        <w:t xml:space="preserve"> </w:t>
      </w:r>
      <w:proofErr w:type="spellStart"/>
      <w:r w:rsidRPr="00424CD3">
        <w:rPr>
          <w:rFonts w:ascii="Times New Roman" w:eastAsia="Times New Roman" w:hAnsi="Times New Roman" w:cs="Times New Roman"/>
          <w:kern w:val="2"/>
          <w:sz w:val="24"/>
          <w:szCs w:val="24"/>
          <w:lang w:eastAsia="zh-CN" w:bidi="hi-IN"/>
        </w:rPr>
        <w:t>of</w:t>
      </w:r>
      <w:proofErr w:type="spellEnd"/>
      <w:r w:rsidRPr="00424CD3">
        <w:rPr>
          <w:rFonts w:ascii="TimesNewRoman" w:hAnsi="TimesNewRoman" w:cs="TimesNewRoman"/>
          <w:sz w:val="24"/>
          <w:szCs w:val="24"/>
        </w:rPr>
        <w:t xml:space="preserve"> </w:t>
      </w:r>
      <w:proofErr w:type="spellStart"/>
      <w:r w:rsidRPr="00424CD3">
        <w:rPr>
          <w:rFonts w:ascii="Times New Roman" w:eastAsia="Times New Roman" w:hAnsi="Times New Roman" w:cs="Times New Roman"/>
          <w:kern w:val="2"/>
          <w:sz w:val="24"/>
          <w:szCs w:val="24"/>
          <w:lang w:eastAsia="zh-CN" w:bidi="hi-IN"/>
        </w:rPr>
        <w:t>Ministers</w:t>
      </w:r>
      <w:proofErr w:type="spellEnd"/>
      <w:r w:rsidRPr="00424CD3">
        <w:rPr>
          <w:rFonts w:ascii="Times New Roman" w:eastAsia="Times New Roman" w:hAnsi="Times New Roman" w:cs="Times New Roman"/>
          <w:kern w:val="2"/>
          <w:sz w:val="24"/>
          <w:szCs w:val="24"/>
          <w:lang w:eastAsia="zh-CN" w:bidi="hi-IN"/>
        </w:rPr>
        <w:t>, Helsinki.</w:t>
      </w:r>
    </w:p>
    <w:p w14:paraId="13A00CD8" w14:textId="2BED9845" w:rsidR="00260499" w:rsidRPr="00424CD3" w:rsidRDefault="00260499" w:rsidP="00424CD3">
      <w:pPr>
        <w:numPr>
          <w:ilvl w:val="0"/>
          <w:numId w:val="31"/>
        </w:numPr>
        <w:tabs>
          <w:tab w:val="left" w:pos="426"/>
        </w:tabs>
        <w:spacing w:after="0" w:line="240" w:lineRule="auto"/>
        <w:ind w:left="924" w:hanging="357"/>
        <w:jc w:val="both"/>
        <w:rPr>
          <w:rFonts w:ascii="Times New Roman" w:eastAsia="Times New Roman" w:hAnsi="Times New Roman" w:cs="Times New Roman"/>
          <w:kern w:val="2"/>
          <w:sz w:val="24"/>
          <w:szCs w:val="24"/>
          <w:lang w:eastAsia="zh-CN" w:bidi="hi-IN"/>
        </w:rPr>
      </w:pPr>
      <w:r w:rsidRPr="00424CD3">
        <w:rPr>
          <w:rFonts w:ascii="Times New Roman" w:eastAsia="Times New Roman" w:hAnsi="Times New Roman" w:cs="Times New Roman"/>
          <w:kern w:val="2"/>
          <w:sz w:val="24"/>
          <w:szCs w:val="24"/>
          <w:lang w:eastAsia="zh-CN" w:bidi="hi-IN"/>
        </w:rPr>
        <w:t>Vides pārskats Daugavpils novada teritorijas plānojums 2012. – 2023.gadam</w:t>
      </w:r>
      <w:r w:rsidR="003C727E" w:rsidRPr="00424CD3">
        <w:rPr>
          <w:rFonts w:ascii="Times New Roman" w:eastAsia="Times New Roman" w:hAnsi="Times New Roman" w:cs="Times New Roman"/>
          <w:kern w:val="2"/>
          <w:sz w:val="24"/>
          <w:szCs w:val="24"/>
          <w:lang w:eastAsia="zh-CN" w:bidi="hi-IN"/>
        </w:rPr>
        <w:t>. 2014. 122 lpp.</w:t>
      </w:r>
      <w:r w:rsidRPr="00424CD3">
        <w:rPr>
          <w:rFonts w:ascii="Times New Roman" w:eastAsia="Times New Roman" w:hAnsi="Times New Roman" w:cs="Times New Roman"/>
          <w:kern w:val="2"/>
          <w:sz w:val="24"/>
          <w:szCs w:val="24"/>
          <w:lang w:eastAsia="zh-CN" w:bidi="hi-IN"/>
        </w:rPr>
        <w:t xml:space="preserve"> </w:t>
      </w:r>
    </w:p>
    <w:p w14:paraId="2C2ED93F" w14:textId="7C471A08" w:rsidR="00D3027B" w:rsidRPr="00424CD3" w:rsidRDefault="00D3027B" w:rsidP="00424CD3">
      <w:pPr>
        <w:numPr>
          <w:ilvl w:val="0"/>
          <w:numId w:val="31"/>
        </w:numPr>
        <w:spacing w:after="0" w:line="240" w:lineRule="auto"/>
        <w:ind w:left="924" w:hanging="357"/>
        <w:jc w:val="both"/>
        <w:rPr>
          <w:rFonts w:ascii="Times New Roman" w:eastAsia="Times New Roman" w:hAnsi="Times New Roman" w:cs="Times New Roman"/>
          <w:kern w:val="2"/>
          <w:sz w:val="24"/>
          <w:szCs w:val="24"/>
          <w:lang w:eastAsia="zh-CN" w:bidi="hi-IN"/>
        </w:rPr>
      </w:pPr>
      <w:r w:rsidRPr="00424CD3">
        <w:rPr>
          <w:rFonts w:ascii="Times New Roman" w:eastAsia="Times New Roman" w:hAnsi="Times New Roman" w:cs="Times New Roman"/>
          <w:kern w:val="2"/>
          <w:sz w:val="24"/>
          <w:szCs w:val="24"/>
          <w:lang w:eastAsia="zh-CN" w:bidi="hi-IN"/>
        </w:rPr>
        <w:t>Vējonis R. 2008. Par Daugavas piesārņojuma, kā arī plūdu radīto draudu samazināšanu. Latvijas Vēstnes</w:t>
      </w:r>
      <w:r w:rsidR="000B4634" w:rsidRPr="00424CD3">
        <w:rPr>
          <w:rFonts w:ascii="Times New Roman" w:eastAsia="Times New Roman" w:hAnsi="Times New Roman" w:cs="Times New Roman"/>
          <w:kern w:val="2"/>
          <w:sz w:val="24"/>
          <w:szCs w:val="24"/>
          <w:lang w:eastAsia="zh-CN" w:bidi="hi-IN"/>
        </w:rPr>
        <w:t>is, Nr. </w:t>
      </w:r>
      <w:r w:rsidRPr="00424CD3">
        <w:rPr>
          <w:rFonts w:ascii="Times New Roman" w:eastAsia="Times New Roman" w:hAnsi="Times New Roman" w:cs="Times New Roman"/>
          <w:kern w:val="2"/>
          <w:sz w:val="24"/>
          <w:szCs w:val="24"/>
          <w:lang w:eastAsia="zh-CN" w:bidi="hi-IN"/>
        </w:rPr>
        <w:t xml:space="preserve">74, 14.05.2008. </w:t>
      </w:r>
      <w:hyperlink r:id="rId217" w:history="1">
        <w:r w:rsidRPr="00424CD3">
          <w:rPr>
            <w:rStyle w:val="Hyperlink"/>
            <w:rFonts w:ascii="Times New Roman" w:eastAsia="Times New Roman" w:hAnsi="Times New Roman" w:cs="Times New Roman"/>
            <w:kern w:val="2"/>
            <w:sz w:val="24"/>
            <w:szCs w:val="24"/>
            <w:lang w:eastAsia="zh-CN" w:bidi="hi-IN"/>
          </w:rPr>
          <w:t>https://www.vestnesis.lv/ta/id/175264</w:t>
        </w:r>
      </w:hyperlink>
      <w:r w:rsidR="000B4634" w:rsidRPr="00424CD3">
        <w:rPr>
          <w:rStyle w:val="Hyperlink"/>
          <w:rFonts w:ascii="Times New Roman" w:eastAsia="Times New Roman" w:hAnsi="Times New Roman" w:cs="Times New Roman"/>
          <w:kern w:val="2"/>
          <w:sz w:val="24"/>
          <w:szCs w:val="24"/>
          <w:lang w:eastAsia="zh-CN" w:bidi="hi-IN"/>
        </w:rPr>
        <w:t>.</w:t>
      </w:r>
      <w:r w:rsidRPr="00424CD3">
        <w:rPr>
          <w:rFonts w:ascii="Times New Roman" w:eastAsia="Times New Roman" w:hAnsi="Times New Roman" w:cs="Times New Roman"/>
          <w:kern w:val="2"/>
          <w:sz w:val="24"/>
          <w:szCs w:val="24"/>
          <w:lang w:eastAsia="zh-CN" w:bidi="hi-IN"/>
        </w:rPr>
        <w:t xml:space="preserve"> </w:t>
      </w:r>
    </w:p>
    <w:p w14:paraId="32C395C2" w14:textId="5902585B" w:rsidR="00260499" w:rsidRPr="00424CD3" w:rsidRDefault="00260499" w:rsidP="00424CD3">
      <w:pPr>
        <w:numPr>
          <w:ilvl w:val="0"/>
          <w:numId w:val="31"/>
        </w:numPr>
        <w:spacing w:after="0" w:line="240" w:lineRule="auto"/>
        <w:ind w:left="924" w:hanging="357"/>
        <w:jc w:val="both"/>
        <w:rPr>
          <w:rFonts w:ascii="Times New Roman" w:eastAsia="Times New Roman" w:hAnsi="Times New Roman" w:cs="Times New Roman"/>
          <w:kern w:val="2"/>
          <w:sz w:val="24"/>
          <w:szCs w:val="24"/>
          <w:lang w:eastAsia="zh-CN" w:bidi="hi-IN"/>
        </w:rPr>
      </w:pPr>
      <w:proofErr w:type="spellStart"/>
      <w:r w:rsidRPr="00424CD3">
        <w:rPr>
          <w:rFonts w:ascii="Times New Roman" w:eastAsia="Times New Roman" w:hAnsi="Times New Roman" w:cs="Times New Roman"/>
          <w:color w:val="000000"/>
          <w:kern w:val="2"/>
          <w:sz w:val="24"/>
          <w:szCs w:val="24"/>
          <w:lang w:eastAsia="ja-JP" w:bidi="hi-IN"/>
        </w:rPr>
        <w:t>Venska</w:t>
      </w:r>
      <w:proofErr w:type="spellEnd"/>
      <w:r w:rsidRPr="00424CD3">
        <w:rPr>
          <w:rFonts w:ascii="Times New Roman" w:eastAsia="Times New Roman" w:hAnsi="Times New Roman" w:cs="Times New Roman"/>
          <w:color w:val="000000"/>
          <w:kern w:val="2"/>
          <w:sz w:val="24"/>
          <w:szCs w:val="24"/>
          <w:lang w:eastAsia="ja-JP" w:bidi="hi-IN"/>
        </w:rPr>
        <w:t xml:space="preserve"> V. 1982</w:t>
      </w:r>
      <w:r w:rsidR="00414090" w:rsidRPr="00424CD3">
        <w:rPr>
          <w:rFonts w:ascii="Times New Roman" w:eastAsia="Times New Roman" w:hAnsi="Times New Roman" w:cs="Times New Roman"/>
          <w:color w:val="000000"/>
          <w:kern w:val="2"/>
          <w:sz w:val="24"/>
          <w:szCs w:val="24"/>
          <w:lang w:eastAsia="ja-JP" w:bidi="hi-IN"/>
        </w:rPr>
        <w:t>.</w:t>
      </w:r>
      <w:r w:rsidRPr="00424CD3">
        <w:rPr>
          <w:rFonts w:ascii="Times New Roman" w:eastAsia="Times New Roman" w:hAnsi="Times New Roman" w:cs="Times New Roman"/>
          <w:color w:val="000000"/>
          <w:kern w:val="2"/>
          <w:sz w:val="24"/>
          <w:szCs w:val="24"/>
          <w:lang w:eastAsia="ja-JP" w:bidi="hi-IN"/>
        </w:rPr>
        <w:t xml:space="preserve"> </w:t>
      </w:r>
      <w:proofErr w:type="spellStart"/>
      <w:r w:rsidRPr="00424CD3">
        <w:rPr>
          <w:rFonts w:ascii="Times New Roman" w:eastAsia="Times New Roman" w:hAnsi="Times New Roman" w:cs="Times New Roman"/>
          <w:color w:val="000000"/>
          <w:kern w:val="2"/>
          <w:sz w:val="24"/>
          <w:szCs w:val="24"/>
          <w:lang w:eastAsia="ja-JP" w:bidi="hi-IN"/>
        </w:rPr>
        <w:t>Sovremennije</w:t>
      </w:r>
      <w:proofErr w:type="spellEnd"/>
      <w:r w:rsidRPr="00424CD3">
        <w:rPr>
          <w:rFonts w:ascii="Times New Roman" w:eastAsia="Times New Roman" w:hAnsi="Times New Roman" w:cs="Times New Roman"/>
          <w:color w:val="000000"/>
          <w:kern w:val="2"/>
          <w:sz w:val="24"/>
          <w:szCs w:val="24"/>
          <w:lang w:eastAsia="ja-JP" w:bidi="hi-IN"/>
        </w:rPr>
        <w:t xml:space="preserve"> </w:t>
      </w:r>
      <w:proofErr w:type="spellStart"/>
      <w:r w:rsidRPr="00424CD3">
        <w:rPr>
          <w:rFonts w:ascii="Times New Roman" w:eastAsia="Times New Roman" w:hAnsi="Times New Roman" w:cs="Times New Roman"/>
          <w:color w:val="000000"/>
          <w:kern w:val="2"/>
          <w:sz w:val="24"/>
          <w:szCs w:val="24"/>
          <w:lang w:eastAsia="ja-JP" w:bidi="hi-IN"/>
        </w:rPr>
        <w:t>geologicheskije</w:t>
      </w:r>
      <w:proofErr w:type="spellEnd"/>
      <w:r w:rsidRPr="00424CD3">
        <w:rPr>
          <w:rFonts w:ascii="Times New Roman" w:eastAsia="Times New Roman" w:hAnsi="Times New Roman" w:cs="Times New Roman"/>
          <w:color w:val="000000"/>
          <w:kern w:val="2"/>
          <w:sz w:val="24"/>
          <w:szCs w:val="24"/>
          <w:lang w:eastAsia="ja-JP" w:bidi="hi-IN"/>
        </w:rPr>
        <w:t xml:space="preserve"> </w:t>
      </w:r>
      <w:proofErr w:type="spellStart"/>
      <w:r w:rsidRPr="00424CD3">
        <w:rPr>
          <w:rFonts w:ascii="Times New Roman" w:eastAsia="Times New Roman" w:hAnsi="Times New Roman" w:cs="Times New Roman"/>
          <w:color w:val="000000"/>
          <w:kern w:val="2"/>
          <w:sz w:val="24"/>
          <w:szCs w:val="24"/>
          <w:lang w:eastAsia="ja-JP" w:bidi="hi-IN"/>
        </w:rPr>
        <w:t>processi</w:t>
      </w:r>
      <w:proofErr w:type="spellEnd"/>
      <w:r w:rsidRPr="00424CD3">
        <w:rPr>
          <w:rFonts w:ascii="Times New Roman" w:eastAsia="Times New Roman" w:hAnsi="Times New Roman" w:cs="Times New Roman"/>
          <w:color w:val="000000"/>
          <w:kern w:val="2"/>
          <w:sz w:val="24"/>
          <w:szCs w:val="24"/>
          <w:lang w:eastAsia="ja-JP" w:bidi="hi-IN"/>
        </w:rPr>
        <w:t xml:space="preserve"> </w:t>
      </w:r>
      <w:proofErr w:type="spellStart"/>
      <w:r w:rsidRPr="00424CD3">
        <w:rPr>
          <w:rFonts w:ascii="Times New Roman" w:eastAsia="Times New Roman" w:hAnsi="Times New Roman" w:cs="Times New Roman"/>
          <w:color w:val="000000"/>
          <w:kern w:val="2"/>
          <w:sz w:val="24"/>
          <w:szCs w:val="24"/>
          <w:lang w:eastAsia="ja-JP" w:bidi="hi-IN"/>
        </w:rPr>
        <w:t>na</w:t>
      </w:r>
      <w:proofErr w:type="spellEnd"/>
      <w:r w:rsidRPr="00424CD3">
        <w:rPr>
          <w:rFonts w:ascii="Times New Roman" w:eastAsia="Times New Roman" w:hAnsi="Times New Roman" w:cs="Times New Roman"/>
          <w:color w:val="000000"/>
          <w:kern w:val="2"/>
          <w:sz w:val="24"/>
          <w:szCs w:val="24"/>
          <w:lang w:eastAsia="ja-JP" w:bidi="hi-IN"/>
        </w:rPr>
        <w:t xml:space="preserve"> </w:t>
      </w:r>
      <w:proofErr w:type="spellStart"/>
      <w:r w:rsidRPr="00424CD3">
        <w:rPr>
          <w:rFonts w:ascii="Times New Roman" w:eastAsia="Times New Roman" w:hAnsi="Times New Roman" w:cs="Times New Roman"/>
          <w:color w:val="000000"/>
          <w:kern w:val="2"/>
          <w:sz w:val="24"/>
          <w:szCs w:val="24"/>
          <w:lang w:eastAsia="ja-JP" w:bidi="hi-IN"/>
        </w:rPr>
        <w:t>territorii</w:t>
      </w:r>
      <w:proofErr w:type="spellEnd"/>
      <w:r w:rsidRPr="00424CD3">
        <w:rPr>
          <w:rFonts w:ascii="Times New Roman" w:eastAsia="Times New Roman" w:hAnsi="Times New Roman" w:cs="Times New Roman"/>
          <w:color w:val="000000"/>
          <w:kern w:val="2"/>
          <w:sz w:val="24"/>
          <w:szCs w:val="24"/>
          <w:lang w:eastAsia="ja-JP" w:bidi="hi-IN"/>
        </w:rPr>
        <w:t xml:space="preserve"> </w:t>
      </w:r>
      <w:proofErr w:type="spellStart"/>
      <w:r w:rsidRPr="00424CD3">
        <w:rPr>
          <w:rFonts w:ascii="Times New Roman" w:eastAsia="Times New Roman" w:hAnsi="Times New Roman" w:cs="Times New Roman"/>
          <w:color w:val="000000"/>
          <w:kern w:val="2"/>
          <w:sz w:val="24"/>
          <w:szCs w:val="24"/>
          <w:lang w:eastAsia="ja-JP" w:bidi="hi-IN"/>
        </w:rPr>
        <w:t>nacionalnogo</w:t>
      </w:r>
      <w:proofErr w:type="spellEnd"/>
      <w:r w:rsidRPr="00424CD3">
        <w:rPr>
          <w:rFonts w:ascii="Times New Roman" w:eastAsia="Times New Roman" w:hAnsi="Times New Roman" w:cs="Times New Roman"/>
          <w:color w:val="000000"/>
          <w:kern w:val="2"/>
          <w:sz w:val="24"/>
          <w:szCs w:val="24"/>
          <w:lang w:eastAsia="ja-JP" w:bidi="hi-IN"/>
        </w:rPr>
        <w:t xml:space="preserve"> parka Gauja. </w:t>
      </w:r>
      <w:proofErr w:type="spellStart"/>
      <w:r w:rsidRPr="00424CD3">
        <w:rPr>
          <w:rFonts w:ascii="Times New Roman" w:eastAsia="Times New Roman" w:hAnsi="Times New Roman" w:cs="Times New Roman"/>
          <w:color w:val="000000"/>
          <w:kern w:val="2"/>
          <w:sz w:val="24"/>
          <w:szCs w:val="24"/>
          <w:lang w:eastAsia="ja-JP" w:bidi="hi-IN"/>
        </w:rPr>
        <w:t>In</w:t>
      </w:r>
      <w:proofErr w:type="spellEnd"/>
      <w:r w:rsidRPr="00424CD3">
        <w:rPr>
          <w:rFonts w:ascii="Times New Roman" w:eastAsia="Times New Roman" w:hAnsi="Times New Roman" w:cs="Times New Roman"/>
          <w:color w:val="000000"/>
          <w:kern w:val="2"/>
          <w:sz w:val="24"/>
          <w:szCs w:val="24"/>
          <w:lang w:eastAsia="ja-JP" w:bidi="hi-IN"/>
        </w:rPr>
        <w:t xml:space="preserve">: </w:t>
      </w:r>
      <w:proofErr w:type="spellStart"/>
      <w:r w:rsidRPr="00424CD3">
        <w:rPr>
          <w:rFonts w:ascii="Times New Roman" w:eastAsia="Times New Roman" w:hAnsi="Times New Roman" w:cs="Times New Roman"/>
          <w:color w:val="000000"/>
          <w:kern w:val="2"/>
          <w:sz w:val="24"/>
          <w:szCs w:val="24"/>
          <w:lang w:eastAsia="ja-JP" w:bidi="hi-IN"/>
        </w:rPr>
        <w:t>Eberhards</w:t>
      </w:r>
      <w:proofErr w:type="spellEnd"/>
      <w:r w:rsidRPr="00424CD3">
        <w:rPr>
          <w:rFonts w:ascii="Times New Roman" w:eastAsia="Times New Roman" w:hAnsi="Times New Roman" w:cs="Times New Roman"/>
          <w:color w:val="000000"/>
          <w:kern w:val="2"/>
          <w:sz w:val="24"/>
          <w:szCs w:val="24"/>
          <w:lang w:eastAsia="ja-JP" w:bidi="hi-IN"/>
        </w:rPr>
        <w:t xml:space="preserve"> G. (</w:t>
      </w:r>
      <w:proofErr w:type="spellStart"/>
      <w:r w:rsidRPr="00424CD3">
        <w:rPr>
          <w:rFonts w:ascii="Times New Roman" w:eastAsia="Times New Roman" w:hAnsi="Times New Roman" w:cs="Times New Roman"/>
          <w:color w:val="000000"/>
          <w:kern w:val="2"/>
          <w:sz w:val="24"/>
          <w:szCs w:val="24"/>
          <w:lang w:eastAsia="ja-JP" w:bidi="hi-IN"/>
        </w:rPr>
        <w:t>ed</w:t>
      </w:r>
      <w:proofErr w:type="spellEnd"/>
      <w:r w:rsidRPr="00424CD3">
        <w:rPr>
          <w:rFonts w:ascii="Times New Roman" w:eastAsia="Times New Roman" w:hAnsi="Times New Roman" w:cs="Times New Roman"/>
          <w:color w:val="000000"/>
          <w:kern w:val="2"/>
          <w:sz w:val="24"/>
          <w:szCs w:val="24"/>
          <w:lang w:eastAsia="ja-JP" w:bidi="hi-IN"/>
        </w:rPr>
        <w:t xml:space="preserve">.) </w:t>
      </w:r>
      <w:proofErr w:type="spellStart"/>
      <w:r w:rsidRPr="00424CD3">
        <w:rPr>
          <w:rFonts w:ascii="Times New Roman" w:eastAsia="Times New Roman" w:hAnsi="Times New Roman" w:cs="Times New Roman"/>
          <w:color w:val="000000"/>
          <w:kern w:val="2"/>
          <w:sz w:val="24"/>
          <w:szCs w:val="24"/>
          <w:lang w:eastAsia="ja-JP" w:bidi="hi-IN"/>
        </w:rPr>
        <w:t>Sovremennije</w:t>
      </w:r>
      <w:proofErr w:type="spellEnd"/>
      <w:r w:rsidRPr="00424CD3">
        <w:rPr>
          <w:rFonts w:ascii="Times New Roman" w:eastAsia="Times New Roman" w:hAnsi="Times New Roman" w:cs="Times New Roman"/>
          <w:color w:val="000000"/>
          <w:kern w:val="2"/>
          <w:sz w:val="24"/>
          <w:szCs w:val="24"/>
          <w:lang w:eastAsia="ja-JP" w:bidi="hi-IN"/>
        </w:rPr>
        <w:t xml:space="preserve"> </w:t>
      </w:r>
      <w:proofErr w:type="spellStart"/>
      <w:r w:rsidRPr="00424CD3">
        <w:rPr>
          <w:rFonts w:ascii="Times New Roman" w:eastAsia="Times New Roman" w:hAnsi="Times New Roman" w:cs="Times New Roman"/>
          <w:color w:val="000000"/>
          <w:kern w:val="2"/>
          <w:sz w:val="24"/>
          <w:szCs w:val="24"/>
          <w:lang w:eastAsia="ja-JP" w:bidi="hi-IN"/>
        </w:rPr>
        <w:t>ekzogennije</w:t>
      </w:r>
      <w:proofErr w:type="spellEnd"/>
      <w:r w:rsidRPr="00424CD3">
        <w:rPr>
          <w:rFonts w:ascii="Times New Roman" w:eastAsia="Times New Roman" w:hAnsi="Times New Roman" w:cs="Times New Roman"/>
          <w:color w:val="000000"/>
          <w:kern w:val="2"/>
          <w:sz w:val="24"/>
          <w:szCs w:val="24"/>
          <w:lang w:eastAsia="ja-JP" w:bidi="hi-IN"/>
        </w:rPr>
        <w:t xml:space="preserve"> </w:t>
      </w:r>
      <w:proofErr w:type="spellStart"/>
      <w:r w:rsidRPr="00424CD3">
        <w:rPr>
          <w:rFonts w:ascii="Times New Roman" w:eastAsia="Times New Roman" w:hAnsi="Times New Roman" w:cs="Times New Roman"/>
          <w:color w:val="000000"/>
          <w:kern w:val="2"/>
          <w:sz w:val="24"/>
          <w:szCs w:val="24"/>
          <w:lang w:eastAsia="ja-JP" w:bidi="hi-IN"/>
        </w:rPr>
        <w:t>processi</w:t>
      </w:r>
      <w:proofErr w:type="spellEnd"/>
      <w:r w:rsidRPr="00424CD3">
        <w:rPr>
          <w:rFonts w:ascii="Times New Roman" w:eastAsia="Times New Roman" w:hAnsi="Times New Roman" w:cs="Times New Roman"/>
          <w:color w:val="000000"/>
          <w:kern w:val="2"/>
          <w:sz w:val="24"/>
          <w:szCs w:val="24"/>
          <w:lang w:eastAsia="ja-JP" w:bidi="hi-IN"/>
        </w:rPr>
        <w:t xml:space="preserve"> i metodi </w:t>
      </w:r>
      <w:proofErr w:type="spellStart"/>
      <w:r w:rsidRPr="00424CD3">
        <w:rPr>
          <w:rFonts w:ascii="Times New Roman" w:eastAsia="Times New Roman" w:hAnsi="Times New Roman" w:cs="Times New Roman"/>
          <w:color w:val="000000"/>
          <w:kern w:val="2"/>
          <w:sz w:val="24"/>
          <w:szCs w:val="24"/>
          <w:lang w:eastAsia="ja-JP" w:bidi="hi-IN"/>
        </w:rPr>
        <w:t>ih</w:t>
      </w:r>
      <w:proofErr w:type="spellEnd"/>
      <w:r w:rsidRPr="00424CD3">
        <w:rPr>
          <w:rFonts w:ascii="Times New Roman" w:eastAsia="Times New Roman" w:hAnsi="Times New Roman" w:cs="Times New Roman"/>
          <w:color w:val="000000"/>
          <w:kern w:val="2"/>
          <w:sz w:val="24"/>
          <w:szCs w:val="24"/>
          <w:lang w:eastAsia="ja-JP" w:bidi="hi-IN"/>
        </w:rPr>
        <w:t xml:space="preserve"> </w:t>
      </w:r>
      <w:proofErr w:type="spellStart"/>
      <w:r w:rsidRPr="00424CD3">
        <w:rPr>
          <w:rFonts w:ascii="Times New Roman" w:eastAsia="Times New Roman" w:hAnsi="Times New Roman" w:cs="Times New Roman"/>
          <w:color w:val="000000"/>
          <w:kern w:val="2"/>
          <w:sz w:val="24"/>
          <w:szCs w:val="24"/>
          <w:lang w:eastAsia="ja-JP" w:bidi="hi-IN"/>
        </w:rPr>
        <w:t>issledovaniya</w:t>
      </w:r>
      <w:proofErr w:type="spellEnd"/>
      <w:r w:rsidRPr="00424CD3">
        <w:rPr>
          <w:rFonts w:ascii="Times New Roman" w:eastAsia="Times New Roman" w:hAnsi="Times New Roman" w:cs="Times New Roman"/>
          <w:color w:val="000000"/>
          <w:kern w:val="2"/>
          <w:sz w:val="24"/>
          <w:szCs w:val="24"/>
          <w:lang w:eastAsia="ja-JP" w:bidi="hi-IN"/>
        </w:rPr>
        <w:t xml:space="preserve">. Rīga, </w:t>
      </w:r>
      <w:proofErr w:type="spellStart"/>
      <w:r w:rsidRPr="00424CD3">
        <w:rPr>
          <w:rFonts w:ascii="Times New Roman" w:eastAsia="Times New Roman" w:hAnsi="Times New Roman" w:cs="Times New Roman"/>
          <w:color w:val="000000"/>
          <w:kern w:val="2"/>
          <w:sz w:val="24"/>
          <w:szCs w:val="24"/>
          <w:lang w:eastAsia="ja-JP" w:bidi="hi-IN"/>
        </w:rPr>
        <w:t>Latvian</w:t>
      </w:r>
      <w:proofErr w:type="spellEnd"/>
      <w:r w:rsidRPr="00424CD3">
        <w:rPr>
          <w:rFonts w:ascii="Times New Roman" w:eastAsia="Times New Roman" w:hAnsi="Times New Roman" w:cs="Times New Roman"/>
          <w:color w:val="000000"/>
          <w:kern w:val="2"/>
          <w:sz w:val="24"/>
          <w:szCs w:val="24"/>
          <w:lang w:eastAsia="ja-JP" w:bidi="hi-IN"/>
        </w:rPr>
        <w:t xml:space="preserve"> </w:t>
      </w:r>
      <w:proofErr w:type="spellStart"/>
      <w:r w:rsidRPr="00424CD3">
        <w:rPr>
          <w:rFonts w:ascii="Times New Roman" w:eastAsia="Times New Roman" w:hAnsi="Times New Roman" w:cs="Times New Roman"/>
          <w:color w:val="000000"/>
          <w:kern w:val="2"/>
          <w:sz w:val="24"/>
          <w:szCs w:val="24"/>
          <w:lang w:eastAsia="ja-JP" w:bidi="hi-IN"/>
        </w:rPr>
        <w:t>State</w:t>
      </w:r>
      <w:proofErr w:type="spellEnd"/>
      <w:r w:rsidRPr="00424CD3">
        <w:rPr>
          <w:rFonts w:ascii="Times New Roman" w:eastAsia="Times New Roman" w:hAnsi="Times New Roman" w:cs="Times New Roman"/>
          <w:color w:val="000000"/>
          <w:kern w:val="2"/>
          <w:sz w:val="24"/>
          <w:szCs w:val="24"/>
          <w:lang w:eastAsia="ja-JP" w:bidi="hi-IN"/>
        </w:rPr>
        <w:t xml:space="preserve"> </w:t>
      </w:r>
      <w:proofErr w:type="spellStart"/>
      <w:r w:rsidRPr="00424CD3">
        <w:rPr>
          <w:rFonts w:ascii="Times New Roman" w:eastAsia="Times New Roman" w:hAnsi="Times New Roman" w:cs="Times New Roman"/>
          <w:color w:val="000000"/>
          <w:kern w:val="2"/>
          <w:sz w:val="24"/>
          <w:szCs w:val="24"/>
          <w:lang w:eastAsia="ja-JP" w:bidi="hi-IN"/>
        </w:rPr>
        <w:t>University</w:t>
      </w:r>
      <w:proofErr w:type="spellEnd"/>
      <w:r w:rsidRPr="00424CD3">
        <w:rPr>
          <w:rFonts w:ascii="Times New Roman" w:eastAsia="Times New Roman" w:hAnsi="Times New Roman" w:cs="Times New Roman"/>
          <w:color w:val="000000"/>
          <w:kern w:val="2"/>
          <w:sz w:val="24"/>
          <w:szCs w:val="24"/>
          <w:lang w:eastAsia="ja-JP" w:bidi="hi-IN"/>
        </w:rPr>
        <w:t xml:space="preserve"> </w:t>
      </w:r>
      <w:proofErr w:type="spellStart"/>
      <w:r w:rsidRPr="00424CD3">
        <w:rPr>
          <w:rFonts w:ascii="Times New Roman" w:eastAsia="Times New Roman" w:hAnsi="Times New Roman" w:cs="Times New Roman"/>
          <w:color w:val="000000"/>
          <w:kern w:val="2"/>
          <w:sz w:val="24"/>
          <w:szCs w:val="24"/>
          <w:lang w:eastAsia="ja-JP" w:bidi="hi-IN"/>
        </w:rPr>
        <w:t>press</w:t>
      </w:r>
      <w:proofErr w:type="spellEnd"/>
      <w:r w:rsidRPr="00424CD3">
        <w:rPr>
          <w:rFonts w:ascii="Times New Roman" w:eastAsia="Times New Roman" w:hAnsi="Times New Roman" w:cs="Times New Roman"/>
          <w:color w:val="000000"/>
          <w:kern w:val="2"/>
          <w:sz w:val="24"/>
          <w:szCs w:val="24"/>
          <w:lang w:eastAsia="ja-JP" w:bidi="hi-IN"/>
        </w:rPr>
        <w:t>, p. 139–159. (krievu val.)</w:t>
      </w:r>
      <w:r w:rsidR="00414090" w:rsidRPr="00424CD3">
        <w:rPr>
          <w:rFonts w:ascii="Times New Roman" w:eastAsia="Times New Roman" w:hAnsi="Times New Roman" w:cs="Times New Roman"/>
          <w:color w:val="000000"/>
          <w:kern w:val="2"/>
          <w:sz w:val="24"/>
          <w:szCs w:val="24"/>
          <w:lang w:eastAsia="ja-JP" w:bidi="hi-IN"/>
        </w:rPr>
        <w:t>.</w:t>
      </w:r>
    </w:p>
    <w:p w14:paraId="1454F50B" w14:textId="3A8E21AB" w:rsidR="00260499" w:rsidRPr="00424CD3" w:rsidRDefault="00260499" w:rsidP="00424CD3">
      <w:pPr>
        <w:numPr>
          <w:ilvl w:val="0"/>
          <w:numId w:val="31"/>
        </w:numPr>
        <w:spacing w:after="0" w:line="240" w:lineRule="auto"/>
        <w:ind w:left="924" w:hanging="357"/>
        <w:jc w:val="both"/>
        <w:rPr>
          <w:rFonts w:ascii="Times New Roman" w:eastAsia="Times New Roman" w:hAnsi="Times New Roman" w:cs="Times New Roman"/>
          <w:kern w:val="2"/>
          <w:sz w:val="24"/>
          <w:szCs w:val="24"/>
          <w:lang w:eastAsia="zh-CN" w:bidi="hi-IN"/>
        </w:rPr>
      </w:pPr>
      <w:proofErr w:type="spellStart"/>
      <w:r w:rsidRPr="00424CD3">
        <w:rPr>
          <w:rFonts w:ascii="Times New Roman" w:eastAsia="Times New Roman" w:hAnsi="Times New Roman" w:cs="Times New Roman"/>
          <w:color w:val="000000"/>
          <w:kern w:val="2"/>
          <w:sz w:val="24"/>
          <w:szCs w:val="24"/>
          <w:lang w:eastAsia="ja-JP" w:bidi="hi-IN"/>
        </w:rPr>
        <w:t>Villerts</w:t>
      </w:r>
      <w:proofErr w:type="spellEnd"/>
      <w:r w:rsidRPr="00424CD3">
        <w:rPr>
          <w:rFonts w:ascii="Times New Roman" w:eastAsia="Times New Roman" w:hAnsi="Times New Roman" w:cs="Times New Roman"/>
          <w:color w:val="000000"/>
          <w:kern w:val="2"/>
          <w:sz w:val="24"/>
          <w:szCs w:val="24"/>
          <w:lang w:eastAsia="ja-JP" w:bidi="hi-IN"/>
        </w:rPr>
        <w:t xml:space="preserve"> A. 1940. Dažu 1939. gadā ievākto retāko augu atradnes. Daba un Zinātne 3:100–101</w:t>
      </w:r>
      <w:r w:rsidR="00A16988" w:rsidRPr="00424CD3">
        <w:rPr>
          <w:rFonts w:ascii="Times New Roman" w:eastAsia="Times New Roman" w:hAnsi="Times New Roman" w:cs="Times New Roman"/>
          <w:color w:val="000000"/>
          <w:kern w:val="2"/>
          <w:sz w:val="24"/>
          <w:szCs w:val="24"/>
          <w:lang w:eastAsia="ja-JP" w:bidi="hi-IN"/>
        </w:rPr>
        <w:t>.</w:t>
      </w:r>
    </w:p>
    <w:p w14:paraId="1A495800" w14:textId="4A048E86" w:rsidR="00260499" w:rsidRPr="00424CD3" w:rsidRDefault="00260499" w:rsidP="00424CD3">
      <w:pPr>
        <w:numPr>
          <w:ilvl w:val="0"/>
          <w:numId w:val="31"/>
        </w:numPr>
        <w:spacing w:after="0" w:line="240" w:lineRule="auto"/>
        <w:ind w:left="924" w:hanging="357"/>
        <w:jc w:val="both"/>
        <w:rPr>
          <w:rFonts w:ascii="Times New Roman" w:eastAsia="Times New Roman" w:hAnsi="Times New Roman" w:cs="Times New Roman"/>
          <w:kern w:val="2"/>
          <w:sz w:val="24"/>
          <w:szCs w:val="24"/>
          <w:lang w:eastAsia="zh-CN" w:bidi="hi-IN"/>
        </w:rPr>
      </w:pPr>
      <w:r w:rsidRPr="00424CD3">
        <w:rPr>
          <w:rFonts w:ascii="Times New Roman" w:eastAsia="Times New Roman" w:hAnsi="Times New Roman" w:cs="Times New Roman"/>
          <w:color w:val="000000"/>
          <w:kern w:val="2"/>
          <w:sz w:val="24"/>
          <w:szCs w:val="24"/>
          <w:lang w:eastAsia="ja-JP" w:bidi="hi-IN"/>
        </w:rPr>
        <w:lastRenderedPageBreak/>
        <w:t xml:space="preserve">Vilks K., Kalniņš M., </w:t>
      </w:r>
      <w:proofErr w:type="spellStart"/>
      <w:r w:rsidRPr="00424CD3">
        <w:rPr>
          <w:rFonts w:ascii="Times New Roman" w:eastAsia="Times New Roman" w:hAnsi="Times New Roman" w:cs="Times New Roman"/>
          <w:color w:val="000000"/>
          <w:kern w:val="2"/>
          <w:sz w:val="24"/>
          <w:szCs w:val="24"/>
          <w:lang w:eastAsia="ja-JP" w:bidi="hi-IN"/>
        </w:rPr>
        <w:t>Pilāte</w:t>
      </w:r>
      <w:proofErr w:type="spellEnd"/>
      <w:r w:rsidRPr="00424CD3">
        <w:rPr>
          <w:rFonts w:ascii="Times New Roman" w:eastAsia="Times New Roman" w:hAnsi="Times New Roman" w:cs="Times New Roman"/>
          <w:color w:val="000000"/>
          <w:kern w:val="2"/>
          <w:sz w:val="24"/>
          <w:szCs w:val="24"/>
          <w:lang w:eastAsia="ja-JP" w:bidi="hi-IN"/>
        </w:rPr>
        <w:t xml:space="preserve"> D., Rudzītis M., </w:t>
      </w:r>
      <w:proofErr w:type="spellStart"/>
      <w:r w:rsidRPr="00424CD3">
        <w:rPr>
          <w:rFonts w:ascii="Times New Roman" w:eastAsia="Times New Roman" w:hAnsi="Times New Roman" w:cs="Times New Roman"/>
          <w:color w:val="000000"/>
          <w:kern w:val="2"/>
          <w:sz w:val="24"/>
          <w:szCs w:val="24"/>
          <w:lang w:eastAsia="ja-JP" w:bidi="hi-IN"/>
        </w:rPr>
        <w:t>Spuņģis</w:t>
      </w:r>
      <w:proofErr w:type="spellEnd"/>
      <w:r w:rsidRPr="00424CD3">
        <w:rPr>
          <w:rFonts w:ascii="Times New Roman" w:eastAsia="Times New Roman" w:hAnsi="Times New Roman" w:cs="Times New Roman"/>
          <w:color w:val="000000"/>
          <w:kern w:val="2"/>
          <w:sz w:val="24"/>
          <w:szCs w:val="24"/>
          <w:lang w:eastAsia="ja-JP" w:bidi="hi-IN"/>
        </w:rPr>
        <w:t xml:space="preserve"> V. 2013. Bezmugurkaulnieku monitoringa metodika </w:t>
      </w:r>
      <w:proofErr w:type="spellStart"/>
      <w:r w:rsidRPr="00424CD3">
        <w:rPr>
          <w:rFonts w:ascii="Times New Roman" w:eastAsia="Times New Roman" w:hAnsi="Times New Roman" w:cs="Times New Roman"/>
          <w:i/>
          <w:color w:val="000000"/>
          <w:kern w:val="2"/>
          <w:sz w:val="24"/>
          <w:szCs w:val="24"/>
          <w:lang w:eastAsia="ja-JP" w:bidi="hi-IN"/>
        </w:rPr>
        <w:t>Natura</w:t>
      </w:r>
      <w:proofErr w:type="spellEnd"/>
      <w:r w:rsidRPr="00424CD3">
        <w:rPr>
          <w:rFonts w:ascii="Times New Roman" w:eastAsia="Times New Roman" w:hAnsi="Times New Roman" w:cs="Times New Roman"/>
          <w:i/>
          <w:color w:val="000000"/>
          <w:kern w:val="2"/>
          <w:sz w:val="24"/>
          <w:szCs w:val="24"/>
          <w:lang w:eastAsia="ja-JP" w:bidi="hi-IN"/>
        </w:rPr>
        <w:t xml:space="preserve"> 2000</w:t>
      </w:r>
      <w:r w:rsidRPr="00424CD3">
        <w:rPr>
          <w:rFonts w:ascii="Times New Roman" w:eastAsia="Times New Roman" w:hAnsi="Times New Roman" w:cs="Times New Roman"/>
          <w:color w:val="000000"/>
          <w:kern w:val="2"/>
          <w:sz w:val="24"/>
          <w:szCs w:val="24"/>
          <w:lang w:eastAsia="ja-JP" w:bidi="hi-IN"/>
        </w:rPr>
        <w:t xml:space="preserve"> teritorijās. Latvijas Entomoloģijas biedrība, 65 lpp.</w:t>
      </w:r>
    </w:p>
    <w:p w14:paraId="0AC1C9E6" w14:textId="5CF32372" w:rsidR="00260499" w:rsidRPr="00424CD3" w:rsidRDefault="00260499" w:rsidP="00424CD3">
      <w:pPr>
        <w:numPr>
          <w:ilvl w:val="0"/>
          <w:numId w:val="31"/>
        </w:numPr>
        <w:spacing w:after="0" w:line="240" w:lineRule="auto"/>
        <w:ind w:left="924" w:hanging="357"/>
        <w:jc w:val="both"/>
        <w:rPr>
          <w:rFonts w:ascii="Times New Roman" w:eastAsia="Times New Roman" w:hAnsi="Times New Roman" w:cs="Times New Roman"/>
          <w:kern w:val="2"/>
          <w:sz w:val="24"/>
          <w:szCs w:val="24"/>
          <w:lang w:eastAsia="zh-CN" w:bidi="hi-IN"/>
        </w:rPr>
      </w:pPr>
      <w:r w:rsidRPr="00424CD3">
        <w:rPr>
          <w:rFonts w:ascii="Times New Roman" w:eastAsia="Times New Roman" w:hAnsi="Times New Roman" w:cs="Times New Roman"/>
          <w:color w:val="000000"/>
          <w:kern w:val="2"/>
          <w:sz w:val="24"/>
          <w:szCs w:val="24"/>
          <w:lang w:eastAsia="ja-JP" w:bidi="hi-IN"/>
        </w:rPr>
        <w:t xml:space="preserve">Vilks K., Kalniņš M., </w:t>
      </w:r>
      <w:proofErr w:type="spellStart"/>
      <w:r w:rsidRPr="00424CD3">
        <w:rPr>
          <w:rFonts w:ascii="Times New Roman" w:eastAsia="Times New Roman" w:hAnsi="Times New Roman" w:cs="Times New Roman"/>
          <w:color w:val="000000"/>
          <w:kern w:val="2"/>
          <w:sz w:val="24"/>
          <w:szCs w:val="24"/>
          <w:lang w:eastAsia="ja-JP" w:bidi="hi-IN"/>
        </w:rPr>
        <w:t>Pilāte</w:t>
      </w:r>
      <w:proofErr w:type="spellEnd"/>
      <w:r w:rsidRPr="00424CD3">
        <w:rPr>
          <w:rFonts w:ascii="Times New Roman" w:eastAsia="Times New Roman" w:hAnsi="Times New Roman" w:cs="Times New Roman"/>
          <w:color w:val="000000"/>
          <w:kern w:val="2"/>
          <w:sz w:val="24"/>
          <w:szCs w:val="24"/>
          <w:lang w:eastAsia="ja-JP" w:bidi="hi-IN"/>
        </w:rPr>
        <w:t xml:space="preserve"> D., </w:t>
      </w:r>
      <w:proofErr w:type="spellStart"/>
      <w:r w:rsidRPr="00424CD3">
        <w:rPr>
          <w:rFonts w:ascii="Times New Roman" w:eastAsia="Times New Roman" w:hAnsi="Times New Roman" w:cs="Times New Roman"/>
          <w:color w:val="000000"/>
          <w:kern w:val="2"/>
          <w:sz w:val="24"/>
          <w:szCs w:val="24"/>
          <w:lang w:eastAsia="ja-JP" w:bidi="hi-IN"/>
        </w:rPr>
        <w:t>Spuņģis</w:t>
      </w:r>
      <w:proofErr w:type="spellEnd"/>
      <w:r w:rsidRPr="00424CD3">
        <w:rPr>
          <w:rFonts w:ascii="Times New Roman" w:eastAsia="Times New Roman" w:hAnsi="Times New Roman" w:cs="Times New Roman"/>
          <w:color w:val="000000"/>
          <w:kern w:val="2"/>
          <w:sz w:val="24"/>
          <w:szCs w:val="24"/>
          <w:lang w:eastAsia="ja-JP" w:bidi="hi-IN"/>
        </w:rPr>
        <w:t xml:space="preserve"> V., Rudzīte M. 2015. Latvijā sastopamās Eiropas nozīmes īpaši aizsargājamās bezmugurkaulnieku sugas. Latvijas Entomoloģijas biedrība, Dabas aizsardzības pārvalde. Rīga, 2015: 96</w:t>
      </w:r>
      <w:r w:rsidR="00D1017B" w:rsidRPr="00424CD3">
        <w:rPr>
          <w:rFonts w:ascii="Times New Roman" w:eastAsia="Times New Roman" w:hAnsi="Times New Roman" w:cs="Times New Roman"/>
          <w:color w:val="000000"/>
          <w:kern w:val="2"/>
          <w:sz w:val="24"/>
          <w:szCs w:val="24"/>
          <w:lang w:eastAsia="ja-JP" w:bidi="hi-IN"/>
        </w:rPr>
        <w:t>.</w:t>
      </w:r>
    </w:p>
    <w:p w14:paraId="792F3145" w14:textId="180AD4EC" w:rsidR="00260499" w:rsidRPr="00424CD3" w:rsidRDefault="00260499" w:rsidP="00424CD3">
      <w:pPr>
        <w:numPr>
          <w:ilvl w:val="0"/>
          <w:numId w:val="31"/>
        </w:numPr>
        <w:spacing w:after="0" w:line="240" w:lineRule="auto"/>
        <w:ind w:left="924" w:hanging="357"/>
        <w:jc w:val="both"/>
        <w:rPr>
          <w:rFonts w:ascii="Times New Roman" w:eastAsia="Times New Roman" w:hAnsi="Times New Roman" w:cs="Times New Roman"/>
          <w:kern w:val="2"/>
          <w:sz w:val="24"/>
          <w:szCs w:val="24"/>
          <w:lang w:eastAsia="zh-CN" w:bidi="hi-IN"/>
        </w:rPr>
      </w:pPr>
      <w:proofErr w:type="spellStart"/>
      <w:r w:rsidRPr="00424CD3">
        <w:rPr>
          <w:rFonts w:ascii="Times New Roman" w:eastAsia="Times New Roman" w:hAnsi="Times New Roman" w:cs="Times New Roman"/>
          <w:color w:val="000000"/>
          <w:kern w:val="2"/>
          <w:sz w:val="24"/>
          <w:szCs w:val="24"/>
          <w:lang w:eastAsia="ja-JP" w:bidi="hi-IN"/>
        </w:rPr>
        <w:t>Zāns</w:t>
      </w:r>
      <w:proofErr w:type="spellEnd"/>
      <w:r w:rsidRPr="00424CD3">
        <w:rPr>
          <w:rFonts w:ascii="Times New Roman" w:eastAsia="Times New Roman" w:hAnsi="Times New Roman" w:cs="Times New Roman"/>
          <w:color w:val="000000"/>
          <w:kern w:val="2"/>
          <w:sz w:val="24"/>
          <w:szCs w:val="24"/>
          <w:lang w:eastAsia="ja-JP" w:bidi="hi-IN"/>
        </w:rPr>
        <w:t xml:space="preserve"> V. 1937. Kvartāro nogulumu iedalījums (</w:t>
      </w:r>
      <w:proofErr w:type="spellStart"/>
      <w:r w:rsidRPr="00424CD3">
        <w:rPr>
          <w:rFonts w:ascii="Times New Roman" w:eastAsia="Times New Roman" w:hAnsi="Times New Roman" w:cs="Times New Roman"/>
          <w:color w:val="000000"/>
          <w:kern w:val="2"/>
          <w:sz w:val="24"/>
          <w:szCs w:val="24"/>
          <w:lang w:eastAsia="ja-JP" w:bidi="hi-IN"/>
        </w:rPr>
        <w:t>stratigrāfija</w:t>
      </w:r>
      <w:proofErr w:type="spellEnd"/>
      <w:r w:rsidRPr="00424CD3">
        <w:rPr>
          <w:rFonts w:ascii="Times New Roman" w:eastAsia="Times New Roman" w:hAnsi="Times New Roman" w:cs="Times New Roman"/>
          <w:color w:val="000000"/>
          <w:kern w:val="2"/>
          <w:sz w:val="24"/>
          <w:szCs w:val="24"/>
          <w:lang w:eastAsia="ja-JP" w:bidi="hi-IN"/>
        </w:rPr>
        <w:t xml:space="preserve">). </w:t>
      </w:r>
      <w:proofErr w:type="spellStart"/>
      <w:r w:rsidRPr="00424CD3">
        <w:rPr>
          <w:rFonts w:ascii="Times New Roman" w:eastAsia="Times New Roman" w:hAnsi="Times New Roman" w:cs="Times New Roman"/>
          <w:color w:val="000000"/>
          <w:kern w:val="2"/>
          <w:sz w:val="24"/>
          <w:szCs w:val="24"/>
          <w:lang w:eastAsia="ja-JP" w:bidi="hi-IN"/>
        </w:rPr>
        <w:t>Grām</w:t>
      </w:r>
      <w:proofErr w:type="spellEnd"/>
      <w:r w:rsidRPr="00424CD3">
        <w:rPr>
          <w:rFonts w:ascii="Times New Roman" w:eastAsia="Times New Roman" w:hAnsi="Times New Roman" w:cs="Times New Roman"/>
          <w:color w:val="000000"/>
          <w:kern w:val="2"/>
          <w:sz w:val="24"/>
          <w:szCs w:val="24"/>
          <w:lang w:eastAsia="ja-JP" w:bidi="hi-IN"/>
        </w:rPr>
        <w:t xml:space="preserve">: Malta, N., </w:t>
      </w:r>
      <w:proofErr w:type="spellStart"/>
      <w:r w:rsidRPr="00424CD3">
        <w:rPr>
          <w:rFonts w:ascii="Times New Roman" w:eastAsia="Times New Roman" w:hAnsi="Times New Roman" w:cs="Times New Roman"/>
          <w:color w:val="000000"/>
          <w:kern w:val="2"/>
          <w:sz w:val="24"/>
          <w:szCs w:val="24"/>
          <w:lang w:eastAsia="ja-JP" w:bidi="hi-IN"/>
        </w:rPr>
        <w:t>Galenieks</w:t>
      </w:r>
      <w:proofErr w:type="spellEnd"/>
      <w:r w:rsidRPr="00424CD3">
        <w:rPr>
          <w:rFonts w:ascii="Times New Roman" w:eastAsia="Times New Roman" w:hAnsi="Times New Roman" w:cs="Times New Roman"/>
          <w:color w:val="000000"/>
          <w:kern w:val="2"/>
          <w:sz w:val="24"/>
          <w:szCs w:val="24"/>
          <w:lang w:eastAsia="ja-JP" w:bidi="hi-IN"/>
        </w:rPr>
        <w:t>, P. (</w:t>
      </w:r>
      <w:proofErr w:type="spellStart"/>
      <w:r w:rsidRPr="00424CD3">
        <w:rPr>
          <w:rFonts w:ascii="Times New Roman" w:eastAsia="Times New Roman" w:hAnsi="Times New Roman" w:cs="Times New Roman"/>
          <w:color w:val="000000"/>
          <w:kern w:val="2"/>
          <w:sz w:val="24"/>
          <w:szCs w:val="24"/>
          <w:lang w:eastAsia="ja-JP" w:bidi="hi-IN"/>
        </w:rPr>
        <w:t>red</w:t>
      </w:r>
      <w:proofErr w:type="spellEnd"/>
      <w:r w:rsidRPr="00424CD3">
        <w:rPr>
          <w:rFonts w:ascii="Times New Roman" w:eastAsia="Times New Roman" w:hAnsi="Times New Roman" w:cs="Times New Roman"/>
          <w:color w:val="000000"/>
          <w:kern w:val="2"/>
          <w:sz w:val="24"/>
          <w:szCs w:val="24"/>
          <w:lang w:eastAsia="ja-JP" w:bidi="hi-IN"/>
        </w:rPr>
        <w:t xml:space="preserve">.), </w:t>
      </w:r>
      <w:r w:rsidRPr="00424CD3">
        <w:rPr>
          <w:rFonts w:ascii="Times New Roman" w:eastAsia="Times New Roman" w:hAnsi="Times New Roman" w:cs="Times New Roman"/>
          <w:i/>
          <w:iCs/>
          <w:color w:val="000000"/>
          <w:kern w:val="2"/>
          <w:sz w:val="24"/>
          <w:szCs w:val="24"/>
          <w:lang w:eastAsia="ja-JP" w:bidi="hi-IN"/>
        </w:rPr>
        <w:t>Latvijas zeme, daba, tauta</w:t>
      </w:r>
      <w:r w:rsidRPr="00424CD3">
        <w:rPr>
          <w:rFonts w:ascii="Times New Roman" w:eastAsia="Times New Roman" w:hAnsi="Times New Roman" w:cs="Times New Roman"/>
          <w:color w:val="000000"/>
          <w:kern w:val="2"/>
          <w:sz w:val="24"/>
          <w:szCs w:val="24"/>
          <w:lang w:eastAsia="ja-JP" w:bidi="hi-IN"/>
        </w:rPr>
        <w:t xml:space="preserve">. 3. sēj. Rīga, Valters un </w:t>
      </w:r>
      <w:proofErr w:type="spellStart"/>
      <w:r w:rsidRPr="00424CD3">
        <w:rPr>
          <w:rFonts w:ascii="Times New Roman" w:eastAsia="Times New Roman" w:hAnsi="Times New Roman" w:cs="Times New Roman"/>
          <w:color w:val="000000"/>
          <w:kern w:val="2"/>
          <w:sz w:val="24"/>
          <w:szCs w:val="24"/>
          <w:lang w:eastAsia="ja-JP" w:bidi="hi-IN"/>
        </w:rPr>
        <w:t>Rapa</w:t>
      </w:r>
      <w:proofErr w:type="spellEnd"/>
      <w:r w:rsidRPr="00424CD3">
        <w:rPr>
          <w:rFonts w:ascii="Times New Roman" w:eastAsia="Times New Roman" w:hAnsi="Times New Roman" w:cs="Times New Roman"/>
          <w:color w:val="000000"/>
          <w:kern w:val="2"/>
          <w:sz w:val="24"/>
          <w:szCs w:val="24"/>
          <w:lang w:eastAsia="ja-JP" w:bidi="hi-IN"/>
        </w:rPr>
        <w:t>, 56.-62.lpp.</w:t>
      </w:r>
    </w:p>
    <w:p w14:paraId="2282174F" w14:textId="71C4E033" w:rsidR="00260499" w:rsidRPr="00424CD3" w:rsidRDefault="00260499" w:rsidP="00424CD3">
      <w:pPr>
        <w:numPr>
          <w:ilvl w:val="0"/>
          <w:numId w:val="31"/>
        </w:numPr>
        <w:spacing w:after="0" w:line="240" w:lineRule="auto"/>
        <w:ind w:left="924" w:hanging="357"/>
        <w:jc w:val="both"/>
        <w:rPr>
          <w:rFonts w:ascii="Times New Roman" w:eastAsia="Times New Roman" w:hAnsi="Times New Roman" w:cs="Times New Roman"/>
          <w:kern w:val="2"/>
          <w:sz w:val="24"/>
          <w:szCs w:val="24"/>
          <w:lang w:eastAsia="zh-CN" w:bidi="hi-IN"/>
        </w:rPr>
      </w:pPr>
      <w:r w:rsidRPr="00424CD3">
        <w:rPr>
          <w:rFonts w:ascii="Times New Roman" w:eastAsia="Times New Roman" w:hAnsi="Times New Roman" w:cs="Times New Roman"/>
          <w:color w:val="000000"/>
          <w:kern w:val="2"/>
          <w:sz w:val="24"/>
          <w:szCs w:val="24"/>
          <w:lang w:eastAsia="ja-JP" w:bidi="hi-IN"/>
        </w:rPr>
        <w:t xml:space="preserve">Zelčs V., </w:t>
      </w:r>
      <w:proofErr w:type="spellStart"/>
      <w:r w:rsidRPr="00424CD3">
        <w:rPr>
          <w:rFonts w:ascii="Times New Roman" w:eastAsia="Times New Roman" w:hAnsi="Times New Roman" w:cs="Times New Roman"/>
          <w:color w:val="000000"/>
          <w:kern w:val="2"/>
          <w:sz w:val="24"/>
          <w:szCs w:val="24"/>
          <w:lang w:eastAsia="ja-JP" w:bidi="hi-IN"/>
        </w:rPr>
        <w:t>Šteins</w:t>
      </w:r>
      <w:proofErr w:type="spellEnd"/>
      <w:r w:rsidRPr="00424CD3">
        <w:rPr>
          <w:rFonts w:ascii="Times New Roman" w:eastAsia="Times New Roman" w:hAnsi="Times New Roman" w:cs="Times New Roman"/>
          <w:color w:val="000000"/>
          <w:kern w:val="2"/>
          <w:sz w:val="24"/>
          <w:szCs w:val="24"/>
          <w:lang w:eastAsia="ja-JP" w:bidi="hi-IN"/>
        </w:rPr>
        <w:t xml:space="preserve"> V. 1989. Latvijas daba un </w:t>
      </w:r>
      <w:proofErr w:type="spellStart"/>
      <w:r w:rsidRPr="00424CD3">
        <w:rPr>
          <w:rFonts w:ascii="Times New Roman" w:eastAsia="Times New Roman" w:hAnsi="Times New Roman" w:cs="Times New Roman"/>
          <w:color w:val="000000"/>
          <w:kern w:val="2"/>
          <w:sz w:val="24"/>
          <w:szCs w:val="24"/>
          <w:lang w:eastAsia="ja-JP" w:bidi="hi-IN"/>
        </w:rPr>
        <w:t>fizioģeogrāfiskie</w:t>
      </w:r>
      <w:proofErr w:type="spellEnd"/>
      <w:r w:rsidRPr="00424CD3">
        <w:rPr>
          <w:rFonts w:ascii="Times New Roman" w:eastAsia="Times New Roman" w:hAnsi="Times New Roman" w:cs="Times New Roman"/>
          <w:color w:val="000000"/>
          <w:kern w:val="2"/>
          <w:sz w:val="24"/>
          <w:szCs w:val="24"/>
          <w:lang w:eastAsia="ja-JP" w:bidi="hi-IN"/>
        </w:rPr>
        <w:t xml:space="preserve"> rajoni. </w:t>
      </w:r>
      <w:r w:rsidRPr="00424CD3">
        <w:rPr>
          <w:rFonts w:ascii="Times New Roman" w:eastAsia="Times New Roman" w:hAnsi="Times New Roman" w:cs="Times New Roman"/>
          <w:i/>
          <w:iCs/>
          <w:color w:val="000000"/>
          <w:kern w:val="2"/>
          <w:sz w:val="24"/>
          <w:szCs w:val="24"/>
          <w:lang w:eastAsia="ja-JP" w:bidi="hi-IN"/>
        </w:rPr>
        <w:t>Zinātne un Tehnika</w:t>
      </w:r>
      <w:r w:rsidRPr="00424CD3">
        <w:rPr>
          <w:rFonts w:ascii="Times New Roman" w:eastAsia="Times New Roman" w:hAnsi="Times New Roman" w:cs="Times New Roman"/>
          <w:color w:val="000000"/>
          <w:kern w:val="2"/>
          <w:sz w:val="24"/>
          <w:szCs w:val="24"/>
          <w:lang w:eastAsia="ja-JP" w:bidi="hi-IN"/>
        </w:rPr>
        <w:t>, Rīga, Nr. 7.</w:t>
      </w:r>
    </w:p>
    <w:p w14:paraId="73C4F342" w14:textId="505EFD17" w:rsidR="00260499" w:rsidRPr="00424CD3" w:rsidRDefault="00260499" w:rsidP="00424CD3">
      <w:pPr>
        <w:numPr>
          <w:ilvl w:val="0"/>
          <w:numId w:val="31"/>
        </w:numPr>
        <w:spacing w:after="0" w:line="240" w:lineRule="auto"/>
        <w:ind w:left="924" w:hanging="357"/>
        <w:jc w:val="both"/>
        <w:rPr>
          <w:rFonts w:ascii="Times New Roman" w:eastAsia="Times New Roman" w:hAnsi="Times New Roman" w:cs="Times New Roman"/>
          <w:kern w:val="2"/>
          <w:sz w:val="24"/>
          <w:szCs w:val="24"/>
          <w:lang w:eastAsia="zh-CN" w:bidi="hi-IN"/>
        </w:rPr>
      </w:pPr>
      <w:bookmarkStart w:id="128" w:name="Zelcs_Markots_2004"/>
      <w:r w:rsidRPr="00424CD3">
        <w:rPr>
          <w:rFonts w:ascii="Times New Roman" w:eastAsia="Times New Roman" w:hAnsi="Times New Roman" w:cs="Times New Roman"/>
          <w:color w:val="000000"/>
          <w:kern w:val="2"/>
          <w:sz w:val="24"/>
          <w:szCs w:val="24"/>
          <w:lang w:eastAsia="ja-JP" w:bidi="hi-IN"/>
        </w:rPr>
        <w:t xml:space="preserve">Zelčs V., </w:t>
      </w:r>
      <w:proofErr w:type="spellStart"/>
      <w:r w:rsidRPr="00424CD3">
        <w:rPr>
          <w:rFonts w:ascii="Times New Roman" w:eastAsia="Times New Roman" w:hAnsi="Times New Roman" w:cs="Times New Roman"/>
          <w:color w:val="000000"/>
          <w:kern w:val="2"/>
          <w:sz w:val="24"/>
          <w:szCs w:val="24"/>
          <w:lang w:eastAsia="ja-JP" w:bidi="hi-IN"/>
        </w:rPr>
        <w:t>Markots</w:t>
      </w:r>
      <w:proofErr w:type="spellEnd"/>
      <w:r w:rsidRPr="00424CD3">
        <w:rPr>
          <w:rFonts w:ascii="Times New Roman" w:eastAsia="Times New Roman" w:hAnsi="Times New Roman" w:cs="Times New Roman"/>
          <w:color w:val="000000"/>
          <w:kern w:val="2"/>
          <w:sz w:val="24"/>
          <w:szCs w:val="24"/>
          <w:lang w:eastAsia="ja-JP" w:bidi="hi-IN"/>
        </w:rPr>
        <w:t xml:space="preserve"> A. 2004</w:t>
      </w:r>
      <w:bookmarkEnd w:id="128"/>
      <w:r w:rsidRPr="00424CD3">
        <w:rPr>
          <w:rFonts w:ascii="Times New Roman" w:eastAsia="Times New Roman" w:hAnsi="Times New Roman" w:cs="Times New Roman"/>
          <w:color w:val="000000"/>
          <w:kern w:val="2"/>
          <w:sz w:val="24"/>
          <w:szCs w:val="24"/>
          <w:lang w:eastAsia="ja-JP" w:bidi="hi-IN"/>
        </w:rPr>
        <w:t xml:space="preserve">. </w:t>
      </w:r>
      <w:proofErr w:type="spellStart"/>
      <w:r w:rsidRPr="00424CD3">
        <w:rPr>
          <w:rFonts w:ascii="Times New Roman" w:eastAsia="Times New Roman" w:hAnsi="Times New Roman" w:cs="Times New Roman"/>
          <w:color w:val="000000"/>
          <w:kern w:val="2"/>
          <w:sz w:val="24"/>
          <w:szCs w:val="24"/>
          <w:lang w:eastAsia="ja-JP" w:bidi="hi-IN"/>
        </w:rPr>
        <w:t>Deglaciation</w:t>
      </w:r>
      <w:proofErr w:type="spellEnd"/>
      <w:r w:rsidRPr="00424CD3">
        <w:rPr>
          <w:rFonts w:ascii="Times New Roman" w:eastAsia="Times New Roman" w:hAnsi="Times New Roman" w:cs="Times New Roman"/>
          <w:color w:val="000000"/>
          <w:kern w:val="2"/>
          <w:sz w:val="24"/>
          <w:szCs w:val="24"/>
          <w:lang w:eastAsia="ja-JP" w:bidi="hi-IN"/>
        </w:rPr>
        <w:t xml:space="preserve"> </w:t>
      </w:r>
      <w:proofErr w:type="spellStart"/>
      <w:r w:rsidRPr="00424CD3">
        <w:rPr>
          <w:rFonts w:ascii="Times New Roman" w:eastAsia="Times New Roman" w:hAnsi="Times New Roman" w:cs="Times New Roman"/>
          <w:color w:val="000000"/>
          <w:kern w:val="2"/>
          <w:sz w:val="24"/>
          <w:szCs w:val="24"/>
          <w:lang w:eastAsia="ja-JP" w:bidi="hi-IN"/>
        </w:rPr>
        <w:t>history</w:t>
      </w:r>
      <w:proofErr w:type="spellEnd"/>
      <w:r w:rsidRPr="00424CD3">
        <w:rPr>
          <w:rFonts w:ascii="Times New Roman" w:eastAsia="Times New Roman" w:hAnsi="Times New Roman" w:cs="Times New Roman"/>
          <w:color w:val="000000"/>
          <w:kern w:val="2"/>
          <w:sz w:val="24"/>
          <w:szCs w:val="24"/>
          <w:lang w:eastAsia="ja-JP" w:bidi="hi-IN"/>
        </w:rPr>
        <w:t xml:space="preserve"> </w:t>
      </w:r>
      <w:proofErr w:type="spellStart"/>
      <w:r w:rsidRPr="00424CD3">
        <w:rPr>
          <w:rFonts w:ascii="Times New Roman" w:eastAsia="Times New Roman" w:hAnsi="Times New Roman" w:cs="Times New Roman"/>
          <w:color w:val="000000"/>
          <w:kern w:val="2"/>
          <w:sz w:val="24"/>
          <w:szCs w:val="24"/>
          <w:lang w:eastAsia="ja-JP" w:bidi="hi-IN"/>
        </w:rPr>
        <w:t>of</w:t>
      </w:r>
      <w:proofErr w:type="spellEnd"/>
      <w:r w:rsidRPr="00424CD3">
        <w:rPr>
          <w:rFonts w:ascii="Times New Roman" w:eastAsia="Times New Roman" w:hAnsi="Times New Roman" w:cs="Times New Roman"/>
          <w:color w:val="000000"/>
          <w:kern w:val="2"/>
          <w:sz w:val="24"/>
          <w:szCs w:val="24"/>
          <w:lang w:eastAsia="ja-JP" w:bidi="hi-IN"/>
        </w:rPr>
        <w:t xml:space="preserve"> Latvia. </w:t>
      </w:r>
      <w:proofErr w:type="spellStart"/>
      <w:r w:rsidRPr="00424CD3">
        <w:rPr>
          <w:rFonts w:ascii="Times New Roman" w:eastAsia="Times New Roman" w:hAnsi="Times New Roman" w:cs="Times New Roman"/>
          <w:i/>
          <w:iCs/>
          <w:color w:val="000000"/>
          <w:kern w:val="2"/>
          <w:sz w:val="24"/>
          <w:szCs w:val="24"/>
          <w:lang w:eastAsia="ja-JP" w:bidi="hi-IN"/>
        </w:rPr>
        <w:t>In</w:t>
      </w:r>
      <w:proofErr w:type="spellEnd"/>
      <w:r w:rsidRPr="00424CD3">
        <w:rPr>
          <w:rFonts w:ascii="Times New Roman" w:eastAsia="Times New Roman" w:hAnsi="Times New Roman" w:cs="Times New Roman"/>
          <w:color w:val="000000"/>
          <w:kern w:val="2"/>
          <w:sz w:val="24"/>
          <w:szCs w:val="24"/>
          <w:lang w:eastAsia="ja-JP" w:bidi="hi-IN"/>
        </w:rPr>
        <w:t xml:space="preserve"> </w:t>
      </w:r>
      <w:proofErr w:type="spellStart"/>
      <w:r w:rsidRPr="00424CD3">
        <w:rPr>
          <w:rFonts w:ascii="Times New Roman" w:eastAsia="Times New Roman" w:hAnsi="Times New Roman" w:cs="Times New Roman"/>
          <w:color w:val="000000"/>
          <w:kern w:val="2"/>
          <w:sz w:val="24"/>
          <w:szCs w:val="24"/>
          <w:lang w:eastAsia="ja-JP" w:bidi="hi-IN"/>
        </w:rPr>
        <w:t>Ehlers</w:t>
      </w:r>
      <w:proofErr w:type="spellEnd"/>
      <w:r w:rsidRPr="00424CD3">
        <w:rPr>
          <w:rFonts w:ascii="Times New Roman" w:eastAsia="Times New Roman" w:hAnsi="Times New Roman" w:cs="Times New Roman"/>
          <w:color w:val="000000"/>
          <w:kern w:val="2"/>
          <w:sz w:val="24"/>
          <w:szCs w:val="24"/>
          <w:lang w:eastAsia="ja-JP" w:bidi="hi-IN"/>
        </w:rPr>
        <w:t xml:space="preserve">, J., </w:t>
      </w:r>
      <w:proofErr w:type="spellStart"/>
      <w:r w:rsidRPr="00424CD3">
        <w:rPr>
          <w:rFonts w:ascii="Times New Roman" w:eastAsia="Times New Roman" w:hAnsi="Times New Roman" w:cs="Times New Roman"/>
          <w:color w:val="000000"/>
          <w:kern w:val="2"/>
          <w:sz w:val="24"/>
          <w:szCs w:val="24"/>
          <w:lang w:eastAsia="ja-JP" w:bidi="hi-IN"/>
        </w:rPr>
        <w:t>Gibbard</w:t>
      </w:r>
      <w:proofErr w:type="spellEnd"/>
      <w:r w:rsidRPr="00424CD3">
        <w:rPr>
          <w:rFonts w:ascii="Times New Roman" w:eastAsia="Times New Roman" w:hAnsi="Times New Roman" w:cs="Times New Roman"/>
          <w:color w:val="000000"/>
          <w:kern w:val="2"/>
          <w:sz w:val="24"/>
          <w:szCs w:val="24"/>
          <w:lang w:eastAsia="ja-JP" w:bidi="hi-IN"/>
        </w:rPr>
        <w:t>, P. L. (</w:t>
      </w:r>
      <w:proofErr w:type="spellStart"/>
      <w:r w:rsidRPr="00424CD3">
        <w:rPr>
          <w:rFonts w:ascii="Times New Roman" w:eastAsia="Times New Roman" w:hAnsi="Times New Roman" w:cs="Times New Roman"/>
          <w:color w:val="000000"/>
          <w:kern w:val="2"/>
          <w:sz w:val="24"/>
          <w:szCs w:val="24"/>
          <w:lang w:eastAsia="ja-JP" w:bidi="hi-IN"/>
        </w:rPr>
        <w:t>eds</w:t>
      </w:r>
      <w:proofErr w:type="spellEnd"/>
      <w:r w:rsidRPr="00424CD3">
        <w:rPr>
          <w:rFonts w:ascii="Times New Roman" w:eastAsia="Times New Roman" w:hAnsi="Times New Roman" w:cs="Times New Roman"/>
          <w:color w:val="000000"/>
          <w:kern w:val="2"/>
          <w:sz w:val="24"/>
          <w:szCs w:val="24"/>
          <w:lang w:eastAsia="ja-JP" w:bidi="hi-IN"/>
        </w:rPr>
        <w:t xml:space="preserve">.), </w:t>
      </w:r>
      <w:proofErr w:type="spellStart"/>
      <w:r w:rsidRPr="00424CD3">
        <w:rPr>
          <w:rFonts w:ascii="Times New Roman" w:eastAsia="Times New Roman" w:hAnsi="Times New Roman" w:cs="Times New Roman"/>
          <w:i/>
          <w:iCs/>
          <w:color w:val="000000"/>
          <w:kern w:val="2"/>
          <w:sz w:val="24"/>
          <w:szCs w:val="24"/>
          <w:lang w:eastAsia="ja-JP" w:bidi="hi-IN"/>
        </w:rPr>
        <w:t>Extent</w:t>
      </w:r>
      <w:proofErr w:type="spellEnd"/>
      <w:r w:rsidRPr="00424CD3">
        <w:rPr>
          <w:rFonts w:ascii="Times New Roman" w:eastAsia="Times New Roman" w:hAnsi="Times New Roman" w:cs="Times New Roman"/>
          <w:i/>
          <w:iCs/>
          <w:color w:val="000000"/>
          <w:kern w:val="2"/>
          <w:sz w:val="24"/>
          <w:szCs w:val="24"/>
          <w:lang w:eastAsia="ja-JP" w:bidi="hi-IN"/>
        </w:rPr>
        <w:t xml:space="preserve"> </w:t>
      </w:r>
      <w:proofErr w:type="spellStart"/>
      <w:r w:rsidRPr="00424CD3">
        <w:rPr>
          <w:rFonts w:ascii="Times New Roman" w:eastAsia="Times New Roman" w:hAnsi="Times New Roman" w:cs="Times New Roman"/>
          <w:i/>
          <w:iCs/>
          <w:color w:val="000000"/>
          <w:kern w:val="2"/>
          <w:sz w:val="24"/>
          <w:szCs w:val="24"/>
          <w:lang w:eastAsia="ja-JP" w:bidi="hi-IN"/>
        </w:rPr>
        <w:t>and</w:t>
      </w:r>
      <w:proofErr w:type="spellEnd"/>
      <w:r w:rsidRPr="00424CD3">
        <w:rPr>
          <w:rFonts w:ascii="Times New Roman" w:eastAsia="Times New Roman" w:hAnsi="Times New Roman" w:cs="Times New Roman"/>
          <w:i/>
          <w:iCs/>
          <w:color w:val="000000"/>
          <w:kern w:val="2"/>
          <w:sz w:val="24"/>
          <w:szCs w:val="24"/>
          <w:lang w:eastAsia="ja-JP" w:bidi="hi-IN"/>
        </w:rPr>
        <w:t xml:space="preserve"> </w:t>
      </w:r>
      <w:proofErr w:type="spellStart"/>
      <w:r w:rsidRPr="00424CD3">
        <w:rPr>
          <w:rFonts w:ascii="Times New Roman" w:eastAsia="Times New Roman" w:hAnsi="Times New Roman" w:cs="Times New Roman"/>
          <w:i/>
          <w:iCs/>
          <w:color w:val="000000"/>
          <w:kern w:val="2"/>
          <w:sz w:val="24"/>
          <w:szCs w:val="24"/>
          <w:lang w:eastAsia="ja-JP" w:bidi="hi-IN"/>
        </w:rPr>
        <w:t>Chronology</w:t>
      </w:r>
      <w:proofErr w:type="spellEnd"/>
      <w:r w:rsidRPr="00424CD3">
        <w:rPr>
          <w:rFonts w:ascii="Times New Roman" w:eastAsia="Times New Roman" w:hAnsi="Times New Roman" w:cs="Times New Roman"/>
          <w:i/>
          <w:iCs/>
          <w:color w:val="000000"/>
          <w:kern w:val="2"/>
          <w:sz w:val="24"/>
          <w:szCs w:val="24"/>
          <w:lang w:eastAsia="ja-JP" w:bidi="hi-IN"/>
        </w:rPr>
        <w:t xml:space="preserve"> </w:t>
      </w:r>
      <w:proofErr w:type="spellStart"/>
      <w:r w:rsidRPr="00424CD3">
        <w:rPr>
          <w:rFonts w:ascii="Times New Roman" w:eastAsia="Times New Roman" w:hAnsi="Times New Roman" w:cs="Times New Roman"/>
          <w:i/>
          <w:iCs/>
          <w:color w:val="000000"/>
          <w:kern w:val="2"/>
          <w:sz w:val="24"/>
          <w:szCs w:val="24"/>
          <w:lang w:eastAsia="ja-JP" w:bidi="hi-IN"/>
        </w:rPr>
        <w:t>of</w:t>
      </w:r>
      <w:proofErr w:type="spellEnd"/>
      <w:r w:rsidRPr="00424CD3">
        <w:rPr>
          <w:rFonts w:ascii="Times New Roman" w:eastAsia="Times New Roman" w:hAnsi="Times New Roman" w:cs="Times New Roman"/>
          <w:i/>
          <w:iCs/>
          <w:color w:val="000000"/>
          <w:kern w:val="2"/>
          <w:sz w:val="24"/>
          <w:szCs w:val="24"/>
          <w:lang w:eastAsia="ja-JP" w:bidi="hi-IN"/>
        </w:rPr>
        <w:t xml:space="preserve"> </w:t>
      </w:r>
      <w:proofErr w:type="spellStart"/>
      <w:r w:rsidRPr="00424CD3">
        <w:rPr>
          <w:rFonts w:ascii="Times New Roman" w:eastAsia="Times New Roman" w:hAnsi="Times New Roman" w:cs="Times New Roman"/>
          <w:i/>
          <w:iCs/>
          <w:color w:val="000000"/>
          <w:kern w:val="2"/>
          <w:sz w:val="24"/>
          <w:szCs w:val="24"/>
          <w:lang w:eastAsia="ja-JP" w:bidi="hi-IN"/>
        </w:rPr>
        <w:t>Glaciations</w:t>
      </w:r>
      <w:proofErr w:type="spellEnd"/>
      <w:r w:rsidRPr="00424CD3">
        <w:rPr>
          <w:rFonts w:ascii="Times New Roman" w:eastAsia="Times New Roman" w:hAnsi="Times New Roman" w:cs="Times New Roman"/>
          <w:color w:val="000000"/>
          <w:kern w:val="2"/>
          <w:sz w:val="24"/>
          <w:szCs w:val="24"/>
          <w:lang w:eastAsia="ja-JP" w:bidi="hi-IN"/>
        </w:rPr>
        <w:t>, v.1 (</w:t>
      </w:r>
      <w:proofErr w:type="spellStart"/>
      <w:r w:rsidRPr="00424CD3">
        <w:rPr>
          <w:rFonts w:ascii="Times New Roman" w:eastAsia="Times New Roman" w:hAnsi="Times New Roman" w:cs="Times New Roman"/>
          <w:color w:val="000000"/>
          <w:kern w:val="2"/>
          <w:sz w:val="24"/>
          <w:szCs w:val="24"/>
          <w:lang w:eastAsia="ja-JP" w:bidi="hi-IN"/>
        </w:rPr>
        <w:t>Europe</w:t>
      </w:r>
      <w:proofErr w:type="spellEnd"/>
      <w:r w:rsidRPr="00424CD3">
        <w:rPr>
          <w:rFonts w:ascii="Times New Roman" w:eastAsia="Times New Roman" w:hAnsi="Times New Roman" w:cs="Times New Roman"/>
          <w:color w:val="000000"/>
          <w:kern w:val="2"/>
          <w:sz w:val="24"/>
          <w:szCs w:val="24"/>
          <w:lang w:eastAsia="ja-JP" w:bidi="hi-IN"/>
        </w:rPr>
        <w:t xml:space="preserve">). </w:t>
      </w:r>
      <w:proofErr w:type="spellStart"/>
      <w:r w:rsidRPr="00424CD3">
        <w:rPr>
          <w:rFonts w:ascii="Times New Roman" w:eastAsia="Times New Roman" w:hAnsi="Times New Roman" w:cs="Times New Roman"/>
          <w:color w:val="000000"/>
          <w:kern w:val="2"/>
          <w:sz w:val="24"/>
          <w:szCs w:val="24"/>
          <w:lang w:eastAsia="ja-JP" w:bidi="hi-IN"/>
        </w:rPr>
        <w:t>Elsevier</w:t>
      </w:r>
      <w:proofErr w:type="spellEnd"/>
      <w:r w:rsidRPr="00424CD3">
        <w:rPr>
          <w:rFonts w:ascii="Times New Roman" w:eastAsia="Times New Roman" w:hAnsi="Times New Roman" w:cs="Times New Roman"/>
          <w:color w:val="000000"/>
          <w:kern w:val="2"/>
          <w:sz w:val="24"/>
          <w:szCs w:val="24"/>
          <w:lang w:eastAsia="ja-JP" w:bidi="hi-IN"/>
        </w:rPr>
        <w:t xml:space="preserve">, 225–244 </w:t>
      </w:r>
      <w:proofErr w:type="spellStart"/>
      <w:r w:rsidRPr="00424CD3">
        <w:rPr>
          <w:rFonts w:ascii="Times New Roman" w:eastAsia="Times New Roman" w:hAnsi="Times New Roman" w:cs="Times New Roman"/>
          <w:color w:val="000000"/>
          <w:kern w:val="2"/>
          <w:sz w:val="24"/>
          <w:szCs w:val="24"/>
          <w:lang w:eastAsia="ja-JP" w:bidi="hi-IN"/>
        </w:rPr>
        <w:t>pp</w:t>
      </w:r>
      <w:proofErr w:type="spellEnd"/>
      <w:r w:rsidRPr="00424CD3">
        <w:rPr>
          <w:rFonts w:ascii="Times New Roman" w:eastAsia="Times New Roman" w:hAnsi="Times New Roman" w:cs="Times New Roman"/>
          <w:color w:val="000000"/>
          <w:kern w:val="2"/>
          <w:sz w:val="24"/>
          <w:szCs w:val="24"/>
          <w:lang w:eastAsia="ja-JP" w:bidi="hi-IN"/>
        </w:rPr>
        <w:t>.</w:t>
      </w:r>
    </w:p>
    <w:p w14:paraId="65B528B4" w14:textId="77777777" w:rsidR="00260499" w:rsidRPr="00424CD3" w:rsidRDefault="00260499" w:rsidP="00424CD3">
      <w:pPr>
        <w:numPr>
          <w:ilvl w:val="0"/>
          <w:numId w:val="31"/>
        </w:numPr>
        <w:spacing w:after="0" w:line="240" w:lineRule="auto"/>
        <w:ind w:left="924" w:hanging="357"/>
        <w:contextualSpacing/>
        <w:jc w:val="both"/>
        <w:rPr>
          <w:rFonts w:ascii="Times New Roman" w:eastAsia="Times New Roman" w:hAnsi="Times New Roman" w:cs="Times New Roman"/>
          <w:kern w:val="2"/>
          <w:sz w:val="24"/>
          <w:szCs w:val="24"/>
          <w:lang w:eastAsia="zh-CN" w:bidi="hi-IN"/>
        </w:rPr>
      </w:pPr>
      <w:r w:rsidRPr="00424CD3">
        <w:rPr>
          <w:rFonts w:ascii="Times New Roman" w:eastAsia="Times New Roman" w:hAnsi="Times New Roman" w:cs="Times New Roman"/>
          <w:color w:val="000000"/>
          <w:kern w:val="2"/>
          <w:sz w:val="24"/>
          <w:szCs w:val="24"/>
          <w:lang w:eastAsia="ja-JP" w:bidi="hi-IN"/>
        </w:rPr>
        <w:t>Ziņojums Eiropas Komisijai par biotopu (dzīvotņu) un sugu aizsardzības stāvokli Latvijā. 2013. Novērtējums par 2007.-2012. gada periodu.</w:t>
      </w:r>
    </w:p>
    <w:p w14:paraId="71E779CC" w14:textId="4BE5C728" w:rsidR="00260499" w:rsidRPr="00424CD3" w:rsidRDefault="00260499" w:rsidP="00424CD3">
      <w:pPr>
        <w:numPr>
          <w:ilvl w:val="0"/>
          <w:numId w:val="31"/>
        </w:numPr>
        <w:spacing w:after="0" w:line="240" w:lineRule="auto"/>
        <w:ind w:left="924" w:hanging="357"/>
        <w:jc w:val="both"/>
        <w:rPr>
          <w:rFonts w:ascii="Times New Roman" w:eastAsia="Times New Roman" w:hAnsi="Times New Roman" w:cs="Times New Roman"/>
          <w:kern w:val="2"/>
          <w:sz w:val="24"/>
          <w:szCs w:val="24"/>
          <w:lang w:eastAsia="zh-CN" w:bidi="hi-IN"/>
        </w:rPr>
      </w:pPr>
      <w:r w:rsidRPr="00424CD3">
        <w:rPr>
          <w:rFonts w:ascii="Times New Roman" w:eastAsia="Times New Roman" w:hAnsi="Times New Roman" w:cs="Times New Roman"/>
          <w:color w:val="000000"/>
          <w:kern w:val="2"/>
          <w:sz w:val="24"/>
          <w:szCs w:val="24"/>
          <w:lang w:eastAsia="ja-JP" w:bidi="hi-IN"/>
        </w:rPr>
        <w:t xml:space="preserve">Zīverts A. 1997. </w:t>
      </w:r>
      <w:proofErr w:type="spellStart"/>
      <w:r w:rsidRPr="00424CD3">
        <w:rPr>
          <w:rFonts w:ascii="Times New Roman" w:eastAsia="Times New Roman" w:hAnsi="Times New Roman" w:cs="Times New Roman"/>
          <w:color w:val="000000"/>
          <w:kern w:val="2"/>
          <w:sz w:val="24"/>
          <w:szCs w:val="24"/>
          <w:lang w:eastAsia="ja-JP" w:bidi="hi-IN"/>
        </w:rPr>
        <w:t>Poguļanka</w:t>
      </w:r>
      <w:proofErr w:type="spellEnd"/>
      <w:r w:rsidRPr="00424CD3">
        <w:rPr>
          <w:rFonts w:ascii="Times New Roman" w:eastAsia="Times New Roman" w:hAnsi="Times New Roman" w:cs="Times New Roman"/>
          <w:color w:val="000000"/>
          <w:kern w:val="2"/>
          <w:sz w:val="24"/>
          <w:szCs w:val="24"/>
          <w:lang w:eastAsia="ja-JP" w:bidi="hi-IN"/>
        </w:rPr>
        <w:t xml:space="preserve">. </w:t>
      </w:r>
      <w:proofErr w:type="spellStart"/>
      <w:r w:rsidRPr="00424CD3">
        <w:rPr>
          <w:rFonts w:ascii="Times New Roman" w:eastAsia="Times New Roman" w:hAnsi="Times New Roman" w:cs="Times New Roman"/>
          <w:color w:val="000000"/>
          <w:kern w:val="2"/>
          <w:sz w:val="24"/>
          <w:szCs w:val="24"/>
          <w:lang w:eastAsia="ja-JP" w:bidi="hi-IN"/>
        </w:rPr>
        <w:t>In</w:t>
      </w:r>
      <w:proofErr w:type="spellEnd"/>
      <w:r w:rsidRPr="00424CD3">
        <w:rPr>
          <w:rFonts w:ascii="Times New Roman" w:eastAsia="Times New Roman" w:hAnsi="Times New Roman" w:cs="Times New Roman"/>
          <w:color w:val="000000"/>
          <w:kern w:val="2"/>
          <w:sz w:val="24"/>
          <w:szCs w:val="24"/>
          <w:lang w:eastAsia="ja-JP" w:bidi="hi-IN"/>
        </w:rPr>
        <w:t xml:space="preserve">: </w:t>
      </w:r>
      <w:proofErr w:type="spellStart"/>
      <w:r w:rsidRPr="00424CD3">
        <w:rPr>
          <w:rFonts w:ascii="Times New Roman" w:eastAsia="Times New Roman" w:hAnsi="Times New Roman" w:cs="Times New Roman"/>
          <w:color w:val="000000"/>
          <w:kern w:val="2"/>
          <w:sz w:val="24"/>
          <w:szCs w:val="24"/>
          <w:lang w:eastAsia="ja-JP" w:bidi="hi-IN"/>
        </w:rPr>
        <w:t>Kavacs</w:t>
      </w:r>
      <w:proofErr w:type="spellEnd"/>
      <w:r w:rsidRPr="00424CD3">
        <w:rPr>
          <w:rFonts w:ascii="Times New Roman" w:eastAsia="Times New Roman" w:hAnsi="Times New Roman" w:cs="Times New Roman"/>
          <w:color w:val="000000"/>
          <w:kern w:val="2"/>
          <w:sz w:val="24"/>
          <w:szCs w:val="24"/>
          <w:lang w:eastAsia="ja-JP" w:bidi="hi-IN"/>
        </w:rPr>
        <w:t xml:space="preserve"> G. (</w:t>
      </w:r>
      <w:proofErr w:type="spellStart"/>
      <w:r w:rsidRPr="00424CD3">
        <w:rPr>
          <w:rFonts w:ascii="Times New Roman" w:eastAsia="Times New Roman" w:hAnsi="Times New Roman" w:cs="Times New Roman"/>
          <w:color w:val="000000"/>
          <w:kern w:val="2"/>
          <w:sz w:val="24"/>
          <w:szCs w:val="24"/>
          <w:lang w:eastAsia="ja-JP" w:bidi="hi-IN"/>
        </w:rPr>
        <w:t>red</w:t>
      </w:r>
      <w:proofErr w:type="spellEnd"/>
      <w:r w:rsidRPr="00424CD3">
        <w:rPr>
          <w:rFonts w:ascii="Times New Roman" w:eastAsia="Times New Roman" w:hAnsi="Times New Roman" w:cs="Times New Roman"/>
          <w:color w:val="000000"/>
          <w:kern w:val="2"/>
          <w:sz w:val="24"/>
          <w:szCs w:val="24"/>
          <w:lang w:eastAsia="ja-JP" w:bidi="hi-IN"/>
        </w:rPr>
        <w:t xml:space="preserve">), </w:t>
      </w:r>
      <w:r w:rsidRPr="00424CD3">
        <w:rPr>
          <w:rFonts w:ascii="Times New Roman" w:eastAsia="Times New Roman" w:hAnsi="Times New Roman" w:cs="Times New Roman"/>
          <w:i/>
          <w:iCs/>
          <w:color w:val="000000"/>
          <w:kern w:val="2"/>
          <w:sz w:val="24"/>
          <w:szCs w:val="24"/>
          <w:lang w:eastAsia="ja-JP" w:bidi="hi-IN"/>
        </w:rPr>
        <w:t>Enciklopēdija "Latvija un latvieši". Latvijas daba</w:t>
      </w:r>
      <w:r w:rsidRPr="00424CD3">
        <w:rPr>
          <w:rFonts w:ascii="Times New Roman" w:eastAsia="Times New Roman" w:hAnsi="Times New Roman" w:cs="Times New Roman"/>
          <w:color w:val="000000"/>
          <w:kern w:val="2"/>
          <w:sz w:val="24"/>
          <w:szCs w:val="24"/>
          <w:lang w:eastAsia="ja-JP" w:bidi="hi-IN"/>
        </w:rPr>
        <w:t>. 4.sēj. Preses Nams, Rīga, 169.lpp.</w:t>
      </w:r>
    </w:p>
    <w:p w14:paraId="58388357" w14:textId="7DD183A2" w:rsidR="00260499" w:rsidRPr="00685E17" w:rsidRDefault="00260499" w:rsidP="00424CD3">
      <w:pPr>
        <w:numPr>
          <w:ilvl w:val="0"/>
          <w:numId w:val="31"/>
        </w:numPr>
        <w:spacing w:after="0" w:line="240" w:lineRule="auto"/>
        <w:ind w:left="924" w:hanging="357"/>
        <w:contextualSpacing/>
        <w:jc w:val="both"/>
        <w:rPr>
          <w:rFonts w:ascii="Times New Roman" w:eastAsia="Times New Roman" w:hAnsi="Times New Roman" w:cs="Times New Roman"/>
          <w:kern w:val="2"/>
          <w:sz w:val="24"/>
          <w:szCs w:val="24"/>
          <w:lang w:eastAsia="zh-CN" w:bidi="hi-IN"/>
        </w:rPr>
      </w:pPr>
      <w:r w:rsidRPr="00424CD3">
        <w:rPr>
          <w:rFonts w:ascii="Times New Roman" w:eastAsia="Times New Roman" w:hAnsi="Times New Roman" w:cs="Times New Roman"/>
          <w:color w:val="000000"/>
          <w:kern w:val="2"/>
          <w:sz w:val="24"/>
          <w:szCs w:val="24"/>
          <w:lang w:eastAsia="ja-JP" w:bidi="hi-IN"/>
        </w:rPr>
        <w:t>Zivsaimnieciskās ekspluatācijas noteikumi Daugavai (Daugavpils novada teritorijā), 2020, Vides risinājumu institūts (</w:t>
      </w:r>
      <w:proofErr w:type="spellStart"/>
      <w:r w:rsidRPr="00424CD3">
        <w:rPr>
          <w:rFonts w:ascii="Times New Roman" w:eastAsia="Times New Roman" w:hAnsi="Times New Roman" w:cs="Times New Roman"/>
          <w:color w:val="000000"/>
          <w:kern w:val="2"/>
          <w:sz w:val="24"/>
          <w:szCs w:val="24"/>
          <w:lang w:eastAsia="ja-JP" w:bidi="hi-IN"/>
        </w:rPr>
        <w:t>drafta</w:t>
      </w:r>
      <w:proofErr w:type="spellEnd"/>
      <w:r w:rsidRPr="00424CD3">
        <w:rPr>
          <w:rFonts w:ascii="Times New Roman" w:eastAsia="Times New Roman" w:hAnsi="Times New Roman" w:cs="Times New Roman"/>
          <w:color w:val="000000"/>
          <w:kern w:val="2"/>
          <w:sz w:val="24"/>
          <w:szCs w:val="24"/>
          <w:lang w:eastAsia="ja-JP" w:bidi="hi-IN"/>
        </w:rPr>
        <w:t xml:space="preserve"> versija uz 5.05.2020.)</w:t>
      </w:r>
      <w:r w:rsidR="00883139" w:rsidRPr="00424CD3">
        <w:rPr>
          <w:rFonts w:ascii="Times New Roman" w:eastAsia="Times New Roman" w:hAnsi="Times New Roman" w:cs="Times New Roman"/>
          <w:color w:val="000000"/>
          <w:kern w:val="2"/>
          <w:sz w:val="24"/>
          <w:szCs w:val="24"/>
          <w:lang w:eastAsia="ja-JP" w:bidi="hi-IN"/>
        </w:rPr>
        <w:t>.</w:t>
      </w:r>
    </w:p>
    <w:p w14:paraId="7C7A0C1A" w14:textId="5ADAF6FE" w:rsidR="00685E17" w:rsidRPr="00424CD3" w:rsidRDefault="00685E17" w:rsidP="00424CD3">
      <w:pPr>
        <w:numPr>
          <w:ilvl w:val="0"/>
          <w:numId w:val="31"/>
        </w:numPr>
        <w:spacing w:after="0" w:line="240" w:lineRule="auto"/>
        <w:ind w:left="924" w:hanging="357"/>
        <w:contextualSpacing/>
        <w:jc w:val="both"/>
        <w:rPr>
          <w:rFonts w:ascii="Times New Roman" w:eastAsia="Times New Roman" w:hAnsi="Times New Roman" w:cs="Times New Roman"/>
          <w:kern w:val="2"/>
          <w:sz w:val="24"/>
          <w:szCs w:val="24"/>
          <w:lang w:eastAsia="zh-CN" w:bidi="hi-IN"/>
        </w:rPr>
      </w:pPr>
      <w:r w:rsidRPr="00685E17">
        <w:rPr>
          <w:rFonts w:ascii="Times New Roman" w:eastAsia="Times New Roman" w:hAnsi="Times New Roman" w:cs="Times New Roman"/>
          <w:color w:val="000000"/>
          <w:kern w:val="2"/>
          <w:sz w:val="24"/>
          <w:szCs w:val="24"/>
          <w:lang w:val="en-US" w:eastAsia="ja-JP" w:bidi="hi-IN"/>
        </w:rPr>
        <w:t xml:space="preserve">Wahlberg N. 2001: On the status of the scarce fritillary </w:t>
      </w:r>
      <w:proofErr w:type="spellStart"/>
      <w:r w:rsidRPr="00685E17">
        <w:rPr>
          <w:rFonts w:ascii="Times New Roman" w:eastAsia="Times New Roman" w:hAnsi="Times New Roman" w:cs="Times New Roman"/>
          <w:color w:val="000000"/>
          <w:kern w:val="2"/>
          <w:sz w:val="24"/>
          <w:szCs w:val="24"/>
          <w:lang w:val="en-US" w:eastAsia="ja-JP" w:bidi="hi-IN"/>
        </w:rPr>
        <w:t>Euphydryas</w:t>
      </w:r>
      <w:proofErr w:type="spellEnd"/>
      <w:r w:rsidRPr="00685E17">
        <w:rPr>
          <w:rFonts w:ascii="Times New Roman" w:eastAsia="Times New Roman" w:hAnsi="Times New Roman" w:cs="Times New Roman"/>
          <w:color w:val="000000"/>
          <w:kern w:val="2"/>
          <w:sz w:val="24"/>
          <w:szCs w:val="24"/>
          <w:lang w:val="en-US" w:eastAsia="ja-JP" w:bidi="hi-IN"/>
        </w:rPr>
        <w:t xml:space="preserve"> </w:t>
      </w:r>
      <w:proofErr w:type="spellStart"/>
      <w:r w:rsidRPr="00685E17">
        <w:rPr>
          <w:rFonts w:ascii="Times New Roman" w:eastAsia="Times New Roman" w:hAnsi="Times New Roman" w:cs="Times New Roman"/>
          <w:color w:val="000000"/>
          <w:kern w:val="2"/>
          <w:sz w:val="24"/>
          <w:szCs w:val="24"/>
          <w:lang w:val="en-US" w:eastAsia="ja-JP" w:bidi="hi-IN"/>
        </w:rPr>
        <w:t>maturna</w:t>
      </w:r>
      <w:proofErr w:type="spellEnd"/>
      <w:r>
        <w:rPr>
          <w:rFonts w:ascii="Times New Roman" w:eastAsia="Times New Roman" w:hAnsi="Times New Roman" w:cs="Times New Roman"/>
          <w:color w:val="000000"/>
          <w:kern w:val="2"/>
          <w:sz w:val="24"/>
          <w:szCs w:val="24"/>
          <w:lang w:val="en-US" w:eastAsia="ja-JP" w:bidi="hi-IN"/>
        </w:rPr>
        <w:t xml:space="preserve"> </w:t>
      </w:r>
      <w:r w:rsidRPr="00685E17">
        <w:rPr>
          <w:rFonts w:ascii="Times New Roman" w:eastAsia="Times New Roman" w:hAnsi="Times New Roman" w:cs="Times New Roman"/>
          <w:color w:val="000000"/>
          <w:kern w:val="2"/>
          <w:sz w:val="24"/>
          <w:szCs w:val="24"/>
          <w:lang w:val="en-US" w:eastAsia="ja-JP" w:bidi="hi-IN"/>
        </w:rPr>
        <w:t xml:space="preserve">(Lepidoptera: </w:t>
      </w:r>
      <w:proofErr w:type="spellStart"/>
      <w:r w:rsidRPr="00685E17">
        <w:rPr>
          <w:rFonts w:ascii="Times New Roman" w:eastAsia="Times New Roman" w:hAnsi="Times New Roman" w:cs="Times New Roman"/>
          <w:color w:val="000000"/>
          <w:kern w:val="2"/>
          <w:sz w:val="24"/>
          <w:szCs w:val="24"/>
          <w:lang w:val="en-US" w:eastAsia="ja-JP" w:bidi="hi-IN"/>
        </w:rPr>
        <w:t>Nymphalidae</w:t>
      </w:r>
      <w:proofErr w:type="spellEnd"/>
      <w:r w:rsidRPr="00685E17">
        <w:rPr>
          <w:rFonts w:ascii="Times New Roman" w:eastAsia="Times New Roman" w:hAnsi="Times New Roman" w:cs="Times New Roman"/>
          <w:color w:val="000000"/>
          <w:kern w:val="2"/>
          <w:sz w:val="24"/>
          <w:szCs w:val="24"/>
          <w:lang w:val="en-US" w:eastAsia="ja-JP" w:bidi="hi-IN"/>
        </w:rPr>
        <w:t xml:space="preserve">) in Finland. — </w:t>
      </w:r>
      <w:proofErr w:type="spellStart"/>
      <w:r w:rsidRPr="00685E17">
        <w:rPr>
          <w:rFonts w:ascii="Times New Roman" w:eastAsia="Times New Roman" w:hAnsi="Times New Roman" w:cs="Times New Roman"/>
          <w:color w:val="000000"/>
          <w:kern w:val="2"/>
          <w:sz w:val="24"/>
          <w:szCs w:val="24"/>
          <w:lang w:val="en-US" w:eastAsia="ja-JP" w:bidi="hi-IN"/>
        </w:rPr>
        <w:t>Entomol</w:t>
      </w:r>
      <w:proofErr w:type="spellEnd"/>
      <w:r w:rsidRPr="00685E17">
        <w:rPr>
          <w:rFonts w:ascii="Times New Roman" w:eastAsia="Times New Roman" w:hAnsi="Times New Roman" w:cs="Times New Roman"/>
          <w:color w:val="000000"/>
          <w:kern w:val="2"/>
          <w:sz w:val="24"/>
          <w:szCs w:val="24"/>
          <w:lang w:val="en-US" w:eastAsia="ja-JP" w:bidi="hi-IN"/>
        </w:rPr>
        <w:t xml:space="preserve">. </w:t>
      </w:r>
      <w:proofErr w:type="spellStart"/>
      <w:r w:rsidRPr="00685E17">
        <w:rPr>
          <w:rFonts w:ascii="Times New Roman" w:eastAsia="Times New Roman" w:hAnsi="Times New Roman" w:cs="Times New Roman"/>
          <w:color w:val="000000"/>
          <w:kern w:val="2"/>
          <w:sz w:val="24"/>
          <w:szCs w:val="24"/>
          <w:lang w:val="en-US" w:eastAsia="ja-JP" w:bidi="hi-IN"/>
        </w:rPr>
        <w:t>Fennica</w:t>
      </w:r>
      <w:proofErr w:type="spellEnd"/>
      <w:r w:rsidRPr="00685E17">
        <w:rPr>
          <w:rFonts w:ascii="Times New Roman" w:eastAsia="Times New Roman" w:hAnsi="Times New Roman" w:cs="Times New Roman"/>
          <w:color w:val="000000"/>
          <w:kern w:val="2"/>
          <w:sz w:val="24"/>
          <w:szCs w:val="24"/>
          <w:lang w:val="en-US" w:eastAsia="ja-JP" w:bidi="hi-IN"/>
        </w:rPr>
        <w:t xml:space="preserve"> 12: 244–250</w:t>
      </w:r>
      <w:r>
        <w:rPr>
          <w:rFonts w:ascii="Times New Roman" w:eastAsia="Times New Roman" w:hAnsi="Times New Roman" w:cs="Times New Roman"/>
          <w:color w:val="000000"/>
          <w:kern w:val="2"/>
          <w:sz w:val="24"/>
          <w:szCs w:val="24"/>
          <w:lang w:val="en-US" w:eastAsia="ja-JP" w:bidi="hi-IN"/>
        </w:rPr>
        <w:t>.</w:t>
      </w:r>
    </w:p>
    <w:p w14:paraId="0B1380BE" w14:textId="620E7DD2" w:rsidR="00260499" w:rsidRPr="00424CD3" w:rsidRDefault="00260499" w:rsidP="00424CD3">
      <w:pPr>
        <w:numPr>
          <w:ilvl w:val="0"/>
          <w:numId w:val="31"/>
        </w:numPr>
        <w:tabs>
          <w:tab w:val="left" w:pos="426"/>
        </w:tabs>
        <w:spacing w:after="0" w:line="240" w:lineRule="auto"/>
        <w:ind w:left="924" w:hanging="357"/>
        <w:jc w:val="both"/>
        <w:rPr>
          <w:rFonts w:ascii="Times New Roman" w:eastAsia="Times New Roman" w:hAnsi="Times New Roman" w:cs="Times New Roman"/>
          <w:kern w:val="2"/>
          <w:sz w:val="24"/>
          <w:szCs w:val="24"/>
          <w:lang w:eastAsia="zh-CN" w:bidi="hi-IN"/>
        </w:rPr>
      </w:pPr>
      <w:bookmarkStart w:id="129" w:name="Aboltins_1989"/>
      <w:proofErr w:type="spellStart"/>
      <w:r w:rsidRPr="00424CD3">
        <w:rPr>
          <w:rFonts w:ascii="Times New Roman" w:eastAsia="Times New Roman" w:hAnsi="Times New Roman" w:cs="Times New Roman"/>
          <w:kern w:val="2"/>
          <w:sz w:val="24"/>
          <w:szCs w:val="24"/>
          <w:lang w:eastAsia="zh-CN" w:bidi="hi-IN"/>
        </w:rPr>
        <w:t>Аболтыньш</w:t>
      </w:r>
      <w:proofErr w:type="spellEnd"/>
      <w:r w:rsidRPr="00424CD3">
        <w:rPr>
          <w:rFonts w:ascii="Times New Roman" w:eastAsia="Times New Roman" w:hAnsi="Times New Roman" w:cs="Times New Roman"/>
          <w:kern w:val="2"/>
          <w:sz w:val="24"/>
          <w:szCs w:val="24"/>
          <w:lang w:eastAsia="zh-CN" w:bidi="hi-IN"/>
        </w:rPr>
        <w:t xml:space="preserve"> O. 1989</w:t>
      </w:r>
      <w:bookmarkEnd w:id="129"/>
      <w:r w:rsidRPr="00424CD3">
        <w:rPr>
          <w:rFonts w:ascii="Times New Roman" w:eastAsia="Times New Roman" w:hAnsi="Times New Roman" w:cs="Times New Roman"/>
          <w:kern w:val="2"/>
          <w:sz w:val="24"/>
          <w:szCs w:val="24"/>
          <w:lang w:eastAsia="zh-CN" w:bidi="hi-IN"/>
        </w:rPr>
        <w:t xml:space="preserve">. </w:t>
      </w:r>
      <w:proofErr w:type="spellStart"/>
      <w:r w:rsidRPr="00424CD3">
        <w:rPr>
          <w:rFonts w:ascii="Times New Roman" w:eastAsia="Times New Roman" w:hAnsi="Times New Roman" w:cs="Times New Roman"/>
          <w:kern w:val="2"/>
          <w:sz w:val="24"/>
          <w:szCs w:val="24"/>
          <w:lang w:eastAsia="zh-CN" w:bidi="hi-IN"/>
        </w:rPr>
        <w:t>Гляциоструктура</w:t>
      </w:r>
      <w:proofErr w:type="spellEnd"/>
      <w:r w:rsidRPr="00424CD3">
        <w:rPr>
          <w:rFonts w:ascii="Times New Roman" w:eastAsia="Times New Roman" w:hAnsi="Times New Roman" w:cs="Times New Roman"/>
          <w:kern w:val="2"/>
          <w:sz w:val="24"/>
          <w:szCs w:val="24"/>
          <w:lang w:eastAsia="zh-CN" w:bidi="hi-IN"/>
        </w:rPr>
        <w:t xml:space="preserve"> и </w:t>
      </w:r>
      <w:proofErr w:type="spellStart"/>
      <w:r w:rsidRPr="00424CD3">
        <w:rPr>
          <w:rFonts w:ascii="Times New Roman" w:eastAsia="Times New Roman" w:hAnsi="Times New Roman" w:cs="Times New Roman"/>
          <w:kern w:val="2"/>
          <w:sz w:val="24"/>
          <w:szCs w:val="24"/>
          <w:lang w:eastAsia="zh-CN" w:bidi="hi-IN"/>
        </w:rPr>
        <w:t>ледниковый</w:t>
      </w:r>
      <w:proofErr w:type="spellEnd"/>
      <w:r w:rsidRPr="00424CD3">
        <w:rPr>
          <w:rFonts w:ascii="Times New Roman" w:eastAsia="Times New Roman" w:hAnsi="Times New Roman" w:cs="Times New Roman"/>
          <w:kern w:val="2"/>
          <w:sz w:val="24"/>
          <w:szCs w:val="24"/>
          <w:lang w:eastAsia="zh-CN" w:bidi="hi-IN"/>
        </w:rPr>
        <w:t xml:space="preserve"> </w:t>
      </w:r>
      <w:proofErr w:type="spellStart"/>
      <w:r w:rsidRPr="00424CD3">
        <w:rPr>
          <w:rFonts w:ascii="Times New Roman" w:eastAsia="Times New Roman" w:hAnsi="Times New Roman" w:cs="Times New Roman"/>
          <w:kern w:val="2"/>
          <w:sz w:val="24"/>
          <w:szCs w:val="24"/>
          <w:lang w:eastAsia="zh-CN" w:bidi="hi-IN"/>
        </w:rPr>
        <w:t>морфогенез</w:t>
      </w:r>
      <w:proofErr w:type="spellEnd"/>
      <w:r w:rsidRPr="00424CD3">
        <w:rPr>
          <w:rFonts w:ascii="Times New Roman" w:eastAsia="Times New Roman" w:hAnsi="Times New Roman" w:cs="Times New Roman"/>
          <w:kern w:val="2"/>
          <w:sz w:val="24"/>
          <w:szCs w:val="24"/>
          <w:lang w:eastAsia="zh-CN" w:bidi="hi-IN"/>
        </w:rPr>
        <w:t xml:space="preserve">. </w:t>
      </w:r>
      <w:proofErr w:type="spellStart"/>
      <w:r w:rsidRPr="00424CD3">
        <w:rPr>
          <w:rFonts w:ascii="Times New Roman" w:eastAsia="Times New Roman" w:hAnsi="Times New Roman" w:cs="Times New Roman"/>
          <w:kern w:val="2"/>
          <w:sz w:val="24"/>
          <w:szCs w:val="24"/>
          <w:lang w:eastAsia="zh-CN" w:bidi="hi-IN"/>
        </w:rPr>
        <w:t>Зинатне</w:t>
      </w:r>
      <w:proofErr w:type="spellEnd"/>
      <w:r w:rsidRPr="00424CD3">
        <w:rPr>
          <w:rFonts w:ascii="Times New Roman" w:eastAsia="Times New Roman" w:hAnsi="Times New Roman" w:cs="Times New Roman"/>
          <w:kern w:val="2"/>
          <w:sz w:val="24"/>
          <w:szCs w:val="24"/>
          <w:lang w:eastAsia="zh-CN" w:bidi="hi-IN"/>
        </w:rPr>
        <w:t xml:space="preserve">, </w:t>
      </w:r>
      <w:proofErr w:type="spellStart"/>
      <w:r w:rsidRPr="00424CD3">
        <w:rPr>
          <w:rFonts w:ascii="Times New Roman" w:eastAsia="Times New Roman" w:hAnsi="Times New Roman" w:cs="Times New Roman"/>
          <w:kern w:val="2"/>
          <w:sz w:val="24"/>
          <w:szCs w:val="24"/>
          <w:lang w:eastAsia="zh-CN" w:bidi="hi-IN"/>
        </w:rPr>
        <w:t>Рига</w:t>
      </w:r>
      <w:proofErr w:type="spellEnd"/>
      <w:r w:rsidRPr="00424CD3">
        <w:rPr>
          <w:rFonts w:ascii="Times New Roman" w:eastAsia="Times New Roman" w:hAnsi="Times New Roman" w:cs="Times New Roman"/>
          <w:kern w:val="2"/>
          <w:sz w:val="24"/>
          <w:szCs w:val="24"/>
          <w:lang w:eastAsia="zh-CN" w:bidi="hi-IN"/>
        </w:rPr>
        <w:t>, 286 с.</w:t>
      </w:r>
    </w:p>
    <w:p w14:paraId="063EAE3A" w14:textId="2D9ABA1B" w:rsidR="00260499" w:rsidRPr="00424CD3" w:rsidRDefault="00260499" w:rsidP="00424CD3">
      <w:pPr>
        <w:numPr>
          <w:ilvl w:val="0"/>
          <w:numId w:val="31"/>
        </w:numPr>
        <w:tabs>
          <w:tab w:val="left" w:pos="426"/>
        </w:tabs>
        <w:spacing w:after="0" w:line="240" w:lineRule="auto"/>
        <w:ind w:left="924" w:hanging="357"/>
        <w:jc w:val="both"/>
        <w:rPr>
          <w:rFonts w:ascii="Times New Roman" w:eastAsia="Times New Roman" w:hAnsi="Times New Roman" w:cs="Times New Roman"/>
          <w:kern w:val="2"/>
          <w:sz w:val="24"/>
          <w:szCs w:val="24"/>
          <w:lang w:eastAsia="zh-CN" w:bidi="hi-IN"/>
        </w:rPr>
      </w:pPr>
      <w:proofErr w:type="spellStart"/>
      <w:r w:rsidRPr="00424CD3">
        <w:rPr>
          <w:rFonts w:ascii="Times New Roman" w:eastAsia="Times New Roman" w:hAnsi="Times New Roman" w:cs="Times New Roman"/>
          <w:kern w:val="2"/>
          <w:sz w:val="24"/>
          <w:szCs w:val="24"/>
          <w:lang w:eastAsia="zh-CN" w:bidi="hi-IN"/>
        </w:rPr>
        <w:t>Кумсаре</w:t>
      </w:r>
      <w:proofErr w:type="spellEnd"/>
      <w:r w:rsidRPr="00424CD3">
        <w:rPr>
          <w:rFonts w:ascii="Times New Roman" w:eastAsia="Times New Roman" w:hAnsi="Times New Roman" w:cs="Times New Roman"/>
          <w:kern w:val="2"/>
          <w:sz w:val="24"/>
          <w:szCs w:val="24"/>
          <w:lang w:eastAsia="zh-CN" w:bidi="hi-IN"/>
        </w:rPr>
        <w:t xml:space="preserve"> А. Я. 1967</w:t>
      </w:r>
      <w:r w:rsidR="00214CAD" w:rsidRPr="00424CD3">
        <w:rPr>
          <w:rFonts w:ascii="Times New Roman" w:eastAsia="Times New Roman" w:hAnsi="Times New Roman" w:cs="Times New Roman"/>
          <w:kern w:val="2"/>
          <w:sz w:val="24"/>
          <w:szCs w:val="24"/>
          <w:lang w:eastAsia="zh-CN" w:bidi="hi-IN"/>
        </w:rPr>
        <w:t>.</w:t>
      </w:r>
      <w:r w:rsidRPr="00424CD3">
        <w:rPr>
          <w:rFonts w:ascii="Times New Roman" w:eastAsia="Times New Roman" w:hAnsi="Times New Roman" w:cs="Times New Roman"/>
          <w:kern w:val="2"/>
          <w:sz w:val="24"/>
          <w:szCs w:val="24"/>
          <w:lang w:eastAsia="zh-CN" w:bidi="hi-IN"/>
        </w:rPr>
        <w:t xml:space="preserve"> </w:t>
      </w:r>
      <w:proofErr w:type="spellStart"/>
      <w:r w:rsidRPr="00424CD3">
        <w:rPr>
          <w:rFonts w:ascii="Times New Roman" w:eastAsia="Times New Roman" w:hAnsi="Times New Roman" w:cs="Times New Roman"/>
          <w:kern w:val="2"/>
          <w:sz w:val="24"/>
          <w:szCs w:val="24"/>
          <w:lang w:eastAsia="zh-CN" w:bidi="hi-IN"/>
        </w:rPr>
        <w:t>Гидробиология</w:t>
      </w:r>
      <w:proofErr w:type="spellEnd"/>
      <w:r w:rsidRPr="00424CD3">
        <w:rPr>
          <w:rFonts w:ascii="Times New Roman" w:eastAsia="Times New Roman" w:hAnsi="Times New Roman" w:cs="Times New Roman"/>
          <w:kern w:val="2"/>
          <w:sz w:val="24"/>
          <w:szCs w:val="24"/>
          <w:lang w:eastAsia="zh-CN" w:bidi="hi-IN"/>
        </w:rPr>
        <w:t xml:space="preserve"> </w:t>
      </w:r>
      <w:proofErr w:type="spellStart"/>
      <w:r w:rsidRPr="00424CD3">
        <w:rPr>
          <w:rFonts w:ascii="Times New Roman" w:eastAsia="Times New Roman" w:hAnsi="Times New Roman" w:cs="Times New Roman"/>
          <w:kern w:val="2"/>
          <w:sz w:val="24"/>
          <w:szCs w:val="24"/>
          <w:lang w:eastAsia="zh-CN" w:bidi="hi-IN"/>
        </w:rPr>
        <w:t>реки</w:t>
      </w:r>
      <w:proofErr w:type="spellEnd"/>
      <w:r w:rsidRPr="00424CD3">
        <w:rPr>
          <w:rFonts w:ascii="Times New Roman" w:eastAsia="Times New Roman" w:hAnsi="Times New Roman" w:cs="Times New Roman"/>
          <w:kern w:val="2"/>
          <w:sz w:val="24"/>
          <w:szCs w:val="24"/>
          <w:lang w:eastAsia="zh-CN" w:bidi="hi-IN"/>
        </w:rPr>
        <w:t xml:space="preserve"> </w:t>
      </w:r>
      <w:proofErr w:type="spellStart"/>
      <w:r w:rsidRPr="00424CD3">
        <w:rPr>
          <w:rFonts w:ascii="Times New Roman" w:eastAsia="Times New Roman" w:hAnsi="Times New Roman" w:cs="Times New Roman"/>
          <w:kern w:val="2"/>
          <w:sz w:val="24"/>
          <w:szCs w:val="24"/>
          <w:lang w:eastAsia="zh-CN" w:bidi="hi-IN"/>
        </w:rPr>
        <w:t>Даугавы</w:t>
      </w:r>
      <w:proofErr w:type="spellEnd"/>
      <w:r w:rsidRPr="00424CD3">
        <w:rPr>
          <w:rFonts w:ascii="Times New Roman" w:eastAsia="Times New Roman" w:hAnsi="Times New Roman" w:cs="Times New Roman"/>
          <w:kern w:val="2"/>
          <w:sz w:val="24"/>
          <w:szCs w:val="24"/>
          <w:lang w:eastAsia="zh-CN" w:bidi="hi-IN"/>
        </w:rPr>
        <w:t xml:space="preserve">. </w:t>
      </w:r>
      <w:proofErr w:type="spellStart"/>
      <w:r w:rsidRPr="00424CD3">
        <w:rPr>
          <w:rFonts w:ascii="Times New Roman" w:eastAsia="Times New Roman" w:hAnsi="Times New Roman" w:cs="Times New Roman"/>
          <w:kern w:val="2"/>
          <w:sz w:val="24"/>
          <w:szCs w:val="24"/>
          <w:lang w:eastAsia="zh-CN" w:bidi="hi-IN"/>
        </w:rPr>
        <w:t>Рига</w:t>
      </w:r>
      <w:proofErr w:type="spellEnd"/>
      <w:r w:rsidRPr="00424CD3">
        <w:rPr>
          <w:rFonts w:ascii="Times New Roman" w:eastAsia="Times New Roman" w:hAnsi="Times New Roman" w:cs="Times New Roman"/>
          <w:kern w:val="2"/>
          <w:sz w:val="24"/>
          <w:szCs w:val="24"/>
          <w:lang w:eastAsia="zh-CN" w:bidi="hi-IN"/>
        </w:rPr>
        <w:t xml:space="preserve">, </w:t>
      </w:r>
      <w:proofErr w:type="spellStart"/>
      <w:r w:rsidRPr="00424CD3">
        <w:rPr>
          <w:rFonts w:ascii="Times New Roman" w:eastAsia="Times New Roman" w:hAnsi="Times New Roman" w:cs="Times New Roman"/>
          <w:kern w:val="2"/>
          <w:sz w:val="24"/>
          <w:szCs w:val="24"/>
          <w:lang w:eastAsia="zh-CN" w:bidi="hi-IN"/>
        </w:rPr>
        <w:t>Зинатне</w:t>
      </w:r>
      <w:proofErr w:type="spellEnd"/>
      <w:r w:rsidRPr="00424CD3">
        <w:rPr>
          <w:rFonts w:ascii="Times New Roman" w:eastAsia="Times New Roman" w:hAnsi="Times New Roman" w:cs="Times New Roman"/>
          <w:kern w:val="2"/>
          <w:sz w:val="24"/>
          <w:szCs w:val="24"/>
          <w:lang w:eastAsia="zh-CN" w:bidi="hi-IN"/>
        </w:rPr>
        <w:t>. 3 –186.</w:t>
      </w:r>
    </w:p>
    <w:p w14:paraId="2DAE9933" w14:textId="0AEB4B9B" w:rsidR="00260499" w:rsidRPr="00424CD3" w:rsidRDefault="00260499" w:rsidP="00424CD3">
      <w:pPr>
        <w:numPr>
          <w:ilvl w:val="0"/>
          <w:numId w:val="31"/>
        </w:numPr>
        <w:tabs>
          <w:tab w:val="left" w:pos="426"/>
        </w:tabs>
        <w:spacing w:after="0" w:line="240" w:lineRule="auto"/>
        <w:ind w:left="924" w:hanging="357"/>
        <w:jc w:val="both"/>
        <w:rPr>
          <w:rFonts w:ascii="Times New Roman" w:eastAsia="Times New Roman" w:hAnsi="Times New Roman" w:cs="Times New Roman"/>
          <w:kern w:val="2"/>
          <w:sz w:val="24"/>
          <w:szCs w:val="24"/>
          <w:lang w:eastAsia="zh-CN" w:bidi="hi-IN"/>
        </w:rPr>
      </w:pPr>
      <w:proofErr w:type="spellStart"/>
      <w:r w:rsidRPr="00424CD3">
        <w:rPr>
          <w:rFonts w:ascii="Times New Roman" w:eastAsia="Times New Roman" w:hAnsi="Times New Roman" w:cs="Times New Roman"/>
          <w:kern w:val="2"/>
          <w:sz w:val="24"/>
          <w:szCs w:val="24"/>
          <w:lang w:eastAsia="zh-CN" w:bidi="hi-IN"/>
        </w:rPr>
        <w:t>Матисоне</w:t>
      </w:r>
      <w:proofErr w:type="spellEnd"/>
      <w:r w:rsidRPr="00424CD3">
        <w:rPr>
          <w:rFonts w:ascii="Times New Roman" w:eastAsia="Times New Roman" w:hAnsi="Times New Roman" w:cs="Times New Roman"/>
          <w:kern w:val="2"/>
          <w:sz w:val="24"/>
          <w:szCs w:val="24"/>
          <w:lang w:eastAsia="zh-CN" w:bidi="hi-IN"/>
        </w:rPr>
        <w:t xml:space="preserve"> М. 1965</w:t>
      </w:r>
      <w:r w:rsidR="00214CAD" w:rsidRPr="00424CD3">
        <w:rPr>
          <w:rFonts w:ascii="Times New Roman" w:eastAsia="Times New Roman" w:hAnsi="Times New Roman" w:cs="Times New Roman"/>
          <w:kern w:val="2"/>
          <w:sz w:val="24"/>
          <w:szCs w:val="24"/>
          <w:lang w:eastAsia="zh-CN" w:bidi="hi-IN"/>
        </w:rPr>
        <w:t>.</w:t>
      </w:r>
      <w:r w:rsidRPr="00424CD3">
        <w:rPr>
          <w:rFonts w:ascii="Times New Roman" w:eastAsia="Times New Roman" w:hAnsi="Times New Roman" w:cs="Times New Roman"/>
          <w:kern w:val="2"/>
          <w:sz w:val="24"/>
          <w:szCs w:val="24"/>
          <w:lang w:eastAsia="zh-CN" w:bidi="hi-IN"/>
        </w:rPr>
        <w:t xml:space="preserve"> </w:t>
      </w:r>
      <w:proofErr w:type="spellStart"/>
      <w:r w:rsidRPr="00424CD3">
        <w:rPr>
          <w:rFonts w:ascii="Times New Roman" w:eastAsia="Times New Roman" w:hAnsi="Times New Roman" w:cs="Times New Roman"/>
          <w:kern w:val="2"/>
          <w:sz w:val="24"/>
          <w:szCs w:val="24"/>
          <w:lang w:eastAsia="zh-CN" w:bidi="hi-IN"/>
        </w:rPr>
        <w:t>Биогенный</w:t>
      </w:r>
      <w:proofErr w:type="spellEnd"/>
      <w:r w:rsidRPr="00424CD3">
        <w:rPr>
          <w:rFonts w:ascii="Times New Roman" w:eastAsia="Times New Roman" w:hAnsi="Times New Roman" w:cs="Times New Roman"/>
          <w:kern w:val="2"/>
          <w:sz w:val="24"/>
          <w:szCs w:val="24"/>
          <w:lang w:eastAsia="zh-CN" w:bidi="hi-IN"/>
        </w:rPr>
        <w:t xml:space="preserve"> </w:t>
      </w:r>
      <w:proofErr w:type="spellStart"/>
      <w:r w:rsidRPr="00424CD3">
        <w:rPr>
          <w:rFonts w:ascii="Times New Roman" w:eastAsia="Times New Roman" w:hAnsi="Times New Roman" w:cs="Times New Roman"/>
          <w:kern w:val="2"/>
          <w:sz w:val="24"/>
          <w:szCs w:val="24"/>
          <w:lang w:eastAsia="zh-CN" w:bidi="hi-IN"/>
        </w:rPr>
        <w:t>сток</w:t>
      </w:r>
      <w:proofErr w:type="spellEnd"/>
      <w:r w:rsidRPr="00424CD3">
        <w:rPr>
          <w:rFonts w:ascii="Times New Roman" w:eastAsia="Times New Roman" w:hAnsi="Times New Roman" w:cs="Times New Roman"/>
          <w:kern w:val="2"/>
          <w:sz w:val="24"/>
          <w:szCs w:val="24"/>
          <w:lang w:eastAsia="zh-CN" w:bidi="hi-IN"/>
        </w:rPr>
        <w:t xml:space="preserve"> </w:t>
      </w:r>
      <w:proofErr w:type="spellStart"/>
      <w:r w:rsidRPr="00424CD3">
        <w:rPr>
          <w:rFonts w:ascii="Times New Roman" w:eastAsia="Times New Roman" w:hAnsi="Times New Roman" w:cs="Times New Roman"/>
          <w:kern w:val="2"/>
          <w:sz w:val="24"/>
          <w:szCs w:val="24"/>
          <w:lang w:eastAsia="zh-CN" w:bidi="hi-IN"/>
        </w:rPr>
        <w:t>реки</w:t>
      </w:r>
      <w:proofErr w:type="spellEnd"/>
      <w:r w:rsidRPr="00424CD3">
        <w:rPr>
          <w:rFonts w:ascii="Times New Roman" w:eastAsia="Times New Roman" w:hAnsi="Times New Roman" w:cs="Times New Roman"/>
          <w:kern w:val="2"/>
          <w:sz w:val="24"/>
          <w:szCs w:val="24"/>
          <w:lang w:eastAsia="zh-CN" w:bidi="hi-IN"/>
        </w:rPr>
        <w:t xml:space="preserve"> </w:t>
      </w:r>
      <w:proofErr w:type="spellStart"/>
      <w:r w:rsidRPr="00424CD3">
        <w:rPr>
          <w:rFonts w:ascii="Times New Roman" w:eastAsia="Times New Roman" w:hAnsi="Times New Roman" w:cs="Times New Roman"/>
          <w:kern w:val="2"/>
          <w:sz w:val="24"/>
          <w:szCs w:val="24"/>
          <w:lang w:eastAsia="zh-CN" w:bidi="hi-IN"/>
        </w:rPr>
        <w:t>Даугава</w:t>
      </w:r>
      <w:proofErr w:type="spellEnd"/>
      <w:r w:rsidRPr="00424CD3">
        <w:rPr>
          <w:rFonts w:ascii="Times New Roman" w:eastAsia="Times New Roman" w:hAnsi="Times New Roman" w:cs="Times New Roman"/>
          <w:kern w:val="2"/>
          <w:sz w:val="24"/>
          <w:szCs w:val="24"/>
          <w:lang w:eastAsia="zh-CN" w:bidi="hi-IN"/>
        </w:rPr>
        <w:t xml:space="preserve">. В </w:t>
      </w:r>
      <w:proofErr w:type="spellStart"/>
      <w:r w:rsidRPr="00424CD3">
        <w:rPr>
          <w:rFonts w:ascii="Times New Roman" w:eastAsia="Times New Roman" w:hAnsi="Times New Roman" w:cs="Times New Roman"/>
          <w:kern w:val="2"/>
          <w:sz w:val="24"/>
          <w:szCs w:val="24"/>
          <w:lang w:eastAsia="zh-CN" w:bidi="hi-IN"/>
        </w:rPr>
        <w:t>кн</w:t>
      </w:r>
      <w:proofErr w:type="spellEnd"/>
      <w:r w:rsidRPr="00424CD3">
        <w:rPr>
          <w:rFonts w:ascii="Times New Roman" w:eastAsia="Times New Roman" w:hAnsi="Times New Roman" w:cs="Times New Roman"/>
          <w:kern w:val="2"/>
          <w:sz w:val="24"/>
          <w:szCs w:val="24"/>
          <w:lang w:eastAsia="zh-CN" w:bidi="hi-IN"/>
        </w:rPr>
        <w:t>. «</w:t>
      </w:r>
      <w:proofErr w:type="spellStart"/>
      <w:r w:rsidRPr="00424CD3">
        <w:rPr>
          <w:rFonts w:ascii="Times New Roman" w:eastAsia="Times New Roman" w:hAnsi="Times New Roman" w:cs="Times New Roman"/>
          <w:kern w:val="2"/>
          <w:sz w:val="24"/>
          <w:szCs w:val="24"/>
          <w:lang w:eastAsia="zh-CN" w:bidi="hi-IN"/>
        </w:rPr>
        <w:t>Рыбное</w:t>
      </w:r>
      <w:proofErr w:type="spellEnd"/>
      <w:r w:rsidRPr="00424CD3">
        <w:rPr>
          <w:rFonts w:ascii="Times New Roman" w:eastAsia="Times New Roman" w:hAnsi="Times New Roman" w:cs="Times New Roman"/>
          <w:kern w:val="2"/>
          <w:sz w:val="24"/>
          <w:szCs w:val="24"/>
          <w:lang w:eastAsia="zh-CN" w:bidi="hi-IN"/>
        </w:rPr>
        <w:t xml:space="preserve"> </w:t>
      </w:r>
      <w:proofErr w:type="spellStart"/>
      <w:r w:rsidRPr="00424CD3">
        <w:rPr>
          <w:rFonts w:ascii="Times New Roman" w:eastAsia="Times New Roman" w:hAnsi="Times New Roman" w:cs="Times New Roman"/>
          <w:kern w:val="2"/>
          <w:sz w:val="24"/>
          <w:szCs w:val="24"/>
          <w:lang w:eastAsia="zh-CN" w:bidi="hi-IN"/>
        </w:rPr>
        <w:t>хозяйство</w:t>
      </w:r>
      <w:proofErr w:type="spellEnd"/>
      <w:r w:rsidRPr="00424CD3">
        <w:rPr>
          <w:rFonts w:ascii="Times New Roman" w:eastAsia="Times New Roman" w:hAnsi="Times New Roman" w:cs="Times New Roman"/>
          <w:kern w:val="2"/>
          <w:sz w:val="24"/>
          <w:szCs w:val="24"/>
          <w:lang w:eastAsia="zh-CN" w:bidi="hi-IN"/>
        </w:rPr>
        <w:t xml:space="preserve"> </w:t>
      </w:r>
      <w:proofErr w:type="spellStart"/>
      <w:r w:rsidRPr="00424CD3">
        <w:rPr>
          <w:rFonts w:ascii="Times New Roman" w:eastAsia="Times New Roman" w:hAnsi="Times New Roman" w:cs="Times New Roman"/>
          <w:kern w:val="2"/>
          <w:sz w:val="24"/>
          <w:szCs w:val="24"/>
          <w:lang w:eastAsia="zh-CN" w:bidi="hi-IN"/>
        </w:rPr>
        <w:t>внутренних</w:t>
      </w:r>
      <w:proofErr w:type="spellEnd"/>
      <w:r w:rsidRPr="00424CD3">
        <w:rPr>
          <w:rFonts w:ascii="Times New Roman" w:eastAsia="Times New Roman" w:hAnsi="Times New Roman" w:cs="Times New Roman"/>
          <w:kern w:val="2"/>
          <w:sz w:val="24"/>
          <w:szCs w:val="24"/>
          <w:lang w:eastAsia="zh-CN" w:bidi="hi-IN"/>
        </w:rPr>
        <w:t xml:space="preserve"> </w:t>
      </w:r>
      <w:proofErr w:type="spellStart"/>
      <w:r w:rsidRPr="00424CD3">
        <w:rPr>
          <w:rFonts w:ascii="Times New Roman" w:eastAsia="Times New Roman" w:hAnsi="Times New Roman" w:cs="Times New Roman"/>
          <w:kern w:val="2"/>
          <w:sz w:val="24"/>
          <w:szCs w:val="24"/>
          <w:lang w:eastAsia="zh-CN" w:bidi="hi-IN"/>
        </w:rPr>
        <w:t>водоёмов</w:t>
      </w:r>
      <w:proofErr w:type="spellEnd"/>
      <w:r w:rsidRPr="00424CD3">
        <w:rPr>
          <w:rFonts w:ascii="Times New Roman" w:eastAsia="Times New Roman" w:hAnsi="Times New Roman" w:cs="Times New Roman"/>
          <w:kern w:val="2"/>
          <w:sz w:val="24"/>
          <w:szCs w:val="24"/>
          <w:lang w:eastAsia="zh-CN" w:bidi="hi-IN"/>
        </w:rPr>
        <w:t xml:space="preserve"> </w:t>
      </w:r>
      <w:proofErr w:type="spellStart"/>
      <w:r w:rsidRPr="00424CD3">
        <w:rPr>
          <w:rFonts w:ascii="Times New Roman" w:eastAsia="Times New Roman" w:hAnsi="Times New Roman" w:cs="Times New Roman"/>
          <w:kern w:val="2"/>
          <w:sz w:val="24"/>
          <w:szCs w:val="24"/>
          <w:lang w:eastAsia="zh-CN" w:bidi="hi-IN"/>
        </w:rPr>
        <w:t>Латвийской</w:t>
      </w:r>
      <w:proofErr w:type="spellEnd"/>
      <w:r w:rsidRPr="00424CD3">
        <w:rPr>
          <w:rFonts w:ascii="Times New Roman" w:eastAsia="Times New Roman" w:hAnsi="Times New Roman" w:cs="Times New Roman"/>
          <w:kern w:val="2"/>
          <w:sz w:val="24"/>
          <w:szCs w:val="24"/>
          <w:lang w:eastAsia="zh-CN" w:bidi="hi-IN"/>
        </w:rPr>
        <w:t xml:space="preserve"> ССР», </w:t>
      </w:r>
      <w:proofErr w:type="spellStart"/>
      <w:r w:rsidRPr="00424CD3">
        <w:rPr>
          <w:rFonts w:ascii="Times New Roman" w:eastAsia="Times New Roman" w:hAnsi="Times New Roman" w:cs="Times New Roman"/>
          <w:kern w:val="2"/>
          <w:sz w:val="24"/>
          <w:szCs w:val="24"/>
          <w:lang w:eastAsia="zh-CN" w:bidi="hi-IN"/>
        </w:rPr>
        <w:t>Зинатне</w:t>
      </w:r>
      <w:proofErr w:type="spellEnd"/>
      <w:r w:rsidRPr="00424CD3">
        <w:rPr>
          <w:rFonts w:ascii="Times New Roman" w:eastAsia="Times New Roman" w:hAnsi="Times New Roman" w:cs="Times New Roman"/>
          <w:kern w:val="2"/>
          <w:sz w:val="24"/>
          <w:szCs w:val="24"/>
          <w:lang w:eastAsia="zh-CN" w:bidi="hi-IN"/>
        </w:rPr>
        <w:t xml:space="preserve">, </w:t>
      </w:r>
      <w:proofErr w:type="spellStart"/>
      <w:r w:rsidRPr="00424CD3">
        <w:rPr>
          <w:rFonts w:ascii="Times New Roman" w:eastAsia="Times New Roman" w:hAnsi="Times New Roman" w:cs="Times New Roman"/>
          <w:kern w:val="2"/>
          <w:sz w:val="24"/>
          <w:szCs w:val="24"/>
          <w:lang w:eastAsia="zh-CN" w:bidi="hi-IN"/>
        </w:rPr>
        <w:t>Рига</w:t>
      </w:r>
      <w:proofErr w:type="spellEnd"/>
      <w:r w:rsidRPr="00424CD3">
        <w:rPr>
          <w:rFonts w:ascii="Times New Roman" w:eastAsia="Times New Roman" w:hAnsi="Times New Roman" w:cs="Times New Roman"/>
          <w:kern w:val="2"/>
          <w:sz w:val="24"/>
          <w:szCs w:val="24"/>
          <w:lang w:eastAsia="zh-CN" w:bidi="hi-IN"/>
        </w:rPr>
        <w:t>, c.365-379</w:t>
      </w:r>
      <w:r w:rsidR="00214CAD" w:rsidRPr="00424CD3">
        <w:rPr>
          <w:rFonts w:ascii="Times New Roman" w:eastAsia="Times New Roman" w:hAnsi="Times New Roman" w:cs="Times New Roman"/>
          <w:kern w:val="2"/>
          <w:sz w:val="24"/>
          <w:szCs w:val="24"/>
          <w:lang w:eastAsia="zh-CN" w:bidi="hi-IN"/>
        </w:rPr>
        <w:t>.</w:t>
      </w:r>
    </w:p>
    <w:p w14:paraId="1E3800DD" w14:textId="38540908" w:rsidR="00260499" w:rsidRPr="00424CD3" w:rsidRDefault="00260499" w:rsidP="00424CD3">
      <w:pPr>
        <w:numPr>
          <w:ilvl w:val="0"/>
          <w:numId w:val="31"/>
        </w:numPr>
        <w:tabs>
          <w:tab w:val="left" w:pos="426"/>
        </w:tabs>
        <w:spacing w:after="0" w:line="240" w:lineRule="auto"/>
        <w:ind w:left="924" w:hanging="357"/>
        <w:jc w:val="both"/>
        <w:rPr>
          <w:rFonts w:ascii="Times New Roman" w:eastAsia="Times New Roman" w:hAnsi="Times New Roman" w:cs="Times New Roman"/>
          <w:kern w:val="2"/>
          <w:sz w:val="24"/>
          <w:szCs w:val="24"/>
          <w:lang w:eastAsia="zh-CN" w:bidi="hi-IN"/>
        </w:rPr>
      </w:pPr>
      <w:proofErr w:type="spellStart"/>
      <w:r w:rsidRPr="00424CD3">
        <w:rPr>
          <w:rFonts w:ascii="Times New Roman" w:eastAsia="Times New Roman" w:hAnsi="Times New Roman" w:cs="Times New Roman"/>
          <w:kern w:val="2"/>
          <w:sz w:val="24"/>
          <w:szCs w:val="24"/>
          <w:lang w:eastAsia="zh-CN" w:bidi="hi-IN"/>
        </w:rPr>
        <w:t>Рудзрога</w:t>
      </w:r>
      <w:proofErr w:type="spellEnd"/>
      <w:r w:rsidRPr="00424CD3">
        <w:rPr>
          <w:rFonts w:ascii="Times New Roman" w:eastAsia="Times New Roman" w:hAnsi="Times New Roman" w:cs="Times New Roman"/>
          <w:kern w:val="2"/>
          <w:sz w:val="24"/>
          <w:szCs w:val="24"/>
          <w:lang w:eastAsia="zh-CN" w:bidi="hi-IN"/>
        </w:rPr>
        <w:t xml:space="preserve"> А. И., </w:t>
      </w:r>
      <w:proofErr w:type="spellStart"/>
      <w:r w:rsidRPr="00424CD3">
        <w:rPr>
          <w:rFonts w:ascii="Times New Roman" w:eastAsia="Times New Roman" w:hAnsi="Times New Roman" w:cs="Times New Roman"/>
          <w:kern w:val="2"/>
          <w:sz w:val="24"/>
          <w:szCs w:val="24"/>
          <w:lang w:eastAsia="zh-CN" w:bidi="hi-IN"/>
        </w:rPr>
        <w:t>Друвиетис</w:t>
      </w:r>
      <w:proofErr w:type="spellEnd"/>
      <w:r w:rsidRPr="00424CD3">
        <w:rPr>
          <w:rFonts w:ascii="Times New Roman" w:eastAsia="Times New Roman" w:hAnsi="Times New Roman" w:cs="Times New Roman"/>
          <w:kern w:val="2"/>
          <w:sz w:val="24"/>
          <w:szCs w:val="24"/>
          <w:lang w:eastAsia="zh-CN" w:bidi="hi-IN"/>
        </w:rPr>
        <w:t>, И. Ю. 1984</w:t>
      </w:r>
      <w:r w:rsidR="00214CAD" w:rsidRPr="00424CD3">
        <w:rPr>
          <w:rFonts w:ascii="Times New Roman" w:eastAsia="Times New Roman" w:hAnsi="Times New Roman" w:cs="Times New Roman"/>
          <w:kern w:val="2"/>
          <w:sz w:val="24"/>
          <w:szCs w:val="24"/>
          <w:lang w:eastAsia="zh-CN" w:bidi="hi-IN"/>
        </w:rPr>
        <w:t>.</w:t>
      </w:r>
      <w:r w:rsidRPr="00424CD3">
        <w:rPr>
          <w:rFonts w:ascii="Times New Roman" w:eastAsia="Times New Roman" w:hAnsi="Times New Roman" w:cs="Times New Roman"/>
          <w:kern w:val="2"/>
          <w:sz w:val="24"/>
          <w:szCs w:val="24"/>
          <w:lang w:eastAsia="zh-CN" w:bidi="hi-IN"/>
        </w:rPr>
        <w:t xml:space="preserve"> </w:t>
      </w:r>
      <w:proofErr w:type="spellStart"/>
      <w:r w:rsidRPr="00424CD3">
        <w:rPr>
          <w:rFonts w:ascii="Times New Roman" w:eastAsia="Times New Roman" w:hAnsi="Times New Roman" w:cs="Times New Roman"/>
          <w:kern w:val="2"/>
          <w:sz w:val="24"/>
          <w:szCs w:val="24"/>
          <w:lang w:eastAsia="zh-CN" w:bidi="hi-IN"/>
        </w:rPr>
        <w:t>Альгологические</w:t>
      </w:r>
      <w:proofErr w:type="spellEnd"/>
      <w:r w:rsidRPr="00424CD3">
        <w:rPr>
          <w:rFonts w:ascii="Times New Roman" w:eastAsia="Times New Roman" w:hAnsi="Times New Roman" w:cs="Times New Roman"/>
          <w:kern w:val="2"/>
          <w:sz w:val="24"/>
          <w:szCs w:val="24"/>
          <w:lang w:eastAsia="zh-CN" w:bidi="hi-IN"/>
        </w:rPr>
        <w:t xml:space="preserve"> </w:t>
      </w:r>
      <w:proofErr w:type="spellStart"/>
      <w:r w:rsidRPr="00424CD3">
        <w:rPr>
          <w:rFonts w:ascii="Times New Roman" w:eastAsia="Times New Roman" w:hAnsi="Times New Roman" w:cs="Times New Roman"/>
          <w:kern w:val="2"/>
          <w:sz w:val="24"/>
          <w:szCs w:val="24"/>
          <w:lang w:eastAsia="zh-CN" w:bidi="hi-IN"/>
        </w:rPr>
        <w:t>исследования</w:t>
      </w:r>
      <w:proofErr w:type="spellEnd"/>
      <w:r w:rsidRPr="00424CD3">
        <w:rPr>
          <w:rFonts w:ascii="Times New Roman" w:eastAsia="Times New Roman" w:hAnsi="Times New Roman" w:cs="Times New Roman"/>
          <w:kern w:val="2"/>
          <w:sz w:val="24"/>
          <w:szCs w:val="24"/>
          <w:lang w:eastAsia="zh-CN" w:bidi="hi-IN"/>
        </w:rPr>
        <w:t xml:space="preserve"> </w:t>
      </w:r>
      <w:proofErr w:type="spellStart"/>
      <w:r w:rsidRPr="00424CD3">
        <w:rPr>
          <w:rFonts w:ascii="Times New Roman" w:eastAsia="Times New Roman" w:hAnsi="Times New Roman" w:cs="Times New Roman"/>
          <w:kern w:val="2"/>
          <w:sz w:val="24"/>
          <w:szCs w:val="24"/>
          <w:lang w:eastAsia="zh-CN" w:bidi="hi-IN"/>
        </w:rPr>
        <w:t>реки</w:t>
      </w:r>
      <w:proofErr w:type="spellEnd"/>
      <w:r w:rsidRPr="00424CD3">
        <w:rPr>
          <w:rFonts w:ascii="Times New Roman" w:eastAsia="Times New Roman" w:hAnsi="Times New Roman" w:cs="Times New Roman"/>
          <w:kern w:val="2"/>
          <w:sz w:val="24"/>
          <w:szCs w:val="24"/>
          <w:lang w:eastAsia="zh-CN" w:bidi="hi-IN"/>
        </w:rPr>
        <w:t xml:space="preserve"> </w:t>
      </w:r>
      <w:proofErr w:type="spellStart"/>
      <w:r w:rsidRPr="00424CD3">
        <w:rPr>
          <w:rFonts w:ascii="Times New Roman" w:eastAsia="Times New Roman" w:hAnsi="Times New Roman" w:cs="Times New Roman"/>
          <w:kern w:val="2"/>
          <w:sz w:val="24"/>
          <w:szCs w:val="24"/>
          <w:lang w:eastAsia="zh-CN" w:bidi="hi-IN"/>
        </w:rPr>
        <w:t>Даугава</w:t>
      </w:r>
      <w:proofErr w:type="spellEnd"/>
      <w:r w:rsidRPr="00424CD3">
        <w:rPr>
          <w:rFonts w:ascii="Times New Roman" w:eastAsia="Times New Roman" w:hAnsi="Times New Roman" w:cs="Times New Roman"/>
          <w:kern w:val="2"/>
          <w:sz w:val="24"/>
          <w:szCs w:val="24"/>
          <w:lang w:eastAsia="zh-CN" w:bidi="hi-IN"/>
        </w:rPr>
        <w:t xml:space="preserve">. – </w:t>
      </w:r>
      <w:proofErr w:type="spellStart"/>
      <w:r w:rsidRPr="00424CD3">
        <w:rPr>
          <w:rFonts w:ascii="Times New Roman" w:eastAsia="Times New Roman" w:hAnsi="Times New Roman" w:cs="Times New Roman"/>
          <w:kern w:val="2"/>
          <w:sz w:val="24"/>
          <w:szCs w:val="24"/>
          <w:lang w:eastAsia="zh-CN" w:bidi="hi-IN"/>
        </w:rPr>
        <w:t>Санитарное</w:t>
      </w:r>
      <w:proofErr w:type="spellEnd"/>
      <w:r w:rsidRPr="00424CD3">
        <w:rPr>
          <w:rFonts w:ascii="Times New Roman" w:eastAsia="Times New Roman" w:hAnsi="Times New Roman" w:cs="Times New Roman"/>
          <w:kern w:val="2"/>
          <w:sz w:val="24"/>
          <w:szCs w:val="24"/>
          <w:lang w:eastAsia="zh-CN" w:bidi="hi-IN"/>
        </w:rPr>
        <w:t xml:space="preserve"> </w:t>
      </w:r>
      <w:proofErr w:type="spellStart"/>
      <w:r w:rsidRPr="00424CD3">
        <w:rPr>
          <w:rFonts w:ascii="Times New Roman" w:eastAsia="Times New Roman" w:hAnsi="Times New Roman" w:cs="Times New Roman"/>
          <w:kern w:val="2"/>
          <w:sz w:val="24"/>
          <w:szCs w:val="24"/>
          <w:lang w:eastAsia="zh-CN" w:bidi="hi-IN"/>
        </w:rPr>
        <w:t>состояние</w:t>
      </w:r>
      <w:proofErr w:type="spellEnd"/>
      <w:r w:rsidRPr="00424CD3">
        <w:rPr>
          <w:rFonts w:ascii="Times New Roman" w:eastAsia="Times New Roman" w:hAnsi="Times New Roman" w:cs="Times New Roman"/>
          <w:kern w:val="2"/>
          <w:sz w:val="24"/>
          <w:szCs w:val="24"/>
          <w:lang w:eastAsia="zh-CN" w:bidi="hi-IN"/>
        </w:rPr>
        <w:t xml:space="preserve"> </w:t>
      </w:r>
      <w:proofErr w:type="spellStart"/>
      <w:r w:rsidRPr="00424CD3">
        <w:rPr>
          <w:rFonts w:ascii="Times New Roman" w:eastAsia="Times New Roman" w:hAnsi="Times New Roman" w:cs="Times New Roman"/>
          <w:kern w:val="2"/>
          <w:sz w:val="24"/>
          <w:szCs w:val="24"/>
          <w:lang w:eastAsia="zh-CN" w:bidi="hi-IN"/>
        </w:rPr>
        <w:t>реки</w:t>
      </w:r>
      <w:proofErr w:type="spellEnd"/>
      <w:r w:rsidRPr="00424CD3">
        <w:rPr>
          <w:rFonts w:ascii="Times New Roman" w:eastAsia="Times New Roman" w:hAnsi="Times New Roman" w:cs="Times New Roman"/>
          <w:kern w:val="2"/>
          <w:sz w:val="24"/>
          <w:szCs w:val="24"/>
          <w:lang w:eastAsia="zh-CN" w:bidi="hi-IN"/>
        </w:rPr>
        <w:t xml:space="preserve"> </w:t>
      </w:r>
      <w:proofErr w:type="spellStart"/>
      <w:r w:rsidRPr="00424CD3">
        <w:rPr>
          <w:rFonts w:ascii="Times New Roman" w:eastAsia="Times New Roman" w:hAnsi="Times New Roman" w:cs="Times New Roman"/>
          <w:kern w:val="2"/>
          <w:sz w:val="24"/>
          <w:szCs w:val="24"/>
          <w:lang w:eastAsia="zh-CN" w:bidi="hi-IN"/>
        </w:rPr>
        <w:t>Даугавы</w:t>
      </w:r>
      <w:proofErr w:type="spellEnd"/>
      <w:r w:rsidRPr="00424CD3">
        <w:rPr>
          <w:rFonts w:ascii="Times New Roman" w:eastAsia="Times New Roman" w:hAnsi="Times New Roman" w:cs="Times New Roman"/>
          <w:kern w:val="2"/>
          <w:sz w:val="24"/>
          <w:szCs w:val="24"/>
          <w:lang w:eastAsia="zh-CN" w:bidi="hi-IN"/>
        </w:rPr>
        <w:t xml:space="preserve">, </w:t>
      </w:r>
      <w:proofErr w:type="spellStart"/>
      <w:r w:rsidRPr="00424CD3">
        <w:rPr>
          <w:rFonts w:ascii="Times New Roman" w:eastAsia="Times New Roman" w:hAnsi="Times New Roman" w:cs="Times New Roman"/>
          <w:kern w:val="2"/>
          <w:sz w:val="24"/>
          <w:szCs w:val="24"/>
          <w:lang w:eastAsia="zh-CN" w:bidi="hi-IN"/>
        </w:rPr>
        <w:t>Даугавпилс</w:t>
      </w:r>
      <w:proofErr w:type="spellEnd"/>
      <w:r w:rsidRPr="00424CD3">
        <w:rPr>
          <w:rFonts w:ascii="Times New Roman" w:eastAsia="Times New Roman" w:hAnsi="Times New Roman" w:cs="Times New Roman"/>
          <w:kern w:val="2"/>
          <w:sz w:val="24"/>
          <w:szCs w:val="24"/>
          <w:lang w:eastAsia="zh-CN" w:bidi="hi-IN"/>
        </w:rPr>
        <w:t>: 24-29.</w:t>
      </w:r>
    </w:p>
    <w:p w14:paraId="6585CEC3" w14:textId="77777777" w:rsidR="00260499" w:rsidRPr="00424CD3" w:rsidRDefault="00260499" w:rsidP="00424CD3">
      <w:pPr>
        <w:numPr>
          <w:ilvl w:val="0"/>
          <w:numId w:val="31"/>
        </w:numPr>
        <w:tabs>
          <w:tab w:val="left" w:pos="426"/>
        </w:tabs>
        <w:spacing w:after="0" w:line="240" w:lineRule="auto"/>
        <w:ind w:left="924" w:hanging="357"/>
        <w:jc w:val="both"/>
        <w:rPr>
          <w:rFonts w:ascii="Times New Roman" w:eastAsia="Times New Roman" w:hAnsi="Times New Roman" w:cs="Times New Roman"/>
          <w:kern w:val="2"/>
          <w:sz w:val="24"/>
          <w:szCs w:val="24"/>
          <w:lang w:eastAsia="zh-CN" w:bidi="hi-IN"/>
        </w:rPr>
      </w:pPr>
      <w:proofErr w:type="spellStart"/>
      <w:r w:rsidRPr="00424CD3">
        <w:rPr>
          <w:rFonts w:ascii="Times New Roman" w:eastAsia="Times New Roman" w:hAnsi="Times New Roman" w:cs="Times New Roman"/>
          <w:kern w:val="2"/>
          <w:sz w:val="24"/>
          <w:szCs w:val="24"/>
          <w:lang w:eastAsia="zh-CN" w:bidi="hi-IN"/>
        </w:rPr>
        <w:t>Справочник</w:t>
      </w:r>
      <w:proofErr w:type="spellEnd"/>
      <w:r w:rsidRPr="00424CD3">
        <w:rPr>
          <w:rFonts w:ascii="Times New Roman" w:eastAsia="Times New Roman" w:hAnsi="Times New Roman" w:cs="Times New Roman"/>
          <w:kern w:val="2"/>
          <w:sz w:val="24"/>
          <w:szCs w:val="24"/>
          <w:lang w:eastAsia="zh-CN" w:bidi="hi-IN"/>
        </w:rPr>
        <w:t xml:space="preserve"> </w:t>
      </w:r>
      <w:proofErr w:type="spellStart"/>
      <w:r w:rsidRPr="00424CD3">
        <w:rPr>
          <w:rFonts w:ascii="Times New Roman" w:eastAsia="Times New Roman" w:hAnsi="Times New Roman" w:cs="Times New Roman"/>
          <w:kern w:val="2"/>
          <w:sz w:val="24"/>
          <w:szCs w:val="24"/>
          <w:lang w:eastAsia="zh-CN" w:bidi="hi-IN"/>
        </w:rPr>
        <w:t>по</w:t>
      </w:r>
      <w:proofErr w:type="spellEnd"/>
      <w:r w:rsidRPr="00424CD3">
        <w:rPr>
          <w:rFonts w:ascii="Times New Roman" w:eastAsia="Times New Roman" w:hAnsi="Times New Roman" w:cs="Times New Roman"/>
          <w:kern w:val="2"/>
          <w:sz w:val="24"/>
          <w:szCs w:val="24"/>
          <w:lang w:eastAsia="zh-CN" w:bidi="hi-IN"/>
        </w:rPr>
        <w:t xml:space="preserve"> </w:t>
      </w:r>
      <w:proofErr w:type="spellStart"/>
      <w:r w:rsidRPr="00424CD3">
        <w:rPr>
          <w:rFonts w:ascii="Times New Roman" w:eastAsia="Times New Roman" w:hAnsi="Times New Roman" w:cs="Times New Roman"/>
          <w:kern w:val="2"/>
          <w:sz w:val="24"/>
          <w:szCs w:val="24"/>
          <w:lang w:eastAsia="zh-CN" w:bidi="hi-IN"/>
        </w:rPr>
        <w:t>климату</w:t>
      </w:r>
      <w:proofErr w:type="spellEnd"/>
      <w:r w:rsidRPr="00424CD3">
        <w:rPr>
          <w:rFonts w:ascii="Times New Roman" w:eastAsia="Times New Roman" w:hAnsi="Times New Roman" w:cs="Times New Roman"/>
          <w:kern w:val="2"/>
          <w:sz w:val="24"/>
          <w:szCs w:val="24"/>
          <w:lang w:eastAsia="zh-CN" w:bidi="hi-IN"/>
        </w:rPr>
        <w:t xml:space="preserve"> СССР, 1968. </w:t>
      </w:r>
      <w:proofErr w:type="spellStart"/>
      <w:r w:rsidRPr="00424CD3">
        <w:rPr>
          <w:rFonts w:ascii="Times New Roman" w:eastAsia="Times New Roman" w:hAnsi="Times New Roman" w:cs="Times New Roman"/>
          <w:kern w:val="2"/>
          <w:sz w:val="24"/>
          <w:szCs w:val="24"/>
          <w:lang w:eastAsia="zh-CN" w:bidi="hi-IN"/>
        </w:rPr>
        <w:t>Вып</w:t>
      </w:r>
      <w:proofErr w:type="spellEnd"/>
      <w:r w:rsidRPr="00424CD3">
        <w:rPr>
          <w:rFonts w:ascii="Times New Roman" w:eastAsia="Times New Roman" w:hAnsi="Times New Roman" w:cs="Times New Roman"/>
          <w:kern w:val="2"/>
          <w:sz w:val="24"/>
          <w:szCs w:val="24"/>
          <w:lang w:eastAsia="zh-CN" w:bidi="hi-IN"/>
        </w:rPr>
        <w:t xml:space="preserve">. 5. </w:t>
      </w:r>
      <w:proofErr w:type="spellStart"/>
      <w:r w:rsidRPr="00424CD3">
        <w:rPr>
          <w:rFonts w:ascii="Times New Roman" w:eastAsia="Times New Roman" w:hAnsi="Times New Roman" w:cs="Times New Roman"/>
          <w:kern w:val="2"/>
          <w:sz w:val="24"/>
          <w:szCs w:val="24"/>
          <w:lang w:eastAsia="zh-CN" w:bidi="hi-IN"/>
        </w:rPr>
        <w:t>Латвийская</w:t>
      </w:r>
      <w:proofErr w:type="spellEnd"/>
      <w:r w:rsidRPr="00424CD3">
        <w:rPr>
          <w:rFonts w:ascii="Times New Roman" w:eastAsia="Times New Roman" w:hAnsi="Times New Roman" w:cs="Times New Roman"/>
          <w:kern w:val="2"/>
          <w:sz w:val="24"/>
          <w:szCs w:val="24"/>
          <w:lang w:eastAsia="zh-CN" w:bidi="hi-IN"/>
        </w:rPr>
        <w:t xml:space="preserve"> ССР. Ч. IV: </w:t>
      </w:r>
      <w:proofErr w:type="spellStart"/>
      <w:r w:rsidRPr="00424CD3">
        <w:rPr>
          <w:rFonts w:ascii="Times New Roman" w:eastAsia="Times New Roman" w:hAnsi="Times New Roman" w:cs="Times New Roman"/>
          <w:kern w:val="2"/>
          <w:sz w:val="24"/>
          <w:szCs w:val="24"/>
          <w:lang w:eastAsia="zh-CN" w:bidi="hi-IN"/>
        </w:rPr>
        <w:t>Влажность</w:t>
      </w:r>
      <w:proofErr w:type="spellEnd"/>
      <w:r w:rsidRPr="00424CD3">
        <w:rPr>
          <w:rFonts w:ascii="Times New Roman" w:eastAsia="Times New Roman" w:hAnsi="Times New Roman" w:cs="Times New Roman"/>
          <w:kern w:val="2"/>
          <w:sz w:val="24"/>
          <w:szCs w:val="24"/>
          <w:lang w:eastAsia="zh-CN" w:bidi="hi-IN"/>
        </w:rPr>
        <w:t xml:space="preserve"> </w:t>
      </w:r>
      <w:proofErr w:type="spellStart"/>
      <w:r w:rsidRPr="00424CD3">
        <w:rPr>
          <w:rFonts w:ascii="Times New Roman" w:eastAsia="Times New Roman" w:hAnsi="Times New Roman" w:cs="Times New Roman"/>
          <w:kern w:val="2"/>
          <w:sz w:val="24"/>
          <w:szCs w:val="24"/>
          <w:lang w:eastAsia="zh-CN" w:bidi="hi-IN"/>
        </w:rPr>
        <w:t>воздуха</w:t>
      </w:r>
      <w:proofErr w:type="spellEnd"/>
      <w:r w:rsidRPr="00424CD3">
        <w:rPr>
          <w:rFonts w:ascii="Times New Roman" w:eastAsia="Times New Roman" w:hAnsi="Times New Roman" w:cs="Times New Roman"/>
          <w:kern w:val="2"/>
          <w:sz w:val="24"/>
          <w:szCs w:val="24"/>
          <w:lang w:eastAsia="zh-CN" w:bidi="hi-IN"/>
        </w:rPr>
        <w:t xml:space="preserve">, </w:t>
      </w:r>
      <w:proofErr w:type="spellStart"/>
      <w:r w:rsidRPr="00424CD3">
        <w:rPr>
          <w:rFonts w:ascii="Times New Roman" w:eastAsia="Times New Roman" w:hAnsi="Times New Roman" w:cs="Times New Roman"/>
          <w:kern w:val="2"/>
          <w:sz w:val="24"/>
          <w:szCs w:val="24"/>
          <w:lang w:eastAsia="zh-CN" w:bidi="hi-IN"/>
        </w:rPr>
        <w:t>атмосферные</w:t>
      </w:r>
      <w:proofErr w:type="spellEnd"/>
      <w:r w:rsidRPr="00424CD3">
        <w:rPr>
          <w:rFonts w:ascii="Times New Roman" w:eastAsia="Times New Roman" w:hAnsi="Times New Roman" w:cs="Times New Roman"/>
          <w:kern w:val="2"/>
          <w:sz w:val="24"/>
          <w:szCs w:val="24"/>
          <w:lang w:eastAsia="zh-CN" w:bidi="hi-IN"/>
        </w:rPr>
        <w:t xml:space="preserve"> </w:t>
      </w:r>
      <w:proofErr w:type="spellStart"/>
      <w:r w:rsidRPr="00424CD3">
        <w:rPr>
          <w:rFonts w:ascii="Times New Roman" w:eastAsia="Times New Roman" w:hAnsi="Times New Roman" w:cs="Times New Roman"/>
          <w:kern w:val="2"/>
          <w:sz w:val="24"/>
          <w:szCs w:val="24"/>
          <w:lang w:eastAsia="zh-CN" w:bidi="hi-IN"/>
        </w:rPr>
        <w:t>осадки</w:t>
      </w:r>
      <w:proofErr w:type="spellEnd"/>
      <w:r w:rsidRPr="00424CD3">
        <w:rPr>
          <w:rFonts w:ascii="Times New Roman" w:eastAsia="Times New Roman" w:hAnsi="Times New Roman" w:cs="Times New Roman"/>
          <w:kern w:val="2"/>
          <w:sz w:val="24"/>
          <w:szCs w:val="24"/>
          <w:lang w:eastAsia="zh-CN" w:bidi="hi-IN"/>
        </w:rPr>
        <w:t xml:space="preserve"> и </w:t>
      </w:r>
      <w:proofErr w:type="spellStart"/>
      <w:r w:rsidRPr="00424CD3">
        <w:rPr>
          <w:rFonts w:ascii="Times New Roman" w:eastAsia="Times New Roman" w:hAnsi="Times New Roman" w:cs="Times New Roman"/>
          <w:kern w:val="2"/>
          <w:sz w:val="24"/>
          <w:szCs w:val="24"/>
          <w:lang w:eastAsia="zh-CN" w:bidi="hi-IN"/>
        </w:rPr>
        <w:t>снежный</w:t>
      </w:r>
      <w:proofErr w:type="spellEnd"/>
      <w:r w:rsidRPr="00424CD3">
        <w:rPr>
          <w:rFonts w:ascii="Times New Roman" w:eastAsia="Times New Roman" w:hAnsi="Times New Roman" w:cs="Times New Roman"/>
          <w:kern w:val="2"/>
          <w:sz w:val="24"/>
          <w:szCs w:val="24"/>
          <w:lang w:eastAsia="zh-CN" w:bidi="hi-IN"/>
        </w:rPr>
        <w:t xml:space="preserve"> </w:t>
      </w:r>
      <w:proofErr w:type="spellStart"/>
      <w:r w:rsidRPr="00424CD3">
        <w:rPr>
          <w:rFonts w:ascii="Times New Roman" w:eastAsia="Times New Roman" w:hAnsi="Times New Roman" w:cs="Times New Roman"/>
          <w:kern w:val="2"/>
          <w:sz w:val="24"/>
          <w:szCs w:val="24"/>
          <w:lang w:eastAsia="zh-CN" w:bidi="hi-IN"/>
        </w:rPr>
        <w:t>покров</w:t>
      </w:r>
      <w:proofErr w:type="spellEnd"/>
      <w:r w:rsidRPr="00424CD3">
        <w:rPr>
          <w:rFonts w:ascii="Times New Roman" w:eastAsia="Times New Roman" w:hAnsi="Times New Roman" w:cs="Times New Roman"/>
          <w:kern w:val="2"/>
          <w:sz w:val="24"/>
          <w:szCs w:val="24"/>
          <w:lang w:eastAsia="zh-CN" w:bidi="hi-IN"/>
        </w:rPr>
        <w:t xml:space="preserve">. </w:t>
      </w:r>
      <w:proofErr w:type="spellStart"/>
      <w:r w:rsidRPr="00424CD3">
        <w:rPr>
          <w:rFonts w:ascii="Times New Roman" w:eastAsia="Times New Roman" w:hAnsi="Times New Roman" w:cs="Times New Roman"/>
          <w:kern w:val="2"/>
          <w:sz w:val="24"/>
          <w:szCs w:val="24"/>
          <w:lang w:eastAsia="zh-CN" w:bidi="hi-IN"/>
        </w:rPr>
        <w:t>Гидрометиздат</w:t>
      </w:r>
      <w:proofErr w:type="spellEnd"/>
      <w:r w:rsidRPr="00424CD3">
        <w:rPr>
          <w:rFonts w:ascii="Times New Roman" w:eastAsia="Times New Roman" w:hAnsi="Times New Roman" w:cs="Times New Roman"/>
          <w:kern w:val="2"/>
          <w:sz w:val="24"/>
          <w:szCs w:val="24"/>
          <w:lang w:eastAsia="zh-CN" w:bidi="hi-IN"/>
        </w:rPr>
        <w:t xml:space="preserve">, </w:t>
      </w:r>
      <w:proofErr w:type="spellStart"/>
      <w:r w:rsidRPr="00424CD3">
        <w:rPr>
          <w:rFonts w:ascii="Times New Roman" w:eastAsia="Times New Roman" w:hAnsi="Times New Roman" w:cs="Times New Roman"/>
          <w:kern w:val="2"/>
          <w:sz w:val="24"/>
          <w:szCs w:val="24"/>
          <w:lang w:eastAsia="zh-CN" w:bidi="hi-IN"/>
        </w:rPr>
        <w:t>Ленинград</w:t>
      </w:r>
      <w:proofErr w:type="spellEnd"/>
      <w:r w:rsidRPr="00424CD3">
        <w:rPr>
          <w:rFonts w:ascii="Times New Roman" w:eastAsia="Times New Roman" w:hAnsi="Times New Roman" w:cs="Times New Roman"/>
          <w:kern w:val="2"/>
          <w:sz w:val="24"/>
          <w:szCs w:val="24"/>
          <w:lang w:eastAsia="zh-CN" w:bidi="hi-IN"/>
        </w:rPr>
        <w:t>, 210 с.</w:t>
      </w:r>
    </w:p>
    <w:p w14:paraId="6DB096AD" w14:textId="699092C2" w:rsidR="00244B83" w:rsidRPr="00424CD3" w:rsidRDefault="00244B83" w:rsidP="00424CD3">
      <w:pPr>
        <w:numPr>
          <w:ilvl w:val="0"/>
          <w:numId w:val="31"/>
        </w:numPr>
        <w:tabs>
          <w:tab w:val="left" w:pos="426"/>
        </w:tabs>
        <w:spacing w:after="0" w:line="240" w:lineRule="auto"/>
        <w:ind w:left="924" w:hanging="357"/>
        <w:jc w:val="both"/>
        <w:rPr>
          <w:rFonts w:ascii="Times New Roman" w:eastAsia="Times New Roman" w:hAnsi="Times New Roman" w:cs="Times New Roman"/>
          <w:kern w:val="2"/>
          <w:sz w:val="24"/>
          <w:szCs w:val="24"/>
          <w:lang w:eastAsia="zh-CN" w:bidi="hi-IN"/>
        </w:rPr>
      </w:pPr>
      <w:proofErr w:type="spellStart"/>
      <w:r w:rsidRPr="00424CD3">
        <w:rPr>
          <w:rFonts w:ascii="Times New Roman" w:eastAsia="Times New Roman" w:hAnsi="Times New Roman" w:cs="Times New Roman"/>
          <w:kern w:val="2"/>
          <w:sz w:val="24"/>
          <w:szCs w:val="24"/>
          <w:lang w:eastAsia="zh-CN" w:bidi="hi-IN"/>
        </w:rPr>
        <w:t>Табака</w:t>
      </w:r>
      <w:proofErr w:type="spellEnd"/>
      <w:r w:rsidRPr="00424CD3">
        <w:rPr>
          <w:rFonts w:ascii="Times New Roman" w:eastAsia="Times New Roman" w:hAnsi="Times New Roman" w:cs="Times New Roman"/>
          <w:kern w:val="2"/>
          <w:sz w:val="24"/>
          <w:szCs w:val="24"/>
          <w:lang w:eastAsia="zh-CN" w:bidi="hi-IN"/>
        </w:rPr>
        <w:t xml:space="preserve"> Л.В. (</w:t>
      </w:r>
      <w:proofErr w:type="spellStart"/>
      <w:r w:rsidRPr="00424CD3">
        <w:rPr>
          <w:rFonts w:ascii="Times New Roman" w:eastAsia="Times New Roman" w:hAnsi="Times New Roman" w:cs="Times New Roman"/>
          <w:kern w:val="2"/>
          <w:sz w:val="24"/>
          <w:szCs w:val="24"/>
          <w:lang w:eastAsia="zh-CN" w:bidi="hi-IN"/>
        </w:rPr>
        <w:t>отв.ред</w:t>
      </w:r>
      <w:proofErr w:type="spellEnd"/>
      <w:r w:rsidRPr="00424CD3">
        <w:rPr>
          <w:rFonts w:ascii="Times New Roman" w:eastAsia="Times New Roman" w:hAnsi="Times New Roman" w:cs="Times New Roman"/>
          <w:kern w:val="2"/>
          <w:sz w:val="24"/>
          <w:szCs w:val="24"/>
          <w:lang w:eastAsia="zh-CN" w:bidi="hi-IN"/>
        </w:rPr>
        <w:t xml:space="preserve">.) 1982. </w:t>
      </w:r>
      <w:proofErr w:type="spellStart"/>
      <w:r w:rsidRPr="00424CD3">
        <w:rPr>
          <w:rFonts w:ascii="Times New Roman" w:eastAsia="Times New Roman" w:hAnsi="Times New Roman" w:cs="Times New Roman"/>
          <w:kern w:val="2"/>
          <w:sz w:val="24"/>
          <w:szCs w:val="24"/>
          <w:lang w:eastAsia="zh-CN" w:bidi="hi-IN"/>
        </w:rPr>
        <w:t>Флора</w:t>
      </w:r>
      <w:proofErr w:type="spellEnd"/>
      <w:r w:rsidRPr="00424CD3">
        <w:rPr>
          <w:rFonts w:ascii="Times New Roman" w:eastAsia="Times New Roman" w:hAnsi="Times New Roman" w:cs="Times New Roman"/>
          <w:kern w:val="2"/>
          <w:sz w:val="24"/>
          <w:szCs w:val="24"/>
          <w:lang w:eastAsia="zh-CN" w:bidi="hi-IN"/>
        </w:rPr>
        <w:t xml:space="preserve"> и </w:t>
      </w:r>
      <w:proofErr w:type="spellStart"/>
      <w:r w:rsidRPr="00424CD3">
        <w:rPr>
          <w:rFonts w:ascii="Times New Roman" w:eastAsia="Times New Roman" w:hAnsi="Times New Roman" w:cs="Times New Roman"/>
          <w:kern w:val="2"/>
          <w:sz w:val="24"/>
          <w:szCs w:val="24"/>
          <w:lang w:eastAsia="zh-CN" w:bidi="hi-IN"/>
        </w:rPr>
        <w:t>растительность</w:t>
      </w:r>
      <w:proofErr w:type="spellEnd"/>
      <w:r w:rsidRPr="00424CD3">
        <w:rPr>
          <w:rFonts w:ascii="Times New Roman" w:eastAsia="Times New Roman" w:hAnsi="Times New Roman" w:cs="Times New Roman"/>
          <w:kern w:val="2"/>
          <w:sz w:val="24"/>
          <w:szCs w:val="24"/>
          <w:lang w:eastAsia="zh-CN" w:bidi="hi-IN"/>
        </w:rPr>
        <w:t xml:space="preserve"> </w:t>
      </w:r>
      <w:proofErr w:type="spellStart"/>
      <w:r w:rsidRPr="00424CD3">
        <w:rPr>
          <w:rFonts w:ascii="Times New Roman" w:eastAsia="Times New Roman" w:hAnsi="Times New Roman" w:cs="Times New Roman"/>
          <w:kern w:val="2"/>
          <w:sz w:val="24"/>
          <w:szCs w:val="24"/>
          <w:lang w:eastAsia="zh-CN" w:bidi="hi-IN"/>
        </w:rPr>
        <w:t>Латвийской</w:t>
      </w:r>
      <w:proofErr w:type="spellEnd"/>
      <w:r w:rsidRPr="00424CD3">
        <w:rPr>
          <w:rFonts w:ascii="Times New Roman" w:eastAsia="Times New Roman" w:hAnsi="Times New Roman" w:cs="Times New Roman"/>
          <w:kern w:val="2"/>
          <w:sz w:val="24"/>
          <w:szCs w:val="24"/>
          <w:lang w:eastAsia="zh-CN" w:bidi="hi-IN"/>
        </w:rPr>
        <w:t xml:space="preserve"> ССР. </w:t>
      </w:r>
      <w:r w:rsidRPr="00424CD3">
        <w:rPr>
          <w:rFonts w:ascii="Times New Roman" w:eastAsia="Times New Roman" w:hAnsi="Times New Roman" w:cs="Times New Roman"/>
          <w:kern w:val="2"/>
          <w:sz w:val="24"/>
          <w:szCs w:val="24"/>
          <w:lang w:val="ru-RU" w:eastAsia="zh-CN" w:bidi="hi-IN"/>
        </w:rPr>
        <w:t>Юго-</w:t>
      </w:r>
      <w:proofErr w:type="spellStart"/>
      <w:r w:rsidRPr="00424CD3">
        <w:rPr>
          <w:rFonts w:ascii="Times New Roman" w:eastAsia="Times New Roman" w:hAnsi="Times New Roman" w:cs="Times New Roman"/>
          <w:kern w:val="2"/>
          <w:sz w:val="24"/>
          <w:szCs w:val="24"/>
          <w:lang w:val="ru-RU" w:eastAsia="zh-CN" w:bidi="hi-IN"/>
        </w:rPr>
        <w:t>вовточный</w:t>
      </w:r>
      <w:proofErr w:type="spellEnd"/>
      <w:r w:rsidRPr="00424CD3">
        <w:rPr>
          <w:rFonts w:ascii="Times New Roman" w:eastAsia="Times New Roman" w:hAnsi="Times New Roman" w:cs="Times New Roman"/>
          <w:kern w:val="2"/>
          <w:sz w:val="24"/>
          <w:szCs w:val="24"/>
          <w:lang w:val="ru-RU" w:eastAsia="zh-CN" w:bidi="hi-IN"/>
        </w:rPr>
        <w:t xml:space="preserve"> геоботанический район</w:t>
      </w:r>
      <w:r w:rsidRPr="00424CD3">
        <w:rPr>
          <w:rFonts w:ascii="Times New Roman" w:eastAsia="Times New Roman" w:hAnsi="Times New Roman" w:cs="Times New Roman"/>
          <w:kern w:val="2"/>
          <w:sz w:val="24"/>
          <w:szCs w:val="24"/>
          <w:lang w:eastAsia="zh-CN" w:bidi="hi-IN"/>
        </w:rPr>
        <w:t xml:space="preserve">. </w:t>
      </w:r>
      <w:proofErr w:type="spellStart"/>
      <w:r w:rsidRPr="00424CD3">
        <w:rPr>
          <w:rFonts w:ascii="Times New Roman" w:eastAsia="Times New Roman" w:hAnsi="Times New Roman" w:cs="Times New Roman"/>
          <w:kern w:val="2"/>
          <w:sz w:val="24"/>
          <w:szCs w:val="24"/>
          <w:lang w:eastAsia="zh-CN" w:bidi="hi-IN"/>
        </w:rPr>
        <w:t>Рига</w:t>
      </w:r>
      <w:proofErr w:type="spellEnd"/>
      <w:r w:rsidRPr="00424CD3">
        <w:rPr>
          <w:rFonts w:ascii="Times New Roman" w:eastAsia="Times New Roman" w:hAnsi="Times New Roman" w:cs="Times New Roman"/>
          <w:kern w:val="2"/>
          <w:sz w:val="24"/>
          <w:szCs w:val="24"/>
          <w:lang w:eastAsia="zh-CN" w:bidi="hi-IN"/>
        </w:rPr>
        <w:t xml:space="preserve">: </w:t>
      </w:r>
      <w:proofErr w:type="spellStart"/>
      <w:r w:rsidRPr="00424CD3">
        <w:rPr>
          <w:rFonts w:ascii="Times New Roman" w:eastAsia="Times New Roman" w:hAnsi="Times New Roman" w:cs="Times New Roman"/>
          <w:kern w:val="2"/>
          <w:sz w:val="24"/>
          <w:szCs w:val="24"/>
          <w:lang w:eastAsia="zh-CN" w:bidi="hi-IN"/>
        </w:rPr>
        <w:t>Зинатне</w:t>
      </w:r>
      <w:proofErr w:type="spellEnd"/>
      <w:r w:rsidRPr="00424CD3">
        <w:rPr>
          <w:rFonts w:ascii="Times New Roman" w:eastAsia="Times New Roman" w:hAnsi="Times New Roman" w:cs="Times New Roman"/>
          <w:kern w:val="2"/>
          <w:sz w:val="24"/>
          <w:szCs w:val="24"/>
          <w:lang w:eastAsia="zh-CN" w:bidi="hi-IN"/>
        </w:rPr>
        <w:t>, 1</w:t>
      </w:r>
      <w:r w:rsidRPr="00424CD3">
        <w:rPr>
          <w:rFonts w:ascii="Times New Roman" w:eastAsia="Times New Roman" w:hAnsi="Times New Roman" w:cs="Times New Roman"/>
          <w:kern w:val="2"/>
          <w:sz w:val="24"/>
          <w:szCs w:val="24"/>
          <w:lang w:val="ru-RU" w:eastAsia="zh-CN" w:bidi="hi-IN"/>
        </w:rPr>
        <w:t>96</w:t>
      </w:r>
      <w:r w:rsidRPr="00424CD3">
        <w:rPr>
          <w:rFonts w:ascii="Times New Roman" w:eastAsia="Times New Roman" w:hAnsi="Times New Roman" w:cs="Times New Roman"/>
          <w:kern w:val="2"/>
          <w:sz w:val="24"/>
          <w:szCs w:val="24"/>
          <w:lang w:eastAsia="zh-CN" w:bidi="hi-IN"/>
        </w:rPr>
        <w:t xml:space="preserve"> с.</w:t>
      </w:r>
    </w:p>
    <w:p w14:paraId="02FB4225" w14:textId="09324BBF" w:rsidR="00B62A91" w:rsidRPr="00424CD3" w:rsidRDefault="00B62A91" w:rsidP="00424CD3">
      <w:pPr>
        <w:numPr>
          <w:ilvl w:val="0"/>
          <w:numId w:val="31"/>
        </w:numPr>
        <w:tabs>
          <w:tab w:val="left" w:pos="426"/>
        </w:tabs>
        <w:spacing w:after="0" w:line="240" w:lineRule="auto"/>
        <w:jc w:val="both"/>
        <w:rPr>
          <w:rFonts w:ascii="Times New Roman" w:eastAsia="Times New Roman" w:hAnsi="Times New Roman" w:cs="Times New Roman"/>
          <w:kern w:val="2"/>
          <w:sz w:val="24"/>
          <w:szCs w:val="24"/>
          <w:lang w:eastAsia="zh-CN" w:bidi="hi-IN"/>
        </w:rPr>
      </w:pPr>
      <w:proofErr w:type="spellStart"/>
      <w:r w:rsidRPr="00424CD3">
        <w:rPr>
          <w:rFonts w:ascii="Times New Roman" w:eastAsia="Times New Roman" w:hAnsi="Times New Roman" w:cs="Times New Roman"/>
          <w:kern w:val="2"/>
          <w:sz w:val="24"/>
          <w:szCs w:val="24"/>
          <w:lang w:eastAsia="zh-CN" w:bidi="hi-IN"/>
        </w:rPr>
        <w:t>Табака</w:t>
      </w:r>
      <w:proofErr w:type="spellEnd"/>
      <w:r w:rsidRPr="00424CD3">
        <w:rPr>
          <w:rFonts w:ascii="Times New Roman" w:eastAsia="Times New Roman" w:hAnsi="Times New Roman" w:cs="Times New Roman"/>
          <w:kern w:val="2"/>
          <w:sz w:val="24"/>
          <w:szCs w:val="24"/>
          <w:lang w:eastAsia="zh-CN" w:bidi="hi-IN"/>
        </w:rPr>
        <w:t xml:space="preserve"> Л., </w:t>
      </w:r>
      <w:proofErr w:type="spellStart"/>
      <w:r w:rsidRPr="00424CD3">
        <w:rPr>
          <w:rFonts w:ascii="Times New Roman" w:eastAsia="Times New Roman" w:hAnsi="Times New Roman" w:cs="Times New Roman"/>
          <w:kern w:val="2"/>
          <w:sz w:val="24"/>
          <w:szCs w:val="24"/>
          <w:lang w:eastAsia="zh-CN" w:bidi="hi-IN"/>
        </w:rPr>
        <w:t>Гаврилова</w:t>
      </w:r>
      <w:proofErr w:type="spellEnd"/>
      <w:r w:rsidRPr="00424CD3">
        <w:rPr>
          <w:rFonts w:ascii="Times New Roman" w:eastAsia="Times New Roman" w:hAnsi="Times New Roman" w:cs="Times New Roman"/>
          <w:kern w:val="2"/>
          <w:sz w:val="24"/>
          <w:szCs w:val="24"/>
          <w:lang w:eastAsia="zh-CN" w:bidi="hi-IN"/>
        </w:rPr>
        <w:t xml:space="preserve"> Г., </w:t>
      </w:r>
      <w:proofErr w:type="spellStart"/>
      <w:r w:rsidRPr="00424CD3">
        <w:rPr>
          <w:rFonts w:ascii="Times New Roman" w:eastAsia="Times New Roman" w:hAnsi="Times New Roman" w:cs="Times New Roman"/>
          <w:kern w:val="2"/>
          <w:sz w:val="24"/>
          <w:szCs w:val="24"/>
          <w:lang w:eastAsia="zh-CN" w:bidi="hi-IN"/>
        </w:rPr>
        <w:t>Фатаре</w:t>
      </w:r>
      <w:proofErr w:type="spellEnd"/>
      <w:r w:rsidRPr="00424CD3">
        <w:rPr>
          <w:rFonts w:ascii="Times New Roman" w:eastAsia="Times New Roman" w:hAnsi="Times New Roman" w:cs="Times New Roman"/>
          <w:kern w:val="2"/>
          <w:sz w:val="24"/>
          <w:szCs w:val="24"/>
          <w:lang w:eastAsia="zh-CN" w:bidi="hi-IN"/>
        </w:rPr>
        <w:t xml:space="preserve"> И. 1988. </w:t>
      </w:r>
      <w:proofErr w:type="spellStart"/>
      <w:r w:rsidRPr="00424CD3">
        <w:rPr>
          <w:rFonts w:ascii="Times New Roman" w:eastAsia="Times New Roman" w:hAnsi="Times New Roman" w:cs="Times New Roman"/>
          <w:kern w:val="2"/>
          <w:sz w:val="24"/>
          <w:szCs w:val="24"/>
          <w:lang w:eastAsia="zh-CN" w:bidi="hi-IN"/>
        </w:rPr>
        <w:t>Флора</w:t>
      </w:r>
      <w:proofErr w:type="spellEnd"/>
      <w:r w:rsidRPr="00424CD3">
        <w:rPr>
          <w:rFonts w:ascii="Times New Roman" w:eastAsia="Times New Roman" w:hAnsi="Times New Roman" w:cs="Times New Roman"/>
          <w:kern w:val="2"/>
          <w:sz w:val="24"/>
          <w:szCs w:val="24"/>
          <w:lang w:eastAsia="zh-CN" w:bidi="hi-IN"/>
        </w:rPr>
        <w:t xml:space="preserve"> </w:t>
      </w:r>
      <w:proofErr w:type="spellStart"/>
      <w:r w:rsidRPr="00424CD3">
        <w:rPr>
          <w:rFonts w:ascii="Times New Roman" w:eastAsia="Times New Roman" w:hAnsi="Times New Roman" w:cs="Times New Roman"/>
          <w:kern w:val="2"/>
          <w:sz w:val="24"/>
          <w:szCs w:val="24"/>
          <w:lang w:eastAsia="zh-CN" w:bidi="hi-IN"/>
        </w:rPr>
        <w:t>сосудистых</w:t>
      </w:r>
      <w:proofErr w:type="spellEnd"/>
      <w:r w:rsidRPr="00424CD3">
        <w:rPr>
          <w:rFonts w:ascii="Times New Roman" w:eastAsia="Times New Roman" w:hAnsi="Times New Roman" w:cs="Times New Roman"/>
          <w:kern w:val="2"/>
          <w:sz w:val="24"/>
          <w:szCs w:val="24"/>
          <w:lang w:eastAsia="zh-CN" w:bidi="hi-IN"/>
        </w:rPr>
        <w:t xml:space="preserve"> </w:t>
      </w:r>
      <w:proofErr w:type="spellStart"/>
      <w:r w:rsidRPr="00424CD3">
        <w:rPr>
          <w:rFonts w:ascii="Times New Roman" w:eastAsia="Times New Roman" w:hAnsi="Times New Roman" w:cs="Times New Roman"/>
          <w:kern w:val="2"/>
          <w:sz w:val="24"/>
          <w:szCs w:val="24"/>
          <w:lang w:eastAsia="zh-CN" w:bidi="hi-IN"/>
        </w:rPr>
        <w:t>растений</w:t>
      </w:r>
      <w:proofErr w:type="spellEnd"/>
      <w:r w:rsidRPr="00424CD3">
        <w:rPr>
          <w:rFonts w:ascii="Times New Roman" w:eastAsia="Times New Roman" w:hAnsi="Times New Roman" w:cs="Times New Roman"/>
          <w:kern w:val="2"/>
          <w:sz w:val="24"/>
          <w:szCs w:val="24"/>
          <w:lang w:eastAsia="zh-CN" w:bidi="hi-IN"/>
        </w:rPr>
        <w:t xml:space="preserve"> </w:t>
      </w:r>
      <w:proofErr w:type="spellStart"/>
      <w:r w:rsidRPr="00424CD3">
        <w:rPr>
          <w:rFonts w:ascii="Times New Roman" w:eastAsia="Times New Roman" w:hAnsi="Times New Roman" w:cs="Times New Roman"/>
          <w:kern w:val="2"/>
          <w:sz w:val="24"/>
          <w:szCs w:val="24"/>
          <w:lang w:eastAsia="zh-CN" w:bidi="hi-IN"/>
        </w:rPr>
        <w:t>Латвийской</w:t>
      </w:r>
      <w:proofErr w:type="spellEnd"/>
      <w:r w:rsidRPr="00424CD3">
        <w:rPr>
          <w:rFonts w:ascii="Times New Roman" w:eastAsia="Times New Roman" w:hAnsi="Times New Roman" w:cs="Times New Roman"/>
          <w:kern w:val="2"/>
          <w:sz w:val="24"/>
          <w:szCs w:val="24"/>
          <w:lang w:eastAsia="zh-CN" w:bidi="hi-IN"/>
        </w:rPr>
        <w:t xml:space="preserve"> ССР. </w:t>
      </w:r>
      <w:proofErr w:type="spellStart"/>
      <w:r w:rsidRPr="00424CD3">
        <w:rPr>
          <w:rFonts w:ascii="Times New Roman" w:eastAsia="Times New Roman" w:hAnsi="Times New Roman" w:cs="Times New Roman"/>
          <w:kern w:val="2"/>
          <w:sz w:val="24"/>
          <w:szCs w:val="24"/>
          <w:lang w:eastAsia="zh-CN" w:bidi="hi-IN"/>
        </w:rPr>
        <w:t>Рига</w:t>
      </w:r>
      <w:proofErr w:type="spellEnd"/>
      <w:r w:rsidRPr="00424CD3">
        <w:rPr>
          <w:rFonts w:ascii="Times New Roman" w:eastAsia="Times New Roman" w:hAnsi="Times New Roman" w:cs="Times New Roman"/>
          <w:kern w:val="2"/>
          <w:sz w:val="24"/>
          <w:szCs w:val="24"/>
          <w:lang w:eastAsia="zh-CN" w:bidi="hi-IN"/>
        </w:rPr>
        <w:t xml:space="preserve">: </w:t>
      </w:r>
      <w:proofErr w:type="spellStart"/>
      <w:r w:rsidRPr="00424CD3">
        <w:rPr>
          <w:rFonts w:ascii="Times New Roman" w:eastAsia="Times New Roman" w:hAnsi="Times New Roman" w:cs="Times New Roman"/>
          <w:kern w:val="2"/>
          <w:sz w:val="24"/>
          <w:szCs w:val="24"/>
          <w:lang w:eastAsia="zh-CN" w:bidi="hi-IN"/>
        </w:rPr>
        <w:t>Зинатне</w:t>
      </w:r>
      <w:proofErr w:type="spellEnd"/>
      <w:r w:rsidRPr="00424CD3">
        <w:rPr>
          <w:rFonts w:ascii="Times New Roman" w:eastAsia="Times New Roman" w:hAnsi="Times New Roman" w:cs="Times New Roman"/>
          <w:kern w:val="2"/>
          <w:sz w:val="24"/>
          <w:szCs w:val="24"/>
          <w:lang w:eastAsia="zh-CN" w:bidi="hi-IN"/>
        </w:rPr>
        <w:t>, 195 с.</w:t>
      </w:r>
    </w:p>
    <w:p w14:paraId="5959FCAF" w14:textId="44373315" w:rsidR="00260499" w:rsidRPr="00424CD3" w:rsidRDefault="00260499" w:rsidP="00424CD3">
      <w:pPr>
        <w:numPr>
          <w:ilvl w:val="0"/>
          <w:numId w:val="31"/>
        </w:numPr>
        <w:tabs>
          <w:tab w:val="left" w:pos="426"/>
        </w:tabs>
        <w:spacing w:after="0" w:line="240" w:lineRule="auto"/>
        <w:jc w:val="both"/>
        <w:rPr>
          <w:rFonts w:ascii="Times New Roman" w:eastAsia="Times New Roman" w:hAnsi="Times New Roman" w:cs="Times New Roman"/>
          <w:kern w:val="2"/>
          <w:sz w:val="24"/>
          <w:szCs w:val="24"/>
          <w:lang w:eastAsia="zh-CN" w:bidi="hi-IN"/>
        </w:rPr>
      </w:pPr>
      <w:proofErr w:type="spellStart"/>
      <w:r w:rsidRPr="00424CD3">
        <w:rPr>
          <w:rFonts w:ascii="Times New Roman" w:eastAsia="Times New Roman" w:hAnsi="Times New Roman" w:cs="Times New Roman"/>
          <w:kern w:val="2"/>
          <w:sz w:val="24"/>
          <w:szCs w:val="24"/>
          <w:lang w:eastAsia="zh-CN" w:bidi="hi-IN"/>
        </w:rPr>
        <w:t>Эберхард</w:t>
      </w:r>
      <w:proofErr w:type="spellEnd"/>
      <w:r w:rsidR="00D65BBA" w:rsidRPr="00424CD3">
        <w:rPr>
          <w:rFonts w:ascii="Times New Roman" w:eastAsia="Times New Roman" w:hAnsi="Times New Roman" w:cs="Times New Roman"/>
          <w:kern w:val="2"/>
          <w:sz w:val="24"/>
          <w:szCs w:val="24"/>
          <w:lang w:eastAsia="zh-CN" w:bidi="hi-IN"/>
        </w:rPr>
        <w:t xml:space="preserve"> </w:t>
      </w:r>
      <w:r w:rsidRPr="00424CD3">
        <w:rPr>
          <w:rFonts w:ascii="Times New Roman" w:eastAsia="Times New Roman" w:hAnsi="Times New Roman" w:cs="Times New Roman"/>
          <w:kern w:val="2"/>
          <w:sz w:val="24"/>
          <w:szCs w:val="24"/>
          <w:lang w:eastAsia="zh-CN" w:bidi="hi-IN"/>
        </w:rPr>
        <w:t xml:space="preserve">Г.Я. 1972. </w:t>
      </w:r>
      <w:proofErr w:type="spellStart"/>
      <w:r w:rsidRPr="00424CD3">
        <w:rPr>
          <w:rFonts w:ascii="Times New Roman" w:eastAsia="Times New Roman" w:hAnsi="Times New Roman" w:cs="Times New Roman"/>
          <w:kern w:val="2"/>
          <w:sz w:val="24"/>
          <w:szCs w:val="24"/>
          <w:lang w:eastAsia="zh-CN" w:bidi="hi-IN"/>
        </w:rPr>
        <w:t>Строение</w:t>
      </w:r>
      <w:proofErr w:type="spellEnd"/>
      <w:r w:rsidRPr="00424CD3">
        <w:rPr>
          <w:rFonts w:ascii="Times New Roman" w:eastAsia="Times New Roman" w:hAnsi="Times New Roman" w:cs="Times New Roman"/>
          <w:kern w:val="2"/>
          <w:sz w:val="24"/>
          <w:szCs w:val="24"/>
          <w:lang w:eastAsia="zh-CN" w:bidi="hi-IN"/>
        </w:rPr>
        <w:t xml:space="preserve"> и </w:t>
      </w:r>
      <w:proofErr w:type="spellStart"/>
      <w:r w:rsidRPr="00424CD3">
        <w:rPr>
          <w:rFonts w:ascii="Times New Roman" w:eastAsia="Times New Roman" w:hAnsi="Times New Roman" w:cs="Times New Roman"/>
          <w:kern w:val="2"/>
          <w:sz w:val="24"/>
          <w:szCs w:val="24"/>
          <w:lang w:eastAsia="zh-CN" w:bidi="hi-IN"/>
        </w:rPr>
        <w:t>развитие</w:t>
      </w:r>
      <w:proofErr w:type="spellEnd"/>
      <w:r w:rsidRPr="00424CD3">
        <w:rPr>
          <w:rFonts w:ascii="Times New Roman" w:eastAsia="Times New Roman" w:hAnsi="Times New Roman" w:cs="Times New Roman"/>
          <w:kern w:val="2"/>
          <w:sz w:val="24"/>
          <w:szCs w:val="24"/>
          <w:lang w:eastAsia="zh-CN" w:bidi="hi-IN"/>
        </w:rPr>
        <w:t xml:space="preserve"> </w:t>
      </w:r>
      <w:proofErr w:type="spellStart"/>
      <w:r w:rsidRPr="00424CD3">
        <w:rPr>
          <w:rFonts w:ascii="Times New Roman" w:eastAsia="Times New Roman" w:hAnsi="Times New Roman" w:cs="Times New Roman"/>
          <w:kern w:val="2"/>
          <w:sz w:val="24"/>
          <w:szCs w:val="24"/>
          <w:lang w:eastAsia="zh-CN" w:bidi="hi-IN"/>
        </w:rPr>
        <w:t>долин</w:t>
      </w:r>
      <w:proofErr w:type="spellEnd"/>
      <w:r w:rsidRPr="00424CD3">
        <w:rPr>
          <w:rFonts w:ascii="Times New Roman" w:eastAsia="Times New Roman" w:hAnsi="Times New Roman" w:cs="Times New Roman"/>
          <w:kern w:val="2"/>
          <w:sz w:val="24"/>
          <w:szCs w:val="24"/>
          <w:lang w:eastAsia="zh-CN" w:bidi="hi-IN"/>
        </w:rPr>
        <w:t xml:space="preserve"> </w:t>
      </w:r>
      <w:proofErr w:type="spellStart"/>
      <w:r w:rsidRPr="00424CD3">
        <w:rPr>
          <w:rFonts w:ascii="Times New Roman" w:eastAsia="Times New Roman" w:hAnsi="Times New Roman" w:cs="Times New Roman"/>
          <w:kern w:val="2"/>
          <w:sz w:val="24"/>
          <w:szCs w:val="24"/>
          <w:lang w:eastAsia="zh-CN" w:bidi="hi-IN"/>
        </w:rPr>
        <w:t>бассейна</w:t>
      </w:r>
      <w:proofErr w:type="spellEnd"/>
      <w:r w:rsidRPr="00424CD3">
        <w:rPr>
          <w:rFonts w:ascii="Times New Roman" w:eastAsia="Times New Roman" w:hAnsi="Times New Roman" w:cs="Times New Roman"/>
          <w:kern w:val="2"/>
          <w:sz w:val="24"/>
          <w:szCs w:val="24"/>
          <w:lang w:eastAsia="zh-CN" w:bidi="hi-IN"/>
        </w:rPr>
        <w:t xml:space="preserve"> </w:t>
      </w:r>
      <w:proofErr w:type="spellStart"/>
      <w:r w:rsidRPr="00424CD3">
        <w:rPr>
          <w:rFonts w:ascii="Times New Roman" w:eastAsia="Times New Roman" w:hAnsi="Times New Roman" w:cs="Times New Roman"/>
          <w:kern w:val="2"/>
          <w:sz w:val="24"/>
          <w:szCs w:val="24"/>
          <w:lang w:eastAsia="zh-CN" w:bidi="hi-IN"/>
        </w:rPr>
        <w:t>реки</w:t>
      </w:r>
      <w:proofErr w:type="spellEnd"/>
      <w:r w:rsidRPr="00424CD3">
        <w:rPr>
          <w:rFonts w:ascii="Times New Roman" w:eastAsia="Times New Roman" w:hAnsi="Times New Roman" w:cs="Times New Roman"/>
          <w:kern w:val="2"/>
          <w:sz w:val="24"/>
          <w:szCs w:val="24"/>
          <w:lang w:eastAsia="zh-CN" w:bidi="hi-IN"/>
        </w:rPr>
        <w:t xml:space="preserve"> </w:t>
      </w:r>
      <w:proofErr w:type="spellStart"/>
      <w:r w:rsidRPr="00424CD3">
        <w:rPr>
          <w:rFonts w:ascii="Times New Roman" w:eastAsia="Times New Roman" w:hAnsi="Times New Roman" w:cs="Times New Roman"/>
          <w:kern w:val="2"/>
          <w:sz w:val="24"/>
          <w:szCs w:val="24"/>
          <w:lang w:eastAsia="zh-CN" w:bidi="hi-IN"/>
        </w:rPr>
        <w:t>Даугава</w:t>
      </w:r>
      <w:proofErr w:type="spellEnd"/>
      <w:r w:rsidRPr="00424CD3">
        <w:rPr>
          <w:rFonts w:ascii="Times New Roman" w:eastAsia="Times New Roman" w:hAnsi="Times New Roman" w:cs="Times New Roman"/>
          <w:kern w:val="2"/>
          <w:sz w:val="24"/>
          <w:szCs w:val="24"/>
          <w:lang w:eastAsia="zh-CN" w:bidi="hi-IN"/>
        </w:rPr>
        <w:t>. -</w:t>
      </w:r>
      <w:proofErr w:type="spellStart"/>
      <w:r w:rsidRPr="00424CD3">
        <w:rPr>
          <w:rFonts w:ascii="Times New Roman" w:eastAsia="Times New Roman" w:hAnsi="Times New Roman" w:cs="Times New Roman"/>
          <w:kern w:val="2"/>
          <w:sz w:val="24"/>
          <w:szCs w:val="24"/>
          <w:lang w:eastAsia="zh-CN" w:bidi="hi-IN"/>
        </w:rPr>
        <w:t>Рига</w:t>
      </w:r>
      <w:proofErr w:type="spellEnd"/>
      <w:r w:rsidRPr="00424CD3">
        <w:rPr>
          <w:rFonts w:ascii="Times New Roman" w:eastAsia="Times New Roman" w:hAnsi="Times New Roman" w:cs="Times New Roman"/>
          <w:kern w:val="2"/>
          <w:sz w:val="24"/>
          <w:szCs w:val="24"/>
          <w:lang w:eastAsia="zh-CN" w:bidi="hi-IN"/>
        </w:rPr>
        <w:t xml:space="preserve">: </w:t>
      </w:r>
      <w:proofErr w:type="spellStart"/>
      <w:r w:rsidRPr="00424CD3">
        <w:rPr>
          <w:rFonts w:ascii="Times New Roman" w:eastAsia="Times New Roman" w:hAnsi="Times New Roman" w:cs="Times New Roman"/>
          <w:kern w:val="2"/>
          <w:sz w:val="24"/>
          <w:szCs w:val="24"/>
          <w:lang w:eastAsia="zh-CN" w:bidi="hi-IN"/>
        </w:rPr>
        <w:t>Зинатне</w:t>
      </w:r>
      <w:proofErr w:type="spellEnd"/>
      <w:r w:rsidRPr="00424CD3">
        <w:rPr>
          <w:rFonts w:ascii="Times New Roman" w:eastAsia="Times New Roman" w:hAnsi="Times New Roman" w:cs="Times New Roman"/>
          <w:kern w:val="2"/>
          <w:sz w:val="24"/>
          <w:szCs w:val="24"/>
          <w:lang w:eastAsia="zh-CN" w:bidi="hi-IN"/>
        </w:rPr>
        <w:t>. -131 с.</w:t>
      </w:r>
    </w:p>
    <w:p w14:paraId="3A2FC575" w14:textId="011FC9D1" w:rsidR="006715E1" w:rsidRPr="00424CD3" w:rsidRDefault="00260499" w:rsidP="00424CD3">
      <w:pPr>
        <w:numPr>
          <w:ilvl w:val="0"/>
          <w:numId w:val="31"/>
        </w:numPr>
        <w:tabs>
          <w:tab w:val="left" w:pos="426"/>
        </w:tabs>
        <w:spacing w:after="0" w:line="240" w:lineRule="auto"/>
        <w:jc w:val="both"/>
        <w:rPr>
          <w:rFonts w:ascii="Times New Roman" w:eastAsia="Times New Roman" w:hAnsi="Times New Roman" w:cs="Times New Roman"/>
          <w:kern w:val="2"/>
          <w:sz w:val="24"/>
          <w:szCs w:val="24"/>
          <w:lang w:eastAsia="zh-CN" w:bidi="hi-IN"/>
        </w:rPr>
      </w:pPr>
      <w:proofErr w:type="spellStart"/>
      <w:r w:rsidRPr="00424CD3">
        <w:rPr>
          <w:rFonts w:ascii="Times New Roman" w:eastAsia="Times New Roman" w:hAnsi="Times New Roman" w:cs="Times New Roman"/>
          <w:kern w:val="2"/>
          <w:sz w:val="24"/>
          <w:szCs w:val="24"/>
          <w:lang w:eastAsia="zh-CN" w:bidi="hi-IN"/>
        </w:rPr>
        <w:t>Эберхард</w:t>
      </w:r>
      <w:proofErr w:type="spellEnd"/>
      <w:r w:rsidR="00D65BBA" w:rsidRPr="00424CD3">
        <w:rPr>
          <w:rFonts w:ascii="Times New Roman" w:eastAsia="Times New Roman" w:hAnsi="Times New Roman" w:cs="Times New Roman"/>
          <w:kern w:val="2"/>
          <w:sz w:val="24"/>
          <w:szCs w:val="24"/>
          <w:lang w:eastAsia="zh-CN" w:bidi="hi-IN"/>
        </w:rPr>
        <w:t xml:space="preserve"> </w:t>
      </w:r>
      <w:r w:rsidRPr="00424CD3">
        <w:rPr>
          <w:rFonts w:ascii="Times New Roman" w:eastAsia="Times New Roman" w:hAnsi="Times New Roman" w:cs="Times New Roman"/>
          <w:kern w:val="2"/>
          <w:sz w:val="24"/>
          <w:szCs w:val="24"/>
          <w:lang w:eastAsia="zh-CN" w:bidi="hi-IN"/>
        </w:rPr>
        <w:t xml:space="preserve">Г.Я. 1985. </w:t>
      </w:r>
      <w:proofErr w:type="spellStart"/>
      <w:r w:rsidRPr="00424CD3">
        <w:rPr>
          <w:rFonts w:ascii="Times New Roman" w:eastAsia="Times New Roman" w:hAnsi="Times New Roman" w:cs="Times New Roman"/>
          <w:kern w:val="2"/>
          <w:sz w:val="24"/>
          <w:szCs w:val="24"/>
          <w:lang w:eastAsia="zh-CN" w:bidi="hi-IN"/>
        </w:rPr>
        <w:t>Морфогенез</w:t>
      </w:r>
      <w:proofErr w:type="spellEnd"/>
      <w:r w:rsidRPr="00424CD3">
        <w:rPr>
          <w:rFonts w:ascii="Times New Roman" w:eastAsia="Times New Roman" w:hAnsi="Times New Roman" w:cs="Times New Roman"/>
          <w:kern w:val="2"/>
          <w:sz w:val="24"/>
          <w:szCs w:val="24"/>
          <w:lang w:eastAsia="zh-CN" w:bidi="hi-IN"/>
        </w:rPr>
        <w:t xml:space="preserve"> </w:t>
      </w:r>
      <w:proofErr w:type="spellStart"/>
      <w:r w:rsidRPr="00424CD3">
        <w:rPr>
          <w:rFonts w:ascii="Times New Roman" w:eastAsia="Times New Roman" w:hAnsi="Times New Roman" w:cs="Times New Roman"/>
          <w:kern w:val="2"/>
          <w:sz w:val="24"/>
          <w:szCs w:val="24"/>
          <w:lang w:eastAsia="zh-CN" w:bidi="hi-IN"/>
        </w:rPr>
        <w:t>долин</w:t>
      </w:r>
      <w:proofErr w:type="spellEnd"/>
      <w:r w:rsidRPr="00424CD3">
        <w:rPr>
          <w:rFonts w:ascii="Times New Roman" w:eastAsia="Times New Roman" w:hAnsi="Times New Roman" w:cs="Times New Roman"/>
          <w:kern w:val="2"/>
          <w:sz w:val="24"/>
          <w:szCs w:val="24"/>
          <w:lang w:eastAsia="zh-CN" w:bidi="hi-IN"/>
        </w:rPr>
        <w:t xml:space="preserve"> </w:t>
      </w:r>
      <w:proofErr w:type="spellStart"/>
      <w:r w:rsidRPr="00424CD3">
        <w:rPr>
          <w:rFonts w:ascii="Times New Roman" w:eastAsia="Times New Roman" w:hAnsi="Times New Roman" w:cs="Times New Roman"/>
          <w:kern w:val="2"/>
          <w:sz w:val="24"/>
          <w:szCs w:val="24"/>
          <w:lang w:eastAsia="zh-CN" w:bidi="hi-IN"/>
        </w:rPr>
        <w:t>области</w:t>
      </w:r>
      <w:proofErr w:type="spellEnd"/>
      <w:r w:rsidRPr="00424CD3">
        <w:rPr>
          <w:rFonts w:ascii="Times New Roman" w:eastAsia="Times New Roman" w:hAnsi="Times New Roman" w:cs="Times New Roman"/>
          <w:kern w:val="2"/>
          <w:sz w:val="24"/>
          <w:szCs w:val="24"/>
          <w:lang w:eastAsia="zh-CN" w:bidi="hi-IN"/>
        </w:rPr>
        <w:t xml:space="preserve"> </w:t>
      </w:r>
      <w:proofErr w:type="spellStart"/>
      <w:r w:rsidRPr="00424CD3">
        <w:rPr>
          <w:rFonts w:ascii="Times New Roman" w:eastAsia="Times New Roman" w:hAnsi="Times New Roman" w:cs="Times New Roman"/>
          <w:kern w:val="2"/>
          <w:sz w:val="24"/>
          <w:szCs w:val="24"/>
          <w:lang w:eastAsia="zh-CN" w:bidi="hi-IN"/>
        </w:rPr>
        <w:t>последнего</w:t>
      </w:r>
      <w:proofErr w:type="spellEnd"/>
      <w:r w:rsidRPr="00424CD3">
        <w:rPr>
          <w:rFonts w:ascii="Times New Roman" w:eastAsia="Times New Roman" w:hAnsi="Times New Roman" w:cs="Times New Roman"/>
          <w:kern w:val="2"/>
          <w:sz w:val="24"/>
          <w:szCs w:val="24"/>
          <w:lang w:eastAsia="zh-CN" w:bidi="hi-IN"/>
        </w:rPr>
        <w:t xml:space="preserve"> </w:t>
      </w:r>
      <w:proofErr w:type="spellStart"/>
      <w:r w:rsidRPr="00424CD3">
        <w:rPr>
          <w:rFonts w:ascii="Times New Roman" w:eastAsia="Times New Roman" w:hAnsi="Times New Roman" w:cs="Times New Roman"/>
          <w:kern w:val="2"/>
          <w:sz w:val="24"/>
          <w:szCs w:val="24"/>
          <w:lang w:eastAsia="zh-CN" w:bidi="hi-IN"/>
        </w:rPr>
        <w:t>материкового</w:t>
      </w:r>
      <w:proofErr w:type="spellEnd"/>
      <w:r w:rsidRPr="00424CD3">
        <w:rPr>
          <w:rFonts w:ascii="Times New Roman" w:eastAsia="Times New Roman" w:hAnsi="Times New Roman" w:cs="Times New Roman"/>
          <w:kern w:val="2"/>
          <w:sz w:val="24"/>
          <w:szCs w:val="24"/>
          <w:lang w:eastAsia="zh-CN" w:bidi="hi-IN"/>
        </w:rPr>
        <w:t xml:space="preserve"> </w:t>
      </w:r>
      <w:proofErr w:type="spellStart"/>
      <w:r w:rsidRPr="00424CD3">
        <w:rPr>
          <w:rFonts w:ascii="Times New Roman" w:eastAsia="Times New Roman" w:hAnsi="Times New Roman" w:cs="Times New Roman"/>
          <w:kern w:val="2"/>
          <w:sz w:val="24"/>
          <w:szCs w:val="24"/>
          <w:lang w:eastAsia="zh-CN" w:bidi="hi-IN"/>
        </w:rPr>
        <w:t>оледенения</w:t>
      </w:r>
      <w:proofErr w:type="spellEnd"/>
      <w:r w:rsidRPr="00424CD3">
        <w:rPr>
          <w:rFonts w:ascii="Times New Roman" w:eastAsia="Times New Roman" w:hAnsi="Times New Roman" w:cs="Times New Roman"/>
          <w:kern w:val="2"/>
          <w:sz w:val="24"/>
          <w:szCs w:val="24"/>
          <w:lang w:eastAsia="zh-CN" w:bidi="hi-IN"/>
        </w:rPr>
        <w:t xml:space="preserve"> и </w:t>
      </w:r>
      <w:proofErr w:type="spellStart"/>
      <w:r w:rsidRPr="00424CD3">
        <w:rPr>
          <w:rFonts w:ascii="Times New Roman" w:eastAsia="Times New Roman" w:hAnsi="Times New Roman" w:cs="Times New Roman"/>
          <w:kern w:val="2"/>
          <w:sz w:val="24"/>
          <w:szCs w:val="24"/>
          <w:lang w:eastAsia="zh-CN" w:bidi="hi-IN"/>
        </w:rPr>
        <w:t>современные</w:t>
      </w:r>
      <w:proofErr w:type="spellEnd"/>
      <w:r w:rsidRPr="00424CD3">
        <w:rPr>
          <w:rFonts w:ascii="Times New Roman" w:eastAsia="Times New Roman" w:hAnsi="Times New Roman" w:cs="Times New Roman"/>
          <w:kern w:val="2"/>
          <w:sz w:val="24"/>
          <w:szCs w:val="24"/>
          <w:lang w:eastAsia="zh-CN" w:bidi="hi-IN"/>
        </w:rPr>
        <w:t xml:space="preserve"> </w:t>
      </w:r>
      <w:proofErr w:type="spellStart"/>
      <w:r w:rsidRPr="00424CD3">
        <w:rPr>
          <w:rFonts w:ascii="Times New Roman" w:eastAsia="Times New Roman" w:hAnsi="Times New Roman" w:cs="Times New Roman"/>
          <w:kern w:val="2"/>
          <w:sz w:val="24"/>
          <w:szCs w:val="24"/>
          <w:lang w:eastAsia="zh-CN" w:bidi="hi-IN"/>
        </w:rPr>
        <w:t>речные</w:t>
      </w:r>
      <w:proofErr w:type="spellEnd"/>
      <w:r w:rsidRPr="00424CD3">
        <w:rPr>
          <w:rFonts w:ascii="Times New Roman" w:eastAsia="Times New Roman" w:hAnsi="Times New Roman" w:cs="Times New Roman"/>
          <w:kern w:val="2"/>
          <w:sz w:val="24"/>
          <w:szCs w:val="24"/>
          <w:lang w:eastAsia="zh-CN" w:bidi="hi-IN"/>
        </w:rPr>
        <w:t xml:space="preserve"> </w:t>
      </w:r>
      <w:proofErr w:type="spellStart"/>
      <w:r w:rsidRPr="00424CD3">
        <w:rPr>
          <w:rFonts w:ascii="Times New Roman" w:eastAsia="Times New Roman" w:hAnsi="Times New Roman" w:cs="Times New Roman"/>
          <w:kern w:val="2"/>
          <w:sz w:val="24"/>
          <w:szCs w:val="24"/>
          <w:lang w:eastAsia="zh-CN" w:bidi="hi-IN"/>
        </w:rPr>
        <w:t>процессы</w:t>
      </w:r>
      <w:proofErr w:type="spellEnd"/>
      <w:r w:rsidRPr="00424CD3">
        <w:rPr>
          <w:rFonts w:ascii="Times New Roman" w:eastAsia="Times New Roman" w:hAnsi="Times New Roman" w:cs="Times New Roman"/>
          <w:kern w:val="2"/>
          <w:sz w:val="24"/>
          <w:szCs w:val="24"/>
          <w:lang w:eastAsia="zh-CN" w:bidi="hi-IN"/>
        </w:rPr>
        <w:t xml:space="preserve"> (</w:t>
      </w:r>
      <w:proofErr w:type="spellStart"/>
      <w:r w:rsidRPr="00424CD3">
        <w:rPr>
          <w:rFonts w:ascii="Times New Roman" w:eastAsia="Times New Roman" w:hAnsi="Times New Roman" w:cs="Times New Roman"/>
          <w:kern w:val="2"/>
          <w:sz w:val="24"/>
          <w:szCs w:val="24"/>
          <w:lang w:eastAsia="zh-CN" w:bidi="hi-IN"/>
        </w:rPr>
        <w:t>на</w:t>
      </w:r>
      <w:proofErr w:type="spellEnd"/>
      <w:r w:rsidRPr="00424CD3">
        <w:rPr>
          <w:rFonts w:ascii="Times New Roman" w:eastAsia="Times New Roman" w:hAnsi="Times New Roman" w:cs="Times New Roman"/>
          <w:kern w:val="2"/>
          <w:sz w:val="24"/>
          <w:szCs w:val="24"/>
          <w:lang w:eastAsia="zh-CN" w:bidi="hi-IN"/>
        </w:rPr>
        <w:t xml:space="preserve"> </w:t>
      </w:r>
      <w:proofErr w:type="spellStart"/>
      <w:r w:rsidRPr="00424CD3">
        <w:rPr>
          <w:rFonts w:ascii="Times New Roman" w:eastAsia="Times New Roman" w:hAnsi="Times New Roman" w:cs="Times New Roman"/>
          <w:kern w:val="2"/>
          <w:sz w:val="24"/>
          <w:szCs w:val="24"/>
          <w:lang w:eastAsia="zh-CN" w:bidi="hi-IN"/>
        </w:rPr>
        <w:t>примере</w:t>
      </w:r>
      <w:proofErr w:type="spellEnd"/>
      <w:r w:rsidRPr="00424CD3">
        <w:rPr>
          <w:rFonts w:ascii="Times New Roman" w:eastAsia="Times New Roman" w:hAnsi="Times New Roman" w:cs="Times New Roman"/>
          <w:kern w:val="2"/>
          <w:sz w:val="24"/>
          <w:szCs w:val="24"/>
          <w:lang w:eastAsia="zh-CN" w:bidi="hi-IN"/>
        </w:rPr>
        <w:t xml:space="preserve"> </w:t>
      </w:r>
      <w:proofErr w:type="spellStart"/>
      <w:r w:rsidRPr="00424CD3">
        <w:rPr>
          <w:rFonts w:ascii="Times New Roman" w:eastAsia="Times New Roman" w:hAnsi="Times New Roman" w:cs="Times New Roman"/>
          <w:kern w:val="2"/>
          <w:sz w:val="24"/>
          <w:szCs w:val="24"/>
          <w:lang w:eastAsia="zh-CN" w:bidi="hi-IN"/>
        </w:rPr>
        <w:t>средней</w:t>
      </w:r>
      <w:proofErr w:type="spellEnd"/>
      <w:r w:rsidRPr="00424CD3">
        <w:rPr>
          <w:rFonts w:ascii="Times New Roman" w:eastAsia="Times New Roman" w:hAnsi="Times New Roman" w:cs="Times New Roman"/>
          <w:kern w:val="2"/>
          <w:sz w:val="24"/>
          <w:szCs w:val="24"/>
          <w:lang w:eastAsia="zh-CN" w:bidi="hi-IN"/>
        </w:rPr>
        <w:t xml:space="preserve"> </w:t>
      </w:r>
      <w:proofErr w:type="spellStart"/>
      <w:r w:rsidRPr="00424CD3">
        <w:rPr>
          <w:rFonts w:ascii="Times New Roman" w:eastAsia="Times New Roman" w:hAnsi="Times New Roman" w:cs="Times New Roman"/>
          <w:kern w:val="2"/>
          <w:sz w:val="24"/>
          <w:szCs w:val="24"/>
          <w:lang w:eastAsia="zh-CN" w:bidi="hi-IN"/>
        </w:rPr>
        <w:t>Прибалтики</w:t>
      </w:r>
      <w:proofErr w:type="spellEnd"/>
      <w:r w:rsidRPr="00424CD3">
        <w:rPr>
          <w:rFonts w:ascii="Times New Roman" w:eastAsia="Times New Roman" w:hAnsi="Times New Roman" w:cs="Times New Roman"/>
          <w:kern w:val="2"/>
          <w:sz w:val="24"/>
          <w:szCs w:val="24"/>
          <w:lang w:eastAsia="zh-CN" w:bidi="hi-IN"/>
        </w:rPr>
        <w:t xml:space="preserve">). </w:t>
      </w:r>
      <w:proofErr w:type="spellStart"/>
      <w:r w:rsidRPr="00424CD3">
        <w:rPr>
          <w:rFonts w:ascii="Times New Roman" w:eastAsia="Times New Roman" w:hAnsi="Times New Roman" w:cs="Times New Roman"/>
          <w:kern w:val="2"/>
          <w:sz w:val="24"/>
          <w:szCs w:val="24"/>
          <w:lang w:eastAsia="zh-CN" w:bidi="hi-IN"/>
        </w:rPr>
        <w:t>Дисс</w:t>
      </w:r>
      <w:proofErr w:type="spellEnd"/>
      <w:r w:rsidRPr="00424CD3">
        <w:rPr>
          <w:rFonts w:ascii="Times New Roman" w:eastAsia="Times New Roman" w:hAnsi="Times New Roman" w:cs="Times New Roman"/>
          <w:kern w:val="2"/>
          <w:sz w:val="24"/>
          <w:szCs w:val="24"/>
          <w:lang w:eastAsia="zh-CN" w:bidi="hi-IN"/>
        </w:rPr>
        <w:t xml:space="preserve">. ... </w:t>
      </w:r>
      <w:proofErr w:type="spellStart"/>
      <w:r w:rsidRPr="00424CD3">
        <w:rPr>
          <w:rFonts w:ascii="Times New Roman" w:eastAsia="Times New Roman" w:hAnsi="Times New Roman" w:cs="Times New Roman"/>
          <w:kern w:val="2"/>
          <w:sz w:val="24"/>
          <w:szCs w:val="24"/>
          <w:lang w:eastAsia="zh-CN" w:bidi="hi-IN"/>
        </w:rPr>
        <w:t>докт</w:t>
      </w:r>
      <w:proofErr w:type="spellEnd"/>
      <w:r w:rsidRPr="00424CD3">
        <w:rPr>
          <w:rFonts w:ascii="Times New Roman" w:eastAsia="Times New Roman" w:hAnsi="Times New Roman" w:cs="Times New Roman"/>
          <w:kern w:val="2"/>
          <w:sz w:val="24"/>
          <w:szCs w:val="24"/>
          <w:lang w:eastAsia="zh-CN" w:bidi="hi-IN"/>
        </w:rPr>
        <w:t xml:space="preserve">. </w:t>
      </w:r>
      <w:proofErr w:type="spellStart"/>
      <w:r w:rsidRPr="00424CD3">
        <w:rPr>
          <w:rFonts w:ascii="Times New Roman" w:eastAsia="Times New Roman" w:hAnsi="Times New Roman" w:cs="Times New Roman"/>
          <w:kern w:val="2"/>
          <w:sz w:val="24"/>
          <w:szCs w:val="24"/>
          <w:lang w:eastAsia="zh-CN" w:bidi="hi-IN"/>
        </w:rPr>
        <w:t>геогр</w:t>
      </w:r>
      <w:proofErr w:type="spellEnd"/>
      <w:r w:rsidRPr="00424CD3">
        <w:rPr>
          <w:rFonts w:ascii="Times New Roman" w:eastAsia="Times New Roman" w:hAnsi="Times New Roman" w:cs="Times New Roman"/>
          <w:kern w:val="2"/>
          <w:sz w:val="24"/>
          <w:szCs w:val="24"/>
          <w:lang w:eastAsia="zh-CN" w:bidi="hi-IN"/>
        </w:rPr>
        <w:t xml:space="preserve">. </w:t>
      </w:r>
      <w:proofErr w:type="spellStart"/>
      <w:r w:rsidRPr="00424CD3">
        <w:rPr>
          <w:rFonts w:ascii="Times New Roman" w:eastAsia="Times New Roman" w:hAnsi="Times New Roman" w:cs="Times New Roman"/>
          <w:kern w:val="2"/>
          <w:sz w:val="24"/>
          <w:szCs w:val="24"/>
          <w:lang w:eastAsia="zh-CN" w:bidi="hi-IN"/>
        </w:rPr>
        <w:t>наук</w:t>
      </w:r>
      <w:proofErr w:type="spellEnd"/>
      <w:r w:rsidRPr="00424CD3">
        <w:rPr>
          <w:rFonts w:ascii="Times New Roman" w:eastAsia="Times New Roman" w:hAnsi="Times New Roman" w:cs="Times New Roman"/>
          <w:kern w:val="2"/>
          <w:sz w:val="24"/>
          <w:szCs w:val="24"/>
          <w:lang w:eastAsia="zh-CN" w:bidi="hi-IN"/>
        </w:rPr>
        <w:t>: (11.00.04). -</w:t>
      </w:r>
      <w:proofErr w:type="spellStart"/>
      <w:r w:rsidRPr="00424CD3">
        <w:rPr>
          <w:rFonts w:ascii="Times New Roman" w:eastAsia="Times New Roman" w:hAnsi="Times New Roman" w:cs="Times New Roman"/>
          <w:kern w:val="2"/>
          <w:sz w:val="24"/>
          <w:szCs w:val="24"/>
          <w:lang w:eastAsia="zh-CN" w:bidi="hi-IN"/>
        </w:rPr>
        <w:t>Рига</w:t>
      </w:r>
      <w:proofErr w:type="spellEnd"/>
      <w:r w:rsidRPr="00424CD3">
        <w:rPr>
          <w:rFonts w:ascii="Times New Roman" w:eastAsia="Times New Roman" w:hAnsi="Times New Roman" w:cs="Times New Roman"/>
          <w:kern w:val="2"/>
          <w:sz w:val="24"/>
          <w:szCs w:val="24"/>
          <w:lang w:eastAsia="zh-CN" w:bidi="hi-IN"/>
        </w:rPr>
        <w:t>: -594 с.</w:t>
      </w:r>
    </w:p>
    <w:p w14:paraId="786E5312" w14:textId="77777777" w:rsidR="00191305" w:rsidRDefault="00191305" w:rsidP="000C7AA3">
      <w:pPr>
        <w:tabs>
          <w:tab w:val="left" w:pos="426"/>
        </w:tabs>
        <w:spacing w:before="120" w:after="120" w:line="240" w:lineRule="auto"/>
        <w:jc w:val="both"/>
        <w:rPr>
          <w:rFonts w:ascii="Times New Roman" w:eastAsia="Times New Roman" w:hAnsi="Times New Roman" w:cs="Times New Roman"/>
          <w:b/>
          <w:bCs/>
          <w:kern w:val="2"/>
          <w:sz w:val="24"/>
          <w:szCs w:val="24"/>
          <w:lang w:eastAsia="zh-CN" w:bidi="hi-IN"/>
        </w:rPr>
      </w:pPr>
    </w:p>
    <w:p w14:paraId="7363EE1C" w14:textId="66F24C84" w:rsidR="00260499" w:rsidRPr="00A07F29" w:rsidRDefault="00260499" w:rsidP="000C7AA3">
      <w:pPr>
        <w:tabs>
          <w:tab w:val="left" w:pos="426"/>
        </w:tabs>
        <w:spacing w:before="120" w:after="120" w:line="240" w:lineRule="auto"/>
        <w:jc w:val="both"/>
        <w:rPr>
          <w:rFonts w:ascii="Times New Roman" w:eastAsia="Times New Roman" w:hAnsi="Times New Roman" w:cs="Times New Roman"/>
          <w:b/>
          <w:bCs/>
          <w:kern w:val="2"/>
          <w:sz w:val="24"/>
          <w:szCs w:val="24"/>
          <w:lang w:eastAsia="zh-CN" w:bidi="hi-IN"/>
        </w:rPr>
      </w:pPr>
      <w:r w:rsidRPr="00A07F29">
        <w:rPr>
          <w:rFonts w:ascii="Times New Roman" w:eastAsia="Times New Roman" w:hAnsi="Times New Roman" w:cs="Times New Roman"/>
          <w:b/>
          <w:bCs/>
          <w:kern w:val="2"/>
          <w:sz w:val="24"/>
          <w:szCs w:val="24"/>
          <w:lang w:eastAsia="zh-CN" w:bidi="hi-IN"/>
        </w:rPr>
        <w:t xml:space="preserve">Interneta </w:t>
      </w:r>
      <w:r w:rsidR="006773CE">
        <w:rPr>
          <w:rFonts w:ascii="Times New Roman" w:eastAsia="Times New Roman" w:hAnsi="Times New Roman" w:cs="Times New Roman"/>
          <w:b/>
          <w:bCs/>
          <w:kern w:val="2"/>
          <w:sz w:val="24"/>
          <w:szCs w:val="24"/>
          <w:lang w:eastAsia="zh-CN" w:bidi="hi-IN"/>
        </w:rPr>
        <w:t>informācijas avoti</w:t>
      </w:r>
      <w:r w:rsidRPr="00A07F29">
        <w:rPr>
          <w:rFonts w:ascii="Times New Roman" w:eastAsia="Times New Roman" w:hAnsi="Times New Roman" w:cs="Times New Roman"/>
          <w:b/>
          <w:bCs/>
          <w:kern w:val="2"/>
          <w:sz w:val="24"/>
          <w:szCs w:val="24"/>
          <w:lang w:eastAsia="zh-CN" w:bidi="hi-IN"/>
        </w:rPr>
        <w:t>:</w:t>
      </w:r>
    </w:p>
    <w:p w14:paraId="23F8EF4E" w14:textId="546E8AB8" w:rsidR="00CF500F" w:rsidRPr="0014151A" w:rsidRDefault="00CF500F" w:rsidP="00CF500F">
      <w:pPr>
        <w:spacing w:after="80" w:line="240" w:lineRule="auto"/>
        <w:jc w:val="both"/>
        <w:rPr>
          <w:rFonts w:ascii="Times New Roman" w:eastAsia="Times New Roman" w:hAnsi="Times New Roman" w:cs="Times New Roman"/>
          <w:kern w:val="2"/>
          <w:sz w:val="24"/>
          <w:szCs w:val="24"/>
          <w:lang w:eastAsia="zh-CN" w:bidi="hi-IN"/>
        </w:rPr>
      </w:pPr>
      <w:r w:rsidRPr="0014151A">
        <w:rPr>
          <w:rFonts w:ascii="Times New Roman" w:eastAsia="Times New Roman" w:hAnsi="Times New Roman" w:cs="Times New Roman"/>
          <w:kern w:val="2"/>
          <w:sz w:val="24"/>
          <w:szCs w:val="24"/>
          <w:lang w:eastAsia="zh-CN" w:bidi="hi-IN"/>
        </w:rPr>
        <w:t xml:space="preserve">Atpūtas komplekss “Upes </w:t>
      </w:r>
      <w:proofErr w:type="spellStart"/>
      <w:r w:rsidRPr="0014151A">
        <w:rPr>
          <w:rFonts w:ascii="Times New Roman" w:eastAsia="Times New Roman" w:hAnsi="Times New Roman" w:cs="Times New Roman"/>
          <w:kern w:val="2"/>
          <w:sz w:val="24"/>
          <w:szCs w:val="24"/>
          <w:lang w:eastAsia="zh-CN" w:bidi="hi-IN"/>
        </w:rPr>
        <w:t>dižvietas</w:t>
      </w:r>
      <w:proofErr w:type="spellEnd"/>
      <w:r w:rsidRPr="0014151A">
        <w:rPr>
          <w:rFonts w:ascii="Times New Roman" w:eastAsia="Times New Roman" w:hAnsi="Times New Roman" w:cs="Times New Roman"/>
          <w:kern w:val="2"/>
          <w:sz w:val="24"/>
          <w:szCs w:val="24"/>
          <w:lang w:eastAsia="zh-CN" w:bidi="hi-IN"/>
        </w:rPr>
        <w:t>” un tūrisma operators LATVIA OUTDOOR</w:t>
      </w:r>
      <w:r w:rsidR="0048718D" w:rsidRPr="0014151A">
        <w:rPr>
          <w:rFonts w:ascii="Times New Roman" w:eastAsia="Times New Roman" w:hAnsi="Times New Roman" w:cs="Times New Roman"/>
          <w:kern w:val="2"/>
          <w:sz w:val="24"/>
          <w:szCs w:val="24"/>
          <w:lang w:eastAsia="zh-CN" w:bidi="hi-IN"/>
        </w:rPr>
        <w:t>:</w:t>
      </w:r>
      <w:r w:rsidRPr="0014151A">
        <w:rPr>
          <w:rFonts w:ascii="Times New Roman" w:eastAsia="Times New Roman" w:hAnsi="Times New Roman" w:cs="Times New Roman"/>
          <w:kern w:val="2"/>
          <w:sz w:val="24"/>
          <w:szCs w:val="24"/>
          <w:lang w:eastAsia="zh-CN" w:bidi="hi-IN"/>
        </w:rPr>
        <w:t xml:space="preserve"> </w:t>
      </w:r>
      <w:hyperlink r:id="rId218" w:history="1">
        <w:r w:rsidRPr="0014151A">
          <w:rPr>
            <w:rFonts w:ascii="Times New Roman" w:eastAsia="Times New Roman" w:hAnsi="Times New Roman" w:cs="Times New Roman"/>
            <w:color w:val="333333"/>
            <w:kern w:val="2"/>
            <w:sz w:val="24"/>
            <w:szCs w:val="24"/>
            <w:u w:val="single"/>
            <w:lang w:eastAsia="zh-CN" w:bidi="hi-IN"/>
          </w:rPr>
          <w:t>http://www.latvia-outdoor.eu</w:t>
        </w:r>
      </w:hyperlink>
    </w:p>
    <w:p w14:paraId="15FD2107" w14:textId="7346B13E" w:rsidR="00CF500F" w:rsidRPr="0014151A" w:rsidRDefault="00CF500F" w:rsidP="00CF500F">
      <w:pPr>
        <w:spacing w:after="80" w:line="240" w:lineRule="auto"/>
        <w:jc w:val="both"/>
        <w:rPr>
          <w:rFonts w:ascii="Times New Roman" w:eastAsia="Times New Roman" w:hAnsi="Times New Roman" w:cs="Times New Roman"/>
          <w:kern w:val="2"/>
          <w:sz w:val="24"/>
          <w:szCs w:val="24"/>
          <w:lang w:eastAsia="zh-CN" w:bidi="hi-IN"/>
        </w:rPr>
      </w:pPr>
      <w:r w:rsidRPr="0014151A">
        <w:rPr>
          <w:rFonts w:ascii="Times New Roman" w:eastAsia="Times New Roman" w:hAnsi="Times New Roman" w:cs="Times New Roman"/>
          <w:kern w:val="2"/>
          <w:sz w:val="24"/>
          <w:szCs w:val="24"/>
          <w:lang w:eastAsia="zh-CN" w:bidi="hi-IN"/>
        </w:rPr>
        <w:t xml:space="preserve">Biedrība “Aktīva </w:t>
      </w:r>
      <w:proofErr w:type="spellStart"/>
      <w:r w:rsidRPr="0014151A">
        <w:rPr>
          <w:rFonts w:ascii="Times New Roman" w:eastAsia="Times New Roman" w:hAnsi="Times New Roman" w:cs="Times New Roman"/>
          <w:kern w:val="2"/>
          <w:sz w:val="24"/>
          <w:szCs w:val="24"/>
          <w:lang w:eastAsia="zh-CN" w:bidi="hi-IN"/>
        </w:rPr>
        <w:t>atpūtа</w:t>
      </w:r>
      <w:proofErr w:type="spellEnd"/>
      <w:r w:rsidRPr="0014151A">
        <w:rPr>
          <w:rFonts w:ascii="Times New Roman" w:eastAsia="Times New Roman" w:hAnsi="Times New Roman" w:cs="Times New Roman"/>
          <w:kern w:val="2"/>
          <w:sz w:val="24"/>
          <w:szCs w:val="24"/>
          <w:lang w:eastAsia="zh-CN" w:bidi="hi-IN"/>
        </w:rPr>
        <w:t xml:space="preserve"> Latgalē”</w:t>
      </w:r>
      <w:r w:rsidR="009C065C" w:rsidRPr="0014151A">
        <w:rPr>
          <w:rFonts w:ascii="Times New Roman" w:eastAsia="Times New Roman" w:hAnsi="Times New Roman" w:cs="Times New Roman"/>
          <w:kern w:val="2"/>
          <w:sz w:val="24"/>
          <w:szCs w:val="24"/>
          <w:lang w:eastAsia="zh-CN" w:bidi="hi-IN"/>
        </w:rPr>
        <w:t>:</w:t>
      </w:r>
      <w:r w:rsidRPr="0014151A">
        <w:rPr>
          <w:rFonts w:ascii="Times New Roman" w:eastAsia="Times New Roman" w:hAnsi="Times New Roman" w:cs="Times New Roman"/>
          <w:kern w:val="2"/>
          <w:sz w:val="24"/>
          <w:szCs w:val="24"/>
          <w:lang w:eastAsia="zh-CN" w:bidi="hi-IN"/>
        </w:rPr>
        <w:t xml:space="preserve"> </w:t>
      </w:r>
      <w:hyperlink r:id="rId219" w:history="1">
        <w:r w:rsidRPr="0014151A">
          <w:rPr>
            <w:rFonts w:ascii="Times New Roman" w:eastAsia="Times New Roman" w:hAnsi="Times New Roman" w:cs="Times New Roman"/>
            <w:color w:val="333333"/>
            <w:kern w:val="2"/>
            <w:sz w:val="24"/>
            <w:szCs w:val="24"/>
            <w:u w:val="single"/>
            <w:lang w:eastAsia="zh-CN" w:bidi="hi-IN"/>
          </w:rPr>
          <w:t>http://www.atputalatgale.com</w:t>
        </w:r>
      </w:hyperlink>
    </w:p>
    <w:p w14:paraId="2E538B8E" w14:textId="62BDBE2C" w:rsidR="000C7AA3" w:rsidRPr="0014151A" w:rsidRDefault="000C7AA3" w:rsidP="000C7AA3">
      <w:pPr>
        <w:suppressAutoHyphens/>
        <w:spacing w:after="80" w:line="240" w:lineRule="auto"/>
        <w:jc w:val="both"/>
        <w:rPr>
          <w:rFonts w:ascii="Times New Roman" w:eastAsia="Times New Roman" w:hAnsi="Times New Roman" w:cs="Times New Roman"/>
          <w:kern w:val="2"/>
          <w:sz w:val="24"/>
          <w:szCs w:val="24"/>
          <w:lang w:eastAsia="zh-CN" w:bidi="hi-IN"/>
        </w:rPr>
      </w:pPr>
      <w:r w:rsidRPr="0014151A">
        <w:rPr>
          <w:rFonts w:ascii="Times New Roman" w:eastAsia="Times New Roman" w:hAnsi="Times New Roman" w:cs="Times New Roman"/>
          <w:sz w:val="24"/>
          <w:szCs w:val="24"/>
          <w:lang w:eastAsia="ar-SA" w:bidi="hi-IN"/>
        </w:rPr>
        <w:t xml:space="preserve">Biedrības </w:t>
      </w:r>
      <w:r w:rsidR="00103649" w:rsidRPr="0014151A">
        <w:rPr>
          <w:rFonts w:ascii="Times New Roman" w:eastAsia="Times New Roman" w:hAnsi="Times New Roman" w:cs="Times New Roman"/>
          <w:sz w:val="24"/>
          <w:szCs w:val="24"/>
          <w:lang w:eastAsia="ar-SA" w:bidi="hi-IN"/>
        </w:rPr>
        <w:t>“</w:t>
      </w:r>
      <w:r w:rsidRPr="0014151A">
        <w:rPr>
          <w:rFonts w:ascii="Times New Roman" w:eastAsia="Times New Roman" w:hAnsi="Times New Roman" w:cs="Times New Roman"/>
          <w:sz w:val="24"/>
          <w:szCs w:val="24"/>
          <w:lang w:eastAsia="ar-SA" w:bidi="hi-IN"/>
        </w:rPr>
        <w:t>Latvijas ezeri” portāls</w:t>
      </w:r>
      <w:r w:rsidR="00103649" w:rsidRPr="0014151A">
        <w:rPr>
          <w:rFonts w:ascii="Times New Roman" w:eastAsia="Times New Roman" w:hAnsi="Times New Roman" w:cs="Times New Roman"/>
          <w:sz w:val="24"/>
          <w:szCs w:val="24"/>
          <w:lang w:eastAsia="ar-SA" w:bidi="hi-IN"/>
        </w:rPr>
        <w:t>:</w:t>
      </w:r>
      <w:r w:rsidRPr="0014151A">
        <w:rPr>
          <w:rFonts w:ascii="Times New Roman" w:eastAsia="Times New Roman" w:hAnsi="Times New Roman" w:cs="Times New Roman"/>
          <w:sz w:val="24"/>
          <w:szCs w:val="24"/>
          <w:lang w:eastAsia="ar-SA" w:bidi="hi-IN"/>
        </w:rPr>
        <w:t xml:space="preserve"> </w:t>
      </w:r>
      <w:hyperlink r:id="rId220" w:history="1">
        <w:r w:rsidRPr="0014151A">
          <w:rPr>
            <w:rStyle w:val="Hyperlink"/>
            <w:rFonts w:ascii="Times New Roman" w:eastAsia="Times New Roman" w:hAnsi="Times New Roman" w:cs="Times New Roman"/>
            <w:sz w:val="24"/>
            <w:szCs w:val="24"/>
            <w:lang w:eastAsia="ar-SA" w:bidi="hi-IN"/>
          </w:rPr>
          <w:t>www.ezeri.lv</w:t>
        </w:r>
      </w:hyperlink>
      <w:r w:rsidRPr="0014151A">
        <w:rPr>
          <w:rFonts w:ascii="Times New Roman" w:eastAsia="Times New Roman" w:hAnsi="Times New Roman" w:cs="Times New Roman"/>
          <w:sz w:val="24"/>
          <w:szCs w:val="24"/>
          <w:lang w:eastAsia="ar-SA" w:bidi="hi-IN"/>
        </w:rPr>
        <w:t xml:space="preserve"> </w:t>
      </w:r>
    </w:p>
    <w:p w14:paraId="63F51FA1" w14:textId="0C220D29" w:rsidR="000C7AA3" w:rsidRPr="0014151A" w:rsidRDefault="000C7AA3" w:rsidP="000C7AA3">
      <w:pPr>
        <w:suppressAutoHyphens/>
        <w:spacing w:after="80" w:line="240" w:lineRule="auto"/>
        <w:jc w:val="both"/>
        <w:rPr>
          <w:rFonts w:ascii="Times New Roman" w:eastAsia="Times New Roman" w:hAnsi="Times New Roman" w:cs="Times New Roman"/>
          <w:kern w:val="2"/>
          <w:sz w:val="24"/>
          <w:szCs w:val="24"/>
          <w:lang w:eastAsia="zh-CN" w:bidi="hi-IN"/>
        </w:rPr>
      </w:pPr>
      <w:r w:rsidRPr="0014151A">
        <w:rPr>
          <w:rFonts w:ascii="Times New Roman" w:eastAsia="Times New Roman" w:hAnsi="Times New Roman" w:cs="Times New Roman"/>
          <w:kern w:val="2"/>
          <w:sz w:val="24"/>
          <w:szCs w:val="24"/>
          <w:lang w:eastAsia="ar-SA" w:bidi="hi-IN"/>
        </w:rPr>
        <w:t>Dabas datu pārvaldības sistēma “Ozols”</w:t>
      </w:r>
      <w:r w:rsidR="0085191C" w:rsidRPr="0014151A">
        <w:rPr>
          <w:rFonts w:ascii="Times New Roman" w:eastAsia="Times New Roman" w:hAnsi="Times New Roman" w:cs="Times New Roman"/>
          <w:kern w:val="2"/>
          <w:sz w:val="24"/>
          <w:szCs w:val="24"/>
          <w:lang w:eastAsia="ar-SA" w:bidi="hi-IN"/>
        </w:rPr>
        <w:t>:</w:t>
      </w:r>
      <w:r w:rsidRPr="0014151A">
        <w:rPr>
          <w:rFonts w:ascii="Times New Roman" w:eastAsia="Times New Roman" w:hAnsi="Times New Roman" w:cs="Times New Roman"/>
          <w:kern w:val="2"/>
          <w:sz w:val="24"/>
          <w:szCs w:val="24"/>
          <w:lang w:eastAsia="ar-SA" w:bidi="hi-IN"/>
        </w:rPr>
        <w:t xml:space="preserve"> </w:t>
      </w:r>
      <w:hyperlink r:id="rId221" w:history="1">
        <w:r w:rsidRPr="0014151A">
          <w:rPr>
            <w:rFonts w:ascii="Times New Roman" w:eastAsia="Times New Roman" w:hAnsi="Times New Roman" w:cs="Times New Roman"/>
            <w:color w:val="333333"/>
            <w:kern w:val="2"/>
            <w:sz w:val="24"/>
            <w:szCs w:val="24"/>
            <w:u w:val="single"/>
            <w:lang w:eastAsia="ar-SA" w:bidi="hi-IN"/>
          </w:rPr>
          <w:t>https://ozols.gov.lv/ozols/</w:t>
        </w:r>
      </w:hyperlink>
    </w:p>
    <w:p w14:paraId="561D9961" w14:textId="19C446BA" w:rsidR="000C7AA3" w:rsidRPr="0014151A" w:rsidRDefault="000C7AA3" w:rsidP="000C7AA3">
      <w:pPr>
        <w:suppressAutoHyphens/>
        <w:spacing w:after="80" w:line="240" w:lineRule="auto"/>
        <w:jc w:val="both"/>
        <w:rPr>
          <w:rFonts w:ascii="Times New Roman" w:eastAsia="Times New Roman" w:hAnsi="Times New Roman" w:cs="Times New Roman"/>
          <w:kern w:val="2"/>
          <w:sz w:val="24"/>
          <w:szCs w:val="24"/>
          <w:lang w:eastAsia="ar-SA" w:bidi="hi-IN"/>
        </w:rPr>
      </w:pPr>
      <w:r w:rsidRPr="0014151A">
        <w:rPr>
          <w:rFonts w:ascii="Times New Roman" w:eastAsia="Times New Roman" w:hAnsi="Times New Roman" w:cs="Times New Roman"/>
          <w:kern w:val="2"/>
          <w:sz w:val="24"/>
          <w:szCs w:val="24"/>
          <w:lang w:eastAsia="ar-SA" w:bidi="hi-IN"/>
        </w:rPr>
        <w:t>Dabas aizsardzības pārvalde</w:t>
      </w:r>
      <w:r w:rsidR="00D50CF4" w:rsidRPr="0014151A">
        <w:rPr>
          <w:rFonts w:ascii="Times New Roman" w:eastAsia="Times New Roman" w:hAnsi="Times New Roman" w:cs="Times New Roman"/>
          <w:kern w:val="2"/>
          <w:sz w:val="24"/>
          <w:szCs w:val="24"/>
          <w:lang w:eastAsia="ar-SA" w:bidi="hi-IN"/>
        </w:rPr>
        <w:t>:</w:t>
      </w:r>
      <w:r w:rsidRPr="0014151A">
        <w:rPr>
          <w:rFonts w:ascii="Times New Roman" w:eastAsia="Times New Roman" w:hAnsi="Times New Roman" w:cs="Times New Roman"/>
          <w:kern w:val="2"/>
          <w:sz w:val="24"/>
          <w:szCs w:val="24"/>
          <w:lang w:eastAsia="ar-SA" w:bidi="hi-IN"/>
        </w:rPr>
        <w:t xml:space="preserve"> </w:t>
      </w:r>
      <w:hyperlink r:id="rId222" w:history="1">
        <w:r w:rsidRPr="0014151A">
          <w:rPr>
            <w:rStyle w:val="Hyperlink"/>
            <w:rFonts w:ascii="Times New Roman" w:eastAsia="Times New Roman" w:hAnsi="Times New Roman" w:cs="Times New Roman"/>
            <w:kern w:val="2"/>
            <w:sz w:val="24"/>
            <w:szCs w:val="24"/>
            <w:lang w:eastAsia="ar-SA" w:bidi="hi-IN"/>
          </w:rPr>
          <w:t>www.daba.gov.lv</w:t>
        </w:r>
      </w:hyperlink>
      <w:r w:rsidRPr="0014151A">
        <w:rPr>
          <w:rFonts w:ascii="Times New Roman" w:eastAsia="Times New Roman" w:hAnsi="Times New Roman" w:cs="Times New Roman"/>
          <w:kern w:val="2"/>
          <w:sz w:val="24"/>
          <w:szCs w:val="24"/>
          <w:lang w:eastAsia="ar-SA" w:bidi="hi-IN"/>
        </w:rPr>
        <w:t xml:space="preserve"> </w:t>
      </w:r>
    </w:p>
    <w:p w14:paraId="5B94BD30" w14:textId="17B1BDAC" w:rsidR="002A3629" w:rsidRPr="0014151A" w:rsidRDefault="002A3629" w:rsidP="000C7AA3">
      <w:pPr>
        <w:suppressAutoHyphens/>
        <w:spacing w:after="80" w:line="240" w:lineRule="auto"/>
        <w:jc w:val="both"/>
        <w:rPr>
          <w:rFonts w:ascii="Times New Roman" w:eastAsia="Times New Roman" w:hAnsi="Times New Roman" w:cs="Times New Roman"/>
          <w:kern w:val="2"/>
          <w:sz w:val="24"/>
          <w:szCs w:val="24"/>
          <w:lang w:eastAsia="zh-CN" w:bidi="hi-IN"/>
        </w:rPr>
      </w:pPr>
      <w:r w:rsidRPr="0014151A">
        <w:rPr>
          <w:rFonts w:ascii="Times New Roman" w:eastAsia="Times New Roman" w:hAnsi="Times New Roman" w:cs="Times New Roman"/>
          <w:kern w:val="2"/>
          <w:sz w:val="24"/>
          <w:szCs w:val="24"/>
          <w:lang w:eastAsia="ar-SA" w:bidi="hi-IN"/>
        </w:rPr>
        <w:lastRenderedPageBreak/>
        <w:t>Dabas parks “Daugavas loki”</w:t>
      </w:r>
      <w:r w:rsidR="001F3D92" w:rsidRPr="0014151A">
        <w:rPr>
          <w:rFonts w:ascii="Times New Roman" w:eastAsia="Times New Roman" w:hAnsi="Times New Roman" w:cs="Times New Roman"/>
          <w:kern w:val="2"/>
          <w:sz w:val="24"/>
          <w:szCs w:val="24"/>
          <w:lang w:eastAsia="ar-SA" w:bidi="hi-IN"/>
        </w:rPr>
        <w:t xml:space="preserve">: </w:t>
      </w:r>
      <w:hyperlink r:id="rId223" w:history="1">
        <w:r w:rsidR="001F3D92" w:rsidRPr="0014151A">
          <w:rPr>
            <w:rStyle w:val="Hyperlink"/>
            <w:rFonts w:ascii="Times New Roman" w:eastAsia="Times New Roman" w:hAnsi="Times New Roman" w:cs="Times New Roman"/>
            <w:kern w:val="2"/>
            <w:sz w:val="24"/>
            <w:szCs w:val="24"/>
            <w:lang w:eastAsia="ar-SA" w:bidi="hi-IN"/>
          </w:rPr>
          <w:t>https://www.daba.gov.lv/lv/daugavas-loki</w:t>
        </w:r>
      </w:hyperlink>
      <w:r w:rsidR="001F3D92" w:rsidRPr="0014151A">
        <w:rPr>
          <w:rFonts w:ascii="Times New Roman" w:eastAsia="Times New Roman" w:hAnsi="Times New Roman" w:cs="Times New Roman"/>
          <w:kern w:val="2"/>
          <w:sz w:val="24"/>
          <w:szCs w:val="24"/>
          <w:lang w:eastAsia="ar-SA" w:bidi="hi-IN"/>
        </w:rPr>
        <w:t xml:space="preserve"> </w:t>
      </w:r>
    </w:p>
    <w:p w14:paraId="4E5016A0" w14:textId="77777777" w:rsidR="009430A7" w:rsidRPr="0014151A" w:rsidRDefault="009430A7" w:rsidP="009430A7">
      <w:pPr>
        <w:tabs>
          <w:tab w:val="left" w:pos="426"/>
        </w:tabs>
        <w:spacing w:after="80" w:line="240" w:lineRule="auto"/>
        <w:jc w:val="both"/>
        <w:rPr>
          <w:rFonts w:ascii="Times New Roman" w:eastAsia="Times New Roman" w:hAnsi="Times New Roman" w:cs="Times New Roman"/>
          <w:kern w:val="2"/>
          <w:sz w:val="24"/>
          <w:szCs w:val="24"/>
          <w:lang w:eastAsia="zh-CN" w:bidi="hi-IN"/>
        </w:rPr>
      </w:pPr>
      <w:r w:rsidRPr="0014151A">
        <w:rPr>
          <w:rStyle w:val="Hyperlink"/>
          <w:rFonts w:ascii="Times New Roman" w:eastAsia="Times New Roman" w:hAnsi="Times New Roman" w:cs="Times New Roman"/>
          <w:kern w:val="2"/>
          <w:sz w:val="24"/>
          <w:szCs w:val="24"/>
          <w:u w:val="none"/>
          <w:lang w:eastAsia="zh-CN" w:bidi="hi-IN"/>
        </w:rPr>
        <w:t>Daugavas baseina upes:</w:t>
      </w:r>
      <w:r w:rsidRPr="0014151A">
        <w:rPr>
          <w:rStyle w:val="Hyperlink"/>
          <w:rFonts w:ascii="Times New Roman" w:eastAsia="Times New Roman" w:hAnsi="Times New Roman" w:cs="Times New Roman"/>
          <w:kern w:val="2"/>
          <w:sz w:val="24"/>
          <w:szCs w:val="24"/>
          <w:lang w:eastAsia="zh-CN" w:bidi="hi-IN"/>
        </w:rPr>
        <w:t xml:space="preserve"> </w:t>
      </w:r>
      <w:hyperlink r:id="rId224" w:history="1">
        <w:r w:rsidRPr="0014151A">
          <w:rPr>
            <w:rStyle w:val="Hyperlink"/>
            <w:rFonts w:ascii="Times New Roman" w:eastAsia="Times New Roman" w:hAnsi="Times New Roman" w:cs="Times New Roman"/>
            <w:kern w:val="2"/>
            <w:sz w:val="24"/>
            <w:szCs w:val="24"/>
            <w:lang w:eastAsia="zh-CN" w:bidi="hi-IN"/>
          </w:rPr>
          <w:t>http://www.upes.lv/informacija/daugavas-baseins/</w:t>
        </w:r>
      </w:hyperlink>
    </w:p>
    <w:p w14:paraId="211955E3" w14:textId="07204494" w:rsidR="000C7AA3" w:rsidRPr="0014151A" w:rsidRDefault="000C7AA3" w:rsidP="000C7AA3">
      <w:pPr>
        <w:spacing w:after="80" w:line="240" w:lineRule="auto"/>
        <w:jc w:val="both"/>
        <w:rPr>
          <w:rFonts w:ascii="Times New Roman" w:eastAsia="Times New Roman" w:hAnsi="Times New Roman" w:cs="Times New Roman"/>
          <w:kern w:val="2"/>
          <w:sz w:val="24"/>
          <w:szCs w:val="24"/>
          <w:lang w:eastAsia="zh-CN" w:bidi="hi-IN"/>
        </w:rPr>
      </w:pPr>
      <w:r w:rsidRPr="0014151A">
        <w:rPr>
          <w:rFonts w:ascii="Times New Roman" w:eastAsia="Times New Roman" w:hAnsi="Times New Roman" w:cs="Times New Roman"/>
          <w:kern w:val="2"/>
          <w:sz w:val="24"/>
          <w:szCs w:val="24"/>
          <w:lang w:eastAsia="zh-CN" w:bidi="hi-IN"/>
        </w:rPr>
        <w:t>Daugavpils Tūrisma informācijas centrs</w:t>
      </w:r>
      <w:r w:rsidR="00DD6DF2" w:rsidRPr="0014151A">
        <w:rPr>
          <w:rFonts w:ascii="Times New Roman" w:eastAsia="Times New Roman" w:hAnsi="Times New Roman" w:cs="Times New Roman"/>
          <w:kern w:val="2"/>
          <w:sz w:val="24"/>
          <w:szCs w:val="24"/>
          <w:lang w:eastAsia="zh-CN" w:bidi="hi-IN"/>
        </w:rPr>
        <w:t>:</w:t>
      </w:r>
      <w:r w:rsidRPr="0014151A">
        <w:rPr>
          <w:rFonts w:ascii="Times New Roman" w:eastAsia="Times New Roman" w:hAnsi="Times New Roman" w:cs="Times New Roman"/>
          <w:kern w:val="2"/>
          <w:sz w:val="24"/>
          <w:szCs w:val="24"/>
          <w:lang w:eastAsia="zh-CN" w:bidi="hi-IN"/>
        </w:rPr>
        <w:t xml:space="preserve"> </w:t>
      </w:r>
      <w:hyperlink r:id="rId225" w:history="1">
        <w:r w:rsidRPr="0014151A">
          <w:rPr>
            <w:rFonts w:ascii="Times New Roman" w:eastAsia="Times New Roman" w:hAnsi="Times New Roman" w:cs="Times New Roman"/>
            <w:color w:val="333333"/>
            <w:kern w:val="2"/>
            <w:sz w:val="24"/>
            <w:szCs w:val="24"/>
            <w:u w:val="single"/>
            <w:lang w:eastAsia="zh-CN" w:bidi="hi-IN"/>
          </w:rPr>
          <w:t>www.visitdaugavpils.lv</w:t>
        </w:r>
      </w:hyperlink>
    </w:p>
    <w:p w14:paraId="5FAAF81E" w14:textId="66EB96BB" w:rsidR="00CF500F" w:rsidRPr="0014151A" w:rsidRDefault="00CF500F" w:rsidP="00CF500F">
      <w:pPr>
        <w:spacing w:after="80" w:line="240" w:lineRule="auto"/>
        <w:jc w:val="both"/>
        <w:rPr>
          <w:rFonts w:ascii="Times New Roman" w:eastAsia="Times New Roman" w:hAnsi="Times New Roman" w:cs="Times New Roman"/>
          <w:kern w:val="2"/>
          <w:sz w:val="24"/>
          <w:szCs w:val="24"/>
          <w:lang w:eastAsia="zh-CN" w:bidi="hi-IN"/>
        </w:rPr>
      </w:pPr>
      <w:r w:rsidRPr="0014151A">
        <w:rPr>
          <w:rFonts w:ascii="Times New Roman" w:eastAsia="Times New Roman" w:hAnsi="Times New Roman" w:cs="Times New Roman"/>
          <w:kern w:val="2"/>
          <w:sz w:val="24"/>
          <w:szCs w:val="24"/>
          <w:lang w:eastAsia="zh-CN" w:bidi="hi-IN"/>
        </w:rPr>
        <w:t>Kanoe laivu noma SIA Saulgoze G</w:t>
      </w:r>
      <w:r w:rsidR="009C065C" w:rsidRPr="0014151A">
        <w:rPr>
          <w:rFonts w:ascii="Times New Roman" w:eastAsia="Times New Roman" w:hAnsi="Times New Roman" w:cs="Times New Roman"/>
          <w:kern w:val="2"/>
          <w:sz w:val="24"/>
          <w:szCs w:val="24"/>
          <w:lang w:eastAsia="zh-CN" w:bidi="hi-IN"/>
        </w:rPr>
        <w:t>:</w:t>
      </w:r>
      <w:r w:rsidRPr="0014151A">
        <w:rPr>
          <w:rFonts w:ascii="Times New Roman" w:eastAsia="Times New Roman" w:hAnsi="Times New Roman" w:cs="Times New Roman"/>
          <w:kern w:val="2"/>
          <w:sz w:val="24"/>
          <w:szCs w:val="24"/>
          <w:lang w:eastAsia="zh-CN" w:bidi="hi-IN"/>
        </w:rPr>
        <w:t xml:space="preserve"> </w:t>
      </w:r>
      <w:r w:rsidR="009C065C" w:rsidRPr="0014151A">
        <w:rPr>
          <w:rFonts w:ascii="Times New Roman" w:eastAsia="Times New Roman" w:hAnsi="Times New Roman" w:cs="Times New Roman"/>
          <w:color w:val="333333"/>
          <w:kern w:val="2"/>
          <w:sz w:val="24"/>
          <w:szCs w:val="24"/>
          <w:u w:val="single"/>
          <w:lang w:eastAsia="zh-CN" w:bidi="hi-IN"/>
        </w:rPr>
        <w:t>http://www.saulgoze.lv/</w:t>
      </w:r>
    </w:p>
    <w:p w14:paraId="1B4FDD4F" w14:textId="7BF3A160" w:rsidR="000C7AA3" w:rsidRPr="0014151A" w:rsidRDefault="000C7AA3" w:rsidP="000C7AA3">
      <w:pPr>
        <w:spacing w:after="80" w:line="240" w:lineRule="auto"/>
        <w:jc w:val="both"/>
        <w:rPr>
          <w:rFonts w:ascii="Times New Roman" w:eastAsia="Times New Roman" w:hAnsi="Times New Roman" w:cs="Times New Roman"/>
          <w:kern w:val="2"/>
          <w:sz w:val="24"/>
          <w:szCs w:val="24"/>
          <w:lang w:eastAsia="zh-CN" w:bidi="hi-IN"/>
        </w:rPr>
      </w:pPr>
      <w:r w:rsidRPr="0014151A">
        <w:rPr>
          <w:rFonts w:ascii="Times New Roman" w:eastAsia="Times New Roman" w:hAnsi="Times New Roman" w:cs="Times New Roman"/>
          <w:kern w:val="2"/>
          <w:sz w:val="24"/>
          <w:szCs w:val="24"/>
          <w:lang w:eastAsia="zh-CN" w:bidi="hi-IN"/>
        </w:rPr>
        <w:t>Krāslavas novada tūrisma informācijas centrs</w:t>
      </w:r>
      <w:r w:rsidR="00DD6DF2" w:rsidRPr="0014151A">
        <w:rPr>
          <w:rFonts w:ascii="Times New Roman" w:eastAsia="Times New Roman" w:hAnsi="Times New Roman" w:cs="Times New Roman"/>
          <w:kern w:val="2"/>
          <w:sz w:val="24"/>
          <w:szCs w:val="24"/>
          <w:lang w:eastAsia="zh-CN" w:bidi="hi-IN"/>
        </w:rPr>
        <w:t>:</w:t>
      </w:r>
      <w:r w:rsidRPr="0014151A">
        <w:rPr>
          <w:rFonts w:ascii="Times New Roman" w:eastAsia="Times New Roman" w:hAnsi="Times New Roman" w:cs="Times New Roman"/>
          <w:kern w:val="2"/>
          <w:sz w:val="24"/>
          <w:szCs w:val="24"/>
          <w:lang w:eastAsia="zh-CN" w:bidi="hi-IN"/>
        </w:rPr>
        <w:t xml:space="preserve"> </w:t>
      </w:r>
      <w:hyperlink r:id="rId226" w:history="1">
        <w:r w:rsidRPr="0014151A">
          <w:rPr>
            <w:rFonts w:ascii="Times New Roman" w:eastAsia="Times New Roman" w:hAnsi="Times New Roman" w:cs="Times New Roman"/>
            <w:color w:val="333333"/>
            <w:kern w:val="2"/>
            <w:sz w:val="24"/>
            <w:szCs w:val="24"/>
            <w:u w:val="single"/>
            <w:lang w:eastAsia="zh-CN" w:bidi="hi-IN"/>
          </w:rPr>
          <w:t>www.visitkraslava.com</w:t>
        </w:r>
      </w:hyperlink>
    </w:p>
    <w:p w14:paraId="78812A9F" w14:textId="77954E4C" w:rsidR="00CF500F" w:rsidRPr="0014151A" w:rsidRDefault="00CF500F" w:rsidP="00CF500F">
      <w:pPr>
        <w:spacing w:after="80" w:line="240" w:lineRule="auto"/>
        <w:jc w:val="both"/>
        <w:rPr>
          <w:rFonts w:ascii="Times New Roman" w:eastAsia="Times New Roman" w:hAnsi="Times New Roman" w:cs="Times New Roman"/>
          <w:kern w:val="2"/>
          <w:sz w:val="24"/>
          <w:szCs w:val="24"/>
          <w:lang w:eastAsia="zh-CN" w:bidi="hi-IN"/>
        </w:rPr>
      </w:pPr>
      <w:r w:rsidRPr="0014151A">
        <w:rPr>
          <w:rFonts w:ascii="Times New Roman" w:eastAsia="Times New Roman" w:hAnsi="Times New Roman" w:cs="Times New Roman"/>
          <w:kern w:val="2"/>
          <w:sz w:val="24"/>
          <w:szCs w:val="24"/>
          <w:lang w:eastAsia="zh-CN" w:bidi="hi-IN"/>
        </w:rPr>
        <w:t xml:space="preserve">Laivu noma </w:t>
      </w:r>
      <w:proofErr w:type="spellStart"/>
      <w:r w:rsidRPr="0014151A">
        <w:rPr>
          <w:rFonts w:ascii="Times New Roman" w:eastAsia="Times New Roman" w:hAnsi="Times New Roman" w:cs="Times New Roman"/>
          <w:kern w:val="2"/>
          <w:sz w:val="24"/>
          <w:szCs w:val="24"/>
          <w:lang w:eastAsia="zh-CN" w:bidi="hi-IN"/>
        </w:rPr>
        <w:t>Campo</w:t>
      </w:r>
      <w:proofErr w:type="spellEnd"/>
      <w:r w:rsidR="009C065C" w:rsidRPr="0014151A">
        <w:rPr>
          <w:rFonts w:ascii="Times New Roman" w:eastAsia="Times New Roman" w:hAnsi="Times New Roman" w:cs="Times New Roman"/>
          <w:kern w:val="2"/>
          <w:sz w:val="24"/>
          <w:szCs w:val="24"/>
          <w:lang w:eastAsia="zh-CN" w:bidi="hi-IN"/>
        </w:rPr>
        <w:t>:</w:t>
      </w:r>
      <w:r w:rsidRPr="0014151A">
        <w:rPr>
          <w:rFonts w:ascii="Times New Roman" w:eastAsia="Times New Roman" w:hAnsi="Times New Roman" w:cs="Times New Roman"/>
          <w:kern w:val="2"/>
          <w:sz w:val="24"/>
          <w:szCs w:val="24"/>
          <w:lang w:eastAsia="zh-CN" w:bidi="hi-IN"/>
        </w:rPr>
        <w:t xml:space="preserve"> </w:t>
      </w:r>
      <w:hyperlink r:id="rId227" w:history="1">
        <w:r w:rsidR="009C065C" w:rsidRPr="0014151A">
          <w:rPr>
            <w:rStyle w:val="Hyperlink"/>
            <w:rFonts w:ascii="Times New Roman" w:eastAsia="Times New Roman" w:hAnsi="Times New Roman" w:cs="Times New Roman"/>
            <w:kern w:val="2"/>
            <w:sz w:val="24"/>
            <w:szCs w:val="24"/>
            <w:lang w:eastAsia="zh-CN" w:bidi="hi-IN"/>
          </w:rPr>
          <w:t>https://www.campo.lv/</w:t>
        </w:r>
      </w:hyperlink>
      <w:r w:rsidR="009C065C" w:rsidRPr="0014151A">
        <w:rPr>
          <w:rFonts w:ascii="Times New Roman" w:eastAsia="Times New Roman" w:hAnsi="Times New Roman" w:cs="Times New Roman"/>
          <w:kern w:val="2"/>
          <w:sz w:val="24"/>
          <w:szCs w:val="24"/>
          <w:lang w:eastAsia="zh-CN" w:bidi="hi-IN"/>
        </w:rPr>
        <w:t xml:space="preserve"> </w:t>
      </w:r>
    </w:p>
    <w:p w14:paraId="0E4D0329" w14:textId="35E9BE02" w:rsidR="00CF500F" w:rsidRPr="0014151A" w:rsidRDefault="00CF500F" w:rsidP="00CF500F">
      <w:pPr>
        <w:spacing w:after="80" w:line="240" w:lineRule="auto"/>
        <w:jc w:val="both"/>
        <w:rPr>
          <w:rFonts w:ascii="Times New Roman" w:eastAsia="Times New Roman" w:hAnsi="Times New Roman" w:cs="Times New Roman"/>
          <w:kern w:val="2"/>
          <w:sz w:val="24"/>
          <w:szCs w:val="24"/>
          <w:lang w:eastAsia="zh-CN" w:bidi="hi-IN"/>
        </w:rPr>
      </w:pPr>
      <w:r w:rsidRPr="0014151A">
        <w:rPr>
          <w:rFonts w:ascii="Times New Roman" w:eastAsia="Times New Roman" w:hAnsi="Times New Roman" w:cs="Times New Roman"/>
          <w:kern w:val="2"/>
          <w:sz w:val="24"/>
          <w:szCs w:val="24"/>
          <w:lang w:eastAsia="zh-CN" w:bidi="hi-IN"/>
        </w:rPr>
        <w:t xml:space="preserve">Laivu noma </w:t>
      </w:r>
      <w:proofErr w:type="spellStart"/>
      <w:r w:rsidRPr="0014151A">
        <w:rPr>
          <w:rFonts w:ascii="Times New Roman" w:eastAsia="Times New Roman" w:hAnsi="Times New Roman" w:cs="Times New Roman"/>
          <w:kern w:val="2"/>
          <w:sz w:val="24"/>
          <w:szCs w:val="24"/>
          <w:lang w:eastAsia="zh-CN" w:bidi="hi-IN"/>
        </w:rPr>
        <w:t>Jeņču</w:t>
      </w:r>
      <w:proofErr w:type="spellEnd"/>
      <w:r w:rsidRPr="0014151A">
        <w:rPr>
          <w:rFonts w:ascii="Times New Roman" w:eastAsia="Times New Roman" w:hAnsi="Times New Roman" w:cs="Times New Roman"/>
          <w:kern w:val="2"/>
          <w:sz w:val="24"/>
          <w:szCs w:val="24"/>
          <w:lang w:eastAsia="zh-CN" w:bidi="hi-IN"/>
        </w:rPr>
        <w:t xml:space="preserve"> laivas</w:t>
      </w:r>
      <w:r w:rsidR="009C065C" w:rsidRPr="0014151A">
        <w:rPr>
          <w:rFonts w:ascii="Times New Roman" w:eastAsia="Times New Roman" w:hAnsi="Times New Roman" w:cs="Times New Roman"/>
          <w:kern w:val="2"/>
          <w:sz w:val="24"/>
          <w:szCs w:val="24"/>
          <w:lang w:eastAsia="zh-CN" w:bidi="hi-IN"/>
        </w:rPr>
        <w:t>:</w:t>
      </w:r>
      <w:r w:rsidRPr="0014151A">
        <w:rPr>
          <w:rFonts w:ascii="Times New Roman" w:eastAsia="Times New Roman" w:hAnsi="Times New Roman" w:cs="Times New Roman"/>
          <w:kern w:val="2"/>
          <w:sz w:val="24"/>
          <w:szCs w:val="24"/>
          <w:lang w:eastAsia="zh-CN" w:bidi="hi-IN"/>
        </w:rPr>
        <w:t xml:space="preserve"> https://www.jenculaivas.lv/</w:t>
      </w:r>
    </w:p>
    <w:p w14:paraId="3B7EF6DD" w14:textId="6D4FF146" w:rsidR="00CF500F" w:rsidRPr="0014151A" w:rsidRDefault="00CF500F" w:rsidP="00CF500F">
      <w:pPr>
        <w:spacing w:after="80" w:line="240" w:lineRule="auto"/>
        <w:jc w:val="both"/>
        <w:rPr>
          <w:rFonts w:ascii="Times New Roman" w:eastAsia="Times New Roman" w:hAnsi="Times New Roman" w:cs="Times New Roman"/>
          <w:kern w:val="2"/>
          <w:sz w:val="24"/>
          <w:szCs w:val="24"/>
          <w:lang w:eastAsia="zh-CN" w:bidi="hi-IN"/>
        </w:rPr>
      </w:pPr>
      <w:r w:rsidRPr="0014151A">
        <w:rPr>
          <w:rFonts w:ascii="Times New Roman" w:eastAsia="Times New Roman" w:hAnsi="Times New Roman" w:cs="Times New Roman"/>
          <w:kern w:val="2"/>
          <w:sz w:val="24"/>
          <w:szCs w:val="24"/>
          <w:lang w:eastAsia="zh-CN" w:bidi="hi-IN"/>
        </w:rPr>
        <w:t xml:space="preserve">Laivu noma </w:t>
      </w:r>
      <w:proofErr w:type="spellStart"/>
      <w:r w:rsidRPr="0014151A">
        <w:rPr>
          <w:rFonts w:ascii="Times New Roman" w:eastAsia="Times New Roman" w:hAnsi="Times New Roman" w:cs="Times New Roman"/>
          <w:kern w:val="2"/>
          <w:sz w:val="24"/>
          <w:szCs w:val="24"/>
          <w:lang w:eastAsia="zh-CN" w:bidi="hi-IN"/>
        </w:rPr>
        <w:t>Mučas</w:t>
      </w:r>
      <w:proofErr w:type="spellEnd"/>
      <w:r w:rsidR="009C065C" w:rsidRPr="0014151A">
        <w:rPr>
          <w:rFonts w:ascii="Times New Roman" w:eastAsia="Times New Roman" w:hAnsi="Times New Roman" w:cs="Times New Roman"/>
          <w:kern w:val="2"/>
          <w:sz w:val="24"/>
          <w:szCs w:val="24"/>
          <w:lang w:eastAsia="zh-CN" w:bidi="hi-IN"/>
        </w:rPr>
        <w:t>:</w:t>
      </w:r>
      <w:r w:rsidRPr="0014151A">
        <w:rPr>
          <w:rFonts w:ascii="Times New Roman" w:eastAsia="Times New Roman" w:hAnsi="Times New Roman" w:cs="Times New Roman"/>
          <w:kern w:val="2"/>
          <w:sz w:val="24"/>
          <w:szCs w:val="24"/>
          <w:lang w:eastAsia="zh-CN" w:bidi="hi-IN"/>
        </w:rPr>
        <w:t xml:space="preserve"> </w:t>
      </w:r>
      <w:hyperlink r:id="rId228" w:history="1">
        <w:r w:rsidR="009C065C" w:rsidRPr="0014151A">
          <w:rPr>
            <w:rStyle w:val="Hyperlink"/>
            <w:rFonts w:ascii="Times New Roman" w:eastAsia="Times New Roman" w:hAnsi="Times New Roman" w:cs="Times New Roman"/>
            <w:kern w:val="2"/>
            <w:sz w:val="24"/>
            <w:szCs w:val="24"/>
            <w:lang w:eastAsia="zh-CN" w:bidi="hi-IN"/>
          </w:rPr>
          <w:t>http://www.laivunoma.com/</w:t>
        </w:r>
      </w:hyperlink>
      <w:r w:rsidR="009C065C" w:rsidRPr="0014151A">
        <w:rPr>
          <w:rFonts w:ascii="Times New Roman" w:eastAsia="Times New Roman" w:hAnsi="Times New Roman" w:cs="Times New Roman"/>
          <w:kern w:val="2"/>
          <w:sz w:val="24"/>
          <w:szCs w:val="24"/>
          <w:lang w:eastAsia="zh-CN" w:bidi="hi-IN"/>
        </w:rPr>
        <w:t xml:space="preserve"> </w:t>
      </w:r>
    </w:p>
    <w:p w14:paraId="0422C6BD" w14:textId="368E4289" w:rsidR="0055504F" w:rsidRPr="0014151A" w:rsidRDefault="00605183" w:rsidP="000C7AA3">
      <w:pPr>
        <w:tabs>
          <w:tab w:val="left" w:pos="426"/>
        </w:tabs>
        <w:spacing w:after="80" w:line="240" w:lineRule="auto"/>
        <w:jc w:val="both"/>
        <w:rPr>
          <w:rFonts w:ascii="Times New Roman" w:eastAsia="Times New Roman" w:hAnsi="Times New Roman" w:cs="Times New Roman"/>
          <w:kern w:val="2"/>
          <w:sz w:val="24"/>
          <w:szCs w:val="24"/>
          <w:lang w:eastAsia="zh-CN" w:bidi="hi-IN"/>
        </w:rPr>
      </w:pPr>
      <w:r w:rsidRPr="0014151A">
        <w:rPr>
          <w:rFonts w:ascii="Times New Roman" w:eastAsia="Times New Roman" w:hAnsi="Times New Roman" w:cs="Times New Roman"/>
          <w:kern w:val="2"/>
          <w:sz w:val="24"/>
          <w:szCs w:val="24"/>
          <w:lang w:eastAsia="zh-CN" w:bidi="hi-IN"/>
        </w:rPr>
        <w:t>Latgales plānošanas reģions</w:t>
      </w:r>
      <w:r w:rsidR="00E77733" w:rsidRPr="0014151A">
        <w:rPr>
          <w:rFonts w:ascii="Times New Roman" w:eastAsia="Times New Roman" w:hAnsi="Times New Roman" w:cs="Times New Roman"/>
          <w:kern w:val="2"/>
          <w:sz w:val="24"/>
          <w:szCs w:val="24"/>
          <w:lang w:eastAsia="zh-CN" w:bidi="hi-IN"/>
        </w:rPr>
        <w:t>:</w:t>
      </w:r>
      <w:r w:rsidRPr="0014151A">
        <w:rPr>
          <w:rFonts w:ascii="Times New Roman" w:eastAsia="Times New Roman" w:hAnsi="Times New Roman" w:cs="Times New Roman"/>
          <w:kern w:val="2"/>
          <w:sz w:val="24"/>
          <w:szCs w:val="24"/>
          <w:lang w:eastAsia="zh-CN" w:bidi="hi-IN"/>
        </w:rPr>
        <w:t xml:space="preserve"> </w:t>
      </w:r>
      <w:hyperlink r:id="rId229" w:history="1">
        <w:r w:rsidR="0055504F" w:rsidRPr="0014151A">
          <w:rPr>
            <w:rStyle w:val="Hyperlink"/>
            <w:rFonts w:ascii="Times New Roman" w:eastAsia="Times New Roman" w:hAnsi="Times New Roman" w:cs="Times New Roman"/>
            <w:kern w:val="2"/>
            <w:sz w:val="24"/>
            <w:szCs w:val="24"/>
            <w:lang w:eastAsia="zh-CN" w:bidi="hi-IN"/>
          </w:rPr>
          <w:t>https://lpr.gov.lv/lv/</w:t>
        </w:r>
      </w:hyperlink>
    </w:p>
    <w:p w14:paraId="2599AE11" w14:textId="77777777" w:rsidR="00CF500F" w:rsidRPr="0014151A" w:rsidRDefault="00CF500F" w:rsidP="00CF500F">
      <w:pPr>
        <w:spacing w:after="80" w:line="240" w:lineRule="auto"/>
        <w:jc w:val="both"/>
        <w:rPr>
          <w:rFonts w:ascii="Times New Roman" w:eastAsia="Times New Roman" w:hAnsi="Times New Roman" w:cs="Times New Roman"/>
          <w:color w:val="333333"/>
          <w:kern w:val="2"/>
          <w:sz w:val="24"/>
          <w:szCs w:val="24"/>
          <w:u w:val="single"/>
          <w:lang w:eastAsia="zh-CN" w:bidi="hi-IN"/>
        </w:rPr>
      </w:pPr>
      <w:r w:rsidRPr="0014151A">
        <w:rPr>
          <w:rFonts w:ascii="Times New Roman" w:eastAsia="Times New Roman" w:hAnsi="Times New Roman" w:cs="Times New Roman"/>
          <w:kern w:val="2"/>
          <w:sz w:val="24"/>
          <w:szCs w:val="24"/>
          <w:lang w:eastAsia="zh-CN" w:bidi="hi-IN"/>
        </w:rPr>
        <w:t xml:space="preserve">Latgales reģiona attīstības aģentūra </w:t>
      </w:r>
      <w:hyperlink r:id="rId230" w:history="1">
        <w:r w:rsidRPr="0014151A">
          <w:rPr>
            <w:rFonts w:ascii="Times New Roman" w:eastAsia="Times New Roman" w:hAnsi="Times New Roman" w:cs="Times New Roman"/>
            <w:color w:val="333333"/>
            <w:kern w:val="2"/>
            <w:sz w:val="24"/>
            <w:szCs w:val="24"/>
            <w:u w:val="single"/>
            <w:lang w:eastAsia="zh-CN" w:bidi="hi-IN"/>
          </w:rPr>
          <w:t>http://visitlatgale.com/</w:t>
        </w:r>
      </w:hyperlink>
    </w:p>
    <w:p w14:paraId="151E499B" w14:textId="71CC9E7B" w:rsidR="000C7AA3" w:rsidRPr="0014151A" w:rsidRDefault="000C7AA3" w:rsidP="000C7AA3">
      <w:pPr>
        <w:suppressAutoHyphens/>
        <w:spacing w:after="80" w:line="240" w:lineRule="auto"/>
        <w:jc w:val="both"/>
        <w:rPr>
          <w:rFonts w:ascii="Times New Roman" w:eastAsia="Times New Roman" w:hAnsi="Times New Roman" w:cs="Times New Roman"/>
          <w:kern w:val="2"/>
          <w:sz w:val="24"/>
          <w:szCs w:val="24"/>
          <w:lang w:eastAsia="ar-SA" w:bidi="hi-IN"/>
        </w:rPr>
      </w:pPr>
      <w:r w:rsidRPr="0014151A">
        <w:rPr>
          <w:rFonts w:ascii="Times New Roman" w:eastAsia="Times New Roman" w:hAnsi="Times New Roman" w:cs="Times New Roman"/>
          <w:kern w:val="2"/>
          <w:sz w:val="24"/>
          <w:szCs w:val="24"/>
          <w:lang w:eastAsia="ar-SA" w:bidi="hi-IN"/>
        </w:rPr>
        <w:t>Latvijas Ģeotelpiskās informācijas aģentūra</w:t>
      </w:r>
      <w:r w:rsidR="00C848A9" w:rsidRPr="0014151A">
        <w:rPr>
          <w:rFonts w:ascii="Times New Roman" w:eastAsia="Times New Roman" w:hAnsi="Times New Roman" w:cs="Times New Roman"/>
          <w:kern w:val="2"/>
          <w:sz w:val="24"/>
          <w:szCs w:val="24"/>
          <w:lang w:eastAsia="ar-SA" w:bidi="hi-IN"/>
        </w:rPr>
        <w:t>:</w:t>
      </w:r>
      <w:r w:rsidRPr="0014151A">
        <w:rPr>
          <w:rFonts w:ascii="Times New Roman" w:eastAsia="Times New Roman" w:hAnsi="Times New Roman" w:cs="Times New Roman"/>
          <w:kern w:val="2"/>
          <w:sz w:val="24"/>
          <w:szCs w:val="24"/>
          <w:lang w:eastAsia="ar-SA" w:bidi="hi-IN"/>
        </w:rPr>
        <w:t xml:space="preserve"> </w:t>
      </w:r>
      <w:hyperlink r:id="rId231" w:history="1">
        <w:r w:rsidRPr="0014151A">
          <w:rPr>
            <w:rStyle w:val="Hyperlink"/>
            <w:rFonts w:ascii="Times New Roman" w:eastAsia="Times New Roman" w:hAnsi="Times New Roman" w:cs="Times New Roman"/>
            <w:kern w:val="2"/>
            <w:sz w:val="24"/>
            <w:szCs w:val="24"/>
            <w:lang w:eastAsia="ar-SA" w:bidi="hi-IN"/>
          </w:rPr>
          <w:t>www.lgia.gov.lv</w:t>
        </w:r>
      </w:hyperlink>
      <w:r w:rsidRPr="0014151A">
        <w:rPr>
          <w:rFonts w:ascii="Times New Roman" w:eastAsia="Times New Roman" w:hAnsi="Times New Roman" w:cs="Times New Roman"/>
          <w:kern w:val="2"/>
          <w:sz w:val="24"/>
          <w:szCs w:val="24"/>
          <w:lang w:eastAsia="ar-SA" w:bidi="hi-IN"/>
        </w:rPr>
        <w:t xml:space="preserve"> </w:t>
      </w:r>
    </w:p>
    <w:p w14:paraId="0FF55A90" w14:textId="0A9B5B9D" w:rsidR="000C7AA3" w:rsidRPr="0014151A" w:rsidRDefault="000C7AA3" w:rsidP="000C7AA3">
      <w:pPr>
        <w:spacing w:after="80" w:line="240" w:lineRule="auto"/>
        <w:jc w:val="both"/>
      </w:pPr>
      <w:r w:rsidRPr="0014151A">
        <w:rPr>
          <w:rFonts w:ascii="Times New Roman" w:eastAsia="Times New Roman" w:hAnsi="Times New Roman" w:cs="Times New Roman"/>
          <w:kern w:val="2"/>
          <w:sz w:val="24"/>
          <w:szCs w:val="24"/>
          <w:lang w:eastAsia="zh-CN" w:bidi="hi-IN"/>
        </w:rPr>
        <w:t>Latvijas lauku tūrisma asociācija “Lauku ceļotājs”</w:t>
      </w:r>
      <w:r w:rsidR="00E77733" w:rsidRPr="0014151A">
        <w:rPr>
          <w:rFonts w:ascii="Times New Roman" w:eastAsia="Times New Roman" w:hAnsi="Times New Roman" w:cs="Times New Roman"/>
          <w:kern w:val="2"/>
          <w:sz w:val="24"/>
          <w:szCs w:val="24"/>
          <w:lang w:eastAsia="zh-CN" w:bidi="hi-IN"/>
        </w:rPr>
        <w:t>:</w:t>
      </w:r>
      <w:r w:rsidRPr="0014151A">
        <w:rPr>
          <w:rFonts w:ascii="Times New Roman" w:eastAsia="Times New Roman" w:hAnsi="Times New Roman" w:cs="Times New Roman"/>
          <w:kern w:val="2"/>
          <w:sz w:val="24"/>
          <w:szCs w:val="24"/>
          <w:lang w:eastAsia="zh-CN" w:bidi="hi-IN"/>
        </w:rPr>
        <w:t xml:space="preserve"> </w:t>
      </w:r>
      <w:hyperlink r:id="rId232" w:history="1">
        <w:r w:rsidRPr="0014151A">
          <w:rPr>
            <w:rFonts w:ascii="Times New Roman" w:eastAsia="Times New Roman" w:hAnsi="Times New Roman" w:cs="Times New Roman"/>
            <w:color w:val="333333"/>
            <w:kern w:val="2"/>
            <w:sz w:val="24"/>
            <w:szCs w:val="24"/>
            <w:u w:val="single"/>
            <w:lang w:eastAsia="zh-CN" w:bidi="hi-IN"/>
          </w:rPr>
          <w:t>www.celotajs.lv</w:t>
        </w:r>
      </w:hyperlink>
    </w:p>
    <w:p w14:paraId="5512351F" w14:textId="561A44C9" w:rsidR="004220F8" w:rsidRPr="0014151A" w:rsidRDefault="00D23A26" w:rsidP="000C7AA3">
      <w:pPr>
        <w:spacing w:after="80" w:line="240" w:lineRule="auto"/>
        <w:jc w:val="both"/>
        <w:rPr>
          <w:rFonts w:ascii="Times New Roman" w:eastAsia="Times New Roman" w:hAnsi="Times New Roman" w:cs="Times New Roman"/>
          <w:kern w:val="2"/>
          <w:sz w:val="24"/>
          <w:szCs w:val="24"/>
          <w:lang w:eastAsia="zh-CN" w:bidi="hi-IN"/>
        </w:rPr>
      </w:pPr>
      <w:r w:rsidRPr="0014151A">
        <w:rPr>
          <w:rFonts w:ascii="Times New Roman" w:eastAsia="Times New Roman" w:hAnsi="Times New Roman" w:cs="Times New Roman"/>
          <w:kern w:val="2"/>
          <w:sz w:val="24"/>
          <w:szCs w:val="24"/>
          <w:lang w:eastAsia="zh-CN" w:bidi="hi-IN"/>
        </w:rPr>
        <w:t>Latvijas, Vides, ģeoloģijas un meteoroloģijas centrs:</w:t>
      </w:r>
      <w:r w:rsidR="00CB5D30" w:rsidRPr="0014151A">
        <w:rPr>
          <w:rFonts w:ascii="Times New Roman" w:eastAsia="Times New Roman" w:hAnsi="Times New Roman" w:cs="Times New Roman"/>
          <w:kern w:val="2"/>
          <w:sz w:val="24"/>
          <w:szCs w:val="24"/>
          <w:lang w:eastAsia="zh-CN" w:bidi="hi-IN"/>
        </w:rPr>
        <w:t xml:space="preserve"> </w:t>
      </w:r>
      <w:hyperlink r:id="rId233" w:history="1">
        <w:r w:rsidR="00EA36CA" w:rsidRPr="0014151A">
          <w:rPr>
            <w:rStyle w:val="Hyperlink"/>
            <w:rFonts w:ascii="Times New Roman" w:eastAsia="Times New Roman" w:hAnsi="Times New Roman" w:cs="Times New Roman"/>
            <w:kern w:val="2"/>
            <w:sz w:val="24"/>
            <w:szCs w:val="24"/>
            <w:lang w:eastAsia="zh-CN" w:bidi="hi-IN"/>
          </w:rPr>
          <w:t>https://videscentrs.lvgmc.lv/</w:t>
        </w:r>
      </w:hyperlink>
      <w:r w:rsidR="00EA36CA" w:rsidRPr="0014151A">
        <w:rPr>
          <w:rFonts w:ascii="Times New Roman" w:eastAsia="Times New Roman" w:hAnsi="Times New Roman" w:cs="Times New Roman"/>
          <w:kern w:val="2"/>
          <w:sz w:val="24"/>
          <w:szCs w:val="24"/>
          <w:lang w:eastAsia="zh-CN" w:bidi="hi-IN"/>
        </w:rPr>
        <w:t xml:space="preserve"> </w:t>
      </w:r>
    </w:p>
    <w:p w14:paraId="5A8A62D6" w14:textId="736B029C" w:rsidR="000C7AA3" w:rsidRPr="0014151A" w:rsidRDefault="000C7AA3" w:rsidP="000C7AA3">
      <w:pPr>
        <w:tabs>
          <w:tab w:val="left" w:pos="426"/>
        </w:tabs>
        <w:spacing w:after="80" w:line="240" w:lineRule="auto"/>
        <w:jc w:val="both"/>
        <w:rPr>
          <w:rFonts w:ascii="Times New Roman" w:eastAsia="Times New Roman" w:hAnsi="Times New Roman" w:cs="Times New Roman"/>
          <w:kern w:val="2"/>
          <w:sz w:val="24"/>
          <w:szCs w:val="24"/>
          <w:lang w:eastAsia="zh-CN" w:bidi="hi-IN"/>
        </w:rPr>
      </w:pPr>
      <w:proofErr w:type="spellStart"/>
      <w:r w:rsidRPr="0014151A">
        <w:rPr>
          <w:rFonts w:ascii="Times New Roman" w:eastAsia="Times New Roman" w:hAnsi="Times New Roman" w:cs="Times New Roman"/>
          <w:kern w:val="2"/>
          <w:sz w:val="24"/>
          <w:szCs w:val="24"/>
          <w:lang w:eastAsia="zh-CN" w:bidi="hi-IN"/>
        </w:rPr>
        <w:t>Lielbornes</w:t>
      </w:r>
      <w:proofErr w:type="spellEnd"/>
      <w:r w:rsidRPr="0014151A">
        <w:rPr>
          <w:rFonts w:ascii="Times New Roman" w:eastAsia="Times New Roman" w:hAnsi="Times New Roman" w:cs="Times New Roman"/>
          <w:kern w:val="2"/>
          <w:sz w:val="24"/>
          <w:szCs w:val="24"/>
          <w:lang w:eastAsia="zh-CN" w:bidi="hi-IN"/>
        </w:rPr>
        <w:t xml:space="preserve"> muiža</w:t>
      </w:r>
      <w:r w:rsidR="00DD6DF2" w:rsidRPr="0014151A">
        <w:rPr>
          <w:rFonts w:ascii="Times New Roman" w:eastAsia="Times New Roman" w:hAnsi="Times New Roman" w:cs="Times New Roman"/>
          <w:kern w:val="2"/>
          <w:sz w:val="24"/>
          <w:szCs w:val="24"/>
          <w:lang w:eastAsia="zh-CN" w:bidi="hi-IN"/>
        </w:rPr>
        <w:t>:</w:t>
      </w:r>
      <w:r w:rsidRPr="0014151A">
        <w:rPr>
          <w:rFonts w:ascii="Times New Roman" w:eastAsia="Times New Roman" w:hAnsi="Times New Roman" w:cs="Times New Roman"/>
          <w:kern w:val="2"/>
          <w:sz w:val="24"/>
          <w:szCs w:val="24"/>
          <w:lang w:eastAsia="zh-CN" w:bidi="hi-IN"/>
        </w:rPr>
        <w:t xml:space="preserve"> </w:t>
      </w:r>
      <w:hyperlink r:id="rId234" w:history="1">
        <w:r w:rsidRPr="0014151A">
          <w:rPr>
            <w:rStyle w:val="Hyperlink"/>
            <w:rFonts w:ascii="Times New Roman" w:eastAsia="Times New Roman" w:hAnsi="Times New Roman" w:cs="Times New Roman"/>
            <w:kern w:val="2"/>
            <w:sz w:val="24"/>
            <w:szCs w:val="24"/>
            <w:lang w:eastAsia="zh-CN" w:bidi="hi-IN"/>
          </w:rPr>
          <w:t>https://lielbornesmuiza.lv/</w:t>
        </w:r>
      </w:hyperlink>
      <w:r w:rsidRPr="0014151A">
        <w:rPr>
          <w:rFonts w:ascii="Times New Roman" w:eastAsia="Times New Roman" w:hAnsi="Times New Roman" w:cs="Times New Roman"/>
          <w:kern w:val="2"/>
          <w:sz w:val="24"/>
          <w:szCs w:val="24"/>
          <w:lang w:eastAsia="zh-CN" w:bidi="hi-IN"/>
        </w:rPr>
        <w:t xml:space="preserve"> </w:t>
      </w:r>
    </w:p>
    <w:p w14:paraId="778B776F" w14:textId="15EAFC7F" w:rsidR="000C7AA3" w:rsidRPr="0014151A" w:rsidRDefault="000C7AA3" w:rsidP="000C7AA3">
      <w:pPr>
        <w:spacing w:after="80" w:line="240" w:lineRule="auto"/>
        <w:jc w:val="both"/>
        <w:rPr>
          <w:rFonts w:ascii="Times New Roman" w:eastAsia="Times New Roman" w:hAnsi="Times New Roman" w:cs="Times New Roman"/>
          <w:kern w:val="2"/>
          <w:sz w:val="24"/>
          <w:szCs w:val="24"/>
          <w:lang w:eastAsia="zh-CN" w:bidi="hi-IN"/>
        </w:rPr>
      </w:pPr>
      <w:r w:rsidRPr="0014151A">
        <w:rPr>
          <w:rFonts w:ascii="Times New Roman" w:eastAsia="Times New Roman" w:hAnsi="Times New Roman" w:cs="Times New Roman"/>
          <w:kern w:val="2"/>
          <w:sz w:val="24"/>
          <w:szCs w:val="24"/>
          <w:lang w:eastAsia="zh-CN" w:bidi="hi-IN"/>
        </w:rPr>
        <w:t>LVM interaktīvā karte</w:t>
      </w:r>
      <w:r w:rsidR="009A0814" w:rsidRPr="0014151A">
        <w:rPr>
          <w:rFonts w:ascii="Times New Roman" w:eastAsia="Times New Roman" w:hAnsi="Times New Roman" w:cs="Times New Roman"/>
          <w:kern w:val="2"/>
          <w:sz w:val="24"/>
          <w:szCs w:val="24"/>
          <w:lang w:eastAsia="zh-CN" w:bidi="hi-IN"/>
        </w:rPr>
        <w:t>:</w:t>
      </w:r>
      <w:r w:rsidRPr="0014151A">
        <w:rPr>
          <w:rFonts w:ascii="Times New Roman" w:eastAsia="Times New Roman" w:hAnsi="Times New Roman" w:cs="Times New Roman"/>
          <w:kern w:val="2"/>
          <w:sz w:val="24"/>
          <w:szCs w:val="24"/>
          <w:lang w:eastAsia="zh-CN" w:bidi="hi-IN"/>
        </w:rPr>
        <w:t xml:space="preserve"> </w:t>
      </w:r>
      <w:hyperlink r:id="rId235" w:history="1">
        <w:r w:rsidRPr="0014151A">
          <w:rPr>
            <w:rFonts w:ascii="Times New Roman" w:eastAsia="Times New Roman" w:hAnsi="Times New Roman" w:cs="Times New Roman"/>
            <w:color w:val="333333"/>
            <w:kern w:val="2"/>
            <w:sz w:val="24"/>
            <w:szCs w:val="24"/>
            <w:u w:val="single"/>
            <w:lang w:eastAsia="zh-CN" w:bidi="hi-IN"/>
          </w:rPr>
          <w:t>www.mammadabakarte.lv/</w:t>
        </w:r>
      </w:hyperlink>
    </w:p>
    <w:p w14:paraId="79ADDC18" w14:textId="2EE7F91A" w:rsidR="000C7AA3" w:rsidRPr="0014151A" w:rsidRDefault="000C7AA3" w:rsidP="000C7AA3">
      <w:pPr>
        <w:spacing w:after="80" w:line="240" w:lineRule="auto"/>
        <w:jc w:val="both"/>
        <w:rPr>
          <w:rFonts w:ascii="Times New Roman" w:eastAsia="Times New Roman" w:hAnsi="Times New Roman" w:cs="Times New Roman"/>
          <w:kern w:val="2"/>
          <w:sz w:val="24"/>
          <w:szCs w:val="24"/>
          <w:lang w:eastAsia="zh-CN" w:bidi="hi-IN"/>
        </w:rPr>
      </w:pPr>
      <w:r w:rsidRPr="0014151A">
        <w:rPr>
          <w:rFonts w:ascii="Times New Roman" w:eastAsia="Times New Roman" w:hAnsi="Times New Roman" w:cs="Times New Roman"/>
          <w:kern w:val="2"/>
          <w:sz w:val="24"/>
          <w:szCs w:val="24"/>
          <w:lang w:eastAsia="zh-CN" w:bidi="hi-IN"/>
        </w:rPr>
        <w:t>Naujenes novadpētniecības muzejs</w:t>
      </w:r>
      <w:r w:rsidR="009C065C" w:rsidRPr="0014151A">
        <w:rPr>
          <w:rFonts w:ascii="Times New Roman" w:eastAsia="Times New Roman" w:hAnsi="Times New Roman" w:cs="Times New Roman"/>
          <w:kern w:val="2"/>
          <w:sz w:val="24"/>
          <w:szCs w:val="24"/>
          <w:lang w:eastAsia="zh-CN" w:bidi="hi-IN"/>
        </w:rPr>
        <w:t>:</w:t>
      </w:r>
      <w:r w:rsidRPr="0014151A">
        <w:rPr>
          <w:rFonts w:ascii="Times New Roman" w:eastAsia="Times New Roman" w:hAnsi="Times New Roman" w:cs="Times New Roman"/>
          <w:kern w:val="2"/>
          <w:sz w:val="24"/>
          <w:szCs w:val="24"/>
          <w:lang w:eastAsia="zh-CN" w:bidi="hi-IN"/>
        </w:rPr>
        <w:t xml:space="preserve"> </w:t>
      </w:r>
      <w:hyperlink r:id="rId236" w:history="1">
        <w:r w:rsidRPr="0014151A">
          <w:rPr>
            <w:rFonts w:ascii="Times New Roman" w:eastAsia="Times New Roman" w:hAnsi="Times New Roman" w:cs="Times New Roman"/>
            <w:color w:val="333333"/>
            <w:kern w:val="2"/>
            <w:sz w:val="24"/>
            <w:szCs w:val="24"/>
            <w:u w:val="single"/>
            <w:lang w:eastAsia="zh-CN" w:bidi="hi-IN"/>
          </w:rPr>
          <w:t>http://naujenesmuzejs.lv</w:t>
        </w:r>
      </w:hyperlink>
    </w:p>
    <w:p w14:paraId="18D673BD" w14:textId="268B55EC" w:rsidR="009C065C" w:rsidRPr="0014151A" w:rsidRDefault="009C065C" w:rsidP="000C7AA3">
      <w:pPr>
        <w:spacing w:after="80" w:line="240" w:lineRule="auto"/>
        <w:jc w:val="both"/>
        <w:rPr>
          <w:rFonts w:ascii="Times New Roman" w:eastAsia="Times New Roman" w:hAnsi="Times New Roman" w:cs="Times New Roman"/>
          <w:kern w:val="2"/>
          <w:sz w:val="24"/>
          <w:szCs w:val="24"/>
          <w:lang w:eastAsia="zh-CN" w:bidi="hi-IN"/>
        </w:rPr>
      </w:pPr>
      <w:proofErr w:type="spellStart"/>
      <w:r w:rsidRPr="0014151A">
        <w:rPr>
          <w:rStyle w:val="Hyperlink"/>
          <w:rFonts w:ascii="Times New Roman" w:eastAsia="Times New Roman" w:hAnsi="Times New Roman" w:cs="Times New Roman"/>
          <w:kern w:val="2"/>
          <w:sz w:val="24"/>
          <w:szCs w:val="24"/>
          <w:u w:val="none"/>
          <w:lang w:eastAsia="zh-CN" w:bidi="hi-IN"/>
        </w:rPr>
        <w:t>Slutišķu</w:t>
      </w:r>
      <w:proofErr w:type="spellEnd"/>
      <w:r w:rsidRPr="0014151A">
        <w:rPr>
          <w:rStyle w:val="Hyperlink"/>
          <w:rFonts w:ascii="Times New Roman" w:eastAsia="Times New Roman" w:hAnsi="Times New Roman" w:cs="Times New Roman"/>
          <w:kern w:val="2"/>
          <w:sz w:val="24"/>
          <w:szCs w:val="24"/>
          <w:u w:val="none"/>
          <w:lang w:eastAsia="zh-CN" w:bidi="hi-IN"/>
        </w:rPr>
        <w:t xml:space="preserve"> etnogrāfiskā vecticībnieku sādža: </w:t>
      </w:r>
      <w:hyperlink r:id="rId237" w:history="1">
        <w:r w:rsidRPr="0014151A">
          <w:rPr>
            <w:rStyle w:val="Hyperlink"/>
            <w:rFonts w:ascii="Times New Roman" w:eastAsia="Times New Roman" w:hAnsi="Times New Roman" w:cs="Times New Roman"/>
            <w:kern w:val="2"/>
            <w:sz w:val="24"/>
            <w:szCs w:val="24"/>
            <w:lang w:eastAsia="zh-CN" w:bidi="hi-IN"/>
          </w:rPr>
          <w:t>https://kulturasdati.lv/lv/kulturvesturiskas-vietas/slutisku-etnografiska-vecticibnieku-sadza</w:t>
        </w:r>
      </w:hyperlink>
      <w:r w:rsidRPr="0014151A">
        <w:rPr>
          <w:rStyle w:val="Hyperlink"/>
          <w:rFonts w:ascii="Times New Roman" w:eastAsia="Times New Roman" w:hAnsi="Times New Roman" w:cs="Times New Roman"/>
          <w:kern w:val="2"/>
          <w:sz w:val="24"/>
          <w:szCs w:val="24"/>
          <w:u w:val="none"/>
          <w:lang w:eastAsia="zh-CN" w:bidi="hi-IN"/>
        </w:rPr>
        <w:t xml:space="preserve"> </w:t>
      </w:r>
    </w:p>
    <w:p w14:paraId="68930595" w14:textId="04369454" w:rsidR="000C7AA3" w:rsidRPr="0014151A" w:rsidRDefault="000C7AA3" w:rsidP="000C7AA3">
      <w:pPr>
        <w:spacing w:after="80" w:line="240" w:lineRule="auto"/>
        <w:jc w:val="both"/>
        <w:rPr>
          <w:rFonts w:ascii="Times New Roman" w:eastAsia="Times New Roman" w:hAnsi="Times New Roman" w:cs="Times New Roman"/>
          <w:kern w:val="2"/>
          <w:sz w:val="24"/>
          <w:szCs w:val="24"/>
          <w:lang w:eastAsia="zh-CN" w:bidi="hi-IN"/>
        </w:rPr>
      </w:pPr>
      <w:r w:rsidRPr="0014151A">
        <w:rPr>
          <w:rFonts w:ascii="Times New Roman" w:eastAsia="Times New Roman" w:hAnsi="Times New Roman" w:cs="Times New Roman"/>
          <w:kern w:val="2"/>
          <w:sz w:val="24"/>
          <w:szCs w:val="24"/>
          <w:lang w:eastAsia="zh-CN" w:bidi="hi-IN"/>
        </w:rPr>
        <w:t>Zirgu sēta “Klajumi”</w:t>
      </w:r>
      <w:r w:rsidR="00DD6DF2" w:rsidRPr="0014151A">
        <w:rPr>
          <w:rFonts w:ascii="Times New Roman" w:eastAsia="Times New Roman" w:hAnsi="Times New Roman" w:cs="Times New Roman"/>
          <w:kern w:val="2"/>
          <w:sz w:val="24"/>
          <w:szCs w:val="24"/>
          <w:lang w:eastAsia="zh-CN" w:bidi="hi-IN"/>
        </w:rPr>
        <w:t>:</w:t>
      </w:r>
      <w:r w:rsidRPr="0014151A">
        <w:rPr>
          <w:rFonts w:ascii="Times New Roman" w:eastAsia="Times New Roman" w:hAnsi="Times New Roman" w:cs="Times New Roman"/>
          <w:kern w:val="2"/>
          <w:sz w:val="24"/>
          <w:szCs w:val="24"/>
          <w:lang w:eastAsia="zh-CN" w:bidi="hi-IN"/>
        </w:rPr>
        <w:t xml:space="preserve"> </w:t>
      </w:r>
      <w:hyperlink r:id="rId238" w:history="1">
        <w:r w:rsidRPr="0014151A">
          <w:rPr>
            <w:rFonts w:ascii="Times New Roman" w:eastAsia="Times New Roman" w:hAnsi="Times New Roman" w:cs="Times New Roman"/>
            <w:color w:val="333333"/>
            <w:kern w:val="2"/>
            <w:sz w:val="24"/>
            <w:szCs w:val="24"/>
            <w:u w:val="single"/>
            <w:lang w:eastAsia="zh-CN" w:bidi="hi-IN"/>
          </w:rPr>
          <w:t>http://www.klajumi.lv</w:t>
        </w:r>
      </w:hyperlink>
    </w:p>
    <w:p w14:paraId="57305002" w14:textId="115F920C" w:rsidR="000C7AA3" w:rsidRPr="00A07F29" w:rsidRDefault="000C7AA3" w:rsidP="000C7AA3">
      <w:pPr>
        <w:spacing w:after="80" w:line="240" w:lineRule="auto"/>
        <w:jc w:val="both"/>
        <w:rPr>
          <w:rFonts w:ascii="Times New Roman" w:eastAsia="Times New Roman" w:hAnsi="Times New Roman" w:cs="Times New Roman"/>
          <w:kern w:val="2"/>
          <w:sz w:val="24"/>
          <w:szCs w:val="24"/>
          <w:lang w:eastAsia="zh-CN" w:bidi="hi-IN"/>
        </w:rPr>
      </w:pPr>
      <w:r w:rsidRPr="0014151A">
        <w:rPr>
          <w:rFonts w:ascii="Times New Roman" w:eastAsia="Times New Roman" w:hAnsi="Times New Roman" w:cs="Times New Roman"/>
          <w:kern w:val="2"/>
          <w:sz w:val="24"/>
          <w:szCs w:val="24"/>
          <w:lang w:eastAsia="zh-CN" w:bidi="hi-IN"/>
        </w:rPr>
        <w:t>ZS “Kurmīši”</w:t>
      </w:r>
      <w:r w:rsidR="0085191C" w:rsidRPr="0014151A">
        <w:rPr>
          <w:rFonts w:ascii="Times New Roman" w:eastAsia="Times New Roman" w:hAnsi="Times New Roman" w:cs="Times New Roman"/>
          <w:kern w:val="2"/>
          <w:sz w:val="24"/>
          <w:szCs w:val="24"/>
          <w:lang w:eastAsia="zh-CN" w:bidi="hi-IN"/>
        </w:rPr>
        <w:t>:</w:t>
      </w:r>
      <w:r w:rsidRPr="0014151A">
        <w:rPr>
          <w:rFonts w:ascii="Times New Roman" w:eastAsia="Times New Roman" w:hAnsi="Times New Roman" w:cs="Times New Roman"/>
          <w:kern w:val="2"/>
          <w:sz w:val="24"/>
          <w:szCs w:val="24"/>
          <w:lang w:eastAsia="zh-CN" w:bidi="hi-IN"/>
        </w:rPr>
        <w:t xml:space="preserve"> </w:t>
      </w:r>
      <w:hyperlink r:id="rId239" w:history="1">
        <w:r w:rsidRPr="0014151A">
          <w:rPr>
            <w:rFonts w:ascii="Times New Roman" w:eastAsia="Times New Roman" w:hAnsi="Times New Roman" w:cs="Times New Roman"/>
            <w:color w:val="333333"/>
            <w:kern w:val="2"/>
            <w:sz w:val="24"/>
            <w:szCs w:val="24"/>
            <w:u w:val="single"/>
            <w:lang w:eastAsia="zh-CN" w:bidi="hi-IN"/>
          </w:rPr>
          <w:t>http://www.kurmisi.lv/</w:t>
        </w:r>
      </w:hyperlink>
    </w:p>
    <w:p w14:paraId="4B5F7D94" w14:textId="77777777" w:rsidR="00424CD3" w:rsidRDefault="00424CD3" w:rsidP="000F2A30">
      <w:pPr>
        <w:spacing w:after="0" w:line="240" w:lineRule="auto"/>
        <w:rPr>
          <w:rFonts w:ascii="Times New Roman" w:eastAsia="Times New Roman" w:hAnsi="Times New Roman" w:cs="Times New Roman"/>
          <w:b/>
          <w:bCs/>
          <w:kern w:val="2"/>
          <w:sz w:val="24"/>
          <w:szCs w:val="24"/>
          <w:lang w:eastAsia="zh-CN" w:bidi="hi-IN"/>
        </w:rPr>
      </w:pPr>
    </w:p>
    <w:p w14:paraId="297B3E07" w14:textId="39CEBE18" w:rsidR="00260499" w:rsidRPr="00A07F29" w:rsidRDefault="00260499" w:rsidP="000F2A30">
      <w:pPr>
        <w:spacing w:after="0" w:line="240" w:lineRule="auto"/>
        <w:rPr>
          <w:rFonts w:ascii="Times New Roman" w:eastAsia="Times New Roman" w:hAnsi="Times New Roman" w:cs="Times New Roman"/>
          <w:kern w:val="2"/>
          <w:sz w:val="24"/>
          <w:szCs w:val="24"/>
          <w:lang w:eastAsia="zh-CN" w:bidi="hi-IN"/>
        </w:rPr>
      </w:pPr>
      <w:r w:rsidRPr="00A07F29">
        <w:rPr>
          <w:rFonts w:ascii="Times New Roman" w:eastAsia="Times New Roman" w:hAnsi="Times New Roman" w:cs="Times New Roman"/>
          <w:b/>
          <w:bCs/>
          <w:kern w:val="2"/>
          <w:sz w:val="24"/>
          <w:szCs w:val="24"/>
          <w:lang w:eastAsia="zh-CN" w:bidi="hi-IN"/>
        </w:rPr>
        <w:t>Citi avoti:</w:t>
      </w:r>
    </w:p>
    <w:p w14:paraId="7807487D" w14:textId="252E67C0" w:rsidR="00260499" w:rsidRPr="00A07F29" w:rsidRDefault="00260499" w:rsidP="006715E1">
      <w:pPr>
        <w:spacing w:after="0" w:line="240" w:lineRule="auto"/>
        <w:jc w:val="both"/>
        <w:rPr>
          <w:rFonts w:ascii="Times New Roman" w:eastAsia="Times New Roman" w:hAnsi="Times New Roman" w:cs="Times New Roman"/>
          <w:kern w:val="2"/>
          <w:sz w:val="24"/>
          <w:szCs w:val="24"/>
          <w:lang w:eastAsia="zh-CN" w:bidi="hi-IN"/>
        </w:rPr>
      </w:pPr>
      <w:r w:rsidRPr="00A07F29">
        <w:rPr>
          <w:rFonts w:ascii="Times New Roman" w:eastAsia="Times New Roman" w:hAnsi="Times New Roman" w:cs="Times New Roman"/>
          <w:kern w:val="2"/>
          <w:sz w:val="24"/>
          <w:szCs w:val="24"/>
          <w:lang w:eastAsia="zh-CN" w:bidi="hi-IN"/>
        </w:rPr>
        <w:t>Intervija ar laivu un plostu nomas</w:t>
      </w:r>
      <w:r w:rsidR="0053265E" w:rsidRPr="00A07F29">
        <w:rPr>
          <w:rFonts w:ascii="Times New Roman" w:eastAsia="Times New Roman" w:hAnsi="Times New Roman" w:cs="Times New Roman"/>
          <w:kern w:val="2"/>
          <w:sz w:val="24"/>
          <w:szCs w:val="24"/>
          <w:lang w:eastAsia="zh-CN" w:bidi="hi-IN"/>
        </w:rPr>
        <w:t xml:space="preserve"> SIA</w:t>
      </w:r>
      <w:r w:rsidRPr="00A07F29">
        <w:rPr>
          <w:rFonts w:ascii="Times New Roman" w:eastAsia="Times New Roman" w:hAnsi="Times New Roman" w:cs="Times New Roman"/>
          <w:kern w:val="2"/>
          <w:sz w:val="24"/>
          <w:szCs w:val="24"/>
          <w:lang w:eastAsia="zh-CN" w:bidi="hi-IN"/>
        </w:rPr>
        <w:t xml:space="preserve"> “</w:t>
      </w:r>
      <w:proofErr w:type="spellStart"/>
      <w:r w:rsidRPr="00A07F29">
        <w:rPr>
          <w:rFonts w:ascii="Times New Roman" w:eastAsia="Times New Roman" w:hAnsi="Times New Roman" w:cs="Times New Roman"/>
          <w:kern w:val="2"/>
          <w:sz w:val="24"/>
          <w:szCs w:val="24"/>
          <w:lang w:eastAsia="zh-CN" w:bidi="hi-IN"/>
        </w:rPr>
        <w:t>Beibuks</w:t>
      </w:r>
      <w:proofErr w:type="spellEnd"/>
      <w:r w:rsidRPr="00A07F29">
        <w:rPr>
          <w:rFonts w:ascii="Times New Roman" w:eastAsia="Times New Roman" w:hAnsi="Times New Roman" w:cs="Times New Roman"/>
          <w:kern w:val="2"/>
          <w:sz w:val="24"/>
          <w:szCs w:val="24"/>
          <w:lang w:eastAsia="zh-CN" w:bidi="hi-IN"/>
        </w:rPr>
        <w:t>” īpašnieku Ilmāru Lociku, 14.08.2019.</w:t>
      </w:r>
    </w:p>
    <w:p w14:paraId="4A74DB38" w14:textId="3B23EEBC" w:rsidR="00260499" w:rsidRPr="00A07F29" w:rsidRDefault="00260499" w:rsidP="006715E1">
      <w:pPr>
        <w:spacing w:after="0" w:line="240" w:lineRule="auto"/>
        <w:jc w:val="both"/>
        <w:rPr>
          <w:rFonts w:ascii="Times New Roman" w:eastAsia="Times New Roman" w:hAnsi="Times New Roman" w:cs="Times New Roman"/>
          <w:kern w:val="2"/>
          <w:sz w:val="24"/>
          <w:szCs w:val="24"/>
          <w:lang w:eastAsia="zh-CN" w:bidi="hi-IN"/>
        </w:rPr>
      </w:pPr>
      <w:r w:rsidRPr="00A07F29">
        <w:rPr>
          <w:rFonts w:ascii="Times New Roman" w:eastAsia="Times New Roman" w:hAnsi="Times New Roman" w:cs="Times New Roman"/>
          <w:kern w:val="2"/>
          <w:sz w:val="24"/>
          <w:szCs w:val="24"/>
          <w:lang w:eastAsia="zh-CN" w:bidi="hi-IN"/>
        </w:rPr>
        <w:t>Elektroniskā intervija ar laivu nomas “</w:t>
      </w:r>
      <w:proofErr w:type="spellStart"/>
      <w:r w:rsidRPr="00A07F29">
        <w:rPr>
          <w:rFonts w:ascii="Times New Roman" w:eastAsia="Times New Roman" w:hAnsi="Times New Roman" w:cs="Times New Roman"/>
          <w:kern w:val="2"/>
          <w:sz w:val="24"/>
          <w:szCs w:val="24"/>
          <w:lang w:eastAsia="zh-CN" w:bidi="hi-IN"/>
        </w:rPr>
        <w:t>Mučas</w:t>
      </w:r>
      <w:proofErr w:type="spellEnd"/>
      <w:r w:rsidRPr="00A07F29">
        <w:rPr>
          <w:rFonts w:ascii="Times New Roman" w:eastAsia="Times New Roman" w:hAnsi="Times New Roman" w:cs="Times New Roman"/>
          <w:kern w:val="2"/>
          <w:sz w:val="24"/>
          <w:szCs w:val="24"/>
          <w:lang w:eastAsia="zh-CN" w:bidi="hi-IN"/>
        </w:rPr>
        <w:t xml:space="preserve">” </w:t>
      </w:r>
      <w:r w:rsidR="007E4ABA" w:rsidRPr="00A07F29">
        <w:rPr>
          <w:rFonts w:ascii="Times New Roman" w:eastAsia="Times New Roman" w:hAnsi="Times New Roman" w:cs="Times New Roman"/>
          <w:kern w:val="2"/>
          <w:sz w:val="24"/>
          <w:szCs w:val="24"/>
          <w:lang w:eastAsia="zh-CN" w:bidi="hi-IN"/>
        </w:rPr>
        <w:t>pārstāvi Latgalē</w:t>
      </w:r>
      <w:r w:rsidRPr="00A07F29">
        <w:rPr>
          <w:rFonts w:ascii="Times New Roman" w:eastAsia="Times New Roman" w:hAnsi="Times New Roman" w:cs="Times New Roman"/>
          <w:kern w:val="2"/>
          <w:sz w:val="24"/>
          <w:szCs w:val="24"/>
          <w:lang w:eastAsia="zh-CN" w:bidi="hi-IN"/>
        </w:rPr>
        <w:t xml:space="preserve"> Jāni Vilcānu, 21.11.2019.</w:t>
      </w:r>
    </w:p>
    <w:p w14:paraId="000ADE45" w14:textId="4F991E3B" w:rsidR="00260499" w:rsidRPr="00A07F29" w:rsidRDefault="00260499" w:rsidP="006715E1">
      <w:pPr>
        <w:spacing w:after="0" w:line="240" w:lineRule="auto"/>
        <w:jc w:val="both"/>
        <w:rPr>
          <w:rFonts w:ascii="Times New Roman" w:eastAsia="Times New Roman" w:hAnsi="Times New Roman" w:cs="Times New Roman"/>
          <w:kern w:val="2"/>
          <w:sz w:val="24"/>
          <w:szCs w:val="24"/>
          <w:lang w:eastAsia="zh-CN" w:bidi="hi-IN"/>
        </w:rPr>
      </w:pPr>
      <w:r w:rsidRPr="00A07F29">
        <w:rPr>
          <w:rFonts w:ascii="Times New Roman" w:eastAsia="Times New Roman" w:hAnsi="Times New Roman" w:cs="Times New Roman"/>
          <w:kern w:val="2"/>
          <w:sz w:val="24"/>
          <w:szCs w:val="24"/>
          <w:lang w:eastAsia="zh-CN" w:bidi="hi-IN"/>
        </w:rPr>
        <w:t xml:space="preserve">Elektroniskā intervija ar laivu nomas “Aktīva atpūta Latgalē” </w:t>
      </w:r>
      <w:r w:rsidR="0053265E" w:rsidRPr="00A07F29">
        <w:rPr>
          <w:rFonts w:ascii="Times New Roman" w:eastAsia="Times New Roman" w:hAnsi="Times New Roman" w:cs="Times New Roman"/>
          <w:kern w:val="2"/>
          <w:sz w:val="24"/>
          <w:szCs w:val="24"/>
          <w:lang w:eastAsia="zh-CN" w:bidi="hi-IN"/>
        </w:rPr>
        <w:t>pārstāvi</w:t>
      </w:r>
      <w:r w:rsidRPr="00A07F29">
        <w:rPr>
          <w:rFonts w:ascii="Times New Roman" w:eastAsia="Times New Roman" w:hAnsi="Times New Roman" w:cs="Times New Roman"/>
          <w:kern w:val="2"/>
          <w:sz w:val="24"/>
          <w:szCs w:val="24"/>
          <w:lang w:eastAsia="zh-CN" w:bidi="hi-IN"/>
        </w:rPr>
        <w:t xml:space="preserve"> Pāvelu </w:t>
      </w:r>
      <w:proofErr w:type="spellStart"/>
      <w:r w:rsidRPr="00A07F29">
        <w:rPr>
          <w:rFonts w:ascii="Times New Roman" w:eastAsia="Times New Roman" w:hAnsi="Times New Roman" w:cs="Times New Roman"/>
          <w:kern w:val="2"/>
          <w:sz w:val="24"/>
          <w:szCs w:val="24"/>
          <w:lang w:eastAsia="zh-CN" w:bidi="hi-IN"/>
        </w:rPr>
        <w:t>Lapkovski</w:t>
      </w:r>
      <w:proofErr w:type="spellEnd"/>
      <w:r w:rsidRPr="00A07F29">
        <w:rPr>
          <w:rFonts w:ascii="Times New Roman" w:eastAsia="Times New Roman" w:hAnsi="Times New Roman" w:cs="Times New Roman"/>
          <w:kern w:val="2"/>
          <w:sz w:val="24"/>
          <w:szCs w:val="24"/>
          <w:lang w:eastAsia="zh-CN" w:bidi="hi-IN"/>
        </w:rPr>
        <w:t>, 16.03.2020.</w:t>
      </w:r>
    </w:p>
    <w:bookmarkEnd w:id="123"/>
    <w:p w14:paraId="0F92A8DA" w14:textId="77777777" w:rsidR="00260499" w:rsidRPr="00A07F29" w:rsidRDefault="00260499" w:rsidP="00260499">
      <w:pPr>
        <w:spacing w:after="0" w:line="240" w:lineRule="auto"/>
        <w:rPr>
          <w:rFonts w:ascii="Liberation Serif" w:eastAsia="Noto Sans CJK SC" w:hAnsi="Liberation Serif" w:cs="Lohit Devanagari"/>
          <w:kern w:val="2"/>
          <w:sz w:val="24"/>
          <w:szCs w:val="24"/>
          <w:lang w:eastAsia="zh-CN" w:bidi="hi-IN"/>
        </w:rPr>
      </w:pPr>
    </w:p>
    <w:p w14:paraId="55CB890F" w14:textId="174F6098" w:rsidR="006F0A98" w:rsidRPr="00A07F29" w:rsidRDefault="006F0A98" w:rsidP="004B36F4">
      <w:pPr>
        <w:pStyle w:val="Heading1"/>
        <w:pageBreakBefore/>
        <w:spacing w:before="0" w:after="240" w:line="240" w:lineRule="auto"/>
        <w:jc w:val="center"/>
        <w:rPr>
          <w:rFonts w:ascii="Times New Roman" w:eastAsia="Times New Roman" w:hAnsi="Times New Roman" w:cs="Times New Roman"/>
          <w:lang w:eastAsia="ja-JP"/>
        </w:rPr>
      </w:pPr>
      <w:bookmarkStart w:id="130" w:name="_Toc183434041"/>
      <w:r w:rsidRPr="00A07F29">
        <w:rPr>
          <w:rFonts w:ascii="Times New Roman" w:eastAsia="Times New Roman" w:hAnsi="Times New Roman" w:cs="Times New Roman"/>
          <w:color w:val="auto"/>
          <w:lang w:eastAsia="ja-JP"/>
        </w:rPr>
        <w:lastRenderedPageBreak/>
        <w:t>PIELIKUMI</w:t>
      </w:r>
      <w:bookmarkEnd w:id="130"/>
    </w:p>
    <w:p w14:paraId="535FCFE9" w14:textId="081B40FC" w:rsidR="00242F95" w:rsidRPr="00A07F29" w:rsidRDefault="00242F95" w:rsidP="00242F95">
      <w:pPr>
        <w:spacing w:after="0" w:line="240" w:lineRule="auto"/>
        <w:rPr>
          <w:rFonts w:ascii="Times New Roman" w:eastAsia="Times New Roman" w:hAnsi="Times New Roman" w:cs="Times New Roman"/>
          <w:sz w:val="24"/>
          <w:szCs w:val="24"/>
        </w:rPr>
      </w:pPr>
      <w:r w:rsidRPr="00A07F29">
        <w:rPr>
          <w:rFonts w:ascii="Times New Roman" w:eastAsia="Times New Roman" w:hAnsi="Times New Roman" w:cs="Times New Roman"/>
          <w:sz w:val="24"/>
          <w:szCs w:val="24"/>
        </w:rPr>
        <w:t>1.1.</w:t>
      </w:r>
      <w:r w:rsidR="008C155C">
        <w:rPr>
          <w:rFonts w:ascii="Times New Roman" w:eastAsia="Times New Roman" w:hAnsi="Times New Roman" w:cs="Times New Roman"/>
          <w:sz w:val="24"/>
          <w:szCs w:val="24"/>
        </w:rPr>
        <w:t> </w:t>
      </w:r>
      <w:r w:rsidRPr="00A07F29">
        <w:rPr>
          <w:rFonts w:ascii="Times New Roman" w:eastAsia="Times New Roman" w:hAnsi="Times New Roman" w:cs="Times New Roman"/>
          <w:sz w:val="24"/>
          <w:szCs w:val="24"/>
        </w:rPr>
        <w:t>Zemes īpašuma formas AAA “Augšdaugava”</w:t>
      </w:r>
    </w:p>
    <w:p w14:paraId="1DB80D11" w14:textId="34FFFADF" w:rsidR="00242F95" w:rsidRPr="00A07F29" w:rsidRDefault="00242F95" w:rsidP="00242F95">
      <w:pPr>
        <w:spacing w:after="0" w:line="240" w:lineRule="auto"/>
        <w:rPr>
          <w:rFonts w:ascii="Times New Roman" w:eastAsia="Times New Roman" w:hAnsi="Times New Roman" w:cs="Times New Roman"/>
          <w:sz w:val="24"/>
          <w:szCs w:val="24"/>
        </w:rPr>
      </w:pPr>
      <w:r w:rsidRPr="00A07F29">
        <w:rPr>
          <w:rFonts w:ascii="Times New Roman" w:eastAsia="Times New Roman" w:hAnsi="Times New Roman" w:cs="Times New Roman"/>
          <w:sz w:val="24"/>
          <w:szCs w:val="24"/>
        </w:rPr>
        <w:t>1.2.</w:t>
      </w:r>
      <w:r w:rsidR="008C155C">
        <w:rPr>
          <w:rFonts w:ascii="Times New Roman" w:eastAsia="Times New Roman" w:hAnsi="Times New Roman" w:cs="Times New Roman"/>
          <w:sz w:val="24"/>
          <w:szCs w:val="24"/>
        </w:rPr>
        <w:t> </w:t>
      </w:r>
      <w:r w:rsidRPr="00A07F29">
        <w:rPr>
          <w:rFonts w:ascii="Times New Roman" w:eastAsia="Times New Roman" w:hAnsi="Times New Roman" w:cs="Times New Roman"/>
          <w:sz w:val="24"/>
          <w:szCs w:val="24"/>
        </w:rPr>
        <w:t>Zemes lietošanas veidi AAA “Augšdaugava”</w:t>
      </w:r>
    </w:p>
    <w:p w14:paraId="38D9FC79" w14:textId="759C1225" w:rsidR="00242F95" w:rsidRPr="00A07F29" w:rsidRDefault="00242F95" w:rsidP="00242F95">
      <w:pPr>
        <w:spacing w:after="0" w:line="240" w:lineRule="auto"/>
        <w:rPr>
          <w:rFonts w:ascii="Times New Roman" w:eastAsia="Times New Roman" w:hAnsi="Times New Roman" w:cs="Times New Roman"/>
          <w:sz w:val="24"/>
          <w:szCs w:val="24"/>
        </w:rPr>
      </w:pPr>
      <w:r w:rsidRPr="00A07F29">
        <w:rPr>
          <w:rFonts w:ascii="Times New Roman" w:eastAsia="Times New Roman" w:hAnsi="Times New Roman" w:cs="Times New Roman"/>
          <w:sz w:val="24"/>
          <w:szCs w:val="24"/>
        </w:rPr>
        <w:t>2.1.</w:t>
      </w:r>
      <w:r w:rsidR="008C155C">
        <w:rPr>
          <w:rFonts w:ascii="Times New Roman" w:eastAsia="Times New Roman" w:hAnsi="Times New Roman" w:cs="Times New Roman"/>
          <w:sz w:val="24"/>
          <w:szCs w:val="24"/>
        </w:rPr>
        <w:t> </w:t>
      </w:r>
      <w:r w:rsidRPr="00A07F29">
        <w:rPr>
          <w:rFonts w:ascii="Times New Roman" w:eastAsia="Times New Roman" w:hAnsi="Times New Roman" w:cs="Times New Roman"/>
          <w:sz w:val="24"/>
          <w:szCs w:val="24"/>
        </w:rPr>
        <w:t>Augšdaugavas aizsargājamo ainavu apvidus ezeri un to bioloģiskais raksturojums</w:t>
      </w:r>
    </w:p>
    <w:p w14:paraId="1DB789BF" w14:textId="2C759970" w:rsidR="00242F95" w:rsidRPr="00A07F29" w:rsidRDefault="00242F95" w:rsidP="00242F95">
      <w:pPr>
        <w:spacing w:after="0" w:line="240" w:lineRule="auto"/>
        <w:rPr>
          <w:rFonts w:ascii="Times New Roman" w:eastAsia="Times New Roman" w:hAnsi="Times New Roman" w:cs="Times New Roman"/>
          <w:sz w:val="24"/>
          <w:szCs w:val="24"/>
        </w:rPr>
      </w:pPr>
      <w:r w:rsidRPr="00A07F29">
        <w:rPr>
          <w:rFonts w:ascii="Times New Roman" w:eastAsia="Times New Roman" w:hAnsi="Times New Roman" w:cs="Times New Roman"/>
          <w:sz w:val="24"/>
          <w:szCs w:val="24"/>
        </w:rPr>
        <w:t>3.1.</w:t>
      </w:r>
      <w:r w:rsidR="008C155C">
        <w:rPr>
          <w:rFonts w:ascii="Times New Roman" w:eastAsia="Times New Roman" w:hAnsi="Times New Roman" w:cs="Times New Roman"/>
          <w:sz w:val="24"/>
          <w:szCs w:val="24"/>
        </w:rPr>
        <w:t> </w:t>
      </w:r>
      <w:r w:rsidRPr="00A07F29">
        <w:rPr>
          <w:rFonts w:ascii="Times New Roman" w:eastAsia="Times New Roman" w:hAnsi="Times New Roman" w:cs="Times New Roman"/>
          <w:sz w:val="24"/>
          <w:szCs w:val="24"/>
        </w:rPr>
        <w:t>Bioloģiski vērtīgo zālāju atbalsta maksājumu klases un atbalstam pieteiktās platības AAA “Augšdaugava”</w:t>
      </w:r>
    </w:p>
    <w:p w14:paraId="252C2B6C" w14:textId="386F736E" w:rsidR="00242F95" w:rsidRPr="00A07F29" w:rsidRDefault="00242F95" w:rsidP="00242F95">
      <w:pPr>
        <w:spacing w:after="0" w:line="240" w:lineRule="auto"/>
        <w:rPr>
          <w:rFonts w:ascii="Times New Roman" w:eastAsia="Times New Roman" w:hAnsi="Times New Roman" w:cs="Times New Roman"/>
          <w:sz w:val="24"/>
          <w:szCs w:val="24"/>
        </w:rPr>
      </w:pPr>
      <w:r w:rsidRPr="00A07F29">
        <w:rPr>
          <w:rFonts w:ascii="Times New Roman" w:eastAsia="Times New Roman" w:hAnsi="Times New Roman" w:cs="Times New Roman"/>
          <w:sz w:val="24"/>
          <w:szCs w:val="24"/>
        </w:rPr>
        <w:t>3.2.1.</w:t>
      </w:r>
      <w:r w:rsidR="008C155C">
        <w:rPr>
          <w:rFonts w:ascii="Times New Roman" w:eastAsia="Times New Roman" w:hAnsi="Times New Roman" w:cs="Times New Roman"/>
          <w:sz w:val="24"/>
          <w:szCs w:val="24"/>
        </w:rPr>
        <w:t> </w:t>
      </w:r>
      <w:r w:rsidRPr="00A07F29">
        <w:rPr>
          <w:rFonts w:ascii="Times New Roman" w:eastAsia="Times New Roman" w:hAnsi="Times New Roman" w:cs="Times New Roman"/>
          <w:sz w:val="24"/>
          <w:szCs w:val="24"/>
        </w:rPr>
        <w:t>Meža augšanas apstākļu tipi AAA “Augšdaugava”</w:t>
      </w:r>
    </w:p>
    <w:p w14:paraId="2A8A8934" w14:textId="2FCEE4B4" w:rsidR="00242F95" w:rsidRPr="00A07F29" w:rsidRDefault="00242F95" w:rsidP="00242F95">
      <w:pPr>
        <w:spacing w:after="0" w:line="240" w:lineRule="auto"/>
        <w:rPr>
          <w:rFonts w:ascii="Times New Roman" w:eastAsia="Times New Roman" w:hAnsi="Times New Roman" w:cs="Times New Roman"/>
          <w:sz w:val="24"/>
          <w:szCs w:val="24"/>
        </w:rPr>
      </w:pPr>
      <w:r w:rsidRPr="00A07F29">
        <w:rPr>
          <w:rFonts w:ascii="Times New Roman" w:eastAsia="Times New Roman" w:hAnsi="Times New Roman" w:cs="Times New Roman"/>
          <w:sz w:val="24"/>
          <w:szCs w:val="24"/>
        </w:rPr>
        <w:t>3.2.2.</w:t>
      </w:r>
      <w:r w:rsidR="008C155C">
        <w:rPr>
          <w:rFonts w:ascii="Times New Roman" w:eastAsia="Times New Roman" w:hAnsi="Times New Roman" w:cs="Times New Roman"/>
          <w:sz w:val="24"/>
          <w:szCs w:val="24"/>
        </w:rPr>
        <w:t> </w:t>
      </w:r>
      <w:r w:rsidRPr="00A07F29">
        <w:rPr>
          <w:rFonts w:ascii="Times New Roman" w:eastAsia="Times New Roman" w:hAnsi="Times New Roman" w:cs="Times New Roman"/>
          <w:sz w:val="24"/>
          <w:szCs w:val="24"/>
        </w:rPr>
        <w:t>Mežaudžu daudzveidība AAA “Augšdaugava”</w:t>
      </w:r>
    </w:p>
    <w:p w14:paraId="1FBE67DC" w14:textId="43B02A9C" w:rsidR="00242F95" w:rsidRPr="00A07F29" w:rsidRDefault="00242F95" w:rsidP="00242F95">
      <w:pPr>
        <w:spacing w:after="0" w:line="240" w:lineRule="auto"/>
        <w:rPr>
          <w:rFonts w:ascii="Times New Roman" w:eastAsia="Times New Roman" w:hAnsi="Times New Roman" w:cs="Times New Roman"/>
          <w:sz w:val="24"/>
          <w:szCs w:val="24"/>
        </w:rPr>
      </w:pPr>
      <w:r w:rsidRPr="00A07F29">
        <w:rPr>
          <w:rFonts w:ascii="Times New Roman" w:eastAsia="Times New Roman" w:hAnsi="Times New Roman" w:cs="Times New Roman"/>
          <w:sz w:val="24"/>
          <w:szCs w:val="24"/>
        </w:rPr>
        <w:t>3.3.</w:t>
      </w:r>
      <w:r w:rsidR="008C155C">
        <w:rPr>
          <w:rFonts w:ascii="Times New Roman" w:eastAsia="Times New Roman" w:hAnsi="Times New Roman" w:cs="Times New Roman"/>
          <w:sz w:val="24"/>
          <w:szCs w:val="24"/>
        </w:rPr>
        <w:t> </w:t>
      </w:r>
      <w:r w:rsidRPr="00A07F29">
        <w:rPr>
          <w:rFonts w:ascii="Times New Roman" w:eastAsia="Times New Roman" w:hAnsi="Times New Roman" w:cs="Times New Roman"/>
          <w:sz w:val="24"/>
          <w:szCs w:val="24"/>
        </w:rPr>
        <w:t>Meža izcelsme AAA “Augšdaugava”</w:t>
      </w:r>
    </w:p>
    <w:p w14:paraId="66A31FD6" w14:textId="60611478" w:rsidR="00242F95" w:rsidRPr="00A07F29" w:rsidRDefault="00242F95" w:rsidP="00242F95">
      <w:pPr>
        <w:spacing w:after="0" w:line="240" w:lineRule="auto"/>
        <w:rPr>
          <w:rFonts w:ascii="Times New Roman" w:eastAsia="Times New Roman" w:hAnsi="Times New Roman" w:cs="Times New Roman"/>
          <w:sz w:val="24"/>
          <w:szCs w:val="24"/>
        </w:rPr>
      </w:pPr>
      <w:r w:rsidRPr="00A07F29">
        <w:rPr>
          <w:rFonts w:ascii="Times New Roman" w:eastAsia="Times New Roman" w:hAnsi="Times New Roman" w:cs="Times New Roman"/>
          <w:sz w:val="24"/>
          <w:szCs w:val="24"/>
        </w:rPr>
        <w:t>3.4.</w:t>
      </w:r>
      <w:r w:rsidR="008C155C">
        <w:rPr>
          <w:rFonts w:ascii="Times New Roman" w:eastAsia="Times New Roman" w:hAnsi="Times New Roman" w:cs="Times New Roman"/>
          <w:sz w:val="24"/>
          <w:szCs w:val="24"/>
        </w:rPr>
        <w:t> </w:t>
      </w:r>
      <w:r w:rsidRPr="00A07F29">
        <w:rPr>
          <w:rFonts w:ascii="Times New Roman" w:eastAsia="Times New Roman" w:hAnsi="Times New Roman" w:cs="Times New Roman"/>
          <w:sz w:val="24"/>
          <w:szCs w:val="24"/>
        </w:rPr>
        <w:t>Mežsaimnieciskās darbības ierobežojumi AAA “Augšdaugava”</w:t>
      </w:r>
    </w:p>
    <w:p w14:paraId="1B09486F" w14:textId="5066A0E8" w:rsidR="00242F95" w:rsidRPr="00A07F29" w:rsidRDefault="00242F95" w:rsidP="00242F95">
      <w:pPr>
        <w:spacing w:after="0" w:line="240" w:lineRule="auto"/>
        <w:rPr>
          <w:rFonts w:ascii="Times New Roman" w:eastAsia="Times New Roman" w:hAnsi="Times New Roman" w:cs="Times New Roman"/>
          <w:sz w:val="24"/>
          <w:szCs w:val="24"/>
        </w:rPr>
      </w:pPr>
      <w:r w:rsidRPr="00A07F29">
        <w:rPr>
          <w:rFonts w:ascii="Times New Roman" w:eastAsia="Times New Roman" w:hAnsi="Times New Roman" w:cs="Times New Roman"/>
          <w:sz w:val="24"/>
          <w:szCs w:val="24"/>
        </w:rPr>
        <w:t>3.5.</w:t>
      </w:r>
      <w:r w:rsidR="008C155C">
        <w:rPr>
          <w:rFonts w:ascii="Times New Roman" w:eastAsia="Times New Roman" w:hAnsi="Times New Roman" w:cs="Times New Roman"/>
          <w:sz w:val="24"/>
          <w:szCs w:val="24"/>
        </w:rPr>
        <w:t> </w:t>
      </w:r>
      <w:r w:rsidRPr="00A07F29">
        <w:rPr>
          <w:rFonts w:ascii="Times New Roman" w:eastAsia="Times New Roman" w:hAnsi="Times New Roman" w:cs="Times New Roman"/>
          <w:sz w:val="24"/>
          <w:szCs w:val="24"/>
        </w:rPr>
        <w:t>Mežsaimnieciskā darbība AAA “Augšdaugava”</w:t>
      </w:r>
    </w:p>
    <w:p w14:paraId="4E2C8F2F" w14:textId="4FB991A0" w:rsidR="00242F95" w:rsidRPr="00A07F29" w:rsidRDefault="00242F95" w:rsidP="00242F95">
      <w:pPr>
        <w:spacing w:after="0" w:line="240" w:lineRule="auto"/>
        <w:rPr>
          <w:rFonts w:ascii="Times New Roman" w:eastAsia="Times New Roman" w:hAnsi="Times New Roman" w:cs="Times New Roman"/>
          <w:sz w:val="24"/>
          <w:szCs w:val="24"/>
        </w:rPr>
      </w:pPr>
      <w:r w:rsidRPr="00A07F29">
        <w:rPr>
          <w:rFonts w:ascii="Times New Roman" w:eastAsia="Times New Roman" w:hAnsi="Times New Roman" w:cs="Times New Roman"/>
          <w:sz w:val="24"/>
          <w:szCs w:val="24"/>
        </w:rPr>
        <w:t>3.6.</w:t>
      </w:r>
      <w:r w:rsidR="008C155C">
        <w:rPr>
          <w:rFonts w:ascii="Times New Roman" w:eastAsia="Times New Roman" w:hAnsi="Times New Roman" w:cs="Times New Roman"/>
          <w:sz w:val="24"/>
          <w:szCs w:val="24"/>
        </w:rPr>
        <w:t> </w:t>
      </w:r>
      <w:r w:rsidRPr="00A07F29">
        <w:rPr>
          <w:rFonts w:ascii="Times New Roman" w:eastAsia="Times New Roman" w:hAnsi="Times New Roman" w:cs="Times New Roman"/>
          <w:sz w:val="24"/>
          <w:szCs w:val="24"/>
        </w:rPr>
        <w:t>Mežaudžu vecumstruktūra AAA “Augšdaugava”</w:t>
      </w:r>
    </w:p>
    <w:p w14:paraId="1E7DD525" w14:textId="37A709C4" w:rsidR="00242F95" w:rsidRPr="00A07F29" w:rsidRDefault="00242F95" w:rsidP="00242F95">
      <w:pPr>
        <w:spacing w:after="0" w:line="240" w:lineRule="auto"/>
        <w:rPr>
          <w:rFonts w:ascii="Times New Roman" w:eastAsia="Times New Roman" w:hAnsi="Times New Roman" w:cs="Times New Roman"/>
          <w:sz w:val="24"/>
          <w:szCs w:val="24"/>
        </w:rPr>
      </w:pPr>
      <w:r w:rsidRPr="00A07F29">
        <w:rPr>
          <w:rFonts w:ascii="Times New Roman" w:eastAsia="Times New Roman" w:hAnsi="Times New Roman" w:cs="Times New Roman"/>
          <w:sz w:val="24"/>
          <w:szCs w:val="24"/>
        </w:rPr>
        <w:t>3.7.1.</w:t>
      </w:r>
      <w:r w:rsidR="008C155C">
        <w:rPr>
          <w:rFonts w:ascii="Times New Roman" w:eastAsia="Times New Roman" w:hAnsi="Times New Roman" w:cs="Times New Roman"/>
          <w:sz w:val="24"/>
          <w:szCs w:val="24"/>
        </w:rPr>
        <w:t> </w:t>
      </w:r>
      <w:r w:rsidRPr="00A07F29">
        <w:rPr>
          <w:rFonts w:ascii="Times New Roman" w:eastAsia="Times New Roman" w:hAnsi="Times New Roman" w:cs="Times New Roman"/>
          <w:sz w:val="24"/>
          <w:szCs w:val="24"/>
        </w:rPr>
        <w:t>Tūrisma objekti un piedāvājums AAA “Augšdaugava”</w:t>
      </w:r>
    </w:p>
    <w:p w14:paraId="5C66A277" w14:textId="74BDEAAC" w:rsidR="00242F95" w:rsidRPr="00A07F29" w:rsidRDefault="00242F95" w:rsidP="00242F95">
      <w:pPr>
        <w:spacing w:after="0" w:line="240" w:lineRule="auto"/>
        <w:rPr>
          <w:rFonts w:ascii="Times New Roman" w:eastAsia="Times New Roman" w:hAnsi="Times New Roman" w:cs="Times New Roman"/>
          <w:sz w:val="24"/>
          <w:szCs w:val="24"/>
        </w:rPr>
      </w:pPr>
      <w:r w:rsidRPr="00A07F29">
        <w:rPr>
          <w:rFonts w:ascii="Times New Roman" w:eastAsia="Times New Roman" w:hAnsi="Times New Roman" w:cs="Times New Roman"/>
          <w:sz w:val="24"/>
          <w:szCs w:val="24"/>
        </w:rPr>
        <w:t>3.7.2.</w:t>
      </w:r>
      <w:r w:rsidR="008C155C">
        <w:rPr>
          <w:rFonts w:ascii="Times New Roman" w:eastAsia="Times New Roman" w:hAnsi="Times New Roman" w:cs="Times New Roman"/>
          <w:sz w:val="24"/>
          <w:szCs w:val="24"/>
        </w:rPr>
        <w:t> </w:t>
      </w:r>
      <w:r w:rsidRPr="00A07F29">
        <w:rPr>
          <w:rFonts w:ascii="Times New Roman" w:eastAsia="Times New Roman" w:hAnsi="Times New Roman" w:cs="Times New Roman"/>
          <w:sz w:val="24"/>
          <w:szCs w:val="24"/>
        </w:rPr>
        <w:t>Kultūrvēsturiskie tūrisma objekti un vietas aizsargājamo ainavu apvidū “Augšdaugava”</w:t>
      </w:r>
    </w:p>
    <w:p w14:paraId="687387A5" w14:textId="72B3C492" w:rsidR="00242F95" w:rsidRPr="00A07F29" w:rsidRDefault="00242F95" w:rsidP="00242F95">
      <w:pPr>
        <w:spacing w:after="0" w:line="240" w:lineRule="auto"/>
        <w:rPr>
          <w:rFonts w:ascii="Times New Roman" w:eastAsia="Times New Roman" w:hAnsi="Times New Roman" w:cs="Times New Roman"/>
          <w:sz w:val="24"/>
          <w:szCs w:val="24"/>
        </w:rPr>
      </w:pPr>
      <w:r w:rsidRPr="00A07F29">
        <w:rPr>
          <w:rFonts w:ascii="Times New Roman" w:eastAsia="Times New Roman" w:hAnsi="Times New Roman" w:cs="Times New Roman"/>
          <w:sz w:val="24"/>
          <w:szCs w:val="24"/>
        </w:rPr>
        <w:t>3.8.</w:t>
      </w:r>
      <w:r w:rsidR="00F81A41">
        <w:rPr>
          <w:rFonts w:ascii="Times New Roman" w:eastAsia="Times New Roman" w:hAnsi="Times New Roman" w:cs="Times New Roman"/>
          <w:sz w:val="24"/>
          <w:szCs w:val="24"/>
        </w:rPr>
        <w:t> </w:t>
      </w:r>
      <w:r w:rsidRPr="00A07F29">
        <w:rPr>
          <w:rFonts w:ascii="Times New Roman" w:eastAsia="Times New Roman" w:hAnsi="Times New Roman" w:cs="Times New Roman"/>
          <w:sz w:val="24"/>
          <w:szCs w:val="24"/>
        </w:rPr>
        <w:t xml:space="preserve">AAA “Augšdaugava” tūrisma objektu </w:t>
      </w:r>
      <w:r w:rsidR="00B168F7">
        <w:rPr>
          <w:rFonts w:ascii="Times New Roman" w:eastAsia="Times New Roman" w:hAnsi="Times New Roman" w:cs="Times New Roman"/>
          <w:sz w:val="24"/>
          <w:szCs w:val="24"/>
        </w:rPr>
        <w:t>uzskaitījums</w:t>
      </w:r>
    </w:p>
    <w:p w14:paraId="3327ABAB" w14:textId="236BC674" w:rsidR="00242F95" w:rsidRPr="00A07F29" w:rsidRDefault="00242F95" w:rsidP="00242F95">
      <w:pPr>
        <w:spacing w:after="0" w:line="240" w:lineRule="auto"/>
        <w:rPr>
          <w:rFonts w:ascii="Times New Roman" w:eastAsia="Times New Roman" w:hAnsi="Times New Roman" w:cs="Times New Roman"/>
          <w:sz w:val="24"/>
          <w:szCs w:val="24"/>
        </w:rPr>
      </w:pPr>
      <w:r w:rsidRPr="00A07F29">
        <w:rPr>
          <w:rFonts w:ascii="Times New Roman" w:eastAsia="Times New Roman" w:hAnsi="Times New Roman" w:cs="Times New Roman"/>
          <w:sz w:val="24"/>
          <w:szCs w:val="24"/>
        </w:rPr>
        <w:t>3.9.</w:t>
      </w:r>
      <w:r w:rsidR="00F81A41">
        <w:rPr>
          <w:rFonts w:ascii="Times New Roman" w:eastAsia="Times New Roman" w:hAnsi="Times New Roman" w:cs="Times New Roman"/>
          <w:sz w:val="24"/>
          <w:szCs w:val="24"/>
        </w:rPr>
        <w:t> </w:t>
      </w:r>
      <w:r w:rsidRPr="00A07F29">
        <w:rPr>
          <w:rFonts w:ascii="Times New Roman" w:eastAsia="Times New Roman" w:hAnsi="Times New Roman" w:cs="Times New Roman"/>
          <w:sz w:val="24"/>
          <w:szCs w:val="24"/>
        </w:rPr>
        <w:t xml:space="preserve">AAA “Augšdaugava” tūrisma objektu </w:t>
      </w:r>
      <w:proofErr w:type="spellStart"/>
      <w:r w:rsidRPr="00A07F29">
        <w:rPr>
          <w:rFonts w:ascii="Times New Roman" w:eastAsia="Times New Roman" w:hAnsi="Times New Roman" w:cs="Times New Roman"/>
          <w:sz w:val="24"/>
          <w:szCs w:val="24"/>
        </w:rPr>
        <w:t>izvērtējums</w:t>
      </w:r>
      <w:proofErr w:type="spellEnd"/>
    </w:p>
    <w:p w14:paraId="13F19A16" w14:textId="08780501" w:rsidR="00242F95" w:rsidRPr="00A07F29" w:rsidRDefault="00242F95" w:rsidP="00242F95">
      <w:pPr>
        <w:spacing w:after="0" w:line="240" w:lineRule="auto"/>
        <w:rPr>
          <w:rFonts w:ascii="Times New Roman" w:eastAsia="Times New Roman" w:hAnsi="Times New Roman" w:cs="Times New Roman"/>
          <w:sz w:val="24"/>
          <w:szCs w:val="24"/>
        </w:rPr>
      </w:pPr>
      <w:r w:rsidRPr="00A07F29">
        <w:rPr>
          <w:rFonts w:ascii="Times New Roman" w:eastAsia="Times New Roman" w:hAnsi="Times New Roman" w:cs="Times New Roman"/>
          <w:sz w:val="24"/>
          <w:szCs w:val="24"/>
        </w:rPr>
        <w:t>3.10.</w:t>
      </w:r>
      <w:r w:rsidR="00F81A41">
        <w:rPr>
          <w:rFonts w:ascii="Times New Roman" w:eastAsia="Times New Roman" w:hAnsi="Times New Roman" w:cs="Times New Roman"/>
          <w:sz w:val="24"/>
          <w:szCs w:val="24"/>
        </w:rPr>
        <w:t> </w:t>
      </w:r>
      <w:r w:rsidRPr="00A07F29">
        <w:rPr>
          <w:rFonts w:ascii="Times New Roman" w:eastAsia="Times New Roman" w:hAnsi="Times New Roman" w:cs="Times New Roman"/>
          <w:sz w:val="24"/>
          <w:szCs w:val="24"/>
        </w:rPr>
        <w:t>Tūrisma maršrutu saraksts</w:t>
      </w:r>
    </w:p>
    <w:p w14:paraId="36B1051A" w14:textId="52E6D831" w:rsidR="00242F95" w:rsidRPr="00A07F29" w:rsidRDefault="72CE51DA" w:rsidP="00242F95">
      <w:pPr>
        <w:spacing w:after="0" w:line="240" w:lineRule="auto"/>
        <w:rPr>
          <w:rFonts w:ascii="Times New Roman" w:eastAsia="Times New Roman" w:hAnsi="Times New Roman" w:cs="Times New Roman"/>
          <w:sz w:val="24"/>
          <w:szCs w:val="24"/>
        </w:rPr>
      </w:pPr>
      <w:r w:rsidRPr="00A07F29">
        <w:rPr>
          <w:rFonts w:ascii="Times New Roman" w:eastAsia="Times New Roman" w:hAnsi="Times New Roman" w:cs="Times New Roman"/>
          <w:sz w:val="24"/>
          <w:szCs w:val="24"/>
        </w:rPr>
        <w:t>3.11.</w:t>
      </w:r>
      <w:r w:rsidR="00F81A41">
        <w:rPr>
          <w:rFonts w:ascii="Times New Roman" w:eastAsia="Times New Roman" w:hAnsi="Times New Roman" w:cs="Times New Roman"/>
          <w:sz w:val="24"/>
          <w:szCs w:val="24"/>
        </w:rPr>
        <w:t> </w:t>
      </w:r>
      <w:r w:rsidRPr="00A07F29">
        <w:rPr>
          <w:rFonts w:ascii="Times New Roman" w:eastAsia="Times New Roman" w:hAnsi="Times New Roman" w:cs="Times New Roman"/>
          <w:sz w:val="24"/>
          <w:szCs w:val="24"/>
        </w:rPr>
        <w:t xml:space="preserve">Meliorācijas </w:t>
      </w:r>
      <w:r w:rsidR="001B74F7">
        <w:rPr>
          <w:rFonts w:ascii="Times New Roman" w:eastAsia="Times New Roman" w:hAnsi="Times New Roman" w:cs="Times New Roman"/>
          <w:sz w:val="24"/>
          <w:szCs w:val="24"/>
        </w:rPr>
        <w:t>grāvju izvietojums</w:t>
      </w:r>
      <w:r w:rsidRPr="00A07F29">
        <w:rPr>
          <w:rFonts w:ascii="Times New Roman" w:eastAsia="Times New Roman" w:hAnsi="Times New Roman" w:cs="Times New Roman"/>
          <w:sz w:val="24"/>
          <w:szCs w:val="24"/>
        </w:rPr>
        <w:t xml:space="preserve"> AAA “Augšdaugava”</w:t>
      </w:r>
    </w:p>
    <w:p w14:paraId="401D7862" w14:textId="1F393614" w:rsidR="00242F95" w:rsidRPr="00A07F29" w:rsidRDefault="00242F95" w:rsidP="00242F95">
      <w:pPr>
        <w:spacing w:after="0" w:line="240" w:lineRule="auto"/>
        <w:rPr>
          <w:rFonts w:ascii="Times New Roman" w:eastAsia="Times New Roman" w:hAnsi="Times New Roman" w:cs="Times New Roman"/>
          <w:sz w:val="24"/>
          <w:szCs w:val="24"/>
        </w:rPr>
      </w:pPr>
      <w:r w:rsidRPr="00A07F29">
        <w:rPr>
          <w:rFonts w:ascii="Times New Roman" w:eastAsia="Times New Roman" w:hAnsi="Times New Roman" w:cs="Times New Roman"/>
          <w:sz w:val="24"/>
          <w:szCs w:val="24"/>
        </w:rPr>
        <w:t>4.1.</w:t>
      </w:r>
      <w:r w:rsidR="00F81A41">
        <w:rPr>
          <w:rFonts w:ascii="Times New Roman" w:eastAsia="Times New Roman" w:hAnsi="Times New Roman" w:cs="Times New Roman"/>
          <w:sz w:val="24"/>
          <w:szCs w:val="24"/>
        </w:rPr>
        <w:t> </w:t>
      </w:r>
      <w:r w:rsidR="00C32A11">
        <w:rPr>
          <w:rFonts w:ascii="Times New Roman" w:eastAsia="Times New Roman" w:hAnsi="Times New Roman" w:cs="Times New Roman"/>
          <w:sz w:val="24"/>
          <w:szCs w:val="24"/>
        </w:rPr>
        <w:t>K</w:t>
      </w:r>
      <w:r w:rsidRPr="00A07F29">
        <w:rPr>
          <w:rFonts w:ascii="Times New Roman" w:eastAsia="Times New Roman" w:hAnsi="Times New Roman" w:cs="Times New Roman"/>
          <w:sz w:val="24"/>
          <w:szCs w:val="24"/>
        </w:rPr>
        <w:t xml:space="preserve">ultūras pieminekļu </w:t>
      </w:r>
      <w:proofErr w:type="spellStart"/>
      <w:r w:rsidRPr="00A07F29">
        <w:rPr>
          <w:rFonts w:ascii="Times New Roman" w:eastAsia="Times New Roman" w:hAnsi="Times New Roman" w:cs="Times New Roman"/>
          <w:sz w:val="24"/>
          <w:szCs w:val="24"/>
        </w:rPr>
        <w:t>izvērtējums</w:t>
      </w:r>
      <w:proofErr w:type="spellEnd"/>
      <w:r w:rsidR="00C32A11" w:rsidRPr="00C32A11">
        <w:rPr>
          <w:rFonts w:ascii="Times New Roman" w:eastAsia="Times New Roman" w:hAnsi="Times New Roman" w:cs="Times New Roman"/>
          <w:sz w:val="24"/>
          <w:szCs w:val="24"/>
        </w:rPr>
        <w:t xml:space="preserve"> </w:t>
      </w:r>
      <w:r w:rsidR="00C32A11" w:rsidRPr="00A07F29">
        <w:rPr>
          <w:rFonts w:ascii="Times New Roman" w:eastAsia="Times New Roman" w:hAnsi="Times New Roman" w:cs="Times New Roman"/>
          <w:sz w:val="24"/>
          <w:szCs w:val="24"/>
        </w:rPr>
        <w:t>AAA “Augšdaugava”</w:t>
      </w:r>
    </w:p>
    <w:p w14:paraId="45A01B72" w14:textId="506B4B2D" w:rsidR="00242F95" w:rsidRPr="00A07F29" w:rsidRDefault="00242F95" w:rsidP="00242F95">
      <w:pPr>
        <w:spacing w:after="0" w:line="240" w:lineRule="auto"/>
        <w:rPr>
          <w:rFonts w:ascii="Times New Roman" w:eastAsia="Times New Roman" w:hAnsi="Times New Roman" w:cs="Times New Roman"/>
          <w:sz w:val="24"/>
          <w:szCs w:val="24"/>
        </w:rPr>
      </w:pPr>
      <w:r w:rsidRPr="00A07F29">
        <w:rPr>
          <w:rFonts w:ascii="Times New Roman" w:eastAsia="Times New Roman" w:hAnsi="Times New Roman" w:cs="Times New Roman"/>
          <w:sz w:val="24"/>
          <w:szCs w:val="24"/>
        </w:rPr>
        <w:t>4.2.</w:t>
      </w:r>
      <w:r w:rsidR="00F81A41">
        <w:rPr>
          <w:rFonts w:ascii="Times New Roman" w:eastAsia="Times New Roman" w:hAnsi="Times New Roman" w:cs="Times New Roman"/>
          <w:sz w:val="24"/>
          <w:szCs w:val="24"/>
        </w:rPr>
        <w:t> </w:t>
      </w:r>
      <w:r w:rsidRPr="00A07F29">
        <w:rPr>
          <w:rFonts w:ascii="Times New Roman" w:eastAsia="Times New Roman" w:hAnsi="Times New Roman" w:cs="Times New Roman"/>
          <w:sz w:val="24"/>
          <w:szCs w:val="24"/>
        </w:rPr>
        <w:t>AAA “Augšdaugava” ainavu struktūrplāns</w:t>
      </w:r>
    </w:p>
    <w:p w14:paraId="2A49C812" w14:textId="29F49763" w:rsidR="00242F95" w:rsidRPr="00A07F29" w:rsidRDefault="00242F95" w:rsidP="00242F95">
      <w:pPr>
        <w:spacing w:after="0" w:line="240" w:lineRule="auto"/>
        <w:rPr>
          <w:rFonts w:ascii="Times New Roman" w:eastAsia="Times New Roman" w:hAnsi="Times New Roman" w:cs="Times New Roman"/>
          <w:sz w:val="24"/>
          <w:szCs w:val="24"/>
        </w:rPr>
      </w:pPr>
      <w:r w:rsidRPr="00A07F29">
        <w:rPr>
          <w:rFonts w:ascii="Times New Roman" w:eastAsia="Times New Roman" w:hAnsi="Times New Roman" w:cs="Times New Roman"/>
          <w:sz w:val="24"/>
          <w:szCs w:val="24"/>
        </w:rPr>
        <w:t>4.3.</w:t>
      </w:r>
      <w:r w:rsidR="00F81A41">
        <w:rPr>
          <w:rFonts w:ascii="Times New Roman" w:eastAsia="Times New Roman" w:hAnsi="Times New Roman" w:cs="Times New Roman"/>
          <w:sz w:val="24"/>
          <w:szCs w:val="24"/>
        </w:rPr>
        <w:t> </w:t>
      </w:r>
      <w:r w:rsidRPr="00A07F29">
        <w:rPr>
          <w:rFonts w:ascii="Times New Roman" w:eastAsia="Times New Roman" w:hAnsi="Times New Roman" w:cs="Times New Roman"/>
          <w:sz w:val="24"/>
          <w:szCs w:val="24"/>
        </w:rPr>
        <w:t>AAA “Augšdaugava” ainaviski nozīmīg</w:t>
      </w:r>
      <w:r w:rsidR="00960644">
        <w:rPr>
          <w:rFonts w:ascii="Times New Roman" w:eastAsia="Times New Roman" w:hAnsi="Times New Roman" w:cs="Times New Roman"/>
          <w:sz w:val="24"/>
          <w:szCs w:val="24"/>
        </w:rPr>
        <w:t>o</w:t>
      </w:r>
      <w:r w:rsidRPr="00A07F29">
        <w:rPr>
          <w:rFonts w:ascii="Times New Roman" w:eastAsia="Times New Roman" w:hAnsi="Times New Roman" w:cs="Times New Roman"/>
          <w:sz w:val="24"/>
          <w:szCs w:val="24"/>
        </w:rPr>
        <w:t xml:space="preserve"> objekt</w:t>
      </w:r>
      <w:r w:rsidR="00960644">
        <w:rPr>
          <w:rFonts w:ascii="Times New Roman" w:eastAsia="Times New Roman" w:hAnsi="Times New Roman" w:cs="Times New Roman"/>
          <w:sz w:val="24"/>
          <w:szCs w:val="24"/>
        </w:rPr>
        <w:t>u karte</w:t>
      </w:r>
    </w:p>
    <w:p w14:paraId="6B8D2457" w14:textId="3A4A3A15" w:rsidR="00242F95" w:rsidRPr="00A07F29" w:rsidRDefault="00242F95" w:rsidP="00242F95">
      <w:pPr>
        <w:spacing w:after="0" w:line="240" w:lineRule="auto"/>
        <w:rPr>
          <w:rFonts w:ascii="Times New Roman" w:eastAsia="Times New Roman" w:hAnsi="Times New Roman" w:cs="Times New Roman"/>
          <w:sz w:val="24"/>
          <w:szCs w:val="24"/>
        </w:rPr>
      </w:pPr>
      <w:r w:rsidRPr="00A07F29">
        <w:rPr>
          <w:rFonts w:ascii="Times New Roman" w:eastAsia="Times New Roman" w:hAnsi="Times New Roman" w:cs="Times New Roman"/>
          <w:sz w:val="24"/>
          <w:szCs w:val="24"/>
        </w:rPr>
        <w:t>4.4.</w:t>
      </w:r>
      <w:r w:rsidR="00F81A41">
        <w:rPr>
          <w:rFonts w:ascii="Times New Roman" w:eastAsia="Times New Roman" w:hAnsi="Times New Roman" w:cs="Times New Roman"/>
          <w:sz w:val="24"/>
          <w:szCs w:val="24"/>
        </w:rPr>
        <w:t> </w:t>
      </w:r>
      <w:r w:rsidRPr="00A07F29">
        <w:rPr>
          <w:rFonts w:ascii="Times New Roman" w:eastAsia="Times New Roman" w:hAnsi="Times New Roman" w:cs="Times New Roman"/>
          <w:sz w:val="24"/>
          <w:szCs w:val="24"/>
        </w:rPr>
        <w:t>E</w:t>
      </w:r>
      <w:r w:rsidR="00D32713">
        <w:rPr>
          <w:rFonts w:ascii="Times New Roman" w:eastAsia="Times New Roman" w:hAnsi="Times New Roman" w:cs="Times New Roman"/>
          <w:sz w:val="24"/>
          <w:szCs w:val="24"/>
        </w:rPr>
        <w:t>S</w:t>
      </w:r>
      <w:r w:rsidRPr="00A07F29">
        <w:rPr>
          <w:rFonts w:ascii="Times New Roman" w:eastAsia="Times New Roman" w:hAnsi="Times New Roman" w:cs="Times New Roman"/>
          <w:sz w:val="24"/>
          <w:szCs w:val="24"/>
        </w:rPr>
        <w:t xml:space="preserve"> nozīmes aizsargājamo biotopu izvietojuma kartogrāfisks attēlojums</w:t>
      </w:r>
    </w:p>
    <w:p w14:paraId="20B81A97" w14:textId="26130394" w:rsidR="00242F95" w:rsidRPr="00A07F29" w:rsidRDefault="00242F95" w:rsidP="00242F95">
      <w:pPr>
        <w:spacing w:after="0" w:line="240" w:lineRule="auto"/>
        <w:rPr>
          <w:rFonts w:ascii="Times New Roman" w:eastAsia="Times New Roman" w:hAnsi="Times New Roman" w:cs="Times New Roman"/>
          <w:sz w:val="24"/>
          <w:szCs w:val="24"/>
        </w:rPr>
      </w:pPr>
      <w:r w:rsidRPr="00A07F29">
        <w:rPr>
          <w:rFonts w:ascii="Times New Roman" w:eastAsia="Times New Roman" w:hAnsi="Times New Roman" w:cs="Times New Roman"/>
          <w:sz w:val="24"/>
          <w:szCs w:val="24"/>
        </w:rPr>
        <w:t>4.5.</w:t>
      </w:r>
      <w:r w:rsidR="00F81A41">
        <w:rPr>
          <w:rFonts w:ascii="Times New Roman" w:eastAsia="Times New Roman" w:hAnsi="Times New Roman" w:cs="Times New Roman"/>
          <w:sz w:val="24"/>
          <w:szCs w:val="24"/>
        </w:rPr>
        <w:t> </w:t>
      </w:r>
      <w:r w:rsidRPr="00A07F29">
        <w:rPr>
          <w:rFonts w:ascii="Times New Roman" w:eastAsia="Times New Roman" w:hAnsi="Times New Roman" w:cs="Times New Roman"/>
          <w:sz w:val="24"/>
          <w:szCs w:val="24"/>
        </w:rPr>
        <w:t>Retas un aizsargājamas augu sugas AAA “Augšdaugava”</w:t>
      </w:r>
    </w:p>
    <w:p w14:paraId="51E0C56E" w14:textId="5373C458" w:rsidR="00242F95" w:rsidRPr="00A07F29" w:rsidRDefault="00242F95" w:rsidP="00242F95">
      <w:pPr>
        <w:spacing w:after="0" w:line="240" w:lineRule="auto"/>
        <w:rPr>
          <w:rFonts w:ascii="Times New Roman" w:eastAsia="Times New Roman" w:hAnsi="Times New Roman" w:cs="Times New Roman"/>
          <w:sz w:val="24"/>
          <w:szCs w:val="24"/>
        </w:rPr>
      </w:pPr>
      <w:r w:rsidRPr="00A07F29">
        <w:rPr>
          <w:rFonts w:ascii="Times New Roman" w:eastAsia="Times New Roman" w:hAnsi="Times New Roman" w:cs="Times New Roman"/>
          <w:sz w:val="24"/>
          <w:szCs w:val="24"/>
        </w:rPr>
        <w:t>4.6.</w:t>
      </w:r>
      <w:r w:rsidR="00F81A41">
        <w:rPr>
          <w:rFonts w:ascii="Times New Roman" w:eastAsia="Times New Roman" w:hAnsi="Times New Roman" w:cs="Times New Roman"/>
          <w:sz w:val="24"/>
          <w:szCs w:val="24"/>
        </w:rPr>
        <w:t> </w:t>
      </w:r>
      <w:r w:rsidRPr="00A07F29">
        <w:rPr>
          <w:rFonts w:ascii="Times New Roman" w:eastAsia="Times New Roman" w:hAnsi="Times New Roman" w:cs="Times New Roman"/>
          <w:sz w:val="24"/>
          <w:szCs w:val="24"/>
        </w:rPr>
        <w:t>Retas un aizsargājamas ķērpju</w:t>
      </w:r>
      <w:r w:rsidR="00A40EFA">
        <w:rPr>
          <w:rFonts w:ascii="Times New Roman" w:eastAsia="Times New Roman" w:hAnsi="Times New Roman" w:cs="Times New Roman"/>
          <w:sz w:val="24"/>
          <w:szCs w:val="24"/>
        </w:rPr>
        <w:t>, sēņu un sūnu</w:t>
      </w:r>
      <w:r w:rsidRPr="00A07F29">
        <w:rPr>
          <w:rFonts w:ascii="Times New Roman" w:eastAsia="Times New Roman" w:hAnsi="Times New Roman" w:cs="Times New Roman"/>
          <w:sz w:val="24"/>
          <w:szCs w:val="24"/>
        </w:rPr>
        <w:t xml:space="preserve"> sugas AAA “Augšdaugava”</w:t>
      </w:r>
    </w:p>
    <w:p w14:paraId="3702FE1B" w14:textId="0BF46FD7" w:rsidR="00242F95" w:rsidRPr="00A07F29" w:rsidRDefault="00242F95" w:rsidP="00242F95">
      <w:pPr>
        <w:spacing w:after="0" w:line="240" w:lineRule="auto"/>
        <w:rPr>
          <w:rFonts w:ascii="Times New Roman" w:eastAsia="Times New Roman" w:hAnsi="Times New Roman" w:cs="Times New Roman"/>
          <w:sz w:val="24"/>
          <w:szCs w:val="24"/>
        </w:rPr>
      </w:pPr>
      <w:r w:rsidRPr="00A07F29">
        <w:rPr>
          <w:rFonts w:ascii="Times New Roman" w:eastAsia="Times New Roman" w:hAnsi="Times New Roman" w:cs="Times New Roman"/>
          <w:sz w:val="24"/>
          <w:szCs w:val="24"/>
        </w:rPr>
        <w:t>4.7.</w:t>
      </w:r>
      <w:r w:rsidR="00F81A41">
        <w:rPr>
          <w:rFonts w:ascii="Times New Roman" w:eastAsia="Times New Roman" w:hAnsi="Times New Roman" w:cs="Times New Roman"/>
          <w:sz w:val="24"/>
          <w:szCs w:val="24"/>
        </w:rPr>
        <w:t> </w:t>
      </w:r>
      <w:r w:rsidRPr="00A07F29">
        <w:rPr>
          <w:rFonts w:ascii="Times New Roman" w:eastAsia="Times New Roman" w:hAnsi="Times New Roman" w:cs="Times New Roman"/>
          <w:sz w:val="24"/>
          <w:szCs w:val="24"/>
        </w:rPr>
        <w:t xml:space="preserve">Aizsargājamas un citādi vērtīgas </w:t>
      </w:r>
      <w:r w:rsidR="008E374E">
        <w:rPr>
          <w:rFonts w:ascii="Times New Roman" w:eastAsia="Times New Roman" w:hAnsi="Times New Roman" w:cs="Times New Roman"/>
          <w:sz w:val="24"/>
          <w:szCs w:val="24"/>
        </w:rPr>
        <w:t>bezmugurkaulnieku</w:t>
      </w:r>
      <w:r w:rsidRPr="00A07F29">
        <w:rPr>
          <w:rFonts w:ascii="Times New Roman" w:eastAsia="Times New Roman" w:hAnsi="Times New Roman" w:cs="Times New Roman"/>
          <w:sz w:val="24"/>
          <w:szCs w:val="24"/>
        </w:rPr>
        <w:t xml:space="preserve"> sugas AAA “Augšdaugava”</w:t>
      </w:r>
    </w:p>
    <w:p w14:paraId="08DB0FEE" w14:textId="4D4C01C9" w:rsidR="00242F95" w:rsidRPr="00A07F29" w:rsidRDefault="00242F95" w:rsidP="00242F95">
      <w:pPr>
        <w:spacing w:after="0" w:line="240" w:lineRule="auto"/>
        <w:rPr>
          <w:rFonts w:ascii="Times New Roman" w:eastAsia="Times New Roman" w:hAnsi="Times New Roman" w:cs="Times New Roman"/>
          <w:sz w:val="24"/>
          <w:szCs w:val="24"/>
        </w:rPr>
      </w:pPr>
      <w:r w:rsidRPr="00A07F29">
        <w:rPr>
          <w:rFonts w:ascii="Times New Roman" w:eastAsia="Times New Roman" w:hAnsi="Times New Roman" w:cs="Times New Roman"/>
          <w:sz w:val="24"/>
          <w:szCs w:val="24"/>
        </w:rPr>
        <w:t>4.8.</w:t>
      </w:r>
      <w:r w:rsidR="00F81A41">
        <w:rPr>
          <w:rFonts w:ascii="Times New Roman" w:eastAsia="Times New Roman" w:hAnsi="Times New Roman" w:cs="Times New Roman"/>
          <w:sz w:val="24"/>
          <w:szCs w:val="24"/>
        </w:rPr>
        <w:t> </w:t>
      </w:r>
      <w:r w:rsidRPr="00A07F29">
        <w:rPr>
          <w:rFonts w:ascii="Times New Roman" w:eastAsia="Times New Roman" w:hAnsi="Times New Roman" w:cs="Times New Roman"/>
          <w:sz w:val="24"/>
          <w:szCs w:val="24"/>
        </w:rPr>
        <w:t xml:space="preserve">Aizsargājamas un citādi vērtīgas </w:t>
      </w:r>
      <w:r w:rsidR="006E315C">
        <w:rPr>
          <w:rFonts w:ascii="Times New Roman" w:eastAsia="Times New Roman" w:hAnsi="Times New Roman" w:cs="Times New Roman"/>
          <w:sz w:val="24"/>
          <w:szCs w:val="24"/>
        </w:rPr>
        <w:t>molusku</w:t>
      </w:r>
      <w:r w:rsidRPr="00A07F29">
        <w:rPr>
          <w:rFonts w:ascii="Times New Roman" w:eastAsia="Times New Roman" w:hAnsi="Times New Roman" w:cs="Times New Roman"/>
          <w:sz w:val="24"/>
          <w:szCs w:val="24"/>
        </w:rPr>
        <w:t xml:space="preserve"> sugas AAA “Augšdaugava”</w:t>
      </w:r>
    </w:p>
    <w:p w14:paraId="56FEC0D3" w14:textId="3D7577CC" w:rsidR="00242F95" w:rsidRPr="00A07F29" w:rsidRDefault="00242F95" w:rsidP="00242F95">
      <w:pPr>
        <w:spacing w:after="0" w:line="240" w:lineRule="auto"/>
        <w:rPr>
          <w:rFonts w:ascii="Times New Roman" w:eastAsia="Times New Roman" w:hAnsi="Times New Roman" w:cs="Times New Roman"/>
          <w:sz w:val="24"/>
          <w:szCs w:val="24"/>
        </w:rPr>
      </w:pPr>
      <w:r w:rsidRPr="00A07F29">
        <w:rPr>
          <w:rFonts w:ascii="Times New Roman" w:eastAsia="Times New Roman" w:hAnsi="Times New Roman" w:cs="Times New Roman"/>
          <w:sz w:val="24"/>
          <w:szCs w:val="24"/>
        </w:rPr>
        <w:t>4.9.</w:t>
      </w:r>
      <w:r w:rsidR="00F81A41">
        <w:rPr>
          <w:rFonts w:ascii="Times New Roman" w:eastAsia="Times New Roman" w:hAnsi="Times New Roman" w:cs="Times New Roman"/>
          <w:sz w:val="24"/>
          <w:szCs w:val="24"/>
        </w:rPr>
        <w:t> </w:t>
      </w:r>
      <w:r w:rsidRPr="00A07F29">
        <w:rPr>
          <w:rFonts w:ascii="Times New Roman" w:eastAsia="Times New Roman" w:hAnsi="Times New Roman" w:cs="Times New Roman"/>
          <w:sz w:val="24"/>
          <w:szCs w:val="24"/>
        </w:rPr>
        <w:t>Aizsargājamas un citādi vērtīgas abinieku un rāpuļu sugas AAA “Augšdaugava”</w:t>
      </w:r>
    </w:p>
    <w:p w14:paraId="063854AB" w14:textId="2E4211B6" w:rsidR="00242F95" w:rsidRPr="00A07F29" w:rsidRDefault="00242F95" w:rsidP="00242F95">
      <w:pPr>
        <w:spacing w:after="0" w:line="240" w:lineRule="auto"/>
        <w:rPr>
          <w:rFonts w:ascii="Times New Roman" w:eastAsia="Times New Roman" w:hAnsi="Times New Roman" w:cs="Times New Roman"/>
          <w:sz w:val="24"/>
          <w:szCs w:val="24"/>
        </w:rPr>
      </w:pPr>
      <w:r w:rsidRPr="00A07F29">
        <w:rPr>
          <w:rFonts w:ascii="Times New Roman" w:eastAsia="Times New Roman" w:hAnsi="Times New Roman" w:cs="Times New Roman"/>
          <w:sz w:val="24"/>
          <w:szCs w:val="24"/>
        </w:rPr>
        <w:t>4.10.</w:t>
      </w:r>
      <w:r w:rsidR="00F81A41">
        <w:rPr>
          <w:rFonts w:ascii="Times New Roman" w:eastAsia="Times New Roman" w:hAnsi="Times New Roman" w:cs="Times New Roman"/>
          <w:sz w:val="24"/>
          <w:szCs w:val="24"/>
        </w:rPr>
        <w:t> </w:t>
      </w:r>
      <w:r w:rsidRPr="00A07F29">
        <w:rPr>
          <w:rFonts w:ascii="Times New Roman" w:eastAsia="Times New Roman" w:hAnsi="Times New Roman" w:cs="Times New Roman"/>
          <w:sz w:val="24"/>
          <w:szCs w:val="24"/>
        </w:rPr>
        <w:t>Retas un aizsargājamas putnu sugas AAA “Augšdaugava”</w:t>
      </w:r>
    </w:p>
    <w:p w14:paraId="3A14DAD2" w14:textId="31898A2E" w:rsidR="00242F95" w:rsidRPr="00A07F29" w:rsidRDefault="00242F95" w:rsidP="00242F95">
      <w:pPr>
        <w:spacing w:after="0" w:line="240" w:lineRule="auto"/>
        <w:rPr>
          <w:rFonts w:ascii="Times New Roman" w:eastAsia="Times New Roman" w:hAnsi="Times New Roman" w:cs="Times New Roman"/>
          <w:sz w:val="24"/>
          <w:szCs w:val="24"/>
        </w:rPr>
      </w:pPr>
      <w:r w:rsidRPr="00A07F29">
        <w:rPr>
          <w:rFonts w:ascii="Times New Roman" w:eastAsia="Times New Roman" w:hAnsi="Times New Roman" w:cs="Times New Roman"/>
          <w:sz w:val="24"/>
          <w:szCs w:val="24"/>
        </w:rPr>
        <w:t>4.11.</w:t>
      </w:r>
      <w:r w:rsidR="00F81A41">
        <w:rPr>
          <w:rFonts w:ascii="Times New Roman" w:eastAsia="Times New Roman" w:hAnsi="Times New Roman" w:cs="Times New Roman"/>
          <w:sz w:val="24"/>
          <w:szCs w:val="24"/>
        </w:rPr>
        <w:t> </w:t>
      </w:r>
      <w:r w:rsidRPr="00A07F29">
        <w:rPr>
          <w:rFonts w:ascii="Times New Roman" w:eastAsia="Times New Roman" w:hAnsi="Times New Roman" w:cs="Times New Roman"/>
          <w:sz w:val="24"/>
          <w:szCs w:val="24"/>
        </w:rPr>
        <w:t>Sikspārņu sugas AAA “Augšdaugava”</w:t>
      </w:r>
    </w:p>
    <w:p w14:paraId="4D1B74B1" w14:textId="03EE33C2" w:rsidR="00242F95" w:rsidRDefault="00242F95" w:rsidP="00242F95">
      <w:pPr>
        <w:spacing w:after="0" w:line="240" w:lineRule="auto"/>
        <w:rPr>
          <w:rFonts w:ascii="Times New Roman" w:eastAsia="Times New Roman" w:hAnsi="Times New Roman" w:cs="Times New Roman"/>
          <w:sz w:val="24"/>
          <w:szCs w:val="24"/>
        </w:rPr>
      </w:pPr>
      <w:r w:rsidRPr="00A07F29">
        <w:rPr>
          <w:rFonts w:ascii="Times New Roman" w:eastAsia="Times New Roman" w:hAnsi="Times New Roman" w:cs="Times New Roman"/>
          <w:sz w:val="24"/>
          <w:szCs w:val="24"/>
        </w:rPr>
        <w:t>4.12.</w:t>
      </w:r>
      <w:r w:rsidR="00F81A41">
        <w:rPr>
          <w:rFonts w:ascii="Times New Roman" w:eastAsia="Times New Roman" w:hAnsi="Times New Roman" w:cs="Times New Roman"/>
          <w:sz w:val="24"/>
          <w:szCs w:val="24"/>
        </w:rPr>
        <w:t> </w:t>
      </w:r>
      <w:r w:rsidRPr="00A07F29">
        <w:rPr>
          <w:rFonts w:ascii="Times New Roman" w:eastAsia="Times New Roman" w:hAnsi="Times New Roman" w:cs="Times New Roman"/>
          <w:sz w:val="24"/>
          <w:szCs w:val="24"/>
        </w:rPr>
        <w:t xml:space="preserve">Ģeoloģiskie un </w:t>
      </w:r>
      <w:proofErr w:type="spellStart"/>
      <w:r w:rsidRPr="00A07F29">
        <w:rPr>
          <w:rFonts w:ascii="Times New Roman" w:eastAsia="Times New Roman" w:hAnsi="Times New Roman" w:cs="Times New Roman"/>
          <w:sz w:val="24"/>
          <w:szCs w:val="24"/>
        </w:rPr>
        <w:t>ģeomorfoloģiskie</w:t>
      </w:r>
      <w:proofErr w:type="spellEnd"/>
      <w:r w:rsidRPr="00A07F29">
        <w:rPr>
          <w:rFonts w:ascii="Times New Roman" w:eastAsia="Times New Roman" w:hAnsi="Times New Roman" w:cs="Times New Roman"/>
          <w:sz w:val="24"/>
          <w:szCs w:val="24"/>
        </w:rPr>
        <w:t xml:space="preserve"> dabas veidojumi AAA </w:t>
      </w:r>
      <w:r w:rsidR="00F81A41">
        <w:rPr>
          <w:rFonts w:ascii="Times New Roman" w:eastAsia="Times New Roman" w:hAnsi="Times New Roman" w:cs="Times New Roman"/>
          <w:sz w:val="24"/>
          <w:szCs w:val="24"/>
        </w:rPr>
        <w:t>“</w:t>
      </w:r>
      <w:r w:rsidRPr="00A07F29">
        <w:rPr>
          <w:rFonts w:ascii="Times New Roman" w:eastAsia="Times New Roman" w:hAnsi="Times New Roman" w:cs="Times New Roman"/>
          <w:sz w:val="24"/>
          <w:szCs w:val="24"/>
        </w:rPr>
        <w:t>Augšdaugava” teritorijā</w:t>
      </w:r>
    </w:p>
    <w:p w14:paraId="1EE445E9" w14:textId="7BF51D8B" w:rsidR="00C47BFB" w:rsidRPr="00A07F29" w:rsidRDefault="00C47BFB" w:rsidP="00242F9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4.13. </w:t>
      </w:r>
      <w:r w:rsidR="00BE0D3C">
        <w:rPr>
          <w:rFonts w:ascii="Times New Roman" w:eastAsia="Times New Roman" w:hAnsi="Times New Roman" w:cs="Times New Roman"/>
          <w:sz w:val="24"/>
          <w:szCs w:val="24"/>
        </w:rPr>
        <w:t>Aizsargājamie dabas pieminekļi un mikroliegumi AAA “Augšdaugava”</w:t>
      </w:r>
    </w:p>
    <w:p w14:paraId="3158924D" w14:textId="64BA1080" w:rsidR="00242F95" w:rsidRDefault="00242F95" w:rsidP="00242F95">
      <w:pPr>
        <w:spacing w:after="0" w:line="240" w:lineRule="auto"/>
        <w:rPr>
          <w:rFonts w:ascii="Times New Roman" w:eastAsia="Times New Roman" w:hAnsi="Times New Roman" w:cs="Times New Roman"/>
          <w:sz w:val="24"/>
          <w:szCs w:val="24"/>
        </w:rPr>
      </w:pPr>
      <w:r w:rsidRPr="00A07F29">
        <w:rPr>
          <w:rFonts w:ascii="Times New Roman" w:eastAsia="Times New Roman" w:hAnsi="Times New Roman" w:cs="Times New Roman"/>
          <w:sz w:val="24"/>
          <w:szCs w:val="24"/>
        </w:rPr>
        <w:t>5.1.1.</w:t>
      </w:r>
      <w:r w:rsidR="00AB1103">
        <w:rPr>
          <w:rFonts w:ascii="Times New Roman" w:eastAsia="Times New Roman" w:hAnsi="Times New Roman" w:cs="Times New Roman"/>
          <w:sz w:val="24"/>
          <w:szCs w:val="24"/>
        </w:rPr>
        <w:t> </w:t>
      </w:r>
      <w:r w:rsidRPr="00A07F29">
        <w:rPr>
          <w:rFonts w:ascii="Times New Roman" w:eastAsia="Times New Roman" w:hAnsi="Times New Roman" w:cs="Times New Roman"/>
          <w:sz w:val="24"/>
          <w:szCs w:val="24"/>
        </w:rPr>
        <w:t xml:space="preserve">AAA “Augšdaugava” plānotie Apsaimniekošanas pasākumi </w:t>
      </w:r>
    </w:p>
    <w:p w14:paraId="4D6D2B8B" w14:textId="202A0FF2" w:rsidR="00456C9A" w:rsidRPr="00A07F29" w:rsidRDefault="00456C9A" w:rsidP="00242F9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5.1.1a</w:t>
      </w:r>
      <w:r w:rsidR="006D0A8D">
        <w:rPr>
          <w:rFonts w:ascii="Times New Roman" w:eastAsia="Times New Roman" w:hAnsi="Times New Roman" w:cs="Times New Roman"/>
          <w:sz w:val="24"/>
          <w:szCs w:val="24"/>
        </w:rPr>
        <w:t>. </w:t>
      </w:r>
      <w:r w:rsidR="006D0A8D" w:rsidRPr="006D0A8D">
        <w:rPr>
          <w:rFonts w:ascii="Times New Roman" w:eastAsia="Times New Roman" w:hAnsi="Times New Roman" w:cs="Times New Roman"/>
          <w:sz w:val="24"/>
          <w:szCs w:val="24"/>
        </w:rPr>
        <w:t>AAA “Augšdaugava” plānotie Apsaimniekošanas pasākumi</w:t>
      </w:r>
      <w:r w:rsidR="006D0A8D">
        <w:rPr>
          <w:rFonts w:ascii="Times New Roman" w:eastAsia="Times New Roman" w:hAnsi="Times New Roman" w:cs="Times New Roman"/>
          <w:sz w:val="24"/>
          <w:szCs w:val="24"/>
        </w:rPr>
        <w:t xml:space="preserve"> apzīmējumi</w:t>
      </w:r>
    </w:p>
    <w:p w14:paraId="2DF1724F" w14:textId="1D9C9403" w:rsidR="00242F95" w:rsidRDefault="00242F95" w:rsidP="00242F95">
      <w:pPr>
        <w:spacing w:after="0" w:line="240" w:lineRule="auto"/>
        <w:rPr>
          <w:rFonts w:ascii="Times New Roman" w:eastAsia="Times New Roman" w:hAnsi="Times New Roman" w:cs="Times New Roman"/>
          <w:sz w:val="24"/>
          <w:szCs w:val="24"/>
        </w:rPr>
      </w:pPr>
      <w:r w:rsidRPr="00A07F29">
        <w:rPr>
          <w:rFonts w:ascii="Times New Roman" w:eastAsia="Times New Roman" w:hAnsi="Times New Roman" w:cs="Times New Roman"/>
          <w:sz w:val="24"/>
          <w:szCs w:val="24"/>
        </w:rPr>
        <w:t>5.1.2.</w:t>
      </w:r>
      <w:bookmarkStart w:id="131" w:name="_Hlk191394060"/>
      <w:r w:rsidR="00AA1476">
        <w:rPr>
          <w:rFonts w:ascii="Times New Roman" w:eastAsia="Times New Roman" w:hAnsi="Times New Roman" w:cs="Times New Roman"/>
          <w:sz w:val="24"/>
          <w:szCs w:val="24"/>
        </w:rPr>
        <w:t> </w:t>
      </w:r>
      <w:r w:rsidRPr="00A07F29">
        <w:rPr>
          <w:rFonts w:ascii="Times New Roman" w:eastAsia="Times New Roman" w:hAnsi="Times New Roman" w:cs="Times New Roman"/>
          <w:sz w:val="24"/>
          <w:szCs w:val="24"/>
        </w:rPr>
        <w:t xml:space="preserve">AAA “Augšdaugava” </w:t>
      </w:r>
      <w:r w:rsidR="00955C11">
        <w:rPr>
          <w:rFonts w:ascii="Times New Roman" w:eastAsia="Times New Roman" w:hAnsi="Times New Roman" w:cs="Times New Roman"/>
          <w:sz w:val="24"/>
          <w:szCs w:val="24"/>
        </w:rPr>
        <w:t>apsaimniekošanas</w:t>
      </w:r>
      <w:r w:rsidR="0040583D">
        <w:rPr>
          <w:rFonts w:ascii="Times New Roman" w:eastAsia="Times New Roman" w:hAnsi="Times New Roman" w:cs="Times New Roman"/>
          <w:sz w:val="24"/>
          <w:szCs w:val="24"/>
        </w:rPr>
        <w:t xml:space="preserve"> pasākumu</w:t>
      </w:r>
      <w:r w:rsidRPr="00A07F29">
        <w:rPr>
          <w:rFonts w:ascii="Times New Roman" w:eastAsia="Times New Roman" w:hAnsi="Times New Roman" w:cs="Times New Roman"/>
          <w:sz w:val="24"/>
          <w:szCs w:val="24"/>
        </w:rPr>
        <w:t xml:space="preserve"> infrastruktūra</w:t>
      </w:r>
      <w:bookmarkEnd w:id="131"/>
    </w:p>
    <w:p w14:paraId="1D38E6CE" w14:textId="5B396C87" w:rsidR="00AA1476" w:rsidRPr="00A07F29" w:rsidRDefault="00AA1476" w:rsidP="00242F9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5.1.2a. </w:t>
      </w:r>
      <w:r w:rsidRPr="00AA1476">
        <w:rPr>
          <w:rFonts w:ascii="Times New Roman" w:eastAsia="Times New Roman" w:hAnsi="Times New Roman" w:cs="Times New Roman"/>
          <w:sz w:val="24"/>
          <w:szCs w:val="24"/>
        </w:rPr>
        <w:t xml:space="preserve">AAA “Augšdaugava” apsaimniekošanas pasākumu infrastruktūras </w:t>
      </w:r>
      <w:r>
        <w:rPr>
          <w:rFonts w:ascii="Times New Roman" w:eastAsia="Times New Roman" w:hAnsi="Times New Roman" w:cs="Times New Roman"/>
          <w:sz w:val="24"/>
          <w:szCs w:val="24"/>
        </w:rPr>
        <w:t>apzīmējumi</w:t>
      </w:r>
    </w:p>
    <w:p w14:paraId="22BB0E7A" w14:textId="0755C45F" w:rsidR="00242F95" w:rsidRPr="00A07F29" w:rsidRDefault="00242F95" w:rsidP="00242F95">
      <w:pPr>
        <w:spacing w:after="0" w:line="240" w:lineRule="auto"/>
        <w:rPr>
          <w:rFonts w:ascii="Times New Roman" w:eastAsia="Times New Roman" w:hAnsi="Times New Roman" w:cs="Times New Roman"/>
          <w:sz w:val="24"/>
          <w:szCs w:val="24"/>
        </w:rPr>
      </w:pPr>
      <w:r w:rsidRPr="00A07F29">
        <w:rPr>
          <w:rFonts w:ascii="Times New Roman" w:eastAsia="Times New Roman" w:hAnsi="Times New Roman" w:cs="Times New Roman"/>
          <w:sz w:val="24"/>
          <w:szCs w:val="24"/>
        </w:rPr>
        <w:t>5.2.</w:t>
      </w:r>
      <w:r w:rsidR="005A6ACC">
        <w:rPr>
          <w:rFonts w:ascii="Times New Roman" w:eastAsia="Times New Roman" w:hAnsi="Times New Roman" w:cs="Times New Roman"/>
          <w:sz w:val="24"/>
          <w:szCs w:val="24"/>
        </w:rPr>
        <w:t> </w:t>
      </w:r>
      <w:r w:rsidRPr="00A07F29">
        <w:rPr>
          <w:rFonts w:ascii="Times New Roman" w:eastAsia="Times New Roman" w:hAnsi="Times New Roman" w:cs="Times New Roman"/>
          <w:sz w:val="24"/>
          <w:szCs w:val="24"/>
        </w:rPr>
        <w:t>Ainavu apsaimniekošanas pasākumi</w:t>
      </w:r>
    </w:p>
    <w:p w14:paraId="4ED0AA65" w14:textId="63E0D007" w:rsidR="00242F95" w:rsidRPr="00A07F29" w:rsidRDefault="00242F95" w:rsidP="00242F95">
      <w:pPr>
        <w:spacing w:after="0" w:line="240" w:lineRule="auto"/>
        <w:rPr>
          <w:rFonts w:ascii="Times New Roman" w:eastAsia="Times New Roman" w:hAnsi="Times New Roman" w:cs="Times New Roman"/>
          <w:sz w:val="24"/>
          <w:szCs w:val="24"/>
        </w:rPr>
      </w:pPr>
      <w:r w:rsidRPr="00A07F29">
        <w:rPr>
          <w:rFonts w:ascii="Times New Roman" w:eastAsia="Times New Roman" w:hAnsi="Times New Roman" w:cs="Times New Roman"/>
          <w:sz w:val="24"/>
          <w:szCs w:val="24"/>
        </w:rPr>
        <w:t>6.</w:t>
      </w:r>
      <w:r w:rsidR="00CA28B1">
        <w:rPr>
          <w:rFonts w:ascii="Times New Roman" w:eastAsia="Times New Roman" w:hAnsi="Times New Roman" w:cs="Times New Roman"/>
          <w:sz w:val="24"/>
          <w:szCs w:val="24"/>
        </w:rPr>
        <w:t> </w:t>
      </w:r>
      <w:proofErr w:type="spellStart"/>
      <w:r w:rsidRPr="00A07F29">
        <w:rPr>
          <w:rFonts w:ascii="Times New Roman" w:eastAsia="Times New Roman" w:hAnsi="Times New Roman" w:cs="Times New Roman"/>
          <w:sz w:val="24"/>
          <w:szCs w:val="24"/>
        </w:rPr>
        <w:t>Funkcionāl</w:t>
      </w:r>
      <w:r w:rsidR="00CA28B1">
        <w:rPr>
          <w:rFonts w:ascii="Times New Roman" w:eastAsia="Times New Roman" w:hAnsi="Times New Roman" w:cs="Times New Roman"/>
          <w:sz w:val="24"/>
          <w:szCs w:val="24"/>
        </w:rPr>
        <w:t>aiz</w:t>
      </w:r>
      <w:proofErr w:type="spellEnd"/>
      <w:r w:rsidRPr="00A07F29">
        <w:rPr>
          <w:rFonts w:ascii="Times New Roman" w:eastAsia="Times New Roman" w:hAnsi="Times New Roman" w:cs="Times New Roman"/>
          <w:sz w:val="24"/>
          <w:szCs w:val="24"/>
        </w:rPr>
        <w:t xml:space="preserve"> zonējum</w:t>
      </w:r>
      <w:r w:rsidR="00CA28B1">
        <w:rPr>
          <w:rFonts w:ascii="Times New Roman" w:eastAsia="Times New Roman" w:hAnsi="Times New Roman" w:cs="Times New Roman"/>
          <w:sz w:val="24"/>
          <w:szCs w:val="24"/>
        </w:rPr>
        <w:t>s</w:t>
      </w:r>
    </w:p>
    <w:p w14:paraId="20626671" w14:textId="095C1AB0" w:rsidR="00DA086F" w:rsidRPr="00A07F29" w:rsidRDefault="006F0A98" w:rsidP="00242F95">
      <w:pPr>
        <w:spacing w:after="0" w:line="240" w:lineRule="auto"/>
        <w:rPr>
          <w:rFonts w:ascii="Times New Roman" w:eastAsia="Times New Roman" w:hAnsi="Times New Roman" w:cs="Times New Roman"/>
          <w:sz w:val="24"/>
          <w:szCs w:val="24"/>
        </w:rPr>
      </w:pPr>
      <w:r w:rsidRPr="00A07F29">
        <w:rPr>
          <w:rFonts w:ascii="Times New Roman" w:eastAsia="Times New Roman" w:hAnsi="Times New Roman" w:cs="Times New Roman"/>
          <w:sz w:val="24"/>
          <w:szCs w:val="24"/>
        </w:rPr>
        <w:t>7.1.</w:t>
      </w:r>
      <w:r w:rsidR="00C5701E">
        <w:rPr>
          <w:rFonts w:ascii="Times New Roman" w:eastAsia="Times New Roman" w:hAnsi="Times New Roman" w:cs="Times New Roman"/>
          <w:sz w:val="24"/>
          <w:szCs w:val="24"/>
        </w:rPr>
        <w:t> </w:t>
      </w:r>
      <w:r w:rsidR="00DA086F" w:rsidRPr="00A07F29">
        <w:rPr>
          <w:rFonts w:ascii="Times New Roman" w:eastAsia="Times New Roman" w:hAnsi="Times New Roman" w:cs="Times New Roman"/>
          <w:sz w:val="24"/>
          <w:szCs w:val="24"/>
        </w:rPr>
        <w:t xml:space="preserve">Pārskats par dabas aizsardzības plāna </w:t>
      </w:r>
      <w:r w:rsidR="00F032CE" w:rsidRPr="00A07F29">
        <w:rPr>
          <w:rFonts w:ascii="Times New Roman" w:eastAsia="Times New Roman" w:hAnsi="Times New Roman" w:cs="Times New Roman"/>
          <w:sz w:val="24"/>
          <w:szCs w:val="24"/>
        </w:rPr>
        <w:t>sabiedrisko apspriešanu</w:t>
      </w:r>
    </w:p>
    <w:p w14:paraId="00093410" w14:textId="7E1559A8" w:rsidR="006F0A98" w:rsidRPr="00A07F29" w:rsidRDefault="006F0A98" w:rsidP="00242F95">
      <w:pPr>
        <w:spacing w:after="0" w:line="240" w:lineRule="auto"/>
        <w:rPr>
          <w:rFonts w:ascii="Times New Roman" w:eastAsia="Times New Roman" w:hAnsi="Times New Roman" w:cs="Times New Roman"/>
          <w:sz w:val="24"/>
          <w:szCs w:val="24"/>
        </w:rPr>
      </w:pPr>
      <w:r w:rsidRPr="00A07F29">
        <w:rPr>
          <w:rFonts w:ascii="Times New Roman" w:eastAsia="Times New Roman" w:hAnsi="Times New Roman" w:cs="Times New Roman"/>
          <w:sz w:val="24"/>
          <w:szCs w:val="24"/>
        </w:rPr>
        <w:t>7.2.</w:t>
      </w:r>
      <w:r w:rsidR="00EC00AB">
        <w:rPr>
          <w:rFonts w:ascii="Times New Roman" w:eastAsia="Times New Roman" w:hAnsi="Times New Roman" w:cs="Times New Roman"/>
          <w:sz w:val="24"/>
          <w:szCs w:val="24"/>
        </w:rPr>
        <w:t> </w:t>
      </w:r>
      <w:r w:rsidRPr="00A07F29">
        <w:rPr>
          <w:rFonts w:ascii="Times New Roman" w:eastAsia="Times New Roman" w:hAnsi="Times New Roman" w:cs="Times New Roman"/>
          <w:sz w:val="24"/>
          <w:szCs w:val="24"/>
        </w:rPr>
        <w:t>Sabiedriskās apsprieša</w:t>
      </w:r>
      <w:r w:rsidR="00E06021" w:rsidRPr="00A07F29">
        <w:rPr>
          <w:rFonts w:ascii="Times New Roman" w:eastAsia="Times New Roman" w:hAnsi="Times New Roman" w:cs="Times New Roman"/>
          <w:sz w:val="24"/>
          <w:szCs w:val="24"/>
        </w:rPr>
        <w:t>nas laikā saņemt</w:t>
      </w:r>
      <w:r w:rsidR="00EE7AAF" w:rsidRPr="00A07F29">
        <w:rPr>
          <w:rFonts w:ascii="Times New Roman" w:eastAsia="Times New Roman" w:hAnsi="Times New Roman" w:cs="Times New Roman"/>
          <w:sz w:val="24"/>
          <w:szCs w:val="24"/>
        </w:rPr>
        <w:t>o</w:t>
      </w:r>
      <w:r w:rsidR="00E06021" w:rsidRPr="00A07F29">
        <w:rPr>
          <w:rFonts w:ascii="Times New Roman" w:eastAsia="Times New Roman" w:hAnsi="Times New Roman" w:cs="Times New Roman"/>
          <w:sz w:val="24"/>
          <w:szCs w:val="24"/>
        </w:rPr>
        <w:t xml:space="preserve"> priekšlikum</w:t>
      </w:r>
      <w:r w:rsidR="00EE7AAF" w:rsidRPr="00A07F29">
        <w:rPr>
          <w:rFonts w:ascii="Times New Roman" w:eastAsia="Times New Roman" w:hAnsi="Times New Roman" w:cs="Times New Roman"/>
          <w:sz w:val="24"/>
          <w:szCs w:val="24"/>
        </w:rPr>
        <w:t xml:space="preserve">u </w:t>
      </w:r>
      <w:proofErr w:type="spellStart"/>
      <w:r w:rsidR="00EE7AAF" w:rsidRPr="00A07F29">
        <w:rPr>
          <w:rFonts w:ascii="Times New Roman" w:eastAsia="Times New Roman" w:hAnsi="Times New Roman" w:cs="Times New Roman"/>
          <w:sz w:val="24"/>
          <w:szCs w:val="24"/>
        </w:rPr>
        <w:t>izvērtējums</w:t>
      </w:r>
      <w:proofErr w:type="spellEnd"/>
    </w:p>
    <w:p w14:paraId="1FFD66C9" w14:textId="2D247C87" w:rsidR="007F6204" w:rsidRDefault="007F6204" w:rsidP="00242F95">
      <w:pPr>
        <w:spacing w:after="0" w:line="240" w:lineRule="auto"/>
        <w:rPr>
          <w:rFonts w:ascii="Times New Roman" w:eastAsia="Calibri" w:hAnsi="Times New Roman" w:cs="Calibri"/>
          <w:sz w:val="24"/>
        </w:rPr>
      </w:pPr>
      <w:r w:rsidRPr="00A07F29">
        <w:rPr>
          <w:rFonts w:ascii="Times New Roman" w:eastAsia="Calibri" w:hAnsi="Times New Roman" w:cs="Calibri"/>
          <w:sz w:val="24"/>
        </w:rPr>
        <w:t>7.3</w:t>
      </w:r>
      <w:r w:rsidR="00F032CE" w:rsidRPr="00A07F29">
        <w:rPr>
          <w:rFonts w:ascii="Times New Roman" w:eastAsia="Calibri" w:hAnsi="Times New Roman" w:cs="Calibri"/>
          <w:sz w:val="24"/>
        </w:rPr>
        <w:t>.</w:t>
      </w:r>
      <w:r w:rsidR="00026775">
        <w:rPr>
          <w:rFonts w:ascii="Times New Roman" w:eastAsia="Calibri" w:hAnsi="Times New Roman" w:cs="Calibri"/>
          <w:sz w:val="24"/>
        </w:rPr>
        <w:t>1.</w:t>
      </w:r>
      <w:r w:rsidR="001D3336">
        <w:rPr>
          <w:rFonts w:ascii="Times New Roman" w:eastAsia="Calibri" w:hAnsi="Times New Roman" w:cs="Calibri"/>
          <w:sz w:val="24"/>
        </w:rPr>
        <w:t> </w:t>
      </w:r>
      <w:r w:rsidR="00026775">
        <w:rPr>
          <w:rFonts w:ascii="Times New Roman" w:eastAsia="Calibri" w:hAnsi="Times New Roman" w:cs="Calibri"/>
          <w:sz w:val="24"/>
        </w:rPr>
        <w:t xml:space="preserve">Augšdaugavas novada </w:t>
      </w:r>
      <w:r w:rsidR="00B96D1D">
        <w:rPr>
          <w:rFonts w:ascii="Times New Roman" w:eastAsia="Calibri" w:hAnsi="Times New Roman" w:cs="Calibri"/>
          <w:sz w:val="24"/>
        </w:rPr>
        <w:t xml:space="preserve">pašvaldības </w:t>
      </w:r>
      <w:r w:rsidR="008B0765">
        <w:rPr>
          <w:rFonts w:ascii="Times New Roman" w:eastAsia="Calibri" w:hAnsi="Times New Roman" w:cs="Calibri"/>
          <w:sz w:val="24"/>
        </w:rPr>
        <w:t xml:space="preserve">22.04.2022. </w:t>
      </w:r>
      <w:r w:rsidR="00B96D1D">
        <w:rPr>
          <w:rFonts w:ascii="Times New Roman" w:eastAsia="Calibri" w:hAnsi="Times New Roman" w:cs="Calibri"/>
          <w:sz w:val="24"/>
        </w:rPr>
        <w:t>atzinums</w:t>
      </w:r>
    </w:p>
    <w:p w14:paraId="3D1BAB35" w14:textId="326AF3DE" w:rsidR="00B96D1D" w:rsidRDefault="00B96D1D" w:rsidP="00242F95">
      <w:pPr>
        <w:spacing w:after="0" w:line="240" w:lineRule="auto"/>
        <w:rPr>
          <w:rFonts w:ascii="Times New Roman" w:eastAsia="Calibri" w:hAnsi="Times New Roman" w:cs="Calibri"/>
          <w:sz w:val="24"/>
        </w:rPr>
      </w:pPr>
      <w:r>
        <w:rPr>
          <w:rFonts w:ascii="Times New Roman" w:eastAsia="Calibri" w:hAnsi="Times New Roman" w:cs="Calibri"/>
          <w:sz w:val="24"/>
        </w:rPr>
        <w:t>7.3.2. </w:t>
      </w:r>
      <w:r w:rsidR="008B0765">
        <w:rPr>
          <w:rFonts w:ascii="Times New Roman" w:eastAsia="Calibri" w:hAnsi="Times New Roman" w:cs="Calibri"/>
          <w:sz w:val="24"/>
        </w:rPr>
        <w:t>Augšdaugavas novada pašvaldības 14.11.2022. atzinums</w:t>
      </w:r>
    </w:p>
    <w:p w14:paraId="2994F687" w14:textId="19D154F2" w:rsidR="008B0765" w:rsidRDefault="008B0765" w:rsidP="00242F95">
      <w:pPr>
        <w:spacing w:after="0" w:line="240" w:lineRule="auto"/>
        <w:rPr>
          <w:rFonts w:ascii="Times New Roman" w:eastAsia="Calibri" w:hAnsi="Times New Roman" w:cs="Calibri"/>
          <w:sz w:val="24"/>
        </w:rPr>
      </w:pPr>
      <w:r>
        <w:rPr>
          <w:rFonts w:ascii="Times New Roman" w:eastAsia="Calibri" w:hAnsi="Times New Roman" w:cs="Calibri"/>
          <w:sz w:val="24"/>
        </w:rPr>
        <w:t>7.3.3. Augšdaugavas novada pašvaldības 26.01.2023. atzinums</w:t>
      </w:r>
    </w:p>
    <w:p w14:paraId="3DD192C9" w14:textId="0C1ECB97" w:rsidR="008B0765" w:rsidRDefault="008B0765" w:rsidP="00242F95">
      <w:pPr>
        <w:spacing w:after="0" w:line="240" w:lineRule="auto"/>
        <w:rPr>
          <w:rFonts w:ascii="Times New Roman" w:eastAsia="Calibri" w:hAnsi="Times New Roman" w:cs="Calibri"/>
          <w:sz w:val="24"/>
        </w:rPr>
      </w:pPr>
      <w:r>
        <w:rPr>
          <w:rFonts w:ascii="Times New Roman" w:eastAsia="Calibri" w:hAnsi="Times New Roman" w:cs="Calibri"/>
          <w:sz w:val="24"/>
        </w:rPr>
        <w:t xml:space="preserve">7.3.4. Krāslavas novada </w:t>
      </w:r>
      <w:r w:rsidR="00DD49F2">
        <w:rPr>
          <w:rFonts w:ascii="Times New Roman" w:eastAsia="Calibri" w:hAnsi="Times New Roman" w:cs="Calibri"/>
          <w:sz w:val="24"/>
        </w:rPr>
        <w:t>pašvaldības 22.04.2022. atzinums</w:t>
      </w:r>
    </w:p>
    <w:p w14:paraId="6AC3F1ED" w14:textId="2374AAAA" w:rsidR="00DD49F2" w:rsidRDefault="00DD49F2" w:rsidP="00242F95">
      <w:pPr>
        <w:spacing w:after="0" w:line="240" w:lineRule="auto"/>
        <w:rPr>
          <w:rFonts w:ascii="Times New Roman" w:eastAsia="Calibri" w:hAnsi="Times New Roman" w:cs="Calibri"/>
          <w:sz w:val="24"/>
        </w:rPr>
      </w:pPr>
      <w:r>
        <w:rPr>
          <w:rFonts w:ascii="Times New Roman" w:eastAsia="Calibri" w:hAnsi="Times New Roman" w:cs="Calibri"/>
          <w:sz w:val="24"/>
        </w:rPr>
        <w:t>7.3.5. </w:t>
      </w:r>
      <w:r w:rsidRPr="00DD49F2">
        <w:rPr>
          <w:rFonts w:ascii="Times New Roman" w:eastAsia="Calibri" w:hAnsi="Times New Roman" w:cs="Calibri"/>
          <w:sz w:val="24"/>
        </w:rPr>
        <w:t>Krāslavas novada pašvaldības 2</w:t>
      </w:r>
      <w:r w:rsidR="005A4238">
        <w:rPr>
          <w:rFonts w:ascii="Times New Roman" w:eastAsia="Calibri" w:hAnsi="Times New Roman" w:cs="Calibri"/>
          <w:sz w:val="24"/>
        </w:rPr>
        <w:t>7</w:t>
      </w:r>
      <w:r w:rsidRPr="00DD49F2">
        <w:rPr>
          <w:rFonts w:ascii="Times New Roman" w:eastAsia="Calibri" w:hAnsi="Times New Roman" w:cs="Calibri"/>
          <w:sz w:val="24"/>
        </w:rPr>
        <w:t>.</w:t>
      </w:r>
      <w:r w:rsidR="005A4238">
        <w:rPr>
          <w:rFonts w:ascii="Times New Roman" w:eastAsia="Calibri" w:hAnsi="Times New Roman" w:cs="Calibri"/>
          <w:sz w:val="24"/>
        </w:rPr>
        <w:t>10</w:t>
      </w:r>
      <w:r w:rsidRPr="00DD49F2">
        <w:rPr>
          <w:rFonts w:ascii="Times New Roman" w:eastAsia="Calibri" w:hAnsi="Times New Roman" w:cs="Calibri"/>
          <w:sz w:val="24"/>
        </w:rPr>
        <w:t>.2022. atzinums</w:t>
      </w:r>
    </w:p>
    <w:p w14:paraId="3972F36A" w14:textId="30804C61" w:rsidR="00DD49F2" w:rsidRPr="00A07F29" w:rsidRDefault="00DD49F2" w:rsidP="00242F95">
      <w:pPr>
        <w:spacing w:after="0" w:line="240" w:lineRule="auto"/>
        <w:rPr>
          <w:rFonts w:ascii="Times New Roman" w:eastAsia="Calibri" w:hAnsi="Times New Roman" w:cs="Calibri"/>
          <w:sz w:val="24"/>
        </w:rPr>
      </w:pPr>
      <w:r>
        <w:rPr>
          <w:rFonts w:ascii="Times New Roman" w:eastAsia="Calibri" w:hAnsi="Times New Roman" w:cs="Calibri"/>
          <w:sz w:val="24"/>
        </w:rPr>
        <w:t>7.3.6. </w:t>
      </w:r>
      <w:r w:rsidRPr="00DD49F2">
        <w:rPr>
          <w:rFonts w:ascii="Times New Roman" w:eastAsia="Calibri" w:hAnsi="Times New Roman" w:cs="Calibri"/>
          <w:sz w:val="24"/>
        </w:rPr>
        <w:t>Krāslavas novada pašvaldības 2</w:t>
      </w:r>
      <w:r w:rsidR="005A4238">
        <w:rPr>
          <w:rFonts w:ascii="Times New Roman" w:eastAsia="Calibri" w:hAnsi="Times New Roman" w:cs="Calibri"/>
          <w:sz w:val="24"/>
        </w:rPr>
        <w:t>6</w:t>
      </w:r>
      <w:r w:rsidRPr="00DD49F2">
        <w:rPr>
          <w:rFonts w:ascii="Times New Roman" w:eastAsia="Calibri" w:hAnsi="Times New Roman" w:cs="Calibri"/>
          <w:sz w:val="24"/>
        </w:rPr>
        <w:t>.0</w:t>
      </w:r>
      <w:r w:rsidR="005A4238">
        <w:rPr>
          <w:rFonts w:ascii="Times New Roman" w:eastAsia="Calibri" w:hAnsi="Times New Roman" w:cs="Calibri"/>
          <w:sz w:val="24"/>
        </w:rPr>
        <w:t>1</w:t>
      </w:r>
      <w:r w:rsidRPr="00DD49F2">
        <w:rPr>
          <w:rFonts w:ascii="Times New Roman" w:eastAsia="Calibri" w:hAnsi="Times New Roman" w:cs="Calibri"/>
          <w:sz w:val="24"/>
        </w:rPr>
        <w:t>.202</w:t>
      </w:r>
      <w:r w:rsidR="005A4238">
        <w:rPr>
          <w:rFonts w:ascii="Times New Roman" w:eastAsia="Calibri" w:hAnsi="Times New Roman" w:cs="Calibri"/>
          <w:sz w:val="24"/>
        </w:rPr>
        <w:t>3</w:t>
      </w:r>
      <w:r w:rsidRPr="00DD49F2">
        <w:rPr>
          <w:rFonts w:ascii="Times New Roman" w:eastAsia="Calibri" w:hAnsi="Times New Roman" w:cs="Calibri"/>
          <w:sz w:val="24"/>
        </w:rPr>
        <w:t>. atzinums</w:t>
      </w:r>
    </w:p>
    <w:p w14:paraId="7C1F042E" w14:textId="21C7033F" w:rsidR="006F0A98" w:rsidRDefault="00F032CE" w:rsidP="00242F95">
      <w:pPr>
        <w:spacing w:after="0" w:line="240" w:lineRule="auto"/>
        <w:rPr>
          <w:rFonts w:ascii="Times New Roman" w:eastAsia="Calibri" w:hAnsi="Times New Roman" w:cs="Calibri"/>
          <w:sz w:val="24"/>
        </w:rPr>
      </w:pPr>
      <w:r w:rsidRPr="00A07F29">
        <w:rPr>
          <w:rFonts w:ascii="Times New Roman" w:eastAsia="Calibri" w:hAnsi="Times New Roman" w:cs="Calibri"/>
          <w:sz w:val="24"/>
        </w:rPr>
        <w:t>7.4.</w:t>
      </w:r>
      <w:r w:rsidR="009453C6">
        <w:rPr>
          <w:rFonts w:ascii="Times New Roman" w:eastAsia="Calibri" w:hAnsi="Times New Roman" w:cs="Calibri"/>
          <w:sz w:val="24"/>
        </w:rPr>
        <w:t> </w:t>
      </w:r>
      <w:r w:rsidRPr="00A07F29">
        <w:rPr>
          <w:rFonts w:ascii="Times New Roman" w:eastAsia="Calibri" w:hAnsi="Times New Roman" w:cs="Calibri"/>
          <w:sz w:val="24"/>
        </w:rPr>
        <w:t xml:space="preserve">Pašvaldību atzinumos minēto iebildumu </w:t>
      </w:r>
      <w:proofErr w:type="spellStart"/>
      <w:r w:rsidRPr="00A07F29">
        <w:rPr>
          <w:rFonts w:ascii="Times New Roman" w:eastAsia="Calibri" w:hAnsi="Times New Roman" w:cs="Calibri"/>
          <w:sz w:val="24"/>
        </w:rPr>
        <w:t>izvērtējums</w:t>
      </w:r>
      <w:proofErr w:type="spellEnd"/>
    </w:p>
    <w:p w14:paraId="24CB782E" w14:textId="0B4A7DAA" w:rsidR="00B9607F" w:rsidRDefault="00B9607F" w:rsidP="00242F95">
      <w:pPr>
        <w:spacing w:after="0" w:line="240" w:lineRule="auto"/>
        <w:rPr>
          <w:rFonts w:ascii="Times New Roman" w:eastAsia="Calibri" w:hAnsi="Times New Roman" w:cs="Calibri"/>
          <w:sz w:val="24"/>
        </w:rPr>
      </w:pPr>
      <w:r>
        <w:rPr>
          <w:rFonts w:ascii="Times New Roman" w:eastAsia="Calibri" w:hAnsi="Times New Roman" w:cs="Calibri"/>
          <w:sz w:val="24"/>
        </w:rPr>
        <w:t>7.5. </w:t>
      </w:r>
      <w:r w:rsidR="00953C3E">
        <w:rPr>
          <w:rFonts w:ascii="Times New Roman" w:eastAsia="Calibri" w:hAnsi="Times New Roman" w:cs="Calibri"/>
          <w:sz w:val="24"/>
        </w:rPr>
        <w:t>Publikācijas</w:t>
      </w:r>
    </w:p>
    <w:p w14:paraId="44ABC7D6" w14:textId="52AAD0F6" w:rsidR="00953C3E" w:rsidRDefault="00953C3E" w:rsidP="00242F95">
      <w:pPr>
        <w:spacing w:after="0" w:line="240" w:lineRule="auto"/>
        <w:rPr>
          <w:rFonts w:ascii="Times New Roman" w:eastAsia="Calibri" w:hAnsi="Times New Roman" w:cs="Calibri"/>
          <w:sz w:val="24"/>
        </w:rPr>
      </w:pPr>
      <w:r>
        <w:rPr>
          <w:rFonts w:ascii="Times New Roman" w:eastAsia="Calibri" w:hAnsi="Times New Roman" w:cs="Calibri"/>
          <w:sz w:val="24"/>
        </w:rPr>
        <w:t>7.6. </w:t>
      </w:r>
      <w:r w:rsidR="00334BCB">
        <w:rPr>
          <w:rFonts w:ascii="Times New Roman" w:eastAsia="Calibri" w:hAnsi="Times New Roman" w:cs="Calibri"/>
          <w:sz w:val="24"/>
        </w:rPr>
        <w:t>Sabiedriskā aps</w:t>
      </w:r>
      <w:r w:rsidR="000D6EAA">
        <w:rPr>
          <w:rFonts w:ascii="Times New Roman" w:eastAsia="Calibri" w:hAnsi="Times New Roman" w:cs="Calibri"/>
          <w:sz w:val="24"/>
        </w:rPr>
        <w:t>priešana tiešsaistē 31.08.2021.</w:t>
      </w:r>
    </w:p>
    <w:p w14:paraId="102F771C" w14:textId="5488BEAB" w:rsidR="000D6EAA" w:rsidRDefault="000D6EAA" w:rsidP="00242F95">
      <w:pPr>
        <w:spacing w:after="0" w:line="240" w:lineRule="auto"/>
        <w:rPr>
          <w:rFonts w:ascii="Times New Roman" w:eastAsia="Calibri" w:hAnsi="Times New Roman" w:cs="Calibri"/>
          <w:sz w:val="24"/>
        </w:rPr>
      </w:pPr>
      <w:r>
        <w:rPr>
          <w:rFonts w:ascii="Times New Roman" w:eastAsia="Calibri" w:hAnsi="Times New Roman" w:cs="Calibri"/>
          <w:sz w:val="24"/>
        </w:rPr>
        <w:lastRenderedPageBreak/>
        <w:t>7.7. </w:t>
      </w:r>
      <w:r w:rsidR="00E0680C">
        <w:rPr>
          <w:rFonts w:ascii="Times New Roman" w:eastAsia="Calibri" w:hAnsi="Times New Roman" w:cs="Calibri"/>
          <w:sz w:val="24"/>
        </w:rPr>
        <w:t>Paplašinātās uzraudzības grupas</w:t>
      </w:r>
      <w:r w:rsidR="00612114">
        <w:rPr>
          <w:rFonts w:ascii="Times New Roman" w:eastAsia="Calibri" w:hAnsi="Times New Roman" w:cs="Calibri"/>
          <w:sz w:val="24"/>
        </w:rPr>
        <w:t xml:space="preserve"> sanāksmes protokols</w:t>
      </w:r>
      <w:r w:rsidR="00802631">
        <w:rPr>
          <w:rFonts w:ascii="Times New Roman" w:eastAsia="Calibri" w:hAnsi="Times New Roman" w:cs="Calibri"/>
          <w:sz w:val="24"/>
        </w:rPr>
        <w:t xml:space="preserve"> 06.06.2022.</w:t>
      </w:r>
    </w:p>
    <w:p w14:paraId="01EA2C37" w14:textId="5982385D" w:rsidR="00713CD6" w:rsidRPr="00A07F29" w:rsidRDefault="00713CD6" w:rsidP="00242F95">
      <w:pPr>
        <w:spacing w:after="0" w:line="240" w:lineRule="auto"/>
        <w:rPr>
          <w:rFonts w:ascii="Times New Roman" w:eastAsia="Calibri" w:hAnsi="Times New Roman" w:cs="Calibri"/>
          <w:sz w:val="24"/>
        </w:rPr>
      </w:pPr>
      <w:r>
        <w:rPr>
          <w:rFonts w:ascii="Times New Roman" w:eastAsia="Calibri" w:hAnsi="Times New Roman" w:cs="Calibri"/>
          <w:sz w:val="24"/>
        </w:rPr>
        <w:t>7.8. </w:t>
      </w:r>
      <w:r w:rsidR="00ED04D7">
        <w:rPr>
          <w:rFonts w:ascii="Times New Roman" w:eastAsia="Calibri" w:hAnsi="Times New Roman" w:cs="Calibri"/>
          <w:sz w:val="24"/>
        </w:rPr>
        <w:t>Konsultatīvas padomes un</w:t>
      </w:r>
      <w:r w:rsidR="00AF6BE5">
        <w:rPr>
          <w:rFonts w:ascii="Times New Roman" w:eastAsia="Calibri" w:hAnsi="Times New Roman" w:cs="Calibri"/>
          <w:sz w:val="24"/>
        </w:rPr>
        <w:t xml:space="preserve"> VARAM paplašinātās</w:t>
      </w:r>
      <w:r w:rsidRPr="00713CD6">
        <w:rPr>
          <w:rFonts w:ascii="Times New Roman" w:eastAsia="Calibri" w:hAnsi="Times New Roman" w:cs="Calibri"/>
          <w:sz w:val="24"/>
        </w:rPr>
        <w:t xml:space="preserve"> sanāksmes protokols</w:t>
      </w:r>
      <w:r w:rsidR="00ED04D7">
        <w:rPr>
          <w:rFonts w:ascii="Times New Roman" w:eastAsia="Calibri" w:hAnsi="Times New Roman" w:cs="Calibri"/>
          <w:sz w:val="24"/>
        </w:rPr>
        <w:t xml:space="preserve"> 15</w:t>
      </w:r>
      <w:r w:rsidR="00ED04D7" w:rsidRPr="00713CD6">
        <w:rPr>
          <w:rFonts w:ascii="Times New Roman" w:eastAsia="Calibri" w:hAnsi="Times New Roman" w:cs="Calibri"/>
          <w:sz w:val="24"/>
        </w:rPr>
        <w:t>.</w:t>
      </w:r>
      <w:r w:rsidR="00ED04D7">
        <w:rPr>
          <w:rFonts w:ascii="Times New Roman" w:eastAsia="Calibri" w:hAnsi="Times New Roman" w:cs="Calibri"/>
          <w:sz w:val="24"/>
        </w:rPr>
        <w:t>12</w:t>
      </w:r>
      <w:r w:rsidR="00ED04D7" w:rsidRPr="00713CD6">
        <w:rPr>
          <w:rFonts w:ascii="Times New Roman" w:eastAsia="Calibri" w:hAnsi="Times New Roman" w:cs="Calibri"/>
          <w:sz w:val="24"/>
        </w:rPr>
        <w:t>.2022.</w:t>
      </w:r>
    </w:p>
    <w:p w14:paraId="0A82EB03" w14:textId="40A7C74E" w:rsidR="00285D42" w:rsidRPr="00A07F29" w:rsidRDefault="00285D42" w:rsidP="00242F95">
      <w:pPr>
        <w:spacing w:after="0" w:line="240" w:lineRule="auto"/>
        <w:rPr>
          <w:rFonts w:ascii="Times New Roman" w:eastAsia="Calibri" w:hAnsi="Times New Roman" w:cs="Calibri"/>
          <w:sz w:val="24"/>
        </w:rPr>
      </w:pPr>
      <w:r w:rsidRPr="00A07F29">
        <w:rPr>
          <w:rFonts w:ascii="Times New Roman" w:eastAsia="Calibri" w:hAnsi="Times New Roman" w:cs="Calibri"/>
          <w:sz w:val="24"/>
        </w:rPr>
        <w:t>8.</w:t>
      </w:r>
      <w:r w:rsidR="00DC166E">
        <w:rPr>
          <w:rFonts w:ascii="Times New Roman" w:eastAsia="Calibri" w:hAnsi="Times New Roman" w:cs="Calibri"/>
          <w:sz w:val="24"/>
        </w:rPr>
        <w:t> </w:t>
      </w:r>
      <w:r w:rsidRPr="00A07F29">
        <w:rPr>
          <w:rFonts w:ascii="Times New Roman" w:eastAsia="Calibri" w:hAnsi="Times New Roman" w:cs="Calibri"/>
          <w:sz w:val="24"/>
        </w:rPr>
        <w:t>Ekspertu atzinumi</w:t>
      </w:r>
    </w:p>
    <w:p w14:paraId="4CF045A8" w14:textId="77777777" w:rsidR="006F0A98" w:rsidRPr="00A07F29" w:rsidRDefault="006F0A98" w:rsidP="00242F95">
      <w:pPr>
        <w:spacing w:after="0" w:line="240" w:lineRule="auto"/>
        <w:rPr>
          <w:rFonts w:ascii="Times New Roman" w:eastAsia="Calibri" w:hAnsi="Times New Roman" w:cs="Calibri"/>
          <w:sz w:val="24"/>
        </w:rPr>
      </w:pPr>
    </w:p>
    <w:p w14:paraId="14BBDE13" w14:textId="65318B18" w:rsidR="00672014" w:rsidRPr="00A827FC" w:rsidRDefault="00672014" w:rsidP="00260499">
      <w:pPr>
        <w:keepNext/>
        <w:keepLines/>
        <w:spacing w:before="240" w:after="160" w:line="259" w:lineRule="auto"/>
        <w:ind w:firstLine="851"/>
        <w:jc w:val="center"/>
        <w:outlineLvl w:val="0"/>
      </w:pPr>
    </w:p>
    <w:sectPr w:rsidR="00672014" w:rsidRPr="00A827FC" w:rsidSect="003A24B8">
      <w:pgSz w:w="11906" w:h="16838"/>
      <w:pgMar w:top="1440" w:right="1133"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91533" w14:textId="77777777" w:rsidR="00AD3072" w:rsidRPr="00A07F29" w:rsidRDefault="00AD3072" w:rsidP="009072CE">
      <w:pPr>
        <w:spacing w:after="0" w:line="240" w:lineRule="auto"/>
      </w:pPr>
      <w:r w:rsidRPr="00A07F29">
        <w:separator/>
      </w:r>
    </w:p>
  </w:endnote>
  <w:endnote w:type="continuationSeparator" w:id="0">
    <w:p w14:paraId="7DE37148" w14:textId="77777777" w:rsidR="00AD3072" w:rsidRPr="00A07F29" w:rsidRDefault="00AD3072" w:rsidP="009072CE">
      <w:pPr>
        <w:spacing w:after="0" w:line="240" w:lineRule="auto"/>
      </w:pPr>
      <w:r w:rsidRPr="00A07F29">
        <w:continuationSeparator/>
      </w:r>
    </w:p>
  </w:endnote>
  <w:endnote w:type="continuationNotice" w:id="1">
    <w:p w14:paraId="0DCC9E60" w14:textId="77777777" w:rsidR="00AD3072" w:rsidRDefault="00AD307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EUAlbertina">
    <w:altName w:val="Arial"/>
    <w:panose1 w:val="00000000000000000000"/>
    <w:charset w:val="00"/>
    <w:family w:val="roman"/>
    <w:notTrueType/>
    <w:pitch w:val="default"/>
    <w:sig w:usb0="00000001" w:usb1="00000000" w:usb2="00000000" w:usb3="00000000" w:csb0="00000003" w:csb1="00000000"/>
  </w:font>
  <w:font w:name="Minion Pro">
    <w:altName w:val="Times New Roman"/>
    <w:charset w:val="01"/>
    <w:family w:val="roman"/>
    <w:pitch w:val="variable"/>
  </w:font>
  <w:font w:name="Arial Unicode MS">
    <w:panose1 w:val="020B0604020202020204"/>
    <w:charset w:val="00"/>
    <w:family w:val="roman"/>
    <w:pitch w:val="variable"/>
    <w:sig w:usb0="00000003" w:usb1="00000000" w:usb2="00000000" w:usb3="00000000" w:csb0="00000001" w:csb1="00000000"/>
  </w:font>
  <w:font w:name="RimHelveticaCondensed">
    <w:altName w:val="Times New Roman"/>
    <w:charset w:val="00"/>
    <w:family w:val="auto"/>
    <w:pitch w:val="variable"/>
    <w:sig w:usb0="00000003" w:usb1="00000000" w:usb2="00000000" w:usb3="00000000" w:csb0="00000001"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Liberation Serif">
    <w:altName w:val="Times New Roman"/>
    <w:charset w:val="01"/>
    <w:family w:val="roman"/>
    <w:pitch w:val="variable"/>
  </w:font>
  <w:font w:name="Source Han Sans CN Regular">
    <w:panose1 w:val="00000000000000000000"/>
    <w:charset w:val="00"/>
    <w:family w:val="roman"/>
    <w:notTrueType/>
    <w:pitch w:val="default"/>
  </w:font>
  <w:font w:name="Lohit Devanagari">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Noto Sans CJK SC">
    <w:panose1 w:val="00000000000000000000"/>
    <w:charset w:val="00"/>
    <w:family w:val="roman"/>
    <w:notTrueType/>
    <w:pitch w:val="default"/>
  </w:font>
  <w:font w:name="TimesNewRoman">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BA"/>
    <w:family w:val="roman"/>
    <w:pitch w:val="variable"/>
    <w:sig w:usb0="E00006FF" w:usb1="420024FF" w:usb2="02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apple-system;BlinkMacSystemFont">
    <w:altName w:val="Cambria"/>
    <w:panose1 w:val="00000000000000000000"/>
    <w:charset w:val="00"/>
    <w:family w:val="roman"/>
    <w:notTrueType/>
    <w:pitch w:val="default"/>
  </w:font>
  <w:font w:name="TimesNewRoman,Italic">
    <w:altName w:val="MS Mincho"/>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2692055"/>
      <w:docPartObj>
        <w:docPartGallery w:val="Page Numbers (Bottom of Page)"/>
        <w:docPartUnique/>
      </w:docPartObj>
    </w:sdtPr>
    <w:sdtContent>
      <w:p w14:paraId="1B74F1C3" w14:textId="69998D2D" w:rsidR="0003144C" w:rsidRPr="00A07F29" w:rsidRDefault="0003144C">
        <w:pPr>
          <w:pStyle w:val="Footer"/>
          <w:jc w:val="right"/>
        </w:pPr>
        <w:r w:rsidRPr="00A07F29">
          <w:fldChar w:fldCharType="begin"/>
        </w:r>
        <w:r w:rsidRPr="00A07F29">
          <w:instrText xml:space="preserve"> PAGE   \* MERGEFORMAT </w:instrText>
        </w:r>
        <w:r w:rsidRPr="00A07F29">
          <w:fldChar w:fldCharType="separate"/>
        </w:r>
        <w:r w:rsidR="00C25036">
          <w:rPr>
            <w:noProof/>
          </w:rPr>
          <w:t>8</w:t>
        </w:r>
        <w:r w:rsidRPr="00A07F29">
          <w:fldChar w:fldCharType="end"/>
        </w:r>
      </w:p>
    </w:sdtContent>
  </w:sdt>
  <w:p w14:paraId="165FB395" w14:textId="77777777" w:rsidR="0003144C" w:rsidRPr="00A07F29" w:rsidRDefault="000314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F9CFC" w14:textId="33E5C012" w:rsidR="0003144C" w:rsidRPr="00A07F29" w:rsidRDefault="0003144C">
    <w:pPr>
      <w:pStyle w:val="Footer"/>
      <w:jc w:val="right"/>
    </w:pPr>
  </w:p>
  <w:p w14:paraId="644BBFB3" w14:textId="77777777" w:rsidR="0003144C" w:rsidRPr="00A07F29" w:rsidRDefault="000314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6598417"/>
      <w:docPartObj>
        <w:docPartGallery w:val="Page Numbers (Bottom of Page)"/>
        <w:docPartUnique/>
      </w:docPartObj>
    </w:sdtPr>
    <w:sdtEndPr>
      <w:rPr>
        <w:szCs w:val="24"/>
      </w:rPr>
    </w:sdtEndPr>
    <w:sdtContent>
      <w:p w14:paraId="44DC87BA" w14:textId="26B68694" w:rsidR="0003144C" w:rsidRPr="00A07F29" w:rsidRDefault="0003144C">
        <w:pPr>
          <w:pStyle w:val="Footer"/>
          <w:jc w:val="right"/>
        </w:pPr>
        <w:r w:rsidRPr="00A07F29">
          <w:rPr>
            <w:szCs w:val="24"/>
          </w:rPr>
          <w:fldChar w:fldCharType="begin"/>
        </w:r>
        <w:r w:rsidRPr="00A07F29">
          <w:rPr>
            <w:szCs w:val="24"/>
          </w:rPr>
          <w:instrText xml:space="preserve"> PAGE   \* MERGEFORMAT </w:instrText>
        </w:r>
        <w:r w:rsidRPr="00A07F29">
          <w:rPr>
            <w:szCs w:val="24"/>
          </w:rPr>
          <w:fldChar w:fldCharType="separate"/>
        </w:r>
        <w:r w:rsidR="00C25036">
          <w:rPr>
            <w:noProof/>
            <w:szCs w:val="24"/>
          </w:rPr>
          <w:t>96</w:t>
        </w:r>
        <w:r w:rsidRPr="00A07F29">
          <w:rPr>
            <w:szCs w:val="24"/>
          </w:rPr>
          <w:fldChar w:fldCharType="end"/>
        </w:r>
      </w:p>
    </w:sdtContent>
  </w:sdt>
  <w:p w14:paraId="5B4FC8FB" w14:textId="77777777" w:rsidR="0003144C" w:rsidRPr="00A07F29" w:rsidRDefault="0003144C" w:rsidP="00F42B9F">
    <w:pPr>
      <w:pStyle w:val="Footer"/>
      <w:tabs>
        <w:tab w:val="left" w:pos="2754"/>
        <w:tab w:val="left" w:pos="5375"/>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6170274"/>
      <w:docPartObj>
        <w:docPartGallery w:val="Page Numbers (Bottom of Page)"/>
        <w:docPartUnique/>
      </w:docPartObj>
    </w:sdtPr>
    <w:sdtContent>
      <w:p w14:paraId="4FA45CE4" w14:textId="6920AF50" w:rsidR="0003144C" w:rsidRPr="00A07F29" w:rsidRDefault="0003144C" w:rsidP="008B5A92">
        <w:pPr>
          <w:pStyle w:val="Footer"/>
          <w:jc w:val="right"/>
        </w:pPr>
        <w:r w:rsidRPr="00A07F29">
          <w:fldChar w:fldCharType="begin"/>
        </w:r>
        <w:r w:rsidRPr="00A07F29">
          <w:instrText xml:space="preserve"> PAGE   \* MERGEFORMAT </w:instrText>
        </w:r>
        <w:r w:rsidRPr="00A07F29">
          <w:fldChar w:fldCharType="separate"/>
        </w:r>
        <w:r w:rsidR="00623F41">
          <w:rPr>
            <w:noProof/>
          </w:rPr>
          <w:t>295</w:t>
        </w:r>
        <w:r w:rsidRPr="00A07F29">
          <w:fldChar w:fldCharType="end"/>
        </w:r>
      </w:p>
    </w:sdtContent>
  </w:sdt>
  <w:p w14:paraId="6F8C656D" w14:textId="77777777" w:rsidR="0003144C" w:rsidRPr="00A07F29" w:rsidRDefault="0003144C" w:rsidP="009056A3">
    <w:pPr>
      <w:pStyle w:val="Footer"/>
      <w:jc w:val="center"/>
      <w:rPr>
        <w:i/>
        <w:iCs/>
        <w:sz w:val="20"/>
        <w:szCs w:val="20"/>
      </w:rPr>
    </w:pPr>
  </w:p>
  <w:p w14:paraId="781BF530" w14:textId="77777777" w:rsidR="0003144C" w:rsidRPr="00A07F29" w:rsidRDefault="0003144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722D4" w14:textId="77777777" w:rsidR="00AD3072" w:rsidRPr="00A07F29" w:rsidRDefault="00AD3072" w:rsidP="009072CE">
      <w:pPr>
        <w:spacing w:after="0" w:line="240" w:lineRule="auto"/>
      </w:pPr>
      <w:r w:rsidRPr="00A07F29">
        <w:separator/>
      </w:r>
    </w:p>
  </w:footnote>
  <w:footnote w:type="continuationSeparator" w:id="0">
    <w:p w14:paraId="39BCDE68" w14:textId="77777777" w:rsidR="00AD3072" w:rsidRPr="00A07F29" w:rsidRDefault="00AD3072" w:rsidP="009072CE">
      <w:pPr>
        <w:spacing w:after="0" w:line="240" w:lineRule="auto"/>
      </w:pPr>
      <w:r w:rsidRPr="00A07F29">
        <w:continuationSeparator/>
      </w:r>
    </w:p>
  </w:footnote>
  <w:footnote w:type="continuationNotice" w:id="1">
    <w:p w14:paraId="1553F8BA" w14:textId="77777777" w:rsidR="00AD3072" w:rsidRDefault="00AD3072">
      <w:pPr>
        <w:spacing w:after="0" w:line="240" w:lineRule="auto"/>
      </w:pPr>
    </w:p>
  </w:footnote>
  <w:footnote w:id="2">
    <w:p w14:paraId="65D6BFC1" w14:textId="024DE345" w:rsidR="0003144C" w:rsidRDefault="0003144C" w:rsidP="00A03812">
      <w:pPr>
        <w:pStyle w:val="FootnoteText"/>
        <w:ind w:firstLine="567"/>
      </w:pPr>
      <w:r>
        <w:rPr>
          <w:rStyle w:val="FootnoteReference"/>
        </w:rPr>
        <w:footnoteRef/>
      </w:r>
      <w:r>
        <w:t xml:space="preserve"> </w:t>
      </w:r>
      <w:hyperlink r:id="rId1" w:history="1">
        <w:r w:rsidRPr="00E97C4D">
          <w:rPr>
            <w:rStyle w:val="Hyperlink"/>
          </w:rPr>
          <w:t>https://www.kraslava.lv/lv/media/779/download?attachment</w:t>
        </w:r>
      </w:hyperlink>
      <w:r>
        <w:t xml:space="preserve"> </w:t>
      </w:r>
    </w:p>
  </w:footnote>
  <w:footnote w:id="3">
    <w:p w14:paraId="707726FF" w14:textId="5928573A" w:rsidR="0003144C" w:rsidRDefault="0003144C" w:rsidP="00A03812">
      <w:pPr>
        <w:pStyle w:val="FootnoteText"/>
        <w:ind w:firstLine="567"/>
      </w:pPr>
      <w:r>
        <w:rPr>
          <w:rStyle w:val="FootnoteReference"/>
        </w:rPr>
        <w:footnoteRef/>
      </w:r>
      <w:r>
        <w:t xml:space="preserve"> </w:t>
      </w:r>
      <w:hyperlink r:id="rId2" w:history="1">
        <w:r w:rsidRPr="00E97C4D">
          <w:rPr>
            <w:rStyle w:val="Hyperlink"/>
          </w:rPr>
          <w:t>https://www.kraslava.lv/lv/attistiba/attistibas-programma</w:t>
        </w:r>
      </w:hyperlink>
      <w:r>
        <w:t xml:space="preserve"> </w:t>
      </w:r>
    </w:p>
  </w:footnote>
  <w:footnote w:id="4">
    <w:p w14:paraId="6804BAFA" w14:textId="0BAA024B" w:rsidR="0003144C" w:rsidRDefault="0003144C" w:rsidP="00A03812">
      <w:pPr>
        <w:pStyle w:val="FootnoteText"/>
        <w:ind w:firstLine="567"/>
      </w:pPr>
      <w:r>
        <w:rPr>
          <w:rStyle w:val="FootnoteReference"/>
        </w:rPr>
        <w:footnoteRef/>
      </w:r>
      <w:r>
        <w:t xml:space="preserve"> </w:t>
      </w:r>
      <w:hyperlink r:id="rId3" w:history="1">
        <w:r w:rsidRPr="00E97C4D">
          <w:rPr>
            <w:rStyle w:val="Hyperlink"/>
          </w:rPr>
          <w:t>https://www.kraslava.lv/lv/attistiba/teritorijas-planojums</w:t>
        </w:r>
      </w:hyperlink>
      <w:r>
        <w:t xml:space="preserve"> </w:t>
      </w:r>
    </w:p>
  </w:footnote>
  <w:footnote w:id="5">
    <w:p w14:paraId="65A9DA6F" w14:textId="662C04DB" w:rsidR="0003144C" w:rsidRDefault="0003144C" w:rsidP="00A03812">
      <w:pPr>
        <w:pStyle w:val="FootnoteText"/>
        <w:ind w:firstLine="567"/>
      </w:pPr>
      <w:r>
        <w:rPr>
          <w:rStyle w:val="FootnoteReference"/>
        </w:rPr>
        <w:footnoteRef/>
      </w:r>
      <w:hyperlink r:id="rId4" w:history="1">
        <w:r w:rsidRPr="00E97C4D">
          <w:rPr>
            <w:rStyle w:val="Hyperlink"/>
          </w:rPr>
          <w:t>https://www.daugavpils.lv/assets/upload/manager/AttistibasDepartaments/Dokumenti/Planosana/I_IAS_04102021_gala.pdf</w:t>
        </w:r>
      </w:hyperlink>
      <w:r>
        <w:t xml:space="preserve"> </w:t>
      </w:r>
    </w:p>
  </w:footnote>
  <w:footnote w:id="6">
    <w:p w14:paraId="54EE8EAD" w14:textId="2A0D5C98" w:rsidR="0003144C" w:rsidRDefault="0003144C" w:rsidP="0075128C">
      <w:pPr>
        <w:pStyle w:val="FootnoteText"/>
        <w:ind w:firstLine="567"/>
      </w:pPr>
      <w:r>
        <w:rPr>
          <w:rStyle w:val="FootnoteReference"/>
        </w:rPr>
        <w:footnoteRef/>
      </w:r>
      <w:r>
        <w:t xml:space="preserve"> </w:t>
      </w:r>
      <w:hyperlink r:id="rId5" w:history="1">
        <w:r w:rsidRPr="00E97C4D">
          <w:rPr>
            <w:rStyle w:val="Hyperlink"/>
          </w:rPr>
          <w:t>https://www.augsdaugavasnovads.lv/pasvaldiba/attistiba-planosana-uznemejdarbiba/attistibas-planosanas-dokumenti/teritorijas-planojumi/</w:t>
        </w:r>
      </w:hyperlink>
      <w:r>
        <w:t xml:space="preserve"> </w:t>
      </w:r>
    </w:p>
  </w:footnote>
  <w:footnote w:id="7">
    <w:p w14:paraId="26464D4C" w14:textId="758A6A5F" w:rsidR="0003144C" w:rsidRPr="00A07F29" w:rsidRDefault="0003144C">
      <w:pPr>
        <w:pStyle w:val="FootnoteText"/>
      </w:pPr>
      <w:r w:rsidRPr="00A07F29">
        <w:rPr>
          <w:rStyle w:val="FootnoteReference"/>
        </w:rPr>
        <w:footnoteRef/>
      </w:r>
      <w:r w:rsidRPr="00A07F29">
        <w:t xml:space="preserve"> </w:t>
      </w:r>
      <w:hyperlink r:id="rId6" w:history="1">
        <w:r w:rsidRPr="00A07F29">
          <w:rPr>
            <w:rStyle w:val="Hyperlink"/>
          </w:rPr>
          <w:t>www.kadastrs.lv</w:t>
        </w:r>
      </w:hyperlink>
    </w:p>
  </w:footnote>
  <w:footnote w:id="8">
    <w:p w14:paraId="125B2BEB" w14:textId="35AB5EB0" w:rsidR="0003144C" w:rsidRDefault="0003144C">
      <w:pPr>
        <w:pStyle w:val="FootnoteText"/>
      </w:pPr>
      <w:r>
        <w:rPr>
          <w:rStyle w:val="FootnoteReference"/>
        </w:rPr>
        <w:footnoteRef/>
      </w:r>
      <w:r>
        <w:t xml:space="preserve"> </w:t>
      </w:r>
      <w:hyperlink r:id="rId7" w:history="1">
        <w:r w:rsidRPr="0006090D">
          <w:rPr>
            <w:rStyle w:val="Hyperlink"/>
          </w:rPr>
          <w:t>https://www.kurmisi.com/</w:t>
        </w:r>
      </w:hyperlink>
      <w:r>
        <w:t xml:space="preserve"> </w:t>
      </w:r>
    </w:p>
  </w:footnote>
  <w:footnote w:id="9">
    <w:p w14:paraId="67FACDA3" w14:textId="06DC81DC" w:rsidR="0003144C" w:rsidRDefault="0003144C">
      <w:pPr>
        <w:pStyle w:val="FootnoteText"/>
      </w:pPr>
      <w:r>
        <w:rPr>
          <w:rStyle w:val="FootnoteReference"/>
        </w:rPr>
        <w:footnoteRef/>
      </w:r>
      <w:hyperlink r:id="rId8" w:history="1">
        <w:r w:rsidRPr="0006090D">
          <w:rPr>
            <w:rStyle w:val="Hyperlink"/>
          </w:rPr>
          <w:t>https://www.daugavpilsnovads.lv/Media/Default/file/2012/Publiskie%20dokumenti/Dabas_parka_Daugavas_loki_turisma_attistibas_ricibas_plans.pdf</w:t>
        </w:r>
      </w:hyperlink>
      <w:r>
        <w:t xml:space="preserve"> </w:t>
      </w:r>
    </w:p>
  </w:footnote>
  <w:footnote w:id="10">
    <w:p w14:paraId="4A61751F" w14:textId="048A6528" w:rsidR="0003144C" w:rsidRPr="00A07F29" w:rsidRDefault="0003144C">
      <w:pPr>
        <w:pStyle w:val="FootnoteText"/>
      </w:pPr>
      <w:r w:rsidRPr="00A07F29">
        <w:rPr>
          <w:rStyle w:val="FootnoteReference"/>
        </w:rPr>
        <w:footnoteRef/>
      </w:r>
      <w:r w:rsidRPr="00A07F29">
        <w:t xml:space="preserve"> </w:t>
      </w:r>
      <w:hyperlink r:id="rId9" w:history="1">
        <w:r w:rsidRPr="00A07F29">
          <w:rPr>
            <w:rStyle w:val="Hyperlink"/>
          </w:rPr>
          <w:t>www.visitdaugavpils.lv</w:t>
        </w:r>
      </w:hyperlink>
    </w:p>
  </w:footnote>
  <w:footnote w:id="11">
    <w:p w14:paraId="2AEFBEC3" w14:textId="790339D1" w:rsidR="0003144C" w:rsidRPr="00A07F29" w:rsidRDefault="0003144C">
      <w:pPr>
        <w:pStyle w:val="FootnoteText"/>
      </w:pPr>
      <w:r w:rsidRPr="00A07F29">
        <w:rPr>
          <w:rStyle w:val="FootnoteReference"/>
        </w:rPr>
        <w:footnoteRef/>
      </w:r>
      <w:r w:rsidRPr="00A07F29">
        <w:t xml:space="preserve"> </w:t>
      </w:r>
      <w:hyperlink r:id="rId10" w:history="1">
        <w:r w:rsidRPr="00A07F29">
          <w:rPr>
            <w:rStyle w:val="Hyperlink"/>
          </w:rPr>
          <w:t>www.visitkraslava.com</w:t>
        </w:r>
      </w:hyperlink>
    </w:p>
  </w:footnote>
  <w:footnote w:id="12">
    <w:p w14:paraId="1A32D2DC" w14:textId="278EECBD" w:rsidR="0003144C" w:rsidRDefault="0003144C">
      <w:pPr>
        <w:pStyle w:val="FootnoteText"/>
      </w:pPr>
      <w:r>
        <w:rPr>
          <w:rStyle w:val="FootnoteReference"/>
        </w:rPr>
        <w:footnoteRef/>
      </w:r>
      <w:r>
        <w:t xml:space="preserve"> </w:t>
      </w:r>
      <w:hyperlink r:id="rId11" w:history="1">
        <w:r w:rsidRPr="0006090D">
          <w:rPr>
            <w:rStyle w:val="Hyperlink"/>
          </w:rPr>
          <w:t>https://lielbornesmuiza.lv/</w:t>
        </w:r>
      </w:hyperlink>
      <w:r>
        <w:t xml:space="preserve"> </w:t>
      </w:r>
    </w:p>
  </w:footnote>
  <w:footnote w:id="13">
    <w:p w14:paraId="38FFB6FD" w14:textId="34A15403" w:rsidR="0003144C" w:rsidRDefault="0003144C">
      <w:pPr>
        <w:pStyle w:val="FootnoteText"/>
      </w:pPr>
      <w:r>
        <w:rPr>
          <w:rStyle w:val="FootnoteReference"/>
        </w:rPr>
        <w:footnoteRef/>
      </w:r>
      <w:r>
        <w:t xml:space="preserve"> </w:t>
      </w:r>
      <w:hyperlink r:id="rId12" w:history="1">
        <w:r w:rsidRPr="0006090D">
          <w:rPr>
            <w:rStyle w:val="Hyperlink"/>
          </w:rPr>
          <w:t>https://www.kurmisi.com/</w:t>
        </w:r>
      </w:hyperlink>
      <w:r>
        <w:t xml:space="preserve"> </w:t>
      </w:r>
    </w:p>
  </w:footnote>
  <w:footnote w:id="14">
    <w:p w14:paraId="7DA0BE4F" w14:textId="4B7EEADC" w:rsidR="0003144C" w:rsidRDefault="0003144C">
      <w:pPr>
        <w:pStyle w:val="FootnoteText"/>
      </w:pPr>
      <w:r>
        <w:rPr>
          <w:rStyle w:val="FootnoteReference"/>
        </w:rPr>
        <w:footnoteRef/>
      </w:r>
      <w:r>
        <w:t xml:space="preserve"> </w:t>
      </w:r>
      <w:hyperlink r:id="rId13" w:history="1">
        <w:r w:rsidRPr="0006090D">
          <w:rPr>
            <w:rStyle w:val="Hyperlink"/>
          </w:rPr>
          <w:t>http://www.klajumi.lv/lv/</w:t>
        </w:r>
      </w:hyperlink>
      <w:r>
        <w:t xml:space="preserve"> </w:t>
      </w:r>
    </w:p>
  </w:footnote>
  <w:footnote w:id="15">
    <w:p w14:paraId="45A9F550" w14:textId="5BFE89EF" w:rsidR="0003144C" w:rsidRDefault="0003144C">
      <w:pPr>
        <w:pStyle w:val="FootnoteText"/>
      </w:pPr>
      <w:r>
        <w:rPr>
          <w:rStyle w:val="FootnoteReference"/>
        </w:rPr>
        <w:footnoteRef/>
      </w:r>
      <w:r>
        <w:t xml:space="preserve"> </w:t>
      </w:r>
      <w:hyperlink r:id="rId14" w:history="1">
        <w:r w:rsidRPr="0006090D">
          <w:rPr>
            <w:rStyle w:val="Hyperlink"/>
          </w:rPr>
          <w:t>http://naujenesmuzejs.lv/</w:t>
        </w:r>
      </w:hyperlink>
      <w:r>
        <w:t xml:space="preserve"> </w:t>
      </w:r>
    </w:p>
  </w:footnote>
  <w:footnote w:id="16">
    <w:p w14:paraId="2EFA9C75" w14:textId="308736F1" w:rsidR="0003144C" w:rsidRDefault="0003144C">
      <w:pPr>
        <w:pStyle w:val="FootnoteText"/>
      </w:pPr>
      <w:r>
        <w:rPr>
          <w:rStyle w:val="FootnoteReference"/>
        </w:rPr>
        <w:footnoteRef/>
      </w:r>
      <w:r>
        <w:t xml:space="preserve"> </w:t>
      </w:r>
      <w:hyperlink r:id="rId15" w:history="1">
        <w:r w:rsidRPr="0006090D">
          <w:rPr>
            <w:rStyle w:val="Hyperlink"/>
          </w:rPr>
          <w:t>https://kulturasdati.lv/lv/kulturvesturiskas-vietas/slutisku-etnografiska-vecticibnieku-sadza</w:t>
        </w:r>
      </w:hyperlink>
      <w:r>
        <w:t xml:space="preserve"> </w:t>
      </w:r>
    </w:p>
  </w:footnote>
  <w:footnote w:id="17">
    <w:p w14:paraId="356CF539" w14:textId="2F672131" w:rsidR="0003144C" w:rsidRDefault="0003144C">
      <w:pPr>
        <w:pStyle w:val="FootnoteText"/>
      </w:pPr>
      <w:r>
        <w:rPr>
          <w:rStyle w:val="FootnoteReference"/>
        </w:rPr>
        <w:footnoteRef/>
      </w:r>
      <w:r>
        <w:t xml:space="preserve"> </w:t>
      </w:r>
      <w:hyperlink r:id="rId16" w:history="1">
        <w:r w:rsidRPr="0006090D">
          <w:rPr>
            <w:rStyle w:val="Hyperlink"/>
          </w:rPr>
          <w:t>https://atputalatgale.com/</w:t>
        </w:r>
      </w:hyperlink>
      <w:r>
        <w:t xml:space="preserve"> </w:t>
      </w:r>
    </w:p>
  </w:footnote>
  <w:footnote w:id="18">
    <w:p w14:paraId="7E798648" w14:textId="5EAECEF7" w:rsidR="0003144C" w:rsidRDefault="0003144C">
      <w:pPr>
        <w:pStyle w:val="FootnoteText"/>
      </w:pPr>
      <w:r>
        <w:rPr>
          <w:rStyle w:val="FootnoteReference"/>
        </w:rPr>
        <w:footnoteRef/>
      </w:r>
      <w:r>
        <w:t xml:space="preserve"> </w:t>
      </w:r>
      <w:hyperlink r:id="rId17" w:history="1">
        <w:r w:rsidRPr="0006090D">
          <w:rPr>
            <w:rStyle w:val="Hyperlink"/>
          </w:rPr>
          <w:t>http://www.saulgoze.lv/</w:t>
        </w:r>
      </w:hyperlink>
      <w:r>
        <w:t xml:space="preserve"> </w:t>
      </w:r>
    </w:p>
  </w:footnote>
  <w:footnote w:id="19">
    <w:p w14:paraId="5F184D6C" w14:textId="71BF1420" w:rsidR="0003144C" w:rsidRDefault="0003144C">
      <w:pPr>
        <w:pStyle w:val="FootnoteText"/>
      </w:pPr>
      <w:r>
        <w:rPr>
          <w:rStyle w:val="FootnoteReference"/>
        </w:rPr>
        <w:footnoteRef/>
      </w:r>
      <w:r>
        <w:t xml:space="preserve"> </w:t>
      </w:r>
      <w:hyperlink r:id="rId18" w:history="1">
        <w:r w:rsidRPr="0006090D">
          <w:rPr>
            <w:rStyle w:val="Hyperlink"/>
          </w:rPr>
          <w:t>http://www.laivunoma.com/</w:t>
        </w:r>
      </w:hyperlink>
      <w:r>
        <w:t xml:space="preserve"> </w:t>
      </w:r>
    </w:p>
  </w:footnote>
  <w:footnote w:id="20">
    <w:p w14:paraId="61C6A761" w14:textId="0D620463" w:rsidR="0003144C" w:rsidRDefault="0003144C">
      <w:pPr>
        <w:pStyle w:val="FootnoteText"/>
      </w:pPr>
      <w:r>
        <w:rPr>
          <w:rStyle w:val="FootnoteReference"/>
        </w:rPr>
        <w:footnoteRef/>
      </w:r>
      <w:r>
        <w:t xml:space="preserve"> </w:t>
      </w:r>
      <w:hyperlink r:id="rId19" w:history="1">
        <w:r w:rsidRPr="0006090D">
          <w:rPr>
            <w:rStyle w:val="Hyperlink"/>
          </w:rPr>
          <w:t>https://www.campo.lv/</w:t>
        </w:r>
      </w:hyperlink>
      <w:r>
        <w:t xml:space="preserve"> </w:t>
      </w:r>
    </w:p>
  </w:footnote>
  <w:footnote w:id="21">
    <w:p w14:paraId="669F9B3C" w14:textId="3428F25F" w:rsidR="0003144C" w:rsidRDefault="0003144C">
      <w:pPr>
        <w:pStyle w:val="FootnoteText"/>
      </w:pPr>
      <w:r>
        <w:rPr>
          <w:rStyle w:val="FootnoteReference"/>
        </w:rPr>
        <w:footnoteRef/>
      </w:r>
      <w:r>
        <w:t xml:space="preserve"> </w:t>
      </w:r>
      <w:hyperlink r:id="rId20" w:history="1">
        <w:r w:rsidRPr="0006090D">
          <w:rPr>
            <w:rStyle w:val="Hyperlink"/>
          </w:rPr>
          <w:t>https://www.jenculaivas.lv/</w:t>
        </w:r>
      </w:hyperlink>
      <w:r>
        <w:t xml:space="preserve"> </w:t>
      </w:r>
    </w:p>
  </w:footnote>
  <w:footnote w:id="22">
    <w:p w14:paraId="1E3DE226" w14:textId="54FD3BC3" w:rsidR="0003144C" w:rsidRDefault="0003144C" w:rsidP="009A0814">
      <w:pPr>
        <w:pStyle w:val="FootnoteText"/>
      </w:pPr>
      <w:r>
        <w:rPr>
          <w:rStyle w:val="FootnoteReference"/>
        </w:rPr>
        <w:footnoteRef/>
      </w:r>
      <w:r>
        <w:t xml:space="preserve"> </w:t>
      </w:r>
      <w:r w:rsidRPr="009A0814">
        <w:t>Intervija ar laivu un plostu nomas SIA “Beibuks” īpašn</w:t>
      </w:r>
      <w:r>
        <w:t>ieku Ilmāru Lociku, 14.08.2019.</w:t>
      </w:r>
    </w:p>
  </w:footnote>
  <w:footnote w:id="23">
    <w:p w14:paraId="29F7535A" w14:textId="5AD7D7C6" w:rsidR="0003144C" w:rsidRDefault="0003144C" w:rsidP="009A0814">
      <w:pPr>
        <w:pStyle w:val="FootnoteText"/>
      </w:pPr>
      <w:r>
        <w:rPr>
          <w:rStyle w:val="FootnoteReference"/>
        </w:rPr>
        <w:footnoteRef/>
      </w:r>
      <w:r>
        <w:t xml:space="preserve"> </w:t>
      </w:r>
      <w:r w:rsidRPr="009A0814">
        <w:t>Elektroniskā intervija ar laivu nomas “Mučas” pārstāvi Latgalē</w:t>
      </w:r>
      <w:r>
        <w:t xml:space="preserve"> Jāni Vilcānu, 21.11.2019.</w:t>
      </w:r>
    </w:p>
  </w:footnote>
  <w:footnote w:id="24">
    <w:p w14:paraId="7541697C" w14:textId="3C0D7893" w:rsidR="0003144C" w:rsidRDefault="0003144C" w:rsidP="009A0814">
      <w:pPr>
        <w:pStyle w:val="FootnoteText"/>
      </w:pPr>
      <w:r>
        <w:rPr>
          <w:rStyle w:val="FootnoteReference"/>
        </w:rPr>
        <w:footnoteRef/>
      </w:r>
      <w:r>
        <w:t xml:space="preserve"> </w:t>
      </w:r>
      <w:r w:rsidRPr="009A0814">
        <w:t>Elektroniskā intervija ar laivu nomas “Aktīva atpūta Latgalē” pārstāvi</w:t>
      </w:r>
      <w:r>
        <w:t xml:space="preserve"> Pāvelu Lapkovski, 16.03.2020.</w:t>
      </w:r>
    </w:p>
  </w:footnote>
  <w:footnote w:id="25">
    <w:p w14:paraId="4EF54E3C" w14:textId="62CF9BEC" w:rsidR="0003144C" w:rsidRPr="00A07F29" w:rsidRDefault="0003144C">
      <w:pPr>
        <w:pStyle w:val="FootnoteText"/>
      </w:pPr>
      <w:r w:rsidRPr="00A07F29">
        <w:rPr>
          <w:rStyle w:val="FootnoteReference"/>
        </w:rPr>
        <w:footnoteRef/>
      </w:r>
      <w:r w:rsidRPr="00A07F29">
        <w:t xml:space="preserve"> </w:t>
      </w:r>
      <w:hyperlink r:id="rId21" w:history="1">
        <w:r w:rsidRPr="00A07F29">
          <w:rPr>
            <w:rStyle w:val="Hyperlink"/>
          </w:rPr>
          <w:t>www.mammadabakarte.lv</w:t>
        </w:r>
      </w:hyperlink>
    </w:p>
  </w:footnote>
  <w:footnote w:id="26">
    <w:p w14:paraId="58A9F002" w14:textId="6CD566BE" w:rsidR="0003144C" w:rsidRPr="00A07F29" w:rsidRDefault="0003144C">
      <w:pPr>
        <w:pStyle w:val="FootnoteText"/>
      </w:pPr>
      <w:r w:rsidRPr="00A07F29">
        <w:rPr>
          <w:rStyle w:val="FootnoteReference"/>
        </w:rPr>
        <w:footnoteRef/>
      </w:r>
      <w:r w:rsidRPr="00A07F29">
        <w:t xml:space="preserve"> </w:t>
      </w:r>
      <w:hyperlink r:id="rId22">
        <w:r w:rsidRPr="00A07F29">
          <w:rPr>
            <w:rStyle w:val="Hyperlink"/>
          </w:rPr>
          <w:t>https://www.meteo.lv/apex/f?p=117</w:t>
        </w:r>
      </w:hyperlink>
      <w:r w:rsidRPr="00A07F29">
        <w:t xml:space="preserve"> </w:t>
      </w:r>
      <w:r>
        <w:t>(autorizējoties LVĢMC mājas lapā)</w:t>
      </w:r>
    </w:p>
  </w:footnote>
  <w:footnote w:id="27">
    <w:p w14:paraId="111ED3F3" w14:textId="4A003E78" w:rsidR="0003144C" w:rsidRPr="00A07F29" w:rsidRDefault="0003144C">
      <w:pPr>
        <w:pStyle w:val="FootnoteText"/>
      </w:pPr>
      <w:r w:rsidRPr="00A07F29">
        <w:rPr>
          <w:rStyle w:val="FootnoteReference"/>
        </w:rPr>
        <w:footnoteRef/>
      </w:r>
      <w:r w:rsidRPr="00A07F29">
        <w:t xml:space="preserve"> </w:t>
      </w:r>
      <w:hyperlink r:id="rId23" w:history="1">
        <w:r w:rsidRPr="00A07F29">
          <w:rPr>
            <w:rStyle w:val="Hyperlink"/>
          </w:rPr>
          <w:t>http://cdr.eionet.europa.eu/help/natura2000</w:t>
        </w:r>
      </w:hyperlink>
      <w:r w:rsidRPr="00A07F29">
        <w:t xml:space="preserve"> 12. sadaļa</w:t>
      </w:r>
    </w:p>
  </w:footnote>
  <w:footnote w:id="28">
    <w:p w14:paraId="14F8DA5A" w14:textId="7E38274E" w:rsidR="0003144C" w:rsidRPr="00A07F29" w:rsidRDefault="0003144C">
      <w:pPr>
        <w:pStyle w:val="FootnoteText"/>
      </w:pPr>
      <w:r w:rsidRPr="00A07F29">
        <w:rPr>
          <w:rStyle w:val="FootnoteReference"/>
        </w:rPr>
        <w:footnoteRef/>
      </w:r>
      <w:r w:rsidRPr="00A07F29">
        <w:t xml:space="preserve">atbilstoši </w:t>
      </w:r>
      <w:hyperlink r:id="rId24" w:history="1">
        <w:r w:rsidRPr="00A07F29">
          <w:rPr>
            <w:rStyle w:val="Hyperlink"/>
          </w:rPr>
          <w:t>http://cdr.eionet.europa.eu/help/natura2000</w:t>
        </w:r>
      </w:hyperlink>
    </w:p>
  </w:footnote>
  <w:footnote w:id="29">
    <w:p w14:paraId="051345B2" w14:textId="735686E3" w:rsidR="0003144C" w:rsidRPr="00A07F29" w:rsidRDefault="0003144C">
      <w:pPr>
        <w:pStyle w:val="FootnoteText"/>
      </w:pPr>
      <w:r w:rsidRPr="00A07F29">
        <w:rPr>
          <w:rStyle w:val="FootnoteReference"/>
        </w:rPr>
        <w:footnoteRef/>
      </w:r>
      <w:hyperlink r:id="rId25" w:history="1">
        <w:r w:rsidRPr="00A07F29">
          <w:rPr>
            <w:rStyle w:val="Hyperlink"/>
            <w:bCs/>
          </w:rPr>
          <w:t>http://Natura2000.eea.europa.eu</w:t>
        </w:r>
      </w:hyperlink>
      <w:r w:rsidRPr="00A07F29">
        <w:rPr>
          <w:bCs/>
        </w:rPr>
        <w:t xml:space="preserve"> </w:t>
      </w:r>
      <w:r w:rsidRPr="00A07F29">
        <w:t xml:space="preserve"> </w:t>
      </w:r>
    </w:p>
  </w:footnote>
  <w:footnote w:id="30">
    <w:p w14:paraId="0CF92F80" w14:textId="6E4F18F3" w:rsidR="0003144C" w:rsidRPr="00A07F29" w:rsidRDefault="0003144C">
      <w:pPr>
        <w:pStyle w:val="FootnoteText"/>
      </w:pPr>
      <w:r w:rsidRPr="00A07F29">
        <w:rPr>
          <w:rStyle w:val="FootnoteReference"/>
        </w:rPr>
        <w:footnoteRef/>
      </w:r>
      <w:hyperlink r:id="rId26" w:history="1">
        <w:r w:rsidRPr="00A07F29">
          <w:rPr>
            <w:rStyle w:val="Hyperlink"/>
            <w:bCs/>
          </w:rPr>
          <w:t>http://Natura2000.eea.europa.eu</w:t>
        </w:r>
      </w:hyperlink>
      <w:r w:rsidRPr="00A07F29">
        <w:rPr>
          <w:bCs/>
        </w:rPr>
        <w:t xml:space="preserve"> </w:t>
      </w:r>
    </w:p>
  </w:footnote>
  <w:footnote w:id="31">
    <w:p w14:paraId="63A69456" w14:textId="24DFE455" w:rsidR="0003144C" w:rsidRDefault="0003144C">
      <w:pPr>
        <w:pStyle w:val="FootnoteText"/>
      </w:pPr>
      <w:r>
        <w:rPr>
          <w:rStyle w:val="FootnoteReference"/>
        </w:rPr>
        <w:footnoteRef/>
      </w:r>
      <w:r>
        <w:t xml:space="preserve"> </w:t>
      </w:r>
      <w:hyperlink r:id="rId27" w:history="1">
        <w:r w:rsidRPr="00E97C4D">
          <w:rPr>
            <w:rStyle w:val="Hyperlink"/>
          </w:rPr>
          <w:t>https://natura2000.eea.europa.eu/natura2000/SDF.aspx?site=LV0600400&amp;release=9&amp;form=Clean</w:t>
        </w:r>
      </w:hyperlink>
      <w:r>
        <w:t xml:space="preserve"> </w:t>
      </w:r>
    </w:p>
  </w:footnote>
  <w:footnote w:id="32">
    <w:p w14:paraId="0F0D120E" w14:textId="2158F4E0" w:rsidR="0003144C" w:rsidRDefault="0003144C">
      <w:pPr>
        <w:pStyle w:val="FootnoteText"/>
      </w:pPr>
      <w:r>
        <w:rPr>
          <w:rStyle w:val="FootnoteReference"/>
        </w:rPr>
        <w:footnoteRef/>
      </w:r>
      <w:r>
        <w:t xml:space="preserve"> </w:t>
      </w:r>
      <w:hyperlink r:id="rId28">
        <w:r w:rsidRPr="00A64C3B">
          <w:rPr>
            <w:rStyle w:val="Hyperlink"/>
          </w:rPr>
          <w:t>http://www.upes.lv/informacija/daugavas-baseins/</w:t>
        </w:r>
      </w:hyperlink>
    </w:p>
  </w:footnote>
  <w:footnote w:id="33">
    <w:p w14:paraId="576B01B2" w14:textId="6525D499" w:rsidR="0003144C" w:rsidRDefault="0003144C">
      <w:pPr>
        <w:pStyle w:val="FootnoteText"/>
      </w:pPr>
      <w:r>
        <w:rPr>
          <w:rStyle w:val="FootnoteReference"/>
        </w:rPr>
        <w:footnoteRef/>
      </w:r>
      <w:r>
        <w:t xml:space="preserve"> </w:t>
      </w:r>
      <w:hyperlink r:id="rId29" w:history="1">
        <w:r w:rsidRPr="009030C9">
          <w:rPr>
            <w:rStyle w:val="Hyperlink"/>
          </w:rPr>
          <w:t>http://Natura 2000.eea.europa.eu</w:t>
        </w:r>
      </w:hyperlink>
      <w:r>
        <w:t xml:space="preserve"> </w:t>
      </w:r>
    </w:p>
  </w:footnote>
  <w:footnote w:id="34">
    <w:p w14:paraId="5C36BAD6" w14:textId="7BC7D88A" w:rsidR="0003144C" w:rsidRDefault="0003144C">
      <w:pPr>
        <w:pStyle w:val="FootnoteText"/>
      </w:pPr>
      <w:r>
        <w:rPr>
          <w:rStyle w:val="FootnoteReference"/>
        </w:rPr>
        <w:footnoteRef/>
      </w:r>
      <w:r>
        <w:t xml:space="preserve"> </w:t>
      </w:r>
      <w:hyperlink r:id="rId30" w:history="1">
        <w:r w:rsidRPr="0006090D">
          <w:rPr>
            <w:rStyle w:val="Hyperlink"/>
          </w:rPr>
          <w:t>https://natura2000.eea.europa.eu/natura2000/SDF.aspx?site=LV0600400&amp;release=33&amp;form=Clean</w:t>
        </w:r>
      </w:hyperlink>
      <w:r>
        <w:t xml:space="preserve"> </w:t>
      </w:r>
    </w:p>
  </w:footnote>
  <w:footnote w:id="35">
    <w:p w14:paraId="5987779B" w14:textId="5274BB24" w:rsidR="0003144C" w:rsidRDefault="0003144C">
      <w:pPr>
        <w:pStyle w:val="FootnoteText"/>
      </w:pPr>
      <w:r>
        <w:rPr>
          <w:rStyle w:val="FootnoteReference"/>
        </w:rPr>
        <w:footnoteRef/>
      </w:r>
      <w:r>
        <w:t xml:space="preserve"> </w:t>
      </w:r>
      <w:hyperlink r:id="rId31" w:history="1">
        <w:r w:rsidRPr="0006090D">
          <w:rPr>
            <w:rStyle w:val="Hyperlink"/>
          </w:rPr>
          <w:t>https://natura2000.eea.europa.eu/natura2000/SDF.aspx?site=LV0600400&amp;release=33&amp;form=Clean</w:t>
        </w:r>
      </w:hyperlink>
      <w:r>
        <w:t xml:space="preserve"> </w:t>
      </w:r>
    </w:p>
  </w:footnote>
  <w:footnote w:id="36">
    <w:p w14:paraId="18F38870" w14:textId="2C35E380" w:rsidR="0003144C" w:rsidRDefault="0003144C">
      <w:pPr>
        <w:pStyle w:val="FootnoteText"/>
      </w:pPr>
      <w:r>
        <w:rPr>
          <w:rStyle w:val="FootnoteReference"/>
        </w:rPr>
        <w:footnoteRef/>
      </w:r>
      <w:r>
        <w:t xml:space="preserve"> </w:t>
      </w:r>
      <w:hyperlink r:id="rId32" w:history="1">
        <w:r w:rsidRPr="0006090D">
          <w:rPr>
            <w:rStyle w:val="Hyperlink"/>
          </w:rPr>
          <w:t>https://natura2000.eea.europa.eu/natura2000/SDF.aspx?site=LV0600400&amp;release=33&amp;form=Clean</w:t>
        </w:r>
      </w:hyperlink>
      <w:r>
        <w:t xml:space="preserve"> </w:t>
      </w:r>
    </w:p>
  </w:footnote>
  <w:footnote w:id="37">
    <w:p w14:paraId="4EBC6E30" w14:textId="64101DD1" w:rsidR="0003144C" w:rsidRDefault="0003144C">
      <w:pPr>
        <w:pStyle w:val="FootnoteText"/>
      </w:pPr>
      <w:r>
        <w:rPr>
          <w:rStyle w:val="FootnoteReference"/>
        </w:rPr>
        <w:footnoteRef/>
      </w:r>
      <w:r>
        <w:t xml:space="preserve"> </w:t>
      </w:r>
      <w:r w:rsidRPr="00891CB5">
        <w:t xml:space="preserve">portāla </w:t>
      </w:r>
      <w:hyperlink r:id="rId33" w:history="1">
        <w:r w:rsidRPr="00891CB5">
          <w:rPr>
            <w:rStyle w:val="Hyperlink"/>
          </w:rPr>
          <w:t>www.dabasdati.lv</w:t>
        </w:r>
      </w:hyperlink>
      <w:r w:rsidRPr="00891CB5">
        <w:t xml:space="preserve"> dati</w:t>
      </w:r>
    </w:p>
  </w:footnote>
  <w:footnote w:id="38">
    <w:p w14:paraId="3E758630" w14:textId="088652BD" w:rsidR="0003144C" w:rsidRDefault="0003144C">
      <w:pPr>
        <w:pStyle w:val="FootnoteText"/>
      </w:pPr>
      <w:r>
        <w:rPr>
          <w:rStyle w:val="FootnoteReference"/>
        </w:rPr>
        <w:footnoteRef/>
      </w:r>
      <w:r>
        <w:t xml:space="preserve"> </w:t>
      </w:r>
      <w:r w:rsidRPr="00C00699">
        <w:t xml:space="preserve">portāla </w:t>
      </w:r>
      <w:hyperlink r:id="rId34" w:history="1">
        <w:r w:rsidRPr="00F83C77">
          <w:rPr>
            <w:rStyle w:val="Hyperlink"/>
          </w:rPr>
          <w:t>https://dabasdati.lv/lv</w:t>
        </w:r>
      </w:hyperlink>
      <w:r>
        <w:t xml:space="preserve"> </w:t>
      </w:r>
      <w:r w:rsidRPr="00C00699">
        <w:t>dati</w:t>
      </w:r>
    </w:p>
  </w:footnote>
  <w:footnote w:id="39">
    <w:p w14:paraId="002A1365" w14:textId="72AC583F" w:rsidR="0003144C" w:rsidRDefault="0003144C">
      <w:pPr>
        <w:pStyle w:val="FootnoteText"/>
      </w:pPr>
      <w:r>
        <w:rPr>
          <w:rStyle w:val="FootnoteReference"/>
        </w:rPr>
        <w:footnoteRef/>
      </w:r>
      <w:r>
        <w:t xml:space="preserve"> </w:t>
      </w:r>
      <w:r w:rsidRPr="00D44480">
        <w:t xml:space="preserve">portāla </w:t>
      </w:r>
      <w:hyperlink r:id="rId35" w:history="1">
        <w:r w:rsidRPr="00596B9C">
          <w:rPr>
            <w:rStyle w:val="Hyperlink"/>
          </w:rPr>
          <w:t>https://dabasdati.lv/lv</w:t>
        </w:r>
      </w:hyperlink>
      <w:r>
        <w:t xml:space="preserve"> </w:t>
      </w:r>
      <w:r w:rsidRPr="00D44480">
        <w:t>dati</w:t>
      </w:r>
    </w:p>
  </w:footnote>
  <w:footnote w:id="40">
    <w:p w14:paraId="6BE9C7F8" w14:textId="125F1331" w:rsidR="0003144C" w:rsidRDefault="0003144C">
      <w:pPr>
        <w:pStyle w:val="FootnoteText"/>
      </w:pPr>
      <w:r>
        <w:rPr>
          <w:rStyle w:val="FootnoteReference"/>
        </w:rPr>
        <w:footnoteRef/>
      </w:r>
      <w:r>
        <w:t xml:space="preserve"> </w:t>
      </w:r>
      <w:hyperlink r:id="rId36" w:history="1">
        <w:r w:rsidRPr="002C184C">
          <w:rPr>
            <w:rStyle w:val="Hyperlink"/>
          </w:rPr>
          <w:t>https://www.daba.gov.lv/lv/biologiskas-daudzveidibas-monitoringa-parskati</w:t>
        </w:r>
      </w:hyperlink>
      <w:r>
        <w:t xml:space="preserve"> </w:t>
      </w:r>
    </w:p>
  </w:footnote>
  <w:footnote w:id="41">
    <w:p w14:paraId="208207D7" w14:textId="192FD81B" w:rsidR="0003144C" w:rsidRDefault="0003144C">
      <w:pPr>
        <w:pStyle w:val="FootnoteText"/>
      </w:pPr>
      <w:r>
        <w:rPr>
          <w:rStyle w:val="FootnoteReference"/>
        </w:rPr>
        <w:footnoteRef/>
      </w:r>
      <w:r>
        <w:t xml:space="preserve"> </w:t>
      </w:r>
      <w:hyperlink r:id="rId37">
        <w:r w:rsidRPr="00933137">
          <w:rPr>
            <w:rStyle w:val="Hyperlink"/>
          </w:rPr>
          <w:t>www.ezeri.lv</w:t>
        </w:r>
      </w:hyperlink>
      <w:r w:rsidRPr="00933137">
        <w:t>, BIOR dati</w:t>
      </w:r>
      <w:r>
        <w:t>.</w:t>
      </w:r>
    </w:p>
  </w:footnote>
  <w:footnote w:id="42">
    <w:p w14:paraId="537CEB5C" w14:textId="285BFA85" w:rsidR="0003144C" w:rsidRDefault="0003144C">
      <w:pPr>
        <w:pStyle w:val="FootnoteText"/>
      </w:pPr>
      <w:r>
        <w:rPr>
          <w:rStyle w:val="FootnoteReference"/>
        </w:rPr>
        <w:footnoteRef/>
      </w:r>
      <w:r>
        <w:t xml:space="preserve"> </w:t>
      </w:r>
      <w:hyperlink r:id="rId38" w:history="1">
        <w:r w:rsidRPr="00785EA1">
          <w:rPr>
            <w:rStyle w:val="Hyperlink"/>
          </w:rPr>
          <w:t>http://Natura 2000.eea.europa.eu/Natura 2000/SDF.aspx?site=LV0600400</w:t>
        </w:r>
      </w:hyperlink>
      <w:r>
        <w:t xml:space="preserve"> </w:t>
      </w:r>
    </w:p>
  </w:footnote>
  <w:footnote w:id="43">
    <w:p w14:paraId="0D325477" w14:textId="245B47B7" w:rsidR="0003144C" w:rsidRDefault="0003144C">
      <w:pPr>
        <w:pStyle w:val="FootnoteText"/>
      </w:pPr>
      <w:r>
        <w:rPr>
          <w:rStyle w:val="FootnoteReference"/>
        </w:rPr>
        <w:footnoteRef/>
      </w:r>
      <w:r>
        <w:t xml:space="preserve"> </w:t>
      </w:r>
      <w:hyperlink r:id="rId39" w:history="1">
        <w:r w:rsidRPr="00F772A1">
          <w:rPr>
            <w:rStyle w:val="Hyperlink"/>
          </w:rPr>
          <w:t>https://www.lob.lv/programmas/sugas/eiropas-ligzdojoso-putnu-atlants/</w:t>
        </w:r>
      </w:hyperlink>
      <w:r>
        <w:t xml:space="preserve"> </w:t>
      </w:r>
    </w:p>
  </w:footnote>
  <w:footnote w:id="44">
    <w:p w14:paraId="44DE93CC" w14:textId="25EE5956" w:rsidR="0003144C" w:rsidRDefault="0003144C">
      <w:pPr>
        <w:pStyle w:val="FootnoteText"/>
      </w:pPr>
      <w:r>
        <w:rPr>
          <w:rStyle w:val="FootnoteReference"/>
        </w:rPr>
        <w:footnoteRef/>
      </w:r>
      <w:r>
        <w:t xml:space="preserve"> </w:t>
      </w:r>
      <w:r w:rsidRPr="00B5584E">
        <w:t>dabas novērojumu portāls</w:t>
      </w:r>
      <w:r>
        <w:t>:</w:t>
      </w:r>
      <w:r w:rsidRPr="00B5584E">
        <w:t xml:space="preserve"> </w:t>
      </w:r>
      <w:hyperlink r:id="rId40" w:history="1">
        <w:r w:rsidRPr="00F772A1">
          <w:rPr>
            <w:rStyle w:val="Hyperlink"/>
          </w:rPr>
          <w:t>https://dabasdati.lv/lv</w:t>
        </w:r>
      </w:hyperlink>
      <w:r>
        <w:t xml:space="preserve"> </w:t>
      </w:r>
    </w:p>
  </w:footnote>
  <w:footnote w:id="45">
    <w:p w14:paraId="269CDA9F" w14:textId="6FD8423E" w:rsidR="0003144C" w:rsidRDefault="0003144C">
      <w:pPr>
        <w:pStyle w:val="FootnoteText"/>
      </w:pPr>
      <w:r>
        <w:rPr>
          <w:rStyle w:val="FootnoteReference"/>
        </w:rPr>
        <w:footnoteRef/>
      </w:r>
      <w:r>
        <w:t xml:space="preserve"> </w:t>
      </w:r>
      <w:hyperlink r:id="rId41" w:history="1">
        <w:r w:rsidRPr="0006090D">
          <w:rPr>
            <w:rStyle w:val="Hyperlink"/>
          </w:rPr>
          <w:t>https://natura2000.eea.europa.eu/natura2000/SDF.aspx?site=LV0600400&amp;release=9&amp;form=Clean</w:t>
        </w:r>
      </w:hyperlink>
      <w:r>
        <w:t xml:space="preserve"> </w:t>
      </w:r>
    </w:p>
  </w:footnote>
  <w:footnote w:id="46">
    <w:p w14:paraId="0B0C5F2F" w14:textId="1ECF51E6" w:rsidR="0003144C" w:rsidRDefault="0003144C">
      <w:pPr>
        <w:pStyle w:val="FootnoteText"/>
      </w:pPr>
      <w:r>
        <w:rPr>
          <w:rStyle w:val="FootnoteReference"/>
        </w:rPr>
        <w:footnoteRef/>
      </w:r>
      <w:r>
        <w:t xml:space="preserve"> </w:t>
      </w:r>
      <w:hyperlink r:id="rId42" w:history="1">
        <w:r w:rsidRPr="00F772A1">
          <w:rPr>
            <w:rStyle w:val="Hyperlink"/>
          </w:rPr>
          <w:t>http://Natura2000.eea.europa.eu/Natura2000/SDF.aspx?site=LV0600400</w:t>
        </w:r>
      </w:hyperlink>
      <w:r>
        <w:t xml:space="preserve"> </w:t>
      </w:r>
    </w:p>
  </w:footnote>
  <w:footnote w:id="47">
    <w:p w14:paraId="65E90F29" w14:textId="06FC41D1" w:rsidR="0003144C" w:rsidRPr="00A07F29" w:rsidRDefault="0003144C" w:rsidP="004F2FB2">
      <w:pPr>
        <w:pStyle w:val="FootnoteText"/>
      </w:pPr>
      <w:r w:rsidRPr="00A07F29">
        <w:rPr>
          <w:rStyle w:val="FootnoteReference"/>
          <w:rFonts w:eastAsia="Calibri"/>
        </w:rPr>
        <w:footnoteRef/>
      </w:r>
      <w:r w:rsidRPr="00A07F29">
        <w:t xml:space="preserve"> Račinskis E.</w:t>
      </w:r>
      <w:r>
        <w:t>,</w:t>
      </w:r>
      <w:r w:rsidRPr="00A07F29">
        <w:t xml:space="preserve"> 2004. Eiropas Savienības nozīmes putniem nozīmīgās vietas Latvijā. Rīga, LOB.: </w:t>
      </w:r>
      <w:hyperlink r:id="rId43" w:history="1">
        <w:r w:rsidRPr="00A07F29">
          <w:rPr>
            <w:rStyle w:val="Hyperlink"/>
            <w:rFonts w:eastAsia="Calibri"/>
          </w:rPr>
          <w:t>http://www.lob.lv/lv/pnv/gramata.php</w:t>
        </w:r>
      </w:hyperlink>
    </w:p>
  </w:footnote>
  <w:footnote w:id="48">
    <w:p w14:paraId="38F7915B" w14:textId="77777777" w:rsidR="0003144C" w:rsidRPr="00A07F29" w:rsidRDefault="0003144C" w:rsidP="004F2FB2">
      <w:pPr>
        <w:pStyle w:val="FootnoteText"/>
      </w:pPr>
      <w:r w:rsidRPr="00A07F29">
        <w:rPr>
          <w:rStyle w:val="FootnoteReference"/>
          <w:rFonts w:eastAsia="Calibri"/>
        </w:rPr>
        <w:footnoteRef/>
      </w:r>
      <w:r w:rsidRPr="00A07F29">
        <w:t xml:space="preserve"> </w:t>
      </w:r>
      <w:hyperlink r:id="rId44" w:history="1">
        <w:r w:rsidRPr="00A07F29">
          <w:rPr>
            <w:rStyle w:val="Hyperlink"/>
            <w:rFonts w:eastAsia="Calibri"/>
          </w:rPr>
          <w:t>http://cdr.eionet.europa.eu/Converters/run_conversion?file=lv/eu/art12/envxbhqxq/LV_birds_reports_20191030-151740.xml&amp;conv=612&amp;source=remote</w:t>
        </w:r>
      </w:hyperlink>
    </w:p>
  </w:footnote>
  <w:footnote w:id="49">
    <w:p w14:paraId="0C901466" w14:textId="77777777" w:rsidR="0003144C" w:rsidRPr="00A07F29" w:rsidRDefault="0003144C" w:rsidP="004F2FB2">
      <w:pPr>
        <w:pStyle w:val="FootnoteText"/>
        <w:rPr>
          <w:rStyle w:val="Hyperlink"/>
          <w:rFonts w:eastAsia="Calibri"/>
        </w:rPr>
      </w:pPr>
      <w:r w:rsidRPr="00A07F29">
        <w:rPr>
          <w:rStyle w:val="FootnoteReference"/>
          <w:rFonts w:eastAsia="Calibri"/>
        </w:rPr>
        <w:footnoteRef/>
      </w:r>
      <w:r w:rsidRPr="00A07F29">
        <w:t xml:space="preserve"> </w:t>
      </w:r>
      <w:hyperlink r:id="rId45" w:history="1">
        <w:r w:rsidRPr="00A07F29">
          <w:rPr>
            <w:rStyle w:val="Hyperlink"/>
            <w:rFonts w:eastAsia="Calibri"/>
          </w:rPr>
          <w:t>http://datazone.birdlife.org/info/euroredlist</w:t>
        </w:r>
      </w:hyperlink>
      <w:r w:rsidRPr="00A07F29">
        <w:rPr>
          <w:rStyle w:val="Hyperlink"/>
          <w:rFonts w:eastAsia="Calibri"/>
        </w:rPr>
        <w:t xml:space="preserve">; </w:t>
      </w:r>
      <w:bookmarkStart w:id="88" w:name="_Hlk185973908"/>
      <w:r w:rsidRPr="00A07F29">
        <w:rPr>
          <w:rStyle w:val="Hyperlink"/>
          <w:rFonts w:eastAsia="Calibri"/>
        </w:rPr>
        <w:t>izmantotie saīsinājumi (angļu valodā): LC – least concern; NT – near threatened, VU – vulnerabale, EN - endangared</w:t>
      </w:r>
      <w:bookmarkEnd w:id="88"/>
    </w:p>
    <w:p w14:paraId="34509A92" w14:textId="77777777" w:rsidR="0003144C" w:rsidRPr="00A07F29" w:rsidRDefault="0003144C" w:rsidP="004F2FB2">
      <w:pPr>
        <w:pStyle w:val="FootnoteText"/>
      </w:pPr>
    </w:p>
  </w:footnote>
  <w:footnote w:id="50">
    <w:p w14:paraId="1F7C4210" w14:textId="49A8871B" w:rsidR="00092B9F" w:rsidRDefault="00092B9F">
      <w:pPr>
        <w:pStyle w:val="FootnoteText"/>
      </w:pPr>
      <w:r>
        <w:rPr>
          <w:rStyle w:val="FootnoteReference"/>
        </w:rPr>
        <w:footnoteRef/>
      </w:r>
      <w:r>
        <w:t xml:space="preserve"> </w:t>
      </w:r>
      <w:hyperlink r:id="rId46" w:history="1">
        <w:r w:rsidRPr="009920BF">
          <w:rPr>
            <w:rStyle w:val="Hyperlink"/>
          </w:rPr>
          <w:t>https://www.lob.lv/programmas/sugas/eiropas-ligzdojoso-putnu-atlants/</w:t>
        </w:r>
      </w:hyperlink>
      <w:r>
        <w:t xml:space="preserve"> </w:t>
      </w:r>
    </w:p>
  </w:footnote>
  <w:footnote w:id="51">
    <w:p w14:paraId="77D21C23" w14:textId="4F1FBE88" w:rsidR="0003144C" w:rsidRDefault="0003144C">
      <w:pPr>
        <w:pStyle w:val="FootnoteText"/>
      </w:pPr>
      <w:r>
        <w:rPr>
          <w:rStyle w:val="FootnoteReference"/>
        </w:rPr>
        <w:footnoteRef/>
      </w:r>
      <w:r>
        <w:t xml:space="preserve"> </w:t>
      </w:r>
      <w:hyperlink r:id="rId47" w:history="1">
        <w:r w:rsidRPr="00D468F4">
          <w:rPr>
            <w:rStyle w:val="Hyperlink"/>
          </w:rPr>
          <w:t>https://www.daugavpilsnovads.lv/Media/Default/file/2012/Publiskie%20dokumenti/Dabas_parka_Daugavas_loki_turisma_attistibas_ricibas_plans.pdf</w:t>
        </w:r>
      </w:hyperlink>
      <w:r>
        <w:t xml:space="preserve"> </w:t>
      </w:r>
    </w:p>
  </w:footnote>
  <w:footnote w:id="52">
    <w:p w14:paraId="3E66E034" w14:textId="1E94F882" w:rsidR="0003144C" w:rsidRDefault="0003144C">
      <w:pPr>
        <w:pStyle w:val="FootnoteText"/>
      </w:pPr>
      <w:r>
        <w:rPr>
          <w:rStyle w:val="FootnoteReference"/>
        </w:rPr>
        <w:footnoteRef/>
      </w:r>
      <w:r>
        <w:t xml:space="preserve"> </w:t>
      </w:r>
      <w:hyperlink r:id="rId48" w:history="1">
        <w:r w:rsidRPr="000C4D5B">
          <w:rPr>
            <w:rStyle w:val="Hyperlink"/>
          </w:rPr>
          <w:t>https://m.likumi.lv/ta/id/166690-par-stacionaro-aizsardzibas-buvju-buvniecibas-programmu-bistamo-vielu-ierobezosanai-daugava-2008-2012gadam</w:t>
        </w:r>
      </w:hyperlink>
      <w:r>
        <w:t xml:space="preserve"> </w:t>
      </w:r>
    </w:p>
  </w:footnote>
  <w:footnote w:id="53">
    <w:p w14:paraId="3D23A470" w14:textId="78A6B1E3" w:rsidR="0003144C" w:rsidRDefault="0003144C">
      <w:pPr>
        <w:pStyle w:val="FootnoteText"/>
      </w:pPr>
      <w:r>
        <w:rPr>
          <w:rStyle w:val="FootnoteReference"/>
        </w:rPr>
        <w:footnoteRef/>
      </w:r>
      <w:r>
        <w:t xml:space="preserve"> </w:t>
      </w:r>
      <w:hyperlink r:id="rId49" w:history="1">
        <w:r w:rsidRPr="000C4D5B">
          <w:rPr>
            <w:rStyle w:val="Hyperlink"/>
          </w:rPr>
          <w:t>https://www.daba.gov.lv/lv/informativo-materialu-katalogs/aizsargajamo-biotopu-saglabasanas-vadlinijas-latvija-2017</w:t>
        </w:r>
      </w:hyperlink>
      <w:r>
        <w:t xml:space="preserve"> </w:t>
      </w:r>
    </w:p>
  </w:footnote>
  <w:footnote w:id="54">
    <w:p w14:paraId="44EE86CD" w14:textId="02DF780F" w:rsidR="0003144C" w:rsidRDefault="0003144C">
      <w:pPr>
        <w:pStyle w:val="FootnoteText"/>
      </w:pPr>
      <w:r>
        <w:rPr>
          <w:rStyle w:val="FootnoteReference"/>
        </w:rPr>
        <w:footnoteRef/>
      </w:r>
      <w:r>
        <w:t xml:space="preserve"> </w:t>
      </w:r>
      <w:hyperlink r:id="rId50" w:history="1">
        <w:r w:rsidRPr="000C4D5B">
          <w:rPr>
            <w:rStyle w:val="Hyperlink"/>
          </w:rPr>
          <w:t>https://www.daba.gov.lv/lv/informativo-materialu-katalogs/aizsargajamo-biotopu-saglabasanas-vadlinijas-latvija-2017</w:t>
        </w:r>
      </w:hyperlink>
      <w:r>
        <w:t xml:space="preserve"> </w:t>
      </w:r>
    </w:p>
  </w:footnote>
  <w:footnote w:id="55">
    <w:p w14:paraId="4810F353" w14:textId="3CCE3E6A" w:rsidR="008D1439" w:rsidRDefault="008D1439">
      <w:pPr>
        <w:pStyle w:val="FootnoteText"/>
      </w:pPr>
      <w:r>
        <w:rPr>
          <w:rStyle w:val="FootnoteReference"/>
        </w:rPr>
        <w:footnoteRef/>
      </w:r>
      <w:r>
        <w:t xml:space="preserve"> </w:t>
      </w:r>
      <w:hyperlink r:id="rId51" w:history="1">
        <w:r w:rsidRPr="009920BF">
          <w:rPr>
            <w:rStyle w:val="Hyperlink"/>
          </w:rPr>
          <w:t>https://www.daba.gov.lv/lv/invazivas-sugas</w:t>
        </w:r>
      </w:hyperlink>
      <w:r>
        <w:t xml:space="preserve"> </w:t>
      </w:r>
    </w:p>
  </w:footnote>
  <w:footnote w:id="56">
    <w:p w14:paraId="262E0408" w14:textId="4C27922C" w:rsidR="0003144C" w:rsidRDefault="0003144C">
      <w:pPr>
        <w:pStyle w:val="FootnoteText"/>
      </w:pPr>
      <w:r>
        <w:rPr>
          <w:rStyle w:val="FootnoteReference"/>
        </w:rPr>
        <w:footnoteRef/>
      </w:r>
      <w:r>
        <w:t xml:space="preserve"> </w:t>
      </w:r>
      <w:hyperlink r:id="rId52" w:history="1">
        <w:r w:rsidRPr="000C4D5B">
          <w:rPr>
            <w:rStyle w:val="Hyperlink"/>
          </w:rPr>
          <w:t>https://www.daba.gov.lv/lv/iadt-vienotais-stils</w:t>
        </w:r>
      </w:hyperlink>
      <w:r>
        <w:t xml:space="preserve"> </w:t>
      </w:r>
    </w:p>
  </w:footnote>
  <w:footnote w:id="57">
    <w:p w14:paraId="45A8E9B7" w14:textId="78A72162" w:rsidR="00431FAC" w:rsidRDefault="00431FAC">
      <w:pPr>
        <w:pStyle w:val="FootnoteText"/>
      </w:pPr>
      <w:r>
        <w:rPr>
          <w:rStyle w:val="FootnoteReference"/>
        </w:rPr>
        <w:footnoteRef/>
      </w:r>
      <w:r>
        <w:t xml:space="preserve"> </w:t>
      </w:r>
      <w:hyperlink r:id="rId53" w:history="1">
        <w:r w:rsidR="00D8148F" w:rsidRPr="009920BF">
          <w:rPr>
            <w:rStyle w:val="Hyperlink"/>
          </w:rPr>
          <w:t>https://lvafa.vraa.gov.lv/faili/materiali/petijumi/2017/LEB_40/Vadlinijas%20smilsu%20krupja%20vairosanai%20nebrive.pdf</w:t>
        </w:r>
      </w:hyperlink>
      <w:r w:rsidR="00D8148F">
        <w:t xml:space="preserve"> </w:t>
      </w:r>
    </w:p>
  </w:footnote>
  <w:footnote w:id="58">
    <w:p w14:paraId="5C650C53" w14:textId="317864E7" w:rsidR="0003144C" w:rsidRDefault="0003144C" w:rsidP="006013AB">
      <w:pPr>
        <w:pStyle w:val="FootnoteText"/>
        <w:ind w:firstLine="0"/>
      </w:pPr>
      <w:r w:rsidRPr="00A92654">
        <w:rPr>
          <w:sz w:val="16"/>
          <w:szCs w:val="16"/>
        </w:rPr>
        <w:footnoteRef/>
      </w:r>
      <w:r w:rsidRPr="00A07F29">
        <w:rPr>
          <w:rFonts w:ascii="apple-system;BlinkMacSystemFont" w:hAnsi="apple-system;BlinkMacSystemFont"/>
          <w:color w:val="222222"/>
          <w:sz w:val="24"/>
        </w:rPr>
        <w:tab/>
      </w:r>
      <w:r w:rsidRPr="00A07F29">
        <w:rPr>
          <w:rFonts w:ascii="Liberation Serif" w:hAnsi="Liberation Serif"/>
          <w:color w:val="222222"/>
        </w:rPr>
        <w:t>Xing, W., Wu, H., Shi, Q. </w:t>
      </w:r>
      <w:r w:rsidRPr="00A07F29">
        <w:rPr>
          <w:rFonts w:ascii="Liberation Serif" w:hAnsi="Liberation Serif"/>
          <w:i/>
          <w:color w:val="222222"/>
        </w:rPr>
        <w:t>et al.</w:t>
      </w:r>
      <w:r w:rsidRPr="00A07F29">
        <w:rPr>
          <w:rFonts w:ascii="Liberation Serif" w:hAnsi="Liberation Serif"/>
          <w:color w:val="222222"/>
        </w:rPr>
        <w:t> Multielement stoichiometry of submerged macrophytes across Yunnan plateau lakes (China). </w:t>
      </w:r>
      <w:r w:rsidRPr="00A07F29">
        <w:rPr>
          <w:rFonts w:ascii="Liberation Serif" w:hAnsi="Liberation Serif"/>
          <w:i/>
          <w:color w:val="222222"/>
        </w:rPr>
        <w:t>Sci Rep</w:t>
      </w:r>
      <w:r w:rsidRPr="00A07F29">
        <w:rPr>
          <w:rFonts w:ascii="Liberation Serif" w:hAnsi="Liberation Serif"/>
          <w:color w:val="222222"/>
        </w:rPr>
        <w:t xml:space="preserve"> 5, 10186 (2015) </w:t>
      </w:r>
      <w:hyperlink r:id="rId54" w:history="1">
        <w:r w:rsidRPr="00A07F29">
          <w:rPr>
            <w:rStyle w:val="Hyperlink"/>
          </w:rPr>
          <w:t>https://www.nature.com/articles/srep10186</w:t>
        </w:r>
      </w:hyperlink>
    </w:p>
  </w:footnote>
  <w:footnote w:id="59">
    <w:p w14:paraId="5335A20E" w14:textId="31C156D8" w:rsidR="008E3B38" w:rsidRDefault="008E3B38">
      <w:pPr>
        <w:pStyle w:val="FootnoteText"/>
      </w:pPr>
      <w:r>
        <w:rPr>
          <w:rStyle w:val="FootnoteReference"/>
        </w:rPr>
        <w:footnoteRef/>
      </w:r>
      <w:r>
        <w:t xml:space="preserve"> </w:t>
      </w:r>
      <w:hyperlink r:id="rId55" w:history="1">
        <w:r w:rsidR="006D2A2A" w:rsidRPr="009920BF">
          <w:rPr>
            <w:rStyle w:val="Hyperlink"/>
          </w:rPr>
          <w:t>https://www.daba.gov.lv/lv/apsaimniekosanas-pasakumu-metodikas</w:t>
        </w:r>
      </w:hyperlink>
      <w:r w:rsidR="006D2A2A">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B987A" w14:textId="78022DF0" w:rsidR="0003144C" w:rsidRPr="00A07F29" w:rsidRDefault="0003144C" w:rsidP="00C511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13489"/>
    <w:multiLevelType w:val="hybridMultilevel"/>
    <w:tmpl w:val="3B0EE99A"/>
    <w:lvl w:ilvl="0" w:tplc="04260001">
      <w:start w:val="1"/>
      <w:numFmt w:val="bullet"/>
      <w:lvlText w:val=""/>
      <w:lvlJc w:val="left"/>
      <w:pPr>
        <w:ind w:left="1632" w:hanging="360"/>
      </w:pPr>
      <w:rPr>
        <w:rFonts w:ascii="Symbol" w:hAnsi="Symbol" w:hint="default"/>
      </w:rPr>
    </w:lvl>
    <w:lvl w:ilvl="1" w:tplc="04260003" w:tentative="1">
      <w:start w:val="1"/>
      <w:numFmt w:val="bullet"/>
      <w:lvlText w:val="o"/>
      <w:lvlJc w:val="left"/>
      <w:pPr>
        <w:ind w:left="2352" w:hanging="360"/>
      </w:pPr>
      <w:rPr>
        <w:rFonts w:ascii="Courier New" w:hAnsi="Courier New" w:cs="Courier New" w:hint="default"/>
      </w:rPr>
    </w:lvl>
    <w:lvl w:ilvl="2" w:tplc="04260005" w:tentative="1">
      <w:start w:val="1"/>
      <w:numFmt w:val="bullet"/>
      <w:lvlText w:val=""/>
      <w:lvlJc w:val="left"/>
      <w:pPr>
        <w:ind w:left="3072" w:hanging="360"/>
      </w:pPr>
      <w:rPr>
        <w:rFonts w:ascii="Wingdings" w:hAnsi="Wingdings" w:hint="default"/>
      </w:rPr>
    </w:lvl>
    <w:lvl w:ilvl="3" w:tplc="04260001" w:tentative="1">
      <w:start w:val="1"/>
      <w:numFmt w:val="bullet"/>
      <w:lvlText w:val=""/>
      <w:lvlJc w:val="left"/>
      <w:pPr>
        <w:ind w:left="3792" w:hanging="360"/>
      </w:pPr>
      <w:rPr>
        <w:rFonts w:ascii="Symbol" w:hAnsi="Symbol" w:hint="default"/>
      </w:rPr>
    </w:lvl>
    <w:lvl w:ilvl="4" w:tplc="04260003" w:tentative="1">
      <w:start w:val="1"/>
      <w:numFmt w:val="bullet"/>
      <w:lvlText w:val="o"/>
      <w:lvlJc w:val="left"/>
      <w:pPr>
        <w:ind w:left="4512" w:hanging="360"/>
      </w:pPr>
      <w:rPr>
        <w:rFonts w:ascii="Courier New" w:hAnsi="Courier New" w:cs="Courier New" w:hint="default"/>
      </w:rPr>
    </w:lvl>
    <w:lvl w:ilvl="5" w:tplc="04260005" w:tentative="1">
      <w:start w:val="1"/>
      <w:numFmt w:val="bullet"/>
      <w:lvlText w:val=""/>
      <w:lvlJc w:val="left"/>
      <w:pPr>
        <w:ind w:left="5232" w:hanging="360"/>
      </w:pPr>
      <w:rPr>
        <w:rFonts w:ascii="Wingdings" w:hAnsi="Wingdings" w:hint="default"/>
      </w:rPr>
    </w:lvl>
    <w:lvl w:ilvl="6" w:tplc="04260001" w:tentative="1">
      <w:start w:val="1"/>
      <w:numFmt w:val="bullet"/>
      <w:lvlText w:val=""/>
      <w:lvlJc w:val="left"/>
      <w:pPr>
        <w:ind w:left="5952" w:hanging="360"/>
      </w:pPr>
      <w:rPr>
        <w:rFonts w:ascii="Symbol" w:hAnsi="Symbol" w:hint="default"/>
      </w:rPr>
    </w:lvl>
    <w:lvl w:ilvl="7" w:tplc="04260003" w:tentative="1">
      <w:start w:val="1"/>
      <w:numFmt w:val="bullet"/>
      <w:lvlText w:val="o"/>
      <w:lvlJc w:val="left"/>
      <w:pPr>
        <w:ind w:left="6672" w:hanging="360"/>
      </w:pPr>
      <w:rPr>
        <w:rFonts w:ascii="Courier New" w:hAnsi="Courier New" w:cs="Courier New" w:hint="default"/>
      </w:rPr>
    </w:lvl>
    <w:lvl w:ilvl="8" w:tplc="04260005" w:tentative="1">
      <w:start w:val="1"/>
      <w:numFmt w:val="bullet"/>
      <w:lvlText w:val=""/>
      <w:lvlJc w:val="left"/>
      <w:pPr>
        <w:ind w:left="7392" w:hanging="360"/>
      </w:pPr>
      <w:rPr>
        <w:rFonts w:ascii="Wingdings" w:hAnsi="Wingdings" w:hint="default"/>
      </w:rPr>
    </w:lvl>
  </w:abstractNum>
  <w:abstractNum w:abstractNumId="1" w15:restartNumberingAfterBreak="0">
    <w:nsid w:val="05CA3D6C"/>
    <w:multiLevelType w:val="hybridMultilevel"/>
    <w:tmpl w:val="ACFCB4B2"/>
    <w:lvl w:ilvl="0" w:tplc="04260001">
      <w:start w:val="1"/>
      <w:numFmt w:val="bullet"/>
      <w:lvlText w:val=""/>
      <w:lvlJc w:val="left"/>
      <w:pPr>
        <w:ind w:left="1571" w:hanging="360"/>
      </w:pPr>
      <w:rPr>
        <w:rFonts w:ascii="Symbol" w:hAnsi="Symbol" w:hint="default"/>
      </w:rPr>
    </w:lvl>
    <w:lvl w:ilvl="1" w:tplc="C07E3542">
      <w:numFmt w:val="bullet"/>
      <w:lvlText w:val="-"/>
      <w:lvlJc w:val="left"/>
      <w:pPr>
        <w:ind w:left="2519" w:hanging="588"/>
      </w:pPr>
      <w:rPr>
        <w:rFonts w:ascii="Times New Roman" w:eastAsia="Calibri" w:hAnsi="Times New Roman" w:cs="Times New Roman"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2" w15:restartNumberingAfterBreak="0">
    <w:nsid w:val="064B2A0C"/>
    <w:multiLevelType w:val="hybridMultilevel"/>
    <w:tmpl w:val="92FA15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92C1795"/>
    <w:multiLevelType w:val="hybridMultilevel"/>
    <w:tmpl w:val="CCF20562"/>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 w15:restartNumberingAfterBreak="0">
    <w:nsid w:val="0BB42ECE"/>
    <w:multiLevelType w:val="hybridMultilevel"/>
    <w:tmpl w:val="8EE8E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2F0CB8"/>
    <w:multiLevelType w:val="hybridMultilevel"/>
    <w:tmpl w:val="2B04A39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4EE21C3"/>
    <w:multiLevelType w:val="hybridMultilevel"/>
    <w:tmpl w:val="D096B048"/>
    <w:lvl w:ilvl="0" w:tplc="04260001">
      <w:start w:val="1"/>
      <w:numFmt w:val="bullet"/>
      <w:lvlText w:val=""/>
      <w:lvlJc w:val="left"/>
      <w:pPr>
        <w:ind w:left="862" w:hanging="360"/>
      </w:pPr>
      <w:rPr>
        <w:rFonts w:ascii="Symbol" w:hAnsi="Symbol" w:cs="Symbol" w:hint="default"/>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cs="Wingdings" w:hint="default"/>
      </w:rPr>
    </w:lvl>
    <w:lvl w:ilvl="3" w:tplc="04260001" w:tentative="1">
      <w:start w:val="1"/>
      <w:numFmt w:val="bullet"/>
      <w:lvlText w:val=""/>
      <w:lvlJc w:val="left"/>
      <w:pPr>
        <w:ind w:left="3022" w:hanging="360"/>
      </w:pPr>
      <w:rPr>
        <w:rFonts w:ascii="Symbol" w:hAnsi="Symbol" w:cs="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cs="Wingdings" w:hint="default"/>
      </w:rPr>
    </w:lvl>
    <w:lvl w:ilvl="6" w:tplc="04260001" w:tentative="1">
      <w:start w:val="1"/>
      <w:numFmt w:val="bullet"/>
      <w:lvlText w:val=""/>
      <w:lvlJc w:val="left"/>
      <w:pPr>
        <w:ind w:left="5182" w:hanging="360"/>
      </w:pPr>
      <w:rPr>
        <w:rFonts w:ascii="Symbol" w:hAnsi="Symbol" w:cs="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cs="Wingdings" w:hint="default"/>
      </w:rPr>
    </w:lvl>
  </w:abstractNum>
  <w:abstractNum w:abstractNumId="7" w15:restartNumberingAfterBreak="0">
    <w:nsid w:val="157D0AE7"/>
    <w:multiLevelType w:val="hybridMultilevel"/>
    <w:tmpl w:val="FFFFFFFF"/>
    <w:lvl w:ilvl="0" w:tplc="CAA6E15C">
      <w:start w:val="1"/>
      <w:numFmt w:val="decimal"/>
      <w:lvlText w:val="%1)"/>
      <w:lvlJc w:val="left"/>
      <w:pPr>
        <w:ind w:left="720" w:hanging="360"/>
      </w:pPr>
    </w:lvl>
    <w:lvl w:ilvl="1" w:tplc="43CA0FC6">
      <w:start w:val="1"/>
      <w:numFmt w:val="lowerLetter"/>
      <w:lvlText w:val="%2."/>
      <w:lvlJc w:val="left"/>
      <w:pPr>
        <w:ind w:left="1440" w:hanging="360"/>
      </w:pPr>
    </w:lvl>
    <w:lvl w:ilvl="2" w:tplc="66623040">
      <w:start w:val="1"/>
      <w:numFmt w:val="lowerRoman"/>
      <w:lvlText w:val="%3."/>
      <w:lvlJc w:val="right"/>
      <w:pPr>
        <w:ind w:left="2160" w:hanging="180"/>
      </w:pPr>
    </w:lvl>
    <w:lvl w:ilvl="3" w:tplc="5F1E8F6A">
      <w:start w:val="1"/>
      <w:numFmt w:val="decimal"/>
      <w:lvlText w:val="%4."/>
      <w:lvlJc w:val="left"/>
      <w:pPr>
        <w:ind w:left="2880" w:hanging="360"/>
      </w:pPr>
    </w:lvl>
    <w:lvl w:ilvl="4" w:tplc="6D025626">
      <w:start w:val="1"/>
      <w:numFmt w:val="lowerLetter"/>
      <w:lvlText w:val="%5."/>
      <w:lvlJc w:val="left"/>
      <w:pPr>
        <w:ind w:left="3600" w:hanging="360"/>
      </w:pPr>
    </w:lvl>
    <w:lvl w:ilvl="5" w:tplc="47D63C9E">
      <w:start w:val="1"/>
      <w:numFmt w:val="lowerRoman"/>
      <w:lvlText w:val="%6."/>
      <w:lvlJc w:val="right"/>
      <w:pPr>
        <w:ind w:left="4320" w:hanging="180"/>
      </w:pPr>
    </w:lvl>
    <w:lvl w:ilvl="6" w:tplc="D9B8256E">
      <w:start w:val="1"/>
      <w:numFmt w:val="decimal"/>
      <w:lvlText w:val="%7."/>
      <w:lvlJc w:val="left"/>
      <w:pPr>
        <w:ind w:left="5040" w:hanging="360"/>
      </w:pPr>
    </w:lvl>
    <w:lvl w:ilvl="7" w:tplc="68FAA162">
      <w:start w:val="1"/>
      <w:numFmt w:val="lowerLetter"/>
      <w:lvlText w:val="%8."/>
      <w:lvlJc w:val="left"/>
      <w:pPr>
        <w:ind w:left="5760" w:hanging="360"/>
      </w:pPr>
    </w:lvl>
    <w:lvl w:ilvl="8" w:tplc="AA16A36C">
      <w:start w:val="1"/>
      <w:numFmt w:val="lowerRoman"/>
      <w:lvlText w:val="%9."/>
      <w:lvlJc w:val="right"/>
      <w:pPr>
        <w:ind w:left="6480" w:hanging="180"/>
      </w:pPr>
    </w:lvl>
  </w:abstractNum>
  <w:abstractNum w:abstractNumId="8" w15:restartNumberingAfterBreak="0">
    <w:nsid w:val="17DE60EF"/>
    <w:multiLevelType w:val="hybridMultilevel"/>
    <w:tmpl w:val="D6063D9C"/>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9" w15:restartNumberingAfterBreak="0">
    <w:nsid w:val="18CE50B4"/>
    <w:multiLevelType w:val="hybridMultilevel"/>
    <w:tmpl w:val="5C0A716A"/>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0" w15:restartNumberingAfterBreak="0">
    <w:nsid w:val="1A0C7F6F"/>
    <w:multiLevelType w:val="hybridMultilevel"/>
    <w:tmpl w:val="15ACE974"/>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1" w15:restartNumberingAfterBreak="0">
    <w:nsid w:val="1C5D5BB4"/>
    <w:multiLevelType w:val="hybridMultilevel"/>
    <w:tmpl w:val="C032F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EF23F6"/>
    <w:multiLevelType w:val="hybridMultilevel"/>
    <w:tmpl w:val="7E0060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F163722"/>
    <w:multiLevelType w:val="hybridMultilevel"/>
    <w:tmpl w:val="9B78EB8A"/>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4" w15:restartNumberingAfterBreak="0">
    <w:nsid w:val="1FEE1F31"/>
    <w:multiLevelType w:val="hybridMultilevel"/>
    <w:tmpl w:val="AE300FB8"/>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5" w15:restartNumberingAfterBreak="0">
    <w:nsid w:val="23273C7E"/>
    <w:multiLevelType w:val="hybridMultilevel"/>
    <w:tmpl w:val="B9EE8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56F3D9F"/>
    <w:multiLevelType w:val="hybridMultilevel"/>
    <w:tmpl w:val="72268632"/>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7" w15:restartNumberingAfterBreak="0">
    <w:nsid w:val="28DB05C7"/>
    <w:multiLevelType w:val="hybridMultilevel"/>
    <w:tmpl w:val="A73C545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28F33037"/>
    <w:multiLevelType w:val="hybridMultilevel"/>
    <w:tmpl w:val="DCDA58A0"/>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9" w15:restartNumberingAfterBreak="0">
    <w:nsid w:val="2ECB4B4B"/>
    <w:multiLevelType w:val="hybridMultilevel"/>
    <w:tmpl w:val="66CAE402"/>
    <w:lvl w:ilvl="0" w:tplc="AAB2DFC2">
      <w:start w:val="1"/>
      <w:numFmt w:val="decimal"/>
      <w:lvlText w:val="%1."/>
      <w:lvlJc w:val="left"/>
      <w:pPr>
        <w:ind w:left="928" w:hanging="360"/>
      </w:pPr>
    </w:lvl>
    <w:lvl w:ilvl="1" w:tplc="90744DB8">
      <w:start w:val="1"/>
      <w:numFmt w:val="lowerLetter"/>
      <w:lvlText w:val="%2."/>
      <w:lvlJc w:val="left"/>
      <w:pPr>
        <w:ind w:left="1648" w:hanging="360"/>
      </w:pPr>
    </w:lvl>
    <w:lvl w:ilvl="2" w:tplc="01A684CA">
      <w:start w:val="1"/>
      <w:numFmt w:val="lowerRoman"/>
      <w:lvlText w:val="%3."/>
      <w:lvlJc w:val="right"/>
      <w:pPr>
        <w:ind w:left="2368" w:hanging="180"/>
      </w:pPr>
    </w:lvl>
    <w:lvl w:ilvl="3" w:tplc="C2689EB4">
      <w:start w:val="1"/>
      <w:numFmt w:val="decimal"/>
      <w:lvlText w:val="%4."/>
      <w:lvlJc w:val="left"/>
      <w:pPr>
        <w:ind w:left="3088" w:hanging="360"/>
      </w:pPr>
    </w:lvl>
    <w:lvl w:ilvl="4" w:tplc="FAC4F6AA">
      <w:start w:val="1"/>
      <w:numFmt w:val="lowerLetter"/>
      <w:lvlText w:val="%5."/>
      <w:lvlJc w:val="left"/>
      <w:pPr>
        <w:ind w:left="3808" w:hanging="360"/>
      </w:pPr>
    </w:lvl>
    <w:lvl w:ilvl="5" w:tplc="98C2AE96">
      <w:start w:val="1"/>
      <w:numFmt w:val="lowerRoman"/>
      <w:lvlText w:val="%6."/>
      <w:lvlJc w:val="right"/>
      <w:pPr>
        <w:ind w:left="4528" w:hanging="180"/>
      </w:pPr>
    </w:lvl>
    <w:lvl w:ilvl="6" w:tplc="3B8CDE80">
      <w:start w:val="1"/>
      <w:numFmt w:val="decimal"/>
      <w:lvlText w:val="%7."/>
      <w:lvlJc w:val="left"/>
      <w:pPr>
        <w:ind w:left="5248" w:hanging="360"/>
      </w:pPr>
    </w:lvl>
    <w:lvl w:ilvl="7" w:tplc="9920E85C">
      <w:start w:val="1"/>
      <w:numFmt w:val="lowerLetter"/>
      <w:lvlText w:val="%8."/>
      <w:lvlJc w:val="left"/>
      <w:pPr>
        <w:ind w:left="5968" w:hanging="360"/>
      </w:pPr>
    </w:lvl>
    <w:lvl w:ilvl="8" w:tplc="ACB2CB12">
      <w:start w:val="1"/>
      <w:numFmt w:val="lowerRoman"/>
      <w:lvlText w:val="%9."/>
      <w:lvlJc w:val="right"/>
      <w:pPr>
        <w:ind w:left="6688" w:hanging="180"/>
      </w:pPr>
    </w:lvl>
  </w:abstractNum>
  <w:abstractNum w:abstractNumId="20" w15:restartNumberingAfterBreak="0">
    <w:nsid w:val="2F493F8C"/>
    <w:multiLevelType w:val="hybridMultilevel"/>
    <w:tmpl w:val="E0D29826"/>
    <w:lvl w:ilvl="0" w:tplc="CD409530">
      <w:start w:val="1"/>
      <w:numFmt w:val="bullet"/>
      <w:lvlText w:val="·"/>
      <w:lvlJc w:val="left"/>
      <w:pPr>
        <w:ind w:left="1931" w:hanging="72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1" w15:restartNumberingAfterBreak="0">
    <w:nsid w:val="305B598B"/>
    <w:multiLevelType w:val="multilevel"/>
    <w:tmpl w:val="AE28A636"/>
    <w:lvl w:ilvl="0">
      <w:start w:val="1"/>
      <w:numFmt w:val="decimal"/>
      <w:lvlText w:val="%1."/>
      <w:lvlJc w:val="left"/>
      <w:pPr>
        <w:ind w:left="420" w:hanging="420"/>
      </w:pPr>
      <w:rPr>
        <w:rFonts w:hint="default"/>
      </w:rPr>
    </w:lvl>
    <w:lvl w:ilvl="1">
      <w:start w:val="1"/>
      <w:numFmt w:val="decimal"/>
      <w:pStyle w:val="UzrakstsDAP2"/>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1787628"/>
    <w:multiLevelType w:val="hybridMultilevel"/>
    <w:tmpl w:val="60DEBF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25177BD"/>
    <w:multiLevelType w:val="hybridMultilevel"/>
    <w:tmpl w:val="042698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3770934"/>
    <w:multiLevelType w:val="hybridMultilevel"/>
    <w:tmpl w:val="9880FA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5C4500B"/>
    <w:multiLevelType w:val="hybridMultilevel"/>
    <w:tmpl w:val="042698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6870EAD"/>
    <w:multiLevelType w:val="hybridMultilevel"/>
    <w:tmpl w:val="909894D4"/>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7" w15:restartNumberingAfterBreak="0">
    <w:nsid w:val="36FA4453"/>
    <w:multiLevelType w:val="hybridMultilevel"/>
    <w:tmpl w:val="FFFFFFFF"/>
    <w:lvl w:ilvl="0" w:tplc="CD409530">
      <w:start w:val="1"/>
      <w:numFmt w:val="bullet"/>
      <w:lvlText w:val="·"/>
      <w:lvlJc w:val="left"/>
      <w:pPr>
        <w:ind w:left="720" w:hanging="360"/>
      </w:pPr>
      <w:rPr>
        <w:rFonts w:ascii="Symbol" w:hAnsi="Symbol" w:hint="default"/>
      </w:rPr>
    </w:lvl>
    <w:lvl w:ilvl="1" w:tplc="E618E242">
      <w:start w:val="1"/>
      <w:numFmt w:val="bullet"/>
      <w:lvlText w:val="o"/>
      <w:lvlJc w:val="left"/>
      <w:pPr>
        <w:ind w:left="1440" w:hanging="360"/>
      </w:pPr>
      <w:rPr>
        <w:rFonts w:ascii="Courier New" w:hAnsi="Courier New" w:hint="default"/>
      </w:rPr>
    </w:lvl>
    <w:lvl w:ilvl="2" w:tplc="B5E25716">
      <w:start w:val="1"/>
      <w:numFmt w:val="bullet"/>
      <w:lvlText w:val=""/>
      <w:lvlJc w:val="left"/>
      <w:pPr>
        <w:ind w:left="2160" w:hanging="360"/>
      </w:pPr>
      <w:rPr>
        <w:rFonts w:ascii="Wingdings" w:hAnsi="Wingdings" w:hint="default"/>
      </w:rPr>
    </w:lvl>
    <w:lvl w:ilvl="3" w:tplc="58DEA078">
      <w:start w:val="1"/>
      <w:numFmt w:val="bullet"/>
      <w:lvlText w:val=""/>
      <w:lvlJc w:val="left"/>
      <w:pPr>
        <w:ind w:left="2880" w:hanging="360"/>
      </w:pPr>
      <w:rPr>
        <w:rFonts w:ascii="Symbol" w:hAnsi="Symbol" w:hint="default"/>
      </w:rPr>
    </w:lvl>
    <w:lvl w:ilvl="4" w:tplc="CDE8C378">
      <w:start w:val="1"/>
      <w:numFmt w:val="bullet"/>
      <w:lvlText w:val="o"/>
      <w:lvlJc w:val="left"/>
      <w:pPr>
        <w:ind w:left="3600" w:hanging="360"/>
      </w:pPr>
      <w:rPr>
        <w:rFonts w:ascii="Courier New" w:hAnsi="Courier New" w:hint="default"/>
      </w:rPr>
    </w:lvl>
    <w:lvl w:ilvl="5" w:tplc="826AAE68">
      <w:start w:val="1"/>
      <w:numFmt w:val="bullet"/>
      <w:lvlText w:val=""/>
      <w:lvlJc w:val="left"/>
      <w:pPr>
        <w:ind w:left="4320" w:hanging="360"/>
      </w:pPr>
      <w:rPr>
        <w:rFonts w:ascii="Wingdings" w:hAnsi="Wingdings" w:hint="default"/>
      </w:rPr>
    </w:lvl>
    <w:lvl w:ilvl="6" w:tplc="81AC0342">
      <w:start w:val="1"/>
      <w:numFmt w:val="bullet"/>
      <w:lvlText w:val=""/>
      <w:lvlJc w:val="left"/>
      <w:pPr>
        <w:ind w:left="5040" w:hanging="360"/>
      </w:pPr>
      <w:rPr>
        <w:rFonts w:ascii="Symbol" w:hAnsi="Symbol" w:hint="default"/>
      </w:rPr>
    </w:lvl>
    <w:lvl w:ilvl="7" w:tplc="5338DF0A">
      <w:start w:val="1"/>
      <w:numFmt w:val="bullet"/>
      <w:lvlText w:val="o"/>
      <w:lvlJc w:val="left"/>
      <w:pPr>
        <w:ind w:left="5760" w:hanging="360"/>
      </w:pPr>
      <w:rPr>
        <w:rFonts w:ascii="Courier New" w:hAnsi="Courier New" w:hint="default"/>
      </w:rPr>
    </w:lvl>
    <w:lvl w:ilvl="8" w:tplc="0358AFA2">
      <w:start w:val="1"/>
      <w:numFmt w:val="bullet"/>
      <w:lvlText w:val=""/>
      <w:lvlJc w:val="left"/>
      <w:pPr>
        <w:ind w:left="6480" w:hanging="360"/>
      </w:pPr>
      <w:rPr>
        <w:rFonts w:ascii="Wingdings" w:hAnsi="Wingdings" w:hint="default"/>
      </w:rPr>
    </w:lvl>
  </w:abstractNum>
  <w:abstractNum w:abstractNumId="28" w15:restartNumberingAfterBreak="0">
    <w:nsid w:val="384F743C"/>
    <w:multiLevelType w:val="hybridMultilevel"/>
    <w:tmpl w:val="BFEA124C"/>
    <w:lvl w:ilvl="0" w:tplc="04090001">
      <w:start w:val="1"/>
      <w:numFmt w:val="bullet"/>
      <w:lvlText w:val=""/>
      <w:lvlJc w:val="left"/>
      <w:pPr>
        <w:ind w:left="1931" w:hanging="360"/>
      </w:pPr>
      <w:rPr>
        <w:rFonts w:ascii="Symbol" w:hAnsi="Symbol" w:hint="default"/>
      </w:rPr>
    </w:lvl>
    <w:lvl w:ilvl="1" w:tplc="04090003" w:tentative="1">
      <w:start w:val="1"/>
      <w:numFmt w:val="bullet"/>
      <w:lvlText w:val="o"/>
      <w:lvlJc w:val="left"/>
      <w:pPr>
        <w:ind w:left="2651" w:hanging="360"/>
      </w:pPr>
      <w:rPr>
        <w:rFonts w:ascii="Courier New" w:hAnsi="Courier New" w:cs="Courier New" w:hint="default"/>
      </w:rPr>
    </w:lvl>
    <w:lvl w:ilvl="2" w:tplc="04090005" w:tentative="1">
      <w:start w:val="1"/>
      <w:numFmt w:val="bullet"/>
      <w:lvlText w:val=""/>
      <w:lvlJc w:val="left"/>
      <w:pPr>
        <w:ind w:left="3371" w:hanging="360"/>
      </w:pPr>
      <w:rPr>
        <w:rFonts w:ascii="Wingdings" w:hAnsi="Wingdings" w:hint="default"/>
      </w:rPr>
    </w:lvl>
    <w:lvl w:ilvl="3" w:tplc="04090001" w:tentative="1">
      <w:start w:val="1"/>
      <w:numFmt w:val="bullet"/>
      <w:lvlText w:val=""/>
      <w:lvlJc w:val="left"/>
      <w:pPr>
        <w:ind w:left="4091" w:hanging="360"/>
      </w:pPr>
      <w:rPr>
        <w:rFonts w:ascii="Symbol" w:hAnsi="Symbol" w:hint="default"/>
      </w:rPr>
    </w:lvl>
    <w:lvl w:ilvl="4" w:tplc="04090003" w:tentative="1">
      <w:start w:val="1"/>
      <w:numFmt w:val="bullet"/>
      <w:lvlText w:val="o"/>
      <w:lvlJc w:val="left"/>
      <w:pPr>
        <w:ind w:left="4811" w:hanging="360"/>
      </w:pPr>
      <w:rPr>
        <w:rFonts w:ascii="Courier New" w:hAnsi="Courier New" w:cs="Courier New" w:hint="default"/>
      </w:rPr>
    </w:lvl>
    <w:lvl w:ilvl="5" w:tplc="04090005" w:tentative="1">
      <w:start w:val="1"/>
      <w:numFmt w:val="bullet"/>
      <w:lvlText w:val=""/>
      <w:lvlJc w:val="left"/>
      <w:pPr>
        <w:ind w:left="5531" w:hanging="360"/>
      </w:pPr>
      <w:rPr>
        <w:rFonts w:ascii="Wingdings" w:hAnsi="Wingdings" w:hint="default"/>
      </w:rPr>
    </w:lvl>
    <w:lvl w:ilvl="6" w:tplc="04090001" w:tentative="1">
      <w:start w:val="1"/>
      <w:numFmt w:val="bullet"/>
      <w:lvlText w:val=""/>
      <w:lvlJc w:val="left"/>
      <w:pPr>
        <w:ind w:left="6251" w:hanging="360"/>
      </w:pPr>
      <w:rPr>
        <w:rFonts w:ascii="Symbol" w:hAnsi="Symbol" w:hint="default"/>
      </w:rPr>
    </w:lvl>
    <w:lvl w:ilvl="7" w:tplc="04090003" w:tentative="1">
      <w:start w:val="1"/>
      <w:numFmt w:val="bullet"/>
      <w:lvlText w:val="o"/>
      <w:lvlJc w:val="left"/>
      <w:pPr>
        <w:ind w:left="6971" w:hanging="360"/>
      </w:pPr>
      <w:rPr>
        <w:rFonts w:ascii="Courier New" w:hAnsi="Courier New" w:cs="Courier New" w:hint="default"/>
      </w:rPr>
    </w:lvl>
    <w:lvl w:ilvl="8" w:tplc="04090005" w:tentative="1">
      <w:start w:val="1"/>
      <w:numFmt w:val="bullet"/>
      <w:lvlText w:val=""/>
      <w:lvlJc w:val="left"/>
      <w:pPr>
        <w:ind w:left="7691" w:hanging="360"/>
      </w:pPr>
      <w:rPr>
        <w:rFonts w:ascii="Wingdings" w:hAnsi="Wingdings" w:hint="default"/>
      </w:rPr>
    </w:lvl>
  </w:abstractNum>
  <w:abstractNum w:abstractNumId="29" w15:restartNumberingAfterBreak="0">
    <w:nsid w:val="397C0803"/>
    <w:multiLevelType w:val="hybridMultilevel"/>
    <w:tmpl w:val="1AAA6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B3B18F7"/>
    <w:multiLevelType w:val="hybridMultilevel"/>
    <w:tmpl w:val="C9CE6036"/>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1" w15:restartNumberingAfterBreak="0">
    <w:nsid w:val="3B50327A"/>
    <w:multiLevelType w:val="hybridMultilevel"/>
    <w:tmpl w:val="4AB68552"/>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2" w15:restartNumberingAfterBreak="0">
    <w:nsid w:val="3C443D35"/>
    <w:multiLevelType w:val="hybridMultilevel"/>
    <w:tmpl w:val="CA7A65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07179C4"/>
    <w:multiLevelType w:val="hybridMultilevel"/>
    <w:tmpl w:val="51B04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1464E03"/>
    <w:multiLevelType w:val="hybridMultilevel"/>
    <w:tmpl w:val="6D84E850"/>
    <w:lvl w:ilvl="0" w:tplc="CB5C1368">
      <w:start w:val="1"/>
      <w:numFmt w:val="decimal"/>
      <w:lvlText w:val="%1."/>
      <w:lvlJc w:val="left"/>
      <w:pPr>
        <w:ind w:left="502" w:hanging="360"/>
      </w:pPr>
      <w:rPr>
        <w:color w:val="auto"/>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5" w15:restartNumberingAfterBreak="0">
    <w:nsid w:val="42947BF1"/>
    <w:multiLevelType w:val="hybridMultilevel"/>
    <w:tmpl w:val="4412BB94"/>
    <w:lvl w:ilvl="0" w:tplc="D9088746">
      <w:numFmt w:val="bullet"/>
      <w:lvlText w:val="•"/>
      <w:lvlJc w:val="left"/>
      <w:pPr>
        <w:ind w:left="1571" w:hanging="360"/>
      </w:pPr>
      <w:rPr>
        <w:rFonts w:ascii="Times New Roman" w:eastAsiaTheme="minorHAnsi" w:hAnsi="Times New Roman"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6" w15:restartNumberingAfterBreak="0">
    <w:nsid w:val="42BF5419"/>
    <w:multiLevelType w:val="hybridMultilevel"/>
    <w:tmpl w:val="0E4CB57E"/>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7" w15:restartNumberingAfterBreak="0">
    <w:nsid w:val="476827DB"/>
    <w:multiLevelType w:val="hybridMultilevel"/>
    <w:tmpl w:val="5CDCEFDA"/>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8" w15:restartNumberingAfterBreak="0">
    <w:nsid w:val="4E100971"/>
    <w:multiLevelType w:val="hybridMultilevel"/>
    <w:tmpl w:val="BD924414"/>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9" w15:restartNumberingAfterBreak="0">
    <w:nsid w:val="4F6E7645"/>
    <w:multiLevelType w:val="hybridMultilevel"/>
    <w:tmpl w:val="329E5D82"/>
    <w:lvl w:ilvl="0" w:tplc="04260001">
      <w:start w:val="1"/>
      <w:numFmt w:val="bullet"/>
      <w:lvlText w:val=""/>
      <w:lvlJc w:val="left"/>
      <w:pPr>
        <w:ind w:left="3502" w:hanging="360"/>
      </w:pPr>
      <w:rPr>
        <w:rFonts w:ascii="Symbol" w:hAnsi="Symbol" w:hint="default"/>
      </w:rPr>
    </w:lvl>
    <w:lvl w:ilvl="1" w:tplc="04090003" w:tentative="1">
      <w:start w:val="1"/>
      <w:numFmt w:val="bullet"/>
      <w:lvlText w:val="o"/>
      <w:lvlJc w:val="left"/>
      <w:pPr>
        <w:ind w:left="3371" w:hanging="360"/>
      </w:pPr>
      <w:rPr>
        <w:rFonts w:ascii="Courier New" w:hAnsi="Courier New" w:cs="Courier New" w:hint="default"/>
      </w:rPr>
    </w:lvl>
    <w:lvl w:ilvl="2" w:tplc="04090001">
      <w:start w:val="1"/>
      <w:numFmt w:val="bullet"/>
      <w:lvlText w:val=""/>
      <w:lvlJc w:val="left"/>
      <w:pPr>
        <w:ind w:left="4091" w:hanging="360"/>
      </w:pPr>
      <w:rPr>
        <w:rFonts w:ascii="Symbol" w:hAnsi="Symbol" w:hint="default"/>
      </w:rPr>
    </w:lvl>
    <w:lvl w:ilvl="3" w:tplc="04090001" w:tentative="1">
      <w:start w:val="1"/>
      <w:numFmt w:val="bullet"/>
      <w:lvlText w:val=""/>
      <w:lvlJc w:val="left"/>
      <w:pPr>
        <w:ind w:left="4811" w:hanging="360"/>
      </w:pPr>
      <w:rPr>
        <w:rFonts w:ascii="Symbol" w:hAnsi="Symbol" w:hint="default"/>
      </w:rPr>
    </w:lvl>
    <w:lvl w:ilvl="4" w:tplc="04090003" w:tentative="1">
      <w:start w:val="1"/>
      <w:numFmt w:val="bullet"/>
      <w:lvlText w:val="o"/>
      <w:lvlJc w:val="left"/>
      <w:pPr>
        <w:ind w:left="5531" w:hanging="360"/>
      </w:pPr>
      <w:rPr>
        <w:rFonts w:ascii="Courier New" w:hAnsi="Courier New" w:cs="Courier New" w:hint="default"/>
      </w:rPr>
    </w:lvl>
    <w:lvl w:ilvl="5" w:tplc="04090005" w:tentative="1">
      <w:start w:val="1"/>
      <w:numFmt w:val="bullet"/>
      <w:lvlText w:val=""/>
      <w:lvlJc w:val="left"/>
      <w:pPr>
        <w:ind w:left="6251" w:hanging="360"/>
      </w:pPr>
      <w:rPr>
        <w:rFonts w:ascii="Wingdings" w:hAnsi="Wingdings" w:hint="default"/>
      </w:rPr>
    </w:lvl>
    <w:lvl w:ilvl="6" w:tplc="04090001" w:tentative="1">
      <w:start w:val="1"/>
      <w:numFmt w:val="bullet"/>
      <w:lvlText w:val=""/>
      <w:lvlJc w:val="left"/>
      <w:pPr>
        <w:ind w:left="6971" w:hanging="360"/>
      </w:pPr>
      <w:rPr>
        <w:rFonts w:ascii="Symbol" w:hAnsi="Symbol" w:hint="default"/>
      </w:rPr>
    </w:lvl>
    <w:lvl w:ilvl="7" w:tplc="04090003" w:tentative="1">
      <w:start w:val="1"/>
      <w:numFmt w:val="bullet"/>
      <w:lvlText w:val="o"/>
      <w:lvlJc w:val="left"/>
      <w:pPr>
        <w:ind w:left="7691" w:hanging="360"/>
      </w:pPr>
      <w:rPr>
        <w:rFonts w:ascii="Courier New" w:hAnsi="Courier New" w:cs="Courier New" w:hint="default"/>
      </w:rPr>
    </w:lvl>
    <w:lvl w:ilvl="8" w:tplc="04090005" w:tentative="1">
      <w:start w:val="1"/>
      <w:numFmt w:val="bullet"/>
      <w:lvlText w:val=""/>
      <w:lvlJc w:val="left"/>
      <w:pPr>
        <w:ind w:left="8411" w:hanging="360"/>
      </w:pPr>
      <w:rPr>
        <w:rFonts w:ascii="Wingdings" w:hAnsi="Wingdings" w:hint="default"/>
      </w:rPr>
    </w:lvl>
  </w:abstractNum>
  <w:abstractNum w:abstractNumId="40" w15:restartNumberingAfterBreak="0">
    <w:nsid w:val="514E60BF"/>
    <w:multiLevelType w:val="hybridMultilevel"/>
    <w:tmpl w:val="A4003D82"/>
    <w:lvl w:ilvl="0" w:tplc="969EA044">
      <w:start w:val="1"/>
      <w:numFmt w:val="bullet"/>
      <w:lvlText w:val=""/>
      <w:lvlJc w:val="left"/>
      <w:pPr>
        <w:tabs>
          <w:tab w:val="num" w:pos="1117"/>
        </w:tabs>
        <w:ind w:left="1117" w:hanging="360"/>
      </w:pPr>
      <w:rPr>
        <w:rFonts w:ascii="Symbol" w:hAnsi="Symbol" w:hint="default"/>
      </w:rPr>
    </w:lvl>
    <w:lvl w:ilvl="1" w:tplc="CC50946C">
      <w:start w:val="1"/>
      <w:numFmt w:val="bullet"/>
      <w:lvlText w:val="o"/>
      <w:lvlJc w:val="left"/>
      <w:pPr>
        <w:tabs>
          <w:tab w:val="num" w:pos="1837"/>
        </w:tabs>
        <w:ind w:left="1837" w:hanging="360"/>
      </w:pPr>
      <w:rPr>
        <w:rFonts w:ascii="Courier New" w:hAnsi="Courier New" w:cs="Courier New" w:hint="default"/>
      </w:rPr>
    </w:lvl>
    <w:lvl w:ilvl="2" w:tplc="7602BC14">
      <w:start w:val="1"/>
      <w:numFmt w:val="bullet"/>
      <w:lvlText w:val=""/>
      <w:lvlJc w:val="left"/>
      <w:pPr>
        <w:tabs>
          <w:tab w:val="num" w:pos="2557"/>
        </w:tabs>
        <w:ind w:left="2557" w:hanging="360"/>
      </w:pPr>
      <w:rPr>
        <w:rFonts w:ascii="Wingdings" w:hAnsi="Wingdings" w:cs="Wingdings" w:hint="default"/>
      </w:rPr>
    </w:lvl>
    <w:lvl w:ilvl="3" w:tplc="F5BE1932">
      <w:start w:val="1"/>
      <w:numFmt w:val="bullet"/>
      <w:lvlText w:val=""/>
      <w:lvlJc w:val="left"/>
      <w:pPr>
        <w:tabs>
          <w:tab w:val="num" w:pos="3277"/>
        </w:tabs>
        <w:ind w:left="3277" w:hanging="360"/>
      </w:pPr>
      <w:rPr>
        <w:rFonts w:ascii="Symbol" w:hAnsi="Symbol" w:cs="Symbol" w:hint="default"/>
      </w:rPr>
    </w:lvl>
    <w:lvl w:ilvl="4" w:tplc="EBA0100A">
      <w:start w:val="1"/>
      <w:numFmt w:val="bullet"/>
      <w:lvlText w:val="o"/>
      <w:lvlJc w:val="left"/>
      <w:pPr>
        <w:tabs>
          <w:tab w:val="num" w:pos="3997"/>
        </w:tabs>
        <w:ind w:left="3997" w:hanging="360"/>
      </w:pPr>
      <w:rPr>
        <w:rFonts w:ascii="Courier New" w:hAnsi="Courier New" w:cs="Courier New" w:hint="default"/>
      </w:rPr>
    </w:lvl>
    <w:lvl w:ilvl="5" w:tplc="D556EC5C">
      <w:start w:val="1"/>
      <w:numFmt w:val="bullet"/>
      <w:lvlText w:val=""/>
      <w:lvlJc w:val="left"/>
      <w:pPr>
        <w:tabs>
          <w:tab w:val="num" w:pos="4717"/>
        </w:tabs>
        <w:ind w:left="4717" w:hanging="360"/>
      </w:pPr>
      <w:rPr>
        <w:rFonts w:ascii="Wingdings" w:hAnsi="Wingdings" w:cs="Wingdings" w:hint="default"/>
      </w:rPr>
    </w:lvl>
    <w:lvl w:ilvl="6" w:tplc="4BE044FE">
      <w:start w:val="1"/>
      <w:numFmt w:val="bullet"/>
      <w:lvlText w:val=""/>
      <w:lvlJc w:val="left"/>
      <w:pPr>
        <w:tabs>
          <w:tab w:val="num" w:pos="5437"/>
        </w:tabs>
        <w:ind w:left="5437" w:hanging="360"/>
      </w:pPr>
      <w:rPr>
        <w:rFonts w:ascii="Symbol" w:hAnsi="Symbol" w:cs="Symbol" w:hint="default"/>
      </w:rPr>
    </w:lvl>
    <w:lvl w:ilvl="7" w:tplc="333E614E">
      <w:start w:val="1"/>
      <w:numFmt w:val="bullet"/>
      <w:lvlText w:val="o"/>
      <w:lvlJc w:val="left"/>
      <w:pPr>
        <w:tabs>
          <w:tab w:val="num" w:pos="6157"/>
        </w:tabs>
        <w:ind w:left="6157" w:hanging="360"/>
      </w:pPr>
      <w:rPr>
        <w:rFonts w:ascii="Courier New" w:hAnsi="Courier New" w:cs="Courier New" w:hint="default"/>
      </w:rPr>
    </w:lvl>
    <w:lvl w:ilvl="8" w:tplc="6C5A5068">
      <w:start w:val="1"/>
      <w:numFmt w:val="bullet"/>
      <w:lvlText w:val=""/>
      <w:lvlJc w:val="left"/>
      <w:pPr>
        <w:tabs>
          <w:tab w:val="num" w:pos="6877"/>
        </w:tabs>
        <w:ind w:left="6877" w:hanging="360"/>
      </w:pPr>
      <w:rPr>
        <w:rFonts w:ascii="Wingdings" w:hAnsi="Wingdings" w:cs="Wingdings" w:hint="default"/>
      </w:rPr>
    </w:lvl>
  </w:abstractNum>
  <w:abstractNum w:abstractNumId="41" w15:restartNumberingAfterBreak="0">
    <w:nsid w:val="517C56A1"/>
    <w:multiLevelType w:val="hybridMultilevel"/>
    <w:tmpl w:val="6DEEAAAC"/>
    <w:lvl w:ilvl="0" w:tplc="D9088746">
      <w:numFmt w:val="bullet"/>
      <w:lvlText w:val="•"/>
      <w:lvlJc w:val="left"/>
      <w:pPr>
        <w:ind w:left="1571" w:hanging="360"/>
      </w:pPr>
      <w:rPr>
        <w:rFonts w:ascii="Times New Roman" w:eastAsiaTheme="minorHAnsi" w:hAnsi="Times New Roman" w:cs="Times New Roman"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42" w15:restartNumberingAfterBreak="0">
    <w:nsid w:val="52374CF3"/>
    <w:multiLevelType w:val="hybridMultilevel"/>
    <w:tmpl w:val="843A4CDE"/>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3" w15:restartNumberingAfterBreak="0">
    <w:nsid w:val="549772AD"/>
    <w:multiLevelType w:val="hybridMultilevel"/>
    <w:tmpl w:val="E3FE03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56304710"/>
    <w:multiLevelType w:val="hybridMultilevel"/>
    <w:tmpl w:val="04881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7FF1711"/>
    <w:multiLevelType w:val="hybridMultilevel"/>
    <w:tmpl w:val="547EF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843522E"/>
    <w:multiLevelType w:val="hybridMultilevel"/>
    <w:tmpl w:val="EE2A4B9A"/>
    <w:lvl w:ilvl="0" w:tplc="888CD748">
      <w:start w:val="1"/>
      <w:numFmt w:val="bullet"/>
      <w:lvlText w:val="−"/>
      <w:lvlJc w:val="left"/>
      <w:pPr>
        <w:ind w:left="1571" w:hanging="360"/>
      </w:pPr>
      <w:rPr>
        <w:rFonts w:ascii="Times New Roman" w:hAnsi="Times New Roman" w:cs="Times New Roman"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47" w15:restartNumberingAfterBreak="0">
    <w:nsid w:val="5AB62FFA"/>
    <w:multiLevelType w:val="hybridMultilevel"/>
    <w:tmpl w:val="8FB0E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BBE5D0B"/>
    <w:multiLevelType w:val="hybridMultilevel"/>
    <w:tmpl w:val="812C1618"/>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49" w15:restartNumberingAfterBreak="0">
    <w:nsid w:val="5D7638CE"/>
    <w:multiLevelType w:val="hybridMultilevel"/>
    <w:tmpl w:val="F3AA4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2842B1C"/>
    <w:multiLevelType w:val="hybridMultilevel"/>
    <w:tmpl w:val="245C5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3626967"/>
    <w:multiLevelType w:val="hybridMultilevel"/>
    <w:tmpl w:val="B538C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60E660A"/>
    <w:multiLevelType w:val="hybridMultilevel"/>
    <w:tmpl w:val="B300839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3" w15:restartNumberingAfterBreak="0">
    <w:nsid w:val="68746FDD"/>
    <w:multiLevelType w:val="hybridMultilevel"/>
    <w:tmpl w:val="A2D433A2"/>
    <w:lvl w:ilvl="0" w:tplc="0426000F">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54" w15:restartNumberingAfterBreak="0">
    <w:nsid w:val="6A631777"/>
    <w:multiLevelType w:val="hybridMultilevel"/>
    <w:tmpl w:val="D5781D94"/>
    <w:lvl w:ilvl="0" w:tplc="04260001">
      <w:start w:val="1"/>
      <w:numFmt w:val="bullet"/>
      <w:lvlText w:val=""/>
      <w:lvlJc w:val="left"/>
      <w:pPr>
        <w:ind w:left="765" w:hanging="360"/>
      </w:pPr>
      <w:rPr>
        <w:rFonts w:ascii="Symbol" w:hAnsi="Symbol" w:hint="default"/>
      </w:rPr>
    </w:lvl>
    <w:lvl w:ilvl="1" w:tplc="04260003" w:tentative="1">
      <w:start w:val="1"/>
      <w:numFmt w:val="bullet"/>
      <w:lvlText w:val="o"/>
      <w:lvlJc w:val="left"/>
      <w:pPr>
        <w:ind w:left="1485" w:hanging="360"/>
      </w:pPr>
      <w:rPr>
        <w:rFonts w:ascii="Courier New" w:hAnsi="Courier New" w:cs="Courier New" w:hint="default"/>
      </w:rPr>
    </w:lvl>
    <w:lvl w:ilvl="2" w:tplc="04260005" w:tentative="1">
      <w:start w:val="1"/>
      <w:numFmt w:val="bullet"/>
      <w:lvlText w:val=""/>
      <w:lvlJc w:val="left"/>
      <w:pPr>
        <w:ind w:left="2205" w:hanging="360"/>
      </w:pPr>
      <w:rPr>
        <w:rFonts w:ascii="Wingdings" w:hAnsi="Wingdings" w:hint="default"/>
      </w:rPr>
    </w:lvl>
    <w:lvl w:ilvl="3" w:tplc="04260001" w:tentative="1">
      <w:start w:val="1"/>
      <w:numFmt w:val="bullet"/>
      <w:lvlText w:val=""/>
      <w:lvlJc w:val="left"/>
      <w:pPr>
        <w:ind w:left="2925" w:hanging="360"/>
      </w:pPr>
      <w:rPr>
        <w:rFonts w:ascii="Symbol" w:hAnsi="Symbol" w:hint="default"/>
      </w:rPr>
    </w:lvl>
    <w:lvl w:ilvl="4" w:tplc="04260003" w:tentative="1">
      <w:start w:val="1"/>
      <w:numFmt w:val="bullet"/>
      <w:lvlText w:val="o"/>
      <w:lvlJc w:val="left"/>
      <w:pPr>
        <w:ind w:left="3645" w:hanging="360"/>
      </w:pPr>
      <w:rPr>
        <w:rFonts w:ascii="Courier New" w:hAnsi="Courier New" w:cs="Courier New" w:hint="default"/>
      </w:rPr>
    </w:lvl>
    <w:lvl w:ilvl="5" w:tplc="04260005" w:tentative="1">
      <w:start w:val="1"/>
      <w:numFmt w:val="bullet"/>
      <w:lvlText w:val=""/>
      <w:lvlJc w:val="left"/>
      <w:pPr>
        <w:ind w:left="4365" w:hanging="360"/>
      </w:pPr>
      <w:rPr>
        <w:rFonts w:ascii="Wingdings" w:hAnsi="Wingdings" w:hint="default"/>
      </w:rPr>
    </w:lvl>
    <w:lvl w:ilvl="6" w:tplc="04260001" w:tentative="1">
      <w:start w:val="1"/>
      <w:numFmt w:val="bullet"/>
      <w:lvlText w:val=""/>
      <w:lvlJc w:val="left"/>
      <w:pPr>
        <w:ind w:left="5085" w:hanging="360"/>
      </w:pPr>
      <w:rPr>
        <w:rFonts w:ascii="Symbol" w:hAnsi="Symbol" w:hint="default"/>
      </w:rPr>
    </w:lvl>
    <w:lvl w:ilvl="7" w:tplc="04260003" w:tentative="1">
      <w:start w:val="1"/>
      <w:numFmt w:val="bullet"/>
      <w:lvlText w:val="o"/>
      <w:lvlJc w:val="left"/>
      <w:pPr>
        <w:ind w:left="5805" w:hanging="360"/>
      </w:pPr>
      <w:rPr>
        <w:rFonts w:ascii="Courier New" w:hAnsi="Courier New" w:cs="Courier New" w:hint="default"/>
      </w:rPr>
    </w:lvl>
    <w:lvl w:ilvl="8" w:tplc="04260005" w:tentative="1">
      <w:start w:val="1"/>
      <w:numFmt w:val="bullet"/>
      <w:lvlText w:val=""/>
      <w:lvlJc w:val="left"/>
      <w:pPr>
        <w:ind w:left="6525" w:hanging="360"/>
      </w:pPr>
      <w:rPr>
        <w:rFonts w:ascii="Wingdings" w:hAnsi="Wingdings" w:hint="default"/>
      </w:rPr>
    </w:lvl>
  </w:abstractNum>
  <w:abstractNum w:abstractNumId="55" w15:restartNumberingAfterBreak="0">
    <w:nsid w:val="6B1009EE"/>
    <w:multiLevelType w:val="hybridMultilevel"/>
    <w:tmpl w:val="22429FF2"/>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56" w15:restartNumberingAfterBreak="0">
    <w:nsid w:val="6CE266F2"/>
    <w:multiLevelType w:val="hybridMultilevel"/>
    <w:tmpl w:val="53E4ACE6"/>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57" w15:restartNumberingAfterBreak="0">
    <w:nsid w:val="738053FF"/>
    <w:multiLevelType w:val="hybridMultilevel"/>
    <w:tmpl w:val="48C06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4A11819"/>
    <w:multiLevelType w:val="hybridMultilevel"/>
    <w:tmpl w:val="50AA2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60029F7"/>
    <w:multiLevelType w:val="hybridMultilevel"/>
    <w:tmpl w:val="50C4FFB2"/>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0" w15:restartNumberingAfterBreak="0">
    <w:nsid w:val="76685520"/>
    <w:multiLevelType w:val="hybridMultilevel"/>
    <w:tmpl w:val="FFFFFFFF"/>
    <w:lvl w:ilvl="0" w:tplc="C6C63FAE">
      <w:start w:val="1"/>
      <w:numFmt w:val="decimal"/>
      <w:lvlText w:val="%1)"/>
      <w:lvlJc w:val="left"/>
      <w:pPr>
        <w:ind w:left="720" w:hanging="360"/>
      </w:pPr>
    </w:lvl>
    <w:lvl w:ilvl="1" w:tplc="4A448B28">
      <w:start w:val="1"/>
      <w:numFmt w:val="lowerLetter"/>
      <w:lvlText w:val="%2."/>
      <w:lvlJc w:val="left"/>
      <w:pPr>
        <w:ind w:left="1440" w:hanging="360"/>
      </w:pPr>
    </w:lvl>
    <w:lvl w:ilvl="2" w:tplc="F8FEAEDE">
      <w:start w:val="1"/>
      <w:numFmt w:val="lowerRoman"/>
      <w:lvlText w:val="%3."/>
      <w:lvlJc w:val="right"/>
      <w:pPr>
        <w:ind w:left="2160" w:hanging="180"/>
      </w:pPr>
    </w:lvl>
    <w:lvl w:ilvl="3" w:tplc="1D5A7E34">
      <w:start w:val="1"/>
      <w:numFmt w:val="decimal"/>
      <w:lvlText w:val="%4."/>
      <w:lvlJc w:val="left"/>
      <w:pPr>
        <w:ind w:left="2880" w:hanging="360"/>
      </w:pPr>
    </w:lvl>
    <w:lvl w:ilvl="4" w:tplc="F1CCE06C">
      <w:start w:val="1"/>
      <w:numFmt w:val="lowerLetter"/>
      <w:lvlText w:val="%5."/>
      <w:lvlJc w:val="left"/>
      <w:pPr>
        <w:ind w:left="3600" w:hanging="360"/>
      </w:pPr>
    </w:lvl>
    <w:lvl w:ilvl="5" w:tplc="12465072">
      <w:start w:val="1"/>
      <w:numFmt w:val="lowerRoman"/>
      <w:lvlText w:val="%6."/>
      <w:lvlJc w:val="right"/>
      <w:pPr>
        <w:ind w:left="4320" w:hanging="180"/>
      </w:pPr>
    </w:lvl>
    <w:lvl w:ilvl="6" w:tplc="88722416">
      <w:start w:val="1"/>
      <w:numFmt w:val="decimal"/>
      <w:lvlText w:val="%7."/>
      <w:lvlJc w:val="left"/>
      <w:pPr>
        <w:ind w:left="5040" w:hanging="360"/>
      </w:pPr>
    </w:lvl>
    <w:lvl w:ilvl="7" w:tplc="E34C7156">
      <w:start w:val="1"/>
      <w:numFmt w:val="lowerLetter"/>
      <w:lvlText w:val="%8."/>
      <w:lvlJc w:val="left"/>
      <w:pPr>
        <w:ind w:left="5760" w:hanging="360"/>
      </w:pPr>
    </w:lvl>
    <w:lvl w:ilvl="8" w:tplc="753E397C">
      <w:start w:val="1"/>
      <w:numFmt w:val="lowerRoman"/>
      <w:lvlText w:val="%9."/>
      <w:lvlJc w:val="right"/>
      <w:pPr>
        <w:ind w:left="6480" w:hanging="180"/>
      </w:pPr>
    </w:lvl>
  </w:abstractNum>
  <w:abstractNum w:abstractNumId="61" w15:restartNumberingAfterBreak="0">
    <w:nsid w:val="7670706C"/>
    <w:multiLevelType w:val="hybridMultilevel"/>
    <w:tmpl w:val="5178C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6BF60A6"/>
    <w:multiLevelType w:val="hybridMultilevel"/>
    <w:tmpl w:val="4442F58E"/>
    <w:lvl w:ilvl="0" w:tplc="04260001">
      <w:start w:val="1"/>
      <w:numFmt w:val="bullet"/>
      <w:lvlText w:val=""/>
      <w:lvlJc w:val="left"/>
      <w:pPr>
        <w:ind w:left="1571"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83142EC"/>
    <w:multiLevelType w:val="hybridMultilevel"/>
    <w:tmpl w:val="4D9EF6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4" w15:restartNumberingAfterBreak="0">
    <w:nsid w:val="7AD81318"/>
    <w:multiLevelType w:val="multilevel"/>
    <w:tmpl w:val="44C0DF84"/>
    <w:lvl w:ilvl="0">
      <w:start w:val="1"/>
      <w:numFmt w:val="decimal"/>
      <w:lvlText w:val="%1."/>
      <w:lvlJc w:val="left"/>
      <w:pPr>
        <w:ind w:left="495" w:hanging="495"/>
      </w:pPr>
      <w:rPr>
        <w:rFonts w:hint="default"/>
      </w:rPr>
    </w:lvl>
    <w:lvl w:ilvl="1">
      <w:start w:val="1"/>
      <w:numFmt w:val="decimal"/>
      <w:lvlText w:val="%1.%2."/>
      <w:lvlJc w:val="left"/>
      <w:pPr>
        <w:ind w:left="1133" w:hanging="495"/>
      </w:pPr>
      <w:rPr>
        <w:rFonts w:hint="default"/>
      </w:rPr>
    </w:lvl>
    <w:lvl w:ilvl="2">
      <w:start w:val="2"/>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65" w15:restartNumberingAfterBreak="0">
    <w:nsid w:val="7F6A6C8A"/>
    <w:multiLevelType w:val="hybridMultilevel"/>
    <w:tmpl w:val="C0CA77A2"/>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num w:numId="1" w16cid:durableId="1619603562">
    <w:abstractNumId w:val="7"/>
  </w:num>
  <w:num w:numId="2" w16cid:durableId="257255559">
    <w:abstractNumId w:val="60"/>
  </w:num>
  <w:num w:numId="3" w16cid:durableId="1151336524">
    <w:abstractNumId w:val="27"/>
  </w:num>
  <w:num w:numId="4" w16cid:durableId="1100300449">
    <w:abstractNumId w:val="21"/>
  </w:num>
  <w:num w:numId="5" w16cid:durableId="1999570740">
    <w:abstractNumId w:val="10"/>
  </w:num>
  <w:num w:numId="6" w16cid:durableId="1483618475">
    <w:abstractNumId w:val="5"/>
  </w:num>
  <w:num w:numId="7" w16cid:durableId="461963641">
    <w:abstractNumId w:val="32"/>
  </w:num>
  <w:num w:numId="8" w16cid:durableId="836968015">
    <w:abstractNumId w:val="46"/>
  </w:num>
  <w:num w:numId="9" w16cid:durableId="1672222236">
    <w:abstractNumId w:val="4"/>
  </w:num>
  <w:num w:numId="10" w16cid:durableId="1543906361">
    <w:abstractNumId w:val="47"/>
  </w:num>
  <w:num w:numId="11" w16cid:durableId="1577469176">
    <w:abstractNumId w:val="29"/>
  </w:num>
  <w:num w:numId="12" w16cid:durableId="1110932555">
    <w:abstractNumId w:val="49"/>
  </w:num>
  <w:num w:numId="13" w16cid:durableId="191456011">
    <w:abstractNumId w:val="61"/>
  </w:num>
  <w:num w:numId="14" w16cid:durableId="234779056">
    <w:abstractNumId w:val="51"/>
  </w:num>
  <w:num w:numId="15" w16cid:durableId="2116704549">
    <w:abstractNumId w:val="44"/>
  </w:num>
  <w:num w:numId="16" w16cid:durableId="35202789">
    <w:abstractNumId w:val="45"/>
  </w:num>
  <w:num w:numId="17" w16cid:durableId="975835988">
    <w:abstractNumId w:val="15"/>
  </w:num>
  <w:num w:numId="18" w16cid:durableId="1413577973">
    <w:abstractNumId w:val="33"/>
  </w:num>
  <w:num w:numId="19" w16cid:durableId="297146828">
    <w:abstractNumId w:val="11"/>
  </w:num>
  <w:num w:numId="20" w16cid:durableId="912470121">
    <w:abstractNumId w:val="50"/>
  </w:num>
  <w:num w:numId="21" w16cid:durableId="1585801429">
    <w:abstractNumId w:val="43"/>
  </w:num>
  <w:num w:numId="22" w16cid:durableId="2036925174">
    <w:abstractNumId w:val="9"/>
  </w:num>
  <w:num w:numId="23" w16cid:durableId="1935240592">
    <w:abstractNumId w:val="6"/>
  </w:num>
  <w:num w:numId="24" w16cid:durableId="703139242">
    <w:abstractNumId w:val="64"/>
  </w:num>
  <w:num w:numId="25" w16cid:durableId="1324625289">
    <w:abstractNumId w:val="53"/>
  </w:num>
  <w:num w:numId="26" w16cid:durableId="1546717316">
    <w:abstractNumId w:val="56"/>
  </w:num>
  <w:num w:numId="27" w16cid:durableId="151607114">
    <w:abstractNumId w:val="1"/>
  </w:num>
  <w:num w:numId="28" w16cid:durableId="866144757">
    <w:abstractNumId w:val="14"/>
  </w:num>
  <w:num w:numId="29" w16cid:durableId="1601177497">
    <w:abstractNumId w:val="36"/>
  </w:num>
  <w:num w:numId="30" w16cid:durableId="1714115783">
    <w:abstractNumId w:val="40"/>
  </w:num>
  <w:num w:numId="31" w16cid:durableId="8123342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69517572">
    <w:abstractNumId w:val="48"/>
  </w:num>
  <w:num w:numId="33" w16cid:durableId="1489633836">
    <w:abstractNumId w:val="54"/>
  </w:num>
  <w:num w:numId="34" w16cid:durableId="543641877">
    <w:abstractNumId w:val="2"/>
  </w:num>
  <w:num w:numId="35" w16cid:durableId="1128163736">
    <w:abstractNumId w:val="63"/>
  </w:num>
  <w:num w:numId="36" w16cid:durableId="242691325">
    <w:abstractNumId w:val="24"/>
  </w:num>
  <w:num w:numId="37" w16cid:durableId="1422019532">
    <w:abstractNumId w:val="22"/>
  </w:num>
  <w:num w:numId="38" w16cid:durableId="639309167">
    <w:abstractNumId w:val="59"/>
  </w:num>
  <w:num w:numId="39" w16cid:durableId="1872448891">
    <w:abstractNumId w:val="12"/>
  </w:num>
  <w:num w:numId="40" w16cid:durableId="1343318395">
    <w:abstractNumId w:val="0"/>
  </w:num>
  <w:num w:numId="41" w16cid:durableId="245116191">
    <w:abstractNumId w:val="23"/>
  </w:num>
  <w:num w:numId="42" w16cid:durableId="1428111831">
    <w:abstractNumId w:val="25"/>
  </w:num>
  <w:num w:numId="43" w16cid:durableId="138041478">
    <w:abstractNumId w:val="31"/>
  </w:num>
  <w:num w:numId="44" w16cid:durableId="481119465">
    <w:abstractNumId w:val="39"/>
  </w:num>
  <w:num w:numId="45" w16cid:durableId="1049454110">
    <w:abstractNumId w:val="16"/>
  </w:num>
  <w:num w:numId="46" w16cid:durableId="1219509578">
    <w:abstractNumId w:val="38"/>
  </w:num>
  <w:num w:numId="47" w16cid:durableId="442457574">
    <w:abstractNumId w:val="62"/>
  </w:num>
  <w:num w:numId="48" w16cid:durableId="688990026">
    <w:abstractNumId w:val="26"/>
  </w:num>
  <w:num w:numId="49" w16cid:durableId="1246065827">
    <w:abstractNumId w:val="13"/>
  </w:num>
  <w:num w:numId="50" w16cid:durableId="1266890337">
    <w:abstractNumId w:val="28"/>
  </w:num>
  <w:num w:numId="51" w16cid:durableId="1788962493">
    <w:abstractNumId w:val="20"/>
  </w:num>
  <w:num w:numId="52" w16cid:durableId="1821119167">
    <w:abstractNumId w:val="18"/>
  </w:num>
  <w:num w:numId="53" w16cid:durableId="1206605862">
    <w:abstractNumId w:val="3"/>
  </w:num>
  <w:num w:numId="54" w16cid:durableId="1625429193">
    <w:abstractNumId w:val="65"/>
  </w:num>
  <w:num w:numId="55" w16cid:durableId="998967985">
    <w:abstractNumId w:val="35"/>
  </w:num>
  <w:num w:numId="56" w16cid:durableId="1767920063">
    <w:abstractNumId w:val="30"/>
  </w:num>
  <w:num w:numId="57" w16cid:durableId="191498632">
    <w:abstractNumId w:val="58"/>
  </w:num>
  <w:num w:numId="58" w16cid:durableId="953748518">
    <w:abstractNumId w:val="55"/>
  </w:num>
  <w:num w:numId="59" w16cid:durableId="1312294261">
    <w:abstractNumId w:val="8"/>
  </w:num>
  <w:num w:numId="60" w16cid:durableId="661156696">
    <w:abstractNumId w:val="34"/>
  </w:num>
  <w:num w:numId="61" w16cid:durableId="1714697210">
    <w:abstractNumId w:val="17"/>
  </w:num>
  <w:num w:numId="62" w16cid:durableId="1834447580">
    <w:abstractNumId w:val="42"/>
  </w:num>
  <w:num w:numId="63" w16cid:durableId="1938900926">
    <w:abstractNumId w:val="27"/>
  </w:num>
  <w:num w:numId="64" w16cid:durableId="958802129">
    <w:abstractNumId w:val="57"/>
  </w:num>
  <w:num w:numId="65" w16cid:durableId="1796482103">
    <w:abstractNumId w:val="52"/>
  </w:num>
  <w:num w:numId="66" w16cid:durableId="1828355965">
    <w:abstractNumId w:val="37"/>
  </w:num>
  <w:num w:numId="67" w16cid:durableId="767308912">
    <w:abstractNumId w:val="41"/>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activeWritingStyle w:appName="MSWord" w:lang="en-US" w:vendorID="64" w:dllVersion="0" w:nlCheck="1" w:checkStyle="0"/>
  <w:activeWritingStyle w:appName="MSWord" w:lang="en-US" w:vendorID="64" w:dllVersion="6" w:nlCheck="1" w:checkStyle="1"/>
  <w:activeWritingStyle w:appName="MSWord" w:lang="ru-RU" w:vendorID="64" w:dllVersion="0" w:nlCheck="1" w:checkStyle="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1199"/>
    <w:rsid w:val="00000108"/>
    <w:rsid w:val="000009A0"/>
    <w:rsid w:val="00001155"/>
    <w:rsid w:val="00001204"/>
    <w:rsid w:val="000016F6"/>
    <w:rsid w:val="00001788"/>
    <w:rsid w:val="00001A15"/>
    <w:rsid w:val="00001FF2"/>
    <w:rsid w:val="0000206E"/>
    <w:rsid w:val="000020CE"/>
    <w:rsid w:val="0000216B"/>
    <w:rsid w:val="00002924"/>
    <w:rsid w:val="00002CAC"/>
    <w:rsid w:val="00002E31"/>
    <w:rsid w:val="00003216"/>
    <w:rsid w:val="0000348A"/>
    <w:rsid w:val="00003612"/>
    <w:rsid w:val="00003C89"/>
    <w:rsid w:val="00003D2D"/>
    <w:rsid w:val="00003E9E"/>
    <w:rsid w:val="00003FAD"/>
    <w:rsid w:val="00004664"/>
    <w:rsid w:val="00004BAB"/>
    <w:rsid w:val="00005D85"/>
    <w:rsid w:val="00006DFF"/>
    <w:rsid w:val="00007254"/>
    <w:rsid w:val="0000742C"/>
    <w:rsid w:val="000074C3"/>
    <w:rsid w:val="00007501"/>
    <w:rsid w:val="000076E7"/>
    <w:rsid w:val="00007B56"/>
    <w:rsid w:val="00010101"/>
    <w:rsid w:val="00010B77"/>
    <w:rsid w:val="00010F67"/>
    <w:rsid w:val="00010F6E"/>
    <w:rsid w:val="00011A60"/>
    <w:rsid w:val="00012310"/>
    <w:rsid w:val="00012385"/>
    <w:rsid w:val="00013590"/>
    <w:rsid w:val="00013EE1"/>
    <w:rsid w:val="00013F24"/>
    <w:rsid w:val="0001422D"/>
    <w:rsid w:val="00014519"/>
    <w:rsid w:val="00014991"/>
    <w:rsid w:val="0001513F"/>
    <w:rsid w:val="0001563C"/>
    <w:rsid w:val="000158E8"/>
    <w:rsid w:val="000159E2"/>
    <w:rsid w:val="00016548"/>
    <w:rsid w:val="0001658F"/>
    <w:rsid w:val="00016E8A"/>
    <w:rsid w:val="00016FF9"/>
    <w:rsid w:val="0002037F"/>
    <w:rsid w:val="00020ECA"/>
    <w:rsid w:val="00021630"/>
    <w:rsid w:val="00021F35"/>
    <w:rsid w:val="00022048"/>
    <w:rsid w:val="00022355"/>
    <w:rsid w:val="000224B0"/>
    <w:rsid w:val="0002277A"/>
    <w:rsid w:val="000228A7"/>
    <w:rsid w:val="0002291B"/>
    <w:rsid w:val="00022C29"/>
    <w:rsid w:val="00022EE2"/>
    <w:rsid w:val="000233BE"/>
    <w:rsid w:val="000234FC"/>
    <w:rsid w:val="00023E00"/>
    <w:rsid w:val="000240F0"/>
    <w:rsid w:val="00024275"/>
    <w:rsid w:val="00024409"/>
    <w:rsid w:val="00024896"/>
    <w:rsid w:val="00024B19"/>
    <w:rsid w:val="00024F5D"/>
    <w:rsid w:val="0002516B"/>
    <w:rsid w:val="00025218"/>
    <w:rsid w:val="00025775"/>
    <w:rsid w:val="0002589A"/>
    <w:rsid w:val="00025F21"/>
    <w:rsid w:val="00025FB0"/>
    <w:rsid w:val="00026061"/>
    <w:rsid w:val="000262BF"/>
    <w:rsid w:val="000264F3"/>
    <w:rsid w:val="00026775"/>
    <w:rsid w:val="00027343"/>
    <w:rsid w:val="0003020B"/>
    <w:rsid w:val="000302D2"/>
    <w:rsid w:val="00030649"/>
    <w:rsid w:val="0003081A"/>
    <w:rsid w:val="0003082B"/>
    <w:rsid w:val="00030CF7"/>
    <w:rsid w:val="0003126D"/>
    <w:rsid w:val="00031446"/>
    <w:rsid w:val="0003144C"/>
    <w:rsid w:val="00032983"/>
    <w:rsid w:val="00032A3C"/>
    <w:rsid w:val="00032E6A"/>
    <w:rsid w:val="00032E85"/>
    <w:rsid w:val="00032EE8"/>
    <w:rsid w:val="000330C2"/>
    <w:rsid w:val="00033304"/>
    <w:rsid w:val="00033409"/>
    <w:rsid w:val="00033FCF"/>
    <w:rsid w:val="000348F6"/>
    <w:rsid w:val="00034D51"/>
    <w:rsid w:val="000376A8"/>
    <w:rsid w:val="00040553"/>
    <w:rsid w:val="00040622"/>
    <w:rsid w:val="00040692"/>
    <w:rsid w:val="000409CD"/>
    <w:rsid w:val="00040E41"/>
    <w:rsid w:val="00041298"/>
    <w:rsid w:val="00041B50"/>
    <w:rsid w:val="00041EA0"/>
    <w:rsid w:val="0004282F"/>
    <w:rsid w:val="00042B4F"/>
    <w:rsid w:val="000434EA"/>
    <w:rsid w:val="00044361"/>
    <w:rsid w:val="0004462D"/>
    <w:rsid w:val="00044E56"/>
    <w:rsid w:val="00044FBB"/>
    <w:rsid w:val="0004566D"/>
    <w:rsid w:val="000457C0"/>
    <w:rsid w:val="000468F3"/>
    <w:rsid w:val="00046CCC"/>
    <w:rsid w:val="00047267"/>
    <w:rsid w:val="00047510"/>
    <w:rsid w:val="0004783F"/>
    <w:rsid w:val="00047A07"/>
    <w:rsid w:val="000502FB"/>
    <w:rsid w:val="000504E2"/>
    <w:rsid w:val="00050F06"/>
    <w:rsid w:val="00050F53"/>
    <w:rsid w:val="0005121F"/>
    <w:rsid w:val="0005125E"/>
    <w:rsid w:val="00051462"/>
    <w:rsid w:val="0005191D"/>
    <w:rsid w:val="000519E0"/>
    <w:rsid w:val="00052CBF"/>
    <w:rsid w:val="000530A8"/>
    <w:rsid w:val="00053858"/>
    <w:rsid w:val="00053EBC"/>
    <w:rsid w:val="000550E6"/>
    <w:rsid w:val="00055B40"/>
    <w:rsid w:val="00055FA8"/>
    <w:rsid w:val="000560AA"/>
    <w:rsid w:val="000562FA"/>
    <w:rsid w:val="00056522"/>
    <w:rsid w:val="000568AC"/>
    <w:rsid w:val="00057431"/>
    <w:rsid w:val="00057761"/>
    <w:rsid w:val="00057B3F"/>
    <w:rsid w:val="0006014B"/>
    <w:rsid w:val="00060392"/>
    <w:rsid w:val="0006076C"/>
    <w:rsid w:val="0006098A"/>
    <w:rsid w:val="000609CE"/>
    <w:rsid w:val="00060D2B"/>
    <w:rsid w:val="00060DC6"/>
    <w:rsid w:val="00061287"/>
    <w:rsid w:val="00061398"/>
    <w:rsid w:val="00061457"/>
    <w:rsid w:val="0006165F"/>
    <w:rsid w:val="00061CE0"/>
    <w:rsid w:val="00061DEA"/>
    <w:rsid w:val="00062217"/>
    <w:rsid w:val="0006237A"/>
    <w:rsid w:val="00062A64"/>
    <w:rsid w:val="000632F2"/>
    <w:rsid w:val="00063523"/>
    <w:rsid w:val="00063AFB"/>
    <w:rsid w:val="00063CA6"/>
    <w:rsid w:val="00063EC7"/>
    <w:rsid w:val="00064505"/>
    <w:rsid w:val="0006451B"/>
    <w:rsid w:val="000648B9"/>
    <w:rsid w:val="00064C31"/>
    <w:rsid w:val="00064CE4"/>
    <w:rsid w:val="00064EF2"/>
    <w:rsid w:val="00065066"/>
    <w:rsid w:val="00065560"/>
    <w:rsid w:val="000655A9"/>
    <w:rsid w:val="000657EB"/>
    <w:rsid w:val="00065D65"/>
    <w:rsid w:val="00065F27"/>
    <w:rsid w:val="00066211"/>
    <w:rsid w:val="00066290"/>
    <w:rsid w:val="00066374"/>
    <w:rsid w:val="000670A9"/>
    <w:rsid w:val="000672B1"/>
    <w:rsid w:val="00067454"/>
    <w:rsid w:val="00067792"/>
    <w:rsid w:val="00067FBA"/>
    <w:rsid w:val="0007090D"/>
    <w:rsid w:val="000709B5"/>
    <w:rsid w:val="00070A58"/>
    <w:rsid w:val="0007120D"/>
    <w:rsid w:val="000717C2"/>
    <w:rsid w:val="000719DA"/>
    <w:rsid w:val="000729A0"/>
    <w:rsid w:val="00072C22"/>
    <w:rsid w:val="0007304D"/>
    <w:rsid w:val="00073455"/>
    <w:rsid w:val="00073732"/>
    <w:rsid w:val="00073842"/>
    <w:rsid w:val="00073A70"/>
    <w:rsid w:val="00073FFB"/>
    <w:rsid w:val="00074106"/>
    <w:rsid w:val="00074945"/>
    <w:rsid w:val="00075530"/>
    <w:rsid w:val="000756D2"/>
    <w:rsid w:val="00075D16"/>
    <w:rsid w:val="000769B6"/>
    <w:rsid w:val="00076F79"/>
    <w:rsid w:val="0007714D"/>
    <w:rsid w:val="00077BF2"/>
    <w:rsid w:val="00081168"/>
    <w:rsid w:val="00081795"/>
    <w:rsid w:val="000817B9"/>
    <w:rsid w:val="0008185A"/>
    <w:rsid w:val="00081B22"/>
    <w:rsid w:val="000823D0"/>
    <w:rsid w:val="00082E28"/>
    <w:rsid w:val="00083399"/>
    <w:rsid w:val="000835E6"/>
    <w:rsid w:val="00083A9F"/>
    <w:rsid w:val="00083E15"/>
    <w:rsid w:val="0008428C"/>
    <w:rsid w:val="0008438C"/>
    <w:rsid w:val="00084405"/>
    <w:rsid w:val="00084955"/>
    <w:rsid w:val="000849CA"/>
    <w:rsid w:val="00084B8E"/>
    <w:rsid w:val="00084C5D"/>
    <w:rsid w:val="00084E4A"/>
    <w:rsid w:val="00085588"/>
    <w:rsid w:val="00085656"/>
    <w:rsid w:val="00085964"/>
    <w:rsid w:val="00085AEC"/>
    <w:rsid w:val="00085FE9"/>
    <w:rsid w:val="00086123"/>
    <w:rsid w:val="000864B7"/>
    <w:rsid w:val="00086538"/>
    <w:rsid w:val="00086EB6"/>
    <w:rsid w:val="00087032"/>
    <w:rsid w:val="000875FE"/>
    <w:rsid w:val="00087827"/>
    <w:rsid w:val="00090B30"/>
    <w:rsid w:val="00090D40"/>
    <w:rsid w:val="00091019"/>
    <w:rsid w:val="0009124F"/>
    <w:rsid w:val="00091304"/>
    <w:rsid w:val="00091334"/>
    <w:rsid w:val="000916B6"/>
    <w:rsid w:val="00091792"/>
    <w:rsid w:val="000925FA"/>
    <w:rsid w:val="000927CB"/>
    <w:rsid w:val="00092B5D"/>
    <w:rsid w:val="00092B72"/>
    <w:rsid w:val="00092B9F"/>
    <w:rsid w:val="00092DEE"/>
    <w:rsid w:val="00092E0E"/>
    <w:rsid w:val="00094039"/>
    <w:rsid w:val="00094170"/>
    <w:rsid w:val="00094707"/>
    <w:rsid w:val="00095B72"/>
    <w:rsid w:val="00095E53"/>
    <w:rsid w:val="00095ED3"/>
    <w:rsid w:val="0009633D"/>
    <w:rsid w:val="00096B6B"/>
    <w:rsid w:val="00096BD4"/>
    <w:rsid w:val="000972AB"/>
    <w:rsid w:val="00097BFB"/>
    <w:rsid w:val="000A04C9"/>
    <w:rsid w:val="000A0990"/>
    <w:rsid w:val="000A0E0C"/>
    <w:rsid w:val="000A1005"/>
    <w:rsid w:val="000A1097"/>
    <w:rsid w:val="000A1567"/>
    <w:rsid w:val="000A248D"/>
    <w:rsid w:val="000A27E0"/>
    <w:rsid w:val="000A2A56"/>
    <w:rsid w:val="000A2DE7"/>
    <w:rsid w:val="000A2F0A"/>
    <w:rsid w:val="000A2F1C"/>
    <w:rsid w:val="000A308A"/>
    <w:rsid w:val="000A3136"/>
    <w:rsid w:val="000A34D4"/>
    <w:rsid w:val="000A35F2"/>
    <w:rsid w:val="000A3AE8"/>
    <w:rsid w:val="000A3C18"/>
    <w:rsid w:val="000A431C"/>
    <w:rsid w:val="000A5B4C"/>
    <w:rsid w:val="000A5D75"/>
    <w:rsid w:val="000A5DE6"/>
    <w:rsid w:val="000A6A7F"/>
    <w:rsid w:val="000A6F24"/>
    <w:rsid w:val="000A72D3"/>
    <w:rsid w:val="000A7447"/>
    <w:rsid w:val="000A7D5A"/>
    <w:rsid w:val="000B07FA"/>
    <w:rsid w:val="000B0AB2"/>
    <w:rsid w:val="000B1472"/>
    <w:rsid w:val="000B1975"/>
    <w:rsid w:val="000B1FA2"/>
    <w:rsid w:val="000B2304"/>
    <w:rsid w:val="000B2467"/>
    <w:rsid w:val="000B2C5B"/>
    <w:rsid w:val="000B31EA"/>
    <w:rsid w:val="000B331A"/>
    <w:rsid w:val="000B35E9"/>
    <w:rsid w:val="000B3D05"/>
    <w:rsid w:val="000B404F"/>
    <w:rsid w:val="000B4634"/>
    <w:rsid w:val="000B4CC1"/>
    <w:rsid w:val="000B52D2"/>
    <w:rsid w:val="000B583F"/>
    <w:rsid w:val="000B626C"/>
    <w:rsid w:val="000B64AB"/>
    <w:rsid w:val="000B715E"/>
    <w:rsid w:val="000B764E"/>
    <w:rsid w:val="000B7B0A"/>
    <w:rsid w:val="000B7C1D"/>
    <w:rsid w:val="000C0443"/>
    <w:rsid w:val="000C0A7A"/>
    <w:rsid w:val="000C141D"/>
    <w:rsid w:val="000C1475"/>
    <w:rsid w:val="000C177C"/>
    <w:rsid w:val="000C1865"/>
    <w:rsid w:val="000C1C1D"/>
    <w:rsid w:val="000C1CB5"/>
    <w:rsid w:val="000C24C0"/>
    <w:rsid w:val="000C3539"/>
    <w:rsid w:val="000C3DF9"/>
    <w:rsid w:val="000C3E80"/>
    <w:rsid w:val="000C4DA8"/>
    <w:rsid w:val="000C5213"/>
    <w:rsid w:val="000C5BBB"/>
    <w:rsid w:val="000C6627"/>
    <w:rsid w:val="000C671A"/>
    <w:rsid w:val="000C686B"/>
    <w:rsid w:val="000C68AF"/>
    <w:rsid w:val="000C6C3D"/>
    <w:rsid w:val="000C708A"/>
    <w:rsid w:val="000C71FE"/>
    <w:rsid w:val="000C78CA"/>
    <w:rsid w:val="000C7AA3"/>
    <w:rsid w:val="000C7B4A"/>
    <w:rsid w:val="000D00C4"/>
    <w:rsid w:val="000D0652"/>
    <w:rsid w:val="000D0AD1"/>
    <w:rsid w:val="000D0E72"/>
    <w:rsid w:val="000D13B9"/>
    <w:rsid w:val="000D1C10"/>
    <w:rsid w:val="000D1DE9"/>
    <w:rsid w:val="000D1E11"/>
    <w:rsid w:val="000D284E"/>
    <w:rsid w:val="000D29B4"/>
    <w:rsid w:val="000D2E64"/>
    <w:rsid w:val="000D319A"/>
    <w:rsid w:val="000D31D3"/>
    <w:rsid w:val="000D359A"/>
    <w:rsid w:val="000D369E"/>
    <w:rsid w:val="000D39DA"/>
    <w:rsid w:val="000D3E44"/>
    <w:rsid w:val="000D4271"/>
    <w:rsid w:val="000D44AB"/>
    <w:rsid w:val="000D5013"/>
    <w:rsid w:val="000D5599"/>
    <w:rsid w:val="000D58AD"/>
    <w:rsid w:val="000D64B7"/>
    <w:rsid w:val="000D651F"/>
    <w:rsid w:val="000D660C"/>
    <w:rsid w:val="000D68D6"/>
    <w:rsid w:val="000D6C59"/>
    <w:rsid w:val="000D6C5E"/>
    <w:rsid w:val="000D6EAA"/>
    <w:rsid w:val="000D6F87"/>
    <w:rsid w:val="000D7059"/>
    <w:rsid w:val="000D7EB5"/>
    <w:rsid w:val="000E09AD"/>
    <w:rsid w:val="000E1996"/>
    <w:rsid w:val="000E1B3A"/>
    <w:rsid w:val="000E1D14"/>
    <w:rsid w:val="000E23D3"/>
    <w:rsid w:val="000E23EF"/>
    <w:rsid w:val="000E289E"/>
    <w:rsid w:val="000E293B"/>
    <w:rsid w:val="000E2EC0"/>
    <w:rsid w:val="000E308C"/>
    <w:rsid w:val="000E322B"/>
    <w:rsid w:val="000E4505"/>
    <w:rsid w:val="000E4A09"/>
    <w:rsid w:val="000E4AE5"/>
    <w:rsid w:val="000E4B2F"/>
    <w:rsid w:val="000E4DA6"/>
    <w:rsid w:val="000E4F09"/>
    <w:rsid w:val="000E5146"/>
    <w:rsid w:val="000E514A"/>
    <w:rsid w:val="000E5936"/>
    <w:rsid w:val="000E5D5A"/>
    <w:rsid w:val="000E64FF"/>
    <w:rsid w:val="000E67E7"/>
    <w:rsid w:val="000E6B83"/>
    <w:rsid w:val="000E71AE"/>
    <w:rsid w:val="000F0212"/>
    <w:rsid w:val="000F0707"/>
    <w:rsid w:val="000F0D1B"/>
    <w:rsid w:val="000F0E9B"/>
    <w:rsid w:val="000F1200"/>
    <w:rsid w:val="000F1A89"/>
    <w:rsid w:val="000F1EAB"/>
    <w:rsid w:val="000F1ED7"/>
    <w:rsid w:val="000F1FFD"/>
    <w:rsid w:val="000F2648"/>
    <w:rsid w:val="000F2A05"/>
    <w:rsid w:val="000F2A30"/>
    <w:rsid w:val="000F2B39"/>
    <w:rsid w:val="000F2D4D"/>
    <w:rsid w:val="000F2F3F"/>
    <w:rsid w:val="000F30FF"/>
    <w:rsid w:val="000F31D9"/>
    <w:rsid w:val="000F3406"/>
    <w:rsid w:val="000F36EB"/>
    <w:rsid w:val="000F37D1"/>
    <w:rsid w:val="000F3D00"/>
    <w:rsid w:val="000F3E8E"/>
    <w:rsid w:val="000F4284"/>
    <w:rsid w:val="000F49D7"/>
    <w:rsid w:val="000F4CF3"/>
    <w:rsid w:val="000F56D7"/>
    <w:rsid w:val="000F586B"/>
    <w:rsid w:val="000F5D70"/>
    <w:rsid w:val="000F62E6"/>
    <w:rsid w:val="000F631F"/>
    <w:rsid w:val="000F6EE3"/>
    <w:rsid w:val="0010003A"/>
    <w:rsid w:val="001004E3"/>
    <w:rsid w:val="001005E7"/>
    <w:rsid w:val="00100BEC"/>
    <w:rsid w:val="00100F23"/>
    <w:rsid w:val="001016E6"/>
    <w:rsid w:val="00101C46"/>
    <w:rsid w:val="001025A7"/>
    <w:rsid w:val="00102C98"/>
    <w:rsid w:val="00102EBD"/>
    <w:rsid w:val="00103649"/>
    <w:rsid w:val="00103AF0"/>
    <w:rsid w:val="001041EB"/>
    <w:rsid w:val="0010451C"/>
    <w:rsid w:val="00104538"/>
    <w:rsid w:val="00104871"/>
    <w:rsid w:val="0010531D"/>
    <w:rsid w:val="001057F0"/>
    <w:rsid w:val="0010587F"/>
    <w:rsid w:val="00106545"/>
    <w:rsid w:val="00106943"/>
    <w:rsid w:val="00106D00"/>
    <w:rsid w:val="0010752E"/>
    <w:rsid w:val="001077D2"/>
    <w:rsid w:val="00107885"/>
    <w:rsid w:val="00107AD4"/>
    <w:rsid w:val="00107CA8"/>
    <w:rsid w:val="00107D34"/>
    <w:rsid w:val="00110266"/>
    <w:rsid w:val="00110F5B"/>
    <w:rsid w:val="00111087"/>
    <w:rsid w:val="00111F76"/>
    <w:rsid w:val="00112216"/>
    <w:rsid w:val="00112721"/>
    <w:rsid w:val="00112EAE"/>
    <w:rsid w:val="00114550"/>
    <w:rsid w:val="001145BE"/>
    <w:rsid w:val="00114857"/>
    <w:rsid w:val="00114C71"/>
    <w:rsid w:val="00115689"/>
    <w:rsid w:val="001162FE"/>
    <w:rsid w:val="00116531"/>
    <w:rsid w:val="0011681A"/>
    <w:rsid w:val="001168C9"/>
    <w:rsid w:val="001169F1"/>
    <w:rsid w:val="00116E28"/>
    <w:rsid w:val="0011718D"/>
    <w:rsid w:val="00117288"/>
    <w:rsid w:val="00117C34"/>
    <w:rsid w:val="001201B8"/>
    <w:rsid w:val="00120969"/>
    <w:rsid w:val="00120CDE"/>
    <w:rsid w:val="001211CC"/>
    <w:rsid w:val="00121321"/>
    <w:rsid w:val="001216AD"/>
    <w:rsid w:val="00121891"/>
    <w:rsid w:val="001218D6"/>
    <w:rsid w:val="0012263A"/>
    <w:rsid w:val="00122CE9"/>
    <w:rsid w:val="00123238"/>
    <w:rsid w:val="00123324"/>
    <w:rsid w:val="001234BC"/>
    <w:rsid w:val="00123669"/>
    <w:rsid w:val="0012366E"/>
    <w:rsid w:val="001239F5"/>
    <w:rsid w:val="00123AA8"/>
    <w:rsid w:val="00123DB8"/>
    <w:rsid w:val="00123E12"/>
    <w:rsid w:val="00124153"/>
    <w:rsid w:val="0012422C"/>
    <w:rsid w:val="00124605"/>
    <w:rsid w:val="00124627"/>
    <w:rsid w:val="00124864"/>
    <w:rsid w:val="00124DD1"/>
    <w:rsid w:val="0012530E"/>
    <w:rsid w:val="001262C8"/>
    <w:rsid w:val="00126A03"/>
    <w:rsid w:val="001277F6"/>
    <w:rsid w:val="001301EC"/>
    <w:rsid w:val="001304AA"/>
    <w:rsid w:val="00130616"/>
    <w:rsid w:val="00130C6F"/>
    <w:rsid w:val="001314A1"/>
    <w:rsid w:val="00131564"/>
    <w:rsid w:val="00131A01"/>
    <w:rsid w:val="00131BA7"/>
    <w:rsid w:val="00132059"/>
    <w:rsid w:val="0013210C"/>
    <w:rsid w:val="00132219"/>
    <w:rsid w:val="00132286"/>
    <w:rsid w:val="0013290D"/>
    <w:rsid w:val="001341CC"/>
    <w:rsid w:val="0013547C"/>
    <w:rsid w:val="0013567E"/>
    <w:rsid w:val="00135907"/>
    <w:rsid w:val="00136739"/>
    <w:rsid w:val="001368DD"/>
    <w:rsid w:val="00136908"/>
    <w:rsid w:val="00137C80"/>
    <w:rsid w:val="001403C7"/>
    <w:rsid w:val="001409AE"/>
    <w:rsid w:val="001409C7"/>
    <w:rsid w:val="00140ABC"/>
    <w:rsid w:val="00141282"/>
    <w:rsid w:val="0014151A"/>
    <w:rsid w:val="00141F1E"/>
    <w:rsid w:val="0014211A"/>
    <w:rsid w:val="001421A5"/>
    <w:rsid w:val="00142B6D"/>
    <w:rsid w:val="001431FA"/>
    <w:rsid w:val="001439A0"/>
    <w:rsid w:val="00143E72"/>
    <w:rsid w:val="00144EC0"/>
    <w:rsid w:val="00145004"/>
    <w:rsid w:val="00145282"/>
    <w:rsid w:val="0014699E"/>
    <w:rsid w:val="001470B7"/>
    <w:rsid w:val="001472E5"/>
    <w:rsid w:val="001476B7"/>
    <w:rsid w:val="00147A93"/>
    <w:rsid w:val="00150B14"/>
    <w:rsid w:val="00151097"/>
    <w:rsid w:val="001510B5"/>
    <w:rsid w:val="00151AC1"/>
    <w:rsid w:val="001528DA"/>
    <w:rsid w:val="00152CB5"/>
    <w:rsid w:val="00152DB5"/>
    <w:rsid w:val="001530FE"/>
    <w:rsid w:val="0015366B"/>
    <w:rsid w:val="001539AA"/>
    <w:rsid w:val="00153AF1"/>
    <w:rsid w:val="00153B29"/>
    <w:rsid w:val="001540B6"/>
    <w:rsid w:val="00154467"/>
    <w:rsid w:val="001547BC"/>
    <w:rsid w:val="0015486B"/>
    <w:rsid w:val="00154AB4"/>
    <w:rsid w:val="00154DB8"/>
    <w:rsid w:val="00154E16"/>
    <w:rsid w:val="00155B6B"/>
    <w:rsid w:val="00156056"/>
    <w:rsid w:val="00156D06"/>
    <w:rsid w:val="00156D19"/>
    <w:rsid w:val="00157BBD"/>
    <w:rsid w:val="00160115"/>
    <w:rsid w:val="00160B6B"/>
    <w:rsid w:val="00160C92"/>
    <w:rsid w:val="001613C8"/>
    <w:rsid w:val="00161A53"/>
    <w:rsid w:val="00162218"/>
    <w:rsid w:val="001622CF"/>
    <w:rsid w:val="00162D24"/>
    <w:rsid w:val="001630B6"/>
    <w:rsid w:val="00163AAA"/>
    <w:rsid w:val="00163C39"/>
    <w:rsid w:val="001640C5"/>
    <w:rsid w:val="001646FA"/>
    <w:rsid w:val="00164B22"/>
    <w:rsid w:val="00165030"/>
    <w:rsid w:val="001654C5"/>
    <w:rsid w:val="001655F5"/>
    <w:rsid w:val="00165677"/>
    <w:rsid w:val="001667CC"/>
    <w:rsid w:val="00166D78"/>
    <w:rsid w:val="00167038"/>
    <w:rsid w:val="0016756D"/>
    <w:rsid w:val="00170C65"/>
    <w:rsid w:val="00171794"/>
    <w:rsid w:val="00171AA5"/>
    <w:rsid w:val="00171E22"/>
    <w:rsid w:val="00172456"/>
    <w:rsid w:val="00173100"/>
    <w:rsid w:val="0017330D"/>
    <w:rsid w:val="00173666"/>
    <w:rsid w:val="00173DFF"/>
    <w:rsid w:val="001743B7"/>
    <w:rsid w:val="00174790"/>
    <w:rsid w:val="0017527A"/>
    <w:rsid w:val="0017530E"/>
    <w:rsid w:val="001754DB"/>
    <w:rsid w:val="001763AF"/>
    <w:rsid w:val="0017649B"/>
    <w:rsid w:val="001767E5"/>
    <w:rsid w:val="00176AFE"/>
    <w:rsid w:val="0017746C"/>
    <w:rsid w:val="00177557"/>
    <w:rsid w:val="00177BBD"/>
    <w:rsid w:val="00180490"/>
    <w:rsid w:val="00180C23"/>
    <w:rsid w:val="0018199A"/>
    <w:rsid w:val="00181D8E"/>
    <w:rsid w:val="00181DA4"/>
    <w:rsid w:val="00181E1D"/>
    <w:rsid w:val="00182161"/>
    <w:rsid w:val="00182C3D"/>
    <w:rsid w:val="00183990"/>
    <w:rsid w:val="001839D4"/>
    <w:rsid w:val="00184319"/>
    <w:rsid w:val="00184C89"/>
    <w:rsid w:val="00184E22"/>
    <w:rsid w:val="001854E4"/>
    <w:rsid w:val="001860F7"/>
    <w:rsid w:val="00186634"/>
    <w:rsid w:val="00186997"/>
    <w:rsid w:val="00186B68"/>
    <w:rsid w:val="00186C55"/>
    <w:rsid w:val="00187AC9"/>
    <w:rsid w:val="00187B50"/>
    <w:rsid w:val="0019019B"/>
    <w:rsid w:val="00190A83"/>
    <w:rsid w:val="00190AA6"/>
    <w:rsid w:val="00190CB5"/>
    <w:rsid w:val="00190DA6"/>
    <w:rsid w:val="00191305"/>
    <w:rsid w:val="001914D3"/>
    <w:rsid w:val="0019246A"/>
    <w:rsid w:val="001924D2"/>
    <w:rsid w:val="0019287E"/>
    <w:rsid w:val="00192B12"/>
    <w:rsid w:val="00192ED7"/>
    <w:rsid w:val="00192F9F"/>
    <w:rsid w:val="00193688"/>
    <w:rsid w:val="0019454D"/>
    <w:rsid w:val="001947EB"/>
    <w:rsid w:val="0019488E"/>
    <w:rsid w:val="001948A5"/>
    <w:rsid w:val="00195133"/>
    <w:rsid w:val="0019545C"/>
    <w:rsid w:val="001957EA"/>
    <w:rsid w:val="001958DF"/>
    <w:rsid w:val="001960F5"/>
    <w:rsid w:val="00196449"/>
    <w:rsid w:val="0019652E"/>
    <w:rsid w:val="00197434"/>
    <w:rsid w:val="001974F5"/>
    <w:rsid w:val="001979F2"/>
    <w:rsid w:val="001A1ABD"/>
    <w:rsid w:val="001A1BEC"/>
    <w:rsid w:val="001A21A7"/>
    <w:rsid w:val="001A2695"/>
    <w:rsid w:val="001A2EBE"/>
    <w:rsid w:val="001A2F6F"/>
    <w:rsid w:val="001A346B"/>
    <w:rsid w:val="001A3BB1"/>
    <w:rsid w:val="001A3F07"/>
    <w:rsid w:val="001A42BA"/>
    <w:rsid w:val="001A48BB"/>
    <w:rsid w:val="001A4D37"/>
    <w:rsid w:val="001A5647"/>
    <w:rsid w:val="001A595E"/>
    <w:rsid w:val="001A5F4C"/>
    <w:rsid w:val="001A657C"/>
    <w:rsid w:val="001A65AE"/>
    <w:rsid w:val="001A7001"/>
    <w:rsid w:val="001A73E3"/>
    <w:rsid w:val="001A765F"/>
    <w:rsid w:val="001B0D55"/>
    <w:rsid w:val="001B16AE"/>
    <w:rsid w:val="001B16B2"/>
    <w:rsid w:val="001B1CA7"/>
    <w:rsid w:val="001B1E6F"/>
    <w:rsid w:val="001B23C9"/>
    <w:rsid w:val="001B277D"/>
    <w:rsid w:val="001B31BA"/>
    <w:rsid w:val="001B3656"/>
    <w:rsid w:val="001B37F4"/>
    <w:rsid w:val="001B3D5A"/>
    <w:rsid w:val="001B3DD7"/>
    <w:rsid w:val="001B42E4"/>
    <w:rsid w:val="001B43BE"/>
    <w:rsid w:val="001B46DC"/>
    <w:rsid w:val="001B4D7F"/>
    <w:rsid w:val="001B5ACF"/>
    <w:rsid w:val="001B6631"/>
    <w:rsid w:val="001B72C3"/>
    <w:rsid w:val="001B73E6"/>
    <w:rsid w:val="001B748F"/>
    <w:rsid w:val="001B74F7"/>
    <w:rsid w:val="001B7C97"/>
    <w:rsid w:val="001B7D67"/>
    <w:rsid w:val="001B7EC8"/>
    <w:rsid w:val="001C03DF"/>
    <w:rsid w:val="001C04C6"/>
    <w:rsid w:val="001C0990"/>
    <w:rsid w:val="001C0B25"/>
    <w:rsid w:val="001C0B6F"/>
    <w:rsid w:val="001C13C1"/>
    <w:rsid w:val="001C14F7"/>
    <w:rsid w:val="001C173F"/>
    <w:rsid w:val="001C2022"/>
    <w:rsid w:val="001C2D46"/>
    <w:rsid w:val="001C3015"/>
    <w:rsid w:val="001C3470"/>
    <w:rsid w:val="001C392E"/>
    <w:rsid w:val="001C3B68"/>
    <w:rsid w:val="001C3C9C"/>
    <w:rsid w:val="001C41E8"/>
    <w:rsid w:val="001C430C"/>
    <w:rsid w:val="001C47B3"/>
    <w:rsid w:val="001C49D0"/>
    <w:rsid w:val="001C4EBE"/>
    <w:rsid w:val="001C51C6"/>
    <w:rsid w:val="001C52BD"/>
    <w:rsid w:val="001C549A"/>
    <w:rsid w:val="001C553E"/>
    <w:rsid w:val="001C562E"/>
    <w:rsid w:val="001C5996"/>
    <w:rsid w:val="001C5C81"/>
    <w:rsid w:val="001C6659"/>
    <w:rsid w:val="001C6B01"/>
    <w:rsid w:val="001C6CF2"/>
    <w:rsid w:val="001C7C0E"/>
    <w:rsid w:val="001D0788"/>
    <w:rsid w:val="001D1923"/>
    <w:rsid w:val="001D1AE9"/>
    <w:rsid w:val="001D2200"/>
    <w:rsid w:val="001D2268"/>
    <w:rsid w:val="001D2768"/>
    <w:rsid w:val="001D30B0"/>
    <w:rsid w:val="001D3336"/>
    <w:rsid w:val="001D3647"/>
    <w:rsid w:val="001D3B1B"/>
    <w:rsid w:val="001D3EA6"/>
    <w:rsid w:val="001D463F"/>
    <w:rsid w:val="001D46C6"/>
    <w:rsid w:val="001D5453"/>
    <w:rsid w:val="001D55BC"/>
    <w:rsid w:val="001D6EF9"/>
    <w:rsid w:val="001D710F"/>
    <w:rsid w:val="001D724B"/>
    <w:rsid w:val="001D7726"/>
    <w:rsid w:val="001D778B"/>
    <w:rsid w:val="001D7E6F"/>
    <w:rsid w:val="001D7F63"/>
    <w:rsid w:val="001D7FCF"/>
    <w:rsid w:val="001E0658"/>
    <w:rsid w:val="001E0CDE"/>
    <w:rsid w:val="001E0E6C"/>
    <w:rsid w:val="001E1451"/>
    <w:rsid w:val="001E181B"/>
    <w:rsid w:val="001E1ACB"/>
    <w:rsid w:val="001E1B7F"/>
    <w:rsid w:val="001E1C67"/>
    <w:rsid w:val="001E2175"/>
    <w:rsid w:val="001E2C89"/>
    <w:rsid w:val="001E34FD"/>
    <w:rsid w:val="001E3689"/>
    <w:rsid w:val="001E391E"/>
    <w:rsid w:val="001E3B21"/>
    <w:rsid w:val="001E3B6E"/>
    <w:rsid w:val="001E3ECF"/>
    <w:rsid w:val="001E40A4"/>
    <w:rsid w:val="001E4485"/>
    <w:rsid w:val="001E45A0"/>
    <w:rsid w:val="001E461A"/>
    <w:rsid w:val="001E517D"/>
    <w:rsid w:val="001E6587"/>
    <w:rsid w:val="001E6A93"/>
    <w:rsid w:val="001E6DA4"/>
    <w:rsid w:val="001E6F03"/>
    <w:rsid w:val="001E6F51"/>
    <w:rsid w:val="001E7317"/>
    <w:rsid w:val="001E788E"/>
    <w:rsid w:val="001E7C4E"/>
    <w:rsid w:val="001E7C5B"/>
    <w:rsid w:val="001E7CB8"/>
    <w:rsid w:val="001F0032"/>
    <w:rsid w:val="001F070E"/>
    <w:rsid w:val="001F0A1A"/>
    <w:rsid w:val="001F17C8"/>
    <w:rsid w:val="001F1E4B"/>
    <w:rsid w:val="001F1EA8"/>
    <w:rsid w:val="001F2155"/>
    <w:rsid w:val="001F2842"/>
    <w:rsid w:val="001F2A57"/>
    <w:rsid w:val="001F2FE6"/>
    <w:rsid w:val="001F3802"/>
    <w:rsid w:val="001F3D92"/>
    <w:rsid w:val="001F3DA9"/>
    <w:rsid w:val="001F4208"/>
    <w:rsid w:val="001F4E41"/>
    <w:rsid w:val="001F585C"/>
    <w:rsid w:val="001F5C54"/>
    <w:rsid w:val="001F66B6"/>
    <w:rsid w:val="001F6CEA"/>
    <w:rsid w:val="001F75E3"/>
    <w:rsid w:val="001F7723"/>
    <w:rsid w:val="001F7ED2"/>
    <w:rsid w:val="00200711"/>
    <w:rsid w:val="00200DF3"/>
    <w:rsid w:val="00200E75"/>
    <w:rsid w:val="0020172C"/>
    <w:rsid w:val="00201A6B"/>
    <w:rsid w:val="00201B2E"/>
    <w:rsid w:val="00201CE8"/>
    <w:rsid w:val="00202586"/>
    <w:rsid w:val="002026BD"/>
    <w:rsid w:val="002028FA"/>
    <w:rsid w:val="00202A3D"/>
    <w:rsid w:val="00202A5E"/>
    <w:rsid w:val="00202D7A"/>
    <w:rsid w:val="00203699"/>
    <w:rsid w:val="00203E4B"/>
    <w:rsid w:val="0020442F"/>
    <w:rsid w:val="0020497E"/>
    <w:rsid w:val="00204B25"/>
    <w:rsid w:val="002054B1"/>
    <w:rsid w:val="0020550C"/>
    <w:rsid w:val="00205F54"/>
    <w:rsid w:val="002060AE"/>
    <w:rsid w:val="00207279"/>
    <w:rsid w:val="002077DC"/>
    <w:rsid w:val="00207881"/>
    <w:rsid w:val="00207E3B"/>
    <w:rsid w:val="002104EF"/>
    <w:rsid w:val="00210576"/>
    <w:rsid w:val="002106C7"/>
    <w:rsid w:val="00210EEC"/>
    <w:rsid w:val="00211366"/>
    <w:rsid w:val="00211713"/>
    <w:rsid w:val="002117E4"/>
    <w:rsid w:val="00211A1D"/>
    <w:rsid w:val="00211ADB"/>
    <w:rsid w:val="00211C6C"/>
    <w:rsid w:val="00211CDD"/>
    <w:rsid w:val="00211F98"/>
    <w:rsid w:val="002121F7"/>
    <w:rsid w:val="002125E7"/>
    <w:rsid w:val="00212B72"/>
    <w:rsid w:val="00212F52"/>
    <w:rsid w:val="002138AD"/>
    <w:rsid w:val="0021393D"/>
    <w:rsid w:val="00213CBD"/>
    <w:rsid w:val="00213F1F"/>
    <w:rsid w:val="002140A4"/>
    <w:rsid w:val="0021416B"/>
    <w:rsid w:val="0021436F"/>
    <w:rsid w:val="00214442"/>
    <w:rsid w:val="002146BB"/>
    <w:rsid w:val="00214CAD"/>
    <w:rsid w:val="00214FBD"/>
    <w:rsid w:val="0021506A"/>
    <w:rsid w:val="0021554B"/>
    <w:rsid w:val="00215D0A"/>
    <w:rsid w:val="00215D13"/>
    <w:rsid w:val="00216DB1"/>
    <w:rsid w:val="00216EA2"/>
    <w:rsid w:val="002176FE"/>
    <w:rsid w:val="00217B64"/>
    <w:rsid w:val="00220126"/>
    <w:rsid w:val="002201C0"/>
    <w:rsid w:val="0022039C"/>
    <w:rsid w:val="00220812"/>
    <w:rsid w:val="00220963"/>
    <w:rsid w:val="002209DA"/>
    <w:rsid w:val="00220B52"/>
    <w:rsid w:val="00221567"/>
    <w:rsid w:val="0022157C"/>
    <w:rsid w:val="00221A2F"/>
    <w:rsid w:val="00221DF8"/>
    <w:rsid w:val="0022270A"/>
    <w:rsid w:val="0022282A"/>
    <w:rsid w:val="00222C8F"/>
    <w:rsid w:val="00222CE0"/>
    <w:rsid w:val="0022372B"/>
    <w:rsid w:val="0022388A"/>
    <w:rsid w:val="00223958"/>
    <w:rsid w:val="00224B02"/>
    <w:rsid w:val="002251A4"/>
    <w:rsid w:val="002253B2"/>
    <w:rsid w:val="002254F5"/>
    <w:rsid w:val="0022550C"/>
    <w:rsid w:val="00225547"/>
    <w:rsid w:val="0022629D"/>
    <w:rsid w:val="002264A5"/>
    <w:rsid w:val="0022719F"/>
    <w:rsid w:val="002300A8"/>
    <w:rsid w:val="002306B9"/>
    <w:rsid w:val="00231414"/>
    <w:rsid w:val="002315AE"/>
    <w:rsid w:val="00231775"/>
    <w:rsid w:val="00232074"/>
    <w:rsid w:val="00232816"/>
    <w:rsid w:val="00232B18"/>
    <w:rsid w:val="00232FB5"/>
    <w:rsid w:val="00233167"/>
    <w:rsid w:val="00233218"/>
    <w:rsid w:val="00233A5D"/>
    <w:rsid w:val="00234352"/>
    <w:rsid w:val="00234373"/>
    <w:rsid w:val="00234803"/>
    <w:rsid w:val="002349CE"/>
    <w:rsid w:val="00234F56"/>
    <w:rsid w:val="00234F67"/>
    <w:rsid w:val="002357F0"/>
    <w:rsid w:val="002358F8"/>
    <w:rsid w:val="002361F4"/>
    <w:rsid w:val="0023633C"/>
    <w:rsid w:val="00236713"/>
    <w:rsid w:val="00237B36"/>
    <w:rsid w:val="00240A6F"/>
    <w:rsid w:val="00240CBD"/>
    <w:rsid w:val="00241D54"/>
    <w:rsid w:val="0024251E"/>
    <w:rsid w:val="002428A4"/>
    <w:rsid w:val="00242F95"/>
    <w:rsid w:val="0024348A"/>
    <w:rsid w:val="002439E5"/>
    <w:rsid w:val="00243C3D"/>
    <w:rsid w:val="00244869"/>
    <w:rsid w:val="00244B83"/>
    <w:rsid w:val="0024512B"/>
    <w:rsid w:val="00245611"/>
    <w:rsid w:val="00246141"/>
    <w:rsid w:val="0024645E"/>
    <w:rsid w:val="00246674"/>
    <w:rsid w:val="00246B4D"/>
    <w:rsid w:val="00246E78"/>
    <w:rsid w:val="00246EB8"/>
    <w:rsid w:val="002472B6"/>
    <w:rsid w:val="00247671"/>
    <w:rsid w:val="00247C55"/>
    <w:rsid w:val="00247F5A"/>
    <w:rsid w:val="00250F45"/>
    <w:rsid w:val="00251BC1"/>
    <w:rsid w:val="00251C0C"/>
    <w:rsid w:val="00251C86"/>
    <w:rsid w:val="0025205B"/>
    <w:rsid w:val="00252126"/>
    <w:rsid w:val="002525E2"/>
    <w:rsid w:val="00252A3F"/>
    <w:rsid w:val="00252B8F"/>
    <w:rsid w:val="00252CB2"/>
    <w:rsid w:val="002533EE"/>
    <w:rsid w:val="00253924"/>
    <w:rsid w:val="0025412C"/>
    <w:rsid w:val="002543C7"/>
    <w:rsid w:val="002548F8"/>
    <w:rsid w:val="00255379"/>
    <w:rsid w:val="002554EA"/>
    <w:rsid w:val="00255840"/>
    <w:rsid w:val="00255876"/>
    <w:rsid w:val="00255A84"/>
    <w:rsid w:val="00255E8C"/>
    <w:rsid w:val="00255F0F"/>
    <w:rsid w:val="00255FB1"/>
    <w:rsid w:val="002564FB"/>
    <w:rsid w:val="002577BC"/>
    <w:rsid w:val="00260499"/>
    <w:rsid w:val="00260958"/>
    <w:rsid w:val="0026097D"/>
    <w:rsid w:val="00261081"/>
    <w:rsid w:val="00261652"/>
    <w:rsid w:val="002621E3"/>
    <w:rsid w:val="00262B40"/>
    <w:rsid w:val="00262FF7"/>
    <w:rsid w:val="0026355A"/>
    <w:rsid w:val="002639AE"/>
    <w:rsid w:val="00263C95"/>
    <w:rsid w:val="00263D18"/>
    <w:rsid w:val="00263F41"/>
    <w:rsid w:val="00263FA6"/>
    <w:rsid w:val="00264FFF"/>
    <w:rsid w:val="00265998"/>
    <w:rsid w:val="00265CEA"/>
    <w:rsid w:val="00265E82"/>
    <w:rsid w:val="00266078"/>
    <w:rsid w:val="00266194"/>
    <w:rsid w:val="00266B9F"/>
    <w:rsid w:val="00266DCD"/>
    <w:rsid w:val="002670FC"/>
    <w:rsid w:val="002676DE"/>
    <w:rsid w:val="00267BBE"/>
    <w:rsid w:val="00267CF6"/>
    <w:rsid w:val="00270037"/>
    <w:rsid w:val="00270984"/>
    <w:rsid w:val="00270C30"/>
    <w:rsid w:val="00270CF8"/>
    <w:rsid w:val="00270D41"/>
    <w:rsid w:val="0027168B"/>
    <w:rsid w:val="00271752"/>
    <w:rsid w:val="00271B47"/>
    <w:rsid w:val="00271D8C"/>
    <w:rsid w:val="00272758"/>
    <w:rsid w:val="00273853"/>
    <w:rsid w:val="00273B4F"/>
    <w:rsid w:val="00273C7B"/>
    <w:rsid w:val="00273D48"/>
    <w:rsid w:val="00273EDA"/>
    <w:rsid w:val="00273F4D"/>
    <w:rsid w:val="00274E0C"/>
    <w:rsid w:val="0027526A"/>
    <w:rsid w:val="00275B4C"/>
    <w:rsid w:val="00276086"/>
    <w:rsid w:val="00276961"/>
    <w:rsid w:val="00276E96"/>
    <w:rsid w:val="00277517"/>
    <w:rsid w:val="00277F5E"/>
    <w:rsid w:val="00280304"/>
    <w:rsid w:val="002803B1"/>
    <w:rsid w:val="00281847"/>
    <w:rsid w:val="00281AAC"/>
    <w:rsid w:val="00282398"/>
    <w:rsid w:val="002823AE"/>
    <w:rsid w:val="002823C8"/>
    <w:rsid w:val="002823E3"/>
    <w:rsid w:val="00282624"/>
    <w:rsid w:val="00282F56"/>
    <w:rsid w:val="0028301D"/>
    <w:rsid w:val="00283042"/>
    <w:rsid w:val="0028320D"/>
    <w:rsid w:val="00283409"/>
    <w:rsid w:val="002845D0"/>
    <w:rsid w:val="00284FF0"/>
    <w:rsid w:val="0028537B"/>
    <w:rsid w:val="0028570D"/>
    <w:rsid w:val="002858B5"/>
    <w:rsid w:val="00285D42"/>
    <w:rsid w:val="00286802"/>
    <w:rsid w:val="00286AD7"/>
    <w:rsid w:val="002874F3"/>
    <w:rsid w:val="00287595"/>
    <w:rsid w:val="002877BD"/>
    <w:rsid w:val="00287A00"/>
    <w:rsid w:val="00287D99"/>
    <w:rsid w:val="00287E1F"/>
    <w:rsid w:val="00287F57"/>
    <w:rsid w:val="00290B1B"/>
    <w:rsid w:val="00290ECA"/>
    <w:rsid w:val="00291069"/>
    <w:rsid w:val="00291789"/>
    <w:rsid w:val="00291E6E"/>
    <w:rsid w:val="0029279A"/>
    <w:rsid w:val="00292FFB"/>
    <w:rsid w:val="002941AC"/>
    <w:rsid w:val="00294A00"/>
    <w:rsid w:val="00294D9F"/>
    <w:rsid w:val="002952B3"/>
    <w:rsid w:val="00295A55"/>
    <w:rsid w:val="00295E36"/>
    <w:rsid w:val="00296D77"/>
    <w:rsid w:val="00296EC1"/>
    <w:rsid w:val="0029724F"/>
    <w:rsid w:val="00297258"/>
    <w:rsid w:val="0029793B"/>
    <w:rsid w:val="00297C4F"/>
    <w:rsid w:val="00297CD2"/>
    <w:rsid w:val="002A19F3"/>
    <w:rsid w:val="002A1B11"/>
    <w:rsid w:val="002A206A"/>
    <w:rsid w:val="002A2AE3"/>
    <w:rsid w:val="002A2C3B"/>
    <w:rsid w:val="002A30FD"/>
    <w:rsid w:val="002A329C"/>
    <w:rsid w:val="002A3567"/>
    <w:rsid w:val="002A3629"/>
    <w:rsid w:val="002A3B9D"/>
    <w:rsid w:val="002A3C2B"/>
    <w:rsid w:val="002A3D43"/>
    <w:rsid w:val="002A4060"/>
    <w:rsid w:val="002A4F0C"/>
    <w:rsid w:val="002A576B"/>
    <w:rsid w:val="002A5C3A"/>
    <w:rsid w:val="002A5DA2"/>
    <w:rsid w:val="002A66BF"/>
    <w:rsid w:val="002A67B7"/>
    <w:rsid w:val="002A69C4"/>
    <w:rsid w:val="002A6E6A"/>
    <w:rsid w:val="002A746D"/>
    <w:rsid w:val="002A7684"/>
    <w:rsid w:val="002A79F4"/>
    <w:rsid w:val="002A7BB9"/>
    <w:rsid w:val="002A7EA8"/>
    <w:rsid w:val="002B05CA"/>
    <w:rsid w:val="002B10DB"/>
    <w:rsid w:val="002B1143"/>
    <w:rsid w:val="002B1603"/>
    <w:rsid w:val="002B203F"/>
    <w:rsid w:val="002B21C1"/>
    <w:rsid w:val="002B23D0"/>
    <w:rsid w:val="002B2E8D"/>
    <w:rsid w:val="002B2F2B"/>
    <w:rsid w:val="002B36B7"/>
    <w:rsid w:val="002B4341"/>
    <w:rsid w:val="002B55B0"/>
    <w:rsid w:val="002B607D"/>
    <w:rsid w:val="002B6667"/>
    <w:rsid w:val="002B69C3"/>
    <w:rsid w:val="002B6C17"/>
    <w:rsid w:val="002B6E82"/>
    <w:rsid w:val="002B72F7"/>
    <w:rsid w:val="002B7370"/>
    <w:rsid w:val="002B778D"/>
    <w:rsid w:val="002B780D"/>
    <w:rsid w:val="002C0833"/>
    <w:rsid w:val="002C086E"/>
    <w:rsid w:val="002C0B13"/>
    <w:rsid w:val="002C114F"/>
    <w:rsid w:val="002C1503"/>
    <w:rsid w:val="002C1651"/>
    <w:rsid w:val="002C1733"/>
    <w:rsid w:val="002C1745"/>
    <w:rsid w:val="002C1DB6"/>
    <w:rsid w:val="002C1FEB"/>
    <w:rsid w:val="002C28C2"/>
    <w:rsid w:val="002C2B48"/>
    <w:rsid w:val="002C2C9C"/>
    <w:rsid w:val="002C2FCF"/>
    <w:rsid w:val="002C33EC"/>
    <w:rsid w:val="002C3AF8"/>
    <w:rsid w:val="002C3E29"/>
    <w:rsid w:val="002C4597"/>
    <w:rsid w:val="002C4816"/>
    <w:rsid w:val="002C4A30"/>
    <w:rsid w:val="002C5CCE"/>
    <w:rsid w:val="002C626E"/>
    <w:rsid w:val="002C6567"/>
    <w:rsid w:val="002C65DE"/>
    <w:rsid w:val="002C6880"/>
    <w:rsid w:val="002C6E9C"/>
    <w:rsid w:val="002C75F9"/>
    <w:rsid w:val="002C79F4"/>
    <w:rsid w:val="002C7A5C"/>
    <w:rsid w:val="002C7C29"/>
    <w:rsid w:val="002D05FA"/>
    <w:rsid w:val="002D15DB"/>
    <w:rsid w:val="002D21F9"/>
    <w:rsid w:val="002D26BE"/>
    <w:rsid w:val="002D2FB8"/>
    <w:rsid w:val="002D3061"/>
    <w:rsid w:val="002D30E2"/>
    <w:rsid w:val="002D365F"/>
    <w:rsid w:val="002D3B23"/>
    <w:rsid w:val="002D4304"/>
    <w:rsid w:val="002D4403"/>
    <w:rsid w:val="002D44A3"/>
    <w:rsid w:val="002D4C4E"/>
    <w:rsid w:val="002D5217"/>
    <w:rsid w:val="002D524A"/>
    <w:rsid w:val="002D5D3A"/>
    <w:rsid w:val="002D6868"/>
    <w:rsid w:val="002D6E55"/>
    <w:rsid w:val="002E0031"/>
    <w:rsid w:val="002E0075"/>
    <w:rsid w:val="002E0694"/>
    <w:rsid w:val="002E0929"/>
    <w:rsid w:val="002E09F8"/>
    <w:rsid w:val="002E0D65"/>
    <w:rsid w:val="002E1158"/>
    <w:rsid w:val="002E1244"/>
    <w:rsid w:val="002E16DD"/>
    <w:rsid w:val="002E2363"/>
    <w:rsid w:val="002E23FD"/>
    <w:rsid w:val="002E248F"/>
    <w:rsid w:val="002E25A6"/>
    <w:rsid w:val="002E34E2"/>
    <w:rsid w:val="002E3F9F"/>
    <w:rsid w:val="002E4629"/>
    <w:rsid w:val="002E4C6C"/>
    <w:rsid w:val="002E539D"/>
    <w:rsid w:val="002E59B2"/>
    <w:rsid w:val="002E5BF7"/>
    <w:rsid w:val="002E5DE4"/>
    <w:rsid w:val="002E5FF3"/>
    <w:rsid w:val="002E6034"/>
    <w:rsid w:val="002E60CE"/>
    <w:rsid w:val="002E6283"/>
    <w:rsid w:val="002E6BDA"/>
    <w:rsid w:val="002E7148"/>
    <w:rsid w:val="002E7330"/>
    <w:rsid w:val="002E73C4"/>
    <w:rsid w:val="002E7868"/>
    <w:rsid w:val="002E7E91"/>
    <w:rsid w:val="002F0974"/>
    <w:rsid w:val="002F13E4"/>
    <w:rsid w:val="002F194B"/>
    <w:rsid w:val="002F1995"/>
    <w:rsid w:val="002F1EFE"/>
    <w:rsid w:val="002F2C06"/>
    <w:rsid w:val="002F34FE"/>
    <w:rsid w:val="002F3901"/>
    <w:rsid w:val="002F3B0D"/>
    <w:rsid w:val="002F3D56"/>
    <w:rsid w:val="002F4880"/>
    <w:rsid w:val="002F4A7A"/>
    <w:rsid w:val="002F57EC"/>
    <w:rsid w:val="002F6804"/>
    <w:rsid w:val="002F6907"/>
    <w:rsid w:val="002F7254"/>
    <w:rsid w:val="002F748F"/>
    <w:rsid w:val="002F7BA5"/>
    <w:rsid w:val="002F7D1A"/>
    <w:rsid w:val="003004CD"/>
    <w:rsid w:val="00300D72"/>
    <w:rsid w:val="003014B7"/>
    <w:rsid w:val="00301784"/>
    <w:rsid w:val="00301D94"/>
    <w:rsid w:val="00302228"/>
    <w:rsid w:val="003028AB"/>
    <w:rsid w:val="00302C92"/>
    <w:rsid w:val="00303343"/>
    <w:rsid w:val="00303AC9"/>
    <w:rsid w:val="00303BEF"/>
    <w:rsid w:val="003040DF"/>
    <w:rsid w:val="003041BD"/>
    <w:rsid w:val="003042D0"/>
    <w:rsid w:val="0030478F"/>
    <w:rsid w:val="0030565C"/>
    <w:rsid w:val="003059A7"/>
    <w:rsid w:val="00305C0C"/>
    <w:rsid w:val="00305ED1"/>
    <w:rsid w:val="00305F05"/>
    <w:rsid w:val="003062F2"/>
    <w:rsid w:val="00306330"/>
    <w:rsid w:val="00307A51"/>
    <w:rsid w:val="00307C7D"/>
    <w:rsid w:val="003109C2"/>
    <w:rsid w:val="00311577"/>
    <w:rsid w:val="0031190D"/>
    <w:rsid w:val="00311ACB"/>
    <w:rsid w:val="0031219E"/>
    <w:rsid w:val="00312343"/>
    <w:rsid w:val="003127C6"/>
    <w:rsid w:val="00312844"/>
    <w:rsid w:val="003128DB"/>
    <w:rsid w:val="00312DD9"/>
    <w:rsid w:val="003134DB"/>
    <w:rsid w:val="00313CA4"/>
    <w:rsid w:val="00314F43"/>
    <w:rsid w:val="00315B2B"/>
    <w:rsid w:val="00315E9F"/>
    <w:rsid w:val="0031782B"/>
    <w:rsid w:val="0032057A"/>
    <w:rsid w:val="00320FCE"/>
    <w:rsid w:val="003214EE"/>
    <w:rsid w:val="00321622"/>
    <w:rsid w:val="0032173F"/>
    <w:rsid w:val="00322639"/>
    <w:rsid w:val="00322B80"/>
    <w:rsid w:val="0032377D"/>
    <w:rsid w:val="003237D9"/>
    <w:rsid w:val="00323B29"/>
    <w:rsid w:val="00324509"/>
    <w:rsid w:val="003248D2"/>
    <w:rsid w:val="003253F4"/>
    <w:rsid w:val="00325464"/>
    <w:rsid w:val="00325745"/>
    <w:rsid w:val="00325D08"/>
    <w:rsid w:val="00325E21"/>
    <w:rsid w:val="003263B7"/>
    <w:rsid w:val="0032659C"/>
    <w:rsid w:val="00326629"/>
    <w:rsid w:val="00326C22"/>
    <w:rsid w:val="00327944"/>
    <w:rsid w:val="00327D37"/>
    <w:rsid w:val="00327FEE"/>
    <w:rsid w:val="00331271"/>
    <w:rsid w:val="0033147B"/>
    <w:rsid w:val="003316D1"/>
    <w:rsid w:val="00332008"/>
    <w:rsid w:val="00332220"/>
    <w:rsid w:val="003325DB"/>
    <w:rsid w:val="00332A4F"/>
    <w:rsid w:val="00332B27"/>
    <w:rsid w:val="00332F30"/>
    <w:rsid w:val="00333937"/>
    <w:rsid w:val="00334038"/>
    <w:rsid w:val="0033426F"/>
    <w:rsid w:val="0033434D"/>
    <w:rsid w:val="00334BCB"/>
    <w:rsid w:val="00335142"/>
    <w:rsid w:val="00336017"/>
    <w:rsid w:val="003363FE"/>
    <w:rsid w:val="00336FD3"/>
    <w:rsid w:val="00337096"/>
    <w:rsid w:val="00337111"/>
    <w:rsid w:val="003374E4"/>
    <w:rsid w:val="00340495"/>
    <w:rsid w:val="003406FC"/>
    <w:rsid w:val="00340783"/>
    <w:rsid w:val="003410F2"/>
    <w:rsid w:val="00341762"/>
    <w:rsid w:val="00342520"/>
    <w:rsid w:val="00342BDA"/>
    <w:rsid w:val="00342CD2"/>
    <w:rsid w:val="003431A9"/>
    <w:rsid w:val="003434A4"/>
    <w:rsid w:val="00343B61"/>
    <w:rsid w:val="00343BAE"/>
    <w:rsid w:val="0034403C"/>
    <w:rsid w:val="00344599"/>
    <w:rsid w:val="00344F6A"/>
    <w:rsid w:val="00344F79"/>
    <w:rsid w:val="003450E2"/>
    <w:rsid w:val="003455EC"/>
    <w:rsid w:val="00345747"/>
    <w:rsid w:val="00345BF6"/>
    <w:rsid w:val="00345EEE"/>
    <w:rsid w:val="0034659D"/>
    <w:rsid w:val="00346754"/>
    <w:rsid w:val="0034676B"/>
    <w:rsid w:val="00346EF9"/>
    <w:rsid w:val="00347002"/>
    <w:rsid w:val="003473E2"/>
    <w:rsid w:val="0034750B"/>
    <w:rsid w:val="003502EB"/>
    <w:rsid w:val="00350A41"/>
    <w:rsid w:val="00350DEE"/>
    <w:rsid w:val="00351136"/>
    <w:rsid w:val="00351A64"/>
    <w:rsid w:val="00351E7B"/>
    <w:rsid w:val="00352440"/>
    <w:rsid w:val="003524C7"/>
    <w:rsid w:val="003530A1"/>
    <w:rsid w:val="00353549"/>
    <w:rsid w:val="00353BEC"/>
    <w:rsid w:val="00353FE3"/>
    <w:rsid w:val="003546A7"/>
    <w:rsid w:val="00354FD3"/>
    <w:rsid w:val="003550DD"/>
    <w:rsid w:val="00355DDB"/>
    <w:rsid w:val="0035637D"/>
    <w:rsid w:val="0035643B"/>
    <w:rsid w:val="0035712D"/>
    <w:rsid w:val="00357FCC"/>
    <w:rsid w:val="003601FC"/>
    <w:rsid w:val="00360D64"/>
    <w:rsid w:val="0036175C"/>
    <w:rsid w:val="00361D5A"/>
    <w:rsid w:val="00361EE1"/>
    <w:rsid w:val="00361F9F"/>
    <w:rsid w:val="0036281E"/>
    <w:rsid w:val="00362C8D"/>
    <w:rsid w:val="00362F8B"/>
    <w:rsid w:val="00362F92"/>
    <w:rsid w:val="00363227"/>
    <w:rsid w:val="00363853"/>
    <w:rsid w:val="00364069"/>
    <w:rsid w:val="00364690"/>
    <w:rsid w:val="00364B31"/>
    <w:rsid w:val="00365BA2"/>
    <w:rsid w:val="00365E76"/>
    <w:rsid w:val="00365EA9"/>
    <w:rsid w:val="003661CF"/>
    <w:rsid w:val="003663D5"/>
    <w:rsid w:val="0036649E"/>
    <w:rsid w:val="00366A15"/>
    <w:rsid w:val="00367310"/>
    <w:rsid w:val="00367514"/>
    <w:rsid w:val="0036755B"/>
    <w:rsid w:val="00367EFC"/>
    <w:rsid w:val="003703C7"/>
    <w:rsid w:val="003708A0"/>
    <w:rsid w:val="00370FFA"/>
    <w:rsid w:val="00371467"/>
    <w:rsid w:val="003716E9"/>
    <w:rsid w:val="0037188D"/>
    <w:rsid w:val="00371918"/>
    <w:rsid w:val="00371B4F"/>
    <w:rsid w:val="00371BEA"/>
    <w:rsid w:val="00371CFB"/>
    <w:rsid w:val="00371FCF"/>
    <w:rsid w:val="0037211F"/>
    <w:rsid w:val="00372231"/>
    <w:rsid w:val="003728DD"/>
    <w:rsid w:val="00372CD6"/>
    <w:rsid w:val="00372E04"/>
    <w:rsid w:val="003735E4"/>
    <w:rsid w:val="0037375B"/>
    <w:rsid w:val="00373EFD"/>
    <w:rsid w:val="003744C3"/>
    <w:rsid w:val="00374996"/>
    <w:rsid w:val="00375036"/>
    <w:rsid w:val="0037521C"/>
    <w:rsid w:val="00375CD0"/>
    <w:rsid w:val="00375D96"/>
    <w:rsid w:val="00376277"/>
    <w:rsid w:val="00376ECC"/>
    <w:rsid w:val="00377422"/>
    <w:rsid w:val="0037799F"/>
    <w:rsid w:val="003811EA"/>
    <w:rsid w:val="00381441"/>
    <w:rsid w:val="00382190"/>
    <w:rsid w:val="003825B0"/>
    <w:rsid w:val="00382721"/>
    <w:rsid w:val="00382AEF"/>
    <w:rsid w:val="0038331F"/>
    <w:rsid w:val="0038383C"/>
    <w:rsid w:val="00383981"/>
    <w:rsid w:val="00384016"/>
    <w:rsid w:val="00384364"/>
    <w:rsid w:val="003845EF"/>
    <w:rsid w:val="0038474F"/>
    <w:rsid w:val="00384E7C"/>
    <w:rsid w:val="00385538"/>
    <w:rsid w:val="003866B6"/>
    <w:rsid w:val="00386A67"/>
    <w:rsid w:val="003870F0"/>
    <w:rsid w:val="00387279"/>
    <w:rsid w:val="00387463"/>
    <w:rsid w:val="0038759B"/>
    <w:rsid w:val="00387667"/>
    <w:rsid w:val="003876FB"/>
    <w:rsid w:val="00387780"/>
    <w:rsid w:val="00387855"/>
    <w:rsid w:val="00390520"/>
    <w:rsid w:val="003906F6"/>
    <w:rsid w:val="003907D4"/>
    <w:rsid w:val="00390937"/>
    <w:rsid w:val="003909BE"/>
    <w:rsid w:val="00390F2D"/>
    <w:rsid w:val="00391133"/>
    <w:rsid w:val="0039126F"/>
    <w:rsid w:val="0039160E"/>
    <w:rsid w:val="003917FE"/>
    <w:rsid w:val="00391C88"/>
    <w:rsid w:val="00392A5B"/>
    <w:rsid w:val="00392B91"/>
    <w:rsid w:val="00392BE6"/>
    <w:rsid w:val="00392E2F"/>
    <w:rsid w:val="0039304D"/>
    <w:rsid w:val="0039343A"/>
    <w:rsid w:val="00393499"/>
    <w:rsid w:val="003938B4"/>
    <w:rsid w:val="003946FA"/>
    <w:rsid w:val="0039496E"/>
    <w:rsid w:val="00394E7E"/>
    <w:rsid w:val="00395349"/>
    <w:rsid w:val="00395432"/>
    <w:rsid w:val="00395937"/>
    <w:rsid w:val="00396012"/>
    <w:rsid w:val="00396630"/>
    <w:rsid w:val="0039753E"/>
    <w:rsid w:val="00397931"/>
    <w:rsid w:val="003A07BF"/>
    <w:rsid w:val="003A0BB6"/>
    <w:rsid w:val="003A0C3C"/>
    <w:rsid w:val="003A0CAA"/>
    <w:rsid w:val="003A11AD"/>
    <w:rsid w:val="003A1B1C"/>
    <w:rsid w:val="003A1B25"/>
    <w:rsid w:val="003A1DD5"/>
    <w:rsid w:val="003A237F"/>
    <w:rsid w:val="003A24B7"/>
    <w:rsid w:val="003A24B8"/>
    <w:rsid w:val="003A3461"/>
    <w:rsid w:val="003A3765"/>
    <w:rsid w:val="003A4837"/>
    <w:rsid w:val="003A5237"/>
    <w:rsid w:val="003A5338"/>
    <w:rsid w:val="003A5541"/>
    <w:rsid w:val="003A585A"/>
    <w:rsid w:val="003A614C"/>
    <w:rsid w:val="003A6385"/>
    <w:rsid w:val="003A6501"/>
    <w:rsid w:val="003A6885"/>
    <w:rsid w:val="003A6A84"/>
    <w:rsid w:val="003A7316"/>
    <w:rsid w:val="003A738C"/>
    <w:rsid w:val="003A773C"/>
    <w:rsid w:val="003A77C0"/>
    <w:rsid w:val="003B00DB"/>
    <w:rsid w:val="003B090E"/>
    <w:rsid w:val="003B0B7B"/>
    <w:rsid w:val="003B1747"/>
    <w:rsid w:val="003B1B85"/>
    <w:rsid w:val="003B2D7B"/>
    <w:rsid w:val="003B2D7D"/>
    <w:rsid w:val="003B2D97"/>
    <w:rsid w:val="003B2FB8"/>
    <w:rsid w:val="003B303C"/>
    <w:rsid w:val="003B32C9"/>
    <w:rsid w:val="003B3678"/>
    <w:rsid w:val="003B3B5D"/>
    <w:rsid w:val="003B3D78"/>
    <w:rsid w:val="003B43C2"/>
    <w:rsid w:val="003B488E"/>
    <w:rsid w:val="003B4B85"/>
    <w:rsid w:val="003B4F18"/>
    <w:rsid w:val="003B5456"/>
    <w:rsid w:val="003B6433"/>
    <w:rsid w:val="003B6629"/>
    <w:rsid w:val="003B686A"/>
    <w:rsid w:val="003B68B4"/>
    <w:rsid w:val="003B69F6"/>
    <w:rsid w:val="003B6AE4"/>
    <w:rsid w:val="003B70BF"/>
    <w:rsid w:val="003B74C4"/>
    <w:rsid w:val="003B7CF4"/>
    <w:rsid w:val="003C0B68"/>
    <w:rsid w:val="003C0FF0"/>
    <w:rsid w:val="003C177D"/>
    <w:rsid w:val="003C184B"/>
    <w:rsid w:val="003C191E"/>
    <w:rsid w:val="003C1C62"/>
    <w:rsid w:val="003C1CF3"/>
    <w:rsid w:val="003C271F"/>
    <w:rsid w:val="003C29C8"/>
    <w:rsid w:val="003C2C5C"/>
    <w:rsid w:val="003C3121"/>
    <w:rsid w:val="003C3395"/>
    <w:rsid w:val="003C33AF"/>
    <w:rsid w:val="003C3FD4"/>
    <w:rsid w:val="003C48A7"/>
    <w:rsid w:val="003C4D4F"/>
    <w:rsid w:val="003C5566"/>
    <w:rsid w:val="003C564B"/>
    <w:rsid w:val="003C57A7"/>
    <w:rsid w:val="003C5ACB"/>
    <w:rsid w:val="003C5CA2"/>
    <w:rsid w:val="003C607C"/>
    <w:rsid w:val="003C6171"/>
    <w:rsid w:val="003C61D2"/>
    <w:rsid w:val="003C6236"/>
    <w:rsid w:val="003C6536"/>
    <w:rsid w:val="003C66DF"/>
    <w:rsid w:val="003C687E"/>
    <w:rsid w:val="003C71A7"/>
    <w:rsid w:val="003C727E"/>
    <w:rsid w:val="003C791A"/>
    <w:rsid w:val="003D0A3E"/>
    <w:rsid w:val="003D1082"/>
    <w:rsid w:val="003D10E4"/>
    <w:rsid w:val="003D1445"/>
    <w:rsid w:val="003D159D"/>
    <w:rsid w:val="003D1837"/>
    <w:rsid w:val="003D1B04"/>
    <w:rsid w:val="003D1BCE"/>
    <w:rsid w:val="003D1E95"/>
    <w:rsid w:val="003D2564"/>
    <w:rsid w:val="003D2EC4"/>
    <w:rsid w:val="003D386D"/>
    <w:rsid w:val="003D3B1E"/>
    <w:rsid w:val="003D4F95"/>
    <w:rsid w:val="003D536A"/>
    <w:rsid w:val="003D5665"/>
    <w:rsid w:val="003D5A52"/>
    <w:rsid w:val="003D630C"/>
    <w:rsid w:val="003D6356"/>
    <w:rsid w:val="003D70D7"/>
    <w:rsid w:val="003D7108"/>
    <w:rsid w:val="003D716F"/>
    <w:rsid w:val="003D7189"/>
    <w:rsid w:val="003D7386"/>
    <w:rsid w:val="003D74AC"/>
    <w:rsid w:val="003D77CC"/>
    <w:rsid w:val="003D792A"/>
    <w:rsid w:val="003E022D"/>
    <w:rsid w:val="003E02AF"/>
    <w:rsid w:val="003E036A"/>
    <w:rsid w:val="003E06B5"/>
    <w:rsid w:val="003E0C77"/>
    <w:rsid w:val="003E0ECB"/>
    <w:rsid w:val="003E1211"/>
    <w:rsid w:val="003E12E1"/>
    <w:rsid w:val="003E16E9"/>
    <w:rsid w:val="003E1F12"/>
    <w:rsid w:val="003E2C30"/>
    <w:rsid w:val="003E3188"/>
    <w:rsid w:val="003E31C4"/>
    <w:rsid w:val="003E357F"/>
    <w:rsid w:val="003E397B"/>
    <w:rsid w:val="003E484B"/>
    <w:rsid w:val="003E4B7B"/>
    <w:rsid w:val="003E52DC"/>
    <w:rsid w:val="003E560B"/>
    <w:rsid w:val="003E58B6"/>
    <w:rsid w:val="003E5A0C"/>
    <w:rsid w:val="003E5CB5"/>
    <w:rsid w:val="003E5F8B"/>
    <w:rsid w:val="003E653A"/>
    <w:rsid w:val="003E6CD4"/>
    <w:rsid w:val="003E6DCD"/>
    <w:rsid w:val="003E6E44"/>
    <w:rsid w:val="003E6E50"/>
    <w:rsid w:val="003E76A6"/>
    <w:rsid w:val="003E76D4"/>
    <w:rsid w:val="003E77F0"/>
    <w:rsid w:val="003E7D54"/>
    <w:rsid w:val="003E7F04"/>
    <w:rsid w:val="003F06B0"/>
    <w:rsid w:val="003F0901"/>
    <w:rsid w:val="003F09BE"/>
    <w:rsid w:val="003F0D80"/>
    <w:rsid w:val="003F0E6E"/>
    <w:rsid w:val="003F1727"/>
    <w:rsid w:val="003F1A11"/>
    <w:rsid w:val="003F2078"/>
    <w:rsid w:val="003F33C8"/>
    <w:rsid w:val="003F342E"/>
    <w:rsid w:val="003F36A5"/>
    <w:rsid w:val="003F3940"/>
    <w:rsid w:val="003F3AC3"/>
    <w:rsid w:val="003F4CFA"/>
    <w:rsid w:val="003F4F43"/>
    <w:rsid w:val="003F6025"/>
    <w:rsid w:val="003F6427"/>
    <w:rsid w:val="003F64D2"/>
    <w:rsid w:val="0040050A"/>
    <w:rsid w:val="0040082D"/>
    <w:rsid w:val="00400A83"/>
    <w:rsid w:val="00400F53"/>
    <w:rsid w:val="00400F63"/>
    <w:rsid w:val="004026E8"/>
    <w:rsid w:val="00402A6B"/>
    <w:rsid w:val="00402E88"/>
    <w:rsid w:val="0040360E"/>
    <w:rsid w:val="004043C4"/>
    <w:rsid w:val="00404D3E"/>
    <w:rsid w:val="0040583D"/>
    <w:rsid w:val="00405B84"/>
    <w:rsid w:val="00405BD1"/>
    <w:rsid w:val="00405FCF"/>
    <w:rsid w:val="004063E9"/>
    <w:rsid w:val="004066A4"/>
    <w:rsid w:val="00406BDA"/>
    <w:rsid w:val="004073A4"/>
    <w:rsid w:val="0041022F"/>
    <w:rsid w:val="0041025C"/>
    <w:rsid w:val="004102FB"/>
    <w:rsid w:val="00410414"/>
    <w:rsid w:val="004108C6"/>
    <w:rsid w:val="0041138D"/>
    <w:rsid w:val="00411728"/>
    <w:rsid w:val="0041192B"/>
    <w:rsid w:val="00412081"/>
    <w:rsid w:val="0041219A"/>
    <w:rsid w:val="004126AE"/>
    <w:rsid w:val="004129BC"/>
    <w:rsid w:val="004133C2"/>
    <w:rsid w:val="00413446"/>
    <w:rsid w:val="00413742"/>
    <w:rsid w:val="00413879"/>
    <w:rsid w:val="00414090"/>
    <w:rsid w:val="0041419C"/>
    <w:rsid w:val="004144A6"/>
    <w:rsid w:val="004148F8"/>
    <w:rsid w:val="00415ABB"/>
    <w:rsid w:val="00415B25"/>
    <w:rsid w:val="0041631A"/>
    <w:rsid w:val="00416325"/>
    <w:rsid w:val="0041641B"/>
    <w:rsid w:val="00416FA5"/>
    <w:rsid w:val="00417475"/>
    <w:rsid w:val="00417CD9"/>
    <w:rsid w:val="00417D15"/>
    <w:rsid w:val="004200AB"/>
    <w:rsid w:val="004206E6"/>
    <w:rsid w:val="004208D8"/>
    <w:rsid w:val="00420A98"/>
    <w:rsid w:val="00421E4B"/>
    <w:rsid w:val="004220F8"/>
    <w:rsid w:val="00422600"/>
    <w:rsid w:val="00424085"/>
    <w:rsid w:val="004240CF"/>
    <w:rsid w:val="00424CD3"/>
    <w:rsid w:val="0042500F"/>
    <w:rsid w:val="00425E66"/>
    <w:rsid w:val="00426482"/>
    <w:rsid w:val="00426900"/>
    <w:rsid w:val="0042778D"/>
    <w:rsid w:val="00427BB2"/>
    <w:rsid w:val="0043017E"/>
    <w:rsid w:val="0043048E"/>
    <w:rsid w:val="00430902"/>
    <w:rsid w:val="00430CCD"/>
    <w:rsid w:val="00431625"/>
    <w:rsid w:val="004319F6"/>
    <w:rsid w:val="00431FAC"/>
    <w:rsid w:val="0043211C"/>
    <w:rsid w:val="0043264F"/>
    <w:rsid w:val="00432E51"/>
    <w:rsid w:val="00432ECD"/>
    <w:rsid w:val="00432F7F"/>
    <w:rsid w:val="00433353"/>
    <w:rsid w:val="004336C2"/>
    <w:rsid w:val="004337AF"/>
    <w:rsid w:val="004338F7"/>
    <w:rsid w:val="0043453F"/>
    <w:rsid w:val="004350F2"/>
    <w:rsid w:val="004357F9"/>
    <w:rsid w:val="00436DAB"/>
    <w:rsid w:val="00436EE8"/>
    <w:rsid w:val="004371AC"/>
    <w:rsid w:val="00437BE8"/>
    <w:rsid w:val="00440847"/>
    <w:rsid w:val="00440AE1"/>
    <w:rsid w:val="00440C23"/>
    <w:rsid w:val="00440C9D"/>
    <w:rsid w:val="004413BB"/>
    <w:rsid w:val="00441A9B"/>
    <w:rsid w:val="004421CF"/>
    <w:rsid w:val="004423DE"/>
    <w:rsid w:val="0044326F"/>
    <w:rsid w:val="004434B8"/>
    <w:rsid w:val="0044374C"/>
    <w:rsid w:val="00443767"/>
    <w:rsid w:val="00443837"/>
    <w:rsid w:val="0044397B"/>
    <w:rsid w:val="00444233"/>
    <w:rsid w:val="00444BEA"/>
    <w:rsid w:val="00444C55"/>
    <w:rsid w:val="0044572A"/>
    <w:rsid w:val="004459BC"/>
    <w:rsid w:val="00445C73"/>
    <w:rsid w:val="00445D16"/>
    <w:rsid w:val="00446023"/>
    <w:rsid w:val="004462B3"/>
    <w:rsid w:val="00446A0F"/>
    <w:rsid w:val="00446AAE"/>
    <w:rsid w:val="00446DAA"/>
    <w:rsid w:val="00446E51"/>
    <w:rsid w:val="004474EF"/>
    <w:rsid w:val="0045015D"/>
    <w:rsid w:val="00450903"/>
    <w:rsid w:val="00450994"/>
    <w:rsid w:val="00450A98"/>
    <w:rsid w:val="004513EA"/>
    <w:rsid w:val="004514A5"/>
    <w:rsid w:val="004519D8"/>
    <w:rsid w:val="004519DE"/>
    <w:rsid w:val="00451A32"/>
    <w:rsid w:val="00451E1C"/>
    <w:rsid w:val="00452002"/>
    <w:rsid w:val="004522F8"/>
    <w:rsid w:val="00452470"/>
    <w:rsid w:val="0045306D"/>
    <w:rsid w:val="00453F1D"/>
    <w:rsid w:val="00454088"/>
    <w:rsid w:val="004543FE"/>
    <w:rsid w:val="0045447A"/>
    <w:rsid w:val="0045484E"/>
    <w:rsid w:val="0045554E"/>
    <w:rsid w:val="0045587E"/>
    <w:rsid w:val="00455884"/>
    <w:rsid w:val="00455E73"/>
    <w:rsid w:val="00455ED4"/>
    <w:rsid w:val="004560FF"/>
    <w:rsid w:val="0045653D"/>
    <w:rsid w:val="00456C9A"/>
    <w:rsid w:val="00456E7C"/>
    <w:rsid w:val="00456EBD"/>
    <w:rsid w:val="0045740E"/>
    <w:rsid w:val="004574FA"/>
    <w:rsid w:val="00457B7C"/>
    <w:rsid w:val="00457DDC"/>
    <w:rsid w:val="004605EB"/>
    <w:rsid w:val="00460F8C"/>
    <w:rsid w:val="004614C8"/>
    <w:rsid w:val="00462310"/>
    <w:rsid w:val="004625D2"/>
    <w:rsid w:val="004628A8"/>
    <w:rsid w:val="0046298F"/>
    <w:rsid w:val="00462C09"/>
    <w:rsid w:val="00462C1D"/>
    <w:rsid w:val="004631DE"/>
    <w:rsid w:val="00463210"/>
    <w:rsid w:val="00463241"/>
    <w:rsid w:val="004633E5"/>
    <w:rsid w:val="00463854"/>
    <w:rsid w:val="00463A58"/>
    <w:rsid w:val="00463E25"/>
    <w:rsid w:val="00463EA5"/>
    <w:rsid w:val="00463FE7"/>
    <w:rsid w:val="004648D6"/>
    <w:rsid w:val="00464C96"/>
    <w:rsid w:val="00464F8D"/>
    <w:rsid w:val="00465129"/>
    <w:rsid w:val="00465667"/>
    <w:rsid w:val="00466171"/>
    <w:rsid w:val="0046636E"/>
    <w:rsid w:val="00466573"/>
    <w:rsid w:val="00467CBA"/>
    <w:rsid w:val="00470169"/>
    <w:rsid w:val="00470405"/>
    <w:rsid w:val="0047065E"/>
    <w:rsid w:val="00470994"/>
    <w:rsid w:val="00470D85"/>
    <w:rsid w:val="004723E6"/>
    <w:rsid w:val="00472527"/>
    <w:rsid w:val="004731AE"/>
    <w:rsid w:val="00473454"/>
    <w:rsid w:val="00473AE5"/>
    <w:rsid w:val="00473B69"/>
    <w:rsid w:val="00473E20"/>
    <w:rsid w:val="00474530"/>
    <w:rsid w:val="00474766"/>
    <w:rsid w:val="0047537F"/>
    <w:rsid w:val="00475764"/>
    <w:rsid w:val="00475777"/>
    <w:rsid w:val="00475A46"/>
    <w:rsid w:val="004762EE"/>
    <w:rsid w:val="0047660D"/>
    <w:rsid w:val="00476612"/>
    <w:rsid w:val="00476984"/>
    <w:rsid w:val="00476C39"/>
    <w:rsid w:val="00477921"/>
    <w:rsid w:val="00477CAE"/>
    <w:rsid w:val="00477F86"/>
    <w:rsid w:val="00480257"/>
    <w:rsid w:val="0048035E"/>
    <w:rsid w:val="0048079A"/>
    <w:rsid w:val="00480FBF"/>
    <w:rsid w:val="0048137F"/>
    <w:rsid w:val="004814E0"/>
    <w:rsid w:val="004815DB"/>
    <w:rsid w:val="0048186D"/>
    <w:rsid w:val="00481AF3"/>
    <w:rsid w:val="00482CBD"/>
    <w:rsid w:val="0048374E"/>
    <w:rsid w:val="00483BBE"/>
    <w:rsid w:val="00483EE6"/>
    <w:rsid w:val="00483F89"/>
    <w:rsid w:val="00484037"/>
    <w:rsid w:val="00484267"/>
    <w:rsid w:val="0048463A"/>
    <w:rsid w:val="00484CDA"/>
    <w:rsid w:val="00484DE9"/>
    <w:rsid w:val="004852D3"/>
    <w:rsid w:val="004854C5"/>
    <w:rsid w:val="004857F8"/>
    <w:rsid w:val="00485E98"/>
    <w:rsid w:val="0048694C"/>
    <w:rsid w:val="00486BD2"/>
    <w:rsid w:val="0048701B"/>
    <w:rsid w:val="00487088"/>
    <w:rsid w:val="0048718D"/>
    <w:rsid w:val="00487A07"/>
    <w:rsid w:val="00487E94"/>
    <w:rsid w:val="00487FF6"/>
    <w:rsid w:val="004901BF"/>
    <w:rsid w:val="004909D5"/>
    <w:rsid w:val="00490A6D"/>
    <w:rsid w:val="004913B1"/>
    <w:rsid w:val="004916A9"/>
    <w:rsid w:val="00491EAF"/>
    <w:rsid w:val="00493385"/>
    <w:rsid w:val="004938A9"/>
    <w:rsid w:val="00493A04"/>
    <w:rsid w:val="00493B9F"/>
    <w:rsid w:val="00493CB6"/>
    <w:rsid w:val="00494008"/>
    <w:rsid w:val="004947FC"/>
    <w:rsid w:val="00494E2A"/>
    <w:rsid w:val="00494EF7"/>
    <w:rsid w:val="00495453"/>
    <w:rsid w:val="004956B7"/>
    <w:rsid w:val="00495DFD"/>
    <w:rsid w:val="0049607C"/>
    <w:rsid w:val="00496375"/>
    <w:rsid w:val="00497485"/>
    <w:rsid w:val="00497E46"/>
    <w:rsid w:val="004A01B8"/>
    <w:rsid w:val="004A02F9"/>
    <w:rsid w:val="004A131D"/>
    <w:rsid w:val="004A1706"/>
    <w:rsid w:val="004A178F"/>
    <w:rsid w:val="004A2308"/>
    <w:rsid w:val="004A41AA"/>
    <w:rsid w:val="004A4728"/>
    <w:rsid w:val="004A4C5B"/>
    <w:rsid w:val="004A586B"/>
    <w:rsid w:val="004A6109"/>
    <w:rsid w:val="004A682A"/>
    <w:rsid w:val="004A6E8E"/>
    <w:rsid w:val="004A70D4"/>
    <w:rsid w:val="004A787E"/>
    <w:rsid w:val="004A7A83"/>
    <w:rsid w:val="004B0108"/>
    <w:rsid w:val="004B014E"/>
    <w:rsid w:val="004B03A1"/>
    <w:rsid w:val="004B068E"/>
    <w:rsid w:val="004B09EF"/>
    <w:rsid w:val="004B0AB3"/>
    <w:rsid w:val="004B0FAF"/>
    <w:rsid w:val="004B2042"/>
    <w:rsid w:val="004B2DC1"/>
    <w:rsid w:val="004B36F4"/>
    <w:rsid w:val="004B4437"/>
    <w:rsid w:val="004B493B"/>
    <w:rsid w:val="004B5708"/>
    <w:rsid w:val="004B5F04"/>
    <w:rsid w:val="004B634E"/>
    <w:rsid w:val="004B66E8"/>
    <w:rsid w:val="004B6BBC"/>
    <w:rsid w:val="004B6C7B"/>
    <w:rsid w:val="004B6F53"/>
    <w:rsid w:val="004B756E"/>
    <w:rsid w:val="004C0431"/>
    <w:rsid w:val="004C0706"/>
    <w:rsid w:val="004C07C4"/>
    <w:rsid w:val="004C0A82"/>
    <w:rsid w:val="004C0BF3"/>
    <w:rsid w:val="004C0F9D"/>
    <w:rsid w:val="004C1501"/>
    <w:rsid w:val="004C199C"/>
    <w:rsid w:val="004C1A93"/>
    <w:rsid w:val="004C1BD6"/>
    <w:rsid w:val="004C1DAD"/>
    <w:rsid w:val="004C1E66"/>
    <w:rsid w:val="004C207C"/>
    <w:rsid w:val="004C276F"/>
    <w:rsid w:val="004C2CB8"/>
    <w:rsid w:val="004C2D5D"/>
    <w:rsid w:val="004C36A7"/>
    <w:rsid w:val="004C3868"/>
    <w:rsid w:val="004C3995"/>
    <w:rsid w:val="004C3A85"/>
    <w:rsid w:val="004C3D3E"/>
    <w:rsid w:val="004C3D48"/>
    <w:rsid w:val="004C3DC2"/>
    <w:rsid w:val="004C4A9A"/>
    <w:rsid w:val="004C5214"/>
    <w:rsid w:val="004C5569"/>
    <w:rsid w:val="004C5AD1"/>
    <w:rsid w:val="004C5AF6"/>
    <w:rsid w:val="004C604B"/>
    <w:rsid w:val="004C65D3"/>
    <w:rsid w:val="004C79FF"/>
    <w:rsid w:val="004C7A67"/>
    <w:rsid w:val="004C7B2E"/>
    <w:rsid w:val="004C7B2F"/>
    <w:rsid w:val="004D03FC"/>
    <w:rsid w:val="004D070E"/>
    <w:rsid w:val="004D1702"/>
    <w:rsid w:val="004D1EB1"/>
    <w:rsid w:val="004D2183"/>
    <w:rsid w:val="004D22BF"/>
    <w:rsid w:val="004D279C"/>
    <w:rsid w:val="004D2960"/>
    <w:rsid w:val="004D31F0"/>
    <w:rsid w:val="004D3366"/>
    <w:rsid w:val="004D3488"/>
    <w:rsid w:val="004D35D4"/>
    <w:rsid w:val="004D4361"/>
    <w:rsid w:val="004D466F"/>
    <w:rsid w:val="004D47AD"/>
    <w:rsid w:val="004D49B0"/>
    <w:rsid w:val="004D4A35"/>
    <w:rsid w:val="004D4F9D"/>
    <w:rsid w:val="004D5054"/>
    <w:rsid w:val="004D5866"/>
    <w:rsid w:val="004D5BE3"/>
    <w:rsid w:val="004D5E03"/>
    <w:rsid w:val="004D5FB3"/>
    <w:rsid w:val="004D6C16"/>
    <w:rsid w:val="004D6EAB"/>
    <w:rsid w:val="004D6F67"/>
    <w:rsid w:val="004D758F"/>
    <w:rsid w:val="004D7930"/>
    <w:rsid w:val="004E015D"/>
    <w:rsid w:val="004E029E"/>
    <w:rsid w:val="004E096D"/>
    <w:rsid w:val="004E14F7"/>
    <w:rsid w:val="004E17C8"/>
    <w:rsid w:val="004E1879"/>
    <w:rsid w:val="004E1942"/>
    <w:rsid w:val="004E1BBB"/>
    <w:rsid w:val="004E2155"/>
    <w:rsid w:val="004E26AE"/>
    <w:rsid w:val="004E2AC5"/>
    <w:rsid w:val="004E31A6"/>
    <w:rsid w:val="004E348C"/>
    <w:rsid w:val="004E3D3C"/>
    <w:rsid w:val="004E3DF6"/>
    <w:rsid w:val="004E3F0B"/>
    <w:rsid w:val="004E4BE6"/>
    <w:rsid w:val="004E502D"/>
    <w:rsid w:val="004E50A2"/>
    <w:rsid w:val="004E6159"/>
    <w:rsid w:val="004E63C7"/>
    <w:rsid w:val="004E7013"/>
    <w:rsid w:val="004E7216"/>
    <w:rsid w:val="004E7341"/>
    <w:rsid w:val="004E75B0"/>
    <w:rsid w:val="004E7B32"/>
    <w:rsid w:val="004E7D4B"/>
    <w:rsid w:val="004E7E50"/>
    <w:rsid w:val="004E7E5E"/>
    <w:rsid w:val="004F033C"/>
    <w:rsid w:val="004F0CED"/>
    <w:rsid w:val="004F0E39"/>
    <w:rsid w:val="004F19C9"/>
    <w:rsid w:val="004F2643"/>
    <w:rsid w:val="004F2747"/>
    <w:rsid w:val="004F2976"/>
    <w:rsid w:val="004F2FB2"/>
    <w:rsid w:val="004F3420"/>
    <w:rsid w:val="004F3FC9"/>
    <w:rsid w:val="004F42F9"/>
    <w:rsid w:val="004F47EF"/>
    <w:rsid w:val="004F4FDE"/>
    <w:rsid w:val="004F5438"/>
    <w:rsid w:val="004F5FC9"/>
    <w:rsid w:val="004F69DA"/>
    <w:rsid w:val="004F6BAF"/>
    <w:rsid w:val="004F79D4"/>
    <w:rsid w:val="00500085"/>
    <w:rsid w:val="005005D0"/>
    <w:rsid w:val="0050077F"/>
    <w:rsid w:val="0050083C"/>
    <w:rsid w:val="00501162"/>
    <w:rsid w:val="005015B4"/>
    <w:rsid w:val="005017F2"/>
    <w:rsid w:val="005018CD"/>
    <w:rsid w:val="00501DF7"/>
    <w:rsid w:val="005020C3"/>
    <w:rsid w:val="0050220F"/>
    <w:rsid w:val="005023FF"/>
    <w:rsid w:val="00502926"/>
    <w:rsid w:val="00502F6D"/>
    <w:rsid w:val="00503061"/>
    <w:rsid w:val="0050338A"/>
    <w:rsid w:val="00503A0E"/>
    <w:rsid w:val="00503A3C"/>
    <w:rsid w:val="00503A4B"/>
    <w:rsid w:val="00503E50"/>
    <w:rsid w:val="005042B9"/>
    <w:rsid w:val="00505115"/>
    <w:rsid w:val="0050515D"/>
    <w:rsid w:val="00505257"/>
    <w:rsid w:val="005052F5"/>
    <w:rsid w:val="0050593C"/>
    <w:rsid w:val="00505EE7"/>
    <w:rsid w:val="00506517"/>
    <w:rsid w:val="00506C86"/>
    <w:rsid w:val="00507213"/>
    <w:rsid w:val="0050757F"/>
    <w:rsid w:val="005075C6"/>
    <w:rsid w:val="00507C42"/>
    <w:rsid w:val="00507FEF"/>
    <w:rsid w:val="005109B8"/>
    <w:rsid w:val="00510B39"/>
    <w:rsid w:val="00511199"/>
    <w:rsid w:val="005111B4"/>
    <w:rsid w:val="005111E1"/>
    <w:rsid w:val="0051179E"/>
    <w:rsid w:val="00511A29"/>
    <w:rsid w:val="00511AA1"/>
    <w:rsid w:val="00511AEA"/>
    <w:rsid w:val="005124ED"/>
    <w:rsid w:val="00512EB7"/>
    <w:rsid w:val="005130D3"/>
    <w:rsid w:val="0051352A"/>
    <w:rsid w:val="00513700"/>
    <w:rsid w:val="00513B35"/>
    <w:rsid w:val="00513D55"/>
    <w:rsid w:val="005146F1"/>
    <w:rsid w:val="00514717"/>
    <w:rsid w:val="00514994"/>
    <w:rsid w:val="00514E0D"/>
    <w:rsid w:val="00515626"/>
    <w:rsid w:val="00515F4C"/>
    <w:rsid w:val="00516673"/>
    <w:rsid w:val="00516742"/>
    <w:rsid w:val="00520AE4"/>
    <w:rsid w:val="00522079"/>
    <w:rsid w:val="00522EDE"/>
    <w:rsid w:val="00523030"/>
    <w:rsid w:val="00523C1A"/>
    <w:rsid w:val="005241D7"/>
    <w:rsid w:val="00524800"/>
    <w:rsid w:val="00525741"/>
    <w:rsid w:val="00525B4E"/>
    <w:rsid w:val="00525DAD"/>
    <w:rsid w:val="00525DEE"/>
    <w:rsid w:val="00526056"/>
    <w:rsid w:val="005264B2"/>
    <w:rsid w:val="00526D99"/>
    <w:rsid w:val="00527138"/>
    <w:rsid w:val="0052713B"/>
    <w:rsid w:val="005279A3"/>
    <w:rsid w:val="00530392"/>
    <w:rsid w:val="00530B63"/>
    <w:rsid w:val="00532177"/>
    <w:rsid w:val="005324EB"/>
    <w:rsid w:val="0053265E"/>
    <w:rsid w:val="005326B1"/>
    <w:rsid w:val="005337DD"/>
    <w:rsid w:val="00533A72"/>
    <w:rsid w:val="00533AB6"/>
    <w:rsid w:val="00533ADF"/>
    <w:rsid w:val="00533C8E"/>
    <w:rsid w:val="00533FEC"/>
    <w:rsid w:val="005342E6"/>
    <w:rsid w:val="00534B1F"/>
    <w:rsid w:val="00534ECC"/>
    <w:rsid w:val="005352CB"/>
    <w:rsid w:val="00535422"/>
    <w:rsid w:val="00535682"/>
    <w:rsid w:val="00535A6D"/>
    <w:rsid w:val="00535CD4"/>
    <w:rsid w:val="0053646F"/>
    <w:rsid w:val="00536AF5"/>
    <w:rsid w:val="00536CD5"/>
    <w:rsid w:val="00536E6E"/>
    <w:rsid w:val="0053773F"/>
    <w:rsid w:val="0053796C"/>
    <w:rsid w:val="0054019D"/>
    <w:rsid w:val="0054035A"/>
    <w:rsid w:val="00540459"/>
    <w:rsid w:val="00540661"/>
    <w:rsid w:val="00540E73"/>
    <w:rsid w:val="00540EAB"/>
    <w:rsid w:val="005411F4"/>
    <w:rsid w:val="005425C4"/>
    <w:rsid w:val="00542659"/>
    <w:rsid w:val="00543393"/>
    <w:rsid w:val="00543464"/>
    <w:rsid w:val="00543B4A"/>
    <w:rsid w:val="00543F18"/>
    <w:rsid w:val="0054418F"/>
    <w:rsid w:val="00544302"/>
    <w:rsid w:val="0054467D"/>
    <w:rsid w:val="005446D8"/>
    <w:rsid w:val="005449CE"/>
    <w:rsid w:val="00544F17"/>
    <w:rsid w:val="00545267"/>
    <w:rsid w:val="00545536"/>
    <w:rsid w:val="00545758"/>
    <w:rsid w:val="005459B7"/>
    <w:rsid w:val="00545A92"/>
    <w:rsid w:val="00545B46"/>
    <w:rsid w:val="0054601A"/>
    <w:rsid w:val="00546082"/>
    <w:rsid w:val="00546879"/>
    <w:rsid w:val="00546D3F"/>
    <w:rsid w:val="00546E71"/>
    <w:rsid w:val="00546FC2"/>
    <w:rsid w:val="00547945"/>
    <w:rsid w:val="00547BAF"/>
    <w:rsid w:val="00547C8E"/>
    <w:rsid w:val="00550171"/>
    <w:rsid w:val="00550E6A"/>
    <w:rsid w:val="00550EDE"/>
    <w:rsid w:val="005510C6"/>
    <w:rsid w:val="005510D7"/>
    <w:rsid w:val="005512F6"/>
    <w:rsid w:val="00551753"/>
    <w:rsid w:val="0055257E"/>
    <w:rsid w:val="00552698"/>
    <w:rsid w:val="00552BF8"/>
    <w:rsid w:val="00552CD1"/>
    <w:rsid w:val="005533AF"/>
    <w:rsid w:val="005534E1"/>
    <w:rsid w:val="0055374F"/>
    <w:rsid w:val="005539CA"/>
    <w:rsid w:val="0055422D"/>
    <w:rsid w:val="00554CD9"/>
    <w:rsid w:val="00554DAF"/>
    <w:rsid w:val="0055504F"/>
    <w:rsid w:val="005551BB"/>
    <w:rsid w:val="00555AD1"/>
    <w:rsid w:val="00555C5E"/>
    <w:rsid w:val="00555C8C"/>
    <w:rsid w:val="00555F76"/>
    <w:rsid w:val="00556288"/>
    <w:rsid w:val="00556578"/>
    <w:rsid w:val="00556E6D"/>
    <w:rsid w:val="00557202"/>
    <w:rsid w:val="00557832"/>
    <w:rsid w:val="00557931"/>
    <w:rsid w:val="00557B81"/>
    <w:rsid w:val="00560159"/>
    <w:rsid w:val="00560EFC"/>
    <w:rsid w:val="005614DD"/>
    <w:rsid w:val="00561C0D"/>
    <w:rsid w:val="00562CEB"/>
    <w:rsid w:val="0056348A"/>
    <w:rsid w:val="0056354B"/>
    <w:rsid w:val="0056360C"/>
    <w:rsid w:val="005639A1"/>
    <w:rsid w:val="00563B4D"/>
    <w:rsid w:val="00563FAE"/>
    <w:rsid w:val="00564096"/>
    <w:rsid w:val="00564415"/>
    <w:rsid w:val="00565477"/>
    <w:rsid w:val="00565F1D"/>
    <w:rsid w:val="0056772B"/>
    <w:rsid w:val="0056795D"/>
    <w:rsid w:val="00567CC9"/>
    <w:rsid w:val="00567FC3"/>
    <w:rsid w:val="005707D2"/>
    <w:rsid w:val="00570ABE"/>
    <w:rsid w:val="00570CC8"/>
    <w:rsid w:val="00570F34"/>
    <w:rsid w:val="005710E0"/>
    <w:rsid w:val="005712BE"/>
    <w:rsid w:val="00571449"/>
    <w:rsid w:val="00571CFE"/>
    <w:rsid w:val="00572591"/>
    <w:rsid w:val="00572C31"/>
    <w:rsid w:val="00572FD5"/>
    <w:rsid w:val="00573191"/>
    <w:rsid w:val="00573FE0"/>
    <w:rsid w:val="00574B65"/>
    <w:rsid w:val="00575EB2"/>
    <w:rsid w:val="0057689A"/>
    <w:rsid w:val="00576E8C"/>
    <w:rsid w:val="00577294"/>
    <w:rsid w:val="00577479"/>
    <w:rsid w:val="005777F9"/>
    <w:rsid w:val="00577AC1"/>
    <w:rsid w:val="00577E01"/>
    <w:rsid w:val="0058002A"/>
    <w:rsid w:val="0058051F"/>
    <w:rsid w:val="00581302"/>
    <w:rsid w:val="005814DE"/>
    <w:rsid w:val="00581A2C"/>
    <w:rsid w:val="00581B5D"/>
    <w:rsid w:val="0058203B"/>
    <w:rsid w:val="0058206B"/>
    <w:rsid w:val="005823FF"/>
    <w:rsid w:val="00582CA8"/>
    <w:rsid w:val="00582D41"/>
    <w:rsid w:val="00582E50"/>
    <w:rsid w:val="005834E6"/>
    <w:rsid w:val="00583A96"/>
    <w:rsid w:val="00583AEA"/>
    <w:rsid w:val="00583D04"/>
    <w:rsid w:val="00583D48"/>
    <w:rsid w:val="00583D8B"/>
    <w:rsid w:val="00583EA1"/>
    <w:rsid w:val="00583F84"/>
    <w:rsid w:val="00584E1A"/>
    <w:rsid w:val="00585002"/>
    <w:rsid w:val="00585A12"/>
    <w:rsid w:val="00585A4A"/>
    <w:rsid w:val="00585A9D"/>
    <w:rsid w:val="0058668E"/>
    <w:rsid w:val="00586693"/>
    <w:rsid w:val="005873E6"/>
    <w:rsid w:val="00587812"/>
    <w:rsid w:val="005879F0"/>
    <w:rsid w:val="005904D7"/>
    <w:rsid w:val="00590557"/>
    <w:rsid w:val="005909C6"/>
    <w:rsid w:val="00590F8F"/>
    <w:rsid w:val="00591850"/>
    <w:rsid w:val="00591873"/>
    <w:rsid w:val="00591973"/>
    <w:rsid w:val="00591ABA"/>
    <w:rsid w:val="00592637"/>
    <w:rsid w:val="00592649"/>
    <w:rsid w:val="00592B29"/>
    <w:rsid w:val="005933B5"/>
    <w:rsid w:val="00594379"/>
    <w:rsid w:val="005948A2"/>
    <w:rsid w:val="0059520D"/>
    <w:rsid w:val="0059524B"/>
    <w:rsid w:val="005955E0"/>
    <w:rsid w:val="00595898"/>
    <w:rsid w:val="0059615C"/>
    <w:rsid w:val="00596191"/>
    <w:rsid w:val="0059628B"/>
    <w:rsid w:val="005962EE"/>
    <w:rsid w:val="005963D6"/>
    <w:rsid w:val="00596B15"/>
    <w:rsid w:val="00596B9C"/>
    <w:rsid w:val="00596C30"/>
    <w:rsid w:val="00596DCD"/>
    <w:rsid w:val="00596F30"/>
    <w:rsid w:val="00597610"/>
    <w:rsid w:val="00597CF6"/>
    <w:rsid w:val="005A01F6"/>
    <w:rsid w:val="005A020E"/>
    <w:rsid w:val="005A0F9B"/>
    <w:rsid w:val="005A18F4"/>
    <w:rsid w:val="005A1B25"/>
    <w:rsid w:val="005A1DC6"/>
    <w:rsid w:val="005A1F3C"/>
    <w:rsid w:val="005A276F"/>
    <w:rsid w:val="005A27AD"/>
    <w:rsid w:val="005A35D7"/>
    <w:rsid w:val="005A3603"/>
    <w:rsid w:val="005A3688"/>
    <w:rsid w:val="005A3D48"/>
    <w:rsid w:val="005A4238"/>
    <w:rsid w:val="005A4D00"/>
    <w:rsid w:val="005A4DB2"/>
    <w:rsid w:val="005A5430"/>
    <w:rsid w:val="005A565B"/>
    <w:rsid w:val="005A5AA2"/>
    <w:rsid w:val="005A5AD1"/>
    <w:rsid w:val="005A5ED6"/>
    <w:rsid w:val="005A660F"/>
    <w:rsid w:val="005A6ACC"/>
    <w:rsid w:val="005A770E"/>
    <w:rsid w:val="005A7868"/>
    <w:rsid w:val="005A7BAA"/>
    <w:rsid w:val="005B13F7"/>
    <w:rsid w:val="005B14A5"/>
    <w:rsid w:val="005B1B7B"/>
    <w:rsid w:val="005B1CF8"/>
    <w:rsid w:val="005B25B0"/>
    <w:rsid w:val="005B2D84"/>
    <w:rsid w:val="005B355A"/>
    <w:rsid w:val="005B3CD3"/>
    <w:rsid w:val="005B4003"/>
    <w:rsid w:val="005B4684"/>
    <w:rsid w:val="005B4D08"/>
    <w:rsid w:val="005B4E4C"/>
    <w:rsid w:val="005B503B"/>
    <w:rsid w:val="005B6B9F"/>
    <w:rsid w:val="005C0568"/>
    <w:rsid w:val="005C05A7"/>
    <w:rsid w:val="005C0ED6"/>
    <w:rsid w:val="005C1924"/>
    <w:rsid w:val="005C1A4E"/>
    <w:rsid w:val="005C1B8C"/>
    <w:rsid w:val="005C1D10"/>
    <w:rsid w:val="005C2142"/>
    <w:rsid w:val="005C22F4"/>
    <w:rsid w:val="005C27CC"/>
    <w:rsid w:val="005C291E"/>
    <w:rsid w:val="005C29E1"/>
    <w:rsid w:val="005C3479"/>
    <w:rsid w:val="005C3B63"/>
    <w:rsid w:val="005C456B"/>
    <w:rsid w:val="005C4648"/>
    <w:rsid w:val="005C47B6"/>
    <w:rsid w:val="005C4A3F"/>
    <w:rsid w:val="005C4A56"/>
    <w:rsid w:val="005C5264"/>
    <w:rsid w:val="005C52F3"/>
    <w:rsid w:val="005C5A50"/>
    <w:rsid w:val="005C5B3E"/>
    <w:rsid w:val="005C6A6A"/>
    <w:rsid w:val="005C6BFA"/>
    <w:rsid w:val="005C6FC0"/>
    <w:rsid w:val="005C73CF"/>
    <w:rsid w:val="005C7C77"/>
    <w:rsid w:val="005C7E0C"/>
    <w:rsid w:val="005C7FBA"/>
    <w:rsid w:val="005D0AE2"/>
    <w:rsid w:val="005D0B4C"/>
    <w:rsid w:val="005D0D0A"/>
    <w:rsid w:val="005D114A"/>
    <w:rsid w:val="005D1161"/>
    <w:rsid w:val="005D132B"/>
    <w:rsid w:val="005D1380"/>
    <w:rsid w:val="005D141C"/>
    <w:rsid w:val="005D195F"/>
    <w:rsid w:val="005D1C24"/>
    <w:rsid w:val="005D2355"/>
    <w:rsid w:val="005D2418"/>
    <w:rsid w:val="005D2927"/>
    <w:rsid w:val="005D2CFD"/>
    <w:rsid w:val="005D38C6"/>
    <w:rsid w:val="005D42D3"/>
    <w:rsid w:val="005D4756"/>
    <w:rsid w:val="005D5F9D"/>
    <w:rsid w:val="005D654D"/>
    <w:rsid w:val="005D6641"/>
    <w:rsid w:val="005D698E"/>
    <w:rsid w:val="005D6D7C"/>
    <w:rsid w:val="005D71A1"/>
    <w:rsid w:val="005D7239"/>
    <w:rsid w:val="005D766F"/>
    <w:rsid w:val="005D7679"/>
    <w:rsid w:val="005E0375"/>
    <w:rsid w:val="005E0971"/>
    <w:rsid w:val="005E1121"/>
    <w:rsid w:val="005E1781"/>
    <w:rsid w:val="005E18C1"/>
    <w:rsid w:val="005E1A82"/>
    <w:rsid w:val="005E1F2F"/>
    <w:rsid w:val="005E1F8A"/>
    <w:rsid w:val="005E27DB"/>
    <w:rsid w:val="005E28D6"/>
    <w:rsid w:val="005E3717"/>
    <w:rsid w:val="005E3B90"/>
    <w:rsid w:val="005E3CD2"/>
    <w:rsid w:val="005E4238"/>
    <w:rsid w:val="005E575B"/>
    <w:rsid w:val="005E5B61"/>
    <w:rsid w:val="005E651B"/>
    <w:rsid w:val="005E6A4E"/>
    <w:rsid w:val="005E73E4"/>
    <w:rsid w:val="005E7754"/>
    <w:rsid w:val="005F006D"/>
    <w:rsid w:val="005F007D"/>
    <w:rsid w:val="005F0B92"/>
    <w:rsid w:val="005F10FA"/>
    <w:rsid w:val="005F1279"/>
    <w:rsid w:val="005F1BCF"/>
    <w:rsid w:val="005F2748"/>
    <w:rsid w:val="005F2F70"/>
    <w:rsid w:val="005F38BD"/>
    <w:rsid w:val="005F3AA7"/>
    <w:rsid w:val="005F3ACE"/>
    <w:rsid w:val="005F3B83"/>
    <w:rsid w:val="005F3D04"/>
    <w:rsid w:val="005F3E78"/>
    <w:rsid w:val="005F3EE5"/>
    <w:rsid w:val="005F4236"/>
    <w:rsid w:val="005F4D1E"/>
    <w:rsid w:val="005F4E24"/>
    <w:rsid w:val="005F536B"/>
    <w:rsid w:val="005F5EE6"/>
    <w:rsid w:val="005F61F4"/>
    <w:rsid w:val="005F67F2"/>
    <w:rsid w:val="005F7560"/>
    <w:rsid w:val="00600BA4"/>
    <w:rsid w:val="00600FA0"/>
    <w:rsid w:val="006013AB"/>
    <w:rsid w:val="00601570"/>
    <w:rsid w:val="00602200"/>
    <w:rsid w:val="006025CC"/>
    <w:rsid w:val="00602FF1"/>
    <w:rsid w:val="006034C7"/>
    <w:rsid w:val="0060408B"/>
    <w:rsid w:val="00604B77"/>
    <w:rsid w:val="00604EB3"/>
    <w:rsid w:val="00605183"/>
    <w:rsid w:val="006052C0"/>
    <w:rsid w:val="00605389"/>
    <w:rsid w:val="00605440"/>
    <w:rsid w:val="00606F35"/>
    <w:rsid w:val="0060733B"/>
    <w:rsid w:val="00607D53"/>
    <w:rsid w:val="00610045"/>
    <w:rsid w:val="0061038F"/>
    <w:rsid w:val="00610C5C"/>
    <w:rsid w:val="00611163"/>
    <w:rsid w:val="00611712"/>
    <w:rsid w:val="00612033"/>
    <w:rsid w:val="00612114"/>
    <w:rsid w:val="00612FC8"/>
    <w:rsid w:val="00613029"/>
    <w:rsid w:val="006132B0"/>
    <w:rsid w:val="00613397"/>
    <w:rsid w:val="00613744"/>
    <w:rsid w:val="00613BA4"/>
    <w:rsid w:val="006143D1"/>
    <w:rsid w:val="0061469F"/>
    <w:rsid w:val="00614AA2"/>
    <w:rsid w:val="00615239"/>
    <w:rsid w:val="00615396"/>
    <w:rsid w:val="00615C1A"/>
    <w:rsid w:val="00615C9B"/>
    <w:rsid w:val="00616037"/>
    <w:rsid w:val="00616046"/>
    <w:rsid w:val="006163B7"/>
    <w:rsid w:val="00616919"/>
    <w:rsid w:val="00616C27"/>
    <w:rsid w:val="00616C93"/>
    <w:rsid w:val="006174CB"/>
    <w:rsid w:val="006175D6"/>
    <w:rsid w:val="006178F8"/>
    <w:rsid w:val="00617C1B"/>
    <w:rsid w:val="00617E7F"/>
    <w:rsid w:val="00617EFD"/>
    <w:rsid w:val="00620297"/>
    <w:rsid w:val="00620333"/>
    <w:rsid w:val="0062044A"/>
    <w:rsid w:val="006204A8"/>
    <w:rsid w:val="0062077E"/>
    <w:rsid w:val="00621C45"/>
    <w:rsid w:val="00622DDF"/>
    <w:rsid w:val="00623052"/>
    <w:rsid w:val="00623085"/>
    <w:rsid w:val="00623AE0"/>
    <w:rsid w:val="00623DB9"/>
    <w:rsid w:val="00623F41"/>
    <w:rsid w:val="00624837"/>
    <w:rsid w:val="00625193"/>
    <w:rsid w:val="006252D9"/>
    <w:rsid w:val="00625347"/>
    <w:rsid w:val="00625620"/>
    <w:rsid w:val="00625AD2"/>
    <w:rsid w:val="0062682E"/>
    <w:rsid w:val="00626C07"/>
    <w:rsid w:val="00626F4A"/>
    <w:rsid w:val="006270CC"/>
    <w:rsid w:val="0062724A"/>
    <w:rsid w:val="006277E5"/>
    <w:rsid w:val="0062785C"/>
    <w:rsid w:val="00627E0C"/>
    <w:rsid w:val="006303DF"/>
    <w:rsid w:val="00630BE0"/>
    <w:rsid w:val="006310F8"/>
    <w:rsid w:val="006319BB"/>
    <w:rsid w:val="006324FD"/>
    <w:rsid w:val="00632541"/>
    <w:rsid w:val="00632E2F"/>
    <w:rsid w:val="00633DDB"/>
    <w:rsid w:val="00633EAC"/>
    <w:rsid w:val="00633EF1"/>
    <w:rsid w:val="00633FDA"/>
    <w:rsid w:val="0063443D"/>
    <w:rsid w:val="006345D2"/>
    <w:rsid w:val="006349CD"/>
    <w:rsid w:val="00634A53"/>
    <w:rsid w:val="006355F7"/>
    <w:rsid w:val="006356B6"/>
    <w:rsid w:val="00636052"/>
    <w:rsid w:val="006362EA"/>
    <w:rsid w:val="00636C4D"/>
    <w:rsid w:val="00637235"/>
    <w:rsid w:val="00637474"/>
    <w:rsid w:val="006374C0"/>
    <w:rsid w:val="006375AF"/>
    <w:rsid w:val="00637938"/>
    <w:rsid w:val="00637C8F"/>
    <w:rsid w:val="00637DBB"/>
    <w:rsid w:val="00640698"/>
    <w:rsid w:val="00640948"/>
    <w:rsid w:val="0064097F"/>
    <w:rsid w:val="00640FED"/>
    <w:rsid w:val="006410F9"/>
    <w:rsid w:val="00641258"/>
    <w:rsid w:val="006419C1"/>
    <w:rsid w:val="0064205F"/>
    <w:rsid w:val="006425DD"/>
    <w:rsid w:val="006441E9"/>
    <w:rsid w:val="006447BF"/>
    <w:rsid w:val="00644BBD"/>
    <w:rsid w:val="0064731D"/>
    <w:rsid w:val="00647C52"/>
    <w:rsid w:val="006503AB"/>
    <w:rsid w:val="006508F0"/>
    <w:rsid w:val="00650DB6"/>
    <w:rsid w:val="00650E48"/>
    <w:rsid w:val="00651668"/>
    <w:rsid w:val="006524B1"/>
    <w:rsid w:val="00652C52"/>
    <w:rsid w:val="00652FB5"/>
    <w:rsid w:val="00653231"/>
    <w:rsid w:val="00653572"/>
    <w:rsid w:val="00654869"/>
    <w:rsid w:val="0065491A"/>
    <w:rsid w:val="00655776"/>
    <w:rsid w:val="006557CB"/>
    <w:rsid w:val="006558CF"/>
    <w:rsid w:val="00656D86"/>
    <w:rsid w:val="00656E46"/>
    <w:rsid w:val="00660014"/>
    <w:rsid w:val="00660799"/>
    <w:rsid w:val="00661063"/>
    <w:rsid w:val="00661744"/>
    <w:rsid w:val="006619FC"/>
    <w:rsid w:val="00661ABF"/>
    <w:rsid w:val="00661B21"/>
    <w:rsid w:val="00661BF5"/>
    <w:rsid w:val="00661EE8"/>
    <w:rsid w:val="00662555"/>
    <w:rsid w:val="00662EAC"/>
    <w:rsid w:val="00662F57"/>
    <w:rsid w:val="006642F5"/>
    <w:rsid w:val="0066490E"/>
    <w:rsid w:val="00664AF4"/>
    <w:rsid w:val="006651CE"/>
    <w:rsid w:val="00665A15"/>
    <w:rsid w:val="00665C17"/>
    <w:rsid w:val="00666013"/>
    <w:rsid w:val="0066617E"/>
    <w:rsid w:val="00666207"/>
    <w:rsid w:val="006665A7"/>
    <w:rsid w:val="0066695C"/>
    <w:rsid w:val="006673B2"/>
    <w:rsid w:val="00667803"/>
    <w:rsid w:val="00667EED"/>
    <w:rsid w:val="00667EFE"/>
    <w:rsid w:val="006702B3"/>
    <w:rsid w:val="006705DD"/>
    <w:rsid w:val="00670782"/>
    <w:rsid w:val="00670980"/>
    <w:rsid w:val="00670A18"/>
    <w:rsid w:val="00670D0E"/>
    <w:rsid w:val="006711C7"/>
    <w:rsid w:val="006715E1"/>
    <w:rsid w:val="0067199C"/>
    <w:rsid w:val="00671C28"/>
    <w:rsid w:val="00671E7F"/>
    <w:rsid w:val="00672014"/>
    <w:rsid w:val="00672153"/>
    <w:rsid w:val="00672B87"/>
    <w:rsid w:val="00673364"/>
    <w:rsid w:val="00673887"/>
    <w:rsid w:val="00673B43"/>
    <w:rsid w:val="00673C68"/>
    <w:rsid w:val="00673D41"/>
    <w:rsid w:val="006749BE"/>
    <w:rsid w:val="006750C2"/>
    <w:rsid w:val="0067519E"/>
    <w:rsid w:val="00675806"/>
    <w:rsid w:val="006761D3"/>
    <w:rsid w:val="0067691F"/>
    <w:rsid w:val="00676CBD"/>
    <w:rsid w:val="00676D29"/>
    <w:rsid w:val="00676E24"/>
    <w:rsid w:val="006773CE"/>
    <w:rsid w:val="00677FE9"/>
    <w:rsid w:val="006801BE"/>
    <w:rsid w:val="00680220"/>
    <w:rsid w:val="0068063F"/>
    <w:rsid w:val="006808A4"/>
    <w:rsid w:val="00680BAE"/>
    <w:rsid w:val="00680C0B"/>
    <w:rsid w:val="00680F9D"/>
    <w:rsid w:val="00681A0E"/>
    <w:rsid w:val="00681B73"/>
    <w:rsid w:val="00682584"/>
    <w:rsid w:val="006827EA"/>
    <w:rsid w:val="006828F8"/>
    <w:rsid w:val="00682F8F"/>
    <w:rsid w:val="00683955"/>
    <w:rsid w:val="00683B20"/>
    <w:rsid w:val="006845B0"/>
    <w:rsid w:val="00685BE7"/>
    <w:rsid w:val="00685C86"/>
    <w:rsid w:val="00685E17"/>
    <w:rsid w:val="00685E2D"/>
    <w:rsid w:val="00685EBC"/>
    <w:rsid w:val="00686072"/>
    <w:rsid w:val="00686250"/>
    <w:rsid w:val="00686341"/>
    <w:rsid w:val="00686851"/>
    <w:rsid w:val="00686BAC"/>
    <w:rsid w:val="00686D57"/>
    <w:rsid w:val="00687389"/>
    <w:rsid w:val="0068792D"/>
    <w:rsid w:val="00687B1D"/>
    <w:rsid w:val="00690194"/>
    <w:rsid w:val="0069088F"/>
    <w:rsid w:val="00690A19"/>
    <w:rsid w:val="00690B99"/>
    <w:rsid w:val="00691775"/>
    <w:rsid w:val="00691DFF"/>
    <w:rsid w:val="00691FB8"/>
    <w:rsid w:val="006925B7"/>
    <w:rsid w:val="006926F8"/>
    <w:rsid w:val="00692AEE"/>
    <w:rsid w:val="00692CBD"/>
    <w:rsid w:val="00694970"/>
    <w:rsid w:val="00694DF4"/>
    <w:rsid w:val="00694E0A"/>
    <w:rsid w:val="00694F61"/>
    <w:rsid w:val="006951BC"/>
    <w:rsid w:val="00695DCC"/>
    <w:rsid w:val="006960E5"/>
    <w:rsid w:val="00697218"/>
    <w:rsid w:val="006973DF"/>
    <w:rsid w:val="0069748E"/>
    <w:rsid w:val="00697499"/>
    <w:rsid w:val="0069752F"/>
    <w:rsid w:val="00697803"/>
    <w:rsid w:val="006979CC"/>
    <w:rsid w:val="006A071E"/>
    <w:rsid w:val="006A07D2"/>
    <w:rsid w:val="006A0EA4"/>
    <w:rsid w:val="006A136F"/>
    <w:rsid w:val="006A163B"/>
    <w:rsid w:val="006A1938"/>
    <w:rsid w:val="006A1AA5"/>
    <w:rsid w:val="006A2510"/>
    <w:rsid w:val="006A2B4F"/>
    <w:rsid w:val="006A373E"/>
    <w:rsid w:val="006A3C30"/>
    <w:rsid w:val="006A407F"/>
    <w:rsid w:val="006A4D0C"/>
    <w:rsid w:val="006A4DCA"/>
    <w:rsid w:val="006A5318"/>
    <w:rsid w:val="006A602E"/>
    <w:rsid w:val="006A63C9"/>
    <w:rsid w:val="006A6A15"/>
    <w:rsid w:val="006A6A4D"/>
    <w:rsid w:val="006A6D48"/>
    <w:rsid w:val="006A77FC"/>
    <w:rsid w:val="006A7998"/>
    <w:rsid w:val="006B0215"/>
    <w:rsid w:val="006B025F"/>
    <w:rsid w:val="006B1B98"/>
    <w:rsid w:val="006B1E92"/>
    <w:rsid w:val="006B2443"/>
    <w:rsid w:val="006B2493"/>
    <w:rsid w:val="006B2700"/>
    <w:rsid w:val="006B277C"/>
    <w:rsid w:val="006B28AE"/>
    <w:rsid w:val="006B29A0"/>
    <w:rsid w:val="006B2B38"/>
    <w:rsid w:val="006B2C89"/>
    <w:rsid w:val="006B331E"/>
    <w:rsid w:val="006B3664"/>
    <w:rsid w:val="006B3EBD"/>
    <w:rsid w:val="006B4960"/>
    <w:rsid w:val="006B6371"/>
    <w:rsid w:val="006B66CF"/>
    <w:rsid w:val="006B6BF0"/>
    <w:rsid w:val="006B6D2F"/>
    <w:rsid w:val="006B6DF0"/>
    <w:rsid w:val="006B6F8E"/>
    <w:rsid w:val="006B6FAC"/>
    <w:rsid w:val="006B7672"/>
    <w:rsid w:val="006B7E5D"/>
    <w:rsid w:val="006C0137"/>
    <w:rsid w:val="006C03D5"/>
    <w:rsid w:val="006C0429"/>
    <w:rsid w:val="006C0611"/>
    <w:rsid w:val="006C0620"/>
    <w:rsid w:val="006C0649"/>
    <w:rsid w:val="006C0CF8"/>
    <w:rsid w:val="006C0ED2"/>
    <w:rsid w:val="006C1420"/>
    <w:rsid w:val="006C1794"/>
    <w:rsid w:val="006C18AE"/>
    <w:rsid w:val="006C21DB"/>
    <w:rsid w:val="006C2387"/>
    <w:rsid w:val="006C2AA1"/>
    <w:rsid w:val="006C2F6E"/>
    <w:rsid w:val="006C36F5"/>
    <w:rsid w:val="006C3B3F"/>
    <w:rsid w:val="006C3EA5"/>
    <w:rsid w:val="006C401C"/>
    <w:rsid w:val="006C4491"/>
    <w:rsid w:val="006C47FA"/>
    <w:rsid w:val="006C483B"/>
    <w:rsid w:val="006C4A6D"/>
    <w:rsid w:val="006C4C05"/>
    <w:rsid w:val="006C526C"/>
    <w:rsid w:val="006C594A"/>
    <w:rsid w:val="006C598A"/>
    <w:rsid w:val="006C5FDF"/>
    <w:rsid w:val="006C645B"/>
    <w:rsid w:val="006C73E7"/>
    <w:rsid w:val="006C78DE"/>
    <w:rsid w:val="006C7E95"/>
    <w:rsid w:val="006D0182"/>
    <w:rsid w:val="006D0296"/>
    <w:rsid w:val="006D0433"/>
    <w:rsid w:val="006D0A8D"/>
    <w:rsid w:val="006D0D63"/>
    <w:rsid w:val="006D13D2"/>
    <w:rsid w:val="006D1827"/>
    <w:rsid w:val="006D1ABA"/>
    <w:rsid w:val="006D1C84"/>
    <w:rsid w:val="006D1DE7"/>
    <w:rsid w:val="006D1F87"/>
    <w:rsid w:val="006D2246"/>
    <w:rsid w:val="006D22AB"/>
    <w:rsid w:val="006D270A"/>
    <w:rsid w:val="006D2A2A"/>
    <w:rsid w:val="006D2DE6"/>
    <w:rsid w:val="006D32AB"/>
    <w:rsid w:val="006D333C"/>
    <w:rsid w:val="006D3393"/>
    <w:rsid w:val="006D351E"/>
    <w:rsid w:val="006D45E8"/>
    <w:rsid w:val="006D46C7"/>
    <w:rsid w:val="006D4A8A"/>
    <w:rsid w:val="006D4B4A"/>
    <w:rsid w:val="006D54DB"/>
    <w:rsid w:val="006D5590"/>
    <w:rsid w:val="006D55A7"/>
    <w:rsid w:val="006D56EB"/>
    <w:rsid w:val="006D5C40"/>
    <w:rsid w:val="006D5F5D"/>
    <w:rsid w:val="006D5FF8"/>
    <w:rsid w:val="006D620E"/>
    <w:rsid w:val="006D7BDE"/>
    <w:rsid w:val="006E01B9"/>
    <w:rsid w:val="006E07A7"/>
    <w:rsid w:val="006E1218"/>
    <w:rsid w:val="006E16D6"/>
    <w:rsid w:val="006E2BC0"/>
    <w:rsid w:val="006E2D30"/>
    <w:rsid w:val="006E2EDC"/>
    <w:rsid w:val="006E315C"/>
    <w:rsid w:val="006E330A"/>
    <w:rsid w:val="006E3EC3"/>
    <w:rsid w:val="006E4287"/>
    <w:rsid w:val="006E4383"/>
    <w:rsid w:val="006E4618"/>
    <w:rsid w:val="006E48A1"/>
    <w:rsid w:val="006E4B5E"/>
    <w:rsid w:val="006E522D"/>
    <w:rsid w:val="006E54AE"/>
    <w:rsid w:val="006E5D43"/>
    <w:rsid w:val="006E61CA"/>
    <w:rsid w:val="006E6460"/>
    <w:rsid w:val="006E6647"/>
    <w:rsid w:val="006E6A17"/>
    <w:rsid w:val="006E7062"/>
    <w:rsid w:val="006E773D"/>
    <w:rsid w:val="006F0289"/>
    <w:rsid w:val="006F02BA"/>
    <w:rsid w:val="006F069F"/>
    <w:rsid w:val="006F0A98"/>
    <w:rsid w:val="006F1158"/>
    <w:rsid w:val="006F1237"/>
    <w:rsid w:val="006F13DF"/>
    <w:rsid w:val="006F1B23"/>
    <w:rsid w:val="006F32E5"/>
    <w:rsid w:val="006F3CD2"/>
    <w:rsid w:val="006F3D24"/>
    <w:rsid w:val="006F411A"/>
    <w:rsid w:val="006F4DDA"/>
    <w:rsid w:val="006F4E12"/>
    <w:rsid w:val="006F55EF"/>
    <w:rsid w:val="006F5621"/>
    <w:rsid w:val="006F5A51"/>
    <w:rsid w:val="006F5B58"/>
    <w:rsid w:val="006F5D31"/>
    <w:rsid w:val="006F619F"/>
    <w:rsid w:val="006F6490"/>
    <w:rsid w:val="006F6D8D"/>
    <w:rsid w:val="006F6FEC"/>
    <w:rsid w:val="006F796B"/>
    <w:rsid w:val="006F7E9C"/>
    <w:rsid w:val="007000FE"/>
    <w:rsid w:val="00700203"/>
    <w:rsid w:val="007005EF"/>
    <w:rsid w:val="007020FE"/>
    <w:rsid w:val="00702467"/>
    <w:rsid w:val="0070259B"/>
    <w:rsid w:val="0070259C"/>
    <w:rsid w:val="0070394C"/>
    <w:rsid w:val="007042FA"/>
    <w:rsid w:val="007056FA"/>
    <w:rsid w:val="00705AD1"/>
    <w:rsid w:val="00705B91"/>
    <w:rsid w:val="00705CB2"/>
    <w:rsid w:val="00705E03"/>
    <w:rsid w:val="007063B8"/>
    <w:rsid w:val="00706B70"/>
    <w:rsid w:val="00706B8E"/>
    <w:rsid w:val="00707276"/>
    <w:rsid w:val="00707426"/>
    <w:rsid w:val="0070761B"/>
    <w:rsid w:val="00707C39"/>
    <w:rsid w:val="007100B7"/>
    <w:rsid w:val="007113AB"/>
    <w:rsid w:val="00711464"/>
    <w:rsid w:val="00712084"/>
    <w:rsid w:val="0071221D"/>
    <w:rsid w:val="0071227D"/>
    <w:rsid w:val="007124A1"/>
    <w:rsid w:val="007125C3"/>
    <w:rsid w:val="00713107"/>
    <w:rsid w:val="0071361F"/>
    <w:rsid w:val="007136ED"/>
    <w:rsid w:val="00713B38"/>
    <w:rsid w:val="00713CD6"/>
    <w:rsid w:val="00713D12"/>
    <w:rsid w:val="007145DD"/>
    <w:rsid w:val="00714715"/>
    <w:rsid w:val="00714873"/>
    <w:rsid w:val="00714D16"/>
    <w:rsid w:val="00715520"/>
    <w:rsid w:val="00715560"/>
    <w:rsid w:val="00715C0B"/>
    <w:rsid w:val="00715DE6"/>
    <w:rsid w:val="0071648E"/>
    <w:rsid w:val="00717232"/>
    <w:rsid w:val="0071738F"/>
    <w:rsid w:val="0072015E"/>
    <w:rsid w:val="007203DD"/>
    <w:rsid w:val="0072056C"/>
    <w:rsid w:val="00720786"/>
    <w:rsid w:val="00720B39"/>
    <w:rsid w:val="00720BF9"/>
    <w:rsid w:val="00720CBB"/>
    <w:rsid w:val="00720F21"/>
    <w:rsid w:val="00721AA9"/>
    <w:rsid w:val="00721B29"/>
    <w:rsid w:val="00722428"/>
    <w:rsid w:val="0072285F"/>
    <w:rsid w:val="00722A61"/>
    <w:rsid w:val="00722A73"/>
    <w:rsid w:val="007233D7"/>
    <w:rsid w:val="007238FD"/>
    <w:rsid w:val="00723A3F"/>
    <w:rsid w:val="00723DB9"/>
    <w:rsid w:val="00723E6E"/>
    <w:rsid w:val="00724D23"/>
    <w:rsid w:val="00725097"/>
    <w:rsid w:val="00725136"/>
    <w:rsid w:val="007255B7"/>
    <w:rsid w:val="00726522"/>
    <w:rsid w:val="00726B44"/>
    <w:rsid w:val="007275C6"/>
    <w:rsid w:val="00727C9A"/>
    <w:rsid w:val="00727DBC"/>
    <w:rsid w:val="00727F70"/>
    <w:rsid w:val="0073037F"/>
    <w:rsid w:val="00730388"/>
    <w:rsid w:val="00730502"/>
    <w:rsid w:val="00730A39"/>
    <w:rsid w:val="00730FF4"/>
    <w:rsid w:val="0073198E"/>
    <w:rsid w:val="00731AFB"/>
    <w:rsid w:val="007320F6"/>
    <w:rsid w:val="007324E9"/>
    <w:rsid w:val="00732AE7"/>
    <w:rsid w:val="00732CC9"/>
    <w:rsid w:val="007333BA"/>
    <w:rsid w:val="00733404"/>
    <w:rsid w:val="00734163"/>
    <w:rsid w:val="00734A05"/>
    <w:rsid w:val="00734CCE"/>
    <w:rsid w:val="00734F96"/>
    <w:rsid w:val="0073505C"/>
    <w:rsid w:val="007356AB"/>
    <w:rsid w:val="00735815"/>
    <w:rsid w:val="007360D5"/>
    <w:rsid w:val="0073666A"/>
    <w:rsid w:val="007368B4"/>
    <w:rsid w:val="00736AA4"/>
    <w:rsid w:val="00737007"/>
    <w:rsid w:val="0073744E"/>
    <w:rsid w:val="00737AA0"/>
    <w:rsid w:val="0074105E"/>
    <w:rsid w:val="00741752"/>
    <w:rsid w:val="0074179E"/>
    <w:rsid w:val="007422D3"/>
    <w:rsid w:val="007422DC"/>
    <w:rsid w:val="00742C30"/>
    <w:rsid w:val="00742E90"/>
    <w:rsid w:val="00742EC7"/>
    <w:rsid w:val="00742F66"/>
    <w:rsid w:val="007430AE"/>
    <w:rsid w:val="0074322B"/>
    <w:rsid w:val="0074377B"/>
    <w:rsid w:val="00743C75"/>
    <w:rsid w:val="00743E2F"/>
    <w:rsid w:val="00744FBA"/>
    <w:rsid w:val="00745347"/>
    <w:rsid w:val="0074581F"/>
    <w:rsid w:val="00745830"/>
    <w:rsid w:val="0074604D"/>
    <w:rsid w:val="00746711"/>
    <w:rsid w:val="00746937"/>
    <w:rsid w:val="0074696E"/>
    <w:rsid w:val="00746987"/>
    <w:rsid w:val="00746A5E"/>
    <w:rsid w:val="00746BCF"/>
    <w:rsid w:val="00746CEE"/>
    <w:rsid w:val="007472E0"/>
    <w:rsid w:val="0074767D"/>
    <w:rsid w:val="00747752"/>
    <w:rsid w:val="0074787C"/>
    <w:rsid w:val="00747B04"/>
    <w:rsid w:val="00747BAE"/>
    <w:rsid w:val="00747D7E"/>
    <w:rsid w:val="0075011B"/>
    <w:rsid w:val="0075051C"/>
    <w:rsid w:val="0075076D"/>
    <w:rsid w:val="0075088A"/>
    <w:rsid w:val="007509FD"/>
    <w:rsid w:val="00750E91"/>
    <w:rsid w:val="00751176"/>
    <w:rsid w:val="0075128C"/>
    <w:rsid w:val="00751F33"/>
    <w:rsid w:val="00752D58"/>
    <w:rsid w:val="00752DEE"/>
    <w:rsid w:val="00753081"/>
    <w:rsid w:val="007538A4"/>
    <w:rsid w:val="0075395E"/>
    <w:rsid w:val="00753AAB"/>
    <w:rsid w:val="00753BEF"/>
    <w:rsid w:val="00753E1F"/>
    <w:rsid w:val="00753F13"/>
    <w:rsid w:val="00753FBC"/>
    <w:rsid w:val="00754360"/>
    <w:rsid w:val="007546FC"/>
    <w:rsid w:val="00754D16"/>
    <w:rsid w:val="007555E4"/>
    <w:rsid w:val="00755615"/>
    <w:rsid w:val="007556E4"/>
    <w:rsid w:val="00755938"/>
    <w:rsid w:val="00755ACF"/>
    <w:rsid w:val="00755E09"/>
    <w:rsid w:val="00757232"/>
    <w:rsid w:val="0075736C"/>
    <w:rsid w:val="00757786"/>
    <w:rsid w:val="00757E4C"/>
    <w:rsid w:val="00760AF0"/>
    <w:rsid w:val="007615D9"/>
    <w:rsid w:val="00761E54"/>
    <w:rsid w:val="00762001"/>
    <w:rsid w:val="00762533"/>
    <w:rsid w:val="00762F87"/>
    <w:rsid w:val="00763783"/>
    <w:rsid w:val="00763E9B"/>
    <w:rsid w:val="00764731"/>
    <w:rsid w:val="007648D9"/>
    <w:rsid w:val="00764F0B"/>
    <w:rsid w:val="00765380"/>
    <w:rsid w:val="007656A0"/>
    <w:rsid w:val="00766693"/>
    <w:rsid w:val="00766A27"/>
    <w:rsid w:val="00766EE3"/>
    <w:rsid w:val="0076779C"/>
    <w:rsid w:val="0077069C"/>
    <w:rsid w:val="007709A8"/>
    <w:rsid w:val="00770B3C"/>
    <w:rsid w:val="00770F7C"/>
    <w:rsid w:val="007714A0"/>
    <w:rsid w:val="00771F1F"/>
    <w:rsid w:val="0077208D"/>
    <w:rsid w:val="00772280"/>
    <w:rsid w:val="0077288C"/>
    <w:rsid w:val="0077323F"/>
    <w:rsid w:val="0077333A"/>
    <w:rsid w:val="007733F7"/>
    <w:rsid w:val="00773442"/>
    <w:rsid w:val="00773669"/>
    <w:rsid w:val="007737D6"/>
    <w:rsid w:val="007743E3"/>
    <w:rsid w:val="00774618"/>
    <w:rsid w:val="007755A2"/>
    <w:rsid w:val="00775801"/>
    <w:rsid w:val="00775AB1"/>
    <w:rsid w:val="00776286"/>
    <w:rsid w:val="007766FF"/>
    <w:rsid w:val="007768C2"/>
    <w:rsid w:val="007769C7"/>
    <w:rsid w:val="007769F4"/>
    <w:rsid w:val="00776AF5"/>
    <w:rsid w:val="00777AB2"/>
    <w:rsid w:val="007801F5"/>
    <w:rsid w:val="0078068F"/>
    <w:rsid w:val="007808F4"/>
    <w:rsid w:val="007809A0"/>
    <w:rsid w:val="007809A6"/>
    <w:rsid w:val="00780A28"/>
    <w:rsid w:val="007812F7"/>
    <w:rsid w:val="007813D1"/>
    <w:rsid w:val="00781522"/>
    <w:rsid w:val="0078154E"/>
    <w:rsid w:val="007815F7"/>
    <w:rsid w:val="00781BB7"/>
    <w:rsid w:val="00781BC3"/>
    <w:rsid w:val="00781CA2"/>
    <w:rsid w:val="00782987"/>
    <w:rsid w:val="00783370"/>
    <w:rsid w:val="0078346B"/>
    <w:rsid w:val="00783637"/>
    <w:rsid w:val="007847A2"/>
    <w:rsid w:val="0078492E"/>
    <w:rsid w:val="00784A3A"/>
    <w:rsid w:val="00785784"/>
    <w:rsid w:val="00785EA1"/>
    <w:rsid w:val="00786008"/>
    <w:rsid w:val="00786227"/>
    <w:rsid w:val="00786934"/>
    <w:rsid w:val="00787733"/>
    <w:rsid w:val="00787756"/>
    <w:rsid w:val="0079005C"/>
    <w:rsid w:val="007903DF"/>
    <w:rsid w:val="00790531"/>
    <w:rsid w:val="007905A0"/>
    <w:rsid w:val="00790D79"/>
    <w:rsid w:val="00790DB8"/>
    <w:rsid w:val="0079137F"/>
    <w:rsid w:val="007915D2"/>
    <w:rsid w:val="007919AB"/>
    <w:rsid w:val="00791B30"/>
    <w:rsid w:val="007923B3"/>
    <w:rsid w:val="0079248E"/>
    <w:rsid w:val="007926BD"/>
    <w:rsid w:val="007930DC"/>
    <w:rsid w:val="00793A6D"/>
    <w:rsid w:val="007945E5"/>
    <w:rsid w:val="00794D2C"/>
    <w:rsid w:val="00794EFF"/>
    <w:rsid w:val="00795650"/>
    <w:rsid w:val="007959DD"/>
    <w:rsid w:val="00795BDA"/>
    <w:rsid w:val="00795E4B"/>
    <w:rsid w:val="00795FA9"/>
    <w:rsid w:val="00796236"/>
    <w:rsid w:val="00796C91"/>
    <w:rsid w:val="007970BE"/>
    <w:rsid w:val="0079714C"/>
    <w:rsid w:val="00797447"/>
    <w:rsid w:val="0079765D"/>
    <w:rsid w:val="007A02F4"/>
    <w:rsid w:val="007A05EA"/>
    <w:rsid w:val="007A0769"/>
    <w:rsid w:val="007A0801"/>
    <w:rsid w:val="007A1138"/>
    <w:rsid w:val="007A1445"/>
    <w:rsid w:val="007A1513"/>
    <w:rsid w:val="007A1684"/>
    <w:rsid w:val="007A16CF"/>
    <w:rsid w:val="007A1C44"/>
    <w:rsid w:val="007A241A"/>
    <w:rsid w:val="007A356D"/>
    <w:rsid w:val="007A356F"/>
    <w:rsid w:val="007A36C5"/>
    <w:rsid w:val="007A370A"/>
    <w:rsid w:val="007A37AF"/>
    <w:rsid w:val="007A3912"/>
    <w:rsid w:val="007A3FB9"/>
    <w:rsid w:val="007A3FDE"/>
    <w:rsid w:val="007A4291"/>
    <w:rsid w:val="007A435B"/>
    <w:rsid w:val="007A479F"/>
    <w:rsid w:val="007A486D"/>
    <w:rsid w:val="007A4939"/>
    <w:rsid w:val="007A4BF8"/>
    <w:rsid w:val="007A594D"/>
    <w:rsid w:val="007A5B47"/>
    <w:rsid w:val="007A6053"/>
    <w:rsid w:val="007A6108"/>
    <w:rsid w:val="007A6E8F"/>
    <w:rsid w:val="007A6FB3"/>
    <w:rsid w:val="007A701F"/>
    <w:rsid w:val="007A7399"/>
    <w:rsid w:val="007A770C"/>
    <w:rsid w:val="007A793B"/>
    <w:rsid w:val="007A794F"/>
    <w:rsid w:val="007A7B09"/>
    <w:rsid w:val="007A7D87"/>
    <w:rsid w:val="007A7ECE"/>
    <w:rsid w:val="007B0370"/>
    <w:rsid w:val="007B05CD"/>
    <w:rsid w:val="007B0A25"/>
    <w:rsid w:val="007B0EA6"/>
    <w:rsid w:val="007B1099"/>
    <w:rsid w:val="007B11A6"/>
    <w:rsid w:val="007B18AB"/>
    <w:rsid w:val="007B199E"/>
    <w:rsid w:val="007B2216"/>
    <w:rsid w:val="007B2226"/>
    <w:rsid w:val="007B26A8"/>
    <w:rsid w:val="007B2AA2"/>
    <w:rsid w:val="007B2C0A"/>
    <w:rsid w:val="007B367D"/>
    <w:rsid w:val="007B3F07"/>
    <w:rsid w:val="007B4457"/>
    <w:rsid w:val="007B52D2"/>
    <w:rsid w:val="007B5318"/>
    <w:rsid w:val="007B54BB"/>
    <w:rsid w:val="007B5727"/>
    <w:rsid w:val="007B57E9"/>
    <w:rsid w:val="007B65BD"/>
    <w:rsid w:val="007B6707"/>
    <w:rsid w:val="007B7062"/>
    <w:rsid w:val="007B70AE"/>
    <w:rsid w:val="007B731C"/>
    <w:rsid w:val="007C02A9"/>
    <w:rsid w:val="007C058C"/>
    <w:rsid w:val="007C095A"/>
    <w:rsid w:val="007C0E07"/>
    <w:rsid w:val="007C0EF2"/>
    <w:rsid w:val="007C1C9F"/>
    <w:rsid w:val="007C2951"/>
    <w:rsid w:val="007C2C58"/>
    <w:rsid w:val="007C2E4C"/>
    <w:rsid w:val="007C2F75"/>
    <w:rsid w:val="007C39DC"/>
    <w:rsid w:val="007C3FDB"/>
    <w:rsid w:val="007C3FDD"/>
    <w:rsid w:val="007C46FA"/>
    <w:rsid w:val="007C49E0"/>
    <w:rsid w:val="007C4B70"/>
    <w:rsid w:val="007C4BC3"/>
    <w:rsid w:val="007C62F4"/>
    <w:rsid w:val="007C6B01"/>
    <w:rsid w:val="007C7147"/>
    <w:rsid w:val="007C721C"/>
    <w:rsid w:val="007C792F"/>
    <w:rsid w:val="007C79C8"/>
    <w:rsid w:val="007C7C32"/>
    <w:rsid w:val="007D013B"/>
    <w:rsid w:val="007D0915"/>
    <w:rsid w:val="007D0E91"/>
    <w:rsid w:val="007D17A2"/>
    <w:rsid w:val="007D1831"/>
    <w:rsid w:val="007D1E1B"/>
    <w:rsid w:val="007D31C5"/>
    <w:rsid w:val="007D3DB4"/>
    <w:rsid w:val="007D5477"/>
    <w:rsid w:val="007D5987"/>
    <w:rsid w:val="007D5FEE"/>
    <w:rsid w:val="007D60B0"/>
    <w:rsid w:val="007D6AB8"/>
    <w:rsid w:val="007D6B39"/>
    <w:rsid w:val="007D72D3"/>
    <w:rsid w:val="007D7BAC"/>
    <w:rsid w:val="007D7BD3"/>
    <w:rsid w:val="007D7BEE"/>
    <w:rsid w:val="007E0A22"/>
    <w:rsid w:val="007E0FB5"/>
    <w:rsid w:val="007E1014"/>
    <w:rsid w:val="007E1716"/>
    <w:rsid w:val="007E19E7"/>
    <w:rsid w:val="007E1EDD"/>
    <w:rsid w:val="007E2BC0"/>
    <w:rsid w:val="007E2DDD"/>
    <w:rsid w:val="007E2E06"/>
    <w:rsid w:val="007E35B3"/>
    <w:rsid w:val="007E3BA0"/>
    <w:rsid w:val="007E3CCF"/>
    <w:rsid w:val="007E43E1"/>
    <w:rsid w:val="007E441D"/>
    <w:rsid w:val="007E4553"/>
    <w:rsid w:val="007E4ABA"/>
    <w:rsid w:val="007E539E"/>
    <w:rsid w:val="007E5469"/>
    <w:rsid w:val="007E57DB"/>
    <w:rsid w:val="007E64F7"/>
    <w:rsid w:val="007E6B59"/>
    <w:rsid w:val="007E6EB5"/>
    <w:rsid w:val="007E793F"/>
    <w:rsid w:val="007E7DD6"/>
    <w:rsid w:val="007F0B39"/>
    <w:rsid w:val="007F0E2C"/>
    <w:rsid w:val="007F1D12"/>
    <w:rsid w:val="007F20B5"/>
    <w:rsid w:val="007F2498"/>
    <w:rsid w:val="007F28E6"/>
    <w:rsid w:val="007F353F"/>
    <w:rsid w:val="007F3953"/>
    <w:rsid w:val="007F3D73"/>
    <w:rsid w:val="007F3D93"/>
    <w:rsid w:val="007F3E34"/>
    <w:rsid w:val="007F3E44"/>
    <w:rsid w:val="007F406F"/>
    <w:rsid w:val="007F4478"/>
    <w:rsid w:val="007F44CE"/>
    <w:rsid w:val="007F5303"/>
    <w:rsid w:val="007F60BD"/>
    <w:rsid w:val="007F61DC"/>
    <w:rsid w:val="007F6204"/>
    <w:rsid w:val="007F7063"/>
    <w:rsid w:val="007F7118"/>
    <w:rsid w:val="007F730B"/>
    <w:rsid w:val="0080089C"/>
    <w:rsid w:val="00800D6F"/>
    <w:rsid w:val="00800DC2"/>
    <w:rsid w:val="00800F7F"/>
    <w:rsid w:val="00801332"/>
    <w:rsid w:val="008016CA"/>
    <w:rsid w:val="00801B1E"/>
    <w:rsid w:val="00801F71"/>
    <w:rsid w:val="00802252"/>
    <w:rsid w:val="00802631"/>
    <w:rsid w:val="00802FEE"/>
    <w:rsid w:val="008031E3"/>
    <w:rsid w:val="008032B0"/>
    <w:rsid w:val="008036A2"/>
    <w:rsid w:val="00803D7D"/>
    <w:rsid w:val="008041AD"/>
    <w:rsid w:val="00804798"/>
    <w:rsid w:val="00804852"/>
    <w:rsid w:val="00804F3E"/>
    <w:rsid w:val="00804FAD"/>
    <w:rsid w:val="00805683"/>
    <w:rsid w:val="008071A6"/>
    <w:rsid w:val="008077B2"/>
    <w:rsid w:val="00807C04"/>
    <w:rsid w:val="0081084D"/>
    <w:rsid w:val="00810944"/>
    <w:rsid w:val="00810DFA"/>
    <w:rsid w:val="0081150B"/>
    <w:rsid w:val="00811781"/>
    <w:rsid w:val="00812611"/>
    <w:rsid w:val="008127A1"/>
    <w:rsid w:val="00812889"/>
    <w:rsid w:val="00812A68"/>
    <w:rsid w:val="00812D05"/>
    <w:rsid w:val="008139F9"/>
    <w:rsid w:val="00813E69"/>
    <w:rsid w:val="008141CF"/>
    <w:rsid w:val="008142D2"/>
    <w:rsid w:val="0081455B"/>
    <w:rsid w:val="00815938"/>
    <w:rsid w:val="008159A5"/>
    <w:rsid w:val="00816604"/>
    <w:rsid w:val="00816859"/>
    <w:rsid w:val="00816E6F"/>
    <w:rsid w:val="00817858"/>
    <w:rsid w:val="00817E8D"/>
    <w:rsid w:val="00820558"/>
    <w:rsid w:val="0082065F"/>
    <w:rsid w:val="00820821"/>
    <w:rsid w:val="00820999"/>
    <w:rsid w:val="008209F9"/>
    <w:rsid w:val="00820BEB"/>
    <w:rsid w:val="00820D44"/>
    <w:rsid w:val="00821251"/>
    <w:rsid w:val="00821D63"/>
    <w:rsid w:val="00822899"/>
    <w:rsid w:val="00822E10"/>
    <w:rsid w:val="00823020"/>
    <w:rsid w:val="008233D2"/>
    <w:rsid w:val="0082438F"/>
    <w:rsid w:val="0082535B"/>
    <w:rsid w:val="008255F4"/>
    <w:rsid w:val="008257E7"/>
    <w:rsid w:val="00825DD3"/>
    <w:rsid w:val="00826603"/>
    <w:rsid w:val="00826785"/>
    <w:rsid w:val="00826FD6"/>
    <w:rsid w:val="0082706F"/>
    <w:rsid w:val="008275BB"/>
    <w:rsid w:val="008277DC"/>
    <w:rsid w:val="00827AA4"/>
    <w:rsid w:val="008300ED"/>
    <w:rsid w:val="0083019F"/>
    <w:rsid w:val="00831470"/>
    <w:rsid w:val="0083181C"/>
    <w:rsid w:val="00831B0D"/>
    <w:rsid w:val="00832685"/>
    <w:rsid w:val="0083281A"/>
    <w:rsid w:val="008331BE"/>
    <w:rsid w:val="00834D9E"/>
    <w:rsid w:val="00834E52"/>
    <w:rsid w:val="0083543A"/>
    <w:rsid w:val="00835A2B"/>
    <w:rsid w:val="00835D49"/>
    <w:rsid w:val="00835EAB"/>
    <w:rsid w:val="00835ECD"/>
    <w:rsid w:val="00835EEC"/>
    <w:rsid w:val="008364A8"/>
    <w:rsid w:val="008366DE"/>
    <w:rsid w:val="008366E0"/>
    <w:rsid w:val="00836779"/>
    <w:rsid w:val="008369F5"/>
    <w:rsid w:val="00836CE2"/>
    <w:rsid w:val="00836F23"/>
    <w:rsid w:val="00840BD0"/>
    <w:rsid w:val="00840F48"/>
    <w:rsid w:val="008419DC"/>
    <w:rsid w:val="008423BD"/>
    <w:rsid w:val="008436AB"/>
    <w:rsid w:val="0084379D"/>
    <w:rsid w:val="00843884"/>
    <w:rsid w:val="008440F0"/>
    <w:rsid w:val="00844547"/>
    <w:rsid w:val="00844EBB"/>
    <w:rsid w:val="00845441"/>
    <w:rsid w:val="00845485"/>
    <w:rsid w:val="00845623"/>
    <w:rsid w:val="008456E2"/>
    <w:rsid w:val="008459C5"/>
    <w:rsid w:val="00845B4C"/>
    <w:rsid w:val="00846FB9"/>
    <w:rsid w:val="00847B06"/>
    <w:rsid w:val="00847FF9"/>
    <w:rsid w:val="00850B4B"/>
    <w:rsid w:val="00850C98"/>
    <w:rsid w:val="008514D6"/>
    <w:rsid w:val="008517E1"/>
    <w:rsid w:val="0085191C"/>
    <w:rsid w:val="0085224C"/>
    <w:rsid w:val="0085249E"/>
    <w:rsid w:val="00852BAB"/>
    <w:rsid w:val="00852BC1"/>
    <w:rsid w:val="00852CF2"/>
    <w:rsid w:val="00853424"/>
    <w:rsid w:val="00853DD1"/>
    <w:rsid w:val="00854042"/>
    <w:rsid w:val="00854489"/>
    <w:rsid w:val="008547DC"/>
    <w:rsid w:val="00854B0A"/>
    <w:rsid w:val="0085508F"/>
    <w:rsid w:val="008551E0"/>
    <w:rsid w:val="0085554F"/>
    <w:rsid w:val="00855723"/>
    <w:rsid w:val="008559DE"/>
    <w:rsid w:val="00855D2A"/>
    <w:rsid w:val="00855E44"/>
    <w:rsid w:val="008560B9"/>
    <w:rsid w:val="008560F3"/>
    <w:rsid w:val="0085687D"/>
    <w:rsid w:val="008569C8"/>
    <w:rsid w:val="008571DC"/>
    <w:rsid w:val="00857B8B"/>
    <w:rsid w:val="00857D09"/>
    <w:rsid w:val="00857DEF"/>
    <w:rsid w:val="0086037E"/>
    <w:rsid w:val="008603A4"/>
    <w:rsid w:val="008618E3"/>
    <w:rsid w:val="00861949"/>
    <w:rsid w:val="00861B9D"/>
    <w:rsid w:val="00862737"/>
    <w:rsid w:val="00862C1B"/>
    <w:rsid w:val="0086327C"/>
    <w:rsid w:val="008638D5"/>
    <w:rsid w:val="00863A0F"/>
    <w:rsid w:val="00863A10"/>
    <w:rsid w:val="00863B2D"/>
    <w:rsid w:val="00863BC0"/>
    <w:rsid w:val="008640E1"/>
    <w:rsid w:val="00864948"/>
    <w:rsid w:val="00864E28"/>
    <w:rsid w:val="00865903"/>
    <w:rsid w:val="00865922"/>
    <w:rsid w:val="00865B88"/>
    <w:rsid w:val="00865BA4"/>
    <w:rsid w:val="00865D16"/>
    <w:rsid w:val="00865D76"/>
    <w:rsid w:val="00865EB4"/>
    <w:rsid w:val="0086774A"/>
    <w:rsid w:val="00867AE6"/>
    <w:rsid w:val="00867BA7"/>
    <w:rsid w:val="00867F65"/>
    <w:rsid w:val="008705C7"/>
    <w:rsid w:val="008708A9"/>
    <w:rsid w:val="00870B9B"/>
    <w:rsid w:val="0087110A"/>
    <w:rsid w:val="008715F5"/>
    <w:rsid w:val="00871A2E"/>
    <w:rsid w:val="00871EEA"/>
    <w:rsid w:val="008721DE"/>
    <w:rsid w:val="00872243"/>
    <w:rsid w:val="0087240E"/>
    <w:rsid w:val="00872DB7"/>
    <w:rsid w:val="00874FA8"/>
    <w:rsid w:val="00875929"/>
    <w:rsid w:val="008760E2"/>
    <w:rsid w:val="00876237"/>
    <w:rsid w:val="00876872"/>
    <w:rsid w:val="008769E3"/>
    <w:rsid w:val="00876B9C"/>
    <w:rsid w:val="00876D87"/>
    <w:rsid w:val="0087777F"/>
    <w:rsid w:val="00877B9D"/>
    <w:rsid w:val="00880CCF"/>
    <w:rsid w:val="00880DCB"/>
    <w:rsid w:val="00880E4F"/>
    <w:rsid w:val="008810F2"/>
    <w:rsid w:val="008813FF"/>
    <w:rsid w:val="00881526"/>
    <w:rsid w:val="00881BD9"/>
    <w:rsid w:val="0088204D"/>
    <w:rsid w:val="00882141"/>
    <w:rsid w:val="00882351"/>
    <w:rsid w:val="0088244F"/>
    <w:rsid w:val="00882A4D"/>
    <w:rsid w:val="00882C03"/>
    <w:rsid w:val="00882DDC"/>
    <w:rsid w:val="00882F76"/>
    <w:rsid w:val="00883139"/>
    <w:rsid w:val="00883300"/>
    <w:rsid w:val="008842DC"/>
    <w:rsid w:val="00884319"/>
    <w:rsid w:val="00884C67"/>
    <w:rsid w:val="008857EF"/>
    <w:rsid w:val="00885C23"/>
    <w:rsid w:val="00885F54"/>
    <w:rsid w:val="00885FF9"/>
    <w:rsid w:val="00886071"/>
    <w:rsid w:val="0088646C"/>
    <w:rsid w:val="00886EE7"/>
    <w:rsid w:val="0088718D"/>
    <w:rsid w:val="008873C5"/>
    <w:rsid w:val="008902F0"/>
    <w:rsid w:val="00890485"/>
    <w:rsid w:val="00890540"/>
    <w:rsid w:val="00890897"/>
    <w:rsid w:val="00890A45"/>
    <w:rsid w:val="0089163E"/>
    <w:rsid w:val="00891A45"/>
    <w:rsid w:val="00891B75"/>
    <w:rsid w:val="00891CB5"/>
    <w:rsid w:val="00892B1E"/>
    <w:rsid w:val="0089304D"/>
    <w:rsid w:val="0089308A"/>
    <w:rsid w:val="00893111"/>
    <w:rsid w:val="008933A5"/>
    <w:rsid w:val="00894AF0"/>
    <w:rsid w:val="00895210"/>
    <w:rsid w:val="0089562D"/>
    <w:rsid w:val="008959FB"/>
    <w:rsid w:val="00895D71"/>
    <w:rsid w:val="00895F59"/>
    <w:rsid w:val="0089698F"/>
    <w:rsid w:val="0089713C"/>
    <w:rsid w:val="0089769C"/>
    <w:rsid w:val="008977A5"/>
    <w:rsid w:val="00897962"/>
    <w:rsid w:val="00897B37"/>
    <w:rsid w:val="00897E87"/>
    <w:rsid w:val="008A00B5"/>
    <w:rsid w:val="008A0419"/>
    <w:rsid w:val="008A05AD"/>
    <w:rsid w:val="008A068B"/>
    <w:rsid w:val="008A0F6D"/>
    <w:rsid w:val="008A0FF2"/>
    <w:rsid w:val="008A1501"/>
    <w:rsid w:val="008A1EC9"/>
    <w:rsid w:val="008A2695"/>
    <w:rsid w:val="008A297D"/>
    <w:rsid w:val="008A3392"/>
    <w:rsid w:val="008A3867"/>
    <w:rsid w:val="008A3DE5"/>
    <w:rsid w:val="008A3F42"/>
    <w:rsid w:val="008A4076"/>
    <w:rsid w:val="008A40B5"/>
    <w:rsid w:val="008A417E"/>
    <w:rsid w:val="008A4821"/>
    <w:rsid w:val="008A494B"/>
    <w:rsid w:val="008A4F7D"/>
    <w:rsid w:val="008A5147"/>
    <w:rsid w:val="008A58CA"/>
    <w:rsid w:val="008A5CD7"/>
    <w:rsid w:val="008A6373"/>
    <w:rsid w:val="008A6538"/>
    <w:rsid w:val="008A6FE1"/>
    <w:rsid w:val="008A7E66"/>
    <w:rsid w:val="008B045F"/>
    <w:rsid w:val="008B0606"/>
    <w:rsid w:val="008B0765"/>
    <w:rsid w:val="008B09B8"/>
    <w:rsid w:val="008B0D98"/>
    <w:rsid w:val="008B129D"/>
    <w:rsid w:val="008B1D3F"/>
    <w:rsid w:val="008B2B7C"/>
    <w:rsid w:val="008B2C11"/>
    <w:rsid w:val="008B2F8E"/>
    <w:rsid w:val="008B3085"/>
    <w:rsid w:val="008B3704"/>
    <w:rsid w:val="008B3A86"/>
    <w:rsid w:val="008B4050"/>
    <w:rsid w:val="008B43F2"/>
    <w:rsid w:val="008B4498"/>
    <w:rsid w:val="008B4E3F"/>
    <w:rsid w:val="008B4FD0"/>
    <w:rsid w:val="008B5509"/>
    <w:rsid w:val="008B5A92"/>
    <w:rsid w:val="008B61C0"/>
    <w:rsid w:val="008B7024"/>
    <w:rsid w:val="008B7168"/>
    <w:rsid w:val="008B7358"/>
    <w:rsid w:val="008B797F"/>
    <w:rsid w:val="008B7EFC"/>
    <w:rsid w:val="008C05A2"/>
    <w:rsid w:val="008C08B5"/>
    <w:rsid w:val="008C0CD0"/>
    <w:rsid w:val="008C1123"/>
    <w:rsid w:val="008C146F"/>
    <w:rsid w:val="008C155C"/>
    <w:rsid w:val="008C16D7"/>
    <w:rsid w:val="008C19C7"/>
    <w:rsid w:val="008C1B45"/>
    <w:rsid w:val="008C1CFF"/>
    <w:rsid w:val="008C1DAD"/>
    <w:rsid w:val="008C1E41"/>
    <w:rsid w:val="008C278A"/>
    <w:rsid w:val="008C2E42"/>
    <w:rsid w:val="008C3033"/>
    <w:rsid w:val="008C3546"/>
    <w:rsid w:val="008C3B8A"/>
    <w:rsid w:val="008C4254"/>
    <w:rsid w:val="008C4381"/>
    <w:rsid w:val="008C48BA"/>
    <w:rsid w:val="008C4C0D"/>
    <w:rsid w:val="008C4F4E"/>
    <w:rsid w:val="008C5A60"/>
    <w:rsid w:val="008C639B"/>
    <w:rsid w:val="008C679E"/>
    <w:rsid w:val="008C694F"/>
    <w:rsid w:val="008C6B2F"/>
    <w:rsid w:val="008C6C7C"/>
    <w:rsid w:val="008C6E9C"/>
    <w:rsid w:val="008C764D"/>
    <w:rsid w:val="008C7C58"/>
    <w:rsid w:val="008C7E35"/>
    <w:rsid w:val="008D0C97"/>
    <w:rsid w:val="008D0EA2"/>
    <w:rsid w:val="008D1146"/>
    <w:rsid w:val="008D1439"/>
    <w:rsid w:val="008D1530"/>
    <w:rsid w:val="008D1C01"/>
    <w:rsid w:val="008D1E5F"/>
    <w:rsid w:val="008D1E81"/>
    <w:rsid w:val="008D213A"/>
    <w:rsid w:val="008D2248"/>
    <w:rsid w:val="008D25AB"/>
    <w:rsid w:val="008D2608"/>
    <w:rsid w:val="008D28FF"/>
    <w:rsid w:val="008D2BA8"/>
    <w:rsid w:val="008D3067"/>
    <w:rsid w:val="008D34D4"/>
    <w:rsid w:val="008D390A"/>
    <w:rsid w:val="008D3DDD"/>
    <w:rsid w:val="008D40A2"/>
    <w:rsid w:val="008D40B9"/>
    <w:rsid w:val="008D428B"/>
    <w:rsid w:val="008D43D1"/>
    <w:rsid w:val="008D46D1"/>
    <w:rsid w:val="008D5739"/>
    <w:rsid w:val="008D6500"/>
    <w:rsid w:val="008D660E"/>
    <w:rsid w:val="008D6AE4"/>
    <w:rsid w:val="008D7C0D"/>
    <w:rsid w:val="008D7C77"/>
    <w:rsid w:val="008E0566"/>
    <w:rsid w:val="008E0D29"/>
    <w:rsid w:val="008E0EBE"/>
    <w:rsid w:val="008E1117"/>
    <w:rsid w:val="008E1303"/>
    <w:rsid w:val="008E1E28"/>
    <w:rsid w:val="008E20C5"/>
    <w:rsid w:val="008E29B5"/>
    <w:rsid w:val="008E2B43"/>
    <w:rsid w:val="008E2EC9"/>
    <w:rsid w:val="008E322B"/>
    <w:rsid w:val="008E374E"/>
    <w:rsid w:val="008E3846"/>
    <w:rsid w:val="008E3B38"/>
    <w:rsid w:val="008E4359"/>
    <w:rsid w:val="008E460D"/>
    <w:rsid w:val="008E49D5"/>
    <w:rsid w:val="008E4ACF"/>
    <w:rsid w:val="008E5036"/>
    <w:rsid w:val="008E5821"/>
    <w:rsid w:val="008E5CDC"/>
    <w:rsid w:val="008E5FCF"/>
    <w:rsid w:val="008E6AE6"/>
    <w:rsid w:val="008E6F77"/>
    <w:rsid w:val="008E7798"/>
    <w:rsid w:val="008E7E07"/>
    <w:rsid w:val="008F01B0"/>
    <w:rsid w:val="008F07A5"/>
    <w:rsid w:val="008F0D9B"/>
    <w:rsid w:val="008F0F09"/>
    <w:rsid w:val="008F0FA4"/>
    <w:rsid w:val="008F219F"/>
    <w:rsid w:val="008F28E6"/>
    <w:rsid w:val="008F2913"/>
    <w:rsid w:val="008F2D5E"/>
    <w:rsid w:val="008F30CC"/>
    <w:rsid w:val="008F3647"/>
    <w:rsid w:val="008F3964"/>
    <w:rsid w:val="008F3AC1"/>
    <w:rsid w:val="008F3D95"/>
    <w:rsid w:val="008F457D"/>
    <w:rsid w:val="008F468C"/>
    <w:rsid w:val="008F530C"/>
    <w:rsid w:val="008F5889"/>
    <w:rsid w:val="008F5D6F"/>
    <w:rsid w:val="008F61B9"/>
    <w:rsid w:val="008F6A33"/>
    <w:rsid w:val="008F716C"/>
    <w:rsid w:val="008F716E"/>
    <w:rsid w:val="008F7421"/>
    <w:rsid w:val="008F7488"/>
    <w:rsid w:val="0090022F"/>
    <w:rsid w:val="009013CE"/>
    <w:rsid w:val="00901DB3"/>
    <w:rsid w:val="00902BF7"/>
    <w:rsid w:val="00902FCF"/>
    <w:rsid w:val="009030C9"/>
    <w:rsid w:val="00903203"/>
    <w:rsid w:val="0090386E"/>
    <w:rsid w:val="00903972"/>
    <w:rsid w:val="00903C32"/>
    <w:rsid w:val="00904453"/>
    <w:rsid w:val="00904A61"/>
    <w:rsid w:val="00904BD5"/>
    <w:rsid w:val="00904DDF"/>
    <w:rsid w:val="009056A3"/>
    <w:rsid w:val="00905AE1"/>
    <w:rsid w:val="00905ED1"/>
    <w:rsid w:val="009060B4"/>
    <w:rsid w:val="009066B0"/>
    <w:rsid w:val="009066D5"/>
    <w:rsid w:val="00907158"/>
    <w:rsid w:val="00907223"/>
    <w:rsid w:val="009072CE"/>
    <w:rsid w:val="00907CA6"/>
    <w:rsid w:val="0091008A"/>
    <w:rsid w:val="00910235"/>
    <w:rsid w:val="00910282"/>
    <w:rsid w:val="0091085D"/>
    <w:rsid w:val="00911397"/>
    <w:rsid w:val="00911AD5"/>
    <w:rsid w:val="00913B0B"/>
    <w:rsid w:val="00913C20"/>
    <w:rsid w:val="009142BC"/>
    <w:rsid w:val="00914361"/>
    <w:rsid w:val="00914872"/>
    <w:rsid w:val="0091490A"/>
    <w:rsid w:val="00914941"/>
    <w:rsid w:val="0091497E"/>
    <w:rsid w:val="0091531F"/>
    <w:rsid w:val="0091540B"/>
    <w:rsid w:val="00915709"/>
    <w:rsid w:val="009158BF"/>
    <w:rsid w:val="00916575"/>
    <w:rsid w:val="00916716"/>
    <w:rsid w:val="00916A09"/>
    <w:rsid w:val="009175B9"/>
    <w:rsid w:val="00919300"/>
    <w:rsid w:val="009203B0"/>
    <w:rsid w:val="0092074B"/>
    <w:rsid w:val="009209B1"/>
    <w:rsid w:val="00920FBB"/>
    <w:rsid w:val="009214D1"/>
    <w:rsid w:val="00921834"/>
    <w:rsid w:val="009219F4"/>
    <w:rsid w:val="00921B86"/>
    <w:rsid w:val="00921BE3"/>
    <w:rsid w:val="00921F6C"/>
    <w:rsid w:val="009222DF"/>
    <w:rsid w:val="009228AC"/>
    <w:rsid w:val="00922B7C"/>
    <w:rsid w:val="00923BDC"/>
    <w:rsid w:val="00924761"/>
    <w:rsid w:val="00924C65"/>
    <w:rsid w:val="00924DDF"/>
    <w:rsid w:val="0092528C"/>
    <w:rsid w:val="0092556E"/>
    <w:rsid w:val="00925670"/>
    <w:rsid w:val="009256C2"/>
    <w:rsid w:val="00925990"/>
    <w:rsid w:val="00925CFE"/>
    <w:rsid w:val="009262E1"/>
    <w:rsid w:val="0092645A"/>
    <w:rsid w:val="009270BD"/>
    <w:rsid w:val="00927255"/>
    <w:rsid w:val="00927D83"/>
    <w:rsid w:val="00927EE7"/>
    <w:rsid w:val="00930323"/>
    <w:rsid w:val="00930A4A"/>
    <w:rsid w:val="00930A72"/>
    <w:rsid w:val="00930F1A"/>
    <w:rsid w:val="00930F9B"/>
    <w:rsid w:val="0093168F"/>
    <w:rsid w:val="009327B4"/>
    <w:rsid w:val="009329C4"/>
    <w:rsid w:val="00932CB2"/>
    <w:rsid w:val="00933137"/>
    <w:rsid w:val="009332B9"/>
    <w:rsid w:val="0093337B"/>
    <w:rsid w:val="009335AD"/>
    <w:rsid w:val="009337C5"/>
    <w:rsid w:val="00934225"/>
    <w:rsid w:val="009346F8"/>
    <w:rsid w:val="00934979"/>
    <w:rsid w:val="009349FF"/>
    <w:rsid w:val="00934CC5"/>
    <w:rsid w:val="0093546C"/>
    <w:rsid w:val="00935CC8"/>
    <w:rsid w:val="00935DD5"/>
    <w:rsid w:val="00935EDF"/>
    <w:rsid w:val="0093637A"/>
    <w:rsid w:val="00936528"/>
    <w:rsid w:val="00936B37"/>
    <w:rsid w:val="00936D64"/>
    <w:rsid w:val="009375CA"/>
    <w:rsid w:val="00940339"/>
    <w:rsid w:val="0094049C"/>
    <w:rsid w:val="00940710"/>
    <w:rsid w:val="00940790"/>
    <w:rsid w:val="00940AF7"/>
    <w:rsid w:val="00940B0D"/>
    <w:rsid w:val="009414CA"/>
    <w:rsid w:val="00941FA7"/>
    <w:rsid w:val="009428B5"/>
    <w:rsid w:val="0094301B"/>
    <w:rsid w:val="009430A7"/>
    <w:rsid w:val="0094323C"/>
    <w:rsid w:val="00943CA6"/>
    <w:rsid w:val="00943E3B"/>
    <w:rsid w:val="009442F8"/>
    <w:rsid w:val="00944549"/>
    <w:rsid w:val="00944DAC"/>
    <w:rsid w:val="009453C6"/>
    <w:rsid w:val="00945923"/>
    <w:rsid w:val="0094598E"/>
    <w:rsid w:val="00945A97"/>
    <w:rsid w:val="00946330"/>
    <w:rsid w:val="009467CE"/>
    <w:rsid w:val="00947740"/>
    <w:rsid w:val="009479C7"/>
    <w:rsid w:val="00950964"/>
    <w:rsid w:val="00950D7D"/>
    <w:rsid w:val="00951209"/>
    <w:rsid w:val="0095136F"/>
    <w:rsid w:val="009518AD"/>
    <w:rsid w:val="00951BF6"/>
    <w:rsid w:val="00951D59"/>
    <w:rsid w:val="009521E3"/>
    <w:rsid w:val="0095264A"/>
    <w:rsid w:val="00953165"/>
    <w:rsid w:val="009533F8"/>
    <w:rsid w:val="00953C3E"/>
    <w:rsid w:val="00954076"/>
    <w:rsid w:val="009540D5"/>
    <w:rsid w:val="00954240"/>
    <w:rsid w:val="00954ECB"/>
    <w:rsid w:val="0095517A"/>
    <w:rsid w:val="0095533F"/>
    <w:rsid w:val="009557AC"/>
    <w:rsid w:val="00955945"/>
    <w:rsid w:val="00955C11"/>
    <w:rsid w:val="00955FAF"/>
    <w:rsid w:val="0095632C"/>
    <w:rsid w:val="0095649E"/>
    <w:rsid w:val="009566AB"/>
    <w:rsid w:val="009569FB"/>
    <w:rsid w:val="009572C8"/>
    <w:rsid w:val="0095739B"/>
    <w:rsid w:val="009576F6"/>
    <w:rsid w:val="00957C55"/>
    <w:rsid w:val="00960644"/>
    <w:rsid w:val="0096100F"/>
    <w:rsid w:val="009612C8"/>
    <w:rsid w:val="00961374"/>
    <w:rsid w:val="0096174B"/>
    <w:rsid w:val="00961BEF"/>
    <w:rsid w:val="00961D7F"/>
    <w:rsid w:val="00961D85"/>
    <w:rsid w:val="00961EC6"/>
    <w:rsid w:val="0096222B"/>
    <w:rsid w:val="00962AD9"/>
    <w:rsid w:val="00962DCF"/>
    <w:rsid w:val="00963390"/>
    <w:rsid w:val="0096357E"/>
    <w:rsid w:val="0096382E"/>
    <w:rsid w:val="009639F7"/>
    <w:rsid w:val="00965264"/>
    <w:rsid w:val="009664D1"/>
    <w:rsid w:val="0096678E"/>
    <w:rsid w:val="00967455"/>
    <w:rsid w:val="009674D5"/>
    <w:rsid w:val="009700B4"/>
    <w:rsid w:val="009703AC"/>
    <w:rsid w:val="009706D7"/>
    <w:rsid w:val="0097072B"/>
    <w:rsid w:val="0097086D"/>
    <w:rsid w:val="00970953"/>
    <w:rsid w:val="0097131D"/>
    <w:rsid w:val="00971786"/>
    <w:rsid w:val="009718F0"/>
    <w:rsid w:val="009719EB"/>
    <w:rsid w:val="00971C0C"/>
    <w:rsid w:val="00971EC3"/>
    <w:rsid w:val="00971F2F"/>
    <w:rsid w:val="00972118"/>
    <w:rsid w:val="00972561"/>
    <w:rsid w:val="00972AC9"/>
    <w:rsid w:val="00972B7C"/>
    <w:rsid w:val="00972CC9"/>
    <w:rsid w:val="009735F1"/>
    <w:rsid w:val="009737C8"/>
    <w:rsid w:val="00973B52"/>
    <w:rsid w:val="009740CB"/>
    <w:rsid w:val="00974178"/>
    <w:rsid w:val="009741AE"/>
    <w:rsid w:val="009742DE"/>
    <w:rsid w:val="00975AD0"/>
    <w:rsid w:val="00975BEB"/>
    <w:rsid w:val="00975E28"/>
    <w:rsid w:val="0097648D"/>
    <w:rsid w:val="0097664F"/>
    <w:rsid w:val="009769A2"/>
    <w:rsid w:val="009771F7"/>
    <w:rsid w:val="009772D1"/>
    <w:rsid w:val="009777B4"/>
    <w:rsid w:val="00977D88"/>
    <w:rsid w:val="00980123"/>
    <w:rsid w:val="00980D69"/>
    <w:rsid w:val="00980E1A"/>
    <w:rsid w:val="00981458"/>
    <w:rsid w:val="009815C9"/>
    <w:rsid w:val="00981A94"/>
    <w:rsid w:val="00981BD2"/>
    <w:rsid w:val="00981FC5"/>
    <w:rsid w:val="0098205F"/>
    <w:rsid w:val="009822CF"/>
    <w:rsid w:val="00982303"/>
    <w:rsid w:val="0098238B"/>
    <w:rsid w:val="00982A0E"/>
    <w:rsid w:val="00982DB3"/>
    <w:rsid w:val="00983E3B"/>
    <w:rsid w:val="00983FDA"/>
    <w:rsid w:val="009851D6"/>
    <w:rsid w:val="0098549F"/>
    <w:rsid w:val="00985C82"/>
    <w:rsid w:val="00985C86"/>
    <w:rsid w:val="00985D87"/>
    <w:rsid w:val="00985FE0"/>
    <w:rsid w:val="00986A25"/>
    <w:rsid w:val="00986A4B"/>
    <w:rsid w:val="00986CAD"/>
    <w:rsid w:val="00987234"/>
    <w:rsid w:val="009873FE"/>
    <w:rsid w:val="00987C41"/>
    <w:rsid w:val="00987D0D"/>
    <w:rsid w:val="009900BD"/>
    <w:rsid w:val="009901CF"/>
    <w:rsid w:val="00990533"/>
    <w:rsid w:val="009910D6"/>
    <w:rsid w:val="009919C5"/>
    <w:rsid w:val="00991E9C"/>
    <w:rsid w:val="009923D9"/>
    <w:rsid w:val="0099255B"/>
    <w:rsid w:val="00992D21"/>
    <w:rsid w:val="00992E25"/>
    <w:rsid w:val="00993081"/>
    <w:rsid w:val="00993090"/>
    <w:rsid w:val="00993105"/>
    <w:rsid w:val="00993107"/>
    <w:rsid w:val="009932A5"/>
    <w:rsid w:val="009939F0"/>
    <w:rsid w:val="00993BF2"/>
    <w:rsid w:val="00993E01"/>
    <w:rsid w:val="00994A0E"/>
    <w:rsid w:val="00994BFC"/>
    <w:rsid w:val="00994F5A"/>
    <w:rsid w:val="00994FEB"/>
    <w:rsid w:val="009955CC"/>
    <w:rsid w:val="00995793"/>
    <w:rsid w:val="00995BDC"/>
    <w:rsid w:val="00995CCE"/>
    <w:rsid w:val="00996CDF"/>
    <w:rsid w:val="00996DC2"/>
    <w:rsid w:val="00996EC3"/>
    <w:rsid w:val="00997A72"/>
    <w:rsid w:val="00997DC8"/>
    <w:rsid w:val="009A0088"/>
    <w:rsid w:val="009A03CC"/>
    <w:rsid w:val="009A0814"/>
    <w:rsid w:val="009A09A2"/>
    <w:rsid w:val="009A0CD5"/>
    <w:rsid w:val="009A103F"/>
    <w:rsid w:val="009A227F"/>
    <w:rsid w:val="009A23A2"/>
    <w:rsid w:val="009A263C"/>
    <w:rsid w:val="009A29CA"/>
    <w:rsid w:val="009A2B82"/>
    <w:rsid w:val="009A3C08"/>
    <w:rsid w:val="009A3D39"/>
    <w:rsid w:val="009A4300"/>
    <w:rsid w:val="009A4682"/>
    <w:rsid w:val="009A495C"/>
    <w:rsid w:val="009A4BC5"/>
    <w:rsid w:val="009A4E12"/>
    <w:rsid w:val="009A6295"/>
    <w:rsid w:val="009A65D2"/>
    <w:rsid w:val="009A719E"/>
    <w:rsid w:val="009A733D"/>
    <w:rsid w:val="009A7521"/>
    <w:rsid w:val="009A7772"/>
    <w:rsid w:val="009A7A56"/>
    <w:rsid w:val="009B00A6"/>
    <w:rsid w:val="009B0158"/>
    <w:rsid w:val="009B037C"/>
    <w:rsid w:val="009B0393"/>
    <w:rsid w:val="009B05F5"/>
    <w:rsid w:val="009B06C2"/>
    <w:rsid w:val="009B0A43"/>
    <w:rsid w:val="009B0D0E"/>
    <w:rsid w:val="009B13E2"/>
    <w:rsid w:val="009B1456"/>
    <w:rsid w:val="009B1AFB"/>
    <w:rsid w:val="009B1D58"/>
    <w:rsid w:val="009B2589"/>
    <w:rsid w:val="009B28D1"/>
    <w:rsid w:val="009B2F1B"/>
    <w:rsid w:val="009B35BA"/>
    <w:rsid w:val="009B36DE"/>
    <w:rsid w:val="009B3B8C"/>
    <w:rsid w:val="009B4070"/>
    <w:rsid w:val="009B40AC"/>
    <w:rsid w:val="009B4299"/>
    <w:rsid w:val="009B4865"/>
    <w:rsid w:val="009B4AB0"/>
    <w:rsid w:val="009B4F79"/>
    <w:rsid w:val="009B50E0"/>
    <w:rsid w:val="009B5810"/>
    <w:rsid w:val="009B590B"/>
    <w:rsid w:val="009B599C"/>
    <w:rsid w:val="009B5E9E"/>
    <w:rsid w:val="009B606A"/>
    <w:rsid w:val="009B628F"/>
    <w:rsid w:val="009B6B5E"/>
    <w:rsid w:val="009B6D20"/>
    <w:rsid w:val="009B7791"/>
    <w:rsid w:val="009B7DF1"/>
    <w:rsid w:val="009C002E"/>
    <w:rsid w:val="009C008B"/>
    <w:rsid w:val="009C065C"/>
    <w:rsid w:val="009C07DC"/>
    <w:rsid w:val="009C10FD"/>
    <w:rsid w:val="009C1107"/>
    <w:rsid w:val="009C173C"/>
    <w:rsid w:val="009C19B0"/>
    <w:rsid w:val="009C1CD7"/>
    <w:rsid w:val="009C2088"/>
    <w:rsid w:val="009C2795"/>
    <w:rsid w:val="009C2ABA"/>
    <w:rsid w:val="009C2FA0"/>
    <w:rsid w:val="009C337D"/>
    <w:rsid w:val="009C3643"/>
    <w:rsid w:val="009C3771"/>
    <w:rsid w:val="009C4119"/>
    <w:rsid w:val="009C4BAE"/>
    <w:rsid w:val="009C4CB0"/>
    <w:rsid w:val="009C4F39"/>
    <w:rsid w:val="009C69F5"/>
    <w:rsid w:val="009C6A27"/>
    <w:rsid w:val="009C6B4D"/>
    <w:rsid w:val="009C6F69"/>
    <w:rsid w:val="009C6FE2"/>
    <w:rsid w:val="009C72D2"/>
    <w:rsid w:val="009D0423"/>
    <w:rsid w:val="009D0928"/>
    <w:rsid w:val="009D09DE"/>
    <w:rsid w:val="009D0D6F"/>
    <w:rsid w:val="009D177A"/>
    <w:rsid w:val="009D1934"/>
    <w:rsid w:val="009D1B75"/>
    <w:rsid w:val="009D1D58"/>
    <w:rsid w:val="009D20B3"/>
    <w:rsid w:val="009D26FE"/>
    <w:rsid w:val="009D280F"/>
    <w:rsid w:val="009D2D82"/>
    <w:rsid w:val="009D3072"/>
    <w:rsid w:val="009D331C"/>
    <w:rsid w:val="009D3586"/>
    <w:rsid w:val="009D397C"/>
    <w:rsid w:val="009D39B1"/>
    <w:rsid w:val="009D41FB"/>
    <w:rsid w:val="009D4327"/>
    <w:rsid w:val="009D4B49"/>
    <w:rsid w:val="009D50EE"/>
    <w:rsid w:val="009D54CE"/>
    <w:rsid w:val="009D56CA"/>
    <w:rsid w:val="009D6AD0"/>
    <w:rsid w:val="009D6BD1"/>
    <w:rsid w:val="009D6C8E"/>
    <w:rsid w:val="009D6F23"/>
    <w:rsid w:val="009D73F7"/>
    <w:rsid w:val="009D74D6"/>
    <w:rsid w:val="009E0563"/>
    <w:rsid w:val="009E0864"/>
    <w:rsid w:val="009E0DBC"/>
    <w:rsid w:val="009E2391"/>
    <w:rsid w:val="009E28A6"/>
    <w:rsid w:val="009E29BF"/>
    <w:rsid w:val="009E2CC7"/>
    <w:rsid w:val="009E3033"/>
    <w:rsid w:val="009E31DD"/>
    <w:rsid w:val="009E3276"/>
    <w:rsid w:val="009E3668"/>
    <w:rsid w:val="009E3BB1"/>
    <w:rsid w:val="009E3C1B"/>
    <w:rsid w:val="009E40E5"/>
    <w:rsid w:val="009E41FF"/>
    <w:rsid w:val="009E49CA"/>
    <w:rsid w:val="009E4FC1"/>
    <w:rsid w:val="009E5166"/>
    <w:rsid w:val="009E57F2"/>
    <w:rsid w:val="009E5EA0"/>
    <w:rsid w:val="009E6678"/>
    <w:rsid w:val="009E754C"/>
    <w:rsid w:val="009F04C5"/>
    <w:rsid w:val="009F069F"/>
    <w:rsid w:val="009F0840"/>
    <w:rsid w:val="009F15E6"/>
    <w:rsid w:val="009F1B79"/>
    <w:rsid w:val="009F37AE"/>
    <w:rsid w:val="009F381D"/>
    <w:rsid w:val="009F4206"/>
    <w:rsid w:val="009F4D98"/>
    <w:rsid w:val="009F4E69"/>
    <w:rsid w:val="009F5294"/>
    <w:rsid w:val="009F59FC"/>
    <w:rsid w:val="009F5A4E"/>
    <w:rsid w:val="009F5AF5"/>
    <w:rsid w:val="009F62AD"/>
    <w:rsid w:val="009F636F"/>
    <w:rsid w:val="009F6472"/>
    <w:rsid w:val="009F6874"/>
    <w:rsid w:val="009F6ED1"/>
    <w:rsid w:val="009F7358"/>
    <w:rsid w:val="009F76A5"/>
    <w:rsid w:val="009F79FC"/>
    <w:rsid w:val="00A000BD"/>
    <w:rsid w:val="00A01015"/>
    <w:rsid w:val="00A0103C"/>
    <w:rsid w:val="00A0119A"/>
    <w:rsid w:val="00A0273A"/>
    <w:rsid w:val="00A03812"/>
    <w:rsid w:val="00A03A28"/>
    <w:rsid w:val="00A03A81"/>
    <w:rsid w:val="00A04581"/>
    <w:rsid w:val="00A04928"/>
    <w:rsid w:val="00A050CB"/>
    <w:rsid w:val="00A05818"/>
    <w:rsid w:val="00A05B60"/>
    <w:rsid w:val="00A05DC9"/>
    <w:rsid w:val="00A06035"/>
    <w:rsid w:val="00A06411"/>
    <w:rsid w:val="00A067AE"/>
    <w:rsid w:val="00A06B5A"/>
    <w:rsid w:val="00A07163"/>
    <w:rsid w:val="00A07F29"/>
    <w:rsid w:val="00A1007B"/>
    <w:rsid w:val="00A10E9E"/>
    <w:rsid w:val="00A11270"/>
    <w:rsid w:val="00A1146E"/>
    <w:rsid w:val="00A11480"/>
    <w:rsid w:val="00A11549"/>
    <w:rsid w:val="00A1162E"/>
    <w:rsid w:val="00A11BFD"/>
    <w:rsid w:val="00A121A9"/>
    <w:rsid w:val="00A1244B"/>
    <w:rsid w:val="00A124BB"/>
    <w:rsid w:val="00A128BB"/>
    <w:rsid w:val="00A12E23"/>
    <w:rsid w:val="00A12E2F"/>
    <w:rsid w:val="00A13425"/>
    <w:rsid w:val="00A13FAD"/>
    <w:rsid w:val="00A1455F"/>
    <w:rsid w:val="00A146B4"/>
    <w:rsid w:val="00A148D8"/>
    <w:rsid w:val="00A14902"/>
    <w:rsid w:val="00A1491D"/>
    <w:rsid w:val="00A14CD6"/>
    <w:rsid w:val="00A14E30"/>
    <w:rsid w:val="00A151C5"/>
    <w:rsid w:val="00A154D5"/>
    <w:rsid w:val="00A15B68"/>
    <w:rsid w:val="00A167D4"/>
    <w:rsid w:val="00A16988"/>
    <w:rsid w:val="00A20087"/>
    <w:rsid w:val="00A2009F"/>
    <w:rsid w:val="00A20FD6"/>
    <w:rsid w:val="00A21083"/>
    <w:rsid w:val="00A2112C"/>
    <w:rsid w:val="00A21259"/>
    <w:rsid w:val="00A21E83"/>
    <w:rsid w:val="00A22DEE"/>
    <w:rsid w:val="00A23186"/>
    <w:rsid w:val="00A23261"/>
    <w:rsid w:val="00A23CCA"/>
    <w:rsid w:val="00A24550"/>
    <w:rsid w:val="00A24955"/>
    <w:rsid w:val="00A24965"/>
    <w:rsid w:val="00A24AE3"/>
    <w:rsid w:val="00A25A2F"/>
    <w:rsid w:val="00A25AB4"/>
    <w:rsid w:val="00A25EA4"/>
    <w:rsid w:val="00A262AD"/>
    <w:rsid w:val="00A2639C"/>
    <w:rsid w:val="00A269E3"/>
    <w:rsid w:val="00A26ADD"/>
    <w:rsid w:val="00A2717B"/>
    <w:rsid w:val="00A27600"/>
    <w:rsid w:val="00A27CBC"/>
    <w:rsid w:val="00A27CC3"/>
    <w:rsid w:val="00A27CC4"/>
    <w:rsid w:val="00A27FB3"/>
    <w:rsid w:val="00A3040C"/>
    <w:rsid w:val="00A308FD"/>
    <w:rsid w:val="00A30948"/>
    <w:rsid w:val="00A30DC9"/>
    <w:rsid w:val="00A30F08"/>
    <w:rsid w:val="00A31359"/>
    <w:rsid w:val="00A3143D"/>
    <w:rsid w:val="00A3196E"/>
    <w:rsid w:val="00A31CD8"/>
    <w:rsid w:val="00A32519"/>
    <w:rsid w:val="00A3295E"/>
    <w:rsid w:val="00A32E62"/>
    <w:rsid w:val="00A33964"/>
    <w:rsid w:val="00A34279"/>
    <w:rsid w:val="00A349E9"/>
    <w:rsid w:val="00A34DE6"/>
    <w:rsid w:val="00A354FB"/>
    <w:rsid w:val="00A356E0"/>
    <w:rsid w:val="00A35710"/>
    <w:rsid w:val="00A3576D"/>
    <w:rsid w:val="00A35C51"/>
    <w:rsid w:val="00A362FE"/>
    <w:rsid w:val="00A3665A"/>
    <w:rsid w:val="00A3692F"/>
    <w:rsid w:val="00A36AE5"/>
    <w:rsid w:val="00A36F43"/>
    <w:rsid w:val="00A375AC"/>
    <w:rsid w:val="00A37DB9"/>
    <w:rsid w:val="00A400D2"/>
    <w:rsid w:val="00A40EFA"/>
    <w:rsid w:val="00A42A67"/>
    <w:rsid w:val="00A42B23"/>
    <w:rsid w:val="00A42C20"/>
    <w:rsid w:val="00A42C4C"/>
    <w:rsid w:val="00A43096"/>
    <w:rsid w:val="00A433FC"/>
    <w:rsid w:val="00A4372A"/>
    <w:rsid w:val="00A439B9"/>
    <w:rsid w:val="00A43E8A"/>
    <w:rsid w:val="00A444E3"/>
    <w:rsid w:val="00A446F2"/>
    <w:rsid w:val="00A44A55"/>
    <w:rsid w:val="00A44AC9"/>
    <w:rsid w:val="00A44EFA"/>
    <w:rsid w:val="00A457E7"/>
    <w:rsid w:val="00A4590E"/>
    <w:rsid w:val="00A45AF8"/>
    <w:rsid w:val="00A467AC"/>
    <w:rsid w:val="00A46C11"/>
    <w:rsid w:val="00A471A3"/>
    <w:rsid w:val="00A4723A"/>
    <w:rsid w:val="00A472A8"/>
    <w:rsid w:val="00A47706"/>
    <w:rsid w:val="00A47DC1"/>
    <w:rsid w:val="00A47E1E"/>
    <w:rsid w:val="00A5008D"/>
    <w:rsid w:val="00A50101"/>
    <w:rsid w:val="00A50454"/>
    <w:rsid w:val="00A5052D"/>
    <w:rsid w:val="00A508EC"/>
    <w:rsid w:val="00A51E6C"/>
    <w:rsid w:val="00A5209D"/>
    <w:rsid w:val="00A52478"/>
    <w:rsid w:val="00A524A6"/>
    <w:rsid w:val="00A52666"/>
    <w:rsid w:val="00A5268E"/>
    <w:rsid w:val="00A52C0A"/>
    <w:rsid w:val="00A52D0B"/>
    <w:rsid w:val="00A52DD6"/>
    <w:rsid w:val="00A53028"/>
    <w:rsid w:val="00A532CC"/>
    <w:rsid w:val="00A537A8"/>
    <w:rsid w:val="00A53AE2"/>
    <w:rsid w:val="00A54190"/>
    <w:rsid w:val="00A546EF"/>
    <w:rsid w:val="00A550E1"/>
    <w:rsid w:val="00A553D0"/>
    <w:rsid w:val="00A5592A"/>
    <w:rsid w:val="00A55A7D"/>
    <w:rsid w:val="00A55A80"/>
    <w:rsid w:val="00A55C9C"/>
    <w:rsid w:val="00A564EF"/>
    <w:rsid w:val="00A56A30"/>
    <w:rsid w:val="00A56CFF"/>
    <w:rsid w:val="00A600CF"/>
    <w:rsid w:val="00A600D1"/>
    <w:rsid w:val="00A604FA"/>
    <w:rsid w:val="00A6081F"/>
    <w:rsid w:val="00A61135"/>
    <w:rsid w:val="00A612C8"/>
    <w:rsid w:val="00A6163F"/>
    <w:rsid w:val="00A61DF4"/>
    <w:rsid w:val="00A61E2F"/>
    <w:rsid w:val="00A61F9B"/>
    <w:rsid w:val="00A62176"/>
    <w:rsid w:val="00A62B16"/>
    <w:rsid w:val="00A62D6A"/>
    <w:rsid w:val="00A62DDE"/>
    <w:rsid w:val="00A636FE"/>
    <w:rsid w:val="00A6379B"/>
    <w:rsid w:val="00A63AA5"/>
    <w:rsid w:val="00A63F5C"/>
    <w:rsid w:val="00A63FE4"/>
    <w:rsid w:val="00A64258"/>
    <w:rsid w:val="00A648DC"/>
    <w:rsid w:val="00A64C3B"/>
    <w:rsid w:val="00A65057"/>
    <w:rsid w:val="00A65113"/>
    <w:rsid w:val="00A65617"/>
    <w:rsid w:val="00A65984"/>
    <w:rsid w:val="00A6615B"/>
    <w:rsid w:val="00A664AB"/>
    <w:rsid w:val="00A665FD"/>
    <w:rsid w:val="00A66A47"/>
    <w:rsid w:val="00A66C3E"/>
    <w:rsid w:val="00A66F8C"/>
    <w:rsid w:val="00A6727D"/>
    <w:rsid w:val="00A672C1"/>
    <w:rsid w:val="00A67E6E"/>
    <w:rsid w:val="00A70159"/>
    <w:rsid w:val="00A70891"/>
    <w:rsid w:val="00A70AEE"/>
    <w:rsid w:val="00A7104B"/>
    <w:rsid w:val="00A7114C"/>
    <w:rsid w:val="00A716BB"/>
    <w:rsid w:val="00A71A86"/>
    <w:rsid w:val="00A71B4E"/>
    <w:rsid w:val="00A72109"/>
    <w:rsid w:val="00A7215C"/>
    <w:rsid w:val="00A72708"/>
    <w:rsid w:val="00A7344C"/>
    <w:rsid w:val="00A73560"/>
    <w:rsid w:val="00A73C08"/>
    <w:rsid w:val="00A745F0"/>
    <w:rsid w:val="00A7556A"/>
    <w:rsid w:val="00A7559B"/>
    <w:rsid w:val="00A755C1"/>
    <w:rsid w:val="00A7569A"/>
    <w:rsid w:val="00A75A79"/>
    <w:rsid w:val="00A75AFF"/>
    <w:rsid w:val="00A75E20"/>
    <w:rsid w:val="00A75FAE"/>
    <w:rsid w:val="00A760C7"/>
    <w:rsid w:val="00A76172"/>
    <w:rsid w:val="00A76D69"/>
    <w:rsid w:val="00A77180"/>
    <w:rsid w:val="00A77232"/>
    <w:rsid w:val="00A77837"/>
    <w:rsid w:val="00A779BD"/>
    <w:rsid w:val="00A77DB8"/>
    <w:rsid w:val="00A805C6"/>
    <w:rsid w:val="00A806A2"/>
    <w:rsid w:val="00A808AB"/>
    <w:rsid w:val="00A80DAD"/>
    <w:rsid w:val="00A812A6"/>
    <w:rsid w:val="00A8139C"/>
    <w:rsid w:val="00A814A6"/>
    <w:rsid w:val="00A81835"/>
    <w:rsid w:val="00A818C6"/>
    <w:rsid w:val="00A81F7C"/>
    <w:rsid w:val="00A8241B"/>
    <w:rsid w:val="00A826C0"/>
    <w:rsid w:val="00A82792"/>
    <w:rsid w:val="00A827FC"/>
    <w:rsid w:val="00A82E5F"/>
    <w:rsid w:val="00A83205"/>
    <w:rsid w:val="00A83209"/>
    <w:rsid w:val="00A833F6"/>
    <w:rsid w:val="00A83655"/>
    <w:rsid w:val="00A837DD"/>
    <w:rsid w:val="00A8420A"/>
    <w:rsid w:val="00A84314"/>
    <w:rsid w:val="00A84EDD"/>
    <w:rsid w:val="00A85704"/>
    <w:rsid w:val="00A860B9"/>
    <w:rsid w:val="00A861D8"/>
    <w:rsid w:val="00A8691E"/>
    <w:rsid w:val="00A87928"/>
    <w:rsid w:val="00A879BD"/>
    <w:rsid w:val="00A900B4"/>
    <w:rsid w:val="00A90600"/>
    <w:rsid w:val="00A90A4E"/>
    <w:rsid w:val="00A90BEF"/>
    <w:rsid w:val="00A91071"/>
    <w:rsid w:val="00A91415"/>
    <w:rsid w:val="00A91D28"/>
    <w:rsid w:val="00A91F08"/>
    <w:rsid w:val="00A923B7"/>
    <w:rsid w:val="00A92538"/>
    <w:rsid w:val="00A92654"/>
    <w:rsid w:val="00A928BB"/>
    <w:rsid w:val="00A92950"/>
    <w:rsid w:val="00A92B5B"/>
    <w:rsid w:val="00A92DBA"/>
    <w:rsid w:val="00A92E7C"/>
    <w:rsid w:val="00A9336A"/>
    <w:rsid w:val="00A93AC0"/>
    <w:rsid w:val="00A93DF7"/>
    <w:rsid w:val="00A93FAB"/>
    <w:rsid w:val="00A9463A"/>
    <w:rsid w:val="00A94BB3"/>
    <w:rsid w:val="00A95614"/>
    <w:rsid w:val="00A95AD0"/>
    <w:rsid w:val="00A96B3D"/>
    <w:rsid w:val="00A976DC"/>
    <w:rsid w:val="00A97B7D"/>
    <w:rsid w:val="00A97C53"/>
    <w:rsid w:val="00A97D2A"/>
    <w:rsid w:val="00AA001A"/>
    <w:rsid w:val="00AA0235"/>
    <w:rsid w:val="00AA0304"/>
    <w:rsid w:val="00AA0477"/>
    <w:rsid w:val="00AA0725"/>
    <w:rsid w:val="00AA0773"/>
    <w:rsid w:val="00AA0899"/>
    <w:rsid w:val="00AA0DFC"/>
    <w:rsid w:val="00AA0E3D"/>
    <w:rsid w:val="00AA0F38"/>
    <w:rsid w:val="00AA1476"/>
    <w:rsid w:val="00AA14E3"/>
    <w:rsid w:val="00AA15A3"/>
    <w:rsid w:val="00AA1BEB"/>
    <w:rsid w:val="00AA210B"/>
    <w:rsid w:val="00AA22F3"/>
    <w:rsid w:val="00AA235C"/>
    <w:rsid w:val="00AA23F4"/>
    <w:rsid w:val="00AA29B6"/>
    <w:rsid w:val="00AA2A41"/>
    <w:rsid w:val="00AA2ABF"/>
    <w:rsid w:val="00AA3825"/>
    <w:rsid w:val="00AA3962"/>
    <w:rsid w:val="00AA3CC9"/>
    <w:rsid w:val="00AA437F"/>
    <w:rsid w:val="00AA4FDB"/>
    <w:rsid w:val="00AA500A"/>
    <w:rsid w:val="00AA5959"/>
    <w:rsid w:val="00AA5F5F"/>
    <w:rsid w:val="00AA64E8"/>
    <w:rsid w:val="00AA7758"/>
    <w:rsid w:val="00AA7BF3"/>
    <w:rsid w:val="00AB0343"/>
    <w:rsid w:val="00AB1103"/>
    <w:rsid w:val="00AB1484"/>
    <w:rsid w:val="00AB1804"/>
    <w:rsid w:val="00AB1AAE"/>
    <w:rsid w:val="00AB1B4D"/>
    <w:rsid w:val="00AB1D5B"/>
    <w:rsid w:val="00AB23EB"/>
    <w:rsid w:val="00AB2501"/>
    <w:rsid w:val="00AB2506"/>
    <w:rsid w:val="00AB2AEF"/>
    <w:rsid w:val="00AB2C41"/>
    <w:rsid w:val="00AB300B"/>
    <w:rsid w:val="00AB3087"/>
    <w:rsid w:val="00AB3142"/>
    <w:rsid w:val="00AB3A64"/>
    <w:rsid w:val="00AB3D27"/>
    <w:rsid w:val="00AB3ECF"/>
    <w:rsid w:val="00AB40F2"/>
    <w:rsid w:val="00AB41E3"/>
    <w:rsid w:val="00AB431C"/>
    <w:rsid w:val="00AB4CF8"/>
    <w:rsid w:val="00AB4E4A"/>
    <w:rsid w:val="00AB5821"/>
    <w:rsid w:val="00AB5C85"/>
    <w:rsid w:val="00AB5FD8"/>
    <w:rsid w:val="00AB6188"/>
    <w:rsid w:val="00AB65CA"/>
    <w:rsid w:val="00AB6812"/>
    <w:rsid w:val="00AB6AA4"/>
    <w:rsid w:val="00AB7542"/>
    <w:rsid w:val="00AB7879"/>
    <w:rsid w:val="00AB7F71"/>
    <w:rsid w:val="00AB7F7C"/>
    <w:rsid w:val="00AC011F"/>
    <w:rsid w:val="00AC048E"/>
    <w:rsid w:val="00AC08F5"/>
    <w:rsid w:val="00AC0CA3"/>
    <w:rsid w:val="00AC15D9"/>
    <w:rsid w:val="00AC1663"/>
    <w:rsid w:val="00AC1B34"/>
    <w:rsid w:val="00AC27E2"/>
    <w:rsid w:val="00AC2849"/>
    <w:rsid w:val="00AC2E53"/>
    <w:rsid w:val="00AC3B7B"/>
    <w:rsid w:val="00AC3F1E"/>
    <w:rsid w:val="00AC499D"/>
    <w:rsid w:val="00AC49DF"/>
    <w:rsid w:val="00AC4E66"/>
    <w:rsid w:val="00AC4FD0"/>
    <w:rsid w:val="00AC4FFB"/>
    <w:rsid w:val="00AC55B2"/>
    <w:rsid w:val="00AC5609"/>
    <w:rsid w:val="00AC5B8E"/>
    <w:rsid w:val="00AC5F7F"/>
    <w:rsid w:val="00AC605B"/>
    <w:rsid w:val="00AC611A"/>
    <w:rsid w:val="00AC6D8C"/>
    <w:rsid w:val="00AC7768"/>
    <w:rsid w:val="00AC776D"/>
    <w:rsid w:val="00AC7D13"/>
    <w:rsid w:val="00AC7FAA"/>
    <w:rsid w:val="00AD00FC"/>
    <w:rsid w:val="00AD02D6"/>
    <w:rsid w:val="00AD0648"/>
    <w:rsid w:val="00AD0C62"/>
    <w:rsid w:val="00AD1265"/>
    <w:rsid w:val="00AD15DF"/>
    <w:rsid w:val="00AD1898"/>
    <w:rsid w:val="00AD1C16"/>
    <w:rsid w:val="00AD2051"/>
    <w:rsid w:val="00AD3072"/>
    <w:rsid w:val="00AD33F6"/>
    <w:rsid w:val="00AD4239"/>
    <w:rsid w:val="00AD4358"/>
    <w:rsid w:val="00AD44A9"/>
    <w:rsid w:val="00AD47BA"/>
    <w:rsid w:val="00AD47BD"/>
    <w:rsid w:val="00AD4938"/>
    <w:rsid w:val="00AD508A"/>
    <w:rsid w:val="00AD5090"/>
    <w:rsid w:val="00AD5175"/>
    <w:rsid w:val="00AD5ADD"/>
    <w:rsid w:val="00AD6454"/>
    <w:rsid w:val="00AD66B1"/>
    <w:rsid w:val="00AD685C"/>
    <w:rsid w:val="00AD68EB"/>
    <w:rsid w:val="00AD6F83"/>
    <w:rsid w:val="00AD7D5E"/>
    <w:rsid w:val="00AE048C"/>
    <w:rsid w:val="00AE06B0"/>
    <w:rsid w:val="00AE0AD8"/>
    <w:rsid w:val="00AE15A0"/>
    <w:rsid w:val="00AE27B5"/>
    <w:rsid w:val="00AE37D3"/>
    <w:rsid w:val="00AE3B33"/>
    <w:rsid w:val="00AE3E73"/>
    <w:rsid w:val="00AE4934"/>
    <w:rsid w:val="00AE4996"/>
    <w:rsid w:val="00AE4F4F"/>
    <w:rsid w:val="00AE515C"/>
    <w:rsid w:val="00AE5164"/>
    <w:rsid w:val="00AE5429"/>
    <w:rsid w:val="00AE579A"/>
    <w:rsid w:val="00AE593D"/>
    <w:rsid w:val="00AE5A75"/>
    <w:rsid w:val="00AE5B62"/>
    <w:rsid w:val="00AE5C79"/>
    <w:rsid w:val="00AE5EF6"/>
    <w:rsid w:val="00AE62B2"/>
    <w:rsid w:val="00AE6802"/>
    <w:rsid w:val="00AE6EF7"/>
    <w:rsid w:val="00AE766F"/>
    <w:rsid w:val="00AE798C"/>
    <w:rsid w:val="00AE7E70"/>
    <w:rsid w:val="00AE7EAA"/>
    <w:rsid w:val="00AF0189"/>
    <w:rsid w:val="00AF02B9"/>
    <w:rsid w:val="00AF1CB8"/>
    <w:rsid w:val="00AF1F83"/>
    <w:rsid w:val="00AF2AD0"/>
    <w:rsid w:val="00AF2F1F"/>
    <w:rsid w:val="00AF3380"/>
    <w:rsid w:val="00AF359C"/>
    <w:rsid w:val="00AF3690"/>
    <w:rsid w:val="00AF38CA"/>
    <w:rsid w:val="00AF3EE0"/>
    <w:rsid w:val="00AF47B5"/>
    <w:rsid w:val="00AF48E3"/>
    <w:rsid w:val="00AF4979"/>
    <w:rsid w:val="00AF4A59"/>
    <w:rsid w:val="00AF4C06"/>
    <w:rsid w:val="00AF4C40"/>
    <w:rsid w:val="00AF4F21"/>
    <w:rsid w:val="00AF623A"/>
    <w:rsid w:val="00AF66D2"/>
    <w:rsid w:val="00AF6B41"/>
    <w:rsid w:val="00AF6BE5"/>
    <w:rsid w:val="00AF6D79"/>
    <w:rsid w:val="00AF6EC5"/>
    <w:rsid w:val="00AF7148"/>
    <w:rsid w:val="00AF76C9"/>
    <w:rsid w:val="00AF7F5F"/>
    <w:rsid w:val="00AF7F9E"/>
    <w:rsid w:val="00B002C1"/>
    <w:rsid w:val="00B0066A"/>
    <w:rsid w:val="00B00AE5"/>
    <w:rsid w:val="00B00C36"/>
    <w:rsid w:val="00B00E18"/>
    <w:rsid w:val="00B0104D"/>
    <w:rsid w:val="00B01AA5"/>
    <w:rsid w:val="00B02A55"/>
    <w:rsid w:val="00B02A78"/>
    <w:rsid w:val="00B03142"/>
    <w:rsid w:val="00B038B5"/>
    <w:rsid w:val="00B03CF0"/>
    <w:rsid w:val="00B044C7"/>
    <w:rsid w:val="00B04590"/>
    <w:rsid w:val="00B045CC"/>
    <w:rsid w:val="00B04C44"/>
    <w:rsid w:val="00B050C1"/>
    <w:rsid w:val="00B05440"/>
    <w:rsid w:val="00B055B0"/>
    <w:rsid w:val="00B05F25"/>
    <w:rsid w:val="00B063F1"/>
    <w:rsid w:val="00B06406"/>
    <w:rsid w:val="00B06567"/>
    <w:rsid w:val="00B065A5"/>
    <w:rsid w:val="00B06B19"/>
    <w:rsid w:val="00B06B50"/>
    <w:rsid w:val="00B07340"/>
    <w:rsid w:val="00B0775B"/>
    <w:rsid w:val="00B0784C"/>
    <w:rsid w:val="00B078D6"/>
    <w:rsid w:val="00B07AF7"/>
    <w:rsid w:val="00B07EB5"/>
    <w:rsid w:val="00B10270"/>
    <w:rsid w:val="00B102D6"/>
    <w:rsid w:val="00B10A02"/>
    <w:rsid w:val="00B110AA"/>
    <w:rsid w:val="00B112DB"/>
    <w:rsid w:val="00B117B3"/>
    <w:rsid w:val="00B126E5"/>
    <w:rsid w:val="00B12739"/>
    <w:rsid w:val="00B12C12"/>
    <w:rsid w:val="00B13110"/>
    <w:rsid w:val="00B131B5"/>
    <w:rsid w:val="00B1332D"/>
    <w:rsid w:val="00B1365F"/>
    <w:rsid w:val="00B13A86"/>
    <w:rsid w:val="00B14BC2"/>
    <w:rsid w:val="00B14D75"/>
    <w:rsid w:val="00B1543C"/>
    <w:rsid w:val="00B15A62"/>
    <w:rsid w:val="00B15E5E"/>
    <w:rsid w:val="00B15FA2"/>
    <w:rsid w:val="00B15FD1"/>
    <w:rsid w:val="00B16053"/>
    <w:rsid w:val="00B164B9"/>
    <w:rsid w:val="00B1662A"/>
    <w:rsid w:val="00B168F7"/>
    <w:rsid w:val="00B16C43"/>
    <w:rsid w:val="00B16C7F"/>
    <w:rsid w:val="00B17177"/>
    <w:rsid w:val="00B17B29"/>
    <w:rsid w:val="00B17B37"/>
    <w:rsid w:val="00B17DB0"/>
    <w:rsid w:val="00B20171"/>
    <w:rsid w:val="00B209E7"/>
    <w:rsid w:val="00B216DC"/>
    <w:rsid w:val="00B21E69"/>
    <w:rsid w:val="00B21E82"/>
    <w:rsid w:val="00B2272C"/>
    <w:rsid w:val="00B22D2E"/>
    <w:rsid w:val="00B2300E"/>
    <w:rsid w:val="00B23E4F"/>
    <w:rsid w:val="00B23E90"/>
    <w:rsid w:val="00B23EB3"/>
    <w:rsid w:val="00B23F67"/>
    <w:rsid w:val="00B2405A"/>
    <w:rsid w:val="00B24154"/>
    <w:rsid w:val="00B24317"/>
    <w:rsid w:val="00B24715"/>
    <w:rsid w:val="00B25189"/>
    <w:rsid w:val="00B252DF"/>
    <w:rsid w:val="00B25653"/>
    <w:rsid w:val="00B25B00"/>
    <w:rsid w:val="00B26A27"/>
    <w:rsid w:val="00B2760E"/>
    <w:rsid w:val="00B27851"/>
    <w:rsid w:val="00B2798D"/>
    <w:rsid w:val="00B30669"/>
    <w:rsid w:val="00B314DD"/>
    <w:rsid w:val="00B31DB6"/>
    <w:rsid w:val="00B3296A"/>
    <w:rsid w:val="00B3296E"/>
    <w:rsid w:val="00B32C68"/>
    <w:rsid w:val="00B32D63"/>
    <w:rsid w:val="00B34309"/>
    <w:rsid w:val="00B3437C"/>
    <w:rsid w:val="00B34885"/>
    <w:rsid w:val="00B34965"/>
    <w:rsid w:val="00B34AB9"/>
    <w:rsid w:val="00B34F5F"/>
    <w:rsid w:val="00B3589C"/>
    <w:rsid w:val="00B35EA0"/>
    <w:rsid w:val="00B375E0"/>
    <w:rsid w:val="00B37D22"/>
    <w:rsid w:val="00B4021F"/>
    <w:rsid w:val="00B406A4"/>
    <w:rsid w:val="00B40B5C"/>
    <w:rsid w:val="00B40E7B"/>
    <w:rsid w:val="00B41295"/>
    <w:rsid w:val="00B412D7"/>
    <w:rsid w:val="00B415D2"/>
    <w:rsid w:val="00B4184E"/>
    <w:rsid w:val="00B42693"/>
    <w:rsid w:val="00B429CE"/>
    <w:rsid w:val="00B42C6D"/>
    <w:rsid w:val="00B42F79"/>
    <w:rsid w:val="00B42FFA"/>
    <w:rsid w:val="00B4327A"/>
    <w:rsid w:val="00B4365A"/>
    <w:rsid w:val="00B43C72"/>
    <w:rsid w:val="00B44246"/>
    <w:rsid w:val="00B4427D"/>
    <w:rsid w:val="00B44D17"/>
    <w:rsid w:val="00B45669"/>
    <w:rsid w:val="00B45972"/>
    <w:rsid w:val="00B45B6E"/>
    <w:rsid w:val="00B45DCA"/>
    <w:rsid w:val="00B4637E"/>
    <w:rsid w:val="00B46836"/>
    <w:rsid w:val="00B469B1"/>
    <w:rsid w:val="00B46E3B"/>
    <w:rsid w:val="00B46F5A"/>
    <w:rsid w:val="00B47090"/>
    <w:rsid w:val="00B477C2"/>
    <w:rsid w:val="00B478AE"/>
    <w:rsid w:val="00B47C0D"/>
    <w:rsid w:val="00B50291"/>
    <w:rsid w:val="00B5044B"/>
    <w:rsid w:val="00B50BF3"/>
    <w:rsid w:val="00B513EC"/>
    <w:rsid w:val="00B51479"/>
    <w:rsid w:val="00B51516"/>
    <w:rsid w:val="00B517D9"/>
    <w:rsid w:val="00B51ADC"/>
    <w:rsid w:val="00B51C75"/>
    <w:rsid w:val="00B51FC7"/>
    <w:rsid w:val="00B520FA"/>
    <w:rsid w:val="00B52201"/>
    <w:rsid w:val="00B52A8C"/>
    <w:rsid w:val="00B530F3"/>
    <w:rsid w:val="00B5320B"/>
    <w:rsid w:val="00B53366"/>
    <w:rsid w:val="00B53522"/>
    <w:rsid w:val="00B54652"/>
    <w:rsid w:val="00B54D48"/>
    <w:rsid w:val="00B5508C"/>
    <w:rsid w:val="00B55108"/>
    <w:rsid w:val="00B55196"/>
    <w:rsid w:val="00B5584E"/>
    <w:rsid w:val="00B56163"/>
    <w:rsid w:val="00B561C9"/>
    <w:rsid w:val="00B56334"/>
    <w:rsid w:val="00B565D0"/>
    <w:rsid w:val="00B56A79"/>
    <w:rsid w:val="00B56D42"/>
    <w:rsid w:val="00B574AF"/>
    <w:rsid w:val="00B57963"/>
    <w:rsid w:val="00B60775"/>
    <w:rsid w:val="00B60860"/>
    <w:rsid w:val="00B60902"/>
    <w:rsid w:val="00B60F6B"/>
    <w:rsid w:val="00B611FB"/>
    <w:rsid w:val="00B61E8B"/>
    <w:rsid w:val="00B6218C"/>
    <w:rsid w:val="00B6239F"/>
    <w:rsid w:val="00B62A91"/>
    <w:rsid w:val="00B62BAF"/>
    <w:rsid w:val="00B63B6A"/>
    <w:rsid w:val="00B63CB8"/>
    <w:rsid w:val="00B63E58"/>
    <w:rsid w:val="00B647FD"/>
    <w:rsid w:val="00B649FD"/>
    <w:rsid w:val="00B65BE5"/>
    <w:rsid w:val="00B65E97"/>
    <w:rsid w:val="00B66266"/>
    <w:rsid w:val="00B6642D"/>
    <w:rsid w:val="00B664CB"/>
    <w:rsid w:val="00B668CE"/>
    <w:rsid w:val="00B6695C"/>
    <w:rsid w:val="00B66B07"/>
    <w:rsid w:val="00B66B7B"/>
    <w:rsid w:val="00B66CB2"/>
    <w:rsid w:val="00B674CE"/>
    <w:rsid w:val="00B70B54"/>
    <w:rsid w:val="00B70D00"/>
    <w:rsid w:val="00B7105F"/>
    <w:rsid w:val="00B71986"/>
    <w:rsid w:val="00B719A7"/>
    <w:rsid w:val="00B71BFA"/>
    <w:rsid w:val="00B72130"/>
    <w:rsid w:val="00B725D2"/>
    <w:rsid w:val="00B729B8"/>
    <w:rsid w:val="00B7343A"/>
    <w:rsid w:val="00B73D9B"/>
    <w:rsid w:val="00B73F34"/>
    <w:rsid w:val="00B742D8"/>
    <w:rsid w:val="00B74CB6"/>
    <w:rsid w:val="00B75A3F"/>
    <w:rsid w:val="00B75ED5"/>
    <w:rsid w:val="00B761DF"/>
    <w:rsid w:val="00B76219"/>
    <w:rsid w:val="00B765C7"/>
    <w:rsid w:val="00B7686B"/>
    <w:rsid w:val="00B771BE"/>
    <w:rsid w:val="00B77332"/>
    <w:rsid w:val="00B77E27"/>
    <w:rsid w:val="00B77FC4"/>
    <w:rsid w:val="00B80017"/>
    <w:rsid w:val="00B80115"/>
    <w:rsid w:val="00B804E0"/>
    <w:rsid w:val="00B806A4"/>
    <w:rsid w:val="00B81864"/>
    <w:rsid w:val="00B81E4A"/>
    <w:rsid w:val="00B81E72"/>
    <w:rsid w:val="00B83235"/>
    <w:rsid w:val="00B8357A"/>
    <w:rsid w:val="00B849A3"/>
    <w:rsid w:val="00B84CEB"/>
    <w:rsid w:val="00B851ED"/>
    <w:rsid w:val="00B85AF9"/>
    <w:rsid w:val="00B86C95"/>
    <w:rsid w:val="00B86F3A"/>
    <w:rsid w:val="00B87404"/>
    <w:rsid w:val="00B87D9F"/>
    <w:rsid w:val="00B90521"/>
    <w:rsid w:val="00B90BF4"/>
    <w:rsid w:val="00B910EA"/>
    <w:rsid w:val="00B912AA"/>
    <w:rsid w:val="00B913F0"/>
    <w:rsid w:val="00B91DF7"/>
    <w:rsid w:val="00B9217D"/>
    <w:rsid w:val="00B92C70"/>
    <w:rsid w:val="00B92CE6"/>
    <w:rsid w:val="00B92F78"/>
    <w:rsid w:val="00B93767"/>
    <w:rsid w:val="00B939C8"/>
    <w:rsid w:val="00B93E61"/>
    <w:rsid w:val="00B9405F"/>
    <w:rsid w:val="00B9416D"/>
    <w:rsid w:val="00B9441C"/>
    <w:rsid w:val="00B9448B"/>
    <w:rsid w:val="00B94627"/>
    <w:rsid w:val="00B94B58"/>
    <w:rsid w:val="00B9574F"/>
    <w:rsid w:val="00B959C1"/>
    <w:rsid w:val="00B95A0D"/>
    <w:rsid w:val="00B9607A"/>
    <w:rsid w:val="00B9607F"/>
    <w:rsid w:val="00B960ED"/>
    <w:rsid w:val="00B96A83"/>
    <w:rsid w:val="00B96D1D"/>
    <w:rsid w:val="00B9772D"/>
    <w:rsid w:val="00B97E42"/>
    <w:rsid w:val="00B97EC9"/>
    <w:rsid w:val="00BA05F7"/>
    <w:rsid w:val="00BA0C90"/>
    <w:rsid w:val="00BA0FF4"/>
    <w:rsid w:val="00BA117B"/>
    <w:rsid w:val="00BA1624"/>
    <w:rsid w:val="00BA1F22"/>
    <w:rsid w:val="00BA1F5E"/>
    <w:rsid w:val="00BA230D"/>
    <w:rsid w:val="00BA2E46"/>
    <w:rsid w:val="00BA47C5"/>
    <w:rsid w:val="00BA4D38"/>
    <w:rsid w:val="00BA4E21"/>
    <w:rsid w:val="00BA571D"/>
    <w:rsid w:val="00BA5BF6"/>
    <w:rsid w:val="00BA5D7B"/>
    <w:rsid w:val="00BA601C"/>
    <w:rsid w:val="00BA6357"/>
    <w:rsid w:val="00BA63A9"/>
    <w:rsid w:val="00BA64BD"/>
    <w:rsid w:val="00BA6573"/>
    <w:rsid w:val="00BA7006"/>
    <w:rsid w:val="00BA718C"/>
    <w:rsid w:val="00BA730D"/>
    <w:rsid w:val="00BA7898"/>
    <w:rsid w:val="00BA7972"/>
    <w:rsid w:val="00BA7E4B"/>
    <w:rsid w:val="00BB00C0"/>
    <w:rsid w:val="00BB073E"/>
    <w:rsid w:val="00BB0A8E"/>
    <w:rsid w:val="00BB0A93"/>
    <w:rsid w:val="00BB0D37"/>
    <w:rsid w:val="00BB1056"/>
    <w:rsid w:val="00BB116A"/>
    <w:rsid w:val="00BB14A9"/>
    <w:rsid w:val="00BB1836"/>
    <w:rsid w:val="00BB214D"/>
    <w:rsid w:val="00BB2195"/>
    <w:rsid w:val="00BB22ED"/>
    <w:rsid w:val="00BB2799"/>
    <w:rsid w:val="00BB279E"/>
    <w:rsid w:val="00BB3B17"/>
    <w:rsid w:val="00BB3E78"/>
    <w:rsid w:val="00BB3EBD"/>
    <w:rsid w:val="00BB3F81"/>
    <w:rsid w:val="00BB44C2"/>
    <w:rsid w:val="00BB481F"/>
    <w:rsid w:val="00BB4D5B"/>
    <w:rsid w:val="00BB4DD8"/>
    <w:rsid w:val="00BB520E"/>
    <w:rsid w:val="00BB567B"/>
    <w:rsid w:val="00BB57CD"/>
    <w:rsid w:val="00BB60D5"/>
    <w:rsid w:val="00BB6153"/>
    <w:rsid w:val="00BB667A"/>
    <w:rsid w:val="00BB6760"/>
    <w:rsid w:val="00BB6A45"/>
    <w:rsid w:val="00BB7061"/>
    <w:rsid w:val="00BB7169"/>
    <w:rsid w:val="00BB73F3"/>
    <w:rsid w:val="00BB742C"/>
    <w:rsid w:val="00BB75E1"/>
    <w:rsid w:val="00BB7BB5"/>
    <w:rsid w:val="00BB7E34"/>
    <w:rsid w:val="00BC0238"/>
    <w:rsid w:val="00BC07EE"/>
    <w:rsid w:val="00BC142D"/>
    <w:rsid w:val="00BC1C32"/>
    <w:rsid w:val="00BC1FC1"/>
    <w:rsid w:val="00BC28F0"/>
    <w:rsid w:val="00BC2D49"/>
    <w:rsid w:val="00BC3022"/>
    <w:rsid w:val="00BC3DCA"/>
    <w:rsid w:val="00BC4F03"/>
    <w:rsid w:val="00BC562E"/>
    <w:rsid w:val="00BC58FA"/>
    <w:rsid w:val="00BC5B1A"/>
    <w:rsid w:val="00BC5E31"/>
    <w:rsid w:val="00BC657C"/>
    <w:rsid w:val="00BC73E8"/>
    <w:rsid w:val="00BC77AC"/>
    <w:rsid w:val="00BC7ABE"/>
    <w:rsid w:val="00BD0057"/>
    <w:rsid w:val="00BD0165"/>
    <w:rsid w:val="00BD0373"/>
    <w:rsid w:val="00BD0695"/>
    <w:rsid w:val="00BD06C4"/>
    <w:rsid w:val="00BD08EC"/>
    <w:rsid w:val="00BD0E6C"/>
    <w:rsid w:val="00BD0FEA"/>
    <w:rsid w:val="00BD15CD"/>
    <w:rsid w:val="00BD162C"/>
    <w:rsid w:val="00BD1763"/>
    <w:rsid w:val="00BD1DC3"/>
    <w:rsid w:val="00BD231B"/>
    <w:rsid w:val="00BD2898"/>
    <w:rsid w:val="00BD29D6"/>
    <w:rsid w:val="00BD2B2C"/>
    <w:rsid w:val="00BD2D85"/>
    <w:rsid w:val="00BD349A"/>
    <w:rsid w:val="00BD3AFC"/>
    <w:rsid w:val="00BD3DF5"/>
    <w:rsid w:val="00BD4703"/>
    <w:rsid w:val="00BD4F54"/>
    <w:rsid w:val="00BD54C1"/>
    <w:rsid w:val="00BD57F9"/>
    <w:rsid w:val="00BD5873"/>
    <w:rsid w:val="00BD59AE"/>
    <w:rsid w:val="00BD5A4F"/>
    <w:rsid w:val="00BD6277"/>
    <w:rsid w:val="00BD7539"/>
    <w:rsid w:val="00BD75A2"/>
    <w:rsid w:val="00BD78C3"/>
    <w:rsid w:val="00BD7AEC"/>
    <w:rsid w:val="00BD7FAE"/>
    <w:rsid w:val="00BE012D"/>
    <w:rsid w:val="00BE060D"/>
    <w:rsid w:val="00BE0796"/>
    <w:rsid w:val="00BE0AEB"/>
    <w:rsid w:val="00BE0D3C"/>
    <w:rsid w:val="00BE1228"/>
    <w:rsid w:val="00BE13ED"/>
    <w:rsid w:val="00BE1441"/>
    <w:rsid w:val="00BE15A5"/>
    <w:rsid w:val="00BE26B5"/>
    <w:rsid w:val="00BE282B"/>
    <w:rsid w:val="00BE2CC6"/>
    <w:rsid w:val="00BE2F19"/>
    <w:rsid w:val="00BE3185"/>
    <w:rsid w:val="00BE3B82"/>
    <w:rsid w:val="00BE420D"/>
    <w:rsid w:val="00BE45B4"/>
    <w:rsid w:val="00BE45EB"/>
    <w:rsid w:val="00BE46C8"/>
    <w:rsid w:val="00BE4A5A"/>
    <w:rsid w:val="00BE4C1C"/>
    <w:rsid w:val="00BE557B"/>
    <w:rsid w:val="00BE579D"/>
    <w:rsid w:val="00BE5DB7"/>
    <w:rsid w:val="00BE5FEA"/>
    <w:rsid w:val="00BE63C3"/>
    <w:rsid w:val="00BE7430"/>
    <w:rsid w:val="00BE757D"/>
    <w:rsid w:val="00BE7BB7"/>
    <w:rsid w:val="00BE7BD2"/>
    <w:rsid w:val="00BE7EA0"/>
    <w:rsid w:val="00BF0085"/>
    <w:rsid w:val="00BF02DA"/>
    <w:rsid w:val="00BF0319"/>
    <w:rsid w:val="00BF07B1"/>
    <w:rsid w:val="00BF0B72"/>
    <w:rsid w:val="00BF0E06"/>
    <w:rsid w:val="00BF16F0"/>
    <w:rsid w:val="00BF193F"/>
    <w:rsid w:val="00BF1CC9"/>
    <w:rsid w:val="00BF20BB"/>
    <w:rsid w:val="00BF2186"/>
    <w:rsid w:val="00BF2720"/>
    <w:rsid w:val="00BF2CF7"/>
    <w:rsid w:val="00BF3392"/>
    <w:rsid w:val="00BF3734"/>
    <w:rsid w:val="00BF4359"/>
    <w:rsid w:val="00BF4827"/>
    <w:rsid w:val="00BF49A1"/>
    <w:rsid w:val="00BF4AD7"/>
    <w:rsid w:val="00BF4B05"/>
    <w:rsid w:val="00BF4C55"/>
    <w:rsid w:val="00BF4EEA"/>
    <w:rsid w:val="00BF4F4C"/>
    <w:rsid w:val="00BF5BD3"/>
    <w:rsid w:val="00BF5CD0"/>
    <w:rsid w:val="00BF5EAB"/>
    <w:rsid w:val="00BF6153"/>
    <w:rsid w:val="00BF62CE"/>
    <w:rsid w:val="00BF639B"/>
    <w:rsid w:val="00BF6E0F"/>
    <w:rsid w:val="00BF7504"/>
    <w:rsid w:val="00BF7BF1"/>
    <w:rsid w:val="00BF7EEA"/>
    <w:rsid w:val="00C000CB"/>
    <w:rsid w:val="00C00282"/>
    <w:rsid w:val="00C00579"/>
    <w:rsid w:val="00C00699"/>
    <w:rsid w:val="00C00CCE"/>
    <w:rsid w:val="00C019F4"/>
    <w:rsid w:val="00C01BC2"/>
    <w:rsid w:val="00C01C70"/>
    <w:rsid w:val="00C024C2"/>
    <w:rsid w:val="00C03372"/>
    <w:rsid w:val="00C04631"/>
    <w:rsid w:val="00C05C5F"/>
    <w:rsid w:val="00C0615D"/>
    <w:rsid w:val="00C06474"/>
    <w:rsid w:val="00C0653B"/>
    <w:rsid w:val="00C06B57"/>
    <w:rsid w:val="00C06D08"/>
    <w:rsid w:val="00C07756"/>
    <w:rsid w:val="00C07B8D"/>
    <w:rsid w:val="00C07D4E"/>
    <w:rsid w:val="00C07F90"/>
    <w:rsid w:val="00C10491"/>
    <w:rsid w:val="00C1068B"/>
    <w:rsid w:val="00C106B0"/>
    <w:rsid w:val="00C106E5"/>
    <w:rsid w:val="00C11091"/>
    <w:rsid w:val="00C1151D"/>
    <w:rsid w:val="00C1223C"/>
    <w:rsid w:val="00C125D4"/>
    <w:rsid w:val="00C1268C"/>
    <w:rsid w:val="00C12B08"/>
    <w:rsid w:val="00C12DA3"/>
    <w:rsid w:val="00C130C7"/>
    <w:rsid w:val="00C13975"/>
    <w:rsid w:val="00C14170"/>
    <w:rsid w:val="00C1461F"/>
    <w:rsid w:val="00C146FF"/>
    <w:rsid w:val="00C14A98"/>
    <w:rsid w:val="00C14FA1"/>
    <w:rsid w:val="00C15225"/>
    <w:rsid w:val="00C15D03"/>
    <w:rsid w:val="00C1613C"/>
    <w:rsid w:val="00C1646C"/>
    <w:rsid w:val="00C1665B"/>
    <w:rsid w:val="00C169F9"/>
    <w:rsid w:val="00C16FBA"/>
    <w:rsid w:val="00C1759B"/>
    <w:rsid w:val="00C1795D"/>
    <w:rsid w:val="00C179F5"/>
    <w:rsid w:val="00C17BBD"/>
    <w:rsid w:val="00C17E0C"/>
    <w:rsid w:val="00C17F5E"/>
    <w:rsid w:val="00C21505"/>
    <w:rsid w:val="00C2156B"/>
    <w:rsid w:val="00C2184C"/>
    <w:rsid w:val="00C21C7C"/>
    <w:rsid w:val="00C21D24"/>
    <w:rsid w:val="00C22315"/>
    <w:rsid w:val="00C22546"/>
    <w:rsid w:val="00C229A1"/>
    <w:rsid w:val="00C229FF"/>
    <w:rsid w:val="00C22C3F"/>
    <w:rsid w:val="00C22E64"/>
    <w:rsid w:val="00C2379F"/>
    <w:rsid w:val="00C2406B"/>
    <w:rsid w:val="00C244EF"/>
    <w:rsid w:val="00C24A39"/>
    <w:rsid w:val="00C24CE5"/>
    <w:rsid w:val="00C25036"/>
    <w:rsid w:val="00C250BA"/>
    <w:rsid w:val="00C2515F"/>
    <w:rsid w:val="00C25185"/>
    <w:rsid w:val="00C2571E"/>
    <w:rsid w:val="00C257C0"/>
    <w:rsid w:val="00C2585A"/>
    <w:rsid w:val="00C258AB"/>
    <w:rsid w:val="00C25FE6"/>
    <w:rsid w:val="00C2619F"/>
    <w:rsid w:val="00C2629C"/>
    <w:rsid w:val="00C269D1"/>
    <w:rsid w:val="00C26C95"/>
    <w:rsid w:val="00C26CFC"/>
    <w:rsid w:val="00C270C0"/>
    <w:rsid w:val="00C274F7"/>
    <w:rsid w:val="00C277B6"/>
    <w:rsid w:val="00C27AF4"/>
    <w:rsid w:val="00C27C8F"/>
    <w:rsid w:val="00C27FB9"/>
    <w:rsid w:val="00C301E6"/>
    <w:rsid w:val="00C30315"/>
    <w:rsid w:val="00C3048F"/>
    <w:rsid w:val="00C3055E"/>
    <w:rsid w:val="00C30575"/>
    <w:rsid w:val="00C309C8"/>
    <w:rsid w:val="00C30C3A"/>
    <w:rsid w:val="00C30E7B"/>
    <w:rsid w:val="00C30EDA"/>
    <w:rsid w:val="00C313EB"/>
    <w:rsid w:val="00C31545"/>
    <w:rsid w:val="00C318F1"/>
    <w:rsid w:val="00C31E9E"/>
    <w:rsid w:val="00C31F40"/>
    <w:rsid w:val="00C320BB"/>
    <w:rsid w:val="00C32199"/>
    <w:rsid w:val="00C3269C"/>
    <w:rsid w:val="00C32A11"/>
    <w:rsid w:val="00C336ED"/>
    <w:rsid w:val="00C33C3B"/>
    <w:rsid w:val="00C3425C"/>
    <w:rsid w:val="00C34877"/>
    <w:rsid w:val="00C34C26"/>
    <w:rsid w:val="00C34DE0"/>
    <w:rsid w:val="00C35C4A"/>
    <w:rsid w:val="00C362FD"/>
    <w:rsid w:val="00C36854"/>
    <w:rsid w:val="00C36DA5"/>
    <w:rsid w:val="00C36F34"/>
    <w:rsid w:val="00C370B4"/>
    <w:rsid w:val="00C37252"/>
    <w:rsid w:val="00C373AD"/>
    <w:rsid w:val="00C3748D"/>
    <w:rsid w:val="00C37965"/>
    <w:rsid w:val="00C40067"/>
    <w:rsid w:val="00C40476"/>
    <w:rsid w:val="00C4071A"/>
    <w:rsid w:val="00C41C51"/>
    <w:rsid w:val="00C42315"/>
    <w:rsid w:val="00C42F3C"/>
    <w:rsid w:val="00C43275"/>
    <w:rsid w:val="00C4327E"/>
    <w:rsid w:val="00C4383A"/>
    <w:rsid w:val="00C442F0"/>
    <w:rsid w:val="00C443F3"/>
    <w:rsid w:val="00C44E9C"/>
    <w:rsid w:val="00C45561"/>
    <w:rsid w:val="00C4557E"/>
    <w:rsid w:val="00C46666"/>
    <w:rsid w:val="00C46C8F"/>
    <w:rsid w:val="00C474CF"/>
    <w:rsid w:val="00C47543"/>
    <w:rsid w:val="00C47592"/>
    <w:rsid w:val="00C47BFB"/>
    <w:rsid w:val="00C47EBC"/>
    <w:rsid w:val="00C5011B"/>
    <w:rsid w:val="00C50347"/>
    <w:rsid w:val="00C50431"/>
    <w:rsid w:val="00C51116"/>
    <w:rsid w:val="00C519DB"/>
    <w:rsid w:val="00C520E2"/>
    <w:rsid w:val="00C52173"/>
    <w:rsid w:val="00C52732"/>
    <w:rsid w:val="00C52A8D"/>
    <w:rsid w:val="00C53167"/>
    <w:rsid w:val="00C53426"/>
    <w:rsid w:val="00C535AB"/>
    <w:rsid w:val="00C535B9"/>
    <w:rsid w:val="00C537DD"/>
    <w:rsid w:val="00C53AE2"/>
    <w:rsid w:val="00C53B8A"/>
    <w:rsid w:val="00C54730"/>
    <w:rsid w:val="00C54F32"/>
    <w:rsid w:val="00C55CDF"/>
    <w:rsid w:val="00C55FF1"/>
    <w:rsid w:val="00C56402"/>
    <w:rsid w:val="00C56FC7"/>
    <w:rsid w:val="00C5701E"/>
    <w:rsid w:val="00C573DB"/>
    <w:rsid w:val="00C57D87"/>
    <w:rsid w:val="00C60173"/>
    <w:rsid w:val="00C608BF"/>
    <w:rsid w:val="00C609AA"/>
    <w:rsid w:val="00C61063"/>
    <w:rsid w:val="00C6129A"/>
    <w:rsid w:val="00C61582"/>
    <w:rsid w:val="00C615E2"/>
    <w:rsid w:val="00C6178D"/>
    <w:rsid w:val="00C61803"/>
    <w:rsid w:val="00C61B51"/>
    <w:rsid w:val="00C622FA"/>
    <w:rsid w:val="00C6250E"/>
    <w:rsid w:val="00C62514"/>
    <w:rsid w:val="00C6256B"/>
    <w:rsid w:val="00C62BEA"/>
    <w:rsid w:val="00C62DBD"/>
    <w:rsid w:val="00C63037"/>
    <w:rsid w:val="00C63286"/>
    <w:rsid w:val="00C63AFA"/>
    <w:rsid w:val="00C6436D"/>
    <w:rsid w:val="00C64DBA"/>
    <w:rsid w:val="00C64E6E"/>
    <w:rsid w:val="00C64E8C"/>
    <w:rsid w:val="00C651B4"/>
    <w:rsid w:val="00C654BB"/>
    <w:rsid w:val="00C6584F"/>
    <w:rsid w:val="00C65A6E"/>
    <w:rsid w:val="00C65B1A"/>
    <w:rsid w:val="00C65D22"/>
    <w:rsid w:val="00C65D27"/>
    <w:rsid w:val="00C65D68"/>
    <w:rsid w:val="00C661EA"/>
    <w:rsid w:val="00C6630C"/>
    <w:rsid w:val="00C669D8"/>
    <w:rsid w:val="00C66E46"/>
    <w:rsid w:val="00C671B3"/>
    <w:rsid w:val="00C671C8"/>
    <w:rsid w:val="00C673AE"/>
    <w:rsid w:val="00C67775"/>
    <w:rsid w:val="00C6778E"/>
    <w:rsid w:val="00C67C21"/>
    <w:rsid w:val="00C67F89"/>
    <w:rsid w:val="00C70562"/>
    <w:rsid w:val="00C70D21"/>
    <w:rsid w:val="00C714FE"/>
    <w:rsid w:val="00C7163E"/>
    <w:rsid w:val="00C729B5"/>
    <w:rsid w:val="00C72B21"/>
    <w:rsid w:val="00C72F66"/>
    <w:rsid w:val="00C73229"/>
    <w:rsid w:val="00C73495"/>
    <w:rsid w:val="00C73694"/>
    <w:rsid w:val="00C736DD"/>
    <w:rsid w:val="00C73F7B"/>
    <w:rsid w:val="00C7487E"/>
    <w:rsid w:val="00C74FB6"/>
    <w:rsid w:val="00C752F6"/>
    <w:rsid w:val="00C75D8F"/>
    <w:rsid w:val="00C764E0"/>
    <w:rsid w:val="00C77175"/>
    <w:rsid w:val="00C778AC"/>
    <w:rsid w:val="00C77D68"/>
    <w:rsid w:val="00C80318"/>
    <w:rsid w:val="00C80EDD"/>
    <w:rsid w:val="00C8111D"/>
    <w:rsid w:val="00C8161B"/>
    <w:rsid w:val="00C81C20"/>
    <w:rsid w:val="00C83539"/>
    <w:rsid w:val="00C83753"/>
    <w:rsid w:val="00C844F5"/>
    <w:rsid w:val="00C84744"/>
    <w:rsid w:val="00C848A9"/>
    <w:rsid w:val="00C84954"/>
    <w:rsid w:val="00C849A5"/>
    <w:rsid w:val="00C8520C"/>
    <w:rsid w:val="00C85597"/>
    <w:rsid w:val="00C8572C"/>
    <w:rsid w:val="00C85F01"/>
    <w:rsid w:val="00C85F7D"/>
    <w:rsid w:val="00C8609B"/>
    <w:rsid w:val="00C86354"/>
    <w:rsid w:val="00C8668C"/>
    <w:rsid w:val="00C86A63"/>
    <w:rsid w:val="00C86F11"/>
    <w:rsid w:val="00C870C7"/>
    <w:rsid w:val="00C87922"/>
    <w:rsid w:val="00C87E0B"/>
    <w:rsid w:val="00C903A1"/>
    <w:rsid w:val="00C9064A"/>
    <w:rsid w:val="00C90922"/>
    <w:rsid w:val="00C9139A"/>
    <w:rsid w:val="00C9177B"/>
    <w:rsid w:val="00C926F7"/>
    <w:rsid w:val="00C92D06"/>
    <w:rsid w:val="00C92DD6"/>
    <w:rsid w:val="00C92ED5"/>
    <w:rsid w:val="00C93814"/>
    <w:rsid w:val="00C93D36"/>
    <w:rsid w:val="00C94039"/>
    <w:rsid w:val="00C94417"/>
    <w:rsid w:val="00C944A5"/>
    <w:rsid w:val="00C952D4"/>
    <w:rsid w:val="00C9585A"/>
    <w:rsid w:val="00C95C0E"/>
    <w:rsid w:val="00C96349"/>
    <w:rsid w:val="00C967F4"/>
    <w:rsid w:val="00C96B50"/>
    <w:rsid w:val="00C96DBE"/>
    <w:rsid w:val="00C96E8F"/>
    <w:rsid w:val="00C97606"/>
    <w:rsid w:val="00CA0474"/>
    <w:rsid w:val="00CA0DFE"/>
    <w:rsid w:val="00CA0E50"/>
    <w:rsid w:val="00CA1772"/>
    <w:rsid w:val="00CA1BE0"/>
    <w:rsid w:val="00CA1E10"/>
    <w:rsid w:val="00CA1E3F"/>
    <w:rsid w:val="00CA242F"/>
    <w:rsid w:val="00CA2590"/>
    <w:rsid w:val="00CA28B1"/>
    <w:rsid w:val="00CA29BA"/>
    <w:rsid w:val="00CA2ACC"/>
    <w:rsid w:val="00CA2F7A"/>
    <w:rsid w:val="00CA31A2"/>
    <w:rsid w:val="00CA3396"/>
    <w:rsid w:val="00CA3CFE"/>
    <w:rsid w:val="00CA3F2F"/>
    <w:rsid w:val="00CA3FBC"/>
    <w:rsid w:val="00CA469D"/>
    <w:rsid w:val="00CA488E"/>
    <w:rsid w:val="00CA51AF"/>
    <w:rsid w:val="00CA5212"/>
    <w:rsid w:val="00CA5678"/>
    <w:rsid w:val="00CA5BB5"/>
    <w:rsid w:val="00CA61FA"/>
    <w:rsid w:val="00CA6A29"/>
    <w:rsid w:val="00CA6BF4"/>
    <w:rsid w:val="00CA7016"/>
    <w:rsid w:val="00CA7053"/>
    <w:rsid w:val="00CA70ED"/>
    <w:rsid w:val="00CA7740"/>
    <w:rsid w:val="00CA791B"/>
    <w:rsid w:val="00CA791C"/>
    <w:rsid w:val="00CA7C9F"/>
    <w:rsid w:val="00CA7FCE"/>
    <w:rsid w:val="00CA7FE9"/>
    <w:rsid w:val="00CB01F2"/>
    <w:rsid w:val="00CB021F"/>
    <w:rsid w:val="00CB0531"/>
    <w:rsid w:val="00CB0739"/>
    <w:rsid w:val="00CB0873"/>
    <w:rsid w:val="00CB09CE"/>
    <w:rsid w:val="00CB0A3C"/>
    <w:rsid w:val="00CB0C7F"/>
    <w:rsid w:val="00CB1024"/>
    <w:rsid w:val="00CB1326"/>
    <w:rsid w:val="00CB19BC"/>
    <w:rsid w:val="00CB1E83"/>
    <w:rsid w:val="00CB1F2C"/>
    <w:rsid w:val="00CB2189"/>
    <w:rsid w:val="00CB2AE5"/>
    <w:rsid w:val="00CB2C8B"/>
    <w:rsid w:val="00CB2F06"/>
    <w:rsid w:val="00CB3845"/>
    <w:rsid w:val="00CB3C0C"/>
    <w:rsid w:val="00CB3C29"/>
    <w:rsid w:val="00CB3D3E"/>
    <w:rsid w:val="00CB45B3"/>
    <w:rsid w:val="00CB4BCC"/>
    <w:rsid w:val="00CB5097"/>
    <w:rsid w:val="00CB5610"/>
    <w:rsid w:val="00CB57D6"/>
    <w:rsid w:val="00CB599B"/>
    <w:rsid w:val="00CB5D30"/>
    <w:rsid w:val="00CB5DA9"/>
    <w:rsid w:val="00CB616E"/>
    <w:rsid w:val="00CB6AE1"/>
    <w:rsid w:val="00CB6D05"/>
    <w:rsid w:val="00CB6FB1"/>
    <w:rsid w:val="00CB72E5"/>
    <w:rsid w:val="00CB7798"/>
    <w:rsid w:val="00CB787C"/>
    <w:rsid w:val="00CC0242"/>
    <w:rsid w:val="00CC0FA1"/>
    <w:rsid w:val="00CC15BC"/>
    <w:rsid w:val="00CC1FDC"/>
    <w:rsid w:val="00CC220E"/>
    <w:rsid w:val="00CC229D"/>
    <w:rsid w:val="00CC2324"/>
    <w:rsid w:val="00CC24D3"/>
    <w:rsid w:val="00CC2552"/>
    <w:rsid w:val="00CC2A82"/>
    <w:rsid w:val="00CC3A19"/>
    <w:rsid w:val="00CC3E85"/>
    <w:rsid w:val="00CC4542"/>
    <w:rsid w:val="00CC48F8"/>
    <w:rsid w:val="00CC4D4F"/>
    <w:rsid w:val="00CC4E2B"/>
    <w:rsid w:val="00CC5392"/>
    <w:rsid w:val="00CC5EFE"/>
    <w:rsid w:val="00CC618B"/>
    <w:rsid w:val="00CC6880"/>
    <w:rsid w:val="00CC6E69"/>
    <w:rsid w:val="00CC6EA4"/>
    <w:rsid w:val="00CC6F8E"/>
    <w:rsid w:val="00CC70A9"/>
    <w:rsid w:val="00CC7254"/>
    <w:rsid w:val="00CC7996"/>
    <w:rsid w:val="00CC7CCA"/>
    <w:rsid w:val="00CC7FBE"/>
    <w:rsid w:val="00CD0BC1"/>
    <w:rsid w:val="00CD1A71"/>
    <w:rsid w:val="00CD1E48"/>
    <w:rsid w:val="00CD1FBD"/>
    <w:rsid w:val="00CD225D"/>
    <w:rsid w:val="00CD2321"/>
    <w:rsid w:val="00CD232D"/>
    <w:rsid w:val="00CD287D"/>
    <w:rsid w:val="00CD2A93"/>
    <w:rsid w:val="00CD3A00"/>
    <w:rsid w:val="00CD3D78"/>
    <w:rsid w:val="00CD3EA2"/>
    <w:rsid w:val="00CD45EF"/>
    <w:rsid w:val="00CD45F6"/>
    <w:rsid w:val="00CD4823"/>
    <w:rsid w:val="00CD4A4D"/>
    <w:rsid w:val="00CD4CA1"/>
    <w:rsid w:val="00CD4D21"/>
    <w:rsid w:val="00CD4D72"/>
    <w:rsid w:val="00CD5384"/>
    <w:rsid w:val="00CD5386"/>
    <w:rsid w:val="00CD5703"/>
    <w:rsid w:val="00CD5B27"/>
    <w:rsid w:val="00CD5FAF"/>
    <w:rsid w:val="00CD6BC5"/>
    <w:rsid w:val="00CD7841"/>
    <w:rsid w:val="00CE038D"/>
    <w:rsid w:val="00CE0481"/>
    <w:rsid w:val="00CE0A26"/>
    <w:rsid w:val="00CE0C2C"/>
    <w:rsid w:val="00CE0ECF"/>
    <w:rsid w:val="00CE0F8B"/>
    <w:rsid w:val="00CE0FBA"/>
    <w:rsid w:val="00CE13E2"/>
    <w:rsid w:val="00CE1464"/>
    <w:rsid w:val="00CE1528"/>
    <w:rsid w:val="00CE1A0B"/>
    <w:rsid w:val="00CE2459"/>
    <w:rsid w:val="00CE2ECD"/>
    <w:rsid w:val="00CE3B7C"/>
    <w:rsid w:val="00CE4547"/>
    <w:rsid w:val="00CE4595"/>
    <w:rsid w:val="00CE45BD"/>
    <w:rsid w:val="00CE4830"/>
    <w:rsid w:val="00CE4924"/>
    <w:rsid w:val="00CE4D1D"/>
    <w:rsid w:val="00CE4EAD"/>
    <w:rsid w:val="00CE5D1B"/>
    <w:rsid w:val="00CE5D43"/>
    <w:rsid w:val="00CE5F81"/>
    <w:rsid w:val="00CE636D"/>
    <w:rsid w:val="00CE695C"/>
    <w:rsid w:val="00CE69A8"/>
    <w:rsid w:val="00CE6A60"/>
    <w:rsid w:val="00CE6AAC"/>
    <w:rsid w:val="00CE6B6D"/>
    <w:rsid w:val="00CE7070"/>
    <w:rsid w:val="00CE70EB"/>
    <w:rsid w:val="00CE7229"/>
    <w:rsid w:val="00CE7A1D"/>
    <w:rsid w:val="00CF0146"/>
    <w:rsid w:val="00CF018F"/>
    <w:rsid w:val="00CF0524"/>
    <w:rsid w:val="00CF06A0"/>
    <w:rsid w:val="00CF0796"/>
    <w:rsid w:val="00CF081E"/>
    <w:rsid w:val="00CF0A4A"/>
    <w:rsid w:val="00CF136C"/>
    <w:rsid w:val="00CF281B"/>
    <w:rsid w:val="00CF286C"/>
    <w:rsid w:val="00CF29F5"/>
    <w:rsid w:val="00CF2DBE"/>
    <w:rsid w:val="00CF3603"/>
    <w:rsid w:val="00CF37E0"/>
    <w:rsid w:val="00CF3914"/>
    <w:rsid w:val="00CF3C14"/>
    <w:rsid w:val="00CF44AE"/>
    <w:rsid w:val="00CF4845"/>
    <w:rsid w:val="00CF4ABA"/>
    <w:rsid w:val="00CF4B2B"/>
    <w:rsid w:val="00CF4E45"/>
    <w:rsid w:val="00CF500F"/>
    <w:rsid w:val="00CF503B"/>
    <w:rsid w:val="00CF5125"/>
    <w:rsid w:val="00CF533E"/>
    <w:rsid w:val="00CF5A58"/>
    <w:rsid w:val="00CF5D48"/>
    <w:rsid w:val="00CF6152"/>
    <w:rsid w:val="00CF66ED"/>
    <w:rsid w:val="00CF69C7"/>
    <w:rsid w:val="00CF7774"/>
    <w:rsid w:val="00CF797D"/>
    <w:rsid w:val="00D00F38"/>
    <w:rsid w:val="00D013A4"/>
    <w:rsid w:val="00D01947"/>
    <w:rsid w:val="00D019A0"/>
    <w:rsid w:val="00D01DBE"/>
    <w:rsid w:val="00D02E38"/>
    <w:rsid w:val="00D03631"/>
    <w:rsid w:val="00D0385F"/>
    <w:rsid w:val="00D04142"/>
    <w:rsid w:val="00D043D0"/>
    <w:rsid w:val="00D04A30"/>
    <w:rsid w:val="00D04EC2"/>
    <w:rsid w:val="00D05019"/>
    <w:rsid w:val="00D05097"/>
    <w:rsid w:val="00D05298"/>
    <w:rsid w:val="00D058DD"/>
    <w:rsid w:val="00D05B16"/>
    <w:rsid w:val="00D06278"/>
    <w:rsid w:val="00D06675"/>
    <w:rsid w:val="00D06C0E"/>
    <w:rsid w:val="00D07087"/>
    <w:rsid w:val="00D07A7B"/>
    <w:rsid w:val="00D1014A"/>
    <w:rsid w:val="00D10152"/>
    <w:rsid w:val="00D1017B"/>
    <w:rsid w:val="00D105CF"/>
    <w:rsid w:val="00D10732"/>
    <w:rsid w:val="00D10B91"/>
    <w:rsid w:val="00D111FD"/>
    <w:rsid w:val="00D11405"/>
    <w:rsid w:val="00D11A6C"/>
    <w:rsid w:val="00D11D32"/>
    <w:rsid w:val="00D12471"/>
    <w:rsid w:val="00D12BAF"/>
    <w:rsid w:val="00D130FC"/>
    <w:rsid w:val="00D13108"/>
    <w:rsid w:val="00D1353A"/>
    <w:rsid w:val="00D13BF5"/>
    <w:rsid w:val="00D13E07"/>
    <w:rsid w:val="00D14E91"/>
    <w:rsid w:val="00D15D6D"/>
    <w:rsid w:val="00D163BE"/>
    <w:rsid w:val="00D16648"/>
    <w:rsid w:val="00D16818"/>
    <w:rsid w:val="00D1694B"/>
    <w:rsid w:val="00D16D4F"/>
    <w:rsid w:val="00D17018"/>
    <w:rsid w:val="00D17B33"/>
    <w:rsid w:val="00D17B3E"/>
    <w:rsid w:val="00D17D09"/>
    <w:rsid w:val="00D17FE9"/>
    <w:rsid w:val="00D204AD"/>
    <w:rsid w:val="00D2096A"/>
    <w:rsid w:val="00D21094"/>
    <w:rsid w:val="00D2124E"/>
    <w:rsid w:val="00D212A5"/>
    <w:rsid w:val="00D2145C"/>
    <w:rsid w:val="00D21AEA"/>
    <w:rsid w:val="00D223B6"/>
    <w:rsid w:val="00D22DFB"/>
    <w:rsid w:val="00D2321E"/>
    <w:rsid w:val="00D23693"/>
    <w:rsid w:val="00D2384F"/>
    <w:rsid w:val="00D23A26"/>
    <w:rsid w:val="00D23B1E"/>
    <w:rsid w:val="00D23C1E"/>
    <w:rsid w:val="00D23F2E"/>
    <w:rsid w:val="00D24455"/>
    <w:rsid w:val="00D24997"/>
    <w:rsid w:val="00D253A7"/>
    <w:rsid w:val="00D259C9"/>
    <w:rsid w:val="00D25B37"/>
    <w:rsid w:val="00D25DFF"/>
    <w:rsid w:val="00D25F0E"/>
    <w:rsid w:val="00D26107"/>
    <w:rsid w:val="00D2628B"/>
    <w:rsid w:val="00D26588"/>
    <w:rsid w:val="00D26AA3"/>
    <w:rsid w:val="00D2752B"/>
    <w:rsid w:val="00D27638"/>
    <w:rsid w:val="00D3024C"/>
    <w:rsid w:val="00D3027B"/>
    <w:rsid w:val="00D30466"/>
    <w:rsid w:val="00D30834"/>
    <w:rsid w:val="00D30D8E"/>
    <w:rsid w:val="00D3216E"/>
    <w:rsid w:val="00D3216F"/>
    <w:rsid w:val="00D321C0"/>
    <w:rsid w:val="00D321DD"/>
    <w:rsid w:val="00D3226A"/>
    <w:rsid w:val="00D323BB"/>
    <w:rsid w:val="00D3253C"/>
    <w:rsid w:val="00D326A8"/>
    <w:rsid w:val="00D32713"/>
    <w:rsid w:val="00D327C3"/>
    <w:rsid w:val="00D3282D"/>
    <w:rsid w:val="00D3286D"/>
    <w:rsid w:val="00D32966"/>
    <w:rsid w:val="00D329A0"/>
    <w:rsid w:val="00D32AD8"/>
    <w:rsid w:val="00D32FDC"/>
    <w:rsid w:val="00D330B1"/>
    <w:rsid w:val="00D33710"/>
    <w:rsid w:val="00D33A75"/>
    <w:rsid w:val="00D33C13"/>
    <w:rsid w:val="00D34218"/>
    <w:rsid w:val="00D342F6"/>
    <w:rsid w:val="00D34C4B"/>
    <w:rsid w:val="00D35712"/>
    <w:rsid w:val="00D362A9"/>
    <w:rsid w:val="00D36A74"/>
    <w:rsid w:val="00D375A7"/>
    <w:rsid w:val="00D3795B"/>
    <w:rsid w:val="00D37D7B"/>
    <w:rsid w:val="00D40301"/>
    <w:rsid w:val="00D406FC"/>
    <w:rsid w:val="00D40E0E"/>
    <w:rsid w:val="00D414C9"/>
    <w:rsid w:val="00D41DAF"/>
    <w:rsid w:val="00D42359"/>
    <w:rsid w:val="00D429A3"/>
    <w:rsid w:val="00D42F90"/>
    <w:rsid w:val="00D436E3"/>
    <w:rsid w:val="00D43B0D"/>
    <w:rsid w:val="00D442EA"/>
    <w:rsid w:val="00D44480"/>
    <w:rsid w:val="00D44838"/>
    <w:rsid w:val="00D449DB"/>
    <w:rsid w:val="00D44E53"/>
    <w:rsid w:val="00D45761"/>
    <w:rsid w:val="00D4578C"/>
    <w:rsid w:val="00D45901"/>
    <w:rsid w:val="00D46364"/>
    <w:rsid w:val="00D465FE"/>
    <w:rsid w:val="00D46BD9"/>
    <w:rsid w:val="00D46EC1"/>
    <w:rsid w:val="00D46FE2"/>
    <w:rsid w:val="00D4724D"/>
    <w:rsid w:val="00D473A6"/>
    <w:rsid w:val="00D4769F"/>
    <w:rsid w:val="00D4791B"/>
    <w:rsid w:val="00D50133"/>
    <w:rsid w:val="00D50257"/>
    <w:rsid w:val="00D507A0"/>
    <w:rsid w:val="00D50CF4"/>
    <w:rsid w:val="00D51003"/>
    <w:rsid w:val="00D510BF"/>
    <w:rsid w:val="00D510D3"/>
    <w:rsid w:val="00D51BDF"/>
    <w:rsid w:val="00D51D53"/>
    <w:rsid w:val="00D51D6F"/>
    <w:rsid w:val="00D520FE"/>
    <w:rsid w:val="00D5242D"/>
    <w:rsid w:val="00D52654"/>
    <w:rsid w:val="00D52AB0"/>
    <w:rsid w:val="00D530E3"/>
    <w:rsid w:val="00D53A14"/>
    <w:rsid w:val="00D53DDD"/>
    <w:rsid w:val="00D53F3B"/>
    <w:rsid w:val="00D543C5"/>
    <w:rsid w:val="00D568BA"/>
    <w:rsid w:val="00D56C16"/>
    <w:rsid w:val="00D56D89"/>
    <w:rsid w:val="00D571D7"/>
    <w:rsid w:val="00D5724B"/>
    <w:rsid w:val="00D57648"/>
    <w:rsid w:val="00D603DB"/>
    <w:rsid w:val="00D6051F"/>
    <w:rsid w:val="00D6061D"/>
    <w:rsid w:val="00D606F9"/>
    <w:rsid w:val="00D6098E"/>
    <w:rsid w:val="00D61037"/>
    <w:rsid w:val="00D613CC"/>
    <w:rsid w:val="00D61FA4"/>
    <w:rsid w:val="00D622B9"/>
    <w:rsid w:val="00D624E1"/>
    <w:rsid w:val="00D627DD"/>
    <w:rsid w:val="00D62DB0"/>
    <w:rsid w:val="00D62E4B"/>
    <w:rsid w:val="00D63B46"/>
    <w:rsid w:val="00D63DC1"/>
    <w:rsid w:val="00D63F24"/>
    <w:rsid w:val="00D6485C"/>
    <w:rsid w:val="00D64CD6"/>
    <w:rsid w:val="00D6525B"/>
    <w:rsid w:val="00D65A29"/>
    <w:rsid w:val="00D65BBA"/>
    <w:rsid w:val="00D6609F"/>
    <w:rsid w:val="00D661A8"/>
    <w:rsid w:val="00D668B4"/>
    <w:rsid w:val="00D66C57"/>
    <w:rsid w:val="00D66CAA"/>
    <w:rsid w:val="00D66CDC"/>
    <w:rsid w:val="00D67052"/>
    <w:rsid w:val="00D67702"/>
    <w:rsid w:val="00D67976"/>
    <w:rsid w:val="00D67D38"/>
    <w:rsid w:val="00D70CDE"/>
    <w:rsid w:val="00D71113"/>
    <w:rsid w:val="00D71DA2"/>
    <w:rsid w:val="00D72187"/>
    <w:rsid w:val="00D727D2"/>
    <w:rsid w:val="00D729EE"/>
    <w:rsid w:val="00D72ACE"/>
    <w:rsid w:val="00D72C45"/>
    <w:rsid w:val="00D733B8"/>
    <w:rsid w:val="00D74128"/>
    <w:rsid w:val="00D74294"/>
    <w:rsid w:val="00D75430"/>
    <w:rsid w:val="00D75679"/>
    <w:rsid w:val="00D75C79"/>
    <w:rsid w:val="00D76266"/>
    <w:rsid w:val="00D76495"/>
    <w:rsid w:val="00D764CE"/>
    <w:rsid w:val="00D766CF"/>
    <w:rsid w:val="00D76A87"/>
    <w:rsid w:val="00D76FA6"/>
    <w:rsid w:val="00D771EB"/>
    <w:rsid w:val="00D77286"/>
    <w:rsid w:val="00D77365"/>
    <w:rsid w:val="00D77737"/>
    <w:rsid w:val="00D77ACE"/>
    <w:rsid w:val="00D77D84"/>
    <w:rsid w:val="00D77EFB"/>
    <w:rsid w:val="00D80C80"/>
    <w:rsid w:val="00D80D79"/>
    <w:rsid w:val="00D8148F"/>
    <w:rsid w:val="00D818DE"/>
    <w:rsid w:val="00D81BB0"/>
    <w:rsid w:val="00D82509"/>
    <w:rsid w:val="00D82831"/>
    <w:rsid w:val="00D82C20"/>
    <w:rsid w:val="00D83727"/>
    <w:rsid w:val="00D8377F"/>
    <w:rsid w:val="00D83AE2"/>
    <w:rsid w:val="00D83B48"/>
    <w:rsid w:val="00D842B6"/>
    <w:rsid w:val="00D846AD"/>
    <w:rsid w:val="00D84874"/>
    <w:rsid w:val="00D85061"/>
    <w:rsid w:val="00D852A8"/>
    <w:rsid w:val="00D852E5"/>
    <w:rsid w:val="00D8535E"/>
    <w:rsid w:val="00D85771"/>
    <w:rsid w:val="00D85BD2"/>
    <w:rsid w:val="00D8632E"/>
    <w:rsid w:val="00D8649E"/>
    <w:rsid w:val="00D868E0"/>
    <w:rsid w:val="00D86B02"/>
    <w:rsid w:val="00D86CB7"/>
    <w:rsid w:val="00D87123"/>
    <w:rsid w:val="00D87227"/>
    <w:rsid w:val="00D874CD"/>
    <w:rsid w:val="00D874F8"/>
    <w:rsid w:val="00D878DE"/>
    <w:rsid w:val="00D9036F"/>
    <w:rsid w:val="00D90D42"/>
    <w:rsid w:val="00D9163C"/>
    <w:rsid w:val="00D91E41"/>
    <w:rsid w:val="00D9233B"/>
    <w:rsid w:val="00D92594"/>
    <w:rsid w:val="00D9289D"/>
    <w:rsid w:val="00D92B12"/>
    <w:rsid w:val="00D92F43"/>
    <w:rsid w:val="00D934C6"/>
    <w:rsid w:val="00D93C5E"/>
    <w:rsid w:val="00D93DC3"/>
    <w:rsid w:val="00D93DD8"/>
    <w:rsid w:val="00D93EE5"/>
    <w:rsid w:val="00D94446"/>
    <w:rsid w:val="00D94564"/>
    <w:rsid w:val="00D94575"/>
    <w:rsid w:val="00D94766"/>
    <w:rsid w:val="00D94BBC"/>
    <w:rsid w:val="00D95C3D"/>
    <w:rsid w:val="00D96355"/>
    <w:rsid w:val="00D96E94"/>
    <w:rsid w:val="00D96FF2"/>
    <w:rsid w:val="00DA00E4"/>
    <w:rsid w:val="00DA086F"/>
    <w:rsid w:val="00DA1A65"/>
    <w:rsid w:val="00DA250E"/>
    <w:rsid w:val="00DA275C"/>
    <w:rsid w:val="00DA2AE3"/>
    <w:rsid w:val="00DA309C"/>
    <w:rsid w:val="00DA3DFA"/>
    <w:rsid w:val="00DA404A"/>
    <w:rsid w:val="00DA4653"/>
    <w:rsid w:val="00DA51BA"/>
    <w:rsid w:val="00DA525F"/>
    <w:rsid w:val="00DA5464"/>
    <w:rsid w:val="00DA613C"/>
    <w:rsid w:val="00DA61AD"/>
    <w:rsid w:val="00DA6578"/>
    <w:rsid w:val="00DA7675"/>
    <w:rsid w:val="00DA7C13"/>
    <w:rsid w:val="00DA7DC1"/>
    <w:rsid w:val="00DB064F"/>
    <w:rsid w:val="00DB0959"/>
    <w:rsid w:val="00DB0DF3"/>
    <w:rsid w:val="00DB0E0C"/>
    <w:rsid w:val="00DB0F70"/>
    <w:rsid w:val="00DB120E"/>
    <w:rsid w:val="00DB1526"/>
    <w:rsid w:val="00DB1672"/>
    <w:rsid w:val="00DB1859"/>
    <w:rsid w:val="00DB1E6B"/>
    <w:rsid w:val="00DB1F64"/>
    <w:rsid w:val="00DB3E31"/>
    <w:rsid w:val="00DB4046"/>
    <w:rsid w:val="00DB442E"/>
    <w:rsid w:val="00DB46CF"/>
    <w:rsid w:val="00DB47DD"/>
    <w:rsid w:val="00DB5246"/>
    <w:rsid w:val="00DB5611"/>
    <w:rsid w:val="00DB5858"/>
    <w:rsid w:val="00DB5AC2"/>
    <w:rsid w:val="00DB5B8B"/>
    <w:rsid w:val="00DB5EB1"/>
    <w:rsid w:val="00DB6061"/>
    <w:rsid w:val="00DB7417"/>
    <w:rsid w:val="00DB74D2"/>
    <w:rsid w:val="00DB7775"/>
    <w:rsid w:val="00DB7B8B"/>
    <w:rsid w:val="00DC0065"/>
    <w:rsid w:val="00DC0904"/>
    <w:rsid w:val="00DC11D0"/>
    <w:rsid w:val="00DC1304"/>
    <w:rsid w:val="00DC166E"/>
    <w:rsid w:val="00DC1968"/>
    <w:rsid w:val="00DC2146"/>
    <w:rsid w:val="00DC22C2"/>
    <w:rsid w:val="00DC26AF"/>
    <w:rsid w:val="00DC299A"/>
    <w:rsid w:val="00DC32BD"/>
    <w:rsid w:val="00DC3495"/>
    <w:rsid w:val="00DC3810"/>
    <w:rsid w:val="00DC3C4D"/>
    <w:rsid w:val="00DC42D1"/>
    <w:rsid w:val="00DC4CCD"/>
    <w:rsid w:val="00DC5042"/>
    <w:rsid w:val="00DC559F"/>
    <w:rsid w:val="00DC5BCD"/>
    <w:rsid w:val="00DC5FEF"/>
    <w:rsid w:val="00DC73D2"/>
    <w:rsid w:val="00DC7932"/>
    <w:rsid w:val="00DC79D0"/>
    <w:rsid w:val="00DC79F9"/>
    <w:rsid w:val="00DC7B02"/>
    <w:rsid w:val="00DD0045"/>
    <w:rsid w:val="00DD0058"/>
    <w:rsid w:val="00DD012F"/>
    <w:rsid w:val="00DD03C6"/>
    <w:rsid w:val="00DD0424"/>
    <w:rsid w:val="00DD1858"/>
    <w:rsid w:val="00DD1EF6"/>
    <w:rsid w:val="00DD1FDF"/>
    <w:rsid w:val="00DD20ED"/>
    <w:rsid w:val="00DD2201"/>
    <w:rsid w:val="00DD2659"/>
    <w:rsid w:val="00DD291E"/>
    <w:rsid w:val="00DD298F"/>
    <w:rsid w:val="00DD3070"/>
    <w:rsid w:val="00DD337F"/>
    <w:rsid w:val="00DD437F"/>
    <w:rsid w:val="00DD4433"/>
    <w:rsid w:val="00DD49F2"/>
    <w:rsid w:val="00DD567F"/>
    <w:rsid w:val="00DD5A18"/>
    <w:rsid w:val="00DD6415"/>
    <w:rsid w:val="00DD6536"/>
    <w:rsid w:val="00DD6DF2"/>
    <w:rsid w:val="00DD7395"/>
    <w:rsid w:val="00DD73D5"/>
    <w:rsid w:val="00DD7D6D"/>
    <w:rsid w:val="00DE0309"/>
    <w:rsid w:val="00DE0966"/>
    <w:rsid w:val="00DE1461"/>
    <w:rsid w:val="00DE166B"/>
    <w:rsid w:val="00DE1862"/>
    <w:rsid w:val="00DE21A6"/>
    <w:rsid w:val="00DE21BA"/>
    <w:rsid w:val="00DE2A3F"/>
    <w:rsid w:val="00DE2B7C"/>
    <w:rsid w:val="00DE2D14"/>
    <w:rsid w:val="00DE2DEB"/>
    <w:rsid w:val="00DE3224"/>
    <w:rsid w:val="00DE332C"/>
    <w:rsid w:val="00DE334F"/>
    <w:rsid w:val="00DE3F45"/>
    <w:rsid w:val="00DE4390"/>
    <w:rsid w:val="00DE47D1"/>
    <w:rsid w:val="00DE491D"/>
    <w:rsid w:val="00DE4ABB"/>
    <w:rsid w:val="00DE50E4"/>
    <w:rsid w:val="00DE50F5"/>
    <w:rsid w:val="00DE5F3A"/>
    <w:rsid w:val="00DE6D1D"/>
    <w:rsid w:val="00DE7209"/>
    <w:rsid w:val="00DE72AF"/>
    <w:rsid w:val="00DE79BE"/>
    <w:rsid w:val="00DE7D59"/>
    <w:rsid w:val="00DE7DE8"/>
    <w:rsid w:val="00DF0207"/>
    <w:rsid w:val="00DF1FE3"/>
    <w:rsid w:val="00DF2FE0"/>
    <w:rsid w:val="00DF3571"/>
    <w:rsid w:val="00DF375A"/>
    <w:rsid w:val="00DF37F3"/>
    <w:rsid w:val="00DF3CC4"/>
    <w:rsid w:val="00DF402A"/>
    <w:rsid w:val="00DF40ED"/>
    <w:rsid w:val="00DF4566"/>
    <w:rsid w:val="00DF4B22"/>
    <w:rsid w:val="00DF4C0F"/>
    <w:rsid w:val="00DF4C78"/>
    <w:rsid w:val="00DF50F4"/>
    <w:rsid w:val="00DF5541"/>
    <w:rsid w:val="00DF5AD3"/>
    <w:rsid w:val="00DF65BA"/>
    <w:rsid w:val="00DF7325"/>
    <w:rsid w:val="00DF764E"/>
    <w:rsid w:val="00DF78BA"/>
    <w:rsid w:val="00DF7A00"/>
    <w:rsid w:val="00E00046"/>
    <w:rsid w:val="00E02999"/>
    <w:rsid w:val="00E02CE5"/>
    <w:rsid w:val="00E02F23"/>
    <w:rsid w:val="00E037AE"/>
    <w:rsid w:val="00E03A66"/>
    <w:rsid w:val="00E03B9C"/>
    <w:rsid w:val="00E043C7"/>
    <w:rsid w:val="00E04578"/>
    <w:rsid w:val="00E04B4D"/>
    <w:rsid w:val="00E04DFD"/>
    <w:rsid w:val="00E05166"/>
    <w:rsid w:val="00E051CA"/>
    <w:rsid w:val="00E0539A"/>
    <w:rsid w:val="00E05C1D"/>
    <w:rsid w:val="00E06021"/>
    <w:rsid w:val="00E060B7"/>
    <w:rsid w:val="00E06393"/>
    <w:rsid w:val="00E066C6"/>
    <w:rsid w:val="00E0680C"/>
    <w:rsid w:val="00E06913"/>
    <w:rsid w:val="00E06DC9"/>
    <w:rsid w:val="00E0704C"/>
    <w:rsid w:val="00E070A8"/>
    <w:rsid w:val="00E0759A"/>
    <w:rsid w:val="00E07E15"/>
    <w:rsid w:val="00E07E6C"/>
    <w:rsid w:val="00E10A31"/>
    <w:rsid w:val="00E11027"/>
    <w:rsid w:val="00E112E6"/>
    <w:rsid w:val="00E113B3"/>
    <w:rsid w:val="00E1142E"/>
    <w:rsid w:val="00E11CEB"/>
    <w:rsid w:val="00E121EF"/>
    <w:rsid w:val="00E12399"/>
    <w:rsid w:val="00E12601"/>
    <w:rsid w:val="00E12769"/>
    <w:rsid w:val="00E12B3B"/>
    <w:rsid w:val="00E13398"/>
    <w:rsid w:val="00E13B58"/>
    <w:rsid w:val="00E13C82"/>
    <w:rsid w:val="00E13DA5"/>
    <w:rsid w:val="00E1433D"/>
    <w:rsid w:val="00E149C1"/>
    <w:rsid w:val="00E15210"/>
    <w:rsid w:val="00E15438"/>
    <w:rsid w:val="00E161CB"/>
    <w:rsid w:val="00E1633E"/>
    <w:rsid w:val="00E17128"/>
    <w:rsid w:val="00E1712D"/>
    <w:rsid w:val="00E1714A"/>
    <w:rsid w:val="00E17388"/>
    <w:rsid w:val="00E173DC"/>
    <w:rsid w:val="00E1755F"/>
    <w:rsid w:val="00E2019C"/>
    <w:rsid w:val="00E209E3"/>
    <w:rsid w:val="00E20F71"/>
    <w:rsid w:val="00E21299"/>
    <w:rsid w:val="00E21445"/>
    <w:rsid w:val="00E21634"/>
    <w:rsid w:val="00E217B5"/>
    <w:rsid w:val="00E21825"/>
    <w:rsid w:val="00E22CE3"/>
    <w:rsid w:val="00E23036"/>
    <w:rsid w:val="00E23BC0"/>
    <w:rsid w:val="00E23F88"/>
    <w:rsid w:val="00E242B9"/>
    <w:rsid w:val="00E24332"/>
    <w:rsid w:val="00E248B6"/>
    <w:rsid w:val="00E24A29"/>
    <w:rsid w:val="00E24D1B"/>
    <w:rsid w:val="00E24DCB"/>
    <w:rsid w:val="00E256CF"/>
    <w:rsid w:val="00E25C0D"/>
    <w:rsid w:val="00E25C97"/>
    <w:rsid w:val="00E25E3D"/>
    <w:rsid w:val="00E269A2"/>
    <w:rsid w:val="00E26F90"/>
    <w:rsid w:val="00E273E6"/>
    <w:rsid w:val="00E27615"/>
    <w:rsid w:val="00E27640"/>
    <w:rsid w:val="00E27F1B"/>
    <w:rsid w:val="00E3065F"/>
    <w:rsid w:val="00E308AE"/>
    <w:rsid w:val="00E30B80"/>
    <w:rsid w:val="00E30D23"/>
    <w:rsid w:val="00E3193B"/>
    <w:rsid w:val="00E31C4D"/>
    <w:rsid w:val="00E321BF"/>
    <w:rsid w:val="00E3247F"/>
    <w:rsid w:val="00E32898"/>
    <w:rsid w:val="00E330FA"/>
    <w:rsid w:val="00E331C0"/>
    <w:rsid w:val="00E341B0"/>
    <w:rsid w:val="00E343D0"/>
    <w:rsid w:val="00E34453"/>
    <w:rsid w:val="00E34A41"/>
    <w:rsid w:val="00E34A5D"/>
    <w:rsid w:val="00E34CBF"/>
    <w:rsid w:val="00E35789"/>
    <w:rsid w:val="00E3591B"/>
    <w:rsid w:val="00E35DC5"/>
    <w:rsid w:val="00E361D7"/>
    <w:rsid w:val="00E36726"/>
    <w:rsid w:val="00E36C6D"/>
    <w:rsid w:val="00E37101"/>
    <w:rsid w:val="00E374B1"/>
    <w:rsid w:val="00E376F1"/>
    <w:rsid w:val="00E4038B"/>
    <w:rsid w:val="00E404C7"/>
    <w:rsid w:val="00E4063B"/>
    <w:rsid w:val="00E4095F"/>
    <w:rsid w:val="00E409EA"/>
    <w:rsid w:val="00E40F9E"/>
    <w:rsid w:val="00E40FF4"/>
    <w:rsid w:val="00E41777"/>
    <w:rsid w:val="00E41FE2"/>
    <w:rsid w:val="00E42062"/>
    <w:rsid w:val="00E420FE"/>
    <w:rsid w:val="00E42298"/>
    <w:rsid w:val="00E423A1"/>
    <w:rsid w:val="00E423CE"/>
    <w:rsid w:val="00E42563"/>
    <w:rsid w:val="00E4307F"/>
    <w:rsid w:val="00E435EA"/>
    <w:rsid w:val="00E43F65"/>
    <w:rsid w:val="00E44115"/>
    <w:rsid w:val="00E44F9B"/>
    <w:rsid w:val="00E44FCF"/>
    <w:rsid w:val="00E4590D"/>
    <w:rsid w:val="00E45BF1"/>
    <w:rsid w:val="00E45FF7"/>
    <w:rsid w:val="00E46434"/>
    <w:rsid w:val="00E469C7"/>
    <w:rsid w:val="00E46A13"/>
    <w:rsid w:val="00E46FD7"/>
    <w:rsid w:val="00E47124"/>
    <w:rsid w:val="00E47D7E"/>
    <w:rsid w:val="00E47E56"/>
    <w:rsid w:val="00E50098"/>
    <w:rsid w:val="00E5009C"/>
    <w:rsid w:val="00E5025A"/>
    <w:rsid w:val="00E50366"/>
    <w:rsid w:val="00E507CC"/>
    <w:rsid w:val="00E51606"/>
    <w:rsid w:val="00E51A27"/>
    <w:rsid w:val="00E5221A"/>
    <w:rsid w:val="00E52369"/>
    <w:rsid w:val="00E52C82"/>
    <w:rsid w:val="00E5392D"/>
    <w:rsid w:val="00E53A57"/>
    <w:rsid w:val="00E53EBD"/>
    <w:rsid w:val="00E54077"/>
    <w:rsid w:val="00E5460A"/>
    <w:rsid w:val="00E54678"/>
    <w:rsid w:val="00E547DE"/>
    <w:rsid w:val="00E54C07"/>
    <w:rsid w:val="00E54EC6"/>
    <w:rsid w:val="00E5563F"/>
    <w:rsid w:val="00E55D2C"/>
    <w:rsid w:val="00E56301"/>
    <w:rsid w:val="00E56BB6"/>
    <w:rsid w:val="00E56D76"/>
    <w:rsid w:val="00E56E66"/>
    <w:rsid w:val="00E57793"/>
    <w:rsid w:val="00E57BBA"/>
    <w:rsid w:val="00E57DCE"/>
    <w:rsid w:val="00E57FF3"/>
    <w:rsid w:val="00E6059D"/>
    <w:rsid w:val="00E606BF"/>
    <w:rsid w:val="00E60940"/>
    <w:rsid w:val="00E60AC1"/>
    <w:rsid w:val="00E612E7"/>
    <w:rsid w:val="00E6249F"/>
    <w:rsid w:val="00E63404"/>
    <w:rsid w:val="00E639A5"/>
    <w:rsid w:val="00E63B6E"/>
    <w:rsid w:val="00E64408"/>
    <w:rsid w:val="00E645D2"/>
    <w:rsid w:val="00E646BC"/>
    <w:rsid w:val="00E64D2B"/>
    <w:rsid w:val="00E65213"/>
    <w:rsid w:val="00E654F7"/>
    <w:rsid w:val="00E65876"/>
    <w:rsid w:val="00E659A8"/>
    <w:rsid w:val="00E65F0C"/>
    <w:rsid w:val="00E6605C"/>
    <w:rsid w:val="00E660A3"/>
    <w:rsid w:val="00E66423"/>
    <w:rsid w:val="00E666B6"/>
    <w:rsid w:val="00E6677F"/>
    <w:rsid w:val="00E66D3D"/>
    <w:rsid w:val="00E670D0"/>
    <w:rsid w:val="00E67364"/>
    <w:rsid w:val="00E67CDB"/>
    <w:rsid w:val="00E67E47"/>
    <w:rsid w:val="00E67E7A"/>
    <w:rsid w:val="00E70093"/>
    <w:rsid w:val="00E7072D"/>
    <w:rsid w:val="00E7097D"/>
    <w:rsid w:val="00E7217F"/>
    <w:rsid w:val="00E72B9E"/>
    <w:rsid w:val="00E72FF5"/>
    <w:rsid w:val="00E734C5"/>
    <w:rsid w:val="00E73C82"/>
    <w:rsid w:val="00E73F6F"/>
    <w:rsid w:val="00E742B3"/>
    <w:rsid w:val="00E74FAE"/>
    <w:rsid w:val="00E75A11"/>
    <w:rsid w:val="00E75B33"/>
    <w:rsid w:val="00E75E8A"/>
    <w:rsid w:val="00E75F41"/>
    <w:rsid w:val="00E76076"/>
    <w:rsid w:val="00E7643A"/>
    <w:rsid w:val="00E76635"/>
    <w:rsid w:val="00E769CD"/>
    <w:rsid w:val="00E76B06"/>
    <w:rsid w:val="00E77733"/>
    <w:rsid w:val="00E7792E"/>
    <w:rsid w:val="00E802D0"/>
    <w:rsid w:val="00E8030A"/>
    <w:rsid w:val="00E8062C"/>
    <w:rsid w:val="00E80AED"/>
    <w:rsid w:val="00E80B92"/>
    <w:rsid w:val="00E80CFA"/>
    <w:rsid w:val="00E820BA"/>
    <w:rsid w:val="00E8233A"/>
    <w:rsid w:val="00E8292E"/>
    <w:rsid w:val="00E82B6A"/>
    <w:rsid w:val="00E82E30"/>
    <w:rsid w:val="00E830AF"/>
    <w:rsid w:val="00E83308"/>
    <w:rsid w:val="00E835AE"/>
    <w:rsid w:val="00E83827"/>
    <w:rsid w:val="00E83B57"/>
    <w:rsid w:val="00E83DE9"/>
    <w:rsid w:val="00E8415E"/>
    <w:rsid w:val="00E8420C"/>
    <w:rsid w:val="00E844C3"/>
    <w:rsid w:val="00E84D35"/>
    <w:rsid w:val="00E8502F"/>
    <w:rsid w:val="00E8521E"/>
    <w:rsid w:val="00E852F2"/>
    <w:rsid w:val="00E85400"/>
    <w:rsid w:val="00E8571D"/>
    <w:rsid w:val="00E86157"/>
    <w:rsid w:val="00E86493"/>
    <w:rsid w:val="00E8667C"/>
    <w:rsid w:val="00E86AF3"/>
    <w:rsid w:val="00E86DB2"/>
    <w:rsid w:val="00E86DF8"/>
    <w:rsid w:val="00E8746F"/>
    <w:rsid w:val="00E874A3"/>
    <w:rsid w:val="00E87ED0"/>
    <w:rsid w:val="00E90764"/>
    <w:rsid w:val="00E91042"/>
    <w:rsid w:val="00E91CDD"/>
    <w:rsid w:val="00E92709"/>
    <w:rsid w:val="00E92C4D"/>
    <w:rsid w:val="00E92E5D"/>
    <w:rsid w:val="00E93666"/>
    <w:rsid w:val="00E94290"/>
    <w:rsid w:val="00E94BFF"/>
    <w:rsid w:val="00E95035"/>
    <w:rsid w:val="00E95102"/>
    <w:rsid w:val="00E9553E"/>
    <w:rsid w:val="00E95826"/>
    <w:rsid w:val="00E95A2E"/>
    <w:rsid w:val="00E96238"/>
    <w:rsid w:val="00E96260"/>
    <w:rsid w:val="00E96338"/>
    <w:rsid w:val="00E9683F"/>
    <w:rsid w:val="00E96F44"/>
    <w:rsid w:val="00E9704D"/>
    <w:rsid w:val="00E970EB"/>
    <w:rsid w:val="00E973AD"/>
    <w:rsid w:val="00E979CD"/>
    <w:rsid w:val="00E97FAD"/>
    <w:rsid w:val="00EA08AF"/>
    <w:rsid w:val="00EA0979"/>
    <w:rsid w:val="00EA0F66"/>
    <w:rsid w:val="00EA183B"/>
    <w:rsid w:val="00EA1952"/>
    <w:rsid w:val="00EA3052"/>
    <w:rsid w:val="00EA36CA"/>
    <w:rsid w:val="00EA3981"/>
    <w:rsid w:val="00EA4099"/>
    <w:rsid w:val="00EA40C9"/>
    <w:rsid w:val="00EA4E66"/>
    <w:rsid w:val="00EA5DF1"/>
    <w:rsid w:val="00EA602F"/>
    <w:rsid w:val="00EA603D"/>
    <w:rsid w:val="00EA64D9"/>
    <w:rsid w:val="00EA65DC"/>
    <w:rsid w:val="00EA68DA"/>
    <w:rsid w:val="00EA7123"/>
    <w:rsid w:val="00EA7224"/>
    <w:rsid w:val="00EA73B8"/>
    <w:rsid w:val="00EB01CA"/>
    <w:rsid w:val="00EB0791"/>
    <w:rsid w:val="00EB0C9B"/>
    <w:rsid w:val="00EB1767"/>
    <w:rsid w:val="00EB2AAB"/>
    <w:rsid w:val="00EB2E7B"/>
    <w:rsid w:val="00EB2F6E"/>
    <w:rsid w:val="00EB3252"/>
    <w:rsid w:val="00EB33F8"/>
    <w:rsid w:val="00EB3601"/>
    <w:rsid w:val="00EB3645"/>
    <w:rsid w:val="00EB37FC"/>
    <w:rsid w:val="00EB4AF9"/>
    <w:rsid w:val="00EB4B0A"/>
    <w:rsid w:val="00EB4D0C"/>
    <w:rsid w:val="00EB583C"/>
    <w:rsid w:val="00EB5E56"/>
    <w:rsid w:val="00EB6BB7"/>
    <w:rsid w:val="00EB6CE1"/>
    <w:rsid w:val="00EB6EE6"/>
    <w:rsid w:val="00EB7BA6"/>
    <w:rsid w:val="00EC00AB"/>
    <w:rsid w:val="00EC0694"/>
    <w:rsid w:val="00EC0991"/>
    <w:rsid w:val="00EC1AE3"/>
    <w:rsid w:val="00EC1B74"/>
    <w:rsid w:val="00EC1E48"/>
    <w:rsid w:val="00EC2AED"/>
    <w:rsid w:val="00EC2D92"/>
    <w:rsid w:val="00EC3FFB"/>
    <w:rsid w:val="00EC4674"/>
    <w:rsid w:val="00EC49B7"/>
    <w:rsid w:val="00EC4A30"/>
    <w:rsid w:val="00EC4D23"/>
    <w:rsid w:val="00EC4E24"/>
    <w:rsid w:val="00EC4E95"/>
    <w:rsid w:val="00EC5787"/>
    <w:rsid w:val="00EC5980"/>
    <w:rsid w:val="00EC6504"/>
    <w:rsid w:val="00EC650D"/>
    <w:rsid w:val="00EC6DD2"/>
    <w:rsid w:val="00EC709D"/>
    <w:rsid w:val="00ED0458"/>
    <w:rsid w:val="00ED04D7"/>
    <w:rsid w:val="00ED0AD7"/>
    <w:rsid w:val="00ED0BA1"/>
    <w:rsid w:val="00ED0DA9"/>
    <w:rsid w:val="00ED10AE"/>
    <w:rsid w:val="00ED11D8"/>
    <w:rsid w:val="00ED11EF"/>
    <w:rsid w:val="00ED143B"/>
    <w:rsid w:val="00ED2FA0"/>
    <w:rsid w:val="00ED41AF"/>
    <w:rsid w:val="00ED44AB"/>
    <w:rsid w:val="00ED5074"/>
    <w:rsid w:val="00ED52ED"/>
    <w:rsid w:val="00ED566D"/>
    <w:rsid w:val="00ED56B3"/>
    <w:rsid w:val="00ED5777"/>
    <w:rsid w:val="00ED5D16"/>
    <w:rsid w:val="00ED610E"/>
    <w:rsid w:val="00ED61C1"/>
    <w:rsid w:val="00ED6BD9"/>
    <w:rsid w:val="00ED6E7F"/>
    <w:rsid w:val="00ED6FEF"/>
    <w:rsid w:val="00ED7174"/>
    <w:rsid w:val="00ED7C13"/>
    <w:rsid w:val="00EE026C"/>
    <w:rsid w:val="00EE03DA"/>
    <w:rsid w:val="00EE070E"/>
    <w:rsid w:val="00EE0F99"/>
    <w:rsid w:val="00EE167E"/>
    <w:rsid w:val="00EE1722"/>
    <w:rsid w:val="00EE17AF"/>
    <w:rsid w:val="00EE1EF0"/>
    <w:rsid w:val="00EE21B9"/>
    <w:rsid w:val="00EE22EC"/>
    <w:rsid w:val="00EE274B"/>
    <w:rsid w:val="00EE27E2"/>
    <w:rsid w:val="00EE2B52"/>
    <w:rsid w:val="00EE2B8C"/>
    <w:rsid w:val="00EE2F70"/>
    <w:rsid w:val="00EE310A"/>
    <w:rsid w:val="00EE3417"/>
    <w:rsid w:val="00EE348F"/>
    <w:rsid w:val="00EE3D56"/>
    <w:rsid w:val="00EE44AF"/>
    <w:rsid w:val="00EE45AE"/>
    <w:rsid w:val="00EE4BB4"/>
    <w:rsid w:val="00EE5325"/>
    <w:rsid w:val="00EE5347"/>
    <w:rsid w:val="00EE5B5D"/>
    <w:rsid w:val="00EE5F57"/>
    <w:rsid w:val="00EE625C"/>
    <w:rsid w:val="00EE6328"/>
    <w:rsid w:val="00EE6FEB"/>
    <w:rsid w:val="00EE71DC"/>
    <w:rsid w:val="00EE7399"/>
    <w:rsid w:val="00EE7AAF"/>
    <w:rsid w:val="00EF082F"/>
    <w:rsid w:val="00EF09AC"/>
    <w:rsid w:val="00EF0A3F"/>
    <w:rsid w:val="00EF0B49"/>
    <w:rsid w:val="00EF0FD4"/>
    <w:rsid w:val="00EF10FF"/>
    <w:rsid w:val="00EF1352"/>
    <w:rsid w:val="00EF18CD"/>
    <w:rsid w:val="00EF23DF"/>
    <w:rsid w:val="00EF2666"/>
    <w:rsid w:val="00EF2D35"/>
    <w:rsid w:val="00EF3363"/>
    <w:rsid w:val="00EF33CB"/>
    <w:rsid w:val="00EF3715"/>
    <w:rsid w:val="00EF386A"/>
    <w:rsid w:val="00EF39A9"/>
    <w:rsid w:val="00EF4645"/>
    <w:rsid w:val="00EF5086"/>
    <w:rsid w:val="00EF5EAE"/>
    <w:rsid w:val="00EF6958"/>
    <w:rsid w:val="00EF69A2"/>
    <w:rsid w:val="00EF6FFF"/>
    <w:rsid w:val="00EF71A2"/>
    <w:rsid w:val="00F0071B"/>
    <w:rsid w:val="00F009C4"/>
    <w:rsid w:val="00F009ED"/>
    <w:rsid w:val="00F00D69"/>
    <w:rsid w:val="00F00F50"/>
    <w:rsid w:val="00F012EE"/>
    <w:rsid w:val="00F01FC3"/>
    <w:rsid w:val="00F01FE5"/>
    <w:rsid w:val="00F0206E"/>
    <w:rsid w:val="00F020F1"/>
    <w:rsid w:val="00F0296E"/>
    <w:rsid w:val="00F02E15"/>
    <w:rsid w:val="00F02EFD"/>
    <w:rsid w:val="00F02FB5"/>
    <w:rsid w:val="00F0300C"/>
    <w:rsid w:val="00F03257"/>
    <w:rsid w:val="00F032CE"/>
    <w:rsid w:val="00F03427"/>
    <w:rsid w:val="00F0372B"/>
    <w:rsid w:val="00F03A3A"/>
    <w:rsid w:val="00F03E00"/>
    <w:rsid w:val="00F04849"/>
    <w:rsid w:val="00F0668D"/>
    <w:rsid w:val="00F07017"/>
    <w:rsid w:val="00F070F4"/>
    <w:rsid w:val="00F0753E"/>
    <w:rsid w:val="00F1065B"/>
    <w:rsid w:val="00F10772"/>
    <w:rsid w:val="00F10985"/>
    <w:rsid w:val="00F10C8D"/>
    <w:rsid w:val="00F10F5C"/>
    <w:rsid w:val="00F11148"/>
    <w:rsid w:val="00F117E2"/>
    <w:rsid w:val="00F11A62"/>
    <w:rsid w:val="00F11EC6"/>
    <w:rsid w:val="00F11EEC"/>
    <w:rsid w:val="00F12470"/>
    <w:rsid w:val="00F12567"/>
    <w:rsid w:val="00F12914"/>
    <w:rsid w:val="00F12E49"/>
    <w:rsid w:val="00F12FCA"/>
    <w:rsid w:val="00F1348F"/>
    <w:rsid w:val="00F142CA"/>
    <w:rsid w:val="00F14524"/>
    <w:rsid w:val="00F14CF8"/>
    <w:rsid w:val="00F155EB"/>
    <w:rsid w:val="00F15A75"/>
    <w:rsid w:val="00F166D2"/>
    <w:rsid w:val="00F16FD9"/>
    <w:rsid w:val="00F1788E"/>
    <w:rsid w:val="00F17A26"/>
    <w:rsid w:val="00F17C69"/>
    <w:rsid w:val="00F200AD"/>
    <w:rsid w:val="00F20708"/>
    <w:rsid w:val="00F2117E"/>
    <w:rsid w:val="00F2154E"/>
    <w:rsid w:val="00F215C2"/>
    <w:rsid w:val="00F218D7"/>
    <w:rsid w:val="00F21C0A"/>
    <w:rsid w:val="00F224FC"/>
    <w:rsid w:val="00F22928"/>
    <w:rsid w:val="00F230F9"/>
    <w:rsid w:val="00F245AB"/>
    <w:rsid w:val="00F24B81"/>
    <w:rsid w:val="00F250F7"/>
    <w:rsid w:val="00F25274"/>
    <w:rsid w:val="00F25A57"/>
    <w:rsid w:val="00F25C97"/>
    <w:rsid w:val="00F26634"/>
    <w:rsid w:val="00F269E1"/>
    <w:rsid w:val="00F26F99"/>
    <w:rsid w:val="00F27696"/>
    <w:rsid w:val="00F27BEE"/>
    <w:rsid w:val="00F304F8"/>
    <w:rsid w:val="00F30503"/>
    <w:rsid w:val="00F3093D"/>
    <w:rsid w:val="00F30C09"/>
    <w:rsid w:val="00F30D99"/>
    <w:rsid w:val="00F31129"/>
    <w:rsid w:val="00F31263"/>
    <w:rsid w:val="00F312D0"/>
    <w:rsid w:val="00F31303"/>
    <w:rsid w:val="00F3175E"/>
    <w:rsid w:val="00F319A0"/>
    <w:rsid w:val="00F31C18"/>
    <w:rsid w:val="00F3210D"/>
    <w:rsid w:val="00F326F5"/>
    <w:rsid w:val="00F32712"/>
    <w:rsid w:val="00F3292C"/>
    <w:rsid w:val="00F329DC"/>
    <w:rsid w:val="00F32B1E"/>
    <w:rsid w:val="00F33065"/>
    <w:rsid w:val="00F334CA"/>
    <w:rsid w:val="00F34149"/>
    <w:rsid w:val="00F34BCB"/>
    <w:rsid w:val="00F34C1A"/>
    <w:rsid w:val="00F357DB"/>
    <w:rsid w:val="00F35B98"/>
    <w:rsid w:val="00F35FF1"/>
    <w:rsid w:val="00F3648A"/>
    <w:rsid w:val="00F367FE"/>
    <w:rsid w:val="00F370EC"/>
    <w:rsid w:val="00F3720C"/>
    <w:rsid w:val="00F37391"/>
    <w:rsid w:val="00F37751"/>
    <w:rsid w:val="00F377D8"/>
    <w:rsid w:val="00F378DB"/>
    <w:rsid w:val="00F37B40"/>
    <w:rsid w:val="00F37DFD"/>
    <w:rsid w:val="00F40108"/>
    <w:rsid w:val="00F419C5"/>
    <w:rsid w:val="00F42752"/>
    <w:rsid w:val="00F42B9F"/>
    <w:rsid w:val="00F4393E"/>
    <w:rsid w:val="00F44FD4"/>
    <w:rsid w:val="00F4545A"/>
    <w:rsid w:val="00F455FE"/>
    <w:rsid w:val="00F4581B"/>
    <w:rsid w:val="00F45B4A"/>
    <w:rsid w:val="00F45C93"/>
    <w:rsid w:val="00F4601D"/>
    <w:rsid w:val="00F46478"/>
    <w:rsid w:val="00F468A3"/>
    <w:rsid w:val="00F4694C"/>
    <w:rsid w:val="00F46C07"/>
    <w:rsid w:val="00F46D99"/>
    <w:rsid w:val="00F471D2"/>
    <w:rsid w:val="00F47916"/>
    <w:rsid w:val="00F479BD"/>
    <w:rsid w:val="00F47FB5"/>
    <w:rsid w:val="00F501EC"/>
    <w:rsid w:val="00F50492"/>
    <w:rsid w:val="00F5053A"/>
    <w:rsid w:val="00F50A83"/>
    <w:rsid w:val="00F50ABC"/>
    <w:rsid w:val="00F51059"/>
    <w:rsid w:val="00F51740"/>
    <w:rsid w:val="00F51D3F"/>
    <w:rsid w:val="00F52636"/>
    <w:rsid w:val="00F52851"/>
    <w:rsid w:val="00F529E9"/>
    <w:rsid w:val="00F52FE3"/>
    <w:rsid w:val="00F5398E"/>
    <w:rsid w:val="00F5462B"/>
    <w:rsid w:val="00F549F5"/>
    <w:rsid w:val="00F552F9"/>
    <w:rsid w:val="00F5559E"/>
    <w:rsid w:val="00F555F6"/>
    <w:rsid w:val="00F55943"/>
    <w:rsid w:val="00F55B92"/>
    <w:rsid w:val="00F56CF4"/>
    <w:rsid w:val="00F56F52"/>
    <w:rsid w:val="00F57B02"/>
    <w:rsid w:val="00F60022"/>
    <w:rsid w:val="00F60377"/>
    <w:rsid w:val="00F60729"/>
    <w:rsid w:val="00F60F1C"/>
    <w:rsid w:val="00F60F53"/>
    <w:rsid w:val="00F618BE"/>
    <w:rsid w:val="00F61D19"/>
    <w:rsid w:val="00F6201A"/>
    <w:rsid w:val="00F62C2C"/>
    <w:rsid w:val="00F62D85"/>
    <w:rsid w:val="00F62EEE"/>
    <w:rsid w:val="00F62FC7"/>
    <w:rsid w:val="00F630D4"/>
    <w:rsid w:val="00F631F9"/>
    <w:rsid w:val="00F633AF"/>
    <w:rsid w:val="00F6357F"/>
    <w:rsid w:val="00F63B5A"/>
    <w:rsid w:val="00F63FF1"/>
    <w:rsid w:val="00F64DE6"/>
    <w:rsid w:val="00F65147"/>
    <w:rsid w:val="00F66968"/>
    <w:rsid w:val="00F66974"/>
    <w:rsid w:val="00F66CAD"/>
    <w:rsid w:val="00F672E0"/>
    <w:rsid w:val="00F67925"/>
    <w:rsid w:val="00F67B35"/>
    <w:rsid w:val="00F67EDB"/>
    <w:rsid w:val="00F70269"/>
    <w:rsid w:val="00F70F8E"/>
    <w:rsid w:val="00F7112A"/>
    <w:rsid w:val="00F71710"/>
    <w:rsid w:val="00F71740"/>
    <w:rsid w:val="00F71B15"/>
    <w:rsid w:val="00F71BD1"/>
    <w:rsid w:val="00F71DEB"/>
    <w:rsid w:val="00F71E67"/>
    <w:rsid w:val="00F725DC"/>
    <w:rsid w:val="00F730F0"/>
    <w:rsid w:val="00F7373A"/>
    <w:rsid w:val="00F739C4"/>
    <w:rsid w:val="00F74125"/>
    <w:rsid w:val="00F745DC"/>
    <w:rsid w:val="00F7498A"/>
    <w:rsid w:val="00F75458"/>
    <w:rsid w:val="00F760A0"/>
    <w:rsid w:val="00F76114"/>
    <w:rsid w:val="00F765D2"/>
    <w:rsid w:val="00F76EC9"/>
    <w:rsid w:val="00F76ED1"/>
    <w:rsid w:val="00F7751A"/>
    <w:rsid w:val="00F77669"/>
    <w:rsid w:val="00F77B46"/>
    <w:rsid w:val="00F816DD"/>
    <w:rsid w:val="00F81A41"/>
    <w:rsid w:val="00F81CBF"/>
    <w:rsid w:val="00F8288D"/>
    <w:rsid w:val="00F82F43"/>
    <w:rsid w:val="00F837CA"/>
    <w:rsid w:val="00F83957"/>
    <w:rsid w:val="00F83A2F"/>
    <w:rsid w:val="00F83C2E"/>
    <w:rsid w:val="00F83C77"/>
    <w:rsid w:val="00F84214"/>
    <w:rsid w:val="00F843B6"/>
    <w:rsid w:val="00F844A7"/>
    <w:rsid w:val="00F84671"/>
    <w:rsid w:val="00F85383"/>
    <w:rsid w:val="00F85700"/>
    <w:rsid w:val="00F85ABA"/>
    <w:rsid w:val="00F85AC6"/>
    <w:rsid w:val="00F86512"/>
    <w:rsid w:val="00F86B05"/>
    <w:rsid w:val="00F8701D"/>
    <w:rsid w:val="00F8721D"/>
    <w:rsid w:val="00F87589"/>
    <w:rsid w:val="00F900A1"/>
    <w:rsid w:val="00F901B7"/>
    <w:rsid w:val="00F90687"/>
    <w:rsid w:val="00F906E1"/>
    <w:rsid w:val="00F90AE2"/>
    <w:rsid w:val="00F90E36"/>
    <w:rsid w:val="00F91135"/>
    <w:rsid w:val="00F915C9"/>
    <w:rsid w:val="00F91E0D"/>
    <w:rsid w:val="00F92056"/>
    <w:rsid w:val="00F92389"/>
    <w:rsid w:val="00F92D58"/>
    <w:rsid w:val="00F930F7"/>
    <w:rsid w:val="00F9336D"/>
    <w:rsid w:val="00F9373C"/>
    <w:rsid w:val="00F939F8"/>
    <w:rsid w:val="00F93D83"/>
    <w:rsid w:val="00F9416D"/>
    <w:rsid w:val="00F9596E"/>
    <w:rsid w:val="00F95A9B"/>
    <w:rsid w:val="00F95E15"/>
    <w:rsid w:val="00F95FB2"/>
    <w:rsid w:val="00F964AF"/>
    <w:rsid w:val="00F96692"/>
    <w:rsid w:val="00F96D7D"/>
    <w:rsid w:val="00F97DD6"/>
    <w:rsid w:val="00FA037B"/>
    <w:rsid w:val="00FA0757"/>
    <w:rsid w:val="00FA0B3C"/>
    <w:rsid w:val="00FA0D3C"/>
    <w:rsid w:val="00FA0F8D"/>
    <w:rsid w:val="00FA13F0"/>
    <w:rsid w:val="00FA1A0E"/>
    <w:rsid w:val="00FA1BCD"/>
    <w:rsid w:val="00FA20FB"/>
    <w:rsid w:val="00FA2191"/>
    <w:rsid w:val="00FA2412"/>
    <w:rsid w:val="00FA2611"/>
    <w:rsid w:val="00FA2879"/>
    <w:rsid w:val="00FA295A"/>
    <w:rsid w:val="00FA31E3"/>
    <w:rsid w:val="00FA351B"/>
    <w:rsid w:val="00FA3759"/>
    <w:rsid w:val="00FA37C1"/>
    <w:rsid w:val="00FA3F5B"/>
    <w:rsid w:val="00FA442C"/>
    <w:rsid w:val="00FA465F"/>
    <w:rsid w:val="00FA46FB"/>
    <w:rsid w:val="00FA4887"/>
    <w:rsid w:val="00FA4903"/>
    <w:rsid w:val="00FA4AA4"/>
    <w:rsid w:val="00FA4C24"/>
    <w:rsid w:val="00FA64B4"/>
    <w:rsid w:val="00FA6EEA"/>
    <w:rsid w:val="00FA70BD"/>
    <w:rsid w:val="00FA7285"/>
    <w:rsid w:val="00FB0019"/>
    <w:rsid w:val="00FB0954"/>
    <w:rsid w:val="00FB14D5"/>
    <w:rsid w:val="00FB196A"/>
    <w:rsid w:val="00FB1D6C"/>
    <w:rsid w:val="00FB2047"/>
    <w:rsid w:val="00FB2288"/>
    <w:rsid w:val="00FB23F7"/>
    <w:rsid w:val="00FB2705"/>
    <w:rsid w:val="00FB2A33"/>
    <w:rsid w:val="00FB2BA0"/>
    <w:rsid w:val="00FB307A"/>
    <w:rsid w:val="00FB3D51"/>
    <w:rsid w:val="00FB3F4C"/>
    <w:rsid w:val="00FB4AE4"/>
    <w:rsid w:val="00FB5084"/>
    <w:rsid w:val="00FB5CE2"/>
    <w:rsid w:val="00FB6C18"/>
    <w:rsid w:val="00FB6CBC"/>
    <w:rsid w:val="00FB6DF7"/>
    <w:rsid w:val="00FB7732"/>
    <w:rsid w:val="00FB7986"/>
    <w:rsid w:val="00FB7C40"/>
    <w:rsid w:val="00FC0C57"/>
    <w:rsid w:val="00FC129D"/>
    <w:rsid w:val="00FC1691"/>
    <w:rsid w:val="00FC1AD3"/>
    <w:rsid w:val="00FC1B62"/>
    <w:rsid w:val="00FC3E7F"/>
    <w:rsid w:val="00FC3EBB"/>
    <w:rsid w:val="00FC49DC"/>
    <w:rsid w:val="00FC50DF"/>
    <w:rsid w:val="00FC517B"/>
    <w:rsid w:val="00FC65AD"/>
    <w:rsid w:val="00FC69EB"/>
    <w:rsid w:val="00FC7505"/>
    <w:rsid w:val="00FD0627"/>
    <w:rsid w:val="00FD107B"/>
    <w:rsid w:val="00FD17AE"/>
    <w:rsid w:val="00FD1C85"/>
    <w:rsid w:val="00FD22E0"/>
    <w:rsid w:val="00FD2A2C"/>
    <w:rsid w:val="00FD2ADF"/>
    <w:rsid w:val="00FD2B73"/>
    <w:rsid w:val="00FD2C8B"/>
    <w:rsid w:val="00FD328F"/>
    <w:rsid w:val="00FD3823"/>
    <w:rsid w:val="00FD3CB4"/>
    <w:rsid w:val="00FD42D8"/>
    <w:rsid w:val="00FD4764"/>
    <w:rsid w:val="00FD4A53"/>
    <w:rsid w:val="00FD4D86"/>
    <w:rsid w:val="00FD5C89"/>
    <w:rsid w:val="00FD5D84"/>
    <w:rsid w:val="00FD5F89"/>
    <w:rsid w:val="00FD602A"/>
    <w:rsid w:val="00FD6278"/>
    <w:rsid w:val="00FD6AF9"/>
    <w:rsid w:val="00FE01F3"/>
    <w:rsid w:val="00FE03F0"/>
    <w:rsid w:val="00FE0C7A"/>
    <w:rsid w:val="00FE10AA"/>
    <w:rsid w:val="00FE15F0"/>
    <w:rsid w:val="00FE203F"/>
    <w:rsid w:val="00FE20C8"/>
    <w:rsid w:val="00FE2E26"/>
    <w:rsid w:val="00FE2F74"/>
    <w:rsid w:val="00FE304D"/>
    <w:rsid w:val="00FE3378"/>
    <w:rsid w:val="00FE3EF9"/>
    <w:rsid w:val="00FE434C"/>
    <w:rsid w:val="00FE468B"/>
    <w:rsid w:val="00FE5772"/>
    <w:rsid w:val="00FE646B"/>
    <w:rsid w:val="00FE6966"/>
    <w:rsid w:val="00FE6C96"/>
    <w:rsid w:val="00FE708A"/>
    <w:rsid w:val="00FE71AD"/>
    <w:rsid w:val="00FE741D"/>
    <w:rsid w:val="00FE7FE5"/>
    <w:rsid w:val="00FE7FEC"/>
    <w:rsid w:val="00FF01A4"/>
    <w:rsid w:val="00FF02BF"/>
    <w:rsid w:val="00FF0757"/>
    <w:rsid w:val="00FF11A8"/>
    <w:rsid w:val="00FF148C"/>
    <w:rsid w:val="00FF18B5"/>
    <w:rsid w:val="00FF1FAD"/>
    <w:rsid w:val="00FF241E"/>
    <w:rsid w:val="00FF2A32"/>
    <w:rsid w:val="00FF2A69"/>
    <w:rsid w:val="00FF3BF8"/>
    <w:rsid w:val="00FF4FA1"/>
    <w:rsid w:val="00FF64D2"/>
    <w:rsid w:val="00FF6A95"/>
    <w:rsid w:val="00FF74A4"/>
    <w:rsid w:val="00FF777C"/>
    <w:rsid w:val="00FF7A5B"/>
    <w:rsid w:val="00FF7A6A"/>
    <w:rsid w:val="00FF7CB7"/>
    <w:rsid w:val="00FF7E40"/>
    <w:rsid w:val="01009E4B"/>
    <w:rsid w:val="02B97577"/>
    <w:rsid w:val="02BF4551"/>
    <w:rsid w:val="030593C0"/>
    <w:rsid w:val="0352B8D8"/>
    <w:rsid w:val="037F6414"/>
    <w:rsid w:val="04710CA0"/>
    <w:rsid w:val="04C3B54B"/>
    <w:rsid w:val="0515DB83"/>
    <w:rsid w:val="0538F1F0"/>
    <w:rsid w:val="058130D0"/>
    <w:rsid w:val="05C08CE2"/>
    <w:rsid w:val="05D38E5A"/>
    <w:rsid w:val="05FB693A"/>
    <w:rsid w:val="063FB39E"/>
    <w:rsid w:val="06C35CA0"/>
    <w:rsid w:val="06CC64DC"/>
    <w:rsid w:val="06E7EEEB"/>
    <w:rsid w:val="070B8EA5"/>
    <w:rsid w:val="07264863"/>
    <w:rsid w:val="07661036"/>
    <w:rsid w:val="07C19ED1"/>
    <w:rsid w:val="084D1DE8"/>
    <w:rsid w:val="08683AC4"/>
    <w:rsid w:val="09084DF7"/>
    <w:rsid w:val="09298FF9"/>
    <w:rsid w:val="0966975D"/>
    <w:rsid w:val="0AD39724"/>
    <w:rsid w:val="0B630137"/>
    <w:rsid w:val="0B7206C8"/>
    <w:rsid w:val="0B80ACCC"/>
    <w:rsid w:val="0BAE622D"/>
    <w:rsid w:val="0BB5C634"/>
    <w:rsid w:val="0BCCE9BD"/>
    <w:rsid w:val="0C07C141"/>
    <w:rsid w:val="0C55C8B6"/>
    <w:rsid w:val="0D01A90A"/>
    <w:rsid w:val="0D04E02D"/>
    <w:rsid w:val="0D071A34"/>
    <w:rsid w:val="0DC7FCC7"/>
    <w:rsid w:val="0DD08D98"/>
    <w:rsid w:val="0DDE2253"/>
    <w:rsid w:val="0E6B778D"/>
    <w:rsid w:val="0E74520B"/>
    <w:rsid w:val="0E928B76"/>
    <w:rsid w:val="0E99A6CB"/>
    <w:rsid w:val="0F14F075"/>
    <w:rsid w:val="0F3CAA18"/>
    <w:rsid w:val="0F6C59EB"/>
    <w:rsid w:val="0F998039"/>
    <w:rsid w:val="0FB2676E"/>
    <w:rsid w:val="0FB48573"/>
    <w:rsid w:val="101A8405"/>
    <w:rsid w:val="10BE6FD8"/>
    <w:rsid w:val="1106111D"/>
    <w:rsid w:val="116D12E7"/>
    <w:rsid w:val="118E7226"/>
    <w:rsid w:val="118ED11A"/>
    <w:rsid w:val="119340E1"/>
    <w:rsid w:val="123F929E"/>
    <w:rsid w:val="127B379F"/>
    <w:rsid w:val="12E37DBF"/>
    <w:rsid w:val="12E64289"/>
    <w:rsid w:val="136CA303"/>
    <w:rsid w:val="13EEBFB6"/>
    <w:rsid w:val="13F6109A"/>
    <w:rsid w:val="14887C04"/>
    <w:rsid w:val="148AC680"/>
    <w:rsid w:val="1499CD61"/>
    <w:rsid w:val="14D5DA4C"/>
    <w:rsid w:val="1536A416"/>
    <w:rsid w:val="159848FB"/>
    <w:rsid w:val="15D807C3"/>
    <w:rsid w:val="16A1FDB5"/>
    <w:rsid w:val="16E32DE2"/>
    <w:rsid w:val="1701EB04"/>
    <w:rsid w:val="1740A725"/>
    <w:rsid w:val="176EEFA6"/>
    <w:rsid w:val="1774C160"/>
    <w:rsid w:val="1786663E"/>
    <w:rsid w:val="17DF0CF7"/>
    <w:rsid w:val="17EDDD73"/>
    <w:rsid w:val="183FAE27"/>
    <w:rsid w:val="18DA9556"/>
    <w:rsid w:val="19185799"/>
    <w:rsid w:val="194E7B23"/>
    <w:rsid w:val="1981382C"/>
    <w:rsid w:val="1A4A7FD4"/>
    <w:rsid w:val="1AB0CDFB"/>
    <w:rsid w:val="1B02B697"/>
    <w:rsid w:val="1B03E800"/>
    <w:rsid w:val="1B4CADF5"/>
    <w:rsid w:val="1B61C30C"/>
    <w:rsid w:val="1B9D3A7A"/>
    <w:rsid w:val="1BA635F4"/>
    <w:rsid w:val="1BF42331"/>
    <w:rsid w:val="1C2569CC"/>
    <w:rsid w:val="1C372EE2"/>
    <w:rsid w:val="1C702B29"/>
    <w:rsid w:val="1C792A9D"/>
    <w:rsid w:val="1C9CE2AC"/>
    <w:rsid w:val="1CBDD85C"/>
    <w:rsid w:val="1D24566B"/>
    <w:rsid w:val="1D523C31"/>
    <w:rsid w:val="1D651BC2"/>
    <w:rsid w:val="1D7E2A69"/>
    <w:rsid w:val="1DB26C5C"/>
    <w:rsid w:val="1DCD64A9"/>
    <w:rsid w:val="1E08B33F"/>
    <w:rsid w:val="1E20438A"/>
    <w:rsid w:val="1EBD0A6E"/>
    <w:rsid w:val="1F73DDA1"/>
    <w:rsid w:val="1FAC3EF3"/>
    <w:rsid w:val="1FB41260"/>
    <w:rsid w:val="1FCAE448"/>
    <w:rsid w:val="1FD62E3A"/>
    <w:rsid w:val="201F4973"/>
    <w:rsid w:val="208A58D4"/>
    <w:rsid w:val="20B11638"/>
    <w:rsid w:val="20E802BD"/>
    <w:rsid w:val="21297F2C"/>
    <w:rsid w:val="2166EDF5"/>
    <w:rsid w:val="21899240"/>
    <w:rsid w:val="21E28183"/>
    <w:rsid w:val="221B0CA3"/>
    <w:rsid w:val="2286E87D"/>
    <w:rsid w:val="22F128F1"/>
    <w:rsid w:val="234B316A"/>
    <w:rsid w:val="23BC7A7B"/>
    <w:rsid w:val="23F46E67"/>
    <w:rsid w:val="242039EF"/>
    <w:rsid w:val="244EDA5D"/>
    <w:rsid w:val="24AEE05C"/>
    <w:rsid w:val="250A3AEB"/>
    <w:rsid w:val="2524C0BA"/>
    <w:rsid w:val="2577F90B"/>
    <w:rsid w:val="25B40429"/>
    <w:rsid w:val="25C3D8DF"/>
    <w:rsid w:val="26593A7F"/>
    <w:rsid w:val="266B64DB"/>
    <w:rsid w:val="26F09819"/>
    <w:rsid w:val="275AE6EE"/>
    <w:rsid w:val="27EA19AE"/>
    <w:rsid w:val="28E85382"/>
    <w:rsid w:val="294DEF1F"/>
    <w:rsid w:val="297B7A77"/>
    <w:rsid w:val="299F9140"/>
    <w:rsid w:val="29FFE928"/>
    <w:rsid w:val="2A1C9550"/>
    <w:rsid w:val="2A44ACEA"/>
    <w:rsid w:val="2AB3881E"/>
    <w:rsid w:val="2ACB4125"/>
    <w:rsid w:val="2ACB7ED1"/>
    <w:rsid w:val="2B6949EC"/>
    <w:rsid w:val="2B6F71B0"/>
    <w:rsid w:val="2B700AF1"/>
    <w:rsid w:val="2B76D06F"/>
    <w:rsid w:val="2BD8731C"/>
    <w:rsid w:val="2C197317"/>
    <w:rsid w:val="2C7D53DF"/>
    <w:rsid w:val="2CA9826F"/>
    <w:rsid w:val="2CD4403E"/>
    <w:rsid w:val="2CF31B62"/>
    <w:rsid w:val="2D11F0CF"/>
    <w:rsid w:val="2DDD13CF"/>
    <w:rsid w:val="2E240EFC"/>
    <w:rsid w:val="2E4CFBFA"/>
    <w:rsid w:val="2E86063B"/>
    <w:rsid w:val="2E8D5C49"/>
    <w:rsid w:val="2EBE0A30"/>
    <w:rsid w:val="2ED15B36"/>
    <w:rsid w:val="2EDB2669"/>
    <w:rsid w:val="2EDBB40A"/>
    <w:rsid w:val="2F488C7D"/>
    <w:rsid w:val="303AC80B"/>
    <w:rsid w:val="307AEBE9"/>
    <w:rsid w:val="309A99BB"/>
    <w:rsid w:val="30BDDCAD"/>
    <w:rsid w:val="310E215B"/>
    <w:rsid w:val="318B9F7D"/>
    <w:rsid w:val="31987BBB"/>
    <w:rsid w:val="31997BD1"/>
    <w:rsid w:val="31B8A854"/>
    <w:rsid w:val="31BB295B"/>
    <w:rsid w:val="31CAEA3E"/>
    <w:rsid w:val="31E0B89C"/>
    <w:rsid w:val="3272406C"/>
    <w:rsid w:val="3292D609"/>
    <w:rsid w:val="335C774E"/>
    <w:rsid w:val="3377CED7"/>
    <w:rsid w:val="338633F9"/>
    <w:rsid w:val="33C16547"/>
    <w:rsid w:val="33C17EDD"/>
    <w:rsid w:val="34132128"/>
    <w:rsid w:val="345E5D9A"/>
    <w:rsid w:val="348F6FC3"/>
    <w:rsid w:val="34B977DE"/>
    <w:rsid w:val="36213276"/>
    <w:rsid w:val="36A00566"/>
    <w:rsid w:val="370948B0"/>
    <w:rsid w:val="376A5AA0"/>
    <w:rsid w:val="3782F5EC"/>
    <w:rsid w:val="37B17D34"/>
    <w:rsid w:val="382D65B1"/>
    <w:rsid w:val="38B7AB40"/>
    <w:rsid w:val="38B8054F"/>
    <w:rsid w:val="38D13844"/>
    <w:rsid w:val="38DFE365"/>
    <w:rsid w:val="38E808E0"/>
    <w:rsid w:val="38EAA50B"/>
    <w:rsid w:val="3924FB17"/>
    <w:rsid w:val="394C50C3"/>
    <w:rsid w:val="39C4088C"/>
    <w:rsid w:val="39E8FF0D"/>
    <w:rsid w:val="3A00E1E3"/>
    <w:rsid w:val="3A050AAF"/>
    <w:rsid w:val="3A7A8BF0"/>
    <w:rsid w:val="3A7E4FFC"/>
    <w:rsid w:val="3AD05FF7"/>
    <w:rsid w:val="3B1D9E33"/>
    <w:rsid w:val="3B53E5E4"/>
    <w:rsid w:val="3BA04C2E"/>
    <w:rsid w:val="3BFE8E9B"/>
    <w:rsid w:val="3C2B6BAC"/>
    <w:rsid w:val="3D344DA9"/>
    <w:rsid w:val="3D7AAF2D"/>
    <w:rsid w:val="3D927FF0"/>
    <w:rsid w:val="3E53BFCA"/>
    <w:rsid w:val="3E9958C9"/>
    <w:rsid w:val="3EBE527A"/>
    <w:rsid w:val="3EBF89E6"/>
    <w:rsid w:val="3F7422DD"/>
    <w:rsid w:val="3F7E5197"/>
    <w:rsid w:val="40362DDF"/>
    <w:rsid w:val="40454569"/>
    <w:rsid w:val="407FF27F"/>
    <w:rsid w:val="40F6CC32"/>
    <w:rsid w:val="4148D053"/>
    <w:rsid w:val="4156CD35"/>
    <w:rsid w:val="41F69898"/>
    <w:rsid w:val="4284A616"/>
    <w:rsid w:val="43A2A947"/>
    <w:rsid w:val="44338CFC"/>
    <w:rsid w:val="44F799E2"/>
    <w:rsid w:val="45383735"/>
    <w:rsid w:val="459F769F"/>
    <w:rsid w:val="45CF753A"/>
    <w:rsid w:val="461809C0"/>
    <w:rsid w:val="463DE0DA"/>
    <w:rsid w:val="46773C2B"/>
    <w:rsid w:val="46795AD2"/>
    <w:rsid w:val="46E0929C"/>
    <w:rsid w:val="46EE75CE"/>
    <w:rsid w:val="470AE880"/>
    <w:rsid w:val="4717381B"/>
    <w:rsid w:val="475465A2"/>
    <w:rsid w:val="4829E4E9"/>
    <w:rsid w:val="483A4EDB"/>
    <w:rsid w:val="484AC700"/>
    <w:rsid w:val="4869F10D"/>
    <w:rsid w:val="48C84381"/>
    <w:rsid w:val="49509291"/>
    <w:rsid w:val="4950A2F7"/>
    <w:rsid w:val="496379CB"/>
    <w:rsid w:val="497CE56D"/>
    <w:rsid w:val="49D98881"/>
    <w:rsid w:val="4B22BD24"/>
    <w:rsid w:val="4C0C2C99"/>
    <w:rsid w:val="4C308C9E"/>
    <w:rsid w:val="4CA3BB92"/>
    <w:rsid w:val="4CD5957D"/>
    <w:rsid w:val="4DE655D4"/>
    <w:rsid w:val="4E90B4EE"/>
    <w:rsid w:val="4EDC3A98"/>
    <w:rsid w:val="4EE4765E"/>
    <w:rsid w:val="4F9E0318"/>
    <w:rsid w:val="4FA71D09"/>
    <w:rsid w:val="4FC6556A"/>
    <w:rsid w:val="4FE4CA2B"/>
    <w:rsid w:val="50B6598F"/>
    <w:rsid w:val="50EDBFB4"/>
    <w:rsid w:val="50FFCF93"/>
    <w:rsid w:val="516D9827"/>
    <w:rsid w:val="5173D98D"/>
    <w:rsid w:val="51E21A8F"/>
    <w:rsid w:val="51E6CE7D"/>
    <w:rsid w:val="51FFF906"/>
    <w:rsid w:val="52B6C6CA"/>
    <w:rsid w:val="52C468B5"/>
    <w:rsid w:val="52EDFBFE"/>
    <w:rsid w:val="53192C6E"/>
    <w:rsid w:val="533AC501"/>
    <w:rsid w:val="53617C68"/>
    <w:rsid w:val="53945487"/>
    <w:rsid w:val="53A3ED64"/>
    <w:rsid w:val="53F7BE73"/>
    <w:rsid w:val="543D3DAD"/>
    <w:rsid w:val="55106148"/>
    <w:rsid w:val="552F114F"/>
    <w:rsid w:val="554C309A"/>
    <w:rsid w:val="5561FB2D"/>
    <w:rsid w:val="556F38F9"/>
    <w:rsid w:val="5580EBE2"/>
    <w:rsid w:val="56227980"/>
    <w:rsid w:val="56229968"/>
    <w:rsid w:val="5643E10E"/>
    <w:rsid w:val="568DBAF7"/>
    <w:rsid w:val="569413E2"/>
    <w:rsid w:val="56CF4C4B"/>
    <w:rsid w:val="56D0458F"/>
    <w:rsid w:val="57E85AD1"/>
    <w:rsid w:val="585644FE"/>
    <w:rsid w:val="59AA79DE"/>
    <w:rsid w:val="59DD30CD"/>
    <w:rsid w:val="5A7195F3"/>
    <w:rsid w:val="5AA5AF2C"/>
    <w:rsid w:val="5ABF2A18"/>
    <w:rsid w:val="5B1DBB74"/>
    <w:rsid w:val="5B279757"/>
    <w:rsid w:val="5BDBF61E"/>
    <w:rsid w:val="5BFE9B80"/>
    <w:rsid w:val="5C811A44"/>
    <w:rsid w:val="5C8D08CF"/>
    <w:rsid w:val="5CDB01A7"/>
    <w:rsid w:val="5E0CD52D"/>
    <w:rsid w:val="5E351925"/>
    <w:rsid w:val="5EE7D2C6"/>
    <w:rsid w:val="5EEF523E"/>
    <w:rsid w:val="5FC9897F"/>
    <w:rsid w:val="603C7165"/>
    <w:rsid w:val="60443372"/>
    <w:rsid w:val="60629FAE"/>
    <w:rsid w:val="608E00C0"/>
    <w:rsid w:val="609B6468"/>
    <w:rsid w:val="60A5F08A"/>
    <w:rsid w:val="615708AF"/>
    <w:rsid w:val="618CF93B"/>
    <w:rsid w:val="61B5392D"/>
    <w:rsid w:val="61ED240D"/>
    <w:rsid w:val="62184505"/>
    <w:rsid w:val="6218CBB8"/>
    <w:rsid w:val="621B7AA0"/>
    <w:rsid w:val="6265A3FF"/>
    <w:rsid w:val="62BD6242"/>
    <w:rsid w:val="62DBF9B8"/>
    <w:rsid w:val="62FEAD34"/>
    <w:rsid w:val="635A6216"/>
    <w:rsid w:val="6395F9F5"/>
    <w:rsid w:val="63AB5409"/>
    <w:rsid w:val="63B8E9E3"/>
    <w:rsid w:val="63BFF377"/>
    <w:rsid w:val="63C42FA1"/>
    <w:rsid w:val="63DFA69E"/>
    <w:rsid w:val="63E50CA8"/>
    <w:rsid w:val="6421418C"/>
    <w:rsid w:val="64833B29"/>
    <w:rsid w:val="65206F3B"/>
    <w:rsid w:val="652D0A58"/>
    <w:rsid w:val="653111CC"/>
    <w:rsid w:val="655C67EE"/>
    <w:rsid w:val="65A0371C"/>
    <w:rsid w:val="65C7C393"/>
    <w:rsid w:val="65CAC6B7"/>
    <w:rsid w:val="66067727"/>
    <w:rsid w:val="665FF0F1"/>
    <w:rsid w:val="66AB09D3"/>
    <w:rsid w:val="66BEEF07"/>
    <w:rsid w:val="66D43D73"/>
    <w:rsid w:val="67348F99"/>
    <w:rsid w:val="6768BFB1"/>
    <w:rsid w:val="679A5AA1"/>
    <w:rsid w:val="67F1CE85"/>
    <w:rsid w:val="67F8D0FF"/>
    <w:rsid w:val="681D2DD8"/>
    <w:rsid w:val="683A7F5E"/>
    <w:rsid w:val="685A2C82"/>
    <w:rsid w:val="68908AB8"/>
    <w:rsid w:val="68AF5110"/>
    <w:rsid w:val="68D3A8FE"/>
    <w:rsid w:val="69823799"/>
    <w:rsid w:val="6A75CCE4"/>
    <w:rsid w:val="6AB270EA"/>
    <w:rsid w:val="6B5A1A2B"/>
    <w:rsid w:val="6B6921CE"/>
    <w:rsid w:val="6B9393D3"/>
    <w:rsid w:val="6B9F9B71"/>
    <w:rsid w:val="6BFD1E80"/>
    <w:rsid w:val="6C1A2DAE"/>
    <w:rsid w:val="6C1B7D41"/>
    <w:rsid w:val="6C88253D"/>
    <w:rsid w:val="6CC25A59"/>
    <w:rsid w:val="6CEAA218"/>
    <w:rsid w:val="6DAFBD28"/>
    <w:rsid w:val="6DEF1100"/>
    <w:rsid w:val="6DF1FFEE"/>
    <w:rsid w:val="6E78EF2E"/>
    <w:rsid w:val="6F4B8D89"/>
    <w:rsid w:val="6F92FBEF"/>
    <w:rsid w:val="6FB249CE"/>
    <w:rsid w:val="6FCDFE1B"/>
    <w:rsid w:val="6FD9A038"/>
    <w:rsid w:val="70014E2D"/>
    <w:rsid w:val="700A4B62"/>
    <w:rsid w:val="702D169F"/>
    <w:rsid w:val="7041F0A4"/>
    <w:rsid w:val="705BF33F"/>
    <w:rsid w:val="70756AF0"/>
    <w:rsid w:val="7083B36A"/>
    <w:rsid w:val="7092EB6A"/>
    <w:rsid w:val="7098E6D9"/>
    <w:rsid w:val="70BD6DBB"/>
    <w:rsid w:val="7164DF83"/>
    <w:rsid w:val="716A014D"/>
    <w:rsid w:val="71A5E4FB"/>
    <w:rsid w:val="720B9154"/>
    <w:rsid w:val="72516DAF"/>
    <w:rsid w:val="729E1729"/>
    <w:rsid w:val="72A3D7B5"/>
    <w:rsid w:val="72CE51DA"/>
    <w:rsid w:val="72EAA856"/>
    <w:rsid w:val="73D480F4"/>
    <w:rsid w:val="73F1F65A"/>
    <w:rsid w:val="7420ACE7"/>
    <w:rsid w:val="743582E7"/>
    <w:rsid w:val="7441CAB9"/>
    <w:rsid w:val="74A2BC2F"/>
    <w:rsid w:val="74ACD06C"/>
    <w:rsid w:val="755CD7FA"/>
    <w:rsid w:val="75995E14"/>
    <w:rsid w:val="75E89F6E"/>
    <w:rsid w:val="75F9BD02"/>
    <w:rsid w:val="764EC055"/>
    <w:rsid w:val="7691B5CB"/>
    <w:rsid w:val="7751E21A"/>
    <w:rsid w:val="7769CC3B"/>
    <w:rsid w:val="77A792C4"/>
    <w:rsid w:val="77F15CA5"/>
    <w:rsid w:val="781BF556"/>
    <w:rsid w:val="7820E51E"/>
    <w:rsid w:val="78A77357"/>
    <w:rsid w:val="790916E2"/>
    <w:rsid w:val="79695BAB"/>
    <w:rsid w:val="7986F2E4"/>
    <w:rsid w:val="798DF245"/>
    <w:rsid w:val="79D6289A"/>
    <w:rsid w:val="7A2A8960"/>
    <w:rsid w:val="7A2B42A7"/>
    <w:rsid w:val="7A646538"/>
    <w:rsid w:val="7AA8E06B"/>
    <w:rsid w:val="7AC17A9F"/>
    <w:rsid w:val="7AC23266"/>
    <w:rsid w:val="7ADD98D7"/>
    <w:rsid w:val="7BEDE126"/>
    <w:rsid w:val="7BF320D2"/>
    <w:rsid w:val="7C59E467"/>
    <w:rsid w:val="7C5C62C8"/>
    <w:rsid w:val="7C94040B"/>
    <w:rsid w:val="7C95AB3F"/>
    <w:rsid w:val="7CADCC87"/>
    <w:rsid w:val="7CBF1ED8"/>
    <w:rsid w:val="7CFA96C5"/>
    <w:rsid w:val="7D28452D"/>
    <w:rsid w:val="7D8EEEEE"/>
    <w:rsid w:val="7DA0EF5B"/>
    <w:rsid w:val="7DC1A578"/>
    <w:rsid w:val="7DCA7479"/>
    <w:rsid w:val="7E189AB0"/>
    <w:rsid w:val="7E81AFC7"/>
    <w:rsid w:val="7E942AB7"/>
    <w:rsid w:val="7E9E2D58"/>
    <w:rsid w:val="7EB8E232"/>
    <w:rsid w:val="7F1AA0C4"/>
    <w:rsid w:val="7F2DBE7F"/>
    <w:rsid w:val="7F632EB3"/>
    <w:rsid w:val="7F967422"/>
    <w:rsid w:val="7FC8C4C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1D532"/>
  <w15:docId w15:val="{47652A89-F3A7-4B32-82C7-E191CC1F1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698E"/>
    <w:rPr>
      <w:lang w:val="lv-LV"/>
    </w:rPr>
  </w:style>
  <w:style w:type="paragraph" w:styleId="Heading1">
    <w:name w:val="heading 1"/>
    <w:basedOn w:val="Normal"/>
    <w:next w:val="Normal"/>
    <w:link w:val="Heading1Char"/>
    <w:uiPriority w:val="9"/>
    <w:qFormat/>
    <w:rsid w:val="00AF4C4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F4C40"/>
    <w:pPr>
      <w:keepNext/>
      <w:spacing w:before="240" w:after="60" w:line="240" w:lineRule="auto"/>
      <w:ind w:firstLine="851"/>
      <w:jc w:val="both"/>
      <w:outlineLvl w:val="1"/>
    </w:pPr>
    <w:rPr>
      <w:rFonts w:ascii="Cambria" w:eastAsia="Times New Roman" w:hAnsi="Cambria" w:cs="Times New Roman"/>
      <w:b/>
      <w:bCs/>
      <w:i/>
      <w:iCs/>
      <w:sz w:val="28"/>
      <w:szCs w:val="28"/>
      <w:lang w:eastAsia="lv-LV"/>
    </w:rPr>
  </w:style>
  <w:style w:type="paragraph" w:styleId="Heading3">
    <w:name w:val="heading 3"/>
    <w:basedOn w:val="Normal"/>
    <w:next w:val="Normal"/>
    <w:link w:val="Heading3Char"/>
    <w:uiPriority w:val="99"/>
    <w:unhideWhenUsed/>
    <w:qFormat/>
    <w:rsid w:val="00AF4C40"/>
    <w:pPr>
      <w:keepNext/>
      <w:keepLines/>
      <w:spacing w:before="200" w:after="0"/>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iPriority w:val="99"/>
    <w:unhideWhenUsed/>
    <w:qFormat/>
    <w:rsid w:val="00AF4C40"/>
    <w:pPr>
      <w:keepNext/>
      <w:keepLines/>
      <w:spacing w:before="200" w:after="0"/>
      <w:outlineLvl w:val="3"/>
    </w:pPr>
    <w:rPr>
      <w:rFonts w:ascii="Calibri Light" w:eastAsia="Times New Roman" w:hAnsi="Calibri Light" w:cs="Times New Roman"/>
      <w:b/>
      <w:bCs/>
      <w:i/>
      <w:iCs/>
      <w:color w:val="5B9BD5"/>
    </w:rPr>
  </w:style>
  <w:style w:type="paragraph" w:styleId="Heading5">
    <w:name w:val="heading 5"/>
    <w:basedOn w:val="Normal"/>
    <w:next w:val="Normal"/>
    <w:link w:val="Heading5Char"/>
    <w:uiPriority w:val="99"/>
    <w:unhideWhenUsed/>
    <w:qFormat/>
    <w:rsid w:val="00AF4C40"/>
    <w:pPr>
      <w:keepNext/>
      <w:keepLines/>
      <w:spacing w:before="200" w:after="0"/>
      <w:outlineLvl w:val="4"/>
    </w:pPr>
    <w:rPr>
      <w:rFonts w:eastAsia="Times New Roman"/>
      <w:b/>
      <w:bCs/>
      <w:i/>
      <w:iCs/>
      <w:sz w:val="26"/>
      <w:szCs w:val="26"/>
      <w:lang w:val="en-US"/>
    </w:rPr>
  </w:style>
  <w:style w:type="paragraph" w:styleId="Heading6">
    <w:name w:val="heading 6"/>
    <w:basedOn w:val="Normal"/>
    <w:next w:val="Normal"/>
    <w:link w:val="Heading6Char"/>
    <w:qFormat/>
    <w:rsid w:val="00AF4C40"/>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9"/>
    <w:unhideWhenUsed/>
    <w:qFormat/>
    <w:rsid w:val="00AF4C40"/>
    <w:pPr>
      <w:keepNext/>
      <w:keepLines/>
      <w:spacing w:before="200" w:after="0"/>
      <w:outlineLvl w:val="6"/>
    </w:pPr>
    <w:rPr>
      <w:rFonts w:eastAsia="Times New Roman"/>
      <w:sz w:val="24"/>
      <w:szCs w:val="24"/>
      <w:lang w:val="en-US"/>
    </w:rPr>
  </w:style>
  <w:style w:type="paragraph" w:styleId="Heading8">
    <w:name w:val="heading 8"/>
    <w:basedOn w:val="Normal"/>
    <w:next w:val="Normal"/>
    <w:link w:val="Heading8Char"/>
    <w:uiPriority w:val="99"/>
    <w:unhideWhenUsed/>
    <w:qFormat/>
    <w:rsid w:val="00AF4C40"/>
    <w:pPr>
      <w:keepNext/>
      <w:keepLines/>
      <w:spacing w:before="200" w:after="0"/>
      <w:outlineLvl w:val="7"/>
    </w:pPr>
    <w:rPr>
      <w:rFonts w:eastAsia="Times New Roman"/>
      <w:i/>
      <w:iCs/>
      <w:sz w:val="24"/>
      <w:szCs w:val="24"/>
      <w:lang w:val="en-US"/>
    </w:rPr>
  </w:style>
  <w:style w:type="paragraph" w:styleId="Heading9">
    <w:name w:val="heading 9"/>
    <w:basedOn w:val="Normal"/>
    <w:next w:val="Normal"/>
    <w:link w:val="Heading9Char"/>
    <w:uiPriority w:val="99"/>
    <w:unhideWhenUsed/>
    <w:qFormat/>
    <w:rsid w:val="00AF4C40"/>
    <w:pPr>
      <w:keepNext/>
      <w:keepLines/>
      <w:spacing w:before="200" w:after="0"/>
      <w:outlineLvl w:val="8"/>
    </w:pPr>
    <w:rPr>
      <w:rFonts w:ascii="Calibri Light" w:eastAsia="Times New Roman" w:hAnsi="Calibri Light"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irsraksts11">
    <w:name w:val="Virsraksts 11"/>
    <w:basedOn w:val="Normal"/>
    <w:next w:val="Normal"/>
    <w:link w:val="Virsraksts1Rakstz"/>
    <w:uiPriority w:val="9"/>
    <w:qFormat/>
    <w:rsid w:val="00AF4C40"/>
    <w:pPr>
      <w:keepNext/>
      <w:keepLines/>
      <w:spacing w:before="240" w:after="0"/>
      <w:ind w:firstLine="851"/>
      <w:jc w:val="both"/>
      <w:outlineLvl w:val="0"/>
    </w:pPr>
    <w:rPr>
      <w:rFonts w:ascii="Calibri Light" w:eastAsia="Times New Roman" w:hAnsi="Calibri Light" w:cs="Times New Roman"/>
      <w:color w:val="2E74B5"/>
      <w:sz w:val="32"/>
      <w:szCs w:val="32"/>
    </w:rPr>
  </w:style>
  <w:style w:type="character" w:customStyle="1" w:styleId="Heading2Char">
    <w:name w:val="Heading 2 Char"/>
    <w:basedOn w:val="DefaultParagraphFont"/>
    <w:link w:val="Heading2"/>
    <w:uiPriority w:val="9"/>
    <w:rsid w:val="00AF4C40"/>
    <w:rPr>
      <w:rFonts w:ascii="Cambria" w:eastAsia="Times New Roman" w:hAnsi="Cambria" w:cs="Times New Roman"/>
      <w:b/>
      <w:bCs/>
      <w:i/>
      <w:iCs/>
      <w:sz w:val="28"/>
      <w:szCs w:val="28"/>
      <w:lang w:val="lv-LV" w:eastAsia="lv-LV"/>
    </w:rPr>
  </w:style>
  <w:style w:type="paragraph" w:customStyle="1" w:styleId="Virsraksts31">
    <w:name w:val="Virsraksts 31"/>
    <w:basedOn w:val="Normal"/>
    <w:next w:val="Normal"/>
    <w:uiPriority w:val="9"/>
    <w:unhideWhenUsed/>
    <w:qFormat/>
    <w:rsid w:val="00AF4C40"/>
    <w:pPr>
      <w:keepNext/>
      <w:keepLines/>
      <w:spacing w:before="40" w:after="0"/>
      <w:outlineLvl w:val="2"/>
    </w:pPr>
    <w:rPr>
      <w:rFonts w:ascii="Times New Roman" w:eastAsia="Times New Roman" w:hAnsi="Times New Roman" w:cs="Times New Roman"/>
      <w:b/>
      <w:sz w:val="24"/>
      <w:szCs w:val="24"/>
    </w:rPr>
  </w:style>
  <w:style w:type="paragraph" w:customStyle="1" w:styleId="Virsraksts41">
    <w:name w:val="Virsraksts 41"/>
    <w:basedOn w:val="Normal"/>
    <w:next w:val="Normal"/>
    <w:uiPriority w:val="9"/>
    <w:semiHidden/>
    <w:unhideWhenUsed/>
    <w:qFormat/>
    <w:rsid w:val="00AF4C40"/>
    <w:pPr>
      <w:keepNext/>
      <w:keepLines/>
      <w:spacing w:before="200" w:after="0"/>
      <w:ind w:firstLine="851"/>
      <w:jc w:val="both"/>
      <w:outlineLvl w:val="3"/>
    </w:pPr>
    <w:rPr>
      <w:rFonts w:ascii="Calibri Light" w:eastAsia="Times New Roman" w:hAnsi="Calibri Light" w:cs="Times New Roman"/>
      <w:b/>
      <w:bCs/>
      <w:i/>
      <w:iCs/>
      <w:color w:val="5B9BD5"/>
      <w:sz w:val="24"/>
    </w:rPr>
  </w:style>
  <w:style w:type="paragraph" w:customStyle="1" w:styleId="Virsraksts51">
    <w:name w:val="Virsraksts 51"/>
    <w:basedOn w:val="Normal"/>
    <w:next w:val="Normal"/>
    <w:uiPriority w:val="9"/>
    <w:semiHidden/>
    <w:unhideWhenUsed/>
    <w:qFormat/>
    <w:rsid w:val="00AF4C40"/>
    <w:pPr>
      <w:tabs>
        <w:tab w:val="num" w:pos="3600"/>
      </w:tabs>
      <w:spacing w:before="240" w:after="60" w:line="240" w:lineRule="auto"/>
      <w:ind w:left="3600" w:hanging="720"/>
      <w:outlineLvl w:val="4"/>
    </w:pPr>
    <w:rPr>
      <w:rFonts w:eastAsia="Times New Roman"/>
      <w:b/>
      <w:bCs/>
      <w:i/>
      <w:iCs/>
      <w:sz w:val="26"/>
      <w:szCs w:val="26"/>
      <w:lang w:val="en-US"/>
    </w:rPr>
  </w:style>
  <w:style w:type="character" w:customStyle="1" w:styleId="Heading6Char">
    <w:name w:val="Heading 6 Char"/>
    <w:basedOn w:val="DefaultParagraphFont"/>
    <w:link w:val="Heading6"/>
    <w:uiPriority w:val="99"/>
    <w:rsid w:val="00AF4C40"/>
    <w:rPr>
      <w:rFonts w:ascii="Times New Roman" w:eastAsia="Times New Roman" w:hAnsi="Times New Roman" w:cs="Times New Roman"/>
      <w:b/>
      <w:bCs/>
      <w:lang w:val="en-US"/>
    </w:rPr>
  </w:style>
  <w:style w:type="paragraph" w:customStyle="1" w:styleId="Virsraksts71">
    <w:name w:val="Virsraksts 71"/>
    <w:basedOn w:val="Normal"/>
    <w:next w:val="Normal"/>
    <w:uiPriority w:val="9"/>
    <w:semiHidden/>
    <w:unhideWhenUsed/>
    <w:qFormat/>
    <w:rsid w:val="00AF4C40"/>
    <w:pPr>
      <w:tabs>
        <w:tab w:val="num" w:pos="5040"/>
      </w:tabs>
      <w:spacing w:before="240" w:after="60" w:line="240" w:lineRule="auto"/>
      <w:ind w:left="5040" w:hanging="720"/>
      <w:outlineLvl w:val="6"/>
    </w:pPr>
    <w:rPr>
      <w:rFonts w:eastAsia="Times New Roman"/>
      <w:sz w:val="24"/>
      <w:szCs w:val="24"/>
      <w:lang w:val="en-US"/>
    </w:rPr>
  </w:style>
  <w:style w:type="paragraph" w:customStyle="1" w:styleId="Virsraksts81">
    <w:name w:val="Virsraksts 81"/>
    <w:basedOn w:val="Normal"/>
    <w:next w:val="Normal"/>
    <w:uiPriority w:val="9"/>
    <w:semiHidden/>
    <w:unhideWhenUsed/>
    <w:qFormat/>
    <w:rsid w:val="00AF4C40"/>
    <w:pPr>
      <w:tabs>
        <w:tab w:val="num" w:pos="5760"/>
      </w:tabs>
      <w:spacing w:before="240" w:after="60" w:line="240" w:lineRule="auto"/>
      <w:ind w:left="5760" w:hanging="720"/>
      <w:outlineLvl w:val="7"/>
    </w:pPr>
    <w:rPr>
      <w:rFonts w:eastAsia="Times New Roman"/>
      <w:i/>
      <w:iCs/>
      <w:sz w:val="24"/>
      <w:szCs w:val="24"/>
      <w:lang w:val="en-US"/>
    </w:rPr>
  </w:style>
  <w:style w:type="paragraph" w:customStyle="1" w:styleId="Virsraksts91">
    <w:name w:val="Virsraksts 91"/>
    <w:basedOn w:val="Normal"/>
    <w:next w:val="Normal"/>
    <w:uiPriority w:val="9"/>
    <w:semiHidden/>
    <w:unhideWhenUsed/>
    <w:qFormat/>
    <w:rsid w:val="00AF4C40"/>
    <w:pPr>
      <w:tabs>
        <w:tab w:val="num" w:pos="6480"/>
      </w:tabs>
      <w:spacing w:before="240" w:after="60" w:line="240" w:lineRule="auto"/>
      <w:ind w:left="6480" w:hanging="720"/>
      <w:outlineLvl w:val="8"/>
    </w:pPr>
    <w:rPr>
      <w:rFonts w:ascii="Calibri Light" w:eastAsia="Times New Roman" w:hAnsi="Calibri Light" w:cs="Times New Roman"/>
      <w:lang w:val="en-US"/>
    </w:rPr>
  </w:style>
  <w:style w:type="numbering" w:customStyle="1" w:styleId="Bezsaraksta1">
    <w:name w:val="Bez saraksta1"/>
    <w:next w:val="NoList"/>
    <w:uiPriority w:val="99"/>
    <w:semiHidden/>
    <w:unhideWhenUsed/>
    <w:rsid w:val="00AF4C40"/>
  </w:style>
  <w:style w:type="character" w:styleId="Hyperlink">
    <w:name w:val="Hyperlink"/>
    <w:uiPriority w:val="99"/>
    <w:rsid w:val="00AF4C40"/>
    <w:rPr>
      <w:color w:val="333333"/>
      <w:u w:val="single"/>
    </w:rPr>
  </w:style>
  <w:style w:type="character" w:customStyle="1" w:styleId="Virsraksts1Rakstz">
    <w:name w:val="Virsraksts 1 Rakstz."/>
    <w:basedOn w:val="DefaultParagraphFont"/>
    <w:link w:val="Virsraksts11"/>
    <w:uiPriority w:val="9"/>
    <w:rsid w:val="00AF4C40"/>
    <w:rPr>
      <w:rFonts w:ascii="Calibri Light" w:eastAsia="Times New Roman" w:hAnsi="Calibri Light" w:cs="Times New Roman"/>
      <w:color w:val="2E74B5"/>
      <w:sz w:val="32"/>
      <w:szCs w:val="32"/>
    </w:rPr>
  </w:style>
  <w:style w:type="character" w:customStyle="1" w:styleId="Heading1Char">
    <w:name w:val="Heading 1 Char"/>
    <w:basedOn w:val="DefaultParagraphFont"/>
    <w:link w:val="Heading1"/>
    <w:uiPriority w:val="9"/>
    <w:rsid w:val="00AF4C40"/>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AF4C40"/>
    <w:pPr>
      <w:ind w:firstLine="851"/>
      <w:jc w:val="both"/>
      <w:outlineLvl w:val="9"/>
    </w:pPr>
    <w:rPr>
      <w:lang w:val="en-US" w:eastAsia="ja-JP"/>
    </w:rPr>
  </w:style>
  <w:style w:type="paragraph" w:styleId="TOC1">
    <w:name w:val="toc 1"/>
    <w:basedOn w:val="Normal"/>
    <w:next w:val="Normal"/>
    <w:autoRedefine/>
    <w:uiPriority w:val="39"/>
    <w:rsid w:val="00743C75"/>
    <w:pPr>
      <w:tabs>
        <w:tab w:val="right" w:leader="dot" w:pos="8931"/>
      </w:tabs>
      <w:spacing w:after="0" w:line="240" w:lineRule="auto"/>
      <w:jc w:val="both"/>
    </w:pPr>
    <w:rPr>
      <w:rFonts w:ascii="Times New Roman" w:eastAsia="Calibri" w:hAnsi="Times New Roman" w:cs="Times New Roman"/>
      <w:b/>
      <w:sz w:val="24"/>
      <w:lang w:val="en-US"/>
    </w:rPr>
  </w:style>
  <w:style w:type="paragraph" w:styleId="TOC2">
    <w:name w:val="toc 2"/>
    <w:basedOn w:val="Normal"/>
    <w:next w:val="Normal"/>
    <w:autoRedefine/>
    <w:uiPriority w:val="39"/>
    <w:rsid w:val="00BB7169"/>
    <w:pPr>
      <w:tabs>
        <w:tab w:val="right" w:leader="dot" w:pos="8931"/>
      </w:tabs>
      <w:spacing w:after="0" w:line="240" w:lineRule="auto"/>
      <w:ind w:left="426" w:hanging="426"/>
      <w:jc w:val="both"/>
    </w:pPr>
    <w:rPr>
      <w:rFonts w:ascii="Times New Roman" w:eastAsia="Calibri" w:hAnsi="Times New Roman" w:cs="Times New Roman"/>
      <w:caps/>
      <w:sz w:val="24"/>
      <w:szCs w:val="24"/>
    </w:rPr>
  </w:style>
  <w:style w:type="paragraph" w:styleId="TOC3">
    <w:name w:val="toc 3"/>
    <w:basedOn w:val="Normal"/>
    <w:next w:val="Normal"/>
    <w:autoRedefine/>
    <w:uiPriority w:val="39"/>
    <w:rsid w:val="00160B6B"/>
    <w:pPr>
      <w:tabs>
        <w:tab w:val="right" w:leader="dot" w:pos="8931"/>
        <w:tab w:val="right" w:leader="dot" w:pos="9016"/>
      </w:tabs>
      <w:spacing w:after="0" w:line="240" w:lineRule="auto"/>
      <w:ind w:left="567" w:hanging="567"/>
      <w:jc w:val="both"/>
    </w:pPr>
    <w:rPr>
      <w:rFonts w:ascii="Times New Roman" w:eastAsia="Calibri" w:hAnsi="Times New Roman" w:cs="Calibri"/>
      <w:sz w:val="24"/>
    </w:rPr>
  </w:style>
  <w:style w:type="paragraph" w:styleId="NormalWeb">
    <w:name w:val="Normal (Web)"/>
    <w:basedOn w:val="Normal"/>
    <w:uiPriority w:val="99"/>
    <w:rsid w:val="00AF4C40"/>
    <w:pPr>
      <w:spacing w:before="75" w:after="75" w:line="240" w:lineRule="auto"/>
      <w:ind w:firstLine="851"/>
      <w:jc w:val="both"/>
    </w:pPr>
    <w:rPr>
      <w:rFonts w:ascii="Times New Roman" w:eastAsia="Times New Roman" w:hAnsi="Times New Roman" w:cs="Times New Roman"/>
      <w:sz w:val="24"/>
      <w:szCs w:val="24"/>
      <w:lang w:eastAsia="lv-LV"/>
    </w:rPr>
  </w:style>
  <w:style w:type="character" w:styleId="Strong">
    <w:name w:val="Strong"/>
    <w:uiPriority w:val="22"/>
    <w:qFormat/>
    <w:rsid w:val="00AF4C40"/>
    <w:rPr>
      <w:b/>
      <w:bCs/>
    </w:rPr>
  </w:style>
  <w:style w:type="paragraph" w:styleId="Title">
    <w:name w:val="Title"/>
    <w:basedOn w:val="Normal"/>
    <w:link w:val="TitleChar"/>
    <w:qFormat/>
    <w:rsid w:val="00AF4C40"/>
    <w:pPr>
      <w:spacing w:after="0" w:line="240" w:lineRule="auto"/>
      <w:ind w:firstLine="851"/>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uiPriority w:val="99"/>
    <w:rsid w:val="00AF4C40"/>
    <w:rPr>
      <w:rFonts w:ascii="Times New Roman" w:eastAsia="Times New Roman" w:hAnsi="Times New Roman" w:cs="Times New Roman"/>
      <w:b/>
      <w:bCs/>
      <w:sz w:val="24"/>
      <w:szCs w:val="24"/>
      <w:lang w:val="lv-LV"/>
    </w:rPr>
  </w:style>
  <w:style w:type="paragraph" w:styleId="ListParagraph">
    <w:name w:val="List Paragraph"/>
    <w:aliases w:val="2,Numbered Para 1,Dot pt,List Paragraph Char Char Char,Indicator Text,List Paragraph1,Bullet Points,MAIN CONTENT,IFCL - List Paragraph,List Paragraph12,OBC Bullet,F5 List Paragraph,Colorful List - Accent 11,Bullet Styl,List Paragraph11"/>
    <w:basedOn w:val="Normal"/>
    <w:link w:val="ListParagraphChar1"/>
    <w:uiPriority w:val="34"/>
    <w:qFormat/>
    <w:rsid w:val="00AF4C40"/>
    <w:pPr>
      <w:spacing w:after="120"/>
      <w:ind w:left="720" w:firstLine="851"/>
      <w:contextualSpacing/>
      <w:jc w:val="both"/>
    </w:pPr>
    <w:rPr>
      <w:rFonts w:ascii="Times New Roman" w:eastAsia="Calibri" w:hAnsi="Times New Roman" w:cs="Calibri"/>
      <w:sz w:val="24"/>
    </w:rPr>
  </w:style>
  <w:style w:type="paragraph" w:customStyle="1" w:styleId="naisf">
    <w:name w:val="naisf"/>
    <w:basedOn w:val="Normal"/>
    <w:uiPriority w:val="99"/>
    <w:rsid w:val="00AF4C40"/>
    <w:pPr>
      <w:spacing w:before="75" w:after="75" w:line="240" w:lineRule="auto"/>
      <w:ind w:firstLine="375"/>
      <w:jc w:val="both"/>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unhideWhenUsed/>
    <w:rsid w:val="00AF4C40"/>
    <w:pPr>
      <w:spacing w:after="0" w:line="240" w:lineRule="auto"/>
      <w:ind w:firstLine="851"/>
      <w:jc w:val="both"/>
    </w:pPr>
    <w:rPr>
      <w:rFonts w:ascii="Tahoma" w:eastAsia="Calibri" w:hAnsi="Tahoma" w:cs="Tahoma"/>
      <w:sz w:val="16"/>
      <w:szCs w:val="16"/>
    </w:rPr>
  </w:style>
  <w:style w:type="character" w:customStyle="1" w:styleId="BalloonTextChar">
    <w:name w:val="Balloon Text Char"/>
    <w:basedOn w:val="DefaultParagraphFont"/>
    <w:link w:val="BalloonText"/>
    <w:uiPriority w:val="99"/>
    <w:rsid w:val="00AF4C40"/>
    <w:rPr>
      <w:rFonts w:ascii="Tahoma" w:eastAsia="Calibri" w:hAnsi="Tahoma" w:cs="Tahoma"/>
      <w:sz w:val="16"/>
      <w:szCs w:val="16"/>
      <w:lang w:val="lv-LV"/>
    </w:rPr>
  </w:style>
  <w:style w:type="paragraph" w:styleId="EndnoteText">
    <w:name w:val="endnote text"/>
    <w:basedOn w:val="Normal"/>
    <w:link w:val="EndnoteTextChar"/>
    <w:uiPriority w:val="99"/>
    <w:semiHidden/>
    <w:unhideWhenUsed/>
    <w:rsid w:val="00AF4C40"/>
    <w:pPr>
      <w:spacing w:after="0" w:line="240" w:lineRule="auto"/>
      <w:ind w:firstLine="851"/>
      <w:jc w:val="both"/>
    </w:pPr>
    <w:rPr>
      <w:rFonts w:ascii="Times New Roman" w:eastAsia="Calibri" w:hAnsi="Times New Roman" w:cs="Calibri"/>
      <w:sz w:val="20"/>
      <w:szCs w:val="20"/>
    </w:rPr>
  </w:style>
  <w:style w:type="character" w:customStyle="1" w:styleId="EndnoteTextChar">
    <w:name w:val="Endnote Text Char"/>
    <w:basedOn w:val="DefaultParagraphFont"/>
    <w:link w:val="EndnoteText"/>
    <w:uiPriority w:val="99"/>
    <w:semiHidden/>
    <w:rsid w:val="00AF4C40"/>
    <w:rPr>
      <w:rFonts w:ascii="Times New Roman" w:eastAsia="Calibri" w:hAnsi="Times New Roman" w:cs="Calibri"/>
      <w:sz w:val="20"/>
      <w:szCs w:val="20"/>
      <w:lang w:val="lv-LV"/>
    </w:rPr>
  </w:style>
  <w:style w:type="character" w:styleId="EndnoteReference">
    <w:name w:val="endnote reference"/>
    <w:basedOn w:val="DefaultParagraphFont"/>
    <w:uiPriority w:val="99"/>
    <w:semiHidden/>
    <w:unhideWhenUsed/>
    <w:rsid w:val="00AF4C40"/>
    <w:rPr>
      <w:vertAlign w:val="superscript"/>
    </w:rPr>
  </w:style>
  <w:style w:type="paragraph" w:styleId="BodyText">
    <w:name w:val="Body Text"/>
    <w:basedOn w:val="Normal"/>
    <w:link w:val="BodyTextChar"/>
    <w:uiPriority w:val="99"/>
    <w:qFormat/>
    <w:rsid w:val="00AF4C40"/>
    <w:pPr>
      <w:spacing w:after="0" w:line="240" w:lineRule="auto"/>
      <w:ind w:firstLine="851"/>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AF4C40"/>
    <w:rPr>
      <w:rFonts w:ascii="Times New Roman" w:eastAsia="Times New Roman" w:hAnsi="Times New Roman" w:cs="Times New Roman"/>
      <w:sz w:val="24"/>
      <w:szCs w:val="24"/>
      <w:lang w:val="lv-LV"/>
    </w:rPr>
  </w:style>
  <w:style w:type="paragraph" w:styleId="FootnoteText">
    <w:name w:val="footnote text"/>
    <w:basedOn w:val="Normal"/>
    <w:link w:val="FootnoteTextChar"/>
    <w:uiPriority w:val="99"/>
    <w:rsid w:val="00AF4C40"/>
    <w:pPr>
      <w:spacing w:after="0" w:line="240" w:lineRule="auto"/>
      <w:ind w:firstLine="851"/>
      <w:jc w:val="both"/>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AF4C40"/>
    <w:rPr>
      <w:rFonts w:ascii="Times New Roman" w:eastAsia="Times New Roman" w:hAnsi="Times New Roman" w:cs="Times New Roman"/>
      <w:sz w:val="20"/>
      <w:szCs w:val="20"/>
    </w:rPr>
  </w:style>
  <w:style w:type="paragraph" w:customStyle="1" w:styleId="4cipariapaksdalas">
    <w:name w:val="4 cipari apaksdalas"/>
    <w:basedOn w:val="Normal"/>
    <w:uiPriority w:val="99"/>
    <w:rsid w:val="00AF4C40"/>
    <w:pPr>
      <w:widowControl w:val="0"/>
      <w:overflowPunct w:val="0"/>
      <w:autoSpaceDE w:val="0"/>
      <w:autoSpaceDN w:val="0"/>
      <w:adjustRightInd w:val="0"/>
      <w:spacing w:after="0" w:line="240" w:lineRule="auto"/>
      <w:ind w:firstLine="851"/>
      <w:jc w:val="both"/>
      <w:textAlignment w:val="baseline"/>
    </w:pPr>
    <w:rPr>
      <w:rFonts w:ascii="Times New Roman" w:eastAsia="Times New Roman" w:hAnsi="Times New Roman" w:cs="Times New Roman"/>
      <w:b/>
      <w:bCs/>
      <w:i/>
      <w:iCs/>
      <w:sz w:val="24"/>
      <w:szCs w:val="24"/>
    </w:rPr>
  </w:style>
  <w:style w:type="paragraph" w:styleId="List">
    <w:name w:val="List"/>
    <w:basedOn w:val="Normal"/>
    <w:uiPriority w:val="99"/>
    <w:rsid w:val="00AF4C40"/>
    <w:pPr>
      <w:spacing w:after="0" w:line="240" w:lineRule="auto"/>
      <w:ind w:left="360" w:hanging="360"/>
      <w:jc w:val="both"/>
    </w:pPr>
    <w:rPr>
      <w:rFonts w:ascii="Times New Roman" w:eastAsia="Times New Roman" w:hAnsi="Times New Roman" w:cs="Times New Roman"/>
      <w:sz w:val="24"/>
      <w:szCs w:val="24"/>
      <w:lang w:val="en-US"/>
    </w:rPr>
  </w:style>
  <w:style w:type="character" w:customStyle="1" w:styleId="st">
    <w:name w:val="st"/>
    <w:basedOn w:val="DefaultParagraphFont"/>
    <w:rsid w:val="00AF4C40"/>
  </w:style>
  <w:style w:type="character" w:styleId="CommentReference">
    <w:name w:val="annotation reference"/>
    <w:basedOn w:val="DefaultParagraphFont"/>
    <w:uiPriority w:val="99"/>
    <w:semiHidden/>
    <w:unhideWhenUsed/>
    <w:rsid w:val="00AF4C40"/>
    <w:rPr>
      <w:sz w:val="16"/>
      <w:szCs w:val="16"/>
    </w:rPr>
  </w:style>
  <w:style w:type="paragraph" w:styleId="CommentText">
    <w:name w:val="annotation text"/>
    <w:basedOn w:val="Normal"/>
    <w:link w:val="CommentTextChar"/>
    <w:uiPriority w:val="99"/>
    <w:unhideWhenUsed/>
    <w:rsid w:val="00AF4C40"/>
    <w:pPr>
      <w:spacing w:after="120" w:line="240" w:lineRule="auto"/>
      <w:ind w:firstLine="851"/>
      <w:jc w:val="both"/>
    </w:pPr>
    <w:rPr>
      <w:rFonts w:ascii="Times New Roman" w:eastAsia="Calibri" w:hAnsi="Times New Roman" w:cs="Calibri"/>
      <w:sz w:val="20"/>
      <w:szCs w:val="20"/>
    </w:rPr>
  </w:style>
  <w:style w:type="character" w:customStyle="1" w:styleId="CommentTextChar">
    <w:name w:val="Comment Text Char"/>
    <w:basedOn w:val="DefaultParagraphFont"/>
    <w:link w:val="CommentText"/>
    <w:uiPriority w:val="99"/>
    <w:rsid w:val="00AF4C40"/>
    <w:rPr>
      <w:rFonts w:ascii="Times New Roman" w:eastAsia="Calibri" w:hAnsi="Times New Roman" w:cs="Calibri"/>
      <w:sz w:val="20"/>
      <w:szCs w:val="20"/>
      <w:lang w:val="lv-LV"/>
    </w:rPr>
  </w:style>
  <w:style w:type="paragraph" w:styleId="CommentSubject">
    <w:name w:val="annotation subject"/>
    <w:basedOn w:val="CommentText"/>
    <w:next w:val="CommentText"/>
    <w:link w:val="CommentSubjectChar"/>
    <w:uiPriority w:val="99"/>
    <w:semiHidden/>
    <w:unhideWhenUsed/>
    <w:rsid w:val="00AF4C40"/>
    <w:rPr>
      <w:b/>
      <w:bCs/>
    </w:rPr>
  </w:style>
  <w:style w:type="character" w:customStyle="1" w:styleId="CommentSubjectChar">
    <w:name w:val="Comment Subject Char"/>
    <w:basedOn w:val="CommentTextChar"/>
    <w:link w:val="CommentSubject"/>
    <w:uiPriority w:val="99"/>
    <w:semiHidden/>
    <w:rsid w:val="00AF4C40"/>
    <w:rPr>
      <w:rFonts w:ascii="Times New Roman" w:eastAsia="Calibri" w:hAnsi="Times New Roman" w:cs="Calibri"/>
      <w:b/>
      <w:bCs/>
      <w:sz w:val="20"/>
      <w:szCs w:val="20"/>
      <w:lang w:val="lv-LV"/>
    </w:rPr>
  </w:style>
  <w:style w:type="character" w:customStyle="1" w:styleId="colora">
    <w:name w:val="colora"/>
    <w:basedOn w:val="DefaultParagraphFont"/>
    <w:rsid w:val="00AF4C40"/>
  </w:style>
  <w:style w:type="paragraph" w:styleId="Header">
    <w:name w:val="header"/>
    <w:basedOn w:val="Normal"/>
    <w:link w:val="HeaderChar"/>
    <w:uiPriority w:val="99"/>
    <w:unhideWhenUsed/>
    <w:rsid w:val="00AF4C40"/>
    <w:pPr>
      <w:tabs>
        <w:tab w:val="center" w:pos="4153"/>
        <w:tab w:val="right" w:pos="8306"/>
      </w:tabs>
      <w:spacing w:after="0" w:line="240" w:lineRule="auto"/>
      <w:ind w:firstLine="851"/>
      <w:jc w:val="both"/>
    </w:pPr>
    <w:rPr>
      <w:rFonts w:ascii="Times New Roman" w:eastAsia="Calibri" w:hAnsi="Times New Roman" w:cs="Calibri"/>
      <w:sz w:val="24"/>
    </w:rPr>
  </w:style>
  <w:style w:type="character" w:customStyle="1" w:styleId="HeaderChar">
    <w:name w:val="Header Char"/>
    <w:basedOn w:val="DefaultParagraphFont"/>
    <w:link w:val="Header"/>
    <w:uiPriority w:val="99"/>
    <w:rsid w:val="00AF4C40"/>
    <w:rPr>
      <w:rFonts w:ascii="Times New Roman" w:eastAsia="Calibri" w:hAnsi="Times New Roman" w:cs="Calibri"/>
      <w:sz w:val="24"/>
      <w:lang w:val="lv-LV"/>
    </w:rPr>
  </w:style>
  <w:style w:type="paragraph" w:styleId="Footer">
    <w:name w:val="footer"/>
    <w:basedOn w:val="Normal"/>
    <w:link w:val="FooterChar"/>
    <w:uiPriority w:val="99"/>
    <w:unhideWhenUsed/>
    <w:rsid w:val="00AF4C40"/>
    <w:pPr>
      <w:tabs>
        <w:tab w:val="center" w:pos="4153"/>
        <w:tab w:val="right" w:pos="8306"/>
      </w:tabs>
      <w:spacing w:after="0" w:line="240" w:lineRule="auto"/>
      <w:ind w:firstLine="851"/>
      <w:jc w:val="both"/>
    </w:pPr>
    <w:rPr>
      <w:rFonts w:ascii="Times New Roman" w:eastAsia="Calibri" w:hAnsi="Times New Roman" w:cs="Calibri"/>
      <w:sz w:val="24"/>
    </w:rPr>
  </w:style>
  <w:style w:type="character" w:customStyle="1" w:styleId="FooterChar">
    <w:name w:val="Footer Char"/>
    <w:basedOn w:val="DefaultParagraphFont"/>
    <w:link w:val="Footer"/>
    <w:uiPriority w:val="99"/>
    <w:rsid w:val="00AF4C40"/>
    <w:rPr>
      <w:rFonts w:ascii="Times New Roman" w:eastAsia="Calibri" w:hAnsi="Times New Roman" w:cs="Calibri"/>
      <w:sz w:val="24"/>
      <w:lang w:val="lv-LV"/>
    </w:rPr>
  </w:style>
  <w:style w:type="character" w:customStyle="1" w:styleId="apple-converted-space">
    <w:name w:val="apple-converted-space"/>
    <w:basedOn w:val="DefaultParagraphFont"/>
    <w:rsid w:val="00AF4C40"/>
  </w:style>
  <w:style w:type="table" w:styleId="TableGrid">
    <w:name w:val="Table Grid"/>
    <w:basedOn w:val="TableNormal"/>
    <w:uiPriority w:val="39"/>
    <w:rsid w:val="00AF4C4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AF4C40"/>
    <w:rPr>
      <w:i/>
      <w:iCs/>
    </w:rPr>
  </w:style>
  <w:style w:type="paragraph" w:styleId="BodyText2">
    <w:name w:val="Body Text 2"/>
    <w:basedOn w:val="Normal"/>
    <w:link w:val="BodyText2Char"/>
    <w:uiPriority w:val="99"/>
    <w:semiHidden/>
    <w:unhideWhenUsed/>
    <w:rsid w:val="00AF4C40"/>
    <w:pPr>
      <w:spacing w:after="120" w:line="480" w:lineRule="auto"/>
      <w:ind w:firstLine="851"/>
      <w:jc w:val="both"/>
    </w:pPr>
    <w:rPr>
      <w:rFonts w:ascii="Times New Roman" w:eastAsia="Calibri" w:hAnsi="Times New Roman" w:cs="Calibri"/>
      <w:sz w:val="24"/>
    </w:rPr>
  </w:style>
  <w:style w:type="character" w:customStyle="1" w:styleId="BodyText2Char">
    <w:name w:val="Body Text 2 Char"/>
    <w:basedOn w:val="DefaultParagraphFont"/>
    <w:link w:val="BodyText2"/>
    <w:uiPriority w:val="99"/>
    <w:semiHidden/>
    <w:rsid w:val="00AF4C40"/>
    <w:rPr>
      <w:rFonts w:ascii="Times New Roman" w:eastAsia="Calibri" w:hAnsi="Times New Roman" w:cs="Calibri"/>
      <w:sz w:val="24"/>
      <w:lang w:val="lv-LV"/>
    </w:rPr>
  </w:style>
  <w:style w:type="character" w:customStyle="1" w:styleId="value">
    <w:name w:val="value"/>
    <w:basedOn w:val="DefaultParagraphFont"/>
    <w:uiPriority w:val="99"/>
    <w:rsid w:val="00AF4C40"/>
  </w:style>
  <w:style w:type="paragraph" w:styleId="BodyTextIndent2">
    <w:name w:val="Body Text Indent 2"/>
    <w:basedOn w:val="Normal"/>
    <w:link w:val="BodyTextIndent2Char"/>
    <w:uiPriority w:val="99"/>
    <w:unhideWhenUsed/>
    <w:rsid w:val="00AF4C40"/>
    <w:pPr>
      <w:spacing w:after="120" w:line="480" w:lineRule="auto"/>
      <w:ind w:left="360" w:firstLine="851"/>
      <w:jc w:val="both"/>
    </w:pPr>
    <w:rPr>
      <w:rFonts w:ascii="Times New Roman" w:eastAsia="Calibri" w:hAnsi="Times New Roman" w:cs="Calibri"/>
      <w:sz w:val="24"/>
    </w:rPr>
  </w:style>
  <w:style w:type="character" w:customStyle="1" w:styleId="BodyTextIndent2Char">
    <w:name w:val="Body Text Indent 2 Char"/>
    <w:basedOn w:val="DefaultParagraphFont"/>
    <w:link w:val="BodyTextIndent2"/>
    <w:uiPriority w:val="99"/>
    <w:rsid w:val="00AF4C40"/>
    <w:rPr>
      <w:rFonts w:ascii="Times New Roman" w:eastAsia="Calibri" w:hAnsi="Times New Roman" w:cs="Calibri"/>
      <w:sz w:val="24"/>
      <w:lang w:val="lv-LV"/>
    </w:rPr>
  </w:style>
  <w:style w:type="character" w:customStyle="1" w:styleId="value1">
    <w:name w:val="value1"/>
    <w:uiPriority w:val="99"/>
    <w:rsid w:val="00AF4C40"/>
    <w:rPr>
      <w:b w:val="0"/>
      <w:bCs w:val="0"/>
    </w:rPr>
  </w:style>
  <w:style w:type="paragraph" w:customStyle="1" w:styleId="UzrakastDAP">
    <w:name w:val="Uzrakast DAP"/>
    <w:basedOn w:val="Heading1"/>
    <w:link w:val="UzrakastDAPChar"/>
    <w:uiPriority w:val="99"/>
    <w:qFormat/>
    <w:rsid w:val="00AF4C40"/>
    <w:pPr>
      <w:spacing w:before="240" w:after="160" w:line="259" w:lineRule="auto"/>
      <w:ind w:firstLine="851"/>
      <w:jc w:val="both"/>
    </w:pPr>
    <w:rPr>
      <w:rFonts w:ascii="Times New Roman" w:hAnsi="Times New Roman" w:cs="Times New Roman"/>
      <w:color w:val="000000"/>
      <w:lang w:eastAsia="ja-JP"/>
    </w:rPr>
  </w:style>
  <w:style w:type="paragraph" w:customStyle="1" w:styleId="UzrakstsDAP2">
    <w:name w:val="Uzraksts DAP 2"/>
    <w:basedOn w:val="Heading2"/>
    <w:link w:val="UzrakstsDAP2Char"/>
    <w:uiPriority w:val="99"/>
    <w:qFormat/>
    <w:rsid w:val="00AF4C40"/>
    <w:pPr>
      <w:numPr>
        <w:ilvl w:val="1"/>
        <w:numId w:val="4"/>
      </w:numPr>
      <w:jc w:val="center"/>
    </w:pPr>
    <w:rPr>
      <w:rFonts w:ascii="Times New Roman" w:hAnsi="Times New Roman"/>
      <w:bCs w:val="0"/>
      <w:i w:val="0"/>
      <w:color w:val="000000"/>
      <w:sz w:val="24"/>
      <w:szCs w:val="24"/>
      <w:lang w:eastAsia="ja-JP"/>
    </w:rPr>
  </w:style>
  <w:style w:type="character" w:customStyle="1" w:styleId="UzrakastDAPChar">
    <w:name w:val="Uzrakast DAP Char"/>
    <w:basedOn w:val="Virsraksts1Rakstz"/>
    <w:link w:val="UzrakastDAP"/>
    <w:uiPriority w:val="99"/>
    <w:rsid w:val="00AF4C40"/>
    <w:rPr>
      <w:rFonts w:ascii="Times New Roman" w:eastAsiaTheme="majorEastAsia" w:hAnsi="Times New Roman" w:cs="Times New Roman"/>
      <w:b/>
      <w:bCs/>
      <w:color w:val="000000"/>
      <w:sz w:val="28"/>
      <w:szCs w:val="28"/>
      <w:lang w:val="lv-LV" w:eastAsia="ja-JP"/>
    </w:rPr>
  </w:style>
  <w:style w:type="paragraph" w:styleId="NoSpacing">
    <w:name w:val="No Spacing"/>
    <w:uiPriority w:val="1"/>
    <w:qFormat/>
    <w:rsid w:val="00AF4C40"/>
    <w:pPr>
      <w:spacing w:after="0" w:line="240" w:lineRule="auto"/>
    </w:pPr>
    <w:rPr>
      <w:rFonts w:ascii="Calibri" w:eastAsia="Calibri" w:hAnsi="Calibri" w:cs="Calibri"/>
      <w:lang w:val="lv-LV"/>
    </w:rPr>
  </w:style>
  <w:style w:type="character" w:customStyle="1" w:styleId="UzrakstsDAP2Char">
    <w:name w:val="Uzraksts DAP 2 Char"/>
    <w:basedOn w:val="Heading2Char"/>
    <w:link w:val="UzrakstsDAP2"/>
    <w:uiPriority w:val="99"/>
    <w:rsid w:val="00AF4C40"/>
    <w:rPr>
      <w:rFonts w:ascii="Times New Roman" w:eastAsia="Times New Roman" w:hAnsi="Times New Roman" w:cs="Times New Roman"/>
      <w:b/>
      <w:bCs w:val="0"/>
      <w:i w:val="0"/>
      <w:iCs/>
      <w:color w:val="000000"/>
      <w:sz w:val="24"/>
      <w:szCs w:val="24"/>
      <w:lang w:val="lv-LV" w:eastAsia="ja-JP"/>
    </w:rPr>
  </w:style>
  <w:style w:type="character" w:customStyle="1" w:styleId="Heading4Char">
    <w:name w:val="Heading 4 Char"/>
    <w:basedOn w:val="DefaultParagraphFont"/>
    <w:link w:val="Heading4"/>
    <w:uiPriority w:val="99"/>
    <w:rsid w:val="00AF4C40"/>
    <w:rPr>
      <w:rFonts w:ascii="Calibri Light" w:eastAsia="Times New Roman" w:hAnsi="Calibri Light" w:cs="Times New Roman"/>
      <w:b/>
      <w:bCs/>
      <w:i/>
      <w:iCs/>
      <w:color w:val="5B9BD5"/>
    </w:rPr>
  </w:style>
  <w:style w:type="paragraph" w:customStyle="1" w:styleId="tv213">
    <w:name w:val="tv213"/>
    <w:basedOn w:val="Normal"/>
    <w:rsid w:val="00AF4C40"/>
    <w:pPr>
      <w:spacing w:before="100" w:beforeAutospacing="1" w:after="100" w:afterAutospacing="1" w:line="240" w:lineRule="auto"/>
      <w:ind w:firstLine="851"/>
      <w:jc w:val="both"/>
    </w:pPr>
    <w:rPr>
      <w:rFonts w:ascii="Times New Roman" w:eastAsia="Times New Roman" w:hAnsi="Times New Roman" w:cs="Times New Roman"/>
      <w:sz w:val="24"/>
      <w:szCs w:val="24"/>
      <w:lang w:eastAsia="lv-LV"/>
    </w:rPr>
  </w:style>
  <w:style w:type="character" w:customStyle="1" w:styleId="Heading3Char">
    <w:name w:val="Heading 3 Char"/>
    <w:basedOn w:val="DefaultParagraphFont"/>
    <w:link w:val="Heading3"/>
    <w:uiPriority w:val="99"/>
    <w:rsid w:val="00AF4C40"/>
    <w:rPr>
      <w:rFonts w:ascii="Times New Roman" w:eastAsia="Times New Roman" w:hAnsi="Times New Roman" w:cs="Times New Roman"/>
      <w:b/>
      <w:sz w:val="24"/>
      <w:szCs w:val="24"/>
    </w:rPr>
  </w:style>
  <w:style w:type="paragraph" w:customStyle="1" w:styleId="CM1">
    <w:name w:val="CM1"/>
    <w:basedOn w:val="Normal"/>
    <w:next w:val="Normal"/>
    <w:uiPriority w:val="99"/>
    <w:rsid w:val="00AF4C40"/>
    <w:pPr>
      <w:autoSpaceDE w:val="0"/>
      <w:autoSpaceDN w:val="0"/>
      <w:adjustRightInd w:val="0"/>
      <w:spacing w:after="0" w:line="240" w:lineRule="auto"/>
    </w:pPr>
    <w:rPr>
      <w:rFonts w:ascii="EUAlbertina" w:eastAsia="Calibri" w:hAnsi="EUAlbertina" w:cs="Times New Roman"/>
      <w:sz w:val="24"/>
      <w:szCs w:val="24"/>
      <w:lang w:val="en-US"/>
    </w:rPr>
  </w:style>
  <w:style w:type="paragraph" w:customStyle="1" w:styleId="Default">
    <w:name w:val="Default"/>
    <w:uiPriority w:val="99"/>
    <w:rsid w:val="00AF4C40"/>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ListParagraphChar1">
    <w:name w:val="List Paragraph Char1"/>
    <w:aliases w:val="2 Char1,Numbered Para 1 Char1,Dot pt Char1,List Paragraph Char Char Char Char1,Indicator Text Char1,List Paragraph1 Char1,Bullet Points Char1,MAIN CONTENT Char1,IFCL - List Paragraph Char1,List Paragraph12 Char1,OBC Bullet Char1"/>
    <w:link w:val="ListParagraph"/>
    <w:uiPriority w:val="34"/>
    <w:qFormat/>
    <w:locked/>
    <w:rsid w:val="00AF4C40"/>
    <w:rPr>
      <w:rFonts w:ascii="Times New Roman" w:eastAsia="Calibri" w:hAnsi="Times New Roman" w:cs="Calibri"/>
      <w:sz w:val="24"/>
      <w:lang w:val="lv-LV"/>
    </w:rPr>
  </w:style>
  <w:style w:type="paragraph" w:customStyle="1" w:styleId="tv213limenis2">
    <w:name w:val="tv213 limenis2"/>
    <w:basedOn w:val="Normal"/>
    <w:uiPriority w:val="99"/>
    <w:rsid w:val="00AF4C4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Normal"/>
    <w:uiPriority w:val="99"/>
    <w:rsid w:val="00AF4C40"/>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GridTable1Light1">
    <w:name w:val="Grid Table 1 Light1"/>
    <w:basedOn w:val="TableNormal"/>
    <w:uiPriority w:val="46"/>
    <w:rsid w:val="00AF4C40"/>
    <w:pPr>
      <w:spacing w:after="0" w:line="240" w:lineRule="auto"/>
    </w:pPr>
    <w:rPr>
      <w:rFonts w:ascii="Times New Roman" w:eastAsia="Calibri" w:hAnsi="Times New Roman"/>
      <w:sz w:val="24"/>
      <w:lang w:val="lv-LV"/>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Caption">
    <w:name w:val="caption"/>
    <w:basedOn w:val="Normal"/>
    <w:next w:val="Normal"/>
    <w:uiPriority w:val="35"/>
    <w:unhideWhenUsed/>
    <w:qFormat/>
    <w:rsid w:val="00AF4C40"/>
    <w:pPr>
      <w:spacing w:after="0" w:line="240" w:lineRule="auto"/>
      <w:jc w:val="both"/>
    </w:pPr>
    <w:rPr>
      <w:rFonts w:ascii="Times New Roman" w:eastAsia="Calibri" w:hAnsi="Times New Roman" w:cs="Times New Roman"/>
      <w:b/>
      <w:bCs/>
      <w:i/>
      <w:sz w:val="24"/>
      <w:szCs w:val="18"/>
    </w:rPr>
  </w:style>
  <w:style w:type="table" w:customStyle="1" w:styleId="Reatabula1">
    <w:name w:val="Režģa tabula1"/>
    <w:basedOn w:val="TableNormal"/>
    <w:next w:val="TableGrid"/>
    <w:uiPriority w:val="59"/>
    <w:rsid w:val="00AF4C40"/>
    <w:pPr>
      <w:spacing w:after="0" w:line="240" w:lineRule="auto"/>
    </w:pPr>
    <w:rPr>
      <w:rFonts w:ascii="Calibri" w:eastAsia="Calibri" w:hAnsi="Calibri" w:cs="Arial"/>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unhideWhenUsed/>
    <w:rsid w:val="00AF4C40"/>
    <w:rPr>
      <w:vertAlign w:val="superscript"/>
    </w:rPr>
  </w:style>
  <w:style w:type="table" w:customStyle="1" w:styleId="Reatabula2">
    <w:name w:val="Režģa tabula2"/>
    <w:basedOn w:val="TableNormal"/>
    <w:next w:val="TableGrid"/>
    <w:uiPriority w:val="59"/>
    <w:rsid w:val="00AF4C40"/>
    <w:pPr>
      <w:spacing w:after="0" w:line="240" w:lineRule="auto"/>
    </w:pPr>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3">
    <w:name w:val="A3"/>
    <w:uiPriority w:val="99"/>
    <w:rsid w:val="00AF4C40"/>
    <w:rPr>
      <w:rFonts w:cs="Minion Pro"/>
      <w:color w:val="000000"/>
    </w:rPr>
  </w:style>
  <w:style w:type="character" w:customStyle="1" w:styleId="Heading5Char">
    <w:name w:val="Heading 5 Char"/>
    <w:basedOn w:val="DefaultParagraphFont"/>
    <w:link w:val="Heading5"/>
    <w:uiPriority w:val="99"/>
    <w:rsid w:val="00AF4C40"/>
    <w:rPr>
      <w:rFonts w:eastAsia="Times New Roman"/>
      <w:b/>
      <w:bCs/>
      <w:i/>
      <w:iCs/>
      <w:sz w:val="26"/>
      <w:szCs w:val="26"/>
      <w:lang w:val="en-US"/>
    </w:rPr>
  </w:style>
  <w:style w:type="character" w:customStyle="1" w:styleId="Heading7Char">
    <w:name w:val="Heading 7 Char"/>
    <w:basedOn w:val="DefaultParagraphFont"/>
    <w:link w:val="Heading7"/>
    <w:uiPriority w:val="99"/>
    <w:rsid w:val="00AF4C40"/>
    <w:rPr>
      <w:rFonts w:eastAsia="Times New Roman"/>
      <w:sz w:val="24"/>
      <w:szCs w:val="24"/>
      <w:lang w:val="en-US"/>
    </w:rPr>
  </w:style>
  <w:style w:type="character" w:customStyle="1" w:styleId="Heading8Char">
    <w:name w:val="Heading 8 Char"/>
    <w:basedOn w:val="DefaultParagraphFont"/>
    <w:link w:val="Heading8"/>
    <w:uiPriority w:val="99"/>
    <w:rsid w:val="00AF4C40"/>
    <w:rPr>
      <w:rFonts w:eastAsia="Times New Roman"/>
      <w:i/>
      <w:iCs/>
      <w:sz w:val="24"/>
      <w:szCs w:val="24"/>
      <w:lang w:val="en-US"/>
    </w:rPr>
  </w:style>
  <w:style w:type="character" w:customStyle="1" w:styleId="Heading9Char">
    <w:name w:val="Heading 9 Char"/>
    <w:basedOn w:val="DefaultParagraphFont"/>
    <w:link w:val="Heading9"/>
    <w:uiPriority w:val="99"/>
    <w:rsid w:val="00AF4C40"/>
    <w:rPr>
      <w:rFonts w:ascii="Calibri Light" w:eastAsia="Times New Roman" w:hAnsi="Calibri Light" w:cs="Times New Roman"/>
      <w:lang w:val="en-US"/>
    </w:rPr>
  </w:style>
  <w:style w:type="paragraph" w:customStyle="1" w:styleId="CM3">
    <w:name w:val="CM3"/>
    <w:basedOn w:val="Normal"/>
    <w:next w:val="Normal"/>
    <w:uiPriority w:val="99"/>
    <w:rsid w:val="00AF4C40"/>
    <w:pPr>
      <w:autoSpaceDE w:val="0"/>
      <w:autoSpaceDN w:val="0"/>
      <w:adjustRightInd w:val="0"/>
      <w:spacing w:after="0" w:line="240" w:lineRule="auto"/>
    </w:pPr>
    <w:rPr>
      <w:rFonts w:ascii="EUAlbertina" w:eastAsia="Calibri" w:hAnsi="EUAlbertina" w:cs="Times New Roman"/>
      <w:sz w:val="24"/>
      <w:szCs w:val="24"/>
      <w:lang w:val="en-US"/>
    </w:rPr>
  </w:style>
  <w:style w:type="character" w:customStyle="1" w:styleId="sciname">
    <w:name w:val="sciname"/>
    <w:basedOn w:val="DefaultParagraphFont"/>
    <w:uiPriority w:val="99"/>
    <w:rsid w:val="00AF4C40"/>
  </w:style>
  <w:style w:type="character" w:customStyle="1" w:styleId="family">
    <w:name w:val="family"/>
    <w:basedOn w:val="DefaultParagraphFont"/>
    <w:uiPriority w:val="99"/>
    <w:rsid w:val="00AF4C40"/>
  </w:style>
  <w:style w:type="character" w:customStyle="1" w:styleId="A4">
    <w:name w:val="A4"/>
    <w:uiPriority w:val="99"/>
    <w:rsid w:val="00AF4C40"/>
    <w:rPr>
      <w:rFonts w:cs="Minion Pro"/>
      <w:color w:val="000000"/>
    </w:rPr>
  </w:style>
  <w:style w:type="paragraph" w:customStyle="1" w:styleId="Index">
    <w:name w:val="Index"/>
    <w:basedOn w:val="Normal"/>
    <w:uiPriority w:val="99"/>
    <w:rsid w:val="00AF4C40"/>
    <w:pPr>
      <w:suppressLineNumbers/>
      <w:suppressAutoHyphens/>
      <w:spacing w:after="0" w:line="240" w:lineRule="auto"/>
    </w:pPr>
    <w:rPr>
      <w:rFonts w:ascii="Times New Roman" w:eastAsia="Calibri" w:hAnsi="Times New Roman" w:cs="Tahoma"/>
      <w:sz w:val="24"/>
      <w:szCs w:val="20"/>
      <w:lang w:eastAsia="ar-SA"/>
    </w:rPr>
  </w:style>
  <w:style w:type="table" w:customStyle="1" w:styleId="Reatabula3">
    <w:name w:val="Režģa tabula3"/>
    <w:basedOn w:val="TableNormal"/>
    <w:next w:val="TableGrid"/>
    <w:uiPriority w:val="39"/>
    <w:rsid w:val="00AF4C40"/>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TableNormal"/>
    <w:next w:val="TableGrid"/>
    <w:uiPriority w:val="39"/>
    <w:rsid w:val="00AF4C40"/>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TableNormal"/>
    <w:next w:val="TableGrid"/>
    <w:uiPriority w:val="39"/>
    <w:rsid w:val="00AF4C40"/>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nhideWhenUsed/>
    <w:rsid w:val="00AF4C40"/>
    <w:pPr>
      <w:spacing w:after="120"/>
      <w:ind w:firstLine="851"/>
      <w:jc w:val="both"/>
    </w:pPr>
    <w:rPr>
      <w:rFonts w:ascii="Times New Roman" w:eastAsia="Calibri" w:hAnsi="Times New Roman" w:cs="Calibri"/>
      <w:sz w:val="16"/>
      <w:szCs w:val="16"/>
    </w:rPr>
  </w:style>
  <w:style w:type="character" w:customStyle="1" w:styleId="BodyText3Char">
    <w:name w:val="Body Text 3 Char"/>
    <w:basedOn w:val="DefaultParagraphFont"/>
    <w:link w:val="BodyText3"/>
    <w:uiPriority w:val="99"/>
    <w:rsid w:val="00AF4C40"/>
    <w:rPr>
      <w:rFonts w:ascii="Times New Roman" w:eastAsia="Calibri" w:hAnsi="Times New Roman" w:cs="Calibri"/>
      <w:sz w:val="16"/>
      <w:szCs w:val="16"/>
      <w:lang w:val="lv-LV"/>
    </w:rPr>
  </w:style>
  <w:style w:type="paragraph" w:customStyle="1" w:styleId="mklteksts">
    <w:name w:val="mkl_teksts"/>
    <w:basedOn w:val="Normal"/>
    <w:uiPriority w:val="99"/>
    <w:rsid w:val="00AF4C40"/>
    <w:pPr>
      <w:spacing w:after="0" w:line="288" w:lineRule="auto"/>
      <w:ind w:firstLine="284"/>
      <w:jc w:val="both"/>
    </w:pPr>
    <w:rPr>
      <w:rFonts w:ascii="Times New Roman" w:eastAsia="Times New Roman" w:hAnsi="Times New Roman" w:cs="Times New Roman"/>
      <w:szCs w:val="20"/>
      <w:lang w:eastAsia="lv-LV"/>
    </w:rPr>
  </w:style>
  <w:style w:type="paragraph" w:customStyle="1" w:styleId="xl29">
    <w:name w:val="xl29"/>
    <w:basedOn w:val="Normal"/>
    <w:uiPriority w:val="99"/>
    <w:rsid w:val="00AF4C40"/>
    <w:pPr>
      <w:spacing w:before="100" w:beforeAutospacing="1" w:after="100" w:afterAutospacing="1" w:line="240" w:lineRule="auto"/>
    </w:pPr>
    <w:rPr>
      <w:rFonts w:ascii="Arial" w:eastAsia="Arial Unicode MS" w:hAnsi="Arial" w:cs="Arial"/>
      <w:sz w:val="24"/>
      <w:szCs w:val="24"/>
    </w:rPr>
  </w:style>
  <w:style w:type="table" w:customStyle="1" w:styleId="Reatabula6">
    <w:name w:val="Režģa tabula6"/>
    <w:basedOn w:val="TableNormal"/>
    <w:next w:val="TableGrid"/>
    <w:uiPriority w:val="59"/>
    <w:rsid w:val="00AF4C40"/>
    <w:pPr>
      <w:spacing w:after="0" w:line="240" w:lineRule="auto"/>
    </w:pPr>
    <w:rPr>
      <w:rFonts w:ascii="Calibri" w:eastAsia="Calibri" w:hAnsi="Calibri" w:cs="Arial"/>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TableNormal"/>
    <w:next w:val="TableGrid"/>
    <w:uiPriority w:val="59"/>
    <w:rsid w:val="00AF4C40"/>
    <w:pPr>
      <w:spacing w:after="0" w:line="240" w:lineRule="auto"/>
    </w:pPr>
    <w:rPr>
      <w:rFonts w:eastAsia="Times New Roman"/>
      <w:lang w:val="lv-LV"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Virsraksts4Rakstz1">
    <w:name w:val="Virsraksts 4 Rakstz.1"/>
    <w:basedOn w:val="DefaultParagraphFont"/>
    <w:uiPriority w:val="9"/>
    <w:semiHidden/>
    <w:rsid w:val="00AF4C40"/>
    <w:rPr>
      <w:rFonts w:asciiTheme="majorHAnsi" w:eastAsiaTheme="majorEastAsia" w:hAnsiTheme="majorHAnsi" w:cstheme="majorBidi"/>
      <w:b/>
      <w:bCs/>
      <w:i/>
      <w:iCs/>
      <w:color w:val="4F81BD" w:themeColor="accent1"/>
    </w:rPr>
  </w:style>
  <w:style w:type="character" w:customStyle="1" w:styleId="Virsraksts3Rakstz1">
    <w:name w:val="Virsraksts 3 Rakstz.1"/>
    <w:basedOn w:val="DefaultParagraphFont"/>
    <w:uiPriority w:val="9"/>
    <w:semiHidden/>
    <w:rsid w:val="00AF4C40"/>
    <w:rPr>
      <w:rFonts w:asciiTheme="majorHAnsi" w:eastAsiaTheme="majorEastAsia" w:hAnsiTheme="majorHAnsi" w:cstheme="majorBidi"/>
      <w:b/>
      <w:bCs/>
      <w:color w:val="4F81BD" w:themeColor="accent1"/>
    </w:rPr>
  </w:style>
  <w:style w:type="character" w:customStyle="1" w:styleId="Virsraksts5Rakstz1">
    <w:name w:val="Virsraksts 5 Rakstz.1"/>
    <w:basedOn w:val="DefaultParagraphFont"/>
    <w:uiPriority w:val="9"/>
    <w:semiHidden/>
    <w:rsid w:val="00AF4C40"/>
    <w:rPr>
      <w:rFonts w:asciiTheme="majorHAnsi" w:eastAsiaTheme="majorEastAsia" w:hAnsiTheme="majorHAnsi" w:cstheme="majorBidi"/>
      <w:color w:val="243F60" w:themeColor="accent1" w:themeShade="7F"/>
    </w:rPr>
  </w:style>
  <w:style w:type="character" w:customStyle="1" w:styleId="Virsraksts7Rakstz1">
    <w:name w:val="Virsraksts 7 Rakstz.1"/>
    <w:basedOn w:val="DefaultParagraphFont"/>
    <w:uiPriority w:val="9"/>
    <w:semiHidden/>
    <w:rsid w:val="00AF4C40"/>
    <w:rPr>
      <w:rFonts w:asciiTheme="majorHAnsi" w:eastAsiaTheme="majorEastAsia" w:hAnsiTheme="majorHAnsi" w:cstheme="majorBidi"/>
      <w:i/>
      <w:iCs/>
      <w:color w:val="404040" w:themeColor="text1" w:themeTint="BF"/>
    </w:rPr>
  </w:style>
  <w:style w:type="character" w:customStyle="1" w:styleId="Virsraksts8Rakstz1">
    <w:name w:val="Virsraksts 8 Rakstz.1"/>
    <w:basedOn w:val="DefaultParagraphFont"/>
    <w:uiPriority w:val="9"/>
    <w:semiHidden/>
    <w:rsid w:val="00AF4C40"/>
    <w:rPr>
      <w:rFonts w:asciiTheme="majorHAnsi" w:eastAsiaTheme="majorEastAsia" w:hAnsiTheme="majorHAnsi" w:cstheme="majorBidi"/>
      <w:color w:val="404040" w:themeColor="text1" w:themeTint="BF"/>
      <w:sz w:val="20"/>
      <w:szCs w:val="20"/>
    </w:rPr>
  </w:style>
  <w:style w:type="character" w:customStyle="1" w:styleId="Virsraksts9Rakstz1">
    <w:name w:val="Virsraksts 9 Rakstz.1"/>
    <w:basedOn w:val="DefaultParagraphFont"/>
    <w:uiPriority w:val="9"/>
    <w:semiHidden/>
    <w:rsid w:val="00AF4C40"/>
    <w:rPr>
      <w:rFonts w:asciiTheme="majorHAnsi" w:eastAsiaTheme="majorEastAsia" w:hAnsiTheme="majorHAnsi" w:cstheme="majorBidi"/>
      <w:i/>
      <w:iCs/>
      <w:color w:val="404040" w:themeColor="text1" w:themeTint="BF"/>
      <w:sz w:val="20"/>
      <w:szCs w:val="20"/>
    </w:rPr>
  </w:style>
  <w:style w:type="table" w:customStyle="1" w:styleId="Reatabula8">
    <w:name w:val="Režģa tabula8"/>
    <w:basedOn w:val="TableNormal"/>
    <w:next w:val="TableGrid"/>
    <w:uiPriority w:val="59"/>
    <w:rsid w:val="00E5392D"/>
    <w:pPr>
      <w:spacing w:after="0" w:line="240" w:lineRule="auto"/>
    </w:pPr>
    <w:rPr>
      <w:rFonts w:ascii="Calibri" w:eastAsia="Times New Roman" w:hAnsi="Calibri" w:cs="Times New Roman"/>
      <w:sz w:val="20"/>
      <w:szCs w:val="20"/>
      <w:lang w:val="lv-LV"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E5392D"/>
    <w:pPr>
      <w:spacing w:after="0" w:line="240" w:lineRule="auto"/>
    </w:pPr>
    <w:rPr>
      <w:rFonts w:ascii="Calibri" w:eastAsia="Times New Roman" w:hAnsi="Calibri" w:cs="Times New Roman"/>
      <w:lang w:val="en-US"/>
    </w:rPr>
  </w:style>
  <w:style w:type="paragraph" w:customStyle="1" w:styleId="Pa14">
    <w:name w:val="Pa14"/>
    <w:basedOn w:val="Default"/>
    <w:next w:val="Default"/>
    <w:uiPriority w:val="99"/>
    <w:rsid w:val="009072CE"/>
    <w:pPr>
      <w:spacing w:line="221" w:lineRule="atLeast"/>
    </w:pPr>
    <w:rPr>
      <w:rFonts w:ascii="Minion Pro" w:hAnsi="Minion Pro" w:cstheme="minorBidi"/>
      <w:color w:val="auto"/>
    </w:rPr>
  </w:style>
  <w:style w:type="character" w:customStyle="1" w:styleId="Neatrisintapieminana1">
    <w:name w:val="Neatrisināta pieminēšana1"/>
    <w:basedOn w:val="DefaultParagraphFont"/>
    <w:uiPriority w:val="99"/>
    <w:semiHidden/>
    <w:unhideWhenUsed/>
    <w:rsid w:val="009072CE"/>
    <w:rPr>
      <w:color w:val="605E5C"/>
      <w:shd w:val="clear" w:color="auto" w:fill="E1DFDD"/>
    </w:rPr>
  </w:style>
  <w:style w:type="paragraph" w:styleId="TOC5">
    <w:name w:val="toc 5"/>
    <w:basedOn w:val="Normal"/>
    <w:next w:val="Normal"/>
    <w:autoRedefine/>
    <w:uiPriority w:val="99"/>
    <w:semiHidden/>
    <w:rsid w:val="009072CE"/>
    <w:pPr>
      <w:spacing w:after="0" w:line="240" w:lineRule="auto"/>
      <w:ind w:firstLine="284"/>
      <w:jc w:val="both"/>
    </w:pPr>
    <w:rPr>
      <w:rFonts w:ascii="Times New Roman" w:eastAsia="Times New Roman" w:hAnsi="Times New Roman" w:cs="Times New Roman"/>
      <w:sz w:val="24"/>
      <w:szCs w:val="24"/>
    </w:rPr>
  </w:style>
  <w:style w:type="paragraph" w:customStyle="1" w:styleId="viencipara">
    <w:name w:val="viencipara"/>
    <w:basedOn w:val="Normal"/>
    <w:autoRedefine/>
    <w:uiPriority w:val="99"/>
    <w:rsid w:val="009072CE"/>
    <w:pPr>
      <w:tabs>
        <w:tab w:val="left" w:pos="567"/>
      </w:tabs>
      <w:spacing w:after="0" w:line="240" w:lineRule="auto"/>
      <w:jc w:val="both"/>
    </w:pPr>
    <w:rPr>
      <w:rFonts w:ascii="Times New Roman" w:eastAsia="Times New Roman" w:hAnsi="Times New Roman" w:cs="Times New Roman"/>
      <w:bCs/>
      <w:iCs/>
      <w:sz w:val="24"/>
      <w:szCs w:val="24"/>
      <w:lang w:eastAsia="ru-RU"/>
    </w:rPr>
  </w:style>
  <w:style w:type="character" w:styleId="PageNumber">
    <w:name w:val="page number"/>
    <w:basedOn w:val="DefaultParagraphFont"/>
    <w:rsid w:val="009072CE"/>
  </w:style>
  <w:style w:type="paragraph" w:customStyle="1" w:styleId="2">
    <w:name w:val="???????? ????? 2"/>
    <w:basedOn w:val="Normal"/>
    <w:uiPriority w:val="99"/>
    <w:rsid w:val="009072CE"/>
    <w:pPr>
      <w:widowControl w:val="0"/>
      <w:overflowPunct w:val="0"/>
      <w:autoSpaceDE w:val="0"/>
      <w:autoSpaceDN w:val="0"/>
      <w:adjustRightInd w:val="0"/>
      <w:spacing w:after="0" w:line="240" w:lineRule="auto"/>
      <w:jc w:val="both"/>
      <w:textAlignment w:val="baseline"/>
    </w:pPr>
    <w:rPr>
      <w:rFonts w:ascii="RimHelveticaCondensed" w:eastAsia="Times New Roman" w:hAnsi="RimHelveticaCondensed" w:cs="Times New Roman"/>
      <w:color w:val="000000"/>
      <w:sz w:val="24"/>
      <w:szCs w:val="20"/>
      <w:lang w:val="ru-RU"/>
    </w:rPr>
  </w:style>
  <w:style w:type="character" w:styleId="FollowedHyperlink">
    <w:name w:val="FollowedHyperlink"/>
    <w:basedOn w:val="DefaultParagraphFont"/>
    <w:uiPriority w:val="99"/>
    <w:rsid w:val="009072CE"/>
    <w:rPr>
      <w:color w:val="800080"/>
      <w:u w:val="single"/>
    </w:rPr>
  </w:style>
  <w:style w:type="paragraph" w:styleId="BodyTextIndent">
    <w:name w:val="Body Text Indent"/>
    <w:basedOn w:val="Normal"/>
    <w:link w:val="BodyTextIndentChar"/>
    <w:unhideWhenUsed/>
    <w:rsid w:val="009072CE"/>
    <w:pPr>
      <w:spacing w:after="120" w:line="240" w:lineRule="auto"/>
      <w:ind w:left="283"/>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rsid w:val="009072CE"/>
    <w:rPr>
      <w:rFonts w:ascii="Times New Roman" w:eastAsia="Times New Roman" w:hAnsi="Times New Roman" w:cs="Times New Roman"/>
      <w:sz w:val="24"/>
      <w:szCs w:val="24"/>
      <w:lang w:val="lv-LV"/>
    </w:rPr>
  </w:style>
  <w:style w:type="character" w:customStyle="1" w:styleId="s1">
    <w:name w:val="s1"/>
    <w:basedOn w:val="DefaultParagraphFont"/>
    <w:rsid w:val="009072CE"/>
  </w:style>
  <w:style w:type="numbering" w:customStyle="1" w:styleId="Bezsaraksta2">
    <w:name w:val="Bez saraksta2"/>
    <w:next w:val="NoList"/>
    <w:uiPriority w:val="99"/>
    <w:semiHidden/>
    <w:unhideWhenUsed/>
    <w:rsid w:val="009072CE"/>
  </w:style>
  <w:style w:type="character" w:customStyle="1" w:styleId="EndnoteTextChar1">
    <w:name w:val="Endnote Text Char1"/>
    <w:basedOn w:val="DefaultParagraphFont"/>
    <w:uiPriority w:val="99"/>
    <w:semiHidden/>
    <w:rsid w:val="009072CE"/>
    <w:rPr>
      <w:rFonts w:ascii="Times New Roman" w:hAnsi="Times New Roman"/>
      <w:sz w:val="20"/>
      <w:szCs w:val="20"/>
      <w:lang w:val="lv-LV"/>
    </w:rPr>
  </w:style>
  <w:style w:type="character" w:customStyle="1" w:styleId="CommentSubjectChar1">
    <w:name w:val="Comment Subject Char1"/>
    <w:basedOn w:val="CommentTextChar"/>
    <w:uiPriority w:val="99"/>
    <w:semiHidden/>
    <w:rsid w:val="009072CE"/>
    <w:rPr>
      <w:rFonts w:ascii="Times New Roman" w:eastAsia="Times New Roman" w:hAnsi="Times New Roman" w:cs="Times New Roman"/>
      <w:b/>
      <w:bCs/>
      <w:sz w:val="20"/>
      <w:szCs w:val="20"/>
      <w:lang w:val="lv-LV"/>
    </w:rPr>
  </w:style>
  <w:style w:type="character" w:customStyle="1" w:styleId="BodyText2Char1">
    <w:name w:val="Body Text 2 Char1"/>
    <w:basedOn w:val="DefaultParagraphFont"/>
    <w:uiPriority w:val="99"/>
    <w:semiHidden/>
    <w:rsid w:val="009072CE"/>
    <w:rPr>
      <w:rFonts w:ascii="Times New Roman" w:hAnsi="Times New Roman"/>
      <w:sz w:val="24"/>
      <w:szCs w:val="24"/>
      <w:lang w:val="lv-LV"/>
    </w:rPr>
  </w:style>
  <w:style w:type="character" w:customStyle="1" w:styleId="BodyTextIndent2Char1">
    <w:name w:val="Body Text Indent 2 Char1"/>
    <w:basedOn w:val="DefaultParagraphFont"/>
    <w:uiPriority w:val="99"/>
    <w:semiHidden/>
    <w:rsid w:val="009072CE"/>
    <w:rPr>
      <w:rFonts w:ascii="Times New Roman" w:hAnsi="Times New Roman"/>
      <w:sz w:val="24"/>
      <w:szCs w:val="24"/>
      <w:lang w:val="lv-LV"/>
    </w:rPr>
  </w:style>
  <w:style w:type="table" w:customStyle="1" w:styleId="Reatabula21">
    <w:name w:val="Režģa tabula21"/>
    <w:uiPriority w:val="99"/>
    <w:rsid w:val="009072CE"/>
    <w:pPr>
      <w:spacing w:after="0" w:line="240" w:lineRule="auto"/>
    </w:pPr>
    <w:rPr>
      <w:rFonts w:ascii="Calibri" w:eastAsia="Times New Roman" w:hAnsi="Calibri" w:cs="Calibri"/>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atabula81">
    <w:name w:val="Režģa tabula81"/>
    <w:basedOn w:val="TableNormal"/>
    <w:next w:val="TableGrid"/>
    <w:uiPriority w:val="99"/>
    <w:rsid w:val="009072CE"/>
    <w:pPr>
      <w:spacing w:after="0" w:line="240" w:lineRule="auto"/>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Char1">
    <w:name w:val="Body Text 3 Char1"/>
    <w:basedOn w:val="DefaultParagraphFont"/>
    <w:uiPriority w:val="99"/>
    <w:semiHidden/>
    <w:rsid w:val="009072CE"/>
    <w:rPr>
      <w:rFonts w:ascii="Times New Roman" w:hAnsi="Times New Roman"/>
      <w:sz w:val="16"/>
      <w:szCs w:val="16"/>
      <w:lang w:val="lv-LV"/>
    </w:rPr>
  </w:style>
  <w:style w:type="table" w:customStyle="1" w:styleId="Reatabula9">
    <w:name w:val="Režģa tabula9"/>
    <w:basedOn w:val="TableNormal"/>
    <w:next w:val="TableGrid"/>
    <w:uiPriority w:val="39"/>
    <w:rsid w:val="009072CE"/>
    <w:pPr>
      <w:spacing w:after="0" w:line="240" w:lineRule="auto"/>
    </w:pPr>
    <w:rPr>
      <w:rFonts w:ascii="Times New Roman" w:eastAsia="Calibri" w:hAnsi="Times New Roman"/>
      <w:sz w:val="24"/>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TableNormal"/>
    <w:next w:val="TableGrid"/>
    <w:uiPriority w:val="39"/>
    <w:rsid w:val="009072CE"/>
    <w:pPr>
      <w:spacing w:after="0" w:line="240" w:lineRule="auto"/>
    </w:pPr>
    <w:rPr>
      <w:rFonts w:ascii="Times New Roman" w:eastAsia="Calibri" w:hAnsi="Times New Roman"/>
      <w:sz w:val="24"/>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
    <w:name w:val="Bez saraksta3"/>
    <w:next w:val="NoList"/>
    <w:uiPriority w:val="99"/>
    <w:semiHidden/>
    <w:unhideWhenUsed/>
    <w:rsid w:val="009072CE"/>
  </w:style>
  <w:style w:type="table" w:customStyle="1" w:styleId="TableGrid1">
    <w:name w:val="Table Grid1"/>
    <w:basedOn w:val="TableNormal"/>
    <w:next w:val="TableGrid"/>
    <w:uiPriority w:val="39"/>
    <w:rsid w:val="009072C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9072CE"/>
    <w:rPr>
      <w:rFonts w:ascii="TimesNewRomanPSMT" w:hAnsi="TimesNewRomanPSMT" w:hint="default"/>
      <w:b w:val="0"/>
      <w:bCs w:val="0"/>
      <w:i w:val="0"/>
      <w:iCs w:val="0"/>
      <w:color w:val="000000"/>
      <w:sz w:val="22"/>
      <w:szCs w:val="22"/>
    </w:rPr>
  </w:style>
  <w:style w:type="table" w:styleId="TableClassic1">
    <w:name w:val="Table Classic 1"/>
    <w:basedOn w:val="TableNormal"/>
    <w:rsid w:val="009072CE"/>
    <w:pPr>
      <w:spacing w:after="0" w:line="240" w:lineRule="auto"/>
    </w:pPr>
    <w:rPr>
      <w:rFonts w:ascii="Times New Roman" w:eastAsia="Times New Roman" w:hAnsi="Times New Roman" w:cs="Times New Roman"/>
      <w:sz w:val="20"/>
      <w:szCs w:val="20"/>
      <w:lang w:val="lv-LV" w:eastAsia="lv-LV"/>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Punkts">
    <w:name w:val="Punkts"/>
    <w:basedOn w:val="Heading2"/>
    <w:uiPriority w:val="99"/>
    <w:rsid w:val="009072CE"/>
    <w:pPr>
      <w:tabs>
        <w:tab w:val="num" w:pos="720"/>
      </w:tabs>
      <w:spacing w:before="0" w:after="0"/>
      <w:ind w:left="540" w:firstLine="0"/>
      <w:jc w:val="left"/>
    </w:pPr>
    <w:rPr>
      <w:rFonts w:ascii="Arial" w:hAnsi="Arial"/>
      <w:i w:val="0"/>
      <w:color w:val="000000"/>
      <w:sz w:val="20"/>
      <w:lang w:eastAsia="en-US"/>
    </w:rPr>
  </w:style>
  <w:style w:type="character" w:customStyle="1" w:styleId="ListParagraphChar">
    <w:name w:val="List Paragraph Char"/>
    <w:aliases w:val="2 Char,Numbered Para 1 Char,Dot pt Char,List Paragraph Char Char Char Char,Indicator Text Char,List Paragraph1 Char,Bullet Points Char,MAIN CONTENT Char,IFCL - List Paragraph Char,List Paragraph12 Char,OBC Bullet Char,PPS_Bullet Char"/>
    <w:uiPriority w:val="34"/>
    <w:qFormat/>
    <w:locked/>
    <w:rsid w:val="009072CE"/>
    <w:rPr>
      <w:rFonts w:ascii="Calibri" w:hAnsi="Calibri"/>
      <w:color w:val="00000A"/>
      <w:lang w:eastAsia="en-US"/>
    </w:rPr>
  </w:style>
  <w:style w:type="table" w:styleId="TableSimple1">
    <w:name w:val="Table Simple 1"/>
    <w:basedOn w:val="TableNormal"/>
    <w:rsid w:val="009072CE"/>
    <w:pPr>
      <w:spacing w:after="0" w:line="240" w:lineRule="auto"/>
    </w:pPr>
    <w:rPr>
      <w:rFonts w:ascii="Times New Roman" w:eastAsia="Times New Roman" w:hAnsi="Times New Roman" w:cs="Times New Roman"/>
      <w:sz w:val="20"/>
      <w:szCs w:val="20"/>
      <w:lang w:val="lv-LV" w:eastAsia="lv-LV"/>
    </w:rPr>
    <w:tblPr>
      <w:tblBorders>
        <w:top w:val="single" w:sz="12" w:space="0" w:color="auto"/>
        <w:bottom w:val="single" w:sz="12" w:space="0" w:color="auto"/>
      </w:tblBorders>
    </w:tblPr>
    <w:tcPr>
      <w:shd w:val="clear" w:color="auto" w:fill="auto"/>
    </w:tcPr>
    <w:tblStylePr w:type="firstRow">
      <w:tblPr/>
      <w:tcPr>
        <w:tcBorders>
          <w:bottom w:val="single" w:sz="6" w:space="0" w:color="auto"/>
        </w:tcBorders>
        <w:shd w:val="clear" w:color="auto" w:fill="auto"/>
      </w:tcPr>
    </w:tblStylePr>
    <w:tblStylePr w:type="lastRow">
      <w:tblPr/>
      <w:tcPr>
        <w:tcBorders>
          <w:top w:val="single" w:sz="6" w:space="0" w:color="auto"/>
        </w:tcBorders>
        <w:shd w:val="clear" w:color="auto" w:fill="auto"/>
      </w:tcPr>
    </w:tblStylePr>
  </w:style>
  <w:style w:type="character" w:styleId="PlaceholderText">
    <w:name w:val="Placeholder Text"/>
    <w:basedOn w:val="DefaultParagraphFont"/>
    <w:uiPriority w:val="99"/>
    <w:semiHidden/>
    <w:rsid w:val="009072CE"/>
    <w:rPr>
      <w:color w:val="808080"/>
    </w:rPr>
  </w:style>
  <w:style w:type="table" w:customStyle="1" w:styleId="Reatabula82">
    <w:name w:val="Režģa tabula82"/>
    <w:basedOn w:val="TableNormal"/>
    <w:next w:val="TableGrid"/>
    <w:uiPriority w:val="99"/>
    <w:rsid w:val="009072CE"/>
    <w:pPr>
      <w:spacing w:after="0" w:line="240" w:lineRule="auto"/>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Normal"/>
    <w:uiPriority w:val="99"/>
    <w:qFormat/>
    <w:rsid w:val="009072CE"/>
    <w:pPr>
      <w:suppressLineNumbers/>
    </w:pPr>
    <w:rPr>
      <w:rFonts w:ascii="Liberation Serif" w:eastAsia="Source Han Sans CN Regular" w:hAnsi="Liberation Serif" w:cs="Lohit Devanagari"/>
      <w:kern w:val="2"/>
      <w:sz w:val="24"/>
      <w:szCs w:val="24"/>
    </w:rPr>
  </w:style>
  <w:style w:type="paragraph" w:styleId="PlainText">
    <w:name w:val="Plain Text"/>
    <w:basedOn w:val="Normal"/>
    <w:link w:val="PlainTextChar"/>
    <w:uiPriority w:val="99"/>
    <w:semiHidden/>
    <w:unhideWhenUsed/>
    <w:rsid w:val="009072CE"/>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9072CE"/>
    <w:rPr>
      <w:rFonts w:ascii="Calibri" w:hAnsi="Calibri"/>
      <w:szCs w:val="21"/>
      <w:lang w:val="lv-LV"/>
    </w:rPr>
  </w:style>
  <w:style w:type="table" w:customStyle="1" w:styleId="Reatabula83">
    <w:name w:val="Režģa tabula83"/>
    <w:basedOn w:val="TableNormal"/>
    <w:next w:val="TableGrid"/>
    <w:uiPriority w:val="99"/>
    <w:rsid w:val="002B1603"/>
    <w:pPr>
      <w:spacing w:after="0" w:line="240" w:lineRule="auto"/>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TableNormal"/>
    <w:next w:val="TableGrid"/>
    <w:uiPriority w:val="39"/>
    <w:rsid w:val="00292FFB"/>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305F05"/>
    <w:rPr>
      <w:color w:val="605E5C"/>
      <w:shd w:val="clear" w:color="auto" w:fill="E1DFDD"/>
    </w:rPr>
  </w:style>
  <w:style w:type="numbering" w:customStyle="1" w:styleId="Bezsaraksta4">
    <w:name w:val="Bez saraksta4"/>
    <w:next w:val="NoList"/>
    <w:uiPriority w:val="99"/>
    <w:semiHidden/>
    <w:unhideWhenUsed/>
    <w:rsid w:val="00A21E83"/>
  </w:style>
  <w:style w:type="paragraph" w:customStyle="1" w:styleId="msonormal0">
    <w:name w:val="msonormal"/>
    <w:basedOn w:val="Normal"/>
    <w:uiPriority w:val="99"/>
    <w:rsid w:val="00A21E83"/>
    <w:pPr>
      <w:spacing w:before="75" w:after="75" w:line="240" w:lineRule="auto"/>
      <w:ind w:firstLine="851"/>
      <w:jc w:val="both"/>
    </w:pPr>
    <w:rPr>
      <w:rFonts w:ascii="Times New Roman" w:eastAsia="Times New Roman" w:hAnsi="Times New Roman" w:cs="Times New Roman"/>
      <w:sz w:val="24"/>
      <w:szCs w:val="24"/>
      <w:lang w:eastAsia="lv-LV"/>
    </w:rPr>
  </w:style>
  <w:style w:type="table" w:customStyle="1" w:styleId="Vienkratabula11">
    <w:name w:val="Vienkārša tabula 11"/>
    <w:basedOn w:val="TableNormal"/>
    <w:next w:val="TableSimple1"/>
    <w:semiHidden/>
    <w:unhideWhenUsed/>
    <w:rsid w:val="00A21E83"/>
    <w:pPr>
      <w:spacing w:after="0" w:line="240" w:lineRule="auto"/>
    </w:pPr>
    <w:rPr>
      <w:rFonts w:ascii="Times New Roman" w:eastAsia="Times New Roman" w:hAnsi="Times New Roman" w:cs="Times New Roman"/>
      <w:sz w:val="20"/>
      <w:szCs w:val="20"/>
    </w:rPr>
    <w:tblPr>
      <w:tblBorders>
        <w:top w:val="single" w:sz="12" w:space="0" w:color="auto"/>
        <w:bottom w:val="single" w:sz="12" w:space="0" w:color="auto"/>
      </w:tblBorders>
    </w:tblPr>
    <w:tblStylePr w:type="firstRow">
      <w:tblPr/>
      <w:tcPr>
        <w:tcBorders>
          <w:bottom w:val="single" w:sz="6" w:space="0" w:color="auto"/>
        </w:tcBorders>
      </w:tcPr>
    </w:tblStylePr>
    <w:tblStylePr w:type="lastRow">
      <w:tblPr/>
      <w:tcPr>
        <w:tcBorders>
          <w:top w:val="single" w:sz="6" w:space="0" w:color="auto"/>
        </w:tcBorders>
      </w:tcPr>
    </w:tblStylePr>
  </w:style>
  <w:style w:type="table" w:customStyle="1" w:styleId="Klasiskatabula11">
    <w:name w:val="Klasiska tabula 11"/>
    <w:basedOn w:val="TableNormal"/>
    <w:next w:val="TableClassic1"/>
    <w:semiHidden/>
    <w:unhideWhenUsed/>
    <w:rsid w:val="00A21E83"/>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Reatabula12">
    <w:name w:val="Režģa tabula12"/>
    <w:basedOn w:val="TableNormal"/>
    <w:next w:val="TableGrid"/>
    <w:uiPriority w:val="39"/>
    <w:rsid w:val="00A21E83"/>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A21E83"/>
    <w:pPr>
      <w:spacing w:after="0" w:line="240" w:lineRule="auto"/>
    </w:pPr>
    <w:rPr>
      <w:rFonts w:ascii="Times New Roman" w:eastAsia="Calibri" w:hAnsi="Times New Roman" w:cs="Times New Roman"/>
      <w:sz w:val="24"/>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Reatabula31">
    <w:name w:val="Režģa tabula31"/>
    <w:basedOn w:val="TableNormal"/>
    <w:uiPriority w:val="39"/>
    <w:rsid w:val="00A21E8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4">
    <w:name w:val="Režģa tabula84"/>
    <w:basedOn w:val="TableNormal"/>
    <w:uiPriority w:val="59"/>
    <w:rsid w:val="00A21E83"/>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211">
    <w:name w:val="Režģa tabula211"/>
    <w:uiPriority w:val="99"/>
    <w:rsid w:val="00A21E83"/>
    <w:pPr>
      <w:spacing w:after="0" w:line="240" w:lineRule="auto"/>
    </w:pPr>
    <w:rPr>
      <w:rFonts w:ascii="Calibri" w:eastAsia="Times New Roman" w:hAnsi="Calibri" w:cs="Calibri"/>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atabula821">
    <w:name w:val="Režģa tabula821"/>
    <w:basedOn w:val="TableNormal"/>
    <w:uiPriority w:val="99"/>
    <w:rsid w:val="00A21E83"/>
    <w:pPr>
      <w:spacing w:after="0" w:line="240" w:lineRule="auto"/>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8C3546"/>
    <w:rPr>
      <w:color w:val="605E5C"/>
      <w:shd w:val="clear" w:color="auto" w:fill="E1DFDD"/>
    </w:rPr>
  </w:style>
  <w:style w:type="numbering" w:customStyle="1" w:styleId="Bezsaraksta5">
    <w:name w:val="Bez saraksta5"/>
    <w:next w:val="NoList"/>
    <w:uiPriority w:val="99"/>
    <w:semiHidden/>
    <w:unhideWhenUsed/>
    <w:rsid w:val="00B07340"/>
  </w:style>
  <w:style w:type="paragraph" w:customStyle="1" w:styleId="labojumupamats">
    <w:name w:val="labojumu_pamats"/>
    <w:basedOn w:val="Normal"/>
    <w:rsid w:val="00B0734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sonormal804d7de8fd46f06a46511c7c60d1535e">
    <w:name w:val="msonormal_804d7de8fd46f06a46511c7c60d1535e"/>
    <w:basedOn w:val="Normal"/>
    <w:rsid w:val="000C044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aragraph">
    <w:name w:val="paragraph"/>
    <w:basedOn w:val="Normal"/>
    <w:rsid w:val="00F8570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F85700"/>
  </w:style>
  <w:style w:type="character" w:customStyle="1" w:styleId="eop">
    <w:name w:val="eop"/>
    <w:basedOn w:val="DefaultParagraphFont"/>
    <w:rsid w:val="00F85700"/>
  </w:style>
  <w:style w:type="character" w:customStyle="1" w:styleId="UnresolvedMention3">
    <w:name w:val="Unresolved Mention3"/>
    <w:basedOn w:val="DefaultParagraphFont"/>
    <w:uiPriority w:val="99"/>
    <w:semiHidden/>
    <w:unhideWhenUsed/>
    <w:rsid w:val="00552698"/>
    <w:rPr>
      <w:color w:val="605E5C"/>
      <w:shd w:val="clear" w:color="auto" w:fill="E1DFDD"/>
    </w:rPr>
  </w:style>
  <w:style w:type="character" w:styleId="UnresolvedMention">
    <w:name w:val="Unresolved Mention"/>
    <w:basedOn w:val="DefaultParagraphFont"/>
    <w:uiPriority w:val="99"/>
    <w:semiHidden/>
    <w:unhideWhenUsed/>
    <w:rsid w:val="009C07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77508">
      <w:bodyDiv w:val="1"/>
      <w:marLeft w:val="0"/>
      <w:marRight w:val="0"/>
      <w:marTop w:val="0"/>
      <w:marBottom w:val="0"/>
      <w:divBdr>
        <w:top w:val="none" w:sz="0" w:space="0" w:color="auto"/>
        <w:left w:val="none" w:sz="0" w:space="0" w:color="auto"/>
        <w:bottom w:val="none" w:sz="0" w:space="0" w:color="auto"/>
        <w:right w:val="none" w:sz="0" w:space="0" w:color="auto"/>
      </w:divBdr>
    </w:div>
    <w:div w:id="50538005">
      <w:bodyDiv w:val="1"/>
      <w:marLeft w:val="0"/>
      <w:marRight w:val="0"/>
      <w:marTop w:val="0"/>
      <w:marBottom w:val="0"/>
      <w:divBdr>
        <w:top w:val="none" w:sz="0" w:space="0" w:color="auto"/>
        <w:left w:val="none" w:sz="0" w:space="0" w:color="auto"/>
        <w:bottom w:val="none" w:sz="0" w:space="0" w:color="auto"/>
        <w:right w:val="none" w:sz="0" w:space="0" w:color="auto"/>
      </w:divBdr>
    </w:div>
    <w:div w:id="76094402">
      <w:bodyDiv w:val="1"/>
      <w:marLeft w:val="0"/>
      <w:marRight w:val="0"/>
      <w:marTop w:val="0"/>
      <w:marBottom w:val="0"/>
      <w:divBdr>
        <w:top w:val="none" w:sz="0" w:space="0" w:color="auto"/>
        <w:left w:val="none" w:sz="0" w:space="0" w:color="auto"/>
        <w:bottom w:val="none" w:sz="0" w:space="0" w:color="auto"/>
        <w:right w:val="none" w:sz="0" w:space="0" w:color="auto"/>
      </w:divBdr>
    </w:div>
    <w:div w:id="205027257">
      <w:bodyDiv w:val="1"/>
      <w:marLeft w:val="0"/>
      <w:marRight w:val="0"/>
      <w:marTop w:val="0"/>
      <w:marBottom w:val="0"/>
      <w:divBdr>
        <w:top w:val="none" w:sz="0" w:space="0" w:color="auto"/>
        <w:left w:val="none" w:sz="0" w:space="0" w:color="auto"/>
        <w:bottom w:val="none" w:sz="0" w:space="0" w:color="auto"/>
        <w:right w:val="none" w:sz="0" w:space="0" w:color="auto"/>
      </w:divBdr>
      <w:divsChild>
        <w:div w:id="1103262111">
          <w:marLeft w:val="0"/>
          <w:marRight w:val="0"/>
          <w:marTop w:val="0"/>
          <w:marBottom w:val="0"/>
          <w:divBdr>
            <w:top w:val="none" w:sz="0" w:space="0" w:color="auto"/>
            <w:left w:val="none" w:sz="0" w:space="0" w:color="auto"/>
            <w:bottom w:val="none" w:sz="0" w:space="0" w:color="auto"/>
            <w:right w:val="none" w:sz="0" w:space="0" w:color="auto"/>
          </w:divBdr>
        </w:div>
      </w:divsChild>
    </w:div>
    <w:div w:id="241834905">
      <w:bodyDiv w:val="1"/>
      <w:marLeft w:val="0"/>
      <w:marRight w:val="0"/>
      <w:marTop w:val="0"/>
      <w:marBottom w:val="0"/>
      <w:divBdr>
        <w:top w:val="none" w:sz="0" w:space="0" w:color="auto"/>
        <w:left w:val="none" w:sz="0" w:space="0" w:color="auto"/>
        <w:bottom w:val="none" w:sz="0" w:space="0" w:color="auto"/>
        <w:right w:val="none" w:sz="0" w:space="0" w:color="auto"/>
      </w:divBdr>
    </w:div>
    <w:div w:id="248270404">
      <w:bodyDiv w:val="1"/>
      <w:marLeft w:val="0"/>
      <w:marRight w:val="0"/>
      <w:marTop w:val="0"/>
      <w:marBottom w:val="0"/>
      <w:divBdr>
        <w:top w:val="none" w:sz="0" w:space="0" w:color="auto"/>
        <w:left w:val="none" w:sz="0" w:space="0" w:color="auto"/>
        <w:bottom w:val="none" w:sz="0" w:space="0" w:color="auto"/>
        <w:right w:val="none" w:sz="0" w:space="0" w:color="auto"/>
      </w:divBdr>
    </w:div>
    <w:div w:id="406198171">
      <w:bodyDiv w:val="1"/>
      <w:marLeft w:val="0"/>
      <w:marRight w:val="0"/>
      <w:marTop w:val="0"/>
      <w:marBottom w:val="0"/>
      <w:divBdr>
        <w:top w:val="none" w:sz="0" w:space="0" w:color="auto"/>
        <w:left w:val="none" w:sz="0" w:space="0" w:color="auto"/>
        <w:bottom w:val="none" w:sz="0" w:space="0" w:color="auto"/>
        <w:right w:val="none" w:sz="0" w:space="0" w:color="auto"/>
      </w:divBdr>
    </w:div>
    <w:div w:id="580914103">
      <w:bodyDiv w:val="1"/>
      <w:marLeft w:val="0"/>
      <w:marRight w:val="0"/>
      <w:marTop w:val="0"/>
      <w:marBottom w:val="0"/>
      <w:divBdr>
        <w:top w:val="none" w:sz="0" w:space="0" w:color="auto"/>
        <w:left w:val="none" w:sz="0" w:space="0" w:color="auto"/>
        <w:bottom w:val="none" w:sz="0" w:space="0" w:color="auto"/>
        <w:right w:val="none" w:sz="0" w:space="0" w:color="auto"/>
      </w:divBdr>
    </w:div>
    <w:div w:id="660307793">
      <w:bodyDiv w:val="1"/>
      <w:marLeft w:val="0"/>
      <w:marRight w:val="0"/>
      <w:marTop w:val="0"/>
      <w:marBottom w:val="0"/>
      <w:divBdr>
        <w:top w:val="none" w:sz="0" w:space="0" w:color="auto"/>
        <w:left w:val="none" w:sz="0" w:space="0" w:color="auto"/>
        <w:bottom w:val="none" w:sz="0" w:space="0" w:color="auto"/>
        <w:right w:val="none" w:sz="0" w:space="0" w:color="auto"/>
      </w:divBdr>
    </w:div>
    <w:div w:id="734814923">
      <w:bodyDiv w:val="1"/>
      <w:marLeft w:val="0"/>
      <w:marRight w:val="0"/>
      <w:marTop w:val="0"/>
      <w:marBottom w:val="0"/>
      <w:divBdr>
        <w:top w:val="none" w:sz="0" w:space="0" w:color="auto"/>
        <w:left w:val="none" w:sz="0" w:space="0" w:color="auto"/>
        <w:bottom w:val="none" w:sz="0" w:space="0" w:color="auto"/>
        <w:right w:val="none" w:sz="0" w:space="0" w:color="auto"/>
      </w:divBdr>
    </w:div>
    <w:div w:id="788937907">
      <w:bodyDiv w:val="1"/>
      <w:marLeft w:val="0"/>
      <w:marRight w:val="0"/>
      <w:marTop w:val="0"/>
      <w:marBottom w:val="0"/>
      <w:divBdr>
        <w:top w:val="none" w:sz="0" w:space="0" w:color="auto"/>
        <w:left w:val="none" w:sz="0" w:space="0" w:color="auto"/>
        <w:bottom w:val="none" w:sz="0" w:space="0" w:color="auto"/>
        <w:right w:val="none" w:sz="0" w:space="0" w:color="auto"/>
      </w:divBdr>
    </w:div>
    <w:div w:id="801339287">
      <w:bodyDiv w:val="1"/>
      <w:marLeft w:val="0"/>
      <w:marRight w:val="0"/>
      <w:marTop w:val="0"/>
      <w:marBottom w:val="0"/>
      <w:divBdr>
        <w:top w:val="none" w:sz="0" w:space="0" w:color="auto"/>
        <w:left w:val="none" w:sz="0" w:space="0" w:color="auto"/>
        <w:bottom w:val="none" w:sz="0" w:space="0" w:color="auto"/>
        <w:right w:val="none" w:sz="0" w:space="0" w:color="auto"/>
      </w:divBdr>
    </w:div>
    <w:div w:id="821966789">
      <w:bodyDiv w:val="1"/>
      <w:marLeft w:val="0"/>
      <w:marRight w:val="0"/>
      <w:marTop w:val="0"/>
      <w:marBottom w:val="0"/>
      <w:divBdr>
        <w:top w:val="none" w:sz="0" w:space="0" w:color="auto"/>
        <w:left w:val="none" w:sz="0" w:space="0" w:color="auto"/>
        <w:bottom w:val="none" w:sz="0" w:space="0" w:color="auto"/>
        <w:right w:val="none" w:sz="0" w:space="0" w:color="auto"/>
      </w:divBdr>
    </w:div>
    <w:div w:id="912281046">
      <w:bodyDiv w:val="1"/>
      <w:marLeft w:val="0"/>
      <w:marRight w:val="0"/>
      <w:marTop w:val="0"/>
      <w:marBottom w:val="0"/>
      <w:divBdr>
        <w:top w:val="none" w:sz="0" w:space="0" w:color="auto"/>
        <w:left w:val="none" w:sz="0" w:space="0" w:color="auto"/>
        <w:bottom w:val="none" w:sz="0" w:space="0" w:color="auto"/>
        <w:right w:val="none" w:sz="0" w:space="0" w:color="auto"/>
      </w:divBdr>
    </w:div>
    <w:div w:id="973097267">
      <w:bodyDiv w:val="1"/>
      <w:marLeft w:val="0"/>
      <w:marRight w:val="0"/>
      <w:marTop w:val="0"/>
      <w:marBottom w:val="0"/>
      <w:divBdr>
        <w:top w:val="none" w:sz="0" w:space="0" w:color="auto"/>
        <w:left w:val="none" w:sz="0" w:space="0" w:color="auto"/>
        <w:bottom w:val="none" w:sz="0" w:space="0" w:color="auto"/>
        <w:right w:val="none" w:sz="0" w:space="0" w:color="auto"/>
      </w:divBdr>
      <w:divsChild>
        <w:div w:id="34503810">
          <w:marLeft w:val="0"/>
          <w:marRight w:val="0"/>
          <w:marTop w:val="0"/>
          <w:marBottom w:val="0"/>
          <w:divBdr>
            <w:top w:val="none" w:sz="0" w:space="0" w:color="auto"/>
            <w:left w:val="none" w:sz="0" w:space="0" w:color="auto"/>
            <w:bottom w:val="none" w:sz="0" w:space="0" w:color="auto"/>
            <w:right w:val="none" w:sz="0" w:space="0" w:color="auto"/>
          </w:divBdr>
          <w:divsChild>
            <w:div w:id="1388723394">
              <w:marLeft w:val="0"/>
              <w:marRight w:val="0"/>
              <w:marTop w:val="0"/>
              <w:marBottom w:val="0"/>
              <w:divBdr>
                <w:top w:val="none" w:sz="0" w:space="0" w:color="auto"/>
                <w:left w:val="none" w:sz="0" w:space="0" w:color="auto"/>
                <w:bottom w:val="none" w:sz="0" w:space="0" w:color="auto"/>
                <w:right w:val="none" w:sz="0" w:space="0" w:color="auto"/>
              </w:divBdr>
            </w:div>
          </w:divsChild>
        </w:div>
        <w:div w:id="1180706173">
          <w:marLeft w:val="0"/>
          <w:marRight w:val="0"/>
          <w:marTop w:val="0"/>
          <w:marBottom w:val="0"/>
          <w:divBdr>
            <w:top w:val="none" w:sz="0" w:space="0" w:color="auto"/>
            <w:left w:val="none" w:sz="0" w:space="0" w:color="auto"/>
            <w:bottom w:val="none" w:sz="0" w:space="0" w:color="auto"/>
            <w:right w:val="none" w:sz="0" w:space="0" w:color="auto"/>
          </w:divBdr>
          <w:divsChild>
            <w:div w:id="5638884">
              <w:marLeft w:val="0"/>
              <w:marRight w:val="0"/>
              <w:marTop w:val="0"/>
              <w:marBottom w:val="0"/>
              <w:divBdr>
                <w:top w:val="none" w:sz="0" w:space="0" w:color="auto"/>
                <w:left w:val="none" w:sz="0" w:space="0" w:color="auto"/>
                <w:bottom w:val="none" w:sz="0" w:space="0" w:color="auto"/>
                <w:right w:val="none" w:sz="0" w:space="0" w:color="auto"/>
              </w:divBdr>
            </w:div>
            <w:div w:id="200647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724703">
      <w:bodyDiv w:val="1"/>
      <w:marLeft w:val="0"/>
      <w:marRight w:val="0"/>
      <w:marTop w:val="0"/>
      <w:marBottom w:val="0"/>
      <w:divBdr>
        <w:top w:val="none" w:sz="0" w:space="0" w:color="auto"/>
        <w:left w:val="none" w:sz="0" w:space="0" w:color="auto"/>
        <w:bottom w:val="none" w:sz="0" w:space="0" w:color="auto"/>
        <w:right w:val="none" w:sz="0" w:space="0" w:color="auto"/>
      </w:divBdr>
    </w:div>
    <w:div w:id="1035420962">
      <w:bodyDiv w:val="1"/>
      <w:marLeft w:val="0"/>
      <w:marRight w:val="0"/>
      <w:marTop w:val="0"/>
      <w:marBottom w:val="0"/>
      <w:divBdr>
        <w:top w:val="none" w:sz="0" w:space="0" w:color="auto"/>
        <w:left w:val="none" w:sz="0" w:space="0" w:color="auto"/>
        <w:bottom w:val="none" w:sz="0" w:space="0" w:color="auto"/>
        <w:right w:val="none" w:sz="0" w:space="0" w:color="auto"/>
      </w:divBdr>
    </w:div>
    <w:div w:id="1088041411">
      <w:bodyDiv w:val="1"/>
      <w:marLeft w:val="0"/>
      <w:marRight w:val="0"/>
      <w:marTop w:val="0"/>
      <w:marBottom w:val="0"/>
      <w:divBdr>
        <w:top w:val="none" w:sz="0" w:space="0" w:color="auto"/>
        <w:left w:val="none" w:sz="0" w:space="0" w:color="auto"/>
        <w:bottom w:val="none" w:sz="0" w:space="0" w:color="auto"/>
        <w:right w:val="none" w:sz="0" w:space="0" w:color="auto"/>
      </w:divBdr>
    </w:div>
    <w:div w:id="1112941216">
      <w:bodyDiv w:val="1"/>
      <w:marLeft w:val="0"/>
      <w:marRight w:val="0"/>
      <w:marTop w:val="0"/>
      <w:marBottom w:val="0"/>
      <w:divBdr>
        <w:top w:val="none" w:sz="0" w:space="0" w:color="auto"/>
        <w:left w:val="none" w:sz="0" w:space="0" w:color="auto"/>
        <w:bottom w:val="none" w:sz="0" w:space="0" w:color="auto"/>
        <w:right w:val="none" w:sz="0" w:space="0" w:color="auto"/>
      </w:divBdr>
    </w:div>
    <w:div w:id="1148941884">
      <w:bodyDiv w:val="1"/>
      <w:marLeft w:val="0"/>
      <w:marRight w:val="0"/>
      <w:marTop w:val="0"/>
      <w:marBottom w:val="0"/>
      <w:divBdr>
        <w:top w:val="none" w:sz="0" w:space="0" w:color="auto"/>
        <w:left w:val="none" w:sz="0" w:space="0" w:color="auto"/>
        <w:bottom w:val="none" w:sz="0" w:space="0" w:color="auto"/>
        <w:right w:val="none" w:sz="0" w:space="0" w:color="auto"/>
      </w:divBdr>
    </w:div>
    <w:div w:id="1292782720">
      <w:bodyDiv w:val="1"/>
      <w:marLeft w:val="0"/>
      <w:marRight w:val="0"/>
      <w:marTop w:val="0"/>
      <w:marBottom w:val="0"/>
      <w:divBdr>
        <w:top w:val="none" w:sz="0" w:space="0" w:color="auto"/>
        <w:left w:val="none" w:sz="0" w:space="0" w:color="auto"/>
        <w:bottom w:val="none" w:sz="0" w:space="0" w:color="auto"/>
        <w:right w:val="none" w:sz="0" w:space="0" w:color="auto"/>
      </w:divBdr>
    </w:div>
    <w:div w:id="1391267408">
      <w:bodyDiv w:val="1"/>
      <w:marLeft w:val="0"/>
      <w:marRight w:val="0"/>
      <w:marTop w:val="0"/>
      <w:marBottom w:val="0"/>
      <w:divBdr>
        <w:top w:val="none" w:sz="0" w:space="0" w:color="auto"/>
        <w:left w:val="none" w:sz="0" w:space="0" w:color="auto"/>
        <w:bottom w:val="none" w:sz="0" w:space="0" w:color="auto"/>
        <w:right w:val="none" w:sz="0" w:space="0" w:color="auto"/>
      </w:divBdr>
    </w:div>
    <w:div w:id="1406025275">
      <w:bodyDiv w:val="1"/>
      <w:marLeft w:val="0"/>
      <w:marRight w:val="0"/>
      <w:marTop w:val="0"/>
      <w:marBottom w:val="0"/>
      <w:divBdr>
        <w:top w:val="none" w:sz="0" w:space="0" w:color="auto"/>
        <w:left w:val="none" w:sz="0" w:space="0" w:color="auto"/>
        <w:bottom w:val="none" w:sz="0" w:space="0" w:color="auto"/>
        <w:right w:val="none" w:sz="0" w:space="0" w:color="auto"/>
      </w:divBdr>
    </w:div>
    <w:div w:id="1437217340">
      <w:bodyDiv w:val="1"/>
      <w:marLeft w:val="0"/>
      <w:marRight w:val="0"/>
      <w:marTop w:val="0"/>
      <w:marBottom w:val="0"/>
      <w:divBdr>
        <w:top w:val="none" w:sz="0" w:space="0" w:color="auto"/>
        <w:left w:val="none" w:sz="0" w:space="0" w:color="auto"/>
        <w:bottom w:val="none" w:sz="0" w:space="0" w:color="auto"/>
        <w:right w:val="none" w:sz="0" w:space="0" w:color="auto"/>
      </w:divBdr>
    </w:div>
    <w:div w:id="1449347433">
      <w:bodyDiv w:val="1"/>
      <w:marLeft w:val="0"/>
      <w:marRight w:val="0"/>
      <w:marTop w:val="0"/>
      <w:marBottom w:val="0"/>
      <w:divBdr>
        <w:top w:val="none" w:sz="0" w:space="0" w:color="auto"/>
        <w:left w:val="none" w:sz="0" w:space="0" w:color="auto"/>
        <w:bottom w:val="none" w:sz="0" w:space="0" w:color="auto"/>
        <w:right w:val="none" w:sz="0" w:space="0" w:color="auto"/>
      </w:divBdr>
    </w:div>
    <w:div w:id="1562131475">
      <w:bodyDiv w:val="1"/>
      <w:marLeft w:val="0"/>
      <w:marRight w:val="0"/>
      <w:marTop w:val="0"/>
      <w:marBottom w:val="0"/>
      <w:divBdr>
        <w:top w:val="none" w:sz="0" w:space="0" w:color="auto"/>
        <w:left w:val="none" w:sz="0" w:space="0" w:color="auto"/>
        <w:bottom w:val="none" w:sz="0" w:space="0" w:color="auto"/>
        <w:right w:val="none" w:sz="0" w:space="0" w:color="auto"/>
      </w:divBdr>
    </w:div>
    <w:div w:id="1745420343">
      <w:bodyDiv w:val="1"/>
      <w:marLeft w:val="0"/>
      <w:marRight w:val="0"/>
      <w:marTop w:val="0"/>
      <w:marBottom w:val="0"/>
      <w:divBdr>
        <w:top w:val="none" w:sz="0" w:space="0" w:color="auto"/>
        <w:left w:val="none" w:sz="0" w:space="0" w:color="auto"/>
        <w:bottom w:val="none" w:sz="0" w:space="0" w:color="auto"/>
        <w:right w:val="none" w:sz="0" w:space="0" w:color="auto"/>
      </w:divBdr>
    </w:div>
    <w:div w:id="1783913113">
      <w:bodyDiv w:val="1"/>
      <w:marLeft w:val="0"/>
      <w:marRight w:val="0"/>
      <w:marTop w:val="0"/>
      <w:marBottom w:val="0"/>
      <w:divBdr>
        <w:top w:val="none" w:sz="0" w:space="0" w:color="auto"/>
        <w:left w:val="none" w:sz="0" w:space="0" w:color="auto"/>
        <w:bottom w:val="none" w:sz="0" w:space="0" w:color="auto"/>
        <w:right w:val="none" w:sz="0" w:space="0" w:color="auto"/>
      </w:divBdr>
    </w:div>
    <w:div w:id="1850289450">
      <w:bodyDiv w:val="1"/>
      <w:marLeft w:val="0"/>
      <w:marRight w:val="0"/>
      <w:marTop w:val="0"/>
      <w:marBottom w:val="0"/>
      <w:divBdr>
        <w:top w:val="none" w:sz="0" w:space="0" w:color="auto"/>
        <w:left w:val="none" w:sz="0" w:space="0" w:color="auto"/>
        <w:bottom w:val="none" w:sz="0" w:space="0" w:color="auto"/>
        <w:right w:val="none" w:sz="0" w:space="0" w:color="auto"/>
      </w:divBdr>
    </w:div>
    <w:div w:id="1861822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7.jpg"/><Relationship Id="rId21" Type="http://schemas.openxmlformats.org/officeDocument/2006/relationships/image" Target="media/image11.jpeg"/><Relationship Id="rId42" Type="http://schemas.openxmlformats.org/officeDocument/2006/relationships/image" Target="media/image26.png"/><Relationship Id="rId63" Type="http://schemas.openxmlformats.org/officeDocument/2006/relationships/image" Target="media/image46.png"/><Relationship Id="rId84" Type="http://schemas.openxmlformats.org/officeDocument/2006/relationships/footer" Target="footer4.xml"/><Relationship Id="rId138" Type="http://schemas.openxmlformats.org/officeDocument/2006/relationships/image" Target="media/image118.jpg"/><Relationship Id="rId159" Type="http://schemas.openxmlformats.org/officeDocument/2006/relationships/image" Target="media/image139.jpg"/><Relationship Id="rId170" Type="http://schemas.openxmlformats.org/officeDocument/2006/relationships/image" Target="media/image150.jpg"/><Relationship Id="rId191" Type="http://schemas.openxmlformats.org/officeDocument/2006/relationships/image" Target="media/image171.jpg"/><Relationship Id="rId205" Type="http://schemas.openxmlformats.org/officeDocument/2006/relationships/hyperlink" Target="https://likumi.lv/ta/lv/starptautiskie-ligumi/id/1265" TargetMode="External"/><Relationship Id="rId226" Type="http://schemas.openxmlformats.org/officeDocument/2006/relationships/hyperlink" Target="http://www.visitkraslava.com/" TargetMode="External"/><Relationship Id="rId107" Type="http://schemas.openxmlformats.org/officeDocument/2006/relationships/image" Target="media/image87.jpg"/><Relationship Id="rId11" Type="http://schemas.openxmlformats.org/officeDocument/2006/relationships/image" Target="media/image1.png"/><Relationship Id="rId32" Type="http://schemas.openxmlformats.org/officeDocument/2006/relationships/hyperlink" Target="http://www.daba.gov.lv" TargetMode="External"/><Relationship Id="rId53" Type="http://schemas.openxmlformats.org/officeDocument/2006/relationships/image" Target="media/image36.jpg"/><Relationship Id="rId74" Type="http://schemas.openxmlformats.org/officeDocument/2006/relationships/image" Target="media/image56.jpeg"/><Relationship Id="rId128" Type="http://schemas.openxmlformats.org/officeDocument/2006/relationships/image" Target="media/image108.jpeg"/><Relationship Id="rId149" Type="http://schemas.openxmlformats.org/officeDocument/2006/relationships/image" Target="media/image129.jpg"/><Relationship Id="rId5" Type="http://schemas.openxmlformats.org/officeDocument/2006/relationships/numbering" Target="numbering.xml"/><Relationship Id="rId95" Type="http://schemas.openxmlformats.org/officeDocument/2006/relationships/image" Target="media/image75.png"/><Relationship Id="rId160" Type="http://schemas.openxmlformats.org/officeDocument/2006/relationships/image" Target="media/image140.jpg"/><Relationship Id="rId181" Type="http://schemas.openxmlformats.org/officeDocument/2006/relationships/image" Target="media/image161.jpg"/><Relationship Id="rId216" Type="http://schemas.openxmlformats.org/officeDocument/2006/relationships/hyperlink" Target="https://www.visitkraslava.com/index.php/lv/turisms/ko-darit/udens-turisms/udensturisma-marsruts-koskovci-slutiski-koskovci-piedruja-kraslava" TargetMode="External"/><Relationship Id="rId237" Type="http://schemas.openxmlformats.org/officeDocument/2006/relationships/hyperlink" Target="https://kulturasdati.lv/lv/kulturvesturiskas-vietas/slutisku-etnografiska-vecticibnieku-sadza" TargetMode="External"/><Relationship Id="rId22" Type="http://schemas.openxmlformats.org/officeDocument/2006/relationships/image" Target="media/image12.png"/><Relationship Id="rId43" Type="http://schemas.openxmlformats.org/officeDocument/2006/relationships/image" Target="media/image27.png"/><Relationship Id="rId64" Type="http://schemas.openxmlformats.org/officeDocument/2006/relationships/image" Target="media/image47.png"/><Relationship Id="rId118" Type="http://schemas.openxmlformats.org/officeDocument/2006/relationships/image" Target="media/image98.jpg"/><Relationship Id="rId139" Type="http://schemas.openxmlformats.org/officeDocument/2006/relationships/image" Target="media/image119.jpg"/><Relationship Id="rId85" Type="http://schemas.openxmlformats.org/officeDocument/2006/relationships/image" Target="media/image65.jpg"/><Relationship Id="rId150" Type="http://schemas.openxmlformats.org/officeDocument/2006/relationships/image" Target="media/image130.jpg"/><Relationship Id="rId171" Type="http://schemas.openxmlformats.org/officeDocument/2006/relationships/image" Target="media/image151.jpg"/><Relationship Id="rId192" Type="http://schemas.openxmlformats.org/officeDocument/2006/relationships/image" Target="media/image172.jpg"/><Relationship Id="rId206" Type="http://schemas.openxmlformats.org/officeDocument/2006/relationships/hyperlink" Target="http://srtm.csi.cgiar.org/" TargetMode="External"/><Relationship Id="rId227" Type="http://schemas.openxmlformats.org/officeDocument/2006/relationships/hyperlink" Target="https://www.campo.lv/" TargetMode="External"/><Relationship Id="rId12" Type="http://schemas.openxmlformats.org/officeDocument/2006/relationships/image" Target="media/image2.jpeg"/><Relationship Id="rId33" Type="http://schemas.openxmlformats.org/officeDocument/2006/relationships/hyperlink" Target="http://www.ezeri.lv" TargetMode="External"/><Relationship Id="rId108" Type="http://schemas.openxmlformats.org/officeDocument/2006/relationships/image" Target="media/image88.jpg"/><Relationship Id="rId129" Type="http://schemas.openxmlformats.org/officeDocument/2006/relationships/image" Target="media/image109.jpg"/><Relationship Id="rId54" Type="http://schemas.openxmlformats.org/officeDocument/2006/relationships/image" Target="media/image37.jpg"/><Relationship Id="rId75" Type="http://schemas.openxmlformats.org/officeDocument/2006/relationships/image" Target="media/image57.jpg"/><Relationship Id="rId96" Type="http://schemas.openxmlformats.org/officeDocument/2006/relationships/image" Target="media/image76.png"/><Relationship Id="rId140" Type="http://schemas.openxmlformats.org/officeDocument/2006/relationships/image" Target="media/image120.jpg"/><Relationship Id="rId161" Type="http://schemas.openxmlformats.org/officeDocument/2006/relationships/image" Target="media/image141.jpg"/><Relationship Id="rId182" Type="http://schemas.openxmlformats.org/officeDocument/2006/relationships/image" Target="media/image162.png"/><Relationship Id="rId217" Type="http://schemas.openxmlformats.org/officeDocument/2006/relationships/hyperlink" Target="https://www.vestnesis.lv/ta/id/175264" TargetMode="External"/><Relationship Id="rId6" Type="http://schemas.openxmlformats.org/officeDocument/2006/relationships/styles" Target="styles.xml"/><Relationship Id="rId238" Type="http://schemas.openxmlformats.org/officeDocument/2006/relationships/hyperlink" Target="http://www.klajumi.lv/" TargetMode="External"/><Relationship Id="rId23" Type="http://schemas.openxmlformats.org/officeDocument/2006/relationships/image" Target="media/image13.emf"/><Relationship Id="rId119" Type="http://schemas.openxmlformats.org/officeDocument/2006/relationships/image" Target="media/image99.jpeg"/><Relationship Id="rId44" Type="http://schemas.openxmlformats.org/officeDocument/2006/relationships/chart" Target="charts/chart1.xml"/><Relationship Id="rId65" Type="http://schemas.openxmlformats.org/officeDocument/2006/relationships/image" Target="media/image48.png"/><Relationship Id="rId86" Type="http://schemas.openxmlformats.org/officeDocument/2006/relationships/image" Target="media/image66.emf"/><Relationship Id="rId130" Type="http://schemas.openxmlformats.org/officeDocument/2006/relationships/image" Target="media/image110.jpg"/><Relationship Id="rId151" Type="http://schemas.openxmlformats.org/officeDocument/2006/relationships/image" Target="media/image131.jpg"/><Relationship Id="rId172" Type="http://schemas.openxmlformats.org/officeDocument/2006/relationships/image" Target="media/image152.jpg"/><Relationship Id="rId193" Type="http://schemas.openxmlformats.org/officeDocument/2006/relationships/image" Target="media/image173.jpg"/><Relationship Id="rId207" Type="http://schemas.openxmlformats.org/officeDocument/2006/relationships/hyperlink" Target="http://www.putni.lv/pdf/Kalvans_2013.pdf" TargetMode="External"/><Relationship Id="rId228" Type="http://schemas.openxmlformats.org/officeDocument/2006/relationships/hyperlink" Target="http://www.laivunoma.com/" TargetMode="External"/><Relationship Id="rId13" Type="http://schemas.openxmlformats.org/officeDocument/2006/relationships/image" Target="media/image3.jpeg"/><Relationship Id="rId109" Type="http://schemas.openxmlformats.org/officeDocument/2006/relationships/image" Target="media/image89.jpg"/><Relationship Id="rId34" Type="http://schemas.openxmlformats.org/officeDocument/2006/relationships/image" Target="media/image20.jpg"/><Relationship Id="rId55" Type="http://schemas.openxmlformats.org/officeDocument/2006/relationships/image" Target="media/image38.jpg"/><Relationship Id="rId76" Type="http://schemas.openxmlformats.org/officeDocument/2006/relationships/image" Target="media/image58.jpeg"/><Relationship Id="rId97" Type="http://schemas.openxmlformats.org/officeDocument/2006/relationships/image" Target="media/image77.jpg"/><Relationship Id="rId120" Type="http://schemas.openxmlformats.org/officeDocument/2006/relationships/image" Target="media/image100.jpeg"/><Relationship Id="rId141" Type="http://schemas.openxmlformats.org/officeDocument/2006/relationships/image" Target="media/image121.jpg"/><Relationship Id="rId7" Type="http://schemas.openxmlformats.org/officeDocument/2006/relationships/settings" Target="settings.xml"/><Relationship Id="rId162" Type="http://schemas.openxmlformats.org/officeDocument/2006/relationships/image" Target="media/image142.jpg"/><Relationship Id="rId183" Type="http://schemas.openxmlformats.org/officeDocument/2006/relationships/image" Target="media/image163.jpeg"/><Relationship Id="rId218" Type="http://schemas.openxmlformats.org/officeDocument/2006/relationships/hyperlink" Target="http://www.latvia-outdoor.eu/" TargetMode="External"/><Relationship Id="rId239" Type="http://schemas.openxmlformats.org/officeDocument/2006/relationships/hyperlink" Target="http://www.kurmisi.lv/" TargetMode="External"/><Relationship Id="rId24" Type="http://schemas.openxmlformats.org/officeDocument/2006/relationships/image" Target="media/image14.emf"/><Relationship Id="rId45" Type="http://schemas.openxmlformats.org/officeDocument/2006/relationships/image" Target="media/image28.jpg"/><Relationship Id="rId66" Type="http://schemas.openxmlformats.org/officeDocument/2006/relationships/image" Target="media/image49.png"/><Relationship Id="rId87" Type="http://schemas.openxmlformats.org/officeDocument/2006/relationships/image" Target="media/image67.emf"/><Relationship Id="rId110" Type="http://schemas.openxmlformats.org/officeDocument/2006/relationships/image" Target="media/image90.jpg"/><Relationship Id="rId131" Type="http://schemas.openxmlformats.org/officeDocument/2006/relationships/image" Target="media/image111.jpg"/><Relationship Id="rId152" Type="http://schemas.openxmlformats.org/officeDocument/2006/relationships/image" Target="media/image132.jpg"/><Relationship Id="rId173" Type="http://schemas.openxmlformats.org/officeDocument/2006/relationships/image" Target="media/image153.jpg"/><Relationship Id="rId194" Type="http://schemas.openxmlformats.org/officeDocument/2006/relationships/image" Target="media/image174.jpg"/><Relationship Id="rId208" Type="http://schemas.openxmlformats.org/officeDocument/2006/relationships/hyperlink" Target="https://www.kraslava.lv/lv/attistiba/attistibas-programma" TargetMode="External"/><Relationship Id="rId229" Type="http://schemas.openxmlformats.org/officeDocument/2006/relationships/hyperlink" Target="https://lpr.gov.lv/lv/" TargetMode="External"/><Relationship Id="rId240" Type="http://schemas.openxmlformats.org/officeDocument/2006/relationships/fontTable" Target="fontTable.xml"/><Relationship Id="rId14" Type="http://schemas.openxmlformats.org/officeDocument/2006/relationships/image" Target="media/image4.png"/><Relationship Id="rId35" Type="http://schemas.openxmlformats.org/officeDocument/2006/relationships/image" Target="media/image21.jpg"/><Relationship Id="rId56" Type="http://schemas.openxmlformats.org/officeDocument/2006/relationships/image" Target="media/image39.jpg"/><Relationship Id="rId77" Type="http://schemas.openxmlformats.org/officeDocument/2006/relationships/image" Target="media/image59.jpeg"/><Relationship Id="rId100" Type="http://schemas.openxmlformats.org/officeDocument/2006/relationships/image" Target="media/image80.jpg"/><Relationship Id="rId8" Type="http://schemas.openxmlformats.org/officeDocument/2006/relationships/webSettings" Target="webSettings.xml"/><Relationship Id="rId98" Type="http://schemas.openxmlformats.org/officeDocument/2006/relationships/image" Target="media/image78.jpg"/><Relationship Id="rId121" Type="http://schemas.openxmlformats.org/officeDocument/2006/relationships/image" Target="media/image101.jpg"/><Relationship Id="rId142" Type="http://schemas.openxmlformats.org/officeDocument/2006/relationships/image" Target="media/image122.jpg"/><Relationship Id="rId163" Type="http://schemas.openxmlformats.org/officeDocument/2006/relationships/image" Target="media/image143.jpg"/><Relationship Id="rId184" Type="http://schemas.openxmlformats.org/officeDocument/2006/relationships/image" Target="media/image164.jpg"/><Relationship Id="rId219" Type="http://schemas.openxmlformats.org/officeDocument/2006/relationships/hyperlink" Target="http://www.atputalatgale.com/" TargetMode="External"/><Relationship Id="rId230" Type="http://schemas.openxmlformats.org/officeDocument/2006/relationships/hyperlink" Target="http://visitlatgale.com/" TargetMode="External"/><Relationship Id="rId25" Type="http://schemas.openxmlformats.org/officeDocument/2006/relationships/image" Target="media/image15.png"/><Relationship Id="rId46" Type="http://schemas.openxmlformats.org/officeDocument/2006/relationships/image" Target="media/image29.jpg"/><Relationship Id="rId67" Type="http://schemas.openxmlformats.org/officeDocument/2006/relationships/hyperlink" Target="http://www.dabasdati.lv" TargetMode="External"/><Relationship Id="rId88" Type="http://schemas.openxmlformats.org/officeDocument/2006/relationships/image" Target="media/image68.emf"/><Relationship Id="rId111" Type="http://schemas.openxmlformats.org/officeDocument/2006/relationships/image" Target="media/image91.jpg"/><Relationship Id="rId132" Type="http://schemas.openxmlformats.org/officeDocument/2006/relationships/image" Target="media/image112.jpeg"/><Relationship Id="rId153" Type="http://schemas.openxmlformats.org/officeDocument/2006/relationships/image" Target="media/image133.jpg"/><Relationship Id="rId174" Type="http://schemas.openxmlformats.org/officeDocument/2006/relationships/image" Target="media/image154.jpg"/><Relationship Id="rId195" Type="http://schemas.openxmlformats.org/officeDocument/2006/relationships/image" Target="media/image175.jpg"/><Relationship Id="rId209" Type="http://schemas.openxmlformats.org/officeDocument/2006/relationships/hyperlink" Target="https://www.kraslava.lv/lv/media/779/download?attachment" TargetMode="External"/><Relationship Id="rId220" Type="http://schemas.openxmlformats.org/officeDocument/2006/relationships/hyperlink" Target="http://www.ezeri.lv" TargetMode="External"/><Relationship Id="rId241" Type="http://schemas.openxmlformats.org/officeDocument/2006/relationships/theme" Target="theme/theme1.xml"/><Relationship Id="rId15" Type="http://schemas.openxmlformats.org/officeDocument/2006/relationships/image" Target="media/image5.jpg"/><Relationship Id="rId36" Type="http://schemas.openxmlformats.org/officeDocument/2006/relationships/image" Target="media/image22.jpg"/><Relationship Id="rId57" Type="http://schemas.openxmlformats.org/officeDocument/2006/relationships/image" Target="media/image40.jpg"/><Relationship Id="rId106" Type="http://schemas.openxmlformats.org/officeDocument/2006/relationships/image" Target="media/image86.jpeg"/><Relationship Id="rId127" Type="http://schemas.openxmlformats.org/officeDocument/2006/relationships/image" Target="media/image107.jpg"/><Relationship Id="rId10" Type="http://schemas.openxmlformats.org/officeDocument/2006/relationships/endnotes" Target="endnotes.xml"/><Relationship Id="rId31" Type="http://schemas.openxmlformats.org/officeDocument/2006/relationships/image" Target="media/image19.jpg"/><Relationship Id="rId52" Type="http://schemas.openxmlformats.org/officeDocument/2006/relationships/image" Target="media/image35.jpg"/><Relationship Id="rId73" Type="http://schemas.openxmlformats.org/officeDocument/2006/relationships/image" Target="media/image55.jpeg"/><Relationship Id="rId78" Type="http://schemas.openxmlformats.org/officeDocument/2006/relationships/image" Target="media/image60.jpeg"/><Relationship Id="rId94" Type="http://schemas.openxmlformats.org/officeDocument/2006/relationships/image" Target="media/image74.png"/><Relationship Id="rId99" Type="http://schemas.openxmlformats.org/officeDocument/2006/relationships/image" Target="media/image79.jpeg"/><Relationship Id="rId101" Type="http://schemas.openxmlformats.org/officeDocument/2006/relationships/image" Target="media/image81.jpg"/><Relationship Id="rId122" Type="http://schemas.openxmlformats.org/officeDocument/2006/relationships/image" Target="media/image102.jpg"/><Relationship Id="rId143" Type="http://schemas.openxmlformats.org/officeDocument/2006/relationships/image" Target="media/image123.jpg"/><Relationship Id="rId148" Type="http://schemas.openxmlformats.org/officeDocument/2006/relationships/image" Target="media/image128.jpg"/><Relationship Id="rId164" Type="http://schemas.openxmlformats.org/officeDocument/2006/relationships/image" Target="media/image144.jpg"/><Relationship Id="rId169" Type="http://schemas.openxmlformats.org/officeDocument/2006/relationships/image" Target="media/image149.jpg"/><Relationship Id="rId185" Type="http://schemas.openxmlformats.org/officeDocument/2006/relationships/image" Target="media/image165.jpg"/><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image" Target="media/image160.jpg"/><Relationship Id="rId210" Type="http://schemas.openxmlformats.org/officeDocument/2006/relationships/hyperlink" Target="https://www.kraslava.lv/lv/attistiba/teritorijas-planojums" TargetMode="External"/><Relationship Id="rId215" Type="http://schemas.openxmlformats.org/officeDocument/2006/relationships/hyperlink" Target="https://www.visitdaugavpils.lv/marsruti/udensturisma-marsruts-augsdaugava-piedruja-daugavpils/" TargetMode="External"/><Relationship Id="rId236" Type="http://schemas.openxmlformats.org/officeDocument/2006/relationships/hyperlink" Target="http://naujenesmuzejs.lv/" TargetMode="External"/><Relationship Id="rId26" Type="http://schemas.openxmlformats.org/officeDocument/2006/relationships/image" Target="media/image16.emf"/><Relationship Id="rId231" Type="http://schemas.openxmlformats.org/officeDocument/2006/relationships/hyperlink" Target="http://www.lgia.gov.lv" TargetMode="External"/><Relationship Id="rId47" Type="http://schemas.openxmlformats.org/officeDocument/2006/relationships/image" Target="media/image30.jpg"/><Relationship Id="rId68" Type="http://schemas.openxmlformats.org/officeDocument/2006/relationships/image" Target="media/image50.jpg"/><Relationship Id="rId89" Type="http://schemas.openxmlformats.org/officeDocument/2006/relationships/image" Target="media/image69.emf"/><Relationship Id="rId112" Type="http://schemas.openxmlformats.org/officeDocument/2006/relationships/image" Target="media/image92.jpg"/><Relationship Id="rId133" Type="http://schemas.openxmlformats.org/officeDocument/2006/relationships/image" Target="media/image113.jpg"/><Relationship Id="rId154" Type="http://schemas.openxmlformats.org/officeDocument/2006/relationships/image" Target="media/image134.jpg"/><Relationship Id="rId175" Type="http://schemas.openxmlformats.org/officeDocument/2006/relationships/image" Target="media/image155.jpg"/><Relationship Id="rId196" Type="http://schemas.openxmlformats.org/officeDocument/2006/relationships/image" Target="media/image176.jpg"/><Relationship Id="rId200" Type="http://schemas.openxmlformats.org/officeDocument/2006/relationships/hyperlink" Target="https://cdr.eionet.europa.eu/Converters/run_conversion?file=lv/eu/art12/envxtfmg/LV_birds_reports_20190903-112206.xml&amp;conv=612&amp;source=remote" TargetMode="External"/><Relationship Id="rId16" Type="http://schemas.openxmlformats.org/officeDocument/2006/relationships/image" Target="media/image6.jpg"/><Relationship Id="rId221" Type="http://schemas.openxmlformats.org/officeDocument/2006/relationships/hyperlink" Target="https://ozols.gov.lv/ozols/" TargetMode="External"/><Relationship Id="rId37" Type="http://schemas.openxmlformats.org/officeDocument/2006/relationships/image" Target="media/image23.png"/><Relationship Id="rId58" Type="http://schemas.openxmlformats.org/officeDocument/2006/relationships/image" Target="media/image41.png"/><Relationship Id="rId79" Type="http://schemas.openxmlformats.org/officeDocument/2006/relationships/image" Target="media/image61.jpg"/><Relationship Id="rId102" Type="http://schemas.openxmlformats.org/officeDocument/2006/relationships/image" Target="media/image82.jpg"/><Relationship Id="rId123" Type="http://schemas.openxmlformats.org/officeDocument/2006/relationships/image" Target="media/image103.jpg"/><Relationship Id="rId144" Type="http://schemas.openxmlformats.org/officeDocument/2006/relationships/image" Target="media/image124.jpg"/><Relationship Id="rId90" Type="http://schemas.openxmlformats.org/officeDocument/2006/relationships/image" Target="media/image70.emf"/><Relationship Id="rId165" Type="http://schemas.openxmlformats.org/officeDocument/2006/relationships/image" Target="media/image145.jpg"/><Relationship Id="rId186" Type="http://schemas.openxmlformats.org/officeDocument/2006/relationships/image" Target="media/image166.jpg"/><Relationship Id="rId211" Type="http://schemas.openxmlformats.org/officeDocument/2006/relationships/hyperlink" Target="https://doi.org/10.1186/s13717-019-0198-0" TargetMode="External"/><Relationship Id="rId232" Type="http://schemas.openxmlformats.org/officeDocument/2006/relationships/hyperlink" Target="http://www.celotajs.lv/" TargetMode="External"/><Relationship Id="rId27" Type="http://schemas.openxmlformats.org/officeDocument/2006/relationships/footer" Target="footer1.xml"/><Relationship Id="rId48" Type="http://schemas.openxmlformats.org/officeDocument/2006/relationships/image" Target="media/image31.jpg"/><Relationship Id="rId69" Type="http://schemas.openxmlformats.org/officeDocument/2006/relationships/image" Target="media/image51.jpeg"/><Relationship Id="rId113" Type="http://schemas.openxmlformats.org/officeDocument/2006/relationships/image" Target="media/image93.jpg"/><Relationship Id="rId134" Type="http://schemas.openxmlformats.org/officeDocument/2006/relationships/image" Target="media/image114.jpg"/><Relationship Id="rId80" Type="http://schemas.openxmlformats.org/officeDocument/2006/relationships/image" Target="media/image62.jpg"/><Relationship Id="rId155" Type="http://schemas.openxmlformats.org/officeDocument/2006/relationships/image" Target="media/image135.jpg"/><Relationship Id="rId176" Type="http://schemas.openxmlformats.org/officeDocument/2006/relationships/image" Target="media/image156.jpg"/><Relationship Id="rId197" Type="http://schemas.openxmlformats.org/officeDocument/2006/relationships/image" Target="media/image177.jpg"/><Relationship Id="rId201" Type="http://schemas.openxmlformats.org/officeDocument/2006/relationships/hyperlink" Target="https://cdr.eionet.europa.eu/Converters/run_conversion?file=lv/eu/art12/envuuf5cg/LV_birds_reports-14331-211040.xml&amp;conv=343&amp;source=remote" TargetMode="External"/><Relationship Id="rId222" Type="http://schemas.openxmlformats.org/officeDocument/2006/relationships/hyperlink" Target="http://www.daba.gov.lv" TargetMode="External"/><Relationship Id="rId17" Type="http://schemas.openxmlformats.org/officeDocument/2006/relationships/image" Target="media/image7.png"/><Relationship Id="rId38" Type="http://schemas.openxmlformats.org/officeDocument/2006/relationships/hyperlink" Target="http://www.augsdaugavasnovads.lv" TargetMode="External"/><Relationship Id="rId59" Type="http://schemas.openxmlformats.org/officeDocument/2006/relationships/image" Target="media/image42.png"/><Relationship Id="rId103" Type="http://schemas.openxmlformats.org/officeDocument/2006/relationships/image" Target="media/image83.jpeg"/><Relationship Id="rId124" Type="http://schemas.openxmlformats.org/officeDocument/2006/relationships/image" Target="media/image104.jpg"/><Relationship Id="rId70" Type="http://schemas.openxmlformats.org/officeDocument/2006/relationships/image" Target="media/image52.jpg"/><Relationship Id="rId91" Type="http://schemas.openxmlformats.org/officeDocument/2006/relationships/image" Target="media/image71.emf"/><Relationship Id="rId145" Type="http://schemas.openxmlformats.org/officeDocument/2006/relationships/image" Target="media/image125.jpg"/><Relationship Id="rId166" Type="http://schemas.openxmlformats.org/officeDocument/2006/relationships/image" Target="media/image146.jpg"/><Relationship Id="rId187" Type="http://schemas.openxmlformats.org/officeDocument/2006/relationships/image" Target="media/image167.jpg"/><Relationship Id="rId1" Type="http://schemas.openxmlformats.org/officeDocument/2006/relationships/customXml" Target="../customXml/item1.xml"/><Relationship Id="rId212" Type="http://schemas.openxmlformats.org/officeDocument/2006/relationships/hyperlink" Target="https://www.sciencedirect.com/science/article/pii/S2666683925000057" TargetMode="External"/><Relationship Id="rId233" Type="http://schemas.openxmlformats.org/officeDocument/2006/relationships/hyperlink" Target="https://videscentrs.lvgmc.lv/" TargetMode="External"/><Relationship Id="rId28" Type="http://schemas.openxmlformats.org/officeDocument/2006/relationships/footer" Target="footer2.xml"/><Relationship Id="rId49" Type="http://schemas.openxmlformats.org/officeDocument/2006/relationships/image" Target="media/image32.jpg"/><Relationship Id="rId114" Type="http://schemas.openxmlformats.org/officeDocument/2006/relationships/image" Target="media/image94.jpg"/><Relationship Id="rId60" Type="http://schemas.openxmlformats.org/officeDocument/2006/relationships/image" Target="media/image43.png"/><Relationship Id="rId81" Type="http://schemas.openxmlformats.org/officeDocument/2006/relationships/image" Target="media/image63.jpg"/><Relationship Id="rId135" Type="http://schemas.openxmlformats.org/officeDocument/2006/relationships/image" Target="media/image115.jpg"/><Relationship Id="rId156" Type="http://schemas.openxmlformats.org/officeDocument/2006/relationships/image" Target="media/image136.jpg"/><Relationship Id="rId177" Type="http://schemas.openxmlformats.org/officeDocument/2006/relationships/image" Target="media/image157.jpg"/><Relationship Id="rId198" Type="http://schemas.openxmlformats.org/officeDocument/2006/relationships/image" Target="media/image178.jpg"/><Relationship Id="rId202" Type="http://schemas.openxmlformats.org/officeDocument/2006/relationships/hyperlink" Target="https://www.daugavpils.lv/assets/upload/manager/AttistibasDepartaments/Dokumenti/Planosana/I_IAS_04102021_gala.pdf" TargetMode="External"/><Relationship Id="rId223" Type="http://schemas.openxmlformats.org/officeDocument/2006/relationships/hyperlink" Target="https://www.daba.gov.lv/lv/daugavas-loki" TargetMode="External"/><Relationship Id="rId18" Type="http://schemas.openxmlformats.org/officeDocument/2006/relationships/image" Target="media/image8.png"/><Relationship Id="rId39" Type="http://schemas.openxmlformats.org/officeDocument/2006/relationships/image" Target="media/image24.jpg"/><Relationship Id="rId50" Type="http://schemas.openxmlformats.org/officeDocument/2006/relationships/image" Target="media/image33.jpg"/><Relationship Id="rId104" Type="http://schemas.openxmlformats.org/officeDocument/2006/relationships/image" Target="media/image84.jpeg"/><Relationship Id="rId125" Type="http://schemas.openxmlformats.org/officeDocument/2006/relationships/image" Target="media/image105.jpeg"/><Relationship Id="rId146" Type="http://schemas.openxmlformats.org/officeDocument/2006/relationships/image" Target="media/image126.jpeg"/><Relationship Id="rId167" Type="http://schemas.openxmlformats.org/officeDocument/2006/relationships/image" Target="media/image147.jpg"/><Relationship Id="rId188" Type="http://schemas.openxmlformats.org/officeDocument/2006/relationships/image" Target="media/image168.jpg"/><Relationship Id="rId71" Type="http://schemas.openxmlformats.org/officeDocument/2006/relationships/image" Target="media/image53.jpeg"/><Relationship Id="rId92" Type="http://schemas.openxmlformats.org/officeDocument/2006/relationships/image" Target="media/image72.jpg"/><Relationship Id="rId213" Type="http://schemas.openxmlformats.org/officeDocument/2006/relationships/hyperlink" Target="https://doi.org/10.1007/s10841-012-9456-5" TargetMode="External"/><Relationship Id="rId234" Type="http://schemas.openxmlformats.org/officeDocument/2006/relationships/hyperlink" Target="https://lielbornesmuiza.lv/" TargetMode="External"/><Relationship Id="rId2" Type="http://schemas.openxmlformats.org/officeDocument/2006/relationships/customXml" Target="../customXml/item2.xml"/><Relationship Id="rId29" Type="http://schemas.openxmlformats.org/officeDocument/2006/relationships/image" Target="media/image17.jpg"/><Relationship Id="rId40" Type="http://schemas.openxmlformats.org/officeDocument/2006/relationships/image" Target="media/image25.jpg"/><Relationship Id="rId115" Type="http://schemas.openxmlformats.org/officeDocument/2006/relationships/image" Target="media/image95.jpg"/><Relationship Id="rId136" Type="http://schemas.openxmlformats.org/officeDocument/2006/relationships/image" Target="media/image116.jpg"/><Relationship Id="rId157" Type="http://schemas.openxmlformats.org/officeDocument/2006/relationships/image" Target="media/image137.jpg"/><Relationship Id="rId178" Type="http://schemas.openxmlformats.org/officeDocument/2006/relationships/image" Target="media/image158.jpg"/><Relationship Id="rId61" Type="http://schemas.openxmlformats.org/officeDocument/2006/relationships/image" Target="media/image44.png"/><Relationship Id="rId82" Type="http://schemas.openxmlformats.org/officeDocument/2006/relationships/image" Target="media/image64.jpeg"/><Relationship Id="rId199" Type="http://schemas.openxmlformats.org/officeDocument/2006/relationships/hyperlink" Target="https://lob.lv/wp-content/uploads/2019/12/Metodika_LLPU_2018_finalfin_compressed.pdf" TargetMode="External"/><Relationship Id="rId203" Type="http://schemas.openxmlformats.org/officeDocument/2006/relationships/hyperlink" Target="https://www.augsdaugavasnovads.lv/pasvaldiba/attistiba-planosana-uznemejdarbiba/attistibas-planosanas-dokumenti/teritorijas-planojumi/" TargetMode="External"/><Relationship Id="rId19" Type="http://schemas.openxmlformats.org/officeDocument/2006/relationships/image" Target="media/image9.jpeg"/><Relationship Id="rId224" Type="http://schemas.openxmlformats.org/officeDocument/2006/relationships/hyperlink" Target="http://www.upes.lv/informacija/daugavas-baseins/" TargetMode="External"/><Relationship Id="rId30" Type="http://schemas.openxmlformats.org/officeDocument/2006/relationships/image" Target="media/image18.jpg"/><Relationship Id="rId105" Type="http://schemas.openxmlformats.org/officeDocument/2006/relationships/image" Target="media/image85.jpeg"/><Relationship Id="rId126" Type="http://schemas.openxmlformats.org/officeDocument/2006/relationships/image" Target="media/image106.jpg"/><Relationship Id="rId147" Type="http://schemas.openxmlformats.org/officeDocument/2006/relationships/image" Target="media/image127.jpg"/><Relationship Id="rId168" Type="http://schemas.openxmlformats.org/officeDocument/2006/relationships/image" Target="media/image148.jpg"/><Relationship Id="rId51" Type="http://schemas.openxmlformats.org/officeDocument/2006/relationships/image" Target="media/image34.jpg"/><Relationship Id="rId72" Type="http://schemas.openxmlformats.org/officeDocument/2006/relationships/image" Target="media/image54.jpg"/><Relationship Id="rId93" Type="http://schemas.openxmlformats.org/officeDocument/2006/relationships/image" Target="media/image73.jpg"/><Relationship Id="rId189" Type="http://schemas.openxmlformats.org/officeDocument/2006/relationships/image" Target="media/image169.jpg"/><Relationship Id="rId3" Type="http://schemas.openxmlformats.org/officeDocument/2006/relationships/customXml" Target="../customXml/item3.xml"/><Relationship Id="rId214" Type="http://schemas.openxmlformats.org/officeDocument/2006/relationships/hyperlink" Target="https://doi.org/10.3390/resources10020018" TargetMode="External"/><Relationship Id="rId235" Type="http://schemas.openxmlformats.org/officeDocument/2006/relationships/hyperlink" Target="http://www.mammadabakarte.lv/" TargetMode="External"/><Relationship Id="rId116" Type="http://schemas.openxmlformats.org/officeDocument/2006/relationships/image" Target="media/image96.jpg"/><Relationship Id="rId137" Type="http://schemas.openxmlformats.org/officeDocument/2006/relationships/image" Target="media/image117.jpg"/><Relationship Id="rId158" Type="http://schemas.openxmlformats.org/officeDocument/2006/relationships/image" Target="media/image138.jpg"/><Relationship Id="rId20" Type="http://schemas.openxmlformats.org/officeDocument/2006/relationships/image" Target="media/image10.png"/><Relationship Id="rId41" Type="http://schemas.openxmlformats.org/officeDocument/2006/relationships/footer" Target="footer3.xml"/><Relationship Id="rId62" Type="http://schemas.openxmlformats.org/officeDocument/2006/relationships/image" Target="media/image45.png"/><Relationship Id="rId83" Type="http://schemas.openxmlformats.org/officeDocument/2006/relationships/header" Target="header1.xml"/><Relationship Id="rId179" Type="http://schemas.openxmlformats.org/officeDocument/2006/relationships/image" Target="media/image159.jpg"/><Relationship Id="rId190" Type="http://schemas.openxmlformats.org/officeDocument/2006/relationships/image" Target="media/image170.jpg"/><Relationship Id="rId204" Type="http://schemas.openxmlformats.org/officeDocument/2006/relationships/hyperlink" Target="https://rm.coe.int/CoERMPublicCommonSearchServices/DisplayDCTMContent?documentId=09000016802f80c6" TargetMode="External"/><Relationship Id="rId225" Type="http://schemas.openxmlformats.org/officeDocument/2006/relationships/hyperlink" Target="http://www.visitdaugavpils.lv/"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www.klajumi.lv/lv/" TargetMode="External"/><Relationship Id="rId18" Type="http://schemas.openxmlformats.org/officeDocument/2006/relationships/hyperlink" Target="http://www.laivunoma.com/" TargetMode="External"/><Relationship Id="rId26" Type="http://schemas.openxmlformats.org/officeDocument/2006/relationships/hyperlink" Target="http://Natura2000.eea.europa.eu" TargetMode="External"/><Relationship Id="rId39" Type="http://schemas.openxmlformats.org/officeDocument/2006/relationships/hyperlink" Target="https://www.lob.lv/programmas/sugas/eiropas-ligzdojoso-putnu-atlants/" TargetMode="External"/><Relationship Id="rId21" Type="http://schemas.openxmlformats.org/officeDocument/2006/relationships/hyperlink" Target="http://www.mammadabakarte.lv" TargetMode="External"/><Relationship Id="rId34" Type="http://schemas.openxmlformats.org/officeDocument/2006/relationships/hyperlink" Target="https://dabasdati.lv/lv" TargetMode="External"/><Relationship Id="rId42" Type="http://schemas.openxmlformats.org/officeDocument/2006/relationships/hyperlink" Target="http://Natura2000.eea.europa.eu/Natura2000/SDF.aspx?site=LV0600400" TargetMode="External"/><Relationship Id="rId47" Type="http://schemas.openxmlformats.org/officeDocument/2006/relationships/hyperlink" Target="https://www.daugavpilsnovads.lv/Media/Default/file/2012/Publiskie%20dokumenti/Dabas_parka_Daugavas_loki_turisma_attistibas_ricibas_plans.pdf" TargetMode="External"/><Relationship Id="rId50" Type="http://schemas.openxmlformats.org/officeDocument/2006/relationships/hyperlink" Target="https://www.daba.gov.lv/lv/informativo-materialu-katalogs/aizsargajamo-biotopu-saglabasanas-vadlinijas-latvija-2017" TargetMode="External"/><Relationship Id="rId55" Type="http://schemas.openxmlformats.org/officeDocument/2006/relationships/hyperlink" Target="https://www.daba.gov.lv/lv/apsaimniekosanas-pasakumu-metodikas" TargetMode="External"/><Relationship Id="rId7" Type="http://schemas.openxmlformats.org/officeDocument/2006/relationships/hyperlink" Target="https://www.kurmisi.com/" TargetMode="External"/><Relationship Id="rId2" Type="http://schemas.openxmlformats.org/officeDocument/2006/relationships/hyperlink" Target="https://www.kraslava.lv/lv/attistiba/attistibas-programma" TargetMode="External"/><Relationship Id="rId16" Type="http://schemas.openxmlformats.org/officeDocument/2006/relationships/hyperlink" Target="https://atputalatgale.com/" TargetMode="External"/><Relationship Id="rId29" Type="http://schemas.openxmlformats.org/officeDocument/2006/relationships/hyperlink" Target="http://natura2000.eea.europa.eu" TargetMode="External"/><Relationship Id="rId11" Type="http://schemas.openxmlformats.org/officeDocument/2006/relationships/hyperlink" Target="https://lielbornesmuiza.lv/" TargetMode="External"/><Relationship Id="rId24" Type="http://schemas.openxmlformats.org/officeDocument/2006/relationships/hyperlink" Target="http://cdr.eionet.europa.eu/help/natura2000" TargetMode="External"/><Relationship Id="rId32" Type="http://schemas.openxmlformats.org/officeDocument/2006/relationships/hyperlink" Target="https://natura2000.eea.europa.eu/natura2000/SDF.aspx?site=LV0600400&amp;release=33&amp;form=Clean" TargetMode="External"/><Relationship Id="rId37" Type="http://schemas.openxmlformats.org/officeDocument/2006/relationships/hyperlink" Target="http://www.ezeri.lv" TargetMode="External"/><Relationship Id="rId40" Type="http://schemas.openxmlformats.org/officeDocument/2006/relationships/hyperlink" Target="https://dabasdati.lv/lv" TargetMode="External"/><Relationship Id="rId45" Type="http://schemas.openxmlformats.org/officeDocument/2006/relationships/hyperlink" Target="http://datazone.birdlife.org/info/euroredlist" TargetMode="External"/><Relationship Id="rId53" Type="http://schemas.openxmlformats.org/officeDocument/2006/relationships/hyperlink" Target="https://lvafa.vraa.gov.lv/faili/materiali/petijumi/2017/LEB_40/Vadlinijas%20smilsu%20krupja%20vairosanai%20nebrive.pdf" TargetMode="External"/><Relationship Id="rId5" Type="http://schemas.openxmlformats.org/officeDocument/2006/relationships/hyperlink" Target="https://www.augsdaugavasnovads.lv/pasvaldiba/attistiba-planosana-uznemejdarbiba/attistibas-planosanas-dokumenti/teritorijas-planojumi/" TargetMode="External"/><Relationship Id="rId10" Type="http://schemas.openxmlformats.org/officeDocument/2006/relationships/hyperlink" Target="http://www.visitkraslava.com" TargetMode="External"/><Relationship Id="rId19" Type="http://schemas.openxmlformats.org/officeDocument/2006/relationships/hyperlink" Target="https://www.campo.lv/" TargetMode="External"/><Relationship Id="rId31" Type="http://schemas.openxmlformats.org/officeDocument/2006/relationships/hyperlink" Target="https://natura2000.eea.europa.eu/natura2000/SDF.aspx?site=LV0600400&amp;release=33&amp;form=Clean" TargetMode="External"/><Relationship Id="rId44" Type="http://schemas.openxmlformats.org/officeDocument/2006/relationships/hyperlink" Target="http://cdr.eionet.europa.eu/Converters/run_conversion?file=lv/eu/art12/envxbhqxq/LV_birds_reports_20191030-151740.xml&amp;conv=612&amp;source=remote" TargetMode="External"/><Relationship Id="rId52" Type="http://schemas.openxmlformats.org/officeDocument/2006/relationships/hyperlink" Target="https://www.daba.gov.lv/lv/iadt-vienotais-stils" TargetMode="External"/><Relationship Id="rId4" Type="http://schemas.openxmlformats.org/officeDocument/2006/relationships/hyperlink" Target="https://www.daugavpils.lv/assets/upload/manager/AttistibasDepartaments/Dokumenti/Planosana/I_IAS_04102021_gala.pdf" TargetMode="External"/><Relationship Id="rId9" Type="http://schemas.openxmlformats.org/officeDocument/2006/relationships/hyperlink" Target="http://www.visitdaugavpils.lv" TargetMode="External"/><Relationship Id="rId14" Type="http://schemas.openxmlformats.org/officeDocument/2006/relationships/hyperlink" Target="http://naujenesmuzejs.lv/" TargetMode="External"/><Relationship Id="rId22" Type="http://schemas.openxmlformats.org/officeDocument/2006/relationships/hyperlink" Target="https://www.meteo.lv/apex/f?p=117" TargetMode="External"/><Relationship Id="rId27" Type="http://schemas.openxmlformats.org/officeDocument/2006/relationships/hyperlink" Target="https://natura2000.eea.europa.eu/natura2000/SDF.aspx?site=LV0600400&amp;release=9&amp;form=Clean" TargetMode="External"/><Relationship Id="rId30" Type="http://schemas.openxmlformats.org/officeDocument/2006/relationships/hyperlink" Target="https://natura2000.eea.europa.eu/natura2000/SDF.aspx?site=LV0600400&amp;release=33&amp;form=Clean" TargetMode="External"/><Relationship Id="rId35" Type="http://schemas.openxmlformats.org/officeDocument/2006/relationships/hyperlink" Target="https://dabasdati.lv/lv" TargetMode="External"/><Relationship Id="rId43" Type="http://schemas.openxmlformats.org/officeDocument/2006/relationships/hyperlink" Target="http://www.lob.lv/lv/pnv/gramata.php" TargetMode="External"/><Relationship Id="rId48" Type="http://schemas.openxmlformats.org/officeDocument/2006/relationships/hyperlink" Target="https://m.likumi.lv/ta/id/166690-par-stacionaro-aizsardzibas-buvju-buvniecibas-programmu-bistamo-vielu-ierobezosanai-daugava-2008-2012gadam" TargetMode="External"/><Relationship Id="rId8" Type="http://schemas.openxmlformats.org/officeDocument/2006/relationships/hyperlink" Target="https://www.daugavpilsnovads.lv/Media/Default/file/2012/Publiskie%20dokumenti/Dabas_parka_Daugavas_loki_turisma_attistibas_ricibas_plans.pdf" TargetMode="External"/><Relationship Id="rId51" Type="http://schemas.openxmlformats.org/officeDocument/2006/relationships/hyperlink" Target="https://www.daba.gov.lv/lv/invazivas-sugas" TargetMode="External"/><Relationship Id="rId3" Type="http://schemas.openxmlformats.org/officeDocument/2006/relationships/hyperlink" Target="https://www.kraslava.lv/lv/attistiba/teritorijas-planojums" TargetMode="External"/><Relationship Id="rId12" Type="http://schemas.openxmlformats.org/officeDocument/2006/relationships/hyperlink" Target="https://www.kurmisi.com/" TargetMode="External"/><Relationship Id="rId17" Type="http://schemas.openxmlformats.org/officeDocument/2006/relationships/hyperlink" Target="http://www.saulgoze.lv/" TargetMode="External"/><Relationship Id="rId25" Type="http://schemas.openxmlformats.org/officeDocument/2006/relationships/hyperlink" Target="http://Natura2000.eea.europa.eu" TargetMode="External"/><Relationship Id="rId33" Type="http://schemas.openxmlformats.org/officeDocument/2006/relationships/hyperlink" Target="http://www.dabasdati.lv" TargetMode="External"/><Relationship Id="rId38" Type="http://schemas.openxmlformats.org/officeDocument/2006/relationships/hyperlink" Target="http://natura2000.eea.europa.eu/Natura2000/SDF.aspx?site=LV0600400" TargetMode="External"/><Relationship Id="rId46" Type="http://schemas.openxmlformats.org/officeDocument/2006/relationships/hyperlink" Target="https://www.lob.lv/programmas/sugas/eiropas-ligzdojoso-putnu-atlants/" TargetMode="External"/><Relationship Id="rId20" Type="http://schemas.openxmlformats.org/officeDocument/2006/relationships/hyperlink" Target="https://www.jenculaivas.lv/" TargetMode="External"/><Relationship Id="rId41" Type="http://schemas.openxmlformats.org/officeDocument/2006/relationships/hyperlink" Target="https://natura2000.eea.europa.eu/natura2000/SDF.aspx?site=LV0600400&amp;release=9&amp;form=Clean" TargetMode="External"/><Relationship Id="rId54" Type="http://schemas.openxmlformats.org/officeDocument/2006/relationships/hyperlink" Target="https://www.nature.com/articles/srep10186" TargetMode="External"/><Relationship Id="rId1" Type="http://schemas.openxmlformats.org/officeDocument/2006/relationships/hyperlink" Target="https://www.kraslava.lv/lv/media/779/download?attachment" TargetMode="External"/><Relationship Id="rId6" Type="http://schemas.openxmlformats.org/officeDocument/2006/relationships/hyperlink" Target="http://www.kadastrs.lv" TargetMode="External"/><Relationship Id="rId15" Type="http://schemas.openxmlformats.org/officeDocument/2006/relationships/hyperlink" Target="https://kulturasdati.lv/lv/kulturvesturiskas-vietas/slutisku-etnografiska-vecticibnieku-sadza" TargetMode="External"/><Relationship Id="rId23" Type="http://schemas.openxmlformats.org/officeDocument/2006/relationships/hyperlink" Target="http://cdr.eionet.europa.eu/help/natura2000" TargetMode="External"/><Relationship Id="rId28" Type="http://schemas.openxmlformats.org/officeDocument/2006/relationships/hyperlink" Target="http://www.upes.lv/informacija/daugavas-baseins/" TargetMode="External"/><Relationship Id="rId36" Type="http://schemas.openxmlformats.org/officeDocument/2006/relationships/hyperlink" Target="https://www.daba.gov.lv/lv/biologiskas-daudzveidibas-monitoringa-parskati" TargetMode="External"/><Relationship Id="rId49" Type="http://schemas.openxmlformats.org/officeDocument/2006/relationships/hyperlink" Target="https://www.daba.gov.lv/lv/informativo-materialu-katalogs/aizsargajamo-biotopu-saglabasanas-vadlinijas-latvija-2017"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F075-4EC8-B6C2-3CCAECA67359}"/>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F075-4EC8-B6C2-3CCAECA67359}"/>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F075-4EC8-B6C2-3CCAECA67359}"/>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F075-4EC8-B6C2-3CCAECA67359}"/>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9-F075-4EC8-B6C2-3CCAECA67359}"/>
              </c:ext>
            </c:extLst>
          </c:dPt>
          <c:dPt>
            <c:idx val="5"/>
            <c:bubble3D val="0"/>
            <c:spPr>
              <a:gradFill>
                <a:gsLst>
                  <a:gs pos="100000">
                    <a:schemeClr val="accent6">
                      <a:lumMod val="60000"/>
                      <a:lumOff val="40000"/>
                    </a:schemeClr>
                  </a:gs>
                  <a:gs pos="0">
                    <a:schemeClr val="accent6"/>
                  </a:gs>
                </a:gsLst>
                <a:lin ang="5400000" scaled="0"/>
              </a:gradFill>
              <a:ln w="19050">
                <a:solidFill>
                  <a:schemeClr val="lt1"/>
                </a:solidFill>
              </a:ln>
              <a:effectLst/>
            </c:spPr>
            <c:extLst>
              <c:ext xmlns:c16="http://schemas.microsoft.com/office/drawing/2014/chart" uri="{C3380CC4-5D6E-409C-BE32-E72D297353CC}">
                <c16:uniqueId val="{0000000B-F075-4EC8-B6C2-3CCAECA67359}"/>
              </c:ext>
            </c:extLst>
          </c:dPt>
          <c:dPt>
            <c:idx val="6"/>
            <c:bubble3D val="0"/>
            <c:spPr>
              <a:gradFill>
                <a:gsLst>
                  <a:gs pos="100000">
                    <a:schemeClr val="accent1">
                      <a:lumMod val="60000"/>
                      <a:lumMod val="60000"/>
                      <a:lumOff val="40000"/>
                    </a:schemeClr>
                  </a:gs>
                  <a:gs pos="0">
                    <a:schemeClr val="accent1">
                      <a:lumMod val="60000"/>
                    </a:schemeClr>
                  </a:gs>
                </a:gsLst>
                <a:lin ang="5400000" scaled="0"/>
              </a:gradFill>
              <a:ln w="19050">
                <a:solidFill>
                  <a:schemeClr val="lt1"/>
                </a:solidFill>
              </a:ln>
              <a:effectLst/>
            </c:spPr>
            <c:extLst>
              <c:ext xmlns:c16="http://schemas.microsoft.com/office/drawing/2014/chart" uri="{C3380CC4-5D6E-409C-BE32-E72D297353CC}">
                <c16:uniqueId val="{0000000D-F075-4EC8-B6C2-3CCAECA67359}"/>
              </c:ext>
            </c:extLst>
          </c:dPt>
          <c:dPt>
            <c:idx val="7"/>
            <c:bubble3D val="0"/>
            <c:spPr>
              <a:gradFill>
                <a:gsLst>
                  <a:gs pos="100000">
                    <a:schemeClr val="accent2">
                      <a:lumMod val="60000"/>
                      <a:lumMod val="60000"/>
                      <a:lumOff val="40000"/>
                    </a:schemeClr>
                  </a:gs>
                  <a:gs pos="0">
                    <a:schemeClr val="accent2">
                      <a:lumMod val="60000"/>
                    </a:schemeClr>
                  </a:gs>
                </a:gsLst>
                <a:lin ang="5400000" scaled="0"/>
              </a:gradFill>
              <a:ln w="19050">
                <a:solidFill>
                  <a:schemeClr val="lt1"/>
                </a:solidFill>
              </a:ln>
              <a:effectLst/>
            </c:spPr>
            <c:extLst>
              <c:ext xmlns:c16="http://schemas.microsoft.com/office/drawing/2014/chart" uri="{C3380CC4-5D6E-409C-BE32-E72D297353CC}">
                <c16:uniqueId val="{0000000F-F075-4EC8-B6C2-3CCAECA6735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lv-LV"/>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'[KopejaInfoParTeriotriju-DESKTOP-90UTA9V.xlsx]Biotopi'!$A$21:$A$28</c:f>
              <c:strCache>
                <c:ptCount val="8"/>
                <c:pt idx="0">
                  <c:v>6120* Smiltāju zālāji</c:v>
                </c:pt>
                <c:pt idx="1">
                  <c:v>6210 Sausi zālāji kaļķainās augsnēs</c:v>
                </c:pt>
                <c:pt idx="2">
                  <c:v>6230* Vilkakūlas (tukšaiņu) zālāji</c:v>
                </c:pt>
                <c:pt idx="3">
                  <c:v>6270* Sugām bagātas ganības un ganītas pļavas</c:v>
                </c:pt>
                <c:pt idx="4">
                  <c:v>6410 Mitri zālāji perjodiski izžūstošās augsnēs</c:v>
                </c:pt>
                <c:pt idx="5">
                  <c:v>6430 Eitrofas augsto lakstaugu audzes</c:v>
                </c:pt>
                <c:pt idx="6">
                  <c:v>6450 Palieņu zālāji</c:v>
                </c:pt>
                <c:pt idx="7">
                  <c:v>6510 Mēreni mitras pļavas</c:v>
                </c:pt>
              </c:strCache>
            </c:strRef>
          </c:cat>
          <c:val>
            <c:numRef>
              <c:f>'[KopejaInfoParTeriotriju-DESKTOP-90UTA9V.xlsx]Biotopi'!$B$21:$B$28</c:f>
              <c:numCache>
                <c:formatCode>General</c:formatCode>
                <c:ptCount val="8"/>
                <c:pt idx="0">
                  <c:v>18.563313000000001</c:v>
                </c:pt>
                <c:pt idx="1">
                  <c:v>383.70285999999999</c:v>
                </c:pt>
                <c:pt idx="2">
                  <c:v>1.3566800000000001</c:v>
                </c:pt>
                <c:pt idx="3">
                  <c:v>253.50806900000001</c:v>
                </c:pt>
                <c:pt idx="4">
                  <c:v>5.1642279999999996</c:v>
                </c:pt>
                <c:pt idx="5">
                  <c:v>119.59286</c:v>
                </c:pt>
                <c:pt idx="6">
                  <c:v>122.383421</c:v>
                </c:pt>
                <c:pt idx="7">
                  <c:v>28.04175</c:v>
                </c:pt>
              </c:numCache>
            </c:numRef>
          </c:val>
          <c:extLst>
            <c:ext xmlns:c16="http://schemas.microsoft.com/office/drawing/2014/chart" uri="{C3380CC4-5D6E-409C-BE32-E72D297353CC}">
              <c16:uniqueId val="{00000010-F075-4EC8-B6C2-3CCAECA67359}"/>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lv-LV"/>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lv-LV"/>
    </a:p>
  </c:txPr>
  <c:externalData r:id="rId1">
    <c:autoUpdate val="0"/>
  </c:externalData>
</c:chartSpace>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58DE24E5771DEA48B34C4F1720D2A691" ma:contentTypeVersion="12" ma:contentTypeDescription="Izveidot jaunu dokumentu." ma:contentTypeScope="" ma:versionID="a1895fd56626394d9981b32bd55886ad">
  <xsd:schema xmlns:xsd="http://www.w3.org/2001/XMLSchema" xmlns:xs="http://www.w3.org/2001/XMLSchema" xmlns:p="http://schemas.microsoft.com/office/2006/metadata/properties" xmlns:ns2="b3698a70-46f9-4b4d-9f82-082f514fa505" xmlns:ns3="2bba59d8-960e-497e-897f-77a0b0db6ff9" targetNamespace="http://schemas.microsoft.com/office/2006/metadata/properties" ma:root="true" ma:fieldsID="47c86905e58af7b17188ec9bda67ba84" ns2:_="" ns3:_="">
    <xsd:import namespace="b3698a70-46f9-4b4d-9f82-082f514fa505"/>
    <xsd:import namespace="2bba59d8-960e-497e-897f-77a0b0db6f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698a70-46f9-4b4d-9f82-082f514fa5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ba59d8-960e-497e-897f-77a0b0db6ff9"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67EE9C-8B6B-4236-B2EA-4E234809CE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698a70-46f9-4b4d-9f82-082f514fa505"/>
    <ds:schemaRef ds:uri="2bba59d8-960e-497e-897f-77a0b0db6f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196ED1-FE0D-4917-A652-60E62810A0B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2BC00DA-DCB3-4786-84F0-261FE4A1E8DA}">
  <ds:schemaRefs>
    <ds:schemaRef ds:uri="http://schemas.microsoft.com/sharepoint/v3/contenttype/forms"/>
  </ds:schemaRefs>
</ds:datastoreItem>
</file>

<file path=customXml/itemProps4.xml><?xml version="1.0" encoding="utf-8"?>
<ds:datastoreItem xmlns:ds="http://schemas.openxmlformats.org/officeDocument/2006/customXml" ds:itemID="{3C8026C8-3862-4435-950F-6D2B061291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13138</TotalTime>
  <Pages>376</Pages>
  <Words>617224</Words>
  <Characters>351818</Characters>
  <Application>Microsoft Office Word</Application>
  <DocSecurity>0</DocSecurity>
  <Lines>2931</Lines>
  <Paragraphs>1934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967108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dc:creator>
  <cp:lastModifiedBy>Dagnija Daudzvārde</cp:lastModifiedBy>
  <cp:revision>2267</cp:revision>
  <cp:lastPrinted>2024-11-27T09:28:00Z</cp:lastPrinted>
  <dcterms:created xsi:type="dcterms:W3CDTF">2024-12-18T13:14:00Z</dcterms:created>
  <dcterms:modified xsi:type="dcterms:W3CDTF">2025-02-28T07:43:00Z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0x01010058DE24E5771DEA48B34C4F1720D2A691</vt:lpwstr>
  </property>
</Properties>
</file>